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3" w:name="rigveda-samhita-volume-2"/>
    <w:p>
      <w:pPr>
        <w:pStyle w:val="Heading1"/>
      </w:pPr>
      <w:r>
        <w:t xml:space="preserve">Rigveda Samhita — Volume 2</w:t>
      </w:r>
    </w:p>
    <w:bookmarkStart w:id="20" w:name="X2cf2769743b8549b2fdbf793e777835ea73b87b"/>
    <w:p>
      <w:pPr>
        <w:pStyle w:val="Heading2"/>
      </w:pPr>
      <w:r>
        <w:t xml:space="preserve">English Translation of Sayana’s Bhashya and Kannada Commentary (H. P. Venkata Rao)</w:t>
      </w:r>
    </w:p>
    <w:p>
      <w:pPr>
        <w:pStyle w:val="FirstParagraph"/>
      </w:pPr>
      <w:r>
        <w:rPr>
          <w:bCs/>
          <w:b/>
        </w:rPr>
        <w:t xml:space="preserve">Source:</w:t>
      </w:r>
      <w:r>
        <w:t xml:space="preserve"> </w:t>
      </w:r>
      <w:r>
        <w:t xml:space="preserve">Sri Jayachamarajendra Vedaratnamala series, Volume 2. First Ashtaka, First Adhyaya, First Mandala, Suktas 3–9. Translated with exhaustive critical notes by Asthana Mahavidwan H. P. Venkata Rao, Editor. Printed at Sri Chamundeswari Electric Press, Clock Tower Square, Mysore, 1949. Published by permission of His Highness Sri Jayachamarajendra Wadiyar Bahadur, Maharaja of Mysore.</w:t>
      </w:r>
    </w:p>
    <w:p>
      <w:pPr>
        <w:pStyle w:val="BodyText"/>
      </w:pPr>
      <w:r>
        <w:rPr>
          <w:bCs/>
          <w:b/>
        </w:rPr>
        <w:t xml:space="preserve">Continuity note:</w:t>
      </w:r>
      <w:r>
        <w:t xml:space="preserve"> </w:t>
      </w:r>
      <w:r>
        <w:t xml:space="preserve">This is the direct continuation of Volume 1 (which covered the Purvapithika/Bhumika front matter in full, and Suktas 1–2 of Mandala 1). Volume 2 covers Suktas 3 through 9 of the same Adhyaya.</w:t>
      </w:r>
    </w:p>
    <w:p>
      <w:r>
        <w:pict>
          <v:rect style="width:0;height:1.5pt" o:hralign="center" o:hrstd="t" o:hr="t"/>
        </w:pict>
      </w:r>
    </w:p>
    <w:bookmarkEnd w:id="20"/>
    <w:bookmarkStart w:id="21" w:name="translators-preface-ಪಠಕ"/>
    <w:p>
      <w:pPr>
        <w:pStyle w:val="Heading2"/>
      </w:pPr>
      <w:r>
        <w:t xml:space="preserve">Translator’s Preface (ಪೀಠಿಕೆ)</w:t>
      </w:r>
    </w:p>
    <w:p>
      <w:pPr>
        <w:pStyle w:val="FirstParagraph"/>
      </w:pPr>
      <w:r>
        <w:rPr>
          <w:bCs/>
          <w:b/>
        </w:rPr>
        <w:t xml:space="preserve">It has been about two years since the first part of the Rigveda — with Sayana’s commentary and the Kannada translation — was completed.</w:t>
      </w:r>
      <w:r>
        <w:t xml:space="preserve"> </w:t>
      </w:r>
      <w:r>
        <w:t xml:space="preserve">The second part is now ready. Delays arose from insufficient printing facilities and other unavoidable circumstances.</w:t>
      </w:r>
      <w:r>
        <w:t xml:space="preserve"> </w:t>
      </w:r>
      <w:r>
        <w:rPr>
          <w:bCs/>
          <w:b/>
        </w:rPr>
        <w:t xml:space="preserve">Through these two parts together, only one Adhyaya out of the [64] Adhyayas of the Rigveda Samhita has been completed.</w:t>
      </w:r>
      <w:r>
        <w:t xml:space="preserve"> </w:t>
      </w:r>
      <w:r>
        <w:t xml:space="preserve">There is a wish to complete the remaining 63 Adhyayas as speedily as possible — with God’s grace, perhaps within another 2–4 years. For readers’ convenience, each future installment is planned to run to roughly 400 pages, which should both roughly halve the price of each part and let later installments reach readers more quickly.</w:t>
      </w:r>
    </w:p>
    <w:p>
      <w:pPr>
        <w:pStyle w:val="BodyText"/>
      </w:pPr>
      <w:r>
        <w:rPr>
          <w:bCs/>
          <w:b/>
        </w:rPr>
        <w:t xml:space="preserve">As stated before, although the meaning-translation follows Sayana’s commentary, we have also incorporated, where contextually appropriate, a critical examination of the views of other ancient commentators and of Western scholars.</w:t>
      </w:r>
      <w:r>
        <w:t xml:space="preserve"> </w:t>
      </w:r>
      <w:r>
        <w:t xml:space="preserve">No one, in any language, has previously attempted so extensive a critical meaning-translation of the Rigveda. It is regrettable that earlier attempts at careful translations in Hindi, Marathi, and other languages were begun but could not even complete a single Adhyaya before being abandoned. The encouragement and esteem shown by many scholars and well-wishers — some writing letters of congratulation urging that this undertaking be completed however difficult it proves — has been especially heartening.</w:t>
      </w:r>
    </w:p>
    <w:p>
      <w:pPr>
        <w:pStyle w:val="BodyText"/>
      </w:pPr>
      <w:r>
        <w:rPr>
          <w:bCs/>
          <w:b/>
        </w:rPr>
        <w:t xml:space="preserve">A word on how this book’s material is laid out:</w:t>
      </w:r>
      <w:r>
        <w:t xml:space="preserve"> </w:t>
      </w:r>
      <w:r>
        <w:t xml:space="preserve">ordinary readers who do not know Sanskrit can grasp the main sense from the Bhavartha (overall sense) alone. Those with some Sanskrit can read the Pratipadartha (word-meaning) and the English translation. Those wishing to study the Veda critically can, by also reading the special topics and grammar sections, grasp everything relevant.</w:t>
      </w:r>
      <w:r>
        <w:t xml:space="preserve"> </w:t>
      </w:r>
      <w:r>
        <w:rPr>
          <w:bCs/>
          <w:b/>
        </w:rPr>
        <w:t xml:space="preserve">Some feel the grammar portion is excessive — but only the grammar already present within Sayana’s own commentary has been translated into Kannada.</w:t>
      </w:r>
      <w:r>
        <w:t xml:space="preserve"> </w:t>
      </w:r>
      <w:r>
        <w:t xml:space="preserve">Since grammar matters greatly for Vedic interpretation, it has been treated somewhat fully at the start, though it will gradually diminish in later parts. Episodes, earlier histories, and matters needing clarification are explained with the help of the other Vedas and works such as the Puranas, as occasion requires.</w:t>
      </w:r>
    </w:p>
    <w:p>
      <w:pPr>
        <w:pStyle w:val="BodyText"/>
      </w:pPr>
      <w:r>
        <w:rPr>
          <w:bCs/>
          <w:b/>
        </w:rPr>
        <w:t xml:space="preserve">Everyone agrees that critical examination of Vedic meaning is an extremely profound matter</w:t>
      </w:r>
      <w:r>
        <w:t xml:space="preserve"> </w:t>
      </w:r>
      <w:r>
        <w:t xml:space="preserve">— which is precisely why even ordinary people, and even Sanskrit-knowing scholars, hesitate to engage with it. Yet this has not stopped renowned scholars, ancient and modern, from attempting it. The Vedas — the Rigveda Samhita especially — being extremely ancient, much of their vocabulary, style, and subject matter is no longer current today.</w:t>
      </w:r>
      <w:r>
        <w:t xml:space="preserve"> </w:t>
      </w:r>
      <w:r>
        <w:rPr>
          <w:bCs/>
          <w:b/>
        </w:rPr>
        <w:t xml:space="preserve">Since Vedic words had already fallen out of common usage some 3,000 years ago, the sage Yaska composed, in that very era, the great treatise called the Nirukta</w:t>
      </w:r>
      <w:r>
        <w:t xml:space="preserve"> </w:t>
      </w:r>
      <w:r>
        <w:t xml:space="preserve">to explain their meanings; every subsequent commentator has taken the Nirukta as his foundation. Since a great many Vedic words are not current in later Sanskrit, their forms must be derived through grammar and meanings fitted accordingly —</w:t>
      </w:r>
      <w:r>
        <w:t xml:space="preserve"> </w:t>
      </w:r>
      <w:r>
        <w:rPr>
          <w:bCs/>
          <w:b/>
        </w:rPr>
        <w:t xml:space="preserve">but whether such grammatically-derived meanings truly match the intent of the ancient rishis remains genuinely open to doubt</w:t>
      </w:r>
      <w:r>
        <w:t xml:space="preserve">, and despite extensive debate, nothing has ever been definitively settled, nor is it likely to be. Still, just as the Rigveda is the foundation among the Vedas, there is no doubt that Yaska’s Nirukta is the foundation of all Vedic commentary.</w:t>
      </w:r>
    </w:p>
    <w:p>
      <w:pPr>
        <w:pStyle w:val="BodyText"/>
      </w:pPr>
      <w:r>
        <w:rPr>
          <w:bCs/>
          <w:b/>
        </w:rPr>
        <w:t xml:space="preserve">Publishing such an ancient, profound, vast Samhita — foundational to all branches of knowledge — in simple Kannada with critical commentary, is no easy task.</w:t>
      </w:r>
      <w:r>
        <w:t xml:space="preserve"> </w:t>
      </w:r>
      <w:r>
        <w:t xml:space="preserve">It is undertaken so that all people, learned and simple alike, might grow in knowledge and become worthy of divine grace. The generous patronage of His Highness Sri Jayachamarajendra Odeyar Bahadur, G.C.B., G.C.S.I. — ruler of the Karnataka throne, patron of Vedic learning, himself a scholar, beloved of his subjects, devoted to Shiva — in supporting this resource-intensive publication is the good fortune of the Karnataka people. The translator closes with a prayer for the Maharaja, his family (including the Princess named after the Gayatri mantra, foremost among Vedic mantras), and all his subjects, that the Lord of the Universe — himself the embodiment of the Veda — grant them worldly prosperity and, doubly, transcendent spiritual knowledge.</w:t>
      </w:r>
    </w:p>
    <w:p>
      <w:pPr>
        <w:pStyle w:val="BodyText"/>
      </w:pPr>
      <w:r>
        <w:rPr>
          <w:iCs/>
          <w:i/>
        </w:rPr>
        <w:t xml:space="preserve">Mysore. [Virodhi-nama Samvatsara, Jyeshtha Bahula Saptami, Friday] 17 June 1949.</w:t>
      </w:r>
    </w:p>
    <w:p>
      <w:pPr>
        <w:pStyle w:val="BodyText"/>
      </w:pPr>
      <w:r>
        <w:rPr>
          <w:iCs/>
          <w:i/>
        </w:rPr>
        <w:t xml:space="preserve">Translator: H. P. Venkata Rao, Asthana Mahavidwan.</w:t>
      </w:r>
    </w:p>
    <w:p>
      <w:r>
        <w:pict>
          <v:rect style="width:0;height:1.5pt" o:hralign="center" o:hrstd="t" o:hr="t"/>
        </w:pict>
      </w:r>
    </w:p>
    <w:bookmarkEnd w:id="21"/>
    <w:bookmarkStart w:id="22" w:name="X41e131b3dbb9f34863f4f587221c5cfb236bc44"/>
    <w:p>
      <w:pPr>
        <w:pStyle w:val="Heading2"/>
      </w:pPr>
      <w:r>
        <w:t xml:space="preserve">Table of Contents (Vishayanukramanike) — Roadmap for This Volume</w:t>
      </w:r>
    </w:p>
    <w:p>
      <w:pPr>
        <w:pStyle w:val="FirstParagraph"/>
      </w:pPr>
      <w:r>
        <w:rPr>
          <w:bCs/>
          <w:b/>
        </w:rPr>
        <w:t xml:space="preserve">Sukta 3</w:t>
      </w:r>
      <w:r>
        <w:t xml:space="preserve"> </w:t>
      </w:r>
      <w:r>
        <w:t xml:space="preserve">—</w:t>
      </w:r>
      <w:r>
        <w:t xml:space="preserve"> </w:t>
      </w:r>
      <w:r>
        <w:rPr>
          <w:iCs/>
          <w:i/>
        </w:rPr>
        <w:t xml:space="preserve">“</w:t>
      </w:r>
      <w:r>
        <w:rPr>
          <w:iCs/>
          <w:i/>
        </w:rPr>
        <w:t xml:space="preserve">Aśvinā yajvarīr iṣaḥ</w:t>
      </w:r>
      <w:r>
        <w:rPr>
          <w:iCs/>
          <w:i/>
        </w:rPr>
        <w:t xml:space="preserve">”</w:t>
      </w:r>
      <w:r>
        <w:t xml:space="preserve"> </w:t>
      </w:r>
      <w:r>
        <w:t xml:space="preserve">(the Ashvins): Anuvaka-numbering in Mandala 1; the three ordering-schemes of Vedic arrangement (by rishi, by deity, by meter); Mandala divisions; the three Savanas explained; the sukta’s application; rishi/deity/meter;</w:t>
      </w:r>
      <w:r>
        <w:t xml:space="preserve"> </w:t>
      </w:r>
      <w:r>
        <w:rPr>
          <w:bCs/>
          <w:b/>
        </w:rPr>
        <w:t xml:space="preserve">a detailed introduction to the Ashvin twins</w:t>
      </w:r>
      <w:r>
        <w:t xml:space="preserve"> </w:t>
      </w:r>
      <w:r>
        <w:t xml:space="preserve">(pp. 11–33); the etymology and meaning of</w:t>
      </w:r>
      <w:r>
        <w:t xml:space="preserve"> </w:t>
      </w:r>
      <w:r>
        <w:t xml:space="preserve">“</w:t>
      </w:r>
      <w:r>
        <w:t xml:space="preserve">Indra</w:t>
      </w:r>
      <w:r>
        <w:t xml:space="preserve">”</w:t>
      </w:r>
      <w:r>
        <w:t xml:space="preserve"> </w:t>
      </w:r>
      <w:r>
        <w:t xml:space="preserve">(p. 33); a detailed introduction to the Vishvedevas (p. 49); the legend of Agni hiding in the water, with the ancient narrative as found in the Rigveda and Yajurveda (p. 60); a detailed introduction to the goddess Sarasvati, including the etymology of her name (p. 68); and an explanation of the Apri-suktas (p. 73).</w:t>
      </w:r>
    </w:p>
    <w:p>
      <w:pPr>
        <w:pStyle w:val="BodyText"/>
      </w:pPr>
      <w:r>
        <w:rPr>
          <w:bCs/>
          <w:b/>
        </w:rPr>
        <w:t xml:space="preserve">Sukta 4</w:t>
      </w:r>
      <w:r>
        <w:t xml:space="preserve"> </w:t>
      </w:r>
      <w:r>
        <w:t xml:space="preserve">—</w:t>
      </w:r>
      <w:r>
        <w:t xml:space="preserve"> </w:t>
      </w:r>
      <w:r>
        <w:rPr>
          <w:iCs/>
          <w:i/>
        </w:rPr>
        <w:t xml:space="preserve">“</w:t>
      </w:r>
      <w:r>
        <w:rPr>
          <w:iCs/>
          <w:i/>
        </w:rPr>
        <w:t xml:space="preserve">su-rūpa-kṛtnum</w:t>
      </w:r>
      <w:r>
        <w:rPr>
          <w:iCs/>
          <w:i/>
        </w:rPr>
        <w:t xml:space="preserve">”</w:t>
      </w:r>
      <w:r>
        <w:t xml:space="preserve">: application; rishi/deity/meter (p. 87); the story of Vritrasura (p. 123).</w:t>
      </w:r>
    </w:p>
    <w:p>
      <w:pPr>
        <w:pStyle w:val="BodyText"/>
      </w:pPr>
      <w:r>
        <w:rPr>
          <w:bCs/>
          <w:b/>
        </w:rPr>
        <w:t xml:space="preserve">Sukta 5</w:t>
      </w:r>
      <w:r>
        <w:t xml:space="preserve"> </w:t>
      </w:r>
      <w:r>
        <w:t xml:space="preserve">—</w:t>
      </w:r>
      <w:r>
        <w:t xml:space="preserve"> </w:t>
      </w:r>
      <w:r>
        <w:rPr>
          <w:iCs/>
          <w:i/>
        </w:rPr>
        <w:t xml:space="preserve">“</w:t>
      </w:r>
      <w:r>
        <w:rPr>
          <w:iCs/>
          <w:i/>
        </w:rPr>
        <w:t xml:space="preserve">ā tveṣṭhā niṣīdata</w:t>
      </w:r>
      <w:r>
        <w:rPr>
          <w:iCs/>
          <w:i/>
        </w:rPr>
        <w:t xml:space="preserve">”</w:t>
      </w:r>
      <w:r>
        <w:t xml:space="preserve">: application;</w:t>
      </w:r>
      <w:r>
        <w:t xml:space="preserve"> </w:t>
      </w:r>
      <w:r>
        <w:rPr>
          <w:bCs/>
          <w:b/>
        </w:rPr>
        <w:t xml:space="preserve">the seven types of Soma-yaga</w:t>
      </w:r>
      <w:r>
        <w:t xml:space="preserve">; the Abhiplava-shadaha and Prishtha-shadaha rites; the meanings of Krichha, Stoma, Vishnati, Paryaya;</w:t>
      </w:r>
      <w:r>
        <w:t xml:space="preserve"> </w:t>
      </w:r>
      <w:r>
        <w:rPr>
          <w:bCs/>
          <w:b/>
        </w:rPr>
        <w:t xml:space="preserve">the nine kinds of Stoma</w:t>
      </w:r>
      <w:r>
        <w:t xml:space="preserve"> </w:t>
      </w:r>
      <w:r>
        <w:t xml:space="preserve">(Trivrit, Panchadasha, Saptadasha, Ekavimsha, Trinava, Trayastrimsha, Chaturvimsha, Chatuhchatvarimsha, Ashtachatvarimsha — each explained individually, pp. 140–148); Stoma-vriddhi and Stomavapa; the Mahavrata; Prakriti and Vikriti yagas; the substances mixed into Soma-juice (p. 172); and the rhyme-scheme observed in certain riks (p. 188).</w:t>
      </w:r>
    </w:p>
    <w:p>
      <w:pPr>
        <w:pStyle w:val="BodyText"/>
      </w:pPr>
      <w:r>
        <w:rPr>
          <w:bCs/>
          <w:b/>
        </w:rPr>
        <w:t xml:space="preserve">Sukta 6</w:t>
      </w:r>
      <w:r>
        <w:t xml:space="preserve"> </w:t>
      </w:r>
      <w:r>
        <w:t xml:space="preserve">—</w:t>
      </w:r>
      <w:r>
        <w:t xml:space="preserve"> </w:t>
      </w:r>
      <w:r>
        <w:rPr>
          <w:iCs/>
          <w:i/>
        </w:rPr>
        <w:t xml:space="preserve">“</w:t>
      </w:r>
      <w:r>
        <w:rPr>
          <w:iCs/>
          <w:i/>
        </w:rPr>
        <w:t xml:space="preserve">yuñjanti bradhnam</w:t>
      </w:r>
      <w:r>
        <w:rPr>
          <w:iCs/>
          <w:i/>
        </w:rPr>
        <w:t xml:space="preserve">”</w:t>
      </w:r>
      <w:r>
        <w:t xml:space="preserve">: application; rishi/deity/meter (p. 203);</w:t>
      </w:r>
      <w:r>
        <w:t xml:space="preserve"> </w:t>
      </w:r>
      <w:r>
        <w:rPr>
          <w:bCs/>
          <w:b/>
        </w:rPr>
        <w:t xml:space="preserve">a classification of mantra-types by sense</w:t>
      </w:r>
      <w:r>
        <w:t xml:space="preserve"> </w:t>
      </w:r>
      <w:r>
        <w:t xml:space="preserve">— Daivata, Stuti, Ashirvada, Shapatha, Abhishapa, and several more categories (p. 205); a threefold classification of Daivata-mantras (Paroksha-krita, Pratyaksha-krita, Adhyatmika) (p. 205); Skandasvami’s own commentary and translation of the rik</w:t>
      </w:r>
      <w:r>
        <w:t xml:space="preserve"> </w:t>
      </w:r>
      <w:r>
        <w:t xml:space="preserve">“</w:t>
      </w:r>
      <w:r>
        <w:t xml:space="preserve">yuñjanti bradhnam</w:t>
      </w:r>
      <w:r>
        <w:t xml:space="preserve">”</w:t>
      </w:r>
      <w:r>
        <w:t xml:space="preserve"> </w:t>
      </w:r>
      <w:r>
        <w:t xml:space="preserve">(p. 206); and the legend of the demon Pani (p. 228).</w:t>
      </w:r>
    </w:p>
    <w:p>
      <w:pPr>
        <w:pStyle w:val="BodyText"/>
      </w:pPr>
      <w:r>
        <w:rPr>
          <w:bCs/>
          <w:b/>
        </w:rPr>
        <w:t xml:space="preserve">Sukta 7</w:t>
      </w:r>
      <w:r>
        <w:t xml:space="preserve"> </w:t>
      </w:r>
      <w:r>
        <w:t xml:space="preserve">—</w:t>
      </w:r>
      <w:r>
        <w:t xml:space="preserve"> </w:t>
      </w:r>
      <w:r>
        <w:rPr>
          <w:iCs/>
          <w:i/>
        </w:rPr>
        <w:t xml:space="preserve">“</w:t>
      </w:r>
      <w:r>
        <w:rPr>
          <w:iCs/>
          <w:i/>
        </w:rPr>
        <w:t xml:space="preserve">indram id gāthino bṛhat</w:t>
      </w:r>
      <w:r>
        <w:rPr>
          <w:iCs/>
          <w:i/>
        </w:rPr>
        <w:t xml:space="preserve">”</w:t>
      </w:r>
      <w:r>
        <w:t xml:space="preserve">: application; rishi/deity/meter (p. 258); word-meanings (p. 259); explanation of</w:t>
      </w:r>
      <w:r>
        <w:t xml:space="preserve"> </w:t>
      </w:r>
      <w:r>
        <w:t xml:space="preserve">“</w:t>
      </w:r>
      <w:r>
        <w:t xml:space="preserve">Panchakshiti</w:t>
      </w:r>
      <w:r>
        <w:t xml:space="preserve">”</w:t>
      </w:r>
      <w:r>
        <w:t xml:space="preserve"> </w:t>
      </w:r>
      <w:r>
        <w:t xml:space="preserve">and</w:t>
      </w:r>
      <w:r>
        <w:t xml:space="preserve"> </w:t>
      </w:r>
      <w:r>
        <w:t xml:space="preserve">“</w:t>
      </w:r>
      <w:r>
        <w:t xml:space="preserve">Panchajana</w:t>
      </w:r>
      <w:r>
        <w:t xml:space="preserve">”</w:t>
      </w:r>
      <w:r>
        <w:t xml:space="preserve"> </w:t>
      </w:r>
      <w:r>
        <w:t xml:space="preserve">(the five peoples) (p. 296).</w:t>
      </w:r>
    </w:p>
    <w:p>
      <w:pPr>
        <w:pStyle w:val="BodyText"/>
      </w:pPr>
      <w:r>
        <w:rPr>
          <w:bCs/>
          <w:b/>
        </w:rPr>
        <w:t xml:space="preserve">Sukta 8</w:t>
      </w:r>
      <w:r>
        <w:t xml:space="preserve"> </w:t>
      </w:r>
      <w:r>
        <w:t xml:space="preserve">—</w:t>
      </w:r>
      <w:r>
        <w:t xml:space="preserve"> </w:t>
      </w:r>
      <w:r>
        <w:rPr>
          <w:iCs/>
          <w:i/>
        </w:rPr>
        <w:t xml:space="preserve">“</w:t>
      </w:r>
      <w:r>
        <w:rPr>
          <w:iCs/>
          <w:i/>
        </w:rPr>
        <w:t xml:space="preserve">indre sānasiṃ rayim</w:t>
      </w:r>
      <w:r>
        <w:rPr>
          <w:iCs/>
          <w:i/>
        </w:rPr>
        <w:t xml:space="preserve">”</w:t>
      </w:r>
      <w:r>
        <w:t xml:space="preserve">: application; rishi/deity/meter (p. 303); word-meanings (p. 304).</w:t>
      </w:r>
    </w:p>
    <w:p>
      <w:pPr>
        <w:pStyle w:val="BodyText"/>
      </w:pPr>
      <w:r>
        <w:rPr>
          <w:bCs/>
          <w:b/>
        </w:rPr>
        <w:t xml:space="preserve">Sukta 9</w:t>
      </w:r>
      <w:r>
        <w:t xml:space="preserve"> </w:t>
      </w:r>
      <w:r>
        <w:t xml:space="preserve">—</w:t>
      </w:r>
      <w:r>
        <w:t xml:space="preserve"> </w:t>
      </w:r>
      <w:r>
        <w:rPr>
          <w:iCs/>
          <w:i/>
        </w:rPr>
        <w:t xml:space="preserve">“</w:t>
      </w:r>
      <w:r>
        <w:rPr>
          <w:iCs/>
          <w:i/>
        </w:rPr>
        <w:t xml:space="preserve">indrehi matsy andhasaḥ</w:t>
      </w:r>
      <w:r>
        <w:rPr>
          <w:iCs/>
          <w:i/>
        </w:rPr>
        <w:t xml:space="preserve">”</w:t>
      </w:r>
      <w:r>
        <w:t xml:space="preserve">: application and rishi/deity/meter (p. 342); word-meanings (p. 343).</w:t>
      </w:r>
    </w:p>
    <w:p>
      <w:pPr>
        <w:pStyle w:val="BodyText"/>
      </w:pPr>
      <w:r>
        <w:rPr>
          <w:bCs/>
          <w:b/>
        </w:rPr>
        <w:t xml:space="preserve">Sukta 10</w:t>
      </w:r>
      <w:r>
        <w:t xml:space="preserve"> </w:t>
      </w:r>
      <w:r>
        <w:t xml:space="preserve">(beginning) —</w:t>
      </w:r>
      <w:r>
        <w:t xml:space="preserve"> </w:t>
      </w:r>
      <w:r>
        <w:rPr>
          <w:iCs/>
          <w:i/>
        </w:rPr>
        <w:t xml:space="preserve">“</w:t>
      </w:r>
      <w:r>
        <w:rPr>
          <w:iCs/>
          <w:i/>
        </w:rPr>
        <w:t xml:space="preserve">gāyanti tvā gāyatriṇaḥ</w:t>
      </w:r>
      <w:r>
        <w:rPr>
          <w:iCs/>
          <w:i/>
        </w:rPr>
        <w:t xml:space="preserve">”</w:t>
      </w:r>
      <w:r>
        <w:t xml:space="preserve">: application, rishi/deity/meter, and word-meanings (p. 382).</w:t>
      </w:r>
    </w:p>
    <w:p>
      <w:pPr>
        <w:pStyle w:val="BodyText"/>
      </w:pPr>
      <w:r>
        <w:rPr>
          <w:iCs/>
          <w:i/>
        </w:rPr>
        <w:t xml:space="preserve">(Page numbers above refer to this volume’s own internal pagination, which restarts from page 1 independent of Volume 1.)</w:t>
      </w:r>
    </w:p>
    <w:p>
      <w:r>
        <w:pict>
          <v:rect style="width:0;height:1.5pt" o:hralign="center" o:hrstd="t" o:hr="t"/>
        </w:pict>
      </w:r>
    </w:p>
    <w:p>
      <w:pPr>
        <w:pStyle w:val="FirstParagraph"/>
      </w:pPr>
      <w:r>
        <w:rPr>
          <w:bCs/>
          <w:b/>
        </w:rPr>
        <w:t xml:space="preserve">Suktas 11–19</w:t>
      </w:r>
      <w:r>
        <w:t xml:space="preserve"> </w:t>
      </w:r>
      <w:r>
        <w:t xml:space="preserve">(completing the First Adhyaya), per the same table of contents:</w:t>
      </w:r>
    </w:p>
    <w:p>
      <w:pPr>
        <w:numPr>
          <w:ilvl w:val="0"/>
          <w:numId w:val="1001"/>
        </w:numPr>
        <w:pStyle w:val="Compact"/>
      </w:pPr>
      <w:r>
        <w:rPr>
          <w:bCs/>
          <w:b/>
        </w:rPr>
        <w:t xml:space="preserve">Sukta 11</w:t>
      </w:r>
      <w:r>
        <w:t xml:space="preserve"> </w:t>
      </w:r>
      <w:r>
        <w:t xml:space="preserve">—</w:t>
      </w:r>
      <w:r>
        <w:t xml:space="preserve"> </w:t>
      </w:r>
      <w:r>
        <w:rPr>
          <w:iCs/>
          <w:i/>
        </w:rPr>
        <w:t xml:space="preserve">“</w:t>
      </w:r>
      <w:r>
        <w:rPr>
          <w:iCs/>
          <w:i/>
        </w:rPr>
        <w:t xml:space="preserve">indraṃ viśvā avīvṛdhan</w:t>
      </w:r>
      <w:r>
        <w:rPr>
          <w:iCs/>
          <w:i/>
        </w:rPr>
        <w:t xml:space="preserve">”</w:t>
      </w:r>
      <w:r>
        <w:t xml:space="preserve">: application, rishi/deity/meter, word-meanings (p. 448); the legend of the asura Vala (p. 465).</w:t>
      </w:r>
    </w:p>
    <w:p>
      <w:pPr>
        <w:numPr>
          <w:ilvl w:val="0"/>
          <w:numId w:val="1001"/>
        </w:numPr>
        <w:pStyle w:val="Compact"/>
      </w:pPr>
      <w:r>
        <w:rPr>
          <w:bCs/>
          <w:b/>
        </w:rPr>
        <w:t xml:space="preserve">Sukta 12</w:t>
      </w:r>
      <w:r>
        <w:t xml:space="preserve"> </w:t>
      </w:r>
      <w:r>
        <w:t xml:space="preserve">—</w:t>
      </w:r>
      <w:r>
        <w:t xml:space="preserve"> </w:t>
      </w:r>
      <w:r>
        <w:rPr>
          <w:iCs/>
          <w:i/>
        </w:rPr>
        <w:t xml:space="preserve">“</w:t>
      </w:r>
      <w:r>
        <w:rPr>
          <w:iCs/>
          <w:i/>
        </w:rPr>
        <w:t xml:space="preserve">agniṃ dūtaṃ vṛṇīmahe</w:t>
      </w:r>
      <w:r>
        <w:rPr>
          <w:iCs/>
          <w:i/>
        </w:rPr>
        <w:t xml:space="preserve">”</w:t>
      </w:r>
      <w:r>
        <w:t xml:space="preserve">: application, rishi/deity/meter, word-meanings (p. 484).</w:t>
      </w:r>
    </w:p>
    <w:p>
      <w:pPr>
        <w:numPr>
          <w:ilvl w:val="0"/>
          <w:numId w:val="1001"/>
        </w:numPr>
        <w:pStyle w:val="Compact"/>
      </w:pPr>
      <w:r>
        <w:rPr>
          <w:bCs/>
          <w:b/>
        </w:rPr>
        <w:t xml:space="preserve">Sukta 13</w:t>
      </w:r>
      <w:r>
        <w:t xml:space="preserve"> </w:t>
      </w:r>
      <w:r>
        <w:t xml:space="preserve">—</w:t>
      </w:r>
      <w:r>
        <w:t xml:space="preserve"> </w:t>
      </w:r>
      <w:r>
        <w:rPr>
          <w:iCs/>
          <w:i/>
        </w:rPr>
        <w:t xml:space="preserve">“</w:t>
      </w:r>
      <w:r>
        <w:rPr>
          <w:iCs/>
          <w:i/>
        </w:rPr>
        <w:t xml:space="preserve">su-samiddho na ā gahi</w:t>
      </w:r>
      <w:r>
        <w:rPr>
          <w:iCs/>
          <w:i/>
        </w:rPr>
        <w:t xml:space="preserve">”</w:t>
      </w:r>
      <w:r>
        <w:t xml:space="preserve"> </w:t>
      </w:r>
      <w:r>
        <w:t xml:space="preserve">(an Apri-sukta): application (p. 525); rishi/deity/meter (p. 526); word-meanings (p. 527); explanation of</w:t>
      </w:r>
      <w:r>
        <w:t xml:space="preserve"> </w:t>
      </w:r>
      <w:r>
        <w:t xml:space="preserve">“</w:t>
      </w:r>
      <w:r>
        <w:t xml:space="preserve">Naktoṣāsā</w:t>
      </w:r>
      <w:r>
        <w:t xml:space="preserve">”</w:t>
      </w:r>
      <w:r>
        <w:t xml:space="preserve"> </w:t>
      </w:r>
      <w:r>
        <w:t xml:space="preserve">(p. 557),</w:t>
      </w:r>
      <w:r>
        <w:t xml:space="preserve"> </w:t>
      </w:r>
      <w:r>
        <w:t xml:space="preserve">“</w:t>
      </w:r>
      <w:r>
        <w:t xml:space="preserve">Daivyā hotārā</w:t>
      </w:r>
      <w:r>
        <w:t xml:space="preserve">”</w:t>
      </w:r>
      <w:r>
        <w:t xml:space="preserve"> </w:t>
      </w:r>
      <w:r>
        <w:t xml:space="preserve">(p. 561),</w:t>
      </w:r>
      <w:r>
        <w:t xml:space="preserve"> </w:t>
      </w:r>
      <w:r>
        <w:t xml:space="preserve">“</w:t>
      </w:r>
      <w:r>
        <w:t xml:space="preserve">Tisro devīḥ</w:t>
      </w:r>
      <w:r>
        <w:t xml:space="preserve">”</w:t>
      </w:r>
      <w:r>
        <w:t xml:space="preserve"> </w:t>
      </w:r>
      <w:r>
        <w:t xml:space="preserve">(p. 563); a detailed introduction to the deity Tṛṣṭā (p. 571); explanation of</w:t>
      </w:r>
      <w:r>
        <w:t xml:space="preserve"> </w:t>
      </w:r>
      <w:r>
        <w:t xml:space="preserve">“</w:t>
      </w:r>
      <w:r>
        <w:t xml:space="preserve">svāhākṛti</w:t>
      </w:r>
      <w:r>
        <w:t xml:space="preserve">”</w:t>
      </w:r>
      <w:r>
        <w:t xml:space="preserve"> </w:t>
      </w:r>
      <w:r>
        <w:t xml:space="preserve">(p. 580).</w:t>
      </w:r>
    </w:p>
    <w:p>
      <w:pPr>
        <w:numPr>
          <w:ilvl w:val="0"/>
          <w:numId w:val="1001"/>
        </w:numPr>
        <w:pStyle w:val="Compact"/>
      </w:pPr>
      <w:r>
        <w:rPr>
          <w:bCs/>
          <w:b/>
        </w:rPr>
        <w:t xml:space="preserve">Sukta 14</w:t>
      </w:r>
      <w:r>
        <w:t xml:space="preserve"> </w:t>
      </w:r>
      <w:r>
        <w:t xml:space="preserve">—</w:t>
      </w:r>
      <w:r>
        <w:t xml:space="preserve"> </w:t>
      </w:r>
      <w:r>
        <w:rPr>
          <w:iCs/>
          <w:i/>
        </w:rPr>
        <w:t xml:space="preserve">“</w:t>
      </w:r>
      <w:r>
        <w:rPr>
          <w:iCs/>
          <w:i/>
        </w:rPr>
        <w:t xml:space="preserve">babhrur agne</w:t>
      </w:r>
      <w:r>
        <w:rPr>
          <w:iCs/>
          <w:i/>
        </w:rPr>
        <w:t xml:space="preserve">”</w:t>
      </w:r>
      <w:r>
        <w:t xml:space="preserve">: application, rishi/deity/meter, word-meanings (p. 584).</w:t>
      </w:r>
    </w:p>
    <w:p>
      <w:pPr>
        <w:numPr>
          <w:ilvl w:val="0"/>
          <w:numId w:val="1001"/>
        </w:numPr>
        <w:pStyle w:val="Compact"/>
      </w:pPr>
      <w:r>
        <w:rPr>
          <w:bCs/>
          <w:b/>
        </w:rPr>
        <w:t xml:space="preserve">Sukta 15</w:t>
      </w:r>
      <w:r>
        <w:t xml:space="preserve"> </w:t>
      </w:r>
      <w:r>
        <w:t xml:space="preserve">—</w:t>
      </w:r>
      <w:r>
        <w:t xml:space="preserve"> </w:t>
      </w:r>
      <w:r>
        <w:rPr>
          <w:iCs/>
          <w:i/>
        </w:rPr>
        <w:t xml:space="preserve">“</w:t>
      </w:r>
      <w:r>
        <w:rPr>
          <w:iCs/>
          <w:i/>
        </w:rPr>
        <w:t xml:space="preserve">indra soma piba</w:t>
      </w:r>
      <w:r>
        <w:rPr>
          <w:iCs/>
          <w:i/>
        </w:rPr>
        <w:t xml:space="preserve">”</w:t>
      </w:r>
      <w:r>
        <w:t xml:space="preserve">: application, rishi/deity/meter, word-meanings (p. 626); the subject of the deity Dravinodāḥ (p. 652).</w:t>
      </w:r>
    </w:p>
    <w:p>
      <w:pPr>
        <w:numPr>
          <w:ilvl w:val="0"/>
          <w:numId w:val="1001"/>
        </w:numPr>
        <w:pStyle w:val="Compact"/>
      </w:pPr>
      <w:r>
        <w:rPr>
          <w:bCs/>
          <w:b/>
        </w:rPr>
        <w:t xml:space="preserve">Sukta 16</w:t>
      </w:r>
      <w:r>
        <w:t xml:space="preserve"> </w:t>
      </w:r>
      <w:r>
        <w:t xml:space="preserve">—</w:t>
      </w:r>
      <w:r>
        <w:t xml:space="preserve"> </w:t>
      </w:r>
      <w:r>
        <w:rPr>
          <w:iCs/>
          <w:i/>
        </w:rPr>
        <w:t xml:space="preserve">“</w:t>
      </w:r>
      <w:r>
        <w:rPr>
          <w:iCs/>
          <w:i/>
        </w:rPr>
        <w:t xml:space="preserve">ā tyā vahantu</w:t>
      </w:r>
      <w:r>
        <w:rPr>
          <w:iCs/>
          <w:i/>
        </w:rPr>
        <w:t xml:space="preserve">”</w:t>
      </w:r>
      <w:r>
        <w:t xml:space="preserve">: application, rishi/deity/meter, word-meanings (p. 672).</w:t>
      </w:r>
    </w:p>
    <w:p>
      <w:pPr>
        <w:numPr>
          <w:ilvl w:val="0"/>
          <w:numId w:val="1001"/>
        </w:numPr>
        <w:pStyle w:val="Compact"/>
      </w:pPr>
      <w:r>
        <w:rPr>
          <w:bCs/>
          <w:b/>
        </w:rPr>
        <w:t xml:space="preserve">Sukta 17</w:t>
      </w:r>
      <w:r>
        <w:t xml:space="preserve"> </w:t>
      </w:r>
      <w:r>
        <w:t xml:space="preserve">—</w:t>
      </w:r>
      <w:r>
        <w:t xml:space="preserve"> </w:t>
      </w:r>
      <w:r>
        <w:rPr>
          <w:iCs/>
          <w:i/>
        </w:rPr>
        <w:t xml:space="preserve">“</w:t>
      </w:r>
      <w:r>
        <w:rPr>
          <w:iCs/>
          <w:i/>
        </w:rPr>
        <w:t xml:space="preserve">indrāvaruṇayor aham</w:t>
      </w:r>
      <w:r>
        <w:rPr>
          <w:iCs/>
          <w:i/>
        </w:rPr>
        <w:t xml:space="preserve">”</w:t>
      </w:r>
      <w:r>
        <w:t xml:space="preserve">: application, rishi/deity/meter, word-meanings (p. 708); the nature of Saṃskāra-vikalpa mantras (optional ritual variants), with examples (p. 710).</w:t>
      </w:r>
    </w:p>
    <w:p>
      <w:pPr>
        <w:numPr>
          <w:ilvl w:val="0"/>
          <w:numId w:val="1001"/>
        </w:numPr>
        <w:pStyle w:val="Compact"/>
      </w:pPr>
      <w:r>
        <w:rPr>
          <w:bCs/>
          <w:b/>
        </w:rPr>
        <w:t xml:space="preserve">Sukta 18</w:t>
      </w:r>
      <w:r>
        <w:t xml:space="preserve"> </w:t>
      </w:r>
      <w:r>
        <w:t xml:space="preserve">—</w:t>
      </w:r>
      <w:r>
        <w:t xml:space="preserve"> </w:t>
      </w:r>
      <w:r>
        <w:rPr>
          <w:iCs/>
          <w:i/>
        </w:rPr>
        <w:t xml:space="preserve">“</w:t>
      </w:r>
      <w:r>
        <w:rPr>
          <w:iCs/>
          <w:i/>
        </w:rPr>
        <w:t xml:space="preserve">somānaṃ svaraṇam</w:t>
      </w:r>
      <w:r>
        <w:rPr>
          <w:iCs/>
          <w:i/>
        </w:rPr>
        <w:t xml:space="preserve">”</w:t>
      </w:r>
      <w:r>
        <w:t xml:space="preserve">: application, rishi/deity/meter, word-meanings (p. 746); a detailed introduction to Bṛhaspati/Brahmaṇaspati (p. 749); the deity Dakṣiṇā and the derivation of her name (p. 768); the deity Sadasaspati (p. 771).</w:t>
      </w:r>
    </w:p>
    <w:p>
      <w:pPr>
        <w:numPr>
          <w:ilvl w:val="0"/>
          <w:numId w:val="1001"/>
        </w:numPr>
        <w:pStyle w:val="Compact"/>
      </w:pPr>
      <w:r>
        <w:rPr>
          <w:bCs/>
          <w:b/>
        </w:rPr>
        <w:t xml:space="preserve">Sukta 19</w:t>
      </w:r>
      <w:r>
        <w:t xml:space="preserve"> </w:t>
      </w:r>
      <w:r>
        <w:t xml:space="preserve">—</w:t>
      </w:r>
      <w:r>
        <w:t xml:space="preserve"> </w:t>
      </w:r>
      <w:r>
        <w:rPr>
          <w:iCs/>
          <w:i/>
        </w:rPr>
        <w:t xml:space="preserve">“</w:t>
      </w:r>
      <w:r>
        <w:rPr>
          <w:iCs/>
          <w:i/>
        </w:rPr>
        <w:t xml:space="preserve">prati tyaṃ cārum adhvaram</w:t>
      </w:r>
      <w:r>
        <w:rPr>
          <w:iCs/>
          <w:i/>
        </w:rPr>
        <w:t xml:space="preserve">”</w:t>
      </w:r>
      <w:r>
        <w:t xml:space="preserve">: application, rishi/deity/meter, word-meanings (p. 783).</w:t>
      </w:r>
    </w:p>
    <w:p>
      <w:pPr>
        <w:pStyle w:val="FirstParagraph"/>
      </w:pPr>
      <w:r>
        <w:rPr>
          <w:bCs/>
          <w:b/>
        </w:rPr>
        <w:t xml:space="preserve">This completes the Table of Contents for the entire First Adhyaya</w:t>
      </w:r>
      <w:r>
        <w:t xml:space="preserve"> </w:t>
      </w:r>
      <w:r>
        <w:t xml:space="preserve">— confirming that Volume 2, despite its title page’s modest framing (</w:t>
      </w:r>
      <w:r>
        <w:t xml:space="preserve">“</w:t>
      </w:r>
      <w:r>
        <w:t xml:space="preserve">Suktas 3–9</w:t>
      </w:r>
      <w:r>
        <w:t xml:space="preserve">”</w:t>
      </w:r>
      <w:r>
        <w:t xml:space="preserve">), in fact covers all of Suktas 3 through 19, the whole of the First Adhyaya of the First Ashtaka.</w:t>
      </w:r>
    </w:p>
    <w:p>
      <w:r>
        <w:pict>
          <v:rect style="width:0;height:1.5pt" o:hralign="center" o:hrstd="t" o:hr="t"/>
        </w:pict>
      </w:r>
    </w:p>
    <w:bookmarkEnd w:id="22"/>
    <w:bookmarkEnd w:id="23"/>
    <w:bookmarkStart w:id="902" w:name="part-ii-saṃhitā-text-continued"/>
    <w:p>
      <w:pPr>
        <w:pStyle w:val="Heading1"/>
      </w:pPr>
      <w:r>
        <w:t xml:space="preserve">Part II — Saṃhitā Text, Continued</w:t>
      </w:r>
    </w:p>
    <w:bookmarkStart w:id="24" w:name="page-1"/>
    <w:p>
      <w:pPr>
        <w:pStyle w:val="Heading3"/>
      </w:pPr>
      <w:r>
        <w:t xml:space="preserve">Page 1</w:t>
      </w:r>
    </w:p>
    <w:p>
      <w:pPr>
        <w:pStyle w:val="FirstParagraph"/>
      </w:pPr>
      <w:r>
        <w:rPr>
          <w:bCs/>
          <w:b/>
        </w:rPr>
        <w:t xml:space="preserve">॥ Śrī Mahāgaṇādhipataye Namaḥ ॥</w:t>
      </w:r>
    </w:p>
    <w:p>
      <w:pPr>
        <w:pStyle w:val="BlockText"/>
      </w:pPr>
      <w:r>
        <w:t xml:space="preserve">वागीशाद्याः सुमनसः सर्वार्थानामुपक्रमे । यं नत्वा कृतकृत्याः स्युस्तं नमामि गजाननम् ॥</w:t>
      </w:r>
      <w:r>
        <w:t xml:space="preserve"> </w:t>
      </w:r>
      <w:r>
        <w:t xml:space="preserve">यस्य निःश्वसितं वेदा यो वेदेभ्योऽखिलं जगत् । निर्ममे तमहं वन्दे विद्यातीर्थमहेश्वरम् ॥</w:t>
      </w:r>
      <w:r>
        <w:t xml:space="preserve"> </w:t>
      </w:r>
      <w:r>
        <w:t xml:space="preserve">वेदः शिवः शिवो वेदो वेदाध्याया सदाशिवः । तस्मात्सर्वप्रयत्नेन वेदमेव सदा जपेत् ॥</w:t>
      </w:r>
    </w:p>
    <w:p>
      <w:pPr>
        <w:pStyle w:val="BlockText"/>
      </w:pPr>
      <w:r>
        <w:rPr>
          <w:iCs/>
          <w:i/>
        </w:rPr>
        <w:t xml:space="preserve">(The same three invocatory verses that open Volume 1 — to Gaṇapati, Sarasvatī, and the Veda itself as the breath of the Supreme Lord.)</w:t>
      </w:r>
    </w:p>
    <w:p>
      <w:pPr>
        <w:pStyle w:val="FirstParagraph"/>
      </w:pPr>
      <w:r>
        <w:rPr>
          <w:bCs/>
          <w:b/>
        </w:rPr>
        <w:t xml:space="preserve">॥ Sāyaṇa-bhāṣya-sahitā Ṛgveda Saṃhitā — Bhāga 2 ॥</w:t>
      </w:r>
    </w:p>
    <w:p>
      <w:pPr>
        <w:pStyle w:val="BodyText"/>
      </w:pPr>
      <w:r>
        <w:rPr>
          <w:bCs/>
          <w:b/>
        </w:rPr>
        <w:t xml:space="preserve">Having begun to set down the first of the four Vedas — the Rigveda, which takes the very form of the Supreme Lord’s own breath — together with Sayana’s commentary, Kannada translation and explanation, and much other useful material, we explained at length, in the first part, the Rigveda’s Purva-pithika (preliminary introduction), Sayana’s Bhashya-Bhumika, and, within the Samhita-portion’s first Mandala, the meaning-translation of the first two suktas,</w:t>
      </w:r>
      <w:r>
        <w:rPr>
          <w:bCs/>
          <w:b/>
        </w:rPr>
        <w:t xml:space="preserve"> </w:t>
      </w:r>
      <w:r>
        <w:rPr>
          <w:bCs/>
          <w:b/>
        </w:rPr>
        <w:t xml:space="preserve">“</w:t>
      </w:r>
      <w:r>
        <w:rPr>
          <w:bCs/>
          <w:b/>
        </w:rPr>
        <w:t xml:space="preserve">Agnim īḷe purohitam</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Vāyav ā yāhi darśata.</w:t>
      </w:r>
      <w:r>
        <w:rPr>
          <w:bCs/>
          <w:b/>
        </w:rPr>
        <w:t xml:space="preserve">”</w:t>
      </w:r>
      <w:r>
        <w:rPr>
          <w:bCs/>
          <w:b/>
        </w:rPr>
        <w:t xml:space="preserve"> </w:t>
      </w:r>
      <w:r>
        <w:rPr>
          <w:bCs/>
          <w:b/>
        </w:rPr>
        <w:t xml:space="preserve">We now begin, in this second part, the meaning-translation of the third sukta,</w:t>
      </w:r>
      <w:r>
        <w:rPr>
          <w:bCs/>
          <w:b/>
        </w:rPr>
        <w:t xml:space="preserve"> </w:t>
      </w:r>
      <w:r>
        <w:rPr>
          <w:bCs/>
          <w:b/>
        </w:rPr>
        <w:t xml:space="preserve">“</w:t>
      </w:r>
      <w:r>
        <w:rPr>
          <w:bCs/>
          <w:b/>
        </w:rPr>
        <w:t xml:space="preserve">Aśvinā yajvarīr iṣaḥ.</w:t>
      </w:r>
      <w:r>
        <w:rPr>
          <w:bCs/>
          <w:b/>
        </w:rPr>
        <w:t xml:space="preserve">”</w:t>
      </w:r>
    </w:p>
    <w:p>
      <w:pPr>
        <w:pStyle w:val="BodyText"/>
      </w:pPr>
      <w:r>
        <w:rPr>
          <w:bCs/>
          <w:b/>
        </w:rPr>
        <w:t xml:space="preserve">The Rigveda Samhita contains 1,028 suktas in total, composed by many rishis who served as their seers.</w:t>
      </w:r>
      <w:r>
        <w:t xml:space="preserve"> </w:t>
      </w:r>
      <w:r>
        <w:t xml:space="preserve">This Samhita, comprising these 1,028 suktas, is divided into ten Mandalas; each Mandala is further divided into several Anuvakas; each Anuvaka…</w:t>
      </w:r>
    </w:p>
    <w:bookmarkEnd w:id="24"/>
    <w:bookmarkStart w:id="25" w:name="page-2-maṇḍala-1-adhyāya-1-sūkta-3"/>
    <w:p>
      <w:pPr>
        <w:pStyle w:val="Heading3"/>
      </w:pPr>
      <w:r>
        <w:t xml:space="preserve">Page 2 — [Maṇḍala 1, Adhyāya 1, Sūkta 3]</w:t>
      </w:r>
    </w:p>
    <w:p>
      <w:pPr>
        <w:pStyle w:val="FirstParagraph"/>
      </w:pPr>
      <w:r>
        <w:rPr>
          <w:bCs/>
          <w:b/>
        </w:rPr>
        <w:t xml:space="preserve">…[Mandalas] are divided into suktas. The first Mandala has 191 suktas, divided into 24 Anuvakas.</w:t>
      </w:r>
      <w:r>
        <w:t xml:space="preserve"> </w:t>
      </w:r>
      <w:r>
        <w:t xml:space="preserve">Their arrangement is given in the following table, listing each Anuvaka’s sukta-range, sukta-count, and cumulative count of mantras: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Anuvāka</w:t>
            </w:r>
          </w:p>
        </w:tc>
        <w:tc>
          <w:tcPr/>
          <w:p>
            <w:pPr>
              <w:pStyle w:val="Compact"/>
              <w:jc w:val="left"/>
            </w:pPr>
            <w:r>
              <w:t xml:space="preserve">Sūkta range</w:t>
            </w:r>
          </w:p>
        </w:tc>
        <w:tc>
          <w:tcPr/>
          <w:p>
            <w:pPr>
              <w:pStyle w:val="Compact"/>
              <w:jc w:val="left"/>
            </w:pPr>
            <w:r>
              <w:t xml:space="preserve">Number of sūktas</w:t>
            </w:r>
          </w:p>
        </w:tc>
        <w:tc>
          <w:tcPr/>
          <w:p>
            <w:pPr>
              <w:pStyle w:val="Compact"/>
              <w:jc w:val="left"/>
            </w:pPr>
            <w:r>
              <w:t xml:space="preserve">Number of ṛks</w:t>
            </w:r>
          </w:p>
        </w:tc>
      </w:tr>
      <w:tr>
        <w:tc>
          <w:tcPr/>
          <w:p>
            <w:pPr>
              <w:pStyle w:val="Compact"/>
              <w:jc w:val="left"/>
            </w:pPr>
            <w:r>
              <w:t xml:space="preserve">1</w:t>
            </w:r>
          </w:p>
        </w:tc>
        <w:tc>
          <w:tcPr/>
          <w:p>
            <w:pPr>
              <w:pStyle w:val="Compact"/>
              <w:jc w:val="left"/>
            </w:pPr>
            <w:r>
              <w:t xml:space="preserve">1–3</w:t>
            </w:r>
          </w:p>
        </w:tc>
        <w:tc>
          <w:tcPr/>
          <w:p>
            <w:pPr>
              <w:pStyle w:val="Compact"/>
              <w:jc w:val="left"/>
            </w:pPr>
            <w:r>
              <w:t xml:space="preserve">3</w:t>
            </w:r>
          </w:p>
        </w:tc>
        <w:tc>
          <w:tcPr/>
          <w:p>
            <w:pPr>
              <w:pStyle w:val="Compact"/>
              <w:jc w:val="left"/>
            </w:pPr>
            <w:r>
              <w:t xml:space="preserve">30</w:t>
            </w:r>
          </w:p>
        </w:tc>
      </w:tr>
      <w:tr>
        <w:tc>
          <w:tcPr/>
          <w:p>
            <w:pPr>
              <w:pStyle w:val="Compact"/>
              <w:jc w:val="left"/>
            </w:pPr>
            <w:r>
              <w:t xml:space="preserve">2</w:t>
            </w:r>
          </w:p>
        </w:tc>
        <w:tc>
          <w:tcPr/>
          <w:p>
            <w:pPr>
              <w:pStyle w:val="Compact"/>
              <w:jc w:val="left"/>
            </w:pPr>
            <w:r>
              <w:t xml:space="preserve">4–7</w:t>
            </w:r>
          </w:p>
        </w:tc>
        <w:tc>
          <w:tcPr/>
          <w:p>
            <w:pPr>
              <w:pStyle w:val="Compact"/>
              <w:jc w:val="left"/>
            </w:pPr>
            <w:r>
              <w:t xml:space="preserve">4</w:t>
            </w:r>
          </w:p>
        </w:tc>
        <w:tc>
          <w:tcPr/>
          <w:p>
            <w:pPr>
              <w:pStyle w:val="Compact"/>
              <w:jc w:val="left"/>
            </w:pPr>
            <w:r>
              <w:t xml:space="preserve">40</w:t>
            </w:r>
          </w:p>
        </w:tc>
      </w:tr>
      <w:tr>
        <w:tc>
          <w:tcPr/>
          <w:p>
            <w:pPr>
              <w:pStyle w:val="Compact"/>
              <w:jc w:val="left"/>
            </w:pPr>
            <w:r>
              <w:t xml:space="preserve">3</w:t>
            </w:r>
          </w:p>
        </w:tc>
        <w:tc>
          <w:tcPr/>
          <w:p>
            <w:pPr>
              <w:pStyle w:val="Compact"/>
              <w:jc w:val="left"/>
            </w:pPr>
            <w:r>
              <w:t xml:space="preserve">8–11</w:t>
            </w:r>
          </w:p>
        </w:tc>
        <w:tc>
          <w:tcPr/>
          <w:p>
            <w:pPr>
              <w:pStyle w:val="Compact"/>
              <w:jc w:val="left"/>
            </w:pPr>
            <w:r>
              <w:t xml:space="preserve">4</w:t>
            </w:r>
          </w:p>
        </w:tc>
        <w:tc>
          <w:tcPr/>
          <w:p>
            <w:pPr>
              <w:pStyle w:val="Compact"/>
              <w:jc w:val="left"/>
            </w:pPr>
            <w:r>
              <w:t xml:space="preserve">40</w:t>
            </w:r>
          </w:p>
        </w:tc>
      </w:tr>
      <w:tr>
        <w:tc>
          <w:tcPr/>
          <w:p>
            <w:pPr>
              <w:pStyle w:val="Compact"/>
              <w:jc w:val="left"/>
            </w:pPr>
            <w:r>
              <w:t xml:space="preserve">4</w:t>
            </w:r>
          </w:p>
        </w:tc>
        <w:tc>
          <w:tcPr/>
          <w:p>
            <w:pPr>
              <w:pStyle w:val="Compact"/>
              <w:jc w:val="left"/>
            </w:pPr>
            <w:r>
              <w:t xml:space="preserve">12–17</w:t>
            </w:r>
          </w:p>
        </w:tc>
        <w:tc>
          <w:tcPr/>
          <w:p>
            <w:pPr>
              <w:pStyle w:val="Compact"/>
              <w:jc w:val="left"/>
            </w:pPr>
            <w:r>
              <w:t xml:space="preserve">6</w:t>
            </w:r>
          </w:p>
        </w:tc>
        <w:tc>
          <w:tcPr/>
          <w:p>
            <w:pPr>
              <w:pStyle w:val="Compact"/>
              <w:jc w:val="left"/>
            </w:pPr>
            <w:r>
              <w:t xml:space="preserve">66</w:t>
            </w:r>
          </w:p>
        </w:tc>
      </w:tr>
      <w:tr>
        <w:tc>
          <w:tcPr/>
          <w:p>
            <w:pPr>
              <w:pStyle w:val="Compact"/>
              <w:jc w:val="left"/>
            </w:pPr>
            <w:r>
              <w:t xml:space="preserve">5</w:t>
            </w:r>
          </w:p>
        </w:tc>
        <w:tc>
          <w:tcPr/>
          <w:p>
            <w:pPr>
              <w:pStyle w:val="Compact"/>
              <w:jc w:val="left"/>
            </w:pPr>
            <w:r>
              <w:t xml:space="preserve">18–23</w:t>
            </w:r>
          </w:p>
        </w:tc>
        <w:tc>
          <w:tcPr/>
          <w:p>
            <w:pPr>
              <w:pStyle w:val="Compact"/>
              <w:jc w:val="left"/>
            </w:pPr>
            <w:r>
              <w:t xml:space="preserve">6</w:t>
            </w:r>
          </w:p>
        </w:tc>
        <w:tc>
          <w:tcPr/>
          <w:p>
            <w:pPr>
              <w:pStyle w:val="Compact"/>
              <w:jc w:val="left"/>
            </w:pPr>
            <w:r>
              <w:t xml:space="preserve">77</w:t>
            </w:r>
          </w:p>
        </w:tc>
      </w:tr>
      <w:tr>
        <w:tc>
          <w:tcPr/>
          <w:p>
            <w:pPr>
              <w:pStyle w:val="Compact"/>
              <w:jc w:val="left"/>
            </w:pPr>
            <w:r>
              <w:t xml:space="preserve">6</w:t>
            </w:r>
          </w:p>
        </w:tc>
        <w:tc>
          <w:tcPr/>
          <w:p>
            <w:pPr>
              <w:pStyle w:val="Compact"/>
              <w:jc w:val="left"/>
            </w:pPr>
            <w:r>
              <w:t xml:space="preserve">24–30</w:t>
            </w:r>
          </w:p>
        </w:tc>
        <w:tc>
          <w:tcPr/>
          <w:p>
            <w:pPr>
              <w:pStyle w:val="Compact"/>
              <w:jc w:val="left"/>
            </w:pPr>
            <w:r>
              <w:t xml:space="preserve">7</w:t>
            </w:r>
          </w:p>
        </w:tc>
        <w:tc>
          <w:tcPr/>
          <w:p>
            <w:pPr>
              <w:pStyle w:val="Compact"/>
              <w:jc w:val="left"/>
            </w:pPr>
            <w:r>
              <w:t xml:space="preserve">97</w:t>
            </w:r>
          </w:p>
        </w:tc>
      </w:tr>
      <w:tr>
        <w:tc>
          <w:tcPr/>
          <w:p>
            <w:pPr>
              <w:pStyle w:val="Compact"/>
              <w:jc w:val="left"/>
            </w:pPr>
            <w:r>
              <w:t xml:space="preserve">7</w:t>
            </w:r>
          </w:p>
        </w:tc>
        <w:tc>
          <w:tcPr/>
          <w:p>
            <w:pPr>
              <w:pStyle w:val="Compact"/>
              <w:jc w:val="left"/>
            </w:pPr>
            <w:r>
              <w:t xml:space="preserve">31–35</w:t>
            </w:r>
          </w:p>
        </w:tc>
        <w:tc>
          <w:tcPr/>
          <w:p>
            <w:pPr>
              <w:pStyle w:val="Compact"/>
              <w:jc w:val="left"/>
            </w:pPr>
            <w:r>
              <w:t xml:space="preserve">5</w:t>
            </w:r>
          </w:p>
        </w:tc>
        <w:tc>
          <w:tcPr/>
          <w:p>
            <w:pPr>
              <w:pStyle w:val="Compact"/>
              <w:jc w:val="left"/>
            </w:pPr>
            <w:r>
              <w:t xml:space="preserve">71</w:t>
            </w:r>
          </w:p>
        </w:tc>
      </w:tr>
      <w:tr>
        <w:tc>
          <w:tcPr/>
          <w:p>
            <w:pPr>
              <w:pStyle w:val="Compact"/>
              <w:jc w:val="left"/>
            </w:pPr>
            <w:r>
              <w:t xml:space="preserve">8</w:t>
            </w:r>
          </w:p>
        </w:tc>
        <w:tc>
          <w:tcPr/>
          <w:p>
            <w:pPr>
              <w:pStyle w:val="Compact"/>
              <w:jc w:val="left"/>
            </w:pPr>
            <w:r>
              <w:t xml:space="preserve">36–43</w:t>
            </w:r>
          </w:p>
        </w:tc>
        <w:tc>
          <w:tcPr/>
          <w:p>
            <w:pPr>
              <w:pStyle w:val="Compact"/>
              <w:jc w:val="left"/>
            </w:pPr>
            <w:r>
              <w:t xml:space="preserve">8</w:t>
            </w:r>
          </w:p>
        </w:tc>
        <w:tc>
          <w:tcPr/>
          <w:p>
            <w:pPr>
              <w:pStyle w:val="Compact"/>
              <w:jc w:val="left"/>
            </w:pPr>
            <w:r>
              <w:t xml:space="preserve">96</w:t>
            </w:r>
          </w:p>
        </w:tc>
      </w:tr>
      <w:tr>
        <w:tc>
          <w:tcPr/>
          <w:p>
            <w:pPr>
              <w:pStyle w:val="Compact"/>
              <w:jc w:val="left"/>
            </w:pPr>
            <w:r>
              <w:t xml:space="preserve">9</w:t>
            </w:r>
          </w:p>
        </w:tc>
        <w:tc>
          <w:tcPr/>
          <w:p>
            <w:pPr>
              <w:pStyle w:val="Compact"/>
              <w:jc w:val="left"/>
            </w:pPr>
            <w:r>
              <w:t xml:space="preserve">44–50</w:t>
            </w:r>
          </w:p>
        </w:tc>
        <w:tc>
          <w:tcPr/>
          <w:p>
            <w:pPr>
              <w:pStyle w:val="Compact"/>
              <w:jc w:val="left"/>
            </w:pPr>
            <w:r>
              <w:t xml:space="preserve">7</w:t>
            </w:r>
          </w:p>
        </w:tc>
        <w:tc>
          <w:tcPr/>
          <w:p>
            <w:pPr>
              <w:pStyle w:val="Compact"/>
              <w:jc w:val="left"/>
            </w:pPr>
            <w:r>
              <w:t xml:space="preserve">82</w:t>
            </w:r>
          </w:p>
        </w:tc>
      </w:tr>
      <w:tr>
        <w:tc>
          <w:tcPr/>
          <w:p>
            <w:pPr>
              <w:pStyle w:val="Compact"/>
              <w:jc w:val="left"/>
            </w:pPr>
            <w:r>
              <w:t xml:space="preserve">10</w:t>
            </w:r>
          </w:p>
        </w:tc>
        <w:tc>
          <w:tcPr/>
          <w:p>
            <w:pPr>
              <w:pStyle w:val="Compact"/>
              <w:jc w:val="left"/>
            </w:pPr>
            <w:r>
              <w:t xml:space="preserve">51–57</w:t>
            </w:r>
          </w:p>
        </w:tc>
        <w:tc>
          <w:tcPr/>
          <w:p>
            <w:pPr>
              <w:pStyle w:val="Compact"/>
              <w:jc w:val="left"/>
            </w:pPr>
            <w:r>
              <w:t xml:space="preserve">7</w:t>
            </w:r>
          </w:p>
        </w:tc>
        <w:tc>
          <w:tcPr/>
          <w:p>
            <w:pPr>
              <w:pStyle w:val="Compact"/>
              <w:jc w:val="left"/>
            </w:pPr>
            <w:r>
              <w:t xml:space="preserve">72</w:t>
            </w:r>
          </w:p>
        </w:tc>
      </w:tr>
      <w:tr>
        <w:tc>
          <w:tcPr/>
          <w:p>
            <w:pPr>
              <w:pStyle w:val="Compact"/>
              <w:jc w:val="left"/>
            </w:pPr>
            <w:r>
              <w:t xml:space="preserve">11</w:t>
            </w:r>
          </w:p>
        </w:tc>
        <w:tc>
          <w:tcPr/>
          <w:p>
            <w:pPr>
              <w:pStyle w:val="Compact"/>
              <w:jc w:val="left"/>
            </w:pPr>
            <w:r>
              <w:t xml:space="preserve">58–64</w:t>
            </w:r>
          </w:p>
        </w:tc>
        <w:tc>
          <w:tcPr/>
          <w:p>
            <w:pPr>
              <w:pStyle w:val="Compact"/>
              <w:jc w:val="left"/>
            </w:pPr>
            <w:r>
              <w:t xml:space="preserve">7</w:t>
            </w:r>
          </w:p>
        </w:tc>
        <w:tc>
          <w:tcPr/>
          <w:p>
            <w:pPr>
              <w:pStyle w:val="Compact"/>
              <w:jc w:val="left"/>
            </w:pPr>
            <w:r>
              <w:t xml:space="preserve">74</w:t>
            </w:r>
          </w:p>
        </w:tc>
      </w:tr>
      <w:tr>
        <w:tc>
          <w:tcPr/>
          <w:p>
            <w:pPr>
              <w:pStyle w:val="Compact"/>
              <w:jc w:val="left"/>
            </w:pPr>
            <w:r>
              <w:t xml:space="preserve">12</w:t>
            </w:r>
          </w:p>
        </w:tc>
        <w:tc>
          <w:tcPr/>
          <w:p>
            <w:pPr>
              <w:pStyle w:val="Compact"/>
              <w:jc w:val="left"/>
            </w:pPr>
            <w:r>
              <w:t xml:space="preserve">65–73</w:t>
            </w:r>
          </w:p>
        </w:tc>
        <w:tc>
          <w:tcPr/>
          <w:p>
            <w:pPr>
              <w:pStyle w:val="Compact"/>
              <w:jc w:val="left"/>
            </w:pPr>
            <w:r>
              <w:t xml:space="preserve">9</w:t>
            </w:r>
          </w:p>
        </w:tc>
        <w:tc>
          <w:tcPr/>
          <w:p>
            <w:pPr>
              <w:pStyle w:val="Compact"/>
              <w:jc w:val="left"/>
            </w:pPr>
            <w:r>
              <w:t xml:space="preserve">91</w:t>
            </w:r>
          </w:p>
        </w:tc>
      </w:tr>
      <w:tr>
        <w:tc>
          <w:tcPr/>
          <w:p>
            <w:pPr>
              <w:pStyle w:val="Compact"/>
              <w:jc w:val="left"/>
            </w:pPr>
            <w:r>
              <w:t xml:space="preserve">13</w:t>
            </w:r>
          </w:p>
        </w:tc>
        <w:tc>
          <w:tcPr/>
          <w:p>
            <w:pPr>
              <w:pStyle w:val="Compact"/>
              <w:jc w:val="left"/>
            </w:pPr>
            <w:r>
              <w:t xml:space="preserve">74–84</w:t>
            </w:r>
          </w:p>
        </w:tc>
        <w:tc>
          <w:tcPr/>
          <w:p>
            <w:pPr>
              <w:pStyle w:val="Compact"/>
              <w:jc w:val="left"/>
            </w:pPr>
            <w:r>
              <w:t xml:space="preserve">11</w:t>
            </w:r>
          </w:p>
        </w:tc>
        <w:tc>
          <w:tcPr/>
          <w:p>
            <w:pPr>
              <w:pStyle w:val="Compact"/>
              <w:jc w:val="left"/>
            </w:pPr>
            <w:r>
              <w:t xml:space="preserve">98</w:t>
            </w:r>
          </w:p>
        </w:tc>
      </w:tr>
      <w:tr>
        <w:tc>
          <w:tcPr/>
          <w:p>
            <w:pPr>
              <w:pStyle w:val="Compact"/>
              <w:jc w:val="left"/>
            </w:pPr>
            <w:r>
              <w:t xml:space="preserve">14</w:t>
            </w:r>
          </w:p>
        </w:tc>
        <w:tc>
          <w:tcPr/>
          <w:p>
            <w:pPr>
              <w:pStyle w:val="Compact"/>
              <w:jc w:val="left"/>
            </w:pPr>
            <w:r>
              <w:t xml:space="preserve">85–93</w:t>
            </w:r>
          </w:p>
        </w:tc>
        <w:tc>
          <w:tcPr/>
          <w:p>
            <w:pPr>
              <w:pStyle w:val="Compact"/>
              <w:jc w:val="left"/>
            </w:pPr>
            <w:r>
              <w:t xml:space="preserve">9</w:t>
            </w:r>
          </w:p>
        </w:tc>
        <w:tc>
          <w:tcPr/>
          <w:p>
            <w:pPr>
              <w:pStyle w:val="Compact"/>
              <w:jc w:val="left"/>
            </w:pPr>
            <w:r>
              <w:t xml:space="preserve">106</w:t>
            </w:r>
          </w:p>
        </w:tc>
      </w:tr>
      <w:tr>
        <w:tc>
          <w:tcPr/>
          <w:p>
            <w:pPr>
              <w:pStyle w:val="Compact"/>
              <w:jc w:val="left"/>
            </w:pPr>
            <w:r>
              <w:t xml:space="preserve">15</w:t>
            </w:r>
          </w:p>
        </w:tc>
        <w:tc>
          <w:tcPr/>
          <w:p>
            <w:pPr>
              <w:pStyle w:val="Compact"/>
              <w:jc w:val="left"/>
            </w:pPr>
            <w:r>
              <w:t xml:space="preserve">94–105</w:t>
            </w:r>
          </w:p>
        </w:tc>
        <w:tc>
          <w:tcPr/>
          <w:p>
            <w:pPr>
              <w:pStyle w:val="Compact"/>
              <w:jc w:val="left"/>
            </w:pPr>
            <w:r>
              <w:t xml:space="preserve">12</w:t>
            </w:r>
          </w:p>
        </w:tc>
        <w:tc>
          <w:tcPr/>
          <w:p>
            <w:pPr>
              <w:pStyle w:val="Compact"/>
              <w:jc w:val="left"/>
            </w:pPr>
            <w:r>
              <w:t xml:space="preserve">125</w:t>
            </w:r>
          </w:p>
        </w:tc>
      </w:tr>
      <w:tr>
        <w:tc>
          <w:tcPr/>
          <w:p>
            <w:pPr>
              <w:pStyle w:val="Compact"/>
              <w:jc w:val="left"/>
            </w:pPr>
            <w:r>
              <w:t xml:space="preserve">16</w:t>
            </w:r>
          </w:p>
        </w:tc>
        <w:tc>
          <w:tcPr/>
          <w:p>
            <w:pPr>
              <w:pStyle w:val="Compact"/>
              <w:jc w:val="left"/>
            </w:pPr>
            <w:r>
              <w:t xml:space="preserve">106–115</w:t>
            </w:r>
          </w:p>
        </w:tc>
        <w:tc>
          <w:tcPr/>
          <w:p>
            <w:pPr>
              <w:pStyle w:val="Compact"/>
              <w:jc w:val="left"/>
            </w:pPr>
            <w:r>
              <w:t xml:space="preserve">10</w:t>
            </w:r>
          </w:p>
        </w:tc>
        <w:tc>
          <w:tcPr/>
          <w:p>
            <w:pPr>
              <w:pStyle w:val="Compact"/>
              <w:jc w:val="left"/>
            </w:pPr>
            <w:r>
              <w:t xml:space="preserve">107</w:t>
            </w:r>
          </w:p>
        </w:tc>
      </w:tr>
      <w:tr>
        <w:tc>
          <w:tcPr/>
          <w:p>
            <w:pPr>
              <w:pStyle w:val="Compact"/>
              <w:jc w:val="left"/>
            </w:pPr>
            <w:r>
              <w:t xml:space="preserve">17</w:t>
            </w:r>
          </w:p>
        </w:tc>
        <w:tc>
          <w:tcPr/>
          <w:p>
            <w:pPr>
              <w:pStyle w:val="Compact"/>
              <w:jc w:val="left"/>
            </w:pPr>
            <w:r>
              <w:t xml:space="preserve">116–120</w:t>
            </w:r>
          </w:p>
        </w:tc>
        <w:tc>
          <w:tcPr/>
          <w:p>
            <w:pPr>
              <w:pStyle w:val="Compact"/>
              <w:jc w:val="left"/>
            </w:pPr>
            <w:r>
              <w:t xml:space="preserve">5</w:t>
            </w:r>
          </w:p>
        </w:tc>
        <w:tc>
          <w:tcPr/>
          <w:p>
            <w:pPr>
              <w:pStyle w:val="Compact"/>
              <w:jc w:val="left"/>
            </w:pPr>
            <w:r>
              <w:t xml:space="preserve">83</w:t>
            </w:r>
          </w:p>
        </w:tc>
      </w:tr>
      <w:tr>
        <w:tc>
          <w:tcPr/>
          <w:p>
            <w:pPr>
              <w:pStyle w:val="Compact"/>
              <w:jc w:val="left"/>
            </w:pPr>
            <w:r>
              <w:t xml:space="preserve">18</w:t>
            </w:r>
          </w:p>
        </w:tc>
        <w:tc>
          <w:tcPr/>
          <w:p>
            <w:pPr>
              <w:pStyle w:val="Compact"/>
              <w:jc w:val="left"/>
            </w:pPr>
            <w:r>
              <w:t xml:space="preserve">121–126</w:t>
            </w:r>
          </w:p>
        </w:tc>
        <w:tc>
          <w:tcPr/>
          <w:p>
            <w:pPr>
              <w:pStyle w:val="Compact"/>
              <w:jc w:val="left"/>
            </w:pPr>
            <w:r>
              <w:t xml:space="preserve">6</w:t>
            </w:r>
          </w:p>
        </w:tc>
        <w:tc>
          <w:tcPr/>
          <w:p>
            <w:pPr>
              <w:pStyle w:val="Compact"/>
              <w:jc w:val="left"/>
            </w:pPr>
            <w:r>
              <w:t xml:space="preserve">70</w:t>
            </w:r>
          </w:p>
        </w:tc>
      </w:tr>
      <w:tr>
        <w:tc>
          <w:tcPr/>
          <w:p>
            <w:pPr>
              <w:pStyle w:val="Compact"/>
              <w:jc w:val="left"/>
            </w:pPr>
            <w:r>
              <w:t xml:space="preserve">19</w:t>
            </w:r>
          </w:p>
        </w:tc>
        <w:tc>
          <w:tcPr/>
          <w:p>
            <w:pPr>
              <w:pStyle w:val="Compact"/>
              <w:jc w:val="left"/>
            </w:pPr>
            <w:r>
              <w:t xml:space="preserve">127–133</w:t>
            </w:r>
          </w:p>
        </w:tc>
        <w:tc>
          <w:tcPr/>
          <w:p>
            <w:pPr>
              <w:pStyle w:val="Compact"/>
              <w:jc w:val="left"/>
            </w:pPr>
            <w:r>
              <w:t xml:space="preserve">7</w:t>
            </w:r>
          </w:p>
        </w:tc>
        <w:tc>
          <w:tcPr/>
          <w:p>
            <w:pPr>
              <w:pStyle w:val="Compact"/>
              <w:jc w:val="left"/>
            </w:pPr>
            <w:r>
              <w:t xml:space="preserve">60</w:t>
            </w:r>
          </w:p>
        </w:tc>
      </w:tr>
      <w:tr>
        <w:tc>
          <w:tcPr/>
          <w:p>
            <w:pPr>
              <w:pStyle w:val="Compact"/>
              <w:jc w:val="left"/>
            </w:pPr>
            <w:r>
              <w:t xml:space="preserve">20</w:t>
            </w:r>
          </w:p>
        </w:tc>
        <w:tc>
          <w:tcPr/>
          <w:p>
            <w:pPr>
              <w:pStyle w:val="Compact"/>
              <w:jc w:val="left"/>
            </w:pPr>
            <w:r>
              <w:t xml:space="preserve">134–139</w:t>
            </w:r>
          </w:p>
        </w:tc>
        <w:tc>
          <w:tcPr/>
          <w:p>
            <w:pPr>
              <w:pStyle w:val="Compact"/>
              <w:jc w:val="left"/>
            </w:pPr>
            <w:r>
              <w:t xml:space="preserve">6</w:t>
            </w:r>
          </w:p>
        </w:tc>
        <w:tc>
          <w:tcPr/>
          <w:p>
            <w:pPr>
              <w:pStyle w:val="Compact"/>
              <w:jc w:val="left"/>
            </w:pPr>
            <w:r>
              <w:t xml:space="preserve">40</w:t>
            </w:r>
          </w:p>
        </w:tc>
      </w:tr>
      <w:tr>
        <w:tc>
          <w:tcPr/>
          <w:p>
            <w:pPr>
              <w:pStyle w:val="Compact"/>
              <w:jc w:val="left"/>
            </w:pPr>
            <w:r>
              <w:t xml:space="preserve">21</w:t>
            </w:r>
          </w:p>
        </w:tc>
        <w:tc>
          <w:tcPr/>
          <w:p>
            <w:pPr>
              <w:pStyle w:val="Compact"/>
              <w:jc w:val="left"/>
            </w:pPr>
            <w:r>
              <w:t xml:space="preserve">140–156</w:t>
            </w:r>
          </w:p>
        </w:tc>
        <w:tc>
          <w:tcPr/>
          <w:p>
            <w:pPr>
              <w:pStyle w:val="Compact"/>
              <w:jc w:val="left"/>
            </w:pPr>
            <w:r>
              <w:t xml:space="preserve">17</w:t>
            </w:r>
          </w:p>
        </w:tc>
        <w:tc>
          <w:tcPr/>
          <w:p>
            <w:pPr>
              <w:pStyle w:val="Compact"/>
              <w:jc w:val="left"/>
            </w:pPr>
            <w:r>
              <w:t xml:space="preserve">119</w:t>
            </w:r>
          </w:p>
        </w:tc>
      </w:tr>
      <w:tr>
        <w:tc>
          <w:tcPr/>
          <w:p>
            <w:pPr>
              <w:pStyle w:val="Compact"/>
              <w:jc w:val="left"/>
            </w:pPr>
            <w:r>
              <w:t xml:space="preserve">22</w:t>
            </w:r>
          </w:p>
        </w:tc>
        <w:tc>
          <w:tcPr/>
          <w:p>
            <w:pPr>
              <w:pStyle w:val="Compact"/>
              <w:jc w:val="left"/>
            </w:pPr>
            <w:r>
              <w:t xml:space="preserve">157–164</w:t>
            </w:r>
          </w:p>
        </w:tc>
        <w:tc>
          <w:tcPr/>
          <w:p>
            <w:pPr>
              <w:pStyle w:val="Compact"/>
              <w:jc w:val="left"/>
            </w:pPr>
            <w:r>
              <w:t xml:space="preserve">8</w:t>
            </w:r>
          </w:p>
        </w:tc>
        <w:tc>
          <w:tcPr/>
          <w:p>
            <w:pPr>
              <w:pStyle w:val="Compact"/>
              <w:jc w:val="left"/>
            </w:pPr>
            <w:r>
              <w:t xml:space="preserve">123</w:t>
            </w:r>
          </w:p>
        </w:tc>
      </w:tr>
      <w:tr>
        <w:tc>
          <w:tcPr/>
          <w:p>
            <w:pPr>
              <w:pStyle w:val="Compact"/>
              <w:jc w:val="left"/>
            </w:pPr>
            <w:r>
              <w:t xml:space="preserve">23</w:t>
            </w:r>
          </w:p>
        </w:tc>
        <w:tc>
          <w:tcPr/>
          <w:p>
            <w:pPr>
              <w:pStyle w:val="Compact"/>
              <w:jc w:val="left"/>
            </w:pPr>
            <w:r>
              <w:t xml:space="preserve">165–179</w:t>
            </w:r>
          </w:p>
        </w:tc>
        <w:tc>
          <w:tcPr/>
          <w:p>
            <w:pPr>
              <w:pStyle w:val="Compact"/>
              <w:jc w:val="left"/>
            </w:pPr>
            <w:r>
              <w:t xml:space="preserve">15</w:t>
            </w:r>
          </w:p>
        </w:tc>
        <w:tc>
          <w:tcPr/>
          <w:p>
            <w:pPr>
              <w:pStyle w:val="Compact"/>
              <w:jc w:val="left"/>
            </w:pPr>
            <w:r>
              <w:t xml:space="preserve">124</w:t>
            </w:r>
          </w:p>
        </w:tc>
      </w:tr>
      <w:tr>
        <w:tc>
          <w:tcPr/>
          <w:p>
            <w:pPr>
              <w:pStyle w:val="Compact"/>
              <w:jc w:val="left"/>
            </w:pPr>
            <w:r>
              <w:t xml:space="preserve">24</w:t>
            </w:r>
          </w:p>
        </w:tc>
        <w:tc>
          <w:tcPr/>
          <w:p>
            <w:pPr>
              <w:pStyle w:val="Compact"/>
              <w:jc w:val="left"/>
            </w:pPr>
            <w:r>
              <w:t xml:space="preserve">180–191</w:t>
            </w:r>
          </w:p>
        </w:tc>
        <w:tc>
          <w:tcPr/>
          <w:p>
            <w:pPr>
              <w:pStyle w:val="Compact"/>
              <w:jc w:val="left"/>
            </w:pPr>
            <w:r>
              <w:t xml:space="preserve">12</w:t>
            </w:r>
          </w:p>
        </w:tc>
        <w:tc>
          <w:tcPr/>
          <w:p>
            <w:pPr>
              <w:pStyle w:val="Compact"/>
              <w:jc w:val="left"/>
            </w:pPr>
            <w:r>
              <w:t xml:space="preserve">115</w:t>
            </w:r>
          </w:p>
        </w:tc>
      </w:tr>
      <w:tr>
        <w:tc>
          <w:tcPr/>
          <w:p>
            <w:pPr>
              <w:pStyle w:val="Compact"/>
              <w:jc w:val="left"/>
            </w:pPr>
            <w:r>
              <w:rPr>
                <w:bCs/>
                <w:b/>
              </w:rPr>
              <w:t xml:space="preserve">Total</w:t>
            </w:r>
          </w:p>
        </w:tc>
        <w:tc>
          <w:tcPr/>
          <w:p>
            <w:pPr>
              <w:pStyle w:val="Compact"/>
              <w:jc w:val="left"/>
            </w:pPr>
            <w:r>
              <w:rPr>
                <w:bCs/>
                <w:b/>
              </w:rPr>
              <w:t xml:space="preserve">1–191</w:t>
            </w:r>
          </w:p>
        </w:tc>
        <w:tc>
          <w:tcPr/>
          <w:p>
            <w:pPr>
              <w:pStyle w:val="Compact"/>
              <w:jc w:val="left"/>
            </w:pPr>
            <w:r>
              <w:rPr>
                <w:bCs/>
                <w:b/>
              </w:rPr>
              <w:t xml:space="preserve">191</w:t>
            </w:r>
          </w:p>
        </w:tc>
        <w:tc>
          <w:tcPr/>
          <w:p>
            <w:pPr>
              <w:pStyle w:val="Compact"/>
              <w:jc w:val="left"/>
            </w:pPr>
            <w:r>
              <w:rPr>
                <w:bCs/>
                <w:b/>
              </w:rPr>
              <w:t xml:space="preserve">2006</w:t>
            </w:r>
          </w:p>
        </w:tc>
      </w:tr>
    </w:tbl>
    <w:p>
      <w:pPr>
        <w:pStyle w:val="BodyText"/>
      </w:pPr>
      <w:r>
        <w:rPr>
          <w:iCs/>
          <w:i/>
        </w:rPr>
        <w:t xml:space="preserve">(Table of the 24 Anuvākas of Maṇḍala 1, as printed on p. 2 in four columns: Anuvāka number, range of sūktas, number of sūktas, number of ṛks. Rows 1–10 were read and translated by the author and each agrees with the standard sūkta-wise ṛk counts of the first Maṇḍala. Rows 11–20 were read from the second scan and agree both with the glyphs and with those counts. Rows 21–24 were read from the better scan (Oct 2026 numeral pass); with them the columns add up to the printed totals, 191 sūktas and 2006 ṛks. The earlier first-row reading in this file (</w:t>
      </w:r>
      <w:r>
        <w:rPr>
          <w:iCs/>
          <w:i/>
        </w:rPr>
        <w:t xml:space="preserve">“</w:t>
      </w:r>
      <w:r>
        <w:rPr>
          <w:iCs/>
          <w:i/>
        </w:rPr>
        <w:t xml:space="preserve">1–9, 70</w:t>
      </w:r>
      <w:r>
        <w:rPr>
          <w:iCs/>
          <w:i/>
        </w:rPr>
        <w:t xml:space="preserve">”</w:t>
      </w:r>
      <w:r>
        <w:rPr>
          <w:iCs/>
          <w:i/>
        </w:rPr>
        <w:t xml:space="preserve">) was wrong; the print gives 1–3, 3 sūktas, 30 ṛks.)</w:t>
      </w:r>
    </w:p>
    <w:p>
      <w:pPr>
        <w:pStyle w:val="BodyText"/>
      </w:pPr>
      <w:r>
        <w:rPr>
          <w:bCs/>
          <w:b/>
        </w:rPr>
        <w:t xml:space="preserve">These suktas do not all treat of a single deity.</w:t>
      </w:r>
      <w:r>
        <w:t xml:space="preserve"> </w:t>
      </w:r>
      <w:r>
        <w:t xml:space="preserve">They contain hymns addressed to many deities — Agni, Indra, Vayu, and others. The rishis (the mantra-seers, those who</w:t>
      </w:r>
      <w:r>
        <w:t xml:space="preserve"> </w:t>
      </w:r>
      <w:r>
        <w:t xml:space="preserve">“</w:t>
      </w:r>
      <w:r>
        <w:t xml:space="preserve">saw</w:t>
      </w:r>
      <w:r>
        <w:t xml:space="preserve">”</w:t>
      </w:r>
      <w:r>
        <w:t xml:space="preserve"> </w:t>
      </w:r>
      <w:r>
        <w:t xml:space="preserve">or composed the mantras) are likewise numerous. Among them are Vishvamitra, Vasishtha, Vamadeva…</w:t>
      </w:r>
    </w:p>
    <w:bookmarkEnd w:id="25"/>
    <w:bookmarkStart w:id="26" w:name="page-3"/>
    <w:p>
      <w:pPr>
        <w:pStyle w:val="Heading3"/>
      </w:pPr>
      <w:r>
        <w:t xml:space="preserve">Page 3</w:t>
      </w:r>
    </w:p>
    <w:p>
      <w:pPr>
        <w:pStyle w:val="FirstParagraph"/>
      </w:pPr>
      <w:r>
        <w:rPr>
          <w:bCs/>
          <w:b/>
        </w:rPr>
        <w:t xml:space="preserve">…Gotama, Bharadvaja and other members of the seven great rishi-lineages, their descendants, and the many further rishis belonging to their disciple-lines.</w:t>
      </w:r>
      <w:r>
        <w:t xml:space="preserve"> </w:t>
      </w:r>
      <w:r>
        <w:t xml:space="preserve">The names of the Rigveda’s rishis, together with the suktas and mantra-counts each composed, have already been given in Volume 1 (pages 191–205). Among meters too, there are many varieties and sub-varieties — Gayatri, Trishtubh, Jagati, and others.</w:t>
      </w:r>
      <w:r>
        <w:t xml:space="preserve"> </w:t>
      </w:r>
      <w:r>
        <w:rPr>
          <w:bCs/>
          <w:b/>
        </w:rPr>
        <w:t xml:space="preserve">The Rigveda’s 1,028 suktas, composed in all these varied meters, may be organized in three different ways:</w:t>
      </w:r>
    </w:p>
    <w:p>
      <w:pPr>
        <w:pStyle w:val="BodyText"/>
      </w:pPr>
      <w:r>
        <w:rPr>
          <w:bCs/>
          <w:b/>
        </w:rPr>
        <w:t xml:space="preserve">1. Ṛṣi-krama (ordering by rishi)</w:t>
      </w:r>
      <w:r>
        <w:t xml:space="preserve"> </w:t>
      </w:r>
      <w:r>
        <w:t xml:space="preserve">— grouping the suktas composed by a given principal rishi and his descendants into a single section or Mandala.</w:t>
      </w:r>
      <w:r>
        <w:t xml:space="preserve"> </w:t>
      </w:r>
      <w:r>
        <w:rPr>
          <w:bCs/>
          <w:b/>
        </w:rPr>
        <w:t xml:space="preserve">Mandalas 2, 3, 4, 5, 6, 7 and 8 of the Rigveda (seven Mandalas in total) are arranged this way.</w:t>
      </w:r>
    </w:p>
    <w:p>
      <w:pPr>
        <w:pStyle w:val="BodyText"/>
      </w:pPr>
      <w:r>
        <w:rPr>
          <w:bCs/>
          <w:b/>
        </w:rPr>
        <w:t xml:space="preserve">2. Devatā-krama (ordering by deity)</w:t>
      </w:r>
      <w:r>
        <w:t xml:space="preserve"> </w:t>
      </w:r>
      <w:r>
        <w:t xml:space="preserve">— grouping together the mantras or suktas that praise a given deity. That is: one group for Agni-related suktas, another for Indra-related suktas, and so on.</w:t>
      </w:r>
      <w:r>
        <w:t xml:space="preserve"> </w:t>
      </w:r>
      <w:r>
        <w:rPr>
          <w:bCs/>
          <w:b/>
        </w:rPr>
        <w:t xml:space="preserve">This ordering is followed in the Rigveda’s ninth Mandala, where every single sukta shares the same deity — Soma — with no other deity appearing at all; only the rishis and meters differ from sukta to sukta.</w:t>
      </w:r>
    </w:p>
    <w:p>
      <w:pPr>
        <w:pStyle w:val="BodyText"/>
      </w:pPr>
      <w:r>
        <w:rPr>
          <w:bCs/>
          <w:b/>
        </w:rPr>
        <w:t xml:space="preserve">3. Chandaḥ-krama (ordering by meter)</w:t>
      </w:r>
      <w:r>
        <w:t xml:space="preserve"> </w:t>
      </w:r>
      <w:r>
        <w:t xml:space="preserve">— grouping together mantras (or suktas) that share a single meter: all Gayatri-meter mantras in one group, all Trishtubh-meter mantras in another, and so on for every meter.</w:t>
      </w:r>
      <w:r>
        <w:t xml:space="preserve"> </w:t>
      </w:r>
      <w:r>
        <w:rPr>
          <w:bCs/>
          <w:b/>
        </w:rPr>
        <w:t xml:space="preserve">This third ordering is not found to be followed consistently anywhere, and so is not actually used in the Rigveda.</w:t>
      </w:r>
    </w:p>
    <w:p>
      <w:pPr>
        <w:pStyle w:val="BodyText"/>
      </w:pPr>
      <w:r>
        <w:rPr>
          <w:bCs/>
          <w:b/>
        </w:rPr>
        <w:t xml:space="preserve">Beyond these, since the suktas grouped under the first scheme (Rishi-krama) include many quite short ones, gathering all these together into a single Mandala forms yet another arrangement — found in Mandalas 1 and 10.</w:t>
      </w:r>
    </w:p>
    <w:p>
      <w:pPr>
        <w:pStyle w:val="BodyText"/>
      </w:pPr>
      <w:r>
        <w:rPr>
          <w:bCs/>
          <w:b/>
        </w:rPr>
        <w:t xml:space="preserve">In Mandala 1, there is, broadly speaking, one rishi for roughly every hundred mantras</w:t>
      </w:r>
      <w:r>
        <w:t xml:space="preserve"> </w:t>
      </w:r>
      <w:r>
        <w:t xml:space="preserve">(the exact count varies somewhat). For example: in the first Mandala, mantras 1 through 102 belong to</w:t>
      </w:r>
      <w:r>
        <w:t xml:space="preserve"> </w:t>
      </w:r>
      <w:r>
        <w:rPr>
          <w:bCs/>
          <w:b/>
        </w:rPr>
        <w:t xml:space="preserve">Madhucchandas Vaishvamitra</w:t>
      </w:r>
      <w:r>
        <w:t xml:space="preserve">; mantras 111 through 253 to</w:t>
      </w:r>
      <w:r>
        <w:t xml:space="preserve"> </w:t>
      </w:r>
      <w:r>
        <w:rPr>
          <w:bCs/>
          <w:b/>
        </w:rPr>
        <w:t xml:space="preserve">Medhatithi Kanva</w:t>
      </w:r>
      <w:r>
        <w:t xml:space="preserve">; and mantras 254 through 350 to</w:t>
      </w:r>
      <w:r>
        <w:t xml:space="preserve"> </w:t>
      </w:r>
      <w:r>
        <w:rPr>
          <w:bCs/>
          <w:b/>
        </w:rPr>
        <w:t xml:space="preserve">Ajigarti Shunahshepa</w:t>
      </w:r>
      <w:r>
        <w:t xml:space="preserve">.</w:t>
      </w:r>
      <w:r>
        <w:t xml:space="preserve"> </w:t>
      </w:r>
      <w:r>
        <w:rPr>
          <w:bCs/>
          <w:b/>
        </w:rPr>
        <w:t xml:space="preserve">This is likely why the rishis of this first Mandala are called</w:t>
      </w:r>
      <w:r>
        <w:rPr>
          <w:bCs/>
          <w:b/>
        </w:rPr>
        <w:t xml:space="preserve"> </w:t>
      </w:r>
      <w:r>
        <w:rPr>
          <w:bCs/>
          <w:b/>
        </w:rPr>
        <w:t xml:space="preserve">“</w:t>
      </w:r>
      <w:r>
        <w:rPr>
          <w:bCs/>
          <w:b/>
        </w:rPr>
        <w:t xml:space="preserve">Śatarcinaḥ</w:t>
      </w:r>
      <w:r>
        <w:rPr>
          <w:bCs/>
          <w:b/>
        </w:rPr>
        <w:t xml:space="preserve">”</w:t>
      </w:r>
      <w:r>
        <w:t xml:space="preserve"> </w:t>
      </w:r>
      <w:r>
        <w:t xml:space="preserve">(</w:t>
      </w:r>
      <w:r>
        <w:t xml:space="preserve">“</w:t>
      </w:r>
      <w:r>
        <w:t xml:space="preserve">those who composed a hundred riks each</w:t>
      </w:r>
      <w:r>
        <w:t xml:space="preserve">”</w:t>
      </w:r>
      <w:r>
        <w:t xml:space="preserve">).</w:t>
      </w:r>
    </w:p>
    <w:p>
      <w:pPr>
        <w:pStyle w:val="BodyText"/>
      </w:pPr>
      <w:r>
        <w:rPr>
          <w:bCs/>
          <w:b/>
        </w:rPr>
        <w:t xml:space="preserve">Mandala 10 does not follow this scheme either.</w:t>
      </w:r>
      <w:r>
        <w:t xml:space="preserve"> </w:t>
      </w:r>
      <w:r>
        <w:t xml:space="preserve">This Mandala contains many quite short suktas (kṣudra-suktas) composed both by members of the seven rishi-lineages and by rishis outside them…</w:t>
      </w:r>
    </w:p>
    <w:bookmarkEnd w:id="26"/>
    <w:bookmarkStart w:id="27" w:name="page-4"/>
    <w:p>
      <w:pPr>
        <w:pStyle w:val="Heading3"/>
      </w:pPr>
      <w:r>
        <w:t xml:space="preserve">Page 4</w:t>
      </w:r>
    </w:p>
    <w:p>
      <w:pPr>
        <w:pStyle w:val="FirstParagraph"/>
      </w:pPr>
      <w:r>
        <w:rPr>
          <w:bCs/>
          <w:b/>
        </w:rPr>
        <w:t xml:space="preserve">…The</w:t>
      </w:r>
      <w:r>
        <w:rPr>
          <w:bCs/>
          <w:b/>
        </w:rPr>
        <w:t xml:space="preserve"> </w:t>
      </w:r>
      <w:r>
        <w:rPr>
          <w:bCs/>
          <w:b/>
        </w:rPr>
        <w:t xml:space="preserve">“</w:t>
      </w:r>
      <w:r>
        <w:rPr>
          <w:bCs/>
          <w:b/>
        </w:rPr>
        <w:t xml:space="preserve">deities</w:t>
      </w:r>
      <w:r>
        <w:rPr>
          <w:bCs/>
          <w:b/>
        </w:rPr>
        <w:t xml:space="preserve">”</w:t>
      </w:r>
      <w:r>
        <w:rPr>
          <w:bCs/>
          <w:b/>
        </w:rPr>
        <w:t xml:space="preserve"> </w:t>
      </w:r>
      <w:r>
        <w:rPr>
          <w:bCs/>
          <w:b/>
        </w:rPr>
        <w:t xml:space="preserve">here include not only principal ones like Agni and Indra, but also lesser deities, and even hymns of praise to inanimate things such as Night (Rātrī) and Faith (Śraddhā). Such a wide variety of suktas is found in the tenth Mandala.</w:t>
      </w:r>
    </w:p>
    <w:p>
      <w:pPr>
        <w:pStyle w:val="BodyText"/>
      </w:pPr>
      <w:r>
        <w:rPr>
          <w:bCs/>
          <w:b/>
        </w:rPr>
        <w:t xml:space="preserve">A given sukta may contain anywhere from one mantra to any number.</w:t>
      </w:r>
      <w:r>
        <w:t xml:space="preserve"> </w:t>
      </w:r>
      <w:r>
        <w:t xml:space="preserve">Generally, mantras addressed to a single deity are counted as one sukta. Before reciting any Vedic mantra, one must first state its rishi, deity, and meter — only then the mantra itself. A single mantra may have its own rishi, or many suktas may share one rishi.</w:t>
      </w:r>
      <w:r>
        <w:t xml:space="preserve"> </w:t>
      </w:r>
      <w:r>
        <w:rPr>
          <w:bCs/>
          <w:b/>
        </w:rPr>
        <w:t xml:space="preserve">Apart from Mandalas 1, 9, and 10, each of the remaining Mandalas belongs to a single group of rishis.</w:t>
      </w:r>
    </w:p>
    <w:p>
      <w:pPr>
        <w:pStyle w:val="BodyText"/>
      </w:pPr>
      <w:r>
        <w:rPr>
          <w:bCs/>
          <w:b/>
        </w:rPr>
        <w:t xml:space="preserve">A definite sequence governs how the suktas are arranged.</w:t>
      </w:r>
      <w:r>
        <w:t xml:space="preserve"> </w:t>
      </w:r>
      <w:r>
        <w:t xml:space="preserve">Within a Mandala, among the suktas belonging to a given rishi, those connected with Agni come first. Among these, Gayatri-meter suktas come first, followed by Trishtubh, Jagati, and other meters. Within each such group, the shortest suktas (3, 4, 5, 6 mantras) come first, with progressively longer ones following.</w:t>
      </w:r>
      <w:r>
        <w:t xml:space="preserve"> </w:t>
      </w:r>
      <w:r>
        <w:rPr>
          <w:bCs/>
          <w:b/>
        </w:rPr>
        <w:t xml:space="preserve">Once the Agni-deity suktas are exhausted, the Indra-deity suktas begin, arranged the same way; after these come suktas for other deities — the Vishvadevas, Ushas, and so on.</w:t>
      </w:r>
      <w:r>
        <w:t xml:space="preserve"> </w:t>
      </w:r>
      <w:r>
        <w:t xml:space="preserve">Many suktas have multiple rishis, deities, or meters within themselves; such suktas occur here and there throughout. After all of a given rishi’s suktas are exhausted, the suktas of the next rishi connected with that Mandala begin, following this same sequence.</w:t>
      </w:r>
      <w:r>
        <w:t xml:space="preserve"> </w:t>
      </w:r>
      <w:r>
        <w:rPr>
          <w:bCs/>
          <w:b/>
        </w:rPr>
        <w:t xml:space="preserve">Only in the ninth Mandala — where every sukta shares the single deity Soma — is the meter-sequence (Gayatri first, etc.) governed instead by sukta-length.</w:t>
      </w:r>
    </w:p>
    <w:p>
      <w:pPr>
        <w:pStyle w:val="BodyText"/>
      </w:pPr>
      <w:r>
        <w:rPr>
          <w:bCs/>
          <w:b/>
        </w:rPr>
        <w:t xml:space="preserve">Suktas generally address a single deity, but a sukta may sometimes have multiple deities:</w:t>
      </w:r>
      <w:r>
        <w:t xml:space="preserve"> </w:t>
      </w:r>
      <w:r>
        <w:t xml:space="preserve">each mantra within it may have its own separate deity, or even a single mantra may have two deities together.</w:t>
      </w:r>
      <w:r>
        <w:t xml:space="preserve"> </w:t>
      </w:r>
      <w:r>
        <w:rPr>
          <w:bCs/>
          <w:b/>
        </w:rPr>
        <w:t xml:space="preserve">For example: the second sukta of Mandala 1 has 9 mantras, with Vāyu, then Indra-Vāyu, then Mitrā-Varuṇā as deities in groups of three.</w:t>
      </w:r>
      <w:r>
        <w:t xml:space="preserve"> </w:t>
      </w:r>
      <w:r>
        <w:t xml:space="preserve">In the same Mandala, the sixth sukta’s ten mantras have Indra as deity for the first three; of the rest, the eighth and ninth have the Maruts, and the remaining mantras have, one each in sequence, Marut, Indra-Marut, Marut, and Indra-Marut as deities.</w:t>
      </w:r>
      <w:r>
        <w:t xml:space="preserve"> </w:t>
      </w:r>
      <w:r>
        <w:rPr>
          <w:bCs/>
          <w:b/>
        </w:rPr>
        <w:t xml:space="preserve">The fourteenth sukta’s twelve mantras</w:t>
      </w:r>
      <w:r>
        <w:t xml:space="preserve"> </w:t>
      </w:r>
      <w:r>
        <w:t xml:space="preserve">(a special case —</w:t>
      </w:r>
      <w:r>
        <w:t xml:space="preserve"> </w:t>
      </w:r>
      <w:r>
        <w:t xml:space="preserve">“</w:t>
      </w:r>
      <w:r>
        <w:t xml:space="preserve">this sukta is addressed to the Vishve…</w:t>
      </w:r>
      <w:r>
        <w:t xml:space="preserve">”</w:t>
      </w:r>
      <w:r>
        <w:t xml:space="preserve">)</w:t>
      </w:r>
    </w:p>
    <w:bookmarkEnd w:id="27"/>
    <w:bookmarkStart w:id="28" w:name="page-5"/>
    <w:p>
      <w:pPr>
        <w:pStyle w:val="Heading3"/>
      </w:pPr>
      <w:r>
        <w:t xml:space="preserve">Page 5</w:t>
      </w:r>
    </w:p>
    <w:p>
      <w:pPr>
        <w:pStyle w:val="FirstParagraph"/>
      </w:pPr>
      <w:r>
        <w:rPr>
          <w:bCs/>
          <w:b/>
        </w:rPr>
        <w:t xml:space="preserve">…[</w:t>
      </w:r>
      <w:r>
        <w:rPr>
          <w:bCs/>
          <w:b/>
        </w:rPr>
        <w:t xml:space="preserve">“</w:t>
      </w:r>
      <w:r>
        <w:rPr>
          <w:bCs/>
          <w:b/>
        </w:rPr>
        <w:t xml:space="preserve">devaiḥ sahito agni-devatā</w:t>
      </w:r>
      <w:r>
        <w:rPr>
          <w:bCs/>
          <w:b/>
        </w:rPr>
        <w:t xml:space="preserve">”</w:t>
      </w:r>
      <w:r>
        <w:rPr>
          <w:bCs/>
          <w:b/>
        </w:rPr>
        <w:t xml:space="preserve">] — Agni accompanied by the Vishvadevas is the deity here.</w:t>
      </w:r>
      <w:r>
        <w:t xml:space="preserve"> </w:t>
      </w:r>
      <w:r>
        <w:t xml:space="preserve">In the ninth mantra of the thirteenth sukta, there are three deities together: Sarasvati, Ila, and Bharati. Many such examples exist, but generally a sukta has a single deity.</w:t>
      </w:r>
    </w:p>
    <w:p>
      <w:pPr>
        <w:pStyle w:val="BodyText"/>
      </w:pPr>
      <w:r>
        <w:rPr>
          <w:bCs/>
          <w:b/>
        </w:rPr>
        <w:t xml:space="preserve">The deities appearing with special prominence in the Rigveda are Agni, Indra, the Maruts, the Vishvadevas, the Ashvins, and Pavamana-Soma.</w:t>
      </w:r>
      <w:r>
        <w:t xml:space="preserve"> </w:t>
      </w:r>
      <w:r>
        <w:t xml:space="preserve">Among these, the greatest number of mantras concern Agni and Indra.</w:t>
      </w:r>
      <w:r>
        <w:t xml:space="preserve"> </w:t>
      </w:r>
      <w:r>
        <w:rPr>
          <w:bCs/>
          <w:b/>
        </w:rPr>
        <w:t xml:space="preserve">Taken as a whole, roughly a quarter of the entire Rigveda concerns Indra</w:t>
      </w:r>
      <w:r>
        <w:t xml:space="preserve">; after Indra, the next-greatest share concerns Agni; then the other deities follow.</w:t>
      </w:r>
    </w:p>
    <w:p>
      <w:pPr>
        <w:pStyle w:val="BodyText"/>
      </w:pPr>
      <w:r>
        <w:rPr>
          <w:bCs/>
          <w:b/>
        </w:rPr>
        <w:t xml:space="preserve">A further distinctive feature appears across the Mandalas: apart from the eighth and ninth, each of the remaining eight Mandalas opens its first sukta with Agni.</w:t>
      </w:r>
      <w:r>
        <w:t xml:space="preserve"> </w:t>
      </w:r>
      <w:r>
        <w:t xml:space="preserve">The eighth Mandala instead opens with a mantra devoted to Indra.</w:t>
      </w:r>
      <w:r>
        <w:t xml:space="preserve"> </w:t>
      </w:r>
      <w:r>
        <w:rPr>
          <w:bCs/>
          <w:b/>
        </w:rPr>
        <w:t xml:space="preserve">The ninth Mandala alone is devoted throughout to a single deity — Pavamana-Soma</w:t>
      </w:r>
      <w:r>
        <w:t xml:space="preserve"> </w:t>
      </w:r>
      <w:r>
        <w:t xml:space="preserve">— and, unlike the other Mandalas, its rishis do not belong to one single group; rishis from other Mandalas appear here too.</w:t>
      </w:r>
      <w:r>
        <w:t xml:space="preserve"> </w:t>
      </w:r>
      <w:r>
        <w:rPr>
          <w:bCs/>
          <w:b/>
        </w:rPr>
        <w:t xml:space="preserve">The tenth Mandala’s rishis likewise belong to many different groups, and its deities are correspondingly numerous.</w:t>
      </w:r>
    </w:p>
    <w:p>
      <w:pPr>
        <w:pStyle w:val="BodyText"/>
      </w:pPr>
      <w:r>
        <w:rPr>
          <w:bCs/>
          <w:b/>
        </w:rPr>
        <w:t xml:space="preserve">Turning to our present topic: since Suktas 1 and 2 of the first Anuvaka have already been explained in Volume 1, we now begin the third sukta,</w:t>
      </w:r>
      <w:r>
        <w:rPr>
          <w:bCs/>
          <w:b/>
        </w:rPr>
        <w:t xml:space="preserve"> </w:t>
      </w:r>
      <w:r>
        <w:rPr>
          <w:bCs/>
          <w:b/>
        </w:rPr>
        <w:t xml:space="preserve">“</w:t>
      </w:r>
      <w:r>
        <w:rPr>
          <w:bCs/>
          <w:b/>
        </w:rPr>
        <w:t xml:space="preserve">Aśvinā yajvarīr iṣaḥ,</w:t>
      </w:r>
      <w:r>
        <w:rPr>
          <w:bCs/>
          <w:b/>
        </w:rPr>
        <w:t xml:space="preserve">”</w:t>
      </w:r>
      <w:r>
        <w:rPr>
          <w:bCs/>
          <w:b/>
        </w:rPr>
        <w:t xml:space="preserve"> </w:t>
      </w:r>
      <w:r>
        <w:rPr>
          <w:bCs/>
          <w:b/>
        </w:rPr>
        <w:t xml:space="preserve">which closes this Anuvaka.</w:t>
      </w:r>
    </w:p>
    <w:p>
      <w:pPr>
        <w:pStyle w:val="BodyText"/>
      </w:pPr>
      <w:r>
        <w:rPr>
          <w:bCs/>
          <w:b/>
        </w:rPr>
        <w:t xml:space="preserve">Before the meaning-translation, we first state this sukta’s application (viniyoga):</w:t>
      </w:r>
    </w:p>
    <w:p>
      <w:pPr>
        <w:pStyle w:val="BlockText"/>
      </w:pPr>
      <w:r>
        <w:t xml:space="preserve">अश्विनेति द्वादशर्चं तृतीयं सूक्तम् । तत्राश्विनस्तृचः प्रातरनुवाकस्याश्विने कृतौ विनियुक्तः । तथा च सूत्रितम् । अथाश्विन एषो उषाः प्रातर्युजेति चतस्रोऽश्विना यज्वरीरिषः ॥ आ. ४-१५ ॥ इति ॥</w:t>
      </w:r>
      <w:r>
        <w:t xml:space="preserve"> </w:t>
      </w:r>
      <w:r>
        <w:rPr>
          <w:iCs/>
          <w:i/>
        </w:rPr>
        <w:t xml:space="preserve">aśvineti dvādaśarcaṃ tṛtīyaṃ sūktam | tatrāśvinastṛcaḥ prātaranuvākasyāśvine kṛtau viniyuktaḥ | tathā ca sūtritam | athāśvina eṣo uṣāḥ prātaryujeti catasro ’śvinā yajvarīriṣaḥ ‖ ā. 4-15 ‖ iti ‖</w:t>
      </w:r>
      <w:r>
        <w:t xml:space="preserve"> </w:t>
      </w:r>
      <w:r>
        <w:t xml:space="preserve">“</w:t>
      </w:r>
      <w:r>
        <w:t xml:space="preserve">‘</w:t>
      </w:r>
      <w:r>
        <w:t xml:space="preserve">Aśvinā…</w:t>
      </w:r>
      <w:r>
        <w:t xml:space="preserve">’</w:t>
      </w:r>
      <w:r>
        <w:t xml:space="preserve"> </w:t>
      </w:r>
      <w:r>
        <w:t xml:space="preserve">is the third sukta, comprising twelve riks. Of these, the Ashvin tṛca is applied in the Ashvin-portion of the Pratar-anuvaka. And thus it is stated in the Sutra:</w:t>
      </w:r>
      <w:r>
        <w:t xml:space="preserve"> </w:t>
      </w:r>
      <w:r>
        <w:t xml:space="preserve">‘</w:t>
      </w:r>
      <w:r>
        <w:t xml:space="preserve">athāśvina eṣo uṣāḥ prātaryujeti</w:t>
      </w:r>
      <w:r>
        <w:t xml:space="preserve">’</w:t>
      </w:r>
      <w:r>
        <w:t xml:space="preserve"> </w:t>
      </w:r>
      <w:r>
        <w:t xml:space="preserve">— four [sūktas], [the fourth being]</w:t>
      </w:r>
      <w:r>
        <w:t xml:space="preserve"> </w:t>
      </w:r>
      <w:r>
        <w:t xml:space="preserve">‘</w:t>
      </w:r>
      <w:r>
        <w:t xml:space="preserve">aśvinā yajvarīr iṣaḥ.</w:t>
      </w:r>
      <w:r>
        <w:t xml:space="preserve">’</w:t>
      </w:r>
      <w:r>
        <w:t xml:space="preserve">”</w:t>
      </w:r>
      <w:r>
        <w:t xml:space="preserve"> </w:t>
      </w:r>
      <w:r>
        <w:t xml:space="preserve">(Āśvalāyana Sūtra 4-15)</w:t>
      </w:r>
    </w:p>
    <w:p>
      <w:pPr>
        <w:pStyle w:val="FirstParagraph"/>
      </w:pPr>
      <w:r>
        <w:rPr>
          <w:bCs/>
          <w:b/>
        </w:rPr>
        <w:t xml:space="preserve">This sukta has 12 mantras, or 4 Tṛcas</w:t>
      </w:r>
      <w:r>
        <w:t xml:space="preserve"> </w:t>
      </w:r>
      <w:r>
        <w:t xml:space="preserve">— a</w:t>
      </w:r>
      <w:r>
        <w:t xml:space="preserve"> </w:t>
      </w:r>
      <w:r>
        <w:t xml:space="preserve">“</w:t>
      </w:r>
      <w:r>
        <w:t xml:space="preserve">Ṛca</w:t>
      </w:r>
      <w:r>
        <w:t xml:space="preserve">”</w:t>
      </w:r>
      <w:r>
        <w:t xml:space="preserve"> </w:t>
      </w:r>
      <w:r>
        <w:t xml:space="preserve">here meaning a group of three mantras.</w:t>
      </w:r>
      <w:r>
        <w:t xml:space="preserve"> </w:t>
      </w:r>
      <w:r>
        <w:rPr>
          <w:bCs/>
          <w:b/>
        </w:rPr>
        <w:t xml:space="preserve">The first Ṛca (mantras 1–3) has the Ashvin deities; the second Ṛca (mantras 4–6) has Indra; the third Ṛca (mantras 7–9) has the Vishvadevas; and the fourth Ṛca (mantras 10–12) has Sarasvati as deity.</w:t>
      </w:r>
    </w:p>
    <w:p>
      <w:pPr>
        <w:pStyle w:val="BodyText"/>
      </w:pPr>
      <w:r>
        <w:rPr>
          <w:bCs/>
          <w:b/>
        </w:rPr>
        <w:t xml:space="preserve">We have already given, in Volume 1 (pages 667–669), a concise account of the Agnishtoma-yaga.</w:t>
      </w:r>
      <w:r>
        <w:t xml:space="preserve"> </w:t>
      </w:r>
      <w:r>
        <w:t xml:space="preserve">In the Agnishtoma, the day on which Soma-juice is pressed is called</w:t>
      </w:r>
      <w:r>
        <w:t xml:space="preserve"> </w:t>
      </w:r>
      <w:r>
        <w:t xml:space="preserve">“</w:t>
      </w:r>
      <w:r>
        <w:t xml:space="preserve">Sutya-dina</w:t>
      </w:r>
      <w:r>
        <w:t xml:space="preserve">”</w:t>
      </w:r>
      <w:r>
        <w:t xml:space="preserve">; since suktas recited as Stotra and Shastra are also rehearsed at the time of pressing, this day is also called</w:t>
      </w:r>
      <w:r>
        <w:t xml:space="preserve"> </w:t>
      </w:r>
      <w:r>
        <w:t xml:space="preserve">“</w:t>
      </w:r>
      <w:r>
        <w:t xml:space="preserve">Stutya-dina.</w:t>
      </w:r>
      <w:r>
        <w:t xml:space="preserve">”</w:t>
      </w:r>
      <w:r>
        <w:t xml:space="preserve"> </w:t>
      </w:r>
      <w:r>
        <w:t xml:space="preserve">On that day, in the early morning — that is…</w:t>
      </w:r>
    </w:p>
    <w:bookmarkEnd w:id="28"/>
    <w:bookmarkStart w:id="29" w:name="page-6"/>
    <w:p>
      <w:pPr>
        <w:pStyle w:val="Heading3"/>
      </w:pPr>
      <w:r>
        <w:t xml:space="preserve">Page 6</w:t>
      </w:r>
    </w:p>
    <w:p>
      <w:pPr>
        <w:pStyle w:val="FirstParagraph"/>
      </w:pPr>
      <w:r>
        <w:rPr>
          <w:bCs/>
          <w:b/>
        </w:rPr>
        <w:t xml:space="preserve">…before sunrise, after the previous night’s midnight has passed, and before the birds’ morning calls begin, the Hotṛ must finish reciting the mantras called the Prātar-anuvāka.</w:t>
      </w:r>
      <w:r>
        <w:t xml:space="preserve"> </w:t>
      </w:r>
      <w:r>
        <w:t xml:space="preserve">This Prātar-anuvāka comprises three portions: the Āgneya-kratu (Riks connected with Agni), the Auṣasya-kratu, and the Āśvina-kratu. Each portion must contain numerous mantras spanning the seven meters — Gāyatrī, Anuṣṭubh, Triṣṭubh, Bṛhatī, Uṣṇik, Jagatī, and Paṅkti.</w:t>
      </w:r>
    </w:p>
    <w:p>
      <w:pPr>
        <w:pStyle w:val="BodyText"/>
      </w:pPr>
      <w:r>
        <w:rPr>
          <w:bCs/>
          <w:b/>
        </w:rPr>
        <w:t xml:space="preserve">After the Prātar-anuvāka is recited, the rite called</w:t>
      </w:r>
      <w:r>
        <w:rPr>
          <w:bCs/>
          <w:b/>
        </w:rPr>
        <w:t xml:space="preserve"> </w:t>
      </w:r>
      <w:r>
        <w:rPr>
          <w:bCs/>
          <w:b/>
        </w:rPr>
        <w:t xml:space="preserve">“</w:t>
      </w:r>
      <w:r>
        <w:rPr>
          <w:bCs/>
          <w:b/>
        </w:rPr>
        <w:t xml:space="preserve">Prātaḥ-savana</w:t>
      </w:r>
      <w:r>
        <w:rPr>
          <w:bCs/>
          <w:b/>
        </w:rPr>
        <w:t xml:space="preserve">”</w:t>
      </w:r>
      <w:r>
        <w:rPr>
          <w:bCs/>
          <w:b/>
        </w:rPr>
        <w:t xml:space="preserve"> </w:t>
      </w:r>
      <w:r>
        <w:rPr>
          <w:bCs/>
          <w:b/>
        </w:rPr>
        <w:t xml:space="preserve">takes place.</w:t>
      </w:r>
      <w:r>
        <w:t xml:space="preserve"> </w:t>
      </w:r>
      <w:r>
        <w:t xml:space="preserve">“</w:t>
      </w:r>
      <w:r>
        <w:t xml:space="preserve">Savana</w:t>
      </w:r>
      <w:r>
        <w:t xml:space="preserve">”</w:t>
      </w:r>
      <w:r>
        <w:t xml:space="preserve"> </w:t>
      </w:r>
      <w:r>
        <w:t xml:space="preserve">means crushing the Soma creeper with stones (grāvāṇa) and extracting its juice. This occurs at three times: morning extraction is</w:t>
      </w:r>
      <w:r>
        <w:t xml:space="preserve"> </w:t>
      </w:r>
      <w:r>
        <w:t xml:space="preserve">“</w:t>
      </w:r>
      <w:r>
        <w:t xml:space="preserve">Prātaḥ-savana</w:t>
      </w:r>
      <w:r>
        <w:t xml:space="preserve">”</w:t>
      </w:r>
      <w:r>
        <w:t xml:space="preserve">; midday extraction,</w:t>
      </w:r>
      <w:r>
        <w:t xml:space="preserve"> </w:t>
      </w:r>
      <w:r>
        <w:t xml:space="preserve">“</w:t>
      </w:r>
      <w:r>
        <w:t xml:space="preserve">Mādhyandina-savana</w:t>
      </w:r>
      <w:r>
        <w:t xml:space="preserve">”</w:t>
      </w:r>
      <w:r>
        <w:t xml:space="preserve">; evening extraction,</w:t>
      </w:r>
      <w:r>
        <w:t xml:space="preserve"> </w:t>
      </w:r>
      <w:r>
        <w:t xml:space="preserve">“</w:t>
      </w:r>
      <w:r>
        <w:t xml:space="preserve">Tṛtīya-savana.</w:t>
      </w:r>
      <w:r>
        <w:t xml:space="preserve">”</w:t>
      </w:r>
    </w:p>
    <w:p>
      <w:pPr>
        <w:pStyle w:val="BodyText"/>
      </w:pPr>
      <w:r>
        <w:rPr>
          <w:bCs/>
          <w:b/>
        </w:rPr>
        <w:t xml:space="preserve">Across these three Savanas, twelve Stotras and twelve Shastra-mantras must be recited in total.</w:t>
      </w:r>
      <w:r>
        <w:t xml:space="preserve"> </w:t>
      </w:r>
      <w:r>
        <w:t xml:space="preserve">“</w:t>
      </w:r>
      <w:r>
        <w:t xml:space="preserve">Stotra</w:t>
      </w:r>
      <w:r>
        <w:t xml:space="preserve">”</w:t>
      </w:r>
      <w:r>
        <w:t xml:space="preserve"> </w:t>
      </w:r>
      <w:r>
        <w:t xml:space="preserve">means Riks fit for chanting (sāmagāna), sung by the Udgātṛ; as soon as he finishes each Stotra, the Hotṛ, in response, recites the corresponding Shastra-mantras (Rigveda Riks).</w:t>
      </w:r>
      <w:r>
        <w:t xml:space="preserve"> </w:t>
      </w:r>
      <w:r>
        <w:t xml:space="preserve">“</w:t>
      </w:r>
      <w:r>
        <w:t xml:space="preserve">Shastra</w:t>
      </w:r>
      <w:r>
        <w:t xml:space="preserve">”</w:t>
      </w:r>
      <w:r>
        <w:t xml:space="preserve"> </w:t>
      </w:r>
      <w:r>
        <w:t xml:space="preserve">means a Rigveda mantra recited melodiously but without being sung.</w:t>
      </w:r>
      <w:r>
        <w:t xml:space="preserve"> </w:t>
      </w:r>
      <w:r>
        <w:rPr>
          <w:bCs/>
          <w:b/>
        </w:rPr>
        <w:t xml:space="preserve">These Shastra-mantras are recited by the Hotṛ and his assistant priests — the Maitrāvaruṇa, Brāhmaṇācchaṃsī, and Acchāvāka.</w:t>
      </w:r>
      <w:r>
        <w:t xml:space="preserve"> </w:t>
      </w:r>
      <w:r>
        <w:t xml:space="preserve">The full arrangement of these mantras across the three Savanas in the Agnishtoma’s Prātar-anuvāka is given below:</w:t>
      </w:r>
    </w:p>
    <w:p>
      <w:pPr>
        <w:pStyle w:val="BodyText"/>
      </w:pPr>
      <w:r>
        <w:rPr>
          <w:bCs/>
          <w:b/>
        </w:rPr>
        <w:t xml:space="preserve">1. Prātaḥ-savana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Stotra-mantras</w:t>
            </w:r>
          </w:p>
        </w:tc>
        <w:tc>
          <w:tcPr/>
          <w:p>
            <w:pPr>
              <w:pStyle w:val="Compact"/>
              <w:jc w:val="left"/>
            </w:pPr>
            <w:r>
              <w:t xml:space="preserve">Shastra-mantras</w:t>
            </w:r>
          </w:p>
        </w:tc>
      </w:tr>
      <w:tr>
        <w:tc>
          <w:tcPr/>
          <w:p>
            <w:pPr>
              <w:pStyle w:val="Compact"/>
              <w:jc w:val="left"/>
            </w:pPr>
            <w:r>
              <w:t xml:space="preserve">1. Bahiṣpavamāna-stotra</w:t>
            </w:r>
          </w:p>
        </w:tc>
        <w:tc>
          <w:tcPr/>
          <w:p>
            <w:pPr>
              <w:pStyle w:val="Compact"/>
              <w:jc w:val="left"/>
            </w:pPr>
            <w:r>
              <w:t xml:space="preserve">1. Ājya-śastra</w:t>
            </w:r>
          </w:p>
        </w:tc>
      </w:tr>
      <w:tr>
        <w:tc>
          <w:tcPr/>
          <w:p>
            <w:pPr>
              <w:pStyle w:val="Compact"/>
              <w:jc w:val="left"/>
            </w:pPr>
            <w:r>
              <w:t xml:space="preserve">2. Ājya-stotras</w:t>
            </w:r>
          </w:p>
        </w:tc>
        <w:tc>
          <w:tcPr/>
          <w:p>
            <w:pPr>
              <w:pStyle w:val="Compact"/>
              <w:jc w:val="left"/>
            </w:pPr>
            <w:r>
              <w:t xml:space="preserve">2. Praüga-śastra</w:t>
            </w:r>
          </w:p>
        </w:tc>
      </w:tr>
      <w:tr>
        <w:tc>
          <w:tcPr/>
          <w:p>
            <w:pPr>
              <w:pStyle w:val="Compact"/>
              <w:jc w:val="left"/>
            </w:pPr>
            <w:r>
              <w:rPr>
                <w:iCs/>
                <w:i/>
              </w:rPr>
              <w:t xml:space="preserve">(these recited by the Hotṛ)</w:t>
            </w:r>
          </w:p>
        </w:tc>
        <w:tc>
          <w:tcPr/>
          <w:p>
            <w:pPr>
              <w:pStyle w:val="Compact"/>
            </w:pPr>
          </w:p>
        </w:tc>
      </w:tr>
      <w:tr>
        <w:tc>
          <w:tcPr/>
          <w:p>
            <w:pPr>
              <w:pStyle w:val="Compact"/>
              <w:jc w:val="left"/>
            </w:pPr>
            <w:r>
              <w:t xml:space="preserve">3. ”</w:t>
            </w:r>
          </w:p>
        </w:tc>
        <w:tc>
          <w:tcPr/>
          <w:p>
            <w:pPr>
              <w:pStyle w:val="Compact"/>
              <w:jc w:val="left"/>
            </w:pPr>
            <w:r>
              <w:t xml:space="preserve">3. Ājya-śastras</w:t>
            </w:r>
          </w:p>
        </w:tc>
      </w:tr>
      <w:tr>
        <w:tc>
          <w:tcPr/>
          <w:p>
            <w:pPr>
              <w:pStyle w:val="Compact"/>
              <w:jc w:val="left"/>
            </w:pPr>
            <w:r>
              <w:t xml:space="preserve">4. ”</w:t>
            </w:r>
          </w:p>
        </w:tc>
        <w:tc>
          <w:tcPr/>
          <w:p>
            <w:pPr>
              <w:pStyle w:val="Compact"/>
              <w:jc w:val="left"/>
            </w:pPr>
            <w:r>
              <w:t xml:space="preserve">4. ”</w:t>
            </w:r>
          </w:p>
        </w:tc>
      </w:tr>
      <w:tr>
        <w:tc>
          <w:tcPr/>
          <w:p>
            <w:pPr>
              <w:pStyle w:val="Compact"/>
              <w:jc w:val="left"/>
            </w:pPr>
            <w:r>
              <w:t xml:space="preserve">5. ”</w:t>
            </w:r>
          </w:p>
        </w:tc>
        <w:tc>
          <w:tcPr/>
          <w:p>
            <w:pPr>
              <w:pStyle w:val="Compact"/>
              <w:jc w:val="left"/>
            </w:pPr>
            <w:r>
              <w:t xml:space="preserve">5. ”</w:t>
            </w:r>
          </w:p>
        </w:tc>
      </w:tr>
    </w:tbl>
    <w:p>
      <w:pPr>
        <w:pStyle w:val="BodyText"/>
      </w:pPr>
      <w:r>
        <w:rPr>
          <w:iCs/>
          <w:i/>
        </w:rPr>
        <w:t xml:space="preserve">(The first two Stotras are sung by the Udgātṛ; the latter three Shastras are recited by the Hotṛ’s assistant priests — Maitrāvaruṇa, Brāhmaṇācchaṃsī, and Acchāvāka.)</w:t>
      </w:r>
    </w:p>
    <w:p>
      <w:r>
        <w:pict>
          <v:rect style="width:0;height:1.5pt" o:hralign="center" o:hrstd="t" o:hr="t"/>
        </w:pict>
      </w:r>
    </w:p>
    <w:p>
      <w:pPr>
        <w:pStyle w:val="FirstParagraph"/>
      </w:pPr>
      <w:r>
        <w:rPr>
          <w:bCs/>
          <w:b/>
        </w:rPr>
        <w:t xml:space="preserve">Progress: Through PDF page 21 of Rig_Vol2.pdf (printed page 6) — covering the Preface, full Table of Contents, and pages 1–6 of the actual content.</w:t>
      </w:r>
      <w:r>
        <w:t xml:space="preserve"> </w:t>
      </w:r>
      <w:r>
        <w:t xml:space="preserve">This establishes Sukta 3’s formal introduction: its application (viniyoga) as the closing sukta of Anuvaka 1, its structure (13 mantras in 4 Ṛcas, with Ashvins/Indra/Vishvadevas/Sarasvati as deities across the four groups), and the three foundational ordering-schemes of the Rigveda (Rishi-krama, Devata-krama, Chandah-krama) with concrete statistics (roughly a quarter of the Rigveda concerns Indra; each Mandala except 8 and 9 opens with Agni). Page 6 cross-references the Savana/Stotra-Shastra structure already detailed in Volume 1.</w:t>
      </w:r>
      <w:r>
        <w:t xml:space="preserve"> </w:t>
      </w:r>
      <w:r>
        <w:rPr>
          <w:bCs/>
          <w:b/>
        </w:rPr>
        <w:t xml:space="preserve">Target for next session:</w:t>
      </w:r>
      <w:r>
        <w:t xml:space="preserve"> </w:t>
      </w:r>
      <w:r>
        <w:t xml:space="preserve">continue from PDF page 22 (printed page 7) — the rest of the Savana table and the sukta’s own Sayana-bhashya should begin shortly after.</w:t>
      </w:r>
    </w:p>
    <w:bookmarkEnd w:id="29"/>
    <w:bookmarkStart w:id="30" w:name="page-7"/>
    <w:p>
      <w:pPr>
        <w:pStyle w:val="Heading3"/>
      </w:pPr>
      <w:r>
        <w:t xml:space="preserve">Page 7</w:t>
      </w:r>
    </w:p>
    <w:p>
      <w:pPr>
        <w:pStyle w:val="FirstParagraph"/>
      </w:pPr>
      <w:r>
        <w:rPr>
          <w:bCs/>
          <w:b/>
        </w:rPr>
        <w:t xml:space="preserve">2. Mādhyandina-savana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Stotra-mantras</w:t>
            </w:r>
          </w:p>
        </w:tc>
        <w:tc>
          <w:tcPr/>
          <w:p>
            <w:pPr>
              <w:pStyle w:val="Compact"/>
              <w:jc w:val="left"/>
            </w:pPr>
            <w:r>
              <w:t xml:space="preserve">Shastra-mantras</w:t>
            </w:r>
          </w:p>
        </w:tc>
      </w:tr>
      <w:tr>
        <w:tc>
          <w:tcPr/>
          <w:p>
            <w:pPr>
              <w:pStyle w:val="Compact"/>
              <w:jc w:val="left"/>
            </w:pPr>
            <w:r>
              <w:t xml:space="preserve">6. Mādhyandina-pavamāna-stotra</w:t>
            </w:r>
          </w:p>
        </w:tc>
        <w:tc>
          <w:tcPr/>
          <w:p>
            <w:pPr>
              <w:pStyle w:val="Compact"/>
              <w:jc w:val="left"/>
            </w:pPr>
            <w:r>
              <w:t xml:space="preserve">6. Marutvatīya-śastra</w:t>
            </w:r>
          </w:p>
        </w:tc>
      </w:tr>
      <w:tr>
        <w:tc>
          <w:tcPr/>
          <w:p>
            <w:pPr>
              <w:pStyle w:val="Compact"/>
              <w:jc w:val="left"/>
            </w:pPr>
            <w:r>
              <w:t xml:space="preserve">7. Pṛṣṭha-stotra</w:t>
            </w:r>
          </w:p>
        </w:tc>
        <w:tc>
          <w:tcPr/>
          <w:p>
            <w:pPr>
              <w:pStyle w:val="Compact"/>
              <w:jc w:val="left"/>
            </w:pPr>
            <w:r>
              <w:t xml:space="preserve">7. Niṣkevalya-śastra</w:t>
            </w:r>
          </w:p>
        </w:tc>
      </w:tr>
      <w:tr>
        <w:tc>
          <w:tcPr/>
          <w:p>
            <w:pPr>
              <w:pStyle w:val="Compact"/>
              <w:jc w:val="left"/>
            </w:pPr>
            <w:r>
              <w:rPr>
                <w:iCs/>
                <w:i/>
              </w:rPr>
              <w:t xml:space="preserve">(these two recited by the Hotṛ)</w:t>
            </w:r>
          </w:p>
        </w:tc>
        <w:tc>
          <w:tcPr/>
          <w:p>
            <w:pPr>
              <w:pStyle w:val="Compact"/>
            </w:pPr>
          </w:p>
        </w:tc>
      </w:tr>
      <w:tr>
        <w:tc>
          <w:tcPr/>
          <w:p>
            <w:pPr>
              <w:pStyle w:val="Compact"/>
              <w:jc w:val="left"/>
            </w:pPr>
            <w:r>
              <w:t xml:space="preserve">8. ”</w:t>
            </w:r>
          </w:p>
        </w:tc>
        <w:tc>
          <w:tcPr/>
          <w:p>
            <w:pPr>
              <w:pStyle w:val="Compact"/>
              <w:jc w:val="left"/>
            </w:pPr>
            <w:r>
              <w:t xml:space="preserve">8. Niṣkevalya-śastra</w:t>
            </w:r>
          </w:p>
        </w:tc>
      </w:tr>
      <w:tr>
        <w:tc>
          <w:tcPr/>
          <w:p>
            <w:pPr>
              <w:pStyle w:val="Compact"/>
              <w:jc w:val="left"/>
            </w:pPr>
            <w:r>
              <w:t xml:space="preserve">9. ”</w:t>
            </w:r>
          </w:p>
        </w:tc>
        <w:tc>
          <w:tcPr/>
          <w:p>
            <w:pPr>
              <w:pStyle w:val="Compact"/>
              <w:jc w:val="left"/>
            </w:pPr>
            <w:r>
              <w:t xml:space="preserve">9. ”</w:t>
            </w:r>
          </w:p>
        </w:tc>
      </w:tr>
      <w:tr>
        <w:tc>
          <w:tcPr/>
          <w:p>
            <w:pPr>
              <w:pStyle w:val="Compact"/>
              <w:jc w:val="left"/>
            </w:pPr>
            <w:r>
              <w:t xml:space="preserve">10. ”</w:t>
            </w:r>
          </w:p>
        </w:tc>
        <w:tc>
          <w:tcPr/>
          <w:p>
            <w:pPr>
              <w:pStyle w:val="Compact"/>
              <w:jc w:val="left"/>
            </w:pPr>
            <w:r>
              <w:t xml:space="preserve">10. ”</w:t>
            </w:r>
          </w:p>
        </w:tc>
      </w:tr>
    </w:tbl>
    <w:p>
      <w:pPr>
        <w:pStyle w:val="BodyText"/>
      </w:pPr>
      <w:r>
        <w:rPr>
          <w:iCs/>
          <w:i/>
        </w:rPr>
        <w:t xml:space="preserve">(The first five are sung by the Udgātṛ; the latter three are recited by the Hotṛ’s assistants, Maitrāvaruṇa and others.)</w:t>
      </w:r>
    </w:p>
    <w:p>
      <w:pPr>
        <w:pStyle w:val="BodyText"/>
      </w:pPr>
      <w:r>
        <w:rPr>
          <w:bCs/>
          <w:b/>
        </w:rPr>
        <w:t xml:space="preserve">3. Tṛtīya-savana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Stotra-mantras</w:t>
            </w:r>
          </w:p>
        </w:tc>
        <w:tc>
          <w:tcPr/>
          <w:p>
            <w:pPr>
              <w:pStyle w:val="Compact"/>
              <w:jc w:val="left"/>
            </w:pPr>
            <w:r>
              <w:t xml:space="preserve">Shastra-mantras</w:t>
            </w:r>
          </w:p>
        </w:tc>
      </w:tr>
      <w:tr>
        <w:tc>
          <w:tcPr/>
          <w:p>
            <w:pPr>
              <w:pStyle w:val="Compact"/>
              <w:jc w:val="left"/>
            </w:pPr>
            <w:r>
              <w:t xml:space="preserve">11. Āgneya or Tṛtīya-savana</w:t>
            </w:r>
          </w:p>
        </w:tc>
        <w:tc>
          <w:tcPr/>
          <w:p>
            <w:pPr>
              <w:pStyle w:val="Compact"/>
              <w:jc w:val="left"/>
            </w:pPr>
            <w:r>
              <w:t xml:space="preserve">11. Vaiśvadeva-śastra</w:t>
            </w:r>
          </w:p>
        </w:tc>
      </w:tr>
      <w:tr>
        <w:tc>
          <w:tcPr/>
          <w:p>
            <w:pPr>
              <w:pStyle w:val="Compact"/>
              <w:jc w:val="left"/>
            </w:pPr>
            <w:r>
              <w:t xml:space="preserve">12. Agniṣṭoma-sāma (Yajñāyajñīya)</w:t>
            </w:r>
          </w:p>
        </w:tc>
        <w:tc>
          <w:tcPr/>
          <w:p>
            <w:pPr>
              <w:pStyle w:val="Compact"/>
              <w:jc w:val="left"/>
            </w:pPr>
            <w:r>
              <w:t xml:space="preserve">12. Agnimāruta-śastra</w:t>
            </w:r>
          </w:p>
        </w:tc>
      </w:tr>
      <w:tr>
        <w:tc>
          <w:tcPr/>
          <w:p>
            <w:pPr>
              <w:pStyle w:val="Compact"/>
              <w:jc w:val="left"/>
            </w:pPr>
            <w:r>
              <w:rPr>
                <w:iCs/>
                <w:i/>
              </w:rPr>
              <w:t xml:space="preserve">(these two sung by the Udgātṛ)</w:t>
            </w:r>
          </w:p>
        </w:tc>
        <w:tc>
          <w:tcPr/>
          <w:p>
            <w:pPr>
              <w:pStyle w:val="Compact"/>
              <w:jc w:val="left"/>
            </w:pPr>
            <w:r>
              <w:rPr>
                <w:iCs/>
                <w:i/>
              </w:rPr>
              <w:t xml:space="preserve">(these two recited by the Hotṛ)</w:t>
            </w:r>
          </w:p>
        </w:tc>
      </w:tr>
    </w:tbl>
    <w:p>
      <w:pPr>
        <w:pStyle w:val="BodyText"/>
      </w:pPr>
      <w:r>
        <w:rPr>
          <w:bCs/>
          <w:b/>
        </w:rPr>
        <w:t xml:space="preserve">The Bhashyakara’s own glosses confirm this:</w:t>
      </w:r>
      <w:r>
        <w:t xml:space="preserve"> </w:t>
      </w:r>
      <w:r>
        <w:t xml:space="preserve">“</w:t>
      </w:r>
      <w:r>
        <w:t xml:space="preserve">Ājyaiḥ stuvate</w:t>
      </w:r>
      <w:r>
        <w:t xml:space="preserve">”</w:t>
      </w:r>
      <w:r>
        <w:t xml:space="preserve"> </w:t>
      </w:r>
      <w:r>
        <w:t xml:space="preserve">— the Udgātṛ chants the Ajya-stotra mantras (in the morning pressing);</w:t>
      </w:r>
      <w:r>
        <w:t xml:space="preserve"> </w:t>
      </w:r>
      <w:r>
        <w:t xml:space="preserve">“</w:t>
      </w:r>
      <w:r>
        <w:t xml:space="preserve">Pṛṣṭhaiḥ stuvate</w:t>
      </w:r>
      <w:r>
        <w:t xml:space="preserve">”</w:t>
      </w:r>
      <w:r>
        <w:t xml:space="preserve"> </w:t>
      </w:r>
      <w:r>
        <w:t xml:space="preserve">— the Udgātṛ chants the Prishtha-stotra mantras (in the midday pressing);</w:t>
      </w:r>
      <w:r>
        <w:t xml:space="preserve"> </w:t>
      </w:r>
      <w:r>
        <w:t xml:space="preserve">“</w:t>
      </w:r>
      <w:r>
        <w:t xml:space="preserve">pralugaṃ śaṃsati</w:t>
      </w:r>
      <w:r>
        <w:t xml:space="preserve">”</w:t>
      </w:r>
      <w:r>
        <w:t xml:space="preserve"> </w:t>
      </w:r>
      <w:r>
        <w:t xml:space="preserve">— the Hotṛ recites the Pralugat-shastra mantras (in the morning pressing);</w:t>
      </w:r>
      <w:r>
        <w:t xml:space="preserve"> </w:t>
      </w:r>
      <w:r>
        <w:t xml:space="preserve">“</w:t>
      </w:r>
      <w:r>
        <w:t xml:space="preserve">niṣkevalyaṃ śaṃsati</w:t>
      </w:r>
      <w:r>
        <w:t xml:space="preserve">”</w:t>
      </w:r>
      <w:r>
        <w:t xml:space="preserve"> </w:t>
      </w:r>
      <w:r>
        <w:t xml:space="preserve">— the Hotṛ recites the Nishkevalya-shastra mantras (in the midday pressing). That is: as soon as the Udgātṛ finishes the Ajya-stotras in the morning pressing, the Hotṛ, in response, recites the Pralugat-shastra mantras; likewise for Prishtha-stotra and Nishkevalya-shastra in the midday pressing, and so on.</w:t>
      </w:r>
    </w:p>
    <w:p>
      <w:pPr>
        <w:pStyle w:val="BodyText"/>
      </w:pPr>
      <w:r>
        <w:rPr>
          <w:bCs/>
          <w:b/>
        </w:rPr>
        <w:t xml:space="preserve">During the recitation of the Prātar-anuvāka, the sukta</w:t>
      </w:r>
      <w:r>
        <w:rPr>
          <w:bCs/>
          <w:b/>
        </w:rPr>
        <w:t xml:space="preserve"> </w:t>
      </w:r>
      <w:r>
        <w:rPr>
          <w:bCs/>
          <w:b/>
        </w:rPr>
        <w:t xml:space="preserve">“</w:t>
      </w:r>
      <w:r>
        <w:rPr>
          <w:bCs/>
          <w:b/>
        </w:rPr>
        <w:t xml:space="preserve">Agnimīḷe</w:t>
      </w:r>
      <w:r>
        <w:rPr>
          <w:bCs/>
          <w:b/>
        </w:rPr>
        <w:t xml:space="preserve">”</w:t>
      </w:r>
      <w:r>
        <w:rPr>
          <w:bCs/>
          <w:b/>
        </w:rPr>
        <w:t xml:space="preserve"> </w:t>
      </w:r>
      <w:r>
        <w:rPr>
          <w:bCs/>
          <w:b/>
        </w:rPr>
        <w:t xml:space="preserve">is recited — its application was already stated earlier (Volume 1), as was the application of the second sukta</w:t>
      </w:r>
      <w:r>
        <w:rPr>
          <w:bCs/>
          <w:b/>
        </w:rPr>
        <w:t xml:space="preserve"> </w:t>
      </w:r>
      <w:r>
        <w:rPr>
          <w:bCs/>
          <w:b/>
        </w:rPr>
        <w:t xml:space="preserve">“</w:t>
      </w:r>
      <w:r>
        <w:rPr>
          <w:bCs/>
          <w:b/>
        </w:rPr>
        <w:t xml:space="preserve">Vāyav ā yāhi,</w:t>
      </w:r>
      <w:r>
        <w:rPr>
          <w:bCs/>
          <w:b/>
        </w:rPr>
        <w:t xml:space="preserve">”</w:t>
      </w:r>
      <w:r>
        <w:rPr>
          <w:bCs/>
          <w:b/>
        </w:rPr>
        <w:t xml:space="preserve"> </w:t>
      </w:r>
      <w:r>
        <w:rPr>
          <w:bCs/>
          <w:b/>
        </w:rPr>
        <w:t xml:space="preserve">a nine-mantra sukta.</w:t>
      </w:r>
      <w:r>
        <w:t xml:space="preserve"> </w:t>
      </w:r>
      <w:r>
        <w:t xml:space="preserve">We now come to the third sukta,</w:t>
      </w:r>
      <w:r>
        <w:t xml:space="preserve"> </w:t>
      </w:r>
      <w:r>
        <w:t xml:space="preserve">“</w:t>
      </w:r>
      <w:r>
        <w:t xml:space="preserve">Aśvinā yajvarīr iṣaḥ,</w:t>
      </w:r>
      <w:r>
        <w:t xml:space="preserve">”</w:t>
      </w:r>
      <w:r>
        <w:t xml:space="preserve"> </w:t>
      </w:r>
      <w:r>
        <w:t xml:space="preserve">a twelve-mantra sukta, which the Hotṛ must recite during the Pralugat-shastra portion.</w:t>
      </w:r>
      <w:r>
        <w:t xml:space="preserve"> </w:t>
      </w:r>
      <w:r>
        <w:rPr>
          <w:bCs/>
          <w:b/>
        </w:rPr>
        <w:t xml:space="preserve">The sequence of the Pralugat-shastra mantras runs as follows: Vāyu, Indra-Vāyu, Mitrā-Varuṇā, Aśvin, Indra, Viśvedevāḥ, Sarasvatī</w:t>
      </w:r>
      <w:r>
        <w:t xml:space="preserve"> </w:t>
      </w:r>
      <w:r>
        <w:t xml:space="preserve">— mantras praising these seven deities in turn, each deity addressed by three mantras (called a</w:t>
      </w:r>
      <w:r>
        <w:t xml:space="preserve"> </w:t>
      </w:r>
      <w:r>
        <w:t xml:space="preserve">“</w:t>
      </w:r>
      <w:r>
        <w:t xml:space="preserve">Ṛca</w:t>
      </w:r>
      <w:r>
        <w:t xml:space="preserve">”</w:t>
      </w:r>
      <w:r>
        <w:t xml:space="preserve">). Within the sukta</w:t>
      </w:r>
      <w:r>
        <w:t xml:space="preserve"> </w:t>
      </w:r>
      <w:r>
        <w:t xml:space="preserve">“</w:t>
      </w:r>
      <w:r>
        <w:t xml:space="preserve">Vāyav ā yāhi</w:t>
      </w:r>
      <w:r>
        <w:t xml:space="preserve">”</w:t>
      </w:r>
      <w:r>
        <w:t xml:space="preserve">…</w:t>
      </w:r>
    </w:p>
    <w:bookmarkEnd w:id="30"/>
    <w:bookmarkStart w:id="31" w:name="page-8"/>
    <w:p>
      <w:pPr>
        <w:pStyle w:val="Heading3"/>
      </w:pPr>
      <w:r>
        <w:t xml:space="preserve">Page 8</w:t>
      </w:r>
    </w:p>
    <w:p>
      <w:pPr>
        <w:pStyle w:val="FirstParagraph"/>
      </w:pPr>
      <w:r>
        <w:rPr>
          <w:bCs/>
          <w:b/>
        </w:rPr>
        <w:t xml:space="preserve">…of the nine mantras [in</w:t>
      </w:r>
      <w:r>
        <w:rPr>
          <w:bCs/>
          <w:b/>
        </w:rPr>
        <w:t xml:space="preserve"> </w:t>
      </w:r>
      <w:r>
        <w:rPr>
          <w:bCs/>
          <w:b/>
        </w:rPr>
        <w:t xml:space="preserve">“</w:t>
      </w:r>
      <w:r>
        <w:rPr>
          <w:bCs/>
          <w:b/>
        </w:rPr>
        <w:t xml:space="preserve">Vāyav ā yāhi</w:t>
      </w:r>
      <w:r>
        <w:rPr>
          <w:bCs/>
          <w:b/>
        </w:rPr>
        <w:t xml:space="preserve">”</w:t>
      </w:r>
      <w:r>
        <w:rPr>
          <w:bCs/>
          <w:b/>
        </w:rPr>
        <w:t xml:space="preserve">]: the first three concern Vāyu; four through six concern Indra-Vāyu; seven through nine concern Mitrā-Varuṇā. In the sukta</w:t>
      </w:r>
      <w:r>
        <w:rPr>
          <w:bCs/>
          <w:b/>
        </w:rPr>
        <w:t xml:space="preserve"> </w:t>
      </w:r>
      <w:r>
        <w:rPr>
          <w:bCs/>
          <w:b/>
        </w:rPr>
        <w:t xml:space="preserve">“</w:t>
      </w:r>
      <w:r>
        <w:rPr>
          <w:bCs/>
          <w:b/>
        </w:rPr>
        <w:t xml:space="preserve">Aśvinā yajvarīr iṣaḥ</w:t>
      </w:r>
      <w:r>
        <w:rPr>
          <w:bCs/>
          <w:b/>
        </w:rPr>
        <w:t xml:space="preserve">”</w:t>
      </w:r>
      <w:r>
        <w:rPr>
          <w:bCs/>
          <w:b/>
        </w:rPr>
        <w:t xml:space="preserve"> </w:t>
      </w:r>
      <w:r>
        <w:rPr>
          <w:bCs/>
          <w:b/>
        </w:rPr>
        <w:t xml:space="preserve">that follows: mantras one through three concern the Ashvins; four through six, Indra; seven through nine, the Vishvadevas; and nine through twelve, Sarasvatī.</w:t>
      </w:r>
      <w:r>
        <w:t xml:space="preserve"> </w:t>
      </w:r>
      <w:r>
        <w:t xml:space="preserve">Together, these two suktas thus form seven groups of three mantras (21 mantras total), addressed to seven deities’ Shastra-mantras.</w:t>
      </w:r>
      <w:r>
        <w:t xml:space="preserve"> </w:t>
      </w:r>
      <w:r>
        <w:rPr>
          <w:bCs/>
          <w:b/>
        </w:rPr>
        <w:t xml:space="preserve">The Hotṛ must recite these during the second [sukta’s] Pralugat-shastra recitation in the morning pressing, immediately after the Udgātṛ sings the Ajya-stotras.</w:t>
      </w:r>
      <w:r>
        <w:t xml:space="preserve"> </w:t>
      </w:r>
      <w:r>
        <w:t xml:space="preserve">This is the application of both the second and third suktas.</w:t>
      </w:r>
    </w:p>
    <w:p>
      <w:pPr>
        <w:pStyle w:val="BodyText"/>
      </w:pPr>
      <w:r>
        <w:rPr>
          <w:bCs/>
          <w:b/>
        </w:rPr>
        <w:t xml:space="preserve">This sequence is confirmed in the Aitareya Brahmana, in the section beginning</w:t>
      </w:r>
      <w:r>
        <w:rPr>
          <w:bCs/>
          <w:b/>
        </w:rPr>
        <w:t xml:space="preserve"> </w:t>
      </w:r>
      <w:r>
        <w:rPr>
          <w:bCs/>
          <w:b/>
        </w:rPr>
        <w:t xml:space="preserve">“</w:t>
      </w:r>
      <w:r>
        <w:rPr>
          <w:bCs/>
          <w:b/>
        </w:rPr>
        <w:t xml:space="preserve">gṛho’laṃ</w:t>
      </w:r>
      <w:r>
        <w:rPr>
          <w:bCs/>
          <w:b/>
        </w:rPr>
        <w:t xml:space="preserve">”</w:t>
      </w:r>
      <w:r>
        <w:rPr>
          <w:bCs/>
          <w:b/>
        </w:rPr>
        <w:t xml:space="preserve"> </w:t>
      </w:r>
      <w:r>
        <w:rPr>
          <w:bCs/>
          <w:b/>
        </w:rPr>
        <w:t xml:space="preserve">(Aitareya Brahmana 3.1), and by Ashvalayana in his own Shrauta-sutra, in the section</w:t>
      </w:r>
      <w:r>
        <w:rPr>
          <w:bCs/>
          <w:b/>
        </w:rPr>
        <w:t xml:space="preserve"> </w:t>
      </w:r>
      <w:r>
        <w:rPr>
          <w:bCs/>
          <w:b/>
        </w:rPr>
        <w:t xml:space="preserve">“</w:t>
      </w:r>
      <w:r>
        <w:rPr>
          <w:bCs/>
          <w:b/>
        </w:rPr>
        <w:t xml:space="preserve">stotram agre śastrāt</w:t>
      </w:r>
      <w:r>
        <w:rPr>
          <w:bCs/>
          <w:b/>
        </w:rPr>
        <w:t xml:space="preserve">”</w:t>
      </w:r>
      <w:r>
        <w:rPr>
          <w:bCs/>
          <w:b/>
        </w:rPr>
        <w:t xml:space="preserve"> </w:t>
      </w:r>
      <w:r>
        <w:rPr>
          <w:bCs/>
          <w:b/>
        </w:rPr>
        <w:t xml:space="preserve">(Ashvalayana Sutra 5.10).</w:t>
      </w:r>
      <w:r>
        <w:t xml:space="preserve"> </w:t>
      </w:r>
      <w:r>
        <w:t xml:space="preserve">The Anukramanika states it thus:</w:t>
      </w:r>
    </w:p>
    <w:p>
      <w:pPr>
        <w:pStyle w:val="BlockText"/>
      </w:pPr>
      <w:r>
        <w:t xml:space="preserve">वायो वायव्यमिन्द्रवायवमित्रावरुणाऋचा अश्विना द्वादशाश्वैन्द्रैश्वदेवसारस्वासृचा सप्तृचा प्रलुगदेवता ।</w:t>
      </w:r>
      <w:r>
        <w:t xml:space="preserve"> </w:t>
      </w:r>
      <w:r>
        <w:rPr>
          <w:iCs/>
          <w:i/>
        </w:rPr>
        <w:t xml:space="preserve">(this compressed index-entry, confirming the seven-deity structure just described, remains a genuinely dense best-effort reading)</w:t>
      </w:r>
    </w:p>
    <w:p>
      <w:pPr>
        <w:pStyle w:val="FirstParagraph"/>
      </w:pPr>
      <w:r>
        <w:rPr>
          <w:bCs/>
          <w:b/>
        </w:rPr>
        <w:t xml:space="preserve">That is: in</w:t>
      </w:r>
      <w:r>
        <w:rPr>
          <w:bCs/>
          <w:b/>
        </w:rPr>
        <w:t xml:space="preserve"> </w:t>
      </w:r>
      <w:r>
        <w:rPr>
          <w:bCs/>
          <w:b/>
        </w:rPr>
        <w:t xml:space="preserve">“</w:t>
      </w:r>
      <w:r>
        <w:rPr>
          <w:bCs/>
          <w:b/>
        </w:rPr>
        <w:t xml:space="preserve">Vāyav ā yāhi,</w:t>
      </w:r>
      <w:r>
        <w:rPr>
          <w:bCs/>
          <w:b/>
        </w:rPr>
        <w:t xml:space="preserve">”</w:t>
      </w:r>
      <w:r>
        <w:rPr>
          <w:bCs/>
          <w:b/>
        </w:rPr>
        <w:t xml:space="preserve"> </w:t>
      </w:r>
      <w:r>
        <w:rPr>
          <w:bCs/>
          <w:b/>
        </w:rPr>
        <w:t xml:space="preserve">each group of three mantras addresses one deity — Vāyu, Indra-Vāyu, Mitrā-Varuṇā — three deities in all; and in</w:t>
      </w:r>
      <w:r>
        <w:rPr>
          <w:bCs/>
          <w:b/>
        </w:rPr>
        <w:t xml:space="preserve"> </w:t>
      </w:r>
      <w:r>
        <w:rPr>
          <w:bCs/>
          <w:b/>
        </w:rPr>
        <w:t xml:space="preserve">“</w:t>
      </w:r>
      <w:r>
        <w:rPr>
          <w:bCs/>
          <w:b/>
        </w:rPr>
        <w:t xml:space="preserve">Aśvinā yajvarīr iṣaḥ,</w:t>
      </w:r>
      <w:r>
        <w:rPr>
          <w:bCs/>
          <w:b/>
        </w:rPr>
        <w:t xml:space="preserve">”</w:t>
      </w:r>
      <w:r>
        <w:rPr>
          <w:bCs/>
          <w:b/>
        </w:rPr>
        <w:t xml:space="preserve"> </w:t>
      </w:r>
      <w:r>
        <w:rPr>
          <w:bCs/>
          <w:b/>
        </w:rPr>
        <w:t xml:space="preserve">similarly, each group of three addresses Aśvinā, Indra, Viśvedevāḥ, Sarasvatī — four further deities. Together, these seven deities bear the name</w:t>
      </w:r>
      <w:r>
        <w:rPr>
          <w:bCs/>
          <w:b/>
        </w:rPr>
        <w:t xml:space="preserve"> </w:t>
      </w:r>
      <w:r>
        <w:rPr>
          <w:bCs/>
          <w:b/>
        </w:rPr>
        <w:t xml:space="preserve">“</w:t>
      </w:r>
      <w:r>
        <w:rPr>
          <w:bCs/>
          <w:b/>
        </w:rPr>
        <w:t xml:space="preserve">Pralugat-devatāḥ.</w:t>
      </w:r>
      <w:r>
        <w:rPr>
          <w:bCs/>
          <w:b/>
        </w:rPr>
        <w:t xml:space="preserve">”</w:t>
      </w:r>
      <w:r>
        <w:rPr>
          <w:bCs/>
          <w:b/>
        </w:rPr>
        <w:t xml:space="preserve"> </w:t>
      </w:r>
      <w:r>
        <w:rPr>
          <w:bCs/>
          <w:b/>
        </w:rPr>
        <w:t xml:space="preserve">This is this sukta’s full application-sequence.</w:t>
      </w:r>
    </w:p>
    <w:bookmarkEnd w:id="31"/>
    <w:bookmarkStart w:id="32" w:name="page-9-sūkta-3-the-first-mantra"/>
    <w:p>
      <w:pPr>
        <w:pStyle w:val="Heading3"/>
      </w:pPr>
      <w:r>
        <w:t xml:space="preserve">Page 9 — Sūkta 3, The First Mantra</w:t>
      </w:r>
    </w:p>
    <w:p>
      <w:pPr>
        <w:pStyle w:val="FirstParagraph"/>
      </w:pPr>
      <w:r>
        <w:rPr>
          <w:bCs/>
          <w:b/>
        </w:rPr>
        <w:t xml:space="preserve">॥ Om ॥</w:t>
      </w:r>
    </w:p>
    <w:p>
      <w:pPr>
        <w:pStyle w:val="BodyText"/>
      </w:pPr>
      <w:r>
        <w:rPr>
          <w:bCs/>
          <w:b/>
        </w:rPr>
        <w:t xml:space="preserve">॥ Sūkta — 3 ॥</w:t>
      </w:r>
      <w:r>
        <w:t xml:space="preserve"> </w:t>
      </w:r>
      <w:r>
        <w:rPr>
          <w:bCs/>
          <w:b/>
        </w:rPr>
        <w:t xml:space="preserve">॥ Maṇḍala — 1 ॥ Anuvāka — 1 ॥ Sūkta — 3 ॥</w:t>
      </w:r>
      <w:r>
        <w:t xml:space="preserve"> </w:t>
      </w:r>
      <w:r>
        <w:rPr>
          <w:bCs/>
          <w:b/>
        </w:rPr>
        <w:t xml:space="preserve">॥ Aṣṭaka — 1 ॥ Adhyāya — 1 ॥ Varga — 5, 6 ॥</w:t>
      </w:r>
    </w:p>
    <w:p>
      <w:pPr>
        <w:pStyle w:val="BodyText"/>
      </w:pPr>
      <w:r>
        <w:rPr>
          <w:bCs/>
          <w:b/>
        </w:rPr>
        <w:t xml:space="preserve">॥ Mantra-numbers contained in this sukta: 1–12</w:t>
      </w:r>
      <w:r>
        <w:t xml:space="preserve"> </w:t>
      </w:r>
      <w:r>
        <w:rPr>
          <w:iCs/>
          <w:i/>
        </w:rPr>
        <w:t xml:space="preserve">(the source’s own printed figure reads</w:t>
      </w:r>
      <w:r>
        <w:rPr>
          <w:iCs/>
          <w:i/>
        </w:rPr>
        <w:t xml:space="preserve"> </w:t>
      </w:r>
      <w:r>
        <w:rPr>
          <w:iCs/>
          <w:i/>
        </w:rPr>
        <w:t xml:space="preserve">“</w:t>
      </w:r>
      <w:r>
        <w:rPr>
          <w:iCs/>
          <w:i/>
        </w:rPr>
        <w:t xml:space="preserve">1–13,</w:t>
      </w:r>
      <w:r>
        <w:rPr>
          <w:iCs/>
          <w:i/>
        </w:rPr>
        <w:t xml:space="preserve">”</w:t>
      </w:r>
      <w:r>
        <w:rPr>
          <w:iCs/>
          <w:i/>
        </w:rPr>
        <w:t xml:space="preserve"> </w:t>
      </w:r>
      <w:r>
        <w:rPr>
          <w:iCs/>
          <w:i/>
        </w:rPr>
        <w:t xml:space="preserve">but the deity-breakdown below accounts for only 12 mantras in four groups of three, matching the</w:t>
      </w:r>
      <w:r>
        <w:rPr>
          <w:iCs/>
          <w:i/>
        </w:rPr>
        <w:t xml:space="preserve"> </w:t>
      </w:r>
      <w:r>
        <w:rPr>
          <w:iCs/>
          <w:i/>
        </w:rPr>
        <w:t xml:space="preserve">“</w:t>
      </w:r>
      <w:r>
        <w:rPr>
          <w:iCs/>
          <w:i/>
        </w:rPr>
        <w:t xml:space="preserve">twelve-mantra sukta</w:t>
      </w:r>
      <w:r>
        <w:rPr>
          <w:iCs/>
          <w:i/>
        </w:rPr>
        <w:t xml:space="preserve">”</w:t>
      </w:r>
      <w:r>
        <w:rPr>
          <w:iCs/>
          <w:i/>
        </w:rPr>
        <w:t xml:space="preserve"> </w:t>
      </w:r>
      <w:r>
        <w:rPr>
          <w:iCs/>
          <w:i/>
        </w:rPr>
        <w:t xml:space="preserve">already confirmed by the Sutra citation on page 5 — the</w:t>
      </w:r>
      <w:r>
        <w:rPr>
          <w:iCs/>
          <w:i/>
        </w:rPr>
        <w:t xml:space="preserve"> </w:t>
      </w:r>
      <w:r>
        <w:rPr>
          <w:iCs/>
          <w:i/>
        </w:rPr>
        <w:t xml:space="preserve">“</w:t>
      </w:r>
      <w:r>
        <w:rPr>
          <w:iCs/>
          <w:i/>
        </w:rPr>
        <w:t xml:space="preserve">13</w:t>
      </w:r>
      <w:r>
        <w:rPr>
          <w:iCs/>
          <w:i/>
        </w:rPr>
        <w:t xml:space="preserve">”</w:t>
      </w:r>
      <w:r>
        <w:rPr>
          <w:iCs/>
          <w:i/>
        </w:rPr>
        <w:t xml:space="preserve"> </w:t>
      </w:r>
      <w:r>
        <w:rPr>
          <w:iCs/>
          <w:i/>
        </w:rPr>
        <w:t xml:space="preserve">is treated here as a likely scanning artifact for</w:t>
      </w:r>
      <w:r>
        <w:rPr>
          <w:iCs/>
          <w:i/>
        </w:rPr>
        <w:t xml:space="preserve"> </w:t>
      </w:r>
      <w:r>
        <w:rPr>
          <w:iCs/>
          <w:i/>
        </w:rPr>
        <w:t xml:space="preserve">“</w:t>
      </w:r>
      <w:r>
        <w:rPr>
          <w:iCs/>
          <w:i/>
        </w:rPr>
        <w:t xml:space="preserve">12</w:t>
      </w:r>
      <w:r>
        <w:rPr>
          <w:iCs/>
          <w:i/>
        </w:rPr>
        <w:t xml:space="preserve">”</w:t>
      </w:r>
      <w:r>
        <w:rPr>
          <w:iCs/>
          <w:i/>
        </w:rPr>
        <w:t xml:space="preserve">)</w:t>
      </w:r>
      <w:r>
        <w:t xml:space="preserve"> </w:t>
      </w:r>
      <w:r>
        <w:rPr>
          <w:bCs/>
          <w:b/>
        </w:rPr>
        <w:t xml:space="preserve">॥</w:t>
      </w:r>
    </w:p>
    <w:p>
      <w:pPr>
        <w:pStyle w:val="BodyText"/>
      </w:pPr>
      <w:r>
        <w:rPr>
          <w:bCs/>
          <w:b/>
        </w:rPr>
        <w:t xml:space="preserve">Ṛṣi — Madhucchandā Vaiśvāmitraḥ</w:t>
      </w:r>
      <w:r>
        <w:t xml:space="preserve"> </w:t>
      </w:r>
      <w:r>
        <w:rPr>
          <w:iCs/>
          <w:i/>
        </w:rPr>
        <w:t xml:space="preserve">(the same rishi who composed Suktas 1 and 2)</w:t>
      </w:r>
      <w:r>
        <w:t xml:space="preserve"> </w:t>
      </w:r>
      <w:r>
        <w:rPr>
          <w:bCs/>
          <w:b/>
        </w:rPr>
        <w:t xml:space="preserve">Devatā — Mantras 1–3: Aśvin; 4–6: Indraḥ; 7–9: Viśvedevāḥ; 10–12: Sarasvatī</w:t>
      </w:r>
      <w:r>
        <w:t xml:space="preserve"> </w:t>
      </w:r>
      <w:r>
        <w:rPr>
          <w:bCs/>
          <w:b/>
        </w:rPr>
        <w:t xml:space="preserve">Chandaḥ — Gāyatrī</w:t>
      </w:r>
    </w:p>
    <w:p>
      <w:r>
        <w:pict>
          <v:rect style="width:0;height:1.5pt" o:hralign="center" o:hrstd="t" o:hr="t"/>
        </w:pict>
      </w:r>
    </w:p>
    <w:p>
      <w:pPr>
        <w:pStyle w:val="FirstParagraph"/>
      </w:pPr>
      <w:r>
        <w:rPr>
          <w:bCs/>
          <w:b/>
        </w:rPr>
        <w:t xml:space="preserve">॥ Saṃhitā-pāṭhaḥ ॥</w:t>
      </w:r>
    </w:p>
    <w:p>
      <w:pPr>
        <w:pStyle w:val="BlockText"/>
      </w:pPr>
      <w:r>
        <w:t xml:space="preserve">अश्वि॑ना॒ यज्व॑री॒रिषो॒ द्रव॑त्पाणी॒ शुभ॑स्पती ।</w:t>
      </w:r>
      <w:r>
        <w:t xml:space="preserve"> </w:t>
      </w:r>
      <w:r>
        <w:t xml:space="preserve">पुरु॑भुजा चन॒स्यतं॑ ॥१॥</w:t>
      </w:r>
    </w:p>
    <w:p>
      <w:pPr>
        <w:pStyle w:val="BlockText"/>
      </w:pPr>
      <w:r>
        <w:rPr>
          <w:iCs/>
          <w:i/>
        </w:rPr>
        <w:t xml:space="preserve">áśvinā yájvarīríṣo drávatpāṇī śúbhaspatī |</w:t>
      </w:r>
      <w:r>
        <w:t xml:space="preserve"> </w:t>
      </w:r>
      <w:r>
        <w:rPr>
          <w:iCs/>
          <w:i/>
        </w:rPr>
        <w:t xml:space="preserve">púrubhujā canasyátaṃ ||1||</w:t>
      </w:r>
    </w:p>
    <w:p>
      <w:pPr>
        <w:pStyle w:val="FirstParagraph"/>
      </w:pPr>
      <w:r>
        <w:rPr>
          <w:bCs/>
          <w:b/>
        </w:rPr>
        <w:t xml:space="preserve">॥ Pada-pāṭhaḥ ॥</w:t>
      </w:r>
    </w:p>
    <w:p>
      <w:pPr>
        <w:pStyle w:val="BlockText"/>
      </w:pPr>
      <w:r>
        <w:t xml:space="preserve">अश्विना । यज्वरीः । इषः । द्रवत्पाणी इति द्रवत्पाणी । शुभः । पती इति ।</w:t>
      </w:r>
      <w:r>
        <w:t xml:space="preserve"> </w:t>
      </w:r>
      <w:r>
        <w:t xml:space="preserve">पुरुभुजा । चनस्यतम् ॥१॥</w:t>
      </w:r>
    </w:p>
    <w:p>
      <w:pPr>
        <w:pStyle w:val="FirstParagraph"/>
      </w:pPr>
      <w:r>
        <w:rPr>
          <w:bCs/>
          <w:b/>
        </w:rPr>
        <w:t xml:space="preserve">॥ Sāyaṇa-bhāṣyam ॥</w:t>
      </w:r>
    </w:p>
    <w:p>
      <w:pPr>
        <w:pStyle w:val="BlockText"/>
      </w:pPr>
      <w:r>
        <w:t xml:space="preserve">हे अश्विना युवामिमे शनिर्लक्षणान्नानि चनस्यतम् । इच्छतम् । भुंजाथामित्यर्थः । यद्वापि चनिशब्दोऽन्नवाचे तथापीषेत्यनेन सह नास्ति पुनरुक्तिदोषः । इच्छामुपलक्षयितुं प्रयुक्तत्वात् । वक्तव्यमुच्यते । समूलकाशं कृषतीत्यादौ यथा पुनरुक्तभावस्तत् । कीदृशीरिषः । यज्वरीः । यागनिष्पादिकाः । कीदृशावश्विना । द्रवत्पाणी । शीघ्रग्रहणाय प्रवद्भ्यां धावद्भ्यां पाणिभ्यामुपेतौ । शुभस्पती । शोभनस्य कर्मणः पालकौ । पुरुभुजा । विस्तीर्णभुजौ बहुभोजौ ।</w:t>
      </w:r>
      <w:r>
        <w:t xml:space="preserve"> </w:t>
      </w:r>
      <w:r>
        <w:rPr>
          <w:iCs/>
          <w:i/>
        </w:rPr>
        <w:t xml:space="preserve">he aśvinā yuvām ime śanir-lakṣaṇānnāni canasyatam | icchatam | bhuñjāthām ity arthaḥ | yadvāpi cani-śabdo’nna-vāce tathāpīṣety anena saha nāsti punarukti-doṣaḥ | icchām upalakṣayituṃ prayuktatvāt | vaktavyam ucyate | samūla-kāśaṃ kṛṣatīty ādau yathā punarukta-bhāvas tat | kīdṛśīr iṣaḥ | yajvarīḥ | yāga-niṣpādikāḥ | kīdṛśāv aśvinā | dravat-pāṇī | śīghra-grahaṇāya pravadbhyāṃ dhāvadbhyāṃ pāṇibhyām upetau | śubhas patī | śobhanasya karmaṇaḥ pālakau | purubhujā | vistīrṇa-bhujau bahu-bhojau |</w:t>
      </w:r>
    </w:p>
    <w:p>
      <w:pPr>
        <w:pStyle w:val="FirstParagraph"/>
      </w:pPr>
      <w:r>
        <w:rPr>
          <w:bCs/>
          <w:b/>
        </w:rPr>
        <w:t xml:space="preserve">Translation:</w:t>
      </w:r>
      <w:r>
        <w:t xml:space="preserve"> </w:t>
      </w:r>
      <w:r>
        <w:t xml:space="preserve">“</w:t>
      </w:r>
      <w:r>
        <w:t xml:space="preserve">O Ashvins! You two desire (</w:t>
      </w:r>
      <w:r>
        <w:t xml:space="preserve">‘</w:t>
      </w:r>
      <w:r>
        <w:t xml:space="preserve">canasyatam</w:t>
      </w:r>
      <w:r>
        <w:t xml:space="preserve">’</w:t>
      </w:r>
      <w:r>
        <w:t xml:space="preserve">) these foods marked by swiftness — the sense being,</w:t>
      </w:r>
      <w:r>
        <w:t xml:space="preserve"> </w:t>
      </w:r>
      <w:r>
        <w:t xml:space="preserve">‘</w:t>
      </w:r>
      <w:r>
        <w:t xml:space="preserve">may you two partake.</w:t>
      </w:r>
      <w:r>
        <w:t xml:space="preserve">’</w:t>
      </w:r>
      <w:r>
        <w:t xml:space="preserve"> </w:t>
      </w:r>
      <w:r>
        <w:t xml:space="preserve">Even though the word</w:t>
      </w:r>
      <w:r>
        <w:t xml:space="preserve"> </w:t>
      </w:r>
      <w:r>
        <w:t xml:space="preserve">‘</w:t>
      </w:r>
      <w:r>
        <w:t xml:space="preserve">cani</w:t>
      </w:r>
      <w:r>
        <w:t xml:space="preserve">’</w:t>
      </w:r>
      <w:r>
        <w:t xml:space="preserve"> </w:t>
      </w:r>
      <w:r>
        <w:t xml:space="preserve">itself means</w:t>
      </w:r>
      <w:r>
        <w:t xml:space="preserve"> </w:t>
      </w:r>
      <w:r>
        <w:t xml:space="preserve">‘</w:t>
      </w:r>
      <w:r>
        <w:t xml:space="preserve">food,</w:t>
      </w:r>
      <w:r>
        <w:t xml:space="preserve">’</w:t>
      </w:r>
      <w:r>
        <w:t xml:space="preserve"> </w:t>
      </w:r>
      <w:r>
        <w:t xml:space="preserve">joining it with</w:t>
      </w:r>
      <w:r>
        <w:t xml:space="preserve"> </w:t>
      </w:r>
      <w:r>
        <w:t xml:space="preserve">‘</w:t>
      </w:r>
      <w:r>
        <w:t xml:space="preserve">iṣa</w:t>
      </w:r>
      <w:r>
        <w:t xml:space="preserve">’</w:t>
      </w:r>
      <w:r>
        <w:t xml:space="preserve"> </w:t>
      </w:r>
      <w:r>
        <w:t xml:space="preserve">(also</w:t>
      </w:r>
      <w:r>
        <w:t xml:space="preserve"> </w:t>
      </w:r>
      <w:r>
        <w:t xml:space="preserve">‘</w:t>
      </w:r>
      <w:r>
        <w:t xml:space="preserve">food</w:t>
      </w:r>
      <w:r>
        <w:t xml:space="preserve">’</w:t>
      </w:r>
      <w:r>
        <w:t xml:space="preserve">) is not a fault of redundancy, since here it is used specifically to convey the sense of</w:t>
      </w:r>
      <w:r>
        <w:t xml:space="preserve"> </w:t>
      </w:r>
      <w:r>
        <w:t xml:space="preserve">‘</w:t>
      </w:r>
      <w:r>
        <w:t xml:space="preserve">desiring</w:t>
      </w:r>
      <w:r>
        <w:t xml:space="preserve">’</w:t>
      </w:r>
      <w:r>
        <w:t xml:space="preserve">; this needs to be stated, [just as there is no redundancy] in expressions like</w:t>
      </w:r>
      <w:r>
        <w:t xml:space="preserve"> </w:t>
      </w:r>
      <w:r>
        <w:t xml:space="preserve">‘</w:t>
      </w:r>
      <w:r>
        <w:t xml:space="preserve">samūla-kāśaṃ kṛṣati</w:t>
      </w:r>
      <w:r>
        <w:t xml:space="preserve">’</w:t>
      </w:r>
      <w:r>
        <w:t xml:space="preserve"> </w:t>
      </w:r>
      <w:r>
        <w:t xml:space="preserve">[a comparable grammatical construction]. What kind of foods?</w:t>
      </w:r>
      <w:r>
        <w:t xml:space="preserve"> </w:t>
      </w:r>
      <w:r>
        <w:t xml:space="preserve">‘</w:t>
      </w:r>
      <w:r>
        <w:t xml:space="preserve">Yajvarīḥ</w:t>
      </w:r>
      <w:r>
        <w:t xml:space="preserve">’</w:t>
      </w:r>
      <w:r>
        <w:t xml:space="preserve"> </w:t>
      </w:r>
      <w:r>
        <w:t xml:space="preserve">— those that bring the sacrifice to completion. What kind of pair are the Ashvins?</w:t>
      </w:r>
      <w:r>
        <w:t xml:space="preserve"> </w:t>
      </w:r>
      <w:r>
        <w:t xml:space="preserve">‘</w:t>
      </w:r>
      <w:r>
        <w:t xml:space="preserve">Dravat-pāṇī</w:t>
      </w:r>
      <w:r>
        <w:t xml:space="preserve">’</w:t>
      </w:r>
      <w:r>
        <w:t xml:space="preserve"> </w:t>
      </w:r>
      <w:r>
        <w:t xml:space="preserve">— possessing hands that move quick and swift, for grasping things rapidly.</w:t>
      </w:r>
      <w:r>
        <w:t xml:space="preserve"> </w:t>
      </w:r>
      <w:r>
        <w:t xml:space="preserve">‘</w:t>
      </w:r>
      <w:r>
        <w:t xml:space="preserve">Śubhas-patī</w:t>
      </w:r>
      <w:r>
        <w:t xml:space="preserve">’</w:t>
      </w:r>
      <w:r>
        <w:t xml:space="preserve"> </w:t>
      </w:r>
      <w:r>
        <w:t xml:space="preserve">— protectors of auspicious action.</w:t>
      </w:r>
      <w:r>
        <w:t xml:space="preserve"> </w:t>
      </w:r>
      <w:r>
        <w:t xml:space="preserve">‘</w:t>
      </w:r>
      <w:r>
        <w:t xml:space="preserve">Purubhujā</w:t>
      </w:r>
      <w:r>
        <w:t xml:space="preserve">’</w:t>
      </w:r>
      <w:r>
        <w:t xml:space="preserve"> </w:t>
      </w:r>
      <w:r>
        <w:t xml:space="preserve">— broad-armed, enjoying much…</w:t>
      </w:r>
      <w:r>
        <w:t xml:space="preserve">”</w:t>
      </w:r>
    </w:p>
    <w:bookmarkEnd w:id="32"/>
    <w:bookmarkStart w:id="33" w:name="page-10"/>
    <w:p>
      <w:pPr>
        <w:pStyle w:val="Heading3"/>
      </w:pPr>
      <w:r>
        <w:t xml:space="preserve">Page 10</w:t>
      </w:r>
    </w:p>
    <w:p>
      <w:pPr>
        <w:pStyle w:val="FirstParagraph"/>
      </w:pPr>
      <w:r>
        <w:rPr>
          <w:iCs/>
          <w:i/>
        </w:rPr>
        <w:t xml:space="preserve">(This page continues and closes the Sāyaṇa-bhāṣya’s grammatical derivation of</w:t>
      </w:r>
      <w:r>
        <w:rPr>
          <w:iCs/>
          <w:i/>
        </w:rPr>
        <w:t xml:space="preserve"> </w:t>
      </w:r>
      <w:r>
        <w:rPr>
          <w:iCs/>
          <w:i/>
        </w:rPr>
        <w:t xml:space="preserve">“</w:t>
      </w:r>
      <w:r>
        <w:rPr>
          <w:iCs/>
          <w:i/>
        </w:rPr>
        <w:t xml:space="preserve">aśvinā,</w:t>
      </w:r>
      <w:r>
        <w:rPr>
          <w:iCs/>
          <w:i/>
        </w:rPr>
        <w:t xml:space="preserve">”</w:t>
      </w:r>
      <w:r>
        <w:rPr>
          <w:iCs/>
          <w:i/>
        </w:rPr>
        <w:t xml:space="preserve"> </w:t>
      </w:r>
      <w:r>
        <w:rPr>
          <w:iCs/>
          <w:i/>
        </w:rPr>
        <w:t xml:space="preserve">“</w:t>
      </w:r>
      <w:r>
        <w:rPr>
          <w:iCs/>
          <w:i/>
        </w:rPr>
        <w:t xml:space="preserve">āmantritasya,</w:t>
      </w:r>
      <w:r>
        <w:rPr>
          <w:iCs/>
          <w:i/>
        </w:rPr>
        <w:t xml:space="preserve">”</w:t>
      </w:r>
      <w:r>
        <w:rPr>
          <w:iCs/>
          <w:i/>
        </w:rPr>
        <w:t xml:space="preserve"> </w:t>
      </w:r>
      <w:r>
        <w:rPr>
          <w:iCs/>
          <w:i/>
        </w:rPr>
        <w:t xml:space="preserve">“</w:t>
      </w:r>
      <w:r>
        <w:rPr>
          <w:iCs/>
          <w:i/>
        </w:rPr>
        <w:t xml:space="preserve">yajvarī,</w:t>
      </w:r>
      <w:r>
        <w:rPr>
          <w:iCs/>
          <w:i/>
        </w:rPr>
        <w:t xml:space="preserve">”</w:t>
      </w:r>
      <w:r>
        <w:rPr>
          <w:iCs/>
          <w:i/>
        </w:rPr>
        <w:t xml:space="preserve"> </w:t>
      </w:r>
      <w:r>
        <w:rPr>
          <w:iCs/>
          <w:i/>
        </w:rPr>
        <w:t xml:space="preserve">“</w:t>
      </w:r>
      <w:r>
        <w:rPr>
          <w:iCs/>
          <w:i/>
        </w:rPr>
        <w:t xml:space="preserve">dravat-pāṇī,</w:t>
      </w:r>
      <w:r>
        <w:rPr>
          <w:iCs/>
          <w:i/>
        </w:rPr>
        <w:t xml:space="preserve">”</w:t>
      </w:r>
      <w:r>
        <w:rPr>
          <w:iCs/>
          <w:i/>
        </w:rPr>
        <w:t xml:space="preserve"> </w:t>
      </w:r>
      <w:r>
        <w:rPr>
          <w:iCs/>
          <w:i/>
        </w:rPr>
        <w:t xml:space="preserve">“</w:t>
      </w:r>
      <w:r>
        <w:rPr>
          <w:iCs/>
          <w:i/>
        </w:rPr>
        <w:t xml:space="preserve">śubhas-patī,</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purubhujā</w:t>
      </w:r>
      <w:r>
        <w:rPr>
          <w:iCs/>
          <w:i/>
        </w:rPr>
        <w:t xml:space="preserve">”</w:t>
      </w:r>
      <w:r>
        <w:rPr>
          <w:iCs/>
          <w:i/>
        </w:rPr>
        <w:t xml:space="preserve"> </w:t>
      </w:r>
      <w:r>
        <w:rPr>
          <w:iCs/>
          <w:i/>
        </w:rPr>
        <w:t xml:space="preserve">in the established dense sutra-citation register — including specific accent-rules and a cross-reference to the word</w:t>
      </w:r>
      <w:r>
        <w:rPr>
          <w:iCs/>
          <w:i/>
        </w:rPr>
        <w:t xml:space="preserve"> </w:t>
      </w:r>
      <w:r>
        <w:rPr>
          <w:iCs/>
          <w:i/>
        </w:rPr>
        <w:t xml:space="preserve">“</w:t>
      </w:r>
      <w:r>
        <w:rPr>
          <w:iCs/>
          <w:i/>
        </w:rPr>
        <w:t xml:space="preserve">khādāte</w:t>
      </w:r>
      <w:r>
        <w:rPr>
          <w:iCs/>
          <w:i/>
        </w:rPr>
        <w:t xml:space="preserve">”</w:t>
      </w:r>
      <w:r>
        <w:rPr>
          <w:iCs/>
          <w:i/>
        </w:rPr>
        <w:t xml:space="preserve"> </w:t>
      </w:r>
      <w:r>
        <w:rPr>
          <w:iCs/>
          <w:i/>
        </w:rPr>
        <w:t xml:space="preserve">discussed elsewhere. Given the density, this portion is characterized rather than transcribed line-by-line, consistent with standing practice for this register throughout the project.)</w:t>
      </w:r>
    </w:p>
    <w:p>
      <w:pPr>
        <w:pStyle w:val="BodyText"/>
      </w:pPr>
      <w:r>
        <w:rPr>
          <w:bCs/>
          <w:b/>
        </w:rPr>
        <w:t xml:space="preserve">॥ Prati-padārthaḥ ॥</w:t>
      </w:r>
    </w:p>
    <w:p>
      <w:pPr>
        <w:pStyle w:val="BodyText"/>
      </w:pPr>
      <w:r>
        <w:rPr>
          <w:bCs/>
          <w:b/>
        </w:rPr>
        <w:t xml:space="preserve">(हे) अश्विना ((he) aśvinā)</w:t>
      </w:r>
      <w:r>
        <w:t xml:space="preserve"> </w:t>
      </w:r>
      <w:r>
        <w:t xml:space="preserve">— O Ashvin deities! (you two) |</w:t>
      </w:r>
      <w:r>
        <w:t xml:space="preserve"> </w:t>
      </w:r>
      <w:r>
        <w:rPr>
          <w:bCs/>
          <w:b/>
        </w:rPr>
        <w:t xml:space="preserve">शुभस्पती (śubhaspatī)</w:t>
      </w:r>
      <w:r>
        <w:t xml:space="preserve"> </w:t>
      </w:r>
      <w:r>
        <w:t xml:space="preserve">— protectors of good deeds (yajnas and similar rites) |</w:t>
      </w:r>
      <w:r>
        <w:t xml:space="preserve"> </w:t>
      </w:r>
      <w:r>
        <w:rPr>
          <w:bCs/>
          <w:b/>
        </w:rPr>
        <w:t xml:space="preserve">पुरुभुजा (purubhujā)</w:t>
      </w:r>
      <w:r>
        <w:t xml:space="preserve"> </w:t>
      </w:r>
      <w:r>
        <w:t xml:space="preserve">— your arms are long and expansive, or: you are great eaters |</w:t>
      </w:r>
      <w:r>
        <w:t xml:space="preserve"> </w:t>
      </w:r>
      <w:r>
        <w:rPr>
          <w:bCs/>
          <w:b/>
        </w:rPr>
        <w:t xml:space="preserve">द्रवत्पाणी (dravatpāṇī)</w:t>
      </w:r>
      <w:r>
        <w:t xml:space="preserve"> </w:t>
      </w:r>
      <w:r>
        <w:t xml:space="preserve">— those who come running, hands outstretched, to receive the oblation |</w:t>
      </w:r>
      <w:r>
        <w:t xml:space="preserve"> </w:t>
      </w:r>
      <w:r>
        <w:rPr>
          <w:bCs/>
          <w:b/>
        </w:rPr>
        <w:t xml:space="preserve">(such as you, being)</w:t>
      </w:r>
      <w:r>
        <w:t xml:space="preserve"> </w:t>
      </w:r>
      <w:r>
        <w:rPr>
          <w:bCs/>
          <w:b/>
        </w:rPr>
        <w:t xml:space="preserve">यज्वरी (yajvarī)</w:t>
      </w:r>
      <w:r>
        <w:t xml:space="preserve"> </w:t>
      </w:r>
      <w:r>
        <w:t xml:space="preserve">— connected with the sacrifice |</w:t>
      </w:r>
      <w:r>
        <w:t xml:space="preserve"> </w:t>
      </w:r>
      <w:r>
        <w:rPr>
          <w:bCs/>
          <w:b/>
        </w:rPr>
        <w:t xml:space="preserve">इषः (iṣaḥ)</w:t>
      </w:r>
      <w:r>
        <w:t xml:space="preserve"> </w:t>
      </w:r>
      <w:r>
        <w:t xml:space="preserve">— the food that takes the form of the oblation |</w:t>
      </w:r>
      <w:r>
        <w:t xml:space="preserve"> </w:t>
      </w:r>
      <w:r>
        <w:rPr>
          <w:bCs/>
          <w:b/>
        </w:rPr>
        <w:t xml:space="preserve">चनस्यतम् (canasyatam)</w:t>
      </w:r>
      <w:r>
        <w:t xml:space="preserve"> </w:t>
      </w:r>
      <w:r>
        <w:t xml:space="preserve">— may you desire to eat.</w:t>
      </w:r>
      <w:r>
        <w:t xml:space="preserve"> </w:t>
      </w:r>
      <w:r>
        <w:rPr>
          <w:iCs/>
          <w:i/>
        </w:rPr>
        <w:t xml:space="preserve">(Bhaṭṭasi’s gloss.)</w:t>
      </w:r>
    </w:p>
    <w:p>
      <w:pPr>
        <w:pStyle w:val="BodyText"/>
      </w:pPr>
      <w:r>
        <w:rPr>
          <w:iCs/>
          <w:i/>
        </w:rPr>
        <w:t xml:space="preserve">(Printed references in the grammatical tail on this page, in order: Pā. 3-2-103; Pā. 4-1-7; Ṛ. 1-2-8; Pā. 8-3-34; U. 4-199; U. 4-196; Pā. 6-1-66; Pā. 3-1-8; Pā. 3-1-32; Pā. 8-2-5 (Oct 2026 numeral pass).)</w:t>
      </w:r>
    </w:p>
    <w:bookmarkEnd w:id="33"/>
    <w:bookmarkStart w:id="34" w:name="page-11"/>
    <w:p>
      <w:pPr>
        <w:pStyle w:val="Heading3"/>
      </w:pPr>
      <w:r>
        <w:t xml:space="preserve">Page 11</w:t>
      </w:r>
    </w:p>
    <w:p>
      <w:pPr>
        <w:pStyle w:val="FirstParagraph"/>
      </w:pPr>
      <w:r>
        <w:rPr>
          <w:bCs/>
          <w:b/>
        </w:rPr>
        <w:t xml:space="preserve">॥ Bhāvārthaḥ ॥</w:t>
      </w:r>
    </w:p>
    <w:p>
      <w:pPr>
        <w:pStyle w:val="BodyText"/>
      </w:pPr>
      <w:r>
        <w:t xml:space="preserve">O Ashvin deities! You are protectors who ensure that auspicious undertakings proceed without obstacle. Your arms reach to your knees, your shoulders are exceedingly broad — or, you are those who eat abundantly. Therefore, come now quickly, hands outstretched, to partake of the oblation we have prepared in this yajna, and eat this food.</w:t>
      </w:r>
    </w:p>
    <w:p>
      <w:pPr>
        <w:pStyle w:val="BodyText"/>
      </w:pPr>
      <w:r>
        <w:rPr>
          <w:bCs/>
          <w:b/>
        </w:rPr>
        <w:t xml:space="preserve">॥ English Translation ॥</w:t>
      </w:r>
    </w:p>
    <w:p>
      <w:pPr>
        <w:pStyle w:val="BlockText"/>
      </w:pPr>
      <w:r>
        <w:t xml:space="preserve">O Asvins, you are cherishers of good deeds, your arms are long (or you are great eaters). You desire the sacrificial food with outstretched hands.</w:t>
      </w:r>
    </w:p>
    <w:p>
      <w:pPr>
        <w:pStyle w:val="FirstParagraph"/>
      </w:pPr>
      <w:r>
        <w:rPr>
          <w:bCs/>
          <w:b/>
        </w:rPr>
        <w:t xml:space="preserve">॥ Viśeṣa-viṣayagaḷu (Special Topics) ॥</w:t>
      </w:r>
    </w:p>
    <w:p>
      <w:pPr>
        <w:pStyle w:val="BodyText"/>
      </w:pPr>
      <w:r>
        <w:rPr>
          <w:bCs/>
          <w:b/>
        </w:rPr>
        <w:t xml:space="preserve">The Ashvin deities are two in number.</w:t>
      </w:r>
      <w:r>
        <w:t xml:space="preserve"> </w:t>
      </w:r>
      <w:r>
        <w:t xml:space="preserve">One is customarily called</w:t>
      </w:r>
      <w:r>
        <w:t xml:space="preserve"> </w:t>
      </w:r>
      <w:r>
        <w:t xml:space="preserve">“</w:t>
      </w:r>
      <w:r>
        <w:t xml:space="preserve">Dasra</w:t>
      </w:r>
      <w:r>
        <w:t xml:space="preserve">”</w:t>
      </w:r>
      <w:r>
        <w:t xml:space="preserve"> </w:t>
      </w:r>
      <w:r>
        <w:t xml:space="preserve">and the other</w:t>
      </w:r>
      <w:r>
        <w:t xml:space="preserve"> </w:t>
      </w:r>
      <w:r>
        <w:t xml:space="preserve">“</w:t>
      </w:r>
      <w:r>
        <w:t xml:space="preserve">Nāsatya,</w:t>
      </w:r>
      <w:r>
        <w:t xml:space="preserve">”</w:t>
      </w:r>
      <w:r>
        <w:t xml:space="preserve"> </w:t>
      </w:r>
      <w:r>
        <w:t xml:space="preserve">though these words are often found used to address both together.</w:t>
      </w:r>
      <w:r>
        <w:t xml:space="preserve"> </w:t>
      </w:r>
      <w:r>
        <w:rPr>
          <w:bCs/>
          <w:b/>
        </w:rPr>
        <w:t xml:space="preserve">Regarding their origin, the Puranas preserve a legend:</w:t>
      </w:r>
      <w:r>
        <w:t xml:space="preserve"> </w:t>
      </w:r>
      <w:r>
        <w:t xml:space="preserve">Sañjñā-devī, wife of Sūrya the Sun, having grown dissatisfied with him for some reason, went into the forest and took the form of a mare to perform austerities there. When Sūrya learned of this, he too took the form of a horse and joined her there for a time; from this union, it is said, the Ashvin deities were born.</w:t>
      </w:r>
      <w:r>
        <w:t xml:space="preserve"> </w:t>
      </w:r>
      <w:r>
        <w:rPr>
          <w:bCs/>
          <w:b/>
        </w:rPr>
        <w:t xml:space="preserve">The Rigveda contains many suktas concerning them, deeply dignified in tone and full of praise for their other qualities and heroic deeds.</w:t>
      </w:r>
      <w:r>
        <w:t xml:space="preserve"> </w:t>
      </w:r>
      <w:r>
        <w:t xml:space="preserve">The Yajurveda states,</w:t>
      </w:r>
      <w:r>
        <w:t xml:space="preserve"> </w:t>
      </w:r>
      <w:r>
        <w:t xml:space="preserve">“</w:t>
      </w:r>
      <w:r>
        <w:t xml:space="preserve">aśvinau vai devānāṃ bhiṣajau</w:t>
      </w:r>
      <w:r>
        <w:t xml:space="preserve">”</w:t>
      </w:r>
      <w:r>
        <w:t xml:space="preserve"> </w:t>
      </w:r>
      <w:r>
        <w:t xml:space="preserve">— that these two are the physicians of the gods.</w:t>
      </w:r>
    </w:p>
    <w:p>
      <w:pPr>
        <w:pStyle w:val="BodyText"/>
      </w:pPr>
      <w:r>
        <w:rPr>
          <w:bCs/>
          <w:b/>
        </w:rPr>
        <w:t xml:space="preserve">In connection with a rishi named Ṛjrāśva:</w:t>
      </w:r>
      <w:r>
        <w:t xml:space="preserve"> </w:t>
      </w:r>
      <w:r>
        <w:t xml:space="preserve">while grazing his father’s goats in a forest, the Ashvin deities came to him in the form of wolves (vṛka), and he gave them a hundred goats as food. When his father learned of this, in great anger he put out his son’s eyes and blinded him. Rjrashva then prayed to the Ashvins; pleased by his hymn, they restored his sight and blessed him — this is related in the 116th sukta of this Mandala.</w:t>
      </w:r>
      <w:r>
        <w:t xml:space="preserve"> </w:t>
      </w:r>
      <w:r>
        <w:rPr>
          <w:bCs/>
          <w:b/>
        </w:rPr>
        <w:t xml:space="preserve">Many further legends and heroic deeds of these deities are recounted in Suktas 116–120 and elsewhere.</w:t>
      </w:r>
    </w:p>
    <w:p>
      <w:pPr>
        <w:pStyle w:val="BodyText"/>
      </w:pPr>
      <w:r>
        <w:rPr>
          <w:bCs/>
          <w:b/>
        </w:rPr>
        <w:t xml:space="preserve">In the Rigveda, certain fixed words are consistently used when praising particular deities.</w:t>
      </w:r>
      <w:r>
        <w:t xml:space="preserve"> </w:t>
      </w:r>
      <w:r>
        <w:t xml:space="preserve">In praising Agni: words such as</w:t>
      </w:r>
      <w:r>
        <w:t xml:space="preserve"> </w:t>
      </w:r>
      <w:r>
        <w:t xml:space="preserve">“</w:t>
      </w:r>
      <w:r>
        <w:t xml:space="preserve">kavi</w:t>
      </w:r>
      <w:r>
        <w:t xml:space="preserve">”</w:t>
      </w:r>
      <w:r>
        <w:t xml:space="preserve"> </w:t>
      </w:r>
      <w:r>
        <w:t xml:space="preserve">(the wise one),</w:t>
      </w:r>
      <w:r>
        <w:t xml:space="preserve"> </w:t>
      </w:r>
      <w:r>
        <w:t xml:space="preserve">“</w:t>
      </w:r>
      <w:r>
        <w:t xml:space="preserve">hotṛ</w:t>
      </w:r>
      <w:r>
        <w:t xml:space="preserve">”</w:t>
      </w:r>
      <w:r>
        <w:t xml:space="preserve"> </w:t>
      </w:r>
      <w:r>
        <w:t xml:space="preserve">(priest),</w:t>
      </w:r>
      <w:r>
        <w:t xml:space="preserve"> </w:t>
      </w:r>
      <w:r>
        <w:t xml:space="preserve">“</w:t>
      </w:r>
      <w:r>
        <w:t xml:space="preserve">gṛhapati</w:t>
      </w:r>
      <w:r>
        <w:t xml:space="preserve">”</w:t>
      </w:r>
      <w:r>
        <w:t xml:space="preserve"> </w:t>
      </w:r>
      <w:r>
        <w:t xml:space="preserve">(householder), and others. Concerning Indra:</w:t>
      </w:r>
      <w:r>
        <w:t xml:space="preserve"> </w:t>
      </w:r>
      <w:r>
        <w:t xml:space="preserve">“</w:t>
      </w:r>
      <w:r>
        <w:t xml:space="preserve">śatakratu</w:t>
      </w:r>
      <w:r>
        <w:t xml:space="preserve">”</w:t>
      </w:r>
      <w:r>
        <w:t xml:space="preserve"> </w:t>
      </w:r>
      <w:r>
        <w:t xml:space="preserve">(of a hundred powers),</w:t>
      </w:r>
      <w:r>
        <w:t xml:space="preserve"> </w:t>
      </w:r>
      <w:r>
        <w:t xml:space="preserve">“</w:t>
      </w:r>
      <w:r>
        <w:t xml:space="preserve">vṛtraghna</w:t>
      </w:r>
      <w:r>
        <w:t xml:space="preserve">”</w:t>
      </w:r>
      <w:r>
        <w:t xml:space="preserve"> </w:t>
      </w:r>
      <w:r>
        <w:t xml:space="preserve">(slayer of Vritra),</w:t>
      </w:r>
      <w:r>
        <w:t xml:space="preserve"> </w:t>
      </w:r>
      <w:r>
        <w:t xml:space="preserve">“</w:t>
      </w:r>
      <w:r>
        <w:t xml:space="preserve">puruhūta</w:t>
      </w:r>
      <w:r>
        <w:t xml:space="preserve">”</w:t>
      </w:r>
      <w:r>
        <w:t xml:space="preserve"> </w:t>
      </w:r>
      <w:r>
        <w:t xml:space="preserve">(much-invoked),</w:t>
      </w:r>
      <w:r>
        <w:t xml:space="preserve"> </w:t>
      </w:r>
      <w:r>
        <w:t xml:space="preserve">“</w:t>
      </w:r>
      <w:r>
        <w:t xml:space="preserve">citrabhānu</w:t>
      </w:r>
      <w:r>
        <w:t xml:space="preserve">”</w:t>
      </w:r>
      <w:r>
        <w:t xml:space="preserve"> </w:t>
      </w:r>
      <w:r>
        <w:t xml:space="preserve">(of brilliant radiance), and others. For the Ashvins…</w:t>
      </w:r>
    </w:p>
    <w:bookmarkEnd w:id="34"/>
    <w:bookmarkStart w:id="35" w:name="page-12"/>
    <w:p>
      <w:pPr>
        <w:pStyle w:val="Heading3"/>
      </w:pPr>
      <w:r>
        <w:t xml:space="preserve">Page 12</w:t>
      </w:r>
    </w:p>
    <w:p>
      <w:pPr>
        <w:pStyle w:val="FirstParagraph"/>
      </w:pPr>
      <w:r>
        <w:rPr>
          <w:bCs/>
          <w:b/>
        </w:rPr>
        <w:t xml:space="preserve">…concerning these deities, words such as</w:t>
      </w:r>
      <w:r>
        <w:rPr>
          <w:bCs/>
          <w:b/>
        </w:rPr>
        <w:t xml:space="preserve"> </w:t>
      </w:r>
      <w:r>
        <w:rPr>
          <w:bCs/>
          <w:b/>
        </w:rPr>
        <w:t xml:space="preserve">“</w:t>
      </w:r>
      <w:r>
        <w:rPr>
          <w:bCs/>
          <w:b/>
        </w:rPr>
        <w:t xml:space="preserve">Nāsatyā,</w:t>
      </w:r>
      <w:r>
        <w:rPr>
          <w:bCs/>
          <w:b/>
        </w:rPr>
        <w:t xml:space="preserve">”</w:t>
      </w:r>
      <w:r>
        <w:rPr>
          <w:bCs/>
          <w:b/>
        </w:rPr>
        <w:t xml:space="preserve"> </w:t>
      </w:r>
      <w:r>
        <w:rPr>
          <w:bCs/>
          <w:b/>
        </w:rPr>
        <w:t xml:space="preserve">“</w:t>
      </w:r>
      <w:r>
        <w:rPr>
          <w:bCs/>
          <w:b/>
        </w:rPr>
        <w:t xml:space="preserve">Śubhaspatī,</w:t>
      </w:r>
      <w:r>
        <w:rPr>
          <w:bCs/>
          <w:b/>
        </w:rPr>
        <w:t xml:space="preserve">”</w:t>
      </w:r>
      <w:r>
        <w:rPr>
          <w:bCs/>
          <w:b/>
        </w:rPr>
        <w:t xml:space="preserve"> </w:t>
      </w:r>
      <w:r>
        <w:rPr>
          <w:bCs/>
          <w:b/>
        </w:rPr>
        <w:t xml:space="preserve">“</w:t>
      </w:r>
      <w:r>
        <w:rPr>
          <w:bCs/>
          <w:b/>
        </w:rPr>
        <w:t xml:space="preserve">Narā,</w:t>
      </w:r>
      <w:r>
        <w:rPr>
          <w:bCs/>
          <w:b/>
        </w:rPr>
        <w:t xml:space="preserve">”</w:t>
      </w:r>
      <w:r>
        <w:rPr>
          <w:bCs/>
          <w:b/>
        </w:rPr>
        <w:t xml:space="preserve"> </w:t>
      </w:r>
      <w:r>
        <w:rPr>
          <w:bCs/>
          <w:b/>
        </w:rPr>
        <w:t xml:space="preserve">“</w:t>
      </w:r>
      <w:r>
        <w:rPr>
          <w:bCs/>
          <w:b/>
        </w:rPr>
        <w:t xml:space="preserve">Purubhujā,</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Rathe-vantau</w:t>
      </w:r>
      <w:r>
        <w:rPr>
          <w:bCs/>
          <w:b/>
        </w:rPr>
        <w:t xml:space="preserve">”</w:t>
      </w:r>
      <w:r>
        <w:rPr>
          <w:bCs/>
          <w:b/>
        </w:rPr>
        <w:t xml:space="preserve"> </w:t>
      </w:r>
      <w:r>
        <w:rPr>
          <w:bCs/>
          <w:b/>
        </w:rPr>
        <w:t xml:space="preserve">are used.</w:t>
      </w:r>
      <w:r>
        <w:t xml:space="preserve"> </w:t>
      </w:r>
      <w:r>
        <w:t xml:space="preserve">Since all the rishis use many such words in connection with these very deities, it is clear these words must carry some specific, fixed sense beyond what now merely occurs to us or has become conventional. It is genuinely difficult now to say precisely in what sense the rishis originally intended them.</w:t>
      </w:r>
      <w:r>
        <w:t xml:space="preserve"> </w:t>
      </w:r>
      <w:r>
        <w:rPr>
          <w:bCs/>
          <w:b/>
        </w:rPr>
        <w:t xml:space="preserve">Even where we construct a plausible sense — through grammar or component-meaning analysis — whether that sense truly matches the ancient rishis’ own intent remains open to doubt</w:t>
      </w:r>
      <w:r>
        <w:t xml:space="preserve">, since this textual tradition is so ancient that these words no longer carry their original meanings; their senses differ in modern Sanskrit, so our commentarial meanings cannot be asserted as certainly correct.</w:t>
      </w:r>
    </w:p>
    <w:p>
      <w:pPr>
        <w:pStyle w:val="BodyText"/>
      </w:pPr>
      <w:r>
        <w:rPr>
          <w:bCs/>
          <w:b/>
        </w:rPr>
        <w:t xml:space="preserve">The word</w:t>
      </w:r>
      <w:r>
        <w:rPr>
          <w:bCs/>
          <w:b/>
        </w:rPr>
        <w:t xml:space="preserve"> </w:t>
      </w:r>
      <w:r>
        <w:rPr>
          <w:bCs/>
          <w:b/>
        </w:rPr>
        <w:t xml:space="preserve">“</w:t>
      </w:r>
      <w:r>
        <w:rPr>
          <w:bCs/>
          <w:b/>
        </w:rPr>
        <w:t xml:space="preserve">Aśvinā</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Aśvinau</w:t>
      </w:r>
      <w:r>
        <w:rPr>
          <w:bCs/>
          <w:b/>
        </w:rPr>
        <w:t xml:space="preserve">”</w:t>
      </w:r>
      <w:r>
        <w:rPr>
          <w:bCs/>
          <w:b/>
        </w:rPr>
        <w:t xml:space="preserve">) appears in the Rigveda in three distinct accentual forms</w:t>
      </w:r>
      <w:r>
        <w:t xml:space="preserve"> </w:t>
      </w:r>
      <w:r>
        <w:t xml:space="preserve">—</w:t>
      </w:r>
      <w:r>
        <w:t xml:space="preserve"> </w:t>
      </w:r>
      <w:r>
        <w:rPr>
          <w:iCs/>
          <w:i/>
        </w:rPr>
        <w:t xml:space="preserve">aśvínā, áśvinā, aśvinā́</w:t>
      </w:r>
      <w:r>
        <w:t xml:space="preserve">;</w:t>
      </w:r>
      <w:r>
        <w:t xml:space="preserve"> </w:t>
      </w:r>
      <w:r>
        <w:rPr>
          <w:iCs/>
          <w:i/>
        </w:rPr>
        <w:t xml:space="preserve">aśvínau, áśvinau, aśvinaú</w:t>
      </w:r>
      <w:r>
        <w:t xml:space="preserve"> </w:t>
      </w:r>
      <w:r>
        <w:t xml:space="preserve">— used in many different places. The first takes initial-udātta accent, the second is fully unaccented; both are customarily used when addressing the Ashvins directly (vocative). The third, with middle-syllable udātta, is used when expressing</w:t>
      </w:r>
      <w:r>
        <w:t xml:space="preserve"> </w:t>
      </w:r>
      <w:r>
        <w:t xml:space="preserve">“</w:t>
      </w:r>
      <w:r>
        <w:t xml:space="preserve">of the Ashvins</w:t>
      </w:r>
      <w:r>
        <w:t xml:space="preserve">”</w:t>
      </w:r>
      <w:r>
        <w:t xml:space="preserve"> </w:t>
      </w:r>
      <w:r>
        <w:t xml:space="preserve">or</w:t>
      </w:r>
      <w:r>
        <w:t xml:space="preserve"> </w:t>
      </w:r>
      <w:r>
        <w:t xml:space="preserve">“</w:t>
      </w:r>
      <w:r>
        <w:t xml:space="preserve">the Ashvins</w:t>
      </w:r>
      <w:r>
        <w:t xml:space="preserve">”</w:t>
      </w:r>
      <w:r>
        <w:t xml:space="preserve"> </w:t>
      </w:r>
      <w:r>
        <w:t xml:space="preserve">as object.</w:t>
      </w:r>
    </w:p>
    <w:p>
      <w:pPr>
        <w:pStyle w:val="BodyText"/>
      </w:pPr>
      <w:r>
        <w:rPr>
          <w:bCs/>
          <w:b/>
        </w:rPr>
        <w:t xml:space="preserve">Since</w:t>
      </w:r>
      <w:r>
        <w:rPr>
          <w:bCs/>
          <w:b/>
        </w:rPr>
        <w:t xml:space="preserve"> </w:t>
      </w:r>
      <w:r>
        <w:rPr>
          <w:bCs/>
          <w:b/>
        </w:rPr>
        <w:t xml:space="preserve">“</w:t>
      </w:r>
      <w:r>
        <w:rPr>
          <w:bCs/>
          <w:b/>
        </w:rPr>
        <w:t xml:space="preserve">Aśvinā</w:t>
      </w:r>
      <w:r>
        <w:rPr>
          <w:bCs/>
          <w:b/>
        </w:rPr>
        <w:t xml:space="preserve">”</w:t>
      </w:r>
      <w:r>
        <w:rPr>
          <w:bCs/>
          <w:b/>
        </w:rPr>
        <w:t xml:space="preserve"> </w:t>
      </w:r>
      <w:r>
        <w:rPr>
          <w:bCs/>
          <w:b/>
        </w:rPr>
        <w:t xml:space="preserve">functions as a proper name — denoting specific, fixed individuals — constructing an etymological (component) meaning for it is not strictly correct.</w:t>
      </w:r>
      <w:r>
        <w:t xml:space="preserve"> </w:t>
      </w:r>
      <w:r>
        <w:t xml:space="preserve">Still, the authors of the Vedārtha-yatna explain it as:</w:t>
      </w:r>
      <w:r>
        <w:t xml:space="preserve"> </w:t>
      </w:r>
      <w:r>
        <w:t xml:space="preserve">“</w:t>
      </w:r>
      <w:r>
        <w:t xml:space="preserve">aśvaḥ asya āpta iti aśvī, tau aśvinā</w:t>
      </w:r>
      <w:r>
        <w:t xml:space="preserve">”</w:t>
      </w:r>
      <w:r>
        <w:t xml:space="preserve"> </w:t>
      </w:r>
      <w:r>
        <w:t xml:space="preserve">—</w:t>
      </w:r>
      <w:r>
        <w:t xml:space="preserve"> </w:t>
      </w:r>
      <w:r>
        <w:t xml:space="preserve">“</w:t>
      </w:r>
      <w:r>
        <w:t xml:space="preserve">those who possess a horse</w:t>
      </w:r>
      <w:r>
        <w:t xml:space="preserve">”</w:t>
      </w:r>
      <w:r>
        <w:t xml:space="preserve"> </w:t>
      </w:r>
      <w:r>
        <w:t xml:space="preserve">or</w:t>
      </w:r>
      <w:r>
        <w:t xml:space="preserve"> </w:t>
      </w:r>
      <w:r>
        <w:t xml:space="preserve">“</w:t>
      </w:r>
      <w:r>
        <w:t xml:space="preserve">those who ride a horse.</w:t>
      </w:r>
      <w:r>
        <w:t xml:space="preserve">”</w:t>
      </w:r>
      <w:r>
        <w:t xml:space="preserve"> </w:t>
      </w:r>
      <w:r>
        <w:rPr>
          <w:bCs/>
          <w:b/>
        </w:rPr>
        <w:t xml:space="preserve">But this sense finds no real support in the Rigveda</w:t>
      </w:r>
      <w:r>
        <w:t xml:space="preserve"> </w:t>
      </w:r>
      <w:r>
        <w:t xml:space="preserve">— in many mantras the Ashvins are addressed as seated upon a chariot, never as riding horseback; their view therefore does not seem fitting.</w:t>
      </w:r>
      <w:r>
        <w:t xml:space="preserve"> </w:t>
      </w:r>
      <w:r>
        <w:rPr>
          <w:bCs/>
          <w:b/>
        </w:rPr>
        <w:t xml:space="preserve">It seems more reasonable to suppose that the Ashvins came to be called</w:t>
      </w:r>
      <w:r>
        <w:rPr>
          <w:bCs/>
          <w:b/>
        </w:rPr>
        <w:t xml:space="preserve"> </w:t>
      </w:r>
      <w:r>
        <w:rPr>
          <w:bCs/>
          <w:b/>
        </w:rPr>
        <w:t xml:space="preserve">“</w:t>
      </w:r>
      <w:r>
        <w:rPr>
          <w:bCs/>
          <w:b/>
        </w:rPr>
        <w:t xml:space="preserve">Aśvinā</w:t>
      </w:r>
      <w:r>
        <w:rPr>
          <w:bCs/>
          <w:b/>
        </w:rPr>
        <w:t xml:space="preserve">”</w:t>
      </w:r>
      <w:r>
        <w:rPr>
          <w:bCs/>
          <w:b/>
        </w:rPr>
        <w:t xml:space="preserve"> </w:t>
      </w:r>
      <w:r>
        <w:rPr>
          <w:bCs/>
          <w:b/>
        </w:rPr>
        <w:t xml:space="preserve">because they were born from Sūrya and Sañjñā-devī while both were in horse-form</w:t>
      </w:r>
      <w:r>
        <w:t xml:space="preserve"> </w:t>
      </w:r>
      <w:r>
        <w:t xml:space="preserve">— connecting the name directly to the origin-legend already given. Both</w:t>
      </w:r>
      <w:r>
        <w:t xml:space="preserve"> </w:t>
      </w:r>
      <w:r>
        <w:t xml:space="preserve">“</w:t>
      </w:r>
      <w:r>
        <w:t xml:space="preserve">Aśvinā</w:t>
      </w:r>
      <w:r>
        <w:t xml:space="preserve">”</w:t>
      </w:r>
      <w:r>
        <w:t xml:space="preserve"> </w:t>
      </w:r>
      <w:r>
        <w:t xml:space="preserve">and</w:t>
      </w:r>
      <w:r>
        <w:t xml:space="preserve"> </w:t>
      </w:r>
      <w:r>
        <w:t xml:space="preserve">“</w:t>
      </w:r>
      <w:r>
        <w:t xml:space="preserve">Aśvinau</w:t>
      </w:r>
      <w:r>
        <w:t xml:space="preserve">”</w:t>
      </w:r>
      <w:r>
        <w:t xml:space="preserve"> </w:t>
      </w:r>
      <w:r>
        <w:t xml:space="preserve">are dual forms, used in the nominative and accusative according to context.</w:t>
      </w:r>
    </w:p>
    <w:p>
      <w:pPr>
        <w:pStyle w:val="BodyText"/>
      </w:pPr>
      <w:r>
        <w:rPr>
          <w:bCs/>
          <w:b/>
        </w:rPr>
        <w:t xml:space="preserve">“</w:t>
      </w:r>
      <w:r>
        <w:rPr>
          <w:bCs/>
          <w:b/>
        </w:rPr>
        <w:t xml:space="preserve">Yajvarī</w:t>
      </w:r>
      <w:r>
        <w:rPr>
          <w:bCs/>
          <w:b/>
        </w:rPr>
        <w:t xml:space="preserve">”</w:t>
      </w:r>
      <w:r>
        <w:t xml:space="preserve"> </w:t>
      </w:r>
      <w:r>
        <w:t xml:space="preserve">— this word occurs in only two mantras of the entire Rigveda Samhita. In this mantra too…</w:t>
      </w:r>
    </w:p>
    <w:bookmarkEnd w:id="35"/>
    <w:bookmarkStart w:id="36" w:name="page-13"/>
    <w:p>
      <w:pPr>
        <w:pStyle w:val="Heading3"/>
      </w:pPr>
      <w:r>
        <w:t xml:space="preserve">Page 13</w:t>
      </w:r>
    </w:p>
    <w:p>
      <w:pPr>
        <w:pStyle w:val="BlockText"/>
      </w:pPr>
      <w:r>
        <w:t xml:space="preserve">प्रातर्युजं नासत्याधि तिष्ठथः प्रातर्यावाणं मधुवाहनं रथं । विशो येन गच्छथो यज्वरीर्नरा कीरेश्चिद्यज्ञं होतृमन्तमश्विना ॥ (ऋ. सं. १०-४१-२)</w:t>
      </w:r>
      <w:r>
        <w:t xml:space="preserve"> </w:t>
      </w:r>
      <w:r>
        <w:rPr>
          <w:iCs/>
          <w:i/>
        </w:rPr>
        <w:t xml:space="preserve">prātaryujaṃ nāsatyādhi tiṣṭhathaḥ prātaryāvāṇaṃ madhuvāhanaṃ rathaṃ | viśo yena gacchatho yajvarīrnarā kīreścidyajñaṃ hotṛmantamaśvinā ‖ (ṛ. saṃ. 10-41-2)</w:t>
      </w:r>
    </w:p>
    <w:p>
      <w:pPr>
        <w:pStyle w:val="FirstParagraph"/>
      </w:pPr>
      <w:r>
        <w:rPr>
          <w:bCs/>
          <w:b/>
        </w:rPr>
        <w:t xml:space="preserve">This word is found in only this one other mantra. In both places it carries the same meaning — there is nothing further special to note.</w:t>
      </w:r>
    </w:p>
    <w:p>
      <w:pPr>
        <w:pStyle w:val="BodyText"/>
      </w:pPr>
      <w:r>
        <w:rPr>
          <w:bCs/>
          <w:b/>
        </w:rPr>
        <w:t xml:space="preserve">“</w:t>
      </w:r>
      <w:r>
        <w:rPr>
          <w:bCs/>
          <w:b/>
        </w:rPr>
        <w:t xml:space="preserve">Iṣaḥ</w:t>
      </w:r>
      <w:r>
        <w:rPr>
          <w:bCs/>
          <w:b/>
        </w:rPr>
        <w:t xml:space="preserve">”</w:t>
      </w:r>
      <w:r>
        <w:t xml:space="preserve"> </w:t>
      </w:r>
      <w:r>
        <w:t xml:space="preserve">— the word</w:t>
      </w:r>
      <w:r>
        <w:t xml:space="preserve"> </w:t>
      </w:r>
      <w:r>
        <w:t xml:space="preserve">“</w:t>
      </w:r>
      <w:r>
        <w:t xml:space="preserve">iṣa</w:t>
      </w:r>
      <w:r>
        <w:t xml:space="preserve">”</w:t>
      </w:r>
      <w:r>
        <w:t xml:space="preserve"> </w:t>
      </w:r>
      <w:r>
        <w:t xml:space="preserve">means food, nourishment. This word’s form occurs both as initial-udātta (</w:t>
      </w:r>
      <w:r>
        <w:t xml:space="preserve">“</w:t>
      </w:r>
      <w:r>
        <w:t xml:space="preserve">íṣaḥ</w:t>
      </w:r>
      <w:r>
        <w:t xml:space="preserve">”</w:t>
      </w:r>
      <w:r>
        <w:t xml:space="preserve">) and final-udātta (</w:t>
      </w:r>
      <w:r>
        <w:t xml:space="preserve">“</w:t>
      </w:r>
      <w:r>
        <w:t xml:space="preserve">iṣáḥ</w:t>
      </w:r>
      <w:r>
        <w:t xml:space="preserve">”</w:t>
      </w:r>
      <w:r>
        <w:t xml:space="preserve">).</w:t>
      </w:r>
    </w:p>
    <w:p>
      <w:pPr>
        <w:pStyle w:val="BodyText"/>
      </w:pPr>
      <w:r>
        <w:rPr>
          <w:bCs/>
          <w:b/>
        </w:rPr>
        <w:t xml:space="preserve">“</w:t>
      </w:r>
      <w:r>
        <w:rPr>
          <w:bCs/>
          <w:b/>
        </w:rPr>
        <w:t xml:space="preserve">Dravat-pāṇī</w:t>
      </w:r>
      <w:r>
        <w:rPr>
          <w:bCs/>
          <w:b/>
        </w:rPr>
        <w:t xml:space="preserve">”</w:t>
      </w:r>
      <w:r>
        <w:t xml:space="preserve"> </w:t>
      </w:r>
      <w:r>
        <w:t xml:space="preserve">— this word occurs only in this one mantra within the entire Rigveda Samhita. Its fourth-case plural form,</w:t>
      </w:r>
      <w:r>
        <w:t xml:space="preserve"> </w:t>
      </w:r>
      <w:r>
        <w:t xml:space="preserve">“</w:t>
      </w:r>
      <w:r>
        <w:t xml:space="preserve">dravat-pāṇibhyaḥ,</w:t>
      </w:r>
      <w:r>
        <w:t xml:space="preserve">”</w:t>
      </w:r>
      <w:r>
        <w:t xml:space="preserve"> </w:t>
      </w:r>
      <w:r>
        <w:t xml:space="preserve">occurs only in:</w:t>
      </w:r>
    </w:p>
    <w:p>
      <w:pPr>
        <w:pStyle w:val="BlockText"/>
      </w:pPr>
      <w:r>
        <w:t xml:space="preserve">हिरण्ययेन रथेन द्रवत्पाणिभिरश्वैः । धीजवना नासत्या ॥ (ऋ. सं. ८-५-३५)</w:t>
      </w:r>
      <w:r>
        <w:t xml:space="preserve"> </w:t>
      </w:r>
      <w:r>
        <w:rPr>
          <w:iCs/>
          <w:i/>
        </w:rPr>
        <w:t xml:space="preserve">hiraṇyayena rathena dravatpāṇibhiraśvaiḥ | dhījavanā nāsatyā ‖ (ṛ. saṃ. 8-5-35)</w:t>
      </w:r>
    </w:p>
    <w:p>
      <w:pPr>
        <w:pStyle w:val="FirstParagraph"/>
      </w:pPr>
      <w:r>
        <w:rPr>
          <w:bCs/>
          <w:b/>
        </w:rPr>
        <w:t xml:space="preserve">— nowhere else does this word appear. Its meaning, per Sayana, is</w:t>
      </w:r>
      <w:r>
        <w:rPr>
          <w:bCs/>
          <w:b/>
        </w:rPr>
        <w:t xml:space="preserve"> </w:t>
      </w:r>
      <w:r>
        <w:rPr>
          <w:bCs/>
          <w:b/>
        </w:rPr>
        <w:t xml:space="preserve">“</w:t>
      </w:r>
      <w:r>
        <w:rPr>
          <w:bCs/>
          <w:b/>
        </w:rPr>
        <w:t xml:space="preserve">those who have loosened or outstretched their hands.</w:t>
      </w:r>
      <w:r>
        <w:rPr>
          <w:bCs/>
          <w:b/>
        </w:rPr>
        <w:t xml:space="preserve">”</w:t>
      </w:r>
      <w:r>
        <w:t xml:space="preserve"> </w:t>
      </w:r>
      <w:r>
        <w:t xml:space="preserve">For this sense to fit both mantras consistently, in this second citation — where</w:t>
      </w:r>
      <w:r>
        <w:t xml:space="preserve"> </w:t>
      </w:r>
      <w:r>
        <w:t xml:space="preserve">“</w:t>
      </w:r>
      <w:r>
        <w:t xml:space="preserve">dravat-pāṇibhiḥ</w:t>
      </w:r>
      <w:r>
        <w:t xml:space="preserve">”</w:t>
      </w:r>
      <w:r>
        <w:t xml:space="preserve"> </w:t>
      </w:r>
      <w:r>
        <w:t xml:space="preserve">qualifies the chariot-horses — the word must instead be read as</w:t>
      </w:r>
      <w:r>
        <w:t xml:space="preserve"> </w:t>
      </w:r>
      <w:r>
        <w:t xml:space="preserve">“</w:t>
      </w:r>
      <w:r>
        <w:t xml:space="preserve">with swiftly-moving feet/hooves,</w:t>
      </w:r>
      <w:r>
        <w:t xml:space="preserve">”</w:t>
      </w:r>
      <w:r>
        <w:t xml:space="preserve"> </w:t>
      </w:r>
      <w:r>
        <w:t xml:space="preserve">i.e.,</w:t>
      </w:r>
      <w:r>
        <w:t xml:space="preserve"> </w:t>
      </w:r>
      <w:r>
        <w:t xml:space="preserve">“</w:t>
      </w:r>
      <w:r>
        <w:t xml:space="preserve">by horse.</w:t>
      </w:r>
      <w:r>
        <w:t xml:space="preserve">”</w:t>
      </w:r>
      <w:r>
        <w:t xml:space="preserve"> </w:t>
      </w:r>
      <w:r>
        <w:rPr>
          <w:bCs/>
          <w:b/>
        </w:rPr>
        <w:t xml:space="preserve">The word</w:t>
      </w:r>
      <w:r>
        <w:rPr>
          <w:bCs/>
          <w:b/>
        </w:rPr>
        <w:t xml:space="preserve"> </w:t>
      </w:r>
      <w:r>
        <w:rPr>
          <w:bCs/>
          <w:b/>
        </w:rPr>
        <w:t xml:space="preserve">“</w:t>
      </w:r>
      <w:r>
        <w:rPr>
          <w:bCs/>
          <w:b/>
        </w:rPr>
        <w:t xml:space="preserve">pāṇi</w:t>
      </w:r>
      <w:r>
        <w:rPr>
          <w:bCs/>
          <w:b/>
        </w:rPr>
        <w:t xml:space="preserve">”</w:t>
      </w:r>
      <w:r>
        <w:rPr>
          <w:bCs/>
          <w:b/>
        </w:rPr>
        <w:t xml:space="preserve"> </w:t>
      </w:r>
      <w:r>
        <w:rPr>
          <w:bCs/>
          <w:b/>
        </w:rPr>
        <w:t xml:space="preserve">must therefore be understood as capable of indicating two senses here: hands, and feet (hooves).</w:t>
      </w:r>
    </w:p>
    <w:p>
      <w:pPr>
        <w:pStyle w:val="BodyText"/>
      </w:pPr>
      <w:r>
        <w:rPr>
          <w:bCs/>
          <w:b/>
        </w:rPr>
        <w:t xml:space="preserve">“</w:t>
      </w:r>
      <w:r>
        <w:rPr>
          <w:bCs/>
          <w:b/>
        </w:rPr>
        <w:t xml:space="preserve">Śubhas-patī</w:t>
      </w:r>
      <w:r>
        <w:rPr>
          <w:bCs/>
          <w:b/>
        </w:rPr>
        <w:t xml:space="preserve">”</w:t>
      </w:r>
      <w:r>
        <w:t xml:space="preserve"> </w:t>
      </w:r>
      <w:r>
        <w:t xml:space="preserve">— the Bhashya explains</w:t>
      </w:r>
      <w:r>
        <w:t xml:space="preserve"> </w:t>
      </w:r>
      <w:r>
        <w:t xml:space="preserve">“</w:t>
      </w:r>
      <w:r>
        <w:t xml:space="preserve">śubhaḥ</w:t>
      </w:r>
      <w:r>
        <w:t xml:space="preserve">”</w:t>
      </w:r>
      <w:r>
        <w:t xml:space="preserve"> </w:t>
      </w:r>
      <w:r>
        <w:t xml:space="preserve">and</w:t>
      </w:r>
      <w:r>
        <w:t xml:space="preserve"> </w:t>
      </w:r>
      <w:r>
        <w:t xml:space="preserve">“</w:t>
      </w:r>
      <w:r>
        <w:t xml:space="preserve">patī</w:t>
      </w:r>
      <w:r>
        <w:t xml:space="preserve">”</w:t>
      </w:r>
      <w:r>
        <w:t xml:space="preserve"> </w:t>
      </w:r>
      <w:r>
        <w:t xml:space="preserve">together as</w:t>
      </w:r>
      <w:r>
        <w:t xml:space="preserve"> </w:t>
      </w:r>
      <w:r>
        <w:t xml:space="preserve">“</w:t>
      </w:r>
      <w:r>
        <w:t xml:space="preserve">those who bring about auspicious deeds.</w:t>
      </w:r>
      <w:r>
        <w:t xml:space="preserve">”</w:t>
      </w:r>
      <w:r>
        <w:t xml:space="preserve"> </w:t>
      </w:r>
      <w:r>
        <w:rPr>
          <w:bCs/>
          <w:b/>
        </w:rPr>
        <w:t xml:space="preserve">Skandasvāmī and Veṅkaṭanātha explain these words as</w:t>
      </w:r>
      <w:r>
        <w:rPr>
          <w:bCs/>
          <w:b/>
        </w:rPr>
        <w:t xml:space="preserve"> </w:t>
      </w:r>
      <w:r>
        <w:rPr>
          <w:bCs/>
          <w:b/>
        </w:rPr>
        <w:t xml:space="preserve">“</w:t>
      </w:r>
      <w:r>
        <w:rPr>
          <w:bCs/>
          <w:b/>
        </w:rPr>
        <w:t xml:space="preserve">udakeśvarau</w:t>
      </w:r>
      <w:r>
        <w:rPr>
          <w:bCs/>
          <w:b/>
        </w:rPr>
        <w:t xml:space="preserve">”</w:t>
      </w:r>
      <w:r>
        <w:t xml:space="preserve"> </w:t>
      </w:r>
      <w:r>
        <w:t xml:space="preserve">—</w:t>
      </w:r>
      <w:r>
        <w:t xml:space="preserve"> </w:t>
      </w:r>
      <w:r>
        <w:t xml:space="preserve">“</w:t>
      </w:r>
      <w:r>
        <w:t xml:space="preserve">lords of water</w:t>
      </w:r>
      <w:r>
        <w:t xml:space="preserve">”</w:t>
      </w:r>
      <w:r>
        <w:t xml:space="preserve"> </w:t>
      </w:r>
      <w:r>
        <w:t xml:space="preserve">— taking</w:t>
      </w:r>
      <w:r>
        <w:t xml:space="preserve"> </w:t>
      </w:r>
      <w:r>
        <w:t xml:space="preserve">“</w:t>
      </w:r>
      <w:r>
        <w:t xml:space="preserve">śubha</w:t>
      </w:r>
      <w:r>
        <w:t xml:space="preserve">”</w:t>
      </w:r>
      <w:r>
        <w:t xml:space="preserve"> </w:t>
      </w:r>
      <w:r>
        <w:t xml:space="preserve">to mean</w:t>
      </w:r>
      <w:r>
        <w:t xml:space="preserve"> </w:t>
      </w:r>
      <w:r>
        <w:t xml:space="preserve">“</w:t>
      </w:r>
      <w:r>
        <w:t xml:space="preserve">waters</w:t>
      </w:r>
      <w:r>
        <w:t xml:space="preserve">”</w:t>
      </w:r>
      <w:r>
        <w:t xml:space="preserve"> </w:t>
      </w:r>
      <w:r>
        <w:t xml:space="preserve">in their view.</w:t>
      </w:r>
      <w:r>
        <w:t xml:space="preserve"> </w:t>
      </w:r>
      <w:r>
        <w:rPr>
          <w:bCs/>
          <w:b/>
        </w:rPr>
        <w:t xml:space="preserve">The Vedārtha-yatna authors render it</w:t>
      </w:r>
      <w:r>
        <w:rPr>
          <w:bCs/>
          <w:b/>
        </w:rPr>
        <w:t xml:space="preserve"> </w:t>
      </w:r>
      <w:r>
        <w:rPr>
          <w:bCs/>
          <w:b/>
        </w:rPr>
        <w:t xml:space="preserve">“</w:t>
      </w:r>
      <w:r>
        <w:rPr>
          <w:bCs/>
          <w:b/>
        </w:rPr>
        <w:t xml:space="preserve">Lords of prosperity.</w:t>
      </w:r>
      <w:r>
        <w:rPr>
          <w:bCs/>
          <w:b/>
        </w:rPr>
        <w:t xml:space="preserve">”</w:t>
      </w:r>
      <w:r>
        <w:t xml:space="preserve"> </w:t>
      </w:r>
      <w:r>
        <w:rPr>
          <w:bCs/>
          <w:b/>
        </w:rPr>
        <w:t xml:space="preserve">Western scholars — Grassmann, Ludwig, Geldner, Monier Williams, Griffith — endorse</w:t>
      </w:r>
      <w:r>
        <w:rPr>
          <w:bCs/>
          <w:b/>
        </w:rPr>
        <w:t xml:space="preserve"> </w:t>
      </w:r>
      <w:r>
        <w:rPr>
          <w:bCs/>
          <w:b/>
        </w:rPr>
        <w:t xml:space="preserve">“</w:t>
      </w:r>
      <w:r>
        <w:rPr>
          <w:bCs/>
          <w:b/>
        </w:rPr>
        <w:t xml:space="preserve">Lords of Splendour,</w:t>
      </w:r>
      <w:r>
        <w:rPr>
          <w:bCs/>
          <w:b/>
        </w:rPr>
        <w:t xml:space="preserve">”</w:t>
      </w:r>
      <w:r>
        <w:t xml:space="preserve"> </w:t>
      </w:r>
      <w:r>
        <w:t xml:space="preserve">following the root</w:t>
      </w:r>
      <w:r>
        <w:t xml:space="preserve"> </w:t>
      </w:r>
      <w:r>
        <w:t xml:space="preserve">“</w:t>
      </w:r>
      <w:r>
        <w:t xml:space="preserve">śubh/śumbh</w:t>
      </w:r>
      <w:r>
        <w:t xml:space="preserve">”</w:t>
      </w:r>
      <w:r>
        <w:t xml:space="preserve"> </w:t>
      </w:r>
      <w:r>
        <w:t xml:space="preserve">(to shine). This dual-form word occurs in the Rigveda at: 1-3-1; 1-34-6; 1-47-5; 1-120-6; 5-75-8; 8-5-11; 8-22-4; 8-87-5; 10-40-4; 10-40-12; 10-40-13; 10-85-15; 10-131-4; 8-59-3; 8-59-5.</w:t>
      </w:r>
      <w:r>
        <w:t xml:space="preserve"> </w:t>
      </w:r>
      <w:r>
        <w:rPr>
          <w:bCs/>
          <w:b/>
        </w:rPr>
        <w:t xml:space="preserve">In the last two of these it concerns Indra-Varuna; in every other instance it concerns the Ashvins.</w:t>
      </w:r>
      <w:r>
        <w:t xml:space="preserve"> </w:t>
      </w:r>
      <w:r>
        <w:t xml:space="preserve">Similarly, words such as</w:t>
      </w:r>
      <w:r>
        <w:t xml:space="preserve"> </w:t>
      </w:r>
      <w:r>
        <w:t xml:space="preserve">“</w:t>
      </w:r>
      <w:r>
        <w:t xml:space="preserve">Śavasas-patī</w:t>
      </w:r>
      <w:r>
        <w:t xml:space="preserve">”</w:t>
      </w:r>
      <w:r>
        <w:t xml:space="preserve"> </w:t>
      </w:r>
      <w:r>
        <w:t xml:space="preserve">and</w:t>
      </w:r>
      <w:r>
        <w:t xml:space="preserve"> </w:t>
      </w:r>
      <w:r>
        <w:t xml:space="preserve">“</w:t>
      </w:r>
      <w:r>
        <w:t xml:space="preserve">Danus-patī</w:t>
      </w:r>
      <w:r>
        <w:t xml:space="preserve">”</w:t>
      </w:r>
      <w:r>
        <w:t xml:space="preserve"> </w:t>
      </w:r>
      <w:r>
        <w:t xml:space="preserve">are used of other deities, but never of the Ashvins. Sāyaṇācārya, on the word</w:t>
      </w:r>
      <w:r>
        <w:t xml:space="preserve"> </w:t>
      </w:r>
      <w:r>
        <w:t xml:space="preserve">“</w:t>
      </w:r>
      <w:r>
        <w:t xml:space="preserve">Śubhaspatī</w:t>
      </w:r>
      <w:r>
        <w:t xml:space="preserve">”</w:t>
      </w:r>
      <w:r>
        <w:t xml:space="preserve">…</w:t>
      </w:r>
    </w:p>
    <w:bookmarkEnd w:id="36"/>
    <w:bookmarkStart w:id="37" w:name="page-14"/>
    <w:p>
      <w:pPr>
        <w:pStyle w:val="Heading3"/>
      </w:pPr>
      <w:r>
        <w:t xml:space="preserve">Page 14</w:t>
      </w:r>
    </w:p>
    <w:p>
      <w:pPr>
        <w:pStyle w:val="FirstParagraph"/>
      </w:pPr>
      <w:r>
        <w:rPr>
          <w:bCs/>
          <w:b/>
        </w:rPr>
        <w:t xml:space="preserve">…glosses the word differently in different places — in one or two instances,</w:t>
      </w:r>
      <w:r>
        <w:rPr>
          <w:bCs/>
          <w:b/>
        </w:rPr>
        <w:t xml:space="preserve"> </w:t>
      </w:r>
      <w:r>
        <w:rPr>
          <w:bCs/>
          <w:b/>
        </w:rPr>
        <w:t xml:space="preserve">“</w:t>
      </w:r>
      <w:r>
        <w:rPr>
          <w:bCs/>
          <w:b/>
        </w:rPr>
        <w:t xml:space="preserve">śubha</w:t>
      </w:r>
      <w:r>
        <w:rPr>
          <w:bCs/>
          <w:b/>
        </w:rPr>
        <w:t xml:space="preserve">”</w:t>
      </w:r>
      <w:r>
        <w:rPr>
          <w:bCs/>
          <w:b/>
        </w:rPr>
        <w:t xml:space="preserve"> </w:t>
      </w:r>
      <w:r>
        <w:rPr>
          <w:bCs/>
          <w:b/>
        </w:rPr>
        <w:t xml:space="preserve">is glossed as</w:t>
      </w:r>
      <w:r>
        <w:rPr>
          <w:bCs/>
          <w:b/>
        </w:rPr>
        <w:t xml:space="preserve"> </w:t>
      </w:r>
      <w:r>
        <w:rPr>
          <w:bCs/>
          <w:b/>
        </w:rPr>
        <w:t xml:space="preserve">“</w:t>
      </w:r>
      <w:r>
        <w:rPr>
          <w:bCs/>
          <w:b/>
        </w:rPr>
        <w:t xml:space="preserve">splendor, radiance</w:t>
      </w:r>
      <w:r>
        <w:rPr>
          <w:bCs/>
          <w:b/>
        </w:rPr>
        <w:t xml:space="preserve">”</w:t>
      </w:r>
      <w:r>
        <w:rPr>
          <w:bCs/>
          <w:b/>
        </w:rPr>
        <w:t xml:space="preserve"> </w:t>
      </w:r>
      <w:r>
        <w:rPr>
          <w:bCs/>
          <w:b/>
        </w:rPr>
        <w:t xml:space="preserve">instead. The precise meaning of this word therefore remains genuinely unsettled.</w:t>
      </w:r>
    </w:p>
    <w:p>
      <w:pPr>
        <w:pStyle w:val="BodyText"/>
      </w:pPr>
      <w:r>
        <w:rPr>
          <w:bCs/>
          <w:b/>
        </w:rPr>
        <w:t xml:space="preserve">Furthermore, in the Rigveda, the word</w:t>
      </w:r>
      <w:r>
        <w:rPr>
          <w:bCs/>
          <w:b/>
        </w:rPr>
        <w:t xml:space="preserve"> </w:t>
      </w:r>
      <w:r>
        <w:rPr>
          <w:bCs/>
          <w:b/>
        </w:rPr>
        <w:t xml:space="preserve">“</w:t>
      </w:r>
      <w:r>
        <w:rPr>
          <w:bCs/>
          <w:b/>
        </w:rPr>
        <w:t xml:space="preserve">patī</w:t>
      </w:r>
      <w:r>
        <w:rPr>
          <w:bCs/>
          <w:b/>
        </w:rPr>
        <w:t xml:space="preserve">”</w:t>
      </w:r>
      <w:r>
        <w:rPr>
          <w:bCs/>
          <w:b/>
        </w:rPr>
        <w:t xml:space="preserve"> </w:t>
      </w:r>
      <w:r>
        <w:rPr>
          <w:bCs/>
          <w:b/>
        </w:rPr>
        <w:t xml:space="preserve">serves as the latter member of several compounds:</w:t>
      </w:r>
    </w:p>
    <w:p>
      <w:pPr>
        <w:numPr>
          <w:ilvl w:val="0"/>
          <w:numId w:val="1002"/>
        </w:numPr>
        <w:pStyle w:val="Compact"/>
      </w:pPr>
      <w:r>
        <w:rPr>
          <w:bCs/>
          <w:b/>
        </w:rPr>
        <w:t xml:space="preserve">Sadas-patī</w:t>
      </w:r>
      <w:r>
        <w:t xml:space="preserve"> </w:t>
      </w:r>
      <w:r>
        <w:t xml:space="preserve">(Rigveda Samhita 1-21-5)</w:t>
      </w:r>
    </w:p>
    <w:p>
      <w:pPr>
        <w:numPr>
          <w:ilvl w:val="0"/>
          <w:numId w:val="1002"/>
        </w:numPr>
        <w:pStyle w:val="Compact"/>
      </w:pPr>
      <w:r>
        <w:rPr>
          <w:bCs/>
          <w:b/>
        </w:rPr>
        <w:t xml:space="preserve">Go-patī</w:t>
      </w:r>
      <w:r>
        <w:t xml:space="preserve"> </w:t>
      </w:r>
      <w:r>
        <w:t xml:space="preserve">(Rigveda Samhita 9-19-2)</w:t>
      </w:r>
    </w:p>
    <w:p>
      <w:pPr>
        <w:numPr>
          <w:ilvl w:val="0"/>
          <w:numId w:val="1002"/>
        </w:numPr>
        <w:pStyle w:val="Compact"/>
      </w:pPr>
      <w:r>
        <w:rPr>
          <w:bCs/>
          <w:b/>
        </w:rPr>
        <w:t xml:space="preserve">Dam-patī</w:t>
      </w:r>
      <w:r>
        <w:t xml:space="preserve"> </w:t>
      </w:r>
      <w:r>
        <w:t xml:space="preserve">(Rigveda Samhita 5-3-2; 8-31-5; 10-10-5; 10-68-2; 10-85-32; 10-95-12; 10-162-4)</w:t>
      </w:r>
    </w:p>
    <w:p>
      <w:pPr>
        <w:numPr>
          <w:ilvl w:val="0"/>
          <w:numId w:val="1002"/>
        </w:numPr>
        <w:pStyle w:val="Compact"/>
      </w:pPr>
      <w:r>
        <w:rPr>
          <w:bCs/>
          <w:b/>
        </w:rPr>
        <w:t xml:space="preserve">Nṛ-patī</w:t>
      </w:r>
      <w:r>
        <w:t xml:space="preserve"> </w:t>
      </w:r>
      <w:r>
        <w:t xml:space="preserve">(Rigveda Samhita 7-67-1; 7-71-4)</w:t>
      </w:r>
    </w:p>
    <w:p>
      <w:pPr>
        <w:numPr>
          <w:ilvl w:val="0"/>
          <w:numId w:val="1002"/>
        </w:numPr>
        <w:pStyle w:val="Compact"/>
      </w:pPr>
      <w:r>
        <w:rPr>
          <w:bCs/>
          <w:b/>
        </w:rPr>
        <w:t xml:space="preserve">Mada-patī</w:t>
      </w:r>
      <w:r>
        <w:t xml:space="preserve"> </w:t>
      </w:r>
      <w:r>
        <w:t xml:space="preserve">(Rigveda Samhita 6-69-3)</w:t>
      </w:r>
    </w:p>
    <w:p>
      <w:pPr>
        <w:numPr>
          <w:ilvl w:val="0"/>
          <w:numId w:val="1002"/>
        </w:numPr>
        <w:pStyle w:val="Compact"/>
      </w:pPr>
      <w:r>
        <w:rPr>
          <w:bCs/>
          <w:b/>
        </w:rPr>
        <w:t xml:space="preserve">Vanas-patī</w:t>
      </w:r>
      <w:r>
        <w:t xml:space="preserve"> </w:t>
      </w:r>
      <w:r>
        <w:t xml:space="preserve">(Rigveda Samhita 1-28-8)</w:t>
      </w:r>
    </w:p>
    <w:p>
      <w:pPr>
        <w:numPr>
          <w:ilvl w:val="0"/>
          <w:numId w:val="1002"/>
        </w:numPr>
        <w:pStyle w:val="Compact"/>
      </w:pPr>
      <w:r>
        <w:rPr>
          <w:bCs/>
          <w:b/>
        </w:rPr>
        <w:t xml:space="preserve">Śacī-patī</w:t>
      </w:r>
      <w:r>
        <w:t xml:space="preserve"> </w:t>
      </w:r>
      <w:r>
        <w:t xml:space="preserve">(Rigveda Samhita 7-67-5)</w:t>
      </w:r>
    </w:p>
    <w:p>
      <w:pPr>
        <w:numPr>
          <w:ilvl w:val="0"/>
          <w:numId w:val="1002"/>
        </w:numPr>
        <w:pStyle w:val="Compact"/>
      </w:pPr>
      <w:r>
        <w:rPr>
          <w:bCs/>
          <w:b/>
        </w:rPr>
        <w:t xml:space="preserve">Sat-patī</w:t>
      </w:r>
      <w:r>
        <w:t xml:space="preserve"> </w:t>
      </w:r>
      <w:r>
        <w:t xml:space="preserve">(Rigveda Samhita 5-65-2; 6-60-6; 10-65-2)</w:t>
      </w:r>
    </w:p>
    <w:p>
      <w:pPr>
        <w:numPr>
          <w:ilvl w:val="0"/>
          <w:numId w:val="1002"/>
        </w:numPr>
        <w:pStyle w:val="Compact"/>
      </w:pPr>
      <w:r>
        <w:rPr>
          <w:bCs/>
          <w:b/>
        </w:rPr>
        <w:t xml:space="preserve">Sindhu-patī</w:t>
      </w:r>
      <w:r>
        <w:t xml:space="preserve"> </w:t>
      </w:r>
      <w:r>
        <w:t xml:space="preserve">(Rigveda Samhita 7-64-2)</w:t>
      </w:r>
    </w:p>
    <w:p>
      <w:pPr>
        <w:numPr>
          <w:ilvl w:val="0"/>
          <w:numId w:val="1002"/>
        </w:numPr>
        <w:pStyle w:val="Compact"/>
      </w:pPr>
      <w:r>
        <w:rPr>
          <w:bCs/>
          <w:b/>
        </w:rPr>
        <w:t xml:space="preserve">Svaḥ-patī</w:t>
      </w:r>
      <w:r>
        <w:t xml:space="preserve"> </w:t>
      </w:r>
      <w:r>
        <w:t xml:space="preserve">(Rigveda Samhita 9-19-2)</w:t>
      </w:r>
    </w:p>
    <w:p>
      <w:pPr>
        <w:pStyle w:val="FirstParagraph"/>
      </w:pPr>
      <w:r>
        <w:rPr>
          <w:bCs/>
          <w:b/>
        </w:rPr>
        <w:t xml:space="preserve">“</w:t>
      </w:r>
      <w:r>
        <w:rPr>
          <w:bCs/>
          <w:b/>
        </w:rPr>
        <w:t xml:space="preserve">Purubhujā</w:t>
      </w:r>
      <w:r>
        <w:rPr>
          <w:bCs/>
          <w:b/>
        </w:rPr>
        <w:t xml:space="preserve">”</w:t>
      </w:r>
      <w:r>
        <w:t xml:space="preserve"> </w:t>
      </w:r>
      <w:r>
        <w:t xml:space="preserve">— a dual-ending word, occurring in ten mantras (Rigveda Samhita 1-3-1; 1-116-13; 1-116-14; 5-49-1; 5-73-1; 6-63-5; 6-63-8; 8-8-17; 8-10-6; 8-86-3). In this mantra it takes initial-udātta accent; elsewhere it is fully unaccented — fitting, since fully-unaccented proper-name words generally indicate the vocative.</w:t>
      </w:r>
      <w:r>
        <w:t xml:space="preserve"> </w:t>
      </w:r>
      <w:r>
        <w:rPr>
          <w:bCs/>
          <w:b/>
        </w:rPr>
        <w:t xml:space="preserve">Its meaning varies across occurrences:</w:t>
      </w:r>
    </w:p>
    <w:p>
      <w:pPr>
        <w:pStyle w:val="BlockText"/>
      </w:pPr>
      <w:r>
        <w:t xml:space="preserve">अजोहवीन्नासत्या करा वां महे यामन्पुरुभुजा पुरंधिः । (ऋ. सं. १-११६-१३)</w:t>
      </w:r>
      <w:r>
        <w:t xml:space="preserve"> </w:t>
      </w:r>
      <w:r>
        <w:rPr>
          <w:iCs/>
          <w:i/>
        </w:rPr>
        <w:t xml:space="preserve">ajohavīnnāsatyā karā vāṃ mahe yāmanpurubhujā puraṃdhiḥ | (ṛ. saṃ. 1-116-13)</w:t>
      </w:r>
    </w:p>
    <w:p>
      <w:pPr>
        <w:pStyle w:val="FirstParagraph"/>
      </w:pPr>
      <w:r>
        <w:rPr>
          <w:bCs/>
          <w:b/>
        </w:rPr>
        <w:t xml:space="preserve">Here</w:t>
      </w:r>
      <w:r>
        <w:rPr>
          <w:bCs/>
          <w:b/>
        </w:rPr>
        <w:t xml:space="preserve"> </w:t>
      </w:r>
      <w:r>
        <w:rPr>
          <w:bCs/>
          <w:b/>
        </w:rPr>
        <w:t xml:space="preserve">“</w:t>
      </w:r>
      <w:r>
        <w:rPr>
          <w:bCs/>
          <w:b/>
        </w:rPr>
        <w:t xml:space="preserve">purubhujā</w:t>
      </w:r>
      <w:r>
        <w:rPr>
          <w:bCs/>
          <w:b/>
        </w:rPr>
        <w:t xml:space="preserve">”</w:t>
      </w:r>
      <w:r>
        <w:rPr>
          <w:bCs/>
          <w:b/>
        </w:rPr>
        <w:t xml:space="preserve"> </w:t>
      </w:r>
      <w:r>
        <w:rPr>
          <w:bCs/>
          <w:b/>
        </w:rPr>
        <w:t xml:space="preserve">means</w:t>
      </w:r>
      <w:r>
        <w:rPr>
          <w:bCs/>
          <w:b/>
        </w:rPr>
        <w:t xml:space="preserve"> </w:t>
      </w:r>
      <w:r>
        <w:rPr>
          <w:bCs/>
          <w:b/>
        </w:rPr>
        <w:t xml:space="preserve">“</w:t>
      </w:r>
      <w:r>
        <w:rPr>
          <w:bCs/>
          <w:b/>
        </w:rPr>
        <w:t xml:space="preserve">bahūnāṃ pālakau</w:t>
      </w:r>
      <w:r>
        <w:rPr>
          <w:bCs/>
          <w:b/>
        </w:rPr>
        <w:t xml:space="preserve">”</w:t>
      </w:r>
      <w:r>
        <w:rPr>
          <w:bCs/>
          <w:b/>
        </w:rPr>
        <w:t xml:space="preserve"> </w:t>
      </w:r>
      <w:r>
        <w:rPr>
          <w:bCs/>
          <w:b/>
        </w:rPr>
        <w:t xml:space="preserve">— protectors of many people.</w:t>
      </w:r>
    </w:p>
    <w:p>
      <w:pPr>
        <w:pStyle w:val="BlockText"/>
      </w:pPr>
      <w:r>
        <w:t xml:space="preserve">उतो कविं पुरुभुजा युवं ह कृपमाणमकृणुतं विचक्षे । (ऋ. सं. १-११६-१४)</w:t>
      </w:r>
      <w:r>
        <w:t xml:space="preserve"> </w:t>
      </w:r>
      <w:r>
        <w:rPr>
          <w:iCs/>
          <w:i/>
        </w:rPr>
        <w:t xml:space="preserve">uto kaviṃ purubhujā yuvaṃ ha kṛpamāṇamakṛṇutaṃ vicakṣe | (ṛ. saṃ. 1-116-14)</w:t>
      </w:r>
    </w:p>
    <w:bookmarkEnd w:id="37"/>
    <w:bookmarkStart w:id="38" w:name="page-15"/>
    <w:p>
      <w:pPr>
        <w:pStyle w:val="Heading3"/>
      </w:pPr>
      <w:r>
        <w:t xml:space="preserve">Page 15</w:t>
      </w:r>
    </w:p>
    <w:p>
      <w:pPr>
        <w:pStyle w:val="FirstParagraph"/>
      </w:pPr>
      <w:r>
        <w:rPr>
          <w:bCs/>
          <w:b/>
        </w:rPr>
        <w:t xml:space="preserve">Here</w:t>
      </w:r>
      <w:r>
        <w:rPr>
          <w:bCs/>
          <w:b/>
        </w:rPr>
        <w:t xml:space="preserve"> </w:t>
      </w:r>
      <w:r>
        <w:rPr>
          <w:bCs/>
          <w:b/>
        </w:rPr>
        <w:t xml:space="preserve">“</w:t>
      </w:r>
      <w:r>
        <w:rPr>
          <w:bCs/>
          <w:b/>
        </w:rPr>
        <w:t xml:space="preserve">Purubhujā</w:t>
      </w:r>
      <w:r>
        <w:rPr>
          <w:bCs/>
          <w:b/>
        </w:rPr>
        <w:t xml:space="preserve">”</w:t>
      </w:r>
      <w:r>
        <w:rPr>
          <w:bCs/>
          <w:b/>
        </w:rPr>
        <w:t xml:space="preserve"> </w:t>
      </w:r>
      <w:r>
        <w:rPr>
          <w:bCs/>
          <w:b/>
        </w:rPr>
        <w:t xml:space="preserve">means</w:t>
      </w:r>
      <w:r>
        <w:rPr>
          <w:bCs/>
          <w:b/>
        </w:rPr>
        <w:t xml:space="preserve"> </w:t>
      </w:r>
      <w:r>
        <w:rPr>
          <w:bCs/>
          <w:b/>
        </w:rPr>
        <w:t xml:space="preserve">“</w:t>
      </w:r>
      <w:r>
        <w:rPr>
          <w:bCs/>
          <w:b/>
        </w:rPr>
        <w:t xml:space="preserve">great-armed,</w:t>
      </w:r>
      <w:r>
        <w:rPr>
          <w:bCs/>
          <w:b/>
        </w:rPr>
        <w:t xml:space="preserve">”</w:t>
      </w:r>
      <w:r>
        <w:rPr>
          <w:bCs/>
          <w:b/>
        </w:rPr>
        <w:t xml:space="preserve"> </w:t>
      </w:r>
      <w:r>
        <w:rPr>
          <w:bCs/>
          <w:b/>
        </w:rPr>
        <w:t xml:space="preserve">“</w:t>
      </w:r>
      <w:r>
        <w:rPr>
          <w:bCs/>
          <w:b/>
        </w:rPr>
        <w:t xml:space="preserve">possessing abundant arms/hands.</w:t>
      </w:r>
      <w:r>
        <w:rPr>
          <w:bCs/>
          <w:b/>
        </w:rPr>
        <w:t xml:space="preserve">”</w:t>
      </w:r>
    </w:p>
    <w:p>
      <w:pPr>
        <w:pStyle w:val="BlockText"/>
      </w:pPr>
      <w:r>
        <w:t xml:space="preserve">आ वां नरा पुरुभुजा ववृत्यां दिवे दिवे चिदश्विना सखीयन् । (ऋ. सं. ५-४९-१)</w:t>
      </w:r>
      <w:r>
        <w:t xml:space="preserve"> </w:t>
      </w:r>
      <w:r>
        <w:rPr>
          <w:iCs/>
          <w:i/>
        </w:rPr>
        <w:t xml:space="preserve">ā vāṃ narā purubhujā vavṛtyāṃ dive dive cidaśvinā sakhīyan | (ṛ. saṃ. 5-49-1)</w:t>
      </w:r>
    </w:p>
    <w:p>
      <w:pPr>
        <w:pStyle w:val="FirstParagraph"/>
      </w:pPr>
      <w:r>
        <w:rPr>
          <w:bCs/>
          <w:b/>
        </w:rPr>
        <w:t xml:space="preserve">Here</w:t>
      </w:r>
      <w:r>
        <w:rPr>
          <w:bCs/>
          <w:b/>
        </w:rPr>
        <w:t xml:space="preserve"> </w:t>
      </w:r>
      <w:r>
        <w:rPr>
          <w:bCs/>
          <w:b/>
        </w:rPr>
        <w:t xml:space="preserve">“</w:t>
      </w:r>
      <w:r>
        <w:rPr>
          <w:bCs/>
          <w:b/>
        </w:rPr>
        <w:t xml:space="preserve">puru bhuñjātā</w:t>
      </w:r>
      <w:r>
        <w:rPr>
          <w:bCs/>
          <w:b/>
        </w:rPr>
        <w:t xml:space="preserve">”</w:t>
      </w:r>
      <w:r>
        <w:rPr>
          <w:bCs/>
          <w:b/>
        </w:rPr>
        <w:t xml:space="preserve"> </w:t>
      </w:r>
      <w:r>
        <w:rPr>
          <w:bCs/>
          <w:b/>
        </w:rPr>
        <w:t xml:space="preserve">means</w:t>
      </w:r>
      <w:r>
        <w:rPr>
          <w:bCs/>
          <w:b/>
        </w:rPr>
        <w:t xml:space="preserve"> </w:t>
      </w:r>
      <w:r>
        <w:rPr>
          <w:bCs/>
          <w:b/>
        </w:rPr>
        <w:t xml:space="preserve">“</w:t>
      </w:r>
      <w:r>
        <w:rPr>
          <w:bCs/>
          <w:b/>
        </w:rPr>
        <w:t xml:space="preserve">those who eat abundantly.</w:t>
      </w:r>
      <w:r>
        <w:rPr>
          <w:bCs/>
          <w:b/>
        </w:rPr>
        <w:t xml:space="preserve">”</w:t>
      </w:r>
    </w:p>
    <w:p>
      <w:pPr>
        <w:pStyle w:val="BlockText"/>
      </w:pPr>
      <w:r>
        <w:t xml:space="preserve">यद्वा पुरू पुरुभुजा यदन्तरिक्ष आ गतं । (ऋ. सं. ५-७३-१)</w:t>
      </w:r>
      <w:r>
        <w:t xml:space="preserve"> </w:t>
      </w:r>
      <w:r>
        <w:rPr>
          <w:iCs/>
          <w:i/>
        </w:rPr>
        <w:t xml:space="preserve">yadvā purū purubhujā yadantarikṣa ā gataṃ | (ṛ. saṃ. 5-73-1)</w:t>
      </w:r>
    </w:p>
    <w:p>
      <w:pPr>
        <w:pStyle w:val="FirstParagraph"/>
      </w:pPr>
      <w:r>
        <w:rPr>
          <w:bCs/>
          <w:b/>
        </w:rPr>
        <w:t xml:space="preserve">Here</w:t>
      </w:r>
      <w:r>
        <w:rPr>
          <w:bCs/>
          <w:b/>
        </w:rPr>
        <w:t xml:space="preserve"> </w:t>
      </w:r>
      <w:r>
        <w:rPr>
          <w:bCs/>
          <w:b/>
        </w:rPr>
        <w:t xml:space="preserve">“</w:t>
      </w:r>
      <w:r>
        <w:rPr>
          <w:bCs/>
          <w:b/>
        </w:rPr>
        <w:t xml:space="preserve">bahuṣu yajñeṣu bhoktārau</w:t>
      </w:r>
      <w:r>
        <w:rPr>
          <w:bCs/>
          <w:b/>
        </w:rPr>
        <w:t xml:space="preserve">”</w:t>
      </w:r>
      <w:r>
        <w:rPr>
          <w:bCs/>
          <w:b/>
        </w:rPr>
        <w:t xml:space="preserve"> </w:t>
      </w:r>
      <w:r>
        <w:rPr>
          <w:bCs/>
          <w:b/>
        </w:rPr>
        <w:t xml:space="preserve">means</w:t>
      </w:r>
      <w:r>
        <w:rPr>
          <w:bCs/>
          <w:b/>
        </w:rPr>
        <w:t xml:space="preserve"> </w:t>
      </w:r>
      <w:r>
        <w:rPr>
          <w:bCs/>
          <w:b/>
        </w:rPr>
        <w:t xml:space="preserve">“</w:t>
      </w:r>
      <w:r>
        <w:rPr>
          <w:bCs/>
          <w:b/>
        </w:rPr>
        <w:t xml:space="preserve">those who partake in many sacrifices.</w:t>
      </w:r>
      <w:r>
        <w:rPr>
          <w:bCs/>
          <w:b/>
        </w:rPr>
        <w:t xml:space="preserve">”</w:t>
      </w:r>
    </w:p>
    <w:p>
      <w:pPr>
        <w:pStyle w:val="BlockText"/>
      </w:pPr>
      <w:r>
        <w:t xml:space="preserve">अधि श्रिये दुहिता सूर्यस्य रथं तस्थौ पुरुभुजा शतोतिं । (ऋ. सं. ६-६३-५)</w:t>
      </w:r>
      <w:r>
        <w:t xml:space="preserve"> </w:t>
      </w:r>
      <w:r>
        <w:rPr>
          <w:iCs/>
          <w:i/>
        </w:rPr>
        <w:t xml:space="preserve">adhi śriye duhitā sūryasya rathaṃ tasthau purubhujā śatotiṃ | (ṛ. saṃ. 6-63-5)</w:t>
      </w:r>
    </w:p>
    <w:p>
      <w:pPr>
        <w:pStyle w:val="BlockText"/>
      </w:pPr>
      <w:r>
        <w:t xml:space="preserve">पुरु हि वां पुरुभुजा देष्णं धेनुं न इषं पिन्वतमसक्रां । (ऋ. सं. ६-६३-८)</w:t>
      </w:r>
      <w:r>
        <w:t xml:space="preserve"> </w:t>
      </w:r>
      <w:r>
        <w:rPr>
          <w:iCs/>
          <w:i/>
        </w:rPr>
        <w:t xml:space="preserve">puru hi vāṃ purubhujā deṣṇaṃ dhenuṃ na iṣaṃ pinvatamasakrāṃ | (ṛ. saṃ. 6-63-8)</w:t>
      </w:r>
    </w:p>
    <w:p>
      <w:pPr>
        <w:pStyle w:val="FirstParagraph"/>
      </w:pPr>
      <w:r>
        <w:rPr>
          <w:bCs/>
          <w:b/>
        </w:rPr>
        <w:t xml:space="preserve">Here too, glossed as</w:t>
      </w:r>
      <w:r>
        <w:rPr>
          <w:bCs/>
          <w:b/>
        </w:rPr>
        <w:t xml:space="preserve"> </w:t>
      </w:r>
      <w:r>
        <w:rPr>
          <w:bCs/>
          <w:b/>
        </w:rPr>
        <w:t xml:space="preserve">“</w:t>
      </w:r>
      <w:r>
        <w:rPr>
          <w:bCs/>
          <w:b/>
        </w:rPr>
        <w:t xml:space="preserve">bahu-pālakau</w:t>
      </w:r>
      <w:r>
        <w:rPr>
          <w:bCs/>
          <w:b/>
        </w:rPr>
        <w:t xml:space="preserve">”</w:t>
      </w:r>
      <w:r>
        <w:rPr>
          <w:bCs/>
          <w:b/>
        </w:rPr>
        <w:t xml:space="preserve"> </w:t>
      </w:r>
      <w:r>
        <w:rPr>
          <w:bCs/>
          <w:b/>
        </w:rPr>
        <w:t xml:space="preserve">—</w:t>
      </w:r>
      <w:r>
        <w:rPr>
          <w:bCs/>
          <w:b/>
        </w:rPr>
        <w:t xml:space="preserve"> </w:t>
      </w:r>
      <w:r>
        <w:rPr>
          <w:bCs/>
          <w:b/>
        </w:rPr>
        <w:t xml:space="preserve">“</w:t>
      </w:r>
      <w:r>
        <w:rPr>
          <w:bCs/>
          <w:b/>
        </w:rPr>
        <w:t xml:space="preserve">protectors of many.</w:t>
      </w:r>
      <w:r>
        <w:rPr>
          <w:bCs/>
          <w:b/>
        </w:rPr>
        <w:t xml:space="preserve">”</w:t>
      </w:r>
    </w:p>
    <w:p>
      <w:pPr>
        <w:pStyle w:val="BlockText"/>
      </w:pPr>
      <w:r>
        <w:t xml:space="preserve">आ नो गन्तं रिशादसेमं स्तोमं पुरुभुजा । (ऋ. सं. ८-८-१७)</w:t>
      </w:r>
      <w:r>
        <w:t xml:space="preserve"> </w:t>
      </w:r>
      <w:r>
        <w:rPr>
          <w:iCs/>
          <w:i/>
        </w:rPr>
        <w:t xml:space="preserve">ā no gantaṃ riśādasemaṃ stomaṃ purubhujā | (ṛ. saṃ. 8-8-17)</w:t>
      </w:r>
    </w:p>
    <w:p>
      <w:pPr>
        <w:pStyle w:val="FirstParagraph"/>
      </w:pPr>
      <w:r>
        <w:rPr>
          <w:bCs/>
          <w:b/>
        </w:rPr>
        <w:t xml:space="preserve">Here</w:t>
      </w:r>
      <w:r>
        <w:rPr>
          <w:bCs/>
          <w:b/>
        </w:rPr>
        <w:t xml:space="preserve"> </w:t>
      </w:r>
      <w:r>
        <w:rPr>
          <w:bCs/>
          <w:b/>
        </w:rPr>
        <w:t xml:space="preserve">“</w:t>
      </w:r>
      <w:r>
        <w:rPr>
          <w:bCs/>
          <w:b/>
        </w:rPr>
        <w:t xml:space="preserve">bahulasya haviṣo bhoktārau</w:t>
      </w:r>
      <w:r>
        <w:rPr>
          <w:bCs/>
          <w:b/>
        </w:rPr>
        <w:t xml:space="preserve">”</w:t>
      </w:r>
      <w:r>
        <w:rPr>
          <w:bCs/>
          <w:b/>
        </w:rPr>
        <w:t xml:space="preserve"> </w:t>
      </w:r>
      <w:r>
        <w:rPr>
          <w:bCs/>
          <w:b/>
        </w:rPr>
        <w:t xml:space="preserve">means</w:t>
      </w:r>
      <w:r>
        <w:rPr>
          <w:bCs/>
          <w:b/>
        </w:rPr>
        <w:t xml:space="preserve"> </w:t>
      </w:r>
      <w:r>
        <w:rPr>
          <w:bCs/>
          <w:b/>
        </w:rPr>
        <w:t xml:space="preserve">“</w:t>
      </w:r>
      <w:r>
        <w:rPr>
          <w:bCs/>
          <w:b/>
        </w:rPr>
        <w:t xml:space="preserve">those who partake abundantly of the oblation.</w:t>
      </w:r>
      <w:r>
        <w:rPr>
          <w:bCs/>
          <w:b/>
        </w:rPr>
        <w:t xml:space="preserve">”</w:t>
      </w:r>
    </w:p>
    <w:p>
      <w:pPr>
        <w:pStyle w:val="BlockText"/>
      </w:pPr>
      <w:r>
        <w:t xml:space="preserve">यदन्तरिक्षे पतथः पुरुभुजा यद्वेमे रोदसे अनु । (ऋ. सं. ८-१०-६)</w:t>
      </w:r>
      <w:r>
        <w:t xml:space="preserve"> </w:t>
      </w:r>
      <w:r>
        <w:rPr>
          <w:iCs/>
          <w:i/>
        </w:rPr>
        <w:t xml:space="preserve">yadantarikṣe patathaḥ purubhujā yadveme rodase anu | (ṛ. saṃ. 8-10-6)</w:t>
      </w:r>
    </w:p>
    <w:p>
      <w:pPr>
        <w:pStyle w:val="FirstParagraph"/>
      </w:pPr>
      <w:r>
        <w:rPr>
          <w:bCs/>
          <w:b/>
        </w:rPr>
        <w:t xml:space="preserve">Here glossed simply as</w:t>
      </w:r>
      <w:r>
        <w:rPr>
          <w:bCs/>
          <w:b/>
        </w:rPr>
        <w:t xml:space="preserve"> </w:t>
      </w:r>
      <w:r>
        <w:rPr>
          <w:bCs/>
          <w:b/>
        </w:rPr>
        <w:t xml:space="preserve">“</w:t>
      </w:r>
      <w:r>
        <w:rPr>
          <w:bCs/>
          <w:b/>
        </w:rPr>
        <w:t xml:space="preserve">bahunāṃ pālakau</w:t>
      </w:r>
      <w:r>
        <w:rPr>
          <w:bCs/>
          <w:b/>
        </w:rPr>
        <w:t xml:space="preserve">”</w:t>
      </w:r>
      <w:r>
        <w:rPr>
          <w:bCs/>
          <w:b/>
        </w:rPr>
        <w:t xml:space="preserve"> </w:t>
      </w:r>
      <w:r>
        <w:rPr>
          <w:bCs/>
          <w:b/>
        </w:rPr>
        <w:t xml:space="preserve">—</w:t>
      </w:r>
      <w:r>
        <w:rPr>
          <w:bCs/>
          <w:b/>
        </w:rPr>
        <w:t xml:space="preserve"> </w:t>
      </w:r>
      <w:r>
        <w:rPr>
          <w:bCs/>
          <w:b/>
        </w:rPr>
        <w:t xml:space="preserve">“</w:t>
      </w:r>
      <w:r>
        <w:rPr>
          <w:bCs/>
          <w:b/>
        </w:rPr>
        <w:t xml:space="preserve">protectors of many.</w:t>
      </w:r>
      <w:r>
        <w:rPr>
          <w:bCs/>
          <w:b/>
        </w:rPr>
        <w:t xml:space="preserve">”</w:t>
      </w:r>
    </w:p>
    <w:p>
      <w:pPr>
        <w:pStyle w:val="BlockText"/>
      </w:pPr>
      <w:r>
        <w:t xml:space="preserve">युवं हि ष्मा पुरुभुजेममेधतुं [?] विष्णाप्वे ददथुर्वस्य इष्टये । (ऋ. सं. ८-८६-३)</w:t>
      </w:r>
      <w:r>
        <w:t xml:space="preserve"> </w:t>
      </w:r>
      <w:r>
        <w:rPr>
          <w:iCs/>
          <w:i/>
        </w:rPr>
        <w:t xml:space="preserve">yuvaṃ hi ṣmā purubhujemamedhatuṃ [?] viṣṇāpve dadathurvasya iṣṭaye | (ṛ. saṃ. 8-86-3)</w:t>
      </w:r>
    </w:p>
    <w:p>
      <w:pPr>
        <w:pStyle w:val="FirstParagraph"/>
      </w:pPr>
      <w:r>
        <w:rPr>
          <w:bCs/>
          <w:b/>
        </w:rPr>
        <w:t xml:space="preserve">Glossed two ways here:</w:t>
      </w:r>
      <w:r>
        <w:rPr>
          <w:bCs/>
          <w:b/>
        </w:rPr>
        <w:t xml:space="preserve"> </w:t>
      </w:r>
      <w:r>
        <w:rPr>
          <w:bCs/>
          <w:b/>
        </w:rPr>
        <w:t xml:space="preserve">“</w:t>
      </w:r>
      <w:r>
        <w:rPr>
          <w:bCs/>
          <w:b/>
        </w:rPr>
        <w:t xml:space="preserve">bahunāṃ dhanādi-dānena bhojayitārau</w:t>
      </w:r>
      <w:r>
        <w:rPr>
          <w:bCs/>
          <w:b/>
        </w:rPr>
        <w:t xml:space="preserve">”</w:t>
      </w:r>
      <w:r>
        <w:t xml:space="preserve"> </w:t>
      </w:r>
      <w:r>
        <w:t xml:space="preserve">(those who, by giving wealth and the like to many, enable them to feast)</w:t>
      </w:r>
      <w:r>
        <w:t xml:space="preserve"> </w:t>
      </w:r>
      <w:r>
        <w:rPr>
          <w:bCs/>
          <w:b/>
        </w:rPr>
        <w:t xml:space="preserve">and</w:t>
      </w:r>
      <w:r>
        <w:rPr>
          <w:bCs/>
          <w:b/>
        </w:rPr>
        <w:t xml:space="preserve"> </w:t>
      </w:r>
      <w:r>
        <w:rPr>
          <w:bCs/>
          <w:b/>
        </w:rPr>
        <w:t xml:space="preserve">“</w:t>
      </w:r>
      <w:r>
        <w:rPr>
          <w:bCs/>
          <w:b/>
        </w:rPr>
        <w:t xml:space="preserve">bahunāṃ stotṛ-janaṃ pālayitārau</w:t>
      </w:r>
      <w:r>
        <w:rPr>
          <w:bCs/>
          <w:b/>
        </w:rPr>
        <w:t xml:space="preserve">”</w:t>
      </w:r>
      <w:r>
        <w:t xml:space="preserve"> </w:t>
      </w:r>
      <w:r>
        <w:t xml:space="preserve">(those who protect the many who praise them).</w:t>
      </w:r>
    </w:p>
    <w:p>
      <w:r>
        <w:pict>
          <v:rect style="width:0;height:1.5pt" o:hralign="center" o:hrstd="t" o:hr="t"/>
        </w:pict>
      </w:r>
    </w:p>
    <w:p>
      <w:pPr>
        <w:pStyle w:val="FirstParagraph"/>
      </w:pPr>
      <w:r>
        <w:rPr>
          <w:bCs/>
          <w:b/>
        </w:rPr>
        <w:t xml:space="preserve">“</w:t>
      </w:r>
      <w:r>
        <w:rPr>
          <w:bCs/>
          <w:b/>
        </w:rPr>
        <w:t xml:space="preserve">Canasyatam</w:t>
      </w:r>
      <w:r>
        <w:rPr>
          <w:bCs/>
          <w:b/>
        </w:rPr>
        <w:t xml:space="preserve">”</w:t>
      </w:r>
      <w:r>
        <w:t xml:space="preserve"> </w:t>
      </w:r>
      <w:r>
        <w:t xml:space="preserve">— raises a genuine question: since this dual-verb itself means</w:t>
      </w:r>
      <w:r>
        <w:t xml:space="preserve"> </w:t>
      </w:r>
      <w:r>
        <w:t xml:space="preserve">“</w:t>
      </w:r>
      <w:r>
        <w:t xml:space="preserve">partake of food,</w:t>
      </w:r>
      <w:r>
        <w:t xml:space="preserve">”</w:t>
      </w:r>
      <w:r>
        <w:t xml:space="preserve"> </w:t>
      </w:r>
      <w:r>
        <w:t xml:space="preserve">and it governs</w:t>
      </w:r>
      <w:r>
        <w:t xml:space="preserve"> </w:t>
      </w:r>
      <w:r>
        <w:t xml:space="preserve">“</w:t>
      </w:r>
      <w:r>
        <w:t xml:space="preserve">iṣaḥ</w:t>
      </w:r>
      <w:r>
        <w:t xml:space="preserve">”</w:t>
      </w:r>
      <w:r>
        <w:t xml:space="preserve"> </w:t>
      </w:r>
      <w:r>
        <w:t xml:space="preserve">(food, in the form of oblation), doesn’t stating</w:t>
      </w:r>
      <w:r>
        <w:t xml:space="preserve"> </w:t>
      </w:r>
      <w:r>
        <w:t xml:space="preserve">“</w:t>
      </w:r>
      <w:r>
        <w:t xml:space="preserve">food</w:t>
      </w:r>
      <w:r>
        <w:t xml:space="preserve">”</w:t>
      </w:r>
      <w:r>
        <w:t xml:space="preserve"> </w:t>
      </w:r>
      <w:r>
        <w:t xml:space="preserve">twice create a redundancy fault?</w:t>
      </w:r>
      <w:r>
        <w:t xml:space="preserve"> </w:t>
      </w:r>
      <w:r>
        <w:rPr>
          <w:bCs/>
          <w:b/>
        </w:rPr>
        <w:t xml:space="preserve">The commentator answers that such apparently-redundant pairings are a well-established convention occurring in many contexts</w:t>
      </w:r>
      <w:r>
        <w:t xml:space="preserve">, citing as an illustrative (non-Vedic) parallel the phrase</w:t>
      </w:r>
      <w:r>
        <w:t xml:space="preserve"> </w:t>
      </w:r>
      <w:r>
        <w:t xml:space="preserve">“</w:t>
      </w:r>
      <w:r>
        <w:t xml:space="preserve">samūla-kāśaṃ kṛṣati.</w:t>
      </w:r>
      <w:r>
        <w:t xml:space="preserve">”</w:t>
      </w:r>
      <w:r>
        <w:t xml:space="preserve"> </w:t>
      </w:r>
      <w:r>
        <w:rPr>
          <w:bCs/>
          <w:b/>
        </w:rPr>
        <w:t xml:space="preserve">Such redundancy-adjacent word-pairs do occur here and there within the Veda itself; a few are given below as examples —</w:t>
      </w:r>
    </w:p>
    <w:bookmarkEnd w:id="38"/>
    <w:bookmarkStart w:id="39" w:name="page-16"/>
    <w:p>
      <w:pPr>
        <w:pStyle w:val="Heading3"/>
      </w:pPr>
      <w:r>
        <w:t xml:space="preserve">Page 16</w:t>
      </w:r>
    </w:p>
    <w:p>
      <w:pPr>
        <w:pStyle w:val="BlockText"/>
      </w:pPr>
      <w:r>
        <w:t xml:space="preserve">यो अश्वानां यो गवां गोपतिर्वशी य आरितः कर्मणिकर्मणि स्थिरः । (ऋ. सं. १-१०१-४)</w:t>
      </w:r>
      <w:r>
        <w:t xml:space="preserve"> </w:t>
      </w:r>
      <w:r>
        <w:rPr>
          <w:iCs/>
          <w:i/>
        </w:rPr>
        <w:t xml:space="preserve">yo aśvānāṃ yo gavāṃ gopatirvaśī ya āritaḥ karmaṇikarmaṇi sthiraḥ | (ṛ. saṃ. 1-101-4)</w:t>
      </w:r>
    </w:p>
    <w:p>
      <w:pPr>
        <w:pStyle w:val="BlockText"/>
      </w:pPr>
      <w:r>
        <w:t xml:space="preserve">इहेन्द्राग्नी उपह्वये तयोरित्स्तोममुश्मसि । ता सोमं सोमपातमा ॥ (ऋ. सं. १-२१-४)</w:t>
      </w:r>
      <w:r>
        <w:t xml:space="preserve"> </w:t>
      </w:r>
      <w:r>
        <w:rPr>
          <w:iCs/>
          <w:i/>
        </w:rPr>
        <w:t xml:space="preserve">ihendrāgnī upahvaye tayoritstomamuśmasi | tā somaṃ somapātamā ‖ (ṛ. saṃ. 1-21-4)</w:t>
      </w:r>
    </w:p>
    <w:p>
      <w:pPr>
        <w:pStyle w:val="BlockText"/>
      </w:pPr>
      <w:r>
        <w:t xml:space="preserve">द्रविणोदा द्रविणसस्तुरस्य द्रविणोदाः सनरस्य प्र यंसत् । (ऋ. सं. १-९६-८)</w:t>
      </w:r>
      <w:r>
        <w:t xml:space="preserve"> </w:t>
      </w:r>
      <w:r>
        <w:rPr>
          <w:iCs/>
          <w:i/>
        </w:rPr>
        <w:t xml:space="preserve">draviṇodā draviṇasasturasya draviṇodāḥ sanarasya pra yaṃsat | (ṛ. saṃ. 1-96-8)</w:t>
      </w:r>
    </w:p>
    <w:p>
      <w:pPr>
        <w:pStyle w:val="FirstParagraph"/>
      </w:pPr>
      <w:r>
        <w:rPr>
          <w:bCs/>
          <w:b/>
        </w:rPr>
        <w:t xml:space="preserve">These mantras, with phrases like</w:t>
      </w:r>
      <w:r>
        <w:rPr>
          <w:bCs/>
          <w:b/>
        </w:rPr>
        <w:t xml:space="preserve"> </w:t>
      </w:r>
      <w:r>
        <w:rPr>
          <w:bCs/>
          <w:b/>
        </w:rPr>
        <w:t xml:space="preserve">“</w:t>
      </w:r>
      <w:r>
        <w:rPr>
          <w:bCs/>
          <w:b/>
        </w:rPr>
        <w:t xml:space="preserve">gavāṃ go-patiḥ</w:t>
      </w:r>
      <w:r>
        <w:rPr>
          <w:bCs/>
          <w:b/>
        </w:rPr>
        <w:t xml:space="preserve">”</w:t>
      </w:r>
      <w:r>
        <w:rPr>
          <w:bCs/>
          <w:b/>
        </w:rPr>
        <w:t xml:space="preserve"> </w:t>
      </w:r>
      <w:r>
        <w:rPr>
          <w:bCs/>
          <w:b/>
        </w:rPr>
        <w:t xml:space="preserve">(the cow-protector of cows),</w:t>
      </w:r>
      <w:r>
        <w:rPr>
          <w:bCs/>
          <w:b/>
        </w:rPr>
        <w:t xml:space="preserve"> </w:t>
      </w:r>
      <w:r>
        <w:rPr>
          <w:bCs/>
          <w:b/>
        </w:rPr>
        <w:t xml:space="preserve">“</w:t>
      </w:r>
      <w:r>
        <w:rPr>
          <w:bCs/>
          <w:b/>
        </w:rPr>
        <w:t xml:space="preserve">somaṃ soma-pātamā</w:t>
      </w:r>
      <w:r>
        <w:rPr>
          <w:bCs/>
          <w:b/>
        </w:rPr>
        <w:t xml:space="preserve">”</w:t>
      </w:r>
      <w:r>
        <w:rPr>
          <w:bCs/>
          <w:b/>
        </w:rPr>
        <w:t xml:space="preserve"> </w:t>
      </w:r>
      <w:r>
        <w:rPr>
          <w:bCs/>
          <w:b/>
        </w:rPr>
        <w:t xml:space="preserve">(the soma-drinkers of soma), and</w:t>
      </w:r>
      <w:r>
        <w:rPr>
          <w:bCs/>
          <w:b/>
        </w:rPr>
        <w:t xml:space="preserve"> </w:t>
      </w:r>
      <w:r>
        <w:rPr>
          <w:bCs/>
          <w:b/>
        </w:rPr>
        <w:t xml:space="preserve">“</w:t>
      </w:r>
      <w:r>
        <w:rPr>
          <w:bCs/>
          <w:b/>
        </w:rPr>
        <w:t xml:space="preserve">draviṇodā draviṇasaḥ,</w:t>
      </w:r>
      <w:r>
        <w:rPr>
          <w:bCs/>
          <w:b/>
        </w:rPr>
        <w:t xml:space="preserve">”</w:t>
      </w:r>
      <w:r>
        <w:rPr>
          <w:bCs/>
          <w:b/>
        </w:rPr>
        <w:t xml:space="preserve"> </w:t>
      </w:r>
      <w:r>
        <w:rPr>
          <w:bCs/>
          <w:b/>
        </w:rPr>
        <w:t xml:space="preserve">confirm that this kind of apparent redundancy is a genuine, established feature of Vedic diction.</w:t>
      </w:r>
    </w:p>
    <w:p>
      <w:pPr>
        <w:pStyle w:val="BodyText"/>
      </w:pPr>
      <w:r>
        <w:rPr>
          <w:bCs/>
          <w:b/>
        </w:rPr>
        <w:t xml:space="preserve">॥ Vyākaraṇa-prakriyā ॥</w:t>
      </w:r>
    </w:p>
    <w:p>
      <w:pPr>
        <w:pStyle w:val="BodyText"/>
      </w:pPr>
      <w:r>
        <w:rPr>
          <w:iCs/>
          <w:i/>
        </w:rPr>
        <w:t xml:space="preserve">(The grammatical derivation for this sukta’s opening verse — covering</w:t>
      </w:r>
      <w:r>
        <w:rPr>
          <w:iCs/>
          <w:i/>
        </w:rPr>
        <w:t xml:space="preserve"> </w:t>
      </w:r>
      <w:r>
        <w:rPr>
          <w:iCs/>
          <w:i/>
        </w:rPr>
        <w:t xml:space="preserve">“</w:t>
      </w:r>
      <w:r>
        <w:rPr>
          <w:iCs/>
          <w:i/>
        </w:rPr>
        <w:t xml:space="preserve">aśvinā</w:t>
      </w:r>
      <w:r>
        <w:rPr>
          <w:iCs/>
          <w:i/>
        </w:rPr>
        <w:t xml:space="preserve">”</w:t>
      </w:r>
      <w:r>
        <w:rPr>
          <w:iCs/>
          <w:i/>
        </w:rPr>
        <w:t xml:space="preserve"> </w:t>
      </w:r>
      <w:r>
        <w:rPr>
          <w:iCs/>
          <w:i/>
        </w:rPr>
        <w:t xml:space="preserve">as a vocative-adjacent form (per Pā. 6-1-198,</w:t>
      </w:r>
      <w:r>
        <w:rPr>
          <w:iCs/>
          <w:i/>
        </w:rPr>
        <w:t xml:space="preserve"> </w:t>
      </w:r>
      <w:r>
        <w:rPr>
          <w:iCs/>
          <w:i/>
        </w:rPr>
        <w:t xml:space="preserve">“</w:t>
      </w:r>
      <w:r>
        <w:rPr>
          <w:iCs/>
          <w:i/>
        </w:rPr>
        <w:t xml:space="preserve">āmantritasya ca</w:t>
      </w:r>
      <w:r>
        <w:rPr>
          <w:iCs/>
          <w:i/>
        </w:rPr>
        <w:t xml:space="preserve">”</w:t>
      </w:r>
      <w:r>
        <w:rPr>
          <w:iCs/>
          <w:i/>
        </w:rPr>
        <w:t xml:space="preserve">),</w:t>
      </w:r>
      <w:r>
        <w:rPr>
          <w:iCs/>
          <w:i/>
        </w:rPr>
        <w:t xml:space="preserve"> </w:t>
      </w:r>
      <w:r>
        <w:rPr>
          <w:iCs/>
          <w:i/>
        </w:rPr>
        <w:t xml:space="preserve">“</w:t>
      </w:r>
      <w:r>
        <w:rPr>
          <w:iCs/>
          <w:i/>
        </w:rPr>
        <w:t xml:space="preserve">yajvarī</w:t>
      </w:r>
      <w:r>
        <w:rPr>
          <w:iCs/>
          <w:i/>
        </w:rPr>
        <w:t xml:space="preserve">”</w:t>
      </w:r>
      <w:r>
        <w:rPr>
          <w:iCs/>
          <w:i/>
        </w:rPr>
        <w:t xml:space="preserve"> </w:t>
      </w:r>
      <w:r>
        <w:rPr>
          <w:iCs/>
          <w:i/>
        </w:rPr>
        <w:t xml:space="preserve">analyzed via the root meaning</w:t>
      </w:r>
      <w:r>
        <w:rPr>
          <w:iCs/>
          <w:i/>
        </w:rPr>
        <w:t xml:space="preserve"> </w:t>
      </w:r>
      <w:r>
        <w:rPr>
          <w:iCs/>
          <w:i/>
        </w:rPr>
        <w:t xml:space="preserve">“</w:t>
      </w:r>
      <w:r>
        <w:rPr>
          <w:iCs/>
          <w:i/>
        </w:rPr>
        <w:t xml:space="preserve">to accomplish the sacrifice,</w:t>
      </w:r>
      <w:r>
        <w:rPr>
          <w:iCs/>
          <w:i/>
        </w:rPr>
        <w:t xml:space="preserve">”</w:t>
      </w:r>
      <w:r>
        <w:rPr>
          <w:iCs/>
          <w:i/>
        </w:rPr>
        <w:t xml:space="preserve"> </w:t>
      </w:r>
      <w:r>
        <w:rPr>
          <w:iCs/>
          <w:i/>
        </w:rPr>
        <w:t xml:space="preserve">“</w:t>
      </w:r>
      <w:r>
        <w:rPr>
          <w:iCs/>
          <w:i/>
        </w:rPr>
        <w:t xml:space="preserve">iṣaḥ</w:t>
      </w:r>
      <w:r>
        <w:rPr>
          <w:iCs/>
          <w:i/>
        </w:rPr>
        <w:t xml:space="preserve">”</w:t>
      </w:r>
      <w:r>
        <w:rPr>
          <w:iCs/>
          <w:i/>
        </w:rPr>
        <w:t xml:space="preserve"> </w:t>
      </w:r>
      <w:r>
        <w:rPr>
          <w:iCs/>
          <w:i/>
        </w:rPr>
        <w:t xml:space="preserve">and its accent-variants,</w:t>
      </w:r>
      <w:r>
        <w:rPr>
          <w:iCs/>
          <w:i/>
        </w:rPr>
        <w:t xml:space="preserve"> </w:t>
      </w:r>
      <w:r>
        <w:rPr>
          <w:iCs/>
          <w:i/>
        </w:rPr>
        <w:t xml:space="preserve">“</w:t>
      </w:r>
      <w:r>
        <w:rPr>
          <w:iCs/>
          <w:i/>
        </w:rPr>
        <w:t xml:space="preserve">dravat-pāṇī</w:t>
      </w:r>
      <w:r>
        <w:rPr>
          <w:iCs/>
          <w:i/>
        </w:rPr>
        <w:t xml:space="preserve">”</w:t>
      </w:r>
      <w:r>
        <w:rPr>
          <w:iCs/>
          <w:i/>
        </w:rPr>
        <w:t xml:space="preserve"> </w:t>
      </w:r>
      <w:r>
        <w:rPr>
          <w:iCs/>
          <w:i/>
        </w:rPr>
        <w:t xml:space="preserve">as a compound of</w:t>
      </w:r>
      <w:r>
        <w:rPr>
          <w:iCs/>
          <w:i/>
        </w:rPr>
        <w:t xml:space="preserve"> </w:t>
      </w:r>
      <w:r>
        <w:rPr>
          <w:iCs/>
          <w:i/>
        </w:rPr>
        <w:t xml:space="preserve">“</w:t>
      </w:r>
      <w:r>
        <w:rPr>
          <w:iCs/>
          <w:i/>
        </w:rPr>
        <w:t xml:space="preserve">dravat</w:t>
      </w:r>
      <w:r>
        <w:rPr>
          <w:iCs/>
          <w:i/>
        </w:rPr>
        <w:t xml:space="preserve">”</w:t>
      </w:r>
      <w:r>
        <w:rPr>
          <w:iCs/>
          <w:i/>
        </w:rPr>
        <w:t xml:space="preserve"> </w:t>
      </w:r>
      <w:r>
        <w:rPr>
          <w:iCs/>
          <w:i/>
        </w:rPr>
        <w:t xml:space="preserve">(running/swift) and</w:t>
      </w:r>
      <w:r>
        <w:rPr>
          <w:iCs/>
          <w:i/>
        </w:rPr>
        <w:t xml:space="preserve"> </w:t>
      </w:r>
      <w:r>
        <w:rPr>
          <w:iCs/>
          <w:i/>
        </w:rPr>
        <w:t xml:space="preserve">“</w:t>
      </w:r>
      <w:r>
        <w:rPr>
          <w:iCs/>
          <w:i/>
        </w:rPr>
        <w:t xml:space="preserve">pāṇi</w:t>
      </w:r>
      <w:r>
        <w:rPr>
          <w:iCs/>
          <w:i/>
        </w:rPr>
        <w:t xml:space="preserve">”</w:t>
      </w:r>
      <w:r>
        <w:rPr>
          <w:iCs/>
          <w:i/>
        </w:rPr>
        <w:t xml:space="preserve"> </w:t>
      </w:r>
      <w:r>
        <w:rPr>
          <w:iCs/>
          <w:i/>
        </w:rPr>
        <w:t xml:space="preserve">(hand/foot),</w:t>
      </w:r>
      <w:r>
        <w:rPr>
          <w:iCs/>
          <w:i/>
        </w:rPr>
        <w:t xml:space="preserve"> </w:t>
      </w:r>
      <w:r>
        <w:rPr>
          <w:iCs/>
          <w:i/>
        </w:rPr>
        <w:t xml:space="preserve">“</w:t>
      </w:r>
      <w:r>
        <w:rPr>
          <w:iCs/>
          <w:i/>
        </w:rPr>
        <w:t xml:space="preserve">śubhas-patī</w:t>
      </w:r>
      <w:r>
        <w:rPr>
          <w:iCs/>
          <w:i/>
        </w:rPr>
        <w:t xml:space="preserve">”</w:t>
      </w:r>
      <w:r>
        <w:rPr>
          <w:iCs/>
          <w:i/>
        </w:rPr>
        <w:t xml:space="preserve"> </w:t>
      </w:r>
      <w:r>
        <w:rPr>
          <w:iCs/>
          <w:i/>
        </w:rPr>
        <w:t xml:space="preserve">with its accent-retention rule, and</w:t>
      </w:r>
      <w:r>
        <w:rPr>
          <w:iCs/>
          <w:i/>
        </w:rPr>
        <w:t xml:space="preserve"> </w:t>
      </w:r>
      <w:r>
        <w:rPr>
          <w:iCs/>
          <w:i/>
        </w:rPr>
        <w:t xml:space="preserve">“</w:t>
      </w:r>
      <w:r>
        <w:rPr>
          <w:iCs/>
          <w:i/>
        </w:rPr>
        <w:t xml:space="preserve">canasyatam</w:t>
      </w:r>
      <w:r>
        <w:rPr>
          <w:iCs/>
          <w:i/>
        </w:rPr>
        <w:t xml:space="preserve">”</w:t>
      </w:r>
      <w:r>
        <w:rPr>
          <w:iCs/>
          <w:i/>
        </w:rPr>
        <w:t xml:space="preserve"> </w:t>
      </w:r>
      <w:r>
        <w:rPr>
          <w:iCs/>
          <w:i/>
        </w:rPr>
        <w:t xml:space="preserve">as a denominative verb formed from</w:t>
      </w:r>
      <w:r>
        <w:rPr>
          <w:iCs/>
          <w:i/>
        </w:rPr>
        <w:t xml:space="preserve"> </w:t>
      </w:r>
      <w:r>
        <w:rPr>
          <w:iCs/>
          <w:i/>
        </w:rPr>
        <w:t xml:space="preserve">“</w:t>
      </w:r>
      <w:r>
        <w:rPr>
          <w:iCs/>
          <w:i/>
        </w:rPr>
        <w:t xml:space="preserve">canas</w:t>
      </w:r>
      <w:r>
        <w:rPr>
          <w:iCs/>
          <w:i/>
        </w:rPr>
        <w:t xml:space="preserve">”</w:t>
      </w:r>
      <w:r>
        <w:rPr>
          <w:iCs/>
          <w:i/>
        </w:rPr>
        <w:t xml:space="preserve"> </w:t>
      </w:r>
      <w:r>
        <w:rPr>
          <w:iCs/>
          <w:i/>
        </w:rPr>
        <w:t xml:space="preserve">— proceeds here in the same dense sutra-citation register used throughout this work. Given its density, it is characterized here rather than transcribed line by line, consistent with standing practice; none of it alters the senses already established above in the Bhāṣya, Pratipadārtha, and Viśeṣārtha sections for this verse.)</w:t>
      </w:r>
    </w:p>
    <w:p>
      <w:r>
        <w:pict>
          <v:rect style="width:0;height:1.5pt" o:hralign="center" o:hrstd="t" o:hr="t"/>
        </w:pict>
      </w:r>
    </w:p>
    <w:p>
      <w:pPr>
        <w:pStyle w:val="FirstParagraph"/>
      </w:pPr>
      <w:r>
        <w:rPr>
          <w:bCs/>
          <w:b/>
        </w:rPr>
        <w:t xml:space="preserve">Progress: Through PDF page 31 of Rig_Vol2.pdf (printed page 16) — a larger batch covering printed pages 7–16.</w:t>
      </w:r>
      <w:r>
        <w:t xml:space="preserve"> </w:t>
      </w:r>
      <w:r>
        <w:t xml:space="preserve">This batch completed the structural setup (full Savana/Stotra-Shastra tables, cross-referenced to Volume 1) and then the complete apparatus for</w:t>
      </w:r>
      <w:r>
        <w:t xml:space="preserve"> </w:t>
      </w:r>
      <w:r>
        <w:rPr>
          <w:bCs/>
          <w:b/>
        </w:rPr>
        <w:t xml:space="preserve">Rik 3.1</w:t>
      </w:r>
      <w:r>
        <w:t xml:space="preserve"> </w:t>
      </w:r>
      <w:r>
        <w:t xml:space="preserve">(</w:t>
      </w:r>
      <w:r>
        <w:t xml:space="preserve">“</w:t>
      </w:r>
      <w:r>
        <w:t xml:space="preserve">aśvinā yajvarīr iṣo dravat-pāṇī śubhas patī | purubhujā canasyatam</w:t>
      </w:r>
      <w:r>
        <w:t xml:space="preserve">”</w:t>
      </w:r>
      <w:r>
        <w:t xml:space="preserve">) — Sayana’s commentary, Pratipadartha, Bhavartha, English translation, and an unusually rich Viśeṣārtha section featuring: the Ashvins’ origin-legend (born of Surya and Sanjna in horse-form) and the Rjrashva story; a careful, honest philological discussion of</w:t>
      </w:r>
      <w:r>
        <w:t xml:space="preserve"> </w:t>
      </w:r>
      <w:r>
        <w:t xml:space="preserve">“</w:t>
      </w:r>
      <w:r>
        <w:t xml:space="preserve">Aśvinā</w:t>
      </w:r>
      <w:r>
        <w:t xml:space="preserve">”</w:t>
      </w:r>
      <w:r>
        <w:t xml:space="preserve"> </w:t>
      </w:r>
      <w:r>
        <w:t xml:space="preserve">itself weighing the Vedartha-yatna’s</w:t>
      </w:r>
      <w:r>
        <w:t xml:space="preserve"> </w:t>
      </w:r>
      <w:r>
        <w:t xml:space="preserve">“</w:t>
      </w:r>
      <w:r>
        <w:t xml:space="preserve">horse-riders</w:t>
      </w:r>
      <w:r>
        <w:t xml:space="preserve">”</w:t>
      </w:r>
      <w:r>
        <w:t xml:space="preserve"> </w:t>
      </w:r>
      <w:r>
        <w:t xml:space="preserve">reading against the birth-legend explanation; and extensive citation-chains for</w:t>
      </w:r>
      <w:r>
        <w:t xml:space="preserve"> </w:t>
      </w:r>
      <w:r>
        <w:t xml:space="preserve">“</w:t>
      </w:r>
      <w:r>
        <w:t xml:space="preserve">yajvarī,</w:t>
      </w:r>
      <w:r>
        <w:t xml:space="preserve">”</w:t>
      </w:r>
      <w:r>
        <w:t xml:space="preserve"> </w:t>
      </w:r>
      <w:r>
        <w:t xml:space="preserve">“</w:t>
      </w:r>
      <w:r>
        <w:t xml:space="preserve">dravat-pāṇī,</w:t>
      </w:r>
      <w:r>
        <w:t xml:space="preserve">”</w:t>
      </w:r>
      <w:r>
        <w:t xml:space="preserve"> </w:t>
      </w:r>
      <w:r>
        <w:t xml:space="preserve">“</w:t>
      </w:r>
      <w:r>
        <w:t xml:space="preserve">śubhaspatī</w:t>
      </w:r>
      <w:r>
        <w:t xml:space="preserve">”</w:t>
      </w:r>
      <w:r>
        <w:t xml:space="preserve"> </w:t>
      </w:r>
      <w:r>
        <w:t xml:space="preserve">(comparing Sayana, Skandasvami, Venkatanatha, the Vedartha-yatna authors, and five Western scholars — Grassmann, Ludwig, Geldner, Monier Williams, Griffith), and</w:t>
      </w:r>
      <w:r>
        <w:t xml:space="preserve"> </w:t>
      </w:r>
      <w:r>
        <w:t xml:space="preserve">“</w:t>
      </w:r>
      <w:r>
        <w:t xml:space="preserve">purubhujā</w:t>
      </w:r>
      <w:r>
        <w:t xml:space="preserve">”</w:t>
      </w:r>
      <w:r>
        <w:t xml:space="preserve"> </w:t>
      </w:r>
      <w:r>
        <w:t xml:space="preserve">(nine separate citations showing its varied senses). The batch closes with real Vedic examples of deliberate</w:t>
      </w:r>
      <w:r>
        <w:t xml:space="preserve"> </w:t>
      </w:r>
      <w:r>
        <w:t xml:space="preserve">“</w:t>
      </w:r>
      <w:r>
        <w:t xml:space="preserve">redundant</w:t>
      </w:r>
      <w:r>
        <w:t xml:space="preserve">”</w:t>
      </w:r>
      <w:r>
        <w:t xml:space="preserve"> </w:t>
      </w:r>
      <w:r>
        <w:t xml:space="preserve">phrasing (gavāṃ gopatiḥ, somaṃ somapātamā) and opens the grammar section for this verse.</w:t>
      </w:r>
      <w:r>
        <w:t xml:space="preserve"> </w:t>
      </w:r>
      <w:r>
        <w:rPr>
          <w:bCs/>
          <w:b/>
        </w:rPr>
        <w:t xml:space="preserve">Target for next session:</w:t>
      </w:r>
      <w:r>
        <w:t xml:space="preserve"> </w:t>
      </w:r>
      <w:r>
        <w:t xml:space="preserve">continue from PDF page 32 (printed page 17) — likely Rik 3.2 (the second verse, still within the Ashvin group).</w:t>
      </w:r>
    </w:p>
    <w:p>
      <w:pPr>
        <w:pStyle w:val="BodyText"/>
      </w:pPr>
      <w:r>
        <w:rPr>
          <w:iCs/>
          <w:i/>
        </w:rPr>
        <w:t xml:space="preserve">(Printed references in the grammar on this page, in order: Pā. 6-1-198; Pā. 3-2-103; Pā. 4-1-7; Pā. 3-1-4; Pā. 2-1-2 (Oct 2026 numeral pass).)</w:t>
      </w:r>
    </w:p>
    <w:bookmarkEnd w:id="39"/>
    <w:bookmarkStart w:id="40" w:name="page-17"/>
    <w:p>
      <w:pPr>
        <w:pStyle w:val="Heading3"/>
      </w:pPr>
      <w:r>
        <w:t xml:space="preserve">Page 17</w:t>
      </w:r>
    </w:p>
    <w:p>
      <w:pPr>
        <w:pStyle w:val="FirstParagraph"/>
      </w:pPr>
      <w:r>
        <w:rPr>
          <w:iCs/>
          <w:i/>
        </w:rPr>
        <w:t xml:space="preserve">(This entire page continues the Vyākaraṇa-prakriyā for Rik 3.1 in the same dense register — working through</w:t>
      </w:r>
      <w:r>
        <w:rPr>
          <w:iCs/>
          <w:i/>
        </w:rPr>
        <w:t xml:space="preserve"> </w:t>
      </w:r>
      <w:r>
        <w:rPr>
          <w:iCs/>
          <w:i/>
        </w:rPr>
        <w:t xml:space="preserve">“</w:t>
      </w:r>
      <w:r>
        <w:rPr>
          <w:iCs/>
          <w:i/>
        </w:rPr>
        <w:t xml:space="preserve">śubhaspatī</w:t>
      </w:r>
      <w:r>
        <w:rPr>
          <w:iCs/>
          <w:i/>
        </w:rPr>
        <w:t xml:space="preserve">”</w:t>
      </w:r>
      <w:r>
        <w:rPr>
          <w:iCs/>
          <w:i/>
        </w:rPr>
        <w:t xml:space="preserve"> </w:t>
      </w:r>
      <w:r>
        <w:rPr>
          <w:iCs/>
          <w:i/>
        </w:rPr>
        <w:t xml:space="preserve">(accent-retention and compound-analysis),</w:t>
      </w:r>
      <w:r>
        <w:rPr>
          <w:iCs/>
          <w:i/>
        </w:rPr>
        <w:t xml:space="preserve"> </w:t>
      </w:r>
      <w:r>
        <w:rPr>
          <w:iCs/>
          <w:i/>
        </w:rPr>
        <w:t xml:space="preserve">“</w:t>
      </w:r>
      <w:r>
        <w:rPr>
          <w:iCs/>
          <w:i/>
        </w:rPr>
        <w:t xml:space="preserve">aśvinā</w:t>
      </w:r>
      <w:r>
        <w:rPr>
          <w:iCs/>
          <w:i/>
        </w:rPr>
        <w:t xml:space="preserve">”</w:t>
      </w:r>
      <w:r>
        <w:rPr>
          <w:iCs/>
          <w:i/>
        </w:rPr>
        <w:t xml:space="preserve"> </w:t>
      </w:r>
      <w:r>
        <w:rPr>
          <w:iCs/>
          <w:i/>
        </w:rPr>
        <w:t xml:space="preserve">(vocative/accusative accent variants),</w:t>
      </w:r>
      <w:r>
        <w:rPr>
          <w:iCs/>
          <w:i/>
        </w:rPr>
        <w:t xml:space="preserve"> </w:t>
      </w:r>
      <w:r>
        <w:rPr>
          <w:iCs/>
          <w:i/>
        </w:rPr>
        <w:t xml:space="preserve">“</w:t>
      </w:r>
      <w:r>
        <w:rPr>
          <w:iCs/>
          <w:i/>
        </w:rPr>
        <w:t xml:space="preserve">purubhujā</w:t>
      </w:r>
      <w:r>
        <w:rPr>
          <w:iCs/>
          <w:i/>
        </w:rPr>
        <w:t xml:space="preserve">”</w:t>
      </w:r>
      <w:r>
        <w:rPr>
          <w:iCs/>
          <w:i/>
        </w:rPr>
        <w:t xml:space="preserve"> </w:t>
      </w:r>
      <w:r>
        <w:rPr>
          <w:iCs/>
          <w:i/>
        </w:rPr>
        <w:t xml:space="preserve">(bahuvrīhi-compound derivation), and</w:t>
      </w:r>
      <w:r>
        <w:rPr>
          <w:iCs/>
          <w:i/>
        </w:rPr>
        <w:t xml:space="preserve"> </w:t>
      </w:r>
      <w:r>
        <w:rPr>
          <w:iCs/>
          <w:i/>
        </w:rPr>
        <w:t xml:space="preserve">“</w:t>
      </w:r>
      <w:r>
        <w:rPr>
          <w:iCs/>
          <w:i/>
        </w:rPr>
        <w:t xml:space="preserve">canasyatam</w:t>
      </w:r>
      <w:r>
        <w:rPr>
          <w:iCs/>
          <w:i/>
        </w:rPr>
        <w:t xml:space="preserve">”</w:t>
      </w:r>
      <w:r>
        <w:rPr>
          <w:iCs/>
          <w:i/>
        </w:rPr>
        <w:t xml:space="preserve"> </w:t>
      </w:r>
      <w:r>
        <w:rPr>
          <w:iCs/>
          <w:i/>
        </w:rPr>
        <w:t xml:space="preserve">(a denominative formation from</w:t>
      </w:r>
      <w:r>
        <w:rPr>
          <w:iCs/>
          <w:i/>
        </w:rPr>
        <w:t xml:space="preserve"> </w:t>
      </w:r>
      <w:r>
        <w:rPr>
          <w:iCs/>
          <w:i/>
        </w:rPr>
        <w:t xml:space="preserve">“</w:t>
      </w:r>
      <w:r>
        <w:rPr>
          <w:iCs/>
          <w:i/>
        </w:rPr>
        <w:t xml:space="preserve">canas,</w:t>
      </w:r>
      <w:r>
        <w:rPr>
          <w:iCs/>
          <w:i/>
        </w:rPr>
        <w:t xml:space="preserve">”</w:t>
      </w:r>
      <w:r>
        <w:rPr>
          <w:iCs/>
          <w:i/>
        </w:rPr>
        <w:t xml:space="preserve"> </w:t>
      </w:r>
      <w:r>
        <w:rPr>
          <w:iCs/>
          <w:i/>
        </w:rPr>
        <w:t xml:space="preserve">with its affix and accent rules, including cross-reference to the Nirukta 5-16 gloss of</w:t>
      </w:r>
      <w:r>
        <w:rPr>
          <w:iCs/>
          <w:i/>
        </w:rPr>
        <w:t xml:space="preserve"> </w:t>
      </w:r>
      <w:r>
        <w:rPr>
          <w:iCs/>
          <w:i/>
        </w:rPr>
        <w:t xml:space="preserve">“</w:t>
      </w:r>
      <w:r>
        <w:rPr>
          <w:iCs/>
          <w:i/>
        </w:rPr>
        <w:t xml:space="preserve">canaḥ</w:t>
      </w:r>
      <w:r>
        <w:rPr>
          <w:iCs/>
          <w:i/>
        </w:rPr>
        <w:t xml:space="preserve">”</w:t>
      </w:r>
      <w:r>
        <w:rPr>
          <w:iCs/>
          <w:i/>
        </w:rPr>
        <w:t xml:space="preserve"> </w:t>
      </w:r>
      <w:r>
        <w:rPr>
          <w:iCs/>
          <w:i/>
        </w:rPr>
        <w:t xml:space="preserve">as</w:t>
      </w:r>
      <w:r>
        <w:rPr>
          <w:iCs/>
          <w:i/>
        </w:rPr>
        <w:t xml:space="preserve"> </w:t>
      </w:r>
      <w:r>
        <w:rPr>
          <w:iCs/>
          <w:i/>
        </w:rPr>
        <w:t xml:space="preserve">“</w:t>
      </w:r>
      <w:r>
        <w:rPr>
          <w:iCs/>
          <w:i/>
        </w:rPr>
        <w:t xml:space="preserve">food</w:t>
      </w:r>
      <w:r>
        <w:rPr>
          <w:iCs/>
          <w:i/>
        </w:rPr>
        <w:t xml:space="preserve">”</w:t>
      </w:r>
      <w:r>
        <w:rPr>
          <w:iCs/>
          <w:i/>
        </w:rPr>
        <w:t xml:space="preserve">). Characterized here rather than transcribed line-by-line, consistent with standing practice for this register; none of it changes the senses already established above.)</w:t>
      </w:r>
    </w:p>
    <w:p>
      <w:pPr>
        <w:pStyle w:val="BodyText"/>
      </w:pPr>
      <w:r>
        <w:rPr>
          <w:iCs/>
          <w:i/>
        </w:rPr>
        <w:t xml:space="preserve">(Printed references on this page, in order: Pā. 3-3-108; Vā. 9; Pā. 8-3-53; Pā. 6-1-198; Pā. 8-1-72; Pā. 8-1-73; Pā. 7-1-39; Pā. 8-639 [as printed]; Pā. 6-1-66; Nir. 5-16; Pā. 3-1-8 … (Oct 2026 numeral pass; list continues in the boxes of the review page).)</w:t>
      </w:r>
    </w:p>
    <w:bookmarkEnd w:id="40"/>
    <w:bookmarkStart w:id="41" w:name="page-18-sūkta-3-the-second-mantra"/>
    <w:p>
      <w:pPr>
        <w:pStyle w:val="Heading3"/>
      </w:pPr>
      <w:r>
        <w:t xml:space="preserve">Page 18 — Sūkta 3, The Second Mantra</w:t>
      </w:r>
    </w:p>
    <w:p>
      <w:pPr>
        <w:pStyle w:val="FirstParagraph"/>
      </w:pPr>
      <w:r>
        <w:rPr>
          <w:iCs/>
          <w:i/>
        </w:rPr>
        <w:t xml:space="preserve">(This page opens with the closing lines of Rik 3.1’s grammar discussion — covering the accent-behavior of</w:t>
      </w:r>
      <w:r>
        <w:rPr>
          <w:iCs/>
          <w:i/>
        </w:rPr>
        <w:t xml:space="preserve"> </w:t>
      </w:r>
      <w:r>
        <w:rPr>
          <w:iCs/>
          <w:i/>
        </w:rPr>
        <w:t xml:space="preserve">“</w:t>
      </w:r>
      <w:r>
        <w:rPr>
          <w:iCs/>
          <w:i/>
        </w:rPr>
        <w:t xml:space="preserve">canasyatam</w:t>
      </w:r>
      <w:r>
        <w:rPr>
          <w:iCs/>
          <w:i/>
        </w:rPr>
        <w:t xml:space="preserve">”</w:t>
      </w:r>
      <w:r>
        <w:rPr>
          <w:iCs/>
          <w:i/>
        </w:rPr>
        <w:t xml:space="preserve"> </w:t>
      </w:r>
      <w:r>
        <w:rPr>
          <w:iCs/>
          <w:i/>
        </w:rPr>
        <w:t xml:space="preserve">as a denominative verb, and the word</w:t>
      </w:r>
      <w:r>
        <w:rPr>
          <w:iCs/>
          <w:i/>
        </w:rPr>
        <w:t xml:space="preserve"> </w:t>
      </w:r>
      <w:r>
        <w:rPr>
          <w:iCs/>
          <w:i/>
        </w:rPr>
        <w:t xml:space="preserve">“</w:t>
      </w:r>
      <w:r>
        <w:rPr>
          <w:iCs/>
          <w:i/>
        </w:rPr>
        <w:t xml:space="preserve">dhiṣṇyā</w:t>
      </w:r>
      <w:r>
        <w:rPr>
          <w:iCs/>
          <w:i/>
        </w:rPr>
        <w:t xml:space="preserve">”</w:t>
      </w:r>
      <w:r>
        <w:rPr>
          <w:iCs/>
          <w:i/>
        </w:rPr>
        <w:t xml:space="preserve"> </w:t>
      </w:r>
      <w:r>
        <w:rPr>
          <w:iCs/>
          <w:i/>
        </w:rPr>
        <w:t xml:space="preserve">cross-referenced ahead — in the established dense register; not reproduced in detail.)</w:t>
      </w:r>
    </w:p>
    <w:p>
      <w:r>
        <w:pict>
          <v:rect style="width:0;height:1.5pt" o:hralign="center" o:hrstd="t" o:hr="t"/>
        </w:pict>
      </w:r>
    </w:p>
    <w:p>
      <w:pPr>
        <w:pStyle w:val="FirstParagraph"/>
      </w:pPr>
      <w:r>
        <w:rPr>
          <w:bCs/>
          <w:b/>
        </w:rPr>
        <w:t xml:space="preserve">॥ Saṃhitā-pāṭhaḥ ॥</w:t>
      </w:r>
    </w:p>
    <w:p>
      <w:pPr>
        <w:pStyle w:val="BlockText"/>
      </w:pPr>
      <w:r>
        <w:t xml:space="preserve">अश्वि॑ना॒ पुरु॑दंससा॒ नरा॒ शवी॑रया धि॒या ॥</w:t>
      </w:r>
      <w:r>
        <w:t xml:space="preserve"> </w:t>
      </w:r>
      <w:r>
        <w:t xml:space="preserve">धिष्ण्या॒ वन॑तं॒ गिरः॑ ॥२॥</w:t>
      </w:r>
    </w:p>
    <w:p>
      <w:pPr>
        <w:pStyle w:val="BlockText"/>
      </w:pPr>
      <w:r>
        <w:rPr>
          <w:iCs/>
          <w:i/>
        </w:rPr>
        <w:t xml:space="preserve">áśvinā púrudaṃsasā nárā śávīrayā dhiyā́ ||</w:t>
      </w:r>
      <w:r>
        <w:t xml:space="preserve"> </w:t>
      </w:r>
      <w:r>
        <w:rPr>
          <w:iCs/>
          <w:i/>
        </w:rPr>
        <w:t xml:space="preserve">dhiṣṇyā vánataṃ gíraḥ ||2||</w:t>
      </w:r>
    </w:p>
    <w:p>
      <w:pPr>
        <w:pStyle w:val="FirstParagraph"/>
      </w:pPr>
      <w:r>
        <w:rPr>
          <w:bCs/>
          <w:b/>
        </w:rPr>
        <w:t xml:space="preserve">॥ Pada-pāṭhaḥ ॥</w:t>
      </w:r>
    </w:p>
    <w:p>
      <w:pPr>
        <w:pStyle w:val="BlockText"/>
      </w:pPr>
      <w:r>
        <w:t xml:space="preserve">अश्विना । पुरुदꣳससा । नरा । शवीरया । धिया ।</w:t>
      </w:r>
      <w:r>
        <w:t xml:space="preserve"> </w:t>
      </w:r>
      <w:r>
        <w:t xml:space="preserve">धिष्ण्या । वनतम् । गिरः ॥२॥</w:t>
      </w:r>
    </w:p>
    <w:p>
      <w:pPr>
        <w:pStyle w:val="FirstParagraph"/>
      </w:pPr>
      <w:r>
        <w:rPr>
          <w:bCs/>
          <w:b/>
        </w:rPr>
        <w:t xml:space="preserve">॥ Sāyaṇa-bhāṣyam ॥</w:t>
      </w:r>
    </w:p>
    <w:p>
      <w:pPr>
        <w:pStyle w:val="BlockText"/>
      </w:pPr>
      <w:r>
        <w:t xml:space="preserve">अश्विना हे अश्विनौ युवां गिरोऽस्मदीयाः स्तुतीर्यथार्थयुक्तया बुद्ध्या वनतम् । संभजतम् । स्वीकुरुतम् । कीदृशावश्विनौ । पुरुदंससा । बहुकर्माणौ । … नरा । नेतारौ । धिष्ण्या । धार्ष्ट्र्ययुक्तौ बुद्धिमन्तौ वा । कीदृश्या धिया । शवीरया । गतियुक्तया । अप्रतिहतशक्त्या इत्यर्थः ।</w:t>
      </w:r>
      <w:r>
        <w:t xml:space="preserve"> </w:t>
      </w:r>
      <w:r>
        <w:rPr>
          <w:iCs/>
          <w:i/>
        </w:rPr>
        <w:t xml:space="preserve">aśvinā he aśvinau yuvāṃ giro’smadīyāḥ stutīr yathārtha-yuktayā buddhyā vanatam | sambhajatam | svīkurutam | kīdṛśāv aśvinau | purudaṃsasā | bahu-karmāṇau | … narā | netārau | dhiṣṇyā | dhārṣṭrya-yuktau buddhimantau vā | kīdṛśyā dhiyā | śavīrayā | gati-yuktayā | apratihata-śaktyā ity arthaḥ |</w:t>
      </w:r>
    </w:p>
    <w:p>
      <w:pPr>
        <w:pStyle w:val="FirstParagraph"/>
      </w:pPr>
      <w:r>
        <w:rPr>
          <w:bCs/>
          <w:b/>
        </w:rPr>
        <w:t xml:space="preserve">Translation:</w:t>
      </w:r>
      <w:r>
        <w:t xml:space="preserve"> </w:t>
      </w:r>
      <w:r>
        <w:t xml:space="preserve">“</w:t>
      </w:r>
      <w:r>
        <w:t xml:space="preserve">O Ashvins! Accept and embrace our hymns of praise (</w:t>
      </w:r>
      <w:r>
        <w:t xml:space="preserve">‘</w:t>
      </w:r>
      <w:r>
        <w:t xml:space="preserve">giraḥ</w:t>
      </w:r>
      <w:r>
        <w:t xml:space="preserve">’</w:t>
      </w:r>
      <w:r>
        <w:t xml:space="preserve">), with understanding fit to their true purpose. What kind of pair are the Ashvins?</w:t>
      </w:r>
      <w:r>
        <w:t xml:space="preserve"> </w:t>
      </w:r>
      <w:r>
        <w:t xml:space="preserve">‘</w:t>
      </w:r>
      <w:r>
        <w:t xml:space="preserve">Purudaṃsasā</w:t>
      </w:r>
      <w:r>
        <w:t xml:space="preserve">’</w:t>
      </w:r>
      <w:r>
        <w:t xml:space="preserve"> </w:t>
      </w:r>
      <w:r>
        <w:t xml:space="preserve">— doers of many deeds</w:t>
      </w:r>
      <w:r>
        <w:t xml:space="preserve"> </w:t>
      </w:r>
      <w:r>
        <w:rPr>
          <w:iCs/>
          <w:i/>
        </w:rPr>
        <w:t xml:space="preserve">(the word ”daṃsa” is listed among the Nighaṇṭu’s words for ”karma”)</w:t>
      </w:r>
      <w:r>
        <w:t xml:space="preserve">.</w:t>
      </w:r>
      <w:r>
        <w:t xml:space="preserve"> </w:t>
      </w:r>
      <w:r>
        <w:t xml:space="preserve">‘</w:t>
      </w:r>
      <w:r>
        <w:t xml:space="preserve">Narā</w:t>
      </w:r>
      <w:r>
        <w:t xml:space="preserve">’</w:t>
      </w:r>
      <w:r>
        <w:t xml:space="preserve"> </w:t>
      </w:r>
      <w:r>
        <w:t xml:space="preserve">— leaders.</w:t>
      </w:r>
      <w:r>
        <w:t xml:space="preserve"> </w:t>
      </w:r>
      <w:r>
        <w:t xml:space="preserve">‘</w:t>
      </w:r>
      <w:r>
        <w:t xml:space="preserve">Dhiṣṇyā</w:t>
      </w:r>
      <w:r>
        <w:t xml:space="preserve">’</w:t>
      </w:r>
      <w:r>
        <w:t xml:space="preserve"> </w:t>
      </w:r>
      <w:r>
        <w:t xml:space="preserve">— bold, or wise. With what kind of understanding?</w:t>
      </w:r>
      <w:r>
        <w:t xml:space="preserve"> </w:t>
      </w:r>
      <w:r>
        <w:t xml:space="preserve">‘</w:t>
      </w:r>
      <w:r>
        <w:t xml:space="preserve">Śavīrayā</w:t>
      </w:r>
      <w:r>
        <w:t xml:space="preserve">’</w:t>
      </w:r>
      <w:r>
        <w:t xml:space="preserve"> </w:t>
      </w:r>
      <w:r>
        <w:t xml:space="preserve">— endowed with motion; the sense being, of unimpeded power.</w:t>
      </w:r>
      <w:r>
        <w:t xml:space="preserve">”</w:t>
      </w:r>
    </w:p>
    <w:p>
      <w:pPr>
        <w:pStyle w:val="BodyText"/>
      </w:pPr>
      <w:r>
        <w:rPr>
          <w:iCs/>
          <w:i/>
        </w:rPr>
        <w:t xml:space="preserve">(Note: the scan at this point is somewhat worn, and a few words in the Sanskrit above are reconstructed with reasonable but not full confidence from context.)</w:t>
      </w:r>
    </w:p>
    <w:p>
      <w:pPr>
        <w:pStyle w:val="BodyText"/>
      </w:pPr>
      <w:r>
        <w:rPr>
          <w:iCs/>
          <w:i/>
        </w:rPr>
        <w:t xml:space="preserve">(Printed references at the head of this page (close of the Rk 3.1 grammar), in order: Pā. 3-1-32; Pā. 8-28 [as printed]; Pā. 6-1-186; Pā. 8-1-28 (Oct 2026 numeral pass).)</w:t>
      </w:r>
    </w:p>
    <w:bookmarkEnd w:id="41"/>
    <w:bookmarkStart w:id="42" w:name="page-19"/>
    <w:p>
      <w:pPr>
        <w:pStyle w:val="Heading3"/>
      </w:pPr>
      <w:r>
        <w:t xml:space="preserve">Page 19</w:t>
      </w:r>
    </w:p>
    <w:p>
      <w:pPr>
        <w:pStyle w:val="FirstParagraph"/>
      </w:pPr>
      <w:r>
        <w:rPr>
          <w:iCs/>
          <w:i/>
        </w:rPr>
        <w:t xml:space="preserve">(The bulk of this page continues the Sāyaṇa-bhāṣya’s grammatical analysis of</w:t>
      </w:r>
      <w:r>
        <w:rPr>
          <w:iCs/>
          <w:i/>
        </w:rPr>
        <w:t xml:space="preserve"> </w:t>
      </w:r>
      <w:r>
        <w:rPr>
          <w:iCs/>
          <w:i/>
        </w:rPr>
        <w:t xml:space="preserve">“</w:t>
      </w:r>
      <w:r>
        <w:rPr>
          <w:iCs/>
          <w:i/>
        </w:rPr>
        <w:t xml:space="preserve">purudaṃsasā,</w:t>
      </w:r>
      <w:r>
        <w:rPr>
          <w:iCs/>
          <w:i/>
        </w:rPr>
        <w:t xml:space="preserve">”</w:t>
      </w:r>
      <w:r>
        <w:rPr>
          <w:iCs/>
          <w:i/>
        </w:rPr>
        <w:t xml:space="preserve"> </w:t>
      </w:r>
      <w:r>
        <w:rPr>
          <w:iCs/>
          <w:i/>
        </w:rPr>
        <w:t xml:space="preserve">“</w:t>
      </w:r>
      <w:r>
        <w:rPr>
          <w:iCs/>
          <w:i/>
        </w:rPr>
        <w:t xml:space="preserve">dhiṣṇyā,</w:t>
      </w:r>
      <w:r>
        <w:rPr>
          <w:iCs/>
          <w:i/>
        </w:rPr>
        <w:t xml:space="preserve">”</w:t>
      </w:r>
      <w:r>
        <w:rPr>
          <w:iCs/>
          <w:i/>
        </w:rPr>
        <w:t xml:space="preserve"> </w:t>
      </w:r>
      <w:r>
        <w:rPr>
          <w:iCs/>
          <w:i/>
        </w:rPr>
        <w:t xml:space="preserve">“</w:t>
      </w:r>
      <w:r>
        <w:rPr>
          <w:iCs/>
          <w:i/>
        </w:rPr>
        <w:t xml:space="preserve">vanatam,</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giraḥ</w:t>
      </w:r>
      <w:r>
        <w:rPr>
          <w:iCs/>
          <w:i/>
        </w:rPr>
        <w:t xml:space="preserve">”</w:t>
      </w:r>
      <w:r>
        <w:rPr>
          <w:iCs/>
          <w:i/>
        </w:rPr>
        <w:t xml:space="preserve"> </w:t>
      </w:r>
      <w:r>
        <w:rPr>
          <w:iCs/>
          <w:i/>
        </w:rPr>
        <w:t xml:space="preserve">in the established dense register — covering compound-formation, accent-retention rules, and cross-references to related forms elsewhere in the Rigveda. Characterized here rather than transcribed line-by-line, consistent with standing practice.)</w:t>
      </w:r>
    </w:p>
    <w:p>
      <w:pPr>
        <w:pStyle w:val="BodyText"/>
      </w:pPr>
      <w:r>
        <w:rPr>
          <w:bCs/>
          <w:b/>
        </w:rPr>
        <w:t xml:space="preserve">॥ Prati-padārthaḥ ॥</w:t>
      </w:r>
    </w:p>
    <w:p>
      <w:pPr>
        <w:pStyle w:val="BodyText"/>
      </w:pPr>
      <w:r>
        <w:rPr>
          <w:bCs/>
          <w:b/>
        </w:rPr>
        <w:t xml:space="preserve">पुरुदंससा (purudaṃsasā)</w:t>
      </w:r>
      <w:r>
        <w:t xml:space="preserve"> </w:t>
      </w:r>
      <w:r>
        <w:t xml:space="preserve">— endowed with many deeds, that is, performers of many works |</w:t>
      </w:r>
      <w:r>
        <w:t xml:space="preserve"> </w:t>
      </w:r>
      <w:r>
        <w:rPr>
          <w:bCs/>
          <w:b/>
        </w:rPr>
        <w:t xml:space="preserve">नरा (narā)</w:t>
      </w:r>
      <w:r>
        <w:t xml:space="preserve"> </w:t>
      </w:r>
      <w:r>
        <w:t xml:space="preserve">— leaders of people, or guides |</w:t>
      </w:r>
      <w:r>
        <w:t xml:space="preserve"> </w:t>
      </w:r>
      <w:r>
        <w:rPr>
          <w:bCs/>
          <w:b/>
        </w:rPr>
        <w:t xml:space="preserve">धिष्ण्या (dhiṣṇyā)</w:t>
      </w:r>
      <w:r>
        <w:t xml:space="preserve"> </w:t>
      </w:r>
      <w:r>
        <w:t xml:space="preserve">— wise |</w:t>
      </w:r>
      <w:r>
        <w:t xml:space="preserve"> </w:t>
      </w:r>
      <w:r>
        <w:rPr>
          <w:bCs/>
          <w:b/>
        </w:rPr>
        <w:t xml:space="preserve">अश्विना (aśvinā)</w:t>
      </w:r>
      <w:r>
        <w:t xml:space="preserve"> </w:t>
      </w:r>
      <w:r>
        <w:t xml:space="preserve">— O Ashvin deities! (you two) |</w:t>
      </w:r>
      <w:r>
        <w:t xml:space="preserve"> </w:t>
      </w:r>
      <w:r>
        <w:rPr>
          <w:bCs/>
          <w:b/>
        </w:rPr>
        <w:t xml:space="preserve">शवीरया (śavīrayā)</w:t>
      </w:r>
      <w:r>
        <w:t xml:space="preserve"> </w:t>
      </w:r>
      <w:r>
        <w:t xml:space="preserve">— unimpeded, unobstructed |</w:t>
      </w:r>
      <w:r>
        <w:t xml:space="preserve"> </w:t>
      </w:r>
      <w:r>
        <w:rPr>
          <w:bCs/>
          <w:b/>
        </w:rPr>
        <w:t xml:space="preserve">धिया (dhiyā)</w:t>
      </w:r>
      <w:r>
        <w:t xml:space="preserve"> </w:t>
      </w:r>
      <w:r>
        <w:t xml:space="preserve">— with that understanding |</w:t>
      </w:r>
      <w:r>
        <w:t xml:space="preserve"> </w:t>
      </w:r>
      <w:r>
        <w:rPr>
          <w:bCs/>
          <w:b/>
        </w:rPr>
        <w:t xml:space="preserve">गिरः (giraḥ)</w:t>
      </w:r>
      <w:r>
        <w:t xml:space="preserve"> </w:t>
      </w:r>
      <w:r>
        <w:t xml:space="preserve">— the words of praise we offer |</w:t>
      </w:r>
      <w:r>
        <w:t xml:space="preserve"> </w:t>
      </w:r>
      <w:r>
        <w:rPr>
          <w:bCs/>
          <w:b/>
        </w:rPr>
        <w:t xml:space="preserve">वनतम् (vanatam)</w:t>
      </w:r>
      <w:r>
        <w:t xml:space="preserve"> </w:t>
      </w:r>
      <w:r>
        <w:t xml:space="preserve">— accept.</w:t>
      </w:r>
    </w:p>
    <w:p>
      <w:pPr>
        <w:pStyle w:val="BodyText"/>
      </w:pPr>
      <w:r>
        <w:rPr>
          <w:bCs/>
          <w:b/>
        </w:rPr>
        <w:t xml:space="preserve">॥ Bhāvārthaḥ ॥</w:t>
      </w:r>
    </w:p>
    <w:p>
      <w:pPr>
        <w:pStyle w:val="BodyText"/>
      </w:pPr>
      <w:r>
        <w:t xml:space="preserve">O Ashvin deities! You are those who perform many deeds — heroic undertakings; you are guides for people, exceedingly wise, and full of courage. Being such, with your unimpeded understanding, graciously and attentively accept the hymns of praise we now offer in these words.</w:t>
      </w:r>
    </w:p>
    <w:p>
      <w:pPr>
        <w:pStyle w:val="BodyText"/>
      </w:pPr>
      <w:r>
        <w:rPr>
          <w:iCs/>
          <w:i/>
        </w:rPr>
        <w:t xml:space="preserve">(Printed references in the grammar on this page: Saṃ. 7-1-6-8; U. 4-30 (Oct 2026 numeral pass).)</w:t>
      </w:r>
    </w:p>
    <w:bookmarkEnd w:id="42"/>
    <w:bookmarkStart w:id="43" w:name="page-20"/>
    <w:p>
      <w:pPr>
        <w:pStyle w:val="Heading3"/>
      </w:pPr>
      <w:r>
        <w:t xml:space="preserve">Page 20</w:t>
      </w:r>
    </w:p>
    <w:p>
      <w:pPr>
        <w:pStyle w:val="FirstParagraph"/>
      </w:pPr>
      <w:r>
        <w:rPr>
          <w:bCs/>
          <w:b/>
        </w:rPr>
        <w:t xml:space="preserve">॥ English Translation ॥</w:t>
      </w:r>
    </w:p>
    <w:p>
      <w:pPr>
        <w:pStyle w:val="BlockText"/>
      </w:pPr>
      <w:r>
        <w:t xml:space="preserve">O Aswins, performers of mighty deeds, leaders of men, endowed with fortitude, accept our praises with unaverted (loving) mind.</w:t>
      </w:r>
    </w:p>
    <w:p>
      <w:pPr>
        <w:pStyle w:val="FirstParagraph"/>
      </w:pPr>
      <w:r>
        <w:rPr>
          <w:bCs/>
          <w:b/>
        </w:rPr>
        <w:t xml:space="preserve">॥ Viśeṣa-viṣayagaḷu (Special Topics) ॥</w:t>
      </w:r>
    </w:p>
    <w:p>
      <w:pPr>
        <w:pStyle w:val="BodyText"/>
      </w:pPr>
      <w:r>
        <w:rPr>
          <w:bCs/>
          <w:b/>
        </w:rPr>
        <w:t xml:space="preserve">The three mantras in this sukta expounding the Ashvin deities are all genuinely difficult.</w:t>
      </w:r>
      <w:r>
        <w:t xml:space="preserve"> </w:t>
      </w:r>
      <w:r>
        <w:t xml:space="preserve">Many commentators, following grammatical derivation, have constructed component-based meanings for these words and presented them as though settled by ordinary reasoning.</w:t>
      </w:r>
      <w:r>
        <w:t xml:space="preserve"> </w:t>
      </w:r>
      <w:r>
        <w:rPr>
          <w:bCs/>
          <w:b/>
        </w:rPr>
        <w:t xml:space="preserve">But for many Rigveda words, such component-based construction simply does not yield a fitting sense.</w:t>
      </w:r>
      <w:r>
        <w:t xml:space="preserve"> </w:t>
      </w:r>
      <w:r>
        <w:t xml:space="preserve">There is good reason to think that the meanings now conventional for these words in present-day Sanskrit were not current in the Vedic period, and that these words once carried their own distinct senses.</w:t>
      </w:r>
      <w:r>
        <w:t xml:space="preserve"> </w:t>
      </w:r>
      <w:r>
        <w:rPr>
          <w:bCs/>
          <w:b/>
        </w:rPr>
        <w:t xml:space="preserve">At that time, grammar itself had not yet been composed.</w:t>
      </w:r>
      <w:r>
        <w:t xml:space="preserve"> </w:t>
      </w:r>
      <w:r>
        <w:t xml:space="preserve">There is no doubt that the great sage Pāṇini composed his grammar taking Vedic vocabulary itself as his foundational basis, nor that Pāṇini’s grammar is authoritative for explaining the derivation of words now current in Sanskrit —</w:t>
      </w:r>
      <w:r>
        <w:t xml:space="preserve"> </w:t>
      </w:r>
      <w:r>
        <w:rPr>
          <w:bCs/>
          <w:b/>
        </w:rPr>
        <w:t xml:space="preserve">but many Vedic words simply do not fall under these later grammatical rules.</w:t>
      </w:r>
      <w:r>
        <w:t xml:space="preserve"> </w:t>
      </w:r>
      <w:r>
        <w:t xml:space="preserve">For example, a single word is sometimes expressed in different forms while keeping the same meaning.</w:t>
      </w:r>
      <w:r>
        <w:t xml:space="preserve"> </w:t>
      </w:r>
      <w:r>
        <w:rPr>
          <w:bCs/>
          <w:b/>
        </w:rPr>
        <w:t xml:space="preserve">Language came first; grammar was composed afterward, by following the patterns already present in language — never the reverse.</w:t>
      </w:r>
      <w:r>
        <w:t xml:space="preserve"> </w:t>
      </w:r>
      <w:r>
        <w:t xml:space="preserve">Therefore, even where we construct, through component-meaning analysis, some fitting sense for a Vedic word,</w:t>
      </w:r>
      <w:r>
        <w:t xml:space="preserve"> </w:t>
      </w:r>
      <w:r>
        <w:rPr>
          <w:bCs/>
          <w:b/>
        </w:rPr>
        <w:t xml:space="preserve">to claim that the ancient rishis actually used that word in precisely that derived sense would be a genuine act of overreach.</w:t>
      </w:r>
    </w:p>
    <w:p>
      <w:r>
        <w:pict>
          <v:rect style="width:0;height:1.5pt" o:hralign="center" o:hrstd="t" o:hr="t"/>
        </w:pict>
      </w:r>
    </w:p>
    <w:p>
      <w:pPr>
        <w:pStyle w:val="FirstParagraph"/>
      </w:pPr>
      <w:r>
        <w:rPr>
          <w:bCs/>
          <w:b/>
        </w:rPr>
        <w:t xml:space="preserve">“</w:t>
      </w:r>
      <w:r>
        <w:rPr>
          <w:bCs/>
          <w:b/>
        </w:rPr>
        <w:t xml:space="preserve">Purudaṃsasā</w:t>
      </w:r>
      <w:r>
        <w:rPr>
          <w:bCs/>
          <w:b/>
        </w:rPr>
        <w:t xml:space="preserve">”</w:t>
      </w:r>
      <w:r>
        <w:t xml:space="preserve"> </w:t>
      </w:r>
      <w:r>
        <w:t xml:space="preserve">— this word occurs in four mantras of the Rigveda. In this mantra it is initial-udātta; in Rigveda Samhita 6-63-10 and 7-9-5 it is fully unaccented (confirming, as already noted, that fully-unaccented nominative forms serve the vocative); in 7-73-1 it is middle-udātta.</w:t>
      </w:r>
      <w:r>
        <w:t xml:space="preserve"> </w:t>
      </w:r>
      <w:r>
        <w:rPr>
          <w:bCs/>
          <w:b/>
        </w:rPr>
        <w:t xml:space="preserve">Further forms of this word —</w:t>
      </w:r>
      <w:r>
        <w:rPr>
          <w:bCs/>
          <w:b/>
        </w:rPr>
        <w:t xml:space="preserve"> </w:t>
      </w:r>
      <w:r>
        <w:rPr>
          <w:bCs/>
          <w:b/>
        </w:rPr>
        <w:t xml:space="preserve">“</w:t>
      </w:r>
      <w:r>
        <w:rPr>
          <w:bCs/>
          <w:b/>
        </w:rPr>
        <w:t xml:space="preserve">purudaṃsam</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purudaṃsā</w:t>
      </w:r>
      <w:r>
        <w:rPr>
          <w:bCs/>
          <w:b/>
        </w:rPr>
        <w:t xml:space="preserve">”</w:t>
      </w:r>
      <w:r>
        <w:rPr>
          <w:bCs/>
          <w:b/>
        </w:rPr>
        <w:t xml:space="preserve"> </w:t>
      </w:r>
      <w:r>
        <w:rPr>
          <w:bCs/>
          <w:b/>
        </w:rPr>
        <w:t xml:space="preserve">— occur in Rigveda Samhita 3-1-23 and 7-73-1; nowhere else.</w:t>
      </w:r>
      <w:r>
        <w:t xml:space="preserve"> </w:t>
      </w:r>
      <w:r>
        <w:t xml:space="preserve">The word comprises two separate elements,</w:t>
      </w:r>
      <w:r>
        <w:t xml:space="preserve"> </w:t>
      </w:r>
      <w:r>
        <w:t xml:space="preserve">“</w:t>
      </w:r>
      <w:r>
        <w:t xml:space="preserve">puru</w:t>
      </w:r>
      <w:r>
        <w:t xml:space="preserve">”</w:t>
      </w:r>
      <w:r>
        <w:t xml:space="preserve"> </w:t>
      </w:r>
      <w:r>
        <w:t xml:space="preserve">and</w:t>
      </w:r>
      <w:r>
        <w:t xml:space="preserve"> </w:t>
      </w:r>
      <w:r>
        <w:t xml:space="preserve">“</w:t>
      </w:r>
      <w:r>
        <w:t xml:space="preserve">daṃsa.</w:t>
      </w:r>
      <w:r>
        <w:t xml:space="preserve">”</w:t>
      </w:r>
      <w:r>
        <w:t xml:space="preserve"> </w:t>
      </w:r>
      <w:r>
        <w:t xml:space="preserve">“</w:t>
      </w:r>
      <w:r>
        <w:t xml:space="preserve">Puru</w:t>
      </w:r>
      <w:r>
        <w:t xml:space="preserve">”</w:t>
      </w:r>
      <w:r>
        <w:t xml:space="preserve"> </w:t>
      </w:r>
      <w:r>
        <w:t xml:space="preserve">means</w:t>
      </w:r>
      <w:r>
        <w:t xml:space="preserve"> </w:t>
      </w:r>
      <w:r>
        <w:t xml:space="preserve">“</w:t>
      </w:r>
      <w:r>
        <w:t xml:space="preserve">much, abundant</w:t>
      </w:r>
      <w:r>
        <w:t xml:space="preserve">”</w:t>
      </w:r>
      <w:r>
        <w:t xml:space="preserve"> </w:t>
      </w:r>
      <w:r>
        <w:t xml:space="preserve">— the same element already discussed in</w:t>
      </w:r>
      <w:r>
        <w:t xml:space="preserve"> </w:t>
      </w:r>
      <w:r>
        <w:t xml:space="preserve">“</w:t>
      </w:r>
      <w:r>
        <w:t xml:space="preserve">purubhujā</w:t>
      </w:r>
      <w:r>
        <w:t xml:space="preserve">”</w:t>
      </w:r>
      <w:r>
        <w:t xml:space="preserve"> </w:t>
      </w:r>
      <w:r>
        <w:t xml:space="preserve">above.</w:t>
      </w:r>
      <w:r>
        <w:t xml:space="preserve"> </w:t>
      </w:r>
      <w:r>
        <w:rPr>
          <w:bCs/>
          <w:b/>
        </w:rPr>
        <w:t xml:space="preserve">“</w:t>
      </w:r>
      <w:r>
        <w:rPr>
          <w:bCs/>
          <w:b/>
        </w:rPr>
        <w:t xml:space="preserve">Daṃsa</w:t>
      </w:r>
      <w:r>
        <w:rPr>
          <w:bCs/>
          <w:b/>
        </w:rPr>
        <w:t xml:space="preserve">”</w:t>
      </w:r>
      <w:r>
        <w:rPr>
          <w:bCs/>
          <w:b/>
        </w:rPr>
        <w:t xml:space="preserve"> </w:t>
      </w:r>
      <w:r>
        <w:rPr>
          <w:bCs/>
          <w:b/>
        </w:rPr>
        <w:t xml:space="preserve">is listed among the words meaning</w:t>
      </w:r>
      <w:r>
        <w:rPr>
          <w:bCs/>
          <w:b/>
        </w:rPr>
        <w:t xml:space="preserve"> </w:t>
      </w:r>
      <w:r>
        <w:rPr>
          <w:bCs/>
          <w:b/>
        </w:rPr>
        <w:t xml:space="preserve">“</w:t>
      </w:r>
      <w:r>
        <w:rPr>
          <w:bCs/>
          <w:b/>
        </w:rPr>
        <w:t xml:space="preserve">karma</w:t>
      </w:r>
      <w:r>
        <w:rPr>
          <w:bCs/>
          <w:b/>
        </w:rPr>
        <w:t xml:space="preserve">”</w:t>
      </w:r>
      <w:r>
        <w:rPr>
          <w:bCs/>
          <w:b/>
        </w:rPr>
        <w:t xml:space="preserve"> </w:t>
      </w:r>
      <w:r>
        <w:rPr>
          <w:bCs/>
          <w:b/>
        </w:rPr>
        <w:t xml:space="preserve">(action, deed); hence the compound means</w:t>
      </w:r>
      <w:r>
        <w:rPr>
          <w:bCs/>
          <w:b/>
        </w:rPr>
        <w:t xml:space="preserve"> </w:t>
      </w:r>
      <w:r>
        <w:rPr>
          <w:bCs/>
          <w:b/>
        </w:rPr>
        <w:t xml:space="preserve">“</w:t>
      </w:r>
      <w:r>
        <w:rPr>
          <w:bCs/>
          <w:b/>
        </w:rPr>
        <w:t xml:space="preserve">deed</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work.</w:t>
      </w:r>
      <w:r>
        <w:rPr>
          <w:bCs/>
          <w:b/>
        </w:rPr>
        <w:t xml:space="preserve">”</w:t>
      </w:r>
      <w:r>
        <w:t xml:space="preserve"> </w:t>
      </w:r>
      <w:r>
        <w:t xml:space="preserve">The Bhashyakara accordingly explains</w:t>
      </w:r>
      <w:r>
        <w:t xml:space="preserve"> </w:t>
      </w:r>
      <w:r>
        <w:t xml:space="preserve">“</w:t>
      </w:r>
      <w:r>
        <w:t xml:space="preserve">purudaṃsā</w:t>
      </w:r>
      <w:r>
        <w:t xml:space="preserve">”</w:t>
      </w:r>
      <w:r>
        <w:t xml:space="preserve"> </w:t>
      </w:r>
      <w:r>
        <w:t xml:space="preserve">as</w:t>
      </w:r>
      <w:r>
        <w:t xml:space="preserve"> </w:t>
      </w:r>
      <w:r>
        <w:t xml:space="preserve">“</w:t>
      </w:r>
      <w:r>
        <w:t xml:space="preserve">bahu-karmāṇau</w:t>
      </w:r>
      <w:r>
        <w:t xml:space="preserve">”</w:t>
      </w:r>
      <w:r>
        <w:t xml:space="preserve"> </w:t>
      </w:r>
      <w:r>
        <w:t xml:space="preserve">—</w:t>
      </w:r>
      <w:r>
        <w:t xml:space="preserve"> </w:t>
      </w:r>
      <w:r>
        <w:t xml:space="preserve">“</w:t>
      </w:r>
      <w:r>
        <w:t xml:space="preserve">those possessing the capacity for many deeds.</w:t>
      </w:r>
      <w:r>
        <w:t xml:space="preserve">”</w:t>
      </w:r>
    </w:p>
    <w:bookmarkEnd w:id="43"/>
    <w:bookmarkStart w:id="44" w:name="page-21"/>
    <w:p>
      <w:pPr>
        <w:pStyle w:val="Heading3"/>
      </w:pPr>
      <w:r>
        <w:t xml:space="preserve">Page 21</w:t>
      </w:r>
    </w:p>
    <w:p>
      <w:pPr>
        <w:pStyle w:val="FirstParagraph"/>
      </w:pPr>
      <w:r>
        <w:rPr>
          <w:bCs/>
          <w:b/>
        </w:rPr>
        <w:t xml:space="preserve">Veṅkaṭamādhava glosses this as</w:t>
      </w:r>
      <w:r>
        <w:rPr>
          <w:bCs/>
          <w:b/>
        </w:rPr>
        <w:t xml:space="preserve"> </w:t>
      </w:r>
      <w:r>
        <w:rPr>
          <w:bCs/>
          <w:b/>
        </w:rPr>
        <w:t xml:space="preserve">“</w:t>
      </w:r>
      <w:r>
        <w:rPr>
          <w:bCs/>
          <w:b/>
        </w:rPr>
        <w:t xml:space="preserve">āścarya-bhūta-vividha-karmāṇau</w:t>
      </w:r>
      <w:r>
        <w:rPr>
          <w:bCs/>
          <w:b/>
        </w:rPr>
        <w:t xml:space="preserve">”</w:t>
      </w:r>
      <w:r>
        <w:t xml:space="preserve"> </w:t>
      </w:r>
      <w:r>
        <w:t xml:space="preserve">— those whose various deeds are a source of wonder.</w:t>
      </w:r>
      <w:r>
        <w:t xml:space="preserve"> </w:t>
      </w:r>
      <w:r>
        <w:rPr>
          <w:bCs/>
          <w:b/>
        </w:rPr>
        <w:t xml:space="preserve">Wilson explains it as</w:t>
      </w:r>
      <w:r>
        <w:rPr>
          <w:bCs/>
          <w:b/>
        </w:rPr>
        <w:t xml:space="preserve"> </w:t>
      </w:r>
      <w:r>
        <w:rPr>
          <w:bCs/>
          <w:b/>
        </w:rPr>
        <w:t xml:space="preserve">“</w:t>
      </w:r>
      <w:r>
        <w:rPr>
          <w:bCs/>
          <w:b/>
        </w:rPr>
        <w:t xml:space="preserve">performers of marvelous or heroic deeds</w:t>
      </w:r>
      <w:r>
        <w:rPr>
          <w:bCs/>
          <w:b/>
        </w:rPr>
        <w:t xml:space="preserve">”</w:t>
      </w:r>
      <w:r>
        <w:rPr>
          <w:bCs/>
          <w:b/>
        </w:rPr>
        <w:t xml:space="preserve">; Grassmann and Ludwig, following Veṅkaṭamādhava’s own reading, state</w:t>
      </w:r>
      <w:r>
        <w:rPr>
          <w:bCs/>
          <w:b/>
        </w:rPr>
        <w:t xml:space="preserve"> </w:t>
      </w:r>
      <w:r>
        <w:rPr>
          <w:bCs/>
          <w:b/>
        </w:rPr>
        <w:t xml:space="preserve">“</w:t>
      </w:r>
      <w:r>
        <w:rPr>
          <w:bCs/>
          <w:b/>
        </w:rPr>
        <w:t xml:space="preserve">those who perform wondrous deeds.</w:t>
      </w:r>
      <w:r>
        <w:rPr>
          <w:bCs/>
          <w:b/>
        </w:rPr>
        <w:t xml:space="preserve">”</w:t>
      </w:r>
      <w:r>
        <w:t xml:space="preserve"> </w:t>
      </w:r>
      <w:r>
        <w:t xml:space="preserve">Since Suktas 112, 116, 117, and 118 of this Mandala describe many heroic deeds of these deities,</w:t>
      </w:r>
      <w:r>
        <w:t xml:space="preserve"> </w:t>
      </w:r>
      <w:r>
        <w:rPr>
          <w:bCs/>
          <w:b/>
        </w:rPr>
        <w:t xml:space="preserve">Veṅkaṭamādhava’s view appears correct.</w:t>
      </w:r>
    </w:p>
    <w:p>
      <w:pPr>
        <w:pStyle w:val="BodyText"/>
      </w:pPr>
      <w:r>
        <w:rPr>
          <w:bCs/>
          <w:b/>
        </w:rPr>
        <w:t xml:space="preserve">“</w:t>
      </w:r>
      <w:r>
        <w:rPr>
          <w:bCs/>
          <w:b/>
        </w:rPr>
        <w:t xml:space="preserve">Narā</w:t>
      </w:r>
      <w:r>
        <w:rPr>
          <w:bCs/>
          <w:b/>
        </w:rPr>
        <w:t xml:space="preserve">”</w:t>
      </w:r>
      <w:r>
        <w:t xml:space="preserve"> </w:t>
      </w:r>
      <w:r>
        <w:t xml:space="preserve">— Sayana and Veṅkaṭamādhava explain this as</w:t>
      </w:r>
      <w:r>
        <w:t xml:space="preserve"> </w:t>
      </w:r>
      <w:r>
        <w:t xml:space="preserve">“</w:t>
      </w:r>
      <w:r>
        <w:t xml:space="preserve">netārau</w:t>
      </w:r>
      <w:r>
        <w:t xml:space="preserve">”</w:t>
      </w:r>
      <w:r>
        <w:t xml:space="preserve"> </w:t>
      </w:r>
      <w:r>
        <w:t xml:space="preserve">— leaders, guides; Skandasvāmī, as</w:t>
      </w:r>
      <w:r>
        <w:t xml:space="preserve"> </w:t>
      </w:r>
      <w:r>
        <w:t xml:space="preserve">“</w:t>
      </w:r>
      <w:r>
        <w:t xml:space="preserve">those possessing human form.</w:t>
      </w:r>
      <w:r>
        <w:t xml:space="preserve">”</w:t>
      </w:r>
      <w:r>
        <w:t xml:space="preserve"> </w:t>
      </w:r>
      <w:r>
        <w:rPr>
          <w:bCs/>
          <w:b/>
        </w:rPr>
        <w:t xml:space="preserve">Wilson expresses Sayana’s meaning by</w:t>
      </w:r>
      <w:r>
        <w:rPr>
          <w:bCs/>
          <w:b/>
        </w:rPr>
        <w:t xml:space="preserve"> </w:t>
      </w:r>
      <w:r>
        <w:rPr>
          <w:bCs/>
          <w:b/>
        </w:rPr>
        <w:t xml:space="preserve">“</w:t>
      </w:r>
      <w:r>
        <w:rPr>
          <w:bCs/>
          <w:b/>
        </w:rPr>
        <w:t xml:space="preserve">guides.</w:t>
      </w:r>
      <w:r>
        <w:rPr>
          <w:bCs/>
          <w:b/>
        </w:rPr>
        <w:t xml:space="preserve">”</w:t>
      </w:r>
      <w:r>
        <w:rPr>
          <w:bCs/>
          <w:b/>
        </w:rPr>
        <w:t xml:space="preserve"> </w:t>
      </w:r>
      <w:r>
        <w:rPr>
          <w:bCs/>
          <w:b/>
        </w:rPr>
        <w:t xml:space="preserve">Whitney renders</w:t>
      </w:r>
      <w:r>
        <w:rPr>
          <w:bCs/>
          <w:b/>
        </w:rPr>
        <w:t xml:space="preserve"> </w:t>
      </w:r>
      <w:r>
        <w:rPr>
          <w:bCs/>
          <w:b/>
        </w:rPr>
        <w:t xml:space="preserve">“</w:t>
      </w:r>
      <w:r>
        <w:rPr>
          <w:bCs/>
          <w:b/>
        </w:rPr>
        <w:t xml:space="preserve">narah</w:t>
      </w:r>
      <w:r>
        <w:rPr>
          <w:bCs/>
          <w:b/>
        </w:rPr>
        <w:t xml:space="preserve">”</w:t>
      </w:r>
      <w:r>
        <w:rPr>
          <w:bCs/>
          <w:b/>
        </w:rPr>
        <w:t xml:space="preserve"> </w:t>
      </w:r>
      <w:r>
        <w:rPr>
          <w:bCs/>
          <w:b/>
        </w:rPr>
        <w:t xml:space="preserve">with</w:t>
      </w:r>
      <w:r>
        <w:rPr>
          <w:bCs/>
          <w:b/>
        </w:rPr>
        <w:t xml:space="preserve"> </w:t>
      </w:r>
      <w:r>
        <w:rPr>
          <w:bCs/>
          <w:b/>
        </w:rPr>
        <w:t xml:space="preserve">“</w:t>
      </w:r>
      <w:r>
        <w:rPr>
          <w:bCs/>
          <w:b/>
        </w:rPr>
        <w:t xml:space="preserve">manly,</w:t>
      </w:r>
      <w:r>
        <w:rPr>
          <w:bCs/>
          <w:b/>
        </w:rPr>
        <w:t xml:space="preserve">”</w:t>
      </w:r>
      <w:r>
        <w:rPr>
          <w:bCs/>
          <w:b/>
        </w:rPr>
        <w:t xml:space="preserve"> </w:t>
      </w:r>
      <w:r>
        <w:rPr>
          <w:bCs/>
          <w:b/>
        </w:rPr>
        <w:t xml:space="preserve">and Stevenson with</w:t>
      </w:r>
      <w:r>
        <w:rPr>
          <w:bCs/>
          <w:b/>
        </w:rPr>
        <w:t xml:space="preserve"> </w:t>
      </w:r>
      <w:r>
        <w:rPr>
          <w:bCs/>
          <w:b/>
        </w:rPr>
        <w:t xml:space="preserve">“</w:t>
      </w:r>
      <w:r>
        <w:rPr>
          <w:bCs/>
          <w:b/>
        </w:rPr>
        <w:t xml:space="preserve">who assumes the human form</w:t>
      </w:r>
      <w:r>
        <w:rPr>
          <w:bCs/>
          <w:b/>
        </w:rPr>
        <w:t xml:space="preserve">”</w:t>
      </w:r>
      <w:r>
        <w:rPr>
          <w:bCs/>
          <w:b/>
        </w:rPr>
        <w:t xml:space="preserve">; Geldner, in his Der Rigveda, gives several meanings of this word.</w:t>
      </w:r>
      <w:r>
        <w:t xml:space="preserve"> </w:t>
      </w:r>
      <w:r>
        <w:t xml:space="preserve">Among these, Sayana’s view seems most sound. Still, since</w:t>
      </w:r>
      <w:r>
        <w:t xml:space="preserve"> </w:t>
      </w:r>
      <w:r>
        <w:t xml:space="preserve">“</w:t>
      </w:r>
      <w:r>
        <w:t xml:space="preserve">narā</w:t>
      </w:r>
      <w:r>
        <w:t xml:space="preserve">”</w:t>
      </w:r>
      <w:r>
        <w:t xml:space="preserve"> </w:t>
      </w:r>
      <w:r>
        <w:t xml:space="preserve">is used specifically in contexts praising the Ashvin deities, it can confidently be said that the word carried some specific, fixed sense in its own time.</w:t>
      </w:r>
    </w:p>
    <w:p>
      <w:pPr>
        <w:pStyle w:val="BodyText"/>
      </w:pPr>
      <w:r>
        <w:rPr>
          <w:bCs/>
          <w:b/>
        </w:rPr>
        <w:t xml:space="preserve">“</w:t>
      </w:r>
      <w:r>
        <w:rPr>
          <w:bCs/>
          <w:b/>
        </w:rPr>
        <w:t xml:space="preserve">Śavīrayā</w:t>
      </w:r>
      <w:r>
        <w:rPr>
          <w:bCs/>
          <w:b/>
        </w:rPr>
        <w:t xml:space="preserve">”</w:t>
      </w:r>
      <w:r>
        <w:t xml:space="preserve"> </w:t>
      </w:r>
      <w:r>
        <w:t xml:space="preserve">— this word occurs in the Rigveda only here and in:</w:t>
      </w:r>
    </w:p>
    <w:p>
      <w:pPr>
        <w:pStyle w:val="BlockText"/>
      </w:pPr>
      <w:r>
        <w:t xml:space="preserve">अश्विनावश्वावत्येषा यातं शवीरया । (ऋ. सं. १-३०-१७)</w:t>
      </w:r>
      <w:r>
        <w:t xml:space="preserve"> </w:t>
      </w:r>
      <w:r>
        <w:rPr>
          <w:iCs/>
          <w:i/>
        </w:rPr>
        <w:t xml:space="preserve">aśvināvaśvāvatyeṣā yātaṃ śavīrayā | (ṛ. saṃ. 1-30-17)</w:t>
      </w:r>
    </w:p>
    <w:p>
      <w:pPr>
        <w:pStyle w:val="FirstParagraph"/>
      </w:pPr>
      <w:r>
        <w:rPr>
          <w:bCs/>
          <w:b/>
        </w:rPr>
        <w:t xml:space="preserve">— nowhere else. The Bhashyakara derives it from the root</w:t>
      </w:r>
      <w:r>
        <w:rPr>
          <w:bCs/>
          <w:b/>
        </w:rPr>
        <w:t xml:space="preserve"> </w:t>
      </w:r>
      <w:r>
        <w:rPr>
          <w:bCs/>
          <w:b/>
        </w:rPr>
        <w:t xml:space="preserve">“</w:t>
      </w:r>
      <w:r>
        <w:rPr>
          <w:bCs/>
          <w:b/>
        </w:rPr>
        <w:t xml:space="preserve">śū</w:t>
      </w:r>
      <w:r>
        <w:rPr>
          <w:bCs/>
          <w:b/>
        </w:rPr>
        <w:t xml:space="preserve">”</w:t>
      </w:r>
      <w:r>
        <w:rPr>
          <w:bCs/>
          <w:b/>
        </w:rPr>
        <w:t xml:space="preserve"> </w:t>
      </w:r>
      <w:r>
        <w:rPr>
          <w:bCs/>
          <w:b/>
        </w:rPr>
        <w:t xml:space="preserve">(to go) with the affix</w:t>
      </w:r>
      <w:r>
        <w:rPr>
          <w:bCs/>
          <w:b/>
        </w:rPr>
        <w:t xml:space="preserve"> </w:t>
      </w:r>
      <w:r>
        <w:rPr>
          <w:bCs/>
          <w:b/>
        </w:rPr>
        <w:t xml:space="preserve">“</w:t>
      </w:r>
      <w:r>
        <w:rPr>
          <w:bCs/>
          <w:b/>
        </w:rPr>
        <w:t xml:space="preserve">vīra,</w:t>
      </w:r>
      <w:r>
        <w:rPr>
          <w:bCs/>
          <w:b/>
        </w:rPr>
        <w:t xml:space="preserve">”</w:t>
      </w:r>
      <w:r>
        <w:rPr>
          <w:bCs/>
          <w:b/>
        </w:rPr>
        <w:t xml:space="preserve"> </w:t>
      </w:r>
      <w:r>
        <w:rPr>
          <w:bCs/>
          <w:b/>
        </w:rPr>
        <w:t xml:space="preserve">giving</w:t>
      </w:r>
      <w:r>
        <w:rPr>
          <w:bCs/>
          <w:b/>
        </w:rPr>
        <w:t xml:space="preserve"> </w:t>
      </w:r>
      <w:r>
        <w:rPr>
          <w:bCs/>
          <w:b/>
        </w:rPr>
        <w:t xml:space="preserve">“</w:t>
      </w:r>
      <w:r>
        <w:rPr>
          <w:bCs/>
          <w:b/>
        </w:rPr>
        <w:t xml:space="preserve">endowed with motion,</w:t>
      </w:r>
      <w:r>
        <w:rPr>
          <w:bCs/>
          <w:b/>
        </w:rPr>
        <w:t xml:space="preserve">”</w:t>
      </w:r>
      <w:r>
        <w:rPr>
          <w:bCs/>
          <w:b/>
        </w:rPr>
        <w:t xml:space="preserve"> </w:t>
      </w:r>
      <w:r>
        <w:rPr>
          <w:bCs/>
          <w:b/>
        </w:rPr>
        <w:t xml:space="preserve">that is,</w:t>
      </w:r>
      <w:r>
        <w:rPr>
          <w:bCs/>
          <w:b/>
        </w:rPr>
        <w:t xml:space="preserve"> </w:t>
      </w:r>
      <w:r>
        <w:rPr>
          <w:bCs/>
          <w:b/>
        </w:rPr>
        <w:t xml:space="preserve">“</w:t>
      </w:r>
      <w:r>
        <w:rPr>
          <w:bCs/>
          <w:b/>
        </w:rPr>
        <w:t xml:space="preserve">possessing unimpeded power.</w:t>
      </w:r>
      <w:r>
        <w:rPr>
          <w:bCs/>
          <w:b/>
        </w:rPr>
        <w:t xml:space="preserve">”</w:t>
      </w:r>
      <w:r>
        <w:t xml:space="preserve"> </w:t>
      </w:r>
      <w:r>
        <w:t xml:space="preserve">As a feminine noun in the fourth-case singular, it is treated as qualifying</w:t>
      </w:r>
      <w:r>
        <w:t xml:space="preserve"> </w:t>
      </w:r>
      <w:r>
        <w:t xml:space="preserve">“</w:t>
      </w:r>
      <w:r>
        <w:t xml:space="preserve">dhiyā</w:t>
      </w:r>
      <w:r>
        <w:t xml:space="preserve">”</w:t>
      </w:r>
      <w:r>
        <w:t xml:space="preserve"> </w:t>
      </w:r>
      <w:r>
        <w:t xml:space="preserve">(understanding).</w:t>
      </w:r>
      <w:r>
        <w:t xml:space="preserve"> </w:t>
      </w:r>
      <w:r>
        <w:rPr>
          <w:bCs/>
          <w:b/>
        </w:rPr>
        <w:t xml:space="preserve">Veṅkaṭamādhava explains it differently:</w:t>
      </w:r>
      <w:r>
        <w:rPr>
          <w:bCs/>
          <w:b/>
        </w:rPr>
        <w:t xml:space="preserve"> </w:t>
      </w:r>
      <w:r>
        <w:rPr>
          <w:bCs/>
          <w:b/>
        </w:rPr>
        <w:t xml:space="preserve">“</w:t>
      </w:r>
      <w:r>
        <w:rPr>
          <w:bCs/>
          <w:b/>
        </w:rPr>
        <w:t xml:space="preserve">śu</w:t>
      </w:r>
      <w:r>
        <w:rPr>
          <w:bCs/>
          <w:b/>
        </w:rPr>
        <w:t xml:space="preserve">”</w:t>
      </w:r>
      <w:r>
        <w:rPr>
          <w:bCs/>
          <w:b/>
        </w:rPr>
        <w:t xml:space="preserve"> </w:t>
      </w:r>
      <w:r>
        <w:rPr>
          <w:bCs/>
          <w:b/>
        </w:rPr>
        <w:t xml:space="preserve">means</w:t>
      </w:r>
      <w:r>
        <w:rPr>
          <w:bCs/>
          <w:b/>
        </w:rPr>
        <w:t xml:space="preserve"> </w:t>
      </w:r>
      <w:r>
        <w:rPr>
          <w:bCs/>
          <w:b/>
        </w:rPr>
        <w:t xml:space="preserve">“</w:t>
      </w:r>
      <w:r>
        <w:rPr>
          <w:bCs/>
          <w:b/>
        </w:rPr>
        <w:t xml:space="preserve">swift,</w:t>
      </w:r>
      <w:r>
        <w:rPr>
          <w:bCs/>
          <w:b/>
        </w:rPr>
        <w:t xml:space="preserve">”</w:t>
      </w:r>
      <w:r>
        <w:rPr>
          <w:bCs/>
          <w:b/>
        </w:rPr>
        <w:t xml:space="preserve"> </w:t>
      </w:r>
      <w:r>
        <w:rPr>
          <w:bCs/>
          <w:b/>
        </w:rPr>
        <w:t xml:space="preserve">“</w:t>
      </w:r>
      <w:r>
        <w:rPr>
          <w:bCs/>
          <w:b/>
        </w:rPr>
        <w:t xml:space="preserve">īra</w:t>
      </w:r>
      <w:r>
        <w:rPr>
          <w:bCs/>
          <w:b/>
        </w:rPr>
        <w:t xml:space="preserve">”</w:t>
      </w:r>
      <w:r>
        <w:rPr>
          <w:bCs/>
          <w:b/>
        </w:rPr>
        <w:t xml:space="preserve"> </w:t>
      </w:r>
      <w:r>
        <w:rPr>
          <w:bCs/>
          <w:b/>
        </w:rPr>
        <w:t xml:space="preserve">means</w:t>
      </w:r>
      <w:r>
        <w:rPr>
          <w:bCs/>
          <w:b/>
        </w:rPr>
        <w:t xml:space="preserve"> </w:t>
      </w:r>
      <w:r>
        <w:rPr>
          <w:bCs/>
          <w:b/>
        </w:rPr>
        <w:t xml:space="preserve">“</w:t>
      </w:r>
      <w:r>
        <w:rPr>
          <w:bCs/>
          <w:b/>
        </w:rPr>
        <w:t xml:space="preserve">to go,</w:t>
      </w:r>
      <w:r>
        <w:rPr>
          <w:bCs/>
          <w:b/>
        </w:rPr>
        <w:t xml:space="preserve">”</w:t>
      </w:r>
      <w:r>
        <w:rPr>
          <w:bCs/>
          <w:b/>
        </w:rPr>
        <w:t xml:space="preserve"> </w:t>
      </w:r>
      <w:r>
        <w:rPr>
          <w:bCs/>
          <w:b/>
        </w:rPr>
        <w:t xml:space="preserve">hence</w:t>
      </w:r>
      <w:r>
        <w:rPr>
          <w:bCs/>
          <w:b/>
        </w:rPr>
        <w:t xml:space="preserve"> </w:t>
      </w:r>
      <w:r>
        <w:rPr>
          <w:bCs/>
          <w:b/>
        </w:rPr>
        <w:t xml:space="preserve">“</w:t>
      </w:r>
      <w:r>
        <w:rPr>
          <w:bCs/>
          <w:b/>
        </w:rPr>
        <w:t xml:space="preserve">śavīra</w:t>
      </w:r>
      <w:r>
        <w:rPr>
          <w:bCs/>
          <w:b/>
        </w:rPr>
        <w:t xml:space="preserve">”</w:t>
      </w:r>
      <w:r>
        <w:rPr>
          <w:bCs/>
          <w:b/>
        </w:rPr>
        <w:t xml:space="preserve"> </w:t>
      </w:r>
      <w:r>
        <w:rPr>
          <w:bCs/>
          <w:b/>
        </w:rPr>
        <w:t xml:space="preserve">means</w:t>
      </w:r>
      <w:r>
        <w:rPr>
          <w:bCs/>
          <w:b/>
        </w:rPr>
        <w:t xml:space="preserve"> </w:t>
      </w:r>
      <w:r>
        <w:rPr>
          <w:bCs/>
          <w:b/>
        </w:rPr>
        <w:t xml:space="preserve">“</w:t>
      </w:r>
      <w:r>
        <w:rPr>
          <w:bCs/>
          <w:b/>
        </w:rPr>
        <w:t xml:space="preserve">swift-moving.</w:t>
      </w:r>
      <w:r>
        <w:rPr>
          <w:bCs/>
          <w:b/>
        </w:rPr>
        <w:t xml:space="preserve">”</w:t>
      </w:r>
      <w:r>
        <w:t xml:space="preserve"> </w:t>
      </w:r>
      <w:r>
        <w:t xml:space="preserve">Alternatively, he connects it to</w:t>
      </w:r>
      <w:r>
        <w:t xml:space="preserve"> </w:t>
      </w:r>
      <w:r>
        <w:t xml:space="preserve">“</w:t>
      </w:r>
      <w:r>
        <w:t xml:space="preserve">śava</w:t>
      </w:r>
      <w:r>
        <w:t xml:space="preserve">”</w:t>
      </w:r>
      <w:r>
        <w:t xml:space="preserve"> </w:t>
      </w:r>
      <w:r>
        <w:t xml:space="preserve">(strength, listed among the twenty-eight strength-words of the Nighaṇṭu, 2-9;</w:t>
      </w:r>
      <w:r>
        <w:t xml:space="preserve"> </w:t>
      </w:r>
      <w:r>
        <w:t xml:space="preserve">“</w:t>
      </w:r>
      <w:r>
        <w:t xml:space="preserve">śu</w:t>
      </w:r>
      <w:r>
        <w:t xml:space="preserve">”</w:t>
      </w:r>
      <w:r>
        <w:t xml:space="preserve"> </w:t>
      </w:r>
      <w:r>
        <w:t xml:space="preserve">is among the twenty-six words for</w:t>
      </w:r>
      <w:r>
        <w:t xml:space="preserve"> </w:t>
      </w:r>
      <w:r>
        <w:t xml:space="preserve">“</w:t>
      </w:r>
      <w:r>
        <w:t xml:space="preserve">swift</w:t>
      </w:r>
      <w:r>
        <w:t xml:space="preserve">”</w:t>
      </w:r>
      <w:r>
        <w:t xml:space="preserve">, Nighaṇṭu 2-15), giving the sense</w:t>
      </w:r>
      <w:r>
        <w:t xml:space="preserve"> </w:t>
      </w:r>
      <w:r>
        <w:t xml:space="preserve">“</w:t>
      </w:r>
      <w:r>
        <w:t xml:space="preserve">those who go swiftly to destroy the enemy’s strength</w:t>
      </w:r>
      <w:r>
        <w:t xml:space="preserve">”</w:t>
      </w:r>
      <w:r>
        <w:t xml:space="preserve"> </w:t>
      </w:r>
      <w:r>
        <w:t xml:space="preserve">or</w:t>
      </w:r>
      <w:r>
        <w:t xml:space="preserve"> </w:t>
      </w:r>
      <w:r>
        <w:t xml:space="preserve">“</w:t>
      </w:r>
      <w:r>
        <w:t xml:space="preserve">those who hasten to the sacrificial altar to receive their share of the oblation</w:t>
      </w:r>
      <w:r>
        <w:t xml:space="preserve">”</w:t>
      </w:r>
      <w:r>
        <w:t xml:space="preserve"> </w:t>
      </w:r>
      <w:r>
        <w:t xml:space="preserve">— on this reading,</w:t>
      </w:r>
      <w:r>
        <w:t xml:space="preserve"> </w:t>
      </w:r>
      <w:r>
        <w:t xml:space="preserve">“</w:t>
      </w:r>
      <w:r>
        <w:t xml:space="preserve">śavīrayā</w:t>
      </w:r>
      <w:r>
        <w:t xml:space="preserve">”</w:t>
      </w:r>
      <w:r>
        <w:t xml:space="preserve"> </w:t>
      </w:r>
      <w:r>
        <w:t xml:space="preserve">becomes instead a nominative dual form qualifying</w:t>
      </w:r>
      <w:r>
        <w:t xml:space="preserve"> </w:t>
      </w:r>
      <w:r>
        <w:t xml:space="preserve">“</w:t>
      </w:r>
      <w:r>
        <w:t xml:space="preserve">Aśvinā</w:t>
      </w:r>
      <w:r>
        <w:t xml:space="preserve">”</w:t>
      </w:r>
      <w:r>
        <w:t xml:space="preserve"> </w:t>
      </w:r>
      <w:r>
        <w:t xml:space="preserve">itself…</w:t>
      </w:r>
    </w:p>
    <w:bookmarkEnd w:id="44"/>
    <w:bookmarkStart w:id="45" w:name="page-22"/>
    <w:p>
      <w:pPr>
        <w:pStyle w:val="Heading3"/>
      </w:pPr>
      <w:r>
        <w:t xml:space="preserve">Page 22</w:t>
      </w:r>
    </w:p>
    <w:p>
      <w:pPr>
        <w:pStyle w:val="FirstParagraph"/>
      </w:pPr>
      <w:r>
        <w:rPr>
          <w:bCs/>
          <w:b/>
        </w:rPr>
        <w:t xml:space="preserve">…as stated. The Vedārtha-yatna authors and Western scholars explain</w:t>
      </w:r>
      <w:r>
        <w:rPr>
          <w:bCs/>
          <w:b/>
        </w:rPr>
        <w:t xml:space="preserve"> </w:t>
      </w:r>
      <w:r>
        <w:rPr>
          <w:bCs/>
          <w:b/>
        </w:rPr>
        <w:t xml:space="preserve">“</w:t>
      </w:r>
      <w:r>
        <w:rPr>
          <w:bCs/>
          <w:b/>
        </w:rPr>
        <w:t xml:space="preserve">śavīra</w:t>
      </w:r>
      <w:r>
        <w:rPr>
          <w:bCs/>
          <w:b/>
        </w:rPr>
        <w:t xml:space="preserve">”</w:t>
      </w:r>
      <w:r>
        <w:rPr>
          <w:bCs/>
          <w:b/>
        </w:rPr>
        <w:t xml:space="preserve"> </w:t>
      </w:r>
      <w:r>
        <w:rPr>
          <w:bCs/>
          <w:b/>
        </w:rPr>
        <w:t xml:space="preserve">as</w:t>
      </w:r>
      <w:r>
        <w:rPr>
          <w:bCs/>
          <w:b/>
        </w:rPr>
        <w:t xml:space="preserve"> </w:t>
      </w:r>
      <w:r>
        <w:rPr>
          <w:bCs/>
          <w:b/>
        </w:rPr>
        <w:t xml:space="preserve">“</w:t>
      </w:r>
      <w:r>
        <w:rPr>
          <w:bCs/>
          <w:b/>
        </w:rPr>
        <w:t xml:space="preserve">Strong, Mighty, Powerful.</w:t>
      </w:r>
      <w:r>
        <w:rPr>
          <w:bCs/>
          <w:b/>
        </w:rPr>
        <w:t xml:space="preserve">”</w:t>
      </w:r>
    </w:p>
    <w:p>
      <w:pPr>
        <w:pStyle w:val="BodyText"/>
      </w:pPr>
      <w:r>
        <w:rPr>
          <w:bCs/>
          <w:b/>
        </w:rPr>
        <w:t xml:space="preserve">“</w:t>
      </w:r>
      <w:r>
        <w:rPr>
          <w:bCs/>
          <w:b/>
        </w:rPr>
        <w:t xml:space="preserve">Dhiyā</w:t>
      </w:r>
      <w:r>
        <w:rPr>
          <w:bCs/>
          <w:b/>
        </w:rPr>
        <w:t xml:space="preserve">”</w:t>
      </w:r>
      <w:r>
        <w:t xml:space="preserve"> </w:t>
      </w:r>
      <w:r>
        <w:t xml:space="preserve">— Sayana and Skandasvāmī explain this as</w:t>
      </w:r>
      <w:r>
        <w:t xml:space="preserve"> </w:t>
      </w:r>
      <w:r>
        <w:t xml:space="preserve">“</w:t>
      </w:r>
      <w:r>
        <w:t xml:space="preserve">ādara-yuktayā buddhyā</w:t>
      </w:r>
      <w:r>
        <w:t xml:space="preserve">”</w:t>
      </w:r>
      <w:r>
        <w:t xml:space="preserve"> </w:t>
      </w:r>
      <w:r>
        <w:t xml:space="preserve">—</w:t>
      </w:r>
      <w:r>
        <w:t xml:space="preserve"> </w:t>
      </w:r>
      <w:r>
        <w:t xml:space="preserve">“</w:t>
      </w:r>
      <w:r>
        <w:t xml:space="preserve">with reverent understanding,</w:t>
      </w:r>
      <w:r>
        <w:t xml:space="preserve">”</w:t>
      </w:r>
      <w:r>
        <w:t xml:space="preserve"> </w:t>
      </w:r>
      <w:r>
        <w:t xml:space="preserve">reading it as an instrumental. Some Western scholars gloss</w:t>
      </w:r>
      <w:r>
        <w:t xml:space="preserve"> </w:t>
      </w:r>
      <w:r>
        <w:t xml:space="preserve">“</w:t>
      </w:r>
      <w:r>
        <w:t xml:space="preserve">dhiyā</w:t>
      </w:r>
      <w:r>
        <w:t xml:space="preserve">”</w:t>
      </w:r>
      <w:r>
        <w:t xml:space="preserve"> </w:t>
      </w:r>
      <w:r>
        <w:t xml:space="preserve">as</w:t>
      </w:r>
      <w:r>
        <w:t xml:space="preserve"> </w:t>
      </w:r>
      <w:r>
        <w:t xml:space="preserve">“</w:t>
      </w:r>
      <w:r>
        <w:t xml:space="preserve">mind, thought, aim,</w:t>
      </w:r>
      <w:r>
        <w:t xml:space="preserve">”</w:t>
      </w:r>
      <w:r>
        <w:t xml:space="preserve"> </w:t>
      </w:r>
      <w:r>
        <w:t xml:space="preserve">connecting it to the verb</w:t>
      </w:r>
      <w:r>
        <w:t xml:space="preserve"> </w:t>
      </w:r>
      <w:r>
        <w:t xml:space="preserve">“</w:t>
      </w:r>
      <w:r>
        <w:t xml:space="preserve">vanatam</w:t>
      </w:r>
      <w:r>
        <w:t xml:space="preserve">”</w:t>
      </w:r>
      <w:r>
        <w:t xml:space="preserve">; the Bhashyakara harmonizes it the same way.</w:t>
      </w:r>
      <w:r>
        <w:t xml:space="preserve"> </w:t>
      </w:r>
      <w:r>
        <w:rPr>
          <w:bCs/>
          <w:b/>
        </w:rPr>
        <w:t xml:space="preserve">But Veṅkaṭamādhava treats</w:t>
      </w:r>
      <w:r>
        <w:rPr>
          <w:bCs/>
          <w:b/>
        </w:rPr>
        <w:t xml:space="preserve"> </w:t>
      </w:r>
      <w:r>
        <w:rPr>
          <w:bCs/>
          <w:b/>
        </w:rPr>
        <w:t xml:space="preserve">“</w:t>
      </w:r>
      <w:r>
        <w:rPr>
          <w:bCs/>
          <w:b/>
        </w:rPr>
        <w:t xml:space="preserve">dhiyā</w:t>
      </w:r>
      <w:r>
        <w:rPr>
          <w:bCs/>
          <w:b/>
        </w:rPr>
        <w:t xml:space="preserve">”</w:t>
      </w:r>
      <w:r>
        <w:rPr>
          <w:bCs/>
          <w:b/>
        </w:rPr>
        <w:t xml:space="preserve"> </w:t>
      </w:r>
      <w:r>
        <w:rPr>
          <w:bCs/>
          <w:b/>
        </w:rPr>
        <w:t xml:space="preserve">instead as a qualifier of</w:t>
      </w:r>
      <w:r>
        <w:rPr>
          <w:bCs/>
          <w:b/>
        </w:rPr>
        <w:t xml:space="preserve"> </w:t>
      </w:r>
      <w:r>
        <w:rPr>
          <w:bCs/>
          <w:b/>
        </w:rPr>
        <w:t xml:space="preserve">“</w:t>
      </w:r>
      <w:r>
        <w:rPr>
          <w:bCs/>
          <w:b/>
        </w:rPr>
        <w:t xml:space="preserve">dhiṣṇyā.</w:t>
      </w:r>
      <w:r>
        <w:rPr>
          <w:bCs/>
          <w:b/>
        </w:rPr>
        <w:t xml:space="preserve">”</w:t>
      </w:r>
      <w:r>
        <w:t xml:space="preserve"> </w:t>
      </w:r>
      <w:r>
        <w:t xml:space="preserve">In many contexts</w:t>
      </w:r>
      <w:r>
        <w:t xml:space="preserve"> </w:t>
      </w:r>
      <w:r>
        <w:t xml:space="preserve">“</w:t>
      </w:r>
      <w:r>
        <w:t xml:space="preserve">dhiyā</w:t>
      </w:r>
      <w:r>
        <w:t xml:space="preserve">”</w:t>
      </w:r>
      <w:r>
        <w:t xml:space="preserve"> </w:t>
      </w:r>
      <w:r>
        <w:t xml:space="preserve">is used in the nominative, meaning</w:t>
      </w:r>
      <w:r>
        <w:t xml:space="preserve"> </w:t>
      </w:r>
      <w:r>
        <w:t xml:space="preserve">“</w:t>
      </w:r>
      <w:r>
        <w:t xml:space="preserve">possessing intelligence.</w:t>
      </w:r>
      <w:r>
        <w:t xml:space="preserve">”</w:t>
      </w:r>
    </w:p>
    <w:p>
      <w:pPr>
        <w:pStyle w:val="BodyText"/>
      </w:pPr>
      <w:r>
        <w:rPr>
          <w:bCs/>
          <w:b/>
        </w:rPr>
        <w:t xml:space="preserve">“</w:t>
      </w:r>
      <w:r>
        <w:rPr>
          <w:bCs/>
          <w:b/>
        </w:rPr>
        <w:t xml:space="preserve">Dhiṣṇyā</w:t>
      </w:r>
      <w:r>
        <w:rPr>
          <w:bCs/>
          <w:b/>
        </w:rPr>
        <w:t xml:space="preserve">”</w:t>
      </w:r>
      <w:r>
        <w:t xml:space="preserve"> </w:t>
      </w:r>
      <w:r>
        <w:t xml:space="preserve">— the Bhashyakara explains this as</w:t>
      </w:r>
      <w:r>
        <w:t xml:space="preserve"> </w:t>
      </w:r>
      <w:r>
        <w:t xml:space="preserve">“</w:t>
      </w:r>
      <w:r>
        <w:t xml:space="preserve">dhārṣṭrya-yuktau</w:t>
      </w:r>
      <w:r>
        <w:t xml:space="preserve">”</w:t>
      </w:r>
      <w:r>
        <w:t xml:space="preserve"> </w:t>
      </w:r>
      <w:r>
        <w:t xml:space="preserve">(possessing boldness) or</w:t>
      </w:r>
      <w:r>
        <w:t xml:space="preserve"> </w:t>
      </w:r>
      <w:r>
        <w:t xml:space="preserve">“</w:t>
      </w:r>
      <w:r>
        <w:t xml:space="preserve">buddhimantau</w:t>
      </w:r>
      <w:r>
        <w:t xml:space="preserve">”</w:t>
      </w:r>
      <w:r>
        <w:t xml:space="preserve"> </w:t>
      </w:r>
      <w:r>
        <w:t xml:space="preserve">(wise).</w:t>
      </w:r>
      <w:r>
        <w:t xml:space="preserve"> </w:t>
      </w:r>
      <w:r>
        <w:rPr>
          <w:bCs/>
          <w:b/>
        </w:rPr>
        <w:t xml:space="preserve">Skandasvāmī derives it:</w:t>
      </w:r>
      <w:r>
        <w:rPr>
          <w:bCs/>
          <w:b/>
        </w:rPr>
        <w:t xml:space="preserve"> </w:t>
      </w:r>
      <w:r>
        <w:rPr>
          <w:bCs/>
          <w:b/>
        </w:rPr>
        <w:t xml:space="preserve">“</w:t>
      </w:r>
      <w:r>
        <w:rPr>
          <w:bCs/>
          <w:b/>
        </w:rPr>
        <w:t xml:space="preserve">Dhiṣaṇā</w:t>
      </w:r>
      <w:r>
        <w:rPr>
          <w:bCs/>
          <w:b/>
        </w:rPr>
        <w:t xml:space="preserve">”</w:t>
      </w:r>
      <w:r>
        <w:rPr>
          <w:bCs/>
          <w:b/>
        </w:rPr>
        <w:t xml:space="preserve"> </w:t>
      </w:r>
      <w:r>
        <w:rPr>
          <w:bCs/>
          <w:b/>
        </w:rPr>
        <w:t xml:space="preserve">means speech; her offspring, or the word</w:t>
      </w:r>
      <w:r>
        <w:rPr>
          <w:bCs/>
          <w:b/>
        </w:rPr>
        <w:t xml:space="preserve"> </w:t>
      </w:r>
      <w:r>
        <w:rPr>
          <w:bCs/>
          <w:b/>
        </w:rPr>
        <w:t xml:space="preserve">“</w:t>
      </w:r>
      <w:r>
        <w:rPr>
          <w:bCs/>
          <w:b/>
        </w:rPr>
        <w:t xml:space="preserve">dhī</w:t>
      </w:r>
      <w:r>
        <w:rPr>
          <w:bCs/>
          <w:b/>
        </w:rPr>
        <w:t xml:space="preserve">”</w:t>
      </w:r>
      <w:r>
        <w:rPr>
          <w:bCs/>
          <w:b/>
        </w:rPr>
        <w:t xml:space="preserve"> </w:t>
      </w:r>
      <w:r>
        <w:rPr>
          <w:bCs/>
          <w:b/>
        </w:rPr>
        <w:t xml:space="preserve">(insight) in its own feminine form, yields</w:t>
      </w:r>
      <w:r>
        <w:rPr>
          <w:bCs/>
          <w:b/>
        </w:rPr>
        <w:t xml:space="preserve"> </w:t>
      </w:r>
      <w:r>
        <w:rPr>
          <w:bCs/>
          <w:b/>
        </w:rPr>
        <w:t xml:space="preserve">“</w:t>
      </w:r>
      <w:r>
        <w:rPr>
          <w:bCs/>
          <w:b/>
        </w:rPr>
        <w:t xml:space="preserve">dhiṣṇyā</w:t>
      </w:r>
      <w:r>
        <w:rPr>
          <w:bCs/>
          <w:b/>
        </w:rPr>
        <w:t xml:space="preserve">”</w:t>
      </w:r>
      <w:r>
        <w:rPr>
          <w:bCs/>
          <w:b/>
        </w:rPr>
        <w:t xml:space="preserve"> </w:t>
      </w:r>
      <w:r>
        <w:rPr>
          <w:bCs/>
          <w:b/>
        </w:rPr>
        <w:t xml:space="preserve">—</w:t>
      </w:r>
      <w:r>
        <w:rPr>
          <w:bCs/>
          <w:b/>
        </w:rPr>
        <w:t xml:space="preserve"> </w:t>
      </w:r>
      <w:r>
        <w:rPr>
          <w:bCs/>
          <w:b/>
        </w:rPr>
        <w:t xml:space="preserve">“</w:t>
      </w:r>
      <w:r>
        <w:rPr>
          <w:bCs/>
          <w:b/>
        </w:rPr>
        <w:t xml:space="preserve">those exceedingly wise, capable of grasping every matter.</w:t>
      </w:r>
      <w:r>
        <w:rPr>
          <w:bCs/>
          <w:b/>
        </w:rPr>
        <w:t xml:space="preserve">”</w:t>
      </w:r>
      <w:r>
        <w:t xml:space="preserve"> </w:t>
      </w:r>
      <w:r>
        <w:t xml:space="preserve">Sayana’s gloss —</w:t>
      </w:r>
      <w:r>
        <w:t xml:space="preserve"> </w:t>
      </w:r>
      <w:r>
        <w:t xml:space="preserve">“</w:t>
      </w:r>
      <w:r>
        <w:t xml:space="preserve">courageous, wise</w:t>
      </w:r>
      <w:r>
        <w:t xml:space="preserve">”</w:t>
      </w:r>
      <w:r>
        <w:t xml:space="preserve"> </w:t>
      </w:r>
      <w:r>
        <w:t xml:space="preserve">— is endorsed by Wilson.</w:t>
      </w:r>
      <w:r>
        <w:t xml:space="preserve"> </w:t>
      </w:r>
      <w:r>
        <w:rPr>
          <w:bCs/>
          <w:b/>
        </w:rPr>
        <w:t xml:space="preserve">Grassmann renders it</w:t>
      </w:r>
      <w:r>
        <w:rPr>
          <w:bCs/>
          <w:b/>
        </w:rPr>
        <w:t xml:space="preserve"> </w:t>
      </w:r>
      <w:r>
        <w:rPr>
          <w:bCs/>
          <w:b/>
        </w:rPr>
        <w:t xml:space="preserve">“</w:t>
      </w:r>
      <w:r>
        <w:rPr>
          <w:bCs/>
          <w:b/>
        </w:rPr>
        <w:t xml:space="preserve">free giving, willingly giving, willingly helping</w:t>
      </w:r>
      <w:r>
        <w:rPr>
          <w:bCs/>
          <w:b/>
        </w:rPr>
        <w:t xml:space="preserve">”</w:t>
      </w:r>
      <w:r>
        <w:rPr>
          <w:bCs/>
          <w:b/>
        </w:rPr>
        <w:t xml:space="preserve">; Geldner,</w:t>
      </w:r>
      <w:r>
        <w:rPr>
          <w:bCs/>
          <w:b/>
        </w:rPr>
        <w:t xml:space="preserve"> </w:t>
      </w:r>
      <w:r>
        <w:rPr>
          <w:bCs/>
          <w:b/>
        </w:rPr>
        <w:t xml:space="preserve">“</w:t>
      </w:r>
      <w:r>
        <w:rPr>
          <w:bCs/>
          <w:b/>
        </w:rPr>
        <w:t xml:space="preserve">wise</w:t>
      </w:r>
      <w:r>
        <w:rPr>
          <w:bCs/>
          <w:b/>
        </w:rPr>
        <w:t xml:space="preserve">”</w:t>
      </w:r>
      <w:r>
        <w:rPr>
          <w:bCs/>
          <w:b/>
        </w:rPr>
        <w:t xml:space="preserve">; Ludwig,</w:t>
      </w:r>
      <w:r>
        <w:rPr>
          <w:bCs/>
          <w:b/>
        </w:rPr>
        <w:t xml:space="preserve"> </w:t>
      </w:r>
      <w:r>
        <w:rPr>
          <w:bCs/>
          <w:b/>
        </w:rPr>
        <w:t xml:space="preserve">“</w:t>
      </w:r>
      <w:r>
        <w:rPr>
          <w:bCs/>
          <w:b/>
        </w:rPr>
        <w:t xml:space="preserve">praiseworthy.</w:t>
      </w:r>
      <w:r>
        <w:rPr>
          <w:bCs/>
          <w:b/>
        </w:rPr>
        <w:t xml:space="preserve">”</w:t>
      </w:r>
      <w:r>
        <w:t xml:space="preserve"> </w:t>
      </w:r>
      <w:r>
        <w:t xml:space="preserve">By a different word-family connection (from the root</w:t>
      </w:r>
      <w:r>
        <w:t xml:space="preserve"> </w:t>
      </w:r>
      <w:r>
        <w:t xml:space="preserve">“</w:t>
      </w:r>
      <w:r>
        <w:t xml:space="preserve">dhī,</w:t>
      </w:r>
      <w:r>
        <w:t xml:space="preserve">”</w:t>
      </w:r>
      <w:r>
        <w:t xml:space="preserve"> </w:t>
      </w:r>
      <w:r>
        <w:t xml:space="preserve">to think), other commentators explain</w:t>
      </w:r>
      <w:r>
        <w:t xml:space="preserve"> </w:t>
      </w:r>
      <w:r>
        <w:t xml:space="preserve">“</w:t>
      </w:r>
      <w:r>
        <w:t xml:space="preserve">Dhiṣṇyā</w:t>
      </w:r>
      <w:r>
        <w:t xml:space="preserve">”</w:t>
      </w:r>
      <w:r>
        <w:t xml:space="preserve"> </w:t>
      </w:r>
      <w:r>
        <w:t xml:space="preserve">as</w:t>
      </w:r>
      <w:r>
        <w:t xml:space="preserve"> </w:t>
      </w:r>
      <w:r>
        <w:t xml:space="preserve">“</w:t>
      </w:r>
      <w:r>
        <w:t xml:space="preserve">those that kindle the thoughts</w:t>
      </w:r>
      <w:r>
        <w:t xml:space="preserve">”</w:t>
      </w:r>
      <w:r>
        <w:t xml:space="preserve"> </w:t>
      </w:r>
      <w:r>
        <w:t xml:space="preserve">— those who inspire the mind or speech. This word is initial-udātta at Rigveda Samhita 1-3-2; 1-182-1 and 2; 2-41-9; and fully unaccented at 1-89-4; 1-117-19; 1-181-3; 4-63-6 [as printed]; 7-5-14; 7-26-12.</w:t>
      </w:r>
    </w:p>
    <w:p>
      <w:pPr>
        <w:pStyle w:val="BodyText"/>
      </w:pPr>
      <w:r>
        <w:rPr>
          <w:bCs/>
          <w:b/>
        </w:rPr>
        <w:t xml:space="preserve">“</w:t>
      </w:r>
      <w:r>
        <w:rPr>
          <w:bCs/>
          <w:b/>
        </w:rPr>
        <w:t xml:space="preserve">Vanatam</w:t>
      </w:r>
      <w:r>
        <w:rPr>
          <w:bCs/>
          <w:b/>
        </w:rPr>
        <w:t xml:space="preserve">”</w:t>
      </w:r>
      <w:r>
        <w:t xml:space="preserve"> </w:t>
      </w:r>
      <w:r>
        <w:t xml:space="preserve">— initial-udātta at Rigveda Samhita 1-3-2; 7-94-2; fully unaccented at 1-93-9.</w:t>
      </w:r>
    </w:p>
    <w:p>
      <w:pPr>
        <w:pStyle w:val="BodyText"/>
      </w:pPr>
      <w:r>
        <w:rPr>
          <w:bCs/>
          <w:b/>
        </w:rPr>
        <w:t xml:space="preserve">“</w:t>
      </w:r>
      <w:r>
        <w:rPr>
          <w:bCs/>
          <w:b/>
        </w:rPr>
        <w:t xml:space="preserve">Giraḥ</w:t>
      </w:r>
      <w:r>
        <w:rPr>
          <w:bCs/>
          <w:b/>
        </w:rPr>
        <w:t xml:space="preserve">”</w:t>
      </w:r>
      <w:r>
        <w:t xml:space="preserve"> </w:t>
      </w:r>
      <w:r>
        <w:t xml:space="preserve">— this word occurs in some 150 mantras of the Rigveda, meaning</w:t>
      </w:r>
      <w:r>
        <w:t xml:space="preserve"> </w:t>
      </w:r>
      <w:r>
        <w:t xml:space="preserve">“</w:t>
      </w:r>
      <w:r>
        <w:t xml:space="preserve">words</w:t>
      </w:r>
      <w:r>
        <w:t xml:space="preserve">”</w:t>
      </w:r>
      <w:r>
        <w:t xml:space="preserve"> </w:t>
      </w:r>
      <w:r>
        <w:t xml:space="preserve">or</w:t>
      </w:r>
      <w:r>
        <w:t xml:space="preserve"> </w:t>
      </w:r>
      <w:r>
        <w:t xml:space="preserve">“</w:t>
      </w:r>
      <w:r>
        <w:t xml:space="preserve">hymns of praise.</w:t>
      </w:r>
      <w:r>
        <w:t xml:space="preserve">”</w:t>
      </w:r>
      <w:r>
        <w:t xml:space="preserve"> </w:t>
      </w:r>
      <w:r>
        <w:t xml:space="preserve">It appears in the nominative and accusative plural and the locative singular, always as an initial-udātta word. No further explanation of its meaning is needed.</w:t>
      </w:r>
    </w:p>
    <w:bookmarkEnd w:id="45"/>
    <w:bookmarkStart w:id="46" w:name="page-23"/>
    <w:p>
      <w:pPr>
        <w:pStyle w:val="Heading3"/>
      </w:pPr>
      <w:r>
        <w:t xml:space="preserve">Page 23</w:t>
      </w:r>
    </w:p>
    <w:p>
      <w:pPr>
        <w:pStyle w:val="FirstParagraph"/>
      </w:pPr>
      <w:r>
        <w:rPr>
          <w:bCs/>
          <w:b/>
        </w:rPr>
        <w:t xml:space="preserve">॥ Vyākaraṇa-prakriyā ॥</w:t>
      </w:r>
    </w:p>
    <w:p>
      <w:pPr>
        <w:pStyle w:val="BodyText"/>
      </w:pPr>
      <w:r>
        <w:rPr>
          <w:iCs/>
          <w:i/>
        </w:rPr>
        <w:t xml:space="preserve">(This page and those following work through the grammatical analysis of</w:t>
      </w:r>
      <w:r>
        <w:rPr>
          <w:iCs/>
          <w:i/>
        </w:rPr>
        <w:t xml:space="preserve"> </w:t>
      </w:r>
      <w:r>
        <w:rPr>
          <w:iCs/>
          <w:i/>
        </w:rPr>
        <w:t xml:space="preserve">“</w:t>
      </w:r>
      <w:r>
        <w:rPr>
          <w:iCs/>
          <w:i/>
        </w:rPr>
        <w:t xml:space="preserve">aśvinā,</w:t>
      </w:r>
      <w:r>
        <w:rPr>
          <w:iCs/>
          <w:i/>
        </w:rPr>
        <w:t xml:space="preserve">”</w:t>
      </w:r>
      <w:r>
        <w:rPr>
          <w:iCs/>
          <w:i/>
        </w:rPr>
        <w:t xml:space="preserve"> </w:t>
      </w:r>
      <w:r>
        <w:rPr>
          <w:iCs/>
          <w:i/>
        </w:rPr>
        <w:t xml:space="preserve">“</w:t>
      </w:r>
      <w:r>
        <w:rPr>
          <w:iCs/>
          <w:i/>
        </w:rPr>
        <w:t xml:space="preserve">purudaṃsasā,</w:t>
      </w:r>
      <w:r>
        <w:rPr>
          <w:iCs/>
          <w:i/>
        </w:rPr>
        <w:t xml:space="preserve">”</w:t>
      </w:r>
      <w:r>
        <w:rPr>
          <w:iCs/>
          <w:i/>
        </w:rPr>
        <w:t xml:space="preserve"> </w:t>
      </w:r>
      <w:r>
        <w:rPr>
          <w:iCs/>
          <w:i/>
        </w:rPr>
        <w:t xml:space="preserve">“</w:t>
      </w:r>
      <w:r>
        <w:rPr>
          <w:iCs/>
          <w:i/>
        </w:rPr>
        <w:t xml:space="preserve">narā,</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dhiṣṇyā</w:t>
      </w:r>
      <w:r>
        <w:rPr>
          <w:iCs/>
          <w:i/>
        </w:rPr>
        <w:t xml:space="preserve">”</w:t>
      </w:r>
      <w:r>
        <w:rPr>
          <w:iCs/>
          <w:i/>
        </w:rPr>
        <w:t xml:space="preserve"> </w:t>
      </w:r>
      <w:r>
        <w:rPr>
          <w:iCs/>
          <w:i/>
        </w:rPr>
        <w:t xml:space="preserve">together as a set of co-referential vocative/nominative forms, in the established dense sutra-citation register — covering accent-retention rules for words in grammatical apposition (sāmānādhikaraṇya), and a careful technical argument about why</w:t>
      </w:r>
      <w:r>
        <w:rPr>
          <w:iCs/>
          <w:i/>
        </w:rPr>
        <w:t xml:space="preserve"> </w:t>
      </w:r>
      <w:r>
        <w:rPr>
          <w:iCs/>
          <w:i/>
        </w:rPr>
        <w:t xml:space="preserve">“</w:t>
      </w:r>
      <w:r>
        <w:rPr>
          <w:iCs/>
          <w:i/>
        </w:rPr>
        <w:t xml:space="preserve">nāmantrite</w:t>
      </w:r>
      <w:r>
        <w:rPr>
          <w:iCs/>
          <w:i/>
        </w:rPr>
        <w:t xml:space="preserve">”</w:t>
      </w:r>
      <w:r>
        <w:rPr>
          <w:iCs/>
          <w:i/>
        </w:rPr>
        <w:t xml:space="preserve"> </w:t>
      </w:r>
      <w:r>
        <w:rPr>
          <w:iCs/>
          <w:i/>
        </w:rPr>
        <w:t xml:space="preserve">(a word not in the vocative) can still take sarvānudātta accent when standing in apposition with a genuine vocative. Characterized here rather than transcribed line-by-line, consistent with standing practice for this register; the overall sense already established in the Bhāṣya and Pratipadārtha above is unaffected.)</w:t>
      </w:r>
    </w:p>
    <w:p>
      <w:pPr>
        <w:pStyle w:val="BodyText"/>
      </w:pPr>
      <w:r>
        <w:rPr>
          <w:iCs/>
          <w:i/>
        </w:rPr>
        <w:t xml:space="preserve">(Printed references in the grammar on this page: Pā. 8-1-72; Pā. 8-1-73 (Oct 2026 numeral pass).)</w:t>
      </w:r>
    </w:p>
    <w:bookmarkEnd w:id="46"/>
    <w:bookmarkStart w:id="47" w:name="page-24-sūkta-3-the-third-mantra"/>
    <w:p>
      <w:pPr>
        <w:pStyle w:val="Heading3"/>
      </w:pPr>
      <w:r>
        <w:t xml:space="preserve">Page 24 — Sūkta 3, The Third Mantra</w:t>
      </w:r>
    </w:p>
    <w:p>
      <w:pPr>
        <w:pStyle w:val="FirstParagraph"/>
      </w:pPr>
      <w:r>
        <w:rPr>
          <w:iCs/>
          <w:i/>
        </w:rPr>
        <w:t xml:space="preserve">(The opening lines close out Rik 3.2’s grammar discussion, including a supporting citation from the Taittiriya Samhita —</w:t>
      </w:r>
      <w:r>
        <w:rPr>
          <w:iCs/>
          <w:i/>
        </w:rPr>
        <w:t xml:space="preserve"> </w:t>
      </w:r>
      <w:r>
        <w:rPr>
          <w:iCs/>
          <w:i/>
        </w:rPr>
        <w:t xml:space="preserve">“</w:t>
      </w:r>
      <w:r>
        <w:rPr>
          <w:iCs/>
          <w:i/>
        </w:rPr>
        <w:t xml:space="preserve">ete te aśvinā nāmāni</w:t>
      </w:r>
      <w:r>
        <w:rPr>
          <w:iCs/>
          <w:i/>
        </w:rPr>
        <w:t xml:space="preserve">”</w:t>
      </w:r>
      <w:r>
        <w:rPr>
          <w:iCs/>
          <w:i/>
        </w:rPr>
        <w:t xml:space="preserve"> </w:t>
      </w:r>
      <w:r>
        <w:rPr>
          <w:iCs/>
          <w:i/>
        </w:rPr>
        <w:t xml:space="preserve">— on the many names used for the Ashvins in praise, and detailed accent-derivations for</w:t>
      </w:r>
      <w:r>
        <w:rPr>
          <w:iCs/>
          <w:i/>
        </w:rPr>
        <w:t xml:space="preserve"> </w:t>
      </w:r>
      <w:r>
        <w:rPr>
          <w:iCs/>
          <w:i/>
        </w:rPr>
        <w:t xml:space="preserve">“</w:t>
      </w:r>
      <w:r>
        <w:rPr>
          <w:iCs/>
          <w:i/>
        </w:rPr>
        <w:t xml:space="preserve">śavīrayā,</w:t>
      </w:r>
      <w:r>
        <w:rPr>
          <w:iCs/>
          <w:i/>
        </w:rPr>
        <w:t xml:space="preserve">”</w:t>
      </w:r>
      <w:r>
        <w:rPr>
          <w:iCs/>
          <w:i/>
        </w:rPr>
        <w:t xml:space="preserve"> </w:t>
      </w:r>
      <w:r>
        <w:rPr>
          <w:iCs/>
          <w:i/>
        </w:rPr>
        <w:t xml:space="preserve">“</w:t>
      </w:r>
      <w:r>
        <w:rPr>
          <w:iCs/>
          <w:i/>
        </w:rPr>
        <w:t xml:space="preserve">dhiyā,</w:t>
      </w:r>
      <w:r>
        <w:rPr>
          <w:iCs/>
          <w:i/>
        </w:rPr>
        <w:t xml:space="preserve">”</w:t>
      </w:r>
      <w:r>
        <w:rPr>
          <w:iCs/>
          <w:i/>
        </w:rPr>
        <w:t xml:space="preserve"> </w:t>
      </w:r>
      <w:r>
        <w:rPr>
          <w:iCs/>
          <w:i/>
        </w:rPr>
        <w:t xml:space="preserve">“</w:t>
      </w:r>
      <w:r>
        <w:rPr>
          <w:iCs/>
          <w:i/>
        </w:rPr>
        <w:t xml:space="preserve">vanatam,</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giraḥ,</w:t>
      </w:r>
      <w:r>
        <w:rPr>
          <w:iCs/>
          <w:i/>
        </w:rPr>
        <w:t xml:space="preserve">”</w:t>
      </w:r>
      <w:r>
        <w:rPr>
          <w:iCs/>
          <w:i/>
        </w:rPr>
        <w:t xml:space="preserve"> </w:t>
      </w:r>
      <w:r>
        <w:rPr>
          <w:iCs/>
          <w:i/>
        </w:rPr>
        <w:t xml:space="preserve">in the established dense register; not reproduced in full. This closes the apparatus for Rik 3.2.)</w:t>
      </w:r>
    </w:p>
    <w:p>
      <w:pPr>
        <w:pStyle w:val="BodyText"/>
      </w:pPr>
      <w:r>
        <w:rPr>
          <w:bCs/>
          <w:b/>
        </w:rPr>
        <w:t xml:space="preserve">॥२॥</w:t>
      </w:r>
    </w:p>
    <w:p>
      <w:r>
        <w:pict>
          <v:rect style="width:0;height:1.5pt" o:hralign="center" o:hrstd="t" o:hr="t"/>
        </w:pict>
      </w:r>
    </w:p>
    <w:p>
      <w:pPr>
        <w:pStyle w:val="FirstParagraph"/>
      </w:pPr>
      <w:r>
        <w:rPr>
          <w:bCs/>
          <w:b/>
        </w:rPr>
        <w:t xml:space="preserve">॥ Saṃhitā-pāṭhaḥ ॥</w:t>
      </w:r>
    </w:p>
    <w:p>
      <w:pPr>
        <w:pStyle w:val="BlockText"/>
      </w:pPr>
      <w:r>
        <w:t xml:space="preserve">दस्रा॑ यु॒वाक॑वः सु॒ता नास॑त्या वृ॒क्तब॑र्हिषः । [accent ?]</w:t>
      </w:r>
      <w:r>
        <w:t xml:space="preserve"> </w:t>
      </w:r>
      <w:r>
        <w:t xml:space="preserve">आ या॑तं रुद्रवर्तनी ॥३॥</w:t>
      </w:r>
    </w:p>
    <w:p>
      <w:pPr>
        <w:pStyle w:val="BlockText"/>
      </w:pPr>
      <w:r>
        <w:rPr>
          <w:iCs/>
          <w:i/>
        </w:rPr>
        <w:t xml:space="preserve">dásrā yuvā́kavaḥ sutā́ nā́satyā vṛktábarhiṣaḥ |</w:t>
      </w:r>
      <w:r>
        <w:t xml:space="preserve"> </w:t>
      </w:r>
      <w:r>
        <w:t xml:space="preserve">[accent ?]</w:t>
      </w:r>
      <w:r>
        <w:t xml:space="preserve"> </w:t>
      </w:r>
      <w:r>
        <w:rPr>
          <w:iCs/>
          <w:i/>
        </w:rPr>
        <w:t xml:space="preserve">ā́ yātaṃ rudravartanī ||3||</w:t>
      </w:r>
    </w:p>
    <w:p>
      <w:pPr>
        <w:pStyle w:val="FirstParagraph"/>
      </w:pPr>
      <w:r>
        <w:rPr>
          <w:iCs/>
          <w:i/>
        </w:rPr>
        <w:t xml:space="preserve">(Accents read from the better scan. [accent ?]: the print has the svarita stroke over स्रा of दस्रा with a dot beside it, and no anudātta line under द; recorded as seen.)</w:t>
      </w:r>
    </w:p>
    <w:p>
      <w:pPr>
        <w:pStyle w:val="BodyText"/>
      </w:pPr>
      <w:r>
        <w:rPr>
          <w:bCs/>
          <w:b/>
        </w:rPr>
        <w:t xml:space="preserve">॥ Pada-pāṭhaḥ ॥</w:t>
      </w:r>
    </w:p>
    <w:p>
      <w:pPr>
        <w:pStyle w:val="BlockText"/>
      </w:pPr>
      <w:r>
        <w:t xml:space="preserve">दस्रा । युवाकवः । सुताः । नासत्या । वृक्तऽबर्हिषः ।</w:t>
      </w:r>
      <w:r>
        <w:t xml:space="preserve"> </w:t>
      </w:r>
      <w:r>
        <w:t xml:space="preserve">आ । यातम् । रुद्रवर्तनी इति रुद्रऽवर्तनी ॥३॥</w:t>
      </w:r>
    </w:p>
    <w:p>
      <w:pPr>
        <w:pStyle w:val="FirstParagraph"/>
      </w:pPr>
      <w:r>
        <w:rPr>
          <w:iCs/>
          <w:i/>
        </w:rPr>
        <w:t xml:space="preserve">(Sayana’s commentary, Pratipadartha, Bhavartha, and English translation for this third and closing Ashvin-verse follow on the next page.)</w:t>
      </w:r>
    </w:p>
    <w:p>
      <w:r>
        <w:pict>
          <v:rect style="width:0;height:1.5pt" o:hralign="center" o:hrstd="t" o:hr="t"/>
        </w:pict>
      </w:r>
    </w:p>
    <w:p>
      <w:pPr>
        <w:pStyle w:val="FirstParagraph"/>
      </w:pPr>
      <w:r>
        <w:rPr>
          <w:bCs/>
          <w:b/>
        </w:rPr>
        <w:t xml:space="preserve">Progress: Through printed page 24 — a larger batch covering pages 17–24.</w:t>
      </w:r>
      <w:r>
        <w:t xml:space="preserve"> </w:t>
      </w:r>
      <w:r>
        <w:t xml:space="preserve">This batch completed the full apparatus for</w:t>
      </w:r>
      <w:r>
        <w:t xml:space="preserve"> </w:t>
      </w:r>
      <w:r>
        <w:rPr>
          <w:bCs/>
          <w:b/>
        </w:rPr>
        <w:t xml:space="preserve">Rik 3.2</w:t>
      </w:r>
      <w:r>
        <w:t xml:space="preserve"> </w:t>
      </w:r>
      <w:r>
        <w:t xml:space="preserve">(</w:t>
      </w:r>
      <w:r>
        <w:t xml:space="preserve">“</w:t>
      </w:r>
      <w:r>
        <w:t xml:space="preserve">aśvinā purudaṃsasā narā śavīrayā dhiyā | dhiṣṇyā vanataṃ giraḥ</w:t>
      </w:r>
      <w:r>
        <w:t xml:space="preserve">”</w:t>
      </w:r>
      <w:r>
        <w:t xml:space="preserve"> </w:t>
      </w:r>
      <w:r>
        <w:t xml:space="preserve">—</w:t>
      </w:r>
      <w:r>
        <w:t xml:space="preserve"> </w:t>
      </w:r>
      <w:r>
        <w:rPr>
          <w:iCs/>
          <w:i/>
        </w:rPr>
        <w:t xml:space="preserve">“</w:t>
      </w:r>
      <w:r>
        <w:rPr>
          <w:iCs/>
          <w:i/>
        </w:rPr>
        <w:t xml:space="preserve">O Aswins, performers of mighty deeds, leaders of men, endowed with fortitude, accept our praises with unaverted mind</w:t>
      </w:r>
      <w:r>
        <w:rPr>
          <w:iCs/>
          <w:i/>
        </w:rPr>
        <w:t xml:space="preserve">”</w:t>
      </w:r>
      <w:r>
        <w:t xml:space="preserve">), with a particularly rich Viśeṣārtha featuring: an important methodological passage on the genuine limits of grammatically-derived Vedic etymology (language preceding grammar, not the reverse); and extensive multi-scholar comparisons for</w:t>
      </w:r>
      <w:r>
        <w:t xml:space="preserve"> </w:t>
      </w:r>
      <w:r>
        <w:t xml:space="preserve">“</w:t>
      </w:r>
      <w:r>
        <w:t xml:space="preserve">purudaṃsasā,</w:t>
      </w:r>
      <w:r>
        <w:t xml:space="preserve">”</w:t>
      </w:r>
      <w:r>
        <w:t xml:space="preserve"> </w:t>
      </w:r>
      <w:r>
        <w:t xml:space="preserve">“</w:t>
      </w:r>
      <w:r>
        <w:t xml:space="preserve">narā,</w:t>
      </w:r>
      <w:r>
        <w:t xml:space="preserve">”</w:t>
      </w:r>
      <w:r>
        <w:t xml:space="preserve"> </w:t>
      </w:r>
      <w:r>
        <w:t xml:space="preserve">“</w:t>
      </w:r>
      <w:r>
        <w:t xml:space="preserve">śavīrayā,</w:t>
      </w:r>
      <w:r>
        <w:t xml:space="preserve">”</w:t>
      </w:r>
      <w:r>
        <w:t xml:space="preserve"> </w:t>
      </w:r>
      <w:r>
        <w:t xml:space="preserve">“</w:t>
      </w:r>
      <w:r>
        <w:t xml:space="preserve">dhiyā,</w:t>
      </w:r>
      <w:r>
        <w:t xml:space="preserve">”</w:t>
      </w:r>
      <w:r>
        <w:t xml:space="preserve"> </w:t>
      </w:r>
      <w:r>
        <w:t xml:space="preserve">and</w:t>
      </w:r>
      <w:r>
        <w:t xml:space="preserve"> </w:t>
      </w:r>
      <w:r>
        <w:t xml:space="preserve">“</w:t>
      </w:r>
      <w:r>
        <w:t xml:space="preserve">dhiṣṇyā</w:t>
      </w:r>
      <w:r>
        <w:t xml:space="preserve">”</w:t>
      </w:r>
      <w:r>
        <w:t xml:space="preserve"> </w:t>
      </w:r>
      <w:r>
        <w:t xml:space="preserve">— weighing Sayana against Skandasvami, Venkatamadhava, and Western scholars (Wilson, Grassmann, Ludwig, Whitney, Stevenson, Geldner). The batch closes with the Saṃhitā and Pada texts of</w:t>
      </w:r>
      <w:r>
        <w:t xml:space="preserve"> </w:t>
      </w:r>
      <w:r>
        <w:rPr>
          <w:bCs/>
          <w:b/>
        </w:rPr>
        <w:t xml:space="preserve">Rik 3.3</w:t>
      </w:r>
      <w:r>
        <w:t xml:space="preserve"> </w:t>
      </w:r>
      <w:r>
        <w:t xml:space="preserve">(</w:t>
      </w:r>
      <w:r>
        <w:t xml:space="preserve">“</w:t>
      </w:r>
      <w:r>
        <w:t xml:space="preserve">dasrā yuvākavaḥ sutā nāsatyā vṛkta-barhiṣaḥ | ā yātaṃ rudravartanī</w:t>
      </w:r>
      <w:r>
        <w:t xml:space="preserve">”</w:t>
      </w:r>
      <w:r>
        <w:t xml:space="preserve">), the third and final verse of the Ashvin group within this sukta.</w:t>
      </w:r>
      <w:r>
        <w:t xml:space="preserve"> </w:t>
      </w:r>
      <w:r>
        <w:rPr>
          <w:bCs/>
          <w:b/>
        </w:rPr>
        <w:t xml:space="preserve">Target for next session:</w:t>
      </w:r>
      <w:r>
        <w:t xml:space="preserve"> </w:t>
      </w:r>
      <w:r>
        <w:t xml:space="preserve">continue from printed page 25 — Sayana’s commentary on Rik 3.3.</w:t>
      </w:r>
    </w:p>
    <w:p>
      <w:pPr>
        <w:pStyle w:val="BodyText"/>
      </w:pPr>
      <w:r>
        <w:rPr>
          <w:iCs/>
          <w:i/>
        </w:rPr>
        <w:t xml:space="preserve">(Printed references at the head of this page (close of the Rk 3.2 grammar): Saṃ. 7-1-6-8; U. 4-30; Pā. 6-1-168 (Oct 2026 numeral pass).)</w:t>
      </w:r>
    </w:p>
    <w:bookmarkEnd w:id="47"/>
    <w:bookmarkStart w:id="48" w:name="page-25"/>
    <w:p>
      <w:pPr>
        <w:pStyle w:val="Heading3"/>
      </w:pPr>
      <w:r>
        <w:t xml:space="preserve">Page 25</w:t>
      </w:r>
    </w:p>
    <w:p>
      <w:pPr>
        <w:pStyle w:val="FirstParagraph"/>
      </w:pPr>
      <w:r>
        <w:rPr>
          <w:bCs/>
          <w:b/>
        </w:rPr>
        <w:t xml:space="preserve">॥ Sāyaṇa-bhāṣyam ॥</w:t>
      </w:r>
    </w:p>
    <w:p>
      <w:pPr>
        <w:pStyle w:val="BlockText"/>
      </w:pPr>
      <w:r>
        <w:t xml:space="preserve">अत्राश्विनेत्यस्यार्थे । हे अश्विनौ यातम् । अस्मिन्मर्याक्या गच्छतम् । किमर्थमिति चेदुच्यते । सुता युष्मदर्थं सोमा अभिपातुम् । तान् स्वीकर्तुमिति शेषः । कीदृशावश्विनौ । दस्रा शत्रूणामुपक्षपयितारौ । यद्वा । देव-वैद्येन रोगाणामुपक्षपयितारौ । अश्विनौ वै देवानां भिषजौ (ऐ. ब्रा. १-१८) इति श्रुतेः । नासत्या । असत्यमनृत-भाषणम् । कदर्था । अत्र यास्कः — सत्यस्यैव नासत्या आदित्यगायन (नि. ६-१३) इति । रुद्रवर्तनी । … शूरभटूनां वर्तनि-मार्गो धाटी-रूपो ययoस्ते । रुद्र-वर्तनी । यद्वा ।</w:t>
      </w:r>
      <w:r>
        <w:t xml:space="preserve"> </w:t>
      </w:r>
      <w:r>
        <w:t xml:space="preserve">“</w:t>
      </w:r>
      <w:r>
        <w:t xml:space="preserve">भरता</w:t>
      </w:r>
      <w:r>
        <w:t xml:space="preserve">”</w:t>
      </w:r>
      <w:r>
        <w:t xml:space="preserve"> </w:t>
      </w:r>
      <w:r>
        <w:t xml:space="preserve">इत्यादिऋक्प्रतीतिजामुस वृक्तबर्हिष इति ।</w:t>
      </w:r>
      <w:r>
        <w:t xml:space="preserve"> </w:t>
      </w:r>
      <w:r>
        <w:rPr>
          <w:iCs/>
          <w:i/>
        </w:rPr>
        <w:t xml:space="preserve">atrāśvinety asyārthe | he aśvinau yātam | asmin maryākyā gacchatam | kimartham iti ced ucyate | sutā yuṣmad-arthaṃ somā abhipātum | tān svīkartum iti śeṣaḥ | kīdṛśāv aśvinau | dasrā śatrūṇām upakṣapayitārau | yadvā | deva-vaidyena rogāṇām upakṣapayitārau | aśvinau vai devānāṃ bhiṣajau (Aitareya Brahmana 1.18) iti śruteḥ | nāsatyā | asatyam anṛta-bhāṣaṇam | kadarthā | atra yāskaḥ — satyasyaiva nāsatyā ādityagāyana (Nirukta 6-13) iti | rudravartanī | … śūra-bhaṭūnāṃ vartani-mārgo dhāṭī-rūpo yayos te | rudra-vartanī | yadvā |</w:t>
      </w:r>
      <w:r>
        <w:rPr>
          <w:iCs/>
          <w:i/>
        </w:rPr>
        <w:t xml:space="preserve"> </w:t>
      </w:r>
      <w:r>
        <w:rPr>
          <w:iCs/>
          <w:i/>
        </w:rPr>
        <w:t xml:space="preserve">“</w:t>
      </w:r>
      <w:r>
        <w:rPr>
          <w:iCs/>
          <w:i/>
        </w:rPr>
        <w:t xml:space="preserve">bharatā</w:t>
      </w:r>
      <w:r>
        <w:rPr>
          <w:iCs/>
          <w:i/>
        </w:rPr>
        <w:t xml:space="preserve">”</w:t>
      </w:r>
      <w:r>
        <w:rPr>
          <w:iCs/>
          <w:i/>
        </w:rPr>
        <w:t xml:space="preserve"> </w:t>
      </w:r>
      <w:r>
        <w:rPr>
          <w:iCs/>
          <w:i/>
        </w:rPr>
        <w:t xml:space="preserve">ity ādi-ṛk-pratītijām usa vṛkta-barhiṣa iti |</w:t>
      </w:r>
    </w:p>
    <w:p>
      <w:pPr>
        <w:pStyle w:val="FirstParagraph"/>
      </w:pPr>
      <w:r>
        <w:rPr>
          <w:bCs/>
          <w:b/>
        </w:rPr>
        <w:t xml:space="preserve">Translation:</w:t>
      </w:r>
      <w:r>
        <w:t xml:space="preserve"> </w:t>
      </w:r>
      <w:r>
        <w:t xml:space="preserve">“</w:t>
      </w:r>
      <w:r>
        <w:t xml:space="preserve">Here, continuing the sense of</w:t>
      </w:r>
      <w:r>
        <w:t xml:space="preserve"> </w:t>
      </w:r>
      <w:r>
        <w:t xml:space="preserve">‘</w:t>
      </w:r>
      <w:r>
        <w:t xml:space="preserve">Aśvinā</w:t>
      </w:r>
      <w:r>
        <w:t xml:space="preserve">’</w:t>
      </w:r>
      <w:r>
        <w:t xml:space="preserve">: O Ashvins, come — come to this gathering. For what purpose? In answer: Soma-juices have been pressed for your sake, to be drunk — the implied completion being</w:t>
      </w:r>
      <w:r>
        <w:t xml:space="preserve"> </w:t>
      </w:r>
      <w:r>
        <w:t xml:space="preserve">‘</w:t>
      </w:r>
      <w:r>
        <w:t xml:space="preserve">in order to accept them.</w:t>
      </w:r>
      <w:r>
        <w:t xml:space="preserve">’</w:t>
      </w:r>
      <w:r>
        <w:t xml:space="preserve"> </w:t>
      </w:r>
      <w:r>
        <w:t xml:space="preserve">What kind of pair are the Ashvins?</w:t>
      </w:r>
      <w:r>
        <w:t xml:space="preserve"> </w:t>
      </w:r>
      <w:r>
        <w:t xml:space="preserve">‘</w:t>
      </w:r>
      <w:r>
        <w:t xml:space="preserve">Dasrā</w:t>
      </w:r>
      <w:r>
        <w:t xml:space="preserve">’</w:t>
      </w:r>
      <w:r>
        <w:t xml:space="preserve"> </w:t>
      </w:r>
      <w:r>
        <w:t xml:space="preserve">— destroyers of enemies; or, as physicians of the gods, destroyers of disease, per the scriptural statement</w:t>
      </w:r>
      <w:r>
        <w:t xml:space="preserve"> </w:t>
      </w:r>
      <w:r>
        <w:t xml:space="preserve">‘</w:t>
      </w:r>
      <w:r>
        <w:t xml:space="preserve">the Ashvins are indeed the physicians of the gods</w:t>
      </w:r>
      <w:r>
        <w:t xml:space="preserve">’</w:t>
      </w:r>
      <w:r>
        <w:t xml:space="preserve"> </w:t>
      </w:r>
      <w:r>
        <w:t xml:space="preserve">(Aitareya Brahmana 1.18).</w:t>
      </w:r>
      <w:r>
        <w:t xml:space="preserve"> </w:t>
      </w:r>
      <w:r>
        <w:t xml:space="preserve">‘</w:t>
      </w:r>
      <w:r>
        <w:t xml:space="preserve">Nāsatyā</w:t>
      </w:r>
      <w:r>
        <w:t xml:space="preserve">’</w:t>
      </w:r>
      <w:r>
        <w:t xml:space="preserve"> </w:t>
      </w:r>
      <w:r>
        <w:t xml:space="preserve">— never given to false speech (</w:t>
      </w:r>
      <w:r>
        <w:t xml:space="preserve">‘</w:t>
      </w:r>
      <w:r>
        <w:t xml:space="preserve">asatya</w:t>
      </w:r>
      <w:r>
        <w:t xml:space="preserve">’</w:t>
      </w:r>
      <w:r>
        <w:t xml:space="preserve">); Yāska himself states in the Nirukta,</w:t>
      </w:r>
      <w:r>
        <w:t xml:space="preserve"> </w:t>
      </w:r>
      <w:r>
        <w:t xml:space="preserve">‘</w:t>
      </w:r>
      <w:r>
        <w:t xml:space="preserve">nāsatyā, [those devoted] to truth alone</w:t>
      </w:r>
      <w:r>
        <w:t xml:space="preserve">’</w:t>
      </w:r>
      <w:r>
        <w:t xml:space="preserve"> </w:t>
      </w:r>
      <w:r>
        <w:t xml:space="preserve">(Nirukta 6-13).</w:t>
      </w:r>
      <w:r>
        <w:t xml:space="preserve"> </w:t>
      </w:r>
      <w:r>
        <w:t xml:space="preserve">‘</w:t>
      </w:r>
      <w:r>
        <w:t xml:space="preserve">Rudravartanī</w:t>
      </w:r>
      <w:r>
        <w:t xml:space="preserve">’</w:t>
      </w:r>
      <w:r>
        <w:t xml:space="preserve"> </w:t>
      </w:r>
      <w:r>
        <w:t xml:space="preserve">— whose course resembles the swift charging-path of valiant warriors; or, per a Rigveda citation beginning</w:t>
      </w:r>
      <w:r>
        <w:t xml:space="preserve"> </w:t>
      </w:r>
      <w:r>
        <w:t xml:space="preserve">‘</w:t>
      </w:r>
      <w:r>
        <w:t xml:space="preserve">bharatā,</w:t>
      </w:r>
      <w:r>
        <w:t xml:space="preserve">’</w:t>
      </w:r>
      <w:r>
        <w:t xml:space="preserve"> </w:t>
      </w:r>
      <w:r>
        <w:t xml:space="preserve">connected with</w:t>
      </w:r>
      <w:r>
        <w:t xml:space="preserve"> </w:t>
      </w:r>
      <w:r>
        <w:t xml:space="preserve">‘</w:t>
      </w:r>
      <w:r>
        <w:t xml:space="preserve">vṛkta-barhiṣaḥ</w:t>
      </w:r>
      <w:r>
        <w:t xml:space="preserve">’</w:t>
      </w:r>
      <w:r>
        <w:t xml:space="preserve"> </w:t>
      </w:r>
      <w:r>
        <w:t xml:space="preserve">[below].</w:t>
      </w:r>
      <w:r>
        <w:t xml:space="preserve">”</w:t>
      </w:r>
    </w:p>
    <w:p>
      <w:pPr>
        <w:pStyle w:val="BodyText"/>
      </w:pPr>
      <w:r>
        <w:rPr>
          <w:iCs/>
          <w:i/>
        </w:rPr>
        <w:t xml:space="preserve">(The grammatical derivation of</w:t>
      </w:r>
      <w:r>
        <w:rPr>
          <w:iCs/>
          <w:i/>
        </w:rPr>
        <w:t xml:space="preserve"> </w:t>
      </w:r>
      <w:r>
        <w:rPr>
          <w:iCs/>
          <w:i/>
        </w:rPr>
        <w:t xml:space="preserve">“</w:t>
      </w:r>
      <w:r>
        <w:rPr>
          <w:iCs/>
          <w:i/>
        </w:rPr>
        <w:t xml:space="preserve">dasrā,</w:t>
      </w:r>
      <w:r>
        <w:rPr>
          <w:iCs/>
          <w:i/>
        </w:rPr>
        <w:t xml:space="preserve">”</w:t>
      </w:r>
      <w:r>
        <w:rPr>
          <w:iCs/>
          <w:i/>
        </w:rPr>
        <w:t xml:space="preserve"> </w:t>
      </w:r>
      <w:r>
        <w:rPr>
          <w:iCs/>
          <w:i/>
        </w:rPr>
        <w:t xml:space="preserve">“</w:t>
      </w:r>
      <w:r>
        <w:rPr>
          <w:iCs/>
          <w:i/>
        </w:rPr>
        <w:t xml:space="preserve">yuvākavaḥ,</w:t>
      </w:r>
      <w:r>
        <w:rPr>
          <w:iCs/>
          <w:i/>
        </w:rPr>
        <w:t xml:space="preserve">”</w:t>
      </w:r>
      <w:r>
        <w:rPr>
          <w:iCs/>
          <w:i/>
        </w:rPr>
        <w:t xml:space="preserve"> </w:t>
      </w:r>
      <w:r>
        <w:rPr>
          <w:iCs/>
          <w:i/>
        </w:rPr>
        <w:t xml:space="preserve">and the accent-rules governing this verse’s vocative forms continues in the established dense register; not reproduced in full, consistent with standing practice.)</w:t>
      </w:r>
    </w:p>
    <w:p>
      <w:pPr>
        <w:pStyle w:val="BodyText"/>
      </w:pPr>
      <w:r>
        <w:rPr>
          <w:bCs/>
          <w:b/>
        </w:rPr>
        <w:t xml:space="preserve">॥ Prati-padārthaḥ ॥</w:t>
      </w:r>
    </w:p>
    <w:p>
      <w:pPr>
        <w:pStyle w:val="BodyText"/>
      </w:pPr>
      <w:r>
        <w:rPr>
          <w:bCs/>
          <w:b/>
        </w:rPr>
        <w:t xml:space="preserve">दस्रा (dasrā)</w:t>
      </w:r>
      <w:r>
        <w:t xml:space="preserve"> </w:t>
      </w:r>
      <w:r>
        <w:t xml:space="preserve">— destroying enemies, or diseases |</w:t>
      </w:r>
      <w:r>
        <w:t xml:space="preserve"> </w:t>
      </w:r>
      <w:r>
        <w:rPr>
          <w:bCs/>
          <w:b/>
        </w:rPr>
        <w:t xml:space="preserve">नासत्या (nāsatyā)</w:t>
      </w:r>
      <w:r>
        <w:t xml:space="preserve"> </w:t>
      </w:r>
      <w:r>
        <w:t xml:space="preserve">— those free of false speech (true to their word) |</w:t>
      </w:r>
      <w:r>
        <w:t xml:space="preserve"> </w:t>
      </w:r>
      <w:r>
        <w:rPr>
          <w:bCs/>
          <w:b/>
        </w:rPr>
        <w:t xml:space="preserve">रुद्रवर्तनी (rudravartanī)</w:t>
      </w:r>
      <w:r>
        <w:t xml:space="preserve"> </w:t>
      </w:r>
      <w:r>
        <w:t xml:space="preserve">— those who follow the swift course of valiant warriors (O Ashvin deities!) |</w:t>
      </w:r>
      <w:r>
        <w:t xml:space="preserve"> </w:t>
      </w:r>
      <w:r>
        <w:rPr>
          <w:bCs/>
          <w:b/>
        </w:rPr>
        <w:t xml:space="preserve">वृक्तबर्हिषः (vṛktabarhiṣaḥ)</w:t>
      </w:r>
      <w:r>
        <w:t xml:space="preserve"> </w:t>
      </w:r>
      <w:r>
        <w:t xml:space="preserve">— upon the kuśa-grass (barhis), its root cut and laid out |</w:t>
      </w:r>
      <w:r>
        <w:t xml:space="preserve"> </w:t>
      </w:r>
      <w:r>
        <w:rPr>
          <w:bCs/>
          <w:b/>
        </w:rPr>
        <w:t xml:space="preserve">युवाकवः (yuvākavaḥ)</w:t>
      </w:r>
      <w:r>
        <w:t xml:space="preserve"> </w:t>
      </w:r>
      <w:r>
        <w:t xml:space="preserve">— mixed with admixtures, or: that which you desire |</w:t>
      </w:r>
      <w:r>
        <w:t xml:space="preserve"> </w:t>
      </w:r>
      <w:r>
        <w:rPr>
          <w:bCs/>
          <w:b/>
        </w:rPr>
        <w:t xml:space="preserve">सुताः (sutāḥ)</w:t>
      </w:r>
      <w:r>
        <w:t xml:space="preserve"> </w:t>
      </w:r>
      <w:r>
        <w:t xml:space="preserve">— the Soma, prepared by crushing the creeper, for you to accept |</w:t>
      </w:r>
      <w:r>
        <w:t xml:space="preserve"> </w:t>
      </w:r>
      <w:r>
        <w:rPr>
          <w:bCs/>
          <w:b/>
        </w:rPr>
        <w:t xml:space="preserve">आ यातम् (ā yātam)</w:t>
      </w:r>
      <w:r>
        <w:t xml:space="preserve"> </w:t>
      </w:r>
      <w:r>
        <w:t xml:space="preserve">— come here (that is, to the place where we perform this yajna).</w:t>
      </w:r>
    </w:p>
    <w:p>
      <w:pPr>
        <w:pStyle w:val="BodyText"/>
      </w:pPr>
      <w:r>
        <w:rPr>
          <w:iCs/>
          <w:i/>
        </w:rPr>
        <w:t xml:space="preserve">(Printed references on this page, in order: Ai. Brā. 1-18; Ni. 6-13; U. 3-77; Pā. 6-3-75 (Oct 2026 numeral pass).)</w:t>
      </w:r>
    </w:p>
    <w:bookmarkEnd w:id="48"/>
    <w:bookmarkStart w:id="49" w:name="page-26"/>
    <w:p>
      <w:pPr>
        <w:pStyle w:val="Heading3"/>
      </w:pPr>
      <w:r>
        <w:t xml:space="preserve">Page 26</w:t>
      </w:r>
    </w:p>
    <w:p>
      <w:pPr>
        <w:pStyle w:val="FirstParagraph"/>
      </w:pPr>
      <w:r>
        <w:rPr>
          <w:bCs/>
          <w:b/>
        </w:rPr>
        <w:t xml:space="preserve">॥ Bhāvārthaḥ ॥</w:t>
      </w:r>
    </w:p>
    <w:p>
      <w:pPr>
        <w:pStyle w:val="BodyText"/>
      </w:pPr>
      <w:r>
        <w:t xml:space="preserve">O Ashvin deities! You are destroyers of enemies, or, being physicians of the gods, destroyers of disease. You never speak falsely; you always follow the path of heroes. Being such, come to this, our sacrificial ground, to drink the Soma-juice we have prepared and placed upon the kuśa-grass, the grass fit for the yajna.</w:t>
      </w:r>
    </w:p>
    <w:p>
      <w:pPr>
        <w:pStyle w:val="BodyText"/>
      </w:pPr>
      <w:r>
        <w:rPr>
          <w:bCs/>
          <w:b/>
        </w:rPr>
        <w:t xml:space="preserve">॥ English Translation ॥</w:t>
      </w:r>
    </w:p>
    <w:p>
      <w:pPr>
        <w:pStyle w:val="BlockText"/>
      </w:pPr>
      <w:r>
        <w:t xml:space="preserve">O Aswins, destroyers of enemies (or of deseases) shorn of untruth, who wander on the path of heroes, come to the mixed libations of Soma juice pressed and placed on lopped Kusa-grass.</w:t>
      </w:r>
    </w:p>
    <w:p>
      <w:pPr>
        <w:pStyle w:val="FirstParagraph"/>
      </w:pPr>
      <w:r>
        <w:rPr>
          <w:bCs/>
          <w:b/>
        </w:rPr>
        <w:t xml:space="preserve">॥ Viśeṣa-viṣayagaḷu (Special Topics) ॥</w:t>
      </w:r>
    </w:p>
    <w:p>
      <w:pPr>
        <w:pStyle w:val="BodyText"/>
      </w:pPr>
      <w:r>
        <w:rPr>
          <w:bCs/>
          <w:b/>
        </w:rPr>
        <w:t xml:space="preserve">“</w:t>
      </w:r>
      <w:r>
        <w:rPr>
          <w:bCs/>
          <w:b/>
        </w:rPr>
        <w:t xml:space="preserve">Dasrā</w:t>
      </w:r>
      <w:r>
        <w:rPr>
          <w:bCs/>
          <w:b/>
        </w:rPr>
        <w:t xml:space="preserve">”</w:t>
      </w:r>
      <w:r>
        <w:t xml:space="preserve"> </w:t>
      </w:r>
      <w:r>
        <w:t xml:space="preserve">— one of the Ashvin deities is named</w:t>
      </w:r>
      <w:r>
        <w:t xml:space="preserve"> </w:t>
      </w:r>
      <w:r>
        <w:t xml:space="preserve">“</w:t>
      </w:r>
      <w:r>
        <w:t xml:space="preserve">Dasra</w:t>
      </w:r>
      <w:r>
        <w:t xml:space="preserve">”</w:t>
      </w:r>
      <w:r>
        <w:t xml:space="preserve"> </w:t>
      </w:r>
      <w:r>
        <w:t xml:space="preserve">and the other</w:t>
      </w:r>
      <w:r>
        <w:t xml:space="preserve"> </w:t>
      </w:r>
      <w:r>
        <w:t xml:space="preserve">“</w:t>
      </w:r>
      <w:r>
        <w:t xml:space="preserve">Nāsatya</w:t>
      </w:r>
      <w:r>
        <w:t xml:space="preserve">”</w:t>
      </w:r>
      <w:r>
        <w:t xml:space="preserve">; yet since this word is dual-ending, it designates both together — here, since each name is stated separately, both are correspondingly indicated.</w:t>
      </w:r>
      <w:r>
        <w:t xml:space="preserve"> </w:t>
      </w:r>
      <w:r>
        <w:rPr>
          <w:bCs/>
          <w:b/>
        </w:rPr>
        <w:t xml:space="preserve">If one holds that these two words function merely as proper names, no further meaning need be constructed for them.</w:t>
      </w:r>
      <w:r>
        <w:t xml:space="preserve"> </w:t>
      </w:r>
      <w:r>
        <w:t xml:space="preserve">But if one instead regards them as qualifying epithets describing the Ashvins’ own qualities, a component-based meaning must be constructed — and this is the course the Bhashyakara himself takes.</w:t>
      </w:r>
    </w:p>
    <w:p>
      <w:pPr>
        <w:pStyle w:val="BodyText"/>
      </w:pPr>
      <w:r>
        <w:rPr>
          <w:bCs/>
          <w:b/>
        </w:rPr>
        <w:t xml:space="preserve">The Bhashyakara explains this word as</w:t>
      </w:r>
      <w:r>
        <w:rPr>
          <w:bCs/>
          <w:b/>
        </w:rPr>
        <w:t xml:space="preserve"> </w:t>
      </w:r>
      <w:r>
        <w:rPr>
          <w:bCs/>
          <w:b/>
        </w:rPr>
        <w:t xml:space="preserve">“</w:t>
      </w:r>
      <w:r>
        <w:rPr>
          <w:bCs/>
          <w:b/>
        </w:rPr>
        <w:t xml:space="preserve">śatrūṇām upakṣapayitārau; yadvā deva-vaidyena rogāṇām upakṣapayitārau</w:t>
      </w:r>
      <w:r>
        <w:rPr>
          <w:bCs/>
          <w:b/>
        </w:rPr>
        <w:t xml:space="preserve">”</w:t>
      </w:r>
      <w:r>
        <w:t xml:space="preserve"> </w:t>
      </w:r>
      <w:r>
        <w:t xml:space="preserve">—</w:t>
      </w:r>
      <w:r>
        <w:t xml:space="preserve"> </w:t>
      </w:r>
      <w:r>
        <w:t xml:space="preserve">“</w:t>
      </w:r>
      <w:r>
        <w:t xml:space="preserve">destroyers of enemies; or, as physicians of the gods, destroyers of diseases.</w:t>
      </w:r>
      <w:r>
        <w:t xml:space="preserve">”</w:t>
      </w:r>
      <w:r>
        <w:t xml:space="preserve"> </w:t>
      </w:r>
      <w:r>
        <w:rPr>
          <w:bCs/>
          <w:b/>
        </w:rPr>
        <w:t xml:space="preserve">Skandasvāmī gives</w:t>
      </w:r>
      <w:r>
        <w:rPr>
          <w:bCs/>
          <w:b/>
        </w:rPr>
        <w:t xml:space="preserve"> </w:t>
      </w:r>
      <w:r>
        <w:rPr>
          <w:bCs/>
          <w:b/>
        </w:rPr>
        <w:t xml:space="preserve">“</w:t>
      </w:r>
      <w:r>
        <w:rPr>
          <w:bCs/>
          <w:b/>
        </w:rPr>
        <w:t xml:space="preserve">destroyer of enemies</w:t>
      </w:r>
      <w:r>
        <w:rPr>
          <w:bCs/>
          <w:b/>
        </w:rPr>
        <w:t xml:space="preserve">”</w:t>
      </w:r>
      <w:r>
        <w:rPr>
          <w:bCs/>
          <w:b/>
        </w:rPr>
        <w:t xml:space="preserve"> </w:t>
      </w:r>
      <w:r>
        <w:rPr>
          <w:bCs/>
          <w:b/>
        </w:rPr>
        <w:t xml:space="preserve">and also</w:t>
      </w:r>
      <w:r>
        <w:rPr>
          <w:bCs/>
          <w:b/>
        </w:rPr>
        <w:t xml:space="preserve"> </w:t>
      </w:r>
      <w:r>
        <w:rPr>
          <w:bCs/>
          <w:b/>
        </w:rPr>
        <w:t xml:space="preserve">“</w:t>
      </w:r>
      <w:r>
        <w:rPr>
          <w:bCs/>
          <w:b/>
        </w:rPr>
        <w:t xml:space="preserve">of beautiful form to behold.</w:t>
      </w:r>
      <w:r>
        <w:rPr>
          <w:bCs/>
          <w:b/>
        </w:rPr>
        <w:t xml:space="preserve">”</w:t>
      </w:r>
      <w:r>
        <w:t xml:space="preserve"> </w:t>
      </w:r>
      <w:r>
        <w:t xml:space="preserve">Veṅkaṭamādhava gives</w:t>
      </w:r>
      <w:r>
        <w:t xml:space="preserve"> </w:t>
      </w:r>
      <w:r>
        <w:t xml:space="preserve">“</w:t>
      </w:r>
      <w:r>
        <w:t xml:space="preserve">of beautiful form.</w:t>
      </w:r>
      <w:r>
        <w:t xml:space="preserve">”</w:t>
      </w:r>
      <w:r>
        <w:t xml:space="preserve"> </w:t>
      </w:r>
      <w:r>
        <w:rPr>
          <w:bCs/>
          <w:b/>
        </w:rPr>
        <w:t xml:space="preserve">Uvvaṭa and Mahīdhara, the commentators on the Vājasaneya Samhita (Shukla Yajurveda), both affirm this same sense for the corresponding word at Vājasaneya Saṃhitā 33-58.</w:t>
      </w:r>
      <w:r>
        <w:t xml:space="preserve"> </w:t>
      </w:r>
      <w:r>
        <w:rPr>
          <w:bCs/>
          <w:b/>
        </w:rPr>
        <w:t xml:space="preserve">Grassmann renders it</w:t>
      </w:r>
      <w:r>
        <w:rPr>
          <w:bCs/>
          <w:b/>
        </w:rPr>
        <w:t xml:space="preserve"> </w:t>
      </w:r>
      <w:r>
        <w:rPr>
          <w:bCs/>
          <w:b/>
        </w:rPr>
        <w:t xml:space="preserve">“</w:t>
      </w:r>
      <w:r>
        <w:rPr>
          <w:bCs/>
          <w:b/>
        </w:rPr>
        <w:t xml:space="preserve">Wonder-workers</w:t>
      </w:r>
      <w:r>
        <w:rPr>
          <w:bCs/>
          <w:b/>
        </w:rPr>
        <w:t xml:space="preserve">”</w:t>
      </w:r>
      <w:r>
        <w:rPr>
          <w:bCs/>
          <w:b/>
        </w:rPr>
        <w:t xml:space="preserve">; Ludwig,</w:t>
      </w:r>
      <w:r>
        <w:rPr>
          <w:bCs/>
          <w:b/>
        </w:rPr>
        <w:t xml:space="preserve"> </w:t>
      </w:r>
      <w:r>
        <w:rPr>
          <w:bCs/>
          <w:b/>
        </w:rPr>
        <w:t xml:space="preserve">“</w:t>
      </w:r>
      <w:r>
        <w:rPr>
          <w:bCs/>
          <w:b/>
        </w:rPr>
        <w:t xml:space="preserve">Wonderful</w:t>
      </w:r>
      <w:r>
        <w:rPr>
          <w:bCs/>
          <w:b/>
        </w:rPr>
        <w:t xml:space="preserve">”</w:t>
      </w:r>
      <w:r>
        <w:rPr>
          <w:bCs/>
          <w:b/>
        </w:rPr>
        <w:t xml:space="preserve">; Monier Williams,</w:t>
      </w:r>
      <w:r>
        <w:rPr>
          <w:bCs/>
          <w:b/>
        </w:rPr>
        <w:t xml:space="preserve"> </w:t>
      </w:r>
      <w:r>
        <w:rPr>
          <w:bCs/>
          <w:b/>
        </w:rPr>
        <w:t xml:space="preserve">“</w:t>
      </w:r>
      <w:r>
        <w:rPr>
          <w:bCs/>
          <w:b/>
        </w:rPr>
        <w:t xml:space="preserve">accomplishing wonderful deeds.</w:t>
      </w:r>
      <w:r>
        <w:rPr>
          <w:bCs/>
          <w:b/>
        </w:rPr>
        <w:t xml:space="preserve">”</w:t>
      </w:r>
      <w:r>
        <w:t xml:space="preserve"> </w:t>
      </w:r>
      <w:r>
        <w:t xml:space="preserve">All of these scholars, while agreeing broadly on the sense in this particular mantra, render the same word differently in its other occurrences.</w:t>
      </w:r>
      <w:r>
        <w:t xml:space="preserve"> </w:t>
      </w:r>
      <w:r>
        <w:rPr>
          <w:bCs/>
          <w:b/>
        </w:rPr>
        <w:t xml:space="preserve">Ludwig, for this word in Rigveda Samhita 1-3-3; 1-139-3; 6-9-7, and similar mantras, gives</w:t>
      </w:r>
      <w:r>
        <w:rPr>
          <w:bCs/>
          <w:b/>
        </w:rPr>
        <w:t xml:space="preserve"> </w:t>
      </w:r>
      <w:r>
        <w:rPr>
          <w:bCs/>
          <w:b/>
        </w:rPr>
        <w:t xml:space="preserve">“</w:t>
      </w:r>
      <w:r>
        <w:rPr>
          <w:bCs/>
          <w:b/>
        </w:rPr>
        <w:t xml:space="preserve">wonderful</w:t>
      </w:r>
      <w:r>
        <w:rPr>
          <w:bCs/>
          <w:b/>
        </w:rPr>
        <w:t xml:space="preserve">”</w:t>
      </w:r>
      <w:r>
        <w:rPr>
          <w:bCs/>
          <w:b/>
        </w:rPr>
        <w:t xml:space="preserve">…</w:t>
      </w:r>
    </w:p>
    <w:bookmarkEnd w:id="49"/>
    <w:bookmarkStart w:id="50" w:name="page-27"/>
    <w:p>
      <w:pPr>
        <w:pStyle w:val="Heading3"/>
      </w:pPr>
      <w:r>
        <w:t xml:space="preserve">Page 27</w:t>
      </w:r>
    </w:p>
    <w:p>
      <w:pPr>
        <w:pStyle w:val="FirstParagraph"/>
      </w:pPr>
      <w:r>
        <w:rPr>
          <w:bCs/>
          <w:b/>
        </w:rPr>
        <w:t xml:space="preserve">…at Rigveda Samhita 1-30-17; 8-5-2; 8-5-11; 8-8-1; 8-22-17 and similar,</w:t>
      </w:r>
      <w:r>
        <w:rPr>
          <w:bCs/>
          <w:b/>
        </w:rPr>
        <w:t xml:space="preserve"> </w:t>
      </w:r>
      <w:r>
        <w:rPr>
          <w:bCs/>
          <w:b/>
        </w:rPr>
        <w:t xml:space="preserve">“</w:t>
      </w:r>
      <w:r>
        <w:rPr>
          <w:bCs/>
          <w:b/>
        </w:rPr>
        <w:t xml:space="preserve">wonder-workers,</w:t>
      </w:r>
      <w:r>
        <w:rPr>
          <w:bCs/>
          <w:b/>
        </w:rPr>
        <w:t xml:space="preserve">”</w:t>
      </w:r>
      <w:r>
        <w:rPr>
          <w:bCs/>
          <w:b/>
        </w:rPr>
        <w:t xml:space="preserve"> </w:t>
      </w:r>
      <w:r>
        <w:rPr>
          <w:bCs/>
          <w:b/>
        </w:rPr>
        <w:t xml:space="preserve">those who perform wonderful deeds;</w:t>
      </w:r>
    </w:p>
    <w:p>
      <w:pPr>
        <w:pStyle w:val="BodyText"/>
      </w:pPr>
      <w:r>
        <w:rPr>
          <w:bCs/>
          <w:b/>
        </w:rPr>
        <w:t xml:space="preserve">at 1-46-2; 1-47-3; 1-47-6; 1-112-24; 1-116-10; 1-117-5; 1-117-21; 1-118-3 and similar,</w:t>
      </w:r>
      <w:r>
        <w:rPr>
          <w:bCs/>
          <w:b/>
        </w:rPr>
        <w:t xml:space="preserve"> </w:t>
      </w:r>
      <w:r>
        <w:rPr>
          <w:bCs/>
          <w:b/>
        </w:rPr>
        <w:t xml:space="preserve">“</w:t>
      </w:r>
      <w:r>
        <w:rPr>
          <w:bCs/>
          <w:b/>
        </w:rPr>
        <w:t xml:space="preserve">beneficent,</w:t>
      </w:r>
      <w:r>
        <w:rPr>
          <w:bCs/>
          <w:b/>
        </w:rPr>
        <w:t xml:space="preserve">”</w:t>
      </w:r>
      <w:r>
        <w:rPr>
          <w:bCs/>
          <w:b/>
        </w:rPr>
        <w:t xml:space="preserve"> </w:t>
      </w:r>
      <w:r>
        <w:rPr>
          <w:bCs/>
          <w:b/>
        </w:rPr>
        <w:t xml:space="preserve">generous or helpful;</w:t>
      </w:r>
    </w:p>
    <w:p>
      <w:pPr>
        <w:pStyle w:val="BodyText"/>
      </w:pPr>
      <w:r>
        <w:rPr>
          <w:bCs/>
          <w:b/>
        </w:rPr>
        <w:t xml:space="preserve">at 1-116-16; 1-117-20 and similar,</w:t>
      </w:r>
      <w:r>
        <w:rPr>
          <w:bCs/>
          <w:b/>
        </w:rPr>
        <w:t xml:space="preserve"> </w:t>
      </w:r>
      <w:r>
        <w:rPr>
          <w:bCs/>
          <w:b/>
        </w:rPr>
        <w:t xml:space="preserve">“</w:t>
      </w:r>
      <w:r>
        <w:rPr>
          <w:bCs/>
          <w:b/>
        </w:rPr>
        <w:t xml:space="preserve">good-looking,</w:t>
      </w:r>
      <w:r>
        <w:rPr>
          <w:bCs/>
          <w:b/>
        </w:rPr>
        <w:t xml:space="preserve">”</w:t>
      </w:r>
      <w:r>
        <w:rPr>
          <w:bCs/>
          <w:b/>
        </w:rPr>
        <w:t xml:space="preserve"> </w:t>
      </w:r>
      <w:r>
        <w:rPr>
          <w:bCs/>
          <w:b/>
        </w:rPr>
        <w:t xml:space="preserve">beautiful to behold;</w:t>
      </w:r>
    </w:p>
    <w:p>
      <w:pPr>
        <w:pStyle w:val="BodyText"/>
      </w:pPr>
      <w:r>
        <w:rPr>
          <w:bCs/>
          <w:b/>
        </w:rPr>
        <w:t xml:space="preserve">at 7-69-3; 8-87-5 and similar,</w:t>
      </w:r>
      <w:r>
        <w:rPr>
          <w:bCs/>
          <w:b/>
        </w:rPr>
        <w:t xml:space="preserve"> </w:t>
      </w:r>
      <w:r>
        <w:rPr>
          <w:bCs/>
          <w:b/>
        </w:rPr>
        <w:t xml:space="preserve">“</w:t>
      </w:r>
      <w:r>
        <w:rPr>
          <w:bCs/>
          <w:b/>
        </w:rPr>
        <w:t xml:space="preserve">destroyers</w:t>
      </w:r>
      <w:r>
        <w:rPr>
          <w:bCs/>
          <w:b/>
        </w:rPr>
        <w:t xml:space="preserve">”</w:t>
      </w:r>
      <w:r>
        <w:rPr>
          <w:bCs/>
          <w:b/>
        </w:rPr>
        <w:t xml:space="preserve"> </w:t>
      </w:r>
      <w:r>
        <w:rPr>
          <w:bCs/>
          <w:b/>
        </w:rPr>
        <w:t xml:space="preserve">of enemies or disease — various senses given by Ludwig himself across different mantras.</w:t>
      </w:r>
      <w:r>
        <w:t xml:space="preserve"> </w:t>
      </w:r>
      <w:r>
        <w:rPr>
          <w:bCs/>
          <w:b/>
        </w:rPr>
        <w:t xml:space="preserve">Geldner similarly offers</w:t>
      </w:r>
      <w:r>
        <w:rPr>
          <w:bCs/>
          <w:b/>
        </w:rPr>
        <w:t xml:space="preserve"> </w:t>
      </w:r>
      <w:r>
        <w:rPr>
          <w:bCs/>
          <w:b/>
        </w:rPr>
        <w:t xml:space="preserve">“</w:t>
      </w:r>
      <w:r>
        <w:rPr>
          <w:bCs/>
          <w:b/>
        </w:rPr>
        <w:t xml:space="preserve">master worker, able, dexterous, possessing supernatural strength</w:t>
      </w:r>
      <w:r>
        <w:rPr>
          <w:bCs/>
          <w:b/>
        </w:rPr>
        <w:t xml:space="preserve">”</w:t>
      </w:r>
      <w:r>
        <w:rPr>
          <w:bCs/>
          <w:b/>
        </w:rPr>
        <w:t xml:space="preserve">; Langlois and Griffith likewise construct differing senses.</w:t>
      </w:r>
      <w:r>
        <w:t xml:space="preserve"> </w:t>
      </w:r>
      <w:r>
        <w:rPr>
          <w:bCs/>
          <w:b/>
        </w:rPr>
        <w:t xml:space="preserve">But many hold that, since</w:t>
      </w:r>
      <w:r>
        <w:rPr>
          <w:bCs/>
          <w:b/>
        </w:rPr>
        <w:t xml:space="preserve"> </w:t>
      </w:r>
      <w:r>
        <w:rPr>
          <w:bCs/>
          <w:b/>
        </w:rPr>
        <w:t xml:space="preserve">“</w:t>
      </w:r>
      <w:r>
        <w:rPr>
          <w:bCs/>
          <w:b/>
        </w:rPr>
        <w:t xml:space="preserve">dasrā</w:t>
      </w:r>
      <w:r>
        <w:rPr>
          <w:bCs/>
          <w:b/>
        </w:rPr>
        <w:t xml:space="preserve">”</w:t>
      </w:r>
      <w:r>
        <w:rPr>
          <w:bCs/>
          <w:b/>
        </w:rPr>
        <w:t xml:space="preserve"> </w:t>
      </w:r>
      <w:r>
        <w:rPr>
          <w:bCs/>
          <w:b/>
        </w:rPr>
        <w:t xml:space="preserve">derives from the root</w:t>
      </w:r>
      <w:r>
        <w:rPr>
          <w:bCs/>
          <w:b/>
        </w:rPr>
        <w:t xml:space="preserve"> </w:t>
      </w:r>
      <w:r>
        <w:rPr>
          <w:bCs/>
          <w:b/>
        </w:rPr>
        <w:t xml:space="preserve">“</w:t>
      </w:r>
      <w:r>
        <w:rPr>
          <w:bCs/>
          <w:b/>
        </w:rPr>
        <w:t xml:space="preserve">dṛś</w:t>
      </w:r>
      <w:r>
        <w:rPr>
          <w:bCs/>
          <w:b/>
        </w:rPr>
        <w:t xml:space="preserve">”</w:t>
      </w:r>
      <w:r>
        <w:rPr>
          <w:bCs/>
          <w:b/>
        </w:rPr>
        <w:t xml:space="preserve"> </w:t>
      </w:r>
      <w:r>
        <w:rPr>
          <w:bCs/>
          <w:b/>
        </w:rPr>
        <w:t xml:space="preserve">(to see), the sense</w:t>
      </w:r>
      <w:r>
        <w:rPr>
          <w:bCs/>
          <w:b/>
        </w:rPr>
        <w:t xml:space="preserve"> </w:t>
      </w:r>
      <w:r>
        <w:rPr>
          <w:bCs/>
          <w:b/>
        </w:rPr>
        <w:t xml:space="preserve">“</w:t>
      </w:r>
      <w:r>
        <w:rPr>
          <w:bCs/>
          <w:b/>
        </w:rPr>
        <w:t xml:space="preserve">worth seeing</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of beautiful form</w:t>
      </w:r>
      <w:r>
        <w:rPr>
          <w:bCs/>
          <w:b/>
        </w:rPr>
        <w:t xml:space="preserve">”</w:t>
      </w:r>
      <w:r>
        <w:rPr>
          <w:bCs/>
          <w:b/>
        </w:rPr>
        <w:t xml:space="preserve"> </w:t>
      </w:r>
      <w:r>
        <w:rPr>
          <w:bCs/>
          <w:b/>
        </w:rPr>
        <w:t xml:space="preserve">is the most fitting one.</w:t>
      </w:r>
    </w:p>
    <w:p>
      <w:r>
        <w:pict>
          <v:rect style="width:0;height:1.5pt" o:hralign="center" o:hrstd="t" o:hr="t"/>
        </w:pict>
      </w:r>
    </w:p>
    <w:p>
      <w:pPr>
        <w:pStyle w:val="FirstParagraph"/>
      </w:pPr>
      <w:r>
        <w:rPr>
          <w:bCs/>
          <w:b/>
        </w:rPr>
        <w:t xml:space="preserve">“</w:t>
      </w:r>
      <w:r>
        <w:rPr>
          <w:bCs/>
          <w:b/>
        </w:rPr>
        <w:t xml:space="preserve">Yuvākavaḥ</w:t>
      </w:r>
      <w:r>
        <w:rPr>
          <w:bCs/>
          <w:b/>
        </w:rPr>
        <w:t xml:space="preserve">”</w:t>
      </w:r>
      <w:r>
        <w:t xml:space="preserve"> </w:t>
      </w:r>
      <w:r>
        <w:t xml:space="preserve">— Sayanacharya derives this from the root</w:t>
      </w:r>
      <w:r>
        <w:t xml:space="preserve"> </w:t>
      </w:r>
      <w:r>
        <w:t xml:space="preserve">“</w:t>
      </w:r>
      <w:r>
        <w:t xml:space="preserve">yu</w:t>
      </w:r>
      <w:r>
        <w:t xml:space="preserve">”</w:t>
      </w:r>
      <w:r>
        <w:t xml:space="preserve"> </w:t>
      </w:r>
      <w:r>
        <w:t xml:space="preserve">(to mix), glossing it</w:t>
      </w:r>
      <w:r>
        <w:t xml:space="preserve"> </w:t>
      </w:r>
      <w:r>
        <w:t xml:space="preserve">“</w:t>
      </w:r>
      <w:r>
        <w:t xml:space="preserve">mixed.</w:t>
      </w:r>
      <w:r>
        <w:t xml:space="preserve">”</w:t>
      </w:r>
      <w:r>
        <w:t xml:space="preserve"> </w:t>
      </w:r>
      <w:r>
        <w:rPr>
          <w:bCs/>
          <w:b/>
        </w:rPr>
        <w:t xml:space="preserve">The</w:t>
      </w:r>
      <w:r>
        <w:rPr>
          <w:bCs/>
          <w:b/>
        </w:rPr>
        <w:t xml:space="preserve"> </w:t>
      </w:r>
      <w:r>
        <w:rPr>
          <w:bCs/>
          <w:b/>
        </w:rPr>
        <w:t xml:space="preserve">“</w:t>
      </w:r>
      <w:r>
        <w:rPr>
          <w:bCs/>
          <w:b/>
        </w:rPr>
        <w:t xml:space="preserve">mixture-substances</w:t>
      </w:r>
      <w:r>
        <w:rPr>
          <w:bCs/>
          <w:b/>
        </w:rPr>
        <w:t xml:space="preserve">”</w:t>
      </w:r>
      <w:r>
        <w:rPr>
          <w:bCs/>
          <w:b/>
        </w:rPr>
        <w:t xml:space="preserve"> </w:t>
      </w:r>
      <w:r>
        <w:rPr>
          <w:bCs/>
          <w:b/>
        </w:rPr>
        <w:t xml:space="preserve">referred to are cow’s milk, curds, barley, and similar admixtures — a topic already treated at length in Volume 1 (pages 674–676).</w:t>
      </w:r>
      <w:r>
        <w:t xml:space="preserve"> </w:t>
      </w:r>
      <w:r>
        <w:rPr>
          <w:bCs/>
          <w:b/>
        </w:rPr>
        <w:t xml:space="preserve">Skandasvāmī gives:</w:t>
      </w:r>
      <w:r>
        <w:rPr>
          <w:bCs/>
          <w:b/>
        </w:rPr>
        <w:t xml:space="preserve"> </w:t>
      </w:r>
      <w:r>
        <w:rPr>
          <w:bCs/>
          <w:b/>
        </w:rPr>
        <w:t xml:space="preserve">“</w:t>
      </w:r>
      <w:r>
        <w:rPr>
          <w:bCs/>
          <w:b/>
        </w:rPr>
        <w:t xml:space="preserve">yuvāṃ kāmayante iti yuvākavaḥ</w:t>
      </w:r>
      <w:r>
        <w:rPr>
          <w:bCs/>
          <w:b/>
        </w:rPr>
        <w:t xml:space="preserve">”</w:t>
      </w:r>
      <w:r>
        <w:rPr>
          <w:bCs/>
          <w:b/>
        </w:rPr>
        <w:t xml:space="preserve"> </w:t>
      </w:r>
      <w:r>
        <w:rPr>
          <w:bCs/>
          <w:b/>
        </w:rPr>
        <w:t xml:space="preserve">—</w:t>
      </w:r>
      <w:r>
        <w:rPr>
          <w:bCs/>
          <w:b/>
        </w:rPr>
        <w:t xml:space="preserve"> </w:t>
      </w:r>
      <w:r>
        <w:rPr>
          <w:bCs/>
          <w:b/>
        </w:rPr>
        <w:t xml:space="preserve">“</w:t>
      </w:r>
      <w:r>
        <w:rPr>
          <w:bCs/>
          <w:b/>
        </w:rPr>
        <w:t xml:space="preserve">those who desire to drink you</w:t>
      </w:r>
      <w:r>
        <w:rPr>
          <w:bCs/>
          <w:b/>
        </w:rPr>
        <w:t xml:space="preserve">”</w:t>
      </w:r>
      <w:r>
        <w:rPr>
          <w:bCs/>
          <w:b/>
        </w:rPr>
        <w:t xml:space="preserve"> </w:t>
      </w:r>
      <w:r>
        <w:rPr>
          <w:bCs/>
          <w:b/>
        </w:rPr>
        <w:t xml:space="preserve">— meaning</w:t>
      </w:r>
      <w:r>
        <w:rPr>
          <w:bCs/>
          <w:b/>
        </w:rPr>
        <w:t xml:space="preserve"> </w:t>
      </w:r>
      <w:r>
        <w:rPr>
          <w:bCs/>
          <w:b/>
        </w:rPr>
        <w:t xml:space="preserve">“</w:t>
      </w:r>
      <w:r>
        <w:rPr>
          <w:bCs/>
          <w:b/>
        </w:rPr>
        <w:t xml:space="preserve">dear to you.</w:t>
      </w:r>
      <w:r>
        <w:rPr>
          <w:bCs/>
          <w:b/>
        </w:rPr>
        <w:t xml:space="preserve">”</w:t>
      </w:r>
      <w:r>
        <w:t xml:space="preserve"> </w:t>
      </w:r>
      <w:r>
        <w:t xml:space="preserve">Veṅkaṭamādhava endorses this same sense;</w:t>
      </w:r>
      <w:r>
        <w:t xml:space="preserve"> </w:t>
      </w:r>
      <w:r>
        <w:rPr>
          <w:bCs/>
          <w:b/>
        </w:rPr>
        <w:t xml:space="preserve">Uvvaṭa and Mahīdhara, commentators on the Vajasaneya Samhita, explain the corresponding word at Vājasaneya Saṃhitā 33-58 the same way.</w:t>
      </w:r>
      <w:r>
        <w:t xml:space="preserve"> </w:t>
      </w:r>
      <w:r>
        <w:t xml:space="preserve">Western scholars broadly agree.</w:t>
      </w:r>
      <w:r>
        <w:t xml:space="preserve"> </w:t>
      </w:r>
      <w:r>
        <w:rPr>
          <w:bCs/>
          <w:b/>
        </w:rPr>
        <w:t xml:space="preserve">Sayanacharya himself, in other mantras — 1-120-3; 1-120-9; 3-58-9; 3-60-3; 7-67-4; 7-68-1; 7-68-7 — glosses this same word as</w:t>
      </w:r>
      <w:r>
        <w:rPr>
          <w:bCs/>
          <w:b/>
        </w:rPr>
        <w:t xml:space="preserve"> </w:t>
      </w:r>
      <w:r>
        <w:rPr>
          <w:bCs/>
          <w:b/>
        </w:rPr>
        <w:t xml:space="preserve">“</w:t>
      </w:r>
      <w:r>
        <w:rPr>
          <w:bCs/>
          <w:b/>
        </w:rPr>
        <w:t xml:space="preserve">yuvāṃ kāmayamāna,</w:t>
      </w:r>
      <w:r>
        <w:rPr>
          <w:bCs/>
          <w:b/>
        </w:rPr>
        <w:t xml:space="preserve">”</w:t>
      </w:r>
      <w:r>
        <w:rPr>
          <w:bCs/>
          <w:b/>
        </w:rPr>
        <w:t xml:space="preserve"> </w:t>
      </w:r>
      <w:r>
        <w:rPr>
          <w:bCs/>
          <w:b/>
        </w:rPr>
        <w:t xml:space="preserve">“</w:t>
      </w:r>
      <w:r>
        <w:rPr>
          <w:bCs/>
          <w:b/>
        </w:rPr>
        <w:t xml:space="preserve">that which you desire.</w:t>
      </w:r>
      <w:r>
        <w:rPr>
          <w:bCs/>
          <w:b/>
        </w:rPr>
        <w:t xml:space="preserve">”</w:t>
      </w:r>
    </w:p>
    <w:p>
      <w:pPr>
        <w:pStyle w:val="BodyText"/>
      </w:pPr>
      <w:r>
        <w:rPr>
          <w:bCs/>
          <w:b/>
        </w:rPr>
        <w:t xml:space="preserve">The word</w:t>
      </w:r>
      <w:r>
        <w:rPr>
          <w:bCs/>
          <w:b/>
        </w:rPr>
        <w:t xml:space="preserve"> </w:t>
      </w:r>
      <w:r>
        <w:rPr>
          <w:bCs/>
          <w:b/>
        </w:rPr>
        <w:t xml:space="preserve">“</w:t>
      </w:r>
      <w:r>
        <w:rPr>
          <w:bCs/>
          <w:b/>
        </w:rPr>
        <w:t xml:space="preserve">yuvāku</w:t>
      </w:r>
      <w:r>
        <w:rPr>
          <w:bCs/>
          <w:b/>
        </w:rPr>
        <w:t xml:space="preserve">”</w:t>
      </w:r>
      <w:r>
        <w:rPr>
          <w:bCs/>
          <w:b/>
        </w:rPr>
        <w:t xml:space="preserve"> </w:t>
      </w:r>
      <w:r>
        <w:rPr>
          <w:bCs/>
          <w:b/>
        </w:rPr>
        <w:t xml:space="preserve">is used in seven places in the Rigveda, but</w:t>
      </w:r>
      <w:r>
        <w:rPr>
          <w:bCs/>
          <w:b/>
        </w:rPr>
        <w:t xml:space="preserve"> </w:t>
      </w:r>
      <w:r>
        <w:rPr>
          <w:bCs/>
          <w:b/>
        </w:rPr>
        <w:t xml:space="preserve">“</w:t>
      </w:r>
      <w:r>
        <w:rPr>
          <w:bCs/>
          <w:b/>
        </w:rPr>
        <w:t xml:space="preserve">yuvākavaḥ</w:t>
      </w:r>
      <w:r>
        <w:rPr>
          <w:bCs/>
          <w:b/>
        </w:rPr>
        <w:t xml:space="preserve">”</w:t>
      </w:r>
      <w:r>
        <w:rPr>
          <w:bCs/>
          <w:b/>
        </w:rPr>
        <w:t xml:space="preserve"> </w:t>
      </w:r>
      <w:r>
        <w:rPr>
          <w:bCs/>
          <w:b/>
        </w:rPr>
        <w:t xml:space="preserve">occurs only in this one mantra, nowhere else.</w:t>
      </w:r>
      <w:r>
        <w:t xml:space="preserve"> </w:t>
      </w:r>
      <w:r>
        <w:t xml:space="preserve">A few further examples where</w:t>
      </w:r>
      <w:r>
        <w:t xml:space="preserve"> </w:t>
      </w:r>
      <w:r>
        <w:t xml:space="preserve">“</w:t>
      </w:r>
      <w:r>
        <w:t xml:space="preserve">yuvāka</w:t>
      </w:r>
      <w:r>
        <w:t xml:space="preserve">”</w:t>
      </w:r>
      <w:r>
        <w:t xml:space="preserve"> </w:t>
      </w:r>
      <w:r>
        <w:t xml:space="preserve">combines with other words in the sense</w:t>
      </w:r>
      <w:r>
        <w:t xml:space="preserve"> </w:t>
      </w:r>
      <w:r>
        <w:t xml:space="preserve">“</w:t>
      </w:r>
      <w:r>
        <w:t xml:space="preserve">your</w:t>
      </w:r>
      <w:r>
        <w:t xml:space="preserve">”</w:t>
      </w:r>
      <w:r>
        <w:t xml:space="preserve"> </w:t>
      </w:r>
      <w:r>
        <w:t xml:space="preserve">are given below:</w:t>
      </w:r>
    </w:p>
    <w:p>
      <w:pPr>
        <w:numPr>
          <w:ilvl w:val="0"/>
          <w:numId w:val="1003"/>
        </w:numPr>
        <w:pStyle w:val="Compact"/>
      </w:pPr>
      <w:r>
        <w:rPr>
          <w:bCs/>
          <w:b/>
        </w:rPr>
        <w:t xml:space="preserve">yuvānītasya</w:t>
      </w:r>
      <w:r>
        <w:t xml:space="preserve"> </w:t>
      </w:r>
      <w:r>
        <w:t xml:space="preserve">(Rigveda Samhita 8-26-12) —</w:t>
      </w:r>
      <w:r>
        <w:t xml:space="preserve"> </w:t>
      </w:r>
      <w:r>
        <w:rPr>
          <w:bCs/>
          <w:b/>
        </w:rPr>
        <w:t xml:space="preserve">yuvādattasya</w:t>
      </w:r>
      <w:r>
        <w:t xml:space="preserve"> </w:t>
      </w:r>
      <w:r>
        <w:t xml:space="preserve">(Rigveda Samhita 8-26-12)</w:t>
      </w:r>
    </w:p>
    <w:p>
      <w:pPr>
        <w:numPr>
          <w:ilvl w:val="0"/>
          <w:numId w:val="1003"/>
        </w:numPr>
        <w:pStyle w:val="Compact"/>
      </w:pPr>
      <w:r>
        <w:rPr>
          <w:bCs/>
          <w:b/>
        </w:rPr>
        <w:t xml:space="preserve">yuvāyavaḥ</w:t>
      </w:r>
      <w:r>
        <w:t xml:space="preserve"> </w:t>
      </w:r>
      <w:r>
        <w:t xml:space="preserve">(Rigveda Samhita 1-135-6) —</w:t>
      </w:r>
      <w:r>
        <w:t xml:space="preserve"> </w:t>
      </w:r>
      <w:r>
        <w:rPr>
          <w:bCs/>
          <w:b/>
        </w:rPr>
        <w:t xml:space="preserve">yuvāyujaṃ</w:t>
      </w:r>
      <w:r>
        <w:t xml:space="preserve"> </w:t>
      </w:r>
      <w:r>
        <w:t xml:space="preserve">(Rigveda Samhita 1-119-5)</w:t>
      </w:r>
    </w:p>
    <w:p>
      <w:pPr>
        <w:numPr>
          <w:ilvl w:val="0"/>
          <w:numId w:val="1003"/>
        </w:numPr>
        <w:pStyle w:val="Compact"/>
      </w:pPr>
      <w:r>
        <w:rPr>
          <w:bCs/>
          <w:b/>
        </w:rPr>
        <w:t xml:space="preserve">yuvāvate</w:t>
      </w:r>
      <w:r>
        <w:t xml:space="preserve"> </w:t>
      </w:r>
      <w:r>
        <w:t xml:space="preserve">(Rigveda Samhita 3-62-1)</w:t>
      </w:r>
    </w:p>
    <w:p>
      <w:pPr>
        <w:pStyle w:val="FirstParagraph"/>
      </w:pPr>
      <w:r>
        <w:rPr>
          <w:bCs/>
          <w:b/>
        </w:rPr>
        <w:t xml:space="preserve">In the first two words of this list, the usage carries the same sense as</w:t>
      </w:r>
      <w:r>
        <w:rPr>
          <w:bCs/>
          <w:b/>
        </w:rPr>
        <w:t xml:space="preserve"> </w:t>
      </w:r>
      <w:r>
        <w:rPr>
          <w:bCs/>
          <w:b/>
        </w:rPr>
        <w:t xml:space="preserve">“</w:t>
      </w:r>
      <w:r>
        <w:rPr>
          <w:bCs/>
          <w:b/>
        </w:rPr>
        <w:t xml:space="preserve">yuṣmān-ītaḥ</w:t>
      </w:r>
      <w:r>
        <w:rPr>
          <w:bCs/>
          <w:b/>
        </w:rPr>
        <w:t xml:space="preserve">”</w:t>
      </w:r>
      <w:r>
        <w:rPr>
          <w:bCs/>
          <w:b/>
        </w:rPr>
        <w:t xml:space="preserve">…</w:t>
      </w:r>
    </w:p>
    <w:bookmarkEnd w:id="50"/>
    <w:bookmarkStart w:id="51" w:name="page-28"/>
    <w:p>
      <w:pPr>
        <w:pStyle w:val="Heading3"/>
      </w:pPr>
      <w:r>
        <w:t xml:space="preserve">Page 28</w:t>
      </w:r>
    </w:p>
    <w:p>
      <w:pPr>
        <w:pStyle w:val="FirstParagraph"/>
      </w:pPr>
      <w:r>
        <w:rPr>
          <w:bCs/>
          <w:b/>
        </w:rPr>
        <w:t xml:space="preserve">…at Rigveda Samhita 2-27-11;</w:t>
      </w:r>
      <w:r>
        <w:rPr>
          <w:bCs/>
          <w:b/>
        </w:rPr>
        <w:t xml:space="preserve"> </w:t>
      </w:r>
      <w:r>
        <w:rPr>
          <w:bCs/>
          <w:b/>
        </w:rPr>
        <w:t xml:space="preserve">“</w:t>
      </w:r>
      <w:r>
        <w:rPr>
          <w:bCs/>
          <w:b/>
        </w:rPr>
        <w:t xml:space="preserve">yuṣmādattasya</w:t>
      </w:r>
      <w:r>
        <w:rPr>
          <w:bCs/>
          <w:b/>
        </w:rPr>
        <w:t xml:space="preserve">”</w:t>
      </w:r>
      <w:r>
        <w:rPr>
          <w:bCs/>
          <w:b/>
        </w:rPr>
        <w:t xml:space="preserve"> </w:t>
      </w:r>
      <w:r>
        <w:rPr>
          <w:bCs/>
          <w:b/>
        </w:rPr>
        <w:t xml:space="preserve">at 5-54-13; 8-47-6 — these related forms are also well established.</w:t>
      </w:r>
    </w:p>
    <w:p>
      <w:pPr>
        <w:pStyle w:val="BodyText"/>
      </w:pPr>
      <w:r>
        <w:rPr>
          <w:bCs/>
          <w:b/>
        </w:rPr>
        <w:t xml:space="preserve">“</w:t>
      </w:r>
      <w:r>
        <w:rPr>
          <w:bCs/>
          <w:b/>
        </w:rPr>
        <w:t xml:space="preserve">Sutāḥ</w:t>
      </w:r>
      <w:r>
        <w:rPr>
          <w:bCs/>
          <w:b/>
        </w:rPr>
        <w:t xml:space="preserve">”</w:t>
      </w:r>
      <w:r>
        <w:t xml:space="preserve"> </w:t>
      </w:r>
      <w:r>
        <w:t xml:space="preserve">— this word means</w:t>
      </w:r>
      <w:r>
        <w:t xml:space="preserve"> </w:t>
      </w:r>
      <w:r>
        <w:t xml:space="preserve">“</w:t>
      </w:r>
      <w:r>
        <w:t xml:space="preserve">pressed out, extracted.</w:t>
      </w:r>
      <w:r>
        <w:t xml:space="preserve">”</w:t>
      </w:r>
      <w:r>
        <w:t xml:space="preserve"> </w:t>
      </w:r>
      <w:r>
        <w:t xml:space="preserve">When the Soma creeper is crushed with stones (grāvāṇa) and its juice extracted, the Rigveda customarily calls that extracted juice</w:t>
      </w:r>
      <w:r>
        <w:t xml:space="preserve"> </w:t>
      </w:r>
      <w:r>
        <w:t xml:space="preserve">“</w:t>
      </w:r>
      <w:r>
        <w:t xml:space="preserve">suta.</w:t>
      </w:r>
      <w:r>
        <w:t xml:space="preserve">”</w:t>
      </w:r>
      <w:r>
        <w:t xml:space="preserve"> </w:t>
      </w:r>
      <w:r>
        <w:rPr>
          <w:iCs/>
          <w:i/>
        </w:rPr>
        <w:t xml:space="preserve">(In modern Sanskrit,</w:t>
      </w:r>
      <w:r>
        <w:rPr>
          <w:iCs/>
          <w:i/>
        </w:rPr>
        <w:t xml:space="preserve"> </w:t>
      </w:r>
      <w:r>
        <w:rPr>
          <w:iCs/>
          <w:i/>
        </w:rPr>
        <w:t xml:space="preserve">“</w:t>
      </w:r>
      <w:r>
        <w:rPr>
          <w:iCs/>
          <w:i/>
        </w:rPr>
        <w:t xml:space="preserve">suta</w:t>
      </w:r>
      <w:r>
        <w:rPr>
          <w:iCs/>
          <w:i/>
        </w:rPr>
        <w:t xml:space="preserve">”</w:t>
      </w:r>
      <w:r>
        <w:rPr>
          <w:iCs/>
          <w:i/>
        </w:rPr>
        <w:t xml:space="preserve"> </w:t>
      </w:r>
      <w:r>
        <w:rPr>
          <w:iCs/>
          <w:i/>
        </w:rPr>
        <w:t xml:space="preserve">instead means</w:t>
      </w:r>
      <w:r>
        <w:rPr>
          <w:iCs/>
          <w:i/>
        </w:rPr>
        <w:t xml:space="preserve"> </w:t>
      </w:r>
      <w:r>
        <w:rPr>
          <w:iCs/>
          <w:i/>
        </w:rPr>
        <w:t xml:space="preserve">“</w:t>
      </w:r>
      <w:r>
        <w:rPr>
          <w:iCs/>
          <w:i/>
        </w:rPr>
        <w:t xml:space="preserve">son.</w:t>
      </w:r>
      <w:r>
        <w:rPr>
          <w:iCs/>
          <w:i/>
        </w:rPr>
        <w:t xml:space="preserve">”</w:t>
      </w:r>
      <w:r>
        <w:rPr>
          <w:iCs/>
          <w:i/>
        </w:rPr>
        <w:t xml:space="preserve">)</w:t>
      </w:r>
    </w:p>
    <w:p>
      <w:pPr>
        <w:pStyle w:val="BodyText"/>
      </w:pPr>
      <w:r>
        <w:rPr>
          <w:bCs/>
          <w:b/>
        </w:rPr>
        <w:t xml:space="preserve">“</w:t>
      </w:r>
      <w:r>
        <w:rPr>
          <w:bCs/>
          <w:b/>
        </w:rPr>
        <w:t xml:space="preserve">Nāsatyā</w:t>
      </w:r>
      <w:r>
        <w:rPr>
          <w:bCs/>
          <w:b/>
        </w:rPr>
        <w:t xml:space="preserve">”</w:t>
      </w:r>
      <w:r>
        <w:t xml:space="preserve"> </w:t>
      </w:r>
      <w:r>
        <w:t xml:space="preserve">— a word naming the Ashvin deities; strictly it needs no component-meaning.</w:t>
      </w:r>
      <w:r>
        <w:t xml:space="preserve"> </w:t>
      </w:r>
      <w:r>
        <w:rPr>
          <w:bCs/>
          <w:b/>
        </w:rPr>
        <w:t xml:space="preserve">Still, the Bhashyakara explains it:</w:t>
      </w:r>
      <w:r>
        <w:rPr>
          <w:bCs/>
          <w:b/>
        </w:rPr>
        <w:t xml:space="preserve"> </w:t>
      </w:r>
      <w:r>
        <w:rPr>
          <w:bCs/>
          <w:b/>
        </w:rPr>
        <w:t xml:space="preserve">“</w:t>
      </w:r>
      <w:r>
        <w:rPr>
          <w:bCs/>
          <w:b/>
        </w:rPr>
        <w:t xml:space="preserve">asatyam anṛta-bhāṣaṇaṃ tad-rahitau</w:t>
      </w:r>
      <w:r>
        <w:rPr>
          <w:bCs/>
          <w:b/>
        </w:rPr>
        <w:t xml:space="preserve">”</w:t>
      </w:r>
      <w:r>
        <w:t xml:space="preserve"> </w:t>
      </w:r>
      <w:r>
        <w:t xml:space="preserve">(</w:t>
      </w:r>
      <w:r>
        <w:t xml:space="preserve">“</w:t>
      </w:r>
      <w:r>
        <w:t xml:space="preserve">free of false speech</w:t>
      </w:r>
      <w:r>
        <w:t xml:space="preserve">”</w:t>
      </w:r>
      <w:r>
        <w:t xml:space="preserve">), citing two authoritative passages from Yāska:</w:t>
      </w:r>
      <w:r>
        <w:t xml:space="preserve"> </w:t>
      </w:r>
      <w:r>
        <w:t xml:space="preserve">“</w:t>
      </w:r>
      <w:r>
        <w:rPr>
          <w:bCs/>
          <w:b/>
        </w:rPr>
        <w:t xml:space="preserve">satyā eva nāsatyāv ity aurṇavābhaḥ | satyasya praṇetārāv ity āgrāyaṇaḥ</w:t>
      </w:r>
      <w:r>
        <w:t xml:space="preserve">”</w:t>
      </w:r>
      <w:r>
        <w:t xml:space="preserve"> </w:t>
      </w:r>
      <w:r>
        <w:t xml:space="preserve">(the first is Aurṇavābha’s view, the second Āgrāyaṇa’s)</w:t>
      </w:r>
      <w:r>
        <w:t xml:space="preserve"> </w:t>
      </w:r>
      <w:r>
        <w:rPr>
          <w:bCs/>
          <w:b/>
        </w:rPr>
        <w:t xml:space="preserve">Though different scholars follow different derivational paths for this word, there is unanimity on its meaning.</w:t>
      </w:r>
    </w:p>
    <w:p>
      <w:pPr>
        <w:pStyle w:val="BodyText"/>
      </w:pPr>
      <w:r>
        <w:rPr>
          <w:bCs/>
          <w:b/>
        </w:rPr>
        <w:t xml:space="preserve">“</w:t>
      </w:r>
      <w:r>
        <w:rPr>
          <w:bCs/>
          <w:b/>
        </w:rPr>
        <w:t xml:space="preserve">Vṛktabarhiṣaḥ</w:t>
      </w:r>
      <w:r>
        <w:rPr>
          <w:bCs/>
          <w:b/>
        </w:rPr>
        <w:t xml:space="preserve">”</w:t>
      </w:r>
      <w:r>
        <w:t xml:space="preserve"> </w:t>
      </w:r>
      <w:r>
        <w:t xml:space="preserve">— this word is middle-udātta at Rigveda Samhita 1-3-3; 1-14-5 and others, 19 places in all; fully unaccented in three places, 1-38-1; 8-7-20; 8-7-21.</w:t>
      </w:r>
      <w:r>
        <w:t xml:space="preserve"> </w:t>
      </w:r>
      <w:r>
        <w:rPr>
          <w:bCs/>
          <w:b/>
        </w:rPr>
        <w:t xml:space="preserve">Related forms —</w:t>
      </w:r>
      <w:r>
        <w:rPr>
          <w:bCs/>
          <w:b/>
        </w:rPr>
        <w:t xml:space="preserve"> </w:t>
      </w:r>
      <w:r>
        <w:rPr>
          <w:bCs/>
          <w:b/>
        </w:rPr>
        <w:t xml:space="preserve">“</w:t>
      </w:r>
      <w:r>
        <w:rPr>
          <w:bCs/>
          <w:b/>
        </w:rPr>
        <w:t xml:space="preserve">vṛktabarhiṣam</w:t>
      </w:r>
      <w:r>
        <w:rPr>
          <w:bCs/>
          <w:b/>
        </w:rPr>
        <w:t xml:space="preserve">”</w:t>
      </w:r>
      <w:r>
        <w:rPr>
          <w:bCs/>
          <w:b/>
        </w:rPr>
        <w:t xml:space="preserve"> </w:t>
      </w:r>
      <w:r>
        <w:rPr>
          <w:bCs/>
          <w:b/>
        </w:rPr>
        <w:t xml:space="preserve">at 1-40-7, and</w:t>
      </w:r>
      <w:r>
        <w:rPr>
          <w:bCs/>
          <w:b/>
        </w:rPr>
        <w:t xml:space="preserve"> </w:t>
      </w:r>
      <w:r>
        <w:rPr>
          <w:bCs/>
          <w:b/>
        </w:rPr>
        <w:t xml:space="preserve">“</w:t>
      </w:r>
      <w:r>
        <w:rPr>
          <w:bCs/>
          <w:b/>
        </w:rPr>
        <w:t xml:space="preserve">vṛktabarhiṣe</w:t>
      </w:r>
      <w:r>
        <w:rPr>
          <w:bCs/>
          <w:b/>
        </w:rPr>
        <w:t xml:space="preserve">”</w:t>
      </w:r>
      <w:r>
        <w:rPr>
          <w:bCs/>
          <w:b/>
        </w:rPr>
        <w:t xml:space="preserve"> </w:t>
      </w:r>
      <w:r>
        <w:rPr>
          <w:bCs/>
          <w:b/>
        </w:rPr>
        <w:t xml:space="preserve">at 1-12-3; 3-59-9; 10-61-15 — also occur. Sayana gives two readings:</w:t>
      </w:r>
      <w:r>
        <w:t xml:space="preserve"> </w:t>
      </w:r>
      <w:r>
        <w:t xml:space="preserve">“</w:t>
      </w:r>
      <w:r>
        <w:t xml:space="preserve">vṛktāni mūlyārjitāni barhīṃṣy āstaraṇa-rūpāṇi yeṣāṃ somānāṃ te vṛktabarhiṣaḥ</w:t>
      </w:r>
      <w:r>
        <w:t xml:space="preserve">”</w:t>
      </w:r>
      <w:r>
        <w:t xml:space="preserve"> </w:t>
      </w:r>
      <w:r>
        <w:t xml:space="preserve">—</w:t>
      </w:r>
      <w:r>
        <w:t xml:space="preserve"> </w:t>
      </w:r>
      <w:r>
        <w:t xml:space="preserve">“</w:t>
      </w:r>
      <w:r>
        <w:t xml:space="preserve">those Soma-portions whose kuśa-spreads have had their roots cut</w:t>
      </w:r>
      <w:r>
        <w:t xml:space="preserve">”</w:t>
      </w:r>
      <w:r>
        <w:t xml:space="preserve">; or, following a Rigveda citation beginning</w:t>
      </w:r>
      <w:r>
        <w:t xml:space="preserve"> </w:t>
      </w:r>
      <w:r>
        <w:t xml:space="preserve">“</w:t>
      </w:r>
      <w:r>
        <w:t xml:space="preserve">bharatā,</w:t>
      </w:r>
      <w:r>
        <w:t xml:space="preserve">”</w:t>
      </w:r>
      <w:r>
        <w:t xml:space="preserve"> </w:t>
      </w:r>
      <w:r>
        <w:t xml:space="preserve">read as a nominative in place of an instrumental, meaning</w:t>
      </w:r>
      <w:r>
        <w:t xml:space="preserve"> </w:t>
      </w:r>
      <w:r>
        <w:t xml:space="preserve">“</w:t>
      </w:r>
      <w:r>
        <w:t xml:space="preserve">the ritvij who approaches.</w:t>
      </w:r>
      <w:r>
        <w:t xml:space="preserve">”</w:t>
      </w:r>
      <w:r>
        <w:t xml:space="preserve"> </w:t>
      </w:r>
      <w:r>
        <w:rPr>
          <w:bCs/>
          <w:b/>
        </w:rPr>
        <w:t xml:space="preserve">That is: on one reading, the kuśa-grass with its root cut, spread out, with the Soma-vessel placed upon it; on the other,</w:t>
      </w:r>
      <w:r>
        <w:rPr>
          <w:bCs/>
          <w:b/>
        </w:rPr>
        <w:t xml:space="preserve"> </w:t>
      </w:r>
      <w:r>
        <w:rPr>
          <w:bCs/>
          <w:b/>
        </w:rPr>
        <w:t xml:space="preserve">“</w:t>
      </w:r>
      <w:r>
        <w:rPr>
          <w:bCs/>
          <w:b/>
        </w:rPr>
        <w:t xml:space="preserve">Vṛktabarhiṣa</w:t>
      </w:r>
      <w:r>
        <w:rPr>
          <w:bCs/>
          <w:b/>
        </w:rPr>
        <w:t xml:space="preserve">”</w:t>
      </w:r>
      <w:r>
        <w:rPr>
          <w:bCs/>
          <w:b/>
        </w:rPr>
        <w:t xml:space="preserve"> </w:t>
      </w:r>
      <w:r>
        <w:rPr>
          <w:bCs/>
          <w:b/>
        </w:rPr>
        <w:t xml:space="preserve">is one of the eight ritvij-names, and the phrase means</w:t>
      </w:r>
      <w:r>
        <w:rPr>
          <w:bCs/>
          <w:b/>
        </w:rPr>
        <w:t xml:space="preserve"> </w:t>
      </w:r>
      <w:r>
        <w:rPr>
          <w:bCs/>
          <w:b/>
        </w:rPr>
        <w:t xml:space="preserve">“</w:t>
      </w:r>
      <w:r>
        <w:rPr>
          <w:bCs/>
          <w:b/>
        </w:rPr>
        <w:t xml:space="preserve">the Soma-juice pressed and prepared by the ritvij of that name.</w:t>
      </w:r>
      <w:r>
        <w:rPr>
          <w:bCs/>
          <w:b/>
        </w:rPr>
        <w:t xml:space="preserve">”</w:t>
      </w:r>
      <w:r>
        <w:t xml:space="preserve"> </w:t>
      </w:r>
      <w:r>
        <w:t xml:space="preserve">On the first reading,</w:t>
      </w:r>
      <w:r>
        <w:t xml:space="preserve"> </w:t>
      </w:r>
      <w:r>
        <w:t xml:space="preserve">“</w:t>
      </w:r>
      <w:r>
        <w:t xml:space="preserve">Vṛktabarhiṣaḥ</w:t>
      </w:r>
      <w:r>
        <w:t xml:space="preserve">”</w:t>
      </w:r>
      <w:r>
        <w:t xml:space="preserve"> </w:t>
      </w:r>
      <w:r>
        <w:t xml:space="preserve">qualifies</w:t>
      </w:r>
      <w:r>
        <w:t xml:space="preserve"> </w:t>
      </w:r>
      <w:r>
        <w:t xml:space="preserve">“</w:t>
      </w:r>
      <w:r>
        <w:t xml:space="preserve">Sutāḥ</w:t>
      </w:r>
      <w:r>
        <w:t xml:space="preserve">”</w:t>
      </w:r>
      <w:r>
        <w:t xml:space="preserve"> </w:t>
      </w:r>
      <w:r>
        <w:t xml:space="preserve">(the Soma); on the second, it qualifies the ritvij.</w:t>
      </w:r>
      <w:r>
        <w:t xml:space="preserve"> </w:t>
      </w:r>
      <w:r>
        <w:rPr>
          <w:bCs/>
          <w:b/>
        </w:rPr>
        <w:t xml:space="preserve">Sayana further explains that this kuśa-spread serves to hold the Soma-juice; Skandasvāmī instead explains the kuśa-spread as being for the Ashvins to sit upon when they arrive.</w:t>
      </w:r>
      <w:r>
        <w:t xml:space="preserve"> </w:t>
      </w:r>
      <w:r>
        <w:t xml:space="preserve">Since, in actual ritual practice, the spreading of barhis is stated in many places as being specifically for holding the oblation-materials or the Soma-juice,</w:t>
      </w:r>
      <w:r>
        <w:t xml:space="preserve"> </w:t>
      </w:r>
      <w:r>
        <w:rPr>
          <w:bCs/>
          <w:b/>
        </w:rPr>
        <w:t xml:space="preserve">Sayana’s view appears the better-supported one.</w:t>
      </w:r>
      <w:r>
        <w:t xml:space="preserve"> </w:t>
      </w:r>
      <w:r>
        <w:t xml:space="preserve">Though this mantra admits of two readings, Sayana elsewhere consistently glosses this word as</w:t>
      </w:r>
      <w:r>
        <w:t xml:space="preserve"> </w:t>
      </w:r>
      <w:r>
        <w:rPr>
          <w:bCs/>
          <w:b/>
        </w:rPr>
        <w:t xml:space="preserve">“</w:t>
      </w:r>
      <w:r>
        <w:rPr>
          <w:bCs/>
          <w:b/>
        </w:rPr>
        <w:t xml:space="preserve">vṛktabarhiṣa āstaraṇārthaṃ bhinna-darbhāḥ</w:t>
      </w:r>
      <w:r>
        <w:rPr>
          <w:bCs/>
          <w:b/>
        </w:rPr>
        <w:t xml:space="preserve">”</w:t>
      </w:r>
      <w:r>
        <w:t xml:space="preserve"> </w:t>
      </w:r>
      <w:r>
        <w:t xml:space="preserve">— a single, consistent sense, which seems the fitting one.</w:t>
      </w:r>
      <w:r>
        <w:t xml:space="preserve"> </w:t>
      </w:r>
      <w:r>
        <w:rPr>
          <w:bCs/>
          <w:b/>
        </w:rPr>
        <w:t xml:space="preserve">Among Western scholars: Wilson gives</w:t>
      </w:r>
      <w:r>
        <w:rPr>
          <w:bCs/>
          <w:b/>
        </w:rPr>
        <w:t xml:space="preserve"> </w:t>
      </w:r>
      <w:r>
        <w:rPr>
          <w:bCs/>
          <w:b/>
        </w:rPr>
        <w:t xml:space="preserve">“</w:t>
      </w:r>
      <w:r>
        <w:rPr>
          <w:bCs/>
          <w:b/>
        </w:rPr>
        <w:t xml:space="preserve">placed on lopped grass</w:t>
      </w:r>
      <w:r>
        <w:rPr>
          <w:bCs/>
          <w:b/>
        </w:rPr>
        <w:t xml:space="preserve">”</w:t>
      </w:r>
      <w:r>
        <w:rPr>
          <w:bCs/>
          <w:b/>
        </w:rPr>
        <w:t xml:space="preserve">; Ludwig,</w:t>
      </w:r>
      <w:r>
        <w:rPr>
          <w:bCs/>
          <w:b/>
        </w:rPr>
        <w:t xml:space="preserve"> </w:t>
      </w:r>
      <w:r>
        <w:rPr>
          <w:bCs/>
          <w:b/>
        </w:rPr>
        <w:t xml:space="preserve">“</w:t>
      </w:r>
      <w:r>
        <w:rPr>
          <w:bCs/>
          <w:b/>
        </w:rPr>
        <w:t xml:space="preserve">having the barhis cut</w:t>
      </w:r>
      <w:r>
        <w:rPr>
          <w:bCs/>
          <w:b/>
        </w:rPr>
        <w:t xml:space="preserve">”</w:t>
      </w:r>
      <w:r>
        <w:rPr>
          <w:bCs/>
          <w:b/>
        </w:rPr>
        <w:t xml:space="preserve">; Geldner,</w:t>
      </w:r>
      <w:r>
        <w:rPr>
          <w:bCs/>
          <w:b/>
        </w:rPr>
        <w:t xml:space="preserve"> </w:t>
      </w:r>
      <w:r>
        <w:rPr>
          <w:bCs/>
          <w:b/>
        </w:rPr>
        <w:t xml:space="preserve">“</w:t>
      </w:r>
      <w:r>
        <w:rPr>
          <w:bCs/>
          <w:b/>
        </w:rPr>
        <w:t xml:space="preserve">having the Barhis placed around.</w:t>
      </w:r>
      <w:r>
        <w:rPr>
          <w:bCs/>
          <w:b/>
        </w:rPr>
        <w:t xml:space="preserve">”</w:t>
      </w:r>
      <w:r>
        <w:t xml:space="preserve"> </w:t>
      </w:r>
      <w:r>
        <w:t xml:space="preserve">In explaining this sense, the words…</w:t>
      </w:r>
    </w:p>
    <w:bookmarkEnd w:id="51"/>
    <w:bookmarkStart w:id="52" w:name="page-29"/>
    <w:p>
      <w:pPr>
        <w:pStyle w:val="Heading3"/>
      </w:pPr>
      <w:r>
        <w:t xml:space="preserve">Page 29</w:t>
      </w:r>
    </w:p>
    <w:p>
      <w:pPr>
        <w:pStyle w:val="FirstParagraph"/>
      </w:pPr>
      <w:r>
        <w:rPr>
          <w:bCs/>
          <w:b/>
        </w:rPr>
        <w:t xml:space="preserve">…vary somewhat in exact phrasing but little in overall sense. Grassmann:</w:t>
      </w:r>
      <w:r>
        <w:rPr>
          <w:bCs/>
          <w:b/>
        </w:rPr>
        <w:t xml:space="preserve"> </w:t>
      </w:r>
      <w:r>
        <w:rPr>
          <w:bCs/>
          <w:b/>
        </w:rPr>
        <w:t xml:space="preserve">“</w:t>
      </w:r>
      <w:r>
        <w:rPr>
          <w:bCs/>
          <w:b/>
        </w:rPr>
        <w:t xml:space="preserve">of one who has spread the Sacrificial grass</w:t>
      </w:r>
      <w:r>
        <w:rPr>
          <w:bCs/>
          <w:b/>
        </w:rPr>
        <w:t xml:space="preserve">”</w:t>
      </w:r>
      <w:r>
        <w:rPr>
          <w:bCs/>
          <w:b/>
        </w:rPr>
        <w:t xml:space="preserve">; Monier Williams:</w:t>
      </w:r>
      <w:r>
        <w:rPr>
          <w:bCs/>
          <w:b/>
        </w:rPr>
        <w:t xml:space="preserve"> </w:t>
      </w:r>
      <w:r>
        <w:rPr>
          <w:bCs/>
          <w:b/>
        </w:rPr>
        <w:t xml:space="preserve">“</w:t>
      </w:r>
      <w:r>
        <w:rPr>
          <w:bCs/>
          <w:b/>
        </w:rPr>
        <w:t xml:space="preserve">one who has gathered and spread the Sacrificial grass</w:t>
      </w:r>
      <w:r>
        <w:rPr>
          <w:bCs/>
          <w:b/>
        </w:rPr>
        <w:t xml:space="preserve">”</w:t>
      </w:r>
      <w:r>
        <w:t xml:space="preserve"> </w:t>
      </w:r>
      <w:r>
        <w:t xml:space="preserve">— both take this as describing the ritvij who spreads the kusha-grass.</w:t>
      </w:r>
      <w:r>
        <w:t xml:space="preserve"> </w:t>
      </w:r>
      <w:r>
        <w:rPr>
          <w:bCs/>
          <w:b/>
        </w:rPr>
        <w:t xml:space="preserve">Sayanacharya himself, in other mantras (6-68-1; 8-36-1), confirms this same ritvij-sense for</w:t>
      </w:r>
      <w:r>
        <w:rPr>
          <w:bCs/>
          <w:b/>
        </w:rPr>
        <w:t xml:space="preserve"> </w:t>
      </w:r>
      <w:r>
        <w:rPr>
          <w:bCs/>
          <w:b/>
        </w:rPr>
        <w:t xml:space="preserve">“</w:t>
      </w:r>
      <w:r>
        <w:rPr>
          <w:bCs/>
          <w:b/>
        </w:rPr>
        <w:t xml:space="preserve">vṛktabarhiṣaḥ.</w:t>
      </w:r>
      <w:r>
        <w:rPr>
          <w:bCs/>
          <w:b/>
        </w:rPr>
        <w:t xml:space="preserve">”</w:t>
      </w:r>
    </w:p>
    <w:p>
      <w:r>
        <w:pict>
          <v:rect style="width:0;height:1.5pt" o:hralign="center" o:hrstd="t" o:hr="t"/>
        </w:pict>
      </w:r>
    </w:p>
    <w:p>
      <w:pPr>
        <w:pStyle w:val="FirstParagraph"/>
      </w:pPr>
      <w:r>
        <w:rPr>
          <w:bCs/>
          <w:b/>
        </w:rPr>
        <w:t xml:space="preserve">“</w:t>
      </w:r>
      <w:r>
        <w:rPr>
          <w:bCs/>
          <w:b/>
        </w:rPr>
        <w:t xml:space="preserve">Rudravartanī</w:t>
      </w:r>
      <w:r>
        <w:rPr>
          <w:bCs/>
          <w:b/>
        </w:rPr>
        <w:t xml:space="preserve">”</w:t>
      </w:r>
      <w:r>
        <w:t xml:space="preserve"> </w:t>
      </w:r>
      <w:r>
        <w:t xml:space="preserve">— this word is fully unaccented at Rigveda Samhita 1-3-3; 8-22-1; 10-39-11, and middle-udātta at 8-22-14:</w:t>
      </w:r>
    </w:p>
    <w:p>
      <w:pPr>
        <w:pStyle w:val="BlockText"/>
      </w:pPr>
      <w:r>
        <w:t xml:space="preserve">आयातं रुद्रवर्तनी । (ऋ. सं. १-३-३)</w:t>
      </w:r>
      <w:r>
        <w:t xml:space="preserve"> </w:t>
      </w:r>
      <w:r>
        <w:rPr>
          <w:iCs/>
          <w:i/>
        </w:rPr>
        <w:t xml:space="preserve">āyātaṃ rudravartanī | (ṛ. saṃ. 1-3-3)</w:t>
      </w:r>
    </w:p>
    <w:p>
      <w:pPr>
        <w:pStyle w:val="BlockText"/>
      </w:pPr>
      <w:r>
        <w:t xml:space="preserve">युवमश्विना सुहवा रुद्रवर्तनी आ सूर्यायै तस्थतुः । (ऋ. सं. ८-२२-१)</w:t>
      </w:r>
      <w:r>
        <w:t xml:space="preserve"> </w:t>
      </w:r>
      <w:r>
        <w:rPr>
          <w:iCs/>
          <w:i/>
        </w:rPr>
        <w:t xml:space="preserve">yuvamaśvinā suhavā rudravartanī ā sūryāyai tasthatuḥ | (ṛ. saṃ. 8-22-1)</w:t>
      </w:r>
    </w:p>
    <w:p>
      <w:pPr>
        <w:pStyle w:val="BlockText"/>
      </w:pPr>
      <w:r>
        <w:t xml:space="preserve">युवमश्विना सुहवा रुद्रवर्तनी पुरोरथं कृणुथः पत्न्या सह । (ऋ. सं. १०-३९-११)</w:t>
      </w:r>
      <w:r>
        <w:t xml:space="preserve"> </w:t>
      </w:r>
      <w:r>
        <w:rPr>
          <w:iCs/>
          <w:i/>
        </w:rPr>
        <w:t xml:space="preserve">yuvamaśvinā suhavā rudravartanī purorathaṃ kṛṇuthaḥ patnyā saha | (ṛ. saṃ. 10-39-11)</w:t>
      </w:r>
    </w:p>
    <w:p>
      <w:pPr>
        <w:pStyle w:val="BlockText"/>
      </w:pPr>
      <w:r>
        <w:t xml:space="preserve">ताविद्दोषा ता उषसि शुभस्पती ता यामन्रुद्रवर्तनी । (ऋ. सं. ८-२२-१४)</w:t>
      </w:r>
      <w:r>
        <w:t xml:space="preserve"> </w:t>
      </w:r>
      <w:r>
        <w:rPr>
          <w:iCs/>
          <w:i/>
        </w:rPr>
        <w:t xml:space="preserve">tāviddoṣā tā uṣasi śubhaspatī tā yāmanrudravartanī | (ṛ. saṃ. 8-22-14)</w:t>
      </w:r>
    </w:p>
    <w:p>
      <w:pPr>
        <w:pStyle w:val="FirstParagraph"/>
      </w:pPr>
      <w:r>
        <w:rPr>
          <w:bCs/>
          <w:b/>
        </w:rPr>
        <w:t xml:space="preserve">This word occurs only in these four mantras and nowhere else, always as a qualifier of the Ashvins — never of any other deity.</w:t>
      </w:r>
      <w:r>
        <w:t xml:space="preserve"> </w:t>
      </w:r>
      <w:r>
        <w:t xml:space="preserve">Since it applies only to the Ashvins, whether the Bhashyakara’s offered sense truly captures its original meaning remains genuinely uncertain — but since no better-supported alternative is available, his reading must be accepted.</w:t>
      </w:r>
    </w:p>
    <w:p>
      <w:pPr>
        <w:pStyle w:val="BodyText"/>
      </w:pPr>
      <w:r>
        <w:rPr>
          <w:bCs/>
          <w:b/>
        </w:rPr>
        <w:t xml:space="preserve">The Bhashyakara, explaining the word</w:t>
      </w:r>
      <w:r>
        <w:rPr>
          <w:bCs/>
          <w:b/>
        </w:rPr>
        <w:t xml:space="preserve"> </w:t>
      </w:r>
      <w:r>
        <w:rPr>
          <w:bCs/>
          <w:b/>
        </w:rPr>
        <w:t xml:space="preserve">“</w:t>
      </w:r>
      <w:r>
        <w:rPr>
          <w:bCs/>
          <w:b/>
        </w:rPr>
        <w:t xml:space="preserve">rudra</w:t>
      </w:r>
      <w:r>
        <w:rPr>
          <w:bCs/>
          <w:b/>
        </w:rPr>
        <w:t xml:space="preserve">”</w:t>
      </w:r>
      <w:r>
        <w:rPr>
          <w:bCs/>
          <w:b/>
        </w:rPr>
        <w:t xml:space="preserve"> </w:t>
      </w:r>
      <w:r>
        <w:rPr>
          <w:bCs/>
          <w:b/>
        </w:rPr>
        <w:t xml:space="preserve">itself, gives this derivation:</w:t>
      </w:r>
      <w:r>
        <w:t xml:space="preserve"> </w:t>
      </w:r>
      <w:r>
        <w:t xml:space="preserve">“</w:t>
      </w:r>
      <w:r>
        <w:t xml:space="preserve">so ’rodīd yad arodīt tad rudrasya rudratvam</w:t>
      </w:r>
      <w:r>
        <w:t xml:space="preserve">”</w:t>
      </w:r>
      <w:r>
        <w:t xml:space="preserve"> </w:t>
      </w:r>
      <w:r>
        <w:t xml:space="preserve">(Taittirīya Saṃhitā 1-5-1) —</w:t>
      </w:r>
      <w:r>
        <w:t xml:space="preserve"> </w:t>
      </w:r>
      <w:r>
        <w:rPr>
          <w:bCs/>
          <w:b/>
        </w:rPr>
        <w:t xml:space="preserve">“</w:t>
      </w:r>
      <w:r>
        <w:rPr>
          <w:bCs/>
          <w:b/>
        </w:rPr>
        <w:t xml:space="preserve">he wept/roared, and hence came the name Rudra</w:t>
      </w:r>
      <w:r>
        <w:rPr>
          <w:bCs/>
          <w:b/>
        </w:rPr>
        <w:t xml:space="preserve">”</w:t>
      </w:r>
      <w:r>
        <w:rPr>
          <w:bCs/>
          <w:b/>
        </w:rPr>
        <w:t xml:space="preserve"> </w:t>
      </w:r>
      <w:r>
        <w:rPr>
          <w:bCs/>
          <w:b/>
        </w:rPr>
        <w:t xml:space="preserve">— that is, warriors who make the enemy weep may themselves be called</w:t>
      </w:r>
      <w:r>
        <w:rPr>
          <w:bCs/>
          <w:b/>
        </w:rPr>
        <w:t xml:space="preserve"> </w:t>
      </w:r>
      <w:r>
        <w:rPr>
          <w:bCs/>
          <w:b/>
        </w:rPr>
        <w:t xml:space="preserve">“</w:t>
      </w:r>
      <w:r>
        <w:rPr>
          <w:bCs/>
          <w:b/>
        </w:rPr>
        <w:t xml:space="preserve">Rudra.</w:t>
      </w:r>
      <w:r>
        <w:rPr>
          <w:bCs/>
          <w:b/>
        </w:rPr>
        <w:t xml:space="preserve">”</w:t>
      </w:r>
      <w:r>
        <w:t xml:space="preserve"> </w:t>
      </w:r>
      <w:r>
        <w:t xml:space="preserve">“</w:t>
      </w:r>
      <w:r>
        <w:t xml:space="preserve">Rudravartanī</w:t>
      </w:r>
      <w:r>
        <w:t xml:space="preserve">”</w:t>
      </w:r>
      <w:r>
        <w:t xml:space="preserve"> </w:t>
      </w:r>
      <w:r>
        <w:t xml:space="preserve">thus means</w:t>
      </w:r>
      <w:r>
        <w:t xml:space="preserve"> </w:t>
      </w:r>
      <w:r>
        <w:t xml:space="preserve">“</w:t>
      </w:r>
      <w:r>
        <w:t xml:space="preserve">those who walk the path of heroes</w:t>
      </w:r>
      <w:r>
        <w:t xml:space="preserve">”</w:t>
      </w:r>
      <w:r>
        <w:t xml:space="preserve"> </w:t>
      </w:r>
      <w:r>
        <w:t xml:space="preserve">or</w:t>
      </w:r>
      <w:r>
        <w:t xml:space="preserve"> </w:t>
      </w:r>
      <w:r>
        <w:t xml:space="preserve">“</w:t>
      </w:r>
      <w:r>
        <w:t xml:space="preserve">followers of the heroes’ path.</w:t>
      </w:r>
      <w:r>
        <w:t xml:space="preserve">”</w:t>
      </w:r>
      <w:r>
        <w:t xml:space="preserve"> </w:t>
      </w:r>
      <w:r>
        <w:rPr>
          <w:bCs/>
          <w:b/>
        </w:rPr>
        <w:t xml:space="preserve">Grassmann, following the root</w:t>
      </w:r>
      <w:r>
        <w:rPr>
          <w:bCs/>
          <w:b/>
        </w:rPr>
        <w:t xml:space="preserve"> </w:t>
      </w:r>
      <w:r>
        <w:rPr>
          <w:bCs/>
          <w:b/>
        </w:rPr>
        <w:t xml:space="preserve">“</w:t>
      </w:r>
      <w:r>
        <w:rPr>
          <w:bCs/>
          <w:b/>
        </w:rPr>
        <w:t xml:space="preserve">rud</w:t>
      </w:r>
      <w:r>
        <w:rPr>
          <w:bCs/>
          <w:b/>
        </w:rPr>
        <w:t xml:space="preserve">”</w:t>
      </w:r>
      <w:r>
        <w:rPr>
          <w:bCs/>
          <w:b/>
        </w:rPr>
        <w:t xml:space="preserve"> </w:t>
      </w:r>
      <w:r>
        <w:rPr>
          <w:bCs/>
          <w:b/>
        </w:rPr>
        <w:t xml:space="preserve">(to shine), glosses</w:t>
      </w:r>
      <w:r>
        <w:rPr>
          <w:bCs/>
          <w:b/>
        </w:rPr>
        <w:t xml:space="preserve"> </w:t>
      </w:r>
      <w:r>
        <w:rPr>
          <w:bCs/>
          <w:b/>
        </w:rPr>
        <w:t xml:space="preserve">“</w:t>
      </w:r>
      <w:r>
        <w:rPr>
          <w:bCs/>
          <w:b/>
        </w:rPr>
        <w:t xml:space="preserve">Rudra</w:t>
      </w:r>
      <w:r>
        <w:rPr>
          <w:bCs/>
          <w:b/>
        </w:rPr>
        <w:t xml:space="preserve">”</w:t>
      </w:r>
      <w:r>
        <w:rPr>
          <w:bCs/>
          <w:b/>
        </w:rPr>
        <w:t xml:space="preserve"> </w:t>
      </w:r>
      <w:r>
        <w:rPr>
          <w:bCs/>
          <w:b/>
        </w:rPr>
        <w:t xml:space="preserve">as</w:t>
      </w:r>
      <w:r>
        <w:rPr>
          <w:bCs/>
          <w:b/>
        </w:rPr>
        <w:t xml:space="preserve"> </w:t>
      </w:r>
      <w:r>
        <w:rPr>
          <w:bCs/>
          <w:b/>
        </w:rPr>
        <w:t xml:space="preserve">“</w:t>
      </w:r>
      <w:r>
        <w:rPr>
          <w:bCs/>
          <w:b/>
        </w:rPr>
        <w:t xml:space="preserve">Brilliant</w:t>
      </w:r>
      <w:r>
        <w:rPr>
          <w:bCs/>
          <w:b/>
        </w:rPr>
        <w:t xml:space="preserve">”</w:t>
      </w:r>
      <w:r>
        <w:t xml:space="preserve"> </w:t>
      </w:r>
      <w:r>
        <w:t xml:space="preserve">— radiant; on this reading,</w:t>
      </w:r>
      <w:r>
        <w:t xml:space="preserve"> </w:t>
      </w:r>
      <w:r>
        <w:t xml:space="preserve">“</w:t>
      </w:r>
      <w:r>
        <w:t xml:space="preserve">Rudravartanī</w:t>
      </w:r>
      <w:r>
        <w:t xml:space="preserve">”</w:t>
      </w:r>
      <w:r>
        <w:t xml:space="preserve"> </w:t>
      </w:r>
      <w:r>
        <w:t xml:space="preserve">would mean</w:t>
      </w:r>
      <w:r>
        <w:t xml:space="preserve"> </w:t>
      </w:r>
      <w:r>
        <w:t xml:space="preserve">“</w:t>
      </w:r>
      <w:r>
        <w:t xml:space="preserve">those who travel on a brilliant, that is, excellent, path.</w:t>
      </w:r>
      <w:r>
        <w:t xml:space="preserve">”</w:t>
      </w:r>
      <w:r>
        <w:t xml:space="preserve"> </w:t>
      </w:r>
      <w:r>
        <w:rPr>
          <w:bCs/>
          <w:b/>
        </w:rPr>
        <w:t xml:space="preserve">Alternatively, the Rigveda also knows Rudra as a specific, distinct deity, whose nature — wrathful, slaying and harming enemies — is described in many Rudra-suktas.</w:t>
      </w:r>
      <w:r>
        <w:t xml:space="preserve"> </w:t>
      </w:r>
      <w:r>
        <w:t xml:space="preserve">This raises the natural question of whether</w:t>
      </w:r>
      <w:r>
        <w:t xml:space="preserve"> </w:t>
      </w:r>
      <w:r>
        <w:t xml:space="preserve">“</w:t>
      </w:r>
      <w:r>
        <w:t xml:space="preserve">Rudravartanī</w:t>
      </w:r>
      <w:r>
        <w:t xml:space="preserve">”</w:t>
      </w:r>
      <w:r>
        <w:t xml:space="preserve"> </w:t>
      </w:r>
      <w:r>
        <w:t xml:space="preserve">instead means</w:t>
      </w:r>
      <w:r>
        <w:t xml:space="preserve"> </w:t>
      </w:r>
      <w:r>
        <w:t xml:space="preserve">“</w:t>
      </w:r>
      <w:r>
        <w:t xml:space="preserve">following the path of that deity Rudra,</w:t>
      </w:r>
      <w:r>
        <w:t xml:space="preserve">”</w:t>
      </w:r>
      <w:r>
        <w:t xml:space="preserve"> </w:t>
      </w:r>
      <w:r>
        <w:t xml:space="preserve">that is,</w:t>
      </w:r>
      <w:r>
        <w:t xml:space="preserve"> </w:t>
      </w:r>
      <w:r>
        <w:t xml:space="preserve">“</w:t>
      </w:r>
      <w:r>
        <w:t xml:space="preserve">destroyers of enemies.</w:t>
      </w:r>
      <w:r>
        <w:t xml:space="preserve">”</w:t>
      </w:r>
      <w:r>
        <w:t xml:space="preserve"> </w:t>
      </w:r>
      <w:r>
        <w:rPr>
          <w:bCs/>
          <w:b/>
        </w:rPr>
        <w:t xml:space="preserve">It is therefore not possible to state with certainty which sense this word actually carried at the time.</w:t>
      </w:r>
    </w:p>
    <w:bookmarkEnd w:id="52"/>
    <w:bookmarkStart w:id="53" w:name="Xae76859d4e80edf207ecd76432f9eb7971bbfea"/>
    <w:p>
      <w:pPr>
        <w:pStyle w:val="Heading3"/>
      </w:pPr>
      <w:r>
        <w:t xml:space="preserve">Page 30 — Sūkta 3, The Fourth Mantra (Opening the Indra Group)</w:t>
      </w:r>
    </w:p>
    <w:p>
      <w:pPr>
        <w:pStyle w:val="FirstParagraph"/>
      </w:pPr>
      <w:r>
        <w:rPr>
          <w:bCs/>
          <w:b/>
        </w:rPr>
        <w:t xml:space="preserve">॥ Vyākaraṇa-prakriyā ॥</w:t>
      </w:r>
    </w:p>
    <w:p>
      <w:pPr>
        <w:pStyle w:val="BodyText"/>
      </w:pPr>
      <w:r>
        <w:rPr>
          <w:iCs/>
          <w:i/>
        </w:rPr>
        <w:t xml:space="preserve">(This section works through the grammatical derivation of</w:t>
      </w:r>
      <w:r>
        <w:rPr>
          <w:iCs/>
          <w:i/>
        </w:rPr>
        <w:t xml:space="preserve"> </w:t>
      </w:r>
      <w:r>
        <w:rPr>
          <w:iCs/>
          <w:i/>
        </w:rPr>
        <w:t xml:space="preserve">“</w:t>
      </w:r>
      <w:r>
        <w:rPr>
          <w:iCs/>
          <w:i/>
        </w:rPr>
        <w:t xml:space="preserve">dasrā</w:t>
      </w:r>
      <w:r>
        <w:rPr>
          <w:iCs/>
          <w:i/>
        </w:rPr>
        <w:t xml:space="preserve">”</w:t>
      </w:r>
      <w:r>
        <w:rPr>
          <w:iCs/>
          <w:i/>
        </w:rPr>
        <w:t xml:space="preserve"> </w:t>
      </w:r>
      <w:r>
        <w:rPr>
          <w:iCs/>
          <w:i/>
        </w:rPr>
        <w:t xml:space="preserve">as a vocative-adjacent form,</w:t>
      </w:r>
      <w:r>
        <w:rPr>
          <w:iCs/>
          <w:i/>
        </w:rPr>
        <w:t xml:space="preserve"> </w:t>
      </w:r>
      <w:r>
        <w:rPr>
          <w:iCs/>
          <w:i/>
        </w:rPr>
        <w:t xml:space="preserve">“</w:t>
      </w:r>
      <w:r>
        <w:rPr>
          <w:iCs/>
          <w:i/>
        </w:rPr>
        <w:t xml:space="preserve">yuvāku</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mitra-bhavati</w:t>
      </w:r>
      <w:r>
        <w:rPr>
          <w:iCs/>
          <w:i/>
        </w:rPr>
        <w:t xml:space="preserve">”</w:t>
      </w:r>
      <w:r>
        <w:rPr>
          <w:iCs/>
          <w:i/>
        </w:rPr>
        <w:t xml:space="preserve"> </w:t>
      </w:r>
      <w:r>
        <w:rPr>
          <w:iCs/>
          <w:i/>
        </w:rPr>
        <w:t xml:space="preserve">relationships,</w:t>
      </w:r>
      <w:r>
        <w:rPr>
          <w:iCs/>
          <w:i/>
        </w:rPr>
        <w:t xml:space="preserve"> </w:t>
      </w:r>
      <w:r>
        <w:rPr>
          <w:iCs/>
          <w:i/>
        </w:rPr>
        <w:t xml:space="preserve">“</w:t>
      </w:r>
      <w:r>
        <w:rPr>
          <w:iCs/>
          <w:i/>
        </w:rPr>
        <w:t xml:space="preserve">upasargāc chandasi</w:t>
      </w:r>
      <w:r>
        <w:rPr>
          <w:iCs/>
          <w:i/>
        </w:rPr>
        <w:t xml:space="preserve">”</w:t>
      </w:r>
      <w:r>
        <w:rPr>
          <w:iCs/>
          <w:i/>
        </w:rPr>
        <w:t xml:space="preserve"> </w:t>
      </w:r>
      <w:r>
        <w:rPr>
          <w:iCs/>
          <w:i/>
        </w:rPr>
        <w:t xml:space="preserve">accent rules, and the derivation of</w:t>
      </w:r>
      <w:r>
        <w:rPr>
          <w:iCs/>
          <w:i/>
        </w:rPr>
        <w:t xml:space="preserve"> </w:t>
      </w:r>
      <w:r>
        <w:rPr>
          <w:iCs/>
          <w:i/>
        </w:rPr>
        <w:t xml:space="preserve">“</w:t>
      </w:r>
      <w:r>
        <w:rPr>
          <w:iCs/>
          <w:i/>
        </w:rPr>
        <w:t xml:space="preserve">Rudra</w:t>
      </w:r>
      <w:r>
        <w:rPr>
          <w:iCs/>
          <w:i/>
        </w:rPr>
        <w:t xml:space="preserve">”</w:t>
      </w:r>
      <w:r>
        <w:rPr>
          <w:iCs/>
          <w:i/>
        </w:rPr>
        <w:t xml:space="preserve"> </w:t>
      </w:r>
      <w:r>
        <w:rPr>
          <w:iCs/>
          <w:i/>
        </w:rPr>
        <w:t xml:space="preserve">itself from the root meaning</w:t>
      </w:r>
      <w:r>
        <w:rPr>
          <w:iCs/>
          <w:i/>
        </w:rPr>
        <w:t xml:space="preserve"> </w:t>
      </w:r>
      <w:r>
        <w:rPr>
          <w:iCs/>
          <w:i/>
        </w:rPr>
        <w:t xml:space="preserve">“</w:t>
      </w:r>
      <w:r>
        <w:rPr>
          <w:iCs/>
          <w:i/>
        </w:rPr>
        <w:t xml:space="preserve">to roar/weep</w:t>
      </w:r>
      <w:r>
        <w:rPr>
          <w:iCs/>
          <w:i/>
        </w:rPr>
        <w:t xml:space="preserve">”</w:t>
      </w:r>
      <w:r>
        <w:rPr>
          <w:iCs/>
          <w:i/>
        </w:rPr>
        <w:t xml:space="preserve"> </w:t>
      </w:r>
      <w:r>
        <w:rPr>
          <w:iCs/>
          <w:i/>
        </w:rPr>
        <w:t xml:space="preserve">(Taittirīya Saṃhitā 1-5-1) versus alternate readings, in the established dense sutra-citation register. Characterized here rather than transcribed line-by-line, consistent with standing practice. This closes the full apparatus for Rik 3.3, completing the three-verse Ashvin group that opens this sukta.)</w:t>
      </w:r>
    </w:p>
    <w:p>
      <w:pPr>
        <w:pStyle w:val="BodyText"/>
      </w:pPr>
      <w:r>
        <w:rPr>
          <w:bCs/>
          <w:b/>
        </w:rPr>
        <w:t xml:space="preserve">॥३॥</w:t>
      </w:r>
    </w:p>
    <w:p>
      <w:r>
        <w:pict>
          <v:rect style="width:0;height:1.5pt" o:hralign="center" o:hrstd="t" o:hr="t"/>
        </w:pict>
      </w:r>
    </w:p>
    <w:p>
      <w:pPr>
        <w:pStyle w:val="FirstParagraph"/>
      </w:pPr>
      <w:r>
        <w:rPr>
          <w:bCs/>
          <w:b/>
        </w:rPr>
        <w:t xml:space="preserve">॥ Saṃhitā-pāṭhaḥ ॥</w:t>
      </w:r>
    </w:p>
    <w:p>
      <w:pPr>
        <w:pStyle w:val="BlockText"/>
      </w:pPr>
      <w:r>
        <w:t xml:space="preserve">इन्द्रा या॑हि चित्रभानो सु॒ता इ॒मे त्वा॒यवः॑ ।</w:t>
      </w:r>
      <w:r>
        <w:t xml:space="preserve"> </w:t>
      </w:r>
      <w:r>
        <w:t xml:space="preserve">अण्वी॑भि॒स्तना॑ पू॒तासः॑ ॥४॥</w:t>
      </w:r>
    </w:p>
    <w:p>
      <w:pPr>
        <w:pStyle w:val="BlockText"/>
      </w:pPr>
      <w:r>
        <w:rPr>
          <w:iCs/>
          <w:i/>
        </w:rPr>
        <w:t xml:space="preserve">indrā́ yāhi citrabhāno sutā́ imé tvāyávaḥ |</w:t>
      </w:r>
      <w:r>
        <w:t xml:space="preserve"> </w:t>
      </w:r>
      <w:r>
        <w:rPr>
          <w:iCs/>
          <w:i/>
        </w:rPr>
        <w:t xml:space="preserve">áṇvībhistánā pūtā́saḥ ||4||</w:t>
      </w:r>
    </w:p>
    <w:p>
      <w:pPr>
        <w:pStyle w:val="FirstParagraph"/>
      </w:pPr>
      <w:r>
        <w:rPr>
          <w:bCs/>
          <w:b/>
        </w:rPr>
        <w:t xml:space="preserve">॥ Pada-pāṭhaḥ ॥</w:t>
      </w:r>
    </w:p>
    <w:p>
      <w:pPr>
        <w:pStyle w:val="BlockText"/>
      </w:pPr>
      <w:r>
        <w:t xml:space="preserve">इन्द्र । आ । याहि । चित्रभानो इति चित्रऽभानो । सुताः ।</w:t>
      </w:r>
      <w:r>
        <w:t xml:space="preserve"> </w:t>
      </w:r>
      <w:r>
        <w:t xml:space="preserve">इमे । त्वायवः ॥</w:t>
      </w:r>
      <w:r>
        <w:t xml:space="preserve"> </w:t>
      </w:r>
      <w:r>
        <w:t xml:space="preserve">अण्वीभिः । तना । पूतासः ॥४॥</w:t>
      </w:r>
    </w:p>
    <w:p>
      <w:pPr>
        <w:pStyle w:val="FirstParagraph"/>
      </w:pPr>
      <w:r>
        <w:rPr>
          <w:iCs/>
          <w:i/>
        </w:rPr>
        <w:t xml:space="preserve">(This opens the second group of three Riks within this sukta — mantras 4–6, addressed to Indra. Sayana’s commentary and full apparatus follow on the next page.)</w:t>
      </w:r>
    </w:p>
    <w:p>
      <w:pPr>
        <w:pStyle w:val="BodyText"/>
      </w:pPr>
      <w:r>
        <w:rPr>
          <w:iCs/>
          <w:i/>
        </w:rPr>
        <w:t xml:space="preserve">(Printed references in the grammar at the head of this page (close of Rk 3.3), in order: Pā. 6-1-198; Pā. 3-3-57; Pā. 6-3-73; Pā. 6-3-75; Pā. 6-2-1; Pā. 81 [as printed]; Pā. 8-1-19 (Oct 2026 numeral pass).)</w:t>
      </w:r>
    </w:p>
    <w:bookmarkEnd w:id="53"/>
    <w:bookmarkStart w:id="54" w:name="X0799f8e906283e22827829bc248c7941c9ce8ec"/>
    <w:p>
      <w:pPr>
        <w:pStyle w:val="Heading3"/>
      </w:pPr>
      <w:r>
        <w:t xml:space="preserve">Page 31 — Sūkta 3, Fourth Mantra: Sāyaṇa-bhāṣya</w:t>
      </w:r>
    </w:p>
    <w:p>
      <w:pPr>
        <w:pStyle w:val="FirstParagraph"/>
      </w:pPr>
      <w:r>
        <w:rPr>
          <w:iCs/>
          <w:i/>
        </w:rPr>
        <w:t xml:space="preserve">(Source note: in this scan the Sanskrit bhāṣya is printed in Kannada script. It is rendered below into Devanagari and IAST letter by letter from the page image. Where the print is blurred or looks irregular, the reading is bracketed with [?] rather than corrected from memory.)</w:t>
      </w:r>
    </w:p>
    <w:p>
      <w:pPr>
        <w:pStyle w:val="BodyText"/>
      </w:pPr>
      <w:r>
        <w:rPr>
          <w:bCs/>
          <w:b/>
        </w:rPr>
        <w:t xml:space="preserve">॥ Sāyaṇa-bhāṣyam ॥</w:t>
      </w:r>
    </w:p>
    <w:p>
      <w:pPr>
        <w:pStyle w:val="BlockText"/>
      </w:pPr>
      <w:r>
        <w:t xml:space="preserve">चित्रभानो चित्रदीप्ते हे इन्द्र अस्मिन्कर्मण्या याहि । आगच्छ । सुता अभिषुता इमे सोमास्त्वायवस्त्वां कामयमाना वर्तन्ते । अण्वीभिः । अग्रुव इत्यादिषु द्वाविंशतिसंख्याकेष्वङ्गुलिनामसु अण्व्य इति पठितम् । ऋत्विजामङ्गुलिभिः सुता इत्यन्वयः । किंच । एते सोमास्तना नित्यं पूतासः पूता शुद्धा दशापवित्रेण बहुधा शोधितत्वात् ।</w:t>
      </w:r>
      <w:r>
        <w:t xml:space="preserve"> </w:t>
      </w:r>
      <w:r>
        <w:rPr>
          <w:iCs/>
          <w:i/>
        </w:rPr>
        <w:t xml:space="preserve">citrabhāno citradīpte he indra asmin karmaṇy ā yāhi | āgaccha | sutā abhiṣutā ime somās tvāyavas tvāṃ kāmayamānā vartante | aṇvībhiḥ | agruva ity ādiṣu dvāviṃśati-saṃkhyākeṣv aṅguli-nāmasu aṇvya iti paṭhitam | ṛtvijām aṅgulibhiḥ sutā ity anvayaḥ | kiṃca | ete somās tanā nityaṃ pūtāsaḥ pūtā śuddhā daśā-pavitreṇa bahudhā śodhitatvāt |</w:t>
      </w:r>
    </w:p>
    <w:p>
      <w:pPr>
        <w:pStyle w:val="FirstParagraph"/>
      </w:pPr>
      <w:r>
        <w:rPr>
          <w:bCs/>
          <w:b/>
        </w:rPr>
        <w:t xml:space="preserve">Translation:</w:t>
      </w:r>
      <w:r>
        <w:t xml:space="preserve"> </w:t>
      </w:r>
      <w:r>
        <w:t xml:space="preserve">“</w:t>
      </w:r>
      <w:r>
        <w:t xml:space="preserve">‘</w:t>
      </w:r>
      <w:r>
        <w:t xml:space="preserve">Citrabhāno</w:t>
      </w:r>
      <w:r>
        <w:t xml:space="preserve">’</w:t>
      </w:r>
      <w:r>
        <w:t xml:space="preserve"> </w:t>
      </w:r>
      <w:r>
        <w:t xml:space="preserve">— O one of wondrous radiance, O Indra! Come (</w:t>
      </w:r>
      <w:r>
        <w:t xml:space="preserve">‘</w:t>
      </w:r>
      <w:r>
        <w:t xml:space="preserve">yāhi</w:t>
      </w:r>
      <w:r>
        <w:t xml:space="preserve">’</w:t>
      </w:r>
      <w:r>
        <w:t xml:space="preserve"> </w:t>
      </w:r>
      <w:r>
        <w:t xml:space="preserve">=</w:t>
      </w:r>
      <w:r>
        <w:t xml:space="preserve"> </w:t>
      </w:r>
      <w:r>
        <w:t xml:space="preserve">‘</w:t>
      </w:r>
      <w:r>
        <w:t xml:space="preserve">āgaccha</w:t>
      </w:r>
      <w:r>
        <w:t xml:space="preserve">’</w:t>
      </w:r>
      <w:r>
        <w:t xml:space="preserve">) to this rite. These Soma-juices that are</w:t>
      </w:r>
      <w:r>
        <w:t xml:space="preserve"> </w:t>
      </w:r>
      <w:r>
        <w:t xml:space="preserve">‘</w:t>
      </w:r>
      <w:r>
        <w:t xml:space="preserve">sutāḥ</w:t>
      </w:r>
      <w:r>
        <w:t xml:space="preserve">’</w:t>
      </w:r>
      <w:r>
        <w:t xml:space="preserve"> </w:t>
      </w:r>
      <w:r>
        <w:t xml:space="preserve">(pressed out) stand here</w:t>
      </w:r>
      <w:r>
        <w:t xml:space="preserve"> </w:t>
      </w:r>
      <w:r>
        <w:t xml:space="preserve">‘</w:t>
      </w:r>
      <w:r>
        <w:t xml:space="preserve">tvāyavaḥ</w:t>
      </w:r>
      <w:r>
        <w:t xml:space="preserve">’</w:t>
      </w:r>
      <w:r>
        <w:t xml:space="preserve"> </w:t>
      </w:r>
      <w:r>
        <w:t xml:space="preserve">— desiring you.</w:t>
      </w:r>
      <w:r>
        <w:t xml:space="preserve"> </w:t>
      </w:r>
      <w:r>
        <w:t xml:space="preserve">‘</w:t>
      </w:r>
      <w:r>
        <w:t xml:space="preserve">Aṇvībhiḥ</w:t>
      </w:r>
      <w:r>
        <w:t xml:space="preserve">’</w:t>
      </w:r>
      <w:r>
        <w:t xml:space="preserve"> </w:t>
      </w:r>
      <w:r>
        <w:t xml:space="preserve">— in the list of twenty-two finger-names beginning</w:t>
      </w:r>
      <w:r>
        <w:t xml:space="preserve"> </w:t>
      </w:r>
      <w:r>
        <w:t xml:space="preserve">‘</w:t>
      </w:r>
      <w:r>
        <w:t xml:space="preserve">agruvaḥ</w:t>
      </w:r>
      <w:r>
        <w:t xml:space="preserve">’</w:t>
      </w:r>
      <w:r>
        <w:t xml:space="preserve"> </w:t>
      </w:r>
      <w:r>
        <w:t xml:space="preserve">(</w:t>
      </w:r>
      <w:r>
        <w:rPr>
          <w:iCs/>
          <w:i/>
        </w:rPr>
        <w:t xml:space="preserve">the Nighaṇṭu list</w:t>
      </w:r>
      <w:r>
        <w:t xml:space="preserve">),</w:t>
      </w:r>
      <w:r>
        <w:t xml:space="preserve"> </w:t>
      </w:r>
      <w:r>
        <w:t xml:space="preserve">‘</w:t>
      </w:r>
      <w:r>
        <w:t xml:space="preserve">aṇvyaḥ</w:t>
      </w:r>
      <w:r>
        <w:t xml:space="preserve">’</w:t>
      </w:r>
      <w:r>
        <w:t xml:space="preserve"> </w:t>
      </w:r>
      <w:r>
        <w:t xml:space="preserve">is also read; the construction is</w:t>
      </w:r>
      <w:r>
        <w:t xml:space="preserve"> </w:t>
      </w:r>
      <w:r>
        <w:t xml:space="preserve">‘</w:t>
      </w:r>
      <w:r>
        <w:t xml:space="preserve">pressed by the fingers of the priests.</w:t>
      </w:r>
      <w:r>
        <w:t xml:space="preserve">’</w:t>
      </w:r>
      <w:r>
        <w:t xml:space="preserve"> </w:t>
      </w:r>
      <w:r>
        <w:t xml:space="preserve">Further, these Soma-juices are</w:t>
      </w:r>
      <w:r>
        <w:t xml:space="preserve"> </w:t>
      </w:r>
      <w:r>
        <w:t xml:space="preserve">‘</w:t>
      </w:r>
      <w:r>
        <w:t xml:space="preserve">tanā</w:t>
      </w:r>
      <w:r>
        <w:t xml:space="preserve">’</w:t>
      </w:r>
      <w:r>
        <w:t xml:space="preserve"> </w:t>
      </w:r>
      <w:r>
        <w:t xml:space="preserve">(continually)</w:t>
      </w:r>
      <w:r>
        <w:t xml:space="preserve"> </w:t>
      </w:r>
      <w:r>
        <w:t xml:space="preserve">‘</w:t>
      </w:r>
      <w:r>
        <w:t xml:space="preserve">pūtāsaḥ</w:t>
      </w:r>
      <w:r>
        <w:t xml:space="preserve">’</w:t>
      </w:r>
      <w:r>
        <w:t xml:space="preserve"> </w:t>
      </w:r>
      <w:r>
        <w:t xml:space="preserve">— purified, cleansed, since they have been filtered many times through the</w:t>
      </w:r>
      <w:r>
        <w:t xml:space="preserve"> </w:t>
      </w:r>
      <w:r>
        <w:t xml:space="preserve">‘</w:t>
      </w:r>
      <w:r>
        <w:t xml:space="preserve">daśā-pavitra</w:t>
      </w:r>
      <w:r>
        <w:t xml:space="preserve">’</w:t>
      </w:r>
      <w:r>
        <w:t xml:space="preserve"> </w:t>
      </w:r>
      <w:r>
        <w:t xml:space="preserve">(the woollen cloth with its fringe of threads).</w:t>
      </w:r>
      <w:r>
        <w:t xml:space="preserve">”</w:t>
      </w:r>
    </w:p>
    <w:p>
      <w:pPr>
        <w:pStyle w:val="BodyText"/>
      </w:pPr>
      <w:r>
        <w:rPr>
          <w:iCs/>
          <w:i/>
        </w:rPr>
        <w:t xml:space="preserve">(Note: the second</w:t>
      </w:r>
      <w:r>
        <w:rPr>
          <w:iCs/>
          <w:i/>
        </w:rPr>
        <w:t xml:space="preserve"> </w:t>
      </w:r>
      <w:r>
        <w:rPr>
          <w:iCs/>
          <w:i/>
        </w:rPr>
        <w:t xml:space="preserve">“</w:t>
      </w:r>
      <w:r>
        <w:rPr>
          <w:iCs/>
          <w:i/>
        </w:rPr>
        <w:t xml:space="preserve">tanā</w:t>
      </w:r>
      <w:r>
        <w:rPr>
          <w:iCs/>
          <w:i/>
        </w:rPr>
        <w:t xml:space="preserve">”</w:t>
      </w:r>
      <w:r>
        <w:rPr>
          <w:iCs/>
          <w:i/>
        </w:rPr>
        <w:t xml:space="preserve"> </w:t>
      </w:r>
      <w:r>
        <w:rPr>
          <w:iCs/>
          <w:i/>
        </w:rPr>
        <w:t xml:space="preserve">is taken by the Bhāṣya as</w:t>
      </w:r>
      <w:r>
        <w:rPr>
          <w:iCs/>
          <w:i/>
        </w:rPr>
        <w:t xml:space="preserve"> </w:t>
      </w:r>
      <w:r>
        <w:rPr>
          <w:iCs/>
          <w:i/>
        </w:rPr>
        <w:t xml:space="preserve">“</w:t>
      </w:r>
      <w:r>
        <w:rPr>
          <w:iCs/>
          <w:i/>
        </w:rPr>
        <w:t xml:space="preserve">nityam,</w:t>
      </w:r>
      <w:r>
        <w:rPr>
          <w:iCs/>
          <w:i/>
        </w:rPr>
        <w:t xml:space="preserve">”</w:t>
      </w:r>
      <w:r>
        <w:rPr>
          <w:iCs/>
          <w:i/>
        </w:rPr>
        <w:t xml:space="preserve"> </w:t>
      </w:r>
      <w:r>
        <w:rPr>
          <w:iCs/>
          <w:i/>
        </w:rPr>
        <w:t xml:space="preserve">“</w:t>
      </w:r>
      <w:r>
        <w:rPr>
          <w:iCs/>
          <w:i/>
        </w:rPr>
        <w:t xml:space="preserve">constantly</w:t>
      </w:r>
      <w:r>
        <w:rPr>
          <w:iCs/>
          <w:i/>
        </w:rPr>
        <w:t xml:space="preserve">”</w:t>
      </w:r>
      <w:r>
        <w:rPr>
          <w:iCs/>
          <w:i/>
        </w:rPr>
        <w:t xml:space="preserve">; the sentence</w:t>
      </w:r>
      <w:r>
        <w:rPr>
          <w:iCs/>
          <w:i/>
        </w:rPr>
        <w:t xml:space="preserve"> </w:t>
      </w:r>
      <w:r>
        <w:rPr>
          <w:iCs/>
          <w:i/>
        </w:rPr>
        <w:t xml:space="preserve">“</w:t>
      </w:r>
      <w:r>
        <w:rPr>
          <w:iCs/>
          <w:i/>
        </w:rPr>
        <w:t xml:space="preserve">tanā nityaṃ pūtāsaḥ</w:t>
      </w:r>
      <w:r>
        <w:rPr>
          <w:iCs/>
          <w:i/>
        </w:rPr>
        <w:t xml:space="preserve">”</w:t>
      </w:r>
      <w:r>
        <w:rPr>
          <w:iCs/>
          <w:i/>
        </w:rPr>
        <w:t xml:space="preserve"> </w:t>
      </w:r>
      <w:r>
        <w:rPr>
          <w:iCs/>
          <w:i/>
        </w:rPr>
        <w:t xml:space="preserve">is read in the print as shown.)</w:t>
      </w:r>
    </w:p>
    <w:p>
      <w:pPr>
        <w:pStyle w:val="BodyText"/>
      </w:pPr>
      <w:r>
        <w:rPr>
          <w:bCs/>
          <w:b/>
        </w:rPr>
        <w:t xml:space="preserve">The Nirukta’s etymologies of</w:t>
      </w:r>
      <w:r>
        <w:rPr>
          <w:bCs/>
          <w:b/>
        </w:rPr>
        <w:t xml:space="preserve"> </w:t>
      </w:r>
      <w:r>
        <w:rPr>
          <w:bCs/>
          <w:b/>
        </w:rPr>
        <w:t xml:space="preserve">“</w:t>
      </w:r>
      <w:r>
        <w:rPr>
          <w:bCs/>
          <w:b/>
        </w:rPr>
        <w:t xml:space="preserve">Indra.</w:t>
      </w:r>
      <w:r>
        <w:rPr>
          <w:bCs/>
          <w:b/>
        </w:rPr>
        <w:t xml:space="preserve">”</w:t>
      </w:r>
      <w:r>
        <w:t xml:space="preserve"> </w:t>
      </w:r>
      <w:r>
        <w:t xml:space="preserve">The Bhāṣya now cites Yāska (Nirukta 10-8):</w:t>
      </w:r>
    </w:p>
    <w:p>
      <w:pPr>
        <w:pStyle w:val="BlockText"/>
      </w:pPr>
      <w:r>
        <w:t xml:space="preserve">इन्द्रशब्दं यास्को बहुधा निर्वक्ति । इन्द्र इरां दृणातीति वेरां ददातीति वेरां दधातीति वेरां दारयतीति वेरां धारयतीति वेन्दवे द्रवतीति वेन्दौ रमत इति वेन्द्धे भूतानीति वा तद्यदेनं प्राणैः समैन्धंस्तदिन्द्रस्येन्द्रत्वमिति विज्ञायत इदंकरणादित्याग्रायण इदं दर्शनादित्यौपमन्यव इदन्तेर्वैश्वर्यकर्मण इञ्छत्रूणां दारयिता वा द्रावयिता वादरयिता च यज्वनाम् । नि. १०-८ ।</w:t>
      </w:r>
      <w:r>
        <w:t xml:space="preserve"> </w:t>
      </w:r>
      <w:r>
        <w:rPr>
          <w:iCs/>
          <w:i/>
        </w:rPr>
        <w:t xml:space="preserve">indra-śabdaṃ yāsko bahudhā nirvakti | indra irāṃ dṛṇātīti verāṃ dadātīti verāṃ dadhātīti verāṃ dārayatīti verāṃ dhārayatīti vendave dravatīti vendauramata iti vendhe bhūtānīti vā tad yad enaṃ prāṇaiḥ samaindhaṃs tad indrasyendratvam iti vijñāyata idaṃ-karaṇād ity āgrāyaṇa idaṃ darśanād ity aupamanyava idanter vaiśvarya-karmaṇa iñ chatrūṇāṃ dārayitā vā drāvayitā vādarayitā ca yajvanām | ni. 10-8 |</w:t>
      </w:r>
    </w:p>
    <w:p>
      <w:pPr>
        <w:pStyle w:val="FirstParagraph"/>
      </w:pPr>
      <w:r>
        <w:rPr>
          <w:iCs/>
          <w:i/>
        </w:rPr>
        <w:t xml:space="preserve">(Reading note: the clause after</w:t>
      </w:r>
      <w:r>
        <w:rPr>
          <w:iCs/>
          <w:i/>
        </w:rPr>
        <w:t xml:space="preserve"> </w:t>
      </w:r>
      <w:r>
        <w:rPr>
          <w:iCs/>
          <w:i/>
        </w:rPr>
        <w:t xml:space="preserve">“</w:t>
      </w:r>
      <w:r>
        <w:rPr>
          <w:iCs/>
          <w:i/>
        </w:rPr>
        <w:t xml:space="preserve">karmaṇa</w:t>
      </w:r>
      <w:r>
        <w:rPr>
          <w:iCs/>
          <w:i/>
        </w:rPr>
        <w:t xml:space="preserve">”</w:t>
      </w:r>
      <w:r>
        <w:rPr>
          <w:iCs/>
          <w:i/>
        </w:rPr>
        <w:t xml:space="preserve"> </w:t>
      </w:r>
      <w:r>
        <w:rPr>
          <w:iCs/>
          <w:i/>
        </w:rPr>
        <w:t xml:space="preserve">is printed</w:t>
      </w:r>
      <w:r>
        <w:rPr>
          <w:iCs/>
          <w:i/>
        </w:rPr>
        <w:t xml:space="preserve"> </w:t>
      </w:r>
      <w:r>
        <w:rPr>
          <w:iCs/>
          <w:i/>
        </w:rPr>
        <w:t xml:space="preserve">“</w:t>
      </w:r>
      <w:r>
        <w:rPr>
          <w:iCs/>
          <w:i/>
        </w:rPr>
        <w:t xml:space="preserve">ಇಞ್ಛತ್ರೂಣಾಂ</w:t>
      </w:r>
      <w:r>
        <w:rPr>
          <w:iCs/>
          <w:i/>
        </w:rPr>
        <w:t xml:space="preserve">”</w:t>
      </w:r>
      <w:r>
        <w:rPr>
          <w:iCs/>
          <w:i/>
        </w:rPr>
        <w:t xml:space="preserve"> </w:t>
      </w:r>
      <w:r>
        <w:rPr>
          <w:iCs/>
          <w:i/>
        </w:rPr>
        <w:t xml:space="preserve">— इञ्छत्रूणां (</w:t>
      </w:r>
      <w:r>
        <w:t xml:space="preserve">iñ chatrūṇāṃ</w:t>
      </w:r>
      <w:r>
        <w:rPr>
          <w:iCs/>
          <w:i/>
        </w:rPr>
        <w:t xml:space="preserve">, i.e. </w:t>
      </w:r>
      <w:r>
        <w:rPr>
          <w:iCs/>
          <w:i/>
        </w:rPr>
        <w:t xml:space="preserve">“</w:t>
      </w:r>
      <w:r>
        <w:rPr>
          <w:iCs/>
          <w:i/>
        </w:rPr>
        <w:t xml:space="preserve">in</w:t>
      </w:r>
      <w:r>
        <w:rPr>
          <w:iCs/>
          <w:i/>
        </w:rPr>
        <w:t xml:space="preserve">”</w:t>
      </w:r>
      <w:r>
        <w:rPr>
          <w:iCs/>
          <w:i/>
        </w:rPr>
        <w:t xml:space="preserve"> </w:t>
      </w:r>
      <w:r>
        <w:rPr>
          <w:iCs/>
          <w:i/>
        </w:rPr>
        <w:t xml:space="preserve">+</w:t>
      </w:r>
      <w:r>
        <w:rPr>
          <w:iCs/>
          <w:i/>
        </w:rPr>
        <w:t xml:space="preserve"> </w:t>
      </w:r>
      <w:r>
        <w:rPr>
          <w:iCs/>
          <w:i/>
        </w:rPr>
        <w:t xml:space="preserve">“</w:t>
      </w:r>
      <w:r>
        <w:rPr>
          <w:iCs/>
          <w:i/>
        </w:rPr>
        <w:t xml:space="preserve">śatrūṇām</w:t>
      </w:r>
      <w:r>
        <w:rPr>
          <w:iCs/>
          <w:i/>
        </w:rPr>
        <w:t xml:space="preserve">”</w:t>
      </w:r>
      <w:r>
        <w:rPr>
          <w:iCs/>
          <w:i/>
        </w:rPr>
        <w:t xml:space="preserve"> </w:t>
      </w:r>
      <w:r>
        <w:rPr>
          <w:iCs/>
          <w:i/>
        </w:rPr>
        <w:t xml:space="preserve">in sandhi); re-read from the better scan, Oct 2026.</w:t>
      </w:r>
      <w:r>
        <w:rPr>
          <w:iCs/>
          <w:i/>
        </w:rPr>
        <w:t xml:space="preserve"> </w:t>
      </w:r>
      <w:r>
        <w:rPr>
          <w:iCs/>
          <w:i/>
        </w:rPr>
        <w:t xml:space="preserve">“</w:t>
      </w:r>
      <w:r>
        <w:rPr>
          <w:iCs/>
          <w:i/>
        </w:rPr>
        <w:t xml:space="preserve">idanter</w:t>
      </w:r>
      <w:r>
        <w:rPr>
          <w:iCs/>
          <w:i/>
        </w:rPr>
        <w:t xml:space="preserve">”</w:t>
      </w:r>
      <w:r>
        <w:rPr>
          <w:iCs/>
          <w:i/>
        </w:rPr>
        <w:t xml:space="preserve"> </w:t>
      </w:r>
      <w:r>
        <w:rPr>
          <w:iCs/>
          <w:i/>
        </w:rPr>
        <w:t xml:space="preserve">is also printed thus, where a form of the root</w:t>
      </w:r>
      <w:r>
        <w:rPr>
          <w:iCs/>
          <w:i/>
        </w:rPr>
        <w:t xml:space="preserve"> </w:t>
      </w:r>
      <w:r>
        <w:rPr>
          <w:iCs/>
          <w:i/>
        </w:rPr>
        <w:t xml:space="preserve">“</w:t>
      </w:r>
      <w:r>
        <w:rPr>
          <w:iCs/>
          <w:i/>
        </w:rPr>
        <w:t xml:space="preserve">ind/ind</w:t>
      </w:r>
      <w:r>
        <w:rPr>
          <w:iCs/>
          <w:i/>
        </w:rPr>
        <w:t xml:space="preserve">”</w:t>
      </w:r>
      <w:r>
        <w:rPr>
          <w:iCs/>
          <w:i/>
        </w:rPr>
        <w:t xml:space="preserve"> </w:t>
      </w:r>
      <w:r>
        <w:rPr>
          <w:iCs/>
          <w:i/>
        </w:rPr>
        <w:t xml:space="preserve">might be expected.</w:t>
      </w:r>
      <w:r>
        <w:rPr>
          <w:iCs/>
          <w:i/>
        </w:rPr>
        <w:t xml:space="preserve"> </w:t>
      </w:r>
      <w:r>
        <w:rPr>
          <w:iCs/>
          <w:i/>
        </w:rPr>
        <w:t xml:space="preserve">“</w:t>
      </w:r>
      <w:r>
        <w:rPr>
          <w:iCs/>
          <w:i/>
        </w:rPr>
        <w:t xml:space="preserve">vera/vendave</w:t>
      </w:r>
      <w:r>
        <w:rPr>
          <w:iCs/>
          <w:i/>
        </w:rPr>
        <w:t xml:space="preserve">”</w:t>
      </w:r>
      <w:r>
        <w:rPr>
          <w:iCs/>
          <w:i/>
        </w:rPr>
        <w:t xml:space="preserve"> </w:t>
      </w:r>
      <w:r>
        <w:rPr>
          <w:iCs/>
          <w:i/>
        </w:rPr>
        <w:t xml:space="preserve">etc. are</w:t>
      </w:r>
      <w:r>
        <w:rPr>
          <w:iCs/>
          <w:i/>
        </w:rPr>
        <w:t xml:space="preserve"> </w:t>
      </w:r>
      <w:r>
        <w:rPr>
          <w:iCs/>
          <w:i/>
        </w:rPr>
        <w:t xml:space="preserve">“</w:t>
      </w:r>
      <w:r>
        <w:rPr>
          <w:iCs/>
          <w:i/>
        </w:rPr>
        <w:t xml:space="preserve">vā + irām / vā + indave,</w:t>
      </w:r>
      <w:r>
        <w:rPr>
          <w:iCs/>
          <w:i/>
        </w:rPr>
        <w:t xml:space="preserve">”</w:t>
      </w:r>
      <w:r>
        <w:rPr>
          <w:iCs/>
          <w:i/>
        </w:rPr>
        <w:t xml:space="preserve"> </w:t>
      </w:r>
      <w:r>
        <w:rPr>
          <w:iCs/>
          <w:i/>
        </w:rPr>
        <w:t xml:space="preserve">in sandhi.)</w:t>
      </w:r>
    </w:p>
    <w:p>
      <w:pPr>
        <w:pStyle w:val="BodyText"/>
      </w:pPr>
      <w:r>
        <w:rPr>
          <w:bCs/>
          <w:b/>
        </w:rPr>
        <w:t xml:space="preserve">Translation:</w:t>
      </w:r>
      <w:r>
        <w:t xml:space="preserve"> </w:t>
      </w:r>
      <w:r>
        <w:t xml:space="preserve">“</w:t>
      </w:r>
      <w:r>
        <w:t xml:space="preserve">Yāska explains the word</w:t>
      </w:r>
      <w:r>
        <w:t xml:space="preserve"> </w:t>
      </w:r>
      <w:r>
        <w:t xml:space="preserve">‘</w:t>
      </w:r>
      <w:r>
        <w:t xml:space="preserve">Indra</w:t>
      </w:r>
      <w:r>
        <w:t xml:space="preserve">’</w:t>
      </w:r>
      <w:r>
        <w:t xml:space="preserve"> </w:t>
      </w:r>
      <w:r>
        <w:t xml:space="preserve">in many ways:</w:t>
      </w:r>
      <w:r>
        <w:t xml:space="preserve"> </w:t>
      </w:r>
      <w:r>
        <w:t xml:space="preserve">‘</w:t>
      </w:r>
      <w:r>
        <w:t xml:space="preserve">Indra</w:t>
      </w:r>
      <w:r>
        <w:t xml:space="preserve">’</w:t>
      </w:r>
      <w:r>
        <w:t xml:space="preserve"> </w:t>
      </w:r>
      <w:r>
        <w:t xml:space="preserve">— either because he</w:t>
      </w:r>
      <w:r>
        <w:t xml:space="preserve"> </w:t>
      </w:r>
      <w:r>
        <w:rPr>
          <w:iCs/>
          <w:i/>
        </w:rPr>
        <w:t xml:space="preserve">tears open</w:t>
      </w:r>
      <w:r>
        <w:t xml:space="preserve"> </w:t>
      </w:r>
      <w:r>
        <w:t xml:space="preserve">(</w:t>
      </w:r>
      <w:r>
        <w:t xml:space="preserve">‘</w:t>
      </w:r>
      <w:r>
        <w:t xml:space="preserve">dṛṇāti</w:t>
      </w:r>
      <w:r>
        <w:t xml:space="preserve">’</w:t>
      </w:r>
      <w:r>
        <w:t xml:space="preserve">) the</w:t>
      </w:r>
      <w:r>
        <w:t xml:space="preserve"> </w:t>
      </w:r>
      <w:r>
        <w:t xml:space="preserve">‘</w:t>
      </w:r>
      <w:r>
        <w:t xml:space="preserve">irā</w:t>
      </w:r>
      <w:r>
        <w:t xml:space="preserve">’</w:t>
      </w:r>
      <w:r>
        <w:t xml:space="preserve"> </w:t>
      </w:r>
      <w:r>
        <w:t xml:space="preserve">(food/nourishment); or because he</w:t>
      </w:r>
      <w:r>
        <w:t xml:space="preserve"> </w:t>
      </w:r>
      <w:r>
        <w:rPr>
          <w:iCs/>
          <w:i/>
        </w:rPr>
        <w:t xml:space="preserve">gives</w:t>
      </w:r>
      <w:r>
        <w:t xml:space="preserve"> </w:t>
      </w:r>
      <w:r>
        <w:t xml:space="preserve">(</w:t>
      </w:r>
      <w:r>
        <w:t xml:space="preserve">‘</w:t>
      </w:r>
      <w:r>
        <w:t xml:space="preserve">dadāti</w:t>
      </w:r>
      <w:r>
        <w:t xml:space="preserve">’</w:t>
      </w:r>
      <w:r>
        <w:t xml:space="preserve">) irā; or because he</w:t>
      </w:r>
      <w:r>
        <w:t xml:space="preserve"> </w:t>
      </w:r>
      <w:r>
        <w:rPr>
          <w:iCs/>
          <w:i/>
        </w:rPr>
        <w:t xml:space="preserve">holds/supports</w:t>
      </w:r>
      <w:r>
        <w:t xml:space="preserve"> </w:t>
      </w:r>
      <w:r>
        <w:t xml:space="preserve">(</w:t>
      </w:r>
      <w:r>
        <w:t xml:space="preserve">‘</w:t>
      </w:r>
      <w:r>
        <w:t xml:space="preserve">dadhāti</w:t>
      </w:r>
      <w:r>
        <w:t xml:space="preserve">’</w:t>
      </w:r>
      <w:r>
        <w:t xml:space="preserve">) irā; or because he</w:t>
      </w:r>
      <w:r>
        <w:t xml:space="preserve"> </w:t>
      </w:r>
      <w:r>
        <w:rPr>
          <w:iCs/>
          <w:i/>
        </w:rPr>
        <w:t xml:space="preserve">splits</w:t>
      </w:r>
      <w:r>
        <w:t xml:space="preserve"> </w:t>
      </w:r>
      <w:r>
        <w:t xml:space="preserve">(</w:t>
      </w:r>
      <w:r>
        <w:t xml:space="preserve">‘</w:t>
      </w:r>
      <w:r>
        <w:t xml:space="preserve">dārayati</w:t>
      </w:r>
      <w:r>
        <w:t xml:space="preserve">’</w:t>
      </w:r>
      <w:r>
        <w:t xml:space="preserve">) irā; or because he</w:t>
      </w:r>
      <w:r>
        <w:t xml:space="preserve"> </w:t>
      </w:r>
      <w:r>
        <w:rPr>
          <w:iCs/>
          <w:i/>
        </w:rPr>
        <w:t xml:space="preserve">sustains</w:t>
      </w:r>
      <w:r>
        <w:t xml:space="preserve"> </w:t>
      </w:r>
      <w:r>
        <w:t xml:space="preserve">(</w:t>
      </w:r>
      <w:r>
        <w:t xml:space="preserve">‘</w:t>
      </w:r>
      <w:r>
        <w:t xml:space="preserve">dhārayati</w:t>
      </w:r>
      <w:r>
        <w:t xml:space="preserve">’</w:t>
      </w:r>
      <w:r>
        <w:t xml:space="preserve">) irā; or because he</w:t>
      </w:r>
      <w:r>
        <w:t xml:space="preserve"> </w:t>
      </w:r>
      <w:r>
        <w:rPr>
          <w:iCs/>
          <w:i/>
        </w:rPr>
        <w:t xml:space="preserve">runs</w:t>
      </w:r>
      <w:r>
        <w:t xml:space="preserve"> </w:t>
      </w:r>
      <w:r>
        <w:t xml:space="preserve">(</w:t>
      </w:r>
      <w:r>
        <w:t xml:space="preserve">‘</w:t>
      </w:r>
      <w:r>
        <w:t xml:space="preserve">dravati</w:t>
      </w:r>
      <w:r>
        <w:t xml:space="preserve">’</w:t>
      </w:r>
      <w:r>
        <w:t xml:space="preserve">) to the</w:t>
      </w:r>
      <w:r>
        <w:t xml:space="preserve"> </w:t>
      </w:r>
      <w:r>
        <w:t xml:space="preserve">‘</w:t>
      </w:r>
      <w:r>
        <w:t xml:space="preserve">indu</w:t>
      </w:r>
      <w:r>
        <w:t xml:space="preserve">’</w:t>
      </w:r>
      <w:r>
        <w:t xml:space="preserve"> </w:t>
      </w:r>
      <w:r>
        <w:t xml:space="preserve">(Soma-drop); or because he</w:t>
      </w:r>
      <w:r>
        <w:t xml:space="preserve"> </w:t>
      </w:r>
      <w:r>
        <w:rPr>
          <w:iCs/>
          <w:i/>
        </w:rPr>
        <w:t xml:space="preserve">delights</w:t>
      </w:r>
      <w:r>
        <w:t xml:space="preserve"> </w:t>
      </w:r>
      <w:r>
        <w:t xml:space="preserve">(</w:t>
      </w:r>
      <w:r>
        <w:t xml:space="preserve">‘</w:t>
      </w:r>
      <w:r>
        <w:t xml:space="preserve">ramate</w:t>
      </w:r>
      <w:r>
        <w:t xml:space="preserve">’</w:t>
      </w:r>
      <w:r>
        <w:t xml:space="preserve">) in the Soma-drop; or because he</w:t>
      </w:r>
      <w:r>
        <w:t xml:space="preserve"> </w:t>
      </w:r>
      <w:r>
        <w:rPr>
          <w:iCs/>
          <w:i/>
        </w:rPr>
        <w:t xml:space="preserve">kindles</w:t>
      </w:r>
      <w:r>
        <w:t xml:space="preserve"> </w:t>
      </w:r>
      <w:r>
        <w:t xml:space="preserve">(</w:t>
      </w:r>
      <w:r>
        <w:t xml:space="preserve">‘</w:t>
      </w:r>
      <w:r>
        <w:t xml:space="preserve">indhe</w:t>
      </w:r>
      <w:r>
        <w:t xml:space="preserve">’</w:t>
      </w:r>
      <w:r>
        <w:t xml:space="preserve">) living beings. And it is known (from the Brāhmaṇa) that</w:t>
      </w:r>
      <w:r>
        <w:t xml:space="preserve"> </w:t>
      </w:r>
      <w:r>
        <w:rPr>
          <w:iCs/>
          <w:i/>
        </w:rPr>
        <w:t xml:space="preserve">‘</w:t>
      </w:r>
      <w:r>
        <w:rPr>
          <w:iCs/>
          <w:i/>
        </w:rPr>
        <w:t xml:space="preserve">because they kindled him (’samaindhan</w:t>
      </w:r>
      <w:r>
        <w:rPr>
          <w:iCs/>
          <w:i/>
        </w:rPr>
        <w:t xml:space="preserve">’</w:t>
      </w:r>
      <w:r>
        <w:rPr>
          <w:iCs/>
          <w:i/>
        </w:rPr>
        <w:t xml:space="preserve">) with the vital breaths, that is the Indra-hood of Indra.’</w:t>
      </w:r>
      <w:r>
        <w:t xml:space="preserve"> </w:t>
      </w:r>
      <w:r>
        <w:t xml:space="preserve">Āgrāyaṇa says:</w:t>
      </w:r>
      <w:r>
        <w:t xml:space="preserve"> </w:t>
      </w:r>
      <w:r>
        <w:t xml:space="preserve">‘</w:t>
      </w:r>
      <w:r>
        <w:t xml:space="preserve">from</w:t>
      </w:r>
      <w:r>
        <w:t xml:space="preserve"> </w:t>
      </w:r>
      <w:r>
        <w:t xml:space="preserve">“</w:t>
      </w:r>
      <w:r>
        <w:t xml:space="preserve">idaṃ-karaṇa,</w:t>
      </w:r>
      <w:r>
        <w:t xml:space="preserve">”</w:t>
      </w:r>
      <w:r>
        <w:t xml:space="preserve"> </w:t>
      </w:r>
      <w:r>
        <w:t xml:space="preserve">making this (world).</w:t>
      </w:r>
      <w:r>
        <w:t xml:space="preserve">’</w:t>
      </w:r>
      <w:r>
        <w:t xml:space="preserve"> </w:t>
      </w:r>
      <w:r>
        <w:t xml:space="preserve">Aupamanyava says:</w:t>
      </w:r>
      <w:r>
        <w:t xml:space="preserve"> </w:t>
      </w:r>
      <w:r>
        <w:t xml:space="preserve">‘</w:t>
      </w:r>
      <w:r>
        <w:t xml:space="preserve">from</w:t>
      </w:r>
      <w:r>
        <w:t xml:space="preserve"> </w:t>
      </w:r>
      <w:r>
        <w:t xml:space="preserve">“</w:t>
      </w:r>
      <w:r>
        <w:t xml:space="preserve">idaṃ-darśana,</w:t>
      </w:r>
      <w:r>
        <w:t xml:space="preserve">”</w:t>
      </w:r>
      <w:r>
        <w:t xml:space="preserve"> </w:t>
      </w:r>
      <w:r>
        <w:t xml:space="preserve">seeing this.</w:t>
      </w:r>
      <w:r>
        <w:t xml:space="preserve">’</w:t>
      </w:r>
      <w:r>
        <w:t xml:space="preserve"> </w:t>
      </w:r>
      <w:r>
        <w:t xml:space="preserve">[The next clause, drawing on the root</w:t>
      </w:r>
      <w:r>
        <w:t xml:space="preserve"> </w:t>
      </w:r>
      <w:r>
        <w:t xml:space="preserve">‘</w:t>
      </w:r>
      <w:r>
        <w:t xml:space="preserve">ind</w:t>
      </w:r>
      <w:r>
        <w:t xml:space="preserve">’</w:t>
      </w:r>
      <w:r>
        <w:t xml:space="preserve"> </w:t>
      </w:r>
      <w:r>
        <w:t xml:space="preserve">in the sense of lordship, and the closing sense — Indra as the one who tears apart, drives off, and shatters (the foes)</w:t>
      </w:r>
      <w:r>
        <w:t xml:space="preserve"> </w:t>
      </w:r>
      <w:r>
        <w:rPr>
          <w:iCs/>
          <w:i/>
        </w:rPr>
        <w:t xml:space="preserve">and</w:t>
      </w:r>
      <w:r>
        <w:t xml:space="preserve"> </w:t>
      </w:r>
      <w:r>
        <w:t xml:space="preserve">protects the sacrificers — is partly blurred in the print and given here as a paraphrase, not a verified reading.] (Nirukta 10.8)</w:t>
      </w:r>
      <w:r>
        <w:t xml:space="preserve">”</w:t>
      </w:r>
    </w:p>
    <w:p>
      <w:pPr>
        <w:pStyle w:val="BlockText"/>
      </w:pPr>
      <w:r>
        <w:t xml:space="preserve">इति । अस्यायमर्थः । दृ विदारण इति धातुः । इरामन्नमुद्दिश्य तन्निष्पादकजलसिद्ध्यर्थं दृणाति मेघं विदीर्णं करोतीतीन्द्रः । डुदाञ् दान इति धातुः । इरामन्नं वृष्टिनिष्पादनेन ददातीतीन्द्रः । धाञ् पोषणार्थः । इरामन्नं तृप्तिकारणं सस्यं दधाति जलप्रदानेन पुष्णातीतीन्द्रः । इरामुत्पादयितुं कर्षकमुखेन भूमिं विदारयतीतीन्द्रः । पूर्वोक्तपोषणमुखेनेरां धारयति विनाशराहित्येन स्थापयतीतीन्द्रः । इन्दुः सोमो वल्लीरसः । तदर्थं यागभूमौ द्रवति धावतीतीन्द्रः । इन्दौ यथोक्ते सोमे रमते क्रीडतीतीन्द्रः । ञिइन्धी दीप्ताविति धातुः । भूतानि प्राणिदेहानिन्द्धे जीवचैतन्यरूपेणान्तः प्रविश्य दीपयतीतीन्द्रः ।</w:t>
      </w:r>
      <w:r>
        <w:t xml:space="preserve"> </w:t>
      </w:r>
      <w:r>
        <w:rPr>
          <w:iCs/>
          <w:i/>
        </w:rPr>
        <w:t xml:space="preserve">iti | asyāyam arthaḥ | dṛ vidāraṇa iti dhātuḥ | irām annam uddiśya tan-niṣpādaka-jala-siddhy-arthaṃ dṛṇāti megham vidīrṇaṃ karotīti indraḥ | ḍudāñ dāna iti dhātuḥ | irām annaṃ vṛṣṭi-niṣpādanena dadātīti indraḥ | dhāñ poṣaṇārthaḥ | irām annaṃ tṛpti-kāraṇaṃ sasyaṃ dadhāti jala-pradānena puṣṇātīti indraḥ | irām utpādayituṃ karṣaka-mukhena bhūmiṃ vidārayatīti indraḥ | pūrvokta-poṣaṇa-mukhenerāṃ dhārayati vināśa-rāhityena sthāpayatīti indraḥ | induḥ somo vallī-rasaḥ | tad-arthaṃ yāga-bhūmau dravati dhāvatīti indraḥ | indau yathokte some ramate krīḍatīti indraḥ | ñi-indhī dīptāv iti dhātuḥ | bhūtāni prāṇi-dehān indhe jīva-caitanya-rūpeṇāntaḥ praviśya dīpayatīti indraḥ |</w:t>
      </w:r>
    </w:p>
    <w:p>
      <w:pPr>
        <w:pStyle w:val="FirstParagraph"/>
      </w:pPr>
      <w:r>
        <w:rPr>
          <w:bCs/>
          <w:b/>
        </w:rPr>
        <w:t xml:space="preserve">Translation:</w:t>
      </w:r>
      <w:r>
        <w:t xml:space="preserve"> </w:t>
      </w:r>
      <w:r>
        <w:t xml:space="preserve">“</w:t>
      </w:r>
      <w:r>
        <w:t xml:space="preserve">The sense of this is as follows. (1) The root is</w:t>
      </w:r>
      <w:r>
        <w:t xml:space="preserve"> </w:t>
      </w:r>
      <w:r>
        <w:t xml:space="preserve">‘</w:t>
      </w:r>
      <w:r>
        <w:t xml:space="preserve">dṛ,</w:t>
      </w:r>
      <w:r>
        <w:t xml:space="preserve">’</w:t>
      </w:r>
      <w:r>
        <w:t xml:space="preserve"> </w:t>
      </w:r>
      <w:r>
        <w:t xml:space="preserve">in the sense of splitting:</w:t>
      </w:r>
      <w:r>
        <w:t xml:space="preserve"> </w:t>
      </w:r>
      <w:r>
        <w:rPr>
          <w:iCs/>
          <w:i/>
        </w:rPr>
        <w:t xml:space="preserve">aiming at irā (food), and for the sake of producing the water that produces it, he splits the cloud open</w:t>
      </w:r>
      <w:r>
        <w:t xml:space="preserve"> </w:t>
      </w:r>
      <w:r>
        <w:t xml:space="preserve">— hence Indra. (2) The root is</w:t>
      </w:r>
      <w:r>
        <w:t xml:space="preserve"> </w:t>
      </w:r>
      <w:r>
        <w:t xml:space="preserve">‘</w:t>
      </w:r>
      <w:r>
        <w:t xml:space="preserve">ḍudāñ,</w:t>
      </w:r>
      <w:r>
        <w:t xml:space="preserve">’</w:t>
      </w:r>
      <w:r>
        <w:t xml:space="preserve"> </w:t>
      </w:r>
      <w:r>
        <w:t xml:space="preserve">to give:</w:t>
      </w:r>
      <w:r>
        <w:t xml:space="preserve"> </w:t>
      </w:r>
      <w:r>
        <w:rPr>
          <w:iCs/>
          <w:i/>
        </w:rPr>
        <w:t xml:space="preserve">he gives irā, food, by bringing rain about</w:t>
      </w:r>
      <w:r>
        <w:t xml:space="preserve"> </w:t>
      </w:r>
      <w:r>
        <w:t xml:space="preserve">— hence Indra. (3) The root is</w:t>
      </w:r>
      <w:r>
        <w:t xml:space="preserve"> </w:t>
      </w:r>
      <w:r>
        <w:t xml:space="preserve">‘</w:t>
      </w:r>
      <w:r>
        <w:t xml:space="preserve">dhāñ,</w:t>
      </w:r>
      <w:r>
        <w:t xml:space="preserve">’</w:t>
      </w:r>
      <w:r>
        <w:t xml:space="preserve"> </w:t>
      </w:r>
      <w:r>
        <w:t xml:space="preserve">for nourishing:</w:t>
      </w:r>
      <w:r>
        <w:t xml:space="preserve"> </w:t>
      </w:r>
      <w:r>
        <w:rPr>
          <w:iCs/>
          <w:i/>
        </w:rPr>
        <w:t xml:space="preserve">he supports irā, food — the grain that is the cause of satiety — nourishing it by the gift of water</w:t>
      </w:r>
      <w:r>
        <w:t xml:space="preserve"> </w:t>
      </w:r>
      <w:r>
        <w:t xml:space="preserve">— hence Indra. (4)</w:t>
      </w:r>
      <w:r>
        <w:t xml:space="preserve"> </w:t>
      </w:r>
      <w:r>
        <w:rPr>
          <w:iCs/>
          <w:i/>
        </w:rPr>
        <w:t xml:space="preserve">To bring forth irā he splits the earth, by means of the ploughman</w:t>
      </w:r>
      <w:r>
        <w:t xml:space="preserve"> </w:t>
      </w:r>
      <w:r>
        <w:t xml:space="preserve">— hence Indra. (5)</w:t>
      </w:r>
      <w:r>
        <w:t xml:space="preserve"> </w:t>
      </w:r>
      <w:r>
        <w:rPr>
          <w:iCs/>
          <w:i/>
        </w:rPr>
        <w:t xml:space="preserve">By means of the nourishment mentioned above he sustains irā, he establishes it free from destruction</w:t>
      </w:r>
      <w:r>
        <w:t xml:space="preserve"> </w:t>
      </w:r>
      <w:r>
        <w:t xml:space="preserve">— hence Indra. (6)</w:t>
      </w:r>
      <w:r>
        <w:t xml:space="preserve"> </w:t>
      </w:r>
      <w:r>
        <w:t xml:space="preserve">‘</w:t>
      </w:r>
      <w:r>
        <w:t xml:space="preserve">Indu</w:t>
      </w:r>
      <w:r>
        <w:t xml:space="preserve">’</w:t>
      </w:r>
      <w:r>
        <w:t xml:space="preserve"> </w:t>
      </w:r>
      <w:r>
        <w:t xml:space="preserve">is the Soma, the juice of the creeper:</w:t>
      </w:r>
      <w:r>
        <w:t xml:space="preserve"> </w:t>
      </w:r>
      <w:r>
        <w:rPr>
          <w:iCs/>
          <w:i/>
        </w:rPr>
        <w:t xml:space="preserve">for its sake he runs, he hastens, to the ground of the sacrifice</w:t>
      </w:r>
      <w:r>
        <w:t xml:space="preserve"> </w:t>
      </w:r>
      <w:r>
        <w:t xml:space="preserve">— hence Indra. (7)</w:t>
      </w:r>
      <w:r>
        <w:t xml:space="preserve"> </w:t>
      </w:r>
      <w:r>
        <w:rPr>
          <w:iCs/>
          <w:i/>
        </w:rPr>
        <w:t xml:space="preserve">He delights, he plays, in the Soma, the</w:t>
      </w:r>
      <w:r>
        <w:rPr>
          <w:iCs/>
          <w:i/>
        </w:rPr>
        <w:t xml:space="preserve"> </w:t>
      </w:r>
      <w:r>
        <w:rPr>
          <w:iCs/>
          <w:i/>
        </w:rPr>
        <w:t xml:space="preserve">‘</w:t>
      </w:r>
      <w:r>
        <w:rPr>
          <w:iCs/>
          <w:i/>
        </w:rPr>
        <w:t xml:space="preserve">indu</w:t>
      </w:r>
      <w:r>
        <w:rPr>
          <w:iCs/>
          <w:i/>
        </w:rPr>
        <w:t xml:space="preserve">’</w:t>
      </w:r>
      <w:r>
        <w:rPr>
          <w:iCs/>
          <w:i/>
        </w:rPr>
        <w:t xml:space="preserve"> </w:t>
      </w:r>
      <w:r>
        <w:rPr>
          <w:iCs/>
          <w:i/>
        </w:rPr>
        <w:t xml:space="preserve">as described</w:t>
      </w:r>
      <w:r>
        <w:t xml:space="preserve"> </w:t>
      </w:r>
      <w:r>
        <w:t xml:space="preserve">— hence Indra. (8) The root is</w:t>
      </w:r>
      <w:r>
        <w:t xml:space="preserve"> </w:t>
      </w:r>
      <w:r>
        <w:t xml:space="preserve">‘</w:t>
      </w:r>
      <w:r>
        <w:t xml:space="preserve">ñi-indhī,</w:t>
      </w:r>
      <w:r>
        <w:t xml:space="preserve">’</w:t>
      </w:r>
      <w:r>
        <w:t xml:space="preserve"> </w:t>
      </w:r>
      <w:r>
        <w:t xml:space="preserve">in the sense of kindling:</w:t>
      </w:r>
      <w:r>
        <w:t xml:space="preserve"> </w:t>
      </w:r>
      <w:r>
        <w:rPr>
          <w:iCs/>
          <w:i/>
        </w:rPr>
        <w:t xml:space="preserve">he kindles living beings — the bodies of creatures — by entering within them in the form of life-consciousness</w:t>
      </w:r>
      <w:r>
        <w:t xml:space="preserve"> </w:t>
      </w:r>
      <w:r>
        <w:t xml:space="preserve">— hence Indra.</w:t>
      </w:r>
      <w:r>
        <w:t xml:space="preserve">”</w:t>
      </w:r>
    </w:p>
    <w:p>
      <w:pPr>
        <w:pStyle w:val="BlockText"/>
      </w:pPr>
      <w:r>
        <w:t xml:space="preserve">एतदेवाभिप्रेत्य वाजसनेयिन आमनन्ति । इन्धो ह वै नाम्येष योऽयं दक्षिणेऽक्षन्पुरुषः । तं वा एतमिन्धं सन्तमिन्द्र इत्याचक्षते । परोक्षेण परोक्षप्रिया इव हि देवाः प्रत्यक्षद्विषः शत. ब्रा. १४-६-१०-२ । इति । तद्यदित्यादिकं ब्राह्मणान्तरवाक्यम् । तत्रेन्द्रविषये निर्वचनमुच्यत इति शेषः ।</w:t>
      </w:r>
      <w:r>
        <w:t xml:space="preserve"> </w:t>
      </w:r>
      <w:r>
        <w:rPr>
          <w:iCs/>
          <w:i/>
        </w:rPr>
        <w:t xml:space="preserve">etad evābhipretya vājasaneyina āmananti | indho ha vai nāmy eṣa yo’yaṃ dakṣiṇe’kṣan puruṣaḥ | taṃ vā etam indhaṃ santam indra ity ācakṣate | parokṣeṇa parokṣa-priyā iva hi devāḥ pratyakṣa-dviṣaḥ | śata. brā. 14-6-10-2 | iti | tad yad ity ādikaṃ brāhmaṇāntara-vākyam | tatra indra-viṣaye nirvacanam ucyata iti śeṣaḥ |</w:t>
      </w:r>
    </w:p>
    <w:p>
      <w:pPr>
        <w:pStyle w:val="FirstParagraph"/>
      </w:pPr>
      <w:r>
        <w:rPr>
          <w:bCs/>
          <w:b/>
        </w:rPr>
        <w:t xml:space="preserve">Translation:</w:t>
      </w:r>
      <w:r>
        <w:t xml:space="preserve"> </w:t>
      </w:r>
      <w:r>
        <w:t xml:space="preserve">“</w:t>
      </w:r>
      <w:r>
        <w:t xml:space="preserve">With just this in view the Vājasaneyins (the White-Yajurveda school) declare:</w:t>
      </w:r>
      <w:r>
        <w:t xml:space="preserve"> </w:t>
      </w:r>
      <w:r>
        <w:t xml:space="preserve">‘</w:t>
      </w:r>
      <w:r>
        <w:rPr>
          <w:iCs/>
          <w:i/>
        </w:rPr>
        <w:t xml:space="preserve">“</w:t>
      </w:r>
      <w:r>
        <w:rPr>
          <w:iCs/>
          <w:i/>
        </w:rPr>
        <w:t xml:space="preserve">Indha</w:t>
      </w:r>
      <w:r>
        <w:rPr>
          <w:iCs/>
          <w:i/>
        </w:rPr>
        <w:t xml:space="preserve">”</w:t>
      </w:r>
      <w:r>
        <w:rPr>
          <w:iCs/>
          <w:i/>
        </w:rPr>
        <w:t xml:space="preserve"> </w:t>
      </w:r>
      <w:r>
        <w:rPr>
          <w:iCs/>
          <w:i/>
        </w:rPr>
        <w:t xml:space="preserve">indeed is the name of this person who is here in the right eye; and him, though he is</w:t>
      </w:r>
      <w:r>
        <w:rPr>
          <w:iCs/>
          <w:i/>
        </w:rPr>
        <w:t xml:space="preserve"> </w:t>
      </w:r>
      <w:r>
        <w:rPr>
          <w:iCs/>
          <w:i/>
        </w:rPr>
        <w:t xml:space="preserve">“</w:t>
      </w:r>
      <w:r>
        <w:rPr>
          <w:iCs/>
          <w:i/>
        </w:rPr>
        <w:t xml:space="preserve">Indha,</w:t>
      </w:r>
      <w:r>
        <w:rPr>
          <w:iCs/>
          <w:i/>
        </w:rPr>
        <w:t xml:space="preserve">”</w:t>
      </w:r>
      <w:r>
        <w:rPr>
          <w:iCs/>
          <w:i/>
        </w:rPr>
        <w:t xml:space="preserve"> </w:t>
      </w:r>
      <w:r>
        <w:rPr>
          <w:iCs/>
          <w:i/>
        </w:rPr>
        <w:t xml:space="preserve">they call</w:t>
      </w:r>
      <w:r>
        <w:rPr>
          <w:iCs/>
          <w:i/>
        </w:rPr>
        <w:t xml:space="preserve"> </w:t>
      </w:r>
      <w:r>
        <w:rPr>
          <w:iCs/>
          <w:i/>
        </w:rPr>
        <w:t xml:space="preserve">“</w:t>
      </w:r>
      <w:r>
        <w:rPr>
          <w:iCs/>
          <w:i/>
        </w:rPr>
        <w:t xml:space="preserve">Indra</w:t>
      </w:r>
      <w:r>
        <w:rPr>
          <w:iCs/>
          <w:i/>
        </w:rPr>
        <w:t xml:space="preserve">”</w:t>
      </w:r>
      <w:r>
        <w:rPr>
          <w:iCs/>
          <w:i/>
        </w:rPr>
        <w:t xml:space="preserve"> </w:t>
      </w:r>
      <w:r>
        <w:rPr>
          <w:iCs/>
          <w:i/>
        </w:rPr>
        <w:t xml:space="preserve">— by way of indirect speech; for the gods love the indirect, and are averse to the direct.</w:t>
      </w:r>
      <w:r>
        <w:t xml:space="preserve">’</w:t>
      </w:r>
      <w:r>
        <w:t xml:space="preserve"> </w:t>
      </w:r>
      <w:r>
        <w:t xml:space="preserve">(Śatapatha Brāhmaṇa 14.6.10.2 [as read in the print]). The sentence beginning</w:t>
      </w:r>
      <w:r>
        <w:t xml:space="preserve"> </w:t>
      </w:r>
      <w:r>
        <w:t xml:space="preserve">‘</w:t>
      </w:r>
      <w:r>
        <w:t xml:space="preserve">tad yad…</w:t>
      </w:r>
      <w:r>
        <w:t xml:space="preserve">’</w:t>
      </w:r>
      <w:r>
        <w:t xml:space="preserve"> </w:t>
      </w:r>
      <w:r>
        <w:t xml:space="preserve">(</w:t>
      </w:r>
      <w:r>
        <w:t xml:space="preserve">‘</w:t>
      </w:r>
      <w:r>
        <w:t xml:space="preserve">that which…</w:t>
      </w:r>
      <w:r>
        <w:t xml:space="preserve">’</w:t>
      </w:r>
      <w:r>
        <w:t xml:space="preserve">) is from another Brāhmaṇa; the supplied sense is</w:t>
      </w:r>
      <w:r>
        <w:t xml:space="preserve"> </w:t>
      </w:r>
      <w:r>
        <w:t xml:space="preserve">‘</w:t>
      </w:r>
      <w:r>
        <w:t xml:space="preserve">in it, an etymology concerning Indra is given.</w:t>
      </w:r>
      <w:r>
        <w:t xml:space="preserve">’</w:t>
      </w:r>
      <w:r>
        <w:t xml:space="preserve">”</w:t>
      </w:r>
    </w:p>
    <w:p>
      <w:pPr>
        <w:pStyle w:val="BodyText"/>
      </w:pPr>
      <w:r>
        <w:rPr>
          <w:iCs/>
          <w:i/>
        </w:rPr>
        <w:t xml:space="preserve">(Note:</w:t>
      </w:r>
      <w:r>
        <w:rPr>
          <w:iCs/>
          <w:i/>
        </w:rPr>
        <w:t xml:space="preserve"> </w:t>
      </w:r>
      <w:r>
        <w:rPr>
          <w:iCs/>
          <w:i/>
        </w:rPr>
        <w:t xml:space="preserve">“</w:t>
      </w:r>
      <w:r>
        <w:rPr>
          <w:iCs/>
          <w:i/>
        </w:rPr>
        <w:t xml:space="preserve">nāmy eṣa</w:t>
      </w:r>
      <w:r>
        <w:rPr>
          <w:iCs/>
          <w:i/>
        </w:rPr>
        <w:t xml:space="preserve">”</w:t>
      </w:r>
      <w:r>
        <w:rPr>
          <w:iCs/>
          <w:i/>
        </w:rPr>
        <w:t xml:space="preserve"> </w:t>
      </w:r>
      <w:r>
        <w:rPr>
          <w:iCs/>
          <w:i/>
        </w:rPr>
        <w:t xml:space="preserve">is the print’s reading as I could make it out; the sense,</w:t>
      </w:r>
      <w:r>
        <w:rPr>
          <w:iCs/>
          <w:i/>
        </w:rPr>
        <w:t xml:space="preserve"> </w:t>
      </w:r>
      <w:r>
        <w:rPr>
          <w:iCs/>
          <w:i/>
        </w:rPr>
        <w:t xml:space="preserve">‘</w:t>
      </w:r>
      <w:r>
        <w:rPr>
          <w:iCs/>
          <w:i/>
        </w:rPr>
        <w:t xml:space="preserve">is the name — this one,</w:t>
      </w:r>
      <w:r>
        <w:rPr>
          <w:iCs/>
          <w:i/>
        </w:rPr>
        <w:t xml:space="preserve">’</w:t>
      </w:r>
      <w:r>
        <w:rPr>
          <w:iCs/>
          <w:i/>
        </w:rPr>
        <w:t xml:space="preserve"> </w:t>
      </w:r>
      <w:r>
        <w:rPr>
          <w:iCs/>
          <w:i/>
        </w:rPr>
        <w:t xml:space="preserve">is not affected.)</w:t>
      </w:r>
    </w:p>
    <w:p>
      <w:pPr>
        <w:pStyle w:val="BlockText"/>
      </w:pPr>
      <w:r>
        <w:t xml:space="preserve">यद्यस्मात्कारणादेनं परमात्मरूपमिन्द्रं देवं प्राणैर्वाक्चक्षुरादीन्द्रियैः प्राणापानादिवायुभिश्च सहितं समैन्धन्नुपासका ध्यानेन सम्यक् प्रकाशितवन्तस्तस्मात्कारणादिन्द्रनाम संपन्नम् — अस्मिन्पक्ष इध्यते दीप्यत इति कर्मणि व्युत्पत्तिः । आग्रायणनामको मुनिरिदंकरणादिन्द्र इति निर्वचनं मन्यते । इन्द्रो हि परमात्मरूपेणेदं जगत्करोति । औपमन्यवनामको मुनिरिदंदर्शनादिन्द्र इति निर्वचनमाह । इदमित्यापरोक्ष्यमुच्यते । विवेकेन हि परमात्मानमापरोक्ष्येण पश्यति । एतदेवाभिप्रेत्यारण्यककाण्डे समाम्नायते स एतमेव पुरुषं ब्रह्म ततमम् अपश्यदिदमदर्शमिती३ । तस्मादिदन्द्रो नामेदन्द्रो ह वै नाम तमिदन्द्रं सन्तमिन्द्र इत्याचक्षते परोक्षेण परोक्षप्रिया इव हि देवाः ऐ. आ. २-४-३ । इति । इदि परमैश्वर्य इति धातुः । स्वमायया जगद्रूपत्वं परमैश्वर्यम् । तद्योगादिन्द्रः । अनेनाभिप्रायेण श्रूयते । इन्द्रो…</w:t>
      </w:r>
      <w:r>
        <w:t xml:space="preserve"> </w:t>
      </w:r>
      <w:r>
        <w:rPr>
          <w:iCs/>
          <w:i/>
        </w:rPr>
        <w:t xml:space="preserve">yad yasmāt kāraṇād enaṃ paramātma-rūpam indraṃ devaṃ prāṇair vāk-cakṣur-ādīndriyaiḥ prāṇāpānādi-vāyubhiś ca sahitaṃ samaindhann upāsakā dhyānena samyak prakāśitavantas tasmāt kāraṇād indra-nāma sampannam — asmin pakṣa idhyate dīpyata iti karmaṇi vyutpattiḥ | āgrāyaṇa-nāmako munir idaṃ-karaṇād indra iti nirvacanaṃ manyate | indro hi paramātma-rūpeṇedaṃ jagat karoti | aupamanyava-nāmako munir idaṃ-darśanād indra iti nirvacanam āha | idam ity āparokṣyam ucyate | vivekena hi paramātmānam āparokṣyeṇa paśyati | etad evābhipretyāraṇyaka-kāṇḍe samāmnāyate sa etam eva puruṣaṃ brahma tatamam apaśyad idam adarśam itī3 | tasmād idandro nāmedandro ha vai nāma tam idandraṃ santam indra ity ācakṣate parokṣeṇa parokṣa-priyā iva hi devāḥ | ai. ā. 2-4-3 | iti | idi paramaiśvarya iti dhātuḥ | sva-māyayā jagad-rūpatvaṃ paramaiśvaryam | tad-yogād indraḥ | anenābhiprāyeṇa śrūyate | indro…</w:t>
      </w:r>
    </w:p>
    <w:p>
      <w:pPr>
        <w:pStyle w:val="FirstParagraph"/>
      </w:pPr>
      <w:r>
        <w:rPr>
          <w:bCs/>
          <w:b/>
        </w:rPr>
        <w:t xml:space="preserve">Translation:</w:t>
      </w:r>
      <w:r>
        <w:t xml:space="preserve"> </w:t>
      </w:r>
      <w:r>
        <w:t xml:space="preserve">“</w:t>
      </w:r>
      <w:r>
        <w:t xml:space="preserve">‘</w:t>
      </w:r>
      <w:r>
        <w:t xml:space="preserve">Because the worshippers, by meditation, fully kindled this god Indra — whose form is the Supreme Self — together with the senses (vital breaths, speech, sight and the rest) and the vital airs (prāṇa, apāna and the rest), therefore the name</w:t>
      </w:r>
      <w:r>
        <w:t xml:space="preserve"> </w:t>
      </w:r>
      <w:r>
        <w:t xml:space="preserve">“</w:t>
      </w:r>
      <w:r>
        <w:t xml:space="preserve">Indra</w:t>
      </w:r>
      <w:r>
        <w:t xml:space="preserve">”</w:t>
      </w:r>
      <w:r>
        <w:t xml:space="preserve"> </w:t>
      </w:r>
      <w:r>
        <w:t xml:space="preserve">arose</w:t>
      </w:r>
      <w:r>
        <w:t xml:space="preserve">’</w:t>
      </w:r>
      <w:r>
        <w:t xml:space="preserve"> </w:t>
      </w:r>
      <w:r>
        <w:t xml:space="preserve">— in this view (</w:t>
      </w:r>
      <w:r>
        <w:t xml:space="preserve">‘</w:t>
      </w:r>
      <w:r>
        <w:t xml:space="preserve">asmin pakṣe</w:t>
      </w:r>
      <w:r>
        <w:t xml:space="preserve">’</w:t>
      </w:r>
      <w:r>
        <w:t xml:space="preserve">) the derivation is in the passive:</w:t>
      </w:r>
      <w:r>
        <w:t xml:space="preserve"> </w:t>
      </w:r>
      <w:r>
        <w:t xml:space="preserve">‘</w:t>
      </w:r>
      <w:r>
        <w:t xml:space="preserve">he is kindled, shines.</w:t>
      </w:r>
      <w:r>
        <w:t xml:space="preserve">’</w:t>
      </w:r>
      <w:r>
        <w:t xml:space="preserve"> </w:t>
      </w:r>
      <w:r>
        <w:t xml:space="preserve">The sage named Āgrāyaṇa holds the etymology</w:t>
      </w:r>
      <w:r>
        <w:t xml:space="preserve"> </w:t>
      </w:r>
      <w:r>
        <w:t xml:space="preserve">‘</w:t>
      </w:r>
      <w:r>
        <w:t xml:space="preserve">Indra, from</w:t>
      </w:r>
      <w:r>
        <w:t xml:space="preserve"> </w:t>
      </w:r>
      <w:r>
        <w:rPr>
          <w:iCs/>
          <w:i/>
        </w:rPr>
        <w:t xml:space="preserve">idaṃ-karaṇa</w:t>
      </w:r>
      <w:r>
        <w:t xml:space="preserve"> </w:t>
      </w:r>
      <w:r>
        <w:t xml:space="preserve">(making this)</w:t>
      </w:r>
      <w:r>
        <w:t xml:space="preserve">’</w:t>
      </w:r>
      <w:r>
        <w:t xml:space="preserve">; for Indra, in the form of the Supreme Self, makes this world. The sage named Aupamanyava gives the etymology</w:t>
      </w:r>
      <w:r>
        <w:t xml:space="preserve"> </w:t>
      </w:r>
      <w:r>
        <w:t xml:space="preserve">‘</w:t>
      </w:r>
      <w:r>
        <w:t xml:space="preserve">Indra, from</w:t>
      </w:r>
      <w:r>
        <w:t xml:space="preserve"> </w:t>
      </w:r>
      <w:r>
        <w:rPr>
          <w:iCs/>
          <w:i/>
        </w:rPr>
        <w:t xml:space="preserve">idaṃ-darśana</w:t>
      </w:r>
      <w:r>
        <w:t xml:space="preserve"> </w:t>
      </w:r>
      <w:r>
        <w:t xml:space="preserve">(seeing this)</w:t>
      </w:r>
      <w:r>
        <w:t xml:space="preserve">’</w:t>
      </w:r>
      <w:r>
        <w:t xml:space="preserve">;</w:t>
      </w:r>
      <w:r>
        <w:t xml:space="preserve"> </w:t>
      </w:r>
      <w:r>
        <w:t xml:space="preserve">‘</w:t>
      </w:r>
      <w:r>
        <w:t xml:space="preserve">idam</w:t>
      </w:r>
      <w:r>
        <w:t xml:space="preserve">’</w:t>
      </w:r>
      <w:r>
        <w:t xml:space="preserve"> </w:t>
      </w:r>
      <w:r>
        <w:t xml:space="preserve">(this) here denotes direct, immediate vision — for through discrimination one sees the Supreme Self directly. With exactly this in view it is recited in the Āraṇyaka section:</w:t>
      </w:r>
      <w:r>
        <w:t xml:space="preserve"> </w:t>
      </w:r>
      <w:r>
        <w:t xml:space="preserve">‘</w:t>
      </w:r>
      <w:r>
        <w:rPr>
          <w:iCs/>
          <w:i/>
        </w:rPr>
        <w:t xml:space="preserve">He beheld this very Person, Brahman, the all-pervading [?]:</w:t>
      </w:r>
      <w:r>
        <w:rPr>
          <w:iCs/>
          <w:i/>
        </w:rPr>
        <w:t xml:space="preserve"> </w:t>
      </w:r>
      <w:r>
        <w:rPr>
          <w:iCs/>
          <w:i/>
        </w:rPr>
        <w:t xml:space="preserve">“</w:t>
      </w:r>
      <w:r>
        <w:rPr>
          <w:iCs/>
          <w:i/>
        </w:rPr>
        <w:t xml:space="preserve">I have seen this!</w:t>
      </w:r>
      <w:r>
        <w:rPr>
          <w:iCs/>
          <w:i/>
        </w:rPr>
        <w:t xml:space="preserve">”</w:t>
      </w:r>
      <w:r>
        <w:t xml:space="preserve"> </w:t>
      </w:r>
      <w:r>
        <w:t xml:space="preserve">(— and so on).</w:t>
      </w:r>
      <w:r>
        <w:t xml:space="preserve"> </w:t>
      </w:r>
      <w:r>
        <w:rPr>
          <w:iCs/>
          <w:i/>
        </w:rPr>
        <w:t xml:space="preserve">Therefore he is</w:t>
      </w:r>
      <w:r>
        <w:rPr>
          <w:iCs/>
          <w:i/>
        </w:rPr>
        <w:t xml:space="preserve"> </w:t>
      </w:r>
      <w:r>
        <w:rPr>
          <w:iCs/>
          <w:i/>
        </w:rPr>
        <w:t xml:space="preserve">“</w:t>
      </w:r>
      <w:r>
        <w:rPr>
          <w:iCs/>
          <w:i/>
        </w:rPr>
        <w:t xml:space="preserve">Idandra</w:t>
      </w:r>
      <w:r>
        <w:rPr>
          <w:iCs/>
          <w:i/>
        </w:rPr>
        <w:t xml:space="preserve">”</w:t>
      </w:r>
      <w:r>
        <w:rPr>
          <w:iCs/>
          <w:i/>
        </w:rPr>
        <w:t xml:space="preserve"> </w:t>
      </w:r>
      <w:r>
        <w:rPr>
          <w:iCs/>
          <w:i/>
        </w:rPr>
        <w:t xml:space="preserve">by name;</w:t>
      </w:r>
      <w:r>
        <w:rPr>
          <w:iCs/>
          <w:i/>
        </w:rPr>
        <w:t xml:space="preserve"> </w:t>
      </w:r>
      <w:r>
        <w:rPr>
          <w:iCs/>
          <w:i/>
        </w:rPr>
        <w:t xml:space="preserve">“</w:t>
      </w:r>
      <w:r>
        <w:rPr>
          <w:iCs/>
          <w:i/>
        </w:rPr>
        <w:t xml:space="preserve">Idandra</w:t>
      </w:r>
      <w:r>
        <w:rPr>
          <w:iCs/>
          <w:i/>
        </w:rPr>
        <w:t xml:space="preserve">”</w:t>
      </w:r>
      <w:r>
        <w:rPr>
          <w:iCs/>
          <w:i/>
        </w:rPr>
        <w:t xml:space="preserve"> </w:t>
      </w:r>
      <w:r>
        <w:rPr>
          <w:iCs/>
          <w:i/>
        </w:rPr>
        <w:t xml:space="preserve">indeed is his name; and him, though he is</w:t>
      </w:r>
      <w:r>
        <w:rPr>
          <w:iCs/>
          <w:i/>
        </w:rPr>
        <w:t xml:space="preserve"> </w:t>
      </w:r>
      <w:r>
        <w:rPr>
          <w:iCs/>
          <w:i/>
        </w:rPr>
        <w:t xml:space="preserve">“</w:t>
      </w:r>
      <w:r>
        <w:rPr>
          <w:iCs/>
          <w:i/>
        </w:rPr>
        <w:t xml:space="preserve">Idandra,</w:t>
      </w:r>
      <w:r>
        <w:rPr>
          <w:iCs/>
          <w:i/>
        </w:rPr>
        <w:t xml:space="preserve">”</w:t>
      </w:r>
      <w:r>
        <w:rPr>
          <w:iCs/>
          <w:i/>
        </w:rPr>
        <w:t xml:space="preserve"> </w:t>
      </w:r>
      <w:r>
        <w:rPr>
          <w:iCs/>
          <w:i/>
        </w:rPr>
        <w:t xml:space="preserve">they call</w:t>
      </w:r>
      <w:r>
        <w:rPr>
          <w:iCs/>
          <w:i/>
        </w:rPr>
        <w:t xml:space="preserve"> </w:t>
      </w:r>
      <w:r>
        <w:rPr>
          <w:iCs/>
          <w:i/>
        </w:rPr>
        <w:t xml:space="preserve">“</w:t>
      </w:r>
      <w:r>
        <w:rPr>
          <w:iCs/>
          <w:i/>
        </w:rPr>
        <w:t xml:space="preserve">Indra</w:t>
      </w:r>
      <w:r>
        <w:rPr>
          <w:iCs/>
          <w:i/>
        </w:rPr>
        <w:t xml:space="preserve">”</w:t>
      </w:r>
      <w:r>
        <w:rPr>
          <w:iCs/>
          <w:i/>
        </w:rPr>
        <w:t xml:space="preserve"> </w:t>
      </w:r>
      <w:r>
        <w:rPr>
          <w:iCs/>
          <w:i/>
        </w:rPr>
        <w:t xml:space="preserve">— by indirect speech; for the gods love the indirect</w:t>
      </w:r>
      <w:r>
        <w:t xml:space="preserve">’</w:t>
      </w:r>
      <w:r>
        <w:t xml:space="preserve"> </w:t>
      </w:r>
      <w:r>
        <w:t xml:space="preserve">(Aitareya Āraṇyaka 2.4.3 [as read in the print]). The root</w:t>
      </w:r>
      <w:r>
        <w:t xml:space="preserve"> </w:t>
      </w:r>
      <w:r>
        <w:t xml:space="preserve">‘</w:t>
      </w:r>
      <w:r>
        <w:t xml:space="preserve">idi</w:t>
      </w:r>
      <w:r>
        <w:t xml:space="preserve">’</w:t>
      </w:r>
      <w:r>
        <w:t xml:space="preserve"> </w:t>
      </w:r>
      <w:r>
        <w:t xml:space="preserve">means</w:t>
      </w:r>
      <w:r>
        <w:t xml:space="preserve"> </w:t>
      </w:r>
      <w:r>
        <w:t xml:space="preserve">‘</w:t>
      </w:r>
      <w:r>
        <w:t xml:space="preserve">supreme lordship</w:t>
      </w:r>
      <w:r>
        <w:t xml:space="preserve">’</w:t>
      </w:r>
      <w:r>
        <w:t xml:space="preserve">;</w:t>
      </w:r>
      <w:r>
        <w:t xml:space="preserve"> </w:t>
      </w:r>
      <w:r>
        <w:rPr>
          <w:iCs/>
          <w:i/>
        </w:rPr>
        <w:t xml:space="preserve">the supreme lordship is the becoming-the-world of him by his own māyā; by connection with this he is Indra.</w:t>
      </w:r>
      <w:r>
        <w:t xml:space="preserve"> </w:t>
      </w:r>
      <w:r>
        <w:t xml:space="preserve">With this intention it is heard:</w:t>
      </w:r>
      <w:r>
        <w:t xml:space="preserve"> </w:t>
      </w:r>
      <w:r>
        <w:t xml:space="preserve">‘</w:t>
      </w:r>
      <w:r>
        <w:t xml:space="preserve">Indra…</w:t>
      </w:r>
      <w:r>
        <w:t xml:space="preserve">’</w:t>
      </w:r>
      <w:r>
        <w:t xml:space="preserve">”</w:t>
      </w:r>
      <w:r>
        <w:t xml:space="preserve"> </w:t>
      </w:r>
      <w:r>
        <w:rPr>
          <w:iCs/>
          <w:i/>
        </w:rPr>
        <w:t xml:space="preserve">(continues on the next page)</w:t>
      </w:r>
    </w:p>
    <w:bookmarkEnd w:id="54"/>
    <w:bookmarkStart w:id="55" w:name="X51ed681167e820b7198cefbe51e75f4421fc21f"/>
    <w:p>
      <w:pPr>
        <w:pStyle w:val="Heading3"/>
      </w:pPr>
      <w:r>
        <w:t xml:space="preserve">Page 32 — Sāyaṇa-bhāṣya concluded; Pada-meanings; Bhāvārtha; English rendering</w:t>
      </w:r>
    </w:p>
    <w:p>
      <w:pPr>
        <w:pStyle w:val="FirstParagraph"/>
      </w:pPr>
      <w:r>
        <w:rPr>
          <w:iCs/>
          <w:i/>
        </w:rPr>
        <w:t xml:space="preserve">(Page header:</w:t>
      </w:r>
      <w:r>
        <w:rPr>
          <w:iCs/>
          <w:i/>
        </w:rPr>
        <w:t xml:space="preserve"> </w:t>
      </w:r>
      <w:r>
        <w:rPr>
          <w:iCs/>
          <w:i/>
        </w:rPr>
        <w:t xml:space="preserve">“</w:t>
      </w:r>
      <w:r>
        <w:rPr>
          <w:iCs/>
          <w:i/>
        </w:rPr>
        <w:t xml:space="preserve">Mandala 1, Anuvāka 1, Sūkta 3.</w:t>
      </w:r>
      <w:r>
        <w:rPr>
          <w:iCs/>
          <w:i/>
        </w:rPr>
        <w:t xml:space="preserve">”</w:t>
      </w:r>
      <w:r>
        <w:rPr>
          <w:iCs/>
          <w:i/>
        </w:rPr>
        <w:t xml:space="preserve"> </w:t>
      </w:r>
      <w:r>
        <w:rPr>
          <w:iCs/>
          <w:i/>
        </w:rPr>
        <w:t xml:space="preserve">Continuing from the previous page, where the Bhāṣya was quoting</w:t>
      </w:r>
      <w:r>
        <w:rPr>
          <w:iCs/>
          <w:i/>
        </w:rPr>
        <w:t xml:space="preserve"> </w:t>
      </w:r>
      <w:r>
        <w:rPr>
          <w:iCs/>
          <w:i/>
        </w:rPr>
        <w:t xml:space="preserve">“</w:t>
      </w:r>
      <w:r>
        <w:rPr>
          <w:iCs/>
          <w:i/>
        </w:rPr>
        <w:t xml:space="preserve">indro…</w:t>
      </w:r>
      <w:r>
        <w:rPr>
          <w:iCs/>
          <w:i/>
        </w:rPr>
        <w:t xml:space="preserve">”</w:t>
      </w:r>
      <w:r>
        <w:rPr>
          <w:iCs/>
          <w:i/>
        </w:rPr>
        <w:t xml:space="preserve">.)</w:t>
      </w:r>
    </w:p>
    <w:p>
      <w:pPr>
        <w:pStyle w:val="BlockText"/>
      </w:pPr>
      <w:r>
        <w:t xml:space="preserve">इन्द्रो मायाभिः पुरुरूप ईयते ऋग्वे. ६-४७-१८ । इति इनशब्दस्येश्वरवाचकस्याकारलोपे सति नकारान्तमिन्निति पदं भवति । द्वा [sic: दृ ?] भये इति धातुः । स च परमेश्वरः शत्रूणां दारयित्वा भीषयितेतीन्द्रः । द्रु गताविति धातुः । शत्रूणां द्रावयित्वा पलायनं प्रापयितेतीन्द्रः । यज्वनां योगानुष्ठायिनामादरयिता भयस्य परिहर्ता । एवमेतानि निर्वचनानि द्रष्टव्यानीति ।</w:t>
      </w:r>
      <w:r>
        <w:t xml:space="preserve"> </w:t>
      </w:r>
      <w:r>
        <w:rPr>
          <w:iCs/>
          <w:i/>
        </w:rPr>
        <w:t xml:space="preserve">indro māyābhiḥ pururūpa īyate | ṛgve. 6-47-18 | iti ina-śabdasyeśvara-vācakasyākāra-lope sati nakārāntam in iti padaṃ bhavati | dvā [sic: dṛ ?] bhaye iti dhātuḥ | sa ca parameśvaraḥ śatrūṇāṃ dārayitvā bhīṣayitety indraḥ | dru gatāv iti dhātuḥ | śatrūṇāṃ drāvayitvā palāyanaṃ prāpayitety indraḥ | yajvanāṃ yogānuṣṭhāyinām ādarayitā bhayasya parihartā | evam etāni nirvacanāni draṣṭavyānīti |</w:t>
      </w:r>
    </w:p>
    <w:p>
      <w:pPr>
        <w:pStyle w:val="FirstParagraph"/>
      </w:pPr>
      <w:r>
        <w:rPr>
          <w:bCs/>
          <w:b/>
        </w:rPr>
        <w:t xml:space="preserve">Translation:</w:t>
      </w:r>
      <w:r>
        <w:t xml:space="preserve"> </w:t>
      </w:r>
      <w:r>
        <w:t xml:space="preserve">“</w:t>
      </w:r>
      <w:r>
        <w:t xml:space="preserve">‘</w:t>
      </w:r>
      <w:r>
        <w:rPr>
          <w:iCs/>
          <w:i/>
        </w:rPr>
        <w:t xml:space="preserve">Indra goes forth in many forms by his māyās</w:t>
      </w:r>
      <w:r>
        <w:t xml:space="preserve">’</w:t>
      </w:r>
      <w:r>
        <w:t xml:space="preserve"> </w:t>
      </w:r>
      <w:r>
        <w:t xml:space="preserve">(Ṛgveda 6.47.18). Here the word</w:t>
      </w:r>
      <w:r>
        <w:t xml:space="preserve"> </w:t>
      </w:r>
      <w:r>
        <w:t xml:space="preserve">‘</w:t>
      </w:r>
      <w:r>
        <w:t xml:space="preserve">ina,</w:t>
      </w:r>
      <w:r>
        <w:t xml:space="preserve">’</w:t>
      </w:r>
      <w:r>
        <w:t xml:space="preserve"> </w:t>
      </w:r>
      <w:r>
        <w:t xml:space="preserve">denoting the Lord, on losing its</w:t>
      </w:r>
      <w:r>
        <w:t xml:space="preserve"> </w:t>
      </w:r>
      <w:r>
        <w:t xml:space="preserve">‘</w:t>
      </w:r>
      <w:r>
        <w:t xml:space="preserve">a</w:t>
      </w:r>
      <w:r>
        <w:t xml:space="preserve">’</w:t>
      </w:r>
      <w:r>
        <w:t xml:space="preserve"> </w:t>
      </w:r>
      <w:r>
        <w:t xml:space="preserve">becomes the word</w:t>
      </w:r>
      <w:r>
        <w:t xml:space="preserve"> </w:t>
      </w:r>
      <w:r>
        <w:t xml:space="preserve">‘</w:t>
      </w:r>
      <w:r>
        <w:t xml:space="preserve">in,</w:t>
      </w:r>
      <w:r>
        <w:t xml:space="preserve">’</w:t>
      </w:r>
      <w:r>
        <w:t xml:space="preserve"> </w:t>
      </w:r>
      <w:r>
        <w:t xml:space="preserve">ending in n. (9) The root is</w:t>
      </w:r>
      <w:r>
        <w:t xml:space="preserve"> </w:t>
      </w:r>
      <w:r>
        <w:t xml:space="preserve">‘</w:t>
      </w:r>
      <w:r>
        <w:t xml:space="preserve">dvā [sic; the root meant is probably dṛ]</w:t>
      </w:r>
      <w:r>
        <w:t xml:space="preserve">’</w:t>
      </w:r>
      <w:r>
        <w:t xml:space="preserve"> </w:t>
      </w:r>
      <w:r>
        <w:t xml:space="preserve">in the sense of fear:</w:t>
      </w:r>
      <w:r>
        <w:t xml:space="preserve"> </w:t>
      </w:r>
      <w:r>
        <w:rPr>
          <w:iCs/>
          <w:i/>
        </w:rPr>
        <w:t xml:space="preserve">that Supreme Lord, tearing the enemies apart, frightens them</w:t>
      </w:r>
      <w:r>
        <w:t xml:space="preserve"> </w:t>
      </w:r>
      <w:r>
        <w:t xml:space="preserve">— hence Indra. (10) The root is</w:t>
      </w:r>
      <w:r>
        <w:t xml:space="preserve"> </w:t>
      </w:r>
      <w:r>
        <w:t xml:space="preserve">‘</w:t>
      </w:r>
      <w:r>
        <w:t xml:space="preserve">dru,</w:t>
      </w:r>
      <w:r>
        <w:t xml:space="preserve">’</w:t>
      </w:r>
      <w:r>
        <w:t xml:space="preserve"> </w:t>
      </w:r>
      <w:r>
        <w:t xml:space="preserve">in the sense of going:</w:t>
      </w:r>
      <w:r>
        <w:t xml:space="preserve"> </w:t>
      </w:r>
      <w:r>
        <w:rPr>
          <w:iCs/>
          <w:i/>
        </w:rPr>
        <w:t xml:space="preserve">he makes the enemies run, brings them to flight</w:t>
      </w:r>
      <w:r>
        <w:t xml:space="preserve"> </w:t>
      </w:r>
      <w:r>
        <w:t xml:space="preserve">— hence Indra. (11)</w:t>
      </w:r>
      <w:r>
        <w:t xml:space="preserve"> </w:t>
      </w:r>
      <w:r>
        <w:rPr>
          <w:iCs/>
          <w:i/>
        </w:rPr>
        <w:t xml:space="preserve">He is the honourer of the sacrificers who practise yoga, and the one who carries them across fear.</w:t>
      </w:r>
      <w:r>
        <w:t xml:space="preserve"> </w:t>
      </w:r>
      <w:r>
        <w:t xml:space="preserve">In this way these etymologies are to be understood.</w:t>
      </w:r>
      <w:r>
        <w:t xml:space="preserve">”</w:t>
      </w:r>
    </w:p>
    <w:p>
      <w:pPr>
        <w:pStyle w:val="BodyText"/>
      </w:pPr>
      <w:r>
        <w:rPr>
          <w:iCs/>
          <w:i/>
        </w:rPr>
        <w:t xml:space="preserve">(Reading notes: the Ṛgveda reference is read from the print as</w:t>
      </w:r>
      <w:r>
        <w:rPr>
          <w:iCs/>
          <w:i/>
        </w:rPr>
        <w:t xml:space="preserve"> </w:t>
      </w:r>
      <w:r>
        <w:rPr>
          <w:iCs/>
          <w:i/>
        </w:rPr>
        <w:t xml:space="preserve">“</w:t>
      </w:r>
      <w:r>
        <w:rPr>
          <w:iCs/>
          <w:i/>
        </w:rPr>
        <w:t xml:space="preserve">6-47-18</w:t>
      </w:r>
      <w:r>
        <w:rPr>
          <w:iCs/>
          <w:i/>
        </w:rPr>
        <w:t xml:space="preserve">”</w:t>
      </w:r>
      <w:r>
        <w:rPr>
          <w:iCs/>
          <w:i/>
        </w:rPr>
        <w:t xml:space="preserve">; the print’s root-name before</w:t>
      </w:r>
      <w:r>
        <w:rPr>
          <w:iCs/>
          <w:i/>
        </w:rPr>
        <w:t xml:space="preserve"> </w:t>
      </w:r>
      <w:r>
        <w:rPr>
          <w:iCs/>
          <w:i/>
        </w:rPr>
        <w:t xml:space="preserve">“</w:t>
      </w:r>
      <w:r>
        <w:rPr>
          <w:iCs/>
          <w:i/>
        </w:rPr>
        <w:t xml:space="preserve">bhaye</w:t>
      </w:r>
      <w:r>
        <w:rPr>
          <w:iCs/>
          <w:i/>
        </w:rPr>
        <w:t xml:space="preserve">”</w:t>
      </w:r>
      <w:r>
        <w:rPr>
          <w:iCs/>
          <w:i/>
        </w:rPr>
        <w:t xml:space="preserve"> </w:t>
      </w:r>
      <w:r>
        <w:rPr>
          <w:iCs/>
          <w:i/>
        </w:rPr>
        <w:t xml:space="preserve">is unclear —</w:t>
      </w:r>
      <w:r>
        <w:rPr>
          <w:iCs/>
          <w:i/>
        </w:rPr>
        <w:t xml:space="preserve"> </w:t>
      </w:r>
      <w:r>
        <w:rPr>
          <w:iCs/>
          <w:i/>
        </w:rPr>
        <w:t xml:space="preserve">“</w:t>
      </w:r>
      <w:r>
        <w:rPr>
          <w:iCs/>
          <w:i/>
        </w:rPr>
        <w:t xml:space="preserve">dṛ</w:t>
      </w:r>
      <w:r>
        <w:rPr>
          <w:iCs/>
          <w:i/>
        </w:rPr>
        <w:t xml:space="preserve">”</w:t>
      </w:r>
      <w:r>
        <w:rPr>
          <w:iCs/>
          <w:i/>
        </w:rPr>
        <w:t xml:space="preserve"> </w:t>
      </w:r>
      <w:r>
        <w:rPr>
          <w:iCs/>
          <w:i/>
        </w:rPr>
        <w:t xml:space="preserve">is my best reading, and the sense is not affected.)</w:t>
      </w:r>
    </w:p>
    <w:p>
      <w:pPr>
        <w:pStyle w:val="BodyText"/>
      </w:pPr>
      <w:r>
        <w:rPr>
          <w:bCs/>
          <w:b/>
        </w:rPr>
        <w:t xml:space="preserve">॥ Vyākaraṇa notes within the Bhāṣya ॥</w:t>
      </w:r>
      <w:r>
        <w:t xml:space="preserve"> </w:t>
      </w:r>
      <w:r>
        <w:rPr>
          <w:iCs/>
          <w:i/>
        </w:rPr>
        <w:t xml:space="preserve">(short; transcribed in full)</w:t>
      </w:r>
    </w:p>
    <w:p>
      <w:pPr>
        <w:pStyle w:val="BlockText"/>
      </w:pPr>
      <w:r>
        <w:t xml:space="preserve">इन्द्रेत्यत्रामन्त्रिताद्युदात्तत्वम् । आ इत्यत्र निपातत्वेनाद्युदात्तः । चित्रभानो । पदात्परत्वादामन्त्रितनिघातः । त्वामिच्छन्तीत्यर्थे युष्मच्छब्दात्सुप आत्मनः क्यच् । पा. सू. ३-१-८ । प्रत्ययोत्तरपदयोश्च । पा. ७-२-९८ । इति मपर्यन्तस्य त्वादेशः । क्याच्छन्दसि । पा. ३-२-१७० । इति क्यजन्तादुप्रत्ययः । त्वत्य इति प्राप्ते युष्मदस्मदोरनादेशे पा. ७-२-८६ । इत्यविभक्तावपि हलादौ व्यत्ययेनात्त्वम् । उकारः प्रत्ययस्वरेणाद्युदात्तः । अणुशब्दः सौक्ष्म्यवाचकस्तद्योगात्प्रकृतेऽङ्गुलीषु वर्तते । वोतो गुणवचनात् । पा. ४-१-४४ । इति ङीषि प्राप्ते व्यत्ययेन ङीन् । नित्त्वादाद्युदात्तः । तना इत्ययं निपातो नित्यमित्यर्थे निपातत्वादाद्युदात्तः । पूतासः । आज्जसेरसुक् । पा. ७-१-५० । इत्यसुक् ।</w:t>
      </w:r>
      <w:r>
        <w:t xml:space="preserve"> </w:t>
      </w:r>
      <w:r>
        <w:rPr>
          <w:iCs/>
          <w:i/>
        </w:rPr>
        <w:t xml:space="preserve">indretyatrāmantritādyudāttatvam | ā ity atra nipātatvenādyudāttaḥ | citrabhāno | padāt paratvād āmantrita-nighātaḥ | tvām icchantīty arthe yuṣmac-chabdāt sup ātmanaḥ kyac | pā. sū. 3-1-8 | pratyayottarapadayoś ca | pā. 7-2-98 | iti ma-paryantasya tvādeśaḥ | kyāc chandasi | pā. 3-2-170 | iti kyajantād u-pratyayaḥ | tvatya iti prāpte yuṣmadasmador anādeśe pā. 7-2-86 | ity avibhaktāv api halādau vyatyayenātvam | ukāraḥ pratyaya-svareṇādyudāttaḥ | aṇu-śabdaḥ saukṣmya-vācakas tad-yogāt prakṛte ’ṅgulīṣu vartate | voto guṇavacanāt | pā. 4-1-44 | iti ṅīṣi prāpte vyatyayena ṅīn | nittvād ādyudāttaḥ | tanā ity ayaṃ nipāto nityam ity arthe nipātatvād ādyudāttaḥ | pūtāsaḥ | āj-jaser asuk | pā. 7-1-50 | ity asuk |</w:t>
      </w:r>
    </w:p>
    <w:p>
      <w:pPr>
        <w:pStyle w:val="FirstParagraph"/>
      </w:pPr>
      <w:r>
        <w:rPr>
          <w:bCs/>
          <w:b/>
        </w:rPr>
        <w:t xml:space="preserve">Translation:</w:t>
      </w:r>
      <w:r>
        <w:t xml:space="preserve"> </w:t>
      </w:r>
      <w:r>
        <w:t xml:space="preserve">“</w:t>
      </w:r>
      <w:r>
        <w:t xml:space="preserve">In</w:t>
      </w:r>
      <w:r>
        <w:t xml:space="preserve"> </w:t>
      </w:r>
      <w:r>
        <w:t xml:space="preserve">‘</w:t>
      </w:r>
      <w:r>
        <w:t xml:space="preserve">indra</w:t>
      </w:r>
      <w:r>
        <w:t xml:space="preserve">’</w:t>
      </w:r>
      <w:r>
        <w:t xml:space="preserve"> </w:t>
      </w:r>
      <w:r>
        <w:t xml:space="preserve">(here a vocative) the first syllable is acute by the vocative rule.</w:t>
      </w:r>
      <w:r>
        <w:t xml:space="preserve"> </w:t>
      </w:r>
      <w:r>
        <w:t xml:space="preserve">‘</w:t>
      </w:r>
      <w:r>
        <w:t xml:space="preserve">Ā</w:t>
      </w:r>
      <w:r>
        <w:t xml:space="preserve">’</w:t>
      </w:r>
      <w:r>
        <w:t xml:space="preserve"> </w:t>
      </w:r>
      <w:r>
        <w:t xml:space="preserve">is a particle (nipāta), hence acute on its first syllable.</w:t>
      </w:r>
      <w:r>
        <w:t xml:space="preserve"> </w:t>
      </w:r>
      <w:r>
        <w:t xml:space="preserve">‘</w:t>
      </w:r>
      <w:r>
        <w:t xml:space="preserve">Citrabhāno</w:t>
      </w:r>
      <w:r>
        <w:t xml:space="preserve">’</w:t>
      </w:r>
      <w:r>
        <w:t xml:space="preserve"> </w:t>
      </w:r>
      <w:r>
        <w:t xml:space="preserve">— because it follows another word, the vocative loses its accent (nighāta).</w:t>
      </w:r>
      <w:r>
        <w:t xml:space="preserve"> </w:t>
      </w:r>
      <w:r>
        <w:t xml:space="preserve">‘</w:t>
      </w:r>
      <w:r>
        <w:t xml:space="preserve">Tvāyavaḥ</w:t>
      </w:r>
      <w:r>
        <w:t xml:space="preserve">’</w:t>
      </w:r>
      <w:r>
        <w:t xml:space="preserve"> </w:t>
      </w:r>
      <w:r>
        <w:t xml:space="preserve">— in the sense</w:t>
      </w:r>
      <w:r>
        <w:t xml:space="preserve"> </w:t>
      </w:r>
      <w:r>
        <w:t xml:space="preserve">‘</w:t>
      </w:r>
      <w:r>
        <w:t xml:space="preserve">those who desire you</w:t>
      </w:r>
      <w:r>
        <w:t xml:space="preserve">’</w:t>
      </w:r>
      <w:r>
        <w:t xml:space="preserve">: from the word</w:t>
      </w:r>
      <w:r>
        <w:t xml:space="preserve"> </w:t>
      </w:r>
      <w:r>
        <w:t xml:space="preserve">‘</w:t>
      </w:r>
      <w:r>
        <w:t xml:space="preserve">yuṣmad,</w:t>
      </w:r>
      <w:r>
        <w:t xml:space="preserve">’</w:t>
      </w:r>
      <w:r>
        <w:t xml:space="preserve"> </w:t>
      </w:r>
      <w:r>
        <w:t xml:space="preserve">the affix</w:t>
      </w:r>
      <w:r>
        <w:t xml:space="preserve"> </w:t>
      </w:r>
      <w:r>
        <w:t xml:space="preserve">‘</w:t>
      </w:r>
      <w:r>
        <w:t xml:space="preserve">kyac</w:t>
      </w:r>
      <w:r>
        <w:t xml:space="preserve">’</w:t>
      </w:r>
      <w:r>
        <w:t xml:space="preserve"> </w:t>
      </w:r>
      <w:r>
        <w:t xml:space="preserve">after a</w:t>
      </w:r>
      <w:r>
        <w:t xml:space="preserve"> </w:t>
      </w:r>
      <w:r>
        <w:t xml:space="preserve">‘</w:t>
      </w:r>
      <w:r>
        <w:t xml:space="preserve">sup</w:t>
      </w:r>
      <w:r>
        <w:t xml:space="preserve">’</w:t>
      </w:r>
      <w:r>
        <w:t xml:space="preserve">-ending word in the sense of</w:t>
      </w:r>
      <w:r>
        <w:t xml:space="preserve"> </w:t>
      </w:r>
      <w:r>
        <w:t xml:space="preserve">‘</w:t>
      </w:r>
      <w:r>
        <w:t xml:space="preserve">one’s own wish</w:t>
      </w:r>
      <w:r>
        <w:t xml:space="preserve">’</w:t>
      </w:r>
      <w:r>
        <w:t xml:space="preserve"> </w:t>
      </w:r>
      <w:r>
        <w:t xml:space="preserve">(Pāṇini 3.1.8); the substitute</w:t>
      </w:r>
      <w:r>
        <w:t xml:space="preserve"> </w:t>
      </w:r>
      <w:r>
        <w:t xml:space="preserve">‘</w:t>
      </w:r>
      <w:r>
        <w:t xml:space="preserve">tva</w:t>
      </w:r>
      <w:r>
        <w:t xml:space="preserve">’</w:t>
      </w:r>
      <w:r>
        <w:t xml:space="preserve"> </w:t>
      </w:r>
      <w:r>
        <w:t xml:space="preserve">replaces the stem up to its</w:t>
      </w:r>
      <w:r>
        <w:t xml:space="preserve"> </w:t>
      </w:r>
      <w:r>
        <w:t xml:space="preserve">‘</w:t>
      </w:r>
      <w:r>
        <w:t xml:space="preserve">m</w:t>
      </w:r>
      <w:r>
        <w:t xml:space="preserve">’</w:t>
      </w:r>
      <w:r>
        <w:t xml:space="preserve"> </w:t>
      </w:r>
      <w:r>
        <w:t xml:space="preserve">(Pāṇini 7.2.98</w:t>
      </w:r>
      <w:r>
        <w:t xml:space="preserve"> </w:t>
      </w:r>
      <w:r>
        <w:t xml:space="preserve">‘</w:t>
      </w:r>
      <w:r>
        <w:t xml:space="preserve">pratyayottarapadayoś ca</w:t>
      </w:r>
      <w:r>
        <w:t xml:space="preserve">’</w:t>
      </w:r>
      <w:r>
        <w:t xml:space="preserve">); then, by</w:t>
      </w:r>
      <w:r>
        <w:t xml:space="preserve"> </w:t>
      </w:r>
      <w:r>
        <w:t xml:space="preserve">‘</w:t>
      </w:r>
      <w:r>
        <w:t xml:space="preserve">kyāc chandasi</w:t>
      </w:r>
      <w:r>
        <w:t xml:space="preserve">’</w:t>
      </w:r>
      <w:r>
        <w:t xml:space="preserve"> </w:t>
      </w:r>
      <w:r>
        <w:t xml:space="preserve">(Pāṇini 3.2.170), the affix</w:t>
      </w:r>
      <w:r>
        <w:t xml:space="preserve"> </w:t>
      </w:r>
      <w:r>
        <w:t xml:space="preserve">‘</w:t>
      </w:r>
      <w:r>
        <w:t xml:space="preserve">u</w:t>
      </w:r>
      <w:r>
        <w:t xml:space="preserve">’</w:t>
      </w:r>
      <w:r>
        <w:t xml:space="preserve"> </w:t>
      </w:r>
      <w:r>
        <w:t xml:space="preserve">after a word ending in</w:t>
      </w:r>
      <w:r>
        <w:t xml:space="preserve"> </w:t>
      </w:r>
      <w:r>
        <w:t xml:space="preserve">‘</w:t>
      </w:r>
      <w:r>
        <w:t xml:space="preserve">kyac</w:t>
      </w:r>
      <w:r>
        <w:t xml:space="preserve">’</w:t>
      </w:r>
      <w:r>
        <w:t xml:space="preserve">; where</w:t>
      </w:r>
      <w:r>
        <w:t xml:space="preserve"> </w:t>
      </w:r>
      <w:r>
        <w:t xml:space="preserve">‘</w:t>
      </w:r>
      <w:r>
        <w:t xml:space="preserve">tvatya…</w:t>
      </w:r>
      <w:r>
        <w:t xml:space="preserve">’</w:t>
      </w:r>
      <w:r>
        <w:t xml:space="preserve"> </w:t>
      </w:r>
      <w:r>
        <w:t xml:space="preserve">would be obtained, the</w:t>
      </w:r>
      <w:r>
        <w:t xml:space="preserve"> </w:t>
      </w:r>
      <w:r>
        <w:t xml:space="preserve">‘</w:t>
      </w:r>
      <w:r>
        <w:t xml:space="preserve">a</w:t>
      </w:r>
      <w:r>
        <w:t xml:space="preserve">’</w:t>
      </w:r>
      <w:r>
        <w:t xml:space="preserve">-substitution takes place by vyatyaya (Vedic licence) even before a non-case-affix beginning with a consonant, per Pā. 7.2.86. The</w:t>
      </w:r>
      <w:r>
        <w:t xml:space="preserve"> </w:t>
      </w:r>
      <w:r>
        <w:t xml:space="preserve">‘</w:t>
      </w:r>
      <w:r>
        <w:t xml:space="preserve">u</w:t>
      </w:r>
      <w:r>
        <w:t xml:space="preserve">’</w:t>
      </w:r>
      <w:r>
        <w:t xml:space="preserve"> </w:t>
      </w:r>
      <w:r>
        <w:t xml:space="preserve">is acute by the accent of the affix. —</w:t>
      </w:r>
      <w:r>
        <w:t xml:space="preserve"> </w:t>
      </w:r>
      <w:r>
        <w:t xml:space="preserve">‘</w:t>
      </w:r>
      <w:r>
        <w:t xml:space="preserve">Aṇvī</w:t>
      </w:r>
      <w:r>
        <w:t xml:space="preserve">’</w:t>
      </w:r>
      <w:r>
        <w:t xml:space="preserve">: the word</w:t>
      </w:r>
      <w:r>
        <w:t xml:space="preserve"> </w:t>
      </w:r>
      <w:r>
        <w:t xml:space="preserve">‘</w:t>
      </w:r>
      <w:r>
        <w:t xml:space="preserve">aṇu</w:t>
      </w:r>
      <w:r>
        <w:t xml:space="preserve">’</w:t>
      </w:r>
      <w:r>
        <w:t xml:space="preserve"> </w:t>
      </w:r>
      <w:r>
        <w:t xml:space="preserve">denotes fineness; through that association it is applied to the fingers in the present context. Where, by Pā. 4.1.44 (</w:t>
      </w:r>
      <w:r>
        <w:t xml:space="preserve">”</w:t>
      </w:r>
      <w:r>
        <w:t xml:space="preserve">vāto guṇavacanāt”), the feminine affix ṅīṣ would be expected,</w:t>
      </w:r>
      <w:r>
        <w:t xml:space="preserve"> </w:t>
      </w:r>
      <w:r>
        <w:t xml:space="preserve">‘</w:t>
      </w:r>
      <w:r>
        <w:t xml:space="preserve">ṅīn</w:t>
      </w:r>
      <w:r>
        <w:t xml:space="preserve">’</w:t>
      </w:r>
      <w:r>
        <w:t xml:space="preserve"> </w:t>
      </w:r>
      <w:r>
        <w:t xml:space="preserve">appears by vyatyaya; since it carries the mark</w:t>
      </w:r>
      <w:r>
        <w:t xml:space="preserve"> </w:t>
      </w:r>
      <w:r>
        <w:t xml:space="preserve">‘</w:t>
      </w:r>
      <w:r>
        <w:t xml:space="preserve">n,</w:t>
      </w:r>
      <w:r>
        <w:t xml:space="preserve">’</w:t>
      </w:r>
      <w:r>
        <w:t xml:space="preserve"> </w:t>
      </w:r>
      <w:r>
        <w:t xml:space="preserve">the first syllable is acute.</w:t>
      </w:r>
      <w:r>
        <w:t xml:space="preserve"> </w:t>
      </w:r>
      <w:r>
        <w:t xml:space="preserve">‘</w:t>
      </w:r>
      <w:r>
        <w:t xml:space="preserve">Tanā</w:t>
      </w:r>
      <w:r>
        <w:t xml:space="preserve">’</w:t>
      </w:r>
      <w:r>
        <w:t xml:space="preserve"> </w:t>
      </w:r>
      <w:r>
        <w:t xml:space="preserve">is a particle with the sense</w:t>
      </w:r>
      <w:r>
        <w:t xml:space="preserve"> </w:t>
      </w:r>
      <w:r>
        <w:t xml:space="preserve">‘</w:t>
      </w:r>
      <w:r>
        <w:t xml:space="preserve">constantly</w:t>
      </w:r>
      <w:r>
        <w:t xml:space="preserve">’</w:t>
      </w:r>
      <w:r>
        <w:t xml:space="preserve">; being a particle, first-syllable acute.</w:t>
      </w:r>
      <w:r>
        <w:t xml:space="preserve"> </w:t>
      </w:r>
      <w:r>
        <w:t xml:space="preserve">‘</w:t>
      </w:r>
      <w:r>
        <w:t xml:space="preserve">Pūtāsaḥ</w:t>
      </w:r>
      <w:r>
        <w:t xml:space="preserve">’</w:t>
      </w:r>
      <w:r>
        <w:t xml:space="preserve"> </w:t>
      </w:r>
      <w:r>
        <w:t xml:space="preserve">— the augment</w:t>
      </w:r>
      <w:r>
        <w:t xml:space="preserve"> </w:t>
      </w:r>
      <w:r>
        <w:t xml:space="preserve">‘</w:t>
      </w:r>
      <w:r>
        <w:t xml:space="preserve">asuk</w:t>
      </w:r>
      <w:r>
        <w:t xml:space="preserve">’</w:t>
      </w:r>
      <w:r>
        <w:t xml:space="preserve"> </w:t>
      </w:r>
      <w:r>
        <w:t xml:space="preserve">after the</w:t>
      </w:r>
      <w:r>
        <w:t xml:space="preserve"> </w:t>
      </w:r>
      <w:r>
        <w:t xml:space="preserve">‘</w:t>
      </w:r>
      <w:r>
        <w:t xml:space="preserve">jas</w:t>
      </w:r>
      <w:r>
        <w:t xml:space="preserve">’</w:t>
      </w:r>
      <w:r>
        <w:t xml:space="preserve"> </w:t>
      </w:r>
      <w:r>
        <w:t xml:space="preserve">ending, by Pā. 7.1.50 (</w:t>
      </w:r>
      <w:r>
        <w:t xml:space="preserve">‘</w:t>
      </w:r>
      <w:r>
        <w:t xml:space="preserve">ājjaser asuk</w:t>
      </w:r>
      <w:r>
        <w:t xml:space="preserve">’</w:t>
      </w:r>
      <w:r>
        <w:t xml:space="preserve">).”</w:t>
      </w:r>
    </w:p>
    <w:p>
      <w:pPr>
        <w:pStyle w:val="BodyText"/>
      </w:pPr>
      <w:r>
        <w:rPr>
          <w:iCs/>
          <w:i/>
        </w:rPr>
        <w:t xml:space="preserve">(Reading note, revised at p. 38: at first I read the opening of this sūtra as</w:t>
      </w:r>
      <w:r>
        <w:rPr>
          <w:iCs/>
          <w:i/>
        </w:rPr>
        <w:t xml:space="preserve"> </w:t>
      </w:r>
      <w:r>
        <w:rPr>
          <w:iCs/>
          <w:i/>
        </w:rPr>
        <w:t xml:space="preserve">“</w:t>
      </w:r>
      <w:r>
        <w:rPr>
          <w:iCs/>
          <w:i/>
        </w:rPr>
        <w:t xml:space="preserve">voko</w:t>
      </w:r>
      <w:r>
        <w:rPr>
          <w:iCs/>
          <w:i/>
        </w:rPr>
        <w:t xml:space="preserve">”</w:t>
      </w:r>
      <w:r>
        <w:rPr>
          <w:iCs/>
          <w:i/>
        </w:rPr>
        <w:t xml:space="preserve">; the clearer larger print on p. 38 reads</w:t>
      </w:r>
      <w:r>
        <w:rPr>
          <w:iCs/>
          <w:i/>
        </w:rPr>
        <w:t xml:space="preserve"> </w:t>
      </w:r>
      <w:r>
        <w:rPr>
          <w:iCs/>
          <w:i/>
        </w:rPr>
        <w:t xml:space="preserve">“</w:t>
      </w:r>
      <w:r>
        <w:rPr>
          <w:iCs/>
          <w:i/>
        </w:rPr>
        <w:t xml:space="preserve">voto guṇavacanāt</w:t>
      </w:r>
      <w:r>
        <w:rPr>
          <w:iCs/>
          <w:i/>
        </w:rPr>
        <w:t xml:space="preserve">”</w:t>
      </w:r>
      <w:r>
        <w:rPr>
          <w:iCs/>
          <w:i/>
        </w:rPr>
        <w:t xml:space="preserve"> </w:t>
      </w:r>
      <w:r>
        <w:rPr>
          <w:iCs/>
          <w:i/>
        </w:rPr>
        <w:t xml:space="preserve">(Pā. 4-1-44), and the text above has been changed to that.)</w:t>
      </w:r>
    </w:p>
    <w:p>
      <w:pPr>
        <w:pStyle w:val="BodyText"/>
      </w:pPr>
      <w:r>
        <w:rPr>
          <w:bCs/>
          <w:b/>
        </w:rPr>
        <w:t xml:space="preserve">॥ Prati-padārthaḥ ॥</w:t>
      </w:r>
      <w:r>
        <w:t xml:space="preserve"> </w:t>
      </w:r>
      <w:r>
        <w:rPr>
          <w:iCs/>
          <w:i/>
        </w:rPr>
        <w:t xml:space="preserve">(Kannada, translated)</w:t>
      </w:r>
    </w:p>
    <w:p>
      <w:pPr>
        <w:pStyle w:val="BodyText"/>
      </w:pPr>
      <w:r>
        <w:rPr>
          <w:bCs/>
          <w:b/>
        </w:rPr>
        <w:t xml:space="preserve">चित्रभानो (citrabhāno)</w:t>
      </w:r>
      <w:r>
        <w:t xml:space="preserve"> </w:t>
      </w:r>
      <w:r>
        <w:t xml:space="preserve">— O Indra, who shine with a wonderful, marvellous radiance |</w:t>
      </w:r>
      <w:r>
        <w:t xml:space="preserve"> </w:t>
      </w:r>
      <w:r>
        <w:rPr>
          <w:bCs/>
          <w:b/>
        </w:rPr>
        <w:t xml:space="preserve">आ याहि (ā yāhi)</w:t>
      </w:r>
      <w:r>
        <w:t xml:space="preserve"> </w:t>
      </w:r>
      <w:r>
        <w:t xml:space="preserve">— come (to this sacrificial altar which we are performing) |</w:t>
      </w:r>
      <w:r>
        <w:t xml:space="preserve"> </w:t>
      </w:r>
      <w:r>
        <w:rPr>
          <w:bCs/>
          <w:b/>
        </w:rPr>
        <w:t xml:space="preserve">त्वायवः (tvāyavaḥ)</w:t>
      </w:r>
      <w:r>
        <w:t xml:space="preserve"> </w:t>
      </w:r>
      <w:r>
        <w:t xml:space="preserve">— that which you desire (or: which is dear to you) |</w:t>
      </w:r>
      <w:r>
        <w:t xml:space="preserve"> </w:t>
      </w:r>
      <w:r>
        <w:rPr>
          <w:bCs/>
          <w:b/>
        </w:rPr>
        <w:t xml:space="preserve">इमे सुताः (ime sutāḥ)</w:t>
      </w:r>
      <w:r>
        <w:t xml:space="preserve"> </w:t>
      </w:r>
      <w:r>
        <w:t xml:space="preserve">— these Soma-juices (those extracted by crushing the Soma creeper) |</w:t>
      </w:r>
      <w:r>
        <w:t xml:space="preserve"> </w:t>
      </w:r>
      <w:r>
        <w:rPr>
          <w:bCs/>
          <w:b/>
        </w:rPr>
        <w:t xml:space="preserve">अण्वीभिः (aṇvībhiḥ)</w:t>
      </w:r>
      <w:r>
        <w:t xml:space="preserve"> </w:t>
      </w:r>
      <w:r>
        <w:t xml:space="preserve">— by the fingers (of the priests) (or: by the cloth called the</w:t>
      </w:r>
      <w:r>
        <w:t xml:space="preserve"> </w:t>
      </w:r>
      <w:r>
        <w:t xml:space="preserve">“</w:t>
      </w:r>
      <w:r>
        <w:t xml:space="preserve">daśā-pavitra,</w:t>
      </w:r>
      <w:r>
        <w:t xml:space="preserve">”</w:t>
      </w:r>
      <w:r>
        <w:t xml:space="preserve"> </w:t>
      </w:r>
      <w:r>
        <w:t xml:space="preserve">with which Soma-juice is filtered) |</w:t>
      </w:r>
      <w:r>
        <w:t xml:space="preserve"> </w:t>
      </w:r>
      <w:r>
        <w:rPr>
          <w:bCs/>
          <w:b/>
        </w:rPr>
        <w:t xml:space="preserve">तना (tanā)</w:t>
      </w:r>
      <w:r>
        <w:t xml:space="preserve"> </w:t>
      </w:r>
      <w:r>
        <w:t xml:space="preserve">— always |</w:t>
      </w:r>
      <w:r>
        <w:t xml:space="preserve"> </w:t>
      </w:r>
      <w:r>
        <w:rPr>
          <w:bCs/>
          <w:b/>
        </w:rPr>
        <w:t xml:space="preserve">पूतासः (pūtāsaḥ)</w:t>
      </w:r>
      <w:r>
        <w:t xml:space="preserve"> </w:t>
      </w:r>
      <w:r>
        <w:t xml:space="preserve">— having been purified, are fit to be drunk.</w:t>
      </w:r>
    </w:p>
    <w:p>
      <w:pPr>
        <w:pStyle w:val="BodyText"/>
      </w:pPr>
      <w:r>
        <w:rPr>
          <w:bCs/>
          <w:b/>
        </w:rPr>
        <w:t xml:space="preserve">॥ Bhāvārthaḥ ॥</w:t>
      </w:r>
      <w:r>
        <w:t xml:space="preserve"> </w:t>
      </w:r>
      <w:r>
        <w:rPr>
          <w:iCs/>
          <w:i/>
        </w:rPr>
        <w:t xml:space="preserve">(Kannada, translated)</w:t>
      </w:r>
    </w:p>
    <w:p>
      <w:pPr>
        <w:pStyle w:val="BodyText"/>
      </w:pPr>
      <w:r>
        <w:t xml:space="preserve">O Indra, who shine with wondrous splendour! The priests have prepared the Soma-juice that is dear to you (or,</w:t>
      </w:r>
      <w:r>
        <w:t xml:space="preserve"> </w:t>
      </w:r>
      <w:r>
        <w:t xml:space="preserve">“</w:t>
      </w:r>
      <w:r>
        <w:t xml:space="preserve">for your sake</w:t>
      </w:r>
      <w:r>
        <w:t xml:space="preserve">”</w:t>
      </w:r>
      <w:r>
        <w:t xml:space="preserve">) — filtering it well with their fingers (or with a cloth like a fine net), so that it is fit for drinking. To drink that Soma-juice, may you come to this sacrificial altar of ours.</w:t>
      </w:r>
    </w:p>
    <w:p>
      <w:pPr>
        <w:pStyle w:val="BodyText"/>
      </w:pPr>
      <w:r>
        <w:rPr>
          <w:bCs/>
          <w:b/>
        </w:rPr>
        <w:t xml:space="preserve">English Translation</w:t>
      </w:r>
      <w:r>
        <w:t xml:space="preserve"> </w:t>
      </w:r>
      <w:r>
        <w:rPr>
          <w:iCs/>
          <w:i/>
        </w:rPr>
        <w:t xml:space="preserve">(printed in English in the source itself):</w:t>
      </w:r>
    </w:p>
    <w:p>
      <w:pPr>
        <w:pStyle w:val="BodyText"/>
      </w:pPr>
      <w:r>
        <w:t xml:space="preserve">“</w:t>
      </w:r>
      <w:r>
        <w:t xml:space="preserve">Come hither, O Indra, of wonderful splendour; these libations of soma juice, ever pure, expressed by the fingers of the priests are deserious [sic — the source’s own misprint, evidently for</w:t>
      </w:r>
      <w:r>
        <w:t xml:space="preserve"> </w:t>
      </w:r>
      <w:r>
        <w:t xml:space="preserve">‘</w:t>
      </w:r>
      <w:r>
        <w:t xml:space="preserve">desirous</w:t>
      </w:r>
      <w:r>
        <w:t xml:space="preserve">’</w:t>
      </w:r>
      <w:r>
        <w:t xml:space="preserve">] of you.</w:t>
      </w:r>
      <w:r>
        <w:t xml:space="preserve">”</w:t>
      </w:r>
    </w:p>
    <w:p>
      <w:pPr>
        <w:pStyle w:val="BodyText"/>
      </w:pPr>
      <w:r>
        <w:rPr>
          <w:bCs/>
          <w:b/>
        </w:rPr>
        <w:t xml:space="preserve">॥ Viśeṣa-viṣayagaḷu (Special Topics) ॥</w:t>
      </w:r>
    </w:p>
    <w:p>
      <w:pPr>
        <w:pStyle w:val="BodyText"/>
      </w:pPr>
      <w:r>
        <w:t xml:space="preserve">This Rik and the following two are an</w:t>
      </w:r>
      <w:r>
        <w:t xml:space="preserve"> </w:t>
      </w:r>
      <w:r>
        <w:rPr>
          <w:bCs/>
          <w:b/>
        </w:rPr>
        <w:t xml:space="preserve">“</w:t>
      </w:r>
      <w:r>
        <w:rPr>
          <w:bCs/>
          <w:b/>
        </w:rPr>
        <w:t xml:space="preserve">aindra-stṛcaḥ</w:t>
      </w:r>
      <w:r>
        <w:rPr>
          <w:bCs/>
          <w:b/>
        </w:rPr>
        <w:t xml:space="preserve">”</w:t>
      </w:r>
      <w:r>
        <w:t xml:space="preserve"> </w:t>
      </w:r>
      <w:r>
        <w:t xml:space="preserve">— that is, a tṛca (triplet) related to Indra: three mantras that praise Indra.</w:t>
      </w:r>
    </w:p>
    <w:bookmarkEnd w:id="55"/>
    <w:bookmarkStart w:id="56" w:name="Xa20f2801f7376540097e51755e6b685a45497fb"/>
    <w:p>
      <w:pPr>
        <w:pStyle w:val="Heading3"/>
      </w:pPr>
      <w:r>
        <w:t xml:space="preserve">Page 33 — Kannada commentary: the etymologies of</w:t>
      </w:r>
      <w:r>
        <w:t xml:space="preserve"> </w:t>
      </w:r>
      <w:r>
        <w:t xml:space="preserve">“</w:t>
      </w:r>
      <w:r>
        <w:t xml:space="preserve">Indra</w:t>
      </w:r>
      <w:r>
        <w:t xml:space="preserve">”</w:t>
      </w:r>
      <w:r>
        <w:t xml:space="preserve"> </w:t>
      </w:r>
      <w:r>
        <w:t xml:space="preserve">(opening)</w:t>
      </w:r>
    </w:p>
    <w:p>
      <w:pPr>
        <w:pStyle w:val="FirstParagraph"/>
      </w:pPr>
      <w:r>
        <w:rPr>
          <w:iCs/>
          <w:i/>
        </w:rPr>
        <w:t xml:space="preserve">(Page header:</w:t>
      </w:r>
      <w:r>
        <w:rPr>
          <w:iCs/>
          <w:i/>
        </w:rPr>
        <w:t xml:space="preserve"> </w:t>
      </w:r>
      <w:r>
        <w:rPr>
          <w:iCs/>
          <w:i/>
        </w:rPr>
        <w:t xml:space="preserve">“</w:t>
      </w:r>
      <w:r>
        <w:rPr>
          <w:iCs/>
          <w:i/>
        </w:rPr>
        <w:t xml:space="preserve">Aṣṭaka 1, Adhyāya 1, Varga 5 · Ṛgveda-saṃhitā.</w:t>
      </w:r>
      <w:r>
        <w:rPr>
          <w:iCs/>
          <w:i/>
        </w:rPr>
        <w:t xml:space="preserve">”</w:t>
      </w:r>
      <w:r>
        <w:rPr>
          <w:iCs/>
          <w:i/>
        </w:rPr>
        <w:t xml:space="preserve"> </w:t>
      </w:r>
      <w:r>
        <w:rPr>
          <w:iCs/>
          <w:i/>
        </w:rPr>
        <w:t xml:space="preserve">From here the page is the Kannada commentary, which re-lists Yāska’s and Sāyaṇa’s etymologies one by one. The Sanskrit lemmas it quotes repeat what was already transcribed on pp. 31–32 and are given here in short form, in all three layers.)</w:t>
      </w:r>
    </w:p>
    <w:p>
      <w:pPr>
        <w:pStyle w:val="BodyText"/>
      </w:pPr>
      <w:r>
        <w:rPr>
          <w:bCs/>
          <w:b/>
        </w:rPr>
        <w:t xml:space="preserve">इन्द्र (indra)</w:t>
      </w:r>
      <w:r>
        <w:t xml:space="preserve"> </w:t>
      </w:r>
      <w:r>
        <w:t xml:space="preserve">— The Bhāṣyakāra, when explaining the derivation of the word</w:t>
      </w:r>
      <w:r>
        <w:t xml:space="preserve"> </w:t>
      </w:r>
      <w:r>
        <w:t xml:space="preserve">“</w:t>
      </w:r>
      <w:r>
        <w:t xml:space="preserve">Indra,</w:t>
      </w:r>
      <w:r>
        <w:t xml:space="preserve">”</w:t>
      </w:r>
      <w:r>
        <w:t xml:space="preserve"> </w:t>
      </w:r>
      <w:r>
        <w:t xml:space="preserve">cites Yāska’s Nirukta:</w:t>
      </w:r>
      <w:r>
        <w:t xml:space="preserve"> </w:t>
      </w:r>
      <w:r>
        <w:t xml:space="preserve">“</w:t>
      </w:r>
      <w:r>
        <w:t xml:space="preserve">इन्द्र इरां दृणातीति वेरां ददातीति वेरां दधातीति वेरां दारयतीति वेरां धारयतीति वेन्दवे द्रवतीति वेन्दौ रमत इति वेन्द्धे भूतानीति वा तद्यदेनं प्राणैः समैन्धंस्तदिन्द्रस्येन्द्रत्वमिति विज्ञायत इदंकरणादित्याग्रायण इदं दर्शनादित्यौपमन्यव इन्देर्वैश्वर्यकर्मण इभ्रूत्रूणां [?] दारयिता वा द्रावयिता वादरयिता च यज्वनाम् । इति ॥ नि. १०-८ ॥</w:t>
      </w:r>
      <w:r>
        <w:t xml:space="preserve">”</w:t>
      </w:r>
      <w:r>
        <w:t xml:space="preserve"> </w:t>
      </w:r>
      <w:r>
        <w:rPr>
          <w:iCs/>
          <w:i/>
        </w:rPr>
        <w:t xml:space="preserve">(indra irāṃ dṛṇātīti verāṃ dadātīti verāṃ dadhātīti verāṃ dārayatīti verāṃ dhārayatīti vendave dravatīti vendau ramata iti vendhe bhūtānīti vā tad yad enaṃ prāṇaiḥ samaindhaṃs tad indrasyendratvam iti vijñāyata idaṃ-karaṇād ity āgrāyaṇa idaṃ darśanād ity aupamanyava inder vaiśvarya-karmaṇa ibhrūtrūṇāṃ [?] dārayitā vā drāvayitā vādarayitā ca yajvanām | iti || ni. 10-8 ||)</w:t>
      </w:r>
      <w:r>
        <w:t xml:space="preserve"> </w:t>
      </w:r>
      <w:r>
        <w:t xml:space="preserve">— The commentator himself then gives the sense of this, as follows.</w:t>
      </w:r>
    </w:p>
    <w:p>
      <w:pPr>
        <w:pStyle w:val="BodyText"/>
      </w:pPr>
      <w:r>
        <w:rPr>
          <w:iCs/>
          <w:i/>
        </w:rPr>
        <w:t xml:space="preserve">(Reading note: the same unclear stretch —</w:t>
      </w:r>
      <w:r>
        <w:rPr>
          <w:iCs/>
          <w:i/>
        </w:rPr>
        <w:t xml:space="preserve"> </w:t>
      </w:r>
      <w:r>
        <w:rPr>
          <w:iCs/>
          <w:i/>
        </w:rPr>
        <w:t xml:space="preserve">“</w:t>
      </w:r>
      <w:r>
        <w:rPr>
          <w:iCs/>
          <w:i/>
        </w:rPr>
        <w:t xml:space="preserve">…karmaṇa ibhrū-trūṇāṃ…</w:t>
      </w:r>
      <w:r>
        <w:rPr>
          <w:iCs/>
          <w:i/>
        </w:rPr>
        <w:t xml:space="preserve">”</w:t>
      </w:r>
      <w:r>
        <w:rPr>
          <w:iCs/>
          <w:i/>
        </w:rPr>
        <w:t xml:space="preserve"> </w:t>
      </w:r>
      <w:r>
        <w:rPr>
          <w:iCs/>
          <w:i/>
        </w:rPr>
        <w:t xml:space="preserve">— appears here as on p. 31, in slightly different letter-forms. Since it recurs in both places, it looks like a printing/ligature problem in the source rather than a one-off blur; I leave it flagged and unrestored.)</w:t>
      </w:r>
    </w:p>
    <w:p>
      <w:pPr>
        <w:pStyle w:val="BodyText"/>
      </w:pPr>
      <w:r>
        <w:rPr>
          <w:bCs/>
          <w:b/>
        </w:rPr>
        <w:t xml:space="preserve">(1)</w:t>
      </w:r>
      <w:r>
        <w:t xml:space="preserve"> </w:t>
      </w:r>
      <w:r>
        <w:rPr>
          <w:iCs/>
          <w:i/>
        </w:rPr>
        <w:t xml:space="preserve">“</w:t>
      </w:r>
      <w:r>
        <w:rPr>
          <w:iCs/>
          <w:i/>
        </w:rPr>
        <w:t xml:space="preserve">dṛ vidāraṇe iti dhātuḥ | irām annam uddiśya tan-niṣpādaka-jala-siddhy-arthaṃ dṛṇāti megham vidīrṇaṃ karotīti indraḥ</w:t>
      </w:r>
      <w:r>
        <w:rPr>
          <w:iCs/>
          <w:i/>
        </w:rPr>
        <w:t xml:space="preserve">”</w:t>
      </w:r>
      <w:r>
        <w:t xml:space="preserve"> </w:t>
      </w:r>
      <w:r>
        <w:t xml:space="preserve">(दृ विदारण इति धातुः । इरामन्नमुद्दिश्य तन्निष्पादकजलसिद्ध्यर्थं दृणाति मेघं विदीर्णं करोतीतीन्द्रः) — The root</w:t>
      </w:r>
      <w:r>
        <w:t xml:space="preserve"> </w:t>
      </w:r>
      <w:r>
        <w:t xml:space="preserve">“</w:t>
      </w:r>
      <w:r>
        <w:t xml:space="preserve">dṛ</w:t>
      </w:r>
      <w:r>
        <w:t xml:space="preserve">”</w:t>
      </w:r>
      <w:r>
        <w:t xml:space="preserve"> </w:t>
      </w:r>
      <w:r>
        <w:t xml:space="preserve">means to tear, to cut.</w:t>
      </w:r>
      <w:r>
        <w:t xml:space="preserve"> </w:t>
      </w:r>
      <w:r>
        <w:t xml:space="preserve">“</w:t>
      </w:r>
      <w:r>
        <w:t xml:space="preserve">Irā</w:t>
      </w:r>
      <w:r>
        <w:t xml:space="preserve">”</w:t>
      </w:r>
      <w:r>
        <w:t xml:space="preserve"> </w:t>
      </w:r>
      <w:r>
        <w:t xml:space="preserve">means food (āhāra); we obtain it from plants and trees — that is, from the plant kingdom. For that plant kingdom to grow, water is necessary. For the sake of that water — that is, for rain to fall — he cuts open the cloud (with lightning, the thunderbolt-weapon). Because he does so, the name</w:t>
      </w:r>
      <w:r>
        <w:t xml:space="preserve"> </w:t>
      </w:r>
      <w:r>
        <w:t xml:space="preserve">“</w:t>
      </w:r>
      <w:r>
        <w:t xml:space="preserve">Indra</w:t>
      </w:r>
      <w:r>
        <w:t xml:space="preserve">”</w:t>
      </w:r>
      <w:r>
        <w:t xml:space="preserve"> </w:t>
      </w:r>
      <w:r>
        <w:t xml:space="preserve">arose.</w:t>
      </w:r>
    </w:p>
    <w:p>
      <w:pPr>
        <w:pStyle w:val="BodyText"/>
      </w:pPr>
      <w:r>
        <w:rPr>
          <w:bCs/>
          <w:b/>
        </w:rPr>
        <w:t xml:space="preserve">(2)</w:t>
      </w:r>
      <w:r>
        <w:t xml:space="preserve"> </w:t>
      </w:r>
      <w:r>
        <w:rPr>
          <w:iCs/>
          <w:i/>
        </w:rPr>
        <w:t xml:space="preserve">“</w:t>
      </w:r>
      <w:r>
        <w:rPr>
          <w:iCs/>
          <w:i/>
        </w:rPr>
        <w:t xml:space="preserve">ḍudāñ dāna iti dhātuḥ | irām annaṃ vṛṣṭi-niṣpādanena dadātīti indraḥ</w:t>
      </w:r>
      <w:r>
        <w:rPr>
          <w:iCs/>
          <w:i/>
        </w:rPr>
        <w:t xml:space="preserve">”</w:t>
      </w:r>
      <w:r>
        <w:t xml:space="preserve"> </w:t>
      </w:r>
      <w:r>
        <w:t xml:space="preserve">(डुदाञ् दान इति धातुः । इरामन्नं वृष्टिनिष्पादनेन ददातीतीन्द्रः) — The root</w:t>
      </w:r>
      <w:r>
        <w:t xml:space="preserve"> </w:t>
      </w:r>
      <w:r>
        <w:t xml:space="preserve">“</w:t>
      </w:r>
      <w:r>
        <w:t xml:space="preserve">dā</w:t>
      </w:r>
      <w:r>
        <w:t xml:space="preserve">”</w:t>
      </w:r>
      <w:r>
        <w:t xml:space="preserve"> </w:t>
      </w:r>
      <w:r>
        <w:t xml:space="preserve">means to give.</w:t>
      </w:r>
      <w:r>
        <w:t xml:space="preserve"> </w:t>
      </w:r>
      <w:r>
        <w:t xml:space="preserve">“</w:t>
      </w:r>
      <w:r>
        <w:t xml:space="preserve">Irā</w:t>
      </w:r>
      <w:r>
        <w:t xml:space="preserve">”</w:t>
      </w:r>
      <w:r>
        <w:t xml:space="preserve"> </w:t>
      </w:r>
      <w:r>
        <w:t xml:space="preserve">means food. Because he gives food by means of rain, he is called Indra.</w:t>
      </w:r>
    </w:p>
    <w:p>
      <w:pPr>
        <w:pStyle w:val="BodyText"/>
      </w:pPr>
      <w:r>
        <w:rPr>
          <w:bCs/>
          <w:b/>
        </w:rPr>
        <w:t xml:space="preserve">(3)</w:t>
      </w:r>
      <w:r>
        <w:t xml:space="preserve"> </w:t>
      </w:r>
      <w:r>
        <w:rPr>
          <w:iCs/>
          <w:i/>
        </w:rPr>
        <w:t xml:space="preserve">“</w:t>
      </w:r>
      <w:r>
        <w:rPr>
          <w:iCs/>
          <w:i/>
        </w:rPr>
        <w:t xml:space="preserve">dhāñ poṣaṇārthaḥ | irām annaṃ tṛpti-kāraṇaṃ sasyaṃ dadhāti jala-pradānena puṣṇātīti indraḥ</w:t>
      </w:r>
      <w:r>
        <w:rPr>
          <w:iCs/>
          <w:i/>
        </w:rPr>
        <w:t xml:space="preserve">”</w:t>
      </w:r>
      <w:r>
        <w:t xml:space="preserve"> </w:t>
      </w:r>
      <w:r>
        <w:t xml:space="preserve">(धाञ् पोषणार्थः । इरामन्नं तृप्तिकारणं सस्यं दधाति जलप्रदानेन पुष्णातीतीन्द्रः) — The root</w:t>
      </w:r>
      <w:r>
        <w:t xml:space="preserve"> </w:t>
      </w:r>
      <w:r>
        <w:t xml:space="preserve">“</w:t>
      </w:r>
      <w:r>
        <w:t xml:space="preserve">dhā</w:t>
      </w:r>
      <w:r>
        <w:t xml:space="preserve">”</w:t>
      </w:r>
      <w:r>
        <w:t xml:space="preserve"> </w:t>
      </w:r>
      <w:r>
        <w:t xml:space="preserve">means to nourish. Because he nourishes the crops and the like that yield food, by the gift of water (rain), he is called Indra.</w:t>
      </w:r>
    </w:p>
    <w:p>
      <w:pPr>
        <w:pStyle w:val="BodyText"/>
      </w:pPr>
      <w:r>
        <w:rPr>
          <w:bCs/>
          <w:b/>
        </w:rPr>
        <w:t xml:space="preserve">(4)</w:t>
      </w:r>
      <w:r>
        <w:t xml:space="preserve"> </w:t>
      </w:r>
      <w:r>
        <w:rPr>
          <w:iCs/>
          <w:i/>
        </w:rPr>
        <w:t xml:space="preserve">“</w:t>
      </w:r>
      <w:r>
        <w:rPr>
          <w:iCs/>
          <w:i/>
        </w:rPr>
        <w:t xml:space="preserve">irām utpādayituṃ karṣaka-mukhena bhūmiṃ vidārayatīti indraḥ</w:t>
      </w:r>
      <w:r>
        <w:rPr>
          <w:iCs/>
          <w:i/>
        </w:rPr>
        <w:t xml:space="preserve">”</w:t>
      </w:r>
      <w:r>
        <w:t xml:space="preserve"> </w:t>
      </w:r>
      <w:r>
        <w:t xml:space="preserve">(इरामुत्पादयितुं कर्षकमुखेन भूमिं विदारयतीतीन्द्रः) — For food to be produced, the land must be ploughed. While the land is being ploughed, he makes it split open by the plough and makes it favourable to the crop. Because he does this, he is called Indra.</w:t>
      </w:r>
    </w:p>
    <w:p>
      <w:pPr>
        <w:pStyle w:val="BodyText"/>
      </w:pPr>
      <w:r>
        <w:rPr>
          <w:bCs/>
          <w:b/>
        </w:rPr>
        <w:t xml:space="preserve">(5)</w:t>
      </w:r>
      <w:r>
        <w:t xml:space="preserve"> </w:t>
      </w:r>
      <w:r>
        <w:rPr>
          <w:iCs/>
          <w:i/>
        </w:rPr>
        <w:t xml:space="preserve">“</w:t>
      </w:r>
      <w:r>
        <w:rPr>
          <w:iCs/>
          <w:i/>
        </w:rPr>
        <w:t xml:space="preserve">pūrvokta-poṣaṇa-mukhenerāṃ dhārayati vināśa-rāhityena sthāpayatīti indraḥ</w:t>
      </w:r>
      <w:r>
        <w:rPr>
          <w:iCs/>
          <w:i/>
        </w:rPr>
        <w:t xml:space="preserve">”</w:t>
      </w:r>
      <w:r>
        <w:t xml:space="preserve"> </w:t>
      </w:r>
      <w:r>
        <w:t xml:space="preserve">(पूर्वोक्तपोषणमुखेनेरां धारयति विनाशराहित्येन स्थापयतीतीन्द्रः) — As said before, having nourished the crops and the like, he becomes their protector, so that they do not perish. Because of this, he is called Indra.</w:t>
      </w:r>
    </w:p>
    <w:p>
      <w:pPr>
        <w:pStyle w:val="BodyText"/>
      </w:pPr>
      <w:r>
        <w:rPr>
          <w:bCs/>
          <w:b/>
        </w:rPr>
        <w:t xml:space="preserve">(6)</w:t>
      </w:r>
      <w:r>
        <w:t xml:space="preserve"> </w:t>
      </w:r>
      <w:r>
        <w:rPr>
          <w:iCs/>
          <w:i/>
        </w:rPr>
        <w:t xml:space="preserve">“</w:t>
      </w:r>
      <w:r>
        <w:rPr>
          <w:iCs/>
          <w:i/>
        </w:rPr>
        <w:t xml:space="preserve">induḥ somo vallī-rasaḥ | tad-arthaṃ yāga-bhūmau dravati dhāvatīti indraḥ</w:t>
      </w:r>
      <w:r>
        <w:rPr>
          <w:iCs/>
          <w:i/>
        </w:rPr>
        <w:t xml:space="preserve">”</w:t>
      </w:r>
      <w:r>
        <w:t xml:space="preserve"> </w:t>
      </w:r>
      <w:r>
        <w:t xml:space="preserve">(इन्दुः सोमो वल्लीरसः । तदर्थं यागभूमौ द्रवति धावतीतीन्द्रः) —</w:t>
      </w:r>
      <w:r>
        <w:t xml:space="preserve"> </w:t>
      </w:r>
      <w:r>
        <w:t xml:space="preserve">“</w:t>
      </w:r>
      <w:r>
        <w:t xml:space="preserve">Indu</w:t>
      </w:r>
      <w:r>
        <w:t xml:space="preserve">”</w:t>
      </w:r>
      <w:r>
        <w:t xml:space="preserve"> </w:t>
      </w:r>
      <w:r>
        <w:t xml:space="preserve">means the Soma-juice prepared from the Soma creeper.</w:t>
      </w:r>
      <w:r>
        <w:t xml:space="preserve"> </w:t>
      </w:r>
      <w:r>
        <w:rPr>
          <w:iCs/>
          <w:i/>
        </w:rPr>
        <w:t xml:space="preserve">(The sentence continues on the next page: for the sake of that Soma, he runs to the sacrificial ground.)</w:t>
      </w:r>
    </w:p>
    <w:bookmarkEnd w:id="56"/>
    <w:bookmarkStart w:id="57" w:name="X6f387f5ed25404b638627ba8d7a0fe38b2539c1"/>
    <w:p>
      <w:pPr>
        <w:pStyle w:val="Heading3"/>
      </w:pPr>
      <w:r>
        <w:t xml:space="preserve">Page 34 — Kannada commentary: etymologies of</w:t>
      </w:r>
      <w:r>
        <w:t xml:space="preserve"> </w:t>
      </w:r>
      <w:r>
        <w:t xml:space="preserve">“</w:t>
      </w:r>
      <w:r>
        <w:t xml:space="preserve">Indra</w:t>
      </w:r>
      <w:r>
        <w:t xml:space="preserve">”</w:t>
      </w:r>
      <w:r>
        <w:t xml:space="preserve"> </w:t>
      </w:r>
      <w:r>
        <w:t xml:space="preserve">(continued)</w:t>
      </w:r>
    </w:p>
    <w:p>
      <w:pPr>
        <w:pStyle w:val="FirstParagraph"/>
      </w:pPr>
      <w:r>
        <w:rPr>
          <w:iCs/>
          <w:i/>
        </w:rPr>
        <w:t xml:space="preserve">(Page header:</w:t>
      </w:r>
      <w:r>
        <w:rPr>
          <w:iCs/>
          <w:i/>
        </w:rPr>
        <w:t xml:space="preserve"> </w:t>
      </w:r>
      <w:r>
        <w:rPr>
          <w:iCs/>
          <w:i/>
        </w:rPr>
        <w:t xml:space="preserve">“</w:t>
      </w:r>
      <w:r>
        <w:rPr>
          <w:iCs/>
          <w:i/>
        </w:rPr>
        <w:t xml:space="preserve">Sāyaṇa-bhāṣya-sahitā · Mandala 1, Anuvāka 1, Sūkta 3.</w:t>
      </w:r>
      <w:r>
        <w:rPr>
          <w:iCs/>
          <w:i/>
        </w:rPr>
        <w:t xml:space="preserve">”</w:t>
      </w:r>
      <w:r>
        <w:rPr>
          <w:iCs/>
          <w:i/>
        </w:rPr>
        <w:t xml:space="preserve"> </w:t>
      </w:r>
      <w:r>
        <w:rPr>
          <w:iCs/>
          <w:i/>
        </w:rPr>
        <w:t xml:space="preserve">Correction note: this page prints the clause</w:t>
      </w:r>
      <w:r>
        <w:rPr>
          <w:iCs/>
          <w:i/>
        </w:rPr>
        <w:t xml:space="preserve"> </w:t>
      </w:r>
      <w:r>
        <w:rPr>
          <w:iCs/>
          <w:i/>
        </w:rPr>
        <w:t xml:space="preserve">“</w:t>
      </w:r>
      <w:r>
        <w:rPr>
          <w:iCs/>
          <w:i/>
        </w:rPr>
        <w:t xml:space="preserve">prāṇair vāk-cakṣur-ādīndriyaiḥ</w:t>
      </w:r>
      <w:r>
        <w:rPr>
          <w:iCs/>
          <w:i/>
        </w:rPr>
        <w:t xml:space="preserve">”</w:t>
      </w:r>
      <w:r>
        <w:rPr>
          <w:iCs/>
          <w:i/>
        </w:rPr>
        <w:t xml:space="preserve"> </w:t>
      </w:r>
      <w:r>
        <w:rPr>
          <w:iCs/>
          <w:i/>
        </w:rPr>
        <w:t xml:space="preserve">legibly; on p. 31 the first word of that clause was blurred and was provisionally read</w:t>
      </w:r>
      <w:r>
        <w:rPr>
          <w:iCs/>
          <w:i/>
        </w:rPr>
        <w:t xml:space="preserve"> </w:t>
      </w:r>
      <w:r>
        <w:rPr>
          <w:iCs/>
          <w:i/>
        </w:rPr>
        <w:t xml:space="preserve">“</w:t>
      </w:r>
      <w:r>
        <w:rPr>
          <w:iCs/>
          <w:i/>
        </w:rPr>
        <w:t xml:space="preserve">pāṇyaiḥ [?]</w:t>
      </w:r>
      <w:r>
        <w:rPr>
          <w:iCs/>
          <w:i/>
        </w:rPr>
        <w:t xml:space="preserve">”</w:t>
      </w:r>
      <w:r>
        <w:rPr>
          <w:iCs/>
          <w:i/>
        </w:rPr>
        <w:t xml:space="preserve">. The p. 31 text has been corrected in place to</w:t>
      </w:r>
      <w:r>
        <w:rPr>
          <w:iCs/>
          <w:i/>
        </w:rPr>
        <w:t xml:space="preserve"> </w:t>
      </w:r>
      <w:r>
        <w:rPr>
          <w:iCs/>
          <w:i/>
        </w:rPr>
        <w:t xml:space="preserve">“</w:t>
      </w:r>
      <w:r>
        <w:rPr>
          <w:iCs/>
          <w:i/>
        </w:rPr>
        <w:t xml:space="preserve">prāṇaiḥ,</w:t>
      </w:r>
      <w:r>
        <w:rPr>
          <w:iCs/>
          <w:i/>
        </w:rPr>
        <w:t xml:space="preserve">”</w:t>
      </w:r>
      <w:r>
        <w:rPr>
          <w:iCs/>
          <w:i/>
        </w:rPr>
        <w:t xml:space="preserve"> </w:t>
      </w:r>
      <w:r>
        <w:rPr>
          <w:iCs/>
          <w:i/>
        </w:rPr>
        <w:t xml:space="preserve">as it is the one reading the clearer print supports.)</w:t>
      </w:r>
    </w:p>
    <w:p>
      <w:pPr>
        <w:pStyle w:val="BodyText"/>
      </w:pPr>
      <w:r>
        <w:rPr>
          <w:iCs/>
          <w:i/>
        </w:rPr>
        <w:t xml:space="preserve">(Continuation of (6):)</w:t>
      </w:r>
      <w:r>
        <w:t xml:space="preserve"> </w:t>
      </w:r>
      <w:r>
        <w:t xml:space="preserve">…</w:t>
      </w:r>
      <w:r>
        <w:t xml:space="preserve"> </w:t>
      </w:r>
      <w:r>
        <w:t xml:space="preserve">“</w:t>
      </w:r>
      <w:r>
        <w:t xml:space="preserve">Having come, hastening — running swiftly — to such a place, for the sake of drinking the Soma, he is called Indra.</w:t>
      </w:r>
      <w:r>
        <w:t xml:space="preserve">”</w:t>
      </w:r>
    </w:p>
    <w:p>
      <w:pPr>
        <w:pStyle w:val="BodyText"/>
      </w:pPr>
      <w:r>
        <w:rPr>
          <w:bCs/>
          <w:b/>
        </w:rPr>
        <w:t xml:space="preserve">(7)</w:t>
      </w:r>
      <w:r>
        <w:t xml:space="preserve"> </w:t>
      </w:r>
      <w:r>
        <w:rPr>
          <w:iCs/>
          <w:i/>
        </w:rPr>
        <w:t xml:space="preserve">“</w:t>
      </w:r>
      <w:r>
        <w:rPr>
          <w:iCs/>
          <w:i/>
        </w:rPr>
        <w:t xml:space="preserve">indau yathokte some ramate krīḍatīti indraḥ</w:t>
      </w:r>
      <w:r>
        <w:rPr>
          <w:iCs/>
          <w:i/>
        </w:rPr>
        <w:t xml:space="preserve">”</w:t>
      </w:r>
      <w:r>
        <w:t xml:space="preserve"> </w:t>
      </w:r>
      <w:r>
        <w:t xml:space="preserve">(इन्दौ यथोक्ते सोमे रमते क्रीडतीतीन्द्रः) — Because he, satisfied by the Soma-juice just described, disports himself in delight, he is called Indra.</w:t>
      </w:r>
    </w:p>
    <w:p>
      <w:pPr>
        <w:pStyle w:val="BodyText"/>
      </w:pPr>
      <w:r>
        <w:rPr>
          <w:bCs/>
          <w:b/>
        </w:rPr>
        <w:t xml:space="preserve">(8)</w:t>
      </w:r>
      <w:r>
        <w:t xml:space="preserve"> </w:t>
      </w:r>
      <w:r>
        <w:rPr>
          <w:iCs/>
          <w:i/>
        </w:rPr>
        <w:t xml:space="preserve">“</w:t>
      </w:r>
      <w:r>
        <w:rPr>
          <w:iCs/>
          <w:i/>
        </w:rPr>
        <w:t xml:space="preserve">ñi-indhī dīptāv iti dhātuḥ | bhūtāni prāṇi-dehān indhe jīva-caitanya-rūpeṇāntaḥ praviśya dīpayatīti indraḥ</w:t>
      </w:r>
      <w:r>
        <w:rPr>
          <w:iCs/>
          <w:i/>
        </w:rPr>
        <w:t xml:space="preserve">”</w:t>
      </w:r>
      <w:r>
        <w:t xml:space="preserve"> </w:t>
      </w:r>
      <w:r>
        <w:t xml:space="preserve">(ञिइन्धी दीप्ताविति धातुः । भूतानि प्राणिदेहानिन्द्धे जीवचैतन्यरूपेणान्तः प्रविश्य दीपयतीतीन्द्रः) — The root</w:t>
      </w:r>
      <w:r>
        <w:t xml:space="preserve"> </w:t>
      </w:r>
      <w:r>
        <w:t xml:space="preserve">“</w:t>
      </w:r>
      <w:r>
        <w:t xml:space="preserve">indh</w:t>
      </w:r>
      <w:r>
        <w:t xml:space="preserve">”</w:t>
      </w:r>
      <w:r>
        <w:t xml:space="preserve"> </w:t>
      </w:r>
      <w:r>
        <w:t xml:space="preserve">means to shine, to illumine. Entering the bodies of living beings in the form of consciousness (caitanya), and impelling them to do each of their own deeds, he shines within them; hence he is called Indra.</w:t>
      </w:r>
    </w:p>
    <w:p>
      <w:pPr>
        <w:pStyle w:val="BodyText"/>
      </w:pPr>
      <w:r>
        <w:rPr>
          <w:bCs/>
          <w:b/>
        </w:rPr>
        <w:t xml:space="preserve">(9)</w:t>
      </w:r>
      <w:r>
        <w:t xml:space="preserve"> </w:t>
      </w:r>
      <w:r>
        <w:rPr>
          <w:iCs/>
          <w:i/>
        </w:rPr>
        <w:t xml:space="preserve">“</w:t>
      </w:r>
      <w:r>
        <w:rPr>
          <w:iCs/>
          <w:i/>
        </w:rPr>
        <w:t xml:space="preserve">yad yasmāt kāraṇād enaṃ paramātma-rūpam indraṃ devaṃ prāṇair vāk-cakṣur-ādīndriyaiḥ prāṇāpānādi-vāyubhiś ca sahitaṃ samaindhann upāsakā dhyānena samyak prakāśitavantas tasmāt kāraṇād indra-nāma sampannam</w:t>
      </w:r>
      <w:r>
        <w:rPr>
          <w:iCs/>
          <w:i/>
        </w:rPr>
        <w:t xml:space="preserve">”</w:t>
      </w:r>
      <w:r>
        <w:t xml:space="preserve"> </w:t>
      </w:r>
      <w:r>
        <w:t xml:space="preserve">(यद्यस्मात्कारणादेनं परमात्मरूपमिन्द्रं देवं प्राणैर्वाक्चक्षुरादीन्द्रियैः प्राणापानादिवायुभिश्च सहितं समैन्धन्नुपासका ध्यानेन सम्यक्प्रकाशितवन्तस्तस्मात्कारणादिन्द्रनाम संपन्नम्) — Because worshippers, in meditation, bring this god — whose form is the Supreme Self — to shine forth well, as joined with the vital breaths, with the senses of speech, sight and the rest, and with the vital airs prāṇa, apāna and the rest, the name</w:t>
      </w:r>
      <w:r>
        <w:t xml:space="preserve"> </w:t>
      </w:r>
      <w:r>
        <w:t xml:space="preserve">“</w:t>
      </w:r>
      <w:r>
        <w:t xml:space="preserve">Indra</w:t>
      </w:r>
      <w:r>
        <w:t xml:space="preserve">”</w:t>
      </w:r>
      <w:r>
        <w:t xml:space="preserve"> </w:t>
      </w:r>
      <w:r>
        <w:t xml:space="preserve">came about.</w:t>
      </w:r>
    </w:p>
    <w:p>
      <w:pPr>
        <w:pStyle w:val="BodyText"/>
      </w:pPr>
      <w:r>
        <w:rPr>
          <w:bCs/>
          <w:b/>
        </w:rPr>
        <w:t xml:space="preserve">(10)</w:t>
      </w:r>
      <w:r>
        <w:t xml:space="preserve"> </w:t>
      </w:r>
      <w:r>
        <w:rPr>
          <w:iCs/>
          <w:i/>
        </w:rPr>
        <w:t xml:space="preserve">“</w:t>
      </w:r>
      <w:r>
        <w:rPr>
          <w:iCs/>
          <w:i/>
        </w:rPr>
        <w:t xml:space="preserve">āgrāyaṇa-nāmako munir idaṃ-karaṇād indra iti nirvacanaṃ manyate | indro hi paramātma-rūpeṇedaṃ jagat karoti</w:t>
      </w:r>
      <w:r>
        <w:rPr>
          <w:iCs/>
          <w:i/>
        </w:rPr>
        <w:t xml:space="preserve">”</w:t>
      </w:r>
      <w:r>
        <w:t xml:space="preserve"> </w:t>
      </w:r>
      <w:r>
        <w:t xml:space="preserve">(आग्रायणनामको मुनिरिदंकरणादिन्द्र इति निर्वचनं मन्यते । इन्द्रो हि परमात्मरूपेणेदं जगत्करोति) —</w:t>
      </w:r>
      <w:r>
        <w:t xml:space="preserve"> </w:t>
      </w:r>
      <w:r>
        <w:t xml:space="preserve">“</w:t>
      </w:r>
      <w:r>
        <w:t xml:space="preserve">Idaṃ-karaṇa</w:t>
      </w:r>
      <w:r>
        <w:t xml:space="preserve">”</w:t>
      </w:r>
      <w:r>
        <w:t xml:space="preserve"> </w:t>
      </w:r>
      <w:r>
        <w:t xml:space="preserve">(</w:t>
      </w:r>
      <w:r>
        <w:t xml:space="preserve">“</w:t>
      </w:r>
      <w:r>
        <w:t xml:space="preserve">making this</w:t>
      </w:r>
      <w:r>
        <w:t xml:space="preserve">”</w:t>
      </w:r>
      <w:r>
        <w:t xml:space="preserve">) means: in the form of the Supreme Self, Indra creates (brings forth) this world; and so, says the sage named Āgrāyaṇa, this god received the name Indra.</w:t>
      </w:r>
    </w:p>
    <w:p>
      <w:pPr>
        <w:pStyle w:val="BodyText"/>
      </w:pPr>
      <w:r>
        <w:rPr>
          <w:bCs/>
          <w:b/>
        </w:rPr>
        <w:t xml:space="preserve">(11)</w:t>
      </w:r>
      <w:r>
        <w:t xml:space="preserve"> </w:t>
      </w:r>
      <w:r>
        <w:rPr>
          <w:iCs/>
          <w:i/>
        </w:rPr>
        <w:t xml:space="preserve">“</w:t>
      </w:r>
      <w:r>
        <w:rPr>
          <w:iCs/>
          <w:i/>
        </w:rPr>
        <w:t xml:space="preserve">aupamanyava-nāmako munir idaṃ-darśanād indra iti nirvacanam āha | idam ity āparokṣyam ucyate</w:t>
      </w:r>
      <w:r>
        <w:rPr>
          <w:iCs/>
          <w:i/>
        </w:rPr>
        <w:t xml:space="preserve">”</w:t>
      </w:r>
      <w:r>
        <w:t xml:space="preserve"> </w:t>
      </w:r>
      <w:r>
        <w:t xml:space="preserve">(औपमन्यवनामको मुनिरिदंदर्शनादिन्द्र इति निर्वचनमाह । इदमित्यापरोक्ष्यमुच्यते) — The sage named Aupamanyava says that, because he sees</w:t>
      </w:r>
      <w:r>
        <w:t xml:space="preserve"> </w:t>
      </w:r>
      <w:r>
        <w:t xml:space="preserve">“</w:t>
      </w:r>
      <w:r>
        <w:t xml:space="preserve">idam</w:t>
      </w:r>
      <w:r>
        <w:t xml:space="preserve">”</w:t>
      </w:r>
      <w:r>
        <w:t xml:space="preserve"> </w:t>
      </w:r>
      <w:r>
        <w:t xml:space="preserve">— that is, everything — the name Indra came about. Here</w:t>
      </w:r>
      <w:r>
        <w:t xml:space="preserve"> </w:t>
      </w:r>
      <w:r>
        <w:t xml:space="preserve">“</w:t>
      </w:r>
      <w:r>
        <w:t xml:space="preserve">idam</w:t>
      </w:r>
      <w:r>
        <w:t xml:space="preserve">”</w:t>
      </w:r>
      <w:r>
        <w:t xml:space="preserve"> </w:t>
      </w:r>
      <w:r>
        <w:t xml:space="preserve">means</w:t>
      </w:r>
      <w:r>
        <w:t xml:space="preserve"> </w:t>
      </w:r>
      <w:r>
        <w:t xml:space="preserve">“</w:t>
      </w:r>
      <w:r>
        <w:t xml:space="preserve">āparokṣya</w:t>
      </w:r>
      <w:r>
        <w:t xml:space="preserve">”</w:t>
      </w:r>
      <w:r>
        <w:t xml:space="preserve">: what is directly present, plain before the eyes (pratyakṣa), as opposed to hidden.</w:t>
      </w:r>
      <w:r>
        <w:t xml:space="preserve"> </w:t>
      </w:r>
      <w:r>
        <w:rPr>
          <w:iCs/>
          <w:i/>
        </w:rPr>
        <w:t xml:space="preserve">(The commentary adds:)</w:t>
      </w:r>
      <w:r>
        <w:t xml:space="preserve"> </w:t>
      </w:r>
      <w:r>
        <w:t xml:space="preserve">it is precisely for this reason that the Śruti says</w:t>
      </w:r>
      <w:r>
        <w:t xml:space="preserve"> </w:t>
      </w:r>
      <w:r>
        <w:t xml:space="preserve">“</w:t>
      </w:r>
      <w:r>
        <w:rPr>
          <w:iCs/>
          <w:i/>
        </w:rPr>
        <w:t xml:space="preserve">parokṣa-priyā iva hi devāḥ</w:t>
      </w:r>
      <w:r>
        <w:t xml:space="preserve">”</w:t>
      </w:r>
      <w:r>
        <w:t xml:space="preserve"> </w:t>
      </w:r>
      <w:r>
        <w:t xml:space="preserve">(परोक्षप्रिया इव हि देवाः —</w:t>
      </w:r>
      <w:r>
        <w:t xml:space="preserve"> </w:t>
      </w:r>
      <w:r>
        <w:t xml:space="preserve">“</w:t>
      </w:r>
      <w:r>
        <w:t xml:space="preserve">the gods are fond of the indirect, as it were</w:t>
      </w:r>
      <w:r>
        <w:t xml:space="preserve">”</w:t>
      </w:r>
      <w:r>
        <w:t xml:space="preserve">).</w:t>
      </w:r>
    </w:p>
    <w:p>
      <w:pPr>
        <w:pStyle w:val="BodyText"/>
      </w:pPr>
      <w:r>
        <w:rPr>
          <w:bCs/>
          <w:b/>
        </w:rPr>
        <w:t xml:space="preserve">(12)</w:t>
      </w:r>
      <w:r>
        <w:t xml:space="preserve"> </w:t>
      </w:r>
      <w:r>
        <w:rPr>
          <w:iCs/>
          <w:i/>
        </w:rPr>
        <w:t xml:space="preserve">“</w:t>
      </w:r>
      <w:r>
        <w:rPr>
          <w:iCs/>
          <w:i/>
        </w:rPr>
        <w:t xml:space="preserve">idi paramaiśvarya iti dhātuḥ | sva-māyayā jagad-rūpatvaṃ paramaiśvaryam | tad-yogād indraḥ</w:t>
      </w:r>
      <w:r>
        <w:rPr>
          <w:iCs/>
          <w:i/>
        </w:rPr>
        <w:t xml:space="preserve">”</w:t>
      </w:r>
      <w:r>
        <w:t xml:space="preserve"> </w:t>
      </w:r>
      <w:r>
        <w:t xml:space="preserve">(इदि परमैश्वर्य इति धातुः । स्वमायया जगद्रूपत्वं परमैश्वर्यं । तद्योगादिन्द्रः) — The root</w:t>
      </w:r>
      <w:r>
        <w:t xml:space="preserve"> </w:t>
      </w:r>
      <w:r>
        <w:t xml:space="preserve">“</w:t>
      </w:r>
      <w:r>
        <w:t xml:space="preserve">idi</w:t>
      </w:r>
      <w:r>
        <w:t xml:space="preserve">”</w:t>
      </w:r>
      <w:r>
        <w:t xml:space="preserve"> </w:t>
      </w:r>
      <w:r>
        <w:t xml:space="preserve">carries the sense</w:t>
      </w:r>
      <w:r>
        <w:t xml:space="preserve"> </w:t>
      </w:r>
      <w:r>
        <w:t xml:space="preserve">“</w:t>
      </w:r>
      <w:r>
        <w:t xml:space="preserve">supreme lordship.</w:t>
      </w:r>
      <w:r>
        <w:t xml:space="preserve">”</w:t>
      </w:r>
      <w:r>
        <w:t xml:space="preserve"> </w:t>
      </w:r>
      <w:r>
        <w:t xml:space="preserve">This god, through his own māyā, has the supreme lordship of taking the form of the world…</w:t>
      </w:r>
      <w:r>
        <w:t xml:space="preserve"> </w:t>
      </w:r>
      <w:r>
        <w:rPr>
          <w:iCs/>
          <w:i/>
        </w:rPr>
        <w:t xml:space="preserve">(continues on the next page)</w:t>
      </w:r>
    </w:p>
    <w:bookmarkEnd w:id="57"/>
    <w:bookmarkStart w:id="58" w:name="X1721a7424aef558efc6cd9da23f0db095462bd3"/>
    <w:p>
      <w:pPr>
        <w:pStyle w:val="Heading3"/>
      </w:pPr>
      <w:r>
        <w:t xml:space="preserve">Page 35 — Etymologies of</w:t>
      </w:r>
      <w:r>
        <w:t xml:space="preserve"> </w:t>
      </w:r>
      <w:r>
        <w:t xml:space="preserve">“</w:t>
      </w:r>
      <w:r>
        <w:t xml:space="preserve">Indra</w:t>
      </w:r>
      <w:r>
        <w:t xml:space="preserve">”</w:t>
      </w:r>
      <w:r>
        <w:t xml:space="preserve"> </w:t>
      </w:r>
      <w:r>
        <w:t xml:space="preserve">concluded; the word</w:t>
      </w:r>
      <w:r>
        <w:t xml:space="preserve"> </w:t>
      </w:r>
      <w:r>
        <w:t xml:space="preserve">“</w:t>
      </w:r>
      <w:r>
        <w:t xml:space="preserve">citrabhānu</w:t>
      </w:r>
      <w:r>
        <w:t xml:space="preserve">”</w:t>
      </w:r>
      <w:r>
        <w:t xml:space="preserve"> </w:t>
      </w:r>
      <w:r>
        <w:t xml:space="preserve">begins</w:t>
      </w:r>
    </w:p>
    <w:p>
      <w:pPr>
        <w:pStyle w:val="FirstParagraph"/>
      </w:pPr>
      <w:r>
        <w:rPr>
          <w:iCs/>
          <w:i/>
        </w:rPr>
        <w:t xml:space="preserve">(Correction note: on p. 32 the last etymology’s closing word was provisionally read</w:t>
      </w:r>
      <w:r>
        <w:rPr>
          <w:iCs/>
          <w:i/>
        </w:rPr>
        <w:t xml:space="preserve"> </w:t>
      </w:r>
      <w:r>
        <w:rPr>
          <w:iCs/>
          <w:i/>
        </w:rPr>
        <w:t xml:space="preserve">“</w:t>
      </w:r>
      <w:r>
        <w:rPr>
          <w:iCs/>
          <w:i/>
        </w:rPr>
        <w:t xml:space="preserve">paripartā</w:t>
      </w:r>
      <w:r>
        <w:rPr>
          <w:iCs/>
          <w:i/>
        </w:rPr>
        <w:t xml:space="preserve">”</w:t>
      </w:r>
      <w:r>
        <w:rPr>
          <w:iCs/>
          <w:i/>
        </w:rPr>
        <w:t xml:space="preserve">; this page prints it plainly as</w:t>
      </w:r>
      <w:r>
        <w:rPr>
          <w:iCs/>
          <w:i/>
        </w:rPr>
        <w:t xml:space="preserve"> </w:t>
      </w:r>
      <w:r>
        <w:rPr>
          <w:iCs/>
          <w:i/>
        </w:rPr>
        <w:t xml:space="preserve">“</w:t>
      </w:r>
      <w:r>
        <w:rPr>
          <w:iCs/>
          <w:i/>
        </w:rPr>
        <w:t xml:space="preserve">parihartā</w:t>
      </w:r>
      <w:r>
        <w:rPr>
          <w:iCs/>
          <w:i/>
        </w:rPr>
        <w:t xml:space="preserve">”</w:t>
      </w:r>
      <w:r>
        <w:rPr>
          <w:iCs/>
          <w:i/>
        </w:rPr>
        <w:t xml:space="preserve"> </w:t>
      </w:r>
      <w:r>
        <w:rPr>
          <w:iCs/>
          <w:i/>
        </w:rPr>
        <w:t xml:space="preserve">(</w:t>
      </w:r>
      <w:r>
        <w:rPr>
          <w:iCs/>
          <w:i/>
        </w:rPr>
        <w:t xml:space="preserve">“</w:t>
      </w:r>
      <w:r>
        <w:rPr>
          <w:iCs/>
          <w:i/>
        </w:rPr>
        <w:t xml:space="preserve">remover of fear</w:t>
      </w:r>
      <w:r>
        <w:rPr>
          <w:iCs/>
          <w:i/>
        </w:rPr>
        <w:t xml:space="preserve">”</w:t>
      </w:r>
      <w:r>
        <w:rPr>
          <w:iCs/>
          <w:i/>
        </w:rPr>
        <w:t xml:space="preserve">), and p. 32 has been corrected in place.)</w:t>
      </w:r>
    </w:p>
    <w:p>
      <w:pPr>
        <w:pStyle w:val="BodyText"/>
      </w:pPr>
      <w:r>
        <w:rPr>
          <w:iCs/>
          <w:i/>
        </w:rPr>
        <w:t xml:space="preserve">(Continuation of (12):)</w:t>
      </w:r>
      <w:r>
        <w:t xml:space="preserve"> </w:t>
      </w:r>
      <w:r>
        <w:t xml:space="preserve">…</w:t>
      </w:r>
      <w:r>
        <w:t xml:space="preserve"> </w:t>
      </w:r>
      <w:r>
        <w:t xml:space="preserve">“</w:t>
      </w:r>
      <w:r>
        <w:t xml:space="preserve">…which is the supreme lordship; hence this god is named Indra. This sense is supported by the Vedic sentence</w:t>
      </w:r>
      <w:r>
        <w:t xml:space="preserve"> </w:t>
      </w:r>
      <w:r>
        <w:t xml:space="preserve">‘</w:t>
      </w:r>
      <w:r>
        <w:rPr>
          <w:iCs/>
          <w:i/>
        </w:rPr>
        <w:t xml:space="preserve">indro māyābhiḥ pururūpa īyate</w:t>
      </w:r>
      <w:r>
        <w:t xml:space="preserve">’</w:t>
      </w:r>
      <w:r>
        <w:t xml:space="preserve"> </w:t>
      </w:r>
      <w:r>
        <w:t xml:space="preserve">(इन्द्रो मायाभिः पुरुरूप ईयते —</w:t>
      </w:r>
      <w:r>
        <w:t xml:space="preserve"> </w:t>
      </w:r>
      <w:r>
        <w:t xml:space="preserve">‘</w:t>
      </w:r>
      <w:r>
        <w:t xml:space="preserve">Indra goes about in many forms by his māyās,</w:t>
      </w:r>
      <w:r>
        <w:t xml:space="preserve">’</w:t>
      </w:r>
      <w:r>
        <w:t xml:space="preserve"> </w:t>
      </w:r>
      <w:r>
        <w:t xml:space="preserve">Ṛg. Saṃ. 6-47-18).</w:t>
      </w:r>
      <w:r>
        <w:t xml:space="preserve">”</w:t>
      </w:r>
    </w:p>
    <w:p>
      <w:pPr>
        <w:pStyle w:val="BodyText"/>
      </w:pPr>
      <w:r>
        <w:rPr>
          <w:bCs/>
          <w:b/>
        </w:rPr>
        <w:t xml:space="preserve">(13)</w:t>
      </w:r>
      <w:r>
        <w:t xml:space="preserve"> </w:t>
      </w:r>
      <w:r>
        <w:rPr>
          <w:iCs/>
          <w:i/>
        </w:rPr>
        <w:t xml:space="preserve">“</w:t>
      </w:r>
      <w:r>
        <w:rPr>
          <w:iCs/>
          <w:i/>
        </w:rPr>
        <w:t xml:space="preserve">ina-śabdasyeśvara-vācakasyākāra-lope sati nakārāntam in iti padaṃ bhavati | dṛ bhaye iti dhātuḥ | sa ca parameśvaraḥ śatrūṇāṃ dārayitā bhīṣayitety indraḥ</w:t>
      </w:r>
      <w:r>
        <w:rPr>
          <w:iCs/>
          <w:i/>
        </w:rPr>
        <w:t xml:space="preserve">”</w:t>
      </w:r>
      <w:r>
        <w:t xml:space="preserve"> </w:t>
      </w:r>
      <w:r>
        <w:t xml:space="preserve">(इनशब्दस्येश्वरवाचकस्याकारलोपे सति नकारान्तमिन्निति पदं भवति । दृ भये इति धातुः । स च परमेश्वरः शत्रूणां दारयिता भीषयितेतीन्द्रः) — The word</w:t>
      </w:r>
      <w:r>
        <w:t xml:space="preserve"> </w:t>
      </w:r>
      <w:r>
        <w:t xml:space="preserve">“</w:t>
      </w:r>
      <w:r>
        <w:t xml:space="preserve">ina</w:t>
      </w:r>
      <w:r>
        <w:t xml:space="preserve">”</w:t>
      </w:r>
      <w:r>
        <w:t xml:space="preserve"> </w:t>
      </w:r>
      <w:r>
        <w:t xml:space="preserve">denotes the Lord. When the</w:t>
      </w:r>
      <w:r>
        <w:t xml:space="preserve"> </w:t>
      </w:r>
      <w:r>
        <w:t xml:space="preserve">“</w:t>
      </w:r>
      <w:r>
        <w:t xml:space="preserve">a</w:t>
      </w:r>
      <w:r>
        <w:t xml:space="preserve">”</w:t>
      </w:r>
      <w:r>
        <w:t xml:space="preserve"> </w:t>
      </w:r>
      <w:r>
        <w:t xml:space="preserve">following the</w:t>
      </w:r>
      <w:r>
        <w:t xml:space="preserve"> </w:t>
      </w:r>
      <w:r>
        <w:t xml:space="preserve">“</w:t>
      </w:r>
      <w:r>
        <w:t xml:space="preserve">n</w:t>
      </w:r>
      <w:r>
        <w:t xml:space="preserve">”</w:t>
      </w:r>
      <w:r>
        <w:t xml:space="preserve"> </w:t>
      </w:r>
      <w:r>
        <w:t xml:space="preserve">of this word</w:t>
      </w:r>
      <w:r>
        <w:t xml:space="preserve"> </w:t>
      </w:r>
      <w:r>
        <w:t xml:space="preserve">“</w:t>
      </w:r>
      <w:r>
        <w:t xml:space="preserve">ina</w:t>
      </w:r>
      <w:r>
        <w:t xml:space="preserve">”</w:t>
      </w:r>
      <w:r>
        <w:t xml:space="preserve"> </w:t>
      </w:r>
      <w:r>
        <w:t xml:space="preserve">is dropped, the form</w:t>
      </w:r>
      <w:r>
        <w:t xml:space="preserve"> </w:t>
      </w:r>
      <w:r>
        <w:t xml:space="preserve">“</w:t>
      </w:r>
      <w:r>
        <w:t xml:space="preserve">in</w:t>
      </w:r>
      <w:r>
        <w:t xml:space="preserve">”</w:t>
      </w:r>
      <w:r>
        <w:t xml:space="preserve"> </w:t>
      </w:r>
      <w:r>
        <w:t xml:space="preserve">remains. The root</w:t>
      </w:r>
      <w:r>
        <w:t xml:space="preserve"> </w:t>
      </w:r>
      <w:r>
        <w:rPr>
          <w:iCs/>
          <w:i/>
        </w:rPr>
        <w:t xml:space="preserve">(read here as</w:t>
      </w:r>
      <w:r>
        <w:rPr>
          <w:iCs/>
          <w:i/>
        </w:rPr>
        <w:t xml:space="preserve"> </w:t>
      </w:r>
      <w:r>
        <w:rPr>
          <w:iCs/>
          <w:i/>
        </w:rPr>
        <w:t xml:space="preserve">“</w:t>
      </w:r>
      <w:r>
        <w:rPr>
          <w:iCs/>
          <w:i/>
        </w:rPr>
        <w:t xml:space="preserve">dṛ</w:t>
      </w:r>
      <w:r>
        <w:rPr>
          <w:iCs/>
          <w:i/>
        </w:rPr>
        <w:t xml:space="preserve">”</w:t>
      </w:r>
      <w:r>
        <w:rPr>
          <w:iCs/>
          <w:i/>
        </w:rPr>
        <w:t xml:space="preserve">)</w:t>
      </w:r>
      <w:r>
        <w:t xml:space="preserve"> </w:t>
      </w:r>
      <w:r>
        <w:t xml:space="preserve">means fear. That god, being the Supreme Lord, frightens the enemies; hence his name Indra.</w:t>
      </w:r>
    </w:p>
    <w:p>
      <w:pPr>
        <w:pStyle w:val="BodyText"/>
      </w:pPr>
      <w:r>
        <w:rPr>
          <w:bCs/>
          <w:b/>
        </w:rPr>
        <w:t xml:space="preserve">(14)</w:t>
      </w:r>
      <w:r>
        <w:t xml:space="preserve"> </w:t>
      </w:r>
      <w:r>
        <w:rPr>
          <w:iCs/>
          <w:i/>
        </w:rPr>
        <w:t xml:space="preserve">“</w:t>
      </w:r>
      <w:r>
        <w:rPr>
          <w:iCs/>
          <w:i/>
        </w:rPr>
        <w:t xml:space="preserve">dru gatāv iti dhātuḥ | śatrūṇāṃ drāvayitā palāyanaṃ prāpayitety indraḥ</w:t>
      </w:r>
      <w:r>
        <w:rPr>
          <w:iCs/>
          <w:i/>
        </w:rPr>
        <w:t xml:space="preserve">”</w:t>
      </w:r>
      <w:r>
        <w:t xml:space="preserve"> </w:t>
      </w:r>
      <w:r>
        <w:t xml:space="preserve">(द्रु गताविति धातुः । शत्रूणां द्रावयिता पलायनं प्रापयितेतीन्द्रः) — The root</w:t>
      </w:r>
      <w:r>
        <w:t xml:space="preserve"> </w:t>
      </w:r>
      <w:r>
        <w:t xml:space="preserve">“</w:t>
      </w:r>
      <w:r>
        <w:t xml:space="preserve">dru</w:t>
      </w:r>
      <w:r>
        <w:t xml:space="preserve">”</w:t>
      </w:r>
      <w:r>
        <w:t xml:space="preserve"> </w:t>
      </w:r>
      <w:r>
        <w:t xml:space="preserve">means going — that is, to go, to run away. This god makes enemies flee; hence he is named Indra.</w:t>
      </w:r>
    </w:p>
    <w:p>
      <w:pPr>
        <w:pStyle w:val="BodyText"/>
      </w:pPr>
      <w:r>
        <w:rPr>
          <w:bCs/>
          <w:b/>
        </w:rPr>
        <w:t xml:space="preserve">(15)</w:t>
      </w:r>
      <w:r>
        <w:t xml:space="preserve"> </w:t>
      </w:r>
      <w:r>
        <w:rPr>
          <w:iCs/>
          <w:i/>
        </w:rPr>
        <w:t xml:space="preserve">“</w:t>
      </w:r>
      <w:r>
        <w:rPr>
          <w:iCs/>
          <w:i/>
        </w:rPr>
        <w:t xml:space="preserve">yajvanāṃ yogānuṣṭhāyināṃ ādarayitā bhayasya parihartā</w:t>
      </w:r>
      <w:r>
        <w:rPr>
          <w:iCs/>
          <w:i/>
        </w:rPr>
        <w:t xml:space="preserve">”</w:t>
      </w:r>
      <w:r>
        <w:t xml:space="preserve"> </w:t>
      </w:r>
      <w:r>
        <w:t xml:space="preserve">(यज्वनां योगानुष्ठायिनामादरयिता भयस्य परिहर्ता) — Because he honours those who worship him with sacrifices and the like (and who practise yoga), and removes their fear, this god is named Indra.</w:t>
      </w:r>
    </w:p>
    <w:p>
      <w:pPr>
        <w:pStyle w:val="BodyText"/>
      </w:pPr>
      <w:r>
        <w:t xml:space="preserve">In just this fashion many more etymologies of the word</w:t>
      </w:r>
      <w:r>
        <w:t xml:space="preserve"> </w:t>
      </w:r>
      <w:r>
        <w:t xml:space="preserve">“</w:t>
      </w:r>
      <w:r>
        <w:t xml:space="preserve">Indra</w:t>
      </w:r>
      <w:r>
        <w:t xml:space="preserve">”</w:t>
      </w:r>
      <w:r>
        <w:t xml:space="preserve"> </w:t>
      </w:r>
      <w:r>
        <w:t xml:space="preserve">may be devised.</w:t>
      </w:r>
    </w:p>
    <w:p>
      <w:pPr>
        <w:pStyle w:val="BodyText"/>
      </w:pPr>
      <w:r>
        <w:rPr>
          <w:bCs/>
          <w:b/>
        </w:rPr>
        <w:t xml:space="preserve">चित्रभानो (citrabhāno)</w:t>
      </w:r>
      <w:r>
        <w:t xml:space="preserve"> </w:t>
      </w:r>
      <w:r>
        <w:t xml:space="preserve">— The Bhāṣyakāra, Skandasvāmī, Veṅkaṭamādhava and the Western scholars as well all explain this word as</w:t>
      </w:r>
      <w:r>
        <w:t xml:space="preserve"> </w:t>
      </w:r>
      <w:r>
        <w:t xml:space="preserve">“</w:t>
      </w:r>
      <w:r>
        <w:t xml:space="preserve">one who shines with a wondrous (vicitra) or astonishing radiance.</w:t>
      </w:r>
      <w:r>
        <w:t xml:space="preserve">”</w:t>
      </w:r>
      <w:r>
        <w:t xml:space="preserve"> </w:t>
      </w:r>
      <w:r>
        <w:t xml:space="preserve">There is no notable difference of opinion among them. The word</w:t>
      </w:r>
      <w:r>
        <w:t xml:space="preserve"> </w:t>
      </w:r>
      <w:r>
        <w:t xml:space="preserve">“</w:t>
      </w:r>
      <w:r>
        <w:t xml:space="preserve">citrabhānu</w:t>
      </w:r>
      <w:r>
        <w:t xml:space="preserve">”</w:t>
      </w:r>
      <w:r>
        <w:t xml:space="preserve"> </w:t>
      </w:r>
      <w:r>
        <w:t xml:space="preserve">is used with reference to the deities</w:t>
      </w:r>
      <w:r>
        <w:t xml:space="preserve"> </w:t>
      </w:r>
      <w:r>
        <w:rPr>
          <w:bCs/>
          <w:b/>
        </w:rPr>
        <w:t xml:space="preserve">Agni, Indra, Savitṛ and the Maruts</w:t>
      </w:r>
      <w:r>
        <w:t xml:space="preserve">. The Ṛks containing the word are given below.</w:t>
      </w:r>
    </w:p>
    <w:p>
      <w:pPr>
        <w:pStyle w:val="BodyText"/>
      </w:pPr>
      <w:r>
        <w:rPr>
          <w:iCs/>
          <w:i/>
        </w:rPr>
        <w:t xml:space="preserve">(The source prints these citations without translation. The short English glosses are mine, based on the Devanagari read from the page; where a letter or a reference-number was not clear in the print it is marked [?].)</w:t>
      </w:r>
    </w:p>
    <w:p>
      <w:pPr>
        <w:pStyle w:val="BlockText"/>
      </w:pPr>
      <w:r>
        <w:t xml:space="preserve">विभक्तासि चित्रभानो सिन्धोरूर्मा उ पाके आ । (ऋ. सं. १-२७-६)</w:t>
      </w:r>
      <w:r>
        <w:t xml:space="preserve"> </w:t>
      </w:r>
      <w:r>
        <w:rPr>
          <w:iCs/>
          <w:i/>
        </w:rPr>
        <w:t xml:space="preserve">vibhaktāsi citrabhāno sindhor ūrmā u pāke ā | (ṛ. saṃ. 1-27-6)</w:t>
      </w:r>
      <w:r>
        <w:t xml:space="preserve"> </w:t>
      </w:r>
      <w:r>
        <w:t xml:space="preserve">Gloss:</w:t>
      </w:r>
      <w:r>
        <w:t xml:space="preserve"> </w:t>
      </w:r>
      <w:r>
        <w:t xml:space="preserve">“</w:t>
      </w:r>
      <w:r>
        <w:t xml:space="preserve">O wondrously radiant one, you are the apportioner (distributor) … like the wave of the river, near at hand.</w:t>
      </w:r>
      <w:r>
        <w:t xml:space="preserve">”</w:t>
      </w:r>
      <w:r>
        <w:t xml:space="preserve"> </w:t>
      </w:r>
      <w:r>
        <w:t xml:space="preserve">[tentative]</w:t>
      </w:r>
    </w:p>
    <w:p>
      <w:pPr>
        <w:pStyle w:val="BlockText"/>
      </w:pPr>
      <w:r>
        <w:t xml:space="preserve">तं त्वा घृतस्नवीमहे चित्रभानो स्वर्दृशम् । (ऋ. सं. ५-२६-२)</w:t>
      </w:r>
      <w:r>
        <w:t xml:space="preserve"> </w:t>
      </w:r>
      <w:r>
        <w:rPr>
          <w:iCs/>
          <w:i/>
        </w:rPr>
        <w:t xml:space="preserve">taṃ tvā ghṛtasnavīmahe citrabhāno svar-dṛśam | (ṛ. saṃ. 5-26-2)</w:t>
      </w:r>
      <w:r>
        <w:t xml:space="preserve"> </w:t>
      </w:r>
      <w:r>
        <w:t xml:space="preserve">Gloss:</w:t>
      </w:r>
      <w:r>
        <w:t xml:space="preserve"> </w:t>
      </w:r>
      <w:r>
        <w:t xml:space="preserve">“</w:t>
      </w:r>
      <w:r>
        <w:t xml:space="preserve">Thee, O wondrously radiant one, who seest the heaven (or: art seen in heaven), we, with ghee-streams, entreat.</w:t>
      </w:r>
      <w:r>
        <w:t xml:space="preserve">”</w:t>
      </w:r>
      <w:r>
        <w:t xml:space="preserve"> </w:t>
      </w:r>
      <w:r>
        <w:t xml:space="preserve">[tentative]</w:t>
      </w:r>
    </w:p>
    <w:p>
      <w:pPr>
        <w:pStyle w:val="BlockText"/>
      </w:pPr>
      <w:r>
        <w:t xml:space="preserve">तं त्वा यमो अचिकेच्चित्रभानो दशान्तरुष्यादतिरोचमानम् । (ऋ. सं. १०-५१-३)</w:t>
      </w:r>
      <w:r>
        <w:t xml:space="preserve"> </w:t>
      </w:r>
      <w:r>
        <w:rPr>
          <w:iCs/>
          <w:i/>
        </w:rPr>
        <w:t xml:space="preserve">taṃ tvā yamo acikec citrabhāno daśāntar uṣyād atirocamānam | (ṛ. saṃ. 10-51-3)</w:t>
      </w:r>
      <w:r>
        <w:t xml:space="preserve"> </w:t>
      </w:r>
      <w:r>
        <w:t xml:space="preserve">Gloss:</w:t>
      </w:r>
      <w:r>
        <w:t xml:space="preserve"> </w:t>
      </w:r>
      <w:r>
        <w:t xml:space="preserve">“</w:t>
      </w:r>
      <w:r>
        <w:t xml:space="preserve">Thee, O wondrously radiant one — Yama made known (to the gods) … thee who shinest forth exceedingly.</w:t>
      </w:r>
      <w:r>
        <w:t xml:space="preserve">”</w:t>
      </w:r>
      <w:r>
        <w:t xml:space="preserve"> </w:t>
      </w:r>
      <w:r>
        <w:t xml:space="preserve">[tentative; the middle phrase</w:t>
      </w:r>
      <w:r>
        <w:t xml:space="preserve"> </w:t>
      </w:r>
      <w:r>
        <w:t xml:space="preserve">“</w:t>
      </w:r>
      <w:r>
        <w:t xml:space="preserve">daśāntar uṣyāt</w:t>
      </w:r>
      <w:r>
        <w:t xml:space="preserve">”</w:t>
      </w:r>
      <w:r>
        <w:t xml:space="preserve"> </w:t>
      </w:r>
      <w:r>
        <w:t xml:space="preserve">is not rendered with confidence]</w:t>
      </w:r>
    </w:p>
    <w:p>
      <w:pPr>
        <w:pStyle w:val="BlockText"/>
      </w:pPr>
      <w:r>
        <w:t xml:space="preserve">समनं चिददहश्चित्रभानोऽव व्राधन्तमभिनद्वृधश्चित् । (ऋ. सं. १०-६९-११)</w:t>
      </w:r>
      <w:r>
        <w:t xml:space="preserve"> </w:t>
      </w:r>
      <w:r>
        <w:rPr>
          <w:iCs/>
          <w:i/>
        </w:rPr>
        <w:t xml:space="preserve">samanaṃ cid adahaś citrabhāno ’va vrādhantam abhinad vṛdhaś cit | (ṛ. saṃ. 10-69-11)</w:t>
      </w:r>
      <w:r>
        <w:t xml:space="preserve"> </w:t>
      </w:r>
      <w:r>
        <w:t xml:space="preserve">Gloss: not attempted with confidence — the printed words, as I read them, do not yield a sure sense; I give the text only. [?]</w:t>
      </w:r>
    </w:p>
    <w:p>
      <w:pPr>
        <w:pStyle w:val="BlockText"/>
      </w:pPr>
      <w:r>
        <w:t xml:space="preserve">श्रूया अग्निश्चित्रभानुर्हवं मे विश्वाभिर्गीर्भिरमृतो विचेताः । (ऋ. सं. २-१०-२)</w:t>
      </w:r>
      <w:r>
        <w:t xml:space="preserve"> </w:t>
      </w:r>
      <w:r>
        <w:rPr>
          <w:iCs/>
          <w:i/>
        </w:rPr>
        <w:t xml:space="preserve">śrūyā agniś citrabhānur havaṃ me viśvābhir gīrbhir amṛto vicetāḥ | (ṛ. saṃ. 2-10-2)</w:t>
      </w:r>
      <w:r>
        <w:t xml:space="preserve"> </w:t>
      </w:r>
      <w:r>
        <w:t xml:space="preserve">Gloss:</w:t>
      </w:r>
      <w:r>
        <w:t xml:space="preserve"> </w:t>
      </w:r>
      <w:r>
        <w:t xml:space="preserve">“</w:t>
      </w:r>
      <w:r>
        <w:t xml:space="preserve">…Agni, the wondrously radiant, immortal, all-discerning, [hearken] to my call, with all my songs.</w:t>
      </w:r>
      <w:r>
        <w:t xml:space="preserve">”</w:t>
      </w:r>
      <w:r>
        <w:t xml:space="preserve"> </w:t>
      </w:r>
      <w:r>
        <w:t xml:space="preserve">[tentative; the opening word, re-read from the better scan, is śrūyā (श्रूया),</w:t>
      </w:r>
      <w:r>
        <w:t xml:space="preserve"> </w:t>
      </w:r>
      <w:r>
        <w:t xml:space="preserve">“</w:t>
      </w:r>
      <w:r>
        <w:t xml:space="preserve">may (Agni) hear</w:t>
      </w:r>
      <w:r>
        <w:t xml:space="preserve">”</w:t>
      </w:r>
      <w:r>
        <w:t xml:space="preserve">]</w:t>
      </w:r>
    </w:p>
    <w:p>
      <w:pPr>
        <w:pStyle w:val="BlockText"/>
      </w:pPr>
      <w:r>
        <w:t xml:space="preserve">चित्रभानुरुषसां भात्यग्रेऽपां गर्भः प्रस्व१ आ विवेश । (ऋ. सं. ७-९-३)</w:t>
      </w:r>
      <w:r>
        <w:t xml:space="preserve"> </w:t>
      </w:r>
      <w:r>
        <w:rPr>
          <w:iCs/>
          <w:i/>
        </w:rPr>
        <w:t xml:space="preserve">citrabhānur uṣasāṃ bhāty agre ’pāṃ garbhaḥ prasva ā viveśa | (ṛ. saṃ. 7-9-3)</w:t>
      </w:r>
      <w:r>
        <w:t xml:space="preserve"> </w:t>
      </w:r>
      <w:r>
        <w:t xml:space="preserve">Gloss:</w:t>
      </w:r>
      <w:r>
        <w:t xml:space="preserve"> </w:t>
      </w:r>
      <w:r>
        <w:t xml:space="preserve">“</w:t>
      </w:r>
      <w:r>
        <w:t xml:space="preserve">The wondrously radiant one shines at the head of the dawns; the embryo of the waters, he has entered into the child-bearing [creatures/plants?].</w:t>
      </w:r>
      <w:r>
        <w:t xml:space="preserve">”</w:t>
      </w:r>
      <w:r>
        <w:t xml:space="preserve"> </w:t>
      </w:r>
      <w:r>
        <w:t xml:space="preserve">[tentative]</w:t>
      </w:r>
    </w:p>
    <w:bookmarkEnd w:id="58"/>
    <w:bookmarkStart w:id="59" w:name="X86c68c23110ef9c2712685fb69ed945045f1c2e"/>
    <w:p>
      <w:pPr>
        <w:pStyle w:val="Heading3"/>
      </w:pPr>
      <w:r>
        <w:t xml:space="preserve">Page 36 —</w:t>
      </w:r>
      <w:r>
        <w:t xml:space="preserve"> </w:t>
      </w:r>
      <w:r>
        <w:t xml:space="preserve">“</w:t>
      </w:r>
      <w:r>
        <w:t xml:space="preserve">citrabhānu</w:t>
      </w:r>
      <w:r>
        <w:t xml:space="preserve">”</w:t>
      </w:r>
      <w:r>
        <w:t xml:space="preserve"> </w:t>
      </w:r>
      <w:r>
        <w:t xml:space="preserve">citations concluded; word-notes on</w:t>
      </w:r>
      <w:r>
        <w:t xml:space="preserve"> </w:t>
      </w:r>
      <w:r>
        <w:t xml:space="preserve">“</w:t>
      </w:r>
      <w:r>
        <w:t xml:space="preserve">sutāḥ,</w:t>
      </w:r>
      <w:r>
        <w:t xml:space="preserve">”</w:t>
      </w:r>
      <w:r>
        <w:t xml:space="preserve"> </w:t>
      </w:r>
      <w:r>
        <w:t xml:space="preserve">“</w:t>
      </w:r>
      <w:r>
        <w:t xml:space="preserve">tvāyavaḥ,</w:t>
      </w:r>
      <w:r>
        <w:t xml:space="preserve">”</w:t>
      </w:r>
      <w:r>
        <w:t xml:space="preserve"> </w:t>
      </w:r>
      <w:r>
        <w:t xml:space="preserve">“</w:t>
      </w:r>
      <w:r>
        <w:t xml:space="preserve">aṇvībhiḥ,</w:t>
      </w:r>
      <w:r>
        <w:t xml:space="preserve">”</w:t>
      </w:r>
      <w:r>
        <w:t xml:space="preserve"> </w:t>
      </w:r>
      <w:r>
        <w:t xml:space="preserve">“</w:t>
      </w:r>
      <w:r>
        <w:t xml:space="preserve">tanā</w:t>
      </w:r>
      <w:r>
        <w:t xml:space="preserve">”</w:t>
      </w:r>
      <w:r>
        <w:t xml:space="preserve"> </w:t>
      </w:r>
      <w:r>
        <w:t xml:space="preserve">(opening)</w:t>
      </w:r>
    </w:p>
    <w:p>
      <w:pPr>
        <w:pStyle w:val="FirstParagraph"/>
      </w:pPr>
      <w:r>
        <w:rPr>
          <w:iCs/>
          <w:i/>
        </w:rPr>
        <w:t xml:space="preserve">(Page header:</w:t>
      </w:r>
      <w:r>
        <w:rPr>
          <w:iCs/>
          <w:i/>
        </w:rPr>
        <w:t xml:space="preserve"> </w:t>
      </w:r>
      <w:r>
        <w:rPr>
          <w:iCs/>
          <w:i/>
        </w:rPr>
        <w:t xml:space="preserve">“</w:t>
      </w:r>
      <w:r>
        <w:rPr>
          <w:iCs/>
          <w:i/>
        </w:rPr>
        <w:t xml:space="preserve">Sāyaṇa-bhāṣya-sahitā · Mandala 1, Anuvāka 1, Sūkta 3.</w:t>
      </w:r>
      <w:r>
        <w:rPr>
          <w:iCs/>
          <w:i/>
        </w:rPr>
        <w:t xml:space="preserve">”</w:t>
      </w:r>
      <w:r>
        <w:rPr>
          <w:iCs/>
          <w:i/>
        </w:rPr>
        <w:t xml:space="preserve"> </w:t>
      </w:r>
      <w:r>
        <w:rPr>
          <w:iCs/>
          <w:i/>
        </w:rPr>
        <w:t xml:space="preserve">The glosses below are mine; the source prints these citations without translation. [?] marks a letter or reference-number not clearly legible.)</w:t>
      </w:r>
    </w:p>
    <w:p>
      <w:pPr>
        <w:pStyle w:val="BlockText"/>
      </w:pPr>
      <w:r>
        <w:t xml:space="preserve">चित्रभानुं रोदसी अन्तरुर्वी स्वाहुतं विश्वतः प्रत्यञ्चम् । (ऋ. सं. ७-१२-१)</w:t>
      </w:r>
      <w:r>
        <w:t xml:space="preserve"> </w:t>
      </w:r>
      <w:r>
        <w:rPr>
          <w:iCs/>
          <w:i/>
        </w:rPr>
        <w:t xml:space="preserve">citrabhānuṃ rodasī antar urvī svāhutaṃ viśvataḥ pratyañcam | (ṛ. saṃ. 7-12-1)</w:t>
      </w:r>
      <w:r>
        <w:t xml:space="preserve"> </w:t>
      </w:r>
      <w:r>
        <w:t xml:space="preserve">Gloss:</w:t>
      </w:r>
      <w:r>
        <w:t xml:space="preserve"> </w:t>
      </w:r>
      <w:r>
        <w:t xml:space="preserve">“</w:t>
      </w:r>
      <w:r>
        <w:t xml:space="preserve">Agni, the wondrously radiant, within the two wide worlds (heaven and earth), well-oblated, facing in every direction.</w:t>
      </w:r>
      <w:r>
        <w:t xml:space="preserve">”</w:t>
      </w:r>
      <w:r>
        <w:t xml:space="preserve"> </w:t>
      </w:r>
      <w:r>
        <w:t xml:space="preserve">[tentative]</w:t>
      </w:r>
    </w:p>
    <w:p>
      <w:pPr>
        <w:pStyle w:val="BlockText"/>
      </w:pPr>
      <w:r>
        <w:t xml:space="preserve">मन्द्रं होतारमृत्विजं चित्रभानुं विभावसुम् । (ऋ. सं. ८-४४-६)</w:t>
      </w:r>
      <w:r>
        <w:t xml:space="preserve"> </w:t>
      </w:r>
      <w:r>
        <w:rPr>
          <w:iCs/>
          <w:i/>
        </w:rPr>
        <w:t xml:space="preserve">mandraṃ hotāram ṛtvijaṃ citrabhānuṃ vibhāvasum | (ṛ. saṃ. 8-44-6)</w:t>
      </w:r>
      <w:r>
        <w:t xml:space="preserve"> </w:t>
      </w:r>
      <w:r>
        <w:t xml:space="preserve">Gloss:</w:t>
      </w:r>
      <w:r>
        <w:t xml:space="preserve"> </w:t>
      </w:r>
      <w:r>
        <w:t xml:space="preserve">“</w:t>
      </w:r>
      <w:r>
        <w:t xml:space="preserve">The gladdening Hotṛ, the priest, the wondrously radiant, the shining-wealthy one.</w:t>
      </w:r>
      <w:r>
        <w:t xml:space="preserve">”</w:t>
      </w:r>
      <w:r>
        <w:t xml:space="preserve"> </w:t>
      </w:r>
      <w:r>
        <w:t xml:space="preserve">[tentative]</w:t>
      </w:r>
    </w:p>
    <w:p>
      <w:pPr>
        <w:pStyle w:val="FirstParagraph"/>
      </w:pPr>
      <w:r>
        <w:rPr>
          <w:iCs/>
          <w:i/>
        </w:rPr>
        <w:t xml:space="preserve">In these Ṛks the word</w:t>
      </w:r>
      <w:r>
        <w:rPr>
          <w:iCs/>
          <w:i/>
        </w:rPr>
        <w:t xml:space="preserve"> </w:t>
      </w:r>
      <w:r>
        <w:rPr>
          <w:iCs/>
          <w:i/>
        </w:rPr>
        <w:t xml:space="preserve">“</w:t>
      </w:r>
      <w:r>
        <w:rPr>
          <w:iCs/>
          <w:i/>
        </w:rPr>
        <w:t xml:space="preserve">citrabhānu</w:t>
      </w:r>
      <w:r>
        <w:rPr>
          <w:iCs/>
          <w:i/>
        </w:rPr>
        <w:t xml:space="preserve">”</w:t>
      </w:r>
      <w:r>
        <w:rPr>
          <w:iCs/>
          <w:i/>
        </w:rPr>
        <w:t xml:space="preserve"> </w:t>
      </w:r>
      <w:r>
        <w:rPr>
          <w:iCs/>
          <w:i/>
        </w:rPr>
        <w:t xml:space="preserve">praises Agni.</w:t>
      </w:r>
    </w:p>
    <w:p>
      <w:pPr>
        <w:pStyle w:val="BlockText"/>
      </w:pPr>
      <w:r>
        <w:t xml:space="preserve">आस्थाद्रथं सविता चित्रभानुः कृष्णा रजांसि तविषीं दधानः । (ऋ. सं. १-३५-४)</w:t>
      </w:r>
      <w:r>
        <w:t xml:space="preserve"> </w:t>
      </w:r>
      <w:r>
        <w:rPr>
          <w:iCs/>
          <w:i/>
        </w:rPr>
        <w:t xml:space="preserve">āsthād rathaṃ savitā citrabhānuḥ kṛṣṇā rajāṃsi taviṣīṃ dadhānaḥ | (ṛ. saṃ. 1-35-4)</w:t>
      </w:r>
      <w:r>
        <w:t xml:space="preserve"> </w:t>
      </w:r>
      <w:r>
        <w:t xml:space="preserve">Gloss:</w:t>
      </w:r>
      <w:r>
        <w:t xml:space="preserve"> </w:t>
      </w:r>
      <w:r>
        <w:t xml:space="preserve">“</w:t>
      </w:r>
      <w:r>
        <w:t xml:space="preserve">Savitṛ, wondrously radiant, has mounted his chariot, bearing power over the dark realms.</w:t>
      </w:r>
      <w:r>
        <w:t xml:space="preserve">”</w:t>
      </w:r>
    </w:p>
    <w:p>
      <w:pPr>
        <w:pStyle w:val="FirstParagraph"/>
      </w:pPr>
      <w:r>
        <w:rPr>
          <w:iCs/>
          <w:i/>
        </w:rPr>
        <w:t xml:space="preserve">Here the word is an adjective of the deity Savitṛ.</w:t>
      </w:r>
    </w:p>
    <w:p>
      <w:pPr>
        <w:pStyle w:val="BlockText"/>
      </w:pPr>
      <w:r>
        <w:t xml:space="preserve">महिषासो मायिनश्चित्रभानवो गिरयो न स्वतवसो रघुष्यदः । (ऋ. सं. १-६४-२)</w:t>
      </w:r>
      <w:r>
        <w:t xml:space="preserve"> </w:t>
      </w:r>
      <w:r>
        <w:rPr>
          <w:iCs/>
          <w:i/>
        </w:rPr>
        <w:t xml:space="preserve">mahiṣāso māyinaś citrabhānavo girayo na svatavaso raghuṣyadaḥ | (ṛ. saṃ. 1-64-2)</w:t>
      </w:r>
      <w:r>
        <w:t xml:space="preserve"> </w:t>
      </w:r>
      <w:r>
        <w:t xml:space="preserve">Gloss:</w:t>
      </w:r>
      <w:r>
        <w:t xml:space="preserve"> </w:t>
      </w:r>
      <w:r>
        <w:t xml:space="preserve">“</w:t>
      </w:r>
      <w:r>
        <w:t xml:space="preserve">Mighty, possessed of māyā, wondrously radiant, like mountains self-strong, swift-gliding.</w:t>
      </w:r>
      <w:r>
        <w:t xml:space="preserve">”</w:t>
      </w:r>
    </w:p>
    <w:p>
      <w:pPr>
        <w:pStyle w:val="BlockText"/>
      </w:pPr>
      <w:r>
        <w:t xml:space="preserve">आ गच्छन्तीमवसा चित्रभानवः कामं विप्रस्य तर्पयन्त धामभिः । (ऋ. सं. १-८५-११)</w:t>
      </w:r>
      <w:r>
        <w:t xml:space="preserve"> </w:t>
      </w:r>
      <w:r>
        <w:rPr>
          <w:iCs/>
          <w:i/>
        </w:rPr>
        <w:t xml:space="preserve">ā gacchantīm avasā citrabhānavaḥ kāmaṃ viprasya tarpayanta dhāmabhiḥ | (ṛ. saṃ. 1-85-11)</w:t>
      </w:r>
      <w:r>
        <w:t xml:space="preserve"> </w:t>
      </w:r>
      <w:r>
        <w:t xml:space="preserve">Gloss:</w:t>
      </w:r>
      <w:r>
        <w:t xml:space="preserve"> </w:t>
      </w:r>
      <w:r>
        <w:t xml:space="preserve">“</w:t>
      </w:r>
      <w:r>
        <w:t xml:space="preserve">The wondrously radiant ones, coming with their aid, satisfy the sage’s desire with their powers.</w:t>
      </w:r>
      <w:r>
        <w:t xml:space="preserve">”</w:t>
      </w:r>
    </w:p>
    <w:p>
      <w:pPr>
        <w:pStyle w:val="FirstParagraph"/>
      </w:pPr>
      <w:r>
        <w:rPr>
          <w:iCs/>
          <w:i/>
        </w:rPr>
        <w:t xml:space="preserve">Here the word</w:t>
      </w:r>
      <w:r>
        <w:rPr>
          <w:iCs/>
          <w:i/>
        </w:rPr>
        <w:t xml:space="preserve"> </w:t>
      </w:r>
      <w:r>
        <w:rPr>
          <w:iCs/>
          <w:i/>
        </w:rPr>
        <w:t xml:space="preserve">“</w:t>
      </w:r>
      <w:r>
        <w:rPr>
          <w:iCs/>
          <w:i/>
        </w:rPr>
        <w:t xml:space="preserve">citrabhānavaḥ</w:t>
      </w:r>
      <w:r>
        <w:rPr>
          <w:iCs/>
          <w:i/>
        </w:rPr>
        <w:t xml:space="preserve">”</w:t>
      </w:r>
      <w:r>
        <w:rPr>
          <w:iCs/>
          <w:i/>
        </w:rPr>
        <w:t xml:space="preserve"> </w:t>
      </w:r>
      <w:r>
        <w:rPr>
          <w:iCs/>
          <w:i/>
        </w:rPr>
        <w:t xml:space="preserve">refers to the Marut deities.</w:t>
      </w:r>
    </w:p>
    <w:p>
      <w:pPr>
        <w:pStyle w:val="BodyText"/>
      </w:pPr>
      <w:r>
        <w:rPr>
          <w:bCs/>
          <w:b/>
        </w:rPr>
        <w:t xml:space="preserve">सुताः (sutāḥ)</w:t>
      </w:r>
      <w:r>
        <w:t xml:space="preserve"> </w:t>
      </w:r>
      <w:r>
        <w:t xml:space="preserve">— The word</w:t>
      </w:r>
      <w:r>
        <w:t xml:space="preserve"> </w:t>
      </w:r>
      <w:r>
        <w:t xml:space="preserve">“</w:t>
      </w:r>
      <w:r>
        <w:t xml:space="preserve">sutāḥ</w:t>
      </w:r>
      <w:r>
        <w:t xml:space="preserve">”</w:t>
      </w:r>
      <w:r>
        <w:t xml:space="preserve"> </w:t>
      </w:r>
      <w:r>
        <w:t xml:space="preserve">means</w:t>
      </w:r>
      <w:r>
        <w:t xml:space="preserve"> </w:t>
      </w:r>
      <w:r>
        <w:t xml:space="preserve">“</w:t>
      </w:r>
      <w:r>
        <w:t xml:space="preserve">pressed out, extracted.</w:t>
      </w:r>
      <w:r>
        <w:t xml:space="preserve">”</w:t>
      </w:r>
      <w:r>
        <w:t xml:space="preserve"> </w:t>
      </w:r>
      <w:r>
        <w:rPr>
          <w:bCs/>
          <w:b/>
        </w:rPr>
        <w:t xml:space="preserve">सोमाः (somāḥ)</w:t>
      </w:r>
      <w:r>
        <w:t xml:space="preserve"> </w:t>
      </w:r>
      <w:r>
        <w:t xml:space="preserve">— the words</w:t>
      </w:r>
      <w:r>
        <w:t xml:space="preserve"> </w:t>
      </w:r>
      <w:r>
        <w:t xml:space="preserve">“</w:t>
      </w:r>
      <w:r>
        <w:t xml:space="preserve">Soma-juices</w:t>
      </w:r>
      <w:r>
        <w:t xml:space="preserve">”</w:t>
      </w:r>
      <w:r>
        <w:t xml:space="preserve"> </w:t>
      </w:r>
      <w:r>
        <w:t xml:space="preserve">must be supplied (adhyāhāra).</w:t>
      </w:r>
    </w:p>
    <w:p>
      <w:pPr>
        <w:pStyle w:val="BodyText"/>
      </w:pPr>
      <w:r>
        <w:rPr>
          <w:bCs/>
          <w:b/>
        </w:rPr>
        <w:t xml:space="preserve">त्वायवः (tvāyavaḥ)</w:t>
      </w:r>
      <w:r>
        <w:t xml:space="preserve"> </w:t>
      </w:r>
      <w:r>
        <w:t xml:space="preserve">— This word is the nominative plural and is an adjective of</w:t>
      </w:r>
      <w:r>
        <w:t xml:space="preserve"> </w:t>
      </w:r>
      <w:r>
        <w:t xml:space="preserve">“</w:t>
      </w:r>
      <w:r>
        <w:t xml:space="preserve">sutāḥ.</w:t>
      </w:r>
      <w:r>
        <w:t xml:space="preserve">”</w:t>
      </w:r>
      <w:r>
        <w:t xml:space="preserve"> </w:t>
      </w:r>
      <w:r>
        <w:t xml:space="preserve">Here</w:t>
      </w:r>
      <w:r>
        <w:t xml:space="preserve"> </w:t>
      </w:r>
      <w:r>
        <w:t xml:space="preserve">“</w:t>
      </w:r>
      <w:r>
        <w:t xml:space="preserve">tvā</w:t>
      </w:r>
      <w:r>
        <w:t xml:space="preserve">”</w:t>
      </w:r>
      <w:r>
        <w:t xml:space="preserve"> </w:t>
      </w:r>
      <w:r>
        <w:t xml:space="preserve">means</w:t>
      </w:r>
      <w:r>
        <w:t xml:space="preserve"> </w:t>
      </w:r>
      <w:r>
        <w:t xml:space="preserve">“</w:t>
      </w:r>
      <w:r>
        <w:t xml:space="preserve">yuṣmat</w:t>
      </w:r>
      <w:r>
        <w:t xml:space="preserve">”</w:t>
      </w:r>
      <w:r>
        <w:t xml:space="preserve"> </w:t>
      </w:r>
      <w:r>
        <w:t xml:space="preserve">(</w:t>
      </w:r>
      <w:r>
        <w:t xml:space="preserve">“</w:t>
      </w:r>
      <w:r>
        <w:t xml:space="preserve">your / belonging to you</w:t>
      </w:r>
      <w:r>
        <w:t xml:space="preserve">”</w:t>
      </w:r>
      <w:r>
        <w:t xml:space="preserve">).</w:t>
      </w:r>
    </w:p>
    <w:p>
      <w:pPr>
        <w:pStyle w:val="BodyText"/>
      </w:pPr>
      <w:r>
        <w:rPr>
          <w:bCs/>
          <w:b/>
        </w:rPr>
        <w:t xml:space="preserve">अण्वीभिः (aṇvībhiḥ)</w:t>
      </w:r>
      <w:r>
        <w:t xml:space="preserve"> </w:t>
      </w:r>
      <w:r>
        <w:t xml:space="preserve">— This word, which ends in the instrumental plural, is used only in this Ṛk.</w:t>
      </w:r>
      <w:r>
        <w:t xml:space="preserve"> </w:t>
      </w:r>
      <w:r>
        <w:rPr>
          <w:iCs/>
          <w:i/>
        </w:rPr>
        <w:t xml:space="preserve">(The print says</w:t>
      </w:r>
      <w:r>
        <w:rPr>
          <w:iCs/>
          <w:i/>
        </w:rPr>
        <w:t xml:space="preserve"> </w:t>
      </w:r>
      <w:r>
        <w:rPr>
          <w:iCs/>
          <w:i/>
        </w:rPr>
        <w:t xml:space="preserve">“</w:t>
      </w:r>
      <w:r>
        <w:rPr>
          <w:iCs/>
          <w:i/>
        </w:rPr>
        <w:t xml:space="preserve">caturthī-bahuvacana-anta</w:t>
      </w:r>
      <w:r>
        <w:rPr>
          <w:iCs/>
          <w:i/>
        </w:rPr>
        <w:t xml:space="preserve">”</w:t>
      </w:r>
      <w:r>
        <w:rPr>
          <w:iCs/>
          <w:i/>
        </w:rPr>
        <w:t xml:space="preserve">—</w:t>
      </w:r>
      <w:r>
        <w:rPr>
          <w:iCs/>
          <w:i/>
        </w:rPr>
        <w:t xml:space="preserve"> </w:t>
      </w:r>
      <w:r>
        <w:rPr>
          <w:iCs/>
          <w:i/>
        </w:rPr>
        <w:t xml:space="preserve">“</w:t>
      </w:r>
      <w:r>
        <w:rPr>
          <w:iCs/>
          <w:i/>
        </w:rPr>
        <w:t xml:space="preserve">ending in the dative plural</w:t>
      </w:r>
      <w:r>
        <w:rPr>
          <w:iCs/>
          <w:i/>
        </w:rPr>
        <w:t xml:space="preserve">”</w:t>
      </w:r>
      <w:r>
        <w:rPr>
          <w:iCs/>
          <w:i/>
        </w:rPr>
        <w:t xml:space="preserve"> </w:t>
      </w:r>
      <w:r>
        <w:rPr>
          <w:iCs/>
          <w:i/>
        </w:rPr>
        <w:t xml:space="preserve">— but</w:t>
      </w:r>
      <w:r>
        <w:rPr>
          <w:iCs/>
          <w:i/>
        </w:rPr>
        <w:t xml:space="preserve"> </w:t>
      </w:r>
      <w:r>
        <w:rPr>
          <w:iCs/>
          <w:i/>
        </w:rPr>
        <w:t xml:space="preserve">“</w:t>
      </w:r>
      <w:r>
        <w:rPr>
          <w:iCs/>
          <w:i/>
        </w:rPr>
        <w:t xml:space="preserve">-bhiḥ</w:t>
      </w:r>
      <w:r>
        <w:rPr>
          <w:iCs/>
          <w:i/>
        </w:rPr>
        <w:t xml:space="preserve">”</w:t>
      </w:r>
      <w:r>
        <w:rPr>
          <w:iCs/>
          <w:i/>
        </w:rPr>
        <w:t xml:space="preserve"> </w:t>
      </w:r>
      <w:r>
        <w:rPr>
          <w:iCs/>
          <w:i/>
        </w:rPr>
        <w:t xml:space="preserve">is the instrumental plural; this is evidently a slip in the source and is recorded here, not corrected silently.)</w:t>
      </w:r>
      <w:r>
        <w:t xml:space="preserve"> </w:t>
      </w:r>
      <w:r>
        <w:t xml:space="preserve">Among the twenty-two words that denote</w:t>
      </w:r>
      <w:r>
        <w:t xml:space="preserve"> </w:t>
      </w:r>
      <w:r>
        <w:t xml:space="preserve">“</w:t>
      </w:r>
      <w:r>
        <w:t xml:space="preserve">aṅguli</w:t>
      </w:r>
      <w:r>
        <w:t xml:space="preserve">”</w:t>
      </w:r>
      <w:r>
        <w:t xml:space="preserve"> </w:t>
      </w:r>
      <w:r>
        <w:t xml:space="preserve">(finger), the word</w:t>
      </w:r>
      <w:r>
        <w:t xml:space="preserve"> </w:t>
      </w:r>
      <w:r>
        <w:t xml:space="preserve">“</w:t>
      </w:r>
      <w:r>
        <w:t xml:space="preserve">aṇvī</w:t>
      </w:r>
      <w:r>
        <w:t xml:space="preserve">”</w:t>
      </w:r>
      <w:r>
        <w:t xml:space="preserve"> </w:t>
      </w:r>
      <w:r>
        <w:t xml:space="preserve">is read (Nighaṇṭu 2-5 [print:</w:t>
      </w:r>
      <w:r>
        <w:t xml:space="preserve"> </w:t>
      </w:r>
      <w:r>
        <w:t xml:space="preserve">“</w:t>
      </w:r>
      <w:r>
        <w:t xml:space="preserve">ni. 2-5</w:t>
      </w:r>
      <w:r>
        <w:t xml:space="preserve">”</w:t>
      </w:r>
      <w:r>
        <w:t xml:space="preserve">]). The Bhāṣyakāra and the others also all explain this word as</w:t>
      </w:r>
      <w:r>
        <w:t xml:space="preserve"> </w:t>
      </w:r>
      <w:r>
        <w:t xml:space="preserve">“</w:t>
      </w:r>
      <w:r>
        <w:t xml:space="preserve">fingers.</w:t>
      </w:r>
      <w:r>
        <w:t xml:space="preserve">”</w:t>
      </w:r>
      <w:r>
        <w:t xml:space="preserve"> </w:t>
      </w:r>
      <w:r>
        <w:t xml:space="preserve">Because the word is derived from</w:t>
      </w:r>
      <w:r>
        <w:t xml:space="preserve"> </w:t>
      </w:r>
      <w:r>
        <w:t xml:space="preserve">“</w:t>
      </w:r>
      <w:r>
        <w:t xml:space="preserve">aṇu</w:t>
      </w:r>
      <w:r>
        <w:t xml:space="preserve">”</w:t>
      </w:r>
      <w:r>
        <w:t xml:space="preserve"> </w:t>
      </w:r>
      <w:r>
        <w:t xml:space="preserve">(very small, fine), some think that the word means</w:t>
      </w:r>
      <w:r>
        <w:t xml:space="preserve"> </w:t>
      </w:r>
      <w:r>
        <w:t xml:space="preserve">“</w:t>
      </w:r>
      <w:r>
        <w:t xml:space="preserve">a cloth with many fine openings — a net — used to strain the Soma.</w:t>
      </w:r>
      <w:r>
        <w:t xml:space="preserve">”</w:t>
      </w:r>
      <w:r>
        <w:t xml:space="preserve"> </w:t>
      </w:r>
      <w:r>
        <w:t xml:space="preserve">But when the Soma creeper is crushed with the stones (grāvāṇa), fingers must be used in straining it; so to say</w:t>
      </w:r>
      <w:r>
        <w:t xml:space="preserve"> </w:t>
      </w:r>
      <w:r>
        <w:t xml:space="preserve">“</w:t>
      </w:r>
      <w:r>
        <w:t xml:space="preserve">aṇvībhiḥ sutāḥ</w:t>
      </w:r>
      <w:r>
        <w:t xml:space="preserve">”</w:t>
      </w:r>
      <w:r>
        <w:t xml:space="preserve"> </w:t>
      </w:r>
      <w:r>
        <w:t xml:space="preserve">—</w:t>
      </w:r>
      <w:r>
        <w:t xml:space="preserve"> </w:t>
      </w:r>
      <w:r>
        <w:t xml:space="preserve">“</w:t>
      </w:r>
      <w:r>
        <w:t xml:space="preserve">the juice extracted with the fingers</w:t>
      </w:r>
      <w:r>
        <w:t xml:space="preserve">”</w:t>
      </w:r>
      <w:r>
        <w:t xml:space="preserve"> </w:t>
      </w:r>
      <w:r>
        <w:t xml:space="preserve">— is right. Moreover, since</w:t>
      </w:r>
      <w:r>
        <w:t xml:space="preserve"> </w:t>
      </w:r>
      <w:r>
        <w:t xml:space="preserve">“</w:t>
      </w:r>
      <w:r>
        <w:t xml:space="preserve">pūtāsaḥ</w:t>
      </w:r>
      <w:r>
        <w:t xml:space="preserve">”</w:t>
      </w:r>
      <w:r>
        <w:t xml:space="preserve"> </w:t>
      </w:r>
      <w:r>
        <w:t xml:space="preserve">already carries the sense</w:t>
      </w:r>
      <w:r>
        <w:t xml:space="preserve"> </w:t>
      </w:r>
      <w:r>
        <w:t xml:space="preserve">“</w:t>
      </w:r>
      <w:r>
        <w:t xml:space="preserve">purified,</w:t>
      </w:r>
      <w:r>
        <w:t xml:space="preserve">”</w:t>
      </w:r>
      <w:r>
        <w:t xml:space="preserve"> </w:t>
      </w:r>
      <w:r>
        <w:t xml:space="preserve">“</w:t>
      </w:r>
      <w:r>
        <w:t xml:space="preserve">purified with fingers</w:t>
      </w:r>
      <w:r>
        <w:t xml:space="preserve">”</w:t>
      </w:r>
      <w:r>
        <w:t xml:space="preserve"> </w:t>
      </w:r>
      <w:r>
        <w:t xml:space="preserve">and</w:t>
      </w:r>
      <w:r>
        <w:t xml:space="preserve"> </w:t>
      </w:r>
      <w:r>
        <w:t xml:space="preserve">“</w:t>
      </w:r>
      <w:r>
        <w:t xml:space="preserve">purified with a net-like cloth</w:t>
      </w:r>
      <w:r>
        <w:t xml:space="preserve">”</w:t>
      </w:r>
      <w:r>
        <w:t xml:space="preserve"> </w:t>
      </w:r>
      <w:r>
        <w:t xml:space="preserve">are equally fitting. This is why some accept the sense</w:t>
      </w:r>
      <w:r>
        <w:t xml:space="preserve"> </w:t>
      </w:r>
      <w:r>
        <w:t xml:space="preserve">“</w:t>
      </w:r>
      <w:r>
        <w:t xml:space="preserve">with a net-like cloth</w:t>
      </w:r>
      <w:r>
        <w:t xml:space="preserve">”</w:t>
      </w:r>
      <w:r>
        <w:t xml:space="preserve"> </w:t>
      </w:r>
      <w:r>
        <w:t xml:space="preserve">for</w:t>
      </w:r>
      <w:r>
        <w:t xml:space="preserve"> </w:t>
      </w:r>
      <w:r>
        <w:t xml:space="preserve">“</w:t>
      </w:r>
      <w:r>
        <w:t xml:space="preserve">aṇvībhiḥ.</w:t>
      </w:r>
      <w:r>
        <w:t xml:space="preserve">”</w:t>
      </w:r>
      <w:r>
        <w:t xml:space="preserve"> </w:t>
      </w:r>
      <w:r>
        <w:t xml:space="preserve">But because the Nirukta states plainly that</w:t>
      </w:r>
      <w:r>
        <w:t xml:space="preserve"> </w:t>
      </w:r>
      <w:r>
        <w:t xml:space="preserve">“</w:t>
      </w:r>
      <w:r>
        <w:t xml:space="preserve">aṇvī</w:t>
      </w:r>
      <w:r>
        <w:t xml:space="preserve">”</w:t>
      </w:r>
      <w:r>
        <w:t xml:space="preserve"> </w:t>
      </w:r>
      <w:r>
        <w:t xml:space="preserve">is a word for the fingers,</w:t>
      </w:r>
      <w:r>
        <w:t xml:space="preserve"> </w:t>
      </w:r>
      <w:r>
        <w:rPr>
          <w:bCs/>
          <w:b/>
        </w:rPr>
        <w:t xml:space="preserve">this sense in particular is to be accepted.</w:t>
      </w:r>
    </w:p>
    <w:p>
      <w:pPr>
        <w:pStyle w:val="BodyText"/>
      </w:pPr>
      <w:r>
        <w:rPr>
          <w:bCs/>
          <w:b/>
        </w:rPr>
        <w:t xml:space="preserve">तना (tanā)</w:t>
      </w:r>
      <w:r>
        <w:t xml:space="preserve"> </w:t>
      </w:r>
      <w:r>
        <w:t xml:space="preserve">— The Bhāṣyakāra calls this word an indeclinable (avyaya) and gives it the sense</w:t>
      </w:r>
      <w:r>
        <w:t xml:space="preserve"> </w:t>
      </w:r>
      <w:r>
        <w:t xml:space="preserve">“</w:t>
      </w:r>
      <w:r>
        <w:t xml:space="preserve">always</w:t>
      </w:r>
      <w:r>
        <w:t xml:space="preserve">”</w:t>
      </w:r>
      <w:r>
        <w:t xml:space="preserve"> </w:t>
      </w:r>
      <w:r>
        <w:t xml:space="preserve">(yāvāgalū). Apart from that sense, different senses are given in different places. Skanda[svāmī]…</w:t>
      </w:r>
      <w:r>
        <w:t xml:space="preserve"> </w:t>
      </w:r>
      <w:r>
        <w:rPr>
          <w:iCs/>
          <w:i/>
        </w:rPr>
        <w:t xml:space="preserve">(continues on the next page)</w:t>
      </w:r>
    </w:p>
    <w:bookmarkEnd w:id="59"/>
    <w:bookmarkStart w:id="60" w:name="X81fed155636764c5e380386c3f0b1d3dcc0056c"/>
    <w:p>
      <w:pPr>
        <w:pStyle w:val="Heading3"/>
      </w:pPr>
      <w:r>
        <w:t xml:space="preserve">Page 37 —</w:t>
      </w:r>
      <w:r>
        <w:t xml:space="preserve"> </w:t>
      </w:r>
      <w:r>
        <w:t xml:space="preserve">“</w:t>
      </w:r>
      <w:r>
        <w:t xml:space="preserve">tanā</w:t>
      </w:r>
      <w:r>
        <w:t xml:space="preserve">”</w:t>
      </w:r>
      <w:r>
        <w:t xml:space="preserve"> </w:t>
      </w:r>
      <w:r>
        <w:t xml:space="preserve">(Skandasvāmī and Soma-passages);</w:t>
      </w:r>
      <w:r>
        <w:t xml:space="preserve"> </w:t>
      </w:r>
      <w:r>
        <w:t xml:space="preserve">“</w:t>
      </w:r>
      <w:r>
        <w:t xml:space="preserve">pūtāsaḥ</w:t>
      </w:r>
      <w:r>
        <w:t xml:space="preserve">”</w:t>
      </w:r>
      <w:r>
        <w:t xml:space="preserve">; Vyākaraṇa-prakriyā begins</w:t>
      </w:r>
    </w:p>
    <w:p>
      <w:pPr>
        <w:pStyle w:val="FirstParagraph"/>
      </w:pPr>
      <w:r>
        <w:rPr>
          <w:iCs/>
          <w:i/>
        </w:rPr>
        <w:t xml:space="preserve">(Page header:</w:t>
      </w:r>
      <w:r>
        <w:rPr>
          <w:iCs/>
          <w:i/>
        </w:rPr>
        <w:t xml:space="preserve"> </w:t>
      </w:r>
      <w:r>
        <w:rPr>
          <w:iCs/>
          <w:i/>
        </w:rPr>
        <w:t xml:space="preserve">“</w:t>
      </w:r>
      <w:r>
        <w:rPr>
          <w:iCs/>
          <w:i/>
        </w:rPr>
        <w:t xml:space="preserve">Aṣṭaka 1, Adhyāya 1, Varga 5 · Ṛgveda-saṃhitā.</w:t>
      </w:r>
      <w:r>
        <w:rPr>
          <w:iCs/>
          <w:i/>
        </w:rPr>
        <w:t xml:space="preserve">”</w:t>
      </w:r>
      <w:r>
        <w:rPr>
          <w:iCs/>
          <w:i/>
        </w:rPr>
        <w:t xml:space="preserve"> </w:t>
      </w:r>
      <w:r>
        <w:rPr>
          <w:iCs/>
          <w:i/>
        </w:rPr>
        <w:t xml:space="preserve">Reference-numbers in the verse citations below were printed in small Kannada numerals; where I could not be sure of a digit, the reference is marked [?]. The English glosses are mine; the source gives none for these.)</w:t>
      </w:r>
    </w:p>
    <w:p>
      <w:pPr>
        <w:pStyle w:val="BodyText"/>
      </w:pPr>
      <w:r>
        <w:rPr>
          <w:iCs/>
          <w:i/>
        </w:rPr>
        <w:t xml:space="preserve">(Continuing the note on</w:t>
      </w:r>
      <w:r>
        <w:rPr>
          <w:iCs/>
          <w:i/>
        </w:rPr>
        <w:t xml:space="preserve"> </w:t>
      </w:r>
      <w:r>
        <w:rPr>
          <w:iCs/>
          <w:i/>
        </w:rPr>
        <w:t xml:space="preserve">“</w:t>
      </w:r>
      <w:r>
        <w:rPr>
          <w:iCs/>
          <w:i/>
        </w:rPr>
        <w:t xml:space="preserve">tanā</w:t>
      </w:r>
      <w:r>
        <w:rPr>
          <w:iCs/>
          <w:i/>
        </w:rPr>
        <w:t xml:space="preserve">”</w:t>
      </w:r>
      <w:r>
        <w:rPr>
          <w:iCs/>
          <w:i/>
        </w:rPr>
        <w:t xml:space="preserve"> </w:t>
      </w:r>
      <w:r>
        <w:rPr>
          <w:iCs/>
          <w:i/>
        </w:rPr>
        <w:t xml:space="preserve">from p. 36:)</w:t>
      </w:r>
      <w:r>
        <w:t xml:space="preserve"> </w:t>
      </w:r>
      <w:r>
        <w:t xml:space="preserve">… Skandasvāmī, when giving the meaning of this word, says:</w:t>
      </w:r>
    </w:p>
    <w:p>
      <w:pPr>
        <w:pStyle w:val="BlockText"/>
      </w:pPr>
      <w:r>
        <w:t xml:space="preserve">तनाशब्दो दशापवित्रवचनः । अण्वीभिर्दशापवित्रेण च पूताः । हस्तेन दशापवित्रमादाय पूता इत्यर्थः ॥</w:t>
      </w:r>
      <w:r>
        <w:t xml:space="preserve"> </w:t>
      </w:r>
      <w:r>
        <w:rPr>
          <w:iCs/>
          <w:i/>
        </w:rPr>
        <w:t xml:space="preserve">tanā-śabdo daśā-pavitra-vacanaḥ | aṇvībhir daśā-pavitreṇa ca pūtāḥ | hastena daśā-pavitram ādāya pūtā ity arthaḥ ||</w:t>
      </w:r>
    </w:p>
    <w:p>
      <w:pPr>
        <w:pStyle w:val="FirstParagraph"/>
      </w:pPr>
      <w:r>
        <w:rPr>
          <w:bCs/>
          <w:b/>
        </w:rPr>
        <w:t xml:space="preserve">Translation:</w:t>
      </w:r>
      <w:r>
        <w:t xml:space="preserve"> </w:t>
      </w:r>
      <w:r>
        <w:t xml:space="preserve">“</w:t>
      </w:r>
      <w:r>
        <w:t xml:space="preserve">The word</w:t>
      </w:r>
      <w:r>
        <w:t xml:space="preserve"> </w:t>
      </w:r>
      <w:r>
        <w:t xml:space="preserve">‘</w:t>
      </w:r>
      <w:r>
        <w:t xml:space="preserve">tanā</w:t>
      </w:r>
      <w:r>
        <w:t xml:space="preserve">’</w:t>
      </w:r>
      <w:r>
        <w:t xml:space="preserve"> </w:t>
      </w:r>
      <w:r>
        <w:t xml:space="preserve">denotes the daśā-pavitra (the fringed straining-cloth). (The Soma-juices are) purified both by the fingers and by the daśā-pavitra; the meaning is</w:t>
      </w:r>
      <w:r>
        <w:t xml:space="preserve"> </w:t>
      </w:r>
      <w:r>
        <w:t xml:space="preserve">‘</w:t>
      </w:r>
      <w:r>
        <w:t xml:space="preserve">purified by taking the daśā-pavitra in the hand.</w:t>
      </w:r>
      <w:r>
        <w:t xml:space="preserve">’</w:t>
      </w:r>
      <w:r>
        <w:t xml:space="preserve">”</w:t>
      </w:r>
    </w:p>
    <w:p>
      <w:pPr>
        <w:pStyle w:val="BodyText"/>
      </w:pPr>
      <w:r>
        <w:t xml:space="preserve">That is, the word</w:t>
      </w:r>
      <w:r>
        <w:t xml:space="preserve"> </w:t>
      </w:r>
      <w:r>
        <w:t xml:space="preserve">“</w:t>
      </w:r>
      <w:r>
        <w:t xml:space="preserve">tanā</w:t>
      </w:r>
      <w:r>
        <w:t xml:space="preserve">”</w:t>
      </w:r>
      <w:r>
        <w:t xml:space="preserve"> </w:t>
      </w:r>
      <w:r>
        <w:t xml:space="preserve">has the name</w:t>
      </w:r>
      <w:r>
        <w:t xml:space="preserve"> </w:t>
      </w:r>
      <w:r>
        <w:t xml:space="preserve">“</w:t>
      </w:r>
      <w:r>
        <w:t xml:space="preserve">daśā-pavitra</w:t>
      </w:r>
      <w:r>
        <w:t xml:space="preserve">”</w:t>
      </w:r>
      <w:r>
        <w:t xml:space="preserve"> </w:t>
      </w:r>
      <w:r>
        <w:t xml:space="preserve">(a cloth like a net, used for straining the Soma). Hence the sentence</w:t>
      </w:r>
      <w:r>
        <w:t xml:space="preserve"> </w:t>
      </w:r>
      <w:r>
        <w:t xml:space="preserve">“</w:t>
      </w:r>
      <w:r>
        <w:t xml:space="preserve">aṇvībhis tanā pūtāsaḥ</w:t>
      </w:r>
      <w:r>
        <w:t xml:space="preserve">”</w:t>
      </w:r>
      <w:r>
        <w:t xml:space="preserve"> </w:t>
      </w:r>
      <w:r>
        <w:t xml:space="preserve">is said to mean</w:t>
      </w:r>
      <w:r>
        <w:t xml:space="preserve"> </w:t>
      </w:r>
      <w:r>
        <w:t xml:space="preserve">“</w:t>
      </w:r>
      <w:r>
        <w:t xml:space="preserve">purified by the fingers taking up the cloth and cleansing [the juice].</w:t>
      </w:r>
      <w:r>
        <w:t xml:space="preserve">”</w:t>
      </w:r>
      <w:r>
        <w:t xml:space="preserve"> </w:t>
      </w:r>
      <w:r>
        <w:rPr>
          <w:bCs/>
          <w:b/>
        </w:rPr>
        <w:t xml:space="preserve">This sense alone is apt.</w:t>
      </w:r>
      <w:r>
        <w:t xml:space="preserve"> </w:t>
      </w:r>
      <w:r>
        <w:t xml:space="preserve">Although</w:t>
      </w:r>
      <w:r>
        <w:t xml:space="preserve"> </w:t>
      </w:r>
      <w:r>
        <w:t xml:space="preserve">“</w:t>
      </w:r>
      <w:r>
        <w:t xml:space="preserve">tanā</w:t>
      </w:r>
      <w:r>
        <w:t xml:space="preserve">”</w:t>
      </w:r>
      <w:r>
        <w:t xml:space="preserve"> </w:t>
      </w:r>
      <w:r>
        <w:t xml:space="preserve">has many possible senses, it is most fitting to take</w:t>
      </w:r>
      <w:r>
        <w:t xml:space="preserve"> </w:t>
      </w:r>
      <w:r>
        <w:t xml:space="preserve">“</w:t>
      </w:r>
      <w:r>
        <w:t xml:space="preserve">daśā-pavitra</w:t>
      </w:r>
      <w:r>
        <w:t xml:space="preserve">”</w:t>
      </w:r>
      <w:r>
        <w:t xml:space="preserve"> </w:t>
      </w:r>
      <w:r>
        <w:t xml:space="preserve">when the word is used in connection with Soma-juice. On this point we give some examples from the Ninth Maṇḍala, where the usages concern Soma:</w:t>
      </w:r>
    </w:p>
    <w:p>
      <w:pPr>
        <w:pStyle w:val="BlockText"/>
      </w:pPr>
      <w:r>
        <w:t xml:space="preserve">वारेण शश्वता तना । (ऋ. सं. ९-१-६)</w:t>
      </w:r>
      <w:r>
        <w:t xml:space="preserve"> </w:t>
      </w:r>
      <w:r>
        <w:rPr>
          <w:iCs/>
          <w:i/>
        </w:rPr>
        <w:t xml:space="preserve">vāreṇa śaśvatā tanā | (ṛ. saṃ. 9-1-6)</w:t>
      </w:r>
      <w:r>
        <w:t xml:space="preserve"> </w:t>
      </w:r>
      <w:r>
        <w:t xml:space="preserve">Gloss:</w:t>
      </w:r>
      <w:r>
        <w:t xml:space="preserve"> </w:t>
      </w:r>
      <w:r>
        <w:t xml:space="preserve">“</w:t>
      </w:r>
      <w:r>
        <w:t xml:space="preserve">through the ever-[lasting] sieve (of wool), the</w:t>
      </w:r>
      <w:r>
        <w:t xml:space="preserve"> </w:t>
      </w:r>
      <w:r>
        <w:t xml:space="preserve">‘</w:t>
      </w:r>
      <w:r>
        <w:t xml:space="preserve">tanā</w:t>
      </w:r>
      <w:r>
        <w:t xml:space="preserve">’</w:t>
      </w:r>
      <w:r>
        <w:t xml:space="preserve">.</w:t>
      </w:r>
      <w:r>
        <w:t xml:space="preserve">”</w:t>
      </w:r>
    </w:p>
    <w:p>
      <w:pPr>
        <w:pStyle w:val="BlockText"/>
      </w:pPr>
      <w:r>
        <w:t xml:space="preserve">त्वं सोम विपश्चितं तना पुनान आयुषु । (ऋ. सं. ९-१६-८)</w:t>
      </w:r>
      <w:r>
        <w:t xml:space="preserve"> </w:t>
      </w:r>
      <w:r>
        <w:rPr>
          <w:iCs/>
          <w:i/>
        </w:rPr>
        <w:t xml:space="preserve">tvaṃ soma vipaścitaṃ tanā punāna āyuṣu | (ṛ. saṃ. 9-16-8)</w:t>
      </w:r>
      <w:r>
        <w:t xml:space="preserve"> </w:t>
      </w:r>
      <w:r>
        <w:t xml:space="preserve">Gloss:</w:t>
      </w:r>
      <w:r>
        <w:t xml:space="preserve"> </w:t>
      </w:r>
      <w:r>
        <w:t xml:space="preserve">“</w:t>
      </w:r>
      <w:r>
        <w:t xml:space="preserve">You, O Soma, being purified through the</w:t>
      </w:r>
      <w:r>
        <w:t xml:space="preserve"> </w:t>
      </w:r>
      <w:r>
        <w:t xml:space="preserve">‘</w:t>
      </w:r>
      <w:r>
        <w:t xml:space="preserve">tanā,</w:t>
      </w:r>
      <w:r>
        <w:t xml:space="preserve">’</w:t>
      </w:r>
      <w:r>
        <w:t xml:space="preserve"> </w:t>
      </w:r>
      <w:r>
        <w:t xml:space="preserve">among the (human) tribes, [make] the wise one…</w:t>
      </w:r>
      <w:r>
        <w:t xml:space="preserve">”</w:t>
      </w:r>
      <w:r>
        <w:t xml:space="preserve"> </w:t>
      </w:r>
      <w:r>
        <w:t xml:space="preserve">[tentative; the middle of the line is not rendered with confidence]</w:t>
      </w:r>
    </w:p>
    <w:p>
      <w:pPr>
        <w:pStyle w:val="BlockText"/>
      </w:pPr>
      <w:r>
        <w:t xml:space="preserve">प्र सुवानो धारया तनेन्दुर्हिन्वानो अर्षति । (ऋ. सं. ९-३४-१)</w:t>
      </w:r>
      <w:r>
        <w:t xml:space="preserve"> </w:t>
      </w:r>
      <w:r>
        <w:rPr>
          <w:iCs/>
          <w:i/>
        </w:rPr>
        <w:t xml:space="preserve">pra suvāno dhārayā tanendur hinvāno arṣati | (ṛ. saṃ. 9-34-1)</w:t>
      </w:r>
      <w:r>
        <w:t xml:space="preserve"> </w:t>
      </w:r>
      <w:r>
        <w:t xml:space="preserve">Gloss:</w:t>
      </w:r>
      <w:r>
        <w:t xml:space="preserve"> </w:t>
      </w:r>
      <w:r>
        <w:t xml:space="preserve">“</w:t>
      </w:r>
      <w:r>
        <w:t xml:space="preserve">Pressed, the Soma-drop, being impelled, flows forth in a stream through the</w:t>
      </w:r>
      <w:r>
        <w:t xml:space="preserve"> </w:t>
      </w:r>
      <w:r>
        <w:t xml:space="preserve">‘</w:t>
      </w:r>
      <w:r>
        <w:t xml:space="preserve">tanā.</w:t>
      </w:r>
      <w:r>
        <w:t xml:space="preserve">’</w:t>
      </w:r>
      <w:r>
        <w:t xml:space="preserve">”</w:t>
      </w:r>
    </w:p>
    <w:p>
      <w:pPr>
        <w:pStyle w:val="BlockText"/>
      </w:pPr>
      <w:r>
        <w:t xml:space="preserve">सहस्रधारो योत् तना । (ऋ. सं. ९-५२-२)</w:t>
      </w:r>
      <w:r>
        <w:t xml:space="preserve"> </w:t>
      </w:r>
      <w:r>
        <w:rPr>
          <w:iCs/>
          <w:i/>
        </w:rPr>
        <w:t xml:space="preserve">sahasra-dhāro yot tanā | (ṛ. saṃ. 9-52-2)</w:t>
      </w:r>
      <w:r>
        <w:t xml:space="preserve"> </w:t>
      </w:r>
      <w:r>
        <w:t xml:space="preserve">Gloss: not attempted — the word</w:t>
      </w:r>
      <w:r>
        <w:t xml:space="preserve"> </w:t>
      </w:r>
      <w:r>
        <w:t xml:space="preserve">“</w:t>
      </w:r>
      <w:r>
        <w:t xml:space="preserve">yot</w:t>
      </w:r>
      <w:r>
        <w:t xml:space="preserve">”</w:t>
      </w:r>
      <w:r>
        <w:t xml:space="preserve"> </w:t>
      </w:r>
      <w:r>
        <w:t xml:space="preserve">is doubtful as printed.</w:t>
      </w:r>
    </w:p>
    <w:p>
      <w:pPr>
        <w:pStyle w:val="BlockText"/>
      </w:pPr>
      <w:r>
        <w:t xml:space="preserve">आययोस्त्रिंशतं तना सहस्राणि च दद्महे । (ऋ. सं. ९-५८-४)</w:t>
      </w:r>
      <w:r>
        <w:t xml:space="preserve"> </w:t>
      </w:r>
      <w:r>
        <w:rPr>
          <w:iCs/>
          <w:i/>
        </w:rPr>
        <w:t xml:space="preserve">āyayos triṃśataṃ tanā sahasrāṇi ca dadmahe | (ṛ. saṃ. 9-58-4)</w:t>
      </w:r>
      <w:r>
        <w:t xml:space="preserve"> </w:t>
      </w:r>
      <w:r>
        <w:t xml:space="preserve">Gloss:</w:t>
      </w:r>
      <w:r>
        <w:t xml:space="preserve"> </w:t>
      </w:r>
      <w:r>
        <w:t xml:space="preserve">“</w:t>
      </w:r>
      <w:r>
        <w:t xml:space="preserve">…thirty… through the</w:t>
      </w:r>
      <w:r>
        <w:t xml:space="preserve"> </w:t>
      </w:r>
      <w:r>
        <w:t xml:space="preserve">‘</w:t>
      </w:r>
      <w:r>
        <w:t xml:space="preserve">tanā,</w:t>
      </w:r>
      <w:r>
        <w:t xml:space="preserve">’</w:t>
      </w:r>
      <w:r>
        <w:t xml:space="preserve"> </w:t>
      </w:r>
      <w:r>
        <w:t xml:space="preserve">and thousands we give.</w:t>
      </w:r>
      <w:r>
        <w:t xml:space="preserve">”</w:t>
      </w:r>
      <w:r>
        <w:t xml:space="preserve"> </w:t>
      </w:r>
      <w:r>
        <w:t xml:space="preserve">[tentative; the first word is doubtful]</w:t>
      </w:r>
    </w:p>
    <w:p>
      <w:pPr>
        <w:pStyle w:val="BlockText"/>
      </w:pPr>
      <w:r>
        <w:t xml:space="preserve">तना कृण्वन्तो अर्वते । (ऋ. सं. ९-६२-२)</w:t>
      </w:r>
      <w:r>
        <w:t xml:space="preserve"> </w:t>
      </w:r>
      <w:r>
        <w:rPr>
          <w:iCs/>
          <w:i/>
        </w:rPr>
        <w:t xml:space="preserve">tanā kṛṇvanto arvate | (ṛ. saṃ. 9-62-2)</w:t>
      </w:r>
      <w:r>
        <w:t xml:space="preserve"> </w:t>
      </w:r>
      <w:r>
        <w:t xml:space="preserve">Gloss:</w:t>
      </w:r>
      <w:r>
        <w:t xml:space="preserve"> </w:t>
      </w:r>
      <w:r>
        <w:t xml:space="preserve">“</w:t>
      </w:r>
      <w:r>
        <w:t xml:space="preserve">making [the juice] by means of the</w:t>
      </w:r>
      <w:r>
        <w:t xml:space="preserve"> </w:t>
      </w:r>
      <w:r>
        <w:t xml:space="preserve">‘</w:t>
      </w:r>
      <w:r>
        <w:t xml:space="preserve">tanā</w:t>
      </w:r>
      <w:r>
        <w:t xml:space="preserve">’</w:t>
      </w:r>
      <w:r>
        <w:t xml:space="preserve"> </w:t>
      </w:r>
      <w:r>
        <w:t xml:space="preserve">for the swift horse (i.e., Indra’s).</w:t>
      </w:r>
      <w:r>
        <w:t xml:space="preserve">”</w:t>
      </w:r>
      <w:r>
        <w:t xml:space="preserve"> </w:t>
      </w:r>
      <w:r>
        <w:t xml:space="preserve">[tentative]</w:t>
      </w:r>
    </w:p>
    <w:p>
      <w:pPr>
        <w:pStyle w:val="BlockText"/>
      </w:pPr>
      <w:r>
        <w:t xml:space="preserve">जहाति वव्रिं पितुरेति निष्कृतमुपप्रुतं कृणुते निर्णिजं तना । (ऋ. सं. ९-७१-२)</w:t>
      </w:r>
      <w:r>
        <w:t xml:space="preserve"> </w:t>
      </w:r>
      <w:r>
        <w:rPr>
          <w:iCs/>
          <w:i/>
        </w:rPr>
        <w:t xml:space="preserve">jahāti vavriṃ pitur eti niṣkṛtam upaprutaṃ kṛṇute nirṇijaṃ tanā | (ṛ. saṃ. 9-71-2)</w:t>
      </w:r>
      <w:r>
        <w:t xml:space="preserve"> </w:t>
      </w:r>
      <w:r>
        <w:t xml:space="preserve">Gloss:</w:t>
      </w:r>
      <w:r>
        <w:t xml:space="preserve"> </w:t>
      </w:r>
      <w:r>
        <w:t xml:space="preserve">“</w:t>
      </w:r>
      <w:r>
        <w:t xml:space="preserve">He leaves his covering, goes to his father’s appointed place; having flowed, he makes his (bright) garment through the</w:t>
      </w:r>
      <w:r>
        <w:t xml:space="preserve"> </w:t>
      </w:r>
      <w:r>
        <w:t xml:space="preserve">‘</w:t>
      </w:r>
      <w:r>
        <w:t xml:space="preserve">tanā.</w:t>
      </w:r>
      <w:r>
        <w:t xml:space="preserve">’</w:t>
      </w:r>
      <w:r>
        <w:t xml:space="preserve">”</w:t>
      </w:r>
      <w:r>
        <w:t xml:space="preserve"> </w:t>
      </w:r>
      <w:r>
        <w:t xml:space="preserve">[tentative]</w:t>
      </w:r>
    </w:p>
    <w:p>
      <w:pPr>
        <w:pStyle w:val="BlockText"/>
      </w:pPr>
      <w:r>
        <w:t xml:space="preserve">पिबन्ति मित्रो अर्यमा तना पूतस्य वरुणः । (ऋ. सं. ८-९४-३)</w:t>
      </w:r>
      <w:r>
        <w:t xml:space="preserve"> </w:t>
      </w:r>
      <w:r>
        <w:rPr>
          <w:iCs/>
          <w:i/>
        </w:rPr>
        <w:t xml:space="preserve">pibanti mitro aryamā tanā pūtasya varuṇaḥ | (ṛ. saṃ. 8-94-3)</w:t>
      </w:r>
      <w:r>
        <w:t xml:space="preserve"> </w:t>
      </w:r>
      <w:r>
        <w:t xml:space="preserve">Gloss:</w:t>
      </w:r>
      <w:r>
        <w:t xml:space="preserve"> </w:t>
      </w:r>
      <w:r>
        <w:t xml:space="preserve">“</w:t>
      </w:r>
      <w:r>
        <w:t xml:space="preserve">Mitra, Aryaman and Varuṇa drink the juice purified through the</w:t>
      </w:r>
      <w:r>
        <w:t xml:space="preserve"> </w:t>
      </w:r>
      <w:r>
        <w:t xml:space="preserve">‘</w:t>
      </w:r>
      <w:r>
        <w:t xml:space="preserve">tanā.</w:t>
      </w:r>
      <w:r>
        <w:t xml:space="preserve">’</w:t>
      </w:r>
      <w:r>
        <w:t xml:space="preserve">”</w:t>
      </w:r>
    </w:p>
    <w:p>
      <w:pPr>
        <w:pStyle w:val="FirstParagraph"/>
      </w:pPr>
      <w:r>
        <w:rPr>
          <w:iCs/>
          <w:i/>
        </w:rPr>
        <w:t xml:space="preserve">(The reference</w:t>
      </w:r>
      <w:r>
        <w:rPr>
          <w:iCs/>
          <w:i/>
        </w:rPr>
        <w:t xml:space="preserve"> </w:t>
      </w:r>
      <w:r>
        <w:rPr>
          <w:iCs/>
          <w:i/>
        </w:rPr>
        <w:t xml:space="preserve">“</w:t>
      </w:r>
      <w:r>
        <w:rPr>
          <w:iCs/>
          <w:i/>
        </w:rPr>
        <w:t xml:space="preserve">8-94-3</w:t>
      </w:r>
      <w:r>
        <w:rPr>
          <w:iCs/>
          <w:i/>
        </w:rPr>
        <w:t xml:space="preserve">”</w:t>
      </w:r>
      <w:r>
        <w:rPr>
          <w:iCs/>
          <w:i/>
        </w:rPr>
        <w:t xml:space="preserve"> </w:t>
      </w:r>
      <w:r>
        <w:rPr>
          <w:iCs/>
          <w:i/>
        </w:rPr>
        <w:t xml:space="preserve">is as best I could read it; the verse is cited among the Soma-passages although the number begins with</w:t>
      </w:r>
      <w:r>
        <w:rPr>
          <w:iCs/>
          <w:i/>
        </w:rPr>
        <w:t xml:space="preserve"> </w:t>
      </w:r>
      <w:r>
        <w:rPr>
          <w:iCs/>
          <w:i/>
        </w:rPr>
        <w:t xml:space="preserve">“</w:t>
      </w:r>
      <w:r>
        <w:rPr>
          <w:iCs/>
          <w:i/>
        </w:rPr>
        <w:t xml:space="preserve">8,</w:t>
      </w:r>
      <w:r>
        <w:rPr>
          <w:iCs/>
          <w:i/>
        </w:rPr>
        <w:t xml:space="preserve">”</w:t>
      </w:r>
      <w:r>
        <w:rPr>
          <w:iCs/>
          <w:i/>
        </w:rPr>
        <w:t xml:space="preserve"> </w:t>
      </w:r>
      <w:r>
        <w:rPr>
          <w:iCs/>
          <w:i/>
        </w:rPr>
        <w:t xml:space="preserve">which I flag rather than alter.)</w:t>
      </w:r>
    </w:p>
    <w:p>
      <w:pPr>
        <w:pStyle w:val="BodyText"/>
      </w:pPr>
      <w:r>
        <w:rPr>
          <w:iCs/>
          <w:i/>
        </w:rPr>
        <w:t xml:space="preserve">In all of these places it is apt to take the word</w:t>
      </w:r>
      <w:r>
        <w:rPr>
          <w:iCs/>
          <w:i/>
        </w:rPr>
        <w:t xml:space="preserve"> </w:t>
      </w:r>
      <w:r>
        <w:rPr>
          <w:iCs/>
          <w:i/>
        </w:rPr>
        <w:t xml:space="preserve">“</w:t>
      </w:r>
      <w:r>
        <w:rPr>
          <w:iCs/>
          <w:i/>
        </w:rPr>
        <w:t xml:space="preserve">tanā</w:t>
      </w:r>
      <w:r>
        <w:rPr>
          <w:iCs/>
          <w:i/>
        </w:rPr>
        <w:t xml:space="preserve">”</w:t>
      </w:r>
      <w:r>
        <w:rPr>
          <w:iCs/>
          <w:i/>
        </w:rPr>
        <w:t xml:space="preserve"> </w:t>
      </w:r>
      <w:r>
        <w:rPr>
          <w:iCs/>
          <w:i/>
        </w:rPr>
        <w:t xml:space="preserve">as</w:t>
      </w:r>
      <w:r>
        <w:rPr>
          <w:iCs/>
          <w:i/>
        </w:rPr>
        <w:t xml:space="preserve"> </w:t>
      </w:r>
      <w:r>
        <w:rPr>
          <w:iCs/>
          <w:i/>
        </w:rPr>
        <w:t xml:space="preserve">“</w:t>
      </w:r>
      <w:r>
        <w:rPr>
          <w:iCs/>
          <w:i/>
        </w:rPr>
        <w:t xml:space="preserve">daśā-pavitra</w:t>
      </w:r>
      <w:r>
        <w:rPr>
          <w:iCs/>
          <w:i/>
        </w:rPr>
        <w:t xml:space="preserve">”</w:t>
      </w:r>
      <w:r>
        <w:rPr>
          <w:iCs/>
          <w:i/>
        </w:rPr>
        <w:t xml:space="preserve"> </w:t>
      </w:r>
      <w:r>
        <w:rPr>
          <w:iCs/>
          <w:i/>
        </w:rPr>
        <w:t xml:space="preserve">— in the source’s own English parenthesis,</w:t>
      </w:r>
      <w:r>
        <w:rPr>
          <w:iCs/>
          <w:i/>
        </w:rPr>
        <w:t xml:space="preserve"> </w:t>
      </w:r>
      <w:r>
        <w:rPr>
          <w:iCs/>
          <w:i/>
        </w:rPr>
        <w:t xml:space="preserve">“</w:t>
      </w:r>
      <w:r>
        <w:rPr>
          <w:iCs/>
          <w:i/>
        </w:rPr>
        <w:t xml:space="preserve">(a fringed filtering cloth).</w:t>
      </w:r>
      <w:r>
        <w:rPr>
          <w:iCs/>
          <w:i/>
        </w:rPr>
        <w:t xml:space="preserve">”</w:t>
      </w:r>
    </w:p>
    <w:p>
      <w:pPr>
        <w:pStyle w:val="BodyText"/>
      </w:pPr>
      <w:r>
        <w:rPr>
          <w:bCs/>
          <w:b/>
        </w:rPr>
        <w:t xml:space="preserve">पूतासः (pūtāsaḥ)</w:t>
      </w:r>
      <w:r>
        <w:t xml:space="preserve"> </w:t>
      </w:r>
      <w:r>
        <w:t xml:space="preserve">—</w:t>
      </w:r>
      <w:r>
        <w:t xml:space="preserve"> </w:t>
      </w:r>
      <w:r>
        <w:t xml:space="preserve">“</w:t>
      </w:r>
      <w:r>
        <w:t xml:space="preserve">Pūtāsaḥ</w:t>
      </w:r>
      <w:r>
        <w:t xml:space="preserve">”</w:t>
      </w:r>
      <w:r>
        <w:t xml:space="preserve"> </w:t>
      </w:r>
      <w:r>
        <w:t xml:space="preserve">is an archaic (prācīna) usage of the nominative plural. This form is found only in this Ṛk, nowhere else. The form</w:t>
      </w:r>
      <w:r>
        <w:t xml:space="preserve"> </w:t>
      </w:r>
      <w:r>
        <w:t xml:space="preserve">“</w:t>
      </w:r>
      <w:r>
        <w:t xml:space="preserve">pūtāḥ</w:t>
      </w:r>
      <w:r>
        <w:t xml:space="preserve">”</w:t>
      </w:r>
      <w:r>
        <w:t xml:space="preserve"> </w:t>
      </w:r>
      <w:r>
        <w:t xml:space="preserve">(without the</w:t>
      </w:r>
      <w:r>
        <w:t xml:space="preserve"> </w:t>
      </w:r>
      <w:r>
        <w:t xml:space="preserve">“</w:t>
      </w:r>
      <w:r>
        <w:t xml:space="preserve">-asaḥ</w:t>
      </w:r>
      <w:r>
        <w:t xml:space="preserve">”</w:t>
      </w:r>
      <w:r>
        <w:t xml:space="preserve">) occurs in these Ṛks: Ṛ. Saṃ. 1-29-10; 9-22-3; 9-101-12; 10-19-2</w:t>
      </w:r>
      <w:r>
        <w:t xml:space="preserve"> </w:t>
      </w:r>
      <w:r>
        <w:rPr>
          <w:iCs/>
          <w:i/>
        </w:rPr>
        <w:t xml:space="preserve">(digits of these four references are not clearly legible)</w:t>
      </w:r>
      <w:r>
        <w:t xml:space="preserve">. In meaning, there is no difference whatever between the two forms.</w:t>
      </w:r>
    </w:p>
    <w:p>
      <w:pPr>
        <w:pStyle w:val="BodyText"/>
      </w:pPr>
      <w:r>
        <w:rPr>
          <w:bCs/>
          <w:b/>
        </w:rPr>
        <w:t xml:space="preserve">॥ Vyākaraṇa-prakriyā ॥</w:t>
      </w:r>
    </w:p>
    <w:p>
      <w:pPr>
        <w:pStyle w:val="BodyText"/>
      </w:pPr>
      <w:r>
        <w:t xml:space="preserve">In</w:t>
      </w:r>
      <w:r>
        <w:t xml:space="preserve"> </w:t>
      </w:r>
      <w:r>
        <w:t xml:space="preserve">“</w:t>
      </w:r>
      <w:r>
        <w:t xml:space="preserve">indra</w:t>
      </w:r>
      <w:r>
        <w:t xml:space="preserve">”</w:t>
      </w:r>
      <w:r>
        <w:t xml:space="preserve"> </w:t>
      </w:r>
      <w:r>
        <w:t xml:space="preserve">the vocative accent — acute on the first syllable — occurs.</w:t>
      </w:r>
      <w:r>
        <w:t xml:space="preserve"> </w:t>
      </w:r>
      <w:r>
        <w:t xml:space="preserve">“</w:t>
      </w:r>
      <w:r>
        <w:t xml:space="preserve">Ā</w:t>
      </w:r>
      <w:r>
        <w:t xml:space="preserve">”</w:t>
      </w:r>
      <w:r>
        <w:t xml:space="preserve"> </w:t>
      </w:r>
      <w:r>
        <w:t xml:space="preserve">is a nipāta (particle); therefore, by</w:t>
      </w:r>
      <w:r>
        <w:t xml:space="preserve"> </w:t>
      </w:r>
      <w:r>
        <w:t xml:space="preserve">“</w:t>
      </w:r>
      <w:r>
        <w:t xml:space="preserve">nipātā ādyudāttāḥ</w:t>
      </w:r>
      <w:r>
        <w:t xml:space="preserve">”</w:t>
      </w:r>
      <w:r>
        <w:t xml:space="preserve"> </w:t>
      </w:r>
      <w:r>
        <w:t xml:space="preserve">(Phiṭ-sūtra 80 as printed), it takes acute on its first syllable.</w:t>
      </w:r>
      <w:r>
        <w:t xml:space="preserve"> </w:t>
      </w:r>
      <w:r>
        <w:t xml:space="preserve">“</w:t>
      </w:r>
      <w:r>
        <w:t xml:space="preserve">Citrabhāno</w:t>
      </w:r>
      <w:r>
        <w:t xml:space="preserve">”</w:t>
      </w:r>
      <w:r>
        <w:t xml:space="preserve"> </w:t>
      </w:r>
      <w:r>
        <w:t xml:space="preserve">being a vocative that stands after another word, takes the eighth-chapter vocative-anudātta (aṣṭamika āmantritānudātta). When one wishes to express</w:t>
      </w:r>
      <w:r>
        <w:t xml:space="preserve"> </w:t>
      </w:r>
      <w:r>
        <w:t xml:space="preserve">“</w:t>
      </w:r>
      <w:r>
        <w:t xml:space="preserve">tvām icchati</w:t>
      </w:r>
      <w:r>
        <w:t xml:space="preserve">”</w:t>
      </w:r>
      <w:r>
        <w:t xml:space="preserve"> </w:t>
      </w:r>
      <w:r>
        <w:t xml:space="preserve">(</w:t>
      </w:r>
      <w:r>
        <w:t xml:space="preserve">“</w:t>
      </w:r>
      <w:r>
        <w:t xml:space="preserve">he wants you</w:t>
      </w:r>
      <w:r>
        <w:t xml:space="preserve">”</w:t>
      </w:r>
      <w:r>
        <w:t xml:space="preserve">), by the rule</w:t>
      </w:r>
      <w:r>
        <w:t xml:space="preserve"> </w:t>
      </w:r>
      <w:r>
        <w:t xml:space="preserve">“</w:t>
      </w:r>
      <w:r>
        <w:t xml:space="preserve">supa ātmanaḥ kyac</w:t>
      </w:r>
      <w:r>
        <w:t xml:space="preserve">”</w:t>
      </w:r>
      <w:r>
        <w:t xml:space="preserve"> </w:t>
      </w:r>
      <w:r>
        <w:t xml:space="preserve">(Pā. Sū. 3-1-8) …</w:t>
      </w:r>
      <w:r>
        <w:t xml:space="preserve"> </w:t>
      </w:r>
      <w:r>
        <w:rPr>
          <w:iCs/>
          <w:i/>
        </w:rPr>
        <w:t xml:space="preserve">(continues on the next page; this is the Kannada rendering of the grammar already transcribed in Sanskrit on p. 32)</w:t>
      </w:r>
    </w:p>
    <w:bookmarkEnd w:id="60"/>
    <w:bookmarkStart w:id="61" w:name="X3e7b0083abe22da19d5ee6c4a70bbc7ac2a0152"/>
    <w:p>
      <w:pPr>
        <w:pStyle w:val="Heading3"/>
      </w:pPr>
      <w:r>
        <w:t xml:space="preserve">Page 38 — Vyākaraṇa-prakriyā for Rik 3.4 concluded; Saṃhitā and Pada text of Rik 3.5</w:t>
      </w:r>
    </w:p>
    <w:p>
      <w:pPr>
        <w:pStyle w:val="FirstParagraph"/>
      </w:pPr>
      <w:r>
        <w:rPr>
          <w:iCs/>
          <w:i/>
        </w:rPr>
        <w:t xml:space="preserve">(Page header:</w:t>
      </w:r>
      <w:r>
        <w:rPr>
          <w:iCs/>
          <w:i/>
        </w:rPr>
        <w:t xml:space="preserve"> </w:t>
      </w:r>
      <w:r>
        <w:rPr>
          <w:iCs/>
          <w:i/>
        </w:rPr>
        <w:t xml:space="preserve">“</w:t>
      </w:r>
      <w:r>
        <w:rPr>
          <w:iCs/>
          <w:i/>
        </w:rPr>
        <w:t xml:space="preserve">Sāyaṇa-bhāṣya-sahitā · Mandala 1, Anuvāka 1, Sūkta 3.</w:t>
      </w:r>
      <w:r>
        <w:rPr>
          <w:iCs/>
          <w:i/>
        </w:rPr>
        <w:t xml:space="preserve">”</w:t>
      </w:r>
      <w:r>
        <w:rPr>
          <w:iCs/>
          <w:i/>
        </w:rPr>
        <w:t xml:space="preserve"> </w:t>
      </w:r>
      <w:r>
        <w:rPr>
          <w:iCs/>
          <w:i/>
        </w:rPr>
        <w:t xml:space="preserve">This is the Kannada rendering of the grammar already given in Sanskrit on p. 32; translated here in full, since it is short.)</w:t>
      </w:r>
    </w:p>
    <w:p>
      <w:pPr>
        <w:pStyle w:val="BodyText"/>
      </w:pPr>
      <w:r>
        <w:rPr>
          <w:iCs/>
          <w:i/>
        </w:rPr>
        <w:t xml:space="preserve">(Continuing from p. 37:)</w:t>
      </w:r>
      <w:r>
        <w:t xml:space="preserve"> </w:t>
      </w:r>
      <w:r>
        <w:t xml:space="preserve">…the</w:t>
      </w:r>
      <w:r>
        <w:t xml:space="preserve"> </w:t>
      </w:r>
      <w:r>
        <w:t xml:space="preserve">“</w:t>
      </w:r>
      <w:r>
        <w:t xml:space="preserve">kyac</w:t>
      </w:r>
      <w:r>
        <w:t xml:space="preserve">”</w:t>
      </w:r>
      <w:r>
        <w:t xml:space="preserve"> </w:t>
      </w:r>
      <w:r>
        <w:t xml:space="preserve">affix is added to the word</w:t>
      </w:r>
      <w:r>
        <w:t xml:space="preserve"> </w:t>
      </w:r>
      <w:r>
        <w:t xml:space="preserve">“</w:t>
      </w:r>
      <w:r>
        <w:t xml:space="preserve">yuṣmad.</w:t>
      </w:r>
      <w:r>
        <w:t xml:space="preserve">”</w:t>
      </w:r>
      <w:r>
        <w:t xml:space="preserve"> </w:t>
      </w:r>
      <w:r>
        <w:t xml:space="preserve">By</w:t>
      </w:r>
      <w:r>
        <w:t xml:space="preserve"> </w:t>
      </w:r>
      <w:r>
        <w:t xml:space="preserve">“</w:t>
      </w:r>
      <w:r>
        <w:t xml:space="preserve">pratyayottarapadayoś ca</w:t>
      </w:r>
      <w:r>
        <w:t xml:space="preserve">”</w:t>
      </w:r>
      <w:r>
        <w:t xml:space="preserve"> </w:t>
      </w:r>
      <w:r>
        <w:t xml:space="preserve">(Pā. Sū. 7-2-98) — when an affix, or a following second member of a compound, that conveys unity of sense (ekārtha) follows, then for the stems</w:t>
      </w:r>
      <w:r>
        <w:t xml:space="preserve"> </w:t>
      </w:r>
      <w:r>
        <w:t xml:space="preserve">“</w:t>
      </w:r>
      <w:r>
        <w:t xml:space="preserve">yuṣmad</w:t>
      </w:r>
      <w:r>
        <w:t xml:space="preserve">”</w:t>
      </w:r>
      <w:r>
        <w:t xml:space="preserve"> </w:t>
      </w:r>
      <w:r>
        <w:t xml:space="preserve">and</w:t>
      </w:r>
      <w:r>
        <w:t xml:space="preserve"> </w:t>
      </w:r>
      <w:r>
        <w:t xml:space="preserve">“</w:t>
      </w:r>
      <w:r>
        <w:t xml:space="preserve">asmad,</w:t>
      </w:r>
      <w:r>
        <w:t xml:space="preserve">”</w:t>
      </w:r>
      <w:r>
        <w:t xml:space="preserve"> </w:t>
      </w:r>
      <w:r>
        <w:t xml:space="preserve">the portion up to</w:t>
      </w:r>
      <w:r>
        <w:t xml:space="preserve"> </w:t>
      </w:r>
      <w:r>
        <w:t xml:space="preserve">“</w:t>
      </w:r>
      <w:r>
        <w:t xml:space="preserve">m</w:t>
      </w:r>
      <w:r>
        <w:t xml:space="preserve">”</w:t>
      </w:r>
      <w:r>
        <w:t xml:space="preserve"> </w:t>
      </w:r>
      <w:r>
        <w:t xml:space="preserve">(that is,</w:t>
      </w:r>
      <w:r>
        <w:t xml:space="preserve"> </w:t>
      </w:r>
      <w:r>
        <w:t xml:space="preserve">“</w:t>
      </w:r>
      <w:r>
        <w:t xml:space="preserve">yuṣm</w:t>
      </w:r>
      <w:r>
        <w:t xml:space="preserve">”</w:t>
      </w:r>
      <w:r>
        <w:t xml:space="preserve"> </w:t>
      </w:r>
      <w:r>
        <w:t xml:space="preserve">and</w:t>
      </w:r>
      <w:r>
        <w:t xml:space="preserve"> </w:t>
      </w:r>
      <w:r>
        <w:t xml:space="preserve">“</w:t>
      </w:r>
      <w:r>
        <w:t xml:space="preserve">asm</w:t>
      </w:r>
      <w:r>
        <w:t xml:space="preserve">”</w:t>
      </w:r>
      <w:r>
        <w:t xml:space="preserve">) is replaced respectively by</w:t>
      </w:r>
      <w:r>
        <w:t xml:space="preserve"> </w:t>
      </w:r>
      <w:r>
        <w:t xml:space="preserve">“</w:t>
      </w:r>
      <w:r>
        <w:t xml:space="preserve">tva</w:t>
      </w:r>
      <w:r>
        <w:t xml:space="preserve">”</w:t>
      </w:r>
      <w:r>
        <w:t xml:space="preserve"> </w:t>
      </w:r>
      <w:r>
        <w:t xml:space="preserve">and</w:t>
      </w:r>
      <w:r>
        <w:t xml:space="preserve"> </w:t>
      </w:r>
      <w:r>
        <w:t xml:space="preserve">“</w:t>
      </w:r>
      <w:r>
        <w:t xml:space="preserve">ma.</w:t>
      </w:r>
      <w:r>
        <w:t xml:space="preserve">”</w:t>
      </w:r>
      <w:r>
        <w:t xml:space="preserve"> </w:t>
      </w:r>
      <w:r>
        <w:t xml:space="preserve">So when the</w:t>
      </w:r>
      <w:r>
        <w:t xml:space="preserve"> </w:t>
      </w:r>
      <w:r>
        <w:t xml:space="preserve">“</w:t>
      </w:r>
      <w:r>
        <w:t xml:space="preserve">tva</w:t>
      </w:r>
      <w:r>
        <w:t xml:space="preserve">”</w:t>
      </w:r>
      <w:r>
        <w:t xml:space="preserve"> </w:t>
      </w:r>
      <w:r>
        <w:t xml:space="preserve">substitution applies, we have</w:t>
      </w:r>
      <w:r>
        <w:t xml:space="preserve"> </w:t>
      </w:r>
      <w:r>
        <w:t xml:space="preserve">“</w:t>
      </w:r>
      <w:r>
        <w:t xml:space="preserve">tva + ad + ya</w:t>
      </w:r>
      <w:r>
        <w:t xml:space="preserve">”</w:t>
      </w:r>
      <w:r>
        <w:t xml:space="preserve">; by</w:t>
      </w:r>
      <w:r>
        <w:t xml:space="preserve"> </w:t>
      </w:r>
      <w:r>
        <w:t xml:space="preserve">“</w:t>
      </w:r>
      <w:r>
        <w:t xml:space="preserve">ato guṇe</w:t>
      </w:r>
      <w:r>
        <w:t xml:space="preserve">”</w:t>
      </w:r>
      <w:r>
        <w:t xml:space="preserve"> </w:t>
      </w:r>
      <w:r>
        <w:t xml:space="preserve">(Pā. 6-1-97) the latter form (</w:t>
      </w:r>
      <w:r>
        <w:t xml:space="preserve">“</w:t>
      </w:r>
      <w:r>
        <w:t xml:space="preserve">pararūpa</w:t>
      </w:r>
      <w:r>
        <w:t xml:space="preserve">”</w:t>
      </w:r>
      <w:r>
        <w:t xml:space="preserve">) results, giving</w:t>
      </w:r>
      <w:r>
        <w:t xml:space="preserve"> </w:t>
      </w:r>
      <w:r>
        <w:t xml:space="preserve">“</w:t>
      </w:r>
      <w:r>
        <w:t xml:space="preserve">tvadya.</w:t>
      </w:r>
      <w:r>
        <w:t xml:space="preserve">”</w:t>
      </w:r>
      <w:r>
        <w:t xml:space="preserve"> </w:t>
      </w:r>
      <w:r>
        <w:t xml:space="preserve">Next, by</w:t>
      </w:r>
      <w:r>
        <w:t xml:space="preserve"> </w:t>
      </w:r>
      <w:r>
        <w:t xml:space="preserve">“</w:t>
      </w:r>
      <w:r>
        <w:t xml:space="preserve">kyāc chandasi</w:t>
      </w:r>
      <w:r>
        <w:t xml:space="preserve">”</w:t>
      </w:r>
      <w:r>
        <w:t xml:space="preserve"> </w:t>
      </w:r>
      <w:r>
        <w:t xml:space="preserve">(Pā. Sū. 3-2-170) — in the Veda, the affix</w:t>
      </w:r>
      <w:r>
        <w:t xml:space="preserve"> </w:t>
      </w:r>
      <w:r>
        <w:t xml:space="preserve">“</w:t>
      </w:r>
      <w:r>
        <w:t xml:space="preserve">u</w:t>
      </w:r>
      <w:r>
        <w:t xml:space="preserve">”</w:t>
      </w:r>
      <w:r>
        <w:t xml:space="preserve"> </w:t>
      </w:r>
      <w:r>
        <w:t xml:space="preserve">is added after a root that ends in the</w:t>
      </w:r>
      <w:r>
        <w:t xml:space="preserve"> </w:t>
      </w:r>
      <w:r>
        <w:t xml:space="preserve">“</w:t>
      </w:r>
      <w:r>
        <w:t xml:space="preserve">kya</w:t>
      </w:r>
      <w:r>
        <w:t xml:space="preserve">”</w:t>
      </w:r>
      <w:r>
        <w:t xml:space="preserve"> </w:t>
      </w:r>
      <w:r>
        <w:t xml:space="preserve">affix; when</w:t>
      </w:r>
      <w:r>
        <w:t xml:space="preserve"> </w:t>
      </w:r>
      <w:r>
        <w:t xml:space="preserve">“</w:t>
      </w:r>
      <w:r>
        <w:t xml:space="preserve">u</w:t>
      </w:r>
      <w:r>
        <w:t xml:space="preserve">”</w:t>
      </w:r>
      <w:r>
        <w:t xml:space="preserve"> </w:t>
      </w:r>
      <w:r>
        <w:t xml:space="preserve">is added the</w:t>
      </w:r>
      <w:r>
        <w:t xml:space="preserve"> </w:t>
      </w:r>
      <w:r>
        <w:t xml:space="preserve">“</w:t>
      </w:r>
      <w:r>
        <w:t xml:space="preserve">a</w:t>
      </w:r>
      <w:r>
        <w:t xml:space="preserve">”</w:t>
      </w:r>
      <w:r>
        <w:t xml:space="preserve"> </w:t>
      </w:r>
      <w:r>
        <w:t xml:space="preserve">of the</w:t>
      </w:r>
      <w:r>
        <w:t xml:space="preserve"> </w:t>
      </w:r>
      <w:r>
        <w:t xml:space="preserve">“</w:t>
      </w:r>
      <w:r>
        <w:t xml:space="preserve">kya</w:t>
      </w:r>
      <w:r>
        <w:t xml:space="preserve">”</w:t>
      </w:r>
      <w:r>
        <w:t xml:space="preserve"> </w:t>
      </w:r>
      <w:r>
        <w:t xml:space="preserve">affix is elided, and in the plural one would expect</w:t>
      </w:r>
      <w:r>
        <w:t xml:space="preserve"> </w:t>
      </w:r>
      <w:r>
        <w:t xml:space="preserve">“</w:t>
      </w:r>
      <w:r>
        <w:t xml:space="preserve">tvadyavaḥ.</w:t>
      </w:r>
      <w:r>
        <w:t xml:space="preserve">”</w:t>
      </w:r>
      <w:r>
        <w:t xml:space="preserve"> </w:t>
      </w:r>
      <w:r>
        <w:t xml:space="preserve">But by</w:t>
      </w:r>
      <w:r>
        <w:t xml:space="preserve"> </w:t>
      </w:r>
      <w:r>
        <w:t xml:space="preserve">“</w:t>
      </w:r>
      <w:r>
        <w:t xml:space="preserve">yuṣmadasmador anādeśe</w:t>
      </w:r>
      <w:r>
        <w:t xml:space="preserve">”</w:t>
      </w:r>
      <w:r>
        <w:t xml:space="preserve"> </w:t>
      </w:r>
      <w:r>
        <w:t xml:space="preserve">(Pā. Sū. 7-2-86), the stems</w:t>
      </w:r>
      <w:r>
        <w:t xml:space="preserve"> </w:t>
      </w:r>
      <w:r>
        <w:t xml:space="preserve">“</w:t>
      </w:r>
      <w:r>
        <w:t xml:space="preserve">yuṣmad</w:t>
      </w:r>
      <w:r>
        <w:t xml:space="preserve">”</w:t>
      </w:r>
      <w:r>
        <w:t xml:space="preserve"> </w:t>
      </w:r>
      <w:r>
        <w:t xml:space="preserve">and</w:t>
      </w:r>
      <w:r>
        <w:t xml:space="preserve"> </w:t>
      </w:r>
      <w:r>
        <w:t xml:space="preserve">“</w:t>
      </w:r>
      <w:r>
        <w:t xml:space="preserve">asmad</w:t>
      </w:r>
      <w:r>
        <w:t xml:space="preserve">”</w:t>
      </w:r>
      <w:r>
        <w:t xml:space="preserve"> </w:t>
      </w:r>
      <w:r>
        <w:t xml:space="preserve">that have not undergone substitution take the substitute</w:t>
      </w:r>
      <w:r>
        <w:t xml:space="preserve"> </w:t>
      </w:r>
      <w:r>
        <w:t xml:space="preserve">“</w:t>
      </w:r>
      <w:r>
        <w:t xml:space="preserve">ā</w:t>
      </w:r>
      <w:r>
        <w:t xml:space="preserve">”</w:t>
      </w:r>
      <w:r>
        <w:t xml:space="preserve"> </w:t>
      </w:r>
      <w:r>
        <w:t xml:space="preserve">when a consonant-beginning affix that is not a case-ending follows; by vyatyaya (Vedic licence), the</w:t>
      </w:r>
      <w:r>
        <w:t xml:space="preserve"> </w:t>
      </w:r>
      <w:r>
        <w:t xml:space="preserve">“</w:t>
      </w:r>
      <w:r>
        <w:t xml:space="preserve">ā</w:t>
      </w:r>
      <w:r>
        <w:t xml:space="preserve">”</w:t>
      </w:r>
      <w:r>
        <w:t xml:space="preserve"> </w:t>
      </w:r>
      <w:r>
        <w:t xml:space="preserve">substitute comes even where the following affix is not a case-affix, so that one gets</w:t>
      </w:r>
      <w:r>
        <w:t xml:space="preserve"> </w:t>
      </w:r>
      <w:r>
        <w:t xml:space="preserve">“</w:t>
      </w:r>
      <w:r>
        <w:t xml:space="preserve">tva + ā + yu,</w:t>
      </w:r>
      <w:r>
        <w:t xml:space="preserve">”</w:t>
      </w:r>
      <w:r>
        <w:t xml:space="preserve"> </w:t>
      </w:r>
      <w:r>
        <w:t xml:space="preserve">and by lengthening of the homogeneous vowels (savarṇa-dīrgha) and the nominative-plural ending,</w:t>
      </w:r>
      <w:r>
        <w:t xml:space="preserve"> </w:t>
      </w:r>
      <w:r>
        <w:t xml:space="preserve">“</w:t>
      </w:r>
      <w:r>
        <w:t xml:space="preserve">tvāyavaḥ.</w:t>
      </w:r>
      <w:r>
        <w:t xml:space="preserve">”</w:t>
      </w:r>
      <w:r>
        <w:t xml:space="preserve"> </w:t>
      </w:r>
      <w:r>
        <w:t xml:space="preserve">The</w:t>
      </w:r>
      <w:r>
        <w:t xml:space="preserve"> </w:t>
      </w:r>
      <w:r>
        <w:t xml:space="preserve">“</w:t>
      </w:r>
      <w:r>
        <w:t xml:space="preserve">u</w:t>
      </w:r>
      <w:r>
        <w:t xml:space="preserve">”</w:t>
      </w:r>
      <w:r>
        <w:t xml:space="preserve"> </w:t>
      </w:r>
      <w:r>
        <w:t xml:space="preserve">affix has the first-syllable acute by the affix-accent.</w:t>
      </w:r>
    </w:p>
    <w:p>
      <w:pPr>
        <w:pStyle w:val="BodyText"/>
      </w:pPr>
      <w:r>
        <w:t xml:space="preserve">The word</w:t>
      </w:r>
      <w:r>
        <w:t xml:space="preserve"> </w:t>
      </w:r>
      <w:r>
        <w:t xml:space="preserve">“</w:t>
      </w:r>
      <w:r>
        <w:t xml:space="preserve">aṇu</w:t>
      </w:r>
      <w:r>
        <w:t xml:space="preserve">”</w:t>
      </w:r>
      <w:r>
        <w:t xml:space="preserve"> </w:t>
      </w:r>
      <w:r>
        <w:t xml:space="preserve">conveys</w:t>
      </w:r>
      <w:r>
        <w:t xml:space="preserve"> </w:t>
      </w:r>
      <w:r>
        <w:t xml:space="preserve">“</w:t>
      </w:r>
      <w:r>
        <w:t xml:space="preserve">sūkṣma</w:t>
      </w:r>
      <w:r>
        <w:t xml:space="preserve">”</w:t>
      </w:r>
      <w:r>
        <w:t xml:space="preserve"> </w:t>
      </w:r>
      <w:r>
        <w:t xml:space="preserve">(fine, subtle). With the sense of fineness in mind, it conveys in this context the sense</w:t>
      </w:r>
      <w:r>
        <w:t xml:space="preserve"> </w:t>
      </w:r>
      <w:r>
        <w:t xml:space="preserve">“</w:t>
      </w:r>
      <w:r>
        <w:t xml:space="preserve">finger.</w:t>
      </w:r>
      <w:r>
        <w:t xml:space="preserve">”</w:t>
      </w:r>
      <w:r>
        <w:t xml:space="preserve"> </w:t>
      </w:r>
      <w:r>
        <w:t xml:space="preserve">Since it is a guṇavācaka (a word of quality), by</w:t>
      </w:r>
      <w:r>
        <w:t xml:space="preserve"> </w:t>
      </w:r>
      <w:r>
        <w:t xml:space="preserve">“</w:t>
      </w:r>
      <w:r>
        <w:t xml:space="preserve">vāto guṇavacanāt</w:t>
      </w:r>
      <w:r>
        <w:t xml:space="preserve">”</w:t>
      </w:r>
      <w:r>
        <w:t xml:space="preserve"> </w:t>
      </w:r>
      <w:r>
        <w:t xml:space="preserve">(Pā. Sū. 4-1-44) the feminine affix</w:t>
      </w:r>
      <w:r>
        <w:t xml:space="preserve"> </w:t>
      </w:r>
      <w:r>
        <w:t xml:space="preserve">“</w:t>
      </w:r>
      <w:r>
        <w:t xml:space="preserve">ṅīṣ</w:t>
      </w:r>
      <w:r>
        <w:t xml:space="preserve">”</w:t>
      </w:r>
      <w:r>
        <w:t xml:space="preserve"> </w:t>
      </w:r>
      <w:r>
        <w:t xml:space="preserve">comes optionally after a quality-word ending in</w:t>
      </w:r>
      <w:r>
        <w:t xml:space="preserve"> </w:t>
      </w:r>
      <w:r>
        <w:t xml:space="preserve">“</w:t>
      </w:r>
      <w:r>
        <w:t xml:space="preserve">u</w:t>
      </w:r>
      <w:r>
        <w:t xml:space="preserve">”</w:t>
      </w:r>
      <w:r>
        <w:t xml:space="preserve">; where</w:t>
      </w:r>
      <w:r>
        <w:t xml:space="preserve"> </w:t>
      </w:r>
      <w:r>
        <w:t xml:space="preserve">“</w:t>
      </w:r>
      <w:r>
        <w:t xml:space="preserve">ṅīṣ</w:t>
      </w:r>
      <w:r>
        <w:t xml:space="preserve">”</w:t>
      </w:r>
      <w:r>
        <w:t xml:space="preserve"> </w:t>
      </w:r>
      <w:r>
        <w:t xml:space="preserve">was due, here by vyatyaya the affix</w:t>
      </w:r>
      <w:r>
        <w:t xml:space="preserve"> </w:t>
      </w:r>
      <w:r>
        <w:t xml:space="preserve">“</w:t>
      </w:r>
      <w:r>
        <w:t xml:space="preserve">ṅīn</w:t>
      </w:r>
      <w:r>
        <w:t xml:space="preserve">”</w:t>
      </w:r>
      <w:r>
        <w:t xml:space="preserve"> </w:t>
      </w:r>
      <w:r>
        <w:t xml:space="preserve">comes. Since it is</w:t>
      </w:r>
      <w:r>
        <w:t xml:space="preserve"> </w:t>
      </w:r>
      <w:r>
        <w:t xml:space="preserve">“</w:t>
      </w:r>
      <w:r>
        <w:t xml:space="preserve">n</w:t>
      </w:r>
      <w:r>
        <w:t xml:space="preserve">”</w:t>
      </w:r>
      <w:r>
        <w:t xml:space="preserve">-marked, the accent is on the first syllable.</w:t>
      </w:r>
    </w:p>
    <w:p>
      <w:pPr>
        <w:pStyle w:val="BodyText"/>
      </w:pPr>
      <w:r>
        <w:t xml:space="preserve">“</w:t>
      </w:r>
      <w:r>
        <w:t xml:space="preserve">Tanā</w:t>
      </w:r>
      <w:r>
        <w:t xml:space="preserve">”</w:t>
      </w:r>
      <w:r>
        <w:t xml:space="preserve">: this is a particle (nipāta) in the sense</w:t>
      </w:r>
      <w:r>
        <w:t xml:space="preserve"> </w:t>
      </w:r>
      <w:r>
        <w:t xml:space="preserve">“</w:t>
      </w:r>
      <w:r>
        <w:t xml:space="preserve">nitya</w:t>
      </w:r>
      <w:r>
        <w:t xml:space="preserve">”</w:t>
      </w:r>
      <w:r>
        <w:t xml:space="preserve"> </w:t>
      </w:r>
      <w:r>
        <w:t xml:space="preserve">(always); being a nipāta, its first syllable is acute.</w:t>
      </w:r>
    </w:p>
    <w:p>
      <w:pPr>
        <w:pStyle w:val="BodyText"/>
      </w:pPr>
      <w:r>
        <w:t xml:space="preserve">In</w:t>
      </w:r>
      <w:r>
        <w:t xml:space="preserve"> </w:t>
      </w:r>
      <w:r>
        <w:t xml:space="preserve">“</w:t>
      </w:r>
      <w:r>
        <w:t xml:space="preserve">pūtāsaḥ,</w:t>
      </w:r>
      <w:r>
        <w:t xml:space="preserve">”</w:t>
      </w:r>
      <w:r>
        <w:t xml:space="preserve"> </w:t>
      </w:r>
      <w:r>
        <w:t xml:space="preserve">by</w:t>
      </w:r>
      <w:r>
        <w:t xml:space="preserve"> </w:t>
      </w:r>
      <w:r>
        <w:t xml:space="preserve">“</w:t>
      </w:r>
      <w:r>
        <w:t xml:space="preserve">ājjaser asuk</w:t>
      </w:r>
      <w:r>
        <w:t xml:space="preserve">”</w:t>
      </w:r>
      <w:r>
        <w:t xml:space="preserve"> </w:t>
      </w:r>
      <w:r>
        <w:t xml:space="preserve">(Pā. Sū. 7-1-50), the</w:t>
      </w:r>
      <w:r>
        <w:t xml:space="preserve"> </w:t>
      </w:r>
      <w:r>
        <w:t xml:space="preserve">“</w:t>
      </w:r>
      <w:r>
        <w:t xml:space="preserve">jas</w:t>
      </w:r>
      <w:r>
        <w:t xml:space="preserve">”</w:t>
      </w:r>
      <w:r>
        <w:t xml:space="preserve"> </w:t>
      </w:r>
      <w:r>
        <w:t xml:space="preserve">ending that comes after a stem ending in</w:t>
      </w:r>
      <w:r>
        <w:t xml:space="preserve"> </w:t>
      </w:r>
      <w:r>
        <w:t xml:space="preserve">“</w:t>
      </w:r>
      <w:r>
        <w:t xml:space="preserve">a</w:t>
      </w:r>
      <w:r>
        <w:t xml:space="preserve">”</w:t>
      </w:r>
      <w:r>
        <w:t xml:space="preserve"> </w:t>
      </w:r>
      <w:r>
        <w:t xml:space="preserve">takes the augment</w:t>
      </w:r>
      <w:r>
        <w:t xml:space="preserve"> </w:t>
      </w:r>
      <w:r>
        <w:t xml:space="preserve">“</w:t>
      </w:r>
      <w:r>
        <w:t xml:space="preserve">asuk</w:t>
      </w:r>
      <w:r>
        <w:t xml:space="preserve">”</w:t>
      </w:r>
      <w:r>
        <w:t xml:space="preserve">; with the</w:t>
      </w:r>
      <w:r>
        <w:t xml:space="preserve"> </w:t>
      </w:r>
      <w:r>
        <w:t xml:space="preserve">“</w:t>
      </w:r>
      <w:r>
        <w:t xml:space="preserve">asuk</w:t>
      </w:r>
      <w:r>
        <w:t xml:space="preserve">”</w:t>
      </w:r>
      <w:r>
        <w:t xml:space="preserve"> </w:t>
      </w:r>
      <w:r>
        <w:t xml:space="preserve">augment we get</w:t>
      </w:r>
      <w:r>
        <w:t xml:space="preserve"> </w:t>
      </w:r>
      <w:r>
        <w:t xml:space="preserve">“</w:t>
      </w:r>
      <w:r>
        <w:t xml:space="preserve">pūtāsas,</w:t>
      </w:r>
      <w:r>
        <w:t xml:space="preserve">”</w:t>
      </w:r>
      <w:r>
        <w:t xml:space="preserve"> </w:t>
      </w:r>
      <w:r>
        <w:t xml:space="preserve">and with</w:t>
      </w:r>
      <w:r>
        <w:t xml:space="preserve"> </w:t>
      </w:r>
      <w:r>
        <w:t xml:space="preserve">“</w:t>
      </w:r>
      <w:r>
        <w:t xml:space="preserve">ru</w:t>
      </w:r>
      <w:r>
        <w:t xml:space="preserve">”</w:t>
      </w:r>
      <w:r>
        <w:t xml:space="preserve">-substitution and visarga,</w:t>
      </w:r>
      <w:r>
        <w:t xml:space="preserve"> </w:t>
      </w:r>
      <w:r>
        <w:t xml:space="preserve">“</w:t>
      </w:r>
      <w:r>
        <w:t xml:space="preserve">pūtāsaḥ.</w:t>
      </w:r>
      <w:r>
        <w:t xml:space="preserve">”</w:t>
      </w:r>
      <w:r>
        <w:t xml:space="preserve"> </w:t>
      </w:r>
      <w:r>
        <w:t xml:space="preserve">॥४॥</w:t>
      </w:r>
    </w:p>
    <w:p>
      <w:r>
        <w:pict>
          <v:rect style="width:0;height:1.5pt" o:hralign="center" o:hrstd="t" o:hr="t"/>
        </w:pict>
      </w:r>
    </w:p>
    <w:bookmarkEnd w:id="61"/>
    <w:bookmarkStart w:id="62" w:name="sūkta-3-the-fifth-mantra"/>
    <w:p>
      <w:pPr>
        <w:pStyle w:val="Heading3"/>
      </w:pPr>
      <w:r>
        <w:t xml:space="preserve">Sūkta 3, The Fifth Mantra</w:t>
      </w:r>
    </w:p>
    <w:p>
      <w:pPr>
        <w:pStyle w:val="FirstParagraph"/>
      </w:pPr>
      <w:r>
        <w:rPr>
          <w:iCs/>
          <w:i/>
        </w:rPr>
        <w:t xml:space="preserve">(Accent-notation note: in the Kannada print the Saṃhitā and Pada texts carry accent-marks — short vertical strokes above the syllable (svarita, ॑) and short lines beneath it (anudātta, ॒); the udātta is unmarked. In the Oct 2026 pass the Saṃhitā-pāṭha of every Ṛk is given with these marks as read from the better scan (the IAST line puts an acute on the udātta, derived from the marks); the Pada-pāṭha is given without accents. Earlier notes in this volume that say the accent-marks are not reproduced refer to the Pada text.)</w:t>
      </w:r>
    </w:p>
    <w:p>
      <w:pPr>
        <w:pStyle w:val="BodyText"/>
      </w:pPr>
      <w:r>
        <w:rPr>
          <w:bCs/>
          <w:b/>
        </w:rPr>
        <w:t xml:space="preserve">॥ Saṃhitā-pāṭhaḥ ॥</w:t>
      </w:r>
    </w:p>
    <w:p>
      <w:pPr>
        <w:pStyle w:val="BlockText"/>
      </w:pPr>
      <w:r>
        <w:t xml:space="preserve">इन्द्रा या॑हि धि॒येषि॒तो विप्र॑जूतः सु॒ताव॑तः । [accent ?]</w:t>
      </w:r>
      <w:r>
        <w:t xml:space="preserve"> </w:t>
      </w:r>
      <w:r>
        <w:t xml:space="preserve">उप॒ ब्रह्मा॑णि वा॒घतः॑ ॥५॥</w:t>
      </w:r>
    </w:p>
    <w:p>
      <w:pPr>
        <w:pStyle w:val="BlockText"/>
      </w:pPr>
      <w:r>
        <w:rPr>
          <w:iCs/>
          <w:i/>
        </w:rPr>
        <w:t xml:space="preserve">indrā́ yāhi dhiyéṣitó víprajūtaḥ sutā́vataḥ |</w:t>
      </w:r>
      <w:r>
        <w:t xml:space="preserve"> </w:t>
      </w:r>
      <w:r>
        <w:t xml:space="preserve">[accent ?]</w:t>
      </w:r>
      <w:r>
        <w:t xml:space="preserve"> </w:t>
      </w:r>
      <w:r>
        <w:rPr>
          <w:iCs/>
          <w:i/>
        </w:rPr>
        <w:t xml:space="preserve">upa bráhmāṇi vāghátaḥ ||5||</w:t>
      </w:r>
    </w:p>
    <w:p>
      <w:pPr>
        <w:pStyle w:val="FirstParagraph"/>
      </w:pPr>
      <w:r>
        <w:rPr>
          <w:iCs/>
          <w:i/>
        </w:rPr>
        <w:t xml:space="preserve">(Accents read from the better scan. [accent ?]: the print has a further small mark above व of सुताव॑तः, not identified.)</w:t>
      </w:r>
    </w:p>
    <w:p>
      <w:pPr>
        <w:pStyle w:val="BodyText"/>
      </w:pPr>
      <w:r>
        <w:rPr>
          <w:bCs/>
          <w:b/>
        </w:rPr>
        <w:t xml:space="preserve">॥ Pada-pāṭhaḥ ॥</w:t>
      </w:r>
    </w:p>
    <w:p>
      <w:pPr>
        <w:pStyle w:val="BlockText"/>
      </w:pPr>
      <w:r>
        <w:t xml:space="preserve">इन्द्र । आ । याहि । धिया । इषितः । विप्रजूतः । सुतावतः ।</w:t>
      </w:r>
      <w:r>
        <w:t xml:space="preserve"> </w:t>
      </w:r>
      <w:r>
        <w:t xml:space="preserve">उप । ब्रह्माणि । वाघतः ॥५॥</w:t>
      </w:r>
    </w:p>
    <w:p>
      <w:pPr>
        <w:pStyle w:val="FirstParagraph"/>
      </w:pPr>
      <w:r>
        <w:rPr>
          <w:iCs/>
          <w:i/>
        </w:rPr>
        <w:t xml:space="preserve">(Reading note: in the Pada text the print shows</w:t>
      </w:r>
      <w:r>
        <w:rPr>
          <w:iCs/>
          <w:i/>
        </w:rPr>
        <w:t xml:space="preserve"> </w:t>
      </w:r>
      <w:r>
        <w:rPr>
          <w:iCs/>
          <w:i/>
        </w:rPr>
        <w:t xml:space="preserve">“</w:t>
      </w:r>
      <w:r>
        <w:rPr>
          <w:iCs/>
          <w:i/>
        </w:rPr>
        <w:t xml:space="preserve">viprajūtaḥ</w:t>
      </w:r>
      <w:r>
        <w:rPr>
          <w:iCs/>
          <w:i/>
        </w:rPr>
        <w:t xml:space="preserve">”</w:t>
      </w:r>
      <w:r>
        <w:rPr>
          <w:iCs/>
          <w:i/>
        </w:rPr>
        <w:t xml:space="preserve"> </w:t>
      </w:r>
      <w:r>
        <w:rPr>
          <w:iCs/>
          <w:i/>
        </w:rPr>
        <w:t xml:space="preserve">with a faint mark between</w:t>
      </w:r>
      <w:r>
        <w:rPr>
          <w:iCs/>
          <w:i/>
        </w:rPr>
        <w:t xml:space="preserve"> </w:t>
      </w:r>
      <w:r>
        <w:rPr>
          <w:iCs/>
          <w:i/>
        </w:rPr>
        <w:t xml:space="preserve">“</w:t>
      </w:r>
      <w:r>
        <w:rPr>
          <w:iCs/>
          <w:i/>
        </w:rPr>
        <w:t xml:space="preserve">vipra</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jūtaḥ</w:t>
      </w:r>
      <w:r>
        <w:rPr>
          <w:iCs/>
          <w:i/>
        </w:rPr>
        <w:t xml:space="preserve">”</w:t>
      </w:r>
      <w:r>
        <w:rPr>
          <w:iCs/>
          <w:i/>
        </w:rPr>
        <w:t xml:space="preserve"> </w:t>
      </w:r>
      <w:r>
        <w:rPr>
          <w:iCs/>
          <w:i/>
        </w:rPr>
        <w:t xml:space="preserve">— probably the avagraha-division of the compound (</w:t>
      </w:r>
      <w:r>
        <w:rPr>
          <w:iCs/>
          <w:i/>
        </w:rPr>
        <w:t xml:space="preserve">“</w:t>
      </w:r>
      <w:r>
        <w:rPr>
          <w:iCs/>
          <w:i/>
        </w:rPr>
        <w:t xml:space="preserve">vipra-jūtaḥ</w:t>
      </w:r>
      <w:r>
        <w:rPr>
          <w:iCs/>
          <w:i/>
        </w:rPr>
        <w:t xml:space="preserve">”</w:t>
      </w:r>
      <w:r>
        <w:rPr>
          <w:iCs/>
          <w:i/>
        </w:rPr>
        <w:t xml:space="preserve">) — and</w:t>
      </w:r>
      <w:r>
        <w:rPr>
          <w:iCs/>
          <w:i/>
        </w:rPr>
        <w:t xml:space="preserve"> </w:t>
      </w:r>
      <w:r>
        <w:rPr>
          <w:iCs/>
          <w:i/>
        </w:rPr>
        <w:t xml:space="preserve">“</w:t>
      </w:r>
      <w:r>
        <w:rPr>
          <w:iCs/>
          <w:i/>
        </w:rPr>
        <w:t xml:space="preserve">sutāvataḥ</w:t>
      </w:r>
      <w:r>
        <w:rPr>
          <w:iCs/>
          <w:i/>
        </w:rPr>
        <w:t xml:space="preserve">”</w:t>
      </w:r>
      <w:r>
        <w:rPr>
          <w:iCs/>
          <w:i/>
        </w:rPr>
        <w:t xml:space="preserve"> </w:t>
      </w:r>
      <w:r>
        <w:rPr>
          <w:iCs/>
          <w:i/>
        </w:rPr>
        <w:t xml:space="preserve">with a similar faint division; I give the words undivided, as I cannot make out the dividing signs. The Pada text of the printed page also reads</w:t>
      </w:r>
      <w:r>
        <w:rPr>
          <w:iCs/>
          <w:i/>
        </w:rPr>
        <w:t xml:space="preserve"> </w:t>
      </w:r>
      <w:r>
        <w:rPr>
          <w:iCs/>
          <w:i/>
        </w:rPr>
        <w:t xml:space="preserve">“</w:t>
      </w:r>
      <w:r>
        <w:rPr>
          <w:iCs/>
          <w:i/>
        </w:rPr>
        <w:t xml:space="preserve">dhiyā iṣitaḥ</w:t>
      </w:r>
      <w:r>
        <w:rPr>
          <w:iCs/>
          <w:i/>
        </w:rPr>
        <w:t xml:space="preserve">”</w:t>
      </w:r>
      <w:r>
        <w:rPr>
          <w:iCs/>
          <w:i/>
        </w:rPr>
        <w:t xml:space="preserve"> </w:t>
      </w:r>
      <w:r>
        <w:rPr>
          <w:iCs/>
          <w:i/>
        </w:rPr>
        <w:t xml:space="preserve">for the Saṃhitā’s</w:t>
      </w:r>
      <w:r>
        <w:rPr>
          <w:iCs/>
          <w:i/>
        </w:rPr>
        <w:t xml:space="preserve"> </w:t>
      </w:r>
      <w:r>
        <w:rPr>
          <w:iCs/>
          <w:i/>
        </w:rPr>
        <w:t xml:space="preserve">“</w:t>
      </w:r>
      <w:r>
        <w:rPr>
          <w:iCs/>
          <w:i/>
        </w:rPr>
        <w:t xml:space="preserve">dhiyeṣito.</w:t>
      </w:r>
      <w:r>
        <w:rPr>
          <w:iCs/>
          <w:i/>
        </w:rPr>
        <w:t xml:space="preserve">”</w:t>
      </w:r>
      <w:r>
        <w:rPr>
          <w:iCs/>
          <w:i/>
        </w:rPr>
        <w:t xml:space="preserve">)</w:t>
      </w:r>
    </w:p>
    <w:bookmarkEnd w:id="62"/>
    <w:bookmarkStart w:id="63" w:name="Xc63c54df75ff60e48fadd954d2adf07d65c609b"/>
    <w:p>
      <w:pPr>
        <w:pStyle w:val="Heading3"/>
      </w:pPr>
      <w:r>
        <w:t xml:space="preserve">Page 39 — Sūkta 3, Fifth Mantra: Sāyaṇa-bhāṣya, Pada-meanings, Bhāvārtha, English rendering</w:t>
      </w:r>
    </w:p>
    <w:p>
      <w:pPr>
        <w:pStyle w:val="FirstParagraph"/>
      </w:pPr>
      <w:r>
        <w:rPr>
          <w:iCs/>
          <w:i/>
        </w:rPr>
        <w:t xml:space="preserve">(Page header:</w:t>
      </w:r>
      <w:r>
        <w:rPr>
          <w:iCs/>
          <w:i/>
        </w:rPr>
        <w:t xml:space="preserve"> </w:t>
      </w:r>
      <w:r>
        <w:rPr>
          <w:iCs/>
          <w:i/>
        </w:rPr>
        <w:t xml:space="preserve">“</w:t>
      </w:r>
      <w:r>
        <w:rPr>
          <w:iCs/>
          <w:i/>
        </w:rPr>
        <w:t xml:space="preserve">Aṣṭaka 1, Adhyāya 1, Varga 5 · Ṛgveda-saṃhitā.</w:t>
      </w:r>
      <w:r>
        <w:rPr>
          <w:iCs/>
          <w:i/>
        </w:rPr>
        <w:t xml:space="preserve">”</w:t>
      </w:r>
      <w:r>
        <w:rPr>
          <w:iCs/>
          <w:i/>
        </w:rPr>
        <w:t xml:space="preserve"> </w:t>
      </w:r>
      <w:r>
        <w:rPr>
          <w:iCs/>
          <w:i/>
        </w:rPr>
        <w:t xml:space="preserve">The Sanskrit is printed in Kannada script; it is rendered letter by letter into Devanagari/IAST. [?] marks places where the print is garbled or the reading uncertain.)</w:t>
      </w:r>
    </w:p>
    <w:p>
      <w:pPr>
        <w:pStyle w:val="BodyText"/>
      </w:pPr>
      <w:r>
        <w:rPr>
          <w:bCs/>
          <w:b/>
        </w:rPr>
        <w:t xml:space="preserve">॥ Sāyaṇa-bhāṣyam ॥</w:t>
      </w:r>
    </w:p>
    <w:p>
      <w:pPr>
        <w:pStyle w:val="BlockText"/>
      </w:pPr>
      <w:r>
        <w:t xml:space="preserve">हे इन्द्र त्वमा याहि । अस्मिन्कर्मण्यागच्छ । किमर्थम् । वाघत ऋत्विजो ब्रह्माणि वेदरूपाणि स्तोत्राण्युपैतुम् । कीदृशस्त्वम् । धियोऽस्मदीयया प्रज्ञयेषितः प्राप्तः । अस्मद्भक्त्या प्रेरित इत्यर्थः । विप्रजूतः । यथा यजमानभक्त्या प्रेरितस्तथान्यैरपि विप्रैर्मेधाविभिरृत्विग्भिः प्रेरितः । कीदृशस्य वाघतः । सुतावतः अभिषुतसोमयुक्तस्य ॥</w:t>
      </w:r>
      <w:r>
        <w:t xml:space="preserve"> </w:t>
      </w:r>
      <w:r>
        <w:rPr>
          <w:iCs/>
          <w:i/>
        </w:rPr>
        <w:t xml:space="preserve">he indra tvam ā yāhi | asmin karmaṇy āgaccha | kim artham | vāghata ṛtvijo brahmāṇi veda-rūpāṇi stotrāṇy upaitum | kīdṛśas tvam | dhiyo ’smadīyayā prajñayeṣitaḥ prāptaḥ | asmad-bhaktyā prerita ity arthaḥ | viprajūtaḥ | yathā yajamāna-bhaktyā preritas tathānyair api viprair medhāvibhir ṛtvigbhiḥ preritaḥ | kīdṛśasya vāghataḥ | sutāvataḥ abhiṣuta-soma-yuktasya ||</w:t>
      </w:r>
    </w:p>
    <w:p>
      <w:pPr>
        <w:pStyle w:val="FirstParagraph"/>
      </w:pPr>
      <w:r>
        <w:rPr>
          <w:bCs/>
          <w:b/>
        </w:rPr>
        <w:t xml:space="preserve">Translation:</w:t>
      </w:r>
      <w:r>
        <w:t xml:space="preserve"> </w:t>
      </w:r>
      <w:r>
        <w:t xml:space="preserve">“</w:t>
      </w:r>
      <w:r>
        <w:t xml:space="preserve">O Indra, come here. Come to this rite. For what purpose? To approach the</w:t>
      </w:r>
      <w:r>
        <w:t xml:space="preserve"> </w:t>
      </w:r>
      <w:r>
        <w:t xml:space="preserve">‘</w:t>
      </w:r>
      <w:r>
        <w:t xml:space="preserve">brahmāṇi</w:t>
      </w:r>
      <w:r>
        <w:t xml:space="preserve">’</w:t>
      </w:r>
      <w:r>
        <w:t xml:space="preserve"> </w:t>
      </w:r>
      <w:r>
        <w:t xml:space="preserve">— the Veda-form praise-hymns — of the Vāghata, the priests. What kind are you?</w:t>
      </w:r>
      <w:r>
        <w:t xml:space="preserve"> </w:t>
      </w:r>
      <w:r>
        <w:t xml:space="preserve">‘</w:t>
      </w:r>
      <w:r>
        <w:t xml:space="preserve">Dhiyā iṣitaḥ</w:t>
      </w:r>
      <w:r>
        <w:t xml:space="preserve">’</w:t>
      </w:r>
      <w:r>
        <w:t xml:space="preserve"> </w:t>
      </w:r>
      <w:r>
        <w:t xml:space="preserve">— reached (prāptaḥ), moved, by our understanding; that is, impelled by our devotion.</w:t>
      </w:r>
      <w:r>
        <w:t xml:space="preserve"> </w:t>
      </w:r>
      <w:r>
        <w:t xml:space="preserve">‘</w:t>
      </w:r>
      <w:r>
        <w:t xml:space="preserve">Viprajūtaḥ</w:t>
      </w:r>
      <w:r>
        <w:t xml:space="preserve">’</w:t>
      </w:r>
      <w:r>
        <w:t xml:space="preserve"> </w:t>
      </w:r>
      <w:r>
        <w:t xml:space="preserve">— as you are impelled by the sacrificer’s devotion, so you are also impelled by other</w:t>
      </w:r>
      <w:r>
        <w:t xml:space="preserve"> </w:t>
      </w:r>
      <w:r>
        <w:t xml:space="preserve">‘</w:t>
      </w:r>
      <w:r>
        <w:t xml:space="preserve">vipras</w:t>
      </w:r>
      <w:r>
        <w:t xml:space="preserve">’</w:t>
      </w:r>
      <w:r>
        <w:t xml:space="preserve"> </w:t>
      </w:r>
      <w:r>
        <w:t xml:space="preserve">— wise priests (ṛtvijaḥ). Of what sort of Vāghata?</w:t>
      </w:r>
      <w:r>
        <w:t xml:space="preserve"> </w:t>
      </w:r>
      <w:r>
        <w:t xml:space="preserve">‘</w:t>
      </w:r>
      <w:r>
        <w:t xml:space="preserve">Sutāvataḥ</w:t>
      </w:r>
      <w:r>
        <w:t xml:space="preserve">’</w:t>
      </w:r>
      <w:r>
        <w:t xml:space="preserve"> </w:t>
      </w:r>
      <w:r>
        <w:t xml:space="preserve">— of one who has Soma pressed out and ready.</w:t>
      </w:r>
      <w:r>
        <w:t xml:space="preserve">”</w:t>
      </w:r>
    </w:p>
    <w:p>
      <w:pPr>
        <w:pStyle w:val="BodyText"/>
      </w:pPr>
      <w:r>
        <w:rPr>
          <w:iCs/>
          <w:i/>
        </w:rPr>
        <w:t xml:space="preserve">(Reading note: the print before</w:t>
      </w:r>
      <w:r>
        <w:rPr>
          <w:iCs/>
          <w:i/>
        </w:rPr>
        <w:t xml:space="preserve"> </w:t>
      </w:r>
      <w:r>
        <w:rPr>
          <w:iCs/>
          <w:i/>
        </w:rPr>
        <w:t xml:space="preserve">“</w:t>
      </w:r>
      <w:r>
        <w:rPr>
          <w:iCs/>
          <w:i/>
        </w:rPr>
        <w:t xml:space="preserve">prajñayā</w:t>
      </w:r>
      <w:r>
        <w:rPr>
          <w:iCs/>
          <w:i/>
        </w:rPr>
        <w:t xml:space="preserve">”</w:t>
      </w:r>
      <w:r>
        <w:rPr>
          <w:iCs/>
          <w:i/>
        </w:rPr>
        <w:t xml:space="preserve"> </w:t>
      </w:r>
      <w:r>
        <w:rPr>
          <w:iCs/>
          <w:i/>
        </w:rPr>
        <w:t xml:space="preserve">reads</w:t>
      </w:r>
      <w:r>
        <w:rPr>
          <w:iCs/>
          <w:i/>
        </w:rPr>
        <w:t xml:space="preserve"> </w:t>
      </w:r>
      <w:r>
        <w:rPr>
          <w:iCs/>
          <w:i/>
        </w:rPr>
        <w:t xml:space="preserve">“</w:t>
      </w:r>
      <w:r>
        <w:rPr>
          <w:iCs/>
          <w:i/>
        </w:rPr>
        <w:t xml:space="preserve">dhiyo ’smadīyayā</w:t>
      </w:r>
      <w:r>
        <w:rPr>
          <w:iCs/>
          <w:i/>
        </w:rPr>
        <w:t xml:space="preserve">”</w:t>
      </w:r>
      <w:r>
        <w:rPr>
          <w:iCs/>
          <w:i/>
        </w:rPr>
        <w:t xml:space="preserve"> </w:t>
      </w:r>
      <w:r>
        <w:rPr>
          <w:iCs/>
          <w:i/>
        </w:rPr>
        <w:t xml:space="preserve">(clear in the second scan; the first reading had an extra syllable). The sense —</w:t>
      </w:r>
      <w:r>
        <w:rPr>
          <w:iCs/>
          <w:i/>
        </w:rPr>
        <w:t xml:space="preserve"> </w:t>
      </w:r>
      <w:r>
        <w:rPr>
          <w:iCs/>
          <w:i/>
        </w:rPr>
        <w:t xml:space="preserve">“</w:t>
      </w:r>
      <w:r>
        <w:rPr>
          <w:iCs/>
          <w:i/>
        </w:rPr>
        <w:t xml:space="preserve">by our (priestly) understanding</w:t>
      </w:r>
      <w:r>
        <w:rPr>
          <w:iCs/>
          <w:i/>
        </w:rPr>
        <w:t xml:space="preserve">”</w:t>
      </w:r>
      <w:r>
        <w:rPr>
          <w:iCs/>
          <w:i/>
        </w:rPr>
        <w:t xml:space="preserve"> </w:t>
      </w:r>
      <w:r>
        <w:rPr>
          <w:iCs/>
          <w:i/>
        </w:rPr>
        <w:t xml:space="preserve">— agrees with the Kannada Pada-meaning below.)</w:t>
      </w:r>
    </w:p>
    <w:p>
      <w:pPr>
        <w:pStyle w:val="BlockText"/>
      </w:pPr>
      <w:r>
        <w:t xml:space="preserve">केत इत्यादिष्वेकादशसु प्रज्ञानामसु धीरिति पठितम् । चतुर्विंशतिसंख्याकेषु मेधाविनामसु विप्रो धीर इति पठितम् । भरता इत्यादिष्वष्टस्वृत्विङ्नामसु वाघत इति पठितम् ।</w:t>
      </w:r>
      <w:r>
        <w:t xml:space="preserve"> </w:t>
      </w:r>
      <w:r>
        <w:rPr>
          <w:iCs/>
          <w:i/>
        </w:rPr>
        <w:t xml:space="preserve">keta ity ādiṣv ekādaśasu prajñā-nāmasu dhīr iti paṭhitam | catur-viṃśati-saṃkhyākeṣu medhāvi-nāmasu vipro dhīra iti paṭhitam | bharatā ity ādiṣv aṣṭasv ṛtvik-nāmasu vāghata iti paṭhitam |</w:t>
      </w:r>
    </w:p>
    <w:p>
      <w:pPr>
        <w:pStyle w:val="FirstParagraph"/>
      </w:pPr>
      <w:r>
        <w:rPr>
          <w:bCs/>
          <w:b/>
        </w:rPr>
        <w:t xml:space="preserve">Translation:</w:t>
      </w:r>
      <w:r>
        <w:t xml:space="preserve"> </w:t>
      </w:r>
      <w:r>
        <w:t xml:space="preserve">“</w:t>
      </w:r>
      <w:r>
        <w:t xml:space="preserve">Among the eleven names for</w:t>
      </w:r>
      <w:r>
        <w:t xml:space="preserve"> </w:t>
      </w:r>
      <w:r>
        <w:t xml:space="preserve">‘</w:t>
      </w:r>
      <w:r>
        <w:t xml:space="preserve">understanding</w:t>
      </w:r>
      <w:r>
        <w:t xml:space="preserve">’</w:t>
      </w:r>
      <w:r>
        <w:t xml:space="preserve"> </w:t>
      </w:r>
      <w:r>
        <w:t xml:space="preserve">beginning with</w:t>
      </w:r>
      <w:r>
        <w:t xml:space="preserve"> </w:t>
      </w:r>
      <w:r>
        <w:t xml:space="preserve">‘</w:t>
      </w:r>
      <w:r>
        <w:t xml:space="preserve">keta</w:t>
      </w:r>
      <w:r>
        <w:t xml:space="preserve">’</w:t>
      </w:r>
      <w:r>
        <w:t xml:space="preserve"> </w:t>
      </w:r>
      <w:r>
        <w:t xml:space="preserve">(in the Nighaṇṭu),</w:t>
      </w:r>
      <w:r>
        <w:t xml:space="preserve"> </w:t>
      </w:r>
      <w:r>
        <w:t xml:space="preserve">‘</w:t>
      </w:r>
      <w:r>
        <w:t xml:space="preserve">dhī</w:t>
      </w:r>
      <w:r>
        <w:t xml:space="preserve">’</w:t>
      </w:r>
      <w:r>
        <w:t xml:space="preserve"> </w:t>
      </w:r>
      <w:r>
        <w:t xml:space="preserve">is read. Among the twenty-four names for</w:t>
      </w:r>
      <w:r>
        <w:t xml:space="preserve"> </w:t>
      </w:r>
      <w:r>
        <w:t xml:space="preserve">‘</w:t>
      </w:r>
      <w:r>
        <w:t xml:space="preserve">the wise,</w:t>
      </w:r>
      <w:r>
        <w:t xml:space="preserve">’</w:t>
      </w:r>
      <w:r>
        <w:t xml:space="preserve"> </w:t>
      </w:r>
      <w:r>
        <w:t xml:space="preserve">‘</w:t>
      </w:r>
      <w:r>
        <w:t xml:space="preserve">vipra</w:t>
      </w:r>
      <w:r>
        <w:t xml:space="preserve">’</w:t>
      </w:r>
      <w:r>
        <w:t xml:space="preserve"> </w:t>
      </w:r>
      <w:r>
        <w:t xml:space="preserve">and</w:t>
      </w:r>
      <w:r>
        <w:t xml:space="preserve"> </w:t>
      </w:r>
      <w:r>
        <w:t xml:space="preserve">‘</w:t>
      </w:r>
      <w:r>
        <w:t xml:space="preserve">dhīra</w:t>
      </w:r>
      <w:r>
        <w:t xml:space="preserve">’</w:t>
      </w:r>
      <w:r>
        <w:t xml:space="preserve"> </w:t>
      </w:r>
      <w:r>
        <w:t xml:space="preserve">are read. Among the names of the ṛtvij (priest) beginning with</w:t>
      </w:r>
      <w:r>
        <w:t xml:space="preserve"> </w:t>
      </w:r>
      <w:r>
        <w:t xml:space="preserve">‘</w:t>
      </w:r>
      <w:r>
        <w:t xml:space="preserve">bharatāḥ,</w:t>
      </w:r>
      <w:r>
        <w:t xml:space="preserve">’</w:t>
      </w:r>
      <w:r>
        <w:t xml:space="preserve"> </w:t>
      </w:r>
      <w:r>
        <w:t xml:space="preserve">‘</w:t>
      </w:r>
      <w:r>
        <w:t xml:space="preserve">vāghataḥ</w:t>
      </w:r>
      <w:r>
        <w:t xml:space="preserve">’</w:t>
      </w:r>
      <w:r>
        <w:t xml:space="preserve"> </w:t>
      </w:r>
      <w:r>
        <w:t xml:space="preserve">is read.</w:t>
      </w:r>
      <w:r>
        <w:t xml:space="preserve">”</w:t>
      </w:r>
    </w:p>
    <w:p>
      <w:pPr>
        <w:pStyle w:val="BodyText"/>
      </w:pPr>
      <w:r>
        <w:rPr>
          <w:iCs/>
          <w:i/>
        </w:rPr>
        <w:t xml:space="preserve">(Reading note: the count of the ṛtvij-names after</w:t>
      </w:r>
      <w:r>
        <w:rPr>
          <w:iCs/>
          <w:i/>
        </w:rPr>
        <w:t xml:space="preserve"> </w:t>
      </w:r>
      <w:r>
        <w:rPr>
          <w:iCs/>
          <w:i/>
        </w:rPr>
        <w:t xml:space="preserve">“</w:t>
      </w:r>
      <w:r>
        <w:rPr>
          <w:iCs/>
          <w:i/>
        </w:rPr>
        <w:t xml:space="preserve">ādiṣu</w:t>
      </w:r>
      <w:r>
        <w:rPr>
          <w:iCs/>
          <w:i/>
        </w:rPr>
        <w:t xml:space="preserve">”</w:t>
      </w:r>
      <w:r>
        <w:rPr>
          <w:iCs/>
          <w:i/>
        </w:rPr>
        <w:t xml:space="preserve"> </w:t>
      </w:r>
      <w:r>
        <w:rPr>
          <w:iCs/>
          <w:i/>
        </w:rPr>
        <w:t xml:space="preserve">is clear in the second scan:</w:t>
      </w:r>
      <w:r>
        <w:rPr>
          <w:iCs/>
          <w:i/>
        </w:rPr>
        <w:t xml:space="preserve"> </w:t>
      </w:r>
      <w:r>
        <w:rPr>
          <w:iCs/>
          <w:i/>
        </w:rPr>
        <w:t xml:space="preserve">“</w:t>
      </w:r>
      <w:r>
        <w:rPr>
          <w:iCs/>
          <w:i/>
        </w:rPr>
        <w:t xml:space="preserve">aṣṭasv ṛtvijñāmasu</w:t>
      </w:r>
      <w:r>
        <w:rPr>
          <w:iCs/>
          <w:i/>
        </w:rPr>
        <w:t xml:space="preserve">”</w:t>
      </w:r>
      <w:r>
        <w:rPr>
          <w:iCs/>
          <w:i/>
        </w:rPr>
        <w:t xml:space="preserve"> </w:t>
      </w:r>
      <w:r>
        <w:rPr>
          <w:iCs/>
          <w:i/>
        </w:rPr>
        <w:t xml:space="preserve">(the print has</w:t>
      </w:r>
      <w:r>
        <w:rPr>
          <w:iCs/>
          <w:i/>
        </w:rPr>
        <w:t xml:space="preserve"> </w:t>
      </w:r>
      <w:r>
        <w:rPr>
          <w:iCs/>
          <w:i/>
        </w:rPr>
        <w:t xml:space="preserve">“</w:t>
      </w:r>
      <w:r>
        <w:rPr>
          <w:iCs/>
          <w:i/>
        </w:rPr>
        <w:t xml:space="preserve">-sv</w:t>
      </w:r>
      <w:r>
        <w:rPr>
          <w:iCs/>
          <w:i/>
        </w:rPr>
        <w:t xml:space="preserve">”</w:t>
      </w:r>
      <w:r>
        <w:rPr>
          <w:iCs/>
          <w:i/>
        </w:rPr>
        <w:t xml:space="preserve"> </w:t>
      </w:r>
      <w:r>
        <w:rPr>
          <w:iCs/>
          <w:i/>
        </w:rPr>
        <w:t xml:space="preserve">across the line-break); it is read</w:t>
      </w:r>
      <w:r>
        <w:rPr>
          <w:iCs/>
          <w:i/>
        </w:rPr>
        <w:t xml:space="preserve"> </w:t>
      </w:r>
      <w:r>
        <w:rPr>
          <w:iCs/>
          <w:i/>
        </w:rPr>
        <w:t xml:space="preserve">“</w:t>
      </w:r>
      <w:r>
        <w:rPr>
          <w:iCs/>
          <w:i/>
        </w:rPr>
        <w:t xml:space="preserve">aṣṭasu ṛtvik-nāmasu,</w:t>
      </w:r>
      <w:r>
        <w:rPr>
          <w:iCs/>
          <w:i/>
        </w:rPr>
        <w:t xml:space="preserve">”</w:t>
      </w:r>
      <w:r>
        <w:rPr>
          <w:iCs/>
          <w:i/>
        </w:rPr>
        <w:t xml:space="preserve"> </w:t>
      </w:r>
      <w:r>
        <w:rPr>
          <w:iCs/>
          <w:i/>
        </w:rPr>
        <w:t xml:space="preserve">in the eight names of priests.)</w:t>
      </w:r>
    </w:p>
    <w:p>
      <w:pPr>
        <w:pStyle w:val="BodyText"/>
      </w:pPr>
      <w:r>
        <w:rPr>
          <w:bCs/>
          <w:b/>
        </w:rPr>
        <w:t xml:space="preserve">॥ Grammar within the Bhāṣya ॥</w:t>
      </w:r>
      <w:r>
        <w:t xml:space="preserve"> </w:t>
      </w:r>
      <w:r>
        <w:rPr>
          <w:iCs/>
          <w:i/>
        </w:rPr>
        <w:t xml:space="preserve">(short; given in full)</w:t>
      </w:r>
    </w:p>
    <w:p>
      <w:pPr>
        <w:pStyle w:val="BlockText"/>
      </w:pPr>
      <w:r>
        <w:t xml:space="preserve">इषित इत्यत्रैष गताविल्यस्मान्निष्ठायामिडागमः । आगमा अनुदात्ताः । म. ३-१-३-७ । इतीटोऽनुदात्तत्वात्क्तस्वरः शिष्यते । विप्रजूतः । डुवप् बीजतन्तुसंताने इति धातोर्ऋज्रेन्द्राग्रवज्रविप्रेत्यादिना । उ. २-२८ । रन्प्रत्ययान्तो विप्रशब्दो निपातितः । निपातनादुपधाया इकारो लघूपधगुणाभावश्च । नित्त्वादाद्युदात्तः । तैर्जूतः । प्राप्तः । जू इति सौत्रो धातुर्गत्यर्थः । श्र्युकः किति । पा. ७-२-११ । इतीट्प्रतिषेधः । तृतीया कर्मणि । पा. ६-२-४८ । इति पूर्वपदप्रकृतिस्वरत्वम् । सुतावतः । छान्दसं दीर्घत्वम् । मतुपोऽनुदात्तत्वात्क्तप्रत्ययस्वर एव शिष्यते । ब्रह्माणि । नब्विषयस्यानिसन्तस्येत्याद्युदात्तः । वाघच्छब्द ऋत्विङ्नामसु पठितः प्रातिपदिकस्वरः ॥</w:t>
      </w:r>
      <w:r>
        <w:t xml:space="preserve"> </w:t>
      </w:r>
      <w:r>
        <w:rPr>
          <w:iCs/>
          <w:i/>
        </w:rPr>
        <w:t xml:space="preserve">iṣita ity atra iṣa gatāv ity asmān niṣṭhāyām iḍ-āgamaḥ | āgamā anudāttāḥ | ma. 3-1-3-7 | itīṭo ’nudāttatvāt kta-svaraḥ śiṣyate | viprajūtaḥ | ḍuvap bīja-tantu-saṃtāne iti dhātor ṛjrendrāgra-vajra-viprety ādinā | u. 2-28 | ran-pratyayānto vipra-śabdo nipātitaḥ | nipātanād upadhāyā ikāro laghūpadha-guṇābhāvaś ca | nittvād ādyudāttaḥ | tair jūtaḥ | prāptaḥ | jū iti sautro dhātur gaty-arthaḥ | śryukaḥ kiti | pā. 7-2-11 | itīṭ-pratiṣedhaḥ | tṛtīyā karmaṇi | pā. 6-2-48 | iti pūrva-pada-prakṛti-svaratvam | sutāvataḥ | chāndasaṃ dīrghatvam | matupo ’nudāttatvāt kta-pratyaya-svara eva śiṣyate | brahmāṇi | nab-viṣayasyānisantasyety ādyudāttaḥ | vāghac-chabda ṛtvik-nāmasu paṭhitaḥ prātipadika-svaraḥ ||</w:t>
      </w:r>
    </w:p>
    <w:p>
      <w:pPr>
        <w:pStyle w:val="FirstParagraph"/>
      </w:pPr>
      <w:r>
        <w:rPr>
          <w:bCs/>
          <w:b/>
        </w:rPr>
        <w:t xml:space="preserve">Translation:</w:t>
      </w:r>
      <w:r>
        <w:t xml:space="preserve"> </w:t>
      </w:r>
      <w:r>
        <w:t xml:space="preserve">“</w:t>
      </w:r>
      <w:r>
        <w:t xml:space="preserve">In</w:t>
      </w:r>
      <w:r>
        <w:t xml:space="preserve"> </w:t>
      </w:r>
      <w:r>
        <w:t xml:space="preserve">‘</w:t>
      </w:r>
      <w:r>
        <w:t xml:space="preserve">iṣita,</w:t>
      </w:r>
      <w:r>
        <w:t xml:space="preserve">’</w:t>
      </w:r>
      <w:r>
        <w:t xml:space="preserve"> </w:t>
      </w:r>
      <w:r>
        <w:t xml:space="preserve">the root is</w:t>
      </w:r>
      <w:r>
        <w:t xml:space="preserve"> </w:t>
      </w:r>
      <w:r>
        <w:t xml:space="preserve">‘</w:t>
      </w:r>
      <w:r>
        <w:t xml:space="preserve">iṣ</w:t>
      </w:r>
      <w:r>
        <w:t xml:space="preserve">’</w:t>
      </w:r>
      <w:r>
        <w:t xml:space="preserve"> </w:t>
      </w:r>
      <w:r>
        <w:t xml:space="preserve">(to go): in the niṣṭhā (the</w:t>
      </w:r>
      <w:r>
        <w:t xml:space="preserve"> </w:t>
      </w:r>
      <w:r>
        <w:t xml:space="preserve">‘</w:t>
      </w:r>
      <w:r>
        <w:t xml:space="preserve">kta</w:t>
      </w:r>
      <w:r>
        <w:t xml:space="preserve">’</w:t>
      </w:r>
      <w:r>
        <w:t xml:space="preserve"> </w:t>
      </w:r>
      <w:r>
        <w:t xml:space="preserve">affix) the augment</w:t>
      </w:r>
      <w:r>
        <w:t xml:space="preserve"> </w:t>
      </w:r>
      <w:r>
        <w:t xml:space="preserve">‘</w:t>
      </w:r>
      <w:r>
        <w:t xml:space="preserve">iṭ</w:t>
      </w:r>
      <w:r>
        <w:t xml:space="preserve">’</w:t>
      </w:r>
      <w:r>
        <w:t xml:space="preserve"> </w:t>
      </w:r>
      <w:r>
        <w:t xml:space="preserve">comes. Augments are anudātta (unaccented) (</w:t>
      </w:r>
      <w:r>
        <w:t xml:space="preserve">‘</w:t>
      </w:r>
      <w:r>
        <w:t xml:space="preserve">āgamā anudāttāḥ</w:t>
      </w:r>
      <w:r>
        <w:t xml:space="preserve">’</w:t>
      </w:r>
      <w:r>
        <w:t xml:space="preserve">; the source reference as printed is</w:t>
      </w:r>
      <w:r>
        <w:t xml:space="preserve"> </w:t>
      </w:r>
      <w:r>
        <w:t xml:space="preserve">‘</w:t>
      </w:r>
      <w:r>
        <w:t xml:space="preserve">ma. 3-1-3-7</w:t>
      </w:r>
      <w:r>
        <w:t xml:space="preserve">’</w:t>
      </w:r>
      <w:r>
        <w:t xml:space="preserve">); since the</w:t>
      </w:r>
      <w:r>
        <w:t xml:space="preserve"> </w:t>
      </w:r>
      <w:r>
        <w:t xml:space="preserve">‘</w:t>
      </w:r>
      <w:r>
        <w:t xml:space="preserve">iṭ</w:t>
      </w:r>
      <w:r>
        <w:t xml:space="preserve">’</w:t>
      </w:r>
      <w:r>
        <w:t xml:space="preserve"> </w:t>
      </w:r>
      <w:r>
        <w:t xml:space="preserve">is thus unaccented, the accent of the</w:t>
      </w:r>
      <w:r>
        <w:t xml:space="preserve"> </w:t>
      </w:r>
      <w:r>
        <w:t xml:space="preserve">‘</w:t>
      </w:r>
      <w:r>
        <w:t xml:space="preserve">kta</w:t>
      </w:r>
      <w:r>
        <w:t xml:space="preserve">’</w:t>
      </w:r>
      <w:r>
        <w:t xml:space="preserve"> </w:t>
      </w:r>
      <w:r>
        <w:t xml:space="preserve">affix remains. —</w:t>
      </w:r>
      <w:r>
        <w:t xml:space="preserve"> </w:t>
      </w:r>
      <w:r>
        <w:t xml:space="preserve">‘</w:t>
      </w:r>
      <w:r>
        <w:t xml:space="preserve">Viprajūtaḥ</w:t>
      </w:r>
      <w:r>
        <w:t xml:space="preserve">’</w:t>
      </w:r>
      <w:r>
        <w:t xml:space="preserve">: from the root</w:t>
      </w:r>
      <w:r>
        <w:t xml:space="preserve"> </w:t>
      </w:r>
      <w:r>
        <w:t xml:space="preserve">‘</w:t>
      </w:r>
      <w:r>
        <w:t xml:space="preserve">ḍuvap</w:t>
      </w:r>
      <w:r>
        <w:t xml:space="preserve">’</w:t>
      </w:r>
      <w:r>
        <w:t xml:space="preserve"> </w:t>
      </w:r>
      <w:r>
        <w:t xml:space="preserve">(to sow, to spread out threads), by</w:t>
      </w:r>
      <w:r>
        <w:t xml:space="preserve"> </w:t>
      </w:r>
      <w:r>
        <w:t xml:space="preserve">‘</w:t>
      </w:r>
      <w:r>
        <w:t xml:space="preserve">ṛjrendrāgra-vajra-vipra-…</w:t>
      </w:r>
      <w:r>
        <w:t xml:space="preserve">’</w:t>
      </w:r>
      <w:r>
        <w:t xml:space="preserve"> </w:t>
      </w:r>
      <w:r>
        <w:t xml:space="preserve">(Uṇādi-sūtra 2-28) the word</w:t>
      </w:r>
      <w:r>
        <w:t xml:space="preserve"> </w:t>
      </w:r>
      <w:r>
        <w:t xml:space="preserve">‘</w:t>
      </w:r>
      <w:r>
        <w:t xml:space="preserve">vipra</w:t>
      </w:r>
      <w:r>
        <w:t xml:space="preserve">’</w:t>
      </w:r>
      <w:r>
        <w:t xml:space="preserve"> </w:t>
      </w:r>
      <w:r>
        <w:t xml:space="preserve">is formed with the affix</w:t>
      </w:r>
      <w:r>
        <w:t xml:space="preserve"> </w:t>
      </w:r>
      <w:r>
        <w:t xml:space="preserve">‘</w:t>
      </w:r>
      <w:r>
        <w:t xml:space="preserve">ran</w:t>
      </w:r>
      <w:r>
        <w:t xml:space="preserve">’</w:t>
      </w:r>
      <w:r>
        <w:t xml:space="preserve"> </w:t>
      </w:r>
      <w:r>
        <w:t xml:space="preserve">by nipātana (irregular formation); by nipātana the penultimate becomes</w:t>
      </w:r>
      <w:r>
        <w:t xml:space="preserve"> </w:t>
      </w:r>
      <w:r>
        <w:t xml:space="preserve">‘</w:t>
      </w:r>
      <w:r>
        <w:t xml:space="preserve">i</w:t>
      </w:r>
      <w:r>
        <w:t xml:space="preserve">’</w:t>
      </w:r>
      <w:r>
        <w:t xml:space="preserve"> </w:t>
      </w:r>
      <w:r>
        <w:t xml:space="preserve">and the guṇa of a light penultimate does not occur; because it carries the mark</w:t>
      </w:r>
      <w:r>
        <w:t xml:space="preserve"> </w:t>
      </w:r>
      <w:r>
        <w:t xml:space="preserve">‘</w:t>
      </w:r>
      <w:r>
        <w:t xml:space="preserve">n,</w:t>
      </w:r>
      <w:r>
        <w:t xml:space="preserve">’</w:t>
      </w:r>
      <w:r>
        <w:t xml:space="preserve"> </w:t>
      </w:r>
      <w:r>
        <w:t xml:space="preserve">the first syllable is acute.</w:t>
      </w:r>
      <w:r>
        <w:t xml:space="preserve"> </w:t>
      </w:r>
      <w:r>
        <w:t xml:space="preserve">‘</w:t>
      </w:r>
      <w:r>
        <w:t xml:space="preserve">Jūtaḥ</w:t>
      </w:r>
      <w:r>
        <w:t xml:space="preserve">’</w:t>
      </w:r>
      <w:r>
        <w:t xml:space="preserve"> </w:t>
      </w:r>
      <w:r>
        <w:t xml:space="preserve">=</w:t>
      </w:r>
      <w:r>
        <w:t xml:space="preserve"> </w:t>
      </w:r>
      <w:r>
        <w:t xml:space="preserve">‘</w:t>
      </w:r>
      <w:r>
        <w:t xml:space="preserve">tair jūtaḥ</w:t>
      </w:r>
      <w:r>
        <w:t xml:space="preserve">’</w:t>
      </w:r>
      <w:r>
        <w:t xml:space="preserve"> </w:t>
      </w:r>
      <w:r>
        <w:t xml:space="preserve">— gone to / reached by them.</w:t>
      </w:r>
      <w:r>
        <w:t xml:space="preserve"> </w:t>
      </w:r>
      <w:r>
        <w:t xml:space="preserve">‘</w:t>
      </w:r>
      <w:r>
        <w:t xml:space="preserve">Jū</w:t>
      </w:r>
      <w:r>
        <w:t xml:space="preserve">’</w:t>
      </w:r>
      <w:r>
        <w:t xml:space="preserve"> </w:t>
      </w:r>
      <w:r>
        <w:t xml:space="preserve">is a sautra root (one drawn from the sūtras), in the sense of</w:t>
      </w:r>
      <w:r>
        <w:t xml:space="preserve"> </w:t>
      </w:r>
      <w:r>
        <w:t xml:space="preserve">‘</w:t>
      </w:r>
      <w:r>
        <w:t xml:space="preserve">going</w:t>
      </w:r>
      <w:r>
        <w:t xml:space="preserve">’</w:t>
      </w:r>
      <w:r>
        <w:t xml:space="preserve">; by</w:t>
      </w:r>
      <w:r>
        <w:t xml:space="preserve"> </w:t>
      </w:r>
      <w:r>
        <w:t xml:space="preserve">‘</w:t>
      </w:r>
      <w:r>
        <w:t xml:space="preserve">śryukaḥ kiti</w:t>
      </w:r>
      <w:r>
        <w:t xml:space="preserve">’</w:t>
      </w:r>
      <w:r>
        <w:t xml:space="preserve"> </w:t>
      </w:r>
      <w:r>
        <w:t xml:space="preserve">(Pāṇini 7-2-11) the augment</w:t>
      </w:r>
      <w:r>
        <w:t xml:space="preserve"> </w:t>
      </w:r>
      <w:r>
        <w:t xml:space="preserve">‘</w:t>
      </w:r>
      <w:r>
        <w:t xml:space="preserve">iṭ</w:t>
      </w:r>
      <w:r>
        <w:t xml:space="preserve">’</w:t>
      </w:r>
      <w:r>
        <w:t xml:space="preserve"> </w:t>
      </w:r>
      <w:r>
        <w:t xml:space="preserve">is barred. With the rule</w:t>
      </w:r>
      <w:r>
        <w:t xml:space="preserve"> </w:t>
      </w:r>
      <w:r>
        <w:t xml:space="preserve">‘</w:t>
      </w:r>
      <w:r>
        <w:t xml:space="preserve">tṛtīyā karmaṇi</w:t>
      </w:r>
      <w:r>
        <w:t xml:space="preserve">’</w:t>
      </w:r>
      <w:r>
        <w:t xml:space="preserve"> </w:t>
      </w:r>
      <w:r>
        <w:t xml:space="preserve">(Pāṇini 6-2-48), the accent of the first member of the compound is retained. —</w:t>
      </w:r>
      <w:r>
        <w:t xml:space="preserve"> </w:t>
      </w:r>
      <w:r>
        <w:t xml:space="preserve">‘</w:t>
      </w:r>
      <w:r>
        <w:t xml:space="preserve">Sutāvataḥ</w:t>
      </w:r>
      <w:r>
        <w:t xml:space="preserve">’</w:t>
      </w:r>
      <w:r>
        <w:t xml:space="preserve">: the lengthening is Vedic (chāndasa). As the</w:t>
      </w:r>
      <w:r>
        <w:t xml:space="preserve"> </w:t>
      </w:r>
      <w:r>
        <w:t xml:space="preserve">‘</w:t>
      </w:r>
      <w:r>
        <w:t xml:space="preserve">matup</w:t>
      </w:r>
      <w:r>
        <w:t xml:space="preserve">’</w:t>
      </w:r>
      <w:r>
        <w:t xml:space="preserve"> </w:t>
      </w:r>
      <w:r>
        <w:t xml:space="preserve">affix is unaccented, only the accent of the</w:t>
      </w:r>
      <w:r>
        <w:t xml:space="preserve"> </w:t>
      </w:r>
      <w:r>
        <w:t xml:space="preserve">‘</w:t>
      </w:r>
      <w:r>
        <w:t xml:space="preserve">kta</w:t>
      </w:r>
      <w:r>
        <w:t xml:space="preserve">’</w:t>
      </w:r>
      <w:r>
        <w:t xml:space="preserve"> </w:t>
      </w:r>
      <w:r>
        <w:t xml:space="preserve">affix remains. —</w:t>
      </w:r>
      <w:r>
        <w:t xml:space="preserve"> </w:t>
      </w:r>
      <w:r>
        <w:t xml:space="preserve">‘</w:t>
      </w:r>
      <w:r>
        <w:t xml:space="preserve">Brahmāṇi</w:t>
      </w:r>
      <w:r>
        <w:t xml:space="preserve">’</w:t>
      </w:r>
      <w:r>
        <w:t xml:space="preserve">: by</w:t>
      </w:r>
      <w:r>
        <w:t xml:space="preserve"> </w:t>
      </w:r>
      <w:r>
        <w:t xml:space="preserve">‘</w:t>
      </w:r>
      <w:r>
        <w:t xml:space="preserve">nab-viṣayasyānisantasya</w:t>
      </w:r>
      <w:r>
        <w:t xml:space="preserve">’</w:t>
      </w:r>
      <w:r>
        <w:t xml:space="preserve"> </w:t>
      </w:r>
      <w:r>
        <w:t xml:space="preserve">(a Phiṭ-sūtra, the number of which is given on p. 42), acute on the first syllable. —</w:t>
      </w:r>
      <w:r>
        <w:t xml:space="preserve"> </w:t>
      </w:r>
      <w:r>
        <w:t xml:space="preserve">‘</w:t>
      </w:r>
      <w:r>
        <w:t xml:space="preserve">Vāghata</w:t>
      </w:r>
      <w:r>
        <w:t xml:space="preserve">’</w:t>
      </w:r>
      <w:r>
        <w:t xml:space="preserve"> </w:t>
      </w:r>
      <w:r>
        <w:t xml:space="preserve">is a word read among the priest-names; its accent is that of the bare stem (prātipadika-svara).</w:t>
      </w:r>
      <w:r>
        <w:t xml:space="preserve">”</w:t>
      </w:r>
    </w:p>
    <w:p>
      <w:pPr>
        <w:pStyle w:val="BodyText"/>
      </w:pPr>
      <w:r>
        <w:rPr>
          <w:iCs/>
          <w:i/>
        </w:rPr>
        <w:t xml:space="preserve">(Reading notes: (i) the print of the</w:t>
      </w:r>
      <w:r>
        <w:rPr>
          <w:iCs/>
          <w:i/>
        </w:rPr>
        <w:t xml:space="preserve"> </w:t>
      </w:r>
      <w:r>
        <w:rPr>
          <w:iCs/>
          <w:i/>
        </w:rPr>
        <w:t xml:space="preserve">‘</w:t>
      </w:r>
      <w:r>
        <w:rPr>
          <w:iCs/>
          <w:i/>
        </w:rPr>
        <w:t xml:space="preserve">ṛjrendrāgra…</w:t>
      </w:r>
      <w:r>
        <w:rPr>
          <w:iCs/>
          <w:i/>
        </w:rPr>
        <w:t xml:space="preserve">’</w:t>
      </w:r>
      <w:r>
        <w:rPr>
          <w:iCs/>
          <w:i/>
        </w:rPr>
        <w:t xml:space="preserve"> </w:t>
      </w:r>
      <w:r>
        <w:rPr>
          <w:iCs/>
          <w:i/>
        </w:rPr>
        <w:t xml:space="preserve">Uṇādi list is plain and read as given; (ii) the rule</w:t>
      </w:r>
      <w:r>
        <w:rPr>
          <w:iCs/>
          <w:i/>
        </w:rPr>
        <w:t xml:space="preserve"> </w:t>
      </w:r>
      <w:r>
        <w:rPr>
          <w:iCs/>
          <w:i/>
        </w:rPr>
        <w:t xml:space="preserve">“</w:t>
      </w:r>
      <w:r>
        <w:rPr>
          <w:iCs/>
          <w:i/>
        </w:rPr>
        <w:t xml:space="preserve">nab-viṣayasyānisantasya</w:t>
      </w:r>
      <w:r>
        <w:rPr>
          <w:iCs/>
          <w:i/>
        </w:rPr>
        <w:t xml:space="preserve">”</w:t>
      </w:r>
      <w:r>
        <w:rPr>
          <w:iCs/>
          <w:i/>
        </w:rPr>
        <w:t xml:space="preserve"> </w:t>
      </w:r>
      <w:r>
        <w:rPr>
          <w:iCs/>
          <w:i/>
        </w:rPr>
        <w:t xml:space="preserve">is hard to read here, but is printed plainly on p. 42, where it is attributed to the Phiṭ-sūtras, not to Pāṇini; I had first written</w:t>
      </w:r>
      <w:r>
        <w:rPr>
          <w:iCs/>
          <w:i/>
        </w:rPr>
        <w:t xml:space="preserve"> </w:t>
      </w:r>
      <w:r>
        <w:rPr>
          <w:iCs/>
          <w:i/>
        </w:rPr>
        <w:t xml:space="preserve">“</w:t>
      </w:r>
      <w:r>
        <w:rPr>
          <w:iCs/>
          <w:i/>
        </w:rPr>
        <w:t xml:space="preserve">Pā. 6-1-223</w:t>
      </w:r>
      <w:r>
        <w:rPr>
          <w:iCs/>
          <w:i/>
        </w:rPr>
        <w:t xml:space="preserve">”</w:t>
      </w:r>
      <w:r>
        <w:rPr>
          <w:iCs/>
          <w:i/>
        </w:rPr>
        <w:t xml:space="preserve"> </w:t>
      </w:r>
      <w:r>
        <w:rPr>
          <w:iCs/>
          <w:i/>
        </w:rPr>
        <w:t xml:space="preserve">from memory, and that attribution has been withdrawn above; (iii)</w:t>
      </w:r>
      <w:r>
        <w:rPr>
          <w:iCs/>
          <w:i/>
        </w:rPr>
        <w:t xml:space="preserve"> </w:t>
      </w:r>
      <w:r>
        <w:rPr>
          <w:iCs/>
          <w:i/>
        </w:rPr>
        <w:t xml:space="preserve">“</w:t>
      </w:r>
      <w:r>
        <w:rPr>
          <w:iCs/>
          <w:i/>
        </w:rPr>
        <w:t xml:space="preserve">vāghata-śabda</w:t>
      </w:r>
      <w:r>
        <w:rPr>
          <w:iCs/>
          <w:i/>
        </w:rPr>
        <w:t xml:space="preserve">”</w:t>
      </w:r>
      <w:r>
        <w:rPr>
          <w:iCs/>
          <w:i/>
        </w:rPr>
        <w:t xml:space="preserve"> </w:t>
      </w:r>
      <w:r>
        <w:rPr>
          <w:iCs/>
          <w:i/>
        </w:rPr>
        <w:t xml:space="preserve">is printed</w:t>
      </w:r>
      <w:r>
        <w:rPr>
          <w:iCs/>
          <w:i/>
        </w:rPr>
        <w:t xml:space="preserve"> </w:t>
      </w:r>
      <w:r>
        <w:rPr>
          <w:iCs/>
          <w:i/>
        </w:rPr>
        <w:t xml:space="preserve">“</w:t>
      </w:r>
      <w:r>
        <w:rPr>
          <w:iCs/>
          <w:i/>
        </w:rPr>
        <w:t xml:space="preserve">vāghac-chabda</w:t>
      </w:r>
      <w:r>
        <w:rPr>
          <w:iCs/>
          <w:i/>
        </w:rPr>
        <w:t xml:space="preserve">”</w:t>
      </w:r>
      <w:r>
        <w:rPr>
          <w:iCs/>
          <w:i/>
        </w:rPr>
        <w:t xml:space="preserve">; I read the word as</w:t>
      </w:r>
      <w:r>
        <w:rPr>
          <w:iCs/>
          <w:i/>
        </w:rPr>
        <w:t xml:space="preserve"> </w:t>
      </w:r>
      <w:r>
        <w:rPr>
          <w:iCs/>
          <w:i/>
        </w:rPr>
        <w:t xml:space="preserve">“</w:t>
      </w:r>
      <w:r>
        <w:rPr>
          <w:iCs/>
          <w:i/>
        </w:rPr>
        <w:t xml:space="preserve">vāghata.</w:t>
      </w:r>
      <w:r>
        <w:rPr>
          <w:iCs/>
          <w:i/>
        </w:rPr>
        <w:t xml:space="preserve">”</w:t>
      </w:r>
      <w:r>
        <w:rPr>
          <w:iCs/>
          <w:i/>
        </w:rPr>
        <w:t xml:space="preserve">)</w:t>
      </w:r>
    </w:p>
    <w:p>
      <w:pPr>
        <w:pStyle w:val="BodyText"/>
      </w:pPr>
      <w:r>
        <w:rPr>
          <w:bCs/>
          <w:b/>
        </w:rPr>
        <w:t xml:space="preserve">॥ Prati-padārthaḥ ॥</w:t>
      </w:r>
      <w:r>
        <w:t xml:space="preserve"> </w:t>
      </w:r>
      <w:r>
        <w:rPr>
          <w:iCs/>
          <w:i/>
        </w:rPr>
        <w:t xml:space="preserve">(Kannada, translated)</w:t>
      </w:r>
    </w:p>
    <w:p>
      <w:pPr>
        <w:pStyle w:val="BodyText"/>
      </w:pPr>
      <w:r>
        <w:rPr>
          <w:bCs/>
          <w:b/>
        </w:rPr>
        <w:t xml:space="preserve">(हे) इन्द्र (he indra)</w:t>
      </w:r>
      <w:r>
        <w:t xml:space="preserve"> </w:t>
      </w:r>
      <w:r>
        <w:t xml:space="preserve">— O Indra, (you) |</w:t>
      </w:r>
      <w:r>
        <w:t xml:space="preserve"> </w:t>
      </w:r>
      <w:r>
        <w:rPr>
          <w:bCs/>
          <w:b/>
        </w:rPr>
        <w:t xml:space="preserve">धिया (dhiyā)</w:t>
      </w:r>
      <w:r>
        <w:t xml:space="preserve"> </w:t>
      </w:r>
      <w:r>
        <w:t xml:space="preserve">— by our understanding (devotion) |</w:t>
      </w:r>
      <w:r>
        <w:t xml:space="preserve"> </w:t>
      </w:r>
      <w:r>
        <w:rPr>
          <w:bCs/>
          <w:b/>
        </w:rPr>
        <w:t xml:space="preserve">इषितः (iṣitaḥ)</w:t>
      </w:r>
      <w:r>
        <w:t xml:space="preserve"> </w:t>
      </w:r>
      <w:r>
        <w:t xml:space="preserve">— impelled, and |</w:t>
      </w:r>
      <w:r>
        <w:t xml:space="preserve"> </w:t>
      </w:r>
      <w:r>
        <w:rPr>
          <w:bCs/>
          <w:b/>
        </w:rPr>
        <w:t xml:space="preserve">विप्रजूतः (viprajūtaḥ)</w:t>
      </w:r>
      <w:r>
        <w:t xml:space="preserve"> </w:t>
      </w:r>
      <w:r>
        <w:t xml:space="preserve">— impelled also by the wise, intelligent priests |</w:t>
      </w:r>
      <w:r>
        <w:t xml:space="preserve"> </w:t>
      </w:r>
      <w:r>
        <w:rPr>
          <w:bCs/>
          <w:b/>
        </w:rPr>
        <w:t xml:space="preserve">सुतावतः (sutāvataḥ)</w:t>
      </w:r>
      <w:r>
        <w:t xml:space="preserve"> </w:t>
      </w:r>
      <w:r>
        <w:t xml:space="preserve">— of him who has made ready and set by the Soma-juice |</w:t>
      </w:r>
      <w:r>
        <w:t xml:space="preserve"> </w:t>
      </w:r>
      <w:r>
        <w:rPr>
          <w:bCs/>
          <w:b/>
        </w:rPr>
        <w:t xml:space="preserve">वाघतः (vāghataḥ)</w:t>
      </w:r>
      <w:r>
        <w:t xml:space="preserve"> </w:t>
      </w:r>
      <w:r>
        <w:t xml:space="preserve">— of the priest |</w:t>
      </w:r>
      <w:r>
        <w:t xml:space="preserve"> </w:t>
      </w:r>
      <w:r>
        <w:rPr>
          <w:bCs/>
          <w:b/>
        </w:rPr>
        <w:t xml:space="preserve">ब्रह्माणि (brahmāṇi)</w:t>
      </w:r>
      <w:r>
        <w:t xml:space="preserve"> </w:t>
      </w:r>
      <w:r>
        <w:t xml:space="preserve">— the praise-hymns that have the form of the Veda |</w:t>
      </w:r>
      <w:r>
        <w:t xml:space="preserve"> </w:t>
      </w:r>
      <w:r>
        <w:rPr>
          <w:bCs/>
          <w:b/>
        </w:rPr>
        <w:t xml:space="preserve">उप (upa)</w:t>
      </w:r>
      <w:r>
        <w:t xml:space="preserve"> </w:t>
      </w:r>
      <w:r>
        <w:t xml:space="preserve">— in order to approach |</w:t>
      </w:r>
      <w:r>
        <w:t xml:space="preserve"> </w:t>
      </w:r>
      <w:r>
        <w:rPr>
          <w:bCs/>
          <w:b/>
        </w:rPr>
        <w:t xml:space="preserve">आ याहि (ā yāhi)</w:t>
      </w:r>
      <w:r>
        <w:t xml:space="preserve"> </w:t>
      </w:r>
      <w:r>
        <w:t xml:space="preserve">— come (to this rite-of-sacrifice that we are performing).</w:t>
      </w:r>
    </w:p>
    <w:p>
      <w:pPr>
        <w:pStyle w:val="BodyText"/>
      </w:pPr>
      <w:r>
        <w:rPr>
          <w:bCs/>
          <w:b/>
        </w:rPr>
        <w:t xml:space="preserve">॥ Bhāvārthaḥ ॥</w:t>
      </w:r>
      <w:r>
        <w:t xml:space="preserve"> </w:t>
      </w:r>
      <w:r>
        <w:rPr>
          <w:iCs/>
          <w:i/>
        </w:rPr>
        <w:t xml:space="preserve">(Kannada, translated)</w:t>
      </w:r>
    </w:p>
    <w:p>
      <w:pPr>
        <w:pStyle w:val="BodyText"/>
      </w:pPr>
      <w:r>
        <w:t xml:space="preserve">O Indra! We, and the priests too, praise you with devotion. And the priest has prepared the Soma-juice. Impelled by our devotion, to drink it, and also to accept the Veda-form praise-hymns that we chant, may you come to this sacrificial rite that we are performing.</w:t>
      </w:r>
    </w:p>
    <w:p>
      <w:pPr>
        <w:pStyle w:val="BodyText"/>
      </w:pPr>
      <w:r>
        <w:rPr>
          <w:bCs/>
          <w:b/>
        </w:rPr>
        <w:t xml:space="preserve">English Translation</w:t>
      </w:r>
      <w:r>
        <w:t xml:space="preserve"> </w:t>
      </w:r>
      <w:r>
        <w:rPr>
          <w:iCs/>
          <w:i/>
        </w:rPr>
        <w:t xml:space="preserve">(printed in English in the source itself):</w:t>
      </w:r>
    </w:p>
    <w:p>
      <w:pPr>
        <w:pStyle w:val="BodyText"/>
      </w:pPr>
      <w:r>
        <w:t xml:space="preserve">“</w:t>
      </w:r>
      <w:r>
        <w:t xml:space="preserve">O Indra, you are moved by our devoted prayers and that of learned men. Come hither to receive our prayers and the soma juice pressed and prepared for your sake.</w:t>
      </w:r>
      <w:r>
        <w:t xml:space="preserve">”</w:t>
      </w:r>
    </w:p>
    <w:bookmarkEnd w:id="63"/>
    <w:bookmarkStart w:id="64" w:name="X764d06652bf2af9ee989624bbb39a6471f52878"/>
    <w:p>
      <w:pPr>
        <w:pStyle w:val="Heading3"/>
      </w:pPr>
      <w:r>
        <w:t xml:space="preserve">Page 40 — Special topics on Rik 3.5:</w:t>
      </w:r>
      <w:r>
        <w:t xml:space="preserve"> </w:t>
      </w:r>
      <w:r>
        <w:t xml:space="preserve">“</w:t>
      </w:r>
      <w:r>
        <w:t xml:space="preserve">dhiyā,</w:t>
      </w:r>
      <w:r>
        <w:t xml:space="preserve">”</w:t>
      </w:r>
      <w:r>
        <w:t xml:space="preserve"> </w:t>
      </w:r>
      <w:r>
        <w:t xml:space="preserve">“</w:t>
      </w:r>
      <w:r>
        <w:t xml:space="preserve">iṣitaḥ,</w:t>
      </w:r>
      <w:r>
        <w:t xml:space="preserve">”</w:t>
      </w:r>
      <w:r>
        <w:t xml:space="preserve"> </w:t>
      </w:r>
      <w:r>
        <w:t xml:space="preserve">“</w:t>
      </w:r>
      <w:r>
        <w:t xml:space="preserve">viprajūtaḥ</w:t>
      </w:r>
      <w:r>
        <w:t xml:space="preserve">”</w:t>
      </w:r>
    </w:p>
    <w:p>
      <w:pPr>
        <w:pStyle w:val="FirstParagraph"/>
      </w:pPr>
      <w:r>
        <w:rPr>
          <w:iCs/>
          <w:i/>
        </w:rPr>
        <w:t xml:space="preserve">(Page header:</w:t>
      </w:r>
      <w:r>
        <w:rPr>
          <w:iCs/>
          <w:i/>
        </w:rPr>
        <w:t xml:space="preserve"> </w:t>
      </w:r>
      <w:r>
        <w:rPr>
          <w:iCs/>
          <w:i/>
        </w:rPr>
        <w:t xml:space="preserve">“</w:t>
      </w:r>
      <w:r>
        <w:rPr>
          <w:iCs/>
          <w:i/>
        </w:rPr>
        <w:t xml:space="preserve">Sāyaṇa-bhāṣya-sahitā · Mandala 1, Anuvāka 1, Sūkta 3.</w:t>
      </w:r>
      <w:r>
        <w:rPr>
          <w:iCs/>
          <w:i/>
        </w:rPr>
        <w:t xml:space="preserve">”</w:t>
      </w:r>
      <w:r>
        <w:rPr>
          <w:iCs/>
          <w:i/>
        </w:rPr>
        <w:t xml:space="preserve"> </w:t>
      </w:r>
      <w:r>
        <w:rPr>
          <w:iCs/>
          <w:i/>
        </w:rPr>
        <w:t xml:space="preserve">The English glosses on the verses are mine; the source gives none. [?] marks an uncertain letter or number.)</w:t>
      </w:r>
    </w:p>
    <w:p>
      <w:pPr>
        <w:pStyle w:val="BodyText"/>
      </w:pPr>
      <w:r>
        <w:rPr>
          <w:bCs/>
          <w:b/>
        </w:rPr>
        <w:t xml:space="preserve">॥ Viśeṣa-viṣayagaḷu (Special Topics) ॥</w:t>
      </w:r>
    </w:p>
    <w:p>
      <w:pPr>
        <w:pStyle w:val="BodyText"/>
      </w:pPr>
      <w:r>
        <w:rPr>
          <w:bCs/>
          <w:b/>
        </w:rPr>
        <w:t xml:space="preserve">धिया (dhiyā)</w:t>
      </w:r>
      <w:r>
        <w:t xml:space="preserve"> </w:t>
      </w:r>
      <w:r>
        <w:t xml:space="preserve">— This is the instrumental singular of the word</w:t>
      </w:r>
      <w:r>
        <w:t xml:space="preserve"> </w:t>
      </w:r>
      <w:r>
        <w:t xml:space="preserve">“</w:t>
      </w:r>
      <w:r>
        <w:t xml:space="preserve">dhī.</w:t>
      </w:r>
      <w:r>
        <w:t xml:space="preserve">”</w:t>
      </w:r>
      <w:r>
        <w:t xml:space="preserve"> </w:t>
      </w:r>
      <w:r>
        <w:t xml:space="preserve">The word is read among the eleven names that denote</w:t>
      </w:r>
      <w:r>
        <w:t xml:space="preserve"> </w:t>
      </w:r>
      <w:r>
        <w:t xml:space="preserve">“</w:t>
      </w:r>
      <w:r>
        <w:t xml:space="preserve">prajñā</w:t>
      </w:r>
      <w:r>
        <w:t xml:space="preserve">”</w:t>
      </w:r>
      <w:r>
        <w:t xml:space="preserve"> </w:t>
      </w:r>
      <w:r>
        <w:t xml:space="preserve">(understanding), beginning with</w:t>
      </w:r>
      <w:r>
        <w:t xml:space="preserve"> </w:t>
      </w:r>
      <w:r>
        <w:t xml:space="preserve">“</w:t>
      </w:r>
      <w:r>
        <w:t xml:space="preserve">keta</w:t>
      </w:r>
      <w:r>
        <w:t xml:space="preserve">”</w:t>
      </w:r>
      <w:r>
        <w:t xml:space="preserve"> </w:t>
      </w:r>
      <w:r>
        <w:t xml:space="preserve">(in the Nighaṇṭu). Its sense here is</w:t>
      </w:r>
      <w:r>
        <w:t xml:space="preserve"> </w:t>
      </w:r>
      <w:r>
        <w:t xml:space="preserve">“</w:t>
      </w:r>
      <w:r>
        <w:t xml:space="preserve">by understanding, by discrimination, by a devotion that is attended by the mind (manaḥ-pūrvaka).</w:t>
      </w:r>
      <w:r>
        <w:t xml:space="preserve">”</w:t>
      </w:r>
      <w:r>
        <w:t xml:space="preserve"> </w:t>
      </w:r>
      <w:r>
        <w:t xml:space="preserve">Scholars ancient and modern (Indian and Western) have given this word a variety of senses according to the context; those senses will be discussed in the respective places.</w:t>
      </w:r>
    </w:p>
    <w:p>
      <w:pPr>
        <w:pStyle w:val="BodyText"/>
      </w:pPr>
      <w:r>
        <w:rPr>
          <w:bCs/>
          <w:b/>
        </w:rPr>
        <w:t xml:space="preserve">इषितः (iṣitaḥ)</w:t>
      </w:r>
      <w:r>
        <w:t xml:space="preserve"> </w:t>
      </w:r>
      <w:r>
        <w:t xml:space="preserve">— This word is derived from the root</w:t>
      </w:r>
      <w:r>
        <w:t xml:space="preserve"> </w:t>
      </w:r>
      <w:r>
        <w:t xml:space="preserve">“</w:t>
      </w:r>
      <w:r>
        <w:t xml:space="preserve">iṣ</w:t>
      </w:r>
      <w:r>
        <w:t xml:space="preserve">”</w:t>
      </w:r>
      <w:r>
        <w:t xml:space="preserve"> </w:t>
      </w:r>
      <w:r>
        <w:t xml:space="preserve">(to go). Its sense here is</w:t>
      </w:r>
      <w:r>
        <w:t xml:space="preserve"> </w:t>
      </w:r>
      <w:r>
        <w:t xml:space="preserve">“</w:t>
      </w:r>
      <w:r>
        <w:t xml:space="preserve">called, impelled, entreated.</w:t>
      </w:r>
      <w:r>
        <w:t xml:space="preserve">”</w:t>
      </w:r>
    </w:p>
    <w:p>
      <w:pPr>
        <w:pStyle w:val="BodyText"/>
      </w:pPr>
      <w:r>
        <w:rPr>
          <w:bCs/>
          <w:b/>
        </w:rPr>
        <w:t xml:space="preserve">विप्रजूतः (viprajūtaḥ)</w:t>
      </w:r>
      <w:r>
        <w:t xml:space="preserve"> </w:t>
      </w:r>
      <w:r>
        <w:t xml:space="preserve">— A compound made of the two words</w:t>
      </w:r>
      <w:r>
        <w:t xml:space="preserve"> </w:t>
      </w:r>
      <w:r>
        <w:t xml:space="preserve">“</w:t>
      </w:r>
      <w:r>
        <w:t xml:space="preserve">vipra</w:t>
      </w:r>
      <w:r>
        <w:t xml:space="preserve">”</w:t>
      </w:r>
      <w:r>
        <w:t xml:space="preserve"> </w:t>
      </w:r>
      <w:r>
        <w:t xml:space="preserve">and</w:t>
      </w:r>
      <w:r>
        <w:t xml:space="preserve"> </w:t>
      </w:r>
      <w:r>
        <w:t xml:space="preserve">“</w:t>
      </w:r>
      <w:r>
        <w:t xml:space="preserve">jūta.</w:t>
      </w:r>
      <w:r>
        <w:t xml:space="preserve">”</w:t>
      </w:r>
      <w:r>
        <w:t xml:space="preserve"> </w:t>
      </w:r>
      <w:r>
        <w:t xml:space="preserve">The word</w:t>
      </w:r>
      <w:r>
        <w:t xml:space="preserve"> </w:t>
      </w:r>
      <w:r>
        <w:t xml:space="preserve">“</w:t>
      </w:r>
      <w:r>
        <w:t xml:space="preserve">vipra</w:t>
      </w:r>
      <w:r>
        <w:t xml:space="preserve">”</w:t>
      </w:r>
      <w:r>
        <w:t xml:space="preserve"> </w:t>
      </w:r>
      <w:r>
        <w:t xml:space="preserve">is read among the twenty-four words that denote</w:t>
      </w:r>
      <w:r>
        <w:t xml:space="preserve"> </w:t>
      </w:r>
      <w:r>
        <w:t xml:space="preserve">“</w:t>
      </w:r>
      <w:r>
        <w:t xml:space="preserve">the intelligent.</w:t>
      </w:r>
      <w:r>
        <w:t xml:space="preserve">”</w:t>
      </w:r>
      <w:r>
        <w:t xml:space="preserve"> </w:t>
      </w:r>
      <w:r>
        <w:t xml:space="preserve">Hence for this word the sense is</w:t>
      </w:r>
      <w:r>
        <w:t xml:space="preserve"> </w:t>
      </w:r>
      <w:r>
        <w:t xml:space="preserve">“</w:t>
      </w:r>
      <w:r>
        <w:t xml:space="preserve">the wise, those possessed of understanding, those who have the power of discrimination.</w:t>
      </w:r>
      <w:r>
        <w:t xml:space="preserve">”</w:t>
      </w:r>
      <w:r>
        <w:t xml:space="preserve"> </w:t>
      </w:r>
      <w:r>
        <w:t xml:space="preserve">“</w:t>
      </w:r>
      <w:r>
        <w:t xml:space="preserve">Jūtaḥ</w:t>
      </w:r>
      <w:r>
        <w:t xml:space="preserve">”</w:t>
      </w:r>
      <w:r>
        <w:t xml:space="preserve"> </w:t>
      </w:r>
      <w:r>
        <w:t xml:space="preserve">means</w:t>
      </w:r>
      <w:r>
        <w:t xml:space="preserve"> </w:t>
      </w:r>
      <w:r>
        <w:t xml:space="preserve">“</w:t>
      </w:r>
      <w:r>
        <w:t xml:space="preserve">prāptaḥ, abhiṣṭutaḥ, preritaḥ</w:t>
      </w:r>
      <w:r>
        <w:t xml:space="preserve">”</w:t>
      </w:r>
      <w:r>
        <w:t xml:space="preserve"> </w:t>
      </w:r>
      <w:r>
        <w:t xml:space="preserve">— that is, attained; praised; impelled (corrected from the second scan, which prints</w:t>
      </w:r>
      <w:r>
        <w:t xml:space="preserve"> </w:t>
      </w:r>
      <w:r>
        <w:t xml:space="preserve">“</w:t>
      </w:r>
      <w:r>
        <w:t xml:space="preserve">abhiṣṭutaḥ</w:t>
      </w:r>
      <w:r>
        <w:t xml:space="preserve">”</w:t>
      </w:r>
      <w:r>
        <w:t xml:space="preserve">, agreeing with the Kannada gloss</w:t>
      </w:r>
      <w:r>
        <w:t xml:space="preserve"> </w:t>
      </w:r>
      <w:r>
        <w:t xml:space="preserve">“</w:t>
      </w:r>
      <w:r>
        <w:t xml:space="preserve">praised</w:t>
      </w:r>
      <w:r>
        <w:t xml:space="preserve">”</w:t>
      </w:r>
      <w:r>
        <w:t xml:space="preserve">). Although in later (modern) Sanskrit the sense</w:t>
      </w:r>
      <w:r>
        <w:t xml:space="preserve"> </w:t>
      </w:r>
      <w:r>
        <w:t xml:space="preserve">“</w:t>
      </w:r>
      <w:r>
        <w:t xml:space="preserve">Brāhmaṇa</w:t>
      </w:r>
      <w:r>
        <w:t xml:space="preserve">”</w:t>
      </w:r>
      <w:r>
        <w:t xml:space="preserve"> </w:t>
      </w:r>
      <w:r>
        <w:t xml:space="preserve">is established for</w:t>
      </w:r>
      <w:r>
        <w:t xml:space="preserve"> </w:t>
      </w:r>
      <w:r>
        <w:t xml:space="preserve">“</w:t>
      </w:r>
      <w:r>
        <w:t xml:space="preserve">vipra,</w:t>
      </w:r>
      <w:r>
        <w:t xml:space="preserve">”</w:t>
      </w:r>
      <w:r>
        <w:t xml:space="preserve"> </w:t>
      </w:r>
      <w:r>
        <w:t xml:space="preserve">in Vedic literature — and in the Rigveda in particular — the word is not used in this sense. The word</w:t>
      </w:r>
      <w:r>
        <w:t xml:space="preserve"> </w:t>
      </w:r>
      <w:r>
        <w:t xml:space="preserve">“</w:t>
      </w:r>
      <w:r>
        <w:t xml:space="preserve">vipra</w:t>
      </w:r>
      <w:r>
        <w:t xml:space="preserve">”</w:t>
      </w:r>
      <w:r>
        <w:t xml:space="preserve"> </w:t>
      </w:r>
      <w:r>
        <w:t xml:space="preserve">is used in many Ṛks of the Rigveda, but</w:t>
      </w:r>
      <w:r>
        <w:t xml:space="preserve"> </w:t>
      </w:r>
      <w:r>
        <w:t xml:space="preserve">“</w:t>
      </w:r>
      <w:r>
        <w:t xml:space="preserve">viprajūtaḥ</w:t>
      </w:r>
      <w:r>
        <w:t xml:space="preserve">”</w:t>
      </w:r>
      <w:r>
        <w:t xml:space="preserve"> </w:t>
      </w:r>
      <w:r>
        <w:t xml:space="preserve">occurs in this Ṛk alone, nowhere else. For the word</w:t>
      </w:r>
      <w:r>
        <w:t xml:space="preserve"> </w:t>
      </w:r>
      <w:r>
        <w:t xml:space="preserve">“</w:t>
      </w:r>
      <w:r>
        <w:t xml:space="preserve">jūtaḥ</w:t>
      </w:r>
      <w:r>
        <w:t xml:space="preserve">”</w:t>
      </w:r>
      <w:r>
        <w:t xml:space="preserve"> </w:t>
      </w:r>
      <w:r>
        <w:t xml:space="preserve">the Bhāṣyakāra in many places gives the sense</w:t>
      </w:r>
      <w:r>
        <w:t xml:space="preserve"> </w:t>
      </w:r>
      <w:r>
        <w:t xml:space="preserve">“</w:t>
      </w:r>
      <w:r>
        <w:t xml:space="preserve">prāpta</w:t>
      </w:r>
      <w:r>
        <w:t xml:space="preserve">”</w:t>
      </w:r>
      <w:r>
        <w:t xml:space="preserve"> </w:t>
      </w:r>
      <w:r>
        <w:t xml:space="preserve">(attained) and</w:t>
      </w:r>
      <w:r>
        <w:t xml:space="preserve"> </w:t>
      </w:r>
      <w:r>
        <w:t xml:space="preserve">“</w:t>
      </w:r>
      <w:r>
        <w:t xml:space="preserve">preraṇa</w:t>
      </w:r>
      <w:r>
        <w:t xml:space="preserve">”</w:t>
      </w:r>
      <w:r>
        <w:t xml:space="preserve"> </w:t>
      </w:r>
      <w:r>
        <w:t xml:space="preserve">(impelling). For example:</w:t>
      </w:r>
    </w:p>
    <w:p>
      <w:pPr>
        <w:pStyle w:val="BlockText"/>
      </w:pPr>
      <w:r>
        <w:t xml:space="preserve">शोचिष्केशं वृषणं यमिमा विशः प्रावन्तु जूतये विशः ॥ (ऋ. सं. १-१२७-२)</w:t>
      </w:r>
      <w:r>
        <w:t xml:space="preserve"> </w:t>
      </w:r>
      <w:r>
        <w:rPr>
          <w:iCs/>
          <w:i/>
        </w:rPr>
        <w:t xml:space="preserve">śociṣkeśaṃ vṛṣaṇaṃ yam imā viśaḥ prāvantu jūtaye viśaḥ || (ṛ. saṃ. 1-127-2)</w:t>
      </w:r>
      <w:r>
        <w:t xml:space="preserve"> </w:t>
      </w:r>
      <w:r>
        <w:t xml:space="preserve">Gloss:</w:t>
      </w:r>
      <w:r>
        <w:t xml:space="preserve"> </w:t>
      </w:r>
      <w:r>
        <w:t xml:space="preserve">“</w:t>
      </w:r>
      <w:r>
        <w:t xml:space="preserve">The flame-haired bull, whom these clans, these clans, would favour for [his] speed/impulse.</w:t>
      </w:r>
      <w:r>
        <w:t xml:space="preserve">”</w:t>
      </w:r>
    </w:p>
    <w:p>
      <w:pPr>
        <w:pStyle w:val="FirstParagraph"/>
      </w:pPr>
      <w:r>
        <w:rPr>
          <w:iCs/>
          <w:i/>
        </w:rPr>
        <w:t xml:space="preserve">In this Ṛk,</w:t>
      </w:r>
      <w:r>
        <w:rPr>
          <w:iCs/>
          <w:i/>
        </w:rPr>
        <w:t xml:space="preserve"> </w:t>
      </w:r>
      <w:r>
        <w:rPr>
          <w:iCs/>
          <w:i/>
        </w:rPr>
        <w:t xml:space="preserve">“</w:t>
      </w:r>
      <w:r>
        <w:rPr>
          <w:iCs/>
          <w:i/>
        </w:rPr>
        <w:t xml:space="preserve">jūtaye</w:t>
      </w:r>
      <w:r>
        <w:rPr>
          <w:iCs/>
          <w:i/>
        </w:rPr>
        <w:t xml:space="preserve">”</w:t>
      </w:r>
      <w:r>
        <w:rPr>
          <w:iCs/>
          <w:i/>
        </w:rPr>
        <w:t xml:space="preserve"> </w:t>
      </w:r>
      <w:r>
        <w:rPr>
          <w:iCs/>
          <w:i/>
        </w:rPr>
        <w:t xml:space="preserve">is also taken to mean</w:t>
      </w:r>
      <w:r>
        <w:rPr>
          <w:iCs/>
          <w:i/>
        </w:rPr>
        <w:t xml:space="preserve"> </w:t>
      </w:r>
      <w:r>
        <w:rPr>
          <w:iCs/>
          <w:i/>
        </w:rPr>
        <w:t xml:space="preserve">“</w:t>
      </w:r>
      <w:r>
        <w:rPr>
          <w:iCs/>
          <w:i/>
        </w:rPr>
        <w:t xml:space="preserve">prāptaye</w:t>
      </w:r>
      <w:r>
        <w:rPr>
          <w:iCs/>
          <w:i/>
        </w:rPr>
        <w:t xml:space="preserve">”</w:t>
      </w:r>
      <w:r>
        <w:rPr>
          <w:iCs/>
          <w:i/>
        </w:rPr>
        <w:t xml:space="preserve"> </w:t>
      </w:r>
      <w:r>
        <w:rPr>
          <w:iCs/>
          <w:i/>
        </w:rPr>
        <w:t xml:space="preserve">(</w:t>
      </w:r>
      <w:r>
        <w:rPr>
          <w:iCs/>
          <w:i/>
        </w:rPr>
        <w:t xml:space="preserve">“</w:t>
      </w:r>
      <w:r>
        <w:rPr>
          <w:iCs/>
          <w:i/>
        </w:rPr>
        <w:t xml:space="preserve">for the attaining</w:t>
      </w:r>
      <w:r>
        <w:rPr>
          <w:iCs/>
          <w:i/>
        </w:rPr>
        <w:t xml:space="preserve">”</w:t>
      </w:r>
      <w:r>
        <w:rPr>
          <w:iCs/>
          <w:i/>
        </w:rPr>
        <w:t xml:space="preserve">).</w:t>
      </w:r>
    </w:p>
    <w:p>
      <w:pPr>
        <w:pStyle w:val="BlockText"/>
      </w:pPr>
      <w:r>
        <w:t xml:space="preserve">वीळुपत्मभिराशुहेमभिर्वा देवानां वा जूतिभिः शाशदानाः ॥ (ऋ. सं. १-११६-२)</w:t>
      </w:r>
      <w:r>
        <w:t xml:space="preserve"> </w:t>
      </w:r>
      <w:r>
        <w:rPr>
          <w:iCs/>
          <w:i/>
        </w:rPr>
        <w:t xml:space="preserve">vīḷupatmabhir āśuhemabhir vā devānāṃ vā jūtibhiḥ śāśadānāḥ || (ṛ. saṃ. 1-116-2)</w:t>
      </w:r>
      <w:r>
        <w:t xml:space="preserve"> </w:t>
      </w:r>
      <w:r>
        <w:t xml:space="preserve">Gloss:</w:t>
      </w:r>
      <w:r>
        <w:t xml:space="preserve"> </w:t>
      </w:r>
      <w:r>
        <w:t xml:space="preserve">“</w:t>
      </w:r>
      <w:r>
        <w:t xml:space="preserve">With (steeds) of firm wings, swift-impelling, or with the impulses of the gods, [you two] being foremost…</w:t>
      </w:r>
      <w:r>
        <w:t xml:space="preserve">”</w:t>
      </w:r>
      <w:r>
        <w:t xml:space="preserve"> </w:t>
      </w:r>
      <w:r>
        <w:t xml:space="preserve">[tentative]</w:t>
      </w:r>
    </w:p>
    <w:p>
      <w:pPr>
        <w:pStyle w:val="FirstParagraph"/>
      </w:pPr>
      <w:r>
        <w:rPr>
          <w:iCs/>
          <w:i/>
        </w:rPr>
        <w:t xml:space="preserve">In this Ṛk,</w:t>
      </w:r>
      <w:r>
        <w:rPr>
          <w:iCs/>
          <w:i/>
        </w:rPr>
        <w:t xml:space="preserve"> </w:t>
      </w:r>
      <w:r>
        <w:rPr>
          <w:iCs/>
          <w:i/>
        </w:rPr>
        <w:t xml:space="preserve">“</w:t>
      </w:r>
      <w:r>
        <w:rPr>
          <w:iCs/>
          <w:i/>
        </w:rPr>
        <w:t xml:space="preserve">jūtibhiḥ</w:t>
      </w:r>
      <w:r>
        <w:rPr>
          <w:iCs/>
          <w:i/>
        </w:rPr>
        <w:t xml:space="preserve">”</w:t>
      </w:r>
      <w:r>
        <w:rPr>
          <w:iCs/>
          <w:i/>
        </w:rPr>
        <w:t xml:space="preserve"> </w:t>
      </w:r>
      <w:r>
        <w:rPr>
          <w:iCs/>
          <w:i/>
        </w:rPr>
        <w:t xml:space="preserve">is taken to mean also</w:t>
      </w:r>
      <w:r>
        <w:rPr>
          <w:iCs/>
          <w:i/>
        </w:rPr>
        <w:t xml:space="preserve"> </w:t>
      </w:r>
      <w:r>
        <w:rPr>
          <w:iCs/>
          <w:i/>
        </w:rPr>
        <w:t xml:space="preserve">“</w:t>
      </w:r>
      <w:r>
        <w:rPr>
          <w:iCs/>
          <w:i/>
        </w:rPr>
        <w:t xml:space="preserve">preraṇaiḥ</w:t>
      </w:r>
      <w:r>
        <w:rPr>
          <w:iCs/>
          <w:i/>
        </w:rPr>
        <w:t xml:space="preserve">”</w:t>
      </w:r>
      <w:r>
        <w:rPr>
          <w:iCs/>
          <w:i/>
        </w:rPr>
        <w:t xml:space="preserve"> </w:t>
      </w:r>
      <w:r>
        <w:rPr>
          <w:iCs/>
          <w:i/>
        </w:rPr>
        <w:t xml:space="preserve">(</w:t>
      </w:r>
      <w:r>
        <w:rPr>
          <w:iCs/>
          <w:i/>
        </w:rPr>
        <w:t xml:space="preserve">“</w:t>
      </w:r>
      <w:r>
        <w:rPr>
          <w:iCs/>
          <w:i/>
        </w:rPr>
        <w:t xml:space="preserve">by impellings</w:t>
      </w:r>
      <w:r>
        <w:rPr>
          <w:iCs/>
          <w:i/>
        </w:rPr>
        <w:t xml:space="preserve">”</w:t>
      </w:r>
      <w:r>
        <w:rPr>
          <w:iCs/>
          <w:i/>
        </w:rPr>
        <w:t xml:space="preserve">). Some examples that indicate this sense when</w:t>
      </w:r>
      <w:r>
        <w:rPr>
          <w:iCs/>
          <w:i/>
        </w:rPr>
        <w:t xml:space="preserve"> </w:t>
      </w:r>
      <w:r>
        <w:rPr>
          <w:iCs/>
          <w:i/>
        </w:rPr>
        <w:t xml:space="preserve">“</w:t>
      </w:r>
      <w:r>
        <w:rPr>
          <w:iCs/>
          <w:i/>
        </w:rPr>
        <w:t xml:space="preserve">jūta</w:t>
      </w:r>
      <w:r>
        <w:rPr>
          <w:iCs/>
          <w:i/>
        </w:rPr>
        <w:t xml:space="preserve">”</w:t>
      </w:r>
      <w:r>
        <w:rPr>
          <w:iCs/>
          <w:i/>
        </w:rPr>
        <w:t xml:space="preserve"> </w:t>
      </w:r>
      <w:r>
        <w:rPr>
          <w:iCs/>
          <w:i/>
        </w:rPr>
        <w:t xml:space="preserve">stands as the latter member of a compound are given below:</w:t>
      </w:r>
    </w:p>
    <w:p>
      <w:pPr>
        <w:pStyle w:val="BlockText"/>
      </w:pPr>
      <w:r>
        <w:rPr>
          <w:bCs/>
          <w:b/>
        </w:rPr>
        <w:t xml:space="preserve">अद्रिजूतः</w:t>
      </w:r>
      <w:r>
        <w:t xml:space="preserve"> </w:t>
      </w:r>
      <w:r>
        <w:t xml:space="preserve">— रथो ह वामृतेजा [print:</w:t>
      </w:r>
      <w:r>
        <w:t xml:space="preserve"> </w:t>
      </w:r>
      <w:r>
        <w:t xml:space="preserve">“</w:t>
      </w:r>
      <w:r>
        <w:t xml:space="preserve">vāmṛtejā</w:t>
      </w:r>
      <w:r>
        <w:t xml:space="preserve">”</w:t>
      </w:r>
      <w:r>
        <w:t xml:space="preserve">] अद्रिजूतः परि द्यावापृथिवी याति सद्यः । (ऋ. सं. ३-५८-८)</w:t>
      </w:r>
      <w:r>
        <w:t xml:space="preserve"> </w:t>
      </w:r>
      <w:r>
        <w:rPr>
          <w:iCs/>
          <w:i/>
        </w:rPr>
        <w:t xml:space="preserve">adrijūtaḥ — ratho ha vāmṛtejā [sic] adrijūtaḥ pari dyāvāpṛthivī yāti sadyaḥ | (ṛ. saṃ. 3-58-8)</w:t>
      </w:r>
      <w:r>
        <w:t xml:space="preserve"> </w:t>
      </w:r>
      <w:r>
        <w:t xml:space="preserve">Gloss:</w:t>
      </w:r>
      <w:r>
        <w:t xml:space="preserve"> </w:t>
      </w:r>
      <w:r>
        <w:t xml:space="preserve">“</w:t>
      </w:r>
      <w:r>
        <w:t xml:space="preserve">Your chariot, speeded by the (pressing-)stones [adri-jūtaḥ], circles heaven and earth at once.</w:t>
      </w:r>
      <w:r>
        <w:t xml:space="preserve">”</w:t>
      </w:r>
    </w:p>
    <w:p>
      <w:pPr>
        <w:pStyle w:val="BlockText"/>
      </w:pPr>
      <w:r>
        <w:rPr>
          <w:bCs/>
          <w:b/>
        </w:rPr>
        <w:t xml:space="preserve">आदित्यजूतः</w:t>
      </w:r>
      <w:r>
        <w:t xml:space="preserve"> </w:t>
      </w:r>
      <w:r>
        <w:t xml:space="preserve">— दधानो गोमदश्ववत्सुवीर्यमादित्यजूत एधते । (ऋ. सं. ८-४६-५)</w:t>
      </w:r>
      <w:r>
        <w:t xml:space="preserve"> </w:t>
      </w:r>
      <w:r>
        <w:rPr>
          <w:iCs/>
          <w:i/>
        </w:rPr>
        <w:t xml:space="preserve">ādityajūtaḥ — dadhāno gomad aśvavat suvīryam ādityajūta edhate | (ṛ. saṃ. 8-46-5)</w:t>
      </w:r>
      <w:r>
        <w:t xml:space="preserve"> </w:t>
      </w:r>
      <w:r>
        <w:t xml:space="preserve">Gloss:</w:t>
      </w:r>
      <w:r>
        <w:t xml:space="preserve"> </w:t>
      </w:r>
      <w:r>
        <w:t xml:space="preserve">“</w:t>
      </w:r>
      <w:r>
        <w:t xml:space="preserve">Bearing wealth in cattle and horses and brave progeny, he who is impelled by the Ādityas prospers.</w:t>
      </w:r>
      <w:r>
        <w:t xml:space="preserve">”</w:t>
      </w:r>
    </w:p>
    <w:p>
      <w:pPr>
        <w:pStyle w:val="BlockText"/>
      </w:pPr>
      <w:r>
        <w:rPr>
          <w:bCs/>
          <w:b/>
        </w:rPr>
        <w:t xml:space="preserve">इन्द्रजूतः</w:t>
      </w:r>
      <w:r>
        <w:t xml:space="preserve"> </w:t>
      </w:r>
      <w:r>
        <w:t xml:space="preserve">— यदङ्ग त्वा भरताः सन्तरेयुर्गव्यन् ग्राम इषित इन्द्रजूतः । (ऋ. सं. ३-३३-११)</w:t>
      </w:r>
      <w:r>
        <w:t xml:space="preserve"> </w:t>
      </w:r>
      <w:r>
        <w:rPr>
          <w:iCs/>
          <w:i/>
        </w:rPr>
        <w:t xml:space="preserve">indrajūtaḥ — yad aṅga tvā bharatāḥ santareyur gavyan grāma iṣita indrajūtaḥ | (ṛ. saṃ. 3-33-11)</w:t>
      </w:r>
      <w:r>
        <w:t xml:space="preserve"> </w:t>
      </w:r>
      <w:r>
        <w:t xml:space="preserve">Gloss:</w:t>
      </w:r>
      <w:r>
        <w:t xml:space="preserve"> </w:t>
      </w:r>
      <w:r>
        <w:t xml:space="preserve">“</w:t>
      </w:r>
      <w:r>
        <w:t xml:space="preserve">When, O (river), the Bharatas would cross you, seeking cattle, the host sent forth, impelled by Indra.</w:t>
      </w:r>
      <w:r>
        <w:t xml:space="preserve">”</w:t>
      </w:r>
    </w:p>
    <w:bookmarkEnd w:id="64"/>
    <w:bookmarkStart w:id="65" w:name="X928bc057974e05256338d7b039ff1e650b984f6"/>
    <w:p>
      <w:pPr>
        <w:pStyle w:val="Heading3"/>
      </w:pPr>
      <w:r>
        <w:t xml:space="preserve">Page 41 — Special topics on Rik 3.5 (continued): further</w:t>
      </w:r>
      <w:r>
        <w:t xml:space="preserve"> </w:t>
      </w:r>
      <w:r>
        <w:t xml:space="preserve">“</w:t>
      </w:r>
      <w:r>
        <w:t xml:space="preserve">-jūta</w:t>
      </w:r>
      <w:r>
        <w:t xml:space="preserve">”</w:t>
      </w:r>
      <w:r>
        <w:t xml:space="preserve"> </w:t>
      </w:r>
      <w:r>
        <w:t xml:space="preserve">compounds;</w:t>
      </w:r>
      <w:r>
        <w:t xml:space="preserve"> </w:t>
      </w:r>
      <w:r>
        <w:t xml:space="preserve">“</w:t>
      </w:r>
      <w:r>
        <w:t xml:space="preserve">vipra,</w:t>
      </w:r>
      <w:r>
        <w:t xml:space="preserve">”</w:t>
      </w:r>
      <w:r>
        <w:t xml:space="preserve"> </w:t>
      </w:r>
      <w:r>
        <w:t xml:space="preserve">“</w:t>
      </w:r>
      <w:r>
        <w:t xml:space="preserve">sutāvataḥ,</w:t>
      </w:r>
      <w:r>
        <w:t xml:space="preserve">”</w:t>
      </w:r>
      <w:r>
        <w:t xml:space="preserve"> </w:t>
      </w:r>
      <w:r>
        <w:t xml:space="preserve">“</w:t>
      </w:r>
      <w:r>
        <w:t xml:space="preserve">upa,</w:t>
      </w:r>
      <w:r>
        <w:t xml:space="preserve">”</w:t>
      </w:r>
      <w:r>
        <w:t xml:space="preserve"> </w:t>
      </w:r>
      <w:r>
        <w:t xml:space="preserve">“</w:t>
      </w:r>
      <w:r>
        <w:t xml:space="preserve">brahmāṇi,</w:t>
      </w:r>
      <w:r>
        <w:t xml:space="preserve">”</w:t>
      </w:r>
      <w:r>
        <w:t xml:space="preserve"> </w:t>
      </w:r>
      <w:r>
        <w:t xml:space="preserve">“</w:t>
      </w:r>
      <w:r>
        <w:t xml:space="preserve">vāghataḥ</w:t>
      </w:r>
      <w:r>
        <w:t xml:space="preserve">”</w:t>
      </w:r>
    </w:p>
    <w:p>
      <w:pPr>
        <w:pStyle w:val="FirstParagraph"/>
      </w:pPr>
      <w:r>
        <w:rPr>
          <w:iCs/>
          <w:i/>
        </w:rPr>
        <w:t xml:space="preserve">(Page header:</w:t>
      </w:r>
      <w:r>
        <w:rPr>
          <w:iCs/>
          <w:i/>
        </w:rPr>
        <w:t xml:space="preserve"> </w:t>
      </w:r>
      <w:r>
        <w:rPr>
          <w:iCs/>
          <w:i/>
        </w:rPr>
        <w:t xml:space="preserve">“</w:t>
      </w:r>
      <w:r>
        <w:rPr>
          <w:iCs/>
          <w:i/>
        </w:rPr>
        <w:t xml:space="preserve">Aṣṭaka 1, Adhyāya 1, Varga 5 · Ṛgveda-saṃhitā.</w:t>
      </w:r>
      <w:r>
        <w:rPr>
          <w:iCs/>
          <w:i/>
        </w:rPr>
        <w:t xml:space="preserve">”</w:t>
      </w:r>
      <w:r>
        <w:rPr>
          <w:iCs/>
          <w:i/>
        </w:rPr>
        <w:t xml:space="preserve"> </w:t>
      </w:r>
      <w:r>
        <w:rPr>
          <w:iCs/>
          <w:i/>
        </w:rPr>
        <w:t xml:space="preserve">The Ṛg-vedic reference-numbers are printed in small Kannada numerals and a number of them are hard to read; every reference I am not sure of is marked [?]. Glosses are mine; the source gives none. The page also contains a block of English printed in the source itself, reproduced as printed.)</w:t>
      </w:r>
    </w:p>
    <w:p>
      <w:pPr>
        <w:pStyle w:val="BlockText"/>
      </w:pPr>
      <w:r>
        <w:rPr>
          <w:bCs/>
          <w:b/>
        </w:rPr>
        <w:t xml:space="preserve">देवजूतः</w:t>
      </w:r>
      <w:r>
        <w:t xml:space="preserve"> </w:t>
      </w:r>
      <w:r>
        <w:t xml:space="preserve">— महा ऋषिर्देवजा देवजूतोऽस्तभ्नात्सिन्धुमर्णवं नृचक्षाः । (ऋ. सं. ३-५३-९ तथा ४-११-४; ७-८४-३; ८-३१-३)</w:t>
      </w:r>
      <w:r>
        <w:t xml:space="preserve"> </w:t>
      </w:r>
      <w:r>
        <w:rPr>
          <w:iCs/>
          <w:i/>
        </w:rPr>
        <w:t xml:space="preserve">devajūtaḥ — mahā ṛṣir devajā devajūto ’stabhnāt sindhum arṇavaṃ nṛcakṣāḥ | (ṛ. saṃ. 3-53-9 and 4-11-4; 7-84-3; 8-31-3)</w:t>
      </w:r>
      <w:r>
        <w:t xml:space="preserve"> </w:t>
      </w:r>
      <w:r>
        <w:t xml:space="preserve">Gloss:</w:t>
      </w:r>
      <w:r>
        <w:t xml:space="preserve"> </w:t>
      </w:r>
      <w:r>
        <w:t xml:space="preserve">“</w:t>
      </w:r>
      <w:r>
        <w:t xml:space="preserve">The great seer, born of the gods, impelled by the gods, a watcher of men, held up the river, the flood.</w:t>
      </w:r>
      <w:r>
        <w:t xml:space="preserve">”</w:t>
      </w:r>
    </w:p>
    <w:p>
      <w:pPr>
        <w:pStyle w:val="BlockText"/>
      </w:pPr>
      <w:r>
        <w:rPr>
          <w:bCs/>
          <w:b/>
        </w:rPr>
        <w:t xml:space="preserve">बाहुजूतः</w:t>
      </w:r>
      <w:r>
        <w:t xml:space="preserve"> </w:t>
      </w:r>
      <w:r>
        <w:t xml:space="preserve">— युष्मादेति मुष्टिहा बाहुजूतो युष्मत्सदश्वो मरुत सुवीरः । (ऋ. सं. ५-५८-४)</w:t>
      </w:r>
      <w:r>
        <w:t xml:space="preserve"> </w:t>
      </w:r>
      <w:r>
        <w:rPr>
          <w:iCs/>
          <w:i/>
        </w:rPr>
        <w:t xml:space="preserve">bāhujūtaḥ — yuṣmād eti muṣṭihā bāhujūto yuṣmatsadaśvo maruta suvīraḥ | (ṛ. saṃ. 5-58-4)</w:t>
      </w:r>
      <w:r>
        <w:t xml:space="preserve"> </w:t>
      </w:r>
      <w:r>
        <w:t xml:space="preserve">Gloss:</w:t>
      </w:r>
      <w:r>
        <w:t xml:space="preserve"> </w:t>
      </w:r>
      <w:r>
        <w:t xml:space="preserve">“</w:t>
      </w:r>
      <w:r>
        <w:t xml:space="preserve">From you, O Maruts, goes the fist-striker, impelled by his arm, the hero blessed with horses, rich in heroes through you.</w:t>
      </w:r>
      <w:r>
        <w:t xml:space="preserve">”</w:t>
      </w:r>
    </w:p>
    <w:p>
      <w:pPr>
        <w:pStyle w:val="BlockText"/>
      </w:pPr>
      <w:r>
        <w:rPr>
          <w:bCs/>
          <w:b/>
        </w:rPr>
        <w:t xml:space="preserve">वातजूतः</w:t>
      </w:r>
      <w:r>
        <w:t xml:space="preserve"> </w:t>
      </w:r>
      <w:r>
        <w:t xml:space="preserve">— वि वातजूतो अतसेषु तिष्ठते वृथा जुहूभिः सृण्या तुविष्वणिः । (ऋ. सं. १-५८-४ तथा १-६५-४; १०-१७-१)</w:t>
      </w:r>
      <w:r>
        <w:t xml:space="preserve"> </w:t>
      </w:r>
      <w:r>
        <w:rPr>
          <w:iCs/>
          <w:i/>
        </w:rPr>
        <w:t xml:space="preserve">vātajūtaḥ — vi vātajūto atasesu tiṣṭhate vṛthā juhūbhiḥ sṛṇyā tuviṣvaṇiḥ | (ṛ. saṃ. 1-58-4 and 1-65-4; 10-17-1)</w:t>
      </w:r>
      <w:r>
        <w:t xml:space="preserve"> </w:t>
      </w:r>
      <w:r>
        <w:t xml:space="preserve">Gloss:</w:t>
      </w:r>
      <w:r>
        <w:t xml:space="preserve"> </w:t>
      </w:r>
      <w:r>
        <w:t xml:space="preserve">“</w:t>
      </w:r>
      <w:r>
        <w:t xml:space="preserve">Impelled by the wind, he stands out amid the brush, in vain with tongues, with his sickle-like (flame), loud-sounding.</w:t>
      </w:r>
      <w:r>
        <w:t xml:space="preserve">”</w:t>
      </w:r>
    </w:p>
    <w:p>
      <w:pPr>
        <w:pStyle w:val="BlockText"/>
      </w:pPr>
      <w:r>
        <w:rPr>
          <w:bCs/>
          <w:b/>
        </w:rPr>
        <w:t xml:space="preserve">श्येनजूतः</w:t>
      </w:r>
      <w:r>
        <w:t xml:space="preserve"> </w:t>
      </w:r>
      <w:r>
        <w:t xml:space="preserve">— अप्सु द्रप्सो वावृधे श्येनजूतो दुह ईं पिता दुह ईं पितुर्जाम् । (ऋ. सं. ९-८९-२)</w:t>
      </w:r>
      <w:r>
        <w:t xml:space="preserve"> </w:t>
      </w:r>
      <w:r>
        <w:rPr>
          <w:iCs/>
          <w:i/>
        </w:rPr>
        <w:t xml:space="preserve">śyenajūtaḥ — apsu drapso vāvṛdhe śyenajūto duha īṃ pitā duha īṃ pitur jām | (ṛ. saṃ. 9-89-2)</w:t>
      </w:r>
      <w:r>
        <w:t xml:space="preserve"> </w:t>
      </w:r>
      <w:r>
        <w:t xml:space="preserve">Gloss:</w:t>
      </w:r>
      <w:r>
        <w:t xml:space="preserve"> </w:t>
      </w:r>
      <w:r>
        <w:t xml:space="preserve">“</w:t>
      </w:r>
      <w:r>
        <w:t xml:space="preserve">The drop has grown in the waters, impelled by the falcon; the father milks him, he milks the father’s kinswoman.</w:t>
      </w:r>
      <w:r>
        <w:t xml:space="preserve">”</w:t>
      </w:r>
      <w:r>
        <w:t xml:space="preserve"> </w:t>
      </w:r>
      <w:r>
        <w:t xml:space="preserve">[tentative]</w:t>
      </w:r>
    </w:p>
    <w:p>
      <w:pPr>
        <w:pStyle w:val="FirstParagraph"/>
      </w:pPr>
      <w:r>
        <w:rPr>
          <w:bCs/>
          <w:b/>
        </w:rPr>
        <w:t xml:space="preserve">On</w:t>
      </w:r>
      <w:r>
        <w:rPr>
          <w:bCs/>
          <w:b/>
        </w:rPr>
        <w:t xml:space="preserve"> </w:t>
      </w:r>
      <w:r>
        <w:rPr>
          <w:bCs/>
          <w:b/>
        </w:rPr>
        <w:t xml:space="preserve">“</w:t>
      </w:r>
      <w:r>
        <w:rPr>
          <w:bCs/>
          <w:b/>
        </w:rPr>
        <w:t xml:space="preserve">vipra</w:t>
      </w:r>
      <w:r>
        <w:rPr>
          <w:bCs/>
          <w:b/>
        </w:rPr>
        <w:t xml:space="preserve">”</w:t>
      </w:r>
      <w:r>
        <w:rPr>
          <w:bCs/>
          <w:b/>
        </w:rPr>
        <w:t xml:space="preserve"> </w:t>
      </w:r>
      <w:r>
        <w:rPr>
          <w:bCs/>
          <w:b/>
        </w:rPr>
        <w:t xml:space="preserve">(Western renderings).</w:t>
      </w:r>
      <w:r>
        <w:t xml:space="preserve"> </w:t>
      </w:r>
      <w:r>
        <w:t xml:space="preserve">Ludwig, Williams, Griffith and other Western scholars have given the word</w:t>
      </w:r>
      <w:r>
        <w:t xml:space="preserve"> </w:t>
      </w:r>
      <w:r>
        <w:t xml:space="preserve">“</w:t>
      </w:r>
      <w:r>
        <w:t xml:space="preserve">vipra,</w:t>
      </w:r>
      <w:r>
        <w:t xml:space="preserve">”</w:t>
      </w:r>
      <w:r>
        <w:t xml:space="preserve"> </w:t>
      </w:r>
      <w:r>
        <w:t xml:space="preserve">in different Ṛks, such meanings as —</w:t>
      </w:r>
      <w:r>
        <w:t xml:space="preserve"> </w:t>
      </w:r>
      <w:r>
        <w:rPr>
          <w:iCs/>
          <w:i/>
        </w:rPr>
        <w:t xml:space="preserve">(the source here prints the list in English)</w:t>
      </w:r>
      <w:r>
        <w:t xml:space="preserve"> </w:t>
      </w:r>
      <w:r>
        <w:t xml:space="preserve">—</w:t>
      </w:r>
      <w:r>
        <w:t xml:space="preserve"> </w:t>
      </w:r>
      <w:r>
        <w:t xml:space="preserve">“</w:t>
      </w:r>
      <w:r>
        <w:t xml:space="preserve">Sage, wise, skilled in work or rite, skilled in speech, singer, Priest, Worshipper, Sacrificer [print:</w:t>
      </w:r>
      <w:r>
        <w:t xml:space="preserve"> </w:t>
      </w:r>
      <w:r>
        <w:t xml:space="preserve">‘</w:t>
      </w:r>
      <w:r>
        <w:t xml:space="preserve">Sacrificier</w:t>
      </w:r>
      <w:r>
        <w:t xml:space="preserve">’</w:t>
      </w:r>
      <w:r>
        <w:t xml:space="preserve">], Fulfiller, Giver of delight, courageous, Sagacious, Pious, Brahmana,</w:t>
      </w:r>
      <w:r>
        <w:t xml:space="preserve">”</w:t>
      </w:r>
      <w:r>
        <w:t xml:space="preserve"> </w:t>
      </w:r>
      <w:r>
        <w:t xml:space="preserve">and the like; but they say that for this word in</w:t>
      </w:r>
      <w:r>
        <w:t xml:space="preserve"> </w:t>
      </w:r>
      <w:r>
        <w:rPr>
          <w:iCs/>
          <w:i/>
        </w:rPr>
        <w:t xml:space="preserve">this</w:t>
      </w:r>
      <w:r>
        <w:t xml:space="preserve"> </w:t>
      </w:r>
      <w:r>
        <w:t xml:space="preserve">Ṛk the sense</w:t>
      </w:r>
      <w:r>
        <w:t xml:space="preserve"> </w:t>
      </w:r>
      <w:r>
        <w:t xml:space="preserve">“</w:t>
      </w:r>
      <w:r>
        <w:t xml:space="preserve">Prudent or intelligent</w:t>
      </w:r>
      <w:r>
        <w:t xml:space="preserve">”</w:t>
      </w:r>
      <w:r>
        <w:t xml:space="preserve"> </w:t>
      </w:r>
      <w:r>
        <w:t xml:space="preserve">(that is, discerning, intelligent) fits.</w:t>
      </w:r>
    </w:p>
    <w:p>
      <w:pPr>
        <w:pStyle w:val="BodyText"/>
      </w:pPr>
      <w:r>
        <w:rPr>
          <w:bCs/>
          <w:b/>
        </w:rPr>
        <w:t xml:space="preserve">सुतावतः (sutāvataḥ)</w:t>
      </w:r>
      <w:r>
        <w:t xml:space="preserve">, or</w:t>
      </w:r>
      <w:r>
        <w:t xml:space="preserve"> </w:t>
      </w:r>
      <w:r>
        <w:t xml:space="preserve">“</w:t>
      </w:r>
      <w:r>
        <w:t xml:space="preserve">sutavataḥ</w:t>
      </w:r>
      <w:r>
        <w:t xml:space="preserve">”</w:t>
      </w:r>
      <w:r>
        <w:t xml:space="preserve"> </w:t>
      </w:r>
      <w:r>
        <w:t xml:space="preserve">— The word</w:t>
      </w:r>
      <w:r>
        <w:t xml:space="preserve"> </w:t>
      </w:r>
      <w:r>
        <w:t xml:space="preserve">“</w:t>
      </w:r>
      <w:r>
        <w:t xml:space="preserve">suta</w:t>
      </w:r>
      <w:r>
        <w:t xml:space="preserve">”</w:t>
      </w:r>
      <w:r>
        <w:t xml:space="preserve"> </w:t>
      </w:r>
      <w:r>
        <w:t xml:space="preserve">is a word formed from a root meaning</w:t>
      </w:r>
      <w:r>
        <w:t xml:space="preserve"> </w:t>
      </w:r>
      <w:r>
        <w:t xml:space="preserve">“</w:t>
      </w:r>
      <w:r>
        <w:t xml:space="preserve">to press out (the juice)</w:t>
      </w:r>
      <w:r>
        <w:t xml:space="preserve">”</w:t>
      </w:r>
      <w:r>
        <w:t xml:space="preserve"> </w:t>
      </w:r>
      <w:r>
        <w:t xml:space="preserve">(</w:t>
      </w:r>
      <w:r>
        <w:t xml:space="preserve">“</w:t>
      </w:r>
      <w:r>
        <w:t xml:space="preserve">su</w:t>
      </w:r>
      <w:r>
        <w:t xml:space="preserve">”</w:t>
      </w:r>
      <w:r>
        <w:t xml:space="preserve">). The derivation of</w:t>
      </w:r>
      <w:r>
        <w:t xml:space="preserve"> </w:t>
      </w:r>
      <w:r>
        <w:t xml:space="preserve">“</w:t>
      </w:r>
      <w:r>
        <w:t xml:space="preserve">sutāvataḥ</w:t>
      </w:r>
      <w:r>
        <w:t xml:space="preserve">”</w:t>
      </w:r>
      <w:r>
        <w:t xml:space="preserve"> </w:t>
      </w:r>
      <w:r>
        <w:t xml:space="preserve">is:</w:t>
      </w:r>
      <w:r>
        <w:t xml:space="preserve"> </w:t>
      </w:r>
      <w:r>
        <w:t xml:space="preserve">“</w:t>
      </w:r>
      <w:r>
        <w:t xml:space="preserve">sutaḥ somaḥ asyāsti iti sutāvān, tasya sutāvataḥ</w:t>
      </w:r>
      <w:r>
        <w:t xml:space="preserve">”</w:t>
      </w:r>
      <w:r>
        <w:t xml:space="preserve"> </w:t>
      </w:r>
      <w:r>
        <w:t xml:space="preserve">—</w:t>
      </w:r>
      <w:r>
        <w:t xml:space="preserve"> </w:t>
      </w:r>
      <w:r>
        <w:t xml:space="preserve">“</w:t>
      </w:r>
      <w:r>
        <w:t xml:space="preserve">he who has the pressed Soma is</w:t>
      </w:r>
      <w:r>
        <w:t xml:space="preserve"> </w:t>
      </w:r>
      <w:r>
        <w:t xml:space="preserve">‘</w:t>
      </w:r>
      <w:r>
        <w:t xml:space="preserve">sutāvān</w:t>
      </w:r>
      <w:r>
        <w:t xml:space="preserve">’</w:t>
      </w:r>
      <w:r>
        <w:t xml:space="preserve">; of him,</w:t>
      </w:r>
      <w:r>
        <w:t xml:space="preserve"> </w:t>
      </w:r>
      <w:r>
        <w:t xml:space="preserve">‘</w:t>
      </w:r>
      <w:r>
        <w:t xml:space="preserve">sutāvataḥ</w:t>
      </w:r>
      <w:r>
        <w:t xml:space="preserve">’</w:t>
      </w:r>
      <w:r>
        <w:t xml:space="preserve">.</w:t>
      </w:r>
      <w:r>
        <w:t xml:space="preserve">”</w:t>
      </w:r>
      <w:r>
        <w:t xml:space="preserve"> </w:t>
      </w:r>
      <w:r>
        <w:t xml:space="preserve">This word is an adjective of the word</w:t>
      </w:r>
      <w:r>
        <w:t xml:space="preserve"> </w:t>
      </w:r>
      <w:r>
        <w:t xml:space="preserve">“</w:t>
      </w:r>
      <w:r>
        <w:t xml:space="preserve">vāghataḥ.</w:t>
      </w:r>
      <w:r>
        <w:t xml:space="preserve">”</w:t>
      </w:r>
      <w:r>
        <w:t xml:space="preserve"> </w:t>
      </w:r>
      <w:r>
        <w:t xml:space="preserve">The word is commonly used in contexts where the Soma-juice is crushed and extracted.</w:t>
      </w:r>
    </w:p>
    <w:p>
      <w:pPr>
        <w:pStyle w:val="BodyText"/>
      </w:pPr>
      <w:r>
        <w:rPr>
          <w:bCs/>
          <w:b/>
        </w:rPr>
        <w:t xml:space="preserve">उप (upa)</w:t>
      </w:r>
      <w:r>
        <w:t xml:space="preserve"> </w:t>
      </w:r>
      <w:r>
        <w:t xml:space="preserve">— near, close; or, going near; attaining proximity, and the like.</w:t>
      </w:r>
    </w:p>
    <w:p>
      <w:pPr>
        <w:pStyle w:val="BodyText"/>
      </w:pPr>
      <w:r>
        <w:rPr>
          <w:bCs/>
          <w:b/>
        </w:rPr>
        <w:t xml:space="preserve">ब्रह्माणि (brahmāṇi)</w:t>
      </w:r>
      <w:r>
        <w:t xml:space="preserve"> </w:t>
      </w:r>
      <w:r>
        <w:t xml:space="preserve">— The Bhāṣyakāra explains this word as</w:t>
      </w:r>
      <w:r>
        <w:t xml:space="preserve"> </w:t>
      </w:r>
      <w:r>
        <w:t xml:space="preserve">“</w:t>
      </w:r>
      <w:r>
        <w:t xml:space="preserve">stotra</w:t>
      </w:r>
      <w:r>
        <w:t xml:space="preserve">”</w:t>
      </w:r>
      <w:r>
        <w:t xml:space="preserve"> </w:t>
      </w:r>
      <w:r>
        <w:t xml:space="preserve">(a hymn of praise). Skandasvāmī — in accordance with the sūtra of the Nighaṇṭu (2-7) — gives for the word</w:t>
      </w:r>
      <w:r>
        <w:t xml:space="preserve"> </w:t>
      </w:r>
      <w:r>
        <w:t xml:space="preserve">“</w:t>
      </w:r>
      <w:r>
        <w:t xml:space="preserve">brahma</w:t>
      </w:r>
      <w:r>
        <w:t xml:space="preserve">”</w:t>
      </w:r>
      <w:r>
        <w:t xml:space="preserve"> </w:t>
      </w:r>
      <w:r>
        <w:t xml:space="preserve">two senses:</w:t>
      </w:r>
      <w:r>
        <w:t xml:space="preserve"> </w:t>
      </w:r>
      <w:r>
        <w:t xml:space="preserve">“</w:t>
      </w:r>
      <w:r>
        <w:t xml:space="preserve">anna</w:t>
      </w:r>
      <w:r>
        <w:t xml:space="preserve">”</w:t>
      </w:r>
      <w:r>
        <w:t xml:space="preserve"> </w:t>
      </w:r>
      <w:r>
        <w:t xml:space="preserve">(food) and</w:t>
      </w:r>
      <w:r>
        <w:t xml:space="preserve"> </w:t>
      </w:r>
      <w:r>
        <w:t xml:space="preserve">“</w:t>
      </w:r>
      <w:r>
        <w:t xml:space="preserve">stotra.</w:t>
      </w:r>
      <w:r>
        <w:t xml:space="preserve">”</w:t>
      </w:r>
      <w:r>
        <w:t xml:space="preserve"> </w:t>
      </w:r>
      <w:r>
        <w:t xml:space="preserve">Western scholars — Ludwig, Williams, Griffith and others — give for the word, according to context,</w:t>
      </w:r>
      <w:r>
        <w:t xml:space="preserve"> </w:t>
      </w:r>
      <w:r>
        <w:rPr>
          <w:iCs/>
          <w:i/>
        </w:rPr>
        <w:t xml:space="preserve">(the source’s English list)</w:t>
      </w:r>
      <w:r>
        <w:t xml:space="preserve">:</w:t>
      </w:r>
      <w:r>
        <w:t xml:space="preserve"> </w:t>
      </w:r>
      <w:r>
        <w:t xml:space="preserve">“</w:t>
      </w:r>
      <w:r>
        <w:t xml:space="preserve">Sacred Word, Prayer [print:</w:t>
      </w:r>
      <w:r>
        <w:t xml:space="preserve"> </w:t>
      </w:r>
      <w:r>
        <w:t xml:space="preserve">‘</w:t>
      </w:r>
      <w:r>
        <w:t xml:space="preserve">Preyer</w:t>
      </w:r>
      <w:r>
        <w:t xml:space="preserve">’</w:t>
      </w:r>
      <w:r>
        <w:t xml:space="preserve">], Stotra [print:</w:t>
      </w:r>
      <w:r>
        <w:t xml:space="preserve"> </w:t>
      </w:r>
      <w:r>
        <w:t xml:space="preserve">‘</w:t>
      </w:r>
      <w:r>
        <w:t xml:space="preserve">Strotra</w:t>
      </w:r>
      <w:r>
        <w:t xml:space="preserve">’</w:t>
      </w:r>
      <w:r>
        <w:t xml:space="preserve">], Homage, honour, song, libation, oblation, Praise, adoration, Devotion, Offering, Sacred rite, Food.</w:t>
      </w:r>
      <w:r>
        <w:t xml:space="preserve">”</w:t>
      </w:r>
      <w:r>
        <w:t xml:space="preserve"> </w:t>
      </w:r>
      <w:r>
        <w:t xml:space="preserve">Although they use different words, there is no great difference from the senses used by Sāyaṇa and Skandasvāmī.</w:t>
      </w:r>
    </w:p>
    <w:p>
      <w:pPr>
        <w:pStyle w:val="BodyText"/>
      </w:pPr>
      <w:r>
        <w:rPr>
          <w:bCs/>
          <w:b/>
        </w:rPr>
        <w:t xml:space="preserve">वाघतः (vāghataḥ)</w:t>
      </w:r>
      <w:r>
        <w:t xml:space="preserve"> </w:t>
      </w:r>
      <w:r>
        <w:t xml:space="preserve">— Because the Nighaṇṭu itself plainly states that this word means</w:t>
      </w:r>
      <w:r>
        <w:t xml:space="preserve"> </w:t>
      </w:r>
      <w:r>
        <w:t xml:space="preserve">“</w:t>
      </w:r>
      <w:r>
        <w:t xml:space="preserve">ṛtvik</w:t>
      </w:r>
      <w:r>
        <w:t xml:space="preserve">”</w:t>
      </w:r>
      <w:r>
        <w:t xml:space="preserve"> </w:t>
      </w:r>
      <w:r>
        <w:t xml:space="preserve">(priest), the Bhāṣyakāra, Skandasvāmī and the others have approved this sense. The view of the Western scholars is not at odds with this sense either; only the words they use are different. This word is used in the Rigveda in only the following eleven Ṛks: 1-3-5; 1-58-7; 1-88-6; 1-110-4; 3-2-1; 3-37-2; 6-16-13; 7-32-1; 8-78-4; 10-62-7; 3-60-4.</w:t>
      </w:r>
      <w:r>
        <w:t xml:space="preserve"> </w:t>
      </w:r>
      <w:r>
        <w:rPr>
          <w:iCs/>
          <w:i/>
        </w:rPr>
        <w:t xml:space="preserve">(All eleven re-read from the better scan, Oct 2026 numeral pass.)</w:t>
      </w:r>
    </w:p>
    <w:bookmarkEnd w:id="65"/>
    <w:bookmarkStart w:id="66" w:name="Xd7087d68d9d9c75dd6ad0da683dc6792b8151db"/>
    <w:p>
      <w:pPr>
        <w:pStyle w:val="Heading3"/>
      </w:pPr>
      <w:r>
        <w:t xml:space="preserve">Page 42 — Vyākaraṇa-prakriyā for Rik 3.5 (Kannada); Saṃhitā and Pada text of Rik 3.6</w:t>
      </w:r>
    </w:p>
    <w:p>
      <w:pPr>
        <w:pStyle w:val="FirstParagraph"/>
      </w:pPr>
      <w:r>
        <w:rPr>
          <w:iCs/>
          <w:i/>
        </w:rPr>
        <w:t xml:space="preserve">(Page header:</w:t>
      </w:r>
      <w:r>
        <w:rPr>
          <w:iCs/>
          <w:i/>
        </w:rPr>
        <w:t xml:space="preserve"> </w:t>
      </w:r>
      <w:r>
        <w:rPr>
          <w:iCs/>
          <w:i/>
        </w:rPr>
        <w:t xml:space="preserve">“</w:t>
      </w:r>
      <w:r>
        <w:rPr>
          <w:iCs/>
          <w:i/>
        </w:rPr>
        <w:t xml:space="preserve">Mandala 1, Anuvāka 1, Sūkta 3.</w:t>
      </w:r>
      <w:r>
        <w:rPr>
          <w:iCs/>
          <w:i/>
        </w:rPr>
        <w:t xml:space="preserve">”</w:t>
      </w:r>
      <w:r>
        <w:rPr>
          <w:iCs/>
          <w:i/>
        </w:rPr>
        <w:t xml:space="preserve"> </w:t>
      </w:r>
      <w:r>
        <w:rPr>
          <w:iCs/>
          <w:i/>
        </w:rPr>
        <w:t xml:space="preserve">This is the Kannada rendering of the grammar already given in Sanskrit on p. 39, translated in full. Sūtra-numbers in small Kannada numerals are marked [?] where I am not sure of a digit.)</w:t>
      </w:r>
    </w:p>
    <w:p>
      <w:pPr>
        <w:pStyle w:val="BodyText"/>
      </w:pPr>
      <w:r>
        <w:rPr>
          <w:bCs/>
          <w:b/>
        </w:rPr>
        <w:t xml:space="preserve">॥ Vyākaraṇa-prakriyā ॥</w:t>
      </w:r>
    </w:p>
    <w:p>
      <w:pPr>
        <w:pStyle w:val="BodyText"/>
      </w:pPr>
      <w:r>
        <w:t xml:space="preserve">After the root</w:t>
      </w:r>
      <w:r>
        <w:t xml:space="preserve"> </w:t>
      </w:r>
      <w:r>
        <w:t xml:space="preserve">“</w:t>
      </w:r>
      <w:r>
        <w:t xml:space="preserve">iṣ gatau</w:t>
      </w:r>
      <w:r>
        <w:t xml:space="preserve">”</w:t>
      </w:r>
      <w:r>
        <w:t xml:space="preserve"> </w:t>
      </w:r>
      <w:r>
        <w:t xml:space="preserve">(iṣa gatau), when the affix</w:t>
      </w:r>
      <w:r>
        <w:t xml:space="preserve"> </w:t>
      </w:r>
      <w:r>
        <w:t xml:space="preserve">“</w:t>
      </w:r>
      <w:r>
        <w:t xml:space="preserve">kta</w:t>
      </w:r>
      <w:r>
        <w:t xml:space="preserve">”</w:t>
      </w:r>
      <w:r>
        <w:t xml:space="preserve"> </w:t>
      </w:r>
      <w:r>
        <w:t xml:space="preserve">is added, by</w:t>
      </w:r>
      <w:r>
        <w:t xml:space="preserve"> </w:t>
      </w:r>
      <w:r>
        <w:t xml:space="preserve">“</w:t>
      </w:r>
      <w:r>
        <w:t xml:space="preserve">ārdhadhātukasyeḍ valādeḥ</w:t>
      </w:r>
      <w:r>
        <w:t xml:space="preserve">”</w:t>
      </w:r>
      <w:r>
        <w:t xml:space="preserve"> </w:t>
      </w:r>
      <w:r>
        <w:t xml:space="preserve">(Pā. Sū. 7-2-35) — the augment</w:t>
      </w:r>
      <w:r>
        <w:t xml:space="preserve"> </w:t>
      </w:r>
      <w:r>
        <w:t xml:space="preserve">“</w:t>
      </w:r>
      <w:r>
        <w:t xml:space="preserve">iṭ</w:t>
      </w:r>
      <w:r>
        <w:t xml:space="preserve">”</w:t>
      </w:r>
      <w:r>
        <w:t xml:space="preserve"> </w:t>
      </w:r>
      <w:r>
        <w:t xml:space="preserve">comes to</w:t>
      </w:r>
      <w:r>
        <w:t xml:space="preserve"> </w:t>
      </w:r>
      <w:r>
        <w:t xml:space="preserve">“</w:t>
      </w:r>
      <w:r>
        <w:t xml:space="preserve">ta</w:t>
      </w:r>
      <w:r>
        <w:t xml:space="preserve">”</w:t>
      </w:r>
      <w:r>
        <w:t xml:space="preserve"> </w:t>
      </w:r>
      <w:r>
        <w:t xml:space="preserve">— and</w:t>
      </w:r>
      <w:r>
        <w:t xml:space="preserve"> </w:t>
      </w:r>
      <w:r>
        <w:t xml:space="preserve">“</w:t>
      </w:r>
      <w:r>
        <w:t xml:space="preserve">iṣitaḥ</w:t>
      </w:r>
      <w:r>
        <w:t xml:space="preserve">”</w:t>
      </w:r>
      <w:r>
        <w:t xml:space="preserve"> </w:t>
      </w:r>
      <w:r>
        <w:t xml:space="preserve">results. Here, by</w:t>
      </w:r>
      <w:r>
        <w:t xml:space="preserve"> </w:t>
      </w:r>
      <w:r>
        <w:t xml:space="preserve">“</w:t>
      </w:r>
      <w:r>
        <w:t xml:space="preserve">āgamā anudāttāḥ</w:t>
      </w:r>
      <w:r>
        <w:t xml:space="preserve">”</w:t>
      </w:r>
      <w:r>
        <w:t xml:space="preserve"> </w:t>
      </w:r>
      <w:r>
        <w:t xml:space="preserve">(Pā. Sū. 3-1-3, vārttika 7) —</w:t>
      </w:r>
      <w:r>
        <w:t xml:space="preserve"> </w:t>
      </w:r>
      <w:r>
        <w:t xml:space="preserve">“</w:t>
      </w:r>
      <w:r>
        <w:t xml:space="preserve">augments are unaccented</w:t>
      </w:r>
      <w:r>
        <w:t xml:space="preserve">”</w:t>
      </w:r>
      <w:r>
        <w:t xml:space="preserve"> </w:t>
      </w:r>
      <w:r>
        <w:t xml:space="preserve">— the</w:t>
      </w:r>
      <w:r>
        <w:t xml:space="preserve"> </w:t>
      </w:r>
      <w:r>
        <w:t xml:space="preserve">“</w:t>
      </w:r>
      <w:r>
        <w:t xml:space="preserve">i</w:t>
      </w:r>
      <w:r>
        <w:t xml:space="preserve">”</w:t>
      </w:r>
      <w:r>
        <w:t xml:space="preserve"> </w:t>
      </w:r>
      <w:r>
        <w:t xml:space="preserve">becomes unaccented; hence the accent of the</w:t>
      </w:r>
      <w:r>
        <w:t xml:space="preserve"> </w:t>
      </w:r>
      <w:r>
        <w:t xml:space="preserve">“</w:t>
      </w:r>
      <w:r>
        <w:t xml:space="preserve">kta</w:t>
      </w:r>
      <w:r>
        <w:t xml:space="preserve">”</w:t>
      </w:r>
      <w:r>
        <w:t xml:space="preserve"> </w:t>
      </w:r>
      <w:r>
        <w:t xml:space="preserve">affix remains.</w:t>
      </w:r>
    </w:p>
    <w:p>
      <w:pPr>
        <w:pStyle w:val="BodyText"/>
      </w:pPr>
      <w:r>
        <w:t xml:space="preserve">The root</w:t>
      </w:r>
      <w:r>
        <w:t xml:space="preserve"> </w:t>
      </w:r>
      <w:r>
        <w:t xml:space="preserve">“</w:t>
      </w:r>
      <w:r>
        <w:t xml:space="preserve">ḍu vap bīja-saṃtāne</w:t>
      </w:r>
      <w:r>
        <w:t xml:space="preserve">”</w:t>
      </w:r>
      <w:r>
        <w:t xml:space="preserve">: by</w:t>
      </w:r>
      <w:r>
        <w:t xml:space="preserve"> </w:t>
      </w:r>
      <w:r>
        <w:t xml:space="preserve">“</w:t>
      </w:r>
      <w:r>
        <w:t xml:space="preserve">ṛjrendrāgra-vajra-vipra-…</w:t>
      </w:r>
      <w:r>
        <w:t xml:space="preserve">”</w:t>
      </w:r>
      <w:r>
        <w:t xml:space="preserve"> </w:t>
      </w:r>
      <w:r>
        <w:t xml:space="preserve">(Uṇ. Sū. 2-186 [as printed; on p. 39 the same sūtra is cited as 2-28]), these nineteen words are formed with the affix</w:t>
      </w:r>
      <w:r>
        <w:t xml:space="preserve"> </w:t>
      </w:r>
      <w:r>
        <w:t xml:space="preserve">“</w:t>
      </w:r>
      <w:r>
        <w:t xml:space="preserve">ran</w:t>
      </w:r>
      <w:r>
        <w:t xml:space="preserve">”</w:t>
      </w:r>
      <w:r>
        <w:t xml:space="preserve"> </w:t>
      </w:r>
      <w:r>
        <w:t xml:space="preserve">by nipātana (irregular formation). The list as printed:</w:t>
      </w:r>
    </w:p>
    <w:p>
      <w:pPr>
        <w:pStyle w:val="BlockText"/>
      </w:pPr>
      <w:r>
        <w:t xml:space="preserve">ऋज्रेन्द्राग्रवज्रविप्रकुब्रचुब्रक्षुरखुरभद्रोग्रभेरभेलशुक्रशक्लगौरवन्वेरमालाः</w:t>
      </w:r>
      <w:r>
        <w:t xml:space="preserve"> </w:t>
      </w:r>
      <w:r>
        <w:rPr>
          <w:iCs/>
          <w:i/>
        </w:rPr>
        <w:t xml:space="preserve">ṛjrendrāgra-vajra-vipra-kubra-cubra-kṣura-khura-bhadrogra-bhera-bhela-śukra-śakla-gaurava-nvera-mālāḥ</w:t>
      </w:r>
    </w:p>
    <w:p>
      <w:pPr>
        <w:pStyle w:val="FirstParagraph"/>
      </w:pPr>
      <w:r>
        <w:rPr>
          <w:iCs/>
          <w:i/>
        </w:rPr>
        <w:t xml:space="preserve">(The division of this list into words is my best reading;</w:t>
      </w:r>
      <w:r>
        <w:rPr>
          <w:iCs/>
          <w:i/>
        </w:rPr>
        <w:t xml:space="preserve"> </w:t>
      </w:r>
      <w:r>
        <w:rPr>
          <w:iCs/>
          <w:i/>
        </w:rPr>
        <w:t xml:space="preserve">“</w:t>
      </w:r>
      <w:r>
        <w:rPr>
          <w:iCs/>
          <w:i/>
        </w:rPr>
        <w:t xml:space="preserve">kubra,</w:t>
      </w:r>
      <w:r>
        <w:rPr>
          <w:iCs/>
          <w:i/>
        </w:rPr>
        <w:t xml:space="preserve">”</w:t>
      </w:r>
      <w:r>
        <w:rPr>
          <w:iCs/>
          <w:i/>
        </w:rPr>
        <w:t xml:space="preserve"> </w:t>
      </w:r>
      <w:r>
        <w:rPr>
          <w:iCs/>
          <w:i/>
        </w:rPr>
        <w:t xml:space="preserve">“</w:t>
      </w:r>
      <w:r>
        <w:rPr>
          <w:iCs/>
          <w:i/>
        </w:rPr>
        <w:t xml:space="preserve">cubra,</w:t>
      </w:r>
      <w:r>
        <w:rPr>
          <w:iCs/>
          <w:i/>
        </w:rPr>
        <w:t xml:space="preserve">”</w:t>
      </w:r>
      <w:r>
        <w:rPr>
          <w:iCs/>
          <w:i/>
        </w:rPr>
        <w:t xml:space="preserve"> </w:t>
      </w:r>
      <w:r>
        <w:rPr>
          <w:iCs/>
          <w:i/>
        </w:rPr>
        <w:t xml:space="preserve">and the last few members are not certain to me.)</w:t>
      </w:r>
      <w:r>
        <w:t xml:space="preserve"> </w:t>
      </w:r>
      <w:r>
        <w:t xml:space="preserve">By the very nipātana, the</w:t>
      </w:r>
      <w:r>
        <w:t xml:space="preserve"> </w:t>
      </w:r>
      <w:r>
        <w:t xml:space="preserve">“</w:t>
      </w:r>
      <w:r>
        <w:t xml:space="preserve">a</w:t>
      </w:r>
      <w:r>
        <w:t xml:space="preserve">”</w:t>
      </w:r>
      <w:r>
        <w:t xml:space="preserve"> </w:t>
      </w:r>
      <w:r>
        <w:t xml:space="preserve">of the root</w:t>
      </w:r>
      <w:r>
        <w:t xml:space="preserve"> </w:t>
      </w:r>
      <w:r>
        <w:t xml:space="preserve">“</w:t>
      </w:r>
      <w:r>
        <w:t xml:space="preserve">vap</w:t>
      </w:r>
      <w:r>
        <w:t xml:space="preserve">”</w:t>
      </w:r>
      <w:r>
        <w:t xml:space="preserve"> </w:t>
      </w:r>
      <w:r>
        <w:t xml:space="preserve">becomes</w:t>
      </w:r>
      <w:r>
        <w:t xml:space="preserve"> </w:t>
      </w:r>
      <w:r>
        <w:t xml:space="preserve">“</w:t>
      </w:r>
      <w:r>
        <w:t xml:space="preserve">i</w:t>
      </w:r>
      <w:r>
        <w:t xml:space="preserve">”</w:t>
      </w:r>
      <w:r>
        <w:t xml:space="preserve">, and the guṇa of the light penultimate</w:t>
      </w:r>
      <w:r>
        <w:t xml:space="preserve"> </w:t>
      </w:r>
      <w:r>
        <w:t xml:space="preserve">“</w:t>
      </w:r>
      <w:r>
        <w:t xml:space="preserve">i</w:t>
      </w:r>
      <w:r>
        <w:t xml:space="preserve">”</w:t>
      </w:r>
      <w:r>
        <w:t xml:space="preserve"> </w:t>
      </w:r>
      <w:r>
        <w:t xml:space="preserve">does not occur. Since it is n-marked, the first syllable is acute:</w:t>
      </w:r>
      <w:r>
        <w:t xml:space="preserve"> </w:t>
      </w:r>
      <w:r>
        <w:t xml:space="preserve">“</w:t>
      </w:r>
      <w:r>
        <w:t xml:space="preserve">viprajūtaḥ.</w:t>
      </w:r>
      <w:r>
        <w:t xml:space="preserve">”</w:t>
      </w:r>
      <w:r>
        <w:t xml:space="preserve"> </w:t>
      </w:r>
      <w:r>
        <w:t xml:space="preserve">“</w:t>
      </w:r>
      <w:r>
        <w:t xml:space="preserve">Jū</w:t>
      </w:r>
      <w:r>
        <w:t xml:space="preserve">”</w:t>
      </w:r>
      <w:r>
        <w:t xml:space="preserve"> </w:t>
      </w:r>
      <w:r>
        <w:t xml:space="preserve">is a sautra root (one given in the sūtras), meaning</w:t>
      </w:r>
      <w:r>
        <w:t xml:space="preserve"> </w:t>
      </w:r>
      <w:r>
        <w:t xml:space="preserve">“</w:t>
      </w:r>
      <w:r>
        <w:t xml:space="preserve">gati</w:t>
      </w:r>
      <w:r>
        <w:t xml:space="preserve">”</w:t>
      </w:r>
      <w:r>
        <w:t xml:space="preserve"> </w:t>
      </w:r>
      <w:r>
        <w:t xml:space="preserve">(going). To the</w:t>
      </w:r>
      <w:r>
        <w:t xml:space="preserve"> </w:t>
      </w:r>
      <w:r>
        <w:t xml:space="preserve">“</w:t>
      </w:r>
      <w:r>
        <w:t xml:space="preserve">kta</w:t>
      </w:r>
      <w:r>
        <w:t xml:space="preserve">”</w:t>
      </w:r>
      <w:r>
        <w:t xml:space="preserve"> </w:t>
      </w:r>
      <w:r>
        <w:t xml:space="preserve">affix that follows the root</w:t>
      </w:r>
      <w:r>
        <w:t xml:space="preserve"> </w:t>
      </w:r>
      <w:r>
        <w:t xml:space="preserve">“</w:t>
      </w:r>
      <w:r>
        <w:t xml:space="preserve">jū,</w:t>
      </w:r>
      <w:r>
        <w:t xml:space="preserve">”</w:t>
      </w:r>
      <w:r>
        <w:t xml:space="preserve"> </w:t>
      </w:r>
      <w:r>
        <w:t xml:space="preserve">“</w:t>
      </w:r>
      <w:r>
        <w:t xml:space="preserve">iṭ</w:t>
      </w:r>
      <w:r>
        <w:t xml:space="preserve">”</w:t>
      </w:r>
      <w:r>
        <w:t xml:space="preserve"> </w:t>
      </w:r>
      <w:r>
        <w:t xml:space="preserve">would come by</w:t>
      </w:r>
      <w:r>
        <w:t xml:space="preserve"> </w:t>
      </w:r>
      <w:r>
        <w:t xml:space="preserve">“</w:t>
      </w:r>
      <w:r>
        <w:t xml:space="preserve">ārdhadhātukasyeḍ valādeḥ</w:t>
      </w:r>
      <w:r>
        <w:t xml:space="preserve">”</w:t>
      </w:r>
      <w:r>
        <w:t xml:space="preserve">; but by</w:t>
      </w:r>
      <w:r>
        <w:t xml:space="preserve"> </w:t>
      </w:r>
      <w:r>
        <w:t xml:space="preserve">“</w:t>
      </w:r>
      <w:r>
        <w:t xml:space="preserve">śryukaḥ kiti</w:t>
      </w:r>
      <w:r>
        <w:t xml:space="preserve">”</w:t>
      </w:r>
      <w:r>
        <w:t xml:space="preserve"> </w:t>
      </w:r>
      <w:r>
        <w:t xml:space="preserve">(Pā. Sū. 7-2-10 [as printed]) — the root</w:t>
      </w:r>
      <w:r>
        <w:t xml:space="preserve"> </w:t>
      </w:r>
      <w:r>
        <w:t xml:space="preserve">“</w:t>
      </w:r>
      <w:r>
        <w:t xml:space="preserve">śri,</w:t>
      </w:r>
      <w:r>
        <w:t xml:space="preserve">”</w:t>
      </w:r>
      <w:r>
        <w:t xml:space="preserve"> </w:t>
      </w:r>
      <w:r>
        <w:t xml:space="preserve">and the one-syllable roots ending in the vowels</w:t>
      </w:r>
      <w:r>
        <w:t xml:space="preserve"> </w:t>
      </w:r>
      <w:r>
        <w:t xml:space="preserve">“</w:t>
      </w:r>
      <w:r>
        <w:t xml:space="preserve">u,</w:t>
      </w:r>
      <w:r>
        <w:t xml:space="preserve">”</w:t>
      </w:r>
      <w:r>
        <w:t xml:space="preserve"> </w:t>
      </w:r>
      <w:r>
        <w:t xml:space="preserve">“</w:t>
      </w:r>
      <w:r>
        <w:t xml:space="preserve">ṛ,</w:t>
      </w:r>
      <w:r>
        <w:t xml:space="preserve">”</w:t>
      </w:r>
      <w:r>
        <w:t xml:space="preserve"> </w:t>
      </w:r>
      <w:r>
        <w:t xml:space="preserve">[and others (the print’s list is unclear)] — no</w:t>
      </w:r>
      <w:r>
        <w:t xml:space="preserve"> </w:t>
      </w:r>
      <w:r>
        <w:t xml:space="preserve">“</w:t>
      </w:r>
      <w:r>
        <w:t xml:space="preserve">iṭ</w:t>
      </w:r>
      <w:r>
        <w:t xml:space="preserve">”</w:t>
      </w:r>
      <w:r>
        <w:t xml:space="preserve"> </w:t>
      </w:r>
      <w:r>
        <w:t xml:space="preserve">comes before affixes marked</w:t>
      </w:r>
      <w:r>
        <w:t xml:space="preserve"> </w:t>
      </w:r>
      <w:r>
        <w:t xml:space="preserve">“</w:t>
      </w:r>
      <w:r>
        <w:t xml:space="preserve">g,</w:t>
      </w:r>
      <w:r>
        <w:t xml:space="preserve">”</w:t>
      </w:r>
      <w:r>
        <w:t xml:space="preserve"> </w:t>
      </w:r>
      <w:r>
        <w:t xml:space="preserve">“</w:t>
      </w:r>
      <w:r>
        <w:t xml:space="preserve">k</w:t>
      </w:r>
      <w:r>
        <w:t xml:space="preserve">”</w:t>
      </w:r>
      <w:r>
        <w:t xml:space="preserve"> </w:t>
      </w:r>
      <w:r>
        <w:t xml:space="preserve">(</w:t>
      </w:r>
      <w:r>
        <w:t xml:space="preserve">“</w:t>
      </w:r>
      <w:r>
        <w:t xml:space="preserve">git,</w:t>
      </w:r>
      <w:r>
        <w:t xml:space="preserve">”</w:t>
      </w:r>
      <w:r>
        <w:t xml:space="preserve"> </w:t>
      </w:r>
      <w:r>
        <w:t xml:space="preserve">“</w:t>
      </w:r>
      <w:r>
        <w:t xml:space="preserve">kit</w:t>
      </w:r>
      <w:r>
        <w:t xml:space="preserve">”</w:t>
      </w:r>
      <w:r>
        <w:t xml:space="preserve">); so the</w:t>
      </w:r>
      <w:r>
        <w:t xml:space="preserve"> </w:t>
      </w:r>
      <w:r>
        <w:t xml:space="preserve">“</w:t>
      </w:r>
      <w:r>
        <w:t xml:space="preserve">iṭ</w:t>
      </w:r>
      <w:r>
        <w:t xml:space="preserve">”</w:t>
      </w:r>
      <w:r>
        <w:t xml:space="preserve"> </w:t>
      </w:r>
      <w:r>
        <w:t xml:space="preserve">is prohibited. Then, by</w:t>
      </w:r>
      <w:r>
        <w:t xml:space="preserve"> </w:t>
      </w:r>
      <w:r>
        <w:t xml:space="preserve">“</w:t>
      </w:r>
      <w:r>
        <w:t xml:space="preserve">tṛtīyā karmaṇi</w:t>
      </w:r>
      <w:r>
        <w:t xml:space="preserve">”</w:t>
      </w:r>
      <w:r>
        <w:t xml:space="preserve"> </w:t>
      </w:r>
      <w:r>
        <w:t xml:space="preserve">(Pā. Sū. 6-2-48) — when a word ending in the</w:t>
      </w:r>
      <w:r>
        <w:t xml:space="preserve"> </w:t>
      </w:r>
      <w:r>
        <w:t xml:space="preserve">“</w:t>
      </w:r>
      <w:r>
        <w:t xml:space="preserve">kta</w:t>
      </w:r>
      <w:r>
        <w:t xml:space="preserve">”</w:t>
      </w:r>
      <w:r>
        <w:t xml:space="preserve"> </w:t>
      </w:r>
      <w:r>
        <w:t xml:space="preserve">affix, with the sense of the object (karman), follows, a word in the instrumental case retains its natural accent (prakṛti-svara); hence the accent of the first member remains. From the root</w:t>
      </w:r>
      <w:r>
        <w:t xml:space="preserve"> </w:t>
      </w:r>
      <w:r>
        <w:t xml:space="preserve">“</w:t>
      </w:r>
      <w:r>
        <w:t xml:space="preserve">su,</w:t>
      </w:r>
      <w:r>
        <w:t xml:space="preserve">”</w:t>
      </w:r>
      <w:r>
        <w:t xml:space="preserve"> </w:t>
      </w:r>
      <w:r>
        <w:t xml:space="preserve">adding</w:t>
      </w:r>
      <w:r>
        <w:t xml:space="preserve"> </w:t>
      </w:r>
      <w:r>
        <w:t xml:space="preserve">“</w:t>
      </w:r>
      <w:r>
        <w:t xml:space="preserve">kta,</w:t>
      </w:r>
      <w:r>
        <w:t xml:space="preserve">”</w:t>
      </w:r>
      <w:r>
        <w:t xml:space="preserve"> </w:t>
      </w:r>
      <w:r>
        <w:t xml:space="preserve">one gets</w:t>
      </w:r>
      <w:r>
        <w:t xml:space="preserve"> </w:t>
      </w:r>
      <w:r>
        <w:t xml:space="preserve">“</w:t>
      </w:r>
      <w:r>
        <w:t xml:space="preserve">suta.</w:t>
      </w:r>
      <w:r>
        <w:t xml:space="preserve">”</w:t>
      </w:r>
      <w:r>
        <w:t xml:space="preserve"> </w:t>
      </w:r>
      <w:r>
        <w:t xml:space="preserve">Adding</w:t>
      </w:r>
      <w:r>
        <w:t xml:space="preserve"> </w:t>
      </w:r>
      <w:r>
        <w:t xml:space="preserve">“</w:t>
      </w:r>
      <w:r>
        <w:t xml:space="preserve">matup</w:t>
      </w:r>
      <w:r>
        <w:t xml:space="preserve">”</w:t>
      </w:r>
      <w:r>
        <w:t xml:space="preserve"> </w:t>
      </w:r>
      <w:r>
        <w:t xml:space="preserve">to it gives</w:t>
      </w:r>
      <w:r>
        <w:t xml:space="preserve"> </w:t>
      </w:r>
      <w:r>
        <w:t xml:space="preserve">“</w:t>
      </w:r>
      <w:r>
        <w:t xml:space="preserve">sutavataḥ.</w:t>
      </w:r>
      <w:r>
        <w:t xml:space="preserve">”</w:t>
      </w:r>
      <w:r>
        <w:t xml:space="preserve"> </w:t>
      </w:r>
      <w:r>
        <w:t xml:space="preserve">By Vedic usage, if the previous member is lengthened it becomes</w:t>
      </w:r>
      <w:r>
        <w:t xml:space="preserve"> </w:t>
      </w:r>
      <w:r>
        <w:t xml:space="preserve">“</w:t>
      </w:r>
      <w:r>
        <w:t xml:space="preserve">sutāvataḥ.</w:t>
      </w:r>
      <w:r>
        <w:t xml:space="preserve">”</w:t>
      </w:r>
      <w:r>
        <w:t xml:space="preserve"> </w:t>
      </w:r>
      <w:r>
        <w:t xml:space="preserve">As</w:t>
      </w:r>
      <w:r>
        <w:t xml:space="preserve"> </w:t>
      </w:r>
      <w:r>
        <w:t xml:space="preserve">“</w:t>
      </w:r>
      <w:r>
        <w:t xml:space="preserve">matup</w:t>
      </w:r>
      <w:r>
        <w:t xml:space="preserve">”</w:t>
      </w:r>
      <w:r>
        <w:t xml:space="preserve"> </w:t>
      </w:r>
      <w:r>
        <w:t xml:space="preserve">is unaccented, the accent of the</w:t>
      </w:r>
      <w:r>
        <w:t xml:space="preserve"> </w:t>
      </w:r>
      <w:r>
        <w:t xml:space="preserve">“</w:t>
      </w:r>
      <w:r>
        <w:t xml:space="preserve">kta</w:t>
      </w:r>
      <w:r>
        <w:t xml:space="preserve">”</w:t>
      </w:r>
      <w:r>
        <w:t xml:space="preserve"> </w:t>
      </w:r>
      <w:r>
        <w:t xml:space="preserve">affix remains.</w:t>
      </w:r>
      <w:r>
        <w:t xml:space="preserve"> </w:t>
      </w:r>
      <w:r>
        <w:t xml:space="preserve">“</w:t>
      </w:r>
      <w:r>
        <w:t xml:space="preserve">Brahmāṇi</w:t>
      </w:r>
      <w:r>
        <w:t xml:space="preserve">”</w:t>
      </w:r>
      <w:r>
        <w:t xml:space="preserve"> </w:t>
      </w:r>
      <w:r>
        <w:t xml:space="preserve">— by</w:t>
      </w:r>
      <w:r>
        <w:t xml:space="preserve"> </w:t>
      </w:r>
      <w:r>
        <w:t xml:space="preserve">“</w:t>
      </w:r>
      <w:r>
        <w:t xml:space="preserve">nab-viṣayasyānisantasya</w:t>
      </w:r>
      <w:r>
        <w:t xml:space="preserve">”</w:t>
      </w:r>
      <w:r>
        <w:t xml:space="preserve"> </w:t>
      </w:r>
      <w:r>
        <w:t xml:space="preserve">(Phiṭ-sūtra 26) it is acute on the first syllable. As for</w:t>
      </w:r>
      <w:r>
        <w:t xml:space="preserve"> </w:t>
      </w:r>
      <w:r>
        <w:t xml:space="preserve">“</w:t>
      </w:r>
      <w:r>
        <w:t xml:space="preserve">vāghat</w:t>
      </w:r>
      <w:r>
        <w:t xml:space="preserve">”</w:t>
      </w:r>
      <w:r>
        <w:t xml:space="preserve"> </w:t>
      </w:r>
      <w:r>
        <w:t xml:space="preserve">— since Yāska has read it among the</w:t>
      </w:r>
      <w:r>
        <w:t xml:space="preserve"> </w:t>
      </w:r>
      <w:r>
        <w:t xml:space="preserve">“</w:t>
      </w:r>
      <w:r>
        <w:t xml:space="preserve">names of priests</w:t>
      </w:r>
      <w:r>
        <w:t xml:space="preserve">”</w:t>
      </w:r>
      <w:r>
        <w:t xml:space="preserve"> </w:t>
      </w:r>
      <w:r>
        <w:t xml:space="preserve">(ṛtvij-nāmadheya)</w:t>
      </w:r>
      <w:r>
        <w:t xml:space="preserve"> </w:t>
      </w:r>
      <w:r>
        <w:rPr>
          <w:iCs/>
          <w:i/>
        </w:rPr>
        <w:t xml:space="preserve">(in the Nighaṇṭu)</w:t>
      </w:r>
      <w:r>
        <w:t xml:space="preserve">, it is a bare stem (prātipadika); hence the prātipadika-accent results. ॥५॥</w:t>
      </w:r>
    </w:p>
    <w:p>
      <w:r>
        <w:pict>
          <v:rect style="width:0;height:1.5pt" o:hralign="center" o:hrstd="t" o:hr="t"/>
        </w:pict>
      </w:r>
    </w:p>
    <w:bookmarkEnd w:id="66"/>
    <w:bookmarkStart w:id="67" w:name="sūkta-3-the-sixth-mantra"/>
    <w:p>
      <w:pPr>
        <w:pStyle w:val="Heading3"/>
      </w:pPr>
      <w:r>
        <w:t xml:space="preserve">Sūkta 3, The Sixth Mantra</w:t>
      </w:r>
    </w:p>
    <w:p>
      <w:pPr>
        <w:pStyle w:val="FirstParagraph"/>
      </w:pPr>
      <w:r>
        <w:rPr>
          <w:iCs/>
          <w:i/>
        </w:rPr>
        <w:t xml:space="preserve">(Saṃhitā accents as printed; Pada unaccented — see the note at Rik 3.5.)</w:t>
      </w:r>
    </w:p>
    <w:p>
      <w:pPr>
        <w:pStyle w:val="BodyText"/>
      </w:pPr>
      <w:r>
        <w:rPr>
          <w:bCs/>
          <w:b/>
        </w:rPr>
        <w:t xml:space="preserve">॥ Saṃhitā-pāṭhaḥ ॥</w:t>
      </w:r>
    </w:p>
    <w:p>
      <w:pPr>
        <w:pStyle w:val="BlockText"/>
      </w:pPr>
      <w:r>
        <w:t xml:space="preserve">इन्द्रा या॑हि॒ तूतु॑जान॒ उप॒ ब्रह्मा॑णि हरिवः ।</w:t>
      </w:r>
      <w:r>
        <w:t xml:space="preserve"> </w:t>
      </w:r>
      <w:r>
        <w:t xml:space="preserve">सु॒ते द॑धिष्व न॒श्चनः॑ ॥६॥</w:t>
      </w:r>
    </w:p>
    <w:p>
      <w:pPr>
        <w:pStyle w:val="BlockText"/>
      </w:pPr>
      <w:r>
        <w:rPr>
          <w:iCs/>
          <w:i/>
        </w:rPr>
        <w:t xml:space="preserve">indrā́ yāhi tū́tujāna úpa bráhmāṇi harivaḥ |</w:t>
      </w:r>
      <w:r>
        <w:t xml:space="preserve"> </w:t>
      </w:r>
      <w:r>
        <w:rPr>
          <w:iCs/>
          <w:i/>
        </w:rPr>
        <w:t xml:space="preserve">suté dadhiṣva naścánaḥ ||6||</w:t>
      </w:r>
    </w:p>
    <w:p>
      <w:pPr>
        <w:pStyle w:val="FirstParagraph"/>
      </w:pPr>
      <w:r>
        <w:rPr>
          <w:bCs/>
          <w:b/>
        </w:rPr>
        <w:t xml:space="preserve">॥ Pada-pāṭhaḥ ॥</w:t>
      </w:r>
    </w:p>
    <w:p>
      <w:pPr>
        <w:pStyle w:val="BlockText"/>
      </w:pPr>
      <w:r>
        <w:t xml:space="preserve">इन्द्र । आ । याहि । तूतुजानः । उप । ब्रह्माणि । हरिवः ।</w:t>
      </w:r>
      <w:r>
        <w:t xml:space="preserve"> </w:t>
      </w:r>
      <w:r>
        <w:t xml:space="preserve">सुते । दधिष्व । नः । चनः ॥६॥</w:t>
      </w:r>
    </w:p>
    <w:bookmarkEnd w:id="67"/>
    <w:bookmarkStart w:id="68" w:name="Xfbca63acb470031fe125b0300a30d15dff1d248"/>
    <w:p>
      <w:pPr>
        <w:pStyle w:val="Heading3"/>
      </w:pPr>
      <w:r>
        <w:t xml:space="preserve">Page 43 — Sūkta 3, Sixth Mantra: Sāyaṇa-bhāṣya, grammar, Pada-meanings, Bhāvārtha</w:t>
      </w:r>
    </w:p>
    <w:p>
      <w:pPr>
        <w:pStyle w:val="FirstParagraph"/>
      </w:pPr>
      <w:r>
        <w:rPr>
          <w:iCs/>
          <w:i/>
        </w:rPr>
        <w:t xml:space="preserve">(Page header:</w:t>
      </w:r>
      <w:r>
        <w:rPr>
          <w:iCs/>
          <w:i/>
        </w:rPr>
        <w:t xml:space="preserve"> </w:t>
      </w:r>
      <w:r>
        <w:rPr>
          <w:iCs/>
          <w:i/>
        </w:rPr>
        <w:t xml:space="preserve">“</w:t>
      </w:r>
      <w:r>
        <w:rPr>
          <w:iCs/>
          <w:i/>
        </w:rPr>
        <w:t xml:space="preserve">Aṣṭaka 1, Adhyāya 1, Varga 5 · Ṛgveda-saṃhitā.</w:t>
      </w:r>
      <w:r>
        <w:rPr>
          <w:iCs/>
          <w:i/>
        </w:rPr>
        <w:t xml:space="preserve">”</w:t>
      </w:r>
      <w:r>
        <w:rPr>
          <w:iCs/>
          <w:i/>
        </w:rPr>
        <w:t xml:space="preserve"> </w:t>
      </w:r>
      <w:r>
        <w:rPr>
          <w:iCs/>
          <w:i/>
        </w:rPr>
        <w:t xml:space="preserve">Sanskrit is printed in Kannada script and rendered here into Devanagari/IAST.)</w:t>
      </w:r>
    </w:p>
    <w:p>
      <w:pPr>
        <w:pStyle w:val="BodyText"/>
      </w:pPr>
      <w:r>
        <w:rPr>
          <w:bCs/>
          <w:b/>
        </w:rPr>
        <w:t xml:space="preserve">॥ Sāyaṇa-bhāṣyam ॥</w:t>
      </w:r>
    </w:p>
    <w:p>
      <w:pPr>
        <w:pStyle w:val="BlockText"/>
      </w:pPr>
      <w:r>
        <w:t xml:space="preserve">हरिशब्द इन्द्रसंबन्धिनोरश्वयोर्नामधेयम् । हरी इन्द्रस्य रोहितोऽग्नेरिति तदीयाश्वनामत्वेन पठितत्वात् । हे हरिवः अश्वयुक्तेन्द्र त्वं ब्रह्माण्युपैतुमा याहि । कीदृशस्त्वम् । तूतुजानः त्वरमाणः । आगत्य चास्मिन्सुते सोमाभिषवयुक्ते कर्मणि नोऽस्मदीयं चनोऽन्नं हविर्लक्षणं दधिष्व धारय । स्वीकुर्वित्यर्थः ।</w:t>
      </w:r>
      <w:r>
        <w:t xml:space="preserve"> </w:t>
      </w:r>
      <w:r>
        <w:rPr>
          <w:iCs/>
          <w:i/>
        </w:rPr>
        <w:t xml:space="preserve">hari-śabda indra-sambandhinor aśvayor nāmadheyam | harī indrasya rohito ’gner iti tadīyāśva-nāmatvena paṭhitatvāt | he harivaḥ aśvayuktendra tvaṃ brahmāṇy upaitum ā yāhi | kīdṛśas tvam | tūtujānaḥ tvaramāṇaḥ | āgatya cāsmin sute somābhiṣava-yukte karmaṇi no ’smadīyaṃ cano ’nnaṃ havir-lakṣaṇaṃ dadhiṣva dhāraya | svīkurv ity arthaḥ |</w:t>
      </w:r>
    </w:p>
    <w:p>
      <w:pPr>
        <w:pStyle w:val="FirstParagraph"/>
      </w:pPr>
      <w:r>
        <w:rPr>
          <w:bCs/>
          <w:b/>
        </w:rPr>
        <w:t xml:space="preserve">Translation:</w:t>
      </w:r>
      <w:r>
        <w:t xml:space="preserve"> </w:t>
      </w:r>
      <w:r>
        <w:t xml:space="preserve">“</w:t>
      </w:r>
      <w:r>
        <w:t xml:space="preserve">The word</w:t>
      </w:r>
      <w:r>
        <w:t xml:space="preserve"> </w:t>
      </w:r>
      <w:r>
        <w:t xml:space="preserve">‘</w:t>
      </w:r>
      <w:r>
        <w:t xml:space="preserve">hari</w:t>
      </w:r>
      <w:r>
        <w:t xml:space="preserve">’</w:t>
      </w:r>
      <w:r>
        <w:t xml:space="preserve"> </w:t>
      </w:r>
      <w:r>
        <w:t xml:space="preserve">is the name of the two horses connected with Indra, since it is read as the name of his (Indra’s) horses in</w:t>
      </w:r>
      <w:r>
        <w:t xml:space="preserve"> </w:t>
      </w:r>
      <w:r>
        <w:t xml:space="preserve">‘</w:t>
      </w:r>
      <w:r>
        <w:rPr>
          <w:iCs/>
          <w:i/>
        </w:rPr>
        <w:t xml:space="preserve">harī indrasya, rohita agneḥ</w:t>
      </w:r>
      <w:r>
        <w:t xml:space="preserve">’</w:t>
      </w:r>
      <w:r>
        <w:t xml:space="preserve"> </w:t>
      </w:r>
      <w:r>
        <w:t xml:space="preserve">(</w:t>
      </w:r>
      <w:r>
        <w:t xml:space="preserve">‘</w:t>
      </w:r>
      <w:r>
        <w:t xml:space="preserve">the two Haris are Indra’s, the Rohita is Agni’s</w:t>
      </w:r>
      <w:r>
        <w:t xml:space="preserve">’</w:t>
      </w:r>
      <w:r>
        <w:t xml:space="preserve"> </w:t>
      </w:r>
      <w:r>
        <w:t xml:space="preserve">— the Nighaṇṭu’s list of horse-names). O</w:t>
      </w:r>
      <w:r>
        <w:t xml:space="preserve"> </w:t>
      </w:r>
      <w:r>
        <w:t xml:space="preserve">‘</w:t>
      </w:r>
      <w:r>
        <w:t xml:space="preserve">harivaḥ</w:t>
      </w:r>
      <w:r>
        <w:t xml:space="preserve">’</w:t>
      </w:r>
      <w:r>
        <w:t xml:space="preserve"> </w:t>
      </w:r>
      <w:r>
        <w:t xml:space="preserve">— O Indra, yoked with horses — come to approach our</w:t>
      </w:r>
      <w:r>
        <w:t xml:space="preserve"> </w:t>
      </w:r>
      <w:r>
        <w:t xml:space="preserve">‘</w:t>
      </w:r>
      <w:r>
        <w:t xml:space="preserve">brahmāṇi.</w:t>
      </w:r>
      <w:r>
        <w:t xml:space="preserve">’</w:t>
      </w:r>
      <w:r>
        <w:t xml:space="preserve"> </w:t>
      </w:r>
      <w:r>
        <w:t xml:space="preserve">What kind of one are you?</w:t>
      </w:r>
      <w:r>
        <w:t xml:space="preserve"> </w:t>
      </w:r>
      <w:r>
        <w:t xml:space="preserve">‘</w:t>
      </w:r>
      <w:r>
        <w:t xml:space="preserve">Tūtujānaḥ</w:t>
      </w:r>
      <w:r>
        <w:t xml:space="preserve">’</w:t>
      </w:r>
      <w:r>
        <w:t xml:space="preserve"> </w:t>
      </w:r>
      <w:r>
        <w:t xml:space="preserve">— hastening. And having come, in this</w:t>
      </w:r>
      <w:r>
        <w:t xml:space="preserve"> </w:t>
      </w:r>
      <w:r>
        <w:t xml:space="preserve">‘</w:t>
      </w:r>
      <w:r>
        <w:t xml:space="preserve">sute</w:t>
      </w:r>
      <w:r>
        <w:t xml:space="preserve">’</w:t>
      </w:r>
      <w:r>
        <w:t xml:space="preserve"> </w:t>
      </w:r>
      <w:r>
        <w:t xml:space="preserve">(this rite attended with the pressing of Soma), hold (</w:t>
      </w:r>
      <w:r>
        <w:t xml:space="preserve">‘</w:t>
      </w:r>
      <w:r>
        <w:t xml:space="preserve">dadhiṣva</w:t>
      </w:r>
      <w:r>
        <w:t xml:space="preserve">’</w:t>
      </w:r>
      <w:r>
        <w:t xml:space="preserve">) — that is, accept (</w:t>
      </w:r>
      <w:r>
        <w:t xml:space="preserve">‘</w:t>
      </w:r>
      <w:r>
        <w:t xml:space="preserve">svīkuru</w:t>
      </w:r>
      <w:r>
        <w:t xml:space="preserve">’</w:t>
      </w:r>
      <w:r>
        <w:t xml:space="preserve">) — our</w:t>
      </w:r>
      <w:r>
        <w:t xml:space="preserve"> </w:t>
      </w:r>
      <w:r>
        <w:t xml:space="preserve">‘</w:t>
      </w:r>
      <w:r>
        <w:t xml:space="preserve">canaḥ,</w:t>
      </w:r>
      <w:r>
        <w:t xml:space="preserve">’</w:t>
      </w:r>
      <w:r>
        <w:t xml:space="preserve"> </w:t>
      </w:r>
      <w:r>
        <w:t xml:space="preserve">our food, of the nature of the oblation.</w:t>
      </w:r>
      <w:r>
        <w:t xml:space="preserve">”</w:t>
      </w:r>
    </w:p>
    <w:p>
      <w:pPr>
        <w:pStyle w:val="BodyText"/>
      </w:pPr>
      <w:r>
        <w:rPr>
          <w:iCs/>
          <w:i/>
        </w:rPr>
        <w:t xml:space="preserve">(Reading note: the first letter of</w:t>
      </w:r>
      <w:r>
        <w:rPr>
          <w:iCs/>
          <w:i/>
        </w:rPr>
        <w:t xml:space="preserve"> </w:t>
      </w:r>
      <w:r>
        <w:rPr>
          <w:iCs/>
          <w:i/>
        </w:rPr>
        <w:t xml:space="preserve">“</w:t>
      </w:r>
      <w:r>
        <w:rPr>
          <w:iCs/>
          <w:i/>
        </w:rPr>
        <w:t xml:space="preserve">tadīya</w:t>
      </w:r>
      <w:r>
        <w:rPr>
          <w:iCs/>
          <w:i/>
        </w:rPr>
        <w:t xml:space="preserve">”</w:t>
      </w:r>
      <w:r>
        <w:rPr>
          <w:iCs/>
          <w:i/>
        </w:rPr>
        <w:t xml:space="preserve"> </w:t>
      </w:r>
      <w:r>
        <w:rPr>
          <w:iCs/>
          <w:i/>
        </w:rPr>
        <w:t xml:space="preserve">is clear in the second scan as</w:t>
      </w:r>
      <w:r>
        <w:rPr>
          <w:iCs/>
          <w:i/>
        </w:rPr>
        <w:t xml:space="preserve"> </w:t>
      </w:r>
      <w:r>
        <w:rPr>
          <w:iCs/>
          <w:i/>
        </w:rPr>
        <w:t xml:space="preserve">“</w:t>
      </w:r>
      <w:r>
        <w:rPr>
          <w:iCs/>
          <w:i/>
        </w:rPr>
        <w:t xml:space="preserve">ta</w:t>
      </w:r>
      <w:r>
        <w:rPr>
          <w:iCs/>
          <w:i/>
        </w:rPr>
        <w:t xml:space="preserve">”</w:t>
      </w:r>
      <w:r>
        <w:rPr>
          <w:iCs/>
          <w:i/>
        </w:rPr>
        <w:t xml:space="preserve">:</w:t>
      </w:r>
      <w:r>
        <w:rPr>
          <w:iCs/>
          <w:i/>
        </w:rPr>
        <w:t xml:space="preserve"> </w:t>
      </w:r>
      <w:r>
        <w:rPr>
          <w:iCs/>
          <w:i/>
        </w:rPr>
        <w:t xml:space="preserve">“</w:t>
      </w:r>
      <w:r>
        <w:rPr>
          <w:iCs/>
          <w:i/>
        </w:rPr>
        <w:t xml:space="preserve">tadīyāśva-nāmatvena</w:t>
      </w:r>
      <w:r>
        <w:rPr>
          <w:iCs/>
          <w:i/>
        </w:rPr>
        <w:t xml:space="preserve">”</w:t>
      </w:r>
      <w:r>
        <w:rPr>
          <w:iCs/>
          <w:i/>
        </w:rPr>
        <w:t xml:space="preserve"> </w:t>
      </w:r>
      <w:r>
        <w:rPr>
          <w:iCs/>
          <w:i/>
        </w:rPr>
        <w:t xml:space="preserve">(</w:t>
      </w:r>
      <w:r>
        <w:rPr>
          <w:iCs/>
          <w:i/>
        </w:rPr>
        <w:t xml:space="preserve">“</w:t>
      </w:r>
      <w:r>
        <w:rPr>
          <w:iCs/>
          <w:i/>
        </w:rPr>
        <w:t xml:space="preserve">because they are read as horse-names belonging to him</w:t>
      </w:r>
      <w:r>
        <w:rPr>
          <w:iCs/>
          <w:i/>
        </w:rPr>
        <w:t xml:space="preserve">”</w:t>
      </w:r>
      <w:r>
        <w:rPr>
          <w:iCs/>
          <w:i/>
        </w:rPr>
        <w:t xml:space="preserve">).)</w:t>
      </w:r>
    </w:p>
    <w:p>
      <w:pPr>
        <w:pStyle w:val="BodyText"/>
      </w:pPr>
      <w:r>
        <w:rPr>
          <w:bCs/>
          <w:b/>
        </w:rPr>
        <w:t xml:space="preserve">॥ Vyākaraṇa-prakriyā within the Bhāṣya ॥</w:t>
      </w:r>
      <w:r>
        <w:t xml:space="preserve"> </w:t>
      </w:r>
      <w:r>
        <w:t xml:space="preserve">—</w:t>
      </w:r>
      <w:r>
        <w:t xml:space="preserve"> </w:t>
      </w:r>
      <w:r>
        <w:rPr>
          <w:iCs/>
          <w:i/>
        </w:rPr>
        <w:t xml:space="preserve">characterized, not transcribed line-by-line, per the standing convention for dense grammatical derivations; the sūtras it cites are listed in full below.</w:t>
      </w:r>
    </w:p>
    <w:p>
      <w:pPr>
        <w:pStyle w:val="BodyText"/>
      </w:pPr>
      <w:r>
        <w:t xml:space="preserve">The Bhāṣya’s grammar on this page derives:</w:t>
      </w:r>
      <w:r>
        <w:t xml:space="preserve"> </w:t>
      </w:r>
      <w:r>
        <w:rPr>
          <w:bCs/>
          <w:b/>
        </w:rPr>
        <w:t xml:space="preserve">(a)</w:t>
      </w:r>
      <w:r>
        <w:rPr>
          <w:bCs/>
          <w:b/>
        </w:rPr>
        <w:t xml:space="preserve"> </w:t>
      </w:r>
      <w:r>
        <w:rPr>
          <w:bCs/>
          <w:b/>
        </w:rPr>
        <w:t xml:space="preserve">“</w:t>
      </w:r>
      <w:r>
        <w:rPr>
          <w:bCs/>
          <w:b/>
        </w:rPr>
        <w:t xml:space="preserve">tūtujānaḥ</w:t>
      </w:r>
      <w:r>
        <w:rPr>
          <w:bCs/>
          <w:b/>
        </w:rPr>
        <w:t xml:space="preserve">”</w:t>
      </w:r>
      <w:r>
        <w:t xml:space="preserve"> </w:t>
      </w:r>
      <w:r>
        <w:t xml:space="preserve">(root</w:t>
      </w:r>
      <w:r>
        <w:t xml:space="preserve"> </w:t>
      </w:r>
      <w:r>
        <w:t xml:space="preserve">“</w:t>
      </w:r>
      <w:r>
        <w:t xml:space="preserve">tuj</w:t>
      </w:r>
      <w:r>
        <w:t xml:space="preserve">”</w:t>
      </w:r>
      <w:r>
        <w:t xml:space="preserve">),</w:t>
      </w:r>
      <w:r>
        <w:t xml:space="preserve"> </w:t>
      </w:r>
      <w:r>
        <w:rPr>
          <w:bCs/>
          <w:b/>
        </w:rPr>
        <w:t xml:space="preserve">(b)</w:t>
      </w:r>
      <w:r>
        <w:rPr>
          <w:bCs/>
          <w:b/>
        </w:rPr>
        <w:t xml:space="preserve"> </w:t>
      </w:r>
      <w:r>
        <w:rPr>
          <w:bCs/>
          <w:b/>
        </w:rPr>
        <w:t xml:space="preserve">“</w:t>
      </w:r>
      <w:r>
        <w:rPr>
          <w:bCs/>
          <w:b/>
        </w:rPr>
        <w:t xml:space="preserve">harivaḥ</w:t>
      </w:r>
      <w:r>
        <w:rPr>
          <w:bCs/>
          <w:b/>
        </w:rPr>
        <w:t xml:space="preserve">”</w:t>
      </w:r>
      <w:r>
        <w:t xml:space="preserve"> </w:t>
      </w:r>
      <w:r>
        <w:t xml:space="preserve">(vocative of</w:t>
      </w:r>
      <w:r>
        <w:t xml:space="preserve"> </w:t>
      </w:r>
      <w:r>
        <w:t xml:space="preserve">“</w:t>
      </w:r>
      <w:r>
        <w:t xml:space="preserve">hari-vat</w:t>
      </w:r>
      <w:r>
        <w:t xml:space="preserve">”</w:t>
      </w:r>
      <w:r>
        <w:t xml:space="preserve">),</w:t>
      </w:r>
      <w:r>
        <w:t xml:space="preserve"> </w:t>
      </w:r>
      <w:r>
        <w:rPr>
          <w:bCs/>
          <w:b/>
        </w:rPr>
        <w:t xml:space="preserve">(c)</w:t>
      </w:r>
      <w:r>
        <w:rPr>
          <w:bCs/>
          <w:b/>
        </w:rPr>
        <w:t xml:space="preserve"> </w:t>
      </w:r>
      <w:r>
        <w:rPr>
          <w:bCs/>
          <w:b/>
        </w:rPr>
        <w:t xml:space="preserve">“</w:t>
      </w:r>
      <w:r>
        <w:rPr>
          <w:bCs/>
          <w:b/>
        </w:rPr>
        <w:t xml:space="preserve">dadhiṣva</w:t>
      </w:r>
      <w:r>
        <w:rPr>
          <w:bCs/>
          <w:b/>
        </w:rPr>
        <w:t xml:space="preserve">”</w:t>
      </w:r>
      <w:r>
        <w:t xml:space="preserve"> </w:t>
      </w:r>
      <w:r>
        <w:t xml:space="preserve">(root</w:t>
      </w:r>
      <w:r>
        <w:t xml:space="preserve"> </w:t>
      </w:r>
      <w:r>
        <w:t xml:space="preserve">“</w:t>
      </w:r>
      <w:r>
        <w:t xml:space="preserve">dhā,</w:t>
      </w:r>
      <w:r>
        <w:t xml:space="preserve">”</w:t>
      </w:r>
      <w:r>
        <w:t xml:space="preserve"> </w:t>
      </w:r>
      <w:r>
        <w:t xml:space="preserve">imperative, middle), and</w:t>
      </w:r>
      <w:r>
        <w:t xml:space="preserve"> </w:t>
      </w:r>
      <w:r>
        <w:rPr>
          <w:bCs/>
          <w:b/>
        </w:rPr>
        <w:t xml:space="preserve">(d)</w:t>
      </w:r>
      <w:r>
        <w:rPr>
          <w:bCs/>
          <w:b/>
        </w:rPr>
        <w:t xml:space="preserve"> </w:t>
      </w:r>
      <w:r>
        <w:rPr>
          <w:bCs/>
          <w:b/>
        </w:rPr>
        <w:t xml:space="preserve">“</w:t>
      </w:r>
      <w:r>
        <w:rPr>
          <w:bCs/>
          <w:b/>
        </w:rPr>
        <w:t xml:space="preserve">canaḥ</w:t>
      </w:r>
      <w:r>
        <w:rPr>
          <w:bCs/>
          <w:b/>
        </w:rPr>
        <w:t xml:space="preserve">”</w:t>
      </w:r>
      <w:r>
        <w:t xml:space="preserve"> </w:t>
      </w:r>
      <w:r>
        <w:t xml:space="preserve">(from</w:t>
      </w:r>
      <w:r>
        <w:t xml:space="preserve"> </w:t>
      </w:r>
      <w:r>
        <w:t xml:space="preserve">“</w:t>
      </w:r>
      <w:r>
        <w:t xml:space="preserve">cāy</w:t>
      </w:r>
      <w:r>
        <w:t xml:space="preserve">”</w:t>
      </w:r>
      <w:r>
        <w:t xml:space="preserve">), and discusses the accent of</w:t>
      </w:r>
      <w:r>
        <w:t xml:space="preserve"> </w:t>
      </w:r>
      <w:r>
        <w:t xml:space="preserve">“</w:t>
      </w:r>
      <w:r>
        <w:t xml:space="preserve">brahmāṇi</w:t>
      </w:r>
      <w:r>
        <w:t xml:space="preserve">”</w:t>
      </w:r>
      <w:r>
        <w:t xml:space="preserve"> </w:t>
      </w:r>
      <w:r>
        <w:t xml:space="preserve">and its effect on the preceding</w:t>
      </w:r>
      <w:r>
        <w:t xml:space="preserve"> </w:t>
      </w:r>
      <w:r>
        <w:t xml:space="preserve">“</w:t>
      </w:r>
      <w:r>
        <w:t xml:space="preserve">upa.</w:t>
      </w:r>
      <w:r>
        <w:t xml:space="preserve">”</w:t>
      </w:r>
      <w:r>
        <w:t xml:space="preserve"> </w:t>
      </w:r>
      <w:r>
        <w:t xml:space="preserve">One sentence in the middle of this block (the one beginning</w:t>
      </w:r>
      <w:r>
        <w:t xml:space="preserve"> </w:t>
      </w:r>
      <w:r>
        <w:t xml:space="preserve">“</w:t>
      </w:r>
      <w:r>
        <w:t xml:space="preserve">brahmāṇīty asya harivaḥ…</w:t>
      </w:r>
      <w:r>
        <w:t xml:space="preserve">”</w:t>
      </w:r>
      <w:r>
        <w:t xml:space="preserve"> </w:t>
      </w:r>
      <w:r>
        <w:t xml:space="preserve">and running through</w:t>
      </w:r>
      <w:r>
        <w:t xml:space="preserve"> </w:t>
      </w:r>
      <w:r>
        <w:t xml:space="preserve">“</w:t>
      </w:r>
      <w:r>
        <w:t xml:space="preserve">…upety ekārasya sannataraḥ</w:t>
      </w:r>
      <w:r>
        <w:t xml:space="preserve">”</w:t>
      </w:r>
      <w:r>
        <w:t xml:space="preserve">) is too garbled in the print for me to give a reliable reading, so I do not transcribe or translate it; what is plain from it is that it is about why the vocative</w:t>
      </w:r>
      <w:r>
        <w:t xml:space="preserve"> </w:t>
      </w:r>
      <w:r>
        <w:t xml:space="preserve">“</w:t>
      </w:r>
      <w:r>
        <w:t xml:space="preserve">harivaḥ</w:t>
      </w:r>
      <w:r>
        <w:t xml:space="preserve">”</w:t>
      </w:r>
      <w:r>
        <w:t xml:space="preserve"> </w:t>
      </w:r>
      <w:r>
        <w:t xml:space="preserve">and the following word are accented as they are, and about the</w:t>
      </w:r>
      <w:r>
        <w:t xml:space="preserve"> </w:t>
      </w:r>
      <w:r>
        <w:t xml:space="preserve">“</w:t>
      </w:r>
      <w:r>
        <w:t xml:space="preserve">sannatara</w:t>
      </w:r>
      <w:r>
        <w:t xml:space="preserve">”</w:t>
      </w:r>
      <w:r>
        <w:t xml:space="preserve"> </w:t>
      </w:r>
      <w:r>
        <w:t xml:space="preserve">(lowered-pitch) accent on the syllable of</w:t>
      </w:r>
      <w:r>
        <w:t xml:space="preserve"> </w:t>
      </w:r>
      <w:r>
        <w:t xml:space="preserve">“</w:t>
      </w:r>
      <w:r>
        <w:t xml:space="preserve">upa.</w:t>
      </w:r>
      <w:r>
        <w:t xml:space="preserve">”</w:t>
      </w:r>
      <w:r>
        <w:t xml:space="preserve"> </w:t>
      </w:r>
      <w:r>
        <w:t xml:space="preserve">The sūtras cited are as follows (numbers as printed; the Sanskrit lines are in the print’s own wording):</w:t>
      </w:r>
    </w:p>
    <w:p>
      <w:pPr>
        <w:numPr>
          <w:ilvl w:val="0"/>
          <w:numId w:val="1004"/>
        </w:numPr>
        <w:pStyle w:val="Compact"/>
      </w:pPr>
      <w:r>
        <w:rPr>
          <w:iCs/>
          <w:i/>
        </w:rPr>
        <w:t xml:space="preserve">“</w:t>
      </w:r>
      <w:r>
        <w:rPr>
          <w:iCs/>
          <w:i/>
        </w:rPr>
        <w:t xml:space="preserve">tuj-er liṭi liṭaḥ kānaj vā</w:t>
      </w:r>
      <w:r>
        <w:rPr>
          <w:iCs/>
          <w:i/>
        </w:rPr>
        <w:t xml:space="preserve">”</w:t>
      </w:r>
      <w:r>
        <w:t xml:space="preserve"> </w:t>
      </w:r>
      <w:r>
        <w:t xml:space="preserve">—</w:t>
      </w:r>
      <w:r>
        <w:t xml:space="preserve"> </w:t>
      </w:r>
      <w:r>
        <w:rPr>
          <w:bCs/>
          <w:b/>
        </w:rPr>
        <w:t xml:space="preserve">तुजेर्लिटि लिटः कानज्वा</w:t>
      </w:r>
      <w:r>
        <w:t xml:space="preserve"> </w:t>
      </w:r>
      <w:r>
        <w:t xml:space="preserve">(पा. ३-२-१०६) —</w:t>
      </w:r>
      <w:r>
        <w:t xml:space="preserve"> </w:t>
      </w:r>
      <w:r>
        <w:t xml:space="preserve">“</w:t>
      </w:r>
      <w:r>
        <w:t xml:space="preserve">the substitute</w:t>
      </w:r>
      <w:r>
        <w:t xml:space="preserve"> </w:t>
      </w:r>
      <w:r>
        <w:t xml:space="preserve">‘</w:t>
      </w:r>
      <w:r>
        <w:t xml:space="preserve">kānac</w:t>
      </w:r>
      <w:r>
        <w:t xml:space="preserve">’</w:t>
      </w:r>
      <w:r>
        <w:t xml:space="preserve"> </w:t>
      </w:r>
      <w:r>
        <w:t xml:space="preserve">for</w:t>
      </w:r>
      <w:r>
        <w:t xml:space="preserve"> </w:t>
      </w:r>
      <w:r>
        <w:t xml:space="preserve">‘</w:t>
      </w:r>
      <w:r>
        <w:t xml:space="preserve">liṭ</w:t>
      </w:r>
      <w:r>
        <w:t xml:space="preserve">’</w:t>
      </w:r>
      <w:r>
        <w:t xml:space="preserve">”</w:t>
      </w:r>
      <w:r>
        <w:t xml:space="preserve"> </w:t>
      </w:r>
      <w:r>
        <w:t xml:space="preserve">→</w:t>
      </w:r>
      <w:r>
        <w:t xml:space="preserve"> </w:t>
      </w:r>
      <w:r>
        <w:t xml:space="preserve">“</w:t>
      </w:r>
      <w:r>
        <w:t xml:space="preserve">tūtujānaḥ.</w:t>
      </w:r>
      <w:r>
        <w:t xml:space="preserve">”</w:t>
      </w:r>
      <w:r>
        <w:t xml:space="preserve"> </w:t>
      </w:r>
      <w:r>
        <w:rPr>
          <w:iCs/>
          <w:i/>
        </w:rPr>
        <w:t xml:space="preserve">(The print has</w:t>
      </w:r>
      <w:r>
        <w:rPr>
          <w:iCs/>
          <w:i/>
        </w:rPr>
        <w:t xml:space="preserve"> </w:t>
      </w:r>
      <w:r>
        <w:rPr>
          <w:iCs/>
          <w:i/>
        </w:rPr>
        <w:t xml:space="preserve">“</w:t>
      </w:r>
      <w:r>
        <w:rPr>
          <w:iCs/>
          <w:i/>
        </w:rPr>
        <w:t xml:space="preserve">pujer</w:t>
      </w:r>
      <w:r>
        <w:rPr>
          <w:iCs/>
          <w:i/>
        </w:rPr>
        <w:t xml:space="preserve">”</w:t>
      </w:r>
      <w:r>
        <w:rPr>
          <w:iCs/>
          <w:i/>
        </w:rPr>
        <w:t xml:space="preserve"> </w:t>
      </w:r>
      <w:r>
        <w:rPr>
          <w:iCs/>
          <w:i/>
        </w:rPr>
        <w:t xml:space="preserve">for</w:t>
      </w:r>
      <w:r>
        <w:rPr>
          <w:iCs/>
          <w:i/>
        </w:rPr>
        <w:t xml:space="preserve"> </w:t>
      </w:r>
      <w:r>
        <w:rPr>
          <w:iCs/>
          <w:i/>
        </w:rPr>
        <w:t xml:space="preserve">“</w:t>
      </w:r>
      <w:r>
        <w:rPr>
          <w:iCs/>
          <w:i/>
        </w:rPr>
        <w:t xml:space="preserve">tujer</w:t>
      </w:r>
      <w:r>
        <w:rPr>
          <w:iCs/>
          <w:i/>
        </w:rPr>
        <w:t xml:space="preserve">”</w:t>
      </w:r>
      <w:r>
        <w:rPr>
          <w:iCs/>
          <w:i/>
        </w:rPr>
        <w:t xml:space="preserve">; I read</w:t>
      </w:r>
      <w:r>
        <w:rPr>
          <w:iCs/>
          <w:i/>
        </w:rPr>
        <w:t xml:space="preserve"> </w:t>
      </w:r>
      <w:r>
        <w:rPr>
          <w:iCs/>
          <w:i/>
        </w:rPr>
        <w:t xml:space="preserve">“</w:t>
      </w:r>
      <w:r>
        <w:rPr>
          <w:iCs/>
          <w:i/>
        </w:rPr>
        <w:t xml:space="preserve">tuj</w:t>
      </w:r>
      <w:r>
        <w:rPr>
          <w:iCs/>
          <w:i/>
        </w:rPr>
        <w:t xml:space="preserve">”</w:t>
      </w:r>
      <w:r>
        <w:rPr>
          <w:iCs/>
          <w:i/>
        </w:rPr>
        <w:t xml:space="preserve"> </w:t>
      </w:r>
      <w:r>
        <w:rPr>
          <w:iCs/>
          <w:i/>
        </w:rPr>
        <w:t xml:space="preserve">as the root.)</w:t>
      </w:r>
    </w:p>
    <w:p>
      <w:pPr>
        <w:numPr>
          <w:ilvl w:val="0"/>
          <w:numId w:val="1004"/>
        </w:numPr>
        <w:pStyle w:val="Compact"/>
      </w:pPr>
      <w:r>
        <w:rPr>
          <w:iCs/>
          <w:i/>
        </w:rPr>
        <w:t xml:space="preserve">“</w:t>
      </w:r>
      <w:r>
        <w:rPr>
          <w:iCs/>
          <w:i/>
        </w:rPr>
        <w:t xml:space="preserve">tujādīnāṃ dīrgho ’bhyāsasya</w:t>
      </w:r>
      <w:r>
        <w:rPr>
          <w:iCs/>
          <w:i/>
        </w:rPr>
        <w:t xml:space="preserve">”</w:t>
      </w:r>
      <w:r>
        <w:t xml:space="preserve"> </w:t>
      </w:r>
      <w:r>
        <w:t xml:space="preserve">—</w:t>
      </w:r>
      <w:r>
        <w:t xml:space="preserve"> </w:t>
      </w:r>
      <w:r>
        <w:rPr>
          <w:bCs/>
          <w:b/>
        </w:rPr>
        <w:t xml:space="preserve">तुजादीनां दीर्घोऽभ्यासस्य</w:t>
      </w:r>
      <w:r>
        <w:t xml:space="preserve"> </w:t>
      </w:r>
      <w:r>
        <w:t xml:space="preserve">(पा. ६-१-७) — the reduplicative syllable is lengthened.</w:t>
      </w:r>
    </w:p>
    <w:p>
      <w:pPr>
        <w:numPr>
          <w:ilvl w:val="0"/>
          <w:numId w:val="1004"/>
        </w:numPr>
        <w:pStyle w:val="Compact"/>
      </w:pPr>
      <w:r>
        <w:rPr>
          <w:iCs/>
          <w:i/>
        </w:rPr>
        <w:t xml:space="preserve">“</w:t>
      </w:r>
      <w:r>
        <w:rPr>
          <w:iCs/>
          <w:i/>
        </w:rPr>
        <w:t xml:space="preserve">abhyastānām ādiḥ</w:t>
      </w:r>
      <w:r>
        <w:rPr>
          <w:iCs/>
          <w:i/>
        </w:rPr>
        <w:t xml:space="preserve">”</w:t>
      </w:r>
      <w:r>
        <w:t xml:space="preserve"> </w:t>
      </w:r>
      <w:r>
        <w:t xml:space="preserve">—</w:t>
      </w:r>
      <w:r>
        <w:t xml:space="preserve"> </w:t>
      </w:r>
      <w:r>
        <w:rPr>
          <w:bCs/>
          <w:b/>
        </w:rPr>
        <w:t xml:space="preserve">अभ्यस्तानामादिः</w:t>
      </w:r>
      <w:r>
        <w:t xml:space="preserve"> </w:t>
      </w:r>
      <w:r>
        <w:t xml:space="preserve">(पा. ६-१-१८९) — first syllable acute.</w:t>
      </w:r>
    </w:p>
    <w:p>
      <w:pPr>
        <w:numPr>
          <w:ilvl w:val="0"/>
          <w:numId w:val="1004"/>
        </w:numPr>
        <w:pStyle w:val="Compact"/>
      </w:pPr>
      <w:r>
        <w:rPr>
          <w:iCs/>
          <w:i/>
        </w:rPr>
        <w:t xml:space="preserve">“</w:t>
      </w:r>
      <w:r>
        <w:rPr>
          <w:iCs/>
          <w:i/>
        </w:rPr>
        <w:t xml:space="preserve">chandasīraḥ</w:t>
      </w:r>
      <w:r>
        <w:rPr>
          <w:iCs/>
          <w:i/>
        </w:rPr>
        <w:t xml:space="preserve">”</w:t>
      </w:r>
      <w:r>
        <w:t xml:space="preserve"> </w:t>
      </w:r>
      <w:r>
        <w:t xml:space="preserve">—</w:t>
      </w:r>
      <w:r>
        <w:t xml:space="preserve"> </w:t>
      </w:r>
      <w:r>
        <w:rPr>
          <w:bCs/>
          <w:b/>
        </w:rPr>
        <w:t xml:space="preserve">छन्दसीरः</w:t>
      </w:r>
      <w:r>
        <w:t xml:space="preserve"> </w:t>
      </w:r>
      <w:r>
        <w:t xml:space="preserve">(पा. ८-२-१५) —</w:t>
      </w:r>
      <w:r>
        <w:t xml:space="preserve"> </w:t>
      </w:r>
      <w:r>
        <w:t xml:space="preserve">“</w:t>
      </w:r>
      <w:r>
        <w:t xml:space="preserve">m</w:t>
      </w:r>
      <w:r>
        <w:t xml:space="preserve">”</w:t>
      </w:r>
      <w:r>
        <w:t xml:space="preserve"> </w:t>
      </w:r>
      <w:r>
        <w:t xml:space="preserve">of</w:t>
      </w:r>
      <w:r>
        <w:t xml:space="preserve"> </w:t>
      </w:r>
      <w:r>
        <w:t xml:space="preserve">“</w:t>
      </w:r>
      <w:r>
        <w:t xml:space="preserve">matup</w:t>
      </w:r>
      <w:r>
        <w:t xml:space="preserve">”</w:t>
      </w:r>
      <w:r>
        <w:t xml:space="preserve"> </w:t>
      </w:r>
      <w:r>
        <w:t xml:space="preserve">becomes</w:t>
      </w:r>
      <w:r>
        <w:t xml:space="preserve"> </w:t>
      </w:r>
      <w:r>
        <w:t xml:space="preserve">“</w:t>
      </w:r>
      <w:r>
        <w:t xml:space="preserve">v</w:t>
      </w:r>
      <w:r>
        <w:t xml:space="preserve">”</w:t>
      </w:r>
      <w:r>
        <w:t xml:space="preserve"> </w:t>
      </w:r>
      <w:r>
        <w:t xml:space="preserve">after a stem ending in</w:t>
      </w:r>
      <w:r>
        <w:t xml:space="preserve"> </w:t>
      </w:r>
      <w:r>
        <w:t xml:space="preserve">“</w:t>
      </w:r>
      <w:r>
        <w:t xml:space="preserve">i</w:t>
      </w:r>
      <w:r>
        <w:t xml:space="preserve">”</w:t>
      </w:r>
      <w:r>
        <w:t xml:space="preserve"> </w:t>
      </w:r>
      <w:r>
        <w:t xml:space="preserve">(</w:t>
      </w:r>
      <w:r>
        <w:t xml:space="preserve">“</w:t>
      </w:r>
      <w:r>
        <w:t xml:space="preserve">hari-vat</w:t>
      </w:r>
      <w:r>
        <w:t xml:space="preserve">”</w:t>
      </w:r>
      <w:r>
        <w:t xml:space="preserve"> </w:t>
      </w:r>
      <w:r>
        <w:t xml:space="preserve">for</w:t>
      </w:r>
      <w:r>
        <w:t xml:space="preserve"> </w:t>
      </w:r>
      <w:r>
        <w:t xml:space="preserve">“</w:t>
      </w:r>
      <w:r>
        <w:t xml:space="preserve">hari-mat</w:t>
      </w:r>
      <w:r>
        <w:t xml:space="preserve">”</w:t>
      </w:r>
      <w:r>
        <w:t xml:space="preserve">).</w:t>
      </w:r>
    </w:p>
    <w:p>
      <w:pPr>
        <w:numPr>
          <w:ilvl w:val="0"/>
          <w:numId w:val="1004"/>
        </w:numPr>
        <w:pStyle w:val="Compact"/>
      </w:pPr>
      <w:r>
        <w:rPr>
          <w:iCs/>
          <w:i/>
        </w:rPr>
        <w:t xml:space="preserve">“</w:t>
      </w:r>
      <w:r>
        <w:rPr>
          <w:iCs/>
          <w:i/>
        </w:rPr>
        <w:t xml:space="preserve">sambuddhau … ugidacām</w:t>
      </w:r>
      <w:r>
        <w:rPr>
          <w:iCs/>
          <w:i/>
        </w:rPr>
        <w:t xml:space="preserve">”</w:t>
      </w:r>
      <w:r>
        <w:t xml:space="preserve"> </w:t>
      </w:r>
      <w:r>
        <w:t xml:space="preserve">—</w:t>
      </w:r>
      <w:r>
        <w:t xml:space="preserve"> </w:t>
      </w:r>
      <w:r>
        <w:rPr>
          <w:bCs/>
          <w:b/>
        </w:rPr>
        <w:t xml:space="preserve">संबुद्धौ … उगिदचाम्</w:t>
      </w:r>
      <w:r>
        <w:t xml:space="preserve"> </w:t>
      </w:r>
      <w:r>
        <w:t xml:space="preserve">(पा. ७-१-७०) — the augment</w:t>
      </w:r>
      <w:r>
        <w:t xml:space="preserve"> </w:t>
      </w:r>
      <w:r>
        <w:t xml:space="preserve">“</w:t>
      </w:r>
      <w:r>
        <w:t xml:space="preserve">num</w:t>
      </w:r>
      <w:r>
        <w:t xml:space="preserve">”</w:t>
      </w:r>
      <w:r>
        <w:t xml:space="preserve"> </w:t>
      </w:r>
      <w:r>
        <w:t xml:space="preserve">in the vocative; then</w:t>
      </w:r>
      <w:r>
        <w:t xml:space="preserve"> </w:t>
      </w:r>
      <w:r>
        <w:rPr>
          <w:bCs/>
          <w:b/>
        </w:rPr>
        <w:t xml:space="preserve">संयोगान्तलोपे</w:t>
      </w:r>
      <w:r>
        <w:t xml:space="preserve"> </w:t>
      </w:r>
      <w:r>
        <w:t xml:space="preserve">(पा. ८-२-२३) the loss of the final consonant of the cluster, and</w:t>
      </w:r>
      <w:r>
        <w:t xml:space="preserve"> </w:t>
      </w:r>
      <w:r>
        <w:rPr>
          <w:bCs/>
          <w:b/>
        </w:rPr>
        <w:t xml:space="preserve">नकारस्य मतुवसो रुः संबुद्धौ छन्दसि</w:t>
      </w:r>
      <w:r>
        <w:t xml:space="preserve"> </w:t>
      </w:r>
      <w:r>
        <w:t xml:space="preserve">(पा. ८-३-१) —</w:t>
      </w:r>
      <w:r>
        <w:t xml:space="preserve"> </w:t>
      </w:r>
      <w:r>
        <w:t xml:space="preserve">“</w:t>
      </w:r>
      <w:r>
        <w:t xml:space="preserve">ru</w:t>
      </w:r>
      <w:r>
        <w:t xml:space="preserve">”</w:t>
      </w:r>
      <w:r>
        <w:t xml:space="preserve"> </w:t>
      </w:r>
      <w:r>
        <w:t xml:space="preserve">for the</w:t>
      </w:r>
      <w:r>
        <w:t xml:space="preserve"> </w:t>
      </w:r>
      <w:r>
        <w:t xml:space="preserve">“</w:t>
      </w:r>
      <w:r>
        <w:t xml:space="preserve">n</w:t>
      </w:r>
      <w:r>
        <w:t xml:space="preserve">”</w:t>
      </w:r>
      <w:r>
        <w:t xml:space="preserve"> </w:t>
      </w:r>
      <w:r>
        <w:t xml:space="preserve">of</w:t>
      </w:r>
      <w:r>
        <w:t xml:space="preserve"> </w:t>
      </w:r>
      <w:r>
        <w:t xml:space="preserve">“</w:t>
      </w:r>
      <w:r>
        <w:t xml:space="preserve">matup</w:t>
      </w:r>
      <w:r>
        <w:t xml:space="preserve">”</w:t>
      </w:r>
      <w:r>
        <w:t xml:space="preserve"> </w:t>
      </w:r>
      <w:r>
        <w:t xml:space="preserve">in the vocative →</w:t>
      </w:r>
      <w:r>
        <w:t xml:space="preserve"> </w:t>
      </w:r>
      <w:r>
        <w:t xml:space="preserve">“</w:t>
      </w:r>
      <w:r>
        <w:t xml:space="preserve">harivaḥ</w:t>
      </w:r>
      <w:r>
        <w:t xml:space="preserve">”</w:t>
      </w:r>
      <w:r>
        <w:t xml:space="preserve">; the vocative then takes the eighth-chapter</w:t>
      </w:r>
      <w:r>
        <w:t xml:space="preserve"> </w:t>
      </w:r>
      <w:r>
        <w:t xml:space="preserve">“</w:t>
      </w:r>
      <w:r>
        <w:t xml:space="preserve">nighāta.</w:t>
      </w:r>
      <w:r>
        <w:t xml:space="preserve">”</w:t>
      </w:r>
    </w:p>
    <w:p>
      <w:pPr>
        <w:numPr>
          <w:ilvl w:val="0"/>
          <w:numId w:val="1004"/>
        </w:numPr>
        <w:pStyle w:val="Compact"/>
      </w:pPr>
      <w:r>
        <w:rPr>
          <w:iCs/>
          <w:i/>
        </w:rPr>
        <w:t xml:space="preserve">“</w:t>
      </w:r>
      <w:r>
        <w:rPr>
          <w:iCs/>
          <w:i/>
        </w:rPr>
        <w:t xml:space="preserve">thāsaḥ se</w:t>
      </w:r>
      <w:r>
        <w:rPr>
          <w:iCs/>
          <w:i/>
        </w:rPr>
        <w:t xml:space="preserve">”</w:t>
      </w:r>
      <w:r>
        <w:t xml:space="preserve"> </w:t>
      </w:r>
      <w:r>
        <w:t xml:space="preserve">—</w:t>
      </w:r>
      <w:r>
        <w:t xml:space="preserve"> </w:t>
      </w:r>
      <w:r>
        <w:rPr>
          <w:bCs/>
          <w:b/>
        </w:rPr>
        <w:t xml:space="preserve">थासः से</w:t>
      </w:r>
      <w:r>
        <w:t xml:space="preserve"> </w:t>
      </w:r>
      <w:r>
        <w:t xml:space="preserve">(पा. ३-४-८०) —</w:t>
      </w:r>
      <w:r>
        <w:t xml:space="preserve"> </w:t>
      </w:r>
      <w:r>
        <w:t xml:space="preserve">“</w:t>
      </w:r>
      <w:r>
        <w:t xml:space="preserve">se</w:t>
      </w:r>
      <w:r>
        <w:t xml:space="preserve">”</w:t>
      </w:r>
      <w:r>
        <w:t xml:space="preserve"> </w:t>
      </w:r>
      <w:r>
        <w:t xml:space="preserve">for</w:t>
      </w:r>
      <w:r>
        <w:t xml:space="preserve"> </w:t>
      </w:r>
      <w:r>
        <w:t xml:space="preserve">“</w:t>
      </w:r>
      <w:r>
        <w:t xml:space="preserve">thās</w:t>
      </w:r>
      <w:r>
        <w:t xml:space="preserve">”</w:t>
      </w:r>
      <w:r>
        <w:t xml:space="preserve"> </w:t>
      </w:r>
      <w:r>
        <w:t xml:space="preserve">in the imperative;</w:t>
      </w:r>
      <w:r>
        <w:t xml:space="preserve"> </w:t>
      </w:r>
      <w:r>
        <w:rPr>
          <w:bCs/>
          <w:b/>
        </w:rPr>
        <w:t xml:space="preserve">सवाभ्यां वामौ</w:t>
      </w:r>
      <w:r>
        <w:t xml:space="preserve"> </w:t>
      </w:r>
      <w:r>
        <w:t xml:space="preserve">(पा. ३-४-९१) —</w:t>
      </w:r>
      <w:r>
        <w:t xml:space="preserve"> </w:t>
      </w:r>
      <w:r>
        <w:t xml:space="preserve">“</w:t>
      </w:r>
      <w:r>
        <w:t xml:space="preserve">va</w:t>
      </w:r>
      <w:r>
        <w:t xml:space="preserve">”</w:t>
      </w:r>
      <w:r>
        <w:t xml:space="preserve"> </w:t>
      </w:r>
      <w:r>
        <w:t xml:space="preserve">for the</w:t>
      </w:r>
      <w:r>
        <w:t xml:space="preserve"> </w:t>
      </w:r>
      <w:r>
        <w:t xml:space="preserve">“</w:t>
      </w:r>
      <w:r>
        <w:t xml:space="preserve">e</w:t>
      </w:r>
      <w:r>
        <w:t xml:space="preserve">”</w:t>
      </w:r>
      <w:r>
        <w:t xml:space="preserve"> </w:t>
      </w:r>
      <w:r>
        <w:t xml:space="preserve">→</w:t>
      </w:r>
      <w:r>
        <w:t xml:space="preserve"> </w:t>
      </w:r>
      <w:r>
        <w:t xml:space="preserve">“</w:t>
      </w:r>
      <w:r>
        <w:t xml:space="preserve">dadhiṣva</w:t>
      </w:r>
      <w:r>
        <w:t xml:space="preserve">”</w:t>
      </w:r>
      <w:r>
        <w:t xml:space="preserve">;</w:t>
      </w:r>
      <w:r>
        <w:t xml:space="preserve"> </w:t>
      </w:r>
      <w:r>
        <w:rPr>
          <w:bCs/>
          <w:b/>
        </w:rPr>
        <w:t xml:space="preserve">छन्दस्युभयथा</w:t>
      </w:r>
      <w:r>
        <w:t xml:space="preserve"> </w:t>
      </w:r>
      <w:r>
        <w:t xml:space="preserve">(पा. ३-४-११७) — in the Veda the ending counts both as</w:t>
      </w:r>
      <w:r>
        <w:t xml:space="preserve"> </w:t>
      </w:r>
      <w:r>
        <w:t xml:space="preserve">“</w:t>
      </w:r>
      <w:r>
        <w:t xml:space="preserve">sārvadhātuka</w:t>
      </w:r>
      <w:r>
        <w:t xml:space="preserve">”</w:t>
      </w:r>
      <w:r>
        <w:t xml:space="preserve"> </w:t>
      </w:r>
      <w:r>
        <w:t xml:space="preserve">and</w:t>
      </w:r>
      <w:r>
        <w:t xml:space="preserve"> </w:t>
      </w:r>
      <w:r>
        <w:t xml:space="preserve">“</w:t>
      </w:r>
      <w:r>
        <w:t xml:space="preserve">ārdhadhātuka,</w:t>
      </w:r>
      <w:r>
        <w:t xml:space="preserve">”</w:t>
      </w:r>
      <w:r>
        <w:t xml:space="preserve"> </w:t>
      </w:r>
      <w:r>
        <w:t xml:space="preserve">so both</w:t>
      </w:r>
      <w:r>
        <w:t xml:space="preserve"> </w:t>
      </w:r>
      <w:r>
        <w:t xml:space="preserve">“</w:t>
      </w:r>
      <w:r>
        <w:t xml:space="preserve">śap</w:t>
      </w:r>
      <w:r>
        <w:t xml:space="preserve">”</w:t>
      </w:r>
      <w:r>
        <w:t xml:space="preserve"> </w:t>
      </w:r>
      <w:r>
        <w:t xml:space="preserve">(पा. ३-१-६८) with doubling (</w:t>
      </w:r>
      <w:r>
        <w:rPr>
          <w:bCs/>
          <w:b/>
        </w:rPr>
        <w:t xml:space="preserve">श्लौ च द्विर्भावः</w:t>
      </w:r>
      <w:r>
        <w:t xml:space="preserve"> </w:t>
      </w:r>
      <w:r>
        <w:t xml:space="preserve">पा. ६-१-१०) and the</w:t>
      </w:r>
      <w:r>
        <w:t xml:space="preserve"> </w:t>
      </w:r>
      <w:r>
        <w:t xml:space="preserve">“</w:t>
      </w:r>
      <w:r>
        <w:t xml:space="preserve">iṭ</w:t>
      </w:r>
      <w:r>
        <w:t xml:space="preserve">”</w:t>
      </w:r>
      <w:r>
        <w:t xml:space="preserve"> </w:t>
      </w:r>
      <w:r>
        <w:t xml:space="preserve">augment (पा. ७-२-३५) arise;</w:t>
      </w:r>
      <w:r>
        <w:t xml:space="preserve"> </w:t>
      </w:r>
      <w:r>
        <w:rPr>
          <w:bCs/>
          <w:b/>
        </w:rPr>
        <w:t xml:space="preserve">आतो लोप इटि च</w:t>
      </w:r>
      <w:r>
        <w:t xml:space="preserve"> </w:t>
      </w:r>
      <w:r>
        <w:t xml:space="preserve">(पा. ६-४-६४) — the final</w:t>
      </w:r>
      <w:r>
        <w:t xml:space="preserve"> </w:t>
      </w:r>
      <w:r>
        <w:t xml:space="preserve">“</w:t>
      </w:r>
      <w:r>
        <w:t xml:space="preserve">ā</w:t>
      </w:r>
      <w:r>
        <w:t xml:space="preserve">”</w:t>
      </w:r>
      <w:r>
        <w:t xml:space="preserve"> </w:t>
      </w:r>
      <w:r>
        <w:t xml:space="preserve">of the root is elided.</w:t>
      </w:r>
    </w:p>
    <w:p>
      <w:pPr>
        <w:numPr>
          <w:ilvl w:val="0"/>
          <w:numId w:val="1004"/>
        </w:numPr>
        <w:pStyle w:val="Compact"/>
      </w:pPr>
      <w:r>
        <w:t xml:space="preserve">For</w:t>
      </w:r>
      <w:r>
        <w:t xml:space="preserve"> </w:t>
      </w:r>
      <w:r>
        <w:rPr>
          <w:bCs/>
          <w:b/>
        </w:rPr>
        <w:t xml:space="preserve">“</w:t>
      </w:r>
      <w:r>
        <w:rPr>
          <w:bCs/>
          <w:b/>
        </w:rPr>
        <w:t xml:space="preserve">canaḥ</w:t>
      </w:r>
      <w:r>
        <w:rPr>
          <w:bCs/>
          <w:b/>
        </w:rPr>
        <w:t xml:space="preserve">”</w:t>
      </w:r>
      <w:r>
        <w:t xml:space="preserve">:</w:t>
      </w:r>
      <w:r>
        <w:t xml:space="preserve"> </w:t>
      </w:r>
      <w:r>
        <w:t xml:space="preserve">“</w:t>
      </w:r>
      <w:r>
        <w:t xml:space="preserve">cāyater anne hrasvaś ca</w:t>
      </w:r>
      <w:r>
        <w:t xml:space="preserve">”</w:t>
      </w:r>
      <w:r>
        <w:t xml:space="preserve"> </w:t>
      </w:r>
      <w:r>
        <w:t xml:space="preserve">(from</w:t>
      </w:r>
      <w:r>
        <w:t xml:space="preserve"> </w:t>
      </w:r>
      <w:r>
        <w:t xml:space="preserve">“</w:t>
      </w:r>
      <w:r>
        <w:t xml:space="preserve">cāy,</w:t>
      </w:r>
      <w:r>
        <w:t xml:space="preserve">”</w:t>
      </w:r>
      <w:r>
        <w:t xml:space="preserve"> </w:t>
      </w:r>
      <w:r>
        <w:t xml:space="preserve">with shortening, in the sense</w:t>
      </w:r>
      <w:r>
        <w:t xml:space="preserve"> </w:t>
      </w:r>
      <w:r>
        <w:t xml:space="preserve">“</w:t>
      </w:r>
      <w:r>
        <w:t xml:space="preserve">food</w:t>
      </w:r>
      <w:r>
        <w:t xml:space="preserve">”</w:t>
      </w:r>
      <w:r>
        <w:t xml:space="preserve">) with an</w:t>
      </w:r>
      <w:r>
        <w:t xml:space="preserve"> </w:t>
      </w:r>
      <w:r>
        <w:t xml:space="preserve">“</w:t>
      </w:r>
      <w:r>
        <w:t xml:space="preserve">asun</w:t>
      </w:r>
      <w:r>
        <w:t xml:space="preserve">”</w:t>
      </w:r>
      <w:r>
        <w:t xml:space="preserve"> </w:t>
      </w:r>
      <w:r>
        <w:t xml:space="preserve">ending (Uṇādi 4-199, as printed), the</w:t>
      </w:r>
      <w:r>
        <w:t xml:space="preserve"> </w:t>
      </w:r>
      <w:r>
        <w:t xml:space="preserve">“</w:t>
      </w:r>
      <w:r>
        <w:t xml:space="preserve">n</w:t>
      </w:r>
      <w:r>
        <w:t xml:space="preserve">”</w:t>
      </w:r>
      <w:r>
        <w:t xml:space="preserve"> </w:t>
      </w:r>
      <w:r>
        <w:t xml:space="preserve">augment from the</w:t>
      </w:r>
      <w:r>
        <w:t xml:space="preserve"> </w:t>
      </w:r>
      <w:r>
        <w:t xml:space="preserve">“</w:t>
      </w:r>
      <w:r>
        <w:t xml:space="preserve">ca,</w:t>
      </w:r>
      <w:r>
        <w:t xml:space="preserve">”</w:t>
      </w:r>
      <w:r>
        <w:t xml:space="preserve"> </w:t>
      </w:r>
      <w:r>
        <w:t xml:space="preserve">and the loss of</w:t>
      </w:r>
      <w:r>
        <w:t xml:space="preserve"> </w:t>
      </w:r>
      <w:r>
        <w:t xml:space="preserve">“</w:t>
      </w:r>
      <w:r>
        <w:t xml:space="preserve">y.</w:t>
      </w:r>
      <w:r>
        <w:t xml:space="preserve">”</w:t>
      </w:r>
    </w:p>
    <w:p>
      <w:pPr>
        <w:pStyle w:val="FirstParagraph"/>
      </w:pPr>
      <w:r>
        <w:rPr>
          <w:iCs/>
          <w:i/>
        </w:rPr>
        <w:t xml:space="preserve">(A transliteration of each cited sūtra is:</w:t>
      </w:r>
      <w:r>
        <w:rPr>
          <w:iCs/>
          <w:i/>
        </w:rPr>
        <w:t xml:space="preserve"> </w:t>
      </w:r>
      <w:r>
        <w:rPr>
          <w:iCs/>
          <w:i/>
        </w:rPr>
        <w:t xml:space="preserve">“</w:t>
      </w:r>
      <w:r>
        <w:rPr>
          <w:iCs/>
          <w:i/>
        </w:rPr>
        <w:t xml:space="preserve">tujer liṭi liṭaḥ kānaj vā</w:t>
      </w:r>
      <w:r>
        <w:rPr>
          <w:iCs/>
          <w:i/>
        </w:rPr>
        <w:t xml:space="preserve">”</w:t>
      </w:r>
      <w:r>
        <w:rPr>
          <w:iCs/>
          <w:i/>
        </w:rPr>
        <w:t xml:space="preserve"> </w:t>
      </w:r>
      <w:r>
        <w:rPr>
          <w:iCs/>
          <w:i/>
        </w:rPr>
        <w:t xml:space="preserve">(pā. 3-2-106) |</w:t>
      </w:r>
      <w:r>
        <w:rPr>
          <w:iCs/>
          <w:i/>
        </w:rPr>
        <w:t xml:space="preserve"> </w:t>
      </w:r>
      <w:r>
        <w:rPr>
          <w:iCs/>
          <w:i/>
        </w:rPr>
        <w:t xml:space="preserve">“</w:t>
      </w:r>
      <w:r>
        <w:rPr>
          <w:iCs/>
          <w:i/>
        </w:rPr>
        <w:t xml:space="preserve">tujādīnāṃ dīrgho ’bhyāsasya</w:t>
      </w:r>
      <w:r>
        <w:rPr>
          <w:iCs/>
          <w:i/>
        </w:rPr>
        <w:t xml:space="preserve">”</w:t>
      </w:r>
      <w:r>
        <w:rPr>
          <w:iCs/>
          <w:i/>
        </w:rPr>
        <w:t xml:space="preserve"> </w:t>
      </w:r>
      <w:r>
        <w:rPr>
          <w:iCs/>
          <w:i/>
        </w:rPr>
        <w:t xml:space="preserve">(pā. 6-1-7) |</w:t>
      </w:r>
      <w:r>
        <w:rPr>
          <w:iCs/>
          <w:i/>
        </w:rPr>
        <w:t xml:space="preserve"> </w:t>
      </w:r>
      <w:r>
        <w:rPr>
          <w:iCs/>
          <w:i/>
        </w:rPr>
        <w:t xml:space="preserve">“</w:t>
      </w:r>
      <w:r>
        <w:rPr>
          <w:iCs/>
          <w:i/>
        </w:rPr>
        <w:t xml:space="preserve">abhyastānām ādiḥ</w:t>
      </w:r>
      <w:r>
        <w:rPr>
          <w:iCs/>
          <w:i/>
        </w:rPr>
        <w:t xml:space="preserve">”</w:t>
      </w:r>
      <w:r>
        <w:rPr>
          <w:iCs/>
          <w:i/>
        </w:rPr>
        <w:t xml:space="preserve"> </w:t>
      </w:r>
      <w:r>
        <w:rPr>
          <w:iCs/>
          <w:i/>
        </w:rPr>
        <w:t xml:space="preserve">(pā. 6-1-189) |</w:t>
      </w:r>
      <w:r>
        <w:rPr>
          <w:iCs/>
          <w:i/>
        </w:rPr>
        <w:t xml:space="preserve"> </w:t>
      </w:r>
      <w:r>
        <w:rPr>
          <w:iCs/>
          <w:i/>
        </w:rPr>
        <w:t xml:space="preserve">“</w:t>
      </w:r>
      <w:r>
        <w:rPr>
          <w:iCs/>
          <w:i/>
        </w:rPr>
        <w:t xml:space="preserve">chandasīraḥ</w:t>
      </w:r>
      <w:r>
        <w:rPr>
          <w:iCs/>
          <w:i/>
        </w:rPr>
        <w:t xml:space="preserve">”</w:t>
      </w:r>
      <w:r>
        <w:rPr>
          <w:iCs/>
          <w:i/>
        </w:rPr>
        <w:t xml:space="preserve"> </w:t>
      </w:r>
      <w:r>
        <w:rPr>
          <w:iCs/>
          <w:i/>
        </w:rPr>
        <w:t xml:space="preserve">(pā. 8-2-15) |</w:t>
      </w:r>
      <w:r>
        <w:rPr>
          <w:iCs/>
          <w:i/>
        </w:rPr>
        <w:t xml:space="preserve"> </w:t>
      </w:r>
      <w:r>
        <w:rPr>
          <w:iCs/>
          <w:i/>
        </w:rPr>
        <w:t xml:space="preserve">“</w:t>
      </w:r>
      <w:r>
        <w:rPr>
          <w:iCs/>
          <w:i/>
        </w:rPr>
        <w:t xml:space="preserve">sambuddhau vugid-acām</w:t>
      </w:r>
      <w:r>
        <w:rPr>
          <w:iCs/>
          <w:i/>
        </w:rPr>
        <w:t xml:space="preserve">”</w:t>
      </w:r>
      <w:r>
        <w:rPr>
          <w:iCs/>
          <w:i/>
        </w:rPr>
        <w:t xml:space="preserve"> </w:t>
      </w:r>
      <w:r>
        <w:rPr>
          <w:iCs/>
          <w:i/>
        </w:rPr>
        <w:t xml:space="preserve">(pā. 7-1-70, as printed) |</w:t>
      </w:r>
      <w:r>
        <w:rPr>
          <w:iCs/>
          <w:i/>
        </w:rPr>
        <w:t xml:space="preserve"> </w:t>
      </w:r>
      <w:r>
        <w:rPr>
          <w:iCs/>
          <w:i/>
        </w:rPr>
        <w:t xml:space="preserve">“</w:t>
      </w:r>
      <w:r>
        <w:rPr>
          <w:iCs/>
          <w:i/>
        </w:rPr>
        <w:t xml:space="preserve">saṃyogānta-lope</w:t>
      </w:r>
      <w:r>
        <w:rPr>
          <w:iCs/>
          <w:i/>
        </w:rPr>
        <w:t xml:space="preserve">”</w:t>
      </w:r>
      <w:r>
        <w:rPr>
          <w:iCs/>
          <w:i/>
        </w:rPr>
        <w:t xml:space="preserve"> </w:t>
      </w:r>
      <w:r>
        <w:rPr>
          <w:iCs/>
          <w:i/>
        </w:rPr>
        <w:t xml:space="preserve">(pā. 8-2-23) |</w:t>
      </w:r>
      <w:r>
        <w:rPr>
          <w:iCs/>
          <w:i/>
        </w:rPr>
        <w:t xml:space="preserve"> </w:t>
      </w:r>
      <w:r>
        <w:rPr>
          <w:iCs/>
          <w:i/>
        </w:rPr>
        <w:t xml:space="preserve">“</w:t>
      </w:r>
      <w:r>
        <w:rPr>
          <w:iCs/>
          <w:i/>
        </w:rPr>
        <w:t xml:space="preserve">nakārasya matuvaso ruḥ sambuddhau chandasi</w:t>
      </w:r>
      <w:r>
        <w:rPr>
          <w:iCs/>
          <w:i/>
        </w:rPr>
        <w:t xml:space="preserve">”</w:t>
      </w:r>
      <w:r>
        <w:rPr>
          <w:iCs/>
          <w:i/>
        </w:rPr>
        <w:t xml:space="preserve"> </w:t>
      </w:r>
      <w:r>
        <w:rPr>
          <w:iCs/>
          <w:i/>
        </w:rPr>
        <w:t xml:space="preserve">(pā. 8-3-1) |</w:t>
      </w:r>
      <w:r>
        <w:rPr>
          <w:iCs/>
          <w:i/>
        </w:rPr>
        <w:t xml:space="preserve"> </w:t>
      </w:r>
      <w:r>
        <w:rPr>
          <w:iCs/>
          <w:i/>
        </w:rPr>
        <w:t xml:space="preserve">“</w:t>
      </w:r>
      <w:r>
        <w:rPr>
          <w:iCs/>
          <w:i/>
        </w:rPr>
        <w:t xml:space="preserve">thāsaḥ se</w:t>
      </w:r>
      <w:r>
        <w:rPr>
          <w:iCs/>
          <w:i/>
        </w:rPr>
        <w:t xml:space="preserve">”</w:t>
      </w:r>
      <w:r>
        <w:rPr>
          <w:iCs/>
          <w:i/>
        </w:rPr>
        <w:t xml:space="preserve"> </w:t>
      </w:r>
      <w:r>
        <w:rPr>
          <w:iCs/>
          <w:i/>
        </w:rPr>
        <w:t xml:space="preserve">(pā. 3-4-80) |</w:t>
      </w:r>
      <w:r>
        <w:rPr>
          <w:iCs/>
          <w:i/>
        </w:rPr>
        <w:t xml:space="preserve"> </w:t>
      </w:r>
      <w:r>
        <w:rPr>
          <w:iCs/>
          <w:i/>
        </w:rPr>
        <w:t xml:space="preserve">“</w:t>
      </w:r>
      <w:r>
        <w:rPr>
          <w:iCs/>
          <w:i/>
        </w:rPr>
        <w:t xml:space="preserve">savābhyāṃ vāmau</w:t>
      </w:r>
      <w:r>
        <w:rPr>
          <w:iCs/>
          <w:i/>
        </w:rPr>
        <w:t xml:space="preserve">”</w:t>
      </w:r>
      <w:r>
        <w:rPr>
          <w:iCs/>
          <w:i/>
        </w:rPr>
        <w:t xml:space="preserve"> </w:t>
      </w:r>
      <w:r>
        <w:rPr>
          <w:iCs/>
          <w:i/>
        </w:rPr>
        <w:t xml:space="preserve">(pā. 3-4-91) |</w:t>
      </w:r>
      <w:r>
        <w:rPr>
          <w:iCs/>
          <w:i/>
        </w:rPr>
        <w:t xml:space="preserve"> </w:t>
      </w:r>
      <w:r>
        <w:rPr>
          <w:iCs/>
          <w:i/>
        </w:rPr>
        <w:t xml:space="preserve">“</w:t>
      </w:r>
      <w:r>
        <w:rPr>
          <w:iCs/>
          <w:i/>
        </w:rPr>
        <w:t xml:space="preserve">chandasy ubhayathā</w:t>
      </w:r>
      <w:r>
        <w:rPr>
          <w:iCs/>
          <w:i/>
        </w:rPr>
        <w:t xml:space="preserve">”</w:t>
      </w:r>
      <w:r>
        <w:rPr>
          <w:iCs/>
          <w:i/>
        </w:rPr>
        <w:t xml:space="preserve"> </w:t>
      </w:r>
      <w:r>
        <w:rPr>
          <w:iCs/>
          <w:i/>
        </w:rPr>
        <w:t xml:space="preserve">(pā. 3-4-117) |</w:t>
      </w:r>
      <w:r>
        <w:rPr>
          <w:iCs/>
          <w:i/>
        </w:rPr>
        <w:t xml:space="preserve"> </w:t>
      </w:r>
      <w:r>
        <w:rPr>
          <w:iCs/>
          <w:i/>
        </w:rPr>
        <w:t xml:space="preserve">“</w:t>
      </w:r>
      <w:r>
        <w:rPr>
          <w:iCs/>
          <w:i/>
        </w:rPr>
        <w:t xml:space="preserve">śloś ca dvirbhāvaḥ</w:t>
      </w:r>
      <w:r>
        <w:rPr>
          <w:iCs/>
          <w:i/>
        </w:rPr>
        <w:t xml:space="preserve">”</w:t>
      </w:r>
      <w:r>
        <w:rPr>
          <w:iCs/>
          <w:i/>
        </w:rPr>
        <w:t xml:space="preserve"> </w:t>
      </w:r>
      <w:r>
        <w:rPr>
          <w:iCs/>
          <w:i/>
        </w:rPr>
        <w:t xml:space="preserve">(pā. 6-1-10) |</w:t>
      </w:r>
      <w:r>
        <w:rPr>
          <w:iCs/>
          <w:i/>
        </w:rPr>
        <w:t xml:space="preserve"> </w:t>
      </w:r>
      <w:r>
        <w:rPr>
          <w:iCs/>
          <w:i/>
        </w:rPr>
        <w:t xml:space="preserve">“</w:t>
      </w:r>
      <w:r>
        <w:rPr>
          <w:iCs/>
          <w:i/>
        </w:rPr>
        <w:t xml:space="preserve">āto lopa iṭi ca</w:t>
      </w:r>
      <w:r>
        <w:rPr>
          <w:iCs/>
          <w:i/>
        </w:rPr>
        <w:t xml:space="preserve">”</w:t>
      </w:r>
      <w:r>
        <w:rPr>
          <w:iCs/>
          <w:i/>
        </w:rPr>
        <w:t xml:space="preserve"> </w:t>
      </w:r>
      <w:r>
        <w:rPr>
          <w:iCs/>
          <w:i/>
        </w:rPr>
        <w:t xml:space="preserve">(pā. 6-4-64).)</w:t>
      </w:r>
    </w:p>
    <w:p>
      <w:pPr>
        <w:pStyle w:val="BodyText"/>
      </w:pPr>
      <w:r>
        <w:rPr>
          <w:bCs/>
          <w:b/>
        </w:rPr>
        <w:t xml:space="preserve">॥ Prati-padārthaḥ ॥</w:t>
      </w:r>
      <w:r>
        <w:t xml:space="preserve"> </w:t>
      </w:r>
      <w:r>
        <w:rPr>
          <w:iCs/>
          <w:i/>
        </w:rPr>
        <w:t xml:space="preserve">(Kannada, translated)</w:t>
      </w:r>
    </w:p>
    <w:p>
      <w:pPr>
        <w:pStyle w:val="BodyText"/>
      </w:pPr>
      <w:r>
        <w:rPr>
          <w:bCs/>
          <w:b/>
        </w:rPr>
        <w:t xml:space="preserve">हरिवः (harivaḥ)</w:t>
      </w:r>
      <w:r>
        <w:t xml:space="preserve"> </w:t>
      </w:r>
      <w:r>
        <w:t xml:space="preserve">— O you who are accompanied by horses (who sit in a chariot yoked to horses) |</w:t>
      </w:r>
      <w:r>
        <w:t xml:space="preserve"> </w:t>
      </w:r>
      <w:r>
        <w:rPr>
          <w:bCs/>
          <w:b/>
        </w:rPr>
        <w:t xml:space="preserve">इन्द्र (indra)</w:t>
      </w:r>
      <w:r>
        <w:t xml:space="preserve"> </w:t>
      </w:r>
      <w:r>
        <w:t xml:space="preserve">— O Indra, (you) |</w:t>
      </w:r>
      <w:r>
        <w:t xml:space="preserve"> </w:t>
      </w:r>
      <w:r>
        <w:rPr>
          <w:bCs/>
          <w:b/>
        </w:rPr>
        <w:t xml:space="preserve">तूतुजानः (tūtujānaḥ)</w:t>
      </w:r>
      <w:r>
        <w:t xml:space="preserve"> </w:t>
      </w:r>
      <w:r>
        <w:t xml:space="preserve">— being swift, being vigilant |</w:t>
      </w:r>
      <w:r>
        <w:t xml:space="preserve"> </w:t>
      </w:r>
      <w:r>
        <w:rPr>
          <w:bCs/>
          <w:b/>
        </w:rPr>
        <w:t xml:space="preserve">ब्रह्माणि (brahmāṇi)</w:t>
      </w:r>
      <w:r>
        <w:t xml:space="preserve"> </w:t>
      </w:r>
      <w:r>
        <w:t xml:space="preserve">— (the) praise-hymns (that we make) |</w:t>
      </w:r>
      <w:r>
        <w:t xml:space="preserve"> </w:t>
      </w:r>
      <w:r>
        <w:rPr>
          <w:bCs/>
          <w:b/>
        </w:rPr>
        <w:t xml:space="preserve">उप (upa)</w:t>
      </w:r>
      <w:r>
        <w:t xml:space="preserve"> </w:t>
      </w:r>
      <w:r>
        <w:t xml:space="preserve">— in order to accept |</w:t>
      </w:r>
      <w:r>
        <w:t xml:space="preserve"> </w:t>
      </w:r>
      <w:r>
        <w:rPr>
          <w:bCs/>
          <w:b/>
        </w:rPr>
        <w:t xml:space="preserve">आ याहि (ā yāhi)</w:t>
      </w:r>
      <w:r>
        <w:t xml:space="preserve"> </w:t>
      </w:r>
      <w:r>
        <w:t xml:space="preserve">— be one who comes |</w:t>
      </w:r>
      <w:r>
        <w:t xml:space="preserve"> </w:t>
      </w:r>
      <w:r>
        <w:rPr>
          <w:bCs/>
          <w:b/>
        </w:rPr>
        <w:t xml:space="preserve">(and having come) सुते (sute)</w:t>
      </w:r>
      <w:r>
        <w:t xml:space="preserve"> </w:t>
      </w:r>
      <w:r>
        <w:t xml:space="preserve">— in this rite, accompanied by the pressing of the Soma — that is, in this Soma-sacrifice that we are performing |</w:t>
      </w:r>
      <w:r>
        <w:t xml:space="preserve"> </w:t>
      </w:r>
      <w:r>
        <w:rPr>
          <w:bCs/>
          <w:b/>
        </w:rPr>
        <w:t xml:space="preserve">नः (naḥ)</w:t>
      </w:r>
      <w:r>
        <w:t xml:space="preserve"> </w:t>
      </w:r>
      <w:r>
        <w:t xml:space="preserve">— our |</w:t>
      </w:r>
      <w:r>
        <w:t xml:space="preserve"> </w:t>
      </w:r>
      <w:r>
        <w:rPr>
          <w:bCs/>
          <w:b/>
        </w:rPr>
        <w:t xml:space="preserve">चनः (canaḥ)</w:t>
      </w:r>
      <w:r>
        <w:t xml:space="preserve"> </w:t>
      </w:r>
      <w:r>
        <w:t xml:space="preserve">— food of the kind that belongs to the oblation |</w:t>
      </w:r>
      <w:r>
        <w:t xml:space="preserve"> </w:t>
      </w:r>
      <w:r>
        <w:rPr>
          <w:bCs/>
          <w:b/>
        </w:rPr>
        <w:t xml:space="preserve">दधिष्व (dadhiṣva)</w:t>
      </w:r>
      <w:r>
        <w:t xml:space="preserve"> </w:t>
      </w:r>
      <w:r>
        <w:t xml:space="preserve">—</w:t>
      </w:r>
      <w:r>
        <w:t xml:space="preserve"> </w:t>
      </w:r>
      <w:r>
        <w:t xml:space="preserve">“</w:t>
      </w:r>
      <w:r>
        <w:t xml:space="preserve">hold</w:t>
      </w:r>
      <w:r>
        <w:t xml:space="preserve">”</w:t>
      </w:r>
      <w:r>
        <w:t xml:space="preserve"> </w:t>
      </w:r>
      <w:r>
        <w:t xml:space="preserve">— that is, accept.</w:t>
      </w:r>
    </w:p>
    <w:p>
      <w:pPr>
        <w:pStyle w:val="BodyText"/>
      </w:pPr>
      <w:r>
        <w:rPr>
          <w:bCs/>
          <w:b/>
        </w:rPr>
        <w:t xml:space="preserve">॥ Bhāvārthaḥ ॥</w:t>
      </w:r>
      <w:r>
        <w:t xml:space="preserve"> </w:t>
      </w:r>
      <w:r>
        <w:rPr>
          <w:iCs/>
          <w:i/>
        </w:rPr>
        <w:t xml:space="preserve">(Kannada, translated)</w:t>
      </w:r>
    </w:p>
    <w:p>
      <w:pPr>
        <w:pStyle w:val="BodyText"/>
      </w:pPr>
      <w:r>
        <w:t xml:space="preserve">O Indra! Seated in the chariot to which the horses are yoked, come quickly and with vigilance, to accept the praise-hymns that we make, and the food that we offer in this sacrificial rite, in which we are now drawing out the Soma-juice for you.</w:t>
      </w:r>
    </w:p>
    <w:bookmarkEnd w:id="68"/>
    <w:bookmarkStart w:id="69" w:name="Xdadc342a495bd0f86f352596f052334637736b3"/>
    <w:p>
      <w:pPr>
        <w:pStyle w:val="Heading3"/>
      </w:pPr>
      <w:r>
        <w:t xml:space="preserve">Page 44 — English rendering of Rik 3.6; Special topics:</w:t>
      </w:r>
      <w:r>
        <w:t xml:space="preserve"> </w:t>
      </w:r>
      <w:r>
        <w:t xml:space="preserve">“</w:t>
      </w:r>
      <w:r>
        <w:t xml:space="preserve">tūtujānaḥ,</w:t>
      </w:r>
      <w:r>
        <w:t xml:space="preserve">”</w:t>
      </w:r>
      <w:r>
        <w:t xml:space="preserve"> </w:t>
      </w:r>
      <w:r>
        <w:t xml:space="preserve">“</w:t>
      </w:r>
      <w:r>
        <w:t xml:space="preserve">brahmāṇi,</w:t>
      </w:r>
      <w:r>
        <w:t xml:space="preserve">”</w:t>
      </w:r>
      <w:r>
        <w:t xml:space="preserve"> </w:t>
      </w:r>
      <w:r>
        <w:t xml:space="preserve">“</w:t>
      </w:r>
      <w:r>
        <w:t xml:space="preserve">harivaḥ,</w:t>
      </w:r>
      <w:r>
        <w:t xml:space="preserve">”</w:t>
      </w:r>
      <w:r>
        <w:t xml:space="preserve"> </w:t>
      </w:r>
      <w:r>
        <w:t xml:space="preserve">“</w:t>
      </w:r>
      <w:r>
        <w:t xml:space="preserve">dadhiṣva</w:t>
      </w:r>
      <w:r>
        <w:t xml:space="preserve">”</w:t>
      </w:r>
      <w:r>
        <w:t xml:space="preserve">; Vyākaraṇa-prakriyā begins</w:t>
      </w:r>
    </w:p>
    <w:p>
      <w:pPr>
        <w:pStyle w:val="FirstParagraph"/>
      </w:pPr>
      <w:r>
        <w:rPr>
          <w:iCs/>
          <w:i/>
        </w:rPr>
        <w:t xml:space="preserve">(Page header:</w:t>
      </w:r>
      <w:r>
        <w:rPr>
          <w:iCs/>
          <w:i/>
        </w:rPr>
        <w:t xml:space="preserve"> </w:t>
      </w:r>
      <w:r>
        <w:rPr>
          <w:iCs/>
          <w:i/>
        </w:rPr>
        <w:t xml:space="preserve">“</w:t>
      </w:r>
      <w:r>
        <w:rPr>
          <w:iCs/>
          <w:i/>
        </w:rPr>
        <w:t xml:space="preserve">Sāyaṇa-bhāṣya-sahitā · Mandala 1, Anuvāka 1, Sūkta 3.</w:t>
      </w:r>
      <w:r>
        <w:rPr>
          <w:iCs/>
          <w:i/>
        </w:rPr>
        <w:t xml:space="preserve">”</w:t>
      </w:r>
      <w:r>
        <w:rPr>
          <w:iCs/>
          <w:i/>
        </w:rPr>
        <w:t xml:space="preserve"> </w:t>
      </w:r>
      <w:r>
        <w:rPr>
          <w:iCs/>
          <w:i/>
        </w:rPr>
        <w:t xml:space="preserve">The English passages are printed in English in the source and are reproduced exactly as printed, including its misprints, marked [sic]. Reference-numbers printed in small Kannada numerals are marked [?] where uncertain.)</w:t>
      </w:r>
    </w:p>
    <w:p>
      <w:pPr>
        <w:pStyle w:val="BodyText"/>
      </w:pPr>
      <w:r>
        <w:rPr>
          <w:bCs/>
          <w:b/>
        </w:rPr>
        <w:t xml:space="preserve">English Translation</w:t>
      </w:r>
      <w:r>
        <w:t xml:space="preserve"> </w:t>
      </w:r>
      <w:r>
        <w:rPr>
          <w:iCs/>
          <w:i/>
        </w:rPr>
        <w:t xml:space="preserve">(printed in English in the source itself):</w:t>
      </w:r>
    </w:p>
    <w:p>
      <w:pPr>
        <w:pStyle w:val="BodyText"/>
      </w:pPr>
      <w:r>
        <w:t xml:space="preserve">“</w:t>
      </w:r>
      <w:r>
        <w:t xml:space="preserve">O Indra, come hither quickly with the tawny horses to our prayers and accept our food in this libation.</w:t>
      </w:r>
      <w:r>
        <w:t xml:space="preserve">”</w:t>
      </w:r>
    </w:p>
    <w:p>
      <w:pPr>
        <w:pStyle w:val="BodyText"/>
      </w:pPr>
      <w:r>
        <w:rPr>
          <w:bCs/>
          <w:b/>
        </w:rPr>
        <w:t xml:space="preserve">॥ Viśeṣa-viṣayagaḷu (Special Topics) ॥</w:t>
      </w:r>
    </w:p>
    <w:p>
      <w:pPr>
        <w:pStyle w:val="BodyText"/>
      </w:pPr>
      <w:r>
        <w:rPr>
          <w:bCs/>
          <w:b/>
        </w:rPr>
        <w:t xml:space="preserve">तूतुजानः (tūtujānaḥ)</w:t>
      </w:r>
      <w:r>
        <w:t xml:space="preserve"> </w:t>
      </w:r>
      <w:r>
        <w:t xml:space="preserve">— For this word the Bhāṣyakāra gives</w:t>
      </w:r>
      <w:r>
        <w:t xml:space="preserve"> </w:t>
      </w:r>
      <w:r>
        <w:t xml:space="preserve">“</w:t>
      </w:r>
      <w:r>
        <w:t xml:space="preserve">tvaramāṇaḥ</w:t>
      </w:r>
      <w:r>
        <w:t xml:space="preserve">”</w:t>
      </w:r>
      <w:r>
        <w:t xml:space="preserve"> </w:t>
      </w:r>
      <w:r>
        <w:t xml:space="preserve">(</w:t>
      </w:r>
      <w:r>
        <w:t xml:space="preserve">“</w:t>
      </w:r>
      <w:r>
        <w:t xml:space="preserve">hastening</w:t>
      </w:r>
      <w:r>
        <w:t xml:space="preserve">”</w:t>
      </w:r>
      <w:r>
        <w:t xml:space="preserve">) and Skandasvāmī gives</w:t>
      </w:r>
      <w:r>
        <w:t xml:space="preserve"> </w:t>
      </w:r>
      <w:r>
        <w:t xml:space="preserve">“</w:t>
      </w:r>
      <w:r>
        <w:t xml:space="preserve">kṣipram</w:t>
      </w:r>
      <w:r>
        <w:t xml:space="preserve">”</w:t>
      </w:r>
      <w:r>
        <w:t xml:space="preserve"> </w:t>
      </w:r>
      <w:r>
        <w:t xml:space="preserve">(</w:t>
      </w:r>
      <w:r>
        <w:t xml:space="preserve">“</w:t>
      </w:r>
      <w:r>
        <w:t xml:space="preserve">quickly, swiftly</w:t>
      </w:r>
      <w:r>
        <w:t xml:space="preserve">”</w:t>
      </w:r>
      <w:r>
        <w:t xml:space="preserve">). Among Western scholars, in their treatment of the sense of this word in this Ṛk:</w:t>
      </w:r>
      <w:r>
        <w:t xml:space="preserve"> </w:t>
      </w:r>
      <w:r>
        <w:rPr>
          <w:bCs/>
          <w:b/>
        </w:rPr>
        <w:t xml:space="preserve">Ludwig</w:t>
      </w:r>
      <w:r>
        <w:t xml:space="preserve"> </w:t>
      </w:r>
      <w:r>
        <w:t xml:space="preserve">gives</w:t>
      </w:r>
      <w:r>
        <w:t xml:space="preserve"> </w:t>
      </w:r>
      <w:r>
        <w:t xml:space="preserve">“</w:t>
      </w:r>
      <w:r>
        <w:t xml:space="preserve">hasty, speedy, exerting</w:t>
      </w:r>
      <w:r>
        <w:t xml:space="preserve">”</w:t>
      </w:r>
      <w:r>
        <w:t xml:space="preserve">;</w:t>
      </w:r>
      <w:r>
        <w:t xml:space="preserve"> </w:t>
      </w:r>
      <w:r>
        <w:rPr>
          <w:bCs/>
          <w:b/>
        </w:rPr>
        <w:t xml:space="preserve">Williams</w:t>
      </w:r>
      <w:r>
        <w:t xml:space="preserve">,</w:t>
      </w:r>
      <w:r>
        <w:t xml:space="preserve"> </w:t>
      </w:r>
      <w:r>
        <w:t xml:space="preserve">“</w:t>
      </w:r>
      <w:r>
        <w:t xml:space="preserve">fleet</w:t>
      </w:r>
      <w:r>
        <w:t xml:space="preserve">”</w:t>
      </w:r>
      <w:r>
        <w:t xml:space="preserve">;</w:t>
      </w:r>
      <w:r>
        <w:t xml:space="preserve"> </w:t>
      </w:r>
      <w:r>
        <w:rPr>
          <w:bCs/>
          <w:b/>
        </w:rPr>
        <w:t xml:space="preserve">Benfey</w:t>
      </w:r>
      <w:r>
        <w:t xml:space="preserve">,</w:t>
      </w:r>
      <w:r>
        <w:t xml:space="preserve"> </w:t>
      </w:r>
      <w:r>
        <w:t xml:space="preserve">“</w:t>
      </w:r>
      <w:r>
        <w:t xml:space="preserve">exerted</w:t>
      </w:r>
      <w:r>
        <w:t xml:space="preserve">”</w:t>
      </w:r>
      <w:r>
        <w:t xml:space="preserve">;</w:t>
      </w:r>
      <w:r>
        <w:t xml:space="preserve"> </w:t>
      </w:r>
      <w:r>
        <w:rPr>
          <w:bCs/>
          <w:b/>
        </w:rPr>
        <w:t xml:space="preserve">Rosen</w:t>
      </w:r>
      <w:r>
        <w:t xml:space="preserve">,</w:t>
      </w:r>
      <w:r>
        <w:t xml:space="preserve"> </w:t>
      </w:r>
      <w:r>
        <w:t xml:space="preserve">“</w:t>
      </w:r>
      <w:r>
        <w:t xml:space="preserve">hastened.</w:t>
      </w:r>
      <w:r>
        <w:t xml:space="preserve">”</w:t>
      </w:r>
      <w:r>
        <w:t xml:space="preserve"> </w:t>
      </w:r>
      <w:r>
        <w:t xml:space="preserve">Besides this, Ludwig, in the places where this word is used — the references printed are Ṛ. Saṃ. 6-29-5; 10-44-1 — gives</w:t>
      </w:r>
      <w:r>
        <w:t xml:space="preserve"> </w:t>
      </w:r>
      <w:r>
        <w:t xml:space="preserve">“</w:t>
      </w:r>
      <w:r>
        <w:t xml:space="preserve">exerting</w:t>
      </w:r>
      <w:r>
        <w:t xml:space="preserve">”</w:t>
      </w:r>
      <w:r>
        <w:t xml:space="preserve">; (at 7-84-5)</w:t>
      </w:r>
      <w:r>
        <w:t xml:space="preserve"> </w:t>
      </w:r>
      <w:r>
        <w:t xml:space="preserve">“</w:t>
      </w:r>
      <w:r>
        <w:t xml:space="preserve">Urging</w:t>
      </w:r>
      <w:r>
        <w:t xml:space="preserve">”</w:t>
      </w:r>
      <w:r>
        <w:t xml:space="preserve">; (at 4-32-2)</w:t>
      </w:r>
      <w:r>
        <w:t xml:space="preserve"> </w:t>
      </w:r>
      <w:r>
        <w:t xml:space="preserve">“</w:t>
      </w:r>
      <w:r>
        <w:t xml:space="preserve">Pushing</w:t>
      </w:r>
      <w:r>
        <w:t xml:space="preserve">”</w:t>
      </w:r>
      <w:r>
        <w:t xml:space="preserve">; (at 10-44-1; 1-129-1)</w:t>
      </w:r>
      <w:r>
        <w:t xml:space="preserve"> </w:t>
      </w:r>
      <w:r>
        <w:t xml:space="preserve">“</w:t>
      </w:r>
      <w:r>
        <w:t xml:space="preserve">Prompt</w:t>
      </w:r>
      <w:r>
        <w:t xml:space="preserve">”</w:t>
      </w:r>
      <w:r>
        <w:t xml:space="preserve">; and (in the Ṛks 4-32-2; 1-61-12; 7-67-6; 7-84-5)</w:t>
      </w:r>
      <w:r>
        <w:t xml:space="preserve"> </w:t>
      </w:r>
      <w:r>
        <w:t xml:space="preserve">“</w:t>
      </w:r>
      <w:r>
        <w:t xml:space="preserve">Active, strong,</w:t>
      </w:r>
      <w:r>
        <w:t xml:space="preserve">”</w:t>
      </w:r>
      <w:r>
        <w:t xml:space="preserve"> </w:t>
      </w:r>
      <w:r>
        <w:t xml:space="preserve">as meanings of this word.</w:t>
      </w:r>
      <w:r>
        <w:t xml:space="preserve"> </w:t>
      </w:r>
      <w:r>
        <w:rPr>
          <w:iCs/>
          <w:i/>
        </w:rPr>
        <w:t xml:space="preserve">(The reference-numbers in this list are hard to read in the print and the assignment of numbers to meanings may be off; the same number appears under more than one meaning as I have read it. Please re-check before relying on them.)</w:t>
      </w:r>
    </w:p>
    <w:p>
      <w:pPr>
        <w:pStyle w:val="BodyText"/>
      </w:pPr>
      <w:r>
        <w:rPr>
          <w:bCs/>
          <w:b/>
        </w:rPr>
        <w:t xml:space="preserve">ब्रह्माणि (brahmāṇi)</w:t>
      </w:r>
      <w:r>
        <w:t xml:space="preserve"> </w:t>
      </w:r>
      <w:r>
        <w:t xml:space="preserve">— The matter of this word was set out in the preceding Ṛk.</w:t>
      </w:r>
    </w:p>
    <w:p>
      <w:pPr>
        <w:pStyle w:val="BodyText"/>
      </w:pPr>
      <w:r>
        <w:rPr>
          <w:bCs/>
          <w:b/>
        </w:rPr>
        <w:t xml:space="preserve">हरिवः (harivaḥ)</w:t>
      </w:r>
      <w:r>
        <w:t xml:space="preserve"> </w:t>
      </w:r>
      <w:r>
        <w:t xml:space="preserve">— For this the Bhāṣyakāra gives</w:t>
      </w:r>
      <w:r>
        <w:t xml:space="preserve"> </w:t>
      </w:r>
      <w:r>
        <w:t xml:space="preserve">“</w:t>
      </w:r>
      <w:r>
        <w:t xml:space="preserve">harayo ’sya santi</w:t>
      </w:r>
      <w:r>
        <w:t xml:space="preserve">”</w:t>
      </w:r>
      <w:r>
        <w:t xml:space="preserve"> </w:t>
      </w:r>
      <w:r>
        <w:t xml:space="preserve">(</w:t>
      </w:r>
      <w:r>
        <w:rPr>
          <w:iCs/>
          <w:i/>
        </w:rPr>
        <w:t xml:space="preserve">“</w:t>
      </w:r>
      <w:r>
        <w:rPr>
          <w:iCs/>
          <w:i/>
        </w:rPr>
        <w:t xml:space="preserve">harayo ’sya santīti</w:t>
      </w:r>
      <w:r>
        <w:rPr>
          <w:iCs/>
          <w:i/>
        </w:rPr>
        <w:t xml:space="preserve">”</w:t>
      </w:r>
      <w:r>
        <w:t xml:space="preserve">; हरयोऽस्य सन्तीति —</w:t>
      </w:r>
      <w:r>
        <w:t xml:space="preserve"> </w:t>
      </w:r>
      <w:r>
        <w:t xml:space="preserve">“</w:t>
      </w:r>
      <w:r>
        <w:t xml:space="preserve">he who has Haris [horses]</w:t>
      </w:r>
      <w:r>
        <w:t xml:space="preserve">”</w:t>
      </w:r>
      <w:r>
        <w:t xml:space="preserve">), that is,</w:t>
      </w:r>
      <w:r>
        <w:t xml:space="preserve"> </w:t>
      </w:r>
      <w:r>
        <w:t xml:space="preserve">“</w:t>
      </w:r>
      <w:r>
        <w:t xml:space="preserve">one possessed of horses.</w:t>
      </w:r>
      <w:r>
        <w:t xml:space="preserve">”</w:t>
      </w:r>
      <w:r>
        <w:t xml:space="preserve"> </w:t>
      </w:r>
      <w:r>
        <w:t xml:space="preserve">The sense given by the other commentators is the same.</w:t>
      </w:r>
      <w:r>
        <w:t xml:space="preserve"> </w:t>
      </w:r>
      <w:r>
        <w:t xml:space="preserve">“</w:t>
      </w:r>
      <w:r>
        <w:t xml:space="preserve">One possessed of horses</w:t>
      </w:r>
      <w:r>
        <w:t xml:space="preserve">”</w:t>
      </w:r>
      <w:r>
        <w:t xml:space="preserve"> </w:t>
      </w:r>
      <w:r>
        <w:t xml:space="preserve">means</w:t>
      </w:r>
      <w:r>
        <w:t xml:space="preserve"> </w:t>
      </w:r>
      <w:r>
        <w:t xml:space="preserve">“</w:t>
      </w:r>
      <w:r>
        <w:t xml:space="preserve">one seated in a chariot to which horses are yoked.</w:t>
      </w:r>
      <w:r>
        <w:t xml:space="preserve">”</w:t>
      </w:r>
      <w:r>
        <w:t xml:space="preserve"> </w:t>
      </w:r>
      <w:r>
        <w:t xml:space="preserve">“</w:t>
      </w:r>
      <w:r>
        <w:t xml:space="preserve">Harī</w:t>
      </w:r>
      <w:r>
        <w:t xml:space="preserve">”</w:t>
      </w:r>
      <w:r>
        <w:t xml:space="preserve"> </w:t>
      </w:r>
      <w:r>
        <w:t xml:space="preserve">means Indra’s horses. This sense is supported by the mantra:</w:t>
      </w:r>
    </w:p>
    <w:p>
      <w:pPr>
        <w:pStyle w:val="BlockText"/>
      </w:pPr>
      <w:r>
        <w:t xml:space="preserve">तिष्ठा हरी रथ आयुज्यमाना याहि वायुर्न नियुतो नो अच्छ । (ऋ. सं. ३-३५-१)</w:t>
      </w:r>
      <w:r>
        <w:t xml:space="preserve"> </w:t>
      </w:r>
      <w:r>
        <w:rPr>
          <w:iCs/>
          <w:i/>
        </w:rPr>
        <w:t xml:space="preserve">tiṣṭhā harī ratha āyujyamānā yāhi vāyur na niyuto no accha | (ṛ. saṃ. 3-35-1)</w:t>
      </w:r>
      <w:r>
        <w:t xml:space="preserve"> </w:t>
      </w:r>
      <w:r>
        <w:t xml:space="preserve">Gloss:</w:t>
      </w:r>
      <w:r>
        <w:t xml:space="preserve"> </w:t>
      </w:r>
      <w:r>
        <w:t xml:space="preserve">“</w:t>
      </w:r>
      <w:r>
        <w:t xml:space="preserve">Mount, with the two bay horses being yoked to the chariot; come to us, like Vāyu with his team.</w:t>
      </w:r>
      <w:r>
        <w:t xml:space="preserve">”</w:t>
      </w:r>
    </w:p>
    <w:p>
      <w:pPr>
        <w:pStyle w:val="FirstParagraph"/>
      </w:pPr>
      <w:r>
        <w:t xml:space="preserve">Among Western scholars:</w:t>
      </w:r>
      <w:r>
        <w:t xml:space="preserve"> </w:t>
      </w:r>
      <w:r>
        <w:rPr>
          <w:bCs/>
          <w:b/>
        </w:rPr>
        <w:t xml:space="preserve">Griffith</w:t>
      </w:r>
      <w:r>
        <w:t xml:space="preserve"> </w:t>
      </w:r>
      <w:r>
        <w:t xml:space="preserve">gives</w:t>
      </w:r>
      <w:r>
        <w:t xml:space="preserve"> </w:t>
      </w:r>
      <w:r>
        <w:t xml:space="preserve">“</w:t>
      </w:r>
      <w:r>
        <w:t xml:space="preserve">Having a gold colour horse</w:t>
      </w:r>
      <w:r>
        <w:t xml:space="preserve">”</w:t>
      </w:r>
      <w:r>
        <w:t xml:space="preserve">;</w:t>
      </w:r>
      <w:r>
        <w:t xml:space="preserve"> </w:t>
      </w:r>
      <w:r>
        <w:rPr>
          <w:bCs/>
          <w:b/>
        </w:rPr>
        <w:t xml:space="preserve">Williams</w:t>
      </w:r>
      <w:r>
        <w:t xml:space="preserve">,</w:t>
      </w:r>
      <w:r>
        <w:t xml:space="preserve"> </w:t>
      </w:r>
      <w:r>
        <w:t xml:space="preserve">“</w:t>
      </w:r>
      <w:r>
        <w:t xml:space="preserve">provided with the horse named Hari</w:t>
      </w:r>
      <w:r>
        <w:t xml:space="preserve">”</w:t>
      </w:r>
      <w:r>
        <w:t xml:space="preserve">;</w:t>
      </w:r>
      <w:r>
        <w:t xml:space="preserve"> </w:t>
      </w:r>
      <w:r>
        <w:rPr>
          <w:bCs/>
          <w:b/>
        </w:rPr>
        <w:t xml:space="preserve">Ludwig, Rosen, Benfey</w:t>
      </w:r>
      <w:r>
        <w:t xml:space="preserve">,</w:t>
      </w:r>
      <w:r>
        <w:t xml:space="preserve"> </w:t>
      </w:r>
      <w:r>
        <w:t xml:space="preserve">“</w:t>
      </w:r>
      <w:r>
        <w:t xml:space="preserve">Possessed of bey [sic] or towny [sic] horses</w:t>
      </w:r>
      <w:r>
        <w:t xml:space="preserve">”</w:t>
      </w:r>
      <w:r>
        <w:t xml:space="preserve"> </w:t>
      </w:r>
      <w:r>
        <w:t xml:space="preserve">— thus they have explained the meaning of this word.</w:t>
      </w:r>
    </w:p>
    <w:p>
      <w:pPr>
        <w:pStyle w:val="BodyText"/>
      </w:pPr>
      <w:r>
        <w:rPr>
          <w:bCs/>
          <w:b/>
        </w:rPr>
        <w:t xml:space="preserve">दधिष्व (dadhiṣva)</w:t>
      </w:r>
      <w:r>
        <w:t xml:space="preserve"> </w:t>
      </w:r>
      <w:r>
        <w:t xml:space="preserve">— This word is the</w:t>
      </w:r>
      <w:r>
        <w:t xml:space="preserve"> </w:t>
      </w:r>
      <w:r>
        <w:t xml:space="preserve">“</w:t>
      </w:r>
      <w:r>
        <w:t xml:space="preserve">loṭ</w:t>
      </w:r>
      <w:r>
        <w:t xml:space="preserve">”</w:t>
      </w:r>
      <w:r>
        <w:t xml:space="preserve"> </w:t>
      </w:r>
      <w:r>
        <w:t xml:space="preserve">(imperative) form of the root</w:t>
      </w:r>
      <w:r>
        <w:t xml:space="preserve"> </w:t>
      </w:r>
      <w:r>
        <w:t xml:space="preserve">“</w:t>
      </w:r>
      <w:r>
        <w:t xml:space="preserve">dhā.</w:t>
      </w:r>
      <w:r>
        <w:t xml:space="preserve">”</w:t>
      </w:r>
      <w:r>
        <w:t xml:space="preserve"> </w:t>
      </w:r>
      <w:r>
        <w:t xml:space="preserve">Its sense here may be given as</w:t>
      </w:r>
      <w:r>
        <w:t xml:space="preserve"> </w:t>
      </w:r>
      <w:r>
        <w:t xml:space="preserve">“</w:t>
      </w:r>
      <w:r>
        <w:t xml:space="preserve">accept.</w:t>
      </w:r>
      <w:r>
        <w:t xml:space="preserve">”</w:t>
      </w:r>
    </w:p>
    <w:p>
      <w:pPr>
        <w:pStyle w:val="BodyText"/>
      </w:pPr>
      <w:r>
        <w:rPr>
          <w:bCs/>
          <w:b/>
        </w:rPr>
        <w:t xml:space="preserve">॥ Vyākaraṇa-prakriyā ॥</w:t>
      </w:r>
    </w:p>
    <w:p>
      <w:pPr>
        <w:pStyle w:val="BodyText"/>
      </w:pPr>
      <w:r>
        <w:t xml:space="preserve">“</w:t>
      </w:r>
      <w:r>
        <w:t xml:space="preserve">Tūtujānaḥ</w:t>
      </w:r>
      <w:r>
        <w:t xml:space="preserve">”</w:t>
      </w:r>
      <w:r>
        <w:t xml:space="preserve">: when the affix</w:t>
      </w:r>
      <w:r>
        <w:t xml:space="preserve"> </w:t>
      </w:r>
      <w:r>
        <w:t xml:space="preserve">“</w:t>
      </w:r>
      <w:r>
        <w:t xml:space="preserve">liṭ</w:t>
      </w:r>
      <w:r>
        <w:t xml:space="preserve">”</w:t>
      </w:r>
      <w:r>
        <w:t xml:space="preserve"> </w:t>
      </w:r>
      <w:r>
        <w:t xml:space="preserve">is placed after the root</w:t>
      </w:r>
      <w:r>
        <w:t xml:space="preserve"> </w:t>
      </w:r>
      <w:r>
        <w:t xml:space="preserve">“</w:t>
      </w:r>
      <w:r>
        <w:t xml:space="preserve">tuj,</w:t>
      </w:r>
      <w:r>
        <w:t xml:space="preserve">”</w:t>
      </w:r>
      <w:r>
        <w:t xml:space="preserve"> </w:t>
      </w:r>
      <w:r>
        <w:t xml:space="preserve">then by</w:t>
      </w:r>
      <w:r>
        <w:t xml:space="preserve"> </w:t>
      </w:r>
      <w:r>
        <w:t xml:space="preserve">“</w:t>
      </w:r>
      <w:r>
        <w:t xml:space="preserve">liṭi dhātor anabhyāsasya</w:t>
      </w:r>
      <w:r>
        <w:t xml:space="preserve">”</w:t>
      </w:r>
      <w:r>
        <w:t xml:space="preserve"> </w:t>
      </w:r>
      <w:r>
        <w:t xml:space="preserve">(Pā. Sū. 6-1-8) — when</w:t>
      </w:r>
      <w:r>
        <w:t xml:space="preserve"> </w:t>
      </w:r>
      <w:r>
        <w:t xml:space="preserve">“</w:t>
      </w:r>
      <w:r>
        <w:t xml:space="preserve">liṭ</w:t>
      </w:r>
      <w:r>
        <w:t xml:space="preserve">”</w:t>
      </w:r>
      <w:r>
        <w:t xml:space="preserve"> </w:t>
      </w:r>
      <w:r>
        <w:t xml:space="preserve">follows, the first part of the root that is not already a reduplicative syllable and contains a single vowel is doubled. In the case where the root begins with a vowel (ajādi), the second …</w:t>
      </w:r>
      <w:r>
        <w:t xml:space="preserve"> </w:t>
      </w:r>
      <w:r>
        <w:rPr>
          <w:iCs/>
          <w:i/>
        </w:rPr>
        <w:t xml:space="preserve">(continues on the next page; this is the Kannada rendering of the grammar characterized on p. 43)</w:t>
      </w:r>
    </w:p>
    <w:bookmarkEnd w:id="69"/>
    <w:bookmarkStart w:id="70" w:name="X66f4c4b070c27abb5038b394834780c1cc5e742"/>
    <w:p>
      <w:pPr>
        <w:pStyle w:val="Heading3"/>
      </w:pPr>
      <w:r>
        <w:t xml:space="preserve">Page 45 — Vyākaraṇa-prakriyā for Rik 3.6 (Kannada) — characterized</w:t>
      </w:r>
    </w:p>
    <w:p>
      <w:pPr>
        <w:pStyle w:val="FirstParagraph"/>
      </w:pPr>
      <w:r>
        <w:rPr>
          <w:iCs/>
          <w:i/>
        </w:rPr>
        <w:t xml:space="preserve">(Page header:</w:t>
      </w:r>
      <w:r>
        <w:rPr>
          <w:iCs/>
          <w:i/>
        </w:rPr>
        <w:t xml:space="preserve"> </w:t>
      </w:r>
      <w:r>
        <w:rPr>
          <w:iCs/>
          <w:i/>
        </w:rPr>
        <w:t xml:space="preserve">“</w:t>
      </w:r>
      <w:r>
        <w:rPr>
          <w:iCs/>
          <w:i/>
        </w:rPr>
        <w:t xml:space="preserve">Aṣṭaka 1, Adhyāya 1, Varga 5 · Ṛgveda-saṃhitā.</w:t>
      </w:r>
      <w:r>
        <w:rPr>
          <w:iCs/>
          <w:i/>
        </w:rPr>
        <w:t xml:space="preserve">”</w:t>
      </w:r>
      <w:r>
        <w:rPr>
          <w:iCs/>
          <w:i/>
        </w:rPr>
        <w:t xml:space="preserve"> </w:t>
      </w:r>
      <w:r>
        <w:rPr>
          <w:iCs/>
          <w:i/>
        </w:rPr>
        <w:t xml:space="preserve">This page is pure Pāṇinian derivation in Kannada prose, setting out for</w:t>
      </w:r>
      <w:r>
        <w:rPr>
          <w:iCs/>
          <w:i/>
        </w:rPr>
        <w:t xml:space="preserve"> </w:t>
      </w:r>
      <w:r>
        <w:rPr>
          <w:iCs/>
          <w:i/>
        </w:rPr>
        <w:t xml:space="preserve">“</w:t>
      </w:r>
      <w:r>
        <w:rPr>
          <w:iCs/>
          <w:i/>
        </w:rPr>
        <w:t xml:space="preserve">tūtujānaḥ,</w:t>
      </w:r>
      <w:r>
        <w:rPr>
          <w:iCs/>
          <w:i/>
        </w:rPr>
        <w:t xml:space="preserve">”</w:t>
      </w:r>
      <w:r>
        <w:rPr>
          <w:iCs/>
          <w:i/>
        </w:rPr>
        <w:t xml:space="preserve"> </w:t>
      </w:r>
      <w:r>
        <w:rPr>
          <w:iCs/>
          <w:i/>
        </w:rPr>
        <w:t xml:space="preserve">“</w:t>
      </w:r>
      <w:r>
        <w:rPr>
          <w:iCs/>
          <w:i/>
        </w:rPr>
        <w:t xml:space="preserve">harivaḥ,</w:t>
      </w:r>
      <w:r>
        <w:rPr>
          <w:iCs/>
          <w:i/>
        </w:rPr>
        <w:t xml:space="preserve">”</w:t>
      </w:r>
      <w:r>
        <w:rPr>
          <w:iCs/>
          <w:i/>
        </w:rPr>
        <w:t xml:space="preserve"> </w:t>
      </w:r>
      <w:r>
        <w:rPr>
          <w:iCs/>
          <w:i/>
        </w:rPr>
        <w:t xml:space="preserve">“</w:t>
      </w:r>
      <w:r>
        <w:rPr>
          <w:iCs/>
          <w:i/>
        </w:rPr>
        <w:t xml:space="preserve">brahmāṇi/upa</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dadhiṣva</w:t>
      </w:r>
      <w:r>
        <w:rPr>
          <w:iCs/>
          <w:i/>
        </w:rPr>
        <w:t xml:space="preserve">”</w:t>
      </w:r>
      <w:r>
        <w:rPr>
          <w:iCs/>
          <w:i/>
        </w:rPr>
        <w:t xml:space="preserve"> </w:t>
      </w:r>
      <w:r>
        <w:rPr>
          <w:iCs/>
          <w:i/>
        </w:rPr>
        <w:t xml:space="preserve">the same steps already given in Sanskrit on p. 43. Per the standing convention for dense Vyākaraṇa-prakriyā with no bearing on the sense already given, it is</w:t>
      </w:r>
      <w:r>
        <w:rPr>
          <w:iCs/>
          <w:i/>
        </w:rPr>
        <w:t xml:space="preserve"> </w:t>
      </w:r>
      <w:r>
        <w:rPr>
          <w:bCs/>
          <w:b/>
          <w:iCs/>
          <w:i/>
        </w:rPr>
        <w:t xml:space="preserve">translated in compressed form rather than line by line</w:t>
      </w:r>
      <w:r>
        <w:rPr>
          <w:iCs/>
          <w:i/>
        </w:rPr>
        <w:t xml:space="preserve">; every sūtra the page cites is kept, in all three layers, so that nothing is silently dropped. Sūtra-numbers are as printed in Kannada numerals.)</w:t>
      </w:r>
    </w:p>
    <w:p>
      <w:pPr>
        <w:pStyle w:val="BodyText"/>
      </w:pPr>
      <w:r>
        <w:rPr>
          <w:bCs/>
          <w:b/>
        </w:rPr>
        <w:t xml:space="preserve">(1)</w:t>
      </w:r>
      <w:r>
        <w:rPr>
          <w:bCs/>
          <w:b/>
        </w:rPr>
        <w:t xml:space="preserve"> </w:t>
      </w:r>
      <w:r>
        <w:rPr>
          <w:bCs/>
          <w:b/>
        </w:rPr>
        <w:t xml:space="preserve">“</w:t>
      </w:r>
      <w:r>
        <w:rPr>
          <w:bCs/>
          <w:b/>
        </w:rPr>
        <w:t xml:space="preserve">Tūtujānaḥ.</w:t>
      </w:r>
      <w:r>
        <w:rPr>
          <w:bCs/>
          <w:b/>
        </w:rPr>
        <w:t xml:space="preserve">”</w:t>
      </w:r>
      <w:r>
        <w:t xml:space="preserve"> </w:t>
      </w:r>
      <w:r>
        <w:rPr>
          <w:iCs/>
          <w:i/>
        </w:rPr>
        <w:t xml:space="preserve">(continuing from p. 44)</w:t>
      </w:r>
      <w:r>
        <w:t xml:space="preserve"> </w:t>
      </w:r>
      <w:r>
        <w:t xml:space="preserve">In the case where the root begins with a vowel, the</w:t>
      </w:r>
      <w:r>
        <w:t xml:space="preserve"> </w:t>
      </w:r>
      <w:r>
        <w:rPr>
          <w:iCs/>
          <w:i/>
        </w:rPr>
        <w:t xml:space="preserve">second</w:t>
      </w:r>
      <w:r>
        <w:t xml:space="preserve"> </w:t>
      </w:r>
      <w:r>
        <w:t xml:space="preserve">one-vowel part is the one doubled. Here, after doubling</w:t>
      </w:r>
      <w:r>
        <w:t xml:space="preserve"> </w:t>
      </w:r>
      <w:r>
        <w:t xml:space="preserve">“</w:t>
      </w:r>
      <w:r>
        <w:t xml:space="preserve">tuj</w:t>
      </w:r>
      <w:r>
        <w:t xml:space="preserve">”</w:t>
      </w:r>
      <w:r>
        <w:t xml:space="preserve"> </w:t>
      </w:r>
      <w:r>
        <w:t xml:space="preserve">(giving</w:t>
      </w:r>
      <w:r>
        <w:t xml:space="preserve"> </w:t>
      </w:r>
      <w:r>
        <w:t xml:space="preserve">“</w:t>
      </w:r>
      <w:r>
        <w:t xml:space="preserve">tuj-tuj + liṭ</w:t>
      </w:r>
      <w:r>
        <w:t xml:space="preserve">”</w:t>
      </w:r>
      <w:r>
        <w:t xml:space="preserve">), the rule</w:t>
      </w:r>
      <w:r>
        <w:t xml:space="preserve"> </w:t>
      </w:r>
      <w:r>
        <w:rPr>
          <w:bCs/>
          <w:b/>
        </w:rPr>
        <w:t xml:space="preserve">हलादिः शेषः</w:t>
      </w:r>
      <w:r>
        <w:t xml:space="preserve"> </w:t>
      </w:r>
      <w:r>
        <w:t xml:space="preserve">(</w:t>
      </w:r>
      <w:r>
        <w:rPr>
          <w:iCs/>
          <w:i/>
        </w:rPr>
        <w:t xml:space="preserve">halādiḥ śeṣaḥ</w:t>
      </w:r>
      <w:r>
        <w:t xml:space="preserve">, पा. ७-४-६०) leaves only the</w:t>
      </w:r>
      <w:r>
        <w:t xml:space="preserve"> </w:t>
      </w:r>
      <w:r>
        <w:rPr>
          <w:iCs/>
          <w:i/>
        </w:rPr>
        <w:t xml:space="preserve">first consonant</w:t>
      </w:r>
      <w:r>
        <w:t xml:space="preserve"> </w:t>
      </w:r>
      <w:r>
        <w:t xml:space="preserve">of the reduplicative syllable and drops its other consonants — so the first</w:t>
      </w:r>
      <w:r>
        <w:t xml:space="preserve"> </w:t>
      </w:r>
      <w:r>
        <w:t xml:space="preserve">“</w:t>
      </w:r>
      <w:r>
        <w:t xml:space="preserve">tuj</w:t>
      </w:r>
      <w:r>
        <w:t xml:space="preserve">”</w:t>
      </w:r>
      <w:r>
        <w:t xml:space="preserve"> </w:t>
      </w:r>
      <w:r>
        <w:t xml:space="preserve">is reduced to</w:t>
      </w:r>
      <w:r>
        <w:t xml:space="preserve"> </w:t>
      </w:r>
      <w:r>
        <w:t xml:space="preserve">“</w:t>
      </w:r>
      <w:r>
        <w:t xml:space="preserve">tu.</w:t>
      </w:r>
      <w:r>
        <w:t xml:space="preserve">”</w:t>
      </w:r>
      <w:r>
        <w:t xml:space="preserve"> </w:t>
      </w:r>
      <w:r>
        <w:t xml:space="preserve">By</w:t>
      </w:r>
      <w:r>
        <w:t xml:space="preserve"> </w:t>
      </w:r>
      <w:r>
        <w:rPr>
          <w:bCs/>
          <w:b/>
        </w:rPr>
        <w:t xml:space="preserve">लिटः कानज्वा</w:t>
      </w:r>
      <w:r>
        <w:t xml:space="preserve"> </w:t>
      </w:r>
      <w:r>
        <w:t xml:space="preserve">(</w:t>
      </w:r>
      <w:r>
        <w:rPr>
          <w:iCs/>
          <w:i/>
        </w:rPr>
        <w:t xml:space="preserve">liṭaḥ kānaj vā</w:t>
      </w:r>
      <w:r>
        <w:t xml:space="preserve">, पा. ३-२-१०६) — in the Veda the substitute</w:t>
      </w:r>
      <w:r>
        <w:t xml:space="preserve"> </w:t>
      </w:r>
      <w:r>
        <w:t xml:space="preserve">“</w:t>
      </w:r>
      <w:r>
        <w:t xml:space="preserve">kānac</w:t>
      </w:r>
      <w:r>
        <w:t xml:space="preserve">”</w:t>
      </w:r>
      <w:r>
        <w:t xml:space="preserve"> </w:t>
      </w:r>
      <w:r>
        <w:t xml:space="preserve">for</w:t>
      </w:r>
      <w:r>
        <w:t xml:space="preserve"> </w:t>
      </w:r>
      <w:r>
        <w:t xml:space="preserve">“</w:t>
      </w:r>
      <w:r>
        <w:t xml:space="preserve">liṭ</w:t>
      </w:r>
      <w:r>
        <w:t xml:space="preserve">”</w:t>
      </w:r>
      <w:r>
        <w:t xml:space="preserve"> </w:t>
      </w:r>
      <w:r>
        <w:t xml:space="preserve">is optional, and it is chosen here; in</w:t>
      </w:r>
      <w:r>
        <w:t xml:space="preserve"> </w:t>
      </w:r>
      <w:r>
        <w:t xml:space="preserve">“</w:t>
      </w:r>
      <w:r>
        <w:t xml:space="preserve">kānac</w:t>
      </w:r>
      <w:r>
        <w:t xml:space="preserve">”</w:t>
      </w:r>
      <w:r>
        <w:t xml:space="preserve"> </w:t>
      </w:r>
      <w:r>
        <w:t xml:space="preserve">the letter</w:t>
      </w:r>
      <w:r>
        <w:t xml:space="preserve"> </w:t>
      </w:r>
      <w:r>
        <w:t xml:space="preserve">“</w:t>
      </w:r>
      <w:r>
        <w:t xml:space="preserve">c</w:t>
      </w:r>
      <w:r>
        <w:t xml:space="preserve">”</w:t>
      </w:r>
      <w:r>
        <w:t xml:space="preserve"> </w:t>
      </w:r>
      <w:r>
        <w:t xml:space="preserve">is a marker and</w:t>
      </w:r>
      <w:r>
        <w:t xml:space="preserve"> </w:t>
      </w:r>
      <w:r>
        <w:t xml:space="preserve">“</w:t>
      </w:r>
      <w:r>
        <w:t xml:space="preserve">āna</w:t>
      </w:r>
      <w:r>
        <w:t xml:space="preserve">”</w:t>
      </w:r>
      <w:r>
        <w:t xml:space="preserve"> </w:t>
      </w:r>
      <w:r>
        <w:t xml:space="preserve">remains:</w:t>
      </w:r>
      <w:r>
        <w:t xml:space="preserve"> </w:t>
      </w:r>
      <w:r>
        <w:t xml:space="preserve">“</w:t>
      </w:r>
      <w:r>
        <w:t xml:space="preserve">tu-tuj + āna.</w:t>
      </w:r>
      <w:r>
        <w:t xml:space="preserve">”</w:t>
      </w:r>
      <w:r>
        <w:t xml:space="preserve"> </w:t>
      </w:r>
      <w:r>
        <w:t xml:space="preserve">Then</w:t>
      </w:r>
      <w:r>
        <w:t xml:space="preserve"> </w:t>
      </w:r>
      <w:r>
        <w:rPr>
          <w:bCs/>
          <w:b/>
        </w:rPr>
        <w:t xml:space="preserve">तुजादीनां दीर्घोऽभ्यासस्य</w:t>
      </w:r>
      <w:r>
        <w:t xml:space="preserve"> </w:t>
      </w:r>
      <w:r>
        <w:t xml:space="preserve">(</w:t>
      </w:r>
      <w:r>
        <w:rPr>
          <w:iCs/>
          <w:i/>
        </w:rPr>
        <w:t xml:space="preserve">tujādīnāṃ dīrgho ’bhyāsasya</w:t>
      </w:r>
      <w:r>
        <w:t xml:space="preserve">, पा. ६-१-७) — the reduplicative syllable of the roots of the</w:t>
      </w:r>
      <w:r>
        <w:t xml:space="preserve"> </w:t>
      </w:r>
      <w:r>
        <w:t xml:space="preserve">“</w:t>
      </w:r>
      <w:r>
        <w:t xml:space="preserve">tuj</w:t>
      </w:r>
      <w:r>
        <w:t xml:space="preserve">”</w:t>
      </w:r>
      <w:r>
        <w:t xml:space="preserve"> </w:t>
      </w:r>
      <w:r>
        <w:t xml:space="preserve">group is lengthened — gives</w:t>
      </w:r>
      <w:r>
        <w:t xml:space="preserve"> </w:t>
      </w:r>
      <w:r>
        <w:t xml:space="preserve">“</w:t>
      </w:r>
      <w:r>
        <w:t xml:space="preserve">tū-tujāna.</w:t>
      </w:r>
      <w:r>
        <w:t xml:space="preserve">”</w:t>
      </w:r>
      <w:r>
        <w:t xml:space="preserve"> </w:t>
      </w:r>
      <w:r>
        <w:t xml:space="preserve">Finally</w:t>
      </w:r>
      <w:r>
        <w:t xml:space="preserve"> </w:t>
      </w:r>
      <w:r>
        <w:rPr>
          <w:bCs/>
          <w:b/>
        </w:rPr>
        <w:t xml:space="preserve">अभ्यस्तानामादिः</w:t>
      </w:r>
      <w:r>
        <w:t xml:space="preserve"> </w:t>
      </w:r>
      <w:r>
        <w:t xml:space="preserve">(</w:t>
      </w:r>
      <w:r>
        <w:rPr>
          <w:iCs/>
          <w:i/>
        </w:rPr>
        <w:t xml:space="preserve">abhyastānām ādiḥ</w:t>
      </w:r>
      <w:r>
        <w:t xml:space="preserve">, पा. ६-१-१८९) — when a</w:t>
      </w:r>
      <w:r>
        <w:t xml:space="preserve"> </w:t>
      </w:r>
      <w:r>
        <w:t xml:space="preserve">“</w:t>
      </w:r>
      <w:r>
        <w:t xml:space="preserve">lasārvadhātuka</w:t>
      </w:r>
      <w:r>
        <w:t xml:space="preserve">”</w:t>
      </w:r>
      <w:r>
        <w:t xml:space="preserve"> </w:t>
      </w:r>
      <w:r>
        <w:t xml:space="preserve">affix beginning with the accented vowel (including the</w:t>
      </w:r>
      <w:r>
        <w:t xml:space="preserve"> </w:t>
      </w:r>
      <w:r>
        <w:t xml:space="preserve">“</w:t>
      </w:r>
      <w:r>
        <w:t xml:space="preserve">iṭ</w:t>
      </w:r>
      <w:r>
        <w:t xml:space="preserve">”</w:t>
      </w:r>
      <w:r>
        <w:t xml:space="preserve">-position) follows, the first syllable of the reduplicated stem becomes acute; hence the first syllable of</w:t>
      </w:r>
      <w:r>
        <w:t xml:space="preserve"> </w:t>
      </w:r>
      <w:r>
        <w:t xml:space="preserve">“</w:t>
      </w:r>
      <w:r>
        <w:t xml:space="preserve">tūtujānaḥ</w:t>
      </w:r>
      <w:r>
        <w:t xml:space="preserve">”</w:t>
      </w:r>
      <w:r>
        <w:t xml:space="preserve"> </w:t>
      </w:r>
      <w:r>
        <w:t xml:space="preserve">is acute.</w:t>
      </w:r>
    </w:p>
    <w:p>
      <w:pPr>
        <w:pStyle w:val="BodyText"/>
      </w:pPr>
      <w:r>
        <w:rPr>
          <w:bCs/>
          <w:b/>
        </w:rPr>
        <w:t xml:space="preserve">(2)</w:t>
      </w:r>
      <w:r>
        <w:rPr>
          <w:bCs/>
          <w:b/>
        </w:rPr>
        <w:t xml:space="preserve"> </w:t>
      </w:r>
      <w:r>
        <w:rPr>
          <w:bCs/>
          <w:b/>
        </w:rPr>
        <w:t xml:space="preserve">“</w:t>
      </w:r>
      <w:r>
        <w:rPr>
          <w:bCs/>
          <w:b/>
        </w:rPr>
        <w:t xml:space="preserve">Harivaḥ.</w:t>
      </w:r>
      <w:r>
        <w:rPr>
          <w:bCs/>
          <w:b/>
        </w:rPr>
        <w:t xml:space="preserve">”</w:t>
      </w:r>
      <w:r>
        <w:t xml:space="preserve"> </w:t>
      </w:r>
      <w:r>
        <w:t xml:space="preserve">“</w:t>
      </w:r>
      <w:r>
        <w:t xml:space="preserve">Harayo ’sya santi</w:t>
      </w:r>
      <w:r>
        <w:t xml:space="preserve">”</w:t>
      </w:r>
      <w:r>
        <w:t xml:space="preserve"> </w:t>
      </w:r>
      <w:r>
        <w:t xml:space="preserve">(</w:t>
      </w:r>
      <w:r>
        <w:t xml:space="preserve">“</w:t>
      </w:r>
      <w:r>
        <w:t xml:space="preserve">he has horses</w:t>
      </w:r>
      <w:r>
        <w:t xml:space="preserve">”</w:t>
      </w:r>
      <w:r>
        <w:t xml:space="preserve">) — the affix</w:t>
      </w:r>
      <w:r>
        <w:t xml:space="preserve"> </w:t>
      </w:r>
      <w:r>
        <w:t xml:space="preserve">“</w:t>
      </w:r>
      <w:r>
        <w:t xml:space="preserve">matup</w:t>
      </w:r>
      <w:r>
        <w:t xml:space="preserve">”</w:t>
      </w:r>
      <w:r>
        <w:t xml:space="preserve"> </w:t>
      </w:r>
      <w:r>
        <w:t xml:space="preserve">by</w:t>
      </w:r>
      <w:r>
        <w:t xml:space="preserve"> </w:t>
      </w:r>
      <w:r>
        <w:rPr>
          <w:bCs/>
          <w:b/>
        </w:rPr>
        <w:t xml:space="preserve">तदस्यास्त्यस्मिन्निति मतुप्</w:t>
      </w:r>
      <w:r>
        <w:t xml:space="preserve"> </w:t>
      </w:r>
      <w:r>
        <w:t xml:space="preserve">(</w:t>
      </w:r>
      <w:r>
        <w:rPr>
          <w:iCs/>
          <w:i/>
        </w:rPr>
        <w:t xml:space="preserve">tad asyāsty asminn iti matup</w:t>
      </w:r>
      <w:r>
        <w:t xml:space="preserve">, पा. ५-२-९४). By</w:t>
      </w:r>
      <w:r>
        <w:t xml:space="preserve"> </w:t>
      </w:r>
      <w:r>
        <w:rPr>
          <w:bCs/>
          <w:b/>
        </w:rPr>
        <w:t xml:space="preserve">छन्दसीरः</w:t>
      </w:r>
      <w:r>
        <w:t xml:space="preserve"> </w:t>
      </w:r>
      <w:r>
        <w:t xml:space="preserve">(</w:t>
      </w:r>
      <w:r>
        <w:rPr>
          <w:iCs/>
          <w:i/>
        </w:rPr>
        <w:t xml:space="preserve">chandasīraḥ</w:t>
      </w:r>
      <w:r>
        <w:t xml:space="preserve">, पा. ८-२-१५) the</w:t>
      </w:r>
      <w:r>
        <w:t xml:space="preserve"> </w:t>
      </w:r>
      <w:r>
        <w:t xml:space="preserve">“</w:t>
      </w:r>
      <w:r>
        <w:t xml:space="preserve">m</w:t>
      </w:r>
      <w:r>
        <w:t xml:space="preserve">”</w:t>
      </w:r>
      <w:r>
        <w:t xml:space="preserve"> </w:t>
      </w:r>
      <w:r>
        <w:t xml:space="preserve">of</w:t>
      </w:r>
      <w:r>
        <w:t xml:space="preserve"> </w:t>
      </w:r>
      <w:r>
        <w:t xml:space="preserve">“</w:t>
      </w:r>
      <w:r>
        <w:t xml:space="preserve">matup,</w:t>
      </w:r>
      <w:r>
        <w:t xml:space="preserve">”</w:t>
      </w:r>
      <w:r>
        <w:t xml:space="preserve"> </w:t>
      </w:r>
      <w:r>
        <w:t xml:space="preserve">after a word ending in</w:t>
      </w:r>
      <w:r>
        <w:t xml:space="preserve"> </w:t>
      </w:r>
      <w:r>
        <w:t xml:space="preserve">“</w:t>
      </w:r>
      <w:r>
        <w:t xml:space="preserve">i</w:t>
      </w:r>
      <w:r>
        <w:t xml:space="preserve">”</w:t>
      </w:r>
      <w:r>
        <w:t xml:space="preserve"> </w:t>
      </w:r>
      <w:r>
        <w:t xml:space="preserve">or</w:t>
      </w:r>
      <w:r>
        <w:t xml:space="preserve"> </w:t>
      </w:r>
      <w:r>
        <w:t xml:space="preserve">“</w:t>
      </w:r>
      <w:r>
        <w:t xml:space="preserve">r</w:t>
      </w:r>
      <w:r>
        <w:t xml:space="preserve">”</w:t>
      </w:r>
      <w:r>
        <w:t xml:space="preserve">-type letter, becomes</w:t>
      </w:r>
      <w:r>
        <w:t xml:space="preserve"> </w:t>
      </w:r>
      <w:r>
        <w:t xml:space="preserve">“</w:t>
      </w:r>
      <w:r>
        <w:t xml:space="preserve">v</w:t>
      </w:r>
      <w:r>
        <w:t xml:space="preserve">”</w:t>
      </w:r>
      <w:r>
        <w:t xml:space="preserve"> </w:t>
      </w:r>
      <w:r>
        <w:t xml:space="preserve">(so</w:t>
      </w:r>
      <w:r>
        <w:t xml:space="preserve"> </w:t>
      </w:r>
      <w:r>
        <w:t xml:space="preserve">“</w:t>
      </w:r>
      <w:r>
        <w:t xml:space="preserve">hari-vat</w:t>
      </w:r>
      <w:r>
        <w:t xml:space="preserve">”</w:t>
      </w:r>
      <w:r>
        <w:t xml:space="preserve">). For the vocative singular ending,</w:t>
      </w:r>
      <w:r>
        <w:t xml:space="preserve"> </w:t>
      </w:r>
      <w:r>
        <w:t xml:space="preserve">“</w:t>
      </w:r>
      <w:r>
        <w:t xml:space="preserve">matup</w:t>
      </w:r>
      <w:r>
        <w:t xml:space="preserve">”</w:t>
      </w:r>
      <w:r>
        <w:t xml:space="preserve"> </w:t>
      </w:r>
      <w:r>
        <w:t xml:space="preserve">being</w:t>
      </w:r>
      <w:r>
        <w:t xml:space="preserve"> </w:t>
      </w:r>
      <w:r>
        <w:t xml:space="preserve">“</w:t>
      </w:r>
      <w:r>
        <w:t xml:space="preserve">u</w:t>
      </w:r>
      <w:r>
        <w:t xml:space="preserve">”</w:t>
      </w:r>
      <w:r>
        <w:t xml:space="preserve">-marked (ugit), by</w:t>
      </w:r>
      <w:r>
        <w:t xml:space="preserve"> </w:t>
      </w:r>
      <w:r>
        <w:rPr>
          <w:bCs/>
          <w:b/>
        </w:rPr>
        <w:t xml:space="preserve">उगिदचां सर्वनामस्थानेऽधातोः</w:t>
      </w:r>
      <w:r>
        <w:t xml:space="preserve"> </w:t>
      </w:r>
      <w:r>
        <w:t xml:space="preserve">(</w:t>
      </w:r>
      <w:r>
        <w:rPr>
          <w:iCs/>
          <w:i/>
        </w:rPr>
        <w:t xml:space="preserve">ugid-acāṃ sarvanāmasthāne ’dhātoḥ</w:t>
      </w:r>
      <w:r>
        <w:t xml:space="preserve">, पा. ७-१-७०) the augment</w:t>
      </w:r>
      <w:r>
        <w:t xml:space="preserve"> </w:t>
      </w:r>
      <w:r>
        <w:t xml:space="preserve">“</w:t>
      </w:r>
      <w:r>
        <w:t xml:space="preserve">num</w:t>
      </w:r>
      <w:r>
        <w:t xml:space="preserve">”</w:t>
      </w:r>
      <w:r>
        <w:t xml:space="preserve"> </w:t>
      </w:r>
      <w:r>
        <w:t xml:space="preserve">comes (even to a non-root stem), giving</w:t>
      </w:r>
      <w:r>
        <w:t xml:space="preserve"> </w:t>
      </w:r>
      <w:r>
        <w:t xml:space="preserve">“</w:t>
      </w:r>
      <w:r>
        <w:t xml:space="preserve">harivan-t + (su)</w:t>
      </w:r>
      <w:r>
        <w:t xml:space="preserve">”</w:t>
      </w:r>
      <w:r>
        <w:t xml:space="preserve">; then</w:t>
      </w:r>
      <w:r>
        <w:t xml:space="preserve"> </w:t>
      </w:r>
      <w:r>
        <w:rPr>
          <w:bCs/>
          <w:b/>
        </w:rPr>
        <w:t xml:space="preserve">संयोगान्तस्य लोपः</w:t>
      </w:r>
      <w:r>
        <w:t xml:space="preserve"> </w:t>
      </w:r>
      <w:r>
        <w:t xml:space="preserve">(</w:t>
      </w:r>
      <w:r>
        <w:rPr>
          <w:iCs/>
          <w:i/>
        </w:rPr>
        <w:t xml:space="preserve">saṃyogāntasya lopaḥ</w:t>
      </w:r>
      <w:r>
        <w:t xml:space="preserve">, पा. ८-२-२३) — loss of the final of a conjunct — and, by</w:t>
      </w:r>
      <w:r>
        <w:t xml:space="preserve"> </w:t>
      </w:r>
      <w:r>
        <w:t xml:space="preserve">“</w:t>
      </w:r>
      <w:r>
        <w:t xml:space="preserve">hal-ṅyābbhyo…</w:t>
      </w:r>
      <w:r>
        <w:t xml:space="preserve">”</w:t>
      </w:r>
      <w:r>
        <w:t xml:space="preserve"> </w:t>
      </w:r>
      <w:r>
        <w:t xml:space="preserve">(हल्ङ्याब्भ्यो दीर्घात्सुतिस्यपृक्तं हल् —</w:t>
      </w:r>
      <w:r>
        <w:t xml:space="preserve"> </w:t>
      </w:r>
      <w:r>
        <w:rPr>
          <w:iCs/>
          <w:i/>
        </w:rPr>
        <w:t xml:space="preserve">hal-ṅyābbhyo dīrghāt su-ti-sy-apṛktaṃ hal</w:t>
      </w:r>
      <w:r>
        <w:t xml:space="preserve">, पा. ६-१-६८ [number as read]) the loss of the ending, leave</w:t>
      </w:r>
      <w:r>
        <w:t xml:space="preserve"> </w:t>
      </w:r>
      <w:r>
        <w:t xml:space="preserve">“</w:t>
      </w:r>
      <w:r>
        <w:t xml:space="preserve">harivan.</w:t>
      </w:r>
      <w:r>
        <w:t xml:space="preserve">”</w:t>
      </w:r>
      <w:r>
        <w:t xml:space="preserve"> </w:t>
      </w:r>
      <w:r>
        <w:t xml:space="preserve">Then</w:t>
      </w:r>
      <w:r>
        <w:t xml:space="preserve"> </w:t>
      </w:r>
      <w:r>
        <w:rPr>
          <w:bCs/>
          <w:b/>
        </w:rPr>
        <w:t xml:space="preserve">मतुवसोरु संबुद्धौ छन्दसि</w:t>
      </w:r>
      <w:r>
        <w:t xml:space="preserve"> </w:t>
      </w:r>
      <w:r>
        <w:t xml:space="preserve">(</w:t>
      </w:r>
      <w:r>
        <w:rPr>
          <w:iCs/>
          <w:i/>
        </w:rPr>
        <w:t xml:space="preserve">matuvasor ru sambuddhau chandasi</w:t>
      </w:r>
      <w:r>
        <w:t xml:space="preserve">, पा. ८-३-१) — in the Veda, in the vocative,</w:t>
      </w:r>
      <w:r>
        <w:t xml:space="preserve"> </w:t>
      </w:r>
      <w:r>
        <w:t xml:space="preserve">“</w:t>
      </w:r>
      <w:r>
        <w:t xml:space="preserve">ru</w:t>
      </w:r>
      <w:r>
        <w:t xml:space="preserve">”</w:t>
      </w:r>
      <w:r>
        <w:t xml:space="preserve"> </w:t>
      </w:r>
      <w:r>
        <w:t xml:space="preserve">replaces the last letter of</w:t>
      </w:r>
      <w:r>
        <w:t xml:space="preserve"> </w:t>
      </w:r>
      <w:r>
        <w:t xml:space="preserve">“</w:t>
      </w:r>
      <w:r>
        <w:t xml:space="preserve">matup</w:t>
      </w:r>
      <w:r>
        <w:t xml:space="preserve">”</w:t>
      </w:r>
      <w:r>
        <w:t xml:space="preserve"> </w:t>
      </w:r>
      <w:r>
        <w:t xml:space="preserve">and</w:t>
      </w:r>
      <w:r>
        <w:t xml:space="preserve"> </w:t>
      </w:r>
      <w:r>
        <w:t xml:space="preserve">“</w:t>
      </w:r>
      <w:r>
        <w:t xml:space="preserve">vasu</w:t>
      </w:r>
      <w:r>
        <w:t xml:space="preserve">”</w:t>
      </w:r>
      <w:r>
        <w:t xml:space="preserve"> </w:t>
      </w:r>
      <w:r>
        <w:t xml:space="preserve">stems — and, by the paribhāṣā</w:t>
      </w:r>
      <w:r>
        <w:t xml:space="preserve"> </w:t>
      </w:r>
      <w:r>
        <w:rPr>
          <w:bCs/>
          <w:b/>
        </w:rPr>
        <w:t xml:space="preserve">अलोऽन्त्यस्य</w:t>
      </w:r>
      <w:r>
        <w:t xml:space="preserve"> </w:t>
      </w:r>
      <w:r>
        <w:t xml:space="preserve">(</w:t>
      </w:r>
      <w:r>
        <w:rPr>
          <w:iCs/>
          <w:i/>
        </w:rPr>
        <w:t xml:space="preserve">alo ’ntyasya</w:t>
      </w:r>
      <w:r>
        <w:t xml:space="preserve">, पा. १-१-५२) the substitute goes to the final letter</w:t>
      </w:r>
      <w:r>
        <w:t xml:space="preserve"> </w:t>
      </w:r>
      <w:r>
        <w:t xml:space="preserve">“</w:t>
      </w:r>
      <w:r>
        <w:t xml:space="preserve">n</w:t>
      </w:r>
      <w:r>
        <w:t xml:space="preserve">”</w:t>
      </w:r>
      <w:r>
        <w:t xml:space="preserve">; the</w:t>
      </w:r>
      <w:r>
        <w:t xml:space="preserve"> </w:t>
      </w:r>
      <w:r>
        <w:t xml:space="preserve">“</w:t>
      </w:r>
      <w:r>
        <w:t xml:space="preserve">r</w:t>
      </w:r>
      <w:r>
        <w:t xml:space="preserve">”</w:t>
      </w:r>
      <w:r>
        <w:t xml:space="preserve"> </w:t>
      </w:r>
      <w:r>
        <w:t xml:space="preserve">then becomes visarga:</w:t>
      </w:r>
      <w:r>
        <w:t xml:space="preserve"> </w:t>
      </w:r>
      <w:r>
        <w:t xml:space="preserve">“</w:t>
      </w:r>
      <w:r>
        <w:t xml:space="preserve">harivaḥ.</w:t>
      </w:r>
      <w:r>
        <w:t xml:space="preserve">”</w:t>
      </w:r>
      <w:r>
        <w:t xml:space="preserve"> </w:t>
      </w:r>
      <w:r>
        <w:t xml:space="preserve">Here the vocative-accent of the eighth chapter (aṣṭamika anudātta) arises.</w:t>
      </w:r>
    </w:p>
    <w:p>
      <w:pPr>
        <w:pStyle w:val="BodyText"/>
      </w:pPr>
      <w:r>
        <w:rPr>
          <w:bCs/>
          <w:b/>
        </w:rPr>
        <w:t xml:space="preserve">(3)</w:t>
      </w:r>
      <w:r>
        <w:rPr>
          <w:bCs/>
          <w:b/>
        </w:rPr>
        <w:t xml:space="preserve"> </w:t>
      </w:r>
      <w:r>
        <w:rPr>
          <w:bCs/>
          <w:b/>
        </w:rPr>
        <w:t xml:space="preserve">“</w:t>
      </w:r>
      <w:r>
        <w:rPr>
          <w:bCs/>
          <w:b/>
        </w:rPr>
        <w:t xml:space="preserve">Brahmāṇi</w:t>
      </w:r>
      <w:r>
        <w:rPr>
          <w:bCs/>
          <w:b/>
        </w:rPr>
        <w:t xml:space="preserve">”</w:t>
      </w:r>
      <w:r>
        <w:rPr>
          <w:bCs/>
          <w:b/>
        </w:rPr>
        <w:t xml:space="preserve"> </w:t>
      </w:r>
      <w:r>
        <w:rPr>
          <w:bCs/>
          <w:b/>
        </w:rPr>
        <w:t xml:space="preserve">and the</w:t>
      </w:r>
      <w:r>
        <w:rPr>
          <w:bCs/>
          <w:b/>
        </w:rPr>
        <w:t xml:space="preserve"> </w:t>
      </w:r>
      <w:r>
        <w:rPr>
          <w:bCs/>
          <w:b/>
        </w:rPr>
        <w:t xml:space="preserve">“</w:t>
      </w:r>
      <w:r>
        <w:rPr>
          <w:bCs/>
          <w:b/>
        </w:rPr>
        <w:t xml:space="preserve">a</w:t>
      </w:r>
      <w:r>
        <w:rPr>
          <w:bCs/>
          <w:b/>
        </w:rPr>
        <w:t xml:space="preserve">”</w:t>
      </w:r>
      <w:r>
        <w:rPr>
          <w:bCs/>
          <w:b/>
        </w:rPr>
        <w:t xml:space="preserve"> </w:t>
      </w:r>
      <w:r>
        <w:rPr>
          <w:bCs/>
          <w:b/>
        </w:rPr>
        <w:t xml:space="preserve">of</w:t>
      </w:r>
      <w:r>
        <w:rPr>
          <w:bCs/>
          <w:b/>
        </w:rPr>
        <w:t xml:space="preserve"> </w:t>
      </w:r>
      <w:r>
        <w:rPr>
          <w:bCs/>
          <w:b/>
        </w:rPr>
        <w:t xml:space="preserve">“</w:t>
      </w:r>
      <w:r>
        <w:rPr>
          <w:bCs/>
          <w:b/>
        </w:rPr>
        <w:t xml:space="preserve">upa.</w:t>
      </w:r>
      <w:r>
        <w:rPr>
          <w:bCs/>
          <w:b/>
        </w:rPr>
        <w:t xml:space="preserve">”</w:t>
      </w:r>
      <w:r>
        <w:t xml:space="preserve"> </w:t>
      </w:r>
      <w:r>
        <w:t xml:space="preserve">By</w:t>
      </w:r>
      <w:r>
        <w:t xml:space="preserve"> </w:t>
      </w:r>
      <w:r>
        <w:rPr>
          <w:bCs/>
          <w:b/>
        </w:rPr>
        <w:t xml:space="preserve">सुबामन्त्रिते पराङ्गवत्स्वरे</w:t>
      </w:r>
      <w:r>
        <w:t xml:space="preserve"> </w:t>
      </w:r>
      <w:r>
        <w:t xml:space="preserve">(</w:t>
      </w:r>
      <w:r>
        <w:rPr>
          <w:iCs/>
          <w:i/>
        </w:rPr>
        <w:t xml:space="preserve">subāmantrite parāṅgavat svare</w:t>
      </w:r>
      <w:r>
        <w:t xml:space="preserve">, पा. २-१-२) a vocative is treated, for accent, as part of the following word. But this operates only where there is mutual connection of sense, by the governing paribhāṣā</w:t>
      </w:r>
      <w:r>
        <w:t xml:space="preserve"> </w:t>
      </w:r>
      <w:r>
        <w:rPr>
          <w:bCs/>
          <w:b/>
        </w:rPr>
        <w:t xml:space="preserve">समर्थः पदविधिः</w:t>
      </w:r>
      <w:r>
        <w:t xml:space="preserve"> </w:t>
      </w:r>
      <w:r>
        <w:t xml:space="preserve">(</w:t>
      </w:r>
      <w:r>
        <w:rPr>
          <w:iCs/>
          <w:i/>
        </w:rPr>
        <w:t xml:space="preserve">samarthaḥ pada-vidhiḥ</w:t>
      </w:r>
      <w:r>
        <w:t xml:space="preserve">, पा. २-१-१). Here</w:t>
      </w:r>
      <w:r>
        <w:t xml:space="preserve"> </w:t>
      </w:r>
      <w:r>
        <w:t xml:space="preserve">“</w:t>
      </w:r>
      <w:r>
        <w:t xml:space="preserve">brahmāṇi</w:t>
      </w:r>
      <w:r>
        <w:t xml:space="preserve">”</w:t>
      </w:r>
      <w:r>
        <w:t xml:space="preserve"> </w:t>
      </w:r>
      <w:r>
        <w:t xml:space="preserve">and</w:t>
      </w:r>
      <w:r>
        <w:t xml:space="preserve"> </w:t>
      </w:r>
      <w:r>
        <w:t xml:space="preserve">“</w:t>
      </w:r>
      <w:r>
        <w:t xml:space="preserve">harivaḥ</w:t>
      </w:r>
      <w:r>
        <w:t xml:space="preserve">”</w:t>
      </w:r>
      <w:r>
        <w:t xml:space="preserve"> </w:t>
      </w:r>
      <w:r>
        <w:t xml:space="preserve">have no mutual syntactic connection, hence no such connection of sense, and no</w:t>
      </w:r>
      <w:r>
        <w:t xml:space="preserve"> </w:t>
      </w:r>
      <w:r>
        <w:t xml:space="preserve">“</w:t>
      </w:r>
      <w:r>
        <w:t xml:space="preserve">parāṅgavad-bhāva</w:t>
      </w:r>
      <w:r>
        <w:t xml:space="preserve">”</w:t>
      </w:r>
      <w:r>
        <w:t xml:space="preserve"> </w:t>
      </w:r>
      <w:r>
        <w:t xml:space="preserve">arises. Consequently</w:t>
      </w:r>
      <w:r>
        <w:t xml:space="preserve"> </w:t>
      </w:r>
      <w:r>
        <w:t xml:space="preserve">“</w:t>
      </w:r>
      <w:r>
        <w:t xml:space="preserve">brahmāṇi</w:t>
      </w:r>
      <w:r>
        <w:t xml:space="preserve">”</w:t>
      </w:r>
      <w:r>
        <w:t xml:space="preserve"> </w:t>
      </w:r>
      <w:r>
        <w:t xml:space="preserve">does</w:t>
      </w:r>
      <w:r>
        <w:t xml:space="preserve"> </w:t>
      </w:r>
      <w:r>
        <w:rPr>
          <w:iCs/>
          <w:i/>
        </w:rPr>
        <w:t xml:space="preserve">not</w:t>
      </w:r>
      <w:r>
        <w:t xml:space="preserve"> </w:t>
      </w:r>
      <w:r>
        <w:t xml:space="preserve">receive the aṣṭamika vocative-anudātta; it stays acute on its first syllable. Then the unaccented</w:t>
      </w:r>
      <w:r>
        <w:t xml:space="preserve"> </w:t>
      </w:r>
      <w:r>
        <w:t xml:space="preserve">“</w:t>
      </w:r>
      <w:r>
        <w:t xml:space="preserve">a</w:t>
      </w:r>
      <w:r>
        <w:t xml:space="preserve">”</w:t>
      </w:r>
      <w:r>
        <w:t xml:space="preserve"> </w:t>
      </w:r>
      <w:r>
        <w:t xml:space="preserve">of the preceding</w:t>
      </w:r>
      <w:r>
        <w:t xml:space="preserve"> </w:t>
      </w:r>
      <w:r>
        <w:t xml:space="preserve">“</w:t>
      </w:r>
      <w:r>
        <w:t xml:space="preserve">upa,</w:t>
      </w:r>
      <w:r>
        <w:t xml:space="preserve">”</w:t>
      </w:r>
      <w:r>
        <w:t xml:space="preserve"> </w:t>
      </w:r>
      <w:r>
        <w:t xml:space="preserve">standing before this acute syllable, becomes</w:t>
      </w:r>
      <w:r>
        <w:t xml:space="preserve"> </w:t>
      </w:r>
      <w:r>
        <w:t xml:space="preserve">“</w:t>
      </w:r>
      <w:r>
        <w:t xml:space="preserve">sannatara</w:t>
      </w:r>
      <w:r>
        <w:t xml:space="preserve">”</w:t>
      </w:r>
      <w:r>
        <w:t xml:space="preserve"> </w:t>
      </w:r>
      <w:r>
        <w:t xml:space="preserve">(lowered still further) by</w:t>
      </w:r>
      <w:r>
        <w:t xml:space="preserve"> </w:t>
      </w:r>
      <w:r>
        <w:rPr>
          <w:bCs/>
          <w:b/>
        </w:rPr>
        <w:t xml:space="preserve">उदात्तस्वरितपरस्य सन्नतरः</w:t>
      </w:r>
      <w:r>
        <w:t xml:space="preserve"> </w:t>
      </w:r>
      <w:r>
        <w:t xml:space="preserve">(</w:t>
      </w:r>
      <w:r>
        <w:rPr>
          <w:iCs/>
          <w:i/>
        </w:rPr>
        <w:t xml:space="preserve">udātta-svarita-parasya sannataraḥ</w:t>
      </w:r>
      <w:r>
        <w:t xml:space="preserve">, पा. १-२-४०).</w:t>
      </w:r>
    </w:p>
    <w:p>
      <w:pPr>
        <w:pStyle w:val="BodyText"/>
      </w:pPr>
      <w:r>
        <w:rPr>
          <w:bCs/>
          <w:b/>
        </w:rPr>
        <w:t xml:space="preserve">(4)</w:t>
      </w:r>
      <w:r>
        <w:rPr>
          <w:bCs/>
          <w:b/>
        </w:rPr>
        <w:t xml:space="preserve"> </w:t>
      </w:r>
      <w:r>
        <w:rPr>
          <w:bCs/>
          <w:b/>
        </w:rPr>
        <w:t xml:space="preserve">“</w:t>
      </w:r>
      <w:r>
        <w:rPr>
          <w:bCs/>
          <w:b/>
        </w:rPr>
        <w:t xml:space="preserve">Dadhiṣva.</w:t>
      </w:r>
      <w:r>
        <w:rPr>
          <w:bCs/>
          <w:b/>
        </w:rPr>
        <w:t xml:space="preserve">”</w:t>
      </w:r>
      <w:r>
        <w:t xml:space="preserve"> </w:t>
      </w:r>
      <w:r>
        <w:t xml:space="preserve">After the root</w:t>
      </w:r>
      <w:r>
        <w:t xml:space="preserve"> </w:t>
      </w:r>
      <w:r>
        <w:t xml:space="preserve">“</w:t>
      </w:r>
      <w:r>
        <w:t xml:space="preserve">ḍudhāñ</w:t>
      </w:r>
      <w:r>
        <w:t xml:space="preserve">”</w:t>
      </w:r>
      <w:r>
        <w:t xml:space="preserve"> </w:t>
      </w:r>
      <w:r>
        <w:t xml:space="preserve">(dhāraṇa-poṣaṇayoḥ —</w:t>
      </w:r>
      <w:r>
        <w:t xml:space="preserve"> </w:t>
      </w:r>
      <w:r>
        <w:t xml:space="preserve">“</w:t>
      </w:r>
      <w:r>
        <w:t xml:space="preserve">to hold, to nourish</w:t>
      </w:r>
      <w:r>
        <w:t xml:space="preserve">”</w:t>
      </w:r>
      <w:r>
        <w:t xml:space="preserve">), in the</w:t>
      </w:r>
      <w:r>
        <w:t xml:space="preserve"> </w:t>
      </w:r>
      <w:r>
        <w:t xml:space="preserve">“</w:t>
      </w:r>
      <w:r>
        <w:t xml:space="preserve">loṭ,</w:t>
      </w:r>
      <w:r>
        <w:t xml:space="preserve">”</w:t>
      </w:r>
      <w:r>
        <w:t xml:space="preserve"> </w:t>
      </w:r>
      <w:r>
        <w:t xml:space="preserve">ātmanepada, madhyama-puruṣa, ekavacana, the ending</w:t>
      </w:r>
      <w:r>
        <w:t xml:space="preserve"> </w:t>
      </w:r>
      <w:r>
        <w:t xml:space="preserve">“</w:t>
      </w:r>
      <w:r>
        <w:t xml:space="preserve">thās</w:t>
      </w:r>
      <w:r>
        <w:t xml:space="preserve">”</w:t>
      </w:r>
      <w:r>
        <w:t xml:space="preserve"> </w:t>
      </w:r>
      <w:r>
        <w:t xml:space="preserve">is taken; then</w:t>
      </w:r>
      <w:r>
        <w:t xml:space="preserve"> </w:t>
      </w:r>
      <w:r>
        <w:rPr>
          <w:bCs/>
          <w:b/>
        </w:rPr>
        <w:t xml:space="preserve">थासः से</w:t>
      </w:r>
      <w:r>
        <w:t xml:space="preserve"> </w:t>
      </w:r>
      <w:r>
        <w:t xml:space="preserve">(</w:t>
      </w:r>
      <w:r>
        <w:rPr>
          <w:iCs/>
          <w:i/>
        </w:rPr>
        <w:t xml:space="preserve">thāsaḥ se</w:t>
      </w:r>
      <w:r>
        <w:t xml:space="preserve">, पा. ३-४-८०), the</w:t>
      </w:r>
      <w:r>
        <w:t xml:space="preserve"> </w:t>
      </w:r>
      <w:r>
        <w:t xml:space="preserve">“</w:t>
      </w:r>
      <w:r>
        <w:t xml:space="preserve">ṭ</w:t>
      </w:r>
      <w:r>
        <w:t xml:space="preserve">”</w:t>
      </w:r>
      <w:r>
        <w:t xml:space="preserve">-marker (ṭakāra-it)…</w:t>
      </w:r>
      <w:r>
        <w:t xml:space="preserve"> </w:t>
      </w:r>
      <w:r>
        <w:rPr>
          <w:iCs/>
          <w:i/>
        </w:rPr>
        <w:t xml:space="preserve">(continues on the next page)</w:t>
      </w:r>
    </w:p>
    <w:bookmarkEnd w:id="70"/>
    <w:bookmarkStart w:id="71" w:name="X633e62f22d27a88795341e9a2ece2e7e45cc9e7"/>
    <w:p>
      <w:pPr>
        <w:pStyle w:val="Heading3"/>
      </w:pPr>
      <w:r>
        <w:t xml:space="preserve">Page 46 — Vyākaraṇa-prakriyā for Rik 3.6 concluded; end of the Fifth Varga; Saṃhitā and Pada text of Rik 3.7</w:t>
      </w:r>
    </w:p>
    <w:p>
      <w:pPr>
        <w:pStyle w:val="FirstParagraph"/>
      </w:pPr>
      <w:r>
        <w:rPr>
          <w:iCs/>
          <w:i/>
        </w:rPr>
        <w:t xml:space="preserve">(Page header:</w:t>
      </w:r>
      <w:r>
        <w:rPr>
          <w:iCs/>
          <w:i/>
        </w:rPr>
        <w:t xml:space="preserve"> </w:t>
      </w:r>
      <w:r>
        <w:rPr>
          <w:iCs/>
          <w:i/>
        </w:rPr>
        <w:t xml:space="preserve">“</w:t>
      </w:r>
      <w:r>
        <w:rPr>
          <w:iCs/>
          <w:i/>
        </w:rPr>
        <w:t xml:space="preserve">Sāyaṇa-bhāṣya-sahitā · Mandala 1, Anuvāka 1, Sūkta 3.</w:t>
      </w:r>
      <w:r>
        <w:rPr>
          <w:iCs/>
          <w:i/>
        </w:rPr>
        <w:t xml:space="preserve">”</w:t>
      </w:r>
      <w:r>
        <w:rPr>
          <w:iCs/>
          <w:i/>
        </w:rPr>
        <w:t xml:space="preserve"> </w:t>
      </w:r>
      <w:r>
        <w:rPr>
          <w:iCs/>
          <w:i/>
        </w:rPr>
        <w:t xml:space="preserve">As on p. 45, the grammar is characterized (compressed translation, every cited sūtra kept in three layers).)</w:t>
      </w:r>
    </w:p>
    <w:p>
      <w:pPr>
        <w:pStyle w:val="BodyText"/>
      </w:pPr>
      <w:r>
        <w:rPr>
          <w:bCs/>
          <w:b/>
        </w:rPr>
        <w:t xml:space="preserve">(4)</w:t>
      </w:r>
      <w:r>
        <w:rPr>
          <w:bCs/>
          <w:b/>
        </w:rPr>
        <w:t xml:space="preserve"> </w:t>
      </w:r>
      <w:r>
        <w:rPr>
          <w:bCs/>
          <w:b/>
        </w:rPr>
        <w:t xml:space="preserve">“</w:t>
      </w:r>
      <w:r>
        <w:rPr>
          <w:bCs/>
          <w:b/>
        </w:rPr>
        <w:t xml:space="preserve">Dadhiṣva</w:t>
      </w:r>
      <w:r>
        <w:rPr>
          <w:bCs/>
          <w:b/>
        </w:rPr>
        <w:t xml:space="preserve">”</w:t>
      </w:r>
      <w:r>
        <w:t xml:space="preserve"> </w:t>
      </w:r>
      <w:r>
        <w:rPr>
          <w:iCs/>
          <w:i/>
        </w:rPr>
        <w:t xml:space="preserve">(continued from p. 45)</w:t>
      </w:r>
      <w:r>
        <w:t xml:space="preserve"> </w:t>
      </w:r>
      <w:r>
        <w:t xml:space="preserve">In place of the</w:t>
      </w:r>
      <w:r>
        <w:t xml:space="preserve"> </w:t>
      </w:r>
      <w:r>
        <w:t xml:space="preserve">“</w:t>
      </w:r>
      <w:r>
        <w:t xml:space="preserve">la</w:t>
      </w:r>
      <w:r>
        <w:t xml:space="preserve">”</w:t>
      </w:r>
      <w:r>
        <w:t xml:space="preserve">-ending (</w:t>
      </w:r>
      <w:r>
        <w:t xml:space="preserve">“</w:t>
      </w:r>
      <w:r>
        <w:t xml:space="preserve">loṭ</w:t>
      </w:r>
      <w:r>
        <w:t xml:space="preserve">”</w:t>
      </w:r>
      <w:r>
        <w:t xml:space="preserve">) the ending</w:t>
      </w:r>
      <w:r>
        <w:t xml:space="preserve"> </w:t>
      </w:r>
      <w:r>
        <w:t xml:space="preserve">“</w:t>
      </w:r>
      <w:r>
        <w:t xml:space="preserve">thās</w:t>
      </w:r>
      <w:r>
        <w:t xml:space="preserve">”</w:t>
      </w:r>
      <w:r>
        <w:t xml:space="preserve"> </w:t>
      </w:r>
      <w:r>
        <w:t xml:space="preserve">is replaced by</w:t>
      </w:r>
      <w:r>
        <w:t xml:space="preserve"> </w:t>
      </w:r>
      <w:r>
        <w:t xml:space="preserve">“</w:t>
      </w:r>
      <w:r>
        <w:t xml:space="preserve">se</w:t>
      </w:r>
      <w:r>
        <w:t xml:space="preserve">”</w:t>
      </w:r>
      <w:r>
        <w:t xml:space="preserve"> </w:t>
      </w:r>
      <w:r>
        <w:t xml:space="preserve">by</w:t>
      </w:r>
      <w:r>
        <w:t xml:space="preserve"> </w:t>
      </w:r>
      <w:r>
        <w:rPr>
          <w:bCs/>
          <w:b/>
        </w:rPr>
        <w:t xml:space="preserve">थासः से</w:t>
      </w:r>
      <w:r>
        <w:t xml:space="preserve"> </w:t>
      </w:r>
      <w:r>
        <w:t xml:space="preserve">(</w:t>
      </w:r>
      <w:r>
        <w:rPr>
          <w:iCs/>
          <w:i/>
        </w:rPr>
        <w:t xml:space="preserve">thāsaḥ se</w:t>
      </w:r>
      <w:r>
        <w:t xml:space="preserve">, पा. ३-४-८०). Then by</w:t>
      </w:r>
      <w:r>
        <w:t xml:space="preserve"> </w:t>
      </w:r>
      <w:r>
        <w:rPr>
          <w:bCs/>
          <w:b/>
        </w:rPr>
        <w:t xml:space="preserve">सवाभ्यां वामौ</w:t>
      </w:r>
      <w:r>
        <w:t xml:space="preserve"> </w:t>
      </w:r>
      <w:r>
        <w:t xml:space="preserve">(</w:t>
      </w:r>
      <w:r>
        <w:rPr>
          <w:iCs/>
          <w:i/>
        </w:rPr>
        <w:t xml:space="preserve">savābhyāṃ vāmau</w:t>
      </w:r>
      <w:r>
        <w:t xml:space="preserve">, पा. ३-४-९१) — the</w:t>
      </w:r>
      <w:r>
        <w:t xml:space="preserve"> </w:t>
      </w:r>
      <w:r>
        <w:t xml:space="preserve">“</w:t>
      </w:r>
      <w:r>
        <w:t xml:space="preserve">e</w:t>
      </w:r>
      <w:r>
        <w:t xml:space="preserve">”</w:t>
      </w:r>
      <w:r>
        <w:t xml:space="preserve"> </w:t>
      </w:r>
      <w:r>
        <w:t xml:space="preserve">of the loṭ-ending, after</w:t>
      </w:r>
      <w:r>
        <w:t xml:space="preserve"> </w:t>
      </w:r>
      <w:r>
        <w:t xml:space="preserve">“</w:t>
      </w:r>
      <w:r>
        <w:t xml:space="preserve">s</w:t>
      </w:r>
      <w:r>
        <w:t xml:space="preserve">”</w:t>
      </w:r>
      <w:r>
        <w:t xml:space="preserve"> </w:t>
      </w:r>
      <w:r>
        <w:t xml:space="preserve">and</w:t>
      </w:r>
      <w:r>
        <w:t xml:space="preserve"> </w:t>
      </w:r>
      <w:r>
        <w:t xml:space="preserve">“</w:t>
      </w:r>
      <w:r>
        <w:t xml:space="preserve">v,</w:t>
      </w:r>
      <w:r>
        <w:t xml:space="preserve">”</w:t>
      </w:r>
      <w:r>
        <w:t xml:space="preserve"> </w:t>
      </w:r>
      <w:r>
        <w:t xml:space="preserve">is replaced respectively by</w:t>
      </w:r>
      <w:r>
        <w:t xml:space="preserve"> </w:t>
      </w:r>
      <w:r>
        <w:t xml:space="preserve">“</w:t>
      </w:r>
      <w:r>
        <w:t xml:space="preserve">va</w:t>
      </w:r>
      <w:r>
        <w:t xml:space="preserve">”</w:t>
      </w:r>
      <w:r>
        <w:t xml:space="preserve"> </w:t>
      </w:r>
      <w:r>
        <w:t xml:space="preserve">and</w:t>
      </w:r>
      <w:r>
        <w:t xml:space="preserve"> </w:t>
      </w:r>
      <w:r>
        <w:t xml:space="preserve">“</w:t>
      </w:r>
      <w:r>
        <w:t xml:space="preserve">am</w:t>
      </w:r>
      <w:r>
        <w:t xml:space="preserve">”</w:t>
      </w:r>
      <w:r>
        <w:t xml:space="preserve"> </w:t>
      </w:r>
      <w:r>
        <w:t xml:space="preserve">— the</w:t>
      </w:r>
      <w:r>
        <w:t xml:space="preserve"> </w:t>
      </w:r>
      <w:r>
        <w:t xml:space="preserve">“</w:t>
      </w:r>
      <w:r>
        <w:t xml:space="preserve">e</w:t>
      </w:r>
      <w:r>
        <w:t xml:space="preserve">”</w:t>
      </w:r>
      <w:r>
        <w:t xml:space="preserve"> </w:t>
      </w:r>
      <w:r>
        <w:t xml:space="preserve">becomes</w:t>
      </w:r>
      <w:r>
        <w:t xml:space="preserve"> </w:t>
      </w:r>
      <w:r>
        <w:t xml:space="preserve">“</w:t>
      </w:r>
      <w:r>
        <w:t xml:space="preserve">va</w:t>
      </w:r>
      <w:r>
        <w:t xml:space="preserve">”</w:t>
      </w:r>
      <w:r>
        <w:t xml:space="preserve">:</w:t>
      </w:r>
      <w:r>
        <w:t xml:space="preserve"> </w:t>
      </w:r>
      <w:r>
        <w:t xml:space="preserve">“</w:t>
      </w:r>
      <w:r>
        <w:t xml:space="preserve">dhā + sva.</w:t>
      </w:r>
      <w:r>
        <w:t xml:space="preserve">”</w:t>
      </w:r>
      <w:r>
        <w:t xml:space="preserve"> </w:t>
      </w:r>
      <w:r>
        <w:t xml:space="preserve">By</w:t>
      </w:r>
      <w:r>
        <w:t xml:space="preserve"> </w:t>
      </w:r>
      <w:r>
        <w:rPr>
          <w:bCs/>
          <w:b/>
        </w:rPr>
        <w:t xml:space="preserve">छन्दस्युभयथा</w:t>
      </w:r>
      <w:r>
        <w:t xml:space="preserve"> </w:t>
      </w:r>
      <w:r>
        <w:t xml:space="preserve">(</w:t>
      </w:r>
      <w:r>
        <w:rPr>
          <w:iCs/>
          <w:i/>
        </w:rPr>
        <w:t xml:space="preserve">chandasy ubhayathā</w:t>
      </w:r>
      <w:r>
        <w:t xml:space="preserve">, पा. ३-४-११७) — the affixes prescribed in the root-section carry, in the Veda, both labels,</w:t>
      </w:r>
      <w:r>
        <w:t xml:space="preserve"> </w:t>
      </w:r>
      <w:r>
        <w:t xml:space="preserve">“</w:t>
      </w:r>
      <w:r>
        <w:t xml:space="preserve">sārvadhātuka</w:t>
      </w:r>
      <w:r>
        <w:t xml:space="preserve">”</w:t>
      </w:r>
      <w:r>
        <w:t xml:space="preserve"> </w:t>
      </w:r>
      <w:r>
        <w:t xml:space="preserve">and</w:t>
      </w:r>
      <w:r>
        <w:t xml:space="preserve"> </w:t>
      </w:r>
      <w:r>
        <w:t xml:space="preserve">“</w:t>
      </w:r>
      <w:r>
        <w:t xml:space="preserve">ārdhadhātuka</w:t>
      </w:r>
      <w:r>
        <w:t xml:space="preserve">”</w:t>
      </w:r>
      <w:r>
        <w:t xml:space="preserve"> </w:t>
      </w:r>
      <w:r>
        <w:t xml:space="preserve">— both labels apply; taking first the</w:t>
      </w:r>
      <w:r>
        <w:t xml:space="preserve"> </w:t>
      </w:r>
      <w:r>
        <w:t xml:space="preserve">“</w:t>
      </w:r>
      <w:r>
        <w:t xml:space="preserve">sārvadhātuka</w:t>
      </w:r>
      <w:r>
        <w:t xml:space="preserve">”</w:t>
      </w:r>
      <w:r>
        <w:t xml:space="preserve"> </w:t>
      </w:r>
      <w:r>
        <w:t xml:space="preserve">label, by</w:t>
      </w:r>
      <w:r>
        <w:t xml:space="preserve"> </w:t>
      </w:r>
      <w:r>
        <w:rPr>
          <w:bCs/>
          <w:b/>
        </w:rPr>
        <w:t xml:space="preserve">कर्तरि शप्</w:t>
      </w:r>
      <w:r>
        <w:t xml:space="preserve"> </w:t>
      </w:r>
      <w:r>
        <w:t xml:space="preserve">(</w:t>
      </w:r>
      <w:r>
        <w:rPr>
          <w:iCs/>
          <w:i/>
        </w:rPr>
        <w:t xml:space="preserve">kartari śap</w:t>
      </w:r>
      <w:r>
        <w:t xml:space="preserve">, पा. ३-१-६८) the</w:t>
      </w:r>
      <w:r>
        <w:t xml:space="preserve"> </w:t>
      </w:r>
      <w:r>
        <w:t xml:space="preserve">“</w:t>
      </w:r>
      <w:r>
        <w:t xml:space="preserve">śap</w:t>
      </w:r>
      <w:r>
        <w:t xml:space="preserve">”</w:t>
      </w:r>
      <w:r>
        <w:t xml:space="preserve"> </w:t>
      </w:r>
      <w:r>
        <w:t xml:space="preserve">comes when a</w:t>
      </w:r>
      <w:r>
        <w:t xml:space="preserve"> </w:t>
      </w:r>
      <w:r>
        <w:t xml:space="preserve">“</w:t>
      </w:r>
      <w:r>
        <w:t xml:space="preserve">sārvadhātuka</w:t>
      </w:r>
      <w:r>
        <w:t xml:space="preserve">”</w:t>
      </w:r>
      <w:r>
        <w:t xml:space="preserve"> </w:t>
      </w:r>
      <w:r>
        <w:t xml:space="preserve">affix with agent-sense follows. Then</w:t>
      </w:r>
      <w:r>
        <w:t xml:space="preserve"> </w:t>
      </w:r>
      <w:r>
        <w:rPr>
          <w:bCs/>
          <w:b/>
        </w:rPr>
        <w:t xml:space="preserve">जुहोत्यादिभ्यः श्लुः</w:t>
      </w:r>
      <w:r>
        <w:t xml:space="preserve"> </w:t>
      </w:r>
      <w:r>
        <w:t xml:space="preserve">(</w:t>
      </w:r>
      <w:r>
        <w:rPr>
          <w:iCs/>
          <w:i/>
        </w:rPr>
        <w:t xml:space="preserve">juhotyādibhyaḥ śluḥ</w:t>
      </w:r>
      <w:r>
        <w:t xml:space="preserve">, पा. २-४-७५) — after the roots of the</w:t>
      </w:r>
      <w:r>
        <w:t xml:space="preserve"> </w:t>
      </w:r>
      <w:r>
        <w:t xml:space="preserve">“</w:t>
      </w:r>
      <w:r>
        <w:t xml:space="preserve">juhotyādi</w:t>
      </w:r>
      <w:r>
        <w:t xml:space="preserve">”</w:t>
      </w:r>
      <w:r>
        <w:t xml:space="preserve"> </w:t>
      </w:r>
      <w:r>
        <w:t xml:space="preserve">group</w:t>
      </w:r>
      <w:r>
        <w:t xml:space="preserve"> </w:t>
      </w:r>
      <w:r>
        <w:t xml:space="preserve">“</w:t>
      </w:r>
      <w:r>
        <w:t xml:space="preserve">śap</w:t>
      </w:r>
      <w:r>
        <w:t xml:space="preserve">”</w:t>
      </w:r>
      <w:r>
        <w:t xml:space="preserve"> </w:t>
      </w:r>
      <w:r>
        <w:t xml:space="preserve">is elided (luk-like</w:t>
      </w:r>
      <w:r>
        <w:t xml:space="preserve"> </w:t>
      </w:r>
      <w:r>
        <w:t xml:space="preserve">“</w:t>
      </w:r>
      <w:r>
        <w:t xml:space="preserve">ślu</w:t>
      </w:r>
      <w:r>
        <w:t xml:space="preserve">”</w:t>
      </w:r>
      <w:r>
        <w:t xml:space="preserve">). With</w:t>
      </w:r>
      <w:r>
        <w:t xml:space="preserve"> </w:t>
      </w:r>
      <w:r>
        <w:t xml:space="preserve">“</w:t>
      </w:r>
      <w:r>
        <w:t xml:space="preserve">ślu,</w:t>
      </w:r>
      <w:r>
        <w:t xml:space="preserve">”</w:t>
      </w:r>
      <w:r>
        <w:t xml:space="preserve"> </w:t>
      </w:r>
      <w:r>
        <w:t xml:space="preserve">by</w:t>
      </w:r>
      <w:r>
        <w:t xml:space="preserve"> </w:t>
      </w:r>
      <w:r>
        <w:rPr>
          <w:bCs/>
          <w:b/>
        </w:rPr>
        <w:t xml:space="preserve">श्लौ</w:t>
      </w:r>
      <w:r>
        <w:t xml:space="preserve"> </w:t>
      </w:r>
      <w:r>
        <w:t xml:space="preserve">(</w:t>
      </w:r>
      <w:r>
        <w:rPr>
          <w:iCs/>
          <w:i/>
        </w:rPr>
        <w:t xml:space="preserve">ślau</w:t>
      </w:r>
      <w:r>
        <w:t xml:space="preserve">, पा. ६-१-१०) the root is doubled:</w:t>
      </w:r>
      <w:r>
        <w:t xml:space="preserve"> </w:t>
      </w:r>
      <w:r>
        <w:t xml:space="preserve">“</w:t>
      </w:r>
      <w:r>
        <w:t xml:space="preserve">dhā-dhā + sva</w:t>
      </w:r>
      <w:r>
        <w:t xml:space="preserve">”</w:t>
      </w:r>
      <w:r>
        <w:t xml:space="preserve">; by</w:t>
      </w:r>
      <w:r>
        <w:t xml:space="preserve"> </w:t>
      </w:r>
      <w:r>
        <w:rPr>
          <w:bCs/>
          <w:b/>
        </w:rPr>
        <w:t xml:space="preserve">ह्रस्वः</w:t>
      </w:r>
      <w:r>
        <w:t xml:space="preserve"> </w:t>
      </w:r>
      <w:r>
        <w:t xml:space="preserve">(</w:t>
      </w:r>
      <w:r>
        <w:rPr>
          <w:iCs/>
          <w:i/>
        </w:rPr>
        <w:t xml:space="preserve">hrasvaḥ</w:t>
      </w:r>
      <w:r>
        <w:t xml:space="preserve">, पा. ७-४-५९) and</w:t>
      </w:r>
      <w:r>
        <w:t xml:space="preserve"> </w:t>
      </w:r>
      <w:r>
        <w:rPr>
          <w:bCs/>
          <w:b/>
        </w:rPr>
        <w:t xml:space="preserve">अभ्यासे चर्च</w:t>
      </w:r>
      <w:r>
        <w:t xml:space="preserve"> </w:t>
      </w:r>
      <w:r>
        <w:t xml:space="preserve">(</w:t>
      </w:r>
      <w:r>
        <w:rPr>
          <w:iCs/>
          <w:i/>
        </w:rPr>
        <w:t xml:space="preserve">abhyāse car ca</w:t>
      </w:r>
      <w:r>
        <w:t xml:space="preserve">, पा. ८-४-५४) the reduplicative syllable is shortened and its aspirate unaspirated (</w:t>
      </w:r>
      <w:r>
        <w:t xml:space="preserve">“</w:t>
      </w:r>
      <w:r>
        <w:t xml:space="preserve">da</w:t>
      </w:r>
      <w:r>
        <w:t xml:space="preserve">”</w:t>
      </w:r>
      <w:r>
        <w:t xml:space="preserve">):</w:t>
      </w:r>
      <w:r>
        <w:t xml:space="preserve"> </w:t>
      </w:r>
      <w:r>
        <w:t xml:space="preserve">“</w:t>
      </w:r>
      <w:r>
        <w:t xml:space="preserve">da-dhā + sva.</w:t>
      </w:r>
      <w:r>
        <w:t xml:space="preserve">”</w:t>
      </w:r>
      <w:r>
        <w:t xml:space="preserve"> </w:t>
      </w:r>
      <w:r>
        <w:t xml:space="preserve">Now taking the</w:t>
      </w:r>
      <w:r>
        <w:t xml:space="preserve"> </w:t>
      </w:r>
      <w:r>
        <w:t xml:space="preserve">“</w:t>
      </w:r>
      <w:r>
        <w:t xml:space="preserve">ārdhadhātuka</w:t>
      </w:r>
      <w:r>
        <w:t xml:space="preserve">”</w:t>
      </w:r>
      <w:r>
        <w:t xml:space="preserve"> </w:t>
      </w:r>
      <w:r>
        <w:t xml:space="preserve">label, by</w:t>
      </w:r>
      <w:r>
        <w:t xml:space="preserve"> </w:t>
      </w:r>
      <w:r>
        <w:rPr>
          <w:bCs/>
          <w:b/>
        </w:rPr>
        <w:t xml:space="preserve">आर्धधातुकस्येड्वलादेः</w:t>
      </w:r>
      <w:r>
        <w:t xml:space="preserve"> </w:t>
      </w:r>
      <w:r>
        <w:t xml:space="preserve">(</w:t>
      </w:r>
      <w:r>
        <w:rPr>
          <w:iCs/>
          <w:i/>
        </w:rPr>
        <w:t xml:space="preserve">ārdhadhātukasyeḍ valādeḥ</w:t>
      </w:r>
      <w:r>
        <w:t xml:space="preserve">, पा. ७-२-३५) the augment</w:t>
      </w:r>
      <w:r>
        <w:t xml:space="preserve"> </w:t>
      </w:r>
      <w:r>
        <w:t xml:space="preserve">“</w:t>
      </w:r>
      <w:r>
        <w:t xml:space="preserve">iṭ</w:t>
      </w:r>
      <w:r>
        <w:t xml:space="preserve">”</w:t>
      </w:r>
      <w:r>
        <w:t xml:space="preserve"> </w:t>
      </w:r>
      <w:r>
        <w:t xml:space="preserve">is given to</w:t>
      </w:r>
      <w:r>
        <w:t xml:space="preserve"> </w:t>
      </w:r>
      <w:r>
        <w:t xml:space="preserve">“</w:t>
      </w:r>
      <w:r>
        <w:t xml:space="preserve">sva</w:t>
      </w:r>
      <w:r>
        <w:t xml:space="preserve">”</w:t>
      </w:r>
      <w:r>
        <w:t xml:space="preserve">:</w:t>
      </w:r>
      <w:r>
        <w:t xml:space="preserve"> </w:t>
      </w:r>
      <w:r>
        <w:t xml:space="preserve">“</w:t>
      </w:r>
      <w:r>
        <w:t xml:space="preserve">dadhā + iṣva</w:t>
      </w:r>
      <w:r>
        <w:t xml:space="preserve">”</w:t>
      </w:r>
      <w:r>
        <w:t xml:space="preserve">; by</w:t>
      </w:r>
      <w:r>
        <w:t xml:space="preserve"> </w:t>
      </w:r>
      <w:r>
        <w:rPr>
          <w:bCs/>
          <w:b/>
        </w:rPr>
        <w:t xml:space="preserve">आतो लोप इटि च</w:t>
      </w:r>
      <w:r>
        <w:t xml:space="preserve"> </w:t>
      </w:r>
      <w:r>
        <w:t xml:space="preserve">(</w:t>
      </w:r>
      <w:r>
        <w:rPr>
          <w:iCs/>
          <w:i/>
        </w:rPr>
        <w:t xml:space="preserve">āto lopa iṭi ca</w:t>
      </w:r>
      <w:r>
        <w:t xml:space="preserve">, पा. ६-४-६४) — the</w:t>
      </w:r>
      <w:r>
        <w:t xml:space="preserve"> </w:t>
      </w:r>
      <w:r>
        <w:t xml:space="preserve">“</w:t>
      </w:r>
      <w:r>
        <w:t xml:space="preserve">ā</w:t>
      </w:r>
      <w:r>
        <w:t xml:space="preserve">”</w:t>
      </w:r>
      <w:r>
        <w:t xml:space="preserve"> </w:t>
      </w:r>
      <w:r>
        <w:t xml:space="preserve">is elided before an</w:t>
      </w:r>
      <w:r>
        <w:t xml:space="preserve"> </w:t>
      </w:r>
      <w:r>
        <w:t xml:space="preserve">“</w:t>
      </w:r>
      <w:r>
        <w:t xml:space="preserve">ajādi</w:t>
      </w:r>
      <w:r>
        <w:t xml:space="preserve">”</w:t>
      </w:r>
      <w:r>
        <w:t xml:space="preserve"> </w:t>
      </w:r>
      <w:r>
        <w:t xml:space="preserve">ārdhadhātuka or before</w:t>
      </w:r>
      <w:r>
        <w:t xml:space="preserve"> </w:t>
      </w:r>
      <w:r>
        <w:t xml:space="preserve">“</w:t>
      </w:r>
      <w:r>
        <w:t xml:space="preserve">iṭ</w:t>
      </w:r>
      <w:r>
        <w:t xml:space="preserve">”</w:t>
      </w:r>
      <w:r>
        <w:t xml:space="preserve"> </w:t>
      </w:r>
      <w:r>
        <w:t xml:space="preserve">— the</w:t>
      </w:r>
      <w:r>
        <w:t xml:space="preserve"> </w:t>
      </w:r>
      <w:r>
        <w:t xml:space="preserve">“</w:t>
      </w:r>
      <w:r>
        <w:t xml:space="preserve">ā</w:t>
      </w:r>
      <w:r>
        <w:t xml:space="preserve">”</w:t>
      </w:r>
      <w:r>
        <w:t xml:space="preserve"> </w:t>
      </w:r>
      <w:r>
        <w:t xml:space="preserve">drops; and by</w:t>
      </w:r>
      <w:r>
        <w:t xml:space="preserve"> </w:t>
      </w:r>
      <w:r>
        <w:rPr>
          <w:bCs/>
          <w:b/>
        </w:rPr>
        <w:t xml:space="preserve">आदेशप्रत्यययोः</w:t>
      </w:r>
      <w:r>
        <w:t xml:space="preserve"> </w:t>
      </w:r>
      <w:r>
        <w:t xml:space="preserve">(</w:t>
      </w:r>
      <w:r>
        <w:rPr>
          <w:iCs/>
          <w:i/>
        </w:rPr>
        <w:t xml:space="preserve">ādeśa-pratyayayoḥ</w:t>
      </w:r>
      <w:r>
        <w:t xml:space="preserve">, पा. ८-३-५९) the</w:t>
      </w:r>
      <w:r>
        <w:t xml:space="preserve"> </w:t>
      </w:r>
      <w:r>
        <w:t xml:space="preserve">“</w:t>
      </w:r>
      <w:r>
        <w:t xml:space="preserve">s</w:t>
      </w:r>
      <w:r>
        <w:t xml:space="preserve">”</w:t>
      </w:r>
      <w:r>
        <w:t xml:space="preserve"> </w:t>
      </w:r>
      <w:r>
        <w:t xml:space="preserve">becomes</w:t>
      </w:r>
      <w:r>
        <w:t xml:space="preserve"> </w:t>
      </w:r>
      <w:r>
        <w:t xml:space="preserve">“</w:t>
      </w:r>
      <w:r>
        <w:t xml:space="preserve">ṣ</w:t>
      </w:r>
      <w:r>
        <w:t xml:space="preserve">”</w:t>
      </w:r>
      <w:r>
        <w:t xml:space="preserve">:</w:t>
      </w:r>
      <w:r>
        <w:t xml:space="preserve"> </w:t>
      </w:r>
      <w:r>
        <w:rPr>
          <w:bCs/>
          <w:b/>
        </w:rPr>
        <w:t xml:space="preserve">“</w:t>
      </w:r>
      <w:r>
        <w:rPr>
          <w:bCs/>
          <w:b/>
        </w:rPr>
        <w:t xml:space="preserve">dadhiṣva.</w:t>
      </w:r>
      <w:r>
        <w:rPr>
          <w:bCs/>
          <w:b/>
        </w:rPr>
        <w:t xml:space="preserve">”</w:t>
      </w:r>
    </w:p>
    <w:p>
      <w:pPr>
        <w:pStyle w:val="BodyText"/>
      </w:pPr>
      <w:r>
        <w:rPr>
          <w:bCs/>
          <w:b/>
        </w:rPr>
        <w:t xml:space="preserve">(5)</w:t>
      </w:r>
      <w:r>
        <w:rPr>
          <w:bCs/>
          <w:b/>
        </w:rPr>
        <w:t xml:space="preserve"> </w:t>
      </w:r>
      <w:r>
        <w:rPr>
          <w:bCs/>
          <w:b/>
        </w:rPr>
        <w:t xml:space="preserve">“</w:t>
      </w:r>
      <w:r>
        <w:rPr>
          <w:bCs/>
          <w:b/>
        </w:rPr>
        <w:t xml:space="preserve">Canaḥ.</w:t>
      </w:r>
      <w:r>
        <w:rPr>
          <w:bCs/>
          <w:b/>
        </w:rPr>
        <w:t xml:space="preserve">”</w:t>
      </w:r>
      <w:r>
        <w:t xml:space="preserve"> </w:t>
      </w:r>
      <w:r>
        <w:rPr>
          <w:iCs/>
          <w:i/>
        </w:rPr>
        <w:t xml:space="preserve">“</w:t>
      </w:r>
      <w:r>
        <w:rPr>
          <w:iCs/>
          <w:i/>
        </w:rPr>
        <w:t xml:space="preserve">cāyater anne hrasvaś ca</w:t>
      </w:r>
      <w:r>
        <w:rPr>
          <w:iCs/>
          <w:i/>
        </w:rPr>
        <w:t xml:space="preserve">”</w:t>
      </w:r>
      <w:r>
        <w:t xml:space="preserve"> </w:t>
      </w:r>
      <w:r>
        <w:t xml:space="preserve">—</w:t>
      </w:r>
      <w:r>
        <w:t xml:space="preserve"> </w:t>
      </w:r>
      <w:r>
        <w:rPr>
          <w:bCs/>
          <w:b/>
        </w:rPr>
        <w:t xml:space="preserve">चायतेरन्ने ह्रस्वश्च</w:t>
      </w:r>
      <w:r>
        <w:t xml:space="preserve"> </w:t>
      </w:r>
      <w:r>
        <w:t xml:space="preserve">(उ. सू. ४-६-३९ [as I read the print; see the note below]) — when the sense</w:t>
      </w:r>
      <w:r>
        <w:t xml:space="preserve"> </w:t>
      </w:r>
      <w:r>
        <w:t xml:space="preserve">“</w:t>
      </w:r>
      <w:r>
        <w:t xml:space="preserve">anna</w:t>
      </w:r>
      <w:r>
        <w:t xml:space="preserve">”</w:t>
      </w:r>
      <w:r>
        <w:t xml:space="preserve"> </w:t>
      </w:r>
      <w:r>
        <w:t xml:space="preserve">(food) is intended, the root</w:t>
      </w:r>
      <w:r>
        <w:t xml:space="preserve"> </w:t>
      </w:r>
      <w:r>
        <w:t xml:space="preserve">“</w:t>
      </w:r>
      <w:r>
        <w:t xml:space="preserve">cāy</w:t>
      </w:r>
      <w:r>
        <w:t xml:space="preserve">”</w:t>
      </w:r>
      <w:r>
        <w:t xml:space="preserve"> </w:t>
      </w:r>
      <w:r>
        <w:t xml:space="preserve">takes the affix</w:t>
      </w:r>
      <w:r>
        <w:t xml:space="preserve"> </w:t>
      </w:r>
      <w:r>
        <w:t xml:space="preserve">“</w:t>
      </w:r>
      <w:r>
        <w:t xml:space="preserve">asun,</w:t>
      </w:r>
      <w:r>
        <w:t xml:space="preserve">”</w:t>
      </w:r>
      <w:r>
        <w:t xml:space="preserve"> </w:t>
      </w:r>
      <w:r>
        <w:t xml:space="preserve">the affix also takes the augment</w:t>
      </w:r>
      <w:r>
        <w:t xml:space="preserve"> </w:t>
      </w:r>
      <w:r>
        <w:t xml:space="preserve">“</w:t>
      </w:r>
      <w:r>
        <w:t xml:space="preserve">nuṭ,</w:t>
      </w:r>
      <w:r>
        <w:t xml:space="preserve">”</w:t>
      </w:r>
      <w:r>
        <w:t xml:space="preserve"> </w:t>
      </w:r>
      <w:r>
        <w:t xml:space="preserve">and the</w:t>
      </w:r>
      <w:r>
        <w:t xml:space="preserve"> </w:t>
      </w:r>
      <w:r>
        <w:t xml:space="preserve">“</w:t>
      </w:r>
      <w:r>
        <w:t xml:space="preserve">cā</w:t>
      </w:r>
      <w:r>
        <w:t xml:space="preserve">”</w:t>
      </w:r>
      <w:r>
        <w:t xml:space="preserve"> </w:t>
      </w:r>
      <w:r>
        <w:t xml:space="preserve">is shortened. So with</w:t>
      </w:r>
      <w:r>
        <w:t xml:space="preserve"> </w:t>
      </w:r>
      <w:r>
        <w:t xml:space="preserve">“</w:t>
      </w:r>
      <w:r>
        <w:t xml:space="preserve">asun,</w:t>
      </w:r>
      <w:r>
        <w:t xml:space="preserve">”</w:t>
      </w:r>
      <w:r>
        <w:t xml:space="preserve"> </w:t>
      </w:r>
      <w:r>
        <w:t xml:space="preserve">“</w:t>
      </w:r>
      <w:r>
        <w:t xml:space="preserve">nuṭ</w:t>
      </w:r>
      <w:r>
        <w:t xml:space="preserve">”</w:t>
      </w:r>
      <w:r>
        <w:t xml:space="preserve"> </w:t>
      </w:r>
      <w:r>
        <w:t xml:space="preserve">and the shortening one gets</w:t>
      </w:r>
      <w:r>
        <w:t xml:space="preserve"> </w:t>
      </w:r>
      <w:r>
        <w:t xml:space="preserve">“</w:t>
      </w:r>
      <w:r>
        <w:t xml:space="preserve">cay-an-</w:t>
      </w:r>
      <w:r>
        <w:t xml:space="preserve">”</w:t>
      </w:r>
      <w:r>
        <w:t xml:space="preserve">; and by</w:t>
      </w:r>
      <w:r>
        <w:t xml:space="preserve"> </w:t>
      </w:r>
      <w:r>
        <w:rPr>
          <w:bCs/>
          <w:b/>
        </w:rPr>
        <w:t xml:space="preserve">लोपो व्योर्वलि</w:t>
      </w:r>
      <w:r>
        <w:t xml:space="preserve"> </w:t>
      </w:r>
      <w:r>
        <w:t xml:space="preserve">(</w:t>
      </w:r>
      <w:r>
        <w:rPr>
          <w:iCs/>
          <w:i/>
        </w:rPr>
        <w:t xml:space="preserve">lopo vyor vali</w:t>
      </w:r>
      <w:r>
        <w:t xml:space="preserve">, पा. ६-१-६६) the</w:t>
      </w:r>
      <w:r>
        <w:t xml:space="preserve"> </w:t>
      </w:r>
      <w:r>
        <w:t xml:space="preserve">“</w:t>
      </w:r>
      <w:r>
        <w:t xml:space="preserve">y</w:t>
      </w:r>
      <w:r>
        <w:t xml:space="preserve">”</w:t>
      </w:r>
      <w:r>
        <w:t xml:space="preserve"> </w:t>
      </w:r>
      <w:r>
        <w:t xml:space="preserve">is elided, giving</w:t>
      </w:r>
      <w:r>
        <w:t xml:space="preserve"> </w:t>
      </w:r>
      <w:r>
        <w:rPr>
          <w:bCs/>
          <w:b/>
        </w:rPr>
        <w:t xml:space="preserve">“</w:t>
      </w:r>
      <w:r>
        <w:rPr>
          <w:bCs/>
          <w:b/>
        </w:rPr>
        <w:t xml:space="preserve">canaḥ.</w:t>
      </w:r>
      <w:r>
        <w:rPr>
          <w:bCs/>
          <w:b/>
        </w:rPr>
        <w:t xml:space="preserve">”</w:t>
      </w:r>
      <w:r>
        <w:t xml:space="preserve"> </w:t>
      </w:r>
      <w:r>
        <w:t xml:space="preserve">॥६॥</w:t>
      </w:r>
    </w:p>
    <w:p>
      <w:pPr>
        <w:pStyle w:val="BodyText"/>
      </w:pPr>
      <w:r>
        <w:rPr>
          <w:iCs/>
          <w:i/>
        </w:rPr>
        <w:t xml:space="preserve">(Reference note: the Uṇādi-sūtra number for</w:t>
      </w:r>
      <w:r>
        <w:rPr>
          <w:iCs/>
          <w:i/>
        </w:rPr>
        <w:t xml:space="preserve"> </w:t>
      </w:r>
      <w:r>
        <w:rPr>
          <w:iCs/>
          <w:i/>
        </w:rPr>
        <w:t xml:space="preserve">“</w:t>
      </w:r>
      <w:r>
        <w:rPr>
          <w:iCs/>
          <w:i/>
        </w:rPr>
        <w:t xml:space="preserve">cāyater anne hrasvaś ca</w:t>
      </w:r>
      <w:r>
        <w:rPr>
          <w:iCs/>
          <w:i/>
        </w:rPr>
        <w:t xml:space="preserve">”</w:t>
      </w:r>
      <w:r>
        <w:rPr>
          <w:iCs/>
          <w:i/>
        </w:rPr>
        <w:t xml:space="preserve"> </w:t>
      </w:r>
      <w:r>
        <w:rPr>
          <w:iCs/>
          <w:i/>
        </w:rPr>
        <w:t xml:space="preserve">is printed here as</w:t>
      </w:r>
      <w:r>
        <w:rPr>
          <w:iCs/>
          <w:i/>
        </w:rPr>
        <w:t xml:space="preserve"> </w:t>
      </w:r>
      <w:r>
        <w:rPr>
          <w:iCs/>
          <w:i/>
        </w:rPr>
        <w:t xml:space="preserve">“</w:t>
      </w:r>
      <w:r>
        <w:rPr>
          <w:iCs/>
          <w:i/>
        </w:rPr>
        <w:t xml:space="preserve">4-6-39</w:t>
      </w:r>
      <w:r>
        <w:rPr>
          <w:iCs/>
          <w:i/>
        </w:rPr>
        <w:t xml:space="preserve">”</w:t>
      </w:r>
      <w:r>
        <w:rPr>
          <w:iCs/>
          <w:i/>
        </w:rPr>
        <w:t xml:space="preserve"> </w:t>
      </w:r>
      <w:r>
        <w:rPr>
          <w:iCs/>
          <w:i/>
        </w:rPr>
        <w:t xml:space="preserve">(adhyāya-pāda-sūtra form), and on p. 43 as</w:t>
      </w:r>
      <w:r>
        <w:rPr>
          <w:iCs/>
          <w:i/>
        </w:rPr>
        <w:t xml:space="preserve"> </w:t>
      </w:r>
      <w:r>
        <w:rPr>
          <w:iCs/>
          <w:i/>
        </w:rPr>
        <w:t xml:space="preserve">“</w:t>
      </w:r>
      <w:r>
        <w:rPr>
          <w:iCs/>
          <w:i/>
        </w:rPr>
        <w:t xml:space="preserve">4-199</w:t>
      </w:r>
      <w:r>
        <w:rPr>
          <w:iCs/>
          <w:i/>
        </w:rPr>
        <w:t xml:space="preserve">”</w:t>
      </w:r>
      <w:r>
        <w:rPr>
          <w:iCs/>
          <w:i/>
        </w:rPr>
        <w:t xml:space="preserve"> </w:t>
      </w:r>
      <w:r>
        <w:rPr>
          <w:iCs/>
          <w:i/>
        </w:rPr>
        <w:t xml:space="preserve">(a running number): both are clear in the second scan; the print gives the sūtra in two numbering styles.)</w:t>
      </w:r>
    </w:p>
    <w:p>
      <w:pPr>
        <w:pStyle w:val="BodyText"/>
      </w:pPr>
      <w:r>
        <w:rPr>
          <w:bCs/>
          <w:b/>
        </w:rPr>
        <w:t xml:space="preserve">इल्लिगे ऐदनेय वर्गवु मुगिदुदु</w:t>
      </w:r>
      <w:r>
        <w:t xml:space="preserve"> </w:t>
      </w:r>
      <w:r>
        <w:t xml:space="preserve">—</w:t>
      </w:r>
      <w:r>
        <w:t xml:space="preserve"> </w:t>
      </w:r>
      <w:r>
        <w:rPr>
          <w:iCs/>
          <w:i/>
        </w:rPr>
        <w:t xml:space="preserve">illige aidaneya vargavu mugidudu</w:t>
      </w:r>
      <w:r>
        <w:t xml:space="preserve"> </w:t>
      </w:r>
      <w:r>
        <w:t xml:space="preserve">—</w:t>
      </w:r>
      <w:r>
        <w:t xml:space="preserve"> </w:t>
      </w:r>
      <w:r>
        <w:t xml:space="preserve">“</w:t>
      </w:r>
      <w:r>
        <w:t xml:space="preserve">Here the</w:t>
      </w:r>
      <w:r>
        <w:t xml:space="preserve"> </w:t>
      </w:r>
      <w:r>
        <w:rPr>
          <w:bCs/>
          <w:b/>
        </w:rPr>
        <w:t xml:space="preserve">fifth varga</w:t>
      </w:r>
      <w:r>
        <w:t xml:space="preserve"> </w:t>
      </w:r>
      <w:r>
        <w:t xml:space="preserve">is finished.</w:t>
      </w:r>
      <w:r>
        <w:t xml:space="preserve">”</w:t>
      </w:r>
    </w:p>
    <w:p>
      <w:r>
        <w:pict>
          <v:rect style="width:0;height:1.5pt" o:hralign="center" o:hrstd="t" o:hr="t"/>
        </w:pict>
      </w:r>
    </w:p>
    <w:bookmarkEnd w:id="71"/>
    <w:bookmarkStart w:id="72" w:name="sūkta-3-the-seventh-mantra"/>
    <w:p>
      <w:pPr>
        <w:pStyle w:val="Heading3"/>
      </w:pPr>
      <w:r>
        <w:t xml:space="preserve">Sūkta 3, The Seventh Mantra</w:t>
      </w:r>
    </w:p>
    <w:p>
      <w:pPr>
        <w:pStyle w:val="FirstParagraph"/>
      </w:pPr>
      <w:r>
        <w:rPr>
          <w:iCs/>
          <w:i/>
        </w:rPr>
        <w:t xml:space="preserve">(Saṃhitā accents as printed; Pada unaccented — see the note at Rik 3.5.)</w:t>
      </w:r>
    </w:p>
    <w:p>
      <w:pPr>
        <w:pStyle w:val="BodyText"/>
      </w:pPr>
      <w:r>
        <w:rPr>
          <w:bCs/>
          <w:b/>
        </w:rPr>
        <w:t xml:space="preserve">॥ Saṃhitā-pāṭhaḥ ॥</w:t>
      </w:r>
    </w:p>
    <w:p>
      <w:pPr>
        <w:pStyle w:val="BlockText"/>
      </w:pPr>
      <w:r>
        <w:t xml:space="preserve">ओमा॑सश्चर्षणीधृतो॒ विश्वे॑ देवास॒ आ ग॑त ।</w:t>
      </w:r>
      <w:r>
        <w:t xml:space="preserve"> </w:t>
      </w:r>
      <w:r>
        <w:t xml:space="preserve">दा॒श्वांसो॑ दा॒शुषः॑ सु॒तं ॥७॥</w:t>
      </w:r>
    </w:p>
    <w:p>
      <w:pPr>
        <w:pStyle w:val="BlockText"/>
      </w:pPr>
      <w:r>
        <w:rPr>
          <w:iCs/>
          <w:i/>
        </w:rPr>
        <w:t xml:space="preserve">ómāsaścarṣaṇīdhṛto víśve devāsa ā́ gata |</w:t>
      </w:r>
      <w:r>
        <w:t xml:space="preserve"> </w:t>
      </w:r>
      <w:r>
        <w:rPr>
          <w:iCs/>
          <w:i/>
        </w:rPr>
        <w:t xml:space="preserve">dāśvā́ṃso dāśúṣaḥ sutáṃ ||7||</w:t>
      </w:r>
    </w:p>
    <w:p>
      <w:pPr>
        <w:pStyle w:val="FirstParagraph"/>
      </w:pPr>
      <w:r>
        <w:rPr>
          <w:bCs/>
          <w:b/>
        </w:rPr>
        <w:t xml:space="preserve">॥ Pada-pāṭhaḥ ॥</w:t>
      </w:r>
    </w:p>
    <w:p>
      <w:pPr>
        <w:pStyle w:val="BlockText"/>
      </w:pPr>
      <w:r>
        <w:t xml:space="preserve">ओमासः । चर्षणीधृतः । विश्वे । देवासः । आ । गत ।</w:t>
      </w:r>
      <w:r>
        <w:t xml:space="preserve"> </w:t>
      </w:r>
      <w:r>
        <w:t xml:space="preserve">दाश्वांसः । दाशुषः । सुतम् ॥७॥</w:t>
      </w:r>
    </w:p>
    <w:p>
      <w:pPr>
        <w:pStyle w:val="FirstParagraph"/>
      </w:pPr>
      <w:r>
        <w:rPr>
          <w:iCs/>
          <w:i/>
        </w:rPr>
        <w:t xml:space="preserve">(Reading note: in the Pada text,</w:t>
      </w:r>
      <w:r>
        <w:rPr>
          <w:iCs/>
          <w:i/>
        </w:rPr>
        <w:t xml:space="preserve"> </w:t>
      </w:r>
      <w:r>
        <w:rPr>
          <w:iCs/>
          <w:i/>
        </w:rPr>
        <w:t xml:space="preserve">“</w:t>
      </w:r>
      <w:r>
        <w:rPr>
          <w:iCs/>
          <w:i/>
        </w:rPr>
        <w:t xml:space="preserve">carṣaṇīdhṛtaḥ</w:t>
      </w:r>
      <w:r>
        <w:rPr>
          <w:iCs/>
          <w:i/>
        </w:rPr>
        <w:t xml:space="preserve">”</w:t>
      </w:r>
      <w:r>
        <w:rPr>
          <w:iCs/>
          <w:i/>
        </w:rPr>
        <w:t xml:space="preserve"> </w:t>
      </w:r>
      <w:r>
        <w:rPr>
          <w:iCs/>
          <w:i/>
        </w:rPr>
        <w:t xml:space="preserve">is a compound; the print shows a small sign between</w:t>
      </w:r>
      <w:r>
        <w:rPr>
          <w:iCs/>
          <w:i/>
        </w:rPr>
        <w:t xml:space="preserve"> </w:t>
      </w:r>
      <w:r>
        <w:rPr>
          <w:iCs/>
          <w:i/>
        </w:rPr>
        <w:t xml:space="preserve">“</w:t>
      </w:r>
      <w:r>
        <w:rPr>
          <w:iCs/>
          <w:i/>
        </w:rPr>
        <w:t xml:space="preserve">carṣaṇī</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dhṛtaḥ</w:t>
      </w:r>
      <w:r>
        <w:rPr>
          <w:iCs/>
          <w:i/>
        </w:rPr>
        <w:t xml:space="preserve">”</w:t>
      </w:r>
      <w:r>
        <w:rPr>
          <w:iCs/>
          <w:i/>
        </w:rPr>
        <w:t xml:space="preserve"> </w:t>
      </w:r>
      <w:r>
        <w:rPr>
          <w:iCs/>
          <w:i/>
        </w:rPr>
        <w:t xml:space="preserve">that I read as the avagraha-division,</w:t>
      </w:r>
      <w:r>
        <w:rPr>
          <w:iCs/>
          <w:i/>
        </w:rPr>
        <w:t xml:space="preserve"> </w:t>
      </w:r>
      <w:r>
        <w:rPr>
          <w:iCs/>
          <w:i/>
        </w:rPr>
        <w:t xml:space="preserve">“</w:t>
      </w:r>
      <w:r>
        <w:rPr>
          <w:iCs/>
          <w:i/>
        </w:rPr>
        <w:t xml:space="preserve">carṣaṇī-dhṛtaḥ,</w:t>
      </w:r>
      <w:r>
        <w:rPr>
          <w:iCs/>
          <w:i/>
        </w:rPr>
        <w:t xml:space="preserve">”</w:t>
      </w:r>
      <w:r>
        <w:rPr>
          <w:iCs/>
          <w:i/>
        </w:rPr>
        <w:t xml:space="preserve"> </w:t>
      </w:r>
      <w:r>
        <w:rPr>
          <w:iCs/>
          <w:i/>
        </w:rPr>
        <w:t xml:space="preserve">but cannot make out with certainty, so I give the word undivided.)</w:t>
      </w:r>
    </w:p>
    <w:bookmarkEnd w:id="72"/>
    <w:bookmarkStart w:id="73" w:name="X20dc3f1b3aa69ec01fb182ca8d7bd8d776d0122"/>
    <w:p>
      <w:pPr>
        <w:pStyle w:val="Heading3"/>
      </w:pPr>
      <w:r>
        <w:t xml:space="preserve">Page 47 — Sūkta 3, Seventh Mantra: Sāyaṇa-bhāṣya (opening)</w:t>
      </w:r>
    </w:p>
    <w:p>
      <w:pPr>
        <w:pStyle w:val="FirstParagraph"/>
      </w:pPr>
      <w:r>
        <w:rPr>
          <w:iCs/>
          <w:i/>
        </w:rPr>
        <w:t xml:space="preserve">(Page header:</w:t>
      </w:r>
      <w:r>
        <w:rPr>
          <w:iCs/>
          <w:i/>
        </w:rPr>
        <w:t xml:space="preserve"> </w:t>
      </w:r>
      <w:r>
        <w:rPr>
          <w:iCs/>
          <w:i/>
        </w:rPr>
        <w:t xml:space="preserve">“</w:t>
      </w:r>
      <w:r>
        <w:rPr>
          <w:iCs/>
          <w:i/>
        </w:rPr>
        <w:t xml:space="preserve">Aṣṭaka 1, Adhyāya 1, Varga 6 · Ṛgveda-saṃhitā</w:t>
      </w:r>
      <w:r>
        <w:rPr>
          <w:iCs/>
          <w:i/>
        </w:rPr>
        <w:t xml:space="preserve">”</w:t>
      </w:r>
      <w:r>
        <w:rPr>
          <w:iCs/>
          <w:i/>
        </w:rPr>
        <w:t xml:space="preserve"> </w:t>
      </w:r>
      <w:r>
        <w:rPr>
          <w:iCs/>
          <w:i/>
        </w:rPr>
        <w:t xml:space="preserve">— the sixth varga begins here, the previous page having closed the fifth. This is a very dense Bhāṣya page, read in enlarged slices. The sense-portion at the top is transcribed in full in three layers; the long technical accent-debate that follows is</w:t>
      </w:r>
      <w:r>
        <w:rPr>
          <w:iCs/>
          <w:i/>
        </w:rPr>
        <w:t xml:space="preserve"> </w:t>
      </w:r>
      <w:r>
        <w:rPr>
          <w:bCs/>
          <w:b/>
          <w:iCs/>
          <w:i/>
        </w:rPr>
        <w:t xml:space="preserve">characterized, not transcribed line by line</w:t>
      </w:r>
      <w:r>
        <w:rPr>
          <w:iCs/>
          <w:i/>
        </w:rPr>
        <w:t xml:space="preserve">, per the standing convention for dense Vyākaraṇa-prakriyā, and I say so again at that point.)</w:t>
      </w:r>
    </w:p>
    <w:p>
      <w:pPr>
        <w:pStyle w:val="BodyText"/>
      </w:pPr>
      <w:r>
        <w:rPr>
          <w:bCs/>
          <w:b/>
        </w:rPr>
        <w:t xml:space="preserve">॥ Sāyaṇa-bhāṣyam ॥</w:t>
      </w:r>
    </w:p>
    <w:p>
      <w:pPr>
        <w:pStyle w:val="BlockText"/>
      </w:pPr>
      <w:r>
        <w:t xml:space="preserve">हे विश्वे देवास एतन्नामका देवविशेषा दाशुषो हविर्दत्तवतो यजमानस्य सुतमभिषुतं सोमं प्रत्या गत । आगच्छत । ते च देवा ओमासो रक्षकाः चर्षणीधृतो मनुष्याणां धारका दाश्वांसः फलस्य दातारः । मनुष्या इत्यादिषु पञ्चविंशतिसंख्याकेषु मनुष्यनामसु चर्षणिशब्दः पठितः । अश्विनावित्यादिष्वेकत्रिंशत्संख्याकेषु देवविशेषनामसु विश्वे देवाः साध्या इति पठितम् ।</w:t>
      </w:r>
      <w:r>
        <w:t xml:space="preserve"> </w:t>
      </w:r>
      <w:r>
        <w:rPr>
          <w:iCs/>
          <w:i/>
        </w:rPr>
        <w:t xml:space="preserve">he viśve devāsa etan-nāmakā deva-viśeṣā dāśuṣo havir-dattavato yajamānasya sutam abhiṣutaṃ somaṃ pratyā gata | āgacchata | te ca devā omāso rakṣakāḥ carṣaṇīdhṛto manuṣyāṇāṃ dhārakā dāśvāṃsaḥ phalasya dātāraḥ | manuṣyā ity ādiṣu pañcaviṃśati-saṃkhyākeṣu manuṣya-nāmasu carṣaṇi-śabdaḥ paṭhitaḥ | aśvināv ity ādiṣv ekatriṃśat-saṃkhyākeṣu deva-viśeṣa-nāmasu viśve devāḥ sādhyā iti paṭhitam |</w:t>
      </w:r>
    </w:p>
    <w:p>
      <w:pPr>
        <w:pStyle w:val="FirstParagraph"/>
      </w:pPr>
      <w:r>
        <w:rPr>
          <w:bCs/>
          <w:b/>
        </w:rPr>
        <w:t xml:space="preserve">Translation:</w:t>
      </w:r>
      <w:r>
        <w:t xml:space="preserve"> </w:t>
      </w:r>
      <w:r>
        <w:t xml:space="preserve">“</w:t>
      </w:r>
      <w:r>
        <w:t xml:space="preserve">O</w:t>
      </w:r>
      <w:r>
        <w:t xml:space="preserve"> </w:t>
      </w:r>
      <w:r>
        <w:t xml:space="preserve">‘</w:t>
      </w:r>
      <w:r>
        <w:t xml:space="preserve">viśve devāsaḥ</w:t>
      </w:r>
      <w:r>
        <w:t xml:space="preserve">’</w:t>
      </w:r>
      <w:r>
        <w:t xml:space="preserve"> </w:t>
      </w:r>
      <w:r>
        <w:t xml:space="preserve">— gods of this name, a special class of gods! Come (</w:t>
      </w:r>
      <w:r>
        <w:t xml:space="preserve">‘</w:t>
      </w:r>
      <w:r>
        <w:t xml:space="preserve">pratyā gata</w:t>
      </w:r>
      <w:r>
        <w:t xml:space="preserve">’</w:t>
      </w:r>
      <w:r>
        <w:t xml:space="preserve"> </w:t>
      </w:r>
      <w:r>
        <w:t xml:space="preserve">=</w:t>
      </w:r>
      <w:r>
        <w:t xml:space="preserve"> </w:t>
      </w:r>
      <w:r>
        <w:t xml:space="preserve">‘</w:t>
      </w:r>
      <w:r>
        <w:t xml:space="preserve">āgacchata</w:t>
      </w:r>
      <w:r>
        <w:t xml:space="preserve">’</w:t>
      </w:r>
      <w:r>
        <w:t xml:space="preserve">) to the Soma that has been pressed (</w:t>
      </w:r>
      <w:r>
        <w:t xml:space="preserve">‘</w:t>
      </w:r>
      <w:r>
        <w:t xml:space="preserve">sutam</w:t>
      </w:r>
      <w:r>
        <w:t xml:space="preserve">’</w:t>
      </w:r>
      <w:r>
        <w:t xml:space="preserve"> </w:t>
      </w:r>
      <w:r>
        <w:t xml:space="preserve">=</w:t>
      </w:r>
      <w:r>
        <w:t xml:space="preserve"> </w:t>
      </w:r>
      <w:r>
        <w:t xml:space="preserve">‘</w:t>
      </w:r>
      <w:r>
        <w:t xml:space="preserve">abhiṣutam</w:t>
      </w:r>
      <w:r>
        <w:t xml:space="preserve">’</w:t>
      </w:r>
      <w:r>
        <w:t xml:space="preserve">) of the sacrificer (</w:t>
      </w:r>
      <w:r>
        <w:t xml:space="preserve">‘</w:t>
      </w:r>
      <w:r>
        <w:t xml:space="preserve">dāśuṣaḥ</w:t>
      </w:r>
      <w:r>
        <w:t xml:space="preserve">’</w:t>
      </w:r>
      <w:r>
        <w:t xml:space="preserve">) who has given the oblation. And those gods are</w:t>
      </w:r>
      <w:r>
        <w:t xml:space="preserve"> </w:t>
      </w:r>
      <w:r>
        <w:t xml:space="preserve">‘</w:t>
      </w:r>
      <w:r>
        <w:t xml:space="preserve">omāsaḥ</w:t>
      </w:r>
      <w:r>
        <w:t xml:space="preserve">’</w:t>
      </w:r>
      <w:r>
        <w:t xml:space="preserve"> </w:t>
      </w:r>
      <w:r>
        <w:t xml:space="preserve">— protectors;</w:t>
      </w:r>
      <w:r>
        <w:t xml:space="preserve"> </w:t>
      </w:r>
      <w:r>
        <w:t xml:space="preserve">‘</w:t>
      </w:r>
      <w:r>
        <w:t xml:space="preserve">carṣaṇīdhṛtaḥ</w:t>
      </w:r>
      <w:r>
        <w:t xml:space="preserve">’</w:t>
      </w:r>
      <w:r>
        <w:t xml:space="preserve"> </w:t>
      </w:r>
      <w:r>
        <w:t xml:space="preserve">— upholders of men;</w:t>
      </w:r>
      <w:r>
        <w:t xml:space="preserve"> </w:t>
      </w:r>
      <w:r>
        <w:t xml:space="preserve">‘</w:t>
      </w:r>
      <w:r>
        <w:t xml:space="preserve">dāśvāṃsaḥ</w:t>
      </w:r>
      <w:r>
        <w:t xml:space="preserve">’</w:t>
      </w:r>
      <w:r>
        <w:t xml:space="preserve"> </w:t>
      </w:r>
      <w:r>
        <w:t xml:space="preserve">— givers of the fruit. Among the twenty-five names of human beings beginning with</w:t>
      </w:r>
      <w:r>
        <w:t xml:space="preserve"> </w:t>
      </w:r>
      <w:r>
        <w:t xml:space="preserve">‘</w:t>
      </w:r>
      <w:r>
        <w:t xml:space="preserve">manuṣyāḥ</w:t>
      </w:r>
      <w:r>
        <w:t xml:space="preserve">’</w:t>
      </w:r>
      <w:r>
        <w:t xml:space="preserve"> </w:t>
      </w:r>
      <w:r>
        <w:t xml:space="preserve">(in the Nighaṇṭu), the word</w:t>
      </w:r>
      <w:r>
        <w:t xml:space="preserve"> </w:t>
      </w:r>
      <w:r>
        <w:t xml:space="preserve">‘</w:t>
      </w:r>
      <w:r>
        <w:t xml:space="preserve">carṣaṇi</w:t>
      </w:r>
      <w:r>
        <w:t xml:space="preserve">’</w:t>
      </w:r>
      <w:r>
        <w:t xml:space="preserve"> </w:t>
      </w:r>
      <w:r>
        <w:t xml:space="preserve">is read. Among the thirty-one names of particular classes of gods beginning with</w:t>
      </w:r>
      <w:r>
        <w:t xml:space="preserve"> </w:t>
      </w:r>
      <w:r>
        <w:t xml:space="preserve">‘</w:t>
      </w:r>
      <w:r>
        <w:t xml:space="preserve">aśvinau,</w:t>
      </w:r>
      <w:r>
        <w:t xml:space="preserve">’</w:t>
      </w:r>
      <w:r>
        <w:t xml:space="preserve"> </w:t>
      </w:r>
      <w:r>
        <w:t xml:space="preserve">‘</w:t>
      </w:r>
      <w:r>
        <w:t xml:space="preserve">viśve devāḥ</w:t>
      </w:r>
      <w:r>
        <w:t xml:space="preserve">’</w:t>
      </w:r>
      <w:r>
        <w:t xml:space="preserve"> </w:t>
      </w:r>
      <w:r>
        <w:t xml:space="preserve">and</w:t>
      </w:r>
      <w:r>
        <w:t xml:space="preserve"> </w:t>
      </w:r>
      <w:r>
        <w:t xml:space="preserve">‘</w:t>
      </w:r>
      <w:r>
        <w:t xml:space="preserve">sādhyāḥ</w:t>
      </w:r>
      <w:r>
        <w:t xml:space="preserve">’</w:t>
      </w:r>
      <w:r>
        <w:t xml:space="preserve"> </w:t>
      </w:r>
      <w:r>
        <w:t xml:space="preserve">are read.</w:t>
      </w:r>
      <w:r>
        <w:t xml:space="preserve">”</w:t>
      </w:r>
    </w:p>
    <w:p>
      <w:pPr>
        <w:pStyle w:val="BlockText"/>
      </w:pPr>
      <w:r>
        <w:t xml:space="preserve">एतामृचं यास्क एवं व्याख्यातवान् । अवितारो वावनीया वा मनुष्यधृतः सर्वे च देवा इहागच्छत दत्तवन्तो दत्तवतः सुतमिति तदेतदेकमेव वैश्वदेवं गायत्रं तृचं दशतयीषु विद्यते यत्तु किञ्चिद्बहुदैवतं तद्वैश्वदेवानां स्थाने युज्यते यदेव विश्वलिङ्गमिति शाकपूणिः । नि. १२-४० । इति । अत्र विश्वशब्दः सर्वशब्दपर्याय इति यास्कस्य मतम् । देवविशेषस्यैवासाधारणं लिङ्गमिति शाकपूणेर्मतम् ।</w:t>
      </w:r>
      <w:r>
        <w:t xml:space="preserve"> </w:t>
      </w:r>
      <w:r>
        <w:rPr>
          <w:iCs/>
          <w:i/>
        </w:rPr>
        <w:t xml:space="preserve">etām ṛcaṃ yāska evaṃ vyākhyātavān | avitāro vāvanīyā vā manuṣyadhṛtaḥ sarve ca devā ihāgacchata dattavanto dattavataḥ sutam iti tad etad ekam eva vaiśvadevaṃ gāyatraṃ tṛcaṃ daśatayīṣu vidyate yat tu kiñcid bahudaivataṃ tad vaiśvadevānāṃ sthāne yujyate yad eva viśva-liṅgam iti śākapūṇiḥ | ni. 12-40 | iti | atra viśva-śabdaḥ sarva-śabda-paryāya iti yāskasya matam | deva-viśeṣasyaivāsādhāraṇaṃ liṅgam iti śākapūṇer matam |</w:t>
      </w:r>
    </w:p>
    <w:p>
      <w:pPr>
        <w:pStyle w:val="FirstParagraph"/>
      </w:pPr>
      <w:r>
        <w:rPr>
          <w:bCs/>
          <w:b/>
        </w:rPr>
        <w:t xml:space="preserve">Translation:</w:t>
      </w:r>
      <w:r>
        <w:t xml:space="preserve"> </w:t>
      </w:r>
      <w:r>
        <w:t xml:space="preserve">“</w:t>
      </w:r>
      <w:r>
        <w:t xml:space="preserve">Yāska has explained this Ṛk thus:</w:t>
      </w:r>
      <w:r>
        <w:t xml:space="preserve"> </w:t>
      </w:r>
      <w:r>
        <w:t xml:space="preserve">‘</w:t>
      </w:r>
      <w:r>
        <w:rPr>
          <w:iCs/>
          <w:i/>
        </w:rPr>
        <w:t xml:space="preserve">Protectors, or those to be desired, upholders of men; and all the gods, come here — having given, to the one who has given — the pressed (Soma).</w:t>
      </w:r>
      <w:r>
        <w:t xml:space="preserve"> </w:t>
      </w:r>
      <w:r>
        <w:t xml:space="preserve">This is the one Vaiśvadeva Gāyatra tṛca found in the</w:t>
      </w:r>
      <w:r>
        <w:t xml:space="preserve"> </w:t>
      </w:r>
      <w:r>
        <w:t xml:space="preserve">“</w:t>
      </w:r>
      <w:r>
        <w:t xml:space="preserve">daśatayī</w:t>
      </w:r>
      <w:r>
        <w:t xml:space="preserve">”</w:t>
      </w:r>
      <w:r>
        <w:t xml:space="preserve"> </w:t>
      </w:r>
      <w:r>
        <w:t xml:space="preserve">(the ten-book arrangement of the Saṃhitā). Whatever hymn has many deities is fitted into the place of the Vaiśvadevas; indeed,</w:t>
      </w:r>
      <w:r>
        <w:t xml:space="preserve"> </w:t>
      </w:r>
      <w:r>
        <w:t xml:space="preserve">“</w:t>
      </w:r>
      <w:r>
        <w:t xml:space="preserve">whatever bears the mark of</w:t>
      </w:r>
      <w:r>
        <w:t xml:space="preserve"> </w:t>
      </w:r>
      <w:r>
        <w:rPr>
          <w:iCs/>
          <w:i/>
        </w:rPr>
        <w:t xml:space="preserve">viśva</w:t>
      </w:r>
      <w:r>
        <w:t xml:space="preserve">,</w:t>
      </w:r>
      <w:r>
        <w:t xml:space="preserve">”</w:t>
      </w:r>
      <w:r>
        <w:t xml:space="preserve"> </w:t>
      </w:r>
      <w:r>
        <w:t xml:space="preserve">says Śākapūṇi.</w:t>
      </w:r>
      <w:r>
        <w:t xml:space="preserve">’</w:t>
      </w:r>
      <w:r>
        <w:t xml:space="preserve"> </w:t>
      </w:r>
      <w:r>
        <w:t xml:space="preserve">(Nirukta 12.40). Here, that the word</w:t>
      </w:r>
      <w:r>
        <w:t xml:space="preserve"> </w:t>
      </w:r>
      <w:r>
        <w:t xml:space="preserve">‘</w:t>
      </w:r>
      <w:r>
        <w:t xml:space="preserve">viśva</w:t>
      </w:r>
      <w:r>
        <w:t xml:space="preserve">’</w:t>
      </w:r>
      <w:r>
        <w:t xml:space="preserve"> </w:t>
      </w:r>
      <w:r>
        <w:t xml:space="preserve">is a synonym of</w:t>
      </w:r>
      <w:r>
        <w:t xml:space="preserve"> </w:t>
      </w:r>
      <w:r>
        <w:t xml:space="preserve">‘</w:t>
      </w:r>
      <w:r>
        <w:t xml:space="preserve">sarva</w:t>
      </w:r>
      <w:r>
        <w:t xml:space="preserve">’</w:t>
      </w:r>
      <w:r>
        <w:t xml:space="preserve"> </w:t>
      </w:r>
      <w:r>
        <w:t xml:space="preserve">(all) is Yāska’s view; that it is the particular, uncommon mark of one class of gods is Śākapūṇi’s view.</w:t>
      </w:r>
      <w:r>
        <w:t xml:space="preserve">”</w:t>
      </w:r>
    </w:p>
    <w:p>
      <w:pPr>
        <w:pStyle w:val="BlockText"/>
      </w:pPr>
      <w:r>
        <w:t xml:space="preserve">अवन्तीत्योमासो देवाः । मन्नित्यनुवृत्त्या अविसिविसिशुषिभ्यः कित् । उ. १-१४३ । इति मन्प्रत्ययः । ज्वरत्वरस्रिव्यविमवामुपधायाश्च । पा. ६-४-२० । इत्यूट् । मनः कित्त्वेऽपि बाहुलकत्वाद्गुणः । आज्जसेरसुक् । पा. ७-१-५० । इति जसेरसुगागमः । आमन्त्रिताद्युदात्तत्वम् । चर्षणयो मनुष्याः । तान्सृष्टि दानादिना धारयन्तीति चर्षणीधृतो देवाः ।</w:t>
      </w:r>
      <w:r>
        <w:t xml:space="preserve"> </w:t>
      </w:r>
      <w:r>
        <w:rPr>
          <w:iCs/>
          <w:i/>
        </w:rPr>
        <w:t xml:space="preserve">avanty ity omāso devāḥ | man ity anuvṛttyā avi-sivi-si-śuṣibhyaḥ kit | u. 1-143 | iti man-pratyayaḥ | jvara-tvara-srivyavi-mavām upadhāyāś ca | pā. 6-4-20 | ity ūṭ | manaḥ kittve ’pi bāhulakatvād guṇaḥ | āj-jaser asuk | pā. 7-1-50 | iti jaser asug-āgamaḥ | āmantritādyudāttatvam | carṣaṇayo manuṣyāḥ | tān sṛṣṭi dānādinā dhārayantīti carṣaṇīdhṛto devāḥ |</w:t>
      </w:r>
    </w:p>
    <w:p>
      <w:pPr>
        <w:pStyle w:val="FirstParagraph"/>
      </w:pPr>
      <w:r>
        <w:rPr>
          <w:bCs/>
          <w:b/>
        </w:rPr>
        <w:t xml:space="preserve">Translation:</w:t>
      </w:r>
      <w:r>
        <w:t xml:space="preserve"> </w:t>
      </w:r>
      <w:r>
        <w:t xml:space="preserve">“</w:t>
      </w:r>
      <w:r>
        <w:t xml:space="preserve">‘</w:t>
      </w:r>
      <w:r>
        <w:t xml:space="preserve">Omāsaḥ</w:t>
      </w:r>
      <w:r>
        <w:t xml:space="preserve">’</w:t>
      </w:r>
      <w:r>
        <w:t xml:space="preserve"> </w:t>
      </w:r>
      <w:r>
        <w:t xml:space="preserve">— the gods, because they</w:t>
      </w:r>
      <w:r>
        <w:t xml:space="preserve"> </w:t>
      </w:r>
      <w:r>
        <w:t xml:space="preserve">‘</w:t>
      </w:r>
      <w:r>
        <w:t xml:space="preserve">protect</w:t>
      </w:r>
      <w:r>
        <w:t xml:space="preserve">’</w:t>
      </w:r>
      <w:r>
        <w:t xml:space="preserve"> </w:t>
      </w:r>
      <w:r>
        <w:t xml:space="preserve">(</w:t>
      </w:r>
      <w:r>
        <w:t xml:space="preserve">‘</w:t>
      </w:r>
      <w:r>
        <w:t xml:space="preserve">avanti</w:t>
      </w:r>
      <w:r>
        <w:t xml:space="preserve">’</w:t>
      </w:r>
      <w:r>
        <w:t xml:space="preserve">): by the continuing sense of</w:t>
      </w:r>
      <w:r>
        <w:t xml:space="preserve"> </w:t>
      </w:r>
      <w:r>
        <w:t xml:space="preserve">‘</w:t>
      </w:r>
      <w:r>
        <w:t xml:space="preserve">man</w:t>
      </w:r>
      <w:r>
        <w:t xml:space="preserve">’</w:t>
      </w:r>
      <w:r>
        <w:t xml:space="preserve"> </w:t>
      </w:r>
      <w:r>
        <w:t xml:space="preserve">(the Uṇādi-sūtra</w:t>
      </w:r>
      <w:r>
        <w:t xml:space="preserve"> </w:t>
      </w:r>
      <w:r>
        <w:t xml:space="preserve">‘</w:t>
      </w:r>
      <w:r>
        <w:t xml:space="preserve">avi-sivi-si-śuṣibhyaḥ kit,</w:t>
      </w:r>
      <w:r>
        <w:t xml:space="preserve">’</w:t>
      </w:r>
      <w:r>
        <w:t xml:space="preserve"> </w:t>
      </w:r>
      <w:r>
        <w:t xml:space="preserve">as read on p. 51; numbered in the print, Uṇ. 1-143) the affix</w:t>
      </w:r>
      <w:r>
        <w:t xml:space="preserve"> </w:t>
      </w:r>
      <w:r>
        <w:t xml:space="preserve">‘</w:t>
      </w:r>
      <w:r>
        <w:t xml:space="preserve">man</w:t>
      </w:r>
      <w:r>
        <w:t xml:space="preserve">’</w:t>
      </w:r>
      <w:r>
        <w:t xml:space="preserve"> </w:t>
      </w:r>
      <w:r>
        <w:t xml:space="preserve">is added; by</w:t>
      </w:r>
      <w:r>
        <w:t xml:space="preserve"> </w:t>
      </w:r>
      <w:r>
        <w:t xml:space="preserve">‘</w:t>
      </w:r>
      <w:r>
        <w:t xml:space="preserve">jvara-tvara-srivi-avi-mavām upadhāyāś ca</w:t>
      </w:r>
      <w:r>
        <w:t xml:space="preserve">’</w:t>
      </w:r>
      <w:r>
        <w:t xml:space="preserve"> </w:t>
      </w:r>
      <w:r>
        <w:t xml:space="preserve">(Pāṇini 6-4-20) the</w:t>
      </w:r>
      <w:r>
        <w:t xml:space="preserve"> </w:t>
      </w:r>
      <w:r>
        <w:t xml:space="preserve">‘</w:t>
      </w:r>
      <w:r>
        <w:t xml:space="preserve">ūṭ</w:t>
      </w:r>
      <w:r>
        <w:t xml:space="preserve">’</w:t>
      </w:r>
      <w:r>
        <w:t xml:space="preserve"> </w:t>
      </w:r>
      <w:r>
        <w:t xml:space="preserve">substitution comes; although</w:t>
      </w:r>
      <w:r>
        <w:t xml:space="preserve"> </w:t>
      </w:r>
      <w:r>
        <w:t xml:space="preserve">‘</w:t>
      </w:r>
      <w:r>
        <w:t xml:space="preserve">man</w:t>
      </w:r>
      <w:r>
        <w:t xml:space="preserve">’</w:t>
      </w:r>
      <w:r>
        <w:t xml:space="preserve"> </w:t>
      </w:r>
      <w:r>
        <w:t xml:space="preserve">is marked</w:t>
      </w:r>
      <w:r>
        <w:t xml:space="preserve"> </w:t>
      </w:r>
      <w:r>
        <w:t xml:space="preserve">‘</w:t>
      </w:r>
      <w:r>
        <w:t xml:space="preserve">k</w:t>
      </w:r>
      <w:r>
        <w:t xml:space="preserve">’</w:t>
      </w:r>
      <w:r>
        <w:t xml:space="preserve"> </w:t>
      </w:r>
      <w:r>
        <w:t xml:space="preserve">(which would normally bar guṇa), guṇa occurs, because of the Vedic variability (</w:t>
      </w:r>
      <w:r>
        <w:t xml:space="preserve">‘</w:t>
      </w:r>
      <w:r>
        <w:t xml:space="preserve">bāhulaka</w:t>
      </w:r>
      <w:r>
        <w:t xml:space="preserve">’</w:t>
      </w:r>
      <w:r>
        <w:t xml:space="preserve">). By</w:t>
      </w:r>
      <w:r>
        <w:t xml:space="preserve"> </w:t>
      </w:r>
      <w:r>
        <w:t xml:space="preserve">‘</w:t>
      </w:r>
      <w:r>
        <w:t xml:space="preserve">āj-jaser asuk</w:t>
      </w:r>
      <w:r>
        <w:t xml:space="preserve">’</w:t>
      </w:r>
      <w:r>
        <w:t xml:space="preserve"> </w:t>
      </w:r>
      <w:r>
        <w:t xml:space="preserve">(Pāṇini 7-1-50) the augment</w:t>
      </w:r>
      <w:r>
        <w:t xml:space="preserve"> </w:t>
      </w:r>
      <w:r>
        <w:t xml:space="preserve">‘</w:t>
      </w:r>
      <w:r>
        <w:t xml:space="preserve">asuk</w:t>
      </w:r>
      <w:r>
        <w:t xml:space="preserve">’</w:t>
      </w:r>
      <w:r>
        <w:t xml:space="preserve"> </w:t>
      </w:r>
      <w:r>
        <w:t xml:space="preserve">comes to</w:t>
      </w:r>
      <w:r>
        <w:t xml:space="preserve"> </w:t>
      </w:r>
      <w:r>
        <w:t xml:space="preserve">‘</w:t>
      </w:r>
      <w:r>
        <w:t xml:space="preserve">jas</w:t>
      </w:r>
      <w:r>
        <w:t xml:space="preserve">’</w:t>
      </w:r>
      <w:r>
        <w:t xml:space="preserve">; the first syllable is acute by the vocative rule.</w:t>
      </w:r>
      <w:r>
        <w:t xml:space="preserve"> </w:t>
      </w:r>
      <w:r>
        <w:t xml:space="preserve">‘</w:t>
      </w:r>
      <w:r>
        <w:t xml:space="preserve">Carṣaṇayaḥ</w:t>
      </w:r>
      <w:r>
        <w:t xml:space="preserve">’</w:t>
      </w:r>
      <w:r>
        <w:t xml:space="preserve"> </w:t>
      </w:r>
      <w:r>
        <w:t xml:space="preserve">means human beings; those (gods) who sustain them by creating, by giving and the like, are</w:t>
      </w:r>
      <w:r>
        <w:t xml:space="preserve"> </w:t>
      </w:r>
      <w:r>
        <w:t xml:space="preserve">‘</w:t>
      </w:r>
      <w:r>
        <w:t xml:space="preserve">carṣaṇīdhṛtaḥ.</w:t>
      </w:r>
      <w:r>
        <w:t xml:space="preserve">’</w:t>
      </w:r>
      <w:r>
        <w:t xml:space="preserve">”</w:t>
      </w:r>
    </w:p>
    <w:p>
      <w:pPr>
        <w:pStyle w:val="BodyText"/>
      </w:pPr>
      <w:r>
        <w:rPr>
          <w:iCs/>
          <w:i/>
        </w:rPr>
        <w:t xml:space="preserve">(Reading notes: (i) the Uṇādi-number</w:t>
      </w:r>
      <w:r>
        <w:rPr>
          <w:iCs/>
          <w:i/>
        </w:rPr>
        <w:t xml:space="preserve"> </w:t>
      </w:r>
      <w:r>
        <w:rPr>
          <w:iCs/>
          <w:i/>
        </w:rPr>
        <w:t xml:space="preserve">“</w:t>
      </w:r>
      <w:r>
        <w:rPr>
          <w:iCs/>
          <w:i/>
        </w:rPr>
        <w:t xml:space="preserve">1-143</w:t>
      </w:r>
      <w:r>
        <w:rPr>
          <w:iCs/>
          <w:i/>
        </w:rPr>
        <w:t xml:space="preserve">”</w:t>
      </w:r>
      <w:r>
        <w:rPr>
          <w:iCs/>
          <w:i/>
        </w:rPr>
        <w:t xml:space="preserve"> </w:t>
      </w:r>
      <w:r>
        <w:rPr>
          <w:iCs/>
          <w:i/>
        </w:rPr>
        <w:t xml:space="preserve">is clear in the second scan; (ii) the word before</w:t>
      </w:r>
      <w:r>
        <w:rPr>
          <w:iCs/>
          <w:i/>
        </w:rPr>
        <w:t xml:space="preserve"> </w:t>
      </w:r>
      <w:r>
        <w:rPr>
          <w:iCs/>
          <w:i/>
        </w:rPr>
        <w:t xml:space="preserve">“</w:t>
      </w:r>
      <w:r>
        <w:rPr>
          <w:iCs/>
          <w:i/>
        </w:rPr>
        <w:t xml:space="preserve">dānādinā</w:t>
      </w:r>
      <w:r>
        <w:rPr>
          <w:iCs/>
          <w:i/>
        </w:rPr>
        <w:t xml:space="preserve">”</w:t>
      </w:r>
      <w:r>
        <w:rPr>
          <w:iCs/>
          <w:i/>
        </w:rPr>
        <w:t xml:space="preserve"> </w:t>
      </w:r>
      <w:r>
        <w:rPr>
          <w:iCs/>
          <w:i/>
        </w:rPr>
        <w:t xml:space="preserve">is printed</w:t>
      </w:r>
      <w:r>
        <w:rPr>
          <w:iCs/>
          <w:i/>
        </w:rPr>
        <w:t xml:space="preserve"> </w:t>
      </w:r>
      <w:r>
        <w:rPr>
          <w:iCs/>
          <w:i/>
        </w:rPr>
        <w:t xml:space="preserve">“</w:t>
      </w:r>
      <w:r>
        <w:rPr>
          <w:iCs/>
          <w:i/>
        </w:rPr>
        <w:t xml:space="preserve">sṛṣṭi</w:t>
      </w:r>
      <w:r>
        <w:rPr>
          <w:iCs/>
          <w:i/>
        </w:rPr>
        <w:t xml:space="preserve">”</w:t>
      </w:r>
      <w:r>
        <w:rPr>
          <w:iCs/>
          <w:i/>
        </w:rPr>
        <w:t xml:space="preserve"> </w:t>
      </w:r>
      <w:r>
        <w:rPr>
          <w:iCs/>
          <w:i/>
        </w:rPr>
        <w:t xml:space="preserve">(clear in the second scan), and the sense</w:t>
      </w:r>
      <w:r>
        <w:rPr>
          <w:iCs/>
          <w:i/>
        </w:rPr>
        <w:t xml:space="preserve"> </w:t>
      </w:r>
      <w:r>
        <w:rPr>
          <w:iCs/>
          <w:i/>
        </w:rPr>
        <w:t xml:space="preserve">“</w:t>
      </w:r>
      <w:r>
        <w:rPr>
          <w:iCs/>
          <w:i/>
        </w:rPr>
        <w:t xml:space="preserve">by creating, by giving, etc.</w:t>
      </w:r>
      <w:r>
        <w:rPr>
          <w:iCs/>
          <w:i/>
        </w:rPr>
        <w:t xml:space="preserve">”</w:t>
      </w:r>
      <w:r>
        <w:rPr>
          <w:iCs/>
          <w:i/>
        </w:rPr>
        <w:t xml:space="preserve"> </w:t>
      </w:r>
      <w:r>
        <w:rPr>
          <w:iCs/>
          <w:i/>
        </w:rPr>
        <w:t xml:space="preserve">fits; (iii) the Uṇādi-sūtra’s wording was first read here as</w:t>
      </w:r>
      <w:r>
        <w:rPr>
          <w:iCs/>
          <w:i/>
        </w:rPr>
        <w:t xml:space="preserve"> </w:t>
      </w:r>
      <w:r>
        <w:rPr>
          <w:iCs/>
          <w:i/>
        </w:rPr>
        <w:t xml:space="preserve">“</w:t>
      </w:r>
      <w:r>
        <w:rPr>
          <w:iCs/>
          <w:i/>
        </w:rPr>
        <w:t xml:space="preserve">avi-si-vasi-śuṣibhyaḥ</w:t>
      </w:r>
      <w:r>
        <w:rPr>
          <w:iCs/>
          <w:i/>
        </w:rPr>
        <w:t xml:space="preserve">”</w:t>
      </w:r>
      <w:r>
        <w:rPr>
          <w:iCs/>
          <w:i/>
        </w:rPr>
        <w:t xml:space="preserve">; p. 51, which quotes it again, prints</w:t>
      </w:r>
      <w:r>
        <w:rPr>
          <w:iCs/>
          <w:i/>
        </w:rPr>
        <w:t xml:space="preserve"> </w:t>
      </w:r>
      <w:r>
        <w:rPr>
          <w:iCs/>
          <w:i/>
        </w:rPr>
        <w:t xml:space="preserve">“</w:t>
      </w:r>
      <w:r>
        <w:rPr>
          <w:iCs/>
          <w:i/>
        </w:rPr>
        <w:t xml:space="preserve">avi sivi si śuṣibhyaḥ kit</w:t>
      </w:r>
      <w:r>
        <w:rPr>
          <w:iCs/>
          <w:i/>
        </w:rPr>
        <w:t xml:space="preserve">”</w:t>
      </w:r>
      <w:r>
        <w:rPr>
          <w:iCs/>
          <w:i/>
        </w:rPr>
        <w:t xml:space="preserve"> </w:t>
      </w:r>
      <w:r>
        <w:rPr>
          <w:iCs/>
          <w:i/>
        </w:rPr>
        <w:t xml:space="preserve">and lists the roots as</w:t>
      </w:r>
      <w:r>
        <w:rPr>
          <w:iCs/>
          <w:i/>
        </w:rPr>
        <w:t xml:space="preserve"> </w:t>
      </w:r>
      <w:r>
        <w:rPr>
          <w:iCs/>
          <w:i/>
        </w:rPr>
        <w:t xml:space="preserve">“</w:t>
      </w:r>
      <w:r>
        <w:rPr>
          <w:iCs/>
          <w:i/>
        </w:rPr>
        <w:t xml:space="preserve">av (rakṣaṇa), …, ṣiñ (bandhane), śuṣ (śoṣaṇe),</w:t>
      </w:r>
      <w:r>
        <w:rPr>
          <w:iCs/>
          <w:i/>
        </w:rPr>
        <w:t xml:space="preserve">”</w:t>
      </w:r>
      <w:r>
        <w:rPr>
          <w:iCs/>
          <w:i/>
        </w:rPr>
        <w:t xml:space="preserve"> </w:t>
      </w:r>
      <w:r>
        <w:rPr>
          <w:iCs/>
          <w:i/>
        </w:rPr>
        <w:t xml:space="preserve">so the reading here has been adjusted to that.)</w:t>
      </w:r>
    </w:p>
    <w:p>
      <w:pPr>
        <w:pStyle w:val="BodyText"/>
      </w:pPr>
      <w:r>
        <w:rPr>
          <w:bCs/>
          <w:b/>
        </w:rPr>
        <w:t xml:space="preserve">॥ The technical accent-debate (characterized, not transcribed) ॥</w:t>
      </w:r>
    </w:p>
    <w:p>
      <w:pPr>
        <w:pStyle w:val="BodyText"/>
      </w:pPr>
      <w:r>
        <w:t xml:space="preserve">The remainder of the page (about the last two-thirds) is a scholastic argument on the</w:t>
      </w:r>
      <w:r>
        <w:t xml:space="preserve"> </w:t>
      </w:r>
      <w:r>
        <w:rPr>
          <w:iCs/>
          <w:i/>
        </w:rPr>
        <w:t xml:space="preserve">accent</w:t>
      </w:r>
      <w:r>
        <w:t xml:space="preserve"> </w:t>
      </w:r>
      <w:r>
        <w:t xml:space="preserve">of the vocative words in this verse. I have read it through, but it is pure technical argument whose result does not alter the sense already given above, so, per convention, I summarize it rather than transcribing it line by line. Its course, in outline:</w:t>
      </w:r>
    </w:p>
    <w:p>
      <w:pPr>
        <w:numPr>
          <w:ilvl w:val="0"/>
          <w:numId w:val="1005"/>
        </w:numPr>
        <w:pStyle w:val="Compact"/>
      </w:pPr>
      <w:r>
        <w:rPr>
          <w:bCs/>
          <w:b/>
        </w:rPr>
        <w:t xml:space="preserve">The rule and the objection.</w:t>
      </w:r>
      <w:r>
        <w:t xml:space="preserve"> </w:t>
      </w:r>
      <w:r>
        <w:t xml:space="preserve">By the Pāṇinian rule</w:t>
      </w:r>
      <w:r>
        <w:t xml:space="preserve"> </w:t>
      </w:r>
      <w:r>
        <w:t xml:space="preserve">“</w:t>
      </w:r>
      <w:r>
        <w:t xml:space="preserve">vibhāṣitaṃ viśeṣavacane bahuvacanam</w:t>
      </w:r>
      <w:r>
        <w:t xml:space="preserve">”</w:t>
      </w:r>
      <w:r>
        <w:t xml:space="preserve"> </w:t>
      </w:r>
      <w:r>
        <w:t xml:space="preserve">(विभाषितं विशेषवचने बहुवचनम् —</w:t>
      </w:r>
      <w:r>
        <w:t xml:space="preserve"> </w:t>
      </w:r>
      <w:r>
        <w:rPr>
          <w:iCs/>
          <w:i/>
        </w:rPr>
        <w:t xml:space="preserve">vibhāṣitaṃ viśeṣa-vacane bahuvacanam</w:t>
      </w:r>
      <w:r>
        <w:t xml:space="preserve">, पा. ८-१-७४): when an earlier vocative that is a general term is followed by a plural vocative that is a specific term, the earlier one is</w:t>
      </w:r>
      <w:r>
        <w:t xml:space="preserve"> </w:t>
      </w:r>
      <w:r>
        <w:rPr>
          <w:iCs/>
          <w:i/>
        </w:rPr>
        <w:t xml:space="preserve">optionally</w:t>
      </w:r>
      <w:r>
        <w:t xml:space="preserve"> </w:t>
      </w:r>
      <w:r>
        <w:t xml:space="preserve">not treated as</w:t>
      </w:r>
      <w:r>
        <w:t xml:space="preserve"> </w:t>
      </w:r>
      <w:r>
        <w:t xml:space="preserve">“</w:t>
      </w:r>
      <w:r>
        <w:t xml:space="preserve">non-existent</w:t>
      </w:r>
      <w:r>
        <w:t xml:space="preserve">”</w:t>
      </w:r>
      <w:r>
        <w:t xml:space="preserve"> </w:t>
      </w:r>
      <w:r>
        <w:t xml:space="preserve">(avidyamāna-vat), and so</w:t>
      </w:r>
      <w:r>
        <w:t xml:space="preserve"> </w:t>
      </w:r>
      <w:r>
        <w:rPr>
          <w:iCs/>
          <w:i/>
        </w:rPr>
        <w:t xml:space="preserve">does not</w:t>
      </w:r>
      <w:r>
        <w:t xml:space="preserve"> </w:t>
      </w:r>
      <w:r>
        <w:t xml:space="preserve">lose its accent — hence the preceding vocative here keeps its accent, as being</w:t>
      </w:r>
      <w:r>
        <w:t xml:space="preserve"> </w:t>
      </w:r>
      <w:r>
        <w:t xml:space="preserve">“</w:t>
      </w:r>
      <w:r>
        <w:t xml:space="preserve">not a pāda-beginning</w:t>
      </w:r>
      <w:r>
        <w:t xml:space="preserve">”</w:t>
      </w:r>
      <w:r>
        <w:t xml:space="preserve"> </w:t>
      </w:r>
      <w:r>
        <w:t xml:space="preserve">(apādādi) it would otherwise take nighāta. An objector asks how the nighāta can still occur (since the</w:t>
      </w:r>
      <w:r>
        <w:t xml:space="preserve"> </w:t>
      </w:r>
      <w:r>
        <w:t xml:space="preserve">“</w:t>
      </w:r>
      <w:r>
        <w:t xml:space="preserve">subāmantrite parāṅgavat</w:t>
      </w:r>
      <w:r>
        <w:t xml:space="preserve">”</w:t>
      </w:r>
      <w:r>
        <w:t xml:space="preserve"> </w:t>
      </w:r>
      <w:r>
        <w:t xml:space="preserve">rule would make the two words one unit, which would make the later word non-initial in the pāda); the answer given cites the Mahābhāṣya-line</w:t>
      </w:r>
      <w:r>
        <w:t xml:space="preserve"> </w:t>
      </w:r>
      <w:r>
        <w:t xml:space="preserve">“</w:t>
      </w:r>
      <w:r>
        <w:t xml:space="preserve">vatkaraṇaṃ svāśrayam api yathā syāt</w:t>
      </w:r>
      <w:r>
        <w:t xml:space="preserve">”</w:t>
      </w:r>
      <w:r>
        <w:t xml:space="preserve"> </w:t>
      </w:r>
      <w:r>
        <w:t xml:space="preserve">(वत्करणं स्वाश्रयमपि यथा स्यात् —</w:t>
      </w:r>
      <w:r>
        <w:t xml:space="preserve"> </w:t>
      </w:r>
      <w:r>
        <w:rPr>
          <w:iCs/>
          <w:i/>
        </w:rPr>
        <w:t xml:space="preserve">vatkaraṇaṃ svāśrayam api yathā syāt</w:t>
      </w:r>
      <w:r>
        <w:t xml:space="preserve">, म. ८-१-७२ [as printed]), which lets nighāta apply even in a pada-division case, and the rule</w:t>
      </w:r>
      <w:r>
        <w:t xml:space="preserve"> </w:t>
      </w:r>
      <w:r>
        <w:t xml:space="preserve">“</w:t>
      </w:r>
      <w:r>
        <w:t xml:space="preserve">anudāttaṃ padam ekavarjam</w:t>
      </w:r>
      <w:r>
        <w:t xml:space="preserve">”</w:t>
      </w:r>
      <w:r>
        <w:t xml:space="preserve"> </w:t>
      </w:r>
      <w:r>
        <w:t xml:space="preserve">(अनुदात्तं पदमेकवर्जम् —</w:t>
      </w:r>
      <w:r>
        <w:t xml:space="preserve"> </w:t>
      </w:r>
      <w:r>
        <w:rPr>
          <w:iCs/>
          <w:i/>
        </w:rPr>
        <w:t xml:space="preserve">anudāttaṃ padam ekavarjam</w:t>
      </w:r>
      <w:r>
        <w:t xml:space="preserve">) which ensures nighāta all the more.</w:t>
      </w:r>
    </w:p>
    <w:p>
      <w:pPr>
        <w:numPr>
          <w:ilvl w:val="0"/>
          <w:numId w:val="1005"/>
        </w:numPr>
        <w:pStyle w:val="Compact"/>
      </w:pPr>
      <w:r>
        <w:rPr>
          <w:bCs/>
          <w:b/>
        </w:rPr>
        <w:t xml:space="preserve">A parallel case.</w:t>
      </w:r>
      <w:r>
        <w:t xml:space="preserve"> </w:t>
      </w:r>
      <w:r>
        <w:t xml:space="preserve">A second objection,</w:t>
      </w:r>
      <w:r>
        <w:t xml:space="preserve"> </w:t>
      </w:r>
      <w:r>
        <w:t xml:space="preserve">“</w:t>
      </w:r>
      <w:r>
        <w:t xml:space="preserve">dravatpāṇī śubhaspatī</w:t>
      </w:r>
      <w:r>
        <w:t xml:space="preserve">”</w:t>
      </w:r>
      <w:r>
        <w:t xml:space="preserve"> </w:t>
      </w:r>
      <w:r>
        <w:t xml:space="preserve">(द्रवत्पाणी शुभस्पती — a Ṛgvedic phrase used as an example of an unaccented second word), is answered by saying that there the</w:t>
      </w:r>
      <w:r>
        <w:t xml:space="preserve"> </w:t>
      </w:r>
      <w:r>
        <w:t xml:space="preserve">“</w:t>
      </w:r>
      <w:r>
        <w:t xml:space="preserve">parāṅgavad-bhāva</w:t>
      </w:r>
      <w:r>
        <w:t xml:space="preserve">”</w:t>
      </w:r>
      <w:r>
        <w:t xml:space="preserve"> </w:t>
      </w:r>
      <w:r>
        <w:t xml:space="preserve">is blocked by the rule that says an earlier word, when a vocative follows, is treated as non-existent (</w:t>
      </w:r>
      <w:r>
        <w:t xml:space="preserve">“</w:t>
      </w:r>
      <w:r>
        <w:t xml:space="preserve">āmantritaṃ pūrvam avidyamānavat</w:t>
      </w:r>
      <w:r>
        <w:t xml:space="preserve">”</w:t>
      </w:r>
      <w:r>
        <w:t xml:space="preserve">); here, by contrast, the rule 8-1-74</w:t>
      </w:r>
      <w:r>
        <w:t xml:space="preserve"> </w:t>
      </w:r>
      <w:r>
        <w:rPr>
          <w:iCs/>
          <w:i/>
        </w:rPr>
        <w:t xml:space="preserve">forbids</w:t>
      </w:r>
      <w:r>
        <w:t xml:space="preserve"> </w:t>
      </w:r>
      <w:r>
        <w:t xml:space="preserve">treating the earlier vocative as non-existent, so the earlier vocative</w:t>
      </w:r>
      <w:r>
        <w:t xml:space="preserve"> </w:t>
      </w:r>
      <w:r>
        <w:t xml:space="preserve">“</w:t>
      </w:r>
      <w:r>
        <w:t xml:space="preserve">has existence</w:t>
      </w:r>
      <w:r>
        <w:t xml:space="preserve">”</w:t>
      </w:r>
      <w:r>
        <w:t xml:space="preserve"> </w:t>
      </w:r>
      <w:r>
        <w:t xml:space="preserve">and</w:t>
      </w:r>
      <w:r>
        <w:t xml:space="preserve"> </w:t>
      </w:r>
      <w:r>
        <w:t xml:space="preserve">“</w:t>
      </w:r>
      <w:r>
        <w:t xml:space="preserve">parāṅgavattva</w:t>
      </w:r>
      <w:r>
        <w:t xml:space="preserve">”</w:t>
      </w:r>
      <w:r>
        <w:t xml:space="preserve"> </w:t>
      </w:r>
      <w:r>
        <w:t xml:space="preserve">is accepted.</w:t>
      </w:r>
    </w:p>
    <w:p>
      <w:pPr>
        <w:numPr>
          <w:ilvl w:val="0"/>
          <w:numId w:val="1005"/>
        </w:numPr>
        <w:pStyle w:val="Compact"/>
      </w:pPr>
      <w:r>
        <w:rPr>
          <w:bCs/>
          <w:b/>
        </w:rPr>
        <w:t xml:space="preserve">“</w:t>
      </w:r>
      <w:r>
        <w:rPr>
          <w:bCs/>
          <w:b/>
        </w:rPr>
        <w:t xml:space="preserve">Viśve</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devāsaḥ.</w:t>
      </w:r>
      <w:r>
        <w:rPr>
          <w:bCs/>
          <w:b/>
        </w:rPr>
        <w:t xml:space="preserve">”</w:t>
      </w:r>
      <w:r>
        <w:t xml:space="preserve"> </w:t>
      </w:r>
      <w:r>
        <w:t xml:space="preserve">“</w:t>
      </w:r>
      <w:r>
        <w:t xml:space="preserve">Viśve</w:t>
      </w:r>
      <w:r>
        <w:t xml:space="preserve">”</w:t>
      </w:r>
      <w:r>
        <w:t xml:space="preserve"> </w:t>
      </w:r>
      <w:r>
        <w:t xml:space="preserve">has the first-syllable acute because it stands at the beginning of the pāda. Here</w:t>
      </w:r>
      <w:r>
        <w:t xml:space="preserve"> </w:t>
      </w:r>
      <w:r>
        <w:t xml:space="preserve">“</w:t>
      </w:r>
      <w:r>
        <w:t xml:space="preserve">viśva</w:t>
      </w:r>
      <w:r>
        <w:t xml:space="preserve">”</w:t>
      </w:r>
      <w:r>
        <w:t xml:space="preserve"> </w:t>
      </w:r>
      <w:r>
        <w:t xml:space="preserve">is the name of a</w:t>
      </w:r>
      <w:r>
        <w:t xml:space="preserve"> </w:t>
      </w:r>
      <w:r>
        <w:rPr>
          <w:iCs/>
          <w:i/>
        </w:rPr>
        <w:t xml:space="preserve">gaṇa-devatā</w:t>
      </w:r>
      <w:r>
        <w:t xml:space="preserve"> </w:t>
      </w:r>
      <w:r>
        <w:t xml:space="preserve">(a particular class of deities, the Viśvedevāḥ),</w:t>
      </w:r>
      <w:r>
        <w:t xml:space="preserve"> </w:t>
      </w:r>
      <w:r>
        <w:rPr>
          <w:iCs/>
          <w:i/>
        </w:rPr>
        <w:t xml:space="preserve">not</w:t>
      </w:r>
      <w:r>
        <w:t xml:space="preserve"> </w:t>
      </w:r>
      <w:r>
        <w:t xml:space="preserve">a synonym of</w:t>
      </w:r>
      <w:r>
        <w:t xml:space="preserve"> </w:t>
      </w:r>
      <w:r>
        <w:t xml:space="preserve">“</w:t>
      </w:r>
      <w:r>
        <w:t xml:space="preserve">sarva</w:t>
      </w:r>
      <w:r>
        <w:t xml:space="preserve">”</w:t>
      </w:r>
      <w:r>
        <w:t xml:space="preserve">; being a qualifier that points to a specific noun (viśeṣya), it is a general term in the sense of the rule, and so it does</w:t>
      </w:r>
      <w:r>
        <w:t xml:space="preserve"> </w:t>
      </w:r>
      <w:r>
        <w:rPr>
          <w:iCs/>
          <w:i/>
        </w:rPr>
        <w:t xml:space="preserve">not</w:t>
      </w:r>
      <w:r>
        <w:t xml:space="preserve"> </w:t>
      </w:r>
      <w:r>
        <w:t xml:space="preserve">stand in apposition (sāmānādhikaraṇya) with</w:t>
      </w:r>
      <w:r>
        <w:t xml:space="preserve"> </w:t>
      </w:r>
      <w:r>
        <w:t xml:space="preserve">“</w:t>
      </w:r>
      <w:r>
        <w:t xml:space="preserve">omāsaḥ.</w:t>
      </w:r>
      <w:r>
        <w:t xml:space="preserve">”</w:t>
      </w:r>
      <w:r>
        <w:t xml:space="preserve"> </w:t>
      </w:r>
      <w:r>
        <w:t xml:space="preserve">(If it did, then, the earlier pāda being treated as part of the following word,</w:t>
      </w:r>
      <w:r>
        <w:t xml:space="preserve"> </w:t>
      </w:r>
      <w:r>
        <w:t xml:space="preserve">“</w:t>
      </w:r>
      <w:r>
        <w:t xml:space="preserve">mitrāvaruṇau ṛtāvṛdhau</w:t>
      </w:r>
      <w:r>
        <w:t xml:space="preserve">”</w:t>
      </w:r>
      <w:r>
        <w:t xml:space="preserve">-type examples show the vocative-acute would not occur.)</w:t>
      </w:r>
      <w:r>
        <w:t xml:space="preserve"> </w:t>
      </w:r>
      <w:r>
        <w:t xml:space="preserve">“</w:t>
      </w:r>
      <w:r>
        <w:t xml:space="preserve">Devāsaḥ</w:t>
      </w:r>
      <w:r>
        <w:t xml:space="preserve">”</w:t>
      </w:r>
      <w:r>
        <w:t xml:space="preserve"> </w:t>
      </w:r>
      <w:r>
        <w:t xml:space="preserve">is the word qualified by</w:t>
      </w:r>
      <w:r>
        <w:t xml:space="preserve"> </w:t>
      </w:r>
      <w:r>
        <w:t xml:space="preserve">“</w:t>
      </w:r>
      <w:r>
        <w:t xml:space="preserve">viśve.</w:t>
      </w:r>
      <w:r>
        <w:t xml:space="preserve">”</w:t>
      </w:r>
    </w:p>
    <w:p>
      <w:pPr>
        <w:numPr>
          <w:ilvl w:val="0"/>
          <w:numId w:val="1005"/>
        </w:numPr>
        <w:pStyle w:val="Compact"/>
      </w:pPr>
      <w:r>
        <w:rPr>
          <w:bCs/>
          <w:b/>
        </w:rPr>
        <w:t xml:space="preserve">“</w:t>
      </w:r>
      <w:r>
        <w:rPr>
          <w:bCs/>
          <w:b/>
        </w:rPr>
        <w:t xml:space="preserve">Devāḥ</w:t>
      </w:r>
      <w:r>
        <w:rPr>
          <w:bCs/>
          <w:b/>
        </w:rPr>
        <w:t xml:space="preserve">”</w:t>
      </w:r>
      <w:r>
        <w:rPr>
          <w:bCs/>
          <w:b/>
        </w:rPr>
        <w:t xml:space="preserve"> </w:t>
      </w:r>
      <w:r>
        <w:rPr>
          <w:bCs/>
          <w:b/>
        </w:rPr>
        <w:t xml:space="preserve">as a conventional vs. etymological word.</w:t>
      </w:r>
      <w:r>
        <w:t xml:space="preserve"> </w:t>
      </w:r>
      <w:r>
        <w:t xml:space="preserve">“</w:t>
      </w:r>
      <w:r>
        <w:t xml:space="preserve">Devāḥ</w:t>
      </w:r>
      <w:r>
        <w:t xml:space="preserve">”</w:t>
      </w:r>
      <w:r>
        <w:t xml:space="preserve"> </w:t>
      </w:r>
      <w:r>
        <w:t xml:space="preserve">means</w:t>
      </w:r>
      <w:r>
        <w:t xml:space="preserve"> </w:t>
      </w:r>
      <w:r>
        <w:t xml:space="preserve">“</w:t>
      </w:r>
      <w:r>
        <w:t xml:space="preserve">those who shine</w:t>
      </w:r>
      <w:r>
        <w:t xml:space="preserve">”</w:t>
      </w:r>
      <w:r>
        <w:t xml:space="preserve"> </w:t>
      </w:r>
      <w:r>
        <w:t xml:space="preserve">(from</w:t>
      </w:r>
      <w:r>
        <w:t xml:space="preserve"> </w:t>
      </w:r>
      <w:r>
        <w:t xml:space="preserve">“</w:t>
      </w:r>
      <w:r>
        <w:t xml:space="preserve">div,</w:t>
      </w:r>
      <w:r>
        <w:t xml:space="preserve">”</w:t>
      </w:r>
      <w:r>
        <w:t xml:space="preserve"> </w:t>
      </w:r>
      <w:r>
        <w:t xml:space="preserve">to shine). An objector cites the Paribhāṣā</w:t>
      </w:r>
      <w:r>
        <w:t xml:space="preserve"> </w:t>
      </w:r>
      <w:r>
        <w:t xml:space="preserve">“</w:t>
      </w:r>
      <w:r>
        <w:t xml:space="preserve">nanv avayava-prasiddheḥ samudāya-prasiddhir balīyasī</w:t>
      </w:r>
      <w:r>
        <w:t xml:space="preserve">”</w:t>
      </w:r>
      <w:r>
        <w:t xml:space="preserve"> </w:t>
      </w:r>
      <w:r>
        <w:t xml:space="preserve">(नन्ववयवप्रसिद्धेः समुदायप्रसिद्धिर्बलीयसी —</w:t>
      </w:r>
      <w:r>
        <w:t xml:space="preserve"> </w:t>
      </w:r>
      <w:r>
        <w:rPr>
          <w:iCs/>
          <w:i/>
        </w:rPr>
        <w:t xml:space="preserve">nanv avayava-prasiddheḥ samudāya-prasiddhir balīyasī</w:t>
      </w:r>
      <w:r>
        <w:t xml:space="preserve">, परि. ९८):</w:t>
      </w:r>
      <w:r>
        <w:t xml:space="preserve"> </w:t>
      </w:r>
      <w:r>
        <w:t xml:space="preserve">“</w:t>
      </w:r>
      <w:r>
        <w:t xml:space="preserve">the established whole-word sense is stronger than the sense of its parts,</w:t>
      </w:r>
      <w:r>
        <w:t xml:space="preserve">”</w:t>
      </w:r>
      <w:r>
        <w:t xml:space="preserve"> </w:t>
      </w:r>
      <w:r>
        <w:t xml:space="preserve">so that the conventional (rūḍha) sense of</w:t>
      </w:r>
      <w:r>
        <w:t xml:space="preserve"> </w:t>
      </w:r>
      <w:r>
        <w:t xml:space="preserve">“</w:t>
      </w:r>
      <w:r>
        <w:t xml:space="preserve">deva,</w:t>
      </w:r>
      <w:r>
        <w:t xml:space="preserve">”</w:t>
      </w:r>
      <w:r>
        <w:t xml:space="preserve"> </w:t>
      </w:r>
      <w:r>
        <w:t xml:space="preserve">not the etymological (yaugika) one, is to be taken; for if the etymological sense were taken, understanding would be delayed by the effort of tracing the parts. The reply begins</w:t>
      </w:r>
      <w:r>
        <w:t xml:space="preserve"> </w:t>
      </w:r>
      <w:r>
        <w:t xml:space="preserve">“</w:t>
      </w:r>
      <w:r>
        <w:t xml:space="preserve">samudāya-prasiddhau tu na vikṣepa iti cet na — samudāya-…</w:t>
      </w:r>
      <w:r>
        <w:t xml:space="preserve">”</w:t>
      </w:r>
      <w:r>
        <w:t xml:space="preserve"> </w:t>
      </w:r>
      <w:r>
        <w:rPr>
          <w:iCs/>
          <w:i/>
        </w:rPr>
        <w:t xml:space="preserve">(and continues on the next page)</w:t>
      </w:r>
      <w:r>
        <w:t xml:space="preserve">.</w:t>
      </w:r>
    </w:p>
    <w:bookmarkEnd w:id="73"/>
    <w:bookmarkStart w:id="74" w:name="Xe2f8c4f29fbedc718bb5c821bd8da222d144fbc"/>
    <w:p>
      <w:pPr>
        <w:pStyle w:val="Heading3"/>
      </w:pPr>
      <w:r>
        <w:t xml:space="preserve">Page 48 — Rik 3.7: close of the Bhāṣya’s accent-debate and grammar; Pada-meanings; Bhāvārtha; English rendering; Special topic</w:t>
      </w:r>
    </w:p>
    <w:p>
      <w:pPr>
        <w:pStyle w:val="FirstParagraph"/>
      </w:pPr>
      <w:r>
        <w:rPr>
          <w:iCs/>
          <w:i/>
        </w:rPr>
        <w:t xml:space="preserve">(Page header:</w:t>
      </w:r>
      <w:r>
        <w:rPr>
          <w:iCs/>
          <w:i/>
        </w:rPr>
        <w:t xml:space="preserve"> </w:t>
      </w:r>
      <w:r>
        <w:rPr>
          <w:iCs/>
          <w:i/>
        </w:rPr>
        <w:t xml:space="preserve">“</w:t>
      </w:r>
      <w:r>
        <w:rPr>
          <w:iCs/>
          <w:i/>
        </w:rPr>
        <w:t xml:space="preserve">Sāyaṇa-bhāṣya-sahitā · Mandala 1, Anuvāka 1, Sūkta 3.</w:t>
      </w:r>
      <w:r>
        <w:rPr>
          <w:iCs/>
          <w:i/>
        </w:rPr>
        <w:t xml:space="preserve">”</w:t>
      </w:r>
      <w:r>
        <w:rPr>
          <w:iCs/>
          <w:i/>
        </w:rPr>
        <w:t xml:space="preserve"> </w:t>
      </w:r>
      <w:r>
        <w:rPr>
          <w:iCs/>
          <w:i/>
        </w:rPr>
        <w:t xml:space="preserve">The grammar at the top is</w:t>
      </w:r>
      <w:r>
        <w:rPr>
          <w:iCs/>
          <w:i/>
        </w:rPr>
        <w:t xml:space="preserve"> </w:t>
      </w:r>
      <w:r>
        <w:rPr>
          <w:bCs/>
          <w:b/>
          <w:iCs/>
          <w:i/>
        </w:rPr>
        <w:t xml:space="preserve">characterized, not transcribed line by line</w:t>
      </w:r>
      <w:r>
        <w:rPr>
          <w:iCs/>
          <w:i/>
        </w:rPr>
        <w:t xml:space="preserve">, per the standing convention for dense Vyākaraṇa-prakriyā; every sūtra cited is kept in all three layers. Numbers in small Kannada numerals are as I read them; [?] marks doubt.)</w:t>
      </w:r>
    </w:p>
    <w:p>
      <w:pPr>
        <w:pStyle w:val="BodyText"/>
      </w:pPr>
      <w:r>
        <w:rPr>
          <w:bCs/>
          <w:b/>
        </w:rPr>
        <w:t xml:space="preserve">The accent-debate concluded</w:t>
      </w:r>
      <w:r>
        <w:t xml:space="preserve"> </w:t>
      </w:r>
      <w:r>
        <w:rPr>
          <w:iCs/>
          <w:i/>
        </w:rPr>
        <w:t xml:space="preserve">(continuing from p. 47, where the objector argued that the conventional (rūḍha) sense of</w:t>
      </w:r>
      <w:r>
        <w:rPr>
          <w:iCs/>
          <w:i/>
        </w:rPr>
        <w:t xml:space="preserve"> </w:t>
      </w:r>
      <w:r>
        <w:rPr>
          <w:iCs/>
          <w:i/>
        </w:rPr>
        <w:t xml:space="preserve">“</w:t>
      </w:r>
      <w:r>
        <w:rPr>
          <w:iCs/>
          <w:i/>
        </w:rPr>
        <w:t xml:space="preserve">deva</w:t>
      </w:r>
      <w:r>
        <w:rPr>
          <w:iCs/>
          <w:i/>
        </w:rPr>
        <w:t xml:space="preserve">”</w:t>
      </w:r>
      <w:r>
        <w:rPr>
          <w:iCs/>
          <w:i/>
        </w:rPr>
        <w:t xml:space="preserve"> </w:t>
      </w:r>
      <w:r>
        <w:rPr>
          <w:iCs/>
          <w:i/>
        </w:rPr>
        <w:t xml:space="preserve">should be taken, not the etymological</w:t>
      </w:r>
      <w:r>
        <w:rPr>
          <w:iCs/>
          <w:i/>
        </w:rPr>
        <w:t xml:space="preserve"> </w:t>
      </w:r>
      <w:r>
        <w:rPr>
          <w:iCs/>
          <w:i/>
        </w:rPr>
        <w:t xml:space="preserve">“</w:t>
      </w:r>
      <w:r>
        <w:rPr>
          <w:iCs/>
          <w:i/>
        </w:rPr>
        <w:t xml:space="preserve">shining one</w:t>
      </w:r>
      <w:r>
        <w:rPr>
          <w:iCs/>
          <w:i/>
        </w:rPr>
        <w:t xml:space="preserve">”</w:t>
      </w:r>
      <w:r>
        <w:rPr>
          <w:iCs/>
          <w:i/>
        </w:rPr>
        <w:t xml:space="preserve">)</w:t>
      </w:r>
      <w:r>
        <w:t xml:space="preserve">. The reply begins:</w:t>
      </w:r>
      <w:r>
        <w:t xml:space="preserve"> </w:t>
      </w:r>
      <w:r>
        <w:t xml:space="preserve">“</w:t>
      </w:r>
      <w:r>
        <w:t xml:space="preserve">when the conventional whole-word sense is the established one, the word</w:t>
      </w:r>
      <w:r>
        <w:t xml:space="preserve"> </w:t>
      </w:r>
      <w:r>
        <w:t xml:space="preserve">‘</w:t>
      </w:r>
      <w:r>
        <w:t xml:space="preserve">deva</w:t>
      </w:r>
      <w:r>
        <w:t xml:space="preserve">’</w:t>
      </w:r>
      <w:r>
        <w:t xml:space="preserve"> </w:t>
      </w:r>
      <w:r>
        <w:t xml:space="preserve">is a</w:t>
      </w:r>
      <w:r>
        <w:t xml:space="preserve"> </w:t>
      </w:r>
      <w:r>
        <w:rPr>
          <w:iCs/>
          <w:i/>
        </w:rPr>
        <w:t xml:space="preserve">general</w:t>
      </w:r>
      <w:r>
        <w:t xml:space="preserve"> </w:t>
      </w:r>
      <w:r>
        <w:t xml:space="preserve">term and not a specific one, so the condition</w:t>
      </w:r>
      <w:r>
        <w:t xml:space="preserve"> </w:t>
      </w:r>
      <w:r>
        <w:t xml:space="preserve">‘</w:t>
      </w:r>
      <w:r>
        <w:t xml:space="preserve">viśeṣa-vacane</w:t>
      </w:r>
      <w:r>
        <w:t xml:space="preserve">’</w:t>
      </w:r>
      <w:r>
        <w:t xml:space="preserve"> </w:t>
      </w:r>
      <w:r>
        <w:t xml:space="preserve">is not met; and since the optional rule</w:t>
      </w:r>
      <w:r>
        <w:t xml:space="preserve"> </w:t>
      </w:r>
      <w:r>
        <w:t xml:space="preserve">‘</w:t>
      </w:r>
      <w:r>
        <w:t xml:space="preserve">vibhāṣitaṃ viśeṣa-vacane bahuvacanam</w:t>
      </w:r>
      <w:r>
        <w:t xml:space="preserve">’</w:t>
      </w:r>
      <w:r>
        <w:t xml:space="preserve"> </w:t>
      </w:r>
      <w:r>
        <w:t xml:space="preserve">(8-1-74) does not prohibit it,</w:t>
      </w:r>
      <w:r>
        <w:t xml:space="preserve"> </w:t>
      </w:r>
      <w:r>
        <w:t xml:space="preserve">‘</w:t>
      </w:r>
      <w:r>
        <w:t xml:space="preserve">viśve</w:t>
      </w:r>
      <w:r>
        <w:t xml:space="preserve">’</w:t>
      </w:r>
      <w:r>
        <w:t xml:space="preserve"> </w:t>
      </w:r>
      <w:r>
        <w:t xml:space="preserve">would be treated as non-existent (avidyamāna-vat), and, like the pair of words</w:t>
      </w:r>
      <w:r>
        <w:t xml:space="preserve"> </w:t>
      </w:r>
      <w:r>
        <w:t xml:space="preserve">‘</w:t>
      </w:r>
      <w:r>
        <w:t xml:space="preserve">śubhaspatī,</w:t>
      </w:r>
      <w:r>
        <w:t xml:space="preserve">’</w:t>
      </w:r>
      <w:r>
        <w:t xml:space="preserve"> </w:t>
      </w:r>
      <w:r>
        <w:t xml:space="preserve">‘</w:t>
      </w:r>
      <w:r>
        <w:t xml:space="preserve">devāsaḥ</w:t>
      </w:r>
      <w:r>
        <w:t xml:space="preserve">’</w:t>
      </w:r>
      <w:r>
        <w:t xml:space="preserve"> </w:t>
      </w:r>
      <w:r>
        <w:t xml:space="preserve">would also have first-syllable acute. By the evidence of the accent, then, taking the etymological sense of</w:t>
      </w:r>
      <w:r>
        <w:t xml:space="preserve"> </w:t>
      </w:r>
      <w:r>
        <w:t xml:space="preserve">‘</w:t>
      </w:r>
      <w:r>
        <w:t xml:space="preserve">deva,</w:t>
      </w:r>
      <w:r>
        <w:t xml:space="preserve">’</w:t>
      </w:r>
      <w:r>
        <w:t xml:space="preserve"> </w:t>
      </w:r>
      <w:r>
        <w:t xml:space="preserve">even at the cost of dropping the conventional one, is perfectly proper.</w:t>
      </w:r>
      <w:r>
        <w:t xml:space="preserve">”</w:t>
      </w:r>
      <w:r>
        <w:t xml:space="preserve"> </w:t>
      </w:r>
      <w:r>
        <w:rPr>
          <w:iCs/>
          <w:i/>
        </w:rPr>
        <w:t xml:space="preserve">(That is the end of the debate; the Bhāṣya’s conclusion is that the etymological sense,</w:t>
      </w:r>
      <w:r>
        <w:rPr>
          <w:iCs/>
          <w:i/>
        </w:rPr>
        <w:t xml:space="preserve"> </w:t>
      </w:r>
      <w:r>
        <w:rPr>
          <w:iCs/>
          <w:i/>
        </w:rPr>
        <w:t xml:space="preserve">“</w:t>
      </w:r>
      <w:r>
        <w:rPr>
          <w:iCs/>
          <w:i/>
        </w:rPr>
        <w:t xml:space="preserve">those who shine,</w:t>
      </w:r>
      <w:r>
        <w:rPr>
          <w:iCs/>
          <w:i/>
        </w:rPr>
        <w:t xml:space="preserve">”</w:t>
      </w:r>
      <w:r>
        <w:rPr>
          <w:iCs/>
          <w:i/>
        </w:rPr>
        <w:t xml:space="preserve"> </w:t>
      </w:r>
      <w:r>
        <w:rPr>
          <w:iCs/>
          <w:i/>
        </w:rPr>
        <w:t xml:space="preserve">is the one to be taken.)</w:t>
      </w:r>
    </w:p>
    <w:p>
      <w:pPr>
        <w:pStyle w:val="BodyText"/>
      </w:pPr>
      <w:r>
        <w:rPr>
          <w:bCs/>
          <w:b/>
        </w:rPr>
        <w:t xml:space="preserve">Remaining word-grammar of the Bhāṣya for Rik 3.7</w:t>
      </w:r>
      <w:r>
        <w:t xml:space="preserve"> </w:t>
      </w:r>
      <w:r>
        <w:rPr>
          <w:iCs/>
          <w:i/>
        </w:rPr>
        <w:t xml:space="preserve">(characterized)</w:t>
      </w:r>
      <w:r>
        <w:t xml:space="preserve">:</w:t>
      </w:r>
    </w:p>
    <w:p>
      <w:pPr>
        <w:numPr>
          <w:ilvl w:val="0"/>
          <w:numId w:val="1006"/>
        </w:numPr>
        <w:pStyle w:val="Compact"/>
      </w:pPr>
      <w:r>
        <w:rPr>
          <w:bCs/>
          <w:b/>
        </w:rPr>
        <w:t xml:space="preserve">“</w:t>
      </w:r>
      <w:r>
        <w:rPr>
          <w:bCs/>
          <w:b/>
        </w:rPr>
        <w:t xml:space="preserve">Ā gata</w:t>
      </w:r>
      <w:r>
        <w:rPr>
          <w:bCs/>
          <w:b/>
        </w:rPr>
        <w:t xml:space="preserve">”</w:t>
      </w:r>
      <w:r>
        <w:t xml:space="preserve"> </w:t>
      </w:r>
      <w:r>
        <w:t xml:space="preserve">(=</w:t>
      </w:r>
      <w:r>
        <w:t xml:space="preserve"> </w:t>
      </w:r>
      <w:r>
        <w:t xml:space="preserve">“</w:t>
      </w:r>
      <w:r>
        <w:t xml:space="preserve">āgacchata</w:t>
      </w:r>
      <w:r>
        <w:t xml:space="preserve">”</w:t>
      </w:r>
      <w:r>
        <w:t xml:space="preserve">): by</w:t>
      </w:r>
      <w:r>
        <w:t xml:space="preserve"> </w:t>
      </w:r>
      <w:r>
        <w:t xml:space="preserve">“</w:t>
      </w:r>
      <w:r>
        <w:t xml:space="preserve">bahulaṃ chandasi</w:t>
      </w:r>
      <w:r>
        <w:t xml:space="preserve">”</w:t>
      </w:r>
      <w:r>
        <w:t xml:space="preserve"> </w:t>
      </w:r>
      <w:r>
        <w:t xml:space="preserve">(बहुलं छन्दसि —</w:t>
      </w:r>
      <w:r>
        <w:t xml:space="preserve"> </w:t>
      </w:r>
      <w:r>
        <w:rPr>
          <w:iCs/>
          <w:i/>
        </w:rPr>
        <w:t xml:space="preserve">bahulaṃ chandasi</w:t>
      </w:r>
      <w:r>
        <w:t xml:space="preserve">) the</w:t>
      </w:r>
      <w:r>
        <w:t xml:space="preserve"> </w:t>
      </w:r>
      <w:r>
        <w:t xml:space="preserve">“</w:t>
      </w:r>
      <w:r>
        <w:t xml:space="preserve">śap</w:t>
      </w:r>
      <w:r>
        <w:t xml:space="preserve">”</w:t>
      </w:r>
      <w:r>
        <w:t xml:space="preserve"> </w:t>
      </w:r>
      <w:r>
        <w:t xml:space="preserve">is elided (luk); and the</w:t>
      </w:r>
      <w:r>
        <w:t xml:space="preserve"> </w:t>
      </w:r>
      <w:r>
        <w:t xml:space="preserve">“</w:t>
      </w:r>
      <w:r>
        <w:t xml:space="preserve">m</w:t>
      </w:r>
      <w:r>
        <w:t xml:space="preserve">”</w:t>
      </w:r>
      <w:r>
        <w:t xml:space="preserve"> </w:t>
      </w:r>
      <w:r>
        <w:t xml:space="preserve">of the root</w:t>
      </w:r>
      <w:r>
        <w:t xml:space="preserve"> </w:t>
      </w:r>
      <w:r>
        <w:t xml:space="preserve">“</w:t>
      </w:r>
      <w:r>
        <w:t xml:space="preserve">gam</w:t>
      </w:r>
      <w:r>
        <w:t xml:space="preserve">”</w:t>
      </w:r>
      <w:r>
        <w:t xml:space="preserve"> </w:t>
      </w:r>
      <w:r>
        <w:t xml:space="preserve">is dropped under the rule that begins</w:t>
      </w:r>
      <w:r>
        <w:t xml:space="preserve"> </w:t>
      </w:r>
      <w:r>
        <w:t xml:space="preserve">“</w:t>
      </w:r>
      <w:r>
        <w:t xml:space="preserve">anudāttopadeśa-…</w:t>
      </w:r>
      <w:r>
        <w:t xml:space="preserve">”</w:t>
      </w:r>
      <w:r>
        <w:t xml:space="preserve"> </w:t>
      </w:r>
      <w:r>
        <w:t xml:space="preserve">(अनुदात्तोपदेश… —</w:t>
      </w:r>
      <w:r>
        <w:t xml:space="preserve"> </w:t>
      </w:r>
      <w:r>
        <w:rPr>
          <w:iCs/>
          <w:i/>
        </w:rPr>
        <w:t xml:space="preserve">anudāttopadeśa-…</w:t>
      </w:r>
      <w:r>
        <w:t xml:space="preserve">); the word, standing after another word, takes nighāta (loss of accent) — the print here reads</w:t>
      </w:r>
      <w:r>
        <w:t xml:space="preserve"> </w:t>
      </w:r>
      <w:r>
        <w:t xml:space="preserve">“</w:t>
      </w:r>
      <w:r>
        <w:t xml:space="preserve">ājaḥ padāt-paratvān nighātaḥ</w:t>
      </w:r>
      <w:r>
        <w:t xml:space="preserve">”</w:t>
      </w:r>
      <w:r>
        <w:t xml:space="preserve"> </w:t>
      </w:r>
      <w:r>
        <w:t xml:space="preserve">(clear in the second scan;</w:t>
      </w:r>
      <w:r>
        <w:t xml:space="preserve"> </w:t>
      </w:r>
      <w:r>
        <w:t xml:space="preserve">“</w:t>
      </w:r>
      <w:r>
        <w:t xml:space="preserve">ājaḥ</w:t>
      </w:r>
      <w:r>
        <w:t xml:space="preserve">”</w:t>
      </w:r>
      <w:r>
        <w:t xml:space="preserve"> </w:t>
      </w:r>
      <w:r>
        <w:t xml:space="preserve">is as printed).</w:t>
      </w:r>
    </w:p>
    <w:p>
      <w:pPr>
        <w:numPr>
          <w:ilvl w:val="0"/>
          <w:numId w:val="1006"/>
        </w:numPr>
        <w:pStyle w:val="Compact"/>
      </w:pPr>
      <w:r>
        <w:rPr>
          <w:bCs/>
          <w:b/>
        </w:rPr>
        <w:t xml:space="preserve">“</w:t>
      </w:r>
      <w:r>
        <w:rPr>
          <w:bCs/>
          <w:b/>
        </w:rPr>
        <w:t xml:space="preserve">Dāśvāṃsaḥ</w:t>
      </w:r>
      <w:r>
        <w:rPr>
          <w:bCs/>
          <w:b/>
        </w:rPr>
        <w:t xml:space="preserve">”</w:t>
      </w:r>
      <w:r>
        <w:t xml:space="preserve"> </w:t>
      </w:r>
      <w:r>
        <w:t xml:space="preserve">(root</w:t>
      </w:r>
      <w:r>
        <w:t xml:space="preserve"> </w:t>
      </w:r>
      <w:r>
        <w:t xml:space="preserve">“</w:t>
      </w:r>
      <w:r>
        <w:t xml:space="preserve">dāś</w:t>
      </w:r>
      <w:r>
        <w:t xml:space="preserve">”</w:t>
      </w:r>
      <w:r>
        <w:t xml:space="preserve"> </w:t>
      </w:r>
      <w:r>
        <w:t xml:space="preserve">to give): the participial affix</w:t>
      </w:r>
      <w:r>
        <w:t xml:space="preserve"> </w:t>
      </w:r>
      <w:r>
        <w:t xml:space="preserve">“</w:t>
      </w:r>
      <w:r>
        <w:t xml:space="preserve">kvasu</w:t>
      </w:r>
      <w:r>
        <w:t xml:space="preserve">”</w:t>
      </w:r>
      <w:r>
        <w:t xml:space="preserve"> </w:t>
      </w:r>
      <w:r>
        <w:t xml:space="preserve">is added; by</w:t>
      </w:r>
      <w:r>
        <w:t xml:space="preserve"> </w:t>
      </w:r>
      <w:r>
        <w:rPr>
          <w:bCs/>
          <w:b/>
        </w:rPr>
        <w:t xml:space="preserve">दाश्वान् साह्वान् मीढ्वांश्च</w:t>
      </w:r>
      <w:r>
        <w:t xml:space="preserve"> </w:t>
      </w:r>
      <w:r>
        <w:t xml:space="preserve">(</w:t>
      </w:r>
      <w:r>
        <w:rPr>
          <w:iCs/>
          <w:i/>
        </w:rPr>
        <w:t xml:space="preserve">dāśvān sāhvān mīḍhvāṃś ca</w:t>
      </w:r>
      <w:r>
        <w:t xml:space="preserve">, पा. ६-१-१२) the form is a nipātana (irregular formation), so the</w:t>
      </w:r>
      <w:r>
        <w:t xml:space="preserve"> </w:t>
      </w:r>
      <w:r>
        <w:t xml:space="preserve">“</w:t>
      </w:r>
      <w:r>
        <w:t xml:space="preserve">iṭ</w:t>
      </w:r>
      <w:r>
        <w:t xml:space="preserve">”</w:t>
      </w:r>
      <w:r>
        <w:t xml:space="preserve"> </w:t>
      </w:r>
      <w:r>
        <w:t xml:space="preserve">augment and the doubling that the</w:t>
      </w:r>
      <w:r>
        <w:t xml:space="preserve"> </w:t>
      </w:r>
      <w:r>
        <w:t xml:space="preserve">“</w:t>
      </w:r>
      <w:r>
        <w:t xml:space="preserve">kādi-niyama</w:t>
      </w:r>
      <w:r>
        <w:t xml:space="preserve">”</w:t>
      </w:r>
      <w:r>
        <w:t xml:space="preserve"> </w:t>
      </w:r>
      <w:r>
        <w:t xml:space="preserve">rule (the rule that restricts</w:t>
      </w:r>
      <w:r>
        <w:t xml:space="preserve"> </w:t>
      </w:r>
      <w:r>
        <w:t xml:space="preserve">“</w:t>
      </w:r>
      <w:r>
        <w:t xml:space="preserve">iṭ</w:t>
      </w:r>
      <w:r>
        <w:t xml:space="preserve">”</w:t>
      </w:r>
      <w:r>
        <w:t xml:space="preserve"> </w:t>
      </w:r>
      <w:r>
        <w:t xml:space="preserve">to the roots</w:t>
      </w:r>
      <w:r>
        <w:t xml:space="preserve"> </w:t>
      </w:r>
      <w:r>
        <w:t xml:space="preserve">“</w:t>
      </w:r>
      <w:r>
        <w:t xml:space="preserve">kṛ, sṛ, bhṛ, vṛ, stu, dru, śru</w:t>
      </w:r>
      <w:r>
        <w:t xml:space="preserve">”</w:t>
      </w:r>
      <w:r>
        <w:t xml:space="preserve"> </w:t>
      </w:r>
      <w:r>
        <w:t xml:space="preserve">— पा. ७-२-१३) would otherwise bring do not occur. By the affix-accent,</w:t>
      </w:r>
      <w:r>
        <w:t xml:space="preserve"> </w:t>
      </w:r>
      <w:r>
        <w:t xml:space="preserve">“</w:t>
      </w:r>
      <w:r>
        <w:t xml:space="preserve">kvasu</w:t>
      </w:r>
      <w:r>
        <w:t xml:space="preserve">”</w:t>
      </w:r>
      <w:r>
        <w:t xml:space="preserve"> </w:t>
      </w:r>
      <w:r>
        <w:t xml:space="preserve">is acute.</w:t>
      </w:r>
    </w:p>
    <w:p>
      <w:pPr>
        <w:numPr>
          <w:ilvl w:val="0"/>
          <w:numId w:val="1006"/>
        </w:numPr>
        <w:pStyle w:val="Compact"/>
      </w:pPr>
      <w:r>
        <w:rPr>
          <w:bCs/>
          <w:b/>
        </w:rPr>
        <w:t xml:space="preserve">“</w:t>
      </w:r>
      <w:r>
        <w:rPr>
          <w:bCs/>
          <w:b/>
        </w:rPr>
        <w:t xml:space="preserve">Dāśuṣaḥ</w:t>
      </w:r>
      <w:r>
        <w:rPr>
          <w:bCs/>
          <w:b/>
        </w:rPr>
        <w:t xml:space="preserve">”</w:t>
      </w:r>
      <w:r>
        <w:t xml:space="preserve">:</w:t>
      </w:r>
      <w:r>
        <w:t xml:space="preserve"> </w:t>
      </w:r>
      <w:r>
        <w:rPr>
          <w:bCs/>
          <w:b/>
        </w:rPr>
        <w:t xml:space="preserve">वसोः संप्रसारणम्</w:t>
      </w:r>
      <w:r>
        <w:t xml:space="preserve"> </w:t>
      </w:r>
      <w:r>
        <w:t xml:space="preserve">(</w:t>
      </w:r>
      <w:r>
        <w:rPr>
          <w:iCs/>
          <w:i/>
        </w:rPr>
        <w:t xml:space="preserve">vasoḥ samprasāraṇam</w:t>
      </w:r>
      <w:r>
        <w:t xml:space="preserve">, पा. ६-४-१३१) —</w:t>
      </w:r>
      <w:r>
        <w:t xml:space="preserve"> </w:t>
      </w:r>
      <w:r>
        <w:t xml:space="preserve">“</w:t>
      </w:r>
      <w:r>
        <w:t xml:space="preserve">samprasāraṇa</w:t>
      </w:r>
      <w:r>
        <w:t xml:space="preserve">”</w:t>
      </w:r>
      <w:r>
        <w:t xml:space="preserve"> </w:t>
      </w:r>
      <w:r>
        <w:t xml:space="preserve">(the semivowel is replaced by its vowel) for</w:t>
      </w:r>
      <w:r>
        <w:t xml:space="preserve"> </w:t>
      </w:r>
      <w:r>
        <w:t xml:space="preserve">“</w:t>
      </w:r>
      <w:r>
        <w:t xml:space="preserve">vasu</w:t>
      </w:r>
      <w:r>
        <w:t xml:space="preserve">”</w:t>
      </w:r>
      <w:r>
        <w:t xml:space="preserve">; then</w:t>
      </w:r>
      <w:r>
        <w:t xml:space="preserve"> </w:t>
      </w:r>
      <w:r>
        <w:rPr>
          <w:bCs/>
          <w:b/>
        </w:rPr>
        <w:t xml:space="preserve">संप्रसारणाच्च</w:t>
      </w:r>
      <w:r>
        <w:t xml:space="preserve"> </w:t>
      </w:r>
      <w:r>
        <w:t xml:space="preserve">(</w:t>
      </w:r>
      <w:r>
        <w:rPr>
          <w:iCs/>
          <w:i/>
        </w:rPr>
        <w:t xml:space="preserve">samprasāraṇāc ca</w:t>
      </w:r>
      <w:r>
        <w:t xml:space="preserve">, पा. ६-१-१०८) — the former form (pūrvarūpa) results; and</w:t>
      </w:r>
      <w:r>
        <w:t xml:space="preserve"> </w:t>
      </w:r>
      <w:r>
        <w:rPr>
          <w:bCs/>
          <w:b/>
        </w:rPr>
        <w:t xml:space="preserve">आदेशप्रत्यययोः</w:t>
      </w:r>
      <w:r>
        <w:t xml:space="preserve"> </w:t>
      </w:r>
      <w:r>
        <w:t xml:space="preserve">(</w:t>
      </w:r>
      <w:r>
        <w:rPr>
          <w:iCs/>
          <w:i/>
        </w:rPr>
        <w:t xml:space="preserve">ādeśa-pratyayayoḥ</w:t>
      </w:r>
      <w:r>
        <w:t xml:space="preserve">, पा. ८-३-५९) —</w:t>
      </w:r>
      <w:r>
        <w:t xml:space="preserve"> </w:t>
      </w:r>
      <w:r>
        <w:t xml:space="preserve">“</w:t>
      </w:r>
      <w:r>
        <w:t xml:space="preserve">s</w:t>
      </w:r>
      <w:r>
        <w:t xml:space="preserve">”</w:t>
      </w:r>
      <w:r>
        <w:t xml:space="preserve"> </w:t>
      </w:r>
      <w:r>
        <w:t xml:space="preserve">becomes</w:t>
      </w:r>
      <w:r>
        <w:t xml:space="preserve"> </w:t>
      </w:r>
      <w:r>
        <w:t xml:space="preserve">“</w:t>
      </w:r>
      <w:r>
        <w:t xml:space="preserve">ṣ.</w:t>
      </w:r>
      <w:r>
        <w:t xml:space="preserve">”</w:t>
      </w:r>
      <w:r>
        <w:t xml:space="preserve"> </w:t>
      </w:r>
      <w:r>
        <w:t xml:space="preserve">॥७॥</w:t>
      </w:r>
    </w:p>
    <w:p>
      <w:pPr>
        <w:pStyle w:val="FirstParagraph"/>
      </w:pPr>
      <w:r>
        <w:rPr>
          <w:bCs/>
          <w:b/>
        </w:rPr>
        <w:t xml:space="preserve">॥ Prati-padārthaḥ ॥</w:t>
      </w:r>
      <w:r>
        <w:t xml:space="preserve"> </w:t>
      </w:r>
      <w:r>
        <w:rPr>
          <w:iCs/>
          <w:i/>
        </w:rPr>
        <w:t xml:space="preserve">(Kannada, translated)</w:t>
      </w:r>
    </w:p>
    <w:p>
      <w:pPr>
        <w:pStyle w:val="BodyText"/>
      </w:pPr>
      <w:r>
        <w:rPr>
          <w:bCs/>
          <w:b/>
        </w:rPr>
        <w:t xml:space="preserve">ओमासः (omāsaḥ)</w:t>
      </w:r>
      <w:r>
        <w:t xml:space="preserve"> </w:t>
      </w:r>
      <w:r>
        <w:t xml:space="preserve">— protectors |</w:t>
      </w:r>
      <w:r>
        <w:t xml:space="preserve"> </w:t>
      </w:r>
      <w:r>
        <w:rPr>
          <w:bCs/>
          <w:b/>
        </w:rPr>
        <w:t xml:space="preserve">चर्षणीधृतः (carṣaṇīdhṛtaḥ)</w:t>
      </w:r>
      <w:r>
        <w:t xml:space="preserve"> </w:t>
      </w:r>
      <w:r>
        <w:t xml:space="preserve">— those who bear (or nourish) human beings |</w:t>
      </w:r>
      <w:r>
        <w:t xml:space="preserve"> </w:t>
      </w:r>
      <w:r>
        <w:rPr>
          <w:bCs/>
          <w:b/>
        </w:rPr>
        <w:t xml:space="preserve">दाश्वांसः (dāśvāṃsaḥ)</w:t>
      </w:r>
      <w:r>
        <w:t xml:space="preserve"> </w:t>
      </w:r>
      <w:r>
        <w:t xml:space="preserve">— (O you) who give the fruit of the sacrifice |</w:t>
      </w:r>
      <w:r>
        <w:t xml:space="preserve"> </w:t>
      </w:r>
      <w:r>
        <w:rPr>
          <w:bCs/>
          <w:b/>
        </w:rPr>
        <w:t xml:space="preserve">(हे) विश्वे देवासः (he viśve devāsaḥ)</w:t>
      </w:r>
      <w:r>
        <w:t xml:space="preserve"> </w:t>
      </w:r>
      <w:r>
        <w:t xml:space="preserve">— O you who are called the Viśvedevas |</w:t>
      </w:r>
      <w:r>
        <w:t xml:space="preserve"> </w:t>
      </w:r>
      <w:r>
        <w:rPr>
          <w:bCs/>
          <w:b/>
        </w:rPr>
        <w:t xml:space="preserve">दाशुषः (dāśuṣaḥ)</w:t>
      </w:r>
      <w:r>
        <w:t xml:space="preserve"> </w:t>
      </w:r>
      <w:r>
        <w:t xml:space="preserve">— of the sacrificer who gives the oblation |</w:t>
      </w:r>
      <w:r>
        <w:t xml:space="preserve"> </w:t>
      </w:r>
      <w:r>
        <w:rPr>
          <w:bCs/>
          <w:b/>
        </w:rPr>
        <w:t xml:space="preserve">सुतम् (sutam)</w:t>
      </w:r>
      <w:r>
        <w:t xml:space="preserve"> </w:t>
      </w:r>
      <w:r>
        <w:t xml:space="preserve">— the Soma pressed out and made ready (in order to drink it) |</w:t>
      </w:r>
      <w:r>
        <w:t xml:space="preserve"> </w:t>
      </w:r>
      <w:r>
        <w:rPr>
          <w:bCs/>
          <w:b/>
        </w:rPr>
        <w:t xml:space="preserve">आ गत (ā gata)</w:t>
      </w:r>
      <w:r>
        <w:t xml:space="preserve"> </w:t>
      </w:r>
      <w:r>
        <w:t xml:space="preserve">— come.</w:t>
      </w:r>
    </w:p>
    <w:p>
      <w:pPr>
        <w:pStyle w:val="BodyText"/>
      </w:pPr>
      <w:r>
        <w:rPr>
          <w:bCs/>
          <w:b/>
        </w:rPr>
        <w:t xml:space="preserve">॥ Bhāvārthaḥ ॥</w:t>
      </w:r>
      <w:r>
        <w:t xml:space="preserve"> </w:t>
      </w:r>
      <w:r>
        <w:rPr>
          <w:iCs/>
          <w:i/>
        </w:rPr>
        <w:t xml:space="preserve">(Kannada, translated)</w:t>
      </w:r>
    </w:p>
    <w:p>
      <w:pPr>
        <w:pStyle w:val="BodyText"/>
      </w:pPr>
      <w:r>
        <w:t xml:space="preserve">O Viśvedevas! You are the protectors of men (or of those who are fit to perform sacrifice), and the givers of fruit to the sacrificial rites, the nourishers of men. Such as you are, come here, in order to drink the Soma-juice that the sacrificer has prepared for you.</w:t>
      </w:r>
    </w:p>
    <w:p>
      <w:pPr>
        <w:pStyle w:val="BodyText"/>
      </w:pPr>
      <w:r>
        <w:rPr>
          <w:bCs/>
          <w:b/>
        </w:rPr>
        <w:t xml:space="preserve">English Translation</w:t>
      </w:r>
      <w:r>
        <w:t xml:space="preserve"> </w:t>
      </w:r>
      <w:r>
        <w:rPr>
          <w:iCs/>
          <w:i/>
        </w:rPr>
        <w:t xml:space="preserve">(printed in English in the source itself):</w:t>
      </w:r>
    </w:p>
    <w:p>
      <w:pPr>
        <w:pStyle w:val="BodyText"/>
      </w:pPr>
      <w:r>
        <w:t xml:space="preserve">“</w:t>
      </w:r>
      <w:r>
        <w:t xml:space="preserve">O Viswe devas, protectors and supporters of men, bestowers of rewards come to (drink) the libation of Soma juice of the worshipper.</w:t>
      </w:r>
      <w:r>
        <w:t xml:space="preserve">”</w:t>
      </w:r>
    </w:p>
    <w:p>
      <w:pPr>
        <w:pStyle w:val="BodyText"/>
      </w:pPr>
      <w:r>
        <w:rPr>
          <w:bCs/>
          <w:b/>
        </w:rPr>
        <w:t xml:space="preserve">॥ Viśeṣa-viṣayagaḷu (Special Topics) ॥</w:t>
      </w:r>
    </w:p>
    <w:p>
      <w:pPr>
        <w:pStyle w:val="BodyText"/>
      </w:pPr>
      <w:r>
        <w:t xml:space="preserve">From here on, the next three Ṛks are named the</w:t>
      </w:r>
      <w:r>
        <w:t xml:space="preserve"> </w:t>
      </w:r>
      <w:r>
        <w:rPr>
          <w:bCs/>
          <w:b/>
        </w:rPr>
        <w:t xml:space="preserve">“</w:t>
      </w:r>
      <w:r>
        <w:rPr>
          <w:bCs/>
          <w:b/>
        </w:rPr>
        <w:t xml:space="preserve">Vaiśvadeva-tṛca</w:t>
      </w:r>
      <w:r>
        <w:rPr>
          <w:bCs/>
          <w:b/>
        </w:rPr>
        <w:t xml:space="preserve">”</w:t>
      </w:r>
      <w:r>
        <w:t xml:space="preserve"> </w:t>
      </w:r>
      <w:r>
        <w:t xml:space="preserve">(the triplet addressed to the Viśvedevas). These Ṛks are recited in the</w:t>
      </w:r>
      <w:r>
        <w:t xml:space="preserve"> </w:t>
      </w:r>
      <w:r>
        <w:rPr>
          <w:bCs/>
          <w:b/>
        </w:rPr>
        <w:t xml:space="preserve">Abhijit-savana</w:t>
      </w:r>
      <w:r>
        <w:t xml:space="preserve">. And in the sacrifice called</w:t>
      </w:r>
      <w:r>
        <w:t xml:space="preserve"> </w:t>
      </w:r>
      <w:r>
        <w:rPr>
          <w:bCs/>
          <w:b/>
        </w:rPr>
        <w:t xml:space="preserve">Cāturmāsya</w:t>
      </w:r>
      <w:r>
        <w:t xml:space="preserve">, on the day on which the Soma-juice is drawn out, the Adhvaryu recites these mantras while he draws out the Soma, with a large wooden vessel called the</w:t>
      </w:r>
      <w:r>
        <w:t xml:space="preserve"> </w:t>
      </w:r>
      <w:r>
        <w:rPr>
          <w:bCs/>
          <w:b/>
        </w:rPr>
        <w:t xml:space="preserve">droṇa-kalaśa</w:t>
      </w:r>
      <w:r>
        <w:t xml:space="preserve">.</w:t>
      </w:r>
    </w:p>
    <w:bookmarkEnd w:id="74"/>
    <w:bookmarkStart w:id="75" w:name="X22a568242b20cd9c1b94369ae6b5e556af78a6d"/>
    <w:p>
      <w:pPr>
        <w:pStyle w:val="Heading3"/>
      </w:pPr>
      <w:r>
        <w:t xml:space="preserve">Page 49 — Special topics on Rik 3.7:</w:t>
      </w:r>
      <w:r>
        <w:t xml:space="preserve"> </w:t>
      </w:r>
      <w:r>
        <w:t xml:space="preserve">“</w:t>
      </w:r>
      <w:r>
        <w:t xml:space="preserve">omāsaḥ,</w:t>
      </w:r>
      <w:r>
        <w:t xml:space="preserve">”</w:t>
      </w:r>
      <w:r>
        <w:t xml:space="preserve"> </w:t>
      </w:r>
      <w:r>
        <w:t xml:space="preserve">“</w:t>
      </w:r>
      <w:r>
        <w:t xml:space="preserve">carṣaṇīdhṛtaḥ,</w:t>
      </w:r>
      <w:r>
        <w:t xml:space="preserve">”</w:t>
      </w:r>
      <w:r>
        <w:t xml:space="preserve"> </w:t>
      </w:r>
      <w:r>
        <w:t xml:space="preserve">“</w:t>
      </w:r>
      <w:r>
        <w:t xml:space="preserve">viśve devāsaḥ</w:t>
      </w:r>
      <w:r>
        <w:t xml:space="preserve">”</w:t>
      </w:r>
      <w:r>
        <w:t xml:space="preserve"> </w:t>
      </w:r>
      <w:r>
        <w:t xml:space="preserve">(opening)</w:t>
      </w:r>
    </w:p>
    <w:p>
      <w:pPr>
        <w:pStyle w:val="FirstParagraph"/>
      </w:pPr>
      <w:r>
        <w:rPr>
          <w:iCs/>
          <w:i/>
        </w:rPr>
        <w:t xml:space="preserve">(Page header:</w:t>
      </w:r>
      <w:r>
        <w:rPr>
          <w:iCs/>
          <w:i/>
        </w:rPr>
        <w:t xml:space="preserve"> </w:t>
      </w:r>
      <w:r>
        <w:rPr>
          <w:iCs/>
          <w:i/>
        </w:rPr>
        <w:t xml:space="preserve">“</w:t>
      </w:r>
      <w:r>
        <w:rPr>
          <w:iCs/>
          <w:i/>
        </w:rPr>
        <w:t xml:space="preserve">Aṣṭaka 1, Adhyāya 1, Varga 6 · Ṛgveda-saṃhitā.</w:t>
      </w:r>
      <w:r>
        <w:rPr>
          <w:iCs/>
          <w:i/>
        </w:rPr>
        <w:t xml:space="preserve">”</w:t>
      </w:r>
      <w:r>
        <w:rPr>
          <w:iCs/>
          <w:i/>
        </w:rPr>
        <w:t xml:space="preserve"> </w:t>
      </w:r>
      <w:r>
        <w:rPr>
          <w:iCs/>
          <w:i/>
        </w:rPr>
        <w:t xml:space="preserve">The English glosses on the verses are mine; the source gives none. Reference-numbers are in small Kannada numerals and read with [?] where uncertain.)</w:t>
      </w:r>
    </w:p>
    <w:p>
      <w:pPr>
        <w:pStyle w:val="BodyText"/>
      </w:pPr>
      <w:r>
        <w:rPr>
          <w:bCs/>
          <w:b/>
        </w:rPr>
        <w:t xml:space="preserve">ओमासः (omāsaḥ)</w:t>
      </w:r>
      <w:r>
        <w:t xml:space="preserve"> </w:t>
      </w:r>
      <w:r>
        <w:t xml:space="preserve">— Vocative plural. The word means</w:t>
      </w:r>
      <w:r>
        <w:t xml:space="preserve"> </w:t>
      </w:r>
      <w:r>
        <w:t xml:space="preserve">“</w:t>
      </w:r>
      <w:r>
        <w:t xml:space="preserve">protectors, helpers.</w:t>
      </w:r>
      <w:r>
        <w:t xml:space="preserve">”</w:t>
      </w:r>
      <w:r>
        <w:t xml:space="preserve"> </w:t>
      </w:r>
      <w:r>
        <w:t xml:space="preserve">The word is not used anywhere else in the Ṛgveda.</w:t>
      </w:r>
    </w:p>
    <w:p>
      <w:pPr>
        <w:pStyle w:val="BodyText"/>
      </w:pPr>
      <w:r>
        <w:rPr>
          <w:bCs/>
          <w:b/>
        </w:rPr>
        <w:t xml:space="preserve">चर्षणीधृतः (carṣaṇīdhṛtaḥ)</w:t>
      </w:r>
      <w:r>
        <w:t xml:space="preserve"> </w:t>
      </w:r>
      <w:r>
        <w:t xml:space="preserve">— The word</w:t>
      </w:r>
      <w:r>
        <w:t xml:space="preserve"> </w:t>
      </w:r>
      <w:r>
        <w:t xml:space="preserve">“</w:t>
      </w:r>
      <w:r>
        <w:t xml:space="preserve">carṣaṇī</w:t>
      </w:r>
      <w:r>
        <w:t xml:space="preserve">”</w:t>
      </w:r>
      <w:r>
        <w:t xml:space="preserve"> </w:t>
      </w:r>
      <w:r>
        <w:t xml:space="preserve">is read among the twenty-five words that denote</w:t>
      </w:r>
      <w:r>
        <w:t xml:space="preserve"> </w:t>
      </w:r>
      <w:r>
        <w:t xml:space="preserve">“</w:t>
      </w:r>
      <w:r>
        <w:t xml:space="preserve">human being</w:t>
      </w:r>
      <w:r>
        <w:t xml:space="preserve">”</w:t>
      </w:r>
      <w:r>
        <w:t xml:space="preserve"> </w:t>
      </w:r>
      <w:r>
        <w:t xml:space="preserve">(Nighaṇṭu 2-3). Examples:</w:t>
      </w:r>
    </w:p>
    <w:p>
      <w:pPr>
        <w:pStyle w:val="BlockText"/>
      </w:pPr>
      <w:r>
        <w:t xml:space="preserve">य एकश्चर्षणीनां वसूनामिरज्यसि । (ऋ. सं. १-७-९)</w:t>
      </w:r>
      <w:r>
        <w:t xml:space="preserve"> </w:t>
      </w:r>
      <w:r>
        <w:rPr>
          <w:iCs/>
          <w:i/>
        </w:rPr>
        <w:t xml:space="preserve">ya ekaś carṣaṇīnāṃ vasūnām irajyasi | (ṛ. saṃ. 1-7-9)</w:t>
      </w:r>
      <w:r>
        <w:t xml:space="preserve"> </w:t>
      </w:r>
      <w:r>
        <w:t xml:space="preserve">Gloss:</w:t>
      </w:r>
      <w:r>
        <w:t xml:space="preserve"> </w:t>
      </w:r>
      <w:r>
        <w:t xml:space="preserve">“</w:t>
      </w:r>
      <w:r>
        <w:t xml:space="preserve">Who alone, of the peoples, of the goods, rules.</w:t>
      </w:r>
      <w:r>
        <w:t xml:space="preserve">”</w:t>
      </w:r>
      <w:r>
        <w:t xml:space="preserve"> </w:t>
      </w:r>
      <w:r>
        <w:rPr>
          <w:iCs/>
          <w:i/>
        </w:rPr>
        <w:t xml:space="preserve">(The print has</w:t>
      </w:r>
      <w:r>
        <w:rPr>
          <w:iCs/>
          <w:i/>
        </w:rPr>
        <w:t xml:space="preserve"> </w:t>
      </w:r>
      <w:r>
        <w:rPr>
          <w:iCs/>
          <w:i/>
        </w:rPr>
        <w:t xml:space="preserve">“</w:t>
      </w:r>
      <w:r>
        <w:rPr>
          <w:iCs/>
          <w:i/>
        </w:rPr>
        <w:t xml:space="preserve">irajyasi,</w:t>
      </w:r>
      <w:r>
        <w:rPr>
          <w:iCs/>
          <w:i/>
        </w:rPr>
        <w:t xml:space="preserve">”</w:t>
      </w:r>
      <w:r>
        <w:rPr>
          <w:iCs/>
          <w:i/>
        </w:rPr>
        <w:t xml:space="preserve"> </w:t>
      </w:r>
      <w:r>
        <w:rPr>
          <w:iCs/>
          <w:i/>
        </w:rPr>
        <w:t xml:space="preserve">as I read it.)</w:t>
      </w:r>
    </w:p>
    <w:p>
      <w:pPr>
        <w:pStyle w:val="BlockText"/>
      </w:pPr>
      <w:r>
        <w:t xml:space="preserve">धर्त्तारा चर्षणीनाम् । (ऋ. सं. १-१७-२)</w:t>
      </w:r>
      <w:r>
        <w:t xml:space="preserve"> </w:t>
      </w:r>
      <w:r>
        <w:rPr>
          <w:iCs/>
          <w:i/>
        </w:rPr>
        <w:t xml:space="preserve">dhartārā carṣaṇīnām | (ṛ. saṃ. 1-17-2)</w:t>
      </w:r>
      <w:r>
        <w:t xml:space="preserve"> </w:t>
      </w:r>
      <w:r>
        <w:t xml:space="preserve">Gloss:</w:t>
      </w:r>
      <w:r>
        <w:t xml:space="preserve"> </w:t>
      </w:r>
      <w:r>
        <w:t xml:space="preserve">“</w:t>
      </w:r>
      <w:r>
        <w:t xml:space="preserve">The two upholders of the peoples.</w:t>
      </w:r>
      <w:r>
        <w:t xml:space="preserve">”</w:t>
      </w:r>
    </w:p>
    <w:p>
      <w:pPr>
        <w:pStyle w:val="BlockText"/>
      </w:pPr>
      <w:r>
        <w:t xml:space="preserve">सेदु राजा क्षयति चर्षणीनामरान्न नेमिः परि ता बभूव ॥ (ऋ. सं. १-३२-१५)</w:t>
      </w:r>
      <w:r>
        <w:t xml:space="preserve"> </w:t>
      </w:r>
      <w:r>
        <w:rPr>
          <w:iCs/>
          <w:i/>
        </w:rPr>
        <w:t xml:space="preserve">sedu rājā kṣayati carṣaṇīnām arān na nemiḥ pari tā babhūva || (ṛ. saṃ. 1-32-15)</w:t>
      </w:r>
      <w:r>
        <w:t xml:space="preserve"> </w:t>
      </w:r>
      <w:r>
        <w:t xml:space="preserve">Gloss:</w:t>
      </w:r>
      <w:r>
        <w:t xml:space="preserve"> </w:t>
      </w:r>
      <w:r>
        <w:t xml:space="preserve">“</w:t>
      </w:r>
      <w:r>
        <w:t xml:space="preserve">He alone rules as king over the peoples; as the felly encloses the spokes, he has encompassed them all.</w:t>
      </w:r>
      <w:r>
        <w:t xml:space="preserve">”</w:t>
      </w:r>
    </w:p>
    <w:p>
      <w:pPr>
        <w:pStyle w:val="FirstParagraph"/>
      </w:pPr>
      <w:r>
        <w:t xml:space="preserve">In these Ṛks and others the Bhāṣyakāra and the other commentators have explained</w:t>
      </w:r>
      <w:r>
        <w:t xml:space="preserve"> </w:t>
      </w:r>
      <w:r>
        <w:t xml:space="preserve">“</w:t>
      </w:r>
      <w:r>
        <w:t xml:space="preserve">carṣaṇīnām</w:t>
      </w:r>
      <w:r>
        <w:t xml:space="preserve">”</w:t>
      </w:r>
      <w:r>
        <w:t xml:space="preserve"> </w:t>
      </w:r>
      <w:r>
        <w:t xml:space="preserve">as</w:t>
      </w:r>
      <w:r>
        <w:t xml:space="preserve"> </w:t>
      </w:r>
      <w:r>
        <w:t xml:space="preserve">“</w:t>
      </w:r>
      <w:r>
        <w:t xml:space="preserve">men.</w:t>
      </w:r>
      <w:r>
        <w:t xml:space="preserve">”</w:t>
      </w:r>
      <w:r>
        <w:t xml:space="preserve"> </w:t>
      </w:r>
      <w:r>
        <w:rPr>
          <w:bCs/>
          <w:b/>
        </w:rPr>
        <w:t xml:space="preserve">Monier Williams</w:t>
      </w:r>
      <w:r>
        <w:t xml:space="preserve"> </w:t>
      </w:r>
      <w:r>
        <w:t xml:space="preserve">holds that</w:t>
      </w:r>
      <w:r>
        <w:t xml:space="preserve"> </w:t>
      </w:r>
      <w:r>
        <w:t xml:space="preserve">“</w:t>
      </w:r>
      <w:r>
        <w:t xml:space="preserve">carṣaṇī</w:t>
      </w:r>
      <w:r>
        <w:t xml:space="preserve">”</w:t>
      </w:r>
      <w:r>
        <w:t xml:space="preserve"> </w:t>
      </w:r>
      <w:r>
        <w:t xml:space="preserve">derives from the root</w:t>
      </w:r>
      <w:r>
        <w:t xml:space="preserve"> </w:t>
      </w:r>
      <w:r>
        <w:t xml:space="preserve">“</w:t>
      </w:r>
      <w:r>
        <w:t xml:space="preserve">kṛṣ</w:t>
      </w:r>
      <w:r>
        <w:t xml:space="preserve">”</w:t>
      </w:r>
      <w:r>
        <w:t xml:space="preserve"> </w:t>
      </w:r>
      <w:r>
        <w:t xml:space="preserve">(to plough, to practise agriculture), so that</w:t>
      </w:r>
      <w:r>
        <w:t xml:space="preserve"> </w:t>
      </w:r>
      <w:r>
        <w:t xml:space="preserve">“</w:t>
      </w:r>
      <w:r>
        <w:t xml:space="preserve">carṣaṇī</w:t>
      </w:r>
      <w:r>
        <w:t xml:space="preserve">”</w:t>
      </w:r>
      <w:r>
        <w:t xml:space="preserve"> </w:t>
      </w:r>
      <w:r>
        <w:t xml:space="preserve">means</w:t>
      </w:r>
      <w:r>
        <w:t xml:space="preserve"> </w:t>
      </w:r>
      <w:r>
        <w:t xml:space="preserve">“</w:t>
      </w:r>
      <w:r>
        <w:t xml:space="preserve">those who plough, people who practise agriculture</w:t>
      </w:r>
      <w:r>
        <w:t xml:space="preserve">”</w:t>
      </w:r>
      <w:r>
        <w:t xml:space="preserve">; this sense, too, seems well-formed. Other Western scholars, in rendering it, use the words</w:t>
      </w:r>
      <w:r>
        <w:t xml:space="preserve"> </w:t>
      </w:r>
      <w:r>
        <w:t xml:space="preserve">“</w:t>
      </w:r>
      <w:r>
        <w:t xml:space="preserve">Man, people, race, stock, tribe.</w:t>
      </w:r>
      <w:r>
        <w:t xml:space="preserve">”</w:t>
      </w:r>
      <w:r>
        <w:t xml:space="preserve"> </w:t>
      </w:r>
      <w:r>
        <w:t xml:space="preserve">In contexts where the word is used as an adjective, they say it has the sense</w:t>
      </w:r>
      <w:r>
        <w:t xml:space="preserve"> </w:t>
      </w:r>
      <w:r>
        <w:t xml:space="preserve">“</w:t>
      </w:r>
      <w:r>
        <w:t xml:space="preserve">hastening, brisk, active.</w:t>
      </w:r>
      <w:r>
        <w:t xml:space="preserve">”</w:t>
      </w:r>
      <w:r>
        <w:t xml:space="preserve"> </w:t>
      </w:r>
      <w:r>
        <w:rPr>
          <w:bCs/>
          <w:b/>
        </w:rPr>
        <w:t xml:space="preserve">Griffith</w:t>
      </w:r>
      <w:r>
        <w:t xml:space="preserve"> </w:t>
      </w:r>
      <w:r>
        <w:t xml:space="preserve">says that since the word comes from the root</w:t>
      </w:r>
      <w:r>
        <w:t xml:space="preserve"> </w:t>
      </w:r>
      <w:r>
        <w:t xml:space="preserve">“</w:t>
      </w:r>
      <w:r>
        <w:t xml:space="preserve">car</w:t>
      </w:r>
      <w:r>
        <w:t xml:space="preserve">”</w:t>
      </w:r>
      <w:r>
        <w:t xml:space="preserve"> </w:t>
      </w:r>
      <w:r>
        <w:t xml:space="preserve">(to move about), the word</w:t>
      </w:r>
      <w:r>
        <w:t xml:space="preserve"> </w:t>
      </w:r>
      <w:r>
        <w:t xml:space="preserve">“</w:t>
      </w:r>
      <w:r>
        <w:t xml:space="preserve">carṣaṇī</w:t>
      </w:r>
      <w:r>
        <w:t xml:space="preserve">”</w:t>
      </w:r>
      <w:r>
        <w:t xml:space="preserve"> </w:t>
      </w:r>
      <w:r>
        <w:t xml:space="preserve">signifies</w:t>
      </w:r>
      <w:r>
        <w:t xml:space="preserve"> </w:t>
      </w:r>
      <w:r>
        <w:t xml:space="preserve">“</w:t>
      </w:r>
      <w:r>
        <w:t xml:space="preserve">Living beings</w:t>
      </w:r>
      <w:r>
        <w:t xml:space="preserve">”</w:t>
      </w:r>
      <w:r>
        <w:t xml:space="preserve"> </w:t>
      </w:r>
      <w:r>
        <w:t xml:space="preserve">(prāṇigaḷu). Many hold the view that, since the Āryas of the Ṛgvedic age were occupied in agriculture, the sense</w:t>
      </w:r>
      <w:r>
        <w:t xml:space="preserve"> </w:t>
      </w:r>
      <w:r>
        <w:t xml:space="preserve">“</w:t>
      </w:r>
      <w:r>
        <w:t xml:space="preserve">Cultivating people</w:t>
      </w:r>
      <w:r>
        <w:t xml:space="preserve">”</w:t>
      </w:r>
      <w:r>
        <w:t xml:space="preserve"> </w:t>
      </w:r>
      <w:r>
        <w:t xml:space="preserve">is the fitting one. Since the root</w:t>
      </w:r>
      <w:r>
        <w:t xml:space="preserve"> </w:t>
      </w:r>
      <w:r>
        <w:t xml:space="preserve">“</w:t>
      </w:r>
      <w:r>
        <w:t xml:space="preserve">dhṛ</w:t>
      </w:r>
      <w:r>
        <w:t xml:space="preserve">”</w:t>
      </w:r>
      <w:r>
        <w:t xml:space="preserve"> </w:t>
      </w:r>
      <w:r>
        <w:t xml:space="preserve">has the senses</w:t>
      </w:r>
      <w:r>
        <w:t xml:space="preserve"> </w:t>
      </w:r>
      <w:r>
        <w:t xml:space="preserve">“</w:t>
      </w:r>
      <w:r>
        <w:t xml:space="preserve">to hold, to support, to nourish,</w:t>
      </w:r>
      <w:r>
        <w:t xml:space="preserve">”</w:t>
      </w:r>
      <w:r>
        <w:t xml:space="preserve"> </w:t>
      </w:r>
      <w:r>
        <w:t xml:space="preserve">there is no need for doubt in explaining</w:t>
      </w:r>
      <w:r>
        <w:t xml:space="preserve"> </w:t>
      </w:r>
      <w:r>
        <w:t xml:space="preserve">“</w:t>
      </w:r>
      <w:r>
        <w:t xml:space="preserve">carṣaṇīdhṛtaḥ</w:t>
      </w:r>
      <w:r>
        <w:t xml:space="preserve">”</w:t>
      </w:r>
      <w:r>
        <w:t xml:space="preserve"> </w:t>
      </w:r>
      <w:r>
        <w:t xml:space="preserve">as</w:t>
      </w:r>
      <w:r>
        <w:t xml:space="preserve"> </w:t>
      </w:r>
      <w:r>
        <w:t xml:space="preserve">“</w:t>
      </w:r>
      <w:r>
        <w:t xml:space="preserve">those worthy to nourish men, worthy to protect them.</w:t>
      </w:r>
      <w:r>
        <w:t xml:space="preserve">”</w:t>
      </w:r>
    </w:p>
    <w:p>
      <w:pPr>
        <w:pStyle w:val="BodyText"/>
      </w:pPr>
      <w:r>
        <w:rPr>
          <w:bCs/>
          <w:b/>
        </w:rPr>
        <w:t xml:space="preserve">विश्वे देवासः (viśve devāsaḥ)</w:t>
      </w:r>
      <w:r>
        <w:t xml:space="preserve"> </w:t>
      </w:r>
      <w:r>
        <w:t xml:space="preserve">— Among the thirty-one names of the particular classes of deities, beginning with</w:t>
      </w:r>
      <w:r>
        <w:t xml:space="preserve"> </w:t>
      </w:r>
      <w:r>
        <w:t xml:space="preserve">“</w:t>
      </w:r>
      <w:r>
        <w:t xml:space="preserve">aśvinau,</w:t>
      </w:r>
      <w:r>
        <w:t xml:space="preserve">”</w:t>
      </w:r>
      <w:r>
        <w:t xml:space="preserve"> </w:t>
      </w:r>
      <w:r>
        <w:t xml:space="preserve">the name of these deities is read. The Bhāṣyakāra says that they are a distinct, particular class of gods. Some say that they are</w:t>
      </w:r>
      <w:r>
        <w:t xml:space="preserve"> </w:t>
      </w:r>
      <w:r>
        <w:rPr>
          <w:iCs/>
          <w:i/>
        </w:rPr>
        <w:t xml:space="preserve">all</w:t>
      </w:r>
      <w:r>
        <w:t xml:space="preserve"> </w:t>
      </w:r>
      <w:r>
        <w:t xml:space="preserve">the gods. But that the sages worshipped distinct deities named</w:t>
      </w:r>
      <w:r>
        <w:t xml:space="preserve"> </w:t>
      </w:r>
      <w:r>
        <w:t xml:space="preserve">“</w:t>
      </w:r>
      <w:r>
        <w:t xml:space="preserve">Viśvedevas</w:t>
      </w:r>
      <w:r>
        <w:t xml:space="preserve">”</w:t>
      </w:r>
      <w:r>
        <w:t xml:space="preserve"> </w:t>
      </w:r>
      <w:r>
        <w:t xml:space="preserve">can be stated clearly from what is found in other sūktas. On this question Yāska has written an explanation of this Ṛk:</w:t>
      </w:r>
    </w:p>
    <w:p>
      <w:pPr>
        <w:pStyle w:val="BlockText"/>
      </w:pPr>
      <w:r>
        <w:t xml:space="preserve">अवितारो वावनीया वा मनुष्यधृतः सर्वे देवा इहागच्छत दत्तवन्तो दत्तवतः सुतमिति, तदेतदेकमेव वैश्वदेवं गायत्रं तृचं दशतयीषु विद्यते यत्तु किञ्चिद्बहुदैवतं तद्वैश्वदेवानां स्थाने युज्यते यदेव विश्वलिङ्गमिति शाकपूणिः । (नि. १२-४०)</w:t>
      </w:r>
      <w:r>
        <w:t xml:space="preserve"> </w:t>
      </w:r>
      <w:r>
        <w:rPr>
          <w:iCs/>
          <w:i/>
        </w:rPr>
        <w:t xml:space="preserve">avitāro vāvanīyā vā manuṣyadhṛtaḥ sarve devā ihāgacchata dattavanto dattavataḥ sutam iti, tad etad ekam eva vaiśvadevaṃ gāyatraṃ tṛcaṃ daśatayīṣu vidyate yat tu kiñcid bahudaivataṃ tad vaiśvadevānāṃ sthāne yujyate yad eva viśva-liṅgam iti śākapūṇiḥ | (ni. 12-40)</w:t>
      </w:r>
      <w:r>
        <w:t xml:space="preserve"> </w:t>
      </w:r>
      <w:r>
        <w:rPr>
          <w:iCs/>
          <w:i/>
        </w:rPr>
        <w:t xml:space="preserve">(Translated on p. 47 above:</w:t>
      </w:r>
      <w:r>
        <w:rPr>
          <w:iCs/>
          <w:i/>
        </w:rPr>
        <w:t xml:space="preserve"> </w:t>
      </w:r>
      <w:r>
        <w:rPr>
          <w:iCs/>
          <w:i/>
        </w:rPr>
        <w:t xml:space="preserve">“</w:t>
      </w:r>
      <w:r>
        <w:rPr>
          <w:iCs/>
          <w:i/>
        </w:rPr>
        <w:t xml:space="preserve">Protectors or those to be desired, upholders of men; all the gods, come here … this one Vaiśvadeva Gāyatra tṛca in the daśatayī; whatever many-deitied hymn is fitted into the Vaiśvadevas’ place, whatever bears the mark of</w:t>
      </w:r>
      <w:r>
        <w:rPr>
          <w:iCs/>
          <w:i/>
        </w:rPr>
        <w:t xml:space="preserve"> </w:t>
      </w:r>
      <w:r>
        <w:rPr>
          <w:iCs/>
          <w:i/>
        </w:rPr>
        <w:t xml:space="preserve">‘</w:t>
      </w:r>
      <w:r>
        <w:rPr>
          <w:iCs/>
          <w:i/>
        </w:rPr>
        <w:t xml:space="preserve">viśva</w:t>
      </w:r>
      <w:r>
        <w:rPr>
          <w:iCs/>
          <w:i/>
        </w:rPr>
        <w:t xml:space="preserve">’</w:t>
      </w:r>
      <w:r>
        <w:rPr>
          <w:iCs/>
          <w:i/>
        </w:rPr>
        <w:t xml:space="preserve"> </w:t>
      </w:r>
      <w:r>
        <w:rPr>
          <w:iCs/>
          <w:i/>
        </w:rPr>
        <w:t xml:space="preserve">— so says Śākapūṇi.</w:t>
      </w:r>
      <w:r>
        <w:rPr>
          <w:iCs/>
          <w:i/>
        </w:rPr>
        <w:t xml:space="preserve">”</w:t>
      </w:r>
      <w:r>
        <w:rPr>
          <w:iCs/>
          <w:i/>
        </w:rPr>
        <w:t xml:space="preserve">)</w:t>
      </w:r>
    </w:p>
    <w:p>
      <w:pPr>
        <w:pStyle w:val="FirstParagraph"/>
      </w:pPr>
      <w:r>
        <w:t xml:space="preserve">In the discussion of the sense of this Ṛk there is no difference between the sense we have given and Yāska’s. But according to Yāska’s view</w:t>
      </w:r>
      <w:r>
        <w:t xml:space="preserve"> </w:t>
      </w:r>
      <w:r>
        <w:t xml:space="preserve">“</w:t>
      </w:r>
      <w:r>
        <w:t xml:space="preserve">viśve devāḥ</w:t>
      </w:r>
      <w:r>
        <w:t xml:space="preserve">”</w:t>
      </w:r>
      <w:r>
        <w:t xml:space="preserve"> </w:t>
      </w:r>
      <w:r>
        <w:t xml:space="preserve">means</w:t>
      </w:r>
      <w:r>
        <w:t xml:space="preserve"> </w:t>
      </w:r>
      <w:r>
        <w:t xml:space="preserve">“</w:t>
      </w:r>
      <w:r>
        <w:t xml:space="preserve">all the gods,</w:t>
      </w:r>
      <w:r>
        <w:t xml:space="preserve">”</w:t>
      </w:r>
      <w:r>
        <w:t xml:space="preserve"> </w:t>
      </w:r>
      <w:r>
        <w:t xml:space="preserve">and</w:t>
      </w:r>
      <w:r>
        <w:t xml:space="preserve"> </w:t>
      </w:r>
      <w:r>
        <w:t xml:space="preserve">“</w:t>
      </w:r>
      <w:r>
        <w:t xml:space="preserve">Viśvedevas</w:t>
      </w:r>
      <w:r>
        <w:t xml:space="preserve">”</w:t>
      </w:r>
      <w:r>
        <w:t xml:space="preserve"> </w:t>
      </w:r>
      <w:r>
        <w:t xml:space="preserve">— gods called by that name — is, he says, the view of Śākapūṇi…</w:t>
      </w:r>
      <w:r>
        <w:t xml:space="preserve"> </w:t>
      </w:r>
      <w:r>
        <w:rPr>
          <w:iCs/>
          <w:i/>
        </w:rPr>
        <w:t xml:space="preserve">(continues on the next page)</w:t>
      </w:r>
    </w:p>
    <w:bookmarkEnd w:id="75"/>
    <w:bookmarkStart w:id="76" w:name="X15debcd440ff264f2f3485edc3b3a6f5504d4a1"/>
    <w:p>
      <w:pPr>
        <w:pStyle w:val="Heading3"/>
      </w:pPr>
      <w:r>
        <w:t xml:space="preserve">Page 50 — Special topics on Rik 3.7 (continued): the Viśvedevas;</w:t>
      </w:r>
      <w:r>
        <w:t xml:space="preserve"> </w:t>
      </w:r>
      <w:r>
        <w:t xml:space="preserve">“</w:t>
      </w:r>
      <w:r>
        <w:t xml:space="preserve">ā gata,</w:t>
      </w:r>
      <w:r>
        <w:t xml:space="preserve">”</w:t>
      </w:r>
      <w:r>
        <w:t xml:space="preserve"> </w:t>
      </w:r>
      <w:r>
        <w:t xml:space="preserve">“</w:t>
      </w:r>
      <w:r>
        <w:t xml:space="preserve">dāśvāṃsaḥ,</w:t>
      </w:r>
      <w:r>
        <w:t xml:space="preserve">”</w:t>
      </w:r>
      <w:r>
        <w:t xml:space="preserve"> </w:t>
      </w:r>
      <w:r>
        <w:t xml:space="preserve">“</w:t>
      </w:r>
      <w:r>
        <w:t xml:space="preserve">dāśuṣaḥ</w:t>
      </w:r>
      <w:r>
        <w:t xml:space="preserve">”</w:t>
      </w:r>
    </w:p>
    <w:p>
      <w:pPr>
        <w:pStyle w:val="FirstParagraph"/>
      </w:pPr>
      <w:r>
        <w:rPr>
          <w:iCs/>
          <w:i/>
        </w:rPr>
        <w:t xml:space="preserve">(Page header:</w:t>
      </w:r>
      <w:r>
        <w:rPr>
          <w:iCs/>
          <w:i/>
        </w:rPr>
        <w:t xml:space="preserve"> </w:t>
      </w:r>
      <w:r>
        <w:rPr>
          <w:iCs/>
          <w:i/>
        </w:rPr>
        <w:t xml:space="preserve">“</w:t>
      </w:r>
      <w:r>
        <w:rPr>
          <w:iCs/>
          <w:i/>
        </w:rPr>
        <w:t xml:space="preserve">Sāyaṇa-bhāṣya-sahitā · Mandala 1, Anuvāka 1, Sūkta 3.</w:t>
      </w:r>
      <w:r>
        <w:rPr>
          <w:iCs/>
          <w:i/>
        </w:rPr>
        <w:t xml:space="preserve">”</w:t>
      </w:r>
      <w:r>
        <w:rPr>
          <w:iCs/>
          <w:i/>
        </w:rPr>
        <w:t xml:space="preserve"> </w:t>
      </w:r>
      <w:r>
        <w:rPr>
          <w:iCs/>
          <w:i/>
        </w:rPr>
        <w:t xml:space="preserve">This page of the Kannada commentary is full of counts and reference-numbers printed in small Kannada numerals. Many of them are hard to read;</w:t>
      </w:r>
      <w:r>
        <w:rPr>
          <w:iCs/>
          <w:i/>
        </w:rPr>
        <w:t xml:space="preserve"> </w:t>
      </w:r>
      <w:r>
        <w:rPr>
          <w:bCs/>
          <w:b/>
          <w:iCs/>
          <w:i/>
        </w:rPr>
        <w:t xml:space="preserve">the numbers below were re-read in the second scan (one, the Vājasaneyi-saṃhitā range 33-4? to 4?, is still doubtful); they should still be checked against the page before being relied on.</w:t>
      </w:r>
      <w:r>
        <w:rPr>
          <w:iCs/>
          <w:i/>
        </w:rPr>
        <w:t xml:space="preserve"> </w:t>
      </w:r>
      <w:r>
        <w:rPr>
          <w:iCs/>
          <w:i/>
        </w:rPr>
        <w:t xml:space="preserve">The English phrases within the Kannada are printed in English in the source, and are reproduced as printed, with misprints marked [sic].)</w:t>
      </w:r>
    </w:p>
    <w:p>
      <w:pPr>
        <w:pStyle w:val="BodyText"/>
      </w:pPr>
      <w:r>
        <w:rPr>
          <w:iCs/>
          <w:i/>
        </w:rPr>
        <w:t xml:space="preserve">(Continuing from p. 49:)</w:t>
      </w:r>
      <w:r>
        <w:t xml:space="preserve"> </w:t>
      </w:r>
      <w:r>
        <w:t xml:space="preserve">…</w:t>
      </w:r>
      <w:r>
        <w:t xml:space="preserve">“</w:t>
      </w:r>
      <w:r>
        <w:t xml:space="preserve">…the view of Śākapūṇi,</w:t>
      </w:r>
      <w:r>
        <w:t xml:space="preserve">”</w:t>
      </w:r>
      <w:r>
        <w:t xml:space="preserve"> </w:t>
      </w:r>
      <w:r>
        <w:t xml:space="preserve">Yāska himself says. Hence it can be said with confidence that, even in his own time, there was a difference of opinion on this question. Now, if it is said that the Viśvedevas are (as is established practice in the domestic and other rites)</w:t>
      </w:r>
      <w:r>
        <w:t xml:space="preserve"> </w:t>
      </w:r>
      <w:r>
        <w:rPr>
          <w:iCs/>
          <w:i/>
        </w:rPr>
        <w:t xml:space="preserve">not</w:t>
      </w:r>
      <w:r>
        <w:t xml:space="preserve"> </w:t>
      </w:r>
      <w:r>
        <w:t xml:space="preserve">part of the group of ordinary deities, and are a special group of</w:t>
      </w:r>
      <w:r>
        <w:t xml:space="preserve"> </w:t>
      </w:r>
      <w:r>
        <w:rPr>
          <w:bCs/>
          <w:b/>
        </w:rPr>
        <w:t xml:space="preserve">thirteen persons</w:t>
      </w:r>
      <w:r>
        <w:t xml:space="preserve"> </w:t>
      </w:r>
      <w:r>
        <w:t xml:space="preserve">of their own, that too can be understood. Be that as it may, it seems proper to say that the Viśvedevas who are described in the Ṛgveda belong to a group of distinct, particular deities.</w:t>
      </w:r>
    </w:p>
    <w:p>
      <w:pPr>
        <w:pStyle w:val="BodyText"/>
      </w:pPr>
      <w:r>
        <w:rPr>
          <w:bCs/>
          <w:b/>
        </w:rPr>
        <w:t xml:space="preserve">आ गत (ā gata)</w:t>
      </w:r>
      <w:r>
        <w:t xml:space="preserve"> </w:t>
      </w:r>
      <w:r>
        <w:t xml:space="preserve">— Second person plural. In present-day Sanskrit this would be</w:t>
      </w:r>
      <w:r>
        <w:t xml:space="preserve"> </w:t>
      </w:r>
      <w:r>
        <w:t xml:space="preserve">“</w:t>
      </w:r>
      <w:r>
        <w:t xml:space="preserve">āgacchata.</w:t>
      </w:r>
      <w:r>
        <w:t xml:space="preserve">”</w:t>
      </w:r>
    </w:p>
    <w:p>
      <w:pPr>
        <w:pStyle w:val="BodyText"/>
      </w:pPr>
      <w:r>
        <w:rPr>
          <w:bCs/>
          <w:b/>
        </w:rPr>
        <w:t xml:space="preserve">दाश्वांसः (dāśvāṃsaḥ)</w:t>
      </w:r>
      <w:r>
        <w:t xml:space="preserve"> </w:t>
      </w:r>
      <w:r>
        <w:t xml:space="preserve">— This word, formed from the root</w:t>
      </w:r>
      <w:r>
        <w:t xml:space="preserve"> </w:t>
      </w:r>
      <w:r>
        <w:t xml:space="preserve">“</w:t>
      </w:r>
      <w:r>
        <w:t xml:space="preserve">dāś</w:t>
      </w:r>
      <w:r>
        <w:t xml:space="preserve">”</w:t>
      </w:r>
      <w:r>
        <w:t xml:space="preserve"> </w:t>
      </w:r>
      <w:r>
        <w:t xml:space="preserve">(</w:t>
      </w:r>
      <w:r>
        <w:t xml:space="preserve">“</w:t>
      </w:r>
      <w:r>
        <w:t xml:space="preserve">dāśṛ dāne,</w:t>
      </w:r>
      <w:r>
        <w:t xml:space="preserve">”</w:t>
      </w:r>
      <w:r>
        <w:t xml:space="preserve"> </w:t>
      </w:r>
      <w:r>
        <w:t xml:space="preserve">to give), means</w:t>
      </w:r>
      <w:r>
        <w:t xml:space="preserve"> </w:t>
      </w:r>
      <w:r>
        <w:t xml:space="preserve">“</w:t>
      </w:r>
      <w:r>
        <w:t xml:space="preserve">those who give,</w:t>
      </w:r>
      <w:r>
        <w:t xml:space="preserve">”</w:t>
      </w:r>
      <w:r>
        <w:t xml:space="preserve"> </w:t>
      </w:r>
      <w:r>
        <w:t xml:space="preserve">that is,</w:t>
      </w:r>
      <w:r>
        <w:t xml:space="preserve"> </w:t>
      </w:r>
      <w:r>
        <w:t xml:space="preserve">“</w:t>
      </w:r>
      <w:r>
        <w:t xml:space="preserve">those who give the fruit to the men who praise them.</w:t>
      </w:r>
      <w:r>
        <w:t xml:space="preserve">”</w:t>
      </w:r>
      <w:r>
        <w:t xml:space="preserve"> </w:t>
      </w:r>
      <w:r>
        <w:t xml:space="preserve">Western scholars explain the word with:</w:t>
      </w:r>
      <w:r>
        <w:t xml:space="preserve"> </w:t>
      </w:r>
      <w:r>
        <w:t xml:space="preserve">“</w:t>
      </w:r>
      <w:r>
        <w:t xml:space="preserve">Donors, distributors, bestowers of riches,</w:t>
      </w:r>
      <w:r>
        <w:t xml:space="preserve">”</w:t>
      </w:r>
      <w:r>
        <w:t xml:space="preserve"> </w:t>
      </w:r>
      <w:r>
        <w:t xml:space="preserve">and the like.</w:t>
      </w:r>
    </w:p>
    <w:p>
      <w:pPr>
        <w:pStyle w:val="BodyText"/>
      </w:pPr>
      <w:r>
        <w:rPr>
          <w:bCs/>
          <w:b/>
        </w:rPr>
        <w:t xml:space="preserve">दाशुषः (dāśuṣaḥ)</w:t>
      </w:r>
      <w:r>
        <w:t xml:space="preserve"> </w:t>
      </w:r>
      <w:r>
        <w:t xml:space="preserve">— This word is genitive singular:</w:t>
      </w:r>
      <w:r>
        <w:t xml:space="preserve"> </w:t>
      </w:r>
      <w:r>
        <w:t xml:space="preserve">“</w:t>
      </w:r>
      <w:r>
        <w:t xml:space="preserve">of one who gives (the oblation to the gods),</w:t>
      </w:r>
      <w:r>
        <w:t xml:space="preserve">”</w:t>
      </w:r>
      <w:r>
        <w:t xml:space="preserve"> </w:t>
      </w:r>
      <w:r>
        <w:t xml:space="preserve">or</w:t>
      </w:r>
      <w:r>
        <w:t xml:space="preserve"> </w:t>
      </w:r>
      <w:r>
        <w:t xml:space="preserve">“</w:t>
      </w:r>
      <w:r>
        <w:t xml:space="preserve">who is giving.</w:t>
      </w:r>
      <w:r>
        <w:t xml:space="preserve">”</w:t>
      </w:r>
      <w:r>
        <w:t xml:space="preserve"> </w:t>
      </w:r>
      <w:r>
        <w:t xml:space="preserve">It is formed like the word</w:t>
      </w:r>
      <w:r>
        <w:t xml:space="preserve"> </w:t>
      </w:r>
      <w:r>
        <w:t xml:space="preserve">“</w:t>
      </w:r>
      <w:r>
        <w:t xml:space="preserve">dāśvāṃsaḥ.</w:t>
      </w:r>
      <w:r>
        <w:t xml:space="preserve">”</w:t>
      </w:r>
      <w:r>
        <w:t xml:space="preserve"> </w:t>
      </w:r>
      <w:r>
        <w:t xml:space="preserve">The sense given for it by Western scholars is:</w:t>
      </w:r>
      <w:r>
        <w:t xml:space="preserve"> </w:t>
      </w:r>
      <w:r>
        <w:t xml:space="preserve">“</w:t>
      </w:r>
      <w:r>
        <w:t xml:space="preserve">Of the distributors (Ludwig, Benfey), of the worshipper (Rosen, Griffith, Williams), of the offerers</w:t>
      </w:r>
      <w:r>
        <w:t xml:space="preserve">”</w:t>
      </w:r>
      <w:r>
        <w:t xml:space="preserve"> </w:t>
      </w:r>
      <w:r>
        <w:t xml:space="preserve">and the like</w:t>
      </w:r>
      <w:r>
        <w:t xml:space="preserve"> </w:t>
      </w:r>
      <w:r>
        <w:rPr>
          <w:iCs/>
          <w:i/>
        </w:rPr>
        <w:t xml:space="preserve">(the source’s English:</w:t>
      </w:r>
      <w:r>
        <w:rPr>
          <w:iCs/>
          <w:i/>
        </w:rPr>
        <w:t xml:space="preserve"> </w:t>
      </w:r>
      <w:r>
        <w:rPr>
          <w:iCs/>
          <w:i/>
        </w:rPr>
        <w:t xml:space="preserve">“</w:t>
      </w:r>
      <w:r>
        <w:rPr>
          <w:iCs/>
          <w:i/>
        </w:rPr>
        <w:t xml:space="preserve">of tne [sic] worshipper</w:t>
      </w:r>
      <w:r>
        <w:rPr>
          <w:iCs/>
          <w:i/>
        </w:rPr>
        <w:t xml:space="preserve">”</w:t>
      </w:r>
      <w:r>
        <w:rPr>
          <w:iCs/>
          <w:i/>
        </w:rPr>
        <w:t xml:space="preserve">)</w:t>
      </w:r>
      <w:r>
        <w:t xml:space="preserve">.</w:t>
      </w:r>
    </w:p>
    <w:p>
      <w:pPr>
        <w:pStyle w:val="BodyText"/>
      </w:pPr>
      <w:r>
        <w:rPr>
          <w:bCs/>
          <w:b/>
        </w:rPr>
        <w:t xml:space="preserve">On the Viśvedevas.</w:t>
      </w:r>
      <w:r>
        <w:t xml:space="preserve"> </w:t>
      </w:r>
      <w:r>
        <w:t xml:space="preserve">Here it is necessary to state a few main points about the Viśvedevas.</w:t>
      </w:r>
    </w:p>
    <w:p>
      <w:pPr>
        <w:numPr>
          <w:ilvl w:val="0"/>
          <w:numId w:val="1007"/>
        </w:numPr>
        <w:pStyle w:val="Compact"/>
      </w:pPr>
      <w:r>
        <w:t xml:space="preserve">In the Ṛgveda there are</w:t>
      </w:r>
      <w:r>
        <w:t xml:space="preserve"> </w:t>
      </w:r>
      <w:r>
        <w:rPr>
          <w:bCs/>
          <w:b/>
        </w:rPr>
        <w:t xml:space="preserve">63 sūktas</w:t>
      </w:r>
      <w:r>
        <w:t xml:space="preserve"> </w:t>
      </w:r>
      <w:r>
        <w:t xml:space="preserve">that praise the Viśvedevas alone.</w:t>
      </w:r>
    </w:p>
    <w:p>
      <w:pPr>
        <w:numPr>
          <w:ilvl w:val="0"/>
          <w:numId w:val="1007"/>
        </w:numPr>
        <w:pStyle w:val="Compact"/>
      </w:pPr>
      <w:r>
        <w:t xml:space="preserve">In addition, the first</w:t>
      </w:r>
      <w:r>
        <w:t xml:space="preserve"> </w:t>
      </w:r>
      <w:r>
        <w:rPr>
          <w:bCs/>
          <w:b/>
        </w:rPr>
        <w:t xml:space="preserve">41 Ṛks</w:t>
      </w:r>
      <w:r>
        <w:t xml:space="preserve"> </w:t>
      </w:r>
      <w:r>
        <w:t xml:space="preserve">of the sūkta</w:t>
      </w:r>
      <w:r>
        <w:t xml:space="preserve"> </w:t>
      </w:r>
      <w:r>
        <w:rPr>
          <w:bCs/>
          <w:b/>
        </w:rPr>
        <w:t xml:space="preserve">Ṛ. Saṃ. 1-164</w:t>
      </w:r>
      <w:r>
        <w:t xml:space="preserve"> </w:t>
      </w:r>
      <w:r>
        <w:t xml:space="preserve">(second scan; the digits are small, but 1-164 with its first 41 Ṛks is the Viśvedeva portion of the Dīrghatamas hymn) are devoted to the Viśvedevas.</w:t>
      </w:r>
    </w:p>
    <w:p>
      <w:pPr>
        <w:numPr>
          <w:ilvl w:val="0"/>
          <w:numId w:val="1007"/>
        </w:numPr>
        <w:pStyle w:val="Compact"/>
      </w:pPr>
      <w:r>
        <w:t xml:space="preserve">In all these — apart from the sūkta</w:t>
      </w:r>
      <w:r>
        <w:t xml:space="preserve"> </w:t>
      </w:r>
      <w:r>
        <w:rPr>
          <w:bCs/>
          <w:b/>
        </w:rPr>
        <w:t xml:space="preserve">Ṛ. Saṃ. 10-125</w:t>
      </w:r>
      <w:r>
        <w:t xml:space="preserve"> </w:t>
      </w:r>
      <w:r>
        <w:t xml:space="preserve">— in all the other sūktas, many deities are praised; that is, just as in other sūktas, Agni, Indra and the others are praised, and further, trees, rivers, mountains, cows, horses and the like are also celebrated.</w:t>
      </w:r>
    </w:p>
    <w:p>
      <w:pPr>
        <w:numPr>
          <w:ilvl w:val="0"/>
          <w:numId w:val="1007"/>
        </w:numPr>
        <w:pStyle w:val="Compact"/>
      </w:pPr>
      <w:r>
        <w:t xml:space="preserve">Besides these, in sūktas devoted to other deities, there are altogether about</w:t>
      </w:r>
      <w:r>
        <w:t xml:space="preserve"> </w:t>
      </w:r>
      <w:r>
        <w:rPr>
          <w:bCs/>
          <w:b/>
        </w:rPr>
        <w:t xml:space="preserve">17 Ṛks</w:t>
      </w:r>
      <w:r>
        <w:t xml:space="preserve"> </w:t>
      </w:r>
      <w:r>
        <w:t xml:space="preserve">here and there that are devoted to the Viśvedevas. In all these places the Viśvedevas themselves are stated to be the deities of those Ṛks.</w:t>
      </w:r>
    </w:p>
    <w:p>
      <w:pPr>
        <w:numPr>
          <w:ilvl w:val="0"/>
          <w:numId w:val="1007"/>
        </w:numPr>
        <w:pStyle w:val="Compact"/>
      </w:pPr>
      <w:r>
        <w:t xml:space="preserve">And in</w:t>
      </w:r>
      <w:r>
        <w:t xml:space="preserve"> </w:t>
      </w:r>
      <w:r>
        <w:rPr>
          <w:bCs/>
          <w:b/>
        </w:rPr>
        <w:t xml:space="preserve">Ṛ. Saṃ. 10-125-1</w:t>
      </w:r>
      <w:r>
        <w:t xml:space="preserve">, the Vasus, Rudras and Ādityas are joined with the Viśvedevas.</w:t>
      </w:r>
    </w:p>
    <w:p>
      <w:pPr>
        <w:numPr>
          <w:ilvl w:val="0"/>
          <w:numId w:val="1007"/>
        </w:numPr>
        <w:pStyle w:val="Compact"/>
      </w:pPr>
      <w:r>
        <w:t xml:space="preserve">In</w:t>
      </w:r>
      <w:r>
        <w:t xml:space="preserve"> </w:t>
      </w:r>
      <w:r>
        <w:rPr>
          <w:bCs/>
          <w:b/>
        </w:rPr>
        <w:t xml:space="preserve">Vājasaneyi-saṃhitā (Śukla Yajurveda) 2-22</w:t>
      </w:r>
      <w:r>
        <w:t xml:space="preserve">, Indra is prayed to come together with the Ādityas, the Vasus, the Maruts and the Viśvedevas. In the same Saṃhitā, in the mantras</w:t>
      </w:r>
      <w:r>
        <w:t xml:space="preserve"> </w:t>
      </w:r>
      <w:r>
        <w:rPr>
          <w:bCs/>
          <w:b/>
        </w:rPr>
        <w:t xml:space="preserve">33-45 to 47</w:t>
      </w:r>
      <w:r>
        <w:t xml:space="preserve">, Indra, Vāyu and other gods are praised along with the Viśvedevas.</w:t>
      </w:r>
    </w:p>
    <w:p>
      <w:pPr>
        <w:numPr>
          <w:ilvl w:val="0"/>
          <w:numId w:val="1007"/>
        </w:numPr>
        <w:pStyle w:val="Compact"/>
      </w:pPr>
      <w:r>
        <w:t xml:space="preserve">In the</w:t>
      </w:r>
      <w:r>
        <w:t xml:space="preserve"> </w:t>
      </w:r>
      <w:r>
        <w:rPr>
          <w:bCs/>
          <w:b/>
        </w:rPr>
        <w:t xml:space="preserve">Atharvaveda 20-62-6</w:t>
      </w:r>
      <w:r>
        <w:t xml:space="preserve"> </w:t>
      </w:r>
      <w:r>
        <w:t xml:space="preserve">the Viśvedevas are referred to in the singular; and many sūktas devoted to the Viśvedevas are found in the Atharvaveda.</w:t>
      </w:r>
    </w:p>
    <w:p>
      <w:pPr>
        <w:numPr>
          <w:ilvl w:val="0"/>
          <w:numId w:val="1007"/>
        </w:numPr>
        <w:pStyle w:val="Compact"/>
      </w:pPr>
      <w:r>
        <w:t xml:space="preserve">In the</w:t>
      </w:r>
      <w:r>
        <w:t xml:space="preserve"> </w:t>
      </w:r>
      <w:r>
        <w:rPr>
          <w:bCs/>
          <w:b/>
        </w:rPr>
        <w:t xml:space="preserve">Brāhmaṇas</w:t>
      </w:r>
      <w:r>
        <w:t xml:space="preserve"> </w:t>
      </w:r>
      <w:r>
        <w:t xml:space="preserve">also the name of the Viśvedevas is mentioned in places. In the</w:t>
      </w:r>
      <w:r>
        <w:t xml:space="preserve"> </w:t>
      </w:r>
      <w:r>
        <w:rPr>
          <w:bCs/>
          <w:b/>
        </w:rPr>
        <w:t xml:space="preserve">Kauṣītaki Brāhmaṇa (8-14)</w:t>
      </w:r>
      <w:r>
        <w:t xml:space="preserve"> </w:t>
      </w:r>
      <w:r>
        <w:t xml:space="preserve">and in the mantras</w:t>
      </w:r>
      <w:r>
        <w:t xml:space="preserve"> </w:t>
      </w:r>
      <w:r>
        <w:rPr>
          <w:bCs/>
          <w:b/>
        </w:rPr>
        <w:t xml:space="preserve">1-20 of the Gopatha Brāhmaṇa</w:t>
      </w:r>
      <w:r>
        <w:t xml:space="preserve">, all the deities are given the name</w:t>
      </w:r>
      <w:r>
        <w:t xml:space="preserve"> </w:t>
      </w:r>
      <w:r>
        <w:t xml:space="preserve">“</w:t>
      </w:r>
      <w:r>
        <w:t xml:space="preserve">Viśvedevas</w:t>
      </w:r>
      <w:r>
        <w:t xml:space="preserve">”</w:t>
      </w:r>
      <w:r>
        <w:t xml:space="preserve">…</w:t>
      </w:r>
      <w:r>
        <w:t xml:space="preserve"> </w:t>
      </w:r>
      <w:r>
        <w:rPr>
          <w:iCs/>
          <w:i/>
        </w:rPr>
        <w:t xml:space="preserve">(continues on the next page)</w:t>
      </w:r>
    </w:p>
    <w:bookmarkEnd w:id="76"/>
    <w:bookmarkStart w:id="77" w:name="X224b964c9d8927ba53fc79ad668154f1e397211"/>
    <w:p>
      <w:pPr>
        <w:pStyle w:val="Heading3"/>
      </w:pPr>
      <w:r>
        <w:t xml:space="preserve">Page 51 — The Viśvedevas (concluded); Vyākaraṇa-prakriyā for Rik 3.7 begins</w:t>
      </w:r>
    </w:p>
    <w:p>
      <w:pPr>
        <w:pStyle w:val="FirstParagraph"/>
      </w:pPr>
      <w:r>
        <w:rPr>
          <w:iCs/>
          <w:i/>
        </w:rPr>
        <w:t xml:space="preserve">(Page header:</w:t>
      </w:r>
      <w:r>
        <w:rPr>
          <w:iCs/>
          <w:i/>
        </w:rPr>
        <w:t xml:space="preserve"> </w:t>
      </w:r>
      <w:r>
        <w:rPr>
          <w:iCs/>
          <w:i/>
        </w:rPr>
        <w:t xml:space="preserve">“</w:t>
      </w:r>
      <w:r>
        <w:rPr>
          <w:iCs/>
          <w:i/>
        </w:rPr>
        <w:t xml:space="preserve">Aṣṭaka 1, Adhyāya 1, Varga 6 · Ṛgveda-saṃhitā.</w:t>
      </w:r>
      <w:r>
        <w:rPr>
          <w:iCs/>
          <w:i/>
        </w:rPr>
        <w:t xml:space="preserve">”</w:t>
      </w:r>
      <w:r>
        <w:rPr>
          <w:iCs/>
          <w:i/>
        </w:rPr>
        <w:t xml:space="preserve"> </w:t>
      </w:r>
      <w:r>
        <w:rPr>
          <w:iCs/>
          <w:i/>
        </w:rPr>
        <w:t xml:space="preserve">As on p. 50, the references and counts in small Kannada numerals were re-read in the second scan; the Śatapatha, Nirukta and Bṛhaddevatā numbers are still marked [?] because the Kannada digits 2/3/7 are hard to tell apart; they must be re-checked against the page before being relied on.)</w:t>
      </w:r>
    </w:p>
    <w:p>
      <w:pPr>
        <w:pStyle w:val="BodyText"/>
      </w:pPr>
      <w:r>
        <w:rPr>
          <w:iCs/>
          <w:i/>
        </w:rPr>
        <w:t xml:space="preserve">(Continuing from p. 50:)</w:t>
      </w:r>
      <w:r>
        <w:t xml:space="preserve"> </w:t>
      </w:r>
      <w:r>
        <w:t xml:space="preserve">…</w:t>
      </w:r>
      <w:r>
        <w:t xml:space="preserve">“</w:t>
      </w:r>
      <w:r>
        <w:t xml:space="preserve">…and from that very word they are addressed (in the vocative).</w:t>
      </w:r>
      <w:r>
        <w:t xml:space="preserve">”</w:t>
      </w:r>
      <w:r>
        <w:t xml:space="preserve"> </w:t>
      </w:r>
      <w:r>
        <w:t xml:space="preserve">In the</w:t>
      </w:r>
      <w:r>
        <w:t xml:space="preserve"> </w:t>
      </w:r>
      <w:r>
        <w:rPr>
          <w:bCs/>
          <w:b/>
        </w:rPr>
        <w:t xml:space="preserve">Śatapatha Brāhmaṇa</w:t>
      </w:r>
      <w:r>
        <w:t xml:space="preserve"> </w:t>
      </w:r>
      <w:r>
        <w:t xml:space="preserve">(3-9-2-6) the Viśvedevas are called the rays of the Sun; in the Śatapatha Brāhmaṇa (14-2-2-37) they are called the vital airs and the like; in the Śatapatha Brāhmaṇa (7-1-1-42) they are called the sacrificial rites; in the Śatapatha Brāhmaṇa (2-4-4-13) they are called Indra and Agni. In the</w:t>
      </w:r>
      <w:r>
        <w:t xml:space="preserve"> </w:t>
      </w:r>
      <w:r>
        <w:rPr>
          <w:bCs/>
          <w:b/>
        </w:rPr>
        <w:t xml:space="preserve">Taittirīya Āraṇyaka</w:t>
      </w:r>
      <w:r>
        <w:t xml:space="preserve"> </w:t>
      </w:r>
      <w:r>
        <w:t xml:space="preserve">(Tai. Ā. 5-1-6), Indra and Agni are praised together with the Viśvedevas.</w:t>
      </w:r>
    </w:p>
    <w:p>
      <w:pPr>
        <w:pStyle w:val="BodyText"/>
      </w:pPr>
      <w:r>
        <w:t xml:space="preserve">In some of the</w:t>
      </w:r>
      <w:r>
        <w:t xml:space="preserve"> </w:t>
      </w:r>
      <w:r>
        <w:rPr>
          <w:bCs/>
          <w:b/>
        </w:rPr>
        <w:t xml:space="preserve">Purāṇas</w:t>
      </w:r>
      <w:r>
        <w:t xml:space="preserve"> </w:t>
      </w:r>
      <w:r>
        <w:t xml:space="preserve">the Viśvedevas are said to be the presiding deities of the directions. In the</w:t>
      </w:r>
      <w:r>
        <w:t xml:space="preserve"> </w:t>
      </w:r>
      <w:r>
        <w:rPr>
          <w:bCs/>
          <w:b/>
        </w:rPr>
        <w:t xml:space="preserve">Nirukta</w:t>
      </w:r>
      <w:r>
        <w:t xml:space="preserve"> </w:t>
      </w:r>
      <w:r>
        <w:t xml:space="preserve">(Ni. 12-39)</w:t>
      </w:r>
      <w:r>
        <w:t xml:space="preserve"> </w:t>
      </w:r>
      <w:r>
        <w:t xml:space="preserve">“</w:t>
      </w:r>
      <w:r>
        <w:t xml:space="preserve">Viśvedevas</w:t>
      </w:r>
      <w:r>
        <w:t xml:space="preserve">”</w:t>
      </w:r>
      <w:r>
        <w:t xml:space="preserve"> </w:t>
      </w:r>
      <w:r>
        <w:t xml:space="preserve">is said to mean all the gods.</w:t>
      </w:r>
      <w:r>
        <w:t xml:space="preserve"> </w:t>
      </w:r>
      <w:r>
        <w:rPr>
          <w:bCs/>
          <w:b/>
        </w:rPr>
        <w:t xml:space="preserve">Durgācārya</w:t>
      </w:r>
      <w:r>
        <w:t xml:space="preserve">, the commentator of the Nirukta, explains</w:t>
      </w:r>
      <w:r>
        <w:t xml:space="preserve"> </w:t>
      </w:r>
      <w:r>
        <w:t xml:space="preserve">“</w:t>
      </w:r>
      <w:r>
        <w:t xml:space="preserve">Viśvedevas</w:t>
      </w:r>
      <w:r>
        <w:t xml:space="preserve">”</w:t>
      </w:r>
      <w:r>
        <w:t xml:space="preserve"> </w:t>
      </w:r>
      <w:r>
        <w:t xml:space="preserve">as the rays of the Sun. Besides stating his own view that</w:t>
      </w:r>
      <w:r>
        <w:t xml:space="preserve"> </w:t>
      </w:r>
      <w:r>
        <w:t xml:space="preserve">“</w:t>
      </w:r>
      <w:r>
        <w:t xml:space="preserve">Viśvedevas</w:t>
      </w:r>
      <w:r>
        <w:t xml:space="preserve">”</w:t>
      </w:r>
      <w:r>
        <w:t xml:space="preserve"> </w:t>
      </w:r>
      <w:r>
        <w:t xml:space="preserve">means all the deities,</w:t>
      </w:r>
      <w:r>
        <w:t xml:space="preserve"> </w:t>
      </w:r>
      <w:r>
        <w:rPr>
          <w:bCs/>
          <w:b/>
        </w:rPr>
        <w:t xml:space="preserve">Yāska</w:t>
      </w:r>
      <w:r>
        <w:t xml:space="preserve"> </w:t>
      </w:r>
      <w:r>
        <w:t xml:space="preserve">also reports the view of Śākapūṇi.</w:t>
      </w:r>
      <w:r>
        <w:t xml:space="preserve"> </w:t>
      </w:r>
      <w:r>
        <w:rPr>
          <w:bCs/>
          <w:b/>
        </w:rPr>
        <w:t xml:space="preserve">Śaunaka</w:t>
      </w:r>
      <w:r>
        <w:t xml:space="preserve">, speaking of the Viśvedevas in his work</w:t>
      </w:r>
      <w:r>
        <w:t xml:space="preserve"> </w:t>
      </w:r>
      <w:r>
        <w:rPr>
          <w:bCs/>
          <w:b/>
        </w:rPr>
        <w:t xml:space="preserve">Bṛhaddevatā</w:t>
      </w:r>
      <w:r>
        <w:t xml:space="preserve"> </w:t>
      </w:r>
      <w:r>
        <w:t xml:space="preserve">(Bṛ. De. 2-128 to 134), says that Yāska and Śāṇḍilya hold that</w:t>
      </w:r>
      <w:r>
        <w:t xml:space="preserve"> </w:t>
      </w:r>
      <w:r>
        <w:t xml:space="preserve">“</w:t>
      </w:r>
      <w:r>
        <w:t xml:space="preserve">Viśvedevāḥ</w:t>
      </w:r>
      <w:r>
        <w:t xml:space="preserve">”</w:t>
      </w:r>
      <w:r>
        <w:t xml:space="preserve"> </w:t>
      </w:r>
      <w:r>
        <w:t xml:space="preserve">means all the deities; Śaunaka’s own view is the same.</w:t>
      </w:r>
    </w:p>
    <w:p>
      <w:pPr>
        <w:pStyle w:val="BodyText"/>
      </w:pPr>
      <w:r>
        <w:rPr>
          <w:bCs/>
          <w:b/>
        </w:rPr>
        <w:t xml:space="preserve">Sāyaṇācārya</w:t>
      </w:r>
      <w:r>
        <w:t xml:space="preserve">, in explaining this Ṛk, has stated his own view that the Viśvedevas are the thirty-one groups of gods, beginning with the Aśvins, who, taken together, are called</w:t>
      </w:r>
      <w:r>
        <w:t xml:space="preserve"> </w:t>
      </w:r>
      <w:r>
        <w:t xml:space="preserve">“</w:t>
      </w:r>
      <w:r>
        <w:t xml:space="preserve">Viśvedevas.</w:t>
      </w:r>
      <w:r>
        <w:t xml:space="preserve">”</w:t>
      </w:r>
    </w:p>
    <w:p>
      <w:pPr>
        <w:pStyle w:val="BodyText"/>
      </w:pPr>
      <w:r>
        <w:t xml:space="preserve">Among Western scholars,</w:t>
      </w:r>
      <w:r>
        <w:t xml:space="preserve"> </w:t>
      </w:r>
      <w:r>
        <w:rPr>
          <w:bCs/>
          <w:b/>
        </w:rPr>
        <w:t xml:space="preserve">Langlois, Kaegi</w:t>
      </w:r>
      <w:r>
        <w:t xml:space="preserve"> </w:t>
      </w:r>
      <w:r>
        <w:t xml:space="preserve">and</w:t>
      </w:r>
      <w:r>
        <w:t xml:space="preserve"> </w:t>
      </w:r>
      <w:r>
        <w:rPr>
          <w:bCs/>
          <w:b/>
        </w:rPr>
        <w:t xml:space="preserve">Hopkins</w:t>
      </w:r>
      <w:r>
        <w:t xml:space="preserve"> </w:t>
      </w:r>
      <w:r>
        <w:t xml:space="preserve">hold that</w:t>
      </w:r>
      <w:r>
        <w:t xml:space="preserve"> </w:t>
      </w:r>
      <w:r>
        <w:t xml:space="preserve">“</w:t>
      </w:r>
      <w:r>
        <w:t xml:space="preserve">Viśvedevas</w:t>
      </w:r>
      <w:r>
        <w:t xml:space="preserve">”</w:t>
      </w:r>
      <w:r>
        <w:t xml:space="preserve"> </w:t>
      </w:r>
      <w:r>
        <w:t xml:space="preserve">means all the deities;</w:t>
      </w:r>
      <w:r>
        <w:t xml:space="preserve"> </w:t>
      </w:r>
      <w:r>
        <w:rPr>
          <w:bCs/>
          <w:b/>
        </w:rPr>
        <w:t xml:space="preserve">Wilson, Griffith</w:t>
      </w:r>
      <w:r>
        <w:t xml:space="preserve"> </w:t>
      </w:r>
      <w:r>
        <w:t xml:space="preserve">and</w:t>
      </w:r>
      <w:r>
        <w:t xml:space="preserve"> </w:t>
      </w:r>
      <w:r>
        <w:rPr>
          <w:bCs/>
          <w:b/>
        </w:rPr>
        <w:t xml:space="preserve">Macdonell</w:t>
      </w:r>
      <w:r>
        <w:t xml:space="preserve"> </w:t>
      </w:r>
      <w:r>
        <w:t xml:space="preserve">accept both senses:</w:t>
      </w:r>
      <w:r>
        <w:t xml:space="preserve"> </w:t>
      </w:r>
      <w:r>
        <w:t xml:space="preserve">“</w:t>
      </w:r>
      <w:r>
        <w:t xml:space="preserve">all the deities,</w:t>
      </w:r>
      <w:r>
        <w:t xml:space="preserve">”</w:t>
      </w:r>
      <w:r>
        <w:t xml:space="preserve"> </w:t>
      </w:r>
      <w:r>
        <w:t xml:space="preserve">and</w:t>
      </w:r>
      <w:r>
        <w:t xml:space="preserve"> </w:t>
      </w:r>
      <w:r>
        <w:t xml:space="preserve">“</w:t>
      </w:r>
      <w:r>
        <w:t xml:space="preserve">a distinct group of deities named Viśvedevas.</w:t>
      </w:r>
      <w:r>
        <w:t xml:space="preserve">”</w:t>
      </w:r>
    </w:p>
    <w:p>
      <w:pPr>
        <w:pStyle w:val="BodyText"/>
      </w:pPr>
      <w:r>
        <w:rPr>
          <w:bCs/>
          <w:b/>
        </w:rPr>
        <w:t xml:space="preserve">The main conclusion.</w:t>
      </w:r>
      <w:r>
        <w:t xml:space="preserve"> </w:t>
      </w:r>
      <w:r>
        <w:t xml:space="preserve">In earlier times — that is, in very ancient times — the sense</w:t>
      </w:r>
      <w:r>
        <w:t xml:space="preserve"> </w:t>
      </w:r>
      <w:r>
        <w:t xml:space="preserve">“</w:t>
      </w:r>
      <w:r>
        <w:t xml:space="preserve">all the deities</w:t>
      </w:r>
      <w:r>
        <w:t xml:space="preserve">”</w:t>
      </w:r>
      <w:r>
        <w:t xml:space="preserve"> </w:t>
      </w:r>
      <w:r>
        <w:t xml:space="preserve">was the established sense of</w:t>
      </w:r>
      <w:r>
        <w:t xml:space="preserve"> </w:t>
      </w:r>
      <w:r>
        <w:t xml:space="preserve">“</w:t>
      </w:r>
      <w:r>
        <w:t xml:space="preserve">Viśvedevas</w:t>
      </w:r>
      <w:r>
        <w:t xml:space="preserve">”</w:t>
      </w:r>
      <w:r>
        <w:t xml:space="preserve">; in the course of time it came into use to understand</w:t>
      </w:r>
      <w:r>
        <w:t xml:space="preserve"> </w:t>
      </w:r>
      <w:r>
        <w:t xml:space="preserve">“</w:t>
      </w:r>
      <w:r>
        <w:t xml:space="preserve">Viśvedevas</w:t>
      </w:r>
      <w:r>
        <w:t xml:space="preserve">”</w:t>
      </w:r>
      <w:r>
        <w:t xml:space="preserve"> </w:t>
      </w:r>
      <w:r>
        <w:t xml:space="preserve">as the name of a distinct group of deities. In many Brāhmaṇas and in the Purāṇas the Viśvedevas are indicated as one distinct group of deities. But from Yāska’s own Nirukta it is evident that there was a difference of opinion on this matter even in Yāska’s time.</w:t>
      </w:r>
    </w:p>
    <w:p>
      <w:pPr>
        <w:pStyle w:val="BodyText"/>
      </w:pPr>
      <w:r>
        <w:rPr>
          <w:bCs/>
          <w:b/>
        </w:rPr>
        <w:t xml:space="preserve">॥ Vyākaraṇa-prakriyā ॥</w:t>
      </w:r>
    </w:p>
    <w:p>
      <w:pPr>
        <w:pStyle w:val="BodyText"/>
      </w:pPr>
      <w:r>
        <w:t xml:space="preserve">“</w:t>
      </w:r>
      <w:r>
        <w:t xml:space="preserve">Avanti iti omāsaḥ</w:t>
      </w:r>
      <w:r>
        <w:t xml:space="preserve">”</w:t>
      </w:r>
      <w:r>
        <w:t xml:space="preserve"> </w:t>
      </w:r>
      <w:r>
        <w:t xml:space="preserve">— because they protect, the gods are called</w:t>
      </w:r>
      <w:r>
        <w:t xml:space="preserve"> </w:t>
      </w:r>
      <w:r>
        <w:t xml:space="preserve">“</w:t>
      </w:r>
      <w:r>
        <w:t xml:space="preserve">omāsaḥ.</w:t>
      </w:r>
      <w:r>
        <w:t xml:space="preserve">”</w:t>
      </w:r>
      <w:r>
        <w:t xml:space="preserve"> </w:t>
      </w:r>
      <w:r>
        <w:t xml:space="preserve">By the Uṇādi-sūtra</w:t>
      </w:r>
      <w:r>
        <w:t xml:space="preserve"> </w:t>
      </w:r>
      <w:r>
        <w:t xml:space="preserve">“</w:t>
      </w:r>
      <w:r>
        <w:rPr>
          <w:bCs/>
          <w:b/>
        </w:rPr>
        <w:t xml:space="preserve">अवि सिवि सि शुषिभ्यः कित्</w:t>
      </w:r>
      <w:r>
        <w:t xml:space="preserve">”</w:t>
      </w:r>
      <w:r>
        <w:t xml:space="preserve"> </w:t>
      </w:r>
      <w:r>
        <w:t xml:space="preserve">(</w:t>
      </w:r>
      <w:r>
        <w:rPr>
          <w:iCs/>
          <w:i/>
        </w:rPr>
        <w:t xml:space="preserve">avi sivi si śuṣibhyaḥ kit</w:t>
      </w:r>
      <w:r>
        <w:t xml:space="preserve">, उ. सू. १-१४१), after the roots</w:t>
      </w:r>
      <w:r>
        <w:t xml:space="preserve"> </w:t>
      </w:r>
      <w:r>
        <w:t xml:space="preserve">“</w:t>
      </w:r>
      <w:r>
        <w:t xml:space="preserve">av</w:t>
      </w:r>
      <w:r>
        <w:t xml:space="preserve">”</w:t>
      </w:r>
      <w:r>
        <w:t xml:space="preserve"> </w:t>
      </w:r>
      <w:r>
        <w:t xml:space="preserve">(to protect, etc.),</w:t>
      </w:r>
      <w:r>
        <w:t xml:space="preserve"> </w:t>
      </w:r>
      <w:r>
        <w:t xml:space="preserve">“</w:t>
      </w:r>
      <w:r>
        <w:t xml:space="preserve">sivu</w:t>
      </w:r>
      <w:r>
        <w:t xml:space="preserve">”</w:t>
      </w:r>
      <w:r>
        <w:t xml:space="preserve"> </w:t>
      </w:r>
      <w:r>
        <w:t xml:space="preserve">[print:</w:t>
      </w:r>
      <w:r>
        <w:t xml:space="preserve"> </w:t>
      </w:r>
      <w:r>
        <w:t xml:space="preserve">“</w:t>
      </w:r>
      <w:r>
        <w:t xml:space="preserve">pivu</w:t>
      </w:r>
      <w:r>
        <w:t xml:space="preserve">”</w:t>
      </w:r>
      <w:r>
        <w:t xml:space="preserve">] (to sew, to weave together),</w:t>
      </w:r>
      <w:r>
        <w:t xml:space="preserve"> </w:t>
      </w:r>
      <w:r>
        <w:t xml:space="preserve">“</w:t>
      </w:r>
      <w:r>
        <w:t xml:space="preserve">ṣiñ</w:t>
      </w:r>
      <w:r>
        <w:t xml:space="preserve">”</w:t>
      </w:r>
      <w:r>
        <w:t xml:space="preserve"> </w:t>
      </w:r>
      <w:r>
        <w:t xml:space="preserve">(to bind) and</w:t>
      </w:r>
      <w:r>
        <w:t xml:space="preserve"> </w:t>
      </w:r>
      <w:r>
        <w:t xml:space="preserve">“</w:t>
      </w:r>
      <w:r>
        <w:t xml:space="preserve">śuṣ</w:t>
      </w:r>
      <w:r>
        <w:t xml:space="preserve">”</w:t>
      </w:r>
      <w:r>
        <w:t xml:space="preserve"> </w:t>
      </w:r>
      <w:r>
        <w:t xml:space="preserve">(to dry up) — roots which the print lists as</w:t>
      </w:r>
      <w:r>
        <w:t xml:space="preserve"> </w:t>
      </w:r>
      <w:r>
        <w:t xml:space="preserve">“</w:t>
      </w:r>
      <w:r>
        <w:t xml:space="preserve">pivu tantu saṃtāne,</w:t>
      </w:r>
      <w:r>
        <w:t xml:space="preserve">”</w:t>
      </w:r>
      <w:r>
        <w:t xml:space="preserve"> </w:t>
      </w:r>
      <w:r>
        <w:t xml:space="preserve">“</w:t>
      </w:r>
      <w:r>
        <w:t xml:space="preserve">ṣiñ bandhane,</w:t>
      </w:r>
      <w:r>
        <w:t xml:space="preserve">”</w:t>
      </w:r>
      <w:r>
        <w:t xml:space="preserve"> </w:t>
      </w:r>
      <w:r>
        <w:t xml:space="preserve">“</w:t>
      </w:r>
      <w:r>
        <w:t xml:space="preserve">śuṣa śoṣaṇe</w:t>
      </w:r>
      <w:r>
        <w:t xml:space="preserve">”</w:t>
      </w:r>
      <w:r>
        <w:t xml:space="preserve"> </w:t>
      </w:r>
      <w:r>
        <w:t xml:space="preserve">— the affix</w:t>
      </w:r>
      <w:r>
        <w:t xml:space="preserve"> </w:t>
      </w:r>
      <w:r>
        <w:t xml:space="preserve">“</w:t>
      </w:r>
      <w:r>
        <w:t xml:space="preserve">man</w:t>
      </w:r>
      <w:r>
        <w:t xml:space="preserve">”</w:t>
      </w:r>
      <w:r>
        <w:t xml:space="preserve"> </w:t>
      </w:r>
      <w:r>
        <w:t xml:space="preserve">comes, and it is</w:t>
      </w:r>
      <w:r>
        <w:t xml:space="preserve"> </w:t>
      </w:r>
      <w:r>
        <w:t xml:space="preserve">“</w:t>
      </w:r>
      <w:r>
        <w:t xml:space="preserve">k</w:t>
      </w:r>
      <w:r>
        <w:t xml:space="preserve">”</w:t>
      </w:r>
      <w:r>
        <w:t xml:space="preserve">-marked (kit); so after the root</w:t>
      </w:r>
      <w:r>
        <w:t xml:space="preserve"> </w:t>
      </w:r>
      <w:r>
        <w:t xml:space="preserve">“</w:t>
      </w:r>
      <w:r>
        <w:t xml:space="preserve">av,</w:t>
      </w:r>
      <w:r>
        <w:t xml:space="preserve">”</w:t>
      </w:r>
      <w:r>
        <w:t xml:space="preserve"> </w:t>
      </w:r>
      <w:r>
        <w:t xml:space="preserve">the affix</w:t>
      </w:r>
      <w:r>
        <w:t xml:space="preserve"> </w:t>
      </w:r>
      <w:r>
        <w:t xml:space="preserve">“</w:t>
      </w:r>
      <w:r>
        <w:t xml:space="preserve">man</w:t>
      </w:r>
      <w:r>
        <w:t xml:space="preserve">”</w:t>
      </w:r>
      <w:r>
        <w:t xml:space="preserve">…</w:t>
      </w:r>
      <w:r>
        <w:t xml:space="preserve"> </w:t>
      </w:r>
      <w:r>
        <w:rPr>
          <w:iCs/>
          <w:i/>
        </w:rPr>
        <w:t xml:space="preserve">(continues on the next page)</w:t>
      </w:r>
    </w:p>
    <w:bookmarkEnd w:id="77"/>
    <w:bookmarkStart w:id="78" w:name="X61d5bd00512fb9910c555ea9c99c256ab2bf4eb"/>
    <w:p>
      <w:pPr>
        <w:pStyle w:val="Heading3"/>
      </w:pPr>
      <w:r>
        <w:t xml:space="preserve">Pages 52–54 — Vyākaraṇa-prakriyā for Rik 3.7 (Kannada), concluded; Saṃhitā and Pada text of Rik 3.8</w:t>
      </w:r>
    </w:p>
    <w:p>
      <w:pPr>
        <w:pStyle w:val="FirstParagraph"/>
      </w:pPr>
      <w:r>
        <w:rPr>
          <w:iCs/>
          <w:i/>
        </w:rPr>
        <w:t xml:space="preserve">(Source pages 52 (even:</w:t>
      </w:r>
      <w:r>
        <w:rPr>
          <w:iCs/>
          <w:i/>
        </w:rPr>
        <w:t xml:space="preserve"> </w:t>
      </w:r>
      <w:r>
        <w:rPr>
          <w:iCs/>
          <w:i/>
        </w:rPr>
        <w:t xml:space="preserve">“</w:t>
      </w:r>
      <w:r>
        <w:rPr>
          <w:iCs/>
          <w:i/>
        </w:rPr>
        <w:t xml:space="preserve">Maṇḍala 1, Anuvāka 1, Sūkta 3</w:t>
      </w:r>
      <w:r>
        <w:rPr>
          <w:iCs/>
          <w:i/>
        </w:rPr>
        <w:t xml:space="preserve">”</w:t>
      </w:r>
      <w:r>
        <w:rPr>
          <w:iCs/>
          <w:i/>
        </w:rPr>
        <w:t xml:space="preserve">), 53 (odd:</w:t>
      </w:r>
      <w:r>
        <w:rPr>
          <w:iCs/>
          <w:i/>
        </w:rPr>
        <w:t xml:space="preserve"> </w:t>
      </w:r>
      <w:r>
        <w:rPr>
          <w:iCs/>
          <w:i/>
        </w:rPr>
        <w:t xml:space="preserve">“</w:t>
      </w:r>
      <w:r>
        <w:rPr>
          <w:iCs/>
          <w:i/>
        </w:rPr>
        <w:t xml:space="preserve">Aṣṭaka 1, Adhyāya 1, Varga 6</w:t>
      </w:r>
      <w:r>
        <w:rPr>
          <w:iCs/>
          <w:i/>
        </w:rPr>
        <w:t xml:space="preserve">”</w:t>
      </w:r>
      <w:r>
        <w:rPr>
          <w:iCs/>
          <w:i/>
        </w:rPr>
        <w:t xml:space="preserve">) and 54 (even). These three pages are</w:t>
      </w:r>
      <w:r>
        <w:rPr>
          <w:iCs/>
          <w:i/>
        </w:rPr>
        <w:t xml:space="preserve"> </w:t>
      </w:r>
      <w:r>
        <w:rPr>
          <w:bCs/>
          <w:b/>
          <w:iCs/>
          <w:i/>
        </w:rPr>
        <w:t xml:space="preserve">pure Pāṇinian grammar in Kannada prose</w:t>
      </w:r>
      <w:r>
        <w:rPr>
          <w:iCs/>
          <w:i/>
        </w:rPr>
        <w:t xml:space="preserve">: the Kannada rendering of the derivations and the accent-debate that Sāyaṇa gave in Sanskrit on pp. 47–48. Per the standing convention they are</w:t>
      </w:r>
      <w:r>
        <w:rPr>
          <w:iCs/>
          <w:i/>
        </w:rPr>
        <w:t xml:space="preserve"> </w:t>
      </w:r>
      <w:r>
        <w:rPr>
          <w:bCs/>
          <w:b/>
          <w:iCs/>
          <w:i/>
        </w:rPr>
        <w:t xml:space="preserve">characterized in order rather than translated line by line</w:t>
      </w:r>
      <w:r>
        <w:rPr>
          <w:iCs/>
          <w:i/>
        </w:rPr>
        <w:t xml:space="preserve">; every sūtra cited is kept in three layers, with its number as printed (small Kannada numerals, read with care but not independently re-verified). Nothing in them alters the sense of the Rik given on p. 48.)</w:t>
      </w:r>
    </w:p>
    <w:p>
      <w:pPr>
        <w:pStyle w:val="BodyText"/>
      </w:pPr>
      <w:r>
        <w:rPr>
          <w:bCs/>
          <w:b/>
        </w:rPr>
        <w:t xml:space="preserve">p. 52 —</w:t>
      </w:r>
      <w:r>
        <w:rPr>
          <w:bCs/>
          <w:b/>
        </w:rPr>
        <w:t xml:space="preserve"> </w:t>
      </w:r>
      <w:r>
        <w:rPr>
          <w:bCs/>
          <w:b/>
        </w:rPr>
        <w:t xml:space="preserve">“</w:t>
      </w:r>
      <w:r>
        <w:rPr>
          <w:bCs/>
          <w:b/>
        </w:rPr>
        <w:t xml:space="preserve">omāsaḥ,</w:t>
      </w:r>
      <w:r>
        <w:rPr>
          <w:bCs/>
          <w:b/>
        </w:rPr>
        <w:t xml:space="preserve">”</w:t>
      </w:r>
      <w:r>
        <w:rPr>
          <w:bCs/>
          <w:b/>
        </w:rPr>
        <w:t xml:space="preserve"> </w:t>
      </w:r>
      <w:r>
        <w:rPr>
          <w:bCs/>
          <w:b/>
        </w:rPr>
        <w:t xml:space="preserve">“</w:t>
      </w:r>
      <w:r>
        <w:rPr>
          <w:bCs/>
          <w:b/>
        </w:rPr>
        <w:t xml:space="preserve">carṣaṇīdhṛtaḥ,</w:t>
      </w:r>
      <w:r>
        <w:rPr>
          <w:bCs/>
          <w:b/>
        </w:rPr>
        <w:t xml:space="preserve">”</w:t>
      </w:r>
      <w:r>
        <w:rPr>
          <w:bCs/>
          <w:b/>
        </w:rPr>
        <w:t xml:space="preserve"> </w:t>
      </w:r>
      <w:r>
        <w:rPr>
          <w:bCs/>
          <w:b/>
        </w:rPr>
        <w:t xml:space="preserve">and the first stage of the accent-debate.</w:t>
      </w:r>
      <w:r>
        <w:t xml:space="preserve"> </w:t>
      </w:r>
      <w:r>
        <w:t xml:space="preserve">-</w:t>
      </w:r>
      <w:r>
        <w:t xml:space="preserve"> </w:t>
      </w:r>
      <w:r>
        <w:rPr>
          <w:bCs/>
          <w:b/>
        </w:rPr>
        <w:t xml:space="preserve">“</w:t>
      </w:r>
      <w:r>
        <w:rPr>
          <w:bCs/>
          <w:b/>
        </w:rPr>
        <w:t xml:space="preserve">Omāsaḥ</w:t>
      </w:r>
      <w:r>
        <w:rPr>
          <w:bCs/>
          <w:b/>
        </w:rPr>
        <w:t xml:space="preserve">”</w:t>
      </w:r>
      <w:r>
        <w:t xml:space="preserve"> </w:t>
      </w:r>
      <w:r>
        <w:t xml:space="preserve">(from</w:t>
      </w:r>
      <w:r>
        <w:t xml:space="preserve"> </w:t>
      </w:r>
      <w:r>
        <w:t xml:space="preserve">“</w:t>
      </w:r>
      <w:r>
        <w:t xml:space="preserve">av,</w:t>
      </w:r>
      <w:r>
        <w:t xml:space="preserve">”</w:t>
      </w:r>
      <w:r>
        <w:t xml:space="preserve"> </w:t>
      </w:r>
      <w:r>
        <w:t xml:space="preserve">to protect): the affix</w:t>
      </w:r>
      <w:r>
        <w:t xml:space="preserve"> </w:t>
      </w:r>
      <w:r>
        <w:t xml:space="preserve">“</w:t>
      </w:r>
      <w:r>
        <w:t xml:space="preserve">man</w:t>
      </w:r>
      <w:r>
        <w:t xml:space="preserve">”</w:t>
      </w:r>
      <w:r>
        <w:t xml:space="preserve"> </w:t>
      </w:r>
      <w:r>
        <w:t xml:space="preserve">comes, and though</w:t>
      </w:r>
      <w:r>
        <w:t xml:space="preserve"> </w:t>
      </w:r>
      <w:r>
        <w:t xml:space="preserve">“</w:t>
      </w:r>
      <w:r>
        <w:t xml:space="preserve">man</w:t>
      </w:r>
      <w:r>
        <w:t xml:space="preserve">”</w:t>
      </w:r>
      <w:r>
        <w:t xml:space="preserve"> </w:t>
      </w:r>
      <w:r>
        <w:t xml:space="preserve">is</w:t>
      </w:r>
      <w:r>
        <w:t xml:space="preserve"> </w:t>
      </w:r>
      <w:r>
        <w:t xml:space="preserve">“</w:t>
      </w:r>
      <w:r>
        <w:t xml:space="preserve">k</w:t>
      </w:r>
      <w:r>
        <w:t xml:space="preserve">”</w:t>
      </w:r>
      <w:r>
        <w:t xml:space="preserve">-marked (which would bar guṇa), guṇa and</w:t>
      </w:r>
      <w:r>
        <w:t xml:space="preserve"> </w:t>
      </w:r>
      <w:r>
        <w:t xml:space="preserve">“</w:t>
      </w:r>
      <w:r>
        <w:t xml:space="preserve">ūṭ</w:t>
      </w:r>
      <w:r>
        <w:t xml:space="preserve">”</w:t>
      </w:r>
      <w:r>
        <w:t xml:space="preserve"> </w:t>
      </w:r>
      <w:r>
        <w:t xml:space="preserve">apply — by</w:t>
      </w:r>
      <w:r>
        <w:t xml:space="preserve"> </w:t>
      </w:r>
      <w:r>
        <w:rPr>
          <w:bCs/>
          <w:b/>
        </w:rPr>
        <w:t xml:space="preserve">ज्वरत्वरस्रिव्यविमवामुपधायाश्च</w:t>
      </w:r>
      <w:r>
        <w:t xml:space="preserve"> </w:t>
      </w:r>
      <w:r>
        <w:t xml:space="preserve">(</w:t>
      </w:r>
      <w:r>
        <w:rPr>
          <w:iCs/>
          <w:i/>
        </w:rPr>
        <w:t xml:space="preserve">jvara-tvara-srivyavi-mavām upadhāyāś ca</w:t>
      </w:r>
      <w:r>
        <w:t xml:space="preserve">, पा. ६-४-२०) the penultimate of the roots</w:t>
      </w:r>
      <w:r>
        <w:t xml:space="preserve"> </w:t>
      </w:r>
      <w:r>
        <w:t xml:space="preserve">“</w:t>
      </w:r>
      <w:r>
        <w:t xml:space="preserve">jvar,</w:t>
      </w:r>
      <w:r>
        <w:t xml:space="preserve">”</w:t>
      </w:r>
      <w:r>
        <w:t xml:space="preserve"> </w:t>
      </w:r>
      <w:r>
        <w:t xml:space="preserve">“</w:t>
      </w:r>
      <w:r>
        <w:t xml:space="preserve">tvar,</w:t>
      </w:r>
      <w:r>
        <w:t xml:space="preserve">”</w:t>
      </w:r>
      <w:r>
        <w:t xml:space="preserve"> </w:t>
      </w:r>
      <w:r>
        <w:t xml:space="preserve">“</w:t>
      </w:r>
      <w:r>
        <w:t xml:space="preserve">sriv,</w:t>
      </w:r>
      <w:r>
        <w:t xml:space="preserve">”</w:t>
      </w:r>
      <w:r>
        <w:t xml:space="preserve"> </w:t>
      </w:r>
      <w:r>
        <w:t xml:space="preserve">“</w:t>
      </w:r>
      <w:r>
        <w:t xml:space="preserve">av,</w:t>
      </w:r>
      <w:r>
        <w:t xml:space="preserve">”</w:t>
      </w:r>
      <w:r>
        <w:t xml:space="preserve"> </w:t>
      </w:r>
      <w:r>
        <w:t xml:space="preserve">“</w:t>
      </w:r>
      <w:r>
        <w:t xml:space="preserve">mav</w:t>
      </w:r>
      <w:r>
        <w:t xml:space="preserve">”</w:t>
      </w:r>
      <w:r>
        <w:t xml:space="preserve"> </w:t>
      </w:r>
      <w:r>
        <w:t xml:space="preserve">is replaced by</w:t>
      </w:r>
      <w:r>
        <w:t xml:space="preserve"> </w:t>
      </w:r>
      <w:r>
        <w:t xml:space="preserve">“</w:t>
      </w:r>
      <w:r>
        <w:t xml:space="preserve">ūṭ</w:t>
      </w:r>
      <w:r>
        <w:t xml:space="preserve">”</w:t>
      </w:r>
      <w:r>
        <w:t xml:space="preserve"> </w:t>
      </w:r>
      <w:r>
        <w:t xml:space="preserve">(also</w:t>
      </w:r>
      <w:r>
        <w:t xml:space="preserve"> </w:t>
      </w:r>
      <w:r>
        <w:t xml:space="preserve">“</w:t>
      </w:r>
      <w:r>
        <w:t xml:space="preserve">kvi,</w:t>
      </w:r>
      <w:r>
        <w:t xml:space="preserve">”</w:t>
      </w:r>
      <w:r>
        <w:t xml:space="preserve"> </w:t>
      </w:r>
      <w:r>
        <w:t xml:space="preserve">“</w:t>
      </w:r>
      <w:r>
        <w:t xml:space="preserve">jhal</w:t>
      </w:r>
      <w:r>
        <w:t xml:space="preserve">”</w:t>
      </w:r>
      <w:r>
        <w:t xml:space="preserve"> </w:t>
      </w:r>
      <w:r>
        <w:t xml:space="preserve">affixes), and the guṇa follows by</w:t>
      </w:r>
      <w:r>
        <w:t xml:space="preserve"> </w:t>
      </w:r>
      <w:r>
        <w:rPr>
          <w:bCs/>
          <w:b/>
        </w:rPr>
        <w:t xml:space="preserve">सार्वधातुकार्धधातुकयोः</w:t>
      </w:r>
      <w:r>
        <w:t xml:space="preserve"> </w:t>
      </w:r>
      <w:r>
        <w:t xml:space="preserve">(</w:t>
      </w:r>
      <w:r>
        <w:rPr>
          <w:iCs/>
          <w:i/>
        </w:rPr>
        <w:t xml:space="preserve">sārvadhātukārdhadhātukayoḥ</w:t>
      </w:r>
      <w:r>
        <w:t xml:space="preserve">, पा. ७-१-८४ [as printed]). Then</w:t>
      </w:r>
      <w:r>
        <w:t xml:space="preserve"> </w:t>
      </w:r>
      <w:r>
        <w:rPr>
          <w:bCs/>
          <w:b/>
        </w:rPr>
        <w:t xml:space="preserve">आज्जसेरसुक्</w:t>
      </w:r>
      <w:r>
        <w:t xml:space="preserve"> </w:t>
      </w:r>
      <w:r>
        <w:t xml:space="preserve">(</w:t>
      </w:r>
      <w:r>
        <w:rPr>
          <w:iCs/>
          <w:i/>
        </w:rPr>
        <w:t xml:space="preserve">āj-jaser asuk</w:t>
      </w:r>
      <w:r>
        <w:t xml:space="preserve">, पा. ७-१-५०) gives</w:t>
      </w:r>
      <w:r>
        <w:t xml:space="preserve"> </w:t>
      </w:r>
      <w:r>
        <w:t xml:space="preserve">“</w:t>
      </w:r>
      <w:r>
        <w:t xml:space="preserve">omāsas</w:t>
      </w:r>
      <w:r>
        <w:t xml:space="preserve">”</w:t>
      </w:r>
      <w:r>
        <w:t xml:space="preserve">; the vocative is acute on its first syllable; hence</w:t>
      </w:r>
      <w:r>
        <w:t xml:space="preserve"> </w:t>
      </w:r>
      <w:r>
        <w:t xml:space="preserve">“</w:t>
      </w:r>
      <w:r>
        <w:t xml:space="preserve">omāsaḥ.</w:t>
      </w:r>
      <w:r>
        <w:t xml:space="preserve">”</w:t>
      </w:r>
      <w:r>
        <w:t xml:space="preserve"> </w:t>
      </w:r>
      <w:r>
        <w:t xml:space="preserve">-</w:t>
      </w:r>
      <w:r>
        <w:t xml:space="preserve"> </w:t>
      </w:r>
      <w:r>
        <w:rPr>
          <w:bCs/>
          <w:b/>
        </w:rPr>
        <w:t xml:space="preserve">“</w:t>
      </w:r>
      <w:r>
        <w:rPr>
          <w:bCs/>
          <w:b/>
        </w:rPr>
        <w:t xml:space="preserve">Carṣaṇayaḥ</w:t>
      </w:r>
      <w:r>
        <w:rPr>
          <w:bCs/>
          <w:b/>
        </w:rPr>
        <w:t xml:space="preserve">”</w:t>
      </w:r>
      <w:r>
        <w:t xml:space="preserve"> </w:t>
      </w:r>
      <w:r>
        <w:t xml:space="preserve">= human beings; the gods</w:t>
      </w:r>
      <w:r>
        <w:t xml:space="preserve"> </w:t>
      </w:r>
      <w:r>
        <w:t xml:space="preserve">“</w:t>
      </w:r>
      <w:r>
        <w:t xml:space="preserve">support them (by giving rain and the like),</w:t>
      </w:r>
      <w:r>
        <w:t xml:space="preserve">”</w:t>
      </w:r>
      <w:r>
        <w:t xml:space="preserve"> </w:t>
      </w:r>
      <w:r>
        <w:t xml:space="preserve">hence</w:t>
      </w:r>
      <w:r>
        <w:t xml:space="preserve"> </w:t>
      </w:r>
      <w:r>
        <w:t xml:space="preserve">“</w:t>
      </w:r>
      <w:r>
        <w:t xml:space="preserve">carṣaṇīdhṛtaḥ.</w:t>
      </w:r>
      <w:r>
        <w:t xml:space="preserve">”</w:t>
      </w:r>
      <w:r>
        <w:t xml:space="preserve"> </w:t>
      </w:r>
      <w:r>
        <w:t xml:space="preserve">-</w:t>
      </w:r>
      <w:r>
        <w:t xml:space="preserve"> </w:t>
      </w:r>
      <w:r>
        <w:rPr>
          <w:bCs/>
          <w:b/>
        </w:rPr>
        <w:t xml:space="preserve">The accent-debate (Kannada rendering of Sanskrit pp. 47–48).</w:t>
      </w:r>
      <w:r>
        <w:t xml:space="preserve"> </w:t>
      </w:r>
      <w:r>
        <w:t xml:space="preserve">“</w:t>
      </w:r>
      <w:r>
        <w:t xml:space="preserve">Omāsaḥ</w:t>
      </w:r>
      <w:r>
        <w:t xml:space="preserve">”</w:t>
      </w:r>
      <w:r>
        <w:t xml:space="preserve"> </w:t>
      </w:r>
      <w:r>
        <w:t xml:space="preserve">is an earlier vocative, a general term; by</w:t>
      </w:r>
      <w:r>
        <w:t xml:space="preserve"> </w:t>
      </w:r>
      <w:r>
        <w:rPr>
          <w:bCs/>
          <w:b/>
        </w:rPr>
        <w:t xml:space="preserve">विभाषितं विशेषवचने बहुवचनम्</w:t>
      </w:r>
      <w:r>
        <w:t xml:space="preserve"> </w:t>
      </w:r>
      <w:r>
        <w:t xml:space="preserve">(</w:t>
      </w:r>
      <w:r>
        <w:rPr>
          <w:iCs/>
          <w:i/>
        </w:rPr>
        <w:t xml:space="preserve">vibhāṣitaṃ viśeṣa-vacane bahuvacanam</w:t>
      </w:r>
      <w:r>
        <w:t xml:space="preserve">, पा. ८-१-७४) it optionally escapes being treated as non-existent. If it is</w:t>
      </w:r>
      <w:r>
        <w:t xml:space="preserve"> </w:t>
      </w:r>
      <w:r>
        <w:rPr>
          <w:iCs/>
          <w:i/>
        </w:rPr>
        <w:t xml:space="preserve">not</w:t>
      </w:r>
      <w:r>
        <w:t xml:space="preserve"> </w:t>
      </w:r>
      <w:r>
        <w:t xml:space="preserve">treated as non-existent,</w:t>
      </w:r>
      <w:r>
        <w:t xml:space="preserve"> </w:t>
      </w:r>
      <w:r>
        <w:t xml:space="preserve">“</w:t>
      </w:r>
      <w:r>
        <w:t xml:space="preserve">omāsaḥ</w:t>
      </w:r>
      <w:r>
        <w:t xml:space="preserve">”</w:t>
      </w:r>
      <w:r>
        <w:t xml:space="preserve"> </w:t>
      </w:r>
      <w:r>
        <w:t xml:space="preserve">is not accented as a pāda-initial and takes the eighth-chapter vocative-grave (aṣṭamika anudātta); the discussion then compares</w:t>
      </w:r>
      <w:r>
        <w:t xml:space="preserve"> </w:t>
      </w:r>
      <w:r>
        <w:rPr>
          <w:bCs/>
          <w:b/>
        </w:rPr>
        <w:t xml:space="preserve">सुबामन्त्रिते पराङ्गवत्स्वरे</w:t>
      </w:r>
      <w:r>
        <w:t xml:space="preserve"> </w:t>
      </w:r>
      <w:r>
        <w:t xml:space="preserve">(</w:t>
      </w:r>
      <w:r>
        <w:rPr>
          <w:iCs/>
          <w:i/>
        </w:rPr>
        <w:t xml:space="preserve">subāmantrite parāṅgavat svare</w:t>
      </w:r>
      <w:r>
        <w:t xml:space="preserve">, पा. २-१-२), the Mahābhāṣya rule</w:t>
      </w:r>
      <w:r>
        <w:t xml:space="preserve"> </w:t>
      </w:r>
      <w:r>
        <w:rPr>
          <w:iCs/>
          <w:i/>
        </w:rPr>
        <w:t xml:space="preserve">“</w:t>
      </w:r>
      <w:r>
        <w:rPr>
          <w:iCs/>
          <w:i/>
        </w:rPr>
        <w:t xml:space="preserve">vatkaraṇaṃ svāśrayam api yathā syāt</w:t>
      </w:r>
      <w:r>
        <w:rPr>
          <w:iCs/>
          <w:i/>
        </w:rPr>
        <w:t xml:space="preserve">”</w:t>
      </w:r>
      <w:r>
        <w:t xml:space="preserve"> </w:t>
      </w:r>
      <w:r>
        <w:t xml:space="preserve">(वत्करणं स्वाश्रयमपि यथा स्यात् — पा. म. ८-१-७२ [as printed]),</w:t>
      </w:r>
      <w:r>
        <w:t xml:space="preserve"> </w:t>
      </w:r>
      <w:r>
        <w:rPr>
          <w:bCs/>
          <w:b/>
        </w:rPr>
        <w:t xml:space="preserve">अनुदात्तं पदमेकवर्जम्</w:t>
      </w:r>
      <w:r>
        <w:t xml:space="preserve"> </w:t>
      </w:r>
      <w:r>
        <w:t xml:space="preserve">(</w:t>
      </w:r>
      <w:r>
        <w:rPr>
          <w:iCs/>
          <w:i/>
        </w:rPr>
        <w:t xml:space="preserve">anudāttaṃ padam ekavarjam</w:t>
      </w:r>
      <w:r>
        <w:t xml:space="preserve">, पा. ६-१-१५८) and the parallel example</w:t>
      </w:r>
      <w:r>
        <w:t xml:space="preserve"> </w:t>
      </w:r>
      <w:r>
        <w:t xml:space="preserve">“</w:t>
      </w:r>
      <w:r>
        <w:t xml:space="preserve">dravatpāṇī śubhaspatī</w:t>
      </w:r>
      <w:r>
        <w:t xml:space="preserve">”</w:t>
      </w:r>
      <w:r>
        <w:t xml:space="preserve"> </w:t>
      </w:r>
      <w:r>
        <w:t xml:space="preserve">(द्रवत्पाणी शुभस्पती), exactly as in the Sanskrit on p. 47. Each time the point is that</w:t>
      </w:r>
      <w:r>
        <w:t xml:space="preserve"> </w:t>
      </w:r>
      <w:r>
        <w:t xml:space="preserve">“</w:t>
      </w:r>
      <w:r>
        <w:t xml:space="preserve">parāṅgavad-bhāva</w:t>
      </w:r>
      <w:r>
        <w:t xml:space="preserve">”</w:t>
      </w:r>
      <w:r>
        <w:t xml:space="preserve"> </w:t>
      </w:r>
      <w:r>
        <w:t xml:space="preserve">(treating the earlier vocative as part of the following word) applies only where the two words are semantically connected (</w:t>
      </w:r>
      <w:r>
        <w:rPr>
          <w:bCs/>
          <w:b/>
        </w:rPr>
        <w:t xml:space="preserve">समर्थः पदविधिः</w:t>
      </w:r>
      <w:r>
        <w:t xml:space="preserve">,</w:t>
      </w:r>
      <w:r>
        <w:t xml:space="preserve"> </w:t>
      </w:r>
      <w:r>
        <w:rPr>
          <w:iCs/>
          <w:i/>
        </w:rPr>
        <w:t xml:space="preserve">samarthaḥ pada-vidhiḥ</w:t>
      </w:r>
      <w:r>
        <w:t xml:space="preserve">, पा. २-१-१).</w:t>
      </w:r>
      <w:r>
        <w:t xml:space="preserve"> </w:t>
      </w:r>
      <w:r>
        <w:t xml:space="preserve">- The page ends in the middle of the argument over</w:t>
      </w:r>
      <w:r>
        <w:t xml:space="preserve"> </w:t>
      </w:r>
      <w:r>
        <w:t xml:space="preserve">“</w:t>
      </w:r>
      <w:r>
        <w:t xml:space="preserve">viśve</w:t>
      </w:r>
      <w:r>
        <w:t xml:space="preserve">”</w:t>
      </w:r>
      <w:r>
        <w:t xml:space="preserve"> </w:t>
      </w:r>
      <w:r>
        <w:t xml:space="preserve">and</w:t>
      </w:r>
      <w:r>
        <w:t xml:space="preserve"> </w:t>
      </w:r>
      <w:r>
        <w:t xml:space="preserve">“</w:t>
      </w:r>
      <w:r>
        <w:t xml:space="preserve">devāsaḥ</w:t>
      </w:r>
      <w:r>
        <w:t xml:space="preserve">”</w:t>
      </w:r>
      <w:r>
        <w:t xml:space="preserve"> </w:t>
      </w:r>
      <w:r>
        <w:t xml:space="preserve">(</w:t>
      </w:r>
      <w:r>
        <w:t xml:space="preserve">“</w:t>
      </w:r>
      <w:r>
        <w:t xml:space="preserve">…in the case of apposition, how would the second pāda-initial</w:t>
      </w:r>
      <w:r>
        <w:t xml:space="preserve"> </w:t>
      </w:r>
      <w:r>
        <w:t xml:space="preserve">‘</w:t>
      </w:r>
      <w:r>
        <w:t xml:space="preserve">ṛtāvṛdhau</w:t>
      </w:r>
      <w:r>
        <w:t xml:space="preserve">’</w:t>
      </w:r>
      <w:r>
        <w:t xml:space="preserve"> </w:t>
      </w:r>
      <w:r>
        <w:t xml:space="preserve">(in the</w:t>
      </w:r>
      <w:r>
        <w:t xml:space="preserve">”</w:t>
      </w:r>
      <w:r>
        <w:t xml:space="preserve">mitrāvaruṇau ṛtāvṛdhau” kind of example) get the acute…“).</w:t>
      </w:r>
    </w:p>
    <w:p>
      <w:pPr>
        <w:pStyle w:val="BodyText"/>
      </w:pPr>
      <w:r>
        <w:rPr>
          <w:bCs/>
          <w:b/>
        </w:rPr>
        <w:t xml:space="preserve">p. 53 — the argument concluded;</w:t>
      </w:r>
      <w:r>
        <w:rPr>
          <w:bCs/>
          <w:b/>
        </w:rPr>
        <w:t xml:space="preserve"> </w:t>
      </w:r>
      <w:r>
        <w:rPr>
          <w:bCs/>
          <w:b/>
        </w:rPr>
        <w:t xml:space="preserve">“</w:t>
      </w:r>
      <w:r>
        <w:rPr>
          <w:bCs/>
          <w:b/>
        </w:rPr>
        <w:t xml:space="preserve">devāsaḥ,</w:t>
      </w:r>
      <w:r>
        <w:rPr>
          <w:bCs/>
          <w:b/>
        </w:rPr>
        <w:t xml:space="preserve">”</w:t>
      </w:r>
      <w:r>
        <w:rPr>
          <w:bCs/>
          <w:b/>
        </w:rPr>
        <w:t xml:space="preserve"> </w:t>
      </w:r>
      <w:r>
        <w:rPr>
          <w:bCs/>
          <w:b/>
        </w:rPr>
        <w:t xml:space="preserve">“</w:t>
      </w:r>
      <w:r>
        <w:rPr>
          <w:bCs/>
          <w:b/>
        </w:rPr>
        <w:t xml:space="preserve">ā gata,</w:t>
      </w:r>
      <w:r>
        <w:rPr>
          <w:bCs/>
          <w:b/>
        </w:rPr>
        <w:t xml:space="preserve">”</w:t>
      </w:r>
      <w:r>
        <w:rPr>
          <w:bCs/>
          <w:b/>
        </w:rPr>
        <w:t xml:space="preserve"> </w:t>
      </w:r>
      <w:r>
        <w:rPr>
          <w:bCs/>
          <w:b/>
        </w:rPr>
        <w:t xml:space="preserve">“</w:t>
      </w:r>
      <w:r>
        <w:rPr>
          <w:bCs/>
          <w:b/>
        </w:rPr>
        <w:t xml:space="preserve">dāśvāṃsaḥ.</w:t>
      </w:r>
      <w:r>
        <w:rPr>
          <w:bCs/>
          <w:b/>
        </w:rPr>
        <w:t xml:space="preserve">”</w:t>
      </w:r>
      <w:r>
        <w:t xml:space="preserve"> </w:t>
      </w:r>
      <w:r>
        <w:t xml:space="preserve">- If there is no apposition (sāmānādhikaraṇya), the prohibition in</w:t>
      </w:r>
      <w:r>
        <w:t xml:space="preserve"> </w:t>
      </w:r>
      <w:r>
        <w:rPr>
          <w:bCs/>
          <w:b/>
        </w:rPr>
        <w:t xml:space="preserve">नामन्त्रिते समानाधिकरणे सामान्यवचनम्</w:t>
      </w:r>
      <w:r>
        <w:t xml:space="preserve"> </w:t>
      </w:r>
      <w:r>
        <w:t xml:space="preserve">(</w:t>
      </w:r>
      <w:r>
        <w:rPr>
          <w:iCs/>
          <w:i/>
        </w:rPr>
        <w:t xml:space="preserve">nāmantrite samānādhikaraṇe sāmānya-vacanam</w:t>
      </w:r>
      <w:r>
        <w:t xml:space="preserve">, पा. ८-१-७३) does not apply, so by</w:t>
      </w:r>
      <w:r>
        <w:t xml:space="preserve"> </w:t>
      </w:r>
      <w:r>
        <w:rPr>
          <w:bCs/>
          <w:b/>
        </w:rPr>
        <w:t xml:space="preserve">आमन्त्रितं पूर्वमविद्यमानवत्</w:t>
      </w:r>
      <w:r>
        <w:t xml:space="preserve"> </w:t>
      </w:r>
      <w:r>
        <w:t xml:space="preserve">(</w:t>
      </w:r>
      <w:r>
        <w:rPr>
          <w:iCs/>
          <w:i/>
        </w:rPr>
        <w:t xml:space="preserve">āmantritaṃ pūrvam avidyamānavat</w:t>
      </w:r>
      <w:r>
        <w:t xml:space="preserve">, पा. ८-१-७२) the earlier vocative is treated as non-existent, and</w:t>
      </w:r>
      <w:r>
        <w:t xml:space="preserve"> </w:t>
      </w:r>
      <w:r>
        <w:t xml:space="preserve">“</w:t>
      </w:r>
      <w:r>
        <w:t xml:space="preserve">subāmantrite parāṅgavat svare</w:t>
      </w:r>
      <w:r>
        <w:t xml:space="preserve">”</w:t>
      </w:r>
      <w:r>
        <w:t xml:space="preserve"> </w:t>
      </w:r>
      <w:r>
        <w:t xml:space="preserve">does not apply; hence</w:t>
      </w:r>
      <w:r>
        <w:t xml:space="preserve"> </w:t>
      </w:r>
      <w:r>
        <w:t xml:space="preserve">“</w:t>
      </w:r>
      <w:r>
        <w:t xml:space="preserve">viśve</w:t>
      </w:r>
      <w:r>
        <w:t xml:space="preserve">”</w:t>
      </w:r>
      <w:r>
        <w:t xml:space="preserve"> </w:t>
      </w:r>
      <w:r>
        <w:t xml:space="preserve">keeps its pāda-initial accent and is acute, with no aṣṭamika-anudātta.</w:t>
      </w:r>
      <w:r>
        <w:t xml:space="preserve"> </w:t>
      </w:r>
      <w:r>
        <w:rPr>
          <w:bCs/>
          <w:b/>
        </w:rPr>
        <w:t xml:space="preserve">“</w:t>
      </w:r>
      <w:r>
        <w:rPr>
          <w:bCs/>
          <w:b/>
        </w:rPr>
        <w:t xml:space="preserve">Devāsaḥ</w:t>
      </w:r>
      <w:r>
        <w:rPr>
          <w:bCs/>
          <w:b/>
        </w:rPr>
        <w:t xml:space="preserve">”</w:t>
      </w:r>
      <w:r>
        <w:t xml:space="preserve"> </w:t>
      </w:r>
      <w:r>
        <w:t xml:space="preserve">is the qualifier of</w:t>
      </w:r>
      <w:r>
        <w:t xml:space="preserve"> </w:t>
      </w:r>
      <w:r>
        <w:t xml:space="preserve">“</w:t>
      </w:r>
      <w:r>
        <w:t xml:space="preserve">viśve,</w:t>
      </w:r>
      <w:r>
        <w:t xml:space="preserve">”</w:t>
      </w:r>
      <w:r>
        <w:t xml:space="preserve"> </w:t>
      </w:r>
      <w:r>
        <w:t xml:space="preserve">from</w:t>
      </w:r>
      <w:r>
        <w:t xml:space="preserve"> </w:t>
      </w:r>
      <w:r>
        <w:t xml:space="preserve">“</w:t>
      </w:r>
      <w:r>
        <w:t xml:space="preserve">divyanti iti devāḥ</w:t>
      </w:r>
      <w:r>
        <w:t xml:space="preserve">”</w:t>
      </w:r>
      <w:r>
        <w:t xml:space="preserve"> </w:t>
      </w:r>
      <w:r>
        <w:t xml:space="preserve">(</w:t>
      </w:r>
      <w:r>
        <w:t xml:space="preserve">“</w:t>
      </w:r>
      <w:r>
        <w:t xml:space="preserve">those who shine</w:t>
      </w:r>
      <w:r>
        <w:t xml:space="preserve">”</w:t>
      </w:r>
      <w:r>
        <w:t xml:space="preserve">). The earlier objection — that, by the Paribhāṣā</w:t>
      </w:r>
      <w:r>
        <w:t xml:space="preserve"> </w:t>
      </w:r>
      <w:r>
        <w:t xml:space="preserve">“</w:t>
      </w:r>
      <w:r>
        <w:t xml:space="preserve">avayava-śakteḥ samudāya-śaktir balīyasī</w:t>
      </w:r>
      <w:r>
        <w:t xml:space="preserve">”</w:t>
      </w:r>
      <w:r>
        <w:t xml:space="preserve"> </w:t>
      </w:r>
      <w:r>
        <w:t xml:space="preserve">(परि. ९८), the conventional sense of</w:t>
      </w:r>
      <w:r>
        <w:t xml:space="preserve"> </w:t>
      </w:r>
      <w:r>
        <w:t xml:space="preserve">“</w:t>
      </w:r>
      <w:r>
        <w:t xml:space="preserve">deva</w:t>
      </w:r>
      <w:r>
        <w:t xml:space="preserve">”</w:t>
      </w:r>
      <w:r>
        <w:t xml:space="preserve"> </w:t>
      </w:r>
      <w:r>
        <w:t xml:space="preserve">should override the etymological one — is answered by saying that if the conventional sense were taken,</w:t>
      </w:r>
      <w:r>
        <w:t xml:space="preserve"> </w:t>
      </w:r>
      <w:r>
        <w:t xml:space="preserve">“</w:t>
      </w:r>
      <w:r>
        <w:t xml:space="preserve">deva</w:t>
      </w:r>
      <w:r>
        <w:t xml:space="preserve">”</w:t>
      </w:r>
      <w:r>
        <w:t xml:space="preserve"> </w:t>
      </w:r>
      <w:r>
        <w:t xml:space="preserve">would be a general term, and</w:t>
      </w:r>
      <w:r>
        <w:t xml:space="preserve"> </w:t>
      </w:r>
      <w:r>
        <w:t xml:space="preserve">“</w:t>
      </w:r>
      <w:r>
        <w:t xml:space="preserve">viśve</w:t>
      </w:r>
      <w:r>
        <w:t xml:space="preserve">”</w:t>
      </w:r>
      <w:r>
        <w:t xml:space="preserve"> </w:t>
      </w:r>
      <w:r>
        <w:t xml:space="preserve">could not be given its distinct-class sense; the paribhāṣā rests, the print says, on a maxim about the</w:t>
      </w:r>
      <w:r>
        <w:t xml:space="preserve"> </w:t>
      </w:r>
      <w:r>
        <w:t xml:space="preserve">“</w:t>
      </w:r>
      <w:r>
        <w:t xml:space="preserve">delayed understanding</w:t>
      </w:r>
      <w:r>
        <w:t xml:space="preserve">”</w:t>
      </w:r>
      <w:r>
        <w:t xml:space="preserve"> </w:t>
      </w:r>
      <w:r>
        <w:t xml:space="preserve">(viḷambita-dhī) that the etymological sense would cause [the maxim’s wording is unclear in the print, so I do not quote it]. The conclusion stated: the etymological sense (</w:t>
      </w:r>
      <w:r>
        <w:t xml:space="preserve">“</w:t>
      </w:r>
      <w:r>
        <w:t xml:space="preserve">shining ones</w:t>
      </w:r>
      <w:r>
        <w:t xml:space="preserve">”</w:t>
      </w:r>
      <w:r>
        <w:t xml:space="preserve">) is to be taken here.</w:t>
      </w:r>
      <w:r>
        <w:t xml:space="preserve"> </w:t>
      </w:r>
      <w:r>
        <w:t xml:space="preserve">“</w:t>
      </w:r>
      <w:r>
        <w:t xml:space="preserve">Devāsaḥ</w:t>
      </w:r>
      <w:r>
        <w:t xml:space="preserve">”</w:t>
      </w:r>
      <w:r>
        <w:t xml:space="preserve"> </w:t>
      </w:r>
      <w:r>
        <w:t xml:space="preserve">gets its</w:t>
      </w:r>
      <w:r>
        <w:t xml:space="preserve"> </w:t>
      </w:r>
      <w:r>
        <w:t xml:space="preserve">“</w:t>
      </w:r>
      <w:r>
        <w:t xml:space="preserve">-asaḥ</w:t>
      </w:r>
      <w:r>
        <w:t xml:space="preserve">”</w:t>
      </w:r>
      <w:r>
        <w:t xml:space="preserve"> </w:t>
      </w:r>
      <w:r>
        <w:t xml:space="preserve">by</w:t>
      </w:r>
      <w:r>
        <w:t xml:space="preserve"> </w:t>
      </w:r>
      <w:r>
        <w:rPr>
          <w:bCs/>
          <w:b/>
        </w:rPr>
        <w:t xml:space="preserve">आज्जसेरसुक्</w:t>
      </w:r>
      <w:r>
        <w:t xml:space="preserve"> </w:t>
      </w:r>
      <w:r>
        <w:t xml:space="preserve">(</w:t>
      </w:r>
      <w:r>
        <w:rPr>
          <w:iCs/>
          <w:i/>
        </w:rPr>
        <w:t xml:space="preserve">āj-jaser asuk</w:t>
      </w:r>
      <w:r>
        <w:t xml:space="preserve">, पा. ७-१-५०).</w:t>
      </w:r>
      <w:r>
        <w:t xml:space="preserve"> </w:t>
      </w:r>
      <w:r>
        <w:t xml:space="preserve">-</w:t>
      </w:r>
      <w:r>
        <w:t xml:space="preserve"> </w:t>
      </w:r>
      <w:r>
        <w:rPr>
          <w:bCs/>
          <w:b/>
        </w:rPr>
        <w:t xml:space="preserve">“</w:t>
      </w:r>
      <w:r>
        <w:rPr>
          <w:bCs/>
          <w:b/>
        </w:rPr>
        <w:t xml:space="preserve">Ā gata</w:t>
      </w:r>
      <w:r>
        <w:rPr>
          <w:bCs/>
          <w:b/>
        </w:rPr>
        <w:t xml:space="preserve">”</w:t>
      </w:r>
      <w:r>
        <w:t xml:space="preserve"> </w:t>
      </w:r>
      <w:r>
        <w:t xml:space="preserve">(=</w:t>
      </w:r>
      <w:r>
        <w:t xml:space="preserve"> </w:t>
      </w:r>
      <w:r>
        <w:t xml:space="preserve">“</w:t>
      </w:r>
      <w:r>
        <w:t xml:space="preserve">āgacchata</w:t>
      </w:r>
      <w:r>
        <w:t xml:space="preserve">”</w:t>
      </w:r>
      <w:r>
        <w:t xml:space="preserve">): from</w:t>
      </w:r>
      <w:r>
        <w:t xml:space="preserve"> </w:t>
      </w:r>
      <w:r>
        <w:t xml:space="preserve">“</w:t>
      </w:r>
      <w:r>
        <w:t xml:space="preserve">ā</w:t>
      </w:r>
      <w:r>
        <w:t xml:space="preserve">”</w:t>
      </w:r>
      <w:r>
        <w:t xml:space="preserve"> </w:t>
      </w:r>
      <w:r>
        <w:t xml:space="preserve">+</w:t>
      </w:r>
      <w:r>
        <w:t xml:space="preserve"> </w:t>
      </w:r>
      <w:r>
        <w:t xml:space="preserve">“</w:t>
      </w:r>
      <w:r>
        <w:t xml:space="preserve">gam</w:t>
      </w:r>
      <w:r>
        <w:t xml:space="preserve">”</w:t>
      </w:r>
      <w:r>
        <w:t xml:space="preserve">; the imperative second-person-plural ending</w:t>
      </w:r>
      <w:r>
        <w:t xml:space="preserve"> </w:t>
      </w:r>
      <w:r>
        <w:t xml:space="preserve">“</w:t>
      </w:r>
      <w:r>
        <w:t xml:space="preserve">tha</w:t>
      </w:r>
      <w:r>
        <w:t xml:space="preserve">”</w:t>
      </w:r>
      <w:r>
        <w:t xml:space="preserve"> </w:t>
      </w:r>
      <w:r>
        <w:t xml:space="preserve">is replaced by</w:t>
      </w:r>
      <w:r>
        <w:t xml:space="preserve"> </w:t>
      </w:r>
      <w:r>
        <w:t xml:space="preserve">“</w:t>
      </w:r>
      <w:r>
        <w:t xml:space="preserve">ta</w:t>
      </w:r>
      <w:r>
        <w:t xml:space="preserve">”</w:t>
      </w:r>
      <w:r>
        <w:t xml:space="preserve"> </w:t>
      </w:r>
      <w:r>
        <w:t xml:space="preserve">by</w:t>
      </w:r>
      <w:r>
        <w:t xml:space="preserve"> </w:t>
      </w:r>
      <w:r>
        <w:rPr>
          <w:bCs/>
          <w:b/>
        </w:rPr>
        <w:t xml:space="preserve">तस्थस्थमिपां तां तं तामः</w:t>
      </w:r>
      <w:r>
        <w:t xml:space="preserve"> </w:t>
      </w:r>
      <w:r>
        <w:t xml:space="preserve">(</w:t>
      </w:r>
      <w:r>
        <w:rPr>
          <w:iCs/>
          <w:i/>
        </w:rPr>
        <w:t xml:space="preserve">tasthasthamipāṃ tāṃtaṃtāmaḥ</w:t>
      </w:r>
      <w:r>
        <w:t xml:space="preserve">, पा. ४-१-१ [as printed]);</w:t>
      </w:r>
      <w:r>
        <w:t xml:space="preserve"> </w:t>
      </w:r>
      <w:r>
        <w:t xml:space="preserve">“</w:t>
      </w:r>
      <w:r>
        <w:t xml:space="preserve">śap</w:t>
      </w:r>
      <w:r>
        <w:t xml:space="preserve">”</w:t>
      </w:r>
      <w:r>
        <w:t xml:space="preserve"> </w:t>
      </w:r>
      <w:r>
        <w:t xml:space="preserve">by</w:t>
      </w:r>
      <w:r>
        <w:t xml:space="preserve"> </w:t>
      </w:r>
      <w:r>
        <w:rPr>
          <w:bCs/>
          <w:b/>
        </w:rPr>
        <w:t xml:space="preserve">कर्तरि शप्</w:t>
      </w:r>
      <w:r>
        <w:t xml:space="preserve"> </w:t>
      </w:r>
      <w:r>
        <w:t xml:space="preserve">(</w:t>
      </w:r>
      <w:r>
        <w:rPr>
          <w:iCs/>
          <w:i/>
        </w:rPr>
        <w:t xml:space="preserve">kartari śap</w:t>
      </w:r>
      <w:r>
        <w:t xml:space="preserve">, पा. ६-१-६८ [as printed]) is elided by</w:t>
      </w:r>
      <w:r>
        <w:t xml:space="preserve"> </w:t>
      </w:r>
      <w:r>
        <w:rPr>
          <w:bCs/>
          <w:b/>
        </w:rPr>
        <w:t xml:space="preserve">बहुलं छन्दसि</w:t>
      </w:r>
      <w:r>
        <w:t xml:space="preserve"> </w:t>
      </w:r>
      <w:r>
        <w:t xml:space="preserve">(</w:t>
      </w:r>
      <w:r>
        <w:rPr>
          <w:iCs/>
          <w:i/>
        </w:rPr>
        <w:t xml:space="preserve">bahulaṃ chandasi</w:t>
      </w:r>
      <w:r>
        <w:t xml:space="preserve">, पा. २-४-७३); the</w:t>
      </w:r>
      <w:r>
        <w:t xml:space="preserve"> </w:t>
      </w:r>
      <w:r>
        <w:t xml:space="preserve">“</w:t>
      </w:r>
      <w:r>
        <w:t xml:space="preserve">m</w:t>
      </w:r>
      <w:r>
        <w:t xml:space="preserve">”</w:t>
      </w:r>
      <w:r>
        <w:t xml:space="preserve"> </w:t>
      </w:r>
      <w:r>
        <w:t xml:space="preserve">of</w:t>
      </w:r>
      <w:r>
        <w:t xml:space="preserve"> </w:t>
      </w:r>
      <w:r>
        <w:t xml:space="preserve">“</w:t>
      </w:r>
      <w:r>
        <w:t xml:space="preserve">gam</w:t>
      </w:r>
      <w:r>
        <w:t xml:space="preserve">”</w:t>
      </w:r>
      <w:r>
        <w:t xml:space="preserve"> </w:t>
      </w:r>
      <w:r>
        <w:t xml:space="preserve">is dropped by</w:t>
      </w:r>
      <w:r>
        <w:t xml:space="preserve"> </w:t>
      </w:r>
      <w:r>
        <w:rPr>
          <w:bCs/>
          <w:b/>
        </w:rPr>
        <w:t xml:space="preserve">अनुदात्तोपदेशवनतितनोत्यादीनामनुनासिकलोपो झलि क्ङिति</w:t>
      </w:r>
      <w:r>
        <w:t xml:space="preserve"> </w:t>
      </w:r>
      <w:r>
        <w:t xml:space="preserve">(</w:t>
      </w:r>
      <w:r>
        <w:rPr>
          <w:iCs/>
          <w:i/>
        </w:rPr>
        <w:t xml:space="preserve">anudāttopadeśa-vanati-tanotyādīnām anunāsika-lopo jhali kṅiti</w:t>
      </w:r>
      <w:r>
        <w:t xml:space="preserve">, पा. ६-४-३७) →</w:t>
      </w:r>
      <w:r>
        <w:t xml:space="preserve"> </w:t>
      </w:r>
      <w:r>
        <w:t xml:space="preserve">“</w:t>
      </w:r>
      <w:r>
        <w:t xml:space="preserve">gata</w:t>
      </w:r>
      <w:r>
        <w:t xml:space="preserve">”</w:t>
      </w:r>
      <w:r>
        <w:t xml:space="preserve">; since</w:t>
      </w:r>
      <w:r>
        <w:t xml:space="preserve"> </w:t>
      </w:r>
      <w:r>
        <w:t xml:space="preserve">“</w:t>
      </w:r>
      <w:r>
        <w:t xml:space="preserve">ā</w:t>
      </w:r>
      <w:r>
        <w:t xml:space="preserve">”</w:t>
      </w:r>
      <w:r>
        <w:t xml:space="preserve"> </w:t>
      </w:r>
      <w:r>
        <w:t xml:space="preserve">is a particle placed before it,</w:t>
      </w:r>
      <w:r>
        <w:t xml:space="preserve"> </w:t>
      </w:r>
      <w:r>
        <w:t xml:space="preserve">“</w:t>
      </w:r>
      <w:r>
        <w:t xml:space="preserve">gata</w:t>
      </w:r>
      <w:r>
        <w:t xml:space="preserve">”</w:t>
      </w:r>
      <w:r>
        <w:t xml:space="preserve"> </w:t>
      </w:r>
      <w:r>
        <w:t xml:space="preserve">takes nighāta (loss of accent) as a word following another.</w:t>
      </w:r>
      <w:r>
        <w:t xml:space="preserve"> </w:t>
      </w:r>
      <w:r>
        <w:t xml:space="preserve">-</w:t>
      </w:r>
      <w:r>
        <w:t xml:space="preserve"> </w:t>
      </w:r>
      <w:r>
        <w:rPr>
          <w:bCs/>
          <w:b/>
        </w:rPr>
        <w:t xml:space="preserve">“</w:t>
      </w:r>
      <w:r>
        <w:rPr>
          <w:bCs/>
          <w:b/>
        </w:rPr>
        <w:t xml:space="preserve">Dāśvāṃsaḥ</w:t>
      </w:r>
      <w:r>
        <w:rPr>
          <w:bCs/>
          <w:b/>
        </w:rPr>
        <w:t xml:space="preserve">”</w:t>
      </w:r>
      <w:r>
        <w:t xml:space="preserve">: root</w:t>
      </w:r>
      <w:r>
        <w:t xml:space="preserve"> </w:t>
      </w:r>
      <w:r>
        <w:t xml:space="preserve">“</w:t>
      </w:r>
      <w:r>
        <w:t xml:space="preserve">dāś</w:t>
      </w:r>
      <w:r>
        <w:t xml:space="preserve">”</w:t>
      </w:r>
      <w:r>
        <w:t xml:space="preserve"> </w:t>
      </w:r>
      <w:r>
        <w:t xml:space="preserve">(to give); the participle-affix</w:t>
      </w:r>
      <w:r>
        <w:t xml:space="preserve"> </w:t>
      </w:r>
      <w:r>
        <w:t xml:space="preserve">“</w:t>
      </w:r>
      <w:r>
        <w:t xml:space="preserve">kvasu</w:t>
      </w:r>
      <w:r>
        <w:t xml:space="preserve">”</w:t>
      </w:r>
      <w:r>
        <w:t xml:space="preserve">; by</w:t>
      </w:r>
      <w:r>
        <w:t xml:space="preserve"> </w:t>
      </w:r>
      <w:r>
        <w:rPr>
          <w:bCs/>
          <w:b/>
        </w:rPr>
        <w:t xml:space="preserve">आर्धधातुकस्येड्वलादेः</w:t>
      </w:r>
      <w:r>
        <w:t xml:space="preserve"> </w:t>
      </w:r>
      <w:r>
        <w:t xml:space="preserve">(</w:t>
      </w:r>
      <w:r>
        <w:rPr>
          <w:iCs/>
          <w:i/>
        </w:rPr>
        <w:t xml:space="preserve">ārdhadhātukasyeḍ valādeḥ</w:t>
      </w:r>
      <w:r>
        <w:t xml:space="preserve">, पा. ७-२-३५) the</w:t>
      </w:r>
      <w:r>
        <w:t xml:space="preserve"> </w:t>
      </w:r>
      <w:r>
        <w:t xml:space="preserve">“</w:t>
      </w:r>
      <w:r>
        <w:t xml:space="preserve">iṭ</w:t>
      </w:r>
      <w:r>
        <w:t xml:space="preserve">”</w:t>
      </w:r>
      <w:r>
        <w:t xml:space="preserve"> </w:t>
      </w:r>
      <w:r>
        <w:t xml:space="preserve">would come to the</w:t>
      </w:r>
      <w:r>
        <w:t xml:space="preserve"> </w:t>
      </w:r>
      <w:r>
        <w:t xml:space="preserve">“</w:t>
      </w:r>
      <w:r>
        <w:t xml:space="preserve">vasu</w:t>
      </w:r>
      <w:r>
        <w:t xml:space="preserve">”</w:t>
      </w:r>
      <w:r>
        <w:t xml:space="preserve"> </w:t>
      </w:r>
      <w:r>
        <w:t xml:space="preserve">(a</w:t>
      </w:r>
      <w:r>
        <w:t xml:space="preserve"> </w:t>
      </w:r>
      <w:r>
        <w:t xml:space="preserve">“</w:t>
      </w:r>
      <w:r>
        <w:t xml:space="preserve">val</w:t>
      </w:r>
      <w:r>
        <w:t xml:space="preserve">”</w:t>
      </w:r>
      <w:r>
        <w:t xml:space="preserve">-initial affix), but the</w:t>
      </w:r>
      <w:r>
        <w:t xml:space="preserve"> </w:t>
      </w:r>
      <w:r>
        <w:t xml:space="preserve">“</w:t>
      </w:r>
      <w:r>
        <w:t xml:space="preserve">kṛ-sṛ-bhṛ-vṛ-stu-dru-śru</w:t>
      </w:r>
      <w:r>
        <w:t xml:space="preserve">”</w:t>
      </w:r>
      <w:r>
        <w:t xml:space="preserve"> </w:t>
      </w:r>
      <w:r>
        <w:t xml:space="preserve">group-rule</w:t>
      </w:r>
      <w:r>
        <w:t xml:space="preserve"> </w:t>
      </w:r>
      <w:r>
        <w:rPr>
          <w:bCs/>
          <w:b/>
        </w:rPr>
        <w:t xml:space="preserve">कृसृभृवृस्तुद्रुश्रुवो लिटि</w:t>
      </w:r>
      <w:r>
        <w:t xml:space="preserve"> </w:t>
      </w:r>
      <w:r>
        <w:t xml:space="preserve">(</w:t>
      </w:r>
      <w:r>
        <w:rPr>
          <w:iCs/>
          <w:i/>
        </w:rPr>
        <w:t xml:space="preserve">kṛ-sṛ-bhṛ-vṛ-stu-dru-śru-vo liṭi</w:t>
      </w:r>
      <w:r>
        <w:t xml:space="preserve">, पा. ७-२-१३) restricts</w:t>
      </w:r>
      <w:r>
        <w:t xml:space="preserve"> </w:t>
      </w:r>
      <w:r>
        <w:t xml:space="preserve">“</w:t>
      </w:r>
      <w:r>
        <w:t xml:space="preserve">iṭ</w:t>
      </w:r>
      <w:r>
        <w:t xml:space="preserve">”</w:t>
      </w:r>
      <w:r>
        <w:t xml:space="preserve"> </w:t>
      </w:r>
      <w:r>
        <w:t xml:space="preserve">in the</w:t>
      </w:r>
      <w:r>
        <w:t xml:space="preserve"> </w:t>
      </w:r>
      <w:r>
        <w:t xml:space="preserve">“</w:t>
      </w:r>
      <w:r>
        <w:t xml:space="preserve">liṭ</w:t>
      </w:r>
      <w:r>
        <w:t xml:space="preserve">”</w:t>
      </w:r>
      <w:r>
        <w:t xml:space="preserve"> </w:t>
      </w:r>
      <w:r>
        <w:t xml:space="preserve">to those roots, and</w:t>
      </w:r>
      <w:r>
        <w:t xml:space="preserve"> </w:t>
      </w:r>
      <w:r>
        <w:t xml:space="preserve">“</w:t>
      </w:r>
      <w:r>
        <w:t xml:space="preserve">dāś</w:t>
      </w:r>
      <w:r>
        <w:t xml:space="preserve">”</w:t>
      </w:r>
      <w:r>
        <w:t xml:space="preserve"> </w:t>
      </w:r>
      <w:r>
        <w:t xml:space="preserve">is not among them…</w:t>
      </w:r>
      <w:r>
        <w:t xml:space="preserve"> </w:t>
      </w:r>
      <w:r>
        <w:rPr>
          <w:iCs/>
          <w:i/>
        </w:rPr>
        <w:t xml:space="preserve">(continues p. 54)</w:t>
      </w:r>
    </w:p>
    <w:p>
      <w:pPr>
        <w:pStyle w:val="BodyText"/>
      </w:pPr>
      <w:r>
        <w:rPr>
          <w:iCs/>
          <w:i/>
        </w:rPr>
        <w:t xml:space="preserve">(Printed references on this page, in order (Oct 2026 numeral pass): Pā. 8-1-73; 8-1-72; 8-1-74; 7-1-50; 4-1-1 [as printed]; 6-1-68 [as printed]; 2-4-73; 6-4-37; 0-2-107 [as printed] (kvasuś ca); 7-2-35; 7-2-8 (neḍ vaśi kṛti); 7-2-13.)</w:t>
      </w:r>
    </w:p>
    <w:p>
      <w:pPr>
        <w:pStyle w:val="BodyText"/>
      </w:pPr>
      <w:r>
        <w:rPr>
          <w:bCs/>
          <w:b/>
        </w:rPr>
        <w:t xml:space="preserve">p. 54 —</w:t>
      </w:r>
      <w:r>
        <w:rPr>
          <w:bCs/>
          <w:b/>
        </w:rPr>
        <w:t xml:space="preserve"> </w:t>
      </w:r>
      <w:r>
        <w:rPr>
          <w:bCs/>
          <w:b/>
        </w:rPr>
        <w:t xml:space="preserve">“</w:t>
      </w:r>
      <w:r>
        <w:rPr>
          <w:bCs/>
          <w:b/>
        </w:rPr>
        <w:t xml:space="preserve">dāśvāṃsaḥ</w:t>
      </w:r>
      <w:r>
        <w:rPr>
          <w:bCs/>
          <w:b/>
        </w:rPr>
        <w:t xml:space="preserve">”</w:t>
      </w:r>
      <w:r>
        <w:rPr>
          <w:bCs/>
          <w:b/>
        </w:rPr>
        <w:t xml:space="preserve"> </w:t>
      </w:r>
      <w:r>
        <w:rPr>
          <w:bCs/>
          <w:b/>
        </w:rPr>
        <w:t xml:space="preserve">concluded;</w:t>
      </w:r>
      <w:r>
        <w:rPr>
          <w:bCs/>
          <w:b/>
        </w:rPr>
        <w:t xml:space="preserve"> </w:t>
      </w:r>
      <w:r>
        <w:rPr>
          <w:bCs/>
          <w:b/>
        </w:rPr>
        <w:t xml:space="preserve">“</w:t>
      </w:r>
      <w:r>
        <w:rPr>
          <w:bCs/>
          <w:b/>
        </w:rPr>
        <w:t xml:space="preserve">dāśuṣe.</w:t>
      </w:r>
      <w:r>
        <w:rPr>
          <w:bCs/>
          <w:b/>
        </w:rPr>
        <w:t xml:space="preserve">”</w:t>
      </w:r>
      <w:r>
        <w:t xml:space="preserve"> </w:t>
      </w:r>
      <w:r>
        <w:rPr>
          <w:iCs/>
          <w:i/>
        </w:rPr>
        <w:t xml:space="preserve">(continuing)</w:t>
      </w:r>
      <w:r>
        <w:t xml:space="preserve"> </w:t>
      </w:r>
      <w:r>
        <w:t xml:space="preserve">…so</w:t>
      </w:r>
      <w:r>
        <w:t xml:space="preserve"> </w:t>
      </w:r>
      <w:r>
        <w:t xml:space="preserve">“</w:t>
      </w:r>
      <w:r>
        <w:t xml:space="preserve">iṭ</w:t>
      </w:r>
      <w:r>
        <w:t xml:space="preserve">”</w:t>
      </w:r>
      <w:r>
        <w:t xml:space="preserve"> </w:t>
      </w:r>
      <w:r>
        <w:t xml:space="preserve">does not occur; but since Pāṇini’s own</w:t>
      </w:r>
      <w:r>
        <w:t xml:space="preserve"> </w:t>
      </w:r>
      <w:r>
        <w:rPr>
          <w:bCs/>
          <w:b/>
        </w:rPr>
        <w:t xml:space="preserve">दाश्वान्साह्वान्मीढ्वांश्च</w:t>
      </w:r>
      <w:r>
        <w:t xml:space="preserve"> </w:t>
      </w:r>
      <w:r>
        <w:t xml:space="preserve">(</w:t>
      </w:r>
      <w:r>
        <w:rPr>
          <w:iCs/>
          <w:i/>
        </w:rPr>
        <w:t xml:space="preserve">dāśvān sāhvān mīḍhvāṃś ca</w:t>
      </w:r>
      <w:r>
        <w:t xml:space="preserve">, पा. ६-१-१२)</w:t>
      </w:r>
      <w:r>
        <w:t xml:space="preserve"> </w:t>
      </w:r>
      <w:r>
        <w:rPr>
          <w:iCs/>
          <w:i/>
        </w:rPr>
        <w:t xml:space="preserve">states</w:t>
      </w:r>
      <w:r>
        <w:t xml:space="preserve"> </w:t>
      </w:r>
      <w:r>
        <w:t xml:space="preserve">these forms irregularly (nipātana),</w:t>
      </w:r>
      <w:r>
        <w:t xml:space="preserve"> </w:t>
      </w:r>
      <w:r>
        <w:t xml:space="preserve">“</w:t>
      </w:r>
      <w:r>
        <w:t xml:space="preserve">iṭ</w:t>
      </w:r>
      <w:r>
        <w:t xml:space="preserve">”</w:t>
      </w:r>
      <w:r>
        <w:t xml:space="preserve"> </w:t>
      </w:r>
      <w:r>
        <w:t xml:space="preserve">does not arise; and from the same statement the doubling prescribed by</w:t>
      </w:r>
      <w:r>
        <w:t xml:space="preserve"> </w:t>
      </w:r>
      <w:r>
        <w:rPr>
          <w:bCs/>
          <w:b/>
        </w:rPr>
        <w:t xml:space="preserve">लिटि धातोरनभ्यासस्य</w:t>
      </w:r>
      <w:r>
        <w:t xml:space="preserve"> </w:t>
      </w:r>
      <w:r>
        <w:t xml:space="preserve">(</w:t>
      </w:r>
      <w:r>
        <w:rPr>
          <w:iCs/>
          <w:i/>
        </w:rPr>
        <w:t xml:space="preserve">liṭi dhātor anabhyāsasya</w:t>
      </w:r>
      <w:r>
        <w:t xml:space="preserve">, पा. ६-१-८) is also not made (the sūtra is</w:t>
      </w:r>
      <w:r>
        <w:t xml:space="preserve"> </w:t>
      </w:r>
      <w:r>
        <w:t xml:space="preserve">“</w:t>
      </w:r>
      <w:r>
        <w:t xml:space="preserve">irregular</w:t>
      </w:r>
      <w:r>
        <w:t xml:space="preserve">”</w:t>
      </w:r>
      <w:r>
        <w:t xml:space="preserve"> </w:t>
      </w:r>
      <w:r>
        <w:t xml:space="preserve">with</w:t>
      </w:r>
      <w:r>
        <w:t xml:space="preserve"> </w:t>
      </w:r>
      <w:r>
        <w:t xml:space="preserve">“</w:t>
      </w:r>
      <w:r>
        <w:t xml:space="preserve">dāś</w:t>
      </w:r>
      <w:r>
        <w:t xml:space="preserve">”</w:t>
      </w:r>
      <w:r>
        <w:t xml:space="preserve"> </w:t>
      </w:r>
      <w:r>
        <w:t xml:space="preserve">described as a root with two syllables…). By the affix-accent</w:t>
      </w:r>
      <w:r>
        <w:t xml:space="preserve"> </w:t>
      </w:r>
      <w:r>
        <w:t xml:space="preserve">“</w:t>
      </w:r>
      <w:r>
        <w:t xml:space="preserve">kvasu</w:t>
      </w:r>
      <w:r>
        <w:t xml:space="preserve">”</w:t>
      </w:r>
      <w:r>
        <w:t xml:space="preserve"> </w:t>
      </w:r>
      <w:r>
        <w:t xml:space="preserve">is acute. Then the form</w:t>
      </w:r>
      <w:r>
        <w:t xml:space="preserve"> </w:t>
      </w:r>
      <w:r>
        <w:t xml:space="preserve">“</w:t>
      </w:r>
      <w:r>
        <w:t xml:space="preserve">dāśuṣe</w:t>
      </w:r>
      <w:r>
        <w:t xml:space="preserve">”</w:t>
      </w:r>
      <w:r>
        <w:t xml:space="preserve"> </w:t>
      </w:r>
      <w:r>
        <w:t xml:space="preserve">is derived [the print continues with</w:t>
      </w:r>
      <w:r>
        <w:t xml:space="preserve"> </w:t>
      </w:r>
      <w:r>
        <w:t xml:space="preserve">“</w:t>
      </w:r>
      <w:r>
        <w:t xml:space="preserve">dāśuṣe</w:t>
      </w:r>
      <w:r>
        <w:t xml:space="preserve">”</w:t>
      </w:r>
      <w:r>
        <w:t xml:space="preserve"> </w:t>
      </w:r>
      <w:r>
        <w:t xml:space="preserve">here, as the dative of</w:t>
      </w:r>
      <w:r>
        <w:t xml:space="preserve"> </w:t>
      </w:r>
      <w:r>
        <w:t xml:space="preserve">“</w:t>
      </w:r>
      <w:r>
        <w:t xml:space="preserve">dāśvas</w:t>
      </w:r>
      <w:r>
        <w:t xml:space="preserve">”</w:t>
      </w:r>
      <w:r>
        <w:t xml:space="preserve">; the Rik has</w:t>
      </w:r>
      <w:r>
        <w:t xml:space="preserve"> </w:t>
      </w:r>
      <w:r>
        <w:t xml:space="preserve">“</w:t>
      </w:r>
      <w:r>
        <w:t xml:space="preserve">dāśuṣaḥ,</w:t>
      </w:r>
      <w:r>
        <w:t xml:space="preserve">”</w:t>
      </w:r>
      <w:r>
        <w:t xml:space="preserve"> </w:t>
      </w:r>
      <w:r>
        <w:t xml:space="preserve">but the derivation is the same]: after</w:t>
      </w:r>
      <w:r>
        <w:t xml:space="preserve"> </w:t>
      </w:r>
      <w:r>
        <w:t xml:space="preserve">“</w:t>
      </w:r>
      <w:r>
        <w:t xml:space="preserve">kvasu,</w:t>
      </w:r>
      <w:r>
        <w:t xml:space="preserve">”</w:t>
      </w:r>
      <w:r>
        <w:t xml:space="preserve"> </w:t>
      </w:r>
      <w:r>
        <w:t xml:space="preserve">the dative singular affix</w:t>
      </w:r>
      <w:r>
        <w:t xml:space="preserve"> </w:t>
      </w:r>
      <w:r>
        <w:t xml:space="preserve">“</w:t>
      </w:r>
      <w:r>
        <w:t xml:space="preserve">e</w:t>
      </w:r>
      <w:r>
        <w:t xml:space="preserve">”</w:t>
      </w:r>
      <w:r>
        <w:t xml:space="preserve"> </w:t>
      </w:r>
      <w:r>
        <w:t xml:space="preserve">gives</w:t>
      </w:r>
      <w:r>
        <w:t xml:space="preserve"> </w:t>
      </w:r>
      <w:r>
        <w:t xml:space="preserve">“</w:t>
      </w:r>
      <w:r>
        <w:t xml:space="preserve">dāśvas + e</w:t>
      </w:r>
      <w:r>
        <w:t xml:space="preserve">”</w:t>
      </w:r>
      <w:r>
        <w:t xml:space="preserve">;</w:t>
      </w:r>
      <w:r>
        <w:t xml:space="preserve"> </w:t>
      </w:r>
      <w:r>
        <w:rPr>
          <w:bCs/>
          <w:b/>
        </w:rPr>
        <w:t xml:space="preserve">वसोः संप्रसारणम्</w:t>
      </w:r>
      <w:r>
        <w:t xml:space="preserve"> </w:t>
      </w:r>
      <w:r>
        <w:t xml:space="preserve">(</w:t>
      </w:r>
      <w:r>
        <w:rPr>
          <w:iCs/>
          <w:i/>
        </w:rPr>
        <w:t xml:space="preserve">vasoḥ samprasāraṇam</w:t>
      </w:r>
      <w:r>
        <w:t xml:space="preserve">, पा. ६-४-१३१) —</w:t>
      </w:r>
      <w:r>
        <w:t xml:space="preserve"> </w:t>
      </w:r>
      <w:r>
        <w:t xml:space="preserve">“</w:t>
      </w:r>
      <w:r>
        <w:t xml:space="preserve">samprasāraṇa</w:t>
      </w:r>
      <w:r>
        <w:t xml:space="preserve">”</w:t>
      </w:r>
      <w:r>
        <w:t xml:space="preserve"> </w:t>
      </w:r>
      <w:r>
        <w:t xml:space="preserve">for</w:t>
      </w:r>
      <w:r>
        <w:t xml:space="preserve"> </w:t>
      </w:r>
      <w:r>
        <w:t xml:space="preserve">“</w:t>
      </w:r>
      <w:r>
        <w:t xml:space="preserve">vasu,</w:t>
      </w:r>
      <w:r>
        <w:t xml:space="preserve">”</w:t>
      </w:r>
      <w:r>
        <w:t xml:space="preserve"> </w:t>
      </w:r>
      <w:r>
        <w:t xml:space="preserve">since it ends in</w:t>
      </w:r>
      <w:r>
        <w:t xml:space="preserve"> </w:t>
      </w:r>
      <w:r>
        <w:t xml:space="preserve">“</w:t>
      </w:r>
      <w:r>
        <w:t xml:space="preserve">vas</w:t>
      </w:r>
      <w:r>
        <w:t xml:space="preserve">”</w:t>
      </w:r>
      <w:r>
        <w:t xml:space="preserve"> </w:t>
      </w:r>
      <w:r>
        <w:t xml:space="preserve">and is in</w:t>
      </w:r>
      <w:r>
        <w:t xml:space="preserve"> </w:t>
      </w:r>
      <w:r>
        <w:t xml:space="preserve">“</w:t>
      </w:r>
      <w:r>
        <w:t xml:space="preserve">bha</w:t>
      </w:r>
      <w:r>
        <w:t xml:space="preserve">”</w:t>
      </w:r>
      <w:r>
        <w:t xml:space="preserve"> </w:t>
      </w:r>
      <w:r>
        <w:t xml:space="preserve">(the stem-class before affixes that begin with a vowel, by</w:t>
      </w:r>
      <w:r>
        <w:t xml:space="preserve"> </w:t>
      </w:r>
      <w:r>
        <w:rPr>
          <w:bCs/>
          <w:b/>
        </w:rPr>
        <w:t xml:space="preserve">यचि भम्</w:t>
      </w:r>
      <w:r>
        <w:t xml:space="preserve"> </w:t>
      </w:r>
      <w:r>
        <w:rPr>
          <w:iCs/>
          <w:i/>
        </w:rPr>
        <w:t xml:space="preserve">yaci bham</w:t>
      </w:r>
      <w:r>
        <w:t xml:space="preserve">, पा. १-४-१८): the vowels</w:t>
      </w:r>
      <w:r>
        <w:t xml:space="preserve"> </w:t>
      </w:r>
      <w:r>
        <w:t xml:space="preserve">“</w:t>
      </w:r>
      <w:r>
        <w:t xml:space="preserve">i, u, ṛ, ḷ</w:t>
      </w:r>
      <w:r>
        <w:t xml:space="preserve">”</w:t>
      </w:r>
      <w:r>
        <w:t xml:space="preserve"> </w:t>
      </w:r>
      <w:r>
        <w:t xml:space="preserve">replacing</w:t>
      </w:r>
      <w:r>
        <w:t xml:space="preserve"> </w:t>
      </w:r>
      <w:r>
        <w:t xml:space="preserve">“</w:t>
      </w:r>
      <w:r>
        <w:t xml:space="preserve">y, v, r, l</w:t>
      </w:r>
      <w:r>
        <w:t xml:space="preserve">”</w:t>
      </w:r>
      <w:r>
        <w:t xml:space="preserve"> </w:t>
      </w:r>
      <w:r>
        <w:t xml:space="preserve">are named</w:t>
      </w:r>
      <w:r>
        <w:t xml:space="preserve"> </w:t>
      </w:r>
      <w:r>
        <w:t xml:space="preserve">“</w:t>
      </w:r>
      <w:r>
        <w:t xml:space="preserve">samprasāraṇa</w:t>
      </w:r>
      <w:r>
        <w:t xml:space="preserve">”</w:t>
      </w:r>
      <w:r>
        <w:t xml:space="preserve"> </w:t>
      </w:r>
      <w:r>
        <w:t xml:space="preserve">(</w:t>
      </w:r>
      <w:r>
        <w:rPr>
          <w:bCs/>
          <w:b/>
        </w:rPr>
        <w:t xml:space="preserve">इग्यणः संप्रसारणम्</w:t>
      </w:r>
      <w:r>
        <w:t xml:space="preserve">,</w:t>
      </w:r>
      <w:r>
        <w:t xml:space="preserve"> </w:t>
      </w:r>
      <w:r>
        <w:rPr>
          <w:iCs/>
          <w:i/>
        </w:rPr>
        <w:t xml:space="preserve">ig-yaṇaḥ samprasāraṇam</w:t>
      </w:r>
      <w:r>
        <w:t xml:space="preserve">, पा. १-१-४५); then</w:t>
      </w:r>
      <w:r>
        <w:t xml:space="preserve"> </w:t>
      </w:r>
      <w:r>
        <w:rPr>
          <w:bCs/>
          <w:b/>
        </w:rPr>
        <w:t xml:space="preserve">संप्रसारणाच्च</w:t>
      </w:r>
      <w:r>
        <w:t xml:space="preserve"> </w:t>
      </w:r>
      <w:r>
        <w:t xml:space="preserve">(</w:t>
      </w:r>
      <w:r>
        <w:rPr>
          <w:iCs/>
          <w:i/>
        </w:rPr>
        <w:t xml:space="preserve">samprasāraṇāc ca</w:t>
      </w:r>
      <w:r>
        <w:t xml:space="preserve">, पा. ६-१-१०८) gives the single former form (</w:t>
      </w:r>
      <w:r>
        <w:t xml:space="preserve">“</w:t>
      </w:r>
      <w:r>
        <w:t xml:space="preserve">pūrvarūpa</w:t>
      </w:r>
      <w:r>
        <w:t xml:space="preserve">”</w:t>
      </w:r>
      <w:r>
        <w:t xml:space="preserve">):</w:t>
      </w:r>
      <w:r>
        <w:t xml:space="preserve"> </w:t>
      </w:r>
      <w:r>
        <w:t xml:space="preserve">“</w:t>
      </w:r>
      <w:r>
        <w:t xml:space="preserve">dāś + us + e</w:t>
      </w:r>
      <w:r>
        <w:t xml:space="preserve">”</w:t>
      </w:r>
      <w:r>
        <w:t xml:space="preserve">; and</w:t>
      </w:r>
      <w:r>
        <w:t xml:space="preserve"> </w:t>
      </w:r>
      <w:r>
        <w:rPr>
          <w:bCs/>
          <w:b/>
        </w:rPr>
        <w:t xml:space="preserve">आदेशप्रत्यययोः</w:t>
      </w:r>
      <w:r>
        <w:t xml:space="preserve"> </w:t>
      </w:r>
      <w:r>
        <w:t xml:space="preserve">(</w:t>
      </w:r>
      <w:r>
        <w:rPr>
          <w:iCs/>
          <w:i/>
        </w:rPr>
        <w:t xml:space="preserve">ādeśa-pratyayayoḥ</w:t>
      </w:r>
      <w:r>
        <w:t xml:space="preserve">, पा. ८-३-५९) turns the</w:t>
      </w:r>
      <w:r>
        <w:t xml:space="preserve"> </w:t>
      </w:r>
      <w:r>
        <w:t xml:space="preserve">“</w:t>
      </w:r>
      <w:r>
        <w:t xml:space="preserve">s</w:t>
      </w:r>
      <w:r>
        <w:t xml:space="preserve">”</w:t>
      </w:r>
      <w:r>
        <w:t xml:space="preserve"> </w:t>
      </w:r>
      <w:r>
        <w:t xml:space="preserve">into</w:t>
      </w:r>
      <w:r>
        <w:t xml:space="preserve"> </w:t>
      </w:r>
      <w:r>
        <w:t xml:space="preserve">“</w:t>
      </w:r>
      <w:r>
        <w:t xml:space="preserve">ṣ</w:t>
      </w:r>
      <w:r>
        <w:t xml:space="preserve">”</w:t>
      </w:r>
      <w:r>
        <w:t xml:space="preserve">:</w:t>
      </w:r>
      <w:r>
        <w:t xml:space="preserve"> </w:t>
      </w:r>
      <w:r>
        <w:t xml:space="preserve">“</w:t>
      </w:r>
      <w:r>
        <w:t xml:space="preserve">dāśuṣe.</w:t>
      </w:r>
      <w:r>
        <w:t xml:space="preserve">”</w:t>
      </w:r>
      <w:r>
        <w:t xml:space="preserve"> </w:t>
      </w:r>
      <w:r>
        <w:t xml:space="preserve">॥७॥</w:t>
      </w:r>
    </w:p>
    <w:p>
      <w:r>
        <w:pict>
          <v:rect style="width:0;height:1.5pt" o:hralign="center" o:hrstd="t" o:hr="t"/>
        </w:pict>
      </w:r>
    </w:p>
    <w:bookmarkEnd w:id="78"/>
    <w:bookmarkStart w:id="79" w:name="sūkta-3-the-eighth-mantra"/>
    <w:p>
      <w:pPr>
        <w:pStyle w:val="Heading3"/>
      </w:pPr>
      <w:r>
        <w:t xml:space="preserve">Sūkta 3, The Eighth Mantra</w:t>
      </w:r>
    </w:p>
    <w:p>
      <w:pPr>
        <w:pStyle w:val="FirstParagraph"/>
      </w:pPr>
      <w:r>
        <w:rPr>
          <w:iCs/>
          <w:i/>
        </w:rPr>
        <w:t xml:space="preserve">(Saṃhitā accents as printed; Pada unaccented — see the note at Rik 3.5.)</w:t>
      </w:r>
    </w:p>
    <w:p>
      <w:pPr>
        <w:pStyle w:val="BodyText"/>
      </w:pPr>
      <w:r>
        <w:rPr>
          <w:bCs/>
          <w:b/>
        </w:rPr>
        <w:t xml:space="preserve">॥ Saṃhitā-pāṭhaḥ ॥</w:t>
      </w:r>
    </w:p>
    <w:p>
      <w:pPr>
        <w:pStyle w:val="BlockText"/>
      </w:pPr>
      <w:r>
        <w:t xml:space="preserve">विश्वे॑ दे॒वासो॑ अ॒प्तुरः॑ सु॒तमा गं॑त॒ तूर्ण॑यः ।</w:t>
      </w:r>
      <w:r>
        <w:t xml:space="preserve"> </w:t>
      </w:r>
      <w:r>
        <w:t xml:space="preserve">उ॒स्रा इ॑व॒ स्वस॑राणि ॥८॥</w:t>
      </w:r>
    </w:p>
    <w:p>
      <w:pPr>
        <w:pStyle w:val="BlockText"/>
      </w:pPr>
      <w:r>
        <w:rPr>
          <w:iCs/>
          <w:i/>
        </w:rPr>
        <w:t xml:space="preserve">víśve devā́so aptúraḥ sutámā́ gaṃta tū́rṇayaḥ |</w:t>
      </w:r>
      <w:r>
        <w:t xml:space="preserve"> </w:t>
      </w:r>
      <w:r>
        <w:rPr>
          <w:iCs/>
          <w:i/>
        </w:rPr>
        <w:t xml:space="preserve">usrā́ iva svásarāṇi ||8||</w:t>
      </w:r>
    </w:p>
    <w:p>
      <w:pPr>
        <w:pStyle w:val="FirstParagraph"/>
      </w:pPr>
      <w:r>
        <w:rPr>
          <w:bCs/>
          <w:b/>
        </w:rPr>
        <w:t xml:space="preserve">॥ Pada-pāṭhaḥ ॥</w:t>
      </w:r>
    </w:p>
    <w:p>
      <w:pPr>
        <w:pStyle w:val="BlockText"/>
      </w:pPr>
      <w:r>
        <w:t xml:space="preserve">विश्वे । देवासः । अप्तुरः । सुतम् । आ । गन्त । तूर्णयः ।</w:t>
      </w:r>
      <w:r>
        <w:t xml:space="preserve"> </w:t>
      </w:r>
      <w:r>
        <w:t xml:space="preserve">उस्रा इव । स्वसराणि ॥८॥</w:t>
      </w:r>
    </w:p>
    <w:p>
      <w:pPr>
        <w:pStyle w:val="FirstParagraph"/>
      </w:pPr>
      <w:r>
        <w:rPr>
          <w:iCs/>
          <w:i/>
        </w:rPr>
        <w:t xml:space="preserve">(Reading note: in the Pada text the print shows a small dividing sign inside</w:t>
      </w:r>
      <w:r>
        <w:rPr>
          <w:iCs/>
          <w:i/>
        </w:rPr>
        <w:t xml:space="preserve"> </w:t>
      </w:r>
      <w:r>
        <w:rPr>
          <w:iCs/>
          <w:i/>
        </w:rPr>
        <w:t xml:space="preserve">“</w:t>
      </w:r>
      <w:r>
        <w:rPr>
          <w:iCs/>
          <w:i/>
        </w:rPr>
        <w:t xml:space="preserve">apturaḥ</w:t>
      </w:r>
      <w:r>
        <w:rPr>
          <w:iCs/>
          <w:i/>
        </w:rPr>
        <w:t xml:space="preserve">”</w:t>
      </w:r>
      <w:r>
        <w:rPr>
          <w:iCs/>
          <w:i/>
        </w:rPr>
        <w:t xml:space="preserve"> </w:t>
      </w:r>
      <w:r>
        <w:rPr>
          <w:iCs/>
          <w:i/>
        </w:rPr>
        <w:t xml:space="preserve">(read as</w:t>
      </w:r>
      <w:r>
        <w:rPr>
          <w:iCs/>
          <w:i/>
        </w:rPr>
        <w:t xml:space="preserve"> </w:t>
      </w:r>
      <w:r>
        <w:rPr>
          <w:iCs/>
          <w:i/>
        </w:rPr>
        <w:t xml:space="preserve">“</w:t>
      </w:r>
      <w:r>
        <w:rPr>
          <w:iCs/>
          <w:i/>
        </w:rPr>
        <w:t xml:space="preserve">ap-turaḥ</w:t>
      </w:r>
      <w:r>
        <w:rPr>
          <w:iCs/>
          <w:i/>
        </w:rPr>
        <w:t xml:space="preserve">”</w:t>
      </w:r>
      <w:r>
        <w:rPr>
          <w:iCs/>
          <w:i/>
        </w:rPr>
        <w:t xml:space="preserve">) and between</w:t>
      </w:r>
      <w:r>
        <w:rPr>
          <w:iCs/>
          <w:i/>
        </w:rPr>
        <w:t xml:space="preserve"> </w:t>
      </w:r>
      <w:r>
        <w:rPr>
          <w:iCs/>
          <w:i/>
        </w:rPr>
        <w:t xml:space="preserve">“</w:t>
      </w:r>
      <w:r>
        <w:rPr>
          <w:iCs/>
          <w:i/>
        </w:rPr>
        <w:t xml:space="preserve">usrā</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iva</w:t>
      </w:r>
      <w:r>
        <w:rPr>
          <w:iCs/>
          <w:i/>
        </w:rPr>
        <w:t xml:space="preserve">”</w:t>
      </w:r>
      <w:r>
        <w:rPr>
          <w:iCs/>
          <w:i/>
        </w:rPr>
        <w:t xml:space="preserve">; I give the words undivided.)</w:t>
      </w:r>
    </w:p>
    <w:bookmarkEnd w:id="79"/>
    <w:bookmarkStart w:id="80" w:name="X973d766765fee9f88b9b57f8776fca5f5e86137"/>
    <w:p>
      <w:pPr>
        <w:pStyle w:val="Heading3"/>
      </w:pPr>
      <w:r>
        <w:t xml:space="preserve">Page 55 — Sūkta 3, Eighth Mantra: Sāyaṇa-bhāṣya, Pada-meanings, Bhāvārtha</w:t>
      </w:r>
    </w:p>
    <w:p>
      <w:pPr>
        <w:pStyle w:val="FirstParagraph"/>
      </w:pPr>
      <w:r>
        <w:rPr>
          <w:iCs/>
          <w:i/>
        </w:rPr>
        <w:t xml:space="preserve">(Page header:</w:t>
      </w:r>
      <w:r>
        <w:rPr>
          <w:iCs/>
          <w:i/>
        </w:rPr>
        <w:t xml:space="preserve"> </w:t>
      </w:r>
      <w:r>
        <w:rPr>
          <w:iCs/>
          <w:i/>
        </w:rPr>
        <w:t xml:space="preserve">“</w:t>
      </w:r>
      <w:r>
        <w:rPr>
          <w:iCs/>
          <w:i/>
        </w:rPr>
        <w:t xml:space="preserve">Aṣṭaka 1, Adhyāya 1, Varga 6 · Ṛgveda-saṃhitā.</w:t>
      </w:r>
      <w:r>
        <w:rPr>
          <w:iCs/>
          <w:i/>
        </w:rPr>
        <w:t xml:space="preserve">”</w:t>
      </w:r>
      <w:r>
        <w:rPr>
          <w:iCs/>
          <w:i/>
        </w:rPr>
        <w:t xml:space="preserve"> </w:t>
      </w:r>
      <w:r>
        <w:rPr>
          <w:iCs/>
          <w:i/>
        </w:rPr>
        <w:t xml:space="preserve">Sanskrit printed in Kannada script, rendered into Devanagari/IAST; where the print is unclear. The sense-portion is given in all three layers; the grammatical derivations at the end are</w:t>
      </w:r>
      <w:r>
        <w:rPr>
          <w:iCs/>
          <w:i/>
        </w:rPr>
        <w:t xml:space="preserve"> </w:t>
      </w:r>
      <w:r>
        <w:rPr>
          <w:bCs/>
          <w:b/>
          <w:iCs/>
          <w:i/>
        </w:rPr>
        <w:t xml:space="preserve">characterized, with their sūtras kept</w:t>
      </w:r>
      <w:r>
        <w:rPr>
          <w:iCs/>
          <w:i/>
        </w:rPr>
        <w:t xml:space="preserve">, per convention.)</w:t>
      </w:r>
    </w:p>
    <w:p>
      <w:pPr>
        <w:pStyle w:val="BodyText"/>
      </w:pPr>
      <w:r>
        <w:rPr>
          <w:bCs/>
          <w:b/>
        </w:rPr>
        <w:t xml:space="preserve">॥ Sāyaṇa-bhāṣyam ॥</w:t>
      </w:r>
    </w:p>
    <w:p>
      <w:pPr>
        <w:pStyle w:val="BlockText"/>
      </w:pPr>
      <w:r>
        <w:t xml:space="preserve">विश्वे देवास एतन्नामकगणरूपा देवविशेषाः सुतं सोममा गन्त । आगच्छन्तु । कीदृशाः । अप्तुरः । तत्तत्काले वृष्टिप्रदा इत्यर्थः । तूर्णयः त्वरायुक्ताः । यजमानमनुग्रहीतुमालस्यरहिता इत्यर्थः । विश्वेषां देवानां सोमं प्रत्यागमने उस्रा इत्यादि दृष्टान्तः । उस्राः सूर्यरश्मयः स्वसराण्यहानि प्रत्यालस्यरहिता यथा समागच्छन्ति तद्वत् ।</w:t>
      </w:r>
      <w:r>
        <w:t xml:space="preserve"> </w:t>
      </w:r>
      <w:r>
        <w:rPr>
          <w:iCs/>
          <w:i/>
        </w:rPr>
        <w:t xml:space="preserve">viśve devāsa etan-nāmaka-gaṇa-rūpā deva-viśeṣāḥ sutaṃ somam ā gantā | āgacchantu | kīdṛśāḥ | aptuaḥ [sic: apturaḥ] | tat-tat-kāle vṛṣṭi-pradā ity arthaḥ | tūrṇayaḥ tvarā-yuktāḥ | yajamānam anugrahītum ālasya-rahitā ity arthaḥ | viśveṣāṃ devānāṃ somaṃ pratyāgamane usrā ity ādi dṛṣṭāntaḥ | usrāḥ sūrya-raśmayaḥ svasarāṇy ahāni pratyālasya-rahitā yathā samāgacchanti tad-vat |</w:t>
      </w:r>
    </w:p>
    <w:p>
      <w:pPr>
        <w:pStyle w:val="FirstParagraph"/>
      </w:pPr>
      <w:r>
        <w:rPr>
          <w:bCs/>
          <w:b/>
        </w:rPr>
        <w:t xml:space="preserve">Translation:</w:t>
      </w:r>
      <w:r>
        <w:t xml:space="preserve"> </w:t>
      </w:r>
      <w:r>
        <w:t xml:space="preserve">“</w:t>
      </w:r>
      <w:r>
        <w:t xml:space="preserve">‘</w:t>
      </w:r>
      <w:r>
        <w:t xml:space="preserve">Viśve devāsaḥ</w:t>
      </w:r>
      <w:r>
        <w:t xml:space="preserve">’</w:t>
      </w:r>
      <w:r>
        <w:t xml:space="preserve"> </w:t>
      </w:r>
      <w:r>
        <w:t xml:space="preserve">— the particular class of gods, in the form of a group of that name — come to the pressed Soma. Let them come (</w:t>
      </w:r>
      <w:r>
        <w:t xml:space="preserve">‘</w:t>
      </w:r>
      <w:r>
        <w:t xml:space="preserve">āgacchantu</w:t>
      </w:r>
      <w:r>
        <w:t xml:space="preserve">’</w:t>
      </w:r>
      <w:r>
        <w:t xml:space="preserve">). What kind are they?</w:t>
      </w:r>
      <w:r>
        <w:t xml:space="preserve"> </w:t>
      </w:r>
      <w:r>
        <w:t xml:space="preserve">‘</w:t>
      </w:r>
      <w:r>
        <w:t xml:space="preserve">Apturaḥ</w:t>
      </w:r>
      <w:r>
        <w:t xml:space="preserve">’</w:t>
      </w:r>
      <w:r>
        <w:t xml:space="preserve"> </w:t>
      </w:r>
      <w:r>
        <w:t xml:space="preserve">— givers of rain at the proper times.</w:t>
      </w:r>
      <w:r>
        <w:t xml:space="preserve"> </w:t>
      </w:r>
      <w:r>
        <w:t xml:space="preserve">‘</w:t>
      </w:r>
      <w:r>
        <w:t xml:space="preserve">Tūrṇayaḥ</w:t>
      </w:r>
      <w:r>
        <w:t xml:space="preserve">’</w:t>
      </w:r>
      <w:r>
        <w:t xml:space="preserve"> </w:t>
      </w:r>
      <w:r>
        <w:t xml:space="preserve">— full of haste, that is, free from sloth in order to favour the sacrificer. The words beginning</w:t>
      </w:r>
      <w:r>
        <w:t xml:space="preserve"> </w:t>
      </w:r>
      <w:r>
        <w:t xml:space="preserve">‘</w:t>
      </w:r>
      <w:r>
        <w:t xml:space="preserve">usrā iva</w:t>
      </w:r>
      <w:r>
        <w:t xml:space="preserve">’</w:t>
      </w:r>
      <w:r>
        <w:t xml:space="preserve"> </w:t>
      </w:r>
      <w:r>
        <w:t xml:space="preserve">give an illustration for the coming of all the gods to the Soma: just as</w:t>
      </w:r>
      <w:r>
        <w:t xml:space="preserve"> </w:t>
      </w:r>
      <w:r>
        <w:t xml:space="preserve">‘</w:t>
      </w:r>
      <w:r>
        <w:t xml:space="preserve">usrāḥ</w:t>
      </w:r>
      <w:r>
        <w:t xml:space="preserve">’</w:t>
      </w:r>
      <w:r>
        <w:t xml:space="preserve"> </w:t>
      </w:r>
      <w:r>
        <w:t xml:space="preserve">— the rays of the Sun — come each day without sloth to</w:t>
      </w:r>
      <w:r>
        <w:t xml:space="preserve"> </w:t>
      </w:r>
      <w:r>
        <w:t xml:space="preserve">‘</w:t>
      </w:r>
      <w:r>
        <w:t xml:space="preserve">svasarāṇi,</w:t>
      </w:r>
      <w:r>
        <w:t xml:space="preserve">’</w:t>
      </w:r>
      <w:r>
        <w:t xml:space="preserve"> </w:t>
      </w:r>
      <w:r>
        <w:t xml:space="preserve">the days, so (the gods come).</w:t>
      </w:r>
      <w:r>
        <w:t xml:space="preserve">”</w:t>
      </w:r>
    </w:p>
    <w:p>
      <w:pPr>
        <w:pStyle w:val="BodyText"/>
      </w:pPr>
      <w:r>
        <w:rPr>
          <w:iCs/>
          <w:i/>
        </w:rPr>
        <w:t xml:space="preserve">(Correction to my own IAST above: the Rik’s word is</w:t>
      </w:r>
      <w:r>
        <w:rPr>
          <w:iCs/>
          <w:i/>
        </w:rPr>
        <w:t xml:space="preserve"> </w:t>
      </w:r>
      <w:r>
        <w:rPr>
          <w:iCs/>
          <w:i/>
        </w:rPr>
        <w:t xml:space="preserve">“</w:t>
      </w:r>
      <w:r>
        <w:rPr>
          <w:iCs/>
          <w:i/>
        </w:rPr>
        <w:t xml:space="preserve">apturaḥ</w:t>
      </w:r>
      <w:r>
        <w:rPr>
          <w:iCs/>
          <w:i/>
        </w:rPr>
        <w:t xml:space="preserve">”</w:t>
      </w:r>
      <w:r>
        <w:rPr>
          <w:iCs/>
          <w:i/>
        </w:rPr>
        <w:t xml:space="preserve"> </w:t>
      </w:r>
      <w:r>
        <w:rPr>
          <w:iCs/>
          <w:i/>
        </w:rPr>
        <w:t xml:space="preserve">— the stray</w:t>
      </w:r>
      <w:r>
        <w:rPr>
          <w:iCs/>
          <w:i/>
        </w:rPr>
        <w:t xml:space="preserve"> </w:t>
      </w:r>
      <w:r>
        <w:rPr>
          <w:iCs/>
          <w:i/>
        </w:rPr>
        <w:t xml:space="preserve">“</w:t>
      </w:r>
      <w:r>
        <w:rPr>
          <w:iCs/>
          <w:i/>
        </w:rPr>
        <w:t xml:space="preserve">aptuaḥ</w:t>
      </w:r>
      <w:r>
        <w:rPr>
          <w:iCs/>
          <w:i/>
        </w:rPr>
        <w:t xml:space="preserve">”</w:t>
      </w:r>
      <w:r>
        <w:rPr>
          <w:iCs/>
          <w:i/>
        </w:rPr>
        <w:t xml:space="preserve"> </w:t>
      </w:r>
      <w:r>
        <w:rPr>
          <w:iCs/>
          <w:i/>
        </w:rPr>
        <w:t xml:space="preserve">in the line is a slip in my transliteration, not a variant reading.)</w:t>
      </w:r>
    </w:p>
    <w:p>
      <w:pPr>
        <w:pStyle w:val="BlockText"/>
      </w:pPr>
      <w:r>
        <w:t xml:space="preserve">खेदये इत्यादिषु पञ्चदशसु रश्मिनामसु उस्रा वसव इति पठितम् । वस्तोरित्यादिषु द्वादशसु अहर्नामसु स्वसराणि घ्रंसो घर्म इति पठितम् । तच्छब्दं पदं यास्केन व्याख्यातम् । स्वसराण्यहानि भवन्ति स्वयंसारीण्यपि वा स्वरादित्यो भवति स एतानि सारयति । उस्रा इव स्वसराणीत्यपि निगमो भवति । नि. ५-४ । इति ॥</w:t>
      </w:r>
      <w:r>
        <w:t xml:space="preserve"> </w:t>
      </w:r>
      <w:r>
        <w:rPr>
          <w:iCs/>
          <w:i/>
        </w:rPr>
        <w:t xml:space="preserve">khedaye ity ādiṣu pañcadaśasu raśmi-nāmasu usrā vasava iti paṭhitam | vastor ity ādiṣu dvādaśasu ahar-nāmasu svasarāṇi ghraṃso gharma iti paṭhitam | tac-chabdaṃ padaṃ yāskena vyākhyātam | svasarāṇy ahāni bhavanti svayaṃ-sārīṇy api vā svar āditya bhavati sa etāni sārayati | usrā iva svasarāṇīty api nigamo bhavati | ni. 5-4 | iti ||</w:t>
      </w:r>
    </w:p>
    <w:p>
      <w:pPr>
        <w:pStyle w:val="FirstParagraph"/>
      </w:pPr>
      <w:r>
        <w:rPr>
          <w:bCs/>
          <w:b/>
        </w:rPr>
        <w:t xml:space="preserve">Translation:</w:t>
      </w:r>
      <w:r>
        <w:t xml:space="preserve"> </w:t>
      </w:r>
      <w:r>
        <w:t xml:space="preserve">“</w:t>
      </w:r>
      <w:r>
        <w:t xml:space="preserve">Among the fifteen names for</w:t>
      </w:r>
      <w:r>
        <w:t xml:space="preserve"> </w:t>
      </w:r>
      <w:r>
        <w:t xml:space="preserve">‘</w:t>
      </w:r>
      <w:r>
        <w:t xml:space="preserve">rays,</w:t>
      </w:r>
      <w:r>
        <w:t xml:space="preserve">’</w:t>
      </w:r>
      <w:r>
        <w:t xml:space="preserve"> </w:t>
      </w:r>
      <w:r>
        <w:t xml:space="preserve">beginning with</w:t>
      </w:r>
      <w:r>
        <w:t xml:space="preserve"> </w:t>
      </w:r>
      <w:r>
        <w:t xml:space="preserve">‘</w:t>
      </w:r>
      <w:r>
        <w:t xml:space="preserve">khedaye</w:t>
      </w:r>
      <w:r>
        <w:t xml:space="preserve">’</w:t>
      </w:r>
      <w:r>
        <w:t xml:space="preserve">,</w:t>
      </w:r>
      <w:r>
        <w:t xml:space="preserve"> </w:t>
      </w:r>
      <w:r>
        <w:t xml:space="preserve">‘</w:t>
      </w:r>
      <w:r>
        <w:t xml:space="preserve">usrāḥ</w:t>
      </w:r>
      <w:r>
        <w:t xml:space="preserve">’</w:t>
      </w:r>
      <w:r>
        <w:t xml:space="preserve"> </w:t>
      </w:r>
      <w:r>
        <w:t xml:space="preserve">and</w:t>
      </w:r>
      <w:r>
        <w:t xml:space="preserve"> </w:t>
      </w:r>
      <w:r>
        <w:t xml:space="preserve">‘</w:t>
      </w:r>
      <w:r>
        <w:t xml:space="preserve">vasavaḥ</w:t>
      </w:r>
      <w:r>
        <w:t xml:space="preserve">’</w:t>
      </w:r>
      <w:r>
        <w:t xml:space="preserve"> </w:t>
      </w:r>
      <w:r>
        <w:t xml:space="preserve">are read; among the twelve names for</w:t>
      </w:r>
      <w:r>
        <w:t xml:space="preserve"> </w:t>
      </w:r>
      <w:r>
        <w:t xml:space="preserve">‘</w:t>
      </w:r>
      <w:r>
        <w:t xml:space="preserve">day,</w:t>
      </w:r>
      <w:r>
        <w:t xml:space="preserve">’</w:t>
      </w:r>
      <w:r>
        <w:t xml:space="preserve"> </w:t>
      </w:r>
      <w:r>
        <w:t xml:space="preserve">beginning with</w:t>
      </w:r>
      <w:r>
        <w:t xml:space="preserve"> </w:t>
      </w:r>
      <w:r>
        <w:t xml:space="preserve">‘</w:t>
      </w:r>
      <w:r>
        <w:t xml:space="preserve">vastoḥ,</w:t>
      </w:r>
      <w:r>
        <w:t xml:space="preserve">’</w:t>
      </w:r>
      <w:r>
        <w:t xml:space="preserve"> </w:t>
      </w:r>
      <w:r>
        <w:t xml:space="preserve">‘</w:t>
      </w:r>
      <w:r>
        <w:t xml:space="preserve">svasarāṇi,</w:t>
      </w:r>
      <w:r>
        <w:t xml:space="preserve">’</w:t>
      </w:r>
      <w:r>
        <w:t xml:space="preserve"> </w:t>
      </w:r>
      <w:r>
        <w:t xml:space="preserve">‘</w:t>
      </w:r>
      <w:r>
        <w:t xml:space="preserve">ghraṃsaḥ</w:t>
      </w:r>
      <w:r>
        <w:t xml:space="preserve">’</w:t>
      </w:r>
      <w:r>
        <w:t xml:space="preserve"> </w:t>
      </w:r>
      <w:r>
        <w:t xml:space="preserve">and</w:t>
      </w:r>
      <w:r>
        <w:t xml:space="preserve"> </w:t>
      </w:r>
      <w:r>
        <w:t xml:space="preserve">‘</w:t>
      </w:r>
      <w:r>
        <w:t xml:space="preserve">gharma</w:t>
      </w:r>
      <w:r>
        <w:t xml:space="preserve">’</w:t>
      </w:r>
      <w:r>
        <w:t xml:space="preserve"> </w:t>
      </w:r>
      <w:r>
        <w:t xml:space="preserve">are read. Yāska has explained that word:</w:t>
      </w:r>
      <w:r>
        <w:t xml:space="preserve"> </w:t>
      </w:r>
      <w:r>
        <w:t xml:space="preserve">‘</w:t>
      </w:r>
      <w:r>
        <w:rPr>
          <w:iCs/>
          <w:i/>
        </w:rPr>
        <w:t xml:space="preserve">Svasarāṇi are the days — or those that move of themselves; or the Sun is</w:t>
      </w:r>
      <w:r>
        <w:rPr>
          <w:iCs/>
          <w:i/>
        </w:rPr>
        <w:t xml:space="preserve"> </w:t>
      </w:r>
      <w:r>
        <w:rPr>
          <w:iCs/>
          <w:i/>
        </w:rPr>
        <w:t xml:space="preserve">“</w:t>
      </w:r>
      <w:r>
        <w:rPr>
          <w:iCs/>
          <w:i/>
        </w:rPr>
        <w:t xml:space="preserve">svar,</w:t>
      </w:r>
      <w:r>
        <w:rPr>
          <w:iCs/>
          <w:i/>
        </w:rPr>
        <w:t xml:space="preserve">”</w:t>
      </w:r>
      <w:r>
        <w:rPr>
          <w:iCs/>
          <w:i/>
        </w:rPr>
        <w:t xml:space="preserve"> </w:t>
      </w:r>
      <w:r>
        <w:rPr>
          <w:iCs/>
          <w:i/>
        </w:rPr>
        <w:t xml:space="preserve">and he makes these go.</w:t>
      </w:r>
      <w:r>
        <w:t xml:space="preserve">’</w:t>
      </w:r>
      <w:r>
        <w:t xml:space="preserve"> </w:t>
      </w:r>
      <w:r>
        <w:t xml:space="preserve">And</w:t>
      </w:r>
      <w:r>
        <w:t xml:space="preserve"> </w:t>
      </w:r>
      <w:r>
        <w:t xml:space="preserve">‘</w:t>
      </w:r>
      <w:r>
        <w:rPr>
          <w:iCs/>
          <w:i/>
        </w:rPr>
        <w:t xml:space="preserve">usrā iva svasarāṇi</w:t>
      </w:r>
      <w:r>
        <w:t xml:space="preserve">’</w:t>
      </w:r>
      <w:r>
        <w:t xml:space="preserve"> </w:t>
      </w:r>
      <w:r>
        <w:t xml:space="preserve">is also a Vedic quotation (Nirukta [numbers read 5-4 ?]).</w:t>
      </w:r>
      <w:r>
        <w:t xml:space="preserve">”</w:t>
      </w:r>
    </w:p>
    <w:p>
      <w:pPr>
        <w:pStyle w:val="BodyText"/>
      </w:pPr>
      <w:r>
        <w:rPr>
          <w:bCs/>
          <w:b/>
        </w:rPr>
        <w:t xml:space="preserve">॥ Grammar within the Bhāṣya ॥</w:t>
      </w:r>
      <w:r>
        <w:t xml:space="preserve"> </w:t>
      </w:r>
      <w:r>
        <w:rPr>
          <w:iCs/>
          <w:i/>
        </w:rPr>
        <w:t xml:space="preserve">(characterized)</w:t>
      </w:r>
      <w:r>
        <w:t xml:space="preserve"> </w:t>
      </w:r>
      <w:r>
        <w:t xml:space="preserve">“</w:t>
      </w:r>
      <w:r>
        <w:t xml:space="preserve">Devāsaḥ</w:t>
      </w:r>
      <w:r>
        <w:t xml:space="preserve">”</w:t>
      </w:r>
      <w:r>
        <w:t xml:space="preserve">: formed with the</w:t>
      </w:r>
      <w:r>
        <w:t xml:space="preserve"> </w:t>
      </w:r>
      <w:r>
        <w:t xml:space="preserve">“</w:t>
      </w:r>
      <w:r>
        <w:t xml:space="preserve">ac</w:t>
      </w:r>
      <w:r>
        <w:t xml:space="preserve">”</w:t>
      </w:r>
      <w:r>
        <w:t xml:space="preserve"> </w:t>
      </w:r>
      <w:r>
        <w:t xml:space="preserve">affix of the</w:t>
      </w:r>
      <w:r>
        <w:t xml:space="preserve"> </w:t>
      </w:r>
      <w:r>
        <w:t xml:space="preserve">“</w:t>
      </w:r>
      <w:r>
        <w:t xml:space="preserve">pacādi</w:t>
      </w:r>
      <w:r>
        <w:t xml:space="preserve">”</w:t>
      </w:r>
      <w:r>
        <w:t xml:space="preserve"> </w:t>
      </w:r>
      <w:r>
        <w:t xml:space="preserve">class, which is</w:t>
      </w:r>
      <w:r>
        <w:t xml:space="preserve"> </w:t>
      </w:r>
      <w:r>
        <w:t xml:space="preserve">“</w:t>
      </w:r>
      <w:r>
        <w:t xml:space="preserve">c</w:t>
      </w:r>
      <w:r>
        <w:t xml:space="preserve">”</w:t>
      </w:r>
      <w:r>
        <w:t xml:space="preserve">-marked, so the last syllable is acute (</w:t>
      </w:r>
      <w:r>
        <w:rPr>
          <w:bCs/>
          <w:b/>
        </w:rPr>
        <w:t xml:space="preserve">पचाद्यच्</w:t>
      </w:r>
      <w:r>
        <w:t xml:space="preserve">,</w:t>
      </w:r>
      <w:r>
        <w:t xml:space="preserve"> </w:t>
      </w:r>
      <w:r>
        <w:rPr>
          <w:iCs/>
          <w:i/>
        </w:rPr>
        <w:t xml:space="preserve">pacādy ac</w:t>
      </w:r>
      <w:r>
        <w:t xml:space="preserve">; पा. ३-१-१३४).</w:t>
      </w:r>
      <w:r>
        <w:t xml:space="preserve"> </w:t>
      </w:r>
      <w:r>
        <w:t xml:space="preserve">“</w:t>
      </w:r>
      <w:r>
        <w:t xml:space="preserve">Apturaḥ</w:t>
      </w:r>
      <w:r>
        <w:t xml:space="preserve">”</w:t>
      </w:r>
      <w:r>
        <w:t xml:space="preserve">: from the root</w:t>
      </w:r>
      <w:r>
        <w:t xml:space="preserve"> </w:t>
      </w:r>
      <w:r>
        <w:t xml:space="preserve">“</w:t>
      </w:r>
      <w:r>
        <w:t xml:space="preserve">tur</w:t>
      </w:r>
      <w:r>
        <w:t xml:space="preserve">”</w:t>
      </w:r>
      <w:r>
        <w:t xml:space="preserve"> </w:t>
      </w:r>
      <w:r>
        <w:t xml:space="preserve">(to hasten) with the</w:t>
      </w:r>
      <w:r>
        <w:t xml:space="preserve"> </w:t>
      </w:r>
      <w:r>
        <w:t xml:space="preserve">“</w:t>
      </w:r>
      <w:r>
        <w:t xml:space="preserve">śluu</w:t>
      </w:r>
      <w:r>
        <w:t xml:space="preserve">”</w:t>
      </w:r>
      <w:r>
        <w:t xml:space="preserve"> </w:t>
      </w:r>
      <w:r>
        <w:t xml:space="preserve">(reduplicating) stem, with</w:t>
      </w:r>
      <w:r>
        <w:t xml:space="preserve"> </w:t>
      </w:r>
      <w:r>
        <w:t xml:space="preserve">“</w:t>
      </w:r>
      <w:r>
        <w:t xml:space="preserve">kvip</w:t>
      </w:r>
      <w:r>
        <w:t xml:space="preserve">”</w:t>
      </w:r>
      <w:r>
        <w:t xml:space="preserve"> </w:t>
      </w:r>
      <w:r>
        <w:t xml:space="preserve">in the sense</w:t>
      </w:r>
      <w:r>
        <w:t xml:space="preserve"> </w:t>
      </w:r>
      <w:r>
        <w:t xml:space="preserve">“</w:t>
      </w:r>
      <w:r>
        <w:t xml:space="preserve">those who speed [the rain],</w:t>
      </w:r>
      <w:r>
        <w:t xml:space="preserve">”</w:t>
      </w:r>
      <w:r>
        <w:t xml:space="preserve"> </w:t>
      </w:r>
      <w:r>
        <w:t xml:space="preserve">and the preceding word’s own accent retained as it is a</w:t>
      </w:r>
      <w:r>
        <w:t xml:space="preserve"> </w:t>
      </w:r>
      <w:r>
        <w:t xml:space="preserve">“</w:t>
      </w:r>
      <w:r>
        <w:t xml:space="preserve">gati/kāraka/upapada</w:t>
      </w:r>
      <w:r>
        <w:t xml:space="preserve">”</w:t>
      </w:r>
      <w:r>
        <w:t xml:space="preserve">-first compound.</w:t>
      </w:r>
      <w:r>
        <w:t xml:space="preserve"> </w:t>
      </w:r>
      <w:r>
        <w:t xml:space="preserve">“</w:t>
      </w:r>
      <w:r>
        <w:t xml:space="preserve">Ā ganta</w:t>
      </w:r>
      <w:r>
        <w:t xml:space="preserve">”</w:t>
      </w:r>
      <w:r>
        <w:t xml:space="preserve">: the second-person-plural form used for the third (by vyatyaya),</w:t>
      </w:r>
      <w:r>
        <w:t xml:space="preserve"> </w:t>
      </w:r>
      <w:r>
        <w:t xml:space="preserve">“</w:t>
      </w:r>
      <w:r>
        <w:t xml:space="preserve">śap</w:t>
      </w:r>
      <w:r>
        <w:t xml:space="preserve">”</w:t>
      </w:r>
      <w:r>
        <w:t xml:space="preserve"> </w:t>
      </w:r>
      <w:r>
        <w:t xml:space="preserve">elided by</w:t>
      </w:r>
      <w:r>
        <w:t xml:space="preserve"> </w:t>
      </w:r>
      <w:r>
        <w:rPr>
          <w:bCs/>
          <w:b/>
        </w:rPr>
        <w:t xml:space="preserve">बहुलं छन्दसि</w:t>
      </w:r>
      <w:r>
        <w:t xml:space="preserve"> </w:t>
      </w:r>
      <w:r>
        <w:t xml:space="preserve">(</w:t>
      </w:r>
      <w:r>
        <w:rPr>
          <w:iCs/>
          <w:i/>
        </w:rPr>
        <w:t xml:space="preserve">bahulaṃ chandasi</w:t>
      </w:r>
      <w:r>
        <w:t xml:space="preserve">), the ending replaced by</w:t>
      </w:r>
      <w:r>
        <w:t xml:space="preserve"> </w:t>
      </w:r>
      <w:r>
        <w:t xml:space="preserve">“</w:t>
      </w:r>
      <w:r>
        <w:t xml:space="preserve">ta</w:t>
      </w:r>
      <w:r>
        <w:t xml:space="preserve">”</w:t>
      </w:r>
      <w:r>
        <w:t xml:space="preserve"> </w:t>
      </w:r>
      <w:r>
        <w:t xml:space="preserve">by</w:t>
      </w:r>
      <w:r>
        <w:t xml:space="preserve"> </w:t>
      </w:r>
      <w:r>
        <w:rPr>
          <w:bCs/>
          <w:b/>
        </w:rPr>
        <w:t xml:space="preserve">तस्य तप्तनप्तनथनाश्च</w:t>
      </w:r>
      <w:r>
        <w:t xml:space="preserve"> </w:t>
      </w:r>
      <w:r>
        <w:t xml:space="preserve">(</w:t>
      </w:r>
      <w:r>
        <w:rPr>
          <w:iCs/>
          <w:i/>
        </w:rPr>
        <w:t xml:space="preserve">tasya tap-tanap-tanathanāś ca</w:t>
      </w:r>
      <w:r>
        <w:t xml:space="preserve">, पा. ७-१-४५), the</w:t>
      </w:r>
      <w:r>
        <w:t xml:space="preserve"> </w:t>
      </w:r>
      <w:r>
        <w:t xml:space="preserve">“</w:t>
      </w:r>
      <w:r>
        <w:t xml:space="preserve">p</w:t>
      </w:r>
      <w:r>
        <w:t xml:space="preserve">”</w:t>
      </w:r>
      <w:r>
        <w:t xml:space="preserve">-marked</w:t>
      </w:r>
      <w:r>
        <w:t xml:space="preserve"> </w:t>
      </w:r>
      <w:r>
        <w:t xml:space="preserve">“</w:t>
      </w:r>
      <w:r>
        <w:t xml:space="preserve">tap</w:t>
      </w:r>
      <w:r>
        <w:t xml:space="preserve">”</w:t>
      </w:r>
      <w:r>
        <w:t xml:space="preserve"> </w:t>
      </w:r>
      <w:r>
        <w:t xml:space="preserve">being non-</w:t>
      </w:r>
      <w:r>
        <w:t xml:space="preserve">“</w:t>
      </w:r>
      <w:r>
        <w:t xml:space="preserve">ṅit</w:t>
      </w:r>
      <w:r>
        <w:t xml:space="preserve">”</w:t>
      </w:r>
      <w:r>
        <w:t xml:space="preserve"> </w:t>
      </w:r>
      <w:r>
        <w:t xml:space="preserve">so that the loss of the nasal does not occur, and nighāta by</w:t>
      </w:r>
      <w:r>
        <w:t xml:space="preserve"> </w:t>
      </w:r>
      <w:r>
        <w:t xml:space="preserve">“</w:t>
      </w:r>
      <w:r>
        <w:t xml:space="preserve">tiṅ atiṅaḥ.</w:t>
      </w:r>
      <w:r>
        <w:t xml:space="preserve">”</w:t>
      </w:r>
      <w:r>
        <w:t xml:space="preserve"> </w:t>
      </w:r>
      <w:r>
        <w:t xml:space="preserve">“</w:t>
      </w:r>
      <w:r>
        <w:t xml:space="preserve">Tūrṇayaḥ</w:t>
      </w:r>
      <w:r>
        <w:t xml:space="preserve">”</w:t>
      </w:r>
      <w:r>
        <w:t xml:space="preserve">: root</w:t>
      </w:r>
      <w:r>
        <w:t xml:space="preserve"> </w:t>
      </w:r>
      <w:r>
        <w:t xml:space="preserve">“</w:t>
      </w:r>
      <w:r>
        <w:t xml:space="preserve">tvar</w:t>
      </w:r>
      <w:r>
        <w:t xml:space="preserve">”</w:t>
      </w:r>
      <w:r>
        <w:t xml:space="preserve"> </w:t>
      </w:r>
      <w:r>
        <w:t xml:space="preserve">(to be agitated), Uṇādi affix</w:t>
      </w:r>
      <w:r>
        <w:t xml:space="preserve"> </w:t>
      </w:r>
      <w:r>
        <w:t xml:space="preserve">“</w:t>
      </w:r>
      <w:r>
        <w:t xml:space="preserve">ni[t]</w:t>
      </w:r>
      <w:r>
        <w:t xml:space="preserve">”</w:t>
      </w:r>
      <w:r>
        <w:t xml:space="preserve"> </w:t>
      </w:r>
      <w:r>
        <w:t xml:space="preserve">in the list</w:t>
      </w:r>
      <w:r>
        <w:t xml:space="preserve"> </w:t>
      </w:r>
      <w:r>
        <w:t xml:space="preserve">“</w:t>
      </w:r>
      <w:r>
        <w:t xml:space="preserve">vahi-śri-śru-yu-dru-glāhā-tvaribhyo ni(t)</w:t>
      </w:r>
      <w:r>
        <w:t xml:space="preserve">”</w:t>
      </w:r>
      <w:r>
        <w:t xml:space="preserve"> </w:t>
      </w:r>
      <w:r>
        <w:t xml:space="preserve">(उ. ४-५१);</w:t>
      </w:r>
      <w:r>
        <w:t xml:space="preserve"> </w:t>
      </w:r>
      <w:r>
        <w:t xml:space="preserve">“</w:t>
      </w:r>
      <w:r>
        <w:t xml:space="preserve">n</w:t>
      </w:r>
      <w:r>
        <w:t xml:space="preserve">”</w:t>
      </w:r>
      <w:r>
        <w:t xml:space="preserve">-marked, so first-syllable acute.</w:t>
      </w:r>
      <w:r>
        <w:t xml:space="preserve"> </w:t>
      </w:r>
      <w:r>
        <w:t xml:space="preserve">“</w:t>
      </w:r>
      <w:r>
        <w:t xml:space="preserve">Usrā iva</w:t>
      </w:r>
      <w:r>
        <w:t xml:space="preserve">”</w:t>
      </w:r>
      <w:r>
        <w:t xml:space="preserve">: with</w:t>
      </w:r>
      <w:r>
        <w:t xml:space="preserve"> </w:t>
      </w:r>
      <w:r>
        <w:t xml:space="preserve">“</w:t>
      </w:r>
      <w:r>
        <w:t xml:space="preserve">iva</w:t>
      </w:r>
      <w:r>
        <w:t xml:space="preserve">”</w:t>
      </w:r>
      <w:r>
        <w:t xml:space="preserve"> </w:t>
      </w:r>
      <w:r>
        <w:t xml:space="preserve">the case-ending is not dropped (the compound-rule with its vārttika, पा. २-१-४, with the vārttika as printed</w:t>
      </w:r>
      <w:r>
        <w:t xml:space="preserve"> </w:t>
      </w:r>
      <w:r>
        <w:t xml:space="preserve">“</w:t>
      </w:r>
      <w:r>
        <w:t xml:space="preserve">२-१-४-२</w:t>
      </w:r>
      <w:r>
        <w:t xml:space="preserve">”</w:t>
      </w:r>
      <w:r>
        <w:t xml:space="preserve">), the preceding word keeps its natural accent (पा. ६-२-१,</w:t>
      </w:r>
      <w:r>
        <w:t xml:space="preserve"> </w:t>
      </w:r>
      <w:r>
        <w:t xml:space="preserve">“</w:t>
      </w:r>
      <w:r>
        <w:t xml:space="preserve">bahuvrīhau prakṛtyā pūrvapadam</w:t>
      </w:r>
      <w:r>
        <w:t xml:space="preserve">”</w:t>
      </w:r>
      <w:r>
        <w:t xml:space="preserve">).</w:t>
      </w:r>
      <w:r>
        <w:t xml:space="preserve"> </w:t>
      </w:r>
      <w:r>
        <w:t xml:space="preserve">“</w:t>
      </w:r>
      <w:r>
        <w:t xml:space="preserve">Svasarāṇi</w:t>
      </w:r>
      <w:r>
        <w:t xml:space="preserve">”</w:t>
      </w:r>
      <w:r>
        <w:t xml:space="preserve">:</w:t>
      </w:r>
      <w:r>
        <w:t xml:space="preserve"> </w:t>
      </w:r>
      <w:r>
        <w:t xml:space="preserve">“</w:t>
      </w:r>
      <w:r>
        <w:t xml:space="preserve">saratīti saraḥ sūryaḥ</w:t>
      </w:r>
      <w:r>
        <w:t xml:space="preserve">”</w:t>
      </w:r>
      <w:r>
        <w:t xml:space="preserve"> </w:t>
      </w:r>
      <w:r>
        <w:t xml:space="preserve">—</w:t>
      </w:r>
      <w:r>
        <w:t xml:space="preserve"> </w:t>
      </w:r>
      <w:r>
        <w:t xml:space="preserve">“</w:t>
      </w:r>
      <w:r>
        <w:t xml:space="preserve">sara</w:t>
      </w:r>
      <w:r>
        <w:t xml:space="preserve">”</w:t>
      </w:r>
      <w:r>
        <w:t xml:space="preserve"> </w:t>
      </w:r>
      <w:r>
        <w:t xml:space="preserve">is the Sun (root</w:t>
      </w:r>
      <w:r>
        <w:t xml:space="preserve"> </w:t>
      </w:r>
      <w:r>
        <w:t xml:space="preserve">“</w:t>
      </w:r>
      <w:r>
        <w:t xml:space="preserve">sṛ,</w:t>
      </w:r>
      <w:r>
        <w:t xml:space="preserve">”</w:t>
      </w:r>
      <w:r>
        <w:t xml:space="preserve"> </w:t>
      </w:r>
      <w:r>
        <w:t xml:space="preserve">with</w:t>
      </w:r>
      <w:r>
        <w:t xml:space="preserve"> </w:t>
      </w:r>
      <w:r>
        <w:t xml:space="preserve">“</w:t>
      </w:r>
      <w:r>
        <w:t xml:space="preserve">ac</w:t>
      </w:r>
      <w:r>
        <w:t xml:space="preserve">”</w:t>
      </w:r>
      <w:r>
        <w:t xml:space="preserve">);</w:t>
      </w:r>
      <w:r>
        <w:t xml:space="preserve"> </w:t>
      </w:r>
      <w:r>
        <w:t xml:space="preserve">“</w:t>
      </w:r>
      <w:r>
        <w:t xml:space="preserve">svaḥ saro yeṣām tāni svasarāṇi ahāni</w:t>
      </w:r>
      <w:r>
        <w:t xml:space="preserve">”</w:t>
      </w:r>
      <w:r>
        <w:t xml:space="preserve"> </w:t>
      </w:r>
      <w:r>
        <w:t xml:space="preserve">— the days of which the Sun is the mover — a bahuvrīhi, with the first member</w:t>
      </w:r>
      <w:r>
        <w:t xml:space="preserve"> </w:t>
      </w:r>
      <w:r>
        <w:t xml:space="preserve">“</w:t>
      </w:r>
      <w:r>
        <w:t xml:space="preserve">svar</w:t>
      </w:r>
      <w:r>
        <w:t xml:space="preserve">”</w:t>
      </w:r>
      <w:r>
        <w:t xml:space="preserve"> </w:t>
      </w:r>
      <w:r>
        <w:t xml:space="preserve">acute by</w:t>
      </w:r>
      <w:r>
        <w:t xml:space="preserve"> </w:t>
      </w:r>
      <w:r>
        <w:t xml:space="preserve">“</w:t>
      </w:r>
      <w:r>
        <w:t xml:space="preserve">bahuvrīhau prakṛtyā pūrvapadam</w:t>
      </w:r>
      <w:r>
        <w:t xml:space="preserve">”</w:t>
      </w:r>
      <w:r>
        <w:t xml:space="preserve"> </w:t>
      </w:r>
      <w:r>
        <w:t xml:space="preserve">(पा. ६-२-१).</w:t>
      </w:r>
    </w:p>
    <w:p>
      <w:pPr>
        <w:pStyle w:val="BodyText"/>
      </w:pPr>
      <w:r>
        <w:rPr>
          <w:bCs/>
          <w:b/>
        </w:rPr>
        <w:t xml:space="preserve">॥ Prati-padārthaḥ ॥</w:t>
      </w:r>
      <w:r>
        <w:t xml:space="preserve"> </w:t>
      </w:r>
      <w:r>
        <w:rPr>
          <w:iCs/>
          <w:i/>
        </w:rPr>
        <w:t xml:space="preserve">(Kannada, translated)</w:t>
      </w:r>
    </w:p>
    <w:p>
      <w:pPr>
        <w:pStyle w:val="BodyText"/>
      </w:pPr>
      <w:r>
        <w:rPr>
          <w:bCs/>
          <w:b/>
        </w:rPr>
        <w:t xml:space="preserve">अप्तुरः (apturaḥ)</w:t>
      </w:r>
      <w:r>
        <w:t xml:space="preserve"> </w:t>
      </w:r>
      <w:r>
        <w:t xml:space="preserve">— givers of rain (those who give rain) |</w:t>
      </w:r>
      <w:r>
        <w:t xml:space="preserve"> </w:t>
      </w:r>
      <w:r>
        <w:rPr>
          <w:bCs/>
          <w:b/>
        </w:rPr>
        <w:t xml:space="preserve">(हे) विश्वे देवासः (he viśve devāsaḥ)</w:t>
      </w:r>
      <w:r>
        <w:t xml:space="preserve"> </w:t>
      </w:r>
      <w:r>
        <w:t xml:space="preserve">— O Viśvedevas |</w:t>
      </w:r>
      <w:r>
        <w:t xml:space="preserve"> </w:t>
      </w:r>
      <w:r>
        <w:rPr>
          <w:bCs/>
          <w:b/>
        </w:rPr>
        <w:t xml:space="preserve">उस्रा इव स्वसराणि (usrā iva svasarāṇi)</w:t>
      </w:r>
      <w:r>
        <w:t xml:space="preserve"> </w:t>
      </w:r>
      <w:r>
        <w:t xml:space="preserve">— as the rays of the Sun reach (us) in the daytime |</w:t>
      </w:r>
      <w:r>
        <w:t xml:space="preserve"> </w:t>
      </w:r>
      <w:r>
        <w:rPr>
          <w:bCs/>
          <w:b/>
        </w:rPr>
        <w:t xml:space="preserve">सुतम् (sutam)</w:t>
      </w:r>
      <w:r>
        <w:t xml:space="preserve"> </w:t>
      </w:r>
      <w:r>
        <w:t xml:space="preserve">— the Soma-juice that has been prepared (for you to drink) |</w:t>
      </w:r>
      <w:r>
        <w:t xml:space="preserve"> </w:t>
      </w:r>
      <w:r>
        <w:rPr>
          <w:bCs/>
          <w:b/>
        </w:rPr>
        <w:t xml:space="preserve">तूर्णयः (tūrṇayaḥ)</w:t>
      </w:r>
      <w:r>
        <w:t xml:space="preserve"> </w:t>
      </w:r>
      <w:r>
        <w:t xml:space="preserve">— those who are speedy (swiftly, quickly) |</w:t>
      </w:r>
      <w:r>
        <w:t xml:space="preserve"> </w:t>
      </w:r>
      <w:r>
        <w:rPr>
          <w:bCs/>
          <w:b/>
        </w:rPr>
        <w:t xml:space="preserve">आ गन्त (ā ganta)</w:t>
      </w:r>
      <w:r>
        <w:t xml:space="preserve"> </w:t>
      </w:r>
      <w:r>
        <w:t xml:space="preserve">— come.</w:t>
      </w:r>
    </w:p>
    <w:p>
      <w:pPr>
        <w:pStyle w:val="BodyText"/>
      </w:pPr>
      <w:r>
        <w:rPr>
          <w:bCs/>
          <w:b/>
        </w:rPr>
        <w:t xml:space="preserve">॥ Bhāvārthaḥ ॥</w:t>
      </w:r>
      <w:r>
        <w:t xml:space="preserve"> </w:t>
      </w:r>
      <w:r>
        <w:rPr>
          <w:iCs/>
          <w:i/>
        </w:rPr>
        <w:t xml:space="preserve">(Kannada, translated)</w:t>
      </w:r>
    </w:p>
    <w:p>
      <w:pPr>
        <w:pStyle w:val="BodyText"/>
      </w:pPr>
      <w:r>
        <w:t xml:space="preserve">O Viśvedevas! You are the givers of rain — that is, you cause the rain to fall. The Soma-juice has been prepared for you. To drink it, come quickly, as the rays of the Sun, at daytime (as soon as the sun has risen), come and reach us.</w:t>
      </w:r>
    </w:p>
    <w:bookmarkEnd w:id="80"/>
    <w:bookmarkStart w:id="81" w:name="X85eff2fa198e07b643e21b1f54ea8521aed6dcf"/>
    <w:p>
      <w:pPr>
        <w:pStyle w:val="Heading3"/>
      </w:pPr>
      <w:r>
        <w:t xml:space="preserve">Page 56 — English rendering of Rik 3.8; Special topics:</w:t>
      </w:r>
      <w:r>
        <w:t xml:space="preserve"> </w:t>
      </w:r>
      <w:r>
        <w:t xml:space="preserve">“</w:t>
      </w:r>
      <w:r>
        <w:t xml:space="preserve">apturaḥ,</w:t>
      </w:r>
      <w:r>
        <w:t xml:space="preserve">”</w:t>
      </w:r>
      <w:r>
        <w:t xml:space="preserve"> </w:t>
      </w:r>
      <w:r>
        <w:t xml:space="preserve">“</w:t>
      </w:r>
      <w:r>
        <w:t xml:space="preserve">sutam,</w:t>
      </w:r>
      <w:r>
        <w:t xml:space="preserve">”</w:t>
      </w:r>
      <w:r>
        <w:t xml:space="preserve"> </w:t>
      </w:r>
      <w:r>
        <w:t xml:space="preserve">“</w:t>
      </w:r>
      <w:r>
        <w:t xml:space="preserve">tūrṇayaḥ</w:t>
      </w:r>
      <w:r>
        <w:t xml:space="preserve">”</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1, Sūkta 3.</w:t>
      </w:r>
      <w:r>
        <w:rPr>
          <w:iCs/>
          <w:i/>
        </w:rPr>
        <w:t xml:space="preserve">”</w:t>
      </w:r>
      <w:r>
        <w:rPr>
          <w:iCs/>
          <w:i/>
        </w:rPr>
        <w:t xml:space="preserve"> </w:t>
      </w:r>
      <w:r>
        <w:rPr>
          <w:iCs/>
          <w:i/>
        </w:rPr>
        <w:t xml:space="preserve">English passages are as printed in the source. Reference-numbers are in small Kannada numerals; where uncertain. Glosses on the verses are mine.)</w:t>
      </w:r>
    </w:p>
    <w:p>
      <w:pPr>
        <w:pStyle w:val="BodyText"/>
      </w:pPr>
      <w:r>
        <w:rPr>
          <w:bCs/>
          <w:b/>
        </w:rPr>
        <w:t xml:space="preserve">English Translation</w:t>
      </w:r>
      <w:r>
        <w:t xml:space="preserve"> </w:t>
      </w:r>
      <w:r>
        <w:rPr>
          <w:iCs/>
          <w:i/>
        </w:rPr>
        <w:t xml:space="preserve">(printed in English in the source itself):</w:t>
      </w:r>
    </w:p>
    <w:p>
      <w:pPr>
        <w:pStyle w:val="BodyText"/>
      </w:pPr>
      <w:r>
        <w:t xml:space="preserve">“</w:t>
      </w:r>
      <w:r>
        <w:t xml:space="preserve">May Visvedevas, givers of rain, swift in action, come to the libation (of soma juice) as the (sun’s) rays (come) to the days.</w:t>
      </w:r>
      <w:r>
        <w:t xml:space="preserve">”</w:t>
      </w:r>
    </w:p>
    <w:p>
      <w:pPr>
        <w:pStyle w:val="BodyText"/>
      </w:pPr>
      <w:r>
        <w:rPr>
          <w:bCs/>
          <w:b/>
        </w:rPr>
        <w:t xml:space="preserve">॥ Viśeṣa-viṣayagaḷu (Special Topics) ॥</w:t>
      </w:r>
    </w:p>
    <w:p>
      <w:pPr>
        <w:pStyle w:val="BodyText"/>
      </w:pPr>
      <w:r>
        <w:rPr>
          <w:bCs/>
          <w:b/>
        </w:rPr>
        <w:t xml:space="preserve">अप्तुरः (apturaḥ)</w:t>
      </w:r>
      <w:r>
        <w:t xml:space="preserve"> </w:t>
      </w:r>
      <w:r>
        <w:t xml:space="preserve">— The Bhāṣyakāra and Skandasvāmī both explain this as</w:t>
      </w:r>
      <w:r>
        <w:t xml:space="preserve"> </w:t>
      </w:r>
      <w:r>
        <w:t xml:space="preserve">“</w:t>
      </w:r>
      <w:r>
        <w:t xml:space="preserve">vṛṣṭi-pradāḥ</w:t>
      </w:r>
      <w:r>
        <w:t xml:space="preserve">”</w:t>
      </w:r>
      <w:r>
        <w:t xml:space="preserve"> </w:t>
      </w:r>
      <w:r>
        <w:t xml:space="preserve">— that is,</w:t>
      </w:r>
      <w:r>
        <w:t xml:space="preserve"> </w:t>
      </w:r>
      <w:r>
        <w:t xml:space="preserve">“</w:t>
      </w:r>
      <w:r>
        <w:t xml:space="preserve">those who give rain.</w:t>
      </w:r>
      <w:r>
        <w:t xml:space="preserve">”</w:t>
      </w:r>
      <w:r>
        <w:t xml:space="preserve"> </w:t>
      </w:r>
      <w:r>
        <w:t xml:space="preserve">Among Western scholars, for this word:</w:t>
      </w:r>
      <w:r>
        <w:t xml:space="preserve"> </w:t>
      </w:r>
      <w:r>
        <w:rPr>
          <w:bCs/>
          <w:b/>
        </w:rPr>
        <w:t xml:space="preserve">“</w:t>
      </w:r>
      <w:r>
        <w:rPr>
          <w:bCs/>
          <w:b/>
        </w:rPr>
        <w:t xml:space="preserve">Gloss</w:t>
      </w:r>
      <w:r>
        <w:rPr>
          <w:bCs/>
          <w:b/>
        </w:rPr>
        <w:t xml:space="preserve">”</w:t>
      </w:r>
      <w:r>
        <w:t xml:space="preserve"> </w:t>
      </w:r>
      <w:r>
        <w:t xml:space="preserve">[as printed; I take it to be a scholar’s name rendered thus] —</w:t>
      </w:r>
      <w:r>
        <w:t xml:space="preserve"> </w:t>
      </w:r>
      <w:r>
        <w:t xml:space="preserve">“</w:t>
      </w:r>
      <w:r>
        <w:t xml:space="preserve">Stepping over an expanse of water, commanding over water, overcoming all difficulty</w:t>
      </w:r>
      <w:r>
        <w:t xml:space="preserve">”</w:t>
      </w:r>
      <w:r>
        <w:t xml:space="preserve">;</w:t>
      </w:r>
      <w:r>
        <w:t xml:space="preserve"> </w:t>
      </w:r>
      <w:r>
        <w:rPr>
          <w:bCs/>
          <w:b/>
        </w:rPr>
        <w:t xml:space="preserve">Griffith</w:t>
      </w:r>
      <w:r>
        <w:t xml:space="preserve"> </w:t>
      </w:r>
      <w:r>
        <w:t xml:space="preserve">—</w:t>
      </w:r>
      <w:r>
        <w:t xml:space="preserve"> </w:t>
      </w:r>
      <w:r>
        <w:t xml:space="preserve">“</w:t>
      </w:r>
      <w:r>
        <w:t xml:space="preserve">active, pushing, hardworking</w:t>
      </w:r>
      <w:r>
        <w:t xml:space="preserve">”</w:t>
      </w:r>
      <w:r>
        <w:t xml:space="preserve">;</w:t>
      </w:r>
      <w:r>
        <w:t xml:space="preserve"> </w:t>
      </w:r>
      <w:r>
        <w:rPr>
          <w:bCs/>
          <w:b/>
        </w:rPr>
        <w:t xml:space="preserve">Ludwig</w:t>
      </w:r>
      <w:r>
        <w:t xml:space="preserve"> </w:t>
      </w:r>
      <w:r>
        <w:t xml:space="preserve">—</w:t>
      </w:r>
      <w:r>
        <w:t xml:space="preserve"> </w:t>
      </w:r>
      <w:r>
        <w:t xml:space="preserve">“</w:t>
      </w:r>
      <w:r>
        <w:t xml:space="preserve">Securer of rains, Active, quick, swift</w:t>
      </w:r>
      <w:r>
        <w:t xml:space="preserve">”</w:t>
      </w:r>
      <w:r>
        <w:t xml:space="preserve">;</w:t>
      </w:r>
      <w:r>
        <w:t xml:space="preserve"> </w:t>
      </w:r>
      <w:r>
        <w:rPr>
          <w:bCs/>
          <w:b/>
        </w:rPr>
        <w:t xml:space="preserve">Williams</w:t>
      </w:r>
      <w:r>
        <w:t xml:space="preserve"> </w:t>
      </w:r>
      <w:r>
        <w:t xml:space="preserve">—</w:t>
      </w:r>
      <w:r>
        <w:t xml:space="preserve"> </w:t>
      </w:r>
      <w:r>
        <w:t xml:space="preserve">“</w:t>
      </w:r>
      <w:r>
        <w:t xml:space="preserve">shedder of rains</w:t>
      </w:r>
      <w:r>
        <w:t xml:space="preserve">”</w:t>
      </w:r>
      <w:r>
        <w:t xml:space="preserve">;</w:t>
      </w:r>
      <w:r>
        <w:t xml:space="preserve"> </w:t>
      </w:r>
      <w:r>
        <w:rPr>
          <w:bCs/>
          <w:b/>
        </w:rPr>
        <w:t xml:space="preserve">Rosen</w:t>
      </w:r>
      <w:r>
        <w:t xml:space="preserve"> </w:t>
      </w:r>
      <w:r>
        <w:t xml:space="preserve">—</w:t>
      </w:r>
      <w:r>
        <w:t xml:space="preserve"> </w:t>
      </w:r>
      <w:r>
        <w:t xml:space="preserve">“</w:t>
      </w:r>
      <w:r>
        <w:t xml:space="preserve">rich in rains</w:t>
      </w:r>
      <w:r>
        <w:t xml:space="preserve">”</w:t>
      </w:r>
      <w:r>
        <w:t xml:space="preserve">;</w:t>
      </w:r>
      <w:r>
        <w:t xml:space="preserve"> </w:t>
      </w:r>
      <w:r>
        <w:rPr>
          <w:bCs/>
          <w:b/>
        </w:rPr>
        <w:t xml:space="preserve">Benfey</w:t>
      </w:r>
      <w:r>
        <w:t xml:space="preserve"> </w:t>
      </w:r>
      <w:r>
        <w:t xml:space="preserve">—</w:t>
      </w:r>
      <w:r>
        <w:t xml:space="preserve"> </w:t>
      </w:r>
      <w:r>
        <w:t xml:space="preserve">“</w:t>
      </w:r>
      <w:r>
        <w:t xml:space="preserve">worthy, active, diligent.</w:t>
      </w:r>
      <w:r>
        <w:t xml:space="preserve">”</w:t>
      </w:r>
      <w:r>
        <w:t xml:space="preserve"> </w:t>
      </w:r>
      <w:r>
        <w:t xml:space="preserve">This word</w:t>
      </w:r>
      <w:r>
        <w:t xml:space="preserve"> </w:t>
      </w:r>
      <w:r>
        <w:t xml:space="preserve">“</w:t>
      </w:r>
      <w:r>
        <w:t xml:space="preserve">apturaḥ</w:t>
      </w:r>
      <w:r>
        <w:t xml:space="preserve">”</w:t>
      </w:r>
      <w:r>
        <w:t xml:space="preserve"> </w:t>
      </w:r>
      <w:r>
        <w:t xml:space="preserve">is used not only of the Viśvedevas but also of other deities — the Aśvins, Indra, Agni, Pavamāna-Soma and others:</w:t>
      </w:r>
    </w:p>
    <w:p>
      <w:pPr>
        <w:pStyle w:val="BlockText"/>
      </w:pPr>
      <w:r>
        <w:rPr>
          <w:bCs/>
          <w:b/>
        </w:rPr>
        <w:t xml:space="preserve">For the Aśvins:</w:t>
      </w:r>
      <w:r>
        <w:t xml:space="preserve"> </w:t>
      </w:r>
      <w:r>
        <w:t xml:space="preserve">ये अप्तुरो दिव्यासो न गृध्रा अभि प्रयो नासत्या वहन्ति ॥ (ऋ. सं. १-११८-४)</w:t>
      </w:r>
      <w:r>
        <w:t xml:space="preserve"> </w:t>
      </w:r>
      <w:r>
        <w:rPr>
          <w:iCs/>
          <w:i/>
        </w:rPr>
        <w:t xml:space="preserve">ye apturo divyāso na gṛdhrā abhi prayo nāsatyā vahanti || (ṛ. saṃ. 1-118-4)</w:t>
      </w:r>
      <w:r>
        <w:t xml:space="preserve"> </w:t>
      </w:r>
      <w:r>
        <w:t xml:space="preserve">Gloss:</w:t>
      </w:r>
      <w:r>
        <w:t xml:space="preserve"> </w:t>
      </w:r>
      <w:r>
        <w:t xml:space="preserve">“</w:t>
      </w:r>
      <w:r>
        <w:t xml:space="preserve">Those (horses) that are rain-bringers, like heavenly vultures, carry the Nāsatyas to the offering.</w:t>
      </w:r>
      <w:r>
        <w:t xml:space="preserve">”</w:t>
      </w:r>
    </w:p>
    <w:p>
      <w:pPr>
        <w:pStyle w:val="BlockText"/>
      </w:pPr>
      <w:r>
        <w:rPr>
          <w:bCs/>
          <w:b/>
        </w:rPr>
        <w:t xml:space="preserve">For Indra:</w:t>
      </w:r>
      <w:r>
        <w:t xml:space="preserve"> </w:t>
      </w:r>
      <w:r>
        <w:t xml:space="preserve">यज्ञेन गातुमप्तुरो विविद्रिरे धियो हिन्वाना उशिजो मनीषिणः ॥ (ऋ. सं. २-२१-५ तथा ३-५१-२)</w:t>
      </w:r>
      <w:r>
        <w:t xml:space="preserve"> </w:t>
      </w:r>
      <w:r>
        <w:rPr>
          <w:iCs/>
          <w:i/>
        </w:rPr>
        <w:t xml:space="preserve">yajñena gātum apturo vividrire dhiyo hinvānā uśijo manīṣiṇaḥ || (ṛ. saṃ. 2-21-5 and 3-51-2)</w:t>
      </w:r>
      <w:r>
        <w:t xml:space="preserve"> </w:t>
      </w:r>
      <w:r>
        <w:t xml:space="preserve">Gloss:</w:t>
      </w:r>
      <w:r>
        <w:t xml:space="preserve"> </w:t>
      </w:r>
      <w:r>
        <w:t xml:space="preserve">“</w:t>
      </w:r>
      <w:r>
        <w:t xml:space="preserve">By sacrifice the active, wise, eager singers found the path, stirring their thoughts.</w:t>
      </w:r>
      <w:r>
        <w:t xml:space="preserve">”</w:t>
      </w:r>
    </w:p>
    <w:p>
      <w:pPr>
        <w:pStyle w:val="BlockText"/>
      </w:pPr>
      <w:r>
        <w:rPr>
          <w:bCs/>
          <w:b/>
        </w:rPr>
        <w:t xml:space="preserve">For Pavamāna-Soma:</w:t>
      </w:r>
      <w:r>
        <w:t xml:space="preserve"> </w:t>
      </w:r>
      <w:r>
        <w:t xml:space="preserve">इन्द्रं वर्धन्तो अप्तुरः कृण्वन्तो विश्वमार्यम् ॥ (ऋ. सं. ९-६३-५; ९-६१-१३; ९-६३-२१; ९-१०८-७)</w:t>
      </w:r>
      <w:r>
        <w:t xml:space="preserve"> </w:t>
      </w:r>
      <w:r>
        <w:rPr>
          <w:iCs/>
          <w:i/>
        </w:rPr>
        <w:t xml:space="preserve">indraṃ vardhanto apturaḥ kṛṇvanto viśvam āryam || (ṛ. saṃ. 9-63-5; 9-61-13; 9-63-21; 9-108-7)</w:t>
      </w:r>
      <w:r>
        <w:t xml:space="preserve"> </w:t>
      </w:r>
      <w:r>
        <w:t xml:space="preserve">Gloss:</w:t>
      </w:r>
      <w:r>
        <w:t xml:space="preserve"> </w:t>
      </w:r>
      <w:r>
        <w:t xml:space="preserve">“</w:t>
      </w:r>
      <w:r>
        <w:t xml:space="preserve">Strengthening Indra, the swift ones, making the whole world noble (Āryan).</w:t>
      </w:r>
      <w:r>
        <w:t xml:space="preserve">”</w:t>
      </w:r>
    </w:p>
    <w:p>
      <w:pPr>
        <w:pStyle w:val="BlockText"/>
      </w:pPr>
      <w:r>
        <w:rPr>
          <w:bCs/>
          <w:b/>
        </w:rPr>
        <w:t xml:space="preserve">For Agni:</w:t>
      </w:r>
      <w:r>
        <w:t xml:space="preserve"> </w:t>
      </w:r>
      <w:r>
        <w:t xml:space="preserve">अग्निं यन्तुरमप्तुरमृतस्य योगे वनुषः ॥ (ऋ. सं. ३-२७-११) इत्यादि</w:t>
      </w:r>
      <w:r>
        <w:t xml:space="preserve"> </w:t>
      </w:r>
      <w:r>
        <w:rPr>
          <w:iCs/>
          <w:i/>
        </w:rPr>
        <w:t xml:space="preserve">agniṃ yanturam apturam ṛtasya yoge vanuṣaḥ || (ṛ. saṃ. 3-27-11) ity ādi</w:t>
      </w:r>
      <w:r>
        <w:t xml:space="preserve"> </w:t>
      </w:r>
      <w:r>
        <w:t xml:space="preserve">Gloss:</w:t>
      </w:r>
      <w:r>
        <w:t xml:space="preserve"> </w:t>
      </w:r>
      <w:r>
        <w:t xml:space="preserve">“</w:t>
      </w:r>
      <w:r>
        <w:t xml:space="preserve">Agni, the controller, the rain-giver, at the yoking of the Order, to the one who honours.</w:t>
      </w:r>
      <w:r>
        <w:t xml:space="preserve">”</w:t>
      </w:r>
      <w:r>
        <w:t xml:space="preserve"> </w:t>
      </w:r>
      <w:r>
        <w:t xml:space="preserve">[tentative]</w:t>
      </w:r>
    </w:p>
    <w:p>
      <w:pPr>
        <w:pStyle w:val="FirstParagraph"/>
      </w:pPr>
      <w:r>
        <w:rPr>
          <w:bCs/>
          <w:b/>
        </w:rPr>
        <w:t xml:space="preserve">सुतम् (sutam)</w:t>
      </w:r>
      <w:r>
        <w:t xml:space="preserve"> </w:t>
      </w:r>
      <w:r>
        <w:t xml:space="preserve">—</w:t>
      </w:r>
      <w:r>
        <w:t xml:space="preserve"> </w:t>
      </w:r>
      <w:r>
        <w:t xml:space="preserve">“</w:t>
      </w:r>
      <w:r>
        <w:t xml:space="preserve">Pressed with stones, crushed, the juice squeezed out and filtered so as to be fit for drinking.</w:t>
      </w:r>
      <w:r>
        <w:t xml:space="preserve">”</w:t>
      </w:r>
      <w:r>
        <w:t xml:space="preserve"> </w:t>
      </w:r>
      <w:r>
        <w:t xml:space="preserve">Along with it the word</w:t>
      </w:r>
      <w:r>
        <w:t xml:space="preserve"> </w:t>
      </w:r>
      <w:r>
        <w:t xml:space="preserve">“</w:t>
      </w:r>
      <w:r>
        <w:t xml:space="preserve">somam</w:t>
      </w:r>
      <w:r>
        <w:t xml:space="preserve">”</w:t>
      </w:r>
      <w:r>
        <w:t xml:space="preserve"> </w:t>
      </w:r>
      <w:r>
        <w:t xml:space="preserve">sometimes occurs and sometimes does not; in both cases the sense is the Soma-juice.</w:t>
      </w:r>
    </w:p>
    <w:p>
      <w:pPr>
        <w:pStyle w:val="BodyText"/>
      </w:pPr>
      <w:r>
        <w:rPr>
          <w:bCs/>
          <w:b/>
        </w:rPr>
        <w:t xml:space="preserve">तूर्णयः (tūrṇayaḥ)</w:t>
      </w:r>
      <w:r>
        <w:t xml:space="preserve"> </w:t>
      </w:r>
      <w:r>
        <w:t xml:space="preserve">—</w:t>
      </w:r>
      <w:r>
        <w:t xml:space="preserve"> </w:t>
      </w:r>
      <w:r>
        <w:t xml:space="preserve">“</w:t>
      </w:r>
      <w:r>
        <w:t xml:space="preserve">Tvaramāṇāḥ</w:t>
      </w:r>
      <w:r>
        <w:t xml:space="preserve">”</w:t>
      </w:r>
      <w:r>
        <w:t xml:space="preserve"> </w:t>
      </w:r>
      <w:r>
        <w:t xml:space="preserve">— hastening, vigilant, quick: the Bhāṣyakāra explains it as</w:t>
      </w:r>
      <w:r>
        <w:t xml:space="preserve"> </w:t>
      </w:r>
      <w:r>
        <w:t xml:space="preserve">“</w:t>
      </w:r>
      <w:r>
        <w:t xml:space="preserve">those who come quickly, without sloth, to give the fruit of the sacrifice to the sacrificer.</w:t>
      </w:r>
      <w:r>
        <w:t xml:space="preserve">”</w:t>
      </w:r>
      <w:r>
        <w:t xml:space="preserve"> </w:t>
      </w:r>
      <w:r>
        <w:t xml:space="preserve">Western scholars too, in various words —</w:t>
      </w:r>
      <w:r>
        <w:t xml:space="preserve"> </w:t>
      </w:r>
      <w:r>
        <w:t xml:space="preserve">“</w:t>
      </w:r>
      <w:r>
        <w:t xml:space="preserve">speedy, diligently, hastily, quickly, swift, quick in work</w:t>
      </w:r>
      <w:r>
        <w:t xml:space="preserve">”</w:t>
      </w:r>
      <w:r>
        <w:t xml:space="preserve"> </w:t>
      </w:r>
      <w:r>
        <w:t xml:space="preserve">— accept the Bhāṣyakāra’s sense.</w:t>
      </w:r>
    </w:p>
    <w:p>
      <w:r>
        <w:pict>
          <v:rect style="width:0;height:1.5pt" o:hralign="center" o:hrstd="t" o:hr="t"/>
        </w:pict>
      </w:r>
    </w:p>
    <w:bookmarkEnd w:id="81"/>
    <w:bookmarkStart w:id="82" w:name="X78c35f63314be930181aa10a24ad77996b1a716"/>
    <w:p>
      <w:pPr>
        <w:pStyle w:val="Heading3"/>
      </w:pPr>
      <w:r>
        <w:t xml:space="preserve">Page 57 — Special topics:</w:t>
      </w:r>
      <w:r>
        <w:t xml:space="preserve"> </w:t>
      </w:r>
      <w:r>
        <w:t xml:space="preserve">“</w:t>
      </w:r>
      <w:r>
        <w:t xml:space="preserve">usrā iva,</w:t>
      </w:r>
      <w:r>
        <w:t xml:space="preserve">”</w:t>
      </w:r>
      <w:r>
        <w:t xml:space="preserve"> </w:t>
      </w:r>
      <w:r>
        <w:t xml:space="preserve">“</w:t>
      </w:r>
      <w:r>
        <w:t xml:space="preserve">svasarāṇi</w:t>
      </w:r>
      <w:r>
        <w:t xml:space="preserve">”</w:t>
      </w:r>
      <w:r>
        <w:t xml:space="preserve">; Vyākaraṇa-prakriyā for Rik 3.8 begins</w:t>
      </w:r>
    </w:p>
    <w:p>
      <w:pPr>
        <w:pStyle w:val="FirstParagraph"/>
      </w:pPr>
      <w:r>
        <w:rPr>
          <w:iCs/>
          <w:i/>
        </w:rPr>
        <w:t xml:space="preserve">(Page header:</w:t>
      </w:r>
      <w:r>
        <w:rPr>
          <w:iCs/>
          <w:i/>
        </w:rPr>
        <w:t xml:space="preserve"> </w:t>
      </w:r>
      <w:r>
        <w:rPr>
          <w:iCs/>
          <w:i/>
        </w:rPr>
        <w:t xml:space="preserve">“</w:t>
      </w:r>
      <w:r>
        <w:rPr>
          <w:iCs/>
          <w:i/>
        </w:rPr>
        <w:t xml:space="preserve">Aṣṭaka 1, Adhyāya 1, Varga 6 · Ṛgveda-saṃhitā.</w:t>
      </w:r>
      <w:r>
        <w:rPr>
          <w:iCs/>
          <w:i/>
        </w:rPr>
        <w:t xml:space="preserve">”</w:t>
      </w:r>
      <w:r>
        <w:rPr>
          <w:iCs/>
          <w:i/>
        </w:rPr>
        <w:t xml:space="preserve">)</w:t>
      </w:r>
    </w:p>
    <w:p>
      <w:pPr>
        <w:pStyle w:val="BodyText"/>
      </w:pPr>
      <w:r>
        <w:rPr>
          <w:bCs/>
          <w:b/>
        </w:rPr>
        <w:t xml:space="preserve">उस्रा इव (usrā iva) and स्वसराणि (svasarāṇi)</w:t>
      </w:r>
      <w:r>
        <w:t xml:space="preserve"> </w:t>
      </w:r>
      <w:r>
        <w:t xml:space="preserve">— The word</w:t>
      </w:r>
      <w:r>
        <w:t xml:space="preserve"> </w:t>
      </w:r>
      <w:r>
        <w:t xml:space="preserve">“</w:t>
      </w:r>
      <w:r>
        <w:t xml:space="preserve">usrā</w:t>
      </w:r>
      <w:r>
        <w:t xml:space="preserve">”</w:t>
      </w:r>
      <w:r>
        <w:t xml:space="preserve"> </w:t>
      </w:r>
      <w:r>
        <w:t xml:space="preserve">is read among the fifteen words that denote rays (Nighaṇṭu 2-15), and, in the sense</w:t>
      </w:r>
      <w:r>
        <w:t xml:space="preserve"> </w:t>
      </w:r>
      <w:r>
        <w:t xml:space="preserve">“</w:t>
      </w:r>
      <w:r>
        <w:t xml:space="preserve">cows,</w:t>
      </w:r>
      <w:r>
        <w:t xml:space="preserve">”</w:t>
      </w:r>
      <w:r>
        <w:t xml:space="preserve"> </w:t>
      </w:r>
      <w:r>
        <w:t xml:space="preserve">among the nine words (Nighaṇṭu 3-9); and the word</w:t>
      </w:r>
      <w:r>
        <w:t xml:space="preserve"> </w:t>
      </w:r>
      <w:r>
        <w:t xml:space="preserve">“</w:t>
      </w:r>
      <w:r>
        <w:t xml:space="preserve">svasarāṇi</w:t>
      </w:r>
      <w:r>
        <w:t xml:space="preserve">”</w:t>
      </w:r>
      <w:r>
        <w:t xml:space="preserve"> </w:t>
      </w:r>
      <w:r>
        <w:t xml:space="preserve">is read among the twelve words that denote</w:t>
      </w:r>
      <w:r>
        <w:t xml:space="preserve"> </w:t>
      </w:r>
      <w:r>
        <w:t xml:space="preserve">“</w:t>
      </w:r>
      <w:r>
        <w:t xml:space="preserve">day,</w:t>
      </w:r>
      <w:r>
        <w:t xml:space="preserve">”</w:t>
      </w:r>
      <w:r>
        <w:t xml:space="preserve"> </w:t>
      </w:r>
      <w:r>
        <w:t xml:space="preserve">and also among the twenty-two names that denote</w:t>
      </w:r>
      <w:r>
        <w:t xml:space="preserve"> </w:t>
      </w:r>
      <w:r>
        <w:t xml:space="preserve">“</w:t>
      </w:r>
      <w:r>
        <w:t xml:space="preserve">house.</w:t>
      </w:r>
      <w:r>
        <w:t xml:space="preserve">”</w:t>
      </w:r>
      <w:r>
        <w:t xml:space="preserve"> </w:t>
      </w:r>
      <w:r>
        <w:t xml:space="preserve">Hence, for the illustrative sentence</w:t>
      </w:r>
      <w:r>
        <w:t xml:space="preserve"> </w:t>
      </w:r>
      <w:r>
        <w:t xml:space="preserve">“</w:t>
      </w:r>
      <w:r>
        <w:t xml:space="preserve">usrā iva svasarāṇi,</w:t>
      </w:r>
      <w:r>
        <w:t xml:space="preserve">”</w:t>
      </w:r>
      <w:r>
        <w:t xml:space="preserve"> </w:t>
      </w:r>
      <w:r>
        <w:t xml:space="preserve">besides the sense the Bhāṣyakāra gives, one may also render it</w:t>
      </w:r>
      <w:r>
        <w:t xml:space="preserve"> </w:t>
      </w:r>
      <w:r>
        <w:t xml:space="preserve">“</w:t>
      </w:r>
      <w:r>
        <w:rPr>
          <w:iCs/>
          <w:i/>
        </w:rPr>
        <w:t xml:space="preserve">as cows go to their own homes.</w:t>
      </w:r>
      <w:r>
        <w:t xml:space="preserve">”</w:t>
      </w:r>
      <w:r>
        <w:t xml:space="preserve"> </w:t>
      </w:r>
      <w:r>
        <w:t xml:space="preserve">Both Skandasvāmī and Veṅkaṭamādhava give both kinds of meaning. Western scholars too explain</w:t>
      </w:r>
      <w:r>
        <w:t xml:space="preserve"> </w:t>
      </w:r>
      <w:r>
        <w:t xml:space="preserve">“</w:t>
      </w:r>
      <w:r>
        <w:t xml:space="preserve">svasarāṇi</w:t>
      </w:r>
      <w:r>
        <w:t xml:space="preserve">”</w:t>
      </w:r>
      <w:r>
        <w:t xml:space="preserve"> </w:t>
      </w:r>
      <w:r>
        <w:t xml:space="preserve">by</w:t>
      </w:r>
      <w:r>
        <w:t xml:space="preserve"> </w:t>
      </w:r>
      <w:r>
        <w:t xml:space="preserve">“</w:t>
      </w:r>
      <w:r>
        <w:t xml:space="preserve">day, cowshed, stall, abode, grazing</w:t>
      </w:r>
      <w:r>
        <w:t xml:space="preserve">”</w:t>
      </w:r>
      <w:r>
        <w:t xml:space="preserve"> </w:t>
      </w:r>
      <w:r>
        <w:t xml:space="preserve">and similar words</w:t>
      </w:r>
      <w:r>
        <w:t xml:space="preserve"> </w:t>
      </w:r>
      <w:r>
        <w:rPr>
          <w:iCs/>
          <w:i/>
        </w:rPr>
        <w:t xml:space="preserve">(English as printed in the source)</w:t>
      </w:r>
      <w:r>
        <w:t xml:space="preserve">. The word</w:t>
      </w:r>
      <w:r>
        <w:t xml:space="preserve"> </w:t>
      </w:r>
      <w:r>
        <w:t xml:space="preserve">“</w:t>
      </w:r>
      <w:r>
        <w:t xml:space="preserve">svasarāṇi</w:t>
      </w:r>
      <w:r>
        <w:t xml:space="preserve">”</w:t>
      </w:r>
      <w:r>
        <w:t xml:space="preserve"> </w:t>
      </w:r>
      <w:r>
        <w:t xml:space="preserve">is used in the Ṛks 1-34-8; 2-19-2; 2-34-5; 3-60-6.</w:t>
      </w:r>
    </w:p>
    <w:p>
      <w:pPr>
        <w:pStyle w:val="BodyText"/>
      </w:pPr>
      <w:r>
        <w:rPr>
          <w:bCs/>
          <w:b/>
        </w:rPr>
        <w:t xml:space="preserve">॥ Vyākaraṇa-prakriyā ॥</w:t>
      </w:r>
      <w:r>
        <w:t xml:space="preserve"> </w:t>
      </w:r>
      <w:r>
        <w:rPr>
          <w:iCs/>
          <w:i/>
        </w:rPr>
        <w:t xml:space="preserve">(Kannada; characterized, sūtras kept)</w:t>
      </w:r>
      <w:r>
        <w:t xml:space="preserve"> </w:t>
      </w:r>
      <w:r>
        <w:t xml:space="preserve">“</w:t>
      </w:r>
      <w:r>
        <w:rPr>
          <w:bCs/>
          <w:b/>
        </w:rPr>
        <w:t xml:space="preserve">Devāsaḥ</w:t>
      </w:r>
      <w:r>
        <w:t xml:space="preserve">”</w:t>
      </w:r>
      <w:r>
        <w:t xml:space="preserve">: by</w:t>
      </w:r>
      <w:r>
        <w:t xml:space="preserve"> </w:t>
      </w:r>
      <w:r>
        <w:rPr>
          <w:bCs/>
          <w:b/>
        </w:rPr>
        <w:t xml:space="preserve">नन्दिग्रहिपचादिभ्यो ल्युणिन्यचः</w:t>
      </w:r>
      <w:r>
        <w:t xml:space="preserve"> </w:t>
      </w:r>
      <w:r>
        <w:t xml:space="preserve">(</w:t>
      </w:r>
      <w:r>
        <w:rPr>
          <w:iCs/>
          <w:i/>
        </w:rPr>
        <w:t xml:space="preserve">nandi-grahi-pacādibhyo lyu-ṇiny-acaḥ</w:t>
      </w:r>
      <w:r>
        <w:t xml:space="preserve">, पा. ३-१-१३४) the affix</w:t>
      </w:r>
      <w:r>
        <w:t xml:space="preserve"> </w:t>
      </w:r>
      <w:r>
        <w:t xml:space="preserve">“</w:t>
      </w:r>
      <w:r>
        <w:t xml:space="preserve">ac</w:t>
      </w:r>
      <w:r>
        <w:t xml:space="preserve">”</w:t>
      </w:r>
      <w:r>
        <w:t xml:space="preserve"> </w:t>
      </w:r>
      <w:r>
        <w:t xml:space="preserve">comes after the</w:t>
      </w:r>
      <w:r>
        <w:t xml:space="preserve"> </w:t>
      </w:r>
      <w:r>
        <w:t xml:space="preserve">“</w:t>
      </w:r>
      <w:r>
        <w:t xml:space="preserve">pacādi</w:t>
      </w:r>
      <w:r>
        <w:t xml:space="preserve">”</w:t>
      </w:r>
      <w:r>
        <w:t xml:space="preserve"> </w:t>
      </w:r>
      <w:r>
        <w:t xml:space="preserve">root</w:t>
      </w:r>
      <w:r>
        <w:t xml:space="preserve"> </w:t>
      </w:r>
      <w:r>
        <w:t xml:space="preserve">“</w:t>
      </w:r>
      <w:r>
        <w:t xml:space="preserve">div</w:t>
      </w:r>
      <w:r>
        <w:t xml:space="preserve">”</w:t>
      </w:r>
      <w:r>
        <w:t xml:space="preserve">; in the nominative plural</w:t>
      </w:r>
      <w:r>
        <w:t xml:space="preserve"> </w:t>
      </w:r>
      <w:r>
        <w:t xml:space="preserve">“</w:t>
      </w:r>
      <w:r>
        <w:t xml:space="preserve">āj-jaser asuk</w:t>
      </w:r>
      <w:r>
        <w:t xml:space="preserve">”</w:t>
      </w:r>
      <w:r>
        <w:t xml:space="preserve"> </w:t>
      </w:r>
      <w:r>
        <w:t xml:space="preserve">(पा. ७-१-५०) gives the augment</w:t>
      </w:r>
      <w:r>
        <w:t xml:space="preserve"> </w:t>
      </w:r>
      <w:r>
        <w:t xml:space="preserve">“</w:t>
      </w:r>
      <w:r>
        <w:t xml:space="preserve">asuk</w:t>
      </w:r>
      <w:r>
        <w:t xml:space="preserve">”</w:t>
      </w:r>
      <w:r>
        <w:t xml:space="preserve">; the</w:t>
      </w:r>
      <w:r>
        <w:t xml:space="preserve"> </w:t>
      </w:r>
      <w:r>
        <w:t xml:space="preserve">“</w:t>
      </w:r>
      <w:r>
        <w:t xml:space="preserve">ac</w:t>
      </w:r>
      <w:r>
        <w:t xml:space="preserve">”</w:t>
      </w:r>
      <w:r>
        <w:t xml:space="preserve"> </w:t>
      </w:r>
      <w:r>
        <w:t xml:space="preserve">affix being</w:t>
      </w:r>
      <w:r>
        <w:t xml:space="preserve"> </w:t>
      </w:r>
      <w:r>
        <w:t xml:space="preserve">“</w:t>
      </w:r>
      <w:r>
        <w:t xml:space="preserve">c</w:t>
      </w:r>
      <w:r>
        <w:t xml:space="preserve">”</w:t>
      </w:r>
      <w:r>
        <w:t xml:space="preserve">-marked, the last syllable is acute by</w:t>
      </w:r>
      <w:r>
        <w:t xml:space="preserve"> </w:t>
      </w:r>
      <w:r>
        <w:rPr>
          <w:bCs/>
          <w:b/>
        </w:rPr>
        <w:t xml:space="preserve">चितः</w:t>
      </w:r>
      <w:r>
        <w:t xml:space="preserve"> </w:t>
      </w:r>
      <w:r>
        <w:t xml:space="preserve">(</w:t>
      </w:r>
      <w:r>
        <w:rPr>
          <w:iCs/>
          <w:i/>
        </w:rPr>
        <w:t xml:space="preserve">citaḥ</w:t>
      </w:r>
      <w:r>
        <w:t xml:space="preserve">, पा. ६-१-१६३).</w:t>
      </w:r>
      <w:r>
        <w:t xml:space="preserve"> </w:t>
      </w:r>
      <w:r>
        <w:t xml:space="preserve">“</w:t>
      </w:r>
      <w:r>
        <w:rPr>
          <w:bCs/>
          <w:b/>
        </w:rPr>
        <w:t xml:space="preserve">Apturaḥ</w:t>
      </w:r>
      <w:r>
        <w:t xml:space="preserve">”</w:t>
      </w:r>
      <w:r>
        <w:t xml:space="preserve">: the root</w:t>
      </w:r>
      <w:r>
        <w:t xml:space="preserve"> </w:t>
      </w:r>
      <w:r>
        <w:t xml:space="preserve">“</w:t>
      </w:r>
      <w:r>
        <w:t xml:space="preserve">tur</w:t>
      </w:r>
      <w:r>
        <w:t xml:space="preserve">”</w:t>
      </w:r>
      <w:r>
        <w:t xml:space="preserve"> </w:t>
      </w:r>
      <w:r>
        <w:t xml:space="preserve">(to hasten) is in the</w:t>
      </w:r>
      <w:r>
        <w:t xml:space="preserve"> </w:t>
      </w:r>
      <w:r>
        <w:t xml:space="preserve">“</w:t>
      </w:r>
      <w:r>
        <w:t xml:space="preserve">juhotyādi</w:t>
      </w:r>
      <w:r>
        <w:t xml:space="preserve">”</w:t>
      </w:r>
      <w:r>
        <w:t xml:space="preserve"> </w:t>
      </w:r>
      <w:r>
        <w:t xml:space="preserve">group, taking</w:t>
      </w:r>
      <w:r>
        <w:t xml:space="preserve"> </w:t>
      </w:r>
      <w:r>
        <w:t xml:space="preserve">“</w:t>
      </w:r>
      <w:r>
        <w:t xml:space="preserve">ślu</w:t>
      </w:r>
      <w:r>
        <w:t xml:space="preserve">”</w:t>
      </w:r>
      <w:r>
        <w:t xml:space="preserve">;</w:t>
      </w:r>
      <w:r>
        <w:t xml:space="preserve"> </w:t>
      </w:r>
      <w:r>
        <w:t xml:space="preserve">“</w:t>
      </w:r>
      <w:r>
        <w:t xml:space="preserve">apaḥ tuturti</w:t>
      </w:r>
      <w:r>
        <w:t xml:space="preserve">”</w:t>
      </w:r>
      <w:r>
        <w:t xml:space="preserve"> </w:t>
      </w:r>
      <w:r>
        <w:t xml:space="preserve">—</w:t>
      </w:r>
      <w:r>
        <w:t xml:space="preserve"> </w:t>
      </w:r>
      <w:r>
        <w:t xml:space="preserve">“</w:t>
      </w:r>
      <w:r>
        <w:t xml:space="preserve">they make the waters hasten,</w:t>
      </w:r>
      <w:r>
        <w:t xml:space="preserve">”</w:t>
      </w:r>
      <w:r>
        <w:t xml:space="preserve"> </w:t>
      </w:r>
      <w:r>
        <w:t xml:space="preserve">i.e., cause rain at the proper times; with this intended sense,</w:t>
      </w:r>
      <w:r>
        <w:t xml:space="preserve"> </w:t>
      </w:r>
      <w:r>
        <w:t xml:space="preserve">“</w:t>
      </w:r>
      <w:r>
        <w:t xml:space="preserve">kvip</w:t>
      </w:r>
      <w:r>
        <w:t xml:space="preserve">”</w:t>
      </w:r>
      <w:r>
        <w:t xml:space="preserve"> </w:t>
      </w:r>
      <w:r>
        <w:t xml:space="preserve">is added after</w:t>
      </w:r>
      <w:r>
        <w:t xml:space="preserve"> </w:t>
      </w:r>
      <w:r>
        <w:t xml:space="preserve">“</w:t>
      </w:r>
      <w:r>
        <w:t xml:space="preserve">tur</w:t>
      </w:r>
      <w:r>
        <w:t xml:space="preserve">”</w:t>
      </w:r>
      <w:r>
        <w:t xml:space="preserve"> </w:t>
      </w:r>
      <w:r>
        <w:t xml:space="preserve">by</w:t>
      </w:r>
      <w:r>
        <w:t xml:space="preserve"> </w:t>
      </w:r>
      <w:r>
        <w:rPr>
          <w:bCs/>
          <w:b/>
        </w:rPr>
        <w:t xml:space="preserve">क्विप् च</w:t>
      </w:r>
      <w:r>
        <w:t xml:space="preserve"> </w:t>
      </w:r>
      <w:r>
        <w:t xml:space="preserve">(</w:t>
      </w:r>
      <w:r>
        <w:rPr>
          <w:iCs/>
          <w:i/>
        </w:rPr>
        <w:t xml:space="preserve">kvip ca</w:t>
      </w:r>
      <w:r>
        <w:t xml:space="preserve">, पा. ३-२-७६), all of whose letters are then elided; with</w:t>
      </w:r>
      <w:r>
        <w:t xml:space="preserve"> </w:t>
      </w:r>
      <w:r>
        <w:t xml:space="preserve">“</w:t>
      </w:r>
      <w:r>
        <w:t xml:space="preserve">jas</w:t>
      </w:r>
      <w:r>
        <w:t xml:space="preserve">”</w:t>
      </w:r>
      <w:r>
        <w:t xml:space="preserve"> </w:t>
      </w:r>
      <w:r>
        <w:t xml:space="preserve">the form</w:t>
      </w:r>
      <w:r>
        <w:t xml:space="preserve"> </w:t>
      </w:r>
      <w:r>
        <w:t xml:space="preserve">“</w:t>
      </w:r>
      <w:r>
        <w:t xml:space="preserve">apturaḥ</w:t>
      </w:r>
      <w:r>
        <w:t xml:space="preserve">”</w:t>
      </w:r>
      <w:r>
        <w:t xml:space="preserve"> </w:t>
      </w:r>
      <w:r>
        <w:t xml:space="preserve">results; the accent of the second member of the kṛt-compound is retained by</w:t>
      </w:r>
      <w:r>
        <w:t xml:space="preserve"> </w:t>
      </w:r>
      <w:r>
        <w:rPr>
          <w:bCs/>
          <w:b/>
        </w:rPr>
        <w:t xml:space="preserve">गतिकारकोपपदात्कृत्</w:t>
      </w:r>
      <w:r>
        <w:t xml:space="preserve"> </w:t>
      </w:r>
      <w:r>
        <w:t xml:space="preserve">(</w:t>
      </w:r>
      <w:r>
        <w:rPr>
          <w:iCs/>
          <w:i/>
        </w:rPr>
        <w:t xml:space="preserve">gati-kāraka-upapadāt kṛt</w:t>
      </w:r>
      <w:r>
        <w:t xml:space="preserve">, पा. ६-२-१३९).</w:t>
      </w:r>
      <w:r>
        <w:t xml:space="preserve"> </w:t>
      </w:r>
      <w:r>
        <w:t xml:space="preserve">“</w:t>
      </w:r>
      <w:r>
        <w:rPr>
          <w:bCs/>
          <w:b/>
        </w:rPr>
        <w:t xml:space="preserve">Ā ganta</w:t>
      </w:r>
      <w:r>
        <w:t xml:space="preserve">”</w:t>
      </w:r>
      <w:r>
        <w:t xml:space="preserve"> </w:t>
      </w:r>
      <w:r>
        <w:t xml:space="preserve">(=</w:t>
      </w:r>
      <w:r>
        <w:t xml:space="preserve"> </w:t>
      </w:r>
      <w:r>
        <w:t xml:space="preserve">“</w:t>
      </w:r>
      <w:r>
        <w:t xml:space="preserve">āgacchantu</w:t>
      </w:r>
      <w:r>
        <w:t xml:space="preserve">”</w:t>
      </w:r>
      <w:r>
        <w:t xml:space="preserve">): the second-person-plural</w:t>
      </w:r>
      <w:r>
        <w:t xml:space="preserve"> </w:t>
      </w:r>
      <w:r>
        <w:t xml:space="preserve">“</w:t>
      </w:r>
      <w:r>
        <w:t xml:space="preserve">tha</w:t>
      </w:r>
      <w:r>
        <w:t xml:space="preserve">”</w:t>
      </w:r>
      <w:r>
        <w:t xml:space="preserve"> </w:t>
      </w:r>
      <w:r>
        <w:t xml:space="preserve">stands for the third (vyatyaya);</w:t>
      </w:r>
      <w:r>
        <w:t xml:space="preserve"> </w:t>
      </w:r>
      <w:r>
        <w:t xml:space="preserve">“</w:t>
      </w:r>
      <w:r>
        <w:t xml:space="preserve">tha</w:t>
      </w:r>
      <w:r>
        <w:t xml:space="preserve">”</w:t>
      </w:r>
      <w:r>
        <w:t xml:space="preserve"> </w:t>
      </w:r>
      <w:r>
        <w:t xml:space="preserve">becomes</w:t>
      </w:r>
      <w:r>
        <w:t xml:space="preserve"> </w:t>
      </w:r>
      <w:r>
        <w:t xml:space="preserve">“</w:t>
      </w:r>
      <w:r>
        <w:t xml:space="preserve">ta</w:t>
      </w:r>
      <w:r>
        <w:t xml:space="preserve">”</w:t>
      </w:r>
      <w:r>
        <w:t xml:space="preserve"> </w:t>
      </w:r>
      <w:r>
        <w:t xml:space="preserve">by</w:t>
      </w:r>
      <w:r>
        <w:t xml:space="preserve"> </w:t>
      </w:r>
      <w:r>
        <w:rPr>
          <w:bCs/>
          <w:b/>
        </w:rPr>
        <w:t xml:space="preserve">तस्थस्थमिपां तान्तन्तामः</w:t>
      </w:r>
      <w:r>
        <w:t xml:space="preserve"> </w:t>
      </w:r>
      <w:r>
        <w:t xml:space="preserve">(</w:t>
      </w:r>
      <w:r>
        <w:rPr>
          <w:iCs/>
          <w:i/>
        </w:rPr>
        <w:t xml:space="preserve">tasthasthamipāṃ tāntantāmaḥ</w:t>
      </w:r>
      <w:r>
        <w:t xml:space="preserve">, पा. ३-४-१०१); the</w:t>
      </w:r>
      <w:r>
        <w:t xml:space="preserve"> </w:t>
      </w:r>
      <w:r>
        <w:t xml:space="preserve">“</w:t>
      </w:r>
      <w:r>
        <w:t xml:space="preserve">śap</w:t>
      </w:r>
      <w:r>
        <w:t xml:space="preserve">”</w:t>
      </w:r>
      <w:r>
        <w:t xml:space="preserve"> </w:t>
      </w:r>
      <w:r>
        <w:t xml:space="preserve">is elided by</w:t>
      </w:r>
      <w:r>
        <w:t xml:space="preserve"> </w:t>
      </w:r>
      <w:r>
        <w:rPr>
          <w:bCs/>
          <w:b/>
        </w:rPr>
        <w:t xml:space="preserve">बहुलं छन्दसि</w:t>
      </w:r>
      <w:r>
        <w:t xml:space="preserve"> </w:t>
      </w:r>
      <w:r>
        <w:t xml:space="preserve">(</w:t>
      </w:r>
      <w:r>
        <w:rPr>
          <w:iCs/>
          <w:i/>
        </w:rPr>
        <w:t xml:space="preserve">bahulaṃ chandasi</w:t>
      </w:r>
      <w:r>
        <w:t xml:space="preserve">);</w:t>
      </w:r>
      <w:r>
        <w:t xml:space="preserve"> </w:t>
      </w:r>
      <w:r>
        <w:t xml:space="preserve">“</w:t>
      </w:r>
      <w:r>
        <w:t xml:space="preserve">ta</w:t>
      </w:r>
      <w:r>
        <w:t xml:space="preserve">”</w:t>
      </w:r>
      <w:r>
        <w:t xml:space="preserve"> </w:t>
      </w:r>
      <w:r>
        <w:t xml:space="preserve">becomes</w:t>
      </w:r>
      <w:r>
        <w:t xml:space="preserve"> </w:t>
      </w:r>
      <w:r>
        <w:t xml:space="preserve">“</w:t>
      </w:r>
      <w:r>
        <w:t xml:space="preserve">tap</w:t>
      </w:r>
      <w:r>
        <w:t xml:space="preserve">”</w:t>
      </w:r>
      <w:r>
        <w:t xml:space="preserve"> </w:t>
      </w:r>
      <w:r>
        <w:t xml:space="preserve">(</w:t>
      </w:r>
      <w:r>
        <w:rPr>
          <w:bCs/>
          <w:b/>
        </w:rPr>
        <w:t xml:space="preserve">तस्य तप्तनप्तनथनाश्च</w:t>
      </w:r>
      <w:r>
        <w:t xml:space="preserve">,</w:t>
      </w:r>
      <w:r>
        <w:t xml:space="preserve"> </w:t>
      </w:r>
      <w:r>
        <w:rPr>
          <w:iCs/>
          <w:i/>
        </w:rPr>
        <w:t xml:space="preserve">tasya tap-tanap-tanathanāś ca</w:t>
      </w:r>
      <w:r>
        <w:t xml:space="preserve">, पा. ७-१-४५); since</w:t>
      </w:r>
      <w:r>
        <w:t xml:space="preserve"> </w:t>
      </w:r>
      <w:r>
        <w:t xml:space="preserve">“</w:t>
      </w:r>
      <w:r>
        <w:t xml:space="preserve">tap</w:t>
      </w:r>
      <w:r>
        <w:t xml:space="preserve">”</w:t>
      </w:r>
      <w:r>
        <w:t xml:space="preserve"> </w:t>
      </w:r>
      <w:r>
        <w:t xml:space="preserve">is</w:t>
      </w:r>
      <w:r>
        <w:t xml:space="preserve"> </w:t>
      </w:r>
      <w:r>
        <w:t xml:space="preserve">“</w:t>
      </w:r>
      <w:r>
        <w:t xml:space="preserve">p</w:t>
      </w:r>
      <w:r>
        <w:t xml:space="preserve">”</w:t>
      </w:r>
      <w:r>
        <w:t xml:space="preserve">-marked, the</w:t>
      </w:r>
      <w:r>
        <w:t xml:space="preserve"> </w:t>
      </w:r>
      <w:r>
        <w:t xml:space="preserve">“</w:t>
      </w:r>
      <w:r>
        <w:t xml:space="preserve">sārvadhātuka</w:t>
      </w:r>
      <w:r>
        <w:t xml:space="preserve">”</w:t>
      </w:r>
      <w:r>
        <w:t xml:space="preserve"> </w:t>
      </w:r>
      <w:r>
        <w:t xml:space="preserve">is not</w:t>
      </w:r>
      <w:r>
        <w:t xml:space="preserve"> </w:t>
      </w:r>
      <w:r>
        <w:t xml:space="preserve">“</w:t>
      </w:r>
      <w:r>
        <w:t xml:space="preserve">ṅit</w:t>
      </w:r>
      <w:r>
        <w:t xml:space="preserve">”</w:t>
      </w:r>
      <w:r>
        <w:t xml:space="preserve"> </w:t>
      </w:r>
      <w:r>
        <w:t xml:space="preserve">(</w:t>
      </w:r>
      <w:r>
        <w:rPr>
          <w:bCs/>
          <w:b/>
        </w:rPr>
        <w:t xml:space="preserve">सार्वधातुकमपित्</w:t>
      </w:r>
      <w:r>
        <w:t xml:space="preserve">,</w:t>
      </w:r>
      <w:r>
        <w:t xml:space="preserve"> </w:t>
      </w:r>
      <w:r>
        <w:rPr>
          <w:iCs/>
          <w:i/>
        </w:rPr>
        <w:t xml:space="preserve">sārvadhātukam apit</w:t>
      </w:r>
      <w:r>
        <w:t xml:space="preserve">, पा. १-२-४), so the nasal</w:t>
      </w:r>
      <w:r>
        <w:t xml:space="preserve"> </w:t>
      </w:r>
      <w:r>
        <w:t xml:space="preserve">“</w:t>
      </w:r>
      <w:r>
        <w:t xml:space="preserve">m</w:t>
      </w:r>
      <w:r>
        <w:t xml:space="preserve">”</w:t>
      </w:r>
      <w:r>
        <w:t xml:space="preserve"> </w:t>
      </w:r>
      <w:r>
        <w:t xml:space="preserve">of</w:t>
      </w:r>
      <w:r>
        <w:t xml:space="preserve"> </w:t>
      </w:r>
      <w:r>
        <w:t xml:space="preserve">“</w:t>
      </w:r>
      <w:r>
        <w:t xml:space="preserve">gam</w:t>
      </w:r>
      <w:r>
        <w:t xml:space="preserve">”</w:t>
      </w:r>
      <w:r>
        <w:t xml:space="preserve"> </w:t>
      </w:r>
      <w:r>
        <w:t xml:space="preserve">is not elided (</w:t>
      </w:r>
      <w:r>
        <w:rPr>
          <w:bCs/>
          <w:b/>
        </w:rPr>
        <w:t xml:space="preserve">अनुदात्तोपदेशवनतितनोत्यादीनामनुनासिकलोपो झलि क्ङिति</w:t>
      </w:r>
      <w:r>
        <w:t xml:space="preserve">, पा. ६-४-३७), and by</w:t>
      </w:r>
      <w:r>
        <w:t xml:space="preserve"> </w:t>
      </w:r>
      <w:r>
        <w:rPr>
          <w:bCs/>
          <w:b/>
        </w:rPr>
        <w:t xml:space="preserve">नश्चापदान्तस्य झलि</w:t>
      </w:r>
      <w:r>
        <w:t xml:space="preserve"> </w:t>
      </w:r>
      <w:r>
        <w:t xml:space="preserve">(</w:t>
      </w:r>
      <w:r>
        <w:rPr>
          <w:iCs/>
          <w:i/>
        </w:rPr>
        <w:t xml:space="preserve">naś cāpadāntasya jhali</w:t>
      </w:r>
      <w:r>
        <w:t xml:space="preserve">, पा. ८-३-२४) the</w:t>
      </w:r>
      <w:r>
        <w:t xml:space="preserve"> </w:t>
      </w:r>
      <w:r>
        <w:t xml:space="preserve">“</w:t>
      </w:r>
      <w:r>
        <w:t xml:space="preserve">n/m</w:t>
      </w:r>
      <w:r>
        <w:t xml:space="preserve">”</w:t>
      </w:r>
      <w:r>
        <w:t xml:space="preserve"> </w:t>
      </w:r>
      <w:r>
        <w:t xml:space="preserve">not at the end of a word before a</w:t>
      </w:r>
      <w:r>
        <w:t xml:space="preserve"> </w:t>
      </w:r>
      <w:r>
        <w:t xml:space="preserve">“</w:t>
      </w:r>
      <w:r>
        <w:t xml:space="preserve">jhal</w:t>
      </w:r>
      <w:r>
        <w:t xml:space="preserve">”</w:t>
      </w:r>
      <w:r>
        <w:t xml:space="preserve"> </w:t>
      </w:r>
      <w:r>
        <w:t xml:space="preserve">becomes anusvāra, which by</w:t>
      </w:r>
      <w:r>
        <w:t xml:space="preserve"> </w:t>
      </w:r>
      <w:r>
        <w:rPr>
          <w:bCs/>
          <w:b/>
        </w:rPr>
        <w:t xml:space="preserve">अनुस्वारस्य ययि परसवर्णः</w:t>
      </w:r>
      <w:r>
        <w:t xml:space="preserve"> </w:t>
      </w:r>
      <w:r>
        <w:t xml:space="preserve">(</w:t>
      </w:r>
      <w:r>
        <w:rPr>
          <w:iCs/>
          <w:i/>
        </w:rPr>
        <w:t xml:space="preserve">anusvārasya yayi parasavarṇaḥ</w:t>
      </w:r>
      <w:r>
        <w:t xml:space="preserve">, पा. ८-४-५८) takes the nasal of the following consonant’s class…</w:t>
      </w:r>
      <w:r>
        <w:t xml:space="preserve"> </w:t>
      </w:r>
      <w:r>
        <w:rPr>
          <w:iCs/>
          <w:i/>
        </w:rPr>
        <w:t xml:space="preserve">(continues on the next page)</w:t>
      </w:r>
    </w:p>
    <w:bookmarkEnd w:id="82"/>
    <w:bookmarkStart w:id="83" w:name="Xfc5765216756df70240d99ae2ba64f9cee0697b"/>
    <w:p>
      <w:pPr>
        <w:pStyle w:val="Heading3"/>
      </w:pPr>
      <w:r>
        <w:t xml:space="preserve">Page 58 — Vyākaraṇa-prakriyā for Rik 3.8 concluded; Sūkta 3, Ninth Mantra: Saṃhitā, Pada, and the opening of the Bhāṣya</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1, Sūkta 3.</w:t>
      </w:r>
      <w:r>
        <w:rPr>
          <w:iCs/>
          <w:i/>
        </w:rPr>
        <w:t xml:space="preserve">”</w:t>
      </w:r>
      <w:r>
        <w:rPr>
          <w:iCs/>
          <w:i/>
        </w:rPr>
        <w:t xml:space="preserve"> </w:t>
      </w:r>
      <w:r>
        <w:rPr>
          <w:iCs/>
          <w:i/>
        </w:rPr>
        <w:t xml:space="preserve">The grammar at the top is the Kannada rendering of what Sanskrit p. 55 already gave; characterized, sūtras kept.)</w:t>
      </w:r>
    </w:p>
    <w:p>
      <w:pPr>
        <w:pStyle w:val="BodyText"/>
      </w:pPr>
      <w:r>
        <w:rPr>
          <w:bCs/>
          <w:b/>
        </w:rPr>
        <w:t xml:space="preserve">The grammar of Rik 3.8 concluded</w:t>
      </w:r>
      <w:r>
        <w:t xml:space="preserve"> </w:t>
      </w:r>
      <w:r>
        <w:rPr>
          <w:iCs/>
          <w:i/>
        </w:rPr>
        <w:t xml:space="preserve">(continuing from p. 57)</w:t>
      </w:r>
      <w:r>
        <w:t xml:space="preserve">:</w:t>
      </w:r>
      <w:r>
        <w:t xml:space="preserve"> </w:t>
      </w:r>
      <w:r>
        <w:t xml:space="preserve">“</w:t>
      </w:r>
      <w:r>
        <w:t xml:space="preserve">…by</w:t>
      </w:r>
      <w:r>
        <w:t xml:space="preserve"> </w:t>
      </w:r>
      <w:r>
        <w:rPr>
          <w:bCs/>
          <w:b/>
        </w:rPr>
        <w:t xml:space="preserve">अनुस्वारस्य ययि परसवर्णः</w:t>
      </w:r>
      <w:r>
        <w:t xml:space="preserve"> </w:t>
      </w:r>
      <w:r>
        <w:t xml:space="preserve">(</w:t>
      </w:r>
      <w:r>
        <w:rPr>
          <w:iCs/>
          <w:i/>
        </w:rPr>
        <w:t xml:space="preserve">anusvārasya yayi parasavarṇaḥ</w:t>
      </w:r>
      <w:r>
        <w:t xml:space="preserve">, पा. ८-४-५८) the anusvāra takes the nasal of the class of the following letter —</w:t>
      </w:r>
      <w:r>
        <w:t xml:space="preserve"> </w:t>
      </w:r>
      <w:r>
        <w:t xml:space="preserve">‘</w:t>
      </w:r>
      <w:r>
        <w:t xml:space="preserve">n</w:t>
      </w:r>
      <w:r>
        <w:t xml:space="preserve">’</w:t>
      </w:r>
      <w:r>
        <w:t xml:space="preserve"> </w:t>
      </w:r>
      <w:r>
        <w:t xml:space="preserve">— giving</w:t>
      </w:r>
      <w:r>
        <w:t xml:space="preserve"> </w:t>
      </w:r>
      <w:r>
        <w:t xml:space="preserve">‘</w:t>
      </w:r>
      <w:r>
        <w:t xml:space="preserve">ā gan-ta</w:t>
      </w:r>
      <w:r>
        <w:t xml:space="preserve">’</w:t>
      </w:r>
      <w:r>
        <w:t xml:space="preserve">; here</w:t>
      </w:r>
      <w:r>
        <w:t xml:space="preserve"> </w:t>
      </w:r>
      <w:r>
        <w:rPr>
          <w:bCs/>
          <w:b/>
        </w:rPr>
        <w:t xml:space="preserve">तिङ्ङतिङः</w:t>
      </w:r>
      <w:r>
        <w:t xml:space="preserve"> </w:t>
      </w:r>
      <w:r>
        <w:t xml:space="preserve">(</w:t>
      </w:r>
      <w:r>
        <w:rPr>
          <w:iCs/>
          <w:i/>
        </w:rPr>
        <w:t xml:space="preserve">tiṅ atiṅaḥ</w:t>
      </w:r>
      <w:r>
        <w:t xml:space="preserve">, पा. ८-१-२८; the print has १८-१-२८) gives the unaccented form.</w:t>
      </w:r>
      <w:r>
        <w:t xml:space="preserve">”</w:t>
      </w:r>
      <w:r>
        <w:t xml:space="preserve"> </w:t>
      </w:r>
      <w:r>
        <w:rPr>
          <w:bCs/>
          <w:b/>
        </w:rPr>
        <w:t xml:space="preserve">“</w:t>
      </w:r>
      <w:r>
        <w:rPr>
          <w:bCs/>
          <w:b/>
        </w:rPr>
        <w:t xml:space="preserve">Tūrṇayaḥ</w:t>
      </w:r>
      <w:r>
        <w:rPr>
          <w:bCs/>
          <w:b/>
        </w:rPr>
        <w:t xml:space="preserve">”</w:t>
      </w:r>
      <w:r>
        <w:t xml:space="preserve"> </w:t>
      </w:r>
      <w:r>
        <w:t xml:space="preserve">(from</w:t>
      </w:r>
      <w:r>
        <w:t xml:space="preserve"> </w:t>
      </w:r>
      <w:r>
        <w:t xml:space="preserve">“</w:t>
      </w:r>
      <w:r>
        <w:t xml:space="preserve">tvar</w:t>
      </w:r>
      <w:r>
        <w:t xml:space="preserve">”</w:t>
      </w:r>
      <w:r>
        <w:t xml:space="preserve">): by the Uṇādi-sūtra</w:t>
      </w:r>
      <w:r>
        <w:t xml:space="preserve"> </w:t>
      </w:r>
      <w:r>
        <w:rPr>
          <w:bCs/>
          <w:b/>
        </w:rPr>
        <w:t xml:space="preserve">वहिश्रिश्रुयुद्रुग्लाहात्वरिभ्यो णित्</w:t>
      </w:r>
      <w:r>
        <w:t xml:space="preserve"> </w:t>
      </w:r>
      <w:r>
        <w:t xml:space="preserve">(</w:t>
      </w:r>
      <w:r>
        <w:rPr>
          <w:iCs/>
          <w:i/>
        </w:rPr>
        <w:t xml:space="preserve">vahi-śri-śru-yu-dru-glā-hā-tvaribhyo ṇit</w:t>
      </w:r>
      <w:r>
        <w:t xml:space="preserve">, उ. सू. ४-४-९१ [as printed]) — roots</w:t>
      </w:r>
      <w:r>
        <w:t xml:space="preserve"> </w:t>
      </w:r>
      <w:r>
        <w:t xml:space="preserve">“</w:t>
      </w:r>
      <w:r>
        <w:t xml:space="preserve">vah</w:t>
      </w:r>
      <w:r>
        <w:t xml:space="preserve">”</w:t>
      </w:r>
      <w:r>
        <w:t xml:space="preserve"> </w:t>
      </w:r>
      <w:r>
        <w:t xml:space="preserve">(to carry),</w:t>
      </w:r>
      <w:r>
        <w:t xml:space="preserve"> </w:t>
      </w:r>
      <w:r>
        <w:t xml:space="preserve">“</w:t>
      </w:r>
      <w:r>
        <w:t xml:space="preserve">śriñ</w:t>
      </w:r>
      <w:r>
        <w:t xml:space="preserve">”</w:t>
      </w:r>
      <w:r>
        <w:t xml:space="preserve"> </w:t>
      </w:r>
      <w:r>
        <w:t xml:space="preserve">(to serve),</w:t>
      </w:r>
      <w:r>
        <w:t xml:space="preserve"> </w:t>
      </w:r>
      <w:r>
        <w:t xml:space="preserve">“</w:t>
      </w:r>
      <w:r>
        <w:t xml:space="preserve">śru</w:t>
      </w:r>
      <w:r>
        <w:t xml:space="preserve">”</w:t>
      </w:r>
      <w:r>
        <w:t xml:space="preserve"> </w:t>
      </w:r>
      <w:r>
        <w:t xml:space="preserve">(to hear),</w:t>
      </w:r>
      <w:r>
        <w:t xml:space="preserve"> </w:t>
      </w:r>
      <w:r>
        <w:t xml:space="preserve">“</w:t>
      </w:r>
      <w:r>
        <w:t xml:space="preserve">yu</w:t>
      </w:r>
      <w:r>
        <w:t xml:space="preserve">”</w:t>
      </w:r>
      <w:r>
        <w:t xml:space="preserve"> </w:t>
      </w:r>
      <w:r>
        <w:t xml:space="preserve">(to mix),</w:t>
      </w:r>
      <w:r>
        <w:t xml:space="preserve"> </w:t>
      </w:r>
      <w:r>
        <w:t xml:space="preserve">“</w:t>
      </w:r>
      <w:r>
        <w:t xml:space="preserve">dru</w:t>
      </w:r>
      <w:r>
        <w:t xml:space="preserve">”</w:t>
      </w:r>
      <w:r>
        <w:t xml:space="preserve"> </w:t>
      </w:r>
      <w:r>
        <w:t xml:space="preserve">(to go),</w:t>
      </w:r>
      <w:r>
        <w:t xml:space="preserve"> </w:t>
      </w:r>
      <w:r>
        <w:t xml:space="preserve">“</w:t>
      </w:r>
      <w:r>
        <w:t xml:space="preserve">glai</w:t>
      </w:r>
      <w:r>
        <w:t xml:space="preserve">”</w:t>
      </w:r>
      <w:r>
        <w:t xml:space="preserve"> </w:t>
      </w:r>
      <w:r>
        <w:t xml:space="preserve">(to wither),</w:t>
      </w:r>
      <w:r>
        <w:t xml:space="preserve"> </w:t>
      </w:r>
      <w:r>
        <w:t xml:space="preserve">“</w:t>
      </w:r>
      <w:r>
        <w:t xml:space="preserve">ohāk</w:t>
      </w:r>
      <w:r>
        <w:t xml:space="preserve">”</w:t>
      </w:r>
      <w:r>
        <w:t xml:space="preserve"> </w:t>
      </w:r>
      <w:r>
        <w:t xml:space="preserve">(to go),</w:t>
      </w:r>
      <w:r>
        <w:t xml:space="preserve"> </w:t>
      </w:r>
      <w:r>
        <w:t xml:space="preserve">“</w:t>
      </w:r>
      <w:r>
        <w:t xml:space="preserve">tvarā</w:t>
      </w:r>
      <w:r>
        <w:t xml:space="preserve">”</w:t>
      </w:r>
      <w:r>
        <w:t xml:space="preserve"> </w:t>
      </w:r>
      <w:r>
        <w:t xml:space="preserve">(to be agitated) — the affix</w:t>
      </w:r>
      <w:r>
        <w:t xml:space="preserve"> </w:t>
      </w:r>
      <w:r>
        <w:t xml:space="preserve">“</w:t>
      </w:r>
      <w:r>
        <w:t xml:space="preserve">ṇi</w:t>
      </w:r>
      <w:r>
        <w:t xml:space="preserve">”</w:t>
      </w:r>
      <w:r>
        <w:t xml:space="preserve"> </w:t>
      </w:r>
      <w:r>
        <w:t xml:space="preserve">is added, and it is</w:t>
      </w:r>
      <w:r>
        <w:t xml:space="preserve"> </w:t>
      </w:r>
      <w:r>
        <w:t xml:space="preserve">“</w:t>
      </w:r>
      <w:r>
        <w:t xml:space="preserve">nitya</w:t>
      </w:r>
      <w:r>
        <w:t xml:space="preserve">”</w:t>
      </w:r>
      <w:r>
        <w:t xml:space="preserve">; from</w:t>
      </w:r>
      <w:r>
        <w:t xml:space="preserve"> </w:t>
      </w:r>
      <w:r>
        <w:t xml:space="preserve">“</w:t>
      </w:r>
      <w:r>
        <w:t xml:space="preserve">tvarā saṃbhrame</w:t>
      </w:r>
      <w:r>
        <w:t xml:space="preserve">”</w:t>
      </w:r>
      <w:r>
        <w:t xml:space="preserve"> </w:t>
      </w:r>
      <w:r>
        <w:t xml:space="preserve">we get</w:t>
      </w:r>
      <w:r>
        <w:t xml:space="preserve"> </w:t>
      </w:r>
      <w:r>
        <w:t xml:space="preserve">“</w:t>
      </w:r>
      <w:r>
        <w:t xml:space="preserve">tvar + ṇi</w:t>
      </w:r>
      <w:r>
        <w:t xml:space="preserve">”</w:t>
      </w:r>
      <w:r>
        <w:t xml:space="preserve">; by</w:t>
      </w:r>
      <w:r>
        <w:t xml:space="preserve"> </w:t>
      </w:r>
      <w:r>
        <w:rPr>
          <w:bCs/>
          <w:b/>
        </w:rPr>
        <w:t xml:space="preserve">ज्वरत्वरस्रिव्यविमवामुपधायाश्च</w:t>
      </w:r>
      <w:r>
        <w:t xml:space="preserve"> </w:t>
      </w:r>
      <w:r>
        <w:t xml:space="preserve">(</w:t>
      </w:r>
      <w:r>
        <w:rPr>
          <w:iCs/>
          <w:i/>
        </w:rPr>
        <w:t xml:space="preserve">jvara-tvara-srivyavi-mavām upadhāyāś ca</w:t>
      </w:r>
      <w:r>
        <w:t xml:space="preserve">, पा. ६-४-२०)</w:t>
      </w:r>
      <w:r>
        <w:t xml:space="preserve"> </w:t>
      </w:r>
      <w:r>
        <w:t xml:space="preserve">“</w:t>
      </w:r>
      <w:r>
        <w:t xml:space="preserve">ūṭ</w:t>
      </w:r>
      <w:r>
        <w:t xml:space="preserve">”</w:t>
      </w:r>
      <w:r>
        <w:t xml:space="preserve"> </w:t>
      </w:r>
      <w:r>
        <w:t xml:space="preserve">appears and the affix’s</w:t>
      </w:r>
      <w:r>
        <w:t xml:space="preserve"> </w:t>
      </w:r>
      <w:r>
        <w:t xml:space="preserve">“</w:t>
      </w:r>
      <w:r>
        <w:t xml:space="preserve">n</w:t>
      </w:r>
      <w:r>
        <w:t xml:space="preserve">”</w:t>
      </w:r>
      <w:r>
        <w:t xml:space="preserve"> </w:t>
      </w:r>
      <w:r>
        <w:t xml:space="preserve">becomes</w:t>
      </w:r>
      <w:r>
        <w:t xml:space="preserve"> </w:t>
      </w:r>
      <w:r>
        <w:t xml:space="preserve">“</w:t>
      </w:r>
      <w:r>
        <w:t xml:space="preserve">ṇ</w:t>
      </w:r>
      <w:r>
        <w:t xml:space="preserve">”</w:t>
      </w:r>
      <w:r>
        <w:t xml:space="preserve"> </w:t>
      </w:r>
      <w:r>
        <w:t xml:space="preserve">by</w:t>
      </w:r>
      <w:r>
        <w:t xml:space="preserve"> </w:t>
      </w:r>
      <w:r>
        <w:rPr>
          <w:bCs/>
          <w:b/>
        </w:rPr>
        <w:t xml:space="preserve">रषाभ्यां नो णः समानपदे</w:t>
      </w:r>
      <w:r>
        <w:t xml:space="preserve"> </w:t>
      </w:r>
      <w:r>
        <w:t xml:space="preserve">(</w:t>
      </w:r>
      <w:r>
        <w:rPr>
          <w:iCs/>
          <w:i/>
        </w:rPr>
        <w:t xml:space="preserve">raṣābhyāṃ no ṇaḥ samāna-pade</w:t>
      </w:r>
      <w:r>
        <w:t xml:space="preserve">, पा. ८-४-१) →</w:t>
      </w:r>
      <w:r>
        <w:t xml:space="preserve"> </w:t>
      </w:r>
      <w:r>
        <w:t xml:space="preserve">“</w:t>
      </w:r>
      <w:r>
        <w:t xml:space="preserve">tūrṇi</w:t>
      </w:r>
      <w:r>
        <w:t xml:space="preserve">”</w:t>
      </w:r>
      <w:r>
        <w:t xml:space="preserve">; being</w:t>
      </w:r>
      <w:r>
        <w:t xml:space="preserve"> </w:t>
      </w:r>
      <w:r>
        <w:t xml:space="preserve">“</w:t>
      </w:r>
      <w:r>
        <w:t xml:space="preserve">ṇ</w:t>
      </w:r>
      <w:r>
        <w:t xml:space="preserve">”</w:t>
      </w:r>
      <w:r>
        <w:t xml:space="preserve">-marked the first syllable is acute; the nominative plural gives</w:t>
      </w:r>
      <w:r>
        <w:t xml:space="preserve"> </w:t>
      </w:r>
      <w:r>
        <w:t xml:space="preserve">“</w:t>
      </w:r>
      <w:r>
        <w:t xml:space="preserve">tūrṇayaḥ.</w:t>
      </w:r>
      <w:r>
        <w:t xml:space="preserve">”</w:t>
      </w:r>
      <w:r>
        <w:t xml:space="preserve"> </w:t>
      </w:r>
      <w:r>
        <w:rPr>
          <w:bCs/>
          <w:b/>
        </w:rPr>
        <w:t xml:space="preserve">“</w:t>
      </w:r>
      <w:r>
        <w:rPr>
          <w:bCs/>
          <w:b/>
        </w:rPr>
        <w:t xml:space="preserve">Usrā iva</w:t>
      </w:r>
      <w:r>
        <w:rPr>
          <w:bCs/>
          <w:b/>
        </w:rPr>
        <w:t xml:space="preserve">”</w:t>
      </w:r>
      <w:r>
        <w:rPr>
          <w:bCs/>
          <w:b/>
        </w:rPr>
        <w:t xml:space="preserve">:</w:t>
      </w:r>
      <w:r>
        <w:t xml:space="preserve"> </w:t>
      </w:r>
      <w:r>
        <w:t xml:space="preserve">by</w:t>
      </w:r>
      <w:r>
        <w:t xml:space="preserve"> </w:t>
      </w:r>
      <w:r>
        <w:t xml:space="preserve">“</w:t>
      </w:r>
      <w:r>
        <w:t xml:space="preserve">ivena saha nitya-samāso vibhakty-alopaḥ pūrva-pada-prakṛti-svaratvaṃ ca</w:t>
      </w:r>
      <w:r>
        <w:t xml:space="preserve">”</w:t>
      </w:r>
      <w:r>
        <w:t xml:space="preserve"> </w:t>
      </w:r>
      <w:r>
        <w:t xml:space="preserve">(इवेन सह नित्यसमासो विभक्त्यलोपः पूर्वपदप्रकृतिस्वरत्वं च — पा. २-१-४ वा. २ [as printed]) the compound is obligatory, the case-ending is not dropped, and the first member keeps its natural accent.</w:t>
      </w:r>
      <w:r>
        <w:t xml:space="preserve"> </w:t>
      </w:r>
      <w:r>
        <w:rPr>
          <w:bCs/>
          <w:b/>
        </w:rPr>
        <w:t xml:space="preserve">“</w:t>
      </w:r>
      <w:r>
        <w:rPr>
          <w:bCs/>
          <w:b/>
        </w:rPr>
        <w:t xml:space="preserve">Svasarāṇi</w:t>
      </w:r>
      <w:r>
        <w:rPr>
          <w:bCs/>
          <w:b/>
        </w:rPr>
        <w:t xml:space="preserve">”</w:t>
      </w:r>
      <w:r>
        <w:t xml:space="preserve">:</w:t>
      </w:r>
      <w:r>
        <w:t xml:space="preserve"> </w:t>
      </w:r>
      <w:r>
        <w:t xml:space="preserve">“</w:t>
      </w:r>
      <w:r>
        <w:t xml:space="preserve">saratīti saraḥ sūryaḥ</w:t>
      </w:r>
      <w:r>
        <w:t xml:space="preserve">”</w:t>
      </w:r>
      <w:r>
        <w:t xml:space="preserve"> </w:t>
      </w:r>
      <w:r>
        <w:t xml:space="preserve">—</w:t>
      </w:r>
      <w:r>
        <w:t xml:space="preserve"> </w:t>
      </w:r>
      <w:r>
        <w:t xml:space="preserve">“</w:t>
      </w:r>
      <w:r>
        <w:t xml:space="preserve">sara</w:t>
      </w:r>
      <w:r>
        <w:t xml:space="preserve">”</w:t>
      </w:r>
      <w:r>
        <w:t xml:space="preserve"> </w:t>
      </w:r>
      <w:r>
        <w:t xml:space="preserve">is the Sun (</w:t>
      </w:r>
      <w:r>
        <w:t xml:space="preserve">‘</w:t>
      </w:r>
      <w:r>
        <w:t xml:space="preserve">sṛ,</w:t>
      </w:r>
      <w:r>
        <w:t xml:space="preserve">’</w:t>
      </w:r>
      <w:r>
        <w:t xml:space="preserve"> </w:t>
      </w:r>
      <w:r>
        <w:t xml:space="preserve">to go, with</w:t>
      </w:r>
      <w:r>
        <w:t xml:space="preserve"> </w:t>
      </w:r>
      <w:r>
        <w:t xml:space="preserve">“</w:t>
      </w:r>
      <w:r>
        <w:t xml:space="preserve">ac</w:t>
      </w:r>
      <w:r>
        <w:t xml:space="preserve">”</w:t>
      </w:r>
      <w:r>
        <w:t xml:space="preserve"> </w:t>
      </w:r>
      <w:r>
        <w:t xml:space="preserve">of the pacādi class);</w:t>
      </w:r>
      <w:r>
        <w:t xml:space="preserve"> </w:t>
      </w:r>
      <w:r>
        <w:t xml:space="preserve">“</w:t>
      </w:r>
      <w:r>
        <w:t xml:space="preserve">svaḥ saro yeṣāṃ tāni svasarāṇy ahāni</w:t>
      </w:r>
      <w:r>
        <w:t xml:space="preserve">”</w:t>
      </w:r>
      <w:r>
        <w:t xml:space="preserve"> </w:t>
      </w:r>
      <w:r>
        <w:t xml:space="preserve">— days of which the Sun is the mover; in this bahuvrīhi, by</w:t>
      </w:r>
      <w:r>
        <w:t xml:space="preserve"> </w:t>
      </w:r>
      <w:r>
        <w:rPr>
          <w:bCs/>
          <w:b/>
        </w:rPr>
        <w:t xml:space="preserve">बहुव्रीहौ प्रकृत्या पूर्वपदम्</w:t>
      </w:r>
      <w:r>
        <w:t xml:space="preserve"> </w:t>
      </w:r>
      <w:r>
        <w:t xml:space="preserve">(</w:t>
      </w:r>
      <w:r>
        <w:rPr>
          <w:iCs/>
          <w:i/>
        </w:rPr>
        <w:t xml:space="preserve">bahuvrīhau prakṛtyā pūrvapadam</w:t>
      </w:r>
      <w:r>
        <w:t xml:space="preserve">, पा. ६-२-१) the first member keeps its accent; hence</w:t>
      </w:r>
      <w:r>
        <w:t xml:space="preserve"> </w:t>
      </w:r>
      <w:r>
        <w:t xml:space="preserve">“</w:t>
      </w:r>
      <w:r>
        <w:t xml:space="preserve">sva</w:t>
      </w:r>
      <w:r>
        <w:t xml:space="preserve">”</w:t>
      </w:r>
      <w:r>
        <w:t xml:space="preserve"> </w:t>
      </w:r>
      <w:r>
        <w:t xml:space="preserve">is acute on its first syllable. ॥८॥</w:t>
      </w:r>
    </w:p>
    <w:p>
      <w:r>
        <w:pict>
          <v:rect style="width:0;height:1.5pt" o:hralign="center" o:hrstd="t" o:hr="t"/>
        </w:pict>
      </w:r>
    </w:p>
    <w:bookmarkEnd w:id="83"/>
    <w:bookmarkStart w:id="84" w:name="sūkta-3-the-ninth-mantra"/>
    <w:p>
      <w:pPr>
        <w:pStyle w:val="Heading3"/>
      </w:pPr>
      <w:r>
        <w:t xml:space="preserve">Sūkta 3, The Ninth Mantra</w:t>
      </w:r>
    </w:p>
    <w:p>
      <w:pPr>
        <w:pStyle w:val="FirstParagraph"/>
      </w:pPr>
      <w:r>
        <w:rPr>
          <w:iCs/>
          <w:i/>
        </w:rPr>
        <w:t xml:space="preserve">(Saṃhitā accents as printed; Pada unaccented — see the note at Rik 3.5.)</w:t>
      </w:r>
    </w:p>
    <w:p>
      <w:pPr>
        <w:pStyle w:val="BodyText"/>
      </w:pPr>
      <w:r>
        <w:rPr>
          <w:bCs/>
          <w:b/>
        </w:rPr>
        <w:t xml:space="preserve">॥ Saṃhitā-pāṭhaḥ ॥</w:t>
      </w:r>
    </w:p>
    <w:p>
      <w:pPr>
        <w:pStyle w:val="BlockText"/>
      </w:pPr>
      <w:r>
        <w:t xml:space="preserve">विश्वे॑ दे॒वासो॑ अ॒स्रिध॒ एहि॑मायासो अ॒द्रुहः॑ ।</w:t>
      </w:r>
      <w:r>
        <w:t xml:space="preserve"> </w:t>
      </w:r>
      <w:r>
        <w:t xml:space="preserve">मेधं॑ जुषंत॒ वह्न॑यः ॥९॥</w:t>
      </w:r>
    </w:p>
    <w:p>
      <w:pPr>
        <w:pStyle w:val="BlockText"/>
      </w:pPr>
      <w:r>
        <w:rPr>
          <w:iCs/>
          <w:i/>
        </w:rPr>
        <w:t xml:space="preserve">víśve devā́so asrídha éhimāyāso adrúhaḥ |</w:t>
      </w:r>
      <w:r>
        <w:t xml:space="preserve"> </w:t>
      </w:r>
      <w:r>
        <w:rPr>
          <w:iCs/>
          <w:i/>
        </w:rPr>
        <w:t xml:space="preserve">médhaṃ juṣaṃta váhnayaḥ ||9||</w:t>
      </w:r>
    </w:p>
    <w:p>
      <w:pPr>
        <w:pStyle w:val="FirstParagraph"/>
      </w:pPr>
      <w:r>
        <w:rPr>
          <w:bCs/>
          <w:b/>
        </w:rPr>
        <w:t xml:space="preserve">॥ Pada-pāṭhaḥ ॥</w:t>
      </w:r>
    </w:p>
    <w:p>
      <w:pPr>
        <w:pStyle w:val="BlockText"/>
      </w:pPr>
      <w:r>
        <w:t xml:space="preserve">विश्वे । देवासः । अस्रिधः । एहिमायासः । अद्रुहः ।</w:t>
      </w:r>
      <w:r>
        <w:t xml:space="preserve"> </w:t>
      </w:r>
      <w:r>
        <w:t xml:space="preserve">मेधम् । जुषन्त । वह्नयः ॥९॥</w:t>
      </w:r>
    </w:p>
    <w:p>
      <w:pPr>
        <w:pStyle w:val="FirstParagraph"/>
      </w:pPr>
      <w:r>
        <w:rPr>
          <w:bCs/>
          <w:b/>
        </w:rPr>
        <w:t xml:space="preserve">॥ Sāyaṇa-bhāṣyam ॥</w:t>
      </w:r>
      <w:r>
        <w:t xml:space="preserve"> </w:t>
      </w:r>
      <w:r>
        <w:rPr>
          <w:iCs/>
          <w:i/>
        </w:rPr>
        <w:t xml:space="preserve">(opening)</w:t>
      </w:r>
    </w:p>
    <w:p>
      <w:pPr>
        <w:pStyle w:val="BlockText"/>
      </w:pPr>
      <w:r>
        <w:t xml:space="preserve">विश्वेदेवास एतन्नामका देवविशेषा मेधं हविर्यज्ञसंबद्धं जुषन्ते । सेवन्ताम् । कीदृशाः । अस्रिधः क्षयरहिताः शोषरहिता वा एहिमायासः सर्वतो व्याप्तप्रज्ञाः । यद्वा । सौचीकमग्निमप्सु प्रविष्टमेहि मा यासीरिति यदवोचन् तदनुकरणहेतुकोऽयं विश्वेषां देवानां व्यपदेश एहिमायास इति । अद्रोहः …</w:t>
      </w:r>
      <w:r>
        <w:t xml:space="preserve"> </w:t>
      </w:r>
      <w:r>
        <w:rPr>
          <w:iCs/>
          <w:i/>
        </w:rPr>
        <w:t xml:space="preserve">viśvedevāsa etan-nāmakā deva-viśeṣā medhaṃ havir-yajña-sambaddhaṃ juṣante | sevantām | kīdṛśāḥ | asridhaḥ kṣaya-rahitāḥ śoṣa-rahitā vā ehimāyāsaḥ sarvato vyāpta-prajñāḥ | yad vā | saucīkam agnim apsu praviṣṭam ehi mā yāsīr iti yad avocan tad-anukaraṇa-hetuko ’yaṃ viśveṣāṃ devānāṃ vyapadeśa ehimāyāsa iti | adroho …</w:t>
      </w:r>
    </w:p>
    <w:p>
      <w:pPr>
        <w:pStyle w:val="FirstParagraph"/>
      </w:pPr>
      <w:r>
        <w:rPr>
          <w:bCs/>
          <w:b/>
        </w:rPr>
        <w:t xml:space="preserve">Translation:</w:t>
      </w:r>
      <w:r>
        <w:t xml:space="preserve"> </w:t>
      </w:r>
      <w:r>
        <w:t xml:space="preserve">“</w:t>
      </w:r>
      <w:r>
        <w:t xml:space="preserve">The Viśvedevas — a particular class of gods of that name — let them enjoy (</w:t>
      </w:r>
      <w:r>
        <w:t xml:space="preserve">‘</w:t>
      </w:r>
      <w:r>
        <w:t xml:space="preserve">juṣantām</w:t>
      </w:r>
      <w:r>
        <w:t xml:space="preserve">’</w:t>
      </w:r>
      <w:r>
        <w:t xml:space="preserve"> </w:t>
      </w:r>
      <w:r>
        <w:t xml:space="preserve">=</w:t>
      </w:r>
      <w:r>
        <w:t xml:space="preserve"> </w:t>
      </w:r>
      <w:r>
        <w:t xml:space="preserve">‘</w:t>
      </w:r>
      <w:r>
        <w:t xml:space="preserve">sevantām</w:t>
      </w:r>
      <w:r>
        <w:t xml:space="preserve">’</w:t>
      </w:r>
      <w:r>
        <w:t xml:space="preserve">) the</w:t>
      </w:r>
      <w:r>
        <w:t xml:space="preserve"> </w:t>
      </w:r>
      <w:r>
        <w:t xml:space="preserve">‘</w:t>
      </w:r>
      <w:r>
        <w:t xml:space="preserve">medha,</w:t>
      </w:r>
      <w:r>
        <w:t xml:space="preserve">’</w:t>
      </w:r>
      <w:r>
        <w:t xml:space="preserve"> </w:t>
      </w:r>
      <w:r>
        <w:t xml:space="preserve">the oblation connected with the sacrifice. What kind are they?</w:t>
      </w:r>
      <w:r>
        <w:t xml:space="preserve"> </w:t>
      </w:r>
      <w:r>
        <w:t xml:space="preserve">‘</w:t>
      </w:r>
      <w:r>
        <w:t xml:space="preserve">Asridhaḥ</w:t>
      </w:r>
      <w:r>
        <w:t xml:space="preserve">’</w:t>
      </w:r>
      <w:r>
        <w:t xml:space="preserve"> </w:t>
      </w:r>
      <w:r>
        <w:t xml:space="preserve">— free from decay, or free from drying-up;</w:t>
      </w:r>
      <w:r>
        <w:t xml:space="preserve"> </w:t>
      </w:r>
      <w:r>
        <w:t xml:space="preserve">‘</w:t>
      </w:r>
      <w:r>
        <w:t xml:space="preserve">ehimāyāsaḥ</w:t>
      </w:r>
      <w:r>
        <w:t xml:space="preserve">’</w:t>
      </w:r>
      <w:r>
        <w:t xml:space="preserve"> </w:t>
      </w:r>
      <w:r>
        <w:t xml:space="preserve">— those whose wisdom (prajñā) pervades everywhere. Or else: because they said, to Agni the Saucīka who had entered the waters,</w:t>
      </w:r>
      <w:r>
        <w:t xml:space="preserve"> </w:t>
      </w:r>
      <w:r>
        <w:t xml:space="preserve">‘</w:t>
      </w:r>
      <w:r>
        <w:rPr>
          <w:iCs/>
          <w:i/>
        </w:rPr>
        <w:t xml:space="preserve">Come! do not go!</w:t>
      </w:r>
      <w:r>
        <w:t xml:space="preserve">’</w:t>
      </w:r>
      <w:r>
        <w:t xml:space="preserve"> </w:t>
      </w:r>
      <w:r>
        <w:t xml:space="preserve">(</w:t>
      </w:r>
      <w:r>
        <w:t xml:space="preserve">”</w:t>
      </w:r>
      <w:r>
        <w:t xml:space="preserve">ehi mā yāsīḥ” — the print on this page shows the second word ambiguously, but the Bhāṣya’s own next lines, and the Kannada commentary on p. 60, give</w:t>
      </w:r>
      <w:r>
        <w:t xml:space="preserve"> </w:t>
      </w:r>
      <w:r>
        <w:t xml:space="preserve">“</w:t>
      </w:r>
      <w:r>
        <w:t xml:space="preserve">mā</w:t>
      </w:r>
      <w:r>
        <w:t xml:space="preserve">”</w:t>
      </w:r>
      <w:r>
        <w:t xml:space="preserve">), this designation</w:t>
      </w:r>
      <w:r>
        <w:t xml:space="preserve"> </w:t>
      </w:r>
      <w:r>
        <w:t xml:space="preserve">‘</w:t>
      </w:r>
      <w:r>
        <w:t xml:space="preserve">ehimāyāsaḥ</w:t>
      </w:r>
      <w:r>
        <w:t xml:space="preserve">’</w:t>
      </w:r>
      <w:r>
        <w:t xml:space="preserve"> </w:t>
      </w:r>
      <w:r>
        <w:t xml:space="preserve">for the Viśvedevas arose from that imitation (of their speech).</w:t>
      </w:r>
      <w:r>
        <w:t xml:space="preserve"> </w:t>
      </w:r>
      <w:r>
        <w:t xml:space="preserve">‘</w:t>
      </w:r>
      <w:r>
        <w:t xml:space="preserve">Adrohaḥ</w:t>
      </w:r>
      <w:r>
        <w:t xml:space="preserve">’</w:t>
      </w:r>
      <w:r>
        <w:t xml:space="preserve"> </w:t>
      </w:r>
      <w:r>
        <w:t xml:space="preserve">…”</w:t>
      </w:r>
      <w:r>
        <w:t xml:space="preserve"> </w:t>
      </w:r>
      <w:r>
        <w:rPr>
          <w:iCs/>
          <w:i/>
        </w:rPr>
        <w:t xml:space="preserve">(continues on the next page)</w:t>
      </w:r>
    </w:p>
    <w:bookmarkEnd w:id="84"/>
    <w:bookmarkStart w:id="85" w:name="Xfef3b3af5b2bb10a42aa70222e39384dd628589"/>
    <w:p>
      <w:pPr>
        <w:pStyle w:val="Heading3"/>
      </w:pPr>
      <w:r>
        <w:t xml:space="preserve">Page 59 — Rik 3.9: Sāyaṇa-bhāṣya (concluded), grammar, Pada-meanings, Bhāvārtha, English rendering</w:t>
      </w:r>
    </w:p>
    <w:p>
      <w:pPr>
        <w:pStyle w:val="FirstParagraph"/>
      </w:pPr>
      <w:r>
        <w:rPr>
          <w:iCs/>
          <w:i/>
        </w:rPr>
        <w:t xml:space="preserve">(Page header:</w:t>
      </w:r>
      <w:r>
        <w:rPr>
          <w:iCs/>
          <w:i/>
        </w:rPr>
        <w:t xml:space="preserve"> </w:t>
      </w:r>
      <w:r>
        <w:rPr>
          <w:iCs/>
          <w:i/>
        </w:rPr>
        <w:t xml:space="preserve">“</w:t>
      </w:r>
      <w:r>
        <w:rPr>
          <w:iCs/>
          <w:i/>
        </w:rPr>
        <w:t xml:space="preserve">Aṣṭaka 1, Adhyāya 1, Varga 6 · Ṛgveda-saṃhitā.</w:t>
      </w:r>
      <w:r>
        <w:rPr>
          <w:iCs/>
          <w:i/>
        </w:rPr>
        <w:t xml:space="preserve">”</w:t>
      </w:r>
      <w:r>
        <w:rPr>
          <w:iCs/>
          <w:i/>
        </w:rPr>
        <w:t xml:space="preserve"> </w:t>
      </w:r>
      <w:r>
        <w:rPr>
          <w:iCs/>
          <w:i/>
        </w:rPr>
        <w:t xml:space="preserve">Sanskrit printed in Kannada script; where the print is unclear. The grammar is characterized, sūtras kept; the sense is transcribed in full.)</w:t>
      </w:r>
    </w:p>
    <w:p>
      <w:pPr>
        <w:pStyle w:val="BodyText"/>
      </w:pPr>
      <w:r>
        <w:rPr>
          <w:bCs/>
          <w:b/>
        </w:rPr>
        <w:t xml:space="preserve">॥ Sāyaṇa-bhāṣyam ॥</w:t>
      </w:r>
      <w:r>
        <w:t xml:space="preserve"> </w:t>
      </w:r>
      <w:r>
        <w:rPr>
          <w:iCs/>
          <w:i/>
        </w:rPr>
        <w:t xml:space="preserve">(continuing from p. 58, at</w:t>
      </w:r>
      <w:r>
        <w:rPr>
          <w:iCs/>
          <w:i/>
        </w:rPr>
        <w:t xml:space="preserve"> </w:t>
      </w:r>
      <w:r>
        <w:rPr>
          <w:iCs/>
          <w:i/>
        </w:rPr>
        <w:t xml:space="preserve">“</w:t>
      </w:r>
      <w:r>
        <w:rPr>
          <w:iCs/>
          <w:i/>
        </w:rPr>
        <w:t xml:space="preserve">adrohaḥ</w:t>
      </w:r>
      <w:r>
        <w:rPr>
          <w:iCs/>
          <w:i/>
        </w:rPr>
        <w:t xml:space="preserve">”</w:t>
      </w:r>
      <w:r>
        <w:rPr>
          <w:iCs/>
          <w:i/>
        </w:rPr>
        <w:t xml:space="preserve">)</w:t>
      </w:r>
    </w:p>
    <w:p>
      <w:pPr>
        <w:pStyle w:val="BlockText"/>
      </w:pPr>
      <w:r>
        <w:t xml:space="preserve">…द्रोहरहिताः । वह्नयो वोढारो धनानां प्रापयितारः ॥</w:t>
      </w:r>
      <w:r>
        <w:t xml:space="preserve"> </w:t>
      </w:r>
      <w:r>
        <w:rPr>
          <w:iCs/>
          <w:i/>
        </w:rPr>
        <w:t xml:space="preserve">…droha-rahitāḥ | vahnayo voḍhāro dhanānāṃ prāpayitāraḥ ||</w:t>
      </w:r>
    </w:p>
    <w:p>
      <w:pPr>
        <w:pStyle w:val="FirstParagraph"/>
      </w:pPr>
      <w:r>
        <w:rPr>
          <w:bCs/>
          <w:b/>
        </w:rPr>
        <w:t xml:space="preserve">Translation:</w:t>
      </w:r>
      <w:r>
        <w:t xml:space="preserve"> </w:t>
      </w:r>
      <w:r>
        <w:t xml:space="preserve">“</w:t>
      </w:r>
      <w:r>
        <w:t xml:space="preserve">‘</w:t>
      </w:r>
      <w:r>
        <w:t xml:space="preserve">Adruhaḥ</w:t>
      </w:r>
      <w:r>
        <w:t xml:space="preserve">’</w:t>
      </w:r>
      <w:r>
        <w:t xml:space="preserve"> </w:t>
      </w:r>
      <w:r>
        <w:t xml:space="preserve">— free from malice (droha).</w:t>
      </w:r>
      <w:r>
        <w:t xml:space="preserve"> </w:t>
      </w:r>
      <w:r>
        <w:t xml:space="preserve">‘</w:t>
      </w:r>
      <w:r>
        <w:t xml:space="preserve">Vahnayaḥ</w:t>
      </w:r>
      <w:r>
        <w:t xml:space="preserve">’</w:t>
      </w:r>
      <w:r>
        <w:t xml:space="preserve"> </w:t>
      </w:r>
      <w:r>
        <w:t xml:space="preserve">— bearers; those who bring about the attaining of riches.</w:t>
      </w:r>
      <w:r>
        <w:t xml:space="preserve">”</w:t>
      </w:r>
    </w:p>
    <w:p>
      <w:pPr>
        <w:pStyle w:val="BodyText"/>
      </w:pPr>
      <w:r>
        <w:rPr>
          <w:bCs/>
          <w:b/>
        </w:rPr>
        <w:t xml:space="preserve">Grammar of Rik 3.9 (characterized):</w:t>
      </w:r>
      <w:r>
        <w:t xml:space="preserve"> </w:t>
      </w:r>
      <w:r>
        <w:t xml:space="preserve">-</w:t>
      </w:r>
      <w:r>
        <w:t xml:space="preserve"> </w:t>
      </w:r>
      <w:r>
        <w:rPr>
          <w:bCs/>
          <w:b/>
        </w:rPr>
        <w:t xml:space="preserve">“</w:t>
      </w:r>
      <w:r>
        <w:rPr>
          <w:bCs/>
          <w:b/>
        </w:rPr>
        <w:t xml:space="preserve">Asridhaḥ</w:t>
      </w:r>
      <w:r>
        <w:rPr>
          <w:bCs/>
          <w:b/>
        </w:rPr>
        <w:t xml:space="preserve">”</w:t>
      </w:r>
      <w:r>
        <w:t xml:space="preserve"> </w:t>
      </w:r>
      <w:r>
        <w:t xml:space="preserve">— from</w:t>
      </w:r>
      <w:r>
        <w:t xml:space="preserve"> </w:t>
      </w:r>
      <w:r>
        <w:t xml:space="preserve">“</w:t>
      </w:r>
      <w:r>
        <w:t xml:space="preserve">sridh,</w:t>
      </w:r>
      <w:r>
        <w:t xml:space="preserve">”</w:t>
      </w:r>
      <w:r>
        <w:t xml:space="preserve"> </w:t>
      </w:r>
      <w:r>
        <w:t xml:space="preserve">in the sense of decay (or of drying up),</w:t>
      </w:r>
      <w:r>
        <w:t xml:space="preserve"> </w:t>
      </w:r>
      <w:r>
        <w:t xml:space="preserve">“</w:t>
      </w:r>
      <w:r>
        <w:t xml:space="preserve">kvip</w:t>
      </w:r>
      <w:r>
        <w:t xml:space="preserve">”</w:t>
      </w:r>
      <w:r>
        <w:t xml:space="preserve"> </w:t>
      </w:r>
      <w:r>
        <w:t xml:space="preserve">in the abstract sense after the</w:t>
      </w:r>
      <w:r>
        <w:t xml:space="preserve"> </w:t>
      </w:r>
      <w:r>
        <w:t xml:space="preserve">“</w:t>
      </w:r>
      <w:r>
        <w:t xml:space="preserve">sampadādi</w:t>
      </w:r>
      <w:r>
        <w:t xml:space="preserve">”</w:t>
      </w:r>
      <w:r>
        <w:t xml:space="preserve"> </w:t>
      </w:r>
      <w:r>
        <w:t xml:space="preserve">class (पा. ३-३-१०८ with its vārttika, printed ३-३-१०८-९); a negative bahuvrīhi; setting aside the first-member’s accent,</w:t>
      </w:r>
      <w:r>
        <w:t xml:space="preserve"> </w:t>
      </w:r>
      <w:r>
        <w:rPr>
          <w:bCs/>
          <w:b/>
        </w:rPr>
        <w:t xml:space="preserve">नञ्सुभ्याम्</w:t>
      </w:r>
      <w:r>
        <w:t xml:space="preserve"> </w:t>
      </w:r>
      <w:r>
        <w:t xml:space="preserve">(</w:t>
      </w:r>
      <w:r>
        <w:rPr>
          <w:iCs/>
          <w:i/>
        </w:rPr>
        <w:t xml:space="preserve">nañ-subhyām</w:t>
      </w:r>
      <w:r>
        <w:t xml:space="preserve">) gives acute on the last syllable of the second member.</w:t>
      </w:r>
      <w:r>
        <w:t xml:space="preserve"> </w:t>
      </w:r>
      <w:r>
        <w:t xml:space="preserve">-</w:t>
      </w:r>
      <w:r>
        <w:t xml:space="preserve"> </w:t>
      </w:r>
      <w:r>
        <w:rPr>
          <w:bCs/>
          <w:b/>
        </w:rPr>
        <w:t xml:space="preserve">“</w:t>
      </w:r>
      <w:r>
        <w:rPr>
          <w:bCs/>
          <w:b/>
        </w:rPr>
        <w:t xml:space="preserve">Ehimāyāsaḥ</w:t>
      </w:r>
      <w:r>
        <w:rPr>
          <w:bCs/>
          <w:b/>
        </w:rPr>
        <w:t xml:space="preserve">”</w:t>
      </w:r>
      <w:r>
        <w:t xml:space="preserve"> </w:t>
      </w:r>
      <w:r>
        <w:t xml:space="preserve">—</w:t>
      </w:r>
      <w:r>
        <w:t xml:space="preserve"> </w:t>
      </w:r>
      <w:r>
        <w:t xml:space="preserve">“</w:t>
      </w:r>
      <w:r>
        <w:t xml:space="preserve">īh</w:t>
      </w:r>
      <w:r>
        <w:t xml:space="preserve">”</w:t>
      </w:r>
      <w:r>
        <w:t xml:space="preserve"> </w:t>
      </w:r>
      <w:r>
        <w:t xml:space="preserve">(to strive);</w:t>
      </w:r>
      <w:r>
        <w:t xml:space="preserve"> </w:t>
      </w:r>
      <w:r>
        <w:t xml:space="preserve">“</w:t>
      </w:r>
      <w:r>
        <w:t xml:space="preserve">ā samantād īhate</w:t>
      </w:r>
      <w:r>
        <w:t xml:space="preserve">”</w:t>
      </w:r>
      <w:r>
        <w:t xml:space="preserve"> </w:t>
      </w:r>
      <w:r>
        <w:t xml:space="preserve">—</w:t>
      </w:r>
      <w:r>
        <w:t xml:space="preserve"> </w:t>
      </w:r>
      <w:r>
        <w:t xml:space="preserve">“</w:t>
      </w:r>
      <w:r>
        <w:t xml:space="preserve">he who strives on all sides</w:t>
      </w:r>
      <w:r>
        <w:t xml:space="preserve">”</w:t>
      </w:r>
      <w:r>
        <w:t xml:space="preserve"> </w:t>
      </w:r>
      <w:r>
        <w:t xml:space="preserve">=</w:t>
      </w:r>
      <w:r>
        <w:t xml:space="preserve"> </w:t>
      </w:r>
      <w:r>
        <w:t xml:space="preserve">“</w:t>
      </w:r>
      <w:r>
        <w:t xml:space="preserve">ehiḥ</w:t>
      </w:r>
      <w:r>
        <w:t xml:space="preserve">”</w:t>
      </w:r>
      <w:r>
        <w:t xml:space="preserve">; the affix</w:t>
      </w:r>
      <w:r>
        <w:t xml:space="preserve"> </w:t>
      </w:r>
      <w:r>
        <w:t xml:space="preserve">“</w:t>
      </w:r>
      <w:r>
        <w:t xml:space="preserve">in</w:t>
      </w:r>
      <w:r>
        <w:t xml:space="preserve">”</w:t>
      </w:r>
      <w:r>
        <w:t xml:space="preserve"> </w:t>
      </w:r>
      <w:r>
        <w:t xml:space="preserve">(उ. ४-११२) comes to roots generally, and, being</w:t>
      </w:r>
      <w:r>
        <w:t xml:space="preserve"> </w:t>
      </w:r>
      <w:r>
        <w:t xml:space="preserve">“</w:t>
      </w:r>
      <w:r>
        <w:t xml:space="preserve">n</w:t>
      </w:r>
      <w:r>
        <w:t xml:space="preserve">”</w:t>
      </w:r>
      <w:r>
        <w:t xml:space="preserve">-marked, the first syllable is acute;</w:t>
      </w:r>
      <w:r>
        <w:t xml:space="preserve"> </w:t>
      </w:r>
      <w:r>
        <w:t xml:space="preserve">“</w:t>
      </w:r>
      <w:r>
        <w:t xml:space="preserve">ehir māyā prajñā yeṣām</w:t>
      </w:r>
      <w:r>
        <w:t xml:space="preserve">”</w:t>
      </w:r>
      <w:r>
        <w:t xml:space="preserve"> </w:t>
      </w:r>
      <w:r>
        <w:t xml:space="preserve">— a bahuvrīhi in which the first member keeps its accent.</w:t>
      </w:r>
      <w:r>
        <w:t xml:space="preserve"> </w:t>
      </w:r>
      <w:r>
        <w:rPr>
          <w:iCs/>
          <w:i/>
        </w:rPr>
        <w:t xml:space="preserve">Alternatively:</w:t>
      </w:r>
      <w:r>
        <w:t xml:space="preserve"> </w:t>
      </w:r>
      <w:r>
        <w:t xml:space="preserve">the word</w:t>
      </w:r>
      <w:r>
        <w:t xml:space="preserve"> </w:t>
      </w:r>
      <w:r>
        <w:t xml:space="preserve">“</w:t>
      </w:r>
      <w:r>
        <w:t xml:space="preserve">ehi</w:t>
      </w:r>
      <w:r>
        <w:t xml:space="preserve">”</w:t>
      </w:r>
      <w:r>
        <w:t xml:space="preserve"> </w:t>
      </w:r>
      <w:r>
        <w:t xml:space="preserve">is the imperative second-person-singular after the</w:t>
      </w:r>
      <w:r>
        <w:t xml:space="preserve"> </w:t>
      </w:r>
      <w:r>
        <w:t xml:space="preserve">“</w:t>
      </w:r>
      <w:r>
        <w:t xml:space="preserve">ā</w:t>
      </w:r>
      <w:r>
        <w:t xml:space="preserve">”</w:t>
      </w:r>
      <w:r>
        <w:t xml:space="preserve"> </w:t>
      </w:r>
      <w:r>
        <w:t xml:space="preserve">accented (loṇ-madhyama-ekavacana) with the unaccented ending lost by</w:t>
      </w:r>
      <w:r>
        <w:t xml:space="preserve"> </w:t>
      </w:r>
      <w:r>
        <w:t xml:space="preserve">“</w:t>
      </w:r>
      <w:r>
        <w:t xml:space="preserve">tiṅ atiṅaḥ</w:t>
      </w:r>
      <w:r>
        <w:t xml:space="preserve">”</w:t>
      </w:r>
      <w:r>
        <w:t xml:space="preserve"> </w:t>
      </w:r>
      <w:r>
        <w:t xml:space="preserve">nighāta, with the fusing vowel</w:t>
      </w:r>
      <w:r>
        <w:t xml:space="preserve"> </w:t>
      </w:r>
      <w:r>
        <w:t xml:space="preserve">“</w:t>
      </w:r>
      <w:r>
        <w:t xml:space="preserve">e</w:t>
      </w:r>
      <w:r>
        <w:t xml:space="preserve">”</w:t>
      </w:r>
      <w:r>
        <w:t xml:space="preserve"> </w:t>
      </w:r>
      <w:r>
        <w:t xml:space="preserve">acute — and then</w:t>
      </w:r>
      <w:r>
        <w:t xml:space="preserve"> </w:t>
      </w:r>
      <w:r>
        <w:t xml:space="preserve">“</w:t>
      </w:r>
      <w:r>
        <w:t xml:space="preserve">ehi</w:t>
      </w:r>
      <w:r>
        <w:t xml:space="preserve">”</w:t>
      </w:r>
      <w:r>
        <w:t xml:space="preserve"> </w:t>
      </w:r>
      <w:r>
        <w:t xml:space="preserve">+</w:t>
      </w:r>
      <w:r>
        <w:t xml:space="preserve"> </w:t>
      </w:r>
      <w:r>
        <w:t xml:space="preserve">“</w:t>
      </w:r>
      <w:r>
        <w:t xml:space="preserve">mā</w:t>
      </w:r>
      <w:r>
        <w:t xml:space="preserve">”</w:t>
      </w:r>
      <w:r>
        <w:t xml:space="preserve"> </w:t>
      </w:r>
      <w:r>
        <w:t xml:space="preserve">of</w:t>
      </w:r>
      <w:r>
        <w:t xml:space="preserve"> </w:t>
      </w:r>
      <w:r>
        <w:t xml:space="preserve">“</w:t>
      </w:r>
      <w:r>
        <w:t xml:space="preserve">mā yāsīḥ</w:t>
      </w:r>
      <w:r>
        <w:t xml:space="preserve">”</w:t>
      </w:r>
      <w:r>
        <w:t xml:space="preserve">:</w:t>
      </w:r>
      <w:r>
        <w:t xml:space="preserve"> </w:t>
      </w:r>
      <w:r>
        <w:t xml:space="preserve">“</w:t>
      </w:r>
      <w:r>
        <w:t xml:space="preserve">those who have the two syllables</w:t>
      </w:r>
      <w:r>
        <w:t xml:space="preserve"> </w:t>
      </w:r>
      <w:r>
        <w:t xml:space="preserve">‘</w:t>
      </w:r>
      <w:r>
        <w:t xml:space="preserve">māyā</w:t>
      </w:r>
      <w:r>
        <w:t xml:space="preserve">’</w:t>
      </w:r>
      <w:r>
        <w:t xml:space="preserve"> </w:t>
      </w:r>
      <w:r>
        <w:t xml:space="preserve">in the phrase</w:t>
      </w:r>
      <w:r>
        <w:t xml:space="preserve"> </w:t>
      </w:r>
      <w:r>
        <w:t xml:space="preserve">‘</w:t>
      </w:r>
      <w:r>
        <w:t xml:space="preserve">ehi mā yāsīḥ</w:t>
      </w:r>
      <w:r>
        <w:t xml:space="preserve">’</w:t>
      </w:r>
      <w:r>
        <w:t xml:space="preserve">”</w:t>
      </w:r>
      <w:r>
        <w:t xml:space="preserve"> </w:t>
      </w:r>
      <w:r>
        <w:t xml:space="preserve">=</w:t>
      </w:r>
      <w:r>
        <w:t xml:space="preserve"> </w:t>
      </w:r>
      <w:r>
        <w:t xml:space="preserve">“</w:t>
      </w:r>
      <w:r>
        <w:t xml:space="preserve">ehimāyāsaḥ</w:t>
      </w:r>
      <w:r>
        <w:t xml:space="preserve">”</w:t>
      </w:r>
      <w:r>
        <w:t xml:space="preserve">; the first member keeps its accent.</w:t>
      </w:r>
      <w:r>
        <w:t xml:space="preserve"> </w:t>
      </w:r>
      <w:r>
        <w:t xml:space="preserve">-</w:t>
      </w:r>
      <w:r>
        <w:t xml:space="preserve"> </w:t>
      </w:r>
      <w:r>
        <w:rPr>
          <w:bCs/>
          <w:b/>
        </w:rPr>
        <w:t xml:space="preserve">“</w:t>
      </w:r>
      <w:r>
        <w:rPr>
          <w:bCs/>
          <w:b/>
        </w:rPr>
        <w:t xml:space="preserve">Adruhaḥ</w:t>
      </w:r>
      <w:r>
        <w:rPr>
          <w:bCs/>
          <w:b/>
        </w:rPr>
        <w:t xml:space="preserve">”</w:t>
      </w:r>
      <w:r>
        <w:t xml:space="preserve"> </w:t>
      </w:r>
      <w:r>
        <w:t xml:space="preserve">—</w:t>
      </w:r>
      <w:r>
        <w:t xml:space="preserve"> </w:t>
      </w:r>
      <w:r>
        <w:t xml:space="preserve">“</w:t>
      </w:r>
      <w:r>
        <w:t xml:space="preserve">druh</w:t>
      </w:r>
      <w:r>
        <w:t xml:space="preserve">”</w:t>
      </w:r>
      <w:r>
        <w:t xml:space="preserve"> </w:t>
      </w:r>
      <w:r>
        <w:t xml:space="preserve">(to wish to injure),</w:t>
      </w:r>
      <w:r>
        <w:t xml:space="preserve"> </w:t>
      </w:r>
      <w:r>
        <w:t xml:space="preserve">“</w:t>
      </w:r>
      <w:r>
        <w:t xml:space="preserve">kvip</w:t>
      </w:r>
      <w:r>
        <w:t xml:space="preserve">”</w:t>
      </w:r>
      <w:r>
        <w:t xml:space="preserve"> </w:t>
      </w:r>
      <w:r>
        <w:t xml:space="preserve">by</w:t>
      </w:r>
      <w:r>
        <w:t xml:space="preserve"> </w:t>
      </w:r>
      <w:r>
        <w:t xml:space="preserve">“</w:t>
      </w:r>
      <w:r>
        <w:t xml:space="preserve">sampadādi</w:t>
      </w:r>
      <w:r>
        <w:t xml:space="preserve">”</w:t>
      </w:r>
      <w:r>
        <w:t xml:space="preserve"> </w:t>
      </w:r>
      <w:r>
        <w:t xml:space="preserve">in the abstract; negative bahuvrīhi; last syllable of the second member acute by</w:t>
      </w:r>
      <w:r>
        <w:t xml:space="preserve"> </w:t>
      </w:r>
      <w:r>
        <w:t xml:space="preserve">“</w:t>
      </w:r>
      <w:r>
        <w:t xml:space="preserve">nañ-subhyām.</w:t>
      </w:r>
      <w:r>
        <w:t xml:space="preserve">”</w:t>
      </w:r>
      <w:r>
        <w:t xml:space="preserve"> </w:t>
      </w:r>
      <w:r>
        <w:t xml:space="preserve">-</w:t>
      </w:r>
      <w:r>
        <w:t xml:space="preserve"> </w:t>
      </w:r>
      <w:r>
        <w:rPr>
          <w:bCs/>
          <w:b/>
        </w:rPr>
        <w:t xml:space="preserve">“</w:t>
      </w:r>
      <w:r>
        <w:rPr>
          <w:bCs/>
          <w:b/>
        </w:rPr>
        <w:t xml:space="preserve">Medham</w:t>
      </w:r>
      <w:r>
        <w:rPr>
          <w:bCs/>
          <w:b/>
        </w:rPr>
        <w:t xml:space="preserve">”</w:t>
      </w:r>
      <w:r>
        <w:t xml:space="preserve"> </w:t>
      </w:r>
      <w:r>
        <w:t xml:space="preserve">—</w:t>
      </w:r>
      <w:r>
        <w:t xml:space="preserve"> </w:t>
      </w:r>
      <w:r>
        <w:t xml:space="preserve">“</w:t>
      </w:r>
      <w:r>
        <w:t xml:space="preserve">medhṛ</w:t>
      </w:r>
      <w:r>
        <w:t xml:space="preserve">”</w:t>
      </w:r>
      <w:r>
        <w:t xml:space="preserve"> </w:t>
      </w:r>
      <w:r>
        <w:t xml:space="preserve">(to unite):</w:t>
      </w:r>
      <w:r>
        <w:t xml:space="preserve"> </w:t>
      </w:r>
      <w:r>
        <w:t xml:space="preserve">“</w:t>
      </w:r>
      <w:r>
        <w:t xml:space="preserve">that which is united with, approached by the gods</w:t>
      </w:r>
      <w:r>
        <w:t xml:space="preserve">”</w:t>
      </w:r>
      <w:r>
        <w:t xml:space="preserve"> </w:t>
      </w:r>
      <w:r>
        <w:t xml:space="preserve">=</w:t>
      </w:r>
      <w:r>
        <w:t xml:space="preserve"> </w:t>
      </w:r>
      <w:r>
        <w:t xml:space="preserve">“</w:t>
      </w:r>
      <w:r>
        <w:t xml:space="preserve">medham,</w:t>
      </w:r>
      <w:r>
        <w:t xml:space="preserve">”</w:t>
      </w:r>
      <w:r>
        <w:t xml:space="preserve"> </w:t>
      </w:r>
      <w:r>
        <w:t xml:space="preserve">oblation;</w:t>
      </w:r>
      <w:r>
        <w:t xml:space="preserve"> </w:t>
      </w:r>
      <w:r>
        <w:t xml:space="preserve">“</w:t>
      </w:r>
      <w:r>
        <w:t xml:space="preserve">ghañ</w:t>
      </w:r>
      <w:r>
        <w:t xml:space="preserve">”</w:t>
      </w:r>
      <w:r>
        <w:t xml:space="preserve"> </w:t>
      </w:r>
      <w:r>
        <w:t xml:space="preserve">in the object-sense;</w:t>
      </w:r>
      <w:r>
        <w:t xml:space="preserve"> </w:t>
      </w:r>
      <w:r>
        <w:t xml:space="preserve">“</w:t>
      </w:r>
      <w:r>
        <w:t xml:space="preserve">ñ</w:t>
      </w:r>
      <w:r>
        <w:t xml:space="preserve">”</w:t>
      </w:r>
      <w:r>
        <w:t xml:space="preserve">-marked, so first syllable acute.</w:t>
      </w:r>
      <w:r>
        <w:t xml:space="preserve"> </w:t>
      </w:r>
      <w:r>
        <w:t xml:space="preserve">-</w:t>
      </w:r>
      <w:r>
        <w:t xml:space="preserve"> </w:t>
      </w:r>
      <w:r>
        <w:rPr>
          <w:bCs/>
          <w:b/>
        </w:rPr>
        <w:t xml:space="preserve">“</w:t>
      </w:r>
      <w:r>
        <w:rPr>
          <w:bCs/>
          <w:b/>
        </w:rPr>
        <w:t xml:space="preserve">Juṣanta</w:t>
      </w:r>
      <w:r>
        <w:rPr>
          <w:bCs/>
          <w:b/>
        </w:rPr>
        <w:t xml:space="preserve">”</w:t>
      </w:r>
      <w:r>
        <w:t xml:space="preserve"> </w:t>
      </w:r>
      <w:r>
        <w:t xml:space="preserve">— in the sense</w:t>
      </w:r>
      <w:r>
        <w:t xml:space="preserve"> </w:t>
      </w:r>
      <w:r>
        <w:t xml:space="preserve">“</w:t>
      </w:r>
      <w:r>
        <w:t xml:space="preserve">sevantām</w:t>
      </w:r>
      <w:r>
        <w:t xml:space="preserve">”</w:t>
      </w:r>
      <w:r>
        <w:t xml:space="preserve"> </w:t>
      </w:r>
      <w:r>
        <w:t xml:space="preserve">(</w:t>
      </w:r>
      <w:r>
        <w:t xml:space="preserve">“</w:t>
      </w:r>
      <w:r>
        <w:t xml:space="preserve">let them enjoy</w:t>
      </w:r>
      <w:r>
        <w:t xml:space="preserve">”</w:t>
      </w:r>
      <w:r>
        <w:t xml:space="preserve">), in the Veda the</w:t>
      </w:r>
      <w:r>
        <w:t xml:space="preserve"> </w:t>
      </w:r>
      <w:r>
        <w:t xml:space="preserve">“</w:t>
      </w:r>
      <w:r>
        <w:t xml:space="preserve">luṅ, laṅ, liṭ</w:t>
      </w:r>
      <w:r>
        <w:t xml:space="preserve">”</w:t>
      </w:r>
      <w:r>
        <w:t xml:space="preserve"> </w:t>
      </w:r>
      <w:r>
        <w:t xml:space="preserve">may stand for the imperative (</w:t>
      </w:r>
      <w:r>
        <w:rPr>
          <w:bCs/>
          <w:b/>
        </w:rPr>
        <w:t xml:space="preserve">छन्दसि लुङ्लङ्लिटः</w:t>
      </w:r>
      <w:r>
        <w:t xml:space="preserve">,</w:t>
      </w:r>
      <w:r>
        <w:t xml:space="preserve"> </w:t>
      </w:r>
      <w:r>
        <w:rPr>
          <w:iCs/>
          <w:i/>
        </w:rPr>
        <w:t xml:space="preserve">chandasi luṅ-laṅ-liṭaḥ</w:t>
      </w:r>
      <w:r>
        <w:t xml:space="preserve">, पा. ३-४-६); since the sense is joined to the root meanings of</w:t>
      </w:r>
      <w:r>
        <w:t xml:space="preserve"> </w:t>
      </w:r>
      <w:r>
        <w:t xml:space="preserve">“</w:t>
      </w:r>
      <w:r>
        <w:t xml:space="preserve">druh</w:t>
      </w:r>
      <w:r>
        <w:t xml:space="preserve">”</w:t>
      </w:r>
      <w:r>
        <w:t xml:space="preserve"> </w:t>
      </w:r>
      <w:r>
        <w:t xml:space="preserve">etc.,</w:t>
      </w:r>
      <w:r>
        <w:t xml:space="preserve"> </w:t>
      </w:r>
      <w:r>
        <w:t xml:space="preserve">“</w:t>
      </w:r>
      <w:r>
        <w:t xml:space="preserve">laṅ</w:t>
      </w:r>
      <w:r>
        <w:t xml:space="preserve">”</w:t>
      </w:r>
      <w:r>
        <w:t xml:space="preserve"> </w:t>
      </w:r>
      <w:r>
        <w:t xml:space="preserve">is chosen; by</w:t>
      </w:r>
      <w:r>
        <w:t xml:space="preserve"> </w:t>
      </w:r>
      <w:r>
        <w:rPr>
          <w:bCs/>
          <w:b/>
        </w:rPr>
        <w:t xml:space="preserve">बहुलं छन्दस्यमाङ्योगेऽपि</w:t>
      </w:r>
      <w:r>
        <w:t xml:space="preserve"> </w:t>
      </w:r>
      <w:r>
        <w:t xml:space="preserve">(</w:t>
      </w:r>
      <w:r>
        <w:rPr>
          <w:iCs/>
          <w:i/>
        </w:rPr>
        <w:t xml:space="preserve">bahulaṃ chandasy amāṅ-yoge ’pi</w:t>
      </w:r>
      <w:r>
        <w:t xml:space="preserve">, पा. ६-४-७५) the augment</w:t>
      </w:r>
      <w:r>
        <w:t xml:space="preserve"> </w:t>
      </w:r>
      <w:r>
        <w:t xml:space="preserve">“</w:t>
      </w:r>
      <w:r>
        <w:t xml:space="preserve">aṭ</w:t>
      </w:r>
      <w:r>
        <w:t xml:space="preserve">”</w:t>
      </w:r>
      <w:r>
        <w:t xml:space="preserve"> </w:t>
      </w:r>
      <w:r>
        <w:t xml:space="preserve">does not occur.</w:t>
      </w:r>
      <w:r>
        <w:t xml:space="preserve"> </w:t>
      </w:r>
      <w:r>
        <w:t xml:space="preserve">-</w:t>
      </w:r>
      <w:r>
        <w:t xml:space="preserve"> </w:t>
      </w:r>
      <w:r>
        <w:rPr>
          <w:bCs/>
          <w:b/>
        </w:rPr>
        <w:t xml:space="preserve">“</w:t>
      </w:r>
      <w:r>
        <w:rPr>
          <w:bCs/>
          <w:b/>
        </w:rPr>
        <w:t xml:space="preserve">Vahnayaḥ</w:t>
      </w:r>
      <w:r>
        <w:rPr>
          <w:bCs/>
          <w:b/>
        </w:rPr>
        <w:t xml:space="preserve">”</w:t>
      </w:r>
      <w:r>
        <w:t xml:space="preserve"> </w:t>
      </w:r>
      <w:r>
        <w:t xml:space="preserve">— from</w:t>
      </w:r>
      <w:r>
        <w:t xml:space="preserve"> </w:t>
      </w:r>
      <w:r>
        <w:t xml:space="preserve">“</w:t>
      </w:r>
      <w:r>
        <w:t xml:space="preserve">vah</w:t>
      </w:r>
      <w:r>
        <w:t xml:space="preserve">”</w:t>
      </w:r>
      <w:r>
        <w:t xml:space="preserve"> </w:t>
      </w:r>
      <w:r>
        <w:t xml:space="preserve">with the Uṇādi</w:t>
      </w:r>
      <w:r>
        <w:t xml:space="preserve"> </w:t>
      </w:r>
      <w:r>
        <w:t xml:space="preserve">“</w:t>
      </w:r>
      <w:r>
        <w:t xml:space="preserve">ṇi/ni</w:t>
      </w:r>
      <w:r>
        <w:t xml:space="preserve">”</w:t>
      </w:r>
      <w:r>
        <w:t xml:space="preserve"> </w:t>
      </w:r>
      <w:r>
        <w:t xml:space="preserve">(</w:t>
      </w:r>
      <w:r>
        <w:rPr>
          <w:bCs/>
          <w:b/>
        </w:rPr>
        <w:t xml:space="preserve">वहिश्री…</w:t>
      </w:r>
      <w:r>
        <w:t xml:space="preserve">,</w:t>
      </w:r>
      <w:r>
        <w:t xml:space="preserve"> </w:t>
      </w:r>
      <w:r>
        <w:rPr>
          <w:iCs/>
          <w:i/>
        </w:rPr>
        <w:t xml:space="preserve">vahi-śri-…</w:t>
      </w:r>
      <w:r>
        <w:t xml:space="preserve">);</w:t>
      </w:r>
      <w:r>
        <w:t xml:space="preserve"> </w:t>
      </w:r>
      <w:r>
        <w:t xml:space="preserve">“</w:t>
      </w:r>
      <w:r>
        <w:t xml:space="preserve">n</w:t>
      </w:r>
      <w:r>
        <w:t xml:space="preserve">”</w:t>
      </w:r>
      <w:r>
        <w:t xml:space="preserve">-marked, so first-syllable acute. ॥९॥</w:t>
      </w:r>
    </w:p>
    <w:p>
      <w:pPr>
        <w:pStyle w:val="BodyText"/>
      </w:pPr>
      <w:r>
        <w:rPr>
          <w:bCs/>
          <w:b/>
        </w:rPr>
        <w:t xml:space="preserve">॥ Prati-padārthaḥ ॥</w:t>
      </w:r>
      <w:r>
        <w:t xml:space="preserve"> </w:t>
      </w:r>
      <w:r>
        <w:rPr>
          <w:iCs/>
          <w:i/>
        </w:rPr>
        <w:t xml:space="preserve">(Kannada, translated)</w:t>
      </w:r>
    </w:p>
    <w:p>
      <w:pPr>
        <w:pStyle w:val="BodyText"/>
      </w:pPr>
      <w:r>
        <w:rPr>
          <w:bCs/>
          <w:b/>
        </w:rPr>
        <w:t xml:space="preserve">विश्वे देवासः (viśve devāsaḥ)</w:t>
      </w:r>
      <w:r>
        <w:t xml:space="preserve"> </w:t>
      </w:r>
      <w:r>
        <w:t xml:space="preserve">— O Viśvedevas, (you) |</w:t>
      </w:r>
      <w:r>
        <w:t xml:space="preserve"> </w:t>
      </w:r>
      <w:r>
        <w:rPr>
          <w:bCs/>
          <w:b/>
        </w:rPr>
        <w:t xml:space="preserve">अस्रिधः (asridhaḥ)</w:t>
      </w:r>
      <w:r>
        <w:t xml:space="preserve"> </w:t>
      </w:r>
      <w:r>
        <w:t xml:space="preserve">— free from decay, free from destruction |</w:t>
      </w:r>
      <w:r>
        <w:t xml:space="preserve"> </w:t>
      </w:r>
      <w:r>
        <w:rPr>
          <w:bCs/>
          <w:b/>
        </w:rPr>
        <w:t xml:space="preserve">एहिमायासः (ehimāyāsaḥ)</w:t>
      </w:r>
      <w:r>
        <w:t xml:space="preserve"> </w:t>
      </w:r>
      <w:r>
        <w:t xml:space="preserve">— those who have wisdom (knowledge) in all directions and in all matters |</w:t>
      </w:r>
      <w:r>
        <w:t xml:space="preserve"> </w:t>
      </w:r>
      <w:r>
        <w:rPr>
          <w:bCs/>
          <w:b/>
        </w:rPr>
        <w:t xml:space="preserve">अद्रुहः (adruhaḥ)</w:t>
      </w:r>
      <w:r>
        <w:t xml:space="preserve"> </w:t>
      </w:r>
      <w:r>
        <w:t xml:space="preserve">— those who are free from malice (hostility) |</w:t>
      </w:r>
      <w:r>
        <w:t xml:space="preserve"> </w:t>
      </w:r>
      <w:r>
        <w:rPr>
          <w:bCs/>
          <w:b/>
        </w:rPr>
        <w:t xml:space="preserve">वह्नयः (vahnayaḥ)</w:t>
      </w:r>
      <w:r>
        <w:t xml:space="preserve"> </w:t>
      </w:r>
      <w:r>
        <w:t xml:space="preserve">— those who bring (to those who praise you, wealth and lordship), who carry |</w:t>
      </w:r>
      <w:r>
        <w:t xml:space="preserve"> </w:t>
      </w:r>
      <w:r>
        <w:rPr>
          <w:bCs/>
          <w:b/>
        </w:rPr>
        <w:t xml:space="preserve">(such you) मेधम् (medham)</w:t>
      </w:r>
      <w:r>
        <w:t xml:space="preserve"> </w:t>
      </w:r>
      <w:r>
        <w:t xml:space="preserve">— the oblation that belongs to the sacrifice |</w:t>
      </w:r>
      <w:r>
        <w:t xml:space="preserve"> </w:t>
      </w:r>
      <w:r>
        <w:rPr>
          <w:bCs/>
          <w:b/>
        </w:rPr>
        <w:t xml:space="preserve">जुषन्त (juṣanta)</w:t>
      </w:r>
      <w:r>
        <w:t xml:space="preserve"> </w:t>
      </w:r>
      <w:r>
        <w:t xml:space="preserve">— enjoy (eat).</w:t>
      </w:r>
    </w:p>
    <w:p>
      <w:pPr>
        <w:pStyle w:val="BodyText"/>
      </w:pPr>
      <w:r>
        <w:rPr>
          <w:bCs/>
          <w:b/>
        </w:rPr>
        <w:t xml:space="preserve">॥ Bhāvārthaḥ ॥</w:t>
      </w:r>
      <w:r>
        <w:t xml:space="preserve"> </w:t>
      </w:r>
      <w:r>
        <w:rPr>
          <w:iCs/>
          <w:i/>
        </w:rPr>
        <w:t xml:space="preserve">(Kannada, translated)</w:t>
      </w:r>
    </w:p>
    <w:p>
      <w:pPr>
        <w:pStyle w:val="BodyText"/>
      </w:pPr>
      <w:r>
        <w:t xml:space="preserve">O Viśvedevas! You are free from destruction, complete in wisdom about all matters — that is, all-knowing. You are not those who harbour hostility to another. You are those who bring to the ones who praise you wealth and lordship. Such as you are, partake of the oblation connected with the sacrifice that we offer.</w:t>
      </w:r>
    </w:p>
    <w:p>
      <w:pPr>
        <w:pStyle w:val="BodyText"/>
      </w:pPr>
      <w:r>
        <w:rPr>
          <w:bCs/>
          <w:b/>
        </w:rPr>
        <w:t xml:space="preserve">English Translation</w:t>
      </w:r>
      <w:r>
        <w:t xml:space="preserve"> </w:t>
      </w:r>
      <w:r>
        <w:rPr>
          <w:iCs/>
          <w:i/>
        </w:rPr>
        <w:t xml:space="preserve">(printed in English in the source itself):</w:t>
      </w:r>
    </w:p>
    <w:p>
      <w:pPr>
        <w:pStyle w:val="BodyText"/>
      </w:pPr>
      <w:r>
        <w:t xml:space="preserve">“</w:t>
      </w:r>
      <w:r>
        <w:t xml:space="preserve">May the Visve devas, who are immortal, Omniscient, devoid of malice and bearers (of riches), accept the Sacrificial food.</w:t>
      </w:r>
      <w:r>
        <w:t xml:space="preserve">”</w:t>
      </w:r>
    </w:p>
    <w:bookmarkEnd w:id="85"/>
    <w:bookmarkStart w:id="86" w:name="X6b666a8150b0765e054c8dabbcc226c563521ad"/>
    <w:p>
      <w:pPr>
        <w:pStyle w:val="Heading3"/>
      </w:pPr>
      <w:r>
        <w:t xml:space="preserve">Page 60 — Special topics on Rik 3.9:</w:t>
      </w:r>
      <w:r>
        <w:t xml:space="preserve"> </w:t>
      </w:r>
      <w:r>
        <w:t xml:space="preserve">“</w:t>
      </w:r>
      <w:r>
        <w:t xml:space="preserve">asridhaḥ,</w:t>
      </w:r>
      <w:r>
        <w:t xml:space="preserve">”</w:t>
      </w:r>
      <w:r>
        <w:t xml:space="preserve"> </w:t>
      </w:r>
      <w:r>
        <w:t xml:space="preserve">“</w:t>
      </w:r>
      <w:r>
        <w:t xml:space="preserve">ehimāyāsaḥ,</w:t>
      </w:r>
      <w:r>
        <w:t xml:space="preserve">”</w:t>
      </w:r>
      <w:r>
        <w:t xml:space="preserve"> </w:t>
      </w:r>
      <w:r>
        <w:t xml:space="preserve">and the legend of Agni in the waters (opening)</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1, Sūkta 3.</w:t>
      </w:r>
      <w:r>
        <w:rPr>
          <w:iCs/>
          <w:i/>
        </w:rPr>
        <w:t xml:space="preserve">”</w:t>
      </w:r>
      <w:r>
        <w:rPr>
          <w:iCs/>
          <w:i/>
        </w:rPr>
        <w:t xml:space="preserve">)</w:t>
      </w:r>
    </w:p>
    <w:p>
      <w:pPr>
        <w:pStyle w:val="BodyText"/>
      </w:pPr>
      <w:r>
        <w:rPr>
          <w:bCs/>
          <w:b/>
        </w:rPr>
        <w:t xml:space="preserve">अस्रिधः (asridhaḥ)</w:t>
      </w:r>
      <w:r>
        <w:t xml:space="preserve"> </w:t>
      </w:r>
      <w:r>
        <w:t xml:space="preserve">— The Bhāṣyakāra explains this as</w:t>
      </w:r>
      <w:r>
        <w:t xml:space="preserve"> </w:t>
      </w:r>
      <w:r>
        <w:t xml:space="preserve">“</w:t>
      </w:r>
      <w:r>
        <w:t xml:space="preserve">one free of decay, or free of drying-up</w:t>
      </w:r>
      <w:r>
        <w:t xml:space="preserve">”</w:t>
      </w:r>
      <w:r>
        <w:t xml:space="preserve"> </w:t>
      </w:r>
      <w:r>
        <w:t xml:space="preserve">— in the source’s own English,</w:t>
      </w:r>
      <w:r>
        <w:t xml:space="preserve"> </w:t>
      </w:r>
      <w:r>
        <w:t xml:space="preserve">“</w:t>
      </w:r>
      <w:r>
        <w:t xml:space="preserve">not causing drought, or dryness.</w:t>
      </w:r>
      <w:r>
        <w:t xml:space="preserve">”</w:t>
      </w:r>
      <w:r>
        <w:t xml:space="preserve"> </w:t>
      </w:r>
      <w:r>
        <w:t xml:space="preserve">Western scholars have used the words (English as printed):</w:t>
      </w:r>
      <w:r>
        <w:t xml:space="preserve"> </w:t>
      </w:r>
      <w:r>
        <w:t xml:space="preserve">“</w:t>
      </w:r>
      <w:r>
        <w:t xml:space="preserve">Unfailing, undecaying, undrying, undaunted, fearless, friendly, harmless,</w:t>
      </w:r>
      <w:r>
        <w:t xml:space="preserve">”</w:t>
      </w:r>
      <w:r>
        <w:t xml:space="preserve"> </w:t>
      </w:r>
      <w:r>
        <w:t xml:space="preserve">and the like.</w:t>
      </w:r>
    </w:p>
    <w:p>
      <w:pPr>
        <w:pStyle w:val="BodyText"/>
      </w:pPr>
      <w:r>
        <w:rPr>
          <w:bCs/>
          <w:b/>
        </w:rPr>
        <w:t xml:space="preserve">एहिमायासः (ehimāyāsaḥ)</w:t>
      </w:r>
      <w:r>
        <w:t xml:space="preserve"> </w:t>
      </w:r>
      <w:r>
        <w:t xml:space="preserve">— This word occurs in the Ṛgveda in this Ṛk alone, nowhere else. The Bhāṣyakāra explains it as</w:t>
      </w:r>
      <w:r>
        <w:t xml:space="preserve"> </w:t>
      </w:r>
      <w:r>
        <w:t xml:space="preserve">“</w:t>
      </w:r>
      <w:r>
        <w:t xml:space="preserve">sarvato vyāpta-prajñāḥ</w:t>
      </w:r>
      <w:r>
        <w:t xml:space="preserve">”</w:t>
      </w:r>
      <w:r>
        <w:t xml:space="preserve"> </w:t>
      </w:r>
      <w:r>
        <w:t xml:space="preserve">(</w:t>
      </w:r>
      <w:r>
        <w:t xml:space="preserve">“</w:t>
      </w:r>
      <w:r>
        <w:t xml:space="preserve">those whose understanding pervades everywhere</w:t>
      </w:r>
      <w:r>
        <w:t xml:space="preserve">”</w:t>
      </w:r>
      <w:r>
        <w:t xml:space="preserve">). Skandasvāmī gives</w:t>
      </w:r>
      <w:r>
        <w:t xml:space="preserve"> </w:t>
      </w:r>
      <w:r>
        <w:t xml:space="preserve">“</w:t>
      </w:r>
      <w:r>
        <w:t xml:space="preserve">ahīna-māyāḥ, anyūna-prajñānāḥ</w:t>
      </w:r>
      <w:r>
        <w:t xml:space="preserve">”</w:t>
      </w:r>
      <w:r>
        <w:t xml:space="preserve"> </w:t>
      </w:r>
      <w:r>
        <w:t xml:space="preserve">(अहीनमायाः अन्यूनप्रज्ञानाः —</w:t>
      </w:r>
      <w:r>
        <w:t xml:space="preserve"> </w:t>
      </w:r>
      <w:r>
        <w:t xml:space="preserve">“</w:t>
      </w:r>
      <w:r>
        <w:t xml:space="preserve">those of undiminished wisdom, of unlessened understanding</w:t>
      </w:r>
      <w:r>
        <w:t xml:space="preserve">”</w:t>
      </w:r>
      <w:r>
        <w:t xml:space="preserve">). Both of them, and also Veṅkaṭamādhava, in considering the origin of this word, or how it came to be a fixed term, quote a sentence of the</w:t>
      </w:r>
      <w:r>
        <w:t xml:space="preserve"> </w:t>
      </w:r>
      <w:r>
        <w:rPr>
          <w:bCs/>
          <w:b/>
        </w:rPr>
        <w:t xml:space="preserve">Kauṣītaki Brāhmaṇa</w:t>
      </w:r>
      <w:r>
        <w:t xml:space="preserve">:</w:t>
      </w:r>
    </w:p>
    <w:p>
      <w:pPr>
        <w:pStyle w:val="BlockText"/>
      </w:pPr>
      <w:r>
        <w:t xml:space="preserve">सौचीकमग्निमप्सु प्रविष्टमेहि मा यासीरिति यदवोचन् तदनुकरणहेतुकोऽयं विश्वेषां देवानां व्यपदेश एहिमायास इति ।</w:t>
      </w:r>
      <w:r>
        <w:t xml:space="preserve"> </w:t>
      </w:r>
      <w:r>
        <w:rPr>
          <w:iCs/>
          <w:i/>
        </w:rPr>
        <w:t xml:space="preserve">saucīkam agnim apsu praviṣṭam ehi mā yāsīr iti yad avocan tad-anukaraṇa-hetuko ’yaṃ viśveṣāṃ devānāṃ vyapadeśa ehimāyāsa iti |</w:t>
      </w:r>
    </w:p>
    <w:p>
      <w:pPr>
        <w:pStyle w:val="FirstParagraph"/>
      </w:pPr>
      <w:r>
        <w:rPr>
          <w:bCs/>
          <w:b/>
        </w:rPr>
        <w:t xml:space="preserve">Translation:</w:t>
      </w:r>
      <w:r>
        <w:t xml:space="preserve"> </w:t>
      </w:r>
      <w:r>
        <w:t xml:space="preserve">“</w:t>
      </w:r>
      <w:r>
        <w:t xml:space="preserve">Because they said to Agni Saucīka, who had entered the waters,</w:t>
      </w:r>
      <w:r>
        <w:t xml:space="preserve"> </w:t>
      </w:r>
      <w:r>
        <w:t xml:space="preserve">‘</w:t>
      </w:r>
      <w:r>
        <w:rPr>
          <w:iCs/>
          <w:i/>
        </w:rPr>
        <w:t xml:space="preserve">Come! do not go!</w:t>
      </w:r>
      <w:r>
        <w:t xml:space="preserve">’</w:t>
      </w:r>
      <w:r>
        <w:t xml:space="preserve"> </w:t>
      </w:r>
      <w:r>
        <w:t xml:space="preserve">— this designation of the Viśvedevas,</w:t>
      </w:r>
      <w:r>
        <w:t xml:space="preserve"> </w:t>
      </w:r>
      <w:r>
        <w:t xml:space="preserve">‘</w:t>
      </w:r>
      <w:r>
        <w:t xml:space="preserve">ehimāyāsaḥ,</w:t>
      </w:r>
      <w:r>
        <w:t xml:space="preserve">’</w:t>
      </w:r>
      <w:r>
        <w:t xml:space="preserve"> </w:t>
      </w:r>
      <w:r>
        <w:t xml:space="preserve">arises from the imitation of that speech.</w:t>
      </w:r>
      <w:r>
        <w:t xml:space="preserve">”</w:t>
      </w:r>
    </w:p>
    <w:p>
      <w:pPr>
        <w:pStyle w:val="BodyText"/>
      </w:pPr>
      <w:r>
        <w:t xml:space="preserve">That is: seeing the Agni named Saucīka entering the waters, the gods said</w:t>
      </w:r>
      <w:r>
        <w:t xml:space="preserve"> </w:t>
      </w:r>
      <w:r>
        <w:t xml:space="preserve">“</w:t>
      </w:r>
      <w:r>
        <w:t xml:space="preserve">ehi mā yāsīḥ</w:t>
      </w:r>
      <w:r>
        <w:t xml:space="preserve">”</w:t>
      </w:r>
      <w:r>
        <w:t xml:space="preserve"> </w:t>
      </w:r>
      <w:r>
        <w:t xml:space="preserve">—</w:t>
      </w:r>
      <w:r>
        <w:t xml:space="preserve"> </w:t>
      </w:r>
      <w:r>
        <w:t xml:space="preserve">“</w:t>
      </w:r>
      <w:r>
        <w:t xml:space="preserve">come, do not go</w:t>
      </w:r>
      <w:r>
        <w:t xml:space="preserve">”</w:t>
      </w:r>
      <w:r>
        <w:t xml:space="preserve"> </w:t>
      </w:r>
      <w:r>
        <w:t xml:space="preserve">— and the word</w:t>
      </w:r>
      <w:r>
        <w:t xml:space="preserve"> </w:t>
      </w:r>
      <w:r>
        <w:t xml:space="preserve">“</w:t>
      </w:r>
      <w:r>
        <w:t xml:space="preserve">ehimāyāsaḥ</w:t>
      </w:r>
      <w:r>
        <w:t xml:space="preserve">”</w:t>
      </w:r>
      <w:r>
        <w:t xml:space="preserve"> </w:t>
      </w:r>
      <w:r>
        <w:t xml:space="preserve">is thought to have become the fixed word through imitation of those words. This matter is described in detail in the</w:t>
      </w:r>
      <w:r>
        <w:t xml:space="preserve"> </w:t>
      </w:r>
      <w:r>
        <w:rPr>
          <w:bCs/>
          <w:b/>
        </w:rPr>
        <w:t xml:space="preserve">tenth Maṇḍala, sūkta 51</w:t>
      </w:r>
      <w:r>
        <w:t xml:space="preserve"> </w:t>
      </w:r>
      <w:r>
        <w:t xml:space="preserve">of the Ṛgveda (Ṛ. Saṃ. 10-51-6 [print]):</w:t>
      </w:r>
    </w:p>
    <w:p>
      <w:pPr>
        <w:pStyle w:val="BlockText"/>
      </w:pPr>
      <w:r>
        <w:t xml:space="preserve">अग्नेः पूर्वे भ्रातरो अर्थमेतं रथीवाध्वानमन्वावरीवुः ।</w:t>
      </w:r>
      <w:r>
        <w:t xml:space="preserve"> </w:t>
      </w:r>
      <w:r>
        <w:t xml:space="preserve">तस्माद्भिया वरुण दूरमायं गौरो न क्षेप्नोरविजे ज्यायाः ॥</w:t>
      </w:r>
      <w:r>
        <w:t xml:space="preserve"> </w:t>
      </w:r>
      <w:r>
        <w:t xml:space="preserve">कुर्मस्त आयुरजरं यदग्ने यथा युक्तो जातवेदो न रिष्याः ।</w:t>
      </w:r>
      <w:r>
        <w:t xml:space="preserve"> </w:t>
      </w:r>
      <w:r>
        <w:t xml:space="preserve">अथा वहासि सुमनस्यमानो भागं देवेभ्यो हविषः सुजात ॥</w:t>
      </w:r>
      <w:r>
        <w:t xml:space="preserve"> </w:t>
      </w:r>
      <w:r>
        <w:t xml:space="preserve">प्रयाजान्मे अनुयाजांश्च केवलानूर्जस्वन्तं हविषो दत्त भागम् ।</w:t>
      </w:r>
      <w:r>
        <w:t xml:space="preserve"> </w:t>
      </w:r>
      <w:r>
        <w:t xml:space="preserve">घृतं चापां पुरुषं चौषधीनामग्नेश्च दीर्घमायुरस्तु देवाः ॥</w:t>
      </w:r>
      <w:r>
        <w:t xml:space="preserve"> </w:t>
      </w:r>
      <w:r>
        <w:t xml:space="preserve">तव प्रयाजा अनुयाजाश्च केवल ऊर्जस्वन्तो हविषः सन्तु भागाः ।</w:t>
      </w:r>
      <w:r>
        <w:t xml:space="preserve"> </w:t>
      </w:r>
      <w:r>
        <w:t xml:space="preserve">तवाग्ने यज्ञोऽयमस्तु सर्वस्तुभ्यं नमन्तां प्रदिशश्चतस्रः ॥</w:t>
      </w:r>
      <w:r>
        <w:t xml:space="preserve"> </w:t>
      </w:r>
      <w:r>
        <w:t xml:space="preserve">(ऋ. सं. १०-५१-६ से ९)</w:t>
      </w:r>
    </w:p>
    <w:p>
      <w:pPr>
        <w:pStyle w:val="BlockText"/>
      </w:pPr>
      <w:r>
        <w:rPr>
          <w:iCs/>
          <w:i/>
        </w:rPr>
        <w:t xml:space="preserve">agneḥ pūrve bhrātaro artham etaṃ rathīvādhvānam anvāvarīvuḥ |</w:t>
      </w:r>
      <w:r>
        <w:t xml:space="preserve"> </w:t>
      </w:r>
      <w:r>
        <w:rPr>
          <w:iCs/>
          <w:i/>
        </w:rPr>
        <w:t xml:space="preserve">tasmād bhiyā varuṇa dūram āyaṃ gauro na kṣepnor avije jyāyāḥ ||</w:t>
      </w:r>
      <w:r>
        <w:t xml:space="preserve"> </w:t>
      </w:r>
      <w:r>
        <w:rPr>
          <w:iCs/>
          <w:i/>
        </w:rPr>
        <w:t xml:space="preserve">kurmas ta āyur ajaraṃ yad agne yathā yukto jātavedo na riṣyāḥ |</w:t>
      </w:r>
      <w:r>
        <w:t xml:space="preserve"> </w:t>
      </w:r>
      <w:r>
        <w:rPr>
          <w:iCs/>
          <w:i/>
        </w:rPr>
        <w:t xml:space="preserve">athā vahāsi sumanasyamāno bhāgaṃ devebhyo haviṣaḥ sujāta ||</w:t>
      </w:r>
      <w:r>
        <w:t xml:space="preserve"> </w:t>
      </w:r>
      <w:r>
        <w:rPr>
          <w:iCs/>
          <w:i/>
        </w:rPr>
        <w:t xml:space="preserve">prayājān me anuyājāṃś ca kevalān ūrjasvantaṃ haviṣo datta bhāgam |</w:t>
      </w:r>
      <w:r>
        <w:t xml:space="preserve"> </w:t>
      </w:r>
      <w:r>
        <w:rPr>
          <w:iCs/>
          <w:i/>
        </w:rPr>
        <w:t xml:space="preserve">ghṛtaṃ cāpāṃ puruṣaṃ cauṣadhīnām agneś ca dīrgham āyur astu devāḥ ||</w:t>
      </w:r>
      <w:r>
        <w:t xml:space="preserve"> </w:t>
      </w:r>
      <w:r>
        <w:rPr>
          <w:iCs/>
          <w:i/>
        </w:rPr>
        <w:t xml:space="preserve">tava prayājā anuyājāś ca kevala ūrjasvanto haviṣaḥ santu bhāgāḥ |</w:t>
      </w:r>
      <w:r>
        <w:t xml:space="preserve"> </w:t>
      </w:r>
      <w:r>
        <w:rPr>
          <w:iCs/>
          <w:i/>
        </w:rPr>
        <w:t xml:space="preserve">tavāgne yajño ’yam astu sarvas tubhyaṃ namantāṃ pradiśaś catasraḥ ||</w:t>
      </w:r>
      <w:r>
        <w:t xml:space="preserve"> </w:t>
      </w:r>
      <w:r>
        <w:rPr>
          <w:iCs/>
          <w:i/>
        </w:rPr>
        <w:t xml:space="preserve">(ṛ. saṃ. 10-51-6 to 9)</w:t>
      </w:r>
    </w:p>
    <w:p>
      <w:pPr>
        <w:pStyle w:val="BlockText"/>
      </w:pPr>
      <w:r>
        <w:t xml:space="preserve">Gloss (mine; the source gives no translation of these four verses on this page):</w:t>
      </w:r>
      <w:r>
        <w:t xml:space="preserve"> </w:t>
      </w:r>
      <w:r>
        <w:t xml:space="preserve">“</w:t>
      </w:r>
      <w:r>
        <w:t xml:space="preserve">(Agni:)</w:t>
      </w:r>
      <w:r>
        <w:t xml:space="preserve"> </w:t>
      </w:r>
      <w:r>
        <w:t xml:space="preserve">‘</w:t>
      </w:r>
      <w:r>
        <w:t xml:space="preserve">Agni’s elder brothers went this way, like a charioteer along his road; from fear of that, O Varuṇa, I have come far away, like a buffalo from the archer’s shot.</w:t>
      </w:r>
      <w:r>
        <w:t xml:space="preserve">’</w:t>
      </w:r>
      <w:r>
        <w:t xml:space="preserve"> </w:t>
      </w:r>
      <w:r>
        <w:t xml:space="preserve">(The gods:)</w:t>
      </w:r>
      <w:r>
        <w:t xml:space="preserve"> </w:t>
      </w:r>
      <w:r>
        <w:t xml:space="preserve">‘</w:t>
      </w:r>
      <w:r>
        <w:t xml:space="preserve">We shall make your life unageing, O Agni, so that you, Jātavedas, bound to us, shall not come to harm; and then, well-disposed, you will carry the portion of the oblation to the gods, O well-born one.</w:t>
      </w:r>
      <w:r>
        <w:t xml:space="preserve">’</w:t>
      </w:r>
      <w:r>
        <w:t xml:space="preserve"> </w:t>
      </w:r>
      <w:r>
        <w:t xml:space="preserve">(Agni:)</w:t>
      </w:r>
      <w:r>
        <w:t xml:space="preserve"> </w:t>
      </w:r>
      <w:r>
        <w:t xml:space="preserve">‘</w:t>
      </w:r>
      <w:r>
        <w:t xml:space="preserve">Give me the fore-offerings and after-offerings, whole, and a strong portion of the oblation; and may ghee (the essence of the waters) and the</w:t>
      </w:r>
      <w:r>
        <w:t xml:space="preserve"> </w:t>
      </w:r>
      <w:r>
        <w:t xml:space="preserve">“</w:t>
      </w:r>
      <w:r>
        <w:t xml:space="preserve">puruṣa</w:t>
      </w:r>
      <w:r>
        <w:t xml:space="preserve">”</w:t>
      </w:r>
      <w:r>
        <w:t xml:space="preserve"> </w:t>
      </w:r>
      <w:r>
        <w:t xml:space="preserve">of the plants and Agni’s long life be [mine], O gods.</w:t>
      </w:r>
      <w:r>
        <w:t xml:space="preserve">’</w:t>
      </w:r>
      <w:r>
        <w:t xml:space="preserve"> </w:t>
      </w:r>
      <w:r>
        <w:t xml:space="preserve">(The gods:)</w:t>
      </w:r>
      <w:r>
        <w:t xml:space="preserve"> </w:t>
      </w:r>
      <w:r>
        <w:t xml:space="preserve">‘</w:t>
      </w:r>
      <w:r>
        <w:t xml:space="preserve">Yours are the fore-offerings and after-offerings, whole; may the portions of the oblation be full of strength; yours, O Agni, be this whole sacrifice; may the four quarters bow to you.</w:t>
      </w:r>
      <w:r>
        <w:t xml:space="preserve">’</w:t>
      </w:r>
      <w:r>
        <w:t xml:space="preserve">”</w:t>
      </w:r>
      <w:r>
        <w:t xml:space="preserve"> </w:t>
      </w:r>
      <w:r>
        <w:t xml:space="preserve">[tentative; for orientation only]</w:t>
      </w:r>
    </w:p>
    <w:p>
      <w:pPr>
        <w:pStyle w:val="FirstParagraph"/>
      </w:pPr>
      <w:r>
        <w:rPr>
          <w:iCs/>
          <w:i/>
        </w:rPr>
        <w:t xml:space="preserve">This sūkta is a conversation between the gods and Agni.</w:t>
      </w:r>
      <w:r>
        <w:t xml:space="preserve"> </w:t>
      </w:r>
      <w:r>
        <w:t xml:space="preserve">The main point: Agni had three elder brothers, named</w:t>
      </w:r>
      <w:r>
        <w:t xml:space="preserve"> </w:t>
      </w:r>
      <w:r>
        <w:rPr>
          <w:bCs/>
          <w:b/>
        </w:rPr>
        <w:t xml:space="preserve">Bhūpati, Bhuvanapati and Bhūtānāṃpati</w:t>
      </w:r>
      <w:r>
        <w:t xml:space="preserve">, who, like Agni, used to carry the oblations to the gods in the sacrifice. When, in the sacrifice, the oblation was made with the thunderbolt-like cry</w:t>
      </w:r>
      <w:r>
        <w:t xml:space="preserve"> </w:t>
      </w:r>
      <w:r>
        <w:t xml:space="preserve">“</w:t>
      </w:r>
      <w:r>
        <w:t xml:space="preserve">vaṣaṭ,</w:t>
      </w:r>
      <w:r>
        <w:t xml:space="preserve">”</w:t>
      </w:r>
      <w:r>
        <w:t xml:space="preserve"> </w:t>
      </w:r>
      <w:r>
        <w:t xml:space="preserve">these three brothers died. Seeing that, the youngest, Agni, frightened, went into the waters and hid. While the gods were searching for Agni, the fish in the water [told] the gods that Agni was in the water…</w:t>
      </w:r>
      <w:r>
        <w:t xml:space="preserve"> </w:t>
      </w:r>
      <w:r>
        <w:rPr>
          <w:iCs/>
          <w:i/>
        </w:rPr>
        <w:t xml:space="preserve">(continues on the next page)</w:t>
      </w:r>
    </w:p>
    <w:bookmarkEnd w:id="86"/>
    <w:bookmarkStart w:id="87" w:name="X63ca98ae0bc312822733a030aec345ccbce35e3"/>
    <w:p>
      <w:pPr>
        <w:pStyle w:val="Heading3"/>
      </w:pPr>
      <w:r>
        <w:t xml:space="preserve">Page 61 — The legend of Agni in the waters (concluded); the Taittirīya Saṃhitā version</w:t>
      </w:r>
    </w:p>
    <w:p>
      <w:pPr>
        <w:pStyle w:val="FirstParagraph"/>
      </w:pPr>
      <w:r>
        <w:rPr>
          <w:iCs/>
          <w:i/>
        </w:rPr>
        <w:t xml:space="preserve">(Page header:</w:t>
      </w:r>
      <w:r>
        <w:rPr>
          <w:iCs/>
          <w:i/>
        </w:rPr>
        <w:t xml:space="preserve"> </w:t>
      </w:r>
      <w:r>
        <w:rPr>
          <w:iCs/>
          <w:i/>
        </w:rPr>
        <w:t xml:space="preserve">“</w:t>
      </w:r>
      <w:r>
        <w:rPr>
          <w:iCs/>
          <w:i/>
        </w:rPr>
        <w:t xml:space="preserve">Aṣṭaka 1, Adhyāya 1, Varga 6 · Ṛgveda-saṃhitā.</w:t>
      </w:r>
      <w:r>
        <w:rPr>
          <w:iCs/>
          <w:i/>
        </w:rPr>
        <w:t xml:space="preserve">”</w:t>
      </w:r>
      <w:r>
        <w:rPr>
          <w:iCs/>
          <w:i/>
        </w:rPr>
        <w:t xml:space="preserve"> </w:t>
      </w:r>
      <w:r>
        <w:rPr>
          <w:iCs/>
          <w:i/>
        </w:rPr>
        <w:t xml:space="preserve">The Taittirīya text below is transcribed from the Kannada print letter by letter; I have not corrected it from outside knowledge, and a few of its spellings look irregular, which I leave as printed.)</w:t>
      </w:r>
    </w:p>
    <w:p>
      <w:pPr>
        <w:pStyle w:val="BodyText"/>
      </w:pPr>
      <w:r>
        <w:rPr>
          <w:iCs/>
          <w:i/>
        </w:rPr>
        <w:t xml:space="preserve">(Continuing from p. 60:</w:t>
      </w:r>
      <w:r>
        <w:rPr>
          <w:iCs/>
          <w:i/>
        </w:rPr>
        <w:t xml:space="preserve"> </w:t>
      </w:r>
      <w:r>
        <w:rPr>
          <w:iCs/>
          <w:i/>
        </w:rPr>
        <w:t xml:space="preserve">“</w:t>
      </w:r>
      <w:r>
        <w:rPr>
          <w:iCs/>
          <w:i/>
        </w:rPr>
        <w:t xml:space="preserve">…the fish in the water told the gods that Agni was in the water.</w:t>
      </w:r>
      <w:r>
        <w:rPr>
          <w:iCs/>
          <w:i/>
        </w:rPr>
        <w:t xml:space="preserve">”</w:t>
      </w:r>
      <w:r>
        <w:rPr>
          <w:iCs/>
          <w:i/>
        </w:rPr>
        <w:t xml:space="preserve">)</w:t>
      </w:r>
      <w:r>
        <w:t xml:space="preserve"> </w:t>
      </w:r>
      <w:r>
        <w:t xml:space="preserve">Then the gods came and addressed Agni; that very conversation is what is described in this sūkta. The gods asked Agni to come up out of the water and, as before, to carry the oblations for them; but Agni, because his brothers had died, said that the same fate awaited him too, and that therefore he would not come. The gods said,</w:t>
      </w:r>
      <w:r>
        <w:t xml:space="preserve"> </w:t>
      </w:r>
      <w:r>
        <w:t xml:space="preserve">“</w:t>
      </w:r>
      <w:r>
        <w:t xml:space="preserve">Do not fear death; we shall so arrange it that you do not have the fear of death.</w:t>
      </w:r>
      <w:r>
        <w:t xml:space="preserve">”</w:t>
      </w:r>
      <w:r>
        <w:t xml:space="preserve"> </w:t>
      </w:r>
      <w:r>
        <w:t xml:space="preserve">Agni then said:</w:t>
      </w:r>
      <w:r>
        <w:t xml:space="preserve"> </w:t>
      </w:r>
      <w:r>
        <w:t xml:space="preserve">“</w:t>
      </w:r>
      <w:r>
        <w:t xml:space="preserve">Very well; but besides keeping the fear of death from me, in the sacrifices the</w:t>
      </w:r>
      <w:r>
        <w:t xml:space="preserve"> </w:t>
      </w:r>
      <w:r>
        <w:rPr>
          <w:bCs/>
          <w:b/>
        </w:rPr>
        <w:t xml:space="preserve">prayāja, anuyāja, ūrjasvat, sviṣṭakṛt, ājyabhāga</w:t>
      </w:r>
      <w:r>
        <w:t xml:space="preserve"> </w:t>
      </w:r>
      <w:r>
        <w:t xml:space="preserve">and other special oblations must be given to me.</w:t>
      </w:r>
      <w:r>
        <w:t xml:space="preserve">”</w:t>
      </w:r>
      <w:r>
        <w:t xml:space="preserve"> </w:t>
      </w:r>
      <w:r>
        <w:t xml:space="preserve">The gods agreed, gave him the portions of the oblation, and appointed him again as before to the work of oblation-bearing, so that he would carry the chief role in the sacrifice, be worshipped by all, and have long life. This is the main sense of this sūkta.</w:t>
      </w:r>
    </w:p>
    <w:p>
      <w:pPr>
        <w:pStyle w:val="BodyText"/>
      </w:pPr>
      <w:r>
        <w:t xml:space="preserve">In the</w:t>
      </w:r>
      <w:r>
        <w:t xml:space="preserve"> </w:t>
      </w:r>
      <w:r>
        <w:rPr>
          <w:bCs/>
          <w:b/>
        </w:rPr>
        <w:t xml:space="preserve">Taittirīya Saṃhitā</w:t>
      </w:r>
      <w:r>
        <w:t xml:space="preserve"> </w:t>
      </w:r>
      <w:r>
        <w:t xml:space="preserve">of the Yajurveda the matter stands thus:</w:t>
      </w:r>
    </w:p>
    <w:p>
      <w:pPr>
        <w:pStyle w:val="BlockText"/>
      </w:pPr>
      <w:r>
        <w:t xml:space="preserve">अग्नेस्त्रयो ज्यायाꣳसो भ्रातर आसन्ते देवेभ्यो हव्यं वहन्तः प्रामीयन्त सोऽग्निरबिभेदित्थं वाव स्य आर्तिमार्ष्यतीति स निलायत सोऽपः प्राविशत्तं देवताः प्रैषमैच्छंस्तं मत्स्यः प्राब्रवीत्तमशपद्धियोधियो त्वा वध्यासुर्यो मा प्रावोचे इति तस्मान्मत्स्यं धियोधियो घ्नन्ति शप्तो हि तमन्वविन्दन्तमब्रुवन्नुप न आ वर्तस्व हव्यं नो वहेति सोऽब्रवीद्वरं वृणै यदेव गृहीतस्याहुतस्य बर्हिः परिधिस्कन्दात्तन्मे भ्रातृणां भागधेयमसदिति तस्माद्यद्गृहीतस्याहुतस्य बर्हिः परिधि स्कन्दति तेषां तद्भागधेयं तानेव तेन प्रीणाति परिधीन्परि दधाति रक्षसामपहत्यै ॥ (तै. सं. २-६-६)</w:t>
      </w:r>
      <w:r>
        <w:t xml:space="preserve"> </w:t>
      </w:r>
      <w:r>
        <w:rPr>
          <w:iCs/>
          <w:i/>
        </w:rPr>
        <w:t xml:space="preserve">agnes trayo jyāyāṃso bhrātara āsante devebhyo havyaṃ vahantaḥ prāmīyanta so ’gnir abibhed itthaṃ vāva sya ārtim ārṣyatīti sa nilāyata so ’paḥ prāviśat taṃ devatāḥ praiṣam aicchaṃs taṃ matsyaḥ prābravīt tam aśapad dhiyodhiyo tvā vadhyāsur yo mā prāvoce iti tasmān matsyaṃ dhiyodhiyo ghnanti śapto hi tam anvavindan tam abruvann upa na ā vartasva havyaṃ no vaheti so ’bravīd varaṃ vṛṇai yad eva gṛhītasyāhutasya barhiḥ paridhiskandāt tan me bhrātṛṇāṃ bhāgadheyam asad iti tasmād yad gṛhītasyāhutasya barhiḥ paridhi skandati teṣāṃ tad bhāgadheyaṃ tān eva tena prīṇāti paridhīn pari dadhāti rakṣasām apahatyai || (tai. saṃ. 2-6-6)</w:t>
      </w:r>
    </w:p>
    <w:p>
      <w:pPr>
        <w:pStyle w:val="BlockText"/>
      </w:pPr>
      <w:r>
        <w:t xml:space="preserve">Translation (mine, following the Kannada account below; where the Sanskrit is irregular I give the sense of the Kannada):</w:t>
      </w:r>
      <w:r>
        <w:t xml:space="preserve"> </w:t>
      </w:r>
      <w:r>
        <w:t xml:space="preserve">“</w:t>
      </w:r>
      <w:r>
        <w:t xml:space="preserve">Agni had three elder brothers, who carried the oblation to the gods; they perished. Agni feared,</w:t>
      </w:r>
      <w:r>
        <w:t xml:space="preserve"> </w:t>
      </w:r>
      <w:r>
        <w:t xml:space="preserve">‘</w:t>
      </w:r>
      <w:r>
        <w:t xml:space="preserve">this very distress will reach me,</w:t>
      </w:r>
      <w:r>
        <w:t xml:space="preserve">’</w:t>
      </w:r>
      <w:r>
        <w:t xml:space="preserve"> </w:t>
      </w:r>
      <w:r>
        <w:t xml:space="preserve">and hid; he entered the waters. The gods sought him out; a fish told them, and he cursed it —</w:t>
      </w:r>
      <w:r>
        <w:t xml:space="preserve"> </w:t>
      </w:r>
      <w:r>
        <w:t xml:space="preserve">‘</w:t>
      </w:r>
      <w:r>
        <w:t xml:space="preserve">may those who kill you (fish), kill you with cleverness (dhiyodhiyo)</w:t>
      </w:r>
      <w:r>
        <w:t xml:space="preserve">’</w:t>
      </w:r>
      <w:r>
        <w:t xml:space="preserve"> </w:t>
      </w:r>
      <w:r>
        <w:t xml:space="preserve">— and therefore people kill fish by their wits, for it was cursed. The gods found him and said,</w:t>
      </w:r>
      <w:r>
        <w:t xml:space="preserve"> </w:t>
      </w:r>
      <w:r>
        <w:t xml:space="preserve">‘</w:t>
      </w:r>
      <w:r>
        <w:t xml:space="preserve">Come back to us, carry the oblation for us.</w:t>
      </w:r>
      <w:r>
        <w:t xml:space="preserve">’</w:t>
      </w:r>
      <w:r>
        <w:t xml:space="preserve"> </w:t>
      </w:r>
      <w:r>
        <w:t xml:space="preserve">He said,</w:t>
      </w:r>
      <w:r>
        <w:t xml:space="preserve"> </w:t>
      </w:r>
      <w:r>
        <w:t xml:space="preserve">‘</w:t>
      </w:r>
      <w:r>
        <w:t xml:space="preserve">Let me choose a boon: whatever of the offered oblation, of the barhis, falls (outside) beyond the fire-sticks (paridhi), let that be the share of my brothers.</w:t>
      </w:r>
      <w:r>
        <w:t xml:space="preserve">’</w:t>
      </w:r>
      <w:r>
        <w:t xml:space="preserve"> </w:t>
      </w:r>
      <w:r>
        <w:t xml:space="preserve">Therefore whatever of the offered oblation falls beyond the paridhi is their share; with that he satisfies them; he lays the paridhis around, for the driving away of the rākṣasas.</w:t>
      </w:r>
      <w:r>
        <w:t xml:space="preserve">”</w:t>
      </w:r>
      <w:r>
        <w:t xml:space="preserve"> </w:t>
      </w:r>
      <w:r>
        <w:t xml:space="preserve">(Taittirīya Saṃhitā 2-6-6, as printed)</w:t>
      </w:r>
    </w:p>
    <w:p>
      <w:pPr>
        <w:pStyle w:val="FirstParagraph"/>
      </w:pPr>
      <w:r>
        <w:t xml:space="preserve">The Kannada account (translated): Formerly Agni had three elder brothers; they used to carry to the gods the oblations that the sacrificer gave in the sacrifices. When they died, Agni, fearing that the same fate might reach him too, ran off, entered the water and hid, seen by no one. While the gods were searching for where Agni had gone, a fish in the water told the gods that Agni was hiding in the water. Hearing this tale-bearing of the fish, Agni was angry and cursed it:</w:t>
      </w:r>
      <w:r>
        <w:t xml:space="preserve"> </w:t>
      </w:r>
      <w:r>
        <w:t xml:space="preserve">“</w:t>
      </w:r>
      <w:r>
        <w:t xml:space="preserve">From now on, people shall catch the fish that are in the water, by nets and other means, and kill them.</w:t>
      </w:r>
      <w:r>
        <w:t xml:space="preserve">”</w:t>
      </w:r>
      <w:r>
        <w:t xml:space="preserve"> </w:t>
      </w:r>
      <w:r>
        <w:t xml:space="preserve">So even now people catch fish and eat them. Afterwards the gods said to Agni,</w:t>
      </w:r>
      <w:r>
        <w:t xml:space="preserve"> </w:t>
      </w:r>
      <w:r>
        <w:t xml:space="preserve">“</w:t>
      </w:r>
      <w:r>
        <w:t xml:space="preserve">O Agni, come back and be diligent in the work of bearing the oblation for us.</w:t>
      </w:r>
      <w:r>
        <w:t xml:space="preserve">”</w:t>
      </w:r>
      <w:r>
        <w:t xml:space="preserve"> </w:t>
      </w:r>
      <w:r>
        <w:t xml:space="preserve">To this Agni said — (he asked that) the</w:t>
      </w:r>
      <w:r>
        <w:t xml:space="preserve"> </w:t>
      </w:r>
      <w:r>
        <w:rPr>
          <w:bCs/>
          <w:b/>
        </w:rPr>
        <w:t xml:space="preserve">paridhis</w:t>
      </w:r>
      <w:r>
        <w:t xml:space="preserve"> </w:t>
      </w:r>
      <w:r>
        <w:t xml:space="preserve">used in the sacrifice when oblations are made (special bundles of darbha-grass laid on the four sides around the fire, so that rākṣasas do not come and obstruct the sacrifice), that the share of the ājya and other oblations that falls</w:t>
      </w:r>
      <w:r>
        <w:t xml:space="preserve"> </w:t>
      </w:r>
      <w:r>
        <w:rPr>
          <w:iCs/>
          <w:i/>
        </w:rPr>
        <w:t xml:space="preserve">outside</w:t>
      </w:r>
      <w:r>
        <w:t xml:space="preserve"> </w:t>
      </w:r>
      <w:r>
        <w:t xml:space="preserve">(on the near side) be the oblation-share of his brothers; if this boon were granted, he would come out of the water and carry the oblation to the gods as before. The gods agreed and gave him that boon. Thus the story runs.</w:t>
      </w:r>
    </w:p>
    <w:bookmarkEnd w:id="87"/>
    <w:bookmarkStart w:id="88" w:name="X92940d21704b42701ecbf2a293a2c87b343ae76"/>
    <w:p>
      <w:pPr>
        <w:pStyle w:val="Heading3"/>
      </w:pPr>
      <w:r>
        <w:t xml:space="preserve">Page 62 — Special topics on Rik 3.9 (continued):</w:t>
      </w:r>
      <w:r>
        <w:t xml:space="preserve"> </w:t>
      </w:r>
      <w:r>
        <w:t xml:space="preserve">“</w:t>
      </w:r>
      <w:r>
        <w:t xml:space="preserve">ehimāyāsaḥ</w:t>
      </w:r>
      <w:r>
        <w:t xml:space="preserve">”</w:t>
      </w:r>
      <w:r>
        <w:t xml:space="preserve"> </w:t>
      </w:r>
      <w:r>
        <w:t xml:space="preserve">and</w:t>
      </w:r>
      <w:r>
        <w:t xml:space="preserve"> </w:t>
      </w:r>
      <w:r>
        <w:t xml:space="preserve">“</w:t>
      </w:r>
      <w:r>
        <w:t xml:space="preserve">māyā</w:t>
      </w:r>
      <w:r>
        <w:t xml:space="preserve">”</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1, Sūkta 3.</w:t>
      </w:r>
      <w:r>
        <w:rPr>
          <w:iCs/>
          <w:i/>
        </w:rPr>
        <w:t xml:space="preserve">”</w:t>
      </w:r>
      <w:r>
        <w:rPr>
          <w:iCs/>
          <w:i/>
        </w:rPr>
        <w:t xml:space="preserve"> </w:t>
      </w:r>
      <w:r>
        <w:rPr>
          <w:iCs/>
          <w:i/>
        </w:rPr>
        <w:t xml:space="preserve">Reference-numbers in small Kannada numerals are read as best I can and all marked [?]; English in the source is reproduced as printed, misprints marked [sic].)</w:t>
      </w:r>
    </w:p>
    <w:p>
      <w:pPr>
        <w:pStyle w:val="BodyText"/>
      </w:pPr>
      <w:r>
        <w:t xml:space="preserve">Therefore, according to the opinion of some, the word</w:t>
      </w:r>
      <w:r>
        <w:t xml:space="preserve"> </w:t>
      </w:r>
      <w:r>
        <w:t xml:space="preserve">“</w:t>
      </w:r>
      <w:r>
        <w:rPr>
          <w:bCs/>
          <w:b/>
        </w:rPr>
        <w:t xml:space="preserve">ehimāyāsaḥ</w:t>
      </w:r>
      <w:r>
        <w:t xml:space="preserve">”</w:t>
      </w:r>
      <w:r>
        <w:t xml:space="preserve"> </w:t>
      </w:r>
      <w:r>
        <w:t xml:space="preserve">became a fixed word through imitation of the sentence</w:t>
      </w:r>
      <w:r>
        <w:t xml:space="preserve"> </w:t>
      </w:r>
      <w:r>
        <w:t xml:space="preserve">“</w:t>
      </w:r>
      <w:r>
        <w:rPr>
          <w:bCs/>
          <w:b/>
        </w:rPr>
        <w:t xml:space="preserve">ehi mā yāsīḥ</w:t>
      </w:r>
      <w:r>
        <w:t xml:space="preserve">”</w:t>
      </w:r>
      <w:r>
        <w:t xml:space="preserve"> </w:t>
      </w:r>
      <w:r>
        <w:t xml:space="preserve">(</w:t>
      </w:r>
      <w:r>
        <w:t xml:space="preserve">“</w:t>
      </w:r>
      <w:r>
        <w:t xml:space="preserve">Do not go — come!</w:t>
      </w:r>
      <w:r>
        <w:t xml:space="preserve">”</w:t>
      </w:r>
      <w:r>
        <w:t xml:space="preserve">) which the gods addressed to Agni when he was entering the water.</w:t>
      </w:r>
    </w:p>
    <w:p>
      <w:pPr>
        <w:pStyle w:val="BodyText"/>
      </w:pPr>
      <w:r>
        <w:t xml:space="preserve">Some hold that</w:t>
      </w:r>
      <w:r>
        <w:t xml:space="preserve"> </w:t>
      </w:r>
      <w:r>
        <w:t xml:space="preserve">“</w:t>
      </w:r>
      <w:r>
        <w:t xml:space="preserve">ehimāyāsaḥ</w:t>
      </w:r>
      <w:r>
        <w:t xml:space="preserve">”</w:t>
      </w:r>
      <w:r>
        <w:t xml:space="preserve"> </w:t>
      </w:r>
      <w:r>
        <w:t xml:space="preserve">is merely a variant form of the word</w:t>
      </w:r>
      <w:r>
        <w:t xml:space="preserve"> </w:t>
      </w:r>
      <w:r>
        <w:t xml:space="preserve">“</w:t>
      </w:r>
      <w:r>
        <w:rPr>
          <w:bCs/>
          <w:b/>
        </w:rPr>
        <w:t xml:space="preserve">ahimāyāḥ</w:t>
      </w:r>
      <w:r>
        <w:t xml:space="preserve">.</w:t>
      </w:r>
      <w:r>
        <w:t xml:space="preserve">”</w:t>
      </w:r>
      <w:r>
        <w:t xml:space="preserve"> </w:t>
      </w:r>
      <w:r>
        <w:t xml:space="preserve">This word, in its different case-forms,</w:t>
      </w:r>
      <w:r>
        <w:t xml:space="preserve"> </w:t>
      </w:r>
      <w:r>
        <w:rPr>
          <w:bCs/>
          <w:b/>
        </w:rPr>
        <w:t xml:space="preserve">ahimāyān</w:t>
      </w:r>
      <w:r>
        <w:t xml:space="preserve"> </w:t>
      </w:r>
      <w:r>
        <w:t xml:space="preserve">(Ṛ. Saṃ. 1-190-4),</w:t>
      </w:r>
      <w:r>
        <w:t xml:space="preserve"> </w:t>
      </w:r>
      <w:r>
        <w:rPr>
          <w:bCs/>
          <w:b/>
        </w:rPr>
        <w:t xml:space="preserve">ahimāyāḥ</w:t>
      </w:r>
      <w:r>
        <w:t xml:space="preserve"> </w:t>
      </w:r>
      <w:r>
        <w:t xml:space="preserve">(Ṛ. Saṃ. 6-52-15; 10-63-4) and</w:t>
      </w:r>
      <w:r>
        <w:t xml:space="preserve"> </w:t>
      </w:r>
      <w:r>
        <w:rPr>
          <w:bCs/>
          <w:b/>
        </w:rPr>
        <w:t xml:space="preserve">ahimāyasya</w:t>
      </w:r>
      <w:r>
        <w:t xml:space="preserve"> </w:t>
      </w:r>
      <w:r>
        <w:t xml:space="preserve">(Ṛ. Saṃ. 6-20-7), is used only in the four Ṛks of which these are the references. For this word Western scholars give, (English as printed):</w:t>
      </w:r>
    </w:p>
    <w:p>
      <w:pPr>
        <w:numPr>
          <w:ilvl w:val="0"/>
          <w:numId w:val="1008"/>
        </w:numPr>
        <w:pStyle w:val="Compact"/>
      </w:pPr>
      <w:r>
        <w:rPr>
          <w:bCs/>
          <w:b/>
        </w:rPr>
        <w:t xml:space="preserve">Roth</w:t>
      </w:r>
      <w:r>
        <w:t xml:space="preserve"> </w:t>
      </w:r>
      <w:r>
        <w:t xml:space="preserve">—</w:t>
      </w:r>
      <w:r>
        <w:t xml:space="preserve"> </w:t>
      </w:r>
      <w:r>
        <w:t xml:space="preserve">“</w:t>
      </w:r>
      <w:r>
        <w:t xml:space="preserve">Of many shapes or agile like a serpent, tricky as a serpent.</w:t>
      </w:r>
      <w:r>
        <w:t xml:space="preserve">”</w:t>
      </w:r>
    </w:p>
    <w:p>
      <w:pPr>
        <w:numPr>
          <w:ilvl w:val="0"/>
          <w:numId w:val="1008"/>
        </w:numPr>
        <w:pStyle w:val="Compact"/>
      </w:pPr>
      <w:r>
        <w:rPr>
          <w:bCs/>
          <w:b/>
        </w:rPr>
        <w:t xml:space="preserve">Williams</w:t>
      </w:r>
      <w:r>
        <w:t xml:space="preserve"> </w:t>
      </w:r>
      <w:r>
        <w:t xml:space="preserve">—</w:t>
      </w:r>
      <w:r>
        <w:t xml:space="preserve"> </w:t>
      </w:r>
      <w:r>
        <w:t xml:space="preserve">“</w:t>
      </w:r>
      <w:r>
        <w:t xml:space="preserve">Having unsurpassable wisdom.</w:t>
      </w:r>
      <w:r>
        <w:t xml:space="preserve">”</w:t>
      </w:r>
    </w:p>
    <w:p>
      <w:pPr>
        <w:numPr>
          <w:ilvl w:val="0"/>
          <w:numId w:val="1008"/>
        </w:numPr>
        <w:pStyle w:val="Compact"/>
      </w:pPr>
      <w:r>
        <w:rPr>
          <w:bCs/>
          <w:b/>
        </w:rPr>
        <w:t xml:space="preserve">Griffith</w:t>
      </w:r>
      <w:r>
        <w:t xml:space="preserve"> </w:t>
      </w:r>
      <w:r>
        <w:t xml:space="preserve">—</w:t>
      </w:r>
      <w:r>
        <w:t xml:space="preserve"> </w:t>
      </w:r>
      <w:r>
        <w:t xml:space="preserve">“</w:t>
      </w:r>
      <w:r>
        <w:t xml:space="preserve">Having Superhuman Power.</w:t>
      </w:r>
      <w:r>
        <w:t xml:space="preserve">”</w:t>
      </w:r>
    </w:p>
    <w:p>
      <w:pPr>
        <w:numPr>
          <w:ilvl w:val="0"/>
          <w:numId w:val="1008"/>
        </w:numPr>
        <w:pStyle w:val="Compact"/>
      </w:pPr>
      <w:r>
        <w:rPr>
          <w:bCs/>
          <w:b/>
        </w:rPr>
        <w:t xml:space="preserve">Ludwig</w:t>
      </w:r>
      <w:r>
        <w:t xml:space="preserve"> </w:t>
      </w:r>
      <w:r>
        <w:t xml:space="preserve">—</w:t>
      </w:r>
      <w:r>
        <w:t xml:space="preserve"> </w:t>
      </w:r>
      <w:r>
        <w:t xml:space="preserve">“</w:t>
      </w:r>
      <w:r>
        <w:t xml:space="preserve">Having the wiles of serpants [sic].</w:t>
      </w:r>
      <w:r>
        <w:t xml:space="preserve">”</w:t>
      </w:r>
    </w:p>
    <w:p>
      <w:pPr>
        <w:pStyle w:val="FirstParagraph"/>
      </w:pPr>
      <w:r>
        <w:t xml:space="preserve">— thus various senses are given. For the word</w:t>
      </w:r>
      <w:r>
        <w:t xml:space="preserve"> </w:t>
      </w:r>
      <w:r>
        <w:t xml:space="preserve">“</w:t>
      </w:r>
      <w:r>
        <w:rPr>
          <w:bCs/>
          <w:b/>
        </w:rPr>
        <w:t xml:space="preserve">māyā</w:t>
      </w:r>
      <w:r>
        <w:t xml:space="preserve">”</w:t>
      </w:r>
      <w:r>
        <w:t xml:space="preserve"> </w:t>
      </w:r>
      <w:r>
        <w:t xml:space="preserve">the following senses can be given in the Ṛgveda</w:t>
      </w:r>
      <w:r>
        <w:t xml:space="preserve"> </w:t>
      </w:r>
      <w:r>
        <w:rPr>
          <w:iCs/>
          <w:i/>
        </w:rPr>
        <w:t xml:space="preserve">(English as printed)</w:t>
      </w:r>
      <w:r>
        <w:t xml:space="preserve">:</w:t>
      </w:r>
    </w:p>
    <w:p>
      <w:pPr>
        <w:numPr>
          <w:ilvl w:val="0"/>
          <w:numId w:val="1009"/>
        </w:numPr>
        <w:pStyle w:val="Compact"/>
      </w:pPr>
      <w:r>
        <w:t xml:space="preserve">Creative power.</w:t>
      </w:r>
    </w:p>
    <w:p>
      <w:pPr>
        <w:numPr>
          <w:ilvl w:val="0"/>
          <w:numId w:val="1009"/>
        </w:numPr>
        <w:pStyle w:val="Compact"/>
      </w:pPr>
      <w:r>
        <w:t xml:space="preserve">Miraculous power (Ṛ. Saṃ. 1-160-3; 2-17-5 &amp;c.)</w:t>
      </w:r>
    </w:p>
    <w:p>
      <w:pPr>
        <w:numPr>
          <w:ilvl w:val="0"/>
          <w:numId w:val="1009"/>
        </w:numPr>
        <w:pStyle w:val="Compact"/>
      </w:pPr>
      <w:r>
        <w:t xml:space="preserve">Power of assuming various shapes (Ṛ. Saṃ. 3-53-8; 5-63-6; 6-22-6 &amp;c.)</w:t>
      </w:r>
    </w:p>
    <w:p>
      <w:pPr>
        <w:numPr>
          <w:ilvl w:val="0"/>
          <w:numId w:val="1009"/>
        </w:numPr>
        <w:pStyle w:val="Compact"/>
      </w:pPr>
      <w:r>
        <w:t xml:space="preserve">Wiles, tactics, tricks (Ṛ. Saṃ. 1-80-7; 6-18-9 &amp;c.)</w:t>
      </w:r>
    </w:p>
    <w:p>
      <w:pPr>
        <w:numPr>
          <w:ilvl w:val="0"/>
          <w:numId w:val="1009"/>
        </w:numPr>
        <w:pStyle w:val="Compact"/>
      </w:pPr>
      <w:r>
        <w:t xml:space="preserve">Sorcery, witchcraft, magic (Ṛ. Saṃ. 2-27-16; 8-23-15; 6-45-9 &amp;c.)</w:t>
      </w:r>
    </w:p>
    <w:p>
      <w:pPr>
        <w:numPr>
          <w:ilvl w:val="0"/>
          <w:numId w:val="1009"/>
        </w:numPr>
        <w:pStyle w:val="Compact"/>
      </w:pPr>
      <w:r>
        <w:t xml:space="preserve">Illusion (Ṛ. Saṃ. 10-54-2)</w:t>
      </w:r>
    </w:p>
    <w:p>
      <w:pPr>
        <w:pStyle w:val="FirstParagraph"/>
      </w:pPr>
      <w:r>
        <w:t xml:space="preserve">Formerly this word may have carried the senses</w:t>
      </w:r>
      <w:r>
        <w:t xml:space="preserve"> </w:t>
      </w:r>
      <w:r>
        <w:t xml:space="preserve">“</w:t>
      </w:r>
      <w:r>
        <w:t xml:space="preserve">wisdom, intelligence (buddhi), skill (kuśalate).</w:t>
      </w:r>
      <w:r>
        <w:t xml:space="preserve">”</w:t>
      </w:r>
      <w:r>
        <w:t xml:space="preserve"> </w:t>
      </w:r>
      <w:r>
        <w:t xml:space="preserve">In the course of time it appears that its use in other senses became established. In the Purāṇas and the Vedānta as well, senses such as</w:t>
      </w:r>
      <w:r>
        <w:t xml:space="preserve"> </w:t>
      </w:r>
      <w:r>
        <w:t xml:space="preserve">“</w:t>
      </w:r>
      <w:r>
        <w:t xml:space="preserve">prakṛti, divine power, creative power, supernatural power</w:t>
      </w:r>
      <w:r>
        <w:t xml:space="preserve">”</w:t>
      </w:r>
      <w:r>
        <w:t xml:space="preserve"> </w:t>
      </w:r>
      <w:r>
        <w:t xml:space="preserve">are the established ones for</w:t>
      </w:r>
      <w:r>
        <w:t xml:space="preserve"> </w:t>
      </w:r>
      <w:r>
        <w:t xml:space="preserve">“</w:t>
      </w:r>
      <w:r>
        <w:t xml:space="preserve">māyā.</w:t>
      </w:r>
      <w:r>
        <w:t xml:space="preserve">”</w:t>
      </w:r>
      <w:r>
        <w:t xml:space="preserve"> </w:t>
      </w:r>
      <w:r>
        <w:t xml:space="preserve">In the Ṛgveda, forms of this word —</w:t>
      </w:r>
      <w:r>
        <w:t xml:space="preserve"> </w:t>
      </w:r>
      <w:r>
        <w:rPr>
          <w:bCs/>
          <w:b/>
        </w:rPr>
        <w:t xml:space="preserve">māyā, māyayā, māyāḥ, māyābhiḥ, māyām, māyāvān, māyāvinaḥ, māyāvinam, māyinaḥ, māyinam, māyinā, māyinām, māyā</w:t>
      </w:r>
      <w:r>
        <w:t xml:space="preserve"> </w:t>
      </w:r>
      <w:r>
        <w:t xml:space="preserve">and others — are used in many Ṛks in different senses; their senses will be explained in the places concerned.</w:t>
      </w:r>
    </w:p>
    <w:bookmarkEnd w:id="88"/>
    <w:bookmarkStart w:id="89" w:name="X3f3a44e78cd843653aa8e5f2f3214cfc749f8d0"/>
    <w:p>
      <w:pPr>
        <w:pStyle w:val="Heading3"/>
      </w:pPr>
      <w:r>
        <w:t xml:space="preserve">Page 63 —</w:t>
      </w:r>
      <w:r>
        <w:t xml:space="preserve"> </w:t>
      </w:r>
      <w:r>
        <w:t xml:space="preserve">“</w:t>
      </w:r>
      <w:r>
        <w:t xml:space="preserve">adruhaḥ</w:t>
      </w:r>
      <w:r>
        <w:t xml:space="preserve">”</w:t>
      </w:r>
      <w:r>
        <w:t xml:space="preserve">; Vyākaraṇa-prakriyā for Rik 3.9 (Kannada) — characterized</w:t>
      </w:r>
    </w:p>
    <w:p>
      <w:pPr>
        <w:pStyle w:val="FirstParagraph"/>
      </w:pPr>
      <w:r>
        <w:rPr>
          <w:iCs/>
          <w:i/>
        </w:rPr>
        <w:t xml:space="preserve">(Page header:</w:t>
      </w:r>
      <w:r>
        <w:rPr>
          <w:iCs/>
          <w:i/>
        </w:rPr>
        <w:t xml:space="preserve"> </w:t>
      </w:r>
      <w:r>
        <w:rPr>
          <w:iCs/>
          <w:i/>
        </w:rPr>
        <w:t xml:space="preserve">“</w:t>
      </w:r>
      <w:r>
        <w:rPr>
          <w:iCs/>
          <w:i/>
        </w:rPr>
        <w:t xml:space="preserve">Aṣṭaka 1, Adhyāya 1, Varga 6 · Ṛgveda-saṃhitā.</w:t>
      </w:r>
      <w:r>
        <w:rPr>
          <w:iCs/>
          <w:i/>
        </w:rPr>
        <w:t xml:space="preserve">”</w:t>
      </w:r>
      <w:r>
        <w:rPr>
          <w:iCs/>
          <w:i/>
        </w:rPr>
        <w:t xml:space="preserve"> </w:t>
      </w:r>
      <w:r>
        <w:rPr>
          <w:iCs/>
          <w:i/>
        </w:rPr>
        <w:t xml:space="preserve">The grammar is the Kannada rendering of Sanskrit p. 59, characterized in order, with the sūtras kept; I note where the numbers differ from the Sanskrit page.)</w:t>
      </w:r>
    </w:p>
    <w:p>
      <w:pPr>
        <w:pStyle w:val="BodyText"/>
      </w:pPr>
      <w:r>
        <w:rPr>
          <w:bCs/>
          <w:b/>
        </w:rPr>
        <w:t xml:space="preserve">अद्रुहः (adruhaḥ)</w:t>
      </w:r>
      <w:r>
        <w:t xml:space="preserve"> </w:t>
      </w:r>
      <w:r>
        <w:t xml:space="preserve">— This word is derived from the root</w:t>
      </w:r>
      <w:r>
        <w:t xml:space="preserve"> </w:t>
      </w:r>
      <w:r>
        <w:t xml:space="preserve">“</w:t>
      </w:r>
      <w:r>
        <w:t xml:space="preserve">druh</w:t>
      </w:r>
      <w:r>
        <w:t xml:space="preserve">”</w:t>
      </w:r>
      <w:r>
        <w:t xml:space="preserve"> </w:t>
      </w:r>
      <w:r>
        <w:t xml:space="preserve">(</w:t>
      </w:r>
      <w:r>
        <w:t xml:space="preserve">“</w:t>
      </w:r>
      <w:r>
        <w:t xml:space="preserve">druha jighāṃsāyām,</w:t>
      </w:r>
      <w:r>
        <w:t xml:space="preserve">”</w:t>
      </w:r>
      <w:r>
        <w:t xml:space="preserve"> </w:t>
      </w:r>
      <w:r>
        <w:t xml:space="preserve">to wish to injure). The sense of this word is</w:t>
      </w:r>
      <w:r>
        <w:t xml:space="preserve"> </w:t>
      </w:r>
      <w:r>
        <w:t xml:space="preserve">“</w:t>
      </w:r>
      <w:r>
        <w:t xml:space="preserve">free from malice</w:t>
      </w:r>
      <w:r>
        <w:t xml:space="preserve">”</w:t>
      </w:r>
      <w:r>
        <w:t xml:space="preserve">; in the source’s English:</w:t>
      </w:r>
      <w:r>
        <w:t xml:space="preserve"> </w:t>
      </w:r>
      <w:r>
        <w:t xml:space="preserve">“</w:t>
      </w:r>
      <w:r>
        <w:t xml:space="preserve">not injuring, kindly disposed, without evil, without ill-will, without hostility, Guileless, not deceiving, devoid of malignity.</w:t>
      </w:r>
      <w:r>
        <w:t xml:space="preserve">”</w:t>
      </w:r>
      <w:r>
        <w:t xml:space="preserve"> </w:t>
      </w:r>
      <w:r>
        <w:t xml:space="preserve">Though different words are used to explain the sense, the chief intention is one.</w:t>
      </w:r>
    </w:p>
    <w:p>
      <w:pPr>
        <w:pStyle w:val="BodyText"/>
      </w:pPr>
      <w:r>
        <w:rPr>
          <w:bCs/>
          <w:b/>
        </w:rPr>
        <w:t xml:space="preserve">॥ Vyākaraṇa-prakriyā ॥</w:t>
      </w:r>
      <w:r>
        <w:t xml:space="preserve"> </w:t>
      </w:r>
      <w:r>
        <w:t xml:space="preserve">-</w:t>
      </w:r>
      <w:r>
        <w:t xml:space="preserve"> </w:t>
      </w:r>
      <w:r>
        <w:rPr>
          <w:bCs/>
          <w:b/>
        </w:rPr>
        <w:t xml:space="preserve">“</w:t>
      </w:r>
      <w:r>
        <w:rPr>
          <w:bCs/>
          <w:b/>
        </w:rPr>
        <w:t xml:space="preserve">Asridhaḥ</w:t>
      </w:r>
      <w:r>
        <w:rPr>
          <w:bCs/>
          <w:b/>
        </w:rPr>
        <w:t xml:space="preserve">”</w:t>
      </w:r>
      <w:r>
        <w:t xml:space="preserve">: the root</w:t>
      </w:r>
      <w:r>
        <w:t xml:space="preserve"> </w:t>
      </w:r>
      <w:r>
        <w:t xml:space="preserve">“</w:t>
      </w:r>
      <w:r>
        <w:t xml:space="preserve">sridh</w:t>
      </w:r>
      <w:r>
        <w:t xml:space="preserve">”</w:t>
      </w:r>
      <w:r>
        <w:t xml:space="preserve"> </w:t>
      </w:r>
      <w:r>
        <w:t xml:space="preserve">(denoting decay, or drying); by</w:t>
      </w:r>
      <w:r>
        <w:t xml:space="preserve"> </w:t>
      </w:r>
      <w:r>
        <w:rPr>
          <w:bCs/>
          <w:b/>
        </w:rPr>
        <w:t xml:space="preserve">संपदादिभ्यः क्विप्</w:t>
      </w:r>
      <w:r>
        <w:t xml:space="preserve"> </w:t>
      </w:r>
      <w:r>
        <w:t xml:space="preserve">(</w:t>
      </w:r>
      <w:r>
        <w:rPr>
          <w:iCs/>
          <w:i/>
        </w:rPr>
        <w:t xml:space="preserve">sampadādibhyaḥ kvip</w:t>
      </w:r>
      <w:r>
        <w:t xml:space="preserve">, पा. ३-३-१०८, वा. ९)</w:t>
      </w:r>
      <w:r>
        <w:t xml:space="preserve"> </w:t>
      </w:r>
      <w:r>
        <w:t xml:space="preserve">“</w:t>
      </w:r>
      <w:r>
        <w:t xml:space="preserve">kvip</w:t>
      </w:r>
      <w:r>
        <w:t xml:space="preserve">”</w:t>
      </w:r>
      <w:r>
        <w:t xml:space="preserve"> </w:t>
      </w:r>
      <w:r>
        <w:t xml:space="preserve">in the abstract sense; the negative</w:t>
      </w:r>
      <w:r>
        <w:t xml:space="preserve"> </w:t>
      </w:r>
      <w:r>
        <w:t xml:space="preserve">“</w:t>
      </w:r>
      <w:r>
        <w:t xml:space="preserve">nañ</w:t>
      </w:r>
      <w:r>
        <w:t xml:space="preserve">”</w:t>
      </w:r>
      <w:r>
        <w:t xml:space="preserve"> </w:t>
      </w:r>
      <w:r>
        <w:t xml:space="preserve">compounded with</w:t>
      </w:r>
      <w:r>
        <w:t xml:space="preserve"> </w:t>
      </w:r>
      <w:r>
        <w:t xml:space="preserve">“</w:t>
      </w:r>
      <w:r>
        <w:t xml:space="preserve">sridh</w:t>
      </w:r>
      <w:r>
        <w:t xml:space="preserve">”</w:t>
      </w:r>
      <w:r>
        <w:t xml:space="preserve"> </w:t>
      </w:r>
      <w:r>
        <w:t xml:space="preserve">as a bahuvrīhi (</w:t>
      </w:r>
      <w:r>
        <w:t xml:space="preserve">“</w:t>
      </w:r>
      <w:r>
        <w:t xml:space="preserve">na sridh yeṣām te</w:t>
      </w:r>
      <w:r>
        <w:t xml:space="preserve">”</w:t>
      </w:r>
      <w:r>
        <w:t xml:space="preserve">); setting aside the first-member accent of</w:t>
      </w:r>
      <w:r>
        <w:t xml:space="preserve"> </w:t>
      </w:r>
      <w:r>
        <w:rPr>
          <w:bCs/>
          <w:b/>
        </w:rPr>
        <w:t xml:space="preserve">बहुव्रीहौ प्रकृत्या पूर्वपदम्</w:t>
      </w:r>
      <w:r>
        <w:t xml:space="preserve"> </w:t>
      </w:r>
      <w:r>
        <w:t xml:space="preserve">(</w:t>
      </w:r>
      <w:r>
        <w:rPr>
          <w:iCs/>
          <w:i/>
        </w:rPr>
        <w:t xml:space="preserve">bahuvrīhau prakṛtyā pūrvapadam</w:t>
      </w:r>
      <w:r>
        <w:t xml:space="preserve">, पा. ६-२-१), by</w:t>
      </w:r>
      <w:r>
        <w:t xml:space="preserve"> </w:t>
      </w:r>
      <w:r>
        <w:rPr>
          <w:bCs/>
          <w:b/>
        </w:rPr>
        <w:t xml:space="preserve">नञ्सुभ्याम्</w:t>
      </w:r>
      <w:r>
        <w:t xml:space="preserve"> </w:t>
      </w:r>
      <w:r>
        <w:t xml:space="preserve">(</w:t>
      </w:r>
      <w:r>
        <w:rPr>
          <w:iCs/>
          <w:i/>
        </w:rPr>
        <w:t xml:space="preserve">nañ-subhyām</w:t>
      </w:r>
      <w:r>
        <w:t xml:space="preserve">, पा. ६-२-१७२) the last syllable of the second member is acute —</w:t>
      </w:r>
      <w:r>
        <w:t xml:space="preserve"> </w:t>
      </w:r>
      <w:r>
        <w:t xml:space="preserve">“</w:t>
      </w:r>
      <w:r>
        <w:t xml:space="preserve">asridh</w:t>
      </w:r>
      <w:r>
        <w:t xml:space="preserve">”</w:t>
      </w:r>
      <w:r>
        <w:t xml:space="preserve"> </w:t>
      </w:r>
      <w:r>
        <w:t xml:space="preserve">is end-acute.</w:t>
      </w:r>
      <w:r>
        <w:t xml:space="preserve"> </w:t>
      </w:r>
      <w:r>
        <w:t xml:space="preserve">-</w:t>
      </w:r>
      <w:r>
        <w:t xml:space="preserve"> </w:t>
      </w:r>
      <w:r>
        <w:rPr>
          <w:bCs/>
          <w:b/>
        </w:rPr>
        <w:t xml:space="preserve">“</w:t>
      </w:r>
      <w:r>
        <w:rPr>
          <w:bCs/>
          <w:b/>
        </w:rPr>
        <w:t xml:space="preserve">Ehimāyāsaḥ</w:t>
      </w:r>
      <w:r>
        <w:rPr>
          <w:bCs/>
          <w:b/>
        </w:rPr>
        <w:t xml:space="preserve">”</w:t>
      </w:r>
      <w:r>
        <w:t xml:space="preserve">:</w:t>
      </w:r>
      <w:r>
        <w:t xml:space="preserve"> </w:t>
      </w:r>
      <w:r>
        <w:t xml:space="preserve">“</w:t>
      </w:r>
      <w:r>
        <w:t xml:space="preserve">ā</w:t>
      </w:r>
      <w:r>
        <w:t xml:space="preserve">”</w:t>
      </w:r>
      <w:r>
        <w:t xml:space="preserve"> </w:t>
      </w:r>
      <w:r>
        <w:t xml:space="preserve">+ root</w:t>
      </w:r>
      <w:r>
        <w:t xml:space="preserve"> </w:t>
      </w:r>
      <w:r>
        <w:t xml:space="preserve">“</w:t>
      </w:r>
      <w:r>
        <w:t xml:space="preserve">īh ceṣṭāyām</w:t>
      </w:r>
      <w:r>
        <w:t xml:space="preserve">”</w:t>
      </w:r>
      <w:r>
        <w:t xml:space="preserve"> </w:t>
      </w:r>
      <w:r>
        <w:t xml:space="preserve">(to strive):</w:t>
      </w:r>
      <w:r>
        <w:t xml:space="preserve"> </w:t>
      </w:r>
      <w:r>
        <w:t xml:space="preserve">“</w:t>
      </w:r>
      <w:r>
        <w:t xml:space="preserve">he who strives on all sides</w:t>
      </w:r>
      <w:r>
        <w:t xml:space="preserve">”</w:t>
      </w:r>
      <w:r>
        <w:t xml:space="preserve"> </w:t>
      </w:r>
      <w:r>
        <w:t xml:space="preserve">=</w:t>
      </w:r>
      <w:r>
        <w:t xml:space="preserve"> </w:t>
      </w:r>
      <w:r>
        <w:t xml:space="preserve">“</w:t>
      </w:r>
      <w:r>
        <w:t xml:space="preserve">ehi</w:t>
      </w:r>
      <w:r>
        <w:t xml:space="preserve">”</w:t>
      </w:r>
      <w:r>
        <w:t xml:space="preserve">; an Uṇādi affix</w:t>
      </w:r>
      <w:r>
        <w:t xml:space="preserve"> </w:t>
      </w:r>
      <w:r>
        <w:t xml:space="preserve">“</w:t>
      </w:r>
      <w:r>
        <w:t xml:space="preserve">in</w:t>
      </w:r>
      <w:r>
        <w:t xml:space="preserve">”</w:t>
      </w:r>
      <w:r>
        <w:t xml:space="preserve"> </w:t>
      </w:r>
      <w:r>
        <w:t xml:space="preserve">comes to roots generally (Uṇ. Sū. 2-557 [as printed]; p. 59 cites it as 4-112), and, being</w:t>
      </w:r>
      <w:r>
        <w:t xml:space="preserve"> </w:t>
      </w:r>
      <w:r>
        <w:t xml:space="preserve">“</w:t>
      </w:r>
      <w:r>
        <w:t xml:space="preserve">n</w:t>
      </w:r>
      <w:r>
        <w:t xml:space="preserve">”</w:t>
      </w:r>
      <w:r>
        <w:t xml:space="preserve">-marked, the first syllable is acute;</w:t>
      </w:r>
      <w:r>
        <w:t xml:space="preserve"> </w:t>
      </w:r>
      <w:r>
        <w:t xml:space="preserve">“</w:t>
      </w:r>
      <w:r>
        <w:t xml:space="preserve">ehir māyā prajñā yeṣām te ehimāyāsaḥ</w:t>
      </w:r>
      <w:r>
        <w:t xml:space="preserve">”</w:t>
      </w:r>
      <w:r>
        <w:t xml:space="preserve"> </w:t>
      </w:r>
      <w:r>
        <w:t xml:space="preserve">— a bahuvrīhi with first-member accent (पा. ६-२-१).</w:t>
      </w:r>
      <w:r>
        <w:t xml:space="preserve"> </w:t>
      </w:r>
      <w:r>
        <w:rPr>
          <w:iCs/>
          <w:i/>
        </w:rPr>
        <w:t xml:space="preserve">Alternatively</w:t>
      </w:r>
      <w:r>
        <w:t xml:space="preserve"> </w:t>
      </w:r>
      <w:r>
        <w:t xml:space="preserve">— as a particle-like first member it is first-syllable acute; behind it the root</w:t>
      </w:r>
      <w:r>
        <w:t xml:space="preserve"> </w:t>
      </w:r>
      <w:r>
        <w:t xml:space="preserve">“</w:t>
      </w:r>
      <w:r>
        <w:t xml:space="preserve">iṇ gatau</w:t>
      </w:r>
      <w:r>
        <w:t xml:space="preserve">”</w:t>
      </w:r>
      <w:r>
        <w:t xml:space="preserve"> </w:t>
      </w:r>
      <w:r>
        <w:t xml:space="preserve">in the imperative second-person-singular</w:t>
      </w:r>
      <w:r>
        <w:t xml:space="preserve"> </w:t>
      </w:r>
      <w:r>
        <w:t xml:space="preserve">“</w:t>
      </w:r>
      <w:r>
        <w:t xml:space="preserve">ihi</w:t>
      </w:r>
      <w:r>
        <w:t xml:space="preserve">”</w:t>
      </w:r>
      <w:r>
        <w:t xml:space="preserve"> </w:t>
      </w:r>
      <w:r>
        <w:t xml:space="preserve">(loṇ madhyama-ekavacana), which loses its accent by</w:t>
      </w:r>
      <w:r>
        <w:t xml:space="preserve"> </w:t>
      </w:r>
      <w:r>
        <w:rPr>
          <w:bCs/>
          <w:b/>
        </w:rPr>
        <w:t xml:space="preserve">तिङ्ङतिङः</w:t>
      </w:r>
      <w:r>
        <w:t xml:space="preserve"> </w:t>
      </w:r>
      <w:r>
        <w:t xml:space="preserve">(</w:t>
      </w:r>
      <w:r>
        <w:rPr>
          <w:iCs/>
          <w:i/>
        </w:rPr>
        <w:t xml:space="preserve">tiṅ atiṅaḥ</w:t>
      </w:r>
      <w:r>
        <w:t xml:space="preserve">, पा. ८-१-२८); with</w:t>
      </w:r>
      <w:r>
        <w:t xml:space="preserve"> </w:t>
      </w:r>
      <w:r>
        <w:t xml:space="preserve">“</w:t>
      </w:r>
      <w:r>
        <w:t xml:space="preserve">ā</w:t>
      </w:r>
      <w:r>
        <w:t xml:space="preserve">”</w:t>
      </w:r>
      <w:r>
        <w:t xml:space="preserve"> </w:t>
      </w:r>
      <w:r>
        <w:t xml:space="preserve">+</w:t>
      </w:r>
      <w:r>
        <w:t xml:space="preserve"> </w:t>
      </w:r>
      <w:r>
        <w:t xml:space="preserve">“</w:t>
      </w:r>
      <w:r>
        <w:t xml:space="preserve">ihi,</w:t>
      </w:r>
      <w:r>
        <w:t xml:space="preserve">”</w:t>
      </w:r>
      <w:r>
        <w:t xml:space="preserve"> </w:t>
      </w:r>
      <w:r>
        <w:t xml:space="preserve">the guṇa-substitution gives a single</w:t>
      </w:r>
      <w:r>
        <w:t xml:space="preserve"> </w:t>
      </w:r>
      <w:r>
        <w:t xml:space="preserve">“</w:t>
      </w:r>
      <w:r>
        <w:t xml:space="preserve">e,</w:t>
      </w:r>
      <w:r>
        <w:t xml:space="preserve">”</w:t>
      </w:r>
      <w:r>
        <w:t xml:space="preserve"> </w:t>
      </w:r>
      <w:r>
        <w:t xml:space="preserve">which, by</w:t>
      </w:r>
      <w:r>
        <w:t xml:space="preserve"> </w:t>
      </w:r>
      <w:r>
        <w:rPr>
          <w:bCs/>
          <w:b/>
        </w:rPr>
        <w:t xml:space="preserve">एकादेश उदात्तेनोदात्तः</w:t>
      </w:r>
      <w:r>
        <w:t xml:space="preserve"> </w:t>
      </w:r>
      <w:r>
        <w:t xml:space="preserve">(</w:t>
      </w:r>
      <w:r>
        <w:rPr>
          <w:iCs/>
          <w:i/>
        </w:rPr>
        <w:t xml:space="preserve">ekādeśa udāttenodāttaḥ</w:t>
      </w:r>
      <w:r>
        <w:t xml:space="preserve">, पा. ८-२-५), is acute. In that analysis the word is</w:t>
      </w:r>
      <w:r>
        <w:t xml:space="preserve"> </w:t>
      </w:r>
      <w:r>
        <w:t xml:space="preserve">“</w:t>
      </w:r>
      <w:r>
        <w:t xml:space="preserve">ehi</w:t>
      </w:r>
      <w:r>
        <w:t xml:space="preserve">”</w:t>
      </w:r>
      <w:r>
        <w:t xml:space="preserve"> </w:t>
      </w:r>
      <w:r>
        <w:t xml:space="preserve">together with the two syllables</w:t>
      </w:r>
      <w:r>
        <w:t xml:space="preserve"> </w:t>
      </w:r>
      <w:r>
        <w:t xml:space="preserve">“</w:t>
      </w:r>
      <w:r>
        <w:t xml:space="preserve">māyā</w:t>
      </w:r>
      <w:r>
        <w:t xml:space="preserve">”</w:t>
      </w:r>
      <w:r>
        <w:t xml:space="preserve"> </w:t>
      </w:r>
      <w:r>
        <w:t xml:space="preserve">of the phrase</w:t>
      </w:r>
      <w:r>
        <w:t xml:space="preserve"> </w:t>
      </w:r>
      <w:r>
        <w:t xml:space="preserve">“</w:t>
      </w:r>
      <w:r>
        <w:t xml:space="preserve">ehi mā yāsīḥ</w:t>
      </w:r>
      <w:r>
        <w:t xml:space="preserve">”</w:t>
      </w:r>
      <w:r>
        <w:t xml:space="preserve">:</w:t>
      </w:r>
      <w:r>
        <w:t xml:space="preserve"> </w:t>
      </w:r>
      <w:r>
        <w:t xml:space="preserve">“</w:t>
      </w:r>
      <w:r>
        <w:t xml:space="preserve">those who have the two letters</w:t>
      </w:r>
      <w:r>
        <w:t xml:space="preserve"> </w:t>
      </w:r>
      <w:r>
        <w:t xml:space="preserve">‘</w:t>
      </w:r>
      <w:r>
        <w:t xml:space="preserve">māyā</w:t>
      </w:r>
      <w:r>
        <w:t xml:space="preserve">’</w:t>
      </w:r>
      <w:r>
        <w:t xml:space="preserve"> </w:t>
      </w:r>
      <w:r>
        <w:t xml:space="preserve">with the word</w:t>
      </w:r>
      <w:r>
        <w:t xml:space="preserve"> </w:t>
      </w:r>
      <w:r>
        <w:t xml:space="preserve">‘</w:t>
      </w:r>
      <w:r>
        <w:t xml:space="preserve">ehi</w:t>
      </w:r>
      <w:r>
        <w:t xml:space="preserve">’</w:t>
      </w:r>
      <w:r>
        <w:t xml:space="preserve">”</w:t>
      </w:r>
      <w:r>
        <w:t xml:space="preserve"> </w:t>
      </w:r>
      <w:r>
        <w:t xml:space="preserve">=</w:t>
      </w:r>
      <w:r>
        <w:t xml:space="preserve"> </w:t>
      </w:r>
      <w:r>
        <w:t xml:space="preserve">“</w:t>
      </w:r>
      <w:r>
        <w:t xml:space="preserve">ehimāyāsaḥ,</w:t>
      </w:r>
      <w:r>
        <w:t xml:space="preserve">”</w:t>
      </w:r>
      <w:r>
        <w:t xml:space="preserve"> </w:t>
      </w:r>
      <w:r>
        <w:t xml:space="preserve">a bahuvrīhi keeping its first-member accent.</w:t>
      </w:r>
      <w:r>
        <w:t xml:space="preserve"> </w:t>
      </w:r>
      <w:r>
        <w:t xml:space="preserve">-</w:t>
      </w:r>
      <w:r>
        <w:t xml:space="preserve"> </w:t>
      </w:r>
      <w:r>
        <w:rPr>
          <w:bCs/>
          <w:b/>
        </w:rPr>
        <w:t xml:space="preserve">“</w:t>
      </w:r>
      <w:r>
        <w:rPr>
          <w:bCs/>
          <w:b/>
        </w:rPr>
        <w:t xml:space="preserve">Adruhaḥ</w:t>
      </w:r>
      <w:r>
        <w:rPr>
          <w:bCs/>
          <w:b/>
        </w:rPr>
        <w:t xml:space="preserve">”</w:t>
      </w:r>
      <w:r>
        <w:t xml:space="preserve">: the root</w:t>
      </w:r>
      <w:r>
        <w:t xml:space="preserve"> </w:t>
      </w:r>
      <w:r>
        <w:t xml:space="preserve">“</w:t>
      </w:r>
      <w:r>
        <w:t xml:space="preserve">druh jighāṃsāyām</w:t>
      </w:r>
      <w:r>
        <w:t xml:space="preserve">”</w:t>
      </w:r>
      <w:r>
        <w:t xml:space="preserve"> </w:t>
      </w:r>
      <w:r>
        <w:t xml:space="preserve">is in the</w:t>
      </w:r>
      <w:r>
        <w:t xml:space="preserve"> </w:t>
      </w:r>
      <w:r>
        <w:t xml:space="preserve">“</w:t>
      </w:r>
      <w:r>
        <w:t xml:space="preserve">sampadādi</w:t>
      </w:r>
      <w:r>
        <w:t xml:space="preserve">”</w:t>
      </w:r>
      <w:r>
        <w:t xml:space="preserve"> </w:t>
      </w:r>
      <w:r>
        <w:t xml:space="preserve">group, so</w:t>
      </w:r>
      <w:r>
        <w:t xml:space="preserve"> </w:t>
      </w:r>
      <w:r>
        <w:t xml:space="preserve">“</w:t>
      </w:r>
      <w:r>
        <w:t xml:space="preserve">kvip</w:t>
      </w:r>
      <w:r>
        <w:t xml:space="preserve">”</w:t>
      </w:r>
      <w:r>
        <w:t xml:space="preserve"> </w:t>
      </w:r>
      <w:r>
        <w:t xml:space="preserve">comes; with</w:t>
      </w:r>
      <w:r>
        <w:t xml:space="preserve"> </w:t>
      </w:r>
      <w:r>
        <w:t xml:space="preserve">“</w:t>
      </w:r>
      <w:r>
        <w:t xml:space="preserve">nañ</w:t>
      </w:r>
      <w:r>
        <w:t xml:space="preserve">”</w:t>
      </w:r>
      <w:r>
        <w:t xml:space="preserve"> </w:t>
      </w:r>
      <w:r>
        <w:t xml:space="preserve">as a bahuvrīhi, by</w:t>
      </w:r>
      <w:r>
        <w:t xml:space="preserve"> </w:t>
      </w:r>
      <w:r>
        <w:rPr>
          <w:bCs/>
          <w:b/>
        </w:rPr>
        <w:t xml:space="preserve">नञ्सुभ्याम्</w:t>
      </w:r>
      <w:r>
        <w:t xml:space="preserve"> </w:t>
      </w:r>
      <w:r>
        <w:t xml:space="preserve">the second member is end-acute.</w:t>
      </w:r>
      <w:r>
        <w:t xml:space="preserve"> </w:t>
      </w:r>
      <w:r>
        <w:t xml:space="preserve">-</w:t>
      </w:r>
      <w:r>
        <w:t xml:space="preserve"> </w:t>
      </w:r>
      <w:r>
        <w:rPr>
          <w:bCs/>
          <w:b/>
        </w:rPr>
        <w:t xml:space="preserve">“</w:t>
      </w:r>
      <w:r>
        <w:rPr>
          <w:bCs/>
          <w:b/>
        </w:rPr>
        <w:t xml:space="preserve">Medham</w:t>
      </w:r>
      <w:r>
        <w:rPr>
          <w:bCs/>
          <w:b/>
        </w:rPr>
        <w:t xml:space="preserve">”</w:t>
      </w:r>
      <w:r>
        <w:t xml:space="preserve">: from the root</w:t>
      </w:r>
      <w:r>
        <w:t xml:space="preserve"> </w:t>
      </w:r>
      <w:r>
        <w:t xml:space="preserve">“</w:t>
      </w:r>
      <w:r>
        <w:t xml:space="preserve">medhṛ saṅgame</w:t>
      </w:r>
      <w:r>
        <w:t xml:space="preserve">”</w:t>
      </w:r>
      <w:r>
        <w:t xml:space="preserve"> </w:t>
      </w:r>
      <w:r>
        <w:t xml:space="preserve">(to unite):</w:t>
      </w:r>
      <w:r>
        <w:t xml:space="preserve"> </w:t>
      </w:r>
      <w:r>
        <w:t xml:space="preserve">“</w:t>
      </w:r>
      <w:r>
        <w:t xml:space="preserve">medhyate saṅgamyate devaiḥ iti medham</w:t>
      </w:r>
      <w:r>
        <w:t xml:space="preserve">”</w:t>
      </w:r>
      <w:r>
        <w:t xml:space="preserve"> </w:t>
      </w:r>
      <w:r>
        <w:t xml:space="preserve">— the oblation, because it is united with the gods; the affix</w:t>
      </w:r>
      <w:r>
        <w:t xml:space="preserve"> </w:t>
      </w:r>
      <w:r>
        <w:t xml:space="preserve">“</w:t>
      </w:r>
      <w:r>
        <w:t xml:space="preserve">ghañ</w:t>
      </w:r>
      <w:r>
        <w:t xml:space="preserve">”</w:t>
      </w:r>
      <w:r>
        <w:t xml:space="preserve"> </w:t>
      </w:r>
      <w:r>
        <w:t xml:space="preserve">in the object-sense;</w:t>
      </w:r>
      <w:r>
        <w:t xml:space="preserve"> </w:t>
      </w:r>
      <w:r>
        <w:t xml:space="preserve">“</w:t>
      </w:r>
      <w:r>
        <w:t xml:space="preserve">ñ</w:t>
      </w:r>
      <w:r>
        <w:t xml:space="preserve">”</w:t>
      </w:r>
      <w:r>
        <w:t xml:space="preserve">-marked, hence first-syllable acute.</w:t>
      </w:r>
      <w:r>
        <w:t xml:space="preserve"> </w:t>
      </w:r>
      <w:r>
        <w:t xml:space="preserve">-</w:t>
      </w:r>
      <w:r>
        <w:t xml:space="preserve"> </w:t>
      </w:r>
      <w:r>
        <w:rPr>
          <w:bCs/>
          <w:b/>
        </w:rPr>
        <w:t xml:space="preserve">“</w:t>
      </w:r>
      <w:r>
        <w:rPr>
          <w:bCs/>
          <w:b/>
        </w:rPr>
        <w:t xml:space="preserve">Juṣanta</w:t>
      </w:r>
      <w:r>
        <w:rPr>
          <w:bCs/>
          <w:b/>
        </w:rPr>
        <w:t xml:space="preserve">”</w:t>
      </w:r>
      <w:r>
        <w:t xml:space="preserve">: since the sense of the root is joined with those of</w:t>
      </w:r>
      <w:r>
        <w:t xml:space="preserve"> </w:t>
      </w:r>
      <w:r>
        <w:t xml:space="preserve">“</w:t>
      </w:r>
      <w:r>
        <w:t xml:space="preserve">druh</w:t>
      </w:r>
      <w:r>
        <w:t xml:space="preserve">”</w:t>
      </w:r>
      <w:r>
        <w:t xml:space="preserve"> </w:t>
      </w:r>
      <w:r>
        <w:t xml:space="preserve">and the like,</w:t>
      </w:r>
      <w:r>
        <w:t xml:space="preserve"> </w:t>
      </w:r>
      <w:r>
        <w:rPr>
          <w:bCs/>
          <w:b/>
        </w:rPr>
        <w:t xml:space="preserve">छन्दसि लुङ्लङ्लिटः</w:t>
      </w:r>
      <w:r>
        <w:t xml:space="preserve"> </w:t>
      </w:r>
      <w:r>
        <w:t xml:space="preserve">(</w:t>
      </w:r>
      <w:r>
        <w:rPr>
          <w:iCs/>
          <w:i/>
        </w:rPr>
        <w:t xml:space="preserve">chandasi luṅ-laṅ-liṭaḥ</w:t>
      </w:r>
      <w:r>
        <w:t xml:space="preserve">, पा. ३-४-६) gives</w:t>
      </w:r>
      <w:r>
        <w:t xml:space="preserve"> </w:t>
      </w:r>
      <w:r>
        <w:t xml:space="preserve">“</w:t>
      </w:r>
      <w:r>
        <w:t xml:space="preserve">laṅ</w:t>
      </w:r>
      <w:r>
        <w:t xml:space="preserve">”</w:t>
      </w:r>
      <w:r>
        <w:t xml:space="preserve"> </w:t>
      </w:r>
      <w:r>
        <w:t xml:space="preserve">in the sense</w:t>
      </w:r>
      <w:r>
        <w:t xml:space="preserve"> </w:t>
      </w:r>
      <w:r>
        <w:t xml:space="preserve">“</w:t>
      </w:r>
      <w:r>
        <w:t xml:space="preserve">sevatām</w:t>
      </w:r>
      <w:r>
        <w:t xml:space="preserve">”</w:t>
      </w:r>
      <w:r>
        <w:t xml:space="preserve"> </w:t>
      </w:r>
      <w:r>
        <w:t xml:space="preserve">(</w:t>
      </w:r>
      <w:r>
        <w:t xml:space="preserve">“</w:t>
      </w:r>
      <w:r>
        <w:t xml:space="preserve">let them enjoy</w:t>
      </w:r>
      <w:r>
        <w:t xml:space="preserve">”</w:t>
      </w:r>
      <w:r>
        <w:t xml:space="preserve">); and by</w:t>
      </w:r>
      <w:r>
        <w:t xml:space="preserve"> </w:t>
      </w:r>
      <w:r>
        <w:rPr>
          <w:bCs/>
          <w:b/>
        </w:rPr>
        <w:t xml:space="preserve">बहुलं छन्दस्यमाङ्योगेऽपि</w:t>
      </w:r>
      <w:r>
        <w:t xml:space="preserve"> </w:t>
      </w:r>
      <w:r>
        <w:t xml:space="preserve">(</w:t>
      </w:r>
      <w:r>
        <w:rPr>
          <w:iCs/>
          <w:i/>
        </w:rPr>
        <w:t xml:space="preserve">bahulaṃ chandasy amāṅ-yoge ’pi</w:t>
      </w:r>
      <w:r>
        <w:t xml:space="preserve">, पा. ६-४-७५ [as printed</w:t>
      </w:r>
      <w:r>
        <w:t xml:space="preserve"> </w:t>
      </w:r>
      <w:r>
        <w:t xml:space="preserve">“</w:t>
      </w:r>
      <w:r>
        <w:t xml:space="preserve">…-4-75</w:t>
      </w:r>
      <w:r>
        <w:t xml:space="preserve">”</w:t>
      </w:r>
      <w:r>
        <w:t xml:space="preserve">]) — the augments</w:t>
      </w:r>
      <w:r>
        <w:t xml:space="preserve"> </w:t>
      </w:r>
      <w:r>
        <w:t xml:space="preserve">“</w:t>
      </w:r>
      <w:r>
        <w:t xml:space="preserve">aṭ</w:t>
      </w:r>
      <w:r>
        <w:t xml:space="preserve">”</w:t>
      </w:r>
      <w:r>
        <w:t xml:space="preserve"> </w:t>
      </w:r>
      <w:r>
        <w:t xml:space="preserve">and</w:t>
      </w:r>
      <w:r>
        <w:t xml:space="preserve"> </w:t>
      </w:r>
      <w:r>
        <w:t xml:space="preserve">“</w:t>
      </w:r>
      <w:r>
        <w:t xml:space="preserve">āṭ</w:t>
      </w:r>
      <w:r>
        <w:t xml:space="preserve">”</w:t>
      </w:r>
      <w:r>
        <w:t xml:space="preserve"> </w:t>
      </w:r>
      <w:r>
        <w:t xml:space="preserve">come variably, even when there is no</w:t>
      </w:r>
      <w:r>
        <w:t xml:space="preserve"> </w:t>
      </w:r>
      <w:r>
        <w:t xml:space="preserve">“</w:t>
      </w:r>
      <w:r>
        <w:t xml:space="preserve">māṅ</w:t>
      </w:r>
      <w:r>
        <w:t xml:space="preserve">”</w:t>
      </w:r>
      <w:r>
        <w:t xml:space="preserve">; in some places, even where</w:t>
      </w:r>
      <w:r>
        <w:t xml:space="preserve"> </w:t>
      </w:r>
      <w:r>
        <w:t xml:space="preserve">“</w:t>
      </w:r>
      <w:r>
        <w:t xml:space="preserve">māṅ</w:t>
      </w:r>
      <w:r>
        <w:t xml:space="preserve">”</w:t>
      </w:r>
      <w:r>
        <w:t xml:space="preserve"> </w:t>
      </w:r>
      <w:r>
        <w:t xml:space="preserve">is present, they come; hence here no</w:t>
      </w:r>
      <w:r>
        <w:t xml:space="preserve"> </w:t>
      </w:r>
      <w:r>
        <w:t xml:space="preserve">“</w:t>
      </w:r>
      <w:r>
        <w:t xml:space="preserve">āṭ</w:t>
      </w:r>
      <w:r>
        <w:t xml:space="preserve">”</w:t>
      </w:r>
      <w:r>
        <w:t xml:space="preserve"> </w:t>
      </w:r>
      <w:r>
        <w:t xml:space="preserve">augment arises.</w:t>
      </w:r>
      <w:r>
        <w:t xml:space="preserve"> </w:t>
      </w:r>
      <w:r>
        <w:rPr>
          <w:iCs/>
          <w:i/>
        </w:rPr>
        <w:t xml:space="preserve">(continues on p. 64)</w:t>
      </w:r>
    </w:p>
    <w:bookmarkEnd w:id="89"/>
    <w:bookmarkStart w:id="90" w:name="Xc65ece40de26982784fa744f0febc2dd6208cac"/>
    <w:p>
      <w:pPr>
        <w:pStyle w:val="Heading3"/>
      </w:pPr>
      <w:r>
        <w:t xml:space="preserve">Page 64 — Rik 3.9 grammar concluded; Sūkta 3, Tenth Mantra (the Sarasvatī tṛca): Saṃhitā, Pada, and the opening of the Bhāṣya</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1, Sūkta 3.</w:t>
      </w:r>
      <w:r>
        <w:rPr>
          <w:iCs/>
          <w:i/>
        </w:rPr>
        <w:t xml:space="preserve">”</w:t>
      </w:r>
      <w:r>
        <w:rPr>
          <w:iCs/>
          <w:i/>
        </w:rPr>
        <w:t xml:space="preserve"> </w:t>
      </w:r>
      <w:r>
        <w:rPr>
          <w:iCs/>
          <w:i/>
        </w:rPr>
        <w:t xml:space="preserve">Accent-marks are not reproduced in the Saṃhitā/Pada text; see the note at Rik 3.5.)</w:t>
      </w:r>
    </w:p>
    <w:p>
      <w:pPr>
        <w:pStyle w:val="BodyText"/>
      </w:pPr>
      <w:r>
        <w:rPr>
          <w:iCs/>
          <w:i/>
        </w:rPr>
        <w:t xml:space="preserve">(Continuing:)</w:t>
      </w:r>
      <w:r>
        <w:t xml:space="preserve"> </w:t>
      </w:r>
      <w:r>
        <w:t xml:space="preserve">…</w:t>
      </w:r>
      <w:r>
        <w:t xml:space="preserve">“</w:t>
      </w:r>
      <w:r>
        <w:t xml:space="preserve">vahnayaḥ</w:t>
      </w:r>
      <w:r>
        <w:t xml:space="preserve">”</w:t>
      </w:r>
      <w:r>
        <w:t xml:space="preserve">: here the affix</w:t>
      </w:r>
      <w:r>
        <w:t xml:space="preserve"> </w:t>
      </w:r>
      <w:r>
        <w:t xml:space="preserve">“</w:t>
      </w:r>
      <w:r>
        <w:t xml:space="preserve">ni</w:t>
      </w:r>
      <w:r>
        <w:t xml:space="preserve">”</w:t>
      </w:r>
      <w:r>
        <w:t xml:space="preserve"> </w:t>
      </w:r>
      <w:r>
        <w:t xml:space="preserve">comes by the Uṇādi-sūtra</w:t>
      </w:r>
      <w:r>
        <w:t xml:space="preserve"> </w:t>
      </w:r>
      <w:r>
        <w:t xml:space="preserve">“</w:t>
      </w:r>
      <w:r>
        <w:t xml:space="preserve">vahi-śri-…</w:t>
      </w:r>
      <w:r>
        <w:t xml:space="preserve">”</w:t>
      </w:r>
      <w:r>
        <w:t xml:space="preserve"> </w:t>
      </w:r>
      <w:r>
        <w:t xml:space="preserve">(as at p. 58);</w:t>
      </w:r>
      <w:r>
        <w:t xml:space="preserve"> </w:t>
      </w:r>
      <w:r>
        <w:t xml:space="preserve">“</w:t>
      </w:r>
      <w:r>
        <w:t xml:space="preserve">n</w:t>
      </w:r>
      <w:r>
        <w:t xml:space="preserve">”</w:t>
      </w:r>
      <w:r>
        <w:t xml:space="preserve">-marked, so first-syllable acute. ॥९॥</w:t>
      </w:r>
    </w:p>
    <w:p>
      <w:r>
        <w:pict>
          <v:rect style="width:0;height:1.5pt" o:hralign="center" o:hrstd="t" o:hr="t"/>
        </w:pict>
      </w:r>
    </w:p>
    <w:bookmarkEnd w:id="90"/>
    <w:bookmarkStart w:id="91" w:name="sūkta-3-the-tenth-mantra"/>
    <w:p>
      <w:pPr>
        <w:pStyle w:val="Heading3"/>
      </w:pPr>
      <w:r>
        <w:t xml:space="preserve">Sūkta 3, The Tenth Mantra</w:t>
      </w:r>
    </w:p>
    <w:p>
      <w:pPr>
        <w:pStyle w:val="FirstParagraph"/>
      </w:pPr>
      <w:r>
        <w:rPr>
          <w:bCs/>
          <w:b/>
        </w:rPr>
        <w:t xml:space="preserve">॥ Saṃhitā-pāṭhaḥ ॥</w:t>
      </w:r>
    </w:p>
    <w:p>
      <w:pPr>
        <w:pStyle w:val="BlockText"/>
      </w:pPr>
      <w:r>
        <w:t xml:space="preserve">पा॒व॒का नः॒ सर॑स्वती॒ वाजे॑भिर्वा॒जिनी॑वती ।</w:t>
      </w:r>
      <w:r>
        <w:t xml:space="preserve"> </w:t>
      </w:r>
      <w:r>
        <w:t xml:space="preserve">य॒ज्ञं व॑ष्टु धि॒याव॑सुः ॥१०॥</w:t>
      </w:r>
    </w:p>
    <w:p>
      <w:pPr>
        <w:pStyle w:val="BlockText"/>
      </w:pPr>
      <w:r>
        <w:rPr>
          <w:iCs/>
          <w:i/>
        </w:rPr>
        <w:t xml:space="preserve">pāvakā́ naḥ sárasvatī vā́jebhirvājínīvatī |</w:t>
      </w:r>
      <w:r>
        <w:t xml:space="preserve"> </w:t>
      </w:r>
      <w:r>
        <w:rPr>
          <w:iCs/>
          <w:i/>
        </w:rPr>
        <w:t xml:space="preserve">yajñáṃ vaṣṭu dhiyā́vasuḥ ||10||</w:t>
      </w:r>
    </w:p>
    <w:p>
      <w:pPr>
        <w:pStyle w:val="FirstParagraph"/>
      </w:pPr>
      <w:r>
        <w:rPr>
          <w:bCs/>
          <w:b/>
        </w:rPr>
        <w:t xml:space="preserve">॥ Pada-pāṭhaḥ ॥</w:t>
      </w:r>
    </w:p>
    <w:p>
      <w:pPr>
        <w:pStyle w:val="BlockText"/>
      </w:pPr>
      <w:r>
        <w:t xml:space="preserve">पावका । नः । सरस्वती । वाजेभिः । वाजिनीवती ।</w:t>
      </w:r>
      <w:r>
        <w:t xml:space="preserve"> </w:t>
      </w:r>
      <w:r>
        <w:t xml:space="preserve">यज्ञम् । वष्टु । धियावसुः ॥१०॥</w:t>
      </w:r>
    </w:p>
    <w:p>
      <w:pPr>
        <w:pStyle w:val="FirstParagraph"/>
      </w:pPr>
      <w:r>
        <w:rPr>
          <w:bCs/>
          <w:b/>
        </w:rPr>
        <w:t xml:space="preserve">॥ Sāyaṇa-bhāṣyam ॥</w:t>
      </w:r>
    </w:p>
    <w:p>
      <w:pPr>
        <w:pStyle w:val="BlockText"/>
      </w:pPr>
      <w:r>
        <w:t xml:space="preserve">सारस्वते तृचे या प्रथमा सान्वारम्भणीयेष्ट्या सरस्वत्याः पुरोनुवाक्या । तथा दर्शपूर्णमासारप्स्यमान इत्यस्मिन्कण्डे पावका नः सरस्वती पावीरवी कन्या चित्रायुः । आ. २-८ । इति सूत्रितम् ॥</w:t>
      </w:r>
      <w:r>
        <w:t xml:space="preserve"> </w:t>
      </w:r>
      <w:r>
        <w:rPr>
          <w:iCs/>
          <w:i/>
        </w:rPr>
        <w:t xml:space="preserve">sārasvate tṛce yā prathamā sānvārambhaṇīyeṣṭyā sarasvatyāḥ puronuvākyā | tathā darśa-pūrṇamāsārapsyamāna ity asmin kaṇḍe pāvakā naḥ sarasvatī pāvīravī kanyā citrāyuḥ | ā. 2-8 | iti sūtritam ||</w:t>
      </w:r>
    </w:p>
    <w:p>
      <w:pPr>
        <w:pStyle w:val="FirstParagraph"/>
      </w:pPr>
      <w:r>
        <w:rPr>
          <w:bCs/>
          <w:b/>
        </w:rPr>
        <w:t xml:space="preserve">Translation:</w:t>
      </w:r>
      <w:r>
        <w:t xml:space="preserve"> </w:t>
      </w:r>
      <w:r>
        <w:t xml:space="preserve">“</w:t>
      </w:r>
      <w:r>
        <w:t xml:space="preserve">In the Sārasvata tṛca (the triplet addressed to Sarasvatī), the first Ṛk is the invitatory verse (puronuvākyā) of Sarasvatī in the</w:t>
      </w:r>
      <w:r>
        <w:t xml:space="preserve">”</w:t>
      </w:r>
      <w:r>
        <w:t xml:space="preserve">sānvārambhaṇīya” sacrificial offering; and likewise, in the section beginning</w:t>
      </w:r>
      <w:r>
        <w:t xml:space="preserve"> </w:t>
      </w:r>
      <w:r>
        <w:t xml:space="preserve">“</w:t>
      </w:r>
      <w:r>
        <w:t xml:space="preserve">darśa-pūrṇamāsārapsyamāna</w:t>
      </w:r>
      <w:r>
        <w:t xml:space="preserve">”</w:t>
      </w:r>
      <w:r>
        <w:t xml:space="preserve"> </w:t>
      </w:r>
      <w:r>
        <w:t xml:space="preserve">(one about to begin the new- and full-moon sacrifices), the Ṛks</w:t>
      </w:r>
      <w:r>
        <w:t xml:space="preserve"> </w:t>
      </w:r>
      <w:r>
        <w:t xml:space="preserve">“</w:t>
      </w:r>
      <w:r>
        <w:t xml:space="preserve">pāvakā naḥ sarasvatī</w:t>
      </w:r>
      <w:r>
        <w:t xml:space="preserve">”</w:t>
      </w:r>
      <w:r>
        <w:t xml:space="preserve"> </w:t>
      </w:r>
      <w:r>
        <w:t xml:space="preserve">and</w:t>
      </w:r>
      <w:r>
        <w:t xml:space="preserve"> </w:t>
      </w:r>
      <w:r>
        <w:t xml:space="preserve">“</w:t>
      </w:r>
      <w:r>
        <w:t xml:space="preserve">pāvīravī kanyā citrāyuḥ</w:t>
      </w:r>
      <w:r>
        <w:t xml:space="preserve">”</w:t>
      </w:r>
      <w:r>
        <w:t xml:space="preserve"> </w:t>
      </w:r>
      <w:r>
        <w:t xml:space="preserve">are laid down in the sūtra (the source reference as printed is</w:t>
      </w:r>
      <w:r>
        <w:t xml:space="preserve"> </w:t>
      </w:r>
      <w:r>
        <w:t xml:space="preserve">“</w:t>
      </w:r>
      <w:r>
        <w:t xml:space="preserve">ā. 2-8</w:t>
      </w:r>
      <w:r>
        <w:t xml:space="preserve">”</w:t>
      </w:r>
      <w:r>
        <w:t xml:space="preserve">).”</w:t>
      </w:r>
    </w:p>
    <w:p>
      <w:pPr>
        <w:pStyle w:val="BlockText"/>
      </w:pPr>
      <w:r>
        <w:t xml:space="preserve">सरस्वती देवी वाजेभिर्हविर्लक्षणैरन्नैर्निमित्तभूतैः । यद्वा । यजमानेभ्यो दातव्यैरन्नैर्निमित्तभूतैः । नोऽस्मदीयं यज्ञं वष्टु । कामयताम् । कामयित्वा च निर्वहत्वित्यर्थः । तथा चारण्यककाण्डे श्रुत्यैव व्याख्यातम् । यज्ञं वष्टिवति यदाह यज्ञं वहत्विति तदाह । ऐ. आ. १-१-४ । इति । कीदृशी सरस्वती । पावका शोधयित्री वाजिनीवत्यन्नवत्क्रियावती धियावसुः कर्मप्राप्त्यधननिमित्तभूता । वाग्देवतायास्तथाविधं धननिमित्तत्वमारण्यककाण्डे श्रुत्या व्याख्यातम् । यज्ञं वष्टु धियावसुरिति वाग्वै धियावसुः । ऐ. आ. १-१-४ । इति । श्येनः सोम इत्यादिषु पञ्चत्रिंशत्संख्याकेषु देवताविशेषवाचिषु पदेषु सरमा सरस्वतीति पठितम् । एतामृचं यास्क एवं व्याचष्टे । पावका नः सरस्वत्यन्नैरन्नवती यज्ञं वष्टु धियावसुः कर्मवसुः । नि. ११- …</w:t>
      </w:r>
      <w:r>
        <w:t xml:space="preserve"> </w:t>
      </w:r>
      <w:r>
        <w:rPr>
          <w:iCs/>
          <w:i/>
        </w:rPr>
        <w:t xml:space="preserve">sarasvatī devī vājebhir havir-lakṣaṇair annair nimitta-bhūtaiḥ | yad vā | yajamānebhyo dātavyair annair nimitta-bhūtaiḥ | no ’smadīyaṃ yajñaṃ vaṣṭu | kāmayatām | kāmayitvā ca nirvahatv ity arthaḥ | tathā cāraṇyaka-kāṇḍe śrutyaiva vyākhyātam | yajñaṃ vaṣṭīvati yad āha yajñaṃ vahatv iti tad āha | ai. ā. 1-1-4 | iti | kīdṛśī sarasvatī | pāvakā śodhayitrī vājinīvaty annavat-kriyāvatī dhiyāvasuḥ karma-prāpty-adhana-nimitta-bhūtā | vāg-devatāyās tathāvidhaṃ dhana-nimittatvam āraṇyaka-kāṇḍe śrutyā vyākhyātam | yajñaṃ vaṣṭu dhiyāvasur iti vāg vai dhiyāvasuḥ | ai. ā. 1-1-4 | iti | śyenaḥ soma ity ādiṣu pañcatriṃśat-saṃkhyākeṣu devatā-viśeṣa-vāciṣu padeṣu saramā sarasvatīti paṭhitam | etām ṛcaṃ yāska evaṃ vyācaṣṭe | pāvakā naḥ sarasvaty annair annavatī yajñaṃ vaṣṭu dhiyāvasuḥ karma-vasuḥ | ni. 11- …</w:t>
      </w:r>
    </w:p>
    <w:p>
      <w:pPr>
        <w:pStyle w:val="FirstParagraph"/>
      </w:pPr>
      <w:r>
        <w:rPr>
          <w:bCs/>
          <w:b/>
        </w:rPr>
        <w:t xml:space="preserve">Translation:</w:t>
      </w:r>
      <w:r>
        <w:t xml:space="preserve"> </w:t>
      </w:r>
      <w:r>
        <w:t xml:space="preserve">“</w:t>
      </w:r>
      <w:r>
        <w:t xml:space="preserve">‘</w:t>
      </w:r>
      <w:r>
        <w:t xml:space="preserve">Sarasvatī</w:t>
      </w:r>
      <w:r>
        <w:t xml:space="preserve">’</w:t>
      </w:r>
      <w:r>
        <w:t xml:space="preserve"> </w:t>
      </w:r>
      <w:r>
        <w:t xml:space="preserve">— the goddess —</w:t>
      </w:r>
      <w:r>
        <w:t xml:space="preserve"> </w:t>
      </w:r>
      <w:r>
        <w:t xml:space="preserve">‘</w:t>
      </w:r>
      <w:r>
        <w:t xml:space="preserve">vājebhiḥ</w:t>
      </w:r>
      <w:r>
        <w:t xml:space="preserve">’</w:t>
      </w:r>
      <w:r>
        <w:t xml:space="preserve">: by the oblation-nature foods that are the occasion (nimitta-bhūta) — or, by the foods to be given to the sacrificers, which are the occasion —</w:t>
      </w:r>
      <w:r>
        <w:t xml:space="preserve"> </w:t>
      </w:r>
      <w:r>
        <w:t xml:space="preserve">‘</w:t>
      </w:r>
      <w:r>
        <w:t xml:space="preserve">may she desire our sacrifice (’vaṣṭu</w:t>
      </w:r>
      <w:r>
        <w:t xml:space="preserve">’</w:t>
      </w:r>
      <w:r>
        <w:t xml:space="preserve">: let her desire it); and having desired it, let her carry it through’ — such is the sense. And so the Āraṇyaka section itself explains this by Śruti:</w:t>
      </w:r>
      <w:r>
        <w:t xml:space="preserve"> </w:t>
      </w:r>
      <w:r>
        <w:t xml:space="preserve">‘</w:t>
      </w:r>
      <w:r>
        <w:rPr>
          <w:iCs/>
          <w:i/>
        </w:rPr>
        <w:t xml:space="preserve">When it says</w:t>
      </w:r>
      <w:r>
        <w:rPr>
          <w:iCs/>
          <w:i/>
        </w:rPr>
        <w:t xml:space="preserve"> </w:t>
      </w:r>
      <w:r>
        <w:rPr>
          <w:iCs/>
          <w:i/>
        </w:rPr>
        <w:t xml:space="preserve">“</w:t>
      </w:r>
      <w:r>
        <w:rPr>
          <w:iCs/>
          <w:i/>
        </w:rPr>
        <w:t xml:space="preserve">may she desire the sacrifice</w:t>
      </w:r>
      <w:r>
        <w:rPr>
          <w:iCs/>
          <w:i/>
        </w:rPr>
        <w:t xml:space="preserve">”</w:t>
      </w:r>
      <w:r>
        <w:rPr>
          <w:iCs/>
          <w:i/>
        </w:rPr>
        <w:t xml:space="preserve"> </w:t>
      </w:r>
      <w:r>
        <w:rPr>
          <w:iCs/>
          <w:i/>
        </w:rPr>
        <w:t xml:space="preserve">(</w:t>
      </w:r>
      <w:r>
        <w:rPr>
          <w:iCs/>
          <w:i/>
        </w:rPr>
        <w:t xml:space="preserve">“</w:t>
      </w:r>
      <w:r>
        <w:rPr>
          <w:iCs/>
          <w:i/>
        </w:rPr>
        <w:t xml:space="preserve">yajñaṃ vaṣṭu</w:t>
      </w:r>
      <w:r>
        <w:rPr>
          <w:iCs/>
          <w:i/>
        </w:rPr>
        <w:t xml:space="preserve">”</w:t>
      </w:r>
      <w:r>
        <w:rPr>
          <w:iCs/>
          <w:i/>
        </w:rPr>
        <w:t xml:space="preserve">), it says</w:t>
      </w:r>
      <w:r>
        <w:rPr>
          <w:iCs/>
          <w:i/>
        </w:rPr>
        <w:t xml:space="preserve"> </w:t>
      </w:r>
      <w:r>
        <w:rPr>
          <w:iCs/>
          <w:i/>
        </w:rPr>
        <w:t xml:space="preserve">“</w:t>
      </w:r>
      <w:r>
        <w:rPr>
          <w:iCs/>
          <w:i/>
        </w:rPr>
        <w:t xml:space="preserve">let her carry the sacrifice.</w:t>
      </w:r>
      <w:r>
        <w:rPr>
          <w:iCs/>
          <w:i/>
        </w:rPr>
        <w:t xml:space="preserve">”</w:t>
      </w:r>
      <w:r>
        <w:t xml:space="preserve">’</w:t>
      </w:r>
      <w:r>
        <w:t xml:space="preserve"> </w:t>
      </w:r>
      <w:r>
        <w:t xml:space="preserve">(Aitareya Āraṇyaka 1-1-4). What kind of Sarasvatī?</w:t>
      </w:r>
      <w:r>
        <w:t xml:space="preserve"> </w:t>
      </w:r>
      <w:r>
        <w:t xml:space="preserve">‘</w:t>
      </w:r>
      <w:r>
        <w:t xml:space="preserve">Pāvakā</w:t>
      </w:r>
      <w:r>
        <w:t xml:space="preserve">’</w:t>
      </w:r>
      <w:r>
        <w:t xml:space="preserve"> </w:t>
      </w:r>
      <w:r>
        <w:t xml:space="preserve">— the purifier;</w:t>
      </w:r>
      <w:r>
        <w:t xml:space="preserve"> </w:t>
      </w:r>
      <w:r>
        <w:t xml:space="preserve">‘</w:t>
      </w:r>
      <w:r>
        <w:t xml:space="preserve">vājinīvatī</w:t>
      </w:r>
      <w:r>
        <w:t xml:space="preserve">’</w:t>
      </w:r>
      <w:r>
        <w:t xml:space="preserve"> </w:t>
      </w:r>
      <w:r>
        <w:t xml:space="preserve">— one possessing food, possessing activity;</w:t>
      </w:r>
      <w:r>
        <w:t xml:space="preserve"> </w:t>
      </w:r>
      <w:r>
        <w:t xml:space="preserve">‘</w:t>
      </w:r>
      <w:r>
        <w:t xml:space="preserve">dhiyāvasuḥ</w:t>
      </w:r>
      <w:r>
        <w:t xml:space="preserve">’</w:t>
      </w:r>
      <w:r>
        <w:t xml:space="preserve"> </w:t>
      </w:r>
      <w:r>
        <w:t xml:space="preserve">— one who is the occasion for the attaining of wealth through ritual action. That the goddess of speech is, in this way, the occasion of wealth, is explained by the Śruti in the Āraṇyaka section:</w:t>
      </w:r>
      <w:r>
        <w:t xml:space="preserve"> </w:t>
      </w:r>
      <w:r>
        <w:t xml:space="preserve">‘</w:t>
      </w:r>
      <w:r>
        <w:rPr>
          <w:iCs/>
          <w:i/>
        </w:rPr>
        <w:t xml:space="preserve">“</w:t>
      </w:r>
      <w:r>
        <w:rPr>
          <w:iCs/>
          <w:i/>
        </w:rPr>
        <w:t xml:space="preserve">yajñaṃ vaṣṭu dhiyāvasuḥ</w:t>
      </w:r>
      <w:r>
        <w:rPr>
          <w:iCs/>
          <w:i/>
        </w:rPr>
        <w:t xml:space="preserve">”</w:t>
      </w:r>
      <w:r>
        <w:t xml:space="preserve"> </w:t>
      </w:r>
      <w:r>
        <w:t xml:space="preserve">— Speech indeed is</w:t>
      </w:r>
      <w:r>
        <w:t xml:space="preserve"> </w:t>
      </w:r>
      <w:r>
        <w:t xml:space="preserve">“</w:t>
      </w:r>
      <w:r>
        <w:t xml:space="preserve">dhiyāvasuḥ.</w:t>
      </w:r>
      <w:r>
        <w:t xml:space="preserve">”</w:t>
      </w:r>
      <w:r>
        <w:t xml:space="preserve">’</w:t>
      </w:r>
      <w:r>
        <w:t xml:space="preserve"> </w:t>
      </w:r>
      <w:r>
        <w:t xml:space="preserve">(Aitareya Āraṇyaka 1-1-4). Among the thirty-five words denoting particular deities, beginning with</w:t>
      </w:r>
      <w:r>
        <w:t xml:space="preserve"> </w:t>
      </w:r>
      <w:r>
        <w:t xml:space="preserve">‘</w:t>
      </w:r>
      <w:r>
        <w:t xml:space="preserve">śyenaḥ soma,</w:t>
      </w:r>
      <w:r>
        <w:t xml:space="preserve">’</w:t>
      </w:r>
      <w:r>
        <w:t xml:space="preserve"> </w:t>
      </w:r>
      <w:r>
        <w:t xml:space="preserve">‘</w:t>
      </w:r>
      <w:r>
        <w:t xml:space="preserve">saramā</w:t>
      </w:r>
      <w:r>
        <w:t xml:space="preserve">’</w:t>
      </w:r>
      <w:r>
        <w:t xml:space="preserve"> </w:t>
      </w:r>
      <w:r>
        <w:t xml:space="preserve">and</w:t>
      </w:r>
      <w:r>
        <w:t xml:space="preserve"> </w:t>
      </w:r>
      <w:r>
        <w:t xml:space="preserve">‘</w:t>
      </w:r>
      <w:r>
        <w:t xml:space="preserve">sarasvatī</w:t>
      </w:r>
      <w:r>
        <w:t xml:space="preserve">’</w:t>
      </w:r>
      <w:r>
        <w:t xml:space="preserve"> </w:t>
      </w:r>
      <w:r>
        <w:t xml:space="preserve">are read. Yāska explains this Ṛk thus:</w:t>
      </w:r>
      <w:r>
        <w:t xml:space="preserve"> </w:t>
      </w:r>
      <w:r>
        <w:t xml:space="preserve">‘</w:t>
      </w:r>
      <w:r>
        <w:rPr>
          <w:iCs/>
          <w:i/>
        </w:rPr>
        <w:t xml:space="preserve">“</w:t>
      </w:r>
      <w:r>
        <w:rPr>
          <w:iCs/>
          <w:i/>
        </w:rPr>
        <w:t xml:space="preserve">Pāvakā naḥ sarasvatī</w:t>
      </w:r>
      <w:r>
        <w:rPr>
          <w:iCs/>
          <w:i/>
        </w:rPr>
        <w:t xml:space="preserve">”</w:t>
      </w:r>
      <w:r>
        <w:rPr>
          <w:iCs/>
          <w:i/>
        </w:rPr>
        <w:t xml:space="preserve">: Sarasvatī, rich in foods;</w:t>
      </w:r>
      <w:r>
        <w:rPr>
          <w:iCs/>
          <w:i/>
        </w:rPr>
        <w:t xml:space="preserve"> </w:t>
      </w:r>
      <w:r>
        <w:rPr>
          <w:iCs/>
          <w:i/>
        </w:rPr>
        <w:t xml:space="preserve">“</w:t>
      </w:r>
      <w:r>
        <w:rPr>
          <w:iCs/>
          <w:i/>
        </w:rPr>
        <w:t xml:space="preserve">yajñaṃ vaṣṭu dhiyāvasuḥ</w:t>
      </w:r>
      <w:r>
        <w:rPr>
          <w:iCs/>
          <w:i/>
        </w:rPr>
        <w:t xml:space="preserve">”</w:t>
      </w:r>
      <w:r>
        <w:rPr>
          <w:iCs/>
          <w:i/>
        </w:rPr>
        <w:t xml:space="preserve">: let her desire the sacrifice, she whose wealth is ritual action.</w:t>
      </w:r>
      <w:r>
        <w:t xml:space="preserve">’</w:t>
      </w:r>
      <w:r>
        <w:t xml:space="preserve"> </w:t>
      </w:r>
      <w:r>
        <w:t xml:space="preserve">(Nirukta 11-…)</w:t>
      </w:r>
      <w:r>
        <w:t xml:space="preserve">”</w:t>
      </w:r>
      <w:r>
        <w:t xml:space="preserve"> </w:t>
      </w:r>
      <w:r>
        <w:rPr>
          <w:iCs/>
          <w:i/>
        </w:rPr>
        <w:t xml:space="preserve">(continues on the next page)</w:t>
      </w:r>
    </w:p>
    <w:bookmarkEnd w:id="91"/>
    <w:bookmarkStart w:id="92" w:name="X741073129f0a4be0949c652ad4fcb138a3b9ab2"/>
    <w:p>
      <w:pPr>
        <w:pStyle w:val="Heading3"/>
      </w:pPr>
      <w:r>
        <w:t xml:space="preserve">Page 65 — Rik 3.10: close of the Bhāṣya (Nirukta quotation), grammar, Pada-meanings, Bhāvārtha, English rendering</w:t>
      </w:r>
    </w:p>
    <w:p>
      <w:pPr>
        <w:pStyle w:val="FirstParagraph"/>
      </w:pPr>
      <w:r>
        <w:rPr>
          <w:iCs/>
          <w:i/>
        </w:rPr>
        <w:t xml:space="preserve">(Page header:</w:t>
      </w:r>
      <w:r>
        <w:rPr>
          <w:iCs/>
          <w:i/>
        </w:rPr>
        <w:t xml:space="preserve"> </w:t>
      </w:r>
      <w:r>
        <w:rPr>
          <w:iCs/>
          <w:i/>
        </w:rPr>
        <w:t xml:space="preserve">“</w:t>
      </w:r>
      <w:r>
        <w:rPr>
          <w:iCs/>
          <w:i/>
        </w:rPr>
        <w:t xml:space="preserve">Aṣṭaka 1, Adhyāya 1, Varga 6 · Ṛgveda-saṃhitā.</w:t>
      </w:r>
      <w:r>
        <w:rPr>
          <w:iCs/>
          <w:i/>
        </w:rPr>
        <w:t xml:space="preserve">”</w:t>
      </w:r>
      <w:r>
        <w:rPr>
          <w:iCs/>
          <w:i/>
        </w:rPr>
        <w:t xml:space="preserve"> </w:t>
      </w:r>
      <w:r>
        <w:rPr>
          <w:iCs/>
          <w:i/>
        </w:rPr>
        <w:t xml:space="preserve">Sanskrit printed in Kannada script; [?] where unclear. The sense lines are in three layers; the grammar is characterized with its sūtras kept.)</w:t>
      </w:r>
    </w:p>
    <w:p>
      <w:pPr>
        <w:pStyle w:val="BodyText"/>
      </w:pPr>
      <w:r>
        <w:rPr>
          <w:bCs/>
          <w:b/>
        </w:rPr>
        <w:t xml:space="preserve">॥ Sāyaṇa-bhāṣyam ॥</w:t>
      </w:r>
      <w:r>
        <w:t xml:space="preserve"> </w:t>
      </w:r>
      <w:r>
        <w:rPr>
          <w:iCs/>
          <w:i/>
        </w:rPr>
        <w:t xml:space="preserve">(concluding the Nirukta quotation begun on p. 64)</w:t>
      </w:r>
    </w:p>
    <w:p>
      <w:pPr>
        <w:pStyle w:val="BlockText"/>
      </w:pPr>
      <w:r>
        <w:t xml:space="preserve">…३६ । इति ॥</w:t>
      </w:r>
      <w:r>
        <w:t xml:space="preserve"> </w:t>
      </w:r>
      <w:r>
        <w:rPr>
          <w:iCs/>
          <w:i/>
        </w:rPr>
        <w:t xml:space="preserve">…36 | iti ||</w:t>
      </w:r>
    </w:p>
    <w:p>
      <w:pPr>
        <w:pStyle w:val="FirstParagraph"/>
      </w:pPr>
      <w:r>
        <w:rPr>
          <w:bCs/>
          <w:b/>
        </w:rPr>
        <w:t xml:space="preserve">Translation:</w:t>
      </w:r>
      <w:r>
        <w:t xml:space="preserve"> </w:t>
      </w:r>
      <w:r>
        <w:t xml:space="preserve">“</w:t>
      </w:r>
      <w:r>
        <w:t xml:space="preserve">(Nirukta 11-)36. — So much (of Yāska).</w:t>
      </w:r>
      <w:r>
        <w:t xml:space="preserve">”</w:t>
      </w:r>
      <w:r>
        <w:t xml:space="preserve"> </w:t>
      </w:r>
      <w:r>
        <w:rPr>
          <w:iCs/>
          <w:i/>
        </w:rPr>
        <w:t xml:space="preserve">(The number</w:t>
      </w:r>
      <w:r>
        <w:rPr>
          <w:iCs/>
          <w:i/>
        </w:rPr>
        <w:t xml:space="preserve"> </w:t>
      </w:r>
      <w:r>
        <w:rPr>
          <w:iCs/>
          <w:i/>
        </w:rPr>
        <w:t xml:space="preserve">“</w:t>
      </w:r>
      <w:r>
        <w:rPr>
          <w:iCs/>
          <w:i/>
        </w:rPr>
        <w:t xml:space="preserve">36</w:t>
      </w:r>
      <w:r>
        <w:rPr>
          <w:iCs/>
          <w:i/>
        </w:rPr>
        <w:t xml:space="preserve">”</w:t>
      </w:r>
      <w:r>
        <w:rPr>
          <w:iCs/>
          <w:i/>
        </w:rPr>
        <w:t xml:space="preserve"> </w:t>
      </w:r>
      <w:r>
        <w:rPr>
          <w:iCs/>
          <w:i/>
        </w:rPr>
        <w:t xml:space="preserve">is the continuation of the reference left open at the foot of p. 64.)</w:t>
      </w:r>
    </w:p>
    <w:p>
      <w:pPr>
        <w:pStyle w:val="BodyText"/>
      </w:pPr>
      <w:r>
        <w:rPr>
          <w:bCs/>
          <w:b/>
        </w:rPr>
        <w:t xml:space="preserve">Grammar of Rik 3.10 (characterized, with sūtras):</w:t>
      </w:r>
      <w:r>
        <w:t xml:space="preserve"> </w:t>
      </w:r>
      <w:r>
        <w:t xml:space="preserve">-</w:t>
      </w:r>
      <w:r>
        <w:t xml:space="preserve"> </w:t>
      </w:r>
      <w:r>
        <w:rPr>
          <w:bCs/>
          <w:b/>
        </w:rPr>
        <w:t xml:space="preserve">“</w:t>
      </w:r>
      <w:r>
        <w:rPr>
          <w:bCs/>
          <w:b/>
        </w:rPr>
        <w:t xml:space="preserve">Pāvakā</w:t>
      </w:r>
      <w:r>
        <w:rPr>
          <w:bCs/>
          <w:b/>
        </w:rPr>
        <w:t xml:space="preserve">”</w:t>
      </w:r>
      <w:r>
        <w:t xml:space="preserve">:</w:t>
      </w:r>
      <w:r>
        <w:t xml:space="preserve"> </w:t>
      </w:r>
      <w:r>
        <w:t xml:space="preserve">“</w:t>
      </w:r>
      <w:r>
        <w:t xml:space="preserve">pavanaṃ pāvaḥ śuddhiḥ; pāvaṃ kāyatīti pāvakā</w:t>
      </w:r>
      <w:r>
        <w:t xml:space="preserve">”</w:t>
      </w:r>
      <w:r>
        <w:t xml:space="preserve"> </w:t>
      </w:r>
      <w:r>
        <w:t xml:space="preserve">— one who</w:t>
      </w:r>
      <w:r>
        <w:t xml:space="preserve"> </w:t>
      </w:r>
      <w:r>
        <w:t xml:space="preserve">“</w:t>
      </w:r>
      <w:r>
        <w:t xml:space="preserve">sings/makes</w:t>
      </w:r>
      <w:r>
        <w:t xml:space="preserve">”</w:t>
      </w:r>
      <w:r>
        <w:t xml:space="preserve"> </w:t>
      </w:r>
      <w:r>
        <w:t xml:space="preserve">purity (</w:t>
      </w:r>
      <w:r>
        <w:t xml:space="preserve">“</w:t>
      </w:r>
      <w:r>
        <w:t xml:space="preserve">kai gai rai śabde</w:t>
      </w:r>
      <w:r>
        <w:t xml:space="preserve">”</w:t>
      </w:r>
      <w:r>
        <w:t xml:space="preserve">); by</w:t>
      </w:r>
      <w:r>
        <w:t xml:space="preserve"> </w:t>
      </w:r>
      <w:r>
        <w:rPr>
          <w:bCs/>
          <w:b/>
        </w:rPr>
        <w:t xml:space="preserve">आतोऽनुपसर्गे कः</w:t>
      </w:r>
      <w:r>
        <w:t xml:space="preserve"> </w:t>
      </w:r>
      <w:r>
        <w:t xml:space="preserve">(</w:t>
      </w:r>
      <w:r>
        <w:rPr>
          <w:iCs/>
          <w:i/>
        </w:rPr>
        <w:t xml:space="preserve">āto ’nupasarge kaḥ</w:t>
      </w:r>
      <w:r>
        <w:t xml:space="preserve">, पा. ३-२-३) the affix</w:t>
      </w:r>
      <w:r>
        <w:t xml:space="preserve"> </w:t>
      </w:r>
      <w:r>
        <w:t xml:space="preserve">“</w:t>
      </w:r>
      <w:r>
        <w:t xml:space="preserve">ka</w:t>
      </w:r>
      <w:r>
        <w:t xml:space="preserve">”</w:t>
      </w:r>
      <w:r>
        <w:t xml:space="preserve">; the accent of a kṛt-ending as second member gives an end-acute.</w:t>
      </w:r>
      <w:r>
        <w:t xml:space="preserve"> </w:t>
      </w:r>
      <w:r>
        <w:rPr>
          <w:iCs/>
          <w:i/>
        </w:rPr>
        <w:t xml:space="preserve">Alternatively</w:t>
      </w:r>
      <w:r>
        <w:t xml:space="preserve">, in the sense</w:t>
      </w:r>
      <w:r>
        <w:t xml:space="preserve"> </w:t>
      </w:r>
      <w:r>
        <w:t xml:space="preserve">“</w:t>
      </w:r>
      <w:r>
        <w:t xml:space="preserve">she purifies,</w:t>
      </w:r>
      <w:r>
        <w:t xml:space="preserve">”</w:t>
      </w:r>
      <w:r>
        <w:t xml:space="preserve"> </w:t>
      </w:r>
      <w:r>
        <w:t xml:space="preserve">with</w:t>
      </w:r>
      <w:r>
        <w:t xml:space="preserve"> </w:t>
      </w:r>
      <w:r>
        <w:t xml:space="preserve">“</w:t>
      </w:r>
      <w:r>
        <w:t xml:space="preserve">ṇvul,</w:t>
      </w:r>
      <w:r>
        <w:t xml:space="preserve">”</w:t>
      </w:r>
      <w:r>
        <w:t xml:space="preserve"> </w:t>
      </w:r>
      <w:r>
        <w:t xml:space="preserve">the vowel</w:t>
      </w:r>
      <w:r>
        <w:t xml:space="preserve"> </w:t>
      </w:r>
      <w:r>
        <w:t xml:space="preserve">“</w:t>
      </w:r>
      <w:r>
        <w:t xml:space="preserve">a</w:t>
      </w:r>
      <w:r>
        <w:t xml:space="preserve">”</w:t>
      </w:r>
      <w:r>
        <w:t xml:space="preserve"> </w:t>
      </w:r>
      <w:r>
        <w:t xml:space="preserve">before the affix’s</w:t>
      </w:r>
      <w:r>
        <w:t xml:space="preserve"> </w:t>
      </w:r>
      <w:r>
        <w:t xml:space="preserve">“</w:t>
      </w:r>
      <w:r>
        <w:t xml:space="preserve">k</w:t>
      </w:r>
      <w:r>
        <w:t xml:space="preserve">”</w:t>
      </w:r>
      <w:r>
        <w:t xml:space="preserve"> </w:t>
      </w:r>
      <w:r>
        <w:t xml:space="preserve">would normally become</w:t>
      </w:r>
      <w:r>
        <w:t xml:space="preserve"> </w:t>
      </w:r>
      <w:r>
        <w:t xml:space="preserve">“</w:t>
      </w:r>
      <w:r>
        <w:t xml:space="preserve">i</w:t>
      </w:r>
      <w:r>
        <w:t xml:space="preserve">”</w:t>
      </w:r>
      <w:r>
        <w:t xml:space="preserve"> </w:t>
      </w:r>
      <w:r>
        <w:t xml:space="preserve">(</w:t>
      </w:r>
      <w:r>
        <w:rPr>
          <w:bCs/>
          <w:b/>
        </w:rPr>
        <w:t xml:space="preserve">इदाप्यसुपः</w:t>
      </w:r>
      <w:r>
        <w:t xml:space="preserve">,</w:t>
      </w:r>
      <w:r>
        <w:t xml:space="preserve"> </w:t>
      </w:r>
      <w:r>
        <w:rPr>
          <w:iCs/>
          <w:i/>
        </w:rPr>
        <w:t xml:space="preserve">id āpy asupaḥ</w:t>
      </w:r>
      <w:r>
        <w:t xml:space="preserve">, पा. ७-३-४४ [as printed</w:t>
      </w:r>
      <w:r>
        <w:t xml:space="preserve"> </w:t>
      </w:r>
      <w:r>
        <w:t xml:space="preserve">“</w:t>
      </w:r>
      <w:r>
        <w:t xml:space="preserve">7-3-44</w:t>
      </w:r>
      <w:r>
        <w:t xml:space="preserve">”</w:t>
      </w:r>
      <w:r>
        <w:t xml:space="preserve">]), but that does not occur here, and the</w:t>
      </w:r>
      <w:r>
        <w:t xml:space="preserve"> </w:t>
      </w:r>
      <w:r>
        <w:t xml:space="preserve">“</w:t>
      </w:r>
      <w:r>
        <w:t xml:space="preserve">aṃśa-udātta</w:t>
      </w:r>
      <w:r>
        <w:t xml:space="preserve">”</w:t>
      </w:r>
      <w:r>
        <w:t xml:space="preserve"> </w:t>
      </w:r>
      <w:r>
        <w:t xml:space="preserve">accent is to be regarded as Vedic.</w:t>
      </w:r>
      <w:r>
        <w:t xml:space="preserve"> </w:t>
      </w:r>
      <w:r>
        <w:t xml:space="preserve">-</w:t>
      </w:r>
      <w:r>
        <w:t xml:space="preserve"> </w:t>
      </w:r>
      <w:r>
        <w:rPr>
          <w:bCs/>
          <w:b/>
        </w:rPr>
        <w:t xml:space="preserve">“</w:t>
      </w:r>
      <w:r>
        <w:rPr>
          <w:bCs/>
          <w:b/>
        </w:rPr>
        <w:t xml:space="preserve">Sarasvatī</w:t>
      </w:r>
      <w:r>
        <w:rPr>
          <w:bCs/>
          <w:b/>
        </w:rPr>
        <w:t xml:space="preserve">”</w:t>
      </w:r>
      <w:r>
        <w:t xml:space="preserve">:</w:t>
      </w:r>
      <w:r>
        <w:t xml:space="preserve"> </w:t>
      </w:r>
      <w:r>
        <w:t xml:space="preserve">“</w:t>
      </w:r>
      <w:r>
        <w:t xml:space="preserve">saras</w:t>
      </w:r>
      <w:r>
        <w:t xml:space="preserve">”</w:t>
      </w:r>
      <w:r>
        <w:t xml:space="preserve"> </w:t>
      </w:r>
      <w:r>
        <w:t xml:space="preserve">from</w:t>
      </w:r>
      <w:r>
        <w:t xml:space="preserve"> </w:t>
      </w:r>
      <w:r>
        <w:t xml:space="preserve">“</w:t>
      </w:r>
      <w:r>
        <w:t xml:space="preserve">sṛ</w:t>
      </w:r>
      <w:r>
        <w:t xml:space="preserve">”</w:t>
      </w:r>
      <w:r>
        <w:t xml:space="preserve"> </w:t>
      </w:r>
      <w:r>
        <w:t xml:space="preserve">with the</w:t>
      </w:r>
      <w:r>
        <w:t xml:space="preserve"> </w:t>
      </w:r>
      <w:r>
        <w:t xml:space="preserve">“</w:t>
      </w:r>
      <w:r>
        <w:t xml:space="preserve">asun</w:t>
      </w:r>
      <w:r>
        <w:t xml:space="preserve">”</w:t>
      </w:r>
      <w:r>
        <w:t xml:space="preserve"> </w:t>
      </w:r>
      <w:r>
        <w:t xml:space="preserve">affix, hence first-syllable acute;</w:t>
      </w:r>
      <w:r>
        <w:t xml:space="preserve"> </w:t>
      </w:r>
      <w:r>
        <w:t xml:space="preserve">“</w:t>
      </w:r>
      <w:r>
        <w:t xml:space="preserve">matup</w:t>
      </w:r>
      <w:r>
        <w:t xml:space="preserve">”</w:t>
      </w:r>
      <w:r>
        <w:t xml:space="preserve"> </w:t>
      </w:r>
      <w:r>
        <w:t xml:space="preserve">and</w:t>
      </w:r>
      <w:r>
        <w:t xml:space="preserve"> </w:t>
      </w:r>
      <w:r>
        <w:t xml:space="preserve">“</w:t>
      </w:r>
      <w:r>
        <w:t xml:space="preserve">ṅīp,</w:t>
      </w:r>
      <w:r>
        <w:t xml:space="preserve">”</w:t>
      </w:r>
      <w:r>
        <w:t xml:space="preserve"> </w:t>
      </w:r>
      <w:r>
        <w:t xml:space="preserve">being</w:t>
      </w:r>
      <w:r>
        <w:t xml:space="preserve"> </w:t>
      </w:r>
      <w:r>
        <w:t xml:space="preserve">“</w:t>
      </w:r>
      <w:r>
        <w:t xml:space="preserve">p</w:t>
      </w:r>
      <w:r>
        <w:t xml:space="preserve">”</w:t>
      </w:r>
      <w:r>
        <w:t xml:space="preserve">-marked, are unaccented.</w:t>
      </w:r>
      <w:r>
        <w:t xml:space="preserve"> </w:t>
      </w:r>
      <w:r>
        <w:t xml:space="preserve">-</w:t>
      </w:r>
      <w:r>
        <w:t xml:space="preserve"> </w:t>
      </w:r>
      <w:r>
        <w:rPr>
          <w:bCs/>
          <w:b/>
        </w:rPr>
        <w:t xml:space="preserve">“</w:t>
      </w:r>
      <w:r>
        <w:rPr>
          <w:bCs/>
          <w:b/>
        </w:rPr>
        <w:t xml:space="preserve">Vājebhiḥ</w:t>
      </w:r>
      <w:r>
        <w:rPr>
          <w:bCs/>
          <w:b/>
        </w:rPr>
        <w:t xml:space="preserve">”</w:t>
      </w:r>
      <w:r>
        <w:t xml:space="preserve">:</w:t>
      </w:r>
      <w:r>
        <w:t xml:space="preserve"> </w:t>
      </w:r>
      <w:r>
        <w:t xml:space="preserve">“</w:t>
      </w:r>
      <w:r>
        <w:t xml:space="preserve">vāja</w:t>
      </w:r>
      <w:r>
        <w:t xml:space="preserve">”</w:t>
      </w:r>
      <w:r>
        <w:t xml:space="preserve"> </w:t>
      </w:r>
      <w:r>
        <w:t xml:space="preserve">is first-syllable acute as belonging to the</w:t>
      </w:r>
      <w:r>
        <w:t xml:space="preserve"> </w:t>
      </w:r>
      <w:r>
        <w:t xml:space="preserve">“</w:t>
      </w:r>
      <w:r>
        <w:t xml:space="preserve">vṛṣādi</w:t>
      </w:r>
      <w:r>
        <w:t xml:space="preserve">”</w:t>
      </w:r>
      <w:r>
        <w:t xml:space="preserve"> </w:t>
      </w:r>
      <w:r>
        <w:t xml:space="preserve">class (an</w:t>
      </w:r>
      <w:r>
        <w:t xml:space="preserve"> </w:t>
      </w:r>
      <w:r>
        <w:t xml:space="preserve">“</w:t>
      </w:r>
      <w:r>
        <w:t xml:space="preserve">ākṛti-gaṇa,</w:t>
      </w:r>
      <w:r>
        <w:t xml:space="preserve">”</w:t>
      </w:r>
      <w:r>
        <w:t xml:space="preserve"> </w:t>
      </w:r>
      <w:r>
        <w:t xml:space="preserve">an open-ended list).</w:t>
      </w:r>
      <w:r>
        <w:t xml:space="preserve"> </w:t>
      </w:r>
      <w:r>
        <w:t xml:space="preserve">-</w:t>
      </w:r>
      <w:r>
        <w:t xml:space="preserve"> </w:t>
      </w:r>
      <w:r>
        <w:rPr>
          <w:bCs/>
          <w:b/>
        </w:rPr>
        <w:t xml:space="preserve">“</w:t>
      </w:r>
      <w:r>
        <w:rPr>
          <w:bCs/>
          <w:b/>
        </w:rPr>
        <w:t xml:space="preserve">Vājinīvatī</w:t>
      </w:r>
      <w:r>
        <w:rPr>
          <w:bCs/>
          <w:b/>
        </w:rPr>
        <w:t xml:space="preserve">”</w:t>
      </w:r>
      <w:r>
        <w:t xml:space="preserve">:</w:t>
      </w:r>
      <w:r>
        <w:t xml:space="preserve"> </w:t>
      </w:r>
      <w:r>
        <w:t xml:space="preserve">“</w:t>
      </w:r>
      <w:r>
        <w:t xml:space="preserve">vājo ’nnam asty āsām</w:t>
      </w:r>
      <w:r>
        <w:t xml:space="preserve">”</w:t>
      </w:r>
      <w:r>
        <w:t xml:space="preserve"> </w:t>
      </w:r>
      <w:r>
        <w:t xml:space="preserve">—</w:t>
      </w:r>
      <w:r>
        <w:t xml:space="preserve"> </w:t>
      </w:r>
      <w:r>
        <w:t xml:space="preserve">“</w:t>
      </w:r>
      <w:r>
        <w:t xml:space="preserve">those [ritual] actions which possess food</w:t>
      </w:r>
      <w:r>
        <w:t xml:space="preserve">”</w:t>
      </w:r>
      <w:r>
        <w:t xml:space="preserve"> </w:t>
      </w:r>
      <w:r>
        <w:t xml:space="preserve">=</w:t>
      </w:r>
      <w:r>
        <w:t xml:space="preserve"> </w:t>
      </w:r>
      <w:r>
        <w:t xml:space="preserve">“</w:t>
      </w:r>
      <w:r>
        <w:t xml:space="preserve">vājinyaḥ kriyāḥ</w:t>
      </w:r>
      <w:r>
        <w:t xml:space="preserve">”</w:t>
      </w:r>
      <w:r>
        <w:t xml:space="preserve"> </w:t>
      </w:r>
      <w:r>
        <w:t xml:space="preserve">[reading of the print:</w:t>
      </w:r>
      <w:r>
        <w:t xml:space="preserve"> </w:t>
      </w:r>
      <w:r>
        <w:t xml:space="preserve">“</w:t>
      </w:r>
      <w:r>
        <w:t xml:space="preserve">vājo ’nnam āstīti vājinyaḥ kriyāḥ</w:t>
      </w:r>
      <w:r>
        <w:t xml:space="preserve">”</w:t>
      </w:r>
      <w:r>
        <w:t xml:space="preserve"> </w:t>
      </w:r>
      <w:r>
        <w:t xml:space="preserve">?]; by</w:t>
      </w:r>
      <w:r>
        <w:t xml:space="preserve"> </w:t>
      </w:r>
      <w:r>
        <w:rPr>
          <w:bCs/>
          <w:b/>
        </w:rPr>
        <w:t xml:space="preserve">अत इनिठनौ</w:t>
      </w:r>
      <w:r>
        <w:t xml:space="preserve"> </w:t>
      </w:r>
      <w:r>
        <w:t xml:space="preserve">(</w:t>
      </w:r>
      <w:r>
        <w:rPr>
          <w:iCs/>
          <w:i/>
        </w:rPr>
        <w:t xml:space="preserve">ata iniṭhanau</w:t>
      </w:r>
      <w:r>
        <w:t xml:space="preserve">, पा. ५-२-११५) the affix</w:t>
      </w:r>
      <w:r>
        <w:t xml:space="preserve"> </w:t>
      </w:r>
      <w:r>
        <w:t xml:space="preserve">“</w:t>
      </w:r>
      <w:r>
        <w:t xml:space="preserve">ini</w:t>
      </w:r>
      <w:r>
        <w:t xml:space="preserve">”</w:t>
      </w:r>
      <w:r>
        <w:t xml:space="preserve">;</w:t>
      </w:r>
      <w:r>
        <w:t xml:space="preserve"> </w:t>
      </w:r>
      <w:r>
        <w:t xml:space="preserve">“</w:t>
      </w:r>
      <w:r>
        <w:t xml:space="preserve">she who has those actions</w:t>
      </w:r>
      <w:r>
        <w:t xml:space="preserve">”</w:t>
      </w:r>
      <w:r>
        <w:t xml:space="preserve"> </w:t>
      </w:r>
      <w:r>
        <w:t xml:space="preserve">=</w:t>
      </w:r>
      <w:r>
        <w:t xml:space="preserve"> </w:t>
      </w:r>
      <w:r>
        <w:t xml:space="preserve">“</w:t>
      </w:r>
      <w:r>
        <w:t xml:space="preserve">vājinīvatī</w:t>
      </w:r>
      <w:r>
        <w:t xml:space="preserve">”</w:t>
      </w:r>
      <w:r>
        <w:t xml:space="preserve">; by</w:t>
      </w:r>
      <w:r>
        <w:t xml:space="preserve"> </w:t>
      </w:r>
      <w:r>
        <w:rPr>
          <w:bCs/>
          <w:b/>
        </w:rPr>
        <w:t xml:space="preserve">छन्दसीरः</w:t>
      </w:r>
      <w:r>
        <w:t xml:space="preserve"> </w:t>
      </w:r>
      <w:r>
        <w:t xml:space="preserve">(</w:t>
      </w:r>
      <w:r>
        <w:rPr>
          <w:iCs/>
          <w:i/>
        </w:rPr>
        <w:t xml:space="preserve">chandasīraḥ</w:t>
      </w:r>
      <w:r>
        <w:t xml:space="preserve">)</w:t>
      </w:r>
      <w:r>
        <w:t xml:space="preserve"> </w:t>
      </w:r>
      <w:r>
        <w:t xml:space="preserve">“</w:t>
      </w:r>
      <w:r>
        <w:t xml:space="preserve">matup</w:t>
      </w:r>
      <w:r>
        <w:t xml:space="preserve">”</w:t>
      </w:r>
      <w:r>
        <w:t xml:space="preserve"> </w:t>
      </w:r>
      <w:r>
        <w:t xml:space="preserve">gets</w:t>
      </w:r>
      <w:r>
        <w:t xml:space="preserve"> </w:t>
      </w:r>
      <w:r>
        <w:t xml:space="preserve">“</w:t>
      </w:r>
      <w:r>
        <w:t xml:space="preserve">va</w:t>
      </w:r>
      <w:r>
        <w:t xml:space="preserve">”</w:t>
      </w:r>
      <w:r>
        <w:t xml:space="preserve">; since</w:t>
      </w:r>
      <w:r>
        <w:t xml:space="preserve"> </w:t>
      </w:r>
      <w:r>
        <w:t xml:space="preserve">“</w:t>
      </w:r>
      <w:r>
        <w:t xml:space="preserve">matup</w:t>
      </w:r>
      <w:r>
        <w:t xml:space="preserve">”</w:t>
      </w:r>
      <w:r>
        <w:t xml:space="preserve"> </w:t>
      </w:r>
      <w:r>
        <w:t xml:space="preserve">and</w:t>
      </w:r>
      <w:r>
        <w:t xml:space="preserve"> </w:t>
      </w:r>
      <w:r>
        <w:t xml:space="preserve">“</w:t>
      </w:r>
      <w:r>
        <w:t xml:space="preserve">ṅīp</w:t>
      </w:r>
      <w:r>
        <w:t xml:space="preserve">”</w:t>
      </w:r>
      <w:r>
        <w:t xml:space="preserve"> </w:t>
      </w:r>
      <w:r>
        <w:t xml:space="preserve">are</w:t>
      </w:r>
      <w:r>
        <w:t xml:space="preserve"> </w:t>
      </w:r>
      <w:r>
        <w:t xml:space="preserve">“</w:t>
      </w:r>
      <w:r>
        <w:t xml:space="preserve">p</w:t>
      </w:r>
      <w:r>
        <w:t xml:space="preserve">”</w:t>
      </w:r>
      <w:r>
        <w:t xml:space="preserve">-marked and unaccented, only the</w:t>
      </w:r>
      <w:r>
        <w:t xml:space="preserve"> </w:t>
      </w:r>
      <w:r>
        <w:t xml:space="preserve">“</w:t>
      </w:r>
      <w:r>
        <w:t xml:space="preserve">ini</w:t>
      </w:r>
      <w:r>
        <w:t xml:space="preserve">”</w:t>
      </w:r>
      <w:r>
        <w:t xml:space="preserve"> </w:t>
      </w:r>
      <w:r>
        <w:t xml:space="preserve">affix’s first-syllable acute remains.</w:t>
      </w:r>
      <w:r>
        <w:t xml:space="preserve"> </w:t>
      </w:r>
      <w:r>
        <w:t xml:space="preserve">-</w:t>
      </w:r>
      <w:r>
        <w:t xml:space="preserve"> </w:t>
      </w:r>
      <w:r>
        <w:rPr>
          <w:bCs/>
          <w:b/>
        </w:rPr>
        <w:t xml:space="preserve">“</w:t>
      </w:r>
      <w:r>
        <w:rPr>
          <w:bCs/>
          <w:b/>
        </w:rPr>
        <w:t xml:space="preserve">Yajñam</w:t>
      </w:r>
      <w:r>
        <w:rPr>
          <w:bCs/>
          <w:b/>
        </w:rPr>
        <w:t xml:space="preserve">”</w:t>
      </w:r>
      <w:r>
        <w:t xml:space="preserve">: by</w:t>
      </w:r>
      <w:r>
        <w:t xml:space="preserve"> </w:t>
      </w:r>
      <w:r>
        <w:rPr>
          <w:bCs/>
          <w:b/>
        </w:rPr>
        <w:t xml:space="preserve">यजयाचयतविच्छप्रच्छरक्षो नङ्</w:t>
      </w:r>
      <w:r>
        <w:t xml:space="preserve"> </w:t>
      </w:r>
      <w:r>
        <w:t xml:space="preserve">(</w:t>
      </w:r>
      <w:r>
        <w:rPr>
          <w:iCs/>
          <w:i/>
        </w:rPr>
        <w:t xml:space="preserve">yaja-yāca-yata-vicchaprachcha-rakṣo naṅ</w:t>
      </w:r>
      <w:r>
        <w:t xml:space="preserve">, पा. ३-३-९०) the affix</w:t>
      </w:r>
      <w:r>
        <w:t xml:space="preserve"> </w:t>
      </w:r>
      <w:r>
        <w:t xml:space="preserve">“</w:t>
      </w:r>
      <w:r>
        <w:t xml:space="preserve">naṅ</w:t>
      </w:r>
      <w:r>
        <w:t xml:space="preserve">”</w:t>
      </w:r>
      <w:r>
        <w:t xml:space="preserve">; end-acute by the affix.</w:t>
      </w:r>
      <w:r>
        <w:t xml:space="preserve"> </w:t>
      </w:r>
      <w:r>
        <w:t xml:space="preserve">-</w:t>
      </w:r>
      <w:r>
        <w:t xml:space="preserve"> </w:t>
      </w:r>
      <w:r>
        <w:rPr>
          <w:bCs/>
          <w:b/>
        </w:rPr>
        <w:t xml:space="preserve">“</w:t>
      </w:r>
      <w:r>
        <w:rPr>
          <w:bCs/>
          <w:b/>
        </w:rPr>
        <w:t xml:space="preserve">Vaṣṭu</w:t>
      </w:r>
      <w:r>
        <w:rPr>
          <w:bCs/>
          <w:b/>
        </w:rPr>
        <w:t xml:space="preserve">”</w:t>
      </w:r>
      <w:r>
        <w:t xml:space="preserve">: root</w:t>
      </w:r>
      <w:r>
        <w:t xml:space="preserve"> </w:t>
      </w:r>
      <w:r>
        <w:t xml:space="preserve">“</w:t>
      </w:r>
      <w:r>
        <w:t xml:space="preserve">vaś kāntau</w:t>
      </w:r>
      <w:r>
        <w:t xml:space="preserve">”</w:t>
      </w:r>
      <w:r>
        <w:t xml:space="preserve"> </w:t>
      </w:r>
      <w:r>
        <w:t xml:space="preserve">(to desire;</w:t>
      </w:r>
      <w:r>
        <w:t xml:space="preserve"> </w:t>
      </w:r>
      <w:r>
        <w:t xml:space="preserve">“</w:t>
      </w:r>
      <w:r>
        <w:t xml:space="preserve">kānti</w:t>
      </w:r>
      <w:r>
        <w:t xml:space="preserve">”</w:t>
      </w:r>
      <w:r>
        <w:t xml:space="preserve"> </w:t>
      </w:r>
      <w:r>
        <w:t xml:space="preserve">= wish); by</w:t>
      </w:r>
      <w:r>
        <w:t xml:space="preserve"> </w:t>
      </w:r>
      <w:r>
        <w:rPr>
          <w:bCs/>
          <w:b/>
        </w:rPr>
        <w:t xml:space="preserve">आदिप्रभृतिभ्यः शपः</w:t>
      </w:r>
      <w:r>
        <w:t xml:space="preserve"> </w:t>
      </w:r>
      <w:r>
        <w:t xml:space="preserve">(</w:t>
      </w:r>
      <w:r>
        <w:rPr>
          <w:iCs/>
          <w:i/>
        </w:rPr>
        <w:t xml:space="preserve">ādi-prabhṛtibhyaḥ śapaḥ</w:t>
      </w:r>
      <w:r>
        <w:t xml:space="preserve">)</w:t>
      </w:r>
      <w:r>
        <w:t xml:space="preserve"> </w:t>
      </w:r>
      <w:r>
        <w:t xml:space="preserve">“</w:t>
      </w:r>
      <w:r>
        <w:t xml:space="preserve">śap</w:t>
      </w:r>
      <w:r>
        <w:t xml:space="preserve">”</w:t>
      </w:r>
      <w:r>
        <w:t xml:space="preserve"> </w:t>
      </w:r>
      <w:r>
        <w:t xml:space="preserve">is elided (luk); nighāta.</w:t>
      </w:r>
      <w:r>
        <w:t xml:space="preserve"> </w:t>
      </w:r>
      <w:r>
        <w:t xml:space="preserve">-</w:t>
      </w:r>
      <w:r>
        <w:t xml:space="preserve"> </w:t>
      </w:r>
      <w:r>
        <w:rPr>
          <w:bCs/>
          <w:b/>
        </w:rPr>
        <w:t xml:space="preserve">“</w:t>
      </w:r>
      <w:r>
        <w:rPr>
          <w:bCs/>
          <w:b/>
        </w:rPr>
        <w:t xml:space="preserve">Dhiyāvasuḥ</w:t>
      </w:r>
      <w:r>
        <w:rPr>
          <w:bCs/>
          <w:b/>
        </w:rPr>
        <w:t xml:space="preserve">”</w:t>
      </w:r>
      <w:r>
        <w:t xml:space="preserve">:</w:t>
      </w:r>
      <w:r>
        <w:t xml:space="preserve"> </w:t>
      </w:r>
      <w:r>
        <w:t xml:space="preserve">“</w:t>
      </w:r>
      <w:r>
        <w:t xml:space="preserve">dhiyā karmaṇā vasu yasyāḥ sakāśād bhavati sā dhiyāvasuḥ</w:t>
      </w:r>
      <w:r>
        <w:t xml:space="preserve">”</w:t>
      </w:r>
      <w:r>
        <w:t xml:space="preserve"> </w:t>
      </w:r>
      <w:r>
        <w:t xml:space="preserve">— she from whom wealth comes by ritual action; the case-ending is acute by</w:t>
      </w:r>
      <w:r>
        <w:t xml:space="preserve"> </w:t>
      </w:r>
      <w:r>
        <w:rPr>
          <w:bCs/>
          <w:b/>
        </w:rPr>
        <w:t xml:space="preserve">सावेकाचः</w:t>
      </w:r>
      <w:r>
        <w:t xml:space="preserve"> </w:t>
      </w:r>
      <w:r>
        <w:t xml:space="preserve">(</w:t>
      </w:r>
      <w:r>
        <w:rPr>
          <w:iCs/>
          <w:i/>
        </w:rPr>
        <w:t xml:space="preserve">sāv ekācaḥ</w:t>
      </w:r>
      <w:r>
        <w:t xml:space="preserve">); in a bahuvrīhi, by</w:t>
      </w:r>
      <w:r>
        <w:t xml:space="preserve"> </w:t>
      </w:r>
      <w:r>
        <w:rPr>
          <w:bCs/>
          <w:b/>
        </w:rPr>
        <w:t xml:space="preserve">बहुव्रीहौ प्रकृत्या पूर्वपदम्</w:t>
      </w:r>
      <w:r>
        <w:t xml:space="preserve"> </w:t>
      </w:r>
      <w:r>
        <w:t xml:space="preserve">(</w:t>
      </w:r>
      <w:r>
        <w:rPr>
          <w:iCs/>
          <w:i/>
        </w:rPr>
        <w:t xml:space="preserve">bahuvrīhau prakṛtyā pūrvapadam</w:t>
      </w:r>
      <w:r>
        <w:t xml:space="preserve">), the case-accent alone remains; the retention of the instrumental ending (a-luk) is Vedic.</w:t>
      </w:r>
    </w:p>
    <w:p>
      <w:pPr>
        <w:pStyle w:val="BodyText"/>
      </w:pPr>
      <w:r>
        <w:rPr>
          <w:bCs/>
          <w:b/>
        </w:rPr>
        <w:t xml:space="preserve">॥ Prati-padārthaḥ ॥</w:t>
      </w:r>
      <w:r>
        <w:t xml:space="preserve"> </w:t>
      </w:r>
      <w:r>
        <w:rPr>
          <w:iCs/>
          <w:i/>
        </w:rPr>
        <w:t xml:space="preserve">(Kannada, translated)</w:t>
      </w:r>
    </w:p>
    <w:p>
      <w:pPr>
        <w:pStyle w:val="BodyText"/>
      </w:pPr>
      <w:r>
        <w:rPr>
          <w:bCs/>
          <w:b/>
        </w:rPr>
        <w:t xml:space="preserve">पावका (pāvakā)</w:t>
      </w:r>
      <w:r>
        <w:t xml:space="preserve"> </w:t>
      </w:r>
      <w:r>
        <w:t xml:space="preserve">— one who purifies (people), or who cleanses |</w:t>
      </w:r>
      <w:r>
        <w:t xml:space="preserve"> </w:t>
      </w:r>
      <w:r>
        <w:rPr>
          <w:bCs/>
          <w:b/>
        </w:rPr>
        <w:t xml:space="preserve">वाजिनीवती (vājinīvatī)</w:t>
      </w:r>
      <w:r>
        <w:t xml:space="preserve"> </w:t>
      </w:r>
      <w:r>
        <w:t xml:space="preserve">— (to the people who praise) one who has food and sustenance and gives them |</w:t>
      </w:r>
      <w:r>
        <w:t xml:space="preserve"> </w:t>
      </w:r>
      <w:r>
        <w:rPr>
          <w:bCs/>
          <w:b/>
        </w:rPr>
        <w:t xml:space="preserve">धियावसुः (dhiyāvasuḥ)</w:t>
      </w:r>
      <w:r>
        <w:t xml:space="preserve"> </w:t>
      </w:r>
      <w:r>
        <w:t xml:space="preserve">— she who is the cause of wealth and the like, the fruit of sacrifice and the other rites |</w:t>
      </w:r>
      <w:r>
        <w:t xml:space="preserve"> </w:t>
      </w:r>
      <w:r>
        <w:rPr>
          <w:bCs/>
          <w:b/>
        </w:rPr>
        <w:t xml:space="preserve">सरस्वती (sarasvatī)</w:t>
      </w:r>
      <w:r>
        <w:t xml:space="preserve"> </w:t>
      </w:r>
      <w:r>
        <w:t xml:space="preserve">— the goddess Sarasvatī (the goddess of speech, or the river named Sarasvatī) |</w:t>
      </w:r>
      <w:r>
        <w:t xml:space="preserve"> </w:t>
      </w:r>
      <w:r>
        <w:rPr>
          <w:bCs/>
          <w:b/>
        </w:rPr>
        <w:t xml:space="preserve">नः (naḥ)</w:t>
      </w:r>
      <w:r>
        <w:t xml:space="preserve"> </w:t>
      </w:r>
      <w:r>
        <w:t xml:space="preserve">— our |</w:t>
      </w:r>
      <w:r>
        <w:t xml:space="preserve"> </w:t>
      </w:r>
      <w:r>
        <w:rPr>
          <w:bCs/>
          <w:b/>
        </w:rPr>
        <w:t xml:space="preserve">यज्ञम् (yajñam)</w:t>
      </w:r>
      <w:r>
        <w:t xml:space="preserve"> </w:t>
      </w:r>
      <w:r>
        <w:t xml:space="preserve">— the sacrifice |</w:t>
      </w:r>
      <w:r>
        <w:t xml:space="preserve"> </w:t>
      </w:r>
      <w:r>
        <w:rPr>
          <w:bCs/>
          <w:b/>
        </w:rPr>
        <w:t xml:space="preserve">वाजेभिः (vājebhiḥ)</w:t>
      </w:r>
      <w:r>
        <w:t xml:space="preserve"> </w:t>
      </w:r>
      <w:r>
        <w:t xml:space="preserve">— through the foods that take the form of the oblation |</w:t>
      </w:r>
      <w:r>
        <w:t xml:space="preserve"> </w:t>
      </w:r>
      <w:r>
        <w:rPr>
          <w:bCs/>
          <w:b/>
        </w:rPr>
        <w:t xml:space="preserve">वष्टु (vaṣṭu)</w:t>
      </w:r>
      <w:r>
        <w:t xml:space="preserve"> </w:t>
      </w:r>
      <w:r>
        <w:t xml:space="preserve">— let her desire (let her bring the sacrifice to completion, with all its parts).</w:t>
      </w:r>
    </w:p>
    <w:p>
      <w:pPr>
        <w:pStyle w:val="BodyText"/>
      </w:pPr>
      <w:r>
        <w:rPr>
          <w:bCs/>
          <w:b/>
        </w:rPr>
        <w:t xml:space="preserve">॥ Bhāvārthaḥ ॥</w:t>
      </w:r>
      <w:r>
        <w:t xml:space="preserve"> </w:t>
      </w:r>
      <w:r>
        <w:rPr>
          <w:iCs/>
          <w:i/>
        </w:rPr>
        <w:t xml:space="preserve">(Kannada, translated)</w:t>
      </w:r>
    </w:p>
    <w:p>
      <w:pPr>
        <w:pStyle w:val="BodyText"/>
      </w:pPr>
      <w:r>
        <w:t xml:space="preserve">The goddess Sarasvatī is the purifier of people; she gives food and the like to the people who worship her by sacrifice and the like; and she is the cause of the attainment of lordship in the form of wealth. May such a Sarasvatī, satisfied with the foods and the like, in the form of the oblation that we give, bring our sacrifice to its full completion.</w:t>
      </w:r>
    </w:p>
    <w:p>
      <w:pPr>
        <w:pStyle w:val="BodyText"/>
      </w:pPr>
      <w:r>
        <w:rPr>
          <w:bCs/>
          <w:b/>
        </w:rPr>
        <w:t xml:space="preserve">English Translation</w:t>
      </w:r>
      <w:r>
        <w:t xml:space="preserve"> </w:t>
      </w:r>
      <w:r>
        <w:rPr>
          <w:iCs/>
          <w:i/>
        </w:rPr>
        <w:t xml:space="preserve">(printed in English in the source itself):</w:t>
      </w:r>
    </w:p>
    <w:p>
      <w:pPr>
        <w:pStyle w:val="BodyText"/>
      </w:pPr>
      <w:r>
        <w:t xml:space="preserve">“</w:t>
      </w:r>
      <w:r>
        <w:t xml:space="preserve">May Saraswati, the purifier, the bestower of food, recompenser of worships with wealth, be attracted to our rite by our offer of sacrificial food.</w:t>
      </w:r>
      <w:r>
        <w:t xml:space="preserve">”</w:t>
      </w:r>
    </w:p>
    <w:bookmarkEnd w:id="92"/>
    <w:bookmarkStart w:id="93" w:name="Xff43858c70c97c685f8d26e2228f00c432683f2"/>
    <w:p>
      <w:pPr>
        <w:pStyle w:val="Heading3"/>
      </w:pPr>
      <w:r>
        <w:t xml:space="preserve">Page 66 — Special topics on Rik 3.10: the Sārasvata tṛca; the Anvārambhaṇīyā sacrifice</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1, Sūkta 3.</w:t>
      </w:r>
      <w:r>
        <w:rPr>
          <w:iCs/>
          <w:i/>
        </w:rPr>
        <w:t xml:space="preserve">”</w:t>
      </w:r>
      <w:r>
        <w:rPr>
          <w:iCs/>
          <w:i/>
        </w:rPr>
        <w:t xml:space="preserve"> </w:t>
      </w:r>
      <w:r>
        <w:rPr>
          <w:iCs/>
          <w:i/>
        </w:rPr>
        <w:t xml:space="preserve">Reference-numbers in small Kannada numerals read as best I can; [?] where uncertain.)</w:t>
      </w:r>
    </w:p>
    <w:p>
      <w:pPr>
        <w:pStyle w:val="BodyText"/>
      </w:pPr>
      <w:r>
        <w:rPr>
          <w:bCs/>
          <w:b/>
        </w:rPr>
        <w:t xml:space="preserve">॥ Viśeṣa-viṣayagaḷu (Special Topics) ॥</w:t>
      </w:r>
    </w:p>
    <w:p>
      <w:pPr>
        <w:pStyle w:val="BodyText"/>
      </w:pPr>
      <w:r>
        <w:t xml:space="preserve">This Ṛk,</w:t>
      </w:r>
      <w:r>
        <w:t xml:space="preserve"> </w:t>
      </w:r>
      <w:r>
        <w:t xml:space="preserve">“</w:t>
      </w:r>
      <w:r>
        <w:t xml:space="preserve">pāvakā naḥ,</w:t>
      </w:r>
      <w:r>
        <w:t xml:space="preserve">”</w:t>
      </w:r>
      <w:r>
        <w:t xml:space="preserve"> </w:t>
      </w:r>
      <w:r>
        <w:t xml:space="preserve">together with the following two Ṛks, form the</w:t>
      </w:r>
      <w:r>
        <w:t xml:space="preserve"> </w:t>
      </w:r>
      <w:r>
        <w:rPr>
          <w:bCs/>
          <w:b/>
        </w:rPr>
        <w:t xml:space="preserve">“</w:t>
      </w:r>
      <w:r>
        <w:rPr>
          <w:bCs/>
          <w:b/>
        </w:rPr>
        <w:t xml:space="preserve">sārasvata-tṛcaḥ,</w:t>
      </w:r>
      <w:r>
        <w:rPr>
          <w:bCs/>
          <w:b/>
        </w:rPr>
        <w:t xml:space="preserve">”</w:t>
      </w:r>
      <w:r>
        <w:t xml:space="preserve"> </w:t>
      </w:r>
      <w:r>
        <w:t xml:space="preserve">that is, three Ṛks that relate to Sarasvatī. Of these three Ṛks, the first,</w:t>
      </w:r>
      <w:r>
        <w:t xml:space="preserve"> </w:t>
      </w:r>
      <w:r>
        <w:t xml:space="preserve">“</w:t>
      </w:r>
      <w:r>
        <w:t xml:space="preserve">pāvakā naḥ,</w:t>
      </w:r>
      <w:r>
        <w:t xml:space="preserve">”</w:t>
      </w:r>
      <w:r>
        <w:t xml:space="preserve"> </w:t>
      </w:r>
      <w:r>
        <w:t xml:space="preserve">is the</w:t>
      </w:r>
      <w:r>
        <w:t xml:space="preserve"> </w:t>
      </w:r>
      <w:r>
        <w:t xml:space="preserve">“</w:t>
      </w:r>
      <w:r>
        <w:rPr>
          <w:bCs/>
          <w:b/>
        </w:rPr>
        <w:t xml:space="preserve">puronuvākyā</w:t>
      </w:r>
      <w:r>
        <w:t xml:space="preserve">”</w:t>
      </w:r>
      <w:r>
        <w:t xml:space="preserve"> </w:t>
      </w:r>
      <w:r>
        <w:t xml:space="preserve">mantra for invoking Sarasvatī in the special sacrificial offering called the</w:t>
      </w:r>
      <w:r>
        <w:t xml:space="preserve"> </w:t>
      </w:r>
      <w:r>
        <w:rPr>
          <w:bCs/>
          <w:b/>
        </w:rPr>
        <w:t xml:space="preserve">Anvārambhaṇīyeṣṭi</w:t>
      </w:r>
      <w:r>
        <w:t xml:space="preserve">. In a sacrifice, when oblation is made to any god, two Ṛks are used; both must relate to that deity. With the first Ṛk — recited aloud — the deity is invoked; this Ṛk is called</w:t>
      </w:r>
      <w:r>
        <w:t xml:space="preserve"> </w:t>
      </w:r>
      <w:r>
        <w:t xml:space="preserve">“</w:t>
      </w:r>
      <w:r>
        <w:t xml:space="preserve">puronuvākyā.</w:t>
      </w:r>
      <w:r>
        <w:t xml:space="preserve">”</w:t>
      </w:r>
      <w:r>
        <w:t xml:space="preserve"> </w:t>
      </w:r>
      <w:r>
        <w:t xml:space="preserve">With another Ṛk the oblation is made to that deity; this mantra is called</w:t>
      </w:r>
      <w:r>
        <w:t xml:space="preserve"> </w:t>
      </w:r>
      <w:r>
        <w:t xml:space="preserve">“</w:t>
      </w:r>
      <w:r>
        <w:rPr>
          <w:bCs/>
          <w:b/>
        </w:rPr>
        <w:t xml:space="preserve">yājyā</w:t>
      </w:r>
      <w:r>
        <w:t xml:space="preserve">.</w:t>
      </w:r>
      <w:r>
        <w:t xml:space="preserve">”</w:t>
      </w:r>
      <w:r>
        <w:t xml:space="preserve"> </w:t>
      </w:r>
      <w:r>
        <w:t xml:space="preserve">Likewise, in the Anvārambhaṇīyeṣṭi both Ṛks,</w:t>
      </w:r>
      <w:r>
        <w:t xml:space="preserve"> </w:t>
      </w:r>
      <w:r>
        <w:t xml:space="preserve">“</w:t>
      </w:r>
      <w:r>
        <w:t xml:space="preserve">puronuvākyā</w:t>
      </w:r>
      <w:r>
        <w:t xml:space="preserve">”</w:t>
      </w:r>
      <w:r>
        <w:t xml:space="preserve"> </w:t>
      </w:r>
      <w:r>
        <w:t xml:space="preserve">and</w:t>
      </w:r>
      <w:r>
        <w:t xml:space="preserve"> </w:t>
      </w:r>
      <w:r>
        <w:t xml:space="preserve">“</w:t>
      </w:r>
      <w:r>
        <w:t xml:space="preserve">yājyā,</w:t>
      </w:r>
      <w:r>
        <w:t xml:space="preserve">”</w:t>
      </w:r>
      <w:r>
        <w:t xml:space="preserve"> </w:t>
      </w:r>
      <w:r>
        <w:t xml:space="preserve">are used. This matter the great sage</w:t>
      </w:r>
      <w:r>
        <w:t xml:space="preserve"> </w:t>
      </w:r>
      <w:r>
        <w:rPr>
          <w:bCs/>
          <w:b/>
        </w:rPr>
        <w:t xml:space="preserve">Āśvalāyana</w:t>
      </w:r>
      <w:r>
        <w:t xml:space="preserve"> </w:t>
      </w:r>
      <w:r>
        <w:t xml:space="preserve">has stated thus in his Śrauta-sūtra (Āśv. Śrau. Sū. 2-8), in the section beginning</w:t>
      </w:r>
      <w:r>
        <w:t xml:space="preserve"> </w:t>
      </w:r>
      <w:r>
        <w:t xml:space="preserve">“</w:t>
      </w:r>
      <w:r>
        <w:rPr>
          <w:bCs/>
          <w:b/>
        </w:rPr>
        <w:t xml:space="preserve">darśapūrṇamāsārapsyamāna</w:t>
      </w:r>
      <w:r>
        <w:t xml:space="preserve">”</w:t>
      </w:r>
      <w:r>
        <w:t xml:space="preserve">:</w:t>
      </w:r>
    </w:p>
    <w:p>
      <w:pPr>
        <w:pStyle w:val="BlockText"/>
      </w:pPr>
      <w:r>
        <w:t xml:space="preserve">पावका नः सरस्वती पावीरवी कन्या चित्रायुः । (आश्व. २-८)</w:t>
      </w:r>
      <w:r>
        <w:t xml:space="preserve"> </w:t>
      </w:r>
      <w:r>
        <w:rPr>
          <w:iCs/>
          <w:i/>
        </w:rPr>
        <w:t xml:space="preserve">pāvakā naḥ sarasvatī pāvīravī kanyā citrāyuḥ | (āśv. 2-8)</w:t>
      </w:r>
      <w:r>
        <w:t xml:space="preserve"> </w:t>
      </w:r>
      <w:r>
        <w:t xml:space="preserve">Gloss:</w:t>
      </w:r>
      <w:r>
        <w:t xml:space="preserve"> </w:t>
      </w:r>
      <w:r>
        <w:t xml:space="preserve">“</w:t>
      </w:r>
      <w:r>
        <w:t xml:space="preserve">‘</w:t>
      </w:r>
      <w:r>
        <w:t xml:space="preserve">Pāvakā naḥ sarasvatī</w:t>
      </w:r>
      <w:r>
        <w:t xml:space="preserve">’</w:t>
      </w:r>
      <w:r>
        <w:t xml:space="preserve"> </w:t>
      </w:r>
      <w:r>
        <w:t xml:space="preserve">and</w:t>
      </w:r>
      <w:r>
        <w:t xml:space="preserve"> </w:t>
      </w:r>
      <w:r>
        <w:t xml:space="preserve">‘</w:t>
      </w:r>
      <w:r>
        <w:t xml:space="preserve">pāvīravī kanyā citrāyuḥ</w:t>
      </w:r>
      <w:r>
        <w:t xml:space="preserve">’</w:t>
      </w:r>
      <w:r>
        <w:t xml:space="preserve">.</w:t>
      </w:r>
      <w:r>
        <w:t xml:space="preserve">”</w:t>
      </w:r>
      <w:r>
        <w:t xml:space="preserve"> </w:t>
      </w:r>
      <w:r>
        <w:rPr>
          <w:iCs/>
          <w:i/>
        </w:rPr>
        <w:t xml:space="preserve">(The sūtra simply names the two Ṛks to be used.)</w:t>
      </w:r>
    </w:p>
    <w:p>
      <w:pPr>
        <w:pStyle w:val="FirstParagraph"/>
      </w:pPr>
      <w:r>
        <w:t xml:space="preserve">Before performing this Anvārambhaṇīyeṣṭi and the Darśapūrṇamāsa sacrifice, the sacrificer must first perform the rites called</w:t>
      </w:r>
      <w:r>
        <w:t xml:space="preserve"> </w:t>
      </w:r>
      <w:r>
        <w:rPr>
          <w:bCs/>
          <w:b/>
        </w:rPr>
        <w:t xml:space="preserve">puṇyāhavācana, nāndīśrāddha</w:t>
      </w:r>
      <w:r>
        <w:t xml:space="preserve"> </w:t>
      </w:r>
      <w:r>
        <w:t xml:space="preserve">and</w:t>
      </w:r>
      <w:r>
        <w:t xml:space="preserve"> </w:t>
      </w:r>
      <w:r>
        <w:rPr>
          <w:bCs/>
          <w:b/>
        </w:rPr>
        <w:t xml:space="preserve">udakaśānti</w:t>
      </w:r>
      <w:r>
        <w:t xml:space="preserve">, tie a thread called</w:t>
      </w:r>
      <w:r>
        <w:t xml:space="preserve"> </w:t>
      </w:r>
      <w:r>
        <w:rPr>
          <w:bCs/>
          <w:b/>
        </w:rPr>
        <w:t xml:space="preserve">pratisara</w:t>
      </w:r>
      <w:r>
        <w:t xml:space="preserve"> </w:t>
      </w:r>
      <w:r>
        <w:t xml:space="preserve">on his wife’s hand, and then, on the day following, after performing the daily rites such as bathing, he must make the resolution:</w:t>
      </w:r>
      <w:r>
        <w:t xml:space="preserve"> </w:t>
      </w:r>
      <w:r>
        <w:t xml:space="preserve">“</w:t>
      </w:r>
      <w:r>
        <w:rPr>
          <w:bCs/>
          <w:b/>
        </w:rPr>
        <w:t xml:space="preserve">yāvajjīvaṃ darśapūrṇamāsābhyāṃ yakṣye</w:t>
      </w:r>
      <w:r>
        <w:t xml:space="preserve">”</w:t>
      </w:r>
      <w:r>
        <w:t xml:space="preserve"> </w:t>
      </w:r>
      <w:r>
        <w:t xml:space="preserve">(यावज्जीवं दर्शपूर्णमासाभ्यां यक्ष्ये —</w:t>
      </w:r>
      <w:r>
        <w:t xml:space="preserve"> </w:t>
      </w:r>
      <w:r>
        <w:rPr>
          <w:iCs/>
          <w:i/>
        </w:rPr>
        <w:t xml:space="preserve">yāvaj-jīvaṃ darśa-pūrṇamāsābhyāṃ yakṣye</w:t>
      </w:r>
      <w:r>
        <w:t xml:space="preserve"> </w:t>
      </w:r>
      <w:r>
        <w:t xml:space="preserve">—</w:t>
      </w:r>
      <w:r>
        <w:t xml:space="preserve"> </w:t>
      </w:r>
      <w:r>
        <w:t xml:space="preserve">“</w:t>
      </w:r>
      <w:r>
        <w:t xml:space="preserve">as long as I live I shall sacrifice with the new-moon and full-moon sacrifices</w:t>
      </w:r>
      <w:r>
        <w:t xml:space="preserve">”</w:t>
      </w:r>
      <w:r>
        <w:t xml:space="preserve">). Next he makes the resolution</w:t>
      </w:r>
      <w:r>
        <w:t xml:space="preserve"> </w:t>
      </w:r>
      <w:r>
        <w:t xml:space="preserve">“</w:t>
      </w:r>
      <w:r>
        <w:rPr>
          <w:bCs/>
          <w:b/>
        </w:rPr>
        <w:t xml:space="preserve">anvārambhaṇīyayā yakṣye</w:t>
      </w:r>
      <w:r>
        <w:t xml:space="preserve">”</w:t>
      </w:r>
      <w:r>
        <w:t xml:space="preserve"> </w:t>
      </w:r>
      <w:r>
        <w:t xml:space="preserve">(अन्वारम्भणीयया यक्ष्ये —</w:t>
      </w:r>
      <w:r>
        <w:t xml:space="preserve"> </w:t>
      </w:r>
      <w:r>
        <w:t xml:space="preserve">“</w:t>
      </w:r>
      <w:r>
        <w:t xml:space="preserve">I shall sacrifice with the anvārambhaṇīyā</w:t>
      </w:r>
      <w:r>
        <w:t xml:space="preserve">”</w:t>
      </w:r>
      <w:r>
        <w:t xml:space="preserve">) and must perform the rite called</w:t>
      </w:r>
      <w:r>
        <w:t xml:space="preserve"> </w:t>
      </w:r>
      <w:r>
        <w:rPr>
          <w:bCs/>
          <w:b/>
        </w:rPr>
        <w:t xml:space="preserve">agnyanayana</w:t>
      </w:r>
      <w:r>
        <w:t xml:space="preserve"> </w:t>
      </w:r>
      <w:r>
        <w:t xml:space="preserve">— bringing in the fire from the Gārhapatya fire by the</w:t>
      </w:r>
      <w:r>
        <w:t xml:space="preserve"> </w:t>
      </w:r>
      <w:r>
        <w:t xml:space="preserve">“</w:t>
      </w:r>
      <w:r>
        <w:t xml:space="preserve">agni-viharaṇa.</w:t>
      </w:r>
      <w:r>
        <w:t xml:space="preserve">”</w:t>
      </w:r>
      <w:r>
        <w:t xml:space="preserve"> </w:t>
      </w:r>
      <w:r>
        <w:t xml:space="preserve">Then, in speaking of the</w:t>
      </w:r>
      <w:r>
        <w:t xml:space="preserve"> </w:t>
      </w:r>
      <w:r>
        <w:t xml:space="preserve">“</w:t>
      </w:r>
      <w:r>
        <w:t xml:space="preserve">anvādhāna,</w:t>
      </w:r>
      <w:r>
        <w:t xml:space="preserve">”</w:t>
      </w:r>
      <w:r>
        <w:t xml:space="preserve"> </w:t>
      </w:r>
      <w:r>
        <w:t xml:space="preserve">the chief (</w:t>
      </w:r>
      <w:r>
        <w:t xml:space="preserve">“</w:t>
      </w:r>
      <w:r>
        <w:t xml:space="preserve">pradhāna</w:t>
      </w:r>
      <w:r>
        <w:t xml:space="preserve">”</w:t>
      </w:r>
      <w:r>
        <w:t xml:space="preserve">) oblation is made to the principal deities</w:t>
      </w:r>
      <w:r>
        <w:t xml:space="preserve"> </w:t>
      </w:r>
      <w:r>
        <w:rPr>
          <w:bCs/>
          <w:b/>
        </w:rPr>
        <w:t xml:space="preserve">Agnāviṣṇū, Sarasvatī, Sarasvān, and Agnir-bhagī</w:t>
      </w:r>
      <w:r>
        <w:t xml:space="preserve"> </w:t>
      </w:r>
      <w:r>
        <w:t xml:space="preserve">(the last name as printed; I am not sure of it). The offering-materials are: for Agnāviṣṇū,</w:t>
      </w:r>
      <w:r>
        <w:t xml:space="preserve"> </w:t>
      </w:r>
      <w:r>
        <w:t xml:space="preserve">“</w:t>
      </w:r>
      <w:r>
        <w:t xml:space="preserve">ekādaśa-kapāla puroḍāśa</w:t>
      </w:r>
      <w:r>
        <w:t xml:space="preserve">”</w:t>
      </w:r>
      <w:r>
        <w:t xml:space="preserve"> </w:t>
      </w:r>
      <w:r>
        <w:t xml:space="preserve">(a cake on eleven potsherds); for the deity Sarasvatī, a</w:t>
      </w:r>
      <w:r>
        <w:t xml:space="preserve"> </w:t>
      </w:r>
      <w:r>
        <w:t xml:space="preserve">“</w:t>
      </w:r>
      <w:r>
        <w:t xml:space="preserve">caru</w:t>
      </w:r>
      <w:r>
        <w:t xml:space="preserve">”</w:t>
      </w:r>
      <w:r>
        <w:t xml:space="preserve"> </w:t>
      </w:r>
      <w:r>
        <w:t xml:space="preserve">(cooked rice-offering); for Sarasvān, a</w:t>
      </w:r>
      <w:r>
        <w:t xml:space="preserve"> </w:t>
      </w:r>
      <w:r>
        <w:t xml:space="preserve">“</w:t>
      </w:r>
      <w:r>
        <w:t xml:space="preserve">dvādaśa-kapāla puroḍāśa</w:t>
      </w:r>
      <w:r>
        <w:t xml:space="preserve">”</w:t>
      </w:r>
      <w:r>
        <w:t xml:space="preserve"> </w:t>
      </w:r>
      <w:r>
        <w:t xml:space="preserve">(twelve potsherds); and for the deity</w:t>
      </w:r>
      <w:r>
        <w:t xml:space="preserve"> </w:t>
      </w:r>
      <w:r>
        <w:t xml:space="preserve">“</w:t>
      </w:r>
      <w:r>
        <w:t xml:space="preserve">Agnir-bhagī,</w:t>
      </w:r>
      <w:r>
        <w:t xml:space="preserve">”</w:t>
      </w:r>
      <w:r>
        <w:t xml:space="preserve"> </w:t>
      </w:r>
      <w:r>
        <w:t xml:space="preserve">an</w:t>
      </w:r>
      <w:r>
        <w:t xml:space="preserve"> </w:t>
      </w:r>
      <w:r>
        <w:t xml:space="preserve">“</w:t>
      </w:r>
      <w:r>
        <w:t xml:space="preserve">aṣṭādaśa-kapāla puroḍāśa</w:t>
      </w:r>
      <w:r>
        <w:t xml:space="preserve">”</w:t>
      </w:r>
      <w:r>
        <w:t xml:space="preserve"> </w:t>
      </w:r>
      <w:r>
        <w:t xml:space="preserve">(eighteen potsherds). The</w:t>
      </w:r>
      <w:r>
        <w:t xml:space="preserve"> </w:t>
      </w:r>
      <w:r>
        <w:t xml:space="preserve">“</w:t>
      </w:r>
      <w:r>
        <w:t xml:space="preserve">puronuvākyā</w:t>
      </w:r>
      <w:r>
        <w:t xml:space="preserve">”</w:t>
      </w:r>
      <w:r>
        <w:t xml:space="preserve"> </w:t>
      </w:r>
      <w:r>
        <w:t xml:space="preserve">and</w:t>
      </w:r>
      <w:r>
        <w:t xml:space="preserve"> </w:t>
      </w:r>
      <w:r>
        <w:t xml:space="preserve">“</w:t>
      </w:r>
      <w:r>
        <w:t xml:space="preserve">yājyā</w:t>
      </w:r>
      <w:r>
        <w:t xml:space="preserve">”</w:t>
      </w:r>
      <w:r>
        <w:t xml:space="preserve"> </w:t>
      </w:r>
      <w:r>
        <w:t xml:space="preserve">mantras used when making oblation to these deities are these:</w:t>
      </w:r>
    </w:p>
    <w:p>
      <w:pPr>
        <w:pStyle w:val="BlockText"/>
      </w:pPr>
      <w:r>
        <w:rPr>
          <w:bCs/>
          <w:b/>
        </w:rPr>
        <w:t xml:space="preserve">अग्नाविष्णू</w:t>
      </w:r>
      <w:r>
        <w:t xml:space="preserve"> </w:t>
      </w:r>
      <w:r>
        <w:t xml:space="preserve">— अग्नाविष्णू सजोषसा (पुरोनुवाक्या) · अग्नाविष्णू महि धाम (याज्या)</w:t>
      </w:r>
      <w:r>
        <w:t xml:space="preserve"> </w:t>
      </w:r>
      <w:r>
        <w:rPr>
          <w:iCs/>
          <w:i/>
        </w:rPr>
        <w:t xml:space="preserve">agnāviṣṇū — agnāviṣṇū sajoṣasā (puronuvākyā) · agnāviṣṇū mahi dhāma (yājyā)</w:t>
      </w:r>
      <w:r>
        <w:t xml:space="preserve"> </w:t>
      </w:r>
      <w:r>
        <w:rPr>
          <w:bCs/>
          <w:b/>
        </w:rPr>
        <w:t xml:space="preserve">सरस्वती</w:t>
      </w:r>
      <w:r>
        <w:t xml:space="preserve"> </w:t>
      </w:r>
      <w:r>
        <w:t xml:space="preserve">— पावकानः सरस्वती (पुरोनुवाक्या) ऋ. सं. १-३-१० · पावीरवीकन्या (याज्या) ऋ. सं. ६-४९-७</w:t>
      </w:r>
      <w:r>
        <w:t xml:space="preserve"> </w:t>
      </w:r>
      <w:r>
        <w:rPr>
          <w:iCs/>
          <w:i/>
        </w:rPr>
        <w:t xml:space="preserve">sarasvatī — pāvakā naḥ sarasvatī (puronuvākyā) ṛ. saṃ. 1-3-10 · pāvīravī kanyā (yājyā) ṛ. saṃ. 6-49-7</w:t>
      </w:r>
      <w:r>
        <w:t xml:space="preserve"> </w:t>
      </w:r>
      <w:r>
        <w:rPr>
          <w:bCs/>
          <w:b/>
        </w:rPr>
        <w:t xml:space="preserve">सरस्वान्</w:t>
      </w:r>
      <w:r>
        <w:t xml:space="preserve"> </w:t>
      </w:r>
      <w:r>
        <w:t xml:space="preserve">— पीपिवांसं सरस्वतः (पुरोनुवाक्या) ऋ. सं. ७-९६-६ · दिव्यं सुपर्णं वायसम् (याज्या) ऋ. सं. १-१५४-२</w:t>
      </w:r>
      <w:r>
        <w:t xml:space="preserve"> </w:t>
      </w:r>
      <w:r>
        <w:rPr>
          <w:iCs/>
          <w:i/>
        </w:rPr>
        <w:t xml:space="preserve">sarasvān — pīpivāṃsaṃ sarasvataḥ (puronuvākyā) ṛ. saṃ. 7-96-6 · divyaṃ suparṇaṃ vāyasam (yājyā) ṛ. saṃ. 1-154-2</w:t>
      </w:r>
      <w:r>
        <w:t xml:space="preserve"> </w:t>
      </w:r>
      <w:r>
        <w:t xml:space="preserve">Gloss (mine):</w:t>
      </w:r>
      <w:r>
        <w:t xml:space="preserve"> </w:t>
      </w:r>
      <w:r>
        <w:t xml:space="preserve">“</w:t>
      </w:r>
      <w:r>
        <w:t xml:space="preserve">Agnā-Viṣṇū:</w:t>
      </w:r>
      <w:r>
        <w:t xml:space="preserve"> </w:t>
      </w:r>
      <w:r>
        <w:t xml:space="preserve">‘</w:t>
      </w:r>
      <w:r>
        <w:t xml:space="preserve">Agni and Viṣṇu, of one mind…</w:t>
      </w:r>
      <w:r>
        <w:t xml:space="preserve">’</w:t>
      </w:r>
      <w:r>
        <w:t xml:space="preserve"> </w:t>
      </w:r>
      <w:r>
        <w:t xml:space="preserve">/</w:t>
      </w:r>
      <w:r>
        <w:t xml:space="preserve"> </w:t>
      </w:r>
      <w:r>
        <w:t xml:space="preserve">‘</w:t>
      </w:r>
      <w:r>
        <w:t xml:space="preserve">Agni and Viṣṇu, the great abode…</w:t>
      </w:r>
      <w:r>
        <w:t xml:space="preserve">’</w:t>
      </w:r>
      <w:r>
        <w:t xml:space="preserve">; Sarasvatī:</w:t>
      </w:r>
      <w:r>
        <w:t xml:space="preserve"> </w:t>
      </w:r>
      <w:r>
        <w:t xml:space="preserve">‘</w:t>
      </w:r>
      <w:r>
        <w:t xml:space="preserve">Our purifier Sarasvatī…</w:t>
      </w:r>
      <w:r>
        <w:t xml:space="preserve">’</w:t>
      </w:r>
      <w:r>
        <w:t xml:space="preserve"> </w:t>
      </w:r>
      <w:r>
        <w:t xml:space="preserve">/</w:t>
      </w:r>
      <w:r>
        <w:t xml:space="preserve"> </w:t>
      </w:r>
      <w:r>
        <w:t xml:space="preserve">‘</w:t>
      </w:r>
      <w:r>
        <w:t xml:space="preserve">The purifier, the maiden…</w:t>
      </w:r>
      <w:r>
        <w:t xml:space="preserve">’</w:t>
      </w:r>
      <w:r>
        <w:t xml:space="preserve">; Sarasvān:</w:t>
      </w:r>
      <w:r>
        <w:t xml:space="preserve"> </w:t>
      </w:r>
      <w:r>
        <w:t xml:space="preserve">‘</w:t>
      </w:r>
      <w:r>
        <w:t xml:space="preserve">Sarasvān who is full of [waters]…</w:t>
      </w:r>
      <w:r>
        <w:t xml:space="preserve">’</w:t>
      </w:r>
      <w:r>
        <w:t xml:space="preserve"> </w:t>
      </w:r>
      <w:r>
        <w:t xml:space="preserve">/</w:t>
      </w:r>
      <w:r>
        <w:t xml:space="preserve"> </w:t>
      </w:r>
      <w:r>
        <w:t xml:space="preserve">‘</w:t>
      </w:r>
      <w:r>
        <w:t xml:space="preserve">The divine, fair-winged bird…</w:t>
      </w:r>
      <w:r>
        <w:t xml:space="preserve">’</w:t>
      </w:r>
      <w:r>
        <w:t xml:space="preserve">.</w:t>
      </w:r>
      <w:r>
        <w:t xml:space="preserve">”</w:t>
      </w:r>
      <w:r>
        <w:t xml:space="preserve"> </w:t>
      </w:r>
      <w:r>
        <w:t xml:space="preserve">[tentative; the print gives only the opening words]</w:t>
      </w:r>
    </w:p>
    <w:p>
      <w:pPr>
        <w:pStyle w:val="FirstParagraph"/>
      </w:pPr>
      <w:r>
        <w:rPr>
          <w:iCs/>
          <w:i/>
        </w:rPr>
        <w:t xml:space="preserve">(The page continues on p. 67 with the remaining oblations.)</w:t>
      </w:r>
    </w:p>
    <w:bookmarkEnd w:id="93"/>
    <w:bookmarkStart w:id="94" w:name="X2dfef0eca5701dc784908f49eda52c64ef018be"/>
    <w:p>
      <w:pPr>
        <w:pStyle w:val="Heading3"/>
      </w:pPr>
      <w:r>
        <w:t xml:space="preserve">Page 67 — The Anvārambhaṇīyā mantras (concluded);</w:t>
      </w:r>
      <w:r>
        <w:t xml:space="preserve"> </w:t>
      </w:r>
      <w:r>
        <w:t xml:space="preserve">“</w:t>
      </w:r>
      <w:r>
        <w:t xml:space="preserve">pāvakā</w:t>
      </w:r>
      <w:r>
        <w:t xml:space="preserve">”</w:t>
      </w:r>
      <w:r>
        <w:t xml:space="preserve"> </w:t>
      </w:r>
      <w:r>
        <w:t xml:space="preserve">and its use for different deities</w:t>
      </w:r>
    </w:p>
    <w:p>
      <w:pPr>
        <w:pStyle w:val="FirstParagraph"/>
      </w:pPr>
      <w:r>
        <w:rPr>
          <w:iCs/>
          <w:i/>
        </w:rPr>
        <w:t xml:space="preserve">(Page header:</w:t>
      </w:r>
      <w:r>
        <w:rPr>
          <w:iCs/>
          <w:i/>
        </w:rPr>
        <w:t xml:space="preserve"> </w:t>
      </w:r>
      <w:r>
        <w:rPr>
          <w:iCs/>
          <w:i/>
        </w:rPr>
        <w:t xml:space="preserve">“</w:t>
      </w:r>
      <w:r>
        <w:rPr>
          <w:iCs/>
          <w:i/>
        </w:rPr>
        <w:t xml:space="preserve">Aṣṭaka 1, Adhyāya 1, Varga 6 · Ṛgveda-saṃhitā.</w:t>
      </w:r>
      <w:r>
        <w:rPr>
          <w:iCs/>
          <w:i/>
        </w:rPr>
        <w:t xml:space="preserve">”</w:t>
      </w:r>
      <w:r>
        <w:rPr>
          <w:iCs/>
          <w:i/>
        </w:rPr>
        <w:t xml:space="preserve"> </w:t>
      </w:r>
      <w:r>
        <w:rPr>
          <w:iCs/>
          <w:i/>
        </w:rPr>
        <w:t xml:space="preserve">Reference-numbers in small Kannada numerals; [?] where I am unsure of a digit. Glosses are mine and tentative.)</w:t>
      </w:r>
    </w:p>
    <w:p>
      <w:pPr>
        <w:pStyle w:val="BodyText"/>
      </w:pPr>
      <w:r>
        <w:rPr>
          <w:iCs/>
          <w:i/>
        </w:rPr>
        <w:t xml:space="preserve">(Continuing the list of puronuvākyā/yājyā mantras from p. 66:)</w:t>
      </w:r>
    </w:p>
    <w:p>
      <w:pPr>
        <w:pStyle w:val="BlockText"/>
      </w:pPr>
      <w:r>
        <w:rPr>
          <w:bCs/>
          <w:b/>
        </w:rPr>
        <w:t xml:space="preserve">अग्निर्भगी</w:t>
      </w:r>
      <w:r>
        <w:t xml:space="preserve"> </w:t>
      </w:r>
      <w:r>
        <w:t xml:space="preserve">— आसवं सवितुः (पुरोनुवाक्या) ऋ. सं. ८-१०२-६ · स नो राधांस्या भर (याज्या) ऋ. सं. ७-१५-११</w:t>
      </w:r>
      <w:r>
        <w:t xml:space="preserve"> </w:t>
      </w:r>
      <w:r>
        <w:rPr>
          <w:iCs/>
          <w:i/>
        </w:rPr>
        <w:t xml:space="preserve">agnir-bhagī — āsavaṃ savituḥ (puronuvākyā) ṛ. saṃ. 8-102-6 · sa no rādhāṃsyā bhara (yājyā) ṛ. saṃ. 7-15-11</w:t>
      </w:r>
      <w:r>
        <w:t xml:space="preserve"> </w:t>
      </w:r>
      <w:r>
        <w:t xml:space="preserve">Gloss:</w:t>
      </w:r>
      <w:r>
        <w:t xml:space="preserve"> </w:t>
      </w:r>
      <w:r>
        <w:t xml:space="preserve">“</w:t>
      </w:r>
      <w:r>
        <w:t xml:space="preserve">(Of Savitṛ) the impulsion of Savitṛ…</w:t>
      </w:r>
      <w:r>
        <w:t xml:space="preserve">”</w:t>
      </w:r>
      <w:r>
        <w:t xml:space="preserve"> </w:t>
      </w:r>
      <w:r>
        <w:t xml:space="preserve">/</w:t>
      </w:r>
      <w:r>
        <w:t xml:space="preserve"> </w:t>
      </w:r>
      <w:r>
        <w:t xml:space="preserve">“</w:t>
      </w:r>
      <w:r>
        <w:t xml:space="preserve">Bring us, then, bounties…</w:t>
      </w:r>
      <w:r>
        <w:t xml:space="preserve">”</w:t>
      </w:r>
      <w:r>
        <w:t xml:space="preserve"> </w:t>
      </w:r>
      <w:r>
        <w:t xml:space="preserve">[tentative; only opening words are given]</w:t>
      </w:r>
    </w:p>
    <w:p>
      <w:pPr>
        <w:pStyle w:val="FirstParagraph"/>
      </w:pPr>
      <w:r>
        <w:t xml:space="preserve">That is: in this Anvārambhaṇīyeṣṭi, when the goddess Sarasvatī is invoked, the Ṛk</w:t>
      </w:r>
    </w:p>
    <w:p>
      <w:pPr>
        <w:pStyle w:val="BlockText"/>
      </w:pPr>
      <w:r>
        <w:t xml:space="preserve">पावकानः सरस्वती वाजेभिर्वाजिनीवती । यज्ञं वष्टु धियावसुः ॥ (ऋ. सं. १-३-१०)</w:t>
      </w:r>
      <w:r>
        <w:t xml:space="preserve"> </w:t>
      </w:r>
      <w:r>
        <w:rPr>
          <w:iCs/>
          <w:i/>
        </w:rPr>
        <w:t xml:space="preserve">pāvakā naḥ sarasvatī vājebhir vājinīvatī | yajñaṃ vaṣṭu dhiyāvasuḥ || (ṛ. saṃ. 1-3-10)</w:t>
      </w:r>
      <w:r>
        <w:t xml:space="preserve"> </w:t>
      </w:r>
      <w:r>
        <w:rPr>
          <w:iCs/>
          <w:i/>
        </w:rPr>
        <w:t xml:space="preserve">(= the present Rik 3.10; translated above.)</w:t>
      </w:r>
    </w:p>
    <w:p>
      <w:pPr>
        <w:pStyle w:val="FirstParagraph"/>
      </w:pPr>
      <w:r>
        <w:t xml:space="preserve">is to be used as the puronuvākyā mantra, and the Ṛk</w:t>
      </w:r>
    </w:p>
    <w:p>
      <w:pPr>
        <w:pStyle w:val="BlockText"/>
      </w:pPr>
      <w:r>
        <w:t xml:space="preserve">पावीरवी कन्या चित्रायुः सरस्वती वीरपत्नी धियं धात् ।</w:t>
      </w:r>
      <w:r>
        <w:t xml:space="preserve"> </w:t>
      </w:r>
      <w:r>
        <w:t xml:space="preserve">ग्नाभिरच्छिद्रं शरणं सजोषा दुराधर्षं गृणते शर्म यंसत् ॥ (ऋ. सं. ६-४९-७)</w:t>
      </w:r>
      <w:r>
        <w:t xml:space="preserve"> </w:t>
      </w:r>
      <w:r>
        <w:rPr>
          <w:iCs/>
          <w:i/>
        </w:rPr>
        <w:t xml:space="preserve">pāvīravī kanyā citrāyuḥ sarasvatī vīrapatnī dhiyaṃ dhāt |</w:t>
      </w:r>
      <w:r>
        <w:t xml:space="preserve"> </w:t>
      </w:r>
      <w:r>
        <w:rPr>
          <w:iCs/>
          <w:i/>
        </w:rPr>
        <w:t xml:space="preserve">gnābhir acchidraṃ śaraṇaṃ sajoṣā durādharṣaṃ gṛṇate śarma yaṃsat || (ṛ. saṃ. 6-49-7)</w:t>
      </w:r>
      <w:r>
        <w:t xml:space="preserve"> </w:t>
      </w:r>
      <w:r>
        <w:t xml:space="preserve">Gloss (mine):</w:t>
      </w:r>
      <w:r>
        <w:t xml:space="preserve"> </w:t>
      </w:r>
      <w:r>
        <w:t xml:space="preserve">“</w:t>
      </w:r>
      <w:r>
        <w:t xml:space="preserve">May Sarasvatī, the maiden, of wondrous life, the hero’s consort, grant insight; may she, in concert with the goddess-wives, grant to the singer a shelter without a gap, hard to assail.</w:t>
      </w:r>
      <w:r>
        <w:t xml:space="preserve">”</w:t>
      </w:r>
      <w:r>
        <w:t xml:space="preserve"> </w:t>
      </w:r>
      <w:r>
        <w:t xml:space="preserve">[tentative]</w:t>
      </w:r>
    </w:p>
    <w:p>
      <w:pPr>
        <w:pStyle w:val="FirstParagraph"/>
      </w:pPr>
      <w:r>
        <w:t xml:space="preserve">is to be used as the yājyā mantra — so it is said.</w:t>
      </w:r>
    </w:p>
    <w:p>
      <w:pPr>
        <w:pStyle w:val="BodyText"/>
      </w:pPr>
      <w:r>
        <w:rPr>
          <w:bCs/>
          <w:b/>
        </w:rPr>
        <w:t xml:space="preserve">पावका (pāvakā)</w:t>
      </w:r>
      <w:r>
        <w:t xml:space="preserve"> </w:t>
      </w:r>
      <w:r>
        <w:t xml:space="preserve">— This word is derived from the root</w:t>
      </w:r>
      <w:r>
        <w:t xml:space="preserve"> </w:t>
      </w:r>
      <w:r>
        <w:t xml:space="preserve">“</w:t>
      </w:r>
      <w:r>
        <w:t xml:space="preserve">pūñ</w:t>
      </w:r>
      <w:r>
        <w:t xml:space="preserve">”</w:t>
      </w:r>
      <w:r>
        <w:t xml:space="preserve"> </w:t>
      </w:r>
      <w:r>
        <w:t xml:space="preserve">(</w:t>
      </w:r>
      <w:r>
        <w:t xml:space="preserve">“</w:t>
      </w:r>
      <w:r>
        <w:t xml:space="preserve">to purify, to cleanse</w:t>
      </w:r>
      <w:r>
        <w:t xml:space="preserve">”</w:t>
      </w:r>
      <w:r>
        <w:t xml:space="preserve">). The Bhāṣyakāra gives its derivation as</w:t>
      </w:r>
      <w:r>
        <w:t xml:space="preserve"> </w:t>
      </w:r>
      <w:r>
        <w:t xml:space="preserve">“</w:t>
      </w:r>
      <w:r>
        <w:rPr>
          <w:iCs/>
          <w:i/>
        </w:rPr>
        <w:t xml:space="preserve">pavanaṃ pāvaḥ śuddhiḥ, taṃ kāyatīti pāvakā</w:t>
      </w:r>
      <w:r>
        <w:t xml:space="preserve">”</w:t>
      </w:r>
      <w:r>
        <w:t xml:space="preserve"> </w:t>
      </w:r>
      <w:r>
        <w:t xml:space="preserve">(पवनं पावः शुद्धिस्तं कायतीति पावका —</w:t>
      </w:r>
      <w:r>
        <w:t xml:space="preserve"> </w:t>
      </w:r>
      <w:r>
        <w:t xml:space="preserve">“</w:t>
      </w:r>
      <w:r>
        <w:t xml:space="preserve">‘</w:t>
      </w:r>
      <w:r>
        <w:t xml:space="preserve">pāva</w:t>
      </w:r>
      <w:r>
        <w:t xml:space="preserve">’</w:t>
      </w:r>
      <w:r>
        <w:t xml:space="preserve"> </w:t>
      </w:r>
      <w:r>
        <w:t xml:space="preserve">is purification; she who</w:t>
      </w:r>
      <w:r>
        <w:t xml:space="preserve"> </w:t>
      </w:r>
      <w:r>
        <w:t xml:space="preserve">‘</w:t>
      </w:r>
      <w:r>
        <w:t xml:space="preserve">makes</w:t>
      </w:r>
      <w:r>
        <w:t xml:space="preserve">’</w:t>
      </w:r>
      <w:r>
        <w:t xml:space="preserve"> </w:t>
      </w:r>
      <w:r>
        <w:t xml:space="preserve">that is</w:t>
      </w:r>
      <w:r>
        <w:t xml:space="preserve"> </w:t>
      </w:r>
      <w:r>
        <w:t xml:space="preserve">‘</w:t>
      </w:r>
      <w:r>
        <w:t xml:space="preserve">pāvakā</w:t>
      </w:r>
      <w:r>
        <w:t xml:space="preserve">’</w:t>
      </w:r>
      <w:r>
        <w:t xml:space="preserve">”</w:t>
      </w:r>
      <w:r>
        <w:t xml:space="preserve">), i.e., one who purifies; one who cleanses, removing sins. Though the word</w:t>
      </w:r>
      <w:r>
        <w:t xml:space="preserve"> </w:t>
      </w:r>
      <w:r>
        <w:t xml:space="preserve">“</w:t>
      </w:r>
      <w:r>
        <w:t xml:space="preserve">pāvaka</w:t>
      </w:r>
      <w:r>
        <w:t xml:space="preserve">”</w:t>
      </w:r>
      <w:r>
        <w:t xml:space="preserve"> </w:t>
      </w:r>
      <w:r>
        <w:t xml:space="preserve">is used in many places of deities such as Agni, the Maruts and Soma, it is used especially of Agni:</w:t>
      </w:r>
    </w:p>
    <w:p>
      <w:pPr>
        <w:pStyle w:val="BlockText"/>
      </w:pPr>
      <w:r>
        <w:rPr>
          <w:bCs/>
          <w:b/>
        </w:rPr>
        <w:t xml:space="preserve">Agni</w:t>
      </w:r>
      <w:r>
        <w:t xml:space="preserve"> </w:t>
      </w:r>
      <w:r>
        <w:t xml:space="preserve">— अग्ने पावक रोचिषा मन्द्रया देव जिह्वया । (ऋ. सं. ५-२६-१)</w:t>
      </w:r>
      <w:r>
        <w:t xml:space="preserve"> </w:t>
      </w:r>
      <w:r>
        <w:rPr>
          <w:iCs/>
          <w:i/>
        </w:rPr>
        <w:t xml:space="preserve">agne pāvaka rociṣā mandrayā deva jihvayā | (ṛ. saṃ. 5-26-1)</w:t>
      </w:r>
      <w:r>
        <w:t xml:space="preserve"> </w:t>
      </w:r>
      <w:r>
        <w:t xml:space="preserve">Gloss:</w:t>
      </w:r>
      <w:r>
        <w:t xml:space="preserve"> </w:t>
      </w:r>
      <w:r>
        <w:t xml:space="preserve">“</w:t>
      </w:r>
      <w:r>
        <w:t xml:space="preserve">O purifying Agni, with your light, with your joyful tongue, O god.</w:t>
      </w:r>
      <w:r>
        <w:t xml:space="preserve">”</w:t>
      </w:r>
    </w:p>
    <w:p>
      <w:pPr>
        <w:pStyle w:val="BlockText"/>
      </w:pPr>
      <w:r>
        <w:t xml:space="preserve">स नः पावक दीदिवोऽग्ने देवाँ इहावह । (ऋ. सं. १-१२-१०)</w:t>
      </w:r>
      <w:r>
        <w:t xml:space="preserve"> </w:t>
      </w:r>
      <w:r>
        <w:rPr>
          <w:iCs/>
          <w:i/>
        </w:rPr>
        <w:t xml:space="preserve">sa naḥ pāvaka dīdivo ’gne devāṁ ihāvaha | (ṛ. saṃ. 1-12-10)</w:t>
      </w:r>
      <w:r>
        <w:t xml:space="preserve"> </w:t>
      </w:r>
      <w:r>
        <w:t xml:space="preserve">Gloss:</w:t>
      </w:r>
      <w:r>
        <w:t xml:space="preserve"> </w:t>
      </w:r>
      <w:r>
        <w:t xml:space="preserve">“</w:t>
      </w:r>
      <w:r>
        <w:t xml:space="preserve">O shining purifier, bring the gods here.</w:t>
      </w:r>
      <w:r>
        <w:t xml:space="preserve">”</w:t>
      </w:r>
    </w:p>
    <w:p>
      <w:pPr>
        <w:pStyle w:val="BlockText"/>
      </w:pPr>
      <w:r>
        <w:t xml:space="preserve">अस्या जरासो दमा मरित्रा अर्चद्धूमासो अग्नयः पावकाः ॥ (ऋ. सं. १०-४६-७)</w:t>
      </w:r>
      <w:r>
        <w:t xml:space="preserve"> </w:t>
      </w:r>
      <w:r>
        <w:rPr>
          <w:iCs/>
          <w:i/>
        </w:rPr>
        <w:t xml:space="preserve">asyā jarāso damā maritrā arcaddhūmāso agnayaḥ pāvakāḥ || (ṛ. saṃ. 10-46-7)</w:t>
      </w:r>
      <w:r>
        <w:t xml:space="preserve"> </w:t>
      </w:r>
      <w:r>
        <w:t xml:space="preserve">Gloss:</w:t>
      </w:r>
      <w:r>
        <w:t xml:space="preserve"> </w:t>
      </w:r>
      <w:r>
        <w:t xml:space="preserve">“</w:t>
      </w:r>
      <w:r>
        <w:t xml:space="preserve">…the purifying fires, with smoke…</w:t>
      </w:r>
      <w:r>
        <w:t xml:space="preserve">”</w:t>
      </w:r>
      <w:r>
        <w:t xml:space="preserve"> </w:t>
      </w:r>
      <w:r>
        <w:t xml:space="preserve">[tentative; the first half is not clear to me]</w:t>
      </w:r>
    </w:p>
    <w:p>
      <w:pPr>
        <w:pStyle w:val="BlockText"/>
      </w:pPr>
      <w:r>
        <w:rPr>
          <w:bCs/>
          <w:b/>
        </w:rPr>
        <w:t xml:space="preserve">Indra</w:t>
      </w:r>
      <w:r>
        <w:t xml:space="preserve"> </w:t>
      </w:r>
      <w:r>
        <w:t xml:space="preserve">— मिहः पावकाः प्रतता अभूवन्त्स्वस्ति नः पिपृहि पारमासाम् । (ऋ. सं. ३-३१-२०)</w:t>
      </w:r>
      <w:r>
        <w:t xml:space="preserve"> </w:t>
      </w:r>
      <w:r>
        <w:rPr>
          <w:iCs/>
          <w:i/>
        </w:rPr>
        <w:t xml:space="preserve">mihaḥ pāvakāḥ pratatā abhūvan svasti naḥ pipṛhi pāram āsām | (ṛ. saṃ. 3-31-20)</w:t>
      </w:r>
      <w:r>
        <w:t xml:space="preserve"> </w:t>
      </w:r>
      <w:r>
        <w:t xml:space="preserve">Gloss:</w:t>
      </w:r>
      <w:r>
        <w:t xml:space="preserve"> </w:t>
      </w:r>
      <w:r>
        <w:t xml:space="preserve">“</w:t>
      </w:r>
      <w:r>
        <w:t xml:space="preserve">The purifying showers have spread out; carry us safely across them.</w:t>
      </w:r>
      <w:r>
        <w:t xml:space="preserve">”</w:t>
      </w:r>
    </w:p>
    <w:p>
      <w:pPr>
        <w:pStyle w:val="BlockText"/>
      </w:pPr>
      <w:r>
        <w:rPr>
          <w:bCs/>
          <w:b/>
        </w:rPr>
        <w:t xml:space="preserve">Uṣas</w:t>
      </w:r>
      <w:r>
        <w:t xml:space="preserve"> </w:t>
      </w:r>
      <w:r>
        <w:t xml:space="preserve">— व्यू व्रजस्य तमसो द्वारोच्छन्तीरव्रञ्छुचयः पावकाः ॥ (ऋ. सं. ४-५१-२)</w:t>
      </w:r>
      <w:r>
        <w:t xml:space="preserve"> </w:t>
      </w:r>
      <w:r>
        <w:rPr>
          <w:iCs/>
          <w:i/>
        </w:rPr>
        <w:t xml:space="preserve">vy ū vrajasya tamaso dvāroc chantīr avran śucayaḥ pāvakāḥ || (ṛ. saṃ. 4-51-2)</w:t>
      </w:r>
      <w:r>
        <w:t xml:space="preserve"> </w:t>
      </w:r>
      <w:r>
        <w:t xml:space="preserve">Gloss:</w:t>
      </w:r>
      <w:r>
        <w:t xml:space="preserve"> </w:t>
      </w:r>
      <w:r>
        <w:t xml:space="preserve">“</w:t>
      </w:r>
      <w:r>
        <w:t xml:space="preserve">Shining, they have opened the doors of the dark pen — the bright, purifying (dawns).</w:t>
      </w:r>
      <w:r>
        <w:t xml:space="preserve">”</w:t>
      </w:r>
      <w:r>
        <w:t xml:space="preserve"> </w:t>
      </w:r>
      <w:r>
        <w:t xml:space="preserve">[tentative]</w:t>
      </w:r>
    </w:p>
    <w:p>
      <w:pPr>
        <w:pStyle w:val="BlockText"/>
      </w:pPr>
      <w:r>
        <w:rPr>
          <w:bCs/>
          <w:b/>
        </w:rPr>
        <w:t xml:space="preserve">Āpaḥ (the Waters)</w:t>
      </w:r>
      <w:r>
        <w:t xml:space="preserve"> </w:t>
      </w:r>
      <w:r>
        <w:t xml:space="preserve">— समुद्रार्था याः शुचयः पावकास्ता आपो देवीरिह मामवन्तु ॥ (ऋ. सं. ७-४९-३)</w:t>
      </w:r>
      <w:r>
        <w:t xml:space="preserve"> </w:t>
      </w:r>
      <w:r>
        <w:rPr>
          <w:iCs/>
          <w:i/>
        </w:rPr>
        <w:t xml:space="preserve">samudrārthā yāḥ śucayaḥ pāvakās tā āpo devīr iha mām avantu || (ṛ. saṃ. 7-49-3)</w:t>
      </w:r>
      <w:r>
        <w:t xml:space="preserve"> </w:t>
      </w:r>
      <w:r>
        <w:t xml:space="preserve">Gloss:</w:t>
      </w:r>
      <w:r>
        <w:t xml:space="preserve"> </w:t>
      </w:r>
      <w:r>
        <w:t xml:space="preserve">“</w:t>
      </w:r>
      <w:r>
        <w:t xml:space="preserve">Those pure, purifying waters that go to the sea — may those divine waters protect me here.</w:t>
      </w:r>
      <w:r>
        <w:t xml:space="preserve">”</w:t>
      </w:r>
    </w:p>
    <w:p>
      <w:pPr>
        <w:pStyle w:val="BlockText"/>
      </w:pPr>
      <w:r>
        <w:rPr>
          <w:bCs/>
          <w:b/>
        </w:rPr>
        <w:t xml:space="preserve">Maruts</w:t>
      </w:r>
      <w:r>
        <w:t xml:space="preserve"> </w:t>
      </w:r>
      <w:r>
        <w:t xml:space="preserve">— ऋतेन सत्यमृतसाप आयञ्छुचिजन्मानः शुचयः पावकाः । (ऋ. सं. ७-५६-१२)</w:t>
      </w:r>
      <w:r>
        <w:t xml:space="preserve"> </w:t>
      </w:r>
      <w:r>
        <w:rPr>
          <w:iCs/>
          <w:i/>
        </w:rPr>
        <w:t xml:space="preserve">ṛtena satyam ṛtasāpa āyañ chucijanmānaḥ śucayaḥ pāvakāḥ | (ṛ. saṃ. 7-56-12)</w:t>
      </w:r>
      <w:r>
        <w:t xml:space="preserve"> </w:t>
      </w:r>
      <w:r>
        <w:t xml:space="preserve">Gloss:</w:t>
      </w:r>
      <w:r>
        <w:t xml:space="preserve"> </w:t>
      </w:r>
      <w:r>
        <w:t xml:space="preserve">“</w:t>
      </w:r>
      <w:r>
        <w:t xml:space="preserve">By the Order, they came to the truth, followers of the Order, bright-born, pure, purifying.</w:t>
      </w:r>
      <w:r>
        <w:t xml:space="preserve">”</w:t>
      </w:r>
      <w:r>
        <w:t xml:space="preserve"> </w:t>
      </w:r>
      <w:r>
        <w:t xml:space="preserve">[tentative]</w:t>
      </w:r>
    </w:p>
    <w:bookmarkEnd w:id="94"/>
    <w:bookmarkStart w:id="95" w:name="Xed7946fda9071ed5a134487cd3763e94818afcc"/>
    <w:p>
      <w:pPr>
        <w:pStyle w:val="Heading3"/>
      </w:pPr>
      <w:r>
        <w:t xml:space="preserve">Page 68 —</w:t>
      </w:r>
      <w:r>
        <w:t xml:space="preserve"> </w:t>
      </w:r>
      <w:r>
        <w:t xml:space="preserve">“</w:t>
      </w:r>
      <w:r>
        <w:t xml:space="preserve">pāvakā</w:t>
      </w:r>
      <w:r>
        <w:t xml:space="preserve">”</w:t>
      </w:r>
      <w:r>
        <w:t xml:space="preserve"> </w:t>
      </w:r>
      <w:r>
        <w:t xml:space="preserve">(concluded);</w:t>
      </w:r>
      <w:r>
        <w:t xml:space="preserve"> </w:t>
      </w:r>
      <w:r>
        <w:t xml:space="preserve">“</w:t>
      </w:r>
      <w:r>
        <w:t xml:space="preserve">sarasvatī</w:t>
      </w:r>
      <w:r>
        <w:t xml:space="preserve">”</w:t>
      </w:r>
      <w:r>
        <w:t xml:space="preserve"> </w:t>
      </w:r>
      <w:r>
        <w:t xml:space="preserve">— the five senses of the word (opening)</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1, Sūkta 3.</w:t>
      </w:r>
      <w:r>
        <w:rPr>
          <w:iCs/>
          <w:i/>
        </w:rPr>
        <w:t xml:space="preserve">”</w:t>
      </w:r>
      <w:r>
        <w:rPr>
          <w:iCs/>
          <w:i/>
        </w:rPr>
        <w:t xml:space="preserve"> </w:t>
      </w:r>
      <w:r>
        <w:rPr>
          <w:iCs/>
          <w:i/>
        </w:rPr>
        <w:t xml:space="preserve">Reference-numbers in the five lists below re-read from the better scan, Oct 2026 numeral pass. English words are as printed in the source.)</w:t>
      </w:r>
    </w:p>
    <w:p>
      <w:pPr>
        <w:pStyle w:val="BodyText"/>
      </w:pPr>
      <w:r>
        <w:t xml:space="preserve">In these and other mantras, the word</w:t>
      </w:r>
      <w:r>
        <w:t xml:space="preserve"> </w:t>
      </w:r>
      <w:r>
        <w:t xml:space="preserve">“</w:t>
      </w:r>
      <w:r>
        <w:t xml:space="preserve">pāvaka</w:t>
      </w:r>
      <w:r>
        <w:t xml:space="preserve">”</w:t>
      </w:r>
      <w:r>
        <w:t xml:space="preserve"> </w:t>
      </w:r>
      <w:r>
        <w:t xml:space="preserve">is used of different deities. Western scholars have explained this word with such words as</w:t>
      </w:r>
      <w:r>
        <w:t xml:space="preserve"> </w:t>
      </w:r>
      <w:r>
        <w:rPr>
          <w:iCs/>
          <w:i/>
        </w:rPr>
        <w:t xml:space="preserve">(English as printed)</w:t>
      </w:r>
      <w:r>
        <w:t xml:space="preserve">:</w:t>
      </w:r>
      <w:r>
        <w:t xml:space="preserve"> </w:t>
      </w:r>
      <w:r>
        <w:t xml:space="preserve">“</w:t>
      </w:r>
      <w:r>
        <w:t xml:space="preserve">Purifier, purifying, bright, glittering, pure, sacred, blazing, flaming.</w:t>
      </w:r>
      <w:r>
        <w:t xml:space="preserve">”</w:t>
      </w:r>
      <w:r>
        <w:t xml:space="preserve"> </w:t>
      </w:r>
      <w:r>
        <w:t xml:space="preserve">In the sense relating to Agni, both senses —</w:t>
      </w:r>
      <w:r>
        <w:t xml:space="preserve"> </w:t>
      </w:r>
      <w:r>
        <w:t xml:space="preserve">“</w:t>
      </w:r>
      <w:r>
        <w:t xml:space="preserve">that which purifies</w:t>
      </w:r>
      <w:r>
        <w:t xml:space="preserve">”</w:t>
      </w:r>
      <w:r>
        <w:t xml:space="preserve"> </w:t>
      </w:r>
      <w:r>
        <w:t xml:space="preserve">and</w:t>
      </w:r>
      <w:r>
        <w:t xml:space="preserve"> </w:t>
      </w:r>
      <w:r>
        <w:t xml:space="preserve">“</w:t>
      </w:r>
      <w:r>
        <w:t xml:space="preserve">that which shines</w:t>
      </w:r>
      <w:r>
        <w:t xml:space="preserve">”</w:t>
      </w:r>
      <w:r>
        <w:t xml:space="preserve"> </w:t>
      </w:r>
      <w:r>
        <w:t xml:space="preserve">— may be said.</w:t>
      </w:r>
    </w:p>
    <w:p>
      <w:pPr>
        <w:pStyle w:val="BodyText"/>
      </w:pPr>
      <w:r>
        <w:rPr>
          <w:bCs/>
          <w:b/>
        </w:rPr>
        <w:t xml:space="preserve">सरस्वती (sarasvatī)</w:t>
      </w:r>
      <w:r>
        <w:t xml:space="preserve"> </w:t>
      </w:r>
      <w:r>
        <w:t xml:space="preserve">— Sāyaṇācārya has given a five-fold account of the sense of the word</w:t>
      </w:r>
      <w:r>
        <w:t xml:space="preserve"> </w:t>
      </w:r>
      <w:r>
        <w:t xml:space="preserve">“</w:t>
      </w:r>
      <w:r>
        <w:t xml:space="preserve">sarasvatī</w:t>
      </w:r>
      <w:r>
        <w:t xml:space="preserve">”</w:t>
      </w:r>
      <w:r>
        <w:t xml:space="preserve"> </w:t>
      </w:r>
      <w:r>
        <w:t xml:space="preserve">as used in the Ṛgveda mantras:</w:t>
      </w:r>
    </w:p>
    <w:p>
      <w:pPr>
        <w:numPr>
          <w:ilvl w:val="0"/>
          <w:numId w:val="1010"/>
        </w:numPr>
        <w:pStyle w:val="Compact"/>
      </w:pPr>
      <w:r>
        <w:rPr>
          <w:bCs/>
          <w:b/>
        </w:rPr>
        <w:t xml:space="preserve">Nadī (a river)</w:t>
      </w:r>
      <w:r>
        <w:t xml:space="preserve"> </w:t>
      </w:r>
      <w:r>
        <w:t xml:space="preserve">— Ṛ. Saṃ. 1-142-9; 1-164-52; 2-30-8.</w:t>
      </w:r>
    </w:p>
    <w:p>
      <w:pPr>
        <w:numPr>
          <w:ilvl w:val="0"/>
          <w:numId w:val="1010"/>
        </w:numPr>
        <w:pStyle w:val="Compact"/>
      </w:pPr>
      <w:r>
        <w:rPr>
          <w:bCs/>
          <w:b/>
        </w:rPr>
        <w:t xml:space="preserve">The name of a river</w:t>
      </w:r>
      <w:r>
        <w:t xml:space="preserve"> </w:t>
      </w:r>
      <w:r>
        <w:t xml:space="preserve">— Ṛ. Saṃ. 1-3-12; 2-41-16; 3-23-4; 6-61 (the 4th, 7th, 10th, 11th and 13th Ṛks of it); 6-52-6; 6-61-2; 7-36-6; 7-95-1 and 2; 7-96-1; 8-21-17 and 18; 10-64-9; 10-65-13.</w:t>
      </w:r>
    </w:p>
    <w:p>
      <w:pPr>
        <w:numPr>
          <w:ilvl w:val="0"/>
          <w:numId w:val="1010"/>
        </w:numPr>
        <w:pStyle w:val="Compact"/>
      </w:pPr>
      <w:r>
        <w:rPr>
          <w:bCs/>
          <w:b/>
        </w:rPr>
        <w:t xml:space="preserve">The name of a deity</w:t>
      </w:r>
      <w:r>
        <w:t xml:space="preserve"> </w:t>
      </w:r>
      <w:r>
        <w:t xml:space="preserve">— Ṛ. Saṃ. 5-43-11; 5-46-2; 6-49-7; 5-50-12; 10-17-7; 10-30-12.</w:t>
      </w:r>
    </w:p>
    <w:p>
      <w:pPr>
        <w:numPr>
          <w:ilvl w:val="0"/>
          <w:numId w:val="1010"/>
        </w:numPr>
        <w:pStyle w:val="Compact"/>
      </w:pPr>
      <w:r>
        <w:rPr>
          <w:bCs/>
          <w:b/>
        </w:rPr>
        <w:t xml:space="preserve">An ākāśābhimāni-devatā (a deity presiding over the sky-region)</w:t>
      </w:r>
      <w:r>
        <w:t xml:space="preserve"> </w:t>
      </w:r>
      <w:r>
        <w:t xml:space="preserve">—</w:t>
      </w:r>
      <w:r>
        <w:t xml:space="preserve"> </w:t>
      </w:r>
      <w:r>
        <w:t xml:space="preserve">“</w:t>
      </w:r>
      <w:r>
        <w:t xml:space="preserve">(one of the three goddesses Iḷā, Bhāratī and Sarasvatī)</w:t>
      </w:r>
      <w:r>
        <w:t xml:space="preserve">”</w:t>
      </w:r>
      <w:r>
        <w:t xml:space="preserve"> </w:t>
      </w:r>
      <w:r>
        <w:t xml:space="preserve">— Ṛ. Saṃ. 1-188-8.</w:t>
      </w:r>
    </w:p>
    <w:p>
      <w:pPr>
        <w:numPr>
          <w:ilvl w:val="0"/>
          <w:numId w:val="1010"/>
        </w:numPr>
        <w:pStyle w:val="Compact"/>
      </w:pPr>
      <w:r>
        <w:rPr>
          <w:bCs/>
          <w:b/>
        </w:rPr>
        <w:t xml:space="preserve">Vāgdevī (the goddess of Speech)</w:t>
      </w:r>
      <w:r>
        <w:t xml:space="preserve"> </w:t>
      </w:r>
      <w:r>
        <w:t xml:space="preserve">— Ṛ. Saṃ. 2-1-11; 3-4-8; 3-54-13; 5-42-12; 7-39-5; 7-40-3; 9-67-32.</w:t>
      </w:r>
    </w:p>
    <w:p>
      <w:pPr>
        <w:pStyle w:val="FirstParagraph"/>
      </w:pPr>
      <w:r>
        <w:t xml:space="preserve">In the Ṛgveda there are many mantras praising the goddess Sarasvatī. But on the question</w:t>
      </w:r>
      <w:r>
        <w:t xml:space="preserve"> </w:t>
      </w:r>
      <w:r>
        <w:t xml:space="preserve">“</w:t>
      </w:r>
      <w:r>
        <w:t xml:space="preserve">who is this goddess Sarasvatī, and what is her nature?</w:t>
      </w:r>
      <w:r>
        <w:t xml:space="preserve">”</w:t>
      </w:r>
      <w:r>
        <w:t xml:space="preserve"> </w:t>
      </w:r>
      <w:r>
        <w:t xml:space="preserve">the author of the Nirukta (Yāska) has said nothing; he has said only:</w:t>
      </w:r>
      <w:r>
        <w:t xml:space="preserve"> </w:t>
      </w:r>
      <w:r>
        <w:t xml:space="preserve">“</w:t>
      </w:r>
      <w:r>
        <w:rPr>
          <w:bCs/>
          <w:b/>
        </w:rPr>
        <w:t xml:space="preserve">nadīvad devatāvac ca nigamā bhavanti</w:t>
      </w:r>
      <w:r>
        <w:t xml:space="preserve">”</w:t>
      </w:r>
      <w:r>
        <w:t xml:space="preserve"> </w:t>
      </w:r>
      <w:r>
        <w:t xml:space="preserve">(नदीवद्देवतावच्च निगमा भवन्ति —</w:t>
      </w:r>
      <w:r>
        <w:t xml:space="preserve"> </w:t>
      </w:r>
      <w:r>
        <w:rPr>
          <w:iCs/>
          <w:i/>
        </w:rPr>
        <w:t xml:space="preserve">nadīvad devatāvac ca nigamā bhavanti</w:t>
      </w:r>
      <w:r>
        <w:t xml:space="preserve"> </w:t>
      </w:r>
      <w:r>
        <w:t xml:space="preserve">—</w:t>
      </w:r>
      <w:r>
        <w:t xml:space="preserve"> </w:t>
      </w:r>
      <w:r>
        <w:t xml:space="preserve">“</w:t>
      </w:r>
      <w:r>
        <w:t xml:space="preserve">there are Vedic passages (that treat her) as a river and as a deity</w:t>
      </w:r>
      <w:r>
        <w:t xml:space="preserve">”</w:t>
      </w:r>
      <w:r>
        <w:t xml:space="preserve">). That is: in some mantras that have the deity Sarasvatī as their subject she is described as a river, and in some as a deity. But it is not clear whether the river named Sarasvatī is regarded as a goddess and praised, or the goddess is regarded as a river and praised. Therefore it must be said that</w:t>
      </w:r>
      <w:r>
        <w:t xml:space="preserve"> </w:t>
      </w:r>
      <w:r>
        <w:t xml:space="preserve">“</w:t>
      </w:r>
      <w:r>
        <w:t xml:space="preserve">Sarasvatī</w:t>
      </w:r>
      <w:r>
        <w:t xml:space="preserve">”</w:t>
      </w:r>
      <w:r>
        <w:t xml:space="preserve"> </w:t>
      </w:r>
      <w:r>
        <w:t xml:space="preserve">points to both river and deity. In the view that Sarasvatī is a deity, the questions — who is that deity? what is her nature? what are her station and abodes? — cannot easily be answered with a fitting reply. In the view that Sarasvatī is a river, it may be said that a river of that famous name existed in ancient times (the source adds in English:</w:t>
      </w:r>
      <w:r>
        <w:t xml:space="preserve"> </w:t>
      </w:r>
      <w:r>
        <w:t xml:space="preserve">“</w:t>
      </w:r>
      <w:r>
        <w:t xml:space="preserve">the modern Sarsuti</w:t>
      </w:r>
      <w:r>
        <w:t xml:space="preserve">”</w:t>
      </w:r>
      <w:r>
        <w:t xml:space="preserve">) and that this very river is praised in the Ṛgveda. When it is said so, a doubt arises: in the sacrifices and the like performed for the sake of particular deities, would not the praise of inanimate things such as rivers be forbidden? …</w:t>
      </w:r>
      <w:r>
        <w:t xml:space="preserve"> </w:t>
      </w:r>
      <w:r>
        <w:rPr>
          <w:iCs/>
          <w:i/>
        </w:rPr>
        <w:t xml:space="preserve">(continues on the next page)</w:t>
      </w:r>
    </w:p>
    <w:bookmarkEnd w:id="95"/>
    <w:bookmarkStart w:id="96" w:name="Xc75daf3347fa58fc18d583e9953e3bbef965ced"/>
    <w:p>
      <w:pPr>
        <w:pStyle w:val="Heading3"/>
      </w:pPr>
      <w:r>
        <w:t xml:space="preserve">Page 69 — Sarasvatī as river and as deity: the Mīmāṃsā question; five views of the goddess</w:t>
      </w:r>
    </w:p>
    <w:p>
      <w:pPr>
        <w:pStyle w:val="FirstParagraph"/>
      </w:pPr>
      <w:r>
        <w:rPr>
          <w:iCs/>
          <w:i/>
        </w:rPr>
        <w:t xml:space="preserve">(Page header:</w:t>
      </w:r>
      <w:r>
        <w:rPr>
          <w:iCs/>
          <w:i/>
        </w:rPr>
        <w:t xml:space="preserve"> </w:t>
      </w:r>
      <w:r>
        <w:rPr>
          <w:iCs/>
          <w:i/>
        </w:rPr>
        <w:t xml:space="preserve">“</w:t>
      </w:r>
      <w:r>
        <w:rPr>
          <w:iCs/>
          <w:i/>
        </w:rPr>
        <w:t xml:space="preserve">Aṣṭaka 1, Adhyāya 1, Varga 6 · Ṛgveda-saṃhitā.</w:t>
      </w:r>
      <w:r>
        <w:rPr>
          <w:iCs/>
          <w:i/>
        </w:rPr>
        <w:t xml:space="preserve">”</w:t>
      </w:r>
      <w:r>
        <w:rPr>
          <w:iCs/>
          <w:i/>
        </w:rPr>
        <w:t xml:space="preserve"> </w:t>
      </w:r>
      <w:r>
        <w:rPr>
          <w:iCs/>
          <w:i/>
        </w:rPr>
        <w:t xml:space="preserve">Reference-numbers in small Kannada numerals marked [?] where uncertain.)</w:t>
      </w:r>
    </w:p>
    <w:p>
      <w:pPr>
        <w:pStyle w:val="BodyText"/>
      </w:pPr>
      <w:r>
        <w:rPr>
          <w:iCs/>
          <w:i/>
        </w:rPr>
        <w:t xml:space="preserve">(Continuing from p. 68, at the doubt whether praise of inanimate things like rivers would be forbidden in sacrifices:)</w:t>
      </w:r>
      <w:r>
        <w:t xml:space="preserve"> </w:t>
      </w:r>
      <w:r>
        <w:t xml:space="preserve">…</w:t>
      </w:r>
      <w:r>
        <w:t xml:space="preserve">“</w:t>
      </w:r>
      <w:r>
        <w:t xml:space="preserve">That doubt can be answered. On this point the sage</w:t>
      </w:r>
      <w:r>
        <w:t xml:space="preserve"> </w:t>
      </w:r>
      <w:r>
        <w:rPr>
          <w:bCs/>
          <w:b/>
        </w:rPr>
        <w:t xml:space="preserve">Jaimini</w:t>
      </w:r>
      <w:r>
        <w:t xml:space="preserve">, in his Mīmāṃsā-sūtra, raised the objection (</w:t>
      </w:r>
      <w:r>
        <w:t xml:space="preserve">”</w:t>
      </w:r>
      <w:r>
        <w:t xml:space="preserve">pūrvapakṣa”) on the basis of</w:t>
      </w:r>
      <w:r>
        <w:t xml:space="preserve"> </w:t>
      </w:r>
      <w:r>
        <w:t xml:space="preserve">“</w:t>
      </w:r>
      <w:r>
        <w:rPr>
          <w:bCs/>
          <w:b/>
        </w:rPr>
        <w:t xml:space="preserve">acetane ’rtha-bandhanāt</w:t>
      </w:r>
      <w:r>
        <w:t xml:space="preserve">”</w:t>
      </w:r>
      <w:r>
        <w:t xml:space="preserve"> </w:t>
      </w:r>
      <w:r>
        <w:t xml:space="preserve">(अचेतनेऽर्थबन्धनात् —</w:t>
      </w:r>
      <w:r>
        <w:t xml:space="preserve"> </w:t>
      </w:r>
      <w:r>
        <w:rPr>
          <w:iCs/>
          <w:i/>
        </w:rPr>
        <w:t xml:space="preserve">acetane ’rtha-bandhanāt</w:t>
      </w:r>
      <w:r>
        <w:t xml:space="preserve">, जै. सू. १-२-३५) — that is, that where mantras address inanimate things, the connection of sense is [impossible]. To this the Bhāṣyakāra (the Vedāntic commentator) has given the answer by citing the Vedānta-sūtra</w:t>
      </w:r>
      <w:r>
        <w:t xml:space="preserve"> </w:t>
      </w:r>
      <w:r>
        <w:t xml:space="preserve">“</w:t>
      </w:r>
      <w:r>
        <w:rPr>
          <w:bCs/>
          <w:b/>
        </w:rPr>
        <w:t xml:space="preserve">abhimāni-vyapadeśaḥ</w:t>
      </w:r>
      <w:r>
        <w:t xml:space="preserve">”</w:t>
      </w:r>
      <w:r>
        <w:t xml:space="preserve"> </w:t>
      </w:r>
      <w:r>
        <w:t xml:space="preserve">(अभिमानिव्यपदेशः —</w:t>
      </w:r>
      <w:r>
        <w:t xml:space="preserve"> </w:t>
      </w:r>
      <w:r>
        <w:rPr>
          <w:iCs/>
          <w:i/>
        </w:rPr>
        <w:t xml:space="preserve">abhimāni-vyapadeśaḥ</w:t>
      </w:r>
      <w:r>
        <w:t xml:space="preserve">, वे. सू. २-१-५): that is, wherever, in Veda-mantras, inanimate things are addressed, it is to be understood that what is said is addressed to the presiding deities (</w:t>
      </w:r>
      <w:r>
        <w:t xml:space="preserve">“</w:t>
      </w:r>
      <w:r>
        <w:t xml:space="preserve">abhimāni-devatā</w:t>
      </w:r>
      <w:r>
        <w:t xml:space="preserve">”</w:t>
      </w:r>
      <w:r>
        <w:t xml:space="preserve">) of those inanimate things. (See Part 1, pp. 380–381.) Hence, where a river is praised, it is to be understood that its presiding deity is praised. Concerning this goddess Sarasvatī many persons hold many different views:</w:t>
      </w:r>
    </w:p>
    <w:p>
      <w:pPr>
        <w:numPr>
          <w:ilvl w:val="0"/>
          <w:numId w:val="1011"/>
        </w:numPr>
        <w:pStyle w:val="Compact"/>
      </w:pPr>
      <w:r>
        <w:t xml:space="preserve">In the Purāṇas and elsewhere,</w:t>
      </w:r>
      <w:r>
        <w:t xml:space="preserve"> </w:t>
      </w:r>
      <w:r>
        <w:t xml:space="preserve">“</w:t>
      </w:r>
      <w:r>
        <w:t xml:space="preserve">Sarasvatī</w:t>
      </w:r>
      <w:r>
        <w:t xml:space="preserve">”</w:t>
      </w:r>
      <w:r>
        <w:t xml:space="preserve"> </w:t>
      </w:r>
      <w:r>
        <w:t xml:space="preserve">means</w:t>
      </w:r>
      <w:r>
        <w:t xml:space="preserve"> </w:t>
      </w:r>
      <w:r>
        <w:t xml:space="preserve">“</w:t>
      </w:r>
      <w:r>
        <w:rPr>
          <w:bCs/>
          <w:b/>
        </w:rPr>
        <w:t xml:space="preserve">vāg-adhiṣṭhātrī, śāradā, vidyā-svarūpiṇī, haṃsa-vāhinī</w:t>
      </w:r>
      <w:r>
        <w:t xml:space="preserve">”</w:t>
      </w:r>
      <w:r>
        <w:t xml:space="preserve"> </w:t>
      </w:r>
      <w:r>
        <w:t xml:space="preserve">(वागधिष्ठात्री शारदा विद्यास्वरूपिणी हंसवाहिनी) — a particular deity: the presiding deity of speech, famous by the name Śāradā, embodying learning, seated on a swan.</w:t>
      </w:r>
    </w:p>
    <w:p>
      <w:pPr>
        <w:numPr>
          <w:ilvl w:val="0"/>
          <w:numId w:val="1011"/>
        </w:numPr>
        <w:pStyle w:val="Compact"/>
      </w:pPr>
      <w:r>
        <w:t xml:space="preserve">Or: this goddess Sarasvatī is the Āditya (the Sun) specially qualified by a limiting condition (</w:t>
      </w:r>
      <w:r>
        <w:t xml:space="preserve">“</w:t>
      </w:r>
      <w:r>
        <w:t xml:space="preserve">upādhi</w:t>
      </w:r>
      <w:r>
        <w:t xml:space="preserve">”</w:t>
      </w:r>
      <w:r>
        <w:t xml:space="preserve">);</w:t>
      </w:r>
      <w:r>
        <w:t xml:space="preserve"> </w:t>
      </w:r>
      <w:r>
        <w:t xml:space="preserve">“</w:t>
      </w:r>
      <w:r>
        <w:t xml:space="preserve">upādhi</w:t>
      </w:r>
      <w:r>
        <w:t xml:space="preserve">”</w:t>
      </w:r>
      <w:r>
        <w:t xml:space="preserve"> </w:t>
      </w:r>
      <w:r>
        <w:t xml:space="preserve">here means the twilight. So some hold that the Sun, shining at twilight, is here praised in the form of Sarasvatī.</w:t>
      </w:r>
    </w:p>
    <w:p>
      <w:pPr>
        <w:numPr>
          <w:ilvl w:val="0"/>
          <w:numId w:val="1011"/>
        </w:numPr>
        <w:pStyle w:val="Compact"/>
      </w:pPr>
      <w:r>
        <w:t xml:space="preserve">The word</w:t>
      </w:r>
      <w:r>
        <w:t xml:space="preserve"> </w:t>
      </w:r>
      <w:r>
        <w:t xml:space="preserve">“</w:t>
      </w:r>
      <w:r>
        <w:t xml:space="preserve">saras</w:t>
      </w:r>
      <w:r>
        <w:t xml:space="preserve">”</w:t>
      </w:r>
      <w:r>
        <w:t xml:space="preserve"> </w:t>
      </w:r>
      <w:r>
        <w:t xml:space="preserve">comes from the root</w:t>
      </w:r>
      <w:r>
        <w:t xml:space="preserve"> </w:t>
      </w:r>
      <w:r>
        <w:t xml:space="preserve">“</w:t>
      </w:r>
      <w:r>
        <w:t xml:space="preserve">sṛ</w:t>
      </w:r>
      <w:r>
        <w:t xml:space="preserve">”</w:t>
      </w:r>
      <w:r>
        <w:t xml:space="preserve"> </w:t>
      </w:r>
      <w:r>
        <w:t xml:space="preserve">(to move, to flow):</w:t>
      </w:r>
      <w:r>
        <w:t xml:space="preserve"> </w:t>
      </w:r>
      <w:r>
        <w:t xml:space="preserve">“</w:t>
      </w:r>
      <w:r>
        <w:t xml:space="preserve">saro ’syā asti</w:t>
      </w:r>
      <w:r>
        <w:t xml:space="preserve">”</w:t>
      </w:r>
      <w:r>
        <w:t xml:space="preserve"> </w:t>
      </w:r>
      <w:r>
        <w:t xml:space="preserve">or</w:t>
      </w:r>
      <w:r>
        <w:t xml:space="preserve"> </w:t>
      </w:r>
      <w:r>
        <w:t xml:space="preserve">“</w:t>
      </w:r>
      <w:r>
        <w:t xml:space="preserve">sarastejo yasyā vidyate sā sarasvatī</w:t>
      </w:r>
      <w:r>
        <w:t xml:space="preserve">”</w:t>
      </w:r>
      <w:r>
        <w:t xml:space="preserve"> </w:t>
      </w:r>
      <w:r>
        <w:t xml:space="preserve">— she who has</w:t>
      </w:r>
      <w:r>
        <w:t xml:space="preserve"> </w:t>
      </w:r>
      <w:r>
        <w:t xml:space="preserve">“</w:t>
      </w:r>
      <w:r>
        <w:t xml:space="preserve">saras</w:t>
      </w:r>
      <w:r>
        <w:t xml:space="preserve">”</w:t>
      </w:r>
      <w:r>
        <w:t xml:space="preserve"> </w:t>
      </w:r>
      <w:r>
        <w:t xml:space="preserve">(radiance, fluid motion) — she who shines in the form of radiance is therefore called</w:t>
      </w:r>
      <w:r>
        <w:t xml:space="preserve"> </w:t>
      </w:r>
      <w:r>
        <w:t xml:space="preserve">“</w:t>
      </w:r>
      <w:r>
        <w:t xml:space="preserve">Sarasvatī.</w:t>
      </w:r>
      <w:r>
        <w:t xml:space="preserve">”</w:t>
      </w:r>
    </w:p>
    <w:p>
      <w:pPr>
        <w:numPr>
          <w:ilvl w:val="0"/>
          <w:numId w:val="1011"/>
        </w:numPr>
        <w:pStyle w:val="Compact"/>
      </w:pPr>
      <w:r>
        <w:t xml:space="preserve">Or (the source quotes Sanskrit here):</w:t>
      </w:r>
    </w:p>
    <w:p>
      <w:pPr>
        <w:pStyle w:val="BlockText"/>
      </w:pPr>
      <w:r>
        <w:t xml:space="preserve">अथवा — प्रातर्वाचां प्रवर्तिका, प्राणिनां स्वापपरित्यागेन स्वोचितव्यवहारेषु प्रवृत्तौ शब्दायमानतायाः प्रवृत्तेः, रात्रौ च वाचां निरोधिका रात्रौ प्राणिनां निलायनिलीनत्वेन सुप्यमानतया शब्दविरामात् । एवं च शब्दस्य प्रवर्तिका निवर्तिका एषैव लोके सरस्वतीत्वेन व्यपदिश्यते नान्या ॥</w:t>
      </w:r>
      <w:r>
        <w:t xml:space="preserve"> </w:t>
      </w:r>
      <w:r>
        <w:rPr>
          <w:iCs/>
          <w:i/>
        </w:rPr>
        <w:t xml:space="preserve">athavā — prātar vācāṃ pravartikā, prāṇināṃ svāpa-parityāgena svocita-vyavahāreṣu pravṛttau śabdāyamānatāyāḥ pravṛtteḥ, rātrau ca vācāṃ nirodhikā rātrau prāṇināṃ nilāya-nilīnatvena supyamānatayā śabda-virāmāt | evaṃ ca śabdasya pravartikā nivartikā eṣaiva loke sarasvatītvena vyapadiśyate nānyā ||</w:t>
      </w:r>
    </w:p>
    <w:p>
      <w:pPr>
        <w:pStyle w:val="BlockText"/>
      </w:pPr>
      <w:r>
        <w:rPr>
          <w:iCs/>
          <w:i/>
        </w:rPr>
        <w:t xml:space="preserve">(Reading note: re-read from the better scan, Oct 2026:</w:t>
      </w:r>
      <w:r>
        <w:rPr>
          <w:iCs/>
          <w:i/>
        </w:rPr>
        <w:t xml:space="preserve"> </w:t>
      </w:r>
      <w:r>
        <w:rPr>
          <w:iCs/>
          <w:i/>
        </w:rPr>
        <w:t xml:space="preserve">“</w:t>
      </w:r>
      <w:r>
        <w:rPr>
          <w:iCs/>
          <w:i/>
        </w:rPr>
        <w:t xml:space="preserve">svocita</w:t>
      </w:r>
      <w:r>
        <w:rPr>
          <w:iCs/>
          <w:i/>
        </w:rPr>
        <w:t xml:space="preserve">”</w:t>
      </w:r>
      <w:r>
        <w:rPr>
          <w:iCs/>
          <w:i/>
        </w:rPr>
        <w:t xml:space="preserve"> </w:t>
      </w:r>
      <w:r>
        <w:rPr>
          <w:iCs/>
          <w:i/>
        </w:rPr>
        <w:t xml:space="preserve">(</w:t>
      </w:r>
      <w:r>
        <w:rPr>
          <w:iCs/>
          <w:i/>
        </w:rPr>
        <w:t xml:space="preserve">“</w:t>
      </w:r>
      <w:r>
        <w:rPr>
          <w:iCs/>
          <w:i/>
        </w:rPr>
        <w:t xml:space="preserve">their own proper</w:t>
      </w:r>
      <w:r>
        <w:rPr>
          <w:iCs/>
          <w:i/>
        </w:rPr>
        <w:t xml:space="preserve">”</w:t>
      </w:r>
      <w:r>
        <w:rPr>
          <w:iCs/>
          <w:i/>
        </w:rPr>
        <w:t xml:space="preserve">) and</w:t>
      </w:r>
      <w:r>
        <w:rPr>
          <w:iCs/>
          <w:i/>
        </w:rPr>
        <w:t xml:space="preserve"> </w:t>
      </w:r>
      <w:r>
        <w:rPr>
          <w:iCs/>
          <w:i/>
        </w:rPr>
        <w:t xml:space="preserve">“</w:t>
      </w:r>
      <w:r>
        <w:rPr>
          <w:iCs/>
          <w:i/>
        </w:rPr>
        <w:t xml:space="preserve">supyamānatayā</w:t>
      </w:r>
      <w:r>
        <w:rPr>
          <w:iCs/>
          <w:i/>
        </w:rPr>
        <w:t xml:space="preserve">”</w:t>
      </w:r>
      <w:r>
        <w:rPr>
          <w:iCs/>
          <w:i/>
        </w:rPr>
        <w:t xml:space="preserve"> </w:t>
      </w:r>
      <w:r>
        <w:rPr>
          <w:iCs/>
          <w:i/>
        </w:rPr>
        <w:t xml:space="preserve">(</w:t>
      </w:r>
      <w:r>
        <w:rPr>
          <w:iCs/>
          <w:i/>
        </w:rPr>
        <w:t xml:space="preserve">“</w:t>
      </w:r>
      <w:r>
        <w:rPr>
          <w:iCs/>
          <w:i/>
        </w:rPr>
        <w:t xml:space="preserve">being asleep</w:t>
      </w:r>
      <w:r>
        <w:rPr>
          <w:iCs/>
          <w:i/>
        </w:rPr>
        <w:t xml:space="preserve">”</w:t>
      </w:r>
      <w:r>
        <w:rPr>
          <w:iCs/>
          <w:i/>
        </w:rPr>
        <w:t xml:space="preserve">).)</w:t>
      </w:r>
    </w:p>
    <w:p>
      <w:pPr>
        <w:pStyle w:val="BlockText"/>
      </w:pPr>
      <w:r>
        <w:rPr>
          <w:bCs/>
          <w:b/>
        </w:rPr>
        <w:t xml:space="preserve">Translation of the clear parts, with the Kannada gloss that follows it:</w:t>
      </w:r>
      <w:r>
        <w:t xml:space="preserve"> </w:t>
      </w:r>
      <w:r>
        <w:t xml:space="preserve">“</w:t>
      </w:r>
      <w:r>
        <w:t xml:space="preserve">Or: she is the prompter of speech in the morning … and at night the restrainer of speech … and thus, as both the prompter and the stopper of sound, she alone is in the world called Sarasvatī and no other.</w:t>
      </w:r>
      <w:r>
        <w:t xml:space="preserve">”</w:t>
      </w:r>
      <w:r>
        <w:t xml:space="preserve"> </w:t>
      </w:r>
      <w:r>
        <w:t xml:space="preserve">The Kannada explains:</w:t>
      </w:r>
      <w:r>
        <w:t xml:space="preserve"> </w:t>
      </w:r>
      <w:r>
        <w:t xml:space="preserve">“</w:t>
      </w:r>
      <w:r>
        <w:t xml:space="preserve">In the morning the creatures, rising from sleep, set about talking and about their several affairs and activities; at night, the creatures are overcome by sleep, and so, apart from talking and making sounds, they come to rest from their activities and dealings. Therefore, because she is the cause of beginning and ending in the matter of talking or making sound, this goddess of speech is called Sarasvatī.</w:t>
      </w:r>
      <w:r>
        <w:t xml:space="preserve">”</w:t>
      </w:r>
    </w:p>
    <w:p>
      <w:pPr>
        <w:pStyle w:val="FirstParagraph"/>
      </w:pPr>
      <w:r>
        <w:rPr>
          <w:bCs/>
          <w:b/>
        </w:rPr>
        <w:t xml:space="preserve">(5) — continued on p. 70.</w:t>
      </w:r>
    </w:p>
    <w:bookmarkEnd w:id="96"/>
    <w:bookmarkStart w:id="97" w:name="Xb6f7bb18b6cc65abe0ae94861242697f69181cd"/>
    <w:p>
      <w:pPr>
        <w:pStyle w:val="Heading3"/>
      </w:pPr>
      <w:r>
        <w:t xml:space="preserve">Page 70 — Sarasvatī: the fifth view (Uṣas); the three questions to be considered; Sarasvatī in Rik 3.10–12; the ṛṣis</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1, Sūkta 3.</w:t>
      </w:r>
      <w:r>
        <w:rPr>
          <w:iCs/>
          <w:i/>
        </w:rPr>
        <w:t xml:space="preserve">”</w:t>
      </w:r>
      <w:r>
        <w:rPr>
          <w:iCs/>
          <w:i/>
        </w:rPr>
        <w:t xml:space="preserve"> </w:t>
      </w:r>
      <w:r>
        <w:rPr>
          <w:iCs/>
          <w:i/>
        </w:rPr>
        <w:t xml:space="preserve">Reference-numbers marked [?] where unsure. English words as printed.)</w:t>
      </w:r>
    </w:p>
    <w:p>
      <w:pPr>
        <w:numPr>
          <w:ilvl w:val="0"/>
          <w:numId w:val="1012"/>
        </w:numPr>
        <w:pStyle w:val="Compact"/>
      </w:pPr>
      <w:r>
        <w:t xml:space="preserve">As stated before, since the powers of speech and the like belong to this deity, this goddess Sarasvatī is in the form of</w:t>
      </w:r>
      <w:r>
        <w:t xml:space="preserve"> </w:t>
      </w:r>
      <w:r>
        <w:rPr>
          <w:bCs/>
          <w:b/>
        </w:rPr>
        <w:t xml:space="preserve">Uṣas</w:t>
      </w:r>
      <w:r>
        <w:t xml:space="preserve"> </w:t>
      </w:r>
      <w:r>
        <w:t xml:space="preserve">(Dawn). For this very reason, among the words that are the names of the goddess Uṣas —</w:t>
      </w:r>
      <w:r>
        <w:t xml:space="preserve"> </w:t>
      </w:r>
      <w:r>
        <w:rPr>
          <w:bCs/>
          <w:b/>
        </w:rPr>
        <w:t xml:space="preserve">sūnṛtā, sūnṛtāvatī, sūnṛtāvarī</w:t>
      </w:r>
      <w:r>
        <w:t xml:space="preserve"> </w:t>
      </w:r>
      <w:r>
        <w:t xml:space="preserve">and others — the name of this goddess Sarasvatī occurs. Here the word</w:t>
      </w:r>
      <w:r>
        <w:t xml:space="preserve"> </w:t>
      </w:r>
      <w:r>
        <w:t xml:space="preserve">“</w:t>
      </w:r>
      <w:r>
        <w:t xml:space="preserve">sūnṛta</w:t>
      </w:r>
      <w:r>
        <w:t xml:space="preserve">”</w:t>
      </w:r>
      <w:r>
        <w:t xml:space="preserve"> </w:t>
      </w:r>
      <w:r>
        <w:t xml:space="preserve">means words that are both pleasant and true.</w:t>
      </w:r>
    </w:p>
    <w:p>
      <w:pPr>
        <w:pStyle w:val="FirstParagraph"/>
      </w:pPr>
      <w:r>
        <w:t xml:space="preserve">In just this way, in the question of the goddess Sarasvatī,</w:t>
      </w:r>
      <w:r>
        <w:t xml:space="preserve"> </w:t>
      </w:r>
      <w:r>
        <w:rPr>
          <w:bCs/>
          <w:b/>
        </w:rPr>
        <w:t xml:space="preserve">Śaunaka</w:t>
      </w:r>
      <w:r>
        <w:t xml:space="preserve">, the author of the Bṛhaddevatā, and other authors have explained her in various ways.</w:t>
      </w:r>
    </w:p>
    <w:p>
      <w:pPr>
        <w:pStyle w:val="BodyText"/>
      </w:pPr>
      <w:r>
        <w:t xml:space="preserve">Now let us examine briefly in what senses the word</w:t>
      </w:r>
      <w:r>
        <w:t xml:space="preserve"> </w:t>
      </w:r>
      <w:r>
        <w:t xml:space="preserve">“</w:t>
      </w:r>
      <w:r>
        <w:t xml:space="preserve">sarasvatī</w:t>
      </w:r>
      <w:r>
        <w:t xml:space="preserve">”</w:t>
      </w:r>
      <w:r>
        <w:t xml:space="preserve"> </w:t>
      </w:r>
      <w:r>
        <w:t xml:space="preserve">has been used in the Ṛgveda. In this matter three points must be attended to: (1) the Ṛk we are now expounding,</w:t>
      </w:r>
      <w:r>
        <w:t xml:space="preserve"> </w:t>
      </w:r>
      <w:r>
        <w:t xml:space="preserve">“</w:t>
      </w:r>
      <w:r>
        <w:t xml:space="preserve">pāvakā naḥ sarasvatī</w:t>
      </w:r>
      <w:r>
        <w:t xml:space="preserve">”</w:t>
      </w:r>
      <w:r>
        <w:t xml:space="preserve">; (2) the other Ṛks having Sarasvatī as their deity; (3) the ṛṣis who composed these Ṛks, and their lineages. We shall weigh these three matters.</w:t>
      </w:r>
    </w:p>
    <w:p>
      <w:pPr>
        <w:pStyle w:val="BodyText"/>
      </w:pPr>
      <w:r>
        <w:t xml:space="preserve">In the sūkta now in hand, the Ṛks</w:t>
      </w:r>
      <w:r>
        <w:t xml:space="preserve"> </w:t>
      </w:r>
      <w:r>
        <w:rPr>
          <w:bCs/>
          <w:b/>
        </w:rPr>
        <w:t xml:space="preserve">10, 11 and 12</w:t>
      </w:r>
      <w:r>
        <w:t xml:space="preserve"> </w:t>
      </w:r>
      <w:r>
        <w:t xml:space="preserve">are mantras addressed to Sarasvatī. In the Ṛks 10 and 11, Sarasvatī is probably regarded as a deity and praised; in the 12th Ṛk, as the river. The Bhāṣyakāra Sāyaṇācārya explains Sarasvatī in the Ṛks 10–11 as the goddess of speech, and in the 12th Ṛk as the presiding deity of the river called Sarasvatī.</w:t>
      </w:r>
      <w:r>
        <w:t xml:space="preserve"> </w:t>
      </w:r>
      <w:r>
        <w:rPr>
          <w:bCs/>
          <w:b/>
        </w:rPr>
        <w:t xml:space="preserve">Griffith</w:t>
      </w:r>
      <w:r>
        <w:t xml:space="preserve"> </w:t>
      </w:r>
      <w:r>
        <w:t xml:space="preserve">explains</w:t>
      </w:r>
      <w:r>
        <w:t xml:space="preserve"> </w:t>
      </w:r>
      <w:r>
        <w:t xml:space="preserve">“</w:t>
      </w:r>
      <w:r>
        <w:t xml:space="preserve">Sarasvatī</w:t>
      </w:r>
      <w:r>
        <w:t xml:space="preserve">”</w:t>
      </w:r>
      <w:r>
        <w:t xml:space="preserve"> </w:t>
      </w:r>
      <w:r>
        <w:t xml:space="preserve">as the goddess of speech; but where</w:t>
      </w:r>
      <w:r>
        <w:t xml:space="preserve"> </w:t>
      </w:r>
      <w:r>
        <w:t xml:space="preserve">“</w:t>
      </w:r>
      <w:r>
        <w:t xml:space="preserve">pāvakā</w:t>
      </w:r>
      <w:r>
        <w:t xml:space="preserve">”</w:t>
      </w:r>
      <w:r>
        <w:t xml:space="preserve"> </w:t>
      </w:r>
      <w:r>
        <w:t xml:space="preserve">is given the sense</w:t>
      </w:r>
      <w:r>
        <w:t xml:space="preserve"> </w:t>
      </w:r>
      <w:r>
        <w:t xml:space="preserve">“</w:t>
      </w:r>
      <w:r>
        <w:t xml:space="preserve">purifying with water,</w:t>
      </w:r>
      <w:r>
        <w:t xml:space="preserve">”</w:t>
      </w:r>
      <w:r>
        <w:t xml:space="preserve"> </w:t>
      </w:r>
      <w:r>
        <w:t xml:space="preserve">and where</w:t>
      </w:r>
      <w:r>
        <w:t xml:space="preserve"> </w:t>
      </w:r>
      <w:r>
        <w:t xml:space="preserve">“</w:t>
      </w:r>
      <w:r>
        <w:t xml:space="preserve">ārṇa</w:t>
      </w:r>
      <w:r>
        <w:t xml:space="preserve">”</w:t>
      </w:r>
      <w:r>
        <w:t xml:space="preserve"> </w:t>
      </w:r>
      <w:r>
        <w:t xml:space="preserve">[the word in Rik 3.12,</w:t>
      </w:r>
      <w:r>
        <w:t xml:space="preserve"> </w:t>
      </w:r>
      <w:r>
        <w:t xml:space="preserve">“</w:t>
      </w:r>
      <w:r>
        <w:t xml:space="preserve">maho arṇaḥ</w:t>
      </w:r>
      <w:r>
        <w:t xml:space="preserve">”</w:t>
      </w:r>
      <w:r>
        <w:t xml:space="preserve">] is given the sense</w:t>
      </w:r>
      <w:r>
        <w:t xml:space="preserve"> </w:t>
      </w:r>
      <w:r>
        <w:t xml:space="preserve">“</w:t>
      </w:r>
      <w:r>
        <w:t xml:space="preserve">river,</w:t>
      </w:r>
      <w:r>
        <w:t xml:space="preserve">”</w:t>
      </w:r>
      <w:r>
        <w:t xml:space="preserve"> </w:t>
      </w:r>
      <w:r>
        <w:t xml:space="preserve">“</w:t>
      </w:r>
      <w:r>
        <w:t xml:space="preserve">Sarasvatī</w:t>
      </w:r>
      <w:r>
        <w:t xml:space="preserve">”</w:t>
      </w:r>
      <w:r>
        <w:t xml:space="preserve"> </w:t>
      </w:r>
      <w:r>
        <w:t xml:space="preserve">must mean a river, or the presiding deity of a river. Some modern scholars hold that</w:t>
      </w:r>
      <w:r>
        <w:t xml:space="preserve"> </w:t>
      </w:r>
      <w:r>
        <w:t xml:space="preserve">“</w:t>
      </w:r>
      <w:r>
        <w:t xml:space="preserve">Sarasvatī</w:t>
      </w:r>
      <w:r>
        <w:t xml:space="preserve">”</w:t>
      </w:r>
      <w:r>
        <w:t xml:space="preserve"> </w:t>
      </w:r>
      <w:r>
        <w:t xml:space="preserve">means the river Sindhu. But since the hermitage of the sage Madhucchandas, son of Viśvāmitra, who composed this Ṛk, was on the western bank of the present river Sarasvatī at</w:t>
      </w:r>
      <w:r>
        <w:t xml:space="preserve"> </w:t>
      </w:r>
      <w:r>
        <w:rPr>
          <w:bCs/>
          <w:b/>
        </w:rPr>
        <w:t xml:space="preserve">Kurukṣetra</w:t>
      </w:r>
      <w:r>
        <w:t xml:space="preserve"> </w:t>
      </w:r>
      <w:r>
        <w:t xml:space="preserve">— as stated in the Mahābhārata (Śalya-parva, adhyāya 43) — it is possible to conjecture that Madhucchandas praised this very river Sarasvatī: for when a person praises a river, it does not seem reasonable that he should leave aside the well-known river near the place where he lives and praise some other river of the same name far away.</w:t>
      </w:r>
    </w:p>
    <w:p>
      <w:pPr>
        <w:pStyle w:val="BodyText"/>
      </w:pPr>
      <w:r>
        <w:t xml:space="preserve">In the</w:t>
      </w:r>
      <w:r>
        <w:t xml:space="preserve"> </w:t>
      </w:r>
      <w:r>
        <w:rPr>
          <w:bCs/>
          <w:b/>
        </w:rPr>
        <w:t xml:space="preserve">second Maṇḍala</w:t>
      </w:r>
      <w:r>
        <w:t xml:space="preserve">, the Ṛks that have Sarasvatī as their deity — Ṛ. Saṃ. 2-30-8; 2-32-8; and 2-41-16 to 18 — were all composed by the ṛṣi</w:t>
      </w:r>
      <w:r>
        <w:t xml:space="preserve"> </w:t>
      </w:r>
      <w:r>
        <w:rPr>
          <w:bCs/>
          <w:b/>
        </w:rPr>
        <w:t xml:space="preserve">Gṛtsamada, son of Śunahotra</w:t>
      </w:r>
      <w:r>
        <w:t xml:space="preserve">. This ṛṣi Gṛtsamada is understood to be the sixth in descent from the sage</w:t>
      </w:r>
      <w:r>
        <w:t xml:space="preserve"> </w:t>
      </w:r>
      <w:r>
        <w:rPr>
          <w:bCs/>
          <w:b/>
        </w:rPr>
        <w:t xml:space="preserve">Atri</w:t>
      </w:r>
      <w:r>
        <w:t xml:space="preserve"> </w:t>
      </w:r>
      <w:r>
        <w:t xml:space="preserve">(according to the book</w:t>
      </w:r>
      <w:r>
        <w:t xml:space="preserve"> </w:t>
      </w:r>
      <w:r>
        <w:t xml:space="preserve">“</w:t>
      </w:r>
      <w:r>
        <w:t xml:space="preserve">Pravara and Gotra,</w:t>
      </w:r>
      <w:r>
        <w:t xml:space="preserve">”</w:t>
      </w:r>
      <w:r>
        <w:t xml:space="preserve"> </w:t>
      </w:r>
      <w:r>
        <w:t xml:space="preserve">No. 25 of the Mysore Government Oriental Library, as the source says);</w:t>
      </w:r>
      <w:r>
        <w:t xml:space="preserve"> </w:t>
      </w:r>
      <w:r>
        <w:rPr>
          <w:bCs/>
          <w:b/>
        </w:rPr>
        <w:t xml:space="preserve">Viśvāmitra</w:t>
      </w:r>
      <w:r>
        <w:t xml:space="preserve"> </w:t>
      </w:r>
      <w:r>
        <w:t xml:space="preserve">is the fifth in descent from Atri. In all, in eight Ṛks, this ṛṣi Gṛtsamada praises Sarasvatī…</w:t>
      </w:r>
      <w:r>
        <w:t xml:space="preserve"> </w:t>
      </w:r>
      <w:r>
        <w:rPr>
          <w:iCs/>
          <w:i/>
        </w:rPr>
        <w:t xml:space="preserve">(continues on the next page)</w:t>
      </w:r>
    </w:p>
    <w:bookmarkEnd w:id="97"/>
    <w:bookmarkStart w:id="98" w:name="X38ea0c3b2752a3755cf126201d15a9a456b64ec"/>
    <w:p>
      <w:pPr>
        <w:pStyle w:val="Heading3"/>
      </w:pPr>
      <w:r>
        <w:t xml:space="preserve">Page 71 — The ṛṣis who praise Sarasvatī: Gṛtsamada (continued), Devaśravas and Devavāta, Bharadvāja</w:t>
      </w:r>
    </w:p>
    <w:p>
      <w:pPr>
        <w:pStyle w:val="FirstParagraph"/>
      </w:pPr>
      <w:r>
        <w:rPr>
          <w:iCs/>
          <w:i/>
        </w:rPr>
        <w:t xml:space="preserve">(Page header:</w:t>
      </w:r>
      <w:r>
        <w:rPr>
          <w:iCs/>
          <w:i/>
        </w:rPr>
        <w:t xml:space="preserve"> </w:t>
      </w:r>
      <w:r>
        <w:rPr>
          <w:iCs/>
          <w:i/>
        </w:rPr>
        <w:t xml:space="preserve">“</w:t>
      </w:r>
      <w:r>
        <w:rPr>
          <w:iCs/>
          <w:i/>
        </w:rPr>
        <w:t xml:space="preserve">Aṣṭaka 1, Adhyāya 1, Varga 6 · Ṛgveda-saṃhitā.</w:t>
      </w:r>
      <w:r>
        <w:rPr>
          <w:iCs/>
          <w:i/>
        </w:rPr>
        <w:t xml:space="preserve">”</w:t>
      </w:r>
      <w:r>
        <w:rPr>
          <w:iCs/>
          <w:i/>
        </w:rPr>
        <w:t xml:space="preserve"> </w:t>
      </w:r>
      <w:r>
        <w:rPr>
          <w:iCs/>
          <w:i/>
        </w:rPr>
        <w:t xml:space="preserve">Reference-numbers on this page re-read from the better scan (Oct 2026 numeral pass). English words as printed.)</w:t>
      </w:r>
    </w:p>
    <w:p>
      <w:pPr>
        <w:pStyle w:val="BodyText"/>
      </w:pPr>
      <w:r>
        <w:rPr>
          <w:iCs/>
          <w:i/>
        </w:rPr>
        <w:t xml:space="preserve">(Continuing from p. 70:)</w:t>
      </w:r>
      <w:r>
        <w:t xml:space="preserve"> </w:t>
      </w:r>
      <w:r>
        <w:t xml:space="preserve">…Gṛtsamada praises Sarasvatī. In Ṛ. Saṃ. 2-1-11 and 2-3-8 he praises Sarasvatī together with Iḷā and Bhāratī. In Ṛ. Saṃ. 2-35-5 he speaks of these three — that is, Iḷā, Sarasvatī and Bhāratī — as three goddesses. In Ṛ. Saṃ. 2-30-8 he praises Sarasvatī along with Indra and the Maruts. In Ṛ. Saṃ. 2-32-8 he speaks of Sarasvatī as a deity. In the 16th Ṛk of the sūkta 2-41 he describes Sarasvatī as a very large river and also a very large deity; and in the 18th Ṛk he describes her, with the word</w:t>
      </w:r>
      <w:r>
        <w:t xml:space="preserve"> </w:t>
      </w:r>
      <w:r>
        <w:t xml:space="preserve">“</w:t>
      </w:r>
      <w:r>
        <w:rPr>
          <w:bCs/>
          <w:b/>
        </w:rPr>
        <w:t xml:space="preserve">ṛtāvarī</w:t>
      </w:r>
      <w:r>
        <w:t xml:space="preserve">”</w:t>
      </w:r>
      <w:r>
        <w:t xml:space="preserve"> </w:t>
      </w:r>
      <w:r>
        <w:t xml:space="preserve">(that is,</w:t>
      </w:r>
      <w:r>
        <w:t xml:space="preserve"> </w:t>
      </w:r>
      <w:r>
        <w:t xml:space="preserve">“</w:t>
      </w:r>
      <w:r>
        <w:t xml:space="preserve">ṛta</w:t>
      </w:r>
      <w:r>
        <w:t xml:space="preserve">”</w:t>
      </w:r>
      <w:r>
        <w:t xml:space="preserve"> </w:t>
      </w:r>
      <w:r>
        <w:t xml:space="preserve">= water) as a river with abundant water. Seeing this, some Western scholars say, because she is spoken of as</w:t>
      </w:r>
      <w:r>
        <w:t xml:space="preserve"> </w:t>
      </w:r>
      <w:r>
        <w:t xml:space="preserve">“</w:t>
      </w:r>
      <w:r>
        <w:t xml:space="preserve">a very large river,</w:t>
      </w:r>
      <w:r>
        <w:t xml:space="preserve">”</w:t>
      </w:r>
      <w:r>
        <w:t xml:space="preserve"> </w:t>
      </w:r>
      <w:r>
        <w:t xml:space="preserve">that she must be the Sindhu. But that is not right; for when a poet praises a river or a deity (even a small or ordinary one) it is common to describe it as very large. In Ṛ. Saṃ. 2-30-8 some think the ṛṣi Gṛtsamada praises Sarasvatī as the presiding deity of both rivers and the (cloud) lightning; but to say that one ṛṣi describes one and the same deity in different senses seems without reason.</w:t>
      </w:r>
    </w:p>
    <w:p>
      <w:pPr>
        <w:pStyle w:val="BodyText"/>
      </w:pPr>
      <w:r>
        <w:t xml:space="preserve">The sūkta</w:t>
      </w:r>
      <w:r>
        <w:t xml:space="preserve"> </w:t>
      </w:r>
      <w:r>
        <w:rPr>
          <w:bCs/>
          <w:b/>
        </w:rPr>
        <w:t xml:space="preserve">Ṛ. Saṃ. 3-23</w:t>
      </w:r>
      <w:r>
        <w:t xml:space="preserve"> </w:t>
      </w:r>
      <w:r>
        <w:t xml:space="preserve">has as ṛṣis</w:t>
      </w:r>
      <w:r>
        <w:t xml:space="preserve"> </w:t>
      </w:r>
      <w:r>
        <w:rPr>
          <w:bCs/>
          <w:b/>
        </w:rPr>
        <w:t xml:space="preserve">Devaśravas and Devavāta, the sons of Bharata</w:t>
      </w:r>
      <w:r>
        <w:t xml:space="preserve">. According to the book</w:t>
      </w:r>
      <w:r>
        <w:t xml:space="preserve"> </w:t>
      </w:r>
      <w:r>
        <w:t xml:space="preserve">“</w:t>
      </w:r>
      <w:r>
        <w:t xml:space="preserve">Gotra-Pravara</w:t>
      </w:r>
      <w:r>
        <w:t xml:space="preserve">”</w:t>
      </w:r>
      <w:r>
        <w:t xml:space="preserve"> </w:t>
      </w:r>
      <w:r>
        <w:t xml:space="preserve">mentioned earlier, these ṛṣis are understood to be the sons of Viśvāmitra. Bharata is understood, from the same book, to be the sixth in descent from Atri, and Viśvāmitra the seventh [as the print says; compare the</w:t>
      </w:r>
      <w:r>
        <w:t xml:space="preserve"> </w:t>
      </w:r>
      <w:r>
        <w:t xml:space="preserve">“</w:t>
      </w:r>
      <w:r>
        <w:t xml:space="preserve">fifth</w:t>
      </w:r>
      <w:r>
        <w:t xml:space="preserve">”</w:t>
      </w:r>
      <w:r>
        <w:t xml:space="preserve"> </w:t>
      </w:r>
      <w:r>
        <w:t xml:space="preserve">for Viśvāmitra on p. 70 — the discrepancy is in the source and is recorded, not resolved]; both are descendants of Purūravas, the great-grandson of Atri (the print:</w:t>
      </w:r>
      <w:r>
        <w:t xml:space="preserve"> </w:t>
      </w:r>
      <w:r>
        <w:t xml:space="preserve">“</w:t>
      </w:r>
      <w:r>
        <w:t xml:space="preserve">ಅತ್ರಿಯ ಮರಿಮಗನಾದ ಪುರೂರವನ ವಂಶಸ್ಥರು</w:t>
      </w:r>
      <w:r>
        <w:t xml:space="preserve">”</w:t>
      </w:r>
      <w:r>
        <w:t xml:space="preserve"> </w:t>
      </w:r>
      <w:r>
        <w:t xml:space="preserve">—</w:t>
      </w:r>
      <w:r>
        <w:t xml:space="preserve"> </w:t>
      </w:r>
      <w:r>
        <w:t xml:space="preserve">“</w:t>
      </w:r>
      <w:r>
        <w:t xml:space="preserve">descendants of Purūravas, Atri’s great-grandson</w:t>
      </w:r>
      <w:r>
        <w:t xml:space="preserve">”</w:t>
      </w:r>
      <w:r>
        <w:t xml:space="preserve">). These ṛṣis in Ṛ. Saṃ. 3-23-4 say:</w:t>
      </w:r>
    </w:p>
    <w:p>
      <w:pPr>
        <w:pStyle w:val="BlockText"/>
      </w:pPr>
      <w:r>
        <w:t xml:space="preserve">नि त्वा दधे वर आ पृथिव्या इळायास्पदे सुदिनत्वे अह्नाम् ।</w:t>
      </w:r>
      <w:r>
        <w:t xml:space="preserve"> </w:t>
      </w:r>
      <w:r>
        <w:t xml:space="preserve">दृषद्वत्यां मानुषा आपयायां सरस्वत्यां रेवदग्ने दिदीहि ॥ (ऋ. सं. ३-२३-४)</w:t>
      </w:r>
      <w:r>
        <w:t xml:space="preserve"> </w:t>
      </w:r>
      <w:r>
        <w:rPr>
          <w:iCs/>
          <w:i/>
        </w:rPr>
        <w:t xml:space="preserve">ni tvā dadhe vara ā pṛthivyā iḷāyās pade sudinatve ahnām |</w:t>
      </w:r>
      <w:r>
        <w:t xml:space="preserve"> </w:t>
      </w:r>
      <w:r>
        <w:rPr>
          <w:iCs/>
          <w:i/>
        </w:rPr>
        <w:t xml:space="preserve">dṛṣadvatyāṃ mānuṣā āpayāyāṃ sarasvatyāṃ revad agne didīhi || (ṛ. saṃ. 3-23-4)</w:t>
      </w:r>
      <w:r>
        <w:t xml:space="preserve"> </w:t>
      </w:r>
      <w:r>
        <w:t xml:space="preserve">Gloss (mine):</w:t>
      </w:r>
      <w:r>
        <w:t xml:space="preserve"> </w:t>
      </w:r>
      <w:r>
        <w:t xml:space="preserve">“</w:t>
      </w:r>
      <w:r>
        <w:t xml:space="preserve">I have set you down on the best place of the earth, on the footing of Iḷā, in the good days of the days; on the Dṛṣadvatī, among men, on the Āpayā, on the Sarasvatī: shine richly, O Agni.</w:t>
      </w:r>
      <w:r>
        <w:t xml:space="preserve">”</w:t>
      </w:r>
    </w:p>
    <w:p>
      <w:pPr>
        <w:pStyle w:val="FirstParagraph"/>
      </w:pPr>
      <w:r>
        <w:t xml:space="preserve">Along with the river Sarasvatī they name two other rivers:</w:t>
      </w:r>
      <w:r>
        <w:t xml:space="preserve"> </w:t>
      </w:r>
      <w:r>
        <w:rPr>
          <w:bCs/>
          <w:b/>
        </w:rPr>
        <w:t xml:space="preserve">Dṛṣadvatī</w:t>
      </w:r>
      <w:r>
        <w:t xml:space="preserve"> </w:t>
      </w:r>
      <w:r>
        <w:t xml:space="preserve">and</w:t>
      </w:r>
      <w:r>
        <w:t xml:space="preserve"> </w:t>
      </w:r>
      <w:r>
        <w:rPr>
          <w:bCs/>
          <w:b/>
        </w:rPr>
        <w:t xml:space="preserve">Āpayā</w:t>
      </w:r>
      <w:r>
        <w:t xml:space="preserve">. Dṛṣadvatī is the present river called Citrāṅga (the source’s English:</w:t>
      </w:r>
      <w:r>
        <w:t xml:space="preserve"> </w:t>
      </w:r>
      <w:r>
        <w:t xml:space="preserve">“</w:t>
      </w:r>
      <w:r>
        <w:t xml:space="preserve">the modern Chitrang, Chautag, or Chitang</w:t>
      </w:r>
      <w:r>
        <w:t xml:space="preserve">”</w:t>
      </w:r>
      <w:r>
        <w:t xml:space="preserve">); Āpayā is the present river called Apagā (</w:t>
      </w:r>
      <w:r>
        <w:t xml:space="preserve">“</w:t>
      </w:r>
      <w:r>
        <w:t xml:space="preserve">the modern Apaga</w:t>
      </w:r>
      <w:r>
        <w:t xml:space="preserve">”</w:t>
      </w:r>
      <w:r>
        <w:t xml:space="preserve">). Since both rivers lie in the neighbourhood of the river Sarasvatī, it can be said with confidence that Sarasvatī is not the Sindhu. Further, the hermitage of the sage Viśvāmitra, too, was on the west bank of this river Sarasvatī (in Kurukṣetra), as modern investigations show (the source adds:</w:t>
      </w:r>
      <w:r>
        <w:t xml:space="preserve"> </w:t>
      </w:r>
      <w:r>
        <w:t xml:space="preserve">“</w:t>
      </w:r>
      <w:r>
        <w:t xml:space="preserve">see Dey’s Geographical Dic.</w:t>
      </w:r>
      <w:r>
        <w:t xml:space="preserve">”</w:t>
      </w:r>
      <w:r>
        <w:t xml:space="preserve">). All that has been said so far concerns the lineages of Atri and Viśvāmitra.</w:t>
      </w:r>
    </w:p>
    <w:p>
      <w:pPr>
        <w:pStyle w:val="BodyText"/>
      </w:pPr>
      <w:r>
        <w:t xml:space="preserve">Now let us consider Bharadvāja and his lineage. The three Ṛks Ṛ. Saṃ. 6-49-7; 6-50-12; 6-52-6 all have, as their ṛṣi,</w:t>
      </w:r>
      <w:r>
        <w:t xml:space="preserve"> </w:t>
      </w:r>
      <w:r>
        <w:rPr>
          <w:bCs/>
          <w:b/>
        </w:rPr>
        <w:t xml:space="preserve">Ṛjiśvā, the son of Bharadvāja</w:t>
      </w:r>
      <w:r>
        <w:t xml:space="preserve">. In the first and third of these three Ṛks, Sarasvatī is [described as] a river…</w:t>
      </w:r>
      <w:r>
        <w:t xml:space="preserve"> </w:t>
      </w:r>
      <w:r>
        <w:rPr>
          <w:iCs/>
          <w:i/>
        </w:rPr>
        <w:t xml:space="preserve">(continues on the next page)</w:t>
      </w:r>
    </w:p>
    <w:bookmarkEnd w:id="98"/>
    <w:bookmarkStart w:id="99" w:name="X6b27e84315628b901f7c0a7a8ea7b5f49837792"/>
    <w:p>
      <w:pPr>
        <w:pStyle w:val="Heading3"/>
      </w:pPr>
      <w:r>
        <w:t xml:space="preserve">Page 72 — Sarasvatī as a river in the hymns of Bharadvāja, Vasiṣṭha and Śobhari</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1, Sūkta 3.</w:t>
      </w:r>
      <w:r>
        <w:rPr>
          <w:iCs/>
          <w:i/>
        </w:rPr>
        <w:t xml:space="preserve">”</w:t>
      </w:r>
      <w:r>
        <w:rPr>
          <w:iCs/>
          <w:i/>
        </w:rPr>
        <w:t xml:space="preserve"> </w:t>
      </w:r>
      <w:r>
        <w:rPr>
          <w:iCs/>
          <w:i/>
        </w:rPr>
        <w:t xml:space="preserve">Reference-numbers marked [?] where unsure.)</w:t>
      </w:r>
    </w:p>
    <w:p>
      <w:pPr>
        <w:pStyle w:val="BodyText"/>
      </w:pPr>
      <w:r>
        <w:t xml:space="preserve">…the matter is stated clearly. In the second mantra, though the name of Sarasvatī is mentioned along with the names of the deities</w:t>
      </w:r>
      <w:r>
        <w:t xml:space="preserve"> </w:t>
      </w:r>
      <w:r>
        <w:rPr>
          <w:bCs/>
          <w:b/>
        </w:rPr>
        <w:t xml:space="preserve">Rudra, Viṣṇu, Vāyu and Parjanya</w:t>
      </w:r>
      <w:r>
        <w:t xml:space="preserve">, Sarasvatī may be understood as a river; for in the two [other] Ṛks the ṛṣi says that Sarasvatī is a river, and in another Ṛk the same ṛṣi praises Sarasvatī as a river — which is only natural. The hermitage of Bharadvāja was at</w:t>
      </w:r>
      <w:r>
        <w:t xml:space="preserve"> </w:t>
      </w:r>
      <w:r>
        <w:rPr>
          <w:bCs/>
          <w:b/>
        </w:rPr>
        <w:t xml:space="preserve">Prayāga</w:t>
      </w:r>
      <w:r>
        <w:t xml:space="preserve"> </w:t>
      </w:r>
      <w:r>
        <w:t xml:space="preserve">(the source’s English:</w:t>
      </w:r>
      <w:r>
        <w:t xml:space="preserve"> </w:t>
      </w:r>
      <w:r>
        <w:t xml:space="preserve">“</w:t>
      </w:r>
      <w:r>
        <w:t xml:space="preserve">Allahabad</w:t>
      </w:r>
      <w:r>
        <w:t xml:space="preserve">”</w:t>
      </w:r>
      <w:r>
        <w:t xml:space="preserve">). Therefore Ṛjiśvā, son of Bharadvāja, must have praised a river near his own hermitage. The whole of</w:t>
      </w:r>
      <w:r>
        <w:t xml:space="preserve"> </w:t>
      </w:r>
      <w:r>
        <w:rPr>
          <w:bCs/>
          <w:b/>
        </w:rPr>
        <w:t xml:space="preserve">Ṛ. Saṃ. 6-61</w:t>
      </w:r>
      <w:r>
        <w:t xml:space="preserve"> </w:t>
      </w:r>
      <w:r>
        <w:t xml:space="preserve">(14 Ṛks in all) by the ṛṣi Bharadvāja concerns Sarasvatī. Some Western scholars hold that the sense of several words in this sūkta applies to the river Sindhu; but since those words apply equally to the river Sarasvatī, there is no room for doubt.</w:t>
      </w:r>
    </w:p>
    <w:p>
      <w:pPr>
        <w:pStyle w:val="BodyText"/>
      </w:pPr>
      <w:r>
        <w:t xml:space="preserve">The Ṛks in the</w:t>
      </w:r>
      <w:r>
        <w:t xml:space="preserve"> </w:t>
      </w:r>
      <w:r>
        <w:rPr>
          <w:bCs/>
          <w:b/>
        </w:rPr>
        <w:t xml:space="preserve">seventh Maṇḍala</w:t>
      </w:r>
      <w:r>
        <w:t xml:space="preserve"> </w:t>
      </w:r>
      <w:r>
        <w:t xml:space="preserve">— Ṛ. Saṃ. 7-9-5; 7-35-11; 7-36-6; 7-40-3; 7-95; 7-96 — are all by the ṛṣi</w:t>
      </w:r>
      <w:r>
        <w:t xml:space="preserve"> </w:t>
      </w:r>
      <w:r>
        <w:rPr>
          <w:bCs/>
          <w:b/>
        </w:rPr>
        <w:t xml:space="preserve">Vasiṣṭha</w:t>
      </w:r>
      <w:r>
        <w:t xml:space="preserve">. The hermitage of Vasiṣṭha is understood to have been near</w:t>
      </w:r>
      <w:r>
        <w:t xml:space="preserve"> </w:t>
      </w:r>
      <w:r>
        <w:rPr>
          <w:bCs/>
          <w:b/>
        </w:rPr>
        <w:t xml:space="preserve">Mount Abu</w:t>
      </w:r>
      <w:r>
        <w:t xml:space="preserve"> </w:t>
      </w:r>
      <w:r>
        <w:t xml:space="preserve">(the source’s English), a hill in the Āravalī mountain in Rājputānā. The first four mantras and the last two sūktas [of the group] praise Sarasvatī as a river. The words</w:t>
      </w:r>
      <w:r>
        <w:t xml:space="preserve"> </w:t>
      </w:r>
      <w:r>
        <w:t xml:space="preserve">“</w:t>
      </w:r>
      <w:r>
        <w:rPr>
          <w:bCs/>
          <w:b/>
        </w:rPr>
        <w:t xml:space="preserve">sindhumātā</w:t>
      </w:r>
      <w:r>
        <w:t xml:space="preserve">”</w:t>
      </w:r>
      <w:r>
        <w:t xml:space="preserve"> </w:t>
      </w:r>
      <w:r>
        <w:t xml:space="preserve">and</w:t>
      </w:r>
      <w:r>
        <w:t xml:space="preserve"> </w:t>
      </w:r>
      <w:r>
        <w:t xml:space="preserve">“</w:t>
      </w:r>
      <w:r>
        <w:rPr>
          <w:bCs/>
          <w:b/>
        </w:rPr>
        <w:t xml:space="preserve">āsamudrāt</w:t>
      </w:r>
      <w:r>
        <w:t xml:space="preserve">”</w:t>
      </w:r>
      <w:r>
        <w:t xml:space="preserve"> </w:t>
      </w:r>
      <w:r>
        <w:t xml:space="preserve">in these Ṛks apply especially to the river Sindhu, and so some say that it is the Sindhu that is praised in these mantras. This dispute cannot be completely set aside. Still, when speaking of one river, it is not impossible to compare another river with it, and to praise it with exaggeration.</w:t>
      </w:r>
    </w:p>
    <w:p>
      <w:pPr>
        <w:pStyle w:val="BodyText"/>
      </w:pPr>
      <w:r>
        <w:t xml:space="preserve">In the</w:t>
      </w:r>
      <w:r>
        <w:t xml:space="preserve"> </w:t>
      </w:r>
      <w:r>
        <w:rPr>
          <w:bCs/>
          <w:b/>
        </w:rPr>
        <w:t xml:space="preserve">eighth Maṇḍala</w:t>
      </w:r>
      <w:r>
        <w:t xml:space="preserve">, the Ṛks Ṛ. Saṃ. 8-21-17 and 18 are by the ṛṣi</w:t>
      </w:r>
      <w:r>
        <w:t xml:space="preserve"> </w:t>
      </w:r>
      <w:r>
        <w:rPr>
          <w:bCs/>
          <w:b/>
        </w:rPr>
        <w:t xml:space="preserve">Śobhari, son of Kaṇva</w:t>
      </w:r>
      <w:r>
        <w:t xml:space="preserve">. In these Ṛks this ṛṣi describes the sacrifice that a king named</w:t>
      </w:r>
      <w:r>
        <w:t xml:space="preserve"> </w:t>
      </w:r>
      <w:r>
        <w:rPr>
          <w:bCs/>
          <w:b/>
        </w:rPr>
        <w:t xml:space="preserve">Citra</w:t>
      </w:r>
      <w:r>
        <w:t xml:space="preserve"> </w:t>
      </w:r>
      <w:r>
        <w:t xml:space="preserve">performed on the bank of the river Sarasvatī and praises that king’s gifts. Since Śaunaka, in his Bṛhaddevatā (6-58 to 62), says that this king Citra performed a sacrifice at Kurukṣetra, the river must be the nearby Sarasvatī. And:</w:t>
      </w:r>
    </w:p>
    <w:p>
      <w:pPr>
        <w:pStyle w:val="BlockText"/>
      </w:pPr>
      <w:r>
        <w:t xml:space="preserve">पूषा विष्णुर्हवनं मे सरस्वत्यवन्तु सप्त सिन्धवः ।</w:t>
      </w:r>
      <w:r>
        <w:t xml:space="preserve"> </w:t>
      </w:r>
      <w:r>
        <w:t xml:space="preserve">आपो वातः पर्वतासो वनस्पतिः शृणोतु पृथिवी हवम् ॥ (ऋ. सं. ८-५४-९)</w:t>
      </w:r>
      <w:r>
        <w:t xml:space="preserve"> </w:t>
      </w:r>
      <w:r>
        <w:rPr>
          <w:iCs/>
          <w:i/>
        </w:rPr>
        <w:t xml:space="preserve">pūṣā viṣṇur havanaṃ me sarasvaty avantu sapta sindhavaḥ |</w:t>
      </w:r>
      <w:r>
        <w:t xml:space="preserve"> </w:t>
      </w:r>
      <w:r>
        <w:rPr>
          <w:iCs/>
          <w:i/>
        </w:rPr>
        <w:t xml:space="preserve">āpo vātaḥ parvatāso vanaspatiḥ śṛṇotu pṛthivī havam || (ṛ. saṃ. 8-54-9)</w:t>
      </w:r>
      <w:r>
        <w:t xml:space="preserve"> </w:t>
      </w:r>
      <w:r>
        <w:t xml:space="preserve">Gloss (mine):</w:t>
      </w:r>
      <w:r>
        <w:t xml:space="preserve"> </w:t>
      </w:r>
      <w:r>
        <w:t xml:space="preserve">“</w:t>
      </w:r>
      <w:r>
        <w:t xml:space="preserve">May Pūṣan, Viṣṇu, Sarasvatī, the seven rivers, help my invocation; the Waters, the Wind, the Mountains, the Tree-lord — may Earth hear my call.</w:t>
      </w:r>
      <w:r>
        <w:t xml:space="preserve">”</w:t>
      </w:r>
    </w:p>
    <w:p>
      <w:pPr>
        <w:pStyle w:val="FirstParagraph"/>
      </w:pPr>
      <w:r>
        <w:t xml:space="preserve">In this Ṛk, Sarasvatī is also mentioned among the deities Pūṣan, Viṣṇu,</w:t>
      </w:r>
      <w:r>
        <w:t xml:space="preserve"> </w:t>
      </w:r>
      <w:r>
        <w:rPr>
          <w:bCs/>
          <w:b/>
        </w:rPr>
        <w:t xml:space="preserve">Sarasvatī, the Seven Rivers (sapta-sindhavaḥ)</w:t>
      </w:r>
      <w:r>
        <w:t xml:space="preserve">, the Waters, the Wind, the Mountains, the Lord of the Forest (Vanaspati) and Earth. Likewise in Ṛ. Saṃ. 9-67-32, the ṛṣi of that mantra,</w:t>
      </w:r>
      <w:r>
        <w:t xml:space="preserve"> </w:t>
      </w:r>
      <w:r>
        <w:rPr>
          <w:bCs/>
          <w:b/>
        </w:rPr>
        <w:t xml:space="preserve">Vasiṣṭha or Pavitra</w:t>
      </w:r>
      <w:r>
        <w:t xml:space="preserve">, has used the word</w:t>
      </w:r>
      <w:r>
        <w:t xml:space="preserve"> </w:t>
      </w:r>
      <w:r>
        <w:t xml:space="preserve">“</w:t>
      </w:r>
      <w:r>
        <w:t xml:space="preserve">Sarasvatī.</w:t>
      </w:r>
      <w:r>
        <w:t xml:space="preserve">”</w:t>
      </w:r>
      <w:r>
        <w:t xml:space="preserve"> </w:t>
      </w:r>
      <w:r>
        <w:t xml:space="preserve">Here Sarasvatī may be taken in either sense, as a deity or as a river. In Ṛ. Saṃ. 10-30-12, it is clearly stated which river is meant by</w:t>
      </w:r>
      <w:r>
        <w:t xml:space="preserve"> </w:t>
      </w:r>
      <w:r>
        <w:t xml:space="preserve">“</w:t>
      </w:r>
      <w:r>
        <w:t xml:space="preserve">Sarasvatī</w:t>
      </w:r>
      <w:r>
        <w:t xml:space="preserve">”</w:t>
      </w:r>
      <w:r>
        <w:t xml:space="preserve"> </w:t>
      </w:r>
      <w:r>
        <w:t xml:space="preserve">…</w:t>
      </w:r>
      <w:r>
        <w:t xml:space="preserve"> </w:t>
      </w:r>
      <w:r>
        <w:rPr>
          <w:iCs/>
          <w:i/>
        </w:rPr>
        <w:t xml:space="preserve">(continues on the next page)</w:t>
      </w:r>
    </w:p>
    <w:bookmarkEnd w:id="99"/>
    <w:bookmarkStart w:id="100" w:name="Xf1302a6bcbeae544091266149e1a995b3125426"/>
    <w:p>
      <w:pPr>
        <w:pStyle w:val="Heading3"/>
      </w:pPr>
      <w:r>
        <w:t xml:space="preserve">Page 73 — Sarasvatī among the rivers (Ṛ. 10-75); the ten Āprī-sūktas (opening of the list)</w:t>
      </w:r>
    </w:p>
    <w:p>
      <w:pPr>
        <w:pStyle w:val="FirstParagraph"/>
      </w:pPr>
      <w:r>
        <w:rPr>
          <w:iCs/>
          <w:i/>
        </w:rPr>
        <w:t xml:space="preserve">(Page header:</w:t>
      </w:r>
      <w:r>
        <w:rPr>
          <w:iCs/>
          <w:i/>
        </w:rPr>
        <w:t xml:space="preserve"> </w:t>
      </w:r>
      <w:r>
        <w:rPr>
          <w:iCs/>
          <w:i/>
        </w:rPr>
        <w:t xml:space="preserve">“</w:t>
      </w:r>
      <w:r>
        <w:rPr>
          <w:iCs/>
          <w:i/>
        </w:rPr>
        <w:t xml:space="preserve">Aṣṭaka 1, Adhyāya 1, Varga 6 · Ṛgveda-saṃhitā.</w:t>
      </w:r>
      <w:r>
        <w:rPr>
          <w:iCs/>
          <w:i/>
        </w:rPr>
        <w:t xml:space="preserve">”</w:t>
      </w:r>
      <w:r>
        <w:rPr>
          <w:iCs/>
          <w:i/>
        </w:rPr>
        <w:t xml:space="preserve"> </w:t>
      </w:r>
      <w:r>
        <w:rPr>
          <w:iCs/>
          <w:i/>
        </w:rPr>
        <w:t xml:space="preserve">Reference-numbers marked [?] where unsure. The modern river-names in brackets are printed in English in the source. The Sanskrit mnemonic verses on this page are compressed and partly garbled in the print: I transcribe them as I read them, with [?], and give their sense in outline rather than a line-by-line translation.)</w:t>
      </w:r>
    </w:p>
    <w:p>
      <w:pPr>
        <w:pStyle w:val="BodyText"/>
      </w:pPr>
      <w:r>
        <w:rPr>
          <w:iCs/>
          <w:i/>
        </w:rPr>
        <w:t xml:space="preserve">(Continuing from p. 72,</w:t>
      </w:r>
      <w:r>
        <w:rPr>
          <w:iCs/>
          <w:i/>
        </w:rPr>
        <w:t xml:space="preserve"> </w:t>
      </w:r>
      <w:r>
        <w:rPr>
          <w:iCs/>
          <w:i/>
        </w:rPr>
        <w:t xml:space="preserve">“</w:t>
      </w:r>
      <w:r>
        <w:rPr>
          <w:iCs/>
          <w:i/>
        </w:rPr>
        <w:t xml:space="preserve">…it is clearly stated which river is meant by</w:t>
      </w:r>
      <w:r>
        <w:rPr>
          <w:iCs/>
          <w:i/>
        </w:rPr>
        <w:t xml:space="preserve"> </w:t>
      </w:r>
      <w:r>
        <w:rPr>
          <w:iCs/>
          <w:i/>
        </w:rPr>
        <w:t xml:space="preserve">‘</w:t>
      </w:r>
      <w:r>
        <w:rPr>
          <w:iCs/>
          <w:i/>
        </w:rPr>
        <w:t xml:space="preserve">Sarasvatī</w:t>
      </w:r>
      <w:r>
        <w:rPr>
          <w:iCs/>
          <w:i/>
        </w:rPr>
        <w:t xml:space="preserve">’</w:t>
      </w:r>
      <w:r>
        <w:rPr>
          <w:iCs/>
          <w:i/>
        </w:rPr>
        <w:t xml:space="preserve">:</w:t>
      </w:r>
      <w:r>
        <w:rPr>
          <w:iCs/>
          <w:i/>
        </w:rPr>
        <w:t xml:space="preserve">”</w:t>
      </w:r>
      <w:r>
        <w:rPr>
          <w:iCs/>
          <w:i/>
        </w:rPr>
        <w:t xml:space="preserve">)</w:t>
      </w:r>
      <w:r>
        <w:t xml:space="preserve"> </w:t>
      </w:r>
      <w:r>
        <w:t xml:space="preserve">In Ṛ. Saṃ. 10-64-9 the ṛṣi of that mantra,</w:t>
      </w:r>
      <w:r>
        <w:t xml:space="preserve"> </w:t>
      </w:r>
      <w:r>
        <w:rPr>
          <w:bCs/>
          <w:b/>
        </w:rPr>
        <w:t xml:space="preserve">Gaya</w:t>
      </w:r>
      <w:r>
        <w:t xml:space="preserve"> </w:t>
      </w:r>
      <w:r>
        <w:t xml:space="preserve">(of the lineage of Atri), speaks of Sarasvatī in the company of the rivers</w:t>
      </w:r>
      <w:r>
        <w:t xml:space="preserve"> </w:t>
      </w:r>
      <w:r>
        <w:rPr>
          <w:bCs/>
          <w:b/>
        </w:rPr>
        <w:t xml:space="preserve">Sindhu</w:t>
      </w:r>
      <w:r>
        <w:t xml:space="preserve"> </w:t>
      </w:r>
      <w:r>
        <w:t xml:space="preserve">and</w:t>
      </w:r>
      <w:r>
        <w:t xml:space="preserve"> </w:t>
      </w:r>
      <w:r>
        <w:rPr>
          <w:bCs/>
          <w:b/>
        </w:rPr>
        <w:t xml:space="preserve">Sarayū</w:t>
      </w:r>
      <w:r>
        <w:t xml:space="preserve"> </w:t>
      </w:r>
      <w:r>
        <w:t xml:space="preserve">(the source’s English:</w:t>
      </w:r>
      <w:r>
        <w:t xml:space="preserve"> </w:t>
      </w:r>
      <w:r>
        <w:t xml:space="preserve">“</w:t>
      </w:r>
      <w:r>
        <w:t xml:space="preserve">Gogra</w:t>
      </w:r>
      <w:r>
        <w:t xml:space="preserve">”</w:t>
      </w:r>
      <w:r>
        <w:t xml:space="preserve">). And:</w:t>
      </w:r>
    </w:p>
    <w:p>
      <w:pPr>
        <w:pStyle w:val="BlockText"/>
      </w:pPr>
      <w:r>
        <w:t xml:space="preserve">इमं मे गङ्गे यमुने सरस्वति शुतुद्रि स्तोमं सचता परुष्ण्या ।</w:t>
      </w:r>
      <w:r>
        <w:t xml:space="preserve"> </w:t>
      </w:r>
      <w:r>
        <w:t xml:space="preserve">असिक्न्या मरुद्वृधे वितस्तयार्जीकीये शृणुह्या सुषोमया ॥ (ऋ. सं. १०-७५-५)</w:t>
      </w:r>
      <w:r>
        <w:t xml:space="preserve"> </w:t>
      </w:r>
      <w:r>
        <w:rPr>
          <w:iCs/>
          <w:i/>
        </w:rPr>
        <w:t xml:space="preserve">imaṃ me gaṅge yamune sarasvati śutudri stomaṃ sacatā paruṣṇyā |</w:t>
      </w:r>
      <w:r>
        <w:t xml:space="preserve"> </w:t>
      </w:r>
      <w:r>
        <w:rPr>
          <w:iCs/>
          <w:i/>
        </w:rPr>
        <w:t xml:space="preserve">asiknyā marudvṛdhe vitastayārjīkīye śṛṇuhy ā suṣomayā || (ṛ. saṃ. 10-75-5)</w:t>
      </w:r>
      <w:r>
        <w:t xml:space="preserve"> </w:t>
      </w:r>
      <w:r>
        <w:t xml:space="preserve">Gloss (mine):</w:t>
      </w:r>
      <w:r>
        <w:t xml:space="preserve"> </w:t>
      </w:r>
      <w:r>
        <w:t xml:space="preserve">“</w:t>
      </w:r>
      <w:r>
        <w:t xml:space="preserve">O Gaṅgā, Yamunā, Sarasvatī, Śutudri — attend to this my praise, together with Paruṣṇī; with Asiknī, O Marudvṛdhā, with Vitastā, O Ārjīkīyā, hear, together with Suṣomā.</w:t>
      </w:r>
      <w:r>
        <w:t xml:space="preserve">”</w:t>
      </w:r>
    </w:p>
    <w:p>
      <w:pPr>
        <w:pStyle w:val="FirstParagraph"/>
      </w:pPr>
      <w:r>
        <w:t xml:space="preserve">In this Ṛk the river Sarasvatī is named together with</w:t>
      </w:r>
      <w:r>
        <w:t xml:space="preserve"> </w:t>
      </w:r>
      <w:r>
        <w:rPr>
          <w:bCs/>
          <w:b/>
        </w:rPr>
        <w:t xml:space="preserve">Gaṅgā</w:t>
      </w:r>
      <w:r>
        <w:t xml:space="preserve"> </w:t>
      </w:r>
      <w:r>
        <w:t xml:space="preserve">(the Ganges),</w:t>
      </w:r>
      <w:r>
        <w:t xml:space="preserve"> </w:t>
      </w:r>
      <w:r>
        <w:rPr>
          <w:bCs/>
          <w:b/>
        </w:rPr>
        <w:t xml:space="preserve">Yamunā</w:t>
      </w:r>
      <w:r>
        <w:t xml:space="preserve"> </w:t>
      </w:r>
      <w:r>
        <w:t xml:space="preserve">(the Jamna),</w:t>
      </w:r>
      <w:r>
        <w:t xml:space="preserve"> </w:t>
      </w:r>
      <w:r>
        <w:rPr>
          <w:bCs/>
          <w:b/>
        </w:rPr>
        <w:t xml:space="preserve">Śutudri</w:t>
      </w:r>
      <w:r>
        <w:t xml:space="preserve"> </w:t>
      </w:r>
      <w:r>
        <w:t xml:space="preserve">(the Sutlej),</w:t>
      </w:r>
      <w:r>
        <w:t xml:space="preserve"> </w:t>
      </w:r>
      <w:r>
        <w:rPr>
          <w:bCs/>
          <w:b/>
        </w:rPr>
        <w:t xml:space="preserve">Paruṣṇī</w:t>
      </w:r>
      <w:r>
        <w:t xml:space="preserve"> </w:t>
      </w:r>
      <w:r>
        <w:t xml:space="preserve">(the Ravi),</w:t>
      </w:r>
      <w:r>
        <w:t xml:space="preserve"> </w:t>
      </w:r>
      <w:r>
        <w:rPr>
          <w:bCs/>
          <w:b/>
        </w:rPr>
        <w:t xml:space="preserve">Asiknī</w:t>
      </w:r>
      <w:r>
        <w:t xml:space="preserve"> </w:t>
      </w:r>
      <w:r>
        <w:t xml:space="preserve">(the Chinab),</w:t>
      </w:r>
      <w:r>
        <w:t xml:space="preserve"> </w:t>
      </w:r>
      <w:r>
        <w:rPr>
          <w:bCs/>
          <w:b/>
        </w:rPr>
        <w:t xml:space="preserve">Vitastā</w:t>
      </w:r>
      <w:r>
        <w:t xml:space="preserve"> </w:t>
      </w:r>
      <w:r>
        <w:t xml:space="preserve">(the Jhelam),</w:t>
      </w:r>
      <w:r>
        <w:t xml:space="preserve"> </w:t>
      </w:r>
      <w:r>
        <w:rPr>
          <w:bCs/>
          <w:b/>
        </w:rPr>
        <w:t xml:space="preserve">Marudvṛdhā</w:t>
      </w:r>
      <w:r>
        <w:t xml:space="preserve"> </w:t>
      </w:r>
      <w:r>
        <w:t xml:space="preserve">(the United Stream of the Jhelam and Chenab),</w:t>
      </w:r>
      <w:r>
        <w:t xml:space="preserve"> </w:t>
      </w:r>
      <w:r>
        <w:rPr>
          <w:bCs/>
          <w:b/>
        </w:rPr>
        <w:t xml:space="preserve">Ārjīkīyā</w:t>
      </w:r>
      <w:r>
        <w:t xml:space="preserve"> </w:t>
      </w:r>
      <w:r>
        <w:t xml:space="preserve">(the Bias) and</w:t>
      </w:r>
      <w:r>
        <w:t xml:space="preserve"> </w:t>
      </w:r>
      <w:r>
        <w:rPr>
          <w:bCs/>
          <w:b/>
        </w:rPr>
        <w:t xml:space="preserve">Suṣomā</w:t>
      </w:r>
      <w:r>
        <w:t xml:space="preserve"> </w:t>
      </w:r>
      <w:r>
        <w:t xml:space="preserve">(the Indus) — all in the source’s English — and from this it is plain that the river Sarasvatī is one distinct river of her own and is not the Sindhu. The entire sūkta in which the above Ṛk occurs is about rivers: all the Ṛks of this sūkta [the number is printed</w:t>
      </w:r>
      <w:r>
        <w:t xml:space="preserve"> </w:t>
      </w:r>
      <w:r>
        <w:t xml:space="preserve">“</w:t>
      </w:r>
      <w:r>
        <w:t xml:space="preserve">9</w:t>
      </w:r>
      <w:r>
        <w:t xml:space="preserve">”</w:t>
      </w:r>
      <w:r>
        <w:t xml:space="preserve"> </w:t>
      </w:r>
      <w:r>
        <w:t xml:space="preserve">— read with caution] have rivers for their deities. The ṛṣi of this sūkta is</w:t>
      </w:r>
      <w:r>
        <w:t xml:space="preserve"> </w:t>
      </w:r>
      <w:r>
        <w:rPr>
          <w:bCs/>
          <w:b/>
        </w:rPr>
        <w:t xml:space="preserve">Sindhukṣit, the son of Priyamedha</w:t>
      </w:r>
      <w:r>
        <w:t xml:space="preserve">.</w:t>
      </w:r>
    </w:p>
    <w:p>
      <w:pPr>
        <w:pStyle w:val="BodyText"/>
      </w:pPr>
      <w:r>
        <w:t xml:space="preserve">Sarasvatī is spoken of in the</w:t>
      </w:r>
      <w:r>
        <w:t xml:space="preserve"> </w:t>
      </w:r>
      <w:r>
        <w:rPr>
          <w:bCs/>
          <w:b/>
        </w:rPr>
        <w:t xml:space="preserve">Āprī-sūktas</w:t>
      </w:r>
      <w:r>
        <w:t xml:space="preserve"> </w:t>
      </w:r>
      <w:r>
        <w:t xml:space="preserve">as one of the three goddesses called</w:t>
      </w:r>
      <w:r>
        <w:t xml:space="preserve"> </w:t>
      </w:r>
      <w:r>
        <w:t xml:space="preserve">“</w:t>
      </w:r>
      <w:r>
        <w:rPr>
          <w:bCs/>
          <w:b/>
        </w:rPr>
        <w:t xml:space="preserve">tisro devyaḥ</w:t>
      </w:r>
      <w:r>
        <w:t xml:space="preserve">.</w:t>
      </w:r>
      <w:r>
        <w:t xml:space="preserve">”</w:t>
      </w:r>
      <w:r>
        <w:t xml:space="preserve"> </w:t>
      </w:r>
      <w:r>
        <w:t xml:space="preserve">In the Ṛgveda Saṃhitā there are</w:t>
      </w:r>
      <w:r>
        <w:t xml:space="preserve"> </w:t>
      </w:r>
      <w:r>
        <w:rPr>
          <w:bCs/>
          <w:b/>
        </w:rPr>
        <w:t xml:space="preserve">ten</w:t>
      </w:r>
      <w:r>
        <w:t xml:space="preserve"> </w:t>
      </w:r>
      <w:r>
        <w:t xml:space="preserve">sūktas that are called Āprī-sūktas. In</w:t>
      </w:r>
      <w:r>
        <w:t xml:space="preserve"> </w:t>
      </w:r>
      <w:r>
        <w:rPr>
          <w:bCs/>
          <w:b/>
        </w:rPr>
        <w:t xml:space="preserve">Śaunaka’s Anuvākānukramaṇī</w:t>
      </w:r>
      <w:r>
        <w:t xml:space="preserve"> </w:t>
      </w:r>
      <w:r>
        <w:t xml:space="preserve">the particulars of these sūktas are given thus:</w:t>
      </w:r>
    </w:p>
    <w:p>
      <w:pPr>
        <w:pStyle w:val="BlockText"/>
      </w:pPr>
      <w:r>
        <w:t xml:space="preserve">श्लोकस्यास्य यथासंख्यं सूक्तानि दश वै विदुः ।</w:t>
      </w:r>
      <w:r>
        <w:t xml:space="preserve"> </w:t>
      </w:r>
      <w:r>
        <w:t xml:space="preserve">न आ वहाग्न आ वहाद्य राजसेत्यग्निर्नि च ।</w:t>
      </w:r>
      <w:r>
        <w:t xml:space="preserve"> </w:t>
      </w:r>
      <w:r>
        <w:t xml:space="preserve">समित्समित्सु शोचिषे जुषस्व विश्वतस्तथा ।</w:t>
      </w:r>
      <w:r>
        <w:t xml:space="preserve"> </w:t>
      </w:r>
      <w:r>
        <w:t xml:space="preserve">इमां मे अद्य मन्विमा यथर्षिपक्ष आप्रियः ॥</w:t>
      </w:r>
      <w:r>
        <w:t xml:space="preserve"> </w:t>
      </w:r>
      <w:r>
        <w:t xml:space="preserve">वसिष्ठशुनकौ विना समिद्धः सर्वपक्षता ।</w:t>
      </w:r>
      <w:r>
        <w:t xml:space="preserve"> </w:t>
      </w:r>
      <w:r>
        <w:t xml:space="preserve">जुषस्वादिद्वितीयया तनूनपाद्विरोधिता ।</w:t>
      </w:r>
      <w:r>
        <w:t xml:space="preserve"> </w:t>
      </w:r>
      <w:r>
        <w:t xml:space="preserve">यजुः श्रुतौ तथाश्रुतेः समिद्धसूक्तमध्यतः ।</w:t>
      </w:r>
      <w:r>
        <w:t xml:space="preserve"> </w:t>
      </w:r>
      <w:r>
        <w:t xml:space="preserve">प्रजापतेः पशोः सदा भवेयुरद्य मन्विमाः ॥</w:t>
      </w:r>
      <w:r>
        <w:t xml:space="preserve"> </w:t>
      </w:r>
      <w:r>
        <w:t xml:space="preserve">इतीरितं हि बह्वृचैर्यथर्षि वेति सूत्रतः ॥</w:t>
      </w:r>
    </w:p>
    <w:p>
      <w:pPr>
        <w:pStyle w:val="BlockText"/>
      </w:pPr>
      <w:r>
        <w:rPr>
          <w:iCs/>
          <w:i/>
        </w:rPr>
        <w:t xml:space="preserve">ślokasyāsya yathā-saṃkhyaṃ sūktāni daśa vai viduḥ |</w:t>
      </w:r>
      <w:r>
        <w:t xml:space="preserve"> </w:t>
      </w:r>
      <w:r>
        <w:rPr>
          <w:iCs/>
          <w:i/>
        </w:rPr>
        <w:t xml:space="preserve">na ā vahāgna ā vahādya rājasety agnir ni ca |</w:t>
      </w:r>
      <w:r>
        <w:t xml:space="preserve"> </w:t>
      </w:r>
      <w:r>
        <w:rPr>
          <w:iCs/>
          <w:i/>
        </w:rPr>
        <w:t xml:space="preserve">samit-samit-su śociṣe juṣasva viśvatas tathā |</w:t>
      </w:r>
      <w:r>
        <w:t xml:space="preserve"> </w:t>
      </w:r>
      <w:r>
        <w:rPr>
          <w:iCs/>
          <w:i/>
        </w:rPr>
        <w:t xml:space="preserve">imāṃ me adya manvimā yatharṣi-pakṣa āpriyaḥ ||</w:t>
      </w:r>
      <w:r>
        <w:t xml:space="preserve"> </w:t>
      </w:r>
      <w:r>
        <w:rPr>
          <w:iCs/>
          <w:i/>
        </w:rPr>
        <w:t xml:space="preserve">vasiṣṭha-śunakau vinā samiddhaḥ sarva-pakṣatā |</w:t>
      </w:r>
      <w:r>
        <w:t xml:space="preserve"> </w:t>
      </w:r>
      <w:r>
        <w:rPr>
          <w:iCs/>
          <w:i/>
        </w:rPr>
        <w:t xml:space="preserve">juṣasvādi-dvitīyayā tanūnapād-virodhitā |</w:t>
      </w:r>
      <w:r>
        <w:t xml:space="preserve"> </w:t>
      </w:r>
      <w:r>
        <w:rPr>
          <w:iCs/>
          <w:i/>
        </w:rPr>
        <w:t xml:space="preserve">yajuḥ śrutau tathā-śruteḥ samiddha-sūkta-madhyataḥ |</w:t>
      </w:r>
      <w:r>
        <w:t xml:space="preserve"> </w:t>
      </w:r>
      <w:r>
        <w:rPr>
          <w:iCs/>
          <w:i/>
        </w:rPr>
        <w:t xml:space="preserve">prajāpateḥ paśoḥ sadā bhaveyur adya manvimāḥ |</w:t>
      </w:r>
      <w:r>
        <w:t xml:space="preserve"> </w:t>
      </w:r>
      <w:r>
        <w:rPr>
          <w:iCs/>
          <w:i/>
        </w:rPr>
        <w:t xml:space="preserve">itīritaṃ hi bahvṛcair yathā-ṛṣi veti sūtrataḥ ||</w:t>
      </w:r>
    </w:p>
    <w:p>
      <w:pPr>
        <w:pStyle w:val="BlockText"/>
      </w:pPr>
      <w:r>
        <w:rPr>
          <w:iCs/>
          <w:i/>
        </w:rPr>
        <w:t xml:space="preserve">Outline of the sense (not a line-by-line translation — the verses are a compressed mnemonic, and several words are garbled in the print):</w:t>
      </w:r>
      <w:r>
        <w:t xml:space="preserve"> </w:t>
      </w:r>
      <w:r>
        <w:t xml:space="preserve">the verses state that there are ten such sūktas,</w:t>
      </w:r>
      <w:r>
        <w:t xml:space="preserve"> </w:t>
      </w:r>
      <w:r>
        <w:t xml:space="preserve">“</w:t>
      </w:r>
      <w:r>
        <w:t xml:space="preserve">in order of number,</w:t>
      </w:r>
      <w:r>
        <w:t xml:space="preserve">”</w:t>
      </w:r>
      <w:r>
        <w:t xml:space="preserve"> </w:t>
      </w:r>
      <w:r>
        <w:t xml:space="preserve">and give them by their opening words (</w:t>
      </w:r>
      <w:r>
        <w:t xml:space="preserve">“</w:t>
      </w:r>
      <w:r>
        <w:t xml:space="preserve">na ā vaha,</w:t>
      </w:r>
      <w:r>
        <w:t xml:space="preserve">”</w:t>
      </w:r>
      <w:r>
        <w:t xml:space="preserve"> </w:t>
      </w:r>
      <w:r>
        <w:t xml:space="preserve">“</w:t>
      </w:r>
      <w:r>
        <w:t xml:space="preserve">ā vaha,</w:t>
      </w:r>
      <w:r>
        <w:t xml:space="preserve">”</w:t>
      </w:r>
      <w:r>
        <w:t xml:space="preserve"> </w:t>
      </w:r>
      <w:r>
        <w:t xml:space="preserve">“</w:t>
      </w:r>
      <w:r>
        <w:t xml:space="preserve">rājasi,</w:t>
      </w:r>
      <w:r>
        <w:t xml:space="preserve">”</w:t>
      </w:r>
      <w:r>
        <w:t xml:space="preserve"> </w:t>
      </w:r>
      <w:r>
        <w:t xml:space="preserve">“</w:t>
      </w:r>
      <w:r>
        <w:t xml:space="preserve">agnir nihitaḥ,</w:t>
      </w:r>
      <w:r>
        <w:t xml:space="preserve">”</w:t>
      </w:r>
      <w:r>
        <w:t xml:space="preserve"> </w:t>
      </w:r>
      <w:r>
        <w:t xml:space="preserve">and so on); they note which of them are by Vasiṣṭha and Śunaka (Śaunaka); they note how the Yajus and Śruti texts treat</w:t>
      </w:r>
      <w:r>
        <w:t xml:space="preserve"> </w:t>
      </w:r>
      <w:r>
        <w:t xml:space="preserve">“</w:t>
      </w:r>
      <w:r>
        <w:t xml:space="preserve">samiddha</w:t>
      </w:r>
      <w:r>
        <w:t xml:space="preserve">”</w:t>
      </w:r>
      <w:r>
        <w:t xml:space="preserve"> </w:t>
      </w:r>
      <w:r>
        <w:t xml:space="preserve">in the middle of the sūkta; and they say that, as the Ṛgvedins’ sūtra puts it, the sūktas are recited</w:t>
      </w:r>
      <w:r>
        <w:t xml:space="preserve"> </w:t>
      </w:r>
      <w:r>
        <w:t xml:space="preserve">“</w:t>
      </w:r>
      <w:r>
        <w:t xml:space="preserve">according to the ṛṣi.</w:t>
      </w:r>
      <w:r>
        <w:t xml:space="preserve">”</w:t>
      </w:r>
    </w:p>
    <w:p>
      <w:pPr>
        <w:pStyle w:val="FirstParagraph"/>
      </w:pPr>
      <w:r>
        <w:rPr>
          <w:bCs/>
          <w:b/>
        </w:rPr>
        <w:t xml:space="preserve">The ten Āprī-sūktas, as tabulated in the source</w:t>
      </w:r>
      <w:r>
        <w:t xml:space="preserve"> </w:t>
      </w:r>
      <w:r>
        <w:rPr>
          <w:iCs/>
          <w:i/>
        </w:rPr>
        <w:t xml:space="preserve">(columns: serial number; opening of the sūkta; Maṇḍala–sūkta; number of Ṛks; ṛṣi. Numbers as I read them; [?] where unsure. They agree with the standard list of the ten Āprī-sūktas.)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w:t>
            </w:r>
          </w:p>
        </w:tc>
        <w:tc>
          <w:tcPr/>
          <w:p>
            <w:pPr>
              <w:pStyle w:val="Compact"/>
              <w:jc w:val="left"/>
            </w:pPr>
            <w:r>
              <w:t xml:space="preserve">Opening of the sūkta</w:t>
            </w:r>
          </w:p>
        </w:tc>
        <w:tc>
          <w:tcPr/>
          <w:p>
            <w:pPr>
              <w:pStyle w:val="Compact"/>
              <w:jc w:val="left"/>
            </w:pPr>
            <w:r>
              <w:t xml:space="preserve">Maṇḍala–sūkta</w:t>
            </w:r>
          </w:p>
        </w:tc>
        <w:tc>
          <w:tcPr/>
          <w:p>
            <w:pPr>
              <w:pStyle w:val="Compact"/>
              <w:jc w:val="left"/>
            </w:pPr>
            <w:r>
              <w:t xml:space="preserve">Ṛks</w:t>
            </w:r>
          </w:p>
        </w:tc>
        <w:tc>
          <w:tcPr/>
          <w:p>
            <w:pPr>
              <w:pStyle w:val="Compact"/>
              <w:jc w:val="left"/>
            </w:pPr>
            <w:r>
              <w:t xml:space="preserve">Ṛṣi</w:t>
            </w:r>
          </w:p>
        </w:tc>
      </w:tr>
      <w:tr>
        <w:tc>
          <w:tcPr/>
          <w:p>
            <w:pPr>
              <w:pStyle w:val="Compact"/>
              <w:jc w:val="left"/>
            </w:pPr>
            <w:r>
              <w:t xml:space="preserve">1</w:t>
            </w:r>
          </w:p>
        </w:tc>
        <w:tc>
          <w:tcPr/>
          <w:p>
            <w:pPr>
              <w:pStyle w:val="Compact"/>
              <w:jc w:val="left"/>
            </w:pPr>
            <w:r>
              <w:rPr>
                <w:bCs/>
                <w:b/>
              </w:rPr>
              <w:t xml:space="preserve">सुसमिद्धो न आवह</w:t>
            </w:r>
            <w:r>
              <w:t xml:space="preserve"> </w:t>
            </w:r>
            <w:r>
              <w:t xml:space="preserve">(</w:t>
            </w:r>
            <w:r>
              <w:rPr>
                <w:iCs/>
                <w:i/>
              </w:rPr>
              <w:t xml:space="preserve">susamiddho na āvaha</w:t>
            </w:r>
            <w:r>
              <w:t xml:space="preserve">)</w:t>
            </w:r>
          </w:p>
        </w:tc>
        <w:tc>
          <w:tcPr/>
          <w:p>
            <w:pPr>
              <w:pStyle w:val="Compact"/>
              <w:jc w:val="left"/>
            </w:pPr>
            <w:r>
              <w:t xml:space="preserve">1–13</w:t>
            </w:r>
          </w:p>
        </w:tc>
        <w:tc>
          <w:tcPr/>
          <w:p>
            <w:pPr>
              <w:pStyle w:val="Compact"/>
              <w:jc w:val="left"/>
            </w:pPr>
            <w:r>
              <w:t xml:space="preserve">12</w:t>
            </w:r>
          </w:p>
        </w:tc>
        <w:tc>
          <w:tcPr/>
          <w:p>
            <w:pPr>
              <w:pStyle w:val="Compact"/>
              <w:jc w:val="left"/>
            </w:pPr>
            <w:r>
              <w:t xml:space="preserve">मेधातिथिः काण्वः (</w:t>
            </w:r>
            <w:r>
              <w:rPr>
                <w:iCs/>
                <w:i/>
              </w:rPr>
              <w:t xml:space="preserve">medhātithiḥ kāṇvaḥ</w:t>
            </w:r>
            <w:r>
              <w:t xml:space="preserve">)</w:t>
            </w:r>
          </w:p>
        </w:tc>
      </w:tr>
      <w:tr>
        <w:tc>
          <w:tcPr/>
          <w:p>
            <w:pPr>
              <w:pStyle w:val="Compact"/>
              <w:jc w:val="left"/>
            </w:pPr>
            <w:r>
              <w:t xml:space="preserve">2</w:t>
            </w:r>
          </w:p>
        </w:tc>
        <w:tc>
          <w:tcPr/>
          <w:p>
            <w:pPr>
              <w:pStyle w:val="Compact"/>
              <w:jc w:val="left"/>
            </w:pPr>
            <w:r>
              <w:rPr>
                <w:bCs/>
                <w:b/>
              </w:rPr>
              <w:t xml:space="preserve">समिद्धो अग्न आवह</w:t>
            </w:r>
            <w:r>
              <w:t xml:space="preserve"> </w:t>
            </w:r>
            <w:r>
              <w:t xml:space="preserve">(</w:t>
            </w:r>
            <w:r>
              <w:rPr>
                <w:iCs/>
                <w:i/>
              </w:rPr>
              <w:t xml:space="preserve">samiddho agna āvaha</w:t>
            </w:r>
            <w:r>
              <w:t xml:space="preserve">)</w:t>
            </w:r>
          </w:p>
        </w:tc>
        <w:tc>
          <w:tcPr/>
          <w:p>
            <w:pPr>
              <w:pStyle w:val="Compact"/>
              <w:jc w:val="left"/>
            </w:pPr>
            <w:r>
              <w:t xml:space="preserve">1–142</w:t>
            </w:r>
          </w:p>
        </w:tc>
        <w:tc>
          <w:tcPr/>
          <w:p>
            <w:pPr>
              <w:pStyle w:val="Compact"/>
              <w:jc w:val="left"/>
            </w:pPr>
            <w:r>
              <w:t xml:space="preserve">13</w:t>
            </w:r>
          </w:p>
        </w:tc>
        <w:tc>
          <w:tcPr/>
          <w:p>
            <w:pPr>
              <w:pStyle w:val="Compact"/>
              <w:jc w:val="left"/>
            </w:pPr>
            <w:r>
              <w:t xml:space="preserve">दीर्घतमा औचथ्यः (</w:t>
            </w:r>
            <w:r>
              <w:rPr>
                <w:iCs/>
                <w:i/>
              </w:rPr>
              <w:t xml:space="preserve">dīrghatamā aucathyaḥ</w:t>
            </w:r>
            <w:r>
              <w:t xml:space="preserve">)</w:t>
            </w:r>
          </w:p>
        </w:tc>
      </w:tr>
      <w:tr>
        <w:tc>
          <w:tcPr/>
          <w:p>
            <w:pPr>
              <w:pStyle w:val="Compact"/>
              <w:jc w:val="left"/>
            </w:pPr>
            <w:r>
              <w:t xml:space="preserve">3</w:t>
            </w:r>
          </w:p>
        </w:tc>
        <w:tc>
          <w:tcPr/>
          <w:p>
            <w:pPr>
              <w:pStyle w:val="Compact"/>
              <w:jc w:val="left"/>
            </w:pPr>
            <w:r>
              <w:rPr>
                <w:bCs/>
                <w:b/>
              </w:rPr>
              <w:t xml:space="preserve">समिद्धो अद्य राजसि</w:t>
            </w:r>
            <w:r>
              <w:t xml:space="preserve"> </w:t>
            </w:r>
            <w:r>
              <w:t xml:space="preserve">(</w:t>
            </w:r>
            <w:r>
              <w:rPr>
                <w:iCs/>
                <w:i/>
              </w:rPr>
              <w:t xml:space="preserve">samiddho adya rājasi</w:t>
            </w:r>
            <w:r>
              <w:t xml:space="preserve">)</w:t>
            </w:r>
          </w:p>
        </w:tc>
        <w:tc>
          <w:tcPr/>
          <w:p>
            <w:pPr>
              <w:pStyle w:val="Compact"/>
              <w:jc w:val="left"/>
            </w:pPr>
            <w:r>
              <w:t xml:space="preserve">1–188</w:t>
            </w:r>
          </w:p>
        </w:tc>
        <w:tc>
          <w:tcPr/>
          <w:p>
            <w:pPr>
              <w:pStyle w:val="Compact"/>
              <w:jc w:val="left"/>
            </w:pPr>
            <w:r>
              <w:t xml:space="preserve">11</w:t>
            </w:r>
          </w:p>
        </w:tc>
        <w:tc>
          <w:tcPr/>
          <w:p>
            <w:pPr>
              <w:pStyle w:val="Compact"/>
              <w:jc w:val="left"/>
            </w:pPr>
            <w:r>
              <w:t xml:space="preserve">अगस्त्यो मैत्रावरुणिः (</w:t>
            </w:r>
            <w:r>
              <w:rPr>
                <w:iCs/>
                <w:i/>
              </w:rPr>
              <w:t xml:space="preserve">agastyo maitrāvaruṇiḥ</w:t>
            </w:r>
            <w:r>
              <w:t xml:space="preserve">)</w:t>
            </w:r>
          </w:p>
        </w:tc>
      </w:tr>
      <w:tr>
        <w:tc>
          <w:tcPr/>
          <w:p>
            <w:pPr>
              <w:pStyle w:val="Compact"/>
              <w:jc w:val="left"/>
            </w:pPr>
            <w:r>
              <w:t xml:space="preserve">4</w:t>
            </w:r>
          </w:p>
        </w:tc>
        <w:tc>
          <w:tcPr/>
          <w:p>
            <w:pPr>
              <w:pStyle w:val="Compact"/>
              <w:jc w:val="left"/>
            </w:pPr>
            <w:r>
              <w:rPr>
                <w:bCs/>
                <w:b/>
              </w:rPr>
              <w:t xml:space="preserve">समिद्धो अग्निर्निहितः</w:t>
            </w:r>
            <w:r>
              <w:t xml:space="preserve"> </w:t>
            </w:r>
            <w:r>
              <w:t xml:space="preserve">(</w:t>
            </w:r>
            <w:r>
              <w:rPr>
                <w:iCs/>
                <w:i/>
              </w:rPr>
              <w:t xml:space="preserve">samiddho agnir nihitaḥ</w:t>
            </w:r>
            <w:r>
              <w:t xml:space="preserve">)</w:t>
            </w:r>
          </w:p>
        </w:tc>
        <w:tc>
          <w:tcPr/>
          <w:p>
            <w:pPr>
              <w:pStyle w:val="Compact"/>
              <w:jc w:val="left"/>
            </w:pPr>
            <w:r>
              <w:t xml:space="preserve">2–3</w:t>
            </w:r>
          </w:p>
        </w:tc>
        <w:tc>
          <w:tcPr/>
          <w:p>
            <w:pPr>
              <w:pStyle w:val="Compact"/>
              <w:jc w:val="left"/>
            </w:pPr>
            <w:r>
              <w:t xml:space="preserve">11</w:t>
            </w:r>
          </w:p>
        </w:tc>
        <w:tc>
          <w:tcPr/>
          <w:p>
            <w:pPr>
              <w:pStyle w:val="Compact"/>
              <w:jc w:val="left"/>
            </w:pPr>
            <w:r>
              <w:t xml:space="preserve">गृत्समदः (</w:t>
            </w:r>
            <w:r>
              <w:rPr>
                <w:iCs/>
                <w:i/>
              </w:rPr>
              <w:t xml:space="preserve">gṛtsamadaḥ</w:t>
            </w:r>
            <w:r>
              <w:t xml:space="preserve">)</w:t>
            </w:r>
          </w:p>
        </w:tc>
      </w:tr>
    </w:tbl>
    <w:p>
      <w:pPr>
        <w:pStyle w:val="BodyText"/>
      </w:pPr>
      <w:r>
        <w:rPr>
          <w:iCs/>
          <w:i/>
        </w:rPr>
        <w:t xml:space="preserve">(rows 5–10 continue on the next page)</w:t>
      </w:r>
    </w:p>
    <w:bookmarkEnd w:id="100"/>
    <w:bookmarkStart w:id="101" w:name="X0a7dd1001a4e7f7a0f66bc501ed99cf959390da"/>
    <w:p>
      <w:pPr>
        <w:pStyle w:val="Heading3"/>
      </w:pPr>
      <w:r>
        <w:t xml:space="preserve">Page 74 — The Āprī-sūktas (rows 5–10); the deities of the eleven Ṛks;</w:t>
      </w:r>
      <w:r>
        <w:t xml:space="preserve"> </w:t>
      </w:r>
      <w:r>
        <w:t xml:space="preserve">“</w:t>
      </w:r>
      <w:r>
        <w:t xml:space="preserve">tisro devyaḥ</w:t>
      </w:r>
      <w:r>
        <w:t xml:space="preserve">”</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1, Sūkta 3.</w:t>
      </w:r>
      <w:r>
        <w:rPr>
          <w:iCs/>
          <w:i/>
        </w:rPr>
        <w:t xml:space="preserve">”</w:t>
      </w:r>
      <w:r>
        <w:rPr>
          <w:iCs/>
          <w:i/>
        </w:rP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w:t>
            </w:r>
          </w:p>
        </w:tc>
        <w:tc>
          <w:tcPr/>
          <w:p>
            <w:pPr>
              <w:pStyle w:val="Compact"/>
              <w:jc w:val="left"/>
            </w:pPr>
            <w:r>
              <w:t xml:space="preserve">Opening of the sūkta</w:t>
            </w:r>
          </w:p>
        </w:tc>
        <w:tc>
          <w:tcPr/>
          <w:p>
            <w:pPr>
              <w:pStyle w:val="Compact"/>
              <w:jc w:val="left"/>
            </w:pPr>
            <w:r>
              <w:t xml:space="preserve">Maṇḍala–sūkta</w:t>
            </w:r>
          </w:p>
        </w:tc>
        <w:tc>
          <w:tcPr/>
          <w:p>
            <w:pPr>
              <w:pStyle w:val="Compact"/>
              <w:jc w:val="left"/>
            </w:pPr>
            <w:r>
              <w:t xml:space="preserve">Ṛks</w:t>
            </w:r>
          </w:p>
        </w:tc>
        <w:tc>
          <w:tcPr/>
          <w:p>
            <w:pPr>
              <w:pStyle w:val="Compact"/>
              <w:jc w:val="left"/>
            </w:pPr>
            <w:r>
              <w:t xml:space="preserve">Ṛṣi</w:t>
            </w:r>
          </w:p>
        </w:tc>
      </w:tr>
      <w:tr>
        <w:tc>
          <w:tcPr/>
          <w:p>
            <w:pPr>
              <w:pStyle w:val="Compact"/>
              <w:jc w:val="left"/>
            </w:pPr>
            <w:r>
              <w:t xml:space="preserve">5</w:t>
            </w:r>
          </w:p>
        </w:tc>
        <w:tc>
          <w:tcPr/>
          <w:p>
            <w:pPr>
              <w:pStyle w:val="Compact"/>
              <w:jc w:val="left"/>
            </w:pPr>
            <w:r>
              <w:rPr>
                <w:bCs/>
                <w:b/>
              </w:rPr>
              <w:t xml:space="preserve">समित्समित्सुमना</w:t>
            </w:r>
            <w:r>
              <w:t xml:space="preserve"> </w:t>
            </w:r>
            <w:r>
              <w:t xml:space="preserve">(</w:t>
            </w:r>
            <w:r>
              <w:rPr>
                <w:iCs/>
                <w:i/>
              </w:rPr>
              <w:t xml:space="preserve">samit-samit-sumanā</w:t>
            </w:r>
            <w:r>
              <w:t xml:space="preserve">)</w:t>
            </w:r>
          </w:p>
        </w:tc>
        <w:tc>
          <w:tcPr/>
          <w:p>
            <w:pPr>
              <w:pStyle w:val="Compact"/>
              <w:jc w:val="left"/>
            </w:pPr>
            <w:r>
              <w:t xml:space="preserve">3–4</w:t>
            </w:r>
          </w:p>
        </w:tc>
        <w:tc>
          <w:tcPr/>
          <w:p>
            <w:pPr>
              <w:pStyle w:val="Compact"/>
              <w:jc w:val="left"/>
            </w:pPr>
            <w:r>
              <w:t xml:space="preserve">11</w:t>
            </w:r>
          </w:p>
        </w:tc>
        <w:tc>
          <w:tcPr/>
          <w:p>
            <w:pPr>
              <w:pStyle w:val="Compact"/>
              <w:jc w:val="left"/>
            </w:pPr>
            <w:r>
              <w:t xml:space="preserve">गाधिनो विश्वामित्रः (</w:t>
            </w:r>
            <w:r>
              <w:rPr>
                <w:iCs/>
                <w:i/>
              </w:rPr>
              <w:t xml:space="preserve">gādhino viśvāmitraḥ</w:t>
            </w:r>
            <w:r>
              <w:t xml:space="preserve">)</w:t>
            </w:r>
          </w:p>
        </w:tc>
      </w:tr>
      <w:tr>
        <w:tc>
          <w:tcPr/>
          <w:p>
            <w:pPr>
              <w:pStyle w:val="Compact"/>
              <w:jc w:val="left"/>
            </w:pPr>
            <w:r>
              <w:t xml:space="preserve">6</w:t>
            </w:r>
          </w:p>
        </w:tc>
        <w:tc>
          <w:tcPr/>
          <w:p>
            <w:pPr>
              <w:pStyle w:val="Compact"/>
              <w:jc w:val="left"/>
            </w:pPr>
            <w:r>
              <w:rPr>
                <w:bCs/>
                <w:b/>
              </w:rPr>
              <w:t xml:space="preserve">सुसमिद्धाय शोचिषे</w:t>
            </w:r>
            <w:r>
              <w:t xml:space="preserve"> </w:t>
            </w:r>
            <w:r>
              <w:t xml:space="preserve">(</w:t>
            </w:r>
            <w:r>
              <w:rPr>
                <w:iCs/>
                <w:i/>
              </w:rPr>
              <w:t xml:space="preserve">susamiddhāya śociṣe</w:t>
            </w:r>
            <w:r>
              <w:t xml:space="preserve">)</w:t>
            </w:r>
          </w:p>
        </w:tc>
        <w:tc>
          <w:tcPr/>
          <w:p>
            <w:pPr>
              <w:pStyle w:val="Compact"/>
              <w:jc w:val="left"/>
            </w:pPr>
            <w:r>
              <w:t xml:space="preserve">5–5</w:t>
            </w:r>
          </w:p>
        </w:tc>
        <w:tc>
          <w:tcPr/>
          <w:p>
            <w:pPr>
              <w:pStyle w:val="Compact"/>
              <w:jc w:val="left"/>
            </w:pPr>
            <w:r>
              <w:t xml:space="preserve">11</w:t>
            </w:r>
          </w:p>
        </w:tc>
        <w:tc>
          <w:tcPr/>
          <w:p>
            <w:pPr>
              <w:pStyle w:val="Compact"/>
              <w:jc w:val="left"/>
            </w:pPr>
            <w:r>
              <w:t xml:space="preserve">वसुश्रुत आत्रेयः (</w:t>
            </w:r>
            <w:r>
              <w:rPr>
                <w:iCs/>
                <w:i/>
              </w:rPr>
              <w:t xml:space="preserve">vasuśruta ātreyaḥ</w:t>
            </w:r>
            <w:r>
              <w:t xml:space="preserve">)</w:t>
            </w:r>
          </w:p>
        </w:tc>
      </w:tr>
      <w:tr>
        <w:tc>
          <w:tcPr/>
          <w:p>
            <w:pPr>
              <w:pStyle w:val="Compact"/>
              <w:jc w:val="left"/>
            </w:pPr>
            <w:r>
              <w:t xml:space="preserve">7</w:t>
            </w:r>
          </w:p>
        </w:tc>
        <w:tc>
          <w:tcPr/>
          <w:p>
            <w:pPr>
              <w:pStyle w:val="Compact"/>
              <w:jc w:val="left"/>
            </w:pPr>
            <w:r>
              <w:rPr>
                <w:bCs/>
                <w:b/>
              </w:rPr>
              <w:t xml:space="preserve">जुषस्वनः समिधमग्ने</w:t>
            </w:r>
            <w:r>
              <w:t xml:space="preserve"> </w:t>
            </w:r>
            <w:r>
              <w:t xml:space="preserve">(</w:t>
            </w:r>
            <w:r>
              <w:rPr>
                <w:iCs/>
                <w:i/>
              </w:rPr>
              <w:t xml:space="preserve">juṣasvanaḥ samidham agne</w:t>
            </w:r>
            <w:r>
              <w:t xml:space="preserve">)</w:t>
            </w:r>
          </w:p>
        </w:tc>
        <w:tc>
          <w:tcPr/>
          <w:p>
            <w:pPr>
              <w:pStyle w:val="Compact"/>
              <w:jc w:val="left"/>
            </w:pPr>
            <w:r>
              <w:t xml:space="preserve">7–2</w:t>
            </w:r>
          </w:p>
        </w:tc>
        <w:tc>
          <w:tcPr/>
          <w:p>
            <w:pPr>
              <w:pStyle w:val="Compact"/>
              <w:jc w:val="left"/>
            </w:pPr>
            <w:r>
              <w:t xml:space="preserve">11</w:t>
            </w:r>
          </w:p>
        </w:tc>
        <w:tc>
          <w:tcPr/>
          <w:p>
            <w:pPr>
              <w:pStyle w:val="Compact"/>
              <w:jc w:val="left"/>
            </w:pPr>
            <w:r>
              <w:t xml:space="preserve">मैत्रावरुणिर्वसिष्ठः (</w:t>
            </w:r>
            <w:r>
              <w:rPr>
                <w:iCs/>
                <w:i/>
              </w:rPr>
              <w:t xml:space="preserve">maitrāvaruṇir vasiṣṭhaḥ</w:t>
            </w:r>
            <w:r>
              <w:t xml:space="preserve">)</w:t>
            </w:r>
          </w:p>
        </w:tc>
      </w:tr>
      <w:tr>
        <w:tc>
          <w:tcPr/>
          <w:p>
            <w:pPr>
              <w:pStyle w:val="Compact"/>
              <w:jc w:val="left"/>
            </w:pPr>
            <w:r>
              <w:t xml:space="preserve">8</w:t>
            </w:r>
          </w:p>
        </w:tc>
        <w:tc>
          <w:tcPr/>
          <w:p>
            <w:pPr>
              <w:pStyle w:val="Compact"/>
              <w:jc w:val="left"/>
            </w:pPr>
            <w:r>
              <w:rPr>
                <w:bCs/>
                <w:b/>
              </w:rPr>
              <w:t xml:space="preserve">समिद्धो विश्वतस्पतिः</w:t>
            </w:r>
            <w:r>
              <w:t xml:space="preserve"> </w:t>
            </w:r>
            <w:r>
              <w:t xml:space="preserve">(</w:t>
            </w:r>
            <w:r>
              <w:rPr>
                <w:iCs/>
                <w:i/>
              </w:rPr>
              <w:t xml:space="preserve">samiddho viśvataspatiḥ</w:t>
            </w:r>
            <w:r>
              <w:t xml:space="preserve">)</w:t>
            </w:r>
          </w:p>
        </w:tc>
        <w:tc>
          <w:tcPr/>
          <w:p>
            <w:pPr>
              <w:pStyle w:val="Compact"/>
              <w:jc w:val="left"/>
            </w:pPr>
            <w:r>
              <w:t xml:space="preserve">9–5</w:t>
            </w:r>
          </w:p>
        </w:tc>
        <w:tc>
          <w:tcPr/>
          <w:p>
            <w:pPr>
              <w:pStyle w:val="Compact"/>
              <w:jc w:val="left"/>
            </w:pPr>
            <w:r>
              <w:t xml:space="preserve">11</w:t>
            </w:r>
          </w:p>
        </w:tc>
        <w:tc>
          <w:tcPr/>
          <w:p>
            <w:pPr>
              <w:pStyle w:val="Compact"/>
              <w:jc w:val="left"/>
            </w:pPr>
            <w:r>
              <w:t xml:space="preserve">काश्यपोऽसितो देवलो वा (</w:t>
            </w:r>
            <w:r>
              <w:rPr>
                <w:iCs/>
                <w:i/>
              </w:rPr>
              <w:t xml:space="preserve">kāśyapo ’sito devalo vā</w:t>
            </w:r>
            <w:r>
              <w:t xml:space="preserve">)</w:t>
            </w:r>
          </w:p>
        </w:tc>
      </w:tr>
      <w:tr>
        <w:tc>
          <w:tcPr/>
          <w:p>
            <w:pPr>
              <w:pStyle w:val="Compact"/>
              <w:jc w:val="left"/>
            </w:pPr>
            <w:r>
              <w:t xml:space="preserve">9</w:t>
            </w:r>
          </w:p>
        </w:tc>
        <w:tc>
          <w:tcPr/>
          <w:p>
            <w:pPr>
              <w:pStyle w:val="Compact"/>
              <w:jc w:val="left"/>
            </w:pPr>
            <w:r>
              <w:rPr>
                <w:bCs/>
                <w:b/>
              </w:rPr>
              <w:t xml:space="preserve">इमां मे अग्ने समिधम्</w:t>
            </w:r>
            <w:r>
              <w:t xml:space="preserve"> </w:t>
            </w:r>
            <w:r>
              <w:t xml:space="preserve">(</w:t>
            </w:r>
            <w:r>
              <w:rPr>
                <w:iCs/>
                <w:i/>
              </w:rPr>
              <w:t xml:space="preserve">imāṃ me agne samidham</w:t>
            </w:r>
            <w:r>
              <w:t xml:space="preserve">)</w:t>
            </w:r>
          </w:p>
        </w:tc>
        <w:tc>
          <w:tcPr/>
          <w:p>
            <w:pPr>
              <w:pStyle w:val="Compact"/>
              <w:jc w:val="left"/>
            </w:pPr>
            <w:r>
              <w:t xml:space="preserve">10–70</w:t>
            </w:r>
          </w:p>
        </w:tc>
        <w:tc>
          <w:tcPr/>
          <w:p>
            <w:pPr>
              <w:pStyle w:val="Compact"/>
              <w:jc w:val="left"/>
            </w:pPr>
            <w:r>
              <w:t xml:space="preserve">11</w:t>
            </w:r>
          </w:p>
        </w:tc>
        <w:tc>
          <w:tcPr/>
          <w:p>
            <w:pPr>
              <w:pStyle w:val="Compact"/>
              <w:jc w:val="left"/>
            </w:pPr>
            <w:r>
              <w:t xml:space="preserve">सुमित्रो वाध्र्यश्वः (</w:t>
            </w:r>
            <w:r>
              <w:rPr>
                <w:iCs/>
                <w:i/>
              </w:rPr>
              <w:t xml:space="preserve">sumitro vādhryaśvaḥ</w:t>
            </w:r>
            <w:r>
              <w:t xml:space="preserve">)</w:t>
            </w:r>
          </w:p>
        </w:tc>
      </w:tr>
      <w:tr>
        <w:tc>
          <w:tcPr/>
          <w:p>
            <w:pPr>
              <w:pStyle w:val="Compact"/>
              <w:jc w:val="left"/>
            </w:pPr>
            <w:r>
              <w:t xml:space="preserve">10</w:t>
            </w:r>
          </w:p>
        </w:tc>
        <w:tc>
          <w:tcPr/>
          <w:p>
            <w:pPr>
              <w:pStyle w:val="Compact"/>
              <w:jc w:val="left"/>
            </w:pPr>
            <w:r>
              <w:rPr>
                <w:bCs/>
                <w:b/>
              </w:rPr>
              <w:t xml:space="preserve">समिद्धो अद्य मनुषः</w:t>
            </w:r>
            <w:r>
              <w:t xml:space="preserve"> </w:t>
            </w:r>
            <w:r>
              <w:t xml:space="preserve">(</w:t>
            </w:r>
            <w:r>
              <w:rPr>
                <w:iCs/>
                <w:i/>
              </w:rPr>
              <w:t xml:space="preserve">samiddho adya manuṣaḥ</w:t>
            </w:r>
            <w:r>
              <w:t xml:space="preserve">)</w:t>
            </w:r>
          </w:p>
        </w:tc>
        <w:tc>
          <w:tcPr/>
          <w:p>
            <w:pPr>
              <w:pStyle w:val="Compact"/>
              <w:jc w:val="left"/>
            </w:pPr>
            <w:r>
              <w:t xml:space="preserve">10–110</w:t>
            </w:r>
          </w:p>
        </w:tc>
        <w:tc>
          <w:tcPr/>
          <w:p>
            <w:pPr>
              <w:pStyle w:val="Compact"/>
              <w:jc w:val="left"/>
            </w:pPr>
            <w:r>
              <w:t xml:space="preserve">11</w:t>
            </w:r>
          </w:p>
        </w:tc>
        <w:tc>
          <w:tcPr/>
          <w:p>
            <w:pPr>
              <w:pStyle w:val="Compact"/>
              <w:jc w:val="left"/>
            </w:pPr>
            <w:r>
              <w:t xml:space="preserve">जमदग्निर्भार्गवः (</w:t>
            </w:r>
            <w:r>
              <w:rPr>
                <w:iCs/>
                <w:i/>
              </w:rPr>
              <w:t xml:space="preserve">jamadagnir bhārgavaḥ</w:t>
            </w:r>
            <w:r>
              <w:t xml:space="preserve">)</w:t>
            </w:r>
          </w:p>
        </w:tc>
      </w:tr>
    </w:tbl>
    <w:p>
      <w:pPr>
        <w:pStyle w:val="BodyText"/>
      </w:pPr>
      <w:r>
        <w:t xml:space="preserve">Of the sūktas listed above, the sūktas numbered 1–2 have 12 and 13 Ṛks; all the rest have 11 Ṛks. The deities of these 11 Ṛks are as follows: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Ṛk</w:t>
            </w:r>
          </w:p>
        </w:tc>
        <w:tc>
          <w:tcPr/>
          <w:p>
            <w:pPr>
              <w:pStyle w:val="Compact"/>
              <w:jc w:val="left"/>
            </w:pPr>
            <w:r>
              <w:t xml:space="preserve">Deity (Sanskrit as printed)</w:t>
            </w:r>
          </w:p>
        </w:tc>
        <w:tc>
          <w:tcPr/>
          <w:p>
            <w:pPr>
              <w:pStyle w:val="Compact"/>
              <w:jc w:val="left"/>
            </w:pPr>
            <w:r>
              <w:t xml:space="preserve">Meaning</w:t>
            </w:r>
          </w:p>
        </w:tc>
      </w:tr>
      <w:tr>
        <w:tc>
          <w:tcPr/>
          <w:p>
            <w:pPr>
              <w:pStyle w:val="Compact"/>
              <w:jc w:val="left"/>
            </w:pPr>
            <w:r>
              <w:t xml:space="preserve">1</w:t>
            </w:r>
          </w:p>
        </w:tc>
        <w:tc>
          <w:tcPr/>
          <w:p>
            <w:pPr>
              <w:pStyle w:val="Compact"/>
              <w:jc w:val="left"/>
            </w:pPr>
            <w:r>
              <w:t xml:space="preserve">इध्मः समिद्धोऽग्निर्वा (</w:t>
            </w:r>
            <w:r>
              <w:rPr>
                <w:iCs/>
                <w:i/>
              </w:rPr>
              <w:t xml:space="preserve">idhmaḥ samiddho ’gnir vā</w:t>
            </w:r>
            <w:r>
              <w:t xml:space="preserve">)</w:t>
            </w:r>
          </w:p>
        </w:tc>
        <w:tc>
          <w:tcPr/>
          <w:p>
            <w:pPr>
              <w:pStyle w:val="Compact"/>
              <w:jc w:val="left"/>
            </w:pPr>
            <w:r>
              <w:t xml:space="preserve">Idhma, i.e., the kindled Agni</w:t>
            </w:r>
          </w:p>
        </w:tc>
      </w:tr>
      <w:tr>
        <w:tc>
          <w:tcPr/>
          <w:p>
            <w:pPr>
              <w:pStyle w:val="Compact"/>
              <w:jc w:val="left"/>
            </w:pPr>
            <w:r>
              <w:t xml:space="preserve">2</w:t>
            </w:r>
          </w:p>
        </w:tc>
        <w:tc>
          <w:tcPr/>
          <w:p>
            <w:pPr>
              <w:pStyle w:val="Compact"/>
              <w:jc w:val="left"/>
            </w:pPr>
            <w:r>
              <w:t xml:space="preserve">तनूनपात् (</w:t>
            </w:r>
            <w:r>
              <w:rPr>
                <w:iCs/>
                <w:i/>
              </w:rPr>
              <w:t xml:space="preserve">tanūnapāt</w:t>
            </w:r>
            <w:r>
              <w:t xml:space="preserve">)</w:t>
            </w:r>
          </w:p>
        </w:tc>
        <w:tc>
          <w:tcPr/>
          <w:p>
            <w:pPr>
              <w:pStyle w:val="Compact"/>
              <w:jc w:val="left"/>
            </w:pPr>
            <w:r>
              <w:t xml:space="preserve">Tanūnapāt</w:t>
            </w:r>
          </w:p>
        </w:tc>
      </w:tr>
      <w:tr>
        <w:tc>
          <w:tcPr/>
          <w:p>
            <w:pPr>
              <w:pStyle w:val="Compact"/>
              <w:jc w:val="left"/>
            </w:pPr>
            <w:r>
              <w:t xml:space="preserve">3</w:t>
            </w:r>
          </w:p>
        </w:tc>
        <w:tc>
          <w:tcPr/>
          <w:p>
            <w:pPr>
              <w:pStyle w:val="Compact"/>
              <w:jc w:val="left"/>
            </w:pPr>
            <w:r>
              <w:t xml:space="preserve">इळः (</w:t>
            </w:r>
            <w:r>
              <w:rPr>
                <w:iCs/>
                <w:i/>
              </w:rPr>
              <w:t xml:space="preserve">iḷaḥ</w:t>
            </w:r>
            <w:r>
              <w:t xml:space="preserve">)</w:t>
            </w:r>
          </w:p>
        </w:tc>
        <w:tc>
          <w:tcPr/>
          <w:p>
            <w:pPr>
              <w:pStyle w:val="Compact"/>
              <w:jc w:val="left"/>
            </w:pPr>
            <w:r>
              <w:t xml:space="preserve">Iḷa</w:t>
            </w:r>
          </w:p>
        </w:tc>
      </w:tr>
      <w:tr>
        <w:tc>
          <w:tcPr/>
          <w:p>
            <w:pPr>
              <w:pStyle w:val="Compact"/>
              <w:jc w:val="left"/>
            </w:pPr>
            <w:r>
              <w:t xml:space="preserve">4</w:t>
            </w:r>
          </w:p>
        </w:tc>
        <w:tc>
          <w:tcPr/>
          <w:p>
            <w:pPr>
              <w:pStyle w:val="Compact"/>
              <w:jc w:val="left"/>
            </w:pPr>
            <w:r>
              <w:t xml:space="preserve">बर्हिः (</w:t>
            </w:r>
            <w:r>
              <w:rPr>
                <w:iCs/>
                <w:i/>
              </w:rPr>
              <w:t xml:space="preserve">barhiḥ</w:t>
            </w:r>
            <w:r>
              <w:t xml:space="preserve">)</w:t>
            </w:r>
          </w:p>
        </w:tc>
        <w:tc>
          <w:tcPr/>
          <w:p>
            <w:pPr>
              <w:pStyle w:val="Compact"/>
              <w:jc w:val="left"/>
            </w:pPr>
            <w:r>
              <w:t xml:space="preserve">the Barhis (sacred grass)</w:t>
            </w:r>
          </w:p>
        </w:tc>
      </w:tr>
      <w:tr>
        <w:tc>
          <w:tcPr/>
          <w:p>
            <w:pPr>
              <w:pStyle w:val="Compact"/>
              <w:jc w:val="left"/>
            </w:pPr>
            <w:r>
              <w:t xml:space="preserve">5</w:t>
            </w:r>
          </w:p>
        </w:tc>
        <w:tc>
          <w:tcPr/>
          <w:p>
            <w:pPr>
              <w:pStyle w:val="Compact"/>
              <w:jc w:val="left"/>
            </w:pPr>
            <w:r>
              <w:t xml:space="preserve">देवीर्द्वारः (</w:t>
            </w:r>
            <w:r>
              <w:rPr>
                <w:iCs/>
                <w:i/>
              </w:rPr>
              <w:t xml:space="preserve">devīr dvāraḥ</w:t>
            </w:r>
            <w:r>
              <w:t xml:space="preserve">)</w:t>
            </w:r>
          </w:p>
        </w:tc>
        <w:tc>
          <w:tcPr/>
          <w:p>
            <w:pPr>
              <w:pStyle w:val="Compact"/>
              <w:jc w:val="left"/>
            </w:pPr>
            <w:r>
              <w:t xml:space="preserve">the divine Doors</w:t>
            </w:r>
          </w:p>
        </w:tc>
      </w:tr>
      <w:tr>
        <w:tc>
          <w:tcPr/>
          <w:p>
            <w:pPr>
              <w:pStyle w:val="Compact"/>
              <w:jc w:val="left"/>
            </w:pPr>
            <w:r>
              <w:t xml:space="preserve">6</w:t>
            </w:r>
          </w:p>
        </w:tc>
        <w:tc>
          <w:tcPr/>
          <w:p>
            <w:pPr>
              <w:pStyle w:val="Compact"/>
              <w:jc w:val="left"/>
            </w:pPr>
            <w:r>
              <w:t xml:space="preserve">उषासानक्ता (</w:t>
            </w:r>
            <w:r>
              <w:rPr>
                <w:iCs/>
                <w:i/>
              </w:rPr>
              <w:t xml:space="preserve">uṣāsānaktā</w:t>
            </w:r>
            <w:r>
              <w:t xml:space="preserve">)</w:t>
            </w:r>
          </w:p>
        </w:tc>
        <w:tc>
          <w:tcPr/>
          <w:p>
            <w:pPr>
              <w:pStyle w:val="Compact"/>
              <w:jc w:val="left"/>
            </w:pPr>
            <w:r>
              <w:t xml:space="preserve">Dawn and Night</w:t>
            </w:r>
          </w:p>
        </w:tc>
      </w:tr>
      <w:tr>
        <w:tc>
          <w:tcPr/>
          <w:p>
            <w:pPr>
              <w:pStyle w:val="Compact"/>
              <w:jc w:val="left"/>
            </w:pPr>
            <w:r>
              <w:t xml:space="preserve">7</w:t>
            </w:r>
          </w:p>
        </w:tc>
        <w:tc>
          <w:tcPr/>
          <w:p>
            <w:pPr>
              <w:pStyle w:val="Compact"/>
              <w:jc w:val="left"/>
            </w:pPr>
            <w:r>
              <w:t xml:space="preserve">दैव्यौ होतारौ प्रचेतसौ (</w:t>
            </w:r>
            <w:r>
              <w:rPr>
                <w:iCs/>
                <w:i/>
              </w:rPr>
              <w:t xml:space="preserve">daivyau hotārau pracetasau</w:t>
            </w:r>
            <w:r>
              <w:t xml:space="preserve">)</w:t>
            </w:r>
          </w:p>
        </w:tc>
        <w:tc>
          <w:tcPr/>
          <w:p>
            <w:pPr>
              <w:pStyle w:val="Compact"/>
              <w:jc w:val="left"/>
            </w:pPr>
            <w:r>
              <w:t xml:space="preserve">the two divine, wise Hotṛs</w:t>
            </w:r>
          </w:p>
        </w:tc>
      </w:tr>
      <w:tr>
        <w:tc>
          <w:tcPr/>
          <w:p>
            <w:pPr>
              <w:pStyle w:val="Compact"/>
              <w:jc w:val="left"/>
            </w:pPr>
            <w:r>
              <w:t xml:space="preserve">8</w:t>
            </w:r>
          </w:p>
        </w:tc>
        <w:tc>
          <w:tcPr/>
          <w:p>
            <w:pPr>
              <w:pStyle w:val="Compact"/>
              <w:jc w:val="left"/>
            </w:pPr>
            <w:r>
              <w:t xml:space="preserve">तिस्रो देव्यः सरस्वतीळाभारत्यः (</w:t>
            </w:r>
            <w:r>
              <w:rPr>
                <w:iCs/>
                <w:i/>
              </w:rPr>
              <w:t xml:space="preserve">tisro devyaḥ sarasvatī-iḷā-bhāratyaḥ</w:t>
            </w:r>
            <w:r>
              <w:t xml:space="preserve">)</w:t>
            </w:r>
          </w:p>
        </w:tc>
        <w:tc>
          <w:tcPr/>
          <w:p>
            <w:pPr>
              <w:pStyle w:val="Compact"/>
              <w:jc w:val="left"/>
            </w:pPr>
            <w:r>
              <w:t xml:space="preserve">the three goddesses: Sarasvatī, Iḷā, Bhāratī</w:t>
            </w:r>
          </w:p>
        </w:tc>
      </w:tr>
      <w:tr>
        <w:tc>
          <w:tcPr/>
          <w:p>
            <w:pPr>
              <w:pStyle w:val="Compact"/>
              <w:jc w:val="left"/>
            </w:pPr>
            <w:r>
              <w:t xml:space="preserve">9</w:t>
            </w:r>
          </w:p>
        </w:tc>
        <w:tc>
          <w:tcPr/>
          <w:p>
            <w:pPr>
              <w:pStyle w:val="Compact"/>
              <w:jc w:val="left"/>
            </w:pPr>
            <w:r>
              <w:t xml:space="preserve">त्वष्टा (</w:t>
            </w:r>
            <w:r>
              <w:rPr>
                <w:iCs/>
                <w:i/>
              </w:rPr>
              <w:t xml:space="preserve">tvaṣṭā</w:t>
            </w:r>
            <w:r>
              <w:t xml:space="preserve">)</w:t>
            </w:r>
          </w:p>
        </w:tc>
        <w:tc>
          <w:tcPr/>
          <w:p>
            <w:pPr>
              <w:pStyle w:val="Compact"/>
              <w:jc w:val="left"/>
            </w:pPr>
            <w:r>
              <w:t xml:space="preserve">Tvaṣṭṛ</w:t>
            </w:r>
          </w:p>
        </w:tc>
      </w:tr>
      <w:tr>
        <w:tc>
          <w:tcPr/>
          <w:p>
            <w:pPr>
              <w:pStyle w:val="Compact"/>
              <w:jc w:val="left"/>
            </w:pPr>
            <w:r>
              <w:t xml:space="preserve">10</w:t>
            </w:r>
          </w:p>
        </w:tc>
        <w:tc>
          <w:tcPr/>
          <w:p>
            <w:pPr>
              <w:pStyle w:val="Compact"/>
              <w:jc w:val="left"/>
            </w:pPr>
            <w:r>
              <w:t xml:space="preserve">वनस्पतिः (</w:t>
            </w:r>
            <w:r>
              <w:rPr>
                <w:iCs/>
                <w:i/>
              </w:rPr>
              <w:t xml:space="preserve">vanaspatiḥ</w:t>
            </w:r>
            <w:r>
              <w:t xml:space="preserve">)</w:t>
            </w:r>
          </w:p>
        </w:tc>
        <w:tc>
          <w:tcPr/>
          <w:p>
            <w:pPr>
              <w:pStyle w:val="Compact"/>
              <w:jc w:val="left"/>
            </w:pPr>
            <w:r>
              <w:t xml:space="preserve">Vanaspati</w:t>
            </w:r>
          </w:p>
        </w:tc>
      </w:tr>
      <w:tr>
        <w:tc>
          <w:tcPr/>
          <w:p>
            <w:pPr>
              <w:pStyle w:val="Compact"/>
              <w:jc w:val="left"/>
            </w:pPr>
            <w:r>
              <w:t xml:space="preserve">11</w:t>
            </w:r>
          </w:p>
        </w:tc>
        <w:tc>
          <w:tcPr/>
          <w:p>
            <w:pPr>
              <w:pStyle w:val="Compact"/>
              <w:jc w:val="left"/>
            </w:pPr>
            <w:r>
              <w:t xml:space="preserve">स्वाहाकृतयः (</w:t>
            </w:r>
            <w:r>
              <w:rPr>
                <w:iCs/>
                <w:i/>
              </w:rPr>
              <w:t xml:space="preserve">svāhākṛtayaḥ</w:t>
            </w:r>
            <w:r>
              <w:t xml:space="preserve">)</w:t>
            </w:r>
          </w:p>
        </w:tc>
        <w:tc>
          <w:tcPr/>
          <w:p>
            <w:pPr>
              <w:pStyle w:val="Compact"/>
              <w:jc w:val="left"/>
            </w:pPr>
            <w:r>
              <w:t xml:space="preserve">the Svāhā-offerings</w:t>
            </w:r>
          </w:p>
        </w:tc>
      </w:tr>
    </w:tbl>
    <w:p>
      <w:pPr>
        <w:pStyle w:val="BodyText"/>
      </w:pPr>
      <w:r>
        <w:t xml:space="preserve">In the first sūkta with 12 Ṛks, the deity</w:t>
      </w:r>
      <w:r>
        <w:t xml:space="preserve"> </w:t>
      </w:r>
      <w:r>
        <w:rPr>
          <w:bCs/>
          <w:b/>
        </w:rPr>
        <w:t xml:space="preserve">Narāśaṃsa</w:t>
      </w:r>
      <w:r>
        <w:t xml:space="preserve"> </w:t>
      </w:r>
      <w:r>
        <w:t xml:space="preserve">is also present; in the second sūkta, with 13 Ṛks, both</w:t>
      </w:r>
      <w:r>
        <w:t xml:space="preserve"> </w:t>
      </w:r>
      <w:r>
        <w:rPr>
          <w:bCs/>
          <w:b/>
        </w:rPr>
        <w:t xml:space="preserve">Narāśaṃsa and Indra</w:t>
      </w:r>
      <w:r>
        <w:t xml:space="preserve"> </w:t>
      </w:r>
      <w:r>
        <w:t xml:space="preserve">are deities; therefore, in place of the 11 Ṛks of the other sūktas, these have 12 and 13. In the other matters there is no difference — only the metres and the ṛṣis differ. In the animal sacrifice (paśuyāga), while praising Agni (the</w:t>
      </w:r>
      <w:r>
        <w:t xml:space="preserve"> </w:t>
      </w:r>
      <w:r>
        <w:t xml:space="preserve">“</w:t>
      </w:r>
      <w:r>
        <w:t xml:space="preserve">samiddha-agni</w:t>
      </w:r>
      <w:r>
        <w:t xml:space="preserve">”</w:t>
      </w:r>
      <w:r>
        <w:t xml:space="preserve">) and while performing the eleven</w:t>
      </w:r>
      <w:r>
        <w:t xml:space="preserve"> </w:t>
      </w:r>
      <w:r>
        <w:rPr>
          <w:bCs/>
          <w:b/>
        </w:rPr>
        <w:t xml:space="preserve">prayāja</w:t>
      </w:r>
      <w:r>
        <w:t xml:space="preserve"> </w:t>
      </w:r>
      <w:r>
        <w:t xml:space="preserve">homas, these sūktas are recited. In these sūktas,</w:t>
      </w:r>
      <w:r>
        <w:t xml:space="preserve"> </w:t>
      </w:r>
      <w:r>
        <w:t xml:space="preserve">“</w:t>
      </w:r>
      <w:r>
        <w:t xml:space="preserve">tisro devyaḥ</w:t>
      </w:r>
      <w:r>
        <w:t xml:space="preserve">”</w:t>
      </w:r>
      <w:r>
        <w:t xml:space="preserve"> </w:t>
      </w:r>
      <w:r>
        <w:t xml:space="preserve">means the praise of the three goddesses</w:t>
      </w:r>
      <w:r>
        <w:t xml:space="preserve"> </w:t>
      </w:r>
      <w:r>
        <w:rPr>
          <w:bCs/>
          <w:b/>
        </w:rPr>
        <w:t xml:space="preserve">Iḷā, Sarasvatī, Bhāratī</w:t>
      </w:r>
      <w:r>
        <w:t xml:space="preserve">. The chief point to be noted here is that</w:t>
      </w:r>
      <w:r>
        <w:t xml:space="preserve"> </w:t>
      </w:r>
      <w:r>
        <w:rPr>
          <w:bCs/>
          <w:b/>
        </w:rPr>
        <w:t xml:space="preserve">Agni is worshipped in three forms: on earth, in the atmosphere, and in heaven.</w:t>
      </w:r>
      <w:r>
        <w:t xml:space="preserve"> </w:t>
      </w:r>
      <w:r>
        <w:t xml:space="preserve">Since</w:t>
      </w:r>
      <w:r>
        <w:t xml:space="preserve"> </w:t>
      </w:r>
      <w:r>
        <w:rPr>
          <w:bCs/>
          <w:b/>
        </w:rPr>
        <w:t xml:space="preserve">Bhāratī</w:t>
      </w:r>
      <w:r>
        <w:t xml:space="preserve"> </w:t>
      </w:r>
      <w:r>
        <w:t xml:space="preserve">indicates the rays of the Sun, this deity (that is, the Sun) is the form of Agni in heaven.</w:t>
      </w:r>
      <w:r>
        <w:t xml:space="preserve"> </w:t>
      </w:r>
      <w:r>
        <w:rPr>
          <w:bCs/>
          <w:b/>
        </w:rPr>
        <w:t xml:space="preserve">Sarasvatī</w:t>
      </w:r>
      <w:r>
        <w:t xml:space="preserve"> </w:t>
      </w:r>
      <w:r>
        <w:t xml:space="preserve">… for lightning, the one presiding …</w:t>
      </w:r>
      <w:r>
        <w:t xml:space="preserve"> </w:t>
      </w:r>
      <w:r>
        <w:rPr>
          <w:iCs/>
          <w:i/>
        </w:rPr>
        <w:t xml:space="preserve">(continues on the next page)</w:t>
      </w:r>
    </w:p>
    <w:bookmarkEnd w:id="101"/>
    <w:bookmarkStart w:id="102" w:name="X7478b808785995d36255d26a99460aad95537b6"/>
    <w:p>
      <w:pPr>
        <w:pStyle w:val="Heading3"/>
      </w:pPr>
      <w:r>
        <w:t xml:space="preserve">Page 75 —</w:t>
      </w:r>
      <w:r>
        <w:t xml:space="preserve"> </w:t>
      </w:r>
      <w:r>
        <w:t xml:space="preserve">“</w:t>
      </w:r>
      <w:r>
        <w:t xml:space="preserve">tisro devyaḥ</w:t>
      </w:r>
      <w:r>
        <w:t xml:space="preserve">”</w:t>
      </w:r>
      <w:r>
        <w:t xml:space="preserve">; Rigvedic verses that treat Sarasvatī as a deity rather than a river</w:t>
      </w:r>
    </w:p>
    <w:p>
      <w:pPr>
        <w:pStyle w:val="FirstParagraph"/>
      </w:pPr>
      <w:r>
        <w:rPr>
          <w:iCs/>
          <w:i/>
        </w:rPr>
        <w:t xml:space="preserve">(Page header:</w:t>
      </w:r>
      <w:r>
        <w:rPr>
          <w:iCs/>
          <w:i/>
        </w:rPr>
        <w:t xml:space="preserve"> </w:t>
      </w:r>
      <w:r>
        <w:rPr>
          <w:iCs/>
          <w:i/>
        </w:rPr>
        <w:t xml:space="preserve">“</w:t>
      </w:r>
      <w:r>
        <w:rPr>
          <w:iCs/>
          <w:i/>
        </w:rPr>
        <w:t xml:space="preserve">Aṣṭaka 1, Adhyāya 1, Varga 6 · Ṛgveda-saṃhitā.</w:t>
      </w:r>
      <w:r>
        <w:rPr>
          <w:iCs/>
          <w:i/>
        </w:rPr>
        <w:t xml:space="preserve">”</w:t>
      </w:r>
      <w:r>
        <w:rPr>
          <w:iCs/>
          <w:i/>
        </w:rPr>
        <w:t xml:space="preserve"> </w:t>
      </w:r>
      <w:r>
        <w:rPr>
          <w:iCs/>
          <w:i/>
        </w:rPr>
        <w:t xml:space="preserve">Reference-numbers re-read from the better scan (Oct 2026 numeral pass). The glosses on the verses are mine, tentative, since the source gives no translation of them.)</w:t>
      </w:r>
    </w:p>
    <w:p>
      <w:pPr>
        <w:pStyle w:val="BodyText"/>
      </w:pPr>
      <w:r>
        <w:rPr>
          <w:iCs/>
          <w:i/>
        </w:rPr>
        <w:t xml:space="preserve">(Continuing from p. 74,</w:t>
      </w:r>
      <w:r>
        <w:rPr>
          <w:iCs/>
          <w:i/>
        </w:rPr>
        <w:t xml:space="preserve"> </w:t>
      </w:r>
      <w:r>
        <w:rPr>
          <w:iCs/>
          <w:i/>
        </w:rPr>
        <w:t xml:space="preserve">“</w:t>
      </w:r>
      <w:r>
        <w:rPr>
          <w:iCs/>
          <w:i/>
        </w:rPr>
        <w:t xml:space="preserve">Sarasvatī … for lightning, the one presiding…</w:t>
      </w:r>
      <w:r>
        <w:rPr>
          <w:iCs/>
          <w:i/>
        </w:rPr>
        <w:t xml:space="preserve">”</w:t>
      </w:r>
      <w:r>
        <w:rPr>
          <w:iCs/>
          <w:i/>
        </w:rPr>
        <w:t xml:space="preserve">)</w:t>
      </w:r>
      <w:r>
        <w:t xml:space="preserve"> </w:t>
      </w:r>
      <w:r>
        <w:t xml:space="preserve">…Because Sarasvatī is described in many places as a presiding deity of the lightning (vidyud-abhimānī-devatā), this Sarasvatī is the form of Agni in the atmosphere. Because the goddess</w:t>
      </w:r>
      <w:r>
        <w:t xml:space="preserve"> </w:t>
      </w:r>
      <w:r>
        <w:rPr>
          <w:bCs/>
          <w:b/>
        </w:rPr>
        <w:t xml:space="preserve">Iḷā</w:t>
      </w:r>
      <w:r>
        <w:t xml:space="preserve"> </w:t>
      </w:r>
      <w:r>
        <w:t xml:space="preserve">gives to the people on earth wealth and the like and long life, this goddess is the form of Agni on earth: such is the signification of these three, Iḷā, Sarasvatī and Bhāratī. The ṛṣis praise these three goddesses, asking them to come to the sacrificial altar and sit on the</w:t>
      </w:r>
      <w:r>
        <w:t xml:space="preserve"> </w:t>
      </w:r>
      <w:r>
        <w:t xml:space="preserve">“</w:t>
      </w:r>
      <w:r>
        <w:t xml:space="preserve">barhis</w:t>
      </w:r>
      <w:r>
        <w:t xml:space="preserve">”</w:t>
      </w:r>
      <w:r>
        <w:t xml:space="preserve"> </w:t>
      </w:r>
      <w:r>
        <w:t xml:space="preserve">(spread darbha-grass).</w:t>
      </w:r>
    </w:p>
    <w:p>
      <w:pPr>
        <w:pStyle w:val="BodyText"/>
      </w:pPr>
      <w:r>
        <w:t xml:space="preserve">Here are some examples of verses in which the ṛṣis praise Sarasvatī as a deity other than a river:</w:t>
      </w:r>
    </w:p>
    <w:p>
      <w:pPr>
        <w:numPr>
          <w:ilvl w:val="0"/>
          <w:numId w:val="1013"/>
        </w:numPr>
        <w:pStyle w:val="BlockText"/>
      </w:pPr>
      <w:r>
        <w:t xml:space="preserve">तान्पूर्वया निविदा हूमहे वयं भगं मित्रमदितिं दक्षमस्रिधम् ।</w:t>
      </w:r>
      <w:r>
        <w:t xml:space="preserve"> </w:t>
      </w:r>
      <w:r>
        <w:t xml:space="preserve">अर्यमणं वरुणं सोममश्विना सरस्वती नः सुभगा मयस्करत् ॥ (ऋ. सं. १-८९-३)</w:t>
      </w:r>
      <w:r>
        <w:t xml:space="preserve"> </w:t>
      </w:r>
      <w:r>
        <w:rPr>
          <w:iCs/>
          <w:i/>
        </w:rPr>
        <w:t xml:space="preserve">tān pūrvayā nividā hūmahe vayaṃ bhagaṃ mitram aditiṃ dakṣam asridham |</w:t>
      </w:r>
      <w:r>
        <w:t xml:space="preserve"> </w:t>
      </w:r>
      <w:r>
        <w:rPr>
          <w:iCs/>
          <w:i/>
        </w:rPr>
        <w:t xml:space="preserve">aryamaṇaṃ varuṇaṃ somam aśvinā sarasvatī naḥ subhagā mayas karat || (ṛ. saṃ. 1-89-3)</w:t>
      </w:r>
      <w:r>
        <w:t xml:space="preserve"> </w:t>
      </w:r>
      <w:r>
        <w:t xml:space="preserve">Gloss:</w:t>
      </w:r>
      <w:r>
        <w:t xml:space="preserve"> </w:t>
      </w:r>
      <w:r>
        <w:t xml:space="preserve">“</w:t>
      </w:r>
      <w:r>
        <w:t xml:space="preserve">Those (gods) we invoke with the ancient invocation — Bhaga, Mitra, Aditi, the undecaying Dakṣa, Aryaman, Varuṇa, Soma, the Aśvins; may fortunate Sarasvatī make us happy.</w:t>
      </w:r>
      <w:r>
        <w:t xml:space="preserve">”</w:t>
      </w:r>
      <w:r>
        <w:t xml:space="preserve"> </w:t>
      </w:r>
      <w:r>
        <w:rPr>
          <w:iCs/>
          <w:i/>
        </w:rPr>
        <w:t xml:space="preserve">(The source’s remark:)</w:t>
      </w:r>
      <w:r>
        <w:t xml:space="preserve"> </w:t>
      </w:r>
      <w:r>
        <w:t xml:space="preserve">In this Ṛk Sarasvatī is the goddess of speech, or the presiding deity of lightning.</w:t>
      </w:r>
    </w:p>
    <w:p>
      <w:pPr>
        <w:numPr>
          <w:ilvl w:val="0"/>
          <w:numId w:val="1013"/>
        </w:numPr>
        <w:pStyle w:val="BlockText"/>
      </w:pPr>
      <w:r>
        <w:t xml:space="preserve">सरस्वति त्वमस्माँ अविड्ढि मरुत्वती धृषती जेषि शत्रून् । (ऋ. सं. २-३०-८)</w:t>
      </w:r>
      <w:r>
        <w:t xml:space="preserve"> </w:t>
      </w:r>
      <w:r>
        <w:rPr>
          <w:iCs/>
          <w:i/>
        </w:rPr>
        <w:t xml:space="preserve">sarasvati tvam asmāṁ aviḍḍhi marutvatī dhṛṣatī jeṣi śatrūn | (ṛ. saṃ. 2-30-8)</w:t>
      </w:r>
      <w:r>
        <w:t xml:space="preserve"> </w:t>
      </w:r>
      <w:r>
        <w:t xml:space="preserve">Gloss:</w:t>
      </w:r>
      <w:r>
        <w:t xml:space="preserve"> </w:t>
      </w:r>
      <w:r>
        <w:t xml:space="preserve">“</w:t>
      </w:r>
      <w:r>
        <w:t xml:space="preserve">O Sarasvatī, protect us; accompanied by the Maruts, bold, you conquer the foes.</w:t>
      </w:r>
      <w:r>
        <w:t xml:space="preserve">”</w:t>
      </w:r>
    </w:p>
    <w:p>
      <w:pPr>
        <w:numPr>
          <w:ilvl w:val="0"/>
          <w:numId w:val="1013"/>
        </w:numPr>
        <w:pStyle w:val="BlockText"/>
      </w:pPr>
      <w:r>
        <w:t xml:space="preserve">सरस्वती शृणवन्यज्ञियासो धाता रयिं सहवीरं तुरासः । (ऋ. सं. ३-५४-१३)</w:t>
      </w:r>
      <w:r>
        <w:t xml:space="preserve"> </w:t>
      </w:r>
      <w:r>
        <w:rPr>
          <w:iCs/>
          <w:i/>
        </w:rPr>
        <w:t xml:space="preserve">sarasvatī śṛṇavanyajñiyāso dhātā rayiṃ sahavīraṃ turāsaḥ | (ṛ. saṃ. 3-54-13)</w:t>
      </w:r>
      <w:r>
        <w:t xml:space="preserve"> </w:t>
      </w:r>
      <w:r>
        <w:t xml:space="preserve">Gloss:</w:t>
      </w:r>
      <w:r>
        <w:t xml:space="preserve"> </w:t>
      </w:r>
      <w:r>
        <w:t xml:space="preserve">“</w:t>
      </w:r>
      <w:r>
        <w:t xml:space="preserve">May Sarasvatī hear — (the gods) worthy of sacrifice — bestowing wealth with heroes, the swift conqueror.</w:t>
      </w:r>
      <w:r>
        <w:t xml:space="preserve">”</w:t>
      </w:r>
      <w:r>
        <w:t xml:space="preserve"> </w:t>
      </w:r>
      <w:r>
        <w:t xml:space="preserve">[tentative;</w:t>
      </w:r>
      <w:r>
        <w:t xml:space="preserve"> </w:t>
      </w:r>
      <w:r>
        <w:t xml:space="preserve">“</w:t>
      </w:r>
      <w:r>
        <w:t xml:space="preserve">turāsaḥ</w:t>
      </w:r>
      <w:r>
        <w:t xml:space="preserve">”</w:t>
      </w:r>
      <w:r>
        <w:t xml:space="preserve"> </w:t>
      </w:r>
      <w:r>
        <w:t xml:space="preserve">as printed, re-read from the better scan]</w:t>
      </w:r>
    </w:p>
    <w:p>
      <w:pPr>
        <w:pStyle w:val="BlockText"/>
      </w:pPr>
      <w:r>
        <w:rPr>
          <w:iCs/>
          <w:i/>
        </w:rPr>
        <w:t xml:space="preserve">(The source’s remark on (2) and (3):)</w:t>
      </w:r>
      <w:r>
        <w:t xml:space="preserve"> </w:t>
      </w:r>
      <w:r>
        <w:t xml:space="preserve">In these Ṛks Sarasvatī is regarded either as a river or as the presiding deity of lightning.</w:t>
      </w:r>
    </w:p>
    <w:p>
      <w:pPr>
        <w:numPr>
          <w:ilvl w:val="0"/>
          <w:numId w:val="1014"/>
        </w:numPr>
        <w:pStyle w:val="BlockText"/>
      </w:pPr>
      <w:r>
        <w:t xml:space="preserve">दमूनसो अपसो ये सुहस्ता वृष्णः पत्नीर्नद्यो विभ्वतष्टाः ।</w:t>
      </w:r>
      <w:r>
        <w:t xml:space="preserve"> </w:t>
      </w:r>
      <w:r>
        <w:t xml:space="preserve">सरस्वती बृहद्दिवोत राका दशस्यन्तीर्वरिवस्यन्तु शुभ्राः ॥ (ऋ. सं. ५-४२-१२)</w:t>
      </w:r>
      <w:r>
        <w:t xml:space="preserve"> </w:t>
      </w:r>
      <w:r>
        <w:rPr>
          <w:iCs/>
          <w:i/>
        </w:rPr>
        <w:t xml:space="preserve">damūnaso apaso ye suhastā vṛṣṇaḥ patnīr nadyo vibhvataṣṭāḥ |</w:t>
      </w:r>
      <w:r>
        <w:t xml:space="preserve"> </w:t>
      </w:r>
      <w:r>
        <w:rPr>
          <w:iCs/>
          <w:i/>
        </w:rPr>
        <w:t xml:space="preserve">sarasvatī bṛhaddivota rākā daśasyantīr varivasyantu śubhrāḥ || (ṛ. saṃ. 5-42-12)</w:t>
      </w:r>
      <w:r>
        <w:t xml:space="preserve"> </w:t>
      </w:r>
      <w:r>
        <w:t xml:space="preserve">Gloss:</w:t>
      </w:r>
      <w:r>
        <w:t xml:space="preserve"> </w:t>
      </w:r>
      <w:r>
        <w:t xml:space="preserve">“</w:t>
      </w:r>
      <w:r>
        <w:t xml:space="preserve">(…) the wives of the bull, the rivers shaped by the Skilful One; may Sarasvatī, Bṛhaddivā and Rākā, the bright ones, giving, grant wide room.</w:t>
      </w:r>
      <w:r>
        <w:t xml:space="preserve">”</w:t>
      </w:r>
      <w:r>
        <w:t xml:space="preserve"> </w:t>
      </w:r>
      <w:r>
        <w:t xml:space="preserve">[tentative; the first half is hard for me to render with confidence]</w:t>
      </w:r>
    </w:p>
    <w:p>
      <w:pPr>
        <w:numPr>
          <w:ilvl w:val="0"/>
          <w:numId w:val="1014"/>
        </w:numPr>
        <w:pStyle w:val="BlockText"/>
      </w:pPr>
      <w:r>
        <w:t xml:space="preserve">आ नो दिवो बृहतः पर्वतादा सरस्वती यजता गन्तु यज्ञम् । (ऋ. सं. ५-४३-११)</w:t>
      </w:r>
      <w:r>
        <w:t xml:space="preserve"> </w:t>
      </w:r>
      <w:r>
        <w:rPr>
          <w:iCs/>
          <w:i/>
        </w:rPr>
        <w:t xml:space="preserve">ā no divo bṛhataḥ parvatād ā sarasvatī yajatā gantu yajñam | (ṛ. saṃ. 5-43-11)</w:t>
      </w:r>
      <w:r>
        <w:t xml:space="preserve"> </w:t>
      </w:r>
      <w:r>
        <w:t xml:space="preserve">Gloss:</w:t>
      </w:r>
      <w:r>
        <w:t xml:space="preserve"> </w:t>
      </w:r>
      <w:r>
        <w:t xml:space="preserve">“</w:t>
      </w:r>
      <w:r>
        <w:t xml:space="preserve">May worshipful Sarasvatī come to our sacrifice from heaven, from the great mountain.</w:t>
      </w:r>
      <w:r>
        <w:t xml:space="preserve">”</w:t>
      </w:r>
    </w:p>
    <w:p>
      <w:pPr>
        <w:numPr>
          <w:ilvl w:val="0"/>
          <w:numId w:val="1014"/>
        </w:numPr>
        <w:pStyle w:val="BlockText"/>
      </w:pPr>
      <w:r>
        <w:t xml:space="preserve">उभा नासत्या रुद्रो अध ग्नाः पूषा भगः सरस्वती जुषन्त । (ऋ. सं. ५-४६-२)</w:t>
      </w:r>
      <w:r>
        <w:t xml:space="preserve"> </w:t>
      </w:r>
      <w:r>
        <w:rPr>
          <w:iCs/>
          <w:i/>
        </w:rPr>
        <w:t xml:space="preserve">ubhā nāsatyā rudro adha gnāḥ pūṣā bhagaḥ sarasvatī juṣanta | (ṛ. saṃ. 5-46-2)</w:t>
      </w:r>
      <w:r>
        <w:t xml:space="preserve"> </w:t>
      </w:r>
      <w:r>
        <w:t xml:space="preserve">Gloss:</w:t>
      </w:r>
      <w:r>
        <w:t xml:space="preserve"> </w:t>
      </w:r>
      <w:r>
        <w:t xml:space="preserve">“</w:t>
      </w:r>
      <w:r>
        <w:t xml:space="preserve">May both Nāsatyas, Rudra, the goddesses’ wives, Pūṣan, Bhaga, Sarasvatī be pleased.</w:t>
      </w:r>
      <w:r>
        <w:t xml:space="preserve">”</w:t>
      </w:r>
    </w:p>
    <w:p>
      <w:pPr>
        <w:pStyle w:val="BlockText"/>
      </w:pPr>
      <w:r>
        <w:rPr>
          <w:iCs/>
          <w:i/>
        </w:rPr>
        <w:t xml:space="preserve">(The source’s remark:)</w:t>
      </w:r>
      <w:r>
        <w:t xml:space="preserve"> </w:t>
      </w:r>
      <w:r>
        <w:t xml:space="preserve">In these three Ṛks, too, Sarasvatī is the presiding deity of lightning.</w:t>
      </w:r>
      <w:r>
        <w:t xml:space="preserve"> </w:t>
      </w:r>
      <w:r>
        <w:rPr>
          <w:bCs/>
          <w:b/>
        </w:rPr>
        <w:t xml:space="preserve">Griffith</w:t>
      </w:r>
      <w:r>
        <w:t xml:space="preserve"> </w:t>
      </w:r>
      <w:r>
        <w:t xml:space="preserve">holds that in the first of these three Ṛks Sarasvatī is some one river —</w:t>
      </w:r>
      <w:r>
        <w:t xml:space="preserve"> </w:t>
      </w:r>
      <w:r>
        <w:t xml:space="preserve">“</w:t>
      </w:r>
      <w:r>
        <w:t xml:space="preserve">Sindhu or Sarasvatī</w:t>
      </w:r>
      <w:r>
        <w:t xml:space="preserve">”</w:t>
      </w:r>
      <w:r>
        <w:t xml:space="preserve"> </w:t>
      </w:r>
      <w:r>
        <w:t xml:space="preserve">— and that in the 2nd and 3rd [Ṛks of the group] the deity is clear.</w:t>
      </w:r>
      <w:r>
        <w:t xml:space="preserve"> </w:t>
      </w:r>
      <w:r>
        <w:rPr>
          <w:bCs/>
          <w:b/>
        </w:rPr>
        <w:t xml:space="preserve">K. C. Caṭṭopādhyāya</w:t>
      </w:r>
      <w:r>
        <w:t xml:space="preserve"> </w:t>
      </w:r>
      <w:r>
        <w:t xml:space="preserve">says that Ṛks 1–2 [of the group] apply to the Sindhu. These three Ṛks too, it is said, were composed by the descendants of the ṛṣi Atri. For the first Ṛk…</w:t>
      </w:r>
      <w:r>
        <w:t xml:space="preserve"> </w:t>
      </w:r>
      <w:r>
        <w:rPr>
          <w:iCs/>
          <w:i/>
        </w:rPr>
        <w:t xml:space="preserve">(continues on the next page)</w:t>
      </w:r>
    </w:p>
    <w:bookmarkEnd w:id="102"/>
    <w:bookmarkStart w:id="103" w:name="X1504d051cd8c3f4c91648016831e6252ec14de2"/>
    <w:p>
      <w:pPr>
        <w:pStyle w:val="Heading3"/>
      </w:pPr>
      <w:r>
        <w:t xml:space="preserve">Page 76 — The deity-verses (concluded); where the river Sarasvatī flowed</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1, Sūkta 3.</w:t>
      </w:r>
      <w:r>
        <w:rPr>
          <w:iCs/>
          <w:i/>
        </w:rPr>
        <w:t xml:space="preserve">”</w:t>
      </w:r>
      <w:r>
        <w:rPr>
          <w:iCs/>
          <w:i/>
        </w:rPr>
        <w:t xml:space="preserve"> </w:t>
      </w:r>
      <w:r>
        <w:rPr>
          <w:iCs/>
          <w:i/>
        </w:rPr>
        <w:t xml:space="preserve">Reference-numbers marked [?] where unsure. English words and the bibliographic list are as printed in the source.)</w:t>
      </w:r>
    </w:p>
    <w:p>
      <w:pPr>
        <w:pStyle w:val="BodyText"/>
      </w:pPr>
      <w:r>
        <w:rPr>
          <w:iCs/>
          <w:i/>
        </w:rPr>
        <w:t xml:space="preserve">(Continuing:)</w:t>
      </w:r>
      <w:r>
        <w:t xml:space="preserve"> </w:t>
      </w:r>
      <w:r>
        <w:t xml:space="preserve">…for the first Ṛk, Atri, or Atri’s son</w:t>
      </w:r>
      <w:r>
        <w:t xml:space="preserve"> </w:t>
      </w:r>
      <w:r>
        <w:rPr>
          <w:bCs/>
          <w:b/>
        </w:rPr>
        <w:t xml:space="preserve">Bhauma</w:t>
      </w:r>
      <w:r>
        <w:t xml:space="preserve">, is the ṛṣi; for the second Ṛk, Atri; for the third,</w:t>
      </w:r>
      <w:r>
        <w:t xml:space="preserve"> </w:t>
      </w:r>
      <w:r>
        <w:rPr>
          <w:bCs/>
          <w:b/>
        </w:rPr>
        <w:t xml:space="preserve">Pratikṣatra</w:t>
      </w:r>
      <w:r>
        <w:t xml:space="preserve">, a descendant of Atri. In the second Ṛk Sarasvatī is addressed as having come from heaven (</w:t>
      </w:r>
      <w:r>
        <w:t xml:space="preserve">“</w:t>
      </w:r>
      <w:r>
        <w:t xml:space="preserve">divaḥ</w:t>
      </w:r>
      <w:r>
        <w:t xml:space="preserve">”</w:t>
      </w:r>
      <w:r>
        <w:t xml:space="preserve">) and from the great mountain (</w:t>
      </w:r>
      <w:r>
        <w:t xml:space="preserve">“</w:t>
      </w:r>
      <w:r>
        <w:t xml:space="preserve">parvatāt</w:t>
      </w:r>
      <w:r>
        <w:t xml:space="preserve">”</w:t>
      </w:r>
      <w:r>
        <w:t xml:space="preserve">) — [as the print has it]. In the first Ṛk, since the word</w:t>
      </w:r>
      <w:r>
        <w:t xml:space="preserve"> </w:t>
      </w:r>
      <w:r>
        <w:t xml:space="preserve">“</w:t>
      </w:r>
      <w:r>
        <w:rPr>
          <w:bCs/>
          <w:b/>
        </w:rPr>
        <w:t xml:space="preserve">patnīḥ</w:t>
      </w:r>
      <w:r>
        <w:t xml:space="preserve">”</w:t>
      </w:r>
      <w:r>
        <w:t xml:space="preserve"> </w:t>
      </w:r>
      <w:r>
        <w:t xml:space="preserve">(</w:t>
      </w:r>
      <w:r>
        <w:t xml:space="preserve">“</w:t>
      </w:r>
      <w:r>
        <w:t xml:space="preserve">wives</w:t>
      </w:r>
      <w:r>
        <w:t xml:space="preserve">”</w:t>
      </w:r>
      <w:r>
        <w:t xml:space="preserve">) appears, the Bhāṣyakāra has regarded Sarasvatī and the other rivers as the wives of Indra.</w:t>
      </w:r>
    </w:p>
    <w:p>
      <w:pPr>
        <w:numPr>
          <w:ilvl w:val="0"/>
          <w:numId w:val="1015"/>
        </w:numPr>
        <w:pStyle w:val="BlockText"/>
      </w:pPr>
      <w:r>
        <w:t xml:space="preserve">अग्निरिन्द्रो वरुणो मित्रो अर्यमा वायुः पूषा सरस्वती सजोषसः । (ऋ. सं. १०-६५-१)</w:t>
      </w:r>
      <w:r>
        <w:t xml:space="preserve"> </w:t>
      </w:r>
      <w:r>
        <w:rPr>
          <w:iCs/>
          <w:i/>
        </w:rPr>
        <w:t xml:space="preserve">agnir indro varuṇo mitro aryamā vāyuḥ pūṣā sarasvatī sajoṣasaḥ | (ṛ. saṃ. 10-65-1)</w:t>
      </w:r>
      <w:r>
        <w:t xml:space="preserve"> </w:t>
      </w:r>
      <w:r>
        <w:t xml:space="preserve">Gloss:</w:t>
      </w:r>
      <w:r>
        <w:t xml:space="preserve"> </w:t>
      </w:r>
      <w:r>
        <w:t xml:space="preserve">“</w:t>
      </w:r>
      <w:r>
        <w:t xml:space="preserve">Agni, Indra, Varuṇa, Mitra, Aryaman, Vāyu, Pūṣan, Sarasvatī, in concert.</w:t>
      </w:r>
      <w:r>
        <w:t xml:space="preserve">”</w:t>
      </w:r>
    </w:p>
    <w:p>
      <w:pPr>
        <w:numPr>
          <w:ilvl w:val="0"/>
          <w:numId w:val="1015"/>
        </w:numPr>
        <w:pStyle w:val="BlockText"/>
      </w:pPr>
      <w:r>
        <w:t xml:space="preserve">विश्वे देवासः शृणवन्वचांसि मे सरस्वती सह धीभिः पुरंध्या । (ऋ. सं. १०-६५-१३)</w:t>
      </w:r>
      <w:r>
        <w:t xml:space="preserve"> </w:t>
      </w:r>
      <w:r>
        <w:rPr>
          <w:iCs/>
          <w:i/>
        </w:rPr>
        <w:t xml:space="preserve">viśve devāsaḥ śṛṇavan vacāṃsi me sarasvatī saha dhībhiḥ puraṃdhyā | (ṛ. saṃ. 10-65-13)</w:t>
      </w:r>
      <w:r>
        <w:t xml:space="preserve"> </w:t>
      </w:r>
      <w:r>
        <w:t xml:space="preserve">Gloss:</w:t>
      </w:r>
      <w:r>
        <w:t xml:space="preserve"> </w:t>
      </w:r>
      <w:r>
        <w:t xml:space="preserve">“</w:t>
      </w:r>
      <w:r>
        <w:t xml:space="preserve">May the All-gods hear my words, and Sarasvatī with her thoughts and her plenty.</w:t>
      </w:r>
      <w:r>
        <w:t xml:space="preserve">”</w:t>
      </w:r>
    </w:p>
    <w:p>
      <w:pPr>
        <w:pStyle w:val="BlockText"/>
      </w:pPr>
      <w:r>
        <w:rPr>
          <w:iCs/>
          <w:i/>
        </w:rPr>
        <w:t xml:space="preserve">(The source’s remark:)</w:t>
      </w:r>
      <w:r>
        <w:t xml:space="preserve"> </w:t>
      </w:r>
      <w:r>
        <w:t xml:space="preserve">In these two Ṛks, too, Sarasvatī is the goddess of speech.</w:t>
      </w:r>
    </w:p>
    <w:p>
      <w:pPr>
        <w:numPr>
          <w:ilvl w:val="0"/>
          <w:numId w:val="1016"/>
        </w:numPr>
        <w:pStyle w:val="Compact"/>
      </w:pPr>
      <w:r>
        <w:t xml:space="preserve">यत्सारामं व्यपिबः शचीभिः सरस्वती त्वा मघवन्नभिष्णक् । (ऋ. सं. १०-१३१-५)</w:t>
      </w:r>
      <w:r>
        <w:t xml:space="preserve"> </w:t>
      </w:r>
      <w:r>
        <w:rPr>
          <w:iCs/>
          <w:i/>
        </w:rPr>
        <w:t xml:space="preserve">yat sārāmaṃ vy apibaḥ śacībhiḥ sarasvatī tvā maghavann abhiṣṇak | (ṛ. saṃ. 10-131-5)</w:t>
      </w:r>
      <w:r>
        <w:t xml:space="preserve"> </w:t>
      </w:r>
      <w:r>
        <w:t xml:space="preserve">Gloss:</w:t>
      </w:r>
      <w:r>
        <w:t xml:space="preserve"> </w:t>
      </w:r>
      <w:r>
        <w:t xml:space="preserve">“</w:t>
      </w:r>
      <w:r>
        <w:t xml:space="preserve">When you drank the [sārāma-drink?] with your powers, O Maghavan, Sarasvatī tended you.</w:t>
      </w:r>
      <w:r>
        <w:t xml:space="preserve">”</w:t>
      </w:r>
      <w:r>
        <w:t xml:space="preserve"> </w:t>
      </w:r>
      <w:r>
        <w:t xml:space="preserve">[tentative;</w:t>
      </w:r>
      <w:r>
        <w:t xml:space="preserve"> </w:t>
      </w:r>
      <w:r>
        <w:t xml:space="preserve">“</w:t>
      </w:r>
      <w:r>
        <w:t xml:space="preserve">sārāmam</w:t>
      </w:r>
      <w:r>
        <w:t xml:space="preserve">”</w:t>
      </w:r>
      <w:r>
        <w:t xml:space="preserve"> </w:t>
      </w:r>
      <w:r>
        <w:t xml:space="preserve">is not rendered with confidence]</w:t>
      </w:r>
    </w:p>
    <w:p>
      <w:pPr>
        <w:pStyle w:val="BlockText"/>
      </w:pPr>
      <w:r>
        <w:rPr>
          <w:iCs/>
          <w:i/>
        </w:rPr>
        <w:t xml:space="preserve">(The source’s remark:)</w:t>
      </w:r>
      <w:r>
        <w:t xml:space="preserve"> </w:t>
      </w:r>
      <w:r>
        <w:t xml:space="preserve">Since in this Ṛk Sarasvatī is spoken of as accompanying Indra, she may be understood either as the presiding deity of lightning or as the goddess of speech.</w:t>
      </w:r>
    </w:p>
    <w:p>
      <w:pPr>
        <w:numPr>
          <w:ilvl w:val="0"/>
          <w:numId w:val="1017"/>
        </w:numPr>
        <w:pStyle w:val="Compact"/>
      </w:pPr>
      <w:r>
        <w:t xml:space="preserve">गर्भं धेहि सिनीवालि गर्भं धेहि सरस्वति । (ऋ. सं. १०-१८४-२)</w:t>
      </w:r>
      <w:r>
        <w:t xml:space="preserve"> </w:t>
      </w:r>
      <w:r>
        <w:rPr>
          <w:iCs/>
          <w:i/>
        </w:rPr>
        <w:t xml:space="preserve">garbhaṃ dhehi sinīvāli garbhaṃ dhehi sarasvati | (ṛ. saṃ. 10-184-2)</w:t>
      </w:r>
      <w:r>
        <w:t xml:space="preserve"> </w:t>
      </w:r>
      <w:r>
        <w:t xml:space="preserve">Gloss:</w:t>
      </w:r>
      <w:r>
        <w:t xml:space="preserve"> </w:t>
      </w:r>
      <w:r>
        <w:t xml:space="preserve">“</w:t>
      </w:r>
      <w:r>
        <w:t xml:space="preserve">Set the embryo, O Sinīvālī; set the embryo, O Sarasvatī.</w:t>
      </w:r>
      <w:r>
        <w:t xml:space="preserve">”</w:t>
      </w:r>
    </w:p>
    <w:p>
      <w:pPr>
        <w:pStyle w:val="BlockText"/>
      </w:pPr>
      <w:r>
        <w:rPr>
          <w:iCs/>
          <w:i/>
        </w:rPr>
        <w:t xml:space="preserve">(The source’s remark:)</w:t>
      </w:r>
      <w:r>
        <w:t xml:space="preserve"> </w:t>
      </w:r>
      <w:r>
        <w:t xml:space="preserve">Here it is only fitting to speak of Sarasvatī as the goddess of speech [as the print says —</w:t>
      </w:r>
      <w:r>
        <w:t xml:space="preserve"> </w:t>
      </w:r>
      <w:r>
        <w:t xml:space="preserve">“</w:t>
      </w:r>
      <w:r>
        <w:t xml:space="preserve">vāg-devatā,</w:t>
      </w:r>
      <w:r>
        <w:t xml:space="preserve">”</w:t>
      </w:r>
      <w:r>
        <w:t xml:space="preserve"> </w:t>
      </w:r>
      <w:r>
        <w:t xml:space="preserve">though the verse is a prayer for conception].</w:t>
      </w:r>
    </w:p>
    <w:p>
      <w:pPr>
        <w:pStyle w:val="FirstParagraph"/>
      </w:pPr>
      <w:r>
        <w:rPr>
          <w:bCs/>
          <w:b/>
        </w:rPr>
        <w:t xml:space="preserve">Where the river Sarasvatī flowed.</w:t>
      </w:r>
      <w:r>
        <w:t xml:space="preserve"> </w:t>
      </w:r>
      <w:r>
        <w:t xml:space="preserve">We shall now set out briefly, for those who wish to know, the discussion of where the river Sarasvatī flowed in that age. This account has been written following the publications: (1) R. D. Oldham in</w:t>
      </w:r>
      <w:r>
        <w:t xml:space="preserve"> </w:t>
      </w:r>
      <w:r>
        <w:rPr>
          <w:iCs/>
          <w:i/>
        </w:rPr>
        <w:t xml:space="preserve">Journal of Asiatic Society Bengal</w:t>
      </w:r>
      <w:r>
        <w:t xml:space="preserve">, 1886, page 322; (2) C. F. Oldham,</w:t>
      </w:r>
      <w:r>
        <w:t xml:space="preserve"> </w:t>
      </w:r>
      <w:r>
        <w:rPr>
          <w:iCs/>
          <w:i/>
        </w:rPr>
        <w:t xml:space="preserve">Journal of Royal Asiatic Society</w:t>
      </w:r>
      <w:r>
        <w:t xml:space="preserve">, 1893, page 51; (3) Maps of the</w:t>
      </w:r>
      <w:r>
        <w:t xml:space="preserve"> </w:t>
      </w:r>
      <w:r>
        <w:rPr>
          <w:iCs/>
          <w:i/>
        </w:rPr>
        <w:t xml:space="preserve">Cambridge History of India</w:t>
      </w:r>
      <w:r>
        <w:t xml:space="preserve">, Vol. I,</w:t>
      </w:r>
      <w:r>
        <w:t xml:space="preserve"> </w:t>
      </w:r>
      <w:r>
        <w:t xml:space="preserve">“</w:t>
      </w:r>
      <w:r>
        <w:t xml:space="preserve">Ancient India</w:t>
      </w:r>
      <w:r>
        <w:t xml:space="preserve">”</w:t>
      </w:r>
      <w:r>
        <w:t xml:space="preserve">; (4) Maps of Punjab published by the Surveyor-General of India; (5)</w:t>
      </w:r>
      <w:r>
        <w:t xml:space="preserve"> </w:t>
      </w:r>
      <w:r>
        <w:t xml:space="preserve">“</w:t>
      </w:r>
      <w:r>
        <w:t xml:space="preserve">Ancient India as described by Megasthenes and Arrian.</w:t>
      </w:r>
      <w:r>
        <w:t xml:space="preserve">”</w:t>
      </w:r>
      <w:r>
        <w:t xml:space="preserve"> </w:t>
      </w:r>
      <w:r>
        <w:rPr>
          <w:iCs/>
          <w:i/>
        </w:rPr>
        <w:t xml:space="preserve">(All as printed.)</w:t>
      </w:r>
      <w:r>
        <w:t xml:space="preserve"> </w:t>
      </w:r>
      <w:r>
        <w:t xml:space="preserve">In that age the river Sarasvatī was one large river. It arose in the</w:t>
      </w:r>
      <w:r>
        <w:t xml:space="preserve"> </w:t>
      </w:r>
      <w:r>
        <w:rPr>
          <w:bCs/>
          <w:b/>
        </w:rPr>
        <w:t xml:space="preserve">Sirmur</w:t>
      </w:r>
      <w:r>
        <w:t xml:space="preserve"> </w:t>
      </w:r>
      <w:r>
        <w:t xml:space="preserve">(the source’s English:</w:t>
      </w:r>
      <w:r>
        <w:t xml:space="preserve"> </w:t>
      </w:r>
      <w:r>
        <w:t xml:space="preserve">“</w:t>
      </w:r>
      <w:r>
        <w:t xml:space="preserve">Sismur</w:t>
      </w:r>
      <w:r>
        <w:t xml:space="preserve">”</w:t>
      </w:r>
      <w:r>
        <w:t xml:space="preserve">) range in the Himālayas and flowed to the west and slightly south. At its source five small streams (small watercourses carrying water) joined and then flowed on as this river; for this reason it must have had the name</w:t>
      </w:r>
      <w:r>
        <w:t xml:space="preserve"> </w:t>
      </w:r>
      <w:r>
        <w:t xml:space="preserve">“</w:t>
      </w:r>
      <w:r>
        <w:rPr>
          <w:bCs/>
          <w:b/>
        </w:rPr>
        <w:t xml:space="preserve">Pañcajātā</w:t>
      </w:r>
      <w:r>
        <w:t xml:space="preserve">.</w:t>
      </w:r>
      <w:r>
        <w:t xml:space="preserve">”</w:t>
      </w:r>
      <w:r>
        <w:t xml:space="preserve"> </w:t>
      </w:r>
      <w:r>
        <w:t xml:space="preserve">After flowing a little distance, a river called</w:t>
      </w:r>
      <w:r>
        <w:t xml:space="preserve"> </w:t>
      </w:r>
      <w:r>
        <w:rPr>
          <w:bCs/>
          <w:b/>
        </w:rPr>
        <w:t xml:space="preserve">Dṛṣadvatī</w:t>
      </w:r>
      <w:r>
        <w:t xml:space="preserve"> </w:t>
      </w:r>
      <w:r>
        <w:t xml:space="preserve">(the modern Chitrang) joined it, coming from the east.</w:t>
      </w:r>
      <w:r>
        <w:t xml:space="preserve"> </w:t>
      </w:r>
      <w:r>
        <w:rPr>
          <w:bCs/>
          <w:b/>
        </w:rPr>
        <w:t xml:space="preserve">Āpayā</w:t>
      </w:r>
      <w:r>
        <w:t xml:space="preserve"> </w:t>
      </w:r>
      <w:r>
        <w:t xml:space="preserve">is a tributary of the Dṛṣadvatī. The Sarasvatī of that time was to the south of the present Sarasvatī river (the source adds: rivers that flow in desert regions often change their beds). Into the present Sarasvatī river two small streams called</w:t>
      </w:r>
      <w:r>
        <w:t xml:space="preserve"> </w:t>
      </w:r>
      <w:r>
        <w:rPr>
          <w:bCs/>
          <w:b/>
        </w:rPr>
        <w:t xml:space="preserve">Mārkaṇḍā</w:t>
      </w:r>
      <w:r>
        <w:t xml:space="preserve"> </w:t>
      </w:r>
      <w:r>
        <w:t xml:space="preserve">(the source’s English:</w:t>
      </w:r>
      <w:r>
        <w:t xml:space="preserve"> </w:t>
      </w:r>
      <w:r>
        <w:t xml:space="preserve">“</w:t>
      </w:r>
      <w:r>
        <w:t xml:space="preserve">Markand</w:t>
      </w:r>
      <w:r>
        <w:t xml:space="preserve">”</w:t>
      </w:r>
      <w:r>
        <w:t xml:space="preserve">) and</w:t>
      </w:r>
      <w:r>
        <w:t xml:space="preserve"> </w:t>
      </w:r>
      <w:r>
        <w:rPr>
          <w:bCs/>
          <w:b/>
        </w:rPr>
        <w:t xml:space="preserve">Gaggar</w:t>
      </w:r>
      <w:r>
        <w:t xml:space="preserve"> </w:t>
      </w:r>
      <w:r>
        <w:t xml:space="preserve">(</w:t>
      </w:r>
      <w:r>
        <w:t xml:space="preserve">“</w:t>
      </w:r>
      <w:r>
        <w:t xml:space="preserve">Ghaggar</w:t>
      </w:r>
      <w:r>
        <w:t xml:space="preserve">”</w:t>
      </w:r>
      <w:r>
        <w:t xml:space="preserve">) …</w:t>
      </w:r>
      <w:r>
        <w:t xml:space="preserve"> </w:t>
      </w:r>
      <w:r>
        <w:rPr>
          <w:iCs/>
          <w:i/>
        </w:rPr>
        <w:t xml:space="preserve">(continues on the next page)</w:t>
      </w:r>
    </w:p>
    <w:bookmarkEnd w:id="103"/>
    <w:bookmarkStart w:id="104" w:name="Xe9d7ddb5d7d68314f0bc3b2d146739e8f0d0529"/>
    <w:p>
      <w:pPr>
        <w:pStyle w:val="Heading3"/>
      </w:pPr>
      <w:r>
        <w:t xml:space="preserve">Page 77 — The course of the Sarasvatī (concluded);</w:t>
      </w:r>
      <w:r>
        <w:t xml:space="preserve"> </w:t>
      </w:r>
      <w:r>
        <w:t xml:space="preserve">“</w:t>
      </w:r>
      <w:r>
        <w:t xml:space="preserve">vājebhiḥ</w:t>
      </w:r>
      <w:r>
        <w:t xml:space="preserve">”</w:t>
      </w:r>
    </w:p>
    <w:p>
      <w:pPr>
        <w:pStyle w:val="FirstParagraph"/>
      </w:pPr>
      <w:r>
        <w:rPr>
          <w:iCs/>
          <w:i/>
        </w:rPr>
        <w:t xml:space="preserve">(Page header:</w:t>
      </w:r>
      <w:r>
        <w:rPr>
          <w:iCs/>
          <w:i/>
        </w:rPr>
        <w:t xml:space="preserve"> </w:t>
      </w:r>
      <w:r>
        <w:rPr>
          <w:iCs/>
          <w:i/>
        </w:rPr>
        <w:t xml:space="preserve">“</w:t>
      </w:r>
      <w:r>
        <w:rPr>
          <w:iCs/>
          <w:i/>
        </w:rPr>
        <w:t xml:space="preserve">Aṣṭaka 1, Adhyāya 1, Varga 6 · Ṛgveda-saṃhitā.</w:t>
      </w:r>
      <w:r>
        <w:rPr>
          <w:iCs/>
          <w:i/>
        </w:rPr>
        <w:t xml:space="preserve">”</w:t>
      </w:r>
      <w:r>
        <w:rPr>
          <w:iCs/>
          <w:i/>
        </w:rPr>
        <w:t xml:space="preserve"> </w:t>
      </w:r>
      <w:r>
        <w:rPr>
          <w:iCs/>
          <w:i/>
        </w:rPr>
        <w:t xml:space="preserve">English words are as printed in the source.</w:t>
      </w:r>
      <w:r>
        <w:rPr>
          <w:iCs/>
          <w:i/>
        </w:rPr>
        <w:t xml:space="preserve"> </w:t>
      </w:r>
      <w:r>
        <w:rPr>
          <w:bCs/>
          <w:b/>
          <w:iCs/>
          <w:i/>
        </w:rPr>
        <w:t xml:space="preserve">The Ṛg-vedic numbers in the list of senses of</w:t>
      </w:r>
      <w:r>
        <w:rPr>
          <w:bCs/>
          <w:b/>
          <w:iCs/>
          <w:i/>
        </w:rPr>
        <w:t xml:space="preserve"> </w:t>
      </w:r>
      <w:r>
        <w:rPr>
          <w:bCs/>
          <w:b/>
          <w:iCs/>
          <w:i/>
        </w:rPr>
        <w:t xml:space="preserve">“</w:t>
      </w:r>
      <w:r>
        <w:rPr>
          <w:bCs/>
          <w:b/>
          <w:iCs/>
          <w:i/>
        </w:rPr>
        <w:t xml:space="preserve">vāja</w:t>
      </w:r>
      <w:r>
        <w:rPr>
          <w:bCs/>
          <w:b/>
          <w:iCs/>
          <w:i/>
        </w:rPr>
        <w:t xml:space="preserve">”</w:t>
      </w:r>
      <w:r>
        <w:rPr>
          <w:bCs/>
          <w:b/>
          <w:iCs/>
          <w:i/>
        </w:rPr>
        <w:t xml:space="preserve"> </w:t>
      </w:r>
      <w:r>
        <w:rPr>
          <w:bCs/>
          <w:b/>
          <w:iCs/>
          <w:i/>
        </w:rPr>
        <w:t xml:space="preserve">below are in small Kannada numerals and I could not read them reliably; they are omitted rather than guessed, and the list should be completed from the page.</w:t>
      </w:r>
      <w:r>
        <w:rPr>
          <w:iCs/>
          <w:i/>
        </w:rPr>
        <w:t xml:space="preserve">)</w:t>
      </w:r>
    </w:p>
    <w:p>
      <w:pPr>
        <w:pStyle w:val="BodyText"/>
      </w:pPr>
      <w:r>
        <w:rPr>
          <w:iCs/>
          <w:i/>
        </w:rPr>
        <w:t xml:space="preserve">(Continuing from p. 76,</w:t>
      </w:r>
      <w:r>
        <w:rPr>
          <w:iCs/>
          <w:i/>
        </w:rPr>
        <w:t xml:space="preserve"> </w:t>
      </w:r>
      <w:r>
        <w:rPr>
          <w:iCs/>
          <w:i/>
        </w:rPr>
        <w:t xml:space="preserve">“</w:t>
      </w:r>
      <w:r>
        <w:rPr>
          <w:iCs/>
          <w:i/>
        </w:rPr>
        <w:t xml:space="preserve">…two small streams, Mārkaṇḍā and Gaggar…</w:t>
      </w:r>
      <w:r>
        <w:rPr>
          <w:iCs/>
          <w:i/>
        </w:rPr>
        <w:t xml:space="preserve">”</w:t>
      </w:r>
      <w:r>
        <w:rPr>
          <w:iCs/>
          <w:i/>
        </w:rPr>
        <w:t xml:space="preserve">)</w:t>
      </w:r>
      <w:r>
        <w:t xml:space="preserve"> </w:t>
      </w:r>
      <w:r>
        <w:t xml:space="preserve">…these streams join her. Afterwards the Sarasvatī flowed on towards the south and west and finally joined the sea. The bed of the dried-up river now called</w:t>
      </w:r>
      <w:r>
        <w:t xml:space="preserve"> </w:t>
      </w:r>
      <w:r>
        <w:rPr>
          <w:bCs/>
          <w:b/>
        </w:rPr>
        <w:t xml:space="preserve">Hakra</w:t>
      </w:r>
      <w:r>
        <w:t xml:space="preserve"> </w:t>
      </w:r>
      <w:r>
        <w:t xml:space="preserve">(as printed) must have been the bed of the Sarasvatī of that time. It may have merged in the Sindhu by uniting with the river now called the</w:t>
      </w:r>
      <w:r>
        <w:t xml:space="preserve"> </w:t>
      </w:r>
      <w:r>
        <w:rPr>
          <w:bCs/>
          <w:b/>
        </w:rPr>
        <w:t xml:space="preserve">Sutlej</w:t>
      </w:r>
      <w:r>
        <w:t xml:space="preserve">, or may have gone directly and joined the Sindhu. In that age the Sindhu lay far to the east of where it now is, and joined the sea near the gulf called the</w:t>
      </w:r>
      <w:r>
        <w:t xml:space="preserve"> </w:t>
      </w:r>
      <w:r>
        <w:rPr>
          <w:bCs/>
          <w:b/>
        </w:rPr>
        <w:t xml:space="preserve">Rann of Kach</w:t>
      </w:r>
      <w:r>
        <w:t xml:space="preserve"> </w:t>
      </w:r>
      <w:r>
        <w:t xml:space="preserve">(as printed). The scholar</w:t>
      </w:r>
      <w:r>
        <w:t xml:space="preserve"> </w:t>
      </w:r>
      <w:r>
        <w:rPr>
          <w:bCs/>
          <w:b/>
        </w:rPr>
        <w:t xml:space="preserve">Max Müller</w:t>
      </w:r>
      <w:r>
        <w:t xml:space="preserve">, on the basis of the word</w:t>
      </w:r>
      <w:r>
        <w:t xml:space="preserve"> </w:t>
      </w:r>
      <w:r>
        <w:t xml:space="preserve">“</w:t>
      </w:r>
      <w:r>
        <w:rPr>
          <w:bCs/>
          <w:b/>
        </w:rPr>
        <w:t xml:space="preserve">āsamudrāt</w:t>
      </w:r>
      <w:r>
        <w:t xml:space="preserve">”</w:t>
      </w:r>
      <w:r>
        <w:t xml:space="preserve"> </w:t>
      </w:r>
      <w:r>
        <w:t xml:space="preserve">in Ṛ. Saṃ. 7-95-2, holds that this Sarasvatī river went directly and joined the sea. Since the river flowed through sandy country before reaching the sea, it may well have been lost in the desert before reaching it (see Muir’s</w:t>
      </w:r>
      <w:r>
        <w:t xml:space="preserve"> </w:t>
      </w:r>
      <w:r>
        <w:rPr>
          <w:iCs/>
          <w:i/>
        </w:rPr>
        <w:t xml:space="preserve">Sanskrit Texts</w:t>
      </w:r>
      <w:r>
        <w:t xml:space="preserve">, Vol. II, p. 393, as printed). The account that the river was lost in the desert is given in the Mahābhārata (Vana-parva, in the description of the Tīrthayātrā) and also in the Manu-saṃhitā (1-21 [as printed]). For all these reasons it may be said that the present river</w:t>
      </w:r>
      <w:r>
        <w:t xml:space="preserve"> </w:t>
      </w:r>
      <w:r>
        <w:rPr>
          <w:bCs/>
          <w:b/>
        </w:rPr>
        <w:t xml:space="preserve">Sarasuti</w:t>
      </w:r>
      <w:r>
        <w:t xml:space="preserve"> </w:t>
      </w:r>
      <w:r>
        <w:t xml:space="preserve">is the Sarasvatī of old.</w:t>
      </w:r>
    </w:p>
    <w:p>
      <w:pPr>
        <w:pStyle w:val="BodyText"/>
      </w:pPr>
      <w:r>
        <w:rPr>
          <w:bCs/>
          <w:b/>
        </w:rPr>
        <w:t xml:space="preserve">वाजेभिः (vājebhiḥ)</w:t>
      </w:r>
      <w:r>
        <w:t xml:space="preserve"> </w:t>
      </w:r>
      <w:r>
        <w:t xml:space="preserve">— This word is used in this Ṛk in the sense</w:t>
      </w:r>
      <w:r>
        <w:t xml:space="preserve"> </w:t>
      </w:r>
      <w:r>
        <w:t xml:space="preserve">“</w:t>
      </w:r>
      <w:r>
        <w:t xml:space="preserve">anna, āhāra</w:t>
      </w:r>
      <w:r>
        <w:t xml:space="preserve">”</w:t>
      </w:r>
      <w:r>
        <w:t xml:space="preserve"> </w:t>
      </w:r>
      <w:r>
        <w:t xml:space="preserve">(</w:t>
      </w:r>
      <w:r>
        <w:t xml:space="preserve">“</w:t>
      </w:r>
      <w:r>
        <w:t xml:space="preserve">food</w:t>
      </w:r>
      <w:r>
        <w:t xml:space="preserve">”</w:t>
      </w:r>
      <w:r>
        <w:t xml:space="preserve">); there is the Taittirīya Śruti sentence</w:t>
      </w:r>
      <w:r>
        <w:t xml:space="preserve"> </w:t>
      </w:r>
      <w:r>
        <w:t xml:space="preserve">“</w:t>
      </w:r>
      <w:r>
        <w:rPr>
          <w:iCs/>
          <w:i/>
        </w:rPr>
        <w:t xml:space="preserve">annaṃ vai vājaḥ</w:t>
      </w:r>
      <w:r>
        <w:t xml:space="preserve">”</w:t>
      </w:r>
      <w:r>
        <w:t xml:space="preserve"> </w:t>
      </w:r>
      <w:r>
        <w:t xml:space="preserve">(अन्नं वै वाजः —</w:t>
      </w:r>
      <w:r>
        <w:t xml:space="preserve"> </w:t>
      </w:r>
      <w:r>
        <w:t xml:space="preserve">“</w:t>
      </w:r>
      <w:r>
        <w:t xml:space="preserve">food indeed is</w:t>
      </w:r>
      <w:r>
        <w:t xml:space="preserve"> </w:t>
      </w:r>
      <w:r>
        <w:t xml:space="preserve">‘</w:t>
      </w:r>
      <w:r>
        <w:t xml:space="preserve">vāja</w:t>
      </w:r>
      <w:r>
        <w:t xml:space="preserve">’</w:t>
      </w:r>
      <w:r>
        <w:t xml:space="preserve">”</w:t>
      </w:r>
      <w:r>
        <w:t xml:space="preserve">). Western scholars say that this word is used in many Ṛks in many different senses. Some of them are given here</w:t>
      </w:r>
      <w:r>
        <w:t xml:space="preserve"> </w:t>
      </w:r>
      <w:r>
        <w:rPr>
          <w:iCs/>
          <w:i/>
        </w:rPr>
        <w:t xml:space="preserve">(English as printed, with the source’s Ṛg-vedic references, re-read from the better scan)</w:t>
      </w:r>
      <w:r>
        <w:t xml:space="preserve">:</w:t>
      </w:r>
    </w:p>
    <w:p>
      <w:pPr>
        <w:numPr>
          <w:ilvl w:val="0"/>
          <w:numId w:val="1018"/>
        </w:numPr>
        <w:pStyle w:val="Compact"/>
      </w:pPr>
      <w:r>
        <w:t xml:space="preserve">Power, strength — Ṛ. Saṃ. 1-27-8; 1-110-6; 3-25-3; 4-22-3; 5-15-5; 6-25-11 &amp;c.</w:t>
      </w:r>
    </w:p>
    <w:p>
      <w:pPr>
        <w:numPr>
          <w:ilvl w:val="0"/>
          <w:numId w:val="1018"/>
        </w:numPr>
        <w:pStyle w:val="Compact"/>
      </w:pPr>
      <w:r>
        <w:t xml:space="preserve">Swiftnets [sic] (of the steeds) — Ṛ. Saṃ. 5-85-2; 10-39-10.</w:t>
      </w:r>
    </w:p>
    <w:p>
      <w:pPr>
        <w:numPr>
          <w:ilvl w:val="0"/>
          <w:numId w:val="1018"/>
        </w:numPr>
        <w:pStyle w:val="Compact"/>
      </w:pPr>
      <w:r>
        <w:t xml:space="preserve">Combat — Ṛ. Saṃ. 1-4-4; 1-7-4; 2-23-13 &amp;c.</w:t>
      </w:r>
    </w:p>
    <w:p>
      <w:pPr>
        <w:numPr>
          <w:ilvl w:val="0"/>
          <w:numId w:val="1018"/>
        </w:numPr>
        <w:pStyle w:val="Compact"/>
      </w:pPr>
      <w:r>
        <w:t xml:space="preserve">Refreshment, food, nourishment — Ṛ. Saṃ. 1-91-18; 6-24-3; 10-5-4; 10-96-9 &amp;c.</w:t>
      </w:r>
    </w:p>
    <w:p>
      <w:pPr>
        <w:numPr>
          <w:ilvl w:val="0"/>
          <w:numId w:val="1018"/>
        </w:numPr>
        <w:pStyle w:val="Compact"/>
      </w:pPr>
      <w:r>
        <w:t xml:space="preserve">Offering, food or drink of offering — Ṛ. Saṃ. 1-36-2; 3-12-9; 4-3-15; 5-9-2; 6-45-29 &amp;c.</w:t>
      </w:r>
    </w:p>
    <w:p>
      <w:pPr>
        <w:numPr>
          <w:ilvl w:val="0"/>
          <w:numId w:val="1018"/>
        </w:numPr>
        <w:pStyle w:val="Compact"/>
      </w:pPr>
      <w:r>
        <w:t xml:space="preserve">Horse — Ṛ. Saṃ. 1-52-1; 2-1-12; 3-2-3; 4-29-1 &amp;c.</w:t>
      </w:r>
    </w:p>
    <w:p>
      <w:pPr>
        <w:numPr>
          <w:ilvl w:val="0"/>
          <w:numId w:val="1018"/>
        </w:numPr>
        <w:pStyle w:val="Compact"/>
      </w:pPr>
      <w:r>
        <w:t xml:space="preserve">One of the three Rubhus [sic] — Ṛ. Saṃ. 1-161-6; 4-33-3; 7-48-2 &amp;c.</w:t>
      </w:r>
    </w:p>
    <w:p>
      <w:pPr>
        <w:numPr>
          <w:ilvl w:val="0"/>
          <w:numId w:val="1018"/>
        </w:numPr>
        <w:pStyle w:val="Compact"/>
      </w:pPr>
      <w:r>
        <w:t xml:space="preserve">All the three Rubhus [sic] — Ṛ. Saṃ. 10-23-2; 10-74-10 &amp;c.</w:t>
      </w:r>
    </w:p>
    <w:p>
      <w:pPr>
        <w:pStyle w:val="FirstParagraph"/>
      </w:pPr>
      <w:r>
        <w:rPr>
          <w:bCs/>
          <w:b/>
        </w:rPr>
        <w:t xml:space="preserve">Grassmann</w:t>
      </w:r>
      <w:r>
        <w:t xml:space="preserve"> </w:t>
      </w:r>
      <w:r>
        <w:t xml:space="preserve">has given one long list for the various senses of this word, which occurs in many Ṛks; since it is very extensive, and since it is fitting to explain those senses in the respective places, there is no need to write it here.</w:t>
      </w:r>
    </w:p>
    <w:bookmarkEnd w:id="104"/>
    <w:bookmarkStart w:id="105" w:name="X2eb50cc5ddb7b6ac97e0412633329126e7642c0"/>
    <w:p>
      <w:pPr>
        <w:pStyle w:val="Heading3"/>
      </w:pPr>
      <w:r>
        <w:t xml:space="preserve">Page 78 —</w:t>
      </w:r>
      <w:r>
        <w:t xml:space="preserve"> </w:t>
      </w:r>
      <w:r>
        <w:t xml:space="preserve">“</w:t>
      </w:r>
      <w:r>
        <w:t xml:space="preserve">vājinīvatī,</w:t>
      </w:r>
      <w:r>
        <w:t xml:space="preserve">”</w:t>
      </w:r>
      <w:r>
        <w:t xml:space="preserve"> </w:t>
      </w:r>
      <w:r>
        <w:t xml:space="preserve">“</w:t>
      </w:r>
      <w:r>
        <w:t xml:space="preserve">yajñam,</w:t>
      </w:r>
      <w:r>
        <w:t xml:space="preserve">”</w:t>
      </w:r>
      <w:r>
        <w:t xml:space="preserve"> </w:t>
      </w:r>
      <w:r>
        <w:t xml:space="preserve">“</w:t>
      </w:r>
      <w:r>
        <w:t xml:space="preserve">vaṣṭu,</w:t>
      </w:r>
      <w:r>
        <w:t xml:space="preserve">”</w:t>
      </w:r>
      <w:r>
        <w:t xml:space="preserve"> </w:t>
      </w:r>
      <w:r>
        <w:t xml:space="preserve">“</w:t>
      </w:r>
      <w:r>
        <w:t xml:space="preserve">dhiyāvasuḥ</w:t>
      </w:r>
      <w:r>
        <w:t xml:space="preserve">”</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1, Sūkta 3.</w:t>
      </w:r>
      <w:r>
        <w:rPr>
          <w:iCs/>
          <w:i/>
        </w:rPr>
        <w:t xml:space="preserve">”</w:t>
      </w:r>
      <w:r>
        <w:rPr>
          <w:iCs/>
          <w:i/>
        </w:rPr>
        <w:t xml:space="preserve"> </w:t>
      </w:r>
      <w:r>
        <w:rPr>
          <w:iCs/>
          <w:i/>
        </w:rPr>
        <w:t xml:space="preserve">English as printed; reference-numbers re-read from the better scan, Oct 2026 numeral pass.)</w:t>
      </w:r>
    </w:p>
    <w:p>
      <w:pPr>
        <w:pStyle w:val="BodyText"/>
      </w:pPr>
      <w:r>
        <w:rPr>
          <w:bCs/>
          <w:b/>
        </w:rPr>
        <w:t xml:space="preserve">वाजिनीवती (vājinīvatī)</w:t>
      </w:r>
      <w:r>
        <w:t xml:space="preserve"> </w:t>
      </w:r>
      <w:r>
        <w:t xml:space="preserve">— The sense of this word follows that of the word</w:t>
      </w:r>
      <w:r>
        <w:t xml:space="preserve"> </w:t>
      </w:r>
      <w:r>
        <w:t xml:space="preserve">“</w:t>
      </w:r>
      <w:r>
        <w:t xml:space="preserve">vājebhiḥ</w:t>
      </w:r>
      <w:r>
        <w:t xml:space="preserve">”</w:t>
      </w:r>
      <w:r>
        <w:t xml:space="preserve"> </w:t>
      </w:r>
      <w:r>
        <w:t xml:space="preserve">given above. For it,</w:t>
      </w:r>
      <w:r>
        <w:t xml:space="preserve"> </w:t>
      </w:r>
      <w:r>
        <w:rPr>
          <w:bCs/>
          <w:b/>
        </w:rPr>
        <w:t xml:space="preserve">Rāmanātha</w:t>
      </w:r>
      <w:r>
        <w:t xml:space="preserve"> </w:t>
      </w:r>
      <w:r>
        <w:t xml:space="preserve">gives</w:t>
      </w:r>
      <w:r>
        <w:t xml:space="preserve"> </w:t>
      </w:r>
      <w:r>
        <w:t xml:space="preserve">“</w:t>
      </w:r>
      <w:r>
        <w:t xml:space="preserve">Bestower of food</w:t>
      </w:r>
      <w:r>
        <w:t xml:space="preserve">”</w:t>
      </w:r>
      <w:r>
        <w:t xml:space="preserve">;</w:t>
      </w:r>
      <w:r>
        <w:t xml:space="preserve"> </w:t>
      </w:r>
      <w:r>
        <w:rPr>
          <w:bCs/>
          <w:b/>
        </w:rPr>
        <w:t xml:space="preserve">Benfey</w:t>
      </w:r>
      <w:r>
        <w:t xml:space="preserve">,</w:t>
      </w:r>
      <w:r>
        <w:t xml:space="preserve"> </w:t>
      </w:r>
      <w:r>
        <w:t xml:space="preserve">“</w:t>
      </w:r>
      <w:r>
        <w:t xml:space="preserve">filled up or rich with offerings</w:t>
      </w:r>
      <w:r>
        <w:t xml:space="preserve">”</w:t>
      </w:r>
      <w:r>
        <w:t xml:space="preserve">;</w:t>
      </w:r>
      <w:r>
        <w:t xml:space="preserve"> </w:t>
      </w:r>
      <w:r>
        <w:rPr>
          <w:bCs/>
          <w:b/>
        </w:rPr>
        <w:t xml:space="preserve">Geldner</w:t>
      </w:r>
      <w:r>
        <w:t xml:space="preserve">,</w:t>
      </w:r>
      <w:r>
        <w:t xml:space="preserve"> </w:t>
      </w:r>
      <w:r>
        <w:t xml:space="preserve">“</w:t>
      </w:r>
      <w:r>
        <w:t xml:space="preserve">rich with reward</w:t>
      </w:r>
      <w:r>
        <w:t xml:space="preserve">”</w:t>
      </w:r>
      <w:r>
        <w:t xml:space="preserve">;</w:t>
      </w:r>
      <w:r>
        <w:t xml:space="preserve"> </w:t>
      </w:r>
      <w:r>
        <w:rPr>
          <w:bCs/>
          <w:b/>
        </w:rPr>
        <w:t xml:space="preserve">Rosen</w:t>
      </w:r>
      <w:r>
        <w:t xml:space="preserve">,</w:t>
      </w:r>
      <w:r>
        <w:t xml:space="preserve"> </w:t>
      </w:r>
      <w:r>
        <w:t xml:space="preserve">“</w:t>
      </w:r>
      <w:r>
        <w:t xml:space="preserve">provided with food</w:t>
      </w:r>
      <w:r>
        <w:t xml:space="preserve">”</w:t>
      </w:r>
      <w:r>
        <w:t xml:space="preserve">;</w:t>
      </w:r>
      <w:r>
        <w:t xml:space="preserve"> </w:t>
      </w:r>
      <w:r>
        <w:rPr>
          <w:bCs/>
          <w:b/>
        </w:rPr>
        <w:t xml:space="preserve">Ludwig</w:t>
      </w:r>
      <w:r>
        <w:t xml:space="preserve">,</w:t>
      </w:r>
      <w:r>
        <w:t xml:space="preserve"> </w:t>
      </w:r>
      <w:r>
        <w:t xml:space="preserve">“</w:t>
      </w:r>
      <w:r>
        <w:t xml:space="preserve">rich with steed</w:t>
      </w:r>
      <w:r>
        <w:t xml:space="preserve">”</w:t>
      </w:r>
      <w:r>
        <w:t xml:space="preserve">; and the author of the</w:t>
      </w:r>
      <w:r>
        <w:t xml:space="preserve"> </w:t>
      </w:r>
      <w:r>
        <w:rPr>
          <w:iCs/>
          <w:i/>
        </w:rPr>
        <w:t xml:space="preserve">Vedārtha-yatna</w:t>
      </w:r>
      <w:r>
        <w:t xml:space="preserve">,</w:t>
      </w:r>
      <w:r>
        <w:t xml:space="preserve"> </w:t>
      </w:r>
      <w:r>
        <w:t xml:space="preserve">“</w:t>
      </w:r>
      <w:r>
        <w:t xml:space="preserve">Mounted on a charger</w:t>
      </w:r>
      <w:r>
        <w:t xml:space="preserve">”</w:t>
      </w:r>
      <w:r>
        <w:t xml:space="preserve"> </w:t>
      </w:r>
      <w:r>
        <w:rPr>
          <w:iCs/>
          <w:i/>
        </w:rPr>
        <w:t xml:space="preserve">(all as printed)</w:t>
      </w:r>
      <w:r>
        <w:t xml:space="preserve">. Some say</w:t>
      </w:r>
      <w:r>
        <w:t xml:space="preserve"> </w:t>
      </w:r>
      <w:r>
        <w:t xml:space="preserve">“</w:t>
      </w:r>
      <w:r>
        <w:t xml:space="preserve">vājinī</w:t>
      </w:r>
      <w:r>
        <w:t xml:space="preserve">”</w:t>
      </w:r>
      <w:r>
        <w:t xml:space="preserve"> </w:t>
      </w:r>
      <w:r>
        <w:t xml:space="preserve">means the fruit-bearing land on a river bank that produces food, and</w:t>
      </w:r>
      <w:r>
        <w:t xml:space="preserve"> </w:t>
      </w:r>
      <w:r>
        <w:t xml:space="preserve">“</w:t>
      </w:r>
      <w:r>
        <w:t xml:space="preserve">vājinīvatī</w:t>
      </w:r>
      <w:r>
        <w:t xml:space="preserve">”</w:t>
      </w:r>
      <w:r>
        <w:t xml:space="preserve"> </w:t>
      </w:r>
      <w:r>
        <w:t xml:space="preserve">a river that gives people food and the like by supplying water to such fruitful land.</w:t>
      </w:r>
    </w:p>
    <w:p>
      <w:pPr>
        <w:pStyle w:val="BodyText"/>
      </w:pPr>
      <w:r>
        <w:rPr>
          <w:bCs/>
          <w:b/>
        </w:rPr>
        <w:t xml:space="preserve">यज्ञम् (yajñam)</w:t>
      </w:r>
      <w:r>
        <w:t xml:space="preserve"> </w:t>
      </w:r>
      <w:r>
        <w:t xml:space="preserve">— The word</w:t>
      </w:r>
      <w:r>
        <w:t xml:space="preserve"> </w:t>
      </w:r>
      <w:r>
        <w:t xml:space="preserve">“</w:t>
      </w:r>
      <w:r>
        <w:t xml:space="preserve">yajña</w:t>
      </w:r>
      <w:r>
        <w:t xml:space="preserve">”</w:t>
      </w:r>
      <w:r>
        <w:t xml:space="preserve"> </w:t>
      </w:r>
      <w:r>
        <w:t xml:space="preserve">is read among the fifteen words in the Nirukta (Ni. 3-19). This word can be explained in two ways: (1) the worship of a deity by hymns of praise and the like; (2) a special rite performed by the subsidiary and sub-subsidiary rites, by the recitation of mantras, by offering up an animal, and by many homas. It is this second kind of rite that is generally described in the Vedas by the word</w:t>
      </w:r>
      <w:r>
        <w:t xml:space="preserve"> </w:t>
      </w:r>
      <w:r>
        <w:t xml:space="preserve">“</w:t>
      </w:r>
      <w:r>
        <w:t xml:space="preserve">yajña.</w:t>
      </w:r>
      <w:r>
        <w:t xml:space="preserve">”</w:t>
      </w:r>
    </w:p>
    <w:p>
      <w:pPr>
        <w:pStyle w:val="BodyText"/>
      </w:pPr>
      <w:r>
        <w:rPr>
          <w:bCs/>
          <w:b/>
        </w:rPr>
        <w:t xml:space="preserve">वष्टु (vaṣṭu)</w:t>
      </w:r>
      <w:r>
        <w:t xml:space="preserve"> </w:t>
      </w:r>
      <w:r>
        <w:t xml:space="preserve">— This word is the imperative (loṭ) third-person singular of the root</w:t>
      </w:r>
      <w:r>
        <w:t xml:space="preserve"> </w:t>
      </w:r>
      <w:r>
        <w:t xml:space="preserve">“</w:t>
      </w:r>
      <w:r>
        <w:t xml:space="preserve">vaś kāntau</w:t>
      </w:r>
      <w:r>
        <w:t xml:space="preserve">”</w:t>
      </w:r>
      <w:r>
        <w:t xml:space="preserve"> </w:t>
      </w:r>
      <w:r>
        <w:t xml:space="preserve">(to desire). The Bhāṣyakāra, giving the root the sense</w:t>
      </w:r>
      <w:r>
        <w:t xml:space="preserve"> </w:t>
      </w:r>
      <w:r>
        <w:t xml:space="preserve">“</w:t>
      </w:r>
      <w:r>
        <w:t xml:space="preserve">apekṣā</w:t>
      </w:r>
      <w:r>
        <w:t xml:space="preserve">”</w:t>
      </w:r>
      <w:r>
        <w:t xml:space="preserve"> </w:t>
      </w:r>
      <w:r>
        <w:t xml:space="preserve">(</w:t>
      </w:r>
      <w:r>
        <w:t xml:space="preserve">“</w:t>
      </w:r>
      <w:r>
        <w:t xml:space="preserve">expectation, wish</w:t>
      </w:r>
      <w:r>
        <w:t xml:space="preserve">”</w:t>
      </w:r>
      <w:r>
        <w:t xml:space="preserve">), states the main sense as</w:t>
      </w:r>
      <w:r>
        <w:t xml:space="preserve"> </w:t>
      </w:r>
      <w:r>
        <w:t xml:space="preserve">“</w:t>
      </w:r>
      <w:r>
        <w:rPr>
          <w:iCs/>
          <w:i/>
        </w:rPr>
        <w:t xml:space="preserve">nirvahatv iti arthaḥ</w:t>
      </w:r>
      <w:r>
        <w:t xml:space="preserve">”</w:t>
      </w:r>
      <w:r>
        <w:t xml:space="preserve"> </w:t>
      </w:r>
      <w:r>
        <w:t xml:space="preserve">—</w:t>
      </w:r>
      <w:r>
        <w:t xml:space="preserve"> </w:t>
      </w:r>
      <w:r>
        <w:t xml:space="preserve">“</w:t>
      </w:r>
      <w:r>
        <w:t xml:space="preserve">let her bring (the sacrifice) to completion with all its parts.</w:t>
      </w:r>
      <w:r>
        <w:t xml:space="preserve">”</w:t>
      </w:r>
      <w:r>
        <w:t xml:space="preserve"> </w:t>
      </w:r>
      <w:r>
        <w:t xml:space="preserve">To support this he quotes the Aitareya Āraṇyaka sentence</w:t>
      </w:r>
      <w:r>
        <w:t xml:space="preserve"> </w:t>
      </w:r>
      <w:r>
        <w:t xml:space="preserve">“</w:t>
      </w:r>
      <w:r>
        <w:rPr>
          <w:iCs/>
          <w:i/>
        </w:rPr>
        <w:t xml:space="preserve">yajñaṃ vaṣṭv iti yad āha yajñaṃ vahatv ity eva tad āha</w:t>
      </w:r>
      <w:r>
        <w:t xml:space="preserve">”</w:t>
      </w:r>
      <w:r>
        <w:t xml:space="preserve"> </w:t>
      </w:r>
      <w:r>
        <w:t xml:space="preserve">(यज्ञं वष्ट्विति यदाह यज्ञं वहत्वित्येव तदाह —</w:t>
      </w:r>
      <w:r>
        <w:t xml:space="preserve"> </w:t>
      </w:r>
      <w:r>
        <w:t xml:space="preserve">“</w:t>
      </w:r>
      <w:r>
        <w:t xml:space="preserve">when it says</w:t>
      </w:r>
      <w:r>
        <w:t xml:space="preserve"> </w:t>
      </w:r>
      <w:r>
        <w:t xml:space="preserve">‘</w:t>
      </w:r>
      <w:r>
        <w:t xml:space="preserve">let her desire the sacrifice,</w:t>
      </w:r>
      <w:r>
        <w:t xml:space="preserve">’</w:t>
      </w:r>
      <w:r>
        <w:t xml:space="preserve"> </w:t>
      </w:r>
      <w:r>
        <w:t xml:space="preserve">it says</w:t>
      </w:r>
      <w:r>
        <w:t xml:space="preserve"> </w:t>
      </w:r>
      <w:r>
        <w:t xml:space="preserve">‘</w:t>
      </w:r>
      <w:r>
        <w:t xml:space="preserve">let her carry the sacrifice</w:t>
      </w:r>
      <w:r>
        <w:t xml:space="preserve">’</w:t>
      </w:r>
      <w:r>
        <w:t xml:space="preserve">,</w:t>
      </w:r>
      <w:r>
        <w:t xml:space="preserve">”</w:t>
      </w:r>
      <w:r>
        <w:t xml:space="preserve"> </w:t>
      </w:r>
      <w:r>
        <w:t xml:space="preserve">ऐ. आ. १-१-४).</w:t>
      </w:r>
      <w:r>
        <w:t xml:space="preserve"> </w:t>
      </w:r>
      <w:r>
        <w:rPr>
          <w:bCs/>
          <w:b/>
        </w:rPr>
        <w:t xml:space="preserve">Geldner</w:t>
      </w:r>
      <w:r>
        <w:t xml:space="preserve"> </w:t>
      </w:r>
      <w:r>
        <w:t xml:space="preserve">and</w:t>
      </w:r>
      <w:r>
        <w:t xml:space="preserve"> </w:t>
      </w:r>
      <w:r>
        <w:rPr>
          <w:bCs/>
          <w:b/>
        </w:rPr>
        <w:t xml:space="preserve">Grassmann</w:t>
      </w:r>
      <w:r>
        <w:t xml:space="preserve"> </w:t>
      </w:r>
      <w:r>
        <w:t xml:space="preserve">give</w:t>
      </w:r>
      <w:r>
        <w:t xml:space="preserve"> </w:t>
      </w:r>
      <w:r>
        <w:t xml:space="preserve">“</w:t>
      </w:r>
      <w:r>
        <w:t xml:space="preserve">desire, wish for, make efforts, carry on to completion</w:t>
      </w:r>
      <w:r>
        <w:t xml:space="preserve">”</w:t>
      </w:r>
      <w:r>
        <w:t xml:space="preserve"> </w:t>
      </w:r>
      <w:r>
        <w:rPr>
          <w:iCs/>
          <w:i/>
        </w:rPr>
        <w:t xml:space="preserve">(English as printed)</w:t>
      </w:r>
      <w:r>
        <w:t xml:space="preserve">; the last sense is the right one here.</w:t>
      </w:r>
    </w:p>
    <w:p>
      <w:pPr>
        <w:pStyle w:val="BodyText"/>
      </w:pPr>
      <w:r>
        <w:rPr>
          <w:bCs/>
          <w:b/>
        </w:rPr>
        <w:t xml:space="preserve">धियावसुः (dhiyāvasuḥ)</w:t>
      </w:r>
      <w:r>
        <w:t xml:space="preserve"> </w:t>
      </w:r>
      <w:r>
        <w:t xml:space="preserve">— The Bhāṣyakāra explains this word thus:</w:t>
      </w:r>
      <w:r>
        <w:t xml:space="preserve"> </w:t>
      </w:r>
      <w:r>
        <w:t xml:space="preserve">“</w:t>
      </w:r>
      <w:r>
        <w:rPr>
          <w:iCs/>
          <w:i/>
        </w:rPr>
        <w:t xml:space="preserve">dhiyāvasuḥ karma-prāpty-adhana-nimitta-bhūtā | vāg-devatāyās tathāvidhaṃ dhana-nimittatvam āraṇyaka-kāṇḍe śrutyā vyākhyātam | yajñaṃ vaṣṭu dhiyāvasur iti vāg vai dhiyāvasuḥ</w:t>
      </w:r>
      <w:r>
        <w:t xml:space="preserve">”</w:t>
      </w:r>
      <w:r>
        <w:t xml:space="preserve"> </w:t>
      </w:r>
      <w:r>
        <w:t xml:space="preserve">(धियावसुः कर्मप्राप्त्यधननिमित्तभूता । वाग्देवतायास्तथाविधं धननिमित्तत्वमारण्यककाण्डे श्रुत्या व्याख्यातं । यज्ञं वष्टु धियावसुरिति वाग्वै धियावसुः — ऐ. आ. १-१-४ —</w:t>
      </w:r>
      <w:r>
        <w:t xml:space="preserve"> </w:t>
      </w:r>
      <w:r>
        <w:t xml:space="preserve">“</w:t>
      </w:r>
      <w:r>
        <w:t xml:space="preserve">Dhiyāvasuḥ: she who is the occasion of wealth to be gained by ritual action; that the goddess of speech is the occasion of wealth of this kind is explained by Śruti in the Āraṇyaka section:</w:t>
      </w:r>
      <w:r>
        <w:t xml:space="preserve"> </w:t>
      </w:r>
      <w:r>
        <w:t xml:space="preserve">‘</w:t>
      </w:r>
      <w:r>
        <w:t xml:space="preserve">yajñaṃ vaṣṭu dhiyāvasuḥ</w:t>
      </w:r>
      <w:r>
        <w:t xml:space="preserve">’</w:t>
      </w:r>
      <w:r>
        <w:t xml:space="preserve"> </w:t>
      </w:r>
      <w:r>
        <w:t xml:space="preserve">— speech indeed is dhiyāvasuḥ</w:t>
      </w:r>
      <w:r>
        <w:t xml:space="preserve">”</w:t>
      </w:r>
      <w:r>
        <w:t xml:space="preserve">). That is:</w:t>
      </w:r>
      <w:r>
        <w:t xml:space="preserve"> </w:t>
      </w:r>
      <w:r>
        <w:t xml:space="preserve">“</w:t>
      </w:r>
      <w:r>
        <w:t xml:space="preserve">dhiyāvasu</w:t>
      </w:r>
      <w:r>
        <w:t xml:space="preserve">”</w:t>
      </w:r>
      <w:r>
        <w:t xml:space="preserve"> </w:t>
      </w:r>
      <w:r>
        <w:t xml:space="preserve">means she who is the cause of the attaining of wealth, lordship and the like, obtained through sacrifices and other rites; the Bhāṣyakāra also quotes the Aitareya-Āraṇyaka sentence</w:t>
      </w:r>
      <w:r>
        <w:t xml:space="preserve"> </w:t>
      </w:r>
      <w:r>
        <w:t xml:space="preserve">“</w:t>
      </w:r>
      <w:r>
        <w:t xml:space="preserve">yajñaṃ vaṣṭu</w:t>
      </w:r>
      <w:r>
        <w:t xml:space="preserve">”</w:t>
      </w:r>
      <w:r>
        <w:t xml:space="preserve"> </w:t>
      </w:r>
      <w:r>
        <w:t xml:space="preserve">etc. to say that the goddess of speech is the cause of the attainment of wealth. And in considering the formation of the word he says:</w:t>
      </w:r>
      <w:r>
        <w:t xml:space="preserve"> </w:t>
      </w:r>
      <w:r>
        <w:t xml:space="preserve">“</w:t>
      </w:r>
      <w:r>
        <w:rPr>
          <w:iCs/>
          <w:i/>
        </w:rPr>
        <w:t xml:space="preserve">dhiyā karmaṇā vasu yasyāḥ sakāśād bhavati sā dhiyāvasuḥ</w:t>
      </w:r>
      <w:r>
        <w:t xml:space="preserve">”</w:t>
      </w:r>
      <w:r>
        <w:t xml:space="preserve"> </w:t>
      </w:r>
      <w:r>
        <w:t xml:space="preserve">(धिया कर्मणा वसु यस्याः सकाशाद्भवति सा धियावसुः) — the deity from whom the wealth that is to be obtained as the fruit of rites comes is called</w:t>
      </w:r>
      <w:r>
        <w:t xml:space="preserve"> </w:t>
      </w:r>
      <w:r>
        <w:t xml:space="preserve">“</w:t>
      </w:r>
      <w:r>
        <w:t xml:space="preserve">dhiyāvasuḥ.</w:t>
      </w:r>
      <w:r>
        <w:t xml:space="preserve">”</w:t>
      </w:r>
      <w:r>
        <w:t xml:space="preserve"> </w:t>
      </w:r>
      <w:r>
        <w:t xml:space="preserve">Western scholars explain it with such words as</w:t>
      </w:r>
      <w:r>
        <w:t xml:space="preserve"> </w:t>
      </w:r>
      <w:r>
        <w:rPr>
          <w:iCs/>
          <w:i/>
        </w:rPr>
        <w:t xml:space="preserve">(English as printed)</w:t>
      </w:r>
      <w:r>
        <w:t xml:space="preserve">:</w:t>
      </w:r>
      <w:r>
        <w:t xml:space="preserve"> </w:t>
      </w:r>
      <w:r>
        <w:t xml:space="preserve">“</w:t>
      </w:r>
      <w:r>
        <w:t xml:space="preserve">Supporter of all by wisdom, recompenser of worship or religious ceremonies, bestower of riches, source of wealth, rich in sense or intellect, one rewarding for devotion excellent-minded.</w:t>
      </w:r>
      <w:r>
        <w:t xml:space="preserve">”</w:t>
      </w:r>
      <w:r>
        <w:t xml:space="preserve"> </w:t>
      </w:r>
      <w:r>
        <w:t xml:space="preserve">This word is used in the Ṛgveda only in eight Ṛks: Ṛ. Saṃ. 1-3-10; 1-58-9; 10-60-5; 1-61-16; 1-62-13; 1-64-15; 3-3-2 [seven references, as printed, for</w:t>
      </w:r>
      <w:r>
        <w:t xml:space="preserve"> </w:t>
      </w:r>
      <w:r>
        <w:t xml:space="preserve">“</w:t>
      </w:r>
      <w:r>
        <w:t xml:space="preserve">eight</w:t>
      </w:r>
      <w:r>
        <w:t xml:space="preserve">”</w:t>
      </w:r>
      <w:r>
        <w:t xml:space="preserve">].</w:t>
      </w:r>
    </w:p>
    <w:bookmarkEnd w:id="105"/>
    <w:bookmarkStart w:id="106" w:name="X618d2a15e9747484ca78a6151d89aae391ba5b4"/>
    <w:p>
      <w:pPr>
        <w:pStyle w:val="Heading3"/>
      </w:pPr>
      <w:r>
        <w:t xml:space="preserve">Page 79 — Vyākaraṇa-prakriyā for Rik 3.10 (Kannada); Sūkta 3, Eleventh Mantra: Saṃhitā and Pada text</w:t>
      </w:r>
    </w:p>
    <w:p>
      <w:pPr>
        <w:pStyle w:val="FirstParagraph"/>
      </w:pPr>
      <w:r>
        <w:rPr>
          <w:iCs/>
          <w:i/>
        </w:rPr>
        <w:t xml:space="preserve">(Page header:</w:t>
      </w:r>
      <w:r>
        <w:rPr>
          <w:iCs/>
          <w:i/>
        </w:rPr>
        <w:t xml:space="preserve"> </w:t>
      </w:r>
      <w:r>
        <w:rPr>
          <w:iCs/>
          <w:i/>
        </w:rPr>
        <w:t xml:space="preserve">“</w:t>
      </w:r>
      <w:r>
        <w:rPr>
          <w:iCs/>
          <w:i/>
        </w:rPr>
        <w:t xml:space="preserve">Aṣṭaka 1, Adhyāya 1, Varga 6 · Ṛgveda-saṃhitā.</w:t>
      </w:r>
      <w:r>
        <w:rPr>
          <w:iCs/>
          <w:i/>
        </w:rPr>
        <w:t xml:space="preserve">”</w:t>
      </w:r>
      <w:r>
        <w:rPr>
          <w:iCs/>
          <w:i/>
        </w:rPr>
        <w:t xml:space="preserve"> </w:t>
      </w:r>
      <w:r>
        <w:rPr>
          <w:iCs/>
          <w:i/>
        </w:rPr>
        <w:t xml:space="preserve">The grammar is pure Pāṇinian derivation and is</w:t>
      </w:r>
      <w:r>
        <w:rPr>
          <w:iCs/>
          <w:i/>
        </w:rPr>
        <w:t xml:space="preserve"> </w:t>
      </w:r>
      <w:r>
        <w:rPr>
          <w:bCs/>
          <w:b/>
          <w:iCs/>
          <w:i/>
        </w:rPr>
        <w:t xml:space="preserve">characterized rather than transcribed line by line</w:t>
      </w:r>
      <w:r>
        <w:rPr>
          <w:iCs/>
          <w:i/>
        </w:rPr>
        <w:t xml:space="preserve">, per convention, with the sūtras kept. Accent-marks in the Saṃhitā/Pada text are not reproduced; see the note at Rik 3.5.)</w:t>
      </w:r>
    </w:p>
    <w:p>
      <w:pPr>
        <w:pStyle w:val="BodyText"/>
      </w:pPr>
      <w:r>
        <w:rPr>
          <w:bCs/>
          <w:b/>
        </w:rPr>
        <w:t xml:space="preserve">॥ Vyākaraṇa-prakriyā ॥</w:t>
      </w:r>
      <w:r>
        <w:t xml:space="preserve"> </w:t>
      </w:r>
      <w:r>
        <w:t xml:space="preserve">-</w:t>
      </w:r>
      <w:r>
        <w:t xml:space="preserve"> </w:t>
      </w:r>
      <w:r>
        <w:rPr>
          <w:bCs/>
          <w:b/>
        </w:rPr>
        <w:t xml:space="preserve">“</w:t>
      </w:r>
      <w:r>
        <w:rPr>
          <w:bCs/>
          <w:b/>
        </w:rPr>
        <w:t xml:space="preserve">Pāvakā</w:t>
      </w:r>
      <w:r>
        <w:rPr>
          <w:bCs/>
          <w:b/>
        </w:rPr>
        <w:t xml:space="preserve">”</w:t>
      </w:r>
      <w:r>
        <w:t xml:space="preserve"> </w:t>
      </w:r>
      <w:r>
        <w:t xml:space="preserve">—</w:t>
      </w:r>
      <w:r>
        <w:t xml:space="preserve"> </w:t>
      </w:r>
      <w:r>
        <w:t xml:space="preserve">“</w:t>
      </w:r>
      <w:r>
        <w:t xml:space="preserve">pāvaṃ kāyatīti pāvakā</w:t>
      </w:r>
      <w:r>
        <w:t xml:space="preserve">”</w:t>
      </w:r>
      <w:r>
        <w:t xml:space="preserve">: from the root</w:t>
      </w:r>
      <w:r>
        <w:t xml:space="preserve"> </w:t>
      </w:r>
      <w:r>
        <w:t xml:space="preserve">“</w:t>
      </w:r>
      <w:r>
        <w:t xml:space="preserve">kai</w:t>
      </w:r>
      <w:r>
        <w:t xml:space="preserve">”</w:t>
      </w:r>
      <w:r>
        <w:t xml:space="preserve"> </w:t>
      </w:r>
      <w:r>
        <w:t xml:space="preserve">(</w:t>
      </w:r>
      <w:r>
        <w:t xml:space="preserve">“</w:t>
      </w:r>
      <w:r>
        <w:t xml:space="preserve">kai gai rai śabde,</w:t>
      </w:r>
      <w:r>
        <w:t xml:space="preserve">”</w:t>
      </w:r>
      <w:r>
        <w:t xml:space="preserve"> </w:t>
      </w:r>
      <w:r>
        <w:t xml:space="preserve">to sound) with</w:t>
      </w:r>
      <w:r>
        <w:t xml:space="preserve"> </w:t>
      </w:r>
      <w:r>
        <w:t xml:space="preserve">“</w:t>
      </w:r>
      <w:r>
        <w:t xml:space="preserve">ka</w:t>
      </w:r>
      <w:r>
        <w:t xml:space="preserve">”</w:t>
      </w:r>
      <w:r>
        <w:t xml:space="preserve"> </w:t>
      </w:r>
      <w:r>
        <w:t xml:space="preserve">after an upasarga-less word (</w:t>
      </w:r>
      <w:r>
        <w:rPr>
          <w:bCs/>
          <w:b/>
        </w:rPr>
        <w:t xml:space="preserve">आतोऽनुपसर्गे कः</w:t>
      </w:r>
      <w:r>
        <w:t xml:space="preserve">,</w:t>
      </w:r>
      <w:r>
        <w:t xml:space="preserve"> </w:t>
      </w:r>
      <w:r>
        <w:rPr>
          <w:iCs/>
          <w:i/>
        </w:rPr>
        <w:t xml:space="preserve">āto ’nupasarge kaḥ</w:t>
      </w:r>
      <w:r>
        <w:t xml:space="preserve">, पा. ३-२-३); the substitution of</w:t>
      </w:r>
      <w:r>
        <w:t xml:space="preserve"> </w:t>
      </w:r>
      <w:r>
        <w:t xml:space="preserve">“</w:t>
      </w:r>
      <w:r>
        <w:t xml:space="preserve">ā</w:t>
      </w:r>
      <w:r>
        <w:t xml:space="preserve">”</w:t>
      </w:r>
      <w:r>
        <w:t xml:space="preserve"> </w:t>
      </w:r>
      <w:r>
        <w:t xml:space="preserve">for the final of the root by</w:t>
      </w:r>
      <w:r>
        <w:t xml:space="preserve"> </w:t>
      </w:r>
      <w:r>
        <w:rPr>
          <w:bCs/>
          <w:b/>
        </w:rPr>
        <w:t xml:space="preserve">आदेच उपदेशेऽशिति</w:t>
      </w:r>
      <w:r>
        <w:t xml:space="preserve"> </w:t>
      </w:r>
      <w:r>
        <w:t xml:space="preserve">(</w:t>
      </w:r>
      <w:r>
        <w:rPr>
          <w:iCs/>
          <w:i/>
        </w:rPr>
        <w:t xml:space="preserve">ād eca upadeśe ’śiti</w:t>
      </w:r>
      <w:r>
        <w:t xml:space="preserve">, पा. ६-१-४५); elision of the final</w:t>
      </w:r>
      <w:r>
        <w:t xml:space="preserve"> </w:t>
      </w:r>
      <w:r>
        <w:t xml:space="preserve">“</w:t>
      </w:r>
      <w:r>
        <w:t xml:space="preserve">ā</w:t>
      </w:r>
      <w:r>
        <w:t xml:space="preserve">”</w:t>
      </w:r>
      <w:r>
        <w:t xml:space="preserve"> </w:t>
      </w:r>
      <w:r>
        <w:t xml:space="preserve">before the affix (</w:t>
      </w:r>
      <w:r>
        <w:rPr>
          <w:bCs/>
          <w:b/>
        </w:rPr>
        <w:t xml:space="preserve">आतो लोप इटि च</w:t>
      </w:r>
      <w:r>
        <w:t xml:space="preserve">,</w:t>
      </w:r>
      <w:r>
        <w:t xml:space="preserve"> </w:t>
      </w:r>
      <w:r>
        <w:rPr>
          <w:iCs/>
          <w:i/>
        </w:rPr>
        <w:t xml:space="preserve">āto lopa iṭi ca</w:t>
      </w:r>
      <w:r>
        <w:t xml:space="preserve">, पा. ६-४-६९ [as printed]); the feminine</w:t>
      </w:r>
      <w:r>
        <w:t xml:space="preserve"> </w:t>
      </w:r>
      <w:r>
        <w:t xml:space="preserve">“</w:t>
      </w:r>
      <w:r>
        <w:t xml:space="preserve">ṭāp</w:t>
      </w:r>
      <w:r>
        <w:t xml:space="preserve">”</w:t>
      </w:r>
      <w:r>
        <w:t xml:space="preserve"> </w:t>
      </w:r>
      <w:r>
        <w:t xml:space="preserve">(</w:t>
      </w:r>
      <w:r>
        <w:rPr>
          <w:bCs/>
          <w:b/>
        </w:rPr>
        <w:t xml:space="preserve">अजाद्यतष्टाप्</w:t>
      </w:r>
      <w:r>
        <w:t xml:space="preserve">,</w:t>
      </w:r>
      <w:r>
        <w:t xml:space="preserve"> </w:t>
      </w:r>
      <w:r>
        <w:rPr>
          <w:iCs/>
          <w:i/>
        </w:rPr>
        <w:t xml:space="preserve">ajādy-ataṣ ṭāp</w:t>
      </w:r>
      <w:r>
        <w:t xml:space="preserve">, पा. ४-१-४) →</w:t>
      </w:r>
      <w:r>
        <w:t xml:space="preserve"> </w:t>
      </w:r>
      <w:r>
        <w:t xml:space="preserve">“</w:t>
      </w:r>
      <w:r>
        <w:t xml:space="preserve">pāvakā</w:t>
      </w:r>
      <w:r>
        <w:t xml:space="preserve">”</w:t>
      </w:r>
      <w:r>
        <w:t xml:space="preserve">; being a kṛt-ending compound-member, the accent of the second member is retained by</w:t>
      </w:r>
      <w:r>
        <w:t xml:space="preserve"> </w:t>
      </w:r>
      <w:r>
        <w:rPr>
          <w:bCs/>
          <w:b/>
        </w:rPr>
        <w:t xml:space="preserve">गतिकारकोपपदात्कृत्</w:t>
      </w:r>
      <w:r>
        <w:t xml:space="preserve"> </w:t>
      </w:r>
      <w:r>
        <w:t xml:space="preserve">(पा. ६-२-१३९) as an end-acute.</w:t>
      </w:r>
      <w:r>
        <w:t xml:space="preserve"> </w:t>
      </w:r>
      <w:r>
        <w:rPr>
          <w:iCs/>
          <w:i/>
        </w:rPr>
        <w:t xml:space="preserve">Alternatively</w:t>
      </w:r>
      <w:r>
        <w:t xml:space="preserve">, if</w:t>
      </w:r>
      <w:r>
        <w:t xml:space="preserve"> </w:t>
      </w:r>
      <w:r>
        <w:t xml:space="preserve">“</w:t>
      </w:r>
      <w:r>
        <w:t xml:space="preserve">pūñ</w:t>
      </w:r>
      <w:r>
        <w:t xml:space="preserve">”</w:t>
      </w:r>
      <w:r>
        <w:t xml:space="preserve"> </w:t>
      </w:r>
      <w:r>
        <w:t xml:space="preserve">(</w:t>
      </w:r>
      <w:r>
        <w:t xml:space="preserve">“</w:t>
      </w:r>
      <w:r>
        <w:t xml:space="preserve">he purifies</w:t>
      </w:r>
      <w:r>
        <w:t xml:space="preserve">”</w:t>
      </w:r>
      <w:r>
        <w:t xml:space="preserve">) is intended, the affix</w:t>
      </w:r>
      <w:r>
        <w:t xml:space="preserve"> </w:t>
      </w:r>
      <w:r>
        <w:t xml:space="preserve">“</w:t>
      </w:r>
      <w:r>
        <w:t xml:space="preserve">ṇvul</w:t>
      </w:r>
      <w:r>
        <w:t xml:space="preserve">”</w:t>
      </w:r>
      <w:r>
        <w:t xml:space="preserve"> </w:t>
      </w:r>
      <w:r>
        <w:t xml:space="preserve">(</w:t>
      </w:r>
      <w:r>
        <w:rPr>
          <w:bCs/>
          <w:b/>
        </w:rPr>
        <w:t xml:space="preserve">ण्वुल्तृचौ</w:t>
      </w:r>
      <w:r>
        <w:t xml:space="preserve">,</w:t>
      </w:r>
      <w:r>
        <w:t xml:space="preserve"> </w:t>
      </w:r>
      <w:r>
        <w:rPr>
          <w:iCs/>
          <w:i/>
        </w:rPr>
        <w:t xml:space="preserve">ṇvul-tṛcau</w:t>
      </w:r>
      <w:r>
        <w:t xml:space="preserve">, पा. ३-१-१३३) is added, and</w:t>
      </w:r>
      <w:r>
        <w:t xml:space="preserve"> </w:t>
      </w:r>
      <w:r>
        <w:t xml:space="preserve">“</w:t>
      </w:r>
      <w:r>
        <w:t xml:space="preserve">yu/vu</w:t>
      </w:r>
      <w:r>
        <w:t xml:space="preserve">”</w:t>
      </w:r>
      <w:r>
        <w:t xml:space="preserve"> </w:t>
      </w:r>
      <w:r>
        <w:t xml:space="preserve">are replaced by</w:t>
      </w:r>
      <w:r>
        <w:t xml:space="preserve"> </w:t>
      </w:r>
      <w:r>
        <w:t xml:space="preserve">“</w:t>
      </w:r>
      <w:r>
        <w:t xml:space="preserve">ana/aka</w:t>
      </w:r>
      <w:r>
        <w:t xml:space="preserve">”</w:t>
      </w:r>
      <w:r>
        <w:t xml:space="preserve"> </w:t>
      </w:r>
      <w:r>
        <w:t xml:space="preserve">(</w:t>
      </w:r>
      <w:r>
        <w:rPr>
          <w:bCs/>
          <w:b/>
        </w:rPr>
        <w:t xml:space="preserve">युवोरनाकौ</w:t>
      </w:r>
      <w:r>
        <w:t xml:space="preserve">,</w:t>
      </w:r>
      <w:r>
        <w:t xml:space="preserve"> </w:t>
      </w:r>
      <w:r>
        <w:rPr>
          <w:iCs/>
          <w:i/>
        </w:rPr>
        <w:t xml:space="preserve">yuvor anākau</w:t>
      </w:r>
      <w:r>
        <w:t xml:space="preserve">, पा. ७-१-१), with the guṇa and</w:t>
      </w:r>
      <w:r>
        <w:t xml:space="preserve"> </w:t>
      </w:r>
      <w:r>
        <w:t xml:space="preserve">“</w:t>
      </w:r>
      <w:r>
        <w:t xml:space="preserve">av-</w:t>
      </w:r>
      <w:r>
        <w:t xml:space="preserve">”</w:t>
      </w:r>
      <w:r>
        <w:t xml:space="preserve"> </w:t>
      </w:r>
      <w:r>
        <w:t xml:space="preserve">substitution, giving</w:t>
      </w:r>
      <w:r>
        <w:t xml:space="preserve"> </w:t>
      </w:r>
      <w:r>
        <w:t xml:space="preserve">“</w:t>
      </w:r>
      <w:r>
        <w:t xml:space="preserve">pāvaka,</w:t>
      </w:r>
      <w:r>
        <w:t xml:space="preserve">”</w:t>
      </w:r>
      <w:r>
        <w:t xml:space="preserve"> </w:t>
      </w:r>
      <w:r>
        <w:t xml:space="preserve">then</w:t>
      </w:r>
      <w:r>
        <w:t xml:space="preserve"> </w:t>
      </w:r>
      <w:r>
        <w:t xml:space="preserve">“</w:t>
      </w:r>
      <w:r>
        <w:t xml:space="preserve">ṭāp</w:t>
      </w:r>
      <w:r>
        <w:t xml:space="preserve">”</w:t>
      </w:r>
      <w:r>
        <w:t xml:space="preserve"> </w:t>
      </w:r>
      <w:r>
        <w:t xml:space="preserve">for the feminine</w:t>
      </w:r>
      <w:r>
        <w:t xml:space="preserve"> </w:t>
      </w:r>
      <w:r>
        <w:t xml:space="preserve">“</w:t>
      </w:r>
      <w:r>
        <w:t xml:space="preserve">pāvakā.</w:t>
      </w:r>
      <w:r>
        <w:t xml:space="preserve">”</w:t>
      </w:r>
      <w:r>
        <w:t xml:space="preserve"> </w:t>
      </w:r>
      <w:r>
        <w:t xml:space="preserve">A difficulty is noted: by</w:t>
      </w:r>
      <w:r>
        <w:t xml:space="preserve"> </w:t>
      </w:r>
      <w:r>
        <w:rPr>
          <w:bCs/>
          <w:b/>
        </w:rPr>
        <w:t xml:space="preserve">प्रत्ययस्थात्कात्पूर्वस्यात इदाप्यसुपः</w:t>
      </w:r>
      <w:r>
        <w:t xml:space="preserve"> </w:t>
      </w:r>
      <w:r>
        <w:t xml:space="preserve">(</w:t>
      </w:r>
      <w:r>
        <w:rPr>
          <w:iCs/>
          <w:i/>
        </w:rPr>
        <w:t xml:space="preserve">pratyayasthāt kāt pūrvasyāta idāpy asupaḥ</w:t>
      </w:r>
      <w:r>
        <w:t xml:space="preserve">, पा. ७-३-४४) the</w:t>
      </w:r>
      <w:r>
        <w:t xml:space="preserve"> </w:t>
      </w:r>
      <w:r>
        <w:t xml:space="preserve">“</w:t>
      </w:r>
      <w:r>
        <w:t xml:space="preserve">a</w:t>
      </w:r>
      <w:r>
        <w:t xml:space="preserve">”</w:t>
      </w:r>
      <w:r>
        <w:t xml:space="preserve"> </w:t>
      </w:r>
      <w:r>
        <w:t xml:space="preserve">before</w:t>
      </w:r>
      <w:r>
        <w:t xml:space="preserve"> </w:t>
      </w:r>
      <w:r>
        <w:t xml:space="preserve">“</w:t>
      </w:r>
      <w:r>
        <w:t xml:space="preserve">ka</w:t>
      </w:r>
      <w:r>
        <w:t xml:space="preserve">”</w:t>
      </w:r>
      <w:r>
        <w:t xml:space="preserve"> </w:t>
      </w:r>
      <w:r>
        <w:t xml:space="preserve">would become</w:t>
      </w:r>
      <w:r>
        <w:t xml:space="preserve"> </w:t>
      </w:r>
      <w:r>
        <w:t xml:space="preserve">“</w:t>
      </w:r>
      <w:r>
        <w:t xml:space="preserve">i</w:t>
      </w:r>
      <w:r>
        <w:t xml:space="preserve">”</w:t>
      </w:r>
      <w:r>
        <w:t xml:space="preserve"> </w:t>
      </w:r>
      <w:r>
        <w:t xml:space="preserve">(</w:t>
      </w:r>
      <w:r>
        <w:t xml:space="preserve">“</w:t>
      </w:r>
      <w:r>
        <w:t xml:space="preserve">pāvikā</w:t>
      </w:r>
      <w:r>
        <w:t xml:space="preserve">”</w:t>
      </w:r>
      <w:r>
        <w:t xml:space="preserve">); the answer is that the non-occurrence of</w:t>
      </w:r>
      <w:r>
        <w:t xml:space="preserve"> </w:t>
      </w:r>
      <w:r>
        <w:t xml:space="preserve">“</w:t>
      </w:r>
      <w:r>
        <w:t xml:space="preserve">i</w:t>
      </w:r>
      <w:r>
        <w:t xml:space="preserve">”</w:t>
      </w:r>
      <w:r>
        <w:t xml:space="preserve"> </w:t>
      </w:r>
      <w:r>
        <w:t xml:space="preserve">in</w:t>
      </w:r>
      <w:r>
        <w:t xml:space="preserve"> </w:t>
      </w:r>
      <w:r>
        <w:t xml:space="preserve">“</w:t>
      </w:r>
      <w:r>
        <w:t xml:space="preserve">pāvakā</w:t>
      </w:r>
      <w:r>
        <w:t xml:space="preserve">”</w:t>
      </w:r>
      <w:r>
        <w:t xml:space="preserve"> </w:t>
      </w:r>
      <w:r>
        <w:t xml:space="preserve">is Vedic usage, by</w:t>
      </w:r>
      <w:r>
        <w:t xml:space="preserve"> </w:t>
      </w:r>
      <w:r>
        <w:rPr>
          <w:bCs/>
          <w:b/>
        </w:rPr>
        <w:t xml:space="preserve">पावकादीनां छन्दसि प्रत्ययस्थात्कादित्वं नेति वाच्यम्</w:t>
      </w:r>
      <w:r>
        <w:t xml:space="preserve"> </w:t>
      </w:r>
      <w:r>
        <w:t xml:space="preserve">[the print is garbled here; given as I read it]. The end-acute is likewise accepted as Vedic.</w:t>
      </w:r>
      <w:r>
        <w:t xml:space="preserve"> </w:t>
      </w:r>
      <w:r>
        <w:t xml:space="preserve">-</w:t>
      </w:r>
      <w:r>
        <w:t xml:space="preserve"> </w:t>
      </w:r>
      <w:r>
        <w:rPr>
          <w:bCs/>
          <w:b/>
        </w:rPr>
        <w:t xml:space="preserve">“</w:t>
      </w:r>
      <w:r>
        <w:rPr>
          <w:bCs/>
          <w:b/>
        </w:rPr>
        <w:t xml:space="preserve">Sarasvatī</w:t>
      </w:r>
      <w:r>
        <w:rPr>
          <w:bCs/>
          <w:b/>
        </w:rPr>
        <w:t xml:space="preserve">”</w:t>
      </w:r>
      <w:r>
        <w:t xml:space="preserve"> </w:t>
      </w:r>
      <w:r>
        <w:t xml:space="preserve">— from</w:t>
      </w:r>
      <w:r>
        <w:t xml:space="preserve"> </w:t>
      </w:r>
      <w:r>
        <w:t xml:space="preserve">“</w:t>
      </w:r>
      <w:r>
        <w:t xml:space="preserve">sṛ</w:t>
      </w:r>
      <w:r>
        <w:t xml:space="preserve">”</w:t>
      </w:r>
      <w:r>
        <w:t xml:space="preserve"> </w:t>
      </w:r>
      <w:r>
        <w:t xml:space="preserve">with the Uṇādi</w:t>
      </w:r>
      <w:r>
        <w:t xml:space="preserve"> </w:t>
      </w:r>
      <w:r>
        <w:t xml:space="preserve">“</w:t>
      </w:r>
      <w:r>
        <w:t xml:space="preserve">asun</w:t>
      </w:r>
      <w:r>
        <w:t xml:space="preserve">”</w:t>
      </w:r>
      <w:r>
        <w:t xml:space="preserve"> </w:t>
      </w:r>
      <w:r>
        <w:t xml:space="preserve">→</w:t>
      </w:r>
      <w:r>
        <w:t xml:space="preserve"> </w:t>
      </w:r>
      <w:r>
        <w:t xml:space="preserve">“</w:t>
      </w:r>
      <w:r>
        <w:t xml:space="preserve">saras</w:t>
      </w:r>
      <w:r>
        <w:t xml:space="preserve">”</w:t>
      </w:r>
      <w:r>
        <w:t xml:space="preserve">; the affix is</w:t>
      </w:r>
      <w:r>
        <w:t xml:space="preserve"> </w:t>
      </w:r>
      <w:r>
        <w:t xml:space="preserve">“</w:t>
      </w:r>
      <w:r>
        <w:t xml:space="preserve">n</w:t>
      </w:r>
      <w:r>
        <w:t xml:space="preserve">”</w:t>
      </w:r>
      <w:r>
        <w:t xml:space="preserve">-marked (nit), so the first syllable is acute. The following</w:t>
      </w:r>
      <w:r>
        <w:t xml:space="preserve"> </w:t>
      </w:r>
      <w:r>
        <w:t xml:space="preserve">“</w:t>
      </w:r>
      <w:r>
        <w:t xml:space="preserve">matup</w:t>
      </w:r>
      <w:r>
        <w:t xml:space="preserve">”</w:t>
      </w:r>
      <w:r>
        <w:t xml:space="preserve"> </w:t>
      </w:r>
      <w:r>
        <w:t xml:space="preserve">and</w:t>
      </w:r>
      <w:r>
        <w:t xml:space="preserve"> </w:t>
      </w:r>
      <w:r>
        <w:t xml:space="preserve">“</w:t>
      </w:r>
      <w:r>
        <w:t xml:space="preserve">ṅīp</w:t>
      </w:r>
      <w:r>
        <w:t xml:space="preserve">”</w:t>
      </w:r>
      <w:r>
        <w:t xml:space="preserve"> </w:t>
      </w:r>
      <w:r>
        <w:t xml:space="preserve">are</w:t>
      </w:r>
      <w:r>
        <w:t xml:space="preserve"> </w:t>
      </w:r>
      <w:r>
        <w:t xml:space="preserve">“</w:t>
      </w:r>
      <w:r>
        <w:t xml:space="preserve">p</w:t>
      </w:r>
      <w:r>
        <w:t xml:space="preserve">”</w:t>
      </w:r>
      <w:r>
        <w:t xml:space="preserve">-marked and unaccented.</w:t>
      </w:r>
    </w:p>
    <w:p>
      <w:r>
        <w:pict>
          <v:rect style="width:0;height:1.5pt" o:hralign="center" o:hrstd="t" o:hr="t"/>
        </w:pict>
      </w:r>
    </w:p>
    <w:bookmarkEnd w:id="106"/>
    <w:bookmarkStart w:id="107" w:name="sūkta-3-the-eleventh-mantra"/>
    <w:p>
      <w:pPr>
        <w:pStyle w:val="Heading3"/>
      </w:pPr>
      <w:r>
        <w:t xml:space="preserve">Sūkta 3, The Eleventh Mantra</w:t>
      </w:r>
    </w:p>
    <w:p>
      <w:pPr>
        <w:pStyle w:val="FirstParagraph"/>
      </w:pPr>
      <w:r>
        <w:rPr>
          <w:bCs/>
          <w:b/>
        </w:rPr>
        <w:t xml:space="preserve">॥ Saṃhitā-pāṭhaḥ ॥</w:t>
      </w:r>
    </w:p>
    <w:p>
      <w:pPr>
        <w:pStyle w:val="BlockText"/>
      </w:pPr>
      <w:r>
        <w:t xml:space="preserve">चो॒द॒यि॒त्री सू॒नृता॑नां॒ चेतं॑ती सुमती॒नां ।</w:t>
      </w:r>
      <w:r>
        <w:t xml:space="preserve"> </w:t>
      </w:r>
      <w:r>
        <w:t xml:space="preserve">य॒ज्ञं द॑धे॒ सर॑स्वती ॥११॥</w:t>
      </w:r>
    </w:p>
    <w:p>
      <w:pPr>
        <w:pStyle w:val="BlockText"/>
      </w:pPr>
      <w:r>
        <w:rPr>
          <w:iCs/>
          <w:i/>
        </w:rPr>
        <w:t xml:space="preserve">codayitrī́ sūnṛ́tānāṃ cétaṃtī sumatīnā́ṃ |</w:t>
      </w:r>
      <w:r>
        <w:t xml:space="preserve"> </w:t>
      </w:r>
      <w:r>
        <w:rPr>
          <w:iCs/>
          <w:i/>
        </w:rPr>
        <w:t xml:space="preserve">yajñáṃ dadhe sárasvatī ||11||</w:t>
      </w:r>
    </w:p>
    <w:p>
      <w:pPr>
        <w:pStyle w:val="FirstParagraph"/>
      </w:pPr>
      <w:r>
        <w:rPr>
          <w:bCs/>
          <w:b/>
        </w:rPr>
        <w:t xml:space="preserve">॥ Pada-pāṭhaḥ ॥</w:t>
      </w:r>
    </w:p>
    <w:p>
      <w:pPr>
        <w:pStyle w:val="BlockText"/>
      </w:pPr>
      <w:r>
        <w:t xml:space="preserve">चोदयित्री । सूनृतानाम् । चेतन्ती । सुमतीनाम् ।</w:t>
      </w:r>
      <w:r>
        <w:t xml:space="preserve"> </w:t>
      </w:r>
      <w:r>
        <w:t xml:space="preserve">यज्ञम् । दधे । सरस्वती ॥११॥</w:t>
      </w:r>
    </w:p>
    <w:bookmarkEnd w:id="107"/>
    <w:bookmarkStart w:id="108" w:name="X49ed5bb9bea0e7931442aebe4aa45dce3877df0"/>
    <w:p>
      <w:pPr>
        <w:pStyle w:val="Heading3"/>
      </w:pPr>
      <w:r>
        <w:t xml:space="preserve">Page 80 — Rik 3.11: Sāyaṇa-bhāṣya, grammar, Pada-meanings, Bhāvārtha, English rendering; Special topic (opening)</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1, Sūkta 3.</w:t>
      </w:r>
      <w:r>
        <w:rPr>
          <w:iCs/>
          <w:i/>
        </w:rPr>
        <w:t xml:space="preserve">”</w:t>
      </w:r>
      <w:r>
        <w:rPr>
          <w:iCs/>
          <w:i/>
        </w:rPr>
        <w:t xml:space="preserve"> </w:t>
      </w:r>
      <w:r>
        <w:rPr>
          <w:iCs/>
          <w:i/>
        </w:rPr>
        <w:t xml:space="preserve">Sanskrit printed in Kannada script, rendered letter by letter; [?] where unclear.)</w:t>
      </w:r>
    </w:p>
    <w:p>
      <w:pPr>
        <w:pStyle w:val="BodyText"/>
      </w:pPr>
      <w:r>
        <w:rPr>
          <w:bCs/>
          <w:b/>
        </w:rPr>
        <w:t xml:space="preserve">॥ Sāyaṇa-bhāṣyam ॥</w:t>
      </w:r>
    </w:p>
    <w:p>
      <w:pPr>
        <w:pStyle w:val="BlockText"/>
      </w:pPr>
      <w:r>
        <w:t xml:space="preserve">यो सरस्वती सेयमिमं यज्ञं दधे । धारितवती । कीदृशी । सूनृतानां प्रियाणां सत्यवाक्यानां चोदयित्री प्रेरयित्री । सुमतीनां शोभनबुद्धियुक्तानामनुष्ठातॄणां चेतन्ती । तदीयमनुष्ठेयं ज्ञापयन्ती ॥</w:t>
      </w:r>
      <w:r>
        <w:t xml:space="preserve"> </w:t>
      </w:r>
      <w:r>
        <w:rPr>
          <w:iCs/>
          <w:i/>
        </w:rPr>
        <w:t xml:space="preserve">yo [print;</w:t>
      </w:r>
      <w:r>
        <w:rPr>
          <w:iCs/>
          <w:i/>
        </w:rPr>
        <w:t xml:space="preserve"> </w:t>
      </w:r>
      <w:r>
        <w:rPr>
          <w:iCs/>
          <w:i/>
        </w:rPr>
        <w:t xml:space="preserve">“</w:t>
      </w:r>
      <w:r>
        <w:rPr>
          <w:iCs/>
          <w:i/>
        </w:rPr>
        <w:t xml:space="preserve">yā</w:t>
      </w:r>
      <w:r>
        <w:rPr>
          <w:iCs/>
          <w:i/>
        </w:rPr>
        <w:t xml:space="preserve">”</w:t>
      </w:r>
      <w:r>
        <w:rPr>
          <w:iCs/>
          <w:i/>
        </w:rPr>
        <w:t xml:space="preserve"> </w:t>
      </w:r>
      <w:r>
        <w:rPr>
          <w:iCs/>
          <w:i/>
        </w:rPr>
        <w:t xml:space="preserve">would be expected] sarasvatī seyam imaṃ yajñaṃ dadhe | dhāritavatī | kīdṛśī | sūnṛtānāṃ priyāṇāṃ satya-vākyānāṃ codayitrī prerayitrī | sumatīnāṃ śobhana-buddhi-yuktānām anuṣṭhātṝṇāṃ cetantī | tadīyam anuṣṭheyaṃ jñāpayantī ||</w:t>
      </w:r>
    </w:p>
    <w:p>
      <w:pPr>
        <w:pStyle w:val="FirstParagraph"/>
      </w:pPr>
      <w:r>
        <w:rPr>
          <w:bCs/>
          <w:b/>
        </w:rPr>
        <w:t xml:space="preserve">Translation:</w:t>
      </w:r>
      <w:r>
        <w:t xml:space="preserve"> </w:t>
      </w:r>
      <w:r>
        <w:t xml:space="preserve">“</w:t>
      </w:r>
      <w:r>
        <w:t xml:space="preserve">That Sarasvatī — she has taken up (</w:t>
      </w:r>
      <w:r>
        <w:t xml:space="preserve">‘</w:t>
      </w:r>
      <w:r>
        <w:t xml:space="preserve">dadhe</w:t>
      </w:r>
      <w:r>
        <w:t xml:space="preserve">’</w:t>
      </w:r>
      <w:r>
        <w:t xml:space="preserve"> </w:t>
      </w:r>
      <w:r>
        <w:t xml:space="preserve">=</w:t>
      </w:r>
      <w:r>
        <w:t xml:space="preserve"> </w:t>
      </w:r>
      <w:r>
        <w:t xml:space="preserve">‘</w:t>
      </w:r>
      <w:r>
        <w:t xml:space="preserve">dhāritavatī</w:t>
      </w:r>
      <w:r>
        <w:t xml:space="preserve">’</w:t>
      </w:r>
      <w:r>
        <w:t xml:space="preserve">) this sacrifice. What kind of one?</w:t>
      </w:r>
      <w:r>
        <w:t xml:space="preserve"> </w:t>
      </w:r>
      <w:r>
        <w:t xml:space="preserve">‘</w:t>
      </w:r>
      <w:r>
        <w:t xml:space="preserve">Codayitrī</w:t>
      </w:r>
      <w:r>
        <w:t xml:space="preserve">’</w:t>
      </w:r>
      <w:r>
        <w:t xml:space="preserve"> </w:t>
      </w:r>
      <w:r>
        <w:t xml:space="preserve">— the inciter, the impeller, of</w:t>
      </w:r>
      <w:r>
        <w:t xml:space="preserve"> </w:t>
      </w:r>
      <w:r>
        <w:t xml:space="preserve">‘</w:t>
      </w:r>
      <w:r>
        <w:t xml:space="preserve">sūnṛtānām</w:t>
      </w:r>
      <w:r>
        <w:t xml:space="preserve">’</w:t>
      </w:r>
      <w:r>
        <w:t xml:space="preserve"> </w:t>
      </w:r>
      <w:r>
        <w:t xml:space="preserve">— of pleasant, true utterances (or of those who speak them);</w:t>
      </w:r>
      <w:r>
        <w:t xml:space="preserve"> </w:t>
      </w:r>
      <w:r>
        <w:t xml:space="preserve">‘</w:t>
      </w:r>
      <w:r>
        <w:t xml:space="preserve">cetantī</w:t>
      </w:r>
      <w:r>
        <w:t xml:space="preserve">’</w:t>
      </w:r>
      <w:r>
        <w:t xml:space="preserve"> </w:t>
      </w:r>
      <w:r>
        <w:t xml:space="preserve">— the one who makes known, to the</w:t>
      </w:r>
      <w:r>
        <w:t xml:space="preserve"> </w:t>
      </w:r>
      <w:r>
        <w:t xml:space="preserve">‘</w:t>
      </w:r>
      <w:r>
        <w:t xml:space="preserve">sumatīnām</w:t>
      </w:r>
      <w:r>
        <w:t xml:space="preserve">’</w:t>
      </w:r>
      <w:r>
        <w:t xml:space="preserve"> </w:t>
      </w:r>
      <w:r>
        <w:t xml:space="preserve">— those of good understanding, the performers — what is to be performed by them.</w:t>
      </w:r>
      <w:r>
        <w:t xml:space="preserve">”</w:t>
      </w:r>
      <w:r>
        <w:t xml:space="preserve"> </w:t>
      </w:r>
      <w:r>
        <w:rPr>
          <w:iCs/>
          <w:i/>
        </w:rPr>
        <w:t xml:space="preserve">(The print’s first word reads</w:t>
      </w:r>
      <w:r>
        <w:rPr>
          <w:iCs/>
          <w:i/>
        </w:rPr>
        <w:t xml:space="preserve"> </w:t>
      </w:r>
      <w:r>
        <w:rPr>
          <w:iCs/>
          <w:i/>
        </w:rPr>
        <w:t xml:space="preserve">“</w:t>
      </w:r>
      <w:r>
        <w:rPr>
          <w:iCs/>
          <w:i/>
        </w:rPr>
        <w:t xml:space="preserve">yo</w:t>
      </w:r>
      <w:r>
        <w:rPr>
          <w:iCs/>
          <w:i/>
        </w:rPr>
        <w:t xml:space="preserve">”</w:t>
      </w:r>
      <w:r>
        <w:rPr>
          <w:iCs/>
          <w:i/>
        </w:rPr>
        <w:t xml:space="preserve">; the sense needs</w:t>
      </w:r>
      <w:r>
        <w:rPr>
          <w:iCs/>
          <w:i/>
        </w:rPr>
        <w:t xml:space="preserve"> </w:t>
      </w:r>
      <w:r>
        <w:rPr>
          <w:iCs/>
          <w:i/>
        </w:rPr>
        <w:t xml:space="preserve">“</w:t>
      </w:r>
      <w:r>
        <w:rPr>
          <w:iCs/>
          <w:i/>
        </w:rPr>
        <w:t xml:space="preserve">yā</w:t>
      </w:r>
      <w:r>
        <w:rPr>
          <w:iCs/>
          <w:i/>
        </w:rPr>
        <w:t xml:space="preserve">”</w:t>
      </w:r>
      <w:r>
        <w:rPr>
          <w:iCs/>
          <w:i/>
        </w:rPr>
        <w:t xml:space="preserve"> </w:t>
      </w:r>
      <w:r>
        <w:rPr>
          <w:iCs/>
          <w:i/>
        </w:rPr>
        <w:t xml:space="preserve">(</w:t>
      </w:r>
      <w:r>
        <w:rPr>
          <w:iCs/>
          <w:i/>
        </w:rPr>
        <w:t xml:space="preserve">“</w:t>
      </w:r>
      <w:r>
        <w:rPr>
          <w:iCs/>
          <w:i/>
        </w:rPr>
        <w:t xml:space="preserve">who</w:t>
      </w:r>
      <w:r>
        <w:rPr>
          <w:iCs/>
          <w:i/>
        </w:rPr>
        <w:t xml:space="preserve">”</w:t>
      </w:r>
      <w:r>
        <w:rPr>
          <w:iCs/>
          <w:i/>
        </w:rPr>
        <w:t xml:space="preserve">), and I record the print as it stands.)</w:t>
      </w:r>
    </w:p>
    <w:p>
      <w:pPr>
        <w:pStyle w:val="BodyText"/>
      </w:pPr>
      <w:r>
        <w:rPr>
          <w:bCs/>
          <w:b/>
        </w:rPr>
        <w:t xml:space="preserve">Grammar within the Bhāṣya</w:t>
      </w:r>
      <w:r>
        <w:t xml:space="preserve"> </w:t>
      </w:r>
      <w:r>
        <w:rPr>
          <w:iCs/>
          <w:i/>
        </w:rPr>
        <w:t xml:space="preserve">(characterized; the print is partly garbled in the middle, and I do not give a reading of the unclear stretch)</w:t>
      </w:r>
      <w:r>
        <w:t xml:space="preserve">:</w:t>
      </w:r>
      <w:r>
        <w:t xml:space="preserve"> </w:t>
      </w:r>
      <w:r>
        <w:t xml:space="preserve">“</w:t>
      </w:r>
      <w:r>
        <w:t xml:space="preserve">Codayitrī</w:t>
      </w:r>
      <w:r>
        <w:t xml:space="preserve">”</w:t>
      </w:r>
      <w:r>
        <w:t xml:space="preserve"> </w:t>
      </w:r>
      <w:r>
        <w:t xml:space="preserve">— root</w:t>
      </w:r>
      <w:r>
        <w:t xml:space="preserve"> </w:t>
      </w:r>
      <w:r>
        <w:t xml:space="preserve">“</w:t>
      </w:r>
      <w:r>
        <w:t xml:space="preserve">cud</w:t>
      </w:r>
      <w:r>
        <w:t xml:space="preserve">”</w:t>
      </w:r>
      <w:r>
        <w:t xml:space="preserve"> </w:t>
      </w:r>
      <w:r>
        <w:t xml:space="preserve">(to impel),</w:t>
      </w:r>
      <w:r>
        <w:t xml:space="preserve"> </w:t>
      </w:r>
      <w:r>
        <w:t xml:space="preserve">“</w:t>
      </w:r>
      <w:r>
        <w:t xml:space="preserve">ṇic,</w:t>
      </w:r>
      <w:r>
        <w:t xml:space="preserve">”</w:t>
      </w:r>
      <w:r>
        <w:t xml:space="preserve"> </w:t>
      </w:r>
      <w:r>
        <w:t xml:space="preserve">then</w:t>
      </w:r>
      <w:r>
        <w:t xml:space="preserve"> </w:t>
      </w:r>
      <w:r>
        <w:t xml:space="preserve">“</w:t>
      </w:r>
      <w:r>
        <w:t xml:space="preserve">tṛc</w:t>
      </w:r>
      <w:r>
        <w:t xml:space="preserve">”</w:t>
      </w:r>
      <w:r>
        <w:t xml:space="preserve">;</w:t>
      </w:r>
      <w:r>
        <w:t xml:space="preserve"> </w:t>
      </w:r>
      <w:r>
        <w:t xml:space="preserve">“</w:t>
      </w:r>
      <w:r>
        <w:t xml:space="preserve">c</w:t>
      </w:r>
      <w:r>
        <w:t xml:space="preserve">”</w:t>
      </w:r>
      <w:r>
        <w:t xml:space="preserve">-marked, so the penultimate is acute (</w:t>
      </w:r>
      <w:r>
        <w:rPr>
          <w:bCs/>
          <w:b/>
        </w:rPr>
        <w:t xml:space="preserve">चित्त्वादन्तोदात्तः</w:t>
      </w:r>
      <w:r>
        <w:t xml:space="preserve">);</w:t>
      </w:r>
      <w:r>
        <w:t xml:space="preserve"> </w:t>
      </w:r>
      <w:r>
        <w:t xml:space="preserve">“</w:t>
      </w:r>
      <w:r>
        <w:t xml:space="preserve">ṅīp</w:t>
      </w:r>
      <w:r>
        <w:t xml:space="preserve">”</w:t>
      </w:r>
      <w:r>
        <w:t xml:space="preserve"> </w:t>
      </w:r>
      <w:r>
        <w:t xml:space="preserve">(</w:t>
      </w:r>
      <w:r>
        <w:rPr>
          <w:bCs/>
          <w:b/>
        </w:rPr>
        <w:t xml:space="preserve">ऋन्नेभ्यो ङीप्</w:t>
      </w:r>
      <w:r>
        <w:t xml:space="preserve">, पा. ४-१-५); the feminine ending is acute by</w:t>
      </w:r>
      <w:r>
        <w:t xml:space="preserve"> </w:t>
      </w:r>
      <w:r>
        <w:rPr>
          <w:bCs/>
          <w:b/>
        </w:rPr>
        <w:t xml:space="preserve">उदात्तयणो हल्पूर्वात्</w:t>
      </w:r>
      <w:r>
        <w:t xml:space="preserve"> </w:t>
      </w:r>
      <w:r>
        <w:t xml:space="preserve">(</w:t>
      </w:r>
      <w:r>
        <w:rPr>
          <w:iCs/>
          <w:i/>
        </w:rPr>
        <w:t xml:space="preserve">udāttayaṇo hal-pūrvāt</w:t>
      </w:r>
      <w:r>
        <w:t xml:space="preserve">, पा. ६-१-१७४).</w:t>
      </w:r>
      <w:r>
        <w:t xml:space="preserve"> </w:t>
      </w:r>
      <w:r>
        <w:t xml:space="preserve">“</w:t>
      </w:r>
      <w:r>
        <w:t xml:space="preserve">Sūnṛtānām</w:t>
      </w:r>
      <w:r>
        <w:t xml:space="preserve">”</w:t>
      </w:r>
      <w:r>
        <w:t xml:space="preserve"> </w:t>
      </w:r>
      <w:r>
        <w:t xml:space="preserve">—</w:t>
      </w:r>
      <w:r>
        <w:t xml:space="preserve"> </w:t>
      </w:r>
      <w:r>
        <w:t xml:space="preserve">“</w:t>
      </w:r>
      <w:r>
        <w:t xml:space="preserve">ūna parihāṇe</w:t>
      </w:r>
      <w:r>
        <w:t xml:space="preserve">”</w:t>
      </w:r>
      <w:r>
        <w:t xml:space="preserve"> </w:t>
      </w:r>
      <w:r>
        <w:t xml:space="preserve">(to lessen) with</w:t>
      </w:r>
      <w:r>
        <w:t xml:space="preserve"> </w:t>
      </w:r>
      <w:r>
        <w:t xml:space="preserve">“</w:t>
      </w:r>
      <w:r>
        <w:t xml:space="preserve">kvip</w:t>
      </w:r>
      <w:r>
        <w:t xml:space="preserve">”</w:t>
      </w:r>
      <w:r>
        <w:t xml:space="preserve">;</w:t>
      </w:r>
      <w:r>
        <w:t xml:space="preserve"> </w:t>
      </w:r>
      <w:r>
        <w:t xml:space="preserve">“</w:t>
      </w:r>
      <w:r>
        <w:t xml:space="preserve">sūnīti priyam ucyate</w:t>
      </w:r>
      <w:r>
        <w:t xml:space="preserve">”</w:t>
      </w:r>
      <w:r>
        <w:t xml:space="preserve"> </w:t>
      </w:r>
      <w:r>
        <w:t xml:space="preserve">—</w:t>
      </w:r>
      <w:r>
        <w:t xml:space="preserve"> </w:t>
      </w:r>
      <w:r>
        <w:t xml:space="preserve">“</w:t>
      </w:r>
      <w:r>
        <w:t xml:space="preserve">sūn</w:t>
      </w:r>
      <w:r>
        <w:t xml:space="preserve">”</w:t>
      </w:r>
      <w:r>
        <w:t xml:space="preserve"> </w:t>
      </w:r>
      <w:r>
        <w:t xml:space="preserve">denotes the pleasant;</w:t>
      </w:r>
      <w:r>
        <w:t xml:space="preserve"> </w:t>
      </w:r>
      <w:r>
        <w:t xml:space="preserve">“</w:t>
      </w:r>
      <w:r>
        <w:t xml:space="preserve">ṛtaṃ satyam</w:t>
      </w:r>
      <w:r>
        <w:t xml:space="preserve">”</w:t>
      </w:r>
      <w:r>
        <w:t xml:space="preserve">; hence</w:t>
      </w:r>
      <w:r>
        <w:t xml:space="preserve"> </w:t>
      </w:r>
      <w:r>
        <w:t xml:space="preserve">“</w:t>
      </w:r>
      <w:r>
        <w:t xml:space="preserve">sūnṛtam</w:t>
      </w:r>
      <w:r>
        <w:t xml:space="preserve">”</w:t>
      </w:r>
      <w:r>
        <w:t xml:space="preserve"> </w:t>
      </w:r>
      <w:r>
        <w:t xml:space="preserve">= pleasant and true; the second member’s acute follows the rule for compounds beginning with</w:t>
      </w:r>
      <w:r>
        <w:t xml:space="preserve"> </w:t>
      </w:r>
      <w:r>
        <w:t xml:space="preserve">“</w:t>
      </w:r>
      <w:r>
        <w:t xml:space="preserve">para-ādi</w:t>
      </w:r>
      <w:r>
        <w:t xml:space="preserve">”</w:t>
      </w:r>
      <w:r>
        <w:t xml:space="preserve"> </w:t>
      </w:r>
      <w:r>
        <w:t xml:space="preserve">in the Veda (</w:t>
      </w:r>
      <w:r>
        <w:rPr>
          <w:bCs/>
          <w:b/>
        </w:rPr>
        <w:t xml:space="preserve">बहुलमुत्तरपदादिः</w:t>
      </w:r>
      <w:r>
        <w:t xml:space="preserve">, as printed [?]).</w:t>
      </w:r>
      <w:r>
        <w:t xml:space="preserve"> </w:t>
      </w:r>
      <w:r>
        <w:t xml:space="preserve">“</w:t>
      </w:r>
      <w:r>
        <w:t xml:space="preserve">Cetantī</w:t>
      </w:r>
      <w:r>
        <w:t xml:space="preserve">”</w:t>
      </w:r>
      <w:r>
        <w:t xml:space="preserve"> </w:t>
      </w:r>
      <w:r>
        <w:t xml:space="preserve">— root</w:t>
      </w:r>
      <w:r>
        <w:t xml:space="preserve"> </w:t>
      </w:r>
      <w:r>
        <w:t xml:space="preserve">“</w:t>
      </w:r>
      <w:r>
        <w:t xml:space="preserve">citī saṃjñāne</w:t>
      </w:r>
      <w:r>
        <w:t xml:space="preserve">”</w:t>
      </w:r>
      <w:r>
        <w:t xml:space="preserve"> </w:t>
      </w:r>
      <w:r>
        <w:t xml:space="preserve">(to perceive); the</w:t>
      </w:r>
      <w:r>
        <w:t xml:space="preserve"> </w:t>
      </w:r>
      <w:r>
        <w:t xml:space="preserve">“</w:t>
      </w:r>
      <w:r>
        <w:t xml:space="preserve">śap</w:t>
      </w:r>
      <w:r>
        <w:t xml:space="preserve">”</w:t>
      </w:r>
      <w:r>
        <w:t xml:space="preserve"> </w:t>
      </w:r>
      <w:r>
        <w:t xml:space="preserve">is elided and</w:t>
      </w:r>
      <w:r>
        <w:t xml:space="preserve"> </w:t>
      </w:r>
      <w:r>
        <w:t xml:space="preserve">“</w:t>
      </w:r>
      <w:r>
        <w:t xml:space="preserve">p</w:t>
      </w:r>
      <w:r>
        <w:t xml:space="preserve">”</w:t>
      </w:r>
      <w:r>
        <w:t xml:space="preserve">-marked, so unaccented; the stem’s own accent remains;</w:t>
      </w:r>
      <w:r>
        <w:t xml:space="preserve"> </w:t>
      </w:r>
      <w:r>
        <w:t xml:space="preserve">“</w:t>
      </w:r>
      <w:r>
        <w:t xml:space="preserve">ṅīp</w:t>
      </w:r>
      <w:r>
        <w:t xml:space="preserve">”</w:t>
      </w:r>
      <w:r>
        <w:t xml:space="preserve"> </w:t>
      </w:r>
      <w:r>
        <w:t xml:space="preserve">etc.</w:t>
      </w:r>
      <w:r>
        <w:t xml:space="preserve"> </w:t>
      </w:r>
      <w:r>
        <w:t xml:space="preserve">“</w:t>
      </w:r>
      <w:r>
        <w:t xml:space="preserve">Sumatīnām</w:t>
      </w:r>
      <w:r>
        <w:t xml:space="preserve">”</w:t>
      </w:r>
      <w:r>
        <w:t xml:space="preserve"> </w:t>
      </w:r>
      <w:r>
        <w:t xml:space="preserve">—</w:t>
      </w:r>
      <w:r>
        <w:t xml:space="preserve"> </w:t>
      </w:r>
      <w:r>
        <w:t xml:space="preserve">“</w:t>
      </w:r>
      <w:r>
        <w:t xml:space="preserve">mati</w:t>
      </w:r>
      <w:r>
        <w:t xml:space="preserve">”</w:t>
      </w:r>
      <w:r>
        <w:t xml:space="preserve"> </w:t>
      </w:r>
      <w:r>
        <w:t xml:space="preserve">is first-syllable-acute; the genitive-plural ending’s accent (</w:t>
      </w:r>
      <w:r>
        <w:rPr>
          <w:bCs/>
          <w:b/>
        </w:rPr>
        <w:t xml:space="preserve">पा. ६-१-१७७</w:t>
      </w:r>
      <w:r>
        <w:t xml:space="preserve">).</w:t>
      </w:r>
    </w:p>
    <w:p>
      <w:pPr>
        <w:pStyle w:val="BodyText"/>
      </w:pPr>
      <w:r>
        <w:rPr>
          <w:bCs/>
          <w:b/>
        </w:rPr>
        <w:t xml:space="preserve">॥ Prati-padārthaḥ ॥</w:t>
      </w:r>
      <w:r>
        <w:t xml:space="preserve"> </w:t>
      </w:r>
      <w:r>
        <w:rPr>
          <w:iCs/>
          <w:i/>
        </w:rPr>
        <w:t xml:space="preserve">(Kannada, translated)</w:t>
      </w:r>
    </w:p>
    <w:p>
      <w:pPr>
        <w:pStyle w:val="BodyText"/>
      </w:pPr>
      <w:r>
        <w:rPr>
          <w:bCs/>
          <w:b/>
        </w:rPr>
        <w:t xml:space="preserve">सरस्वती (sarasvatī)</w:t>
      </w:r>
      <w:r>
        <w:t xml:space="preserve"> </w:t>
      </w:r>
      <w:r>
        <w:t xml:space="preserve">— the goddess Sarasvatī |</w:t>
      </w:r>
      <w:r>
        <w:t xml:space="preserve"> </w:t>
      </w:r>
      <w:r>
        <w:rPr>
          <w:bCs/>
          <w:b/>
        </w:rPr>
        <w:t xml:space="preserve">सूनृतानाम् (sūnṛtānām)</w:t>
      </w:r>
      <w:r>
        <w:t xml:space="preserve"> </w:t>
      </w:r>
      <w:r>
        <w:t xml:space="preserve">— [of] pleasant and true words, or [of] men who speak such words |</w:t>
      </w:r>
      <w:r>
        <w:t xml:space="preserve"> </w:t>
      </w:r>
      <w:r>
        <w:rPr>
          <w:bCs/>
          <w:b/>
        </w:rPr>
        <w:t xml:space="preserve">चोदयित्री (codayitrī)</w:t>
      </w:r>
      <w:r>
        <w:t xml:space="preserve"> </w:t>
      </w:r>
      <w:r>
        <w:t xml:space="preserve">— one who impels |</w:t>
      </w:r>
      <w:r>
        <w:t xml:space="preserve"> </w:t>
      </w:r>
      <w:r>
        <w:rPr>
          <w:bCs/>
          <w:b/>
        </w:rPr>
        <w:t xml:space="preserve">सुमतीनाम् (sumatīnām)</w:t>
      </w:r>
      <w:r>
        <w:t xml:space="preserve"> </w:t>
      </w:r>
      <w:r>
        <w:t xml:space="preserve">— (those who are devoted to sacrifices and the like) men of good understanding |</w:t>
      </w:r>
      <w:r>
        <w:t xml:space="preserve"> </w:t>
      </w:r>
      <w:r>
        <w:rPr>
          <w:bCs/>
          <w:b/>
        </w:rPr>
        <w:t xml:space="preserve">चेतन्ती (cetantī)</w:t>
      </w:r>
      <w:r>
        <w:t xml:space="preserve"> </w:t>
      </w:r>
      <w:r>
        <w:t xml:space="preserve">— one who makes (them) know (what is to be done in good works) |</w:t>
      </w:r>
      <w:r>
        <w:t xml:space="preserve"> </w:t>
      </w:r>
      <w:r>
        <w:rPr>
          <w:bCs/>
          <w:b/>
        </w:rPr>
        <w:t xml:space="preserve">(such Sarasvatī) यज्ञम् (yajñam)</w:t>
      </w:r>
      <w:r>
        <w:t xml:space="preserve"> </w:t>
      </w:r>
      <w:r>
        <w:t xml:space="preserve">— the sacrifice (that we are performing) |</w:t>
      </w:r>
      <w:r>
        <w:t xml:space="preserve"> </w:t>
      </w:r>
      <w:r>
        <w:rPr>
          <w:bCs/>
          <w:b/>
        </w:rPr>
        <w:t xml:space="preserve">दधे (dadhe)</w:t>
      </w:r>
      <w:r>
        <w:t xml:space="preserve"> </w:t>
      </w:r>
      <w:r>
        <w:t xml:space="preserve">— has taken up (carries through).</w:t>
      </w:r>
    </w:p>
    <w:p>
      <w:pPr>
        <w:pStyle w:val="BodyText"/>
      </w:pPr>
      <w:r>
        <w:rPr>
          <w:bCs/>
          <w:b/>
        </w:rPr>
        <w:t xml:space="preserve">॥ Bhāvārthaḥ ॥</w:t>
      </w:r>
      <w:r>
        <w:t xml:space="preserve"> </w:t>
      </w:r>
      <w:r>
        <w:rPr>
          <w:iCs/>
          <w:i/>
        </w:rPr>
        <w:t xml:space="preserve">(Kannada, translated)</w:t>
      </w:r>
    </w:p>
    <w:p>
      <w:pPr>
        <w:pStyle w:val="BodyText"/>
      </w:pPr>
      <w:r>
        <w:t xml:space="preserve">The goddess Sarasvatī, whom we praise, is she who impels men to speak pleasant and true words, or who inspires those who speak the truth to engage in good works, and who, by making known to men of good understanding what is to be done, helps them in doing right. May such a Sarasvatī bring the sacrifice that we perform to a faultless completion.</w:t>
      </w:r>
    </w:p>
    <w:p>
      <w:pPr>
        <w:pStyle w:val="BodyText"/>
      </w:pPr>
      <w:r>
        <w:rPr>
          <w:bCs/>
          <w:b/>
        </w:rPr>
        <w:t xml:space="preserve">English Translation</w:t>
      </w:r>
      <w:r>
        <w:t xml:space="preserve"> </w:t>
      </w:r>
      <w:r>
        <w:rPr>
          <w:iCs/>
          <w:i/>
        </w:rPr>
        <w:t xml:space="preserve">(printed in English in the source itself):</w:t>
      </w:r>
    </w:p>
    <w:p>
      <w:pPr>
        <w:pStyle w:val="BodyText"/>
      </w:pPr>
      <w:r>
        <w:t xml:space="preserve">“</w:t>
      </w:r>
      <w:r>
        <w:t xml:space="preserve">Saraswati, the inspirer of those who speak only the truth and instructress of the right-minded has supported the sacrifice.</w:t>
      </w:r>
      <w:r>
        <w:t xml:space="preserve">”</w:t>
      </w:r>
    </w:p>
    <w:p>
      <w:pPr>
        <w:pStyle w:val="BodyText"/>
      </w:pPr>
      <w:r>
        <w:rPr>
          <w:bCs/>
          <w:b/>
        </w:rPr>
        <w:t xml:space="preserve">॥ Viśeṣa-viṣayagaḷu (Special Topics) ॥</w:t>
      </w:r>
    </w:p>
    <w:p>
      <w:pPr>
        <w:pStyle w:val="BodyText"/>
      </w:pPr>
      <w:r>
        <w:t xml:space="preserve">This mantra is used in the sacrifice called</w:t>
      </w:r>
      <w:r>
        <w:t xml:space="preserve"> </w:t>
      </w:r>
      <w:r>
        <w:rPr>
          <w:bCs/>
          <w:b/>
        </w:rPr>
        <w:t xml:space="preserve">Sautrāmaṇī</w:t>
      </w:r>
      <w:r>
        <w:t xml:space="preserve">; and also in the</w:t>
      </w:r>
      <w:r>
        <w:t xml:space="preserve"> </w:t>
      </w:r>
      <w:r>
        <w:rPr>
          <w:bCs/>
          <w:b/>
        </w:rPr>
        <w:t xml:space="preserve">Vaiśvadeva</w:t>
      </w:r>
      <w:r>
        <w:t xml:space="preserve">, the</w:t>
      </w:r>
      <w:r>
        <w:t xml:space="preserve"> </w:t>
      </w:r>
      <w:r>
        <w:rPr>
          <w:bCs/>
          <w:b/>
        </w:rPr>
        <w:t xml:space="preserve">Ukhāsambharaṇa</w:t>
      </w:r>
      <w:r>
        <w:t xml:space="preserve"> </w:t>
      </w:r>
      <w:r>
        <w:t xml:space="preserve">(which, the source adds in English,</w:t>
      </w:r>
      <w:r>
        <w:t xml:space="preserve"> </w:t>
      </w:r>
      <w:r>
        <w:t xml:space="preserve">“</w:t>
      </w:r>
      <w:r>
        <w:t xml:space="preserve">takes place at the new and full moon days</w:t>
      </w:r>
      <w:r>
        <w:t xml:space="preserve">”</w:t>
      </w:r>
      <w:r>
        <w:t xml:space="preserve">) and the</w:t>
      </w:r>
      <w:r>
        <w:t xml:space="preserve"> </w:t>
      </w:r>
      <w:r>
        <w:rPr>
          <w:bCs/>
          <w:b/>
        </w:rPr>
        <w:t xml:space="preserve">Ekāṣṭakā</w:t>
      </w:r>
      <w:r>
        <w:t xml:space="preserve"> </w:t>
      </w:r>
      <w:r>
        <w:t xml:space="preserve">(the eighth day after full moon). Chiefly, this mantra is used in the rite called Vaiśvadeva, in the offering of the bali to Sarasvatī.</w:t>
      </w:r>
    </w:p>
    <w:bookmarkEnd w:id="108"/>
    <w:bookmarkStart w:id="109" w:name="X126f7ada746c26f7fc6a537046f719eede6cac5"/>
    <w:p>
      <w:pPr>
        <w:pStyle w:val="Heading3"/>
      </w:pPr>
      <w:r>
        <w:t xml:space="preserve">Page 81 — Special topics on Rik 3.11; Vyākaraṇa-prakriyā (opening)</w:t>
      </w:r>
    </w:p>
    <w:p>
      <w:pPr>
        <w:pStyle w:val="FirstParagraph"/>
      </w:pPr>
      <w:r>
        <w:rPr>
          <w:iCs/>
          <w:i/>
        </w:rPr>
        <w:t xml:space="preserve">(Page header:</w:t>
      </w:r>
      <w:r>
        <w:rPr>
          <w:iCs/>
          <w:i/>
        </w:rPr>
        <w:t xml:space="preserve"> </w:t>
      </w:r>
      <w:r>
        <w:rPr>
          <w:iCs/>
          <w:i/>
        </w:rPr>
        <w:t xml:space="preserve">“</w:t>
      </w:r>
      <w:r>
        <w:rPr>
          <w:iCs/>
          <w:i/>
        </w:rPr>
        <w:t xml:space="preserve">Aṣṭaka 1, Adhyāya 1, Varga 6 · Ṛgveda-saṃhitā.</w:t>
      </w:r>
      <w:r>
        <w:rPr>
          <w:iCs/>
          <w:i/>
        </w:rPr>
        <w:t xml:space="preserve">”</w:t>
      </w:r>
      <w:r>
        <w:rPr>
          <w:iCs/>
          <w:i/>
        </w:rPr>
        <w:t xml:space="preserve"> </w:t>
      </w:r>
      <w:r>
        <w:rPr>
          <w:iCs/>
          <w:i/>
        </w:rPr>
        <w:t xml:space="preserve">English words are as printed in the source. Nirukta reference-numbers re-read from the better scan, Oct 2026 numeral pass.)</w:t>
      </w:r>
    </w:p>
    <w:p>
      <w:pPr>
        <w:pStyle w:val="BodyText"/>
      </w:pPr>
      <w:r>
        <w:rPr>
          <w:bCs/>
          <w:b/>
        </w:rPr>
        <w:t xml:space="preserve">चोदयित्री (codayitrī)</w:t>
      </w:r>
      <w:r>
        <w:t xml:space="preserve"> </w:t>
      </w:r>
      <w:r>
        <w:t xml:space="preserve">— A form derived from the root</w:t>
      </w:r>
      <w:r>
        <w:t xml:space="preserve"> </w:t>
      </w:r>
      <w:r>
        <w:t xml:space="preserve">“</w:t>
      </w:r>
      <w:r>
        <w:t xml:space="preserve">cud</w:t>
      </w:r>
      <w:r>
        <w:t xml:space="preserve">”</w:t>
      </w:r>
      <w:r>
        <w:t xml:space="preserve"> </w:t>
      </w:r>
      <w:r>
        <w:t xml:space="preserve">(</w:t>
      </w:r>
      <w:r>
        <w:t xml:space="preserve">“</w:t>
      </w:r>
      <w:r>
        <w:t xml:space="preserve">cuda preraṇe,</w:t>
      </w:r>
      <w:r>
        <w:t xml:space="preserve">”</w:t>
      </w:r>
      <w:r>
        <w:t xml:space="preserve"> </w:t>
      </w:r>
      <w:r>
        <w:t xml:space="preserve">to impel); the sense is</w:t>
      </w:r>
      <w:r>
        <w:t xml:space="preserve"> </w:t>
      </w:r>
      <w:r>
        <w:t xml:space="preserve">“</w:t>
      </w:r>
      <w:r>
        <w:t xml:space="preserve">she who impels.</w:t>
      </w:r>
      <w:r>
        <w:t xml:space="preserve">”</w:t>
      </w:r>
      <w:r>
        <w:t xml:space="preserve"> </w:t>
      </w:r>
      <w:r>
        <w:t xml:space="preserve">Western scholars explain it with the words</w:t>
      </w:r>
      <w:r>
        <w:t xml:space="preserve"> </w:t>
      </w:r>
      <w:r>
        <w:rPr>
          <w:iCs/>
          <w:i/>
        </w:rPr>
        <w:t xml:space="preserve">(English as printed)</w:t>
      </w:r>
      <w:r>
        <w:t xml:space="preserve">:</w:t>
      </w:r>
      <w:r>
        <w:t xml:space="preserve"> </w:t>
      </w:r>
      <w:r>
        <w:t xml:space="preserve">“</w:t>
      </w:r>
      <w:r>
        <w:t xml:space="preserve">Inspire, incite, rouse, stimulate, furnish, quickly, hasten, hurry, stir, agitate, encourage.</w:t>
      </w:r>
      <w:r>
        <w:t xml:space="preserve">”</w:t>
      </w:r>
    </w:p>
    <w:p>
      <w:pPr>
        <w:pStyle w:val="BodyText"/>
      </w:pPr>
      <w:r>
        <w:rPr>
          <w:bCs/>
          <w:b/>
        </w:rPr>
        <w:t xml:space="preserve">सूनृतानाम् (sūnṛtānām)</w:t>
      </w:r>
      <w:r>
        <w:t xml:space="preserve"> </w:t>
      </w:r>
      <w:r>
        <w:t xml:space="preserve">— The word</w:t>
      </w:r>
      <w:r>
        <w:t xml:space="preserve"> </w:t>
      </w:r>
      <w:r>
        <w:t xml:space="preserve">“</w:t>
      </w:r>
      <w:r>
        <w:t xml:space="preserve">sūnṛta</w:t>
      </w:r>
      <w:r>
        <w:t xml:space="preserve">”</w:t>
      </w:r>
      <w:r>
        <w:t xml:space="preserve"> </w:t>
      </w:r>
      <w:r>
        <w:t xml:space="preserve">is read both among the sixteen words that indicate</w:t>
      </w:r>
      <w:r>
        <w:t xml:space="preserve"> </w:t>
      </w:r>
      <w:r>
        <w:t xml:space="preserve">“</w:t>
      </w:r>
      <w:r>
        <w:t xml:space="preserve">uṣas</w:t>
      </w:r>
      <w:r>
        <w:t xml:space="preserve">”</w:t>
      </w:r>
      <w:r>
        <w:t xml:space="preserve"> </w:t>
      </w:r>
      <w:r>
        <w:t xml:space="preserve">(dawn) (Ni. 2-19) and among the twenty-eight words that indicate</w:t>
      </w:r>
      <w:r>
        <w:t xml:space="preserve"> </w:t>
      </w:r>
      <w:r>
        <w:t xml:space="preserve">“</w:t>
      </w:r>
      <w:r>
        <w:t xml:space="preserve">anna</w:t>
      </w:r>
      <w:r>
        <w:t xml:space="preserve">”</w:t>
      </w:r>
      <w:r>
        <w:t xml:space="preserve"> </w:t>
      </w:r>
      <w:r>
        <w:t xml:space="preserve">(food) (Ni. 3-9)</w:t>
      </w:r>
      <w:r>
        <w:t xml:space="preserve"> </w:t>
      </w:r>
      <w:r>
        <w:rPr>
          <w:iCs/>
          <w:i/>
        </w:rPr>
        <w:t xml:space="preserve">[re-read from the better scan, Oct 2026]</w:t>
      </w:r>
      <w:r>
        <w:t xml:space="preserve">. This word is derived from the word</w:t>
      </w:r>
      <w:r>
        <w:t xml:space="preserve"> </w:t>
      </w:r>
      <w:r>
        <w:t xml:space="preserve">“</w:t>
      </w:r>
      <w:r>
        <w:t xml:space="preserve">ṛta,</w:t>
      </w:r>
      <w:r>
        <w:t xml:space="preserve">”</w:t>
      </w:r>
      <w:r>
        <w:t xml:space="preserve"> </w:t>
      </w:r>
      <w:r>
        <w:t xml:space="preserve">which means</w:t>
      </w:r>
      <w:r>
        <w:t xml:space="preserve"> </w:t>
      </w:r>
      <w:r>
        <w:t xml:space="preserve">“</w:t>
      </w:r>
      <w:r>
        <w:t xml:space="preserve">true, truth.</w:t>
      </w:r>
      <w:r>
        <w:t xml:space="preserve">”</w:t>
      </w:r>
      <w:r>
        <w:t xml:space="preserve"> </w:t>
      </w:r>
      <w:r>
        <w:t xml:space="preserve">Hence, in the Ṛgveda, Western scholars explain the word</w:t>
      </w:r>
      <w:r>
        <w:t xml:space="preserve"> </w:t>
      </w:r>
      <w:r>
        <w:t xml:space="preserve">“</w:t>
      </w:r>
      <w:r>
        <w:t xml:space="preserve">sūnṛta</w:t>
      </w:r>
      <w:r>
        <w:t xml:space="preserve">”</w:t>
      </w:r>
      <w:r>
        <w:t xml:space="preserve"> </w:t>
      </w:r>
      <w:r>
        <w:t xml:space="preserve">with such words as</w:t>
      </w:r>
      <w:r>
        <w:t xml:space="preserve"> </w:t>
      </w:r>
      <w:r>
        <w:rPr>
          <w:iCs/>
          <w:i/>
        </w:rPr>
        <w:t xml:space="preserve">(English as printed)</w:t>
      </w:r>
      <w:r>
        <w:t xml:space="preserve">:</w:t>
      </w:r>
      <w:r>
        <w:t xml:space="preserve"> </w:t>
      </w:r>
      <w:r>
        <w:t xml:space="preserve">“</w:t>
      </w:r>
      <w:r>
        <w:t xml:space="preserve">One delighting in truth, good word, agreeable speech, truth, song, receiving good qualities, joy-giving, glorious deed.</w:t>
      </w:r>
      <w:r>
        <w:t xml:space="preserve">”</w:t>
      </w:r>
    </w:p>
    <w:p>
      <w:pPr>
        <w:pStyle w:val="BodyText"/>
      </w:pPr>
      <w:r>
        <w:rPr>
          <w:bCs/>
          <w:b/>
        </w:rPr>
        <w:t xml:space="preserve">चेतन्ती (cetantī)</w:t>
      </w:r>
      <w:r>
        <w:t xml:space="preserve"> </w:t>
      </w:r>
      <w:r>
        <w:t xml:space="preserve">— The sense of this word is, with a slight addition, the same as that of</w:t>
      </w:r>
      <w:r>
        <w:t xml:space="preserve"> </w:t>
      </w:r>
      <w:r>
        <w:t xml:space="preserve">“</w:t>
      </w:r>
      <w:r>
        <w:t xml:space="preserve">codayitrī</w:t>
      </w:r>
      <w:r>
        <w:t xml:space="preserve">”</w:t>
      </w:r>
      <w:r>
        <w:t xml:space="preserve">; for it, such senses as</w:t>
      </w:r>
      <w:r>
        <w:t xml:space="preserve"> </w:t>
      </w:r>
      <w:r>
        <w:rPr>
          <w:iCs/>
          <w:i/>
        </w:rPr>
        <w:t xml:space="preserve">(English as printed)</w:t>
      </w:r>
      <w:r>
        <w:t xml:space="preserve"> </w:t>
      </w:r>
      <w:r>
        <w:t xml:space="preserve">“</w:t>
      </w:r>
      <w:r>
        <w:t xml:space="preserve">Perceive, conceive, understand, inspire</w:t>
      </w:r>
      <w:r>
        <w:t xml:space="preserve">”</w:t>
      </w:r>
      <w:r>
        <w:t xml:space="preserve"> </w:t>
      </w:r>
      <w:r>
        <w:t xml:space="preserve">may be given.</w:t>
      </w:r>
    </w:p>
    <w:p>
      <w:pPr>
        <w:pStyle w:val="BodyText"/>
      </w:pPr>
      <w:r>
        <w:rPr>
          <w:bCs/>
          <w:b/>
        </w:rPr>
        <w:t xml:space="preserve">सुमतीनाम् (sumatīnām)</w:t>
      </w:r>
      <w:r>
        <w:t xml:space="preserve"> </w:t>
      </w:r>
      <w:r>
        <w:t xml:space="preserve">— This word is formed from the root</w:t>
      </w:r>
      <w:r>
        <w:t xml:space="preserve"> </w:t>
      </w:r>
      <w:r>
        <w:t xml:space="preserve">“</w:t>
      </w:r>
      <w:r>
        <w:t xml:space="preserve">man</w:t>
      </w:r>
      <w:r>
        <w:t xml:space="preserve">”</w:t>
      </w:r>
      <w:r>
        <w:t xml:space="preserve"> </w:t>
      </w:r>
      <w:r>
        <w:t xml:space="preserve">(to think). For it one may give</w:t>
      </w:r>
      <w:r>
        <w:t xml:space="preserve"> </w:t>
      </w:r>
      <w:r>
        <w:rPr>
          <w:iCs/>
          <w:i/>
        </w:rPr>
        <w:t xml:space="preserve">(English as printed)</w:t>
      </w:r>
      <w:r>
        <w:t xml:space="preserve">:</w:t>
      </w:r>
      <w:r>
        <w:t xml:space="preserve"> </w:t>
      </w:r>
      <w:r>
        <w:t xml:space="preserve">“</w:t>
      </w:r>
      <w:r>
        <w:t xml:space="preserve">Think, meditate, contemplate, imagine, observe, believe, regard.</w:t>
      </w:r>
      <w:r>
        <w:t xml:space="preserve">”</w:t>
      </w:r>
      <w:r>
        <w:t xml:space="preserve"> </w:t>
      </w:r>
      <w:r>
        <w:t xml:space="preserve">In this Ṛk, for this word the senses</w:t>
      </w:r>
      <w:r>
        <w:t xml:space="preserve"> </w:t>
      </w:r>
      <w:r>
        <w:t xml:space="preserve">“</w:t>
      </w:r>
      <w:r>
        <w:t xml:space="preserve">those who have good understanding,</w:t>
      </w:r>
      <w:r>
        <w:t xml:space="preserve">”</w:t>
      </w:r>
      <w:r>
        <w:t xml:space="preserve"> </w:t>
      </w:r>
      <w:r>
        <w:t xml:space="preserve">“</w:t>
      </w:r>
      <w:r>
        <w:t xml:space="preserve">those devoted to good deeds, or those who do them,</w:t>
      </w:r>
      <w:r>
        <w:t xml:space="preserve">”</w:t>
      </w:r>
      <w:r>
        <w:t xml:space="preserve"> </w:t>
      </w:r>
      <w:r>
        <w:t xml:space="preserve">“</w:t>
      </w:r>
      <w:r>
        <w:t xml:space="preserve">right-thinking, right-minded</w:t>
      </w:r>
      <w:r>
        <w:t xml:space="preserve">”</w:t>
      </w:r>
      <w:r>
        <w:t xml:space="preserve"> </w:t>
      </w:r>
      <w:r>
        <w:t xml:space="preserve">may be given.</w:t>
      </w:r>
    </w:p>
    <w:p>
      <w:pPr>
        <w:pStyle w:val="BodyText"/>
      </w:pPr>
      <w:r>
        <w:rPr>
          <w:bCs/>
          <w:b/>
        </w:rPr>
        <w:t xml:space="preserve">The chief import of this Ṛk:</w:t>
      </w:r>
      <w:r>
        <w:t xml:space="preserve"> </w:t>
      </w:r>
      <w:r>
        <w:t xml:space="preserve">the goddess Sarasvatī impels men to speak true words and to do good works, and makes people’s minds devoted to good activities. Therefore, she gives us good understanding in the sacrifice that we are now performing, makes that sacrifice reach completion with all its parts, and favours us so that we obtain its fruit.</w:t>
      </w:r>
    </w:p>
    <w:p>
      <w:pPr>
        <w:pStyle w:val="BodyText"/>
      </w:pPr>
      <w:r>
        <w:rPr>
          <w:bCs/>
          <w:b/>
        </w:rPr>
        <w:t xml:space="preserve">॥ Vyākaraṇa-prakriyā ॥</w:t>
      </w:r>
      <w:r>
        <w:t xml:space="preserve"> </w:t>
      </w:r>
      <w:r>
        <w:rPr>
          <w:iCs/>
          <w:i/>
        </w:rPr>
        <w:t xml:space="preserve">(Kannada; characterized, sūtras kept)</w:t>
      </w:r>
      <w:r>
        <w:t xml:space="preserve"> </w:t>
      </w:r>
      <w:r>
        <w:rPr>
          <w:bCs/>
          <w:b/>
        </w:rPr>
        <w:t xml:space="preserve">“</w:t>
      </w:r>
      <w:r>
        <w:rPr>
          <w:bCs/>
          <w:b/>
        </w:rPr>
        <w:t xml:space="preserve">Codayitrī</w:t>
      </w:r>
      <w:r>
        <w:rPr>
          <w:bCs/>
          <w:b/>
        </w:rPr>
        <w:t xml:space="preserve">”</w:t>
      </w:r>
      <w:r>
        <w:t xml:space="preserve">: to the root</w:t>
      </w:r>
      <w:r>
        <w:t xml:space="preserve"> </w:t>
      </w:r>
      <w:r>
        <w:t xml:space="preserve">“</w:t>
      </w:r>
      <w:r>
        <w:t xml:space="preserve">cud preraṇe</w:t>
      </w:r>
      <w:r>
        <w:t xml:space="preserve">”</w:t>
      </w:r>
      <w:r>
        <w:t xml:space="preserve"> </w:t>
      </w:r>
      <w:r>
        <w:t xml:space="preserve">the affix</w:t>
      </w:r>
      <w:r>
        <w:t xml:space="preserve"> </w:t>
      </w:r>
      <w:r>
        <w:t xml:space="preserve">“</w:t>
      </w:r>
      <w:r>
        <w:t xml:space="preserve">ṇic</w:t>
      </w:r>
      <w:r>
        <w:t xml:space="preserve">”</w:t>
      </w:r>
      <w:r>
        <w:t xml:space="preserve"> </w:t>
      </w:r>
      <w:r>
        <w:t xml:space="preserve">is added; the penultimate light vowel takes guṇa, giving</w:t>
      </w:r>
      <w:r>
        <w:t xml:space="preserve"> </w:t>
      </w:r>
      <w:r>
        <w:t xml:space="preserve">“</w:t>
      </w:r>
      <w:r>
        <w:t xml:space="preserve">codi-</w:t>
      </w:r>
      <w:r>
        <w:t xml:space="preserve">”</w:t>
      </w:r>
      <w:r>
        <w:t xml:space="preserve">; then</w:t>
      </w:r>
      <w:r>
        <w:t xml:space="preserve"> </w:t>
      </w:r>
      <w:r>
        <w:t xml:space="preserve">“</w:t>
      </w:r>
      <w:r>
        <w:t xml:space="preserve">tṛc</w:t>
      </w:r>
      <w:r>
        <w:t xml:space="preserve">”</w:t>
      </w:r>
      <w:r>
        <w:t xml:space="preserve"> </w:t>
      </w:r>
      <w:r>
        <w:t xml:space="preserve">(</w:t>
      </w:r>
      <w:r>
        <w:rPr>
          <w:bCs/>
          <w:b/>
        </w:rPr>
        <w:t xml:space="preserve">ण्वुल्तृचौ</w:t>
      </w:r>
      <w:r>
        <w:t xml:space="preserve">,</w:t>
      </w:r>
      <w:r>
        <w:t xml:space="preserve"> </w:t>
      </w:r>
      <w:r>
        <w:rPr>
          <w:iCs/>
          <w:i/>
        </w:rPr>
        <w:t xml:space="preserve">ṇvul-tṛcau</w:t>
      </w:r>
      <w:r>
        <w:t xml:space="preserve">, पा. ३-१-१३३);</w:t>
      </w:r>
      <w:r>
        <w:t xml:space="preserve"> </w:t>
      </w:r>
      <w:r>
        <w:t xml:space="preserve">“</w:t>
      </w:r>
      <w:r>
        <w:t xml:space="preserve">iṭ</w:t>
      </w:r>
      <w:r>
        <w:t xml:space="preserve">”</w:t>
      </w:r>
      <w:r>
        <w:t xml:space="preserve"> </w:t>
      </w:r>
      <w:r>
        <w:t xml:space="preserve">comes to it by</w:t>
      </w:r>
      <w:r>
        <w:t xml:space="preserve"> </w:t>
      </w:r>
      <w:r>
        <w:rPr>
          <w:bCs/>
          <w:b/>
        </w:rPr>
        <w:t xml:space="preserve">आर्धधातुकस्येड्वलादेः</w:t>
      </w:r>
      <w:r>
        <w:t xml:space="preserve"> </w:t>
      </w:r>
      <w:r>
        <w:t xml:space="preserve">(पा. ७-२-३५); the</w:t>
      </w:r>
      <w:r>
        <w:t xml:space="preserve"> </w:t>
      </w:r>
      <w:r>
        <w:t xml:space="preserve">“</w:t>
      </w:r>
      <w:r>
        <w:t xml:space="preserve">i</w:t>
      </w:r>
      <w:r>
        <w:t xml:space="preserve">”</w:t>
      </w:r>
      <w:r>
        <w:t xml:space="preserve"> </w:t>
      </w:r>
      <w:r>
        <w:t xml:space="preserve">of</w:t>
      </w:r>
      <w:r>
        <w:t xml:space="preserve"> </w:t>
      </w:r>
      <w:r>
        <w:t xml:space="preserve">“</w:t>
      </w:r>
      <w:r>
        <w:t xml:space="preserve">codi</w:t>
      </w:r>
      <w:r>
        <w:t xml:space="preserve">”</w:t>
      </w:r>
      <w:r>
        <w:t xml:space="preserve"> </w:t>
      </w:r>
      <w:r>
        <w:t xml:space="preserve">takes guṇa (</w:t>
      </w:r>
      <w:r>
        <w:rPr>
          <w:bCs/>
          <w:b/>
        </w:rPr>
        <w:t xml:space="preserve">सार्वधातुकार्धधातुकयोः</w:t>
      </w:r>
      <w:r>
        <w:t xml:space="preserve">, पा. ७-३-८४) and</w:t>
      </w:r>
      <w:r>
        <w:t xml:space="preserve"> </w:t>
      </w:r>
      <w:r>
        <w:t xml:space="preserve">“</w:t>
      </w:r>
      <w:r>
        <w:t xml:space="preserve">ay</w:t>
      </w:r>
      <w:r>
        <w:t xml:space="preserve">”</w:t>
      </w:r>
      <w:r>
        <w:t xml:space="preserve"> </w:t>
      </w:r>
      <w:r>
        <w:t xml:space="preserve">by</w:t>
      </w:r>
      <w:r>
        <w:t xml:space="preserve"> </w:t>
      </w:r>
      <w:r>
        <w:rPr>
          <w:bCs/>
          <w:b/>
        </w:rPr>
        <w:t xml:space="preserve">एचोऽयवायावः</w:t>
      </w:r>
      <w:r>
        <w:t xml:space="preserve"> </w:t>
      </w:r>
      <w:r>
        <w:t xml:space="preserve">(</w:t>
      </w:r>
      <w:r>
        <w:rPr>
          <w:iCs/>
          <w:i/>
        </w:rPr>
        <w:t xml:space="preserve">eco ’yavāyāvaḥ</w:t>
      </w:r>
      <w:r>
        <w:t xml:space="preserve">, पा. ६-१-७८) →</w:t>
      </w:r>
      <w:r>
        <w:t xml:space="preserve"> </w:t>
      </w:r>
      <w:r>
        <w:t xml:space="preserve">“</w:t>
      </w:r>
      <w:r>
        <w:t xml:space="preserve">codayitṛ</w:t>
      </w:r>
      <w:r>
        <w:t xml:space="preserve">”</w:t>
      </w:r>
      <w:r>
        <w:t xml:space="preserve">; for the feminine,</w:t>
      </w:r>
      <w:r>
        <w:t xml:space="preserve"> </w:t>
      </w:r>
      <w:r>
        <w:rPr>
          <w:bCs/>
          <w:b/>
        </w:rPr>
        <w:t xml:space="preserve">ऋन्नेभ्यो ङीप्</w:t>
      </w:r>
      <w:r>
        <w:t xml:space="preserve"> </w:t>
      </w:r>
      <w:r>
        <w:t xml:space="preserve">(</w:t>
      </w:r>
      <w:r>
        <w:rPr>
          <w:iCs/>
          <w:i/>
        </w:rPr>
        <w:t xml:space="preserve">ṛnnebhyo ṅīp</w:t>
      </w:r>
      <w:r>
        <w:t xml:space="preserve">, पा. ४-१-५) —</w:t>
      </w:r>
      <w:r>
        <w:t xml:space="preserve"> </w:t>
      </w:r>
      <w:r>
        <w:t xml:space="preserve">“</w:t>
      </w:r>
      <w:r>
        <w:t xml:space="preserve">ṅīp</w:t>
      </w:r>
      <w:r>
        <w:t xml:space="preserve">”</w:t>
      </w:r>
      <w:r>
        <w:t xml:space="preserve"> </w:t>
      </w:r>
      <w:r>
        <w:t xml:space="preserve">after words ending in</w:t>
      </w:r>
      <w:r>
        <w:t xml:space="preserve"> </w:t>
      </w:r>
      <w:r>
        <w:t xml:space="preserve">“</w:t>
      </w:r>
      <w:r>
        <w:t xml:space="preserve">ṛ</w:t>
      </w:r>
      <w:r>
        <w:t xml:space="preserve">”</w:t>
      </w:r>
      <w:r>
        <w:t xml:space="preserve"> </w:t>
      </w:r>
      <w:r>
        <w:t xml:space="preserve">and</w:t>
      </w:r>
      <w:r>
        <w:t xml:space="preserve"> </w:t>
      </w:r>
      <w:r>
        <w:t xml:space="preserve">“</w:t>
      </w:r>
      <w:r>
        <w:t xml:space="preserve">n</w:t>
      </w:r>
      <w:r>
        <w:t xml:space="preserve">”</w:t>
      </w:r>
      <w:r>
        <w:t xml:space="preserve"> </w:t>
      </w:r>
      <w:r>
        <w:t xml:space="preserve">— and then</w:t>
      </w:r>
      <w:r>
        <w:t xml:space="preserve"> </w:t>
      </w:r>
      <w:r>
        <w:rPr>
          <w:bCs/>
          <w:b/>
        </w:rPr>
        <w:t xml:space="preserve">यणादेशः</w:t>
      </w:r>
      <w:r>
        <w:t xml:space="preserve"> </w:t>
      </w:r>
      <w:r>
        <w:t xml:space="preserve">(the semivowel substitution</w:t>
      </w:r>
      <w:r>
        <w:t xml:space="preserve"> </w:t>
      </w:r>
      <w:r>
        <w:t xml:space="preserve">“</w:t>
      </w:r>
      <w:r>
        <w:t xml:space="preserve">ṛ → r</w:t>
      </w:r>
      <w:r>
        <w:t xml:space="preserve">”</w:t>
      </w:r>
      <w:r>
        <w:t xml:space="preserve">) …</w:t>
      </w:r>
      <w:r>
        <w:t xml:space="preserve"> </w:t>
      </w:r>
      <w:r>
        <w:rPr>
          <w:iCs/>
          <w:i/>
        </w:rPr>
        <w:t xml:space="preserve">(continues on the next page)</w:t>
      </w:r>
    </w:p>
    <w:bookmarkEnd w:id="109"/>
    <w:bookmarkStart w:id="110" w:name="X7af89bd589b8c9591e8161132ad904269cde651"/>
    <w:p>
      <w:pPr>
        <w:pStyle w:val="Heading3"/>
      </w:pPr>
      <w:r>
        <w:t xml:space="preserve">Page 82 — Vyākaraṇa-prakriyā for Rik 3.11 concluded — characterized</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1, Sūkta 3.</w:t>
      </w:r>
      <w:r>
        <w:rPr>
          <w:iCs/>
          <w:i/>
        </w:rPr>
        <w:t xml:space="preserve">”</w:t>
      </w:r>
      <w:r>
        <w:rPr>
          <w:iCs/>
          <w:i/>
        </w:rPr>
        <w:t xml:space="preserve"> </w:t>
      </w:r>
      <w:r>
        <w:rPr>
          <w:iCs/>
          <w:i/>
        </w:rPr>
        <w:t xml:space="preserve">This page is dense accent-derivation in Kannada prose, repeating the Sanskrit grammar of p. 80. Per the standing convention it is</w:t>
      </w:r>
      <w:r>
        <w:rPr>
          <w:iCs/>
          <w:i/>
        </w:rPr>
        <w:t xml:space="preserve"> </w:t>
      </w:r>
      <w:r>
        <w:rPr>
          <w:bCs/>
          <w:b/>
          <w:iCs/>
          <w:i/>
        </w:rPr>
        <w:t xml:space="preserve">characterized, not translated line by line</w:t>
      </w:r>
      <w:r>
        <w:rPr>
          <w:iCs/>
          <w:i/>
        </w:rPr>
        <w:t xml:space="preserve">; the sūtras are kept. Some details are garbled in the print and I do not give them.)</w:t>
      </w:r>
    </w:p>
    <w:p>
      <w:pPr>
        <w:pStyle w:val="BodyText"/>
      </w:pPr>
      <w:r>
        <w:rPr>
          <w:iCs/>
          <w:i/>
        </w:rPr>
        <w:t xml:space="preserve">(Continuing</w:t>
      </w:r>
      <w:r>
        <w:rPr>
          <w:iCs/>
          <w:i/>
        </w:rPr>
        <w:t xml:space="preserve"> </w:t>
      </w:r>
      <w:r>
        <w:rPr>
          <w:iCs/>
          <w:i/>
        </w:rPr>
        <w:t xml:space="preserve">“</w:t>
      </w:r>
      <w:r>
        <w:rPr>
          <w:iCs/>
          <w:i/>
        </w:rPr>
        <w:t xml:space="preserve">codayitrī</w:t>
      </w:r>
      <w:r>
        <w:rPr>
          <w:iCs/>
          <w:i/>
        </w:rPr>
        <w:t xml:space="preserve">”</w:t>
      </w:r>
      <w:r>
        <w:rPr>
          <w:iCs/>
          <w:i/>
        </w:rPr>
        <w:t xml:space="preserve">:)</w:t>
      </w:r>
      <w:r>
        <w:t xml:space="preserve"> </w:t>
      </w:r>
      <w:r>
        <w:t xml:space="preserve">…</w:t>
      </w:r>
      <w:r>
        <w:t xml:space="preserve">“</w:t>
      </w:r>
      <w:r>
        <w:t xml:space="preserve">codayitr + ī</w:t>
      </w:r>
      <w:r>
        <w:t xml:space="preserve">”</w:t>
      </w:r>
      <w:r>
        <w:t xml:space="preserve"> </w:t>
      </w:r>
      <w:r>
        <w:t xml:space="preserve">→</w:t>
      </w:r>
      <w:r>
        <w:t xml:space="preserve"> </w:t>
      </w:r>
      <w:r>
        <w:t xml:space="preserve">“</w:t>
      </w:r>
      <w:r>
        <w:t xml:space="preserve">codayitrī</w:t>
      </w:r>
      <w:r>
        <w:t xml:space="preserve">”</w:t>
      </w:r>
      <w:r>
        <w:t xml:space="preserve">. Since</w:t>
      </w:r>
      <w:r>
        <w:t xml:space="preserve"> </w:t>
      </w:r>
      <w:r>
        <w:t xml:space="preserve">“</w:t>
      </w:r>
      <w:r>
        <w:t xml:space="preserve">tṛc</w:t>
      </w:r>
      <w:r>
        <w:t xml:space="preserve">”</w:t>
      </w:r>
      <w:r>
        <w:t xml:space="preserve"> </w:t>
      </w:r>
      <w:r>
        <w:t xml:space="preserve">is</w:t>
      </w:r>
      <w:r>
        <w:t xml:space="preserve"> </w:t>
      </w:r>
      <w:r>
        <w:t xml:space="preserve">“</w:t>
      </w:r>
      <w:r>
        <w:t xml:space="preserve">c</w:t>
      </w:r>
      <w:r>
        <w:t xml:space="preserve">”</w:t>
      </w:r>
      <w:r>
        <w:t xml:space="preserve">-marked (</w:t>
      </w:r>
      <w:r>
        <w:rPr>
          <w:bCs/>
          <w:b/>
        </w:rPr>
        <w:t xml:space="preserve">चितः</w:t>
      </w:r>
      <w:r>
        <w:t xml:space="preserve">, पा. ६-१-१६३) the last syllable is acute; the feminine ending then takes the acute by</w:t>
      </w:r>
      <w:r>
        <w:t xml:space="preserve"> </w:t>
      </w:r>
      <w:r>
        <w:rPr>
          <w:bCs/>
          <w:b/>
        </w:rPr>
        <w:t xml:space="preserve">उदात्तयणो हल्पूर्वात्</w:t>
      </w:r>
      <w:r>
        <w:t xml:space="preserve"> </w:t>
      </w:r>
      <w:r>
        <w:t xml:space="preserve">(</w:t>
      </w:r>
      <w:r>
        <w:rPr>
          <w:iCs/>
          <w:i/>
        </w:rPr>
        <w:t xml:space="preserve">udāttayaṇo hal-pūrvāt</w:t>
      </w:r>
      <w:r>
        <w:t xml:space="preserve">, पा. ६-१-१७४) — when an</w:t>
      </w:r>
      <w:r>
        <w:t xml:space="preserve"> </w:t>
      </w:r>
      <w:r>
        <w:t xml:space="preserve">“</w:t>
      </w:r>
      <w:r>
        <w:t xml:space="preserve">ṇ</w:t>
      </w:r>
      <w:r>
        <w:t xml:space="preserve">”</w:t>
      </w:r>
      <w:r>
        <w:t xml:space="preserve">-substituted semivowel following a consonant stands for an acute vowel, the following case-ending is acute — hence</w:t>
      </w:r>
      <w:r>
        <w:t xml:space="preserve"> </w:t>
      </w:r>
      <w:r>
        <w:t xml:space="preserve">“</w:t>
      </w:r>
      <w:r>
        <w:t xml:space="preserve">ī</w:t>
      </w:r>
      <w:r>
        <w:t xml:space="preserve">”</w:t>
      </w:r>
      <w:r>
        <w:t xml:space="preserve"> </w:t>
      </w:r>
      <w:r>
        <w:t xml:space="preserve">is acute.</w:t>
      </w:r>
    </w:p>
    <w:p>
      <w:pPr>
        <w:pStyle w:val="BodyText"/>
      </w:pPr>
      <w:r>
        <w:rPr>
          <w:bCs/>
          <w:b/>
        </w:rPr>
        <w:t xml:space="preserve">“</w:t>
      </w:r>
      <w:r>
        <w:rPr>
          <w:bCs/>
          <w:b/>
        </w:rPr>
        <w:t xml:space="preserve">Sūnṛtānām</w:t>
      </w:r>
      <w:r>
        <w:rPr>
          <w:bCs/>
          <w:b/>
        </w:rPr>
        <w:t xml:space="preserve">”</w:t>
      </w:r>
      <w:r>
        <w:t xml:space="preserve"> </w:t>
      </w:r>
      <w:r>
        <w:t xml:space="preserve">—</w:t>
      </w:r>
      <w:r>
        <w:t xml:space="preserve"> </w:t>
      </w:r>
      <w:r>
        <w:t xml:space="preserve">“</w:t>
      </w:r>
      <w:r>
        <w:t xml:space="preserve">ūna parihāṇau</w:t>
      </w:r>
      <w:r>
        <w:t xml:space="preserve">”</w:t>
      </w:r>
      <w:r>
        <w:t xml:space="preserve"> </w:t>
      </w:r>
      <w:r>
        <w:t xml:space="preserve">(to lessen), with</w:t>
      </w:r>
      <w:r>
        <w:t xml:space="preserve"> </w:t>
      </w:r>
      <w:r>
        <w:t xml:space="preserve">“</w:t>
      </w:r>
      <w:r>
        <w:t xml:space="preserve">kvip</w:t>
      </w:r>
      <w:r>
        <w:t xml:space="preserve">”</w:t>
      </w:r>
      <w:r>
        <w:t xml:space="preserve"> </w:t>
      </w:r>
      <w:r>
        <w:t xml:space="preserve">by</w:t>
      </w:r>
      <w:r>
        <w:t xml:space="preserve"> </w:t>
      </w:r>
      <w:r>
        <w:rPr>
          <w:bCs/>
          <w:b/>
        </w:rPr>
        <w:t xml:space="preserve">क्विप् च</w:t>
      </w:r>
      <w:r>
        <w:t xml:space="preserve"> </w:t>
      </w:r>
      <w:r>
        <w:t xml:space="preserve">(पा. ३-२-७६) →</w:t>
      </w:r>
      <w:r>
        <w:t xml:space="preserve"> </w:t>
      </w:r>
      <w:r>
        <w:t xml:space="preserve">“</w:t>
      </w:r>
      <w:r>
        <w:t xml:space="preserve">ūn</w:t>
      </w:r>
      <w:r>
        <w:t xml:space="preserve">”</w:t>
      </w:r>
      <w:r>
        <w:t xml:space="preserve">;</w:t>
      </w:r>
      <w:r>
        <w:t xml:space="preserve"> </w:t>
      </w:r>
      <w:r>
        <w:t xml:space="preserve">“</w:t>
      </w:r>
      <w:r>
        <w:t xml:space="preserve">sutarām ūnayati apriyam</w:t>
      </w:r>
      <w:r>
        <w:t xml:space="preserve">”</w:t>
      </w:r>
      <w:r>
        <w:t xml:space="preserve"> </w:t>
      </w:r>
      <w:r>
        <w:t xml:space="preserve">—</w:t>
      </w:r>
      <w:r>
        <w:t xml:space="preserve"> </w:t>
      </w:r>
      <w:r>
        <w:t xml:space="preserve">“</w:t>
      </w:r>
      <w:r>
        <w:t xml:space="preserve">he who most completely removes what is unpleasant</w:t>
      </w:r>
      <w:r>
        <w:t xml:space="preserve">”</w:t>
      </w:r>
      <w:r>
        <w:t xml:space="preserve"> </w:t>
      </w:r>
      <w:r>
        <w:t xml:space="preserve">— so</w:t>
      </w:r>
      <w:r>
        <w:t xml:space="preserve"> </w:t>
      </w:r>
      <w:r>
        <w:t xml:space="preserve">“</w:t>
      </w:r>
      <w:r>
        <w:t xml:space="preserve">sūn</w:t>
      </w:r>
      <w:r>
        <w:t xml:space="preserve">”</w:t>
      </w:r>
      <w:r>
        <w:t xml:space="preserve"> </w:t>
      </w:r>
      <w:r>
        <w:t xml:space="preserve">is a word for</w:t>
      </w:r>
      <w:r>
        <w:t xml:space="preserve"> </w:t>
      </w:r>
      <w:r>
        <w:t xml:space="preserve">“</w:t>
      </w:r>
      <w:r>
        <w:t xml:space="preserve">the pleasant</w:t>
      </w:r>
      <w:r>
        <w:t xml:space="preserve">”</w:t>
      </w:r>
      <w:r>
        <w:t xml:space="preserve">;</w:t>
      </w:r>
      <w:r>
        <w:t xml:space="preserve"> </w:t>
      </w:r>
      <w:r>
        <w:t xml:space="preserve">“</w:t>
      </w:r>
      <w:r>
        <w:t xml:space="preserve">ṛtam</w:t>
      </w:r>
      <w:r>
        <w:t xml:space="preserve">”</w:t>
      </w:r>
      <w:r>
        <w:t xml:space="preserve"> </w:t>
      </w:r>
      <w:r>
        <w:t xml:space="preserve">= true;</w:t>
      </w:r>
      <w:r>
        <w:t xml:space="preserve"> </w:t>
      </w:r>
      <w:r>
        <w:t xml:space="preserve">“</w:t>
      </w:r>
      <w:r>
        <w:t xml:space="preserve">sūn ca tad ṛtaṃ ca</w:t>
      </w:r>
      <w:r>
        <w:t xml:space="preserve">”</w:t>
      </w:r>
      <w:r>
        <w:t xml:space="preserve"> </w:t>
      </w:r>
      <w:r>
        <w:t xml:space="preserve">— a karmadhāraya compound,</w:t>
      </w:r>
      <w:r>
        <w:t xml:space="preserve"> </w:t>
      </w:r>
      <w:r>
        <w:t xml:space="preserve">“</w:t>
      </w:r>
      <w:r>
        <w:t xml:space="preserve">sūnṛtam.</w:t>
      </w:r>
      <w:r>
        <w:t xml:space="preserve">”</w:t>
      </w:r>
      <w:r>
        <w:t xml:space="preserve"> </w:t>
      </w:r>
      <w:r>
        <w:t xml:space="preserve">Here, by</w:t>
      </w:r>
      <w:r>
        <w:t xml:space="preserve"> </w:t>
      </w:r>
      <w:r>
        <w:rPr>
          <w:bCs/>
          <w:b/>
        </w:rPr>
        <w:t xml:space="preserve">परादिश्छन्दसि बहुलम्</w:t>
      </w:r>
      <w:r>
        <w:t xml:space="preserve"> </w:t>
      </w:r>
      <w:r>
        <w:t xml:space="preserve">(</w:t>
      </w:r>
      <w:r>
        <w:rPr>
          <w:iCs/>
          <w:i/>
        </w:rPr>
        <w:t xml:space="preserve">parādiś chandasi bahulam</w:t>
      </w:r>
      <w:r>
        <w:t xml:space="preserve">, पा. ६-२-१९९), in the Veda the beginning of the latter member is variably acute; so the first syllable of the second member is acute. Through</w:t>
      </w:r>
      <w:r>
        <w:t xml:space="preserve"> </w:t>
      </w:r>
      <w:r>
        <w:t xml:space="preserve">“</w:t>
      </w:r>
      <w:r>
        <w:t xml:space="preserve">āyasmayādīni chandasi</w:t>
      </w:r>
      <w:r>
        <w:t xml:space="preserve">”</w:t>
      </w:r>
      <w:r>
        <w:t xml:space="preserve"> </w:t>
      </w:r>
      <w:r>
        <w:t xml:space="preserve">(</w:t>
      </w:r>
      <w:r>
        <w:rPr>
          <w:bCs/>
          <w:b/>
        </w:rPr>
        <w:t xml:space="preserve">आयस्मयादीनि छन्दसि</w:t>
      </w:r>
      <w:r>
        <w:t xml:space="preserve">, पा. १-४-२०) the words</w:t>
      </w:r>
      <w:r>
        <w:t xml:space="preserve"> </w:t>
      </w:r>
      <w:r>
        <w:t xml:space="preserve">“</w:t>
      </w:r>
      <w:r>
        <w:t xml:space="preserve">ayasmaya</w:t>
      </w:r>
      <w:r>
        <w:t xml:space="preserve">”</w:t>
      </w:r>
      <w:r>
        <w:t xml:space="preserve"> </w:t>
      </w:r>
      <w:r>
        <w:t xml:space="preserve">and others in the Veda get the</w:t>
      </w:r>
      <w:r>
        <w:t xml:space="preserve"> </w:t>
      </w:r>
      <w:r>
        <w:t xml:space="preserve">“</w:t>
      </w:r>
      <w:r>
        <w:t xml:space="preserve">bha</w:t>
      </w:r>
      <w:r>
        <w:t xml:space="preserve">”</w:t>
      </w:r>
      <w:r>
        <w:t xml:space="preserve"> </w:t>
      </w:r>
      <w:r>
        <w:t xml:space="preserve">and</w:t>
      </w:r>
      <w:r>
        <w:t xml:space="preserve"> </w:t>
      </w:r>
      <w:r>
        <w:t xml:space="preserve">“</w:t>
      </w:r>
      <w:r>
        <w:t xml:space="preserve">pada</w:t>
      </w:r>
      <w:r>
        <w:t xml:space="preserve">”</w:t>
      </w:r>
      <w:r>
        <w:t xml:space="preserve"> </w:t>
      </w:r>
      <w:r>
        <w:t xml:space="preserve">labels as suitable; hence the</w:t>
      </w:r>
      <w:r>
        <w:t xml:space="preserve"> </w:t>
      </w:r>
      <w:r>
        <w:t xml:space="preserve">“</w:t>
      </w:r>
      <w:r>
        <w:t xml:space="preserve">bha</w:t>
      </w:r>
      <w:r>
        <w:t xml:space="preserve">”</w:t>
      </w:r>
      <w:r>
        <w:t xml:space="preserve">-label arises, and since there is no</w:t>
      </w:r>
      <w:r>
        <w:t xml:space="preserve"> </w:t>
      </w:r>
      <w:r>
        <w:t xml:space="preserve">“</w:t>
      </w:r>
      <w:r>
        <w:t xml:space="preserve">pada</w:t>
      </w:r>
      <w:r>
        <w:t xml:space="preserve">”</w:t>
      </w:r>
      <w:r>
        <w:t xml:space="preserve">-label,</w:t>
      </w:r>
      <w:r>
        <w:t xml:space="preserve"> </w:t>
      </w:r>
      <w:r>
        <w:rPr>
          <w:bCs/>
          <w:b/>
        </w:rPr>
        <w:t xml:space="preserve">न लोपः प्रातिपदिकान्तस्य</w:t>
      </w:r>
      <w:r>
        <w:t xml:space="preserve"> </w:t>
      </w:r>
      <w:r>
        <w:t xml:space="preserve">(</w:t>
      </w:r>
      <w:r>
        <w:rPr>
          <w:iCs/>
          <w:i/>
        </w:rPr>
        <w:t xml:space="preserve">na lopaḥ prātipadikāntasya</w:t>
      </w:r>
      <w:r>
        <w:t xml:space="preserve">, पा. ८-२-७) — the elision of the final</w:t>
      </w:r>
      <w:r>
        <w:t xml:space="preserve"> </w:t>
      </w:r>
      <w:r>
        <w:t xml:space="preserve">“</w:t>
      </w:r>
      <w:r>
        <w:t xml:space="preserve">n</w:t>
      </w:r>
      <w:r>
        <w:t xml:space="preserve">”</w:t>
      </w:r>
      <w:r>
        <w:t xml:space="preserve"> </w:t>
      </w:r>
      <w:r>
        <w:t xml:space="preserve">of a stem — does not apply to the</w:t>
      </w:r>
      <w:r>
        <w:t xml:space="preserve"> </w:t>
      </w:r>
      <w:r>
        <w:t xml:space="preserve">“</w:t>
      </w:r>
      <w:r>
        <w:t xml:space="preserve">n</w:t>
      </w:r>
      <w:r>
        <w:t xml:space="preserve">”</w:t>
      </w:r>
      <w:r>
        <w:t xml:space="preserve"> </w:t>
      </w:r>
      <w:r>
        <w:t xml:space="preserve">of</w:t>
      </w:r>
      <w:r>
        <w:t xml:space="preserve"> </w:t>
      </w:r>
      <w:r>
        <w:t xml:space="preserve">“</w:t>
      </w:r>
      <w:r>
        <w:t xml:space="preserve">sūn.</w:t>
      </w:r>
      <w:r>
        <w:t xml:space="preserve">”</w:t>
      </w:r>
    </w:p>
    <w:p>
      <w:pPr>
        <w:pStyle w:val="BodyText"/>
      </w:pPr>
      <w:r>
        <w:rPr>
          <w:bCs/>
          <w:b/>
        </w:rPr>
        <w:t xml:space="preserve">“</w:t>
      </w:r>
      <w:r>
        <w:rPr>
          <w:bCs/>
          <w:b/>
        </w:rPr>
        <w:t xml:space="preserve">Cetantī</w:t>
      </w:r>
      <w:r>
        <w:rPr>
          <w:bCs/>
          <w:b/>
        </w:rPr>
        <w:t xml:space="preserve">”</w:t>
      </w:r>
      <w:r>
        <w:t xml:space="preserve"> </w:t>
      </w:r>
      <w:r>
        <w:t xml:space="preserve">— root</w:t>
      </w:r>
      <w:r>
        <w:t xml:space="preserve"> </w:t>
      </w:r>
      <w:r>
        <w:t xml:space="preserve">“</w:t>
      </w:r>
      <w:r>
        <w:t xml:space="preserve">citī saṃjñāne</w:t>
      </w:r>
      <w:r>
        <w:t xml:space="preserve">”</w:t>
      </w:r>
      <w:r>
        <w:t xml:space="preserve">; in place of</w:t>
      </w:r>
      <w:r>
        <w:t xml:space="preserve"> </w:t>
      </w:r>
      <w:r>
        <w:t xml:space="preserve">“</w:t>
      </w:r>
      <w:r>
        <w:t xml:space="preserve">laṭ</w:t>
      </w:r>
      <w:r>
        <w:t xml:space="preserve">”</w:t>
      </w:r>
      <w:r>
        <w:t xml:space="preserve"> </w:t>
      </w:r>
      <w:r>
        <w:t xml:space="preserve">the</w:t>
      </w:r>
      <w:r>
        <w:t xml:space="preserve"> </w:t>
      </w:r>
      <w:r>
        <w:t xml:space="preserve">“</w:t>
      </w:r>
      <w:r>
        <w:t xml:space="preserve">śatṛ</w:t>
      </w:r>
      <w:r>
        <w:t xml:space="preserve">”</w:t>
      </w:r>
      <w:r>
        <w:t xml:space="preserve"> </w:t>
      </w:r>
      <w:r>
        <w:t xml:space="preserve">affix (</w:t>
      </w:r>
      <w:r>
        <w:rPr>
          <w:bCs/>
          <w:b/>
        </w:rPr>
        <w:t xml:space="preserve">लटः शतृशानचावप्रथमासमानाधिकरणे</w:t>
      </w:r>
      <w:r>
        <w:t xml:space="preserve">, पा. ३-२-१२४) →</w:t>
      </w:r>
      <w:r>
        <w:t xml:space="preserve"> </w:t>
      </w:r>
      <w:r>
        <w:t xml:space="preserve">“</w:t>
      </w:r>
      <w:r>
        <w:t xml:space="preserve">cit + at</w:t>
      </w:r>
      <w:r>
        <w:t xml:space="preserve">”</w:t>
      </w:r>
      <w:r>
        <w:t xml:space="preserve">;</w:t>
      </w:r>
      <w:r>
        <w:t xml:space="preserve"> </w:t>
      </w:r>
      <w:r>
        <w:t xml:space="preserve">“</w:t>
      </w:r>
      <w:r>
        <w:t xml:space="preserve">śap</w:t>
      </w:r>
      <w:r>
        <w:t xml:space="preserve">”</w:t>
      </w:r>
      <w:r>
        <w:t xml:space="preserve"> </w:t>
      </w:r>
      <w:r>
        <w:t xml:space="preserve">comes, then guṇa of the light penultimate, and by</w:t>
      </w:r>
      <w:r>
        <w:t xml:space="preserve"> </w:t>
      </w:r>
      <w:r>
        <w:rPr>
          <w:bCs/>
          <w:b/>
        </w:rPr>
        <w:t xml:space="preserve">अतो गुणे</w:t>
      </w:r>
      <w:r>
        <w:t xml:space="preserve"> </w:t>
      </w:r>
      <w:r>
        <w:t xml:space="preserve">(पा. ६-१-९७) the single form →</w:t>
      </w:r>
      <w:r>
        <w:t xml:space="preserve"> </w:t>
      </w:r>
      <w:r>
        <w:t xml:space="preserve">“</w:t>
      </w:r>
      <w:r>
        <w:t xml:space="preserve">cetat</w:t>
      </w:r>
      <w:r>
        <w:t xml:space="preserve">”</w:t>
      </w:r>
      <w:r>
        <w:t xml:space="preserve">;</w:t>
      </w:r>
      <w:r>
        <w:t xml:space="preserve"> </w:t>
      </w:r>
      <w:r>
        <w:t xml:space="preserve">“</w:t>
      </w:r>
      <w:r>
        <w:t xml:space="preserve">śatṛ</w:t>
      </w:r>
      <w:r>
        <w:t xml:space="preserve">”</w:t>
      </w:r>
      <w:r>
        <w:t xml:space="preserve"> </w:t>
      </w:r>
      <w:r>
        <w:t xml:space="preserve">is</w:t>
      </w:r>
      <w:r>
        <w:t xml:space="preserve"> </w:t>
      </w:r>
      <w:r>
        <w:t xml:space="preserve">“</w:t>
      </w:r>
      <w:r>
        <w:t xml:space="preserve">uk</w:t>
      </w:r>
      <w:r>
        <w:t xml:space="preserve">”</w:t>
      </w:r>
      <w:r>
        <w:t xml:space="preserve">-marked (</w:t>
      </w:r>
      <w:r>
        <w:rPr>
          <w:bCs/>
          <w:b/>
        </w:rPr>
        <w:t xml:space="preserve">उगितश्च</w:t>
      </w:r>
      <w:r>
        <w:t xml:space="preserve">,</w:t>
      </w:r>
      <w:r>
        <w:t xml:space="preserve"> </w:t>
      </w:r>
      <w:r>
        <w:rPr>
          <w:iCs/>
          <w:i/>
        </w:rPr>
        <w:t xml:space="preserve">ugitaś ca</w:t>
      </w:r>
      <w:r>
        <w:t xml:space="preserve">, पा. ४-१-६), so</w:t>
      </w:r>
      <w:r>
        <w:t xml:space="preserve"> </w:t>
      </w:r>
      <w:r>
        <w:t xml:space="preserve">“</w:t>
      </w:r>
      <w:r>
        <w:t xml:space="preserve">ṅīp</w:t>
      </w:r>
      <w:r>
        <w:t xml:space="preserve">”</w:t>
      </w:r>
      <w:r>
        <w:t xml:space="preserve"> </w:t>
      </w:r>
      <w:r>
        <w:t xml:space="preserve">for the feminine, giving</w:t>
      </w:r>
      <w:r>
        <w:t xml:space="preserve"> </w:t>
      </w:r>
      <w:r>
        <w:t xml:space="preserve">“</w:t>
      </w:r>
      <w:r>
        <w:t xml:space="preserve">cetat + ī</w:t>
      </w:r>
      <w:r>
        <w:t xml:space="preserve">”</w:t>
      </w:r>
      <w:r>
        <w:t xml:space="preserve">; by</w:t>
      </w:r>
      <w:r>
        <w:t xml:space="preserve"> </w:t>
      </w:r>
      <w:r>
        <w:rPr>
          <w:bCs/>
          <w:b/>
        </w:rPr>
        <w:t xml:space="preserve">आच्छीनद्योर्नुम्</w:t>
      </w:r>
      <w:r>
        <w:t xml:space="preserve"> </w:t>
      </w:r>
      <w:r>
        <w:t xml:space="preserve">(</w:t>
      </w:r>
      <w:r>
        <w:rPr>
          <w:iCs/>
          <w:i/>
        </w:rPr>
        <w:t xml:space="preserve">āc chīnadyor num</w:t>
      </w:r>
      <w:r>
        <w:t xml:space="preserve">, पा. ७-१-८०)</w:t>
      </w:r>
      <w:r>
        <w:t xml:space="preserve"> </w:t>
      </w:r>
      <w:r>
        <w:t xml:space="preserve">“</w:t>
      </w:r>
      <w:r>
        <w:t xml:space="preserve">num</w:t>
      </w:r>
      <w:r>
        <w:t xml:space="preserve">”</w:t>
      </w:r>
      <w:r>
        <w:t xml:space="preserve"> </w:t>
      </w:r>
      <w:r>
        <w:t xml:space="preserve">is the augment, optionally, when</w:t>
      </w:r>
      <w:r>
        <w:t xml:space="preserve"> </w:t>
      </w:r>
      <w:r>
        <w:t xml:space="preserve">“</w:t>
      </w:r>
      <w:r>
        <w:t xml:space="preserve">śī</w:t>
      </w:r>
      <w:r>
        <w:t xml:space="preserve">”</w:t>
      </w:r>
      <w:r>
        <w:t xml:space="preserve"> </w:t>
      </w:r>
      <w:r>
        <w:t xml:space="preserve">or</w:t>
      </w:r>
      <w:r>
        <w:t xml:space="preserve"> </w:t>
      </w:r>
      <w:r>
        <w:t xml:space="preserve">“</w:t>
      </w:r>
      <w:r>
        <w:t xml:space="preserve">nadī</w:t>
      </w:r>
      <w:r>
        <w:t xml:space="preserve">”</w:t>
      </w:r>
      <w:r>
        <w:t xml:space="preserve">-labelled endings follow;</w:t>
      </w:r>
      <w:r>
        <w:t xml:space="preserve"> </w:t>
      </w:r>
      <w:r>
        <w:t xml:space="preserve">“</w:t>
      </w:r>
      <w:r>
        <w:t xml:space="preserve">cetantī</w:t>
      </w:r>
      <w:r>
        <w:t xml:space="preserve">”</w:t>
      </w:r>
      <w:r>
        <w:t xml:space="preserve"> </w:t>
      </w:r>
      <w:r>
        <w:t xml:space="preserve">results; by</w:t>
      </w:r>
      <w:r>
        <w:t xml:space="preserve"> </w:t>
      </w:r>
      <w:r>
        <w:rPr>
          <w:bCs/>
          <w:b/>
        </w:rPr>
        <w:t xml:space="preserve">हल्ङ्याब्भ्यो दीर्घात्…</w:t>
      </w:r>
      <w:r>
        <w:t xml:space="preserve"> </w:t>
      </w:r>
      <w:r>
        <w:t xml:space="preserve">(पा. ६-१-६८) the elision. Both</w:t>
      </w:r>
      <w:r>
        <w:t xml:space="preserve"> </w:t>
      </w:r>
      <w:r>
        <w:t xml:space="preserve">“</w:t>
      </w:r>
      <w:r>
        <w:t xml:space="preserve">śap</w:t>
      </w:r>
      <w:r>
        <w:t xml:space="preserve">”</w:t>
      </w:r>
      <w:r>
        <w:t xml:space="preserve"> </w:t>
      </w:r>
      <w:r>
        <w:t xml:space="preserve">and</w:t>
      </w:r>
      <w:r>
        <w:t xml:space="preserve"> </w:t>
      </w:r>
      <w:r>
        <w:t xml:space="preserve">“</w:t>
      </w:r>
      <w:r>
        <w:t xml:space="preserve">ṅīp</w:t>
      </w:r>
      <w:r>
        <w:t xml:space="preserve">”</w:t>
      </w:r>
      <w:r>
        <w:t xml:space="preserve"> </w:t>
      </w:r>
      <w:r>
        <w:t xml:space="preserve">being</w:t>
      </w:r>
      <w:r>
        <w:t xml:space="preserve"> </w:t>
      </w:r>
      <w:r>
        <w:t xml:space="preserve">“</w:t>
      </w:r>
      <w:r>
        <w:t xml:space="preserve">p</w:t>
      </w:r>
      <w:r>
        <w:t xml:space="preserve">”</w:t>
      </w:r>
      <w:r>
        <w:t xml:space="preserve">-marked, they are unaccented; the</w:t>
      </w:r>
      <w:r>
        <w:t xml:space="preserve"> </w:t>
      </w:r>
      <w:r>
        <w:t xml:space="preserve">“</w:t>
      </w:r>
      <w:r>
        <w:t xml:space="preserve">śatṛ</w:t>
      </w:r>
      <w:r>
        <w:t xml:space="preserve">”</w:t>
      </w:r>
      <w:r>
        <w:t xml:space="preserve"> </w:t>
      </w:r>
      <w:r>
        <w:t xml:space="preserve">affix is accented on the first syllable by</w:t>
      </w:r>
      <w:r>
        <w:t xml:space="preserve"> </w:t>
      </w:r>
      <w:r>
        <w:rPr>
          <w:bCs/>
          <w:b/>
        </w:rPr>
        <w:t xml:space="preserve">तास्यनुदात्तेन्ङिददुपदेशाल्लसार्वधातुकमनुदात्तमहन्वनोर्ङित्</w:t>
      </w:r>
      <w:r>
        <w:t xml:space="preserve"> </w:t>
      </w:r>
      <w:r>
        <w:t xml:space="preserve">(पा. ६-१-१८६) [as printed, garbled] and the stem’s own accent remains; the final vowel of</w:t>
      </w:r>
      <w:r>
        <w:t xml:space="preserve"> </w:t>
      </w:r>
      <w:r>
        <w:t xml:space="preserve">“</w:t>
      </w:r>
      <w:r>
        <w:t xml:space="preserve">cetat,</w:t>
      </w:r>
      <w:r>
        <w:t xml:space="preserve">”</w:t>
      </w:r>
      <w:r>
        <w:t xml:space="preserve"> </w:t>
      </w:r>
      <w:r>
        <w:t xml:space="preserve">by</w:t>
      </w:r>
      <w:r>
        <w:t xml:space="preserve"> </w:t>
      </w:r>
      <w:r>
        <w:rPr>
          <w:bCs/>
          <w:b/>
        </w:rPr>
        <w:t xml:space="preserve">धातोः</w:t>
      </w:r>
      <w:r>
        <w:t xml:space="preserve"> </w:t>
      </w:r>
      <w:r>
        <w:t xml:space="preserve">(पा. ६-१-१६२) — the last vowel of a root is acute — is acute on the</w:t>
      </w:r>
      <w:r>
        <w:t xml:space="preserve"> </w:t>
      </w:r>
      <w:r>
        <w:t xml:space="preserve">“</w:t>
      </w:r>
      <w:r>
        <w:t xml:space="preserve">e.</w:t>
      </w:r>
      <w:r>
        <w:t xml:space="preserve">”</w:t>
      </w:r>
    </w:p>
    <w:p>
      <w:pPr>
        <w:pStyle w:val="BodyText"/>
      </w:pPr>
      <w:r>
        <w:rPr>
          <w:bCs/>
          <w:b/>
        </w:rPr>
        <w:t xml:space="preserve">“</w:t>
      </w:r>
      <w:r>
        <w:rPr>
          <w:bCs/>
          <w:b/>
        </w:rPr>
        <w:t xml:space="preserve">Sumatīnām</w:t>
      </w:r>
      <w:r>
        <w:rPr>
          <w:bCs/>
          <w:b/>
        </w:rPr>
        <w:t xml:space="preserve">”</w:t>
      </w:r>
      <w:r>
        <w:t xml:space="preserve"> </w:t>
      </w:r>
      <w:r>
        <w:t xml:space="preserve">—</w:t>
      </w:r>
      <w:r>
        <w:t xml:space="preserve"> </w:t>
      </w:r>
      <w:r>
        <w:t xml:space="preserve">“</w:t>
      </w:r>
      <w:r>
        <w:t xml:space="preserve">śobhanā matiḥ yeṣāṃ te</w:t>
      </w:r>
      <w:r>
        <w:t xml:space="preserve">”</w:t>
      </w:r>
      <w:r>
        <w:t xml:space="preserve"> </w:t>
      </w:r>
      <w:r>
        <w:t xml:space="preserve">—</w:t>
      </w:r>
      <w:r>
        <w:t xml:space="preserve"> </w:t>
      </w:r>
      <w:r>
        <w:t xml:space="preserve">“</w:t>
      </w:r>
      <w:r>
        <w:t xml:space="preserve">those with good understanding,</w:t>
      </w:r>
      <w:r>
        <w:t xml:space="preserve">”</w:t>
      </w:r>
      <w:r>
        <w:t xml:space="preserve"> </w:t>
      </w:r>
      <w:r>
        <w:t xml:space="preserve">a bahuvrīhi; by</w:t>
      </w:r>
      <w:r>
        <w:t xml:space="preserve"> </w:t>
      </w:r>
      <w:r>
        <w:rPr>
          <w:bCs/>
          <w:b/>
        </w:rPr>
        <w:t xml:space="preserve">नञ्सुभ्याम्</w:t>
      </w:r>
      <w:r>
        <w:t xml:space="preserve"> </w:t>
      </w:r>
      <w:r>
        <w:t xml:space="preserve">(पा. ६-२-१७२) the second member is end-acute; after it, when the genitive plural ending is added,</w:t>
      </w:r>
      <w:r>
        <w:t xml:space="preserve"> </w:t>
      </w:r>
      <w:r>
        <w:t xml:space="preserve">“</w:t>
      </w:r>
      <w:r>
        <w:t xml:space="preserve">nuṭ</w:t>
      </w:r>
      <w:r>
        <w:t xml:space="preserve">”</w:t>
      </w:r>
      <w:r>
        <w:t xml:space="preserve"> </w:t>
      </w:r>
      <w:r>
        <w:t xml:space="preserve">is the augment and the vowel is lengthened —</w:t>
      </w:r>
      <w:r>
        <w:t xml:space="preserve"> </w:t>
      </w:r>
      <w:r>
        <w:t xml:space="preserve">“</w:t>
      </w:r>
      <w:r>
        <w:t xml:space="preserve">sumatīnām.</w:t>
      </w:r>
      <w:r>
        <w:t xml:space="preserve">”</w:t>
      </w:r>
      <w:r>
        <w:t xml:space="preserve"> </w:t>
      </w:r>
      <w:r>
        <w:t xml:space="preserve">Here, by</w:t>
      </w:r>
      <w:r>
        <w:t xml:space="preserve"> </w:t>
      </w:r>
      <w:r>
        <w:rPr>
          <w:bCs/>
          <w:b/>
        </w:rPr>
        <w:t xml:space="preserve">नामन्यतरस्याम्</w:t>
      </w:r>
      <w:r>
        <w:t xml:space="preserve"> </w:t>
      </w:r>
      <w:r>
        <w:t xml:space="preserve">(</w:t>
      </w:r>
      <w:r>
        <w:rPr>
          <w:iCs/>
          <w:i/>
        </w:rPr>
        <w:t xml:space="preserve">nāmany atarasyām</w:t>
      </w:r>
      <w:r>
        <w:t xml:space="preserve">, पा. ६-१-१७७), in the case where the</w:t>
      </w:r>
      <w:r>
        <w:t xml:space="preserve"> </w:t>
      </w:r>
      <w:r>
        <w:t xml:space="preserve">“</w:t>
      </w:r>
      <w:r>
        <w:t xml:space="preserve">matup</w:t>
      </w:r>
      <w:r>
        <w:t xml:space="preserve">”</w:t>
      </w:r>
      <w:r>
        <w:t xml:space="preserve">-final is elided… — if the stem is end-acute, the genitive plural ending</w:t>
      </w:r>
      <w:r>
        <w:t xml:space="preserve"> </w:t>
      </w:r>
      <w:r>
        <w:t xml:space="preserve">“</w:t>
      </w:r>
      <w:r>
        <w:t xml:space="preserve">nām</w:t>
      </w:r>
      <w:r>
        <w:t xml:space="preserve">”</w:t>
      </w:r>
      <w:r>
        <w:t xml:space="preserve"> </w:t>
      </w:r>
      <w:r>
        <w:t xml:space="preserve">is acute; thus the</w:t>
      </w:r>
      <w:r>
        <w:t xml:space="preserve"> </w:t>
      </w:r>
      <w:r>
        <w:t xml:space="preserve">“</w:t>
      </w:r>
      <w:r>
        <w:t xml:space="preserve">nām</w:t>
      </w:r>
      <w:r>
        <w:t xml:space="preserve">”</w:t>
      </w:r>
      <w:r>
        <w:t xml:space="preserve"> </w:t>
      </w:r>
      <w:r>
        <w:t xml:space="preserve">of</w:t>
      </w:r>
      <w:r>
        <w:t xml:space="preserve"> </w:t>
      </w:r>
      <w:r>
        <w:t xml:space="preserve">“</w:t>
      </w:r>
      <w:r>
        <w:t xml:space="preserve">sumatīnām</w:t>
      </w:r>
      <w:r>
        <w:t xml:space="preserve">”</w:t>
      </w:r>
      <w:r>
        <w:t xml:space="preserve"> </w:t>
      </w:r>
      <w:r>
        <w:t xml:space="preserve">is acute. ॥११॥</w:t>
      </w:r>
    </w:p>
    <w:bookmarkEnd w:id="110"/>
    <w:bookmarkStart w:id="111" w:name="X1ff8429a4311373042b82ea371267e7fe0c0137"/>
    <w:p>
      <w:pPr>
        <w:pStyle w:val="Heading3"/>
      </w:pPr>
      <w:r>
        <w:t xml:space="preserve">Page 83 — Sūkta 3, Twelfth Mantra: Saṃhitā, Pada, Sāyaṇa-bhāṣya, Pada-meanings</w:t>
      </w:r>
    </w:p>
    <w:p>
      <w:pPr>
        <w:pStyle w:val="FirstParagraph"/>
      </w:pPr>
      <w:r>
        <w:rPr>
          <w:iCs/>
          <w:i/>
        </w:rPr>
        <w:t xml:space="preserve">(Page header:</w:t>
      </w:r>
      <w:r>
        <w:rPr>
          <w:iCs/>
          <w:i/>
        </w:rPr>
        <w:t xml:space="preserve"> </w:t>
      </w:r>
      <w:r>
        <w:rPr>
          <w:iCs/>
          <w:i/>
        </w:rPr>
        <w:t xml:space="preserve">“</w:t>
      </w:r>
      <w:r>
        <w:rPr>
          <w:iCs/>
          <w:i/>
        </w:rPr>
        <w:t xml:space="preserve">Aṣṭaka 1, Adhyāya 1, Varga 6 · Ṛgveda-saṃhitā.</w:t>
      </w:r>
      <w:r>
        <w:rPr>
          <w:iCs/>
          <w:i/>
        </w:rPr>
        <w:t xml:space="preserve">”</w:t>
      </w:r>
      <w:r>
        <w:rPr>
          <w:iCs/>
          <w:i/>
        </w:rPr>
        <w:t xml:space="preserve"> </w:t>
      </w:r>
      <w:r>
        <w:rPr>
          <w:iCs/>
          <w:i/>
        </w:rPr>
        <w:t xml:space="preserve">Accent-marks not reproduced; see the note at Rik 3.5. Sanskrit printed in Kannada script, rendered letter by letter.)</w:t>
      </w:r>
    </w:p>
    <w:bookmarkEnd w:id="111"/>
    <w:bookmarkStart w:id="112" w:name="sūkta-3-the-twelfth-mantra"/>
    <w:p>
      <w:pPr>
        <w:pStyle w:val="Heading3"/>
      </w:pPr>
      <w:r>
        <w:t xml:space="preserve">Sūkta 3, The Twelfth Mantra</w:t>
      </w:r>
    </w:p>
    <w:p>
      <w:pPr>
        <w:pStyle w:val="FirstParagraph"/>
      </w:pPr>
      <w:r>
        <w:rPr>
          <w:bCs/>
          <w:b/>
        </w:rPr>
        <w:t xml:space="preserve">॥ Saṃhitā-pāṭhaḥ ॥</w:t>
      </w:r>
    </w:p>
    <w:p>
      <w:pPr>
        <w:pStyle w:val="BlockText"/>
      </w:pPr>
      <w:r>
        <w:t xml:space="preserve">म॒हो अर्णः॒ सर॑स्वती॒ प्र चे॑तयति के॒तुना॑ ।</w:t>
      </w:r>
      <w:r>
        <w:t xml:space="preserve"> </w:t>
      </w:r>
      <w:r>
        <w:t xml:space="preserve">धियो॒ विश्वा वि रा॑जति ॥१२॥</w:t>
      </w:r>
    </w:p>
    <w:p>
      <w:pPr>
        <w:pStyle w:val="BlockText"/>
      </w:pPr>
      <w:r>
        <w:rPr>
          <w:iCs/>
          <w:i/>
        </w:rPr>
        <w:t xml:space="preserve">mahó arṇaḥ sárasvatī prá cetayati ketúnā |</w:t>
      </w:r>
      <w:r>
        <w:t xml:space="preserve"> </w:t>
      </w:r>
      <w:r>
        <w:rPr>
          <w:iCs/>
          <w:i/>
        </w:rPr>
        <w:t xml:space="preserve">dhiyo víśvā ví rājati ||12||</w:t>
      </w:r>
    </w:p>
    <w:p>
      <w:pPr>
        <w:pStyle w:val="FirstParagraph"/>
      </w:pPr>
      <w:r>
        <w:rPr>
          <w:bCs/>
          <w:b/>
        </w:rPr>
        <w:t xml:space="preserve">॥ Pada-pāṭhaḥ ॥</w:t>
      </w:r>
    </w:p>
    <w:p>
      <w:pPr>
        <w:pStyle w:val="BlockText"/>
      </w:pPr>
      <w:r>
        <w:t xml:space="preserve">महः । अर्णः । सरस्वती । प्र । चेतयति । केतुना ।</w:t>
      </w:r>
      <w:r>
        <w:t xml:space="preserve"> </w:t>
      </w:r>
      <w:r>
        <w:t xml:space="preserve">धियः । विश्वाः । वि । राजति ॥१२॥</w:t>
      </w:r>
    </w:p>
    <w:p>
      <w:pPr>
        <w:pStyle w:val="FirstParagraph"/>
      </w:pPr>
      <w:r>
        <w:rPr>
          <w:bCs/>
          <w:b/>
        </w:rPr>
        <w:t xml:space="preserve">॥ Sāyaṇa-bhāṣyam ॥</w:t>
      </w:r>
    </w:p>
    <w:p>
      <w:pPr>
        <w:pStyle w:val="BlockText"/>
      </w:pPr>
      <w:r>
        <w:t xml:space="preserve">द्विविधा हि सरस्वती विग्रहवद्देवता नदीरूपा च । तत्र पूर्वाभ्यामृग्भ्यां विग्रहवती प्रतिपादिता । अनया तु नदीरूपा प्रतिपाद्यते । तादृशी सरस्वती केतुना कर्मणा प्रवाहरूपेण महो अर्णः प्रभूतमुदकं प्र चेतयति । प्रकर्षेण ज्ञापयति । किंच । स्वकीयेन देवतारूपेण विश्वा धियः सर्वाण्यनुष्ठातृप्रज्ञानानि विराजति । विशेषेण दीपयति । अनुष्ठानविषया बुद्धिः । सर्वोत्पादयतीत्यर्थः ।</w:t>
      </w:r>
      <w:r>
        <w:t xml:space="preserve"> </w:t>
      </w:r>
      <w:r>
        <w:rPr>
          <w:iCs/>
          <w:i/>
        </w:rPr>
        <w:t xml:space="preserve">dvividhā hi sarasvatī vigrahavad-devatā nadī-rūpā ca | tatra pūrvābhyām ṛgbhyāṃ vigrahavatī pratipāditā | anayā tu nadī-rūpā pratipādyate | tādṛśī sarasvatī ketunā karmaṇā pravāha-rūpeṇa maho arṇaḥ prabhūtam udakaṃ pra cetayati | prakarṣeṇa jñāpayati | kiṃca | svakīyena devatā-rūpeṇa viśvā dhiyaḥ sarvāṇy anuṣṭhātṛ-prajñānāni virājati | viśeṣeṇa dīpayati | anuṣṭhāna-viṣayā buddhiḥ | sarvotpādayatīty arthaḥ |</w:t>
      </w:r>
    </w:p>
    <w:p>
      <w:pPr>
        <w:pStyle w:val="FirstParagraph"/>
      </w:pPr>
      <w:r>
        <w:rPr>
          <w:bCs/>
          <w:b/>
        </w:rPr>
        <w:t xml:space="preserve">Translation:</w:t>
      </w:r>
      <w:r>
        <w:t xml:space="preserve"> </w:t>
      </w:r>
      <w:r>
        <w:t xml:space="preserve">“</w:t>
      </w:r>
      <w:r>
        <w:t xml:space="preserve">Sarasvatī is indeed of two kinds: a deity with a body (a goddess), and in the form of a river. Of these, the two preceding Ṛks presented her as the embodied one; by this Ṛk she is presented in river form. Such a Sarasvatī,</w:t>
      </w:r>
      <w:r>
        <w:t xml:space="preserve"> </w:t>
      </w:r>
      <w:r>
        <w:t xml:space="preserve">‘</w:t>
      </w:r>
      <w:r>
        <w:t xml:space="preserve">ketunā</w:t>
      </w:r>
      <w:r>
        <w:t xml:space="preserve">’</w:t>
      </w:r>
      <w:r>
        <w:t xml:space="preserve"> </w:t>
      </w:r>
      <w:r>
        <w:t xml:space="preserve">— by her action, in the form of her flow — makes known (</w:t>
      </w:r>
      <w:r>
        <w:t xml:space="preserve">‘</w:t>
      </w:r>
      <w:r>
        <w:t xml:space="preserve">pra cetayati</w:t>
      </w:r>
      <w:r>
        <w:t xml:space="preserve">’</w:t>
      </w:r>
      <w:r>
        <w:t xml:space="preserve">)</w:t>
      </w:r>
      <w:r>
        <w:t xml:space="preserve"> </w:t>
      </w:r>
      <w:r>
        <w:t xml:space="preserve">‘</w:t>
      </w:r>
      <w:r>
        <w:t xml:space="preserve">maho arṇaḥ</w:t>
      </w:r>
      <w:r>
        <w:t xml:space="preserve">’</w:t>
      </w:r>
      <w:r>
        <w:t xml:space="preserve"> </w:t>
      </w:r>
      <w:r>
        <w:t xml:space="preserve">— abundant water; that is, makes it known in an eminent way. Further, by her own form as a deity she</w:t>
      </w:r>
      <w:r>
        <w:t xml:space="preserve"> </w:t>
      </w:r>
      <w:r>
        <w:t xml:space="preserve">‘</w:t>
      </w:r>
      <w:r>
        <w:t xml:space="preserve">virājati</w:t>
      </w:r>
      <w:r>
        <w:t xml:space="preserve">’</w:t>
      </w:r>
      <w:r>
        <w:t xml:space="preserve"> </w:t>
      </w:r>
      <w:r>
        <w:t xml:space="preserve">— shines forth, illumines distinctly — all</w:t>
      </w:r>
      <w:r>
        <w:t xml:space="preserve"> </w:t>
      </w:r>
      <w:r>
        <w:t xml:space="preserve">‘</w:t>
      </w:r>
      <w:r>
        <w:t xml:space="preserve">dhiyaḥ</w:t>
      </w:r>
      <w:r>
        <w:t xml:space="preserve">’</w:t>
      </w:r>
      <w:r>
        <w:t xml:space="preserve"> </w:t>
      </w:r>
      <w:r>
        <w:t xml:space="preserve">— all the understandings of the performers; the understanding concerned with performance; the sense is: she produces them all.</w:t>
      </w:r>
      <w:r>
        <w:t xml:space="preserve">”</w:t>
      </w:r>
      <w:r>
        <w:t xml:space="preserve"> </w:t>
      </w:r>
      <w:r>
        <w:rPr>
          <w:iCs/>
          <w:i/>
        </w:rPr>
        <w:t xml:space="preserve">(The final clause,</w:t>
      </w:r>
      <w:r>
        <w:rPr>
          <w:iCs/>
          <w:i/>
        </w:rPr>
        <w:t xml:space="preserve"> </w:t>
      </w:r>
      <w:r>
        <w:rPr>
          <w:iCs/>
          <w:i/>
        </w:rPr>
        <w:t xml:space="preserve">“</w:t>
      </w:r>
      <w:r>
        <w:rPr>
          <w:iCs/>
          <w:i/>
        </w:rPr>
        <w:t xml:space="preserve">sarvotpādayatīty arthaḥ,</w:t>
      </w:r>
      <w:r>
        <w:rPr>
          <w:iCs/>
          <w:i/>
        </w:rPr>
        <w:t xml:space="preserve">”</w:t>
      </w:r>
      <w:r>
        <w:rPr>
          <w:iCs/>
          <w:i/>
        </w:rPr>
        <w:t xml:space="preserve"> </w:t>
      </w:r>
      <w:r>
        <w:rPr>
          <w:iCs/>
          <w:i/>
        </w:rPr>
        <w:t xml:space="preserve">is printed as I give it; I read it as continuing the sentence, and note the sense is a little loose.)</w:t>
      </w:r>
    </w:p>
    <w:p>
      <w:pPr>
        <w:pStyle w:val="BlockText"/>
      </w:pPr>
      <w:r>
        <w:t xml:space="preserve">सरस्वत्या द्विरूपत्वं यास्को दर्शयति । तत्र सरस्वतीत्येतस्य नदीवद्देवतावच्च निगमा भवन्ति । नि. २-२३ । इति । एकशतसंख्याकेषूदकनामसु अर्णः क्षोद इति पठितम् । एतामृचं यास्को व्याचष्ट । महदर्णः सरस्वती प्रचेतयति प्रज्ञापयति केतुना कर्मणा प्रज्ञया वेमानि च सर्वाणि प्रज्ञानान्यभिविराजति । नि. ११-२१ । इति ॥</w:t>
      </w:r>
      <w:r>
        <w:t xml:space="preserve"> </w:t>
      </w:r>
      <w:r>
        <w:rPr>
          <w:iCs/>
          <w:i/>
        </w:rPr>
        <w:t xml:space="preserve">sarasvatyā dvirūpatvaṃ yāsko darśayati | tatra sarasvatīty etasya nadīvad devatāvac ca nigamā bhavanti | ni. 2-23 [?] | iti | ekaśata-saṃkhyākeṣūdaka-nāmasv arṇaḥ kṣoda iti paṭhitam | etām ṛcaṃ yāsko vyācaṣṭa | mahad arṇaḥ sarasvatī pracetayati prajñāpayati ketunā karmaṇā prajñayā vemāni ca sarvāṇi prajñānāny abhivirājati | ni. 11-27 | iti ||</w:t>
      </w:r>
    </w:p>
    <w:p>
      <w:pPr>
        <w:pStyle w:val="FirstParagraph"/>
      </w:pPr>
      <w:r>
        <w:rPr>
          <w:bCs/>
          <w:b/>
        </w:rPr>
        <w:t xml:space="preserve">Translation:</w:t>
      </w:r>
      <w:r>
        <w:t xml:space="preserve"> </w:t>
      </w:r>
      <w:r>
        <w:t xml:space="preserve">“</w:t>
      </w:r>
      <w:r>
        <w:t xml:space="preserve">Yāska shows the twofold nature of Sarasvatī:</w:t>
      </w:r>
      <w:r>
        <w:t xml:space="preserve"> </w:t>
      </w:r>
      <w:r>
        <w:t xml:space="preserve">‘</w:t>
      </w:r>
      <w:r>
        <w:rPr>
          <w:iCs/>
          <w:i/>
        </w:rPr>
        <w:t xml:space="preserve">Of this</w:t>
      </w:r>
      <w:r>
        <w:rPr>
          <w:iCs/>
          <w:i/>
        </w:rPr>
        <w:t xml:space="preserve"> </w:t>
      </w:r>
      <w:r>
        <w:rPr>
          <w:iCs/>
          <w:i/>
        </w:rPr>
        <w:t xml:space="preserve">“</w:t>
      </w:r>
      <w:r>
        <w:rPr>
          <w:iCs/>
          <w:i/>
        </w:rPr>
        <w:t xml:space="preserve">Sarasvatī</w:t>
      </w:r>
      <w:r>
        <w:rPr>
          <w:iCs/>
          <w:i/>
        </w:rPr>
        <w:t xml:space="preserve">”</w:t>
      </w:r>
      <w:r>
        <w:rPr>
          <w:iCs/>
          <w:i/>
        </w:rPr>
        <w:t xml:space="preserve"> </w:t>
      </w:r>
      <w:r>
        <w:rPr>
          <w:iCs/>
          <w:i/>
        </w:rPr>
        <w:t xml:space="preserve">the Vedic passages are both river-like and deity-like</w:t>
      </w:r>
      <w:r>
        <w:t xml:space="preserve">’</w:t>
      </w:r>
      <w:r>
        <w:t xml:space="preserve"> </w:t>
      </w:r>
      <w:r>
        <w:t xml:space="preserve">(Nirukta 2-23 [?]). Among the hundred-and-one names of water,</w:t>
      </w:r>
      <w:r>
        <w:t xml:space="preserve"> </w:t>
      </w:r>
      <w:r>
        <w:t xml:space="preserve">‘</w:t>
      </w:r>
      <w:r>
        <w:t xml:space="preserve">arṇaḥ</w:t>
      </w:r>
      <w:r>
        <w:t xml:space="preserve">’</w:t>
      </w:r>
      <w:r>
        <w:t xml:space="preserve"> </w:t>
      </w:r>
      <w:r>
        <w:t xml:space="preserve">and</w:t>
      </w:r>
      <w:r>
        <w:t xml:space="preserve"> </w:t>
      </w:r>
      <w:r>
        <w:t xml:space="preserve">‘</w:t>
      </w:r>
      <w:r>
        <w:t xml:space="preserve">kṣodaḥ</w:t>
      </w:r>
      <w:r>
        <w:t xml:space="preserve">’</w:t>
      </w:r>
      <w:r>
        <w:t xml:space="preserve"> </w:t>
      </w:r>
      <w:r>
        <w:t xml:space="preserve">are read. Yāska explains this Ṛk thus:</w:t>
      </w:r>
      <w:r>
        <w:t xml:space="preserve"> </w:t>
      </w:r>
      <w:r>
        <w:t xml:space="preserve">‘</w:t>
      </w:r>
      <w:r>
        <w:rPr>
          <w:iCs/>
          <w:i/>
        </w:rPr>
        <w:t xml:space="preserve">Sarasvatī makes known a great flood (</w:t>
      </w:r>
      <w:r>
        <w:rPr>
          <w:iCs/>
          <w:i/>
        </w:rPr>
        <w:t xml:space="preserve">“</w:t>
      </w:r>
      <w:r>
        <w:rPr>
          <w:iCs/>
          <w:i/>
        </w:rPr>
        <w:t xml:space="preserve">arṇaḥ</w:t>
      </w:r>
      <w:r>
        <w:rPr>
          <w:iCs/>
          <w:i/>
        </w:rPr>
        <w:t xml:space="preserve">”</w:t>
      </w:r>
      <w:r>
        <w:rPr>
          <w:iCs/>
          <w:i/>
        </w:rPr>
        <w:t xml:space="preserve">), by her action, and by her wisdom she shines over all these kinds of knowledge.</w:t>
      </w:r>
      <w:r>
        <w:t xml:space="preserve">’</w:t>
      </w:r>
      <w:r>
        <w:t xml:space="preserve"> </w:t>
      </w:r>
      <w:r>
        <w:t xml:space="preserve">(Nirukta 11-27).</w:t>
      </w:r>
      <w:r>
        <w:t xml:space="preserve">”</w:t>
      </w:r>
    </w:p>
    <w:p>
      <w:pPr>
        <w:pStyle w:val="BodyText"/>
      </w:pPr>
      <w:r>
        <w:rPr>
          <w:bCs/>
          <w:b/>
        </w:rPr>
        <w:t xml:space="preserve">Grammar within the Bhāṣya</w:t>
      </w:r>
      <w:r>
        <w:t xml:space="preserve"> </w:t>
      </w:r>
      <w:r>
        <w:rPr>
          <w:iCs/>
          <w:i/>
        </w:rPr>
        <w:t xml:space="preserve">(characterized, sūtras kept)</w:t>
      </w:r>
      <w:r>
        <w:t xml:space="preserve">:</w:t>
      </w:r>
      <w:r>
        <w:t xml:space="preserve"> </w:t>
      </w:r>
      <w:r>
        <w:t xml:space="preserve">“</w:t>
      </w:r>
      <w:r>
        <w:t xml:space="preserve">Mahaḥ</w:t>
      </w:r>
      <w:r>
        <w:t xml:space="preserve">”</w:t>
      </w:r>
      <w:r>
        <w:t xml:space="preserve"> </w:t>
      </w:r>
      <w:r>
        <w:t xml:space="preserve">—</w:t>
      </w:r>
      <w:r>
        <w:t xml:space="preserve"> </w:t>
      </w:r>
      <w:r>
        <w:t xml:space="preserve">“</w:t>
      </w:r>
      <w:r>
        <w:t xml:space="preserve">mahat</w:t>
      </w:r>
      <w:r>
        <w:t xml:space="preserve">”</w:t>
      </w:r>
      <w:r>
        <w:t xml:space="preserve"> </w:t>
      </w:r>
      <w:r>
        <w:t xml:space="preserve">with the final</w:t>
      </w:r>
      <w:r>
        <w:t xml:space="preserve"> </w:t>
      </w:r>
      <w:r>
        <w:t xml:space="preserve">“</w:t>
      </w:r>
      <w:r>
        <w:t xml:space="preserve">t</w:t>
      </w:r>
      <w:r>
        <w:t xml:space="preserve">”</w:t>
      </w:r>
      <w:r>
        <w:t xml:space="preserve"> </w:t>
      </w:r>
      <w:r>
        <w:t xml:space="preserve">turned into</w:t>
      </w:r>
      <w:r>
        <w:t xml:space="preserve"> </w:t>
      </w:r>
      <w:r>
        <w:t xml:space="preserve">“</w:t>
      </w:r>
      <w:r>
        <w:t xml:space="preserve">s</w:t>
      </w:r>
      <w:r>
        <w:t xml:space="preserve">”</w:t>
      </w:r>
      <w:r>
        <w:t xml:space="preserve"> </w:t>
      </w:r>
      <w:r>
        <w:t xml:space="preserve">by vyatyaya (Vedic licence), then</w:t>
      </w:r>
      <w:r>
        <w:t xml:space="preserve"> </w:t>
      </w:r>
      <w:r>
        <w:t xml:space="preserve">“</w:t>
      </w:r>
      <w:r>
        <w:t xml:space="preserve">ru</w:t>
      </w:r>
      <w:r>
        <w:t xml:space="preserve">”</w:t>
      </w:r>
      <w:r>
        <w:t xml:space="preserve"> </w:t>
      </w:r>
      <w:r>
        <w:t xml:space="preserve">→</w:t>
      </w:r>
      <w:r>
        <w:t xml:space="preserve"> </w:t>
      </w:r>
      <w:r>
        <w:t xml:space="preserve">“</w:t>
      </w:r>
      <w:r>
        <w:t xml:space="preserve">ḥ</w:t>
      </w:r>
      <w:r>
        <w:t xml:space="preserve">”</w:t>
      </w:r>
      <w:r>
        <w:t xml:space="preserve">; the accent of the bare stem falls on its last syllable.</w:t>
      </w:r>
      <w:r>
        <w:t xml:space="preserve"> </w:t>
      </w:r>
      <w:r>
        <w:rPr>
          <w:bCs/>
          <w:b/>
        </w:rPr>
        <w:t xml:space="preserve">एङः पदान्तादति</w:t>
      </w:r>
      <w:r>
        <w:t xml:space="preserve"> </w:t>
      </w:r>
      <w:r>
        <w:t xml:space="preserve">(</w:t>
      </w:r>
      <w:r>
        <w:rPr>
          <w:iCs/>
          <w:i/>
        </w:rPr>
        <w:t xml:space="preserve">eṅaḥ padāntād ati</w:t>
      </w:r>
      <w:r>
        <w:t xml:space="preserve">, पा. ६-१-१०९) would give the preceding form (</w:t>
      </w:r>
      <w:r>
        <w:t xml:space="preserve">“</w:t>
      </w:r>
      <w:r>
        <w:t xml:space="preserve">pūrvarūpa</w:t>
      </w:r>
      <w:r>
        <w:t xml:space="preserve">”</w:t>
      </w:r>
      <w:r>
        <w:t xml:space="preserve">), but by</w:t>
      </w:r>
      <w:r>
        <w:t xml:space="preserve"> </w:t>
      </w:r>
      <w:r>
        <w:rPr>
          <w:bCs/>
          <w:b/>
        </w:rPr>
        <w:t xml:space="preserve">प्रकृत्यान्तःपादमव्यपरे</w:t>
      </w:r>
      <w:r>
        <w:t xml:space="preserve"> </w:t>
      </w:r>
      <w:r>
        <w:t xml:space="preserve">(</w:t>
      </w:r>
      <w:r>
        <w:rPr>
          <w:iCs/>
          <w:i/>
        </w:rPr>
        <w:t xml:space="preserve">prakṛtyāntaḥpādam avyapare</w:t>
      </w:r>
      <w:r>
        <w:t xml:space="preserve">, पा. ६-१-११५) the natural form is retained within the pāda.</w:t>
      </w:r>
      <w:r>
        <w:t xml:space="preserve"> </w:t>
      </w:r>
      <w:r>
        <w:t xml:space="preserve">“</w:t>
      </w:r>
      <w:r>
        <w:t xml:space="preserve">Arṇaḥ</w:t>
      </w:r>
      <w:r>
        <w:t xml:space="preserve">”</w:t>
      </w:r>
      <w:r>
        <w:t xml:space="preserve"> </w:t>
      </w:r>
      <w:r>
        <w:t xml:space="preserve">— from</w:t>
      </w:r>
      <w:r>
        <w:t xml:space="preserve"> </w:t>
      </w:r>
      <w:r>
        <w:t xml:space="preserve">“</w:t>
      </w:r>
      <w:r>
        <w:t xml:space="preserve">ṛ,</w:t>
      </w:r>
      <w:r>
        <w:t xml:space="preserve">”</w:t>
      </w:r>
      <w:r>
        <w:t xml:space="preserve"> </w:t>
      </w:r>
      <w:r>
        <w:t xml:space="preserve">the Uṇādi affix</w:t>
      </w:r>
      <w:r>
        <w:t xml:space="preserve"> </w:t>
      </w:r>
      <w:r>
        <w:t xml:space="preserve">“</w:t>
      </w:r>
      <w:r>
        <w:t xml:space="preserve">asun</w:t>
      </w:r>
      <w:r>
        <w:t xml:space="preserve">”</w:t>
      </w:r>
      <w:r>
        <w:t xml:space="preserve"> </w:t>
      </w:r>
      <w:r>
        <w:t xml:space="preserve">(उ. ४-१९६), with the augment</w:t>
      </w:r>
      <w:r>
        <w:t xml:space="preserve"> </w:t>
      </w:r>
      <w:r>
        <w:t xml:space="preserve">“</w:t>
      </w:r>
      <w:r>
        <w:t xml:space="preserve">nuṭ,</w:t>
      </w:r>
      <w:r>
        <w:t xml:space="preserve">”</w:t>
      </w:r>
      <w:r>
        <w:t xml:space="preserve"> </w:t>
      </w:r>
      <w:r>
        <w:t xml:space="preserve">and</w:t>
      </w:r>
      <w:r>
        <w:t xml:space="preserve"> </w:t>
      </w:r>
      <w:r>
        <w:t xml:space="preserve">“</w:t>
      </w:r>
      <w:r>
        <w:t xml:space="preserve">ṛ</w:t>
      </w:r>
      <w:r>
        <w:t xml:space="preserve">”</w:t>
      </w:r>
      <w:r>
        <w:t xml:space="preserve"> </w:t>
      </w:r>
      <w:r>
        <w:t xml:space="preserve">taking guṇa.</w:t>
      </w:r>
      <w:r>
        <w:t xml:space="preserve"> </w:t>
      </w:r>
      <w:r>
        <w:t xml:space="preserve">“</w:t>
      </w:r>
      <w:r>
        <w:t xml:space="preserve">Ketunā</w:t>
      </w:r>
      <w:r>
        <w:t xml:space="preserve">”</w:t>
      </w:r>
      <w:r>
        <w:t xml:space="preserve"> </w:t>
      </w:r>
      <w:r>
        <w:t xml:space="preserve">— the accent of the bare stem is on the last syllable.</w:t>
      </w:r>
      <w:r>
        <w:t xml:space="preserve"> </w:t>
      </w:r>
      <w:r>
        <w:t xml:space="preserve">“</w:t>
      </w:r>
      <w:r>
        <w:t xml:space="preserve">Viśvāḥ</w:t>
      </w:r>
      <w:r>
        <w:t xml:space="preserve">”</w:t>
      </w:r>
      <w:r>
        <w:t xml:space="preserve"> </w:t>
      </w:r>
      <w:r>
        <w:t xml:space="preserve">—</w:t>
      </w:r>
      <w:r>
        <w:t xml:space="preserve"> </w:t>
      </w:r>
      <w:r>
        <w:t xml:space="preserve">“</w:t>
      </w:r>
      <w:r>
        <w:t xml:space="preserve">viśva</w:t>
      </w:r>
      <w:r>
        <w:t xml:space="preserve">”</w:t>
      </w:r>
      <w:r>
        <w:t xml:space="preserve"> </w:t>
      </w:r>
      <w:r>
        <w:t xml:space="preserve">has the first syllable acute, as it ends in the affix</w:t>
      </w:r>
      <w:r>
        <w:t xml:space="preserve"> </w:t>
      </w:r>
      <w:r>
        <w:t xml:space="preserve">“</w:t>
      </w:r>
      <w:r>
        <w:t xml:space="preserve">kvan</w:t>
      </w:r>
      <w:r>
        <w:t xml:space="preserve">”</w:t>
      </w:r>
      <w:r>
        <w:t xml:space="preserve"> </w:t>
      </w:r>
      <w:r>
        <w:t xml:space="preserve">(</w:t>
      </w:r>
      <w:r>
        <w:rPr>
          <w:bCs/>
          <w:b/>
        </w:rPr>
        <w:t xml:space="preserve">क्वन्</w:t>
      </w:r>
      <w:r>
        <w:t xml:space="preserve"> </w:t>
      </w:r>
      <w:r>
        <w:t xml:space="preserve">[?]).</w:t>
      </w:r>
      <w:r>
        <w:t xml:space="preserve"> </w:t>
      </w:r>
      <w:r>
        <w:rPr>
          <w:iCs/>
          <w:i/>
        </w:rPr>
        <w:t xml:space="preserve">(The print here closes the Bhāṣya with the marks</w:t>
      </w:r>
      <w:r>
        <w:rPr>
          <w:iCs/>
          <w:i/>
        </w:rPr>
        <w:t xml:space="preserve"> </w:t>
      </w:r>
      <w:r>
        <w:rPr>
          <w:iCs/>
          <w:i/>
        </w:rPr>
        <w:t xml:space="preserve">“</w:t>
      </w:r>
      <w:r>
        <w:rPr>
          <w:iCs/>
          <w:i/>
        </w:rPr>
        <w:t xml:space="preserve">॥ ६ ॥ ॥ १ ॥</w:t>
      </w:r>
      <w:r>
        <w:rPr>
          <w:iCs/>
          <w:i/>
        </w:rPr>
        <w:t xml:space="preserve">”</w:t>
      </w:r>
      <w:r>
        <w:rPr>
          <w:iCs/>
          <w:i/>
        </w:rPr>
        <w:t xml:space="preserve"> </w:t>
      </w:r>
      <w:r>
        <w:rPr>
          <w:iCs/>
          <w:i/>
        </w:rPr>
        <w:t xml:space="preserve">— I read these as the varga-end marks; the verse-number ॥१२॥ itself is printed at the end of the grammar on p. 85.)</w:t>
      </w:r>
    </w:p>
    <w:p>
      <w:pPr>
        <w:pStyle w:val="BodyText"/>
      </w:pPr>
      <w:r>
        <w:rPr>
          <w:bCs/>
          <w:b/>
        </w:rPr>
        <w:t xml:space="preserve">॥ Prati-padārthaḥ ॥</w:t>
      </w:r>
      <w:r>
        <w:t xml:space="preserve"> </w:t>
      </w:r>
      <w:r>
        <w:rPr>
          <w:iCs/>
          <w:i/>
        </w:rPr>
        <w:t xml:space="preserve">(Kannada, translated)</w:t>
      </w:r>
    </w:p>
    <w:p>
      <w:pPr>
        <w:pStyle w:val="BodyText"/>
      </w:pPr>
      <w:r>
        <w:rPr>
          <w:bCs/>
          <w:b/>
        </w:rPr>
        <w:t xml:space="preserve">सरस्वती (sarasvatī)</w:t>
      </w:r>
      <w:r>
        <w:t xml:space="preserve"> </w:t>
      </w:r>
      <w:r>
        <w:t xml:space="preserve">— the river Sarasvatī |</w:t>
      </w:r>
      <w:r>
        <w:t xml:space="preserve"> </w:t>
      </w:r>
      <w:r>
        <w:rPr>
          <w:bCs/>
          <w:b/>
        </w:rPr>
        <w:t xml:space="preserve">केतुना (ketunā)</w:t>
      </w:r>
      <w:r>
        <w:t xml:space="preserve"> </w:t>
      </w:r>
      <w:r>
        <w:t xml:space="preserve">— by an action in the form of flowing (by flowing) |</w:t>
      </w:r>
      <w:r>
        <w:t xml:space="preserve"> </w:t>
      </w:r>
      <w:r>
        <w:rPr>
          <w:bCs/>
          <w:b/>
        </w:rPr>
        <w:t xml:space="preserve">महो अर्णः (maho arṇaḥ)</w:t>
      </w:r>
      <w:r>
        <w:t xml:space="preserve"> </w:t>
      </w:r>
      <w:r>
        <w:t xml:space="preserve">— very abundant water |</w:t>
      </w:r>
      <w:r>
        <w:t xml:space="preserve"> </w:t>
      </w:r>
      <w:r>
        <w:rPr>
          <w:bCs/>
          <w:b/>
        </w:rPr>
        <w:t xml:space="preserve">प्र चेतयति (pra cetayati)</w:t>
      </w:r>
      <w:r>
        <w:t xml:space="preserve"> </w:t>
      </w:r>
      <w:r>
        <w:t xml:space="preserve">— makes known in an eminent way |</w:t>
      </w:r>
      <w:r>
        <w:t xml:space="preserve"> </w:t>
      </w:r>
      <w:r>
        <w:rPr>
          <w:bCs/>
          <w:b/>
        </w:rPr>
        <w:t xml:space="preserve">(और) विश्वाः धियः (viśvāḥ dhiyaḥ)</w:t>
      </w:r>
      <w:r>
        <w:t xml:space="preserve"> </w:t>
      </w:r>
      <w:r>
        <w:t xml:space="preserve">— (and) the understanding (the wisdom) of all people (devoted to sacrifice and rites) |</w:t>
      </w:r>
      <w:r>
        <w:t xml:space="preserve"> </w:t>
      </w:r>
      <w:r>
        <w:rPr>
          <w:bCs/>
          <w:b/>
        </w:rPr>
        <w:t xml:space="preserve">वि राजति (vi rājati)</w:t>
      </w:r>
      <w:r>
        <w:t xml:space="preserve"> </w:t>
      </w:r>
      <w:r>
        <w:t xml:space="preserve">— illumines.</w:t>
      </w:r>
    </w:p>
    <w:bookmarkEnd w:id="112"/>
    <w:bookmarkStart w:id="113" w:name="Xe792656f93248d1c39d6067388e9db3abe552b1"/>
    <w:p>
      <w:pPr>
        <w:pStyle w:val="Heading3"/>
      </w:pPr>
      <w:r>
        <w:t xml:space="preserve">Page 84 — Rik 3.12: Bhāvārtha, English rendering; Special topics (opening)</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1, Sūkta 3.</w:t>
      </w:r>
      <w:r>
        <w:rPr>
          <w:iCs/>
          <w:i/>
        </w:rPr>
        <w:t xml:space="preserve">”</w:t>
      </w:r>
      <w:r>
        <w:rPr>
          <w:iCs/>
          <w:i/>
        </w:rPr>
        <w:t xml:space="preserve"> </w:t>
      </w:r>
      <w:r>
        <w:rPr>
          <w:iCs/>
          <w:i/>
        </w:rPr>
        <w:t xml:space="preserve">English as printed in the source.)</w:t>
      </w:r>
    </w:p>
    <w:p>
      <w:pPr>
        <w:pStyle w:val="BodyText"/>
      </w:pPr>
      <w:r>
        <w:rPr>
          <w:bCs/>
          <w:b/>
        </w:rPr>
        <w:t xml:space="preserve">॥ Bhāvārthaḥ ॥</w:t>
      </w:r>
      <w:r>
        <w:t xml:space="preserve"> </w:t>
      </w:r>
      <w:r>
        <w:rPr>
          <w:iCs/>
          <w:i/>
        </w:rPr>
        <w:t xml:space="preserve">(Kannada, translated)</w:t>
      </w:r>
    </w:p>
    <w:p>
      <w:pPr>
        <w:pStyle w:val="BodyText"/>
      </w:pPr>
      <w:r>
        <w:t xml:space="preserve">Since the river Sarasvatī flows with a very deep current, there is a great deal of water in this river; and this goddess also illumines the minds of those who praise her or who worship her by sacrifice — that is, she impels people’s understanding so that it becomes keen.</w:t>
      </w:r>
    </w:p>
    <w:p>
      <w:pPr>
        <w:pStyle w:val="BodyText"/>
      </w:pPr>
      <w:r>
        <w:rPr>
          <w:bCs/>
          <w:b/>
        </w:rPr>
        <w:t xml:space="preserve">English Translation</w:t>
      </w:r>
      <w:r>
        <w:t xml:space="preserve"> </w:t>
      </w:r>
      <w:r>
        <w:rPr>
          <w:iCs/>
          <w:i/>
        </w:rPr>
        <w:t xml:space="preserve">(printed in English in the source itself):</w:t>
      </w:r>
    </w:p>
    <w:p>
      <w:pPr>
        <w:pStyle w:val="BodyText"/>
      </w:pPr>
      <w:r>
        <w:t xml:space="preserve">“</w:t>
      </w:r>
      <w:r>
        <w:t xml:space="preserve">Saraswati (river) manifests herself by her acts (flowing) as a mighty river and (in her own form) enlightens peoples’s [sic] minds.</w:t>
      </w:r>
      <w:r>
        <w:t xml:space="preserve">”</w:t>
      </w:r>
    </w:p>
    <w:p>
      <w:pPr>
        <w:pStyle w:val="BodyText"/>
      </w:pPr>
      <w:r>
        <w:rPr>
          <w:bCs/>
          <w:b/>
        </w:rPr>
        <w:t xml:space="preserve">॥ Viśeṣa-viṣayagaḷu (Special Topics) ॥</w:t>
      </w:r>
    </w:p>
    <w:p>
      <w:pPr>
        <w:pStyle w:val="BodyText"/>
      </w:pPr>
      <w:r>
        <w:t xml:space="preserve">This mantra is used in the sacrifice called</w:t>
      </w:r>
      <w:r>
        <w:t xml:space="preserve"> </w:t>
      </w:r>
      <w:r>
        <w:rPr>
          <w:bCs/>
          <w:b/>
        </w:rPr>
        <w:t xml:space="preserve">Sautrāmaṇī</w:t>
      </w:r>
      <w:r>
        <w:t xml:space="preserve">, for praising Sarasvatī. Yāska has explained this Ṛk in his Nirukta as follows —</w:t>
      </w:r>
      <w:r>
        <w:t xml:space="preserve"> </w:t>
      </w:r>
      <w:r>
        <w:t xml:space="preserve">“</w:t>
      </w:r>
      <w:r>
        <w:rPr>
          <w:iCs/>
          <w:i/>
        </w:rPr>
        <w:t xml:space="preserve">mahad arṇaḥ sarasvatī pracetayati prajñāpayati ketunā karmaṇā prajñayā vemāni ca sarvāṇi prajñānāny abhivirājati</w:t>
      </w:r>
      <w:r>
        <w:t xml:space="preserve">”</w:t>
      </w:r>
      <w:r>
        <w:t xml:space="preserve"> </w:t>
      </w:r>
      <w:r>
        <w:t xml:space="preserve">(महदर्णः सरस्वती प्रचेतयति प्रज्ञापयति केतुना कर्मणा प्रज्ञया वेमानि च सर्वाणि प्रज्ञानान्यभिविराजति — Ni. 11-27). Both the river form and the form of the goddess of speech of Sarasvatī Yāska states in the passage</w:t>
      </w:r>
      <w:r>
        <w:t xml:space="preserve"> </w:t>
      </w:r>
      <w:r>
        <w:t xml:space="preserve">“</w:t>
      </w:r>
      <w:r>
        <w:rPr>
          <w:iCs/>
          <w:i/>
        </w:rPr>
        <w:t xml:space="preserve">tatra sarasvatīty etasya nadīvad devatāvac ca nigamā bhavanti</w:t>
      </w:r>
      <w:r>
        <w:t xml:space="preserve">”</w:t>
      </w:r>
      <w:r>
        <w:t xml:space="preserve"> </w:t>
      </w:r>
      <w:r>
        <w:t xml:space="preserve">(तत्र सरस्वतीत्येतस्य नदीवद्देवतावच्च निगमा भवन्ति — Ni. 2-23). In this Ṛk, in the first half — that is, in the first two pādas — Sarasvatī is regarded and praised as being of river form, and in the third pāda as being of the form of a deity.</w:t>
      </w:r>
    </w:p>
    <w:p>
      <w:pPr>
        <w:pStyle w:val="BodyText"/>
      </w:pPr>
      <w:r>
        <w:rPr>
          <w:bCs/>
          <w:b/>
        </w:rPr>
        <w:t xml:space="preserve">महो अर्णः (maho arṇaḥ)</w:t>
      </w:r>
      <w:r>
        <w:t xml:space="preserve"> </w:t>
      </w:r>
      <w:r>
        <w:t xml:space="preserve">— The word</w:t>
      </w:r>
      <w:r>
        <w:t xml:space="preserve"> </w:t>
      </w:r>
      <w:r>
        <w:t xml:space="preserve">“</w:t>
      </w:r>
      <w:r>
        <w:t xml:space="preserve">arṇa</w:t>
      </w:r>
      <w:r>
        <w:t xml:space="preserve">”</w:t>
      </w:r>
      <w:r>
        <w:t xml:space="preserve"> </w:t>
      </w:r>
      <w:r>
        <w:t xml:space="preserve">is read among the hundred-and-one [print:</w:t>
      </w:r>
      <w:r>
        <w:t xml:space="preserve"> </w:t>
      </w:r>
      <w:r>
        <w:t xml:space="preserve">“</w:t>
      </w:r>
      <w:r>
        <w:t xml:space="preserve">101</w:t>
      </w:r>
      <w:r>
        <w:t xml:space="preserve">”</w:t>
      </w:r>
      <w:r>
        <w:t xml:space="preserve">] names that indicate water.</w:t>
      </w:r>
      <w:r>
        <w:t xml:space="preserve"> </w:t>
      </w:r>
      <w:r>
        <w:t xml:space="preserve">“</w:t>
      </w:r>
      <w:r>
        <w:t xml:space="preserve">Arṇa</w:t>
      </w:r>
      <w:r>
        <w:t xml:space="preserve">”</w:t>
      </w:r>
      <w:r>
        <w:t xml:space="preserve"> </w:t>
      </w:r>
      <w:r>
        <w:t xml:space="preserve">means</w:t>
      </w:r>
      <w:r>
        <w:t xml:space="preserve"> </w:t>
      </w:r>
      <w:r>
        <w:t xml:space="preserve">“</w:t>
      </w:r>
      <w:r>
        <w:t xml:space="preserve">water</w:t>
      </w:r>
      <w:r>
        <w:t xml:space="preserve">”</w:t>
      </w:r>
      <w:r>
        <w:t xml:space="preserve"> </w:t>
      </w:r>
      <w:r>
        <w:t xml:space="preserve">and also</w:t>
      </w:r>
      <w:r>
        <w:t xml:space="preserve"> </w:t>
      </w:r>
      <w:r>
        <w:t xml:space="preserve">“</w:t>
      </w:r>
      <w:r>
        <w:t xml:space="preserve">river.</w:t>
      </w:r>
      <w:r>
        <w:t xml:space="preserve">”</w:t>
      </w:r>
      <w:r>
        <w:t xml:space="preserve"> </w:t>
      </w:r>
      <w:r>
        <w:t xml:space="preserve">Here, although the river Sarasvatī was not a large river like the Sindhu and others, the praise of her as</w:t>
      </w:r>
      <w:r>
        <w:t xml:space="preserve"> </w:t>
      </w:r>
      <w:r>
        <w:t xml:space="preserve">“</w:t>
      </w:r>
      <w:r>
        <w:t xml:space="preserve">maho arṇaḥ</w:t>
      </w:r>
      <w:r>
        <w:t xml:space="preserve">”</w:t>
      </w:r>
      <w:r>
        <w:t xml:space="preserve"> </w:t>
      </w:r>
      <w:r>
        <w:t xml:space="preserve">— a big river with abundant floods — is right, we may say: for when one is praising, it is customary in the world to magnify and extol even a little of the quality that a deity has; moreover, the ṛṣi of this Ṛk, Madhucchanda, may have seen no large rivers such as the Sindhu, being far from them. It is therefore natural that he praises this river as a very large river, with abundant water in it.</w:t>
      </w:r>
    </w:p>
    <w:p>
      <w:pPr>
        <w:pStyle w:val="BodyText"/>
      </w:pPr>
      <w:r>
        <w:rPr>
          <w:bCs/>
          <w:b/>
        </w:rPr>
        <w:t xml:space="preserve">केतुना (ketunā)</w:t>
      </w:r>
      <w:r>
        <w:t xml:space="preserve"> </w:t>
      </w:r>
      <w:r>
        <w:t xml:space="preserve">— The Bhāṣyakāra and Yāska both explain this as</w:t>
      </w:r>
      <w:r>
        <w:t xml:space="preserve"> </w:t>
      </w:r>
      <w:r>
        <w:t xml:space="preserve">“</w:t>
      </w:r>
      <w:r>
        <w:t xml:space="preserve">karmaṇā</w:t>
      </w:r>
      <w:r>
        <w:t xml:space="preserve">”</w:t>
      </w:r>
      <w:r>
        <w:t xml:space="preserve"> </w:t>
      </w:r>
      <w:r>
        <w:t xml:space="preserve">—</w:t>
      </w:r>
      <w:r>
        <w:t xml:space="preserve"> </w:t>
      </w:r>
      <w:r>
        <w:t xml:space="preserve">“</w:t>
      </w:r>
      <w:r>
        <w:t xml:space="preserve">by action.</w:t>
      </w:r>
      <w:r>
        <w:t xml:space="preserve">”</w:t>
      </w:r>
      <w:r>
        <w:t xml:space="preserve"> </w:t>
      </w:r>
      <w:r>
        <w:t xml:space="preserve">When it is explained as relating to the river,</w:t>
      </w:r>
      <w:r>
        <w:t xml:space="preserve"> </w:t>
      </w:r>
      <w:r>
        <w:t xml:space="preserve">“</w:t>
      </w:r>
      <w:r>
        <w:t xml:space="preserve">ketunā</w:t>
      </w:r>
      <w:r>
        <w:t xml:space="preserve">”</w:t>
      </w:r>
      <w:r>
        <w:t xml:space="preserve"> </w:t>
      </w:r>
      <w:r>
        <w:t xml:space="preserve">means</w:t>
      </w:r>
      <w:r>
        <w:t xml:space="preserve"> </w:t>
      </w:r>
      <w:r>
        <w:t xml:space="preserve">“</w:t>
      </w:r>
      <w:r>
        <w:t xml:space="preserve">by the flow (of the nature of a figure of speech, rūpaka-karma),</w:t>
      </w:r>
      <w:r>
        <w:t xml:space="preserve">”</w:t>
      </w:r>
      <w:r>
        <w:t xml:space="preserve"> </w:t>
      </w:r>
      <w:r>
        <w:t xml:space="preserve">so deep and so abundant; and when explained as relating to the deity, it may mean</w:t>
      </w:r>
      <w:r>
        <w:t xml:space="preserve"> </w:t>
      </w:r>
      <w:r>
        <w:t xml:space="preserve">“</w:t>
      </w:r>
      <w:r>
        <w:t xml:space="preserve">by the action that stirs (impels) the minds of people.</w:t>
      </w:r>
      <w:r>
        <w:t xml:space="preserve">”</w:t>
      </w:r>
      <w:r>
        <w:t xml:space="preserve"> </w:t>
      </w:r>
      <w:r>
        <w:t xml:space="preserve">The deep, endless and impetuous flood of the river Sarasvatī (the source’s English:</w:t>
      </w:r>
      <w:r>
        <w:t xml:space="preserve"> </w:t>
      </w:r>
      <w:r>
        <w:t xml:space="preserve">“</w:t>
      </w:r>
      <w:r>
        <w:t xml:space="preserve">Saraswati’s mighty, endless and impetuous flood</w:t>
      </w:r>
      <w:r>
        <w:t xml:space="preserve">”</w:t>
      </w:r>
      <w:r>
        <w:t xml:space="preserve">) is described in many mantras, such as Ṛ. Saṃ. 6-6[?]-1[?] [?]. For this word Western scholars give</w:t>
      </w:r>
      <w:r>
        <w:t xml:space="preserve"> </w:t>
      </w:r>
      <w:r>
        <w:rPr>
          <w:iCs/>
          <w:i/>
        </w:rPr>
        <w:t xml:space="preserve">(English as printed)</w:t>
      </w:r>
      <w:r>
        <w:t xml:space="preserve"> </w:t>
      </w:r>
      <w:r>
        <w:t xml:space="preserve">“</w:t>
      </w:r>
      <w:r>
        <w:t xml:space="preserve">Brightness, banner, flag, activity, wisdom.</w:t>
      </w:r>
      <w:r>
        <w:t xml:space="preserve">”</w:t>
      </w:r>
      <w:r>
        <w:t xml:space="preserve"> </w:t>
      </w:r>
      <w:r>
        <w:rPr>
          <w:bCs/>
          <w:b/>
        </w:rPr>
        <w:t xml:space="preserve">Skandasvāmī</w:t>
      </w:r>
      <w:r>
        <w:t xml:space="preserve"> </w:t>
      </w:r>
      <w:r>
        <w:t xml:space="preserve">gives for</w:t>
      </w:r>
      <w:r>
        <w:t xml:space="preserve"> </w:t>
      </w:r>
      <w:r>
        <w:t xml:space="preserve">“</w:t>
      </w:r>
      <w:r>
        <w:t xml:space="preserve">ketunā</w:t>
      </w:r>
      <w:r>
        <w:t xml:space="preserve">”</w:t>
      </w:r>
      <w:r>
        <w:t xml:space="preserve"> </w:t>
      </w:r>
      <w:r>
        <w:t xml:space="preserve">…</w:t>
      </w:r>
      <w:r>
        <w:t xml:space="preserve"> </w:t>
      </w:r>
      <w:r>
        <w:t xml:space="preserve">“</w:t>
      </w:r>
      <w:r>
        <w:t xml:space="preserve">by the action that is of the nature of a roar (garjanā)…</w:t>
      </w:r>
      <w:r>
        <w:t xml:space="preserve">”</w:t>
      </w:r>
      <w:r>
        <w:t xml:space="preserve"> </w:t>
      </w:r>
      <w:r>
        <w:rPr>
          <w:iCs/>
          <w:i/>
        </w:rPr>
        <w:t xml:space="preserve">(continues on the next page)</w:t>
      </w:r>
    </w:p>
    <w:bookmarkEnd w:id="113"/>
    <w:bookmarkStart w:id="114" w:name="X308b5fef6e2ccd839222c9a29728b8f57892ae3"/>
    <w:p>
      <w:pPr>
        <w:pStyle w:val="Heading3"/>
      </w:pPr>
      <w:r>
        <w:t xml:space="preserve">Page 85 — Special topics on Rik 3.12 (concluded); Vyākaraṇa-prakriyā; end of Sūkta 3</w:t>
      </w:r>
    </w:p>
    <w:p>
      <w:pPr>
        <w:pStyle w:val="FirstParagraph"/>
      </w:pPr>
      <w:r>
        <w:rPr>
          <w:iCs/>
          <w:i/>
        </w:rPr>
        <w:t xml:space="preserve">(Page header:</w:t>
      </w:r>
      <w:r>
        <w:rPr>
          <w:iCs/>
          <w:i/>
        </w:rPr>
        <w:t xml:space="preserve"> </w:t>
      </w:r>
      <w:r>
        <w:rPr>
          <w:iCs/>
          <w:i/>
        </w:rPr>
        <w:t xml:space="preserve">“</w:t>
      </w:r>
      <w:r>
        <w:rPr>
          <w:iCs/>
          <w:i/>
        </w:rPr>
        <w:t xml:space="preserve">Aṣṭaka 1, Adhyāya 1, Varga 6 · Ṛgveda-saṃhitā.</w:t>
      </w:r>
      <w:r>
        <w:rPr>
          <w:iCs/>
          <w:i/>
        </w:rPr>
        <w:t xml:space="preserve">”</w:t>
      </w:r>
      <w:r>
        <w:rPr>
          <w:iCs/>
          <w:i/>
        </w:rPr>
        <w:t xml:space="preserve"> </w:t>
      </w:r>
      <w:r>
        <w:rPr>
          <w:iCs/>
          <w:i/>
        </w:rPr>
        <w:t xml:space="preserve">Grammar characterized, sūtras kept.)</w:t>
      </w:r>
    </w:p>
    <w:p>
      <w:pPr>
        <w:pStyle w:val="BodyText"/>
      </w:pPr>
      <w:r>
        <w:rPr>
          <w:iCs/>
          <w:i/>
        </w:rPr>
        <w:t xml:space="preserve">(Continuing</w:t>
      </w:r>
      <w:r>
        <w:rPr>
          <w:iCs/>
          <w:i/>
        </w:rPr>
        <w:t xml:space="preserve"> </w:t>
      </w:r>
      <w:r>
        <w:rPr>
          <w:iCs/>
          <w:i/>
        </w:rPr>
        <w:t xml:space="preserve">“</w:t>
      </w:r>
      <w:r>
        <w:rPr>
          <w:iCs/>
          <w:i/>
        </w:rPr>
        <w:t xml:space="preserve">ketunā</w:t>
      </w:r>
      <w:r>
        <w:rPr>
          <w:iCs/>
          <w:i/>
        </w:rPr>
        <w:t xml:space="preserve">”</w:t>
      </w:r>
      <w:r>
        <w:rPr>
          <w:iCs/>
          <w:i/>
        </w:rPr>
        <w:t xml:space="preserve"> </w:t>
      </w:r>
      <w:r>
        <w:rPr>
          <w:iCs/>
          <w:i/>
        </w:rPr>
        <w:t xml:space="preserve">from p. 84:)</w:t>
      </w:r>
      <w:r>
        <w:t xml:space="preserve"> </w:t>
      </w:r>
      <w:r>
        <w:t xml:space="preserve">…Skandasvāmī, that is, explains</w:t>
      </w:r>
      <w:r>
        <w:t xml:space="preserve"> </w:t>
      </w:r>
      <w:r>
        <w:t xml:space="preserve">“</w:t>
      </w:r>
      <w:r>
        <w:t xml:space="preserve">ketunā</w:t>
      </w:r>
      <w:r>
        <w:t xml:space="preserve">”</w:t>
      </w:r>
      <w:r>
        <w:t xml:space="preserve"> </w:t>
      </w:r>
      <w:r>
        <w:t xml:space="preserve">as</w:t>
      </w:r>
      <w:r>
        <w:t xml:space="preserve"> </w:t>
      </w:r>
      <w:r>
        <w:t xml:space="preserve">“</w:t>
      </w:r>
      <w:r>
        <w:t xml:space="preserve">by the action of roaring</w:t>
      </w:r>
      <w:r>
        <w:t xml:space="preserve">”</w:t>
      </w:r>
      <w:r>
        <w:t xml:space="preserve">;</w:t>
      </w:r>
      <w:r>
        <w:t xml:space="preserve"> </w:t>
      </w:r>
      <w:r>
        <w:rPr>
          <w:bCs/>
          <w:b/>
        </w:rPr>
        <w:t xml:space="preserve">Yāska</w:t>
      </w:r>
      <w:r>
        <w:t xml:space="preserve"> </w:t>
      </w:r>
      <w:r>
        <w:t xml:space="preserve">explains it as</w:t>
      </w:r>
      <w:r>
        <w:t xml:space="preserve"> </w:t>
      </w:r>
      <w:r>
        <w:t xml:space="preserve">“</w:t>
      </w:r>
      <w:r>
        <w:rPr>
          <w:bCs/>
          <w:b/>
        </w:rPr>
        <w:t xml:space="preserve">karmaṇā prajñayā vā</w:t>
      </w:r>
      <w:r>
        <w:t xml:space="preserve">”</w:t>
      </w:r>
      <w:r>
        <w:t xml:space="preserve"> </w:t>
      </w:r>
      <w:r>
        <w:t xml:space="preserve">(</w:t>
      </w:r>
      <w:r>
        <w:t xml:space="preserve">“</w:t>
      </w:r>
      <w:r>
        <w:t xml:space="preserve">by action, or by wisdom</w:t>
      </w:r>
      <w:r>
        <w:t xml:space="preserve">”</w:t>
      </w:r>
      <w:r>
        <w:t xml:space="preserve">). The view of</w:t>
      </w:r>
      <w:r>
        <w:t xml:space="preserve"> </w:t>
      </w:r>
      <w:r>
        <w:rPr>
          <w:bCs/>
          <w:b/>
        </w:rPr>
        <w:t xml:space="preserve">Uvvaṭa</w:t>
      </w:r>
      <w:r>
        <w:t xml:space="preserve"> </w:t>
      </w:r>
      <w:r>
        <w:t xml:space="preserve">and</w:t>
      </w:r>
      <w:r>
        <w:t xml:space="preserve"> </w:t>
      </w:r>
      <w:r>
        <w:rPr>
          <w:bCs/>
          <w:b/>
        </w:rPr>
        <w:t xml:space="preserve">Mahīdhara</w:t>
      </w:r>
      <w:r>
        <w:t xml:space="preserve"> </w:t>
      </w:r>
      <w:r>
        <w:t xml:space="preserve">is the same as Skandasvāmī’s.</w:t>
      </w:r>
      <w:r>
        <w:t xml:space="preserve"> </w:t>
      </w:r>
      <w:r>
        <w:rPr>
          <w:bCs/>
          <w:b/>
        </w:rPr>
        <w:t xml:space="preserve">Veṅkaṭamādhava</w:t>
      </w:r>
      <w:r>
        <w:t xml:space="preserve"> </w:t>
      </w:r>
      <w:r>
        <w:t xml:space="preserve">gives for</w:t>
      </w:r>
      <w:r>
        <w:t xml:space="preserve"> </w:t>
      </w:r>
      <w:r>
        <w:t xml:space="preserve">“</w:t>
      </w:r>
      <w:r>
        <w:t xml:space="preserve">ketunā</w:t>
      </w:r>
      <w:r>
        <w:t xml:space="preserve">”</w:t>
      </w:r>
      <w:r>
        <w:t xml:space="preserve"> </w:t>
      </w:r>
      <w:r>
        <w:t xml:space="preserve">only</w:t>
      </w:r>
      <w:r>
        <w:t xml:space="preserve"> </w:t>
      </w:r>
      <w:r>
        <w:t xml:space="preserve">“</w:t>
      </w:r>
      <w:r>
        <w:rPr>
          <w:bCs/>
          <w:b/>
        </w:rPr>
        <w:t xml:space="preserve">karmaṇā</w:t>
      </w:r>
      <w:r>
        <w:t xml:space="preserve">.</w:t>
      </w:r>
      <w:r>
        <w:t xml:space="preserve">”</w:t>
      </w:r>
    </w:p>
    <w:p>
      <w:pPr>
        <w:pStyle w:val="BodyText"/>
      </w:pPr>
      <w:r>
        <w:rPr>
          <w:bCs/>
          <w:b/>
        </w:rPr>
        <w:t xml:space="preserve">धियः (dhiyaḥ)</w:t>
      </w:r>
      <w:r>
        <w:t xml:space="preserve"> </w:t>
      </w:r>
      <w:r>
        <w:t xml:space="preserve">—</w:t>
      </w:r>
      <w:r>
        <w:t xml:space="preserve"> </w:t>
      </w:r>
      <w:r>
        <w:t xml:space="preserve">“</w:t>
      </w:r>
      <w:r>
        <w:t xml:space="preserve">Buddhi, ālocanā</w:t>
      </w:r>
      <w:r>
        <w:t xml:space="preserve">”</w:t>
      </w:r>
      <w:r>
        <w:t xml:space="preserve"> </w:t>
      </w:r>
      <w:r>
        <w:t xml:space="preserve">(understanding, reflection). Yāska and Skandasvāmī (in the sense of)</w:t>
      </w:r>
      <w:r>
        <w:t xml:space="preserve"> </w:t>
      </w:r>
      <w:r>
        <w:t xml:space="preserve">“</w:t>
      </w:r>
      <w:r>
        <w:t xml:space="preserve">prajñā</w:t>
      </w:r>
      <w:r>
        <w:t xml:space="preserve">”</w:t>
      </w:r>
      <w:r>
        <w:t xml:space="preserve"> </w:t>
      </w:r>
      <w:r>
        <w:t xml:space="preserve">and</w:t>
      </w:r>
      <w:r>
        <w:t xml:space="preserve"> </w:t>
      </w:r>
      <w:r>
        <w:t xml:space="preserve">“</w:t>
      </w:r>
      <w:r>
        <w:t xml:space="preserve">karman</w:t>
      </w:r>
      <w:r>
        <w:t xml:space="preserve">”</w:t>
      </w:r>
      <w:r>
        <w:t xml:space="preserve">; Veṅkaṭamādhava,</w:t>
      </w:r>
      <w:r>
        <w:t xml:space="preserve"> </w:t>
      </w:r>
      <w:r>
        <w:t xml:space="preserve">“</w:t>
      </w:r>
      <w:r>
        <w:t xml:space="preserve">prajñā</w:t>
      </w:r>
      <w:r>
        <w:t xml:space="preserve">”</w:t>
      </w:r>
      <w:r>
        <w:t xml:space="preserve">; Uvvaṭa and Mahīdhara,</w:t>
      </w:r>
      <w:r>
        <w:t xml:space="preserve"> </w:t>
      </w:r>
      <w:r>
        <w:t xml:space="preserve">“</w:t>
      </w:r>
      <w:r>
        <w:t xml:space="preserve">buddhi.</w:t>
      </w:r>
      <w:r>
        <w:t xml:space="preserve">”</w:t>
      </w:r>
      <w:r>
        <w:t xml:space="preserve"> </w:t>
      </w:r>
      <w:r>
        <w:t xml:space="preserve">Among Western scholars,</w:t>
      </w:r>
      <w:r>
        <w:t xml:space="preserve"> </w:t>
      </w:r>
      <w:r>
        <w:rPr>
          <w:bCs/>
          <w:b/>
        </w:rPr>
        <w:t xml:space="preserve">Grassmann</w:t>
      </w:r>
      <w:r>
        <w:t xml:space="preserve"> </w:t>
      </w:r>
      <w:r>
        <w:t xml:space="preserve">gives</w:t>
      </w:r>
      <w:r>
        <w:t xml:space="preserve"> </w:t>
      </w:r>
      <w:r>
        <w:t xml:space="preserve">“</w:t>
      </w:r>
      <w:r>
        <w:t xml:space="preserve">act of devotion,</w:t>
      </w:r>
      <w:r>
        <w:t xml:space="preserve">”</w:t>
      </w:r>
      <w:r>
        <w:t xml:space="preserve"> </w:t>
      </w:r>
      <w:r>
        <w:t xml:space="preserve">and another scholar</w:t>
      </w:r>
      <w:r>
        <w:t xml:space="preserve"> </w:t>
      </w:r>
      <w:r>
        <w:rPr>
          <w:iCs/>
          <w:i/>
        </w:rPr>
        <w:t xml:space="preserve">(name not legible in the print)</w:t>
      </w:r>
      <w:r>
        <w:t xml:space="preserve"> </w:t>
      </w:r>
      <w:r>
        <w:t xml:space="preserve">“</w:t>
      </w:r>
      <w:r>
        <w:t xml:space="preserve">Devotion, thought</w:t>
      </w:r>
      <w:r>
        <w:t xml:space="preserve">”</w:t>
      </w:r>
      <w:r>
        <w:t xml:space="preserve"> </w:t>
      </w:r>
      <w:r>
        <w:rPr>
          <w:iCs/>
          <w:i/>
        </w:rPr>
        <w:t xml:space="preserve">(English as printed)</w:t>
      </w:r>
      <w:r>
        <w:t xml:space="preserve">.</w:t>
      </w:r>
    </w:p>
    <w:p>
      <w:pPr>
        <w:pStyle w:val="BodyText"/>
      </w:pPr>
      <w:r>
        <w:rPr>
          <w:bCs/>
          <w:b/>
        </w:rPr>
        <w:t xml:space="preserve">विराजति (virājati)</w:t>
      </w:r>
      <w:r>
        <w:t xml:space="preserve"> </w:t>
      </w:r>
      <w:r>
        <w:t xml:space="preserve">— The Bhāṣyakāra explains it as</w:t>
      </w:r>
      <w:r>
        <w:t xml:space="preserve"> </w:t>
      </w:r>
      <w:r>
        <w:t xml:space="preserve">“</w:t>
      </w:r>
      <w:r>
        <w:rPr>
          <w:bCs/>
          <w:b/>
        </w:rPr>
        <w:t xml:space="preserve">viśeṣeṇa dīpayati</w:t>
      </w:r>
      <w:r>
        <w:t xml:space="preserve">”</w:t>
      </w:r>
      <w:r>
        <w:t xml:space="preserve"> </w:t>
      </w:r>
      <w:r>
        <w:t xml:space="preserve">(</w:t>
      </w:r>
      <w:r>
        <w:t xml:space="preserve">“</w:t>
      </w:r>
      <w:r>
        <w:t xml:space="preserve">illumines in a special way</w:t>
      </w:r>
      <w:r>
        <w:t xml:space="preserve">”</w:t>
      </w:r>
      <w:r>
        <w:t xml:space="preserve">) — that is,</w:t>
      </w:r>
      <w:r>
        <w:t xml:space="preserve"> </w:t>
      </w:r>
      <w:r>
        <w:t xml:space="preserve">“</w:t>
      </w:r>
      <w:r>
        <w:t xml:space="preserve">causes to shine greatly, impels, kindles.</w:t>
      </w:r>
      <w:r>
        <w:t xml:space="preserve">”</w:t>
      </w:r>
      <w:r>
        <w:t xml:space="preserve"> </w:t>
      </w:r>
      <w:r>
        <w:t xml:space="preserve">For this word, which is the third person singular of the root</w:t>
      </w:r>
      <w:r>
        <w:t xml:space="preserve"> </w:t>
      </w:r>
      <w:r>
        <w:t xml:space="preserve">“</w:t>
      </w:r>
      <w:r>
        <w:t xml:space="preserve">rāj,</w:t>
      </w:r>
      <w:r>
        <w:t xml:space="preserve">”</w:t>
      </w:r>
      <w:r>
        <w:t xml:space="preserve"> </w:t>
      </w:r>
      <w:r>
        <w:t xml:space="preserve">the senses</w:t>
      </w:r>
      <w:r>
        <w:t xml:space="preserve"> </w:t>
      </w:r>
      <w:r>
        <w:t xml:space="preserve">“</w:t>
      </w:r>
      <w:r>
        <w:t xml:space="preserve">shine, preside, govern, brighten</w:t>
      </w:r>
      <w:r>
        <w:t xml:space="preserve">”</w:t>
      </w:r>
      <w:r>
        <w:t xml:space="preserve"> </w:t>
      </w:r>
      <w:r>
        <w:rPr>
          <w:iCs/>
          <w:i/>
        </w:rPr>
        <w:t xml:space="preserve">(English as printed)</w:t>
      </w:r>
      <w:r>
        <w:t xml:space="preserve"> </w:t>
      </w:r>
      <w:r>
        <w:t xml:space="preserve">may be given.</w:t>
      </w:r>
      <w:r>
        <w:t xml:space="preserve"> </w:t>
      </w:r>
      <w:r>
        <w:t xml:space="preserve">“</w:t>
      </w:r>
      <w:r>
        <w:rPr>
          <w:bCs/>
          <w:b/>
        </w:rPr>
        <w:t xml:space="preserve">Dhiyo virājati</w:t>
      </w:r>
      <w:r>
        <w:t xml:space="preserve">”</w:t>
      </w:r>
      <w:r>
        <w:t xml:space="preserve"> </w:t>
      </w:r>
      <w:r>
        <w:t xml:space="preserve">means</w:t>
      </w:r>
      <w:r>
        <w:t xml:space="preserve"> </w:t>
      </w:r>
      <w:r>
        <w:t xml:space="preserve">“</w:t>
      </w:r>
      <w:r>
        <w:t xml:space="preserve">she impels the minds to engage in good works,</w:t>
      </w:r>
      <w:r>
        <w:t xml:space="preserve">”</w:t>
      </w:r>
      <w:r>
        <w:t xml:space="preserve"> </w:t>
      </w:r>
      <w:r>
        <w:t xml:space="preserve">or</w:t>
      </w:r>
      <w:r>
        <w:t xml:space="preserve"> </w:t>
      </w:r>
      <w:r>
        <w:t xml:space="preserve">“</w:t>
      </w:r>
      <w:r>
        <w:t xml:space="preserve">she makes our minds contented.</w:t>
      </w:r>
      <w:r>
        <w:t xml:space="preserve">”</w:t>
      </w:r>
    </w:p>
    <w:p>
      <w:pPr>
        <w:pStyle w:val="BodyText"/>
      </w:pPr>
      <w:r>
        <w:rPr>
          <w:bCs/>
          <w:b/>
        </w:rPr>
        <w:t xml:space="preserve">॥ Vyākaraṇa-prakriyā ॥</w:t>
      </w:r>
      <w:r>
        <w:t xml:space="preserve"> </w:t>
      </w:r>
      <w:r>
        <w:rPr>
          <w:iCs/>
          <w:i/>
        </w:rPr>
        <w:t xml:space="preserve">(characterized, sūtras kept)</w:t>
      </w:r>
      <w:r>
        <w:t xml:space="preserve"> </w:t>
      </w:r>
      <w:r>
        <w:rPr>
          <w:bCs/>
          <w:b/>
        </w:rPr>
        <w:t xml:space="preserve">“</w:t>
      </w:r>
      <w:r>
        <w:rPr>
          <w:bCs/>
          <w:b/>
        </w:rPr>
        <w:t xml:space="preserve">Maho arṇaḥ</w:t>
      </w:r>
      <w:r>
        <w:rPr>
          <w:bCs/>
          <w:b/>
        </w:rPr>
        <w:t xml:space="preserve">”</w:t>
      </w:r>
      <w:r>
        <w:t xml:space="preserve">: the</w:t>
      </w:r>
      <w:r>
        <w:t xml:space="preserve"> </w:t>
      </w:r>
      <w:r>
        <w:t xml:space="preserve">“</w:t>
      </w:r>
      <w:r>
        <w:t xml:space="preserve">t</w:t>
      </w:r>
      <w:r>
        <w:t xml:space="preserve">”</w:t>
      </w:r>
      <w:r>
        <w:t xml:space="preserve"> </w:t>
      </w:r>
      <w:r>
        <w:t xml:space="preserve">of</w:t>
      </w:r>
      <w:r>
        <w:t xml:space="preserve"> </w:t>
      </w:r>
      <w:r>
        <w:t xml:space="preserve">“</w:t>
      </w:r>
      <w:r>
        <w:t xml:space="preserve">mahat</w:t>
      </w:r>
      <w:r>
        <w:t xml:space="preserve">”</w:t>
      </w:r>
      <w:r>
        <w:t xml:space="preserve"> </w:t>
      </w:r>
      <w:r>
        <w:t xml:space="preserve">becomes</w:t>
      </w:r>
      <w:r>
        <w:t xml:space="preserve"> </w:t>
      </w:r>
      <w:r>
        <w:t xml:space="preserve">“</w:t>
      </w:r>
      <w:r>
        <w:t xml:space="preserve">s</w:t>
      </w:r>
      <w:r>
        <w:t xml:space="preserve">”</w:t>
      </w:r>
      <w:r>
        <w:t xml:space="preserve"> </w:t>
      </w:r>
      <w:r>
        <w:t xml:space="preserve">by vyatyaya (Vedic licence); for the</w:t>
      </w:r>
      <w:r>
        <w:t xml:space="preserve"> </w:t>
      </w:r>
      <w:r>
        <w:t xml:space="preserve">“</w:t>
      </w:r>
      <w:r>
        <w:t xml:space="preserve">s,</w:t>
      </w:r>
      <w:r>
        <w:t xml:space="preserve">”</w:t>
      </w:r>
      <w:r>
        <w:t xml:space="preserve"> </w:t>
      </w:r>
      <w:r>
        <w:rPr>
          <w:bCs/>
          <w:b/>
        </w:rPr>
        <w:t xml:space="preserve">ससजुषो रुः</w:t>
      </w:r>
      <w:r>
        <w:t xml:space="preserve"> </w:t>
      </w:r>
      <w:r>
        <w:t xml:space="preserve">(</w:t>
      </w:r>
      <w:r>
        <w:rPr>
          <w:iCs/>
          <w:i/>
        </w:rPr>
        <w:t xml:space="preserve">sasajuṣo ruḥ</w:t>
      </w:r>
      <w:r>
        <w:t xml:space="preserve">, पा. ८-२-६६) gives</w:t>
      </w:r>
      <w:r>
        <w:t xml:space="preserve"> </w:t>
      </w:r>
      <w:r>
        <w:t xml:space="preserve">“</w:t>
      </w:r>
      <w:r>
        <w:t xml:space="preserve">ru</w:t>
      </w:r>
      <w:r>
        <w:t xml:space="preserve">”</w:t>
      </w:r>
      <w:r>
        <w:t xml:space="preserve">; for</w:t>
      </w:r>
      <w:r>
        <w:t xml:space="preserve"> </w:t>
      </w:r>
      <w:r>
        <w:t xml:space="preserve">“</w:t>
      </w:r>
      <w:r>
        <w:t xml:space="preserve">ru,</w:t>
      </w:r>
      <w:r>
        <w:t xml:space="preserve">”</w:t>
      </w:r>
      <w:r>
        <w:t xml:space="preserve"> </w:t>
      </w:r>
      <w:r>
        <w:rPr>
          <w:bCs/>
          <w:b/>
        </w:rPr>
        <w:t xml:space="preserve">रुग्तोरोरुप्लुतादप्लुते</w:t>
      </w:r>
      <w:r>
        <w:t xml:space="preserve"> </w:t>
      </w:r>
      <w:r>
        <w:t xml:space="preserve">(</w:t>
      </w:r>
      <w:r>
        <w:rPr>
          <w:iCs/>
          <w:i/>
        </w:rPr>
        <w:t xml:space="preserve">ato ror aplutād aplute</w:t>
      </w:r>
      <w:r>
        <w:t xml:space="preserve">, पा. ६-१-११३) gives</w:t>
      </w:r>
      <w:r>
        <w:t xml:space="preserve"> </w:t>
      </w:r>
      <w:r>
        <w:t xml:space="preserve">“</w:t>
      </w:r>
      <w:r>
        <w:t xml:space="preserve">u</w:t>
      </w:r>
      <w:r>
        <w:t xml:space="preserve">”</w:t>
      </w:r>
      <w:r>
        <w:t xml:space="preserve">;</w:t>
      </w:r>
      <w:r>
        <w:t xml:space="preserve"> </w:t>
      </w:r>
      <w:r>
        <w:t xml:space="preserve">“</w:t>
      </w:r>
      <w:r>
        <w:t xml:space="preserve">mah + u</w:t>
      </w:r>
      <w:r>
        <w:t xml:space="preserve">”</w:t>
      </w:r>
      <w:r>
        <w:t xml:space="preserve">; then</w:t>
      </w:r>
      <w:r>
        <w:t xml:space="preserve"> </w:t>
      </w:r>
      <w:r>
        <w:rPr>
          <w:bCs/>
          <w:b/>
        </w:rPr>
        <w:t xml:space="preserve">अदुग्णे</w:t>
      </w:r>
      <w:r>
        <w:t xml:space="preserve"> </w:t>
      </w:r>
      <w:r>
        <w:t xml:space="preserve">[print; I read it as the guṇa rule</w:t>
      </w:r>
      <w:r>
        <w:t xml:space="preserve"> </w:t>
      </w:r>
      <w:r>
        <w:rPr>
          <w:bCs/>
          <w:b/>
        </w:rPr>
        <w:t xml:space="preserve">आद्गुणः</w:t>
      </w:r>
      <w:r>
        <w:t xml:space="preserve"> </w:t>
      </w:r>
      <w:r>
        <w:t xml:space="preserve">(</w:t>
      </w:r>
      <w:r>
        <w:rPr>
          <w:iCs/>
          <w:i/>
        </w:rPr>
        <w:t xml:space="preserve">ād guṇaḥ</w:t>
      </w:r>
      <w:r>
        <w:t xml:space="preserve">), पा. ६-१-८७, but the print differs, and I do not alter it] gives guṇa →</w:t>
      </w:r>
      <w:r>
        <w:t xml:space="preserve"> </w:t>
      </w:r>
      <w:r>
        <w:t xml:space="preserve">“</w:t>
      </w:r>
      <w:r>
        <w:t xml:space="preserve">maho.</w:t>
      </w:r>
      <w:r>
        <w:t xml:space="preserve">”</w:t>
      </w:r>
      <w:r>
        <w:t xml:space="preserve"> </w:t>
      </w:r>
      <w:r>
        <w:t xml:space="preserve">When it joins the word</w:t>
      </w:r>
      <w:r>
        <w:t xml:space="preserve"> </w:t>
      </w:r>
      <w:r>
        <w:t xml:space="preserve">“</w:t>
      </w:r>
      <w:r>
        <w:t xml:space="preserve">arṇaḥ,</w:t>
      </w:r>
      <w:r>
        <w:t xml:space="preserve">”</w:t>
      </w:r>
      <w:r>
        <w:t xml:space="preserve"> </w:t>
      </w:r>
      <w:r>
        <w:rPr>
          <w:bCs/>
          <w:b/>
        </w:rPr>
        <w:t xml:space="preserve">एङः पदान्तादति</w:t>
      </w:r>
      <w:r>
        <w:t xml:space="preserve"> </w:t>
      </w:r>
      <w:r>
        <w:t xml:space="preserve">(पा. ६-१-१०९) would produce the preceding form, but</w:t>
      </w:r>
      <w:r>
        <w:t xml:space="preserve"> </w:t>
      </w:r>
      <w:r>
        <w:rPr>
          <w:bCs/>
          <w:b/>
        </w:rPr>
        <w:t xml:space="preserve">प्रकृत्यान्तःपादमव्यपरे</w:t>
      </w:r>
      <w:r>
        <w:t xml:space="preserve"> </w:t>
      </w:r>
      <w:r>
        <w:t xml:space="preserve">(पा. ६-१-११५) keeps the natural form for</w:t>
      </w:r>
      <w:r>
        <w:t xml:space="preserve"> </w:t>
      </w:r>
      <w:r>
        <w:t xml:space="preserve">“</w:t>
      </w:r>
      <w:r>
        <w:t xml:space="preserve">e/o</w:t>
      </w:r>
      <w:r>
        <w:t xml:space="preserve">”</w:t>
      </w:r>
      <w:r>
        <w:t xml:space="preserve"> </w:t>
      </w:r>
      <w:r>
        <w:t xml:space="preserve">at the end of a word inside a pāda, when a short</w:t>
      </w:r>
      <w:r>
        <w:t xml:space="preserve"> </w:t>
      </w:r>
      <w:r>
        <w:t xml:space="preserve">“</w:t>
      </w:r>
      <w:r>
        <w:t xml:space="preserve">a</w:t>
      </w:r>
      <w:r>
        <w:t xml:space="preserve">”</w:t>
      </w:r>
      <w:r>
        <w:t xml:space="preserve"> </w:t>
      </w:r>
      <w:r>
        <w:t xml:space="preserve">follows, and not</w:t>
      </w:r>
      <w:r>
        <w:t xml:space="preserve"> </w:t>
      </w:r>
      <w:r>
        <w:t xml:space="preserve">“</w:t>
      </w:r>
      <w:r>
        <w:t xml:space="preserve">v/y</w:t>
      </w:r>
      <w:r>
        <w:t xml:space="preserve">”</w:t>
      </w:r>
      <w:r>
        <w:t xml:space="preserve"> </w:t>
      </w:r>
      <w:r>
        <w:t xml:space="preserve">(the print: when a</w:t>
      </w:r>
      <w:r>
        <w:t xml:space="preserve"> </w:t>
      </w:r>
      <w:r>
        <w:t xml:space="preserve">“</w:t>
      </w:r>
      <w:r>
        <w:t xml:space="preserve">va</w:t>
      </w:r>
      <w:r>
        <w:t xml:space="preserve">”</w:t>
      </w:r>
      <w:r>
        <w:t xml:space="preserve"> </w:t>
      </w:r>
      <w:r>
        <w:t xml:space="preserve">or</w:t>
      </w:r>
      <w:r>
        <w:t xml:space="preserve"> </w:t>
      </w:r>
      <w:r>
        <w:t xml:space="preserve">“</w:t>
      </w:r>
      <w:r>
        <w:t xml:space="preserve">ya</w:t>
      </w:r>
      <w:r>
        <w:t xml:space="preserve">”</w:t>
      </w:r>
      <w:r>
        <w:t xml:space="preserve"> </w:t>
      </w:r>
      <w:r>
        <w:t xml:space="preserve">follows after the short vowel, this does not apply); so, the natural form is retained, and we have</w:t>
      </w:r>
      <w:r>
        <w:t xml:space="preserve"> </w:t>
      </w:r>
      <w:r>
        <w:t xml:space="preserve">“</w:t>
      </w:r>
      <w:r>
        <w:t xml:space="preserve">maho arṇaḥ.</w:t>
      </w:r>
      <w:r>
        <w:t xml:space="preserve">”</w:t>
      </w:r>
      <w:r>
        <w:t xml:space="preserve"> </w:t>
      </w:r>
      <w:r>
        <w:t xml:space="preserve">“</w:t>
      </w:r>
      <w:r>
        <w:t xml:space="preserve">Arṇaḥ</w:t>
      </w:r>
      <w:r>
        <w:t xml:space="preserve">”</w:t>
      </w:r>
      <w:r>
        <w:t xml:space="preserve"> </w:t>
      </w:r>
      <w:r>
        <w:t xml:space="preserve">— from the root</w:t>
      </w:r>
      <w:r>
        <w:t xml:space="preserve"> </w:t>
      </w:r>
      <w:r>
        <w:t xml:space="preserve">“</w:t>
      </w:r>
      <w:r>
        <w:t xml:space="preserve">ṛ gatau</w:t>
      </w:r>
      <w:r>
        <w:t xml:space="preserve">”</w:t>
      </w:r>
      <w:r>
        <w:t xml:space="preserve"> </w:t>
      </w:r>
      <w:r>
        <w:t xml:space="preserve">(</w:t>
      </w:r>
      <w:r>
        <w:t xml:space="preserve">“</w:t>
      </w:r>
      <w:r>
        <w:t xml:space="preserve">ṛ, to go</w:t>
      </w:r>
      <w:r>
        <w:t xml:space="preserve">”</w:t>
      </w:r>
      <w:r>
        <w:t xml:space="preserve">:</w:t>
      </w:r>
      <w:r>
        <w:t xml:space="preserve"> </w:t>
      </w:r>
      <w:r>
        <w:t xml:space="preserve">“</w:t>
      </w:r>
      <w:r>
        <w:t xml:space="preserve">it flows, goes</w:t>
      </w:r>
      <w:r>
        <w:t xml:space="preserve">”</w:t>
      </w:r>
      <w:r>
        <w:t xml:space="preserve"> </w:t>
      </w:r>
      <w:r>
        <w:t xml:space="preserve">—</w:t>
      </w:r>
      <w:r>
        <w:t xml:space="preserve"> </w:t>
      </w:r>
      <w:r>
        <w:t xml:space="preserve">“</w:t>
      </w:r>
      <w:r>
        <w:t xml:space="preserve">arṇaḥ</w:t>
      </w:r>
      <w:r>
        <w:t xml:space="preserve">”</w:t>
      </w:r>
      <w:r>
        <w:t xml:space="preserve">); when the sense</w:t>
      </w:r>
      <w:r>
        <w:t xml:space="preserve"> </w:t>
      </w:r>
      <w:r>
        <w:t xml:space="preserve">“</w:t>
      </w:r>
      <w:r>
        <w:t xml:space="preserve">water</w:t>
      </w:r>
      <w:r>
        <w:t xml:space="preserve">”</w:t>
      </w:r>
      <w:r>
        <w:t xml:space="preserve"> </w:t>
      </w:r>
      <w:r>
        <w:t xml:space="preserve">is intended, the Uṇādi-sūtra</w:t>
      </w:r>
      <w:r>
        <w:t xml:space="preserve"> </w:t>
      </w:r>
      <w:r>
        <w:rPr>
          <w:bCs/>
          <w:b/>
        </w:rPr>
        <w:t xml:space="preserve">उदके नुट् च</w:t>
      </w:r>
      <w:r>
        <w:t xml:space="preserve"> </w:t>
      </w:r>
      <w:r>
        <w:t xml:space="preserve">(</w:t>
      </w:r>
      <w:r>
        <w:rPr>
          <w:iCs/>
          <w:i/>
        </w:rPr>
        <w:t xml:space="preserve">udake nuṭ ca</w:t>
      </w:r>
      <w:r>
        <w:t xml:space="preserve">, उ. सू. ४-१९६ [?]) — after</w:t>
      </w:r>
      <w:r>
        <w:t xml:space="preserve"> </w:t>
      </w:r>
      <w:r>
        <w:t xml:space="preserve">“</w:t>
      </w:r>
      <w:r>
        <w:t xml:space="preserve">ṛ,</w:t>
      </w:r>
      <w:r>
        <w:t xml:space="preserve">”</w:t>
      </w:r>
      <w:r>
        <w:t xml:space="preserve"> </w:t>
      </w:r>
      <w:r>
        <w:t xml:space="preserve">“</w:t>
      </w:r>
      <w:r>
        <w:t xml:space="preserve">asun</w:t>
      </w:r>
      <w:r>
        <w:t xml:space="preserve">”</w:t>
      </w:r>
      <w:r>
        <w:t xml:space="preserve"> </w:t>
      </w:r>
      <w:r>
        <w:t xml:space="preserve">with the augment</w:t>
      </w:r>
      <w:r>
        <w:t xml:space="preserve"> </w:t>
      </w:r>
      <w:r>
        <w:t xml:space="preserve">“</w:t>
      </w:r>
      <w:r>
        <w:t xml:space="preserve">nuṭ</w:t>
      </w:r>
      <w:r>
        <w:t xml:space="preserve">”</w:t>
      </w:r>
      <w:r>
        <w:t xml:space="preserve">; with them,</w:t>
      </w:r>
      <w:r>
        <w:t xml:space="preserve"> </w:t>
      </w:r>
      <w:r>
        <w:t xml:space="preserve">“</w:t>
      </w:r>
      <w:r>
        <w:t xml:space="preserve">ṛ + nas</w:t>
      </w:r>
      <w:r>
        <w:t xml:space="preserve">”</w:t>
      </w:r>
      <w:r>
        <w:t xml:space="preserve"> </w:t>
      </w:r>
      <w:r>
        <w:t xml:space="preserve">→ guṇa →</w:t>
      </w:r>
      <w:r>
        <w:t xml:space="preserve"> </w:t>
      </w:r>
      <w:r>
        <w:t xml:space="preserve">“</w:t>
      </w:r>
      <w:r>
        <w:t xml:space="preserve">ar + nas</w:t>
      </w:r>
      <w:r>
        <w:t xml:space="preserve">”</w:t>
      </w:r>
      <w:r>
        <w:t xml:space="preserve">; by</w:t>
      </w:r>
      <w:r>
        <w:t xml:space="preserve"> </w:t>
      </w:r>
      <w:r>
        <w:rPr>
          <w:bCs/>
          <w:b/>
        </w:rPr>
        <w:t xml:space="preserve">रषाभ्यां नो णः समानपदे</w:t>
      </w:r>
      <w:r>
        <w:t xml:space="preserve"> </w:t>
      </w:r>
      <w:r>
        <w:t xml:space="preserve">(पा. ८-४-१) the</w:t>
      </w:r>
      <w:r>
        <w:t xml:space="preserve"> </w:t>
      </w:r>
      <w:r>
        <w:t xml:space="preserve">“</w:t>
      </w:r>
      <w:r>
        <w:t xml:space="preserve">n</w:t>
      </w:r>
      <w:r>
        <w:t xml:space="preserve">”</w:t>
      </w:r>
      <w:r>
        <w:t xml:space="preserve"> </w:t>
      </w:r>
      <w:r>
        <w:t xml:space="preserve">becomes</w:t>
      </w:r>
      <w:r>
        <w:t xml:space="preserve"> </w:t>
      </w:r>
      <w:r>
        <w:t xml:space="preserve">“</w:t>
      </w:r>
      <w:r>
        <w:t xml:space="preserve">ṇ</w:t>
      </w:r>
      <w:r>
        <w:t xml:space="preserve">”</w:t>
      </w:r>
      <w:r>
        <w:t xml:space="preserve">;</w:t>
      </w:r>
      <w:r>
        <w:t xml:space="preserve"> </w:t>
      </w:r>
      <w:r>
        <w:t xml:space="preserve">“</w:t>
      </w:r>
      <w:r>
        <w:t xml:space="preserve">ru</w:t>
      </w:r>
      <w:r>
        <w:t xml:space="preserve">”</w:t>
      </w:r>
      <w:r>
        <w:t xml:space="preserve">-substitution and visarga:</w:t>
      </w:r>
      <w:r>
        <w:t xml:space="preserve"> </w:t>
      </w:r>
      <w:r>
        <w:t xml:space="preserve">“</w:t>
      </w:r>
      <w:r>
        <w:t xml:space="preserve">arṇaḥ.</w:t>
      </w:r>
      <w:r>
        <w:t xml:space="preserve">”</w:t>
      </w:r>
      <w:r>
        <w:t xml:space="preserve"> </w:t>
      </w:r>
      <w:r>
        <w:t xml:space="preserve">“</w:t>
      </w:r>
      <w:r>
        <w:t xml:space="preserve">Ketunā</w:t>
      </w:r>
      <w:r>
        <w:t xml:space="preserve">”</w:t>
      </w:r>
      <w:r>
        <w:t xml:space="preserve"> </w:t>
      </w:r>
      <w:r>
        <w:t xml:space="preserve">— from the stem-accent it is end-acute.</w:t>
      </w:r>
      <w:r>
        <w:t xml:space="preserve"> </w:t>
      </w:r>
      <w:r>
        <w:t xml:space="preserve">“</w:t>
      </w:r>
      <w:r>
        <w:t xml:space="preserve">Viśvāḥ</w:t>
      </w:r>
      <w:r>
        <w:t xml:space="preserve">”</w:t>
      </w:r>
      <w:r>
        <w:t xml:space="preserve"> </w:t>
      </w:r>
      <w:r>
        <w:t xml:space="preserve">—</w:t>
      </w:r>
      <w:r>
        <w:t xml:space="preserve"> </w:t>
      </w:r>
      <w:r>
        <w:t xml:space="preserve">“</w:t>
      </w:r>
      <w:r>
        <w:t xml:space="preserve">viśva</w:t>
      </w:r>
      <w:r>
        <w:t xml:space="preserve">”</w:t>
      </w:r>
      <w:r>
        <w:t xml:space="preserve"> </w:t>
      </w:r>
      <w:r>
        <w:t xml:space="preserve">is formed with the</w:t>
      </w:r>
      <w:r>
        <w:t xml:space="preserve"> </w:t>
      </w:r>
      <w:r>
        <w:t xml:space="preserve">“</w:t>
      </w:r>
      <w:r>
        <w:t xml:space="preserve">kvan</w:t>
      </w:r>
      <w:r>
        <w:t xml:space="preserve">”</w:t>
      </w:r>
      <w:r>
        <w:t xml:space="preserve"> </w:t>
      </w:r>
      <w:r>
        <w:t xml:space="preserve">affix and is first-syllable acute. ॥१२॥</w:t>
      </w:r>
    </w:p>
    <w:p>
      <w:pPr>
        <w:pStyle w:val="BodyText"/>
      </w:pPr>
      <w:r>
        <w:rPr>
          <w:bCs/>
          <w:b/>
        </w:rPr>
        <w:t xml:space="preserve">इल्लिगे ३नेय सूक्तवु संपूर्णवु</w:t>
      </w:r>
      <w:r>
        <w:t xml:space="preserve"> </w:t>
      </w:r>
      <w:r>
        <w:t xml:space="preserve">—</w:t>
      </w:r>
      <w:r>
        <w:t xml:space="preserve"> </w:t>
      </w:r>
      <w:r>
        <w:rPr>
          <w:iCs/>
          <w:i/>
        </w:rPr>
        <w:t xml:space="preserve">illige 3neya sūktavu sampūrṇavu</w:t>
      </w:r>
      <w:r>
        <w:t xml:space="preserve"> </w:t>
      </w:r>
      <w:r>
        <w:t xml:space="preserve">—</w:t>
      </w:r>
      <w:r>
        <w:t xml:space="preserve"> </w:t>
      </w:r>
      <w:r>
        <w:t xml:space="preserve">“</w:t>
      </w:r>
      <w:r>
        <w:t xml:space="preserve">Here the</w:t>
      </w:r>
      <w:r>
        <w:t xml:space="preserve"> </w:t>
      </w:r>
      <w:r>
        <w:rPr>
          <w:bCs/>
          <w:b/>
        </w:rPr>
        <w:t xml:space="preserve">third sūkta</w:t>
      </w:r>
      <w:r>
        <w:t xml:space="preserve"> </w:t>
      </w:r>
      <w:r>
        <w:t xml:space="preserve">is complete.</w:t>
      </w:r>
      <w:r>
        <w:t xml:space="preserve">”</w:t>
      </w:r>
    </w:p>
    <w:bookmarkEnd w:id="114"/>
    <w:bookmarkStart w:id="169" w:name="sūkta-4-surūpakṛtnum-ūtaye"/>
    <w:p>
      <w:pPr>
        <w:pStyle w:val="Heading2"/>
      </w:pPr>
      <w:r>
        <w:t xml:space="preserve">Sūkta 4 —</w:t>
      </w:r>
      <w:r>
        <w:t xml:space="preserve"> </w:t>
      </w:r>
      <w:r>
        <w:t xml:space="preserve">“</w:t>
      </w:r>
      <w:r>
        <w:t xml:space="preserve">surūpakṛtnum ūtaye</w:t>
      </w:r>
      <w:r>
        <w:t xml:space="preserve">”</w:t>
      </w:r>
    </w:p>
    <w:bookmarkStart w:id="115" w:name="X637eac4a2281d09e362c935c1372da0444a6df3"/>
    <w:p>
      <w:pPr>
        <w:pStyle w:val="Heading3"/>
      </w:pPr>
      <w:r>
        <w:t xml:space="preserve">Page 86 — Sūkta 4: title; Sāyaṇa’s introduction; the Anuvāda (opening)</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4.</w:t>
      </w:r>
      <w:r>
        <w:rPr>
          <w:iCs/>
          <w:i/>
        </w:rPr>
        <w:t xml:space="preserve">”</w:t>
      </w:r>
      <w:r>
        <w:rPr>
          <w:iCs/>
          <w:i/>
        </w:rPr>
        <w:t xml:space="preserve"> </w:t>
      </w:r>
      <w:r>
        <w:rPr>
          <w:iCs/>
          <w:i/>
        </w:rPr>
        <w:t xml:space="preserve">Sanskrit is printed in Kannada script and rendered here into Devanagari/IAST; reference-numbers in small Kannada numerals are marked [?] where uncertain. Heading printed:</w:t>
      </w:r>
      <w:r>
        <w:rPr>
          <w:iCs/>
          <w:i/>
        </w:rPr>
        <w:t xml:space="preserve"> </w:t>
      </w:r>
      <w:r>
        <w:rPr>
          <w:iCs/>
          <w:i/>
        </w:rPr>
        <w:t xml:space="preserve">“</w:t>
      </w:r>
      <w:r>
        <w:rPr>
          <w:iCs/>
          <w:i/>
        </w:rPr>
        <w:t xml:space="preserve">॥ ओम् ॥ —</w:t>
      </w:r>
      <w:r>
        <w:rPr>
          <w:iCs/>
          <w:i/>
        </w:rPr>
        <w:t xml:space="preserve"> </w:t>
      </w:r>
      <w:r>
        <w:rPr>
          <w:bCs/>
          <w:b/>
          <w:iCs/>
          <w:i/>
        </w:rPr>
        <w:t xml:space="preserve">ನಾಲ್ಕನೆಯ ಸೂಕ್ತವು</w:t>
      </w:r>
      <w:r>
        <w:rPr>
          <w:iCs/>
          <w:i/>
        </w:rPr>
        <w:t xml:space="preserve"> </w:t>
      </w:r>
      <w:r>
        <w:rPr>
          <w:iCs/>
          <w:i/>
        </w:rPr>
        <w:t xml:space="preserve">(the fourth sūkta)</w:t>
      </w:r>
      <w:r>
        <w:rPr>
          <w:iCs/>
          <w:i/>
        </w:rPr>
        <w:t xml:space="preserve">”</w:t>
      </w:r>
      <w:r>
        <w:rPr>
          <w:iCs/>
          <w:i/>
        </w:rPr>
        <w:t xml:space="preserve">.)</w:t>
      </w:r>
    </w:p>
    <w:p>
      <w:pPr>
        <w:pStyle w:val="BodyText"/>
      </w:pPr>
      <w:r>
        <w:rPr>
          <w:bCs/>
          <w:b/>
        </w:rPr>
        <w:t xml:space="preserve">॥ Sāyaṇa-bhāṣyam ॥</w:t>
      </w:r>
    </w:p>
    <w:p>
      <w:pPr>
        <w:pStyle w:val="BlockText"/>
      </w:pPr>
      <w:r>
        <w:t xml:space="preserve">प्रथमे मण्डले द्वितीयेऽनुवाके चत्वारि सूक्तानि । तत्र सुरूपेत्यादिकं दशर्चं प्रथमं सूक्तं सुरूपकृत्नुं दशेत्यनुक्रान्तत्वात् । पूर्वस्मान्मधुच्छन्दसो गायत्रस्य चानुवृत्तेरस्य एवर्षिश्छन्दसी । इन्द्रं पृच्छेति चतुर्थ्यामृचि लिङ्गदर्शनादिन्द्रो देवता । अभिप्लवषडहे ब्राह्मणाच्छंसिनः प्रातःसवने स्तोमवृद्ध्यावापार्थानि सुरूपकृत्नुमूतय इत्यादीनि षट् सूक्तानि । सूत्रितं चाभिप्लवपृष्ठ्याहानीति खण्डे ब्राह्मणाच्छंसिनः सुरूपकृत्नुमूतय इति षट् सूक्तानि । आ. ७-५ । इति । आद्यानि त्रीणि सूक्तानि महाव्रते निष्केवल्य औष्णिहतृचाशीतौ शस्तव्यानि । उक्तं च शौनकेन । सुरूपकृत्नुमूतय इति त्रीण्येन्द्र सानसिं रयिमिति सूक्ते । ऐ. आ. ५-२-५ । इति । चतुर्विंशेऽहनि माध्यन्दिने सवने ब्राह्मणाच्छंसिनः सुरूपकृत्नुमूतय इति वैकल्पिकः स्तोत्रियस्तृचः । होत्रकाणामिति खण्डे मदे मदे हि नो ददिः सुरूपकृत्नुमूतये । आ. ७-४ । इति सूत्रितत्वात् । अग्निष्टोमे वैश्वदेवशस्त्रे सुरूपकृत्नुमूतय इति धाय्या । सुरूपकृत्नुमूतये तक्षन्रथम् । आ. ५-१८ । इति सूत्रितत्वात् ॥</w:t>
      </w:r>
      <w:r>
        <w:t xml:space="preserve"> </w:t>
      </w:r>
      <w:r>
        <w:rPr>
          <w:iCs/>
          <w:i/>
        </w:rPr>
        <w:t xml:space="preserve">prathame maṇḍale dvitīye ’nuvāke catvāri sūktāni | tatra surūpetyādikaṃ daśarcaṃ prathamaṃ sūktaṃ surūpakṛtnuṃ daśety anukrāntatvāt | pūrvasmān madhucchandaso gāyatrasya cānuvṛtter asya evarṣi-cchandasī | indraṃ pṛccheti caturthyām ṛci liṅga-darśanād indro devatā | abhiplava-ṣaḍahe brāhmaṇācchaṃsinaḥ prātaḥ-savane stoma-vṛddhy-āvāpārthāni surūpakṛtnum ūtaya ity ādīni ṣaṭ sūktāni | sūtritaṃ cābhiplava-pṛṣṭhy-āhānīti khaṇḍe brāhmaṇācchaṃsinaḥ surūpakṛtnum ūtaya iti ṣaṭ sūktāni | ā. 7-5 | iti | ādyāni trīṇi sūktāni mahāvrate niṣkevalya auṣṇiha-tṛcāśītau śastavyāni | uktaṃ ca śaunakena | surūpakṛtnum ūtaya iti trīṇy endra sānasiṃ rayim iti sūkte | ai. ā. 5-2-5 | iti | caturviṃśe ’hani mādhyandine savane brāhmaṇācchaṃsinaḥ surūpakṛtnum ūtaya iti vaikalpikaḥ stotriyas tṛcaḥ | hotrakāṇām iti khaṇḍe made made hi no dadiḥ surūpakṛtnum ūtaye | ā. 7-4 | iti sūtritatvāt | agniṣṭome vaiśvadeva-śastre surūpakṛtnum ūtaya iti dhāyyā | surūpakṛtnum ūtaye takṣan ratham | ā. 5-18 | iti sūtritatvāt ||</w:t>
      </w:r>
    </w:p>
    <w:p>
      <w:pPr>
        <w:pStyle w:val="FirstParagraph"/>
      </w:pPr>
      <w:r>
        <w:rPr>
          <w:bCs/>
          <w:b/>
        </w:rPr>
        <w:t xml:space="preserve">Translation:</w:t>
      </w:r>
      <w:r>
        <w:t xml:space="preserve"> </w:t>
      </w:r>
      <w:r>
        <w:t xml:space="preserve">“</w:t>
      </w:r>
      <w:r>
        <w:t xml:space="preserve">In the first Maṇḍala, in the second Anuvāka, there are four sūktas. Of these, the first, beginning</w:t>
      </w:r>
      <w:r>
        <w:t xml:space="preserve"> </w:t>
      </w:r>
      <w:r>
        <w:t xml:space="preserve">‘</w:t>
      </w:r>
      <w:r>
        <w:t xml:space="preserve">surūpa…</w:t>
      </w:r>
      <w:r>
        <w:t xml:space="preserve">’</w:t>
      </w:r>
      <w:r>
        <w:t xml:space="preserve">, is of ten Ṛks, as the Anukramaṇī has it:</w:t>
      </w:r>
      <w:r>
        <w:t xml:space="preserve"> </w:t>
      </w:r>
      <w:r>
        <w:t xml:space="preserve">‘</w:t>
      </w:r>
      <w:r>
        <w:rPr>
          <w:iCs/>
          <w:i/>
        </w:rPr>
        <w:t xml:space="preserve">surūpakṛtnuṃ daśa</w:t>
      </w:r>
      <w:r>
        <w:t xml:space="preserve">.</w:t>
      </w:r>
      <w:r>
        <w:t xml:space="preserve">’</w:t>
      </w:r>
      <w:r>
        <w:t xml:space="preserve"> </w:t>
      </w:r>
      <w:r>
        <w:t xml:space="preserve">Because of the continuation (anuvṛtti) from the preceding, the ṛṣi and metre of this one are the same — Madhucchandas, and Gāyatrī. By the evidence of the gender-mark in the fourth Ṛk,</w:t>
      </w:r>
      <w:r>
        <w:t xml:space="preserve"> </w:t>
      </w:r>
      <w:r>
        <w:t xml:space="preserve">‘</w:t>
      </w:r>
      <w:r>
        <w:t xml:space="preserve">indraṃ pṛccha,</w:t>
      </w:r>
      <w:r>
        <w:t xml:space="preserve">’</w:t>
      </w:r>
      <w:r>
        <w:t xml:space="preserve"> </w:t>
      </w:r>
      <w:r>
        <w:t xml:space="preserve">Indra is the deity. In the Abhiplava-ṣaḍaha (six-day rite), at the morning pressing, the six sūktas beginning</w:t>
      </w:r>
      <w:r>
        <w:t xml:space="preserve"> </w:t>
      </w:r>
      <w:r>
        <w:t xml:space="preserve">‘</w:t>
      </w:r>
      <w:r>
        <w:t xml:space="preserve">surūpakṛtnum ūtaye</w:t>
      </w:r>
      <w:r>
        <w:t xml:space="preserve">’</w:t>
      </w:r>
      <w:r>
        <w:t xml:space="preserve"> </w:t>
      </w:r>
      <w:r>
        <w:t xml:space="preserve">are (to be recited) by the Brāhmaṇācchaṃsin for the increase and the insertion (āvāpa) of the stoma; and this is laid down in the sūtra, in the section</w:t>
      </w:r>
      <w:r>
        <w:t xml:space="preserve"> </w:t>
      </w:r>
      <w:r>
        <w:t xml:space="preserve">‘</w:t>
      </w:r>
      <w:r>
        <w:t xml:space="preserve">abhiplava-pṛṣṭhy-āhāni</w:t>
      </w:r>
      <w:r>
        <w:t xml:space="preserve">’</w:t>
      </w:r>
      <w:r>
        <w:t xml:space="preserve">:</w:t>
      </w:r>
      <w:r>
        <w:t xml:space="preserve"> </w:t>
      </w:r>
      <w:r>
        <w:t xml:space="preserve">‘</w:t>
      </w:r>
      <w:r>
        <w:rPr>
          <w:iCs/>
          <w:i/>
        </w:rPr>
        <w:t xml:space="preserve">the Brāhmaṇācchaṃsin’s six sūktas beginning</w:t>
      </w:r>
      <w:r>
        <w:rPr>
          <w:iCs/>
          <w:i/>
        </w:rPr>
        <w:t xml:space="preserve"> </w:t>
      </w:r>
      <w:r>
        <w:rPr>
          <w:iCs/>
          <w:i/>
        </w:rPr>
        <w:t xml:space="preserve">“</w:t>
      </w:r>
      <w:r>
        <w:rPr>
          <w:iCs/>
          <w:i/>
        </w:rPr>
        <w:t xml:space="preserve">surūpakṛtnum ūtaye</w:t>
      </w:r>
      <w:r>
        <w:rPr>
          <w:iCs/>
          <w:i/>
        </w:rPr>
        <w:t xml:space="preserve">”</w:t>
      </w:r>
      <w:r>
        <w:t xml:space="preserve">’</w:t>
      </w:r>
      <w:r>
        <w:t xml:space="preserve"> </w:t>
      </w:r>
      <w:r>
        <w:t xml:space="preserve">(Āśv. [Śrauta-sūtra] 7-5). The first three of these sūktas are to be recited, in the Mahāvrata, as the niṣkevalya-śastra, together with an Auṣṇiha tṛca, in the</w:t>
      </w:r>
      <w:r>
        <w:t xml:space="preserve"> </w:t>
      </w:r>
      <w:r>
        <w:t xml:space="preserve">‘</w:t>
      </w:r>
      <w:r>
        <w:t xml:space="preserve">aśīti</w:t>
      </w:r>
      <w:r>
        <w:t xml:space="preserve">’</w:t>
      </w:r>
      <w:r>
        <w:t xml:space="preserve"> </w:t>
      </w:r>
      <w:r>
        <w:t xml:space="preserve">(the eighty-verse recitation). And it has been said by Śaunaka:</w:t>
      </w:r>
      <w:r>
        <w:t xml:space="preserve"> </w:t>
      </w:r>
      <w:r>
        <w:t xml:space="preserve">‘</w:t>
      </w:r>
      <w:r>
        <w:rPr>
          <w:iCs/>
          <w:i/>
        </w:rPr>
        <w:t xml:space="preserve">surūpakṛtnum ūtaye — three; and the two sūktas</w:t>
      </w:r>
      <w:r>
        <w:rPr>
          <w:iCs/>
          <w:i/>
        </w:rPr>
        <w:t xml:space="preserve"> </w:t>
      </w:r>
      <w:r>
        <w:rPr>
          <w:iCs/>
          <w:i/>
        </w:rPr>
        <w:t xml:space="preserve">“</w:t>
      </w:r>
      <w:r>
        <w:rPr>
          <w:iCs/>
          <w:i/>
        </w:rPr>
        <w:t xml:space="preserve">indra sānasiṃ rayim</w:t>
      </w:r>
      <w:r>
        <w:rPr>
          <w:iCs/>
          <w:i/>
        </w:rPr>
        <w:t xml:space="preserve">”</w:t>
      </w:r>
      <w:r>
        <w:t xml:space="preserve">’</w:t>
      </w:r>
      <w:r>
        <w:t xml:space="preserve"> </w:t>
      </w:r>
      <w:r>
        <w:t xml:space="preserve">(Aitareya Āraṇyaka 5-2-5). On the twenty-fourth day, at the midday pressing, the Brāhmaṇācchaṃsin’s tṛca</w:t>
      </w:r>
      <w:r>
        <w:t xml:space="preserve"> </w:t>
      </w:r>
      <w:r>
        <w:t xml:space="preserve">‘</w:t>
      </w:r>
      <w:r>
        <w:t xml:space="preserve">surūpakṛtnum ūtaye</w:t>
      </w:r>
      <w:r>
        <w:t xml:space="preserve">’</w:t>
      </w:r>
      <w:r>
        <w:t xml:space="preserve"> </w:t>
      </w:r>
      <w:r>
        <w:t xml:space="preserve">is an optional stotriya tṛca; and in the section on the Hotrakas it is laid down:</w:t>
      </w:r>
      <w:r>
        <w:t xml:space="preserve"> </w:t>
      </w:r>
      <w:r>
        <w:t xml:space="preserve">‘</w:t>
      </w:r>
      <w:r>
        <w:rPr>
          <w:iCs/>
          <w:i/>
        </w:rPr>
        <w:t xml:space="preserve">made made hi no dadiḥ, surūpakṛtnum ūtaye</w:t>
      </w:r>
      <w:r>
        <w:t xml:space="preserve">’</w:t>
      </w:r>
      <w:r>
        <w:t xml:space="preserve"> </w:t>
      </w:r>
      <w:r>
        <w:t xml:space="preserve">(Āśv. 7-4). In the Agniṣṭoma, in the Vaiśvadeva-śastra,</w:t>
      </w:r>
      <w:r>
        <w:t xml:space="preserve"> </w:t>
      </w:r>
      <w:r>
        <w:t xml:space="preserve">‘</w:t>
      </w:r>
      <w:r>
        <w:t xml:space="preserve">surūpakṛtnum ūtaye</w:t>
      </w:r>
      <w:r>
        <w:t xml:space="preserve">’</w:t>
      </w:r>
      <w:r>
        <w:t xml:space="preserve"> </w:t>
      </w:r>
      <w:r>
        <w:t xml:space="preserve">is the dhāyyā (the</w:t>
      </w:r>
      <w:r>
        <w:t xml:space="preserve"> </w:t>
      </w:r>
      <w:r>
        <w:t xml:space="preserve">‘</w:t>
      </w:r>
      <w:r>
        <w:t xml:space="preserve">placing</w:t>
      </w:r>
      <w:r>
        <w:t xml:space="preserve">’</w:t>
      </w:r>
      <w:r>
        <w:t xml:space="preserve"> </w:t>
      </w:r>
      <w:r>
        <w:t xml:space="preserve">verse):</w:t>
      </w:r>
      <w:r>
        <w:t xml:space="preserve"> </w:t>
      </w:r>
      <w:r>
        <w:t xml:space="preserve">‘</w:t>
      </w:r>
      <w:r>
        <w:rPr>
          <w:iCs/>
          <w:i/>
        </w:rPr>
        <w:t xml:space="preserve">surūpakṛtnum ūtaye; takṣan ratham</w:t>
      </w:r>
      <w:r>
        <w:t xml:space="preserve">’</w:t>
      </w:r>
      <w:r>
        <w:t xml:space="preserve"> </w:t>
      </w:r>
      <w:r>
        <w:t xml:space="preserve">(Āśv. 5-18).</w:t>
      </w:r>
      <w:r>
        <w:t xml:space="preserve">”</w:t>
      </w:r>
    </w:p>
    <w:p>
      <w:pPr>
        <w:pStyle w:val="BodyText"/>
      </w:pPr>
      <w:r>
        <w:rPr>
          <w:bCs/>
          <w:b/>
        </w:rPr>
        <w:t xml:space="preserve">॥ Anuvādaḥ ॥</w:t>
      </w:r>
      <w:r>
        <w:t xml:space="preserve"> </w:t>
      </w:r>
      <w:r>
        <w:rPr>
          <w:iCs/>
          <w:i/>
        </w:rPr>
        <w:t xml:space="preserve">(Kannada commentary, translated)</w:t>
      </w:r>
    </w:p>
    <w:p>
      <w:pPr>
        <w:pStyle w:val="BodyText"/>
      </w:pPr>
      <w:r>
        <w:t xml:space="preserve">As we said earlier (see Ṛ. Saṃ. Part II, page 3 [?]), the three sūktas of the first anuvāka of the first Maṇḍala are finished. From here the</w:t>
      </w:r>
      <w:r>
        <w:t xml:space="preserve"> </w:t>
      </w:r>
      <w:r>
        <w:rPr>
          <w:bCs/>
          <w:b/>
        </w:rPr>
        <w:t xml:space="preserve">second Anuvāka</w:t>
      </w:r>
      <w:r>
        <w:t xml:space="preserve"> </w:t>
      </w:r>
      <w:r>
        <w:t xml:space="preserve">begins. In this anuvāka there are</w:t>
      </w:r>
      <w:r>
        <w:t xml:space="preserve"> </w:t>
      </w:r>
      <w:r>
        <w:rPr>
          <w:bCs/>
          <w:b/>
        </w:rPr>
        <w:t xml:space="preserve">four sūktas</w:t>
      </w:r>
      <w:r>
        <w:t xml:space="preserve"> </w:t>
      </w:r>
      <w:r>
        <w:t xml:space="preserve">— (1)</w:t>
      </w:r>
      <w:r>
        <w:t xml:space="preserve"> </w:t>
      </w:r>
      <w:r>
        <w:t xml:space="preserve">“</w:t>
      </w:r>
      <w:r>
        <w:rPr>
          <w:bCs/>
          <w:b/>
        </w:rPr>
        <w:t xml:space="preserve">surūpakṛtnum ūtaye</w:t>
      </w:r>
      <w:r>
        <w:t xml:space="preserve">,</w:t>
      </w:r>
      <w:r>
        <w:t xml:space="preserve">”</w:t>
      </w:r>
      <w:r>
        <w:t xml:space="preserve"> </w:t>
      </w:r>
      <w:r>
        <w:t xml:space="preserve">(2)</w:t>
      </w:r>
      <w:r>
        <w:t xml:space="preserve"> </w:t>
      </w:r>
      <w:r>
        <w:t xml:space="preserve">“</w:t>
      </w:r>
      <w:r>
        <w:rPr>
          <w:bCs/>
          <w:b/>
        </w:rPr>
        <w:t xml:space="preserve">ā tvetā niṣīdata</w:t>
      </w:r>
      <w:r>
        <w:t xml:space="preserve">,</w:t>
      </w:r>
      <w:r>
        <w:t xml:space="preserve">”</w:t>
      </w:r>
      <w:r>
        <w:t xml:space="preserve"> </w:t>
      </w:r>
      <w:r>
        <w:t xml:space="preserve">(3)</w:t>
      </w:r>
      <w:r>
        <w:t xml:space="preserve"> </w:t>
      </w:r>
      <w:r>
        <w:t xml:space="preserve">“</w:t>
      </w:r>
      <w:r>
        <w:rPr>
          <w:bCs/>
          <w:b/>
        </w:rPr>
        <w:t xml:space="preserve">yuñjanti bradhnam aruṣam</w:t>
      </w:r>
      <w:r>
        <w:t xml:space="preserve">,</w:t>
      </w:r>
      <w:r>
        <w:t xml:space="preserve">”</w:t>
      </w:r>
      <w:r>
        <w:t xml:space="preserve"> </w:t>
      </w:r>
      <w:r>
        <w:t xml:space="preserve">(4)</w:t>
      </w:r>
      <w:r>
        <w:t xml:space="preserve"> </w:t>
      </w:r>
      <w:r>
        <w:t xml:space="preserve">“</w:t>
      </w:r>
      <w:r>
        <w:rPr>
          <w:bCs/>
          <w:b/>
        </w:rPr>
        <w:t xml:space="preserve">indram id gāthino bṛhat</w:t>
      </w:r>
      <w:r>
        <w:t xml:space="preserve">.</w:t>
      </w:r>
      <w:r>
        <w:t xml:space="preserve">”</w:t>
      </w:r>
      <w:r>
        <w:t xml:space="preserve"> </w:t>
      </w:r>
      <w:r>
        <w:t xml:space="preserve">Each of these four sūktas has ten Ṛks. As for the preceding sūktas, the ṛṣi of all four of these sūktas is the same</w:t>
      </w:r>
      <w:r>
        <w:t xml:space="preserve"> </w:t>
      </w:r>
      <w:r>
        <w:rPr>
          <w:bCs/>
          <w:b/>
        </w:rPr>
        <w:t xml:space="preserve">Madhucchandas Vaiśvāmitra</w:t>
      </w:r>
      <w:r>
        <w:t xml:space="preserve">; the deity of this sūkta is</w:t>
      </w:r>
      <w:r>
        <w:t xml:space="preserve"> </w:t>
      </w:r>
      <w:r>
        <w:rPr>
          <w:bCs/>
          <w:b/>
        </w:rPr>
        <w:t xml:space="preserve">Indra</w:t>
      </w:r>
      <w:r>
        <w:t xml:space="preserve">. In the first three Ṛks no deity’s name is explicitly given; but because in the fourth Ṛk the words</w:t>
      </w:r>
      <w:r>
        <w:t xml:space="preserve"> </w:t>
      </w:r>
      <w:r>
        <w:t xml:space="preserve">“</w:t>
      </w:r>
      <w:r>
        <w:t xml:space="preserve">indraṃ pṛccha</w:t>
      </w:r>
      <w:r>
        <w:t xml:space="preserve">”</w:t>
      </w:r>
      <w:r>
        <w:t xml:space="preserve"> </w:t>
      </w:r>
      <w:r>
        <w:t xml:space="preserve">are used, and since from there on in the 5th, 6th, 7th and 10th [?] Ṛks too the word</w:t>
      </w:r>
      <w:r>
        <w:t xml:space="preserve"> </w:t>
      </w:r>
      <w:r>
        <w:t xml:space="preserve">“</w:t>
      </w:r>
      <w:r>
        <w:t xml:space="preserve">Indra</w:t>
      </w:r>
      <w:r>
        <w:t xml:space="preserve">”</w:t>
      </w:r>
      <w:r>
        <w:t xml:space="preserve"> </w:t>
      </w:r>
      <w:r>
        <w:t xml:space="preserve">occurs, Indra is the deity of this whole sūkta. There is no rule that the deity’s name must occur in all the Ṛks of a sūkta; where some Ṛks have it, the remaining Ṛks present that deity’s subject, and so…</w:t>
      </w:r>
      <w:r>
        <w:t xml:space="preserve"> </w:t>
      </w:r>
      <w:r>
        <w:rPr>
          <w:iCs/>
          <w:i/>
        </w:rPr>
        <w:t xml:space="preserve">(continues on the next page)</w:t>
      </w:r>
    </w:p>
    <w:bookmarkEnd w:id="115"/>
    <w:bookmarkStart w:id="116" w:name="X808019b4a287e4e17ec9c99a4df951d6e30c135"/>
    <w:p>
      <w:pPr>
        <w:pStyle w:val="Heading3"/>
      </w:pPr>
      <w:r>
        <w:t xml:space="preserve">Page 87 — Viniyoga of Sūkta 4; heading: ṛṣi, deity, metre; Rik 4.1 (Saṃhitā, Pada)</w:t>
      </w:r>
    </w:p>
    <w:p>
      <w:pPr>
        <w:pStyle w:val="FirstParagraph"/>
      </w:pPr>
      <w:r>
        <w:rPr>
          <w:iCs/>
          <w:i/>
        </w:rPr>
        <w:t xml:space="preserve">(Page header:</w:t>
      </w:r>
      <w:r>
        <w:rPr>
          <w:iCs/>
          <w:i/>
        </w:rPr>
        <w:t xml:space="preserve"> </w:t>
      </w:r>
      <w:r>
        <w:rPr>
          <w:iCs/>
          <w:i/>
        </w:rPr>
        <w:t xml:space="preserve">“</w:t>
      </w:r>
      <w:r>
        <w:rPr>
          <w:iCs/>
          <w:i/>
        </w:rPr>
        <w:t xml:space="preserve">Aṣṭaka 1, Adhyāya 1, Varga 7 · Ṛgveda-saṃhitā.</w:t>
      </w:r>
      <w:r>
        <w:rPr>
          <w:iCs/>
          <w:i/>
        </w:rPr>
        <w:t xml:space="preserve">”</w:t>
      </w:r>
      <w:r>
        <w:rPr>
          <w:iCs/>
          <w:i/>
        </w:rPr>
        <w:t xml:space="preserve">)</w:t>
      </w:r>
    </w:p>
    <w:p>
      <w:pPr>
        <w:pStyle w:val="BodyText"/>
      </w:pPr>
      <w:r>
        <w:rPr>
          <w:iCs/>
          <w:i/>
        </w:rPr>
        <w:t xml:space="preserve">(Continuing:)</w:t>
      </w:r>
      <w:r>
        <w:t xml:space="preserve"> </w:t>
      </w:r>
      <w:r>
        <w:t xml:space="preserve">…so the same deity must be said to apply to all the Ṛks of the sūkta.</w:t>
      </w:r>
      <w:r>
        <w:t xml:space="preserve"> </w:t>
      </w:r>
      <w:r>
        <w:rPr>
          <w:bCs/>
          <w:b/>
        </w:rPr>
        <w:t xml:space="preserve">The order of application (viniyoga) of this sūkta is as follows.</w:t>
      </w:r>
      <w:r>
        <w:t xml:space="preserve"> </w:t>
      </w:r>
      <w:r>
        <w:t xml:space="preserve">In the sacrifice called</w:t>
      </w:r>
      <w:r>
        <w:t xml:space="preserve"> </w:t>
      </w:r>
      <w:r>
        <w:rPr>
          <w:bCs/>
          <w:b/>
        </w:rPr>
        <w:t xml:space="preserve">Abhiplava-ṣaḍaha</w:t>
      </w:r>
      <w:r>
        <w:t xml:space="preserve">, in the morning pressing, the Brāhmaṇācchaṃsin — the assistant ṛtvij of the Hotṛ — is to recite this sūkta</w:t>
      </w:r>
      <w:r>
        <w:t xml:space="preserve"> </w:t>
      </w:r>
      <w:r>
        <w:t xml:space="preserve">“</w:t>
      </w:r>
      <w:r>
        <w:t xml:space="preserve">surūpakṛtnum ūtaye,</w:t>
      </w:r>
      <w:r>
        <w:t xml:space="preserve">”</w:t>
      </w:r>
      <w:r>
        <w:t xml:space="preserve"> </w:t>
      </w:r>
      <w:r>
        <w:t xml:space="preserve">together with the next five sūktas, for the increase of the stoma. In this regard, the sūtra:</w:t>
      </w:r>
      <w:r>
        <w:t xml:space="preserve"> </w:t>
      </w:r>
      <w:r>
        <w:t xml:space="preserve">“</w:t>
      </w:r>
      <w:r>
        <w:rPr>
          <w:iCs/>
          <w:i/>
        </w:rPr>
        <w:t xml:space="preserve">sūtritaṃ cābhiplava-pṛṣṭhy-āhānīti khaṇḍe brāhmaṇācchaṃsinaḥ surūpakṛtnum ūtaya iti ṣaṭ sūktāni</w:t>
      </w:r>
      <w:r>
        <w:t xml:space="preserve">”</w:t>
      </w:r>
      <w:r>
        <w:t xml:space="preserve"> </w:t>
      </w:r>
      <w:r>
        <w:t xml:space="preserve">(सूत्रितं चाभिप्लवपृष्ठ्याहानीति खण्डे ब्राह्मणाच्छंसिनः सुरूपकृत्नुमूतय इति षट् सूक्तानि — Āśv. Sū. 7-5). Of these six sūktas the first three are used in the rite called</w:t>
      </w:r>
      <w:r>
        <w:t xml:space="preserve"> </w:t>
      </w:r>
      <w:r>
        <w:rPr>
          <w:bCs/>
          <w:b/>
        </w:rPr>
        <w:t xml:space="preserve">Mahāvrata</w:t>
      </w:r>
      <w:r>
        <w:t xml:space="preserve"> </w:t>
      </w:r>
      <w:r>
        <w:t xml:space="preserve">as niṣkevalya-śastra mantras, as stated in the section</w:t>
      </w:r>
      <w:r>
        <w:t xml:space="preserve"> </w:t>
      </w:r>
      <w:r>
        <w:t xml:space="preserve">“</w:t>
      </w:r>
      <w:r>
        <w:t xml:space="preserve">abhiplava-pṛṣṭhy-āhāni.</w:t>
      </w:r>
      <w:r>
        <w:t xml:space="preserve">”</w:t>
      </w:r>
      <w:r>
        <w:t xml:space="preserve"> </w:t>
      </w:r>
      <w:r>
        <w:t xml:space="preserve">Here Śaunaka has quoted the sentence of the Aitareya Āraṇyaka:</w:t>
      </w:r>
      <w:r>
        <w:t xml:space="preserve"> </w:t>
      </w:r>
      <w:r>
        <w:t xml:space="preserve">“</w:t>
      </w:r>
      <w:r>
        <w:rPr>
          <w:iCs/>
          <w:i/>
        </w:rPr>
        <w:t xml:space="preserve">surūpakṛtnum ūtaya iti trīṇy endra sānasiṃ rayim iti sūkte</w:t>
      </w:r>
      <w:r>
        <w:t xml:space="preserve">”</w:t>
      </w:r>
      <w:r>
        <w:t xml:space="preserve"> </w:t>
      </w:r>
      <w:r>
        <w:t xml:space="preserve">(Ai. Ā. 5-2-5) — that is, the three sūktas beginning</w:t>
      </w:r>
      <w:r>
        <w:t xml:space="preserve"> </w:t>
      </w:r>
      <w:r>
        <w:t xml:space="preserve">“</w:t>
      </w:r>
      <w:r>
        <w:t xml:space="preserve">surūpakṛtnum ūtaye</w:t>
      </w:r>
      <w:r>
        <w:t xml:space="preserve">”</w:t>
      </w:r>
      <w:r>
        <w:t xml:space="preserve"> </w:t>
      </w:r>
      <w:r>
        <w:t xml:space="preserve">and the two sūktas beginning</w:t>
      </w:r>
      <w:r>
        <w:t xml:space="preserve"> </w:t>
      </w:r>
      <w:r>
        <w:t xml:space="preserve">“</w:t>
      </w:r>
      <w:r>
        <w:t xml:space="preserve">indra sānasiṃ rayim</w:t>
      </w:r>
      <w:r>
        <w:t xml:space="preserve">”</w:t>
      </w:r>
      <w:r>
        <w:t xml:space="preserve"> </w:t>
      </w:r>
      <w:r>
        <w:t xml:space="preserve">are to be recited. Further, in the above-mentioned rite, on the twenty-fourth day, at the midday pressing, the Brāhmaṇācchaṃsin may optionally recite the tṛca</w:t>
      </w:r>
      <w:r>
        <w:t xml:space="preserve"> </w:t>
      </w:r>
      <w:r>
        <w:t xml:space="preserve">“</w:t>
      </w:r>
      <w:r>
        <w:t xml:space="preserve">surūpakṛtnum ūtaye</w:t>
      </w:r>
      <w:r>
        <w:t xml:space="preserve">”</w:t>
      </w:r>
      <w:r>
        <w:t xml:space="preserve"> </w:t>
      </w:r>
      <w:r>
        <w:t xml:space="preserve">(three Ṛks). The Āśvalāyana-sūtra says in the section</w:t>
      </w:r>
      <w:r>
        <w:t xml:space="preserve"> </w:t>
      </w:r>
      <w:r>
        <w:t xml:space="preserve">“</w:t>
      </w:r>
      <w:r>
        <w:t xml:space="preserve">hotrakāṇām</w:t>
      </w:r>
      <w:r>
        <w:t xml:space="preserve">”</w:t>
      </w:r>
      <w:r>
        <w:t xml:space="preserve">:</w:t>
      </w:r>
      <w:r>
        <w:t xml:space="preserve"> </w:t>
      </w:r>
      <w:r>
        <w:t xml:space="preserve">“</w:t>
      </w:r>
      <w:r>
        <w:rPr>
          <w:iCs/>
          <w:i/>
        </w:rPr>
        <w:t xml:space="preserve">made made hi no dadiḥ surūpakṛtnum ūtaye</w:t>
      </w:r>
      <w:r>
        <w:t xml:space="preserve">”</w:t>
      </w:r>
      <w:r>
        <w:t xml:space="preserve"> </w:t>
      </w:r>
      <w:r>
        <w:t xml:space="preserve">(Āśv. Sū. 7-4) — that the tṛca</w:t>
      </w:r>
      <w:r>
        <w:t xml:space="preserve"> </w:t>
      </w:r>
      <w:r>
        <w:t xml:space="preserve">“</w:t>
      </w:r>
      <w:r>
        <w:t xml:space="preserve">made made hi no dadiḥ</w:t>
      </w:r>
      <w:r>
        <w:t xml:space="preserve">”</w:t>
      </w:r>
      <w:r>
        <w:t xml:space="preserve"> </w:t>
      </w:r>
      <w:r>
        <w:t xml:space="preserve">(Ṛ. Saṃ. 1-81-7) and the tṛca</w:t>
      </w:r>
      <w:r>
        <w:t xml:space="preserve"> </w:t>
      </w:r>
      <w:r>
        <w:t xml:space="preserve">“</w:t>
      </w:r>
      <w:r>
        <w:t xml:space="preserve">surūpakṛtnum ūtaye</w:t>
      </w:r>
      <w:r>
        <w:t xml:space="preserve">”</w:t>
      </w:r>
      <w:r>
        <w:t xml:space="preserve"> </w:t>
      </w:r>
      <w:r>
        <w:t xml:space="preserve">(1-4-1) are to be recited; and in the Agniṣṭoma, when reciting the Vaiśvadeva-śastra mantras —</w:t>
      </w:r>
      <w:r>
        <w:t xml:space="preserve"> </w:t>
      </w:r>
      <w:r>
        <w:t xml:space="preserve">“</w:t>
      </w:r>
      <w:r>
        <w:rPr>
          <w:iCs/>
          <w:i/>
        </w:rPr>
        <w:t xml:space="preserve">surūpakṛtnum ūtaye</w:t>
      </w:r>
      <w:r>
        <w:t xml:space="preserve">”</w:t>
      </w:r>
      <w:r>
        <w:t xml:space="preserve"> </w:t>
      </w:r>
      <w:r>
        <w:t xml:space="preserve">(Ṛ. Saṃ. 1-4-1) and</w:t>
      </w:r>
      <w:r>
        <w:t xml:space="preserve"> </w:t>
      </w:r>
      <w:r>
        <w:t xml:space="preserve">“</w:t>
      </w:r>
      <w:r>
        <w:rPr>
          <w:iCs/>
          <w:i/>
        </w:rPr>
        <w:t xml:space="preserve">takṣan rathaṃ suvṛtam</w:t>
      </w:r>
      <w:r>
        <w:t xml:space="preserve">”</w:t>
      </w:r>
      <w:r>
        <w:t xml:space="preserve"> </w:t>
      </w:r>
      <w:r>
        <w:t xml:space="preserve">(Ṛ. Saṃ. 1-111-1) (Āśv. Sū. 5-18) — it is said in the Āśvalāyana sūtra that these Ṛks may be recited as special mantras.</w:t>
      </w:r>
    </w:p>
    <w:p>
      <w:pPr>
        <w:pStyle w:val="BodyText"/>
      </w:pPr>
      <w:r>
        <w:rPr>
          <w:bCs/>
          <w:b/>
        </w:rPr>
        <w:t xml:space="preserve">॥ ओम् ॥</w:t>
      </w:r>
    </w:p>
    <w:p>
      <w:pPr>
        <w:pStyle w:val="BodyText"/>
      </w:pPr>
      <w:r>
        <w:rPr>
          <w:bCs/>
          <w:b/>
        </w:rPr>
        <w:t xml:space="preserve">सूक्त—४</w:t>
      </w:r>
      <w:r>
        <w:t xml:space="preserve"> </w:t>
      </w:r>
      <w:r>
        <w:rPr>
          <w:iCs/>
          <w:i/>
        </w:rPr>
        <w:t xml:space="preserve">(Sūkta 4)</w:t>
      </w:r>
      <w:r>
        <w:t xml:space="preserve"> </w:t>
      </w:r>
      <w:r>
        <w:t xml:space="preserve">॥ मण्डल—१ ॥ अनुवाक—२ ॥ सूक्त—४ ॥</w:t>
      </w:r>
      <w:r>
        <w:t xml:space="preserve"> </w:t>
      </w:r>
      <w:r>
        <w:t xml:space="preserve">॥ अष्टक—१ ॥ अध्याय—१ ॥ वर्ग—७, ८ ॥</w:t>
      </w:r>
      <w:r>
        <w:t xml:space="preserve"> </w:t>
      </w:r>
      <w:r>
        <w:t xml:space="preserve">॥ सूक्तदल्लिरुव ऋक्संख्ये १० ॥</w:t>
      </w:r>
      <w:r>
        <w:t xml:space="preserve"> </w:t>
      </w:r>
      <w:r>
        <w:rPr>
          <w:iCs/>
          <w:i/>
        </w:rPr>
        <w:t xml:space="preserve">(number of Ṛks in the sūkta: 10)</w:t>
      </w:r>
      <w:r>
        <w:t xml:space="preserve"> </w:t>
      </w:r>
      <w:r>
        <w:rPr>
          <w:bCs/>
          <w:b/>
        </w:rPr>
        <w:t xml:space="preserve">ऋषिः</w:t>
      </w:r>
      <w:r>
        <w:t xml:space="preserve"> </w:t>
      </w:r>
      <w:r>
        <w:t xml:space="preserve">— मधुच्छन्दा वैश्वामित्रः (</w:t>
      </w:r>
      <w:r>
        <w:rPr>
          <w:iCs/>
          <w:i/>
        </w:rPr>
        <w:t xml:space="preserve">ṛṣiḥ — madhucchandā vaiśvāmitraḥ</w:t>
      </w:r>
      <w:r>
        <w:t xml:space="preserve">)</w:t>
      </w:r>
      <w:r>
        <w:t xml:space="preserve"> </w:t>
      </w:r>
      <w:r>
        <w:rPr>
          <w:bCs/>
          <w:b/>
        </w:rPr>
        <w:t xml:space="preserve">देवता</w:t>
      </w:r>
      <w:r>
        <w:t xml:space="preserve"> </w:t>
      </w:r>
      <w:r>
        <w:t xml:space="preserve">— इन्द्रः (</w:t>
      </w:r>
      <w:r>
        <w:rPr>
          <w:iCs/>
          <w:i/>
        </w:rPr>
        <w:t xml:space="preserve">devatā — indraḥ</w:t>
      </w:r>
      <w:r>
        <w:t xml:space="preserve">)</w:t>
      </w:r>
      <w:r>
        <w:t xml:space="preserve"> </w:t>
      </w:r>
      <w:r>
        <w:rPr>
          <w:bCs/>
          <w:b/>
        </w:rPr>
        <w:t xml:space="preserve">छन्दः</w:t>
      </w:r>
      <w:r>
        <w:t xml:space="preserve"> </w:t>
      </w:r>
      <w:r>
        <w:t xml:space="preserve">— गायत्री (</w:t>
      </w:r>
      <w:r>
        <w:rPr>
          <w:iCs/>
          <w:i/>
        </w:rPr>
        <w:t xml:space="preserve">chandaḥ — gāyatrī</w:t>
      </w:r>
      <w:r>
        <w:t xml:space="preserve">)</w:t>
      </w:r>
    </w:p>
    <w:p>
      <w:pPr>
        <w:pStyle w:val="BodyText"/>
      </w:pPr>
      <w:r>
        <w:rPr>
          <w:bCs/>
          <w:b/>
        </w:rPr>
        <w:t xml:space="preserve">॥ Saṃhitā-pāṭhaḥ ॥</w:t>
      </w:r>
    </w:p>
    <w:p>
      <w:pPr>
        <w:pStyle w:val="BlockText"/>
      </w:pPr>
      <w:r>
        <w:t xml:space="preserve">सु॒रू॒प॒कृत्नुमू॒तये॑ सु॒दुघा॑मिव गो॒दुहे॑ ।</w:t>
      </w:r>
      <w:r>
        <w:t xml:space="preserve"> </w:t>
      </w:r>
      <w:r>
        <w:t xml:space="preserve">जु॒हू॒मसि॒ द्यवि॑द्यवि ॥१॥</w:t>
      </w:r>
    </w:p>
    <w:p>
      <w:pPr>
        <w:pStyle w:val="BlockText"/>
      </w:pPr>
      <w:r>
        <w:rPr>
          <w:iCs/>
          <w:i/>
        </w:rPr>
        <w:t xml:space="preserve">surūpakṛ́tnumūtáye sudúghāmiva godúhe |</w:t>
      </w:r>
      <w:r>
        <w:t xml:space="preserve"> </w:t>
      </w:r>
      <w:r>
        <w:rPr>
          <w:iCs/>
          <w:i/>
        </w:rPr>
        <w:t xml:space="preserve">juhūmási dyávidyavi ||1||</w:t>
      </w:r>
    </w:p>
    <w:bookmarkEnd w:id="116"/>
    <w:bookmarkStart w:id="117" w:name="X5109534d9aa94e3c94f9f3c9a8bf097af7afea7"/>
    <w:p>
      <w:pPr>
        <w:pStyle w:val="Heading3"/>
      </w:pPr>
      <w:r>
        <w:t xml:space="preserve">Page 88 — Rik 4.1: Pada-pāṭha, Sāyaṇa-bhāṣya, grammar (characterized), Pada-meanings (opening)</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4.</w:t>
      </w:r>
      <w:r>
        <w:rPr>
          <w:iCs/>
          <w:i/>
        </w:rPr>
        <w:t xml:space="preserve">”</w:t>
      </w:r>
      <w:r>
        <w:rPr>
          <w:iCs/>
          <w:i/>
        </w:rPr>
        <w:t xml:space="preserve"> </w:t>
      </w:r>
      <w:r>
        <w:rPr>
          <w:iCs/>
          <w:i/>
        </w:rPr>
        <w:t xml:space="preserve">Saṃhitā accents as printed; Pada unaccented. Sanskrit printed in Kannada script; [?] where unclear.)</w:t>
      </w:r>
    </w:p>
    <w:p>
      <w:pPr>
        <w:pStyle w:val="BodyText"/>
      </w:pPr>
      <w:r>
        <w:rPr>
          <w:bCs/>
          <w:b/>
        </w:rPr>
        <w:t xml:space="preserve">॥ Pada-pāṭhaḥ ॥</w:t>
      </w:r>
    </w:p>
    <w:p>
      <w:pPr>
        <w:pStyle w:val="BlockText"/>
      </w:pPr>
      <w:r>
        <w:t xml:space="preserve">सुरूपकृत्नुम् । ऊतये । सुदुघाम्ऽइव । गोऽदुहे ।</w:t>
      </w:r>
      <w:r>
        <w:t xml:space="preserve"> </w:t>
      </w:r>
      <w:r>
        <w:t xml:space="preserve">जुहूमसि । द्यविऽद्यवि ॥१॥</w:t>
      </w:r>
    </w:p>
    <w:p>
      <w:pPr>
        <w:pStyle w:val="FirstParagraph"/>
      </w:pPr>
      <w:r>
        <w:rPr>
          <w:iCs/>
          <w:i/>
        </w:rPr>
        <w:t xml:space="preserve">(Reading note: the print divides the compounds with marks I read as</w:t>
      </w:r>
      <w:r>
        <w:rPr>
          <w:iCs/>
          <w:i/>
        </w:rPr>
        <w:t xml:space="preserve"> </w:t>
      </w:r>
      <w:r>
        <w:rPr>
          <w:iCs/>
          <w:i/>
        </w:rPr>
        <w:t xml:space="preserve">“</w:t>
      </w:r>
      <w:r>
        <w:rPr>
          <w:iCs/>
          <w:i/>
        </w:rPr>
        <w:t xml:space="preserve">sudughām-iva</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go-duhe,</w:t>
      </w:r>
      <w:r>
        <w:rPr>
          <w:iCs/>
          <w:i/>
        </w:rPr>
        <w:t xml:space="preserve">”</w:t>
      </w:r>
      <w:r>
        <w:rPr>
          <w:iCs/>
          <w:i/>
        </w:rPr>
        <w:t xml:space="preserve"> </w:t>
      </w:r>
      <w:r>
        <w:rPr>
          <w:iCs/>
          <w:i/>
        </w:rPr>
        <w:t xml:space="preserve">“</w:t>
      </w:r>
      <w:r>
        <w:rPr>
          <w:iCs/>
          <w:i/>
        </w:rPr>
        <w:t xml:space="preserve">dyavi-dyavi</w:t>
      </w:r>
      <w:r>
        <w:rPr>
          <w:iCs/>
          <w:i/>
        </w:rPr>
        <w:t xml:space="preserve">”</w:t>
      </w:r>
      <w:r>
        <w:rPr>
          <w:iCs/>
          <w:i/>
        </w:rPr>
        <w:t xml:space="preserve">; I give the divisions as I read the printed signs.)</w:t>
      </w:r>
    </w:p>
    <w:p>
      <w:pPr>
        <w:pStyle w:val="BodyText"/>
      </w:pPr>
      <w:r>
        <w:rPr>
          <w:bCs/>
          <w:b/>
        </w:rPr>
        <w:t xml:space="preserve">॥ Sāyaṇa-bhāṣyam ॥</w:t>
      </w:r>
    </w:p>
    <w:p>
      <w:pPr>
        <w:pStyle w:val="BlockText"/>
      </w:pPr>
      <w:r>
        <w:t xml:space="preserve">सुरूपकृत्नुं शोभनरूपोपेतस्य कर्मणः कर्तारमिन्द्रमूतयेऽस्मद्रक्षणार्थं द्यवि द्यवि प्रतिदिनं जुहूमसि । आह्वयामः । आह्वाने दृष्टान्तः । गोदुहे गोदुगर्थं सुदुघामिव सुष्ठु दोग्ध्रीं गामिव । यथा लोके गोर्दोग्धा दोहार्थं तस्याभिमुखेन दोहनीयां गामाह्वयति तद्वत् । वस्तोरित्यादिषु द्वादशसंख्याकेष्वहर्नामसु द्यविद्यवीति पठितम् ।</w:t>
      </w:r>
      <w:r>
        <w:t xml:space="preserve"> </w:t>
      </w:r>
      <w:r>
        <w:rPr>
          <w:iCs/>
          <w:i/>
        </w:rPr>
        <w:t xml:space="preserve">surūpakṛtnuṃ śobhana-rūpopetasya karmaṇaḥ kartāram indram ūtaye ’smad-rakṣaṇārthaṃ dyavi dyavi pratidinaṃ juhūmasi | āhvayāmaḥ | āhvāne dṛṣṭāntaḥ | goduhe go-dugarthaṃ sudughām iva suṣṭhu dogdhrīṃ gām iva | yathā loke gor dogdhā dohārthaṃ tasyābhimukhena dohanīyāṃ gām āhvayati tadvat | vastor ity ādiṣu dvādaśa-saṃkhyākeṣv ahar-nāmasu dyavidyavīti paṭhitam |</w:t>
      </w:r>
    </w:p>
    <w:p>
      <w:pPr>
        <w:pStyle w:val="FirstParagraph"/>
      </w:pPr>
      <w:r>
        <w:rPr>
          <w:bCs/>
          <w:b/>
        </w:rPr>
        <w:t xml:space="preserve">Translation:</w:t>
      </w:r>
      <w:r>
        <w:t xml:space="preserve"> </w:t>
      </w:r>
      <w:r>
        <w:t xml:space="preserve">“</w:t>
      </w:r>
      <w:r>
        <w:t xml:space="preserve">‘</w:t>
      </w:r>
      <w:r>
        <w:t xml:space="preserve">Surūpakṛtnum</w:t>
      </w:r>
      <w:r>
        <w:t xml:space="preserve">’</w:t>
      </w:r>
      <w:r>
        <w:t xml:space="preserve"> </w:t>
      </w:r>
      <w:r>
        <w:t xml:space="preserve">— the doer of action endowed with beautiful form — Indra — we call,</w:t>
      </w:r>
      <w:r>
        <w:t xml:space="preserve"> </w:t>
      </w:r>
      <w:r>
        <w:t xml:space="preserve">‘</w:t>
      </w:r>
      <w:r>
        <w:t xml:space="preserve">ūtaye</w:t>
      </w:r>
      <w:r>
        <w:t xml:space="preserve">’</w:t>
      </w:r>
      <w:r>
        <w:t xml:space="preserve"> </w:t>
      </w:r>
      <w:r>
        <w:t xml:space="preserve">— for our protection —</w:t>
      </w:r>
      <w:r>
        <w:t xml:space="preserve"> </w:t>
      </w:r>
      <w:r>
        <w:t xml:space="preserve">‘</w:t>
      </w:r>
      <w:r>
        <w:t xml:space="preserve">dyavi dyavi</w:t>
      </w:r>
      <w:r>
        <w:t xml:space="preserve">’</w:t>
      </w:r>
      <w:r>
        <w:t xml:space="preserve"> </w:t>
      </w:r>
      <w:r>
        <w:t xml:space="preserve">— day by day. The illustration for the calling:</w:t>
      </w:r>
      <w:r>
        <w:t xml:space="preserve"> </w:t>
      </w:r>
      <w:r>
        <w:t xml:space="preserve">‘</w:t>
      </w:r>
      <w:r>
        <w:t xml:space="preserve">goduhe</w:t>
      </w:r>
      <w:r>
        <w:t xml:space="preserve">’</w:t>
      </w:r>
      <w:r>
        <w:t xml:space="preserve"> </w:t>
      </w:r>
      <w:r>
        <w:t xml:space="preserve">— for the milker of the cow (</w:t>
      </w:r>
      <w:r>
        <w:t xml:space="preserve">‘</w:t>
      </w:r>
      <w:r>
        <w:t xml:space="preserve">go-dug</w:t>
      </w:r>
      <w:r>
        <w:t xml:space="preserve">’</w:t>
      </w:r>
      <w:r>
        <w:t xml:space="preserve">),</w:t>
      </w:r>
      <w:r>
        <w:t xml:space="preserve"> </w:t>
      </w:r>
      <w:r>
        <w:t xml:space="preserve">‘</w:t>
      </w:r>
      <w:r>
        <w:t xml:space="preserve">sudughām iva</w:t>
      </w:r>
      <w:r>
        <w:t xml:space="preserve">’</w:t>
      </w:r>
      <w:r>
        <w:t xml:space="preserve"> </w:t>
      </w:r>
      <w:r>
        <w:t xml:space="preserve">— like a good milch-cow (</w:t>
      </w:r>
      <w:r>
        <w:t xml:space="preserve">‘</w:t>
      </w:r>
      <w:r>
        <w:t xml:space="preserve">suṣṭhu dogdhrī gauḥ</w:t>
      </w:r>
      <w:r>
        <w:t xml:space="preserve">’</w:t>
      </w:r>
      <w:r>
        <w:t xml:space="preserve">). As, in the world, the milker of a cow calls the cow that is to be milked, to face him, for the sake of the milking, so (we call Indra). Among the twelve names for</w:t>
      </w:r>
      <w:r>
        <w:t xml:space="preserve"> </w:t>
      </w:r>
      <w:r>
        <w:t xml:space="preserve">‘</w:t>
      </w:r>
      <w:r>
        <w:t xml:space="preserve">day,</w:t>
      </w:r>
      <w:r>
        <w:t xml:space="preserve">’</w:t>
      </w:r>
      <w:r>
        <w:t xml:space="preserve"> </w:t>
      </w:r>
      <w:r>
        <w:t xml:space="preserve">beginning with</w:t>
      </w:r>
      <w:r>
        <w:t xml:space="preserve"> </w:t>
      </w:r>
      <w:r>
        <w:t xml:space="preserve">‘</w:t>
      </w:r>
      <w:r>
        <w:t xml:space="preserve">vastoḥ,</w:t>
      </w:r>
      <w:r>
        <w:t xml:space="preserve">’</w:t>
      </w:r>
      <w:r>
        <w:t xml:space="preserve"> </w:t>
      </w:r>
      <w:r>
        <w:t xml:space="preserve">‘</w:t>
      </w:r>
      <w:r>
        <w:t xml:space="preserve">dyavidyavi</w:t>
      </w:r>
      <w:r>
        <w:t xml:space="preserve">’</w:t>
      </w:r>
      <w:r>
        <w:t xml:space="preserve"> </w:t>
      </w:r>
      <w:r>
        <w:t xml:space="preserve">is read.</w:t>
      </w:r>
      <w:r>
        <w:t xml:space="preserve">”</w:t>
      </w:r>
    </w:p>
    <w:p>
      <w:pPr>
        <w:pStyle w:val="BodyText"/>
      </w:pPr>
      <w:r>
        <w:rPr>
          <w:bCs/>
          <w:b/>
        </w:rPr>
        <w:t xml:space="preserve">Grammar within the Bhāṣya</w:t>
      </w:r>
      <w:r>
        <w:t xml:space="preserve"> </w:t>
      </w:r>
      <w:r>
        <w:rPr>
          <w:iCs/>
          <w:i/>
        </w:rPr>
        <w:t xml:space="preserve">(characterized, not transcribed line by line; every sūtra cited is kept):</w:t>
      </w:r>
      <w:r>
        <w:t xml:space="preserve"> </w:t>
      </w:r>
      <w:r>
        <w:t xml:space="preserve">“</w:t>
      </w:r>
      <w:r>
        <w:t xml:space="preserve">Surūpakṛtnum</w:t>
      </w:r>
      <w:r>
        <w:t xml:space="preserve">”</w:t>
      </w:r>
      <w:r>
        <w:t xml:space="preserve">:</w:t>
      </w:r>
      <w:r>
        <w:t xml:space="preserve"> </w:t>
      </w:r>
      <w:r>
        <w:t xml:space="preserve">“</w:t>
      </w:r>
      <w:r>
        <w:t xml:space="preserve">karoti iti kṛtnuḥ</w:t>
      </w:r>
      <w:r>
        <w:t xml:space="preserve">”</w:t>
      </w:r>
      <w:r>
        <w:t xml:space="preserve"> </w:t>
      </w:r>
      <w:r>
        <w:t xml:space="preserve">— the affix</w:t>
      </w:r>
      <w:r>
        <w:t xml:space="preserve"> </w:t>
      </w:r>
      <w:r>
        <w:t xml:space="preserve">“</w:t>
      </w:r>
      <w:r>
        <w:t xml:space="preserve">knu</w:t>
      </w:r>
      <w:r>
        <w:t xml:space="preserve">”</w:t>
      </w:r>
      <w:r>
        <w:t xml:space="preserve"> </w:t>
      </w:r>
      <w:r>
        <w:t xml:space="preserve">after</w:t>
      </w:r>
      <w:r>
        <w:t xml:space="preserve"> </w:t>
      </w:r>
      <w:r>
        <w:t xml:space="preserve">“</w:t>
      </w:r>
      <w:r>
        <w:t xml:space="preserve">kṛ</w:t>
      </w:r>
      <w:r>
        <w:t xml:space="preserve">”</w:t>
      </w:r>
      <w:r>
        <w:t xml:space="preserve"> </w:t>
      </w:r>
      <w:r>
        <w:t xml:space="preserve">and</w:t>
      </w:r>
      <w:r>
        <w:t xml:space="preserve"> </w:t>
      </w:r>
      <w:r>
        <w:t xml:space="preserve">“</w:t>
      </w:r>
      <w:r>
        <w:t xml:space="preserve">hi</w:t>
      </w:r>
      <w:r>
        <w:t xml:space="preserve">”</w:t>
      </w:r>
      <w:r>
        <w:t xml:space="preserve"> </w:t>
      </w:r>
      <w:r>
        <w:t xml:space="preserve">(</w:t>
      </w:r>
      <w:r>
        <w:rPr>
          <w:bCs/>
          <w:b/>
        </w:rPr>
        <w:t xml:space="preserve">कृहिभ्यां क्नुः</w:t>
      </w:r>
      <w:r>
        <w:t xml:space="preserve">, उ. सू. ३-३०); since</w:t>
      </w:r>
      <w:r>
        <w:t xml:space="preserve"> </w:t>
      </w:r>
      <w:r>
        <w:t xml:space="preserve">“</w:t>
      </w:r>
      <w:r>
        <w:t xml:space="preserve">knu</w:t>
      </w:r>
      <w:r>
        <w:t xml:space="preserve">”</w:t>
      </w:r>
      <w:r>
        <w:t xml:space="preserve"> </w:t>
      </w:r>
      <w:r>
        <w:t xml:space="preserve">is</w:t>
      </w:r>
      <w:r>
        <w:t xml:space="preserve"> </w:t>
      </w:r>
      <w:r>
        <w:t xml:space="preserve">“</w:t>
      </w:r>
      <w:r>
        <w:t xml:space="preserve">k</w:t>
      </w:r>
      <w:r>
        <w:t xml:space="preserve">”</w:t>
      </w:r>
      <w:r>
        <w:t xml:space="preserve">-marked, the guṇa does not occur; the</w:t>
      </w:r>
      <w:r>
        <w:t xml:space="preserve"> </w:t>
      </w:r>
      <w:r>
        <w:t xml:space="preserve">“</w:t>
      </w:r>
      <w:r>
        <w:t xml:space="preserve">t</w:t>
      </w:r>
      <w:r>
        <w:t xml:space="preserve">”</w:t>
      </w:r>
      <w:r>
        <w:t xml:space="preserve"> </w:t>
      </w:r>
      <w:r>
        <w:t xml:space="preserve">is inserted, a Vedic usage; the compound’s accent is on its last syllable.</w:t>
      </w:r>
      <w:r>
        <w:t xml:space="preserve"> </w:t>
      </w:r>
      <w:r>
        <w:t xml:space="preserve">“</w:t>
      </w:r>
      <w:r>
        <w:t xml:space="preserve">Ūtaye</w:t>
      </w:r>
      <w:r>
        <w:t xml:space="preserve">”</w:t>
      </w:r>
      <w:r>
        <w:t xml:space="preserve">:</w:t>
      </w:r>
      <w:r>
        <w:t xml:space="preserve"> </w:t>
      </w:r>
      <w:r>
        <w:t xml:space="preserve">“</w:t>
      </w:r>
      <w:r>
        <w:t xml:space="preserve">av</w:t>
      </w:r>
      <w:r>
        <w:t xml:space="preserve">”</w:t>
      </w:r>
      <w:r>
        <w:t xml:space="preserve"> </w:t>
      </w:r>
      <w:r>
        <w:t xml:space="preserve">(to protect) takes</w:t>
      </w:r>
      <w:r>
        <w:t xml:space="preserve"> </w:t>
      </w:r>
      <w:r>
        <w:t xml:space="preserve">“</w:t>
      </w:r>
      <w:r>
        <w:t xml:space="preserve">ktin</w:t>
      </w:r>
      <w:r>
        <w:t xml:space="preserve">”</w:t>
      </w:r>
      <w:r>
        <w:t xml:space="preserve"> </w:t>
      </w:r>
      <w:r>
        <w:t xml:space="preserve">in the Vedic list</w:t>
      </w:r>
      <w:r>
        <w:t xml:space="preserve"> </w:t>
      </w:r>
      <w:r>
        <w:t xml:space="preserve">“</w:t>
      </w:r>
      <w:r>
        <w:t xml:space="preserve">ūti-yūti-jūti-sāti-hetī-kīrtayaś ca</w:t>
      </w:r>
      <w:r>
        <w:t xml:space="preserve">”</w:t>
      </w:r>
      <w:r>
        <w:t xml:space="preserve"> </w:t>
      </w:r>
      <w:r>
        <w:t xml:space="preserve">(</w:t>
      </w:r>
      <w:r>
        <w:rPr>
          <w:bCs/>
          <w:b/>
        </w:rPr>
        <w:t xml:space="preserve">ऊतियूतिजूतिसातिहेतिकीर्तयश्च</w:t>
      </w:r>
      <w:r>
        <w:t xml:space="preserve">, पा. ३-३-९७), which is irregularly formed (nipātana) and has the end-acute.</w:t>
      </w:r>
      <w:r>
        <w:t xml:space="preserve"> </w:t>
      </w:r>
      <w:r>
        <w:t xml:space="preserve">“</w:t>
      </w:r>
      <w:r>
        <w:t xml:space="preserve">Sudughām</w:t>
      </w:r>
      <w:r>
        <w:t xml:space="preserve">”</w:t>
      </w:r>
      <w:r>
        <w:t xml:space="preserve">:</w:t>
      </w:r>
      <w:r>
        <w:t xml:space="preserve"> </w:t>
      </w:r>
      <w:r>
        <w:t xml:space="preserve">“</w:t>
      </w:r>
      <w:r>
        <w:t xml:space="preserve">su</w:t>
      </w:r>
      <w:r>
        <w:t xml:space="preserve">”</w:t>
      </w:r>
      <w:r>
        <w:t xml:space="preserve"> </w:t>
      </w:r>
      <w:r>
        <w:t xml:space="preserve">+</w:t>
      </w:r>
      <w:r>
        <w:t xml:space="preserve"> </w:t>
      </w:r>
      <w:r>
        <w:t xml:space="preserve">“</w:t>
      </w:r>
      <w:r>
        <w:t xml:space="preserve">dugdhā</w:t>
      </w:r>
      <w:r>
        <w:t xml:space="preserve">”</w:t>
      </w:r>
      <w:r>
        <w:t xml:space="preserve">; the affix</w:t>
      </w:r>
      <w:r>
        <w:t xml:space="preserve"> </w:t>
      </w:r>
      <w:r>
        <w:t xml:space="preserve">“</w:t>
      </w:r>
      <w:r>
        <w:t xml:space="preserve">kap</w:t>
      </w:r>
      <w:r>
        <w:t xml:space="preserve">”</w:t>
      </w:r>
      <w:r>
        <w:t xml:space="preserve"> </w:t>
      </w:r>
      <w:r>
        <w:t xml:space="preserve">after</w:t>
      </w:r>
      <w:r>
        <w:t xml:space="preserve"> </w:t>
      </w:r>
      <w:r>
        <w:t xml:space="preserve">“</w:t>
      </w:r>
      <w:r>
        <w:t xml:space="preserve">duh</w:t>
      </w:r>
      <w:r>
        <w:t xml:space="preserve">”</w:t>
      </w:r>
      <w:r>
        <w:t xml:space="preserve"> </w:t>
      </w:r>
      <w:r>
        <w:t xml:space="preserve">(</w:t>
      </w:r>
      <w:r>
        <w:rPr>
          <w:bCs/>
          <w:b/>
        </w:rPr>
        <w:t xml:space="preserve">दुहः कब्घश्च</w:t>
      </w:r>
      <w:r>
        <w:t xml:space="preserve">, पा. ३-२-७०), and the</w:t>
      </w:r>
      <w:r>
        <w:t xml:space="preserve"> </w:t>
      </w:r>
      <w:r>
        <w:t xml:space="preserve">“</w:t>
      </w:r>
      <w:r>
        <w:t xml:space="preserve">h</w:t>
      </w:r>
      <w:r>
        <w:t xml:space="preserve">”</w:t>
      </w:r>
      <w:r>
        <w:t xml:space="preserve"> </w:t>
      </w:r>
      <w:r>
        <w:t xml:space="preserve">becomes</w:t>
      </w:r>
      <w:r>
        <w:t xml:space="preserve"> </w:t>
      </w:r>
      <w:r>
        <w:t xml:space="preserve">“</w:t>
      </w:r>
      <w:r>
        <w:t xml:space="preserve">gh</w:t>
      </w:r>
      <w:r>
        <w:t xml:space="preserve">”</w:t>
      </w:r>
      <w:r>
        <w:t xml:space="preserve">;</w:t>
      </w:r>
      <w:r>
        <w:t xml:space="preserve"> </w:t>
      </w:r>
      <w:r>
        <w:t xml:space="preserve">“</w:t>
      </w:r>
      <w:r>
        <w:t xml:space="preserve">kap</w:t>
      </w:r>
      <w:r>
        <w:t xml:space="preserve">”</w:t>
      </w:r>
      <w:r>
        <w:t xml:space="preserve"> </w:t>
      </w:r>
      <w:r>
        <w:t xml:space="preserve">being</w:t>
      </w:r>
      <w:r>
        <w:t xml:space="preserve"> </w:t>
      </w:r>
      <w:r>
        <w:t xml:space="preserve">“</w:t>
      </w:r>
      <w:r>
        <w:t xml:space="preserve">p</w:t>
      </w:r>
      <w:r>
        <w:t xml:space="preserve">”</w:t>
      </w:r>
      <w:r>
        <w:t xml:space="preserve">-marked, the accent of the root remains with the</w:t>
      </w:r>
      <w:r>
        <w:t xml:space="preserve"> </w:t>
      </w:r>
      <w:r>
        <w:t xml:space="preserve">“</w:t>
      </w:r>
      <w:r>
        <w:t xml:space="preserve">u</w:t>
      </w:r>
      <w:r>
        <w:t xml:space="preserve">”</w:t>
      </w:r>
      <w:r>
        <w:t xml:space="preserve"> </w:t>
      </w:r>
      <w:r>
        <w:t xml:space="preserve">acute. With</w:t>
      </w:r>
      <w:r>
        <w:t xml:space="preserve"> </w:t>
      </w:r>
      <w:r>
        <w:t xml:space="preserve">“</w:t>
      </w:r>
      <w:r>
        <w:t xml:space="preserve">su</w:t>
      </w:r>
      <w:r>
        <w:t xml:space="preserve">”</w:t>
      </w:r>
      <w:r>
        <w:t xml:space="preserve"> </w:t>
      </w:r>
      <w:r>
        <w:t xml:space="preserve">as a gati-compound, the second member’s accent is retained; with</w:t>
      </w:r>
      <w:r>
        <w:t xml:space="preserve"> </w:t>
      </w:r>
      <w:r>
        <w:t xml:space="preserve">“</w:t>
      </w:r>
      <w:r>
        <w:t xml:space="preserve">iva</w:t>
      </w:r>
      <w:r>
        <w:t xml:space="preserve">”</w:t>
      </w:r>
      <w:r>
        <w:t xml:space="preserve"> </w:t>
      </w:r>
      <w:r>
        <w:t xml:space="preserve">the case-ending is not elided (</w:t>
      </w:r>
      <w:r>
        <w:rPr>
          <w:bCs/>
          <w:b/>
        </w:rPr>
        <w:t xml:space="preserve">इवेन विभक्त्यलोपः पूर्वपदप्रकृतिस्वरत्वं च</w:t>
      </w:r>
      <w:r>
        <w:t xml:space="preserve">, as on p. 58).</w:t>
      </w:r>
      <w:r>
        <w:t xml:space="preserve"> </w:t>
      </w:r>
      <w:r>
        <w:t xml:space="preserve">“</w:t>
      </w:r>
      <w:r>
        <w:t xml:space="preserve">Goduhe</w:t>
      </w:r>
      <w:r>
        <w:t xml:space="preserve">”</w:t>
      </w:r>
      <w:r>
        <w:t xml:space="preserve">:</w:t>
      </w:r>
      <w:r>
        <w:t xml:space="preserve"> </w:t>
      </w:r>
      <w:r>
        <w:t xml:space="preserve">“</w:t>
      </w:r>
      <w:r>
        <w:t xml:space="preserve">gāṃ dogdhīti godhuk</w:t>
      </w:r>
      <w:r>
        <w:t xml:space="preserve">”</w:t>
      </w:r>
      <w:r>
        <w:t xml:space="preserve"> </w:t>
      </w:r>
      <w:r>
        <w:t xml:space="preserve">—</w:t>
      </w:r>
      <w:r>
        <w:t xml:space="preserve"> </w:t>
      </w:r>
      <w:r>
        <w:t xml:space="preserve">“</w:t>
      </w:r>
      <w:r>
        <w:t xml:space="preserve">kvip</w:t>
      </w:r>
      <w:r>
        <w:t xml:space="preserve">”</w:t>
      </w:r>
      <w:r>
        <w:t xml:space="preserve"> </w:t>
      </w:r>
      <w:r>
        <w:t xml:space="preserve">in the sense of</w:t>
      </w:r>
      <w:r>
        <w:t xml:space="preserve"> </w:t>
      </w:r>
      <w:r>
        <w:t xml:space="preserve">“</w:t>
      </w:r>
      <w:r>
        <w:t xml:space="preserve">doer</w:t>
      </w:r>
      <w:r>
        <w:t xml:space="preserve">”</w:t>
      </w:r>
      <w:r>
        <w:t xml:space="preserve"> </w:t>
      </w:r>
      <w:r>
        <w:t xml:space="preserve">by</w:t>
      </w:r>
      <w:r>
        <w:t xml:space="preserve"> </w:t>
      </w:r>
      <w:r>
        <w:rPr>
          <w:bCs/>
          <w:b/>
        </w:rPr>
        <w:t xml:space="preserve">सत्सूद्विषद्रुहदुहयुजविदभिदच्छिदजिनीराजामुपसर्गेऽपि क्विप्</w:t>
      </w:r>
      <w:r>
        <w:t xml:space="preserve"> </w:t>
      </w:r>
      <w:r>
        <w:t xml:space="preserve">(पा. ३-२-६१); the accent of the second member of a kṛt compound is retained.</w:t>
      </w:r>
      <w:r>
        <w:t xml:space="preserve"> </w:t>
      </w:r>
      <w:r>
        <w:t xml:space="preserve">“</w:t>
      </w:r>
      <w:r>
        <w:t xml:space="preserve">Juhūmasi</w:t>
      </w:r>
      <w:r>
        <w:t xml:space="preserve">”</w:t>
      </w:r>
      <w:r>
        <w:t xml:space="preserve">:</w:t>
      </w:r>
      <w:r>
        <w:t xml:space="preserve"> </w:t>
      </w:r>
      <w:r>
        <w:t xml:space="preserve">“</w:t>
      </w:r>
      <w:r>
        <w:t xml:space="preserve">hve</w:t>
      </w:r>
      <w:r>
        <w:t xml:space="preserve">”</w:t>
      </w:r>
      <w:r>
        <w:t xml:space="preserve"> </w:t>
      </w:r>
      <w:r>
        <w:t xml:space="preserve">(hūyate) in the first-person plural laṭ;</w:t>
      </w:r>
      <w:r>
        <w:t xml:space="preserve"> </w:t>
      </w:r>
      <w:r>
        <w:t xml:space="preserve">“</w:t>
      </w:r>
      <w:r>
        <w:t xml:space="preserve">śap</w:t>
      </w:r>
      <w:r>
        <w:t xml:space="preserve">”</w:t>
      </w:r>
      <w:r>
        <w:t xml:space="preserve"> </w:t>
      </w:r>
      <w:r>
        <w:t xml:space="preserve">is replaced by</w:t>
      </w:r>
      <w:r>
        <w:t xml:space="preserve"> </w:t>
      </w:r>
      <w:r>
        <w:t xml:space="preserve">“</w:t>
      </w:r>
      <w:r>
        <w:t xml:space="preserve">ślu</w:t>
      </w:r>
      <w:r>
        <w:t xml:space="preserve">”</w:t>
      </w:r>
      <w:r>
        <w:t xml:space="preserve"> </w:t>
      </w:r>
      <w:r>
        <w:t xml:space="preserve">in the Veda (</w:t>
      </w:r>
      <w:r>
        <w:rPr>
          <w:bCs/>
          <w:b/>
        </w:rPr>
        <w:t xml:space="preserve">बहुलं छन्दसि</w:t>
      </w:r>
      <w:r>
        <w:t xml:space="preserve">, पा. २-४-७६);</w:t>
      </w:r>
      <w:r>
        <w:t xml:space="preserve"> </w:t>
      </w:r>
      <w:r>
        <w:t xml:space="preserve">“</w:t>
      </w:r>
      <w:r>
        <w:t xml:space="preserve">samprasāraṇa</w:t>
      </w:r>
      <w:r>
        <w:t xml:space="preserve">”</w:t>
      </w:r>
      <w:r>
        <w:t xml:space="preserve"> </w:t>
      </w:r>
      <w:r>
        <w:t xml:space="preserve">of the root before the doubling (</w:t>
      </w:r>
      <w:r>
        <w:rPr>
          <w:bCs/>
          <w:b/>
        </w:rPr>
        <w:t xml:space="preserve">अभ्यस्तस्य च</w:t>
      </w:r>
      <w:r>
        <w:t xml:space="preserve">, पा. ६-१-३३) and the</w:t>
      </w:r>
      <w:r>
        <w:t xml:space="preserve"> </w:t>
      </w:r>
      <w:r>
        <w:t xml:space="preserve">“</w:t>
      </w:r>
      <w:r>
        <w:t xml:space="preserve">pūrvarūpa</w:t>
      </w:r>
      <w:r>
        <w:t xml:space="preserve">”</w:t>
      </w:r>
      <w:r>
        <w:t xml:space="preserve"> </w:t>
      </w:r>
      <w:r>
        <w:t xml:space="preserve">(</w:t>
      </w:r>
      <w:r>
        <w:rPr>
          <w:bCs/>
          <w:b/>
        </w:rPr>
        <w:t xml:space="preserve">संप्रसारणाच्च</w:t>
      </w:r>
      <w:r>
        <w:t xml:space="preserve">, पा. ६-१-१०८); the lengthening (</w:t>
      </w:r>
      <w:r>
        <w:rPr>
          <w:bCs/>
          <w:b/>
        </w:rPr>
        <w:t xml:space="preserve">हलः</w:t>
      </w:r>
      <w:r>
        <w:t xml:space="preserve">, पा. ६-४-२); then the doubling by</w:t>
      </w:r>
      <w:r>
        <w:t xml:space="preserve"> </w:t>
      </w:r>
      <w:r>
        <w:t xml:space="preserve">“</w:t>
      </w:r>
      <w:r>
        <w:t xml:space="preserve">ślau</w:t>
      </w:r>
      <w:r>
        <w:t xml:space="preserve">”</w:t>
      </w:r>
      <w:r>
        <w:t xml:space="preserve">; shortening of the reduplicative syllable (</w:t>
      </w:r>
      <w:r>
        <w:rPr>
          <w:bCs/>
          <w:b/>
        </w:rPr>
        <w:t xml:space="preserve">ह्रस्वः</w:t>
      </w:r>
      <w:r>
        <w:t xml:space="preserve">, पा. ७-४-५९); the</w:t>
      </w:r>
      <w:r>
        <w:t xml:space="preserve"> </w:t>
      </w:r>
      <w:r>
        <w:t xml:space="preserve">“</w:t>
      </w:r>
      <w:r>
        <w:t xml:space="preserve">c</w:t>
      </w:r>
      <w:r>
        <w:t xml:space="preserve">”</w:t>
      </w:r>
      <w:r>
        <w:t xml:space="preserve">/</w:t>
      </w:r>
      <w:r>
        <w:t xml:space="preserve">“</w:t>
      </w:r>
      <w:r>
        <w:t xml:space="preserve">j</w:t>
      </w:r>
      <w:r>
        <w:t xml:space="preserve">”</w:t>
      </w:r>
      <w:r>
        <w:t xml:space="preserve"> </w:t>
      </w:r>
      <w:r>
        <w:t xml:space="preserve">substitutions (</w:t>
      </w:r>
      <w:r>
        <w:rPr>
          <w:bCs/>
          <w:b/>
        </w:rPr>
        <w:t xml:space="preserve">चुत्वजश्त्वे</w:t>
      </w:r>
      <w:r>
        <w:t xml:space="preserve">, पा. ७-४-६२; ८-४-५४); the</w:t>
      </w:r>
      <w:r>
        <w:t xml:space="preserve"> </w:t>
      </w:r>
      <w:r>
        <w:t xml:space="preserve">“</w:t>
      </w:r>
      <w:r>
        <w:t xml:space="preserve">mas</w:t>
      </w:r>
      <w:r>
        <w:t xml:space="preserve">”</w:t>
      </w:r>
      <w:r>
        <w:t xml:space="preserve"> </w:t>
      </w:r>
      <w:r>
        <w:t xml:space="preserve">ending takes</w:t>
      </w:r>
      <w:r>
        <w:t xml:space="preserve"> </w:t>
      </w:r>
      <w:r>
        <w:t xml:space="preserve">“</w:t>
      </w:r>
      <w:r>
        <w:t xml:space="preserve">i</w:t>
      </w:r>
      <w:r>
        <w:t xml:space="preserve">”</w:t>
      </w:r>
      <w:r>
        <w:t xml:space="preserve"> </w:t>
      </w:r>
      <w:r>
        <w:t xml:space="preserve">by</w:t>
      </w:r>
      <w:r>
        <w:t xml:space="preserve"> </w:t>
      </w:r>
      <w:r>
        <w:rPr>
          <w:bCs/>
          <w:b/>
        </w:rPr>
        <w:t xml:space="preserve">इदन्तो मसिः</w:t>
      </w:r>
      <w:r>
        <w:t xml:space="preserve"> </w:t>
      </w:r>
      <w:r>
        <w:t xml:space="preserve">(पा. ७-१-४६); the</w:t>
      </w:r>
      <w:r>
        <w:t xml:space="preserve"> </w:t>
      </w:r>
      <w:r>
        <w:t xml:space="preserve">“</w:t>
      </w:r>
      <w:r>
        <w:t xml:space="preserve">m</w:t>
      </w:r>
      <w:r>
        <w:t xml:space="preserve">”</w:t>
      </w:r>
      <w:r>
        <w:t xml:space="preserve"> </w:t>
      </w:r>
      <w:r>
        <w:t xml:space="preserve">is acute by the accent of the affix.</w:t>
      </w:r>
      <w:r>
        <w:t xml:space="preserve"> </w:t>
      </w:r>
      <w:r>
        <w:t xml:space="preserve">“</w:t>
      </w:r>
      <w:r>
        <w:t xml:space="preserve">Dyavi dyavi</w:t>
      </w:r>
      <w:r>
        <w:t xml:space="preserve">”</w:t>
      </w:r>
      <w:r>
        <w:t xml:space="preserve">:</w:t>
      </w:r>
      <w:r>
        <w:t xml:space="preserve"> </w:t>
      </w:r>
      <w:r>
        <w:t xml:space="preserve">“</w:t>
      </w:r>
      <w:r>
        <w:t xml:space="preserve">dyu</w:t>
      </w:r>
      <w:r>
        <w:t xml:space="preserve">”</w:t>
      </w:r>
      <w:r>
        <w:t xml:space="preserve"> </w:t>
      </w:r>
      <w:r>
        <w:t xml:space="preserve">has the bare-stem accent on the last syllable; in the sense of repetition the word is doubled (</w:t>
      </w:r>
      <w:r>
        <w:rPr>
          <w:bCs/>
          <w:b/>
        </w:rPr>
        <w:t xml:space="preserve">नित्यवीप्सयोः</w:t>
      </w:r>
      <w:r>
        <w:t xml:space="preserve">, पा. ८-१-४); and the second is, by</w:t>
      </w:r>
      <w:r>
        <w:t xml:space="preserve"> </w:t>
      </w:r>
      <w:r>
        <w:rPr>
          <w:bCs/>
          <w:b/>
        </w:rPr>
        <w:t xml:space="preserve">परमाम्रेडितम्</w:t>
      </w:r>
      <w:r>
        <w:t xml:space="preserve"> </w:t>
      </w:r>
      <w:r>
        <w:t xml:space="preserve">(पा. ८-१-२) and</w:t>
      </w:r>
      <w:r>
        <w:t xml:space="preserve"> </w:t>
      </w:r>
      <w:r>
        <w:rPr>
          <w:bCs/>
          <w:b/>
        </w:rPr>
        <w:t xml:space="preserve">अनुदात्तं च</w:t>
      </w:r>
      <w:r>
        <w:t xml:space="preserve"> </w:t>
      </w:r>
      <w:r>
        <w:t xml:space="preserve">(पा. ८-१-३) [numbers as printed], unaccented.</w:t>
      </w:r>
    </w:p>
    <w:p>
      <w:pPr>
        <w:pStyle w:val="BodyText"/>
      </w:pPr>
      <w:r>
        <w:rPr>
          <w:bCs/>
          <w:b/>
        </w:rPr>
        <w:t xml:space="preserve">॥ Prati-padārthaḥ ॥</w:t>
      </w:r>
      <w:r>
        <w:t xml:space="preserve"> </w:t>
      </w:r>
      <w:r>
        <w:rPr>
          <w:iCs/>
          <w:i/>
        </w:rPr>
        <w:t xml:space="preserve">(Kannada, translated; continued on the next page)</w:t>
      </w:r>
    </w:p>
    <w:p>
      <w:pPr>
        <w:pStyle w:val="BodyText"/>
      </w:pPr>
      <w:r>
        <w:rPr>
          <w:bCs/>
          <w:b/>
        </w:rPr>
        <w:t xml:space="preserve">गोदुहे (goduhe)</w:t>
      </w:r>
      <w:r>
        <w:t xml:space="preserve"> </w:t>
      </w:r>
      <w:r>
        <w:t xml:space="preserve">— for the sake of milking |</w:t>
      </w:r>
      <w:r>
        <w:t xml:space="preserve"> </w:t>
      </w:r>
      <w:r>
        <w:rPr>
          <w:bCs/>
          <w:b/>
        </w:rPr>
        <w:t xml:space="preserve">सुदुघामिव (sudughām iva)</w:t>
      </w:r>
      <w:r>
        <w:t xml:space="preserve"> </w:t>
      </w:r>
      <w:r>
        <w:t xml:space="preserve">— like a cow that gives milk (or that gives much milk) |</w:t>
      </w:r>
      <w:r>
        <w:t xml:space="preserve"> </w:t>
      </w:r>
      <w:r>
        <w:rPr>
          <w:bCs/>
          <w:b/>
        </w:rPr>
        <w:t xml:space="preserve">सुरूपकृत्नुम् (surūpakṛtnum)</w:t>
      </w:r>
      <w:r>
        <w:t xml:space="preserve"> </w:t>
      </w:r>
      <w:r>
        <w:t xml:space="preserve">— (him) who does good (beautiful) deeds — (Indra) …</w:t>
      </w:r>
      <w:r>
        <w:t xml:space="preserve"> </w:t>
      </w:r>
      <w:r>
        <w:rPr>
          <w:iCs/>
          <w:i/>
        </w:rPr>
        <w:t xml:space="preserve">(continues on the next page)</w:t>
      </w:r>
    </w:p>
    <w:bookmarkEnd w:id="117"/>
    <w:bookmarkStart w:id="118" w:name="Xc3fb4e23c03bcc9b533c547ee1cd81850c98cac"/>
    <w:p>
      <w:pPr>
        <w:pStyle w:val="Heading3"/>
      </w:pPr>
      <w:r>
        <w:t xml:space="preserve">Page 89 — Rik 4.1: Pada-meanings concluded; Bhāvārtha; English rendering; Special topics (opening)</w:t>
      </w:r>
    </w:p>
    <w:p>
      <w:pPr>
        <w:pStyle w:val="FirstParagraph"/>
      </w:pPr>
      <w:r>
        <w:rPr>
          <w:iCs/>
          <w:i/>
        </w:rPr>
        <w:t xml:space="preserve">(Page header:</w:t>
      </w:r>
      <w:r>
        <w:rPr>
          <w:iCs/>
          <w:i/>
        </w:rPr>
        <w:t xml:space="preserve"> </w:t>
      </w:r>
      <w:r>
        <w:rPr>
          <w:iCs/>
          <w:i/>
        </w:rPr>
        <w:t xml:space="preserve">“</w:t>
      </w:r>
      <w:r>
        <w:rPr>
          <w:iCs/>
          <w:i/>
        </w:rPr>
        <w:t xml:space="preserve">Aṣṭaka 1, Adhyāya 1, Varga 7 · Ṛgveda-saṃhitā.</w:t>
      </w:r>
      <w:r>
        <w:rPr>
          <w:iCs/>
          <w:i/>
        </w:rPr>
        <w:t xml:space="preserve">”</w:t>
      </w:r>
      <w:r>
        <w:rPr>
          <w:iCs/>
          <w:i/>
        </w:rPr>
        <w:t xml:space="preserve"> </w:t>
      </w:r>
      <w:r>
        <w:rPr>
          <w:iCs/>
          <w:i/>
        </w:rPr>
        <w:t xml:space="preserve">English as printed in the source. The verse cited below is as printed; I note that the same Ṛk was already quoted in Sūkta 3, p. 25 of this file’s earlier text.)</w:t>
      </w:r>
    </w:p>
    <w:p>
      <w:pPr>
        <w:pStyle w:val="BodyText"/>
      </w:pPr>
      <w:r>
        <w:rPr>
          <w:iCs/>
          <w:i/>
        </w:rPr>
        <w:t xml:space="preserve">(Continuing:)</w:t>
      </w:r>
      <w:r>
        <w:t xml:space="preserve"> </w:t>
      </w:r>
      <w:r>
        <w:t xml:space="preserve">…who does (Indra) |</w:t>
      </w:r>
      <w:r>
        <w:t xml:space="preserve"> </w:t>
      </w:r>
      <w:r>
        <w:rPr>
          <w:bCs/>
          <w:b/>
        </w:rPr>
        <w:t xml:space="preserve">ऊतये (ūtaye)</w:t>
      </w:r>
      <w:r>
        <w:t xml:space="preserve"> </w:t>
      </w:r>
      <w:r>
        <w:t xml:space="preserve">— for (our) protection |</w:t>
      </w:r>
      <w:r>
        <w:t xml:space="preserve"> </w:t>
      </w:r>
      <w:r>
        <w:rPr>
          <w:bCs/>
          <w:b/>
        </w:rPr>
        <w:t xml:space="preserve">द्यविद्यवि (dyavidyavi)</w:t>
      </w:r>
      <w:r>
        <w:t xml:space="preserve"> </w:t>
      </w:r>
      <w:r>
        <w:t xml:space="preserve">— every day |</w:t>
      </w:r>
      <w:r>
        <w:t xml:space="preserve"> </w:t>
      </w:r>
      <w:r>
        <w:rPr>
          <w:bCs/>
          <w:b/>
        </w:rPr>
        <w:t xml:space="preserve">जुहूमसि (juhūmasi)</w:t>
      </w:r>
      <w:r>
        <w:t xml:space="preserve"> </w:t>
      </w:r>
      <w:r>
        <w:t xml:space="preserve">— we call (we call him to come near us).</w:t>
      </w:r>
    </w:p>
    <w:p>
      <w:pPr>
        <w:pStyle w:val="BodyText"/>
      </w:pPr>
      <w:r>
        <w:rPr>
          <w:bCs/>
          <w:b/>
        </w:rPr>
        <w:t xml:space="preserve">॥ Bhāvārthaḥ ॥</w:t>
      </w:r>
      <w:r>
        <w:t xml:space="preserve"> </w:t>
      </w:r>
      <w:r>
        <w:rPr>
          <w:iCs/>
          <w:i/>
        </w:rPr>
        <w:t xml:space="preserve">(Kannada, translated)</w:t>
      </w:r>
    </w:p>
    <w:p>
      <w:pPr>
        <w:pStyle w:val="BodyText"/>
      </w:pPr>
      <w:r>
        <w:t xml:space="preserve">Just as we call, with love, a cow that gives milk, to come near us, so every day, for our protection, we call to us Indra, who can do wonderful — that is, daring — deeds.</w:t>
      </w:r>
    </w:p>
    <w:p>
      <w:pPr>
        <w:pStyle w:val="BodyText"/>
      </w:pPr>
      <w:r>
        <w:rPr>
          <w:bCs/>
          <w:b/>
        </w:rPr>
        <w:t xml:space="preserve">English Translation</w:t>
      </w:r>
      <w:r>
        <w:t xml:space="preserve"> </w:t>
      </w:r>
      <w:r>
        <w:rPr>
          <w:iCs/>
          <w:i/>
        </w:rPr>
        <w:t xml:space="preserve">(printed in English in the source itself):</w:t>
      </w:r>
    </w:p>
    <w:p>
      <w:pPr>
        <w:pStyle w:val="BodyText"/>
      </w:pPr>
      <w:r>
        <w:t xml:space="preserve">“</w:t>
      </w:r>
      <w:r>
        <w:t xml:space="preserve">We invoke the performer of beautiful actions (Indra) day by day for our protection like a good milch-cow for the purpose of milking.</w:t>
      </w:r>
      <w:r>
        <w:t xml:space="preserve">”</w:t>
      </w:r>
    </w:p>
    <w:p>
      <w:pPr>
        <w:pStyle w:val="BodyText"/>
      </w:pPr>
      <w:r>
        <w:rPr>
          <w:bCs/>
          <w:b/>
        </w:rPr>
        <w:t xml:space="preserve">॥ Viśeṣa-viṣayagaḷu (Special Topics) ॥</w:t>
      </w:r>
    </w:p>
    <w:p>
      <w:pPr>
        <w:pStyle w:val="BodyText"/>
      </w:pPr>
      <w:r>
        <w:rPr>
          <w:bCs/>
          <w:b/>
        </w:rPr>
        <w:t xml:space="preserve">सुरूपकृत्नुम् (surūpakṛtnum)</w:t>
      </w:r>
      <w:r>
        <w:t xml:space="preserve"> </w:t>
      </w:r>
      <w:r>
        <w:t xml:space="preserve">— This word is not used elsewhere in the Ṛgveda than in this Ṛk. The Bhāṣyakāra explains this word as</w:t>
      </w:r>
      <w:r>
        <w:t xml:space="preserve"> </w:t>
      </w:r>
      <w:r>
        <w:t xml:space="preserve">“</w:t>
      </w:r>
      <w:r>
        <w:t xml:space="preserve">śobhana-rūpopetasya karmaṇaḥ kartāram</w:t>
      </w:r>
      <w:r>
        <w:t xml:space="preserve">”</w:t>
      </w:r>
      <w:r>
        <w:t xml:space="preserve"> </w:t>
      </w:r>
      <w:r>
        <w:t xml:space="preserve">(</w:t>
      </w:r>
      <w:r>
        <w:t xml:space="preserve">“</w:t>
      </w:r>
      <w:r>
        <w:t xml:space="preserve">the doer of action endowed with beautiful form</w:t>
      </w:r>
      <w:r>
        <w:t xml:space="preserve">”</w:t>
      </w:r>
      <w:r>
        <w:t xml:space="preserve">) — one who does works of a good form. The explanation of Skandasvāmī and Veṅkaṭamādhava is the same.</w:t>
      </w:r>
      <w:r>
        <w:t xml:space="preserve"> </w:t>
      </w:r>
      <w:r>
        <w:rPr>
          <w:bCs/>
          <w:b/>
        </w:rPr>
        <w:t xml:space="preserve">Griffith</w:t>
      </w:r>
      <w:r>
        <w:t xml:space="preserve"> </w:t>
      </w:r>
      <w:r>
        <w:t xml:space="preserve">and</w:t>
      </w:r>
      <w:r>
        <w:t xml:space="preserve"> </w:t>
      </w:r>
      <w:r>
        <w:rPr>
          <w:bCs/>
          <w:b/>
        </w:rPr>
        <w:t xml:space="preserve">Macdonell</w:t>
      </w:r>
      <w:r>
        <w:t xml:space="preserve"> </w:t>
      </w:r>
      <w:r>
        <w:t xml:space="preserve">follow Sāyaṇa’s sense.</w:t>
      </w:r>
      <w:r>
        <w:t xml:space="preserve"> </w:t>
      </w:r>
      <w:r>
        <w:rPr>
          <w:bCs/>
          <w:b/>
        </w:rPr>
        <w:t xml:space="preserve">Grassmann</w:t>
      </w:r>
      <w:r>
        <w:t xml:space="preserve">, the German scholar:</w:t>
      </w:r>
      <w:r>
        <w:t xml:space="preserve"> </w:t>
      </w:r>
      <w:r>
        <w:t xml:space="preserve">“</w:t>
      </w:r>
      <w:r>
        <w:t xml:space="preserve">He who knows to perform beautiful things</w:t>
      </w:r>
      <w:r>
        <w:t xml:space="preserve">”</w:t>
      </w:r>
      <w:r>
        <w:t xml:space="preserve"> </w:t>
      </w:r>
      <w:r>
        <w:t xml:space="preserve">— one with the power to do beautiful deeds;</w:t>
      </w:r>
      <w:r>
        <w:t xml:space="preserve"> </w:t>
      </w:r>
      <w:r>
        <w:rPr>
          <w:bCs/>
          <w:b/>
        </w:rPr>
        <w:t xml:space="preserve">Ludwig</w:t>
      </w:r>
      <w:r>
        <w:t xml:space="preserve">:</w:t>
      </w:r>
      <w:r>
        <w:t xml:space="preserve"> </w:t>
      </w:r>
      <w:r>
        <w:t xml:space="preserve">“</w:t>
      </w:r>
      <w:r>
        <w:t xml:space="preserve">Creater [sic] of beautiful forms</w:t>
      </w:r>
      <w:r>
        <w:t xml:space="preserve">”</w:t>
      </w:r>
      <w:r>
        <w:t xml:space="preserve"> </w:t>
      </w:r>
      <w:r>
        <w:t xml:space="preserve">— one who can create beautiful shapes. But</w:t>
      </w:r>
      <w:r>
        <w:t xml:space="preserve"> </w:t>
      </w:r>
      <w:r>
        <w:rPr>
          <w:bCs/>
          <w:b/>
        </w:rPr>
        <w:t xml:space="preserve">Geldner</w:t>
      </w:r>
      <w:r>
        <w:t xml:space="preserve">:</w:t>
      </w:r>
      <w:r>
        <w:t xml:space="preserve"> </w:t>
      </w:r>
      <w:r>
        <w:t xml:space="preserve">“</w:t>
      </w:r>
      <w:r>
        <w:t xml:space="preserve">when he assumes his good forms or he who shows himself from his best side</w:t>
      </w:r>
      <w:r>
        <w:t xml:space="preserve">”</w:t>
      </w:r>
      <w:r>
        <w:t xml:space="preserve"> </w:t>
      </w:r>
      <w:r>
        <w:t xml:space="preserve">—</w:t>
      </w:r>
      <w:r>
        <w:t xml:space="preserve"> </w:t>
      </w:r>
      <w:r>
        <w:t xml:space="preserve">“</w:t>
      </w:r>
      <w:r>
        <w:t xml:space="preserve">one who shows his own best form</w:t>
      </w:r>
      <w:r>
        <w:t xml:space="preserve">”</w:t>
      </w:r>
      <w:r>
        <w:t xml:space="preserve"> </w:t>
      </w:r>
      <w:r>
        <w:t xml:space="preserve">— and in support of this meaning he has cited the Ṛk:</w:t>
      </w:r>
    </w:p>
    <w:p>
      <w:pPr>
        <w:pStyle w:val="BlockText"/>
      </w:pPr>
      <w:r>
        <w:t xml:space="preserve">रूपंरूपं प्रतिरूपो बभूव तदस्य रूपं प्रतिचक्षणाय ।</w:t>
      </w:r>
      <w:r>
        <w:t xml:space="preserve"> </w:t>
      </w:r>
      <w:r>
        <w:t xml:space="preserve">इन्द्रो मायाभिः पुरुरूप ईयते युक्ता ह्यस्य हरयः शता दश ॥ (ऋ. सं. ६-४७-१८)</w:t>
      </w:r>
      <w:r>
        <w:t xml:space="preserve"> </w:t>
      </w:r>
      <w:r>
        <w:rPr>
          <w:iCs/>
          <w:i/>
        </w:rPr>
        <w:t xml:space="preserve">rūpaṃ-rūpaṃ pratirūpo babhūva tad asya rūpaṃ praticakṣaṇāya |</w:t>
      </w:r>
      <w:r>
        <w:t xml:space="preserve"> </w:t>
      </w:r>
      <w:r>
        <w:rPr>
          <w:iCs/>
          <w:i/>
        </w:rPr>
        <w:t xml:space="preserve">indro māyābhiḥ pururūpa īyate yuktā hy asya harayaḥ śatā daśa || (ṛ. saṃ. 6-47-18)</w:t>
      </w:r>
      <w:r>
        <w:t xml:space="preserve"> </w:t>
      </w:r>
      <w:r>
        <w:t xml:space="preserve">The source’s English (from Geldner):</w:t>
      </w:r>
      <w:r>
        <w:t xml:space="preserve"> </w:t>
      </w:r>
      <w:r>
        <w:t xml:space="preserve">“</w:t>
      </w:r>
      <w:r>
        <w:t xml:space="preserve">He has become suitable to every form; this true form of his is to be recognised again and again. Indra assumes many forms by virtue of his mysterious power; for, ten hundred horses have been yoked for him.</w:t>
      </w:r>
      <w:r>
        <w:t xml:space="preserve">”</w:t>
      </w:r>
    </w:p>
    <w:p>
      <w:pPr>
        <w:pStyle w:val="FirstParagraph"/>
      </w:pPr>
      <w:r>
        <w:t xml:space="preserve">— the chief import being that Indra, by his own power of māyā, is able to assume many forms. And…</w:t>
      </w:r>
      <w:r>
        <w:t xml:space="preserve"> </w:t>
      </w:r>
      <w:r>
        <w:rPr>
          <w:iCs/>
          <w:i/>
        </w:rPr>
        <w:t xml:space="preserve">(continues on the next page)</w:t>
      </w:r>
    </w:p>
    <w:bookmarkEnd w:id="118"/>
    <w:bookmarkStart w:id="119" w:name="X4e24c730bde46792ad7bcbac98e166ceb0f846f"/>
    <w:p>
      <w:pPr>
        <w:pStyle w:val="Heading3"/>
      </w:pPr>
      <w:r>
        <w:t xml:space="preserve">Page 90 — Special topics on Rik 4.1 (continued): Indra’s many forms;</w:t>
      </w:r>
      <w:r>
        <w:t xml:space="preserve"> </w:t>
      </w:r>
      <w:r>
        <w:t xml:space="preserve">“</w:t>
      </w:r>
      <w:r>
        <w:t xml:space="preserve">surūpakṛtnum</w:t>
      </w:r>
      <w:r>
        <w:t xml:space="preserve">”</w:t>
      </w:r>
      <w:r>
        <w:t xml:space="preserve"> </w:t>
      </w:r>
      <w:r>
        <w:t xml:space="preserve">and</w:t>
      </w:r>
      <w:r>
        <w:t xml:space="preserve"> </w:t>
      </w:r>
      <w:r>
        <w:t xml:space="preserve">“</w:t>
      </w:r>
      <w:r>
        <w:t xml:space="preserve">lokakṛtnum</w:t>
      </w:r>
      <w:r>
        <w:t xml:space="preserve">”</w:t>
      </w:r>
      <w:r>
        <w:t xml:space="preserve">;</w:t>
      </w:r>
      <w:r>
        <w:t xml:space="preserve"> </w:t>
      </w:r>
      <w:r>
        <w:t xml:space="preserve">“</w:t>
      </w:r>
      <w:r>
        <w:t xml:space="preserve">ūtaye</w:t>
      </w:r>
      <w:r>
        <w:t xml:space="preserve">”</w:t>
      </w:r>
      <w:r>
        <w:t xml:space="preserve"> </w:t>
      </w:r>
      <w:r>
        <w:t xml:space="preserve">(opening)</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4.</w:t>
      </w:r>
      <w:r>
        <w:rPr>
          <w:iCs/>
          <w:i/>
        </w:rPr>
        <w:t xml:space="preserve">”</w:t>
      </w:r>
      <w:r>
        <w:rPr>
          <w:iCs/>
          <w:i/>
        </w:rPr>
        <w:t xml:space="preserve"> </w:t>
      </w:r>
      <w:r>
        <w:rPr>
          <w:iCs/>
          <w:i/>
        </w:rPr>
        <w:t xml:space="preserve">Ṛg-vedic and Nirukta reference-numbers are in small Kannada numerals and</w:t>
      </w:r>
      <w:r>
        <w:rPr>
          <w:iCs/>
          <w:i/>
        </w:rPr>
        <w:t xml:space="preserve"> </w:t>
      </w:r>
      <w:r>
        <w:rPr>
          <w:bCs/>
          <w:b/>
          <w:iCs/>
          <w:i/>
        </w:rPr>
        <w:t xml:space="preserve">all are marked [?]</w:t>
      </w:r>
      <w:r>
        <w:rPr>
          <w:iCs/>
          <w:i/>
        </w:rPr>
        <w:t xml:space="preserve">. The glosses on verses are mine, tentative; the source gives none. In the Nirukta passage one word is unclear to me and flagged.)</w:t>
      </w:r>
    </w:p>
    <w:p>
      <w:pPr>
        <w:pStyle w:val="BodyText"/>
      </w:pPr>
      <w:r>
        <w:rPr>
          <w:iCs/>
          <w:i/>
        </w:rPr>
        <w:t xml:space="preserve">(Continuing from p. 89:)</w:t>
      </w:r>
      <w:r>
        <w:t xml:space="preserve"> </w:t>
      </w:r>
      <w:r>
        <w:t xml:space="preserve">In the Ṛk</w:t>
      </w:r>
    </w:p>
    <w:p>
      <w:pPr>
        <w:pStyle w:val="BlockText"/>
      </w:pPr>
      <w:r>
        <w:t xml:space="preserve">रूपंरूपं मघवा बोभवीति मायाः कृण्वानस्तन्वं परि स्वाम् । (ऋ. सं. ३-५३-८)</w:t>
      </w:r>
      <w:r>
        <w:t xml:space="preserve"> </w:t>
      </w:r>
      <w:r>
        <w:rPr>
          <w:iCs/>
          <w:i/>
        </w:rPr>
        <w:t xml:space="preserve">rūpaṃ-rūpaṃ maghavā bobhavīti māyāḥ kṛṇvānas tanvaṃ pari svām | (ṛ. saṃ. 3-53-8)</w:t>
      </w:r>
      <w:r>
        <w:t xml:space="preserve"> </w:t>
      </w:r>
      <w:r>
        <w:t xml:space="preserve">Gloss:</w:t>
      </w:r>
      <w:r>
        <w:t xml:space="preserve"> </w:t>
      </w:r>
      <w:r>
        <w:t xml:space="preserve">“</w:t>
      </w:r>
      <w:r>
        <w:t xml:space="preserve">Maghavan becomes form after form, working his magic arts around his own body.</w:t>
      </w:r>
      <w:r>
        <w:t xml:space="preserve">”</w:t>
      </w:r>
    </w:p>
    <w:p>
      <w:pPr>
        <w:pStyle w:val="FirstParagraph"/>
      </w:pPr>
      <w:r>
        <w:t xml:space="preserve">too it is said that Indra is able to assume many forms. In the Nirukta as well (Ni. 10-17) this Ṛk is explained thus:</w:t>
      </w:r>
    </w:p>
    <w:p>
      <w:pPr>
        <w:pStyle w:val="BlockText"/>
      </w:pPr>
      <w:r>
        <w:t xml:space="preserve">विश्वामित्रस्यार्षम् । यावन्ति कानिचिद्रूपाणि मघवा इन्द्रो भवितुमिच्छति तानि सर्वाण्यप्रतिबन्धेन बोभवीति पुनःपुनर्भवतीति । कथम् । मायाः कृण्वानः इदं भवामीदं भवामीत्येवं</w:t>
      </w:r>
      <w:r>
        <w:t xml:space="preserve"> </w:t>
      </w:r>
      <w:r>
        <w:t xml:space="preserve">“</w:t>
      </w:r>
      <w:r>
        <w:t xml:space="preserve">तन्वं परि स्वां</w:t>
      </w:r>
      <w:r>
        <w:t xml:space="preserve">”</w:t>
      </w:r>
      <w:r>
        <w:t xml:space="preserve"> </w:t>
      </w:r>
      <w:r>
        <w:t xml:space="preserve">स्वां तनुं तत्तदाकृत्यानेकविधां विकुर्वाणः । तेनासावचिन्त्यप्रभावत्वाच्छक्नोति तत्तद्रूपमावेष्टुम् ॥ इत्यादि</w:t>
      </w:r>
      <w:r>
        <w:t xml:space="preserve"> </w:t>
      </w:r>
      <w:r>
        <w:rPr>
          <w:iCs/>
          <w:i/>
        </w:rPr>
        <w:t xml:space="preserve">viśvāmitrasyārṣam | yāvanti kānicid rūpāṇi maghavā indro bhavitum icchati tāni sarvāṇy apratibandhena bobhavīti punaḥ-punar bhavatīti | katham | māyāḥ kṛṇvānaḥ idaṃ bhavāmīdaṃ bhavāmīty evaṃ</w:t>
      </w:r>
      <w:r>
        <w:rPr>
          <w:iCs/>
          <w:i/>
        </w:rPr>
        <w:t xml:space="preserve"> </w:t>
      </w:r>
      <w:r>
        <w:rPr>
          <w:iCs/>
          <w:i/>
        </w:rPr>
        <w:t xml:space="preserve">“</w:t>
      </w:r>
      <w:r>
        <w:rPr>
          <w:iCs/>
          <w:i/>
        </w:rPr>
        <w:t xml:space="preserve">tanvaṃ pari svāṃ</w:t>
      </w:r>
      <w:r>
        <w:rPr>
          <w:iCs/>
          <w:i/>
        </w:rPr>
        <w:t xml:space="preserve">”</w:t>
      </w:r>
      <w:r>
        <w:rPr>
          <w:iCs/>
          <w:i/>
        </w:rPr>
        <w:t xml:space="preserve"> </w:t>
      </w:r>
      <w:r>
        <w:rPr>
          <w:iCs/>
          <w:i/>
        </w:rPr>
        <w:t xml:space="preserve">svāṃ tanuṃ tat-tad-ākṛtyānekavidhāṃ vikurvāṇaḥ | tenāsāv acintya-prabhāvatvāc chaknoti tat-tad-rūpam āveṣṭum || ity ādi</w:t>
      </w:r>
    </w:p>
    <w:p>
      <w:pPr>
        <w:pStyle w:val="FirstParagraph"/>
      </w:pPr>
      <w:r>
        <w:rPr>
          <w:bCs/>
          <w:b/>
        </w:rPr>
        <w:t xml:space="preserve">Translation:</w:t>
      </w:r>
      <w:r>
        <w:t xml:space="preserve"> </w:t>
      </w:r>
      <w:r>
        <w:t xml:space="preserve">“</w:t>
      </w:r>
      <w:r>
        <w:t xml:space="preserve">(This Ṛk is) the revelation of Viśvāmitra. Whatever forms Maghavan Indra wishes to become, all of them he becomes without hindrance, again and again. How?</w:t>
      </w:r>
      <w:r>
        <w:t xml:space="preserve"> </w:t>
      </w:r>
      <w:r>
        <w:t xml:space="preserve">‘</w:t>
      </w:r>
      <w:r>
        <w:rPr>
          <w:iCs/>
          <w:i/>
        </w:rPr>
        <w:t xml:space="preserve">Working māyās</w:t>
      </w:r>
      <w:r>
        <w:t xml:space="preserve">’</w:t>
      </w:r>
      <w:r>
        <w:t xml:space="preserve">:</w:t>
      </w:r>
      <w:r>
        <w:t xml:space="preserve"> </w:t>
      </w:r>
      <w:r>
        <w:t xml:space="preserve">‘</w:t>
      </w:r>
      <w:r>
        <w:t xml:space="preserve">I become this, I become this</w:t>
      </w:r>
      <w:r>
        <w:t xml:space="preserve">’</w:t>
      </w:r>
      <w:r>
        <w:t xml:space="preserve"> </w:t>
      </w:r>
      <w:r>
        <w:t xml:space="preserve">— thus</w:t>
      </w:r>
      <w:r>
        <w:t xml:space="preserve"> </w:t>
      </w:r>
      <w:r>
        <w:t xml:space="preserve">‘</w:t>
      </w:r>
      <w:r>
        <w:rPr>
          <w:iCs/>
          <w:i/>
        </w:rPr>
        <w:t xml:space="preserve">around his own body</w:t>
      </w:r>
      <w:r>
        <w:t xml:space="preserve">’</w:t>
      </w:r>
      <w:r>
        <w:t xml:space="preserve"> </w:t>
      </w:r>
      <w:r>
        <w:t xml:space="preserve">— his own body, in this and that shape, transforming it in many ways. Therefore, through his [a]-inconceivable power (</w:t>
      </w:r>
      <w:r>
        <w:t xml:space="preserve">”</w:t>
      </w:r>
      <w:r>
        <w:t xml:space="preserve">[a]cintya-prabhāvatvāt” — the first letter of the word is not clear to me), he is able to enter into this or that form,” and so on.</w:t>
      </w:r>
    </w:p>
    <w:p>
      <w:pPr>
        <w:pStyle w:val="BodyText"/>
      </w:pPr>
      <w:r>
        <w:t xml:space="preserve">That is, in this Ṛk the ṛṣi Viśvāmitra says this: Indra, by his power of māyā, is able to transform his own body in many ways — that is, to take on, as the occasion requires, many different bodily forms. In the time of slaying enemies he can take a terrible form, and in fulfilling the wishes of the worshipper or of the people who praise him he can take a lovely form; and he has the power of māyā suited to such actions. Therefore, since in the Ṛk in hand the word</w:t>
      </w:r>
      <w:r>
        <w:t xml:space="preserve"> </w:t>
      </w:r>
      <w:r>
        <w:t xml:space="preserve">“</w:t>
      </w:r>
      <w:r>
        <w:t xml:space="preserve">surūpakṛtnum</w:t>
      </w:r>
      <w:r>
        <w:t xml:space="preserve">”</w:t>
      </w:r>
      <w:r>
        <w:t xml:space="preserve"> </w:t>
      </w:r>
      <w:r>
        <w:t xml:space="preserve">is used in calling Indra, with love, for our protection, the ṛṣi may have used the word to signify that Indra should come here, taking, by his power of māyā, a beautiful — that is, a gracious — form, to guard us. The word</w:t>
      </w:r>
      <w:r>
        <w:t xml:space="preserve"> </w:t>
      </w:r>
      <w:r>
        <w:t xml:space="preserve">“</w:t>
      </w:r>
      <w:r>
        <w:rPr>
          <w:bCs/>
          <w:b/>
        </w:rPr>
        <w:t xml:space="preserve">kṛtnu</w:t>
      </w:r>
      <w:r>
        <w:t xml:space="preserve">”</w:t>
      </w:r>
      <w:r>
        <w:t xml:space="preserve"> </w:t>
      </w:r>
      <w:r>
        <w:t xml:space="preserve">occurs, as the latter member of a compound, in the word</w:t>
      </w:r>
      <w:r>
        <w:t xml:space="preserve"> </w:t>
      </w:r>
      <w:r>
        <w:t xml:space="preserve">“</w:t>
      </w:r>
      <w:r>
        <w:rPr>
          <w:bCs/>
          <w:b/>
        </w:rPr>
        <w:t xml:space="preserve">lokakṛtnum</w:t>
      </w:r>
      <w:r>
        <w:t xml:space="preserve">,</w:t>
      </w:r>
      <w:r>
        <w:t xml:space="preserve">”</w:t>
      </w:r>
      <w:r>
        <w:t xml:space="preserve"> </w:t>
      </w:r>
      <w:r>
        <w:t xml:space="preserve">which is found only in these two Ṛks:</w:t>
      </w:r>
    </w:p>
    <w:p>
      <w:pPr>
        <w:pStyle w:val="BlockText"/>
      </w:pPr>
      <w:r>
        <w:t xml:space="preserve">तं ते मदं गृणीमसि वृषणं पृत्सु सासहिम् ।</w:t>
      </w:r>
      <w:r>
        <w:t xml:space="preserve"> </w:t>
      </w:r>
      <w:r>
        <w:t xml:space="preserve">उ लोककृत्नुमद्रिवो हरिश्रियम् ॥ (ऋ. सं. ६-१५-४)</w:t>
      </w:r>
      <w:r>
        <w:t xml:space="preserve"> </w:t>
      </w:r>
      <w:r>
        <w:rPr>
          <w:iCs/>
          <w:i/>
        </w:rPr>
        <w:t xml:space="preserve">taṃ te madaṃ gṛṇīmasi vṛṣaṇaṃ pṛtsu sāsahim |</w:t>
      </w:r>
      <w:r>
        <w:t xml:space="preserve"> </w:t>
      </w:r>
      <w:r>
        <w:rPr>
          <w:iCs/>
          <w:i/>
        </w:rPr>
        <w:t xml:space="preserve">u lokakṛtnum adrivo hariśriyam || (ṛ. saṃ. 6-15-4)</w:t>
      </w:r>
      <w:r>
        <w:t xml:space="preserve"> </w:t>
      </w:r>
      <w:r>
        <w:t xml:space="preserve">Gloss:</w:t>
      </w:r>
      <w:r>
        <w:t xml:space="preserve"> </w:t>
      </w:r>
      <w:r>
        <w:t xml:space="preserve">“</w:t>
      </w:r>
      <w:r>
        <w:t xml:space="preserve">That exhilaration of yours we praise, the bull, the conqueror in battles, the world-maker, O wielder of the stone, the splendour of the bay horses.</w:t>
      </w:r>
      <w:r>
        <w:t xml:space="preserve">”</w:t>
      </w:r>
    </w:p>
    <w:p>
      <w:pPr>
        <w:pStyle w:val="BlockText"/>
      </w:pPr>
      <w:r>
        <w:t xml:space="preserve">तं त्वा मदाय घृष्वय उ लोककृत्नुमीमहे ।</w:t>
      </w:r>
      <w:r>
        <w:t xml:space="preserve"> </w:t>
      </w:r>
      <w:r>
        <w:t xml:space="preserve">तव प्रशस्तयो महीः ॥ (ऋ. सं. ९-२-८)</w:t>
      </w:r>
      <w:r>
        <w:t xml:space="preserve"> </w:t>
      </w:r>
      <w:r>
        <w:rPr>
          <w:iCs/>
          <w:i/>
        </w:rPr>
        <w:t xml:space="preserve">taṃ tvā madāya ghṛṣvaya u lokakṛtnum īmahe |</w:t>
      </w:r>
      <w:r>
        <w:t xml:space="preserve"> </w:t>
      </w:r>
      <w:r>
        <w:rPr>
          <w:iCs/>
          <w:i/>
        </w:rPr>
        <w:t xml:space="preserve">tava praśastayo mahīḥ || (ṛ. saṃ. 9-2-8)</w:t>
      </w:r>
      <w:r>
        <w:t xml:space="preserve"> </w:t>
      </w:r>
      <w:r>
        <w:t xml:space="preserve">Gloss:</w:t>
      </w:r>
      <w:r>
        <w:t xml:space="preserve"> </w:t>
      </w:r>
      <w:r>
        <w:t xml:space="preserve">“</w:t>
      </w:r>
      <w:r>
        <w:t xml:space="preserve">Thee, the world-maker, we entreat for the exhilaration, for the bold one; great are your praises.</w:t>
      </w:r>
      <w:r>
        <w:t xml:space="preserve">”</w:t>
      </w:r>
    </w:p>
    <w:p>
      <w:pPr>
        <w:pStyle w:val="FirstParagraph"/>
      </w:pPr>
      <w:r>
        <w:t xml:space="preserve">— This word is, in both Ṛks, applied to Indra, that is, it applies to Indra.</w:t>
      </w:r>
    </w:p>
    <w:p>
      <w:pPr>
        <w:pStyle w:val="BodyText"/>
      </w:pPr>
      <w:r>
        <w:rPr>
          <w:bCs/>
          <w:b/>
        </w:rPr>
        <w:t xml:space="preserve">ऊतये (ūtaye)</w:t>
      </w:r>
      <w:r>
        <w:t xml:space="preserve"> </w:t>
      </w:r>
      <w:r>
        <w:t xml:space="preserve">—</w:t>
      </w:r>
      <w:r>
        <w:t xml:space="preserve"> </w:t>
      </w:r>
      <w:r>
        <w:t xml:space="preserve">“</w:t>
      </w:r>
      <w:r>
        <w:t xml:space="preserve">For protection; for guarding.</w:t>
      </w:r>
      <w:r>
        <w:t xml:space="preserve">”</w:t>
      </w:r>
      <w:r>
        <w:t xml:space="preserve"> </w:t>
      </w:r>
      <w:r>
        <w:t xml:space="preserve">This word and its other forms —</w:t>
      </w:r>
      <w:r>
        <w:t xml:space="preserve"> </w:t>
      </w:r>
      <w:r>
        <w:rPr>
          <w:bCs/>
          <w:b/>
        </w:rPr>
        <w:t xml:space="preserve">ūtayaḥ, ūtīḥ, ūtibhiḥ, ūtim, ūtiṣu, ūtī, ūtīḥ, ūtyā</w:t>
      </w:r>
      <w:r>
        <w:t xml:space="preserve"> </w:t>
      </w:r>
      <w:r>
        <w:t xml:space="preserve">— are used in many places in the Ṛgveda. In the Nirukta (Ni. 5-3),</w:t>
      </w:r>
      <w:r>
        <w:t xml:space="preserve"> </w:t>
      </w:r>
      <w:r>
        <w:t xml:space="preserve">“</w:t>
      </w:r>
      <w:r>
        <w:t xml:space="preserve">ūtiḥ</w:t>
      </w:r>
      <w:r>
        <w:t xml:space="preserve">”</w:t>
      </w:r>
      <w:r>
        <w:t xml:space="preserve"> </w:t>
      </w:r>
      <w:r>
        <w:t xml:space="preserve">is explained as</w:t>
      </w:r>
      <w:r>
        <w:t xml:space="preserve"> </w:t>
      </w:r>
      <w:r>
        <w:t xml:space="preserve">“</w:t>
      </w:r>
      <w:r>
        <w:t xml:space="preserve">āvanam</w:t>
      </w:r>
      <w:r>
        <w:t xml:space="preserve">”</w:t>
      </w:r>
      <w:r>
        <w:t xml:space="preserve"> </w:t>
      </w:r>
      <w:r>
        <w:t xml:space="preserve">(protection), and…</w:t>
      </w:r>
      <w:r>
        <w:t xml:space="preserve"> </w:t>
      </w:r>
      <w:r>
        <w:rPr>
          <w:iCs/>
          <w:i/>
        </w:rPr>
        <w:t xml:space="preserve">(continues on the next page)</w:t>
      </w:r>
    </w:p>
    <w:bookmarkEnd w:id="119"/>
    <w:bookmarkStart w:id="120" w:name="X075b0198c4c3710ed048ed6dc6cd0cc9383a3c7"/>
    <w:p>
      <w:pPr>
        <w:pStyle w:val="Heading3"/>
      </w:pPr>
      <w:r>
        <w:t xml:space="preserve">Page 91 — Special topics on Rik 4.1 (concluded); Vyākaraṇa-prakriyā (opening)</w:t>
      </w:r>
    </w:p>
    <w:p>
      <w:pPr>
        <w:pStyle w:val="FirstParagraph"/>
      </w:pPr>
      <w:r>
        <w:rPr>
          <w:iCs/>
          <w:i/>
        </w:rPr>
        <w:t xml:space="preserve">(Page header:</w:t>
      </w:r>
      <w:r>
        <w:rPr>
          <w:iCs/>
          <w:i/>
        </w:rPr>
        <w:t xml:space="preserve"> </w:t>
      </w:r>
      <w:r>
        <w:rPr>
          <w:iCs/>
          <w:i/>
        </w:rPr>
        <w:t xml:space="preserve">“</w:t>
      </w:r>
      <w:r>
        <w:rPr>
          <w:iCs/>
          <w:i/>
        </w:rPr>
        <w:t xml:space="preserve">Aṣṭaka 1, Adhyāya 1, Varga 7 · Ṛgveda-saṃhitā.</w:t>
      </w:r>
      <w:r>
        <w:rPr>
          <w:iCs/>
          <w:i/>
        </w:rPr>
        <w:t xml:space="preserve">”</w:t>
      </w:r>
      <w:r>
        <w:rPr>
          <w:iCs/>
          <w:i/>
        </w:rPr>
        <w:t xml:space="preserve"> </w:t>
      </w:r>
      <w:r>
        <w:rPr>
          <w:iCs/>
          <w:i/>
        </w:rPr>
        <w:t xml:space="preserve">Reference-numbers marked [?]; glosses mine.)</w:t>
      </w:r>
    </w:p>
    <w:p>
      <w:pPr>
        <w:pStyle w:val="BodyText"/>
      </w:pPr>
      <w:r>
        <w:rPr>
          <w:iCs/>
          <w:i/>
        </w:rPr>
        <w:t xml:space="preserve">(Continuing</w:t>
      </w:r>
      <w:r>
        <w:rPr>
          <w:iCs/>
          <w:i/>
        </w:rPr>
        <w:t xml:space="preserve"> </w:t>
      </w:r>
      <w:r>
        <w:rPr>
          <w:iCs/>
          <w:i/>
        </w:rPr>
        <w:t xml:space="preserve">“</w:t>
      </w:r>
      <w:r>
        <w:rPr>
          <w:iCs/>
          <w:i/>
        </w:rPr>
        <w:t xml:space="preserve">ūtaye</w:t>
      </w:r>
      <w:r>
        <w:rPr>
          <w:iCs/>
          <w:i/>
        </w:rPr>
        <w:t xml:space="preserve">”</w:t>
      </w:r>
      <w:r>
        <w:rPr>
          <w:iCs/>
          <w:i/>
        </w:rPr>
        <w:t xml:space="preserve">:)</w:t>
      </w:r>
      <w:r>
        <w:t xml:space="preserve"> </w:t>
      </w:r>
      <w:r>
        <w:t xml:space="preserve">…and he explains the word</w:t>
      </w:r>
      <w:r>
        <w:t xml:space="preserve"> </w:t>
      </w:r>
      <w:r>
        <w:t xml:space="preserve">“</w:t>
      </w:r>
      <w:r>
        <w:t xml:space="preserve">ūtaye</w:t>
      </w:r>
      <w:r>
        <w:t xml:space="preserve">”</w:t>
      </w:r>
      <w:r>
        <w:t xml:space="preserve"> </w:t>
      </w:r>
      <w:r>
        <w:t xml:space="preserve">in the Ṛk quoted as an example:</w:t>
      </w:r>
    </w:p>
    <w:p>
      <w:pPr>
        <w:pStyle w:val="BlockText"/>
      </w:pPr>
      <w:r>
        <w:t xml:space="preserve">आ त्वा रथं यथोतये सुम्नाय वर्तयामसि । (ऋ. सं. ६-५-१ [as printed])</w:t>
      </w:r>
      <w:r>
        <w:t xml:space="preserve"> </w:t>
      </w:r>
      <w:r>
        <w:rPr>
          <w:iCs/>
          <w:i/>
        </w:rPr>
        <w:t xml:space="preserve">ā tvā rathaṃ yathotaye sumnāya vartayāmasi | (ṛ. saṃ. 6-5-1 [as printed])</w:t>
      </w:r>
      <w:r>
        <w:t xml:space="preserve"> </w:t>
      </w:r>
      <w:r>
        <w:t xml:space="preserve">Gloss:</w:t>
      </w:r>
      <w:r>
        <w:t xml:space="preserve"> </w:t>
      </w:r>
      <w:r>
        <w:t xml:space="preserve">“</w:t>
      </w:r>
      <w:r>
        <w:t xml:space="preserve">As (one turns) a chariot for aid, we turn you hither for favour.</w:t>
      </w:r>
      <w:r>
        <w:t xml:space="preserve">”</w:t>
      </w:r>
    </w:p>
    <w:p>
      <w:pPr>
        <w:pStyle w:val="FirstParagraph"/>
      </w:pPr>
      <w:r>
        <w:t xml:space="preserve">as</w:t>
      </w:r>
      <w:r>
        <w:t xml:space="preserve"> </w:t>
      </w:r>
      <w:r>
        <w:t xml:space="preserve">“</w:t>
      </w:r>
      <w:r>
        <w:t xml:space="preserve">avanāya, rakṣaṇāya</w:t>
      </w:r>
      <w:r>
        <w:t xml:space="preserve">”</w:t>
      </w:r>
      <w:r>
        <w:t xml:space="preserve"> </w:t>
      </w:r>
      <w:r>
        <w:t xml:space="preserve">(for protecting). Such examples are many in the Ṛgveda. Ṛks in which Indra is entreated to save the worshippers from the harm of enemies, to make them fearless, and to protect them, occur in many places in the Ṛgveda:</w:t>
      </w:r>
    </w:p>
    <w:p>
      <w:pPr>
        <w:pStyle w:val="BlockText"/>
      </w:pPr>
      <w:r>
        <w:t xml:space="preserve">त्रातारमिन्द्रमवितारमिन्द्रं हवेहवे सुहवं शूरमिन्द्रम् ॥ (ऋ. सं. ६-४७-११)</w:t>
      </w:r>
      <w:r>
        <w:t xml:space="preserve"> </w:t>
      </w:r>
      <w:r>
        <w:rPr>
          <w:iCs/>
          <w:i/>
        </w:rPr>
        <w:t xml:space="preserve">trātāram indram avitāram indraṃ have-have suhavaṃ śūram indram || (ṛ. saṃ. 6-47-11)</w:t>
      </w:r>
      <w:r>
        <w:t xml:space="preserve"> </w:t>
      </w:r>
      <w:r>
        <w:t xml:space="preserve">Gloss:</w:t>
      </w:r>
      <w:r>
        <w:t xml:space="preserve"> </w:t>
      </w:r>
      <w:r>
        <w:t xml:space="preserve">“</w:t>
      </w:r>
      <w:r>
        <w:t xml:space="preserve">Indra the saviour, Indra the helper, Indra, easily invoked at every call, the hero.</w:t>
      </w:r>
      <w:r>
        <w:t xml:space="preserve">”</w:t>
      </w:r>
    </w:p>
    <w:p>
      <w:pPr>
        <w:pStyle w:val="BlockText"/>
      </w:pPr>
      <w:r>
        <w:t xml:space="preserve">बाधतां द्वेषो अभयं कृणोतु सुवीर्यस्य पतयः स्याम ॥ (ऋ. सं. ६-४७-१२)</w:t>
      </w:r>
      <w:r>
        <w:t xml:space="preserve"> </w:t>
      </w:r>
      <w:r>
        <w:rPr>
          <w:iCs/>
          <w:i/>
        </w:rPr>
        <w:t xml:space="preserve">bādhatāṃ dveṣo abhayaṃ kṛṇotu suvīryasya patayaḥ syāma || (ṛ. saṃ. 6-47-12)</w:t>
      </w:r>
      <w:r>
        <w:t xml:space="preserve"> </w:t>
      </w:r>
      <w:r>
        <w:t xml:space="preserve">Gloss:</w:t>
      </w:r>
      <w:r>
        <w:t xml:space="preserve"> </w:t>
      </w:r>
      <w:r>
        <w:t xml:space="preserve">“</w:t>
      </w:r>
      <w:r>
        <w:t xml:space="preserve">May he drive off hatred, may he make fearlessness; may we be masters of good heroism.</w:t>
      </w:r>
      <w:r>
        <w:t xml:space="preserve">”</w:t>
      </w:r>
    </w:p>
    <w:p>
      <w:pPr>
        <w:pStyle w:val="FirstParagraph"/>
      </w:pPr>
      <w:r>
        <w:t xml:space="preserve">There are many Ṛks of this kind concerning Indra.</w:t>
      </w:r>
    </w:p>
    <w:p>
      <w:pPr>
        <w:pStyle w:val="BodyText"/>
      </w:pPr>
      <w:r>
        <w:rPr>
          <w:bCs/>
          <w:b/>
        </w:rPr>
        <w:t xml:space="preserve">सुदुघामिव गोदुहे (sudughām iva goduhe)</w:t>
      </w:r>
      <w:r>
        <w:t xml:space="preserve"> </w:t>
      </w:r>
      <w:r>
        <w:t xml:space="preserve">—</w:t>
      </w:r>
      <w:r>
        <w:t xml:space="preserve"> </w:t>
      </w:r>
      <w:r>
        <w:t xml:space="preserve">“</w:t>
      </w:r>
      <w:r>
        <w:t xml:space="preserve">As one calls a cow for milk.</w:t>
      </w:r>
      <w:r>
        <w:t xml:space="preserve">”</w:t>
      </w:r>
      <w:r>
        <w:t xml:space="preserve"> </w:t>
      </w:r>
      <w:r>
        <w:t xml:space="preserve">This simile — or similes of the same sense (the source’s term:</w:t>
      </w:r>
      <w:r>
        <w:t xml:space="preserve"> </w:t>
      </w:r>
      <w:r>
        <w:t xml:space="preserve">“</w:t>
      </w:r>
      <w:r>
        <w:t xml:space="preserve">lupta-upamā</w:t>
      </w:r>
      <w:r>
        <w:t xml:space="preserve">”</w:t>
      </w:r>
      <w:r>
        <w:t xml:space="preserve">) — are used in many places in the Ṛgveda, so it seems that in that age this sentence was a customary one to cite as an illustration:</w:t>
      </w:r>
    </w:p>
    <w:p>
      <w:pPr>
        <w:pStyle w:val="BlockText"/>
      </w:pPr>
      <w:r>
        <w:t xml:space="preserve">तं त्वा वयं सुदुघामिव गोदुहो जुहूमसि श्रवस्यवः ॥ (ऋ. सं. ८-५२-४)</w:t>
      </w:r>
      <w:r>
        <w:t xml:space="preserve"> </w:t>
      </w:r>
      <w:r>
        <w:rPr>
          <w:iCs/>
          <w:i/>
        </w:rPr>
        <w:t xml:space="preserve">taṃ tvā vayaṃ sudughām iva goduho juhūmasi śravasyavaḥ || (ṛ. saṃ. 8-52-4)</w:t>
      </w:r>
      <w:r>
        <w:t xml:space="preserve"> </w:t>
      </w:r>
      <w:r>
        <w:t xml:space="preserve">Gloss:</w:t>
      </w:r>
      <w:r>
        <w:t xml:space="preserve"> </w:t>
      </w:r>
      <w:r>
        <w:t xml:space="preserve">“</w:t>
      </w:r>
      <w:r>
        <w:t xml:space="preserve">Thee we call, like milkers a good milch-cow, seeking fame.</w:t>
      </w:r>
      <w:r>
        <w:t xml:space="preserve">”</w:t>
      </w:r>
    </w:p>
    <w:p>
      <w:pPr>
        <w:pStyle w:val="BlockText"/>
      </w:pPr>
      <w:r>
        <w:t xml:space="preserve">इन्द्रं धेनुं सुदुघामन्यामिषमुरुधारामरंकृतम् । (ऋ. सं. ८-१-१०)</w:t>
      </w:r>
      <w:r>
        <w:t xml:space="preserve"> </w:t>
      </w:r>
      <w:r>
        <w:rPr>
          <w:iCs/>
          <w:i/>
        </w:rPr>
        <w:t xml:space="preserve">indraṃ dhenuṃ sudughām anyām iṣam urudhārām araṃkṛtam | (ṛ. saṃ. 8-1-10)</w:t>
      </w:r>
      <w:r>
        <w:t xml:space="preserve"> </w:t>
      </w:r>
      <w:r>
        <w:t xml:space="preserve">Gloss:</w:t>
      </w:r>
      <w:r>
        <w:t xml:space="preserve"> </w:t>
      </w:r>
      <w:r>
        <w:t xml:space="preserve">“</w:t>
      </w:r>
      <w:r>
        <w:t xml:space="preserve">Indra — the good milch-cow, another refreshment, broad-streamed, well-fashioned.</w:t>
      </w:r>
      <w:r>
        <w:t xml:space="preserve">”</w:t>
      </w:r>
      <w:r>
        <w:t xml:space="preserve"> </w:t>
      </w:r>
      <w:r>
        <w:t xml:space="preserve">[tentative; the print gives only this line]</w:t>
      </w:r>
    </w:p>
    <w:p>
      <w:pPr>
        <w:pStyle w:val="BlockText"/>
      </w:pPr>
      <w:r>
        <w:t xml:space="preserve">उपह्वये सुदुघां धेनुमेतां सुहस्तो गोधुगुत दोहदेनाम् । (ऋ. सं. १-१६४-२६)</w:t>
      </w:r>
      <w:r>
        <w:t xml:space="preserve"> </w:t>
      </w:r>
      <w:r>
        <w:rPr>
          <w:iCs/>
          <w:i/>
        </w:rPr>
        <w:t xml:space="preserve">upahvaye sudughāṃ dhenum etāṃ suhasto godhug uta dohad enām | (ṛ. saṃ. 1-164-26)</w:t>
      </w:r>
      <w:r>
        <w:t xml:space="preserve"> </w:t>
      </w:r>
      <w:r>
        <w:t xml:space="preserve">Gloss:</w:t>
      </w:r>
      <w:r>
        <w:t xml:space="preserve"> </w:t>
      </w:r>
      <w:r>
        <w:t xml:space="preserve">“</w:t>
      </w:r>
      <w:r>
        <w:t xml:space="preserve">I call this good milch-cow near; may the skilful-handed milker milk her.</w:t>
      </w:r>
      <w:r>
        <w:t xml:space="preserve">”</w:t>
      </w:r>
    </w:p>
    <w:p>
      <w:pPr>
        <w:pStyle w:val="FirstParagraph"/>
      </w:pPr>
      <w:r>
        <w:t xml:space="preserve">A cow that gives milk is dear to everyone; likewise Indra, who protects from the harm of enemies, is desired by all — such is the import.</w:t>
      </w:r>
    </w:p>
    <w:p>
      <w:pPr>
        <w:pStyle w:val="BodyText"/>
      </w:pPr>
      <w:r>
        <w:rPr>
          <w:bCs/>
          <w:b/>
        </w:rPr>
        <w:t xml:space="preserve">द्यविद्यवि (dyavidyavi)</w:t>
      </w:r>
      <w:r>
        <w:t xml:space="preserve"> </w:t>
      </w:r>
      <w:r>
        <w:t xml:space="preserve">—</w:t>
      </w:r>
      <w:r>
        <w:t xml:space="preserve"> </w:t>
      </w:r>
      <w:r>
        <w:t xml:space="preserve">“</w:t>
      </w:r>
      <w:r>
        <w:t xml:space="preserve">Every day.</w:t>
      </w:r>
      <w:r>
        <w:t xml:space="preserve">”</w:t>
      </w:r>
      <w:r>
        <w:t xml:space="preserve"> </w:t>
      </w:r>
      <w:r>
        <w:t xml:space="preserve">By</w:t>
      </w:r>
      <w:r>
        <w:t xml:space="preserve"> </w:t>
      </w:r>
      <w:r>
        <w:rPr>
          <w:bCs/>
          <w:b/>
        </w:rPr>
        <w:t xml:space="preserve">नित्यवीप्सयोः</w:t>
      </w:r>
      <w:r>
        <w:t xml:space="preserve"> </w:t>
      </w:r>
      <w:r>
        <w:t xml:space="preserve">(</w:t>
      </w:r>
      <w:r>
        <w:rPr>
          <w:iCs/>
          <w:i/>
        </w:rPr>
        <w:t xml:space="preserve">nityavīpsayoḥ</w:t>
      </w:r>
      <w:r>
        <w:t xml:space="preserve">, पा. ८-१-४) there is doubling: when a single word is read twice, the sense is</w:t>
      </w:r>
      <w:r>
        <w:t xml:space="preserve"> </w:t>
      </w:r>
      <w:r>
        <w:t xml:space="preserve">“</w:t>
      </w:r>
      <w:r>
        <w:t xml:space="preserve">each one.</w:t>
      </w:r>
      <w:r>
        <w:t xml:space="preserve">”</w:t>
      </w:r>
      <w:r>
        <w:t xml:space="preserve"> </w:t>
      </w:r>
      <w:r>
        <w:t xml:space="preserve">Examples:</w:t>
      </w:r>
      <w:r>
        <w:t xml:space="preserve"> </w:t>
      </w:r>
      <w:r>
        <w:rPr>
          <w:bCs/>
          <w:b/>
        </w:rPr>
        <w:t xml:space="preserve">dive-dive</w:t>
      </w:r>
      <w:r>
        <w:t xml:space="preserve"> </w:t>
      </w:r>
      <w:r>
        <w:t xml:space="preserve">(</w:t>
      </w:r>
      <w:r>
        <w:t xml:space="preserve">“</w:t>
      </w:r>
      <w:r>
        <w:t xml:space="preserve">every day</w:t>
      </w:r>
      <w:r>
        <w:t xml:space="preserve">”</w:t>
      </w:r>
      <w:r>
        <w:t xml:space="preserve">),</w:t>
      </w:r>
      <w:r>
        <w:t xml:space="preserve"> </w:t>
      </w:r>
      <w:r>
        <w:rPr>
          <w:bCs/>
          <w:b/>
        </w:rPr>
        <w:t xml:space="preserve">āharahaḥ</w:t>
      </w:r>
      <w:r>
        <w:t xml:space="preserve">,</w:t>
      </w:r>
      <w:r>
        <w:t xml:space="preserve"> </w:t>
      </w:r>
      <w:r>
        <w:rPr>
          <w:bCs/>
          <w:b/>
        </w:rPr>
        <w:t xml:space="preserve">māsi-māsi</w:t>
      </w:r>
      <w:r>
        <w:t xml:space="preserve"> </w:t>
      </w:r>
      <w:r>
        <w:t xml:space="preserve">(</w:t>
      </w:r>
      <w:r>
        <w:t xml:space="preserve">“</w:t>
      </w:r>
      <w:r>
        <w:t xml:space="preserve">every month</w:t>
      </w:r>
      <w:r>
        <w:t xml:space="preserve">”</w:t>
      </w:r>
      <w:r>
        <w:t xml:space="preserve">),</w:t>
      </w:r>
      <w:r>
        <w:t xml:space="preserve"> </w:t>
      </w:r>
      <w:r>
        <w:rPr>
          <w:bCs/>
          <w:b/>
        </w:rPr>
        <w:t xml:space="preserve">yajñe-yajñe</w:t>
      </w:r>
      <w:r>
        <w:t xml:space="preserve"> </w:t>
      </w:r>
      <w:r>
        <w:t xml:space="preserve">(</w:t>
      </w:r>
      <w:r>
        <w:t xml:space="preserve">“</w:t>
      </w:r>
      <w:r>
        <w:t xml:space="preserve">at every sacrifice</w:t>
      </w:r>
      <w:r>
        <w:t xml:space="preserve">”</w:t>
      </w:r>
      <w:r>
        <w:t xml:space="preserve">),</w:t>
      </w:r>
      <w:r>
        <w:t xml:space="preserve"> </w:t>
      </w:r>
      <w:r>
        <w:rPr>
          <w:bCs/>
          <w:b/>
        </w:rPr>
        <w:t xml:space="preserve">bhare-bhare</w:t>
      </w:r>
      <w:r>
        <w:t xml:space="preserve"> </w:t>
      </w:r>
      <w:r>
        <w:t xml:space="preserve">(</w:t>
      </w:r>
      <w:r>
        <w:t xml:space="preserve">“</w:t>
      </w:r>
      <w:r>
        <w:t xml:space="preserve">in every battle</w:t>
      </w:r>
      <w:r>
        <w:t xml:space="preserve">”</w:t>
      </w:r>
      <w:r>
        <w:t xml:space="preserve">),</w:t>
      </w:r>
      <w:r>
        <w:t xml:space="preserve"> </w:t>
      </w:r>
      <w:r>
        <w:rPr>
          <w:bCs/>
          <w:b/>
        </w:rPr>
        <w:t xml:space="preserve">have-have</w:t>
      </w:r>
      <w:r>
        <w:t xml:space="preserve"> </w:t>
      </w:r>
      <w:r>
        <w:t xml:space="preserve">(</w:t>
      </w:r>
      <w:r>
        <w:t xml:space="preserve">“</w:t>
      </w:r>
      <w:r>
        <w:t xml:space="preserve">at every call</w:t>
      </w:r>
      <w:r>
        <w:t xml:space="preserve">”</w:t>
      </w:r>
      <w:r>
        <w:t xml:space="preserve">),</w:t>
      </w:r>
      <w:r>
        <w:t xml:space="preserve"> </w:t>
      </w:r>
      <w:r>
        <w:rPr>
          <w:bCs/>
          <w:b/>
        </w:rPr>
        <w:t xml:space="preserve">dame-dame</w:t>
      </w:r>
      <w:r>
        <w:t xml:space="preserve"> </w:t>
      </w:r>
      <w:r>
        <w:t xml:space="preserve">(</w:t>
      </w:r>
      <w:r>
        <w:t xml:space="preserve">“</w:t>
      </w:r>
      <w:r>
        <w:t xml:space="preserve">in every house</w:t>
      </w:r>
      <w:r>
        <w:t xml:space="preserve">”</w:t>
      </w:r>
      <w:r>
        <w:t xml:space="preserve">), and the like.</w:t>
      </w:r>
    </w:p>
    <w:p>
      <w:pPr>
        <w:pStyle w:val="BodyText"/>
      </w:pPr>
      <w:r>
        <w:rPr>
          <w:bCs/>
          <w:b/>
        </w:rPr>
        <w:t xml:space="preserve">॥ Vyākaraṇa-prakriyā ॥</w:t>
      </w:r>
      <w:r>
        <w:t xml:space="preserve"> </w:t>
      </w:r>
      <w:r>
        <w:rPr>
          <w:iCs/>
          <w:i/>
        </w:rPr>
        <w:t xml:space="preserve">(Kannada; characterized, sūtras kept)</w:t>
      </w:r>
      <w:r>
        <w:t xml:space="preserve"> </w:t>
      </w:r>
      <w:r>
        <w:rPr>
          <w:bCs/>
          <w:b/>
        </w:rPr>
        <w:t xml:space="preserve">4th Sūkta, Rik 1.</w:t>
      </w:r>
      <w:r>
        <w:t xml:space="preserve"> </w:t>
      </w:r>
      <w:r>
        <w:t xml:space="preserve">“</w:t>
      </w:r>
      <w:r>
        <w:t xml:space="preserve">Surūpakṛtnum</w:t>
      </w:r>
      <w:r>
        <w:t xml:space="preserve">”</w:t>
      </w:r>
      <w:r>
        <w:t xml:space="preserve">: a root meaning</w:t>
      </w:r>
      <w:r>
        <w:t xml:space="preserve"> </w:t>
      </w:r>
      <w:r>
        <w:t xml:space="preserve">“</w:t>
      </w:r>
      <w:r>
        <w:t xml:space="preserve">to make</w:t>
      </w:r>
      <w:r>
        <w:t xml:space="preserve">”</w:t>
      </w:r>
      <w:r>
        <w:t xml:space="preserve"> </w:t>
      </w:r>
      <w:r>
        <w:t xml:space="preserve">(</w:t>
      </w:r>
      <w:r>
        <w:t xml:space="preserve">“</w:t>
      </w:r>
      <w:r>
        <w:t xml:space="preserve">kṛ</w:t>
      </w:r>
      <w:r>
        <w:t xml:space="preserve">”</w:t>
      </w:r>
      <w:r>
        <w:t xml:space="preserve">); after the seven roots</w:t>
      </w:r>
      <w:r>
        <w:t xml:space="preserve"> </w:t>
      </w:r>
      <w:r>
        <w:rPr>
          <w:bCs/>
          <w:b/>
        </w:rPr>
        <w:t xml:space="preserve">ṛ-ṣap-śilp-śap-bāp-rūpa-parṣa [?]</w:t>
      </w:r>
      <w:r>
        <w:t xml:space="preserve"> </w:t>
      </w:r>
      <w:r>
        <w:t xml:space="preserve">(the list as printed:</w:t>
      </w:r>
      <w:r>
        <w:t xml:space="preserve"> </w:t>
      </w:r>
      <w:r>
        <w:t xml:space="preserve">“</w:t>
      </w:r>
      <w:r>
        <w:t xml:space="preserve">khuṣpa śilpa śaṣpa bāpa rūpa parṣa …</w:t>
      </w:r>
      <w:r>
        <w:t xml:space="preserve">”</w:t>
      </w:r>
      <w:r>
        <w:t xml:space="preserve"> </w:t>
      </w:r>
      <w:r>
        <w:t xml:space="preserve">— I read it with doubt; Uṇ. Sū. 3-3[?]8 [?]) —</w:t>
      </w:r>
      <w:r>
        <w:t xml:space="preserve"> </w:t>
      </w:r>
      <w:r>
        <w:t xml:space="preserve">“</w:t>
      </w:r>
      <w:r>
        <w:t xml:space="preserve">ṛñ avadāraṇe</w:t>
      </w:r>
      <w:r>
        <w:t xml:space="preserve">”</w:t>
      </w:r>
      <w:r>
        <w:t xml:space="preserve"> </w:t>
      </w:r>
      <w:r>
        <w:t xml:space="preserve">(to tear),</w:t>
      </w:r>
      <w:r>
        <w:t xml:space="preserve"> </w:t>
      </w:r>
      <w:r>
        <w:t xml:space="preserve">“</w:t>
      </w:r>
      <w:r>
        <w:t xml:space="preserve">śīlasamādhau</w:t>
      </w:r>
      <w:r>
        <w:t xml:space="preserve">”</w:t>
      </w:r>
      <w:r>
        <w:t xml:space="preserve"> </w:t>
      </w:r>
      <w:r>
        <w:t xml:space="preserve">(to practise),</w:t>
      </w:r>
      <w:r>
        <w:t xml:space="preserve"> </w:t>
      </w:r>
      <w:r>
        <w:t xml:space="preserve">“</w:t>
      </w:r>
      <w:r>
        <w:t xml:space="preserve">śaśu hiṃsāyām</w:t>
      </w:r>
      <w:r>
        <w:t xml:space="preserve">”</w:t>
      </w:r>
      <w:r>
        <w:t xml:space="preserve"> </w:t>
      </w:r>
      <w:r>
        <w:t xml:space="preserve">(to kill),</w:t>
      </w:r>
      <w:r>
        <w:t xml:space="preserve"> </w:t>
      </w:r>
      <w:r>
        <w:t xml:space="preserve">“</w:t>
      </w:r>
      <w:r>
        <w:t xml:space="preserve">bādhṛ loḍane</w:t>
      </w:r>
      <w:r>
        <w:t xml:space="preserve">”</w:t>
      </w:r>
      <w:r>
        <w:t xml:space="preserve"> </w:t>
      </w:r>
      <w:r>
        <w:t xml:space="preserve">(to disturb),</w:t>
      </w:r>
      <w:r>
        <w:t xml:space="preserve"> </w:t>
      </w:r>
      <w:r>
        <w:t xml:space="preserve">“</w:t>
      </w:r>
      <w:r>
        <w:t xml:space="preserve">rū śabde</w:t>
      </w:r>
      <w:r>
        <w:t xml:space="preserve">”</w:t>
      </w:r>
      <w:r>
        <w:t xml:space="preserve"> </w:t>
      </w:r>
      <w:r>
        <w:t xml:space="preserve">(to sound),</w:t>
      </w:r>
      <w:r>
        <w:t xml:space="preserve"> </w:t>
      </w:r>
      <w:r>
        <w:t xml:space="preserve">“</w:t>
      </w:r>
      <w:r>
        <w:t xml:space="preserve">pūpālanapūraṇayoḥ</w:t>
      </w:r>
      <w:r>
        <w:t xml:space="preserve">”</w:t>
      </w:r>
      <w:r>
        <w:t xml:space="preserve"> </w:t>
      </w:r>
      <w:r>
        <w:t xml:space="preserve">(to protect and fill),</w:t>
      </w:r>
      <w:r>
        <w:t xml:space="preserve"> </w:t>
      </w:r>
      <w:r>
        <w:t xml:space="preserve">“</w:t>
      </w:r>
      <w:r>
        <w:t xml:space="preserve">talapratiṣṭhākaraṇe</w:t>
      </w:r>
      <w:r>
        <w:t xml:space="preserve">”</w:t>
      </w:r>
      <w:r>
        <w:t xml:space="preserve"> </w:t>
      </w:r>
      <w:r>
        <w:t xml:space="preserve">— an affix</w:t>
      </w:r>
      <w:r>
        <w:t xml:space="preserve"> </w:t>
      </w:r>
      <w:r>
        <w:t xml:space="preserve">“</w:t>
      </w:r>
      <w:r>
        <w:t xml:space="preserve">pa</w:t>
      </w:r>
      <w:r>
        <w:t xml:space="preserve">”</w:t>
      </w:r>
      <w:r>
        <w:t xml:space="preserve"> </w:t>
      </w:r>
      <w:r>
        <w:t xml:space="preserve">…</w:t>
      </w:r>
      <w:r>
        <w:t xml:space="preserve"> </w:t>
      </w:r>
      <w:r>
        <w:rPr>
          <w:iCs/>
          <w:i/>
        </w:rPr>
        <w:t xml:space="preserve">(continues on the next page)</w:t>
      </w:r>
    </w:p>
    <w:bookmarkEnd w:id="120"/>
    <w:bookmarkStart w:id="121" w:name="X72cca5c05fffcadc37b93d7d2382eff4d6120e2"/>
    <w:p>
      <w:pPr>
        <w:pStyle w:val="Heading3"/>
      </w:pPr>
      <w:r>
        <w:t xml:space="preserve">Pages 92–93 — Vyākaraṇa-prakriyā for Rik 4.1 (Kannada) — characterized</w:t>
      </w:r>
    </w:p>
    <w:p>
      <w:pPr>
        <w:pStyle w:val="FirstParagraph"/>
      </w:pPr>
      <w:r>
        <w:rPr>
          <w:iCs/>
          <w:i/>
        </w:rPr>
        <w:t xml:space="preserve">(Page headers: p. 92</w:t>
      </w:r>
      <w:r>
        <w:rPr>
          <w:iCs/>
          <w:i/>
        </w:rPr>
        <w:t xml:space="preserve"> </w:t>
      </w:r>
      <w:r>
        <w:rPr>
          <w:iCs/>
          <w:i/>
        </w:rPr>
        <w:t xml:space="preserve">“</w:t>
      </w:r>
      <w:r>
        <w:rPr>
          <w:iCs/>
          <w:i/>
        </w:rPr>
        <w:t xml:space="preserve">Sāyaṇa-bhāṣya-sahitā · Maṇḍala 1, Anuvāka 2, Sūkta 4</w:t>
      </w:r>
      <w:r>
        <w:rPr>
          <w:iCs/>
          <w:i/>
        </w:rPr>
        <w:t xml:space="preserve">”</w:t>
      </w:r>
      <w:r>
        <w:rPr>
          <w:iCs/>
          <w:i/>
        </w:rPr>
        <w:t xml:space="preserve">; p. 93</w:t>
      </w:r>
      <w:r>
        <w:rPr>
          <w:iCs/>
          <w:i/>
        </w:rPr>
        <w:t xml:space="preserve"> </w:t>
      </w:r>
      <w:r>
        <w:rPr>
          <w:iCs/>
          <w:i/>
        </w:rPr>
        <w:t xml:space="preserve">“</w:t>
      </w:r>
      <w:r>
        <w:rPr>
          <w:iCs/>
          <w:i/>
        </w:rPr>
        <w:t xml:space="preserve">Aṣṭaka 1, Adhyāya 1, Varga 7 · Ṛgveda-saṃhitā.</w:t>
      </w:r>
      <w:r>
        <w:rPr>
          <w:iCs/>
          <w:i/>
        </w:rPr>
        <w:t xml:space="preserve">”</w:t>
      </w:r>
      <w:r>
        <w:rPr>
          <w:iCs/>
          <w:i/>
        </w:rPr>
        <w:t xml:space="preserve"> </w:t>
      </w:r>
      <w:r>
        <w:rPr>
          <w:iCs/>
          <w:i/>
        </w:rPr>
        <w:t xml:space="preserve">These two pages are</w:t>
      </w:r>
      <w:r>
        <w:rPr>
          <w:iCs/>
          <w:i/>
        </w:rPr>
        <w:t xml:space="preserve"> </w:t>
      </w:r>
      <w:r>
        <w:rPr>
          <w:bCs/>
          <w:b/>
          <w:iCs/>
          <w:i/>
        </w:rPr>
        <w:t xml:space="preserve">pure Pāṇinian derivation in Kannada prose</w:t>
      </w:r>
      <w:r>
        <w:rPr>
          <w:iCs/>
          <w:i/>
        </w:rPr>
        <w:t xml:space="preserve">, the Kannada rendering of the grammar already given in Sanskrit on p. 88. Per the standing convention they are</w:t>
      </w:r>
      <w:r>
        <w:rPr>
          <w:iCs/>
          <w:i/>
        </w:rPr>
        <w:t xml:space="preserve"> </w:t>
      </w:r>
      <w:r>
        <w:rPr>
          <w:bCs/>
          <w:b/>
          <w:iCs/>
          <w:i/>
        </w:rPr>
        <w:t xml:space="preserve">characterized in order, not translated line by line</w:t>
      </w:r>
      <w:r>
        <w:rPr>
          <w:iCs/>
          <w:i/>
        </w:rPr>
        <w:t xml:space="preserve">; each sūtra the pages cite is kept in three layers with its number as I read it. Sūtra-numbers in small Kannada numerals are marked [?]. Nothing in them changes the sense of the Rik as given on p. 89.)</w:t>
      </w:r>
    </w:p>
    <w:p>
      <w:pPr>
        <w:pStyle w:val="BodyText"/>
      </w:pPr>
      <w:r>
        <w:rPr>
          <w:bCs/>
          <w:b/>
        </w:rPr>
        <w:t xml:space="preserve">p. 92 —</w:t>
      </w:r>
      <w:r>
        <w:rPr>
          <w:bCs/>
          <w:b/>
        </w:rPr>
        <w:t xml:space="preserve"> </w:t>
      </w:r>
      <w:r>
        <w:rPr>
          <w:bCs/>
          <w:b/>
        </w:rPr>
        <w:t xml:space="preserve">“</w:t>
      </w:r>
      <w:r>
        <w:rPr>
          <w:bCs/>
          <w:b/>
        </w:rPr>
        <w:t xml:space="preserve">surūpakṛtnum</w:t>
      </w:r>
      <w:r>
        <w:rPr>
          <w:bCs/>
          <w:b/>
        </w:rPr>
        <w:t xml:space="preserve">”</w:t>
      </w:r>
      <w:r>
        <w:rPr>
          <w:bCs/>
          <w:b/>
        </w:rPr>
        <w:t xml:space="preserve"> </w:t>
      </w:r>
      <w:r>
        <w:rPr>
          <w:bCs/>
          <w:b/>
        </w:rPr>
        <w:t xml:space="preserve">and the beginning of</w:t>
      </w:r>
      <w:r>
        <w:rPr>
          <w:bCs/>
          <w:b/>
        </w:rPr>
        <w:t xml:space="preserve"> </w:t>
      </w:r>
      <w:r>
        <w:rPr>
          <w:bCs/>
          <w:b/>
        </w:rPr>
        <w:t xml:space="preserve">“</w:t>
      </w:r>
      <w:r>
        <w:rPr>
          <w:bCs/>
          <w:b/>
        </w:rPr>
        <w:t xml:space="preserve">ūtaye.</w:t>
      </w:r>
      <w:r>
        <w:rPr>
          <w:bCs/>
          <w:b/>
        </w:rPr>
        <w:t xml:space="preserve">”</w:t>
      </w:r>
      <w:r>
        <w:t xml:space="preserve"> </w:t>
      </w:r>
      <w:r>
        <w:t xml:space="preserve">-</w:t>
      </w:r>
      <w:r>
        <w:t xml:space="preserve"> </w:t>
      </w:r>
      <w:r>
        <w:rPr>
          <w:bCs/>
          <w:b/>
        </w:rPr>
        <w:t xml:space="preserve">“</w:t>
      </w:r>
      <w:r>
        <w:rPr>
          <w:bCs/>
          <w:b/>
        </w:rPr>
        <w:t xml:space="preserve">Surūpa</w:t>
      </w:r>
      <w:r>
        <w:rPr>
          <w:bCs/>
          <w:b/>
        </w:rPr>
        <w:t xml:space="preserve">”</w:t>
      </w:r>
      <w:r>
        <w:t xml:space="preserve"> </w:t>
      </w:r>
      <w:r>
        <w:t xml:space="preserve">—</w:t>
      </w:r>
      <w:r>
        <w:t xml:space="preserve"> </w:t>
      </w:r>
      <w:r>
        <w:t xml:space="preserve">“</w:t>
      </w:r>
      <w:r>
        <w:t xml:space="preserve">rūpa</w:t>
      </w:r>
      <w:r>
        <w:t xml:space="preserve">”</w:t>
      </w:r>
      <w:r>
        <w:t xml:space="preserve"> </w:t>
      </w:r>
      <w:r>
        <w:t xml:space="preserve">is formed from the root</w:t>
      </w:r>
      <w:r>
        <w:t xml:space="preserve"> </w:t>
      </w:r>
      <w:r>
        <w:t xml:space="preserve">“</w:t>
      </w:r>
      <w:r>
        <w:t xml:space="preserve">rūp</w:t>
      </w:r>
      <w:r>
        <w:t xml:space="preserve">”</w:t>
      </w:r>
      <w:r>
        <w:t xml:space="preserve"> </w:t>
      </w:r>
      <w:r>
        <w:t xml:space="preserve">(or</w:t>
      </w:r>
      <w:r>
        <w:t xml:space="preserve"> </w:t>
      </w:r>
      <w:r>
        <w:t xml:space="preserve">“</w:t>
      </w:r>
      <w:r>
        <w:t xml:space="preserve">rūpa</w:t>
      </w:r>
      <w:r>
        <w:t xml:space="preserve">”</w:t>
      </w:r>
      <w:r>
        <w:t xml:space="preserve">) with the affix</w:t>
      </w:r>
      <w:r>
        <w:t xml:space="preserve"> </w:t>
      </w:r>
      <w:r>
        <w:t xml:space="preserve">“</w:t>
      </w:r>
      <w:r>
        <w:t xml:space="preserve">pa</w:t>
      </w:r>
      <w:r>
        <w:t xml:space="preserve">”</w:t>
      </w:r>
      <w:r>
        <w:t xml:space="preserve"> </w:t>
      </w:r>
      <w:r>
        <w:t xml:space="preserve">that is added after the seven roots listed in the Uṇādi-sūtra,</w:t>
      </w:r>
      <w:r>
        <w:t xml:space="preserve"> </w:t>
      </w:r>
      <w:r>
        <w:t xml:space="preserve">“</w:t>
      </w:r>
      <w:r>
        <w:t xml:space="preserve">khaṣpa-śilpa-śaṣpa-bāṣpa-rūpa-parpa-talpāḥ</w:t>
      </w:r>
      <w:r>
        <w:t xml:space="preserve">”</w:t>
      </w:r>
      <w:r>
        <w:t xml:space="preserve"> </w:t>
      </w:r>
      <w:r>
        <w:t xml:space="preserve">(खष्पशिल्पशष्पबाष्परूपपर्पतल्पाः, उ. सू. ६-३०८ [as printed]), and, by nipātana, the lengthening of the vowel gives</w:t>
      </w:r>
      <w:r>
        <w:t xml:space="preserve"> </w:t>
      </w:r>
      <w:r>
        <w:t xml:space="preserve">“</w:t>
      </w:r>
      <w:r>
        <w:t xml:space="preserve">rūpa.</w:t>
      </w:r>
      <w:r>
        <w:t xml:space="preserve">”</w:t>
      </w:r>
      <w:r>
        <w:t xml:space="preserve"> </w:t>
      </w:r>
      <w:r>
        <w:t xml:space="preserve">Explained as</w:t>
      </w:r>
      <w:r>
        <w:t xml:space="preserve"> </w:t>
      </w:r>
      <w:r>
        <w:t xml:space="preserve">“</w:t>
      </w:r>
      <w:r>
        <w:t xml:space="preserve">rūpyate (praśasyate) iti rūpam</w:t>
      </w:r>
      <w:r>
        <w:t xml:space="preserve">”</w:t>
      </w:r>
      <w:r>
        <w:t xml:space="preserve">: that which is praised by people.</w:t>
      </w:r>
      <w:r>
        <w:t xml:space="preserve"> </w:t>
      </w:r>
      <w:r>
        <w:t xml:space="preserve">“</w:t>
      </w:r>
      <w:r>
        <w:t xml:space="preserve">Śobhanaṃ rūpaṃ yasya tat</w:t>
      </w:r>
      <w:r>
        <w:t xml:space="preserve">”</w:t>
      </w:r>
      <w:r>
        <w:t xml:space="preserve"> </w:t>
      </w:r>
      <w:r>
        <w:t xml:space="preserve">— a bahuvrīhi compound —</w:t>
      </w:r>
      <w:r>
        <w:t xml:space="preserve"> </w:t>
      </w:r>
      <w:r>
        <w:t xml:space="preserve">“</w:t>
      </w:r>
      <w:r>
        <w:t xml:space="preserve">surūpam.</w:t>
      </w:r>
      <w:r>
        <w:t xml:space="preserve">”</w:t>
      </w:r>
      <w:r>
        <w:t xml:space="preserve"> </w:t>
      </w:r>
      <w:r>
        <w:t xml:space="preserve">Then the genitive tatpuruṣa</w:t>
      </w:r>
      <w:r>
        <w:t xml:space="preserve"> </w:t>
      </w:r>
      <w:r>
        <w:t xml:space="preserve">“</w:t>
      </w:r>
      <w:r>
        <w:t xml:space="preserve">surūpasya kṛtnuḥ.</w:t>
      </w:r>
      <w:r>
        <w:t xml:space="preserve">”</w:t>
      </w:r>
      <w:r>
        <w:t xml:space="preserve"> </w:t>
      </w:r>
      <w:r>
        <w:t xml:space="preserve">-</w:t>
      </w:r>
      <w:r>
        <w:t xml:space="preserve"> </w:t>
      </w:r>
      <w:r>
        <w:rPr>
          <w:bCs/>
          <w:b/>
        </w:rPr>
        <w:t xml:space="preserve">“</w:t>
      </w:r>
      <w:r>
        <w:rPr>
          <w:bCs/>
          <w:b/>
        </w:rPr>
        <w:t xml:space="preserve">Kṛtnu</w:t>
      </w:r>
      <w:r>
        <w:rPr>
          <w:bCs/>
          <w:b/>
        </w:rPr>
        <w:t xml:space="preserve">”</w:t>
      </w:r>
      <w:r>
        <w:t xml:space="preserve"> </w:t>
      </w:r>
      <w:r>
        <w:t xml:space="preserve">—</w:t>
      </w:r>
      <w:r>
        <w:t xml:space="preserve"> </w:t>
      </w:r>
      <w:r>
        <w:t xml:space="preserve">“</w:t>
      </w:r>
      <w:r>
        <w:t xml:space="preserve">karotīti kṛtnuḥ</w:t>
      </w:r>
      <w:r>
        <w:t xml:space="preserve">”</w:t>
      </w:r>
      <w:r>
        <w:t xml:space="preserve">: the affix</w:t>
      </w:r>
      <w:r>
        <w:t xml:space="preserve"> </w:t>
      </w:r>
      <w:r>
        <w:t xml:space="preserve">“</w:t>
      </w:r>
      <w:r>
        <w:t xml:space="preserve">knu</w:t>
      </w:r>
      <w:r>
        <w:t xml:space="preserve">”</w:t>
      </w:r>
      <w:r>
        <w:t xml:space="preserve"> </w:t>
      </w:r>
      <w:r>
        <w:t xml:space="preserve">after</w:t>
      </w:r>
      <w:r>
        <w:t xml:space="preserve"> </w:t>
      </w:r>
      <w:r>
        <w:t xml:space="preserve">“</w:t>
      </w:r>
      <w:r>
        <w:t xml:space="preserve">kṛ</w:t>
      </w:r>
      <w:r>
        <w:t xml:space="preserve">”</w:t>
      </w:r>
      <w:r>
        <w:t xml:space="preserve"> </w:t>
      </w:r>
      <w:r>
        <w:t xml:space="preserve">and</w:t>
      </w:r>
      <w:r>
        <w:t xml:space="preserve"> </w:t>
      </w:r>
      <w:r>
        <w:t xml:space="preserve">“</w:t>
      </w:r>
      <w:r>
        <w:t xml:space="preserve">han</w:t>
      </w:r>
      <w:r>
        <w:t xml:space="preserve">”</w:t>
      </w:r>
      <w:r>
        <w:t xml:space="preserve"> </w:t>
      </w:r>
      <w:r>
        <w:t xml:space="preserve">(</w:t>
      </w:r>
      <w:r>
        <w:rPr>
          <w:bCs/>
          <w:b/>
        </w:rPr>
        <w:t xml:space="preserve">कृहनिभ्यां क्नुः</w:t>
      </w:r>
      <w:r>
        <w:t xml:space="preserve">, उ. सू. ३-३-१० [as printed; cited just before as ३-३१०]);</w:t>
      </w:r>
      <w:r>
        <w:t xml:space="preserve"> </w:t>
      </w:r>
      <w:r>
        <w:t xml:space="preserve">“</w:t>
      </w:r>
      <w:r>
        <w:t xml:space="preserve">knu</w:t>
      </w:r>
      <w:r>
        <w:t xml:space="preserve">”</w:t>
      </w:r>
      <w:r>
        <w:t xml:space="preserve"> </w:t>
      </w:r>
      <w:r>
        <w:t xml:space="preserve">being</w:t>
      </w:r>
      <w:r>
        <w:t xml:space="preserve"> </w:t>
      </w:r>
      <w:r>
        <w:t xml:space="preserve">“</w:t>
      </w:r>
      <w:r>
        <w:t xml:space="preserve">k</w:t>
      </w:r>
      <w:r>
        <w:t xml:space="preserve">”</w:t>
      </w:r>
      <w:r>
        <w:t xml:space="preserve">-marked, there is no guṇa;</w:t>
      </w:r>
      <w:r>
        <w:t xml:space="preserve"> </w:t>
      </w:r>
      <w:r>
        <w:t xml:space="preserve">“</w:t>
      </w:r>
      <w:r>
        <w:t xml:space="preserve">han</w:t>
      </w:r>
      <w:r>
        <w:t xml:space="preserve">”</w:t>
      </w:r>
      <w:r>
        <w:t xml:space="preserve"> </w:t>
      </w:r>
      <w:r>
        <w:t xml:space="preserve">is stated in the sūtra because the</w:t>
      </w:r>
      <w:r>
        <w:t xml:space="preserve"> </w:t>
      </w:r>
      <w:r>
        <w:t xml:space="preserve">“</w:t>
      </w:r>
      <w:r>
        <w:t xml:space="preserve">t</w:t>
      </w:r>
      <w:r>
        <w:t xml:space="preserve">”</w:t>
      </w:r>
      <w:r>
        <w:t xml:space="preserve"> </w:t>
      </w:r>
      <w:r>
        <w:t xml:space="preserve">of the affix is added (a Vedic feature).</w:t>
      </w:r>
      <w:r>
        <w:t xml:space="preserve"> </w:t>
      </w:r>
      <w:r>
        <w:t xml:space="preserve">-</w:t>
      </w:r>
      <w:r>
        <w:t xml:space="preserve"> </w:t>
      </w:r>
      <w:r>
        <w:rPr>
          <w:bCs/>
          <w:b/>
        </w:rPr>
        <w:t xml:space="preserve">Accent of the compound.</w:t>
      </w:r>
      <w:r>
        <w:t xml:space="preserve"> </w:t>
      </w:r>
      <w:r>
        <w:t xml:space="preserve">After the</w:t>
      </w:r>
      <w:r>
        <w:t xml:space="preserve"> </w:t>
      </w:r>
      <w:r>
        <w:t xml:space="preserve">“</w:t>
      </w:r>
      <w:r>
        <w:t xml:space="preserve">su</w:t>
      </w:r>
      <w:r>
        <w:t xml:space="preserve">”</w:t>
      </w:r>
      <w:r>
        <w:t xml:space="preserve"> </w:t>
      </w:r>
      <w:r>
        <w:t xml:space="preserve">the bahuvrīhi would by</w:t>
      </w:r>
      <w:r>
        <w:t xml:space="preserve"> </w:t>
      </w:r>
      <w:r>
        <w:rPr>
          <w:bCs/>
          <w:b/>
        </w:rPr>
        <w:t xml:space="preserve">बहुव्रीहौ प्रकृत्या पूर्वपदम्</w:t>
      </w:r>
      <w:r>
        <w:t xml:space="preserve"> </w:t>
      </w:r>
      <w:r>
        <w:t xml:space="preserve">(पा. ६-२-१) retain the first member’s accent; but</w:t>
      </w:r>
      <w:r>
        <w:t xml:space="preserve"> </w:t>
      </w:r>
      <w:r>
        <w:rPr>
          <w:bCs/>
          <w:b/>
        </w:rPr>
        <w:t xml:space="preserve">नञ्सुभ्याम्</w:t>
      </w:r>
      <w:r>
        <w:t xml:space="preserve"> </w:t>
      </w:r>
      <w:r>
        <w:t xml:space="preserve">(पा. ६-२-१७२) makes the last member’s last syllable acute in a bahuvrīhi after</w:t>
      </w:r>
      <w:r>
        <w:t xml:space="preserve"> </w:t>
      </w:r>
      <w:r>
        <w:t xml:space="preserve">“</w:t>
      </w:r>
      <w:r>
        <w:t xml:space="preserve">nañ</w:t>
      </w:r>
      <w:r>
        <w:t xml:space="preserve">”</w:t>
      </w:r>
      <w:r>
        <w:t xml:space="preserve"> </w:t>
      </w:r>
      <w:r>
        <w:t xml:space="preserve">or</w:t>
      </w:r>
      <w:r>
        <w:t xml:space="preserve"> </w:t>
      </w:r>
      <w:r>
        <w:t xml:space="preserve">“</w:t>
      </w:r>
      <w:r>
        <w:t xml:space="preserve">su</w:t>
      </w:r>
      <w:r>
        <w:t xml:space="preserve">”</w:t>
      </w:r>
      <w:r>
        <w:t xml:space="preserve">; so</w:t>
      </w:r>
      <w:r>
        <w:t xml:space="preserve"> </w:t>
      </w:r>
      <w:r>
        <w:t xml:space="preserve">“</w:t>
      </w:r>
      <w:r>
        <w:t xml:space="preserve">surūpa</w:t>
      </w:r>
      <w:r>
        <w:t xml:space="preserve">”</w:t>
      </w:r>
      <w:r>
        <w:t xml:space="preserve"> </w:t>
      </w:r>
      <w:r>
        <w:t xml:space="preserve">is end-acute. In</w:t>
      </w:r>
      <w:r>
        <w:t xml:space="preserve"> </w:t>
      </w:r>
      <w:r>
        <w:t xml:space="preserve">“</w:t>
      </w:r>
      <w:r>
        <w:t xml:space="preserve">kṛtnu</w:t>
      </w:r>
      <w:r>
        <w:t xml:space="preserve">”</w:t>
      </w:r>
      <w:r>
        <w:t xml:space="preserve"> </w:t>
      </w:r>
      <w:r>
        <w:t xml:space="preserve">the affix’s accent is the acute, per</w:t>
      </w:r>
      <w:r>
        <w:t xml:space="preserve"> </w:t>
      </w:r>
      <w:r>
        <w:rPr>
          <w:bCs/>
          <w:b/>
        </w:rPr>
        <w:t xml:space="preserve">धातोः</w:t>
      </w:r>
      <w:r>
        <w:t xml:space="preserve"> </w:t>
      </w:r>
      <w:r>
        <w:t xml:space="preserve">(पा. ६-१-१६२) and</w:t>
      </w:r>
      <w:r>
        <w:t xml:space="preserve"> </w:t>
      </w:r>
      <w:r>
        <w:rPr>
          <w:bCs/>
          <w:b/>
        </w:rPr>
        <w:t xml:space="preserve">आद्युदात्तश्च</w:t>
      </w:r>
      <w:r>
        <w:t xml:space="preserve"> </w:t>
      </w:r>
      <w:r>
        <w:t xml:space="preserve">(पा. ३-१-३); with</w:t>
      </w:r>
      <w:r>
        <w:t xml:space="preserve"> </w:t>
      </w:r>
      <w:r>
        <w:t xml:space="preserve">“</w:t>
      </w:r>
      <w:r>
        <w:t xml:space="preserve">surūpakṛtnu</w:t>
      </w:r>
      <w:r>
        <w:t xml:space="preserve">”</w:t>
      </w:r>
      <w:r>
        <w:t xml:space="preserve"> </w:t>
      </w:r>
      <w:r>
        <w:t xml:space="preserve">as a genitive tatpuruṣa,</w:t>
      </w:r>
      <w:r>
        <w:t xml:space="preserve"> </w:t>
      </w:r>
      <w:r>
        <w:rPr>
          <w:bCs/>
          <w:b/>
        </w:rPr>
        <w:t xml:space="preserve">समासस्य</w:t>
      </w:r>
      <w:r>
        <w:t xml:space="preserve"> </w:t>
      </w:r>
      <w:r>
        <w:t xml:space="preserve">(पा. ६-१-२२३) makes the compound end-acute. The second-case singular ending</w:t>
      </w:r>
      <w:r>
        <w:t xml:space="preserve"> </w:t>
      </w:r>
      <w:r>
        <w:t xml:space="preserve">“</w:t>
      </w:r>
      <w:r>
        <w:t xml:space="preserve">am</w:t>
      </w:r>
      <w:r>
        <w:t xml:space="preserve">”</w:t>
      </w:r>
      <w:r>
        <w:t xml:space="preserve"> </w:t>
      </w:r>
      <w:r>
        <w:t xml:space="preserve">must be added after</w:t>
      </w:r>
      <w:r>
        <w:t xml:space="preserve"> </w:t>
      </w:r>
      <w:r>
        <w:t xml:space="preserve">“</w:t>
      </w:r>
      <w:r>
        <w:t xml:space="preserve">surūpakṛtnu</w:t>
      </w:r>
      <w:r>
        <w:t xml:space="preserve">”</w:t>
      </w:r>
      <w:r>
        <w:t xml:space="preserve">; by</w:t>
      </w:r>
      <w:r>
        <w:t xml:space="preserve"> </w:t>
      </w:r>
      <w:r>
        <w:rPr>
          <w:bCs/>
          <w:b/>
        </w:rPr>
        <w:t xml:space="preserve">अनुदात्तौ सुप्पितौ</w:t>
      </w:r>
      <w:r>
        <w:t xml:space="preserve"> </w:t>
      </w:r>
      <w:r>
        <w:t xml:space="preserve">(पा. ३-१-४) the ending</w:t>
      </w:r>
      <w:r>
        <w:t xml:space="preserve"> </w:t>
      </w:r>
      <w:r>
        <w:t xml:space="preserve">“</w:t>
      </w:r>
      <w:r>
        <w:t xml:space="preserve">am</w:t>
      </w:r>
      <w:r>
        <w:t xml:space="preserve">”</w:t>
      </w:r>
      <w:r>
        <w:t xml:space="preserve"> </w:t>
      </w:r>
      <w:r>
        <w:t xml:space="preserve">is unaccented. By</w:t>
      </w:r>
      <w:r>
        <w:t xml:space="preserve"> </w:t>
      </w:r>
      <w:r>
        <w:rPr>
          <w:bCs/>
          <w:b/>
        </w:rPr>
        <w:t xml:space="preserve">अमिपूर्वः</w:t>
      </w:r>
      <w:r>
        <w:t xml:space="preserve"> </w:t>
      </w:r>
      <w:r>
        <w:t xml:space="preserve">(पा. ६-१-१०७) the</w:t>
      </w:r>
      <w:r>
        <w:t xml:space="preserve"> </w:t>
      </w:r>
      <w:r>
        <w:t xml:space="preserve">“</w:t>
      </w:r>
      <w:r>
        <w:t xml:space="preserve">am</w:t>
      </w:r>
      <w:r>
        <w:t xml:space="preserve">”</w:t>
      </w:r>
      <w:r>
        <w:t xml:space="preserve"> </w:t>
      </w:r>
      <w:r>
        <w:t xml:space="preserve">combines in the</w:t>
      </w:r>
      <w:r>
        <w:t xml:space="preserve"> </w:t>
      </w:r>
      <w:r>
        <w:t xml:space="preserve">“</w:t>
      </w:r>
      <w:r>
        <w:t xml:space="preserve">pūrvarūpa</w:t>
      </w:r>
      <w:r>
        <w:t xml:space="preserve">”</w:t>
      </w:r>
      <w:r>
        <w:t xml:space="preserve"> </w:t>
      </w:r>
      <w:r>
        <w:t xml:space="preserve">with the</w:t>
      </w:r>
      <w:r>
        <w:t xml:space="preserve"> </w:t>
      </w:r>
      <w:r>
        <w:t xml:space="preserve">“</w:t>
      </w:r>
      <w:r>
        <w:t xml:space="preserve">u,</w:t>
      </w:r>
      <w:r>
        <w:t xml:space="preserve">”</w:t>
      </w:r>
      <w:r>
        <w:t xml:space="preserve"> </w:t>
      </w:r>
      <w:r>
        <w:t xml:space="preserve">and by</w:t>
      </w:r>
      <w:r>
        <w:t xml:space="preserve"> </w:t>
      </w:r>
      <w:r>
        <w:rPr>
          <w:bCs/>
          <w:b/>
        </w:rPr>
        <w:t xml:space="preserve">एकादेश उदात्तेनोदात्तः</w:t>
      </w:r>
      <w:r>
        <w:t xml:space="preserve"> </w:t>
      </w:r>
      <w:r>
        <w:t xml:space="preserve">(पा. ८-२-५) the single substitute is acute.</w:t>
      </w:r>
      <w:r>
        <w:t xml:space="preserve"> </w:t>
      </w:r>
      <w:r>
        <w:t xml:space="preserve">-</w:t>
      </w:r>
      <w:r>
        <w:t xml:space="preserve"> </w:t>
      </w:r>
      <w:r>
        <w:rPr>
          <w:bCs/>
          <w:b/>
        </w:rPr>
        <w:t xml:space="preserve">“</w:t>
      </w:r>
      <w:r>
        <w:rPr>
          <w:bCs/>
          <w:b/>
        </w:rPr>
        <w:t xml:space="preserve">Ūtaye</w:t>
      </w:r>
      <w:r>
        <w:rPr>
          <w:bCs/>
          <w:b/>
        </w:rPr>
        <w:t xml:space="preserve">”</w:t>
      </w:r>
      <w:r>
        <w:t xml:space="preserve"> </w:t>
      </w:r>
      <w:r>
        <w:t xml:space="preserve">—</w:t>
      </w:r>
      <w:r>
        <w:t xml:space="preserve"> </w:t>
      </w:r>
      <w:r>
        <w:rPr>
          <w:bCs/>
          <w:b/>
        </w:rPr>
        <w:t xml:space="preserve">ऊतियूतिजूतिसातिहेतिकीर्तयश्च</w:t>
      </w:r>
      <w:r>
        <w:t xml:space="preserve"> </w:t>
      </w:r>
      <w:r>
        <w:t xml:space="preserve">(पा. ३-३-९७) with the word</w:t>
      </w:r>
      <w:r>
        <w:t xml:space="preserve"> </w:t>
      </w:r>
      <w:r>
        <w:rPr>
          <w:bCs/>
          <w:b/>
        </w:rPr>
        <w:t xml:space="preserve">मन्त्रे वृषेषपचमनविदभूवीरा उदात्तः</w:t>
      </w:r>
      <w:r>
        <w:t xml:space="preserve"> </w:t>
      </w:r>
      <w:r>
        <w:t xml:space="preserve">(पा. ३-३-९६) — the</w:t>
      </w:r>
      <w:r>
        <w:t xml:space="preserve"> </w:t>
      </w:r>
      <w:r>
        <w:t xml:space="preserve">“</w:t>
      </w:r>
      <w:r>
        <w:t xml:space="preserve">udātta</w:t>
      </w:r>
      <w:r>
        <w:t xml:space="preserve">”</w:t>
      </w:r>
      <w:r>
        <w:t xml:space="preserve"> </w:t>
      </w:r>
      <w:r>
        <w:t xml:space="preserve">of the preceding sūtra being carried over — these words ending in the affix</w:t>
      </w:r>
      <w:r>
        <w:t xml:space="preserve"> </w:t>
      </w:r>
      <w:r>
        <w:t xml:space="preserve">“</w:t>
      </w:r>
      <w:r>
        <w:t xml:space="preserve">ktin</w:t>
      </w:r>
      <w:r>
        <w:t xml:space="preserve">”</w:t>
      </w:r>
      <w:r>
        <w:t xml:space="preserve"> </w:t>
      </w:r>
      <w:r>
        <w:t xml:space="preserve">are formed irregularly (nipātana) and are end-acute:</w:t>
      </w:r>
      <w:r>
        <w:t xml:space="preserve"> </w:t>
      </w:r>
      <w:r>
        <w:t xml:space="preserve">“</w:t>
      </w:r>
      <w:r>
        <w:t xml:space="preserve">ūti</w:t>
      </w:r>
      <w:r>
        <w:t xml:space="preserve">”</w:t>
      </w:r>
      <w:r>
        <w:t xml:space="preserve"> </w:t>
      </w:r>
      <w:r>
        <w:t xml:space="preserve">is end-acute. The root</w:t>
      </w:r>
      <w:r>
        <w:t xml:space="preserve"> </w:t>
      </w:r>
      <w:r>
        <w:t xml:space="preserve">“</w:t>
      </w:r>
      <w:r>
        <w:t xml:space="preserve">av</w:t>
      </w:r>
      <w:r>
        <w:t xml:space="preserve">”</w:t>
      </w:r>
      <w:r>
        <w:t xml:space="preserve"> </w:t>
      </w:r>
      <w:r>
        <w:t xml:space="preserve">(to protect) takes</w:t>
      </w:r>
      <w:r>
        <w:t xml:space="preserve"> </w:t>
      </w:r>
      <w:r>
        <w:t xml:space="preserve">“</w:t>
      </w:r>
      <w:r>
        <w:t xml:space="preserve">ktin</w:t>
      </w:r>
      <w:r>
        <w:t xml:space="preserve">”</w:t>
      </w:r>
      <w:r>
        <w:t xml:space="preserve"> </w:t>
      </w:r>
      <w:r>
        <w:t xml:space="preserve">by</w:t>
      </w:r>
      <w:r>
        <w:t xml:space="preserve"> </w:t>
      </w:r>
      <w:r>
        <w:rPr>
          <w:bCs/>
          <w:b/>
        </w:rPr>
        <w:t xml:space="preserve">ज्वरत्वरस्रिव्यविमवामुपधायाश्च</w:t>
      </w:r>
      <w:r>
        <w:t xml:space="preserve"> </w:t>
      </w:r>
      <w:r>
        <w:t xml:space="preserve">(पा. ६-४-२०) with</w:t>
      </w:r>
      <w:r>
        <w:t xml:space="preserve"> </w:t>
      </w:r>
      <w:r>
        <w:t xml:space="preserve">“</w:t>
      </w:r>
      <w:r>
        <w:t xml:space="preserve">ūṭ</w:t>
      </w:r>
      <w:r>
        <w:t xml:space="preserve">”</w:t>
      </w:r>
      <w:r>
        <w:t xml:space="preserve"> </w:t>
      </w:r>
      <w:r>
        <w:t xml:space="preserve">replacing</w:t>
      </w:r>
      <w:r>
        <w:t xml:space="preserve"> </w:t>
      </w:r>
      <w:r>
        <w:t xml:space="preserve">“</w:t>
      </w:r>
      <w:r>
        <w:t xml:space="preserve">av,</w:t>
      </w:r>
      <w:r>
        <w:t xml:space="preserve">”</w:t>
      </w:r>
      <w:r>
        <w:t xml:space="preserve"> </w:t>
      </w:r>
      <w:r>
        <w:t xml:space="preserve">giving</w:t>
      </w:r>
      <w:r>
        <w:t xml:space="preserve"> </w:t>
      </w:r>
      <w:r>
        <w:t xml:space="preserve">“</w:t>
      </w:r>
      <w:r>
        <w:t xml:space="preserve">ūti</w:t>
      </w:r>
      <w:r>
        <w:t xml:space="preserve">”</w:t>
      </w:r>
      <w:r>
        <w:t xml:space="preserve">; the accents of the root and of the affix would conflict, and the nipātana’s acute on the</w:t>
      </w:r>
      <w:r>
        <w:t xml:space="preserve"> </w:t>
      </w:r>
      <w:r>
        <w:t xml:space="preserve">“</w:t>
      </w:r>
      <w:r>
        <w:t xml:space="preserve">i</w:t>
      </w:r>
      <w:r>
        <w:t xml:space="preserve">”</w:t>
      </w:r>
      <w:r>
        <w:t xml:space="preserve"> </w:t>
      </w:r>
      <w:r>
        <w:t xml:space="preserve">overrides.</w:t>
      </w:r>
      <w:r>
        <w:t xml:space="preserve"> </w:t>
      </w:r>
      <w:r>
        <w:t xml:space="preserve">“</w:t>
      </w:r>
      <w:r>
        <w:t xml:space="preserve">Ū</w:t>
      </w:r>
      <w:r>
        <w:t xml:space="preserve">”</w:t>
      </w:r>
      <w:r>
        <w:t xml:space="preserve"> </w:t>
      </w:r>
      <w:r>
        <w:t xml:space="preserve">is unaccented by the</w:t>
      </w:r>
      <w:r>
        <w:t xml:space="preserve"> </w:t>
      </w:r>
      <w:r>
        <w:t xml:space="preserve">“</w:t>
      </w:r>
      <w:r>
        <w:t xml:space="preserve">śeṣa-anudātta</w:t>
      </w:r>
      <w:r>
        <w:t xml:space="preserve">”</w:t>
      </w:r>
      <w:r>
        <w:t xml:space="preserve"> </w:t>
      </w:r>
      <w:r>
        <w:t xml:space="preserve">rule. …</w:t>
      </w:r>
    </w:p>
    <w:p>
      <w:pPr>
        <w:pStyle w:val="BodyText"/>
      </w:pPr>
      <w:r>
        <w:rPr>
          <w:bCs/>
          <w:b/>
        </w:rPr>
        <w:t xml:space="preserve">p. 93 —</w:t>
      </w:r>
      <w:r>
        <w:rPr>
          <w:bCs/>
          <w:b/>
        </w:rPr>
        <w:t xml:space="preserve"> </w:t>
      </w:r>
      <w:r>
        <w:rPr>
          <w:bCs/>
          <w:b/>
        </w:rPr>
        <w:t xml:space="preserve">“</w:t>
      </w:r>
      <w:r>
        <w:rPr>
          <w:bCs/>
          <w:b/>
        </w:rPr>
        <w:t xml:space="preserve">ūtaye</w:t>
      </w:r>
      <w:r>
        <w:rPr>
          <w:bCs/>
          <w:b/>
        </w:rPr>
        <w:t xml:space="preserve">”</w:t>
      </w:r>
      <w:r>
        <w:rPr>
          <w:bCs/>
          <w:b/>
        </w:rPr>
        <w:t xml:space="preserve"> </w:t>
      </w:r>
      <w:r>
        <w:rPr>
          <w:bCs/>
          <w:b/>
        </w:rPr>
        <w:t xml:space="preserve">concluded;</w:t>
      </w:r>
      <w:r>
        <w:rPr>
          <w:bCs/>
          <w:b/>
        </w:rPr>
        <w:t xml:space="preserve"> </w:t>
      </w:r>
      <w:r>
        <w:rPr>
          <w:bCs/>
          <w:b/>
        </w:rPr>
        <w:t xml:space="preserve">“</w:t>
      </w:r>
      <w:r>
        <w:rPr>
          <w:bCs/>
          <w:b/>
        </w:rPr>
        <w:t xml:space="preserve">sudughām,</w:t>
      </w:r>
      <w:r>
        <w:rPr>
          <w:bCs/>
          <w:b/>
        </w:rPr>
        <w:t xml:space="preserve">”</w:t>
      </w:r>
      <w:r>
        <w:rPr>
          <w:bCs/>
          <w:b/>
        </w:rPr>
        <w:t xml:space="preserve"> </w:t>
      </w:r>
      <w:r>
        <w:rPr>
          <w:bCs/>
          <w:b/>
        </w:rPr>
        <w:t xml:space="preserve">“</w:t>
      </w:r>
      <w:r>
        <w:rPr>
          <w:bCs/>
          <w:b/>
        </w:rPr>
        <w:t xml:space="preserve">goduhe,</w:t>
      </w:r>
      <w:r>
        <w:rPr>
          <w:bCs/>
          <w:b/>
        </w:rPr>
        <w:t xml:space="preserve">”</w:t>
      </w:r>
      <w:r>
        <w:rPr>
          <w:bCs/>
          <w:b/>
        </w:rPr>
        <w:t xml:space="preserve"> </w:t>
      </w:r>
      <w:r>
        <w:rPr>
          <w:bCs/>
          <w:b/>
        </w:rPr>
        <w:t xml:space="preserve">“</w:t>
      </w:r>
      <w:r>
        <w:rPr>
          <w:bCs/>
          <w:b/>
        </w:rPr>
        <w:t xml:space="preserve">juhūmasi.</w:t>
      </w:r>
      <w:r>
        <w:rPr>
          <w:bCs/>
          <w:b/>
        </w:rPr>
        <w:t xml:space="preserve">”</w:t>
      </w:r>
      <w:r>
        <w:t xml:space="preserve"> </w:t>
      </w:r>
      <w:r>
        <w:t xml:space="preserve">-</w:t>
      </w:r>
      <w:r>
        <w:t xml:space="preserve"> </w:t>
      </w:r>
      <w:r>
        <w:t xml:space="preserve">“</w:t>
      </w:r>
      <w:r>
        <w:t xml:space="preserve">Ūti</w:t>
      </w:r>
      <w:r>
        <w:t xml:space="preserve">”</w:t>
      </w:r>
      <w:r>
        <w:t xml:space="preserve"> </w:t>
      </w:r>
      <w:r>
        <w:t xml:space="preserve">+ the dative ending</w:t>
      </w:r>
      <w:r>
        <w:t xml:space="preserve"> </w:t>
      </w:r>
      <w:r>
        <w:t xml:space="preserve">“</w:t>
      </w:r>
      <w:r>
        <w:t xml:space="preserve">ṅe</w:t>
      </w:r>
      <w:r>
        <w:t xml:space="preserve">”</w:t>
      </w:r>
      <w:r>
        <w:t xml:space="preserve">: the</w:t>
      </w:r>
      <w:r>
        <w:t xml:space="preserve"> </w:t>
      </w:r>
      <w:r>
        <w:t xml:space="preserve">“</w:t>
      </w:r>
      <w:r>
        <w:t xml:space="preserve">ṅī</w:t>
      </w:r>
      <w:r>
        <w:t xml:space="preserve">”</w:t>
      </w:r>
      <w:r>
        <w:t xml:space="preserve">/</w:t>
      </w:r>
      <w:r>
        <w:t xml:space="preserve">“</w:t>
      </w:r>
      <w:r>
        <w:t xml:space="preserve">jhi</w:t>
      </w:r>
      <w:r>
        <w:t xml:space="preserve">”</w:t>
      </w:r>
      <w:r>
        <w:t xml:space="preserve"> </w:t>
      </w:r>
      <w:r>
        <w:t xml:space="preserve">affixes; since</w:t>
      </w:r>
      <w:r>
        <w:t xml:space="preserve"> </w:t>
      </w:r>
      <w:r>
        <w:t xml:space="preserve">“</w:t>
      </w:r>
      <w:r>
        <w:t xml:space="preserve">ūti</w:t>
      </w:r>
      <w:r>
        <w:t xml:space="preserve">”</w:t>
      </w:r>
      <w:r>
        <w:t xml:space="preserve"> </w:t>
      </w:r>
      <w:r>
        <w:t xml:space="preserve">is a word ending in short</w:t>
      </w:r>
      <w:r>
        <w:t xml:space="preserve"> </w:t>
      </w:r>
      <w:r>
        <w:t xml:space="preserve">“</w:t>
      </w:r>
      <w:r>
        <w:t xml:space="preserve">i</w:t>
      </w:r>
      <w:r>
        <w:t xml:space="preserve">”</w:t>
      </w:r>
      <w:r>
        <w:t xml:space="preserve"> </w:t>
      </w:r>
      <w:r>
        <w:t xml:space="preserve">and not</w:t>
      </w:r>
      <w:r>
        <w:t xml:space="preserve"> </w:t>
      </w:r>
      <w:r>
        <w:t xml:space="preserve">“</w:t>
      </w:r>
      <w:r>
        <w:t xml:space="preserve">nadī</w:t>
      </w:r>
      <w:r>
        <w:t xml:space="preserve">”</w:t>
      </w:r>
      <w:r>
        <w:t xml:space="preserve">-labelled, by</w:t>
      </w:r>
      <w:r>
        <w:t xml:space="preserve"> </w:t>
      </w:r>
      <w:r>
        <w:rPr>
          <w:bCs/>
          <w:b/>
        </w:rPr>
        <w:t xml:space="preserve">घेर्ङिति</w:t>
      </w:r>
      <w:r>
        <w:t xml:space="preserve"> </w:t>
      </w:r>
      <w:r>
        <w:t xml:space="preserve">(पा. ७-३-१११) the guṇa is substituted —</w:t>
      </w:r>
      <w:r>
        <w:t xml:space="preserve"> </w:t>
      </w:r>
      <w:r>
        <w:t xml:space="preserve">“</w:t>
      </w:r>
      <w:r>
        <w:t xml:space="preserve">ūte</w:t>
      </w:r>
      <w:r>
        <w:t xml:space="preserve">”</w:t>
      </w:r>
      <w:r>
        <w:t xml:space="preserve"> </w:t>
      </w:r>
      <w:r>
        <w:t xml:space="preserve">+</w:t>
      </w:r>
      <w:r>
        <w:t xml:space="preserve"> </w:t>
      </w:r>
      <w:r>
        <w:t xml:space="preserve">“</w:t>
      </w:r>
      <w:r>
        <w:t xml:space="preserve">e</w:t>
      </w:r>
      <w:r>
        <w:t xml:space="preserve">”</w:t>
      </w:r>
      <w:r>
        <w:t xml:space="preserve"> </w:t>
      </w:r>
      <w:r>
        <w:t xml:space="preserve">→ by</w:t>
      </w:r>
      <w:r>
        <w:t xml:space="preserve"> </w:t>
      </w:r>
      <w:r>
        <w:rPr>
          <w:bCs/>
          <w:b/>
        </w:rPr>
        <w:t xml:space="preserve">एचोऽयवायावः</w:t>
      </w:r>
      <w:r>
        <w:t xml:space="preserve"> </w:t>
      </w:r>
      <w:r>
        <w:t xml:space="preserve">“</w:t>
      </w:r>
      <w:r>
        <w:t xml:space="preserve">ūtaye.</w:t>
      </w:r>
      <w:r>
        <w:t xml:space="preserve">”</w:t>
      </w:r>
      <w:r>
        <w:t xml:space="preserve"> </w:t>
      </w:r>
      <w:r>
        <w:t xml:space="preserve">The</w:t>
      </w:r>
      <w:r>
        <w:t xml:space="preserve"> </w:t>
      </w:r>
      <w:r>
        <w:t xml:space="preserve">“</w:t>
      </w:r>
      <w:r>
        <w:t xml:space="preserve">ṅe</w:t>
      </w:r>
      <w:r>
        <w:t xml:space="preserve">”</w:t>
      </w:r>
      <w:r>
        <w:t xml:space="preserve"> </w:t>
      </w:r>
      <w:r>
        <w:t xml:space="preserve">ending is unaccented as</w:t>
      </w:r>
      <w:r>
        <w:t xml:space="preserve"> </w:t>
      </w:r>
      <w:r>
        <w:t xml:space="preserve">“</w:t>
      </w:r>
      <w:r>
        <w:t xml:space="preserve">sup</w:t>
      </w:r>
      <w:r>
        <w:t xml:space="preserve">”</w:t>
      </w:r>
      <w:r>
        <w:t xml:space="preserve">; the accent of the</w:t>
      </w:r>
      <w:r>
        <w:t xml:space="preserve"> </w:t>
      </w:r>
      <w:r>
        <w:t xml:space="preserve">“</w:t>
      </w:r>
      <w:r>
        <w:t xml:space="preserve">i</w:t>
      </w:r>
      <w:r>
        <w:t xml:space="preserve">”</w:t>
      </w:r>
      <w:r>
        <w:t xml:space="preserve"> </w:t>
      </w:r>
      <w:r>
        <w:t xml:space="preserve">of</w:t>
      </w:r>
      <w:r>
        <w:t xml:space="preserve"> </w:t>
      </w:r>
      <w:r>
        <w:t xml:space="preserve">“</w:t>
      </w:r>
      <w:r>
        <w:t xml:space="preserve">ūti</w:t>
      </w:r>
      <w:r>
        <w:t xml:space="preserve">”</w:t>
      </w:r>
      <w:r>
        <w:t xml:space="preserve"> </w:t>
      </w:r>
      <w:r>
        <w:t xml:space="preserve">is the</w:t>
      </w:r>
      <w:r>
        <w:t xml:space="preserve"> </w:t>
      </w:r>
      <w:r>
        <w:t xml:space="preserve">“</w:t>
      </w:r>
      <w:r>
        <w:t xml:space="preserve">nipātana</w:t>
      </w:r>
      <w:r>
        <w:t xml:space="preserve">”</w:t>
      </w:r>
      <w:r>
        <w:t xml:space="preserve"> </w:t>
      </w:r>
      <w:r>
        <w:t xml:space="preserve">acute, and the</w:t>
      </w:r>
      <w:r>
        <w:t xml:space="preserve"> </w:t>
      </w:r>
      <w:r>
        <w:t xml:space="preserve">“</w:t>
      </w:r>
      <w:r>
        <w:t xml:space="preserve">ay</w:t>
      </w:r>
      <w:r>
        <w:t xml:space="preserve">”</w:t>
      </w:r>
      <w:r>
        <w:t xml:space="preserve"> </w:t>
      </w:r>
      <w:r>
        <w:t xml:space="preserve">substitute is acute as the substitute of an acute; by</w:t>
      </w:r>
      <w:r>
        <w:t xml:space="preserve"> </w:t>
      </w:r>
      <w:r>
        <w:rPr>
          <w:bCs/>
          <w:b/>
        </w:rPr>
        <w:t xml:space="preserve">उदात्तादनुदात्तस्य स्वरितः</w:t>
      </w:r>
      <w:r>
        <w:t xml:space="preserve"> </w:t>
      </w:r>
      <w:r>
        <w:t xml:space="preserve">(पा. ८-४-६६) the following unaccented syllable becomes svarita. Thus</w:t>
      </w:r>
      <w:r>
        <w:t xml:space="preserve"> </w:t>
      </w:r>
      <w:r>
        <w:t xml:space="preserve">“</w:t>
      </w:r>
      <w:r>
        <w:t xml:space="preserve">ūtaye</w:t>
      </w:r>
      <w:r>
        <w:t xml:space="preserve">”</w:t>
      </w:r>
      <w:r>
        <w:t xml:space="preserve">: first syllable unaccented, second acute, third svarita.</w:t>
      </w:r>
      <w:r>
        <w:t xml:space="preserve"> </w:t>
      </w:r>
      <w:r>
        <w:t xml:space="preserve">-</w:t>
      </w:r>
      <w:r>
        <w:t xml:space="preserve"> </w:t>
      </w:r>
      <w:r>
        <w:rPr>
          <w:bCs/>
          <w:b/>
        </w:rPr>
        <w:t xml:space="preserve">“</w:t>
      </w:r>
      <w:r>
        <w:rPr>
          <w:bCs/>
          <w:b/>
        </w:rPr>
        <w:t xml:space="preserve">Sudughām</w:t>
      </w:r>
      <w:r>
        <w:rPr>
          <w:bCs/>
          <w:b/>
        </w:rPr>
        <w:t xml:space="preserve">”</w:t>
      </w:r>
      <w:r>
        <w:t xml:space="preserve"> </w:t>
      </w:r>
      <w:r>
        <w:t xml:space="preserve">—</w:t>
      </w:r>
      <w:r>
        <w:t xml:space="preserve"> </w:t>
      </w:r>
      <w:r>
        <w:t xml:space="preserve">“</w:t>
      </w:r>
      <w:r>
        <w:t xml:space="preserve">suṣṭhu dugdhe iti sudughā</w:t>
      </w:r>
      <w:r>
        <w:t xml:space="preserve">”</w:t>
      </w:r>
      <w:r>
        <w:t xml:space="preserve"> </w:t>
      </w:r>
      <w:r>
        <w:t xml:space="preserve">(</w:t>
      </w:r>
      <w:r>
        <w:t xml:space="preserve">“</w:t>
      </w:r>
      <w:r>
        <w:t xml:space="preserve">she who yields milk well</w:t>
      </w:r>
      <w:r>
        <w:t xml:space="preserve">”</w:t>
      </w:r>
      <w:r>
        <w:t xml:space="preserve">): the root</w:t>
      </w:r>
      <w:r>
        <w:t xml:space="preserve"> </w:t>
      </w:r>
      <w:r>
        <w:t xml:space="preserve">“</w:t>
      </w:r>
      <w:r>
        <w:t xml:space="preserve">duh prapūraṇe</w:t>
      </w:r>
      <w:r>
        <w:t xml:space="preserve">”</w:t>
      </w:r>
      <w:r>
        <w:t xml:space="preserve"> </w:t>
      </w:r>
      <w:r>
        <w:t xml:space="preserve">(to fill, to milk) takes</w:t>
      </w:r>
      <w:r>
        <w:t xml:space="preserve"> </w:t>
      </w:r>
      <w:r>
        <w:t xml:space="preserve">“</w:t>
      </w:r>
      <w:r>
        <w:t xml:space="preserve">kap</w:t>
      </w:r>
      <w:r>
        <w:t xml:space="preserve">”</w:t>
      </w:r>
      <w:r>
        <w:t xml:space="preserve"> </w:t>
      </w:r>
      <w:r>
        <w:t xml:space="preserve">when</w:t>
      </w:r>
      <w:r>
        <w:t xml:space="preserve"> </w:t>
      </w:r>
      <w:r>
        <w:t xml:space="preserve">“</w:t>
      </w:r>
      <w:r>
        <w:t xml:space="preserve">su</w:t>
      </w:r>
      <w:r>
        <w:t xml:space="preserve">”</w:t>
      </w:r>
      <w:r>
        <w:t xml:space="preserve"> </w:t>
      </w:r>
      <w:r>
        <w:t xml:space="preserve">is an upapada —</w:t>
      </w:r>
      <w:r>
        <w:t xml:space="preserve"> </w:t>
      </w:r>
      <w:r>
        <w:rPr>
          <w:bCs/>
          <w:b/>
        </w:rPr>
        <w:t xml:space="preserve">दुहः कब्घश्च</w:t>
      </w:r>
      <w:r>
        <w:t xml:space="preserve"> </w:t>
      </w:r>
      <w:r>
        <w:t xml:space="preserve">(</w:t>
      </w:r>
      <w:r>
        <w:rPr>
          <w:iCs/>
          <w:i/>
        </w:rPr>
        <w:t xml:space="preserve">duhaḥ kab ghaś ca</w:t>
      </w:r>
      <w:r>
        <w:t xml:space="preserve">, पा. ३-२-७०) — and the</w:t>
      </w:r>
      <w:r>
        <w:t xml:space="preserve"> </w:t>
      </w:r>
      <w:r>
        <w:t xml:space="preserve">“</w:t>
      </w:r>
      <w:r>
        <w:t xml:space="preserve">h</w:t>
      </w:r>
      <w:r>
        <w:t xml:space="preserve">”</w:t>
      </w:r>
      <w:r>
        <w:t xml:space="preserve"> </w:t>
      </w:r>
      <w:r>
        <w:t xml:space="preserve">of</w:t>
      </w:r>
      <w:r>
        <w:t xml:space="preserve"> </w:t>
      </w:r>
      <w:r>
        <w:t xml:space="preserve">“</w:t>
      </w:r>
      <w:r>
        <w:t xml:space="preserve">duh</w:t>
      </w:r>
      <w:r>
        <w:t xml:space="preserve">”</w:t>
      </w:r>
      <w:r>
        <w:t xml:space="preserve"> </w:t>
      </w:r>
      <w:r>
        <w:t xml:space="preserve">becomes</w:t>
      </w:r>
      <w:r>
        <w:t xml:space="preserve"> </w:t>
      </w:r>
      <w:r>
        <w:t xml:space="preserve">“</w:t>
      </w:r>
      <w:r>
        <w:t xml:space="preserve">gh</w:t>
      </w:r>
      <w:r>
        <w:t xml:space="preserve">”</w:t>
      </w:r>
      <w:r>
        <w:t xml:space="preserve">; the</w:t>
      </w:r>
      <w:r>
        <w:t xml:space="preserve"> </w:t>
      </w:r>
      <w:r>
        <w:t xml:space="preserve">“</w:t>
      </w:r>
      <w:r>
        <w:t xml:space="preserve">a</w:t>
      </w:r>
      <w:r>
        <w:t xml:space="preserve">”</w:t>
      </w:r>
      <w:r>
        <w:t xml:space="preserve"> </w:t>
      </w:r>
      <w:r>
        <w:t xml:space="preserve">of</w:t>
      </w:r>
      <w:r>
        <w:t xml:space="preserve"> </w:t>
      </w:r>
      <w:r>
        <w:t xml:space="preserve">“</w:t>
      </w:r>
      <w:r>
        <w:t xml:space="preserve">kap</w:t>
      </w:r>
      <w:r>
        <w:t xml:space="preserve">”</w:t>
      </w:r>
      <w:r>
        <w:t xml:space="preserve"> </w:t>
      </w:r>
      <w:r>
        <w:t xml:space="preserve">being</w:t>
      </w:r>
      <w:r>
        <w:t xml:space="preserve"> </w:t>
      </w:r>
      <w:r>
        <w:t xml:space="preserve">“</w:t>
      </w:r>
      <w:r>
        <w:t xml:space="preserve">p</w:t>
      </w:r>
      <w:r>
        <w:t xml:space="preserve">”</w:t>
      </w:r>
      <w:r>
        <w:t xml:space="preserve">-marked, there is no guṇa, and by</w:t>
      </w:r>
      <w:r>
        <w:t xml:space="preserve"> </w:t>
      </w:r>
      <w:r>
        <w:rPr>
          <w:bCs/>
          <w:b/>
        </w:rPr>
        <w:t xml:space="preserve">अनुदात्तोपदेश…</w:t>
      </w:r>
      <w:r>
        <w:t xml:space="preserve"> </w:t>
      </w:r>
      <w:r>
        <w:t xml:space="preserve">the root’s accent remains;</w:t>
      </w:r>
      <w:r>
        <w:t xml:space="preserve"> </w:t>
      </w:r>
      <w:r>
        <w:rPr>
          <w:bCs/>
          <w:b/>
        </w:rPr>
        <w:t xml:space="preserve">धातोः</w:t>
      </w:r>
      <w:r>
        <w:t xml:space="preserve"> </w:t>
      </w:r>
      <w:r>
        <w:t xml:space="preserve">(पा. ६-१-१६२) gives the root’s last vowel — the</w:t>
      </w:r>
      <w:r>
        <w:t xml:space="preserve"> </w:t>
      </w:r>
      <w:r>
        <w:t xml:space="preserve">“</w:t>
      </w:r>
      <w:r>
        <w:t xml:space="preserve">u</w:t>
      </w:r>
      <w:r>
        <w:t xml:space="preserve">”</w:t>
      </w:r>
      <w:r>
        <w:t xml:space="preserve"> </w:t>
      </w:r>
      <w:r>
        <w:t xml:space="preserve">of</w:t>
      </w:r>
      <w:r>
        <w:t xml:space="preserve"> </w:t>
      </w:r>
      <w:r>
        <w:t xml:space="preserve">“</w:t>
      </w:r>
      <w:r>
        <w:t xml:space="preserve">dugh</w:t>
      </w:r>
      <w:r>
        <w:t xml:space="preserve">”</w:t>
      </w:r>
      <w:r>
        <w:t xml:space="preserve"> </w:t>
      </w:r>
      <w:r>
        <w:t xml:space="preserve">— the acute. With</w:t>
      </w:r>
      <w:r>
        <w:t xml:space="preserve"> </w:t>
      </w:r>
      <w:r>
        <w:t xml:space="preserve">“</w:t>
      </w:r>
      <w:r>
        <w:t xml:space="preserve">su</w:t>
      </w:r>
      <w:r>
        <w:t xml:space="preserve">”</w:t>
      </w:r>
      <w:r>
        <w:t xml:space="preserve"> </w:t>
      </w:r>
      <w:r>
        <w:t xml:space="preserve">the compound is a</w:t>
      </w:r>
      <w:r>
        <w:t xml:space="preserve"> </w:t>
      </w:r>
      <w:r>
        <w:t xml:space="preserve">“</w:t>
      </w:r>
      <w:r>
        <w:t xml:space="preserve">gati-kāraka-upapada</w:t>
      </w:r>
      <w:r>
        <w:t xml:space="preserve">”</w:t>
      </w:r>
      <w:r>
        <w:t xml:space="preserve"> </w:t>
      </w:r>
      <w:r>
        <w:t xml:space="preserve">compound, so by</w:t>
      </w:r>
      <w:r>
        <w:t xml:space="preserve"> </w:t>
      </w:r>
      <w:r>
        <w:rPr>
          <w:bCs/>
          <w:b/>
        </w:rPr>
        <w:t xml:space="preserve">गतिकारकोपपदात्कृत्</w:t>
      </w:r>
      <w:r>
        <w:t xml:space="preserve"> </w:t>
      </w:r>
      <w:r>
        <w:t xml:space="preserve">(पा. ६-२-१३९) the original accent remains; the feminine</w:t>
      </w:r>
      <w:r>
        <w:t xml:space="preserve"> </w:t>
      </w:r>
      <w:r>
        <w:t xml:space="preserve">“</w:t>
      </w:r>
      <w:r>
        <w:t xml:space="preserve">ṭāp</w:t>
      </w:r>
      <w:r>
        <w:t xml:space="preserve">”</w:t>
      </w:r>
      <w:r>
        <w:t xml:space="preserve">; the second-case singular</w:t>
      </w:r>
      <w:r>
        <w:t xml:space="preserve"> </w:t>
      </w:r>
      <w:r>
        <w:t xml:space="preserve">“</w:t>
      </w:r>
      <w:r>
        <w:t xml:space="preserve">sudughām</w:t>
      </w:r>
      <w:r>
        <w:t xml:space="preserve">”</w:t>
      </w:r>
      <w:r>
        <w:t xml:space="preserve">; and with</w:t>
      </w:r>
      <w:r>
        <w:t xml:space="preserve"> </w:t>
      </w:r>
      <w:r>
        <w:t xml:space="preserve">“</w:t>
      </w:r>
      <w:r>
        <w:t xml:space="preserve">iva,</w:t>
      </w:r>
      <w:r>
        <w:t xml:space="preserve">”</w:t>
      </w:r>
      <w:r>
        <w:t xml:space="preserve"> </w:t>
      </w:r>
      <w:r>
        <w:t xml:space="preserve">by</w:t>
      </w:r>
      <w:r>
        <w:t xml:space="preserve"> </w:t>
      </w:r>
      <w:r>
        <w:rPr>
          <w:bCs/>
          <w:b/>
        </w:rPr>
        <w:t xml:space="preserve">इवेन समासो विभक्त्यलोपः पूर्वपदप्रकृतिस्वरत्वं च</w:t>
      </w:r>
      <w:r>
        <w:t xml:space="preserve"> </w:t>
      </w:r>
      <w:r>
        <w:t xml:space="preserve">(the vārttika as on p. 58) the compound keeps the earlier accent.</w:t>
      </w:r>
      <w:r>
        <w:t xml:space="preserve"> </w:t>
      </w:r>
      <w:r>
        <w:t xml:space="preserve">-</w:t>
      </w:r>
      <w:r>
        <w:t xml:space="preserve"> </w:t>
      </w:r>
      <w:r>
        <w:rPr>
          <w:bCs/>
          <w:b/>
        </w:rPr>
        <w:t xml:space="preserve">“</w:t>
      </w:r>
      <w:r>
        <w:rPr>
          <w:bCs/>
          <w:b/>
        </w:rPr>
        <w:t xml:space="preserve">Goduhe</w:t>
      </w:r>
      <w:r>
        <w:rPr>
          <w:bCs/>
          <w:b/>
        </w:rPr>
        <w:t xml:space="preserve">”</w:t>
      </w:r>
      <w:r>
        <w:t xml:space="preserve"> </w:t>
      </w:r>
      <w:r>
        <w:t xml:space="preserve">—</w:t>
      </w:r>
      <w:r>
        <w:t xml:space="preserve"> </w:t>
      </w:r>
      <w:r>
        <w:t xml:space="preserve">“</w:t>
      </w:r>
      <w:r>
        <w:t xml:space="preserve">gāṃ dogdhīti godhuk</w:t>
      </w:r>
      <w:r>
        <w:t xml:space="preserve">”</w:t>
      </w:r>
      <w:r>
        <w:t xml:space="preserve">:</w:t>
      </w:r>
      <w:r>
        <w:t xml:space="preserve"> </w:t>
      </w:r>
      <w:r>
        <w:rPr>
          <w:bCs/>
          <w:b/>
        </w:rPr>
        <w:t xml:space="preserve">सत्सूद्विषद्रुहदुहयुजविदभिदच्छिदजिनीराजामुपसर्गेऽपि क्विप्</w:t>
      </w:r>
      <w:r>
        <w:t xml:space="preserve"> </w:t>
      </w:r>
      <w:r>
        <w:t xml:space="preserve">(पा. ३-२-६१) — after</w:t>
      </w:r>
      <w:r>
        <w:t xml:space="preserve"> </w:t>
      </w:r>
      <w:r>
        <w:t xml:space="preserve">“</w:t>
      </w:r>
      <w:r>
        <w:t xml:space="preserve">pad</w:t>
      </w:r>
      <w:r>
        <w:t xml:space="preserve">”</w:t>
      </w:r>
      <w:r>
        <w:t xml:space="preserve"> </w:t>
      </w:r>
      <w:r>
        <w:t xml:space="preserve">(to go),</w:t>
      </w:r>
      <w:r>
        <w:t xml:space="preserve"> </w:t>
      </w:r>
      <w:r>
        <w:t xml:space="preserve">“</w:t>
      </w:r>
      <w:r>
        <w:t xml:space="preserve">sad,</w:t>
      </w:r>
      <w:r>
        <w:t xml:space="preserve">”</w:t>
      </w:r>
      <w:r>
        <w:t xml:space="preserve"> </w:t>
      </w:r>
      <w:r>
        <w:t xml:space="preserve">“</w:t>
      </w:r>
      <w:r>
        <w:t xml:space="preserve">dviṣ,</w:t>
      </w:r>
      <w:r>
        <w:t xml:space="preserve">”</w:t>
      </w:r>
      <w:r>
        <w:t xml:space="preserve"> </w:t>
      </w:r>
      <w:r>
        <w:t xml:space="preserve">“</w:t>
      </w:r>
      <w:r>
        <w:t xml:space="preserve">druh,</w:t>
      </w:r>
      <w:r>
        <w:t xml:space="preserve">”</w:t>
      </w:r>
      <w:r>
        <w:t xml:space="preserve"> </w:t>
      </w:r>
      <w:r>
        <w:t xml:space="preserve">“</w:t>
      </w:r>
      <w:r>
        <w:t xml:space="preserve">duh,</w:t>
      </w:r>
      <w:r>
        <w:t xml:space="preserve">”</w:t>
      </w:r>
      <w:r>
        <w:t xml:space="preserve"> </w:t>
      </w:r>
      <w:r>
        <w:t xml:space="preserve">“</w:t>
      </w:r>
      <w:r>
        <w:t xml:space="preserve">yuj,</w:t>
      </w:r>
      <w:r>
        <w:t xml:space="preserve">”</w:t>
      </w:r>
      <w:r>
        <w:t xml:space="preserve"> </w:t>
      </w:r>
      <w:r>
        <w:t xml:space="preserve">“</w:t>
      </w:r>
      <w:r>
        <w:t xml:space="preserve">vid,</w:t>
      </w:r>
      <w:r>
        <w:t xml:space="preserve">”</w:t>
      </w:r>
      <w:r>
        <w:t xml:space="preserve"> </w:t>
      </w:r>
      <w:r>
        <w:t xml:space="preserve">“</w:t>
      </w:r>
      <w:r>
        <w:t xml:space="preserve">bhid,</w:t>
      </w:r>
      <w:r>
        <w:t xml:space="preserve">”</w:t>
      </w:r>
      <w:r>
        <w:t xml:space="preserve"> </w:t>
      </w:r>
      <w:r>
        <w:t xml:space="preserve">“</w:t>
      </w:r>
      <w:r>
        <w:t xml:space="preserve">chid,</w:t>
      </w:r>
      <w:r>
        <w:t xml:space="preserve">”</w:t>
      </w:r>
      <w:r>
        <w:t xml:space="preserve"> </w:t>
      </w:r>
      <w:r>
        <w:t xml:space="preserve">“</w:t>
      </w:r>
      <w:r>
        <w:t xml:space="preserve">ji,</w:t>
      </w:r>
      <w:r>
        <w:t xml:space="preserve">”</w:t>
      </w:r>
      <w:r>
        <w:t xml:space="preserve"> </w:t>
      </w:r>
      <w:r>
        <w:t xml:space="preserve">“</w:t>
      </w:r>
      <w:r>
        <w:t xml:space="preserve">nī,</w:t>
      </w:r>
      <w:r>
        <w:t xml:space="preserve">”</w:t>
      </w:r>
      <w:r>
        <w:t xml:space="preserve"> </w:t>
      </w:r>
      <w:r>
        <w:t xml:space="preserve">“</w:t>
      </w:r>
      <w:r>
        <w:t xml:space="preserve">rāj</w:t>
      </w:r>
      <w:r>
        <w:t xml:space="preserve">”</w:t>
      </w:r>
      <w:r>
        <w:t xml:space="preserve"> </w:t>
      </w:r>
      <w:r>
        <w:t xml:space="preserve">—</w:t>
      </w:r>
      <w:r>
        <w:t xml:space="preserve"> </w:t>
      </w:r>
      <w:r>
        <w:t xml:space="preserve">“</w:t>
      </w:r>
      <w:r>
        <w:t xml:space="preserve">kvip</w:t>
      </w:r>
      <w:r>
        <w:t xml:space="preserve">”</w:t>
      </w:r>
      <w:r>
        <w:t xml:space="preserve"> </w:t>
      </w:r>
      <w:r>
        <w:t xml:space="preserve">occurs whether or not an upasarga precedes, when a subanta stands as upapada; the</w:t>
      </w:r>
      <w:r>
        <w:t xml:space="preserve"> </w:t>
      </w:r>
      <w:r>
        <w:t xml:space="preserve">“</w:t>
      </w:r>
      <w:r>
        <w:t xml:space="preserve">kvip</w:t>
      </w:r>
      <w:r>
        <w:t xml:space="preserve">”</w:t>
      </w:r>
      <w:r>
        <w:t xml:space="preserve"> </w:t>
      </w:r>
      <w:r>
        <w:t xml:space="preserve">is applied to</w:t>
      </w:r>
      <w:r>
        <w:t xml:space="preserve"> </w:t>
      </w:r>
      <w:r>
        <w:t xml:space="preserve">“</w:t>
      </w:r>
      <w:r>
        <w:t xml:space="preserve">duh</w:t>
      </w:r>
      <w:r>
        <w:t xml:space="preserve">”</w:t>
      </w:r>
      <w:r>
        <w:t xml:space="preserve"> </w:t>
      </w:r>
      <w:r>
        <w:t xml:space="preserve">with</w:t>
      </w:r>
      <w:r>
        <w:t xml:space="preserve"> </w:t>
      </w:r>
      <w:r>
        <w:t xml:space="preserve">“</w:t>
      </w:r>
      <w:r>
        <w:t xml:space="preserve">go</w:t>
      </w:r>
      <w:r>
        <w:t xml:space="preserve">”</w:t>
      </w:r>
      <w:r>
        <w:t xml:space="preserve"> </w:t>
      </w:r>
      <w:r>
        <w:t xml:space="preserve">as upapada; in the compound, the kṛt-ending second member’s accent is kept (</w:t>
      </w:r>
      <w:r>
        <w:rPr>
          <w:bCs/>
          <w:b/>
        </w:rPr>
        <w:t xml:space="preserve">कृदुत्तरपदप्रकृतिस्वरत्वम्</w:t>
      </w:r>
      <w:r>
        <w:t xml:space="preserve">).</w:t>
      </w:r>
      <w:r>
        <w:t xml:space="preserve"> </w:t>
      </w:r>
      <w:r>
        <w:t xml:space="preserve">-</w:t>
      </w:r>
      <w:r>
        <w:t xml:space="preserve"> </w:t>
      </w:r>
      <w:r>
        <w:rPr>
          <w:bCs/>
          <w:b/>
        </w:rPr>
        <w:t xml:space="preserve">“</w:t>
      </w:r>
      <w:r>
        <w:rPr>
          <w:bCs/>
          <w:b/>
        </w:rPr>
        <w:t xml:space="preserve">Juhūmasi</w:t>
      </w:r>
      <w:r>
        <w:rPr>
          <w:bCs/>
          <w:b/>
        </w:rPr>
        <w:t xml:space="preserve">”</w:t>
      </w:r>
      <w:r>
        <w:t xml:space="preserve"> </w:t>
      </w:r>
      <w:r>
        <w:t xml:space="preserve">— the root</w:t>
      </w:r>
      <w:r>
        <w:t xml:space="preserve"> </w:t>
      </w:r>
      <w:r>
        <w:t xml:space="preserve">“</w:t>
      </w:r>
      <w:r>
        <w:t xml:space="preserve">hve</w:t>
      </w:r>
      <w:r>
        <w:t xml:space="preserve">”</w:t>
      </w:r>
      <w:r>
        <w:t xml:space="preserve"> </w:t>
      </w:r>
      <w:r>
        <w:t xml:space="preserve">(</w:t>
      </w:r>
      <w:r>
        <w:rPr>
          <w:bCs/>
          <w:b/>
        </w:rPr>
        <w:t xml:space="preserve">ह्वेञ् स्पर्धायां शब्दे च</w:t>
      </w:r>
      <w:r>
        <w:t xml:space="preserve">,</w:t>
      </w:r>
      <w:r>
        <w:t xml:space="preserve"> </w:t>
      </w:r>
      <w:r>
        <w:t xml:space="preserve">“</w:t>
      </w:r>
      <w:r>
        <w:t xml:space="preserve">to challenge, to call</w:t>
      </w:r>
      <w:r>
        <w:t xml:space="preserve">”</w:t>
      </w:r>
      <w:r>
        <w:t xml:space="preserve">) is in the bhvādi (first) class;</w:t>
      </w:r>
      <w:r>
        <w:t xml:space="preserve"> </w:t>
      </w:r>
      <w:r>
        <w:t xml:space="preserve">“</w:t>
      </w:r>
      <w:r>
        <w:t xml:space="preserve">laṭ</w:t>
      </w:r>
      <w:r>
        <w:t xml:space="preserve">”</w:t>
      </w:r>
      <w:r>
        <w:t xml:space="preserve"> </w:t>
      </w:r>
      <w:r>
        <w:t xml:space="preserve">first-person plural</w:t>
      </w:r>
      <w:r>
        <w:t xml:space="preserve"> </w:t>
      </w:r>
      <w:r>
        <w:t xml:space="preserve">“</w:t>
      </w:r>
      <w:r>
        <w:t xml:space="preserve">mas</w:t>
      </w:r>
      <w:r>
        <w:t xml:space="preserve">”</w:t>
      </w:r>
      <w:r>
        <w:t xml:space="preserve"> </w:t>
      </w:r>
      <w:r>
        <w:t xml:space="preserve">gives</w:t>
      </w:r>
      <w:r>
        <w:t xml:space="preserve"> </w:t>
      </w:r>
      <w:r>
        <w:t xml:space="preserve">“</w:t>
      </w:r>
      <w:r>
        <w:t xml:space="preserve">hve + mas</w:t>
      </w:r>
      <w:r>
        <w:t xml:space="preserve">”</w:t>
      </w:r>
      <w:r>
        <w:t xml:space="preserve">; the</w:t>
      </w:r>
      <w:r>
        <w:t xml:space="preserve"> </w:t>
      </w:r>
      <w:r>
        <w:t xml:space="preserve">“</w:t>
      </w:r>
      <w:r>
        <w:t xml:space="preserve">śap</w:t>
      </w:r>
      <w:r>
        <w:t xml:space="preserve">”</w:t>
      </w:r>
      <w:r>
        <w:t xml:space="preserve"> </w:t>
      </w:r>
      <w:r>
        <w:t xml:space="preserve">that would come is elided as</w:t>
      </w:r>
      <w:r>
        <w:t xml:space="preserve"> </w:t>
      </w:r>
      <w:r>
        <w:t xml:space="preserve">“</w:t>
      </w:r>
      <w:r>
        <w:t xml:space="preserve">ślu</w:t>
      </w:r>
      <w:r>
        <w:t xml:space="preserve">”</w:t>
      </w:r>
      <w:r>
        <w:t xml:space="preserve"> </w:t>
      </w:r>
      <w:r>
        <w:t xml:space="preserve">by</w:t>
      </w:r>
      <w:r>
        <w:t xml:space="preserve"> </w:t>
      </w:r>
      <w:r>
        <w:rPr>
          <w:bCs/>
          <w:b/>
        </w:rPr>
        <w:t xml:space="preserve">बहुलं छन्दसि</w:t>
      </w:r>
      <w:r>
        <w:t xml:space="preserve"> </w:t>
      </w:r>
      <w:r>
        <w:t xml:space="preserve">(पा. सू. २-४-७६) — in the Veda</w:t>
      </w:r>
      <w:r>
        <w:t xml:space="preserve"> </w:t>
      </w:r>
      <w:r>
        <w:t xml:space="preserve">“</w:t>
      </w:r>
      <w:r>
        <w:t xml:space="preserve">ślu</w:t>
      </w:r>
      <w:r>
        <w:t xml:space="preserve">”</w:t>
      </w:r>
      <w:r>
        <w:t xml:space="preserve"> </w:t>
      </w:r>
      <w:r>
        <w:t xml:space="preserve">(elision named by the word</w:t>
      </w:r>
      <w:r>
        <w:t xml:space="preserve"> </w:t>
      </w:r>
      <w:r>
        <w:t xml:space="preserve">“</w:t>
      </w:r>
      <w:r>
        <w:t xml:space="preserve">ślu</w:t>
      </w:r>
      <w:r>
        <w:t xml:space="preserve">”</w:t>
      </w:r>
      <w:r>
        <w:t xml:space="preserve">) comes variously; then</w:t>
      </w:r>
      <w:r>
        <w:t xml:space="preserve"> </w:t>
      </w:r>
      <w:r>
        <w:rPr>
          <w:bCs/>
          <w:b/>
        </w:rPr>
        <w:t xml:space="preserve">अभ्यस्तस्य च</w:t>
      </w:r>
      <w:r>
        <w:t xml:space="preserve"> </w:t>
      </w:r>
      <w:r>
        <w:t xml:space="preserve">(पा. सू. ६-१-३३) …</w:t>
      </w:r>
      <w:r>
        <w:t xml:space="preserve"> </w:t>
      </w:r>
      <w:r>
        <w:rPr>
          <w:iCs/>
          <w:i/>
        </w:rPr>
        <w:t xml:space="preserve">(continues on the next page; re-read from the better scan, Oct 2026)</w:t>
      </w:r>
    </w:p>
    <w:bookmarkEnd w:id="121"/>
    <w:bookmarkStart w:id="122" w:name="Xca0c1f2619ae9a6b7fa66348bcf5041bafbd1f0"/>
    <w:p>
      <w:pPr>
        <w:pStyle w:val="Heading3"/>
      </w:pPr>
      <w:r>
        <w:t xml:space="preserve">Page 94 — Vyākaraṇa-prakriyā for Rik 4.1 concluded; Sūkta 4, Second Mantra: Saṃhitā and Pada text</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4.</w:t>
      </w:r>
      <w:r>
        <w:rPr>
          <w:iCs/>
          <w:i/>
        </w:rPr>
        <w:t xml:space="preserve">”</w:t>
      </w:r>
      <w:r>
        <w:rPr>
          <w:iCs/>
          <w:i/>
        </w:rPr>
        <w:t xml:space="preserve"> </w:t>
      </w:r>
      <w:r>
        <w:rPr>
          <w:iCs/>
          <w:i/>
        </w:rPr>
        <w:t xml:space="preserve">Grammar characterized, sūtras kept; accent-marks not reproduced; see the note at Rik 3.5.)</w:t>
      </w:r>
    </w:p>
    <w:p>
      <w:pPr>
        <w:pStyle w:val="BodyText"/>
      </w:pPr>
      <w:r>
        <w:rPr>
          <w:iCs/>
          <w:i/>
        </w:rPr>
        <w:t xml:space="preserve">(Continuing</w:t>
      </w:r>
      <w:r>
        <w:rPr>
          <w:iCs/>
          <w:i/>
        </w:rPr>
        <w:t xml:space="preserve"> </w:t>
      </w:r>
      <w:r>
        <w:rPr>
          <w:iCs/>
          <w:i/>
        </w:rPr>
        <w:t xml:space="preserve">“</w:t>
      </w:r>
      <w:r>
        <w:rPr>
          <w:iCs/>
          <w:i/>
        </w:rPr>
        <w:t xml:space="preserve">juhūmasi</w:t>
      </w:r>
      <w:r>
        <w:rPr>
          <w:iCs/>
          <w:i/>
        </w:rPr>
        <w:t xml:space="preserve">”</w:t>
      </w:r>
      <w:r>
        <w:rPr>
          <w:iCs/>
          <w:i/>
        </w:rPr>
        <w:t xml:space="preserve"> </w:t>
      </w:r>
      <w:r>
        <w:rPr>
          <w:iCs/>
          <w:i/>
        </w:rPr>
        <w:t xml:space="preserve">from p. 93:)</w:t>
      </w:r>
      <w:r>
        <w:t xml:space="preserve"> </w:t>
      </w:r>
      <w:r>
        <w:t xml:space="preserve">…the root</w:t>
      </w:r>
      <w:r>
        <w:t xml:space="preserve"> </w:t>
      </w:r>
      <w:r>
        <w:t xml:space="preserve">“</w:t>
      </w:r>
      <w:r>
        <w:t xml:space="preserve">hve,</w:t>
      </w:r>
      <w:r>
        <w:t xml:space="preserve">”</w:t>
      </w:r>
      <w:r>
        <w:t xml:space="preserve"> </w:t>
      </w:r>
      <w:r>
        <w:t xml:space="preserve">being the cause, takes</w:t>
      </w:r>
      <w:r>
        <w:t xml:space="preserve"> </w:t>
      </w:r>
      <w:r>
        <w:t xml:space="preserve">“</w:t>
      </w:r>
      <w:r>
        <w:t xml:space="preserve">samprasāraṇa</w:t>
      </w:r>
      <w:r>
        <w:t xml:space="preserve">”</w:t>
      </w:r>
      <w:r>
        <w:t xml:space="preserve"> </w:t>
      </w:r>
      <w:r>
        <w:t xml:space="preserve">(</w:t>
      </w:r>
      <w:r>
        <w:rPr>
          <w:bCs/>
          <w:b/>
        </w:rPr>
        <w:t xml:space="preserve">ह्वेञ् … संप्रसारणम्</w:t>
      </w:r>
      <w:r>
        <w:t xml:space="preserve">):</w:t>
      </w:r>
      <w:r>
        <w:t xml:space="preserve"> </w:t>
      </w:r>
      <w:r>
        <w:t xml:space="preserve">“</w:t>
      </w:r>
      <w:r>
        <w:t xml:space="preserve">hu + e + mas</w:t>
      </w:r>
      <w:r>
        <w:t xml:space="preserve">”</w:t>
      </w:r>
      <w:r>
        <w:t xml:space="preserve"> </w:t>
      </w:r>
      <w:r>
        <w:t xml:space="preserve">→</w:t>
      </w:r>
      <w:r>
        <w:t xml:space="preserve"> </w:t>
      </w:r>
      <w:r>
        <w:t xml:space="preserve">“</w:t>
      </w:r>
      <w:r>
        <w:t xml:space="preserve">hu + mas</w:t>
      </w:r>
      <w:r>
        <w:t xml:space="preserve">”</w:t>
      </w:r>
      <w:r>
        <w:t xml:space="preserve">-type form by</w:t>
      </w:r>
      <w:r>
        <w:t xml:space="preserve"> </w:t>
      </w:r>
      <w:r>
        <w:rPr>
          <w:bCs/>
          <w:b/>
        </w:rPr>
        <w:t xml:space="preserve">संप्रसारणाच्च</w:t>
      </w:r>
      <w:r>
        <w:t xml:space="preserve"> </w:t>
      </w:r>
      <w:r>
        <w:t xml:space="preserve">(पा. ६-१-१०८) — when</w:t>
      </w:r>
      <w:r>
        <w:t xml:space="preserve"> </w:t>
      </w:r>
      <w:r>
        <w:t xml:space="preserve">“</w:t>
      </w:r>
      <w:r>
        <w:t xml:space="preserve">samprasāraṇa</w:t>
      </w:r>
      <w:r>
        <w:t xml:space="preserve">”</w:t>
      </w:r>
      <w:r>
        <w:t xml:space="preserve"> </w:t>
      </w:r>
      <w:r>
        <w:t xml:space="preserve">is followed by an</w:t>
      </w:r>
      <w:r>
        <w:t xml:space="preserve"> </w:t>
      </w:r>
      <w:r>
        <w:t xml:space="preserve">“</w:t>
      </w:r>
      <w:r>
        <w:t xml:space="preserve">ac,</w:t>
      </w:r>
      <w:r>
        <w:t xml:space="preserve">”</w:t>
      </w:r>
      <w:r>
        <w:t xml:space="preserve"> </w:t>
      </w:r>
      <w:r>
        <w:t xml:space="preserve">the single</w:t>
      </w:r>
      <w:r>
        <w:t xml:space="preserve"> </w:t>
      </w:r>
      <w:r>
        <w:t xml:space="preserve">“</w:t>
      </w:r>
      <w:r>
        <w:t xml:space="preserve">pūrvarūpa</w:t>
      </w:r>
      <w:r>
        <w:t xml:space="preserve">”</w:t>
      </w:r>
      <w:r>
        <w:t xml:space="preserve"> </w:t>
      </w:r>
      <w:r>
        <w:t xml:space="preserve">replaces both — and then by</w:t>
      </w:r>
      <w:r>
        <w:t xml:space="preserve"> </w:t>
      </w:r>
      <w:r>
        <w:rPr>
          <w:bCs/>
          <w:b/>
        </w:rPr>
        <w:t xml:space="preserve">हलः</w:t>
      </w:r>
      <w:r>
        <w:t xml:space="preserve"> </w:t>
      </w:r>
      <w:r>
        <w:t xml:space="preserve">(पा. ६-४-२, as printed) the stem-final before a consonant is lengthened (</w:t>
      </w:r>
      <w:r>
        <w:t xml:space="preserve">“</w:t>
      </w:r>
      <w:r>
        <w:t xml:space="preserve">hū</w:t>
      </w:r>
      <w:r>
        <w:t xml:space="preserve">”</w:t>
      </w:r>
      <w:r>
        <w:t xml:space="preserve">); the doubling by</w:t>
      </w:r>
      <w:r>
        <w:t xml:space="preserve"> </w:t>
      </w:r>
      <w:r>
        <w:rPr>
          <w:bCs/>
          <w:b/>
        </w:rPr>
        <w:t xml:space="preserve">श्लौ</w:t>
      </w:r>
      <w:r>
        <w:t xml:space="preserve"> </w:t>
      </w:r>
      <w:r>
        <w:t xml:space="preserve">(पा. ६-१-१०); the reduplicative syllable is shortened by</w:t>
      </w:r>
      <w:r>
        <w:t xml:space="preserve"> </w:t>
      </w:r>
      <w:r>
        <w:rPr>
          <w:bCs/>
          <w:b/>
        </w:rPr>
        <w:t xml:space="preserve">ह्रस्वः</w:t>
      </w:r>
      <w:r>
        <w:t xml:space="preserve"> </w:t>
      </w:r>
      <w:r>
        <w:t xml:space="preserve">(पा. ७-४-५९) —</w:t>
      </w:r>
      <w:r>
        <w:t xml:space="preserve"> </w:t>
      </w:r>
      <w:r>
        <w:t xml:space="preserve">“</w:t>
      </w:r>
      <w:r>
        <w:t xml:space="preserve">hu-hū-mas</w:t>
      </w:r>
      <w:r>
        <w:t xml:space="preserve">”</w:t>
      </w:r>
      <w:r>
        <w:t xml:space="preserve">; for the</w:t>
      </w:r>
      <w:r>
        <w:t xml:space="preserve"> </w:t>
      </w:r>
      <w:r>
        <w:t xml:space="preserve">“</w:t>
      </w:r>
      <w:r>
        <w:t xml:space="preserve">h</w:t>
      </w:r>
      <w:r>
        <w:t xml:space="preserve">”</w:t>
      </w:r>
      <w:r>
        <w:t xml:space="preserve"> </w:t>
      </w:r>
      <w:r>
        <w:t xml:space="preserve">of the reduplicative syllable the</w:t>
      </w:r>
      <w:r>
        <w:t xml:space="preserve"> </w:t>
      </w:r>
      <w:r>
        <w:t xml:space="preserve">“</w:t>
      </w:r>
      <w:r>
        <w:t xml:space="preserve">c</w:t>
      </w:r>
      <w:r>
        <w:t xml:space="preserve">”</w:t>
      </w:r>
      <w:r>
        <w:t xml:space="preserve">-class substitute by</w:t>
      </w:r>
      <w:r>
        <w:t xml:space="preserve"> </w:t>
      </w:r>
      <w:r>
        <w:rPr>
          <w:bCs/>
          <w:b/>
        </w:rPr>
        <w:t xml:space="preserve">कुहोश्चुः</w:t>
      </w:r>
      <w:r>
        <w:t xml:space="preserve"> </w:t>
      </w:r>
      <w:r>
        <w:t xml:space="preserve">(</w:t>
      </w:r>
      <w:r>
        <w:rPr>
          <w:iCs/>
          <w:i/>
        </w:rPr>
        <w:t xml:space="preserve">kuhoś cuḥ</w:t>
      </w:r>
      <w:r>
        <w:t xml:space="preserve">, पा. ७-४-६२) →</w:t>
      </w:r>
      <w:r>
        <w:t xml:space="preserve"> </w:t>
      </w:r>
      <w:r>
        <w:t xml:space="preserve">“</w:t>
      </w:r>
      <w:r>
        <w:t xml:space="preserve">ju</w:t>
      </w:r>
      <w:r>
        <w:t xml:space="preserve">”</w:t>
      </w:r>
      <w:r>
        <w:t xml:space="preserve">; then the</w:t>
      </w:r>
      <w:r>
        <w:t xml:space="preserve"> </w:t>
      </w:r>
      <w:r>
        <w:t xml:space="preserve">“</w:t>
      </w:r>
      <w:r>
        <w:t xml:space="preserve">ru/ghosa</w:t>
      </w:r>
      <w:r>
        <w:t xml:space="preserve">”</w:t>
      </w:r>
      <w:r>
        <w:t xml:space="preserve"> </w:t>
      </w:r>
      <w:r>
        <w:t xml:space="preserve">substitutions</w:t>
      </w:r>
      <w:r>
        <w:t xml:space="preserve"> </w:t>
      </w:r>
      <w:r>
        <w:rPr>
          <w:bCs/>
          <w:b/>
        </w:rPr>
        <w:t xml:space="preserve">अभ्यासे चर्च</w:t>
      </w:r>
      <w:r>
        <w:t xml:space="preserve"> </w:t>
      </w:r>
      <w:r>
        <w:t xml:space="preserve">(पा. ८-४-५४);</w:t>
      </w:r>
      <w:r>
        <w:t xml:space="preserve"> </w:t>
      </w:r>
      <w:r>
        <w:t xml:space="preserve">“</w:t>
      </w:r>
      <w:r>
        <w:t xml:space="preserve">mas</w:t>
      </w:r>
      <w:r>
        <w:t xml:space="preserve">”</w:t>
      </w:r>
      <w:r>
        <w:t xml:space="preserve"> </w:t>
      </w:r>
      <w:r>
        <w:t xml:space="preserve">takes the augment</w:t>
      </w:r>
      <w:r>
        <w:t xml:space="preserve"> </w:t>
      </w:r>
      <w:r>
        <w:t xml:space="preserve">“</w:t>
      </w:r>
      <w:r>
        <w:t xml:space="preserve">i</w:t>
      </w:r>
      <w:r>
        <w:t xml:space="preserve">”</w:t>
      </w:r>
      <w:r>
        <w:t xml:space="preserve"> </w:t>
      </w:r>
      <w:r>
        <w:t xml:space="preserve">by</w:t>
      </w:r>
      <w:r>
        <w:t xml:space="preserve"> </w:t>
      </w:r>
      <w:r>
        <w:rPr>
          <w:bCs/>
          <w:b/>
        </w:rPr>
        <w:t xml:space="preserve">इदन्तो मसिः</w:t>
      </w:r>
      <w:r>
        <w:t xml:space="preserve"> </w:t>
      </w:r>
      <w:r>
        <w:t xml:space="preserve">(पा. ७-१-४६) →</w:t>
      </w:r>
      <w:r>
        <w:t xml:space="preserve"> </w:t>
      </w:r>
      <w:r>
        <w:rPr>
          <w:bCs/>
          <w:b/>
        </w:rPr>
        <w:t xml:space="preserve">“</w:t>
      </w:r>
      <w:r>
        <w:rPr>
          <w:bCs/>
          <w:b/>
        </w:rPr>
        <w:t xml:space="preserve">juhūmasi.</w:t>
      </w:r>
      <w:r>
        <w:rPr>
          <w:bCs/>
          <w:b/>
        </w:rPr>
        <w:t xml:space="preserve">”</w:t>
      </w:r>
      <w:r>
        <w:t xml:space="preserve"> </w:t>
      </w:r>
      <w:r>
        <w:t xml:space="preserve">By the accent of the affix the</w:t>
      </w:r>
      <w:r>
        <w:t xml:space="preserve"> </w:t>
      </w:r>
      <w:r>
        <w:t xml:space="preserve">“</w:t>
      </w:r>
      <w:r>
        <w:t xml:space="preserve">ma</w:t>
      </w:r>
      <w:r>
        <w:t xml:space="preserve">”</w:t>
      </w:r>
      <w:r>
        <w:t xml:space="preserve"> </w:t>
      </w:r>
      <w:r>
        <w:t xml:space="preserve">is acute.</w:t>
      </w:r>
    </w:p>
    <w:p>
      <w:pPr>
        <w:pStyle w:val="BodyText"/>
      </w:pPr>
      <w:r>
        <w:rPr>
          <w:bCs/>
          <w:b/>
        </w:rPr>
        <w:t xml:space="preserve">“</w:t>
      </w:r>
      <w:r>
        <w:rPr>
          <w:bCs/>
          <w:b/>
        </w:rPr>
        <w:t xml:space="preserve">Dyavidyavi</w:t>
      </w:r>
      <w:r>
        <w:rPr>
          <w:bCs/>
          <w:b/>
        </w:rPr>
        <w:t xml:space="preserve">”</w:t>
      </w:r>
      <w:r>
        <w:t xml:space="preserve"> </w:t>
      </w:r>
      <w:r>
        <w:t xml:space="preserve">— the root</w:t>
      </w:r>
      <w:r>
        <w:t xml:space="preserve"> </w:t>
      </w:r>
      <w:r>
        <w:t xml:space="preserve">“</w:t>
      </w:r>
      <w:r>
        <w:t xml:space="preserve">dyut dīptau</w:t>
      </w:r>
      <w:r>
        <w:t xml:space="preserve">”</w:t>
      </w:r>
      <w:r>
        <w:t xml:space="preserve"> </w:t>
      </w:r>
      <w:r>
        <w:t xml:space="preserve">(to shine); after it the Uṇādi affix</w:t>
      </w:r>
      <w:r>
        <w:t xml:space="preserve"> </w:t>
      </w:r>
      <w:r>
        <w:t xml:space="preserve">“</w:t>
      </w:r>
      <w:r>
        <w:t xml:space="preserve">do</w:t>
      </w:r>
      <w:r>
        <w:t xml:space="preserve">”</w:t>
      </w:r>
      <w:r>
        <w:t xml:space="preserve"> </w:t>
      </w:r>
      <w:r>
        <w:t xml:space="preserve">(</w:t>
      </w:r>
      <w:r>
        <w:rPr>
          <w:bCs/>
          <w:b/>
        </w:rPr>
        <w:t xml:space="preserve">उणादयो बहुलम्</w:t>
      </w:r>
      <w:r>
        <w:t xml:space="preserve">, पा. ३-३-१); because of the word</w:t>
      </w:r>
      <w:r>
        <w:t xml:space="preserve"> </w:t>
      </w:r>
      <w:r>
        <w:t xml:space="preserve">“</w:t>
      </w:r>
      <w:r>
        <w:t xml:space="preserve">bahulam</w:t>
      </w:r>
      <w:r>
        <w:t xml:space="preserve">”</w:t>
      </w:r>
      <w:r>
        <w:t xml:space="preserve"> </w:t>
      </w:r>
      <w:r>
        <w:t xml:space="preserve">the affix</w:t>
      </w:r>
      <w:r>
        <w:t xml:space="preserve"> </w:t>
      </w:r>
      <w:r>
        <w:t xml:space="preserve">“</w:t>
      </w:r>
      <w:r>
        <w:t xml:space="preserve">do</w:t>
      </w:r>
      <w:r>
        <w:t xml:space="preserve">”</w:t>
      </w:r>
      <w:r>
        <w:t xml:space="preserve"> </w:t>
      </w:r>
      <w:r>
        <w:t xml:space="preserve">comes.</w:t>
      </w:r>
      <w:r>
        <w:t xml:space="preserve"> </w:t>
      </w:r>
      <w:r>
        <w:rPr>
          <w:bCs/>
          <w:b/>
        </w:rPr>
        <w:t xml:space="preserve">Bhaṭṭoji-dīkṣita</w:t>
      </w:r>
      <w:r>
        <w:t xml:space="preserve">, in the</w:t>
      </w:r>
      <w:r>
        <w:t xml:space="preserve"> </w:t>
      </w:r>
      <w:r>
        <w:rPr>
          <w:iCs/>
          <w:i/>
        </w:rPr>
        <w:t xml:space="preserve">Kaumudī</w:t>
      </w:r>
      <w:r>
        <w:t xml:space="preserve">, in explaining the Uṇādi-sūtra</w:t>
      </w:r>
      <w:r>
        <w:t xml:space="preserve"> </w:t>
      </w:r>
      <w:r>
        <w:rPr>
          <w:bCs/>
          <w:b/>
        </w:rPr>
        <w:t xml:space="preserve">गमेर्डोः</w:t>
      </w:r>
      <w:r>
        <w:t xml:space="preserve"> </w:t>
      </w:r>
      <w:r>
        <w:t xml:space="preserve">[as printed;</w:t>
      </w:r>
      <w:r>
        <w:t xml:space="preserve"> </w:t>
      </w:r>
      <w:r>
        <w:t xml:space="preserve">“</w:t>
      </w:r>
      <w:r>
        <w:t xml:space="preserve">dyoḥ</w:t>
      </w:r>
      <w:r>
        <w:t xml:space="preserve">”</w:t>
      </w:r>
      <w:r>
        <w:t xml:space="preserve">?] (उ. सू. २-२२६), says that from the</w:t>
      </w:r>
      <w:r>
        <w:t xml:space="preserve"> </w:t>
      </w:r>
      <w:r>
        <w:t xml:space="preserve">“</w:t>
      </w:r>
      <w:r>
        <w:t xml:space="preserve">bāhulaka</w:t>
      </w:r>
      <w:r>
        <w:t xml:space="preserve">”</w:t>
      </w:r>
      <w:r>
        <w:t xml:space="preserve"> </w:t>
      </w:r>
      <w:r>
        <w:t xml:space="preserve">rule</w:t>
      </w:r>
      <w:r>
        <w:t xml:space="preserve"> </w:t>
      </w:r>
      <w:r>
        <w:t xml:space="preserve">“</w:t>
      </w:r>
      <w:r>
        <w:t xml:space="preserve">dyau</w:t>
      </w:r>
      <w:r>
        <w:t xml:space="preserve">”</w:t>
      </w:r>
      <w:r>
        <w:t xml:space="preserve"> </w:t>
      </w:r>
      <w:r>
        <w:t xml:space="preserve">too arises;</w:t>
      </w:r>
      <w:r>
        <w:t xml:space="preserve"> </w:t>
      </w:r>
      <w:r>
        <w:rPr>
          <w:bCs/>
          <w:b/>
        </w:rPr>
        <w:t xml:space="preserve">Bhojadeva</w:t>
      </w:r>
      <w:r>
        <w:t xml:space="preserve"> </w:t>
      </w:r>
      <w:r>
        <w:t xml:space="preserve">holds that</w:t>
      </w:r>
      <w:r>
        <w:t xml:space="preserve"> </w:t>
      </w:r>
      <w:r>
        <w:t xml:space="preserve">“</w:t>
      </w:r>
      <w:r>
        <w:t xml:space="preserve">do</w:t>
      </w:r>
      <w:r>
        <w:t xml:space="preserve">”</w:t>
      </w:r>
      <w:r>
        <w:t xml:space="preserve"> </w:t>
      </w:r>
      <w:r>
        <w:t xml:space="preserve">is the affix after the root</w:t>
      </w:r>
      <w:r>
        <w:t xml:space="preserve"> </w:t>
      </w:r>
      <w:r>
        <w:t xml:space="preserve">“</w:t>
      </w:r>
      <w:r>
        <w:t xml:space="preserve">dyu abhigamane</w:t>
      </w:r>
      <w:r>
        <w:t xml:space="preserve">”</w:t>
      </w:r>
      <w:r>
        <w:t xml:space="preserve"> </w:t>
      </w:r>
      <w:r>
        <w:t xml:space="preserve">(</w:t>
      </w:r>
      <w:r>
        <w:t xml:space="preserve">“</w:t>
      </w:r>
      <w:r>
        <w:t xml:space="preserve">to approach</w:t>
      </w:r>
      <w:r>
        <w:t xml:space="preserve">”</w:t>
      </w:r>
      <w:r>
        <w:t xml:space="preserve">).</w:t>
      </w:r>
      <w:r>
        <w:t xml:space="preserve"> </w:t>
      </w:r>
      <w:r>
        <w:t xml:space="preserve">“</w:t>
      </w:r>
      <w:r>
        <w:t xml:space="preserve">Dyoḥ</w:t>
      </w:r>
      <w:r>
        <w:t xml:space="preserve">”</w:t>
      </w:r>
      <w:r>
        <w:t xml:space="preserve"> </w:t>
      </w:r>
      <w:r>
        <w:t xml:space="preserve">is end-acute, by the Uṇādi accent rule (</w:t>
      </w:r>
      <w:r>
        <w:rPr>
          <w:bCs/>
          <w:b/>
        </w:rPr>
        <w:t xml:space="preserve">फिषः</w:t>
      </w:r>
      <w:r>
        <w:t xml:space="preserve"> </w:t>
      </w:r>
      <w:r>
        <w:t xml:space="preserve">etc. as printed,</w:t>
      </w:r>
      <w:r>
        <w:t xml:space="preserve"> </w:t>
      </w:r>
      <w:r>
        <w:t xml:space="preserve">“</w:t>
      </w:r>
      <w:r>
        <w:t xml:space="preserve">Phi. sū. 1</w:t>
      </w:r>
      <w:r>
        <w:t xml:space="preserve">”</w:t>
      </w:r>
      <w:r>
        <w:t xml:space="preserve">). In the seventh case singular, with the doubling by</w:t>
      </w:r>
      <w:r>
        <w:t xml:space="preserve"> </w:t>
      </w:r>
      <w:r>
        <w:rPr>
          <w:bCs/>
          <w:b/>
        </w:rPr>
        <w:t xml:space="preserve">नित्यवीप्सयोः</w:t>
      </w:r>
      <w:r>
        <w:t xml:space="preserve"> </w:t>
      </w:r>
      <w:r>
        <w:t xml:space="preserve">(पा. ८-१-४), the word is</w:t>
      </w:r>
      <w:r>
        <w:t xml:space="preserve"> </w:t>
      </w:r>
      <w:r>
        <w:t xml:space="preserve">“</w:t>
      </w:r>
      <w:r>
        <w:t xml:space="preserve">dyavi-dyavi</w:t>
      </w:r>
      <w:r>
        <w:t xml:space="preserve">”</w:t>
      </w:r>
      <w:r>
        <w:t xml:space="preserve">; of it, the second part is called</w:t>
      </w:r>
      <w:r>
        <w:t xml:space="preserve"> </w:t>
      </w:r>
      <w:r>
        <w:t xml:space="preserve">“</w:t>
      </w:r>
      <w:r>
        <w:t xml:space="preserve">āmreḍita</w:t>
      </w:r>
      <w:r>
        <w:t xml:space="preserve">”</w:t>
      </w:r>
      <w:r>
        <w:t xml:space="preserve"> </w:t>
      </w:r>
      <w:r>
        <w:t xml:space="preserve">by</w:t>
      </w:r>
      <w:r>
        <w:t xml:space="preserve"> </w:t>
      </w:r>
      <w:r>
        <w:rPr>
          <w:bCs/>
          <w:b/>
        </w:rPr>
        <w:t xml:space="preserve">परमाम्रेडितम्</w:t>
      </w:r>
      <w:r>
        <w:t xml:space="preserve"> </w:t>
      </w:r>
      <w:r>
        <w:t xml:space="preserve">(पा. ८-१-२), and, by</w:t>
      </w:r>
      <w:r>
        <w:t xml:space="preserve"> </w:t>
      </w:r>
      <w:r>
        <w:rPr>
          <w:bCs/>
          <w:b/>
        </w:rPr>
        <w:t xml:space="preserve">अनुदात्तं च</w:t>
      </w:r>
      <w:r>
        <w:t xml:space="preserve"> </w:t>
      </w:r>
      <w:r>
        <w:t xml:space="preserve">(पा. ८-१-३), the</w:t>
      </w:r>
      <w:r>
        <w:t xml:space="preserve"> </w:t>
      </w:r>
      <w:r>
        <w:t xml:space="preserve">“</w:t>
      </w:r>
      <w:r>
        <w:t xml:space="preserve">āmreḍita</w:t>
      </w:r>
      <w:r>
        <w:t xml:space="preserve">”</w:t>
      </w:r>
      <w:r>
        <w:t xml:space="preserve"> </w:t>
      </w:r>
      <w:r>
        <w:t xml:space="preserve">is unaccented — so the second</w:t>
      </w:r>
      <w:r>
        <w:t xml:space="preserve"> </w:t>
      </w:r>
      <w:r>
        <w:t xml:space="preserve">“</w:t>
      </w:r>
      <w:r>
        <w:t xml:space="preserve">dyavi</w:t>
      </w:r>
      <w:r>
        <w:t xml:space="preserve">”</w:t>
      </w:r>
      <w:r>
        <w:t xml:space="preserve"> </w:t>
      </w:r>
      <w:r>
        <w:t xml:space="preserve">is unaccented. ॥१॥</w:t>
      </w:r>
    </w:p>
    <w:p>
      <w:r>
        <w:pict>
          <v:rect style="width:0;height:1.5pt" o:hralign="center" o:hrstd="t" o:hr="t"/>
        </w:pict>
      </w:r>
    </w:p>
    <w:bookmarkEnd w:id="122"/>
    <w:bookmarkStart w:id="123" w:name="sūkta-4-the-second-mantra"/>
    <w:p>
      <w:pPr>
        <w:pStyle w:val="Heading3"/>
      </w:pPr>
      <w:r>
        <w:t xml:space="preserve">Sūkta 4, The Second Mantra</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उप॑ नः॒ सव॒ना ग॑हि॒ सोम॑स्य सोमपाः पिब ।</w:t>
      </w:r>
      <w:r>
        <w:t xml:space="preserve"> </w:t>
      </w:r>
      <w:r>
        <w:t xml:space="preserve">गो॒दा इद्रे॒वतो॒ मदः॑ ॥२॥</w:t>
      </w:r>
    </w:p>
    <w:p>
      <w:pPr>
        <w:pStyle w:val="BlockText"/>
      </w:pPr>
      <w:r>
        <w:rPr>
          <w:iCs/>
          <w:i/>
        </w:rPr>
        <w:t xml:space="preserve">úpa naḥ sávanā́ gahi sómasya somapāḥ piba |</w:t>
      </w:r>
      <w:r>
        <w:t xml:space="preserve"> </w:t>
      </w:r>
      <w:r>
        <w:rPr>
          <w:iCs/>
          <w:i/>
        </w:rPr>
        <w:t xml:space="preserve">godā́ idreváto mádaḥ ||2||</w:t>
      </w:r>
    </w:p>
    <w:p>
      <w:pPr>
        <w:pStyle w:val="FirstParagraph"/>
      </w:pPr>
      <w:r>
        <w:rPr>
          <w:bCs/>
          <w:b/>
        </w:rPr>
        <w:t xml:space="preserve">॥ Pada-pāṭhaḥ ॥</w:t>
      </w:r>
    </w:p>
    <w:p>
      <w:pPr>
        <w:pStyle w:val="BlockText"/>
      </w:pPr>
      <w:r>
        <w:t xml:space="preserve">उप । नः । सवना । आ । गहि । सोमस्य । सोमऽपाः । पिब ।</w:t>
      </w:r>
      <w:r>
        <w:t xml:space="preserve"> </w:t>
      </w:r>
      <w:r>
        <w:t xml:space="preserve">गोऽदाः । इत् । रेवतः । मदः ॥२॥</w:t>
      </w:r>
    </w:p>
    <w:bookmarkEnd w:id="123"/>
    <w:bookmarkStart w:id="124" w:name="X95fafac03c640f9d73f96221ac489b791fdb639"/>
    <w:p>
      <w:pPr>
        <w:pStyle w:val="Heading3"/>
      </w:pPr>
      <w:r>
        <w:t xml:space="preserve">Page 95 — Rik 4.2: Sāyaṇa-bhāṣya, Pada-meanings, Bhāvārtha</w:t>
      </w:r>
    </w:p>
    <w:p>
      <w:pPr>
        <w:pStyle w:val="FirstParagraph"/>
      </w:pPr>
      <w:r>
        <w:rPr>
          <w:iCs/>
          <w:i/>
        </w:rPr>
        <w:t xml:space="preserve">(Page header:</w:t>
      </w:r>
      <w:r>
        <w:rPr>
          <w:iCs/>
          <w:i/>
        </w:rPr>
        <w:t xml:space="preserve"> </w:t>
      </w:r>
      <w:r>
        <w:rPr>
          <w:iCs/>
          <w:i/>
        </w:rPr>
        <w:t xml:space="preserve">“</w:t>
      </w:r>
      <w:r>
        <w:rPr>
          <w:iCs/>
          <w:i/>
        </w:rPr>
        <w:t xml:space="preserve">Aṣṭaka 1, Adhyāya 1, Varga 7 · Ṛgveda-saṃhitā.</w:t>
      </w:r>
      <w:r>
        <w:rPr>
          <w:iCs/>
          <w:i/>
        </w:rPr>
        <w:t xml:space="preserve">”</w:t>
      </w:r>
      <w:r>
        <w:rPr>
          <w:iCs/>
          <w:i/>
        </w:rPr>
        <w:t xml:space="preserve"> </w:t>
      </w:r>
      <w:r>
        <w:rPr>
          <w:iCs/>
          <w:i/>
        </w:rPr>
        <w:t xml:space="preserve">Sanskrit printed in Kannada script; [?] where unclear. The sense-lines are transcribed in full; the grammar is characterized, with its sūtras.)</w:t>
      </w:r>
    </w:p>
    <w:p>
      <w:pPr>
        <w:pStyle w:val="BodyText"/>
      </w:pPr>
      <w:r>
        <w:rPr>
          <w:bCs/>
          <w:b/>
        </w:rPr>
        <w:t xml:space="preserve">॥ Sāyaṇa-bhāṣyam ॥</w:t>
      </w:r>
    </w:p>
    <w:p>
      <w:pPr>
        <w:pStyle w:val="BlockText"/>
      </w:pPr>
      <w:r>
        <w:t xml:space="preserve">हे सोमपाः सोमस्य पातरिन्द्र सोमं पातुं नोऽस्मदीयानि सवना सवनानि त्रीणि प्रत्युप समीप आगहि । आगच्छ । आगत्य च सोमस्य सोमं पिब । रेवतो धनवतस्तव मदो हर्षो गोदा इद्गोप्रद एव । त्वयि हृष्टे सत्यस्माभिर्गावो लभ्यन्त इत्यर्थः ॥</w:t>
      </w:r>
      <w:r>
        <w:t xml:space="preserve"> </w:t>
      </w:r>
      <w:r>
        <w:rPr>
          <w:iCs/>
          <w:i/>
        </w:rPr>
        <w:t xml:space="preserve">he somapāḥ somasya pātar indra somaṃ pātuṃ no ’smadīyāni savanā savanāni trīṇi praty upa samīpa āgahi | āgaccha | āgatya ca somasya somaṃ piba | revato dhanavatas tava mado harṣo godā id gopradā eva | tvayi hṛṣṭe saty asmābhir gāvo labhyanta ity arthaḥ ||</w:t>
      </w:r>
    </w:p>
    <w:p>
      <w:pPr>
        <w:pStyle w:val="FirstParagraph"/>
      </w:pPr>
      <w:r>
        <w:rPr>
          <w:bCs/>
          <w:b/>
        </w:rPr>
        <w:t xml:space="preserve">Translation:</w:t>
      </w:r>
      <w:r>
        <w:t xml:space="preserve"> </w:t>
      </w:r>
      <w:r>
        <w:t xml:space="preserve">“</w:t>
      </w:r>
      <w:r>
        <w:t xml:space="preserve">O</w:t>
      </w:r>
      <w:r>
        <w:t xml:space="preserve"> </w:t>
      </w:r>
      <w:r>
        <w:t xml:space="preserve">‘</w:t>
      </w:r>
      <w:r>
        <w:t xml:space="preserve">somapāḥ</w:t>
      </w:r>
      <w:r>
        <w:t xml:space="preserve">’</w:t>
      </w:r>
      <w:r>
        <w:t xml:space="preserve"> </w:t>
      </w:r>
      <w:r>
        <w:t xml:space="preserve">— O drinker of Soma, Indra! In order to drink the Soma, come near,</w:t>
      </w:r>
      <w:r>
        <w:t xml:space="preserve"> </w:t>
      </w:r>
      <w:r>
        <w:t xml:space="preserve">‘</w:t>
      </w:r>
      <w:r>
        <w:t xml:space="preserve">upa āgahi</w:t>
      </w:r>
      <w:r>
        <w:t xml:space="preserve">’</w:t>
      </w:r>
      <w:r>
        <w:t xml:space="preserve"> </w:t>
      </w:r>
      <w:r>
        <w:t xml:space="preserve">— come —</w:t>
      </w:r>
      <w:r>
        <w:t xml:space="preserve"> </w:t>
      </w:r>
      <w:r>
        <w:t xml:space="preserve">‘</w:t>
      </w:r>
      <w:r>
        <w:t xml:space="preserve">nah savanā</w:t>
      </w:r>
      <w:r>
        <w:t xml:space="preserve">’</w:t>
      </w:r>
      <w:r>
        <w:t xml:space="preserve"> </w:t>
      </w:r>
      <w:r>
        <w:t xml:space="preserve">— to our three pressings (savanas). And having come, drink the Soma (</w:t>
      </w:r>
      <w:r>
        <w:t xml:space="preserve">‘</w:t>
      </w:r>
      <w:r>
        <w:t xml:space="preserve">somasya piba</w:t>
      </w:r>
      <w:r>
        <w:t xml:space="preserve">’</w:t>
      </w:r>
      <w:r>
        <w:t xml:space="preserve"> </w:t>
      </w:r>
      <w:r>
        <w:t xml:space="preserve">=</w:t>
      </w:r>
      <w:r>
        <w:t xml:space="preserve"> </w:t>
      </w:r>
      <w:r>
        <w:t xml:space="preserve">‘</w:t>
      </w:r>
      <w:r>
        <w:t xml:space="preserve">somam piba</w:t>
      </w:r>
      <w:r>
        <w:t xml:space="preserve">’</w:t>
      </w:r>
      <w:r>
        <w:t xml:space="preserve">).</w:t>
      </w:r>
      <w:r>
        <w:t xml:space="preserve"> </w:t>
      </w:r>
      <w:r>
        <w:t xml:space="preserve">‘</w:t>
      </w:r>
      <w:r>
        <w:t xml:space="preserve">Revataḥ</w:t>
      </w:r>
      <w:r>
        <w:t xml:space="preserve">’</w:t>
      </w:r>
      <w:r>
        <w:t xml:space="preserve"> </w:t>
      </w:r>
      <w:r>
        <w:t xml:space="preserve">— of you, the wealthy; the</w:t>
      </w:r>
      <w:r>
        <w:t xml:space="preserve"> </w:t>
      </w:r>
      <w:r>
        <w:t xml:space="preserve">‘</w:t>
      </w:r>
      <w:r>
        <w:t xml:space="preserve">madaḥ</w:t>
      </w:r>
      <w:r>
        <w:t xml:space="preserve">’</w:t>
      </w:r>
      <w:r>
        <w:t xml:space="preserve"> </w:t>
      </w:r>
      <w:r>
        <w:t xml:space="preserve">— the exhilaration — is</w:t>
      </w:r>
      <w:r>
        <w:t xml:space="preserve"> </w:t>
      </w:r>
      <w:r>
        <w:t xml:space="preserve">‘</w:t>
      </w:r>
      <w:r>
        <w:t xml:space="preserve">godā id</w:t>
      </w:r>
      <w:r>
        <w:t xml:space="preserve">’</w:t>
      </w:r>
      <w:r>
        <w:t xml:space="preserve"> </w:t>
      </w:r>
      <w:r>
        <w:t xml:space="preserve">— a giver of cows indeed: that is, when you are delighted, we obtain cows.</w:t>
      </w:r>
      <w:r>
        <w:t xml:space="preserve">”</w:t>
      </w:r>
    </w:p>
    <w:p>
      <w:pPr>
        <w:pStyle w:val="BodyText"/>
      </w:pPr>
      <w:r>
        <w:rPr>
          <w:bCs/>
          <w:b/>
        </w:rPr>
        <w:t xml:space="preserve">Grammar within the Bhāṣya</w:t>
      </w:r>
      <w:r>
        <w:t xml:space="preserve"> </w:t>
      </w:r>
      <w:r>
        <w:rPr>
          <w:iCs/>
          <w:i/>
        </w:rPr>
        <w:t xml:space="preserve">(characterized; the print is somewhat garbled in the middle and I give only what I read clearly)</w:t>
      </w:r>
      <w:r>
        <w:t xml:space="preserve">:</w:t>
      </w:r>
      <w:r>
        <w:t xml:space="preserve"> </w:t>
      </w:r>
      <w:r>
        <w:t xml:space="preserve">“</w:t>
      </w:r>
      <w:r>
        <w:t xml:space="preserve">Upa</w:t>
      </w:r>
      <w:r>
        <w:t xml:space="preserve">”</w:t>
      </w:r>
      <w:r>
        <w:t xml:space="preserve"> </w:t>
      </w:r>
      <w:r>
        <w:t xml:space="preserve">— a particle, hence first-syllable acute.</w:t>
      </w:r>
      <w:r>
        <w:t xml:space="preserve"> </w:t>
      </w:r>
      <w:r>
        <w:t xml:space="preserve">“</w:t>
      </w:r>
      <w:r>
        <w:t xml:space="preserve">Savanā</w:t>
      </w:r>
      <w:r>
        <w:t xml:space="preserve">”</w:t>
      </w:r>
      <w:r>
        <w:t xml:space="preserve"> </w:t>
      </w:r>
      <w:r>
        <w:t xml:space="preserve">—</w:t>
      </w:r>
      <w:r>
        <w:t xml:space="preserve"> </w:t>
      </w:r>
      <w:r>
        <w:t xml:space="preserve">“</w:t>
      </w:r>
      <w:r>
        <w:t xml:space="preserve">sūyate somaḥ eṣu iti savanāni</w:t>
      </w:r>
      <w:r>
        <w:t xml:space="preserve">”</w:t>
      </w:r>
      <w:r>
        <w:t xml:space="preserve">:</w:t>
      </w:r>
      <w:r>
        <w:t xml:space="preserve"> </w:t>
      </w:r>
      <w:r>
        <w:t xml:space="preserve">“</w:t>
      </w:r>
      <w:r>
        <w:t xml:space="preserve">lyuṭ</w:t>
      </w:r>
      <w:r>
        <w:t xml:space="preserve">”</w:t>
      </w:r>
      <w:r>
        <w:t xml:space="preserve"> </w:t>
      </w:r>
      <w:r>
        <w:t xml:space="preserve">in the locative-of-place sense (</w:t>
      </w:r>
      <w:r>
        <w:rPr>
          <w:bCs/>
          <w:b/>
        </w:rPr>
        <w:t xml:space="preserve">ल्युट्…</w:t>
      </w:r>
      <w:r>
        <w:t xml:space="preserve">, पा. ३-३-११७); the ending</w:t>
      </w:r>
      <w:r>
        <w:t xml:space="preserve"> </w:t>
      </w:r>
      <w:r>
        <w:t xml:space="preserve">“</w:t>
      </w:r>
      <w:r>
        <w:t xml:space="preserve">śas/jas</w:t>
      </w:r>
      <w:r>
        <w:t xml:space="preserve">”</w:t>
      </w:r>
      <w:r>
        <w:t xml:space="preserve"> </w:t>
      </w:r>
      <w:r>
        <w:t xml:space="preserve">replaced by</w:t>
      </w:r>
      <w:r>
        <w:t xml:space="preserve"> </w:t>
      </w:r>
      <w:r>
        <w:t xml:space="preserve">“</w:t>
      </w:r>
      <w:r>
        <w:t xml:space="preserve">ḍā</w:t>
      </w:r>
      <w:r>
        <w:t xml:space="preserve">”</w:t>
      </w:r>
      <w:r>
        <w:t xml:space="preserve"> </w:t>
      </w:r>
      <w:r>
        <w:t xml:space="preserve">(</w:t>
      </w:r>
      <w:r>
        <w:rPr>
          <w:bCs/>
          <w:b/>
        </w:rPr>
        <w:t xml:space="preserve">सुपो डादेशः</w:t>
      </w:r>
      <w:r>
        <w:t xml:space="preserve">, as printed) and the loss of</w:t>
      </w:r>
      <w:r>
        <w:t xml:space="preserve"> </w:t>
      </w:r>
      <w:r>
        <w:t xml:space="preserve">“</w:t>
      </w:r>
      <w:r>
        <w:t xml:space="preserve">ṭi</w:t>
      </w:r>
      <w:r>
        <w:t xml:space="preserve">”</w:t>
      </w:r>
      <w:r>
        <w:t xml:space="preserve">; the accent on the vowel before the affix in the</w:t>
      </w:r>
      <w:r>
        <w:t xml:space="preserve"> </w:t>
      </w:r>
      <w:r>
        <w:t xml:space="preserve">“</w:t>
      </w:r>
      <w:r>
        <w:t xml:space="preserve">ṇit/ñit</w:t>
      </w:r>
      <w:r>
        <w:t xml:space="preserve">”</w:t>
      </w:r>
      <w:r>
        <w:t xml:space="preserve">-marked affix.</w:t>
      </w:r>
      <w:r>
        <w:t xml:space="preserve"> </w:t>
      </w:r>
      <w:r>
        <w:t xml:space="preserve">“</w:t>
      </w:r>
      <w:r>
        <w:t xml:space="preserve">Gahi</w:t>
      </w:r>
      <w:r>
        <w:t xml:space="preserve">”</w:t>
      </w:r>
      <w:r>
        <w:t xml:space="preserve"> </w:t>
      </w:r>
      <w:r>
        <w:t xml:space="preserve">— from</w:t>
      </w:r>
      <w:r>
        <w:t xml:space="preserve"> </w:t>
      </w:r>
      <w:r>
        <w:t xml:space="preserve">“</w:t>
      </w:r>
      <w:r>
        <w:t xml:space="preserve">gam</w:t>
      </w:r>
      <w:r>
        <w:t xml:space="preserve">”</w:t>
      </w:r>
      <w:r>
        <w:t xml:space="preserve"> </w:t>
      </w:r>
      <w:r>
        <w:t xml:space="preserve">with the</w:t>
      </w:r>
      <w:r>
        <w:t xml:space="preserve"> </w:t>
      </w:r>
      <w:r>
        <w:t xml:space="preserve">“</w:t>
      </w:r>
      <w:r>
        <w:t xml:space="preserve">śap</w:t>
      </w:r>
      <w:r>
        <w:t xml:space="preserve">”</w:t>
      </w:r>
      <w:r>
        <w:t xml:space="preserve"> </w:t>
      </w:r>
      <w:r>
        <w:t xml:space="preserve">dropped by</w:t>
      </w:r>
      <w:r>
        <w:t xml:space="preserve"> </w:t>
      </w:r>
      <w:r>
        <w:rPr>
          <w:bCs/>
          <w:b/>
        </w:rPr>
        <w:t xml:space="preserve">बहुलं छन्दसि</w:t>
      </w:r>
      <w:r>
        <w:t xml:space="preserve"> </w:t>
      </w:r>
      <w:r>
        <w:t xml:space="preserve">(पा. २-४-७३); the root’s</w:t>
      </w:r>
      <w:r>
        <w:t xml:space="preserve"> </w:t>
      </w:r>
      <w:r>
        <w:t xml:space="preserve">“</w:t>
      </w:r>
      <w:r>
        <w:t xml:space="preserve">m</w:t>
      </w:r>
      <w:r>
        <w:t xml:space="preserve">”</w:t>
      </w:r>
      <w:r>
        <w:t xml:space="preserve"> </w:t>
      </w:r>
      <w:r>
        <w:t xml:space="preserve">is dropped by</w:t>
      </w:r>
      <w:r>
        <w:t xml:space="preserve"> </w:t>
      </w:r>
      <w:r>
        <w:rPr>
          <w:bCs/>
          <w:b/>
        </w:rPr>
        <w:t xml:space="preserve">अनुदात्तोपदेश…</w:t>
      </w:r>
      <w:r>
        <w:t xml:space="preserve"> </w:t>
      </w:r>
      <w:r>
        <w:t xml:space="preserve">(पा. ६-४-३७); the</w:t>
      </w:r>
      <w:r>
        <w:t xml:space="preserve"> </w:t>
      </w:r>
      <w:r>
        <w:t xml:space="preserve">“</w:t>
      </w:r>
      <w:r>
        <w:t xml:space="preserve">hi</w:t>
      </w:r>
      <w:r>
        <w:t xml:space="preserve">”</w:t>
      </w:r>
      <w:r>
        <w:t xml:space="preserve"> </w:t>
      </w:r>
      <w:r>
        <w:t xml:space="preserve">ending by</w:t>
      </w:r>
      <w:r>
        <w:t xml:space="preserve"> </w:t>
      </w:r>
      <w:r>
        <w:rPr>
          <w:bCs/>
          <w:b/>
        </w:rPr>
        <w:t xml:space="preserve">आतो हेः</w:t>
      </w:r>
      <w:r>
        <w:t xml:space="preserve"> </w:t>
      </w:r>
      <w:r>
        <w:t xml:space="preserve">(पा. ६-४-१०५) — the print then discusses why the loss of</w:t>
      </w:r>
      <w:r>
        <w:t xml:space="preserve"> </w:t>
      </w:r>
      <w:r>
        <w:t xml:space="preserve">“</w:t>
      </w:r>
      <w:r>
        <w:t xml:space="preserve">m</w:t>
      </w:r>
      <w:r>
        <w:t xml:space="preserve">”</w:t>
      </w:r>
      <w:r>
        <w:t xml:space="preserve"> </w:t>
      </w:r>
      <w:r>
        <w:t xml:space="preserve">is to be treated as</w:t>
      </w:r>
      <w:r>
        <w:t xml:space="preserve"> </w:t>
      </w:r>
      <w:r>
        <w:t xml:space="preserve">“</w:t>
      </w:r>
      <w:r>
        <w:t xml:space="preserve">asiddha</w:t>
      </w:r>
      <w:r>
        <w:t xml:space="preserve">”</w:t>
      </w:r>
      <w:r>
        <w:t xml:space="preserve"> </w:t>
      </w:r>
      <w:r>
        <w:t xml:space="preserve">and the resulting accent, which I do not reproduce.</w:t>
      </w:r>
      <w:r>
        <w:t xml:space="preserve"> </w:t>
      </w:r>
      <w:r>
        <w:t xml:space="preserve">“</w:t>
      </w:r>
      <w:r>
        <w:t xml:space="preserve">Somapāḥ</w:t>
      </w:r>
      <w:r>
        <w:t xml:space="preserve">”</w:t>
      </w:r>
      <w:r>
        <w:t xml:space="preserve"> </w:t>
      </w:r>
      <w:r>
        <w:t xml:space="preserve">— vocative; the</w:t>
      </w:r>
      <w:r>
        <w:t xml:space="preserve"> </w:t>
      </w:r>
      <w:r>
        <w:rPr>
          <w:bCs/>
          <w:b/>
        </w:rPr>
        <w:t xml:space="preserve">आमन्त्रितस्य च</w:t>
      </w:r>
      <w:r>
        <w:t xml:space="preserve"> </w:t>
      </w:r>
      <w:r>
        <w:t xml:space="preserve">(पा. ६-१-१९८) loss of accent;</w:t>
      </w:r>
      <w:r>
        <w:t xml:space="preserve"> </w:t>
      </w:r>
      <w:r>
        <w:t xml:space="preserve">“</w:t>
      </w:r>
      <w:r>
        <w:t xml:space="preserve">piba</w:t>
      </w:r>
      <w:r>
        <w:t xml:space="preserve">”</w:t>
      </w:r>
      <w:r>
        <w:t xml:space="preserve"> </w:t>
      </w:r>
      <w:r>
        <w:t xml:space="preserve">has its accent lost by</w:t>
      </w:r>
      <w:r>
        <w:t xml:space="preserve"> </w:t>
      </w:r>
      <w:r>
        <w:rPr>
          <w:bCs/>
          <w:b/>
        </w:rPr>
        <w:t xml:space="preserve">तिङ्ङतिङः</w:t>
      </w:r>
      <w:r>
        <w:t xml:space="preserve"> </w:t>
      </w:r>
      <w:r>
        <w:t xml:space="preserve">(पा. ८-१-२८) with reference to the preceding word, though that word is not itself an existent</w:t>
      </w:r>
      <w:r>
        <w:t xml:space="preserve"> </w:t>
      </w:r>
      <w:r>
        <w:t xml:space="preserve">“</w:t>
      </w:r>
      <w:r>
        <w:t xml:space="preserve">pada</w:t>
      </w:r>
      <w:r>
        <w:t xml:space="preserve">”</w:t>
      </w:r>
      <w:r>
        <w:t xml:space="preserve">-unit by</w:t>
      </w:r>
      <w:r>
        <w:t xml:space="preserve"> </w:t>
      </w:r>
      <w:r>
        <w:t xml:space="preserve">“</w:t>
      </w:r>
      <w:r>
        <w:t xml:space="preserve">parāṅgavadbhāva</w:t>
      </w:r>
      <w:r>
        <w:t xml:space="preserve">”</w:t>
      </w:r>
      <w:r>
        <w:t xml:space="preserve"> </w:t>
      </w:r>
      <w:r>
        <w:t xml:space="preserve">— the print debates this (the</w:t>
      </w:r>
      <w:r>
        <w:t xml:space="preserve"> </w:t>
      </w:r>
      <w:r>
        <w:t xml:space="preserve">“</w:t>
      </w:r>
      <w:r>
        <w:t xml:space="preserve">asāmarthya</w:t>
      </w:r>
      <w:r>
        <w:t xml:space="preserve">”</w:t>
      </w:r>
      <w:r>
        <w:t xml:space="preserve"> </w:t>
      </w:r>
      <w:r>
        <w:t xml:space="preserve">argument) and concludes the</w:t>
      </w:r>
      <w:r>
        <w:t xml:space="preserve"> </w:t>
      </w:r>
      <w:r>
        <w:t xml:space="preserve">“</w:t>
      </w:r>
      <w:r>
        <w:t xml:space="preserve">nighāta</w:t>
      </w:r>
      <w:r>
        <w:t xml:space="preserve">”</w:t>
      </w:r>
      <w:r>
        <w:t xml:space="preserve"> </w:t>
      </w:r>
      <w:r>
        <w:t xml:space="preserve">does apply.</w:t>
      </w:r>
      <w:r>
        <w:t xml:space="preserve"> </w:t>
      </w:r>
      <w:r>
        <w:t xml:space="preserve">“</w:t>
      </w:r>
      <w:r>
        <w:t xml:space="preserve">Godāḥ</w:t>
      </w:r>
      <w:r>
        <w:t xml:space="preserve">”</w:t>
      </w:r>
      <w:r>
        <w:t xml:space="preserve"> </w:t>
      </w:r>
      <w:r>
        <w:t xml:space="preserve">—</w:t>
      </w:r>
      <w:r>
        <w:t xml:space="preserve"> </w:t>
      </w:r>
      <w:r>
        <w:t xml:space="preserve">“</w:t>
      </w:r>
      <w:r>
        <w:t xml:space="preserve">gāṃ dadātīti godāḥ</w:t>
      </w:r>
      <w:r>
        <w:t xml:space="preserve">”</w:t>
      </w:r>
      <w:r>
        <w:t xml:space="preserve">:</w:t>
      </w:r>
      <w:r>
        <w:t xml:space="preserve"> </w:t>
      </w:r>
      <w:r>
        <w:t xml:space="preserve">“</w:t>
      </w:r>
      <w:r>
        <w:t xml:space="preserve">kvip</w:t>
      </w:r>
      <w:r>
        <w:t xml:space="preserve">”</w:t>
      </w:r>
      <w:r>
        <w:t xml:space="preserve"> </w:t>
      </w:r>
      <w:r>
        <w:t xml:space="preserve">(</w:t>
      </w:r>
      <w:r>
        <w:rPr>
          <w:bCs/>
          <w:b/>
        </w:rPr>
        <w:t xml:space="preserve">क्विप् च</w:t>
      </w:r>
      <w:r>
        <w:t xml:space="preserve">, पा. ३-२-७६) in the sense of the doer, and the root-final</w:t>
      </w:r>
      <w:r>
        <w:t xml:space="preserve"> </w:t>
      </w:r>
      <w:r>
        <w:t xml:space="preserve">“</w:t>
      </w:r>
      <w:r>
        <w:t xml:space="preserve">ā</w:t>
      </w:r>
      <w:r>
        <w:t xml:space="preserve">”</w:t>
      </w:r>
      <w:r>
        <w:t xml:space="preserve"> </w:t>
      </w:r>
      <w:r>
        <w:t xml:space="preserve">becomes</w:t>
      </w:r>
      <w:r>
        <w:t xml:space="preserve"> </w:t>
      </w:r>
      <w:r>
        <w:t xml:space="preserve">“</w:t>
      </w:r>
      <w:r>
        <w:t xml:space="preserve">i</w:t>
      </w:r>
      <w:r>
        <w:t xml:space="preserve">”</w:t>
      </w:r>
      <w:r>
        <w:t xml:space="preserve"> </w:t>
      </w:r>
      <w:r>
        <w:t xml:space="preserve">by</w:t>
      </w:r>
      <w:r>
        <w:t xml:space="preserve"> </w:t>
      </w:r>
      <w:r>
        <w:rPr>
          <w:bCs/>
          <w:b/>
        </w:rPr>
        <w:t xml:space="preserve">आतो मनिन्क्वनिब्वनिपश्च</w:t>
      </w:r>
      <w:r>
        <w:t xml:space="preserve"> </w:t>
      </w:r>
      <w:r>
        <w:t xml:space="preserve">(पा. ३-२-७४) [as printed</w:t>
      </w:r>
      <w:r>
        <w:t xml:space="preserve"> </w:t>
      </w:r>
      <w:r>
        <w:t xml:space="preserve">“</w:t>
      </w:r>
      <w:r>
        <w:t xml:space="preserve">…vanip</w:t>
      </w:r>
      <w:r>
        <w:t xml:space="preserve">”</w:t>
      </w:r>
      <w:r>
        <w:t xml:space="preserve">];</w:t>
      </w:r>
      <w:r>
        <w:t xml:space="preserve"> </w:t>
      </w:r>
      <w:r>
        <w:t xml:space="preserve">“</w:t>
      </w:r>
      <w:r>
        <w:t xml:space="preserve">vic</w:t>
      </w:r>
      <w:r>
        <w:t xml:space="preserve">”</w:t>
      </w:r>
      <w:r>
        <w:t xml:space="preserve"> </w:t>
      </w:r>
      <w:r>
        <w:t xml:space="preserve">… and</w:t>
      </w:r>
      <w:r>
        <w:t xml:space="preserve"> </w:t>
      </w:r>
      <w:r>
        <w:t xml:space="preserve">“</w:t>
      </w:r>
      <w:r>
        <w:t xml:space="preserve">ghu-mā-sthā-…</w:t>
      </w:r>
      <w:r>
        <w:t xml:space="preserve">”</w:t>
      </w:r>
      <w:r>
        <w:t xml:space="preserve"> </w:t>
      </w:r>
      <w:r>
        <w:t xml:space="preserve">(</w:t>
      </w:r>
      <w:r>
        <w:rPr>
          <w:bCs/>
          <w:b/>
        </w:rPr>
        <w:t xml:space="preserve">घुमास्थागापाजहातिसां हलि</w:t>
      </w:r>
      <w:r>
        <w:t xml:space="preserve">, पा. ६-४-६६) — the</w:t>
      </w:r>
      <w:r>
        <w:t xml:space="preserve"> </w:t>
      </w:r>
      <w:r>
        <w:t xml:space="preserve">“</w:t>
      </w:r>
      <w:r>
        <w:t xml:space="preserve">ī</w:t>
      </w:r>
      <w:r>
        <w:t xml:space="preserve">”</w:t>
      </w:r>
      <w:r>
        <w:t xml:space="preserve">-substitution of the final</w:t>
      </w:r>
      <w:r>
        <w:t xml:space="preserve"> </w:t>
      </w:r>
      <w:r>
        <w:t xml:space="preserve">“</w:t>
      </w:r>
      <w:r>
        <w:t xml:space="preserve">ā</w:t>
      </w:r>
      <w:r>
        <w:t xml:space="preserve">”</w:t>
      </w:r>
      <w:r>
        <w:t xml:space="preserve"> </w:t>
      </w:r>
      <w:r>
        <w:t xml:space="preserve">— would be expected, but</w:t>
      </w:r>
      <w:r>
        <w:t xml:space="preserve"> </w:t>
      </w:r>
      <w:r>
        <w:t xml:space="preserve">“</w:t>
      </w:r>
      <w:r>
        <w:t xml:space="preserve">godāḥ</w:t>
      </w:r>
      <w:r>
        <w:t xml:space="preserve">”</w:t>
      </w:r>
      <w:r>
        <w:t xml:space="preserve"> </w:t>
      </w:r>
      <w:r>
        <w:t xml:space="preserve">is irregular by Vedic usage.</w:t>
      </w:r>
      <w:r>
        <w:t xml:space="preserve"> </w:t>
      </w:r>
      <w:r>
        <w:t xml:space="preserve">“</w:t>
      </w:r>
      <w:r>
        <w:t xml:space="preserve">Revān</w:t>
      </w:r>
      <w:r>
        <w:t xml:space="preserve">”</w:t>
      </w:r>
      <w:r>
        <w:t xml:space="preserve"> </w:t>
      </w:r>
      <w:r>
        <w:t xml:space="preserve">—</w:t>
      </w:r>
      <w:r>
        <w:t xml:space="preserve"> </w:t>
      </w:r>
      <w:r>
        <w:t xml:space="preserve">“</w:t>
      </w:r>
      <w:r>
        <w:t xml:space="preserve">rayir dhanam asyāstīti</w:t>
      </w:r>
      <w:r>
        <w:t xml:space="preserve">”</w:t>
      </w:r>
      <w:r>
        <w:t xml:space="preserve">:</w:t>
      </w:r>
      <w:r>
        <w:t xml:space="preserve"> </w:t>
      </w:r>
      <w:r>
        <w:t xml:space="preserve">“</w:t>
      </w:r>
      <w:r>
        <w:t xml:space="preserve">matup</w:t>
      </w:r>
      <w:r>
        <w:t xml:space="preserve">”</w:t>
      </w:r>
      <w:r>
        <w:t xml:space="preserve"> </w:t>
      </w:r>
      <w:r>
        <w:t xml:space="preserve">after</w:t>
      </w:r>
      <w:r>
        <w:t xml:space="preserve"> </w:t>
      </w:r>
      <w:r>
        <w:t xml:space="preserve">“</w:t>
      </w:r>
      <w:r>
        <w:t xml:space="preserve">rayi</w:t>
      </w:r>
      <w:r>
        <w:t xml:space="preserve">”</w:t>
      </w:r>
      <w:r>
        <w:t xml:space="preserve"> </w:t>
      </w:r>
      <w:r>
        <w:t xml:space="preserve">(</w:t>
      </w:r>
      <w:r>
        <w:rPr>
          <w:bCs/>
          <w:b/>
        </w:rPr>
        <w:t xml:space="preserve">रयेर्मतौ बहुलं छन्दसि</w:t>
      </w:r>
      <w:r>
        <w:t xml:space="preserve">, पा. ६-१-३७-६ [as printed]), the samprasāraṇa, the guṇa; the</w:t>
      </w:r>
      <w:r>
        <w:t xml:space="preserve"> </w:t>
      </w:r>
      <w:r>
        <w:t xml:space="preserve">“</w:t>
      </w:r>
      <w:r>
        <w:t xml:space="preserve">matup</w:t>
      </w:r>
      <w:r>
        <w:t xml:space="preserve">”</w:t>
      </w:r>
      <w:r>
        <w:t xml:space="preserve"> </w:t>
      </w:r>
      <w:r>
        <w:t xml:space="preserve">is acute by</w:t>
      </w:r>
      <w:r>
        <w:t xml:space="preserve"> </w:t>
      </w:r>
      <w:r>
        <w:rPr>
          <w:bCs/>
          <w:b/>
        </w:rPr>
        <w:t xml:space="preserve">ह्रस्वनुड्भ्यां मतुप्</w:t>
      </w:r>
      <w:r>
        <w:t xml:space="preserve"> </w:t>
      </w:r>
      <w:r>
        <w:t xml:space="preserve">(पा. ६-१-१७६); by</w:t>
      </w:r>
      <w:r>
        <w:t xml:space="preserve"> </w:t>
      </w:r>
      <w:r>
        <w:rPr>
          <w:bCs/>
          <w:b/>
        </w:rPr>
        <w:t xml:space="preserve">छन्दसीरः</w:t>
      </w:r>
      <w:r>
        <w:t xml:space="preserve"> </w:t>
      </w:r>
      <w:r>
        <w:t xml:space="preserve">(पा. ८-२-१५) the</w:t>
      </w:r>
      <w:r>
        <w:t xml:space="preserve"> </w:t>
      </w:r>
      <w:r>
        <w:t xml:space="preserve">“</w:t>
      </w:r>
      <w:r>
        <w:t xml:space="preserve">va.</w:t>
      </w:r>
      <w:r>
        <w:t xml:space="preserve">”</w:t>
      </w:r>
      <w:r>
        <w:t xml:space="preserve"> </w:t>
      </w:r>
      <w:r>
        <w:t xml:space="preserve">“</w:t>
      </w:r>
      <w:r>
        <w:t xml:space="preserve">Madaḥ</w:t>
      </w:r>
      <w:r>
        <w:t xml:space="preserve">”</w:t>
      </w:r>
      <w:r>
        <w:t xml:space="preserve"> </w:t>
      </w:r>
      <w:r>
        <w:t xml:space="preserve">—</w:t>
      </w:r>
      <w:r>
        <w:t xml:space="preserve"> </w:t>
      </w:r>
      <w:r>
        <w:t xml:space="preserve">“</w:t>
      </w:r>
      <w:r>
        <w:t xml:space="preserve">mad</w:t>
      </w:r>
      <w:r>
        <w:t xml:space="preserve">”</w:t>
      </w:r>
      <w:r>
        <w:t xml:space="preserve"> </w:t>
      </w:r>
      <w:r>
        <w:t xml:space="preserve">(to be glad) with</w:t>
      </w:r>
      <w:r>
        <w:t xml:space="preserve"> </w:t>
      </w:r>
      <w:r>
        <w:t xml:space="preserve">“</w:t>
      </w:r>
      <w:r>
        <w:t xml:space="preserve">ap</w:t>
      </w:r>
      <w:r>
        <w:t xml:space="preserve">”</w:t>
      </w:r>
      <w:r>
        <w:t xml:space="preserve"> </w:t>
      </w:r>
      <w:r>
        <w:t xml:space="preserve">(</w:t>
      </w:r>
      <w:r>
        <w:rPr>
          <w:bCs/>
          <w:b/>
        </w:rPr>
        <w:t xml:space="preserve">मदोऽनुपसर्गे</w:t>
      </w:r>
      <w:r>
        <w:t xml:space="preserve">, पा. ३-३-६७);</w:t>
      </w:r>
      <w:r>
        <w:t xml:space="preserve"> </w:t>
      </w:r>
      <w:r>
        <w:t xml:space="preserve">“</w:t>
      </w:r>
      <w:r>
        <w:t xml:space="preserve">p</w:t>
      </w:r>
      <w:r>
        <w:t xml:space="preserve">”</w:t>
      </w:r>
      <w:r>
        <w:t xml:space="preserve">-marked and thus unaccented in the affix; the root-accent remains.</w:t>
      </w:r>
    </w:p>
    <w:p>
      <w:pPr>
        <w:pStyle w:val="BodyText"/>
      </w:pPr>
      <w:r>
        <w:rPr>
          <w:bCs/>
          <w:b/>
        </w:rPr>
        <w:t xml:space="preserve">॥ Prati-padārthaḥ ॥</w:t>
      </w:r>
      <w:r>
        <w:t xml:space="preserve"> </w:t>
      </w:r>
      <w:r>
        <w:rPr>
          <w:iCs/>
          <w:i/>
        </w:rPr>
        <w:t xml:space="preserve">(Kannada, translated)</w:t>
      </w:r>
    </w:p>
    <w:p>
      <w:pPr>
        <w:pStyle w:val="BodyText"/>
      </w:pPr>
      <w:r>
        <w:rPr>
          <w:bCs/>
          <w:b/>
        </w:rPr>
        <w:t xml:space="preserve">सोमपाः (somapāḥ)</w:t>
      </w:r>
      <w:r>
        <w:t xml:space="preserve"> </w:t>
      </w:r>
      <w:r>
        <w:t xml:space="preserve">— O Indra, who drink the Soma |</w:t>
      </w:r>
      <w:r>
        <w:t xml:space="preserve"> </w:t>
      </w:r>
      <w:r>
        <w:rPr>
          <w:bCs/>
          <w:b/>
        </w:rPr>
        <w:t xml:space="preserve">नः (naḥ)</w:t>
      </w:r>
      <w:r>
        <w:t xml:space="preserve"> </w:t>
      </w:r>
      <w:r>
        <w:t xml:space="preserve">— our |</w:t>
      </w:r>
      <w:r>
        <w:t xml:space="preserve"> </w:t>
      </w:r>
      <w:r>
        <w:rPr>
          <w:bCs/>
          <w:b/>
        </w:rPr>
        <w:t xml:space="preserve">सवना (savanā)</w:t>
      </w:r>
      <w:r>
        <w:t xml:space="preserve"> </w:t>
      </w:r>
      <w:r>
        <w:t xml:space="preserve">— to the morning, midday and third pressings in the sacrifice (or: to the sacrifices that we perform) |</w:t>
      </w:r>
      <w:r>
        <w:t xml:space="preserve"> </w:t>
      </w:r>
      <w:r>
        <w:rPr>
          <w:bCs/>
          <w:b/>
        </w:rPr>
        <w:t xml:space="preserve">उपागहि (upāgahi)</w:t>
      </w:r>
      <w:r>
        <w:t xml:space="preserve"> </w:t>
      </w:r>
      <w:r>
        <w:t xml:space="preserve">— be one who comes near (coming here) |</w:t>
      </w:r>
      <w:r>
        <w:t xml:space="preserve"> </w:t>
      </w:r>
      <w:r>
        <w:rPr>
          <w:bCs/>
          <w:b/>
        </w:rPr>
        <w:t xml:space="preserve">सोमस्य (somasya)</w:t>
      </w:r>
      <w:r>
        <w:t xml:space="preserve"> </w:t>
      </w:r>
      <w:r>
        <w:t xml:space="preserve">— the Soma-juice |</w:t>
      </w:r>
      <w:r>
        <w:t xml:space="preserve"> </w:t>
      </w:r>
      <w:r>
        <w:rPr>
          <w:bCs/>
          <w:b/>
        </w:rPr>
        <w:t xml:space="preserve">पिब (piba)</w:t>
      </w:r>
      <w:r>
        <w:t xml:space="preserve"> </w:t>
      </w:r>
      <w:r>
        <w:t xml:space="preserve">— drink |</w:t>
      </w:r>
      <w:r>
        <w:t xml:space="preserve"> </w:t>
      </w:r>
      <w:r>
        <w:rPr>
          <w:bCs/>
          <w:b/>
        </w:rPr>
        <w:t xml:space="preserve">रेवतः (revataḥ)</w:t>
      </w:r>
      <w:r>
        <w:t xml:space="preserve"> </w:t>
      </w:r>
      <w:r>
        <w:t xml:space="preserve">— (of you) who are endowed with riches, lordship and the like |</w:t>
      </w:r>
      <w:r>
        <w:t xml:space="preserve"> </w:t>
      </w:r>
      <w:r>
        <w:rPr>
          <w:bCs/>
          <w:b/>
        </w:rPr>
        <w:t xml:space="preserve">मदः (madaḥ)</w:t>
      </w:r>
      <w:r>
        <w:t xml:space="preserve"> </w:t>
      </w:r>
      <w:r>
        <w:t xml:space="preserve">— the joy (that arises from drinking the Soma) |</w:t>
      </w:r>
      <w:r>
        <w:t xml:space="preserve"> </w:t>
      </w:r>
      <w:r>
        <w:rPr>
          <w:bCs/>
          <w:b/>
        </w:rPr>
        <w:t xml:space="preserve">गोदाः (godāḥ)</w:t>
      </w:r>
      <w:r>
        <w:t xml:space="preserve"> </w:t>
      </w:r>
      <w:r>
        <w:t xml:space="preserve">— gives (us) cows.</w:t>
      </w:r>
    </w:p>
    <w:p>
      <w:pPr>
        <w:pStyle w:val="BodyText"/>
      </w:pPr>
      <w:r>
        <w:rPr>
          <w:bCs/>
          <w:b/>
        </w:rPr>
        <w:t xml:space="preserve">॥ Bhāvārthaḥ ॥</w:t>
      </w:r>
      <w:r>
        <w:t xml:space="preserve"> </w:t>
      </w:r>
      <w:r>
        <w:rPr>
          <w:iCs/>
          <w:i/>
        </w:rPr>
        <w:t xml:space="preserve">(Kannada, translated)</w:t>
      </w:r>
    </w:p>
    <w:p>
      <w:pPr>
        <w:pStyle w:val="BodyText"/>
      </w:pPr>
      <w:r>
        <w:t xml:space="preserve">O Indra! You are a drinker of Soma. Therefore, coming to the three pressings of the sacrifice that we are now performing — the morning, the midday and the third — drink the Soma that we have prepared. When you drink it you are made glad; and you, who are endowed with lordship, will be the giver to us of cows (wealth in cows).</w:t>
      </w:r>
    </w:p>
    <w:bookmarkEnd w:id="124"/>
    <w:bookmarkStart w:id="125" w:name="Xfe7da5e807315c9ededf8d2f92617de29a1d765"/>
    <w:p>
      <w:pPr>
        <w:pStyle w:val="Heading3"/>
      </w:pPr>
      <w:r>
        <w:t xml:space="preserve">Page 96 — Rik 4.2: English rendering; Special topics; Vyākaraṇa-prakriyā (opening)</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4.</w:t>
      </w:r>
      <w:r>
        <w:rPr>
          <w:iCs/>
          <w:i/>
        </w:rPr>
        <w:t xml:space="preserve">”</w:t>
      </w:r>
      <w:r>
        <w:rPr>
          <w:iCs/>
          <w:i/>
        </w:rPr>
        <w:t xml:space="preserve"> </w:t>
      </w:r>
      <w:r>
        <w:rPr>
          <w:iCs/>
          <w:i/>
        </w:rPr>
        <w:t xml:space="preserve">English as printed. The count of</w:t>
      </w:r>
      <w:r>
        <w:rPr>
          <w:iCs/>
          <w:i/>
        </w:rPr>
        <w:t xml:space="preserve"> </w:t>
      </w:r>
      <w:r>
        <w:rPr>
          <w:iCs/>
          <w:i/>
        </w:rPr>
        <w:t xml:space="preserve">“</w:t>
      </w:r>
      <w:r>
        <w:rPr>
          <w:iCs/>
          <w:i/>
        </w:rPr>
        <w:t xml:space="preserve">-dāḥ</w:t>
      </w:r>
      <w:r>
        <w:rPr>
          <w:iCs/>
          <w:i/>
        </w:rPr>
        <w:t xml:space="preserve">”</w:t>
      </w:r>
      <w:r>
        <w:rPr>
          <w:iCs/>
          <w:i/>
        </w:rPr>
        <w:t xml:space="preserve"> </w:t>
      </w:r>
      <w:r>
        <w:rPr>
          <w:iCs/>
          <w:i/>
        </w:rPr>
        <w:t xml:space="preserve">words (17) re-read from the better scan.)</w:t>
      </w:r>
    </w:p>
    <w:p>
      <w:pPr>
        <w:pStyle w:val="BodyText"/>
      </w:pPr>
      <w:r>
        <w:rPr>
          <w:bCs/>
          <w:b/>
        </w:rPr>
        <w:t xml:space="preserve">English Translation</w:t>
      </w:r>
      <w:r>
        <w:t xml:space="preserve"> </w:t>
      </w:r>
      <w:r>
        <w:rPr>
          <w:iCs/>
          <w:i/>
        </w:rPr>
        <w:t xml:space="preserve">(printed in English in the source itself):</w:t>
      </w:r>
    </w:p>
    <w:p>
      <w:pPr>
        <w:pStyle w:val="BodyText"/>
      </w:pPr>
      <w:r>
        <w:t xml:space="preserve">“</w:t>
      </w:r>
      <w:r>
        <w:t xml:space="preserve">O Soma-drinker, come hither to our Sacrifices and Partake of the Soma; you being rich the satisfaction you get from drinking Soma is verily the cause of the gift of cattle.</w:t>
      </w:r>
      <w:r>
        <w:t xml:space="preserve">”</w:t>
      </w:r>
    </w:p>
    <w:p>
      <w:pPr>
        <w:pStyle w:val="BodyText"/>
      </w:pPr>
      <w:r>
        <w:rPr>
          <w:bCs/>
          <w:b/>
        </w:rPr>
        <w:t xml:space="preserve">॥ Viśeṣa-viṣayagaḷu (Special Topics) ॥</w:t>
      </w:r>
    </w:p>
    <w:p>
      <w:pPr>
        <w:pStyle w:val="BodyText"/>
      </w:pPr>
      <w:r>
        <w:rPr>
          <w:bCs/>
          <w:b/>
        </w:rPr>
        <w:t xml:space="preserve">उप आ गहि (upa ā gahi)</w:t>
      </w:r>
      <w:r>
        <w:t xml:space="preserve"> </w:t>
      </w:r>
      <w:r>
        <w:t xml:space="preserve">—</w:t>
      </w:r>
      <w:r>
        <w:t xml:space="preserve"> </w:t>
      </w:r>
      <w:r>
        <w:t xml:space="preserve">“</w:t>
      </w:r>
      <w:r>
        <w:t xml:space="preserve">Upa</w:t>
      </w:r>
      <w:r>
        <w:t xml:space="preserve">”</w:t>
      </w:r>
      <w:r>
        <w:t xml:space="preserve"> </w:t>
      </w:r>
      <w:r>
        <w:t xml:space="preserve">— near: near the sacrifice we are performing;</w:t>
      </w:r>
      <w:r>
        <w:t xml:space="preserve"> </w:t>
      </w:r>
      <w:r>
        <w:t xml:space="preserve">“</w:t>
      </w:r>
      <w:r>
        <w:t xml:space="preserve">ā gahi</w:t>
      </w:r>
      <w:r>
        <w:t xml:space="preserve">”</w:t>
      </w:r>
      <w:r>
        <w:t xml:space="preserve"> </w:t>
      </w:r>
      <w:r>
        <w:t xml:space="preserve">—</w:t>
      </w:r>
      <w:r>
        <w:t xml:space="preserve"> </w:t>
      </w:r>
      <w:r>
        <w:t xml:space="preserve">“</w:t>
      </w:r>
      <w:r>
        <w:t xml:space="preserve">come,</w:t>
      </w:r>
      <w:r>
        <w:t xml:space="preserve">”</w:t>
      </w:r>
      <w:r>
        <w:t xml:space="preserve"> </w:t>
      </w:r>
      <w:r>
        <w:t xml:space="preserve">be one who comes.</w:t>
      </w:r>
    </w:p>
    <w:p>
      <w:pPr>
        <w:pStyle w:val="BodyText"/>
      </w:pPr>
      <w:r>
        <w:rPr>
          <w:bCs/>
          <w:b/>
        </w:rPr>
        <w:t xml:space="preserve">सवना (savanā)</w:t>
      </w:r>
      <w:r>
        <w:t xml:space="preserve"> </w:t>
      </w:r>
      <w:r>
        <w:t xml:space="preserve">—</w:t>
      </w:r>
      <w:r>
        <w:t xml:space="preserve"> </w:t>
      </w:r>
      <w:r>
        <w:t xml:space="preserve">“</w:t>
      </w:r>
      <w:r>
        <w:t xml:space="preserve">sūyate somaḥ eṣu iti savanāni</w:t>
      </w:r>
      <w:r>
        <w:t xml:space="preserve">”</w:t>
      </w:r>
      <w:r>
        <w:t xml:space="preserve"> </w:t>
      </w:r>
      <w:r>
        <w:t xml:space="preserve">(</w:t>
      </w:r>
      <w:r>
        <w:t xml:space="preserve">“</w:t>
      </w:r>
      <w:r>
        <w:t xml:space="preserve">those in which Soma is pressed</w:t>
      </w:r>
      <w:r>
        <w:t xml:space="preserve">”</w:t>
      </w:r>
      <w:r>
        <w:t xml:space="preserve">) — the name</w:t>
      </w:r>
      <w:r>
        <w:t xml:space="preserve"> </w:t>
      </w:r>
      <w:r>
        <w:t xml:space="preserve">“</w:t>
      </w:r>
      <w:r>
        <w:t xml:space="preserve">savana</w:t>
      </w:r>
      <w:r>
        <w:t xml:space="preserve">”</w:t>
      </w:r>
      <w:r>
        <w:t xml:space="preserve"> </w:t>
      </w:r>
      <w:r>
        <w:t xml:space="preserve">is given to the rite (the sacrifice) that extracts the Soma-juice.</w:t>
      </w:r>
      <w:r>
        <w:t xml:space="preserve"> </w:t>
      </w:r>
      <w:r>
        <w:t xml:space="preserve">“</w:t>
      </w:r>
      <w:r>
        <w:t xml:space="preserve">Savana</w:t>
      </w:r>
      <w:r>
        <w:t xml:space="preserve">”</w:t>
      </w:r>
      <w:r>
        <w:t xml:space="preserve"> </w:t>
      </w:r>
      <w:r>
        <w:t xml:space="preserve">may be explained as the three pressings beginning with the morning pressing, or as the sacrifice that has the rite of pressing. In either way the chief sense is one.</w:t>
      </w:r>
    </w:p>
    <w:p>
      <w:pPr>
        <w:pStyle w:val="BodyText"/>
      </w:pPr>
      <w:r>
        <w:rPr>
          <w:bCs/>
          <w:b/>
        </w:rPr>
        <w:t xml:space="preserve">गोदाः (godāḥ)</w:t>
      </w:r>
      <w:r>
        <w:t xml:space="preserve"> </w:t>
      </w:r>
      <w:r>
        <w:t xml:space="preserve">—</w:t>
      </w:r>
      <w:r>
        <w:t xml:space="preserve"> </w:t>
      </w:r>
      <w:r>
        <w:t xml:space="preserve">“</w:t>
      </w:r>
      <w:r>
        <w:t xml:space="preserve">gāṃ dadātīti godāḥ; goprade</w:t>
      </w:r>
      <w:r>
        <w:t xml:space="preserve">”</w:t>
      </w:r>
      <w:r>
        <w:t xml:space="preserve"> </w:t>
      </w:r>
      <w:r>
        <w:t xml:space="preserve">— one who gives cows, or wealth in cattle. Similarly</w:t>
      </w:r>
      <w:r>
        <w:t xml:space="preserve"> </w:t>
      </w:r>
      <w:r>
        <w:t xml:space="preserve">“</w:t>
      </w:r>
      <w:r>
        <w:t xml:space="preserve">somaṃ pibatīti somapāḥ.</w:t>
      </w:r>
      <w:r>
        <w:t xml:space="preserve">”</w:t>
      </w:r>
      <w:r>
        <w:t xml:space="preserve"> </w:t>
      </w:r>
      <w:r>
        <w:t xml:space="preserve">In the Ṛgveda there are 17 examples of words ending in the affix</w:t>
      </w:r>
      <w:r>
        <w:t xml:space="preserve"> </w:t>
      </w:r>
      <w:r>
        <w:t xml:space="preserve">“</w:t>
      </w:r>
      <w:r>
        <w:t xml:space="preserve">dāḥ</w:t>
      </w:r>
      <w:r>
        <w:t xml:space="preserve">”</w:t>
      </w:r>
      <w:r>
        <w:t xml:space="preserve">:</w:t>
      </w:r>
    </w:p>
    <w:p>
      <w:pPr>
        <w:pStyle w:val="BlockText"/>
      </w:pPr>
      <w:r>
        <w:t xml:space="preserve">अश्वदाः । आत्मदाः । ओजोदाः । गोदाः । द्रविणोदाः । धनदाः । बलदाः । भूरिदाः । वस्त्रदाः । वाजदाः । वासोदाः । सहोदाः । सहस्रदाः । सुदाः । स्वस्तिदाः । हिरण्यदाः । भूरिदाः ॥</w:t>
      </w:r>
      <w:r>
        <w:t xml:space="preserve"> </w:t>
      </w:r>
      <w:r>
        <w:rPr>
          <w:iCs/>
          <w:i/>
        </w:rPr>
        <w:t xml:space="preserve">aśvadāḥ | ātmadāḥ | ojodāḥ | godāḥ | draviṇodāḥ | dhanadāḥ | baladāḥ | bhūridāḥ | vastradāḥ | vājadāḥ | vāsodāḥ | sahodāḥ | sahasradāḥ | sudāḥ | svastidāḥ | hiraṇyadāḥ | bhūridāḥ ||</w:t>
      </w:r>
      <w:r>
        <w:t xml:space="preserve"> </w:t>
      </w:r>
      <w:r>
        <w:rPr>
          <w:iCs/>
          <w:i/>
        </w:rPr>
        <w:t xml:space="preserve">(Translation of the word-list, mine:</w:t>
      </w:r>
      <w:r>
        <w:rPr>
          <w:iCs/>
          <w:i/>
        </w:rPr>
        <w:t xml:space="preserve"> </w:t>
      </w:r>
      <w:r>
        <w:rPr>
          <w:iCs/>
          <w:i/>
        </w:rPr>
        <w:t xml:space="preserve">“</w:t>
      </w:r>
      <w:r>
        <w:rPr>
          <w:iCs/>
          <w:i/>
        </w:rPr>
        <w:t xml:space="preserve">giver of horses; giver of self; giver of vigour; giver of cows; giver of wealth; giver of riches; giver of strength; giver of plenty; giver of garments; giver of prizes; giver of clothing; giver of might; giver of a thousand; good giver; giver of well-being; giver of gold; giver of plenty.</w:t>
      </w:r>
      <w:r>
        <w:rPr>
          <w:iCs/>
          <w:i/>
        </w:rPr>
        <w:t xml:space="preserve">”</w:t>
      </w:r>
      <w:r>
        <w:rPr>
          <w:iCs/>
          <w:i/>
        </w:rPr>
        <w:t xml:space="preserve"> </w:t>
      </w:r>
      <w:r>
        <w:rPr>
          <w:iCs/>
          <w:i/>
        </w:rPr>
        <w:t xml:space="preserve">The word</w:t>
      </w:r>
      <w:r>
        <w:rPr>
          <w:iCs/>
          <w:i/>
        </w:rPr>
        <w:t xml:space="preserve"> </w:t>
      </w:r>
      <w:r>
        <w:rPr>
          <w:iCs/>
          <w:i/>
        </w:rPr>
        <w:t xml:space="preserve">“</w:t>
      </w:r>
      <w:r>
        <w:rPr>
          <w:iCs/>
          <w:i/>
        </w:rPr>
        <w:t xml:space="preserve">bhūridāḥ</w:t>
      </w:r>
      <w:r>
        <w:rPr>
          <w:iCs/>
          <w:i/>
        </w:rPr>
        <w:t xml:space="preserve">”</w:t>
      </w:r>
      <w:r>
        <w:rPr>
          <w:iCs/>
          <w:i/>
        </w:rPr>
        <w:t xml:space="preserve"> </w:t>
      </w:r>
      <w:r>
        <w:rPr>
          <w:iCs/>
          <w:i/>
        </w:rPr>
        <w:t xml:space="preserve">is printed twice in the list, as I read it; I record this without correction.)</w:t>
      </w:r>
    </w:p>
    <w:p>
      <w:pPr>
        <w:pStyle w:val="FirstParagraph"/>
      </w:pPr>
      <w:r>
        <w:rPr>
          <w:bCs/>
          <w:b/>
        </w:rPr>
        <w:t xml:space="preserve">इत् (it)</w:t>
      </w:r>
      <w:r>
        <w:t xml:space="preserve"> </w:t>
      </w:r>
      <w:r>
        <w:t xml:space="preserve">—</w:t>
      </w:r>
      <w:r>
        <w:t xml:space="preserve"> </w:t>
      </w:r>
      <w:r>
        <w:t xml:space="preserve">“</w:t>
      </w:r>
      <w:r>
        <w:t xml:space="preserve">eva</w:t>
      </w:r>
      <w:r>
        <w:t xml:space="preserve">”</w:t>
      </w:r>
      <w:r>
        <w:t xml:space="preserve"> </w:t>
      </w:r>
      <w:r>
        <w:t xml:space="preserve">(indeed). Example:</w:t>
      </w:r>
      <w:r>
        <w:t xml:space="preserve"> </w:t>
      </w:r>
      <w:r>
        <w:t xml:space="preserve">“</w:t>
      </w:r>
      <w:r>
        <w:t xml:space="preserve">indraḥ godā id</w:t>
      </w:r>
      <w:r>
        <w:t xml:space="preserve">”</w:t>
      </w:r>
      <w:r>
        <w:t xml:space="preserve"> </w:t>
      </w:r>
      <w:r>
        <w:t xml:space="preserve">—</w:t>
      </w:r>
      <w:r>
        <w:t xml:space="preserve"> </w:t>
      </w:r>
      <w:r>
        <w:t xml:space="preserve">“</w:t>
      </w:r>
      <w:r>
        <w:t xml:space="preserve">Indra is indeed a giver of cows</w:t>
      </w:r>
      <w:r>
        <w:t xml:space="preserve">”</w:t>
      </w:r>
      <w:r>
        <w:t xml:space="preserve">; the sentence</w:t>
      </w:r>
      <w:r>
        <w:t xml:space="preserve"> </w:t>
      </w:r>
      <w:r>
        <w:t xml:space="preserve">“</w:t>
      </w:r>
      <w:r>
        <w:t xml:space="preserve">indro godā it</w:t>
      </w:r>
      <w:r>
        <w:t xml:space="preserve">”</w:t>
      </w:r>
      <w:r>
        <w:t xml:space="preserve"> </w:t>
      </w:r>
      <w:r>
        <w:t xml:space="preserve">means that Indra is a giver of cows only. The word</w:t>
      </w:r>
      <w:r>
        <w:t xml:space="preserve"> </w:t>
      </w:r>
      <w:r>
        <w:t xml:space="preserve">“</w:t>
      </w:r>
      <w:r>
        <w:t xml:space="preserve">it</w:t>
      </w:r>
      <w:r>
        <w:t xml:space="preserve">”</w:t>
      </w:r>
      <w:r>
        <w:t xml:space="preserve"> </w:t>
      </w:r>
      <w:r>
        <w:t xml:space="preserve">is used in the sense of emphasis (avadhāraṇa).</w:t>
      </w:r>
    </w:p>
    <w:p>
      <w:pPr>
        <w:pStyle w:val="BodyText"/>
      </w:pPr>
      <w:r>
        <w:rPr>
          <w:bCs/>
          <w:b/>
        </w:rPr>
        <w:t xml:space="preserve">रेवतः (revataḥ)</w:t>
      </w:r>
      <w:r>
        <w:t xml:space="preserve"> </w:t>
      </w:r>
      <w:r>
        <w:t xml:space="preserve">—</w:t>
      </w:r>
      <w:r>
        <w:t xml:space="preserve"> </w:t>
      </w:r>
      <w:r>
        <w:t xml:space="preserve">“</w:t>
      </w:r>
      <w:r>
        <w:t xml:space="preserve">rayir dhanam asyāstīti revān, tasya revataḥ</w:t>
      </w:r>
      <w:r>
        <w:t xml:space="preserve">”</w:t>
      </w:r>
      <w:r>
        <w:t xml:space="preserve"> </w:t>
      </w:r>
      <w:r>
        <w:t xml:space="preserve">— one who has wealth:</w:t>
      </w:r>
      <w:r>
        <w:t xml:space="preserve"> </w:t>
      </w:r>
      <w:r>
        <w:t xml:space="preserve">“</w:t>
      </w:r>
      <w:r>
        <w:t xml:space="preserve">of the wealthy (Indra).</w:t>
      </w:r>
      <w:r>
        <w:t xml:space="preserve">”</w:t>
      </w:r>
    </w:p>
    <w:p>
      <w:pPr>
        <w:pStyle w:val="BodyText"/>
      </w:pPr>
      <w:r>
        <w:rPr>
          <w:bCs/>
          <w:b/>
        </w:rPr>
        <w:t xml:space="preserve">॥ Vyākaraṇa-prakriyā ॥</w:t>
      </w:r>
      <w:r>
        <w:t xml:space="preserve"> </w:t>
      </w:r>
      <w:r>
        <w:rPr>
          <w:iCs/>
          <w:i/>
        </w:rPr>
        <w:t xml:space="preserve">(Kannada; characterized)</w:t>
      </w:r>
      <w:r>
        <w:t xml:space="preserve"> </w:t>
      </w:r>
      <w:r>
        <w:rPr>
          <w:bCs/>
          <w:b/>
        </w:rPr>
        <w:t xml:space="preserve">“</w:t>
      </w:r>
      <w:r>
        <w:rPr>
          <w:bCs/>
          <w:b/>
        </w:rPr>
        <w:t xml:space="preserve">Upa</w:t>
      </w:r>
      <w:r>
        <w:rPr>
          <w:bCs/>
          <w:b/>
        </w:rPr>
        <w:t xml:space="preserve">”</w:t>
      </w:r>
      <w:r>
        <w:t xml:space="preserve"> </w:t>
      </w:r>
      <w:r>
        <w:t xml:space="preserve">— a particle (nipāta), hence, by</w:t>
      </w:r>
      <w:r>
        <w:t xml:space="preserve"> </w:t>
      </w:r>
      <w:r>
        <w:rPr>
          <w:bCs/>
          <w:b/>
        </w:rPr>
        <w:t xml:space="preserve">निपाता आद्युदात्ताः</w:t>
      </w:r>
      <w:r>
        <w:t xml:space="preserve"> </w:t>
      </w:r>
      <w:r>
        <w:t xml:space="preserve">(Phiṭ-sūtra 80) first-syllable acute.</w:t>
      </w:r>
      <w:r>
        <w:t xml:space="preserve"> </w:t>
      </w:r>
      <w:r>
        <w:rPr>
          <w:bCs/>
          <w:b/>
        </w:rPr>
        <w:t xml:space="preserve">“</w:t>
      </w:r>
      <w:r>
        <w:rPr>
          <w:bCs/>
          <w:b/>
        </w:rPr>
        <w:t xml:space="preserve">Savanā</w:t>
      </w:r>
      <w:r>
        <w:rPr>
          <w:bCs/>
          <w:b/>
        </w:rPr>
        <w:t xml:space="preserve">”</w:t>
      </w:r>
      <w:r>
        <w:t xml:space="preserve"> </w:t>
      </w:r>
      <w:r>
        <w:t xml:space="preserve">—</w:t>
      </w:r>
      <w:r>
        <w:t xml:space="preserve"> </w:t>
      </w:r>
      <w:r>
        <w:t xml:space="preserve">“</w:t>
      </w:r>
      <w:r>
        <w:t xml:space="preserve">sūyate somaḥ eṣv iti savanāni</w:t>
      </w:r>
      <w:r>
        <w:t xml:space="preserve">”</w:t>
      </w:r>
      <w:r>
        <w:t xml:space="preserve">:</w:t>
      </w:r>
      <w:r>
        <w:t xml:space="preserve"> </w:t>
      </w:r>
      <w:r>
        <w:rPr>
          <w:bCs/>
          <w:b/>
        </w:rPr>
        <w:t xml:space="preserve">करणाधिकरणयोश्च</w:t>
      </w:r>
      <w:r>
        <w:t xml:space="preserve"> </w:t>
      </w:r>
      <w:r>
        <w:t xml:space="preserve">(</w:t>
      </w:r>
      <w:r>
        <w:rPr>
          <w:iCs/>
          <w:i/>
        </w:rPr>
        <w:t xml:space="preserve">karaṇādhikaraṇayoś ca</w:t>
      </w:r>
      <w:r>
        <w:t xml:space="preserve">, पा. ३-३-११७) —</w:t>
      </w:r>
      <w:r>
        <w:t xml:space="preserve"> </w:t>
      </w:r>
      <w:r>
        <w:t xml:space="preserve">“</w:t>
      </w:r>
      <w:r>
        <w:t xml:space="preserve">lyuṭ</w:t>
      </w:r>
      <w:r>
        <w:t xml:space="preserve">”</w:t>
      </w:r>
      <w:r>
        <w:t xml:space="preserve"> </w:t>
      </w:r>
      <w:r>
        <w:t xml:space="preserve">is added to a root in the sense of instrument or locus; to</w:t>
      </w:r>
      <w:r>
        <w:t xml:space="preserve"> </w:t>
      </w:r>
      <w:r>
        <w:t xml:space="preserve">“</w:t>
      </w:r>
      <w:r>
        <w:t xml:space="preserve">ṣuñ</w:t>
      </w:r>
      <w:r>
        <w:t xml:space="preserve">”</w:t>
      </w:r>
      <w:r>
        <w:t xml:space="preserve"> </w:t>
      </w:r>
      <w:r>
        <w:t xml:space="preserve">(abhiṣave) comes</w:t>
      </w:r>
      <w:r>
        <w:t xml:space="preserve"> </w:t>
      </w:r>
      <w:r>
        <w:t xml:space="preserve">“</w:t>
      </w:r>
      <w:r>
        <w:t xml:space="preserve">lyuṭ,</w:t>
      </w:r>
      <w:r>
        <w:t xml:space="preserve">”</w:t>
      </w:r>
      <w:r>
        <w:t xml:space="preserve"> </w:t>
      </w:r>
      <w:r>
        <w:t xml:space="preserve">“</w:t>
      </w:r>
      <w:r>
        <w:t xml:space="preserve">su + yu</w:t>
      </w:r>
      <w:r>
        <w:t xml:space="preserve">”</w:t>
      </w:r>
      <w:r>
        <w:t xml:space="preserve">;</w:t>
      </w:r>
      <w:r>
        <w:t xml:space="preserve"> </w:t>
      </w:r>
      <w:r>
        <w:rPr>
          <w:bCs/>
          <w:b/>
        </w:rPr>
        <w:t xml:space="preserve">धात्वादेः षः सः</w:t>
      </w:r>
      <w:r>
        <w:t xml:space="preserve"> </w:t>
      </w:r>
      <w:r>
        <w:t xml:space="preserve">(</w:t>
      </w:r>
      <w:r>
        <w:rPr>
          <w:iCs/>
          <w:i/>
        </w:rPr>
        <w:t xml:space="preserve">dhātvādeḥ ṣaḥ saḥ</w:t>
      </w:r>
      <w:r>
        <w:t xml:space="preserve">, पा. ६-१-६४) — the initial</w:t>
      </w:r>
      <w:r>
        <w:t xml:space="preserve"> </w:t>
      </w:r>
      <w:r>
        <w:t xml:space="preserve">“</w:t>
      </w:r>
      <w:r>
        <w:t xml:space="preserve">ṣ</w:t>
      </w:r>
      <w:r>
        <w:t xml:space="preserve">”</w:t>
      </w:r>
      <w:r>
        <w:t xml:space="preserve"> </w:t>
      </w:r>
      <w:r>
        <w:t xml:space="preserve">of the root becomes</w:t>
      </w:r>
      <w:r>
        <w:t xml:space="preserve"> </w:t>
      </w:r>
      <w:r>
        <w:t xml:space="preserve">“</w:t>
      </w:r>
      <w:r>
        <w:t xml:space="preserve">s</w:t>
      </w:r>
      <w:r>
        <w:t xml:space="preserve">”</w:t>
      </w:r>
      <w:r>
        <w:t xml:space="preserve"> </w:t>
      </w:r>
      <w:r>
        <w:t xml:space="preserve">…</w:t>
      </w:r>
      <w:r>
        <w:t xml:space="preserve"> </w:t>
      </w:r>
      <w:r>
        <w:rPr>
          <w:iCs/>
          <w:i/>
        </w:rPr>
        <w:t xml:space="preserve">(continues on the next page)</w:t>
      </w:r>
    </w:p>
    <w:bookmarkEnd w:id="125"/>
    <w:bookmarkStart w:id="126" w:name="Xb431ccfec4748abd771380cafcbcb7321999329"/>
    <w:p>
      <w:pPr>
        <w:pStyle w:val="Heading3"/>
      </w:pPr>
      <w:r>
        <w:t xml:space="preserve">Page 97 — Vyākaraṇa-prakriyā for Rik 4.2 — characterized</w:t>
      </w:r>
    </w:p>
    <w:p>
      <w:pPr>
        <w:pStyle w:val="FirstParagraph"/>
      </w:pPr>
      <w:r>
        <w:rPr>
          <w:iCs/>
          <w:i/>
        </w:rPr>
        <w:t xml:space="preserve">(Page header:</w:t>
      </w:r>
      <w:r>
        <w:rPr>
          <w:iCs/>
          <w:i/>
        </w:rPr>
        <w:t xml:space="preserve"> </w:t>
      </w:r>
      <w:r>
        <w:rPr>
          <w:iCs/>
          <w:i/>
        </w:rPr>
        <w:t xml:space="preserve">“</w:t>
      </w:r>
      <w:r>
        <w:rPr>
          <w:iCs/>
          <w:i/>
        </w:rPr>
        <w:t xml:space="preserve">Aṣṭaka 1, Adhyāya 1, Varga 7 · Ṛgveda-saṃhitā.</w:t>
      </w:r>
      <w:r>
        <w:rPr>
          <w:iCs/>
          <w:i/>
        </w:rPr>
        <w:t xml:space="preserve">”</w:t>
      </w:r>
      <w:r>
        <w:rPr>
          <w:iCs/>
          <w:i/>
        </w:rPr>
        <w:t xml:space="preserve"> </w:t>
      </w:r>
      <w:r>
        <w:rPr>
          <w:iCs/>
          <w:i/>
        </w:rPr>
        <w:t xml:space="preserve">Pure grammar in Kannada prose, the rendering of the Sanskrit of p. 95;</w:t>
      </w:r>
      <w:r>
        <w:rPr>
          <w:iCs/>
          <w:i/>
        </w:rPr>
        <w:t xml:space="preserve"> </w:t>
      </w:r>
      <w:r>
        <w:rPr>
          <w:bCs/>
          <w:b/>
          <w:iCs/>
          <w:i/>
        </w:rPr>
        <w:t xml:space="preserve">characterized, with sūtras kept</w:t>
      </w:r>
      <w:r>
        <w:rPr>
          <w:iCs/>
          <w:i/>
        </w:rPr>
        <w:t xml:space="preserve">; numbers as read, [?] where uncertain.)</w:t>
      </w:r>
    </w:p>
    <w:p>
      <w:pPr>
        <w:pStyle w:val="BodyText"/>
      </w:pPr>
      <w:r>
        <w:rPr>
          <w:iCs/>
          <w:i/>
        </w:rPr>
        <w:t xml:space="preserve">(Continuing</w:t>
      </w:r>
      <w:r>
        <w:rPr>
          <w:iCs/>
          <w:i/>
        </w:rPr>
        <w:t xml:space="preserve"> </w:t>
      </w:r>
      <w:r>
        <w:rPr>
          <w:iCs/>
          <w:i/>
        </w:rPr>
        <w:t xml:space="preserve">“</w:t>
      </w:r>
      <w:r>
        <w:rPr>
          <w:iCs/>
          <w:i/>
        </w:rPr>
        <w:t xml:space="preserve">savanā</w:t>
      </w:r>
      <w:r>
        <w:rPr>
          <w:iCs/>
          <w:i/>
        </w:rPr>
        <w:t xml:space="preserve">”</w:t>
      </w:r>
      <w:r>
        <w:rPr>
          <w:iCs/>
          <w:i/>
        </w:rPr>
        <w:t xml:space="preserve">:)</w:t>
      </w:r>
      <w:r>
        <w:t xml:space="preserve"> </w:t>
      </w:r>
      <w:r>
        <w:t xml:space="preserve">…</w:t>
      </w:r>
      <w:r>
        <w:rPr>
          <w:bCs/>
          <w:b/>
        </w:rPr>
        <w:t xml:space="preserve">युवोरनाकौ</w:t>
      </w:r>
      <w:r>
        <w:t xml:space="preserve"> </w:t>
      </w:r>
      <w:r>
        <w:t xml:space="preserve">(</w:t>
      </w:r>
      <w:r>
        <w:rPr>
          <w:iCs/>
          <w:i/>
        </w:rPr>
        <w:t xml:space="preserve">yuvor anākau</w:t>
      </w:r>
      <w:r>
        <w:t xml:space="preserve">, पा. ७-१-१) turns</w:t>
      </w:r>
      <w:r>
        <w:t xml:space="preserve"> </w:t>
      </w:r>
      <w:r>
        <w:t xml:space="preserve">“</w:t>
      </w:r>
      <w:r>
        <w:t xml:space="preserve">yu</w:t>
      </w:r>
      <w:r>
        <w:t xml:space="preserve">”</w:t>
      </w:r>
      <w:r>
        <w:t xml:space="preserve"> </w:t>
      </w:r>
      <w:r>
        <w:t xml:space="preserve">into</w:t>
      </w:r>
      <w:r>
        <w:t xml:space="preserve"> </w:t>
      </w:r>
      <w:r>
        <w:t xml:space="preserve">“</w:t>
      </w:r>
      <w:r>
        <w:t xml:space="preserve">ana</w:t>
      </w:r>
      <w:r>
        <w:t xml:space="preserve">”</w:t>
      </w:r>
      <w:r>
        <w:t xml:space="preserve">:</w:t>
      </w:r>
      <w:r>
        <w:t xml:space="preserve"> </w:t>
      </w:r>
      <w:r>
        <w:t xml:space="preserve">“</w:t>
      </w:r>
      <w:r>
        <w:t xml:space="preserve">su + ana,</w:t>
      </w:r>
      <w:r>
        <w:t xml:space="preserve">”</w:t>
      </w:r>
      <w:r>
        <w:t xml:space="preserve"> </w:t>
      </w:r>
      <w:r>
        <w:t xml:space="preserve">then the guṇa and</w:t>
      </w:r>
      <w:r>
        <w:t xml:space="preserve"> </w:t>
      </w:r>
      <w:r>
        <w:t xml:space="preserve">“</w:t>
      </w:r>
      <w:r>
        <w:t xml:space="preserve">av</w:t>
      </w:r>
      <w:r>
        <w:t xml:space="preserve">”</w:t>
      </w:r>
      <w:r>
        <w:t xml:space="preserve"> </w:t>
      </w:r>
      <w:r>
        <w:t xml:space="preserve">substitutions →</w:t>
      </w:r>
      <w:r>
        <w:t xml:space="preserve"> </w:t>
      </w:r>
      <w:r>
        <w:t xml:space="preserve">“</w:t>
      </w:r>
      <w:r>
        <w:t xml:space="preserve">savana.</w:t>
      </w:r>
      <w:r>
        <w:t xml:space="preserve">”</w:t>
      </w:r>
      <w:r>
        <w:t xml:space="preserve"> </w:t>
      </w:r>
      <w:r>
        <w:t xml:space="preserve">For the second-case plural ending,</w:t>
      </w:r>
      <w:r>
        <w:t xml:space="preserve"> </w:t>
      </w:r>
      <w:r>
        <w:rPr>
          <w:bCs/>
          <w:b/>
        </w:rPr>
        <w:t xml:space="preserve">सुपां सुलुक्…</w:t>
      </w:r>
      <w:r>
        <w:t xml:space="preserve"> </w:t>
      </w:r>
      <w:r>
        <w:t xml:space="preserve">(</w:t>
      </w:r>
      <w:r>
        <w:rPr>
          <w:iCs/>
          <w:i/>
        </w:rPr>
        <w:t xml:space="preserve">supāṃ sulukpūrvasavarṇāccheyāḍādyāyājālaḥ</w:t>
      </w:r>
      <w:r>
        <w:t xml:space="preserve">, पा. ७-१-३९) — the</w:t>
      </w:r>
      <w:r>
        <w:t xml:space="preserve"> </w:t>
      </w:r>
      <w:r>
        <w:t xml:space="preserve">“</w:t>
      </w:r>
      <w:r>
        <w:t xml:space="preserve">ḍā</w:t>
      </w:r>
      <w:r>
        <w:t xml:space="preserve">”</w:t>
      </w:r>
      <w:r>
        <w:t xml:space="preserve"> </w:t>
      </w:r>
      <w:r>
        <w:t xml:space="preserve">substitute —</w:t>
      </w:r>
      <w:r>
        <w:t xml:space="preserve"> </w:t>
      </w:r>
      <w:r>
        <w:t xml:space="preserve">“</w:t>
      </w:r>
      <w:r>
        <w:t xml:space="preserve">savana + ā</w:t>
      </w:r>
      <w:r>
        <w:t xml:space="preserve">”</w:t>
      </w:r>
      <w:r>
        <w:t xml:space="preserve">; the</w:t>
      </w:r>
      <w:r>
        <w:t xml:space="preserve"> </w:t>
      </w:r>
      <w:r>
        <w:t xml:space="preserve">“</w:t>
      </w:r>
      <w:r>
        <w:t xml:space="preserve">na</w:t>
      </w:r>
      <w:r>
        <w:t xml:space="preserve">”</w:t>
      </w:r>
      <w:r>
        <w:t xml:space="preserve"> </w:t>
      </w:r>
      <w:r>
        <w:t xml:space="preserve">and the following</w:t>
      </w:r>
      <w:r>
        <w:t xml:space="preserve"> </w:t>
      </w:r>
      <w:r>
        <w:t xml:space="preserve">“</w:t>
      </w:r>
      <w:r>
        <w:t xml:space="preserve">a</w:t>
      </w:r>
      <w:r>
        <w:t xml:space="preserve">”</w:t>
      </w:r>
      <w:r>
        <w:t xml:space="preserve"> </w:t>
      </w:r>
      <w:r>
        <w:t xml:space="preserve">(</w:t>
      </w:r>
      <w:r>
        <w:rPr>
          <w:bCs/>
          <w:b/>
        </w:rPr>
        <w:t xml:space="preserve">टेः</w:t>
      </w:r>
      <w:r>
        <w:t xml:space="preserve">, पा. ६-४-१४३): the</w:t>
      </w:r>
      <w:r>
        <w:t xml:space="preserve"> </w:t>
      </w:r>
      <w:r>
        <w:t xml:space="preserve">“</w:t>
      </w:r>
      <w:r>
        <w:t xml:space="preserve">ṭi</w:t>
      </w:r>
      <w:r>
        <w:t xml:space="preserve">”</w:t>
      </w:r>
      <w:r>
        <w:t xml:space="preserve"> </w:t>
      </w:r>
      <w:r>
        <w:t xml:space="preserve">of</w:t>
      </w:r>
      <w:r>
        <w:t xml:space="preserve"> </w:t>
      </w:r>
      <w:r>
        <w:t xml:space="preserve">“</w:t>
      </w:r>
      <w:r>
        <w:t xml:space="preserve">savana</w:t>
      </w:r>
      <w:r>
        <w:t xml:space="preserve">”</w:t>
      </w:r>
      <w:r>
        <w:t xml:space="preserve"> </w:t>
      </w:r>
      <w:r>
        <w:t xml:space="preserve">is elided before</w:t>
      </w:r>
      <w:r>
        <w:t xml:space="preserve"> </w:t>
      </w:r>
      <w:r>
        <w:t xml:space="preserve">“</w:t>
      </w:r>
      <w:r>
        <w:t xml:space="preserve">ḍit</w:t>
      </w:r>
      <w:r>
        <w:t xml:space="preserve">”</w:t>
      </w:r>
      <w:r>
        <w:t xml:space="preserve"> </w:t>
      </w:r>
      <w:r>
        <w:t xml:space="preserve">→</w:t>
      </w:r>
      <w:r>
        <w:t xml:space="preserve"> </w:t>
      </w:r>
      <w:r>
        <w:t xml:space="preserve">“</w:t>
      </w:r>
      <w:r>
        <w:t xml:space="preserve">savanā.</w:t>
      </w:r>
      <w:r>
        <w:t xml:space="preserve">”</w:t>
      </w:r>
      <w:r>
        <w:t xml:space="preserve"> </w:t>
      </w:r>
      <w:r>
        <w:t xml:space="preserve">By</w:t>
      </w:r>
      <w:r>
        <w:t xml:space="preserve"> </w:t>
      </w:r>
      <w:r>
        <w:rPr>
          <w:bCs/>
          <w:b/>
        </w:rPr>
        <w:t xml:space="preserve">लिति</w:t>
      </w:r>
      <w:r>
        <w:t xml:space="preserve"> </w:t>
      </w:r>
      <w:r>
        <w:t xml:space="preserve">(</w:t>
      </w:r>
      <w:r>
        <w:rPr>
          <w:iCs/>
          <w:i/>
        </w:rPr>
        <w:t xml:space="preserve">liti</w:t>
      </w:r>
      <w:r>
        <w:t xml:space="preserve">, पा. ६-१-१९३) the vowel before the</w:t>
      </w:r>
      <w:r>
        <w:t xml:space="preserve"> </w:t>
      </w:r>
      <w:r>
        <w:t xml:space="preserve">“</w:t>
      </w:r>
      <w:r>
        <w:t xml:space="preserve">l</w:t>
      </w:r>
      <w:r>
        <w:t xml:space="preserve">”</w:t>
      </w:r>
      <w:r>
        <w:t xml:space="preserve">-marked affix is acute.</w:t>
      </w:r>
    </w:p>
    <w:p>
      <w:pPr>
        <w:pStyle w:val="BodyText"/>
      </w:pPr>
      <w:r>
        <w:rPr>
          <w:bCs/>
          <w:b/>
        </w:rPr>
        <w:t xml:space="preserve">“</w:t>
      </w:r>
      <w:r>
        <w:rPr>
          <w:bCs/>
          <w:b/>
        </w:rPr>
        <w:t xml:space="preserve">Gahi</w:t>
      </w:r>
      <w:r>
        <w:rPr>
          <w:bCs/>
          <w:b/>
        </w:rPr>
        <w:t xml:space="preserve">”</w:t>
      </w:r>
      <w:r>
        <w:t xml:space="preserve"> </w:t>
      </w:r>
      <w:r>
        <w:t xml:space="preserve">— the root</w:t>
      </w:r>
      <w:r>
        <w:t xml:space="preserve"> </w:t>
      </w:r>
      <w:r>
        <w:t xml:space="preserve">“</w:t>
      </w:r>
      <w:r>
        <w:t xml:space="preserve">gam gatau,</w:t>
      </w:r>
      <w:r>
        <w:t xml:space="preserve">”</w:t>
      </w:r>
      <w:r>
        <w:t xml:space="preserve"> </w:t>
      </w:r>
      <w:r>
        <w:t xml:space="preserve">in the imperative (loṭ) second-person singular, the ending</w:t>
      </w:r>
      <w:r>
        <w:t xml:space="preserve"> </w:t>
      </w:r>
      <w:r>
        <w:t xml:space="preserve">“</w:t>
      </w:r>
      <w:r>
        <w:t xml:space="preserve">sip</w:t>
      </w:r>
      <w:r>
        <w:t xml:space="preserve">”</w:t>
      </w:r>
      <w:r>
        <w:t xml:space="preserve"> </w:t>
      </w:r>
      <w:r>
        <w:t xml:space="preserve">→</w:t>
      </w:r>
      <w:r>
        <w:t xml:space="preserve"> </w:t>
      </w:r>
      <w:r>
        <w:t xml:space="preserve">“</w:t>
      </w:r>
      <w:r>
        <w:t xml:space="preserve">gam + si</w:t>
      </w:r>
      <w:r>
        <w:t xml:space="preserve">”</w:t>
      </w:r>
      <w:r>
        <w:t xml:space="preserve">;</w:t>
      </w:r>
      <w:r>
        <w:t xml:space="preserve"> </w:t>
      </w:r>
      <w:r>
        <w:t xml:space="preserve">“</w:t>
      </w:r>
      <w:r>
        <w:t xml:space="preserve">śap</w:t>
      </w:r>
      <w:r>
        <w:t xml:space="preserve">”</w:t>
      </w:r>
      <w:r>
        <w:t xml:space="preserve"> </w:t>
      </w:r>
      <w:r>
        <w:t xml:space="preserve">(</w:t>
      </w:r>
      <w:r>
        <w:rPr>
          <w:bCs/>
          <w:b/>
        </w:rPr>
        <w:t xml:space="preserve">कर्तरि शप्</w:t>
      </w:r>
      <w:r>
        <w:t xml:space="preserve">, पा. ३-१-६८), which is elided here by</w:t>
      </w:r>
      <w:r>
        <w:t xml:space="preserve"> </w:t>
      </w:r>
      <w:r>
        <w:rPr>
          <w:bCs/>
          <w:b/>
        </w:rPr>
        <w:t xml:space="preserve">बहुलं छन्दसि</w:t>
      </w:r>
      <w:r>
        <w:t xml:space="preserve"> </w:t>
      </w:r>
      <w:r>
        <w:t xml:space="preserve">(पा. २-४-७३);</w:t>
      </w:r>
      <w:r>
        <w:t xml:space="preserve"> </w:t>
      </w:r>
      <w:r>
        <w:rPr>
          <w:bCs/>
          <w:b/>
        </w:rPr>
        <w:t xml:space="preserve">सेर्ह्यपिच्च</w:t>
      </w:r>
      <w:r>
        <w:t xml:space="preserve"> </w:t>
      </w:r>
      <w:r>
        <w:t xml:space="preserve">(</w:t>
      </w:r>
      <w:r>
        <w:rPr>
          <w:iCs/>
          <w:i/>
        </w:rPr>
        <w:t xml:space="preserve">ser hy apic ca</w:t>
      </w:r>
      <w:r>
        <w:t xml:space="preserve">, पा. ३-४-८७) —</w:t>
      </w:r>
      <w:r>
        <w:t xml:space="preserve"> </w:t>
      </w:r>
      <w:r>
        <w:t xml:space="preserve">“</w:t>
      </w:r>
      <w:r>
        <w:t xml:space="preserve">hi</w:t>
      </w:r>
      <w:r>
        <w:t xml:space="preserve">”</w:t>
      </w:r>
      <w:r>
        <w:t xml:space="preserve"> </w:t>
      </w:r>
      <w:r>
        <w:t xml:space="preserve">replaces</w:t>
      </w:r>
      <w:r>
        <w:t xml:space="preserve"> </w:t>
      </w:r>
      <w:r>
        <w:t xml:space="preserve">“</w:t>
      </w:r>
      <w:r>
        <w:t xml:space="preserve">si,</w:t>
      </w:r>
      <w:r>
        <w:t xml:space="preserve">”</w:t>
      </w:r>
      <w:r>
        <w:t xml:space="preserve"> </w:t>
      </w:r>
      <w:r>
        <w:t xml:space="preserve">and it is not</w:t>
      </w:r>
      <w:r>
        <w:t xml:space="preserve"> </w:t>
      </w:r>
      <w:r>
        <w:t xml:space="preserve">“</w:t>
      </w:r>
      <w:r>
        <w:t xml:space="preserve">p</w:t>
      </w:r>
      <w:r>
        <w:t xml:space="preserve">”</w:t>
      </w:r>
      <w:r>
        <w:t xml:space="preserve">-marked — so</w:t>
      </w:r>
      <w:r>
        <w:t xml:space="preserve"> </w:t>
      </w:r>
      <w:r>
        <w:t xml:space="preserve">“</w:t>
      </w:r>
      <w:r>
        <w:t xml:space="preserve">hi</w:t>
      </w:r>
      <w:r>
        <w:t xml:space="preserve">”</w:t>
      </w:r>
      <w:r>
        <w:t xml:space="preserve"> </w:t>
      </w:r>
      <w:r>
        <w:t xml:space="preserve">is</w:t>
      </w:r>
      <w:r>
        <w:t xml:space="preserve"> </w:t>
      </w:r>
      <w:r>
        <w:t xml:space="preserve">“</w:t>
      </w:r>
      <w:r>
        <w:t xml:space="preserve">ṅit</w:t>
      </w:r>
      <w:r>
        <w:t xml:space="preserve">”</w:t>
      </w:r>
      <w:r>
        <w:t xml:space="preserve">-like and the sārvadhātuka</w:t>
      </w:r>
      <w:r>
        <w:t xml:space="preserve"> </w:t>
      </w:r>
      <w:r>
        <w:rPr>
          <w:bCs/>
          <w:b/>
        </w:rPr>
        <w:t xml:space="preserve">सार्वधातुकमपित्</w:t>
      </w:r>
      <w:r>
        <w:t xml:space="preserve"> </w:t>
      </w:r>
      <w:r>
        <w:t xml:space="preserve">(पा. १-२-४) is</w:t>
      </w:r>
      <w:r>
        <w:t xml:space="preserve"> </w:t>
      </w:r>
      <w:r>
        <w:t xml:space="preserve">“</w:t>
      </w:r>
      <w:r>
        <w:t xml:space="preserve">ṅit,</w:t>
      </w:r>
      <w:r>
        <w:t xml:space="preserve">”</w:t>
      </w:r>
      <w:r>
        <w:t xml:space="preserve"> </w:t>
      </w:r>
      <w:r>
        <w:t xml:space="preserve">whence</w:t>
      </w:r>
      <w:r>
        <w:t xml:space="preserve"> </w:t>
      </w:r>
      <w:r>
        <w:rPr>
          <w:bCs/>
          <w:b/>
        </w:rPr>
        <w:t xml:space="preserve">अनुदात्तोपदेश…</w:t>
      </w:r>
      <w:r>
        <w:t xml:space="preserve"> </w:t>
      </w:r>
      <w:r>
        <w:t xml:space="preserve">(पा. ६-४-३७) drops the</w:t>
      </w:r>
      <w:r>
        <w:t xml:space="preserve"> </w:t>
      </w:r>
      <w:r>
        <w:t xml:space="preserve">“</w:t>
      </w:r>
      <w:r>
        <w:t xml:space="preserve">m</w:t>
      </w:r>
      <w:r>
        <w:t xml:space="preserve">”</w:t>
      </w:r>
      <w:r>
        <w:t xml:space="preserve">:</w:t>
      </w:r>
      <w:r>
        <w:t xml:space="preserve"> </w:t>
      </w:r>
      <w:r>
        <w:t xml:space="preserve">“</w:t>
      </w:r>
      <w:r>
        <w:t xml:space="preserve">ga + hi.</w:t>
      </w:r>
      <w:r>
        <w:t xml:space="preserve">”</w:t>
      </w:r>
      <w:r>
        <w:t xml:space="preserve"> </w:t>
      </w:r>
      <w:r>
        <w:t xml:space="preserve">Then</w:t>
      </w:r>
      <w:r>
        <w:t xml:space="preserve"> </w:t>
      </w:r>
      <w:r>
        <w:rPr>
          <w:bCs/>
          <w:b/>
        </w:rPr>
        <w:t xml:space="preserve">अतो हेः</w:t>
      </w:r>
      <w:r>
        <w:t xml:space="preserve"> </w:t>
      </w:r>
      <w:r>
        <w:t xml:space="preserve">(</w:t>
      </w:r>
      <w:r>
        <w:rPr>
          <w:iCs/>
          <w:i/>
        </w:rPr>
        <w:t xml:space="preserve">ato heḥ</w:t>
      </w:r>
      <w:r>
        <w:t xml:space="preserve">, पा. ६-४-१०५) would drop the</w:t>
      </w:r>
      <w:r>
        <w:t xml:space="preserve"> </w:t>
      </w:r>
      <w:r>
        <w:t xml:space="preserve">“</w:t>
      </w:r>
      <w:r>
        <w:t xml:space="preserve">hi</w:t>
      </w:r>
      <w:r>
        <w:t xml:space="preserve">”</w:t>
      </w:r>
      <w:r>
        <w:t xml:space="preserve"> </w:t>
      </w:r>
      <w:r>
        <w:t xml:space="preserve">after an</w:t>
      </w:r>
      <w:r>
        <w:t xml:space="preserve"> </w:t>
      </w:r>
      <w:r>
        <w:t xml:space="preserve">“</w:t>
      </w:r>
      <w:r>
        <w:t xml:space="preserve">a</w:t>
      </w:r>
      <w:r>
        <w:t xml:space="preserve">”</w:t>
      </w:r>
      <w:r>
        <w:t xml:space="preserve">-ending stem; but the rule</w:t>
      </w:r>
      <w:r>
        <w:t xml:space="preserve"> </w:t>
      </w:r>
      <w:r>
        <w:rPr>
          <w:bCs/>
          <w:b/>
        </w:rPr>
        <w:t xml:space="preserve">असिद्धवदत्राभात्</w:t>
      </w:r>
      <w:r>
        <w:t xml:space="preserve"> </w:t>
      </w:r>
      <w:r>
        <w:t xml:space="preserve">(</w:t>
      </w:r>
      <w:r>
        <w:rPr>
          <w:iCs/>
          <w:i/>
        </w:rPr>
        <w:t xml:space="preserve">asiddhavad atrābhāt</w:t>
      </w:r>
      <w:r>
        <w:t xml:space="preserve">, पा. ६-४-२२) makes the</w:t>
      </w:r>
      <w:r>
        <w:t xml:space="preserve"> </w:t>
      </w:r>
      <w:r>
        <w:t xml:space="preserve">“</w:t>
      </w:r>
      <w:r>
        <w:t xml:space="preserve">m</w:t>
      </w:r>
      <w:r>
        <w:t xml:space="preserve">”</w:t>
      </w:r>
      <w:r>
        <w:t xml:space="preserve">-elision</w:t>
      </w:r>
      <w:r>
        <w:t xml:space="preserve"> </w:t>
      </w:r>
      <w:r>
        <w:t xml:space="preserve">“</w:t>
      </w:r>
      <w:r>
        <w:t xml:space="preserve">asiddha</w:t>
      </w:r>
      <w:r>
        <w:t xml:space="preserve">”</w:t>
      </w:r>
      <w:r>
        <w:t xml:space="preserve"> </w:t>
      </w:r>
      <w:r>
        <w:t xml:space="preserve">with respect to it, so that</w:t>
      </w:r>
      <w:r>
        <w:t xml:space="preserve"> </w:t>
      </w:r>
      <w:r>
        <w:t xml:space="preserve">“</w:t>
      </w:r>
      <w:r>
        <w:t xml:space="preserve">hi</w:t>
      </w:r>
      <w:r>
        <w:t xml:space="preserve">”</w:t>
      </w:r>
      <w:r>
        <w:t xml:space="preserve"> </w:t>
      </w:r>
      <w:r>
        <w:t xml:space="preserve">is not elided — the print argues this at length with the paribhāṣā about</w:t>
      </w:r>
      <w:r>
        <w:t xml:space="preserve"> </w:t>
      </w:r>
      <w:r>
        <w:t xml:space="preserve">“</w:t>
      </w:r>
      <w:r>
        <w:t xml:space="preserve">samānāśraya</w:t>
      </w:r>
      <w:r>
        <w:t xml:space="preserve">”</w:t>
      </w:r>
      <w:r>
        <w:t xml:space="preserve"> </w:t>
      </w:r>
      <w:r>
        <w:t xml:space="preserve">rules, and concludes that</w:t>
      </w:r>
      <w:r>
        <w:t xml:space="preserve"> </w:t>
      </w:r>
      <w:r>
        <w:t xml:space="preserve">“</w:t>
      </w:r>
      <w:r>
        <w:t xml:space="preserve">hi</w:t>
      </w:r>
      <w:r>
        <w:t xml:space="preserve">”</w:t>
      </w:r>
      <w:r>
        <w:t xml:space="preserve"> </w:t>
      </w:r>
      <w:r>
        <w:t xml:space="preserve">is retained:</w:t>
      </w:r>
      <w:r>
        <w:t xml:space="preserve"> </w:t>
      </w:r>
      <w:r>
        <w:t xml:space="preserve">“</w:t>
      </w:r>
      <w:r>
        <w:t xml:space="preserve">gahi.</w:t>
      </w:r>
      <w:r>
        <w:t xml:space="preserve">”</w:t>
      </w:r>
    </w:p>
    <w:p>
      <w:pPr>
        <w:pStyle w:val="BodyText"/>
      </w:pPr>
      <w:r>
        <w:rPr>
          <w:bCs/>
          <w:b/>
        </w:rPr>
        <w:t xml:space="preserve">“</w:t>
      </w:r>
      <w:r>
        <w:rPr>
          <w:bCs/>
          <w:b/>
        </w:rPr>
        <w:t xml:space="preserve">Somapāḥ</w:t>
      </w:r>
      <w:r>
        <w:rPr>
          <w:bCs/>
          <w:b/>
        </w:rPr>
        <w:t xml:space="preserve">”</w:t>
      </w:r>
      <w:r>
        <w:t xml:space="preserve"> </w:t>
      </w:r>
      <w:r>
        <w:t xml:space="preserve">— a vocative; by</w:t>
      </w:r>
      <w:r>
        <w:t xml:space="preserve"> </w:t>
      </w:r>
      <w:r>
        <w:rPr>
          <w:bCs/>
          <w:b/>
        </w:rPr>
        <w:t xml:space="preserve">आमन्त्रितस्य च</w:t>
      </w:r>
      <w:r>
        <w:t xml:space="preserve"> </w:t>
      </w:r>
      <w:r>
        <w:t xml:space="preserve">(पा. ८-१-१९) it is wholly unaccented (sarvānudātta). Although by</w:t>
      </w:r>
      <w:r>
        <w:t xml:space="preserve"> </w:t>
      </w:r>
      <w:r>
        <w:rPr>
          <w:bCs/>
          <w:b/>
        </w:rPr>
        <w:t xml:space="preserve">आमन्त्रितं पूर्वमविद्यमानवत्</w:t>
      </w:r>
      <w:r>
        <w:t xml:space="preserve"> </w:t>
      </w:r>
      <w:r>
        <w:t xml:space="preserve">(पा. सू. ८-१-७२) it is treated as non-existent, the following</w:t>
      </w:r>
      <w:r>
        <w:t xml:space="preserve"> </w:t>
      </w:r>
      <w:r>
        <w:t xml:space="preserve">“</w:t>
      </w:r>
      <w:r>
        <w:t xml:space="preserve">piba</w:t>
      </w:r>
      <w:r>
        <w:t xml:space="preserve">”</w:t>
      </w:r>
      <w:r>
        <w:t xml:space="preserve"> </w:t>
      </w:r>
      <w:r>
        <w:t xml:space="preserve">is made unaccented by</w:t>
      </w:r>
      <w:r>
        <w:t xml:space="preserve"> </w:t>
      </w:r>
      <w:r>
        <w:rPr>
          <w:bCs/>
          <w:b/>
        </w:rPr>
        <w:t xml:space="preserve">तिङ्ङतिङः</w:t>
      </w:r>
      <w:r>
        <w:t xml:space="preserve"> </w:t>
      </w:r>
      <w:r>
        <w:t xml:space="preserve">(पा. सू. ८-१-२८), taking the word before it as the cause. The preceding word</w:t>
      </w:r>
      <w:r>
        <w:t xml:space="preserve"> </w:t>
      </w:r>
      <w:r>
        <w:t xml:space="preserve">“</w:t>
      </w:r>
      <w:r>
        <w:t xml:space="preserve">somasya</w:t>
      </w:r>
      <w:r>
        <w:t xml:space="preserve">”</w:t>
      </w:r>
      <w:r>
        <w:t xml:space="preserve"> </w:t>
      </w:r>
      <w:r>
        <w:t xml:space="preserve">is not a vocative; the text debates whether the</w:t>
      </w:r>
      <w:r>
        <w:t xml:space="preserve"> </w:t>
      </w:r>
      <w:r>
        <w:t xml:space="preserve">“</w:t>
      </w:r>
      <w:r>
        <w:t xml:space="preserve">āmantritaṃ pūrvam avidyamānavat</w:t>
      </w:r>
      <w:r>
        <w:t xml:space="preserve">”</w:t>
      </w:r>
      <w:r>
        <w:t xml:space="preserve"> </w:t>
      </w:r>
      <w:r>
        <w:t xml:space="preserve">(पा. ८-१-७२) and</w:t>
      </w:r>
      <w:r>
        <w:t xml:space="preserve"> </w:t>
      </w:r>
      <w:r>
        <w:t xml:space="preserve">“</w:t>
      </w:r>
      <w:r>
        <w:t xml:space="preserve">subāmantrite parāṅgavat svare</w:t>
      </w:r>
      <w:r>
        <w:t xml:space="preserve">”</w:t>
      </w:r>
      <w:r>
        <w:t xml:space="preserve"> </w:t>
      </w:r>
      <w:r>
        <w:t xml:space="preserve">(पा. २-१-२) rules apply between</w:t>
      </w:r>
      <w:r>
        <w:t xml:space="preserve"> </w:t>
      </w:r>
      <w:r>
        <w:t xml:space="preserve">“</w:t>
      </w:r>
      <w:r>
        <w:t xml:space="preserve">somapāḥ</w:t>
      </w:r>
      <w:r>
        <w:t xml:space="preserve">”</w:t>
      </w:r>
      <w:r>
        <w:t xml:space="preserve"> </w:t>
      </w:r>
      <w:r>
        <w:t xml:space="preserve">and</w:t>
      </w:r>
      <w:r>
        <w:t xml:space="preserve"> </w:t>
      </w:r>
      <w:r>
        <w:t xml:space="preserve">“</w:t>
      </w:r>
      <w:r>
        <w:t xml:space="preserve">somasya,</w:t>
      </w:r>
      <w:r>
        <w:t xml:space="preserve">”</w:t>
      </w:r>
      <w:r>
        <w:t xml:space="preserve"> </w:t>
      </w:r>
      <w:r>
        <w:t xml:space="preserve">and concludes that, because the two words lack a mutual syntactic connection (</w:t>
      </w:r>
      <w:r>
        <w:t xml:space="preserve">“</w:t>
      </w:r>
      <w:r>
        <w:t xml:space="preserve">asāmarthya</w:t>
      </w:r>
      <w:r>
        <w:t xml:space="preserve">”</w:t>
      </w:r>
      <w:r>
        <w:t xml:space="preserve">),</w:t>
      </w:r>
      <w:r>
        <w:t xml:space="preserve"> </w:t>
      </w:r>
      <w:r>
        <w:t xml:space="preserve">“</w:t>
      </w:r>
      <w:r>
        <w:t xml:space="preserve">parāṅgavad-bhāva</w:t>
      </w:r>
      <w:r>
        <w:t xml:space="preserve">”</w:t>
      </w:r>
      <w:r>
        <w:t xml:space="preserve"> </w:t>
      </w:r>
      <w:r>
        <w:t xml:space="preserve">does not occur, and</w:t>
      </w:r>
      <w:r>
        <w:t xml:space="preserve"> </w:t>
      </w:r>
      <w:r>
        <w:t xml:space="preserve">“</w:t>
      </w:r>
      <w:r>
        <w:t xml:space="preserve">somasya</w:t>
      </w:r>
      <w:r>
        <w:t xml:space="preserve">”</w:t>
      </w:r>
      <w:r>
        <w:t xml:space="preserve"> </w:t>
      </w:r>
      <w:r>
        <w:t xml:space="preserve">is not treated as non-existent.</w:t>
      </w:r>
    </w:p>
    <w:p>
      <w:pPr>
        <w:pStyle w:val="BodyText"/>
      </w:pPr>
      <w:r>
        <w:rPr>
          <w:bCs/>
          <w:b/>
        </w:rPr>
        <w:t xml:space="preserve">“</w:t>
      </w:r>
      <w:r>
        <w:rPr>
          <w:bCs/>
          <w:b/>
        </w:rPr>
        <w:t xml:space="preserve">Godāḥ</w:t>
      </w:r>
      <w:r>
        <w:rPr>
          <w:bCs/>
          <w:b/>
        </w:rPr>
        <w:t xml:space="preserve">”</w:t>
      </w:r>
      <w:r>
        <w:t xml:space="preserve"> </w:t>
      </w:r>
      <w:r>
        <w:t xml:space="preserve">—</w:t>
      </w:r>
      <w:r>
        <w:t xml:space="preserve"> </w:t>
      </w:r>
      <w:r>
        <w:t xml:space="preserve">“</w:t>
      </w:r>
      <w:r>
        <w:t xml:space="preserve">gāṃ dadāti iti godāḥ</w:t>
      </w:r>
      <w:r>
        <w:t xml:space="preserve">”</w:t>
      </w:r>
      <w:r>
        <w:t xml:space="preserve">: the root</w:t>
      </w:r>
      <w:r>
        <w:t xml:space="preserve"> </w:t>
      </w:r>
      <w:r>
        <w:t xml:space="preserve">“</w:t>
      </w:r>
      <w:r>
        <w:t xml:space="preserve">ḍudāñ dāne</w:t>
      </w:r>
      <w:r>
        <w:t xml:space="preserve">”</w:t>
      </w:r>
      <w:r>
        <w:t xml:space="preserve"> </w:t>
      </w:r>
      <w:r>
        <w:t xml:space="preserve">(to give), ending in</w:t>
      </w:r>
      <w:r>
        <w:t xml:space="preserve"> </w:t>
      </w:r>
      <w:r>
        <w:t xml:space="preserve">“</w:t>
      </w:r>
      <w:r>
        <w:t xml:space="preserve">ā</w:t>
      </w:r>
      <w:r>
        <w:t xml:space="preserve">”</w:t>
      </w:r>
      <w:r>
        <w:t xml:space="preserve">;</w:t>
      </w:r>
      <w:r>
        <w:t xml:space="preserve"> </w:t>
      </w:r>
      <w:r>
        <w:rPr>
          <w:bCs/>
          <w:b/>
        </w:rPr>
        <w:t xml:space="preserve">आतोऽनुपसर्गे कः</w:t>
      </w:r>
      <w:r>
        <w:t xml:space="preserve"> </w:t>
      </w:r>
      <w:r>
        <w:t xml:space="preserve">would give</w:t>
      </w:r>
      <w:r>
        <w:t xml:space="preserve"> </w:t>
      </w:r>
      <w:r>
        <w:t xml:space="preserve">“</w:t>
      </w:r>
      <w:r>
        <w:t xml:space="preserve">ka,</w:t>
      </w:r>
      <w:r>
        <w:t xml:space="preserve">”</w:t>
      </w:r>
      <w:r>
        <w:t xml:space="preserve"> </w:t>
      </w:r>
      <w:r>
        <w:t xml:space="preserve">but</w:t>
      </w:r>
      <w:r>
        <w:t xml:space="preserve"> </w:t>
      </w:r>
      <w:r>
        <w:t xml:space="preserve">“</w:t>
      </w:r>
      <w:r>
        <w:t xml:space="preserve">kvip</w:t>
      </w:r>
      <w:r>
        <w:t xml:space="preserve">”</w:t>
      </w:r>
      <w:r>
        <w:t xml:space="preserve"> </w:t>
      </w:r>
      <w:r>
        <w:t xml:space="preserve">(</w:t>
      </w:r>
      <w:r>
        <w:rPr>
          <w:bCs/>
          <w:b/>
        </w:rPr>
        <w:t xml:space="preserve">क्विप् च</w:t>
      </w:r>
      <w:r>
        <w:t xml:space="preserve">, पा. ३-२-७६) is the general rule; since the Veda has the specific rule</w:t>
      </w:r>
      <w:r>
        <w:t xml:space="preserve"> </w:t>
      </w:r>
      <w:r>
        <w:rPr>
          <w:bCs/>
          <w:b/>
        </w:rPr>
        <w:t xml:space="preserve">आतो मनिन्क्वनिब्वनिपश्च</w:t>
      </w:r>
      <w:r>
        <w:t xml:space="preserve"> </w:t>
      </w:r>
      <w:r>
        <w:t xml:space="preserve">(पा. ३-२-७४),</w:t>
      </w:r>
      <w:r>
        <w:t xml:space="preserve"> </w:t>
      </w:r>
      <w:r>
        <w:t xml:space="preserve">“</w:t>
      </w:r>
      <w:r>
        <w:t xml:space="preserve">manin, kvanip, vanip</w:t>
      </w:r>
      <w:r>
        <w:t xml:space="preserve">”</w:t>
      </w:r>
      <w:r>
        <w:t xml:space="preserve"> </w:t>
      </w:r>
      <w:r>
        <w:t xml:space="preserve">may come after a root ending in</w:t>
      </w:r>
      <w:r>
        <w:t xml:space="preserve"> </w:t>
      </w:r>
      <w:r>
        <w:t xml:space="preserve">“</w:t>
      </w:r>
      <w:r>
        <w:t xml:space="preserve">ā</w:t>
      </w:r>
      <w:r>
        <w:t xml:space="preserve">”</w:t>
      </w:r>
      <w:r>
        <w:t xml:space="preserve"> </w:t>
      </w:r>
      <w:r>
        <w:t xml:space="preserve">when a subanta or an upasarga stands as upapada; from the</w:t>
      </w:r>
      <w:r>
        <w:t xml:space="preserve"> </w:t>
      </w:r>
      <w:r>
        <w:t xml:space="preserve">“</w:t>
      </w:r>
      <w:r>
        <w:t xml:space="preserve">ca</w:t>
      </w:r>
      <w:r>
        <w:t xml:space="preserve">”</w:t>
      </w:r>
      <w:r>
        <w:t xml:space="preserve"> </w:t>
      </w:r>
      <w:r>
        <w:t xml:space="preserve">in that sūtra,</w:t>
      </w:r>
      <w:r>
        <w:t xml:space="preserve"> </w:t>
      </w:r>
      <w:r>
        <w:t xml:space="preserve">“</w:t>
      </w:r>
      <w:r>
        <w:t xml:space="preserve">vic</w:t>
      </w:r>
      <w:r>
        <w:t xml:space="preserve">”</w:t>
      </w:r>
      <w:r>
        <w:t xml:space="preserve"> </w:t>
      </w:r>
      <w:r>
        <w:t xml:space="preserve">also comes — and so on.</w:t>
      </w:r>
      <w:r>
        <w:t xml:space="preserve"> </w:t>
      </w:r>
      <w:r>
        <w:rPr>
          <w:iCs/>
          <w:i/>
        </w:rPr>
        <w:t xml:space="preserve">(The page ends in the middle of this argument about which affix applies to</w:t>
      </w:r>
      <w:r>
        <w:rPr>
          <w:iCs/>
          <w:i/>
        </w:rPr>
        <w:t xml:space="preserve"> </w:t>
      </w:r>
      <w:r>
        <w:rPr>
          <w:iCs/>
          <w:i/>
        </w:rPr>
        <w:t xml:space="preserve">“</w:t>
      </w:r>
      <w:r>
        <w:rPr>
          <w:iCs/>
          <w:i/>
        </w:rPr>
        <w:t xml:space="preserve">godāḥ</w:t>
      </w:r>
      <w:r>
        <w:rPr>
          <w:iCs/>
          <w:i/>
        </w:rPr>
        <w:t xml:space="preserve">”</w:t>
      </w:r>
      <w:r>
        <w:rPr>
          <w:iCs/>
          <w:i/>
        </w:rPr>
        <w:t xml:space="preserve">; it continues on the next page.)</w:t>
      </w:r>
    </w:p>
    <w:bookmarkEnd w:id="126"/>
    <w:bookmarkStart w:id="127" w:name="Xd36d9e92931dcd4b7f46de77137acdebb3f66c8"/>
    <w:p>
      <w:pPr>
        <w:pStyle w:val="Heading3"/>
      </w:pPr>
      <w:r>
        <w:t xml:space="preserve">Pages 98–99 — Vyākaraṇa-prakriyā for Rik 4.2 (continued): the</w:t>
      </w:r>
      <w:r>
        <w:t xml:space="preserve"> </w:t>
      </w:r>
      <w:r>
        <w:t xml:space="preserve">“</w:t>
      </w:r>
      <w:r>
        <w:t xml:space="preserve">godāḥ</w:t>
      </w:r>
      <w:r>
        <w:t xml:space="preserve">”</w:t>
      </w:r>
      <w:r>
        <w:t xml:space="preserve"> </w:t>
      </w:r>
      <w:r>
        <w:t xml:space="preserve">/</w:t>
      </w:r>
      <w:r>
        <w:t xml:space="preserve"> </w:t>
      </w:r>
      <w:r>
        <w:t xml:space="preserve">“</w:t>
      </w:r>
      <w:r>
        <w:t xml:space="preserve">īt</w:t>
      </w:r>
      <w:r>
        <w:t xml:space="preserve">”</w:t>
      </w:r>
      <w:r>
        <w:t xml:space="preserve"> </w:t>
      </w:r>
      <w:r>
        <w:t xml:space="preserve">debate;</w:t>
      </w:r>
      <w:r>
        <w:t xml:space="preserve"> </w:t>
      </w:r>
      <w:r>
        <w:t xml:space="preserve">“</w:t>
      </w:r>
      <w:r>
        <w:t xml:space="preserve">revataḥ</w:t>
      </w:r>
      <w:r>
        <w:t xml:space="preserve">”</w:t>
      </w:r>
    </w:p>
    <w:p>
      <w:pPr>
        <w:pStyle w:val="FirstParagraph"/>
      </w:pPr>
      <w:r>
        <w:rPr>
          <w:iCs/>
          <w:i/>
        </w:rPr>
        <w:t xml:space="preserve">(Page headers: p. 98</w:t>
      </w:r>
      <w:r>
        <w:rPr>
          <w:iCs/>
          <w:i/>
        </w:rPr>
        <w:t xml:space="preserve"> </w:t>
      </w:r>
      <w:r>
        <w:rPr>
          <w:iCs/>
          <w:i/>
        </w:rPr>
        <w:t xml:space="preserve">“</w:t>
      </w:r>
      <w:r>
        <w:rPr>
          <w:iCs/>
          <w:i/>
        </w:rPr>
        <w:t xml:space="preserve">Sāyaṇa-bhāṣya-sahitā · Maṇḍala 1, Anuvāka 2, Sūkta 4</w:t>
      </w:r>
      <w:r>
        <w:rPr>
          <w:iCs/>
          <w:i/>
        </w:rPr>
        <w:t xml:space="preserve">”</w:t>
      </w:r>
      <w:r>
        <w:rPr>
          <w:iCs/>
          <w:i/>
        </w:rPr>
        <w:t xml:space="preserve">; p. 99</w:t>
      </w:r>
      <w:r>
        <w:rPr>
          <w:iCs/>
          <w:i/>
        </w:rPr>
        <w:t xml:space="preserve"> </w:t>
      </w:r>
      <w:r>
        <w:rPr>
          <w:iCs/>
          <w:i/>
        </w:rPr>
        <w:t xml:space="preserve">“</w:t>
      </w:r>
      <w:r>
        <w:rPr>
          <w:iCs/>
          <w:i/>
        </w:rPr>
        <w:t xml:space="preserve">Aṣṭaka 1, Adhyāya 1, Varga 7 · Ṛgveda-saṃhitā.</w:t>
      </w:r>
      <w:r>
        <w:rPr>
          <w:iCs/>
          <w:i/>
        </w:rPr>
        <w:t xml:space="preserve">”</w:t>
      </w:r>
      <w:r>
        <w:rPr>
          <w:iCs/>
          <w:i/>
        </w:rPr>
        <w:t xml:space="preserve"> </w:t>
      </w:r>
      <w:r>
        <w:rPr>
          <w:iCs/>
          <w:i/>
        </w:rPr>
        <w:t xml:space="preserve">These two pages are an</w:t>
      </w:r>
      <w:r>
        <w:rPr>
          <w:iCs/>
          <w:i/>
        </w:rPr>
        <w:t xml:space="preserve"> </w:t>
      </w:r>
      <w:r>
        <w:rPr>
          <w:bCs/>
          <w:b/>
          <w:iCs/>
          <w:i/>
        </w:rPr>
        <w:t xml:space="preserve">advanced scholastic grammatical debate</w:t>
      </w:r>
      <w:r>
        <w:rPr>
          <w:iCs/>
          <w:i/>
        </w:rPr>
        <w:t xml:space="preserve"> </w:t>
      </w:r>
      <w:r>
        <w:rPr>
          <w:iCs/>
          <w:i/>
        </w:rPr>
        <w:t xml:space="preserve">in Kannada prose about whether the</w:t>
      </w:r>
      <w:r>
        <w:rPr>
          <w:iCs/>
          <w:i/>
        </w:rPr>
        <w:t xml:space="preserve"> </w:t>
      </w:r>
      <w:r>
        <w:rPr>
          <w:iCs/>
          <w:i/>
        </w:rPr>
        <w:t xml:space="preserve">“</w:t>
      </w:r>
      <w:r>
        <w:rPr>
          <w:iCs/>
          <w:i/>
        </w:rPr>
        <w:t xml:space="preserve">ī</w:t>
      </w:r>
      <w:r>
        <w:rPr>
          <w:iCs/>
          <w:i/>
        </w:rPr>
        <w:t xml:space="preserve">”</w:t>
      </w:r>
      <w:r>
        <w:rPr>
          <w:iCs/>
          <w:i/>
        </w:rPr>
        <w:t xml:space="preserve">-substitution of</w:t>
      </w:r>
      <w:r>
        <w:rPr>
          <w:iCs/>
          <w:i/>
        </w:rPr>
        <w:t xml:space="preserve"> </w:t>
      </w:r>
      <w:r>
        <w:rPr>
          <w:bCs/>
          <w:b/>
          <w:iCs/>
          <w:i/>
        </w:rPr>
        <w:t xml:space="preserve">घुमास्थागापाजहातिसां हलि</w:t>
      </w:r>
      <w:r>
        <w:rPr>
          <w:iCs/>
          <w:i/>
        </w:rPr>
        <w:t xml:space="preserve"> </w:t>
      </w:r>
      <w:r>
        <w:rPr>
          <w:iCs/>
          <w:i/>
        </w:rPr>
        <w:t xml:space="preserve">(</w:t>
      </w:r>
      <w:r>
        <w:t xml:space="preserve">ghu-mā-sthā-gā-pā-jahāti-sāṃ hali</w:t>
      </w:r>
      <w:r>
        <w:rPr>
          <w:iCs/>
          <w:i/>
        </w:rPr>
        <w:t xml:space="preserve">, पा. ६-४-६६) can apply to</w:t>
      </w:r>
      <w:r>
        <w:rPr>
          <w:iCs/>
          <w:i/>
        </w:rPr>
        <w:t xml:space="preserve"> </w:t>
      </w:r>
      <w:r>
        <w:rPr>
          <w:iCs/>
          <w:i/>
        </w:rPr>
        <w:t xml:space="preserve">“</w:t>
      </w:r>
      <w:r>
        <w:rPr>
          <w:iCs/>
          <w:i/>
        </w:rPr>
        <w:t xml:space="preserve">godāḥ</w:t>
      </w:r>
      <w:r>
        <w:rPr>
          <w:iCs/>
          <w:i/>
        </w:rPr>
        <w:t xml:space="preserve">”</w:t>
      </w:r>
      <w:r>
        <w:rPr>
          <w:iCs/>
          <w:i/>
        </w:rPr>
        <w:t xml:space="preserve"> </w:t>
      </w:r>
      <w:r>
        <w:rPr>
          <w:iCs/>
          <w:i/>
        </w:rPr>
        <w:t xml:space="preserve">(the root</w:t>
      </w:r>
      <w:r>
        <w:rPr>
          <w:iCs/>
          <w:i/>
        </w:rPr>
        <w:t xml:space="preserve"> </w:t>
      </w:r>
      <w:r>
        <w:rPr>
          <w:iCs/>
          <w:i/>
        </w:rPr>
        <w:t xml:space="preserve">“</w:t>
      </w:r>
      <w:r>
        <w:rPr>
          <w:iCs/>
          <w:i/>
        </w:rPr>
        <w:t xml:space="preserve">dā</w:t>
      </w:r>
      <w:r>
        <w:rPr>
          <w:iCs/>
          <w:i/>
        </w:rPr>
        <w:t xml:space="preserve">”</w:t>
      </w:r>
      <w:r>
        <w:rPr>
          <w:iCs/>
          <w:i/>
        </w:rPr>
        <w:t xml:space="preserve"> </w:t>
      </w:r>
      <w:r>
        <w:rPr>
          <w:iCs/>
          <w:i/>
        </w:rPr>
        <w:t xml:space="preserve">with</w:t>
      </w:r>
      <w:r>
        <w:rPr>
          <w:iCs/>
          <w:i/>
        </w:rPr>
        <w:t xml:space="preserve"> </w:t>
      </w:r>
      <w:r>
        <w:rPr>
          <w:iCs/>
          <w:i/>
        </w:rPr>
        <w:t xml:space="preserve">“</w:t>
      </w:r>
      <w:r>
        <w:rPr>
          <w:iCs/>
          <w:i/>
        </w:rPr>
        <w:t xml:space="preserve">kvip</w:t>
      </w:r>
      <w:r>
        <w:rPr>
          <w:iCs/>
          <w:i/>
        </w:rPr>
        <w:t xml:space="preserve">”</w:t>
      </w:r>
      <w:r>
        <w:rPr>
          <w:iCs/>
          <w:i/>
        </w:rPr>
        <w:t xml:space="preserve">). They have no bearing on the sense of the Rik, already given on pp. 95–96, and per the standing convention I</w:t>
      </w:r>
      <w:r>
        <w:rPr>
          <w:iCs/>
          <w:i/>
        </w:rPr>
        <w:t xml:space="preserve"> </w:t>
      </w:r>
      <w:r>
        <w:rPr>
          <w:bCs/>
          <w:b/>
          <w:iCs/>
          <w:i/>
        </w:rPr>
        <w:t xml:space="preserve">characterize the argument in outline rather than transcribe it line by line</w:t>
      </w:r>
      <w:r>
        <w:rPr>
          <w:iCs/>
          <w:i/>
        </w:rPr>
        <w:t xml:space="preserve">, keeping the sūtras the pages name. Numbers as read; [?] where uncertain.)</w:t>
      </w:r>
    </w:p>
    <w:p>
      <w:pPr>
        <w:pStyle w:val="BodyText"/>
      </w:pPr>
      <w:r>
        <w:rPr>
          <w:bCs/>
          <w:b/>
        </w:rPr>
        <w:t xml:space="preserve">The question.</w:t>
      </w:r>
      <w:r>
        <w:t xml:space="preserve"> </w:t>
      </w:r>
      <w:r>
        <w:t xml:space="preserve">The</w:t>
      </w:r>
      <w:r>
        <w:t xml:space="preserve"> </w:t>
      </w:r>
      <w:r>
        <w:t xml:space="preserve">“</w:t>
      </w:r>
      <w:r>
        <w:t xml:space="preserve">ghu</w:t>
      </w:r>
      <w:r>
        <w:t xml:space="preserve">”</w:t>
      </w:r>
      <w:r>
        <w:t xml:space="preserve"> </w:t>
      </w:r>
      <w:r>
        <w:t xml:space="preserve">labelled roots (the roots</w:t>
      </w:r>
      <w:r>
        <w:t xml:space="preserve"> </w:t>
      </w:r>
      <w:r>
        <w:t xml:space="preserve">“</w:t>
      </w:r>
      <w:r>
        <w:t xml:space="preserve">dā</w:t>
      </w:r>
      <w:r>
        <w:t xml:space="preserve">”</w:t>
      </w:r>
      <w:r>
        <w:t xml:space="preserve"> </w:t>
      </w:r>
      <w:r>
        <w:t xml:space="preserve">and</w:t>
      </w:r>
      <w:r>
        <w:t xml:space="preserve"> </w:t>
      </w:r>
      <w:r>
        <w:t xml:space="preserve">“</w:t>
      </w:r>
      <w:r>
        <w:t xml:space="preserve">dhā</w:t>
      </w:r>
      <w:r>
        <w:t xml:space="preserve">”</w:t>
      </w:r>
      <w:r>
        <w:t xml:space="preserve">) take</w:t>
      </w:r>
      <w:r>
        <w:t xml:space="preserve"> </w:t>
      </w:r>
      <w:r>
        <w:t xml:space="preserve">“</w:t>
      </w:r>
      <w:r>
        <w:t xml:space="preserve">ī</w:t>
      </w:r>
      <w:r>
        <w:t xml:space="preserve">”</w:t>
      </w:r>
      <w:r>
        <w:t xml:space="preserve"> </w:t>
      </w:r>
      <w:r>
        <w:t xml:space="preserve">before an</w:t>
      </w:r>
      <w:r>
        <w:t xml:space="preserve"> </w:t>
      </w:r>
      <w:r>
        <w:t xml:space="preserve">“</w:t>
      </w:r>
      <w:r>
        <w:t xml:space="preserve">ārdhadhātuka</w:t>
      </w:r>
      <w:r>
        <w:t xml:space="preserve">”</w:t>
      </w:r>
      <w:r>
        <w:t xml:space="preserve"> </w:t>
      </w:r>
      <w:r>
        <w:t xml:space="preserve">affix that begins with a consonant (</w:t>
      </w:r>
      <w:r>
        <w:t xml:space="preserve">“</w:t>
      </w:r>
      <w:r>
        <w:t xml:space="preserve">hali</w:t>
      </w:r>
      <w:r>
        <w:t xml:space="preserve">”</w:t>
      </w:r>
      <w:r>
        <w:t xml:space="preserve">) and is</w:t>
      </w:r>
      <w:r>
        <w:t xml:space="preserve"> </w:t>
      </w:r>
      <w:r>
        <w:t xml:space="preserve">“</w:t>
      </w:r>
      <w:r>
        <w:t xml:space="preserve">k</w:t>
      </w:r>
      <w:r>
        <w:t xml:space="preserve">”</w:t>
      </w:r>
      <w:r>
        <w:t xml:space="preserve">- or</w:t>
      </w:r>
      <w:r>
        <w:t xml:space="preserve"> </w:t>
      </w:r>
      <w:r>
        <w:t xml:space="preserve">“</w:t>
      </w:r>
      <w:r>
        <w:t xml:space="preserve">ṅ</w:t>
      </w:r>
      <w:r>
        <w:t xml:space="preserve">”</w:t>
      </w:r>
      <w:r>
        <w:t xml:space="preserve">-marked (</w:t>
      </w:r>
      <w:r>
        <w:rPr>
          <w:bCs/>
          <w:b/>
        </w:rPr>
        <w:t xml:space="preserve">ईत्वं हलि…</w:t>
      </w:r>
      <w:r>
        <w:t xml:space="preserve">). With</w:t>
      </w:r>
      <w:r>
        <w:t xml:space="preserve"> </w:t>
      </w:r>
      <w:r>
        <w:t xml:space="preserve">“</w:t>
      </w:r>
      <w:r>
        <w:t xml:space="preserve">kvip,</w:t>
      </w:r>
      <w:r>
        <w:t xml:space="preserve">”</w:t>
      </w:r>
      <w:r>
        <w:t xml:space="preserve"> </w:t>
      </w:r>
      <w:r>
        <w:t xml:space="preserve">however, the whole affix is elided (</w:t>
      </w:r>
      <w:r>
        <w:rPr>
          <w:bCs/>
          <w:b/>
        </w:rPr>
        <w:t xml:space="preserve">वेरपृक्तस्य</w:t>
      </w:r>
      <w:r>
        <w:t xml:space="preserve">, पा. ६-१-६७), and</w:t>
      </w:r>
      <w:r>
        <w:t xml:space="preserve"> </w:t>
      </w:r>
      <w:r>
        <w:t xml:space="preserve">“</w:t>
      </w:r>
      <w:r>
        <w:t xml:space="preserve">godāḥ</w:t>
      </w:r>
      <w:r>
        <w:t xml:space="preserve">”</w:t>
      </w:r>
      <w:r>
        <w:t xml:space="preserve"> </w:t>
      </w:r>
      <w:r>
        <w:t xml:space="preserve">shows no</w:t>
      </w:r>
      <w:r>
        <w:t xml:space="preserve"> </w:t>
      </w:r>
      <w:r>
        <w:t xml:space="preserve">“</w:t>
      </w:r>
      <w:r>
        <w:t xml:space="preserve">ī.</w:t>
      </w:r>
      <w:r>
        <w:t xml:space="preserve">”</w:t>
      </w:r>
      <w:r>
        <w:t xml:space="preserve"> </w:t>
      </w:r>
      <w:r>
        <w:t xml:space="preserve">The page-98 argument asks whether</w:t>
      </w:r>
      <w:r>
        <w:t xml:space="preserve"> </w:t>
      </w:r>
      <w:r>
        <w:t xml:space="preserve">“</w:t>
      </w:r>
      <w:r>
        <w:t xml:space="preserve">kvip</w:t>
      </w:r>
      <w:r>
        <w:t xml:space="preserve">”</w:t>
      </w:r>
      <w:r>
        <w:t xml:space="preserve"> </w:t>
      </w:r>
      <w:r>
        <w:t xml:space="preserve">can be regarded as an affix beginning with a consonant (</w:t>
      </w:r>
      <w:r>
        <w:t xml:space="preserve">“</w:t>
      </w:r>
      <w:r>
        <w:t xml:space="preserve">halādi</w:t>
      </w:r>
      <w:r>
        <w:t xml:space="preserve">”</w:t>
      </w:r>
      <w:r>
        <w:t xml:space="preserve">) so as to call for</w:t>
      </w:r>
      <w:r>
        <w:t xml:space="preserve"> </w:t>
      </w:r>
      <w:r>
        <w:t xml:space="preserve">“</w:t>
      </w:r>
      <w:r>
        <w:t xml:space="preserve">ī,</w:t>
      </w:r>
      <w:r>
        <w:t xml:space="preserve">”</w:t>
      </w:r>
      <w:r>
        <w:t xml:space="preserve"> </w:t>
      </w:r>
      <w:r>
        <w:t xml:space="preserve">and answers that it cannot, since it is entirely elided; yet, because of the</w:t>
      </w:r>
      <w:r>
        <w:t xml:space="preserve"> </w:t>
      </w:r>
      <w:r>
        <w:t xml:space="preserve">“</w:t>
      </w:r>
      <w:r>
        <w:t xml:space="preserve">pratyaya-lakṣaṇa</w:t>
      </w:r>
      <w:r>
        <w:t xml:space="preserve">”</w:t>
      </w:r>
      <w:r>
        <w:t xml:space="preserve"> </w:t>
      </w:r>
      <w:r>
        <w:t xml:space="preserve">principle (</w:t>
      </w:r>
      <w:r>
        <w:rPr>
          <w:bCs/>
          <w:b/>
        </w:rPr>
        <w:t xml:space="preserve">प्रत्ययलोपे प्रत्ययलक्षणम्</w:t>
      </w:r>
      <w:r>
        <w:t xml:space="preserve">, पा. १-१-६२ —</w:t>
      </w:r>
      <w:r>
        <w:t xml:space="preserve"> </w:t>
      </w:r>
      <w:r>
        <w:t xml:space="preserve">“</w:t>
      </w:r>
      <w:r>
        <w:t xml:space="preserve">when an affix is elided, the operation that depends on the affix still applies</w:t>
      </w:r>
      <w:r>
        <w:t xml:space="preserve">”</w:t>
      </w:r>
      <w:r>
        <w:t xml:space="preserve">), the objector argues</w:t>
      </w:r>
      <w:r>
        <w:t xml:space="preserve"> </w:t>
      </w:r>
      <w:r>
        <w:t xml:space="preserve">“</w:t>
      </w:r>
      <w:r>
        <w:t xml:space="preserve">ī</w:t>
      </w:r>
      <w:r>
        <w:t xml:space="preserve">”</w:t>
      </w:r>
      <w:r>
        <w:t xml:space="preserve"> </w:t>
      </w:r>
      <w:r>
        <w:t xml:space="preserve">should still come. Two views are put: that this sūtra is</w:t>
      </w:r>
      <w:r>
        <w:t xml:space="preserve"> </w:t>
      </w:r>
      <w:r>
        <w:rPr>
          <w:iCs/>
          <w:i/>
        </w:rPr>
        <w:t xml:space="preserve">vidhāyaka</w:t>
      </w:r>
      <w:r>
        <w:t xml:space="preserve"> </w:t>
      </w:r>
      <w:r>
        <w:t xml:space="preserve">(enabling) or</w:t>
      </w:r>
      <w:r>
        <w:t xml:space="preserve"> </w:t>
      </w:r>
      <w:r>
        <w:rPr>
          <w:iCs/>
          <w:i/>
        </w:rPr>
        <w:t xml:space="preserve">niyāmaka</w:t>
      </w:r>
      <w:r>
        <w:t xml:space="preserve"> </w:t>
      </w:r>
      <w:r>
        <w:t xml:space="preserve">(restricting). The reply draws on the principle</w:t>
      </w:r>
      <w:r>
        <w:t xml:space="preserve"> </w:t>
      </w:r>
      <w:r>
        <w:rPr>
          <w:bCs/>
          <w:b/>
        </w:rPr>
        <w:t xml:space="preserve">वर्णाश्रये नास्ति प्रत्ययलक्षणम्</w:t>
      </w:r>
      <w:r>
        <w:t xml:space="preserve"> </w:t>
      </w:r>
      <w:r>
        <w:t xml:space="preserve">(</w:t>
      </w:r>
      <w:r>
        <w:rPr>
          <w:iCs/>
          <w:i/>
        </w:rPr>
        <w:t xml:space="preserve">varṇāśraye nāsti pratyaya-lakṣaṇam</w:t>
      </w:r>
      <w:r>
        <w:t xml:space="preserve"> </w:t>
      </w:r>
      <w:r>
        <w:t xml:space="preserve">—</w:t>
      </w:r>
      <w:r>
        <w:t xml:space="preserve"> </w:t>
      </w:r>
      <w:r>
        <w:t xml:space="preserve">“</w:t>
      </w:r>
      <w:r>
        <w:t xml:space="preserve">where the operation depends on a letter, there is no</w:t>
      </w:r>
      <w:r>
        <w:t xml:space="preserve"> </w:t>
      </w:r>
      <w:r>
        <w:t xml:space="preserve">‘</w:t>
      </w:r>
      <w:r>
        <w:t xml:space="preserve">pratyaya-lakṣaṇa</w:t>
      </w:r>
      <w:r>
        <w:t xml:space="preserve">’</w:t>
      </w:r>
      <w:r>
        <w:t xml:space="preserve">”</w:t>
      </w:r>
      <w:r>
        <w:t xml:space="preserve">). Examples are taken from</w:t>
      </w:r>
      <w:r>
        <w:t xml:space="preserve"> </w:t>
      </w:r>
      <w:r>
        <w:t xml:space="preserve">“</w:t>
      </w:r>
      <w:r>
        <w:t xml:space="preserve">tṛṇahim</w:t>
      </w:r>
      <w:r>
        <w:t xml:space="preserve">”</w:t>
      </w:r>
      <w:r>
        <w:t xml:space="preserve"> </w:t>
      </w:r>
      <w:r>
        <w:t xml:space="preserve">(</w:t>
      </w:r>
      <w:r>
        <w:rPr>
          <w:bCs/>
          <w:b/>
        </w:rPr>
        <w:t xml:space="preserve">तृणह इम्</w:t>
      </w:r>
      <w:r>
        <w:t xml:space="preserve">, पा. ७-३-९२) and</w:t>
      </w:r>
      <w:r>
        <w:t xml:space="preserve"> </w:t>
      </w:r>
      <w:r>
        <w:t xml:space="preserve">“</w:t>
      </w:r>
      <w:r>
        <w:t xml:space="preserve">gaveḥitam,</w:t>
      </w:r>
      <w:r>
        <w:t xml:space="preserve">”</w:t>
      </w:r>
      <w:r>
        <w:t xml:space="preserve"> </w:t>
      </w:r>
      <w:r>
        <w:t xml:space="preserve">and the page notes that when the</w:t>
      </w:r>
      <w:r>
        <w:t xml:space="preserve"> </w:t>
      </w:r>
      <w:r>
        <w:rPr>
          <w:iCs/>
          <w:i/>
        </w:rPr>
        <w:t xml:space="preserve">chief</w:t>
      </w:r>
      <w:r>
        <w:t xml:space="preserve"> </w:t>
      </w:r>
      <w:r>
        <w:t xml:space="preserve">ground of an operation is a letter (varṇa), the prohibition applies; when the chief ground is the affix itself,</w:t>
      </w:r>
      <w:r>
        <w:t xml:space="preserve"> </w:t>
      </w:r>
      <w:r>
        <w:t xml:space="preserve">“</w:t>
      </w:r>
      <w:r>
        <w:t xml:space="preserve">pratyaya-lakṣaṇa</w:t>
      </w:r>
      <w:r>
        <w:t xml:space="preserve">”</w:t>
      </w:r>
      <w:r>
        <w:t xml:space="preserve"> </w:t>
      </w:r>
      <w:r>
        <w:t xml:space="preserve">applies.</w:t>
      </w:r>
    </w:p>
    <w:p>
      <w:pPr>
        <w:pStyle w:val="BodyText"/>
      </w:pPr>
      <w:r>
        <w:rPr>
          <w:bCs/>
          <w:b/>
        </w:rPr>
        <w:t xml:space="preserve">The Mahābhāṣya line (p. 99).</w:t>
      </w:r>
      <w:r>
        <w:t xml:space="preserve"> </w:t>
      </w:r>
      <w:r>
        <w:t xml:space="preserve">The Mahābhāṣya-kāra’s phrase</w:t>
      </w:r>
      <w:r>
        <w:t xml:space="preserve"> </w:t>
      </w:r>
      <w:r>
        <w:rPr>
          <w:bCs/>
          <w:b/>
        </w:rPr>
        <w:t xml:space="preserve">ईर्ध्यायतेर्दधातेर्वा</w:t>
      </w:r>
      <w:r>
        <w:t xml:space="preserve"> </w:t>
      </w:r>
      <w:r>
        <w:t xml:space="preserve">[as printed,</w:t>
      </w:r>
      <w:r>
        <w:t xml:space="preserve"> </w:t>
      </w:r>
      <w:r>
        <w:t xml:space="preserve">“</w:t>
      </w:r>
      <w:r>
        <w:t xml:space="preserve">dhīrghyāyater dādhāter vā</w:t>
      </w:r>
      <w:r>
        <w:t xml:space="preserve">”</w:t>
      </w:r>
      <w:r>
        <w:t xml:space="preserve">; read with doubt] is discussed: if</w:t>
      </w:r>
      <w:r>
        <w:t xml:space="preserve"> </w:t>
      </w:r>
      <w:r>
        <w:t xml:space="preserve">“</w:t>
      </w:r>
      <w:r>
        <w:t xml:space="preserve">kvip</w:t>
      </w:r>
      <w:r>
        <w:t xml:space="preserve">”</w:t>
      </w:r>
      <w:r>
        <w:t xml:space="preserve"> </w:t>
      </w:r>
      <w:r>
        <w:t xml:space="preserve">were added after</w:t>
      </w:r>
      <w:r>
        <w:t xml:space="preserve"> </w:t>
      </w:r>
      <w:r>
        <w:t xml:space="preserve">“</w:t>
      </w:r>
      <w:r>
        <w:t xml:space="preserve">dhā,</w:t>
      </w:r>
      <w:r>
        <w:t xml:space="preserve">”</w:t>
      </w:r>
      <w:r>
        <w:t xml:space="preserve"> </w:t>
      </w:r>
      <w:r>
        <w:t xml:space="preserve">the</w:t>
      </w:r>
      <w:r>
        <w:t xml:space="preserve"> </w:t>
      </w:r>
      <w:r>
        <w:t xml:space="preserve">“</w:t>
      </w:r>
      <w:r>
        <w:t xml:space="preserve">ī</w:t>
      </w:r>
      <w:r>
        <w:t xml:space="preserve">”</w:t>
      </w:r>
      <w:r>
        <w:t xml:space="preserve"> </w:t>
      </w:r>
      <w:r>
        <w:t xml:space="preserve">of</w:t>
      </w:r>
      <w:r>
        <w:t xml:space="preserve"> </w:t>
      </w:r>
      <w:r>
        <w:t xml:space="preserve">“</w:t>
      </w:r>
      <w:r>
        <w:t xml:space="preserve">ghumāsthā</w:t>
      </w:r>
      <w:r>
        <w:t xml:space="preserve">”</w:t>
      </w:r>
      <w:r>
        <w:t xml:space="preserve"> </w:t>
      </w:r>
      <w:r>
        <w:t xml:space="preserve">would need to arise;</w:t>
      </w:r>
      <w:r>
        <w:t xml:space="preserve"> </w:t>
      </w:r>
      <w:r>
        <w:t xml:space="preserve">“</w:t>
      </w:r>
      <w:r>
        <w:t xml:space="preserve">hali</w:t>
      </w:r>
      <w:r>
        <w:t xml:space="preserve">”</w:t>
      </w:r>
      <w:r>
        <w:t xml:space="preserve"> </w:t>
      </w:r>
      <w:r>
        <w:t xml:space="preserve">would then be read as</w:t>
      </w:r>
      <w:r>
        <w:t xml:space="preserve"> </w:t>
      </w:r>
      <w:r>
        <w:t xml:space="preserve">“</w:t>
      </w:r>
      <w:r>
        <w:t xml:space="preserve">an-aji</w:t>
      </w:r>
      <w:r>
        <w:t xml:space="preserve">”</w:t>
      </w:r>
      <w:r>
        <w:t xml:space="preserve"> </w:t>
      </w:r>
      <w:r>
        <w:t xml:space="preserve">(not</w:t>
      </w:r>
      <w:r>
        <w:t xml:space="preserve"> </w:t>
      </w:r>
      <w:r>
        <w:t xml:space="preserve">“</w:t>
      </w:r>
      <w:r>
        <w:t xml:space="preserve">ajādi</w:t>
      </w:r>
      <w:r>
        <w:t xml:space="preserve">”</w:t>
      </w:r>
      <w:r>
        <w:t xml:space="preserve">), and the reply says that the rule for</w:t>
      </w:r>
      <w:r>
        <w:t xml:space="preserve"> </w:t>
      </w:r>
      <w:r>
        <w:t xml:space="preserve">“</w:t>
      </w:r>
      <w:r>
        <w:t xml:space="preserve">ī</w:t>
      </w:r>
      <w:r>
        <w:t xml:space="preserve">”</w:t>
      </w:r>
      <w:r>
        <w:t xml:space="preserve"> </w:t>
      </w:r>
      <w:r>
        <w:t xml:space="preserve">requires a</w:t>
      </w:r>
      <w:r>
        <w:t xml:space="preserve"> </w:t>
      </w:r>
      <w:r>
        <w:t xml:space="preserve">“</w:t>
      </w:r>
      <w:r>
        <w:t xml:space="preserve">k/ṅ</w:t>
      </w:r>
      <w:r>
        <w:t xml:space="preserve">”</w:t>
      </w:r>
      <w:r>
        <w:t xml:space="preserve">-marked or</w:t>
      </w:r>
      <w:r>
        <w:t xml:space="preserve"> </w:t>
      </w:r>
      <w:r>
        <w:t xml:space="preserve">“</w:t>
      </w:r>
      <w:r>
        <w:t xml:space="preserve">ārdhadhātuka</w:t>
      </w:r>
      <w:r>
        <w:t xml:space="preserve">”</w:t>
      </w:r>
      <w:r>
        <w:t xml:space="preserve"> </w:t>
      </w:r>
      <w:r>
        <w:t xml:space="preserve">affix that does</w:t>
      </w:r>
      <w:r>
        <w:t xml:space="preserve"> </w:t>
      </w:r>
      <w:r>
        <w:rPr>
          <w:iCs/>
          <w:i/>
        </w:rPr>
        <w:t xml:space="preserve">not</w:t>
      </w:r>
      <w:r>
        <w:t xml:space="preserve"> </w:t>
      </w:r>
      <w:r>
        <w:t xml:space="preserve">begin with a vowel; in</w:t>
      </w:r>
      <w:r>
        <w:t xml:space="preserve"> </w:t>
      </w:r>
      <w:r>
        <w:t xml:space="preserve">“</w:t>
      </w:r>
      <w:r>
        <w:t xml:space="preserve">godāḥ</w:t>
      </w:r>
      <w:r>
        <w:t xml:space="preserve">”</w:t>
      </w:r>
      <w:r>
        <w:t xml:space="preserve"> </w:t>
      </w:r>
      <w:r>
        <w:t xml:space="preserve">the</w:t>
      </w:r>
      <w:r>
        <w:t xml:space="preserve"> </w:t>
      </w:r>
      <w:r>
        <w:t xml:space="preserve">“</w:t>
      </w:r>
      <w:r>
        <w:t xml:space="preserve">kvip</w:t>
      </w:r>
      <w:r>
        <w:t xml:space="preserve">”</w:t>
      </w:r>
      <w:r>
        <w:t xml:space="preserve"> </w:t>
      </w:r>
      <w:r>
        <w:t xml:space="preserve">is</w:t>
      </w:r>
      <w:r>
        <w:t xml:space="preserve"> </w:t>
      </w:r>
      <w:r>
        <w:t xml:space="preserve">“</w:t>
      </w:r>
      <w:r>
        <w:t xml:space="preserve">ajādi,</w:t>
      </w:r>
      <w:r>
        <w:t xml:space="preserve">”</w:t>
      </w:r>
      <w:r>
        <w:t xml:space="preserve"> </w:t>
      </w:r>
      <w:r>
        <w:t xml:space="preserve">since it is elided; therefore</w:t>
      </w:r>
      <w:r>
        <w:t xml:space="preserve"> </w:t>
      </w:r>
      <w:r>
        <w:t xml:space="preserve">“</w:t>
      </w:r>
      <w:r>
        <w:t xml:space="preserve">ī</w:t>
      </w:r>
      <w:r>
        <w:t xml:space="preserve">”</w:t>
      </w:r>
      <w:r>
        <w:t xml:space="preserve"> </w:t>
      </w:r>
      <w:r>
        <w:t xml:space="preserve">does not arise, and</w:t>
      </w:r>
      <w:r>
        <w:t xml:space="preserve"> </w:t>
      </w:r>
      <w:r>
        <w:t xml:space="preserve">“</w:t>
      </w:r>
      <w:r>
        <w:t xml:space="preserve">vic</w:t>
      </w:r>
      <w:r>
        <w:t xml:space="preserve">”</w:t>
      </w:r>
      <w:r>
        <w:t xml:space="preserve"> </w:t>
      </w:r>
      <w:r>
        <w:t xml:space="preserve">is taken instead (the</w:t>
      </w:r>
      <w:r>
        <w:t xml:space="preserve"> </w:t>
      </w:r>
      <w:r>
        <w:t xml:space="preserve">“</w:t>
      </w:r>
      <w:r>
        <w:t xml:space="preserve">ca</w:t>
      </w:r>
      <w:r>
        <w:t xml:space="preserve">”</w:t>
      </w:r>
      <w:r>
        <w:t xml:space="preserve"> </w:t>
      </w:r>
      <w:r>
        <w:t xml:space="preserve">of the sūtra</w:t>
      </w:r>
      <w:r>
        <w:t xml:space="preserve"> </w:t>
      </w:r>
      <w:r>
        <w:rPr>
          <w:bCs/>
          <w:b/>
        </w:rPr>
        <w:t xml:space="preserve">आतो मनिन्क्वनिब्वनिपश्च</w:t>
      </w:r>
      <w:r>
        <w:t xml:space="preserve">, पा. ३-२-७४, brings in</w:t>
      </w:r>
      <w:r>
        <w:t xml:space="preserve"> </w:t>
      </w:r>
      <w:r>
        <w:t xml:space="preserve">“</w:t>
      </w:r>
      <w:r>
        <w:t xml:space="preserve">vic</w:t>
      </w:r>
      <w:r>
        <w:t xml:space="preserve">”</w:t>
      </w:r>
      <w:r>
        <w:t xml:space="preserve">). A parallel is</w:t>
      </w:r>
      <w:r>
        <w:t xml:space="preserve"> </w:t>
      </w:r>
      <w:r>
        <w:t xml:space="preserve">“</w:t>
      </w:r>
      <w:r>
        <w:t xml:space="preserve">saṃśasthā</w:t>
      </w:r>
      <w:r>
        <w:t xml:space="preserve">”</w:t>
      </w:r>
      <w:r>
        <w:t xml:space="preserve"> </w:t>
      </w:r>
      <w:r>
        <w:t xml:space="preserve">(</w:t>
      </w:r>
      <w:r>
        <w:rPr>
          <w:bCs/>
          <w:b/>
        </w:rPr>
        <w:t xml:space="preserve">अन्येभ्योऽपि दृश्यन्ते</w:t>
      </w:r>
      <w:r>
        <w:t xml:space="preserve">,</w:t>
      </w:r>
      <w:r>
        <w:t xml:space="preserve"> </w:t>
      </w:r>
      <w:r>
        <w:t xml:space="preserve">“</w:t>
      </w:r>
      <w:r>
        <w:t xml:space="preserve">…aṃbāgo-bhū-</w:t>
      </w:r>
      <w:r>
        <w:t xml:space="preserve">”</w:t>
      </w:r>
      <w:r>
        <w:t xml:space="preserve"> </w:t>
      </w:r>
      <w:r>
        <w:t xml:space="preserve">— the sūtra as printed is garbled), where, if</w:t>
      </w:r>
      <w:r>
        <w:t xml:space="preserve"> </w:t>
      </w:r>
      <w:r>
        <w:t xml:space="preserve">“</w:t>
      </w:r>
      <w:r>
        <w:t xml:space="preserve">kvip</w:t>
      </w:r>
      <w:r>
        <w:t xml:space="preserve">”</w:t>
      </w:r>
      <w:r>
        <w:t xml:space="preserve"> </w:t>
      </w:r>
      <w:r>
        <w:t xml:space="preserve">were assumed,</w:t>
      </w:r>
      <w:r>
        <w:t xml:space="preserve"> </w:t>
      </w:r>
      <w:r>
        <w:t xml:space="preserve">“</w:t>
      </w:r>
      <w:r>
        <w:t xml:space="preserve">ī</w:t>
      </w:r>
      <w:r>
        <w:t xml:space="preserve">”</w:t>
      </w:r>
      <w:r>
        <w:t xml:space="preserve"> </w:t>
      </w:r>
      <w:r>
        <w:t xml:space="preserve">would again be required, and so</w:t>
      </w:r>
      <w:r>
        <w:t xml:space="preserve"> </w:t>
      </w:r>
      <w:r>
        <w:t xml:space="preserve">“</w:t>
      </w:r>
      <w:r>
        <w:t xml:space="preserve">vic</w:t>
      </w:r>
      <w:r>
        <w:t xml:space="preserve">”</w:t>
      </w:r>
      <w:r>
        <w:t xml:space="preserve"> </w:t>
      </w:r>
      <w:r>
        <w:t xml:space="preserve">is again assumed. Vārttikas of Kātyāyana (</w:t>
      </w:r>
      <w:r>
        <w:rPr>
          <w:bCs/>
          <w:b/>
        </w:rPr>
        <w:t xml:space="preserve">ईत्वे ह्वयतिप्रतिषेधो वक्तव्यः</w:t>
      </w:r>
      <w:r>
        <w:t xml:space="preserve"> </w:t>
      </w:r>
      <w:r>
        <w:t xml:space="preserve">[as I read it]) and the</w:t>
      </w:r>
      <w:r>
        <w:t xml:space="preserve"> </w:t>
      </w:r>
      <w:r>
        <w:rPr>
          <w:iCs/>
          <w:i/>
        </w:rPr>
        <w:t xml:space="preserve">Padamañjarī</w:t>
      </w:r>
      <w:r>
        <w:t xml:space="preserve"> </w:t>
      </w:r>
      <w:r>
        <w:t xml:space="preserve">are cited in support. The conclusion: in</w:t>
      </w:r>
      <w:r>
        <w:t xml:space="preserve"> </w:t>
      </w:r>
      <w:r>
        <w:t xml:space="preserve">“</w:t>
      </w:r>
      <w:r>
        <w:t xml:space="preserve">godāḥ</w:t>
      </w:r>
      <w:r>
        <w:t xml:space="preserve">”</w:t>
      </w:r>
      <w:r>
        <w:t xml:space="preserve"> </w:t>
      </w:r>
      <w:r>
        <w:t xml:space="preserve">the affix is</w:t>
      </w:r>
      <w:r>
        <w:t xml:space="preserve"> </w:t>
      </w:r>
      <w:r>
        <w:t xml:space="preserve">“</w:t>
      </w:r>
      <w:r>
        <w:t xml:space="preserve">vic</w:t>
      </w:r>
      <w:r>
        <w:t xml:space="preserve">”</w:t>
      </w:r>
      <w:r>
        <w:t xml:space="preserve"> </w:t>
      </w:r>
      <w:r>
        <w:t xml:space="preserve">(not</w:t>
      </w:r>
      <w:r>
        <w:t xml:space="preserve"> </w:t>
      </w:r>
      <w:r>
        <w:t xml:space="preserve">“</w:t>
      </w:r>
      <w:r>
        <w:t xml:space="preserve">kvip</w:t>
      </w:r>
      <w:r>
        <w:t xml:space="preserve">”</w:t>
      </w:r>
      <w:r>
        <w:t xml:space="preserve">) and no</w:t>
      </w:r>
      <w:r>
        <w:t xml:space="preserve"> </w:t>
      </w:r>
      <w:r>
        <w:t xml:space="preserve">“</w:t>
      </w:r>
      <w:r>
        <w:t xml:space="preserve">ī</w:t>
      </w:r>
      <w:r>
        <w:t xml:space="preserve">”</w:t>
      </w:r>
      <w:r>
        <w:t xml:space="preserve"> </w:t>
      </w:r>
      <w:r>
        <w:t xml:space="preserve">results. The debate is closed with a remark on the</w:t>
      </w:r>
      <w:r>
        <w:t xml:space="preserve"> </w:t>
      </w:r>
      <w:r>
        <w:t xml:space="preserve">“</w:t>
      </w:r>
      <w:r>
        <w:t xml:space="preserve">asiddha</w:t>
      </w:r>
      <w:r>
        <w:t xml:space="preserve">”</w:t>
      </w:r>
      <w:r>
        <w:t xml:space="preserve">/</w:t>
      </w:r>
      <w:r>
        <w:t xml:space="preserve">“</w:t>
      </w:r>
      <w:r>
        <w:t xml:space="preserve">samprasāraṇa</w:t>
      </w:r>
      <w:r>
        <w:t xml:space="preserve">”</w:t>
      </w:r>
      <w:r>
        <w:t xml:space="preserve"> </w:t>
      </w:r>
      <w:r>
        <w:t xml:space="preserve">rules, and on</w:t>
      </w:r>
      <w:r>
        <w:t xml:space="preserve"> </w:t>
      </w:r>
      <w:r>
        <w:t xml:space="preserve">“</w:t>
      </w:r>
      <w:r>
        <w:t xml:space="preserve">pratyayāpratyaya-sādhāraṇa</w:t>
      </w:r>
      <w:r>
        <w:t xml:space="preserve">”</w:t>
      </w:r>
      <w:r>
        <w:t xml:space="preserve"> </w:t>
      </w:r>
      <w:r>
        <w:t xml:space="preserve">operations (illustrated by</w:t>
      </w:r>
      <w:r>
        <w:t xml:space="preserve"> </w:t>
      </w:r>
      <w:r>
        <w:rPr>
          <w:bCs/>
          <w:b/>
        </w:rPr>
        <w:t xml:space="preserve">सोर्मनसी अलोमोषसी</w:t>
      </w:r>
      <w:r>
        <w:t xml:space="preserve">, पा. ६-२-१०२ [?], with</w:t>
      </w:r>
      <w:r>
        <w:t xml:space="preserve"> </w:t>
      </w:r>
      <w:r>
        <w:t xml:space="preserve">“</w:t>
      </w:r>
      <w:r>
        <w:t xml:space="preserve">sudṛṣat,</w:t>
      </w:r>
      <w:r>
        <w:t xml:space="preserve">”</w:t>
      </w:r>
      <w:r>
        <w:t xml:space="preserve"> </w:t>
      </w:r>
      <w:r>
        <w:t xml:space="preserve">“</w:t>
      </w:r>
      <w:r>
        <w:t xml:space="preserve">śobhanāḥ dṛṣadaḥ yasya prāsādasya</w:t>
      </w:r>
      <w:r>
        <w:t xml:space="preserve">”</w:t>
      </w:r>
      <w:r>
        <w:t xml:space="preserve">), which I do not reproduce.</w:t>
      </w:r>
    </w:p>
    <w:p>
      <w:pPr>
        <w:pStyle w:val="BodyText"/>
      </w:pPr>
      <w:r>
        <w:rPr>
          <w:bCs/>
          <w:b/>
        </w:rPr>
        <w:t xml:space="preserve">“</w:t>
      </w:r>
      <w:r>
        <w:rPr>
          <w:bCs/>
          <w:b/>
        </w:rPr>
        <w:t xml:space="preserve">Revataḥ</w:t>
      </w:r>
      <w:r>
        <w:rPr>
          <w:bCs/>
          <w:b/>
        </w:rPr>
        <w:t xml:space="preserve">”</w:t>
      </w:r>
      <w:r>
        <w:t xml:space="preserve"> </w:t>
      </w:r>
      <w:r>
        <w:rPr>
          <w:iCs/>
          <w:i/>
        </w:rPr>
        <w:t xml:space="preserve">(p. 99, end)</w:t>
      </w:r>
      <w:r>
        <w:t xml:space="preserve"> </w:t>
      </w:r>
      <w:r>
        <w:t xml:space="preserve">—</w:t>
      </w:r>
      <w:r>
        <w:t xml:space="preserve"> </w:t>
      </w:r>
      <w:r>
        <w:t xml:space="preserve">“</w:t>
      </w:r>
      <w:r>
        <w:t xml:space="preserve">rayiḥ asya asti iti revān</w:t>
      </w:r>
      <w:r>
        <w:t xml:space="preserve">”</w:t>
      </w:r>
      <w:r>
        <w:t xml:space="preserve">:</w:t>
      </w:r>
      <w:r>
        <w:t xml:space="preserve"> </w:t>
      </w:r>
      <w:r>
        <w:t xml:space="preserve">“</w:t>
      </w:r>
      <w:r>
        <w:t xml:space="preserve">matup</w:t>
      </w:r>
      <w:r>
        <w:t xml:space="preserve">”</w:t>
      </w:r>
      <w:r>
        <w:t xml:space="preserve"> </w:t>
      </w:r>
      <w:r>
        <w:t xml:space="preserve">after</w:t>
      </w:r>
      <w:r>
        <w:t xml:space="preserve"> </w:t>
      </w:r>
      <w:r>
        <w:t xml:space="preserve">“</w:t>
      </w:r>
      <w:r>
        <w:t xml:space="preserve">rayi</w:t>
      </w:r>
      <w:r>
        <w:t xml:space="preserve">”</w:t>
      </w:r>
      <w:r>
        <w:t xml:space="preserve"> </w:t>
      </w:r>
      <w:r>
        <w:t xml:space="preserve">(</w:t>
      </w:r>
      <w:r>
        <w:rPr>
          <w:bCs/>
          <w:b/>
        </w:rPr>
        <w:t xml:space="preserve">तदस्यास्त्यस्मिन्निति मतुप्</w:t>
      </w:r>
      <w:r>
        <w:t xml:space="preserve">, पा. ५-२-९४); the</w:t>
      </w:r>
      <w:r>
        <w:t xml:space="preserve"> </w:t>
      </w:r>
      <w:r>
        <w:t xml:space="preserve">“</w:t>
      </w:r>
      <w:r>
        <w:t xml:space="preserve">m</w:t>
      </w:r>
      <w:r>
        <w:t xml:space="preserve">”</w:t>
      </w:r>
      <w:r>
        <w:t xml:space="preserve"> </w:t>
      </w:r>
      <w:r>
        <w:t xml:space="preserve">becomes</w:t>
      </w:r>
      <w:r>
        <w:t xml:space="preserve"> </w:t>
      </w:r>
      <w:r>
        <w:t xml:space="preserve">“</w:t>
      </w:r>
      <w:r>
        <w:t xml:space="preserve">v</w:t>
      </w:r>
      <w:r>
        <w:t xml:space="preserve">”</w:t>
      </w:r>
      <w:r>
        <w:t xml:space="preserve"> </w:t>
      </w:r>
      <w:r>
        <w:t xml:space="preserve">by</w:t>
      </w:r>
      <w:r>
        <w:t xml:space="preserve"> </w:t>
      </w:r>
      <w:r>
        <w:rPr>
          <w:bCs/>
          <w:b/>
        </w:rPr>
        <w:t xml:space="preserve">छन्दसीरः</w:t>
      </w:r>
      <w:r>
        <w:t xml:space="preserve"> </w:t>
      </w:r>
      <w:r>
        <w:t xml:space="preserve">(पा. ८-२-१५), and by</w:t>
      </w:r>
      <w:r>
        <w:t xml:space="preserve"> </w:t>
      </w:r>
      <w:r>
        <w:rPr>
          <w:bCs/>
          <w:b/>
        </w:rPr>
        <w:t xml:space="preserve">रयेर्मतौ बहुलं छन्दसि</w:t>
      </w:r>
      <w:r>
        <w:t xml:space="preserve"> </w:t>
      </w:r>
      <w:r>
        <w:t xml:space="preserve">(पा. ६-१-३७) the</w:t>
      </w:r>
      <w:r>
        <w:t xml:space="preserve"> </w:t>
      </w:r>
      <w:r>
        <w:t xml:space="preserve">“</w:t>
      </w:r>
      <w:r>
        <w:t xml:space="preserve">samprasāraṇa</w:t>
      </w:r>
      <w:r>
        <w:t xml:space="preserve">”</w:t>
      </w:r>
      <w:r>
        <w:t xml:space="preserve"> </w:t>
      </w:r>
      <w:r>
        <w:t xml:space="preserve">of</w:t>
      </w:r>
      <w:r>
        <w:t xml:space="preserve"> </w:t>
      </w:r>
      <w:r>
        <w:t xml:space="preserve">“</w:t>
      </w:r>
      <w:r>
        <w:t xml:space="preserve">y</w:t>
      </w:r>
      <w:r>
        <w:t xml:space="preserve">”</w:t>
      </w:r>
      <w:r>
        <w:t xml:space="preserve"> </w:t>
      </w:r>
      <w:r>
        <w:t xml:space="preserve">(to</w:t>
      </w:r>
      <w:r>
        <w:t xml:space="preserve"> </w:t>
      </w:r>
      <w:r>
        <w:t xml:space="preserve">“</w:t>
      </w:r>
      <w:r>
        <w:t xml:space="preserve">i</w:t>
      </w:r>
      <w:r>
        <w:t xml:space="preserve">”</w:t>
      </w:r>
      <w:r>
        <w:t xml:space="preserve">) is variably made in the Veda:</w:t>
      </w:r>
      <w:r>
        <w:t xml:space="preserve"> </w:t>
      </w:r>
      <w:r>
        <w:t xml:space="preserve">“</w:t>
      </w:r>
      <w:r>
        <w:t xml:space="preserve">rayi + vat</w:t>
      </w:r>
      <w:r>
        <w:t xml:space="preserve">”</w:t>
      </w:r>
      <w:r>
        <w:t xml:space="preserve"> </w:t>
      </w:r>
      <w:r>
        <w:t xml:space="preserve">→</w:t>
      </w:r>
      <w:r>
        <w:t xml:space="preserve"> </w:t>
      </w:r>
      <w:r>
        <w:t xml:space="preserve">“</w:t>
      </w:r>
      <w:r>
        <w:t xml:space="preserve">revat</w:t>
      </w:r>
      <w:r>
        <w:t xml:space="preserve">”</w:t>
      </w:r>
      <w:r>
        <w:t xml:space="preserve"> </w:t>
      </w:r>
      <w:r>
        <w:t xml:space="preserve">(the</w:t>
      </w:r>
      <w:r>
        <w:t xml:space="preserve"> </w:t>
      </w:r>
      <w:r>
        <w:t xml:space="preserve">“</w:t>
      </w:r>
      <w:r>
        <w:t xml:space="preserve">ay</w:t>
      </w:r>
      <w:r>
        <w:t xml:space="preserve">”</w:t>
      </w:r>
      <w:r>
        <w:t xml:space="preserve"> </w:t>
      </w:r>
      <w:r>
        <w:t xml:space="preserve">becoming</w:t>
      </w:r>
      <w:r>
        <w:t xml:space="preserve"> </w:t>
      </w:r>
      <w:r>
        <w:t xml:space="preserve">“</w:t>
      </w:r>
      <w:r>
        <w:t xml:space="preserve">e</w:t>
      </w:r>
      <w:r>
        <w:t xml:space="preserve">”</w:t>
      </w:r>
      <w:r>
        <w:t xml:space="preserve"> </w:t>
      </w:r>
      <w:r>
        <w:t xml:space="preserve">by guṇa:</w:t>
      </w:r>
      <w:r>
        <w:t xml:space="preserve"> </w:t>
      </w:r>
      <w:r>
        <w:rPr>
          <w:bCs/>
          <w:b/>
        </w:rPr>
        <w:t xml:space="preserve">आद्गुणः</w:t>
      </w:r>
      <w:r>
        <w:t xml:space="preserve">, पा. ६-१-८७, after the</w:t>
      </w:r>
      <w:r>
        <w:t xml:space="preserve"> </w:t>
      </w:r>
      <w:r>
        <w:t xml:space="preserve">“</w:t>
      </w:r>
      <w:r>
        <w:t xml:space="preserve">pūrvarūpa</w:t>
      </w:r>
      <w:r>
        <w:t xml:space="preserve">”</w:t>
      </w:r>
      <w:r>
        <w:t xml:space="preserve"> </w:t>
      </w:r>
      <w:r>
        <w:t xml:space="preserve">of</w:t>
      </w:r>
      <w:r>
        <w:t xml:space="preserve"> </w:t>
      </w:r>
      <w:r>
        <w:rPr>
          <w:bCs/>
          <w:b/>
        </w:rPr>
        <w:t xml:space="preserve">संप्रसारणाच्च</w:t>
      </w:r>
      <w:r>
        <w:t xml:space="preserve">, पा. ६-१-१०८); the nominative singular</w:t>
      </w:r>
      <w:r>
        <w:t xml:space="preserve"> </w:t>
      </w:r>
      <w:r>
        <w:t xml:space="preserve">“</w:t>
      </w:r>
      <w:r>
        <w:t xml:space="preserve">revān</w:t>
      </w:r>
      <w:r>
        <w:t xml:space="preserve">”</w:t>
      </w:r>
      <w:r>
        <w:t xml:space="preserve">; the</w:t>
      </w:r>
      <w:r>
        <w:t xml:space="preserve"> </w:t>
      </w:r>
      <w:r>
        <w:t xml:space="preserve">“</w:t>
      </w:r>
      <w:r>
        <w:t xml:space="preserve">matup</w:t>
      </w:r>
      <w:r>
        <w:t xml:space="preserve">”</w:t>
      </w:r>
      <w:r>
        <w:t xml:space="preserve"> </w:t>
      </w:r>
      <w:r>
        <w:t xml:space="preserve">is acute by</w:t>
      </w:r>
      <w:r>
        <w:t xml:space="preserve"> </w:t>
      </w:r>
      <w:r>
        <w:rPr>
          <w:bCs/>
          <w:b/>
        </w:rPr>
        <w:t xml:space="preserve">ह्रस्वनुड्भ्यां मतुप्</w:t>
      </w:r>
      <w:r>
        <w:t xml:space="preserve"> </w:t>
      </w:r>
      <w:r>
        <w:t xml:space="preserve">(पा. ६-१-१७६) (the print says</w:t>
      </w:r>
      <w:r>
        <w:t xml:space="preserve"> </w:t>
      </w:r>
      <w:r>
        <w:t xml:space="preserve">“</w:t>
      </w:r>
      <w:r>
        <w:t xml:space="preserve">the acute when the preceding short vowel has the udātta</w:t>
      </w:r>
      <w:r>
        <w:t xml:space="preserve">”</w:t>
      </w:r>
      <w:r>
        <w:t xml:space="preserve">) …</w:t>
      </w:r>
      <w:r>
        <w:t xml:space="preserve"> </w:t>
      </w:r>
      <w:r>
        <w:rPr>
          <w:iCs/>
          <w:i/>
        </w:rPr>
        <w:t xml:space="preserve">(continues on the next page)</w:t>
      </w:r>
    </w:p>
    <w:p>
      <w:pPr>
        <w:pStyle w:val="BodyText"/>
      </w:pPr>
      <w:r>
        <w:rPr>
          <w:iCs/>
          <w:i/>
        </w:rPr>
        <w:t xml:space="preserve">(Printed references in the grammar of pp. 98–99, in order: Pā. 6-4-66; 1-1-62; 7-3-92; 6-1-37; 6-2-117; then (p. 99) 5-2-94; 8-2-15; 6-1 vā. 6; 6-1-108; 6-1-87; 6-1-166 (Oct 2026 numeral pass).)</w:t>
      </w:r>
    </w:p>
    <w:bookmarkEnd w:id="127"/>
    <w:bookmarkStart w:id="128" w:name="Xa6bcde02275175ea5144c49a55d750a219a0e49"/>
    <w:p>
      <w:pPr>
        <w:pStyle w:val="Heading3"/>
      </w:pPr>
      <w:r>
        <w:t xml:space="preserve">Page 100 — Rik 4.2 grammar concluded; Sūkta 4, Third Mantra: Saṃhitā, Pada, Sāyaṇa-bhāṣya (opening)</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4.</w:t>
      </w:r>
      <w:r>
        <w:rPr>
          <w:iCs/>
          <w:i/>
        </w:rPr>
        <w:t xml:space="preserve">”</w:t>
      </w:r>
      <w:r>
        <w:rPr>
          <w:iCs/>
          <w:i/>
        </w:rPr>
        <w:t xml:space="preserve"> </w:t>
      </w:r>
      <w:r>
        <w:rPr>
          <w:iCs/>
          <w:i/>
        </w:rPr>
        <w:t xml:space="preserve">Saṃhitā accents as printed; Pada unaccented. Sanskrit printed in Kannada script; [?] where unclear.)</w:t>
      </w:r>
    </w:p>
    <w:p>
      <w:pPr>
        <w:pStyle w:val="BodyText"/>
      </w:pPr>
      <w:r>
        <w:rPr>
          <w:iCs/>
          <w:i/>
        </w:rPr>
        <w:t xml:space="preserve">(Continuing</w:t>
      </w:r>
      <w:r>
        <w:rPr>
          <w:iCs/>
          <w:i/>
        </w:rPr>
        <w:t xml:space="preserve"> </w:t>
      </w:r>
      <w:r>
        <w:rPr>
          <w:iCs/>
          <w:i/>
        </w:rPr>
        <w:t xml:space="preserve">“</w:t>
      </w:r>
      <w:r>
        <w:rPr>
          <w:iCs/>
          <w:i/>
        </w:rPr>
        <w:t xml:space="preserve">revataḥ</w:t>
      </w:r>
      <w:r>
        <w:rPr>
          <w:iCs/>
          <w:i/>
        </w:rPr>
        <w:t xml:space="preserve">”</w:t>
      </w:r>
      <w:r>
        <w:rPr>
          <w:iCs/>
          <w:i/>
        </w:rPr>
        <w:t xml:space="preserve"> </w:t>
      </w:r>
      <w:r>
        <w:rPr>
          <w:iCs/>
          <w:i/>
        </w:rPr>
        <w:t xml:space="preserve">from p. 99:)</w:t>
      </w:r>
      <w:r>
        <w:t xml:space="preserve"> </w:t>
      </w:r>
      <w:r>
        <w:t xml:space="preserve">…the</w:t>
      </w:r>
      <w:r>
        <w:t xml:space="preserve"> </w:t>
      </w:r>
      <w:r>
        <w:t xml:space="preserve">“</w:t>
      </w:r>
      <w:r>
        <w:t xml:space="preserve">matup</w:t>
      </w:r>
      <w:r>
        <w:t xml:space="preserve">”</w:t>
      </w:r>
      <w:r>
        <w:t xml:space="preserve"> </w:t>
      </w:r>
      <w:r>
        <w:t xml:space="preserve">is acute as following a word-final short vowel or the augment</w:t>
      </w:r>
      <w:r>
        <w:t xml:space="preserve"> </w:t>
      </w:r>
      <w:r>
        <w:t xml:space="preserve">“</w:t>
      </w:r>
      <w:r>
        <w:t xml:space="preserve">nuṭ</w:t>
      </w:r>
      <w:r>
        <w:t xml:space="preserve">”</w:t>
      </w:r>
      <w:r>
        <w:t xml:space="preserve"> </w:t>
      </w:r>
      <w:r>
        <w:t xml:space="preserve">(</w:t>
      </w:r>
      <w:r>
        <w:rPr>
          <w:bCs/>
          <w:b/>
        </w:rPr>
        <w:t xml:space="preserve">ह्रस्वनुड्भ्यां मतुप्</w:t>
      </w:r>
      <w:r>
        <w:t xml:space="preserve">, पा. ६-१-१७६).</w:t>
      </w:r>
      <w:r>
        <w:t xml:space="preserve"> </w:t>
      </w:r>
      <w:r>
        <w:rPr>
          <w:bCs/>
          <w:b/>
        </w:rPr>
        <w:t xml:space="preserve">“</w:t>
      </w:r>
      <w:r>
        <w:rPr>
          <w:bCs/>
          <w:b/>
        </w:rPr>
        <w:t xml:space="preserve">Madaḥ</w:t>
      </w:r>
      <w:r>
        <w:rPr>
          <w:bCs/>
          <w:b/>
        </w:rPr>
        <w:t xml:space="preserve">”</w:t>
      </w:r>
      <w:r>
        <w:t xml:space="preserve"> </w:t>
      </w:r>
      <w:r>
        <w:t xml:space="preserve">—</w:t>
      </w:r>
      <w:r>
        <w:t xml:space="preserve"> </w:t>
      </w:r>
      <w:r>
        <w:t xml:space="preserve">“</w:t>
      </w:r>
      <w:r>
        <w:t xml:space="preserve">mad</w:t>
      </w:r>
      <w:r>
        <w:t xml:space="preserve">”</w:t>
      </w:r>
      <w:r>
        <w:t xml:space="preserve"> </w:t>
      </w:r>
      <w:r>
        <w:t xml:space="preserve">(to be glad) with</w:t>
      </w:r>
      <w:r>
        <w:t xml:space="preserve"> </w:t>
      </w:r>
      <w:r>
        <w:t xml:space="preserve">“</w:t>
      </w:r>
      <w:r>
        <w:t xml:space="preserve">ap</w:t>
      </w:r>
      <w:r>
        <w:t xml:space="preserve">”</w:t>
      </w:r>
      <w:r>
        <w:t xml:space="preserve"> </w:t>
      </w:r>
      <w:r>
        <w:t xml:space="preserve">(</w:t>
      </w:r>
      <w:r>
        <w:rPr>
          <w:bCs/>
          <w:b/>
        </w:rPr>
        <w:t xml:space="preserve">मदोऽनुपसर्गे</w:t>
      </w:r>
      <w:r>
        <w:t xml:space="preserve">, पा. ३-३-६७): when a subanta (not an upasarga) stands as upapada before the root</w:t>
      </w:r>
      <w:r>
        <w:t xml:space="preserve"> </w:t>
      </w:r>
      <w:r>
        <w:t xml:space="preserve">“</w:t>
      </w:r>
      <w:r>
        <w:t xml:space="preserve">mad,</w:t>
      </w:r>
      <w:r>
        <w:t xml:space="preserve">”</w:t>
      </w:r>
      <w:r>
        <w:t xml:space="preserve"> </w:t>
      </w:r>
      <w:r>
        <w:t xml:space="preserve">“</w:t>
      </w:r>
      <w:r>
        <w:t xml:space="preserve">ap</w:t>
      </w:r>
      <w:r>
        <w:t xml:space="preserve">”</w:t>
      </w:r>
      <w:r>
        <w:t xml:space="preserve"> </w:t>
      </w:r>
      <w:r>
        <w:t xml:space="preserve">comes; being</w:t>
      </w:r>
      <w:r>
        <w:t xml:space="preserve"> </w:t>
      </w:r>
      <w:r>
        <w:t xml:space="preserve">“</w:t>
      </w:r>
      <w:r>
        <w:t xml:space="preserve">p</w:t>
      </w:r>
      <w:r>
        <w:t xml:space="preserve">”</w:t>
      </w:r>
      <w:r>
        <w:t xml:space="preserve">-marked it is unaccented. ॥२॥</w:t>
      </w:r>
    </w:p>
    <w:p>
      <w:r>
        <w:pict>
          <v:rect style="width:0;height:1.5pt" o:hralign="center" o:hrstd="t" o:hr="t"/>
        </w:pict>
      </w:r>
    </w:p>
    <w:bookmarkEnd w:id="128"/>
    <w:bookmarkStart w:id="129" w:name="sūkta-4-the-third-mantra"/>
    <w:p>
      <w:pPr>
        <w:pStyle w:val="Heading3"/>
      </w:pPr>
      <w:r>
        <w:t xml:space="preserve">Sūkta 4, The Third Mantra</w:t>
      </w:r>
    </w:p>
    <w:p>
      <w:pPr>
        <w:pStyle w:val="FirstParagraph"/>
      </w:pPr>
      <w:r>
        <w:rPr>
          <w:bCs/>
          <w:b/>
        </w:rPr>
        <w:t xml:space="preserve">॥ Saṃhitā-pāṭhaḥ ॥</w:t>
      </w:r>
    </w:p>
    <w:p>
      <w:pPr>
        <w:pStyle w:val="BlockText"/>
      </w:pPr>
      <w:r>
        <w:t xml:space="preserve">अथा॑ ते॒ अंत॑मानां वि॒द्याम॑ सुमती॒नां ।</w:t>
      </w:r>
      <w:r>
        <w:t xml:space="preserve"> </w:t>
      </w:r>
      <w:r>
        <w:t xml:space="preserve">मा नो॒ अति॑ ख्य॒ आ ग॑हि ॥३॥</w:t>
      </w:r>
    </w:p>
    <w:p>
      <w:pPr>
        <w:pStyle w:val="BlockText"/>
      </w:pPr>
      <w:r>
        <w:rPr>
          <w:iCs/>
          <w:i/>
        </w:rPr>
        <w:t xml:space="preserve">áthā te áṃtamānāṃ vidyā́ma sumatīnā́ṃ |</w:t>
      </w:r>
      <w:r>
        <w:t xml:space="preserve"> </w:t>
      </w:r>
      <w:r>
        <w:rPr>
          <w:iCs/>
          <w:i/>
        </w:rPr>
        <w:t xml:space="preserve">mā no áti khya ā́ gahi ||3||</w:t>
      </w:r>
    </w:p>
    <w:p>
      <w:pPr>
        <w:pStyle w:val="FirstParagraph"/>
      </w:pPr>
      <w:r>
        <w:rPr>
          <w:bCs/>
          <w:b/>
        </w:rPr>
        <w:t xml:space="preserve">॥ Pada-pāṭhaḥ ॥</w:t>
      </w:r>
    </w:p>
    <w:p>
      <w:pPr>
        <w:pStyle w:val="BlockText"/>
      </w:pPr>
      <w:r>
        <w:t xml:space="preserve">अथ । ते । अन्तमानाम् । विद्याम । सुऽमतीनाम् ।</w:t>
      </w:r>
      <w:r>
        <w:t xml:space="preserve"> </w:t>
      </w:r>
      <w:r>
        <w:t xml:space="preserve">मा । नः । अति । ख्यः । आ । गहि ॥३॥</w:t>
      </w:r>
    </w:p>
    <w:p>
      <w:pPr>
        <w:pStyle w:val="FirstParagraph"/>
      </w:pPr>
      <w:r>
        <w:rPr>
          <w:bCs/>
          <w:b/>
        </w:rPr>
        <w:t xml:space="preserve">॥ Sāyaṇa-bhāṣyam ॥</w:t>
      </w:r>
    </w:p>
    <w:p>
      <w:pPr>
        <w:pStyle w:val="BlockText"/>
      </w:pPr>
      <w:r>
        <w:t xml:space="preserve">अथ सोमपानानन्तरं हे इन्द्र ते तवान्तमानामन्तिकतमानामतिशयेन समीपवर्तिनां सुमतीनां शोभनमतियुक्तानां शोभनप्रज्ञानां पुरुषाणां मध्ये स्थित्वा विद्याम । वयं त्वां जानीयाम । यद्वा । सुमतीनां शोभनबुद्धीनां कर्मानुष्ठानविषयाणां लाभार्थमित्यध्याहारः । बुद्धिलाभाय त्वां स्मरेमेत्यर्थः । त्वमपि नोऽस्मानतिक्रम्यान्येषां त्वत्स्वरूपं मा प्रकथय । किंतु त्वा गह्यस्मानेवागच्छ ।</w:t>
      </w:r>
      <w:r>
        <w:t xml:space="preserve"> </w:t>
      </w:r>
      <w:r>
        <w:rPr>
          <w:iCs/>
          <w:i/>
        </w:rPr>
        <w:t xml:space="preserve">atha somapānānantaraṃ he indra te tavāntamānām antikatamānām atiśayena samīpa-vartināṃ sumatīnāṃ śobhana-mati-yuktānāṃ śobhana-prajñānāṃ puruṣāṇāṃ madhye sthitvā vidyāma | vayaṃ tvāṃ jānīyāma | yadvā | sumatīnāṃ śobhana-buddhīnāṃ karmānuṣṭhāna-viṣayāṇāṃ lābhārtham ity adhyāhāraḥ | buddhi-lābhāya tvāṃ smarema ity arthaḥ | tvam api no ’smān atikramyānyeṣāṃ tvat-svarūpaṃ mā prakathaya | kiṃ tu tvā [print;</w:t>
      </w:r>
      <w:r>
        <w:rPr>
          <w:iCs/>
          <w:i/>
        </w:rPr>
        <w:t xml:space="preserve"> </w:t>
      </w:r>
      <w:r>
        <w:rPr>
          <w:iCs/>
          <w:i/>
        </w:rPr>
        <w:t xml:space="preserve">“</w:t>
      </w:r>
      <w:r>
        <w:rPr>
          <w:iCs/>
          <w:i/>
        </w:rPr>
        <w:t xml:space="preserve">tvam</w:t>
      </w:r>
      <w:r>
        <w:rPr>
          <w:iCs/>
          <w:i/>
        </w:rPr>
        <w:t xml:space="preserve">”</w:t>
      </w:r>
      <w:r>
        <w:rPr>
          <w:iCs/>
          <w:i/>
        </w:rPr>
        <w:t xml:space="preserve">?] gahy asmān evāgaccha |</w:t>
      </w:r>
    </w:p>
    <w:p>
      <w:pPr>
        <w:pStyle w:val="FirstParagraph"/>
      </w:pPr>
      <w:r>
        <w:rPr>
          <w:bCs/>
          <w:b/>
        </w:rPr>
        <w:t xml:space="preserve">Translation:</w:t>
      </w:r>
      <w:r>
        <w:t xml:space="preserve"> </w:t>
      </w:r>
      <w:r>
        <w:t xml:space="preserve">“</w:t>
      </w:r>
      <w:r>
        <w:t xml:space="preserve">‘</w:t>
      </w:r>
      <w:r>
        <w:t xml:space="preserve">Atha</w:t>
      </w:r>
      <w:r>
        <w:t xml:space="preserve">’</w:t>
      </w:r>
      <w:r>
        <w:t xml:space="preserve"> </w:t>
      </w:r>
      <w:r>
        <w:t xml:space="preserve">— after the drinking of the Soma —</w:t>
      </w:r>
      <w:r>
        <w:t xml:space="preserve"> </w:t>
      </w:r>
      <w:r>
        <w:t xml:space="preserve">‘</w:t>
      </w:r>
      <w:r>
        <w:t xml:space="preserve">O Indra, te</w:t>
      </w:r>
      <w:r>
        <w:t xml:space="preserve">’</w:t>
      </w:r>
      <w:r>
        <w:t xml:space="preserve"> </w:t>
      </w:r>
      <w:r>
        <w:t xml:space="preserve">— of you;</w:t>
      </w:r>
      <w:r>
        <w:t xml:space="preserve"> </w:t>
      </w:r>
      <w:r>
        <w:t xml:space="preserve">‘</w:t>
      </w:r>
      <w:r>
        <w:t xml:space="preserve">antamānām</w:t>
      </w:r>
      <w:r>
        <w:t xml:space="preserve">’</w:t>
      </w:r>
      <w:r>
        <w:t xml:space="preserve"> </w:t>
      </w:r>
      <w:r>
        <w:t xml:space="preserve">— of those nearest, those who stand exceedingly close;</w:t>
      </w:r>
      <w:r>
        <w:t xml:space="preserve"> </w:t>
      </w:r>
      <w:r>
        <w:t xml:space="preserve">‘</w:t>
      </w:r>
      <w:r>
        <w:t xml:space="preserve">sumatīnām</w:t>
      </w:r>
      <w:r>
        <w:t xml:space="preserve">’</w:t>
      </w:r>
      <w:r>
        <w:t xml:space="preserve"> </w:t>
      </w:r>
      <w:r>
        <w:t xml:space="preserve">— of men of good understanding, of good wisdom — standing in the midst of them,</w:t>
      </w:r>
      <w:r>
        <w:t xml:space="preserve"> </w:t>
      </w:r>
      <w:r>
        <w:t xml:space="preserve">‘</w:t>
      </w:r>
      <w:r>
        <w:t xml:space="preserve">vidyāma</w:t>
      </w:r>
      <w:r>
        <w:t xml:space="preserve">’</w:t>
      </w:r>
      <w:r>
        <w:t xml:space="preserve"> </w:t>
      </w:r>
      <w:r>
        <w:t xml:space="preserve">— we would know you. Or:</w:t>
      </w:r>
      <w:r>
        <w:t xml:space="preserve"> </w:t>
      </w:r>
      <w:r>
        <w:t xml:space="preserve">‘</w:t>
      </w:r>
      <w:r>
        <w:t xml:space="preserve">sumatīnām</w:t>
      </w:r>
      <w:r>
        <w:t xml:space="preserve">’</w:t>
      </w:r>
      <w:r>
        <w:t xml:space="preserve"> </w:t>
      </w:r>
      <w:r>
        <w:t xml:space="preserve">—</w:t>
      </w:r>
      <w:r>
        <w:t xml:space="preserve"> </w:t>
      </w:r>
      <w:r>
        <w:t xml:space="preserve">‘</w:t>
      </w:r>
      <w:r>
        <w:t xml:space="preserve">of good understanding</w:t>
      </w:r>
      <w:r>
        <w:t xml:space="preserve">’</w:t>
      </w:r>
      <w:r>
        <w:t xml:space="preserve"> </w:t>
      </w:r>
      <w:r>
        <w:t xml:space="preserve">— the supplied sense is</w:t>
      </w:r>
      <w:r>
        <w:t xml:space="preserve"> </w:t>
      </w:r>
      <w:r>
        <w:t xml:space="preserve">‘</w:t>
      </w:r>
      <w:r>
        <w:t xml:space="preserve">for the obtaining of understanding for those engaged in the performance of rites</w:t>
      </w:r>
      <w:r>
        <w:t xml:space="preserve">’</w:t>
      </w:r>
      <w:r>
        <w:t xml:space="preserve">; that is,</w:t>
      </w:r>
      <w:r>
        <w:t xml:space="preserve"> </w:t>
      </w:r>
      <w:r>
        <w:t xml:space="preserve">‘</w:t>
      </w:r>
      <w:r>
        <w:t xml:space="preserve">we would remember you for the gaining of understanding.</w:t>
      </w:r>
      <w:r>
        <w:t xml:space="preserve">’</w:t>
      </w:r>
      <w:r>
        <w:t xml:space="preserve"> </w:t>
      </w:r>
      <w:r>
        <w:t xml:space="preserve">And you, passing us over, do not declare your own form to others; but come to us (</w:t>
      </w:r>
      <w:r>
        <w:t xml:space="preserve">‘</w:t>
      </w:r>
      <w:r>
        <w:t xml:space="preserve">ā gahi</w:t>
      </w:r>
      <w:r>
        <w:t xml:space="preserve">’</w:t>
      </w:r>
      <w:r>
        <w:t xml:space="preserve">).</w:t>
      </w:r>
      <w:r>
        <w:t xml:space="preserve">”</w:t>
      </w:r>
      <w:r>
        <w:t xml:space="preserve"> </w:t>
      </w:r>
      <w:r>
        <w:rPr>
          <w:iCs/>
          <w:i/>
        </w:rPr>
        <w:t xml:space="preserve">(The print’s</w:t>
      </w:r>
      <w:r>
        <w:rPr>
          <w:iCs/>
          <w:i/>
        </w:rPr>
        <w:t xml:space="preserve"> </w:t>
      </w:r>
      <w:r>
        <w:rPr>
          <w:iCs/>
          <w:i/>
        </w:rPr>
        <w:t xml:space="preserve">“</w:t>
      </w:r>
      <w:r>
        <w:rPr>
          <w:iCs/>
          <w:i/>
        </w:rPr>
        <w:t xml:space="preserve">tvā gahy</w:t>
      </w:r>
      <w:r>
        <w:rPr>
          <w:iCs/>
          <w:i/>
        </w:rPr>
        <w:t xml:space="preserve">”</w:t>
      </w:r>
      <w:r>
        <w:rPr>
          <w:iCs/>
          <w:i/>
        </w:rPr>
        <w:t xml:space="preserve"> </w:t>
      </w:r>
      <w:r>
        <w:rPr>
          <w:iCs/>
          <w:i/>
        </w:rPr>
        <w:t xml:space="preserve">is read as the sentence</w:t>
      </w:r>
      <w:r>
        <w:rPr>
          <w:iCs/>
          <w:i/>
        </w:rPr>
        <w:t xml:space="preserve"> </w:t>
      </w:r>
      <w:r>
        <w:rPr>
          <w:iCs/>
          <w:i/>
        </w:rPr>
        <w:t xml:space="preserve">“</w:t>
      </w:r>
      <w:r>
        <w:rPr>
          <w:iCs/>
          <w:i/>
        </w:rPr>
        <w:t xml:space="preserve">kiṃ tu … gahi — come to us alone</w:t>
      </w:r>
      <w:r>
        <w:rPr>
          <w:iCs/>
          <w:i/>
        </w:rPr>
        <w:t xml:space="preserve">”</w:t>
      </w:r>
      <w:r>
        <w:rPr>
          <w:iCs/>
          <w:i/>
        </w:rPr>
        <w:t xml:space="preserve">; the second word of the clause is slightly unclear to me, and I give it as printed with the sense the Kannada gives.)</w:t>
      </w:r>
    </w:p>
    <w:p>
      <w:pPr>
        <w:pStyle w:val="BlockText"/>
      </w:pPr>
      <w:r>
        <w:t xml:space="preserve">अथेति निपात आद्युदात्तः । निपातस्य चेति दीर्घत्वम् । अन्तमानाम् । अतिशयेनान्तिका इत्यतिशायने तमप् । पा. ५-३-५५ । तमो तादेशश्च । पा. ६-४-१५४-९ । इति तादिलोपः । अन्तोऽस्यास्तीत्यन्तिकः समीपः । अत इनिठनाविति ठन् । नित्त्वादाद्युदात्तः । दूरोत्कर्षस्य ह्यवसानं नास्ति । सामीप्योत्कर्षस्य पुनर्यो यस्य समीपः स एव तस्यान्त इत्यन्तवत्त्वात्सामीप्यमन्तिकमुच्यते । विद्याम । वेत्तेर्लिङ् । यासुट् परस्मैपदेषूदात्तो ङिच्च । पा. ३-४-१०३ । इति यासुडुदात्तः । पादादित्वात्तिङ्ङतिङ इति न निघातः । सुमतीनाम् । मतिशब्दे क्तिन्नन्तेऽपि मन्त्रे वृषेषपचमनविदभूवीरा उदात्तः । पा. ३-३-९६ ।</w:t>
      </w:r>
      <w:r>
        <w:t xml:space="preserve"> </w:t>
      </w:r>
      <w:r>
        <w:rPr>
          <w:iCs/>
          <w:i/>
        </w:rPr>
        <w:t xml:space="preserve">athety nipāta ādyudāttaḥ | nipātasya ceti dīrghatvam | antamānām | atiśayenāntikā ity atiśāyane tamap | pā. 5-3-55 | tamo tādeśaś ca | pā. 6-4-154-9 | iti tādi-lopaḥ | anto ’syāstīty antikaḥ samīpaḥ | ata inithanāv iti ṭhan | nittvād ādyudāttaḥ | dūrotkarṣasya hy avasānaṃ nāsti | sāmīpyotkarṣasya punar yo yasya samīpaḥ sa eva tasyānta ity antavattvāt sāmīpyam antikam ucyate | vidyāma | vetter liṅ | yāsuṭ parasmaipadeṣūdātto ṅicca | pā. 3-4-103 | iti yāsuḍ udāttaḥ | pādāditvāt tiṅ atiṅa iti na nighātaḥ | sumatīnām | matiśabde ktinnante ’pi mantre vṛṣeṣapacamanavidabhūvīrā udāttaḥ | pā. 3-3-96 |</w:t>
      </w:r>
    </w:p>
    <w:p>
      <w:pPr>
        <w:pStyle w:val="FirstParagraph"/>
      </w:pPr>
      <w:r>
        <w:rPr>
          <w:bCs/>
          <w:b/>
        </w:rPr>
        <w:t xml:space="preserve">Translation (of the grammar, in outline, with its sūtras):</w:t>
      </w:r>
      <w:r>
        <w:t xml:space="preserve"> </w:t>
      </w:r>
      <w:r>
        <w:t xml:space="preserve">“</w:t>
      </w:r>
      <w:r>
        <w:t xml:space="preserve">‘</w:t>
      </w:r>
      <w:r>
        <w:t xml:space="preserve">Atha</w:t>
      </w:r>
      <w:r>
        <w:t xml:space="preserve">’</w:t>
      </w:r>
      <w:r>
        <w:t xml:space="preserve"> </w:t>
      </w:r>
      <w:r>
        <w:t xml:space="preserve">— a particle, hence first-syllable acute; by</w:t>
      </w:r>
      <w:r>
        <w:t xml:space="preserve"> </w:t>
      </w:r>
      <w:r>
        <w:rPr>
          <w:bCs/>
          <w:b/>
        </w:rPr>
        <w:t xml:space="preserve">निपातस्य च</w:t>
      </w:r>
      <w:r>
        <w:t xml:space="preserve"> </w:t>
      </w:r>
      <w:r>
        <w:t xml:space="preserve">(पा. ६-३-१३६) the lengthening in</w:t>
      </w:r>
      <w:r>
        <w:t xml:space="preserve"> </w:t>
      </w:r>
      <w:r>
        <w:t xml:space="preserve">‘</w:t>
      </w:r>
      <w:r>
        <w:t xml:space="preserve">athā.</w:t>
      </w:r>
      <w:r>
        <w:t xml:space="preserve">’</w:t>
      </w:r>
      <w:r>
        <w:t xml:space="preserve"> </w:t>
      </w:r>
      <w:r>
        <w:t xml:space="preserve">‘</w:t>
      </w:r>
      <w:r>
        <w:t xml:space="preserve">Antamānām</w:t>
      </w:r>
      <w:r>
        <w:t xml:space="preserve">’</w:t>
      </w:r>
      <w:r>
        <w:t xml:space="preserve"> </w:t>
      </w:r>
      <w:r>
        <w:t xml:space="preserve">—</w:t>
      </w:r>
      <w:r>
        <w:t xml:space="preserve"> </w:t>
      </w:r>
      <w:r>
        <w:t xml:space="preserve">‘</w:t>
      </w:r>
      <w:r>
        <w:t xml:space="preserve">atiśayena antikāḥ</w:t>
      </w:r>
      <w:r>
        <w:t xml:space="preserve">’</w:t>
      </w:r>
      <w:r>
        <w:t xml:space="preserve">: the affix</w:t>
      </w:r>
      <w:r>
        <w:t xml:space="preserve"> </w:t>
      </w:r>
      <w:r>
        <w:t xml:space="preserve">‘</w:t>
      </w:r>
      <w:r>
        <w:t xml:space="preserve">tamap</w:t>
      </w:r>
      <w:r>
        <w:t xml:space="preserve">’</w:t>
      </w:r>
      <w:r>
        <w:t xml:space="preserve"> </w:t>
      </w:r>
      <w:r>
        <w:t xml:space="preserve">in the sense of excess (</w:t>
      </w:r>
      <w:r>
        <w:rPr>
          <w:bCs/>
          <w:b/>
        </w:rPr>
        <w:t xml:space="preserve">अतिशायने तमबिष्ठनौ</w:t>
      </w:r>
      <w:r>
        <w:t xml:space="preserve">, पा. ५-३-५५), with the replacement of the</w:t>
      </w:r>
      <w:r>
        <w:t xml:space="preserve"> </w:t>
      </w:r>
      <w:r>
        <w:t xml:space="preserve">‘</w:t>
      </w:r>
      <w:r>
        <w:t xml:space="preserve">ti</w:t>
      </w:r>
      <w:r>
        <w:t xml:space="preserve">’</w:t>
      </w:r>
      <w:r>
        <w:t xml:space="preserve">-portion (</w:t>
      </w:r>
      <w:r>
        <w:rPr>
          <w:bCs/>
          <w:b/>
        </w:rPr>
        <w:t xml:space="preserve">तिल्लोपः</w:t>
      </w:r>
      <w:r>
        <w:t xml:space="preserve"> </w:t>
      </w:r>
      <w:r>
        <w:t xml:space="preserve">as printed,</w:t>
      </w:r>
      <w:r>
        <w:t xml:space="preserve">”</w:t>
      </w:r>
      <w:r>
        <w:t xml:space="preserve">tādi-lopaḥ”) —</w:t>
      </w:r>
      <w:r>
        <w:t xml:space="preserve"> </w:t>
      </w:r>
      <w:r>
        <w:t xml:space="preserve">‘</w:t>
      </w:r>
      <w:r>
        <w:t xml:space="preserve">anto ’syāstīti antikaḥ</w:t>
      </w:r>
      <w:r>
        <w:t xml:space="preserve">’</w:t>
      </w:r>
      <w:r>
        <w:t xml:space="preserve"> </w:t>
      </w:r>
      <w:r>
        <w:t xml:space="preserve">—</w:t>
      </w:r>
      <w:r>
        <w:t xml:space="preserve"> </w:t>
      </w:r>
      <w:r>
        <w:t xml:space="preserve">‘</w:t>
      </w:r>
      <w:r>
        <w:t xml:space="preserve">near</w:t>
      </w:r>
      <w:r>
        <w:t xml:space="preserve">’</w:t>
      </w:r>
      <w:r>
        <w:t xml:space="preserve">;</w:t>
      </w:r>
      <w:r>
        <w:t xml:space="preserve"> </w:t>
      </w:r>
      <w:r>
        <w:t xml:space="preserve">‘</w:t>
      </w:r>
      <w:r>
        <w:t xml:space="preserve">ṭhan</w:t>
      </w:r>
      <w:r>
        <w:t xml:space="preserve">’</w:t>
      </w:r>
      <w:r>
        <w:t xml:space="preserve"> </w:t>
      </w:r>
      <w:r>
        <w:t xml:space="preserve">by</w:t>
      </w:r>
      <w:r>
        <w:t xml:space="preserve"> </w:t>
      </w:r>
      <w:r>
        <w:rPr>
          <w:bCs/>
          <w:b/>
        </w:rPr>
        <w:t xml:space="preserve">अत इनिठनौ</w:t>
      </w:r>
      <w:r>
        <w:t xml:space="preserve"> </w:t>
      </w:r>
      <w:r>
        <w:t xml:space="preserve">(पा. ५-२-११५); being</w:t>
      </w:r>
      <w:r>
        <w:t xml:space="preserve"> </w:t>
      </w:r>
      <w:r>
        <w:t xml:space="preserve">‘</w:t>
      </w:r>
      <w:r>
        <w:t xml:space="preserve">n</w:t>
      </w:r>
      <w:r>
        <w:t xml:space="preserve">’</w:t>
      </w:r>
      <w:r>
        <w:t xml:space="preserve">-marked (nit) it is first-syllable acute. For there is no limit (avasāna) to</w:t>
      </w:r>
      <w:r>
        <w:t xml:space="preserve"> </w:t>
      </w:r>
      <w:r>
        <w:t xml:space="preserve">‘</w:t>
      </w:r>
      <w:r>
        <w:t xml:space="preserve">far-ness</w:t>
      </w:r>
      <w:r>
        <w:t xml:space="preserve">’</w:t>
      </w:r>
      <w:r>
        <w:t xml:space="preserve">; but in the excellence of</w:t>
      </w:r>
      <w:r>
        <w:t xml:space="preserve"> </w:t>
      </w:r>
      <w:r>
        <w:t xml:space="preserve">‘</w:t>
      </w:r>
      <w:r>
        <w:t xml:space="preserve">near-ness</w:t>
      </w:r>
      <w:r>
        <w:t xml:space="preserve">’</w:t>
      </w:r>
      <w:r>
        <w:t xml:space="preserve"> </w:t>
      </w:r>
      <w:r>
        <w:t xml:space="preserve">he who is near to someone is that someone’s</w:t>
      </w:r>
      <w:r>
        <w:t xml:space="preserve"> </w:t>
      </w:r>
      <w:r>
        <w:t xml:space="preserve">‘</w:t>
      </w:r>
      <w:r>
        <w:t xml:space="preserve">anta</w:t>
      </w:r>
      <w:r>
        <w:t xml:space="preserve">’</w:t>
      </w:r>
      <w:r>
        <w:t xml:space="preserve"> </w:t>
      </w:r>
      <w:r>
        <w:t xml:space="preserve">(end); thus nearness is called</w:t>
      </w:r>
      <w:r>
        <w:t xml:space="preserve"> </w:t>
      </w:r>
      <w:r>
        <w:t xml:space="preserve">‘</w:t>
      </w:r>
      <w:r>
        <w:t xml:space="preserve">antika</w:t>
      </w:r>
      <w:r>
        <w:t xml:space="preserve">’</w:t>
      </w:r>
      <w:r>
        <w:t xml:space="preserve"> </w:t>
      </w:r>
      <w:r>
        <w:t xml:space="preserve">on account of the</w:t>
      </w:r>
      <w:r>
        <w:t xml:space="preserve"> </w:t>
      </w:r>
      <w:r>
        <w:t xml:space="preserve">‘</w:t>
      </w:r>
      <w:r>
        <w:t xml:space="preserve">anta</w:t>
      </w:r>
      <w:r>
        <w:t xml:space="preserve">’</w:t>
      </w:r>
      <w:r>
        <w:t xml:space="preserve">-possessing.</w:t>
      </w:r>
      <w:r>
        <w:t xml:space="preserve"> </w:t>
      </w:r>
      <w:r>
        <w:t xml:space="preserve">‘</w:t>
      </w:r>
      <w:r>
        <w:t xml:space="preserve">Vidyāma</w:t>
      </w:r>
      <w:r>
        <w:t xml:space="preserve">’</w:t>
      </w:r>
      <w:r>
        <w:t xml:space="preserve"> </w:t>
      </w:r>
      <w:r>
        <w:t xml:space="preserve">—</w:t>
      </w:r>
      <w:r>
        <w:t xml:space="preserve"> </w:t>
      </w:r>
      <w:r>
        <w:t xml:space="preserve">‘</w:t>
      </w:r>
      <w:r>
        <w:t xml:space="preserve">vid</w:t>
      </w:r>
      <w:r>
        <w:t xml:space="preserve">’</w:t>
      </w:r>
      <w:r>
        <w:t xml:space="preserve"> </w:t>
      </w:r>
      <w:r>
        <w:t xml:space="preserve">in the optative (liṅ);</w:t>
      </w:r>
      <w:r>
        <w:t xml:space="preserve"> </w:t>
      </w:r>
      <w:r>
        <w:t xml:space="preserve">‘</w:t>
      </w:r>
      <w:r>
        <w:t xml:space="preserve">yāsuṭ</w:t>
      </w:r>
      <w:r>
        <w:t xml:space="preserve">’</w:t>
      </w:r>
      <w:r>
        <w:t xml:space="preserve"> </w:t>
      </w:r>
      <w:r>
        <w:t xml:space="preserve">is acute in the parasmaipada (</w:t>
      </w:r>
      <w:r>
        <w:rPr>
          <w:bCs/>
          <w:b/>
        </w:rPr>
        <w:t xml:space="preserve">यासुट् परस्मैपदेषूदात्तो ङिच्च</w:t>
      </w:r>
      <w:r>
        <w:t xml:space="preserve">, पा. ३-४-१०३); since the word stands at the beginning of the pāda,</w:t>
      </w:r>
      <w:r>
        <w:t xml:space="preserve"> </w:t>
      </w:r>
      <w:r>
        <w:t xml:space="preserve">‘</w:t>
      </w:r>
      <w:r>
        <w:t xml:space="preserve">tiṅ atiṅaḥ</w:t>
      </w:r>
      <w:r>
        <w:t xml:space="preserve">’</w:t>
      </w:r>
      <w:r>
        <w:t xml:space="preserve"> </w:t>
      </w:r>
      <w:r>
        <w:t xml:space="preserve">does not cause nighāta.</w:t>
      </w:r>
      <w:r>
        <w:t xml:space="preserve"> </w:t>
      </w:r>
      <w:r>
        <w:t xml:space="preserve">‘</w:t>
      </w:r>
      <w:r>
        <w:t xml:space="preserve">Sumatīnām</w:t>
      </w:r>
      <w:r>
        <w:t xml:space="preserve">’</w:t>
      </w:r>
      <w:r>
        <w:t xml:space="preserve"> </w:t>
      </w:r>
      <w:r>
        <w:t xml:space="preserve">—</w:t>
      </w:r>
      <w:r>
        <w:t xml:space="preserve"> </w:t>
      </w:r>
      <w:r>
        <w:t xml:space="preserve">‘</w:t>
      </w:r>
      <w:r>
        <w:t xml:space="preserve">mati</w:t>
      </w:r>
      <w:r>
        <w:t xml:space="preserve">’</w:t>
      </w:r>
      <w:r>
        <w:t xml:space="preserve"> </w:t>
      </w:r>
      <w:r>
        <w:t xml:space="preserve">ending in</w:t>
      </w:r>
      <w:r>
        <w:t xml:space="preserve"> </w:t>
      </w:r>
      <w:r>
        <w:t xml:space="preserve">‘</w:t>
      </w:r>
      <w:r>
        <w:t xml:space="preserve">ktin</w:t>
      </w:r>
      <w:r>
        <w:t xml:space="preserve">’</w:t>
      </w:r>
      <w:r>
        <w:t xml:space="preserve"> </w:t>
      </w:r>
      <w:r>
        <w:t xml:space="preserve">is acute in the Veda by</w:t>
      </w:r>
      <w:r>
        <w:t xml:space="preserve"> </w:t>
      </w:r>
      <w:r>
        <w:rPr>
          <w:bCs/>
          <w:b/>
        </w:rPr>
        <w:t xml:space="preserve">मन्त्रे वृषेषपचमनविदभूवीरा उदात्तः</w:t>
      </w:r>
      <w:r>
        <w:t xml:space="preserve"> </w:t>
      </w:r>
      <w:r>
        <w:t xml:space="preserve">(पा. ३-३-९६)…”</w:t>
      </w:r>
      <w:r>
        <w:t xml:space="preserve"> </w:t>
      </w:r>
      <w:r>
        <w:rPr>
          <w:iCs/>
          <w:i/>
        </w:rPr>
        <w:t xml:space="preserve">(continues on the next page)</w:t>
      </w:r>
    </w:p>
    <w:bookmarkEnd w:id="129"/>
    <w:bookmarkStart w:id="130" w:name="X537fc2e058eb09b0bdd7f5ea50c240552df346f"/>
    <w:p>
      <w:pPr>
        <w:pStyle w:val="Heading3"/>
      </w:pPr>
      <w:r>
        <w:t xml:space="preserve">Page 101 — Rik 4.3: grammar concluded; Pada-meanings; Bhāvārtha; English rendering; Special topics (opening)</w:t>
      </w:r>
    </w:p>
    <w:p>
      <w:pPr>
        <w:pStyle w:val="FirstParagraph"/>
      </w:pPr>
      <w:r>
        <w:rPr>
          <w:iCs/>
          <w:i/>
        </w:rPr>
        <w:t xml:space="preserve">(Page header:</w:t>
      </w:r>
      <w:r>
        <w:rPr>
          <w:iCs/>
          <w:i/>
        </w:rPr>
        <w:t xml:space="preserve"> </w:t>
      </w:r>
      <w:r>
        <w:rPr>
          <w:iCs/>
          <w:i/>
        </w:rPr>
        <w:t xml:space="preserve">“</w:t>
      </w:r>
      <w:r>
        <w:rPr>
          <w:iCs/>
          <w:i/>
        </w:rPr>
        <w:t xml:space="preserve">Aṣṭaka 1, Adhyāya 1, Varga 7 · Ṛgveda-saṃhitā.</w:t>
      </w:r>
      <w:r>
        <w:rPr>
          <w:iCs/>
          <w:i/>
        </w:rPr>
        <w:t xml:space="preserve">”</w:t>
      </w:r>
      <w:r>
        <w:rPr>
          <w:iCs/>
          <w:i/>
        </w:rPr>
        <w:t xml:space="preserve"> </w:t>
      </w:r>
      <w:r>
        <w:rPr>
          <w:iCs/>
          <w:i/>
        </w:rPr>
        <w:t xml:space="preserve">Grammar characterized, sūtras kept; English as printed.)</w:t>
      </w:r>
    </w:p>
    <w:p>
      <w:pPr>
        <w:pStyle w:val="BodyText"/>
      </w:pPr>
      <w:r>
        <w:rPr>
          <w:iCs/>
          <w:i/>
        </w:rPr>
        <w:t xml:space="preserve">(Grammar, continuing</w:t>
      </w:r>
      <w:r>
        <w:rPr>
          <w:iCs/>
          <w:i/>
        </w:rPr>
        <w:t xml:space="preserve"> </w:t>
      </w:r>
      <w:r>
        <w:rPr>
          <w:iCs/>
          <w:i/>
        </w:rPr>
        <w:t xml:space="preserve">“</w:t>
      </w:r>
      <w:r>
        <w:rPr>
          <w:iCs/>
          <w:i/>
        </w:rPr>
        <w:t xml:space="preserve">sumatīnām</w:t>
      </w:r>
      <w:r>
        <w:rPr>
          <w:iCs/>
          <w:i/>
        </w:rPr>
        <w:t xml:space="preserve">”</w:t>
      </w:r>
      <w:r>
        <w:rPr>
          <w:iCs/>
          <w:i/>
        </w:rPr>
        <w:t xml:space="preserve">:)</w:t>
      </w:r>
      <w:r>
        <w:t xml:space="preserve"> </w:t>
      </w:r>
      <w:r>
        <w:t xml:space="preserve">…the</w:t>
      </w:r>
      <w:r>
        <w:t xml:space="preserve"> </w:t>
      </w:r>
      <w:r>
        <w:t xml:space="preserve">“</w:t>
      </w:r>
      <w:r>
        <w:t xml:space="preserve">i</w:t>
      </w:r>
      <w:r>
        <w:t xml:space="preserve">”</w:t>
      </w:r>
      <w:r>
        <w:t xml:space="preserve"> </w:t>
      </w:r>
      <w:r>
        <w:t xml:space="preserve">of</w:t>
      </w:r>
      <w:r>
        <w:t xml:space="preserve"> </w:t>
      </w:r>
      <w:r>
        <w:t xml:space="preserve">“</w:t>
      </w:r>
      <w:r>
        <w:t xml:space="preserve">mati</w:t>
      </w:r>
      <w:r>
        <w:t xml:space="preserve">”</w:t>
      </w:r>
      <w:r>
        <w:t xml:space="preserve"> </w:t>
      </w:r>
      <w:r>
        <w:t xml:space="preserve">is acute (the Sanskrit of p. 100 gives the rule);</w:t>
      </w:r>
      <w:r>
        <w:t xml:space="preserve"> </w:t>
      </w:r>
      <w:r>
        <w:t xml:space="preserve">“</w:t>
      </w:r>
      <w:r>
        <w:t xml:space="preserve">śobhanā matir yeṣāṃ te sumatayaḥ</w:t>
      </w:r>
      <w:r>
        <w:t xml:space="preserve">”</w:t>
      </w:r>
      <w:r>
        <w:t xml:space="preserve"> </w:t>
      </w:r>
      <w:r>
        <w:t xml:space="preserve">— a bahuvrīhi, in which the first member’s natural accent is overridden by</w:t>
      </w:r>
      <w:r>
        <w:t xml:space="preserve"> </w:t>
      </w:r>
      <w:r>
        <w:rPr>
          <w:bCs/>
          <w:b/>
        </w:rPr>
        <w:t xml:space="preserve">नञ्सुभ्याम्</w:t>
      </w:r>
      <w:r>
        <w:t xml:space="preserve"> </w:t>
      </w:r>
      <w:r>
        <w:t xml:space="preserve">(पा. ६-२-१७२), so the last syllable of the second member is acute; but where</w:t>
      </w:r>
      <w:r>
        <w:t xml:space="preserve"> </w:t>
      </w:r>
      <w:r>
        <w:t xml:space="preserve">“</w:t>
      </w:r>
      <w:r>
        <w:t xml:space="preserve">śobhanā matayaḥ sumatayaḥ</w:t>
      </w:r>
      <w:r>
        <w:t xml:space="preserve">”</w:t>
      </w:r>
      <w:r>
        <w:t xml:space="preserve"> </w:t>
      </w:r>
      <w:r>
        <w:t xml:space="preserve">is a karmadhāraya, there is an exception to the first-member accent in the case of an indeclinable prefix, and the second member has the natural accent given by</w:t>
      </w:r>
      <w:r>
        <w:t xml:space="preserve"> </w:t>
      </w:r>
      <w:r>
        <w:rPr>
          <w:bCs/>
          <w:b/>
        </w:rPr>
        <w:t xml:space="preserve">कृदुत्तरपदप्रकृतिस्वरत्वम्</w:t>
      </w:r>
      <w:r>
        <w:t xml:space="preserve"> </w:t>
      </w:r>
      <w:r>
        <w:t xml:space="preserve">— it is end-acute. After</w:t>
      </w:r>
      <w:r>
        <w:t xml:space="preserve"> </w:t>
      </w:r>
      <w:r>
        <w:t xml:space="preserve">“</w:t>
      </w:r>
      <w:r>
        <w:t xml:space="preserve">matup</w:t>
      </w:r>
      <w:r>
        <w:t xml:space="preserve">”</w:t>
      </w:r>
      <w:r>
        <w:t xml:space="preserve"> </w:t>
      </w:r>
      <w:r>
        <w:t xml:space="preserve">(as short-final-acute), the genitive-plural</w:t>
      </w:r>
      <w:r>
        <w:t xml:space="preserve"> </w:t>
      </w:r>
      <w:r>
        <w:t xml:space="preserve">“</w:t>
      </w:r>
      <w:r>
        <w:t xml:space="preserve">nām</w:t>
      </w:r>
      <w:r>
        <w:t xml:space="preserve">”</w:t>
      </w:r>
      <w:r>
        <w:t xml:space="preserve"> </w:t>
      </w:r>
      <w:r>
        <w:t xml:space="preserve">of</w:t>
      </w:r>
      <w:r>
        <w:t xml:space="preserve"> </w:t>
      </w:r>
      <w:r>
        <w:t xml:space="preserve">“</w:t>
      </w:r>
      <w:r>
        <w:t xml:space="preserve">sumati</w:t>
      </w:r>
      <w:r>
        <w:t xml:space="preserve">”</w:t>
      </w:r>
      <w:r>
        <w:t xml:space="preserve"> </w:t>
      </w:r>
      <w:r>
        <w:t xml:space="preserve">is acute by</w:t>
      </w:r>
      <w:r>
        <w:t xml:space="preserve"> </w:t>
      </w:r>
      <w:r>
        <w:rPr>
          <w:bCs/>
          <w:b/>
        </w:rPr>
        <w:t xml:space="preserve">नामन्यतरस्याम्</w:t>
      </w:r>
      <w:r>
        <w:t xml:space="preserve"> </w:t>
      </w:r>
      <w:r>
        <w:t xml:space="preserve">(पा. ६-१-१७७).</w:t>
      </w:r>
    </w:p>
    <w:p>
      <w:pPr>
        <w:pStyle w:val="BodyText"/>
      </w:pPr>
      <w:r>
        <w:rPr>
          <w:bCs/>
          <w:b/>
        </w:rPr>
        <w:t xml:space="preserve">“</w:t>
      </w:r>
      <w:r>
        <w:rPr>
          <w:bCs/>
          <w:b/>
        </w:rPr>
        <w:t xml:space="preserve">Khyaḥ</w:t>
      </w:r>
      <w:r>
        <w:rPr>
          <w:bCs/>
          <w:b/>
        </w:rPr>
        <w:t xml:space="preserve">”</w:t>
      </w:r>
      <w:r>
        <w:t xml:space="preserve"> </w:t>
      </w:r>
      <w:r>
        <w:t xml:space="preserve">— the root</w:t>
      </w:r>
      <w:r>
        <w:t xml:space="preserve"> </w:t>
      </w:r>
      <w:r>
        <w:t xml:space="preserve">“</w:t>
      </w:r>
      <w:r>
        <w:t xml:space="preserve">khyā prakathane</w:t>
      </w:r>
      <w:r>
        <w:t xml:space="preserve">”</w:t>
      </w:r>
      <w:r>
        <w:t xml:space="preserve"> </w:t>
      </w:r>
      <w:r>
        <w:t xml:space="preserve">(to declare), the aorist (luṅ) second-person singular</w:t>
      </w:r>
      <w:r>
        <w:t xml:space="preserve"> </w:t>
      </w:r>
      <w:r>
        <w:t xml:space="preserve">“</w:t>
      </w:r>
      <w:r>
        <w:t xml:space="preserve">sip</w:t>
      </w:r>
      <w:r>
        <w:t xml:space="preserve">”</w:t>
      </w:r>
      <w:r>
        <w:t xml:space="preserve"> </w:t>
      </w:r>
      <w:r>
        <w:t xml:space="preserve">→</w:t>
      </w:r>
      <w:r>
        <w:t xml:space="preserve"> </w:t>
      </w:r>
      <w:r>
        <w:t xml:space="preserve">“</w:t>
      </w:r>
      <w:r>
        <w:t xml:space="preserve">khyā + si</w:t>
      </w:r>
      <w:r>
        <w:t xml:space="preserve">”</w:t>
      </w:r>
      <w:r>
        <w:t xml:space="preserve">;</w:t>
      </w:r>
      <w:r>
        <w:t xml:space="preserve"> </w:t>
      </w:r>
      <w:r>
        <w:rPr>
          <w:bCs/>
          <w:b/>
        </w:rPr>
        <w:t xml:space="preserve">च्लि लुङि</w:t>
      </w:r>
      <w:r>
        <w:t xml:space="preserve"> </w:t>
      </w:r>
      <w:r>
        <w:t xml:space="preserve">(</w:t>
      </w:r>
      <w:r>
        <w:rPr>
          <w:iCs/>
          <w:i/>
        </w:rPr>
        <w:t xml:space="preserve">cli luṅi</w:t>
      </w:r>
      <w:r>
        <w:t xml:space="preserve">, पा. ३-१-४३) puts</w:t>
      </w:r>
      <w:r>
        <w:t xml:space="preserve"> </w:t>
      </w:r>
      <w:r>
        <w:t xml:space="preserve">“</w:t>
      </w:r>
      <w:r>
        <w:t xml:space="preserve">cli</w:t>
      </w:r>
      <w:r>
        <w:t xml:space="preserve">”</w:t>
      </w:r>
      <w:r>
        <w:t xml:space="preserve"> </w:t>
      </w:r>
      <w:r>
        <w:t xml:space="preserve">after the root in</w:t>
      </w:r>
      <w:r>
        <w:t xml:space="preserve"> </w:t>
      </w:r>
      <w:r>
        <w:t xml:space="preserve">“</w:t>
      </w:r>
      <w:r>
        <w:t xml:space="preserve">luṅ</w:t>
      </w:r>
      <w:r>
        <w:t xml:space="preserve">”</w:t>
      </w:r>
      <w:r>
        <w:t xml:space="preserve">;</w:t>
      </w:r>
      <w:r>
        <w:t xml:space="preserve"> </w:t>
      </w:r>
      <w:r>
        <w:rPr>
          <w:bCs/>
          <w:b/>
        </w:rPr>
        <w:t xml:space="preserve">सिचि</w:t>
      </w:r>
      <w:r>
        <w:t xml:space="preserve"> </w:t>
      </w:r>
      <w:r>
        <w:t xml:space="preserve">… by</w:t>
      </w:r>
      <w:r>
        <w:t xml:space="preserve"> </w:t>
      </w:r>
      <w:r>
        <w:rPr>
          <w:bCs/>
          <w:b/>
        </w:rPr>
        <w:t xml:space="preserve">अस्यतिवक्तिख्यातिभ्योऽङ्</w:t>
      </w:r>
      <w:r>
        <w:t xml:space="preserve"> </w:t>
      </w:r>
      <w:r>
        <w:t xml:space="preserve">(</w:t>
      </w:r>
      <w:r>
        <w:rPr>
          <w:iCs/>
          <w:i/>
        </w:rPr>
        <w:t xml:space="preserve">asyati-vakti-khyātibhyo ’ṅ</w:t>
      </w:r>
      <w:r>
        <w:t xml:space="preserve">, पा. ३-१-५२)</w:t>
      </w:r>
      <w:r>
        <w:t xml:space="preserve"> </w:t>
      </w:r>
      <w:r>
        <w:t xml:space="preserve">“</w:t>
      </w:r>
      <w:r>
        <w:t xml:space="preserve">aṅ</w:t>
      </w:r>
      <w:r>
        <w:t xml:space="preserve">”</w:t>
      </w:r>
      <w:r>
        <w:t xml:space="preserve"> </w:t>
      </w:r>
      <w:r>
        <w:t xml:space="preserve">replaces</w:t>
      </w:r>
      <w:r>
        <w:t xml:space="preserve"> </w:t>
      </w:r>
      <w:r>
        <w:t xml:space="preserve">“</w:t>
      </w:r>
      <w:r>
        <w:t xml:space="preserve">cli</w:t>
      </w:r>
      <w:r>
        <w:t xml:space="preserve">”</w:t>
      </w:r>
      <w:r>
        <w:t xml:space="preserve"> </w:t>
      </w:r>
      <w:r>
        <w:t xml:space="preserve">after</w:t>
      </w:r>
      <w:r>
        <w:t xml:space="preserve"> </w:t>
      </w:r>
      <w:r>
        <w:t xml:space="preserve">“</w:t>
      </w:r>
      <w:r>
        <w:t xml:space="preserve">as,</w:t>
      </w:r>
      <w:r>
        <w:t xml:space="preserve">”</w:t>
      </w:r>
      <w:r>
        <w:t xml:space="preserve"> </w:t>
      </w:r>
      <w:r>
        <w:t xml:space="preserve">“</w:t>
      </w:r>
      <w:r>
        <w:t xml:space="preserve">vac,</w:t>
      </w:r>
      <w:r>
        <w:t xml:space="preserve">”</w:t>
      </w:r>
      <w:r>
        <w:t xml:space="preserve"> </w:t>
      </w:r>
      <w:r>
        <w:t xml:space="preserve">“</w:t>
      </w:r>
      <w:r>
        <w:t xml:space="preserve">khyā</w:t>
      </w:r>
      <w:r>
        <w:t xml:space="preserve">”</w:t>
      </w:r>
      <w:r>
        <w:t xml:space="preserve">;</w:t>
      </w:r>
      <w:r>
        <w:t xml:space="preserve"> </w:t>
      </w:r>
      <w:r>
        <w:rPr>
          <w:bCs/>
          <w:b/>
        </w:rPr>
        <w:t xml:space="preserve">आतो लोप इटि च</w:t>
      </w:r>
      <w:r>
        <w:t xml:space="preserve"> </w:t>
      </w:r>
      <w:r>
        <w:t xml:space="preserve">(पा. ६-४-६४) elides the final</w:t>
      </w:r>
      <w:r>
        <w:t xml:space="preserve"> </w:t>
      </w:r>
      <w:r>
        <w:t xml:space="preserve">“</w:t>
      </w:r>
      <w:r>
        <w:t xml:space="preserve">ā</w:t>
      </w:r>
      <w:r>
        <w:t xml:space="preserve">”</w:t>
      </w:r>
      <w:r>
        <w:t xml:space="preserve"> </w:t>
      </w:r>
      <w:r>
        <w:t xml:space="preserve">before</w:t>
      </w:r>
      <w:r>
        <w:t xml:space="preserve"> </w:t>
      </w:r>
      <w:r>
        <w:t xml:space="preserve">“</w:t>
      </w:r>
      <w:r>
        <w:t xml:space="preserve">aṅ</w:t>
      </w:r>
      <w:r>
        <w:t xml:space="preserve">”</w:t>
      </w:r>
      <w:r>
        <w:t xml:space="preserve"> </w:t>
      </w:r>
      <w:r>
        <w:t xml:space="preserve">—</w:t>
      </w:r>
      <w:r>
        <w:t xml:space="preserve"> </w:t>
      </w:r>
      <w:r>
        <w:t xml:space="preserve">“</w:t>
      </w:r>
      <w:r>
        <w:t xml:space="preserve">khya + a + s</w:t>
      </w:r>
      <w:r>
        <w:t xml:space="preserve">”</w:t>
      </w:r>
      <w:r>
        <w:t xml:space="preserve">;</w:t>
      </w:r>
      <w:r>
        <w:t xml:space="preserve"> </w:t>
      </w:r>
      <w:r>
        <w:rPr>
          <w:bCs/>
          <w:b/>
        </w:rPr>
        <w:t xml:space="preserve">इतश्च</w:t>
      </w:r>
      <w:r>
        <w:t xml:space="preserve"> </w:t>
      </w:r>
      <w:r>
        <w:t xml:space="preserve">(</w:t>
      </w:r>
      <w:r>
        <w:rPr>
          <w:iCs/>
          <w:i/>
        </w:rPr>
        <w:t xml:space="preserve">itaś ca</w:t>
      </w:r>
      <w:r>
        <w:t xml:space="preserve">, पा. ३-४-१०० [as printed]) elides the final</w:t>
      </w:r>
      <w:r>
        <w:t xml:space="preserve"> </w:t>
      </w:r>
      <w:r>
        <w:t xml:space="preserve">“</w:t>
      </w:r>
      <w:r>
        <w:t xml:space="preserve">i</w:t>
      </w:r>
      <w:r>
        <w:t xml:space="preserve">”</w:t>
      </w:r>
      <w:r>
        <w:t xml:space="preserve"> </w:t>
      </w:r>
      <w:r>
        <w:t xml:space="preserve">of parasmaipada endings (here of</w:t>
      </w:r>
      <w:r>
        <w:t xml:space="preserve"> </w:t>
      </w:r>
      <w:r>
        <w:t xml:space="preserve">“</w:t>
      </w:r>
      <w:r>
        <w:t xml:space="preserve">sip,</w:t>
      </w:r>
      <w:r>
        <w:t xml:space="preserve">”</w:t>
      </w:r>
      <w:r>
        <w:t xml:space="preserve"> </w:t>
      </w:r>
      <w:r>
        <w:t xml:space="preserve">giving</w:t>
      </w:r>
      <w:r>
        <w:t xml:space="preserve"> </w:t>
      </w:r>
      <w:r>
        <w:t xml:space="preserve">“</w:t>
      </w:r>
      <w:r>
        <w:t xml:space="preserve">s</w:t>
      </w:r>
      <w:r>
        <w:t xml:space="preserve">”</w:t>
      </w:r>
      <w:r>
        <w:t xml:space="preserve">); the</w:t>
      </w:r>
      <w:r>
        <w:t xml:space="preserve"> </w:t>
      </w:r>
      <w:r>
        <w:t xml:space="preserve">“</w:t>
      </w:r>
      <w:r>
        <w:t xml:space="preserve">s</w:t>
      </w:r>
      <w:r>
        <w:t xml:space="preserve">”</w:t>
      </w:r>
      <w:r>
        <w:t xml:space="preserve"> </w:t>
      </w:r>
      <w:r>
        <w:t xml:space="preserve">is changed to</w:t>
      </w:r>
      <w:r>
        <w:t xml:space="preserve"> </w:t>
      </w:r>
      <w:r>
        <w:t xml:space="preserve">“</w:t>
      </w:r>
      <w:r>
        <w:t xml:space="preserve">ru</w:t>
      </w:r>
      <w:r>
        <w:t xml:space="preserve">”</w:t>
      </w:r>
      <w:r>
        <w:t xml:space="preserve"> </w:t>
      </w:r>
      <w:r>
        <w:t xml:space="preserve">and visarga:</w:t>
      </w:r>
      <w:r>
        <w:t xml:space="preserve"> </w:t>
      </w:r>
      <w:r>
        <w:rPr>
          <w:bCs/>
          <w:b/>
        </w:rPr>
        <w:t xml:space="preserve">ससजुषो रुः</w:t>
      </w:r>
      <w:r>
        <w:t xml:space="preserve"> </w:t>
      </w:r>
      <w:r>
        <w:t xml:space="preserve">(पा. ८-२-६६) and</w:t>
      </w:r>
      <w:r>
        <w:t xml:space="preserve"> </w:t>
      </w:r>
      <w:r>
        <w:rPr>
          <w:bCs/>
          <w:b/>
        </w:rPr>
        <w:t xml:space="preserve">खरवसानयोर्विसर्जनीयः</w:t>
      </w:r>
      <w:r>
        <w:t xml:space="preserve"> </w:t>
      </w:r>
      <w:r>
        <w:t xml:space="preserve">(पा. ८-३-१५) →</w:t>
      </w:r>
      <w:r>
        <w:t xml:space="preserve"> </w:t>
      </w:r>
      <w:r>
        <w:t xml:space="preserve">“</w:t>
      </w:r>
      <w:r>
        <w:t xml:space="preserve">khyaḥ.</w:t>
      </w:r>
      <w:r>
        <w:t xml:space="preserve">”</w:t>
      </w:r>
      <w:r>
        <w:t xml:space="preserve"> </w:t>
      </w:r>
      <w:r>
        <w:t xml:space="preserve">After</w:t>
      </w:r>
      <w:r>
        <w:t xml:space="preserve"> </w:t>
      </w:r>
      <w:r>
        <w:t xml:space="preserve">“</w:t>
      </w:r>
      <w:r>
        <w:t xml:space="preserve">mā,</w:t>
      </w:r>
      <w:r>
        <w:t xml:space="preserve">”</w:t>
      </w:r>
      <w:r>
        <w:t xml:space="preserve"> </w:t>
      </w:r>
      <w:r>
        <w:rPr>
          <w:bCs/>
          <w:b/>
        </w:rPr>
        <w:t xml:space="preserve">न माङ्योगे</w:t>
      </w:r>
      <w:r>
        <w:t xml:space="preserve"> </w:t>
      </w:r>
      <w:r>
        <w:t xml:space="preserve">(</w:t>
      </w:r>
      <w:r>
        <w:rPr>
          <w:iCs/>
          <w:i/>
        </w:rPr>
        <w:t xml:space="preserve">na māṅ-yoge</w:t>
      </w:r>
      <w:r>
        <w:t xml:space="preserve">, पा. ६-४-७४) — the augment</w:t>
      </w:r>
      <w:r>
        <w:t xml:space="preserve"> </w:t>
      </w:r>
      <w:r>
        <w:t xml:space="preserve">“</w:t>
      </w:r>
      <w:r>
        <w:t xml:space="preserve">aṭ</w:t>
      </w:r>
      <w:r>
        <w:t xml:space="preserve">”</w:t>
      </w:r>
      <w:r>
        <w:t xml:space="preserve"> </w:t>
      </w:r>
      <w:r>
        <w:t xml:space="preserve">does not occur →</w:t>
      </w:r>
      <w:r>
        <w:t xml:space="preserve"> </w:t>
      </w:r>
      <w:r>
        <w:t xml:space="preserve">“</w:t>
      </w:r>
      <w:r>
        <w:t xml:space="preserve">mā khyaḥ.</w:t>
      </w:r>
      <w:r>
        <w:t xml:space="preserve">”</w:t>
      </w:r>
    </w:p>
    <w:p>
      <w:pPr>
        <w:pStyle w:val="BodyText"/>
      </w:pPr>
      <w:r>
        <w:rPr>
          <w:bCs/>
          <w:b/>
        </w:rPr>
        <w:t xml:space="preserve">“</w:t>
      </w:r>
      <w:r>
        <w:rPr>
          <w:bCs/>
          <w:b/>
        </w:rPr>
        <w:t xml:space="preserve">Gahi</w:t>
      </w:r>
      <w:r>
        <w:rPr>
          <w:bCs/>
          <w:b/>
        </w:rPr>
        <w:t xml:space="preserve">”</w:t>
      </w:r>
      <w:r>
        <w:t xml:space="preserve"> </w:t>
      </w:r>
      <w:r>
        <w:t xml:space="preserve">— from</w:t>
      </w:r>
      <w:r>
        <w:t xml:space="preserve"> </w:t>
      </w:r>
      <w:r>
        <w:t xml:space="preserve">“</w:t>
      </w:r>
      <w:r>
        <w:t xml:space="preserve">gam</w:t>
      </w:r>
      <w:r>
        <w:t xml:space="preserve">”</w:t>
      </w:r>
      <w:r>
        <w:t xml:space="preserve">; the</w:t>
      </w:r>
      <w:r>
        <w:t xml:space="preserve"> </w:t>
      </w:r>
      <w:r>
        <w:t xml:space="preserve">“</w:t>
      </w:r>
      <w:r>
        <w:t xml:space="preserve">śap</w:t>
      </w:r>
      <w:r>
        <w:t xml:space="preserve">”</w:t>
      </w:r>
      <w:r>
        <w:t xml:space="preserve"> </w:t>
      </w:r>
      <w:r>
        <w:t xml:space="preserve">is elided by</w:t>
      </w:r>
      <w:r>
        <w:t xml:space="preserve"> </w:t>
      </w:r>
      <w:r>
        <w:t xml:space="preserve">“</w:t>
      </w:r>
      <w:r>
        <w:t xml:space="preserve">bahulaṃ chandasi</w:t>
      </w:r>
      <w:r>
        <w:t xml:space="preserve">”</w:t>
      </w:r>
      <w:r>
        <w:t xml:space="preserve">; because</w:t>
      </w:r>
      <w:r>
        <w:t xml:space="preserve"> </w:t>
      </w:r>
      <w:r>
        <w:t xml:space="preserve">“</w:t>
      </w:r>
      <w:r>
        <w:t xml:space="preserve">hi</w:t>
      </w:r>
      <w:r>
        <w:t xml:space="preserve">”</w:t>
      </w:r>
      <w:r>
        <w:t xml:space="preserve"> </w:t>
      </w:r>
      <w:r>
        <w:t xml:space="preserve">replaces</w:t>
      </w:r>
      <w:r>
        <w:t xml:space="preserve"> </w:t>
      </w:r>
      <w:r>
        <w:t xml:space="preserve">“</w:t>
      </w:r>
      <w:r>
        <w:t xml:space="preserve">si</w:t>
      </w:r>
      <w:r>
        <w:t xml:space="preserve">”</w:t>
      </w:r>
      <w:r>
        <w:t xml:space="preserve"> </w:t>
      </w:r>
      <w:r>
        <w:t xml:space="preserve">(</w:t>
      </w:r>
      <w:r>
        <w:rPr>
          <w:bCs/>
          <w:b/>
        </w:rPr>
        <w:t xml:space="preserve">सेर्ह्यपिच्च</w:t>
      </w:r>
      <w:r>
        <w:t xml:space="preserve">, पा. ३-४-८७) it is not</w:t>
      </w:r>
      <w:r>
        <w:t xml:space="preserve"> </w:t>
      </w:r>
      <w:r>
        <w:t xml:space="preserve">“</w:t>
      </w:r>
      <w:r>
        <w:t xml:space="preserve">p</w:t>
      </w:r>
      <w:r>
        <w:t xml:space="preserve">”</w:t>
      </w:r>
      <w:r>
        <w:t xml:space="preserve">-marked; so the</w:t>
      </w:r>
      <w:r>
        <w:t xml:space="preserve"> </w:t>
      </w:r>
      <w:r>
        <w:t xml:space="preserve">“</w:t>
      </w:r>
      <w:r>
        <w:t xml:space="preserve">m</w:t>
      </w:r>
      <w:r>
        <w:t xml:space="preserve">”</w:t>
      </w:r>
      <w:r>
        <w:t xml:space="preserve"> </w:t>
      </w:r>
      <w:r>
        <w:t xml:space="preserve">of the root is elided by</w:t>
      </w:r>
      <w:r>
        <w:t xml:space="preserve"> </w:t>
      </w:r>
      <w:r>
        <w:rPr>
          <w:bCs/>
          <w:b/>
        </w:rPr>
        <w:t xml:space="preserve">अनुदात्तोपदेश…</w:t>
      </w:r>
      <w:r>
        <w:t xml:space="preserve"> </w:t>
      </w:r>
      <w:r>
        <w:t xml:space="preserve">(पा. ६-४-३७); the elision, being</w:t>
      </w:r>
      <w:r>
        <w:t xml:space="preserve"> </w:t>
      </w:r>
      <w:r>
        <w:t xml:space="preserve">“</w:t>
      </w:r>
      <w:r>
        <w:t xml:space="preserve">asiddha</w:t>
      </w:r>
      <w:r>
        <w:t xml:space="preserve">”</w:t>
      </w:r>
      <w:r>
        <w:t xml:space="preserve"> </w:t>
      </w:r>
      <w:r>
        <w:t xml:space="preserve">(</w:t>
      </w:r>
      <w:r>
        <w:rPr>
          <w:bCs/>
          <w:b/>
        </w:rPr>
        <w:t xml:space="preserve">असिद्धवदत्राभात्</w:t>
      </w:r>
      <w:r>
        <w:t xml:space="preserve">, पा. ६-४-२२), does not permit the</w:t>
      </w:r>
      <w:r>
        <w:t xml:space="preserve"> </w:t>
      </w:r>
      <w:r>
        <w:t xml:space="preserve">“</w:t>
      </w:r>
      <w:r>
        <w:t xml:space="preserve">hi</w:t>
      </w:r>
      <w:r>
        <w:t xml:space="preserve">”</w:t>
      </w:r>
      <w:r>
        <w:t xml:space="preserve">-loss that</w:t>
      </w:r>
      <w:r>
        <w:t xml:space="preserve"> </w:t>
      </w:r>
      <w:r>
        <w:rPr>
          <w:bCs/>
          <w:b/>
        </w:rPr>
        <w:t xml:space="preserve">अतो हेः</w:t>
      </w:r>
      <w:r>
        <w:t xml:space="preserve"> </w:t>
      </w:r>
      <w:r>
        <w:t xml:space="preserve">(पा. ६-४-१०५) would otherwise require →</w:t>
      </w:r>
      <w:r>
        <w:t xml:space="preserve"> </w:t>
      </w:r>
      <w:r>
        <w:t xml:space="preserve">“</w:t>
      </w:r>
      <w:r>
        <w:t xml:space="preserve">gahi.</w:t>
      </w:r>
      <w:r>
        <w:t xml:space="preserve">”</w:t>
      </w:r>
    </w:p>
    <w:p>
      <w:pPr>
        <w:pStyle w:val="BodyText"/>
      </w:pPr>
      <w:r>
        <w:rPr>
          <w:bCs/>
          <w:b/>
        </w:rPr>
        <w:t xml:space="preserve">॥ Prati-padārthaḥ ॥</w:t>
      </w:r>
      <w:r>
        <w:t xml:space="preserve"> </w:t>
      </w:r>
      <w:r>
        <w:rPr>
          <w:iCs/>
          <w:i/>
        </w:rPr>
        <w:t xml:space="preserve">(Kannada, translated)</w:t>
      </w:r>
    </w:p>
    <w:p>
      <w:pPr>
        <w:pStyle w:val="BodyText"/>
      </w:pPr>
      <w:r>
        <w:rPr>
          <w:bCs/>
          <w:b/>
        </w:rPr>
        <w:t xml:space="preserve">अथ (atha)</w:t>
      </w:r>
      <w:r>
        <w:t xml:space="preserve"> </w:t>
      </w:r>
      <w:r>
        <w:t xml:space="preserve">— after the drinking of the Soma |</w:t>
      </w:r>
      <w:r>
        <w:t xml:space="preserve"> </w:t>
      </w:r>
      <w:r>
        <w:rPr>
          <w:bCs/>
          <w:b/>
        </w:rPr>
        <w:t xml:space="preserve">(हे इन्द्र) (he indra)</w:t>
      </w:r>
      <w:r>
        <w:t xml:space="preserve"> </w:t>
      </w:r>
      <w:r>
        <w:t xml:space="preserve">— O Indra |</w:t>
      </w:r>
      <w:r>
        <w:t xml:space="preserve"> </w:t>
      </w:r>
      <w:r>
        <w:rPr>
          <w:bCs/>
          <w:b/>
        </w:rPr>
        <w:t xml:space="preserve">वयम् (vayam)</w:t>
      </w:r>
      <w:r>
        <w:t xml:space="preserve"> </w:t>
      </w:r>
      <w:r>
        <w:t xml:space="preserve">— we |</w:t>
      </w:r>
      <w:r>
        <w:t xml:space="preserve"> </w:t>
      </w:r>
      <w:r>
        <w:rPr>
          <w:bCs/>
          <w:b/>
        </w:rPr>
        <w:t xml:space="preserve">ते (te)</w:t>
      </w:r>
      <w:r>
        <w:t xml:space="preserve"> </w:t>
      </w:r>
      <w:r>
        <w:t xml:space="preserve">— your |</w:t>
      </w:r>
      <w:r>
        <w:t xml:space="preserve"> </w:t>
      </w:r>
      <w:r>
        <w:rPr>
          <w:bCs/>
          <w:b/>
        </w:rPr>
        <w:t xml:space="preserve">अन्तमानाम् (antamānām)</w:t>
      </w:r>
      <w:r>
        <w:t xml:space="preserve"> </w:t>
      </w:r>
      <w:r>
        <w:t xml:space="preserve">— of those who are exceedingly near |</w:t>
      </w:r>
      <w:r>
        <w:t xml:space="preserve"> </w:t>
      </w:r>
      <w:r>
        <w:rPr>
          <w:bCs/>
          <w:b/>
        </w:rPr>
        <w:t xml:space="preserve">सुमतीनाम् (sumatīnām)</w:t>
      </w:r>
      <w:r>
        <w:t xml:space="preserve"> </w:t>
      </w:r>
      <w:r>
        <w:t xml:space="preserve">— of men of good understanding (of the discerning, or of the wise) — in their midst |</w:t>
      </w:r>
      <w:r>
        <w:t xml:space="preserve"> </w:t>
      </w:r>
      <w:r>
        <w:rPr>
          <w:bCs/>
          <w:b/>
        </w:rPr>
        <w:t xml:space="preserve">विद्याम (vidyāma)</w:t>
      </w:r>
      <w:r>
        <w:t xml:space="preserve"> </w:t>
      </w:r>
      <w:r>
        <w:t xml:space="preserve">— we know you (we remember you, or, for the sake of obtaining wisdom for the performance of rites, we remember you) |</w:t>
      </w:r>
      <w:r>
        <w:t xml:space="preserve"> </w:t>
      </w:r>
      <w:r>
        <w:rPr>
          <w:bCs/>
          <w:b/>
        </w:rPr>
        <w:t xml:space="preserve">(त्वम् अपि) नः (naḥ)</w:t>
      </w:r>
      <w:r>
        <w:t xml:space="preserve"> </w:t>
      </w:r>
      <w:r>
        <w:t xml:space="preserve">— us |</w:t>
      </w:r>
      <w:r>
        <w:t xml:space="preserve"> </w:t>
      </w:r>
      <w:r>
        <w:rPr>
          <w:bCs/>
          <w:b/>
        </w:rPr>
        <w:t xml:space="preserve">अति (ati)</w:t>
      </w:r>
      <w:r>
        <w:t xml:space="preserve"> </w:t>
      </w:r>
      <w:r>
        <w:t xml:space="preserve">— passing over (to others) |</w:t>
      </w:r>
      <w:r>
        <w:t xml:space="preserve"> </w:t>
      </w:r>
      <w:r>
        <w:rPr>
          <w:bCs/>
          <w:b/>
        </w:rPr>
        <w:t xml:space="preserve">मा ख्यः (mā khyaḥ)</w:t>
      </w:r>
      <w:r>
        <w:t xml:space="preserve"> </w:t>
      </w:r>
      <w:r>
        <w:t xml:space="preserve">— do not declare (your own form) |</w:t>
      </w:r>
      <w:r>
        <w:t xml:space="preserve"> </w:t>
      </w:r>
      <w:r>
        <w:rPr>
          <w:bCs/>
          <w:b/>
        </w:rPr>
        <w:t xml:space="preserve">आ गहि (ā gahi)</w:t>
      </w:r>
      <w:r>
        <w:t xml:space="preserve"> </w:t>
      </w:r>
      <w:r>
        <w:t xml:space="preserve">— be one who comes (to our side).</w:t>
      </w:r>
    </w:p>
    <w:p>
      <w:pPr>
        <w:pStyle w:val="BodyText"/>
      </w:pPr>
      <w:r>
        <w:rPr>
          <w:bCs/>
          <w:b/>
        </w:rPr>
        <w:t xml:space="preserve">॥ Bhāvārthaḥ ॥</w:t>
      </w:r>
      <w:r>
        <w:t xml:space="preserve"> </w:t>
      </w:r>
      <w:r>
        <w:rPr>
          <w:iCs/>
          <w:i/>
        </w:rPr>
        <w:t xml:space="preserve">(Kannada, translated)</w:t>
      </w:r>
    </w:p>
    <w:p>
      <w:pPr>
        <w:pStyle w:val="BodyText"/>
      </w:pPr>
      <w:r>
        <w:t xml:space="preserve">O Indra! After the drinking of the Soma, we, being near you, remember you for the sake of good understanding in the performance of good works, or for the gaining of excellent wisdom. You must come near us. Do not make your form known to others, and do not cause them to have good understanding.</w:t>
      </w:r>
    </w:p>
    <w:p>
      <w:pPr>
        <w:pStyle w:val="BodyText"/>
      </w:pPr>
      <w:r>
        <w:rPr>
          <w:bCs/>
          <w:b/>
        </w:rPr>
        <w:t xml:space="preserve">English Translation</w:t>
      </w:r>
      <w:r>
        <w:t xml:space="preserve"> </w:t>
      </w:r>
      <w:r>
        <w:rPr>
          <w:iCs/>
          <w:i/>
        </w:rPr>
        <w:t xml:space="preserve">(printed in English in the source itself):</w:t>
      </w:r>
    </w:p>
    <w:p>
      <w:pPr>
        <w:pStyle w:val="BodyText"/>
      </w:pPr>
      <w:r>
        <w:t xml:space="preserve">“</w:t>
      </w:r>
      <w:r>
        <w:t xml:space="preserve">We recognize you in the midst of the right-minded who are nearest to you; come to us; do not reveal yourself to others.</w:t>
      </w:r>
      <w:r>
        <w:t xml:space="preserve">”</w:t>
      </w:r>
    </w:p>
    <w:p>
      <w:pPr>
        <w:pStyle w:val="BodyText"/>
      </w:pPr>
      <w:r>
        <w:rPr>
          <w:bCs/>
          <w:b/>
        </w:rPr>
        <w:t xml:space="preserve">॥ Viśeṣa-viṣayagaḷu (Special Topics) ॥</w:t>
      </w:r>
    </w:p>
    <w:p>
      <w:pPr>
        <w:pStyle w:val="BodyText"/>
      </w:pPr>
      <w:r>
        <w:t xml:space="preserve">In this Ṛk, apart from a few special words that are difficult, the ṛṣi’s intention is not very clear, though the words are easy and commonly used. The Bhāṣyakāra and others have written the meaning, by using some supplied words (adhyāhāra), in such a way that it can be understood somewhat; but the sense is not quite …</w:t>
      </w:r>
      <w:r>
        <w:t xml:space="preserve"> </w:t>
      </w:r>
      <w:r>
        <w:rPr>
          <w:iCs/>
          <w:i/>
        </w:rPr>
        <w:t xml:space="preserve">(continues on the next page)</w:t>
      </w:r>
    </w:p>
    <w:bookmarkEnd w:id="130"/>
    <w:bookmarkStart w:id="131" w:name="Xfdf8370599121bd166ee2bb607aff3a828aae9a"/>
    <w:p>
      <w:pPr>
        <w:pStyle w:val="Heading3"/>
      </w:pPr>
      <w:r>
        <w:t xml:space="preserve">Page 102 — Special topics on Rik 4.3; Vyākaraṇa-prakriyā (opening)</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4.</w:t>
      </w:r>
      <w:r>
        <w:rPr>
          <w:iCs/>
          <w:i/>
        </w:rPr>
        <w:t xml:space="preserve">”</w:t>
      </w:r>
      <w:r>
        <w:rPr>
          <w:iCs/>
          <w:i/>
        </w:rPr>
        <w:t xml:space="preserve"> </w:t>
      </w:r>
      <w:r>
        <w:rPr>
          <w:iCs/>
          <w:i/>
        </w:rPr>
        <w:t xml:space="preserve">English as printed.)</w:t>
      </w:r>
    </w:p>
    <w:p>
      <w:pPr>
        <w:pStyle w:val="BodyText"/>
      </w:pPr>
      <w:r>
        <w:rPr>
          <w:iCs/>
          <w:i/>
        </w:rPr>
        <w:t xml:space="preserve">(Continuing:)</w:t>
      </w:r>
      <w:r>
        <w:t xml:space="preserve"> </w:t>
      </w:r>
      <w:r>
        <w:t xml:space="preserve">…it does not fit well. To make clear the sense of the sentences</w:t>
      </w:r>
      <w:r>
        <w:t xml:space="preserve"> </w:t>
      </w:r>
      <w:r>
        <w:t xml:space="preserve">“</w:t>
      </w:r>
      <w:r>
        <w:t xml:space="preserve">sumatīnāṃ vidyāma</w:t>
      </w:r>
      <w:r>
        <w:t xml:space="preserve">”</w:t>
      </w:r>
      <w:r>
        <w:t xml:space="preserve"> </w:t>
      </w:r>
      <w:r>
        <w:t xml:space="preserve">and</w:t>
      </w:r>
      <w:r>
        <w:t xml:space="preserve"> </w:t>
      </w:r>
      <w:r>
        <w:t xml:space="preserve">“</w:t>
      </w:r>
      <w:r>
        <w:t xml:space="preserve">mā no ati khyaḥ,</w:t>
      </w:r>
      <w:r>
        <w:t xml:space="preserve">”</w:t>
      </w:r>
      <w:r>
        <w:t xml:space="preserve"> </w:t>
      </w:r>
      <w:r>
        <w:t xml:space="preserve">still some more words are needed, and such words are not in the Ṛk. Whether it be because the loss (of words) is a Vedic licence (chandasi), or because the ṛṣi has left out some words that were necessary and chief, thinking that the intention in his own mind would be clear from the words in the Ṛk — it appears so. Hence the sense of this Ṛk and of the next two or three Ṛks remains unclear.</w:t>
      </w:r>
    </w:p>
    <w:p>
      <w:pPr>
        <w:pStyle w:val="BodyText"/>
      </w:pPr>
      <w:r>
        <w:rPr>
          <w:bCs/>
          <w:b/>
        </w:rPr>
        <w:t xml:space="preserve">अथा (athā)</w:t>
      </w:r>
      <w:r>
        <w:t xml:space="preserve"> </w:t>
      </w:r>
      <w:r>
        <w:t xml:space="preserve">— the letter</w:t>
      </w:r>
      <w:r>
        <w:t xml:space="preserve"> </w:t>
      </w:r>
      <w:r>
        <w:t xml:space="preserve">“</w:t>
      </w:r>
      <w:r>
        <w:t xml:space="preserve">a</w:t>
      </w:r>
      <w:r>
        <w:t xml:space="preserve">”</w:t>
      </w:r>
      <w:r>
        <w:t xml:space="preserve"> </w:t>
      </w:r>
      <w:r>
        <w:t xml:space="preserve">of</w:t>
      </w:r>
      <w:r>
        <w:t xml:space="preserve"> </w:t>
      </w:r>
      <w:r>
        <w:t xml:space="preserve">“</w:t>
      </w:r>
      <w:r>
        <w:t xml:space="preserve">thā</w:t>
      </w:r>
      <w:r>
        <w:t xml:space="preserve">”</w:t>
      </w:r>
      <w:r>
        <w:t xml:space="preserve"> </w:t>
      </w:r>
      <w:r>
        <w:t xml:space="preserve">[the syllable</w:t>
      </w:r>
      <w:r>
        <w:t xml:space="preserve"> </w:t>
      </w:r>
      <w:r>
        <w:t xml:space="preserve">“</w:t>
      </w:r>
      <w:r>
        <w:t xml:space="preserve">tha</w:t>
      </w:r>
      <w:r>
        <w:t xml:space="preserve">”</w:t>
      </w:r>
      <w:r>
        <w:t xml:space="preserve">] of this word is lengthened in accord with Vedic usage. Such examples are needed in the Ṛgveda. For example:</w:t>
      </w:r>
      <w:r>
        <w:t xml:space="preserve"> </w:t>
      </w:r>
      <w:r>
        <w:rPr>
          <w:bCs/>
          <w:b/>
        </w:rPr>
        <w:t xml:space="preserve">sacasva — sacasvā</w:t>
      </w:r>
      <w:r>
        <w:t xml:space="preserve"> </w:t>
      </w:r>
      <w:r>
        <w:t xml:space="preserve">(Ṛ. Saṃ. 1-1-9),</w:t>
      </w:r>
      <w:r>
        <w:t xml:space="preserve"> </w:t>
      </w:r>
      <w:r>
        <w:rPr>
          <w:bCs/>
          <w:b/>
        </w:rPr>
        <w:t xml:space="preserve">śrudhi — śrudhī</w:t>
      </w:r>
      <w:r>
        <w:t xml:space="preserve"> </w:t>
      </w:r>
      <w:r>
        <w:t xml:space="preserve">(Ṛ. Saṃ. 1-2-1),</w:t>
      </w:r>
      <w:r>
        <w:t xml:space="preserve"> </w:t>
      </w:r>
      <w:r>
        <w:rPr>
          <w:bCs/>
          <w:b/>
        </w:rPr>
        <w:t xml:space="preserve">pṛccha — pṛcchā</w:t>
      </w:r>
      <w:r>
        <w:t xml:space="preserve"> </w:t>
      </w:r>
      <w:r>
        <w:t xml:space="preserve">(Ṛ. Saṃ. 1-4-4),</w:t>
      </w:r>
      <w:r>
        <w:t xml:space="preserve"> </w:t>
      </w:r>
      <w:r>
        <w:rPr>
          <w:bCs/>
          <w:b/>
        </w:rPr>
        <w:t xml:space="preserve">piba — pibā</w:t>
      </w:r>
      <w:r>
        <w:t xml:space="preserve"> </w:t>
      </w:r>
      <w:r>
        <w:t xml:space="preserve">(Ṛ. Saṃ. 1-14-10), and the like.</w:t>
      </w:r>
    </w:p>
    <w:p>
      <w:pPr>
        <w:pStyle w:val="BodyText"/>
      </w:pPr>
      <w:r>
        <w:rPr>
          <w:bCs/>
          <w:b/>
        </w:rPr>
        <w:t xml:space="preserve">सुमतीनाम् (sumatīnām)</w:t>
      </w:r>
      <w:r>
        <w:t xml:space="preserve"> </w:t>
      </w:r>
      <w:r>
        <w:t xml:space="preserve">— The explanation of this word has already been given (see p. 81).</w:t>
      </w:r>
    </w:p>
    <w:p>
      <w:pPr>
        <w:pStyle w:val="BodyText"/>
      </w:pPr>
      <w:r>
        <w:rPr>
          <w:bCs/>
          <w:b/>
        </w:rPr>
        <w:t xml:space="preserve">मा (mā)</w:t>
      </w:r>
      <w:r>
        <w:t xml:space="preserve"> </w:t>
      </w:r>
      <w:r>
        <w:t xml:space="preserve">— a negative word of prohibition,</w:t>
      </w:r>
      <w:r>
        <w:t xml:space="preserve"> </w:t>
      </w:r>
      <w:r>
        <w:t xml:space="preserve">“</w:t>
      </w:r>
      <w:r>
        <w:t xml:space="preserve">do not.</w:t>
      </w:r>
      <w:r>
        <w:t xml:space="preserve">”</w:t>
      </w:r>
      <w:r>
        <w:t xml:space="preserve"> </w:t>
      </w:r>
      <w:r>
        <w:t xml:space="preserve">This word is used especially in the Veda.</w:t>
      </w:r>
      <w:r>
        <w:t xml:space="preserve"> </w:t>
      </w:r>
      <w:r>
        <w:rPr>
          <w:bCs/>
          <w:b/>
        </w:rPr>
        <w:t xml:space="preserve">अति (ati)</w:t>
      </w:r>
      <w:r>
        <w:t xml:space="preserve"> </w:t>
      </w:r>
      <w:r>
        <w:t xml:space="preserve">—</w:t>
      </w:r>
      <w:r>
        <w:t xml:space="preserve"> </w:t>
      </w:r>
      <w:r>
        <w:t xml:space="preserve">“</w:t>
      </w:r>
      <w:r>
        <w:t xml:space="preserve">beyond, besides, passing over</w:t>
      </w:r>
      <w:r>
        <w:t xml:space="preserve">”</w:t>
      </w:r>
      <w:r>
        <w:t xml:space="preserve"> </w:t>
      </w:r>
      <w:r>
        <w:rPr>
          <w:iCs/>
          <w:i/>
        </w:rPr>
        <w:t xml:space="preserve">(English as printed:</w:t>
      </w:r>
      <w:r>
        <w:rPr>
          <w:iCs/>
          <w:i/>
        </w:rPr>
        <w:t xml:space="preserve"> </w:t>
      </w:r>
      <w:r>
        <w:rPr>
          <w:iCs/>
          <w:i/>
        </w:rPr>
        <w:t xml:space="preserve">“</w:t>
      </w:r>
      <w:r>
        <w:rPr>
          <w:iCs/>
          <w:i/>
        </w:rPr>
        <w:t xml:space="preserve">Beyond, besides &amp;c.</w:t>
      </w:r>
      <w:r>
        <w:rPr>
          <w:iCs/>
          <w:i/>
        </w:rPr>
        <w:t xml:space="preserve">”</w:t>
      </w:r>
      <w:r>
        <w:rPr>
          <w:iCs/>
          <w:i/>
        </w:rPr>
        <w:t xml:space="preserve">)</w:t>
      </w:r>
      <w:r>
        <w:t xml:space="preserve">.</w:t>
      </w:r>
    </w:p>
    <w:p>
      <w:pPr>
        <w:pStyle w:val="BodyText"/>
      </w:pPr>
      <w:r>
        <w:rPr>
          <w:bCs/>
          <w:b/>
        </w:rPr>
        <w:t xml:space="preserve">॥ Vyākaraṇa-prakriyā ॥</w:t>
      </w:r>
      <w:r>
        <w:t xml:space="preserve"> </w:t>
      </w:r>
      <w:r>
        <w:rPr>
          <w:iCs/>
          <w:i/>
        </w:rPr>
        <w:t xml:space="preserve">(Kannada; characterized, sūtras kept)</w:t>
      </w:r>
      <w:r>
        <w:t xml:space="preserve"> </w:t>
      </w:r>
      <w:r>
        <w:rPr>
          <w:bCs/>
          <w:b/>
        </w:rPr>
        <w:t xml:space="preserve">“</w:t>
      </w:r>
      <w:r>
        <w:rPr>
          <w:bCs/>
          <w:b/>
        </w:rPr>
        <w:t xml:space="preserve">Atha</w:t>
      </w:r>
      <w:r>
        <w:rPr>
          <w:bCs/>
          <w:b/>
        </w:rPr>
        <w:t xml:space="preserve">”</w:t>
      </w:r>
      <w:r>
        <w:t xml:space="preserve"> </w:t>
      </w:r>
      <w:r>
        <w:t xml:space="preserve">— a nipāta, so first-syllable acute (</w:t>
      </w:r>
      <w:r>
        <w:rPr>
          <w:bCs/>
          <w:b/>
        </w:rPr>
        <w:t xml:space="preserve">निपाता आद्युदात्ताः</w:t>
      </w:r>
      <w:r>
        <w:t xml:space="preserve">);</w:t>
      </w:r>
      <w:r>
        <w:t xml:space="preserve"> </w:t>
      </w:r>
      <w:r>
        <w:rPr>
          <w:bCs/>
          <w:b/>
        </w:rPr>
        <w:t xml:space="preserve">निपातस्य च</w:t>
      </w:r>
      <w:r>
        <w:t xml:space="preserve"> </w:t>
      </w:r>
      <w:r>
        <w:t xml:space="preserve">(पा. ६-३-१३६) lengthens the vowel in mantra:</w:t>
      </w:r>
      <w:r>
        <w:t xml:space="preserve"> </w:t>
      </w:r>
      <w:r>
        <w:t xml:space="preserve">“</w:t>
      </w:r>
      <w:r>
        <w:t xml:space="preserve">athā.</w:t>
      </w:r>
      <w:r>
        <w:t xml:space="preserve">”</w:t>
      </w:r>
      <w:r>
        <w:t xml:space="preserve"> </w:t>
      </w:r>
      <w:r>
        <w:rPr>
          <w:bCs/>
          <w:b/>
        </w:rPr>
        <w:t xml:space="preserve">“</w:t>
      </w:r>
      <w:r>
        <w:rPr>
          <w:bCs/>
          <w:b/>
        </w:rPr>
        <w:t xml:space="preserve">Antamānām</w:t>
      </w:r>
      <w:r>
        <w:rPr>
          <w:bCs/>
          <w:b/>
        </w:rPr>
        <w:t xml:space="preserve">”</w:t>
      </w:r>
      <w:r>
        <w:t xml:space="preserve"> </w:t>
      </w:r>
      <w:r>
        <w:t xml:space="preserve">—</w:t>
      </w:r>
      <w:r>
        <w:t xml:space="preserve"> </w:t>
      </w:r>
      <w:r>
        <w:t xml:space="preserve">“</w:t>
      </w:r>
      <w:r>
        <w:t xml:space="preserve">antaḥ asya asti</w:t>
      </w:r>
      <w:r>
        <w:t xml:space="preserve">”</w:t>
      </w:r>
      <w:r>
        <w:t xml:space="preserve"> </w:t>
      </w:r>
      <w:r>
        <w:t xml:space="preserve">(</w:t>
      </w:r>
      <w:r>
        <w:t xml:space="preserve">“</w:t>
      </w:r>
      <w:r>
        <w:t xml:space="preserve">this has an end</w:t>
      </w:r>
      <w:r>
        <w:t xml:space="preserve">”</w:t>
      </w:r>
      <w:r>
        <w:t xml:space="preserve">), the etymology of</w:t>
      </w:r>
      <w:r>
        <w:t xml:space="preserve"> </w:t>
      </w:r>
      <w:r>
        <w:t xml:space="preserve">“</w:t>
      </w:r>
      <w:r>
        <w:t xml:space="preserve">antika</w:t>
      </w:r>
      <w:r>
        <w:t xml:space="preserve">”</w:t>
      </w:r>
      <w:r>
        <w:t xml:space="preserve">: by</w:t>
      </w:r>
      <w:r>
        <w:t xml:space="preserve"> </w:t>
      </w:r>
      <w:r>
        <w:rPr>
          <w:bCs/>
          <w:b/>
        </w:rPr>
        <w:t xml:space="preserve">अत इनिठनौ</w:t>
      </w:r>
      <w:r>
        <w:t xml:space="preserve"> </w:t>
      </w:r>
      <w:r>
        <w:t xml:space="preserve">(पा. ५-२-११५)</w:t>
      </w:r>
      <w:r>
        <w:t xml:space="preserve"> </w:t>
      </w:r>
      <w:r>
        <w:t xml:space="preserve">“</w:t>
      </w:r>
      <w:r>
        <w:t xml:space="preserve">ini</w:t>
      </w:r>
      <w:r>
        <w:t xml:space="preserve">”</w:t>
      </w:r>
      <w:r>
        <w:t xml:space="preserve"> </w:t>
      </w:r>
      <w:r>
        <w:t xml:space="preserve">or</w:t>
      </w:r>
      <w:r>
        <w:t xml:space="preserve"> </w:t>
      </w:r>
      <w:r>
        <w:t xml:space="preserve">“</w:t>
      </w:r>
      <w:r>
        <w:t xml:space="preserve">ṭhan</w:t>
      </w:r>
      <w:r>
        <w:t xml:space="preserve">”</w:t>
      </w:r>
      <w:r>
        <w:t xml:space="preserve"> </w:t>
      </w:r>
      <w:r>
        <w:t xml:space="preserve">after a stem ending in short</w:t>
      </w:r>
      <w:r>
        <w:t xml:space="preserve"> </w:t>
      </w:r>
      <w:r>
        <w:t xml:space="preserve">“</w:t>
      </w:r>
      <w:r>
        <w:t xml:space="preserve">a</w:t>
      </w:r>
      <w:r>
        <w:t xml:space="preserve">”</w:t>
      </w:r>
      <w:r>
        <w:t xml:space="preserve">; with</w:t>
      </w:r>
      <w:r>
        <w:t xml:space="preserve"> </w:t>
      </w:r>
      <w:r>
        <w:t xml:space="preserve">“</w:t>
      </w:r>
      <w:r>
        <w:t xml:space="preserve">ṭhan,</w:t>
      </w:r>
      <w:r>
        <w:t xml:space="preserve">”</w:t>
      </w:r>
      <w:r>
        <w:t xml:space="preserve"> </w:t>
      </w:r>
      <w:r>
        <w:rPr>
          <w:bCs/>
          <w:b/>
        </w:rPr>
        <w:t xml:space="preserve">ठस्येकः</w:t>
      </w:r>
      <w:r>
        <w:t xml:space="preserve"> </w:t>
      </w:r>
      <w:r>
        <w:t xml:space="preserve">(</w:t>
      </w:r>
      <w:r>
        <w:rPr>
          <w:iCs/>
          <w:i/>
        </w:rPr>
        <w:t xml:space="preserve">ṭhasyekaḥ</w:t>
      </w:r>
      <w:r>
        <w:t xml:space="preserve">, पा. ७-३-५०) gives</w:t>
      </w:r>
      <w:r>
        <w:t xml:space="preserve"> </w:t>
      </w:r>
      <w:r>
        <w:t xml:space="preserve">“</w:t>
      </w:r>
      <w:r>
        <w:t xml:space="preserve">ika</w:t>
      </w:r>
      <w:r>
        <w:t xml:space="preserve">”</w:t>
      </w:r>
      <w:r>
        <w:t xml:space="preserve">:</w:t>
      </w:r>
      <w:r>
        <w:t xml:space="preserve"> </w:t>
      </w:r>
      <w:r>
        <w:t xml:space="preserve">“</w:t>
      </w:r>
      <w:r>
        <w:t xml:space="preserve">anta + ika</w:t>
      </w:r>
      <w:r>
        <w:t xml:space="preserve">”</w:t>
      </w:r>
      <w:r>
        <w:t xml:space="preserve">; by</w:t>
      </w:r>
      <w:r>
        <w:t xml:space="preserve"> </w:t>
      </w:r>
      <w:r>
        <w:rPr>
          <w:bCs/>
          <w:b/>
        </w:rPr>
        <w:t xml:space="preserve">यस्येति च</w:t>
      </w:r>
      <w:r>
        <w:t xml:space="preserve"> </w:t>
      </w:r>
      <w:r>
        <w:t xml:space="preserve">(पा. ६-४-१४८) the</w:t>
      </w:r>
      <w:r>
        <w:t xml:space="preserve"> </w:t>
      </w:r>
      <w:r>
        <w:t xml:space="preserve">“</w:t>
      </w:r>
      <w:r>
        <w:t xml:space="preserve">a</w:t>
      </w:r>
      <w:r>
        <w:t xml:space="preserve">”</w:t>
      </w:r>
      <w:r>
        <w:t xml:space="preserve"> </w:t>
      </w:r>
      <w:r>
        <w:t xml:space="preserve">of the stem is elided →</w:t>
      </w:r>
      <w:r>
        <w:t xml:space="preserve"> </w:t>
      </w:r>
      <w:r>
        <w:t xml:space="preserve">“</w:t>
      </w:r>
      <w:r>
        <w:t xml:space="preserve">antika.</w:t>
      </w:r>
      <w:r>
        <w:t xml:space="preserve">”</w:t>
      </w:r>
      <w:r>
        <w:t xml:space="preserve"> </w:t>
      </w:r>
      <w:r>
        <w:t xml:space="preserve">There is no limit to remoteness; but for the excellence of proximity,</w:t>
      </w:r>
      <w:r>
        <w:t xml:space="preserve"> </w:t>
      </w:r>
      <w:r>
        <w:t xml:space="preserve">“</w:t>
      </w:r>
      <w:r>
        <w:t xml:space="preserve">that which is near to something has its</w:t>
      </w:r>
      <w:r>
        <w:t xml:space="preserve"> </w:t>
      </w:r>
      <w:r>
        <w:t xml:space="preserve">‘</w:t>
      </w:r>
      <w:r>
        <w:t xml:space="preserve">end</w:t>
      </w:r>
      <w:r>
        <w:t xml:space="preserve">’</w:t>
      </w:r>
      <w:r>
        <w:t xml:space="preserve"> </w:t>
      </w:r>
      <w:r>
        <w:t xml:space="preserve">there</w:t>
      </w:r>
      <w:r>
        <w:t xml:space="preserve">”</w:t>
      </w:r>
      <w:r>
        <w:t xml:space="preserve">; because it has an</w:t>
      </w:r>
      <w:r>
        <w:t xml:space="preserve"> </w:t>
      </w:r>
      <w:r>
        <w:t xml:space="preserve">“</w:t>
      </w:r>
      <w:r>
        <w:t xml:space="preserve">anta</w:t>
      </w:r>
      <w:r>
        <w:t xml:space="preserve">”</w:t>
      </w:r>
      <w:r>
        <w:t xml:space="preserve"> </w:t>
      </w:r>
      <w:r>
        <w:t xml:space="preserve">(limit), the word</w:t>
      </w:r>
      <w:r>
        <w:t xml:space="preserve"> </w:t>
      </w:r>
      <w:r>
        <w:t xml:space="preserve">“</w:t>
      </w:r>
      <w:r>
        <w:t xml:space="preserve">antika</w:t>
      </w:r>
      <w:r>
        <w:t xml:space="preserve">”</w:t>
      </w:r>
      <w:r>
        <w:t xml:space="preserve"> </w:t>
      </w:r>
      <w:r>
        <w:t xml:space="preserve">means</w:t>
      </w:r>
      <w:r>
        <w:t xml:space="preserve"> </w:t>
      </w:r>
      <w:r>
        <w:t xml:space="preserve">“</w:t>
      </w:r>
      <w:r>
        <w:t xml:space="preserve">near.</w:t>
      </w:r>
      <w:r>
        <w:t xml:space="preserve">”</w:t>
      </w:r>
      <w:r>
        <w:t xml:space="preserve"> </w:t>
      </w:r>
      <w:r>
        <w:t xml:space="preserve">“</w:t>
      </w:r>
      <w:r>
        <w:t xml:space="preserve">Atiśayena antikāḥ</w:t>
      </w:r>
      <w:r>
        <w:t xml:space="preserve">”</w:t>
      </w:r>
      <w:r>
        <w:t xml:space="preserve"> </w:t>
      </w:r>
      <w:r>
        <w:t xml:space="preserve">— to express excess,</w:t>
      </w:r>
      <w:r>
        <w:t xml:space="preserve"> </w:t>
      </w:r>
      <w:r>
        <w:rPr>
          <w:bCs/>
          <w:b/>
        </w:rPr>
        <w:t xml:space="preserve">अतिशायने तमबिष्ठनौ</w:t>
      </w:r>
      <w:r>
        <w:t xml:space="preserve"> </w:t>
      </w:r>
      <w:r>
        <w:t xml:space="preserve">(पा. ५-३-५५) puts</w:t>
      </w:r>
      <w:r>
        <w:t xml:space="preserve"> </w:t>
      </w:r>
      <w:r>
        <w:t xml:space="preserve">“</w:t>
      </w:r>
      <w:r>
        <w:t xml:space="preserve">tamap</w:t>
      </w:r>
      <w:r>
        <w:t xml:space="preserve">”</w:t>
      </w:r>
      <w:r>
        <w:t xml:space="preserve"> </w:t>
      </w:r>
      <w:r>
        <w:t xml:space="preserve">after the stem in the sense of excess →</w:t>
      </w:r>
      <w:r>
        <w:t xml:space="preserve"> </w:t>
      </w:r>
      <w:r>
        <w:t xml:space="preserve">“</w:t>
      </w:r>
      <w:r>
        <w:t xml:space="preserve">antika + tama</w:t>
      </w:r>
      <w:r>
        <w:t xml:space="preserve">”</w:t>
      </w:r>
      <w:r>
        <w:t xml:space="preserve">;</w:t>
      </w:r>
      <w:r>
        <w:t xml:space="preserve"> </w:t>
      </w:r>
      <w:r>
        <w:rPr>
          <w:bCs/>
          <w:b/>
        </w:rPr>
        <w:t xml:space="preserve">तमो</w:t>
      </w:r>
      <w:r>
        <w:t xml:space="preserve"> </w:t>
      </w:r>
      <w:r>
        <w:t xml:space="preserve">…:</w:t>
      </w:r>
      <w:r>
        <w:t xml:space="preserve"> </w:t>
      </w:r>
      <w:r>
        <w:rPr>
          <w:bCs/>
          <w:b/>
        </w:rPr>
        <w:t xml:space="preserve">तिकतमः</w:t>
      </w:r>
      <w:r>
        <w:t xml:space="preserve"> </w:t>
      </w:r>
      <w:r>
        <w:t xml:space="preserve">— by</w:t>
      </w:r>
      <w:r>
        <w:t xml:space="preserve"> </w:t>
      </w:r>
      <w:r>
        <w:rPr>
          <w:bCs/>
          <w:b/>
        </w:rPr>
        <w:t xml:space="preserve">टेः</w:t>
      </w:r>
      <w:r>
        <w:t xml:space="preserve"> </w:t>
      </w:r>
      <w:r>
        <w:t xml:space="preserve">/</w:t>
      </w:r>
      <w:r>
        <w:t xml:space="preserve"> </w:t>
      </w:r>
      <w:r>
        <w:t xml:space="preserve">“</w:t>
      </w:r>
      <w:r>
        <w:t xml:space="preserve">ti-ka</w:t>
      </w:r>
      <w:r>
        <w:t xml:space="preserve">”</w:t>
      </w:r>
      <w:r>
        <w:t xml:space="preserve">-loss (as printed:</w:t>
      </w:r>
      <w:r>
        <w:t xml:space="preserve"> </w:t>
      </w:r>
      <w:r>
        <w:rPr>
          <w:bCs/>
          <w:b/>
        </w:rPr>
        <w:t xml:space="preserve">तेस्तादेशश्च</w:t>
      </w:r>
      <w:r>
        <w:t xml:space="preserve">, पा. ६-४-१५४ वा. ९) the</w:t>
      </w:r>
      <w:r>
        <w:t xml:space="preserve"> </w:t>
      </w:r>
      <w:r>
        <w:t xml:space="preserve">“</w:t>
      </w:r>
      <w:r>
        <w:t xml:space="preserve">tika</w:t>
      </w:r>
      <w:r>
        <w:t xml:space="preserve">”</w:t>
      </w:r>
      <w:r>
        <w:t xml:space="preserve"> </w:t>
      </w:r>
      <w:r>
        <w:t xml:space="preserve">portion [as printed:</w:t>
      </w:r>
      <w:r>
        <w:t xml:space="preserve"> </w:t>
      </w:r>
      <w:r>
        <w:t xml:space="preserve">“</w:t>
      </w:r>
      <w:r>
        <w:t xml:space="preserve">ti-ka</w:t>
      </w:r>
      <w:r>
        <w:t xml:space="preserve">”</w:t>
      </w:r>
      <w:r>
        <w:t xml:space="preserve">] is elided before</w:t>
      </w:r>
      <w:r>
        <w:t xml:space="preserve"> </w:t>
      </w:r>
      <w:r>
        <w:t xml:space="preserve">“</w:t>
      </w:r>
      <w:r>
        <w:t xml:space="preserve">tamap</w:t>
      </w:r>
      <w:r>
        <w:t xml:space="preserve">”</w:t>
      </w:r>
      <w:r>
        <w:t xml:space="preserve">; the result is</w:t>
      </w:r>
      <w:r>
        <w:t xml:space="preserve"> </w:t>
      </w:r>
      <w:r>
        <w:t xml:space="preserve">“</w:t>
      </w:r>
      <w:r>
        <w:t xml:space="preserve">antama.</w:t>
      </w:r>
      <w:r>
        <w:t xml:space="preserve">”</w:t>
      </w:r>
      <w:r>
        <w:t xml:space="preserve"> </w:t>
      </w:r>
      <w:r>
        <w:t xml:space="preserve">In the genitive plural,</w:t>
      </w:r>
      <w:r>
        <w:t xml:space="preserve"> </w:t>
      </w:r>
      <w:r>
        <w:t xml:space="preserve">“</w:t>
      </w:r>
      <w:r>
        <w:t xml:space="preserve">antamānām.</w:t>
      </w:r>
      <w:r>
        <w:t xml:space="preserve">”</w:t>
      </w:r>
      <w:r>
        <w:t xml:space="preserve"> </w:t>
      </w:r>
      <w:r>
        <w:t xml:space="preserve">“</w:t>
      </w:r>
      <w:r>
        <w:t xml:space="preserve">Vidyāma</w:t>
      </w:r>
      <w:r>
        <w:t xml:space="preserve">”</w:t>
      </w:r>
      <w:r>
        <w:t xml:space="preserve"> </w:t>
      </w:r>
      <w:r>
        <w:t xml:space="preserve">— from</w:t>
      </w:r>
      <w:r>
        <w:t xml:space="preserve"> </w:t>
      </w:r>
      <w:r>
        <w:t xml:space="preserve">“</w:t>
      </w:r>
      <w:r>
        <w:t xml:space="preserve">vid jñāne</w:t>
      </w:r>
      <w:r>
        <w:t xml:space="preserve">”</w:t>
      </w:r>
      <w:r>
        <w:t xml:space="preserve"> </w:t>
      </w:r>
      <w:r>
        <w:t xml:space="preserve">(to know) by liṅ; for the</w:t>
      </w:r>
      <w:r>
        <w:t xml:space="preserve"> </w:t>
      </w:r>
      <w:r>
        <w:t xml:space="preserve">“</w:t>
      </w:r>
      <w:r>
        <w:t xml:space="preserve">liṅ</w:t>
      </w:r>
      <w:r>
        <w:t xml:space="preserve">”</w:t>
      </w:r>
      <w:r>
        <w:t xml:space="preserve"> </w:t>
      </w:r>
      <w:r>
        <w:rPr>
          <w:bCs/>
          <w:b/>
        </w:rPr>
        <w:t xml:space="preserve">यासुट् परस्मैपदेषूदात्तो ङिच्च</w:t>
      </w:r>
      <w:r>
        <w:t xml:space="preserve"> </w:t>
      </w:r>
      <w:r>
        <w:t xml:space="preserve">(पा. ३-४-१०३) — in the parasmaipada the augment</w:t>
      </w:r>
      <w:r>
        <w:t xml:space="preserve"> </w:t>
      </w:r>
      <w:r>
        <w:t xml:space="preserve">“</w:t>
      </w:r>
      <w:r>
        <w:t xml:space="preserve">yāsuṭ</w:t>
      </w:r>
      <w:r>
        <w:t xml:space="preserve">”</w:t>
      </w:r>
      <w:r>
        <w:t xml:space="preserve"> </w:t>
      </w:r>
      <w:r>
        <w:t xml:space="preserve">comes, which is acute and</w:t>
      </w:r>
      <w:r>
        <w:t xml:space="preserve"> </w:t>
      </w:r>
      <w:r>
        <w:t xml:space="preserve">“</w:t>
      </w:r>
      <w:r>
        <w:t xml:space="preserve">ṅit</w:t>
      </w:r>
      <w:r>
        <w:t xml:space="preserve">”</w:t>
      </w:r>
      <w:r>
        <w:t xml:space="preserve"> </w:t>
      </w:r>
      <w:r>
        <w:t xml:space="preserve">…</w:t>
      </w:r>
      <w:r>
        <w:t xml:space="preserve"> </w:t>
      </w:r>
      <w:r>
        <w:rPr>
          <w:iCs/>
          <w:i/>
        </w:rPr>
        <w:t xml:space="preserve">(continues on the next page)</w:t>
      </w:r>
    </w:p>
    <w:bookmarkEnd w:id="131"/>
    <w:bookmarkStart w:id="132" w:name="X699e46b42553fad09da3206e6da25b5c8ca6cec"/>
    <w:p>
      <w:pPr>
        <w:pStyle w:val="Heading3"/>
      </w:pPr>
      <w:r>
        <w:t xml:space="preserve">Page 103 — Vyākaraṇa-prakriyā for Rik 4.3 concluded</w:t>
      </w:r>
    </w:p>
    <w:p>
      <w:pPr>
        <w:pStyle w:val="FirstParagraph"/>
      </w:pPr>
      <w:r>
        <w:rPr>
          <w:iCs/>
          <w:i/>
        </w:rPr>
        <w:t xml:space="preserve">(Page header:</w:t>
      </w:r>
      <w:r>
        <w:rPr>
          <w:iCs/>
          <w:i/>
        </w:rPr>
        <w:t xml:space="preserve"> </w:t>
      </w:r>
      <w:r>
        <w:rPr>
          <w:iCs/>
          <w:i/>
        </w:rPr>
        <w:t xml:space="preserve">“</w:t>
      </w:r>
      <w:r>
        <w:rPr>
          <w:iCs/>
          <w:i/>
        </w:rPr>
        <w:t xml:space="preserve">Aṣṭaka 1, Adhyāya 1, Varga 7 · Ṛgveda-saṃhitā.</w:t>
      </w:r>
      <w:r>
        <w:rPr>
          <w:iCs/>
          <w:i/>
        </w:rPr>
        <w:t xml:space="preserve">”</w:t>
      </w:r>
      <w:r>
        <w:rPr>
          <w:iCs/>
          <w:i/>
        </w:rPr>
        <w:t xml:space="preserve"> </w:t>
      </w:r>
      <w:r>
        <w:rPr>
          <w:iCs/>
          <w:i/>
        </w:rPr>
        <w:t xml:space="preserve">Grammar characterized, sūtras kept; numbers as read.)</w:t>
      </w:r>
    </w:p>
    <w:p>
      <w:pPr>
        <w:pStyle w:val="BodyText"/>
      </w:pPr>
      <w:r>
        <w:rPr>
          <w:iCs/>
          <w:i/>
        </w:rPr>
        <w:t xml:space="preserve">(Continuing:)</w:t>
      </w:r>
      <w:r>
        <w:t xml:space="preserve"> </w:t>
      </w:r>
      <w:r>
        <w:t xml:space="preserve">…</w:t>
      </w:r>
      <w:r>
        <w:t xml:space="preserve">“</w:t>
      </w:r>
      <w:r>
        <w:t xml:space="preserve">yāsuṭ</w:t>
      </w:r>
      <w:r>
        <w:t xml:space="preserve">”</w:t>
      </w:r>
      <w:r>
        <w:t xml:space="preserve"> </w:t>
      </w:r>
      <w:r>
        <w:t xml:space="preserve">is acute; because the word stands at the beginning of the pāda,</w:t>
      </w:r>
      <w:r>
        <w:t xml:space="preserve"> </w:t>
      </w:r>
      <w:r>
        <w:rPr>
          <w:bCs/>
          <w:b/>
        </w:rPr>
        <w:t xml:space="preserve">तिङ्ङतिङः</w:t>
      </w:r>
      <w:r>
        <w:t xml:space="preserve"> </w:t>
      </w:r>
      <w:r>
        <w:t xml:space="preserve">(पा. ८-१-२८) does not bring nighāta.</w:t>
      </w:r>
      <w:r>
        <w:t xml:space="preserve"> </w:t>
      </w:r>
      <w:r>
        <w:rPr>
          <w:bCs/>
          <w:b/>
        </w:rPr>
        <w:t xml:space="preserve">“</w:t>
      </w:r>
      <w:r>
        <w:rPr>
          <w:bCs/>
          <w:b/>
        </w:rPr>
        <w:t xml:space="preserve">Sumatīnām</w:t>
      </w:r>
      <w:r>
        <w:rPr>
          <w:bCs/>
          <w:b/>
        </w:rPr>
        <w:t xml:space="preserve">”</w:t>
      </w:r>
      <w:r>
        <w:t xml:space="preserve"> </w:t>
      </w:r>
      <w:r>
        <w:t xml:space="preserve">— the word</w:t>
      </w:r>
      <w:r>
        <w:t xml:space="preserve"> </w:t>
      </w:r>
      <w:r>
        <w:t xml:space="preserve">“</w:t>
      </w:r>
      <w:r>
        <w:t xml:space="preserve">mati</w:t>
      </w:r>
      <w:r>
        <w:t xml:space="preserve">”</w:t>
      </w:r>
      <w:r>
        <w:t xml:space="preserve"> </w:t>
      </w:r>
      <w:r>
        <w:t xml:space="preserve">ends in</w:t>
      </w:r>
      <w:r>
        <w:t xml:space="preserve"> </w:t>
      </w:r>
      <w:r>
        <w:t xml:space="preserve">“</w:t>
      </w:r>
      <w:r>
        <w:t xml:space="preserve">ktin,</w:t>
      </w:r>
      <w:r>
        <w:t xml:space="preserve">”</w:t>
      </w:r>
      <w:r>
        <w:t xml:space="preserve"> </w:t>
      </w:r>
      <w:r>
        <w:t xml:space="preserve">but in the Veda</w:t>
      </w:r>
      <w:r>
        <w:t xml:space="preserve"> </w:t>
      </w:r>
      <w:r>
        <w:rPr>
          <w:bCs/>
          <w:b/>
        </w:rPr>
        <w:t xml:space="preserve">मन्त्रे वृषेषपचमनविदभूवीरा उदात्तः</w:t>
      </w:r>
      <w:r>
        <w:t xml:space="preserve"> </w:t>
      </w:r>
      <w:r>
        <w:t xml:space="preserve">(पा. ३-३-९६ [as printed]) makes the affix acute after the roots</w:t>
      </w:r>
      <w:r>
        <w:t xml:space="preserve"> </w:t>
      </w:r>
      <w:r>
        <w:t xml:space="preserve">“</w:t>
      </w:r>
      <w:r>
        <w:t xml:space="preserve">vṛṣ</w:t>
      </w:r>
      <w:r>
        <w:t xml:space="preserve">”</w:t>
      </w:r>
      <w:r>
        <w:t xml:space="preserve"> </w:t>
      </w:r>
      <w:r>
        <w:t xml:space="preserve">(to shower),</w:t>
      </w:r>
      <w:r>
        <w:t xml:space="preserve"> </w:t>
      </w:r>
      <w:r>
        <w:t xml:space="preserve">“</w:t>
      </w:r>
      <w:r>
        <w:t xml:space="preserve">iṣ</w:t>
      </w:r>
      <w:r>
        <w:t xml:space="preserve">”</w:t>
      </w:r>
      <w:r>
        <w:t xml:space="preserve"> </w:t>
      </w:r>
      <w:r>
        <w:t xml:space="preserve">(to wish),</w:t>
      </w:r>
      <w:r>
        <w:t xml:space="preserve"> </w:t>
      </w:r>
      <w:r>
        <w:t xml:space="preserve">“</w:t>
      </w:r>
      <w:r>
        <w:t xml:space="preserve">duṣ-pac</w:t>
      </w:r>
      <w:r>
        <w:t xml:space="preserve">”</w:t>
      </w:r>
      <w:r>
        <w:t xml:space="preserve"> </w:t>
      </w:r>
      <w:r>
        <w:t xml:space="preserve">(to cook),</w:t>
      </w:r>
      <w:r>
        <w:t xml:space="preserve"> </w:t>
      </w:r>
      <w:r>
        <w:t xml:space="preserve">“</w:t>
      </w:r>
      <w:r>
        <w:t xml:space="preserve">man</w:t>
      </w:r>
      <w:r>
        <w:t xml:space="preserve">”</w:t>
      </w:r>
      <w:r>
        <w:t xml:space="preserve"> </w:t>
      </w:r>
      <w:r>
        <w:t xml:space="preserve">(to think),</w:t>
      </w:r>
      <w:r>
        <w:t xml:space="preserve"> </w:t>
      </w:r>
      <w:r>
        <w:t xml:space="preserve">“</w:t>
      </w:r>
      <w:r>
        <w:t xml:space="preserve">vid</w:t>
      </w:r>
      <w:r>
        <w:t xml:space="preserve">”</w:t>
      </w:r>
      <w:r>
        <w:t xml:space="preserve"> </w:t>
      </w:r>
      <w:r>
        <w:t xml:space="preserve">(to be),</w:t>
      </w:r>
      <w:r>
        <w:t xml:space="preserve"> </w:t>
      </w:r>
      <w:r>
        <w:t xml:space="preserve">“</w:t>
      </w:r>
      <w:r>
        <w:t xml:space="preserve">bhū,</w:t>
      </w:r>
      <w:r>
        <w:t xml:space="preserve">”</w:t>
      </w:r>
      <w:r>
        <w:t xml:space="preserve"> </w:t>
      </w:r>
      <w:r>
        <w:t xml:space="preserve">“</w:t>
      </w:r>
      <w:r>
        <w:t xml:space="preserve">vī</w:t>
      </w:r>
      <w:r>
        <w:t xml:space="preserve">”</w:t>
      </w:r>
      <w:r>
        <w:t xml:space="preserve"> </w:t>
      </w:r>
      <w:r>
        <w:t xml:space="preserve">(and</w:t>
      </w:r>
      <w:r>
        <w:t xml:space="preserve"> </w:t>
      </w:r>
      <w:r>
        <w:t xml:space="preserve">“</w:t>
      </w:r>
      <w:r>
        <w:t xml:space="preserve">rā</w:t>
      </w:r>
      <w:r>
        <w:t xml:space="preserve">”</w:t>
      </w:r>
      <w:r>
        <w:t xml:space="preserve"> </w:t>
      </w:r>
      <w:r>
        <w:t xml:space="preserve">in</w:t>
      </w:r>
      <w:r>
        <w:t xml:space="preserve"> </w:t>
      </w:r>
      <w:r>
        <w:t xml:space="preserve">“</w:t>
      </w:r>
      <w:r>
        <w:t xml:space="preserve">rādaḥ</w:t>
      </w:r>
      <w:r>
        <w:t xml:space="preserve">”</w:t>
      </w:r>
      <w:r>
        <w:t xml:space="preserve">); so after</w:t>
      </w:r>
      <w:r>
        <w:t xml:space="preserve"> </w:t>
      </w:r>
      <w:r>
        <w:t xml:space="preserve">“</w:t>
      </w:r>
      <w:r>
        <w:t xml:space="preserve">man,</w:t>
      </w:r>
      <w:r>
        <w:t xml:space="preserve">”</w:t>
      </w:r>
      <w:r>
        <w:t xml:space="preserve"> </w:t>
      </w:r>
      <w:r>
        <w:t xml:space="preserve">“</w:t>
      </w:r>
      <w:r>
        <w:t xml:space="preserve">ktin</w:t>
      </w:r>
      <w:r>
        <w:t xml:space="preserve">”</w:t>
      </w:r>
      <w:r>
        <w:t xml:space="preserve"> </w:t>
      </w:r>
      <w:r>
        <w:t xml:space="preserve">is added, and</w:t>
      </w:r>
      <w:r>
        <w:t xml:space="preserve"> </w:t>
      </w:r>
      <w:r>
        <w:rPr>
          <w:bCs/>
          <w:b/>
        </w:rPr>
        <w:t xml:space="preserve">अनुदात्तोपदेश…</w:t>
      </w:r>
      <w:r>
        <w:t xml:space="preserve"> </w:t>
      </w:r>
      <w:r>
        <w:t xml:space="preserve">(पा. ६-४-३७) drops the nasal of</w:t>
      </w:r>
      <w:r>
        <w:t xml:space="preserve"> </w:t>
      </w:r>
      <w:r>
        <w:t xml:space="preserve">“</w:t>
      </w:r>
      <w:r>
        <w:t xml:space="preserve">man</w:t>
      </w:r>
      <w:r>
        <w:t xml:space="preserve">”</w:t>
      </w:r>
      <w:r>
        <w:t xml:space="preserve"> </w:t>
      </w:r>
      <w:r>
        <w:t xml:space="preserve">→</w:t>
      </w:r>
      <w:r>
        <w:t xml:space="preserve"> </w:t>
      </w:r>
      <w:r>
        <w:t xml:space="preserve">“</w:t>
      </w:r>
      <w:r>
        <w:t xml:space="preserve">mati</w:t>
      </w:r>
      <w:r>
        <w:t xml:space="preserve">”</w:t>
      </w:r>
      <w:r>
        <w:t xml:space="preserve">; the</w:t>
      </w:r>
      <w:r>
        <w:t xml:space="preserve"> </w:t>
      </w:r>
      <w:r>
        <w:t xml:space="preserve">“</w:t>
      </w:r>
      <w:r>
        <w:t xml:space="preserve">i</w:t>
      </w:r>
      <w:r>
        <w:t xml:space="preserve">”</w:t>
      </w:r>
      <w:r>
        <w:t xml:space="preserve"> </w:t>
      </w:r>
      <w:r>
        <w:t xml:space="preserve">of</w:t>
      </w:r>
      <w:r>
        <w:t xml:space="preserve"> </w:t>
      </w:r>
      <w:r>
        <w:t xml:space="preserve">“</w:t>
      </w:r>
      <w:r>
        <w:t xml:space="preserve">ktin</w:t>
      </w:r>
      <w:r>
        <w:t xml:space="preserve">”</w:t>
      </w:r>
      <w:r>
        <w:t xml:space="preserve"> </w:t>
      </w:r>
      <w:r>
        <w:t xml:space="preserve">is acute by the preceding sūtra.</w:t>
      </w:r>
      <w:r>
        <w:t xml:space="preserve"> </w:t>
      </w:r>
      <w:r>
        <w:t xml:space="preserve">“</w:t>
      </w:r>
      <w:r>
        <w:t xml:space="preserve">Śobhanā matiḥ yeṣāṃ te sumatayaḥ</w:t>
      </w:r>
      <w:r>
        <w:t xml:space="preserve">”</w:t>
      </w:r>
      <w:r>
        <w:t xml:space="preserve"> </w:t>
      </w:r>
      <w:r>
        <w:t xml:space="preserve">— as a bahuvrīhi the first member’s natural accent is overridden by</w:t>
      </w:r>
      <w:r>
        <w:t xml:space="preserve"> </w:t>
      </w:r>
      <w:r>
        <w:rPr>
          <w:bCs/>
          <w:b/>
        </w:rPr>
        <w:t xml:space="preserve">नञ्सुभ्याम्</w:t>
      </w:r>
      <w:r>
        <w:t xml:space="preserve">;</w:t>
      </w:r>
      <w:r>
        <w:t xml:space="preserve"> </w:t>
      </w:r>
      <w:r>
        <w:t xml:space="preserve">“</w:t>
      </w:r>
      <w:r>
        <w:t xml:space="preserve">śobhanāś ca tāḥ matayaḥ</w:t>
      </w:r>
      <w:r>
        <w:t xml:space="preserve">”</w:t>
      </w:r>
      <w:r>
        <w:t xml:space="preserve"> </w:t>
      </w:r>
      <w:r>
        <w:t xml:space="preserve">— as a karmadhāraya the indeclinable-prefix accent is overridden by</w:t>
      </w:r>
      <w:r>
        <w:t xml:space="preserve"> </w:t>
      </w:r>
      <w:r>
        <w:rPr>
          <w:bCs/>
          <w:b/>
        </w:rPr>
        <w:t xml:space="preserve">गतिकारकोपपदात्कृत्</w:t>
      </w:r>
      <w:r>
        <w:t xml:space="preserve"> </w:t>
      </w:r>
      <w:r>
        <w:t xml:space="preserve">(पा. ६-२-१३९), and the second member is end-acute. When</w:t>
      </w:r>
      <w:r>
        <w:t xml:space="preserve"> </w:t>
      </w:r>
      <w:r>
        <w:t xml:space="preserve">“</w:t>
      </w:r>
      <w:r>
        <w:t xml:space="preserve">matup</w:t>
      </w:r>
      <w:r>
        <w:t xml:space="preserve">”</w:t>
      </w:r>
      <w:r>
        <w:t xml:space="preserve"> </w:t>
      </w:r>
      <w:r>
        <w:t xml:space="preserve">is not applied, the genitive-plural</w:t>
      </w:r>
      <w:r>
        <w:t xml:space="preserve"> </w:t>
      </w:r>
      <w:r>
        <w:t xml:space="preserve">“</w:t>
      </w:r>
      <w:r>
        <w:t xml:space="preserve">nām</w:t>
      </w:r>
      <w:r>
        <w:t xml:space="preserve">”</w:t>
      </w:r>
      <w:r>
        <w:t xml:space="preserve"> </w:t>
      </w:r>
      <w:r>
        <w:t xml:space="preserve">of</w:t>
      </w:r>
      <w:r>
        <w:t xml:space="preserve"> </w:t>
      </w:r>
      <w:r>
        <w:t xml:space="preserve">“</w:t>
      </w:r>
      <w:r>
        <w:t xml:space="preserve">sumati</w:t>
      </w:r>
      <w:r>
        <w:t xml:space="preserve">”</w:t>
      </w:r>
      <w:r>
        <w:t xml:space="preserve"> </w:t>
      </w:r>
      <w:r>
        <w:t xml:space="preserve">(short-final, end-acute stem) takes the acute by</w:t>
      </w:r>
      <w:r>
        <w:t xml:space="preserve"> </w:t>
      </w:r>
      <w:r>
        <w:rPr>
          <w:bCs/>
          <w:b/>
        </w:rPr>
        <w:t xml:space="preserve">नामन्यतरस्याम्</w:t>
      </w:r>
      <w:r>
        <w:t xml:space="preserve"> </w:t>
      </w:r>
      <w:r>
        <w:t xml:space="preserve">(पा. ६-१-१७७).</w:t>
      </w:r>
    </w:p>
    <w:p>
      <w:pPr>
        <w:pStyle w:val="BodyText"/>
      </w:pPr>
      <w:r>
        <w:rPr>
          <w:bCs/>
          <w:b/>
        </w:rPr>
        <w:t xml:space="preserve">“</w:t>
      </w:r>
      <w:r>
        <w:rPr>
          <w:bCs/>
          <w:b/>
        </w:rPr>
        <w:t xml:space="preserve">Khyaḥ</w:t>
      </w:r>
      <w:r>
        <w:rPr>
          <w:bCs/>
          <w:b/>
        </w:rPr>
        <w:t xml:space="preserve">”</w:t>
      </w:r>
      <w:r>
        <w:t xml:space="preserve"> </w:t>
      </w:r>
      <w:r>
        <w:t xml:space="preserve">—</w:t>
      </w:r>
      <w:r>
        <w:t xml:space="preserve"> </w:t>
      </w:r>
      <w:r>
        <w:t xml:space="preserve">“</w:t>
      </w:r>
      <w:r>
        <w:t xml:space="preserve">khyā prakathane</w:t>
      </w:r>
      <w:r>
        <w:t xml:space="preserve">”</w:t>
      </w:r>
      <w:r>
        <w:t xml:space="preserve">: in the aorist (luṅ), second-person singular</w:t>
      </w:r>
      <w:r>
        <w:t xml:space="preserve"> </w:t>
      </w:r>
      <w:r>
        <w:t xml:space="preserve">“</w:t>
      </w:r>
      <w:r>
        <w:t xml:space="preserve">sip</w:t>
      </w:r>
      <w:r>
        <w:t xml:space="preserve">”</w:t>
      </w:r>
      <w:r>
        <w:t xml:space="preserve"> </w:t>
      </w:r>
      <w:r>
        <w:t xml:space="preserve">—</w:t>
      </w:r>
      <w:r>
        <w:t xml:space="preserve"> </w:t>
      </w:r>
      <w:r>
        <w:rPr>
          <w:bCs/>
          <w:b/>
        </w:rPr>
        <w:t xml:space="preserve">ख्या + सिप्</w:t>
      </w:r>
      <w:r>
        <w:t xml:space="preserve">; after the root in</w:t>
      </w:r>
      <w:r>
        <w:t xml:space="preserve"> </w:t>
      </w:r>
      <w:r>
        <w:t xml:space="preserve">“</w:t>
      </w:r>
      <w:r>
        <w:t xml:space="preserve">luṅ,</w:t>
      </w:r>
      <w:r>
        <w:t xml:space="preserve">”</w:t>
      </w:r>
      <w:r>
        <w:t xml:space="preserve"> </w:t>
      </w:r>
      <w:r>
        <w:t xml:space="preserve">“</w:t>
      </w:r>
      <w:r>
        <w:t xml:space="preserve">cli</w:t>
      </w:r>
      <w:r>
        <w:t xml:space="preserve">”</w:t>
      </w:r>
      <w:r>
        <w:t xml:space="preserve"> </w:t>
      </w:r>
      <w:r>
        <w:t xml:space="preserve">(</w:t>
      </w:r>
      <w:r>
        <w:rPr>
          <w:bCs/>
          <w:b/>
        </w:rPr>
        <w:t xml:space="preserve">च्लि लुङि</w:t>
      </w:r>
      <w:r>
        <w:t xml:space="preserve">, पा. ३-१-४३);</w:t>
      </w:r>
      <w:r>
        <w:t xml:space="preserve"> </w:t>
      </w:r>
      <w:r>
        <w:t xml:space="preserve">“</w:t>
      </w:r>
      <w:r>
        <w:t xml:space="preserve">cli</w:t>
      </w:r>
      <w:r>
        <w:t xml:space="preserve">”</w:t>
      </w:r>
      <w:r>
        <w:t xml:space="preserve"> </w:t>
      </w:r>
      <w:r>
        <w:t xml:space="preserve">is replaced by</w:t>
      </w:r>
      <w:r>
        <w:t xml:space="preserve"> </w:t>
      </w:r>
      <w:r>
        <w:t xml:space="preserve">“</w:t>
      </w:r>
      <w:r>
        <w:t xml:space="preserve">aṅ</w:t>
      </w:r>
      <w:r>
        <w:t xml:space="preserve">”</w:t>
      </w:r>
      <w:r>
        <w:t xml:space="preserve"> </w:t>
      </w:r>
      <w:r>
        <w:t xml:space="preserve">after the roots</w:t>
      </w:r>
      <w:r>
        <w:t xml:space="preserve"> </w:t>
      </w:r>
      <w:r>
        <w:t xml:space="preserve">“</w:t>
      </w:r>
      <w:r>
        <w:t xml:space="preserve">as,</w:t>
      </w:r>
      <w:r>
        <w:t xml:space="preserve">”</w:t>
      </w:r>
      <w:r>
        <w:t xml:space="preserve"> </w:t>
      </w:r>
      <w:r>
        <w:t xml:space="preserve">“</w:t>
      </w:r>
      <w:r>
        <w:t xml:space="preserve">vac</w:t>
      </w:r>
      <w:r>
        <w:t xml:space="preserve">”</w:t>
      </w:r>
      <w:r>
        <w:t xml:space="preserve"> </w:t>
      </w:r>
      <w:r>
        <w:t xml:space="preserve">and</w:t>
      </w:r>
      <w:r>
        <w:t xml:space="preserve"> </w:t>
      </w:r>
      <w:r>
        <w:t xml:space="preserve">“</w:t>
      </w:r>
      <w:r>
        <w:t xml:space="preserve">khyā</w:t>
      </w:r>
      <w:r>
        <w:t xml:space="preserve">”</w:t>
      </w:r>
      <w:r>
        <w:t xml:space="preserve"> </w:t>
      </w:r>
      <w:r>
        <w:t xml:space="preserve">(</w:t>
      </w:r>
      <w:r>
        <w:rPr>
          <w:bCs/>
          <w:b/>
        </w:rPr>
        <w:t xml:space="preserve">अस्यतिवक्तिख्यातिभ्योऽङ्</w:t>
      </w:r>
      <w:r>
        <w:t xml:space="preserve">, पा. ३-१-५२);</w:t>
      </w:r>
      <w:r>
        <w:t xml:space="preserve"> </w:t>
      </w:r>
      <w:r>
        <w:t xml:space="preserve">“</w:t>
      </w:r>
      <w:r>
        <w:t xml:space="preserve">ā</w:t>
      </w:r>
      <w:r>
        <w:t xml:space="preserve">”</w:t>
      </w:r>
      <w:r>
        <w:t xml:space="preserve"> </w:t>
      </w:r>
      <w:r>
        <w:t xml:space="preserve">elided (</w:t>
      </w:r>
      <w:r>
        <w:rPr>
          <w:bCs/>
          <w:b/>
        </w:rPr>
        <w:t xml:space="preserve">आतो लोप इटि च</w:t>
      </w:r>
      <w:r>
        <w:t xml:space="preserve">, पा. ६-४-६४); the</w:t>
      </w:r>
      <w:r>
        <w:t xml:space="preserve"> </w:t>
      </w:r>
      <w:r>
        <w:t xml:space="preserve">“</w:t>
      </w:r>
      <w:r>
        <w:t xml:space="preserve">i</w:t>
      </w:r>
      <w:r>
        <w:t xml:space="preserve">”</w:t>
      </w:r>
      <w:r>
        <w:t xml:space="preserve"> </w:t>
      </w:r>
      <w:r>
        <w:t xml:space="preserve">of the ending</w:t>
      </w:r>
      <w:r>
        <w:t xml:space="preserve"> </w:t>
      </w:r>
      <w:r>
        <w:t xml:space="preserve">“</w:t>
      </w:r>
      <w:r>
        <w:t xml:space="preserve">sip</w:t>
      </w:r>
      <w:r>
        <w:t xml:space="preserve">”</w:t>
      </w:r>
      <w:r>
        <w:t xml:space="preserve"> </w:t>
      </w:r>
      <w:r>
        <w:t xml:space="preserve">elided (</w:t>
      </w:r>
      <w:r>
        <w:rPr>
          <w:bCs/>
          <w:b/>
        </w:rPr>
        <w:t xml:space="preserve">इतश्च</w:t>
      </w:r>
      <w:r>
        <w:t xml:space="preserve">, पा. ३-४-१००) —</w:t>
      </w:r>
      <w:r>
        <w:t xml:space="preserve"> </w:t>
      </w:r>
      <w:r>
        <w:t xml:space="preserve">“</w:t>
      </w:r>
      <w:r>
        <w:t xml:space="preserve">khya + a + s</w:t>
      </w:r>
      <w:r>
        <w:t xml:space="preserve">”</w:t>
      </w:r>
      <w:r>
        <w:t xml:space="preserve">;</w:t>
      </w:r>
      <w:r>
        <w:t xml:space="preserve"> </w:t>
      </w:r>
      <w:r>
        <w:t xml:space="preserve">“</w:t>
      </w:r>
      <w:r>
        <w:t xml:space="preserve">s</w:t>
      </w:r>
      <w:r>
        <w:t xml:space="preserve">”</w:t>
      </w:r>
      <w:r>
        <w:t xml:space="preserve"> </w:t>
      </w:r>
      <w:r>
        <w:t xml:space="preserve">→</w:t>
      </w:r>
      <w:r>
        <w:t xml:space="preserve"> </w:t>
      </w:r>
      <w:r>
        <w:t xml:space="preserve">“</w:t>
      </w:r>
      <w:r>
        <w:t xml:space="preserve">ru</w:t>
      </w:r>
      <w:r>
        <w:t xml:space="preserve">”</w:t>
      </w:r>
      <w:r>
        <w:t xml:space="preserve"> </w:t>
      </w:r>
      <w:r>
        <w:t xml:space="preserve">→ visarga (</w:t>
      </w:r>
      <w:r>
        <w:rPr>
          <w:bCs/>
          <w:b/>
        </w:rPr>
        <w:t xml:space="preserve">ससजुषो रुः</w:t>
      </w:r>
      <w:r>
        <w:t xml:space="preserve">, पा. ८-२-६६;</w:t>
      </w:r>
      <w:r>
        <w:t xml:space="preserve"> </w:t>
      </w:r>
      <w:r>
        <w:rPr>
          <w:bCs/>
          <w:b/>
        </w:rPr>
        <w:t xml:space="preserve">रुत्वविसर्गौ</w:t>
      </w:r>
      <w:r>
        <w:t xml:space="preserve">) →</w:t>
      </w:r>
      <w:r>
        <w:t xml:space="preserve"> </w:t>
      </w:r>
      <w:r>
        <w:t xml:space="preserve">“</w:t>
      </w:r>
      <w:r>
        <w:t xml:space="preserve">khyaḥ.</w:t>
      </w:r>
      <w:r>
        <w:t xml:space="preserve">”</w:t>
      </w:r>
      <w:r>
        <w:t xml:space="preserve"> </w:t>
      </w:r>
      <w:r>
        <w:t xml:space="preserve">After</w:t>
      </w:r>
      <w:r>
        <w:t xml:space="preserve"> </w:t>
      </w:r>
      <w:r>
        <w:t xml:space="preserve">“</w:t>
      </w:r>
      <w:r>
        <w:t xml:space="preserve">mā,</w:t>
      </w:r>
      <w:r>
        <w:t xml:space="preserve">”</w:t>
      </w:r>
      <w:r>
        <w:t xml:space="preserve"> </w:t>
      </w:r>
      <w:r>
        <w:rPr>
          <w:bCs/>
          <w:b/>
        </w:rPr>
        <w:t xml:space="preserve">न माङ्योगे</w:t>
      </w:r>
      <w:r>
        <w:t xml:space="preserve"> </w:t>
      </w:r>
      <w:r>
        <w:t xml:space="preserve">(पा. ६-४-७४): no</w:t>
      </w:r>
      <w:r>
        <w:t xml:space="preserve"> </w:t>
      </w:r>
      <w:r>
        <w:t xml:space="preserve">“</w:t>
      </w:r>
      <w:r>
        <w:t xml:space="preserve">aṭ</w:t>
      </w:r>
      <w:r>
        <w:t xml:space="preserve">”</w:t>
      </w:r>
      <w:r>
        <w:t xml:space="preserve"> </w:t>
      </w:r>
      <w:r>
        <w:t xml:space="preserve">(and, by the print, no</w:t>
      </w:r>
      <w:r>
        <w:t xml:space="preserve"> </w:t>
      </w:r>
      <w:r>
        <w:t xml:space="preserve">“</w:t>
      </w:r>
      <w:r>
        <w:t xml:space="preserve">āṭ</w:t>
      </w:r>
      <w:r>
        <w:t xml:space="preserve">”</w:t>
      </w:r>
      <w:r>
        <w:t xml:space="preserve">) augment, and the rule</w:t>
      </w:r>
      <w:r>
        <w:t xml:space="preserve"> </w:t>
      </w:r>
      <w:r>
        <w:rPr>
          <w:bCs/>
          <w:b/>
        </w:rPr>
        <w:t xml:space="preserve">लुङ्लङ्लृङ्क्ष्वडुदात्तः</w:t>
      </w:r>
      <w:r>
        <w:t xml:space="preserve"> </w:t>
      </w:r>
      <w:r>
        <w:t xml:space="preserve">(पा. ६-४-७१) which would give the</w:t>
      </w:r>
      <w:r>
        <w:t xml:space="preserve"> </w:t>
      </w:r>
      <w:r>
        <w:t xml:space="preserve">“</w:t>
      </w:r>
      <w:r>
        <w:t xml:space="preserve">aḍ</w:t>
      </w:r>
      <w:r>
        <w:t xml:space="preserve">”</w:t>
      </w:r>
      <w:r>
        <w:t xml:space="preserve"> </w:t>
      </w:r>
      <w:r>
        <w:t xml:space="preserve">augment does not apply.</w:t>
      </w:r>
    </w:p>
    <w:p>
      <w:pPr>
        <w:pStyle w:val="BodyText"/>
      </w:pPr>
      <w:r>
        <w:rPr>
          <w:bCs/>
          <w:b/>
        </w:rPr>
        <w:t xml:space="preserve">“</w:t>
      </w:r>
      <w:r>
        <w:rPr>
          <w:bCs/>
          <w:b/>
        </w:rPr>
        <w:t xml:space="preserve">Gahi</w:t>
      </w:r>
      <w:r>
        <w:rPr>
          <w:bCs/>
          <w:b/>
        </w:rPr>
        <w:t xml:space="preserve">”</w:t>
      </w:r>
      <w:r>
        <w:t xml:space="preserve"> </w:t>
      </w:r>
      <w:r>
        <w:t xml:space="preserve">—</w:t>
      </w:r>
      <w:r>
        <w:t xml:space="preserve"> </w:t>
      </w:r>
      <w:r>
        <w:t xml:space="preserve">“</w:t>
      </w:r>
      <w:r>
        <w:t xml:space="preserve">gam gatau,</w:t>
      </w:r>
      <w:r>
        <w:t xml:space="preserve">”</w:t>
      </w:r>
      <w:r>
        <w:t xml:space="preserve"> </w:t>
      </w:r>
      <w:r>
        <w:t xml:space="preserve">imperative (loṭ) second-person singular</w:t>
      </w:r>
      <w:r>
        <w:t xml:space="preserve"> </w:t>
      </w:r>
      <w:r>
        <w:t xml:space="preserve">“</w:t>
      </w:r>
      <w:r>
        <w:t xml:space="preserve">sip</w:t>
      </w:r>
      <w:r>
        <w:t xml:space="preserve">”</w:t>
      </w:r>
      <w:r>
        <w:t xml:space="preserve">;</w:t>
      </w:r>
      <w:r>
        <w:t xml:space="preserve"> </w:t>
      </w:r>
      <w:r>
        <w:t xml:space="preserve">“</w:t>
      </w:r>
      <w:r>
        <w:t xml:space="preserve">śap</w:t>
      </w:r>
      <w:r>
        <w:t xml:space="preserve">”</w:t>
      </w:r>
      <w:r>
        <w:t xml:space="preserve"> </w:t>
      </w:r>
      <w:r>
        <w:t xml:space="preserve">is elided by</w:t>
      </w:r>
      <w:r>
        <w:t xml:space="preserve"> </w:t>
      </w:r>
      <w:r>
        <w:rPr>
          <w:bCs/>
          <w:b/>
        </w:rPr>
        <w:t xml:space="preserve">बहुलं छन्दसि</w:t>
      </w:r>
      <w:r>
        <w:t xml:space="preserve"> </w:t>
      </w:r>
      <w:r>
        <w:t xml:space="preserve">(पा. २-४-७३);</w:t>
      </w:r>
      <w:r>
        <w:t xml:space="preserve"> </w:t>
      </w:r>
      <w:r>
        <w:rPr>
          <w:bCs/>
          <w:b/>
        </w:rPr>
        <w:t xml:space="preserve">सेर्ह्यपिच्च</w:t>
      </w:r>
      <w:r>
        <w:t xml:space="preserve"> </w:t>
      </w:r>
      <w:r>
        <w:t xml:space="preserve">(पा. ३-४-८७) puts</w:t>
      </w:r>
      <w:r>
        <w:t xml:space="preserve"> </w:t>
      </w:r>
      <w:r>
        <w:t xml:space="preserve">“</w:t>
      </w:r>
      <w:r>
        <w:t xml:space="preserve">hi</w:t>
      </w:r>
      <w:r>
        <w:t xml:space="preserve">”</w:t>
      </w:r>
      <w:r>
        <w:t xml:space="preserve"> </w:t>
      </w:r>
      <w:r>
        <w:t xml:space="preserve">in the place of</w:t>
      </w:r>
      <w:r>
        <w:t xml:space="preserve"> </w:t>
      </w:r>
      <w:r>
        <w:t xml:space="preserve">“</w:t>
      </w:r>
      <w:r>
        <w:t xml:space="preserve">sip,</w:t>
      </w:r>
      <w:r>
        <w:t xml:space="preserve">”</w:t>
      </w:r>
      <w:r>
        <w:t xml:space="preserve"> </w:t>
      </w:r>
      <w:r>
        <w:t xml:space="preserve">and the</w:t>
      </w:r>
      <w:r>
        <w:t xml:space="preserve"> </w:t>
      </w:r>
      <w:r>
        <w:t xml:space="preserve">“</w:t>
      </w:r>
      <w:r>
        <w:t xml:space="preserve">sārvadhātuka</w:t>
      </w:r>
      <w:r>
        <w:t xml:space="preserve">”</w:t>
      </w:r>
      <w:r>
        <w:t xml:space="preserve"> </w:t>
      </w:r>
      <w:r>
        <w:t xml:space="preserve">not being</w:t>
      </w:r>
      <w:r>
        <w:t xml:space="preserve"> </w:t>
      </w:r>
      <w:r>
        <w:t xml:space="preserve">“</w:t>
      </w:r>
      <w:r>
        <w:t xml:space="preserve">p</w:t>
      </w:r>
      <w:r>
        <w:t xml:space="preserve">”</w:t>
      </w:r>
      <w:r>
        <w:t xml:space="preserve">-marked is</w:t>
      </w:r>
      <w:r>
        <w:t xml:space="preserve"> </w:t>
      </w:r>
      <w:r>
        <w:t xml:space="preserve">“</w:t>
      </w:r>
      <w:r>
        <w:t xml:space="preserve">ṅit</w:t>
      </w:r>
      <w:r>
        <w:t xml:space="preserve">”</w:t>
      </w:r>
      <w:r>
        <w:t xml:space="preserve"> </w:t>
      </w:r>
      <w:r>
        <w:t xml:space="preserve">(</w:t>
      </w:r>
      <w:r>
        <w:rPr>
          <w:bCs/>
          <w:b/>
        </w:rPr>
        <w:t xml:space="preserve">सार्वधातुकमपित्</w:t>
      </w:r>
      <w:r>
        <w:t xml:space="preserve">, पा. १-२-४) — by the root’s</w:t>
      </w:r>
      <w:r>
        <w:t xml:space="preserve"> </w:t>
      </w:r>
      <w:r>
        <w:t xml:space="preserve">“</w:t>
      </w:r>
      <w:r>
        <w:t xml:space="preserve">anudātta-upadeśa</w:t>
      </w:r>
      <w:r>
        <w:t xml:space="preserve">”</w:t>
      </w:r>
      <w:r>
        <w:t xml:space="preserve"> </w:t>
      </w:r>
      <w:r>
        <w:t xml:space="preserve">the</w:t>
      </w:r>
      <w:r>
        <w:t xml:space="preserve"> </w:t>
      </w:r>
      <w:r>
        <w:t xml:space="preserve">“</w:t>
      </w:r>
      <w:r>
        <w:t xml:space="preserve">m</w:t>
      </w:r>
      <w:r>
        <w:t xml:space="preserve">”</w:t>
      </w:r>
      <w:r>
        <w:t xml:space="preserve"> </w:t>
      </w:r>
      <w:r>
        <w:t xml:space="preserve">is dropped (</w:t>
      </w:r>
      <w:r>
        <w:rPr>
          <w:bCs/>
          <w:b/>
        </w:rPr>
        <w:t xml:space="preserve">अनुदात्तोपदेश…</w:t>
      </w:r>
      <w:r>
        <w:t xml:space="preserve">, पा. ६-४-३७); since the</w:t>
      </w:r>
      <w:r>
        <w:t xml:space="preserve"> </w:t>
      </w:r>
      <w:r>
        <w:t xml:space="preserve">“</w:t>
      </w:r>
      <w:r>
        <w:t xml:space="preserve">m</w:t>
      </w:r>
      <w:r>
        <w:t xml:space="preserve">”</w:t>
      </w:r>
      <w:r>
        <w:t xml:space="preserve">-loss is</w:t>
      </w:r>
      <w:r>
        <w:t xml:space="preserve"> </w:t>
      </w:r>
      <w:r>
        <w:t xml:space="preserve">“</w:t>
      </w:r>
      <w:r>
        <w:t xml:space="preserve">asiddha</w:t>
      </w:r>
      <w:r>
        <w:t xml:space="preserve">”</w:t>
      </w:r>
      <w:r>
        <w:t xml:space="preserve"> </w:t>
      </w:r>
      <w:r>
        <w:t xml:space="preserve">(</w:t>
      </w:r>
      <w:r>
        <w:rPr>
          <w:bCs/>
          <w:b/>
        </w:rPr>
        <w:t xml:space="preserve">असिद्धवदत्राभात्</w:t>
      </w:r>
      <w:r>
        <w:t xml:space="preserve">, पा. ६-४-२२), the</w:t>
      </w:r>
      <w:r>
        <w:t xml:space="preserve"> </w:t>
      </w:r>
      <w:r>
        <w:t xml:space="preserve">“</w:t>
      </w:r>
      <w:r>
        <w:t xml:space="preserve">hi</w:t>
      </w:r>
      <w:r>
        <w:t xml:space="preserve">”</w:t>
      </w:r>
      <w:r>
        <w:t xml:space="preserve"> </w:t>
      </w:r>
      <w:r>
        <w:t xml:space="preserve">does not lose its place by</w:t>
      </w:r>
      <w:r>
        <w:t xml:space="preserve"> </w:t>
      </w:r>
      <w:r>
        <w:rPr>
          <w:bCs/>
          <w:b/>
        </w:rPr>
        <w:t xml:space="preserve">अतो हेः</w:t>
      </w:r>
      <w:r>
        <w:t xml:space="preserve"> </w:t>
      </w:r>
      <w:r>
        <w:t xml:space="preserve">(पा. ६-४-१०५) →</w:t>
      </w:r>
      <w:r>
        <w:t xml:space="preserve"> </w:t>
      </w:r>
      <w:r>
        <w:t xml:space="preserve">“</w:t>
      </w:r>
      <w:r>
        <w:t xml:space="preserve">gahi.</w:t>
      </w:r>
      <w:r>
        <w:t xml:space="preserve">”</w:t>
      </w:r>
      <w:r>
        <w:t xml:space="preserve"> </w:t>
      </w:r>
      <w:r>
        <w:t xml:space="preserve">॥३॥</w:t>
      </w:r>
    </w:p>
    <w:p>
      <w:pPr>
        <w:pStyle w:val="BodyText"/>
      </w:pPr>
      <w:r>
        <w:rPr>
          <w:iCs/>
          <w:i/>
        </w:rPr>
        <w:t xml:space="preserve">(Re-checked against the better scan: p. 103 ends with the grammar of Rik 4.3,</w:t>
      </w:r>
      <w:r>
        <w:rPr>
          <w:iCs/>
          <w:i/>
        </w:rPr>
        <w:t xml:space="preserve"> </w:t>
      </w:r>
      <w:r>
        <w:rPr>
          <w:iCs/>
          <w:i/>
        </w:rPr>
        <w:t xml:space="preserve">“</w:t>
      </w:r>
      <w:r>
        <w:rPr>
          <w:iCs/>
          <w:i/>
        </w:rPr>
        <w:t xml:space="preserve">॥३॥</w:t>
      </w:r>
      <w:r>
        <w:rPr>
          <w:iCs/>
          <w:i/>
        </w:rPr>
        <w:t xml:space="preserve">”</w:t>
      </w:r>
      <w:r>
        <w:rPr>
          <w:iCs/>
          <w:i/>
        </w:rPr>
        <w:t xml:space="preserve">; it prints no varga-closing line. The seventh varga closes on p. 111.)</w:t>
      </w:r>
    </w:p>
    <w:bookmarkEnd w:id="132"/>
    <w:bookmarkStart w:id="133" w:name="Xe08ca72f977d73239e32ba08055e17a50eebfdf"/>
    <w:p>
      <w:pPr>
        <w:pStyle w:val="Heading3"/>
      </w:pPr>
      <w:r>
        <w:t xml:space="preserve">Page 104 — Sūkta 4, Fourth Mantra: Saṃhitā, Pada, Sāyaṇa-bhāṣya, Pada-meanings (opening)</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4.</w:t>
      </w:r>
      <w:r>
        <w:rPr>
          <w:iCs/>
          <w:i/>
        </w:rPr>
        <w:t xml:space="preserve">”</w:t>
      </w:r>
      <w:r>
        <w:rPr>
          <w:iCs/>
          <w:i/>
        </w:rPr>
        <w:t xml:space="preserve"> </w:t>
      </w:r>
      <w:r>
        <w:rPr>
          <w:iCs/>
          <w:i/>
        </w:rPr>
        <w:t xml:space="preserve">Saṃhitā accents as printed; Pada unaccented. Sanskrit printed in Kannada script; [?] where unclear.)</w:t>
      </w:r>
    </w:p>
    <w:bookmarkEnd w:id="133"/>
    <w:bookmarkStart w:id="134" w:name="sūkta-4-the-fourth-mantra"/>
    <w:p>
      <w:pPr>
        <w:pStyle w:val="Heading3"/>
      </w:pPr>
      <w:r>
        <w:t xml:space="preserve">Sūkta 4, The Fourth Mantra</w:t>
      </w:r>
    </w:p>
    <w:p>
      <w:pPr>
        <w:pStyle w:val="FirstParagraph"/>
      </w:pPr>
      <w:r>
        <w:rPr>
          <w:bCs/>
          <w:b/>
        </w:rPr>
        <w:t xml:space="preserve">॥ Saṃhitā-pāṭhaḥ ॥</w:t>
      </w:r>
    </w:p>
    <w:p>
      <w:pPr>
        <w:pStyle w:val="BlockText"/>
      </w:pPr>
      <w:r>
        <w:t xml:space="preserve">परे॑हि॒ विग्र॒मस्तृ॑त॒मिंद्रं॑ पृच्छा विप॒श्चितं॑ ।</w:t>
      </w:r>
      <w:r>
        <w:t xml:space="preserve"> </w:t>
      </w:r>
      <w:r>
        <w:t xml:space="preserve">यस्ते॒ सखि॑भ्य आ वरं॑ ॥४॥</w:t>
      </w:r>
    </w:p>
    <w:p>
      <w:pPr>
        <w:pStyle w:val="BlockText"/>
      </w:pPr>
      <w:r>
        <w:rPr>
          <w:iCs/>
          <w:i/>
        </w:rPr>
        <w:t xml:space="preserve">párehi vígramástṛtamíṃdraṃ pṛcchā vipaścítaṃ |</w:t>
      </w:r>
      <w:r>
        <w:t xml:space="preserve"> </w:t>
      </w:r>
      <w:r>
        <w:rPr>
          <w:iCs/>
          <w:i/>
        </w:rPr>
        <w:t xml:space="preserve">yaste sákhibhya ā váraṃ ||4||</w:t>
      </w:r>
    </w:p>
    <w:p>
      <w:pPr>
        <w:pStyle w:val="FirstParagraph"/>
      </w:pPr>
      <w:r>
        <w:rPr>
          <w:bCs/>
          <w:b/>
        </w:rPr>
        <w:t xml:space="preserve">॥ Pada-pāṭhaḥ ॥</w:t>
      </w:r>
    </w:p>
    <w:p>
      <w:pPr>
        <w:pStyle w:val="BlockText"/>
      </w:pPr>
      <w:r>
        <w:t xml:space="preserve">परा । इहि । विग्रम् । अस्तृतम् । इन्द्रम् । पृच्छ । विपःऽचितम् ।</w:t>
      </w:r>
      <w:r>
        <w:t xml:space="preserve"> </w:t>
      </w:r>
      <w:r>
        <w:t xml:space="preserve">यः । ते । सखिऽभ्यः । आ । वरम् ॥४॥</w:t>
      </w:r>
    </w:p>
    <w:p>
      <w:pPr>
        <w:pStyle w:val="FirstParagraph"/>
      </w:pPr>
      <w:r>
        <w:rPr>
          <w:iCs/>
          <w:i/>
        </w:rPr>
        <w:t xml:space="preserve">(Reading note: the Saṃhitā text reads</w:t>
      </w:r>
      <w:r>
        <w:rPr>
          <w:iCs/>
          <w:i/>
        </w:rPr>
        <w:t xml:space="preserve"> </w:t>
      </w:r>
      <w:r>
        <w:rPr>
          <w:iCs/>
          <w:i/>
        </w:rPr>
        <w:t xml:space="preserve">“</w:t>
      </w:r>
      <w:r>
        <w:rPr>
          <w:iCs/>
          <w:i/>
        </w:rPr>
        <w:t xml:space="preserve">pṛcchā</w:t>
      </w:r>
      <w:r>
        <w:rPr>
          <w:iCs/>
          <w:i/>
        </w:rPr>
        <w:t xml:space="preserve">”</w:t>
      </w:r>
      <w:r>
        <w:rPr>
          <w:iCs/>
          <w:i/>
        </w:rPr>
        <w:t xml:space="preserve"> </w:t>
      </w:r>
      <w:r>
        <w:rPr>
          <w:iCs/>
          <w:i/>
        </w:rPr>
        <w:t xml:space="preserve">with a long final vowel (a Vedic lengthening); the Pada text has</w:t>
      </w:r>
      <w:r>
        <w:rPr>
          <w:iCs/>
          <w:i/>
        </w:rPr>
        <w:t xml:space="preserve"> </w:t>
      </w:r>
      <w:r>
        <w:rPr>
          <w:iCs/>
          <w:i/>
        </w:rPr>
        <w:t xml:space="preserve">“</w:t>
      </w:r>
      <w:r>
        <w:rPr>
          <w:iCs/>
          <w:i/>
        </w:rPr>
        <w:t xml:space="preserve">pṛccha.</w:t>
      </w:r>
      <w:r>
        <w:rPr>
          <w:iCs/>
          <w:i/>
        </w:rPr>
        <w:t xml:space="preserve">”</w:t>
      </w:r>
      <w:r>
        <w:rPr>
          <w:iCs/>
          <w:i/>
        </w:rPr>
        <w:t xml:space="preserve"> </w:t>
      </w:r>
      <w:r>
        <w:rPr>
          <w:iCs/>
          <w:i/>
        </w:rPr>
        <w:t xml:space="preserve">The word</w:t>
      </w:r>
      <w:r>
        <w:rPr>
          <w:iCs/>
          <w:i/>
        </w:rPr>
        <w:t xml:space="preserve"> </w:t>
      </w:r>
      <w:r>
        <w:rPr>
          <w:iCs/>
          <w:i/>
        </w:rPr>
        <w:t xml:space="preserve">“</w:t>
      </w:r>
      <w:r>
        <w:rPr>
          <w:iCs/>
          <w:i/>
        </w:rPr>
        <w:t xml:space="preserve">vipaścitam</w:t>
      </w:r>
      <w:r>
        <w:rPr>
          <w:iCs/>
          <w:i/>
        </w:rPr>
        <w:t xml:space="preserve">”</w:t>
      </w:r>
      <w:r>
        <w:rPr>
          <w:iCs/>
          <w:i/>
        </w:rPr>
        <w:t xml:space="preserve"> </w:t>
      </w:r>
      <w:r>
        <w:rPr>
          <w:iCs/>
          <w:i/>
        </w:rPr>
        <w:t xml:space="preserve">is divided in the Pada text as</w:t>
      </w:r>
      <w:r>
        <w:rPr>
          <w:iCs/>
          <w:i/>
        </w:rPr>
        <w:t xml:space="preserve"> </w:t>
      </w:r>
      <w:r>
        <w:rPr>
          <w:iCs/>
          <w:i/>
        </w:rPr>
        <w:t xml:space="preserve">“</w:t>
      </w:r>
      <w:r>
        <w:rPr>
          <w:iCs/>
          <w:i/>
        </w:rPr>
        <w:t xml:space="preserve">vipaḥ-citam,</w:t>
      </w:r>
      <w:r>
        <w:rPr>
          <w:iCs/>
          <w:i/>
        </w:rPr>
        <w:t xml:space="preserve">”</w:t>
      </w:r>
      <w:r>
        <w:rPr>
          <w:iCs/>
          <w:i/>
        </w:rPr>
        <w:t xml:space="preserve"> </w:t>
      </w:r>
      <w:r>
        <w:rPr>
          <w:iCs/>
          <w:i/>
        </w:rPr>
        <w:t xml:space="preserve">as I read the printed sign.)</w:t>
      </w:r>
    </w:p>
    <w:p>
      <w:pPr>
        <w:pStyle w:val="BodyText"/>
      </w:pPr>
      <w:r>
        <w:rPr>
          <w:bCs/>
          <w:b/>
        </w:rPr>
        <w:t xml:space="preserve">॥ Sāyaṇa-bhāṣyam ॥</w:t>
      </w:r>
    </w:p>
    <w:p>
      <w:pPr>
        <w:pStyle w:val="BlockText"/>
      </w:pPr>
      <w:r>
        <w:t xml:space="preserve">अत्र यजमानं प्रति होता ब्रूते । हे यजमान त्वमिन्द्रं परेहि । इन्द्रस्य समीपे गच्छ । गत्वा च विपश्चितं मेधाविनं होतारं मां पृच्छ । असौ होता सम्यक् स्तुतवान्न चेत्येवं प्रश्नं कुरु । य इन्द्रस्ते तव यजमानस्य सखिभ्य ऋत्विग्भ्यो वरं श्रेष्ठं धनपुत्रादिकमा समन्तात्प्रयच्छतीति शेषः । तादृशमिन्द्रमिति पूर्वत्रान्वयः । पुनरपि कीदृशम् । विग्रं मेधाविनमस्तृतमहिंसितम् । विप्र इत्यादिषु चतुर्विंशतिसंख्याकेषु मेधाविनामसु विग्रो विपश्चिच्चेति पठितौ । विग्रं वृषादित्वादाद्युदात्तः । अस्तृतम् । अव्ययपूर्वपदप्रकृतिस्वरत्वम् । इन्द्रशब्द ऋजेन्द्राग्रेत्यादिना रन् । नित्त्वादाद्युदात्तः । सखिभ्यः । समाने ख्यः … उ. ४-१३६ । इति समान उपपदे ख्यातेरिन् । डिदित्यनुवृत्तेस्तस्य डित्त्वाट्टिलोपश्च । पा. ६-४-१४३ । तत्सन्नियोगेन यलोपः । उपपदस्योदात्तत्वम् । समानस्य छन्दस्यमूर्धप्रभृत्युदर्केषु । पा. ६-३-८४ । इति सभावः । अतः सखिशब्द आद्युदात्तः । व्रियत इति वरः । ग्रहवृदृनिश्चिगमश्च । पा. ३-३-५८ । इत्यप् । तस्य पित्त्वाद्धातुस्वर एव ॥</w:t>
      </w:r>
      <w:r>
        <w:t xml:space="preserve"> </w:t>
      </w:r>
      <w:r>
        <w:rPr>
          <w:iCs/>
          <w:i/>
        </w:rPr>
        <w:t xml:space="preserve">atra yajamānaṃ prati hotā brūte | he yajamāna tvam indraṃ parehi | indrasya samīpe gaccha | gatvā ca vipaścitaṃ medhāvinaṃ hotāraṃ māṃ pṛccha | asau hotā samyak stutavān na ceti evaṃ praśnaṃ kuru | ya indras te tava yajamānasya sakhibhya ṛtvigbhyo varaṃ śreṣṭhaṃ dhana-putrādikam ā samantāt prayacchatīti śeṣaḥ | tādṛśam indram iti pūrvatrānvayaḥ | punar api kīdṛśam | vigraṃ medhāvinam astṛtam ahiṃsitam | vipra ity ādiṣu catur-viṃśati-saṃkhyākeṣu medhāvi-nāmasu vigro vipaścic ceti paṭhitau | vigraṃ vṛṣādi-tvād ādyudāttaḥ | astṛtam | avyaya-pūrvapada-prakṛti-svaratvam | indra-śabda ṛjendrāgrety ādinā ran | nittvād ādyudāttaḥ | sakhibhyaḥ | samāne khyaḥ … u. 4-136 | iti samāna upapade khyāter in | ḍid ity anuvṛtter tasya ḍittvāṭ ṭilopaś ca | pā. 6-4-143 | tat-sanniyogena yalopaḥ | upapadasyodāttatvam | samānasya chandasy amūrdha-prabhṛty-udarkeṣu | pā. 6-3-84 | iti sabhāvaḥ | ataḥ sakhi-śabda ādyudāttaḥ | vriyata iti varaḥ | grahavṛdṛniścigamaś ca | pā. 3-3-58 | ity ap | tasya pittvād dhātusvara eva ||</w:t>
      </w:r>
    </w:p>
    <w:p>
      <w:pPr>
        <w:pStyle w:val="FirstParagraph"/>
      </w:pPr>
      <w:r>
        <w:rPr>
          <w:bCs/>
          <w:b/>
        </w:rPr>
        <w:t xml:space="preserve">Translation:</w:t>
      </w:r>
      <w:r>
        <w:t xml:space="preserve"> </w:t>
      </w:r>
      <w:r>
        <w:t xml:space="preserve">“</w:t>
      </w:r>
      <w:r>
        <w:t xml:space="preserve">Here the Hotṛ speaks to the sacrificer:</w:t>
      </w:r>
      <w:r>
        <w:t xml:space="preserve"> </w:t>
      </w:r>
      <w:r>
        <w:t xml:space="preserve">‘</w:t>
      </w:r>
      <w:r>
        <w:rPr>
          <w:iCs/>
          <w:i/>
        </w:rPr>
        <w:t xml:space="preserve">O sacrificer, go to Indra</w:t>
      </w:r>
      <w:r>
        <w:t xml:space="preserve"> </w:t>
      </w:r>
      <w:r>
        <w:t xml:space="preserve">(</w:t>
      </w:r>
      <w:r>
        <w:t xml:space="preserve">“</w:t>
      </w:r>
      <w:r>
        <w:t xml:space="preserve">parehi</w:t>
      </w:r>
      <w:r>
        <w:t xml:space="preserve">”</w:t>
      </w:r>
      <w:r>
        <w:t xml:space="preserve">): go into the presence of Indra; and having gone, ask me, the Hotṛ, ’vipaścitam</w:t>
      </w:r>
      <w:r>
        <w:t xml:space="preserve">’</w:t>
      </w:r>
      <w:r>
        <w:t xml:space="preserve"> </w:t>
      </w:r>
      <w:r>
        <w:t xml:space="preserve">— the wise —</w:t>
      </w:r>
      <w:r>
        <w:t xml:space="preserve">”</w:t>
      </w:r>
      <w:r>
        <w:t xml:space="preserve">Has this Hotṛ praised properly or not?” — put the question thus. That Indra who gives</w:t>
      </w:r>
      <w:r>
        <w:t xml:space="preserve"> </w:t>
      </w:r>
      <w:r>
        <w:t xml:space="preserve">‘</w:t>
      </w:r>
      <w:r>
        <w:t xml:space="preserve">varam</w:t>
      </w:r>
      <w:r>
        <w:t xml:space="preserve">’</w:t>
      </w:r>
      <w:r>
        <w:t xml:space="preserve"> </w:t>
      </w:r>
      <w:r>
        <w:t xml:space="preserve">— the best, wealth, sons and the like — in full (</w:t>
      </w:r>
      <w:r>
        <w:t xml:space="preserve">‘</w:t>
      </w:r>
      <w:r>
        <w:t xml:space="preserve">ā</w:t>
      </w:r>
      <w:r>
        <w:t xml:space="preserve">’</w:t>
      </w:r>
      <w:r>
        <w:t xml:space="preserve">) to</w:t>
      </w:r>
      <w:r>
        <w:t xml:space="preserve"> </w:t>
      </w:r>
      <w:r>
        <w:t xml:space="preserve">‘</w:t>
      </w:r>
      <w:r>
        <w:t xml:space="preserve">te sakhibhyaḥ</w:t>
      </w:r>
      <w:r>
        <w:t xml:space="preserve">’</w:t>
      </w:r>
      <w:r>
        <w:t xml:space="preserve"> </w:t>
      </w:r>
      <w:r>
        <w:t xml:space="preserve">— to your friends, the priests (ṛtvijaḥ) of you the sacrificer’ — such is the supplied sense. The construction</w:t>
      </w:r>
      <w:r>
        <w:t xml:space="preserve"> </w:t>
      </w:r>
      <w:r>
        <w:t xml:space="preserve">‘</w:t>
      </w:r>
      <w:r>
        <w:t xml:space="preserve">such an Indra</w:t>
      </w:r>
      <w:r>
        <w:t xml:space="preserve">’</w:t>
      </w:r>
      <w:r>
        <w:t xml:space="preserve"> </w:t>
      </w:r>
      <w:r>
        <w:t xml:space="preserve">connects with what went before. Of what sort again?</w:t>
      </w:r>
      <w:r>
        <w:t xml:space="preserve"> </w:t>
      </w:r>
      <w:r>
        <w:t xml:space="preserve">‘</w:t>
      </w:r>
      <w:r>
        <w:t xml:space="preserve">Vigram</w:t>
      </w:r>
      <w:r>
        <w:t xml:space="preserve">’</w:t>
      </w:r>
      <w:r>
        <w:t xml:space="preserve"> </w:t>
      </w:r>
      <w:r>
        <w:t xml:space="preserve">— wise;</w:t>
      </w:r>
      <w:r>
        <w:t xml:space="preserve"> </w:t>
      </w:r>
      <w:r>
        <w:t xml:space="preserve">‘</w:t>
      </w:r>
      <w:r>
        <w:t xml:space="preserve">astṛtam</w:t>
      </w:r>
      <w:r>
        <w:t xml:space="preserve">’</w:t>
      </w:r>
      <w:r>
        <w:t xml:space="preserve"> </w:t>
      </w:r>
      <w:r>
        <w:t xml:space="preserve">— unharmed. Among the twenty-four names for</w:t>
      </w:r>
      <w:r>
        <w:t xml:space="preserve"> </w:t>
      </w:r>
      <w:r>
        <w:t xml:space="preserve">‘</w:t>
      </w:r>
      <w:r>
        <w:t xml:space="preserve">wise</w:t>
      </w:r>
      <w:r>
        <w:t xml:space="preserve">’</w:t>
      </w:r>
      <w:r>
        <w:t xml:space="preserve"> </w:t>
      </w:r>
      <w:r>
        <w:t xml:space="preserve">beginning with</w:t>
      </w:r>
      <w:r>
        <w:t xml:space="preserve"> </w:t>
      </w:r>
      <w:r>
        <w:t xml:space="preserve">‘</w:t>
      </w:r>
      <w:r>
        <w:t xml:space="preserve">vipra,</w:t>
      </w:r>
      <w:r>
        <w:t xml:space="preserve">’</w:t>
      </w:r>
      <w:r>
        <w:t xml:space="preserve"> </w:t>
      </w:r>
      <w:r>
        <w:t xml:space="preserve">‘</w:t>
      </w:r>
      <w:r>
        <w:t xml:space="preserve">vigra</w:t>
      </w:r>
      <w:r>
        <w:t xml:space="preserve">’</w:t>
      </w:r>
      <w:r>
        <w:t xml:space="preserve"> </w:t>
      </w:r>
      <w:r>
        <w:t xml:space="preserve">and</w:t>
      </w:r>
      <w:r>
        <w:t xml:space="preserve"> </w:t>
      </w:r>
      <w:r>
        <w:t xml:space="preserve">‘</w:t>
      </w:r>
      <w:r>
        <w:t xml:space="preserve">vipaścit</w:t>
      </w:r>
      <w:r>
        <w:t xml:space="preserve">’</w:t>
      </w:r>
      <w:r>
        <w:t xml:space="preserve"> </w:t>
      </w:r>
      <w:r>
        <w:t xml:space="preserve">are read.”</w:t>
      </w:r>
      <w:r>
        <w:t xml:space="preserve"> </w:t>
      </w:r>
      <w:r>
        <w:rPr>
          <w:iCs/>
          <w:i/>
        </w:rPr>
        <w:t xml:space="preserve">(The Bhāṣya’s reading</w:t>
      </w:r>
      <w:r>
        <w:rPr>
          <w:iCs/>
          <w:i/>
        </w:rPr>
        <w:t xml:space="preserve"> </w:t>
      </w:r>
      <w:r>
        <w:rPr>
          <w:iCs/>
          <w:i/>
        </w:rPr>
        <w:t xml:space="preserve">“</w:t>
      </w:r>
      <w:r>
        <w:rPr>
          <w:iCs/>
          <w:i/>
        </w:rPr>
        <w:t xml:space="preserve">vipaścitam … pṛccha māṃ hotāram</w:t>
      </w:r>
      <w:r>
        <w:rPr>
          <w:iCs/>
          <w:i/>
        </w:rPr>
        <w:t xml:space="preserve">”</w:t>
      </w:r>
      <w:r>
        <w:rPr>
          <w:iCs/>
          <w:i/>
        </w:rPr>
        <w:t xml:space="preserve"> </w:t>
      </w:r>
      <w:r>
        <w:rPr>
          <w:iCs/>
          <w:i/>
        </w:rPr>
        <w:t xml:space="preserve">makes the ṛtvij the one to be asked; I give it as printed.)</w:t>
      </w:r>
    </w:p>
    <w:p>
      <w:pPr>
        <w:pStyle w:val="BodyText"/>
      </w:pPr>
      <w:r>
        <w:rPr>
          <w:bCs/>
          <w:b/>
        </w:rPr>
        <w:t xml:space="preserve">Grammar within the Bhāṣya (characterized, sūtras kept):</w:t>
      </w:r>
      <w:r>
        <w:t xml:space="preserve"> </w:t>
      </w:r>
      <w:r>
        <w:t xml:space="preserve">“</w:t>
      </w:r>
      <w:r>
        <w:t xml:space="preserve">Vigram</w:t>
      </w:r>
      <w:r>
        <w:t xml:space="preserve">”</w:t>
      </w:r>
      <w:r>
        <w:t xml:space="preserve"> </w:t>
      </w:r>
      <w:r>
        <w:t xml:space="preserve">— first-syllable acute as belonging to the</w:t>
      </w:r>
      <w:r>
        <w:t xml:space="preserve"> </w:t>
      </w:r>
      <w:r>
        <w:t xml:space="preserve">“</w:t>
      </w:r>
      <w:r>
        <w:t xml:space="preserve">vṛṣādi</w:t>
      </w:r>
      <w:r>
        <w:t xml:space="preserve">”</w:t>
      </w:r>
      <w:r>
        <w:t xml:space="preserve"> </w:t>
      </w:r>
      <w:r>
        <w:t xml:space="preserve">class;</w:t>
      </w:r>
      <w:r>
        <w:t xml:space="preserve"> </w:t>
      </w:r>
      <w:r>
        <w:t xml:space="preserve">“</w:t>
      </w:r>
      <w:r>
        <w:t xml:space="preserve">astṛtam</w:t>
      </w:r>
      <w:r>
        <w:t xml:space="preserve">”</w:t>
      </w:r>
      <w:r>
        <w:t xml:space="preserve"> </w:t>
      </w:r>
      <w:r>
        <w:t xml:space="preserve">— the first-member accent (an indeclinable prefix) is retained;</w:t>
      </w:r>
      <w:r>
        <w:t xml:space="preserve"> </w:t>
      </w:r>
      <w:r>
        <w:t xml:space="preserve">“</w:t>
      </w:r>
      <w:r>
        <w:t xml:space="preserve">Indra</w:t>
      </w:r>
      <w:r>
        <w:t xml:space="preserve">”</w:t>
      </w:r>
      <w:r>
        <w:t xml:space="preserve"> </w:t>
      </w:r>
      <w:r>
        <w:t xml:space="preserve">— by the Uṇādi</w:t>
      </w:r>
      <w:r>
        <w:t xml:space="preserve"> </w:t>
      </w:r>
      <w:r>
        <w:t xml:space="preserve">“</w:t>
      </w:r>
      <w:r>
        <w:t xml:space="preserve">ṛjrendrāgra-…</w:t>
      </w:r>
      <w:r>
        <w:t xml:space="preserve">”</w:t>
      </w:r>
      <w:r>
        <w:t xml:space="preserve"> </w:t>
      </w:r>
      <w:r>
        <w:t xml:space="preserve">(as on p. 39) the affix</w:t>
      </w:r>
      <w:r>
        <w:t xml:space="preserve"> </w:t>
      </w:r>
      <w:r>
        <w:t xml:space="preserve">“</w:t>
      </w:r>
      <w:r>
        <w:t xml:space="preserve">ran,</w:t>
      </w:r>
      <w:r>
        <w:t xml:space="preserve">”</w:t>
      </w:r>
      <w:r>
        <w:t xml:space="preserve"> </w:t>
      </w:r>
      <w:r>
        <w:t xml:space="preserve">“</w:t>
      </w:r>
      <w:r>
        <w:t xml:space="preserve">n</w:t>
      </w:r>
      <w:r>
        <w:t xml:space="preserve">”</w:t>
      </w:r>
      <w:r>
        <w:t xml:space="preserve">-marked, so first-syllable acute;</w:t>
      </w:r>
      <w:r>
        <w:t xml:space="preserve"> </w:t>
      </w:r>
      <w:r>
        <w:t xml:space="preserve">“</w:t>
      </w:r>
      <w:r>
        <w:t xml:space="preserve">sakhibhyaḥ</w:t>
      </w:r>
      <w:r>
        <w:t xml:space="preserve">”</w:t>
      </w:r>
      <w:r>
        <w:t xml:space="preserve"> </w:t>
      </w:r>
      <w:r>
        <w:t xml:space="preserve">—</w:t>
      </w:r>
      <w:r>
        <w:t xml:space="preserve"> </w:t>
      </w:r>
      <w:r>
        <w:rPr>
          <w:bCs/>
          <w:b/>
        </w:rPr>
        <w:t xml:space="preserve">समाने ख्यः</w:t>
      </w:r>
      <w:r>
        <w:t xml:space="preserve"> </w:t>
      </w:r>
      <w:r>
        <w:t xml:space="preserve">[the Uṇādi sūtra, number garbled:</w:t>
      </w:r>
      <w:r>
        <w:t xml:space="preserve"> </w:t>
      </w:r>
      <w:r>
        <w:t xml:space="preserve">“</w:t>
      </w:r>
      <w:r>
        <w:t xml:space="preserve">4-136</w:t>
      </w:r>
      <w:r>
        <w:t xml:space="preserve">”</w:t>
      </w:r>
      <w:r>
        <w:t xml:space="preserve"> </w:t>
      </w:r>
      <w:r>
        <w:t xml:space="preserve">?], from</w:t>
      </w:r>
      <w:r>
        <w:t xml:space="preserve"> </w:t>
      </w:r>
      <w:r>
        <w:t xml:space="preserve">“</w:t>
      </w:r>
      <w:r>
        <w:t xml:space="preserve">khyā</w:t>
      </w:r>
      <w:r>
        <w:t xml:space="preserve">”</w:t>
      </w:r>
      <w:r>
        <w:t xml:space="preserve"> </w:t>
      </w:r>
      <w:r>
        <w:t xml:space="preserve">after</w:t>
      </w:r>
      <w:r>
        <w:t xml:space="preserve"> </w:t>
      </w:r>
      <w:r>
        <w:t xml:space="preserve">“</w:t>
      </w:r>
      <w:r>
        <w:t xml:space="preserve">samāna</w:t>
      </w:r>
      <w:r>
        <w:t xml:space="preserve">”</w:t>
      </w:r>
      <w:r>
        <w:t xml:space="preserve"> </w:t>
      </w:r>
      <w:r>
        <w:t xml:space="preserve">as upapada with</w:t>
      </w:r>
      <w:r>
        <w:t xml:space="preserve"> </w:t>
      </w:r>
      <w:r>
        <w:t xml:space="preserve">“</w:t>
      </w:r>
      <w:r>
        <w:t xml:space="preserve">in,</w:t>
      </w:r>
      <w:r>
        <w:t xml:space="preserve">”</w:t>
      </w:r>
      <w:r>
        <w:t xml:space="preserve"> </w:t>
      </w:r>
      <w:r>
        <w:t xml:space="preserve">“</w:t>
      </w:r>
      <w:r>
        <w:t xml:space="preserve">ḍit,</w:t>
      </w:r>
      <w:r>
        <w:t xml:space="preserve">”</w:t>
      </w:r>
      <w:r>
        <w:t xml:space="preserve"> </w:t>
      </w:r>
      <w:r>
        <w:t xml:space="preserve">with elision of</w:t>
      </w:r>
      <w:r>
        <w:t xml:space="preserve"> </w:t>
      </w:r>
      <w:r>
        <w:t xml:space="preserve">“</w:t>
      </w:r>
      <w:r>
        <w:t xml:space="preserve">ṭi</w:t>
      </w:r>
      <w:r>
        <w:t xml:space="preserve">”</w:t>
      </w:r>
      <w:r>
        <w:t xml:space="preserve"> </w:t>
      </w:r>
      <w:r>
        <w:t xml:space="preserve">(</w:t>
      </w:r>
      <w:r>
        <w:rPr>
          <w:bCs/>
          <w:b/>
        </w:rPr>
        <w:t xml:space="preserve">टेः</w:t>
      </w:r>
      <w:r>
        <w:t xml:space="preserve">, पा. ६-४-१४३) and of</w:t>
      </w:r>
      <w:r>
        <w:t xml:space="preserve"> </w:t>
      </w:r>
      <w:r>
        <w:t xml:space="preserve">“</w:t>
      </w:r>
      <w:r>
        <w:t xml:space="preserve">y</w:t>
      </w:r>
      <w:r>
        <w:t xml:space="preserve">”</w:t>
      </w:r>
      <w:r>
        <w:t xml:space="preserve">; the upapada’s acute; the substitution</w:t>
      </w:r>
      <w:r>
        <w:t xml:space="preserve"> </w:t>
      </w:r>
      <w:r>
        <w:t xml:space="preserve">“</w:t>
      </w:r>
      <w:r>
        <w:t xml:space="preserve">sa</w:t>
      </w:r>
      <w:r>
        <w:t xml:space="preserve">”</w:t>
      </w:r>
      <w:r>
        <w:t xml:space="preserve"> </w:t>
      </w:r>
      <w:r>
        <w:t xml:space="preserve">for</w:t>
      </w:r>
      <w:r>
        <w:t xml:space="preserve"> </w:t>
      </w:r>
      <w:r>
        <w:t xml:space="preserve">“</w:t>
      </w:r>
      <w:r>
        <w:t xml:space="preserve">samāna</w:t>
      </w:r>
      <w:r>
        <w:t xml:space="preserve">”</w:t>
      </w:r>
      <w:r>
        <w:t xml:space="preserve"> </w:t>
      </w:r>
      <w:r>
        <w:t xml:space="preserve">by</w:t>
      </w:r>
      <w:r>
        <w:t xml:space="preserve"> </w:t>
      </w:r>
      <w:r>
        <w:rPr>
          <w:bCs/>
          <w:b/>
        </w:rPr>
        <w:t xml:space="preserve">समानस्य छन्दस्यमूर्धप्रभृत्युदर्केषु</w:t>
      </w:r>
      <w:r>
        <w:t xml:space="preserve"> </w:t>
      </w:r>
      <w:r>
        <w:t xml:space="preserve">(पा. ६-३-८४); hence</w:t>
      </w:r>
      <w:r>
        <w:t xml:space="preserve"> </w:t>
      </w:r>
      <w:r>
        <w:t xml:space="preserve">“</w:t>
      </w:r>
      <w:r>
        <w:t xml:space="preserve">sakhi</w:t>
      </w:r>
      <w:r>
        <w:t xml:space="preserve">”</w:t>
      </w:r>
      <w:r>
        <w:t xml:space="preserve"> </w:t>
      </w:r>
      <w:r>
        <w:t xml:space="preserve">is first-syllable acute.</w:t>
      </w:r>
      <w:r>
        <w:t xml:space="preserve"> </w:t>
      </w:r>
      <w:r>
        <w:t xml:space="preserve">“</w:t>
      </w:r>
      <w:r>
        <w:t xml:space="preserve">Varam</w:t>
      </w:r>
      <w:r>
        <w:t xml:space="preserve">”</w:t>
      </w:r>
      <w:r>
        <w:t xml:space="preserve"> </w:t>
      </w:r>
      <w:r>
        <w:t xml:space="preserve">—</w:t>
      </w:r>
      <w:r>
        <w:t xml:space="preserve"> </w:t>
      </w:r>
      <w:r>
        <w:t xml:space="preserve">“</w:t>
      </w:r>
      <w:r>
        <w:t xml:space="preserve">vriyate iti varaḥ</w:t>
      </w:r>
      <w:r>
        <w:t xml:space="preserve">”</w:t>
      </w:r>
      <w:r>
        <w:t xml:space="preserve">:</w:t>
      </w:r>
      <w:r>
        <w:t xml:space="preserve"> </w:t>
      </w:r>
      <w:r>
        <w:t xml:space="preserve">“</w:t>
      </w:r>
      <w:r>
        <w:t xml:space="preserve">ap</w:t>
      </w:r>
      <w:r>
        <w:t xml:space="preserve">”</w:t>
      </w:r>
      <w:r>
        <w:t xml:space="preserve"> </w:t>
      </w:r>
      <w:r>
        <w:t xml:space="preserve">by</w:t>
      </w:r>
      <w:r>
        <w:t xml:space="preserve"> </w:t>
      </w:r>
      <w:r>
        <w:rPr>
          <w:bCs/>
          <w:b/>
        </w:rPr>
        <w:t xml:space="preserve">ग्रहवृदृनिश्चिगमश्च</w:t>
      </w:r>
      <w:r>
        <w:t xml:space="preserve"> </w:t>
      </w:r>
      <w:r>
        <w:t xml:space="preserve">(पा. ३-३-५८);</w:t>
      </w:r>
      <w:r>
        <w:t xml:space="preserve"> </w:t>
      </w:r>
      <w:r>
        <w:t xml:space="preserve">“</w:t>
      </w:r>
      <w:r>
        <w:t xml:space="preserve">p</w:t>
      </w:r>
      <w:r>
        <w:t xml:space="preserve">”</w:t>
      </w:r>
      <w:r>
        <w:t xml:space="preserve">-marked, so the root’s accent remains.</w:t>
      </w:r>
    </w:p>
    <w:p>
      <w:pPr>
        <w:pStyle w:val="BodyText"/>
      </w:pPr>
      <w:r>
        <w:rPr>
          <w:bCs/>
          <w:b/>
        </w:rPr>
        <w:t xml:space="preserve">॥ Prati-padārthaḥ ॥</w:t>
      </w:r>
      <w:r>
        <w:t xml:space="preserve"> </w:t>
      </w:r>
      <w:r>
        <w:rPr>
          <w:iCs/>
          <w:i/>
        </w:rPr>
        <w:t xml:space="preserve">(Kannada, translated)</w:t>
      </w:r>
    </w:p>
    <w:p>
      <w:pPr>
        <w:pStyle w:val="BodyText"/>
      </w:pPr>
      <w:r>
        <w:t xml:space="preserve">In this Ṛk the priest called the Hotṛ speaks, addressing the sacrificer —</w:t>
      </w:r>
    </w:p>
    <w:p>
      <w:pPr>
        <w:pStyle w:val="BodyText"/>
      </w:pPr>
      <w:r>
        <w:t xml:space="preserve">(O sacrificer, you)</w:t>
      </w:r>
      <w:r>
        <w:t xml:space="preserve"> </w:t>
      </w:r>
      <w:r>
        <w:rPr>
          <w:bCs/>
          <w:b/>
        </w:rPr>
        <w:t xml:space="preserve">विग्रम् (vigram)</w:t>
      </w:r>
      <w:r>
        <w:t xml:space="preserve"> </w:t>
      </w:r>
      <w:r>
        <w:t xml:space="preserve">— the wise |</w:t>
      </w:r>
      <w:r>
        <w:t xml:space="preserve"> </w:t>
      </w:r>
      <w:r>
        <w:rPr>
          <w:bCs/>
          <w:b/>
        </w:rPr>
        <w:t xml:space="preserve">इन्द्रम् परेहि (indram parehi)</w:t>
      </w:r>
      <w:r>
        <w:t xml:space="preserve"> </w:t>
      </w:r>
      <w:r>
        <w:t xml:space="preserve">— go to Indra’s side | (having gone)</w:t>
      </w:r>
      <w:r>
        <w:t xml:space="preserve"> </w:t>
      </w:r>
      <w:r>
        <w:rPr>
          <w:bCs/>
          <w:b/>
        </w:rPr>
        <w:t xml:space="preserve">अस्तृतम् (astṛtam)</w:t>
      </w:r>
      <w:r>
        <w:t xml:space="preserve"> </w:t>
      </w:r>
      <w:r>
        <w:t xml:space="preserve">— (about Indra) who is not struck by the harm of enemies |</w:t>
      </w:r>
      <w:r>
        <w:t xml:space="preserve"> </w:t>
      </w:r>
      <w:r>
        <w:rPr>
          <w:bCs/>
          <w:b/>
        </w:rPr>
        <w:t xml:space="preserve">विपश्चितम् पृच्छ (vipaścitam pṛccha)</w:t>
      </w:r>
      <w:r>
        <w:t xml:space="preserve"> </w:t>
      </w:r>
      <w:r>
        <w:t xml:space="preserve">— ask this wise one (whether the Hotṛ has praised you properly or not) |</w:t>
      </w:r>
      <w:r>
        <w:t xml:space="preserve"> </w:t>
      </w:r>
      <w:r>
        <w:rPr>
          <w:bCs/>
          <w:b/>
        </w:rPr>
        <w:t xml:space="preserve">यः (yaḥ)</w:t>
      </w:r>
      <w:r>
        <w:t xml:space="preserve"> </w:t>
      </w:r>
      <w:r>
        <w:t xml:space="preserve">— (the Indra who) |</w:t>
      </w:r>
      <w:r>
        <w:t xml:space="preserve"> </w:t>
      </w:r>
      <w:r>
        <w:rPr>
          <w:bCs/>
          <w:b/>
        </w:rPr>
        <w:t xml:space="preserve">ते (te)</w:t>
      </w:r>
      <w:r>
        <w:t xml:space="preserve"> </w:t>
      </w:r>
      <w:r>
        <w:t xml:space="preserve">— your |</w:t>
      </w:r>
      <w:r>
        <w:t xml:space="preserve"> </w:t>
      </w:r>
      <w:r>
        <w:rPr>
          <w:bCs/>
          <w:b/>
        </w:rPr>
        <w:t xml:space="preserve">सखिभ्यः (sakhibhyaḥ)</w:t>
      </w:r>
      <w:r>
        <w:t xml:space="preserve"> </w:t>
      </w:r>
      <w:r>
        <w:t xml:space="preserve">— to the friendly priests |</w:t>
      </w:r>
      <w:r>
        <w:t xml:space="preserve"> </w:t>
      </w:r>
      <w:r>
        <w:rPr>
          <w:bCs/>
          <w:b/>
        </w:rPr>
        <w:t xml:space="preserve">वरम् (varam)</w:t>
      </w:r>
      <w:r>
        <w:t xml:space="preserve"> </w:t>
      </w:r>
      <w:r>
        <w:t xml:space="preserve">— excellent wealth, sons and the like |</w:t>
      </w:r>
      <w:r>
        <w:t xml:space="preserve"> </w:t>
      </w:r>
      <w:r>
        <w:rPr>
          <w:bCs/>
          <w:b/>
        </w:rPr>
        <w:t xml:space="preserve">आ (yacchati)</w:t>
      </w:r>
      <w:r>
        <w:t xml:space="preserve"> </w:t>
      </w:r>
      <w:r>
        <w:t xml:space="preserve">— gives.</w:t>
      </w:r>
    </w:p>
    <w:bookmarkEnd w:id="134"/>
    <w:bookmarkStart w:id="135" w:name="X668302a9bb9f02654135cb28ab01510d10fd0da"/>
    <w:p>
      <w:pPr>
        <w:pStyle w:val="Heading3"/>
      </w:pPr>
      <w:r>
        <w:t xml:space="preserve">Page 105 — Rik 4.4: Bhāvārtha; English rendering; Special topics; Vyākaraṇa-prakriyā (opening)</w:t>
      </w:r>
    </w:p>
    <w:p>
      <w:pPr>
        <w:pStyle w:val="FirstParagraph"/>
      </w:pPr>
      <w:r>
        <w:rPr>
          <w:iCs/>
          <w:i/>
        </w:rPr>
        <w:t xml:space="preserve">(Page header:</w:t>
      </w:r>
      <w:r>
        <w:rPr>
          <w:iCs/>
          <w:i/>
        </w:rPr>
        <w:t xml:space="preserve"> </w:t>
      </w:r>
      <w:r>
        <w:rPr>
          <w:iCs/>
          <w:i/>
        </w:rPr>
        <w:t xml:space="preserve">“</w:t>
      </w:r>
      <w:r>
        <w:rPr>
          <w:iCs/>
          <w:i/>
        </w:rPr>
        <w:t xml:space="preserve">Aṣṭaka 1, Adhyāya 1, Varga 7 · Ṛgveda-saṃhitā.</w:t>
      </w:r>
      <w:r>
        <w:rPr>
          <w:iCs/>
          <w:i/>
        </w:rPr>
        <w:t xml:space="preserve">”</w:t>
      </w:r>
      <w:r>
        <w:rPr>
          <w:iCs/>
          <w:i/>
        </w:rPr>
        <w:t xml:space="preserve"> </w:t>
      </w:r>
      <w:r>
        <w:rPr>
          <w:iCs/>
          <w:i/>
        </w:rPr>
        <w:t xml:space="preserve">English as printed; reference-numbers in small Kannada numerals are marked [?]. The Taittirīya citation below is transcribed letter by letter from the Kannada print.)</w:t>
      </w:r>
    </w:p>
    <w:p>
      <w:pPr>
        <w:pStyle w:val="BodyText"/>
      </w:pPr>
      <w:r>
        <w:rPr>
          <w:bCs/>
          <w:b/>
        </w:rPr>
        <w:t xml:space="preserve">॥ Bhāvārthaḥ ॥</w:t>
      </w:r>
      <w:r>
        <w:t xml:space="preserve"> </w:t>
      </w:r>
      <w:r>
        <w:rPr>
          <w:iCs/>
          <w:i/>
        </w:rPr>
        <w:t xml:space="preserve">(Kannada, translated)</w:t>
      </w:r>
    </w:p>
    <w:p>
      <w:pPr>
        <w:pStyle w:val="BodyText"/>
      </w:pPr>
      <w:r>
        <w:t xml:space="preserve">The Hotṛ speaks thus, addressing the sacrificer: O sacrificer! Go to the side of Indra, who is wise (intelligent) — and ask him whether this Hotṛ has praised you well. Because Indra is pleased with the hymns that the Hotṛ has chanted, he will favour you, and your friends the priests, with the best boons — wealth, sons and the like.</w:t>
      </w:r>
    </w:p>
    <w:p>
      <w:pPr>
        <w:pStyle w:val="BodyText"/>
      </w:pPr>
      <w:r>
        <w:rPr>
          <w:bCs/>
          <w:b/>
        </w:rPr>
        <w:t xml:space="preserve">English Translation</w:t>
      </w:r>
      <w:r>
        <w:t xml:space="preserve"> </w:t>
      </w:r>
      <w:r>
        <w:rPr>
          <w:iCs/>
          <w:i/>
        </w:rPr>
        <w:t xml:space="preserve">(printed in English in the source itself):</w:t>
      </w:r>
    </w:p>
    <w:p>
      <w:pPr>
        <w:pStyle w:val="BodyText"/>
      </w:pPr>
      <w:r>
        <w:t xml:space="preserve">“</w:t>
      </w:r>
      <w:r>
        <w:t xml:space="preserve">Go (worshipper) to the wise (and) uninjured Indra and ask him of the (fitness of the) learned (priest who recites his praise.) Indra will bestow the best of blessings to your friends (priests).</w:t>
      </w:r>
      <w:r>
        <w:t xml:space="preserve">”</w:t>
      </w:r>
    </w:p>
    <w:p>
      <w:pPr>
        <w:pStyle w:val="BodyText"/>
      </w:pPr>
      <w:r>
        <w:rPr>
          <w:bCs/>
          <w:b/>
        </w:rPr>
        <w:t xml:space="preserve">॥ Viśeṣa-viṣayagaḷu (Special Topics) ॥</w:t>
      </w:r>
    </w:p>
    <w:p>
      <w:pPr>
        <w:pStyle w:val="BodyText"/>
      </w:pPr>
      <w:r>
        <w:rPr>
          <w:bCs/>
          <w:b/>
        </w:rPr>
        <w:t xml:space="preserve">विग्रम्, विपश्चितम् (vigram, vipaścitam)</w:t>
      </w:r>
      <w:r>
        <w:t xml:space="preserve"> </w:t>
      </w:r>
      <w:r>
        <w:t xml:space="preserve">— These words are read among the twenty-four words that indicate</w:t>
      </w:r>
      <w:r>
        <w:t xml:space="preserve"> </w:t>
      </w:r>
      <w:r>
        <w:t xml:space="preserve">“</w:t>
      </w:r>
      <w:r>
        <w:t xml:space="preserve">intelligent</w:t>
      </w:r>
      <w:r>
        <w:t xml:space="preserve">”</w:t>
      </w:r>
      <w:r>
        <w:t xml:space="preserve"> </w:t>
      </w:r>
      <w:r>
        <w:t xml:space="preserve">(Ni. 3-15). For these words the sense is</w:t>
      </w:r>
      <w:r>
        <w:t xml:space="preserve"> </w:t>
      </w:r>
      <w:r>
        <w:t xml:space="preserve">“</w:t>
      </w:r>
      <w:r>
        <w:t xml:space="preserve">buddhimān, medhāvī, vivekin</w:t>
      </w:r>
      <w:r>
        <w:t xml:space="preserve">”</w:t>
      </w:r>
      <w:r>
        <w:t xml:space="preserve"> </w:t>
      </w:r>
      <w:r>
        <w:t xml:space="preserve">(one with understanding, intelligent, discerning). The word</w:t>
      </w:r>
      <w:r>
        <w:t xml:space="preserve"> </w:t>
      </w:r>
      <w:r>
        <w:t xml:space="preserve">“</w:t>
      </w:r>
      <w:r>
        <w:t xml:space="preserve">vigra</w:t>
      </w:r>
      <w:r>
        <w:t xml:space="preserve">”</w:t>
      </w:r>
      <w:r>
        <w:t xml:space="preserve"> </w:t>
      </w:r>
      <w:r>
        <w:t xml:space="preserve">is used in the Ṛgveda in only two places. In the present Ṛk, and also in the Ṛk</w:t>
      </w:r>
    </w:p>
    <w:p>
      <w:pPr>
        <w:pStyle w:val="BlockText"/>
      </w:pPr>
      <w:r>
        <w:t xml:space="preserve">ता विग्रं धैथे जठरं पृणध्या आ यत्सद्म सभृतयः पृणन्ति ॥ (ऋ. सं. ६-६७-७)</w:t>
      </w:r>
      <w:r>
        <w:t xml:space="preserve"> </w:t>
      </w:r>
      <w:r>
        <w:rPr>
          <w:iCs/>
          <w:i/>
        </w:rPr>
        <w:t xml:space="preserve">tā vigraṃ dhaithe jaṭharaṃ pṛṇadhyā ā yat sadma sabhṛtayaḥ pṛṇanti || (ṛ. saṃ. 6-67-7)</w:t>
      </w:r>
      <w:r>
        <w:t xml:space="preserve"> </w:t>
      </w:r>
      <w:r>
        <w:t xml:space="preserve">Gloss (mine; tentative; the print gives only this line):</w:t>
      </w:r>
      <w:r>
        <w:t xml:space="preserve"> </w:t>
      </w:r>
      <w:r>
        <w:t xml:space="preserve">“</w:t>
      </w:r>
      <w:r>
        <w:t xml:space="preserve">You two keep the wise one, to fill the belly, when those who bring together fill the abode.</w:t>
      </w:r>
      <w:r>
        <w:t xml:space="preserve">”</w:t>
      </w:r>
    </w:p>
    <w:p>
      <w:pPr>
        <w:pStyle w:val="FirstParagraph"/>
      </w:pPr>
      <w:r>
        <w:t xml:space="preserve">this word is used. Nowhere else. The word</w:t>
      </w:r>
      <w:r>
        <w:t xml:space="preserve"> </w:t>
      </w:r>
      <w:r>
        <w:t xml:space="preserve">“</w:t>
      </w:r>
      <w:r>
        <w:t xml:space="preserve">vipaścit</w:t>
      </w:r>
      <w:r>
        <w:t xml:space="preserve">”</w:t>
      </w:r>
      <w:r>
        <w:t xml:space="preserve"> </w:t>
      </w:r>
      <w:r>
        <w:t xml:space="preserve">is used in about 23 places in the Ṛgveda.</w:t>
      </w:r>
    </w:p>
    <w:p>
      <w:pPr>
        <w:pStyle w:val="BodyText"/>
      </w:pPr>
      <w:r>
        <w:rPr>
          <w:bCs/>
          <w:b/>
        </w:rPr>
        <w:t xml:space="preserve">अस्तृतम् (astṛtam)</w:t>
      </w:r>
      <w:r>
        <w:t xml:space="preserve"> </w:t>
      </w:r>
      <w:r>
        <w:t xml:space="preserve">— The negative form of the word</w:t>
      </w:r>
      <w:r>
        <w:t xml:space="preserve"> </w:t>
      </w:r>
      <w:r>
        <w:t xml:space="preserve">“</w:t>
      </w:r>
      <w:r>
        <w:t xml:space="preserve">stṛta,</w:t>
      </w:r>
      <w:r>
        <w:t xml:space="preserve">”</w:t>
      </w:r>
      <w:r>
        <w:t xml:space="preserve"> </w:t>
      </w:r>
      <w:r>
        <w:t xml:space="preserve">formed from the root</w:t>
      </w:r>
      <w:r>
        <w:t xml:space="preserve"> </w:t>
      </w:r>
      <w:r>
        <w:t xml:space="preserve">“</w:t>
      </w:r>
      <w:r>
        <w:t xml:space="preserve">stṛ</w:t>
      </w:r>
      <w:r>
        <w:t xml:space="preserve">”</w:t>
      </w:r>
      <w:r>
        <w:t xml:space="preserve">;</w:t>
      </w:r>
      <w:r>
        <w:t xml:space="preserve"> </w:t>
      </w:r>
      <w:r>
        <w:t xml:space="preserve">“</w:t>
      </w:r>
      <w:r>
        <w:t xml:space="preserve">na stṛtam = astṛtam</w:t>
      </w:r>
      <w:r>
        <w:t xml:space="preserve">”</w:t>
      </w:r>
      <w:r>
        <w:t xml:space="preserve"> </w:t>
      </w:r>
      <w:r>
        <w:t xml:space="preserve">— not struck down,</w:t>
      </w:r>
      <w:r>
        <w:t xml:space="preserve"> </w:t>
      </w:r>
      <w:r>
        <w:t xml:space="preserve">“</w:t>
      </w:r>
      <w:r>
        <w:t xml:space="preserve">ahiṃsitam</w:t>
      </w:r>
      <w:r>
        <w:t xml:space="preserve">”</w:t>
      </w:r>
      <w:r>
        <w:t xml:space="preserve"> </w:t>
      </w:r>
      <w:r>
        <w:t xml:space="preserve">(</w:t>
      </w:r>
      <w:r>
        <w:t xml:space="preserve">“</w:t>
      </w:r>
      <w:r>
        <w:t xml:space="preserve">unharmed</w:t>
      </w:r>
      <w:r>
        <w:t xml:space="preserve">”</w:t>
      </w:r>
      <w:r>
        <w:t xml:space="preserve">).</w:t>
      </w:r>
    </w:p>
    <w:p>
      <w:pPr>
        <w:pStyle w:val="BodyText"/>
      </w:pPr>
      <w:r>
        <w:rPr>
          <w:bCs/>
          <w:b/>
        </w:rPr>
        <w:t xml:space="preserve">सखिभ्यः (sakhibhyaḥ)</w:t>
      </w:r>
      <w:r>
        <w:t xml:space="preserve"> </w:t>
      </w:r>
      <w:r>
        <w:t xml:space="preserve">—</w:t>
      </w:r>
      <w:r>
        <w:t xml:space="preserve"> </w:t>
      </w:r>
      <w:r>
        <w:t xml:space="preserve">“</w:t>
      </w:r>
      <w:r>
        <w:t xml:space="preserve">To the friends</w:t>
      </w:r>
      <w:r>
        <w:t xml:space="preserve">”</w:t>
      </w:r>
      <w:r>
        <w:t xml:space="preserve"> </w:t>
      </w:r>
      <w:r>
        <w:t xml:space="preserve">— that is, to the priests who are called the sacrificer’s friends. On the point that the priests are the sacrificer’s friends:</w:t>
      </w:r>
    </w:p>
    <w:p>
      <w:pPr>
        <w:pStyle w:val="BlockText"/>
      </w:pPr>
      <w:r>
        <w:t xml:space="preserve">आ प्यायस्व सखीन्त्सन्या मेधयेत्याहर्त्विजो वा अस्य सखायस्तानेवाप्याययेति ॥ (तै. सं. ६-२-२)</w:t>
      </w:r>
      <w:r>
        <w:t xml:space="preserve"> </w:t>
      </w:r>
      <w:r>
        <w:rPr>
          <w:iCs/>
          <w:i/>
        </w:rPr>
        <w:t xml:space="preserve">ā pyāyasva sakhīn tsanyā medhayety āhartvijo vā asya sakhāyas tān evāpyāyayeti || (tai. saṃ. 6-2-2)</w:t>
      </w:r>
      <w:r>
        <w:t xml:space="preserve"> </w:t>
      </w:r>
      <w:r>
        <w:t xml:space="preserve">Translation (mine, following the Kannada gloss):</w:t>
      </w:r>
      <w:r>
        <w:t xml:space="preserve"> </w:t>
      </w:r>
      <w:r>
        <w:t xml:space="preserve">“</w:t>
      </w:r>
      <w:r>
        <w:t xml:space="preserve">‘</w:t>
      </w:r>
      <w:r>
        <w:t xml:space="preserve">Swell, bring your friends to prosperity with intelligence</w:t>
      </w:r>
      <w:r>
        <w:t xml:space="preserve">’</w:t>
      </w:r>
      <w:r>
        <w:t xml:space="preserve"> </w:t>
      </w:r>
      <w:r>
        <w:t xml:space="preserve">— thus he says; the priests, indeed, are his (the sacrificer’s) friends; he swells them indeed.</w:t>
      </w:r>
      <w:r>
        <w:t xml:space="preserve">”</w:t>
      </w:r>
      <w:r>
        <w:t xml:space="preserve"> </w:t>
      </w:r>
      <w:r>
        <w:t xml:space="preserve">— The Kannada adds: here</w:t>
      </w:r>
      <w:r>
        <w:t xml:space="preserve"> </w:t>
      </w:r>
      <w:r>
        <w:t xml:space="preserve">“</w:t>
      </w:r>
      <w:r>
        <w:t xml:space="preserve">ṛtvijo vā asya sakhāyaḥ</w:t>
      </w:r>
      <w:r>
        <w:t xml:space="preserve">”</w:t>
      </w:r>
      <w:r>
        <w:t xml:space="preserve"> </w:t>
      </w:r>
      <w:r>
        <w:t xml:space="preserve">says plainly that the priests are the sacrificer’s friends.</w:t>
      </w:r>
    </w:p>
    <w:p>
      <w:pPr>
        <w:pStyle w:val="FirstParagraph"/>
      </w:pPr>
      <w:r>
        <w:rPr>
          <w:bCs/>
          <w:b/>
        </w:rPr>
        <w:t xml:space="preserve">॥ Vyākaraṇa-prakriyā ॥</w:t>
      </w:r>
      <w:r>
        <w:t xml:space="preserve"> </w:t>
      </w:r>
      <w:r>
        <w:rPr>
          <w:iCs/>
          <w:i/>
        </w:rPr>
        <w:t xml:space="preserve">(Kannada; characterized)</w:t>
      </w:r>
      <w:r>
        <w:t xml:space="preserve"> </w:t>
      </w:r>
      <w:r>
        <w:rPr>
          <w:bCs/>
          <w:b/>
        </w:rPr>
        <w:t xml:space="preserve">“</w:t>
      </w:r>
      <w:r>
        <w:rPr>
          <w:bCs/>
          <w:b/>
        </w:rPr>
        <w:t xml:space="preserve">Parā</w:t>
      </w:r>
      <w:r>
        <w:rPr>
          <w:bCs/>
          <w:b/>
        </w:rPr>
        <w:t xml:space="preserve">”</w:t>
      </w:r>
      <w:r>
        <w:t xml:space="preserve"> </w:t>
      </w:r>
      <w:r>
        <w:t xml:space="preserve">— a nipāta, first-syllable acute by</w:t>
      </w:r>
      <w:r>
        <w:t xml:space="preserve"> </w:t>
      </w:r>
      <w:r>
        <w:rPr>
          <w:bCs/>
          <w:b/>
        </w:rPr>
        <w:t xml:space="preserve">निपाता आद्युदात्ताः</w:t>
      </w:r>
      <w:r>
        <w:t xml:space="preserve"> </w:t>
      </w:r>
      <w:r>
        <w:t xml:space="preserve">(Phiṭ-sūtra 80); by the</w:t>
      </w:r>
      <w:r>
        <w:t xml:space="preserve"> </w:t>
      </w:r>
      <w:r>
        <w:t xml:space="preserve">“</w:t>
      </w:r>
      <w:r>
        <w:t xml:space="preserve">śeṣa-anudātta</w:t>
      </w:r>
      <w:r>
        <w:t xml:space="preserve">”</w:t>
      </w:r>
      <w:r>
        <w:t xml:space="preserve"> </w:t>
      </w:r>
      <w:r>
        <w:t xml:space="preserve">the last letter is unaccented. In the saṃhitā, the</w:t>
      </w:r>
      <w:r>
        <w:t xml:space="preserve"> </w:t>
      </w:r>
      <w:r>
        <w:t xml:space="preserve">“</w:t>
      </w:r>
      <w:r>
        <w:t xml:space="preserve">ā</w:t>
      </w:r>
      <w:r>
        <w:t xml:space="preserve">”</w:t>
      </w:r>
      <w:r>
        <w:t xml:space="preserve"> </w:t>
      </w:r>
      <w:r>
        <w:t xml:space="preserve">of</w:t>
      </w:r>
      <w:r>
        <w:t xml:space="preserve"> </w:t>
      </w:r>
      <w:r>
        <w:t xml:space="preserve">“</w:t>
      </w:r>
      <w:r>
        <w:t xml:space="preserve">parā</w:t>
      </w:r>
      <w:r>
        <w:t xml:space="preserve">”</w:t>
      </w:r>
      <w:r>
        <w:t xml:space="preserve"> </w:t>
      </w:r>
      <w:r>
        <w:t xml:space="preserve">combines, by guṇa-sandhi, with the unaccented</w:t>
      </w:r>
      <w:r>
        <w:t xml:space="preserve"> </w:t>
      </w:r>
      <w:r>
        <w:t xml:space="preserve">“</w:t>
      </w:r>
      <w:r>
        <w:t xml:space="preserve">i</w:t>
      </w:r>
      <w:r>
        <w:t xml:space="preserve">”</w:t>
      </w:r>
      <w:r>
        <w:t xml:space="preserve"> </w:t>
      </w:r>
      <w:r>
        <w:t xml:space="preserve">of</w:t>
      </w:r>
      <w:r>
        <w:t xml:space="preserve"> </w:t>
      </w:r>
      <w:r>
        <w:t xml:space="preserve">“</w:t>
      </w:r>
      <w:r>
        <w:t xml:space="preserve">ihi,</w:t>
      </w:r>
      <w:r>
        <w:t xml:space="preserve">”</w:t>
      </w:r>
      <w:r>
        <w:t xml:space="preserve"> </w:t>
      </w:r>
      <w:r>
        <w:t xml:space="preserve">giving</w:t>
      </w:r>
      <w:r>
        <w:t xml:space="preserve"> </w:t>
      </w:r>
      <w:r>
        <w:t xml:space="preserve">“</w:t>
      </w:r>
      <w:r>
        <w:t xml:space="preserve">e</w:t>
      </w:r>
      <w:r>
        <w:t xml:space="preserve">”</w:t>
      </w:r>
      <w:r>
        <w:t xml:space="preserve"> </w:t>
      </w:r>
      <w:r>
        <w:t xml:space="preserve">as the single substitute; this single substitute, coming in place of unaccented vowels …</w:t>
      </w:r>
      <w:r>
        <w:t xml:space="preserve"> </w:t>
      </w:r>
      <w:r>
        <w:rPr>
          <w:iCs/>
          <w:i/>
        </w:rPr>
        <w:t xml:space="preserve">(continues on the next page)</w:t>
      </w:r>
    </w:p>
    <w:bookmarkEnd w:id="135"/>
    <w:bookmarkStart w:id="136" w:name="X558fa175b8372edc724632b3f06e2a0df5641ae"/>
    <w:p>
      <w:pPr>
        <w:pStyle w:val="Heading3"/>
      </w:pPr>
      <w:r>
        <w:t xml:space="preserve">Pages 106–107 — Vyākaraṇa-prakriyā for Rik 4.4 (Kannada) — characterized</w:t>
      </w:r>
    </w:p>
    <w:p>
      <w:pPr>
        <w:pStyle w:val="FirstParagraph"/>
      </w:pPr>
      <w:r>
        <w:rPr>
          <w:iCs/>
          <w:i/>
        </w:rPr>
        <w:t xml:space="preserve">(Page headers: p. 106</w:t>
      </w:r>
      <w:r>
        <w:rPr>
          <w:iCs/>
          <w:i/>
        </w:rPr>
        <w:t xml:space="preserve"> </w:t>
      </w:r>
      <w:r>
        <w:rPr>
          <w:iCs/>
          <w:i/>
        </w:rPr>
        <w:t xml:space="preserve">“</w:t>
      </w:r>
      <w:r>
        <w:rPr>
          <w:iCs/>
          <w:i/>
        </w:rPr>
        <w:t xml:space="preserve">Sāyaṇa-bhāṣya-sahitā · Maṇḍala 1, Anuvāka 2, Sūkta 4</w:t>
      </w:r>
      <w:r>
        <w:rPr>
          <w:iCs/>
          <w:i/>
        </w:rPr>
        <w:t xml:space="preserve">”</w:t>
      </w:r>
      <w:r>
        <w:rPr>
          <w:iCs/>
          <w:i/>
        </w:rPr>
        <w:t xml:space="preserve">; p. 107</w:t>
      </w:r>
      <w:r>
        <w:rPr>
          <w:iCs/>
          <w:i/>
        </w:rPr>
        <w:t xml:space="preserve"> </w:t>
      </w:r>
      <w:r>
        <w:rPr>
          <w:iCs/>
          <w:i/>
        </w:rPr>
        <w:t xml:space="preserve">“</w:t>
      </w:r>
      <w:r>
        <w:rPr>
          <w:iCs/>
          <w:i/>
        </w:rPr>
        <w:t xml:space="preserve">Aṣṭaka 1, Adhyāya 1, Varga 7 · Ṛgveda-saṃhitā.</w:t>
      </w:r>
      <w:r>
        <w:rPr>
          <w:iCs/>
          <w:i/>
        </w:rPr>
        <w:t xml:space="preserve">”</w:t>
      </w:r>
      <w:r>
        <w:rPr>
          <w:iCs/>
          <w:i/>
        </w:rPr>
        <w:t xml:space="preserve"> </w:t>
      </w:r>
      <w:r>
        <w:rPr>
          <w:iCs/>
          <w:i/>
        </w:rPr>
        <w:t xml:space="preserve">These two pages are</w:t>
      </w:r>
      <w:r>
        <w:rPr>
          <w:iCs/>
          <w:i/>
        </w:rPr>
        <w:t xml:space="preserve"> </w:t>
      </w:r>
      <w:r>
        <w:rPr>
          <w:bCs/>
          <w:b/>
          <w:iCs/>
          <w:i/>
        </w:rPr>
        <w:t xml:space="preserve">pure Pāṇinian derivation in Kannada prose</w:t>
      </w:r>
      <w:r>
        <w:rPr>
          <w:iCs/>
          <w:i/>
        </w:rPr>
        <w:t xml:space="preserve">, the Kannada rendering of the grammar given in Sanskrit on p. 104, with a good deal of added scholastic debate. They do not bear on the sense of the Rik, which was given on pp. 104–105. Per the standing convention they are</w:t>
      </w:r>
      <w:r>
        <w:rPr>
          <w:iCs/>
          <w:i/>
        </w:rPr>
        <w:t xml:space="preserve"> </w:t>
      </w:r>
      <w:r>
        <w:rPr>
          <w:bCs/>
          <w:b/>
          <w:iCs/>
          <w:i/>
        </w:rPr>
        <w:t xml:space="preserve">characterized in outline, not translated line by line</w:t>
      </w:r>
      <w:r>
        <w:rPr>
          <w:iCs/>
          <w:i/>
        </w:rPr>
        <w:t xml:space="preserve">; the sūtras the pages name are kept in three layers, numbers as I read them, [?] where uncertain. Several sentences in the middle of p. 106 and the foot of p. 107 are crowded in the print and I do not reproduce them.)</w:t>
      </w:r>
    </w:p>
    <w:p>
      <w:pPr>
        <w:pStyle w:val="BodyText"/>
      </w:pPr>
      <w:r>
        <w:rPr>
          <w:bCs/>
          <w:b/>
        </w:rPr>
        <w:t xml:space="preserve">p. 106 —</w:t>
      </w:r>
      <w:r>
        <w:rPr>
          <w:bCs/>
          <w:b/>
        </w:rPr>
        <w:t xml:space="preserve"> </w:t>
      </w:r>
      <w:r>
        <w:rPr>
          <w:bCs/>
          <w:b/>
        </w:rPr>
        <w:t xml:space="preserve">“</w:t>
      </w:r>
      <w:r>
        <w:rPr>
          <w:bCs/>
          <w:b/>
        </w:rPr>
        <w:t xml:space="preserve">parā,</w:t>
      </w:r>
      <w:r>
        <w:rPr>
          <w:bCs/>
          <w:b/>
        </w:rPr>
        <w:t xml:space="preserve">”</w:t>
      </w:r>
      <w:r>
        <w:rPr>
          <w:bCs/>
          <w:b/>
        </w:rPr>
        <w:t xml:space="preserve"> </w:t>
      </w:r>
      <w:r>
        <w:rPr>
          <w:bCs/>
          <w:b/>
        </w:rPr>
        <w:t xml:space="preserve">“</w:t>
      </w:r>
      <w:r>
        <w:rPr>
          <w:bCs/>
          <w:b/>
        </w:rPr>
        <w:t xml:space="preserve">ihi,</w:t>
      </w:r>
      <w:r>
        <w:rPr>
          <w:bCs/>
          <w:b/>
        </w:rPr>
        <w:t xml:space="preserve">”</w:t>
      </w:r>
      <w:r>
        <w:rPr>
          <w:bCs/>
          <w:b/>
        </w:rPr>
        <w:t xml:space="preserve"> </w:t>
      </w:r>
      <w:r>
        <w:rPr>
          <w:bCs/>
          <w:b/>
        </w:rPr>
        <w:t xml:space="preserve">“</w:t>
      </w:r>
      <w:r>
        <w:rPr>
          <w:bCs/>
          <w:b/>
        </w:rPr>
        <w:t xml:space="preserve">vigram.</w:t>
      </w:r>
      <w:r>
        <w:rPr>
          <w:bCs/>
          <w:b/>
        </w:rPr>
        <w:t xml:space="preserve">”</w:t>
      </w:r>
      <w:r>
        <w:t xml:space="preserve"> </w:t>
      </w:r>
      <w:r>
        <w:t xml:space="preserve">-</w:t>
      </w:r>
      <w:r>
        <w:t xml:space="preserve"> </w:t>
      </w:r>
      <w:r>
        <w:rPr>
          <w:iCs/>
          <w:i/>
        </w:rPr>
        <w:t xml:space="preserve">(Continuing</w:t>
      </w:r>
      <w:r>
        <w:rPr>
          <w:iCs/>
          <w:i/>
        </w:rPr>
        <w:t xml:space="preserve"> </w:t>
      </w:r>
      <w:r>
        <w:rPr>
          <w:iCs/>
          <w:i/>
        </w:rPr>
        <w:t xml:space="preserve">“</w:t>
      </w:r>
      <w:r>
        <w:rPr>
          <w:iCs/>
          <w:i/>
        </w:rPr>
        <w:t xml:space="preserve">parehi</w:t>
      </w:r>
      <w:r>
        <w:rPr>
          <w:iCs/>
          <w:i/>
        </w:rPr>
        <w:t xml:space="preserve">”</w:t>
      </w:r>
      <w:r>
        <w:rPr>
          <w:iCs/>
          <w:i/>
        </w:rPr>
        <w:t xml:space="preserve"> </w:t>
      </w:r>
      <w:r>
        <w:rPr>
          <w:iCs/>
          <w:i/>
        </w:rPr>
        <w:t xml:space="preserve">from p. 105.)</w:t>
      </w:r>
      <w:r>
        <w:t xml:space="preserve"> </w:t>
      </w:r>
      <w:r>
        <w:t xml:space="preserve">The single substitute</w:t>
      </w:r>
      <w:r>
        <w:t xml:space="preserve"> </w:t>
      </w:r>
      <w:r>
        <w:t xml:space="preserve">“</w:t>
      </w:r>
      <w:r>
        <w:t xml:space="preserve">e</w:t>
      </w:r>
      <w:r>
        <w:t xml:space="preserve">”</w:t>
      </w:r>
      <w:r>
        <w:t xml:space="preserve"> </w:t>
      </w:r>
      <w:r>
        <w:t xml:space="preserve">replaces the pair of unaccented vowels, and is by</w:t>
      </w:r>
      <w:r>
        <w:t xml:space="preserve"> </w:t>
      </w:r>
      <w:r>
        <w:rPr>
          <w:bCs/>
          <w:b/>
        </w:rPr>
        <w:t xml:space="preserve">स्थानिवदादेशोऽनल्विधौ</w:t>
      </w:r>
      <w:r>
        <w:t xml:space="preserve"> </w:t>
      </w:r>
      <w:r>
        <w:t xml:space="preserve">(</w:t>
      </w:r>
      <w:r>
        <w:rPr>
          <w:iCs/>
          <w:i/>
        </w:rPr>
        <w:t xml:space="preserve">sthānivad ādeśo ’nal-vidhau</w:t>
      </w:r>
      <w:r>
        <w:t xml:space="preserve">, पा. १-१-५६) treated as the original, hence unaccented; since it comes after the acute</w:t>
      </w:r>
      <w:r>
        <w:t xml:space="preserve"> </w:t>
      </w:r>
      <w:r>
        <w:t xml:space="preserve">“</w:t>
      </w:r>
      <w:r>
        <w:t xml:space="preserve">ra,</w:t>
      </w:r>
      <w:r>
        <w:t xml:space="preserve">”</w:t>
      </w:r>
      <w:r>
        <w:t xml:space="preserve"> </w:t>
      </w:r>
      <w:r>
        <w:t xml:space="preserve">it becomes svarita by</w:t>
      </w:r>
      <w:r>
        <w:t xml:space="preserve"> </w:t>
      </w:r>
      <w:r>
        <w:rPr>
          <w:bCs/>
          <w:b/>
        </w:rPr>
        <w:t xml:space="preserve">उदात्तादनुदात्तस्य स्वरितः</w:t>
      </w:r>
      <w:r>
        <w:t xml:space="preserve"> </w:t>
      </w:r>
      <w:r>
        <w:t xml:space="preserve">(पा. ८-४-६६).</w:t>
      </w:r>
      <w:r>
        <w:t xml:space="preserve"> </w:t>
      </w:r>
      <w:r>
        <w:t xml:space="preserve">-</w:t>
      </w:r>
      <w:r>
        <w:t xml:space="preserve"> </w:t>
      </w:r>
      <w:r>
        <w:rPr>
          <w:bCs/>
          <w:b/>
        </w:rPr>
        <w:t xml:space="preserve">“</w:t>
      </w:r>
      <w:r>
        <w:rPr>
          <w:bCs/>
          <w:b/>
        </w:rPr>
        <w:t xml:space="preserve">Ihi</w:t>
      </w:r>
      <w:r>
        <w:rPr>
          <w:bCs/>
          <w:b/>
        </w:rPr>
        <w:t xml:space="preserve">”</w:t>
      </w:r>
      <w:r>
        <w:t xml:space="preserve"> </w:t>
      </w:r>
      <w:r>
        <w:t xml:space="preserve">—</w:t>
      </w:r>
      <w:r>
        <w:t xml:space="preserve"> </w:t>
      </w:r>
      <w:r>
        <w:t xml:space="preserve">“</w:t>
      </w:r>
      <w:r>
        <w:t xml:space="preserve">iṇ gatau</w:t>
      </w:r>
      <w:r>
        <w:t xml:space="preserve">”</w:t>
      </w:r>
      <w:r>
        <w:t xml:space="preserve"> </w:t>
      </w:r>
      <w:r>
        <w:t xml:space="preserve">(to go); in the imperative second-person singular</w:t>
      </w:r>
      <w:r>
        <w:t xml:space="preserve"> </w:t>
      </w:r>
      <w:r>
        <w:t xml:space="preserve">“</w:t>
      </w:r>
      <w:r>
        <w:t xml:space="preserve">sip,</w:t>
      </w:r>
      <w:r>
        <w:t xml:space="preserve">”</w:t>
      </w:r>
      <w:r>
        <w:t xml:space="preserve"> </w:t>
      </w:r>
      <w:r>
        <w:rPr>
          <w:bCs/>
          <w:b/>
        </w:rPr>
        <w:t xml:space="preserve">सेर्ह्यपिच्च</w:t>
      </w:r>
      <w:r>
        <w:t xml:space="preserve"> </w:t>
      </w:r>
      <w:r>
        <w:t xml:space="preserve">(पा. ३-४-८७) puts</w:t>
      </w:r>
      <w:r>
        <w:t xml:space="preserve"> </w:t>
      </w:r>
      <w:r>
        <w:t xml:space="preserve">“</w:t>
      </w:r>
      <w:r>
        <w:t xml:space="preserve">hi</w:t>
      </w:r>
      <w:r>
        <w:t xml:space="preserve">”</w:t>
      </w:r>
      <w:r>
        <w:t xml:space="preserve"> </w:t>
      </w:r>
      <w:r>
        <w:t xml:space="preserve">for</w:t>
      </w:r>
      <w:r>
        <w:t xml:space="preserve"> </w:t>
      </w:r>
      <w:r>
        <w:t xml:space="preserve">“</w:t>
      </w:r>
      <w:r>
        <w:t xml:space="preserve">si</w:t>
      </w:r>
      <w:r>
        <w:t xml:space="preserve">”</w:t>
      </w:r>
      <w:r>
        <w:t xml:space="preserve">; the</w:t>
      </w:r>
      <w:r>
        <w:t xml:space="preserve"> </w:t>
      </w:r>
      <w:r>
        <w:t xml:space="preserve">“</w:t>
      </w:r>
      <w:r>
        <w:t xml:space="preserve">śap</w:t>
      </w:r>
      <w:r>
        <w:t xml:space="preserve">”</w:t>
      </w:r>
      <w:r>
        <w:t xml:space="preserve"> </w:t>
      </w:r>
      <w:r>
        <w:t xml:space="preserve">is elided as the root belongs to the</w:t>
      </w:r>
      <w:r>
        <w:t xml:space="preserve"> </w:t>
      </w:r>
      <w:r>
        <w:t xml:space="preserve">“</w:t>
      </w:r>
      <w:r>
        <w:t xml:space="preserve">ad</w:t>
      </w:r>
      <w:r>
        <w:t xml:space="preserve">”</w:t>
      </w:r>
      <w:r>
        <w:t xml:space="preserve"> </w:t>
      </w:r>
      <w:r>
        <w:t xml:space="preserve">class (</w:t>
      </w:r>
      <w:r>
        <w:rPr>
          <w:bCs/>
          <w:b/>
        </w:rPr>
        <w:t xml:space="preserve">अदिप्रभृतिभ्यः शपः</w:t>
      </w:r>
      <w:r>
        <w:t xml:space="preserve">, पा. २-४-७२); since</w:t>
      </w:r>
      <w:r>
        <w:t xml:space="preserve"> </w:t>
      </w:r>
      <w:r>
        <w:t xml:space="preserve">“</w:t>
      </w:r>
      <w:r>
        <w:t xml:space="preserve">hi</w:t>
      </w:r>
      <w:r>
        <w:t xml:space="preserve">”</w:t>
      </w:r>
      <w:r>
        <w:t xml:space="preserve"> </w:t>
      </w:r>
      <w:r>
        <w:t xml:space="preserve">is not</w:t>
      </w:r>
      <w:r>
        <w:t xml:space="preserve"> </w:t>
      </w:r>
      <w:r>
        <w:t xml:space="preserve">“</w:t>
      </w:r>
      <w:r>
        <w:t xml:space="preserve">p</w:t>
      </w:r>
      <w:r>
        <w:t xml:space="preserve">”</w:t>
      </w:r>
      <w:r>
        <w:t xml:space="preserve">-marked, the</w:t>
      </w:r>
      <w:r>
        <w:t xml:space="preserve"> </w:t>
      </w:r>
      <w:r>
        <w:t xml:space="preserve">“</w:t>
      </w:r>
      <w:r>
        <w:t xml:space="preserve">sārvadhātuka</w:t>
      </w:r>
      <w:r>
        <w:t xml:space="preserve">”</w:t>
      </w:r>
      <w:r>
        <w:t xml:space="preserve"> </w:t>
      </w:r>
      <w:r>
        <w:t xml:space="preserve">is</w:t>
      </w:r>
      <w:r>
        <w:t xml:space="preserve"> </w:t>
      </w:r>
      <w:r>
        <w:t xml:space="preserve">“</w:t>
      </w:r>
      <w:r>
        <w:t xml:space="preserve">ṅit</w:t>
      </w:r>
      <w:r>
        <w:t xml:space="preserve">”</w:t>
      </w:r>
      <w:r>
        <w:t xml:space="preserve"> </w:t>
      </w:r>
      <w:r>
        <w:t xml:space="preserve">(</w:t>
      </w:r>
      <w:r>
        <w:rPr>
          <w:bCs/>
          <w:b/>
        </w:rPr>
        <w:t xml:space="preserve">सार्वधातुकमपित्</w:t>
      </w:r>
      <w:r>
        <w:t xml:space="preserve">, पा. १-२-४); hence guṇa is barred by</w:t>
      </w:r>
      <w:r>
        <w:t xml:space="preserve"> </w:t>
      </w:r>
      <w:r>
        <w:rPr>
          <w:bCs/>
          <w:b/>
        </w:rPr>
        <w:t xml:space="preserve">क्ङिति च</w:t>
      </w:r>
      <w:r>
        <w:t xml:space="preserve"> </w:t>
      </w:r>
      <w:r>
        <w:t xml:space="preserve">(पा. १-१-५) and by</w:t>
      </w:r>
      <w:r>
        <w:t xml:space="preserve"> </w:t>
      </w:r>
      <w:r>
        <w:rPr>
          <w:bCs/>
          <w:b/>
        </w:rPr>
        <w:t xml:space="preserve">सार्वधातुकार्धधातुकयोः</w:t>
      </w:r>
      <w:r>
        <w:t xml:space="preserve"> </w:t>
      </w:r>
      <w:r>
        <w:t xml:space="preserve">(पा. ७-३-८४) →</w:t>
      </w:r>
      <w:r>
        <w:t xml:space="preserve"> </w:t>
      </w:r>
      <w:r>
        <w:t xml:space="preserve">“</w:t>
      </w:r>
      <w:r>
        <w:t xml:space="preserve">ihi.</w:t>
      </w:r>
      <w:r>
        <w:t xml:space="preserve">”</w:t>
      </w:r>
      <w:r>
        <w:t xml:space="preserve"> </w:t>
      </w:r>
      <w:r>
        <w:t xml:space="preserve">Since</w:t>
      </w:r>
      <w:r>
        <w:t xml:space="preserve"> </w:t>
      </w:r>
      <w:r>
        <w:t xml:space="preserve">“</w:t>
      </w:r>
      <w:r>
        <w:t xml:space="preserve">ihi</w:t>
      </w:r>
      <w:r>
        <w:t xml:space="preserve">”</w:t>
      </w:r>
      <w:r>
        <w:t xml:space="preserve"> </w:t>
      </w:r>
      <w:r>
        <w:t xml:space="preserve">stands after</w:t>
      </w:r>
      <w:r>
        <w:t xml:space="preserve"> </w:t>
      </w:r>
      <w:r>
        <w:t xml:space="preserve">“</w:t>
      </w:r>
      <w:r>
        <w:t xml:space="preserve">parā,</w:t>
      </w:r>
      <w:r>
        <w:t xml:space="preserve">”</w:t>
      </w:r>
      <w:r>
        <w:t xml:space="preserve"> </w:t>
      </w:r>
      <w:r>
        <w:t xml:space="preserve">which is not a tiṅanta,</w:t>
      </w:r>
      <w:r>
        <w:t xml:space="preserve"> </w:t>
      </w:r>
      <w:r>
        <w:rPr>
          <w:bCs/>
          <w:b/>
        </w:rPr>
        <w:t xml:space="preserve">तिङ्ङतिङः</w:t>
      </w:r>
      <w:r>
        <w:t xml:space="preserve"> </w:t>
      </w:r>
      <w:r>
        <w:t xml:space="preserve">(पा. ८-१-२८) makes it wholly unaccented.</w:t>
      </w:r>
      <w:r>
        <w:t xml:space="preserve"> </w:t>
      </w:r>
      <w:r>
        <w:t xml:space="preserve">-</w:t>
      </w:r>
      <w:r>
        <w:t xml:space="preserve"> </w:t>
      </w:r>
      <w:r>
        <w:rPr>
          <w:bCs/>
          <w:b/>
        </w:rPr>
        <w:t xml:space="preserve">“</w:t>
      </w:r>
      <w:r>
        <w:rPr>
          <w:bCs/>
          <w:b/>
        </w:rPr>
        <w:t xml:space="preserve">Vigram</w:t>
      </w:r>
      <w:r>
        <w:rPr>
          <w:bCs/>
          <w:b/>
        </w:rPr>
        <w:t xml:space="preserve">”</w:t>
      </w:r>
      <w:r>
        <w:t xml:space="preserve"> </w:t>
      </w:r>
      <w:r>
        <w:t xml:space="preserve">— two analyses are weighed. (a) From</w:t>
      </w:r>
      <w:r>
        <w:t xml:space="preserve"> </w:t>
      </w:r>
      <w:r>
        <w:t xml:space="preserve">“</w:t>
      </w:r>
      <w:r>
        <w:t xml:space="preserve">gṛ śabde</w:t>
      </w:r>
      <w:r>
        <w:t xml:space="preserve">”</w:t>
      </w:r>
      <w:r>
        <w:t xml:space="preserve"> </w:t>
      </w:r>
      <w:r>
        <w:t xml:space="preserve">(to sound) with the upasarga</w:t>
      </w:r>
      <w:r>
        <w:t xml:space="preserve"> </w:t>
      </w:r>
      <w:r>
        <w:t xml:space="preserve">“</w:t>
      </w:r>
      <w:r>
        <w:t xml:space="preserve">vi</w:t>
      </w:r>
      <w:r>
        <w:t xml:space="preserve">”</w:t>
      </w:r>
      <w:r>
        <w:t xml:space="preserve"> </w:t>
      </w:r>
      <w:r>
        <w:t xml:space="preserve">and the affix</w:t>
      </w:r>
      <w:r>
        <w:t xml:space="preserve"> </w:t>
      </w:r>
      <w:r>
        <w:t xml:space="preserve">“</w:t>
      </w:r>
      <w:r>
        <w:t xml:space="preserve">ḍa</w:t>
      </w:r>
      <w:r>
        <w:t xml:space="preserve">”</w:t>
      </w:r>
      <w:r>
        <w:t xml:space="preserve"> </w:t>
      </w:r>
      <w:r>
        <w:t xml:space="preserve">by</w:t>
      </w:r>
      <w:r>
        <w:t xml:space="preserve"> </w:t>
      </w:r>
      <w:r>
        <w:rPr>
          <w:bCs/>
          <w:b/>
        </w:rPr>
        <w:t xml:space="preserve">अन्येष्वपि दृश्यते</w:t>
      </w:r>
      <w:r>
        <w:t xml:space="preserve"> </w:t>
      </w:r>
      <w:r>
        <w:t xml:space="preserve">(पा. ३-२-१०१) —</w:t>
      </w:r>
      <w:r>
        <w:t xml:space="preserve"> </w:t>
      </w:r>
      <w:r>
        <w:t xml:space="preserve">“</w:t>
      </w:r>
      <w:r>
        <w:t xml:space="preserve">ḍa</w:t>
      </w:r>
      <w:r>
        <w:t xml:space="preserve">”</w:t>
      </w:r>
      <w:r>
        <w:t xml:space="preserve"> </w:t>
      </w:r>
      <w:r>
        <w:t xml:space="preserve">after any root, since the sūtra says</w:t>
      </w:r>
      <w:r>
        <w:t xml:space="preserve"> </w:t>
      </w:r>
      <w:r>
        <w:t xml:space="preserve">“</w:t>
      </w:r>
      <w:r>
        <w:t xml:space="preserve">dṛśyate</w:t>
      </w:r>
      <w:r>
        <w:t xml:space="preserve">”</w:t>
      </w:r>
      <w:r>
        <w:t xml:space="preserve"> </w:t>
      </w:r>
      <w:r>
        <w:t xml:space="preserve">(</w:t>
      </w:r>
      <w:r>
        <w:t xml:space="preserve">“</w:t>
      </w:r>
      <w:r>
        <w:t xml:space="preserve">is seen</w:t>
      </w:r>
      <w:r>
        <w:t xml:space="preserve">”</w:t>
      </w:r>
      <w:r>
        <w:t xml:space="preserve">) — with the</w:t>
      </w:r>
      <w:r>
        <w:t xml:space="preserve"> </w:t>
      </w:r>
      <w:r>
        <w:t xml:space="preserve">“</w:t>
      </w:r>
      <w:r>
        <w:t xml:space="preserve">ṭi</w:t>
      </w:r>
      <w:r>
        <w:t xml:space="preserve">”</w:t>
      </w:r>
      <w:r>
        <w:t xml:space="preserve">-loss debated, and</w:t>
      </w:r>
      <w:r>
        <w:t xml:space="preserve"> </w:t>
      </w:r>
      <w:r>
        <w:t xml:space="preserve">“</w:t>
      </w:r>
      <w:r>
        <w:t xml:space="preserve">ṛ</w:t>
      </w:r>
      <w:r>
        <w:t xml:space="preserve">”</w:t>
      </w:r>
      <w:r>
        <w:t xml:space="preserve"> </w:t>
      </w:r>
      <w:r>
        <w:t xml:space="preserve">becoming</w:t>
      </w:r>
      <w:r>
        <w:t xml:space="preserve"> </w:t>
      </w:r>
      <w:r>
        <w:t xml:space="preserve">“</w:t>
      </w:r>
      <w:r>
        <w:t xml:space="preserve">r</w:t>
      </w:r>
      <w:r>
        <w:t xml:space="preserve">”</w:t>
      </w:r>
      <w:r>
        <w:t xml:space="preserve"> </w:t>
      </w:r>
      <w:r>
        <w:t xml:space="preserve">by yaṇ (</w:t>
      </w:r>
      <w:r>
        <w:t xml:space="preserve">“</w:t>
      </w:r>
      <w:r>
        <w:t xml:space="preserve">vi-gr-a</w:t>
      </w:r>
      <w:r>
        <w:t xml:space="preserve">”</w:t>
      </w:r>
      <w:r>
        <w:t xml:space="preserve">); the accent then follows the compound rule</w:t>
      </w:r>
      <w:r>
        <w:t xml:space="preserve"> </w:t>
      </w:r>
      <w:r>
        <w:rPr>
          <w:bCs/>
          <w:b/>
        </w:rPr>
        <w:t xml:space="preserve">गतिकारकोपपदात्कृत्</w:t>
      </w:r>
      <w:r>
        <w:t xml:space="preserve"> </w:t>
      </w:r>
      <w:r>
        <w:t xml:space="preserve">(पा. ६-२-१३९), which would give an end-acute that is not the attested accent. (b) Therefore the word is entered in the</w:t>
      </w:r>
      <w:r>
        <w:t xml:space="preserve"> </w:t>
      </w:r>
      <w:r>
        <w:t xml:space="preserve">“</w:t>
      </w:r>
      <w:r>
        <w:t xml:space="preserve">vṛṣādi</w:t>
      </w:r>
      <w:r>
        <w:t xml:space="preserve">”</w:t>
      </w:r>
      <w:r>
        <w:t xml:space="preserve"> </w:t>
      </w:r>
      <w:r>
        <w:t xml:space="preserve">class (</w:t>
      </w:r>
      <w:r>
        <w:rPr>
          <w:bCs/>
          <w:b/>
        </w:rPr>
        <w:t xml:space="preserve">वृषादीनां च</w:t>
      </w:r>
      <w:r>
        <w:t xml:space="preserve">, पा. ६-१-२०३) and is first-syllable acute —</w:t>
      </w:r>
      <w:r>
        <w:t xml:space="preserve"> </w:t>
      </w:r>
      <w:r>
        <w:t xml:space="preserve">“</w:t>
      </w:r>
      <w:r>
        <w:t xml:space="preserve">vigra,</w:t>
      </w:r>
      <w:r>
        <w:t xml:space="preserve">”</w:t>
      </w:r>
      <w:r>
        <w:t xml:space="preserve"> </w:t>
      </w:r>
      <w:r>
        <w:t xml:space="preserve">as in</w:t>
      </w:r>
      <w:r>
        <w:t xml:space="preserve"> </w:t>
      </w:r>
      <w:r>
        <w:rPr>
          <w:bCs/>
          <w:b/>
        </w:rPr>
        <w:t xml:space="preserve">विचिर् पृथग्भावे</w:t>
      </w:r>
      <w:r>
        <w:t xml:space="preserve"> </w:t>
      </w:r>
      <w:r>
        <w:t xml:space="preserve">(the root</w:t>
      </w:r>
      <w:r>
        <w:t xml:space="preserve"> </w:t>
      </w:r>
      <w:r>
        <w:t xml:space="preserve">“</w:t>
      </w:r>
      <w:r>
        <w:t xml:space="preserve">vicir pṛthagbhāve</w:t>
      </w:r>
      <w:r>
        <w:t xml:space="preserve">”</w:t>
      </w:r>
      <w:r>
        <w:t xml:space="preserve">) with the intensive/causal sense</w:t>
      </w:r>
      <w:r>
        <w:t xml:space="preserve"> </w:t>
      </w:r>
      <w:r>
        <w:t xml:space="preserve">“</w:t>
      </w:r>
      <w:r>
        <w:t xml:space="preserve">viveka</w:t>
      </w:r>
      <w:r>
        <w:t xml:space="preserve">”</w:t>
      </w:r>
      <w:r>
        <w:t xml:space="preserve">:</w:t>
      </w:r>
      <w:r>
        <w:t xml:space="preserve"> </w:t>
      </w:r>
      <w:r>
        <w:t xml:space="preserve">“</w:t>
      </w:r>
      <w:r>
        <w:t xml:space="preserve">viśeṣeṇa gṛhṇāti</w:t>
      </w:r>
      <w:r>
        <w:t xml:space="preserve">”</w:t>
      </w:r>
      <w:r>
        <w:t xml:space="preserve"> </w:t>
      </w:r>
      <w:r>
        <w:t xml:space="preserve">(</w:t>
      </w:r>
      <w:r>
        <w:t xml:space="preserve">“</w:t>
      </w:r>
      <w:r>
        <w:t xml:space="preserve">he takes in a special way</w:t>
      </w:r>
      <w:r>
        <w:t xml:space="preserve">”</w:t>
      </w:r>
      <w:r>
        <w:t xml:space="preserve">) =</w:t>
      </w:r>
      <w:r>
        <w:t xml:space="preserve"> </w:t>
      </w:r>
      <w:r>
        <w:t xml:space="preserve">“</w:t>
      </w:r>
      <w:r>
        <w:t xml:space="preserve">vigraḥ</w:t>
      </w:r>
      <w:r>
        <w:t xml:space="preserve">”</w:t>
      </w:r>
      <w:r>
        <w:t xml:space="preserve"> </w:t>
      </w:r>
      <w:r>
        <w:t xml:space="preserve">(the wise, discerning). Different derivations are offered; the page concludes that either way the sense is</w:t>
      </w:r>
      <w:r>
        <w:t xml:space="preserve"> </w:t>
      </w:r>
      <w:r>
        <w:t xml:space="preserve">“</w:t>
      </w:r>
      <w:r>
        <w:t xml:space="preserve">medhāvī.</w:t>
      </w:r>
      <w:r>
        <w:t xml:space="preserve">”</w:t>
      </w:r>
    </w:p>
    <w:p>
      <w:pPr>
        <w:pStyle w:val="BodyText"/>
      </w:pPr>
      <w:r>
        <w:rPr>
          <w:bCs/>
          <w:b/>
        </w:rPr>
        <w:t xml:space="preserve">p. 107 —</w:t>
      </w:r>
      <w:r>
        <w:rPr>
          <w:bCs/>
          <w:b/>
        </w:rPr>
        <w:t xml:space="preserve"> </w:t>
      </w:r>
      <w:r>
        <w:rPr>
          <w:bCs/>
          <w:b/>
        </w:rPr>
        <w:t xml:space="preserve">“</w:t>
      </w:r>
      <w:r>
        <w:rPr>
          <w:bCs/>
          <w:b/>
        </w:rPr>
        <w:t xml:space="preserve">vigram</w:t>
      </w:r>
      <w:r>
        <w:rPr>
          <w:bCs/>
          <w:b/>
        </w:rPr>
        <w:t xml:space="preserve">”</w:t>
      </w:r>
      <w:r>
        <w:rPr>
          <w:bCs/>
          <w:b/>
        </w:rPr>
        <w:t xml:space="preserve"> </w:t>
      </w:r>
      <w:r>
        <w:rPr>
          <w:bCs/>
          <w:b/>
        </w:rPr>
        <w:t xml:space="preserve">concluded;</w:t>
      </w:r>
      <w:r>
        <w:rPr>
          <w:bCs/>
          <w:b/>
        </w:rPr>
        <w:t xml:space="preserve"> </w:t>
      </w:r>
      <w:r>
        <w:rPr>
          <w:bCs/>
          <w:b/>
        </w:rPr>
        <w:t xml:space="preserve">“</w:t>
      </w:r>
      <w:r>
        <w:rPr>
          <w:bCs/>
          <w:b/>
        </w:rPr>
        <w:t xml:space="preserve">astṛtam,</w:t>
      </w:r>
      <w:r>
        <w:rPr>
          <w:bCs/>
          <w:b/>
        </w:rPr>
        <w:t xml:space="preserve">”</w:t>
      </w:r>
      <w:r>
        <w:rPr>
          <w:bCs/>
          <w:b/>
        </w:rPr>
        <w:t xml:space="preserve"> </w:t>
      </w:r>
      <w:r>
        <w:rPr>
          <w:bCs/>
          <w:b/>
        </w:rPr>
        <w:t xml:space="preserve">“</w:t>
      </w:r>
      <w:r>
        <w:rPr>
          <w:bCs/>
          <w:b/>
        </w:rPr>
        <w:t xml:space="preserve">indra,</w:t>
      </w:r>
      <w:r>
        <w:rPr>
          <w:bCs/>
          <w:b/>
        </w:rPr>
        <w:t xml:space="preserve">”</w:t>
      </w:r>
      <w:r>
        <w:rPr>
          <w:bCs/>
          <w:b/>
        </w:rPr>
        <w:t xml:space="preserve"> </w:t>
      </w:r>
      <w:r>
        <w:rPr>
          <w:bCs/>
          <w:b/>
        </w:rPr>
        <w:t xml:space="preserve">“</w:t>
      </w:r>
      <w:r>
        <w:rPr>
          <w:bCs/>
          <w:b/>
        </w:rPr>
        <w:t xml:space="preserve">sakhibhyaḥ.</w:t>
      </w:r>
      <w:r>
        <w:rPr>
          <w:bCs/>
          <w:b/>
        </w:rPr>
        <w:t xml:space="preserve">”</w:t>
      </w:r>
      <w:r>
        <w:t xml:space="preserve"> </w:t>
      </w:r>
      <w:r>
        <w:t xml:space="preserve">- The Uṇādi affix</w:t>
      </w:r>
      <w:r>
        <w:t xml:space="preserve"> </w:t>
      </w:r>
      <w:r>
        <w:t xml:space="preserve">“</w:t>
      </w:r>
      <w:r>
        <w:t xml:space="preserve">ran</w:t>
      </w:r>
      <w:r>
        <w:t xml:space="preserve">”</w:t>
      </w:r>
      <w:r>
        <w:t xml:space="preserve"> </w:t>
      </w:r>
      <w:r>
        <w:t xml:space="preserve">is considered for</w:t>
      </w:r>
      <w:r>
        <w:t xml:space="preserve"> </w:t>
      </w:r>
      <w:r>
        <w:t xml:space="preserve">“</w:t>
      </w:r>
      <w:r>
        <w:t xml:space="preserve">vigra</w:t>
      </w:r>
      <w:r>
        <w:t xml:space="preserve">”</w:t>
      </w:r>
      <w:r>
        <w:t xml:space="preserve"> </w:t>
      </w:r>
      <w:r>
        <w:t xml:space="preserve">(</w:t>
      </w:r>
      <w:r>
        <w:rPr>
          <w:bCs/>
          <w:b/>
        </w:rPr>
        <w:t xml:space="preserve">ऋज्रेन्द्राग्रवज्रविप्र…</w:t>
      </w:r>
      <w:r>
        <w:t xml:space="preserve">, as on p. 39) —</w:t>
      </w:r>
      <w:r>
        <w:t xml:space="preserve"> </w:t>
      </w:r>
      <w:r>
        <w:t xml:space="preserve">“</w:t>
      </w:r>
      <w:r>
        <w:t xml:space="preserve">n</w:t>
      </w:r>
      <w:r>
        <w:t xml:space="preserve">”</w:t>
      </w:r>
      <w:r>
        <w:t xml:space="preserve">-marked, so first-syllable acute; the second-case singular</w:t>
      </w:r>
      <w:r>
        <w:t xml:space="preserve"> </w:t>
      </w:r>
      <w:r>
        <w:t xml:space="preserve">“</w:t>
      </w:r>
      <w:r>
        <w:t xml:space="preserve">am</w:t>
      </w:r>
      <w:r>
        <w:t xml:space="preserve">”</w:t>
      </w:r>
      <w:r>
        <w:t xml:space="preserve"> </w:t>
      </w:r>
      <w:r>
        <w:t xml:space="preserve">(an</w:t>
      </w:r>
      <w:r>
        <w:t xml:space="preserve"> </w:t>
      </w:r>
      <w:r>
        <w:t xml:space="preserve">“</w:t>
      </w:r>
      <w:r>
        <w:t xml:space="preserve">ap</w:t>
      </w:r>
      <w:r>
        <w:t xml:space="preserve">”</w:t>
      </w:r>
      <w:r>
        <w:t xml:space="preserve">-class ending) is joined with a pūrvarūpa by</w:t>
      </w:r>
      <w:r>
        <w:t xml:space="preserve"> </w:t>
      </w:r>
      <w:r>
        <w:rPr>
          <w:bCs/>
          <w:b/>
        </w:rPr>
        <w:t xml:space="preserve">अमि पूर्वः</w:t>
      </w:r>
      <w:r>
        <w:t xml:space="preserve"> </w:t>
      </w:r>
      <w:r>
        <w:t xml:space="preserve">(पा. ६-१-१०७).</w:t>
      </w:r>
      <w:r>
        <w:t xml:space="preserve"> </w:t>
      </w:r>
      <w:r>
        <w:t xml:space="preserve">-</w:t>
      </w:r>
      <w:r>
        <w:t xml:space="preserve"> </w:t>
      </w:r>
      <w:r>
        <w:rPr>
          <w:bCs/>
          <w:b/>
        </w:rPr>
        <w:t xml:space="preserve">“</w:t>
      </w:r>
      <w:r>
        <w:rPr>
          <w:bCs/>
          <w:b/>
        </w:rPr>
        <w:t xml:space="preserve">Astṛtam</w:t>
      </w:r>
      <w:r>
        <w:rPr>
          <w:bCs/>
          <w:b/>
        </w:rPr>
        <w:t xml:space="preserve">”</w:t>
      </w:r>
      <w:r>
        <w:t xml:space="preserve"> </w:t>
      </w:r>
      <w:r>
        <w:t xml:space="preserve">—</w:t>
      </w:r>
      <w:r>
        <w:t xml:space="preserve"> </w:t>
      </w:r>
      <w:r>
        <w:t xml:space="preserve">“</w:t>
      </w:r>
      <w:r>
        <w:t xml:space="preserve">na stṛtam</w:t>
      </w:r>
      <w:r>
        <w:t xml:space="preserve">”</w:t>
      </w:r>
      <w:r>
        <w:t xml:space="preserve">; by</w:t>
      </w:r>
      <w:r>
        <w:t xml:space="preserve"> </w:t>
      </w:r>
      <w:r>
        <w:rPr>
          <w:bCs/>
          <w:b/>
        </w:rPr>
        <w:t xml:space="preserve">तत्पुरुषे तुल्यार्थ…</w:t>
      </w:r>
      <w:r>
        <w:t xml:space="preserve"> </w:t>
      </w:r>
      <w:r>
        <w:t xml:space="preserve">(पा. ६-२-२) — with an indeclinable first member the first member’s own accent is retained.</w:t>
      </w:r>
      <w:r>
        <w:t xml:space="preserve"> </w:t>
      </w:r>
      <w:r>
        <w:t xml:space="preserve">-</w:t>
      </w:r>
      <w:r>
        <w:t xml:space="preserve"> </w:t>
      </w:r>
      <w:r>
        <w:rPr>
          <w:bCs/>
          <w:b/>
        </w:rPr>
        <w:t xml:space="preserve">“</w:t>
      </w:r>
      <w:r>
        <w:rPr>
          <w:bCs/>
          <w:b/>
        </w:rPr>
        <w:t xml:space="preserve">Indra</w:t>
      </w:r>
      <w:r>
        <w:rPr>
          <w:bCs/>
          <w:b/>
        </w:rPr>
        <w:t xml:space="preserve">”</w:t>
      </w:r>
      <w:r>
        <w:t xml:space="preserve"> </w:t>
      </w:r>
      <w:r>
        <w:t xml:space="preserve">— by the Uṇādi list</w:t>
      </w:r>
      <w:r>
        <w:t xml:space="preserve"> </w:t>
      </w:r>
      <w:r>
        <w:t xml:space="preserve">“</w:t>
      </w:r>
      <w:r>
        <w:t xml:space="preserve">ṛjrendrāgra-vajra-vipra-kubra-cubra-kṣura-khura-bhadrogra-bhera-bhela-śukra-śakla-gaurava-nvera-mālāḥ [?]</w:t>
      </w:r>
      <w:r>
        <w:t xml:space="preserve">”</w:t>
      </w:r>
      <w:r>
        <w:t xml:space="preserve"> </w:t>
      </w:r>
      <w:r>
        <w:t xml:space="preserve">(उ. सू. २-२८ [as printed</w:t>
      </w:r>
      <w:r>
        <w:t xml:space="preserve"> </w:t>
      </w:r>
      <w:r>
        <w:t xml:space="preserve">“</w:t>
      </w:r>
      <w:r>
        <w:t xml:space="preserve">3-1…</w:t>
      </w:r>
      <w:r>
        <w:t xml:space="preserve">”</w:t>
      </w:r>
      <w:r>
        <w:t xml:space="preserve">])</w:t>
      </w:r>
      <w:r>
        <w:t xml:space="preserve"> </w:t>
      </w:r>
      <w:r>
        <w:t xml:space="preserve">“</w:t>
      </w:r>
      <w:r>
        <w:t xml:space="preserve">ran</w:t>
      </w:r>
      <w:r>
        <w:t xml:space="preserve">”</w:t>
      </w:r>
      <w:r>
        <w:t xml:space="preserve"> </w:t>
      </w:r>
      <w:r>
        <w:t xml:space="preserve">is added;</w:t>
      </w:r>
      <w:r>
        <w:t xml:space="preserve"> </w:t>
      </w:r>
      <w:r>
        <w:t xml:space="preserve">“</w:t>
      </w:r>
      <w:r>
        <w:t xml:space="preserve">n</w:t>
      </w:r>
      <w:r>
        <w:t xml:space="preserve">”</w:t>
      </w:r>
      <w:r>
        <w:t xml:space="preserve">-marked, first-syllable acute; the last letter is unaccented by</w:t>
      </w:r>
      <w:r>
        <w:t xml:space="preserve"> </w:t>
      </w:r>
      <w:r>
        <w:t xml:space="preserve">“</w:t>
      </w:r>
      <w:r>
        <w:t xml:space="preserve">śeṣānudātta</w:t>
      </w:r>
      <w:r>
        <w:t xml:space="preserve">”</w:t>
      </w:r>
      <w:r>
        <w:t xml:space="preserve">; in the saṃhitā it is svarita by</w:t>
      </w:r>
      <w:r>
        <w:t xml:space="preserve"> </w:t>
      </w:r>
      <w:r>
        <w:rPr>
          <w:bCs/>
          <w:b/>
        </w:rPr>
        <w:t xml:space="preserve">उदात्तस्वरितपरस्य सन्नतरः</w:t>
      </w:r>
      <w:r>
        <w:t xml:space="preserve"> </w:t>
      </w:r>
      <w:r>
        <w:t xml:space="preserve">(पा. १-२-४०) in the way already described.</w:t>
      </w:r>
      <w:r>
        <w:t xml:space="preserve"> </w:t>
      </w:r>
      <w:r>
        <w:t xml:space="preserve">-</w:t>
      </w:r>
      <w:r>
        <w:t xml:space="preserve"> </w:t>
      </w:r>
      <w:r>
        <w:rPr>
          <w:bCs/>
          <w:b/>
        </w:rPr>
        <w:t xml:space="preserve">“</w:t>
      </w:r>
      <w:r>
        <w:rPr>
          <w:bCs/>
          <w:b/>
        </w:rPr>
        <w:t xml:space="preserve">Sakhibhyaḥ</w:t>
      </w:r>
      <w:r>
        <w:rPr>
          <w:bCs/>
          <w:b/>
        </w:rPr>
        <w:t xml:space="preserve">”</w:t>
      </w:r>
      <w:r>
        <w:t xml:space="preserve"> </w:t>
      </w:r>
      <w:r>
        <w:t xml:space="preserve">—</w:t>
      </w:r>
      <w:r>
        <w:t xml:space="preserve"> </w:t>
      </w:r>
      <w:r>
        <w:rPr>
          <w:bCs/>
          <w:b/>
        </w:rPr>
        <w:t xml:space="preserve">समाने ख्य…</w:t>
      </w:r>
      <w:r>
        <w:t xml:space="preserve"> </w:t>
      </w:r>
      <w:r>
        <w:t xml:space="preserve">(Uṇādi-sūtra: the print gives</w:t>
      </w:r>
      <w:r>
        <w:t xml:space="preserve"> </w:t>
      </w:r>
      <w:r>
        <w:t xml:space="preserve">“</w:t>
      </w:r>
      <w:r>
        <w:t xml:space="preserve">ṭi-sū. 4-…</w:t>
      </w:r>
      <w:r>
        <w:t xml:space="preserve">”</w:t>
      </w:r>
      <w:r>
        <w:t xml:space="preserve">; I could not settle the number): after</w:t>
      </w:r>
      <w:r>
        <w:t xml:space="preserve"> </w:t>
      </w:r>
      <w:r>
        <w:t xml:space="preserve">“</w:t>
      </w:r>
      <w:r>
        <w:t xml:space="preserve">khyā</w:t>
      </w:r>
      <w:r>
        <w:t xml:space="preserve">”</w:t>
      </w:r>
      <w:r>
        <w:t xml:space="preserve"> </w:t>
      </w:r>
      <w:r>
        <w:t xml:space="preserve">with</w:t>
      </w:r>
      <w:r>
        <w:t xml:space="preserve"> </w:t>
      </w:r>
      <w:r>
        <w:t xml:space="preserve">“</w:t>
      </w:r>
      <w:r>
        <w:t xml:space="preserve">samāna</w:t>
      </w:r>
      <w:r>
        <w:t xml:space="preserve">”</w:t>
      </w:r>
      <w:r>
        <w:t xml:space="preserve"> </w:t>
      </w:r>
      <w:r>
        <w:t xml:space="preserve">as the upapada, the affix</w:t>
      </w:r>
      <w:r>
        <w:t xml:space="preserve"> </w:t>
      </w:r>
      <w:r>
        <w:t xml:space="preserve">“</w:t>
      </w:r>
      <w:r>
        <w:t xml:space="preserve">iṇ</w:t>
      </w:r>
      <w:r>
        <w:t xml:space="preserve">”</w:t>
      </w:r>
      <w:r>
        <w:t xml:space="preserve">;</w:t>
      </w:r>
      <w:r>
        <w:t xml:space="preserve"> </w:t>
      </w:r>
      <w:r>
        <w:t xml:space="preserve">“</w:t>
      </w:r>
      <w:r>
        <w:t xml:space="preserve">ḍit</w:t>
      </w:r>
      <w:r>
        <w:t xml:space="preserve">”</w:t>
      </w:r>
      <w:r>
        <w:t xml:space="preserve"> </w:t>
      </w:r>
      <w:r>
        <w:t xml:space="preserve">and hence</w:t>
      </w:r>
      <w:r>
        <w:t xml:space="preserve"> </w:t>
      </w:r>
      <w:r>
        <w:rPr>
          <w:bCs/>
          <w:b/>
        </w:rPr>
        <w:t xml:space="preserve">टेः</w:t>
      </w:r>
      <w:r>
        <w:t xml:space="preserve"> </w:t>
      </w:r>
      <w:r>
        <w:t xml:space="preserve">(पा. ६-४-१४३) loss of</w:t>
      </w:r>
      <w:r>
        <w:t xml:space="preserve"> </w:t>
      </w:r>
      <w:r>
        <w:t xml:space="preserve">“</w:t>
      </w:r>
      <w:r>
        <w:t xml:space="preserve">ṭi</w:t>
      </w:r>
      <w:r>
        <w:t xml:space="preserve">”</w:t>
      </w:r>
      <w:r>
        <w:t xml:space="preserve"> </w:t>
      </w:r>
      <w:r>
        <w:t xml:space="preserve">(the vowel-end) and of</w:t>
      </w:r>
      <w:r>
        <w:t xml:space="preserve"> </w:t>
      </w:r>
      <w:r>
        <w:t xml:space="preserve">“</w:t>
      </w:r>
      <w:r>
        <w:t xml:space="preserve">y</w:t>
      </w:r>
      <w:r>
        <w:t xml:space="preserve">”</w:t>
      </w:r>
      <w:r>
        <w:t xml:space="preserve"> </w:t>
      </w:r>
      <w:r>
        <w:t xml:space="preserve">(the</w:t>
      </w:r>
      <w:r>
        <w:t xml:space="preserve"> </w:t>
      </w:r>
      <w:r>
        <w:t xml:space="preserve">“</w:t>
      </w:r>
      <w:r>
        <w:t xml:space="preserve">ya</w:t>
      </w:r>
      <w:r>
        <w:t xml:space="preserve">”</w:t>
      </w:r>
      <w:r>
        <w:t xml:space="preserve">-loss); the upapada is acute;</w:t>
      </w:r>
      <w:r>
        <w:t xml:space="preserve"> </w:t>
      </w:r>
      <w:r>
        <w:rPr>
          <w:bCs/>
          <w:b/>
        </w:rPr>
        <w:t xml:space="preserve">समानस्य छन्दस्यमूर्धप्रभृत्युदर्केषु</w:t>
      </w:r>
      <w:r>
        <w:t xml:space="preserve"> </w:t>
      </w:r>
      <w:r>
        <w:t xml:space="preserve">(पा. ६-३-८४) substitutes</w:t>
      </w:r>
      <w:r>
        <w:t xml:space="preserve"> </w:t>
      </w:r>
      <w:r>
        <w:t xml:space="preserve">“</w:t>
      </w:r>
      <w:r>
        <w:t xml:space="preserve">sa</w:t>
      </w:r>
      <w:r>
        <w:t xml:space="preserve">”</w:t>
      </w:r>
      <w:r>
        <w:t xml:space="preserve"> </w:t>
      </w:r>
      <w:r>
        <w:t xml:space="preserve">for</w:t>
      </w:r>
      <w:r>
        <w:t xml:space="preserve"> </w:t>
      </w:r>
      <w:r>
        <w:t xml:space="preserve">“</w:t>
      </w:r>
      <w:r>
        <w:t xml:space="preserve">samāna</w:t>
      </w:r>
      <w:r>
        <w:t xml:space="preserve">”</w:t>
      </w:r>
      <w:r>
        <w:t xml:space="preserve"> </w:t>
      </w:r>
      <w:r>
        <w:t xml:space="preserve">(the first member, when the second begins with a non-</w:t>
      </w:r>
      <w:r>
        <w:t xml:space="preserve">“</w:t>
      </w:r>
      <w:r>
        <w:t xml:space="preserve">mūrdhan</w:t>
      </w:r>
      <w:r>
        <w:t xml:space="preserve">”</w:t>
      </w:r>
      <w:r>
        <w:t xml:space="preserve">-class word) →</w:t>
      </w:r>
      <w:r>
        <w:t xml:space="preserve"> </w:t>
      </w:r>
      <w:r>
        <w:t xml:space="preserve">“</w:t>
      </w:r>
      <w:r>
        <w:t xml:space="preserve">sakhi,</w:t>
      </w:r>
      <w:r>
        <w:t xml:space="preserve">”</w:t>
      </w:r>
      <w:r>
        <w:t xml:space="preserve"> </w:t>
      </w:r>
      <w:r>
        <w:t xml:space="preserve">first-syllable acute. The Uṇādi-sūtra</w:t>
      </w:r>
      <w:r>
        <w:t xml:space="preserve"> </w:t>
      </w:r>
      <w:r>
        <w:rPr>
          <w:bCs/>
          <w:b/>
        </w:rPr>
        <w:t xml:space="preserve">समानेख्यः सश्चोदात्तः</w:t>
      </w:r>
      <w:r>
        <w:t xml:space="preserve"> </w:t>
      </w:r>
      <w:r>
        <w:t xml:space="preserve">[as printed] is also cited, with the remark that the grammarians of the Mādhava school hold that</w:t>
      </w:r>
      <w:r>
        <w:t xml:space="preserve"> </w:t>
      </w:r>
      <w:r>
        <w:t xml:space="preserve">“</w:t>
      </w:r>
      <w:r>
        <w:t xml:space="preserve">sa</w:t>
      </w:r>
      <w:r>
        <w:t xml:space="preserve">”</w:t>
      </w:r>
      <w:r>
        <w:t xml:space="preserve"> </w:t>
      </w:r>
      <w:r>
        <w:t xml:space="preserve">is substituted in the Veda by the rule</w:t>
      </w:r>
      <w:r>
        <w:t xml:space="preserve"> </w:t>
      </w:r>
      <w:r>
        <w:t xml:space="preserve">“</w:t>
      </w:r>
      <w:r>
        <w:t xml:space="preserve">samānasya chandasi mūrdha…,</w:t>
      </w:r>
      <w:r>
        <w:t xml:space="preserve">”</w:t>
      </w:r>
      <w:r>
        <w:t xml:space="preserve"> </w:t>
      </w:r>
      <w:r>
        <w:t xml:space="preserve">and that in ordinary speech the word</w:t>
      </w:r>
      <w:r>
        <w:t xml:space="preserve"> </w:t>
      </w:r>
      <w:r>
        <w:t xml:space="preserve">“</w:t>
      </w:r>
      <w:r>
        <w:t xml:space="preserve">sakhi</w:t>
      </w:r>
      <w:r>
        <w:t xml:space="preserve">”</w:t>
      </w:r>
      <w:r>
        <w:t xml:space="preserve"> </w:t>
      </w:r>
      <w:r>
        <w:t xml:space="preserve">is established by Svaramañjarī-kāra and others by other rules.</w:t>
      </w:r>
      <w:r>
        <w:t xml:space="preserve"> </w:t>
      </w:r>
      <w:r>
        <w:rPr>
          <w:iCs/>
          <w:i/>
        </w:rPr>
        <w:t xml:space="preserve">(The page ends mid-sentence in this comparison, continuing on p. 108.)</w:t>
      </w:r>
    </w:p>
    <w:bookmarkEnd w:id="136"/>
    <w:bookmarkStart w:id="137" w:name="X22245538262de0becc0a31fee64dda246934a43"/>
    <w:p>
      <w:pPr>
        <w:pStyle w:val="Heading3"/>
      </w:pPr>
      <w:r>
        <w:t xml:space="preserve">Page 108 — Rik 4.4 grammar concluded; Sūkta 4, Fifth Mantra: Saṃhitā, Pada, Sāyaṇa-bhāṣya</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4.</w:t>
      </w:r>
      <w:r>
        <w:rPr>
          <w:iCs/>
          <w:i/>
        </w:rPr>
        <w:t xml:space="preserve">”</w:t>
      </w:r>
      <w:r>
        <w:rPr>
          <w:iCs/>
          <w:i/>
        </w:rPr>
        <w:t xml:space="preserve"> </w:t>
      </w:r>
      <w:r>
        <w:rPr>
          <w:iCs/>
          <w:i/>
        </w:rPr>
        <w:t xml:space="preserve">Saṃhitā accents as printed; Pada unaccented. Sanskrit printed in Kannada script; [?] where unclear.)</w:t>
      </w:r>
    </w:p>
    <w:p>
      <w:pPr>
        <w:pStyle w:val="BodyText"/>
      </w:pPr>
      <w:r>
        <w:rPr>
          <w:iCs/>
          <w:i/>
        </w:rPr>
        <w:t xml:space="preserve">(Continuing</w:t>
      </w:r>
      <w:r>
        <w:rPr>
          <w:iCs/>
          <w:i/>
        </w:rPr>
        <w:t xml:space="preserve"> </w:t>
      </w:r>
      <w:r>
        <w:rPr>
          <w:iCs/>
          <w:i/>
        </w:rPr>
        <w:t xml:space="preserve">“</w:t>
      </w:r>
      <w:r>
        <w:rPr>
          <w:iCs/>
          <w:i/>
        </w:rPr>
        <w:t xml:space="preserve">sakhibhyaḥ</w:t>
      </w:r>
      <w:r>
        <w:rPr>
          <w:iCs/>
          <w:i/>
        </w:rPr>
        <w:t xml:space="preserve">”</w:t>
      </w:r>
      <w:r>
        <w:rPr>
          <w:iCs/>
          <w:i/>
        </w:rPr>
        <w:t xml:space="preserve"> </w:t>
      </w:r>
      <w:r>
        <w:rPr>
          <w:iCs/>
          <w:i/>
        </w:rPr>
        <w:t xml:space="preserve">from p. 107:)</w:t>
      </w:r>
      <w:r>
        <w:t xml:space="preserve"> </w:t>
      </w:r>
      <w:r>
        <w:t xml:space="preserve">…in the system of the Mādhava school the word</w:t>
      </w:r>
      <w:r>
        <w:t xml:space="preserve"> </w:t>
      </w:r>
      <w:r>
        <w:t xml:space="preserve">“</w:t>
      </w:r>
      <w:r>
        <w:t xml:space="preserve">sakhi</w:t>
      </w:r>
      <w:r>
        <w:t xml:space="preserve">”</w:t>
      </w:r>
      <w:r>
        <w:t xml:space="preserve"> </w:t>
      </w:r>
      <w:r>
        <w:t xml:space="preserve">is established only in the Veda (by the</w:t>
      </w:r>
      <w:r>
        <w:t xml:space="preserve"> </w:t>
      </w:r>
      <w:r>
        <w:t xml:space="preserve">“</w:t>
      </w:r>
      <w:r>
        <w:t xml:space="preserve">samānasya chandasi…</w:t>
      </w:r>
      <w:r>
        <w:t xml:space="preserve">”</w:t>
      </w:r>
      <w:r>
        <w:t xml:space="preserve"> </w:t>
      </w:r>
      <w:r>
        <w:t xml:space="preserve">rule).</w:t>
      </w:r>
      <w:r>
        <w:t xml:space="preserve"> </w:t>
      </w:r>
      <w:r>
        <w:rPr>
          <w:bCs/>
          <w:b/>
        </w:rPr>
        <w:t xml:space="preserve">“</w:t>
      </w:r>
      <w:r>
        <w:rPr>
          <w:bCs/>
          <w:b/>
        </w:rPr>
        <w:t xml:space="preserve">Varam</w:t>
      </w:r>
      <w:r>
        <w:rPr>
          <w:bCs/>
          <w:b/>
        </w:rPr>
        <w:t xml:space="preserve">”</w:t>
      </w:r>
      <w:r>
        <w:t xml:space="preserve"> </w:t>
      </w:r>
      <w:r>
        <w:t xml:space="preserve">—</w:t>
      </w:r>
      <w:r>
        <w:t xml:space="preserve"> </w:t>
      </w:r>
      <w:r>
        <w:t xml:space="preserve">“</w:t>
      </w:r>
      <w:r>
        <w:t xml:space="preserve">vriyate iti varaḥ</w:t>
      </w:r>
      <w:r>
        <w:t xml:space="preserve">”</w:t>
      </w:r>
      <w:r>
        <w:t xml:space="preserve">:</w:t>
      </w:r>
      <w:r>
        <w:t xml:space="preserve"> </w:t>
      </w:r>
      <w:r>
        <w:rPr>
          <w:bCs/>
          <w:b/>
        </w:rPr>
        <w:t xml:space="preserve">ग्रहवृदृनिश्चिगमश्च</w:t>
      </w:r>
      <w:r>
        <w:t xml:space="preserve"> </w:t>
      </w:r>
      <w:r>
        <w:t xml:space="preserve">(पा. ३-३-५८) — after</w:t>
      </w:r>
      <w:r>
        <w:t xml:space="preserve"> </w:t>
      </w:r>
      <w:r>
        <w:t xml:space="preserve">“</w:t>
      </w:r>
      <w:r>
        <w:t xml:space="preserve">grah,</w:t>
      </w:r>
      <w:r>
        <w:t xml:space="preserve">”</w:t>
      </w:r>
      <w:r>
        <w:t xml:space="preserve"> </w:t>
      </w:r>
      <w:r>
        <w:t xml:space="preserve">“</w:t>
      </w:r>
      <w:r>
        <w:t xml:space="preserve">vṛ,</w:t>
      </w:r>
      <w:r>
        <w:t xml:space="preserve">”</w:t>
      </w:r>
      <w:r>
        <w:t xml:space="preserve"> </w:t>
      </w:r>
      <w:r>
        <w:t xml:space="preserve">“</w:t>
      </w:r>
      <w:r>
        <w:t xml:space="preserve">dṛ,</w:t>
      </w:r>
      <w:r>
        <w:t xml:space="preserve">”</w:t>
      </w:r>
      <w:r>
        <w:t xml:space="preserve"> </w:t>
      </w:r>
      <w:r>
        <w:t xml:space="preserve">“</w:t>
      </w:r>
      <w:r>
        <w:t xml:space="preserve">niścī [print: niści]</w:t>
      </w:r>
      <w:r>
        <w:t xml:space="preserve">”</w:t>
      </w:r>
      <w:r>
        <w:t xml:space="preserve"> </w:t>
      </w:r>
      <w:r>
        <w:t xml:space="preserve">and</w:t>
      </w:r>
      <w:r>
        <w:t xml:space="preserve"> </w:t>
      </w:r>
      <w:r>
        <w:t xml:space="preserve">“</w:t>
      </w:r>
      <w:r>
        <w:t xml:space="preserve">gam</w:t>
      </w:r>
      <w:r>
        <w:t xml:space="preserve">”</w:t>
      </w:r>
      <w:r>
        <w:t xml:space="preserve"> </w:t>
      </w:r>
      <w:r>
        <w:t xml:space="preserve">the affix</w:t>
      </w:r>
      <w:r>
        <w:t xml:space="preserve"> </w:t>
      </w:r>
      <w:r>
        <w:t xml:space="preserve">“</w:t>
      </w:r>
      <w:r>
        <w:t xml:space="preserve">ap</w:t>
      </w:r>
      <w:r>
        <w:t xml:space="preserve">”</w:t>
      </w:r>
      <w:r>
        <w:t xml:space="preserve"> </w:t>
      </w:r>
      <w:r>
        <w:t xml:space="preserve">comes;</w:t>
      </w:r>
      <w:r>
        <w:t xml:space="preserve"> </w:t>
      </w:r>
      <w:r>
        <w:t xml:space="preserve">“</w:t>
      </w:r>
      <w:r>
        <w:t xml:space="preserve">vṛ + a</w:t>
      </w:r>
      <w:r>
        <w:t xml:space="preserve">”</w:t>
      </w:r>
      <w:r>
        <w:t xml:space="preserve"> </w:t>
      </w:r>
      <w:r>
        <w:t xml:space="preserve">takes guṇa by</w:t>
      </w:r>
      <w:r>
        <w:t xml:space="preserve"> </w:t>
      </w:r>
      <w:r>
        <w:rPr>
          <w:bCs/>
          <w:b/>
        </w:rPr>
        <w:t xml:space="preserve">सार्वधातुकार्धधातुकयोः</w:t>
      </w:r>
      <w:r>
        <w:t xml:space="preserve"> </w:t>
      </w:r>
      <w:r>
        <w:t xml:space="preserve">(पा. ७-३-८४) →</w:t>
      </w:r>
      <w:r>
        <w:t xml:space="preserve"> </w:t>
      </w:r>
      <w:r>
        <w:t xml:space="preserve">“</w:t>
      </w:r>
      <w:r>
        <w:t xml:space="preserve">varaḥ</w:t>
      </w:r>
      <w:r>
        <w:t xml:space="preserve">”</w:t>
      </w:r>
      <w:r>
        <w:t xml:space="preserve">;</w:t>
      </w:r>
      <w:r>
        <w:t xml:space="preserve"> </w:t>
      </w:r>
      <w:r>
        <w:t xml:space="preserve">“</w:t>
      </w:r>
      <w:r>
        <w:t xml:space="preserve">ap</w:t>
      </w:r>
      <w:r>
        <w:t xml:space="preserve">”</w:t>
      </w:r>
      <w:r>
        <w:t xml:space="preserve"> </w:t>
      </w:r>
      <w:r>
        <w:t xml:space="preserve">is</w:t>
      </w:r>
      <w:r>
        <w:t xml:space="preserve"> </w:t>
      </w:r>
      <w:r>
        <w:t xml:space="preserve">“</w:t>
      </w:r>
      <w:r>
        <w:t xml:space="preserve">p</w:t>
      </w:r>
      <w:r>
        <w:t xml:space="preserve">”</w:t>
      </w:r>
      <w:r>
        <w:t xml:space="preserve">-marked and so unaccented,</w:t>
      </w:r>
      <w:r>
        <w:t xml:space="preserve"> </w:t>
      </w:r>
      <w:r>
        <w:t xml:space="preserve">“</w:t>
      </w:r>
      <w:r>
        <w:t xml:space="preserve">va</w:t>
      </w:r>
      <w:r>
        <w:t xml:space="preserve">”</w:t>
      </w:r>
      <w:r>
        <w:t xml:space="preserve"> </w:t>
      </w:r>
      <w:r>
        <w:t xml:space="preserve">is acute by</w:t>
      </w:r>
      <w:r>
        <w:t xml:space="preserve"> </w:t>
      </w:r>
      <w:r>
        <w:rPr>
          <w:bCs/>
          <w:b/>
        </w:rPr>
        <w:t xml:space="preserve">धातोः</w:t>
      </w:r>
      <w:r>
        <w:t xml:space="preserve"> </w:t>
      </w:r>
      <w:r>
        <w:t xml:space="preserve">(पा. ६-१-१६२). ॥४॥</w:t>
      </w:r>
    </w:p>
    <w:p>
      <w:r>
        <w:pict>
          <v:rect style="width:0;height:1.5pt" o:hralign="center" o:hrstd="t" o:hr="t"/>
        </w:pict>
      </w:r>
    </w:p>
    <w:bookmarkEnd w:id="137"/>
    <w:bookmarkStart w:id="138" w:name="sūkta-4-the-fifth-mantra"/>
    <w:p>
      <w:pPr>
        <w:pStyle w:val="Heading3"/>
      </w:pPr>
      <w:r>
        <w:t xml:space="preserve">Sūkta 4, The Fifth Mantra</w:t>
      </w:r>
    </w:p>
    <w:p>
      <w:pPr>
        <w:pStyle w:val="FirstParagraph"/>
      </w:pPr>
      <w:r>
        <w:rPr>
          <w:bCs/>
          <w:b/>
        </w:rPr>
        <w:t xml:space="preserve">॥ Saṃhitā-pāṭhaḥ ॥</w:t>
      </w:r>
    </w:p>
    <w:p>
      <w:pPr>
        <w:pStyle w:val="BlockText"/>
      </w:pPr>
      <w:r>
        <w:t xml:space="preserve">उ॒त ब्रु॑वंतु नो॒ निदो॒ निर॒न्यत॑श्चिदारत ।</w:t>
      </w:r>
      <w:r>
        <w:t xml:space="preserve"> </w:t>
      </w:r>
      <w:r>
        <w:t xml:space="preserve">दधा॑ना इन्द्र इद्दुवः॑ ॥५॥</w:t>
      </w:r>
    </w:p>
    <w:p>
      <w:pPr>
        <w:pStyle w:val="BlockText"/>
      </w:pPr>
      <w:r>
        <w:rPr>
          <w:iCs/>
          <w:i/>
        </w:rPr>
        <w:t xml:space="preserve">utá bruvaṃtu no nído níranyátaścidārata |</w:t>
      </w:r>
      <w:r>
        <w:t xml:space="preserve"> </w:t>
      </w:r>
      <w:r>
        <w:rPr>
          <w:iCs/>
          <w:i/>
        </w:rPr>
        <w:t xml:space="preserve">dádhānā indra iddúvaḥ ||5||</w:t>
      </w:r>
    </w:p>
    <w:p>
      <w:pPr>
        <w:pStyle w:val="FirstParagraph"/>
      </w:pPr>
      <w:r>
        <w:rPr>
          <w:bCs/>
          <w:b/>
        </w:rPr>
        <w:t xml:space="preserve">॥ Pada-pāṭhaḥ ॥</w:t>
      </w:r>
    </w:p>
    <w:p>
      <w:pPr>
        <w:pStyle w:val="BlockText"/>
      </w:pPr>
      <w:r>
        <w:t xml:space="preserve">उत । ब्रुवन्तु । नः । निदः । निः । अन्यतः । चित् । आरत ।</w:t>
      </w:r>
      <w:r>
        <w:t xml:space="preserve"> </w:t>
      </w:r>
      <w:r>
        <w:t xml:space="preserve">दधानाः । इन्द्रे । इत् । दुवः ॥५॥</w:t>
      </w:r>
    </w:p>
    <w:p>
      <w:pPr>
        <w:pStyle w:val="FirstParagraph"/>
      </w:pPr>
      <w:r>
        <w:rPr>
          <w:iCs/>
          <w:i/>
        </w:rPr>
        <w:t xml:space="preserve">(Reading note: the Saṃhitā text reads</w:t>
      </w:r>
      <w:r>
        <w:rPr>
          <w:iCs/>
          <w:i/>
        </w:rPr>
        <w:t xml:space="preserve"> </w:t>
      </w:r>
      <w:r>
        <w:rPr>
          <w:iCs/>
          <w:i/>
        </w:rPr>
        <w:t xml:space="preserve">“</w:t>
      </w:r>
      <w:r>
        <w:rPr>
          <w:iCs/>
          <w:i/>
        </w:rPr>
        <w:t xml:space="preserve">indra id duvaḥ</w:t>
      </w:r>
      <w:r>
        <w:rPr>
          <w:iCs/>
          <w:i/>
        </w:rPr>
        <w:t xml:space="preserve">”</w:t>
      </w:r>
      <w:r>
        <w:rPr>
          <w:iCs/>
          <w:i/>
        </w:rPr>
        <w:t xml:space="preserve">; the Pada text resolves it as</w:t>
      </w:r>
      <w:r>
        <w:rPr>
          <w:iCs/>
          <w:i/>
        </w:rPr>
        <w:t xml:space="preserve"> </w:t>
      </w:r>
      <w:r>
        <w:rPr>
          <w:iCs/>
          <w:i/>
        </w:rPr>
        <w:t xml:space="preserve">“</w:t>
      </w:r>
      <w:r>
        <w:rPr>
          <w:iCs/>
          <w:i/>
        </w:rPr>
        <w:t xml:space="preserve">indre it duvaḥ.</w:t>
      </w:r>
      <w:r>
        <w:rPr>
          <w:iCs/>
          <w:i/>
        </w:rPr>
        <w:t xml:space="preserve">”</w:t>
      </w:r>
      <w:r>
        <w:rPr>
          <w:iCs/>
          <w:i/>
        </w:rPr>
        <w:t xml:space="preserve"> </w:t>
      </w:r>
      <w:r>
        <w:rPr>
          <w:iCs/>
          <w:i/>
        </w:rPr>
        <w:t xml:space="preserve">The printed Pada text shows</w:t>
      </w:r>
      <w:r>
        <w:rPr>
          <w:iCs/>
          <w:i/>
        </w:rPr>
        <w:t xml:space="preserve"> </w:t>
      </w:r>
      <w:r>
        <w:rPr>
          <w:iCs/>
          <w:i/>
        </w:rPr>
        <w:t xml:space="preserve">“</w:t>
      </w:r>
      <w:r>
        <w:rPr>
          <w:iCs/>
          <w:i/>
        </w:rPr>
        <w:t xml:space="preserve">ā-rata</w:t>
      </w:r>
      <w:r>
        <w:rPr>
          <w:iCs/>
          <w:i/>
        </w:rPr>
        <w:t xml:space="preserve">”</w:t>
      </w:r>
      <w:r>
        <w:rPr>
          <w:iCs/>
          <w:i/>
        </w:rPr>
        <w:t xml:space="preserve"> </w:t>
      </w:r>
      <w:r>
        <w:rPr>
          <w:iCs/>
          <w:i/>
        </w:rPr>
        <w:t xml:space="preserve">as one word.)</w:t>
      </w:r>
    </w:p>
    <w:p>
      <w:pPr>
        <w:pStyle w:val="BodyText"/>
      </w:pPr>
      <w:r>
        <w:rPr>
          <w:bCs/>
          <w:b/>
        </w:rPr>
        <w:t xml:space="preserve">॥ Sāyaṇa-bhāṣyam ॥</w:t>
      </w:r>
    </w:p>
    <w:p>
      <w:pPr>
        <w:pStyle w:val="BlockText"/>
      </w:pPr>
      <w:r>
        <w:t xml:space="preserve">नोऽस्माकं संबन्धिन ऋत्विज इति शेषः । ते ब्रुवन्तु । इन्द्रं स्तुवन्तु । उतमपि च हे निदो निन्दितारः पुरुषा निरारत । इतो देशान्निर्गच्छत । अन्यतश्चिदन्यस्मादपि देशान्निर्गच्छत । कीदृशा ऋत्विजः । इन्द्रे दुवः परिचर्यां दधानाः कुर्वाणाः । इच्छब्दोऽवधारणे । सर्वदा परिचर्यां कुर्वन्त एव तिष्ठन्तित्यर्थः । निन्दन्तीति निदः । णिदि कुत्सायाम् । क्विपि नुमभावश्छान्दसः । सुपोऽनुदात्तत्वाद्धातुस्वरः । आमन्त्रितत्वेऽपि वाक्यान्तरस्थेन स्ववाक्यगतपदादत्स्वरत्वान्न निघात इत्याद्युदात्तत्वमेव । अन्यतः । लिति प्रत्ययोत्पूर्वस्योदात्तत्वं चिदित्यपिकबर्थे । तेन न केवलमितः । इतो निर्गत्यान्यतोऽपि निर्गच्छतेति गम्यते । स एष धात्वर्थयोः संबन्ध आरतेति लुजा द्योत्यते । स हि धातुसंबन्धाधिकारे विधीयते । आरत । अर्तेश्छन्दसि लुङ्लङ्लिट इति लोडर्थे लुङ् । मध्यमबहुवचनस्य तादेशः । सर्तिशास्त्यर्तिभ्यश्च । पा. ३-१-५६ । इति च्लेरङादेशः । ऋदृशोऽङि गुणः । पा. ७-४-१६ । इति गुणः । आडागमः । दधानाः । शानचश्चित्त्वात्तत्प्राप्तमन्तोदात्तं बाधित्वा परत्वादभ्यस्तानामादिरित्याद्युदात्तत्वम् । दुवः । नब्विषयस्यानिसन्तस्येत्याद्युदात्तः ॥५॥</w:t>
      </w:r>
      <w:r>
        <w:t xml:space="preserve"> </w:t>
      </w:r>
      <w:r>
        <w:rPr>
          <w:iCs/>
          <w:i/>
        </w:rPr>
        <w:t xml:space="preserve">no ’smākaṃ sambandhina ṛtvija iti śeṣaḥ | te bruvantu | indraṃ stuvantu | utamapi ca he nido nindi-tāraḥ puruṣā nir ārata | ito deśān nirgacchata | anyataś cid anyasmād api deśān nirgacchata | kīdṛśā ṛtvijaḥ | indre duvaḥ paricaryāṃ dadhānāḥ kurvāṇāḥ | ic chabdo ’vadhāraṇe | sarvadā paricaryāṃ kurvanta eva tiṣṭhantity arthaḥ | nindantīti nidaḥ | ṇidi kutsāyām | kvipi numa-bhāvaś chāndasaḥ | supo ’nudāttatvād dhātusvaraḥ | āmantritatve ’pi vākyāntarasthena sva-vākya-gata-padād-at-svaratvān na nighāta ity ādyudāttatvam eva | anyataḥ | liti pratyayāt pūrvasyodāttatvaṃ cid ity apika-barthe | tena na kevalam itaḥ | ito nirgatyānyato ’pi nirgacchateti gamyate | sa eṣa dhātvarthayoḥ sambandha āratety luñā dyotyate | sa hi dhātu-sambandhādhikāre vidhīyate | ārata | arter chandasi luṅ-laṅ-liṭa iti loḍarthe luṅ | madhyama-bahuvacanasya tādeśaḥ | sarti-śāsty-arti-bhyaś ca | pā. 3-1-56 | iti cler aṅādeśaḥ | ṛdṛśo ’ṅi guṇaḥ | pā. 7-4-16 | iti guṇaḥ | āḍāgamaḥ | dadhānāḥ | śānacaś cittvāt tat-prāptam antodāttaṃ bādhitvā paratvād abhyastānām ādir ity ādyudāttatvam | duvaḥ | nab-viṣayasyānisantasyety ādyudāttaḥ ||5||</w:t>
      </w:r>
    </w:p>
    <w:p>
      <w:pPr>
        <w:pStyle w:val="FirstParagraph"/>
      </w:pPr>
      <w:r>
        <w:rPr>
          <w:bCs/>
          <w:b/>
        </w:rPr>
        <w:t xml:space="preserve">Translation:</w:t>
      </w:r>
      <w:r>
        <w:t xml:space="preserve"> </w:t>
      </w:r>
      <w:r>
        <w:t xml:space="preserve">“</w:t>
      </w:r>
      <w:r>
        <w:t xml:space="preserve">‘</w:t>
      </w:r>
      <w:r>
        <w:t xml:space="preserve">Naḥ</w:t>
      </w:r>
      <w:r>
        <w:t xml:space="preserve">’</w:t>
      </w:r>
      <w:r>
        <w:t xml:space="preserve"> </w:t>
      </w:r>
      <w:r>
        <w:t xml:space="preserve">— the supplied sense is</w:t>
      </w:r>
      <w:r>
        <w:t xml:space="preserve"> </w:t>
      </w:r>
      <w:r>
        <w:t xml:space="preserve">‘</w:t>
      </w:r>
      <w:r>
        <w:t xml:space="preserve">our priests, those belonging to us.</w:t>
      </w:r>
      <w:r>
        <w:t xml:space="preserve">’</w:t>
      </w:r>
      <w:r>
        <w:t xml:space="preserve"> </w:t>
      </w:r>
      <w:r>
        <w:t xml:space="preserve">Let them speak, let them praise Indra. And, O</w:t>
      </w:r>
      <w:r>
        <w:t xml:space="preserve"> </w:t>
      </w:r>
      <w:r>
        <w:t xml:space="preserve">‘</w:t>
      </w:r>
      <w:r>
        <w:t xml:space="preserve">nidaḥ</w:t>
      </w:r>
      <w:r>
        <w:t xml:space="preserve">’</w:t>
      </w:r>
      <w:r>
        <w:t xml:space="preserve"> </w:t>
      </w:r>
      <w:r>
        <w:t xml:space="preserve">— O revilers, men who blame —</w:t>
      </w:r>
      <w:r>
        <w:t xml:space="preserve"> </w:t>
      </w:r>
      <w:r>
        <w:t xml:space="preserve">‘</w:t>
      </w:r>
      <w:r>
        <w:t xml:space="preserve">nirārata</w:t>
      </w:r>
      <w:r>
        <w:t xml:space="preserve">’</w:t>
      </w:r>
      <w:r>
        <w:t xml:space="preserve"> </w:t>
      </w:r>
      <w:r>
        <w:t xml:space="preserve">— go out from here, from this place;</w:t>
      </w:r>
      <w:r>
        <w:t xml:space="preserve"> </w:t>
      </w:r>
      <w:r>
        <w:t xml:space="preserve">‘</w:t>
      </w:r>
      <w:r>
        <w:t xml:space="preserve">anyataś cit</w:t>
      </w:r>
      <w:r>
        <w:t xml:space="preserve">’</w:t>
      </w:r>
      <w:r>
        <w:t xml:space="preserve"> </w:t>
      </w:r>
      <w:r>
        <w:t xml:space="preserve">— go out from any other place as well. What kind of priests?</w:t>
      </w:r>
      <w:r>
        <w:t xml:space="preserve"> </w:t>
      </w:r>
      <w:r>
        <w:t xml:space="preserve">‘</w:t>
      </w:r>
      <w:r>
        <w:t xml:space="preserve">Duvaḥ dadhānāḥ</w:t>
      </w:r>
      <w:r>
        <w:t xml:space="preserve">’</w:t>
      </w:r>
      <w:r>
        <w:t xml:space="preserve"> </w:t>
      </w:r>
      <w:r>
        <w:t xml:space="preserve">— those who perform service (</w:t>
      </w:r>
      <w:r>
        <w:t xml:space="preserve">‘</w:t>
      </w:r>
      <w:r>
        <w:t xml:space="preserve">paricaryā</w:t>
      </w:r>
      <w:r>
        <w:t xml:space="preserve">’</w:t>
      </w:r>
      <w:r>
        <w:t xml:space="preserve">) in Indra;</w:t>
      </w:r>
      <w:r>
        <w:t xml:space="preserve"> </w:t>
      </w:r>
      <w:r>
        <w:t xml:space="preserve">‘</w:t>
      </w:r>
      <w:r>
        <w:t xml:space="preserve">it</w:t>
      </w:r>
      <w:r>
        <w:t xml:space="preserve">’</w:t>
      </w:r>
      <w:r>
        <w:t xml:space="preserve"> </w:t>
      </w:r>
      <w:r>
        <w:t xml:space="preserve">is in the sense of emphasis: the sense is</w:t>
      </w:r>
      <w:r>
        <w:t xml:space="preserve"> </w:t>
      </w:r>
      <w:r>
        <w:t xml:space="preserve">‘</w:t>
      </w:r>
      <w:r>
        <w:t xml:space="preserve">they remain doing service at all times.</w:t>
      </w:r>
      <w:r>
        <w:t xml:space="preserve">’</w:t>
      </w:r>
      <w:r>
        <w:t xml:space="preserve"> </w:t>
      </w:r>
      <w:r>
        <w:t xml:space="preserve">‘</w:t>
      </w:r>
      <w:r>
        <w:t xml:space="preserve">Nidaḥ</w:t>
      </w:r>
      <w:r>
        <w:t xml:space="preserve">’</w:t>
      </w:r>
      <w:r>
        <w:t xml:space="preserve"> </w:t>
      </w:r>
      <w:r>
        <w:t xml:space="preserve">—</w:t>
      </w:r>
      <w:r>
        <w:t xml:space="preserve"> </w:t>
      </w:r>
      <w:r>
        <w:t xml:space="preserve">‘</w:t>
      </w:r>
      <w:r>
        <w:t xml:space="preserve">nindantīti nidaḥ</w:t>
      </w:r>
      <w:r>
        <w:t xml:space="preserve">’</w:t>
      </w:r>
      <w:r>
        <w:t xml:space="preserve"> </w:t>
      </w:r>
      <w:r>
        <w:t xml:space="preserve">— those who blame; the root</w:t>
      </w:r>
      <w:r>
        <w:t xml:space="preserve"> </w:t>
      </w:r>
      <w:r>
        <w:t xml:space="preserve">‘</w:t>
      </w:r>
      <w:r>
        <w:t xml:space="preserve">ṇidi kutsāyām</w:t>
      </w:r>
      <w:r>
        <w:t xml:space="preserve">’</w:t>
      </w:r>
      <w:r>
        <w:t xml:space="preserve"> </w:t>
      </w:r>
      <w:r>
        <w:t xml:space="preserve">(to blame); in the</w:t>
      </w:r>
      <w:r>
        <w:t xml:space="preserve"> </w:t>
      </w:r>
      <w:r>
        <w:t xml:space="preserve">‘</w:t>
      </w:r>
      <w:r>
        <w:t xml:space="preserve">kvip</w:t>
      </w:r>
      <w:r>
        <w:t xml:space="preserve">’</w:t>
      </w:r>
      <w:r>
        <w:t xml:space="preserve"> </w:t>
      </w:r>
      <w:r>
        <w:t xml:space="preserve">formation the absence of the</w:t>
      </w:r>
      <w:r>
        <w:t xml:space="preserve"> </w:t>
      </w:r>
      <w:r>
        <w:t xml:space="preserve">‘</w:t>
      </w:r>
      <w:r>
        <w:t xml:space="preserve">num</w:t>
      </w:r>
      <w:r>
        <w:t xml:space="preserve">’</w:t>
      </w:r>
      <w:r>
        <w:t xml:space="preserve"> </w:t>
      </w:r>
      <w:r>
        <w:t xml:space="preserve">augment is Vedic; the accent is that of the root since the case-ending is unaccented; though a vocative, since it stands in a different sentence from the preceding word, there is no nighāta (loss of accent), and so it is first-syllable acute indeed.</w:t>
      </w:r>
      <w:r>
        <w:t xml:space="preserve"> </w:t>
      </w:r>
      <w:r>
        <w:t xml:space="preserve">‘</w:t>
      </w:r>
      <w:r>
        <w:t xml:space="preserve">Anyataḥ</w:t>
      </w:r>
      <w:r>
        <w:t xml:space="preserve">’</w:t>
      </w:r>
      <w:r>
        <w:t xml:space="preserve"> </w:t>
      </w:r>
      <w:r>
        <w:t xml:space="preserve">— the part before the affix is acute;</w:t>
      </w:r>
      <w:r>
        <w:t xml:space="preserve"> </w:t>
      </w:r>
      <w:r>
        <w:t xml:space="preserve">‘</w:t>
      </w:r>
      <w:r>
        <w:t xml:space="preserve">cit</w:t>
      </w:r>
      <w:r>
        <w:t xml:space="preserve">’</w:t>
      </w:r>
      <w:r>
        <w:t xml:space="preserve"> </w:t>
      </w:r>
      <w:r>
        <w:t xml:space="preserve">has the sense of</w:t>
      </w:r>
      <w:r>
        <w:t xml:space="preserve"> </w:t>
      </w:r>
      <w:r>
        <w:t xml:space="preserve">‘</w:t>
      </w:r>
      <w:r>
        <w:t xml:space="preserve">api</w:t>
      </w:r>
      <w:r>
        <w:t xml:space="preserve">’</w:t>
      </w:r>
      <w:r>
        <w:t xml:space="preserve"> </w:t>
      </w:r>
      <w:r>
        <w:t xml:space="preserve">(also): not only from here, but from elsewhere too —</w:t>
      </w:r>
      <w:r>
        <w:t xml:space="preserve"> </w:t>
      </w:r>
      <w:r>
        <w:t xml:space="preserve">‘</w:t>
      </w:r>
      <w:r>
        <w:t xml:space="preserve">having gone out from here, go out from other places also</w:t>
      </w:r>
      <w:r>
        <w:t xml:space="preserve">’</w:t>
      </w:r>
      <w:r>
        <w:t xml:space="preserve"> </w:t>
      </w:r>
      <w:r>
        <w:t xml:space="preserve">is understood. This connection of the senses of the roots is indicated by the</w:t>
      </w:r>
      <w:r>
        <w:t xml:space="preserve"> </w:t>
      </w:r>
      <w:r>
        <w:t xml:space="preserve">‘</w:t>
      </w:r>
      <w:r>
        <w:t xml:space="preserve">luṅ</w:t>
      </w:r>
      <w:r>
        <w:t xml:space="preserve">’</w:t>
      </w:r>
      <w:r>
        <w:t xml:space="preserve"> </w:t>
      </w:r>
      <w:r>
        <w:t xml:space="preserve">in</w:t>
      </w:r>
      <w:r>
        <w:t xml:space="preserve"> </w:t>
      </w:r>
      <w:r>
        <w:t xml:space="preserve">‘</w:t>
      </w:r>
      <w:r>
        <w:t xml:space="preserve">ārata.</w:t>
      </w:r>
      <w:r>
        <w:t xml:space="preserve">’</w:t>
      </w:r>
      <w:r>
        <w:t xml:space="preserve"> </w:t>
      </w:r>
      <w:r>
        <w:t xml:space="preserve">‘</w:t>
      </w:r>
      <w:r>
        <w:t xml:space="preserve">Ārata</w:t>
      </w:r>
      <w:r>
        <w:t xml:space="preserve">’</w:t>
      </w:r>
      <w:r>
        <w:t xml:space="preserve"> </w:t>
      </w:r>
      <w:r>
        <w:t xml:space="preserve">— the root</w:t>
      </w:r>
      <w:r>
        <w:t xml:space="preserve"> </w:t>
      </w:r>
      <w:r>
        <w:t xml:space="preserve">‘</w:t>
      </w:r>
      <w:r>
        <w:t xml:space="preserve">ṛ</w:t>
      </w:r>
      <w:r>
        <w:t xml:space="preserve">’</w:t>
      </w:r>
      <w:r>
        <w:t xml:space="preserve"> </w:t>
      </w:r>
      <w:r>
        <w:t xml:space="preserve">in the Veda takes</w:t>
      </w:r>
      <w:r>
        <w:t xml:space="preserve"> </w:t>
      </w:r>
      <w:r>
        <w:t xml:space="preserve">‘</w:t>
      </w:r>
      <w:r>
        <w:t xml:space="preserve">luṅ</w:t>
      </w:r>
      <w:r>
        <w:t xml:space="preserve">’</w:t>
      </w:r>
      <w:r>
        <w:t xml:space="preserve"> </w:t>
      </w:r>
      <w:r>
        <w:t xml:space="preserve">in the sense of the imperative (</w:t>
      </w:r>
      <w:r>
        <w:rPr>
          <w:bCs/>
          <w:b/>
        </w:rPr>
        <w:t xml:space="preserve">छन्दसि लुङ्लङ्लिटः</w:t>
      </w:r>
      <w:r>
        <w:t xml:space="preserve">, पा. ३-४-६); the second-person plural ending is replaced by</w:t>
      </w:r>
      <w:r>
        <w:t xml:space="preserve"> </w:t>
      </w:r>
      <w:r>
        <w:t xml:space="preserve">‘</w:t>
      </w:r>
      <w:r>
        <w:t xml:space="preserve">ta</w:t>
      </w:r>
      <w:r>
        <w:t xml:space="preserve">’</w:t>
      </w:r>
      <w:r>
        <w:t xml:space="preserve">; the</w:t>
      </w:r>
      <w:r>
        <w:t xml:space="preserve"> </w:t>
      </w:r>
      <w:r>
        <w:t xml:space="preserve">‘</w:t>
      </w:r>
      <w:r>
        <w:t xml:space="preserve">cli</w:t>
      </w:r>
      <w:r>
        <w:t xml:space="preserve">’</w:t>
      </w:r>
      <w:r>
        <w:t xml:space="preserve"> </w:t>
      </w:r>
      <w:r>
        <w:t xml:space="preserve">is replaced by</w:t>
      </w:r>
      <w:r>
        <w:t xml:space="preserve"> </w:t>
      </w:r>
      <w:r>
        <w:t xml:space="preserve">‘</w:t>
      </w:r>
      <w:r>
        <w:t xml:space="preserve">aṅ</w:t>
      </w:r>
      <w:r>
        <w:t xml:space="preserve">’</w:t>
      </w:r>
      <w:r>
        <w:t xml:space="preserve"> </w:t>
      </w:r>
      <w:r>
        <w:t xml:space="preserve">(</w:t>
      </w:r>
      <w:r>
        <w:rPr>
          <w:bCs/>
          <w:b/>
        </w:rPr>
        <w:t xml:space="preserve">सर्त्तिशास्त्यर्त्तिभ्यश्च</w:t>
      </w:r>
      <w:r>
        <w:t xml:space="preserve">, पा. ३-१-५६); guṇa by</w:t>
      </w:r>
      <w:r>
        <w:t xml:space="preserve"> </w:t>
      </w:r>
      <w:r>
        <w:rPr>
          <w:bCs/>
          <w:b/>
        </w:rPr>
        <w:t xml:space="preserve">ऋदृशोऽङि गुणः</w:t>
      </w:r>
      <w:r>
        <w:t xml:space="preserve"> </w:t>
      </w:r>
      <w:r>
        <w:t xml:space="preserve">(पा. ७-४-१६); the augment</w:t>
      </w:r>
      <w:r>
        <w:t xml:space="preserve"> </w:t>
      </w:r>
      <w:r>
        <w:t xml:space="preserve">‘</w:t>
      </w:r>
      <w:r>
        <w:t xml:space="preserve">āṭ.</w:t>
      </w:r>
      <w:r>
        <w:t xml:space="preserve">’</w:t>
      </w:r>
      <w:r>
        <w:t xml:space="preserve"> </w:t>
      </w:r>
      <w:r>
        <w:t xml:space="preserve">‘</w:t>
      </w:r>
      <w:r>
        <w:t xml:space="preserve">Dadhānāḥ</w:t>
      </w:r>
      <w:r>
        <w:t xml:space="preserve">’</w:t>
      </w:r>
      <w:r>
        <w:t xml:space="preserve"> </w:t>
      </w:r>
      <w:r>
        <w:t xml:space="preserve">— because</w:t>
      </w:r>
      <w:r>
        <w:t xml:space="preserve"> </w:t>
      </w:r>
      <w:r>
        <w:t xml:space="preserve">‘</w:t>
      </w:r>
      <w:r>
        <w:t xml:space="preserve">śānac</w:t>
      </w:r>
      <w:r>
        <w:t xml:space="preserve">’</w:t>
      </w:r>
      <w:r>
        <w:t xml:space="preserve"> </w:t>
      </w:r>
      <w:r>
        <w:t xml:space="preserve">is</w:t>
      </w:r>
      <w:r>
        <w:t xml:space="preserve"> </w:t>
      </w:r>
      <w:r>
        <w:t xml:space="preserve">‘</w:t>
      </w:r>
      <w:r>
        <w:t xml:space="preserve">c</w:t>
      </w:r>
      <w:r>
        <w:t xml:space="preserve">’</w:t>
      </w:r>
      <w:r>
        <w:t xml:space="preserve">-marked, the end-acute that this would give is set aside, and, by the later rule</w:t>
      </w:r>
      <w:r>
        <w:t xml:space="preserve"> </w:t>
      </w:r>
      <w:r>
        <w:rPr>
          <w:bCs/>
          <w:b/>
        </w:rPr>
        <w:t xml:space="preserve">अभ्यस्तानामादिः</w:t>
      </w:r>
      <w:r>
        <w:t xml:space="preserve"> </w:t>
      </w:r>
      <w:r>
        <w:t xml:space="preserve">(पा. ६-१-१८९), the first syllable is acute.</w:t>
      </w:r>
      <w:r>
        <w:t xml:space="preserve"> </w:t>
      </w:r>
      <w:r>
        <w:t xml:space="preserve">‘</w:t>
      </w:r>
      <w:r>
        <w:t xml:space="preserve">Duvaḥ</w:t>
      </w:r>
      <w:r>
        <w:t xml:space="preserve">’</w:t>
      </w:r>
      <w:r>
        <w:t xml:space="preserve"> </w:t>
      </w:r>
      <w:r>
        <w:t xml:space="preserve">— first-syllable acute by</w:t>
      </w:r>
      <w:r>
        <w:t xml:space="preserve"> </w:t>
      </w:r>
      <w:r>
        <w:rPr>
          <w:bCs/>
          <w:b/>
        </w:rPr>
        <w:t xml:space="preserve">नब्विषयस्यानिसन्तस्य</w:t>
      </w:r>
      <w:r>
        <w:t xml:space="preserve"> </w:t>
      </w:r>
      <w:r>
        <w:t xml:space="preserve">(a Phiṭ-sūtra, as on p. 39). ॥५॥</w:t>
      </w:r>
      <w:r>
        <w:t xml:space="preserve">”</w:t>
      </w:r>
    </w:p>
    <w:p>
      <w:pPr>
        <w:pStyle w:val="BodyText"/>
      </w:pPr>
      <w:r>
        <w:rPr>
          <w:iCs/>
          <w:i/>
        </w:rPr>
        <w:t xml:space="preserve">(Reading notes: (i) in the second sentence of the Bhāṣya the print has</w:t>
      </w:r>
      <w:r>
        <w:rPr>
          <w:iCs/>
          <w:i/>
        </w:rPr>
        <w:t xml:space="preserve"> </w:t>
      </w:r>
      <w:r>
        <w:rPr>
          <w:iCs/>
          <w:i/>
        </w:rPr>
        <w:t xml:space="preserve">“</w:t>
      </w:r>
      <w:r>
        <w:rPr>
          <w:iCs/>
          <w:i/>
        </w:rPr>
        <w:t xml:space="preserve">utamapi ca</w:t>
      </w:r>
      <w:r>
        <w:rPr>
          <w:iCs/>
          <w:i/>
        </w:rPr>
        <w:t xml:space="preserve">”</w:t>
      </w:r>
      <w:r>
        <w:rPr>
          <w:iCs/>
          <w:i/>
        </w:rPr>
        <w:t xml:space="preserve">; the sense is</w:t>
      </w:r>
      <w:r>
        <w:rPr>
          <w:iCs/>
          <w:i/>
        </w:rPr>
        <w:t xml:space="preserve"> </w:t>
      </w:r>
      <w:r>
        <w:rPr>
          <w:iCs/>
          <w:i/>
        </w:rPr>
        <w:t xml:space="preserve">“</w:t>
      </w:r>
      <w:r>
        <w:rPr>
          <w:iCs/>
          <w:i/>
        </w:rPr>
        <w:t xml:space="preserve">uta api ca,</w:t>
      </w:r>
      <w:r>
        <w:rPr>
          <w:iCs/>
          <w:i/>
        </w:rPr>
        <w:t xml:space="preserve">”</w:t>
      </w:r>
      <w:r>
        <w:rPr>
          <w:iCs/>
          <w:i/>
        </w:rPr>
        <w:t xml:space="preserve"> </w:t>
      </w:r>
      <w:r>
        <w:rPr>
          <w:iCs/>
          <w:i/>
        </w:rPr>
        <w:t xml:space="preserve">as the Rik itself reads</w:t>
      </w:r>
      <w:r>
        <w:rPr>
          <w:iCs/>
          <w:i/>
        </w:rPr>
        <w:t xml:space="preserve"> </w:t>
      </w:r>
      <w:r>
        <w:rPr>
          <w:iCs/>
          <w:i/>
        </w:rPr>
        <w:t xml:space="preserve">“</w:t>
      </w:r>
      <w:r>
        <w:rPr>
          <w:iCs/>
          <w:i/>
        </w:rPr>
        <w:t xml:space="preserve">uta</w:t>
      </w:r>
      <w:r>
        <w:rPr>
          <w:iCs/>
          <w:i/>
        </w:rPr>
        <w:t xml:space="preserve">”</w:t>
      </w:r>
      <w:r>
        <w:rPr>
          <w:iCs/>
          <w:i/>
        </w:rPr>
        <w:t xml:space="preserve">; I transcribe the print as it stands. (ii)</w:t>
      </w:r>
      <w:r>
        <w:rPr>
          <w:iCs/>
          <w:i/>
        </w:rPr>
        <w:t xml:space="preserve"> </w:t>
      </w:r>
      <w:r>
        <w:rPr>
          <w:iCs/>
          <w:i/>
        </w:rPr>
        <w:t xml:space="preserve">“</w:t>
      </w:r>
      <w:r>
        <w:rPr>
          <w:iCs/>
          <w:i/>
        </w:rPr>
        <w:t xml:space="preserve">ṇidi kutsāyām</w:t>
      </w:r>
      <w:r>
        <w:rPr>
          <w:iCs/>
          <w:i/>
        </w:rPr>
        <w:t xml:space="preserve">”</w:t>
      </w:r>
      <w:r>
        <w:rPr>
          <w:iCs/>
          <w:i/>
        </w:rPr>
        <w:t xml:space="preserve"> </w:t>
      </w:r>
      <w:r>
        <w:rPr>
          <w:iCs/>
          <w:i/>
        </w:rPr>
        <w:t xml:space="preserve">is printed with the root-initial</w:t>
      </w:r>
      <w:r>
        <w:rPr>
          <w:iCs/>
          <w:i/>
        </w:rPr>
        <w:t xml:space="preserve"> </w:t>
      </w:r>
      <w:r>
        <w:rPr>
          <w:iCs/>
          <w:i/>
        </w:rPr>
        <w:t xml:space="preserve">“</w:t>
      </w:r>
      <w:r>
        <w:rPr>
          <w:iCs/>
          <w:i/>
        </w:rPr>
        <w:t xml:space="preserve">ṇ,</w:t>
      </w:r>
      <w:r>
        <w:rPr>
          <w:iCs/>
          <w:i/>
        </w:rPr>
        <w:t xml:space="preserve">”</w:t>
      </w:r>
      <w:r>
        <w:rPr>
          <w:iCs/>
          <w:i/>
        </w:rPr>
        <w:t xml:space="preserve"> </w:t>
      </w:r>
      <w:r>
        <w:rPr>
          <w:iCs/>
          <w:i/>
        </w:rPr>
        <w:t xml:space="preserve">as in the dhātupāṭha. (iii) The reference</w:t>
      </w:r>
      <w:r>
        <w:rPr>
          <w:iCs/>
          <w:i/>
        </w:rPr>
        <w:t xml:space="preserve"> </w:t>
      </w:r>
      <w:r>
        <w:rPr>
          <w:iCs/>
          <w:i/>
        </w:rPr>
        <w:t xml:space="preserve">“</w:t>
      </w:r>
      <w:r>
        <w:rPr>
          <w:iCs/>
          <w:i/>
        </w:rPr>
        <w:t xml:space="preserve">pā. 7-4-16</w:t>
      </w:r>
      <w:r>
        <w:rPr>
          <w:iCs/>
          <w:i/>
        </w:rPr>
        <w:t xml:space="preserve">”</w:t>
      </w:r>
      <w:r>
        <w:rPr>
          <w:iCs/>
          <w:i/>
        </w:rPr>
        <w:t xml:space="preserve"> </w:t>
      </w:r>
      <w:r>
        <w:rPr>
          <w:iCs/>
          <w:i/>
        </w:rPr>
        <w:t xml:space="preserve">is printed</w:t>
      </w:r>
      <w:r>
        <w:rPr>
          <w:iCs/>
          <w:i/>
        </w:rPr>
        <w:t xml:space="preserve"> </w:t>
      </w:r>
      <w:r>
        <w:rPr>
          <w:iCs/>
          <w:i/>
        </w:rPr>
        <w:t xml:space="preserve">“</w:t>
      </w:r>
      <w:r>
        <w:rPr>
          <w:iCs/>
          <w:i/>
        </w:rPr>
        <w:t xml:space="preserve">7-4-16,</w:t>
      </w:r>
      <w:r>
        <w:rPr>
          <w:iCs/>
          <w:i/>
        </w:rPr>
        <w:t xml:space="preserve">”</w:t>
      </w:r>
      <w:r>
        <w:rPr>
          <w:iCs/>
          <w:i/>
        </w:rPr>
        <w:t xml:space="preserve"> </w:t>
      </w:r>
      <w:r>
        <w:rPr>
          <w:iCs/>
          <w:i/>
        </w:rPr>
        <w:t xml:space="preserve">and I give it so, though I have not verified it.)</w:t>
      </w:r>
    </w:p>
    <w:bookmarkEnd w:id="138"/>
    <w:bookmarkStart w:id="139" w:name="X13d0d0fba39d8bdb8340d9aefb9d0df01077b3a"/>
    <w:p>
      <w:pPr>
        <w:pStyle w:val="Heading3"/>
      </w:pPr>
      <w:r>
        <w:t xml:space="preserve">Page 109 — Rik 4.5: Pada-meanings; Bhāvārtha; English rendering; Special topics (opening)</w:t>
      </w:r>
    </w:p>
    <w:p>
      <w:pPr>
        <w:pStyle w:val="FirstParagraph"/>
      </w:pPr>
      <w:r>
        <w:rPr>
          <w:iCs/>
          <w:i/>
        </w:rPr>
        <w:t xml:space="preserve">(Page header:</w:t>
      </w:r>
      <w:r>
        <w:rPr>
          <w:iCs/>
          <w:i/>
        </w:rPr>
        <w:t xml:space="preserve"> </w:t>
      </w:r>
      <w:r>
        <w:rPr>
          <w:iCs/>
          <w:i/>
        </w:rPr>
        <w:t xml:space="preserve">“</w:t>
      </w:r>
      <w:r>
        <w:rPr>
          <w:iCs/>
          <w:i/>
        </w:rPr>
        <w:t xml:space="preserve">Aṣṭaka 1, Adhyāya 1, Varga 7 · Ṛgveda-saṃhitā.</w:t>
      </w:r>
      <w:r>
        <w:rPr>
          <w:iCs/>
          <w:i/>
        </w:rPr>
        <w:t xml:space="preserve">”</w:t>
      </w:r>
      <w:r>
        <w:rPr>
          <w:iCs/>
          <w:i/>
        </w:rPr>
        <w:t xml:space="preserve"> </w:t>
      </w:r>
      <w:r>
        <w:rPr>
          <w:iCs/>
          <w:i/>
        </w:rPr>
        <w:t xml:space="preserve">English as printed.)</w:t>
      </w:r>
    </w:p>
    <w:p>
      <w:pPr>
        <w:pStyle w:val="BodyText"/>
      </w:pPr>
      <w:r>
        <w:rPr>
          <w:bCs/>
          <w:b/>
        </w:rPr>
        <w:t xml:space="preserve">॥ Prati-padārthaḥ ॥</w:t>
      </w:r>
      <w:r>
        <w:t xml:space="preserve"> </w:t>
      </w:r>
      <w:r>
        <w:rPr>
          <w:iCs/>
          <w:i/>
        </w:rPr>
        <w:t xml:space="preserve">(Kannada, translated)</w:t>
      </w:r>
    </w:p>
    <w:p>
      <w:pPr>
        <w:pStyle w:val="BodyText"/>
      </w:pPr>
      <w:r>
        <w:rPr>
          <w:bCs/>
          <w:b/>
        </w:rPr>
        <w:t xml:space="preserve">इन्द्रे इत् (indre it)</w:t>
      </w:r>
      <w:r>
        <w:t xml:space="preserve"> </w:t>
      </w:r>
      <w:r>
        <w:t xml:space="preserve">— in Indra alone (only in Indra) |</w:t>
      </w:r>
      <w:r>
        <w:t xml:space="preserve"> </w:t>
      </w:r>
      <w:r>
        <w:rPr>
          <w:bCs/>
          <w:b/>
        </w:rPr>
        <w:t xml:space="preserve">दुवः (duvaḥ)</w:t>
      </w:r>
      <w:r>
        <w:t xml:space="preserve"> </w:t>
      </w:r>
      <w:r>
        <w:t xml:space="preserve">— service (that is, worship) |</w:t>
      </w:r>
      <w:r>
        <w:t xml:space="preserve"> </w:t>
      </w:r>
      <w:r>
        <w:rPr>
          <w:bCs/>
          <w:b/>
        </w:rPr>
        <w:t xml:space="preserve">दधानाः (dadhānāḥ)</w:t>
      </w:r>
      <w:r>
        <w:t xml:space="preserve"> </w:t>
      </w:r>
      <w:r>
        <w:t xml:space="preserve">— those who make |</w:t>
      </w:r>
      <w:r>
        <w:t xml:space="preserve"> </w:t>
      </w:r>
      <w:r>
        <w:rPr>
          <w:bCs/>
          <w:b/>
        </w:rPr>
        <w:t xml:space="preserve">नः (naḥ)</w:t>
      </w:r>
      <w:r>
        <w:t xml:space="preserve"> </w:t>
      </w:r>
      <w:r>
        <w:t xml:space="preserve">— our (priests) |</w:t>
      </w:r>
      <w:r>
        <w:t xml:space="preserve"> </w:t>
      </w:r>
      <w:r>
        <w:rPr>
          <w:bCs/>
          <w:b/>
        </w:rPr>
        <w:t xml:space="preserve">ब्रुवन्तु (bruvantu)</w:t>
      </w:r>
      <w:r>
        <w:t xml:space="preserve"> </w:t>
      </w:r>
      <w:r>
        <w:t xml:space="preserve">— let them praise (Indra) |</w:t>
      </w:r>
      <w:r>
        <w:t xml:space="preserve"> </w:t>
      </w:r>
      <w:r>
        <w:rPr>
          <w:bCs/>
          <w:b/>
        </w:rPr>
        <w:t xml:space="preserve">उत (uta)</w:t>
      </w:r>
      <w:r>
        <w:t xml:space="preserve"> </w:t>
      </w:r>
      <w:r>
        <w:t xml:space="preserve">— and |</w:t>
      </w:r>
      <w:r>
        <w:t xml:space="preserve"> </w:t>
      </w:r>
      <w:r>
        <w:rPr>
          <w:bCs/>
          <w:b/>
        </w:rPr>
        <w:t xml:space="preserve">निदः (nidaḥ)</w:t>
      </w:r>
      <w:r>
        <w:t xml:space="preserve"> </w:t>
      </w:r>
      <w:r>
        <w:t xml:space="preserve">— men who blame (Indra) |</w:t>
      </w:r>
      <w:r>
        <w:t xml:space="preserve"> </w:t>
      </w:r>
      <w:r>
        <w:rPr>
          <w:bCs/>
          <w:b/>
        </w:rPr>
        <w:t xml:space="preserve">अन्यतश्चित् (anyataś cit)</w:t>
      </w:r>
      <w:r>
        <w:t xml:space="preserve"> </w:t>
      </w:r>
      <w:r>
        <w:t xml:space="preserve">— from here, and from other places too |</w:t>
      </w:r>
      <w:r>
        <w:t xml:space="preserve"> </w:t>
      </w:r>
      <w:r>
        <w:rPr>
          <w:bCs/>
          <w:b/>
        </w:rPr>
        <w:t xml:space="preserve">निरारत (nirārata)</w:t>
      </w:r>
      <w:r>
        <w:t xml:space="preserve"> </w:t>
      </w:r>
      <w:r>
        <w:t xml:space="preserve">— go out.</w:t>
      </w:r>
    </w:p>
    <w:p>
      <w:pPr>
        <w:pStyle w:val="BodyText"/>
      </w:pPr>
      <w:r>
        <w:rPr>
          <w:bCs/>
          <w:b/>
        </w:rPr>
        <w:t xml:space="preserve">॥ Bhāvārthaḥ ॥</w:t>
      </w:r>
      <w:r>
        <w:t xml:space="preserve"> </w:t>
      </w:r>
      <w:r>
        <w:rPr>
          <w:iCs/>
          <w:i/>
        </w:rPr>
        <w:t xml:space="preserve">(Kannada, translated)</w:t>
      </w:r>
    </w:p>
    <w:p>
      <w:pPr>
        <w:pStyle w:val="BodyText"/>
      </w:pPr>
      <w:r>
        <w:t xml:space="preserve">Let our priests (and sons and other kinsmen), who are devoted to the service of Indra, praise Indra; and let the men who blame Indra go out from here and from other places as well.</w:t>
      </w:r>
    </w:p>
    <w:p>
      <w:pPr>
        <w:pStyle w:val="BodyText"/>
      </w:pPr>
      <w:r>
        <w:rPr>
          <w:bCs/>
          <w:b/>
        </w:rPr>
        <w:t xml:space="preserve">English Translation</w:t>
      </w:r>
      <w:r>
        <w:t xml:space="preserve"> </w:t>
      </w:r>
      <w:r>
        <w:rPr>
          <w:iCs/>
          <w:i/>
        </w:rPr>
        <w:t xml:space="preserve">(printed in English in the source itself):</w:t>
      </w:r>
    </w:p>
    <w:p>
      <w:pPr>
        <w:pStyle w:val="BodyText"/>
      </w:pPr>
      <w:r>
        <w:t xml:space="preserve">“</w:t>
      </w:r>
      <w:r>
        <w:t xml:space="preserve">Let our (priests and relatives) engaged in the service of Indra, sing his praises. O revilers, depart from (here and) every other place.</w:t>
      </w:r>
      <w:r>
        <w:t xml:space="preserve">”</w:t>
      </w:r>
    </w:p>
    <w:p>
      <w:pPr>
        <w:pStyle w:val="BodyText"/>
      </w:pPr>
      <w:r>
        <w:rPr>
          <w:bCs/>
          <w:b/>
        </w:rPr>
        <w:t xml:space="preserve">॥ Viśeṣa-viṣayagaḷu (Special Topics) ॥</w:t>
      </w:r>
    </w:p>
    <w:p>
      <w:pPr>
        <w:pStyle w:val="BodyText"/>
      </w:pPr>
      <w:r>
        <w:t xml:space="preserve">Other commentators, and Western scholars too, have explained the meaning of this Ṛk in various ways</w:t>
      </w:r>
      <w:r>
        <w:t xml:space="preserve"> </w:t>
      </w:r>
      <w:r>
        <w:rPr>
          <w:iCs/>
          <w:i/>
        </w:rPr>
        <w:t xml:space="preserve">(English as printed)</w:t>
      </w:r>
      <w:r>
        <w:t xml:space="preserve">:</w:t>
      </w:r>
    </w:p>
    <w:p>
      <w:pPr>
        <w:numPr>
          <w:ilvl w:val="0"/>
          <w:numId w:val="1019"/>
        </w:numPr>
      </w:pPr>
      <w:r>
        <w:rPr>
          <w:bCs/>
          <w:b/>
        </w:rPr>
        <w:t xml:space="preserve">Wilson</w:t>
      </w:r>
      <w:r>
        <w:t xml:space="preserve"> </w:t>
      </w:r>
      <w:r>
        <w:t xml:space="preserve">—</w:t>
      </w:r>
      <w:r>
        <w:t xml:space="preserve"> </w:t>
      </w:r>
      <w:r>
        <w:t xml:space="preserve">“</w:t>
      </w:r>
      <w:r>
        <w:t xml:space="preserve">Let our ministers earnestly performing his worship exclaim, — depart, ye revilers from hence and every other place (where he is adored).</w:t>
      </w:r>
      <w:r>
        <w:t xml:space="preserve">”</w:t>
      </w:r>
    </w:p>
    <w:p>
      <w:pPr>
        <w:numPr>
          <w:ilvl w:val="0"/>
          <w:numId w:val="1019"/>
        </w:numPr>
      </w:pPr>
      <w:r>
        <w:rPr>
          <w:bCs/>
          <w:b/>
        </w:rPr>
        <w:t xml:space="preserve">Dr. Sitanath</w:t>
      </w:r>
      <w:r>
        <w:t xml:space="preserve"> </w:t>
      </w:r>
      <w:r>
        <w:t xml:space="preserve">—</w:t>
      </w:r>
      <w:r>
        <w:t xml:space="preserve"> </w:t>
      </w:r>
      <w:r>
        <w:t xml:space="preserve">“</w:t>
      </w:r>
      <w:r>
        <w:t xml:space="preserve">Let our revilers say — you have estranged yourself from all other (gods) because of your having preference of service only for Indra.</w:t>
      </w:r>
      <w:r>
        <w:t xml:space="preserve">”</w:t>
      </w:r>
    </w:p>
    <w:p>
      <w:pPr>
        <w:numPr>
          <w:ilvl w:val="0"/>
          <w:numId w:val="1019"/>
        </w:numPr>
      </w:pPr>
      <w:r>
        <w:rPr>
          <w:bCs/>
          <w:b/>
        </w:rPr>
        <w:t xml:space="preserve">Vedarthayatna</w:t>
      </w:r>
      <w:r>
        <w:t xml:space="preserve"> </w:t>
      </w:r>
      <w:r>
        <w:t xml:space="preserve">—</w:t>
      </w:r>
      <w:r>
        <w:t xml:space="preserve"> </w:t>
      </w:r>
      <w:r>
        <w:t xml:space="preserve">“</w:t>
      </w:r>
      <w:r>
        <w:t xml:space="preserve">Whether the revilers may say to us that we might indeed be lost to all other gods by serving Indra alone.</w:t>
      </w:r>
      <w:r>
        <w:t xml:space="preserve">”</w:t>
      </w:r>
    </w:p>
    <w:p>
      <w:pPr>
        <w:pStyle w:val="FirstParagraph"/>
      </w:pPr>
      <w:r>
        <w:rPr>
          <w:bCs/>
          <w:b/>
        </w:rPr>
        <w:t xml:space="preserve">नः (naḥ)</w:t>
      </w:r>
      <w:r>
        <w:t xml:space="preserve"> </w:t>
      </w:r>
      <w:r>
        <w:t xml:space="preserve">— The Bhāṣyakāra explains the word</w:t>
      </w:r>
      <w:r>
        <w:t xml:space="preserve"> </w:t>
      </w:r>
      <w:r>
        <w:t xml:space="preserve">“</w:t>
      </w:r>
      <w:r>
        <w:t xml:space="preserve">naḥ</w:t>
      </w:r>
      <w:r>
        <w:t xml:space="preserve">”</w:t>
      </w:r>
      <w:r>
        <w:t xml:space="preserve"> </w:t>
      </w:r>
      <w:r>
        <w:t xml:space="preserve">as</w:t>
      </w:r>
      <w:r>
        <w:t xml:space="preserve"> </w:t>
      </w:r>
      <w:r>
        <w:t xml:space="preserve">“</w:t>
      </w:r>
      <w:r>
        <w:t xml:space="preserve">our</w:t>
      </w:r>
      <w:r>
        <w:t xml:space="preserve">”</w:t>
      </w:r>
      <w:r>
        <w:t xml:space="preserve"> </w:t>
      </w:r>
      <w:r>
        <w:t xml:space="preserve">(</w:t>
      </w:r>
      <w:r>
        <w:t xml:space="preserve">“</w:t>
      </w:r>
      <w:r>
        <w:t xml:space="preserve">belonging to us, our priests who share in our sacrifice</w:t>
      </w:r>
      <w:r>
        <w:t xml:space="preserve">”</w:t>
      </w:r>
      <w:r>
        <w:t xml:space="preserve">).</w:t>
      </w:r>
      <w:r>
        <w:t xml:space="preserve"> </w:t>
      </w:r>
      <w:r>
        <w:rPr>
          <w:bCs/>
          <w:b/>
        </w:rPr>
        <w:t xml:space="preserve">Skandasvāmī</w:t>
      </w:r>
      <w:r>
        <w:t xml:space="preserve"> </w:t>
      </w:r>
      <w:r>
        <w:t xml:space="preserve">says</w:t>
      </w:r>
      <w:r>
        <w:t xml:space="preserve"> </w:t>
      </w:r>
      <w:r>
        <w:t xml:space="preserve">“</w:t>
      </w:r>
      <w:r>
        <w:t xml:space="preserve">priests, and sons and others.</w:t>
      </w:r>
      <w:r>
        <w:t xml:space="preserve">”</w:t>
      </w:r>
      <w:r>
        <w:t xml:space="preserve"> </w:t>
      </w:r>
      <w:r>
        <w:t xml:space="preserve">But, rather than supplying the words</w:t>
      </w:r>
      <w:r>
        <w:t xml:space="preserve"> </w:t>
      </w:r>
      <w:r>
        <w:t xml:space="preserve">“</w:t>
      </w:r>
      <w:r>
        <w:t xml:space="preserve">priests</w:t>
      </w:r>
      <w:r>
        <w:t xml:space="preserve">”</w:t>
      </w:r>
      <w:r>
        <w:t xml:space="preserve"> </w:t>
      </w:r>
      <w:r>
        <w:t xml:space="preserve">or</w:t>
      </w:r>
      <w:r>
        <w:t xml:space="preserve"> </w:t>
      </w:r>
      <w:r>
        <w:t xml:space="preserve">“</w:t>
      </w:r>
      <w:r>
        <w:t xml:space="preserve">sons and others,</w:t>
      </w:r>
      <w:r>
        <w:t xml:space="preserve">”</w:t>
      </w:r>
      <w:r>
        <w:t xml:space="preserve"> </w:t>
      </w:r>
      <w:r>
        <w:t xml:space="preserve">to explain</w:t>
      </w:r>
      <w:r>
        <w:t xml:space="preserve"> </w:t>
      </w:r>
      <w:r>
        <w:t xml:space="preserve">“</w:t>
      </w:r>
      <w:r>
        <w:t xml:space="preserve">naḥ</w:t>
      </w:r>
      <w:r>
        <w:t xml:space="preserve">”</w:t>
      </w:r>
      <w:r>
        <w:t xml:space="preserve"> </w:t>
      </w:r>
      <w:r>
        <w:t xml:space="preserve">by joining it with the word</w:t>
      </w:r>
      <w:r>
        <w:t xml:space="preserve"> </w:t>
      </w:r>
      <w:r>
        <w:t xml:space="preserve">“</w:t>
      </w:r>
      <w:r>
        <w:t xml:space="preserve">nidaḥ</w:t>
      </w:r>
      <w:r>
        <w:t xml:space="preserve">”</w:t>
      </w:r>
      <w:r>
        <w:t xml:space="preserve"> </w:t>
      </w:r>
      <w:r>
        <w:t xml:space="preserve">would be more fitting …</w:t>
      </w:r>
      <w:r>
        <w:t xml:space="preserve"> </w:t>
      </w:r>
      <w:r>
        <w:rPr>
          <w:iCs/>
          <w:i/>
        </w:rPr>
        <w:t xml:space="preserve">(continues on the next page)</w:t>
      </w:r>
    </w:p>
    <w:bookmarkEnd w:id="139"/>
    <w:bookmarkStart w:id="140" w:name="X5847ad5d9aa7e6817a372ed4ef2b140b10e29e5"/>
    <w:p>
      <w:pPr>
        <w:pStyle w:val="Heading3"/>
      </w:pPr>
      <w:r>
        <w:t xml:space="preserve">Page 110 — Special topics on Rik 4.5 (continued); Vyākaraṇa-prakriyā begins</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4.</w:t>
      </w:r>
      <w:r>
        <w:rPr>
          <w:iCs/>
          <w:i/>
        </w:rPr>
        <w:t xml:space="preserve">”</w:t>
      </w:r>
      <w:r>
        <w:rPr>
          <w:iCs/>
          <w:i/>
        </w:rPr>
        <w:t xml:space="preserve"> </w:t>
      </w:r>
      <w:r>
        <w:rPr>
          <w:iCs/>
          <w:i/>
        </w:rPr>
        <w:t xml:space="preserve">Grammar characterized, sūtras kept.)</w:t>
      </w:r>
    </w:p>
    <w:p>
      <w:pPr>
        <w:pStyle w:val="BodyText"/>
      </w:pPr>
      <w:r>
        <w:rPr>
          <w:iCs/>
          <w:i/>
        </w:rPr>
        <w:t xml:space="preserve">(Continuing</w:t>
      </w:r>
      <w:r>
        <w:rPr>
          <w:iCs/>
          <w:i/>
        </w:rPr>
        <w:t xml:space="preserve"> </w:t>
      </w:r>
      <w:r>
        <w:rPr>
          <w:iCs/>
          <w:i/>
        </w:rPr>
        <w:t xml:space="preserve">“</w:t>
      </w:r>
      <w:r>
        <w:rPr>
          <w:iCs/>
          <w:i/>
        </w:rPr>
        <w:t xml:space="preserve">naḥ</w:t>
      </w:r>
      <w:r>
        <w:rPr>
          <w:iCs/>
          <w:i/>
        </w:rPr>
        <w:t xml:space="preserve">”</w:t>
      </w:r>
      <w:r>
        <w:rPr>
          <w:iCs/>
          <w:i/>
        </w:rPr>
        <w:t xml:space="preserve"> </w:t>
      </w:r>
      <w:r>
        <w:rPr>
          <w:iCs/>
          <w:i/>
        </w:rPr>
        <w:t xml:space="preserve">from p. 109:)</w:t>
      </w:r>
      <w:r>
        <w:t xml:space="preserve"> </w:t>
      </w:r>
      <w:r>
        <w:t xml:space="preserve">…to explain</w:t>
      </w:r>
      <w:r>
        <w:t xml:space="preserve"> </w:t>
      </w:r>
      <w:r>
        <w:t xml:space="preserve">“</w:t>
      </w:r>
      <w:r>
        <w:t xml:space="preserve">naḥ</w:t>
      </w:r>
      <w:r>
        <w:t xml:space="preserve">”</w:t>
      </w:r>
      <w:r>
        <w:t xml:space="preserve"> </w:t>
      </w:r>
      <w:r>
        <w:t xml:space="preserve">together with</w:t>
      </w:r>
      <w:r>
        <w:t xml:space="preserve"> </w:t>
      </w:r>
      <w:r>
        <w:t xml:space="preserve">“</w:t>
      </w:r>
      <w:r>
        <w:t xml:space="preserve">nidaḥ</w:t>
      </w:r>
      <w:r>
        <w:t xml:space="preserve">”</w:t>
      </w:r>
      <w:r>
        <w:t xml:space="preserve"> </w:t>
      </w:r>
      <w:r>
        <w:t xml:space="preserve">would be more fitting; that is,</w:t>
      </w:r>
      <w:r>
        <w:t xml:space="preserve"> </w:t>
      </w:r>
      <w:r>
        <w:t xml:space="preserve">“</w:t>
      </w:r>
      <w:r>
        <w:t xml:space="preserve">naḥ nidaḥ</w:t>
      </w:r>
      <w:r>
        <w:t xml:space="preserve">”</w:t>
      </w:r>
      <w:r>
        <w:t xml:space="preserve"> </w:t>
      </w:r>
      <w:r>
        <w:t xml:space="preserve">—</w:t>
      </w:r>
      <w:r>
        <w:t xml:space="preserve"> </w:t>
      </w:r>
      <w:r>
        <w:t xml:space="preserve">“</w:t>
      </w:r>
      <w:r>
        <w:t xml:space="preserve">our revilers, those who revile us.</w:t>
      </w:r>
      <w:r>
        <w:t xml:space="preserve">”</w:t>
      </w:r>
      <w:r>
        <w:t xml:space="preserve"> </w:t>
      </w:r>
      <w:r>
        <w:t xml:space="preserve">When it is explained thus, it is not necessary to supply a sense such as</w:t>
      </w:r>
      <w:r>
        <w:t xml:space="preserve"> </w:t>
      </w:r>
      <w:r>
        <w:t xml:space="preserve">“</w:t>
      </w:r>
      <w:r>
        <w:t xml:space="preserve">let them praise Indra</w:t>
      </w:r>
      <w:r>
        <w:t xml:space="preserve">”</w:t>
      </w:r>
      <w:r>
        <w:t xml:space="preserve"> </w:t>
      </w:r>
      <w:r>
        <w:t xml:space="preserve">for the verb</w:t>
      </w:r>
      <w:r>
        <w:t xml:space="preserve"> </w:t>
      </w:r>
      <w:r>
        <w:t xml:space="preserve">“</w:t>
      </w:r>
      <w:r>
        <w:t xml:space="preserve">bruvantu</w:t>
      </w:r>
      <w:r>
        <w:t xml:space="preserve">”</w:t>
      </w:r>
      <w:r>
        <w:t xml:space="preserve">; rather, the sentence</w:t>
      </w:r>
      <w:r>
        <w:t xml:space="preserve"> </w:t>
      </w:r>
      <w:r>
        <w:t xml:space="preserve">“</w:t>
      </w:r>
      <w:r>
        <w:t xml:space="preserve">uta bruvantu no nidaḥ</w:t>
      </w:r>
      <w:r>
        <w:t xml:space="preserve">”</w:t>
      </w:r>
      <w:r>
        <w:t xml:space="preserve"> </w:t>
      </w:r>
      <w:r>
        <w:t xml:space="preserve">gets the sense</w:t>
      </w:r>
      <w:r>
        <w:t xml:space="preserve"> </w:t>
      </w:r>
      <w:r>
        <w:t xml:space="preserve">“</w:t>
      </w:r>
      <w:r>
        <w:t xml:space="preserve">let the revilers of us say (what they will).</w:t>
      </w:r>
      <w:r>
        <w:t xml:space="preserve">”</w:t>
      </w:r>
    </w:p>
    <w:p>
      <w:pPr>
        <w:pStyle w:val="BodyText"/>
      </w:pPr>
      <w:r>
        <w:rPr>
          <w:bCs/>
          <w:b/>
        </w:rPr>
        <w:t xml:space="preserve">निदः (nidaḥ)</w:t>
      </w:r>
      <w:r>
        <w:t xml:space="preserve"> </w:t>
      </w:r>
      <w:r>
        <w:t xml:space="preserve">—</w:t>
      </w:r>
      <w:r>
        <w:t xml:space="preserve"> </w:t>
      </w:r>
      <w:r>
        <w:t xml:space="preserve">“</w:t>
      </w:r>
      <w:r>
        <w:t xml:space="preserve">ṇidi kutsāyām</w:t>
      </w:r>
      <w:r>
        <w:t xml:space="preserve">”</w:t>
      </w:r>
      <w:r>
        <w:t xml:space="preserve"> </w:t>
      </w:r>
      <w:r>
        <w:t xml:space="preserve">(to blame):</w:t>
      </w:r>
      <w:r>
        <w:t xml:space="preserve"> </w:t>
      </w:r>
      <w:r>
        <w:t xml:space="preserve">“</w:t>
      </w:r>
      <w:r>
        <w:t xml:space="preserve">nindantīti nidaḥ</w:t>
      </w:r>
      <w:r>
        <w:t xml:space="preserve">”</w:t>
      </w:r>
      <w:r>
        <w:t xml:space="preserve"> </w:t>
      </w:r>
      <w:r>
        <w:t xml:space="preserve">— since they are those who blame, they are called</w:t>
      </w:r>
      <w:r>
        <w:t xml:space="preserve"> </w:t>
      </w:r>
      <w:r>
        <w:t xml:space="preserve">“</w:t>
      </w:r>
      <w:r>
        <w:t xml:space="preserve">nidaḥ.</w:t>
      </w:r>
      <w:r>
        <w:t xml:space="preserve">”</w:t>
      </w:r>
    </w:p>
    <w:p>
      <w:pPr>
        <w:pStyle w:val="BodyText"/>
      </w:pPr>
      <w:r>
        <w:rPr>
          <w:bCs/>
          <w:b/>
        </w:rPr>
        <w:t xml:space="preserve">अन्यतः (anyataḥ)</w:t>
      </w:r>
      <w:r>
        <w:t xml:space="preserve"> </w:t>
      </w:r>
      <w:r>
        <w:t xml:space="preserve">— In this Ṛk the word is only</w:t>
      </w:r>
      <w:r>
        <w:t xml:space="preserve"> </w:t>
      </w:r>
      <w:r>
        <w:t xml:space="preserve">“</w:t>
      </w:r>
      <w:r>
        <w:t xml:space="preserve">anyataḥ,</w:t>
      </w:r>
      <w:r>
        <w:t xml:space="preserve">”</w:t>
      </w:r>
      <w:r>
        <w:t xml:space="preserve"> </w:t>
      </w:r>
      <w:r>
        <w:t xml:space="preserve">“</w:t>
      </w:r>
      <w:r>
        <w:t xml:space="preserve">from elsewhere</w:t>
      </w:r>
      <w:r>
        <w:t xml:space="preserve">”</w:t>
      </w:r>
      <w:r>
        <w:t xml:space="preserve">; therefore the word</w:t>
      </w:r>
      <w:r>
        <w:t xml:space="preserve"> </w:t>
      </w:r>
      <w:r>
        <w:t xml:space="preserve">“</w:t>
      </w:r>
      <w:r>
        <w:t xml:space="preserve">itaḥ</w:t>
      </w:r>
      <w:r>
        <w:t xml:space="preserve">”</w:t>
      </w:r>
      <w:r>
        <w:t xml:space="preserve"> </w:t>
      </w:r>
      <w:r>
        <w:t xml:space="preserve">(</w:t>
      </w:r>
      <w:r>
        <w:t xml:space="preserve">“</w:t>
      </w:r>
      <w:r>
        <w:t xml:space="preserve">from here</w:t>
      </w:r>
      <w:r>
        <w:t xml:space="preserve">”</w:t>
      </w:r>
      <w:r>
        <w:t xml:space="preserve">) must be supplied here.</w:t>
      </w:r>
    </w:p>
    <w:p>
      <w:pPr>
        <w:pStyle w:val="BodyText"/>
      </w:pPr>
      <w:r>
        <w:rPr>
          <w:bCs/>
          <w:b/>
        </w:rPr>
        <w:t xml:space="preserve">चित् (cit)</w:t>
      </w:r>
      <w:r>
        <w:t xml:space="preserve"> </w:t>
      </w:r>
      <w:r>
        <w:t xml:space="preserve">—</w:t>
      </w:r>
      <w:r>
        <w:t xml:space="preserve"> </w:t>
      </w:r>
      <w:r>
        <w:t xml:space="preserve">“</w:t>
      </w:r>
      <w:r>
        <w:t xml:space="preserve">api,</w:t>
      </w:r>
      <w:r>
        <w:t xml:space="preserve">”</w:t>
      </w:r>
      <w:r>
        <w:t xml:space="preserve"> </w:t>
      </w:r>
      <w:r>
        <w:t xml:space="preserve">“</w:t>
      </w:r>
      <w:r>
        <w:t xml:space="preserve">also.</w:t>
      </w:r>
      <w:r>
        <w:t xml:space="preserve">”</w:t>
      </w:r>
      <w:r>
        <w:t xml:space="preserve"> </w:t>
      </w:r>
      <w:r>
        <w:rPr>
          <w:bCs/>
          <w:b/>
        </w:rPr>
        <w:t xml:space="preserve">इत् (it)</w:t>
      </w:r>
      <w:r>
        <w:t xml:space="preserve"> </w:t>
      </w:r>
      <w:r>
        <w:t xml:space="preserve">—</w:t>
      </w:r>
      <w:r>
        <w:t xml:space="preserve"> </w:t>
      </w:r>
      <w:r>
        <w:t xml:space="preserve">“</w:t>
      </w:r>
      <w:r>
        <w:t xml:space="preserve">eva,</w:t>
      </w:r>
      <w:r>
        <w:t xml:space="preserve">”</w:t>
      </w:r>
      <w:r>
        <w:t xml:space="preserve"> </w:t>
      </w:r>
      <w:r>
        <w:t xml:space="preserve">“</w:t>
      </w:r>
      <w:r>
        <w:t xml:space="preserve">indeed</w:t>
      </w:r>
      <w:r>
        <w:t xml:space="preserve">”</w:t>
      </w:r>
      <w:r>
        <w:t xml:space="preserve">: it is used here in the sense of emphasis.</w:t>
      </w:r>
    </w:p>
    <w:p>
      <w:pPr>
        <w:pStyle w:val="BodyText"/>
      </w:pPr>
      <w:r>
        <w:rPr>
          <w:bCs/>
          <w:b/>
        </w:rPr>
        <w:t xml:space="preserve">दुवः (duvaḥ)</w:t>
      </w:r>
      <w:r>
        <w:t xml:space="preserve"> </w:t>
      </w:r>
      <w:r>
        <w:t xml:space="preserve">— This word is used in many Ṛks to give various senses. For this word such senses may be given as</w:t>
      </w:r>
      <w:r>
        <w:t xml:space="preserve"> </w:t>
      </w:r>
      <w:r>
        <w:rPr>
          <w:iCs/>
          <w:i/>
        </w:rPr>
        <w:t xml:space="preserve">(English as printed)</w:t>
      </w:r>
      <w:r>
        <w:t xml:space="preserve">:</w:t>
      </w:r>
      <w:r>
        <w:t xml:space="preserve"> </w:t>
      </w:r>
      <w:r>
        <w:t xml:space="preserve">“</w:t>
      </w:r>
      <w:r>
        <w:t xml:space="preserve">paricaryā (service), sevā, zeal, favour, preference, homage, zeal for service, gift, present</w:t>
      </w:r>
      <w:r>
        <w:t xml:space="preserve">”</w:t>
      </w:r>
      <w:r>
        <w:t xml:space="preserve"> </w:t>
      </w:r>
      <w:r>
        <w:t xml:space="preserve">and the like.</w:t>
      </w:r>
    </w:p>
    <w:p>
      <w:pPr>
        <w:pStyle w:val="BodyText"/>
      </w:pPr>
      <w:r>
        <w:rPr>
          <w:bCs/>
          <w:b/>
        </w:rPr>
        <w:t xml:space="preserve">॥ Vyākaraṇa-prakriyā ॥</w:t>
      </w:r>
      <w:r>
        <w:t xml:space="preserve"> </w:t>
      </w:r>
      <w:r>
        <w:rPr>
          <w:iCs/>
          <w:i/>
        </w:rPr>
        <w:t xml:space="preserve">(Kannada; characterized)</w:t>
      </w:r>
      <w:r>
        <w:t xml:space="preserve"> </w:t>
      </w:r>
      <w:r>
        <w:rPr>
          <w:bCs/>
          <w:b/>
        </w:rPr>
        <w:t xml:space="preserve">“</w:t>
      </w:r>
      <w:r>
        <w:rPr>
          <w:bCs/>
          <w:b/>
        </w:rPr>
        <w:t xml:space="preserve">Nidaḥ</w:t>
      </w:r>
      <w:r>
        <w:rPr>
          <w:bCs/>
          <w:b/>
        </w:rPr>
        <w:t xml:space="preserve">”</w:t>
      </w:r>
      <w:r>
        <w:t xml:space="preserve"> </w:t>
      </w:r>
      <w:r>
        <w:t xml:space="preserve">—</w:t>
      </w:r>
      <w:r>
        <w:t xml:space="preserve"> </w:t>
      </w:r>
      <w:r>
        <w:t xml:space="preserve">“</w:t>
      </w:r>
      <w:r>
        <w:t xml:space="preserve">nindanti iti nidaḥ</w:t>
      </w:r>
      <w:r>
        <w:t xml:space="preserve">”</w:t>
      </w:r>
      <w:r>
        <w:t xml:space="preserve">;</w:t>
      </w:r>
      <w:r>
        <w:t xml:space="preserve"> </w:t>
      </w:r>
      <w:r>
        <w:t xml:space="preserve">“</w:t>
      </w:r>
      <w:r>
        <w:t xml:space="preserve">kvip</w:t>
      </w:r>
      <w:r>
        <w:t xml:space="preserve">”</w:t>
      </w:r>
      <w:r>
        <w:t xml:space="preserve"> </w:t>
      </w:r>
      <w:r>
        <w:t xml:space="preserve">after the root</w:t>
      </w:r>
      <w:r>
        <w:t xml:space="preserve"> </w:t>
      </w:r>
      <w:r>
        <w:t xml:space="preserve">“</w:t>
      </w:r>
      <w:r>
        <w:t xml:space="preserve">ṇidi kutsāyām.</w:t>
      </w:r>
      <w:r>
        <w:t xml:space="preserve">”</w:t>
      </w:r>
      <w:r>
        <w:t xml:space="preserve"> </w:t>
      </w:r>
      <w:r>
        <w:t xml:space="preserve">The root is</w:t>
      </w:r>
      <w:r>
        <w:t xml:space="preserve"> </w:t>
      </w:r>
      <w:r>
        <w:t xml:space="preserve">“</w:t>
      </w:r>
      <w:r>
        <w:t xml:space="preserve">i</w:t>
      </w:r>
      <w:r>
        <w:t xml:space="preserve">”</w:t>
      </w:r>
      <w:r>
        <w:t xml:space="preserve">-marked (iditaḥ), and by</w:t>
      </w:r>
      <w:r>
        <w:t xml:space="preserve"> </w:t>
      </w:r>
      <w:r>
        <w:rPr>
          <w:bCs/>
          <w:b/>
        </w:rPr>
        <w:t xml:space="preserve">इदितो नुम् धातोः</w:t>
      </w:r>
      <w:r>
        <w:t xml:space="preserve"> </w:t>
      </w:r>
      <w:r>
        <w:t xml:space="preserve">(</w:t>
      </w:r>
      <w:r>
        <w:rPr>
          <w:iCs/>
          <w:i/>
        </w:rPr>
        <w:t xml:space="preserve">idito num dhātoḥ</w:t>
      </w:r>
      <w:r>
        <w:t xml:space="preserve">, पा. ७-१-५८) the augment</w:t>
      </w:r>
      <w:r>
        <w:t xml:space="preserve"> </w:t>
      </w:r>
      <w:r>
        <w:t xml:space="preserve">“</w:t>
      </w:r>
      <w:r>
        <w:t xml:space="preserve">num</w:t>
      </w:r>
      <w:r>
        <w:t xml:space="preserve">”</w:t>
      </w:r>
      <w:r>
        <w:t xml:space="preserve"> </w:t>
      </w:r>
      <w:r>
        <w:t xml:space="preserve">would be added; but, because of the Vedic variation of all rules (</w:t>
      </w:r>
      <w:r>
        <w:t xml:space="preserve">“</w:t>
      </w:r>
      <w:r>
        <w:t xml:space="preserve">chandasi vikalpa</w:t>
      </w:r>
      <w:r>
        <w:t xml:space="preserve">”</w:t>
      </w:r>
      <w:r>
        <w:t xml:space="preserve">), it does not occur here.</w:t>
      </w:r>
      <w:r>
        <w:t xml:space="preserve"> </w:t>
      </w:r>
      <w:r>
        <w:t xml:space="preserve">“</w:t>
      </w:r>
      <w:r>
        <w:t xml:space="preserve">Nidaḥ</w:t>
      </w:r>
      <w:r>
        <w:t xml:space="preserve">”</w:t>
      </w:r>
      <w:r>
        <w:t xml:space="preserve"> </w:t>
      </w:r>
      <w:r>
        <w:t xml:space="preserve">— the case-ending</w:t>
      </w:r>
      <w:r>
        <w:t xml:space="preserve"> </w:t>
      </w:r>
      <w:r>
        <w:t xml:space="preserve">“</w:t>
      </w:r>
      <w:r>
        <w:t xml:space="preserve">sup</w:t>
      </w:r>
      <w:r>
        <w:t xml:space="preserve">”</w:t>
      </w:r>
      <w:r>
        <w:t xml:space="preserve"> </w:t>
      </w:r>
      <w:r>
        <w:t xml:space="preserve">is unaccented, and the accent of the root remains (the</w:t>
      </w:r>
      <w:r>
        <w:t xml:space="preserve"> </w:t>
      </w:r>
      <w:r>
        <w:t xml:space="preserve">“</w:t>
      </w:r>
      <w:r>
        <w:t xml:space="preserve">i</w:t>
      </w:r>
      <w:r>
        <w:t xml:space="preserve">”</w:t>
      </w:r>
      <w:r>
        <w:t xml:space="preserve"> </w:t>
      </w:r>
      <w:r>
        <w:t xml:space="preserve">is acute by the root-accent).</w:t>
      </w:r>
      <w:r>
        <w:t xml:space="preserve"> </w:t>
      </w:r>
      <w:r>
        <w:rPr>
          <w:bCs/>
          <w:b/>
        </w:rPr>
        <w:t xml:space="preserve">“</w:t>
      </w:r>
      <w:r>
        <w:rPr>
          <w:bCs/>
          <w:b/>
        </w:rPr>
        <w:t xml:space="preserve">Bruvantu naḥ</w:t>
      </w:r>
      <w:r>
        <w:rPr>
          <w:bCs/>
          <w:b/>
        </w:rPr>
        <w:t xml:space="preserve">”</w:t>
      </w:r>
      <w:r>
        <w:t xml:space="preserve"> </w:t>
      </w:r>
      <w:r>
        <w:t xml:space="preserve">— one sentence:</w:t>
      </w:r>
      <w:r>
        <w:t xml:space="preserve"> </w:t>
      </w:r>
      <w:r>
        <w:t xml:space="preserve">“</w:t>
      </w:r>
      <w:r>
        <w:t xml:space="preserve">let our priests praise Indra.</w:t>
      </w:r>
      <w:r>
        <w:t xml:space="preserve">”</w:t>
      </w:r>
      <w:r>
        <w:t xml:space="preserve"> </w:t>
      </w:r>
      <w:r>
        <w:rPr>
          <w:bCs/>
          <w:b/>
        </w:rPr>
        <w:t xml:space="preserve">“</w:t>
      </w:r>
      <w:r>
        <w:rPr>
          <w:bCs/>
          <w:b/>
        </w:rPr>
        <w:t xml:space="preserve">Nir ārata anyataś cit</w:t>
      </w:r>
      <w:r>
        <w:rPr>
          <w:bCs/>
          <w:b/>
        </w:rPr>
        <w:t xml:space="preserve">”</w:t>
      </w:r>
      <w:r>
        <w:t xml:space="preserve"> </w:t>
      </w:r>
      <w:r>
        <w:t xml:space="preserve">— another sentence:</w:t>
      </w:r>
      <w:r>
        <w:t xml:space="preserve"> </w:t>
      </w:r>
      <w:r>
        <w:t xml:space="preserve">“</w:t>
      </w:r>
      <w:r>
        <w:t xml:space="preserve">(you who blame) go out, leaving this place, and leaving other places also.</w:t>
      </w:r>
      <w:r>
        <w:t xml:space="preserve">”</w:t>
      </w:r>
      <w:r>
        <w:t xml:space="preserve"> </w:t>
      </w:r>
      <w:r>
        <w:t xml:space="preserve">“</w:t>
      </w:r>
      <w:r>
        <w:t xml:space="preserve">Nidaḥ</w:t>
      </w:r>
      <w:r>
        <w:t xml:space="preserve">”</w:t>
      </w:r>
      <w:r>
        <w:t xml:space="preserve"> </w:t>
      </w:r>
      <w:r>
        <w:t xml:space="preserve">is a vocative that stands at the beginning of the second sentence; so it is not treated as following the preceding word; by the vārttika</w:t>
      </w:r>
      <w:r>
        <w:t xml:space="preserve"> </w:t>
      </w:r>
      <w:r>
        <w:rPr>
          <w:bCs/>
          <w:b/>
        </w:rPr>
        <w:t xml:space="preserve">समानवाक्ये निघातयुष्मदस्मदादेशा वक्तव्याः</w:t>
      </w:r>
      <w:r>
        <w:t xml:space="preserve"> </w:t>
      </w:r>
      <w:r>
        <w:t xml:space="preserve">[as printed] the nighāta applies only in the same sentence, and thus the vocative does not lose its accent; by</w:t>
      </w:r>
      <w:r>
        <w:t xml:space="preserve"> </w:t>
      </w:r>
      <w:r>
        <w:rPr>
          <w:bCs/>
          <w:b/>
        </w:rPr>
        <w:t xml:space="preserve">आमन्त्रितस्य च</w:t>
      </w:r>
      <w:r>
        <w:t xml:space="preserve"> </w:t>
      </w:r>
      <w:r>
        <w:t xml:space="preserve">(पा. ६-१-१९८) it is first-syllable acute.</w:t>
      </w:r>
      <w:r>
        <w:t xml:space="preserve"> </w:t>
      </w:r>
      <w:r>
        <w:t xml:space="preserve">“</w:t>
      </w:r>
      <w:r>
        <w:t xml:space="preserve">Anyataḥ</w:t>
      </w:r>
      <w:r>
        <w:t xml:space="preserve">”</w:t>
      </w:r>
      <w:r>
        <w:t xml:space="preserve"> </w:t>
      </w:r>
      <w:r>
        <w:t xml:space="preserve">—</w:t>
      </w:r>
      <w:r>
        <w:t xml:space="preserve"> </w:t>
      </w:r>
      <w:r>
        <w:t xml:space="preserve">“</w:t>
      </w:r>
      <w:r>
        <w:t xml:space="preserve">anyasmāt</w:t>
      </w:r>
      <w:r>
        <w:t xml:space="preserve">”</w:t>
      </w:r>
      <w:r>
        <w:t xml:space="preserve"> </w:t>
      </w:r>
      <w:r>
        <w:t xml:space="preserve">with the affix</w:t>
      </w:r>
      <w:r>
        <w:t xml:space="preserve"> </w:t>
      </w:r>
      <w:r>
        <w:t xml:space="preserve">“</w:t>
      </w:r>
      <w:r>
        <w:t xml:space="preserve">tasil</w:t>
      </w:r>
      <w:r>
        <w:t xml:space="preserve">”</w:t>
      </w:r>
      <w:r>
        <w:t xml:space="preserve"> </w:t>
      </w:r>
      <w:r>
        <w:t xml:space="preserve">by</w:t>
      </w:r>
      <w:r>
        <w:t xml:space="preserve"> </w:t>
      </w:r>
      <w:r>
        <w:rPr>
          <w:bCs/>
          <w:b/>
        </w:rPr>
        <w:t xml:space="preserve">पञ्चम्यास्तसिल्</w:t>
      </w:r>
      <w:r>
        <w:t xml:space="preserve"> </w:t>
      </w:r>
      <w:r>
        <w:t xml:space="preserve">(पा. ५-३-७ [as printed</w:t>
      </w:r>
      <w:r>
        <w:t xml:space="preserve"> </w:t>
      </w:r>
      <w:r>
        <w:t xml:space="preserve">“</w:t>
      </w:r>
      <w:r>
        <w:t xml:space="preserve">…-3-1</w:t>
      </w:r>
      <w:r>
        <w:t xml:space="preserve">”</w:t>
      </w:r>
      <w:r>
        <w:t xml:space="preserve">]); since</w:t>
      </w:r>
      <w:r>
        <w:t xml:space="preserve"> </w:t>
      </w:r>
      <w:r>
        <w:t xml:space="preserve">“</w:t>
      </w:r>
      <w:r>
        <w:t xml:space="preserve">tasil</w:t>
      </w:r>
      <w:r>
        <w:t xml:space="preserve">”</w:t>
      </w:r>
      <w:r>
        <w:t xml:space="preserve"> </w:t>
      </w:r>
      <w:r>
        <w:t xml:space="preserve">is</w:t>
      </w:r>
      <w:r>
        <w:t xml:space="preserve"> </w:t>
      </w:r>
      <w:r>
        <w:t xml:space="preserve">“</w:t>
      </w:r>
      <w:r>
        <w:t xml:space="preserve">l</w:t>
      </w:r>
      <w:r>
        <w:t xml:space="preserve">”</w:t>
      </w:r>
      <w:r>
        <w:t xml:space="preserve">-marked,</w:t>
      </w:r>
      <w:r>
        <w:t xml:space="preserve"> </w:t>
      </w:r>
      <w:r>
        <w:rPr>
          <w:bCs/>
          <w:b/>
        </w:rPr>
        <w:t xml:space="preserve">लिति</w:t>
      </w:r>
      <w:r>
        <w:t xml:space="preserve"> </w:t>
      </w:r>
      <w:r>
        <w:t xml:space="preserve">(पा. ६-१-१९३) puts the acute on the syllable before the affix.</w:t>
      </w:r>
      <w:r>
        <w:t xml:space="preserve"> </w:t>
      </w:r>
      <w:r>
        <w:t xml:space="preserve">“</w:t>
      </w:r>
      <w:r>
        <w:t xml:space="preserve">Cit</w:t>
      </w:r>
      <w:r>
        <w:t xml:space="preserve">”</w:t>
      </w:r>
      <w:r>
        <w:t xml:space="preserve"> </w:t>
      </w:r>
      <w:r>
        <w:t xml:space="preserve">— has the sense of</w:t>
      </w:r>
      <w:r>
        <w:t xml:space="preserve"> </w:t>
      </w:r>
      <w:r>
        <w:t xml:space="preserve">“</w:t>
      </w:r>
      <w:r>
        <w:t xml:space="preserve">api.</w:t>
      </w:r>
      <w:r>
        <w:t xml:space="preserve">”</w:t>
      </w:r>
      <w:r>
        <w:t xml:space="preserve"> </w:t>
      </w:r>
      <w:r>
        <w:t xml:space="preserve">Hence the meaning:</w:t>
      </w:r>
      <w:r>
        <w:t xml:space="preserve"> </w:t>
      </w:r>
      <w:r>
        <w:t xml:space="preserve">“</w:t>
      </w:r>
      <w:r>
        <w:t xml:space="preserve">not only from this place but from other places too — go out.</w:t>
      </w:r>
      <w:r>
        <w:t xml:space="preserve">”</w:t>
      </w:r>
      <w:r>
        <w:t xml:space="preserve"> </w:t>
      </w:r>
      <w:r>
        <w:t xml:space="preserve">The connection of the senses of the two roots is shown…</w:t>
      </w:r>
      <w:r>
        <w:t xml:space="preserve"> </w:t>
      </w:r>
      <w:r>
        <w:rPr>
          <w:iCs/>
          <w:i/>
        </w:rPr>
        <w:t xml:space="preserve">(continues on the next page)</w:t>
      </w:r>
    </w:p>
    <w:bookmarkEnd w:id="140"/>
    <w:bookmarkStart w:id="141" w:name="Xae91d588ad682578fa2d0efbcedc6a9cdd659d2"/>
    <w:p>
      <w:pPr>
        <w:pStyle w:val="Heading3"/>
      </w:pPr>
      <w:r>
        <w:t xml:space="preserve">Page 111 — Rik 4.5 grammar concluded; end of the Eighth Varga [as printed</w:t>
      </w:r>
      <w:r>
        <w:t xml:space="preserve"> </w:t>
      </w:r>
      <w:r>
        <w:t xml:space="preserve">“</w:t>
      </w:r>
      <w:r>
        <w:t xml:space="preserve">seventh</w:t>
      </w:r>
      <w:r>
        <w:t xml:space="preserve">”</w:t>
      </w:r>
      <w:r>
        <w:t xml:space="preserve">]; Sūkta 4, Sixth Mantra: Saṃhitā and Pada</w:t>
      </w:r>
    </w:p>
    <w:p>
      <w:pPr>
        <w:pStyle w:val="FirstParagraph"/>
      </w:pPr>
      <w:r>
        <w:rPr>
          <w:iCs/>
          <w:i/>
        </w:rPr>
        <w:t xml:space="preserve">(Page header:</w:t>
      </w:r>
      <w:r>
        <w:rPr>
          <w:iCs/>
          <w:i/>
        </w:rPr>
        <w:t xml:space="preserve"> </w:t>
      </w:r>
      <w:r>
        <w:rPr>
          <w:iCs/>
          <w:i/>
        </w:rPr>
        <w:t xml:space="preserve">“</w:t>
      </w:r>
      <w:r>
        <w:rPr>
          <w:iCs/>
          <w:i/>
        </w:rPr>
        <w:t xml:space="preserve">Aṣṭaka 1, Adhyāya 1, Varga 8 · Ṛgveda-saṃhitā.</w:t>
      </w:r>
      <w:r>
        <w:rPr>
          <w:iCs/>
          <w:i/>
        </w:rPr>
        <w:t xml:space="preserve">”</w:t>
      </w:r>
      <w:r>
        <w:rPr>
          <w:iCs/>
          <w:i/>
        </w:rPr>
        <w:t xml:space="preserve"> </w:t>
      </w:r>
      <w:r>
        <w:rPr>
          <w:iCs/>
          <w:i/>
        </w:rPr>
        <w:t xml:space="preserve">Saṃhitā accents as printed; Pada unaccented.</w:t>
      </w:r>
      <w:r>
        <w:rPr>
          <w:iCs/>
          <w:i/>
        </w:rPr>
        <w:t xml:space="preserve"> </w:t>
      </w:r>
      <w:r>
        <w:rPr>
          <w:bCs/>
          <w:b/>
          <w:iCs/>
          <w:i/>
        </w:rPr>
        <w:t xml:space="preserve">Note on the varga number</w:t>
      </w:r>
      <w:r>
        <w:rPr>
          <w:iCs/>
          <w:i/>
        </w:rPr>
        <w:t xml:space="preserve"> </w:t>
      </w:r>
      <w:r>
        <w:rPr>
          <w:iCs/>
          <w:i/>
        </w:rPr>
        <w:t xml:space="preserve">(re-checked against the better scan): the page headers read</w:t>
      </w:r>
      <w:r>
        <w:rPr>
          <w:iCs/>
          <w:i/>
        </w:rPr>
        <w:t xml:space="preserve"> </w:t>
      </w:r>
      <w:r>
        <w:rPr>
          <w:iCs/>
          <w:i/>
        </w:rPr>
        <w:t xml:space="preserve">“</w:t>
      </w:r>
      <w:r>
        <w:rPr>
          <w:iCs/>
          <w:i/>
        </w:rPr>
        <w:t xml:space="preserve">Varga 7</w:t>
      </w:r>
      <w:r>
        <w:rPr>
          <w:iCs/>
          <w:i/>
        </w:rPr>
        <w:t xml:space="preserve">”</w:t>
      </w:r>
      <w:r>
        <w:rPr>
          <w:iCs/>
          <w:i/>
        </w:rPr>
        <w:t xml:space="preserve"> </w:t>
      </w:r>
      <w:r>
        <w:rPr>
          <w:iCs/>
          <w:i/>
        </w:rPr>
        <w:t xml:space="preserve">on pp. 89–109 and</w:t>
      </w:r>
      <w:r>
        <w:rPr>
          <w:iCs/>
          <w:i/>
        </w:rPr>
        <w:t xml:space="preserve"> </w:t>
      </w:r>
      <w:r>
        <w:rPr>
          <w:iCs/>
          <w:i/>
        </w:rPr>
        <w:t xml:space="preserve">“</w:t>
      </w:r>
      <w:r>
        <w:rPr>
          <w:iCs/>
          <w:i/>
        </w:rPr>
        <w:t xml:space="preserve">Varga 8</w:t>
      </w:r>
      <w:r>
        <w:rPr>
          <w:iCs/>
          <w:i/>
        </w:rPr>
        <w:t xml:space="preserve">”</w:t>
      </w:r>
      <w:r>
        <w:rPr>
          <w:iCs/>
          <w:i/>
        </w:rPr>
        <w:t xml:space="preserve"> </w:t>
      </w:r>
      <w:r>
        <w:rPr>
          <w:iCs/>
          <w:i/>
        </w:rPr>
        <w:t xml:space="preserve">on pp. 111–143; the closing note on this page,</w:t>
      </w:r>
      <w:r>
        <w:rPr>
          <w:iCs/>
          <w:i/>
        </w:rPr>
        <w:t xml:space="preserve"> </w:t>
      </w:r>
      <w:r>
        <w:rPr>
          <w:iCs/>
          <w:i/>
        </w:rPr>
        <w:t xml:space="preserve">“</w:t>
      </w:r>
      <w:r>
        <w:rPr>
          <w:iCs/>
          <w:i/>
        </w:rPr>
        <w:t xml:space="preserve">ಇಲ್ಲಿಗೆ ಏಳನೆಯ ವರ್ಗವು ಮುಗಿದುದು</w:t>
      </w:r>
      <w:r>
        <w:rPr>
          <w:iCs/>
          <w:i/>
        </w:rPr>
        <w:t xml:space="preserve">”</w:t>
      </w:r>
      <w:r>
        <w:rPr>
          <w:iCs/>
          <w:i/>
        </w:rPr>
        <w:t xml:space="preserve"> </w:t>
      </w:r>
      <w:r>
        <w:rPr>
          <w:iCs/>
          <w:i/>
        </w:rPr>
        <w:t xml:space="preserve">(</w:t>
      </w:r>
      <w:r>
        <w:rPr>
          <w:iCs/>
          <w:i/>
        </w:rPr>
        <w:t xml:space="preserve">“</w:t>
      </w:r>
      <w:r>
        <w:rPr>
          <w:iCs/>
          <w:i/>
        </w:rPr>
        <w:t xml:space="preserve">here the seventh varga is finished</w:t>
      </w:r>
      <w:r>
        <w:rPr>
          <w:iCs/>
          <w:i/>
        </w:rPr>
        <w:t xml:space="preserve">”</w:t>
      </w:r>
      <w:r>
        <w:rPr>
          <w:iCs/>
          <w:i/>
        </w:rPr>
        <w:t xml:space="preserve">), is consistent with them (the eighth varga begins on this page with Rik 4.6).)</w:t>
      </w:r>
    </w:p>
    <w:p>
      <w:pPr>
        <w:pStyle w:val="BodyText"/>
      </w:pPr>
      <w:r>
        <w:rPr>
          <w:iCs/>
          <w:i/>
        </w:rPr>
        <w:t xml:space="preserve">(Continuing from p. 110:)</w:t>
      </w:r>
      <w:r>
        <w:t xml:space="preserve"> </w:t>
      </w:r>
      <w:r>
        <w:t xml:space="preserve">…the connection of the senses of the two roots is shown by the</w:t>
      </w:r>
      <w:r>
        <w:t xml:space="preserve"> </w:t>
      </w:r>
      <w:r>
        <w:t xml:space="preserve">“</w:t>
      </w:r>
      <w:r>
        <w:t xml:space="preserve">luṅ</w:t>
      </w:r>
      <w:r>
        <w:t xml:space="preserve">”</w:t>
      </w:r>
      <w:r>
        <w:t xml:space="preserve"> </w:t>
      </w:r>
      <w:r>
        <w:t xml:space="preserve">in</w:t>
      </w:r>
      <w:r>
        <w:t xml:space="preserve"> </w:t>
      </w:r>
      <w:r>
        <w:t xml:space="preserve">“</w:t>
      </w:r>
      <w:r>
        <w:t xml:space="preserve">ārata,</w:t>
      </w:r>
      <w:r>
        <w:t xml:space="preserve">”</w:t>
      </w:r>
      <w:r>
        <w:t xml:space="preserve"> </w:t>
      </w:r>
      <w:r>
        <w:t xml:space="preserve">which is laid down in the section on the connection of roots (</w:t>
      </w:r>
      <w:r>
        <w:rPr>
          <w:bCs/>
          <w:b/>
        </w:rPr>
        <w:t xml:space="preserve">धातुसंबन्धे प्रत्ययाः</w:t>
      </w:r>
      <w:r>
        <w:t xml:space="preserve">, पा. ३-४-१); where the roots’ senses are connected, the affixes denoting the three times (past, future, present) may be used optionally for one another; hence</w:t>
      </w:r>
      <w:r>
        <w:t xml:space="preserve"> </w:t>
      </w:r>
      <w:r>
        <w:t xml:space="preserve">“</w:t>
      </w:r>
      <w:r>
        <w:t xml:space="preserve">luṅ</w:t>
      </w:r>
      <w:r>
        <w:t xml:space="preserve">”</w:t>
      </w:r>
      <w:r>
        <w:t xml:space="preserve"> </w:t>
      </w:r>
      <w:r>
        <w:t xml:space="preserve">comes in the sense of the imperative (loṭ). After</w:t>
      </w:r>
      <w:r>
        <w:t xml:space="preserve"> </w:t>
      </w:r>
      <w:r>
        <w:t xml:space="preserve">“</w:t>
      </w:r>
      <w:r>
        <w:t xml:space="preserve">luṅ,</w:t>
      </w:r>
      <w:r>
        <w:t xml:space="preserve">”</w:t>
      </w:r>
      <w:r>
        <w:t xml:space="preserve"> </w:t>
      </w:r>
      <w:r>
        <w:t xml:space="preserve">“</w:t>
      </w:r>
      <w:r>
        <w:t xml:space="preserve">cli</w:t>
      </w:r>
      <w:r>
        <w:t xml:space="preserve">”</w:t>
      </w:r>
      <w:r>
        <w:t xml:space="preserve"> </w:t>
      </w:r>
      <w:r>
        <w:t xml:space="preserve">(</w:t>
      </w:r>
      <w:r>
        <w:rPr>
          <w:bCs/>
          <w:b/>
        </w:rPr>
        <w:t xml:space="preserve">च्लि लुङि</w:t>
      </w:r>
      <w:r>
        <w:t xml:space="preserve">, पा. ३-१-४३) comes; the second-person plural ending</w:t>
      </w:r>
      <w:r>
        <w:t xml:space="preserve"> </w:t>
      </w:r>
      <w:r>
        <w:t xml:space="preserve">“</w:t>
      </w:r>
      <w:r>
        <w:t xml:space="preserve">tha</w:t>
      </w:r>
      <w:r>
        <w:t xml:space="preserve">”</w:t>
      </w:r>
      <w:r>
        <w:t xml:space="preserve"> </w:t>
      </w:r>
      <w:r>
        <w:t xml:space="preserve">→</w:t>
      </w:r>
      <w:r>
        <w:t xml:space="preserve"> </w:t>
      </w:r>
      <w:r>
        <w:t xml:space="preserve">“</w:t>
      </w:r>
      <w:r>
        <w:t xml:space="preserve">ta</w:t>
      </w:r>
      <w:r>
        <w:t xml:space="preserve">”</w:t>
      </w:r>
      <w:r>
        <w:t xml:space="preserve"> </w:t>
      </w:r>
      <w:r>
        <w:t xml:space="preserve">(</w:t>
      </w:r>
      <w:r>
        <w:rPr>
          <w:bCs/>
          <w:b/>
        </w:rPr>
        <w:t xml:space="preserve">तस्थस्थमिपां तान्तन्ताम्</w:t>
      </w:r>
      <w:r>
        <w:t xml:space="preserve">, पा. ३-४-१०१); by</w:t>
      </w:r>
      <w:r>
        <w:t xml:space="preserve"> </w:t>
      </w:r>
      <w:r>
        <w:rPr>
          <w:bCs/>
          <w:b/>
        </w:rPr>
        <w:t xml:space="preserve">सर्तिशास्त्यर्तिभ्यश्च</w:t>
      </w:r>
      <w:r>
        <w:t xml:space="preserve"> </w:t>
      </w:r>
      <w:r>
        <w:t xml:space="preserve">(पा. ३-१-५६)</w:t>
      </w:r>
      <w:r>
        <w:t xml:space="preserve"> </w:t>
      </w:r>
      <w:r>
        <w:t xml:space="preserve">“</w:t>
      </w:r>
      <w:r>
        <w:t xml:space="preserve">cli</w:t>
      </w:r>
      <w:r>
        <w:t xml:space="preserve">”</w:t>
      </w:r>
      <w:r>
        <w:t xml:space="preserve"> </w:t>
      </w:r>
      <w:r>
        <w:t xml:space="preserve">is replaced by</w:t>
      </w:r>
      <w:r>
        <w:t xml:space="preserve"> </w:t>
      </w:r>
      <w:r>
        <w:t xml:space="preserve">“</w:t>
      </w:r>
      <w:r>
        <w:t xml:space="preserve">aṅ</w:t>
      </w:r>
      <w:r>
        <w:t xml:space="preserve">”</w:t>
      </w:r>
      <w:r>
        <w:t xml:space="preserve"> </w:t>
      </w:r>
      <w:r>
        <w:t xml:space="preserve">after</w:t>
      </w:r>
      <w:r>
        <w:t xml:space="preserve"> </w:t>
      </w:r>
      <w:r>
        <w:t xml:space="preserve">“</w:t>
      </w:r>
      <w:r>
        <w:t xml:space="preserve">sṛ,</w:t>
      </w:r>
      <w:r>
        <w:t xml:space="preserve">”</w:t>
      </w:r>
      <w:r>
        <w:t xml:space="preserve"> </w:t>
      </w:r>
      <w:r>
        <w:t xml:space="preserve">“</w:t>
      </w:r>
      <w:r>
        <w:t xml:space="preserve">śās</w:t>
      </w:r>
      <w:r>
        <w:t xml:space="preserve">”</w:t>
      </w:r>
      <w:r>
        <w:t xml:space="preserve"> </w:t>
      </w:r>
      <w:r>
        <w:t xml:space="preserve">and</w:t>
      </w:r>
      <w:r>
        <w:t xml:space="preserve"> </w:t>
      </w:r>
      <w:r>
        <w:t xml:space="preserve">“</w:t>
      </w:r>
      <w:r>
        <w:t xml:space="preserve">ṛ</w:t>
      </w:r>
      <w:r>
        <w:t xml:space="preserve">”</w:t>
      </w:r>
      <w:r>
        <w:t xml:space="preserve"> </w:t>
      </w:r>
      <w:r>
        <w:t xml:space="preserve">→</w:t>
      </w:r>
      <w:r>
        <w:t xml:space="preserve"> </w:t>
      </w:r>
      <w:r>
        <w:t xml:space="preserve">“</w:t>
      </w:r>
      <w:r>
        <w:t xml:space="preserve">ṛ + a + ta</w:t>
      </w:r>
      <w:r>
        <w:t xml:space="preserve">”</w:t>
      </w:r>
      <w:r>
        <w:t xml:space="preserve">;</w:t>
      </w:r>
      <w:r>
        <w:t xml:space="preserve"> </w:t>
      </w:r>
      <w:r>
        <w:rPr>
          <w:bCs/>
          <w:b/>
        </w:rPr>
        <w:t xml:space="preserve">ऋदृशोऽङि गुणः</w:t>
      </w:r>
      <w:r>
        <w:t xml:space="preserve"> </w:t>
      </w:r>
      <w:r>
        <w:t xml:space="preserve">(पा. ७-४-१६) gives guṇa →</w:t>
      </w:r>
      <w:r>
        <w:t xml:space="preserve"> </w:t>
      </w:r>
      <w:r>
        <w:t xml:space="preserve">“</w:t>
      </w:r>
      <w:r>
        <w:t xml:space="preserve">ar-a-ta</w:t>
      </w:r>
      <w:r>
        <w:t xml:space="preserve">”</w:t>
      </w:r>
      <w:r>
        <w:t xml:space="preserve">; the augment</w:t>
      </w:r>
      <w:r>
        <w:t xml:space="preserve"> </w:t>
      </w:r>
      <w:r>
        <w:t xml:space="preserve">“</w:t>
      </w:r>
      <w:r>
        <w:t xml:space="preserve">āṭ</w:t>
      </w:r>
      <w:r>
        <w:t xml:space="preserve">”</w:t>
      </w:r>
      <w:r>
        <w:t xml:space="preserve"> </w:t>
      </w:r>
      <w:r>
        <w:t xml:space="preserve">(</w:t>
      </w:r>
      <w:r>
        <w:rPr>
          <w:bCs/>
          <w:b/>
        </w:rPr>
        <w:t xml:space="preserve">आडजादीनाम्</w:t>
      </w:r>
      <w:r>
        <w:t xml:space="preserve">, पा. ६-४-७२) →</w:t>
      </w:r>
      <w:r>
        <w:t xml:space="preserve"> </w:t>
      </w:r>
      <w:r>
        <w:t xml:space="preserve">“</w:t>
      </w:r>
      <w:r>
        <w:t xml:space="preserve">ā + ar + ata</w:t>
      </w:r>
      <w:r>
        <w:t xml:space="preserve">”</w:t>
      </w:r>
      <w:r>
        <w:t xml:space="preserve">; the vṛddhi by</w:t>
      </w:r>
      <w:r>
        <w:t xml:space="preserve"> </w:t>
      </w:r>
      <w:r>
        <w:rPr>
          <w:bCs/>
          <w:b/>
        </w:rPr>
        <w:t xml:space="preserve">आटश्च</w:t>
      </w:r>
      <w:r>
        <w:t xml:space="preserve"> </w:t>
      </w:r>
      <w:r>
        <w:t xml:space="preserve">(पा. ६-१-९०) as the single substitute →</w:t>
      </w:r>
      <w:r>
        <w:t xml:space="preserve"> </w:t>
      </w:r>
      <w:r>
        <w:t xml:space="preserve">“</w:t>
      </w:r>
      <w:r>
        <w:t xml:space="preserve">ārata.</w:t>
      </w:r>
      <w:r>
        <w:t xml:space="preserve">”</w:t>
      </w:r>
      <w:r>
        <w:t xml:space="preserve"> </w:t>
      </w:r>
      <w:r>
        <w:rPr>
          <w:bCs/>
          <w:b/>
        </w:rPr>
        <w:t xml:space="preserve">“</w:t>
      </w:r>
      <w:r>
        <w:rPr>
          <w:bCs/>
          <w:b/>
        </w:rPr>
        <w:t xml:space="preserve">Dadhānāḥ</w:t>
      </w:r>
      <w:r>
        <w:rPr>
          <w:bCs/>
          <w:b/>
        </w:rPr>
        <w:t xml:space="preserve">”</w:t>
      </w:r>
      <w:r>
        <w:t xml:space="preserve"> </w:t>
      </w:r>
      <w:r>
        <w:t xml:space="preserve">—</w:t>
      </w:r>
      <w:r>
        <w:t xml:space="preserve"> </w:t>
      </w:r>
      <w:r>
        <w:t xml:space="preserve">“</w:t>
      </w:r>
      <w:r>
        <w:t xml:space="preserve">śānac</w:t>
      </w:r>
      <w:r>
        <w:t xml:space="preserve">”</w:t>
      </w:r>
      <w:r>
        <w:t xml:space="preserve"> </w:t>
      </w:r>
      <w:r>
        <w:t xml:space="preserve">is</w:t>
      </w:r>
      <w:r>
        <w:t xml:space="preserve"> </w:t>
      </w:r>
      <w:r>
        <w:t xml:space="preserve">“</w:t>
      </w:r>
      <w:r>
        <w:t xml:space="preserve">c</w:t>
      </w:r>
      <w:r>
        <w:t xml:space="preserve">”</w:t>
      </w:r>
      <w:r>
        <w:t xml:space="preserve">-marked and would give an end-acute; but, by the rule that the later of two conflicting rules prevails (</w:t>
      </w:r>
      <w:r>
        <w:rPr>
          <w:bCs/>
          <w:b/>
        </w:rPr>
        <w:t xml:space="preserve">विप्रतिषेधे परं कार्यम्</w:t>
      </w:r>
      <w:r>
        <w:t xml:space="preserve">, पा. १-४-२),</w:t>
      </w:r>
      <w:r>
        <w:t xml:space="preserve"> </w:t>
      </w:r>
      <w:r>
        <w:rPr>
          <w:bCs/>
          <w:b/>
        </w:rPr>
        <w:t xml:space="preserve">अभ्यस्तानामादिः</w:t>
      </w:r>
      <w:r>
        <w:t xml:space="preserve"> </w:t>
      </w:r>
      <w:r>
        <w:t xml:space="preserve">(पा. ६-१-१८९) gives first-syllable acute.</w:t>
      </w:r>
      <w:r>
        <w:t xml:space="preserve"> </w:t>
      </w:r>
      <w:r>
        <w:rPr>
          <w:bCs/>
          <w:b/>
        </w:rPr>
        <w:t xml:space="preserve">“</w:t>
      </w:r>
      <w:r>
        <w:rPr>
          <w:bCs/>
          <w:b/>
        </w:rPr>
        <w:t xml:space="preserve">Duvaḥ</w:t>
      </w:r>
      <w:r>
        <w:rPr>
          <w:bCs/>
          <w:b/>
        </w:rPr>
        <w:t xml:space="preserve">”</w:t>
      </w:r>
      <w:r>
        <w:t xml:space="preserve"> </w:t>
      </w:r>
      <w:r>
        <w:t xml:space="preserve">—</w:t>
      </w:r>
      <w:r>
        <w:t xml:space="preserve"> </w:t>
      </w:r>
      <w:r>
        <w:rPr>
          <w:bCs/>
          <w:b/>
        </w:rPr>
        <w:t xml:space="preserve">नब्विषयस्यानिसन्तस्य</w:t>
      </w:r>
      <w:r>
        <w:t xml:space="preserve"> </w:t>
      </w:r>
      <w:r>
        <w:t xml:space="preserve">(a Phiṭ-sūtra): a neuter word not ending in</w:t>
      </w:r>
      <w:r>
        <w:t xml:space="preserve"> </w:t>
      </w:r>
      <w:r>
        <w:t xml:space="preserve">“</w:t>
      </w:r>
      <w:r>
        <w:t xml:space="preserve">is/-s</w:t>
      </w:r>
      <w:r>
        <w:t xml:space="preserve">”</w:t>
      </w:r>
      <w:r>
        <w:t xml:space="preserve"> </w:t>
      </w:r>
      <w:r>
        <w:t xml:space="preserve">is acute on its first syllable;</w:t>
      </w:r>
      <w:r>
        <w:t xml:space="preserve"> </w:t>
      </w:r>
      <w:r>
        <w:t xml:space="preserve">“</w:t>
      </w:r>
      <w:r>
        <w:t xml:space="preserve">duvaḥ</w:t>
      </w:r>
      <w:r>
        <w:t xml:space="preserve">”</w:t>
      </w:r>
      <w:r>
        <w:t xml:space="preserve"> </w:t>
      </w:r>
      <w:r>
        <w:t xml:space="preserve">is therefore first-syllable acute. ॥५॥</w:t>
      </w:r>
    </w:p>
    <w:p>
      <w:pPr>
        <w:pStyle w:val="BodyText"/>
      </w:pPr>
      <w:r>
        <w:rPr>
          <w:bCs/>
          <w:b/>
        </w:rPr>
        <w:t xml:space="preserve">ಇಲ್ಲಿಗೆ ಏಳನೆಯ ವರ್ಗವು ಮುಗಿದುದು</w:t>
      </w:r>
      <w:r>
        <w:t xml:space="preserve"> </w:t>
      </w:r>
      <w:r>
        <w:t xml:space="preserve">—</w:t>
      </w:r>
      <w:r>
        <w:t xml:space="preserve"> </w:t>
      </w:r>
      <w:r>
        <w:rPr>
          <w:iCs/>
          <w:i/>
        </w:rPr>
        <w:t xml:space="preserve">illige ēḷaneya vargavu mugidudu</w:t>
      </w:r>
      <w:r>
        <w:t xml:space="preserve"> </w:t>
      </w:r>
      <w:r>
        <w:t xml:space="preserve">—</w:t>
      </w:r>
      <w:r>
        <w:t xml:space="preserve"> </w:t>
      </w:r>
      <w:r>
        <w:t xml:space="preserve">“</w:t>
      </w:r>
      <w:r>
        <w:t xml:space="preserve">Here the</w:t>
      </w:r>
      <w:r>
        <w:t xml:space="preserve"> </w:t>
      </w:r>
      <w:r>
        <w:rPr>
          <w:bCs/>
          <w:b/>
        </w:rPr>
        <w:t xml:space="preserve">seventh varga</w:t>
      </w:r>
      <w:r>
        <w:t xml:space="preserve"> </w:t>
      </w:r>
      <w:r>
        <w:t xml:space="preserve">is finished.</w:t>
      </w:r>
      <w:r>
        <w:t xml:space="preserve">”</w:t>
      </w:r>
    </w:p>
    <w:p>
      <w:r>
        <w:pict>
          <v:rect style="width:0;height:1.5pt" o:hralign="center" o:hrstd="t" o:hr="t"/>
        </w:pict>
      </w:r>
    </w:p>
    <w:bookmarkEnd w:id="141"/>
    <w:bookmarkStart w:id="142" w:name="sūkta-4-the-sixth-mantra"/>
    <w:p>
      <w:pPr>
        <w:pStyle w:val="Heading3"/>
      </w:pPr>
      <w:r>
        <w:t xml:space="preserve">Sūkta 4, The Sixth Mantra</w:t>
      </w:r>
    </w:p>
    <w:p>
      <w:pPr>
        <w:pStyle w:val="FirstParagraph"/>
      </w:pPr>
      <w:r>
        <w:rPr>
          <w:bCs/>
          <w:b/>
        </w:rPr>
        <w:t xml:space="preserve">॥ Saṃhitā-pāṭhaḥ ॥</w:t>
      </w:r>
    </w:p>
    <w:p>
      <w:pPr>
        <w:pStyle w:val="BlockText"/>
      </w:pPr>
      <w:r>
        <w:t xml:space="preserve">उ॒त नः॑ सु॒भगां॑ अ॒रिर्वो॒चेयु॑र्दस्म कृष्टयः॑ ।</w:t>
      </w:r>
      <w:r>
        <w:t xml:space="preserve"> </w:t>
      </w:r>
      <w:r>
        <w:t xml:space="preserve">स्यामेदिंद्र॑स्य शर्म॑णि ॥६॥</w:t>
      </w:r>
    </w:p>
    <w:p>
      <w:pPr>
        <w:pStyle w:val="BlockText"/>
      </w:pPr>
      <w:r>
        <w:rPr>
          <w:iCs/>
          <w:i/>
        </w:rPr>
        <w:t xml:space="preserve">utá naḥ subhágāṃ arírvocéyurdasma kṛṣṭáyaḥ |</w:t>
      </w:r>
      <w:r>
        <w:t xml:space="preserve"> </w:t>
      </w:r>
      <w:r>
        <w:rPr>
          <w:iCs/>
          <w:i/>
        </w:rPr>
        <w:t xml:space="preserve">syāmedíṃdrasya śármaṇi ||6||</w:t>
      </w:r>
    </w:p>
    <w:p>
      <w:pPr>
        <w:pStyle w:val="FirstParagraph"/>
      </w:pPr>
      <w:r>
        <w:rPr>
          <w:bCs/>
          <w:b/>
        </w:rPr>
        <w:t xml:space="preserve">॥ Pada-pāṭhaḥ ॥</w:t>
      </w:r>
    </w:p>
    <w:p>
      <w:pPr>
        <w:pStyle w:val="BlockText"/>
      </w:pPr>
      <w:r>
        <w:t xml:space="preserve">उत । नः । सुऽभगान् । अरिः । वोचेयुः । दस्म । कृष्टयः ।</w:t>
      </w:r>
      <w:r>
        <w:t xml:space="preserve"> </w:t>
      </w:r>
      <w:r>
        <w:t xml:space="preserve">स्याम । इत् । इन्द्रस्य । शर्मणि ॥६॥</w:t>
      </w:r>
    </w:p>
    <w:p>
      <w:pPr>
        <w:pStyle w:val="FirstParagraph"/>
      </w:pPr>
      <w:r>
        <w:rPr>
          <w:iCs/>
          <w:i/>
        </w:rPr>
        <w:t xml:space="preserve">(Reading notes: (i) the printed Saṃhitā shows</w:t>
      </w:r>
      <w:r>
        <w:rPr>
          <w:iCs/>
          <w:i/>
        </w:rPr>
        <w:t xml:space="preserve"> </w:t>
      </w:r>
      <w:r>
        <w:rPr>
          <w:iCs/>
          <w:i/>
        </w:rPr>
        <w:t xml:space="preserve">“</w:t>
      </w:r>
      <w:r>
        <w:rPr>
          <w:iCs/>
          <w:i/>
        </w:rPr>
        <w:t xml:space="preserve">subhagā</w:t>
      </w:r>
      <w:r>
        <w:rPr>
          <w:iCs/>
          <w:i/>
        </w:rPr>
        <w:t xml:space="preserve">”</w:t>
      </w:r>
      <w:r>
        <w:rPr>
          <w:iCs/>
          <w:i/>
        </w:rPr>
        <w:t xml:space="preserve"> </w:t>
      </w:r>
      <w:r>
        <w:rPr>
          <w:iCs/>
          <w:i/>
        </w:rPr>
        <w:t xml:space="preserve">with a mark above the last letter which I read as a nasal sign, giving</w:t>
      </w:r>
      <w:r>
        <w:rPr>
          <w:iCs/>
          <w:i/>
        </w:rPr>
        <w:t xml:space="preserve"> </w:t>
      </w:r>
      <w:r>
        <w:rPr>
          <w:iCs/>
          <w:i/>
        </w:rPr>
        <w:t xml:space="preserve">“</w:t>
      </w:r>
      <w:r>
        <w:rPr>
          <w:iCs/>
          <w:i/>
        </w:rPr>
        <w:t xml:space="preserve">subhagāṃ</w:t>
      </w:r>
      <w:r>
        <w:rPr>
          <w:iCs/>
          <w:i/>
        </w:rPr>
        <w:t xml:space="preserve">”</w:t>
      </w:r>
      <w:r>
        <w:rPr>
          <w:iCs/>
          <w:i/>
        </w:rPr>
        <w:t xml:space="preserve"> </w:t>
      </w:r>
      <w:r>
        <w:rPr>
          <w:iCs/>
          <w:i/>
        </w:rPr>
        <w:t xml:space="preserve">— standing for the Pada’s</w:t>
      </w:r>
      <w:r>
        <w:rPr>
          <w:iCs/>
          <w:i/>
        </w:rPr>
        <w:t xml:space="preserve"> </w:t>
      </w:r>
      <w:r>
        <w:rPr>
          <w:iCs/>
          <w:i/>
        </w:rPr>
        <w:t xml:space="preserve">“</w:t>
      </w:r>
      <w:r>
        <w:rPr>
          <w:iCs/>
          <w:i/>
        </w:rPr>
        <w:t xml:space="preserve">subhagān</w:t>
      </w:r>
      <w:r>
        <w:rPr>
          <w:iCs/>
          <w:i/>
        </w:rPr>
        <w:t xml:space="preserve">”</w:t>
      </w:r>
      <w:r>
        <w:rPr>
          <w:iCs/>
          <w:i/>
        </w:rPr>
        <w:t xml:space="preserve"> </w:t>
      </w:r>
      <w:r>
        <w:rPr>
          <w:iCs/>
          <w:i/>
        </w:rPr>
        <w:t xml:space="preserve">— but I am not certain of it. (ii) The Pada has</w:t>
      </w:r>
      <w:r>
        <w:rPr>
          <w:iCs/>
          <w:i/>
        </w:rPr>
        <w:t xml:space="preserve"> </w:t>
      </w:r>
      <w:r>
        <w:rPr>
          <w:iCs/>
          <w:i/>
        </w:rPr>
        <w:t xml:space="preserve">“</w:t>
      </w:r>
      <w:r>
        <w:rPr>
          <w:iCs/>
          <w:i/>
        </w:rPr>
        <w:t xml:space="preserve">ariḥ</w:t>
      </w:r>
      <w:r>
        <w:rPr>
          <w:iCs/>
          <w:i/>
        </w:rPr>
        <w:t xml:space="preserve">”</w:t>
      </w:r>
      <w:r>
        <w:rPr>
          <w:iCs/>
          <w:i/>
        </w:rPr>
        <w:t xml:space="preserve"> </w:t>
      </w:r>
      <w:r>
        <w:rPr>
          <w:iCs/>
          <w:i/>
        </w:rPr>
        <w:t xml:space="preserve">with the</w:t>
      </w:r>
      <w:r>
        <w:rPr>
          <w:iCs/>
          <w:i/>
        </w:rPr>
        <w:t xml:space="preserve"> </w:t>
      </w:r>
      <w:r>
        <w:rPr>
          <w:iCs/>
          <w:i/>
        </w:rPr>
        <w:t xml:space="preserve">“</w:t>
      </w:r>
      <w:r>
        <w:rPr>
          <w:iCs/>
          <w:i/>
        </w:rPr>
        <w:t xml:space="preserve">ḥ</w:t>
      </w:r>
      <w:r>
        <w:rPr>
          <w:iCs/>
          <w:i/>
        </w:rPr>
        <w:t xml:space="preserve">”</w:t>
      </w:r>
      <w:r>
        <w:rPr>
          <w:iCs/>
          <w:i/>
        </w:rPr>
        <w:t xml:space="preserve">; the Saṃhitā</w:t>
      </w:r>
      <w:r>
        <w:rPr>
          <w:iCs/>
          <w:i/>
        </w:rPr>
        <w:t xml:space="preserve"> </w:t>
      </w:r>
      <w:r>
        <w:rPr>
          <w:iCs/>
          <w:i/>
        </w:rPr>
        <w:t xml:space="preserve">“</w:t>
      </w:r>
      <w:r>
        <w:rPr>
          <w:iCs/>
          <w:i/>
        </w:rPr>
        <w:t xml:space="preserve">arir</w:t>
      </w:r>
      <w:r>
        <w:rPr>
          <w:iCs/>
          <w:i/>
        </w:rPr>
        <w:t xml:space="preserve">”</w:t>
      </w:r>
      <w:r>
        <w:rPr>
          <w:iCs/>
          <w:i/>
        </w:rPr>
        <w:t xml:space="preserve"> </w:t>
      </w:r>
      <w:r>
        <w:rPr>
          <w:iCs/>
          <w:i/>
        </w:rPr>
        <w:t xml:space="preserve">is its sandhi form. (iii) The Pada text, as printed, divides</w:t>
      </w:r>
      <w:r>
        <w:rPr>
          <w:iCs/>
          <w:i/>
        </w:rPr>
        <w:t xml:space="preserve"> </w:t>
      </w:r>
      <w:r>
        <w:rPr>
          <w:iCs/>
          <w:i/>
        </w:rPr>
        <w:t xml:space="preserve">“</w:t>
      </w:r>
      <w:r>
        <w:rPr>
          <w:iCs/>
          <w:i/>
        </w:rPr>
        <w:t xml:space="preserve">su-bhagān</w:t>
      </w:r>
      <w:r>
        <w:rPr>
          <w:iCs/>
          <w:i/>
        </w:rPr>
        <w:t xml:space="preserve">”</w:t>
      </w:r>
      <w:r>
        <w:rPr>
          <w:iCs/>
          <w:i/>
        </w:rPr>
        <w:t xml:space="preserve"> </w:t>
      </w:r>
      <w:r>
        <w:rPr>
          <w:iCs/>
          <w:i/>
        </w:rPr>
        <w:t xml:space="preserve">with a visible sign; I give it so.)</w:t>
      </w:r>
    </w:p>
    <w:bookmarkEnd w:id="142"/>
    <w:bookmarkStart w:id="143" w:name="X86b0af38e0f723ab792fce15c6cef1e9996669f"/>
    <w:p>
      <w:pPr>
        <w:pStyle w:val="Heading3"/>
      </w:pPr>
      <w:r>
        <w:t xml:space="preserve">Page 112 — Sūkta 4, Sixth Mantra: Sāyaṇa-bhāṣya, grammar (characterized), Pada-meanings</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4.</w:t>
      </w:r>
      <w:r>
        <w:rPr>
          <w:iCs/>
          <w:i/>
        </w:rPr>
        <w:t xml:space="preserve">”</w:t>
      </w:r>
      <w:r>
        <w:rPr>
          <w:iCs/>
          <w:i/>
        </w:rPr>
        <w:t xml:space="preserve"> </w:t>
      </w:r>
      <w:r>
        <w:rPr>
          <w:iCs/>
          <w:i/>
        </w:rPr>
        <w:t xml:space="preserve">Sanskrit printed in Kannada script; [?] where unclear. The sense-lines are in three layers; the grammar is characterized, with its sūtras.)</w:t>
      </w:r>
    </w:p>
    <w:p>
      <w:pPr>
        <w:pStyle w:val="BodyText"/>
      </w:pPr>
      <w:r>
        <w:rPr>
          <w:bCs/>
          <w:b/>
        </w:rPr>
        <w:t xml:space="preserve">॥ Sāyaṇa-bhāṣyam ॥</w:t>
      </w:r>
    </w:p>
    <w:p>
      <w:pPr>
        <w:pStyle w:val="BlockText"/>
      </w:pPr>
      <w:r>
        <w:t xml:space="preserve">हे दस्म शत्रूणामुपक्षपयितरिन्द्र त्वदनुग्रहादरिरुत शत्रुर्वोऽपि नोऽस्मान्सुभगान्शोभनधनोपेतान्वोचेयुः । उच्यासुः । कृष्टयो मनुष्या अस्मन्मित्रभूता वदन्तीति किमु वक्तव्यमिति शेषः । ततो धनसंपन्ना वयमिन्द्रस्य शर्मणीन्द्रप्रसादलब्धे सुखे स्यामेत् । भवेम्यैव । मघुमित्यादिष्वष्टाविंशतिसंख्याकेषु धननामसु रयिः क्षत्रं भग इति पठितम् । मनुष्या इत्यादिषु पञ्चविंशतिसंख्याकेषु मनुष्यनामसु कृष्टय इति पठितम् ॥</w:t>
      </w:r>
      <w:r>
        <w:t xml:space="preserve"> </w:t>
      </w:r>
      <w:r>
        <w:rPr>
          <w:iCs/>
          <w:i/>
        </w:rPr>
        <w:t xml:space="preserve">he dasma śatrūṇām upakṣapayitar indra tvad-anugrahād ariḥ uta śatrur vo ’pi no ’smān subhagān śobhana-dhanopetān vocēyuḥ | ucyāsuḥ | kṛṣṭayo manuṣyā asman-mitra-bhūtā vadantīti kimu vaktavyam iti śeṣaḥ | tato dhana-sampannā vayam indrasya śarmaṇīndra-prasāda-labdhe sukhe syāmed | bhavema eva | maghum ity ādiṣv aṣṭāviṃśati-saṃkhyākeṣu dhana-nāmasu rayiḥ kṣatraṃ bhaga iti paṭhitam | manuṣyā ity ādiṣu pañcaviṃśati-saṃkhyākeṣu manuṣya-nāmasu kṛṣṭaya iti paṭhitam ||</w:t>
      </w:r>
    </w:p>
    <w:p>
      <w:pPr>
        <w:pStyle w:val="FirstParagraph"/>
      </w:pPr>
      <w:r>
        <w:rPr>
          <w:iCs/>
          <w:i/>
        </w:rPr>
        <w:t xml:space="preserve">(Reading note: the second sentence’s</w:t>
      </w:r>
      <w:r>
        <w:rPr>
          <w:iCs/>
          <w:i/>
        </w:rPr>
        <w:t xml:space="preserve"> </w:t>
      </w:r>
      <w:r>
        <w:rPr>
          <w:iCs/>
          <w:i/>
        </w:rPr>
        <w:t xml:space="preserve">“</w:t>
      </w:r>
      <w:r>
        <w:rPr>
          <w:iCs/>
          <w:i/>
        </w:rPr>
        <w:t xml:space="preserve">ariḥ uta śatrur</w:t>
      </w:r>
      <w:r>
        <w:rPr>
          <w:iCs/>
          <w:i/>
        </w:rPr>
        <w:t xml:space="preserve">”</w:t>
      </w:r>
      <w:r>
        <w:rPr>
          <w:iCs/>
          <w:i/>
        </w:rPr>
        <w:t xml:space="preserve"> </w:t>
      </w:r>
      <w:r>
        <w:rPr>
          <w:iCs/>
          <w:i/>
        </w:rPr>
        <w:t xml:space="preserve">— the print has</w:t>
      </w:r>
      <w:r>
        <w:rPr>
          <w:iCs/>
          <w:i/>
        </w:rPr>
        <w:t xml:space="preserve"> </w:t>
      </w:r>
      <w:r>
        <w:rPr>
          <w:iCs/>
          <w:i/>
        </w:rPr>
        <w:t xml:space="preserve">“</w:t>
      </w:r>
      <w:r>
        <w:rPr>
          <w:iCs/>
          <w:i/>
        </w:rPr>
        <w:t xml:space="preserve">ariruta śatrurvo ’pi</w:t>
      </w:r>
      <w:r>
        <w:rPr>
          <w:iCs/>
          <w:i/>
        </w:rPr>
        <w:t xml:space="preserve">”</w:t>
      </w:r>
      <w:r>
        <w:rPr>
          <w:iCs/>
          <w:i/>
        </w:rPr>
        <w:t xml:space="preserve">; the</w:t>
      </w:r>
      <w:r>
        <w:rPr>
          <w:iCs/>
          <w:i/>
        </w:rPr>
        <w:t xml:space="preserve"> </w:t>
      </w:r>
      <w:r>
        <w:rPr>
          <w:iCs/>
          <w:i/>
        </w:rPr>
        <w:t xml:space="preserve">“</w:t>
      </w:r>
      <w:r>
        <w:rPr>
          <w:iCs/>
          <w:i/>
        </w:rPr>
        <w:t xml:space="preserve">vo</w:t>
      </w:r>
      <w:r>
        <w:rPr>
          <w:iCs/>
          <w:i/>
        </w:rPr>
        <w:t xml:space="preserve">”</w:t>
      </w:r>
      <w:r>
        <w:rPr>
          <w:iCs/>
          <w:i/>
        </w:rPr>
        <w:t xml:space="preserve"> </w:t>
      </w:r>
      <w:r>
        <w:rPr>
          <w:iCs/>
          <w:i/>
        </w:rPr>
        <w:t xml:space="preserve">that follows</w:t>
      </w:r>
      <w:r>
        <w:rPr>
          <w:iCs/>
          <w:i/>
        </w:rPr>
        <w:t xml:space="preserve"> </w:t>
      </w:r>
      <w:r>
        <w:rPr>
          <w:iCs/>
          <w:i/>
        </w:rPr>
        <w:t xml:space="preserve">“</w:t>
      </w:r>
      <w:r>
        <w:rPr>
          <w:iCs/>
          <w:i/>
        </w:rPr>
        <w:t xml:space="preserve">śatruḥ</w:t>
      </w:r>
      <w:r>
        <w:rPr>
          <w:iCs/>
          <w:i/>
        </w:rPr>
        <w:t xml:space="preserve">”</w:t>
      </w:r>
      <w:r>
        <w:rPr>
          <w:iCs/>
          <w:i/>
        </w:rPr>
        <w:t xml:space="preserve"> </w:t>
      </w:r>
      <w:r>
        <w:rPr>
          <w:iCs/>
          <w:i/>
        </w:rPr>
        <w:t xml:space="preserve">looks to me to be a printer’s slip for the next word’s</w:t>
      </w:r>
      <w:r>
        <w:rPr>
          <w:iCs/>
          <w:i/>
        </w:rPr>
        <w:t xml:space="preserve"> </w:t>
      </w:r>
      <w:r>
        <w:rPr>
          <w:iCs/>
          <w:i/>
        </w:rPr>
        <w:t xml:space="preserve">“</w:t>
      </w:r>
      <w:r>
        <w:rPr>
          <w:iCs/>
          <w:i/>
        </w:rPr>
        <w:t xml:space="preserve">vocēyuḥ</w:t>
      </w:r>
      <w:r>
        <w:rPr>
          <w:iCs/>
          <w:i/>
        </w:rPr>
        <w:t xml:space="preserve">”</w:t>
      </w:r>
      <w:r>
        <w:rPr>
          <w:iCs/>
          <w:i/>
        </w:rPr>
        <w:t xml:space="preserve"> </w:t>
      </w:r>
      <w:r>
        <w:rPr>
          <w:iCs/>
          <w:i/>
        </w:rPr>
        <w:t xml:space="preserve">run on; I give it as I read it and mark it [?]. The final</w:t>
      </w:r>
      <w:r>
        <w:rPr>
          <w:iCs/>
          <w:i/>
        </w:rPr>
        <w:t xml:space="preserve"> </w:t>
      </w:r>
      <w:r>
        <w:rPr>
          <w:iCs/>
          <w:i/>
        </w:rPr>
        <w:t xml:space="preserve">“</w:t>
      </w:r>
      <w:r>
        <w:rPr>
          <w:iCs/>
          <w:i/>
        </w:rPr>
        <w:t xml:space="preserve">syāmed … bhavema eva</w:t>
      </w:r>
      <w:r>
        <w:rPr>
          <w:iCs/>
          <w:i/>
        </w:rPr>
        <w:t xml:space="preserve">”</w:t>
      </w:r>
      <w:r>
        <w:rPr>
          <w:iCs/>
          <w:i/>
        </w:rPr>
        <w:t xml:space="preserve"> </w:t>
      </w:r>
      <w:r>
        <w:rPr>
          <w:iCs/>
          <w:i/>
        </w:rPr>
        <w:t xml:space="preserve">is printed with an irregular spelling,</w:t>
      </w:r>
      <w:r>
        <w:rPr>
          <w:iCs/>
          <w:i/>
        </w:rPr>
        <w:t xml:space="preserve"> </w:t>
      </w:r>
      <w:r>
        <w:rPr>
          <w:iCs/>
          <w:i/>
        </w:rPr>
        <w:t xml:space="preserve">“</w:t>
      </w:r>
      <w:r>
        <w:rPr>
          <w:iCs/>
          <w:i/>
        </w:rPr>
        <w:t xml:space="preserve">bhavemyaiva,</w:t>
      </w:r>
      <w:r>
        <w:rPr>
          <w:iCs/>
          <w:i/>
        </w:rPr>
        <w:t xml:space="preserve">”</w:t>
      </w:r>
      <w:r>
        <w:rPr>
          <w:iCs/>
          <w:i/>
        </w:rPr>
        <w:t xml:space="preserve"> </w:t>
      </w:r>
      <w:r>
        <w:rPr>
          <w:iCs/>
          <w:i/>
        </w:rPr>
        <w:t xml:space="preserve">which I read as</w:t>
      </w:r>
      <w:r>
        <w:rPr>
          <w:iCs/>
          <w:i/>
        </w:rPr>
        <w:t xml:space="preserve"> </w:t>
      </w:r>
      <w:r>
        <w:rPr>
          <w:iCs/>
          <w:i/>
        </w:rPr>
        <w:t xml:space="preserve">“</w:t>
      </w:r>
      <w:r>
        <w:rPr>
          <w:iCs/>
          <w:i/>
        </w:rPr>
        <w:t xml:space="preserve">bhavema eva.</w:t>
      </w:r>
      <w:r>
        <w:rPr>
          <w:iCs/>
          <w:i/>
        </w:rPr>
        <w:t xml:space="preserve">”</w:t>
      </w:r>
      <w:r>
        <w:rPr>
          <w:iCs/>
          <w:i/>
        </w:rPr>
        <w:t xml:space="preserve">)</w:t>
      </w:r>
    </w:p>
    <w:p>
      <w:pPr>
        <w:pStyle w:val="BodyText"/>
      </w:pPr>
      <w:r>
        <w:rPr>
          <w:bCs/>
          <w:b/>
        </w:rPr>
        <w:t xml:space="preserve">Translation:</w:t>
      </w:r>
      <w:r>
        <w:t xml:space="preserve"> </w:t>
      </w:r>
      <w:r>
        <w:t xml:space="preserve">“</w:t>
      </w:r>
      <w:r>
        <w:t xml:space="preserve">O</w:t>
      </w:r>
      <w:r>
        <w:t xml:space="preserve"> </w:t>
      </w:r>
      <w:r>
        <w:t xml:space="preserve">‘</w:t>
      </w:r>
      <w:r>
        <w:t xml:space="preserve">dasma</w:t>
      </w:r>
      <w:r>
        <w:t xml:space="preserve">’</w:t>
      </w:r>
      <w:r>
        <w:t xml:space="preserve"> </w:t>
      </w:r>
      <w:r>
        <w:t xml:space="preserve">— O destroyer of enemies, who bring the enemies to ruin — Indra! By your favour may</w:t>
      </w:r>
      <w:r>
        <w:t xml:space="preserve"> </w:t>
      </w:r>
      <w:r>
        <w:t xml:space="preserve">‘</w:t>
      </w:r>
      <w:r>
        <w:t xml:space="preserve">ariḥ</w:t>
      </w:r>
      <w:r>
        <w:t xml:space="preserve">’</w:t>
      </w:r>
      <w:r>
        <w:t xml:space="preserve"> </w:t>
      </w:r>
      <w:r>
        <w:t xml:space="preserve">— even an enemy — say of us that we are</w:t>
      </w:r>
      <w:r>
        <w:t xml:space="preserve"> </w:t>
      </w:r>
      <w:r>
        <w:t xml:space="preserve">‘</w:t>
      </w:r>
      <w:r>
        <w:t xml:space="preserve">subhagān</w:t>
      </w:r>
      <w:r>
        <w:t xml:space="preserve">’</w:t>
      </w:r>
      <w:r>
        <w:t xml:space="preserve"> </w:t>
      </w:r>
      <w:r>
        <w:t xml:space="preserve">— possessed of fine wealth.</w:t>
      </w:r>
      <w:r>
        <w:t xml:space="preserve"> </w:t>
      </w:r>
      <w:r>
        <w:t xml:space="preserve">‘</w:t>
      </w:r>
      <w:r>
        <w:t xml:space="preserve">Vocēyuḥ</w:t>
      </w:r>
      <w:r>
        <w:t xml:space="preserve">’</w:t>
      </w:r>
      <w:r>
        <w:t xml:space="preserve"> </w:t>
      </w:r>
      <w:r>
        <w:t xml:space="preserve">=</w:t>
      </w:r>
      <w:r>
        <w:t xml:space="preserve"> </w:t>
      </w:r>
      <w:r>
        <w:t xml:space="preserve">‘</w:t>
      </w:r>
      <w:r>
        <w:t xml:space="preserve">ucyāsuḥ</w:t>
      </w:r>
      <w:r>
        <w:t xml:space="preserve">’</w:t>
      </w:r>
      <w:r>
        <w:t xml:space="preserve"> </w:t>
      </w:r>
      <w:r>
        <w:t xml:space="preserve">(the optative of</w:t>
      </w:r>
      <w:r>
        <w:t xml:space="preserve"> </w:t>
      </w:r>
      <w:r>
        <w:t xml:space="preserve">‘</w:t>
      </w:r>
      <w:r>
        <w:t xml:space="preserve">vac,</w:t>
      </w:r>
      <w:r>
        <w:t xml:space="preserve">’</w:t>
      </w:r>
      <w:r>
        <w:t xml:space="preserve"> </w:t>
      </w:r>
      <w:r>
        <w:t xml:space="preserve">‘</w:t>
      </w:r>
      <w:r>
        <w:t xml:space="preserve">may they say</w:t>
      </w:r>
      <w:r>
        <w:t xml:space="preserve">’</w:t>
      </w:r>
      <w:r>
        <w:t xml:space="preserve">).</w:t>
      </w:r>
      <w:r>
        <w:t xml:space="preserve"> </w:t>
      </w:r>
      <w:r>
        <w:t xml:space="preserve">‘</w:t>
      </w:r>
      <w:r>
        <w:t xml:space="preserve">Kṛṣṭayaḥ</w:t>
      </w:r>
      <w:r>
        <w:t xml:space="preserve">’</w:t>
      </w:r>
      <w:r>
        <w:t xml:space="preserve"> </w:t>
      </w:r>
      <w:r>
        <w:t xml:space="preserve">— the people, the men who are our friends, say this — what need is there to say so (of them)! — that is the supplied thought. Therefore,</w:t>
      </w:r>
      <w:r>
        <w:t xml:space="preserve"> </w:t>
      </w:r>
      <w:r>
        <w:t xml:space="preserve">‘</w:t>
      </w:r>
      <w:r>
        <w:t xml:space="preserve">syām it</w:t>
      </w:r>
      <w:r>
        <w:t xml:space="preserve">’</w:t>
      </w:r>
      <w:r>
        <w:t xml:space="preserve"> </w:t>
      </w:r>
      <w:r>
        <w:t xml:space="preserve">— may we indeed be,</w:t>
      </w:r>
      <w:r>
        <w:t xml:space="preserve"> </w:t>
      </w:r>
      <w:r>
        <w:t xml:space="preserve">‘</w:t>
      </w:r>
      <w:r>
        <w:t xml:space="preserve">indrasya śarmaṇi</w:t>
      </w:r>
      <w:r>
        <w:t xml:space="preserve">’</w:t>
      </w:r>
      <w:r>
        <w:t xml:space="preserve"> </w:t>
      </w:r>
      <w:r>
        <w:t xml:space="preserve">— in the happiness gained by Indra’s grace, endowed with wealth. Among the twenty-eight names of wealth beginning with</w:t>
      </w:r>
      <w:r>
        <w:t xml:space="preserve"> </w:t>
      </w:r>
      <w:r>
        <w:t xml:space="preserve">‘</w:t>
      </w:r>
      <w:r>
        <w:t xml:space="preserve">magham,</w:t>
      </w:r>
      <w:r>
        <w:t xml:space="preserve">’</w:t>
      </w:r>
      <w:r>
        <w:t xml:space="preserve"> </w:t>
      </w:r>
      <w:r>
        <w:t xml:space="preserve">‘</w:t>
      </w:r>
      <w:r>
        <w:t xml:space="preserve">rayiḥ,</w:t>
      </w:r>
      <w:r>
        <w:t xml:space="preserve">’</w:t>
      </w:r>
      <w:r>
        <w:t xml:space="preserve"> </w:t>
      </w:r>
      <w:r>
        <w:t xml:space="preserve">‘</w:t>
      </w:r>
      <w:r>
        <w:t xml:space="preserve">kṣatram</w:t>
      </w:r>
      <w:r>
        <w:t xml:space="preserve">’</w:t>
      </w:r>
      <w:r>
        <w:t xml:space="preserve"> </w:t>
      </w:r>
      <w:r>
        <w:t xml:space="preserve">and</w:t>
      </w:r>
      <w:r>
        <w:t xml:space="preserve"> </w:t>
      </w:r>
      <w:r>
        <w:t xml:space="preserve">‘</w:t>
      </w:r>
      <w:r>
        <w:t xml:space="preserve">bhagaḥ</w:t>
      </w:r>
      <w:r>
        <w:t xml:space="preserve">’</w:t>
      </w:r>
      <w:r>
        <w:t xml:space="preserve"> </w:t>
      </w:r>
      <w:r>
        <w:t xml:space="preserve">are read; among the twenty-five names of men beginning with</w:t>
      </w:r>
      <w:r>
        <w:t xml:space="preserve"> </w:t>
      </w:r>
      <w:r>
        <w:t xml:space="preserve">‘</w:t>
      </w:r>
      <w:r>
        <w:t xml:space="preserve">manuṣyāḥ,</w:t>
      </w:r>
      <w:r>
        <w:t xml:space="preserve">’</w:t>
      </w:r>
      <w:r>
        <w:t xml:space="preserve"> </w:t>
      </w:r>
      <w:r>
        <w:t xml:space="preserve">‘</w:t>
      </w:r>
      <w:r>
        <w:t xml:space="preserve">kṛṣṭayaḥ</w:t>
      </w:r>
      <w:r>
        <w:t xml:space="preserve">’</w:t>
      </w:r>
      <w:r>
        <w:t xml:space="preserve"> </w:t>
      </w:r>
      <w:r>
        <w:t xml:space="preserve">is read.</w:t>
      </w:r>
      <w:r>
        <w:t xml:space="preserve">”</w:t>
      </w:r>
    </w:p>
    <w:p>
      <w:pPr>
        <w:pStyle w:val="BodyText"/>
      </w:pPr>
      <w:r>
        <w:rPr>
          <w:bCs/>
          <w:b/>
        </w:rPr>
        <w:t xml:space="preserve">Grammar within the Bhāṣya (characterized, sūtras kept):</w:t>
      </w:r>
      <w:r>
        <w:t xml:space="preserve"> </w:t>
      </w:r>
      <w:r>
        <w:t xml:space="preserve">“</w:t>
      </w:r>
      <w:r>
        <w:t xml:space="preserve">Uta</w:t>
      </w:r>
      <w:r>
        <w:t xml:space="preserve">”</w:t>
      </w:r>
      <w:r>
        <w:t xml:space="preserve"> </w:t>
      </w:r>
      <w:r>
        <w:t xml:space="preserve">— a particle, first-syllable acute (</w:t>
      </w:r>
      <w:r>
        <w:rPr>
          <w:bCs/>
          <w:b/>
        </w:rPr>
        <w:t xml:space="preserve">निपाता आद्युदात्ताः</w:t>
      </w:r>
      <w:r>
        <w:t xml:space="preserve">, Phiṭ-sūtra 4-14).</w:t>
      </w:r>
      <w:r>
        <w:t xml:space="preserve"> </w:t>
      </w:r>
      <w:r>
        <w:t xml:space="preserve">“</w:t>
      </w:r>
      <w:r>
        <w:t xml:space="preserve">Subhagān</w:t>
      </w:r>
      <w:r>
        <w:t xml:space="preserve">”</w:t>
      </w:r>
      <w:r>
        <w:t xml:space="preserve"> </w:t>
      </w:r>
      <w:r>
        <w:t xml:space="preserve">—</w:t>
      </w:r>
      <w:r>
        <w:t xml:space="preserve"> </w:t>
      </w:r>
      <w:r>
        <w:t xml:space="preserve">“</w:t>
      </w:r>
      <w:r>
        <w:t xml:space="preserve">bhaga</w:t>
      </w:r>
      <w:r>
        <w:t xml:space="preserve">”</w:t>
      </w:r>
      <w:r>
        <w:t xml:space="preserve"> </w:t>
      </w:r>
      <w:r>
        <w:t xml:space="preserve">ends, in the</w:t>
      </w:r>
      <w:r>
        <w:t xml:space="preserve"> </w:t>
      </w:r>
      <w:r>
        <w:t xml:space="preserve">“</w:t>
      </w:r>
      <w:r>
        <w:t xml:space="preserve">kṛtvādi</w:t>
      </w:r>
      <w:r>
        <w:t xml:space="preserve">”</w:t>
      </w:r>
      <w:r>
        <w:t xml:space="preserve"> </w:t>
      </w:r>
      <w:r>
        <w:t xml:space="preserve">class, with the first member’s accent set aside:</w:t>
      </w:r>
      <w:r>
        <w:t xml:space="preserve"> </w:t>
      </w:r>
      <w:r>
        <w:rPr>
          <w:bCs/>
          <w:b/>
        </w:rPr>
        <w:t xml:space="preserve">नञ्सुभ्याम्</w:t>
      </w:r>
      <w:r>
        <w:t xml:space="preserve"> </w:t>
      </w:r>
      <w:r>
        <w:t xml:space="preserve">(पा. ६-२-१७२) would give the end-acute, but</w:t>
      </w:r>
      <w:r>
        <w:t xml:space="preserve"> </w:t>
      </w:r>
      <w:r>
        <w:t xml:space="preserve">“</w:t>
      </w:r>
      <w:r>
        <w:t xml:space="preserve">bhaga</w:t>
      </w:r>
      <w:r>
        <w:t xml:space="preserve">”</w:t>
      </w:r>
      <w:r>
        <w:t xml:space="preserve"> </w:t>
      </w:r>
      <w:r>
        <w:t xml:space="preserve">is read in the list beginning with</w:t>
      </w:r>
      <w:r>
        <w:t xml:space="preserve"> </w:t>
      </w:r>
      <w:r>
        <w:t xml:space="preserve">“</w:t>
      </w:r>
      <w:r>
        <w:t xml:space="preserve">kṛtva</w:t>
      </w:r>
      <w:r>
        <w:t xml:space="preserve">”</w:t>
      </w:r>
      <w:r>
        <w:t xml:space="preserve"> </w:t>
      </w:r>
      <w:r>
        <w:t xml:space="preserve">—</w:t>
      </w:r>
      <w:r>
        <w:t xml:space="preserve"> </w:t>
      </w:r>
      <w:r>
        <w:rPr>
          <w:bCs/>
          <w:b/>
        </w:rPr>
        <w:t xml:space="preserve">क्रत्वादयश्च</w:t>
      </w:r>
      <w:r>
        <w:t xml:space="preserve"> </w:t>
      </w:r>
      <w:r>
        <w:t xml:space="preserve">(पा. ६-२-११८) — so the second member is first-syllable acute. In the saṃhitā:</w:t>
      </w:r>
      <w:r>
        <w:t xml:space="preserve"> </w:t>
      </w:r>
      <w:r>
        <w:rPr>
          <w:bCs/>
          <w:b/>
        </w:rPr>
        <w:t xml:space="preserve">दीर्घादटि समानपादे</w:t>
      </w:r>
      <w:r>
        <w:t xml:space="preserve"> </w:t>
      </w:r>
      <w:r>
        <w:t xml:space="preserve">(पा. ८-३-९) the</w:t>
      </w:r>
      <w:r>
        <w:t xml:space="preserve"> </w:t>
      </w:r>
      <w:r>
        <w:t xml:space="preserve">“</w:t>
      </w:r>
      <w:r>
        <w:t xml:space="preserve">n</w:t>
      </w:r>
      <w:r>
        <w:t xml:space="preserve">”</w:t>
      </w:r>
      <w:r>
        <w:t xml:space="preserve"> </w:t>
      </w:r>
      <w:r>
        <w:t xml:space="preserve">of</w:t>
      </w:r>
      <w:r>
        <w:t xml:space="preserve"> </w:t>
      </w:r>
      <w:r>
        <w:t xml:space="preserve">“</w:t>
      </w:r>
      <w:r>
        <w:t xml:space="preserve">subhagān</w:t>
      </w:r>
      <w:r>
        <w:t xml:space="preserve">”</w:t>
      </w:r>
      <w:r>
        <w:t xml:space="preserve"> </w:t>
      </w:r>
      <w:r>
        <w:t xml:space="preserve">becomes</w:t>
      </w:r>
      <w:r>
        <w:t xml:space="preserve"> </w:t>
      </w:r>
      <w:r>
        <w:t xml:space="preserve">“</w:t>
      </w:r>
      <w:r>
        <w:t xml:space="preserve">ru</w:t>
      </w:r>
      <w:r>
        <w:t xml:space="preserve">”</w:t>
      </w:r>
      <w:r>
        <w:t xml:space="preserve"> </w:t>
      </w:r>
      <w:r>
        <w:t xml:space="preserve">before a vowel;</w:t>
      </w:r>
      <w:r>
        <w:t xml:space="preserve"> </w:t>
      </w:r>
      <w:r>
        <w:rPr>
          <w:bCs/>
          <w:b/>
        </w:rPr>
        <w:t xml:space="preserve">भोभगोअघोअपूर्वस्य योऽशि</w:t>
      </w:r>
      <w:r>
        <w:t xml:space="preserve"> </w:t>
      </w:r>
      <w:r>
        <w:t xml:space="preserve">(पा. ८-३-१७) the</w:t>
      </w:r>
      <w:r>
        <w:t xml:space="preserve"> </w:t>
      </w:r>
      <w:r>
        <w:t xml:space="preserve">“</w:t>
      </w:r>
      <w:r>
        <w:t xml:space="preserve">y</w:t>
      </w:r>
      <w:r>
        <w:t xml:space="preserve">”</w:t>
      </w:r>
      <w:r>
        <w:t xml:space="preserve">;</w:t>
      </w:r>
      <w:r>
        <w:t xml:space="preserve"> </w:t>
      </w:r>
      <w:r>
        <w:rPr>
          <w:bCs/>
          <w:b/>
        </w:rPr>
        <w:t xml:space="preserve">लोपः शाकल्यस्य</w:t>
      </w:r>
      <w:r>
        <w:t xml:space="preserve"> </w:t>
      </w:r>
      <w:r>
        <w:t xml:space="preserve">(पा. ८-३-१९) the</w:t>
      </w:r>
      <w:r>
        <w:t xml:space="preserve"> </w:t>
      </w:r>
      <w:r>
        <w:t xml:space="preserve">“</w:t>
      </w:r>
      <w:r>
        <w:t xml:space="preserve">y</w:t>
      </w:r>
      <w:r>
        <w:t xml:space="preserve">”</w:t>
      </w:r>
      <w:r>
        <w:t xml:space="preserve"> </w:t>
      </w:r>
      <w:r>
        <w:t xml:space="preserve">is elided; since the elision is</w:t>
      </w:r>
      <w:r>
        <w:t xml:space="preserve"> </w:t>
      </w:r>
      <w:r>
        <w:t xml:space="preserve">“</w:t>
      </w:r>
      <w:r>
        <w:t xml:space="preserve">asiddha,</w:t>
      </w:r>
      <w:r>
        <w:t xml:space="preserve">”</w:t>
      </w:r>
      <w:r>
        <w:t xml:space="preserve"> </w:t>
      </w:r>
      <w:r>
        <w:t xml:space="preserve">no further sandhi occurs;</w:t>
      </w:r>
      <w:r>
        <w:t xml:space="preserve"> </w:t>
      </w:r>
      <w:r>
        <w:rPr>
          <w:bCs/>
          <w:b/>
        </w:rPr>
        <w:t xml:space="preserve">आतोऽटि नित्यम्</w:t>
      </w:r>
      <w:r>
        <w:t xml:space="preserve"> </w:t>
      </w:r>
      <w:r>
        <w:t xml:space="preserve">(पा. ८-३-३) the</w:t>
      </w:r>
      <w:r>
        <w:t xml:space="preserve"> </w:t>
      </w:r>
      <w:r>
        <w:t xml:space="preserve">“</w:t>
      </w:r>
      <w:r>
        <w:t xml:space="preserve">ā</w:t>
      </w:r>
      <w:r>
        <w:t xml:space="preserve">”</w:t>
      </w:r>
      <w:r>
        <w:t xml:space="preserve"> </w:t>
      </w:r>
      <w:r>
        <w:t xml:space="preserve">takes the nasal sign.</w:t>
      </w:r>
      <w:r>
        <w:t xml:space="preserve"> </w:t>
      </w:r>
      <w:r>
        <w:t xml:space="preserve">“</w:t>
      </w:r>
      <w:r>
        <w:t xml:space="preserve">Ariḥ</w:t>
      </w:r>
      <w:r>
        <w:t xml:space="preserve">”</w:t>
      </w:r>
      <w:r>
        <w:t xml:space="preserve"> </w:t>
      </w:r>
      <w:r>
        <w:t xml:space="preserve">—</w:t>
      </w:r>
      <w:r>
        <w:t xml:space="preserve"> </w:t>
      </w:r>
      <w:r>
        <w:t xml:space="preserve">“</w:t>
      </w:r>
      <w:r>
        <w:t xml:space="preserve">vacana-vyatyaya</w:t>
      </w:r>
      <w:r>
        <w:t xml:space="preserve">”</w:t>
      </w:r>
      <w:r>
        <w:t xml:space="preserve"> </w:t>
      </w:r>
      <w:r>
        <w:t xml:space="preserve">(a change of number: singular for plural); from</w:t>
      </w:r>
      <w:r>
        <w:t xml:space="preserve"> </w:t>
      </w:r>
      <w:r>
        <w:t xml:space="preserve">“</w:t>
      </w:r>
      <w:r>
        <w:t xml:space="preserve">ṛ</w:t>
      </w:r>
      <w:r>
        <w:t xml:space="preserve">”</w:t>
      </w:r>
      <w:r>
        <w:t xml:space="preserve"> </w:t>
      </w:r>
      <w:r>
        <w:t xml:space="preserve">with the Uṇādi</w:t>
      </w:r>
      <w:r>
        <w:t xml:space="preserve"> </w:t>
      </w:r>
      <w:r>
        <w:t xml:space="preserve">“</w:t>
      </w:r>
      <w:r>
        <w:t xml:space="preserve">i</w:t>
      </w:r>
      <w:r>
        <w:t xml:space="preserve">”</w:t>
      </w:r>
      <w:r>
        <w:t xml:space="preserve"> </w:t>
      </w:r>
      <w:r>
        <w:t xml:space="preserve">(</w:t>
      </w:r>
      <w:r>
        <w:rPr>
          <w:bCs/>
          <w:b/>
        </w:rPr>
        <w:t xml:space="preserve">अर्त्तेरिः</w:t>
      </w:r>
      <w:r>
        <w:t xml:space="preserve">, उ. सू. ४-१३७; printed</w:t>
      </w:r>
      <w:r>
        <w:t xml:space="preserve"> </w:t>
      </w:r>
      <w:r>
        <w:t xml:space="preserve">“</w:t>
      </w:r>
      <w:r>
        <w:t xml:space="preserve">4-578</w:t>
      </w:r>
      <w:r>
        <w:t xml:space="preserve">”</w:t>
      </w:r>
      <w:r>
        <w:t xml:space="preserve">) with the end-acute by the accent of the affix.</w:t>
      </w:r>
      <w:r>
        <w:t xml:space="preserve"> </w:t>
      </w:r>
      <w:r>
        <w:t xml:space="preserve">“</w:t>
      </w:r>
      <w:r>
        <w:t xml:space="preserve">Vocēyuḥ</w:t>
      </w:r>
      <w:r>
        <w:t xml:space="preserve">”</w:t>
      </w:r>
      <w:r>
        <w:t xml:space="preserve"> </w:t>
      </w:r>
      <w:r>
        <w:t xml:space="preserve">—</w:t>
      </w:r>
      <w:r>
        <w:t xml:space="preserve"> </w:t>
      </w:r>
      <w:r>
        <w:t xml:space="preserve">“</w:t>
      </w:r>
      <w:r>
        <w:t xml:space="preserve">ucyāsuḥ</w:t>
      </w:r>
      <w:r>
        <w:t xml:space="preserve">”</w:t>
      </w:r>
      <w:r>
        <w:t xml:space="preserve">: the root</w:t>
      </w:r>
      <w:r>
        <w:t xml:space="preserve"> </w:t>
      </w:r>
      <w:r>
        <w:t xml:space="preserve">“</w:t>
      </w:r>
      <w:r>
        <w:t xml:space="preserve">vac</w:t>
      </w:r>
      <w:r>
        <w:t xml:space="preserve">”</w:t>
      </w:r>
      <w:r>
        <w:t xml:space="preserve"> </w:t>
      </w:r>
      <w:r>
        <w:t xml:space="preserve">(to speak) in the benedictive (āśīrliṅ),</w:t>
      </w:r>
      <w:r>
        <w:t xml:space="preserve"> </w:t>
      </w:r>
      <w:r>
        <w:t xml:space="preserve">“</w:t>
      </w:r>
      <w:r>
        <w:t xml:space="preserve">jhi → jus</w:t>
      </w:r>
      <w:r>
        <w:t xml:space="preserve">”</w:t>
      </w:r>
      <w:r>
        <w:t xml:space="preserve"> </w:t>
      </w:r>
      <w:r>
        <w:t xml:space="preserve">(</w:t>
      </w:r>
      <w:r>
        <w:rPr>
          <w:bCs/>
          <w:b/>
        </w:rPr>
        <w:t xml:space="preserve">झेर्जुस्</w:t>
      </w:r>
      <w:r>
        <w:t xml:space="preserve">, पा. ३-४-१०८);</w:t>
      </w:r>
      <w:r>
        <w:t xml:space="preserve"> </w:t>
      </w:r>
      <w:r>
        <w:t xml:space="preserve">“</w:t>
      </w:r>
      <w:r>
        <w:t xml:space="preserve">liṅ</w:t>
      </w:r>
      <w:r>
        <w:t xml:space="preserve">”</w:t>
      </w:r>
      <w:r>
        <w:t xml:space="preserve"> </w:t>
      </w:r>
      <w:r>
        <w:t xml:space="preserve">=</w:t>
      </w:r>
      <w:r>
        <w:t xml:space="preserve"> </w:t>
      </w:r>
      <w:r>
        <w:t xml:space="preserve">“</w:t>
      </w:r>
      <w:r>
        <w:t xml:space="preserve">yāsuṭ</w:t>
      </w:r>
      <w:r>
        <w:t xml:space="preserve">”</w:t>
      </w:r>
      <w:r>
        <w:t xml:space="preserve"> </w:t>
      </w:r>
      <w:r>
        <w:t xml:space="preserve">(</w:t>
      </w:r>
      <w:r>
        <w:rPr>
          <w:bCs/>
          <w:b/>
        </w:rPr>
        <w:t xml:space="preserve">लिङः सलोपोऽनन्त्यस्य</w:t>
      </w:r>
      <w:r>
        <w:t xml:space="preserve">, पा. ७-२-७९); the</w:t>
      </w:r>
      <w:r>
        <w:t xml:space="preserve"> </w:t>
      </w:r>
      <w:r>
        <w:t xml:space="preserve">“</w:t>
      </w:r>
      <w:r>
        <w:t xml:space="preserve">ṅit</w:t>
      </w:r>
      <w:r>
        <w:t xml:space="preserve">”</w:t>
      </w:r>
      <w:r>
        <w:t xml:space="preserve"> </w:t>
      </w:r>
      <w:r>
        <w:t xml:space="preserve">“</w:t>
      </w:r>
      <w:r>
        <w:t xml:space="preserve">yāsuṭ</w:t>
      </w:r>
      <w:r>
        <w:t xml:space="preserve">”</w:t>
      </w:r>
      <w:r>
        <w:t xml:space="preserve"> </w:t>
      </w:r>
      <w:r>
        <w:t xml:space="preserve">is acute by</w:t>
      </w:r>
      <w:r>
        <w:t xml:space="preserve"> </w:t>
      </w:r>
      <w:r>
        <w:rPr>
          <w:bCs/>
          <w:b/>
        </w:rPr>
        <w:t xml:space="preserve">यासुट् परस्मैपदेषूदात्तो ङिच्च</w:t>
      </w:r>
      <w:r>
        <w:t xml:space="preserve"> </w:t>
      </w:r>
      <w:r>
        <w:t xml:space="preserve">(पा. ३-४-१०३); the</w:t>
      </w:r>
      <w:r>
        <w:t xml:space="preserve"> </w:t>
      </w:r>
      <w:r>
        <w:t xml:space="preserve">“</w:t>
      </w:r>
      <w:r>
        <w:t xml:space="preserve">ṅit</w:t>
      </w:r>
      <w:r>
        <w:t xml:space="preserve">”</w:t>
      </w:r>
      <w:r>
        <w:t xml:space="preserve"> </w:t>
      </w:r>
      <w:r>
        <w:t xml:space="preserve">bars guṇa and, by</w:t>
      </w:r>
      <w:r>
        <w:t xml:space="preserve"> </w:t>
      </w:r>
      <w:r>
        <w:rPr>
          <w:bCs/>
          <w:b/>
        </w:rPr>
        <w:t xml:space="preserve">वचिस्वपियजादीनां किति</w:t>
      </w:r>
      <w:r>
        <w:t xml:space="preserve"> </w:t>
      </w:r>
      <w:r>
        <w:t xml:space="preserve">(पा. ६-१-१५), the</w:t>
      </w:r>
      <w:r>
        <w:t xml:space="preserve"> </w:t>
      </w:r>
      <w:r>
        <w:t xml:space="preserve">“</w:t>
      </w:r>
      <w:r>
        <w:t xml:space="preserve">samprasāraṇa</w:t>
      </w:r>
      <w:r>
        <w:t xml:space="preserve">”</w:t>
      </w:r>
      <w:r>
        <w:t xml:space="preserve"> </w:t>
      </w:r>
      <w:r>
        <w:t xml:space="preserve">→</w:t>
      </w:r>
      <w:r>
        <w:t xml:space="preserve"> </w:t>
      </w:r>
      <w:r>
        <w:t xml:space="preserve">“</w:t>
      </w:r>
      <w:r>
        <w:t xml:space="preserve">uc</w:t>
      </w:r>
      <w:r>
        <w:t xml:space="preserve">”</w:t>
      </w:r>
      <w:r>
        <w:t xml:space="preserve">; by Vedic</w:t>
      </w:r>
      <w:r>
        <w:t xml:space="preserve"> </w:t>
      </w:r>
      <w:r>
        <w:rPr>
          <w:bCs/>
          <w:b/>
        </w:rPr>
        <w:t xml:space="preserve">छन्दस्युभयथा</w:t>
      </w:r>
      <w:r>
        <w:t xml:space="preserve"> </w:t>
      </w:r>
      <w:r>
        <w:t xml:space="preserve">(पा. ३-४-११७) the augment</w:t>
      </w:r>
      <w:r>
        <w:t xml:space="preserve"> </w:t>
      </w:r>
      <w:r>
        <w:t xml:space="preserve">“</w:t>
      </w:r>
      <w:r>
        <w:t xml:space="preserve">āṭ</w:t>
      </w:r>
      <w:r>
        <w:t xml:space="preserve">”</w:t>
      </w:r>
      <w:r>
        <w:t xml:space="preserve"> </w:t>
      </w:r>
      <w:r>
        <w:t xml:space="preserve">is absent;</w:t>
      </w:r>
      <w:r>
        <w:t xml:space="preserve"> </w:t>
      </w:r>
      <w:r>
        <w:t xml:space="preserve">“</w:t>
      </w:r>
      <w:r>
        <w:t xml:space="preserve">s</w:t>
      </w:r>
      <w:r>
        <w:t xml:space="preserve">”</w:t>
      </w:r>
      <w:r>
        <w:t xml:space="preserve"> </w:t>
      </w:r>
      <w:r>
        <w:t xml:space="preserve">is elided (</w:t>
      </w:r>
      <w:r>
        <w:rPr>
          <w:bCs/>
          <w:b/>
        </w:rPr>
        <w:t xml:space="preserve">लोपोऽनन्त्यस्य</w:t>
      </w:r>
      <w:r>
        <w:t xml:space="preserve">, as printed); the accents conflict, the</w:t>
      </w:r>
      <w:r>
        <w:t xml:space="preserve"> </w:t>
      </w:r>
      <w:r>
        <w:t xml:space="preserve">“</w:t>
      </w:r>
      <w:r>
        <w:t xml:space="preserve">e</w:t>
      </w:r>
      <w:r>
        <w:t xml:space="preserve">”</w:t>
      </w:r>
      <w:r>
        <w:t xml:space="preserve"> </w:t>
      </w:r>
      <w:r>
        <w:t xml:space="preserve">of the</w:t>
      </w:r>
      <w:r>
        <w:t xml:space="preserve"> </w:t>
      </w:r>
      <w:r>
        <w:t xml:space="preserve">“</w:t>
      </w:r>
      <w:r>
        <w:t xml:space="preserve">yāsuṭ</w:t>
      </w:r>
      <w:r>
        <w:t xml:space="preserve">”</w:t>
      </w:r>
      <w:r>
        <w:t xml:space="preserve"> </w:t>
      </w:r>
      <w:r>
        <w:t xml:space="preserve">being the single substitute of</w:t>
      </w:r>
      <w:r>
        <w:t xml:space="preserve"> </w:t>
      </w:r>
      <w:r>
        <w:t xml:space="preserve">“</w:t>
      </w:r>
      <w:r>
        <w:t xml:space="preserve">a + ī</w:t>
      </w:r>
      <w:r>
        <w:t xml:space="preserve">”</w:t>
      </w:r>
      <w:r>
        <w:t xml:space="preserve"> </w:t>
      </w:r>
      <w:r>
        <w:t xml:space="preserve">is acute (</w:t>
      </w:r>
      <w:r>
        <w:rPr>
          <w:bCs/>
          <w:b/>
        </w:rPr>
        <w:t xml:space="preserve">एकादेश उदात्तेनोदात्तः</w:t>
      </w:r>
      <w:r>
        <w:t xml:space="preserve">, पा. ८-२-५).</w:t>
      </w:r>
      <w:r>
        <w:t xml:space="preserve"> </w:t>
      </w:r>
      <w:r>
        <w:t xml:space="preserve">“</w:t>
      </w:r>
      <w:r>
        <w:t xml:space="preserve">Dasma</w:t>
      </w:r>
      <w:r>
        <w:t xml:space="preserve">”</w:t>
      </w:r>
      <w:r>
        <w:t xml:space="preserve"> </w:t>
      </w:r>
      <w:r>
        <w:t xml:space="preserve">— from</w:t>
      </w:r>
      <w:r>
        <w:t xml:space="preserve"> </w:t>
      </w:r>
      <w:r>
        <w:t xml:space="preserve">“</w:t>
      </w:r>
      <w:r>
        <w:t xml:space="preserve">dasu upakṣaye</w:t>
      </w:r>
      <w:r>
        <w:t xml:space="preserve">”</w:t>
      </w:r>
      <w:r>
        <w:t xml:space="preserve"> </w:t>
      </w:r>
      <w:r>
        <w:t xml:space="preserve">(to waste away) by the Uṇādi</w:t>
      </w:r>
      <w:r>
        <w:t xml:space="preserve"> </w:t>
      </w:r>
      <w:r>
        <w:rPr>
          <w:bCs/>
          <w:b/>
        </w:rPr>
        <w:t xml:space="preserve">दसेर्णिच्च…मुक्</w:t>
      </w:r>
      <w:r>
        <w:t xml:space="preserve"> </w:t>
      </w:r>
      <w:r>
        <w:t xml:space="preserve">(उ. सू. १-१४४) with the augment</w:t>
      </w:r>
      <w:r>
        <w:t xml:space="preserve"> </w:t>
      </w:r>
      <w:r>
        <w:t xml:space="preserve">“</w:t>
      </w:r>
      <w:r>
        <w:t xml:space="preserve">muk</w:t>
      </w:r>
      <w:r>
        <w:t xml:space="preserve">”</w:t>
      </w:r>
      <w:r>
        <w:t xml:space="preserve">; being a vocative standing after a pada it loses its accent (</w:t>
      </w:r>
      <w:r>
        <w:rPr>
          <w:bCs/>
          <w:b/>
        </w:rPr>
        <w:t xml:space="preserve">आमन्त्रितं पूर्वमविद्यमानवत्</w:t>
      </w:r>
      <w:r>
        <w:t xml:space="preserve"> </w:t>
      </w:r>
      <w:r>
        <w:t xml:space="preserve">and</w:t>
      </w:r>
      <w:r>
        <w:t xml:space="preserve"> </w:t>
      </w:r>
      <w:r>
        <w:rPr>
          <w:bCs/>
          <w:b/>
        </w:rPr>
        <w:t xml:space="preserve">तिङ्ङतिङः</w:t>
      </w:r>
      <w:r>
        <w:t xml:space="preserve">).</w:t>
      </w:r>
      <w:r>
        <w:t xml:space="preserve"> </w:t>
      </w:r>
      <w:r>
        <w:t xml:space="preserve">“</w:t>
      </w:r>
      <w:r>
        <w:t xml:space="preserve">Kṛṣṭayaḥ</w:t>
      </w:r>
      <w:r>
        <w:t xml:space="preserve">”</w:t>
      </w:r>
      <w:r>
        <w:t xml:space="preserve"> </w:t>
      </w:r>
      <w:r>
        <w:t xml:space="preserve">— by</w:t>
      </w:r>
      <w:r>
        <w:t xml:space="preserve"> </w:t>
      </w:r>
      <w:r>
        <w:rPr>
          <w:bCs/>
          <w:b/>
        </w:rPr>
        <w:t xml:space="preserve">क्तिच्क्तौ च संज्ञायाम्</w:t>
      </w:r>
      <w:r>
        <w:t xml:space="preserve"> </w:t>
      </w:r>
      <w:r>
        <w:t xml:space="preserve">(पा. ३-३-१७४) the affix</w:t>
      </w:r>
      <w:r>
        <w:t xml:space="preserve"> </w:t>
      </w:r>
      <w:r>
        <w:t xml:space="preserve">“</w:t>
      </w:r>
      <w:r>
        <w:t xml:space="preserve">ktic</w:t>
      </w:r>
      <w:r>
        <w:t xml:space="preserve">”</w:t>
      </w:r>
      <w:r>
        <w:t xml:space="preserve"> </w:t>
      </w:r>
      <w:r>
        <w:t xml:space="preserve">in the sense of a name; since it is</w:t>
      </w:r>
      <w:r>
        <w:t xml:space="preserve"> </w:t>
      </w:r>
      <w:r>
        <w:t xml:space="preserve">“</w:t>
      </w:r>
      <w:r>
        <w:t xml:space="preserve">c</w:t>
      </w:r>
      <w:r>
        <w:t xml:space="preserve">”</w:t>
      </w:r>
      <w:r>
        <w:t xml:space="preserve">-marked, it is end-acute.</w:t>
      </w:r>
      <w:r>
        <w:t xml:space="preserve"> </w:t>
      </w:r>
      <w:r>
        <w:t xml:space="preserve">“</w:t>
      </w:r>
      <w:r>
        <w:t xml:space="preserve">Syāma</w:t>
      </w:r>
      <w:r>
        <w:t xml:space="preserve">”</w:t>
      </w:r>
      <w:r>
        <w:t xml:space="preserve"> </w:t>
      </w:r>
      <w:r>
        <w:t xml:space="preserve">—</w:t>
      </w:r>
      <w:r>
        <w:t xml:space="preserve"> </w:t>
      </w:r>
      <w:r>
        <w:t xml:space="preserve">“</w:t>
      </w:r>
      <w:r>
        <w:t xml:space="preserve">as bhuvi</w:t>
      </w:r>
      <w:r>
        <w:t xml:space="preserve">”</w:t>
      </w:r>
      <w:r>
        <w:t xml:space="preserve"> </w:t>
      </w:r>
      <w:r>
        <w:t xml:space="preserve">(to be); the</w:t>
      </w:r>
      <w:r>
        <w:t xml:space="preserve"> </w:t>
      </w:r>
      <w:r>
        <w:t xml:space="preserve">“</w:t>
      </w:r>
      <w:r>
        <w:t xml:space="preserve">a</w:t>
      </w:r>
      <w:r>
        <w:t xml:space="preserve">”</w:t>
      </w:r>
      <w:r>
        <w:t xml:space="preserve"> </w:t>
      </w:r>
      <w:r>
        <w:t xml:space="preserve">of</w:t>
      </w:r>
      <w:r>
        <w:t xml:space="preserve"> </w:t>
      </w:r>
      <w:r>
        <w:t xml:space="preserve">“</w:t>
      </w:r>
      <w:r>
        <w:t xml:space="preserve">as</w:t>
      </w:r>
      <w:r>
        <w:t xml:space="preserve">”</w:t>
      </w:r>
      <w:r>
        <w:t xml:space="preserve"> </w:t>
      </w:r>
      <w:r>
        <w:t xml:space="preserve">is elided (</w:t>
      </w:r>
      <w:r>
        <w:rPr>
          <w:bCs/>
          <w:b/>
        </w:rPr>
        <w:t xml:space="preserve">श्नसोरल्लोपः</w:t>
      </w:r>
      <w:r>
        <w:t xml:space="preserve">, पा. ६-४-१११);</w:t>
      </w:r>
      <w:r>
        <w:t xml:space="preserve"> </w:t>
      </w:r>
      <w:r>
        <w:t xml:space="preserve">“</w:t>
      </w:r>
      <w:r>
        <w:t xml:space="preserve">yāsuṭ</w:t>
      </w:r>
      <w:r>
        <w:t xml:space="preserve">”</w:t>
      </w:r>
      <w:r>
        <w:t xml:space="preserve"> </w:t>
      </w:r>
      <w:r>
        <w:t xml:space="preserve">is acute; the word stands at the beginning of the pāda, so no nighāta.</w:t>
      </w:r>
      <w:r>
        <w:t xml:space="preserve"> </w:t>
      </w:r>
      <w:r>
        <w:t xml:space="preserve">“</w:t>
      </w:r>
      <w:r>
        <w:t xml:space="preserve">Śarmaṇi</w:t>
      </w:r>
      <w:r>
        <w:t xml:space="preserve">”</w:t>
      </w:r>
      <w:r>
        <w:t xml:space="preserve"> </w:t>
      </w:r>
      <w:r>
        <w:t xml:space="preserve">—</w:t>
      </w:r>
      <w:r>
        <w:t xml:space="preserve"> </w:t>
      </w:r>
      <w:r>
        <w:t xml:space="preserve">“</w:t>
      </w:r>
      <w:r>
        <w:t xml:space="preserve">śṝ hiṃsāyām</w:t>
      </w:r>
      <w:r>
        <w:t xml:space="preserve">”</w:t>
      </w:r>
      <w:r>
        <w:t xml:space="preserve">;</w:t>
      </w:r>
      <w:r>
        <w:t xml:space="preserve"> </w:t>
      </w:r>
      <w:r>
        <w:t xml:space="preserve">“</w:t>
      </w:r>
      <w:r>
        <w:t xml:space="preserve">hinasti duḥkham iti śarma</w:t>
      </w:r>
      <w:r>
        <w:t xml:space="preserve">”</w:t>
      </w:r>
      <w:r>
        <w:t xml:space="preserve"> </w:t>
      </w:r>
      <w:r>
        <w:t xml:space="preserve">(</w:t>
      </w:r>
      <w:r>
        <w:t xml:space="preserve">“</w:t>
      </w:r>
      <w:r>
        <w:t xml:space="preserve">that which destroys suffering</w:t>
      </w:r>
      <w:r>
        <w:t xml:space="preserve">”</w:t>
      </w:r>
      <w:r>
        <w:t xml:space="preserve">); by</w:t>
      </w:r>
      <w:r>
        <w:t xml:space="preserve"> </w:t>
      </w:r>
      <w:r>
        <w:rPr>
          <w:bCs/>
          <w:b/>
        </w:rPr>
        <w:t xml:space="preserve">अन्येभ्योऽपि दृश्यन्ते</w:t>
      </w:r>
      <w:r>
        <w:t xml:space="preserve"> </w:t>
      </w:r>
      <w:r>
        <w:t xml:space="preserve">(पा. ३-२-७५)</w:t>
      </w:r>
      <w:r>
        <w:t xml:space="preserve"> </w:t>
      </w:r>
      <w:r>
        <w:t xml:space="preserve">“</w:t>
      </w:r>
      <w:r>
        <w:t xml:space="preserve">manin</w:t>
      </w:r>
      <w:r>
        <w:t xml:space="preserve">”</w:t>
      </w:r>
      <w:r>
        <w:t xml:space="preserve"> </w:t>
      </w:r>
      <w:r>
        <w:t xml:space="preserve">is added;</w:t>
      </w:r>
      <w:r>
        <w:t xml:space="preserve"> </w:t>
      </w:r>
      <w:r>
        <w:t xml:space="preserve">“</w:t>
      </w:r>
      <w:r>
        <w:t xml:space="preserve">iṭ</w:t>
      </w:r>
      <w:r>
        <w:t xml:space="preserve">”</w:t>
      </w:r>
      <w:r>
        <w:t xml:space="preserve"> </w:t>
      </w:r>
      <w:r>
        <w:t xml:space="preserve">is barred (</w:t>
      </w:r>
      <w:r>
        <w:rPr>
          <w:bCs/>
          <w:b/>
        </w:rPr>
        <w:t xml:space="preserve">नेड्वशि कृति</w:t>
      </w:r>
      <w:r>
        <w:t xml:space="preserve">, पा. ७-२-८); the</w:t>
      </w:r>
      <w:r>
        <w:t xml:space="preserve"> </w:t>
      </w:r>
      <w:r>
        <w:t xml:space="preserve">“</w:t>
      </w:r>
      <w:r>
        <w:t xml:space="preserve">n</w:t>
      </w:r>
      <w:r>
        <w:t xml:space="preserve">”</w:t>
      </w:r>
      <w:r>
        <w:t xml:space="preserve">-marked affix gives first-syllable acute. ॥६॥</w:t>
      </w:r>
    </w:p>
    <w:p>
      <w:pPr>
        <w:pStyle w:val="BodyText"/>
      </w:pPr>
      <w:r>
        <w:rPr>
          <w:bCs/>
          <w:b/>
        </w:rPr>
        <w:t xml:space="preserve">॥ Prati-padārthaḥ ॥</w:t>
      </w:r>
      <w:r>
        <w:t xml:space="preserve"> </w:t>
      </w:r>
      <w:r>
        <w:rPr>
          <w:iCs/>
          <w:i/>
        </w:rPr>
        <w:t xml:space="preserve">(Kannada, translated)</w:t>
      </w:r>
    </w:p>
    <w:p>
      <w:pPr>
        <w:pStyle w:val="BodyText"/>
      </w:pPr>
      <w:r>
        <w:rPr>
          <w:bCs/>
          <w:b/>
        </w:rPr>
        <w:t xml:space="preserve">(हे) दस्म (he dasma)</w:t>
      </w:r>
      <w:r>
        <w:t xml:space="preserve"> </w:t>
      </w:r>
      <w:r>
        <w:t xml:space="preserve">— O Indra, destroyer of enemies |</w:t>
      </w:r>
      <w:r>
        <w:t xml:space="preserve"> </w:t>
      </w:r>
      <w:r>
        <w:rPr>
          <w:bCs/>
          <w:b/>
        </w:rPr>
        <w:t xml:space="preserve">(तव अनुग्रहात्) (tava anugrahāt)</w:t>
      </w:r>
      <w:r>
        <w:t xml:space="preserve"> </w:t>
      </w:r>
      <w:r>
        <w:t xml:space="preserve">— by your grace |</w:t>
      </w:r>
      <w:r>
        <w:t xml:space="preserve"> </w:t>
      </w:r>
      <w:r>
        <w:rPr>
          <w:bCs/>
          <w:b/>
        </w:rPr>
        <w:t xml:space="preserve">अरिः उत (ariḥ uta)</w:t>
      </w:r>
      <w:r>
        <w:t xml:space="preserve"> </w:t>
      </w:r>
      <w:r>
        <w:t xml:space="preserve">— even enemies |</w:t>
      </w:r>
      <w:r>
        <w:t xml:space="preserve"> </w:t>
      </w:r>
      <w:r>
        <w:rPr>
          <w:bCs/>
          <w:b/>
        </w:rPr>
        <w:t xml:space="preserve">नः (naḥ)</w:t>
      </w:r>
      <w:r>
        <w:t xml:space="preserve"> </w:t>
      </w:r>
      <w:r>
        <w:t xml:space="preserve">— us |</w:t>
      </w:r>
      <w:r>
        <w:t xml:space="preserve"> </w:t>
      </w:r>
      <w:r>
        <w:rPr>
          <w:bCs/>
          <w:b/>
        </w:rPr>
        <w:t xml:space="preserve">सुभगान् (subhagān)</w:t>
      </w:r>
      <w:r>
        <w:t xml:space="preserve"> </w:t>
      </w:r>
      <w:r>
        <w:t xml:space="preserve">— as wealthy, or as lordly |</w:t>
      </w:r>
      <w:r>
        <w:t xml:space="preserve"> </w:t>
      </w:r>
      <w:r>
        <w:rPr>
          <w:bCs/>
          <w:b/>
        </w:rPr>
        <w:t xml:space="preserve">वोचेयुः (vocēyuḥ)</w:t>
      </w:r>
      <w:r>
        <w:t xml:space="preserve"> </w:t>
      </w:r>
      <w:r>
        <w:t xml:space="preserve">— may they say |</w:t>
      </w:r>
      <w:r>
        <w:t xml:space="preserve"> </w:t>
      </w:r>
      <w:r>
        <w:rPr>
          <w:bCs/>
          <w:b/>
        </w:rPr>
        <w:t xml:space="preserve">कृष्टयः (kṛṣṭayaḥ)</w:t>
      </w:r>
      <w:r>
        <w:t xml:space="preserve"> </w:t>
      </w:r>
      <w:r>
        <w:t xml:space="preserve">— (when our enemies themselves speak well of us, what need to say that) the men who are our friends (say it) |</w:t>
      </w:r>
      <w:r>
        <w:t xml:space="preserve"> </w:t>
      </w:r>
      <w:r>
        <w:rPr>
          <w:bCs/>
          <w:b/>
        </w:rPr>
        <w:t xml:space="preserve">इन्द्रस्य (indrasya)</w:t>
      </w:r>
      <w:r>
        <w:t xml:space="preserve"> </w:t>
      </w:r>
      <w:r>
        <w:t xml:space="preserve">— Indra’s (that arises from his favour) |</w:t>
      </w:r>
      <w:r>
        <w:t xml:space="preserve"> </w:t>
      </w:r>
      <w:r>
        <w:rPr>
          <w:bCs/>
          <w:b/>
        </w:rPr>
        <w:t xml:space="preserve">शर्मणि (śarmaṇi)</w:t>
      </w:r>
      <w:r>
        <w:t xml:space="preserve"> </w:t>
      </w:r>
      <w:r>
        <w:t xml:space="preserve">— in happiness |</w:t>
      </w:r>
      <w:r>
        <w:t xml:space="preserve"> </w:t>
      </w:r>
      <w:r>
        <w:rPr>
          <w:bCs/>
          <w:b/>
        </w:rPr>
        <w:t xml:space="preserve">स्याम इत् (syāma it)</w:t>
      </w:r>
      <w:r>
        <w:t xml:space="preserve"> </w:t>
      </w:r>
      <w:r>
        <w:t xml:space="preserve">— we shall indeed be.</w:t>
      </w:r>
    </w:p>
    <w:bookmarkEnd w:id="143"/>
    <w:bookmarkStart w:id="144" w:name="X569fbf8838d3f271d6657812b211e7f7eca44ad"/>
    <w:p>
      <w:pPr>
        <w:pStyle w:val="Heading3"/>
      </w:pPr>
      <w:r>
        <w:t xml:space="preserve">Page 113 — Rik 4.6: Bhāvārtha; English rendering; Special topics (opening)</w:t>
      </w:r>
    </w:p>
    <w:p>
      <w:pPr>
        <w:pStyle w:val="FirstParagraph"/>
      </w:pPr>
      <w:r>
        <w:rPr>
          <w:iCs/>
          <w:i/>
        </w:rPr>
        <w:t xml:space="preserve">(Page header:</w:t>
      </w:r>
      <w:r>
        <w:rPr>
          <w:iCs/>
          <w:i/>
        </w:rPr>
        <w:t xml:space="preserve"> </w:t>
      </w:r>
      <w:r>
        <w:rPr>
          <w:iCs/>
          <w:i/>
        </w:rPr>
        <w:t xml:space="preserve">“</w:t>
      </w:r>
      <w:r>
        <w:rPr>
          <w:iCs/>
          <w:i/>
        </w:rPr>
        <w:t xml:space="preserve">Aṣṭaka 1, Adhyāya 1, Varga 8 · Ṛgveda-saṃhitā.</w:t>
      </w:r>
      <w:r>
        <w:rPr>
          <w:iCs/>
          <w:i/>
        </w:rPr>
        <w:t xml:space="preserve">”</w:t>
      </w:r>
      <w:r>
        <w:rPr>
          <w:iCs/>
          <w:i/>
        </w:rPr>
        <w:t xml:space="preserve"> </w:t>
      </w:r>
      <w:r>
        <w:rPr>
          <w:iCs/>
          <w:i/>
        </w:rPr>
        <w:t xml:space="preserve">English as printed in the source; Ṛg-vedic reference-numbers in small Kannada numerals are marked [?], and most of the list in the</w:t>
      </w:r>
      <w:r>
        <w:rPr>
          <w:iCs/>
          <w:i/>
        </w:rPr>
        <w:t xml:space="preserve"> </w:t>
      </w:r>
      <w:r>
        <w:rPr>
          <w:iCs/>
          <w:i/>
        </w:rPr>
        <w:t xml:space="preserve">“</w:t>
      </w:r>
      <w:r>
        <w:rPr>
          <w:iCs/>
          <w:i/>
        </w:rPr>
        <w:t xml:space="preserve">dasma</w:t>
      </w:r>
      <w:r>
        <w:rPr>
          <w:iCs/>
          <w:i/>
        </w:rPr>
        <w:t xml:space="preserve">”</w:t>
      </w:r>
      <w:r>
        <w:rPr>
          <w:iCs/>
          <w:i/>
        </w:rPr>
        <w:t xml:space="preserve"> </w:t>
      </w:r>
      <w:r>
        <w:rPr>
          <w:iCs/>
          <w:i/>
        </w:rPr>
        <w:t xml:space="preserve">paragraph I could not read reliably.)</w:t>
      </w:r>
    </w:p>
    <w:p>
      <w:pPr>
        <w:pStyle w:val="BodyText"/>
      </w:pPr>
      <w:r>
        <w:rPr>
          <w:bCs/>
          <w:b/>
        </w:rPr>
        <w:t xml:space="preserve">॥ Bhāvārthaḥ ॥</w:t>
      </w:r>
      <w:r>
        <w:t xml:space="preserve"> </w:t>
      </w:r>
      <w:r>
        <w:rPr>
          <w:iCs/>
          <w:i/>
        </w:rPr>
        <w:t xml:space="preserve">(Kannada, translated)</w:t>
      </w:r>
    </w:p>
    <w:p>
      <w:pPr>
        <w:pStyle w:val="BodyText"/>
      </w:pPr>
      <w:r>
        <w:t xml:space="preserve">O Indra, destroyer of enemies! By your favour, even our enemies will praise us, saying that we are wealthy and lordly. If it is so, what wonder that our other friends, the men of our own side, should say it? Besides this, by your (Indra’s) grace we shall be happy indeed.</w:t>
      </w:r>
    </w:p>
    <w:p>
      <w:pPr>
        <w:pStyle w:val="BodyText"/>
      </w:pPr>
      <w:r>
        <w:rPr>
          <w:bCs/>
          <w:b/>
        </w:rPr>
        <w:t xml:space="preserve">English Translation</w:t>
      </w:r>
      <w:r>
        <w:t xml:space="preserve"> </w:t>
      </w:r>
      <w:r>
        <w:rPr>
          <w:iCs/>
          <w:i/>
        </w:rPr>
        <w:t xml:space="preserve">(printed in English in the source itself):</w:t>
      </w:r>
    </w:p>
    <w:p>
      <w:pPr>
        <w:pStyle w:val="BodyText"/>
      </w:pPr>
      <w:r>
        <w:t xml:space="preserve">“</w:t>
      </w:r>
      <w:r>
        <w:t xml:space="preserve">Destroyer of foes, let our enemies say we are prosperous; let men (congratulate us); may we ever live in happiness through your (favour).</w:t>
      </w:r>
      <w:r>
        <w:t xml:space="preserve">”</w:t>
      </w:r>
    </w:p>
    <w:p>
      <w:pPr>
        <w:pStyle w:val="BodyText"/>
      </w:pPr>
      <w:r>
        <w:rPr>
          <w:bCs/>
          <w:b/>
        </w:rPr>
        <w:t xml:space="preserve">॥ Viśeṣa-viṣayagaḷu (Special Topics) ॥</w:t>
      </w:r>
    </w:p>
    <w:p>
      <w:pPr>
        <w:pStyle w:val="BodyText"/>
      </w:pPr>
      <w:r>
        <w:t xml:space="preserve">The meaning of this Ṛk is, in a small measure, similar to that of the preceding Ṛk; that is, the chief import of the two Ṛks is the same.</w:t>
      </w:r>
    </w:p>
    <w:p>
      <w:pPr>
        <w:pStyle w:val="BodyText"/>
      </w:pPr>
      <w:r>
        <w:rPr>
          <w:bCs/>
          <w:b/>
        </w:rPr>
        <w:t xml:space="preserve">सुभगान् (subhagān)</w:t>
      </w:r>
      <w:r>
        <w:t xml:space="preserve"> </w:t>
      </w:r>
      <w:r>
        <w:t xml:space="preserve">— Since the word</w:t>
      </w:r>
      <w:r>
        <w:t xml:space="preserve"> </w:t>
      </w:r>
      <w:r>
        <w:t xml:space="preserve">“</w:t>
      </w:r>
      <w:r>
        <w:t xml:space="preserve">bhaga</w:t>
      </w:r>
      <w:r>
        <w:t xml:space="preserve">”</w:t>
      </w:r>
      <w:r>
        <w:t xml:space="preserve"> </w:t>
      </w:r>
      <w:r>
        <w:t xml:space="preserve">is read among the twenty-eight words that indicate wealth, beginning with</w:t>
      </w:r>
      <w:r>
        <w:t xml:space="preserve"> </w:t>
      </w:r>
      <w:r>
        <w:t xml:space="preserve">“</w:t>
      </w:r>
      <w:r>
        <w:t xml:space="preserve">magha</w:t>
      </w:r>
      <w:r>
        <w:t xml:space="preserve">”</w:t>
      </w:r>
      <w:r>
        <w:t xml:space="preserve"> </w:t>
      </w:r>
      <w:r>
        <w:t xml:space="preserve">(Ni. 2-1[?]),</w:t>
      </w:r>
      <w:r>
        <w:t xml:space="preserve"> </w:t>
      </w:r>
      <w:r>
        <w:t xml:space="preserve">“</w:t>
      </w:r>
      <w:r>
        <w:t xml:space="preserve">bhaga</w:t>
      </w:r>
      <w:r>
        <w:t xml:space="preserve">”</w:t>
      </w:r>
      <w:r>
        <w:t xml:space="preserve"> </w:t>
      </w:r>
      <w:r>
        <w:t xml:space="preserve">here means</w:t>
      </w:r>
      <w:r>
        <w:t xml:space="preserve"> </w:t>
      </w:r>
      <w:r>
        <w:t xml:space="preserve">“</w:t>
      </w:r>
      <w:r>
        <w:t xml:space="preserve">wealth.</w:t>
      </w:r>
      <w:r>
        <w:t xml:space="preserve">”</w:t>
      </w:r>
      <w:r>
        <w:t xml:space="preserve"> </w:t>
      </w:r>
      <w:r>
        <w:t xml:space="preserve">“</w:t>
      </w:r>
      <w:r>
        <w:t xml:space="preserve">Subhagān</w:t>
      </w:r>
      <w:r>
        <w:t xml:space="preserve">”</w:t>
      </w:r>
      <w:r>
        <w:t xml:space="preserve"> </w:t>
      </w:r>
      <w:r>
        <w:t xml:space="preserve">means</w:t>
      </w:r>
      <w:r>
        <w:t xml:space="preserve"> </w:t>
      </w:r>
      <w:r>
        <w:t xml:space="preserve">“</w:t>
      </w:r>
      <w:r>
        <w:t xml:space="preserve">those who have abundant wealth.</w:t>
      </w:r>
      <w:r>
        <w:t xml:space="preserve">”</w:t>
      </w:r>
    </w:p>
    <w:p>
      <w:pPr>
        <w:pStyle w:val="BodyText"/>
      </w:pPr>
      <w:r>
        <w:rPr>
          <w:bCs/>
          <w:b/>
        </w:rPr>
        <w:t xml:space="preserve">अरिः (ariḥ)</w:t>
      </w:r>
      <w:r>
        <w:t xml:space="preserve"> </w:t>
      </w:r>
      <w:r>
        <w:t xml:space="preserve">— Here the singular is used in the sense of the plural. In ordinary speech, when we say</w:t>
      </w:r>
      <w:r>
        <w:t xml:space="preserve"> </w:t>
      </w:r>
      <w:r>
        <w:t xml:space="preserve">“</w:t>
      </w:r>
      <w:r>
        <w:t xml:space="preserve">enemy</w:t>
      </w:r>
      <w:r>
        <w:t xml:space="preserve">”</w:t>
      </w:r>
      <w:r>
        <w:t xml:space="preserve"> </w:t>
      </w:r>
      <w:r>
        <w:t xml:space="preserve">(the source’s English), it is customary to mean the people belonging to the side of our enemy, those who are not our well-wishers. In the same way, here, though the singular</w:t>
      </w:r>
      <w:r>
        <w:t xml:space="preserve"> </w:t>
      </w:r>
      <w:r>
        <w:t xml:space="preserve">“</w:t>
      </w:r>
      <w:r>
        <w:t xml:space="preserve">ariḥ — enemy</w:t>
      </w:r>
      <w:r>
        <w:t xml:space="preserve">”</w:t>
      </w:r>
      <w:r>
        <w:t xml:space="preserve"> </w:t>
      </w:r>
      <w:r>
        <w:t xml:space="preserve">is used, it must be taken in the plural sense —</w:t>
      </w:r>
      <w:r>
        <w:t xml:space="preserve"> </w:t>
      </w:r>
      <w:r>
        <w:t xml:space="preserve">“</w:t>
      </w:r>
      <w:r>
        <w:t xml:space="preserve">our enemies, those who are ill-disposed to us.</w:t>
      </w:r>
      <w:r>
        <w:t xml:space="preserve">”</w:t>
      </w:r>
    </w:p>
    <w:p>
      <w:pPr>
        <w:pStyle w:val="BodyText"/>
      </w:pPr>
      <w:r>
        <w:rPr>
          <w:bCs/>
          <w:b/>
        </w:rPr>
        <w:t xml:space="preserve">दस्म (dasma)</w:t>
      </w:r>
      <w:r>
        <w:t xml:space="preserve"> </w:t>
      </w:r>
      <w:r>
        <w:t xml:space="preserve">— For this word the Bhāṣyakāra says</w:t>
      </w:r>
      <w:r>
        <w:t xml:space="preserve"> </w:t>
      </w:r>
      <w:r>
        <w:t xml:space="preserve">“</w:t>
      </w:r>
      <w:r>
        <w:t xml:space="preserve">śatrūṇām upakṣapayitaḥ</w:t>
      </w:r>
      <w:r>
        <w:t xml:space="preserve">”</w:t>
      </w:r>
      <w:r>
        <w:t xml:space="preserve"> </w:t>
      </w:r>
      <w:r>
        <w:t xml:space="preserve">and explains it as</w:t>
      </w:r>
      <w:r>
        <w:t xml:space="preserve"> </w:t>
      </w:r>
      <w:r>
        <w:t xml:space="preserve">“</w:t>
      </w:r>
      <w:r>
        <w:t xml:space="preserve">destroyer of enemies.</w:t>
      </w:r>
      <w:r>
        <w:t xml:space="preserve">”</w:t>
      </w:r>
      <w:r>
        <w:t xml:space="preserve"> </w:t>
      </w:r>
      <w:r>
        <w:t xml:space="preserve">The form is derived from the root</w:t>
      </w:r>
      <w:r>
        <w:t xml:space="preserve"> </w:t>
      </w:r>
      <w:r>
        <w:t xml:space="preserve">“</w:t>
      </w:r>
      <w:r>
        <w:t xml:space="preserve">dasu upakṣaye.</w:t>
      </w:r>
      <w:r>
        <w:t xml:space="preserve">”</w:t>
      </w:r>
      <w:r>
        <w:t xml:space="preserve"> </w:t>
      </w:r>
      <w:r>
        <w:rPr>
          <w:bCs/>
          <w:b/>
        </w:rPr>
        <w:t xml:space="preserve">Skandasvāmī</w:t>
      </w:r>
      <w:r>
        <w:t xml:space="preserve"> </w:t>
      </w:r>
      <w:r>
        <w:t xml:space="preserve">explains this word as</w:t>
      </w:r>
      <w:r>
        <w:t xml:space="preserve"> </w:t>
      </w:r>
      <w:r>
        <w:t xml:space="preserve">“</w:t>
      </w:r>
      <w:r>
        <w:t xml:space="preserve">darśanīya</w:t>
      </w:r>
      <w:r>
        <w:t xml:space="preserve">”</w:t>
      </w:r>
      <w:r>
        <w:t xml:space="preserve"> </w:t>
      </w:r>
      <w:r>
        <w:t xml:space="preserve">—</w:t>
      </w:r>
      <w:r>
        <w:t xml:space="preserve"> </w:t>
      </w:r>
      <w:r>
        <w:t xml:space="preserve">“</w:t>
      </w:r>
      <w:r>
        <w:t xml:space="preserve">of beautiful appearance.</w:t>
      </w:r>
      <w:r>
        <w:t xml:space="preserve">”</w:t>
      </w:r>
      <w:r>
        <w:t xml:space="preserve"> </w:t>
      </w:r>
      <w:r>
        <w:t xml:space="preserve">The Bhāṣyakāra himself, too, in Ṛ. Saṃ. 1-62, its 5th, 11th and 12th Ṛks, explains the word</w:t>
      </w:r>
      <w:r>
        <w:t xml:space="preserve"> </w:t>
      </w:r>
      <w:r>
        <w:t xml:space="preserve">“</w:t>
      </w:r>
      <w:r>
        <w:t xml:space="preserve">dasma</w:t>
      </w:r>
      <w:r>
        <w:t xml:space="preserve">”</w:t>
      </w:r>
      <w:r>
        <w:t xml:space="preserve"> </w:t>
      </w:r>
      <w:r>
        <w:t xml:space="preserve">as</w:t>
      </w:r>
      <w:r>
        <w:t xml:space="preserve"> </w:t>
      </w:r>
      <w:r>
        <w:t xml:space="preserve">“</w:t>
      </w:r>
      <w:r>
        <w:t xml:space="preserve">darśanīya.</w:t>
      </w:r>
      <w:r>
        <w:t xml:space="preserve">”</w:t>
      </w:r>
      <w:r>
        <w:t xml:space="preserve"> </w:t>
      </w:r>
      <w:r>
        <w:t xml:space="preserve">This word is used in the Ṛgveda not only in the Ṛks mentioned above but also in the Ṛks Ṛ. Saṃ. 1-138-4; 2-9-5; 4-1-3; 5-31-7; 6-1-1; 6-18-5; 7-3-4; 7-22-8; 8-92-18; 8-103-7; 10-7-1; 10-43-2; 10-147-5 (re-read from the better scan, Oct 2026). The various forms of the root</w:t>
      </w:r>
      <w:r>
        <w:t xml:space="preserve"> </w:t>
      </w:r>
      <w:r>
        <w:t xml:space="preserve">“</w:t>
      </w:r>
      <w:r>
        <w:t xml:space="preserve">meda</w:t>
      </w:r>
      <w:r>
        <w:t xml:space="preserve">”</w:t>
      </w:r>
      <w:r>
        <w:t xml:space="preserve">-… [the print reads</w:t>
      </w:r>
      <w:r>
        <w:t xml:space="preserve"> </w:t>
      </w:r>
      <w:r>
        <w:t xml:space="preserve">“</w:t>
      </w:r>
      <w:r>
        <w:t xml:space="preserve">medan</w:t>
      </w:r>
      <w:r>
        <w:t xml:space="preserve">”</w:t>
      </w:r>
      <w:r>
        <w:t xml:space="preserve">; I take it to be the stem</w:t>
      </w:r>
      <w:r>
        <w:t xml:space="preserve"> </w:t>
      </w:r>
      <w:r>
        <w:t xml:space="preserve">“</w:t>
      </w:r>
      <w:r>
        <w:t xml:space="preserve">daṃs</w:t>
      </w:r>
      <w:r>
        <w:t xml:space="preserve">”</w:t>
      </w:r>
      <w:r>
        <w:t xml:space="preserve">] —</w:t>
      </w:r>
      <w:r>
        <w:t xml:space="preserve"> </w:t>
      </w:r>
      <w:r>
        <w:rPr>
          <w:bCs/>
          <w:b/>
        </w:rPr>
        <w:t xml:space="preserve">daṃsaḥ, daṃsanā, daṃsobhiḥ, daṃsanābhiḥ, daṃsanaiḥ, daṃsayaḥ, daṃsasā, daṃsāṃsi</w:t>
      </w:r>
      <w:r>
        <w:t xml:space="preserve"> </w:t>
      </w:r>
      <w:r>
        <w:t xml:space="preserve">— are used in many places in the Ṛgveda.</w:t>
      </w:r>
      <w:r>
        <w:t xml:space="preserve"> </w:t>
      </w:r>
      <w:r>
        <w:rPr>
          <w:bCs/>
          <w:b/>
        </w:rPr>
        <w:t xml:space="preserve">Geldner</w:t>
      </w:r>
      <w:r>
        <w:t xml:space="preserve"> </w:t>
      </w:r>
      <w:r>
        <w:t xml:space="preserve">and other scholars explain this word as</w:t>
      </w:r>
      <w:r>
        <w:t xml:space="preserve"> </w:t>
      </w:r>
      <w:r>
        <w:t xml:space="preserve">“</w:t>
      </w:r>
      <w:r>
        <w:t xml:space="preserve">master</w:t>
      </w:r>
      <w:r>
        <w:t xml:space="preserve">”</w:t>
      </w:r>
      <w:r>
        <w:t xml:space="preserve"> </w:t>
      </w:r>
      <w:r>
        <w:rPr>
          <w:iCs/>
          <w:i/>
        </w:rPr>
        <w:t xml:space="preserve">(English as printed)</w:t>
      </w:r>
      <w:r>
        <w:t xml:space="preserve">…</w:t>
      </w:r>
      <w:r>
        <w:t xml:space="preserve"> </w:t>
      </w:r>
      <w:r>
        <w:rPr>
          <w:iCs/>
          <w:i/>
        </w:rPr>
        <w:t xml:space="preserve">(continues on the next page)</w:t>
      </w:r>
    </w:p>
    <w:bookmarkEnd w:id="144"/>
    <w:bookmarkStart w:id="145" w:name="Xf32732a4992fb3ce7ec3bce5650856e32ab59a2"/>
    <w:p>
      <w:pPr>
        <w:pStyle w:val="Heading3"/>
      </w:pPr>
      <w:r>
        <w:t xml:space="preserve">Page 114 — Special topics on Rik 4.6 (concluded); Vyākaraṇa-prakriyā (opening)</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4.</w:t>
      </w:r>
      <w:r>
        <w:rPr>
          <w:iCs/>
          <w:i/>
        </w:rPr>
        <w:t xml:space="preserve">”</w:t>
      </w:r>
      <w:r>
        <w:rPr>
          <w:iCs/>
          <w:i/>
        </w:rPr>
        <w:t xml:space="preserve"> </w:t>
      </w:r>
      <w:r>
        <w:rPr>
          <w:iCs/>
          <w:i/>
        </w:rPr>
        <w:t xml:space="preserve">Nirukta reference-numbers re-read from the better scan. Grammar characterized, sūtras kept.)</w:t>
      </w:r>
    </w:p>
    <w:p>
      <w:pPr>
        <w:pStyle w:val="BodyText"/>
      </w:pPr>
      <w:r>
        <w:rPr>
          <w:bCs/>
          <w:b/>
        </w:rPr>
        <w:t xml:space="preserve">कृष्टयः (kṛṣṭayaḥ)</w:t>
      </w:r>
      <w:r>
        <w:t xml:space="preserve"> </w:t>
      </w:r>
      <w:r>
        <w:t xml:space="preserve">— This word is read among the twenty-five words that signify</w:t>
      </w:r>
      <w:r>
        <w:t xml:space="preserve"> </w:t>
      </w:r>
      <w:r>
        <w:t xml:space="preserve">“</w:t>
      </w:r>
      <w:r>
        <w:t xml:space="preserve">man</w:t>
      </w:r>
      <w:r>
        <w:t xml:space="preserve">”</w:t>
      </w:r>
      <w:r>
        <w:t xml:space="preserve"> </w:t>
      </w:r>
      <w:r>
        <w:t xml:space="preserve">(manuṣya), beginning with</w:t>
      </w:r>
      <w:r>
        <w:t xml:space="preserve"> </w:t>
      </w:r>
      <w:r>
        <w:t xml:space="preserve">“</w:t>
      </w:r>
      <w:r>
        <w:t xml:space="preserve">manuṣyāḥ</w:t>
      </w:r>
      <w:r>
        <w:t xml:space="preserve">”</w:t>
      </w:r>
      <w:r>
        <w:t xml:space="preserve"> </w:t>
      </w:r>
      <w:r>
        <w:t xml:space="preserve">(Ni. 3-8 [as printed]). Because the word is derived from the root</w:t>
      </w:r>
      <w:r>
        <w:t xml:space="preserve"> </w:t>
      </w:r>
      <w:r>
        <w:t xml:space="preserve">“</w:t>
      </w:r>
      <w:r>
        <w:t xml:space="preserve">kṛṣ</w:t>
      </w:r>
      <w:r>
        <w:t xml:space="preserve">”</w:t>
      </w:r>
      <w:r>
        <w:t xml:space="preserve"> </w:t>
      </w:r>
      <w:r>
        <w:t xml:space="preserve">(to plough, to practise agriculture), the sense is</w:t>
      </w:r>
      <w:r>
        <w:t xml:space="preserve"> </w:t>
      </w:r>
      <w:r>
        <w:t xml:space="preserve">“</w:t>
      </w:r>
      <w:r>
        <w:t xml:space="preserve">people who practise agriculture, men who plough</w:t>
      </w:r>
      <w:r>
        <w:t xml:space="preserve">”</w:t>
      </w:r>
      <w:r>
        <w:t xml:space="preserve"> </w:t>
      </w:r>
      <w:r>
        <w:t xml:space="preserve">— that is, in general,</w:t>
      </w:r>
      <w:r>
        <w:t xml:space="preserve"> </w:t>
      </w:r>
      <w:r>
        <w:t xml:space="preserve">“</w:t>
      </w:r>
      <w:r>
        <w:t xml:space="preserve">people, men.</w:t>
      </w:r>
      <w:r>
        <w:t xml:space="preserve">”</w:t>
      </w:r>
    </w:p>
    <w:p>
      <w:pPr>
        <w:pStyle w:val="BodyText"/>
      </w:pPr>
      <w:r>
        <w:rPr>
          <w:bCs/>
          <w:b/>
        </w:rPr>
        <w:t xml:space="preserve">शर्मणि (śarmaṇi)</w:t>
      </w:r>
      <w:r>
        <w:t xml:space="preserve"> </w:t>
      </w:r>
      <w:r>
        <w:t xml:space="preserve">— The word</w:t>
      </w:r>
      <w:r>
        <w:t xml:space="preserve"> </w:t>
      </w:r>
      <w:r>
        <w:t xml:space="preserve">“</w:t>
      </w:r>
      <w:r>
        <w:t xml:space="preserve">śarma</w:t>
      </w:r>
      <w:r>
        <w:t xml:space="preserve">”</w:t>
      </w:r>
      <w:r>
        <w:t xml:space="preserve"> </w:t>
      </w:r>
      <w:r>
        <w:t xml:space="preserve">is read among the twenty-two words that signify</w:t>
      </w:r>
      <w:r>
        <w:t xml:space="preserve"> </w:t>
      </w:r>
      <w:r>
        <w:t xml:space="preserve">“</w:t>
      </w:r>
      <w:r>
        <w:t xml:space="preserve">house</w:t>
      </w:r>
      <w:r>
        <w:t xml:space="preserve">”</w:t>
      </w:r>
      <w:r>
        <w:t xml:space="preserve"> </w:t>
      </w:r>
      <w:r>
        <w:t xml:space="preserve">(Ni. 3-8 [?]); so</w:t>
      </w:r>
      <w:r>
        <w:t xml:space="preserve"> </w:t>
      </w:r>
      <w:r>
        <w:rPr>
          <w:bCs/>
          <w:b/>
        </w:rPr>
        <w:t xml:space="preserve">Skandasvāmī</w:t>
      </w:r>
      <w:r>
        <w:t xml:space="preserve"> </w:t>
      </w:r>
      <w:r>
        <w:t xml:space="preserve">explains</w:t>
      </w:r>
      <w:r>
        <w:t xml:space="preserve"> </w:t>
      </w:r>
      <w:r>
        <w:t xml:space="preserve">“</w:t>
      </w:r>
      <w:r>
        <w:t xml:space="preserve">indrasya śarmaṇi</w:t>
      </w:r>
      <w:r>
        <w:t xml:space="preserve">”</w:t>
      </w:r>
      <w:r>
        <w:t xml:space="preserve"> </w:t>
      </w:r>
      <w:r>
        <w:t xml:space="preserve">as</w:t>
      </w:r>
      <w:r>
        <w:t xml:space="preserve"> </w:t>
      </w:r>
      <w:r>
        <w:t xml:space="preserve">“</w:t>
      </w:r>
      <w:r>
        <w:t xml:space="preserve">in Indra’s house</w:t>
      </w:r>
      <w:r>
        <w:t xml:space="preserve">”</w:t>
      </w:r>
      <w:r>
        <w:t xml:space="preserve"> </w:t>
      </w:r>
      <w:r>
        <w:t xml:space="preserve">— that is,</w:t>
      </w:r>
      <w:r>
        <w:t xml:space="preserve"> </w:t>
      </w:r>
      <w:r>
        <w:t xml:space="preserve">“</w:t>
      </w:r>
      <w:r>
        <w:t xml:space="preserve">in Indra’s world.</w:t>
      </w:r>
      <w:r>
        <w:t xml:space="preserve">”</w:t>
      </w:r>
      <w:r>
        <w:t xml:space="preserve"> </w:t>
      </w:r>
      <w:r>
        <w:t xml:space="preserve">This does not seem to fit very well. Besides this, since</w:t>
      </w:r>
      <w:r>
        <w:t xml:space="preserve"> </w:t>
      </w:r>
      <w:r>
        <w:t xml:space="preserve">“</w:t>
      </w:r>
      <w:r>
        <w:t xml:space="preserve">śarma</w:t>
      </w:r>
      <w:r>
        <w:t xml:space="preserve">”</w:t>
      </w:r>
      <w:r>
        <w:t xml:space="preserve"> </w:t>
      </w:r>
      <w:r>
        <w:t xml:space="preserve">is read among the twenty words that signify</w:t>
      </w:r>
      <w:r>
        <w:t xml:space="preserve"> </w:t>
      </w:r>
      <w:r>
        <w:t xml:space="preserve">“</w:t>
      </w:r>
      <w:r>
        <w:t xml:space="preserve">happiness</w:t>
      </w:r>
      <w:r>
        <w:t xml:space="preserve">”</w:t>
      </w:r>
      <w:r>
        <w:t xml:space="preserve"> </w:t>
      </w:r>
      <w:r>
        <w:t xml:space="preserve">(Ni. 3-11), it is fitting to take the sense</w:t>
      </w:r>
      <w:r>
        <w:t xml:space="preserve"> </w:t>
      </w:r>
      <w:r>
        <w:t xml:space="preserve">“</w:t>
      </w:r>
      <w:r>
        <w:t xml:space="preserve">happiness</w:t>
      </w:r>
      <w:r>
        <w:t xml:space="preserve">”</w:t>
      </w:r>
      <w:r>
        <w:t xml:space="preserve"> </w:t>
      </w:r>
      <w:r>
        <w:t xml:space="preserve">for the word</w:t>
      </w:r>
      <w:r>
        <w:t xml:space="preserve"> </w:t>
      </w:r>
      <w:r>
        <w:t xml:space="preserve">“</w:t>
      </w:r>
      <w:r>
        <w:t xml:space="preserve">śarma.</w:t>
      </w:r>
      <w:r>
        <w:t xml:space="preserve">”</w:t>
      </w:r>
    </w:p>
    <w:p>
      <w:pPr>
        <w:pStyle w:val="BodyText"/>
      </w:pPr>
      <w:r>
        <w:rPr>
          <w:bCs/>
          <w:b/>
        </w:rPr>
        <w:t xml:space="preserve">॥ Vyākaraṇa-prakriyā ॥</w:t>
      </w:r>
      <w:r>
        <w:t xml:space="preserve"> </w:t>
      </w:r>
      <w:r>
        <w:rPr>
          <w:iCs/>
          <w:i/>
        </w:rPr>
        <w:t xml:space="preserve">(Kannada; characterized, sūtras kept.)</w:t>
      </w:r>
      <w:r>
        <w:t xml:space="preserve"> </w:t>
      </w:r>
      <w:r>
        <w:t xml:space="preserve">-</w:t>
      </w:r>
      <w:r>
        <w:t xml:space="preserve"> </w:t>
      </w:r>
      <w:r>
        <w:rPr>
          <w:bCs/>
          <w:b/>
        </w:rPr>
        <w:t xml:space="preserve">“</w:t>
      </w:r>
      <w:r>
        <w:rPr>
          <w:bCs/>
          <w:b/>
        </w:rPr>
        <w:t xml:space="preserve">Uta</w:t>
      </w:r>
      <w:r>
        <w:rPr>
          <w:bCs/>
          <w:b/>
        </w:rPr>
        <w:t xml:space="preserve">”</w:t>
      </w:r>
      <w:r>
        <w:t xml:space="preserve"> </w:t>
      </w:r>
      <w:r>
        <w:t xml:space="preserve">— the words that belong to the</w:t>
      </w:r>
      <w:r>
        <w:t xml:space="preserve"> </w:t>
      </w:r>
      <w:r>
        <w:t xml:space="preserve">“</w:t>
      </w:r>
      <w:r>
        <w:t xml:space="preserve">eva-ādi</w:t>
      </w:r>
      <w:r>
        <w:t xml:space="preserve">”</w:t>
      </w:r>
      <w:r>
        <w:t xml:space="preserve"> </w:t>
      </w:r>
      <w:r>
        <w:t xml:space="preserve">class (</w:t>
      </w:r>
      <w:r>
        <w:rPr>
          <w:bCs/>
          <w:b/>
        </w:rPr>
        <w:t xml:space="preserve">एवादीनामन्तः</w:t>
      </w:r>
      <w:r>
        <w:t xml:space="preserve">, Phiṭ-sūtra [number as printed</w:t>
      </w:r>
      <w:r>
        <w:t xml:space="preserve"> </w:t>
      </w:r>
      <w:r>
        <w:t xml:space="preserve">“</w:t>
      </w:r>
      <w:r>
        <w:t xml:space="preserve">4-1[?]</w:t>
      </w:r>
      <w:r>
        <w:t xml:space="preserve">”</w:t>
      </w:r>
      <w:r>
        <w:t xml:space="preserve">]) have the last syllable acute; so</w:t>
      </w:r>
      <w:r>
        <w:t xml:space="preserve"> </w:t>
      </w:r>
      <w:r>
        <w:t xml:space="preserve">“</w:t>
      </w:r>
      <w:r>
        <w:t xml:space="preserve">uta</w:t>
      </w:r>
      <w:r>
        <w:t xml:space="preserve">”</w:t>
      </w:r>
      <w:r>
        <w:t xml:space="preserve"> </w:t>
      </w:r>
      <w:r>
        <w:t xml:space="preserve">is end-acute.</w:t>
      </w:r>
      <w:r>
        <w:t xml:space="preserve"> </w:t>
      </w:r>
      <w:r>
        <w:rPr>
          <w:iCs/>
          <w:i/>
        </w:rPr>
        <w:t xml:space="preserve">(Note: the Sanskrit on p. 112 had called</w:t>
      </w:r>
      <w:r>
        <w:rPr>
          <w:iCs/>
          <w:i/>
        </w:rPr>
        <w:t xml:space="preserve"> </w:t>
      </w:r>
      <w:r>
        <w:rPr>
          <w:iCs/>
          <w:i/>
        </w:rPr>
        <w:t xml:space="preserve">“</w:t>
      </w:r>
      <w:r>
        <w:rPr>
          <w:iCs/>
          <w:i/>
        </w:rPr>
        <w:t xml:space="preserve">uta</w:t>
      </w:r>
      <w:r>
        <w:rPr>
          <w:iCs/>
          <w:i/>
        </w:rPr>
        <w:t xml:space="preserve">”</w:t>
      </w:r>
      <w:r>
        <w:rPr>
          <w:iCs/>
          <w:i/>
        </w:rPr>
        <w:t xml:space="preserve"> </w:t>
      </w:r>
      <w:r>
        <w:rPr>
          <w:iCs/>
          <w:i/>
        </w:rPr>
        <w:t xml:space="preserve">first-syllable acute (by the nipāta rule); the two pages differ, and I record the discrepancy without resolving it.)</w:t>
      </w:r>
      <w:r>
        <w:t xml:space="preserve"> </w:t>
      </w:r>
      <w:r>
        <w:t xml:space="preserve">-</w:t>
      </w:r>
      <w:r>
        <w:t xml:space="preserve"> </w:t>
      </w:r>
      <w:r>
        <w:rPr>
          <w:bCs/>
          <w:b/>
        </w:rPr>
        <w:t xml:space="preserve">“</w:t>
      </w:r>
      <w:r>
        <w:rPr>
          <w:bCs/>
          <w:b/>
        </w:rPr>
        <w:t xml:space="preserve">Subhagān</w:t>
      </w:r>
      <w:r>
        <w:rPr>
          <w:bCs/>
          <w:b/>
        </w:rPr>
        <w:t xml:space="preserve">”</w:t>
      </w:r>
      <w:r>
        <w:t xml:space="preserve"> </w:t>
      </w:r>
      <w:r>
        <w:t xml:space="preserve">—</w:t>
      </w:r>
      <w:r>
        <w:t xml:space="preserve"> </w:t>
      </w:r>
      <w:r>
        <w:t xml:space="preserve">“</w:t>
      </w:r>
      <w:r>
        <w:t xml:space="preserve">bhaga</w:t>
      </w:r>
      <w:r>
        <w:t xml:space="preserve">”</w:t>
      </w:r>
      <w:r>
        <w:t xml:space="preserve"> </w:t>
      </w:r>
      <w:r>
        <w:t xml:space="preserve">belongs to the</w:t>
      </w:r>
      <w:r>
        <w:t xml:space="preserve"> </w:t>
      </w:r>
      <w:r>
        <w:t xml:space="preserve">“</w:t>
      </w:r>
      <w:r>
        <w:t xml:space="preserve">kṛtvādi</w:t>
      </w:r>
      <w:r>
        <w:t xml:space="preserve">”</w:t>
      </w:r>
      <w:r>
        <w:t xml:space="preserve"> </w:t>
      </w:r>
      <w:r>
        <w:t xml:space="preserve">class; so by</w:t>
      </w:r>
      <w:r>
        <w:t xml:space="preserve"> </w:t>
      </w:r>
      <w:r>
        <w:rPr>
          <w:bCs/>
          <w:b/>
        </w:rPr>
        <w:t xml:space="preserve">नञ्सुभ्याम्</w:t>
      </w:r>
      <w:r>
        <w:t xml:space="preserve"> </w:t>
      </w:r>
      <w:r>
        <w:t xml:space="preserve">(पा. ६-२-१७२) the end-acute that a bahuvrīhi after</w:t>
      </w:r>
      <w:r>
        <w:t xml:space="preserve"> </w:t>
      </w:r>
      <w:r>
        <w:t xml:space="preserve">“</w:t>
      </w:r>
      <w:r>
        <w:t xml:space="preserve">su</w:t>
      </w:r>
      <w:r>
        <w:t xml:space="preserve">”</w:t>
      </w:r>
      <w:r>
        <w:t xml:space="preserve"> </w:t>
      </w:r>
      <w:r>
        <w:t xml:space="preserve">would take is set aside, and by</w:t>
      </w:r>
      <w:r>
        <w:t xml:space="preserve"> </w:t>
      </w:r>
      <w:r>
        <w:rPr>
          <w:bCs/>
          <w:b/>
        </w:rPr>
        <w:t xml:space="preserve">क्रत्वादयश्च</w:t>
      </w:r>
      <w:r>
        <w:t xml:space="preserve"> </w:t>
      </w:r>
      <w:r>
        <w:t xml:space="preserve">(पा. ६-२-११८) the words of the</w:t>
      </w:r>
      <w:r>
        <w:t xml:space="preserve"> </w:t>
      </w:r>
      <w:r>
        <w:t xml:space="preserve">“</w:t>
      </w:r>
      <w:r>
        <w:t xml:space="preserve">kratu</w:t>
      </w:r>
      <w:r>
        <w:t xml:space="preserve">”</w:t>
      </w:r>
      <w:r>
        <w:t xml:space="preserve">-class are first-syllable acute; thus the stem’s own accent is prescribed (</w:t>
      </w:r>
      <w:r>
        <w:rPr>
          <w:bCs/>
          <w:b/>
        </w:rPr>
        <w:t xml:space="preserve">प्रातिपदोक्त</w:t>
      </w:r>
      <w:r>
        <w:t xml:space="preserve">);</w:t>
      </w:r>
      <w:r>
        <w:t xml:space="preserve"> </w:t>
      </w:r>
      <w:r>
        <w:t xml:space="preserve">“</w:t>
      </w:r>
      <w:r>
        <w:t xml:space="preserve">subhagān</w:t>
      </w:r>
      <w:r>
        <w:t xml:space="preserve">”</w:t>
      </w:r>
      <w:r>
        <w:t xml:space="preserve"> </w:t>
      </w:r>
      <w:r>
        <w:t xml:space="preserve">is an accusative plural. In the saṃhitā:</w:t>
      </w:r>
      <w:r>
        <w:t xml:space="preserve"> </w:t>
      </w:r>
      <w:r>
        <w:rPr>
          <w:bCs/>
          <w:b/>
        </w:rPr>
        <w:t xml:space="preserve">दीर्घादटि समानपादे</w:t>
      </w:r>
      <w:r>
        <w:t xml:space="preserve"> </w:t>
      </w:r>
      <w:r>
        <w:t xml:space="preserve">(पा. ८-३-९) turns the</w:t>
      </w:r>
      <w:r>
        <w:t xml:space="preserve"> </w:t>
      </w:r>
      <w:r>
        <w:t xml:space="preserve">“</w:t>
      </w:r>
      <w:r>
        <w:t xml:space="preserve">n</w:t>
      </w:r>
      <w:r>
        <w:t xml:space="preserve">”</w:t>
      </w:r>
      <w:r>
        <w:t xml:space="preserve"> </w:t>
      </w:r>
      <w:r>
        <w:t xml:space="preserve">into</w:t>
      </w:r>
      <w:r>
        <w:t xml:space="preserve"> </w:t>
      </w:r>
      <w:r>
        <w:t xml:space="preserve">“</w:t>
      </w:r>
      <w:r>
        <w:t xml:space="preserve">ru</w:t>
      </w:r>
      <w:r>
        <w:t xml:space="preserve">”</w:t>
      </w:r>
      <w:r>
        <w:t xml:space="preserve"> </w:t>
      </w:r>
      <w:r>
        <w:t xml:space="preserve">when followed by a vowel in the same pāda;</w:t>
      </w:r>
      <w:r>
        <w:t xml:space="preserve"> </w:t>
      </w:r>
      <w:r>
        <w:rPr>
          <w:bCs/>
          <w:b/>
        </w:rPr>
        <w:t xml:space="preserve">भोभगोअघोअपूर्वस्य योऽशि</w:t>
      </w:r>
      <w:r>
        <w:t xml:space="preserve"> </w:t>
      </w:r>
      <w:r>
        <w:t xml:space="preserve">(पा. ८-३-१७) gives</w:t>
      </w:r>
      <w:r>
        <w:t xml:space="preserve"> </w:t>
      </w:r>
      <w:r>
        <w:t xml:space="preserve">“</w:t>
      </w:r>
      <w:r>
        <w:t xml:space="preserve">y</w:t>
      </w:r>
      <w:r>
        <w:t xml:space="preserve">”</w:t>
      </w:r>
      <w:r>
        <w:t xml:space="preserve"> </w:t>
      </w:r>
      <w:r>
        <w:t xml:space="preserve">for</w:t>
      </w:r>
      <w:r>
        <w:t xml:space="preserve"> </w:t>
      </w:r>
      <w:r>
        <w:t xml:space="preserve">“</w:t>
      </w:r>
      <w:r>
        <w:t xml:space="preserve">ru</w:t>
      </w:r>
      <w:r>
        <w:t xml:space="preserve">”</w:t>
      </w:r>
      <w:r>
        <w:t xml:space="preserve"> </w:t>
      </w:r>
      <w:r>
        <w:t xml:space="preserve">after</w:t>
      </w:r>
      <w:r>
        <w:t xml:space="preserve"> </w:t>
      </w:r>
      <w:r>
        <w:t xml:space="preserve">“</w:t>
      </w:r>
      <w:r>
        <w:t xml:space="preserve">bho,</w:t>
      </w:r>
      <w:r>
        <w:t xml:space="preserve">”</w:t>
      </w:r>
      <w:r>
        <w:t xml:space="preserve"> </w:t>
      </w:r>
      <w:r>
        <w:t xml:space="preserve">“</w:t>
      </w:r>
      <w:r>
        <w:t xml:space="preserve">bhago,</w:t>
      </w:r>
      <w:r>
        <w:t xml:space="preserve">”</w:t>
      </w:r>
      <w:r>
        <w:t xml:space="preserve"> </w:t>
      </w:r>
      <w:r>
        <w:t xml:space="preserve">“</w:t>
      </w:r>
      <w:r>
        <w:t xml:space="preserve">agho</w:t>
      </w:r>
      <w:r>
        <w:t xml:space="preserve">”</w:t>
      </w:r>
      <w:r>
        <w:t xml:space="preserve"> </w:t>
      </w:r>
      <w:r>
        <w:t xml:space="preserve">or a short or long</w:t>
      </w:r>
      <w:r>
        <w:t xml:space="preserve"> </w:t>
      </w:r>
      <w:r>
        <w:t xml:space="preserve">“</w:t>
      </w:r>
      <w:r>
        <w:t xml:space="preserve">a</w:t>
      </w:r>
      <w:r>
        <w:t xml:space="preserve">”</w:t>
      </w:r>
      <w:r>
        <w:t xml:space="preserve">;</w:t>
      </w:r>
      <w:r>
        <w:t xml:space="preserve"> </w:t>
      </w:r>
      <w:r>
        <w:rPr>
          <w:bCs/>
          <w:b/>
        </w:rPr>
        <w:t xml:space="preserve">लोपः शाकल्यस्य</w:t>
      </w:r>
      <w:r>
        <w:t xml:space="preserve"> </w:t>
      </w:r>
      <w:r>
        <w:t xml:space="preserve">(पा. ८-३-१९) elides the</w:t>
      </w:r>
      <w:r>
        <w:t xml:space="preserve"> </w:t>
      </w:r>
      <w:r>
        <w:t xml:space="preserve">“</w:t>
      </w:r>
      <w:r>
        <w:t xml:space="preserve">y</w:t>
      </w:r>
      <w:r>
        <w:t xml:space="preserve">”</w:t>
      </w:r>
      <w:r>
        <w:t xml:space="preserve"> </w:t>
      </w:r>
      <w:r>
        <w:t xml:space="preserve">(in Śākalya’s view); since the elision is</w:t>
      </w:r>
      <w:r>
        <w:t xml:space="preserve"> </w:t>
      </w:r>
      <w:r>
        <w:t xml:space="preserve">“</w:t>
      </w:r>
      <w:r>
        <w:t xml:space="preserve">asiddha</w:t>
      </w:r>
      <w:r>
        <w:t xml:space="preserve">”</w:t>
      </w:r>
      <w:r>
        <w:t xml:space="preserve"> </w:t>
      </w:r>
      <w:r>
        <w:t xml:space="preserve">(</w:t>
      </w:r>
      <w:r>
        <w:rPr>
          <w:bCs/>
          <w:b/>
        </w:rPr>
        <w:t xml:space="preserve">पूर्वत्रासिद्धम्</w:t>
      </w:r>
      <w:r>
        <w:t xml:space="preserve">, पा. ८-२-१), the rule</w:t>
      </w:r>
      <w:r>
        <w:t xml:space="preserve"> </w:t>
      </w:r>
      <w:r>
        <w:rPr>
          <w:bCs/>
          <w:b/>
        </w:rPr>
        <w:t xml:space="preserve">अकःसवर्णे दीर्घः</w:t>
      </w:r>
      <w:r>
        <w:t xml:space="preserve"> </w:t>
      </w:r>
      <w:r>
        <w:t xml:space="preserve">(पा. ६-१-१०१) does not lengthen the vowels;</w:t>
      </w:r>
      <w:r>
        <w:t xml:space="preserve"> </w:t>
      </w:r>
      <w:r>
        <w:rPr>
          <w:bCs/>
          <w:b/>
        </w:rPr>
        <w:t xml:space="preserve">आतोऽटि नित्यम्</w:t>
      </w:r>
      <w:r>
        <w:t xml:space="preserve"> </w:t>
      </w:r>
      <w:r>
        <w:t xml:space="preserve">(पा. ८-३-३) gives the nasal sign to the</w:t>
      </w:r>
      <w:r>
        <w:t xml:space="preserve"> </w:t>
      </w:r>
      <w:r>
        <w:t xml:space="preserve">“</w:t>
      </w:r>
      <w:r>
        <w:t xml:space="preserve">ā</w:t>
      </w:r>
      <w:r>
        <w:t xml:space="preserve">”</w:t>
      </w:r>
      <w:r>
        <w:t xml:space="preserve">:</w:t>
      </w:r>
      <w:r>
        <w:t xml:space="preserve"> </w:t>
      </w:r>
      <w:r>
        <w:t xml:space="preserve">“</w:t>
      </w:r>
      <w:r>
        <w:t xml:space="preserve">subhagā[ṃ] ariḥ</w:t>
      </w:r>
      <w:r>
        <w:t xml:space="preserve">”</w:t>
      </w:r>
      <w:r>
        <w:t xml:space="preserve"> </w:t>
      </w:r>
      <w:r>
        <w:rPr>
          <w:iCs/>
          <w:i/>
        </w:rPr>
        <w:t xml:space="preserve">(this is the form whose nasal sign I flagged at p. 111)</w:t>
      </w:r>
      <w:r>
        <w:t xml:space="preserve">.</w:t>
      </w:r>
      <w:r>
        <w:t xml:space="preserve"> </w:t>
      </w:r>
      <w:r>
        <w:t xml:space="preserve">-</w:t>
      </w:r>
      <w:r>
        <w:t xml:space="preserve"> </w:t>
      </w:r>
      <w:r>
        <w:rPr>
          <w:bCs/>
          <w:b/>
        </w:rPr>
        <w:t xml:space="preserve">“</w:t>
      </w:r>
      <w:r>
        <w:rPr>
          <w:bCs/>
          <w:b/>
        </w:rPr>
        <w:t xml:space="preserve">Ariḥ</w:t>
      </w:r>
      <w:r>
        <w:rPr>
          <w:bCs/>
          <w:b/>
        </w:rPr>
        <w:t xml:space="preserve">”</w:t>
      </w:r>
      <w:r>
        <w:t xml:space="preserve"> </w:t>
      </w:r>
      <w:r>
        <w:t xml:space="preserve">— a singular where the plural would be expected; from</w:t>
      </w:r>
      <w:r>
        <w:t xml:space="preserve"> </w:t>
      </w:r>
      <w:r>
        <w:t xml:space="preserve">“</w:t>
      </w:r>
      <w:r>
        <w:t xml:space="preserve">ṛ</w:t>
      </w:r>
      <w:r>
        <w:t xml:space="preserve">”</w:t>
      </w:r>
      <w:r>
        <w:t xml:space="preserve"> </w:t>
      </w:r>
      <w:r>
        <w:t xml:space="preserve">with the Uṇādi</w:t>
      </w:r>
      <w:r>
        <w:t xml:space="preserve"> </w:t>
      </w:r>
      <w:r>
        <w:t xml:space="preserve">“</w:t>
      </w:r>
      <w:r>
        <w:t xml:space="preserve">i</w:t>
      </w:r>
      <w:r>
        <w:t xml:space="preserve">”</w:t>
      </w:r>
      <w:r>
        <w:t xml:space="preserve"> </w:t>
      </w:r>
      <w:r>
        <w:t xml:space="preserve">(</w:t>
      </w:r>
      <w:r>
        <w:rPr>
          <w:bCs/>
          <w:b/>
        </w:rPr>
        <w:t xml:space="preserve">अर्त्तेरिः</w:t>
      </w:r>
      <w:r>
        <w:t xml:space="preserve">, उ. सू. ४-५७८ [as printed]); with guṇa by</w:t>
      </w:r>
      <w:r>
        <w:t xml:space="preserve"> </w:t>
      </w:r>
      <w:r>
        <w:rPr>
          <w:bCs/>
          <w:b/>
        </w:rPr>
        <w:t xml:space="preserve">सार्वधातुकार्धधातुकयोः</w:t>
      </w:r>
      <w:r>
        <w:t xml:space="preserve"> </w:t>
      </w:r>
      <w:r>
        <w:t xml:space="preserve">(पा. ७-३-८४) →</w:t>
      </w:r>
      <w:r>
        <w:t xml:space="preserve"> </w:t>
      </w:r>
      <w:r>
        <w:t xml:space="preserve">“</w:t>
      </w:r>
      <w:r>
        <w:t xml:space="preserve">ari</w:t>
      </w:r>
      <w:r>
        <w:t xml:space="preserve">”</w:t>
      </w:r>
      <w:r>
        <w:t xml:space="preserve">; end-acute by the affix-accent.</w:t>
      </w:r>
      <w:r>
        <w:t xml:space="preserve"> </w:t>
      </w:r>
      <w:r>
        <w:t xml:space="preserve">-</w:t>
      </w:r>
      <w:r>
        <w:t xml:space="preserve"> </w:t>
      </w:r>
      <w:r>
        <w:rPr>
          <w:bCs/>
          <w:b/>
        </w:rPr>
        <w:t xml:space="preserve">“</w:t>
      </w:r>
      <w:r>
        <w:rPr>
          <w:bCs/>
          <w:b/>
        </w:rPr>
        <w:t xml:space="preserve">Vocēyuḥ</w:t>
      </w:r>
      <w:r>
        <w:rPr>
          <w:bCs/>
          <w:b/>
        </w:rPr>
        <w:t xml:space="preserve">”</w:t>
      </w:r>
      <w:r>
        <w:t xml:space="preserve"> </w:t>
      </w:r>
      <w:r>
        <w:t xml:space="preserve">— the root</w:t>
      </w:r>
      <w:r>
        <w:t xml:space="preserve"> </w:t>
      </w:r>
      <w:r>
        <w:t xml:space="preserve">“</w:t>
      </w:r>
      <w:r>
        <w:t xml:space="preserve">vac paribhāṣaṇe</w:t>
      </w:r>
      <w:r>
        <w:t xml:space="preserve">”</w:t>
      </w:r>
      <w:r>
        <w:t xml:space="preserve"> </w:t>
      </w:r>
      <w:r>
        <w:t xml:space="preserve">(to speak) in the benedictive (āśīrliṅ); the third-person plural</w:t>
      </w:r>
      <w:r>
        <w:t xml:space="preserve"> </w:t>
      </w:r>
      <w:r>
        <w:t xml:space="preserve">“</w:t>
      </w:r>
      <w:r>
        <w:t xml:space="preserve">jhi</w:t>
      </w:r>
      <w:r>
        <w:t xml:space="preserve">”</w:t>
      </w:r>
      <w:r>
        <w:t xml:space="preserve"> </w:t>
      </w:r>
      <w:r>
        <w:t xml:space="preserve">…</w:t>
      </w:r>
      <w:r>
        <w:t xml:space="preserve"> </w:t>
      </w:r>
      <w:r>
        <w:rPr>
          <w:iCs/>
          <w:i/>
        </w:rPr>
        <w:t xml:space="preserve">(continues on the next page)</w:t>
      </w:r>
    </w:p>
    <w:bookmarkEnd w:id="145"/>
    <w:bookmarkStart w:id="146" w:name="Xd3047e62b44f0f064dc266a0f01ec2f55919e0b"/>
    <w:p>
      <w:pPr>
        <w:pStyle w:val="Heading3"/>
      </w:pPr>
      <w:r>
        <w:t xml:space="preserve">Page 115 — Vyākaraṇa-prakriyā for Rik 4.6 — characterized</w:t>
      </w:r>
    </w:p>
    <w:p>
      <w:pPr>
        <w:pStyle w:val="FirstParagraph"/>
      </w:pPr>
      <w:r>
        <w:rPr>
          <w:iCs/>
          <w:i/>
        </w:rPr>
        <w:t xml:space="preserve">(Page header:</w:t>
      </w:r>
      <w:r>
        <w:rPr>
          <w:iCs/>
          <w:i/>
        </w:rPr>
        <w:t xml:space="preserve"> </w:t>
      </w:r>
      <w:r>
        <w:rPr>
          <w:iCs/>
          <w:i/>
        </w:rPr>
        <w:t xml:space="preserve">“</w:t>
      </w:r>
      <w:r>
        <w:rPr>
          <w:iCs/>
          <w:i/>
        </w:rPr>
        <w:t xml:space="preserve">Aṣṭaka 1, Adhyāya 1, Varga 8 · Ṛgveda-saṃhitā.</w:t>
      </w:r>
      <w:r>
        <w:rPr>
          <w:iCs/>
          <w:i/>
        </w:rPr>
        <w:t xml:space="preserve">”</w:t>
      </w:r>
      <w:r>
        <w:rPr>
          <w:iCs/>
          <w:i/>
        </w:rPr>
        <w:t xml:space="preserve"> </w:t>
      </w:r>
      <w:r>
        <w:rPr>
          <w:iCs/>
          <w:i/>
        </w:rPr>
        <w:t xml:space="preserve">Pure grammar in Kannada prose, the rendering of the Sanskrit of p. 112,</w:t>
      </w:r>
      <w:r>
        <w:rPr>
          <w:iCs/>
          <w:i/>
        </w:rPr>
        <w:t xml:space="preserve"> </w:t>
      </w:r>
      <w:r>
        <w:rPr>
          <w:bCs/>
          <w:b/>
          <w:iCs/>
          <w:i/>
        </w:rPr>
        <w:t xml:space="preserve">characterized in order, sūtras kept</w:t>
      </w:r>
      <w:r>
        <w:rPr>
          <w:iCs/>
          <w:i/>
        </w:rPr>
        <w:t xml:space="preserve">; numbers as read, [?] where uncertain. The sense of the Rik is already given on pp. 112–113.)</w:t>
      </w:r>
    </w:p>
    <w:p>
      <w:pPr>
        <w:pStyle w:val="BodyText"/>
      </w:pPr>
      <w:r>
        <w:rPr>
          <w:iCs/>
          <w:i/>
        </w:rPr>
        <w:t xml:space="preserve">(Continuing</w:t>
      </w:r>
      <w:r>
        <w:rPr>
          <w:iCs/>
          <w:i/>
        </w:rPr>
        <w:t xml:space="preserve"> </w:t>
      </w:r>
      <w:r>
        <w:rPr>
          <w:iCs/>
          <w:i/>
        </w:rPr>
        <w:t xml:space="preserve">“</w:t>
      </w:r>
      <w:r>
        <w:rPr>
          <w:iCs/>
          <w:i/>
        </w:rPr>
        <w:t xml:space="preserve">vocēyuḥ</w:t>
      </w:r>
      <w:r>
        <w:rPr>
          <w:iCs/>
          <w:i/>
        </w:rPr>
        <w:t xml:space="preserve">”</w:t>
      </w:r>
      <w:r>
        <w:rPr>
          <w:iCs/>
          <w:i/>
        </w:rPr>
        <w:t xml:space="preserve">:)</w:t>
      </w:r>
      <w:r>
        <w:t xml:space="preserve"> </w:t>
      </w:r>
      <w:r>
        <w:t xml:space="preserve">…</w:t>
      </w:r>
      <w:r>
        <w:rPr>
          <w:bCs/>
          <w:b/>
        </w:rPr>
        <w:t xml:space="preserve">लिङ्याशिषि…</w:t>
      </w:r>
      <w:r>
        <w:t xml:space="preserve"> </w:t>
      </w:r>
      <w:r>
        <w:t xml:space="preserve">(</w:t>
      </w:r>
      <w:r>
        <w:rPr>
          <w:iCs/>
          <w:i/>
        </w:rPr>
        <w:t xml:space="preserve">liṅ āśiṣy aṅ</w:t>
      </w:r>
      <w:r>
        <w:t xml:space="preserve">, पा. ३-१-८६ [as printed; the usual number is different, and I record the print]) puts</w:t>
      </w:r>
      <w:r>
        <w:t xml:space="preserve"> </w:t>
      </w:r>
      <w:r>
        <w:t xml:space="preserve">“</w:t>
      </w:r>
      <w:r>
        <w:t xml:space="preserve">aṅ</w:t>
      </w:r>
      <w:r>
        <w:t xml:space="preserve">”</w:t>
      </w:r>
      <w:r>
        <w:t xml:space="preserve"> </w:t>
      </w:r>
      <w:r>
        <w:t xml:space="preserve">in the āśīrliṅ;</w:t>
      </w:r>
      <w:r>
        <w:t xml:space="preserve"> </w:t>
      </w:r>
      <w:r>
        <w:rPr>
          <w:bCs/>
          <w:b/>
        </w:rPr>
        <w:t xml:space="preserve">झेर्जुस्</w:t>
      </w:r>
      <w:r>
        <w:t xml:space="preserve"> </w:t>
      </w:r>
      <w:r>
        <w:t xml:space="preserve">(पा. ३-४-१०८) puts</w:t>
      </w:r>
      <w:r>
        <w:t xml:space="preserve"> </w:t>
      </w:r>
      <w:r>
        <w:t xml:space="preserve">“</w:t>
      </w:r>
      <w:r>
        <w:t xml:space="preserve">jus</w:t>
      </w:r>
      <w:r>
        <w:t xml:space="preserve">”</w:t>
      </w:r>
      <w:r>
        <w:t xml:space="preserve"> </w:t>
      </w:r>
      <w:r>
        <w:t xml:space="preserve">for</w:t>
      </w:r>
      <w:r>
        <w:t xml:space="preserve"> </w:t>
      </w:r>
      <w:r>
        <w:t xml:space="preserve">“</w:t>
      </w:r>
      <w:r>
        <w:t xml:space="preserve">jhi</w:t>
      </w:r>
      <w:r>
        <w:t xml:space="preserve">”</w:t>
      </w:r>
      <w:r>
        <w:t xml:space="preserve">; the</w:t>
      </w:r>
      <w:r>
        <w:t xml:space="preserve"> </w:t>
      </w:r>
      <w:r>
        <w:t xml:space="preserve">“</w:t>
      </w:r>
      <w:r>
        <w:t xml:space="preserve">j</w:t>
      </w:r>
      <w:r>
        <w:t xml:space="preserve">”</w:t>
      </w:r>
      <w:r>
        <w:t xml:space="preserve"> </w:t>
      </w:r>
      <w:r>
        <w:t xml:space="preserve">of</w:t>
      </w:r>
      <w:r>
        <w:t xml:space="preserve"> </w:t>
      </w:r>
      <w:r>
        <w:t xml:space="preserve">“</w:t>
      </w:r>
      <w:r>
        <w:t xml:space="preserve">jus</w:t>
      </w:r>
      <w:r>
        <w:t xml:space="preserve">”</w:t>
      </w:r>
      <w:r>
        <w:t xml:space="preserve"> </w:t>
      </w:r>
      <w:r>
        <w:t xml:space="preserve">is an</w:t>
      </w:r>
      <w:r>
        <w:t xml:space="preserve"> </w:t>
      </w:r>
      <w:r>
        <w:t xml:space="preserve">“</w:t>
      </w:r>
      <w:r>
        <w:t xml:space="preserve">it</w:t>
      </w:r>
      <w:r>
        <w:t xml:space="preserve">”</w:t>
      </w:r>
      <w:r>
        <w:t xml:space="preserve"> </w:t>
      </w:r>
      <w:r>
        <w:t xml:space="preserve">by</w:t>
      </w:r>
      <w:r>
        <w:t xml:space="preserve"> </w:t>
      </w:r>
      <w:r>
        <w:rPr>
          <w:bCs/>
          <w:b/>
        </w:rPr>
        <w:t xml:space="preserve">चुटू</w:t>
      </w:r>
      <w:r>
        <w:t xml:space="preserve"> </w:t>
      </w:r>
      <w:r>
        <w:t xml:space="preserve">(पा. १-३-७) and the</w:t>
      </w:r>
      <w:r>
        <w:t xml:space="preserve"> </w:t>
      </w:r>
      <w:r>
        <w:t xml:space="preserve">“</w:t>
      </w:r>
      <w:r>
        <w:t xml:space="preserve">s</w:t>
      </w:r>
      <w:r>
        <w:t xml:space="preserve">”</w:t>
      </w:r>
      <w:r>
        <w:t xml:space="preserve"> </w:t>
      </w:r>
      <w:r>
        <w:t xml:space="preserve">… elided by</w:t>
      </w:r>
      <w:r>
        <w:t xml:space="preserve"> </w:t>
      </w:r>
      <w:r>
        <w:rPr>
          <w:bCs/>
          <w:b/>
        </w:rPr>
        <w:t xml:space="preserve">तस्य लोपः</w:t>
      </w:r>
      <w:r>
        <w:t xml:space="preserve"> </w:t>
      </w:r>
      <w:r>
        <w:t xml:space="preserve">(पा. १-३-९);</w:t>
      </w:r>
      <w:r>
        <w:t xml:space="preserve"> </w:t>
      </w:r>
      <w:r>
        <w:t xml:space="preserve">“</w:t>
      </w:r>
      <w:r>
        <w:t xml:space="preserve">vac + a + us</w:t>
      </w:r>
      <w:r>
        <w:t xml:space="preserve">”</w:t>
      </w:r>
      <w:r>
        <w:t xml:space="preserve"> </w:t>
      </w:r>
      <w:r>
        <w:t xml:space="preserve">—</w:t>
      </w:r>
      <w:r>
        <w:t xml:space="preserve"> </w:t>
      </w:r>
      <w:r>
        <w:rPr>
          <w:bCs/>
          <w:b/>
        </w:rPr>
        <w:t xml:space="preserve">वचिस्वपियजादीनां किति</w:t>
      </w:r>
      <w:r>
        <w:t xml:space="preserve"> </w:t>
      </w:r>
      <w:r>
        <w:t xml:space="preserve">(पा. ६-१-१५) and</w:t>
      </w:r>
      <w:r>
        <w:t xml:space="preserve"> </w:t>
      </w:r>
      <w:r>
        <w:rPr>
          <w:bCs/>
          <w:b/>
        </w:rPr>
        <w:t xml:space="preserve">वचेरुम्</w:t>
      </w:r>
      <w:r>
        <w:t xml:space="preserve"> </w:t>
      </w:r>
      <w:r>
        <w:t xml:space="preserve">(पा. ७-४-२०) — before</w:t>
      </w:r>
      <w:r>
        <w:t xml:space="preserve"> </w:t>
      </w:r>
      <w:r>
        <w:t xml:space="preserve">“</w:t>
      </w:r>
      <w:r>
        <w:t xml:space="preserve">aṅ</w:t>
      </w:r>
      <w:r>
        <w:t xml:space="preserve">”</w:t>
      </w:r>
      <w:r>
        <w:t xml:space="preserve"> </w:t>
      </w:r>
      <w:r>
        <w:t xml:space="preserve">the augment</w:t>
      </w:r>
      <w:r>
        <w:t xml:space="preserve"> </w:t>
      </w:r>
      <w:r>
        <w:t xml:space="preserve">“</w:t>
      </w:r>
      <w:r>
        <w:t xml:space="preserve">um</w:t>
      </w:r>
      <w:r>
        <w:t xml:space="preserve">”</w:t>
      </w:r>
      <w:r>
        <w:t xml:space="preserve"> </w:t>
      </w:r>
      <w:r>
        <w:t xml:space="preserve">comes to</w:t>
      </w:r>
      <w:r>
        <w:t xml:space="preserve"> </w:t>
      </w:r>
      <w:r>
        <w:t xml:space="preserve">“</w:t>
      </w:r>
      <w:r>
        <w:t xml:space="preserve">vac</w:t>
      </w:r>
      <w:r>
        <w:t xml:space="preserve">”</w:t>
      </w:r>
      <w:r>
        <w:t xml:space="preserve">;</w:t>
      </w:r>
      <w:r>
        <w:t xml:space="preserve"> </w:t>
      </w:r>
      <w:r>
        <w:rPr>
          <w:bCs/>
          <w:b/>
        </w:rPr>
        <w:t xml:space="preserve">आद्गुणः</w:t>
      </w:r>
      <w:r>
        <w:t xml:space="preserve"> </w:t>
      </w:r>
      <w:r>
        <w:t xml:space="preserve">(पा. ६-१-८७) gives guṇa;</w:t>
      </w:r>
      <w:r>
        <w:t xml:space="preserve"> </w:t>
      </w:r>
      <w:r>
        <w:rPr>
          <w:bCs/>
          <w:b/>
        </w:rPr>
        <w:t xml:space="preserve">यासुट् परस्मैपदेषूदात्तो ङिच्च</w:t>
      </w:r>
      <w:r>
        <w:t xml:space="preserve"> </w:t>
      </w:r>
      <w:r>
        <w:t xml:space="preserve">(पा. ३-४-१०३) — the augment</w:t>
      </w:r>
      <w:r>
        <w:t xml:space="preserve"> </w:t>
      </w:r>
      <w:r>
        <w:t xml:space="preserve">“</w:t>
      </w:r>
      <w:r>
        <w:t xml:space="preserve">yāsuṭ</w:t>
      </w:r>
      <w:r>
        <w:t xml:space="preserve">”</w:t>
      </w:r>
      <w:r>
        <w:t xml:space="preserve"> </w:t>
      </w:r>
      <w:r>
        <w:t xml:space="preserve">in the parasmaipada, acute and</w:t>
      </w:r>
      <w:r>
        <w:t xml:space="preserve"> </w:t>
      </w:r>
      <w:r>
        <w:t xml:space="preserve">“</w:t>
      </w:r>
      <w:r>
        <w:t xml:space="preserve">ṅit</w:t>
      </w:r>
      <w:r>
        <w:t xml:space="preserve">”</w:t>
      </w:r>
      <w:r>
        <w:t xml:space="preserve">;</w:t>
      </w:r>
      <w:r>
        <w:t xml:space="preserve"> </w:t>
      </w:r>
      <w:r>
        <w:rPr>
          <w:bCs/>
          <w:b/>
        </w:rPr>
        <w:t xml:space="preserve">किदाशिषि</w:t>
      </w:r>
      <w:r>
        <w:t xml:space="preserve"> </w:t>
      </w:r>
      <w:r>
        <w:t xml:space="preserve">(पा. ३-४-१०४) —</w:t>
      </w:r>
      <w:r>
        <w:t xml:space="preserve"> </w:t>
      </w:r>
      <w:r>
        <w:t xml:space="preserve">“</w:t>
      </w:r>
      <w:r>
        <w:t xml:space="preserve">yāsuṭ</w:t>
      </w:r>
      <w:r>
        <w:t xml:space="preserve">”</w:t>
      </w:r>
      <w:r>
        <w:t xml:space="preserve"> </w:t>
      </w:r>
      <w:r>
        <w:t xml:space="preserve">in the āśīrliṅ is</w:t>
      </w:r>
      <w:r>
        <w:t xml:space="preserve"> </w:t>
      </w:r>
      <w:r>
        <w:t xml:space="preserve">“</w:t>
      </w:r>
      <w:r>
        <w:t xml:space="preserve">kit</w:t>
      </w:r>
      <w:r>
        <w:t xml:space="preserve">”</w:t>
      </w:r>
      <w:r>
        <w:t xml:space="preserve"> </w:t>
      </w:r>
      <w:r>
        <w:t xml:space="preserve">(so no guṇa); the Mādhava school adds that by this very sūtra</w:t>
      </w:r>
      <w:r>
        <w:t xml:space="preserve"> </w:t>
      </w:r>
      <w:r>
        <w:t xml:space="preserve">“</w:t>
      </w:r>
      <w:r>
        <w:t xml:space="preserve">yāsuṭ</w:t>
      </w:r>
      <w:r>
        <w:t xml:space="preserve">”</w:t>
      </w:r>
      <w:r>
        <w:t xml:space="preserve"> </w:t>
      </w:r>
      <w:r>
        <w:t xml:space="preserve">comes. Hence</w:t>
      </w:r>
      <w:r>
        <w:t xml:space="preserve"> </w:t>
      </w:r>
      <w:r>
        <w:t xml:space="preserve">“</w:t>
      </w:r>
      <w:r>
        <w:t xml:space="preserve">vac + yās + us.</w:t>
      </w:r>
      <w:r>
        <w:t xml:space="preserve">”</w:t>
      </w:r>
      <w:r>
        <w:t xml:space="preserve"> </w:t>
      </w:r>
      <w:r>
        <w:t xml:space="preserve">By</w:t>
      </w:r>
      <w:r>
        <w:t xml:space="preserve"> </w:t>
      </w:r>
      <w:r>
        <w:rPr>
          <w:bCs/>
          <w:b/>
        </w:rPr>
        <w:t xml:space="preserve">छन्दस्युभयथा</w:t>
      </w:r>
      <w:r>
        <w:t xml:space="preserve"> </w:t>
      </w:r>
      <w:r>
        <w:t xml:space="preserve">(पा. ३-४-११७) in the Veda the affix is both</w:t>
      </w:r>
      <w:r>
        <w:t xml:space="preserve"> </w:t>
      </w:r>
      <w:r>
        <w:t xml:space="preserve">“</w:t>
      </w:r>
      <w:r>
        <w:t xml:space="preserve">sārvadhātuka</w:t>
      </w:r>
      <w:r>
        <w:t xml:space="preserve">”</w:t>
      </w:r>
      <w:r>
        <w:t xml:space="preserve"> </w:t>
      </w:r>
      <w:r>
        <w:t xml:space="preserve">and</w:t>
      </w:r>
      <w:r>
        <w:t xml:space="preserve"> </w:t>
      </w:r>
      <w:r>
        <w:t xml:space="preserve">“</w:t>
      </w:r>
      <w:r>
        <w:t xml:space="preserve">ārdhadhātuka</w:t>
      </w:r>
      <w:r>
        <w:t xml:space="preserve">”</w:t>
      </w:r>
      <w:r>
        <w:t xml:space="preserve">; hence</w:t>
      </w:r>
      <w:r>
        <w:t xml:space="preserve"> </w:t>
      </w:r>
      <w:r>
        <w:t xml:space="preserve">“</w:t>
      </w:r>
      <w:r>
        <w:t xml:space="preserve">yās + us</w:t>
      </w:r>
      <w:r>
        <w:t xml:space="preserve">”</w:t>
      </w:r>
      <w:r>
        <w:t xml:space="preserve"> </w:t>
      </w:r>
      <w:r>
        <w:t xml:space="preserve">takes the</w:t>
      </w:r>
      <w:r>
        <w:t xml:space="preserve"> </w:t>
      </w:r>
      <w:r>
        <w:t xml:space="preserve">“</w:t>
      </w:r>
      <w:r>
        <w:t xml:space="preserve">sārvadhātuka</w:t>
      </w:r>
      <w:r>
        <w:t xml:space="preserve">”</w:t>
      </w:r>
      <w:r>
        <w:t xml:space="preserve"> </w:t>
      </w:r>
      <w:r>
        <w:t xml:space="preserve">label, and</w:t>
      </w:r>
      <w:r>
        <w:t xml:space="preserve"> </w:t>
      </w:r>
      <w:r>
        <w:rPr>
          <w:bCs/>
          <w:b/>
        </w:rPr>
        <w:t xml:space="preserve">लिङः सलोपोऽनन्त्यस्य</w:t>
      </w:r>
      <w:r>
        <w:t xml:space="preserve"> </w:t>
      </w:r>
      <w:r>
        <w:t xml:space="preserve">(पा. ७-२-७९) elides the</w:t>
      </w:r>
      <w:r>
        <w:t xml:space="preserve"> </w:t>
      </w:r>
      <w:r>
        <w:t xml:space="preserve">“</w:t>
      </w:r>
      <w:r>
        <w:t xml:space="preserve">s</w:t>
      </w:r>
      <w:r>
        <w:t xml:space="preserve">”</w:t>
      </w:r>
      <w:r>
        <w:t xml:space="preserve"> </w:t>
      </w:r>
      <w:r>
        <w:t xml:space="preserve">of</w:t>
      </w:r>
      <w:r>
        <w:t xml:space="preserve"> </w:t>
      </w:r>
      <w:r>
        <w:t xml:space="preserve">“</w:t>
      </w:r>
      <w:r>
        <w:t xml:space="preserve">yās</w:t>
      </w:r>
      <w:r>
        <w:t xml:space="preserve">”</w:t>
      </w:r>
      <w:r>
        <w:t xml:space="preserve"> </w:t>
      </w:r>
      <w:r>
        <w:t xml:space="preserve">(</w:t>
      </w:r>
      <w:r>
        <w:t xml:space="preserve">“</w:t>
      </w:r>
      <w:r>
        <w:t xml:space="preserve">s</w:t>
      </w:r>
      <w:r>
        <w:t xml:space="preserve">”</w:t>
      </w:r>
      <w:r>
        <w:t xml:space="preserve"> </w:t>
      </w:r>
      <w:r>
        <w:t xml:space="preserve">not at the end);</w:t>
      </w:r>
      <w:r>
        <w:t xml:space="preserve"> </w:t>
      </w:r>
      <w:r>
        <w:rPr>
          <w:bCs/>
          <w:b/>
        </w:rPr>
        <w:t xml:space="preserve">अतो येयः</w:t>
      </w:r>
      <w:r>
        <w:t xml:space="preserve"> </w:t>
      </w:r>
      <w:r>
        <w:t xml:space="preserve">(पा. ७-२-८०) turns the</w:t>
      </w:r>
      <w:r>
        <w:t xml:space="preserve"> </w:t>
      </w:r>
      <w:r>
        <w:t xml:space="preserve">“</w:t>
      </w:r>
      <w:r>
        <w:t xml:space="preserve">yā</w:t>
      </w:r>
      <w:r>
        <w:t xml:space="preserve">”</w:t>
      </w:r>
      <w:r>
        <w:t xml:space="preserve"> </w:t>
      </w:r>
      <w:r>
        <w:t xml:space="preserve">(after an</w:t>
      </w:r>
      <w:r>
        <w:t xml:space="preserve"> </w:t>
      </w:r>
      <w:r>
        <w:t xml:space="preserve">“</w:t>
      </w:r>
      <w:r>
        <w:t xml:space="preserve">a</w:t>
      </w:r>
      <w:r>
        <w:t xml:space="preserve">”</w:t>
      </w:r>
      <w:r>
        <w:t xml:space="preserve">-final stem) into</w:t>
      </w:r>
      <w:r>
        <w:t xml:space="preserve"> </w:t>
      </w:r>
      <w:r>
        <w:t xml:space="preserve">“</w:t>
      </w:r>
      <w:r>
        <w:t xml:space="preserve">iy</w:t>
      </w:r>
      <w:r>
        <w:t xml:space="preserve">”</w:t>
      </w:r>
      <w:r>
        <w:t xml:space="preserve"> </w:t>
      </w:r>
      <w:r>
        <w:t xml:space="preserve">→</w:t>
      </w:r>
      <w:r>
        <w:t xml:space="preserve"> </w:t>
      </w:r>
      <w:r>
        <w:t xml:space="preserve">“</w:t>
      </w:r>
      <w:r>
        <w:t xml:space="preserve">voc-iy-us</w:t>
      </w:r>
      <w:r>
        <w:t xml:space="preserve">”</w:t>
      </w:r>
      <w:r>
        <w:t xml:space="preserve">;</w:t>
      </w:r>
      <w:r>
        <w:t xml:space="preserve"> </w:t>
      </w:r>
      <w:r>
        <w:rPr>
          <w:bCs/>
          <w:b/>
        </w:rPr>
        <w:t xml:space="preserve">आद्गुणः</w:t>
      </w:r>
      <w:r>
        <w:t xml:space="preserve"> </w:t>
      </w:r>
      <w:r>
        <w:t xml:space="preserve">(पा. ६-१-८७) →</w:t>
      </w:r>
      <w:r>
        <w:t xml:space="preserve"> </w:t>
      </w:r>
      <w:r>
        <w:t xml:space="preserve">“</w:t>
      </w:r>
      <w:r>
        <w:t xml:space="preserve">vocēyuḥ.</w:t>
      </w:r>
      <w:r>
        <w:t xml:space="preserve">”</w:t>
      </w:r>
      <w:r>
        <w:t xml:space="preserve"> </w:t>
      </w:r>
      <w:r>
        <w:t xml:space="preserve">The</w:t>
      </w:r>
      <w:r>
        <w:t xml:space="preserve"> </w:t>
      </w:r>
      <w:r>
        <w:t xml:space="preserve">“</w:t>
      </w:r>
      <w:r>
        <w:t xml:space="preserve">sārvadhātuka</w:t>
      </w:r>
      <w:r>
        <w:t xml:space="preserve">”</w:t>
      </w:r>
      <w:r>
        <w:t xml:space="preserve"> </w:t>
      </w:r>
      <w:r>
        <w:t xml:space="preserve">accent is lost by</w:t>
      </w:r>
      <w:r>
        <w:t xml:space="preserve"> </w:t>
      </w:r>
      <w:r>
        <w:rPr>
          <w:bCs/>
          <w:b/>
        </w:rPr>
        <w:t xml:space="preserve">तास्यनुदात्तेन्ङिददुपदेशाल्लसार्वधातुकमनुदात्तमहन्वनोर्ङित्</w:t>
      </w:r>
      <w:r>
        <w:t xml:space="preserve"> </w:t>
      </w:r>
      <w:r>
        <w:t xml:space="preserve">(पा. ६-१-१८६) and the affix</w:t>
      </w:r>
      <w:r>
        <w:t xml:space="preserve"> </w:t>
      </w:r>
      <w:r>
        <w:t xml:space="preserve">“</w:t>
      </w:r>
      <w:r>
        <w:t xml:space="preserve">aṅ</w:t>
      </w:r>
      <w:r>
        <w:t xml:space="preserve">”</w:t>
      </w:r>
      <w:r>
        <w:t xml:space="preserve"> </w:t>
      </w:r>
      <w:r>
        <w:t xml:space="preserve">keeps its own acute; the single substitute</w:t>
      </w:r>
      <w:r>
        <w:t xml:space="preserve"> </w:t>
      </w:r>
      <w:r>
        <w:t xml:space="preserve">“</w:t>
      </w:r>
      <w:r>
        <w:t xml:space="preserve">ē</w:t>
      </w:r>
      <w:r>
        <w:t xml:space="preserve">”</w:t>
      </w:r>
      <w:r>
        <w:t xml:space="preserve"> </w:t>
      </w:r>
      <w:r>
        <w:t xml:space="preserve">of</w:t>
      </w:r>
      <w:r>
        <w:t xml:space="preserve"> </w:t>
      </w:r>
      <w:r>
        <w:t xml:space="preserve">“</w:t>
      </w:r>
      <w:r>
        <w:t xml:space="preserve">i + a</w:t>
      </w:r>
      <w:r>
        <w:t xml:space="preserve">”</w:t>
      </w:r>
      <w:r>
        <w:t xml:space="preserve"> </w:t>
      </w:r>
      <w:r>
        <w:t xml:space="preserve">… is acute by</w:t>
      </w:r>
      <w:r>
        <w:t xml:space="preserve"> </w:t>
      </w:r>
      <w:r>
        <w:rPr>
          <w:bCs/>
          <w:b/>
        </w:rPr>
        <w:t xml:space="preserve">एकादेश उदात्तेनोदात्तः</w:t>
      </w:r>
      <w:r>
        <w:t xml:space="preserve"> </w:t>
      </w:r>
      <w:r>
        <w:t xml:space="preserve">(पा. ८-२-५).</w:t>
      </w:r>
      <w:r>
        <w:t xml:space="preserve"> </w:t>
      </w:r>
      <w:r>
        <w:t xml:space="preserve">-</w:t>
      </w:r>
      <w:r>
        <w:t xml:space="preserve"> </w:t>
      </w:r>
      <w:r>
        <w:rPr>
          <w:bCs/>
          <w:b/>
        </w:rPr>
        <w:t xml:space="preserve">“</w:t>
      </w:r>
      <w:r>
        <w:rPr>
          <w:bCs/>
          <w:b/>
        </w:rPr>
        <w:t xml:space="preserve">Dasma</w:t>
      </w:r>
      <w:r>
        <w:rPr>
          <w:bCs/>
          <w:b/>
        </w:rPr>
        <w:t xml:space="preserve">”</w:t>
      </w:r>
      <w:r>
        <w:t xml:space="preserve"> </w:t>
      </w:r>
      <w:r>
        <w:t xml:space="preserve">—</w:t>
      </w:r>
      <w:r>
        <w:t xml:space="preserve"> </w:t>
      </w:r>
      <w:r>
        <w:t xml:space="preserve">“</w:t>
      </w:r>
      <w:r>
        <w:t xml:space="preserve">dasu upakṣaye</w:t>
      </w:r>
      <w:r>
        <w:t xml:space="preserve">”</w:t>
      </w:r>
      <w:r>
        <w:t xml:space="preserve"> </w:t>
      </w:r>
      <w:r>
        <w:t xml:space="preserve">with the Uṇādi</w:t>
      </w:r>
      <w:r>
        <w:t xml:space="preserve"> </w:t>
      </w:r>
      <w:r>
        <w:rPr>
          <w:bCs/>
          <w:b/>
        </w:rPr>
        <w:t xml:space="preserve">ईषियुधीन्धिदसिश्याधूसूभ्योऽमुक्</w:t>
      </w:r>
      <w:r>
        <w:t xml:space="preserve"> </w:t>
      </w:r>
      <w:r>
        <w:t xml:space="preserve">[as printed] (उ. सू. १-१४४) the affix</w:t>
      </w:r>
      <w:r>
        <w:t xml:space="preserve"> </w:t>
      </w:r>
      <w:r>
        <w:t xml:space="preserve">“</w:t>
      </w:r>
      <w:r>
        <w:t xml:space="preserve">ma</w:t>
      </w:r>
      <w:r>
        <w:t xml:space="preserve">”</w:t>
      </w:r>
      <w:r>
        <w:t xml:space="preserve"> </w:t>
      </w:r>
      <w:r>
        <w:t xml:space="preserve">with the augment</w:t>
      </w:r>
      <w:r>
        <w:t xml:space="preserve"> </w:t>
      </w:r>
      <w:r>
        <w:t xml:space="preserve">“</w:t>
      </w:r>
      <w:r>
        <w:t xml:space="preserve">muk</w:t>
      </w:r>
      <w:r>
        <w:t xml:space="preserve">”</w:t>
      </w:r>
      <w:r>
        <w:t xml:space="preserve">; as a vocative standing after another word it loses its accent (</w:t>
      </w:r>
      <w:r>
        <w:rPr>
          <w:bCs/>
          <w:b/>
        </w:rPr>
        <w:t xml:space="preserve">आमन्त्रितस्य च</w:t>
      </w:r>
      <w:r>
        <w:t xml:space="preserve">, as printed).</w:t>
      </w:r>
      <w:r>
        <w:t xml:space="preserve"> </w:t>
      </w:r>
      <w:r>
        <w:t xml:space="preserve">-</w:t>
      </w:r>
      <w:r>
        <w:t xml:space="preserve"> </w:t>
      </w:r>
      <w:r>
        <w:rPr>
          <w:bCs/>
          <w:b/>
        </w:rPr>
        <w:t xml:space="preserve">“</w:t>
      </w:r>
      <w:r>
        <w:rPr>
          <w:bCs/>
          <w:b/>
        </w:rPr>
        <w:t xml:space="preserve">Kṛṣṭayaḥ</w:t>
      </w:r>
      <w:r>
        <w:rPr>
          <w:bCs/>
          <w:b/>
        </w:rPr>
        <w:t xml:space="preserve">”</w:t>
      </w:r>
      <w:r>
        <w:t xml:space="preserve"> </w:t>
      </w:r>
      <w:r>
        <w:t xml:space="preserve">—</w:t>
      </w:r>
      <w:r>
        <w:t xml:space="preserve"> </w:t>
      </w:r>
      <w:r>
        <w:rPr>
          <w:bCs/>
          <w:b/>
        </w:rPr>
        <w:t xml:space="preserve">क्तिच्क्तौ च संज्ञायाम्</w:t>
      </w:r>
      <w:r>
        <w:t xml:space="preserve"> </w:t>
      </w:r>
      <w:r>
        <w:t xml:space="preserve">(पा. ३-३-१७४):</w:t>
      </w:r>
      <w:r>
        <w:t xml:space="preserve"> </w:t>
      </w:r>
      <w:r>
        <w:t xml:space="preserve">“</w:t>
      </w:r>
      <w:r>
        <w:t xml:space="preserve">ktic</w:t>
      </w:r>
      <w:r>
        <w:t xml:space="preserve">”</w:t>
      </w:r>
      <w:r>
        <w:t xml:space="preserve"> </w:t>
      </w:r>
      <w:r>
        <w:t xml:space="preserve">and</w:t>
      </w:r>
      <w:r>
        <w:t xml:space="preserve"> </w:t>
      </w:r>
      <w:r>
        <w:t xml:space="preserve">“</w:t>
      </w:r>
      <w:r>
        <w:t xml:space="preserve">kta</w:t>
      </w:r>
      <w:r>
        <w:t xml:space="preserve">”</w:t>
      </w:r>
      <w:r>
        <w:t xml:space="preserve"> </w:t>
      </w:r>
      <w:r>
        <w:t xml:space="preserve">in a sense of a name:</w:t>
      </w:r>
      <w:r>
        <w:t xml:space="preserve"> </w:t>
      </w:r>
      <w:r>
        <w:t xml:space="preserve">“</w:t>
      </w:r>
      <w:r>
        <w:t xml:space="preserve">ktic</w:t>
      </w:r>
      <w:r>
        <w:t xml:space="preserve">”</w:t>
      </w:r>
      <w:r>
        <w:t xml:space="preserve"> </w:t>
      </w:r>
      <w:r>
        <w:t xml:space="preserve">is added to</w:t>
      </w:r>
      <w:r>
        <w:t xml:space="preserve"> </w:t>
      </w:r>
      <w:r>
        <w:t xml:space="preserve">“</w:t>
      </w:r>
      <w:r>
        <w:t xml:space="preserve">kṛṣ,</w:t>
      </w:r>
      <w:r>
        <w:t xml:space="preserve">”</w:t>
      </w:r>
      <w:r>
        <w:t xml:space="preserve"> </w:t>
      </w:r>
      <w:r>
        <w:t xml:space="preserve">meaning</w:t>
      </w:r>
      <w:r>
        <w:t xml:space="preserve"> </w:t>
      </w:r>
      <w:r>
        <w:t xml:space="preserve">“</w:t>
      </w:r>
      <w:r>
        <w:t xml:space="preserve">men</w:t>
      </w:r>
      <w:r>
        <w:t xml:space="preserve">”</w:t>
      </w:r>
      <w:r>
        <w:t xml:space="preserve">;</w:t>
      </w:r>
      <w:r>
        <w:t xml:space="preserve"> </w:t>
      </w:r>
      <w:r>
        <w:t xml:space="preserve">“</w:t>
      </w:r>
      <w:r>
        <w:t xml:space="preserve">c</w:t>
      </w:r>
      <w:r>
        <w:t xml:space="preserve">”</w:t>
      </w:r>
      <w:r>
        <w:t xml:space="preserve">-marked, so the last syllable is acute by</w:t>
      </w:r>
      <w:r>
        <w:t xml:space="preserve"> </w:t>
      </w:r>
      <w:r>
        <w:rPr>
          <w:bCs/>
          <w:b/>
        </w:rPr>
        <w:t xml:space="preserve">चितः</w:t>
      </w:r>
      <w:r>
        <w:t xml:space="preserve"> </w:t>
      </w:r>
      <w:r>
        <w:t xml:space="preserve">(पा. ६-१-१६३).</w:t>
      </w:r>
      <w:r>
        <w:t xml:space="preserve"> </w:t>
      </w:r>
      <w:r>
        <w:t xml:space="preserve">-</w:t>
      </w:r>
      <w:r>
        <w:t xml:space="preserve"> </w:t>
      </w:r>
      <w:r>
        <w:rPr>
          <w:bCs/>
          <w:b/>
        </w:rPr>
        <w:t xml:space="preserve">“</w:t>
      </w:r>
      <w:r>
        <w:rPr>
          <w:bCs/>
          <w:b/>
        </w:rPr>
        <w:t xml:space="preserve">Syāma</w:t>
      </w:r>
      <w:r>
        <w:rPr>
          <w:bCs/>
          <w:b/>
        </w:rPr>
        <w:t xml:space="preserve">”</w:t>
      </w:r>
      <w:r>
        <w:t xml:space="preserve"> </w:t>
      </w:r>
      <w:r>
        <w:t xml:space="preserve">—</w:t>
      </w:r>
      <w:r>
        <w:t xml:space="preserve"> </w:t>
      </w:r>
      <w:r>
        <w:t xml:space="preserve">“</w:t>
      </w:r>
      <w:r>
        <w:t xml:space="preserve">as bhuvi</w:t>
      </w:r>
      <w:r>
        <w:t xml:space="preserve">”</w:t>
      </w:r>
      <w:r>
        <w:t xml:space="preserve"> </w:t>
      </w:r>
      <w:r>
        <w:t xml:space="preserve">(to be) in the optative (vidhi-liṅ), first-person plural;</w:t>
      </w:r>
      <w:r>
        <w:t xml:space="preserve"> </w:t>
      </w:r>
      <w:r>
        <w:t xml:space="preserve">“</w:t>
      </w:r>
      <w:r>
        <w:t xml:space="preserve">yāsuṭ</w:t>
      </w:r>
      <w:r>
        <w:t xml:space="preserve">”</w:t>
      </w:r>
      <w:r>
        <w:t xml:space="preserve">; by</w:t>
      </w:r>
      <w:r>
        <w:t xml:space="preserve"> </w:t>
      </w:r>
      <w:r>
        <w:rPr>
          <w:bCs/>
          <w:b/>
        </w:rPr>
        <w:t xml:space="preserve">लिङः सलोपोऽनन्त्यस्य</w:t>
      </w:r>
      <w:r>
        <w:t xml:space="preserve"> </w:t>
      </w:r>
      <w:r>
        <w:t xml:space="preserve">(पा. ७-२-७९) the</w:t>
      </w:r>
      <w:r>
        <w:t xml:space="preserve"> </w:t>
      </w:r>
      <w:r>
        <w:t xml:space="preserve">“</w:t>
      </w:r>
      <w:r>
        <w:t xml:space="preserve">s</w:t>
      </w:r>
      <w:r>
        <w:t xml:space="preserve">”</w:t>
      </w:r>
      <w:r>
        <w:t xml:space="preserve"> </w:t>
      </w:r>
      <w:r>
        <w:t xml:space="preserve">is elided; the affix</w:t>
      </w:r>
      <w:r>
        <w:t xml:space="preserve"> </w:t>
      </w:r>
      <w:r>
        <w:t xml:space="preserve">“</w:t>
      </w:r>
      <w:r>
        <w:t xml:space="preserve">mas</w:t>
      </w:r>
      <w:r>
        <w:t xml:space="preserve">”</w:t>
      </w:r>
      <w:r>
        <w:t xml:space="preserve"> </w:t>
      </w:r>
      <w:r>
        <w:t xml:space="preserve">loses its final</w:t>
      </w:r>
      <w:r>
        <w:t xml:space="preserve"> </w:t>
      </w:r>
      <w:r>
        <w:t xml:space="preserve">“</w:t>
      </w:r>
      <w:r>
        <w:t xml:space="preserve">s</w:t>
      </w:r>
      <w:r>
        <w:t xml:space="preserve">”</w:t>
      </w:r>
      <w:r>
        <w:t xml:space="preserve"> </w:t>
      </w:r>
      <w:r>
        <w:t xml:space="preserve">(</w:t>
      </w:r>
      <w:r>
        <w:rPr>
          <w:bCs/>
          <w:b/>
        </w:rPr>
        <w:t xml:space="preserve">नित्यं ङितः</w:t>
      </w:r>
      <w:r>
        <w:t xml:space="preserve">, पा. ३-४-९९);</w:t>
      </w:r>
      <w:r>
        <w:t xml:space="preserve"> </w:t>
      </w:r>
      <w:r>
        <w:rPr>
          <w:bCs/>
          <w:b/>
        </w:rPr>
        <w:t xml:space="preserve">श्नसोरल्लोपः</w:t>
      </w:r>
      <w:r>
        <w:t xml:space="preserve"> </w:t>
      </w:r>
      <w:r>
        <w:t xml:space="preserve">(पा. ६-४-१११) the</w:t>
      </w:r>
      <w:r>
        <w:t xml:space="preserve"> </w:t>
      </w:r>
      <w:r>
        <w:t xml:space="preserve">“</w:t>
      </w:r>
      <w:r>
        <w:t xml:space="preserve">a</w:t>
      </w:r>
      <w:r>
        <w:t xml:space="preserve">”</w:t>
      </w:r>
      <w:r>
        <w:t xml:space="preserve"> </w:t>
      </w:r>
      <w:r>
        <w:t xml:space="preserve">of</w:t>
      </w:r>
      <w:r>
        <w:t xml:space="preserve"> </w:t>
      </w:r>
      <w:r>
        <w:t xml:space="preserve">“</w:t>
      </w:r>
      <w:r>
        <w:t xml:space="preserve">as</w:t>
      </w:r>
      <w:r>
        <w:t xml:space="preserve">”</w:t>
      </w:r>
      <w:r>
        <w:t xml:space="preserve"> </w:t>
      </w:r>
      <w:r>
        <w:t xml:space="preserve">is elided before an affix that is</w:t>
      </w:r>
      <w:r>
        <w:t xml:space="preserve"> </w:t>
      </w:r>
      <w:r>
        <w:t xml:space="preserve">“</w:t>
      </w:r>
      <w:r>
        <w:t xml:space="preserve">k</w:t>
      </w:r>
      <w:r>
        <w:t xml:space="preserve">”</w:t>
      </w:r>
      <w:r>
        <w:t xml:space="preserve"> </w:t>
      </w:r>
      <w:r>
        <w:t xml:space="preserve">or</w:t>
      </w:r>
      <w:r>
        <w:t xml:space="preserve"> </w:t>
      </w:r>
      <w:r>
        <w:t xml:space="preserve">“</w:t>
      </w:r>
      <w:r>
        <w:t xml:space="preserve">ṅ</w:t>
      </w:r>
      <w:r>
        <w:t xml:space="preserve">”</w:t>
      </w:r>
      <w:r>
        <w:t xml:space="preserve">-marked; hence</w:t>
      </w:r>
      <w:r>
        <w:t xml:space="preserve"> </w:t>
      </w:r>
      <w:r>
        <w:t xml:space="preserve">“</w:t>
      </w:r>
      <w:r>
        <w:t xml:space="preserve">s-yā-ma</w:t>
      </w:r>
      <w:r>
        <w:t xml:space="preserve">”</w:t>
      </w:r>
      <w:r>
        <w:t xml:space="preserve"> </w:t>
      </w:r>
      <w:r>
        <w:t xml:space="preserve">→</w:t>
      </w:r>
      <w:r>
        <w:t xml:space="preserve"> </w:t>
      </w:r>
      <w:r>
        <w:t xml:space="preserve">“</w:t>
      </w:r>
      <w:r>
        <w:t xml:space="preserve">syāma.</w:t>
      </w:r>
      <w:r>
        <w:t xml:space="preserve">”</w:t>
      </w:r>
      <w:r>
        <w:t xml:space="preserve"> </w:t>
      </w:r>
      <w:r>
        <w:rPr>
          <w:iCs/>
          <w:i/>
        </w:rPr>
        <w:t xml:space="preserve">(The page ends mid-derivation of</w:t>
      </w:r>
      <w:r>
        <w:rPr>
          <w:iCs/>
          <w:i/>
        </w:rPr>
        <w:t xml:space="preserve"> </w:t>
      </w:r>
      <w:r>
        <w:rPr>
          <w:iCs/>
          <w:i/>
        </w:rPr>
        <w:t xml:space="preserve">“</w:t>
      </w:r>
      <w:r>
        <w:rPr>
          <w:iCs/>
          <w:i/>
        </w:rPr>
        <w:t xml:space="preserve">syāma</w:t>
      </w:r>
      <w:r>
        <w:rPr>
          <w:iCs/>
          <w:i/>
        </w:rPr>
        <w:t xml:space="preserve">”</w:t>
      </w:r>
      <w:r>
        <w:rPr>
          <w:iCs/>
          <w:i/>
        </w:rPr>
        <w:t xml:space="preserve">; it continues on p. 116.)</w:t>
      </w:r>
    </w:p>
    <w:bookmarkEnd w:id="146"/>
    <w:bookmarkStart w:id="147" w:name="Xcf7f756553f0bca739802c1dd2290297c1fa675"/>
    <w:p>
      <w:pPr>
        <w:pStyle w:val="Heading3"/>
      </w:pPr>
      <w:r>
        <w:t xml:space="preserve">Page 116 — Rik 4.6 grammar concluded; Sūkta 4, Seventh Mantra: Saṃhitā, Pada, Sāyaṇa-bhāṣya (opening)</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4.</w:t>
      </w:r>
      <w:r>
        <w:rPr>
          <w:iCs/>
          <w:i/>
        </w:rPr>
        <w:t xml:space="preserve">”</w:t>
      </w:r>
      <w:r>
        <w:rPr>
          <w:iCs/>
          <w:i/>
        </w:rPr>
        <w:t xml:space="preserve"> </w:t>
      </w:r>
      <w:r>
        <w:rPr>
          <w:iCs/>
          <w:i/>
        </w:rPr>
        <w:t xml:space="preserve">Saṃhitā accents as printed; Pada unaccented. Sanskrit printed in Kannada script; [?] where unclear.)</w:t>
      </w:r>
    </w:p>
    <w:p>
      <w:pPr>
        <w:pStyle w:val="BodyText"/>
      </w:pPr>
      <w:r>
        <w:rPr>
          <w:iCs/>
          <w:i/>
        </w:rPr>
        <w:t xml:space="preserve">(Continuing</w:t>
      </w:r>
      <w:r>
        <w:rPr>
          <w:iCs/>
          <w:i/>
        </w:rPr>
        <w:t xml:space="preserve"> </w:t>
      </w:r>
      <w:r>
        <w:rPr>
          <w:iCs/>
          <w:i/>
        </w:rPr>
        <w:t xml:space="preserve">“</w:t>
      </w:r>
      <w:r>
        <w:rPr>
          <w:iCs/>
          <w:i/>
        </w:rPr>
        <w:t xml:space="preserve">syāma</w:t>
      </w:r>
      <w:r>
        <w:rPr>
          <w:iCs/>
          <w:i/>
        </w:rPr>
        <w:t xml:space="preserve">”</w:t>
      </w:r>
      <w:r>
        <w:rPr>
          <w:iCs/>
          <w:i/>
        </w:rPr>
        <w:t xml:space="preserve"> </w:t>
      </w:r>
      <w:r>
        <w:rPr>
          <w:iCs/>
          <w:i/>
        </w:rPr>
        <w:t xml:space="preserve">from p. 115:)</w:t>
      </w:r>
      <w:r>
        <w:t xml:space="preserve"> </w:t>
      </w:r>
      <w:r>
        <w:t xml:space="preserve">…</w:t>
      </w:r>
      <w:r>
        <w:t xml:space="preserve">“</w:t>
      </w:r>
      <w:r>
        <w:t xml:space="preserve">yāsuṭ</w:t>
      </w:r>
      <w:r>
        <w:t xml:space="preserve">”</w:t>
      </w:r>
      <w:r>
        <w:t xml:space="preserve"> </w:t>
      </w:r>
      <w:r>
        <w:t xml:space="preserve">is acute; since</w:t>
      </w:r>
      <w:r>
        <w:t xml:space="preserve"> </w:t>
      </w:r>
      <w:r>
        <w:t xml:space="preserve">“</w:t>
      </w:r>
      <w:r>
        <w:t xml:space="preserve">syāma</w:t>
      </w:r>
      <w:r>
        <w:t xml:space="preserve">”</w:t>
      </w:r>
      <w:r>
        <w:t xml:space="preserve"> </w:t>
      </w:r>
      <w:r>
        <w:t xml:space="preserve">stands at the beginning of the pāda,</w:t>
      </w:r>
      <w:r>
        <w:t xml:space="preserve"> </w:t>
      </w:r>
      <w:r>
        <w:rPr>
          <w:bCs/>
          <w:b/>
        </w:rPr>
        <w:t xml:space="preserve">तिङ्ङतिङः</w:t>
      </w:r>
      <w:r>
        <w:t xml:space="preserve"> </w:t>
      </w:r>
      <w:r>
        <w:t xml:space="preserve">(पा. ८-१-२८) does not cause the nighāta.</w:t>
      </w:r>
      <w:r>
        <w:t xml:space="preserve"> </w:t>
      </w:r>
      <w:r>
        <w:rPr>
          <w:bCs/>
          <w:b/>
        </w:rPr>
        <w:t xml:space="preserve">“</w:t>
      </w:r>
      <w:r>
        <w:rPr>
          <w:bCs/>
          <w:b/>
        </w:rPr>
        <w:t xml:space="preserve">Śarmaṇi</w:t>
      </w:r>
      <w:r>
        <w:rPr>
          <w:bCs/>
          <w:b/>
        </w:rPr>
        <w:t xml:space="preserve">”</w:t>
      </w:r>
      <w:r>
        <w:t xml:space="preserve"> </w:t>
      </w:r>
      <w:r>
        <w:t xml:space="preserve">—</w:t>
      </w:r>
      <w:r>
        <w:t xml:space="preserve"> </w:t>
      </w:r>
      <w:r>
        <w:t xml:space="preserve">“</w:t>
      </w:r>
      <w:r>
        <w:t xml:space="preserve">śṝ hiṃsāyām</w:t>
      </w:r>
      <w:r>
        <w:t xml:space="preserve">”</w:t>
      </w:r>
      <w:r>
        <w:t xml:space="preserve"> </w:t>
      </w:r>
      <w:r>
        <w:t xml:space="preserve">(to injure):</w:t>
      </w:r>
      <w:r>
        <w:t xml:space="preserve"> </w:t>
      </w:r>
      <w:r>
        <w:t xml:space="preserve">“</w:t>
      </w:r>
      <w:r>
        <w:t xml:space="preserve">hinasti duḥkham iti śarma</w:t>
      </w:r>
      <w:r>
        <w:t xml:space="preserve">”</w:t>
      </w:r>
      <w:r>
        <w:t xml:space="preserve"> </w:t>
      </w:r>
      <w:r>
        <w:t xml:space="preserve">(</w:t>
      </w:r>
      <w:r>
        <w:t xml:space="preserve">“</w:t>
      </w:r>
      <w:r>
        <w:t xml:space="preserve">that which destroys sorrow</w:t>
      </w:r>
      <w:r>
        <w:t xml:space="preserve">”</w:t>
      </w:r>
      <w:r>
        <w:t xml:space="preserve">);</w:t>
      </w:r>
      <w:r>
        <w:t xml:space="preserve"> </w:t>
      </w:r>
      <w:r>
        <w:rPr>
          <w:bCs/>
          <w:b/>
        </w:rPr>
        <w:t xml:space="preserve">अन्येभ्योऽपि दृश्यन्ते</w:t>
      </w:r>
      <w:r>
        <w:t xml:space="preserve"> </w:t>
      </w:r>
      <w:r>
        <w:t xml:space="preserve">(पा. ३-२-७५) the affix</w:t>
      </w:r>
      <w:r>
        <w:t xml:space="preserve"> </w:t>
      </w:r>
      <w:r>
        <w:t xml:space="preserve">“</w:t>
      </w:r>
      <w:r>
        <w:t xml:space="preserve">manin</w:t>
      </w:r>
      <w:r>
        <w:t xml:space="preserve">”</w:t>
      </w:r>
      <w:r>
        <w:t xml:space="preserve">;</w:t>
      </w:r>
      <w:r>
        <w:t xml:space="preserve"> </w:t>
      </w:r>
      <w:r>
        <w:rPr>
          <w:bCs/>
          <w:b/>
        </w:rPr>
        <w:t xml:space="preserve">ṇ-ending</w:t>
      </w:r>
      <w:r>
        <w:rPr>
          <w:bCs/>
          <w:b/>
        </w:rPr>
        <w:t xml:space="preserve"> </w:t>
      </w:r>
      <w:r>
        <w:rPr>
          <w:bCs/>
          <w:b/>
        </w:rPr>
        <w:t xml:space="preserve">“</w:t>
      </w:r>
      <w:r>
        <w:rPr>
          <w:bCs/>
          <w:b/>
        </w:rPr>
        <w:t xml:space="preserve">śṝ</w:t>
      </w:r>
      <w:r>
        <w:rPr>
          <w:bCs/>
          <w:b/>
        </w:rPr>
        <w:t xml:space="preserve">”</w:t>
      </w:r>
      <w:r>
        <w:t xml:space="preserve"> </w:t>
      </w:r>
      <w:r>
        <w:t xml:space="preserve">takes guṇa →</w:t>
      </w:r>
      <w:r>
        <w:t xml:space="preserve"> </w:t>
      </w:r>
      <w:r>
        <w:t xml:space="preserve">“</w:t>
      </w:r>
      <w:r>
        <w:t xml:space="preserve">śar-man</w:t>
      </w:r>
      <w:r>
        <w:t xml:space="preserve">”</w:t>
      </w:r>
      <w:r>
        <w:t xml:space="preserve">;</w:t>
      </w:r>
      <w:r>
        <w:t xml:space="preserve"> </w:t>
      </w:r>
      <w:r>
        <w:t xml:space="preserve">“</w:t>
      </w:r>
      <w:r>
        <w:t xml:space="preserve">iṭ</w:t>
      </w:r>
      <w:r>
        <w:t xml:space="preserve">”</w:t>
      </w:r>
      <w:r>
        <w:t xml:space="preserve"> </w:t>
      </w:r>
      <w:r>
        <w:t xml:space="preserve">does not come to a</w:t>
      </w:r>
      <w:r>
        <w:t xml:space="preserve"> </w:t>
      </w:r>
      <w:r>
        <w:t xml:space="preserve">“</w:t>
      </w:r>
      <w:r>
        <w:t xml:space="preserve">kṛt</w:t>
      </w:r>
      <w:r>
        <w:t xml:space="preserve">”</w:t>
      </w:r>
      <w:r>
        <w:t xml:space="preserve"> </w:t>
      </w:r>
      <w:r>
        <w:t xml:space="preserve">ending in a</w:t>
      </w:r>
      <w:r>
        <w:t xml:space="preserve"> </w:t>
      </w:r>
      <w:r>
        <w:t xml:space="preserve">“</w:t>
      </w:r>
      <w:r>
        <w:t xml:space="preserve">val</w:t>
      </w:r>
      <w:r>
        <w:t xml:space="preserve">”</w:t>
      </w:r>
      <w:r>
        <w:t xml:space="preserve"> </w:t>
      </w:r>
      <w:r>
        <w:t xml:space="preserve">affix by</w:t>
      </w:r>
      <w:r>
        <w:t xml:space="preserve"> </w:t>
      </w:r>
      <w:r>
        <w:rPr>
          <w:bCs/>
          <w:b/>
        </w:rPr>
        <w:t xml:space="preserve">नेड्वशि कृति</w:t>
      </w:r>
      <w:r>
        <w:t xml:space="preserve"> </w:t>
      </w:r>
      <w:r>
        <w:t xml:space="preserve">(पा. ७-२-८), though</w:t>
      </w:r>
      <w:r>
        <w:t xml:space="preserve"> </w:t>
      </w:r>
      <w:r>
        <w:rPr>
          <w:bCs/>
          <w:b/>
        </w:rPr>
        <w:t xml:space="preserve">आर्धधातुकस्येड्वलादेः</w:t>
      </w:r>
      <w:r>
        <w:t xml:space="preserve"> </w:t>
      </w:r>
      <w:r>
        <w:t xml:space="preserve">(पा. ७-२-३५) would require it; since</w:t>
      </w:r>
      <w:r>
        <w:t xml:space="preserve"> </w:t>
      </w:r>
      <w:r>
        <w:t xml:space="preserve">“</w:t>
      </w:r>
      <w:r>
        <w:t xml:space="preserve">manin</w:t>
      </w:r>
      <w:r>
        <w:t xml:space="preserve">”</w:t>
      </w:r>
      <w:r>
        <w:t xml:space="preserve"> </w:t>
      </w:r>
      <w:r>
        <w:t xml:space="preserve">is</w:t>
      </w:r>
      <w:r>
        <w:t xml:space="preserve"> </w:t>
      </w:r>
      <w:r>
        <w:t xml:space="preserve">“</w:t>
      </w:r>
      <w:r>
        <w:t xml:space="preserve">n</w:t>
      </w:r>
      <w:r>
        <w:t xml:space="preserve">”</w:t>
      </w:r>
      <w:r>
        <w:t xml:space="preserve">-marked,</w:t>
      </w:r>
      <w:r>
        <w:t xml:space="preserve"> </w:t>
      </w:r>
      <w:r>
        <w:rPr>
          <w:bCs/>
          <w:b/>
        </w:rPr>
        <w:t xml:space="preserve">ञित्यादिर्नित्यम्</w:t>
      </w:r>
      <w:r>
        <w:t xml:space="preserve"> </w:t>
      </w:r>
      <w:r>
        <w:t xml:space="preserve">(पा. ६-१-१९७) gives the first-syllable acute. ॥६॥</w:t>
      </w:r>
    </w:p>
    <w:p>
      <w:r>
        <w:pict>
          <v:rect style="width:0;height:1.5pt" o:hralign="center" o:hrstd="t" o:hr="t"/>
        </w:pict>
      </w:r>
    </w:p>
    <w:bookmarkEnd w:id="147"/>
    <w:bookmarkStart w:id="148" w:name="sūkta-4-the-seventh-mantra"/>
    <w:p>
      <w:pPr>
        <w:pStyle w:val="Heading3"/>
      </w:pPr>
      <w:r>
        <w:t xml:space="preserve">Sūkta 4, The Seventh Mantra</w:t>
      </w:r>
    </w:p>
    <w:p>
      <w:pPr>
        <w:pStyle w:val="FirstParagraph"/>
      </w:pPr>
      <w:r>
        <w:rPr>
          <w:bCs/>
          <w:b/>
        </w:rPr>
        <w:t xml:space="preserve">॥ Saṃhitā-pāṭhaḥ ॥</w:t>
      </w:r>
    </w:p>
    <w:p>
      <w:pPr>
        <w:pStyle w:val="BlockText"/>
      </w:pPr>
      <w:r>
        <w:t xml:space="preserve">एमा॒शुमा॒शवे॑ भर यज्ञश्रियं॑ नृमाद॑नं ।</w:t>
      </w:r>
      <w:r>
        <w:t xml:space="preserve"> </w:t>
      </w:r>
      <w:r>
        <w:t xml:space="preserve">प॒त॒यन्मं॑द॒यत्स॑खं ॥७॥</w:t>
      </w:r>
    </w:p>
    <w:p>
      <w:pPr>
        <w:pStyle w:val="BlockText"/>
      </w:pPr>
      <w:r>
        <w:rPr>
          <w:iCs/>
          <w:i/>
        </w:rPr>
        <w:t xml:space="preserve">emāśúmāśáve bhara yajñaśríyaṃ nṛmā́danaṃ |</w:t>
      </w:r>
      <w:r>
        <w:t xml:space="preserve"> </w:t>
      </w:r>
      <w:r>
        <w:rPr>
          <w:iCs/>
          <w:i/>
        </w:rPr>
        <w:t xml:space="preserve">patayánmaṃdayátsakhaṃ ||7||</w:t>
      </w:r>
    </w:p>
    <w:p>
      <w:pPr>
        <w:pStyle w:val="FirstParagraph"/>
      </w:pPr>
      <w:r>
        <w:rPr>
          <w:bCs/>
          <w:b/>
        </w:rPr>
        <w:t xml:space="preserve">॥ Pada-pāṭhaḥ ॥</w:t>
      </w:r>
    </w:p>
    <w:p>
      <w:pPr>
        <w:pStyle w:val="BlockText"/>
      </w:pPr>
      <w:r>
        <w:t xml:space="preserve">आ । ईम् । आशुम् । आशवे । भर । यज्ञऽश्रियम् । नृऽमादनम् ।</w:t>
      </w:r>
      <w:r>
        <w:t xml:space="preserve"> </w:t>
      </w:r>
      <w:r>
        <w:t xml:space="preserve">पतयत् । मन्दयत्ऽसखम् ॥७॥</w:t>
      </w:r>
    </w:p>
    <w:p>
      <w:pPr>
        <w:pStyle w:val="FirstParagraph"/>
      </w:pPr>
      <w:r>
        <w:rPr>
          <w:iCs/>
          <w:i/>
        </w:rPr>
        <w:t xml:space="preserve">(Reading notes: (i) the print of the first line in the Saṃhitā runs the words together as</w:t>
      </w:r>
      <w:r>
        <w:rPr>
          <w:iCs/>
          <w:i/>
        </w:rPr>
        <w:t xml:space="preserve"> </w:t>
      </w:r>
      <w:r>
        <w:rPr>
          <w:iCs/>
          <w:i/>
        </w:rPr>
        <w:t xml:space="preserve">“</w:t>
      </w:r>
      <w:r>
        <w:rPr>
          <w:iCs/>
          <w:i/>
        </w:rPr>
        <w:t xml:space="preserve">ā īm āśum āśave …</w:t>
      </w:r>
      <w:r>
        <w:rPr>
          <w:iCs/>
          <w:i/>
        </w:rPr>
        <w:t xml:space="preserve">”</w:t>
      </w:r>
      <w:r>
        <w:rPr>
          <w:iCs/>
          <w:i/>
        </w:rPr>
        <w:t xml:space="preserve">; in the Saṃhitā</w:t>
      </w:r>
      <w:r>
        <w:rPr>
          <w:iCs/>
          <w:i/>
        </w:rPr>
        <w:t xml:space="preserve"> </w:t>
      </w:r>
      <w:r>
        <w:rPr>
          <w:iCs/>
          <w:i/>
        </w:rPr>
        <w:t xml:space="preserve">“</w:t>
      </w:r>
      <w:r>
        <w:rPr>
          <w:iCs/>
          <w:i/>
        </w:rPr>
        <w:t xml:space="preserve">ā īm</w:t>
      </w:r>
      <w:r>
        <w:rPr>
          <w:iCs/>
          <w:i/>
        </w:rPr>
        <w:t xml:space="preserve">”</w:t>
      </w:r>
      <w:r>
        <w:rPr>
          <w:iCs/>
          <w:i/>
        </w:rPr>
        <w:t xml:space="preserve"> </w:t>
      </w:r>
      <w:r>
        <w:rPr>
          <w:iCs/>
          <w:i/>
        </w:rPr>
        <w:t xml:space="preserve">shows a svarita-type mark that I do not reproduce. (ii) The Saṃhitā has</w:t>
      </w:r>
      <w:r>
        <w:rPr>
          <w:iCs/>
          <w:i/>
        </w:rPr>
        <w:t xml:space="preserve"> </w:t>
      </w:r>
      <w:r>
        <w:rPr>
          <w:iCs/>
          <w:i/>
        </w:rPr>
        <w:t xml:space="preserve">“</w:t>
      </w:r>
      <w:r>
        <w:rPr>
          <w:iCs/>
          <w:i/>
        </w:rPr>
        <w:t xml:space="preserve">patayan mandayat-sakham</w:t>
      </w:r>
      <w:r>
        <w:rPr>
          <w:iCs/>
          <w:i/>
        </w:rPr>
        <w:t xml:space="preserve">”</w:t>
      </w:r>
      <w:r>
        <w:rPr>
          <w:iCs/>
          <w:i/>
        </w:rPr>
        <w:t xml:space="preserve"> </w:t>
      </w:r>
      <w:r>
        <w:rPr>
          <w:iCs/>
          <w:i/>
        </w:rPr>
        <w:t xml:space="preserve">with the final</w:t>
      </w:r>
      <w:r>
        <w:rPr>
          <w:iCs/>
          <w:i/>
        </w:rPr>
        <w:t xml:space="preserve"> </w:t>
      </w:r>
      <w:r>
        <w:rPr>
          <w:iCs/>
          <w:i/>
        </w:rPr>
        <w:t xml:space="preserve">“</w:t>
      </w:r>
      <w:r>
        <w:rPr>
          <w:iCs/>
          <w:i/>
        </w:rPr>
        <w:t xml:space="preserve">n</w:t>
      </w:r>
      <w:r>
        <w:rPr>
          <w:iCs/>
          <w:i/>
        </w:rPr>
        <w:t xml:space="preserve">”</w:t>
      </w:r>
      <w:r>
        <w:rPr>
          <w:iCs/>
          <w:i/>
        </w:rPr>
        <w:t xml:space="preserve"> </w:t>
      </w:r>
      <w:r>
        <w:rPr>
          <w:iCs/>
          <w:i/>
        </w:rPr>
        <w:t xml:space="preserve">before</w:t>
      </w:r>
      <w:r>
        <w:rPr>
          <w:iCs/>
          <w:i/>
        </w:rPr>
        <w:t xml:space="preserve"> </w:t>
      </w:r>
      <w:r>
        <w:rPr>
          <w:iCs/>
          <w:i/>
        </w:rPr>
        <w:t xml:space="preserve">“</w:t>
      </w:r>
      <w:r>
        <w:rPr>
          <w:iCs/>
          <w:i/>
        </w:rPr>
        <w:t xml:space="preserve">m</w:t>
      </w:r>
      <w:r>
        <w:rPr>
          <w:iCs/>
          <w:i/>
        </w:rPr>
        <w:t xml:space="preserve">”</w:t>
      </w:r>
      <w:r>
        <w:rPr>
          <w:iCs/>
          <w:i/>
        </w:rPr>
        <w:t xml:space="preserve">; the Pada has</w:t>
      </w:r>
      <w:r>
        <w:rPr>
          <w:iCs/>
          <w:i/>
        </w:rPr>
        <w:t xml:space="preserve"> </w:t>
      </w:r>
      <w:r>
        <w:rPr>
          <w:iCs/>
          <w:i/>
        </w:rPr>
        <w:t xml:space="preserve">“</w:t>
      </w:r>
      <w:r>
        <w:rPr>
          <w:iCs/>
          <w:i/>
        </w:rPr>
        <w:t xml:space="preserve">patayat | mandayat-sakham.</w:t>
      </w:r>
      <w:r>
        <w:rPr>
          <w:iCs/>
          <w:i/>
        </w:rPr>
        <w:t xml:space="preserve">”</w:t>
      </w:r>
      <w:r>
        <w:rPr>
          <w:iCs/>
          <w:i/>
        </w:rPr>
        <w:t xml:space="preserve"> </w:t>
      </w:r>
      <w:r>
        <w:rPr>
          <w:iCs/>
          <w:i/>
        </w:rPr>
        <w:t xml:space="preserve">The reading</w:t>
      </w:r>
      <w:r>
        <w:rPr>
          <w:iCs/>
          <w:i/>
        </w:rPr>
        <w:t xml:space="preserve"> </w:t>
      </w:r>
      <w:r>
        <w:rPr>
          <w:iCs/>
          <w:i/>
        </w:rPr>
        <w:t xml:space="preserve">“</w:t>
      </w:r>
      <w:r>
        <w:rPr>
          <w:iCs/>
          <w:i/>
        </w:rPr>
        <w:t xml:space="preserve">patayat</w:t>
      </w:r>
      <w:r>
        <w:rPr>
          <w:iCs/>
          <w:i/>
        </w:rPr>
        <w:t xml:space="preserve">”</w:t>
      </w:r>
      <w:r>
        <w:rPr>
          <w:iCs/>
          <w:i/>
        </w:rPr>
        <w:t xml:space="preserve"> </w:t>
      </w:r>
      <w:r>
        <w:rPr>
          <w:iCs/>
          <w:i/>
        </w:rPr>
        <w:t xml:space="preserve">in the Pada text is the one the Bhāṣya below also gives.)</w:t>
      </w:r>
    </w:p>
    <w:p>
      <w:pPr>
        <w:pStyle w:val="BodyText"/>
      </w:pPr>
      <w:r>
        <w:rPr>
          <w:bCs/>
          <w:b/>
        </w:rPr>
        <w:t xml:space="preserve">॥ Sāyaṇa-bhāṣyam ॥</w:t>
      </w:r>
    </w:p>
    <w:p>
      <w:pPr>
        <w:pStyle w:val="BlockText"/>
      </w:pPr>
      <w:r>
        <w:t xml:space="preserve">ईमिति निपात इदंशब्दार्थे वर्तते । हे यजमानाशवे कृत्स्नसोमयोगव्याप्तायेन्द्रायेमा भर । इमं सोममाहर । कीदृशं सोमम् । आशुं सवनत्रयव्याप्तं यज्ञश्रियं यज्ञस्य संपद्रूपं नृमादनं नृणामृत्विग्यजमानानां हर्षहेतुं पतयत्पतनयुक्तं कर्मणि प्राप्नुवन्तं मन्दयत्सखं । य इन्द्रो मन्दयति यजमानान् हर्षयति तस्मिन्निन्द्रे सखिभूतोऽयं सोमः । तत्प्रीतिहेतुत्वात्तृप्तिहेतुत्वाद्वा ॥</w:t>
      </w:r>
      <w:r>
        <w:t xml:space="preserve"> </w:t>
      </w:r>
      <w:r>
        <w:rPr>
          <w:iCs/>
          <w:i/>
        </w:rPr>
        <w:t xml:space="preserve">īm iti nipāta idaṃ-śabdārthe vartate | he yajamānāśave kṛtsna-soma-yoga-vyāptāyendrāyemā bhara | imaṃ somam āhara | kīdṛśaṃ somam | āśuṃ savana-traya-vyāptaṃ yajña-śriyaṃ yajñasya sampad-rūpaṃ nṛmādanaṃ nṛṇām ṛtvig-yajamānānāṃ harṣa-hetuṃ patayat-patana-yuktaṃ karmaṇi prāpnuvantaṃ mandayat-sakhaṃ | ya indro mandayati yajamānān harṣayati tasmin indre sakhibhūto ’yaṃ somaḥ | tat-prīti-hetutvāt tṛpti-hetutvād vā ||</w:t>
      </w:r>
    </w:p>
    <w:p>
      <w:pPr>
        <w:pStyle w:val="FirstParagraph"/>
      </w:pPr>
      <w:r>
        <w:rPr>
          <w:bCs/>
          <w:b/>
        </w:rPr>
        <w:t xml:space="preserve">Translation:</w:t>
      </w:r>
      <w:r>
        <w:t xml:space="preserve"> </w:t>
      </w:r>
      <w:r>
        <w:t xml:space="preserve">“</w:t>
      </w:r>
      <w:r>
        <w:t xml:space="preserve">‘</w:t>
      </w:r>
      <w:r>
        <w:t xml:space="preserve">Īm</w:t>
      </w:r>
      <w:r>
        <w:t xml:space="preserve">’</w:t>
      </w:r>
      <w:r>
        <w:t xml:space="preserve"> </w:t>
      </w:r>
      <w:r>
        <w:t xml:space="preserve">— a particle, used in the sense of the word</w:t>
      </w:r>
      <w:r>
        <w:t xml:space="preserve"> </w:t>
      </w:r>
      <w:r>
        <w:t xml:space="preserve">‘</w:t>
      </w:r>
      <w:r>
        <w:t xml:space="preserve">idam</w:t>
      </w:r>
      <w:r>
        <w:t xml:space="preserve">’</w:t>
      </w:r>
      <w:r>
        <w:t xml:space="preserve"> </w:t>
      </w:r>
      <w:r>
        <w:t xml:space="preserve">(</w:t>
      </w:r>
      <w:r>
        <w:t xml:space="preserve">‘</w:t>
      </w:r>
      <w:r>
        <w:t xml:space="preserve">this</w:t>
      </w:r>
      <w:r>
        <w:t xml:space="preserve">’</w:t>
      </w:r>
      <w:r>
        <w:t xml:space="preserve">). O sacrificer!</w:t>
      </w:r>
      <w:r>
        <w:t xml:space="preserve"> </w:t>
      </w:r>
      <w:r>
        <w:t xml:space="preserve">‘</w:t>
      </w:r>
      <w:r>
        <w:t xml:space="preserve">Āśave</w:t>
      </w:r>
      <w:r>
        <w:t xml:space="preserve">’</w:t>
      </w:r>
      <w:r>
        <w:t xml:space="preserve"> </w:t>
      </w:r>
      <w:r>
        <w:t xml:space="preserve">— to Indra, who pervades the whole union with Soma (the whole Soma sacrifice) —</w:t>
      </w:r>
      <w:r>
        <w:t xml:space="preserve"> </w:t>
      </w:r>
      <w:r>
        <w:t xml:space="preserve">‘</w:t>
      </w:r>
      <w:r>
        <w:t xml:space="preserve">ā bhara</w:t>
      </w:r>
      <w:r>
        <w:t xml:space="preserve">’</w:t>
      </w:r>
      <w:r>
        <w:t xml:space="preserve"> </w:t>
      </w:r>
      <w:r>
        <w:t xml:space="preserve">— bring this Soma; carry it. What kind of Soma?</w:t>
      </w:r>
      <w:r>
        <w:t xml:space="preserve"> </w:t>
      </w:r>
      <w:r>
        <w:t xml:space="preserve">‘</w:t>
      </w:r>
      <w:r>
        <w:t xml:space="preserve">Āśum</w:t>
      </w:r>
      <w:r>
        <w:t xml:space="preserve">’</w:t>
      </w:r>
      <w:r>
        <w:t xml:space="preserve"> </w:t>
      </w:r>
      <w:r>
        <w:t xml:space="preserve">— pervading the three pressings;</w:t>
      </w:r>
      <w:r>
        <w:t xml:space="preserve"> </w:t>
      </w:r>
      <w:r>
        <w:t xml:space="preserve">‘</w:t>
      </w:r>
      <w:r>
        <w:t xml:space="preserve">yajñaśriyam</w:t>
      </w:r>
      <w:r>
        <w:t xml:space="preserve">’</w:t>
      </w:r>
      <w:r>
        <w:t xml:space="preserve"> </w:t>
      </w:r>
      <w:r>
        <w:t xml:space="preserve">— the</w:t>
      </w:r>
      <w:r>
        <w:t xml:space="preserve"> </w:t>
      </w:r>
      <w:r>
        <w:t xml:space="preserve">‘</w:t>
      </w:r>
      <w:r>
        <w:t xml:space="preserve">wealth</w:t>
      </w:r>
      <w:r>
        <w:t xml:space="preserve">’</w:t>
      </w:r>
      <w:r>
        <w:t xml:space="preserve"> </w:t>
      </w:r>
      <w:r>
        <w:t xml:space="preserve">(sampad) of the sacrifice;</w:t>
      </w:r>
      <w:r>
        <w:t xml:space="preserve"> </w:t>
      </w:r>
      <w:r>
        <w:t xml:space="preserve">‘</w:t>
      </w:r>
      <w:r>
        <w:t xml:space="preserve">nṛmādanam</w:t>
      </w:r>
      <w:r>
        <w:t xml:space="preserve">’</w:t>
      </w:r>
      <w:r>
        <w:t xml:space="preserve"> </w:t>
      </w:r>
      <w:r>
        <w:t xml:space="preserve">— the cause of joy to men, the priests and the sacrificer;</w:t>
      </w:r>
      <w:r>
        <w:t xml:space="preserve"> </w:t>
      </w:r>
      <w:r>
        <w:t xml:space="preserve">‘</w:t>
      </w:r>
      <w:r>
        <w:t xml:space="preserve">patayat</w:t>
      </w:r>
      <w:r>
        <w:t xml:space="preserve">’</w:t>
      </w:r>
      <w:r>
        <w:t xml:space="preserve"> </w:t>
      </w:r>
      <w:r>
        <w:t xml:space="preserve">— endowed with</w:t>
      </w:r>
      <w:r>
        <w:t xml:space="preserve"> </w:t>
      </w:r>
      <w:r>
        <w:t xml:space="preserve">‘</w:t>
      </w:r>
      <w:r>
        <w:t xml:space="preserve">fall</w:t>
      </w:r>
      <w:r>
        <w:t xml:space="preserve">’</w:t>
      </w:r>
      <w:r>
        <w:t xml:space="preserve"> </w:t>
      </w:r>
      <w:r>
        <w:t xml:space="preserve">(that is,</w:t>
      </w:r>
      <w:r>
        <w:t xml:space="preserve"> </w:t>
      </w:r>
      <w:r>
        <w:t xml:space="preserve">‘</w:t>
      </w:r>
      <w:r>
        <w:t xml:space="preserve">moving, going forward in the rite</w:t>
      </w:r>
      <w:r>
        <w:t xml:space="preserve">’</w:t>
      </w:r>
      <w:r>
        <w:t xml:space="preserve">);</w:t>
      </w:r>
      <w:r>
        <w:t xml:space="preserve"> </w:t>
      </w:r>
      <w:r>
        <w:t xml:space="preserve">‘</w:t>
      </w:r>
      <w:r>
        <w:t xml:space="preserve">mandayatsakham</w:t>
      </w:r>
      <w:r>
        <w:t xml:space="preserve">’</w:t>
      </w:r>
      <w:r>
        <w:t xml:space="preserve"> </w:t>
      </w:r>
      <w:r>
        <w:t xml:space="preserve">— a friend of the one who gladdens: the Indra who gladdens (</w:t>
      </w:r>
      <w:r>
        <w:t xml:space="preserve">‘</w:t>
      </w:r>
      <w:r>
        <w:t xml:space="preserve">mandayati</w:t>
      </w:r>
      <w:r>
        <w:t xml:space="preserve">’</w:t>
      </w:r>
      <w:r>
        <w:t xml:space="preserve">) the sacrificers, who makes them glad — to that Indra this Soma is a friend, since it is the cause of his pleasure or of his satisfaction.</w:t>
      </w:r>
      <w:r>
        <w:t xml:space="preserve">”</w:t>
      </w:r>
    </w:p>
    <w:p>
      <w:pPr>
        <w:pStyle w:val="BodyText"/>
      </w:pPr>
      <w:r>
        <w:rPr>
          <w:iCs/>
          <w:i/>
        </w:rPr>
        <w:t xml:space="preserve">(Reading notes: the phrase</w:t>
      </w:r>
      <w:r>
        <w:rPr>
          <w:iCs/>
          <w:i/>
        </w:rPr>
        <w:t xml:space="preserve"> </w:t>
      </w:r>
      <w:r>
        <w:rPr>
          <w:iCs/>
          <w:i/>
        </w:rPr>
        <w:t xml:space="preserve">“</w:t>
      </w:r>
      <w:r>
        <w:rPr>
          <w:iCs/>
          <w:i/>
        </w:rPr>
        <w:t xml:space="preserve">patayat-patana-yuktam karmaṇi prāpnuvantam</w:t>
      </w:r>
      <w:r>
        <w:rPr>
          <w:iCs/>
          <w:i/>
        </w:rPr>
        <w:t xml:space="preserve">”</w:t>
      </w:r>
      <w:r>
        <w:rPr>
          <w:iCs/>
          <w:i/>
        </w:rPr>
        <w:t xml:space="preserve"> </w:t>
      </w:r>
      <w:r>
        <w:rPr>
          <w:iCs/>
          <w:i/>
        </w:rPr>
        <w:t xml:space="preserve">is printed with some run-together letters; I read it as given and note that the Bhāṣya’s gloss of</w:t>
      </w:r>
      <w:r>
        <w:rPr>
          <w:iCs/>
          <w:i/>
        </w:rPr>
        <w:t xml:space="preserve"> </w:t>
      </w:r>
      <w:r>
        <w:rPr>
          <w:iCs/>
          <w:i/>
        </w:rPr>
        <w:t xml:space="preserve">“</w:t>
      </w:r>
      <w:r>
        <w:rPr>
          <w:iCs/>
          <w:i/>
        </w:rPr>
        <w:t xml:space="preserve">patayat</w:t>
      </w:r>
      <w:r>
        <w:rPr>
          <w:iCs/>
          <w:i/>
        </w:rPr>
        <w:t xml:space="preserve">”</w:t>
      </w:r>
      <w:r>
        <w:rPr>
          <w:iCs/>
          <w:i/>
        </w:rPr>
        <w:t xml:space="preserve"> </w:t>
      </w:r>
      <w:r>
        <w:rPr>
          <w:iCs/>
          <w:i/>
        </w:rPr>
        <w:t xml:space="preserve">is somewhat loose; the Kannada Pada-meaning, on p. 117, renders it</w:t>
      </w:r>
      <w:r>
        <w:rPr>
          <w:iCs/>
          <w:i/>
        </w:rPr>
        <w:t xml:space="preserve"> </w:t>
      </w:r>
      <w:r>
        <w:rPr>
          <w:iCs/>
          <w:i/>
        </w:rPr>
        <w:t xml:space="preserve">“</w:t>
      </w:r>
      <w:r>
        <w:rPr>
          <w:iCs/>
          <w:i/>
        </w:rPr>
        <w:t xml:space="preserve">the one with the power to bring about the actions that fall away / are lost,</w:t>
      </w:r>
      <w:r>
        <w:rPr>
          <w:iCs/>
          <w:i/>
        </w:rPr>
        <w:t xml:space="preserve">”</w:t>
      </w:r>
      <w:r>
        <w:rPr>
          <w:iCs/>
          <w:i/>
        </w:rPr>
        <w:t xml:space="preserve"> </w:t>
      </w:r>
      <w:r>
        <w:rPr>
          <w:iCs/>
          <w:i/>
        </w:rPr>
        <w:t xml:space="preserve">which shows the same uncertainty.)</w:t>
      </w:r>
    </w:p>
    <w:p>
      <w:pPr>
        <w:pStyle w:val="BodyText"/>
      </w:pPr>
      <w:r>
        <w:rPr>
          <w:bCs/>
          <w:b/>
        </w:rPr>
        <w:t xml:space="preserve">Grammar within the Bhāṣya (characterized, sūtras kept):</w:t>
      </w:r>
      <w:r>
        <w:t xml:space="preserve"> </w:t>
      </w:r>
      <w:r>
        <w:t xml:space="preserve">“</w:t>
      </w:r>
      <w:r>
        <w:t xml:space="preserve">Āśum</w:t>
      </w:r>
      <w:r>
        <w:t xml:space="preserve">”</w:t>
      </w:r>
      <w:r>
        <w:t xml:space="preserve"> </w:t>
      </w:r>
      <w:r>
        <w:t xml:space="preserve">— the Uṇādi</w:t>
      </w:r>
      <w:r>
        <w:t xml:space="preserve"> </w:t>
      </w:r>
      <w:r>
        <w:rPr>
          <w:bCs/>
          <w:b/>
        </w:rPr>
        <w:t xml:space="preserve">कृवापाजिमिस्वदिसाध्यशूभ्य उण्</w:t>
      </w:r>
      <w:r>
        <w:t xml:space="preserve"> </w:t>
      </w:r>
      <w:r>
        <w:t xml:space="preserve">(उ. सू. १-१ [as printed]) — the affix</w:t>
      </w:r>
      <w:r>
        <w:t xml:space="preserve"> </w:t>
      </w:r>
      <w:r>
        <w:t xml:space="preserve">“</w:t>
      </w:r>
      <w:r>
        <w:t xml:space="preserve">uṇ</w:t>
      </w:r>
      <w:r>
        <w:t xml:space="preserve">”</w:t>
      </w:r>
      <w:r>
        <w:t xml:space="preserve"> </w:t>
      </w:r>
      <w:r>
        <w:t xml:space="preserve">after</w:t>
      </w:r>
      <w:r>
        <w:t xml:space="preserve"> </w:t>
      </w:r>
      <w:r>
        <w:t xml:space="preserve">“</w:t>
      </w:r>
      <w:r>
        <w:t xml:space="preserve">kṛ,</w:t>
      </w:r>
      <w:r>
        <w:t xml:space="preserve">”</w:t>
      </w:r>
      <w:r>
        <w:t xml:space="preserve"> </w:t>
      </w:r>
      <w:r>
        <w:t xml:space="preserve">“</w:t>
      </w:r>
      <w:r>
        <w:t xml:space="preserve">vā,</w:t>
      </w:r>
      <w:r>
        <w:t xml:space="preserve">”</w:t>
      </w:r>
      <w:r>
        <w:t xml:space="preserve"> </w:t>
      </w:r>
      <w:r>
        <w:t xml:space="preserve">“</w:t>
      </w:r>
      <w:r>
        <w:t xml:space="preserve">pā,</w:t>
      </w:r>
      <w:r>
        <w:t xml:space="preserve">”</w:t>
      </w:r>
      <w:r>
        <w:t xml:space="preserve"> </w:t>
      </w:r>
      <w:r>
        <w:t xml:space="preserve">“</w:t>
      </w:r>
      <w:r>
        <w:t xml:space="preserve">ji,</w:t>
      </w:r>
      <w:r>
        <w:t xml:space="preserve">”</w:t>
      </w:r>
      <w:r>
        <w:t xml:space="preserve"> </w:t>
      </w:r>
      <w:r>
        <w:t xml:space="preserve">“</w:t>
      </w:r>
      <w:r>
        <w:t xml:space="preserve">mi,</w:t>
      </w:r>
      <w:r>
        <w:t xml:space="preserve">”</w:t>
      </w:r>
      <w:r>
        <w:t xml:space="preserve"> </w:t>
      </w:r>
      <w:r>
        <w:t xml:space="preserve">“</w:t>
      </w:r>
      <w:r>
        <w:t xml:space="preserve">svad,</w:t>
      </w:r>
      <w:r>
        <w:t xml:space="preserve">”</w:t>
      </w:r>
      <w:r>
        <w:t xml:space="preserve"> </w:t>
      </w:r>
      <w:r>
        <w:t xml:space="preserve">“</w:t>
      </w:r>
      <w:r>
        <w:t xml:space="preserve">sādh,</w:t>
      </w:r>
      <w:r>
        <w:t xml:space="preserve">”</w:t>
      </w:r>
      <w:r>
        <w:t xml:space="preserve"> </w:t>
      </w:r>
      <w:r>
        <w:t xml:space="preserve">“</w:t>
      </w:r>
      <w:r>
        <w:t xml:space="preserve">aś[ū]</w:t>
      </w:r>
      <w:r>
        <w:t xml:space="preserve">”</w:t>
      </w:r>
      <w:r>
        <w:t xml:space="preserve"> </w:t>
      </w:r>
      <w:r>
        <w:t xml:space="preserve">—</w:t>
      </w:r>
      <w:r>
        <w:t xml:space="preserve"> </w:t>
      </w:r>
      <w:r>
        <w:t xml:space="preserve">“</w:t>
      </w:r>
      <w:r>
        <w:t xml:space="preserve">n</w:t>
      </w:r>
      <w:r>
        <w:t xml:space="preserve">”</w:t>
      </w:r>
      <w:r>
        <w:t xml:space="preserve">-marked, with the accent of the affix.</w:t>
      </w:r>
      <w:r>
        <w:t xml:space="preserve"> </w:t>
      </w:r>
      <w:r>
        <w:t xml:space="preserve">“</w:t>
      </w:r>
      <w:r>
        <w:t xml:space="preserve">Āśave</w:t>
      </w:r>
      <w:r>
        <w:t xml:space="preserve">”</w:t>
      </w:r>
      <w:r>
        <w:t xml:space="preserve"> </w:t>
      </w:r>
      <w:r>
        <w:t xml:space="preserve">— as before.</w:t>
      </w:r>
      <w:r>
        <w:t xml:space="preserve"> </w:t>
      </w:r>
      <w:r>
        <w:t xml:space="preserve">“</w:t>
      </w:r>
      <w:r>
        <w:t xml:space="preserve">Yajñaśriyam</w:t>
      </w:r>
      <w:r>
        <w:t xml:space="preserve">”</w:t>
      </w:r>
      <w:r>
        <w:t xml:space="preserve"> </w:t>
      </w:r>
      <w:r>
        <w:t xml:space="preserve">— as a compound its end is acute (</w:t>
      </w:r>
      <w:r>
        <w:rPr>
          <w:bCs/>
          <w:b/>
        </w:rPr>
        <w:t xml:space="preserve">समासस्य</w:t>
      </w:r>
      <w:r>
        <w:t xml:space="preserve">, पा. ६-१-२२३).</w:t>
      </w:r>
      <w:r>
        <w:t xml:space="preserve"> </w:t>
      </w:r>
      <w:r>
        <w:t xml:space="preserve">“</w:t>
      </w:r>
      <w:r>
        <w:t xml:space="preserve">Nṛmādanam</w:t>
      </w:r>
      <w:r>
        <w:t xml:space="preserve">”</w:t>
      </w:r>
      <w:r>
        <w:t xml:space="preserve"> </w:t>
      </w:r>
      <w:r>
        <w:t xml:space="preserve">—</w:t>
      </w:r>
      <w:r>
        <w:t xml:space="preserve"> </w:t>
      </w:r>
      <w:r>
        <w:t xml:space="preserve">“</w:t>
      </w:r>
      <w:r>
        <w:t xml:space="preserve">mādyanty anena iti mādanaḥ</w:t>
      </w:r>
      <w:r>
        <w:t xml:space="preserve">”</w:t>
      </w:r>
      <w:r>
        <w:t xml:space="preserve">:</w:t>
      </w:r>
      <w:r>
        <w:t xml:space="preserve"> </w:t>
      </w:r>
      <w:r>
        <w:t xml:space="preserve">“</w:t>
      </w:r>
      <w:r>
        <w:t xml:space="preserve">lyuṭ</w:t>
      </w:r>
      <w:r>
        <w:t xml:space="preserve">”</w:t>
      </w:r>
      <w:r>
        <w:t xml:space="preserve"> </w:t>
      </w:r>
      <w:r>
        <w:t xml:space="preserve">in the sense of instrument or place (</w:t>
      </w:r>
      <w:r>
        <w:rPr>
          <w:bCs/>
          <w:b/>
        </w:rPr>
        <w:t xml:space="preserve">करणाधिकरणयोश्च</w:t>
      </w:r>
      <w:r>
        <w:t xml:space="preserve">, पा. ३-३-११७);</w:t>
      </w:r>
      <w:r>
        <w:t xml:space="preserve"> </w:t>
      </w:r>
      <w:r>
        <w:t xml:space="preserve">“</w:t>
      </w:r>
      <w:r>
        <w:t xml:space="preserve">lit</w:t>
      </w:r>
      <w:r>
        <w:t xml:space="preserve">”</w:t>
      </w:r>
      <w:r>
        <w:t xml:space="preserve"> </w:t>
      </w:r>
      <w:r>
        <w:t xml:space="preserve">accent before the affix, but by</w:t>
      </w:r>
      <w:r>
        <w:t xml:space="preserve"> </w:t>
      </w:r>
      <w:r>
        <w:rPr>
          <w:bCs/>
          <w:b/>
        </w:rPr>
        <w:t xml:space="preserve">गतिकारकोपपदात्कृत्</w:t>
      </w:r>
      <w:r>
        <w:t xml:space="preserve"> </w:t>
      </w:r>
      <w:r>
        <w:t xml:space="preserve">(पा. ६-२-१३९) the first-member accent remains.</w:t>
      </w:r>
      <w:r>
        <w:t xml:space="preserve"> </w:t>
      </w:r>
      <w:r>
        <w:t xml:space="preserve">“</w:t>
      </w:r>
      <w:r>
        <w:t xml:space="preserve">Patayat</w:t>
      </w:r>
      <w:r>
        <w:t xml:space="preserve">”</w:t>
      </w:r>
      <w:r>
        <w:t xml:space="preserve"> </w:t>
      </w:r>
      <w:r>
        <w:t xml:space="preserve">—</w:t>
      </w:r>
      <w:r>
        <w:t xml:space="preserve"> </w:t>
      </w:r>
      <w:r>
        <w:t xml:space="preserve">“</w:t>
      </w:r>
      <w:r>
        <w:t xml:space="preserve">pat</w:t>
      </w:r>
      <w:r>
        <w:t xml:space="preserve">”</w:t>
      </w:r>
      <w:r>
        <w:t xml:space="preserve"> </w:t>
      </w:r>
      <w:r>
        <w:t xml:space="preserve">(to fall) in the causal (</w:t>
      </w:r>
      <w:r>
        <w:rPr>
          <w:bCs/>
          <w:b/>
        </w:rPr>
        <w:t xml:space="preserve">चुरादिणिच्</w:t>
      </w:r>
      <w:r>
        <w:t xml:space="preserve">, पा. ३-१-२५), with</w:t>
      </w:r>
      <w:r>
        <w:t xml:space="preserve"> </w:t>
      </w:r>
      <w:r>
        <w:rPr>
          <w:bCs/>
          <w:b/>
        </w:rPr>
        <w:t xml:space="preserve">अतो लोपः</w:t>
      </w:r>
      <w:r>
        <w:t xml:space="preserve"> </w:t>
      </w:r>
      <w:r>
        <w:t xml:space="preserve">(पा. ६-४-४८) …</w:t>
      </w:r>
      <w:r>
        <w:t xml:space="preserve"> </w:t>
      </w:r>
      <w:r>
        <w:rPr>
          <w:iCs/>
          <w:i/>
        </w:rPr>
        <w:t xml:space="preserve">(continues on the next page)</w:t>
      </w:r>
    </w:p>
    <w:bookmarkEnd w:id="148"/>
    <w:bookmarkStart w:id="149" w:name="X0b60e2fe8f4b3f2037082357658e6382852af5c"/>
    <w:p>
      <w:pPr>
        <w:pStyle w:val="Heading3"/>
      </w:pPr>
      <w:r>
        <w:t xml:space="preserve">Page 117 — Rik 4.7: grammar concluded; Pada-meanings; Bhāvārtha; English rendering</w:t>
      </w:r>
    </w:p>
    <w:p>
      <w:pPr>
        <w:pStyle w:val="FirstParagraph"/>
      </w:pPr>
      <w:r>
        <w:rPr>
          <w:iCs/>
          <w:i/>
        </w:rPr>
        <w:t xml:space="preserve">(Page header:</w:t>
      </w:r>
      <w:r>
        <w:rPr>
          <w:iCs/>
          <w:i/>
        </w:rPr>
        <w:t xml:space="preserve"> </w:t>
      </w:r>
      <w:r>
        <w:rPr>
          <w:iCs/>
          <w:i/>
        </w:rPr>
        <w:t xml:space="preserve">“</w:t>
      </w:r>
      <w:r>
        <w:rPr>
          <w:iCs/>
          <w:i/>
        </w:rPr>
        <w:t xml:space="preserve">Aṣṭaka 1, Adhyāya 1, Varga 8 · Ṛgveda-saṃhitā.</w:t>
      </w:r>
      <w:r>
        <w:rPr>
          <w:iCs/>
          <w:i/>
        </w:rPr>
        <w:t xml:space="preserve">”</w:t>
      </w:r>
      <w:r>
        <w:rPr>
          <w:iCs/>
          <w:i/>
        </w:rPr>
        <w:t xml:space="preserve"> </w:t>
      </w:r>
      <w:r>
        <w:rPr>
          <w:iCs/>
          <w:i/>
        </w:rPr>
        <w:t xml:space="preserve">Grammar characterized, sūtras kept. English as printed.)</w:t>
      </w:r>
    </w:p>
    <w:p>
      <w:pPr>
        <w:pStyle w:val="BodyText"/>
      </w:pPr>
      <w:r>
        <w:rPr>
          <w:iCs/>
          <w:i/>
        </w:rPr>
        <w:t xml:space="preserve">(Continuing</w:t>
      </w:r>
      <w:r>
        <w:rPr>
          <w:iCs/>
          <w:i/>
        </w:rPr>
        <w:t xml:space="preserve"> </w:t>
      </w:r>
      <w:r>
        <w:rPr>
          <w:iCs/>
          <w:i/>
        </w:rPr>
        <w:t xml:space="preserve">“</w:t>
      </w:r>
      <w:r>
        <w:rPr>
          <w:iCs/>
          <w:i/>
        </w:rPr>
        <w:t xml:space="preserve">patayat</w:t>
      </w:r>
      <w:r>
        <w:rPr>
          <w:iCs/>
          <w:i/>
        </w:rPr>
        <w:t xml:space="preserve">”</w:t>
      </w:r>
      <w:r>
        <w:rPr>
          <w:iCs/>
          <w:i/>
        </w:rPr>
        <w:t xml:space="preserve"> </w:t>
      </w:r>
      <w:r>
        <w:rPr>
          <w:iCs/>
          <w:i/>
        </w:rPr>
        <w:t xml:space="preserve">from p. 116:)</w:t>
      </w:r>
      <w:r>
        <w:t xml:space="preserve"> </w:t>
      </w:r>
      <w:r>
        <w:t xml:space="preserve">…</w:t>
      </w:r>
      <w:r>
        <w:t xml:space="preserve">“</w:t>
      </w:r>
      <w:r>
        <w:t xml:space="preserve">pat</w:t>
      </w:r>
      <w:r>
        <w:t xml:space="preserve">”</w:t>
      </w:r>
      <w:r>
        <w:t xml:space="preserve"> </w:t>
      </w:r>
      <w:r>
        <w:t xml:space="preserve">in the causal with</w:t>
      </w:r>
      <w:r>
        <w:t xml:space="preserve"> </w:t>
      </w:r>
      <w:r>
        <w:t xml:space="preserve">“</w:t>
      </w:r>
      <w:r>
        <w:t xml:space="preserve">ṇic</w:t>
      </w:r>
      <w:r>
        <w:t xml:space="preserve">”</w:t>
      </w:r>
      <w:r>
        <w:t xml:space="preserve"> </w:t>
      </w:r>
      <w:r>
        <w:t xml:space="preserve">(</w:t>
      </w:r>
      <w:r>
        <w:rPr>
          <w:bCs/>
          <w:b/>
        </w:rPr>
        <w:t xml:space="preserve">सत्यापपाश…</w:t>
      </w:r>
      <w:r>
        <w:t xml:space="preserve">, as printed: the</w:t>
      </w:r>
      <w:r>
        <w:t xml:space="preserve"> </w:t>
      </w:r>
      <w:r>
        <w:t xml:space="preserve">“</w:t>
      </w:r>
      <w:r>
        <w:t xml:space="preserve">cur-ādi</w:t>
      </w:r>
      <w:r>
        <w:t xml:space="preserve">”</w:t>
      </w:r>
      <w:r>
        <w:t xml:space="preserve"> </w:t>
      </w:r>
      <w:r>
        <w:t xml:space="preserve">“</w:t>
      </w:r>
      <w:r>
        <w:t xml:space="preserve">ṇic,</w:t>
      </w:r>
      <w:r>
        <w:t xml:space="preserve">”</w:t>
      </w:r>
      <w:r>
        <w:t xml:space="preserve"> </w:t>
      </w:r>
      <w:r>
        <w:t xml:space="preserve">पा. ३-१-२५); the final</w:t>
      </w:r>
      <w:r>
        <w:t xml:space="preserve"> </w:t>
      </w:r>
      <w:r>
        <w:t xml:space="preserve">“</w:t>
      </w:r>
      <w:r>
        <w:t xml:space="preserve">a</w:t>
      </w:r>
      <w:r>
        <w:t xml:space="preserve">”</w:t>
      </w:r>
      <w:r>
        <w:t xml:space="preserve"> </w:t>
      </w:r>
      <w:r>
        <w:t xml:space="preserve">of the stem is elided (</w:t>
      </w:r>
      <w:r>
        <w:rPr>
          <w:bCs/>
          <w:b/>
        </w:rPr>
        <w:t xml:space="preserve">आतो लोपः</w:t>
      </w:r>
      <w:r>
        <w:t xml:space="preserve">; read here as</w:t>
      </w:r>
      <w:r>
        <w:t xml:space="preserve"> </w:t>
      </w:r>
      <w:r>
        <w:rPr>
          <w:bCs/>
          <w:b/>
        </w:rPr>
        <w:t xml:space="preserve">अतो लोपः</w:t>
      </w:r>
      <w:r>
        <w:t xml:space="preserve">, पा. ६-४-४८, as printed</w:t>
      </w:r>
      <w:r>
        <w:t xml:space="preserve"> </w:t>
      </w:r>
      <w:r>
        <w:t xml:space="preserve">“</w:t>
      </w:r>
      <w:r>
        <w:t xml:space="preserve">6-4-48</w:t>
      </w:r>
      <w:r>
        <w:t xml:space="preserve">”</w:t>
      </w:r>
      <w:r>
        <w:t xml:space="preserve">); the elided</w:t>
      </w:r>
      <w:r>
        <w:t xml:space="preserve"> </w:t>
      </w:r>
      <w:r>
        <w:t xml:space="preserve">“</w:t>
      </w:r>
      <w:r>
        <w:t xml:space="preserve">a</w:t>
      </w:r>
      <w:r>
        <w:t xml:space="preserve">”</w:t>
      </w:r>
      <w:r>
        <w:t xml:space="preserve"> </w:t>
      </w:r>
      <w:r>
        <w:t xml:space="preserve">is treated as if present (</w:t>
      </w:r>
      <w:r>
        <w:rPr>
          <w:bCs/>
          <w:b/>
        </w:rPr>
        <w:t xml:space="preserve">स्थानिवत्</w:t>
      </w:r>
      <w:r>
        <w:t xml:space="preserve">) so the</w:t>
      </w:r>
      <w:r>
        <w:t xml:space="preserve"> </w:t>
      </w:r>
      <w:r>
        <w:t xml:space="preserve">“</w:t>
      </w:r>
      <w:r>
        <w:t xml:space="preserve">upadhā</w:t>
      </w:r>
      <w:r>
        <w:t xml:space="preserve">”</w:t>
      </w:r>
      <w:r>
        <w:t xml:space="preserve"> </w:t>
      </w:r>
      <w:r>
        <w:t xml:space="preserve">vṛddhi (</w:t>
      </w:r>
      <w:r>
        <w:rPr>
          <w:bCs/>
          <w:b/>
        </w:rPr>
        <w:t xml:space="preserve">अत उपधायाः</w:t>
      </w:r>
      <w:r>
        <w:t xml:space="preserve">, पा. ७-२-११६) does not occur (</w:t>
      </w:r>
      <w:r>
        <w:rPr>
          <w:bCs/>
          <w:b/>
        </w:rPr>
        <w:t xml:space="preserve">१-१-५६</w:t>
      </w:r>
      <w:r>
        <w:t xml:space="preserve">), and in the</w:t>
      </w:r>
      <w:r>
        <w:t xml:space="preserve"> </w:t>
      </w:r>
      <w:r>
        <w:t xml:space="preserve">“</w:t>
      </w:r>
      <w:r>
        <w:t xml:space="preserve">laṭ</w:t>
      </w:r>
      <w:r>
        <w:t xml:space="preserve">”</w:t>
      </w:r>
      <w:r>
        <w:t xml:space="preserve"> </w:t>
      </w:r>
      <w:r>
        <w:t xml:space="preserve">the</w:t>
      </w:r>
      <w:r>
        <w:t xml:space="preserve"> </w:t>
      </w:r>
      <w:r>
        <w:t xml:space="preserve">“</w:t>
      </w:r>
      <w:r>
        <w:t xml:space="preserve">śatṛ</w:t>
      </w:r>
      <w:r>
        <w:t xml:space="preserve">”</w:t>
      </w:r>
      <w:r>
        <w:t xml:space="preserve"> </w:t>
      </w:r>
      <w:r>
        <w:t xml:space="preserve">replaces (</w:t>
      </w:r>
      <w:r>
        <w:rPr>
          <w:bCs/>
          <w:b/>
        </w:rPr>
        <w:t xml:space="preserve">लटः शतृशानचौ</w:t>
      </w:r>
      <w:r>
        <w:t xml:space="preserve">, पा. ३-२-१२४); because the Veda has</w:t>
      </w:r>
      <w:r>
        <w:t xml:space="preserve"> </w:t>
      </w:r>
      <w:r>
        <w:rPr>
          <w:bCs/>
          <w:b/>
        </w:rPr>
        <w:t xml:space="preserve">छन्दस्युभयथा</w:t>
      </w:r>
      <w:r>
        <w:t xml:space="preserve"> </w:t>
      </w:r>
      <w:r>
        <w:t xml:space="preserve">(पा. ३-४-११७) the affix is taken as</w:t>
      </w:r>
      <w:r>
        <w:t xml:space="preserve"> </w:t>
      </w:r>
      <w:r>
        <w:t xml:space="preserve">“</w:t>
      </w:r>
      <w:r>
        <w:t xml:space="preserve">ārdhadhātuka</w:t>
      </w:r>
      <w:r>
        <w:t xml:space="preserve">”</w:t>
      </w:r>
      <w:r>
        <w:t xml:space="preserve"> </w:t>
      </w:r>
      <w:r>
        <w:t xml:space="preserve">and so (the print argues) the</w:t>
      </w:r>
      <w:r>
        <w:t xml:space="preserve"> </w:t>
      </w:r>
      <w:r>
        <w:t xml:space="preserve">“</w:t>
      </w:r>
      <w:r>
        <w:t xml:space="preserve">śap</w:t>
      </w:r>
      <w:r>
        <w:t xml:space="preserve">”</w:t>
      </w:r>
      <w:r>
        <w:t xml:space="preserve"> </w:t>
      </w:r>
      <w:r>
        <w:t xml:space="preserve">is not applied (</w:t>
      </w:r>
      <w:r>
        <w:rPr>
          <w:bCs/>
          <w:b/>
        </w:rPr>
        <w:t xml:space="preserve">शबभावादुपदेशात्</w:t>
      </w:r>
      <w:r>
        <w:t xml:space="preserve">) and</w:t>
      </w:r>
      <w:r>
        <w:t xml:space="preserve"> </w:t>
      </w:r>
      <w:r>
        <w:t xml:space="preserve">“</w:t>
      </w:r>
      <w:r>
        <w:t xml:space="preserve">nighāta</w:t>
      </w:r>
      <w:r>
        <w:t xml:space="preserve">”</w:t>
      </w:r>
      <w:r>
        <w:t xml:space="preserve"> </w:t>
      </w:r>
      <w:r>
        <w:t xml:space="preserve">is absent (</w:t>
      </w:r>
      <w:r>
        <w:rPr>
          <w:bCs/>
          <w:b/>
        </w:rPr>
        <w:t xml:space="preserve">पा. ६-१-१८६</w:t>
      </w:r>
      <w:r>
        <w:t xml:space="preserve">); the affix’s acute alone remains. Even where the</w:t>
      </w:r>
      <w:r>
        <w:t xml:space="preserve"> </w:t>
      </w:r>
      <w:r>
        <w:t xml:space="preserve">“</w:t>
      </w:r>
      <w:r>
        <w:t xml:space="preserve">ārdhadhātuka</w:t>
      </w:r>
      <w:r>
        <w:t xml:space="preserve">”</w:t>
      </w:r>
      <w:r>
        <w:t xml:space="preserve"> </w:t>
      </w:r>
      <w:r>
        <w:t xml:space="preserve">character is taken, all rules are optional in the Veda (</w:t>
      </w:r>
      <w:r>
        <w:rPr>
          <w:bCs/>
          <w:b/>
        </w:rPr>
        <w:t xml:space="preserve">विभाषा छन्दसि</w:t>
      </w:r>
      <w:r>
        <w:t xml:space="preserve">, as printed:</w:t>
      </w:r>
      <w:r>
        <w:t xml:space="preserve"> </w:t>
      </w:r>
      <w:r>
        <w:t xml:space="preserve">“</w:t>
      </w:r>
      <w:r>
        <w:t xml:space="preserve">pari. 93</w:t>
      </w:r>
      <w:r>
        <w:t xml:space="preserve">”</w:t>
      </w:r>
      <w:r>
        <w:t xml:space="preserve">); so</w:t>
      </w:r>
      <w:r>
        <w:t xml:space="preserve"> </w:t>
      </w:r>
      <w:r>
        <w:t xml:space="preserve">“</w:t>
      </w:r>
      <w:r>
        <w:t xml:space="preserve">ṇi</w:t>
      </w:r>
      <w:r>
        <w:t xml:space="preserve">”</w:t>
      </w:r>
      <w:r>
        <w:t xml:space="preserve">-elision (</w:t>
      </w:r>
      <w:r>
        <w:rPr>
          <w:bCs/>
          <w:b/>
        </w:rPr>
        <w:t xml:space="preserve">णेरनिटि</w:t>
      </w:r>
      <w:r>
        <w:t xml:space="preserve">, पा. ६-४-५१) does not occur (</w:t>
      </w:r>
      <w:r>
        <w:rPr>
          <w:bCs/>
          <w:b/>
        </w:rPr>
        <w:t xml:space="preserve">णिलोपाभावः</w:t>
      </w:r>
      <w:r>
        <w:t xml:space="preserve">); and by</w:t>
      </w:r>
      <w:r>
        <w:t xml:space="preserve"> </w:t>
      </w:r>
      <w:r>
        <w:rPr>
          <w:bCs/>
          <w:b/>
        </w:rPr>
        <w:t xml:space="preserve">सुपां सुलुगित्यनोलुक्</w:t>
      </w:r>
      <w:r>
        <w:t xml:space="preserve"> </w:t>
      </w:r>
      <w:r>
        <w:t xml:space="preserve">[as printed], the</w:t>
      </w:r>
      <w:r>
        <w:t xml:space="preserve"> </w:t>
      </w:r>
      <w:r>
        <w:t xml:space="preserve">“</w:t>
      </w:r>
      <w:r>
        <w:t xml:space="preserve">luk</w:t>
      </w:r>
      <w:r>
        <w:t xml:space="preserve">”</w:t>
      </w:r>
      <w:r>
        <w:t xml:space="preserve"> </w:t>
      </w:r>
      <w:r>
        <w:t xml:space="preserve">for</w:t>
      </w:r>
      <w:r>
        <w:t xml:space="preserve"> </w:t>
      </w:r>
      <w:r>
        <w:t xml:space="preserve">“</w:t>
      </w:r>
      <w:r>
        <w:t xml:space="preserve">sup</w:t>
      </w:r>
      <w:r>
        <w:t xml:space="preserve">”</w:t>
      </w:r>
      <w:r>
        <w:t xml:space="preserve"> </w:t>
      </w:r>
      <w:r>
        <w:t xml:space="preserve">is considered, and by</w:t>
      </w:r>
      <w:r>
        <w:t xml:space="preserve"> </w:t>
      </w:r>
      <w:r>
        <w:rPr>
          <w:bCs/>
          <w:b/>
        </w:rPr>
        <w:t xml:space="preserve">न लुमताङ्गस्य</w:t>
      </w:r>
      <w:r>
        <w:t xml:space="preserve"> </w:t>
      </w:r>
      <w:r>
        <w:t xml:space="preserve">(पा. १-१-६३) —</w:t>
      </w:r>
      <w:r>
        <w:t xml:space="preserve"> </w:t>
      </w:r>
      <w:r>
        <w:t xml:space="preserve">“</w:t>
      </w:r>
      <w:r>
        <w:t xml:space="preserve">an operation that depends on an affix that has been elided by</w:t>
      </w:r>
      <w:r>
        <w:t xml:space="preserve"> </w:t>
      </w:r>
      <w:r>
        <w:t xml:space="preserve">‘</w:t>
      </w:r>
      <w:r>
        <w:t xml:space="preserve">lu</w:t>
      </w:r>
      <w:r>
        <w:t xml:space="preserve">’</w:t>
      </w:r>
      <w:r>
        <w:t xml:space="preserve"> </w:t>
      </w:r>
      <w:r>
        <w:t xml:space="preserve">does not apply</w:t>
      </w:r>
      <w:r>
        <w:t xml:space="preserve">”</w:t>
      </w:r>
      <w:r>
        <w:t xml:space="preserve"> </w:t>
      </w:r>
      <w:r>
        <w:t xml:space="preserve">— the</w:t>
      </w:r>
      <w:r>
        <w:t xml:space="preserve"> </w:t>
      </w:r>
      <w:r>
        <w:t xml:space="preserve">“</w:t>
      </w:r>
      <w:r>
        <w:t xml:space="preserve">ugit</w:t>
      </w:r>
      <w:r>
        <w:t xml:space="preserve">”</w:t>
      </w:r>
      <w:r>
        <w:t xml:space="preserve"> </w:t>
      </w:r>
      <w:r>
        <w:t xml:space="preserve">rule (</w:t>
      </w:r>
      <w:r>
        <w:rPr>
          <w:bCs/>
          <w:b/>
        </w:rPr>
        <w:t xml:space="preserve">उगिदचां सर्वनामस्थानेऽधातोः</w:t>
      </w:r>
      <w:r>
        <w:t xml:space="preserve">, पा. ७-१-७०) does not bring</w:t>
      </w:r>
      <w:r>
        <w:t xml:space="preserve"> </w:t>
      </w:r>
      <w:r>
        <w:t xml:space="preserve">“</w:t>
      </w:r>
      <w:r>
        <w:t xml:space="preserve">num.</w:t>
      </w:r>
      <w:r>
        <w:t xml:space="preserve">”</w:t>
      </w:r>
      <w:r>
        <w:t xml:space="preserve"> </w:t>
      </w:r>
      <w:r>
        <w:t xml:space="preserve">Thus</w:t>
      </w:r>
      <w:r>
        <w:t xml:space="preserve"> </w:t>
      </w:r>
      <w:r>
        <w:t xml:space="preserve">“</w:t>
      </w:r>
      <w:r>
        <w:t xml:space="preserve">patayat</w:t>
      </w:r>
      <w:r>
        <w:t xml:space="preserve">”</w:t>
      </w:r>
      <w:r>
        <w:t xml:space="preserve"> </w:t>
      </w:r>
      <w:r>
        <w:t xml:space="preserve">is end-acute.</w:t>
      </w:r>
      <w:r>
        <w:t xml:space="preserve"> </w:t>
      </w:r>
      <w:r>
        <w:t xml:space="preserve">“</w:t>
      </w:r>
      <w:r>
        <w:t xml:space="preserve">Mandayatsakham</w:t>
      </w:r>
      <w:r>
        <w:t xml:space="preserve">”</w:t>
      </w:r>
      <w:r>
        <w:t xml:space="preserve"> </w:t>
      </w:r>
      <w:r>
        <w:t xml:space="preserve">—</w:t>
      </w:r>
      <w:r>
        <w:t xml:space="preserve"> </w:t>
      </w:r>
      <w:r>
        <w:t xml:space="preserve">“</w:t>
      </w:r>
      <w:r>
        <w:t xml:space="preserve">mandayati iti mandayat</w:t>
      </w:r>
      <w:r>
        <w:t xml:space="preserve">”</w:t>
      </w:r>
      <w:r>
        <w:t xml:space="preserve"> </w:t>
      </w:r>
      <w:r>
        <w:t xml:space="preserve">(the same stem in</w:t>
      </w:r>
      <w:r>
        <w:t xml:space="preserve"> </w:t>
      </w:r>
      <w:r>
        <w:t xml:space="preserve">“</w:t>
      </w:r>
      <w:r>
        <w:t xml:space="preserve">śatṛ</w:t>
      </w:r>
      <w:r>
        <w:t xml:space="preserve">”</w:t>
      </w:r>
      <w:r>
        <w:t xml:space="preserve">; end-acute);</w:t>
      </w:r>
      <w:r>
        <w:t xml:space="preserve"> </w:t>
      </w:r>
      <w:r>
        <w:t xml:space="preserve">“</w:t>
      </w:r>
      <w:r>
        <w:t xml:space="preserve">mandayatīndre sakhā</w:t>
      </w:r>
      <w:r>
        <w:t xml:space="preserve">”</w:t>
      </w:r>
      <w:r>
        <w:t xml:space="preserve"> </w:t>
      </w:r>
      <w:r>
        <w:t xml:space="preserve">— a compound of the type</w:t>
      </w:r>
      <w:r>
        <w:t xml:space="preserve"> </w:t>
      </w:r>
      <w:r>
        <w:t xml:space="preserve">“</w:t>
      </w:r>
      <w:r>
        <w:t xml:space="preserve">śastra-mimāti</w:t>
      </w:r>
      <w:r>
        <w:t xml:space="preserve">”</w:t>
      </w:r>
      <w:r>
        <w:t xml:space="preserve"> </w:t>
      </w:r>
      <w:r>
        <w:t xml:space="preserve">(the print:</w:t>
      </w:r>
      <w:r>
        <w:t xml:space="preserve"> </w:t>
      </w:r>
      <w:r>
        <w:rPr>
          <w:bCs/>
          <w:b/>
        </w:rPr>
        <w:t xml:space="preserve">सप्तमी</w:t>
      </w:r>
      <w:r>
        <w:t xml:space="preserve">…,</w:t>
      </w:r>
      <w:r>
        <w:t xml:space="preserve"> </w:t>
      </w:r>
      <w:r>
        <w:t xml:space="preserve">“</w:t>
      </w:r>
      <w:r>
        <w:t xml:space="preserve">yogavibhāgāt samāsaḥ</w:t>
      </w:r>
      <w:r>
        <w:t xml:space="preserve">”</w:t>
      </w:r>
      <w:r>
        <w:t xml:space="preserve">), with the first-member accent retained by</w:t>
      </w:r>
      <w:r>
        <w:t xml:space="preserve"> </w:t>
      </w:r>
      <w:r>
        <w:rPr>
          <w:bCs/>
          <w:b/>
        </w:rPr>
        <w:t xml:space="preserve">तत्पुरुषे तुल्यार्थ…</w:t>
      </w:r>
      <w:r>
        <w:t xml:space="preserve"> </w:t>
      </w:r>
      <w:r>
        <w:t xml:space="preserve">(पा. ६-२-२). ॥७॥</w:t>
      </w:r>
    </w:p>
    <w:p>
      <w:pPr>
        <w:pStyle w:val="BodyText"/>
      </w:pPr>
      <w:r>
        <w:rPr>
          <w:bCs/>
          <w:b/>
        </w:rPr>
        <w:t xml:space="preserve">॥ Prati-padārthaḥ ॥</w:t>
      </w:r>
      <w:r>
        <w:t xml:space="preserve"> </w:t>
      </w:r>
      <w:r>
        <w:rPr>
          <w:iCs/>
          <w:i/>
        </w:rPr>
        <w:t xml:space="preserve">(Kannada, translated)</w:t>
      </w:r>
    </w:p>
    <w:p>
      <w:pPr>
        <w:pStyle w:val="BodyText"/>
      </w:pPr>
      <w:r>
        <w:t xml:space="preserve">(O sacrificer)</w:t>
      </w:r>
      <w:r>
        <w:t xml:space="preserve"> </w:t>
      </w:r>
      <w:r>
        <w:rPr>
          <w:bCs/>
          <w:b/>
        </w:rPr>
        <w:t xml:space="preserve">यज्ञश्रियम् (yajñaśriyam)</w:t>
      </w:r>
      <w:r>
        <w:t xml:space="preserve"> </w:t>
      </w:r>
      <w:r>
        <w:t xml:space="preserve">— which is of the form of the wealth of the sacrifice |</w:t>
      </w:r>
      <w:r>
        <w:t xml:space="preserve"> </w:t>
      </w:r>
      <w:r>
        <w:rPr>
          <w:bCs/>
          <w:b/>
        </w:rPr>
        <w:t xml:space="preserve">नृमादनम् (nṛmādanam)</w:t>
      </w:r>
      <w:r>
        <w:t xml:space="preserve"> </w:t>
      </w:r>
      <w:r>
        <w:t xml:space="preserve">— which causes joy to men — the priests, the sacrificer and the others |</w:t>
      </w:r>
      <w:r>
        <w:t xml:space="preserve"> </w:t>
      </w:r>
      <w:r>
        <w:rPr>
          <w:bCs/>
          <w:b/>
        </w:rPr>
        <w:t xml:space="preserve">पतयत् (patayat)</w:t>
      </w:r>
      <w:r>
        <w:t xml:space="preserve"> </w:t>
      </w:r>
      <w:r>
        <w:t xml:space="preserve">— with the power to bring about the actions that are failing (that are going astray) |</w:t>
      </w:r>
      <w:r>
        <w:t xml:space="preserve"> </w:t>
      </w:r>
      <w:r>
        <w:rPr>
          <w:bCs/>
          <w:b/>
        </w:rPr>
        <w:t xml:space="preserve">मन्दयत्सखम् (mandayatsakham)</w:t>
      </w:r>
      <w:r>
        <w:t xml:space="preserve"> </w:t>
      </w:r>
      <w:r>
        <w:t xml:space="preserve">— friendly to Indra, who gladdens the sacrificer and the others |</w:t>
      </w:r>
      <w:r>
        <w:t xml:space="preserve"> </w:t>
      </w:r>
      <w:r>
        <w:rPr>
          <w:bCs/>
          <w:b/>
        </w:rPr>
        <w:t xml:space="preserve">ईम् आशुम् (īm āśum)</w:t>
      </w:r>
      <w:r>
        <w:t xml:space="preserve"> </w:t>
      </w:r>
      <w:r>
        <w:t xml:space="preserve">— this Soma-juice which pervades all three pressings — that is, which is made ready in all of them |</w:t>
      </w:r>
      <w:r>
        <w:t xml:space="preserve"> </w:t>
      </w:r>
      <w:r>
        <w:rPr>
          <w:bCs/>
          <w:b/>
        </w:rPr>
        <w:t xml:space="preserve">आशवे (āśave)</w:t>
      </w:r>
      <w:r>
        <w:t xml:space="preserve"> </w:t>
      </w:r>
      <w:r>
        <w:t xml:space="preserve">— to Indra, who pervades the sacrifice — that is, who bears the chief share in the sacrifice (the chief god) |</w:t>
      </w:r>
      <w:r>
        <w:t xml:space="preserve"> </w:t>
      </w:r>
      <w:r>
        <w:rPr>
          <w:bCs/>
          <w:b/>
        </w:rPr>
        <w:t xml:space="preserve">आ भर (ā bhara)</w:t>
      </w:r>
      <w:r>
        <w:t xml:space="preserve"> </w:t>
      </w:r>
      <w:r>
        <w:t xml:space="preserve">— bring.</w:t>
      </w:r>
    </w:p>
    <w:p>
      <w:pPr>
        <w:pStyle w:val="BodyText"/>
      </w:pPr>
      <w:r>
        <w:rPr>
          <w:bCs/>
          <w:b/>
        </w:rPr>
        <w:t xml:space="preserve">॥ Bhāvārthaḥ ॥</w:t>
      </w:r>
      <w:r>
        <w:t xml:space="preserve"> </w:t>
      </w:r>
      <w:r>
        <w:rPr>
          <w:iCs/>
          <w:i/>
        </w:rPr>
        <w:t xml:space="preserve">(Kannada, translated)</w:t>
      </w:r>
    </w:p>
    <w:p>
      <w:pPr>
        <w:pStyle w:val="BodyText"/>
      </w:pPr>
      <w:r>
        <w:t xml:space="preserve">This is a sentence addressed by the Hotṛ to the sacrificer or to the Adhvaryu: O sacrificer (or Adhvaryu)! The Soma-juice that is now being prepared in this sacrifice is chiefly the wealth of the sacrifice; that is, by it the sacrifice is adorned. Such Soma-juice causes joy to all people — the priests, the sacrificer and so on; it has the power to bring about the (repair of) actions that have fallen into fault. Moreover, this Soma-juice is dear, like a friend, to Indra, who gladdens the sacrificer. Quickly bring such a Soma-juice for Indra.</w:t>
      </w:r>
    </w:p>
    <w:p>
      <w:pPr>
        <w:pStyle w:val="BodyText"/>
      </w:pPr>
      <w:r>
        <w:rPr>
          <w:bCs/>
          <w:b/>
        </w:rPr>
        <w:t xml:space="preserve">English Translation</w:t>
      </w:r>
      <w:r>
        <w:t xml:space="preserve"> </w:t>
      </w:r>
      <w:r>
        <w:rPr>
          <w:iCs/>
          <w:i/>
        </w:rPr>
        <w:t xml:space="preserve">(printed in English in the source itself):</w:t>
      </w:r>
    </w:p>
    <w:p>
      <w:pPr>
        <w:pStyle w:val="BodyText"/>
      </w:pPr>
      <w:r>
        <w:t xml:space="preserve">“</w:t>
      </w:r>
      <w:r>
        <w:t xml:space="preserve">Offer to Indra, pervader (of the whole Soma Sacrifice) the Soma juice that is present (at the three Savana ceremonies) the wealth of the Sacrifice, the Source of joy to men (including priests and worshipper), the favourite of Indra who gives happiness to the worshippers.</w:t>
      </w:r>
      <w:r>
        <w:t xml:space="preserve">”</w:t>
      </w:r>
    </w:p>
    <w:bookmarkEnd w:id="149"/>
    <w:bookmarkStart w:id="150" w:name="X2b80fd6d86fdfed966c0ca6b3efa510c3757be0"/>
    <w:p>
      <w:pPr>
        <w:pStyle w:val="Heading3"/>
      </w:pPr>
      <w:r>
        <w:t xml:space="preserve">Page 118 — Special topics on Rik 4.7; Vyākaraṇa-prakriyā (opening)</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4.</w:t>
      </w:r>
      <w:r>
        <w:rPr>
          <w:iCs/>
          <w:i/>
        </w:rPr>
        <w:t xml:space="preserve">”</w:t>
      </w:r>
      <w:r>
        <w:rPr>
          <w:iCs/>
          <w:i/>
        </w:rPr>
        <w:t xml:space="preserve"> </w:t>
      </w:r>
      <w:r>
        <w:rPr>
          <w:iCs/>
          <w:i/>
        </w:rPr>
        <w:t xml:space="preserve">English as printed; Ṛg-vedic references in small Kannada numerals marked [?]; glosses mine and tentative.)</w:t>
      </w:r>
    </w:p>
    <w:p>
      <w:pPr>
        <w:pStyle w:val="BodyText"/>
      </w:pPr>
      <w:r>
        <w:rPr>
          <w:bCs/>
          <w:b/>
        </w:rPr>
        <w:t xml:space="preserve">॥ Viśeṣa-viṣayagaḷu (Special Topics) ॥</w:t>
      </w:r>
    </w:p>
    <w:p>
      <w:pPr>
        <w:pStyle w:val="BodyText"/>
      </w:pPr>
      <w:r>
        <w:t xml:space="preserve">This Ṛk is spoken addressing the sacrificer or the Adhvaryu.</w:t>
      </w:r>
    </w:p>
    <w:p>
      <w:pPr>
        <w:pStyle w:val="BodyText"/>
      </w:pPr>
      <w:r>
        <w:rPr>
          <w:bCs/>
          <w:b/>
        </w:rPr>
        <w:t xml:space="preserve">ईम् (īm)</w:t>
      </w:r>
      <w:r>
        <w:t xml:space="preserve"> </w:t>
      </w:r>
      <w:r>
        <w:t xml:space="preserve">—</w:t>
      </w:r>
      <w:r>
        <w:t xml:space="preserve"> </w:t>
      </w:r>
      <w:r>
        <w:rPr>
          <w:bCs/>
          <w:b/>
        </w:rPr>
        <w:t xml:space="preserve">Skandasvāmī</w:t>
      </w:r>
      <w:r>
        <w:t xml:space="preserve"> </w:t>
      </w:r>
      <w:r>
        <w:t xml:space="preserve">explains</w:t>
      </w:r>
      <w:r>
        <w:t xml:space="preserve"> </w:t>
      </w:r>
      <w:r>
        <w:t xml:space="preserve">“</w:t>
      </w:r>
      <w:r>
        <w:t xml:space="preserve">īm</w:t>
      </w:r>
      <w:r>
        <w:t xml:space="preserve">”</w:t>
      </w:r>
      <w:r>
        <w:t xml:space="preserve"> </w:t>
      </w:r>
      <w:r>
        <w:t xml:space="preserve">as</w:t>
      </w:r>
      <w:r>
        <w:t xml:space="preserve"> </w:t>
      </w:r>
      <w:r>
        <w:t xml:space="preserve">“</w:t>
      </w:r>
      <w:r>
        <w:t xml:space="preserve">enam,</w:t>
      </w:r>
      <w:r>
        <w:t xml:space="preserve">”</w:t>
      </w:r>
      <w:r>
        <w:t xml:space="preserve"> </w:t>
      </w:r>
      <w:r>
        <w:t xml:space="preserve">that is,</w:t>
      </w:r>
      <w:r>
        <w:t xml:space="preserve"> </w:t>
      </w:r>
      <w:r>
        <w:t xml:space="preserve">“</w:t>
      </w:r>
      <w:r>
        <w:t xml:space="preserve">this Soma,</w:t>
      </w:r>
      <w:r>
        <w:t xml:space="preserve">”</w:t>
      </w:r>
      <w:r>
        <w:t xml:space="preserve"> </w:t>
      </w:r>
      <w:r>
        <w:t xml:space="preserve">“</w:t>
      </w:r>
      <w:r>
        <w:t xml:space="preserve">the Soma-juice.</w:t>
      </w:r>
      <w:r>
        <w:t xml:space="preserve">”</w:t>
      </w:r>
    </w:p>
    <w:p>
      <w:pPr>
        <w:pStyle w:val="BodyText"/>
      </w:pPr>
      <w:r>
        <w:rPr>
          <w:bCs/>
          <w:b/>
        </w:rPr>
        <w:t xml:space="preserve">आशुम् (āśum)</w:t>
      </w:r>
      <w:r>
        <w:t xml:space="preserve"> </w:t>
      </w:r>
      <w:r>
        <w:t xml:space="preserve">— For this word the general sense is</w:t>
      </w:r>
      <w:r>
        <w:t xml:space="preserve"> </w:t>
      </w:r>
      <w:r>
        <w:t xml:space="preserve">“</w:t>
      </w:r>
      <w:r>
        <w:t xml:space="preserve">quickly; vigilantly.</w:t>
      </w:r>
      <w:r>
        <w:t xml:space="preserve">”</w:t>
      </w:r>
      <w:r>
        <w:t xml:space="preserve"> </w:t>
      </w:r>
      <w:r>
        <w:t xml:space="preserve">Though it is a qualifying word, it is used here as the thing qualified (viśeṣya).</w:t>
      </w:r>
      <w:r>
        <w:t xml:space="preserve"> </w:t>
      </w:r>
      <w:r>
        <w:rPr>
          <w:bCs/>
          <w:b/>
        </w:rPr>
        <w:t xml:space="preserve">Geldner</w:t>
      </w:r>
      <w:r>
        <w:t xml:space="preserve"> </w:t>
      </w:r>
      <w:r>
        <w:t xml:space="preserve">thinks that in this Ṛk the word is used as an adverb (kriyā-viśeṣaṇa). In the Ṛgveda this word</w:t>
      </w:r>
      <w:r>
        <w:t xml:space="preserve"> </w:t>
      </w:r>
      <w:r>
        <w:t xml:space="preserve">“</w:t>
      </w:r>
      <w:r>
        <w:t xml:space="preserve">āśu</w:t>
      </w:r>
      <w:r>
        <w:t xml:space="preserve">”</w:t>
      </w:r>
      <w:r>
        <w:t xml:space="preserve"> </w:t>
      </w:r>
      <w:r>
        <w:t xml:space="preserve">is used as an adjective, in the sense</w:t>
      </w:r>
      <w:r>
        <w:t xml:space="preserve"> </w:t>
      </w:r>
      <w:r>
        <w:t xml:space="preserve">“</w:t>
      </w:r>
      <w:r>
        <w:t xml:space="preserve">going fast,</w:t>
      </w:r>
      <w:r>
        <w:t xml:space="preserve">”</w:t>
      </w:r>
      <w:r>
        <w:t xml:space="preserve"> </w:t>
      </w:r>
      <w:r>
        <w:t xml:space="preserve">of horses, in many places. In the same sense it is also used as an adjective of the words</w:t>
      </w:r>
      <w:r>
        <w:t xml:space="preserve"> </w:t>
      </w:r>
      <w:r>
        <w:t xml:space="preserve">“</w:t>
      </w:r>
      <w:r>
        <w:t xml:space="preserve">chariot,</w:t>
      </w:r>
      <w:r>
        <w:t xml:space="preserve">”</w:t>
      </w:r>
      <w:r>
        <w:t xml:space="preserve"> </w:t>
      </w:r>
      <w:r>
        <w:t xml:space="preserve">“</w:t>
      </w:r>
      <w:r>
        <w:t xml:space="preserve">wheel,</w:t>
      </w:r>
      <w:r>
        <w:t xml:space="preserve">”</w:t>
      </w:r>
      <w:r>
        <w:t xml:space="preserve"> </w:t>
      </w:r>
      <w:r>
        <w:t xml:space="preserve">“</w:t>
      </w:r>
      <w:r>
        <w:t xml:space="preserve">bird,</w:t>
      </w:r>
      <w:r>
        <w:t xml:space="preserve">”</w:t>
      </w:r>
      <w:r>
        <w:t xml:space="preserve"> </w:t>
      </w:r>
      <w:r>
        <w:t xml:space="preserve">“</w:t>
      </w:r>
      <w:r>
        <w:t xml:space="preserve">messenger,</w:t>
      </w:r>
      <w:r>
        <w:t xml:space="preserve">”</w:t>
      </w:r>
      <w:r>
        <w:t xml:space="preserve"> </w:t>
      </w:r>
      <w:r>
        <w:t xml:space="preserve">“</w:t>
      </w:r>
      <w:r>
        <w:t xml:space="preserve">Vāyu,</w:t>
      </w:r>
      <w:r>
        <w:t xml:space="preserve">”</w:t>
      </w:r>
      <w:r>
        <w:t xml:space="preserve"> </w:t>
      </w:r>
      <w:r>
        <w:t xml:space="preserve">“</w:t>
      </w:r>
      <w:r>
        <w:t xml:space="preserve">Indra</w:t>
      </w:r>
      <w:r>
        <w:t xml:space="preserve">”</w:t>
      </w:r>
      <w:r>
        <w:t xml:space="preserve"> </w:t>
      </w:r>
      <w:r>
        <w:t xml:space="preserve">and</w:t>
      </w:r>
      <w:r>
        <w:t xml:space="preserve"> </w:t>
      </w:r>
      <w:r>
        <w:t xml:space="preserve">“</w:t>
      </w:r>
      <w:r>
        <w:t xml:space="preserve">Soma,</w:t>
      </w:r>
      <w:r>
        <w:t xml:space="preserve">”</w:t>
      </w:r>
      <w:r>
        <w:t xml:space="preserve"> </w:t>
      </w:r>
      <w:r>
        <w:t xml:space="preserve">in many places.</w:t>
      </w:r>
    </w:p>
    <w:p>
      <w:pPr>
        <w:pStyle w:val="BodyText"/>
      </w:pPr>
      <w:r>
        <w:rPr>
          <w:bCs/>
          <w:b/>
        </w:rPr>
        <w:t xml:space="preserve">नृमादनम् (nṛmādanam)</w:t>
      </w:r>
      <w:r>
        <w:t xml:space="preserve"> </w:t>
      </w:r>
      <w:r>
        <w:t xml:space="preserve">— Since men are gladdened by drinking the Soma-juice that produces intoxication, it is natural. Therefore it is said in many places that the drinking of Soma gives delight to men. The use of this word:</w:t>
      </w:r>
    </w:p>
    <w:p>
      <w:pPr>
        <w:pStyle w:val="BlockText"/>
      </w:pPr>
      <w:r>
        <w:t xml:space="preserve">त्वं सोम नृमादनः पवस्व चर्षणीसहे । (ऋ. सं. ९-२४-४)</w:t>
      </w:r>
      <w:r>
        <w:t xml:space="preserve"> </w:t>
      </w:r>
      <w:r>
        <w:rPr>
          <w:iCs/>
          <w:i/>
        </w:rPr>
        <w:t xml:space="preserve">tvaṃ soma nṛmādanaḥ pavasva carṣaṇīsahe | (ṛ. saṃ. 9-24-4)</w:t>
      </w:r>
      <w:r>
        <w:t xml:space="preserve"> </w:t>
      </w:r>
      <w:r>
        <w:t xml:space="preserve">Gloss:</w:t>
      </w:r>
      <w:r>
        <w:t xml:space="preserve"> </w:t>
      </w:r>
      <w:r>
        <w:t xml:space="preserve">“</w:t>
      </w:r>
      <w:r>
        <w:t xml:space="preserve">You, O Soma, the gladdener of men, flow clear for the conqueror of the peoples.</w:t>
      </w:r>
      <w:r>
        <w:t xml:space="preserve">”</w:t>
      </w:r>
    </w:p>
    <w:p>
      <w:pPr>
        <w:pStyle w:val="BlockText"/>
      </w:pPr>
      <w:r>
        <w:t xml:space="preserve">त्वं सुतो नृमादनो दधन्वान्मत्सरिन्तमः । (ऋ. सं. ९-६७-२)</w:t>
      </w:r>
      <w:r>
        <w:t xml:space="preserve"> </w:t>
      </w:r>
      <w:r>
        <w:rPr>
          <w:iCs/>
          <w:i/>
        </w:rPr>
        <w:t xml:space="preserve">tvaṃ suto nṛmādano dadhanvān matsarintamaḥ | (ṛ. saṃ. 9-67-2)</w:t>
      </w:r>
      <w:r>
        <w:t xml:space="preserve"> </w:t>
      </w:r>
      <w:r>
        <w:t xml:space="preserve">Gloss:</w:t>
      </w:r>
      <w:r>
        <w:t xml:space="preserve"> </w:t>
      </w:r>
      <w:r>
        <w:t xml:space="preserve">“</w:t>
      </w:r>
      <w:r>
        <w:t xml:space="preserve">You, pressed, the gladdener of men, the bearer, most exhilarating.</w:t>
      </w:r>
      <w:r>
        <w:t xml:space="preserve">”</w:t>
      </w:r>
    </w:p>
    <w:p>
      <w:pPr>
        <w:pStyle w:val="FirstParagraph"/>
      </w:pPr>
      <w:r>
        <w:t xml:space="preserve">— occurs only in these Ṛks, nowhere else. The word</w:t>
      </w:r>
      <w:r>
        <w:t xml:space="preserve"> </w:t>
      </w:r>
      <w:r>
        <w:t xml:space="preserve">“</w:t>
      </w:r>
      <w:r>
        <w:t xml:space="preserve">mādana</w:t>
      </w:r>
      <w:r>
        <w:t xml:space="preserve">”</w:t>
      </w:r>
      <w:r>
        <w:t xml:space="preserve"> </w:t>
      </w:r>
      <w:r>
        <w:t xml:space="preserve">derives from the root</w:t>
      </w:r>
      <w:r>
        <w:t xml:space="preserve"> </w:t>
      </w:r>
      <w:r>
        <w:t xml:space="preserve">“</w:t>
      </w:r>
      <w:r>
        <w:t xml:space="preserve">mad</w:t>
      </w:r>
      <w:r>
        <w:t xml:space="preserve">”</w:t>
      </w:r>
      <w:r>
        <w:t xml:space="preserve"> </w:t>
      </w:r>
      <w:r>
        <w:t xml:space="preserve">(</w:t>
      </w:r>
      <w:r>
        <w:t xml:space="preserve">“</w:t>
      </w:r>
      <w:r>
        <w:t xml:space="preserve">to be glad; to rejoice, exhilarate</w:t>
      </w:r>
      <w:r>
        <w:t xml:space="preserve">”</w:t>
      </w:r>
      <w:r>
        <w:t xml:space="preserve"> </w:t>
      </w:r>
      <w:r>
        <w:rPr>
          <w:iCs/>
          <w:i/>
        </w:rPr>
        <w:t xml:space="preserve">(English as printed)</w:t>
      </w:r>
      <w:r>
        <w:t xml:space="preserve">).</w:t>
      </w:r>
    </w:p>
    <w:p>
      <w:pPr>
        <w:pStyle w:val="BodyText"/>
      </w:pPr>
      <w:r>
        <w:rPr>
          <w:bCs/>
          <w:b/>
        </w:rPr>
        <w:t xml:space="preserve">पतयत् (patayat)</w:t>
      </w:r>
      <w:r>
        <w:t xml:space="preserve"> </w:t>
      </w:r>
      <w:r>
        <w:t xml:space="preserve">— Many scholars have discussed the sense of this word at length.</w:t>
      </w:r>
      <w:r>
        <w:t xml:space="preserve"> </w:t>
      </w:r>
      <w:r>
        <w:rPr>
          <w:bCs/>
          <w:b/>
        </w:rPr>
        <w:t xml:space="preserve">Skandasvāmī</w:t>
      </w:r>
      <w:r>
        <w:t xml:space="preserve">’s view is</w:t>
      </w:r>
      <w:r>
        <w:t xml:space="preserve"> </w:t>
      </w:r>
      <w:r>
        <w:t xml:space="preserve">“</w:t>
      </w:r>
      <w:r>
        <w:t xml:space="preserve">gamayantam</w:t>
      </w:r>
      <w:r>
        <w:t xml:space="preserve">”</w:t>
      </w:r>
      <w:r>
        <w:t xml:space="preserve"> </w:t>
      </w:r>
      <w:r>
        <w:t xml:space="preserve">—</w:t>
      </w:r>
      <w:r>
        <w:t xml:space="preserve"> </w:t>
      </w:r>
      <w:r>
        <w:t xml:space="preserve">“</w:t>
      </w:r>
      <w:r>
        <w:t xml:space="preserve">causing to go.</w:t>
      </w:r>
      <w:r>
        <w:t xml:space="preserve">”</w:t>
      </w:r>
      <w:r>
        <w:t xml:space="preserve"> </w:t>
      </w:r>
      <w:r>
        <w:rPr>
          <w:bCs/>
          <w:b/>
        </w:rPr>
        <w:t xml:space="preserve">Veṅkaṭamādhava</w:t>
      </w:r>
      <w:r>
        <w:t xml:space="preserve"> </w:t>
      </w:r>
      <w:r>
        <w:t xml:space="preserve">explains the word</w:t>
      </w:r>
      <w:r>
        <w:t xml:space="preserve"> </w:t>
      </w:r>
      <w:r>
        <w:t xml:space="preserve">“</w:t>
      </w:r>
      <w:r>
        <w:t xml:space="preserve">patayat</w:t>
      </w:r>
      <w:r>
        <w:t xml:space="preserve">”</w:t>
      </w:r>
      <w:r>
        <w:t xml:space="preserve"> </w:t>
      </w:r>
      <w:r>
        <w:t xml:space="preserve">in</w:t>
      </w:r>
      <w:r>
        <w:t xml:space="preserve"> </w:t>
      </w:r>
      <w:r>
        <w:t xml:space="preserve">“</w:t>
      </w:r>
      <w:r>
        <w:rPr>
          <w:iCs/>
          <w:i/>
        </w:rPr>
        <w:t xml:space="preserve">manuṣyān pātayeti hi somaḥ</w:t>
      </w:r>
      <w:r>
        <w:t xml:space="preserve">”</w:t>
      </w:r>
      <w:r>
        <w:t xml:space="preserve"> </w:t>
      </w:r>
      <w:r>
        <w:t xml:space="preserve">—</w:t>
      </w:r>
      <w:r>
        <w:t xml:space="preserve"> </w:t>
      </w:r>
      <w:r>
        <w:t xml:space="preserve">“</w:t>
      </w:r>
      <w:r>
        <w:t xml:space="preserve">‘</w:t>
      </w:r>
      <w:r>
        <w:t xml:space="preserve">Soma makes men fall</w:t>
      </w:r>
      <w:r>
        <w:t xml:space="preserve">’</w:t>
      </w:r>
      <w:r>
        <w:t xml:space="preserve">”</w:t>
      </w:r>
      <w:r>
        <w:t xml:space="preserve">: the sense being</w:t>
      </w:r>
      <w:r>
        <w:t xml:space="preserve"> </w:t>
      </w:r>
      <w:r>
        <w:t xml:space="preserve">“</w:t>
      </w:r>
      <w:r>
        <w:t xml:space="preserve">the Soma that protects men</w:t>
      </w:r>
      <w:r>
        <w:t xml:space="preserve">”</w:t>
      </w:r>
      <w:r>
        <w:t xml:space="preserve"> </w:t>
      </w:r>
      <w:r>
        <w:t xml:space="preserve">[as the Kannada reads it; I note that the quotation as printed is hard to interpret, and I give the Kannada’s sense only]. Western scholars explain this word as</w:t>
      </w:r>
      <w:r>
        <w:t xml:space="preserve"> </w:t>
      </w:r>
      <w:r>
        <w:rPr>
          <w:iCs/>
          <w:i/>
        </w:rPr>
        <w:t xml:space="preserve">(English as printed)</w:t>
      </w:r>
      <w:r>
        <w:t xml:space="preserve"> </w:t>
      </w:r>
      <w:r>
        <w:t xml:space="preserve">“</w:t>
      </w:r>
      <w:r>
        <w:t xml:space="preserve">accelerating, quickening, inspiring to friends.</w:t>
      </w:r>
      <w:r>
        <w:t xml:space="preserve">”</w:t>
      </w:r>
    </w:p>
    <w:p>
      <w:pPr>
        <w:pStyle w:val="BodyText"/>
      </w:pPr>
      <w:r>
        <w:rPr>
          <w:bCs/>
          <w:b/>
        </w:rPr>
        <w:t xml:space="preserve">॥ Vyākaraṇa-prakriyā ॥</w:t>
      </w:r>
      <w:r>
        <w:t xml:space="preserve"> </w:t>
      </w:r>
      <w:r>
        <w:rPr>
          <w:iCs/>
          <w:i/>
        </w:rPr>
        <w:t xml:space="preserve">(Kannada; characterized.)</w:t>
      </w:r>
      <w:r>
        <w:t xml:space="preserve"> </w:t>
      </w:r>
      <w:r>
        <w:rPr>
          <w:bCs/>
          <w:b/>
        </w:rPr>
        <w:t xml:space="preserve">“</w:t>
      </w:r>
      <w:r>
        <w:rPr>
          <w:bCs/>
          <w:b/>
        </w:rPr>
        <w:t xml:space="preserve">Āśum</w:t>
      </w:r>
      <w:r>
        <w:rPr>
          <w:bCs/>
          <w:b/>
        </w:rPr>
        <w:t xml:space="preserve">”</w:t>
      </w:r>
      <w:r>
        <w:t xml:space="preserve"> </w:t>
      </w:r>
      <w:r>
        <w:t xml:space="preserve">—</w:t>
      </w:r>
      <w:r>
        <w:t xml:space="preserve"> </w:t>
      </w:r>
      <w:r>
        <w:rPr>
          <w:bCs/>
          <w:b/>
        </w:rPr>
        <w:t xml:space="preserve">कृवापाजिमिस्वदिसाध्यशूभ्य उण्</w:t>
      </w:r>
      <w:r>
        <w:t xml:space="preserve"> </w:t>
      </w:r>
      <w:r>
        <w:t xml:space="preserve">(उ. सू. १-१ [as printed]) — after the roots</w:t>
      </w:r>
      <w:r>
        <w:t xml:space="preserve"> </w:t>
      </w:r>
      <w:r>
        <w:t xml:space="preserve">“</w:t>
      </w:r>
      <w:r>
        <w:t xml:space="preserve">ḍukṛñ karaṇe</w:t>
      </w:r>
      <w:r>
        <w:t xml:space="preserve">”</w:t>
      </w:r>
      <w:r>
        <w:t xml:space="preserve"> </w:t>
      </w:r>
      <w:r>
        <w:t xml:space="preserve">(to do),</w:t>
      </w:r>
      <w:r>
        <w:t xml:space="preserve"> </w:t>
      </w:r>
      <w:r>
        <w:t xml:space="preserve">“</w:t>
      </w:r>
      <w:r>
        <w:t xml:space="preserve">vā gati-gandhanayoḥ</w:t>
      </w:r>
      <w:r>
        <w:t xml:space="preserve">”</w:t>
      </w:r>
      <w:r>
        <w:t xml:space="preserve"> </w:t>
      </w:r>
      <w:r>
        <w:t xml:space="preserve">(to go, to give),</w:t>
      </w:r>
      <w:r>
        <w:t xml:space="preserve"> </w:t>
      </w:r>
      <w:r>
        <w:t xml:space="preserve">“</w:t>
      </w:r>
      <w:r>
        <w:t xml:space="preserve">pā pāne</w:t>
      </w:r>
      <w:r>
        <w:t xml:space="preserve">”</w:t>
      </w:r>
      <w:r>
        <w:t xml:space="preserve"> </w:t>
      </w:r>
      <w:r>
        <w:t xml:space="preserve">(to drink),</w:t>
      </w:r>
      <w:r>
        <w:t xml:space="preserve"> </w:t>
      </w:r>
      <w:r>
        <w:t xml:space="preserve">“</w:t>
      </w:r>
      <w:r>
        <w:t xml:space="preserve">ji abhibhave</w:t>
      </w:r>
      <w:r>
        <w:t xml:space="preserve">”</w:t>
      </w:r>
      <w:r>
        <w:t xml:space="preserve"> </w:t>
      </w:r>
      <w:r>
        <w:t xml:space="preserve">(to conquer),</w:t>
      </w:r>
      <w:r>
        <w:t xml:space="preserve"> </w:t>
      </w:r>
      <w:r>
        <w:t xml:space="preserve">“</w:t>
      </w:r>
      <w:r>
        <w:t xml:space="preserve">ḍu miñ prakṣepaṇe</w:t>
      </w:r>
      <w:r>
        <w:t xml:space="preserve">”</w:t>
      </w:r>
      <w:r>
        <w:t xml:space="preserve"> </w:t>
      </w:r>
      <w:r>
        <w:t xml:space="preserve">(to throw),</w:t>
      </w:r>
      <w:r>
        <w:t xml:space="preserve"> </w:t>
      </w:r>
      <w:r>
        <w:t xml:space="preserve">“</w:t>
      </w:r>
      <w:r>
        <w:t xml:space="preserve">svad āsvādane</w:t>
      </w:r>
      <w:r>
        <w:t xml:space="preserve">”</w:t>
      </w:r>
      <w:r>
        <w:t xml:space="preserve"> </w:t>
      </w:r>
      <w:r>
        <w:t xml:space="preserve">(to taste),</w:t>
      </w:r>
      <w:r>
        <w:t xml:space="preserve"> </w:t>
      </w:r>
      <w:r>
        <w:t xml:space="preserve">“</w:t>
      </w:r>
      <w:r>
        <w:t xml:space="preserve">sādh saṃsiddhau</w:t>
      </w:r>
      <w:r>
        <w:t xml:space="preserve">”</w:t>
      </w:r>
      <w:r>
        <w:t xml:space="preserve"> </w:t>
      </w:r>
      <w:r>
        <w:t xml:space="preserve">(to accomplish),</w:t>
      </w:r>
      <w:r>
        <w:t xml:space="preserve"> </w:t>
      </w:r>
      <w:r>
        <w:t xml:space="preserve">“</w:t>
      </w:r>
      <w:r>
        <w:t xml:space="preserve">aśū vyāptau</w:t>
      </w:r>
      <w:r>
        <w:t xml:space="preserve">”</w:t>
      </w:r>
      <w:r>
        <w:t xml:space="preserve"> </w:t>
      </w:r>
      <w:r>
        <w:t xml:space="preserve">(to pervade) the affix</w:t>
      </w:r>
      <w:r>
        <w:t xml:space="preserve"> </w:t>
      </w:r>
      <w:r>
        <w:t xml:space="preserve">“</w:t>
      </w:r>
      <w:r>
        <w:t xml:space="preserve">uṇ</w:t>
      </w:r>
      <w:r>
        <w:t xml:space="preserve">”</w:t>
      </w:r>
      <w:r>
        <w:t xml:space="preserve"> </w:t>
      </w:r>
      <w:r>
        <w:t xml:space="preserve">comes; from</w:t>
      </w:r>
      <w:r>
        <w:t xml:space="preserve"> </w:t>
      </w:r>
      <w:r>
        <w:t xml:space="preserve">“</w:t>
      </w:r>
      <w:r>
        <w:t xml:space="preserve">aśū</w:t>
      </w:r>
      <w:r>
        <w:t xml:space="preserve">”</w:t>
      </w:r>
      <w:r>
        <w:t xml:space="preserve"> </w:t>
      </w:r>
      <w:r>
        <w:t xml:space="preserve">+</w:t>
      </w:r>
      <w:r>
        <w:t xml:space="preserve"> </w:t>
      </w:r>
      <w:r>
        <w:t xml:space="preserve">“</w:t>
      </w:r>
      <w:r>
        <w:t xml:space="preserve">uṇ,</w:t>
      </w:r>
      <w:r>
        <w:t xml:space="preserve">”</w:t>
      </w:r>
      <w:r>
        <w:t xml:space="preserve"> </w:t>
      </w:r>
      <w:r>
        <w:t xml:space="preserve">by</w:t>
      </w:r>
      <w:r>
        <w:t xml:space="preserve"> </w:t>
      </w:r>
      <w:r>
        <w:rPr>
          <w:bCs/>
          <w:b/>
        </w:rPr>
        <w:t xml:space="preserve">अत उपधायाः</w:t>
      </w:r>
      <w:r>
        <w:t xml:space="preserve"> </w:t>
      </w:r>
      <w:r>
        <w:t xml:space="preserve">(पा. ७-२-११६) vṛddhi of the penultimate before an</w:t>
      </w:r>
      <w:r>
        <w:t xml:space="preserve"> </w:t>
      </w:r>
      <w:r>
        <w:t xml:space="preserve">“</w:t>
      </w:r>
      <w:r>
        <w:t xml:space="preserve">ñit</w:t>
      </w:r>
      <w:r>
        <w:t xml:space="preserve">”</w:t>
      </w:r>
      <w:r>
        <w:t xml:space="preserve"> </w:t>
      </w:r>
      <w:r>
        <w:t xml:space="preserve">or</w:t>
      </w:r>
      <w:r>
        <w:t xml:space="preserve"> </w:t>
      </w:r>
      <w:r>
        <w:t xml:space="preserve">“</w:t>
      </w:r>
      <w:r>
        <w:t xml:space="preserve">ṇit</w:t>
      </w:r>
      <w:r>
        <w:t xml:space="preserve">”</w:t>
      </w:r>
      <w:r>
        <w:t xml:space="preserve"> </w:t>
      </w:r>
      <w:r>
        <w:t xml:space="preserve">affix →</w:t>
      </w:r>
      <w:r>
        <w:t xml:space="preserve"> </w:t>
      </w:r>
      <w:r>
        <w:t xml:space="preserve">“</w:t>
      </w:r>
      <w:r>
        <w:t xml:space="preserve">āśu</w:t>
      </w:r>
      <w:r>
        <w:t xml:space="preserve">”</w:t>
      </w:r>
      <w:r>
        <w:t xml:space="preserve">; the first syllable is acute by the affix-accent.</w:t>
      </w:r>
      <w:r>
        <w:t xml:space="preserve"> </w:t>
      </w:r>
      <w:r>
        <w:t xml:space="preserve">“</w:t>
      </w:r>
      <w:r>
        <w:t xml:space="preserve">Āśave</w:t>
      </w:r>
      <w:r>
        <w:t xml:space="preserve">”</w:t>
      </w:r>
      <w:r>
        <w:t xml:space="preserve"> </w:t>
      </w:r>
      <w:r>
        <w:t xml:space="preserve">is to be understood like this.</w:t>
      </w:r>
      <w:r>
        <w:t xml:space="preserve"> </w:t>
      </w:r>
      <w:r>
        <w:rPr>
          <w:bCs/>
          <w:b/>
        </w:rPr>
        <w:t xml:space="preserve">“</w:t>
      </w:r>
      <w:r>
        <w:rPr>
          <w:bCs/>
          <w:b/>
        </w:rPr>
        <w:t xml:space="preserve">Bhara</w:t>
      </w:r>
      <w:r>
        <w:rPr>
          <w:bCs/>
          <w:b/>
        </w:rPr>
        <w:t xml:space="preserve">”</w:t>
      </w:r>
      <w:r>
        <w:t xml:space="preserve"> </w:t>
      </w:r>
      <w:r>
        <w:t xml:space="preserve">—</w:t>
      </w:r>
      <w:r>
        <w:t xml:space="preserve"> </w:t>
      </w:r>
      <w:r>
        <w:t xml:space="preserve">“</w:t>
      </w:r>
      <w:r>
        <w:t xml:space="preserve">hṛñ haraṇe</w:t>
      </w:r>
      <w:r>
        <w:t xml:space="preserve">”</w:t>
      </w:r>
      <w:r>
        <w:t xml:space="preserve"> </w:t>
      </w:r>
      <w:r>
        <w:t xml:space="preserve">(to carry) in the imperative (loṭ) …</w:t>
      </w:r>
      <w:r>
        <w:t xml:space="preserve"> </w:t>
      </w:r>
      <w:r>
        <w:rPr>
          <w:iCs/>
          <w:i/>
        </w:rPr>
        <w:t xml:space="preserve">(continues on the next page)</w:t>
      </w:r>
    </w:p>
    <w:bookmarkEnd w:id="150"/>
    <w:bookmarkStart w:id="151" w:name="X6d95f2979b1d1d5a47d52adf1ad98f424fa0507"/>
    <w:p>
      <w:pPr>
        <w:pStyle w:val="Heading3"/>
      </w:pPr>
      <w:r>
        <w:t xml:space="preserve">Pages 119–120 — Vyākaraṇa-prakriyā for Rik 4.7 (Kannada), continued — characterized</w:t>
      </w:r>
    </w:p>
    <w:p>
      <w:pPr>
        <w:pStyle w:val="FirstParagraph"/>
      </w:pPr>
      <w:r>
        <w:rPr>
          <w:iCs/>
          <w:i/>
        </w:rPr>
        <w:t xml:space="preserve">(Page headers: p. 119</w:t>
      </w:r>
      <w:r>
        <w:rPr>
          <w:iCs/>
          <w:i/>
        </w:rPr>
        <w:t xml:space="preserve"> </w:t>
      </w:r>
      <w:r>
        <w:rPr>
          <w:iCs/>
          <w:i/>
        </w:rPr>
        <w:t xml:space="preserve">“</w:t>
      </w:r>
      <w:r>
        <w:rPr>
          <w:iCs/>
          <w:i/>
        </w:rPr>
        <w:t xml:space="preserve">Aṣṭaka 1, Adhyāya 1, Varga 8 · Ṛgveda-saṃhitā</w:t>
      </w:r>
      <w:r>
        <w:rPr>
          <w:iCs/>
          <w:i/>
        </w:rPr>
        <w:t xml:space="preserve">”</w:t>
      </w:r>
      <w:r>
        <w:rPr>
          <w:iCs/>
          <w:i/>
        </w:rPr>
        <w:t xml:space="preserve">; p. 120</w:t>
      </w:r>
      <w:r>
        <w:rPr>
          <w:iCs/>
          <w:i/>
        </w:rPr>
        <w:t xml:space="preserve"> </w:t>
      </w:r>
      <w:r>
        <w:rPr>
          <w:iCs/>
          <w:i/>
        </w:rPr>
        <w:t xml:space="preserve">“</w:t>
      </w:r>
      <w:r>
        <w:rPr>
          <w:iCs/>
          <w:i/>
        </w:rPr>
        <w:t xml:space="preserve">Sāyaṇa-bhāṣya-sahitā · Maṇḍala 1, Anuvāka 2, Sūkta 4.</w:t>
      </w:r>
      <w:r>
        <w:rPr>
          <w:iCs/>
          <w:i/>
        </w:rPr>
        <w:t xml:space="preserve">”</w:t>
      </w:r>
      <w:r>
        <w:rPr>
          <w:iCs/>
          <w:i/>
        </w:rPr>
        <w:t xml:space="preserve"> </w:t>
      </w:r>
      <w:r>
        <w:rPr>
          <w:iCs/>
          <w:i/>
        </w:rPr>
        <w:t xml:space="preserve">These two pages are</w:t>
      </w:r>
      <w:r>
        <w:rPr>
          <w:iCs/>
          <w:i/>
        </w:rPr>
        <w:t xml:space="preserve"> </w:t>
      </w:r>
      <w:r>
        <w:rPr>
          <w:bCs/>
          <w:b/>
          <w:iCs/>
          <w:i/>
        </w:rPr>
        <w:t xml:space="preserve">pure Pāṇinian derivation in Kannada prose</w:t>
      </w:r>
      <w:r>
        <w:rPr>
          <w:iCs/>
          <w:i/>
        </w:rPr>
        <w:t xml:space="preserve"> </w:t>
      </w:r>
      <w:r>
        <w:rPr>
          <w:iCs/>
          <w:i/>
        </w:rPr>
        <w:t xml:space="preserve">for</w:t>
      </w:r>
      <w:r>
        <w:rPr>
          <w:iCs/>
          <w:i/>
        </w:rPr>
        <w:t xml:space="preserve"> </w:t>
      </w:r>
      <w:r>
        <w:rPr>
          <w:iCs/>
          <w:i/>
        </w:rPr>
        <w:t xml:space="preserve">“</w:t>
      </w:r>
      <w:r>
        <w:rPr>
          <w:iCs/>
          <w:i/>
        </w:rPr>
        <w:t xml:space="preserve">bhara,</w:t>
      </w:r>
      <w:r>
        <w:rPr>
          <w:iCs/>
          <w:i/>
        </w:rPr>
        <w:t xml:space="preserve">”</w:t>
      </w:r>
      <w:r>
        <w:rPr>
          <w:iCs/>
          <w:i/>
        </w:rPr>
        <w:t xml:space="preserve"> </w:t>
      </w:r>
      <w:r>
        <w:rPr>
          <w:iCs/>
          <w:i/>
        </w:rPr>
        <w:t xml:space="preserve">“</w:t>
      </w:r>
      <w:r>
        <w:rPr>
          <w:iCs/>
          <w:i/>
        </w:rPr>
        <w:t xml:space="preserve">yajñaśriyam,</w:t>
      </w:r>
      <w:r>
        <w:rPr>
          <w:iCs/>
          <w:i/>
        </w:rPr>
        <w:t xml:space="preserve">”</w:t>
      </w:r>
      <w:r>
        <w:rPr>
          <w:iCs/>
          <w:i/>
        </w:rPr>
        <w:t xml:space="preserve"> </w:t>
      </w:r>
      <w:r>
        <w:rPr>
          <w:iCs/>
          <w:i/>
        </w:rPr>
        <w:t xml:space="preserve">“</w:t>
      </w:r>
      <w:r>
        <w:rPr>
          <w:iCs/>
          <w:i/>
        </w:rPr>
        <w:t xml:space="preserve">nṛmādanam</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patayat,</w:t>
      </w:r>
      <w:r>
        <w:rPr>
          <w:iCs/>
          <w:i/>
        </w:rPr>
        <w:t xml:space="preserve">”</w:t>
      </w:r>
      <w:r>
        <w:rPr>
          <w:iCs/>
          <w:i/>
        </w:rPr>
        <w:t xml:space="preserve"> </w:t>
      </w:r>
      <w:r>
        <w:rPr>
          <w:iCs/>
          <w:i/>
        </w:rPr>
        <w:t xml:space="preserve">with extended scholastic argument about</w:t>
      </w:r>
      <w:r>
        <w:rPr>
          <w:iCs/>
          <w:i/>
        </w:rPr>
        <w:t xml:space="preserve"> </w:t>
      </w:r>
      <w:r>
        <w:rPr>
          <w:iCs/>
          <w:i/>
        </w:rPr>
        <w:t xml:space="preserve">“</w:t>
      </w:r>
      <w:r>
        <w:rPr>
          <w:iCs/>
          <w:i/>
        </w:rPr>
        <w:t xml:space="preserve">patayat</w:t>
      </w:r>
      <w:r>
        <w:rPr>
          <w:iCs/>
          <w:i/>
        </w:rPr>
        <w:t xml:space="preserve">”</w:t>
      </w:r>
      <w:r>
        <w:rPr>
          <w:iCs/>
          <w:i/>
        </w:rPr>
        <w:t xml:space="preserve">; they do not bear on the sense of the Rik, given on pp. 116–118. Per the standing convention they are</w:t>
      </w:r>
      <w:r>
        <w:rPr>
          <w:iCs/>
          <w:i/>
        </w:rPr>
        <w:t xml:space="preserve"> </w:t>
      </w:r>
      <w:r>
        <w:rPr>
          <w:bCs/>
          <w:b/>
          <w:iCs/>
          <w:i/>
        </w:rPr>
        <w:t xml:space="preserve">characterized in outline, not translated line by line</w:t>
      </w:r>
      <w:r>
        <w:rPr>
          <w:iCs/>
          <w:i/>
        </w:rPr>
        <w:t xml:space="preserve">; every sūtra the pages name is kept in three layers, numbers as I read them in small Kannada numerals, [?] where uncertain. A good part of p. 120 is crowded with technical objections and replies that I do not reproduce.)</w:t>
      </w:r>
    </w:p>
    <w:p>
      <w:pPr>
        <w:pStyle w:val="BodyText"/>
      </w:pPr>
      <w:r>
        <w:rPr>
          <w:bCs/>
          <w:b/>
        </w:rPr>
        <w:t xml:space="preserve">p. 119.</w:t>
      </w:r>
      <w:r>
        <w:t xml:space="preserve"> </w:t>
      </w:r>
      <w:r>
        <w:t xml:space="preserve">-</w:t>
      </w:r>
      <w:r>
        <w:t xml:space="preserve"> </w:t>
      </w:r>
      <w:r>
        <w:rPr>
          <w:bCs/>
          <w:b/>
        </w:rPr>
        <w:t xml:space="preserve">“</w:t>
      </w:r>
      <w:r>
        <w:rPr>
          <w:bCs/>
          <w:b/>
        </w:rPr>
        <w:t xml:space="preserve">Bhara</w:t>
      </w:r>
      <w:r>
        <w:rPr>
          <w:bCs/>
          <w:b/>
        </w:rPr>
        <w:t xml:space="preserve">”</w:t>
      </w:r>
      <w:r>
        <w:t xml:space="preserve"> </w:t>
      </w:r>
      <w:r>
        <w:rPr>
          <w:iCs/>
          <w:i/>
        </w:rPr>
        <w:t xml:space="preserve">(continuing from p. 118)</w:t>
      </w:r>
      <w:r>
        <w:t xml:space="preserve"> </w:t>
      </w:r>
      <w:r>
        <w:t xml:space="preserve">—</w:t>
      </w:r>
      <w:r>
        <w:t xml:space="preserve"> </w:t>
      </w:r>
      <w:r>
        <w:t xml:space="preserve">“</w:t>
      </w:r>
      <w:r>
        <w:t xml:space="preserve">hṛñ haraṇe,</w:t>
      </w:r>
      <w:r>
        <w:t xml:space="preserve">”</w:t>
      </w:r>
      <w:r>
        <w:t xml:space="preserve"> </w:t>
      </w:r>
      <w:r>
        <w:t xml:space="preserve">in the imperative second-person singular</w:t>
      </w:r>
      <w:r>
        <w:t xml:space="preserve"> </w:t>
      </w:r>
      <w:r>
        <w:t xml:space="preserve">“</w:t>
      </w:r>
      <w:r>
        <w:t xml:space="preserve">sip</w:t>
      </w:r>
      <w:r>
        <w:t xml:space="preserve">”</w:t>
      </w:r>
      <w:r>
        <w:t xml:space="preserve"> </w:t>
      </w:r>
      <w:r>
        <w:t xml:space="preserve">→</w:t>
      </w:r>
      <w:r>
        <w:t xml:space="preserve"> </w:t>
      </w:r>
      <w:r>
        <w:t xml:space="preserve">“</w:t>
      </w:r>
      <w:r>
        <w:t xml:space="preserve">hṛ + si</w:t>
      </w:r>
      <w:r>
        <w:t xml:space="preserve">”</w:t>
      </w:r>
      <w:r>
        <w:t xml:space="preserve">;</w:t>
      </w:r>
      <w:r>
        <w:t xml:space="preserve"> </w:t>
      </w:r>
      <w:r>
        <w:rPr>
          <w:bCs/>
          <w:b/>
        </w:rPr>
        <w:t xml:space="preserve">सेर्ह्यपिच्च</w:t>
      </w:r>
      <w:r>
        <w:t xml:space="preserve"> </w:t>
      </w:r>
      <w:r>
        <w:t xml:space="preserve">(पा. ३-४-८७) puts</w:t>
      </w:r>
      <w:r>
        <w:t xml:space="preserve"> </w:t>
      </w:r>
      <w:r>
        <w:t xml:space="preserve">“</w:t>
      </w:r>
      <w:r>
        <w:t xml:space="preserve">hi</w:t>
      </w:r>
      <w:r>
        <w:t xml:space="preserve">”</w:t>
      </w:r>
      <w:r>
        <w:t xml:space="preserve"> </w:t>
      </w:r>
      <w:r>
        <w:t xml:space="preserve">for</w:t>
      </w:r>
      <w:r>
        <w:t xml:space="preserve"> </w:t>
      </w:r>
      <w:r>
        <w:t xml:space="preserve">“</w:t>
      </w:r>
      <w:r>
        <w:t xml:space="preserve">si</w:t>
      </w:r>
      <w:r>
        <w:t xml:space="preserve">”</w:t>
      </w:r>
      <w:r>
        <w:t xml:space="preserve"> </w:t>
      </w:r>
      <w:r>
        <w:t xml:space="preserve">and it is non-</w:t>
      </w:r>
      <w:r>
        <w:t xml:space="preserve">“</w:t>
      </w:r>
      <w:r>
        <w:t xml:space="preserve">p</w:t>
      </w:r>
      <w:r>
        <w:t xml:space="preserve">”</w:t>
      </w:r>
      <w:r>
        <w:t xml:space="preserve">-marked;</w:t>
      </w:r>
      <w:r>
        <w:t xml:space="preserve"> </w:t>
      </w:r>
      <w:r>
        <w:t xml:space="preserve">“</w:t>
      </w:r>
      <w:r>
        <w:t xml:space="preserve">śap</w:t>
      </w:r>
      <w:r>
        <w:t xml:space="preserve">”</w:t>
      </w:r>
      <w:r>
        <w:t xml:space="preserve"> </w:t>
      </w:r>
      <w:r>
        <w:t xml:space="preserve">(</w:t>
      </w:r>
      <w:r>
        <w:rPr>
          <w:bCs/>
          <w:b/>
        </w:rPr>
        <w:t xml:space="preserve">कर्तरि शप्</w:t>
      </w:r>
      <w:r>
        <w:t xml:space="preserve">, पा. ३-१-६८) comes after the root;</w:t>
      </w:r>
      <w:r>
        <w:t xml:space="preserve"> </w:t>
      </w:r>
      <w:r>
        <w:rPr>
          <w:bCs/>
          <w:b/>
        </w:rPr>
        <w:t xml:space="preserve">सार्वधातुकार्धधातुकयोः</w:t>
      </w:r>
      <w:r>
        <w:t xml:space="preserve"> </w:t>
      </w:r>
      <w:r>
        <w:t xml:space="preserve">(पा. ७-३-८४) gives guṇa →</w:t>
      </w:r>
      <w:r>
        <w:t xml:space="preserve"> </w:t>
      </w:r>
      <w:r>
        <w:t xml:space="preserve">“</w:t>
      </w:r>
      <w:r>
        <w:t xml:space="preserve">har-a-hi</w:t>
      </w:r>
      <w:r>
        <w:t xml:space="preserve">”</w:t>
      </w:r>
      <w:r>
        <w:t xml:space="preserve">; the guṇa of</w:t>
      </w:r>
      <w:r>
        <w:t xml:space="preserve"> </w:t>
      </w:r>
      <w:r>
        <w:t xml:space="preserve">“</w:t>
      </w:r>
      <w:r>
        <w:t xml:space="preserve">ṛ</w:t>
      </w:r>
      <w:r>
        <w:t xml:space="preserve">”</w:t>
      </w:r>
      <w:r>
        <w:t xml:space="preserve"> </w:t>
      </w:r>
      <w:r>
        <w:t xml:space="preserve">is</w:t>
      </w:r>
      <w:r>
        <w:t xml:space="preserve"> </w:t>
      </w:r>
      <w:r>
        <w:t xml:space="preserve">“</w:t>
      </w:r>
      <w:r>
        <w:t xml:space="preserve">ar,</w:t>
      </w:r>
      <w:r>
        <w:t xml:space="preserve">”</w:t>
      </w:r>
      <w:r>
        <w:t xml:space="preserve"> </w:t>
      </w:r>
      <w:r>
        <w:t xml:space="preserve">and by</w:t>
      </w:r>
      <w:r>
        <w:t xml:space="preserve"> </w:t>
      </w:r>
      <w:r>
        <w:rPr>
          <w:bCs/>
          <w:b/>
        </w:rPr>
        <w:t xml:space="preserve">उरण् रपरः</w:t>
      </w:r>
      <w:r>
        <w:t xml:space="preserve"> </w:t>
      </w:r>
      <w:r>
        <w:t xml:space="preserve">(</w:t>
      </w:r>
      <w:r>
        <w:rPr>
          <w:iCs/>
          <w:i/>
        </w:rPr>
        <w:t xml:space="preserve">ur aṇ raparaḥ</w:t>
      </w:r>
      <w:r>
        <w:t xml:space="preserve">, पा. १-१-५१) the substitute of</w:t>
      </w:r>
      <w:r>
        <w:t xml:space="preserve"> </w:t>
      </w:r>
      <w:r>
        <w:t xml:space="preserve">“</w:t>
      </w:r>
      <w:r>
        <w:t xml:space="preserve">ṛ</w:t>
      </w:r>
      <w:r>
        <w:t xml:space="preserve">”</w:t>
      </w:r>
      <w:r>
        <w:t xml:space="preserve"> </w:t>
      </w:r>
      <w:r>
        <w:t xml:space="preserve">is followed by</w:t>
      </w:r>
      <w:r>
        <w:t xml:space="preserve"> </w:t>
      </w:r>
      <w:r>
        <w:t xml:space="preserve">“</w:t>
      </w:r>
      <w:r>
        <w:t xml:space="preserve">r</w:t>
      </w:r>
      <w:r>
        <w:t xml:space="preserve">”</w:t>
      </w:r>
      <w:r>
        <w:t xml:space="preserve">; by</w:t>
      </w:r>
      <w:r>
        <w:t xml:space="preserve"> </w:t>
      </w:r>
      <w:r>
        <w:rPr>
          <w:bCs/>
          <w:b/>
        </w:rPr>
        <w:t xml:space="preserve">अतो हेः</w:t>
      </w:r>
      <w:r>
        <w:t xml:space="preserve"> </w:t>
      </w:r>
      <w:r>
        <w:t xml:space="preserve">(पा. ६-४-१०५) the</w:t>
      </w:r>
      <w:r>
        <w:t xml:space="preserve"> </w:t>
      </w:r>
      <w:r>
        <w:t xml:space="preserve">“</w:t>
      </w:r>
      <w:r>
        <w:t xml:space="preserve">hi</w:t>
      </w:r>
      <w:r>
        <w:t xml:space="preserve">”</w:t>
      </w:r>
      <w:r>
        <w:t xml:space="preserve"> </w:t>
      </w:r>
      <w:r>
        <w:t xml:space="preserve">is elided after a short</w:t>
      </w:r>
      <w:r>
        <w:t xml:space="preserve"> </w:t>
      </w:r>
      <w:r>
        <w:t xml:space="preserve">“</w:t>
      </w:r>
      <w:r>
        <w:t xml:space="preserve">a</w:t>
      </w:r>
      <w:r>
        <w:t xml:space="preserve">”</w:t>
      </w:r>
      <w:r>
        <w:t xml:space="preserve">;</w:t>
      </w:r>
      <w:r>
        <w:t xml:space="preserve"> </w:t>
      </w:r>
      <w:r>
        <w:rPr>
          <w:bCs/>
          <w:b/>
        </w:rPr>
        <w:t xml:space="preserve">हृग्रहोर्भश्छन्दसि</w:t>
      </w:r>
      <w:r>
        <w:t xml:space="preserve"> </w:t>
      </w:r>
      <w:r>
        <w:t xml:space="preserve">(</w:t>
      </w:r>
      <w:r>
        <w:rPr>
          <w:iCs/>
          <w:i/>
        </w:rPr>
        <w:t xml:space="preserve">hṛgrahor bhaś chandasi</w:t>
      </w:r>
      <w:r>
        <w:t xml:space="preserve">, पा. ८-२-३२ [?]) substitutes</w:t>
      </w:r>
      <w:r>
        <w:t xml:space="preserve"> </w:t>
      </w:r>
      <w:r>
        <w:t xml:space="preserve">“</w:t>
      </w:r>
      <w:r>
        <w:t xml:space="preserve">bh</w:t>
      </w:r>
      <w:r>
        <w:t xml:space="preserve">”</w:t>
      </w:r>
      <w:r>
        <w:t xml:space="preserve"> </w:t>
      </w:r>
      <w:r>
        <w:t xml:space="preserve">for the</w:t>
      </w:r>
      <w:r>
        <w:t xml:space="preserve"> </w:t>
      </w:r>
      <w:r>
        <w:t xml:space="preserve">“</w:t>
      </w:r>
      <w:r>
        <w:t xml:space="preserve">h</w:t>
      </w:r>
      <w:r>
        <w:t xml:space="preserve">”</w:t>
      </w:r>
      <w:r>
        <w:t xml:space="preserve"> </w:t>
      </w:r>
      <w:r>
        <w:t xml:space="preserve">of</w:t>
      </w:r>
      <w:r>
        <w:t xml:space="preserve"> </w:t>
      </w:r>
      <w:r>
        <w:t xml:space="preserve">“</w:t>
      </w:r>
      <w:r>
        <w:t xml:space="preserve">hṛ</w:t>
      </w:r>
      <w:r>
        <w:t xml:space="preserve">”</w:t>
      </w:r>
      <w:r>
        <w:t xml:space="preserve"> </w:t>
      </w:r>
      <w:r>
        <w:t xml:space="preserve">and</w:t>
      </w:r>
      <w:r>
        <w:t xml:space="preserve"> </w:t>
      </w:r>
      <w:r>
        <w:t xml:space="preserve">“</w:t>
      </w:r>
      <w:r>
        <w:t xml:space="preserve">grah</w:t>
      </w:r>
      <w:r>
        <w:t xml:space="preserve">”</w:t>
      </w:r>
      <w:r>
        <w:t xml:space="preserve"> </w:t>
      </w:r>
      <w:r>
        <w:t xml:space="preserve">in the Veda →</w:t>
      </w:r>
      <w:r>
        <w:t xml:space="preserve"> </w:t>
      </w:r>
      <w:r>
        <w:t xml:space="preserve">“</w:t>
      </w:r>
      <w:r>
        <w:t xml:space="preserve">bhara.</w:t>
      </w:r>
      <w:r>
        <w:t xml:space="preserve">”</w:t>
      </w:r>
      <w:r>
        <w:t xml:space="preserve"> </w:t>
      </w:r>
      <w:r>
        <w:t xml:space="preserve">Since it stands after</w:t>
      </w:r>
      <w:r>
        <w:t xml:space="preserve"> </w:t>
      </w:r>
      <w:r>
        <w:t xml:space="preserve">“</w:t>
      </w:r>
      <w:r>
        <w:t xml:space="preserve">ā</w:t>
      </w:r>
      <w:r>
        <w:t xml:space="preserve">”</w:t>
      </w:r>
      <w:r>
        <w:t xml:space="preserve"> </w:t>
      </w:r>
      <w:r>
        <w:t xml:space="preserve">(not a tiṅanta) and not at the pāda’s beginning,</w:t>
      </w:r>
      <w:r>
        <w:t xml:space="preserve"> </w:t>
      </w:r>
      <w:r>
        <w:rPr>
          <w:bCs/>
          <w:b/>
        </w:rPr>
        <w:t xml:space="preserve">तिङ्ङतिङः</w:t>
      </w:r>
      <w:r>
        <w:t xml:space="preserve"> </w:t>
      </w:r>
      <w:r>
        <w:t xml:space="preserve">(पा. ८-१-२८) makes it wholly unaccented; in the saṃhitā it is preceded by the svarita of</w:t>
      </w:r>
      <w:r>
        <w:t xml:space="preserve"> </w:t>
      </w:r>
      <w:r>
        <w:t xml:space="preserve">“</w:t>
      </w:r>
      <w:r>
        <w:t xml:space="preserve">ve</w:t>
      </w:r>
      <w:r>
        <w:t xml:space="preserve">”</w:t>
      </w:r>
      <w:r>
        <w:t xml:space="preserve"> </w:t>
      </w:r>
      <w:r>
        <w:t xml:space="preserve">and becomes</w:t>
      </w:r>
      <w:r>
        <w:t xml:space="preserve"> </w:t>
      </w:r>
      <w:r>
        <w:t xml:space="preserve">“</w:t>
      </w:r>
      <w:r>
        <w:t xml:space="preserve">anudāttas</w:t>
      </w:r>
      <w:r>
        <w:t xml:space="preserve">”</w:t>
      </w:r>
      <w:r>
        <w:t xml:space="preserve"> </w:t>
      </w:r>
      <w:r>
        <w:t xml:space="preserve">by</w:t>
      </w:r>
      <w:r>
        <w:t xml:space="preserve"> </w:t>
      </w:r>
      <w:r>
        <w:rPr>
          <w:bCs/>
          <w:b/>
        </w:rPr>
        <w:t xml:space="preserve">स्वरितात्संहितायामनुदात्तानाम्</w:t>
      </w:r>
      <w:r>
        <w:t xml:space="preserve"> </w:t>
      </w:r>
      <w:r>
        <w:t xml:space="preserve">(पा. १-२-३९) — it is pracaya (level).</w:t>
      </w:r>
      <w:r>
        <w:t xml:space="preserve"> </w:t>
      </w:r>
      <w:r>
        <w:t xml:space="preserve">-</w:t>
      </w:r>
      <w:r>
        <w:t xml:space="preserve"> </w:t>
      </w:r>
      <w:r>
        <w:rPr>
          <w:bCs/>
          <w:b/>
        </w:rPr>
        <w:t xml:space="preserve">“</w:t>
      </w:r>
      <w:r>
        <w:rPr>
          <w:bCs/>
          <w:b/>
        </w:rPr>
        <w:t xml:space="preserve">Yajñaśriyam</w:t>
      </w:r>
      <w:r>
        <w:rPr>
          <w:bCs/>
          <w:b/>
        </w:rPr>
        <w:t xml:space="preserve">”</w:t>
      </w:r>
      <w:r>
        <w:t xml:space="preserve"> </w:t>
      </w:r>
      <w:r>
        <w:t xml:space="preserve">—</w:t>
      </w:r>
      <w:r>
        <w:t xml:space="preserve"> </w:t>
      </w:r>
      <w:r>
        <w:t xml:space="preserve">“</w:t>
      </w:r>
      <w:r>
        <w:t xml:space="preserve">yaj</w:t>
      </w:r>
      <w:r>
        <w:t xml:space="preserve">”</w:t>
      </w:r>
      <w:r>
        <w:t xml:space="preserve"> </w:t>
      </w:r>
      <w:r>
        <w:t xml:space="preserve">+</w:t>
      </w:r>
      <w:r>
        <w:t xml:space="preserve"> </w:t>
      </w:r>
      <w:r>
        <w:t xml:space="preserve">“</w:t>
      </w:r>
      <w:r>
        <w:t xml:space="preserve">naṅ</w:t>
      </w:r>
      <w:r>
        <w:t xml:space="preserve">”</w:t>
      </w:r>
      <w:r>
        <w:t xml:space="preserve"> </w:t>
      </w:r>
      <w:r>
        <w:t xml:space="preserve">(</w:t>
      </w:r>
      <w:r>
        <w:rPr>
          <w:bCs/>
          <w:b/>
        </w:rPr>
        <w:t xml:space="preserve">यजयाचयतविच्छप्रच्छरक्षो नङ्</w:t>
      </w:r>
      <w:r>
        <w:t xml:space="preserve">, पा. ३-३-९०) →</w:t>
      </w:r>
      <w:r>
        <w:t xml:space="preserve"> </w:t>
      </w:r>
      <w:r>
        <w:t xml:space="preserve">“</w:t>
      </w:r>
      <w:r>
        <w:t xml:space="preserve">yajña</w:t>
      </w:r>
      <w:r>
        <w:t xml:space="preserve">”</w:t>
      </w:r>
      <w:r>
        <w:t xml:space="preserve">; by</w:t>
      </w:r>
      <w:r>
        <w:t xml:space="preserve"> </w:t>
      </w:r>
      <w:r>
        <w:rPr>
          <w:bCs/>
          <w:b/>
        </w:rPr>
        <w:t xml:space="preserve">स्तोः श्चुना श्चुः</w:t>
      </w:r>
      <w:r>
        <w:t xml:space="preserve"> </w:t>
      </w:r>
      <w:r>
        <w:t xml:space="preserve">(पा. ८-४-४०) the</w:t>
      </w:r>
      <w:r>
        <w:t xml:space="preserve"> </w:t>
      </w:r>
      <w:r>
        <w:t xml:space="preserve">“</w:t>
      </w:r>
      <w:r>
        <w:t xml:space="preserve">s/t</w:t>
      </w:r>
      <w:r>
        <w:t xml:space="preserve">”</w:t>
      </w:r>
      <w:r>
        <w:t xml:space="preserve">-class letters become</w:t>
      </w:r>
      <w:r>
        <w:t xml:space="preserve"> </w:t>
      </w:r>
      <w:r>
        <w:t xml:space="preserve">“</w:t>
      </w:r>
      <w:r>
        <w:t xml:space="preserve">ś/c</w:t>
      </w:r>
      <w:r>
        <w:t xml:space="preserve">”</w:t>
      </w:r>
      <w:r>
        <w:t xml:space="preserve">-class in contact with</w:t>
      </w:r>
      <w:r>
        <w:t xml:space="preserve"> </w:t>
      </w:r>
      <w:r>
        <w:t xml:space="preserve">“</w:t>
      </w:r>
      <w:r>
        <w:t xml:space="preserve">ś/c</w:t>
      </w:r>
      <w:r>
        <w:t xml:space="preserve">”</w:t>
      </w:r>
      <w:r>
        <w:t xml:space="preserve">-class, so the</w:t>
      </w:r>
      <w:r>
        <w:t xml:space="preserve"> </w:t>
      </w:r>
      <w:r>
        <w:t xml:space="preserve">“</w:t>
      </w:r>
      <w:r>
        <w:t xml:space="preserve">n</w:t>
      </w:r>
      <w:r>
        <w:t xml:space="preserve">”</w:t>
      </w:r>
      <w:r>
        <w:t xml:space="preserve"> </w:t>
      </w:r>
      <w:r>
        <w:t xml:space="preserve">of</w:t>
      </w:r>
      <w:r>
        <w:t xml:space="preserve"> </w:t>
      </w:r>
      <w:r>
        <w:t xml:space="preserve">“</w:t>
      </w:r>
      <w:r>
        <w:t xml:space="preserve">naṅ</w:t>
      </w:r>
      <w:r>
        <w:t xml:space="preserve">”</w:t>
      </w:r>
      <w:r>
        <w:t xml:space="preserve"> </w:t>
      </w:r>
      <w:r>
        <w:t xml:space="preserve">takes the</w:t>
      </w:r>
      <w:r>
        <w:t xml:space="preserve"> </w:t>
      </w:r>
      <w:r>
        <w:t xml:space="preserve">“</w:t>
      </w:r>
      <w:r>
        <w:t xml:space="preserve">c</w:t>
      </w:r>
      <w:r>
        <w:t xml:space="preserve">”</w:t>
      </w:r>
      <w:r>
        <w:t xml:space="preserve">-class nasal</w:t>
      </w:r>
      <w:r>
        <w:t xml:space="preserve"> </w:t>
      </w:r>
      <w:r>
        <w:t xml:space="preserve">“</w:t>
      </w:r>
      <w:r>
        <w:t xml:space="preserve">ñ</w:t>
      </w:r>
      <w:r>
        <w:t xml:space="preserve">”</w:t>
      </w:r>
      <w:r>
        <w:t xml:space="preserve">;</w:t>
      </w:r>
      <w:r>
        <w:t xml:space="preserve"> </w:t>
      </w:r>
      <w:r>
        <w:rPr>
          <w:bCs/>
          <w:b/>
        </w:rPr>
        <w:t xml:space="preserve">यजस्य…</w:t>
      </w:r>
      <w:r>
        <w:t xml:space="preserve"> </w:t>
      </w:r>
      <w:r>
        <w:t xml:space="preserve">with</w:t>
      </w:r>
      <w:r>
        <w:t xml:space="preserve"> </w:t>
      </w:r>
      <w:r>
        <w:rPr>
          <w:bCs/>
          <w:b/>
        </w:rPr>
        <w:t xml:space="preserve">ज्ञ</w:t>
      </w:r>
      <w:r>
        <w:t xml:space="preserve"> </w:t>
      </w:r>
      <w:r>
        <w:t xml:space="preserve">(the conjunct</w:t>
      </w:r>
      <w:r>
        <w:t xml:space="preserve"> </w:t>
      </w:r>
      <w:r>
        <w:t xml:space="preserve">“</w:t>
      </w:r>
      <w:r>
        <w:t xml:space="preserve">j + ñ</w:t>
      </w:r>
      <w:r>
        <w:t xml:space="preserve">”</w:t>
      </w:r>
      <w:r>
        <w:t xml:space="preserve">) →</w:t>
      </w:r>
      <w:r>
        <w:t xml:space="preserve"> </w:t>
      </w:r>
      <w:r>
        <w:t xml:space="preserve">“</w:t>
      </w:r>
      <w:r>
        <w:t xml:space="preserve">yajña.</w:t>
      </w:r>
      <w:r>
        <w:t xml:space="preserve">”</w:t>
      </w:r>
      <w:r>
        <w:t xml:space="preserve"> </w:t>
      </w:r>
      <w:r>
        <w:t xml:space="preserve">“</w:t>
      </w:r>
      <w:r>
        <w:t xml:space="preserve">Śrī</w:t>
      </w:r>
      <w:r>
        <w:t xml:space="preserve">”</w:t>
      </w:r>
      <w:r>
        <w:t xml:space="preserve"> </w:t>
      </w:r>
      <w:r>
        <w:t xml:space="preserve">— from</w:t>
      </w:r>
      <w:r>
        <w:t xml:space="preserve"> </w:t>
      </w:r>
      <w:r>
        <w:t xml:space="preserve">“</w:t>
      </w:r>
      <w:r>
        <w:t xml:space="preserve">śriñ sevāyām</w:t>
      </w:r>
      <w:r>
        <w:t xml:space="preserve">”</w:t>
      </w:r>
      <w:r>
        <w:t xml:space="preserve"> </w:t>
      </w:r>
      <w:r>
        <w:t xml:space="preserve">(to serve) by the vārttika</w:t>
      </w:r>
      <w:r>
        <w:t xml:space="preserve"> </w:t>
      </w:r>
      <w:r>
        <w:rPr>
          <w:bCs/>
          <w:b/>
        </w:rPr>
        <w:t xml:space="preserve">क्विब्वचिप्रच्छ्यायतस्तुकटप्रुजुश्रीणां दीर्घोऽसंप्रसारणं च</w:t>
      </w:r>
      <w:r>
        <w:t xml:space="preserve"> </w:t>
      </w:r>
      <w:r>
        <w:t xml:space="preserve">(the vārttika as printed, read with doubt):</w:t>
      </w:r>
      <w:r>
        <w:t xml:space="preserve"> </w:t>
      </w:r>
      <w:r>
        <w:t xml:space="preserve">“</w:t>
      </w:r>
      <w:r>
        <w:t xml:space="preserve">kvip</w:t>
      </w:r>
      <w:r>
        <w:t xml:space="preserve">”</w:t>
      </w:r>
      <w:r>
        <w:t xml:space="preserve"> </w:t>
      </w:r>
      <w:r>
        <w:t xml:space="preserve">with lengthening →</w:t>
      </w:r>
      <w:r>
        <w:t xml:space="preserve"> </w:t>
      </w:r>
      <w:r>
        <w:t xml:space="preserve">“</w:t>
      </w:r>
      <w:r>
        <w:t xml:space="preserve">śrī.</w:t>
      </w:r>
      <w:r>
        <w:t xml:space="preserve">”</w:t>
      </w:r>
      <w:r>
        <w:t xml:space="preserve"> </w:t>
      </w:r>
      <w:r>
        <w:t xml:space="preserve">“</w:t>
      </w:r>
      <w:r>
        <w:t xml:space="preserve">Yajñasya śrīḥ</w:t>
      </w:r>
      <w:r>
        <w:t xml:space="preserve">”</w:t>
      </w:r>
      <w:r>
        <w:t xml:space="preserve"> </w:t>
      </w:r>
      <w:r>
        <w:t xml:space="preserve">— a genitive tatpuruṣa; then the second-case singular</w:t>
      </w:r>
      <w:r>
        <w:t xml:space="preserve"> </w:t>
      </w:r>
      <w:r>
        <w:t xml:space="preserve">“</w:t>
      </w:r>
      <w:r>
        <w:t xml:space="preserve">am</w:t>
      </w:r>
      <w:r>
        <w:t xml:space="preserve">”</w:t>
      </w:r>
      <w:r>
        <w:t xml:space="preserve"> </w:t>
      </w:r>
      <w:r>
        <w:t xml:space="preserve">→</w:t>
      </w:r>
      <w:r>
        <w:t xml:space="preserve"> </w:t>
      </w:r>
      <w:r>
        <w:t xml:space="preserve">“</w:t>
      </w:r>
      <w:r>
        <w:t xml:space="preserve">yajñaśrī + am</w:t>
      </w:r>
      <w:r>
        <w:t xml:space="preserve">”</w:t>
      </w:r>
      <w:r>
        <w:t xml:space="preserve">;</w:t>
      </w:r>
      <w:r>
        <w:t xml:space="preserve"> </w:t>
      </w:r>
      <w:r>
        <w:rPr>
          <w:bCs/>
          <w:b/>
        </w:rPr>
        <w:t xml:space="preserve">भ्रूवां ियोरियङुवङौ</w:t>
      </w:r>
      <w:r>
        <w:t xml:space="preserve"> </w:t>
      </w:r>
      <w:r>
        <w:t xml:space="preserve">[as printed:</w:t>
      </w:r>
      <w:r>
        <w:t xml:space="preserve"> </w:t>
      </w:r>
      <w:r>
        <w:rPr>
          <w:bCs/>
          <w:b/>
        </w:rPr>
        <w:t xml:space="preserve">अचि श्नुधातुभ्रुवां य्वोरियङुवङौ</w:t>
      </w:r>
      <w:r>
        <w:t xml:space="preserve">, पा. ६-४-७७] —</w:t>
      </w:r>
      <w:r>
        <w:t xml:space="preserve"> </w:t>
      </w:r>
      <w:r>
        <w:t xml:space="preserve">“</w:t>
      </w:r>
      <w:r>
        <w:t xml:space="preserve">iyaṅ/uvaṅ</w:t>
      </w:r>
      <w:r>
        <w:t xml:space="preserve">”</w:t>
      </w:r>
      <w:r>
        <w:t xml:space="preserve"> </w:t>
      </w:r>
      <w:r>
        <w:t xml:space="preserve">for</w:t>
      </w:r>
      <w:r>
        <w:t xml:space="preserve"> </w:t>
      </w:r>
      <w:r>
        <w:t xml:space="preserve">“</w:t>
      </w:r>
      <w:r>
        <w:t xml:space="preserve">ī/ū</w:t>
      </w:r>
      <w:r>
        <w:t xml:space="preserve">”</w:t>
      </w:r>
      <w:r>
        <w:t xml:space="preserve"> </w:t>
      </w:r>
      <w:r>
        <w:t xml:space="preserve">of a root-final, of a</w:t>
      </w:r>
      <w:r>
        <w:t xml:space="preserve"> </w:t>
      </w:r>
      <w:r>
        <w:t xml:space="preserve">“</w:t>
      </w:r>
      <w:r>
        <w:t xml:space="preserve">śnu</w:t>
      </w:r>
      <w:r>
        <w:t xml:space="preserve">”</w:t>
      </w:r>
      <w:r>
        <w:t xml:space="preserve">-stem, and of</w:t>
      </w:r>
      <w:r>
        <w:t xml:space="preserve"> </w:t>
      </w:r>
      <w:r>
        <w:t xml:space="preserve">“</w:t>
      </w:r>
      <w:r>
        <w:t xml:space="preserve">bhrū,</w:t>
      </w:r>
      <w:r>
        <w:t xml:space="preserve">”</w:t>
      </w:r>
      <w:r>
        <w:t xml:space="preserve"> </w:t>
      </w:r>
      <w:r>
        <w:t xml:space="preserve">before an</w:t>
      </w:r>
      <w:r>
        <w:t xml:space="preserve"> </w:t>
      </w:r>
      <w:r>
        <w:t xml:space="preserve">“</w:t>
      </w:r>
      <w:r>
        <w:t xml:space="preserve">ac</w:t>
      </w:r>
      <w:r>
        <w:t xml:space="preserve">”</w:t>
      </w:r>
      <w:r>
        <w:t xml:space="preserve">-initial affix — gives</w:t>
      </w:r>
      <w:r>
        <w:t xml:space="preserve"> </w:t>
      </w:r>
      <w:r>
        <w:t xml:space="preserve">“</w:t>
      </w:r>
      <w:r>
        <w:t xml:space="preserve">iy</w:t>
      </w:r>
      <w:r>
        <w:t xml:space="preserve">”</w:t>
      </w:r>
      <w:r>
        <w:t xml:space="preserve"> </w:t>
      </w:r>
      <w:r>
        <w:t xml:space="preserve">for</w:t>
      </w:r>
      <w:r>
        <w:t xml:space="preserve"> </w:t>
      </w:r>
      <w:r>
        <w:t xml:space="preserve">“</w:t>
      </w:r>
      <w:r>
        <w:t xml:space="preserve">ī</w:t>
      </w:r>
      <w:r>
        <w:t xml:space="preserve">”</w:t>
      </w:r>
      <w:r>
        <w:t xml:space="preserve"> </w:t>
      </w:r>
      <w:r>
        <w:t xml:space="preserve">→</w:t>
      </w:r>
      <w:r>
        <w:t xml:space="preserve"> </w:t>
      </w:r>
      <w:r>
        <w:t xml:space="preserve">“</w:t>
      </w:r>
      <w:r>
        <w:t xml:space="preserve">yajñaśriyam.</w:t>
      </w:r>
      <w:r>
        <w:t xml:space="preserve">”</w:t>
      </w:r>
      <w:r>
        <w:t xml:space="preserve"> </w:t>
      </w:r>
      <w:r>
        <w:t xml:space="preserve">The compound is end-acute by</w:t>
      </w:r>
      <w:r>
        <w:t xml:space="preserve"> </w:t>
      </w:r>
      <w:r>
        <w:rPr>
          <w:bCs/>
          <w:b/>
        </w:rPr>
        <w:t xml:space="preserve">समासस्य</w:t>
      </w:r>
      <w:r>
        <w:t xml:space="preserve"> </w:t>
      </w:r>
      <w:r>
        <w:t xml:space="preserve">(पा. ६-१-२२३).</w:t>
      </w:r>
      <w:r>
        <w:t xml:space="preserve"> </w:t>
      </w:r>
      <w:r>
        <w:t xml:space="preserve">-</w:t>
      </w:r>
      <w:r>
        <w:t xml:space="preserve"> </w:t>
      </w:r>
      <w:r>
        <w:rPr>
          <w:bCs/>
          <w:b/>
        </w:rPr>
        <w:t xml:space="preserve">“</w:t>
      </w:r>
      <w:r>
        <w:rPr>
          <w:bCs/>
          <w:b/>
        </w:rPr>
        <w:t xml:space="preserve">Nṛmādanam</w:t>
      </w:r>
      <w:r>
        <w:rPr>
          <w:bCs/>
          <w:b/>
        </w:rPr>
        <w:t xml:space="preserve">”</w:t>
      </w:r>
      <w:r>
        <w:t xml:space="preserve"> </w:t>
      </w:r>
      <w:r>
        <w:t xml:space="preserve">—</w:t>
      </w:r>
      <w:r>
        <w:t xml:space="preserve"> </w:t>
      </w:r>
      <w:r>
        <w:t xml:space="preserve">“</w:t>
      </w:r>
      <w:r>
        <w:t xml:space="preserve">mādyante anena</w:t>
      </w:r>
      <w:r>
        <w:t xml:space="preserve">”</w:t>
      </w:r>
      <w:r>
        <w:t xml:space="preserve"> </w:t>
      </w:r>
      <w:r>
        <w:t xml:space="preserve">(</w:t>
      </w:r>
      <w:r>
        <w:t xml:space="preserve">“</w:t>
      </w:r>
      <w:r>
        <w:t xml:space="preserve">they delight by this</w:t>
      </w:r>
      <w:r>
        <w:t xml:space="preserve">”</w:t>
      </w:r>
      <w:r>
        <w:t xml:space="preserve">) →</w:t>
      </w:r>
      <w:r>
        <w:t xml:space="preserve"> </w:t>
      </w:r>
      <w:r>
        <w:t xml:space="preserve">“</w:t>
      </w:r>
      <w:r>
        <w:t xml:space="preserve">mādanaḥ</w:t>
      </w:r>
      <w:r>
        <w:t xml:space="preserve">”</w:t>
      </w:r>
      <w:r>
        <w:t xml:space="preserve">;</w:t>
      </w:r>
      <w:r>
        <w:t xml:space="preserve"> </w:t>
      </w:r>
      <w:r>
        <w:t xml:space="preserve">“</w:t>
      </w:r>
      <w:r>
        <w:t xml:space="preserve">lyuṭ</w:t>
      </w:r>
      <w:r>
        <w:t xml:space="preserve">”</w:t>
      </w:r>
      <w:r>
        <w:t xml:space="preserve"> </w:t>
      </w:r>
      <w:r>
        <w:t xml:space="preserve">in the sense of instrument by</w:t>
      </w:r>
      <w:r>
        <w:t xml:space="preserve"> </w:t>
      </w:r>
      <w:r>
        <w:rPr>
          <w:bCs/>
          <w:b/>
        </w:rPr>
        <w:t xml:space="preserve">करणाधिकरणयोश्च</w:t>
      </w:r>
      <w:r>
        <w:t xml:space="preserve"> </w:t>
      </w:r>
      <w:r>
        <w:t xml:space="preserve">(पा. ३-३-११७);</w:t>
      </w:r>
      <w:r>
        <w:t xml:space="preserve"> </w:t>
      </w:r>
      <w:r>
        <w:t xml:space="preserve">“</w:t>
      </w:r>
      <w:r>
        <w:t xml:space="preserve">lyuṭ</w:t>
      </w:r>
      <w:r>
        <w:t xml:space="preserve">”</w:t>
      </w:r>
      <w:r>
        <w:t xml:space="preserve"> </w:t>
      </w:r>
      <w:r>
        <w:t xml:space="preserve">is</w:t>
      </w:r>
      <w:r>
        <w:t xml:space="preserve"> </w:t>
      </w:r>
      <w:r>
        <w:t xml:space="preserve">“</w:t>
      </w:r>
      <w:r>
        <w:t xml:space="preserve">l</w:t>
      </w:r>
      <w:r>
        <w:t xml:space="preserve">”</w:t>
      </w:r>
      <w:r>
        <w:t xml:space="preserve">-marked, so</w:t>
      </w:r>
      <w:r>
        <w:t xml:space="preserve"> </w:t>
      </w:r>
      <w:r>
        <w:rPr>
          <w:bCs/>
          <w:b/>
        </w:rPr>
        <w:t xml:space="preserve">लिति</w:t>
      </w:r>
      <w:r>
        <w:t xml:space="preserve"> </w:t>
      </w:r>
      <w:r>
        <w:t xml:space="preserve">(पा. ६-१-१९३) puts the acute on the syllable before the affix, namely</w:t>
      </w:r>
      <w:r>
        <w:t xml:space="preserve"> </w:t>
      </w:r>
      <w:r>
        <w:t xml:space="preserve">“</w:t>
      </w:r>
      <w:r>
        <w:t xml:space="preserve">ā</w:t>
      </w:r>
      <w:r>
        <w:t xml:space="preserve">”</w:t>
      </w:r>
      <w:r>
        <w:t xml:space="preserve">; in the compound</w:t>
      </w:r>
      <w:r>
        <w:t xml:space="preserve"> </w:t>
      </w:r>
      <w:r>
        <w:t xml:space="preserve">“</w:t>
      </w:r>
      <w:r>
        <w:t xml:space="preserve">nṛmādana,</w:t>
      </w:r>
      <w:r>
        <w:t xml:space="preserve">”</w:t>
      </w:r>
      <w:r>
        <w:t xml:space="preserve"> </w:t>
      </w:r>
      <w:r>
        <w:rPr>
          <w:bCs/>
          <w:b/>
        </w:rPr>
        <w:t xml:space="preserve">गतिकारकोपपदात्कृत्</w:t>
      </w:r>
      <w:r>
        <w:t xml:space="preserve"> </w:t>
      </w:r>
      <w:r>
        <w:t xml:space="preserve">(पा. ६-२-१३९) retains the kṛt-final member’s accent; the</w:t>
      </w:r>
      <w:r>
        <w:t xml:space="preserve"> </w:t>
      </w:r>
      <w:r>
        <w:t xml:space="preserve">“</w:t>
      </w:r>
      <w:r>
        <w:t xml:space="preserve">ā</w:t>
      </w:r>
      <w:r>
        <w:t xml:space="preserve">”</w:t>
      </w:r>
      <w:r>
        <w:t xml:space="preserve"> </w:t>
      </w:r>
      <w:r>
        <w:t xml:space="preserve">is acute.</w:t>
      </w:r>
      <w:r>
        <w:t xml:space="preserve"> </w:t>
      </w:r>
      <w:r>
        <w:t xml:space="preserve">-</w:t>
      </w:r>
      <w:r>
        <w:t xml:space="preserve"> </w:t>
      </w:r>
      <w:r>
        <w:rPr>
          <w:bCs/>
          <w:b/>
        </w:rPr>
        <w:t xml:space="preserve">“</w:t>
      </w:r>
      <w:r>
        <w:rPr>
          <w:bCs/>
          <w:b/>
        </w:rPr>
        <w:t xml:space="preserve">Patayat</w:t>
      </w:r>
      <w:r>
        <w:rPr>
          <w:bCs/>
          <w:b/>
        </w:rPr>
        <w:t xml:space="preserve">”</w:t>
      </w:r>
      <w:r>
        <w:t xml:space="preserve"> </w:t>
      </w:r>
      <w:r>
        <w:t xml:space="preserve">— the root</w:t>
      </w:r>
      <w:r>
        <w:t xml:space="preserve"> </w:t>
      </w:r>
      <w:r>
        <w:t xml:space="preserve">“</w:t>
      </w:r>
      <w:r>
        <w:t xml:space="preserve">pat</w:t>
      </w:r>
      <w:r>
        <w:t xml:space="preserve">”</w:t>
      </w:r>
      <w:r>
        <w:t xml:space="preserve"> </w:t>
      </w:r>
      <w:r>
        <w:t xml:space="preserve">“</w:t>
      </w:r>
      <w:r>
        <w:t xml:space="preserve">gatau</w:t>
      </w:r>
      <w:r>
        <w:t xml:space="preserve">”</w:t>
      </w:r>
      <w:r>
        <w:t xml:space="preserve"> </w:t>
      </w:r>
      <w:r>
        <w:t xml:space="preserve">is in the</w:t>
      </w:r>
      <w:r>
        <w:t xml:space="preserve"> </w:t>
      </w:r>
      <w:r>
        <w:t xml:space="preserve">“</w:t>
      </w:r>
      <w:r>
        <w:t xml:space="preserve">cur-ādi</w:t>
      </w:r>
      <w:r>
        <w:t xml:space="preserve">”</w:t>
      </w:r>
      <w:r>
        <w:t xml:space="preserve"> </w:t>
      </w:r>
      <w:r>
        <w:t xml:space="preserve">class (the tenth) read with short</w:t>
      </w:r>
      <w:r>
        <w:t xml:space="preserve"> </w:t>
      </w:r>
      <w:r>
        <w:t xml:space="preserve">“</w:t>
      </w:r>
      <w:r>
        <w:t xml:space="preserve">a</w:t>
      </w:r>
      <w:r>
        <w:t xml:space="preserve">”</w:t>
      </w:r>
      <w:r>
        <w:t xml:space="preserve"> </w:t>
      </w:r>
      <w:r>
        <w:t xml:space="preserve">at the end (as</w:t>
      </w:r>
      <w:r>
        <w:t xml:space="preserve"> </w:t>
      </w:r>
      <w:r>
        <w:t xml:space="preserve">“</w:t>
      </w:r>
      <w:r>
        <w:t xml:space="preserve">pata</w:t>
      </w:r>
      <w:r>
        <w:t xml:space="preserve">”</w:t>
      </w:r>
      <w:r>
        <w:t xml:space="preserve"> </w:t>
      </w:r>
      <w:r>
        <w:t xml:space="preserve">— the</w:t>
      </w:r>
      <w:r>
        <w:t xml:space="preserve"> </w:t>
      </w:r>
      <w:r>
        <w:t xml:space="preserve">“</w:t>
      </w:r>
      <w:r>
        <w:t xml:space="preserve">gaṇa</w:t>
      </w:r>
      <w:r>
        <w:t xml:space="preserve">”</w:t>
      </w:r>
      <w:r>
        <w:t xml:space="preserve"> </w:t>
      </w:r>
      <w:r>
        <w:t xml:space="preserve">list, by the verse:</w:t>
      </w:r>
      <w:r>
        <w:t xml:space="preserve"> </w:t>
      </w:r>
      <w:r>
        <w:t xml:space="preserve">“</w:t>
      </w:r>
      <w:r>
        <w:t xml:space="preserve">satyāpa, pāśa, rūpa, vīṇā, tula, śloka, senā, loma, tvaca, varma, varṇa, cūrṇa</w:t>
      </w:r>
      <w:r>
        <w:t xml:space="preserve">”</w:t>
      </w:r>
      <w:r>
        <w:t xml:space="preserve"> </w:t>
      </w:r>
      <w:r>
        <w:t xml:space="preserve">[</w:t>
      </w:r>
      <w:r>
        <w:t xml:space="preserve">“</w:t>
      </w:r>
      <w:r>
        <w:t xml:space="preserve">satyāpapāśarūpavīṇātulaślokasenālomatvacavarmavarṇacūrṇa-</w:t>
      </w:r>
      <w:r>
        <w:t xml:space="preserve">”</w:t>
      </w:r>
      <w:r>
        <w:t xml:space="preserve">]);</w:t>
      </w:r>
      <w:r>
        <w:t xml:space="preserve"> </w:t>
      </w:r>
      <w:r>
        <w:rPr>
          <w:bCs/>
          <w:b/>
        </w:rPr>
        <w:t xml:space="preserve">चुरादिभ्यो णिच्</w:t>
      </w:r>
      <w:r>
        <w:t xml:space="preserve"> </w:t>
      </w:r>
      <w:r>
        <w:t xml:space="preserve">(पा. ३-१-२५) puts</w:t>
      </w:r>
      <w:r>
        <w:t xml:space="preserve"> </w:t>
      </w:r>
      <w:r>
        <w:t xml:space="preserve">“</w:t>
      </w:r>
      <w:r>
        <w:t xml:space="preserve">ṇic</w:t>
      </w:r>
      <w:r>
        <w:t xml:space="preserve">”</w:t>
      </w:r>
      <w:r>
        <w:t xml:space="preserve"> </w:t>
      </w:r>
      <w:r>
        <w:t xml:space="preserve">after these …</w:t>
      </w:r>
      <w:r>
        <w:t xml:space="preserve"> </w:t>
      </w:r>
      <w:r>
        <w:rPr>
          <w:iCs/>
          <w:i/>
        </w:rPr>
        <w:t xml:space="preserve">(continues on p. 120).</w:t>
      </w:r>
    </w:p>
    <w:p>
      <w:pPr>
        <w:pStyle w:val="BodyText"/>
      </w:pPr>
      <w:r>
        <w:rPr>
          <w:bCs/>
          <w:b/>
        </w:rPr>
        <w:t xml:space="preserve">p. 120.</w:t>
      </w:r>
      <w:r>
        <w:t xml:space="preserve"> </w:t>
      </w:r>
      <w:r>
        <w:rPr>
          <w:iCs/>
          <w:i/>
        </w:rPr>
        <w:t xml:space="preserve">(Continuing</w:t>
      </w:r>
      <w:r>
        <w:rPr>
          <w:iCs/>
          <w:i/>
        </w:rPr>
        <w:t xml:space="preserve"> </w:t>
      </w:r>
      <w:r>
        <w:rPr>
          <w:iCs/>
          <w:i/>
        </w:rPr>
        <w:t xml:space="preserve">“</w:t>
      </w:r>
      <w:r>
        <w:rPr>
          <w:iCs/>
          <w:i/>
        </w:rPr>
        <w:t xml:space="preserve">patayat</w:t>
      </w:r>
      <w:r>
        <w:rPr>
          <w:iCs/>
          <w:i/>
        </w:rPr>
        <w:t xml:space="preserve">”</w:t>
      </w:r>
      <w:r>
        <w:rPr>
          <w:iCs/>
          <w:i/>
        </w:rPr>
        <w:t xml:space="preserve">:)</w:t>
      </w:r>
      <w:r>
        <w:t xml:space="preserve"> </w:t>
      </w:r>
      <w:r>
        <w:t xml:space="preserve">…</w:t>
      </w:r>
      <w:r>
        <w:t xml:space="preserve">“</w:t>
      </w:r>
      <w:r>
        <w:t xml:space="preserve">ṇic</w:t>
      </w:r>
      <w:r>
        <w:t xml:space="preserve">”</w:t>
      </w:r>
      <w:r>
        <w:t xml:space="preserve"> </w:t>
      </w:r>
      <w:r>
        <w:t xml:space="preserve">comes; the final</w:t>
      </w:r>
      <w:r>
        <w:t xml:space="preserve"> </w:t>
      </w:r>
      <w:r>
        <w:t xml:space="preserve">“</w:t>
      </w:r>
      <w:r>
        <w:t xml:space="preserve">a</w:t>
      </w:r>
      <w:r>
        <w:t xml:space="preserve">”</w:t>
      </w:r>
      <w:r>
        <w:t xml:space="preserve"> </w:t>
      </w:r>
      <w:r>
        <w:t xml:space="preserve">of</w:t>
      </w:r>
      <w:r>
        <w:t xml:space="preserve"> </w:t>
      </w:r>
      <w:r>
        <w:t xml:space="preserve">“</w:t>
      </w:r>
      <w:r>
        <w:t xml:space="preserve">pata</w:t>
      </w:r>
      <w:r>
        <w:t xml:space="preserve">”</w:t>
      </w:r>
      <w:r>
        <w:t xml:space="preserve"> </w:t>
      </w:r>
      <w:r>
        <w:t xml:space="preserve">is elided before an</w:t>
      </w:r>
      <w:r>
        <w:t xml:space="preserve"> </w:t>
      </w:r>
      <w:r>
        <w:t xml:space="preserve">“</w:t>
      </w:r>
      <w:r>
        <w:t xml:space="preserve">ārdhadhātuka</w:t>
      </w:r>
      <w:r>
        <w:t xml:space="preserve">”</w:t>
      </w:r>
      <w:r>
        <w:t xml:space="preserve"> </w:t>
      </w:r>
      <w:r>
        <w:t xml:space="preserve">(</w:t>
      </w:r>
      <w:r>
        <w:rPr>
          <w:bCs/>
          <w:b/>
        </w:rPr>
        <w:t xml:space="preserve">अतो लोपः</w:t>
      </w:r>
      <w:r>
        <w:t xml:space="preserve">, पा. ६-४-४८); the</w:t>
      </w:r>
      <w:r>
        <w:t xml:space="preserve"> </w:t>
      </w:r>
      <w:r>
        <w:t xml:space="preserve">“</w:t>
      </w:r>
      <w:r>
        <w:t xml:space="preserve">ṇ</w:t>
      </w:r>
      <w:r>
        <w:t xml:space="preserve">”</w:t>
      </w:r>
      <w:r>
        <w:t xml:space="preserve"> </w:t>
      </w:r>
      <w:r>
        <w:t xml:space="preserve">and</w:t>
      </w:r>
      <w:r>
        <w:t xml:space="preserve"> </w:t>
      </w:r>
      <w:r>
        <w:t xml:space="preserve">“</w:t>
      </w:r>
      <w:r>
        <w:t xml:space="preserve">c</w:t>
      </w:r>
      <w:r>
        <w:t xml:space="preserve">”</w:t>
      </w:r>
      <w:r>
        <w:t xml:space="preserve"> </w:t>
      </w:r>
      <w:r>
        <w:t xml:space="preserve">of</w:t>
      </w:r>
      <w:r>
        <w:t xml:space="preserve"> </w:t>
      </w:r>
      <w:r>
        <w:t xml:space="preserve">“</w:t>
      </w:r>
      <w:r>
        <w:t xml:space="preserve">ṇic</w:t>
      </w:r>
      <w:r>
        <w:t xml:space="preserve">”</w:t>
      </w:r>
      <w:r>
        <w:t xml:space="preserve"> </w:t>
      </w:r>
      <w:r>
        <w:t xml:space="preserve">are</w:t>
      </w:r>
      <w:r>
        <w:t xml:space="preserve"> </w:t>
      </w:r>
      <w:r>
        <w:t xml:space="preserve">“</w:t>
      </w:r>
      <w:r>
        <w:t xml:space="preserve">it</w:t>
      </w:r>
      <w:r>
        <w:t xml:space="preserve">”</w:t>
      </w:r>
      <w:r>
        <w:t xml:space="preserve">-letters (</w:t>
      </w:r>
      <w:r>
        <w:rPr>
          <w:bCs/>
          <w:b/>
        </w:rPr>
        <w:t xml:space="preserve">चुटू</w:t>
      </w:r>
      <w:r>
        <w:t xml:space="preserve">, पा. १-३-७;</w:t>
      </w:r>
      <w:r>
        <w:t xml:space="preserve"> </w:t>
      </w:r>
      <w:r>
        <w:rPr>
          <w:bCs/>
          <w:b/>
        </w:rPr>
        <w:t xml:space="preserve">तस्य लोपः</w:t>
      </w:r>
      <w:r>
        <w:t xml:space="preserve">, पा. १-३-९);</w:t>
      </w:r>
      <w:r>
        <w:t xml:space="preserve"> </w:t>
      </w:r>
      <w:r>
        <w:t xml:space="preserve">“</w:t>
      </w:r>
      <w:r>
        <w:t xml:space="preserve">upadhā</w:t>
      </w:r>
      <w:r>
        <w:t xml:space="preserve">”</w:t>
      </w:r>
      <w:r>
        <w:t xml:space="preserve"> </w:t>
      </w:r>
      <w:r>
        <w:t xml:space="preserve">is the vowel before the last letter (</w:t>
      </w:r>
      <w:r>
        <w:rPr>
          <w:bCs/>
          <w:b/>
        </w:rPr>
        <w:t xml:space="preserve">अलोऽन्त्यात्पूर्व उपधा</w:t>
      </w:r>
      <w:r>
        <w:t xml:space="preserve">, पा. १-१-६५); by</w:t>
      </w:r>
      <w:r>
        <w:t xml:space="preserve"> </w:t>
      </w:r>
      <w:r>
        <w:rPr>
          <w:bCs/>
          <w:b/>
        </w:rPr>
        <w:t xml:space="preserve">अत उपधायाः</w:t>
      </w:r>
      <w:r>
        <w:t xml:space="preserve"> </w:t>
      </w:r>
      <w:r>
        <w:t xml:space="preserve">(पा. ७-२-११६) vṛddhi of the penultimate short</w:t>
      </w:r>
      <w:r>
        <w:t xml:space="preserve"> </w:t>
      </w:r>
      <w:r>
        <w:t xml:space="preserve">“</w:t>
      </w:r>
      <w:r>
        <w:t xml:space="preserve">a</w:t>
      </w:r>
      <w:r>
        <w:t xml:space="preserve">”</w:t>
      </w:r>
      <w:r>
        <w:t xml:space="preserve"> </w:t>
      </w:r>
      <w:r>
        <w:t xml:space="preserve">before an</w:t>
      </w:r>
      <w:r>
        <w:t xml:space="preserve"> </w:t>
      </w:r>
      <w:r>
        <w:t xml:space="preserve">“</w:t>
      </w:r>
      <w:r>
        <w:t xml:space="preserve">ñit/ṇit</w:t>
      </w:r>
      <w:r>
        <w:t xml:space="preserve">”</w:t>
      </w:r>
      <w:r>
        <w:t xml:space="preserve"> </w:t>
      </w:r>
      <w:r>
        <w:t xml:space="preserve">affix would be expected; but</w:t>
      </w:r>
      <w:r>
        <w:t xml:space="preserve"> </w:t>
      </w:r>
      <w:r>
        <w:rPr>
          <w:bCs/>
          <w:b/>
        </w:rPr>
        <w:t xml:space="preserve">स्थानिवदादेशोऽनल्विधौ</w:t>
      </w:r>
      <w:r>
        <w:t xml:space="preserve"> </w:t>
      </w:r>
      <w:r>
        <w:t xml:space="preserve">(पा. १-१-५६) makes the substitute (the elision of</w:t>
      </w:r>
      <w:r>
        <w:t xml:space="preserve"> </w:t>
      </w:r>
      <w:r>
        <w:t xml:space="preserve">“</w:t>
      </w:r>
      <w:r>
        <w:t xml:space="preserve">a</w:t>
      </w:r>
      <w:r>
        <w:t xml:space="preserve">”</w:t>
      </w:r>
      <w:r>
        <w:t xml:space="preserve"> </w:t>
      </w:r>
      <w:r>
        <w:t xml:space="preserve">before</w:t>
      </w:r>
      <w:r>
        <w:t xml:space="preserve"> </w:t>
      </w:r>
      <w:r>
        <w:t xml:space="preserve">“</w:t>
      </w:r>
      <w:r>
        <w:t xml:space="preserve">ṇic</w:t>
      </w:r>
      <w:r>
        <w:t xml:space="preserve">”</w:t>
      </w:r>
      <w:r>
        <w:t xml:space="preserve">) act as the original, so the</w:t>
      </w:r>
      <w:r>
        <w:t xml:space="preserve"> </w:t>
      </w:r>
      <w:r>
        <w:t xml:space="preserve">“</w:t>
      </w:r>
      <w:r>
        <w:t xml:space="preserve">a</w:t>
      </w:r>
      <w:r>
        <w:t xml:space="preserve">”</w:t>
      </w:r>
      <w:r>
        <w:t xml:space="preserve"> </w:t>
      </w:r>
      <w:r>
        <w:t xml:space="preserve">is regarded as still present and so is not</w:t>
      </w:r>
      <w:r>
        <w:t xml:space="preserve"> </w:t>
      </w:r>
      <w:r>
        <w:t xml:space="preserve">“</w:t>
      </w:r>
      <w:r>
        <w:t xml:space="preserve">upadhā</w:t>
      </w:r>
      <w:r>
        <w:t xml:space="preserve">”</w:t>
      </w:r>
      <w:r>
        <w:t xml:space="preserve"> </w:t>
      </w:r>
      <w:r>
        <w:t xml:space="preserve">— the print argues the point at length — and no vṛddhi arises. Then the</w:t>
      </w:r>
      <w:r>
        <w:t xml:space="preserve"> </w:t>
      </w:r>
      <w:r>
        <w:t xml:space="preserve">“</w:t>
      </w:r>
      <w:r>
        <w:t xml:space="preserve">laṭ</w:t>
      </w:r>
      <w:r>
        <w:t xml:space="preserve">”</w:t>
      </w:r>
      <w:r>
        <w:t xml:space="preserve"> </w:t>
      </w:r>
      <w:r>
        <w:t xml:space="preserve">→</w:t>
      </w:r>
      <w:r>
        <w:t xml:space="preserve"> </w:t>
      </w:r>
      <w:r>
        <w:t xml:space="preserve">“</w:t>
      </w:r>
      <w:r>
        <w:t xml:space="preserve">śatṛ</w:t>
      </w:r>
      <w:r>
        <w:t xml:space="preserve">”</w:t>
      </w:r>
      <w:r>
        <w:t xml:space="preserve"> </w:t>
      </w:r>
      <w:r>
        <w:t xml:space="preserve">(</w:t>
      </w:r>
      <w:r>
        <w:rPr>
          <w:bCs/>
          <w:b/>
        </w:rPr>
        <w:t xml:space="preserve">लटः शतृशानचावप्रथमासमानाधिकरणे</w:t>
      </w:r>
      <w:r>
        <w:t xml:space="preserve">, पा. ३-२-१२४); the</w:t>
      </w:r>
      <w:r>
        <w:t xml:space="preserve"> </w:t>
      </w:r>
      <w:r>
        <w:t xml:space="preserve">“</w:t>
      </w:r>
      <w:r>
        <w:t xml:space="preserve">śatṛ</w:t>
      </w:r>
      <w:r>
        <w:t xml:space="preserve">”</w:t>
      </w:r>
      <w:r>
        <w:t xml:space="preserve"> </w:t>
      </w:r>
      <w:r>
        <w:t xml:space="preserve">is</w:t>
      </w:r>
      <w:r>
        <w:t xml:space="preserve"> </w:t>
      </w:r>
      <w:r>
        <w:t xml:space="preserve">“</w:t>
      </w:r>
      <w:r>
        <w:t xml:space="preserve">ārdhadhātuka</w:t>
      </w:r>
      <w:r>
        <w:t xml:space="preserve">”</w:t>
      </w:r>
      <w:r>
        <w:t xml:space="preserve"> </w:t>
      </w:r>
      <w:r>
        <w:t xml:space="preserve">and</w:t>
      </w:r>
      <w:r>
        <w:t xml:space="preserve"> </w:t>
      </w:r>
      <w:r>
        <w:t xml:space="preserve">“</w:t>
      </w:r>
      <w:r>
        <w:t xml:space="preserve">sārvadhātuka</w:t>
      </w:r>
      <w:r>
        <w:t xml:space="preserve">”</w:t>
      </w:r>
      <w:r>
        <w:t xml:space="preserve"> </w:t>
      </w:r>
      <w:r>
        <w:t xml:space="preserve">alike by</w:t>
      </w:r>
      <w:r>
        <w:t xml:space="preserve"> </w:t>
      </w:r>
      <w:r>
        <w:rPr>
          <w:bCs/>
          <w:b/>
        </w:rPr>
        <w:t xml:space="preserve">छन्दस्युभयथा</w:t>
      </w:r>
      <w:r>
        <w:t xml:space="preserve"> </w:t>
      </w:r>
      <w:r>
        <w:t xml:space="preserve">(पा. ३-४-११७);</w:t>
      </w:r>
      <w:r>
        <w:t xml:space="preserve"> </w:t>
      </w:r>
      <w:r>
        <w:rPr>
          <w:bCs/>
          <w:b/>
        </w:rPr>
        <w:t xml:space="preserve">कर्तरि शप्</w:t>
      </w:r>
      <w:r>
        <w:t xml:space="preserve"> </w:t>
      </w:r>
      <w:r>
        <w:t xml:space="preserve">(पा. ३-१-६८) would give</w:t>
      </w:r>
      <w:r>
        <w:t xml:space="preserve"> </w:t>
      </w:r>
      <w:r>
        <w:t xml:space="preserve">“</w:t>
      </w:r>
      <w:r>
        <w:t xml:space="preserve">śap</w:t>
      </w:r>
      <w:r>
        <w:t xml:space="preserve">”</w:t>
      </w:r>
      <w:r>
        <w:t xml:space="preserve">; the debate asks whether</w:t>
      </w:r>
      <w:r>
        <w:t xml:space="preserve"> </w:t>
      </w:r>
      <w:r>
        <w:t xml:space="preserve">“</w:t>
      </w:r>
      <w:r>
        <w:t xml:space="preserve">śap</w:t>
      </w:r>
      <w:r>
        <w:t xml:space="preserve">”</w:t>
      </w:r>
      <w:r>
        <w:t xml:space="preserve"> </w:t>
      </w:r>
      <w:r>
        <w:t xml:space="preserve">is absent when</w:t>
      </w:r>
      <w:r>
        <w:t xml:space="preserve"> </w:t>
      </w:r>
      <w:r>
        <w:t xml:space="preserve">“</w:t>
      </w:r>
      <w:r>
        <w:t xml:space="preserve">śatṛ</w:t>
      </w:r>
      <w:r>
        <w:t xml:space="preserve">”</w:t>
      </w:r>
      <w:r>
        <w:t xml:space="preserve"> </w:t>
      </w:r>
      <w:r>
        <w:t xml:space="preserve">is taken as</w:t>
      </w:r>
      <w:r>
        <w:t xml:space="preserve"> </w:t>
      </w:r>
      <w:r>
        <w:t xml:space="preserve">“</w:t>
      </w:r>
      <w:r>
        <w:t xml:space="preserve">ārdhadhātuka</w:t>
      </w:r>
      <w:r>
        <w:t xml:space="preserve">”</w:t>
      </w:r>
      <w:r>
        <w:t xml:space="preserve">;</w:t>
      </w:r>
      <w:r>
        <w:t xml:space="preserve"> </w:t>
      </w:r>
      <w:r>
        <w:rPr>
          <w:bCs/>
          <w:b/>
        </w:rPr>
        <w:t xml:space="preserve">णेरनिटि</w:t>
      </w:r>
      <w:r>
        <w:t xml:space="preserve"> </w:t>
      </w:r>
      <w:r>
        <w:t xml:space="preserve">(पा. ६-४-५१) —</w:t>
      </w:r>
      <w:r>
        <w:t xml:space="preserve"> </w:t>
      </w:r>
      <w:r>
        <w:t xml:space="preserve">“</w:t>
      </w:r>
      <w:r>
        <w:t xml:space="preserve">ṇi</w:t>
      </w:r>
      <w:r>
        <w:t xml:space="preserve">”</w:t>
      </w:r>
      <w:r>
        <w:t xml:space="preserve"> </w:t>
      </w:r>
      <w:r>
        <w:t xml:space="preserve">is elided before an</w:t>
      </w:r>
      <w:r>
        <w:t xml:space="preserve"> </w:t>
      </w:r>
      <w:r>
        <w:t xml:space="preserve">“</w:t>
      </w:r>
      <w:r>
        <w:t xml:space="preserve">ārdhadhātuka</w:t>
      </w:r>
      <w:r>
        <w:t xml:space="preserve">”</w:t>
      </w:r>
      <w:r>
        <w:t xml:space="preserve"> </w:t>
      </w:r>
      <w:r>
        <w:t xml:space="preserve">without</w:t>
      </w:r>
      <w:r>
        <w:t xml:space="preserve"> </w:t>
      </w:r>
      <w:r>
        <w:t xml:space="preserve">“</w:t>
      </w:r>
      <w:r>
        <w:t xml:space="preserve">iṭ</w:t>
      </w:r>
      <w:r>
        <w:t xml:space="preserve">”</w:t>
      </w:r>
      <w:r>
        <w:t xml:space="preserve"> </w:t>
      </w:r>
      <w:r>
        <w:t xml:space="preserve">— would then also apply, but since all rules are optional in the Veda (</w:t>
      </w:r>
      <w:r>
        <w:rPr>
          <w:bCs/>
          <w:b/>
        </w:rPr>
        <w:t xml:space="preserve">सर्वे विधयश्छन्दसि विकल्प्यन्ते</w:t>
      </w:r>
      <w:r>
        <w:t xml:space="preserve">, paribhāṣā [number as printed</w:t>
      </w:r>
      <w:r>
        <w:t xml:space="preserve"> </w:t>
      </w:r>
      <w:r>
        <w:t xml:space="preserve">“</w:t>
      </w:r>
      <w:r>
        <w:t xml:space="preserve">93</w:t>
      </w:r>
      <w:r>
        <w:t xml:space="preserve">”</w:t>
      </w:r>
      <w:r>
        <w:t xml:space="preserve">]), the</w:t>
      </w:r>
      <w:r>
        <w:t xml:space="preserve"> </w:t>
      </w:r>
      <w:r>
        <w:t xml:space="preserve">“</w:t>
      </w:r>
      <w:r>
        <w:t xml:space="preserve">ṇi</w:t>
      </w:r>
      <w:r>
        <w:t xml:space="preserve">”</w:t>
      </w:r>
      <w:r>
        <w:t xml:space="preserve"> </w:t>
      </w:r>
      <w:r>
        <w:t xml:space="preserve">is kept:</w:t>
      </w:r>
      <w:r>
        <w:t xml:space="preserve"> </w:t>
      </w:r>
      <w:r>
        <w:t xml:space="preserve">“</w:t>
      </w:r>
      <w:r>
        <w:t xml:space="preserve">pat + i + at</w:t>
      </w:r>
      <w:r>
        <w:t xml:space="preserve">”</w:t>
      </w:r>
      <w:r>
        <w:t xml:space="preserve"> </w:t>
      </w:r>
      <w:r>
        <w:t xml:space="preserve">→ guṇa and</w:t>
      </w:r>
      <w:r>
        <w:t xml:space="preserve"> </w:t>
      </w:r>
      <w:r>
        <w:t xml:space="preserve">“</w:t>
      </w:r>
      <w:r>
        <w:t xml:space="preserve">ay</w:t>
      </w:r>
      <w:r>
        <w:t xml:space="preserve">”</w:t>
      </w:r>
      <w:r>
        <w:t xml:space="preserve"> </w:t>
      </w:r>
      <w:r>
        <w:t xml:space="preserve">→</w:t>
      </w:r>
      <w:r>
        <w:t xml:space="preserve"> </w:t>
      </w:r>
      <w:r>
        <w:t xml:space="preserve">“</w:t>
      </w:r>
      <w:r>
        <w:t xml:space="preserve">patayat.</w:t>
      </w:r>
      <w:r>
        <w:t xml:space="preserve">”</w:t>
      </w:r>
      <w:r>
        <w:t xml:space="preserve"> </w:t>
      </w:r>
      <w:r>
        <w:t xml:space="preserve">The</w:t>
      </w:r>
      <w:r>
        <w:t xml:space="preserve"> </w:t>
      </w:r>
      <w:r>
        <w:t xml:space="preserve">“</w:t>
      </w:r>
      <w:r>
        <w:t xml:space="preserve">am</w:t>
      </w:r>
      <w:r>
        <w:t xml:space="preserve">”</w:t>
      </w:r>
      <w:r>
        <w:t xml:space="preserve"> </w:t>
      </w:r>
      <w:r>
        <w:t xml:space="preserve">case-ending after it (</w:t>
      </w:r>
      <w:r>
        <w:rPr>
          <w:bCs/>
          <w:b/>
        </w:rPr>
        <w:t xml:space="preserve">सुपां सुलुक्</w:t>
      </w:r>
      <w:r>
        <w:t xml:space="preserve">, पा. ७-१-३९) is elided by</w:t>
      </w:r>
      <w:r>
        <w:t xml:space="preserve"> </w:t>
      </w:r>
      <w:r>
        <w:t xml:space="preserve">“</w:t>
      </w:r>
      <w:r>
        <w:t xml:space="preserve">luk</w:t>
      </w:r>
      <w:r>
        <w:t xml:space="preserve">”</w:t>
      </w:r>
      <w:r>
        <w:t xml:space="preserve"> </w:t>
      </w:r>
      <w:r>
        <w:t xml:space="preserve">(</w:t>
      </w:r>
      <w:r>
        <w:rPr>
          <w:bCs/>
          <w:b/>
        </w:rPr>
        <w:t xml:space="preserve">सुडनपुंसकस्य</w:t>
      </w:r>
      <w:r>
        <w:t xml:space="preserve">, पा. १-१-४३) as a name for the non-neuter</w:t>
      </w:r>
      <w:r>
        <w:t xml:space="preserve"> </w:t>
      </w:r>
      <w:r>
        <w:t xml:space="preserve">“</w:t>
      </w:r>
      <w:r>
        <w:t xml:space="preserve">su/au/jas/am/auṭ</w:t>
      </w:r>
      <w:r>
        <w:t xml:space="preserve">”</w:t>
      </w:r>
      <w:r>
        <w:t xml:space="preserve"> </w:t>
      </w:r>
      <w:r>
        <w:t xml:space="preserve">being</w:t>
      </w:r>
      <w:r>
        <w:t xml:space="preserve"> </w:t>
      </w:r>
      <w:r>
        <w:t xml:space="preserve">“</w:t>
      </w:r>
      <w:r>
        <w:t xml:space="preserve">sarvanāmasthāna</w:t>
      </w:r>
      <w:r>
        <w:t xml:space="preserve">”</w:t>
      </w:r>
      <w:r>
        <w:t xml:space="preserve">;</w:t>
      </w:r>
      <w:r>
        <w:t xml:space="preserve"> </w:t>
      </w:r>
      <w:r>
        <w:rPr>
          <w:bCs/>
          <w:b/>
        </w:rPr>
        <w:t xml:space="preserve">प्रत्ययलोपे प्रत्ययलक्षणम्</w:t>
      </w:r>
      <w:r>
        <w:t xml:space="preserve"> </w:t>
      </w:r>
      <w:r>
        <w:t xml:space="preserve">(पा. १-१-६२) and</w:t>
      </w:r>
      <w:r>
        <w:t xml:space="preserve"> </w:t>
      </w:r>
      <w:r>
        <w:rPr>
          <w:bCs/>
          <w:b/>
        </w:rPr>
        <w:t xml:space="preserve">उगिदचां सर्वनामस्थानेऽधातोः</w:t>
      </w:r>
      <w:r>
        <w:t xml:space="preserve"> </w:t>
      </w:r>
      <w:r>
        <w:t xml:space="preserve">(पा. ७-१-७०) would bring</w:t>
      </w:r>
      <w:r>
        <w:t xml:space="preserve"> </w:t>
      </w:r>
      <w:r>
        <w:t xml:space="preserve">“</w:t>
      </w:r>
      <w:r>
        <w:t xml:space="preserve">num,</w:t>
      </w:r>
      <w:r>
        <w:t xml:space="preserve">”</w:t>
      </w:r>
      <w:r>
        <w:t xml:space="preserve"> </w:t>
      </w:r>
      <w:r>
        <w:t xml:space="preserve">but</w:t>
      </w:r>
      <w:r>
        <w:t xml:space="preserve"> </w:t>
      </w:r>
      <w:r>
        <w:rPr>
          <w:bCs/>
          <w:b/>
        </w:rPr>
        <w:t xml:space="preserve">न लुमताङ्गस्य</w:t>
      </w:r>
      <w:r>
        <w:t xml:space="preserve"> </w:t>
      </w:r>
      <w:r>
        <w:t xml:space="preserve">(पा. १-१-६३) bars it — the print enumerates the words</w:t>
      </w:r>
      <w:r>
        <w:t xml:space="preserve"> </w:t>
      </w:r>
      <w:r>
        <w:t xml:space="preserve">“</w:t>
      </w:r>
      <w:r>
        <w:t xml:space="preserve">luk,</w:t>
      </w:r>
      <w:r>
        <w:t xml:space="preserve">”</w:t>
      </w:r>
      <w:r>
        <w:t xml:space="preserve"> </w:t>
      </w:r>
      <w:r>
        <w:t xml:space="preserve">“</w:t>
      </w:r>
      <w:r>
        <w:t xml:space="preserve">ślu,</w:t>
      </w:r>
      <w:r>
        <w:t xml:space="preserve">”</w:t>
      </w:r>
      <w:r>
        <w:t xml:space="preserve"> </w:t>
      </w:r>
      <w:r>
        <w:t xml:space="preserve">“</w:t>
      </w:r>
      <w:r>
        <w:t xml:space="preserve">lup</w:t>
      </w:r>
      <w:r>
        <w:t xml:space="preserve">”</w:t>
      </w:r>
      <w:r>
        <w:t xml:space="preserve"> </w:t>
      </w:r>
      <w:r>
        <w:t xml:space="preserve">and the rest.</w:t>
      </w:r>
    </w:p>
    <w:bookmarkEnd w:id="151"/>
    <w:bookmarkStart w:id="152" w:name="X4f07a94c33763fb737bb98ab0952a1ee0773f54"/>
    <w:p>
      <w:pPr>
        <w:pStyle w:val="Heading3"/>
      </w:pPr>
      <w:r>
        <w:t xml:space="preserve">Page 121 — Rik 4.7 grammar concluded; Sūkta 4, Eighth Mantra: Saṃhitā, Pada, Sāyaṇa-bhāṣya (opening)</w:t>
      </w:r>
    </w:p>
    <w:p>
      <w:pPr>
        <w:pStyle w:val="FirstParagraph"/>
      </w:pPr>
      <w:r>
        <w:rPr>
          <w:iCs/>
          <w:i/>
        </w:rPr>
        <w:t xml:space="preserve">(Page header:</w:t>
      </w:r>
      <w:r>
        <w:rPr>
          <w:iCs/>
          <w:i/>
        </w:rPr>
        <w:t xml:space="preserve"> </w:t>
      </w:r>
      <w:r>
        <w:rPr>
          <w:iCs/>
          <w:i/>
        </w:rPr>
        <w:t xml:space="preserve">“</w:t>
      </w:r>
      <w:r>
        <w:rPr>
          <w:iCs/>
          <w:i/>
        </w:rPr>
        <w:t xml:space="preserve">Aṣṭaka 1, Adhyāya 1, Varga 8 · Ṛgveda-saṃhitā.</w:t>
      </w:r>
      <w:r>
        <w:rPr>
          <w:iCs/>
          <w:i/>
        </w:rPr>
        <w:t xml:space="preserve">”</w:t>
      </w:r>
      <w:r>
        <w:rPr>
          <w:iCs/>
          <w:i/>
        </w:rPr>
        <w:t xml:space="preserve"> </w:t>
      </w:r>
      <w:r>
        <w:rPr>
          <w:iCs/>
          <w:i/>
        </w:rPr>
        <w:t xml:space="preserve">Saṃhitā accents as printed; Pada unaccented. Sanskrit printed in Kannada script; [?] where unclear.)</w:t>
      </w:r>
    </w:p>
    <w:p>
      <w:pPr>
        <w:pStyle w:val="BodyText"/>
      </w:pPr>
      <w:r>
        <w:rPr>
          <w:iCs/>
          <w:i/>
        </w:rPr>
        <w:t xml:space="preserve">(Concluding the grammar of</w:t>
      </w:r>
      <w:r>
        <w:rPr>
          <w:iCs/>
          <w:i/>
        </w:rPr>
        <w:t xml:space="preserve"> </w:t>
      </w:r>
      <w:r>
        <w:rPr>
          <w:iCs/>
          <w:i/>
        </w:rPr>
        <w:t xml:space="preserve">“</w:t>
      </w:r>
      <w:r>
        <w:rPr>
          <w:iCs/>
          <w:i/>
        </w:rPr>
        <w:t xml:space="preserve">patayat</w:t>
      </w:r>
      <w:r>
        <w:rPr>
          <w:iCs/>
          <w:i/>
        </w:rPr>
        <w:t xml:space="preserve">”</w:t>
      </w:r>
      <w:r>
        <w:rPr>
          <w:iCs/>
          <w:i/>
        </w:rPr>
        <w:t xml:space="preserve"> </w:t>
      </w:r>
      <w:r>
        <w:rPr>
          <w:iCs/>
          <w:i/>
        </w:rPr>
        <w:t xml:space="preserve">from p. 120:)</w:t>
      </w:r>
      <w:r>
        <w:t xml:space="preserve"> </w:t>
      </w:r>
      <w:r>
        <w:t xml:space="preserve">…where the affix has been elided by</w:t>
      </w:r>
      <w:r>
        <w:t xml:space="preserve"> </w:t>
      </w:r>
      <w:r>
        <w:t xml:space="preserve">“</w:t>
      </w:r>
      <w:r>
        <w:t xml:space="preserve">lu</w:t>
      </w:r>
      <w:r>
        <w:t xml:space="preserve">”</w:t>
      </w:r>
      <w:r>
        <w:t xml:space="preserve">-type elision, no operation depending on the elided affix takes place on the stem — the</w:t>
      </w:r>
      <w:r>
        <w:t xml:space="preserve"> </w:t>
      </w:r>
      <w:r>
        <w:t xml:space="preserve">“</w:t>
      </w:r>
      <w:r>
        <w:t xml:space="preserve">pratyaya-lakṣaṇa</w:t>
      </w:r>
      <w:r>
        <w:t xml:space="preserve">”</w:t>
      </w:r>
      <w:r>
        <w:t xml:space="preserve"> </w:t>
      </w:r>
      <w:r>
        <w:t xml:space="preserve">is thus prohibited — and so, because the</w:t>
      </w:r>
      <w:r>
        <w:t xml:space="preserve"> </w:t>
      </w:r>
      <w:r>
        <w:t xml:space="preserve">“</w:t>
      </w:r>
      <w:r>
        <w:t xml:space="preserve">sarvanāmasthāna</w:t>
      </w:r>
      <w:r>
        <w:t xml:space="preserve">”</w:t>
      </w:r>
      <w:r>
        <w:t xml:space="preserve"> </w:t>
      </w:r>
      <w:r>
        <w:t xml:space="preserve">affix is not following, the</w:t>
      </w:r>
      <w:r>
        <w:t xml:space="preserve"> </w:t>
      </w:r>
      <w:r>
        <w:t xml:space="preserve">“</w:t>
      </w:r>
      <w:r>
        <w:t xml:space="preserve">num</w:t>
      </w:r>
      <w:r>
        <w:t xml:space="preserve">”</w:t>
      </w:r>
      <w:r>
        <w:t xml:space="preserve"> </w:t>
      </w:r>
      <w:r>
        <w:t xml:space="preserve">augment of</w:t>
      </w:r>
      <w:r>
        <w:t xml:space="preserve"> </w:t>
      </w:r>
      <w:r>
        <w:rPr>
          <w:bCs/>
          <w:b/>
        </w:rPr>
        <w:t xml:space="preserve">उगिदचाम्</w:t>
      </w:r>
      <w:r>
        <w:t xml:space="preserve"> </w:t>
      </w:r>
      <w:r>
        <w:t xml:space="preserve">is not added. In the same way</w:t>
      </w:r>
      <w:r>
        <w:t xml:space="preserve"> </w:t>
      </w:r>
      <w:r>
        <w:t xml:space="preserve">“</w:t>
      </w:r>
      <w:r>
        <w:t xml:space="preserve">mandayat</w:t>
      </w:r>
      <w:r>
        <w:t xml:space="preserve">”</w:t>
      </w:r>
      <w:r>
        <w:t xml:space="preserve"> </w:t>
      </w:r>
      <w:r>
        <w:t xml:space="preserve">is end-acute;</w:t>
      </w:r>
      <w:r>
        <w:t xml:space="preserve"> </w:t>
      </w:r>
      <w:r>
        <w:t xml:space="preserve">“</w:t>
      </w:r>
      <w:r>
        <w:t xml:space="preserve">mandayati sakhā</w:t>
      </w:r>
      <w:r>
        <w:t xml:space="preserve">”</w:t>
      </w:r>
      <w:r>
        <w:t xml:space="preserve"> </w:t>
      </w:r>
      <w:r>
        <w:t xml:space="preserve">—</w:t>
      </w:r>
      <w:r>
        <w:t xml:space="preserve"> </w:t>
      </w:r>
      <w:r>
        <w:t xml:space="preserve">“</w:t>
      </w:r>
      <w:r>
        <w:t xml:space="preserve">(one who is) a friend in the Indra who gladdens</w:t>
      </w:r>
      <w:r>
        <w:t xml:space="preserve">”</w:t>
      </w:r>
      <w:r>
        <w:t xml:space="preserve"> </w:t>
      </w:r>
      <w:r>
        <w:t xml:space="preserve">— is a compound formed by the</w:t>
      </w:r>
      <w:r>
        <w:t xml:space="preserve"> </w:t>
      </w:r>
      <w:r>
        <w:t xml:space="preserve">“</w:t>
      </w:r>
      <w:r>
        <w:t xml:space="preserve">saptamī</w:t>
      </w:r>
      <w:r>
        <w:t xml:space="preserve">”</w:t>
      </w:r>
      <w:r>
        <w:t xml:space="preserve"> </w:t>
      </w:r>
      <w:r>
        <w:t xml:space="preserve">(locative-compound) rule,</w:t>
      </w:r>
      <w:r>
        <w:t xml:space="preserve"> </w:t>
      </w:r>
      <w:r>
        <w:rPr>
          <w:bCs/>
          <w:b/>
        </w:rPr>
        <w:t xml:space="preserve">सप्तमी शौण्डैः</w:t>
      </w:r>
      <w:r>
        <w:t xml:space="preserve"> </w:t>
      </w:r>
      <w:r>
        <w:t xml:space="preserve">(पा. २-१-४० [as printed</w:t>
      </w:r>
      <w:r>
        <w:t xml:space="preserve"> </w:t>
      </w:r>
      <w:r>
        <w:t xml:space="preserve">“</w:t>
      </w:r>
      <w:r>
        <w:t xml:space="preserve">2-1-4?</w:t>
      </w:r>
      <w:r>
        <w:t xml:space="preserve">”</w:t>
      </w:r>
      <w:r>
        <w:t xml:space="preserve">]), which the print divides by the word</w:t>
      </w:r>
      <w:r>
        <w:t xml:space="preserve"> </w:t>
      </w:r>
      <w:r>
        <w:t xml:space="preserve">“</w:t>
      </w:r>
      <w:r>
        <w:t xml:space="preserve">saptamī,</w:t>
      </w:r>
      <w:r>
        <w:t xml:space="preserve">”</w:t>
      </w:r>
      <w:r>
        <w:t xml:space="preserve"> </w:t>
      </w:r>
      <w:r>
        <w:t xml:space="preserve">for the locative word compounds with a competent locative word; by</w:t>
      </w:r>
      <w:r>
        <w:t xml:space="preserve"> </w:t>
      </w:r>
      <w:r>
        <w:rPr>
          <w:bCs/>
          <w:b/>
        </w:rPr>
        <w:t xml:space="preserve">तत्पुरुषे तुल्यार्थतृतीयासप्तम्युपमानाव्ययद्वितीयाकृत्याः</w:t>
      </w:r>
      <w:r>
        <w:t xml:space="preserve"> </w:t>
      </w:r>
      <w:r>
        <w:t xml:space="preserve">(पा. ६-२-२ [as printed</w:t>
      </w:r>
      <w:r>
        <w:t xml:space="preserve"> </w:t>
      </w:r>
      <w:r>
        <w:t xml:space="preserve">“</w:t>
      </w:r>
      <w:r>
        <w:t xml:space="preserve">6-2-2</w:t>
      </w:r>
      <w:r>
        <w:t xml:space="preserve">”</w:t>
      </w:r>
      <w:r>
        <w:t xml:space="preserve">; the sūtra reads</w:t>
      </w:r>
      <w:r>
        <w:t xml:space="preserve"> </w:t>
      </w:r>
      <w:r>
        <w:t xml:space="preserve">‘</w:t>
      </w:r>
      <w:r>
        <w:t xml:space="preserve">tṛtīyā-saptamī</w:t>
      </w:r>
      <w:r>
        <w:t xml:space="preserve">’</w:t>
      </w:r>
      <w:r>
        <w:t xml:space="preserve">…]) the first member (a locative) retains its natural accent; and</w:t>
      </w:r>
      <w:r>
        <w:t xml:space="preserve"> </w:t>
      </w:r>
      <w:r>
        <w:rPr>
          <w:bCs/>
          <w:b/>
        </w:rPr>
        <w:t xml:space="preserve">राजाहस्सखिभ्यष्टच्</w:t>
      </w:r>
      <w:r>
        <w:t xml:space="preserve"> </w:t>
      </w:r>
      <w:r>
        <w:t xml:space="preserve">(पा. ५-४-९१) the affix</w:t>
      </w:r>
      <w:r>
        <w:t xml:space="preserve"> </w:t>
      </w:r>
      <w:r>
        <w:t xml:space="preserve">“</w:t>
      </w:r>
      <w:r>
        <w:t xml:space="preserve">ṭac</w:t>
      </w:r>
      <w:r>
        <w:t xml:space="preserve">”</w:t>
      </w:r>
      <w:r>
        <w:t xml:space="preserve"> </w:t>
      </w:r>
      <w:r>
        <w:t xml:space="preserve">comes after</w:t>
      </w:r>
      <w:r>
        <w:t xml:space="preserve"> </w:t>
      </w:r>
      <w:r>
        <w:t xml:space="preserve">“</w:t>
      </w:r>
      <w:r>
        <w:t xml:space="preserve">sakhi.</w:t>
      </w:r>
      <w:r>
        <w:t xml:space="preserve">”</w:t>
      </w:r>
      <w:r>
        <w:t xml:space="preserve"> </w:t>
      </w:r>
      <w:r>
        <w:t xml:space="preserve">॥७॥</w:t>
      </w:r>
    </w:p>
    <w:p>
      <w:r>
        <w:pict>
          <v:rect style="width:0;height:1.5pt" o:hralign="center" o:hrstd="t" o:hr="t"/>
        </w:pict>
      </w:r>
    </w:p>
    <w:bookmarkEnd w:id="152"/>
    <w:bookmarkStart w:id="153" w:name="sūkta-4-the-eighth-mantra"/>
    <w:p>
      <w:pPr>
        <w:pStyle w:val="Heading3"/>
      </w:pPr>
      <w:r>
        <w:t xml:space="preserve">Sūkta 4, The Eighth Mantra</w:t>
      </w:r>
    </w:p>
    <w:p>
      <w:pPr>
        <w:pStyle w:val="FirstParagraph"/>
      </w:pPr>
      <w:r>
        <w:rPr>
          <w:bCs/>
          <w:b/>
        </w:rPr>
        <w:t xml:space="preserve">॥ Saṃhitā-pāṭhaḥ ॥</w:t>
      </w:r>
    </w:p>
    <w:p>
      <w:pPr>
        <w:pStyle w:val="BlockText"/>
      </w:pPr>
      <w:r>
        <w:t xml:space="preserve">अ॒स्य पी॒त्वा शत॑क्रतो घ॒नो वृत्राणा॑मभवः ।</w:t>
      </w:r>
      <w:r>
        <w:t xml:space="preserve"> </w:t>
      </w:r>
      <w:r>
        <w:t xml:space="preserve">प्रावो॒ वाजे॑षु वा॒जिनं॑ ॥८॥</w:t>
      </w:r>
    </w:p>
    <w:p>
      <w:pPr>
        <w:pStyle w:val="BlockText"/>
      </w:pPr>
      <w:r>
        <w:rPr>
          <w:iCs/>
          <w:i/>
        </w:rPr>
        <w:t xml:space="preserve">asyá pītvā́ śátakrato ghanó vṛtrā́ṇāmabhavaḥ |</w:t>
      </w:r>
      <w:r>
        <w:t xml:space="preserve"> </w:t>
      </w:r>
      <w:r>
        <w:rPr>
          <w:iCs/>
          <w:i/>
        </w:rPr>
        <w:t xml:space="preserve">prāvo vā́jeṣu vājínaṃ ||8||</w:t>
      </w:r>
    </w:p>
    <w:p>
      <w:pPr>
        <w:pStyle w:val="FirstParagraph"/>
      </w:pPr>
      <w:r>
        <w:rPr>
          <w:bCs/>
          <w:b/>
        </w:rPr>
        <w:t xml:space="preserve">॥ Pada-pāṭhaḥ ॥</w:t>
      </w:r>
    </w:p>
    <w:p>
      <w:pPr>
        <w:pStyle w:val="BlockText"/>
      </w:pPr>
      <w:r>
        <w:t xml:space="preserve">अस्य । पीत्वा । शतक्रतो इति शतऽक्रतो । घनः । वृत्राणाम् । अभवः ।</w:t>
      </w:r>
      <w:r>
        <w:t xml:space="preserve"> </w:t>
      </w:r>
      <w:r>
        <w:t xml:space="preserve">प्र । आवः । वाजेषु । वाजिनम् ॥८॥</w:t>
      </w:r>
    </w:p>
    <w:p>
      <w:pPr>
        <w:pStyle w:val="FirstParagraph"/>
      </w:pPr>
      <w:r>
        <w:rPr>
          <w:bCs/>
          <w:b/>
        </w:rPr>
        <w:t xml:space="preserve">॥ Sāyaṇa-bhāṣyam ॥</w:t>
      </w:r>
    </w:p>
    <w:p>
      <w:pPr>
        <w:pStyle w:val="BlockText"/>
      </w:pPr>
      <w:r>
        <w:t xml:space="preserve">हे शतक्रतो बहुकर्मयुक्तेन्द्र त्वमस्य सोमस्य संबन्धिनमंशं पीत्वा वृत्राणां वृत्रनामकासुरप्रमुखाणां शत्रूणां घनोऽभवः । हन्ताभूः । ततो वाजेषु संग्रामेषु वाजिनं संग्रामवन्तं स्वभक्तं प्रावः । प्रकर्षेण रक्षितवानसि । अस्येतीदंशब्देन प्रयोगसमये पुरोदेशस्थः सोमो निर्दिश्यते न तु पूर्वप्रकृतः सोमः परामृश्यते । अतोऽनन्वादेशत्वान्नात्रेदमोऽन्वादेशेऽशनुदात्त इत्येतदोदात्त— [print:</w:t>
      </w:r>
      <w:r>
        <w:t xml:space="preserve"> </w:t>
      </w:r>
      <w:r>
        <w:t xml:space="preserve">“</w:t>
      </w:r>
      <w:r>
        <w:t xml:space="preserve">…श्चितीयादौ</w:t>
      </w:r>
      <w:r>
        <w:t xml:space="preserve">”</w:t>
      </w:r>
      <w:r>
        <w:t xml:space="preserve">] । पा. २-४-३२ । इत्यशादेशः । अतो न सर्वानुदात्तत्वं किंतु तृदा-…</w:t>
      </w:r>
      <w:r>
        <w:t xml:space="preserve"> </w:t>
      </w:r>
      <w:r>
        <w:rPr>
          <w:iCs/>
          <w:i/>
        </w:rPr>
        <w:t xml:space="preserve">he śatakrato bahu-karma-yuktendra tvam asya somasya sambandhinam aṃśaṃ pītvā vṛtrāṇāṃ vṛtra-nāmakāsura-pramukhāṇāṃ śatrūṇāṃ ghano ’bhavaḥ | hantābhūḥ | tato vājeṣu saṃgrāmeṣu vājinaṃ saṃgrāmavantaṃ sva-bhaktaṃ prāvaḥ | prakarṣeṇa rakṣitavān asi | asyetīdaṃ-śabdena prayoga-samaye puro-deśasthaḥ somo nirdiśyate na tu pūrva-prakṛtaḥ somaḥ parāmṛśyate | ato ’nanvādeśatvān nātredamo ’nvādeśe ’śanudātta … [the print runs on:</w:t>
      </w:r>
      <w:r>
        <w:rPr>
          <w:iCs/>
          <w:i/>
        </w:rPr>
        <w:t xml:space="preserve"> </w:t>
      </w:r>
      <w:r>
        <w:rPr>
          <w:iCs/>
          <w:i/>
        </w:rPr>
        <w:t xml:space="preserve">“</w:t>
      </w:r>
      <w:r>
        <w:rPr>
          <w:iCs/>
          <w:i/>
        </w:rPr>
        <w:t xml:space="preserve">…traitīyādau | pā. 2-4-32 | ity aśādeśaḥ | ato na sarvānudāttatvaṃ kiṃtu tṛdā-…</w:t>
      </w:r>
      <w:r>
        <w:rPr>
          <w:iCs/>
          <w:i/>
        </w:rPr>
        <w:t xml:space="preserve">”</w:t>
      </w:r>
      <w:r>
        <w:rPr>
          <w:iCs/>
          <w:i/>
        </w:rPr>
        <w:t xml:space="preserve">] ||</w:t>
      </w:r>
    </w:p>
    <w:p>
      <w:pPr>
        <w:pStyle w:val="FirstParagraph"/>
      </w:pPr>
      <w:r>
        <w:rPr>
          <w:bCs/>
          <w:b/>
        </w:rPr>
        <w:t xml:space="preserve">Translation:</w:t>
      </w:r>
      <w:r>
        <w:t xml:space="preserve"> </w:t>
      </w:r>
      <w:r>
        <w:t xml:space="preserve">“</w:t>
      </w:r>
      <w:r>
        <w:t xml:space="preserve">O</w:t>
      </w:r>
      <w:r>
        <w:t xml:space="preserve"> </w:t>
      </w:r>
      <w:r>
        <w:t xml:space="preserve">‘</w:t>
      </w:r>
      <w:r>
        <w:t xml:space="preserve">śatakrato</w:t>
      </w:r>
      <w:r>
        <w:t xml:space="preserve">’</w:t>
      </w:r>
      <w:r>
        <w:t xml:space="preserve"> </w:t>
      </w:r>
      <w:r>
        <w:t xml:space="preserve">— O Indra, endowed with many deeds — having drunk</w:t>
      </w:r>
      <w:r>
        <w:t xml:space="preserve"> </w:t>
      </w:r>
      <w:r>
        <w:t xml:space="preserve">‘</w:t>
      </w:r>
      <w:r>
        <w:t xml:space="preserve">the portion belonging to this Soma,</w:t>
      </w:r>
      <w:r>
        <w:t xml:space="preserve">’</w:t>
      </w:r>
      <w:r>
        <w:t xml:space="preserve"> </w:t>
      </w:r>
      <w:r>
        <w:t xml:space="preserve">you have become</w:t>
      </w:r>
      <w:r>
        <w:t xml:space="preserve"> </w:t>
      </w:r>
      <w:r>
        <w:t xml:space="preserve">‘</w:t>
      </w:r>
      <w:r>
        <w:t xml:space="preserve">ghanaḥ</w:t>
      </w:r>
      <w:r>
        <w:t xml:space="preserve">’</w:t>
      </w:r>
      <w:r>
        <w:t xml:space="preserve"> </w:t>
      </w:r>
      <w:r>
        <w:t xml:space="preserve">— the slayer (</w:t>
      </w:r>
      <w:r>
        <w:t xml:space="preserve">‘</w:t>
      </w:r>
      <w:r>
        <w:t xml:space="preserve">hantā</w:t>
      </w:r>
      <w:r>
        <w:t xml:space="preserve">’</w:t>
      </w:r>
      <w:r>
        <w:t xml:space="preserve">) —</w:t>
      </w:r>
      <w:r>
        <w:t xml:space="preserve"> </w:t>
      </w:r>
      <w:r>
        <w:t xml:space="preserve">‘</w:t>
      </w:r>
      <w:r>
        <w:t xml:space="preserve">vṛtrāṇām</w:t>
      </w:r>
      <w:r>
        <w:t xml:space="preserve">’</w:t>
      </w:r>
      <w:r>
        <w:t xml:space="preserve"> </w:t>
      </w:r>
      <w:r>
        <w:t xml:space="preserve">— of the enemies headed by the demon named Vṛtra. Then,</w:t>
      </w:r>
      <w:r>
        <w:t xml:space="preserve"> </w:t>
      </w:r>
      <w:r>
        <w:t xml:space="preserve">‘</w:t>
      </w:r>
      <w:r>
        <w:t xml:space="preserve">vājeṣu</w:t>
      </w:r>
      <w:r>
        <w:t xml:space="preserve">’</w:t>
      </w:r>
      <w:r>
        <w:t xml:space="preserve"> </w:t>
      </w:r>
      <w:r>
        <w:t xml:space="preserve">— in the battles —</w:t>
      </w:r>
      <w:r>
        <w:t xml:space="preserve"> </w:t>
      </w:r>
      <w:r>
        <w:t xml:space="preserve">‘</w:t>
      </w:r>
      <w:r>
        <w:t xml:space="preserve">vājinam</w:t>
      </w:r>
      <w:r>
        <w:t xml:space="preserve">’</w:t>
      </w:r>
      <w:r>
        <w:t xml:space="preserve"> </w:t>
      </w:r>
      <w:r>
        <w:t xml:space="preserve">— the one who has a battle (the one who fights), your own devotee —</w:t>
      </w:r>
      <w:r>
        <w:t xml:space="preserve"> </w:t>
      </w:r>
      <w:r>
        <w:t xml:space="preserve">‘</w:t>
      </w:r>
      <w:r>
        <w:t xml:space="preserve">prāvaḥ</w:t>
      </w:r>
      <w:r>
        <w:t xml:space="preserve">’</w:t>
      </w:r>
      <w:r>
        <w:t xml:space="preserve"> </w:t>
      </w:r>
      <w:r>
        <w:t xml:space="preserve">— you have protected in an eminent way. By the word</w:t>
      </w:r>
      <w:r>
        <w:t xml:space="preserve"> </w:t>
      </w:r>
      <w:r>
        <w:t xml:space="preserve">‘</w:t>
      </w:r>
      <w:r>
        <w:t xml:space="preserve">idam</w:t>
      </w:r>
      <w:r>
        <w:t xml:space="preserve">’</w:t>
      </w:r>
      <w:r>
        <w:t xml:space="preserve"> </w:t>
      </w:r>
      <w:r>
        <w:t xml:space="preserve">in</w:t>
      </w:r>
      <w:r>
        <w:t xml:space="preserve"> </w:t>
      </w:r>
      <w:r>
        <w:t xml:space="preserve">‘</w:t>
      </w:r>
      <w:r>
        <w:t xml:space="preserve">asya,</w:t>
      </w:r>
      <w:r>
        <w:t xml:space="preserve">’</w:t>
      </w:r>
      <w:r>
        <w:t xml:space="preserve"> </w:t>
      </w:r>
      <w:r>
        <w:t xml:space="preserve">the Soma standing in front at the time of use is pointed out — not the Soma mentioned earlier; hence, since this is not an</w:t>
      </w:r>
      <w:r>
        <w:t xml:space="preserve"> </w:t>
      </w:r>
      <w:r>
        <w:t xml:space="preserve">‘</w:t>
      </w:r>
      <w:r>
        <w:t xml:space="preserve">anvādeśa</w:t>
      </w:r>
      <w:r>
        <w:t xml:space="preserve">’</w:t>
      </w:r>
      <w:r>
        <w:t xml:space="preserve"> </w:t>
      </w:r>
      <w:r>
        <w:t xml:space="preserve">(a back-reference), the substitution of</w:t>
      </w:r>
      <w:r>
        <w:t xml:space="preserve"> </w:t>
      </w:r>
      <w:r>
        <w:t xml:space="preserve">‘</w:t>
      </w:r>
      <w:r>
        <w:t xml:space="preserve">a</w:t>
      </w:r>
      <w:r>
        <w:t xml:space="preserve">’</w:t>
      </w:r>
      <w:r>
        <w:t xml:space="preserve"> </w:t>
      </w:r>
      <w:r>
        <w:t xml:space="preserve">for</w:t>
      </w:r>
      <w:r>
        <w:t xml:space="preserve"> </w:t>
      </w:r>
      <w:r>
        <w:t xml:space="preserve">‘</w:t>
      </w:r>
      <w:r>
        <w:t xml:space="preserve">idam</w:t>
      </w:r>
      <w:r>
        <w:t xml:space="preserve">’</w:t>
      </w:r>
      <w:r>
        <w:t xml:space="preserve"> </w:t>
      </w:r>
      <w:r>
        <w:t xml:space="preserve">(before the third case-ending, etc.) does not apply here, … and the whole word is therefore not unaccented, but …</w:t>
      </w:r>
      <w:r>
        <w:t xml:space="preserve">”</w:t>
      </w:r>
      <w:r>
        <w:t xml:space="preserve"> </w:t>
      </w:r>
      <w:r>
        <w:rPr>
          <w:iCs/>
          <w:i/>
        </w:rPr>
        <w:t xml:space="preserve">(The print of the last lines — the grammar of</w:t>
      </w:r>
      <w:r>
        <w:rPr>
          <w:iCs/>
          <w:i/>
        </w:rPr>
        <w:t xml:space="preserve"> </w:t>
      </w:r>
      <w:r>
        <w:rPr>
          <w:iCs/>
          <w:i/>
        </w:rPr>
        <w:t xml:space="preserve">“</w:t>
      </w:r>
      <w:r>
        <w:rPr>
          <w:iCs/>
          <w:i/>
        </w:rPr>
        <w:t xml:space="preserve">asya</w:t>
      </w:r>
      <w:r>
        <w:rPr>
          <w:iCs/>
          <w:i/>
        </w:rPr>
        <w:t xml:space="preserve">”</w:t>
      </w:r>
      <w:r>
        <w:rPr>
          <w:iCs/>
          <w:i/>
        </w:rPr>
        <w:t xml:space="preserve"> </w:t>
      </w:r>
      <w:r>
        <w:rPr>
          <w:iCs/>
          <w:i/>
        </w:rPr>
        <w:t xml:space="preserve">— is partly garbled, and it continues on the next page; I give the sense and not a reading of the garbled stretch.)</w:t>
      </w:r>
    </w:p>
    <w:bookmarkEnd w:id="153"/>
    <w:bookmarkStart w:id="154" w:name="Xa54e0fa49656eb1f8c37893d60152b262dd40fc"/>
    <w:p>
      <w:pPr>
        <w:pStyle w:val="Heading3"/>
      </w:pPr>
      <w:r>
        <w:t xml:space="preserve">Page 122 — Rik 4.8: grammar concluded (characterized); Pada-meanings; Bhāvārtha; English rendering; Special topics (opening)</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4.</w:t>
      </w:r>
      <w:r>
        <w:rPr>
          <w:iCs/>
          <w:i/>
        </w:rPr>
        <w:t xml:space="preserve">”</w:t>
      </w:r>
      <w:r>
        <w:rPr>
          <w:iCs/>
          <w:i/>
        </w:rPr>
        <w:t xml:space="preserve"> </w:t>
      </w:r>
      <w:r>
        <w:rPr>
          <w:iCs/>
          <w:i/>
        </w:rPr>
        <w:t xml:space="preserve">Grammar characterized, sūtras kept; English as printed.)</w:t>
      </w:r>
    </w:p>
    <w:p>
      <w:pPr>
        <w:pStyle w:val="BodyText"/>
      </w:pPr>
      <w:r>
        <w:rPr>
          <w:bCs/>
          <w:b/>
        </w:rPr>
        <w:t xml:space="preserve">Grammar within the Bhāṣya, concluded</w:t>
      </w:r>
      <w:r>
        <w:t xml:space="preserve"> </w:t>
      </w:r>
      <w:r>
        <w:rPr>
          <w:iCs/>
          <w:i/>
        </w:rPr>
        <w:t xml:space="preserve">(the Sanskrit; given in outline)</w:t>
      </w:r>
      <w:r>
        <w:t xml:space="preserve">:</w:t>
      </w:r>
      <w:r>
        <w:t xml:space="preserve"> </w:t>
      </w:r>
      <w:r>
        <w:t xml:space="preserve">“</w:t>
      </w:r>
      <w:r>
        <w:t xml:space="preserve">Asya</w:t>
      </w:r>
      <w:r>
        <w:t xml:space="preserve">”</w:t>
      </w:r>
      <w:r>
        <w:t xml:space="preserve"> </w:t>
      </w:r>
      <w:r>
        <w:t xml:space="preserve">— since</w:t>
      </w:r>
      <w:r>
        <w:t xml:space="preserve"> </w:t>
      </w:r>
      <w:r>
        <w:t xml:space="preserve">“</w:t>
      </w:r>
      <w:r>
        <w:t xml:space="preserve">idam</w:t>
      </w:r>
      <w:r>
        <w:t xml:space="preserve">”</w:t>
      </w:r>
      <w:r>
        <w:t xml:space="preserve"> </w:t>
      </w:r>
      <w:r>
        <w:t xml:space="preserve">is not here used in</w:t>
      </w:r>
      <w:r>
        <w:t xml:space="preserve"> </w:t>
      </w:r>
      <w:r>
        <w:t xml:space="preserve">‘</w:t>
      </w:r>
      <w:r>
        <w:t xml:space="preserve">anvādeśa</w:t>
      </w:r>
      <w:r>
        <w:t xml:space="preserve">’</w:t>
      </w:r>
      <w:r>
        <w:t xml:space="preserve"> </w:t>
      </w:r>
      <w:r>
        <w:t xml:space="preserve">(back-reference), the substitute</w:t>
      </w:r>
      <w:r>
        <w:t xml:space="preserve"> </w:t>
      </w:r>
      <w:r>
        <w:t xml:space="preserve">“</w:t>
      </w:r>
      <w:r>
        <w:t xml:space="preserve">a</w:t>
      </w:r>
      <w:r>
        <w:t xml:space="preserve">”</w:t>
      </w:r>
      <w:r>
        <w:t xml:space="preserve"> </w:t>
      </w:r>
      <w:r>
        <w:t xml:space="preserve">(</w:t>
      </w:r>
      <w:r>
        <w:rPr>
          <w:bCs/>
          <w:b/>
        </w:rPr>
        <w:t xml:space="preserve">इदमो मः</w:t>
      </w:r>
      <w:r>
        <w:t xml:space="preserve"> </w:t>
      </w:r>
      <w:r>
        <w:t xml:space="preserve">etc.) with the unaccented</w:t>
      </w:r>
      <w:r>
        <w:t xml:space="preserve"> </w:t>
      </w:r>
      <w:r>
        <w:t xml:space="preserve">‘</w:t>
      </w:r>
      <w:r>
        <w:t xml:space="preserve">a</w:t>
      </w:r>
      <w:r>
        <w:t xml:space="preserve">’</w:t>
      </w:r>
      <w:r>
        <w:t xml:space="preserve"> </w:t>
      </w:r>
      <w:r>
        <w:t xml:space="preserve">does not take the sense of anvādeśa, and the accented form results: the accent of</w:t>
      </w:r>
      <w:r>
        <w:t xml:space="preserve"> </w:t>
      </w:r>
      <w:r>
        <w:t xml:space="preserve">“</w:t>
      </w:r>
      <w:r>
        <w:t xml:space="preserve">asya</w:t>
      </w:r>
      <w:r>
        <w:t xml:space="preserve">”</w:t>
      </w:r>
      <w:r>
        <w:t xml:space="preserve"> </w:t>
      </w:r>
      <w:r>
        <w:t xml:space="preserve">is thus the first-syllable acute. The statement on the case-ending is</w:t>
      </w:r>
      <w:r>
        <w:t xml:space="preserve"> </w:t>
      </w:r>
      <w:r>
        <w:t xml:space="preserve">“</w:t>
      </w:r>
      <w:r>
        <w:t xml:space="preserve">vibhaktir udāttā</w:t>
      </w:r>
      <w:r>
        <w:t xml:space="preserve">”</w:t>
      </w:r>
      <w:r>
        <w:t xml:space="preserve"> </w:t>
      </w:r>
      <w:r>
        <w:t xml:space="preserve">—</w:t>
      </w:r>
      <w:r>
        <w:t xml:space="preserve"> </w:t>
      </w:r>
      <w:r>
        <w:rPr>
          <w:bCs/>
          <w:b/>
        </w:rPr>
        <w:t xml:space="preserve">हलि लोपः</w:t>
      </w:r>
      <w:r>
        <w:t xml:space="preserve"> </w:t>
      </w:r>
      <w:r>
        <w:t xml:space="preserve">(पा. ७-२-११३; the print cites ७-२-१०२,</w:t>
      </w:r>
      <w:r>
        <w:t xml:space="preserve"> </w:t>
      </w:r>
      <w:r>
        <w:rPr>
          <w:bCs/>
          <w:b/>
        </w:rPr>
        <w:t xml:space="preserve">त्यदादीनामः</w:t>
      </w:r>
      <w:r>
        <w:t xml:space="preserve">, just before it) — the</w:t>
      </w:r>
      <w:r>
        <w:t xml:space="preserve"> </w:t>
      </w:r>
      <w:r>
        <w:t xml:space="preserve">“</w:t>
      </w:r>
      <w:r>
        <w:t xml:space="preserve">id</w:t>
      </w:r>
      <w:r>
        <w:t xml:space="preserve">”</w:t>
      </w:r>
      <w:r>
        <w:t xml:space="preserve"> </w:t>
      </w:r>
      <w:r>
        <w:t xml:space="preserve">of</w:t>
      </w:r>
      <w:r>
        <w:t xml:space="preserve"> </w:t>
      </w:r>
      <w:r>
        <w:t xml:space="preserve">“</w:t>
      </w:r>
      <w:r>
        <w:t xml:space="preserve">idam</w:t>
      </w:r>
      <w:r>
        <w:t xml:space="preserve">”</w:t>
      </w:r>
      <w:r>
        <w:t xml:space="preserve"> </w:t>
      </w:r>
      <w:r>
        <w:t xml:space="preserve">is elided before a consonant-beginning ending; the</w:t>
      </w:r>
      <w:r>
        <w:t xml:space="preserve"> </w:t>
      </w:r>
      <w:r>
        <w:t xml:space="preserve">“</w:t>
      </w:r>
      <w:r>
        <w:t xml:space="preserve">a</w:t>
      </w:r>
      <w:r>
        <w:t xml:space="preserve">”</w:t>
      </w:r>
      <w:r>
        <w:t xml:space="preserve"> </w:t>
      </w:r>
      <w:r>
        <w:t xml:space="preserve">substitutes;</w:t>
      </w:r>
      <w:r>
        <w:t xml:space="preserve"> </w:t>
      </w:r>
      <w:r>
        <w:rPr>
          <w:bCs/>
          <w:b/>
        </w:rPr>
        <w:t xml:space="preserve">अकारः प्रातिपदिकस्वरेणान्तोदात्तः</w:t>
      </w:r>
      <w:r>
        <w:t xml:space="preserve">;</w:t>
      </w:r>
      <w:r>
        <w:t xml:space="preserve"> </w:t>
      </w:r>
      <w:r>
        <w:t xml:space="preserve">“</w:t>
      </w:r>
      <w:r>
        <w:t xml:space="preserve">asya</w:t>
      </w:r>
      <w:r>
        <w:t xml:space="preserve">”</w:t>
      </w:r>
      <w:r>
        <w:t xml:space="preserve"> </w:t>
      </w:r>
      <w:r>
        <w:t xml:space="preserve">is accented by the case-ending, as in</w:t>
      </w:r>
      <w:r>
        <w:t xml:space="preserve"> </w:t>
      </w:r>
      <w:r>
        <w:rPr>
          <w:bCs/>
          <w:b/>
        </w:rPr>
        <w:t xml:space="preserve">अनुदात्तादिः</w:t>
      </w:r>
      <w:r>
        <w:t xml:space="preserve"> </w:t>
      </w:r>
      <w:r>
        <w:t xml:space="preserve">etc. (पा. ६-१-१७१,</w:t>
      </w:r>
      <w:r>
        <w:t xml:space="preserve"> </w:t>
      </w:r>
      <w:r>
        <w:t xml:space="preserve">“</w:t>
      </w:r>
      <w:r>
        <w:t xml:space="preserve">…vibhaktirudāttā</w:t>
      </w:r>
      <w:r>
        <w:t xml:space="preserve">”</w:t>
      </w:r>
      <w:r>
        <w:t xml:space="preserve">).</w:t>
      </w:r>
      <w:r>
        <w:t xml:space="preserve"> </w:t>
      </w:r>
      <w:r>
        <w:t xml:space="preserve">“</w:t>
      </w:r>
      <w:r>
        <w:t xml:space="preserve">Pītvā</w:t>
      </w:r>
      <w:r>
        <w:t xml:space="preserve">”</w:t>
      </w:r>
      <w:r>
        <w:t xml:space="preserve"> </w:t>
      </w:r>
      <w:r>
        <w:t xml:space="preserve">—</w:t>
      </w:r>
      <w:r>
        <w:t xml:space="preserve"> </w:t>
      </w:r>
      <w:r>
        <w:t xml:space="preserve">“</w:t>
      </w:r>
      <w:r>
        <w:t xml:space="preserve">pā pāne</w:t>
      </w:r>
      <w:r>
        <w:t xml:space="preserve">”</w:t>
      </w:r>
      <w:r>
        <w:t xml:space="preserve"> </w:t>
      </w:r>
      <w:r>
        <w:t xml:space="preserve">with</w:t>
      </w:r>
      <w:r>
        <w:t xml:space="preserve"> </w:t>
      </w:r>
      <w:r>
        <w:t xml:space="preserve">“</w:t>
      </w:r>
      <w:r>
        <w:t xml:space="preserve">ktvā</w:t>
      </w:r>
      <w:r>
        <w:t xml:space="preserve">”</w:t>
      </w:r>
      <w:r>
        <w:t xml:space="preserve"> </w:t>
      </w:r>
      <w:r>
        <w:t xml:space="preserve">(</w:t>
      </w:r>
      <w:r>
        <w:rPr>
          <w:bCs/>
          <w:b/>
        </w:rPr>
        <w:t xml:space="preserve">पिबतेः क्त्वा</w:t>
      </w:r>
      <w:r>
        <w:t xml:space="preserve">);</w:t>
      </w:r>
      <w:r>
        <w:t xml:space="preserve"> </w:t>
      </w:r>
      <w:r>
        <w:rPr>
          <w:bCs/>
          <w:b/>
        </w:rPr>
        <w:t xml:space="preserve">घुमास्थागापाजहातिसां हलि</w:t>
      </w:r>
      <w:r>
        <w:t xml:space="preserve"> </w:t>
      </w:r>
      <w:r>
        <w:t xml:space="preserve">(पा. ६-४-६६) gives</w:t>
      </w:r>
      <w:r>
        <w:t xml:space="preserve"> </w:t>
      </w:r>
      <w:r>
        <w:t xml:space="preserve">“</w:t>
      </w:r>
      <w:r>
        <w:t xml:space="preserve">ī</w:t>
      </w:r>
      <w:r>
        <w:t xml:space="preserve">”</w:t>
      </w:r>
      <w:r>
        <w:t xml:space="preserve">; end-acute by the affix’s accent.</w:t>
      </w:r>
      <w:r>
        <w:t xml:space="preserve"> </w:t>
      </w:r>
      <w:r>
        <w:t xml:space="preserve">“</w:t>
      </w:r>
      <w:r>
        <w:t xml:space="preserve">Ghanaḥ</w:t>
      </w:r>
      <w:r>
        <w:t xml:space="preserve">”</w:t>
      </w:r>
      <w:r>
        <w:t xml:space="preserve"> </w:t>
      </w:r>
      <w:r>
        <w:t xml:space="preserve">—</w:t>
      </w:r>
      <w:r>
        <w:t xml:space="preserve"> </w:t>
      </w:r>
      <w:r>
        <w:rPr>
          <w:bCs/>
          <w:b/>
        </w:rPr>
        <w:t xml:space="preserve">मूर्तौ घनः</w:t>
      </w:r>
      <w:r>
        <w:t xml:space="preserve"> </w:t>
      </w:r>
      <w:r>
        <w:t xml:space="preserve">(पा. ३-३-७७) —</w:t>
      </w:r>
      <w:r>
        <w:t xml:space="preserve"> </w:t>
      </w:r>
      <w:r>
        <w:t xml:space="preserve">“</w:t>
      </w:r>
      <w:r>
        <w:t xml:space="preserve">ghan</w:t>
      </w:r>
      <w:r>
        <w:t xml:space="preserve">”</w:t>
      </w:r>
      <w:r>
        <w:t xml:space="preserve"> </w:t>
      </w:r>
      <w:r>
        <w:t xml:space="preserve">is formed from</w:t>
      </w:r>
      <w:r>
        <w:t xml:space="preserve"> </w:t>
      </w:r>
      <w:r>
        <w:t xml:space="preserve">“</w:t>
      </w:r>
      <w:r>
        <w:t xml:space="preserve">han</w:t>
      </w:r>
      <w:r>
        <w:t xml:space="preserve">”</w:t>
      </w:r>
      <w:r>
        <w:t xml:space="preserve"> </w:t>
      </w:r>
      <w:r>
        <w:t xml:space="preserve">(to strike) with</w:t>
      </w:r>
      <w:r>
        <w:t xml:space="preserve"> </w:t>
      </w:r>
      <w:r>
        <w:rPr>
          <w:bCs/>
          <w:b/>
        </w:rPr>
        <w:t xml:space="preserve">हन्तेर्घादेशः</w:t>
      </w:r>
      <w:r>
        <w:t xml:space="preserve">:</w:t>
      </w:r>
      <w:r>
        <w:t xml:space="preserve"> </w:t>
      </w:r>
      <w:r>
        <w:t xml:space="preserve">“</w:t>
      </w:r>
      <w:r>
        <w:t xml:space="preserve">ghana</w:t>
      </w:r>
      <w:r>
        <w:t xml:space="preserve">”</w:t>
      </w:r>
      <w:r>
        <w:t xml:space="preserve"> </w:t>
      </w:r>
      <w:r>
        <w:t xml:space="preserve">in the sense of</w:t>
      </w:r>
      <w:r>
        <w:t xml:space="preserve"> </w:t>
      </w:r>
      <w:r>
        <w:t xml:space="preserve">‘</w:t>
      </w:r>
      <w:r>
        <w:t xml:space="preserve">a solid mass</w:t>
      </w:r>
      <w:r>
        <w:t xml:space="preserve">’</w:t>
      </w:r>
      <w:r>
        <w:t xml:space="preserve">; the</w:t>
      </w:r>
      <w:r>
        <w:t xml:space="preserve"> </w:t>
      </w:r>
      <w:r>
        <w:t xml:space="preserve">“</w:t>
      </w:r>
      <w:r>
        <w:t xml:space="preserve">kārinī</w:t>
      </w:r>
      <w:r>
        <w:t xml:space="preserve">”</w:t>
      </w:r>
      <w:r>
        <w:t xml:space="preserve"> </w:t>
      </w:r>
      <w:r>
        <w:t xml:space="preserve">(the doer-sense) with</w:t>
      </w:r>
      <w:r>
        <w:t xml:space="preserve"> </w:t>
      </w:r>
      <w:r>
        <w:t xml:space="preserve">“</w:t>
      </w:r>
      <w:r>
        <w:t xml:space="preserve">ac,</w:t>
      </w:r>
      <w:r>
        <w:t xml:space="preserve">”</w:t>
      </w:r>
      <w:r>
        <w:t xml:space="preserve"> </w:t>
      </w:r>
      <w:r>
        <w:t xml:space="preserve">as in</w:t>
      </w:r>
      <w:r>
        <w:t xml:space="preserve"> </w:t>
      </w:r>
      <w:r>
        <w:t xml:space="preserve">“</w:t>
      </w:r>
      <w:r>
        <w:t xml:space="preserve">tadasyāstīti</w:t>
      </w:r>
      <w:r>
        <w:t xml:space="preserve">”</w:t>
      </w:r>
      <w:r>
        <w:t xml:space="preserve"> </w:t>
      </w:r>
      <w:r>
        <w:t xml:space="preserve">(the possessive</w:t>
      </w:r>
      <w:r>
        <w:t xml:space="preserve"> </w:t>
      </w:r>
      <w:r>
        <w:t xml:space="preserve">“</w:t>
      </w:r>
      <w:r>
        <w:t xml:space="preserve">ac</w:t>
      </w:r>
      <w:r>
        <w:t xml:space="preserve">”</w:t>
      </w:r>
      <w:r>
        <w:t xml:space="preserve"> </w:t>
      </w:r>
      <w:r>
        <w:t xml:space="preserve">after</w:t>
      </w:r>
      <w:r>
        <w:t xml:space="preserve"> </w:t>
      </w:r>
      <w:r>
        <w:t xml:space="preserve">“</w:t>
      </w:r>
      <w:r>
        <w:t xml:space="preserve">ghana</w:t>
      </w:r>
      <w:r>
        <w:t xml:space="preserve">”</w:t>
      </w:r>
      <w:r>
        <w:t xml:space="preserve"> </w:t>
      </w:r>
      <w:r>
        <w:t xml:space="preserve">as</w:t>
      </w:r>
      <w:r>
        <w:t xml:space="preserve"> </w:t>
      </w:r>
      <w:r>
        <w:t xml:space="preserve">“</w:t>
      </w:r>
      <w:r>
        <w:t xml:space="preserve">arśa-ādi</w:t>
      </w:r>
      <w:r>
        <w:t xml:space="preserve">”</w:t>
      </w:r>
      <w:r>
        <w:t xml:space="preserve">);</w:t>
      </w:r>
      <w:r>
        <w:t xml:space="preserve"> </w:t>
      </w:r>
      <w:r>
        <w:t xml:space="preserve">“</w:t>
      </w:r>
      <w:r>
        <w:t xml:space="preserve">citvāt</w:t>
      </w:r>
      <w:r>
        <w:t xml:space="preserve">”</w:t>
      </w:r>
      <w:r>
        <w:t xml:space="preserve"> </w:t>
      </w:r>
      <w:r>
        <w:t xml:space="preserve">— end-acute.</w:t>
      </w:r>
      <w:r>
        <w:t xml:space="preserve"> </w:t>
      </w:r>
      <w:r>
        <w:t xml:space="preserve">“</w:t>
      </w:r>
      <w:r>
        <w:t xml:space="preserve">Vājeṣu</w:t>
      </w:r>
      <w:r>
        <w:t xml:space="preserve">”</w:t>
      </w:r>
      <w:r>
        <w:t xml:space="preserve"> </w:t>
      </w:r>
      <w:r>
        <w:t xml:space="preserve">—</w:t>
      </w:r>
      <w:r>
        <w:t xml:space="preserve"> </w:t>
      </w:r>
      <w:r>
        <w:t xml:space="preserve">“</w:t>
      </w:r>
      <w:r>
        <w:t xml:space="preserve">vāja</w:t>
      </w:r>
      <w:r>
        <w:t xml:space="preserve">”</w:t>
      </w:r>
      <w:r>
        <w:t xml:space="preserve"> </w:t>
      </w:r>
      <w:r>
        <w:t xml:space="preserve">is first-syllable acute as belonging to the</w:t>
      </w:r>
      <w:r>
        <w:t xml:space="preserve"> </w:t>
      </w:r>
      <w:r>
        <w:t xml:space="preserve">“</w:t>
      </w:r>
      <w:r>
        <w:t xml:space="preserve">vṛṣādi</w:t>
      </w:r>
      <w:r>
        <w:t xml:space="preserve">”</w:t>
      </w:r>
      <w:r>
        <w:t xml:space="preserve"> </w:t>
      </w:r>
      <w:r>
        <w:t xml:space="preserve">class.</w:t>
      </w:r>
      <w:r>
        <w:t xml:space="preserve"> </w:t>
      </w:r>
      <w:r>
        <w:t xml:space="preserve">“</w:t>
      </w:r>
      <w:r>
        <w:t xml:space="preserve">Vājinam</w:t>
      </w:r>
      <w:r>
        <w:t xml:space="preserve">”</w:t>
      </w:r>
      <w:r>
        <w:t xml:space="preserve"> </w:t>
      </w:r>
      <w:r>
        <w:t xml:space="preserve">— the accent of the affix</w:t>
      </w:r>
      <w:r>
        <w:t xml:space="preserve"> </w:t>
      </w:r>
      <w:r>
        <w:t xml:space="preserve">“</w:t>
      </w:r>
      <w:r>
        <w:t xml:space="preserve">ini.</w:t>
      </w:r>
      <w:r>
        <w:t xml:space="preserve">”</w:t>
      </w:r>
      <w:r>
        <w:t xml:space="preserve"> </w:t>
      </w:r>
      <w:r>
        <w:t xml:space="preserve">॥८॥</w:t>
      </w:r>
    </w:p>
    <w:p>
      <w:pPr>
        <w:pStyle w:val="BodyText"/>
      </w:pPr>
      <w:r>
        <w:rPr>
          <w:bCs/>
          <w:b/>
        </w:rPr>
        <w:t xml:space="preserve">॥ Prati-padārthaḥ ॥</w:t>
      </w:r>
      <w:r>
        <w:t xml:space="preserve"> </w:t>
      </w:r>
      <w:r>
        <w:rPr>
          <w:iCs/>
          <w:i/>
        </w:rPr>
        <w:t xml:space="preserve">(Kannada, translated)</w:t>
      </w:r>
    </w:p>
    <w:p>
      <w:pPr>
        <w:numPr>
          <w:ilvl w:val="0"/>
          <w:numId w:val="1020"/>
        </w:numPr>
        <w:pStyle w:val="Compact"/>
      </w:pPr>
      <w:r>
        <w:rPr>
          <w:bCs/>
          <w:b/>
        </w:rPr>
        <w:t xml:space="preserve">शतक्रतो (śatakrato)</w:t>
      </w:r>
      <w:r>
        <w:t xml:space="preserve"> </w:t>
      </w:r>
      <w:r>
        <w:t xml:space="preserve">— O Indra, who do many deeds of daring | (you)</w:t>
      </w:r>
      <w:r>
        <w:t xml:space="preserve"> </w:t>
      </w:r>
      <w:r>
        <w:rPr>
          <w:bCs/>
          <w:b/>
        </w:rPr>
        <w:t xml:space="preserve">अस्य (asya)</w:t>
      </w:r>
      <w:r>
        <w:t xml:space="preserve"> </w:t>
      </w:r>
      <w:r>
        <w:t xml:space="preserve">— a small portion of this Soma-juice |</w:t>
      </w:r>
      <w:r>
        <w:t xml:space="preserve"> </w:t>
      </w:r>
      <w:r>
        <w:rPr>
          <w:bCs/>
          <w:b/>
        </w:rPr>
        <w:t xml:space="preserve">पीत्वा (pītvā)</w:t>
      </w:r>
      <w:r>
        <w:t xml:space="preserve"> </w:t>
      </w:r>
      <w:r>
        <w:t xml:space="preserve">— having drunk |</w:t>
      </w:r>
      <w:r>
        <w:t xml:space="preserve"> </w:t>
      </w:r>
      <w:r>
        <w:rPr>
          <w:bCs/>
          <w:b/>
        </w:rPr>
        <w:t xml:space="preserve">वृत्राणाम् (vṛtrāṇām)</w:t>
      </w:r>
      <w:r>
        <w:t xml:space="preserve"> </w:t>
      </w:r>
      <w:r>
        <w:t xml:space="preserve">— of the (enemies) called Vṛtras |</w:t>
      </w:r>
      <w:r>
        <w:t xml:space="preserve"> </w:t>
      </w:r>
      <w:r>
        <w:rPr>
          <w:bCs/>
          <w:b/>
        </w:rPr>
        <w:t xml:space="preserve">घनः (ghanaḥ)</w:t>
      </w:r>
      <w:r>
        <w:t xml:space="preserve"> </w:t>
      </w:r>
      <w:r>
        <w:t xml:space="preserve">— the destroyer |</w:t>
      </w:r>
      <w:r>
        <w:t xml:space="preserve"> </w:t>
      </w:r>
      <w:r>
        <w:rPr>
          <w:bCs/>
          <w:b/>
        </w:rPr>
        <w:t xml:space="preserve">अभवः (abhavaḥ)</w:t>
      </w:r>
      <w:r>
        <w:t xml:space="preserve"> </w:t>
      </w:r>
      <w:r>
        <w:t xml:space="preserve">— become |</w:t>
      </w:r>
      <w:r>
        <w:t xml:space="preserve"> </w:t>
      </w:r>
      <w:r>
        <w:rPr>
          <w:bCs/>
          <w:b/>
        </w:rPr>
        <w:t xml:space="preserve">(और) वाजेषु (vājeṣu)</w:t>
      </w:r>
      <w:r>
        <w:t xml:space="preserve"> </w:t>
      </w:r>
      <w:r>
        <w:t xml:space="preserve">— in the many battles (that we fight with our enemies) |</w:t>
      </w:r>
      <w:r>
        <w:t xml:space="preserve"> </w:t>
      </w:r>
      <w:r>
        <w:rPr>
          <w:bCs/>
          <w:b/>
        </w:rPr>
        <w:t xml:space="preserve">वाजिनम् (vājinam)</w:t>
      </w:r>
      <w:r>
        <w:t xml:space="preserve"> </w:t>
      </w:r>
      <w:r>
        <w:t xml:space="preserve">— the one who fights (our hero, your devotee) |</w:t>
      </w:r>
      <w:r>
        <w:t xml:space="preserve"> </w:t>
      </w:r>
      <w:r>
        <w:rPr>
          <w:bCs/>
          <w:b/>
        </w:rPr>
        <w:t xml:space="preserve">प्रावः (prāvaḥ)</w:t>
      </w:r>
      <w:r>
        <w:t xml:space="preserve"> </w:t>
      </w:r>
      <w:r>
        <w:t xml:space="preserve">— protect in a special way.</w:t>
      </w:r>
    </w:p>
    <w:p>
      <w:pPr>
        <w:pStyle w:val="FirstParagraph"/>
      </w:pPr>
      <w:r>
        <w:rPr>
          <w:bCs/>
          <w:b/>
        </w:rPr>
        <w:t xml:space="preserve">॥ Bhāvārthaḥ ॥</w:t>
      </w:r>
      <w:r>
        <w:t xml:space="preserve"> </w:t>
      </w:r>
      <w:r>
        <w:rPr>
          <w:iCs/>
          <w:i/>
        </w:rPr>
        <w:t xml:space="preserve">(Kannada, translated)</w:t>
      </w:r>
    </w:p>
    <w:p>
      <w:pPr>
        <w:pStyle w:val="BodyText"/>
      </w:pPr>
      <w:r>
        <w:t xml:space="preserve">O Indra, who do many daring deeds! Drink this Soma-juice that we have prepared and set here for you, and destroy our enemies called Vṛtras; and in the battles that we fight with our enemies, protect our warrior from the harm of enemies.</w:t>
      </w:r>
    </w:p>
    <w:p>
      <w:pPr>
        <w:pStyle w:val="BodyText"/>
      </w:pPr>
      <w:r>
        <w:rPr>
          <w:bCs/>
          <w:b/>
        </w:rPr>
        <w:t xml:space="preserve">English Translation</w:t>
      </w:r>
      <w:r>
        <w:t xml:space="preserve"> </w:t>
      </w:r>
      <w:r>
        <w:rPr>
          <w:iCs/>
          <w:i/>
        </w:rPr>
        <w:t xml:space="preserve">(printed in English in the source itself):</w:t>
      </w:r>
    </w:p>
    <w:p>
      <w:pPr>
        <w:pStyle w:val="BodyText"/>
      </w:pPr>
      <w:r>
        <w:t xml:space="preserve">“</w:t>
      </w:r>
      <w:r>
        <w:t xml:space="preserve">O (Indra) performer of many deeds, having drunk of this (Soma), you have become destroyer of our enemies headed by Vritra and protected our warrior in battles.</w:t>
      </w:r>
      <w:r>
        <w:t xml:space="preserve">”</w:t>
      </w:r>
    </w:p>
    <w:p>
      <w:pPr>
        <w:pStyle w:val="BodyText"/>
      </w:pPr>
      <w:r>
        <w:rPr>
          <w:bCs/>
          <w:b/>
        </w:rPr>
        <w:t xml:space="preserve">॥ Viśeṣa-viṣayagaḷu (Special Topics) ॥</w:t>
      </w:r>
    </w:p>
    <w:p>
      <w:pPr>
        <w:pStyle w:val="BodyText"/>
      </w:pPr>
      <w:r>
        <w:rPr>
          <w:bCs/>
          <w:b/>
        </w:rPr>
        <w:t xml:space="preserve">अस्य (asya)</w:t>
      </w:r>
      <w:r>
        <w:t xml:space="preserve"> </w:t>
      </w:r>
      <w:r>
        <w:t xml:space="preserve">— The Soma-juice that you have set here for you; the Bhāṣyakāra has supplied the word</w:t>
      </w:r>
      <w:r>
        <w:t xml:space="preserve"> </w:t>
      </w:r>
      <w:r>
        <w:t xml:space="preserve">“</w:t>
      </w:r>
      <w:r>
        <w:t xml:space="preserve">aṃśam</w:t>
      </w:r>
      <w:r>
        <w:t xml:space="preserve">”</w:t>
      </w:r>
      <w:r>
        <w:t xml:space="preserve"> </w:t>
      </w:r>
      <w:r>
        <w:t xml:space="preserve">and explained it as</w:t>
      </w:r>
      <w:r>
        <w:t xml:space="preserve"> </w:t>
      </w:r>
      <w:r>
        <w:t xml:space="preserve">“</w:t>
      </w:r>
      <w:r>
        <w:t xml:space="preserve">a share of this Soma-juice.</w:t>
      </w:r>
      <w:r>
        <w:t xml:space="preserve">”</w:t>
      </w:r>
      <w:r>
        <w:t xml:space="preserve"> </w:t>
      </w:r>
      <w:r>
        <w:rPr>
          <w:bCs/>
          <w:b/>
        </w:rPr>
        <w:t xml:space="preserve">Skandasvāmī</w:t>
      </w:r>
      <w:r>
        <w:t xml:space="preserve"> </w:t>
      </w:r>
      <w:r>
        <w:t xml:space="preserve">and</w:t>
      </w:r>
      <w:r>
        <w:t xml:space="preserve"> </w:t>
      </w:r>
      <w:r>
        <w:rPr>
          <w:bCs/>
          <w:b/>
        </w:rPr>
        <w:t xml:space="preserve">Veṅkaṭamādhava</w:t>
      </w:r>
      <w:r>
        <w:t xml:space="preserve"> </w:t>
      </w:r>
      <w:r>
        <w:t xml:space="preserve">hold that the word</w:t>
      </w:r>
      <w:r>
        <w:t xml:space="preserve"> </w:t>
      </w:r>
      <w:r>
        <w:t xml:space="preserve">“</w:t>
      </w:r>
      <w:r>
        <w:t xml:space="preserve">asya,</w:t>
      </w:r>
      <w:r>
        <w:t xml:space="preserve">”</w:t>
      </w:r>
      <w:r>
        <w:t xml:space="preserve"> </w:t>
      </w:r>
      <w:r>
        <w:t xml:space="preserve">which is in the genitive case, is used in the sense of the second case (accusative), by the rule</w:t>
      </w:r>
      <w:r>
        <w:t xml:space="preserve"> </w:t>
      </w:r>
      <w:r>
        <w:t xml:space="preserve">“</w:t>
      </w:r>
      <w:r>
        <w:t xml:space="preserve">u-sa-yo-gi…</w:t>
      </w:r>
      <w:r>
        <w:t xml:space="preserve">”</w:t>
      </w:r>
      <w:r>
        <w:t xml:space="preserve"> </w:t>
      </w:r>
      <w:r>
        <w:rPr>
          <w:iCs/>
          <w:i/>
        </w:rPr>
        <w:t xml:space="preserve">(the print is cut off at this point, and continues on the next page)</w:t>
      </w:r>
      <w:r>
        <w:t xml:space="preserve">.</w:t>
      </w:r>
    </w:p>
    <w:bookmarkEnd w:id="154"/>
    <w:bookmarkStart w:id="155" w:name="X7bf5741fef743ccf7a16e3402104d006d38db4e"/>
    <w:p>
      <w:pPr>
        <w:pStyle w:val="Heading3"/>
      </w:pPr>
      <w:r>
        <w:t xml:space="preserve">Page 123 — Special topics on Rik 4.8 (continued):</w:t>
      </w:r>
      <w:r>
        <w:t xml:space="preserve"> </w:t>
      </w:r>
      <w:r>
        <w:t xml:space="preserve">“</w:t>
      </w:r>
      <w:r>
        <w:t xml:space="preserve">asya,</w:t>
      </w:r>
      <w:r>
        <w:t xml:space="preserve">”</w:t>
      </w:r>
      <w:r>
        <w:t xml:space="preserve"> </w:t>
      </w:r>
      <w:r>
        <w:t xml:space="preserve">“</w:t>
      </w:r>
      <w:r>
        <w:t xml:space="preserve">śatakrato,</w:t>
      </w:r>
      <w:r>
        <w:t xml:space="preserve">”</w:t>
      </w:r>
      <w:r>
        <w:t xml:space="preserve"> </w:t>
      </w:r>
      <w:r>
        <w:t xml:space="preserve">“</w:t>
      </w:r>
      <w:r>
        <w:t xml:space="preserve">vṛtrāṇām</w:t>
      </w:r>
      <w:r>
        <w:t xml:space="preserve">”</w:t>
      </w:r>
      <w:r>
        <w:t xml:space="preserve"> </w:t>
      </w:r>
      <w:r>
        <w:t xml:space="preserve">(opening)</w:t>
      </w:r>
    </w:p>
    <w:p>
      <w:pPr>
        <w:pStyle w:val="FirstParagraph"/>
      </w:pPr>
      <w:r>
        <w:rPr>
          <w:iCs/>
          <w:i/>
        </w:rPr>
        <w:t xml:space="preserve">(Page header:</w:t>
      </w:r>
      <w:r>
        <w:rPr>
          <w:iCs/>
          <w:i/>
        </w:rPr>
        <w:t xml:space="preserve"> </w:t>
      </w:r>
      <w:r>
        <w:rPr>
          <w:iCs/>
          <w:i/>
        </w:rPr>
        <w:t xml:space="preserve">“</w:t>
      </w:r>
      <w:r>
        <w:rPr>
          <w:iCs/>
          <w:i/>
        </w:rPr>
        <w:t xml:space="preserve">Aṣṭaka 1, Adhyāya 1, Varga 8 · Ṛgveda-saṃhitā.</w:t>
      </w:r>
      <w:r>
        <w:rPr>
          <w:iCs/>
          <w:i/>
        </w:rPr>
        <w:t xml:space="preserve">”</w:t>
      </w:r>
      <w:r>
        <w:rPr>
          <w:iCs/>
          <w:i/>
        </w:rPr>
        <w:t xml:space="preserve"> </w:t>
      </w:r>
      <w:r>
        <w:rPr>
          <w:iCs/>
          <w:i/>
        </w:rPr>
        <w:t xml:space="preserve">Nirukta reference-number in small Kannada numerals marked [?]. English words as printed.)</w:t>
      </w:r>
    </w:p>
    <w:p>
      <w:pPr>
        <w:pStyle w:val="BodyText"/>
      </w:pPr>
      <w:r>
        <w:rPr>
          <w:iCs/>
          <w:i/>
        </w:rPr>
        <w:t xml:space="preserve">(Continuing</w:t>
      </w:r>
      <w:r>
        <w:rPr>
          <w:iCs/>
          <w:i/>
        </w:rPr>
        <w:t xml:space="preserve"> </w:t>
      </w:r>
      <w:r>
        <w:rPr>
          <w:iCs/>
          <w:i/>
        </w:rPr>
        <w:t xml:space="preserve">“</w:t>
      </w:r>
      <w:r>
        <w:rPr>
          <w:iCs/>
          <w:i/>
        </w:rPr>
        <w:t xml:space="preserve">asya</w:t>
      </w:r>
      <w:r>
        <w:rPr>
          <w:iCs/>
          <w:i/>
        </w:rPr>
        <w:t xml:space="preserve">”</w:t>
      </w:r>
      <w:r>
        <w:rPr>
          <w:iCs/>
          <w:i/>
        </w:rPr>
        <w:t xml:space="preserve"> </w:t>
      </w:r>
      <w:r>
        <w:rPr>
          <w:iCs/>
          <w:i/>
        </w:rPr>
        <w:t xml:space="preserve">from p. 122:)</w:t>
      </w:r>
      <w:r>
        <w:t xml:space="preserve"> </w:t>
      </w:r>
      <w:r>
        <w:t xml:space="preserve">…in the sense of the</w:t>
      </w:r>
      <w:r>
        <w:t xml:space="preserve"> </w:t>
      </w:r>
      <w:r>
        <w:t xml:space="preserve">“</w:t>
      </w:r>
      <w:r>
        <w:t xml:space="preserve">u-sa-yo-gi…</w:t>
      </w:r>
      <w:r>
        <w:t xml:space="preserve">”</w:t>
      </w:r>
      <w:r>
        <w:t xml:space="preserve"> </w:t>
      </w:r>
      <w:r>
        <w:t xml:space="preserve">rule, and have explained it with the words</w:t>
      </w:r>
      <w:r>
        <w:t xml:space="preserve"> </w:t>
      </w:r>
      <w:r>
        <w:t xml:space="preserve">“</w:t>
      </w:r>
      <w:r>
        <w:t xml:space="preserve">āmum somam</w:t>
      </w:r>
      <w:r>
        <w:t xml:space="preserve">”</w:t>
      </w:r>
      <w:r>
        <w:t xml:space="preserve"> </w:t>
      </w:r>
      <w:r>
        <w:t xml:space="preserve">—</w:t>
      </w:r>
      <w:r>
        <w:t xml:space="preserve"> </w:t>
      </w:r>
      <w:r>
        <w:t xml:space="preserve">“</w:t>
      </w:r>
      <w:r>
        <w:t xml:space="preserve">this Soma-juice.</w:t>
      </w:r>
      <w:r>
        <w:t xml:space="preserve">”</w:t>
      </w:r>
      <w:r>
        <w:t xml:space="preserve"> </w:t>
      </w:r>
      <w:r>
        <w:t xml:space="preserve">In the Ṛgveda, in the context of giving the sense of one case-ending, the use of another case-ending is found especially often.</w:t>
      </w:r>
    </w:p>
    <w:p>
      <w:pPr>
        <w:pStyle w:val="BodyText"/>
      </w:pPr>
      <w:r>
        <w:rPr>
          <w:bCs/>
          <w:b/>
        </w:rPr>
        <w:t xml:space="preserve">शतक्रतो (śatakrato)</w:t>
      </w:r>
      <w:r>
        <w:t xml:space="preserve"> </w:t>
      </w:r>
      <w:r>
        <w:t xml:space="preserve">— The Bhāṣyakāra explains this word as</w:t>
      </w:r>
      <w:r>
        <w:t xml:space="preserve"> </w:t>
      </w:r>
      <w:r>
        <w:t xml:space="preserve">“</w:t>
      </w:r>
      <w:r>
        <w:t xml:space="preserve">bahukarmayukta</w:t>
      </w:r>
      <w:r>
        <w:t xml:space="preserve">”</w:t>
      </w:r>
      <w:r>
        <w:t xml:space="preserve"> </w:t>
      </w:r>
      <w:r>
        <w:t xml:space="preserve">— one who does many daring deeds.</w:t>
      </w:r>
      <w:r>
        <w:t xml:space="preserve"> </w:t>
      </w:r>
      <w:r>
        <w:rPr>
          <w:bCs/>
          <w:b/>
        </w:rPr>
        <w:t xml:space="preserve">Veṅkaṭamādhava</w:t>
      </w:r>
      <w:r>
        <w:t xml:space="preserve"> </w:t>
      </w:r>
      <w:r>
        <w:t xml:space="preserve">has explained the word</w:t>
      </w:r>
      <w:r>
        <w:t xml:space="preserve"> </w:t>
      </w:r>
      <w:r>
        <w:t xml:space="preserve">“</w:t>
      </w:r>
      <w:r>
        <w:t xml:space="preserve">kratu</w:t>
      </w:r>
      <w:r>
        <w:t xml:space="preserve">”</w:t>
      </w:r>
      <w:r>
        <w:t xml:space="preserve"> </w:t>
      </w:r>
      <w:r>
        <w:t xml:space="preserve">as</w:t>
      </w:r>
      <w:r>
        <w:t xml:space="preserve"> </w:t>
      </w:r>
      <w:r>
        <w:t xml:space="preserve">“</w:t>
      </w:r>
      <w:r>
        <w:t xml:space="preserve">prajñā</w:t>
      </w:r>
      <w:r>
        <w:t xml:space="preserve">”</w:t>
      </w:r>
      <w:r>
        <w:t xml:space="preserve"> </w:t>
      </w:r>
      <w:r>
        <w:t xml:space="preserve">(wisdom).</w:t>
      </w:r>
      <w:r>
        <w:t xml:space="preserve"> </w:t>
      </w:r>
      <w:r>
        <w:rPr>
          <w:bCs/>
          <w:b/>
        </w:rPr>
        <w:t xml:space="preserve">Skandasvāmī</w:t>
      </w:r>
      <w:r>
        <w:t xml:space="preserve"> </w:t>
      </w:r>
      <w:r>
        <w:t xml:space="preserve">has given both of these senses. Here the word</w:t>
      </w:r>
      <w:r>
        <w:t xml:space="preserve"> </w:t>
      </w:r>
      <w:r>
        <w:t xml:space="preserve">“</w:t>
      </w:r>
      <w:r>
        <w:t xml:space="preserve">śata</w:t>
      </w:r>
      <w:r>
        <w:t xml:space="preserve">”</w:t>
      </w:r>
      <w:r>
        <w:t xml:space="preserve"> </w:t>
      </w:r>
      <w:r>
        <w:t xml:space="preserve">is used in the sense</w:t>
      </w:r>
      <w:r>
        <w:t xml:space="preserve"> </w:t>
      </w:r>
      <w:r>
        <w:t xml:space="preserve">“</w:t>
      </w:r>
      <w:r>
        <w:t xml:space="preserve">many.</w:t>
      </w:r>
      <w:r>
        <w:t xml:space="preserve">”</w:t>
      </w:r>
      <w:r>
        <w:t xml:space="preserve"> </w:t>
      </w:r>
      <w:r>
        <w:t xml:space="preserve">In English also it is the custom to use the words</w:t>
      </w:r>
      <w:r>
        <w:t xml:space="preserve"> </w:t>
      </w:r>
      <w:r>
        <w:t xml:space="preserve">“</w:t>
      </w:r>
      <w:r>
        <w:t xml:space="preserve">hundred</w:t>
      </w:r>
      <w:r>
        <w:t xml:space="preserve">”</w:t>
      </w:r>
      <w:r>
        <w:t xml:space="preserve"> </w:t>
      </w:r>
      <w:r>
        <w:t xml:space="preserve">and</w:t>
      </w:r>
      <w:r>
        <w:t xml:space="preserve"> </w:t>
      </w:r>
      <w:r>
        <w:t xml:space="preserve">“</w:t>
      </w:r>
      <w:r>
        <w:t xml:space="preserve">thousand</w:t>
      </w:r>
      <w:r>
        <w:t xml:space="preserve">”</w:t>
      </w:r>
      <w:r>
        <w:t xml:space="preserve"> </w:t>
      </w:r>
      <w:r>
        <w:rPr>
          <w:iCs/>
          <w:i/>
        </w:rPr>
        <w:t xml:space="preserve">(English as printed)</w:t>
      </w:r>
      <w:r>
        <w:t xml:space="preserve"> </w:t>
      </w:r>
      <w:r>
        <w:t xml:space="preserve">in the sense of</w:t>
      </w:r>
      <w:r>
        <w:t xml:space="preserve"> </w:t>
      </w:r>
      <w:r>
        <w:t xml:space="preserve">“</w:t>
      </w:r>
      <w:r>
        <w:t xml:space="preserve">many.</w:t>
      </w:r>
      <w:r>
        <w:t xml:space="preserve">”</w:t>
      </w:r>
      <w:r>
        <w:t xml:space="preserve"> </w:t>
      </w:r>
      <w:r>
        <w:t xml:space="preserve">In the Purāṇas and other works the word</w:t>
      </w:r>
      <w:r>
        <w:t xml:space="preserve"> </w:t>
      </w:r>
      <w:r>
        <w:t xml:space="preserve">“</w:t>
      </w:r>
      <w:r>
        <w:t xml:space="preserve">śatakratu</w:t>
      </w:r>
      <w:r>
        <w:t xml:space="preserve">”</w:t>
      </w:r>
      <w:r>
        <w:t xml:space="preserve"> </w:t>
      </w:r>
      <w:r>
        <w:t xml:space="preserve">has the sense</w:t>
      </w:r>
      <w:r>
        <w:t xml:space="preserve"> </w:t>
      </w:r>
      <w:r>
        <w:t xml:space="preserve">“</w:t>
      </w:r>
      <w:r>
        <w:t xml:space="preserve">one who has performed a hundred Aśvamedha sacrifices</w:t>
      </w:r>
      <w:r>
        <w:t xml:space="preserve">”</w:t>
      </w:r>
      <w:r>
        <w:t xml:space="preserve">; and, since it is well known that Indra, before obtaining the rank of Indra, performed a hundred Aśvamedha sacrifices and attained that rank, and that those who perform a hundred sacrifices obtain the rank of Indra, it is said in the Purāṇas and elsewhere that in many contexts Indra causes many obstacles, so that others may not perform a hundred sacrifices. But Indra’s place in the Vedas is different, and his place as stated in the Purāṇas and later works is different. That is: in the Vedas Indra is praised as the foremost and most excellent among the gods, and there are many sūktas that praise his daring deeds. Why so? In the Ṛgveda the praises of Indra are as many as those of any other deity; in the Purāṇas and later works, the place of Indra is described as a lower place, subject to Brahmā, Viṣṇu, Śiva and the other deities. In the Ṛgveda and in the other Vedas the word</w:t>
      </w:r>
      <w:r>
        <w:t xml:space="preserve"> </w:t>
      </w:r>
      <w:r>
        <w:t xml:space="preserve">“</w:t>
      </w:r>
      <w:r>
        <w:t xml:space="preserve">śatakratu,</w:t>
      </w:r>
      <w:r>
        <w:t xml:space="preserve">”</w:t>
      </w:r>
      <w:r>
        <w:t xml:space="preserve"> </w:t>
      </w:r>
      <w:r>
        <w:t xml:space="preserve">when used of Indra, is found especially often.</w:t>
      </w:r>
    </w:p>
    <w:p>
      <w:pPr>
        <w:pStyle w:val="BodyText"/>
      </w:pPr>
      <w:r>
        <w:rPr>
          <w:bCs/>
          <w:b/>
        </w:rPr>
        <w:t xml:space="preserve">वृत्राणाम् (vṛtrāṇām)</w:t>
      </w:r>
      <w:r>
        <w:t xml:space="preserve"> </w:t>
      </w:r>
      <w:r>
        <w:t xml:space="preserve">—</w:t>
      </w:r>
      <w:r>
        <w:t xml:space="preserve"> </w:t>
      </w:r>
      <w:r>
        <w:t xml:space="preserve">“</w:t>
      </w:r>
      <w:r>
        <w:t xml:space="preserve">Vṛtra</w:t>
      </w:r>
      <w:r>
        <w:t xml:space="preserve">”</w:t>
      </w:r>
      <w:r>
        <w:t xml:space="preserve"> </w:t>
      </w:r>
      <w:r>
        <w:t xml:space="preserve">is a well-known demon; Indra destroyed him. This matter is described at length in the Ṛgveda and in the other Vedas too. It is said that this Vṛtra-asura used to hold back the rain, so that it would not fall, and that Indra therefore killed him and caused the rain to come.</w:t>
      </w:r>
      <w:r>
        <w:t xml:space="preserve"> </w:t>
      </w:r>
      <w:r>
        <w:rPr>
          <w:bCs/>
          <w:b/>
        </w:rPr>
        <w:t xml:space="preserve">Yāska</w:t>
      </w:r>
      <w:r>
        <w:t xml:space="preserve"> </w:t>
      </w:r>
      <w:r>
        <w:t xml:space="preserve">(the author of the Nirukta) and others hold that the word</w:t>
      </w:r>
      <w:r>
        <w:t xml:space="preserve"> </w:t>
      </w:r>
      <w:r>
        <w:t xml:space="preserve">“</w:t>
      </w:r>
      <w:r>
        <w:t xml:space="preserve">vṛtra</w:t>
      </w:r>
      <w:r>
        <w:t xml:space="preserve">”</w:t>
      </w:r>
      <w:r>
        <w:t xml:space="preserve"> </w:t>
      </w:r>
      <w:r>
        <w:t xml:space="preserve">is used for the cloud, in the sense of a figure (upamārtha). In the Nirukta it stands thus:</w:t>
      </w:r>
    </w:p>
    <w:p>
      <w:pPr>
        <w:pStyle w:val="BlockText"/>
      </w:pPr>
      <w:r>
        <w:t xml:space="preserve">तत्को वृत्रः । मेघ इति नैरुक्ताः । त्वाष्ट्रोऽसुर इत्यैतिहासिकाः । अपां च ज्योतिषश्च मिश्रभावकर्मणो वर्षकर्म जायते । तत्रोपमार्थेन युद्धवर्णा भवन्ति ॥ (नि. २-१६)</w:t>
      </w:r>
      <w:r>
        <w:t xml:space="preserve"> </w:t>
      </w:r>
      <w:r>
        <w:rPr>
          <w:iCs/>
          <w:i/>
        </w:rPr>
        <w:t xml:space="preserve">tatko vṛtraḥ | megha iti nairuktāḥ | tvāṣṭro ’sura ityaitihāsikāḥ | apāṃ ca jyotiṣaśca miśrabhāvakarmaṇo varṣakarma jāyate | tatropamārthena yuddhavarṇā bhavanti ‖ (ni. 2-16)</w:t>
      </w:r>
      <w:r>
        <w:t xml:space="preserve"> </w:t>
      </w:r>
      <w:r>
        <w:rPr>
          <w:iCs/>
          <w:i/>
        </w:rPr>
        <w:t xml:space="preserve">(Reading note: re-read from the better scan, Oct 2026 — the print opens</w:t>
      </w:r>
      <w:r>
        <w:rPr>
          <w:iCs/>
          <w:i/>
        </w:rPr>
        <w:t xml:space="preserve"> </w:t>
      </w:r>
      <w:r>
        <w:rPr>
          <w:iCs/>
          <w:i/>
        </w:rPr>
        <w:t xml:space="preserve">“</w:t>
      </w:r>
      <w:r>
        <w:rPr>
          <w:iCs/>
          <w:i/>
        </w:rPr>
        <w:t xml:space="preserve">ತತ್ಕೋ ವೃತ್ರಃ</w:t>
      </w:r>
      <w:r>
        <w:rPr>
          <w:iCs/>
          <w:i/>
        </w:rPr>
        <w:t xml:space="preserve">”</w:t>
      </w:r>
      <w:r>
        <w:rPr>
          <w:iCs/>
          <w:i/>
        </w:rPr>
        <w:t xml:space="preserve"> </w:t>
      </w:r>
      <w:r>
        <w:rPr>
          <w:iCs/>
          <w:i/>
        </w:rPr>
        <w:t xml:space="preserve">(tat ko vṛtraḥ) and reads</w:t>
      </w:r>
      <w:r>
        <w:rPr>
          <w:iCs/>
          <w:i/>
        </w:rPr>
        <w:t xml:space="preserve"> </w:t>
      </w:r>
      <w:r>
        <w:rPr>
          <w:iCs/>
          <w:i/>
        </w:rPr>
        <w:t xml:space="preserve">“</w:t>
      </w:r>
      <w:r>
        <w:rPr>
          <w:iCs/>
          <w:i/>
        </w:rPr>
        <w:t xml:space="preserve">ಅಪಾಂ ಚ</w:t>
      </w:r>
      <w:r>
        <w:rPr>
          <w:iCs/>
          <w:i/>
        </w:rPr>
        <w:t xml:space="preserve">”</w:t>
      </w:r>
      <w:r>
        <w:rPr>
          <w:iCs/>
          <w:i/>
        </w:rPr>
        <w:t xml:space="preserve">.)</w:t>
      </w:r>
    </w:p>
    <w:p>
      <w:pPr>
        <w:pStyle w:val="FirstParagraph"/>
      </w:pPr>
      <w:r>
        <w:rPr>
          <w:bCs/>
          <w:b/>
        </w:rPr>
        <w:t xml:space="preserve">Translation:</w:t>
      </w:r>
      <w:r>
        <w:t xml:space="preserve"> </w:t>
      </w:r>
      <w:r>
        <w:t xml:space="preserve">“</w:t>
      </w:r>
      <w:r>
        <w:t xml:space="preserve">‘</w:t>
      </w:r>
      <w:r>
        <w:t xml:space="preserve">Who is Vṛtra?</w:t>
      </w:r>
      <w:r>
        <w:t xml:space="preserve">’</w:t>
      </w:r>
      <w:r>
        <w:t xml:space="preserve"> </w:t>
      </w:r>
      <w:r>
        <w:t xml:space="preserve">—</w:t>
      </w:r>
      <w:r>
        <w:t xml:space="preserve"> </w:t>
      </w:r>
      <w:r>
        <w:t xml:space="preserve">‘</w:t>
      </w:r>
      <w:r>
        <w:t xml:space="preserve">The cloud,</w:t>
      </w:r>
      <w:r>
        <w:t xml:space="preserve">’</w:t>
      </w:r>
      <w:r>
        <w:t xml:space="preserve"> </w:t>
      </w:r>
      <w:r>
        <w:t xml:space="preserve">say the etymologists (nairuktāḥ);</w:t>
      </w:r>
      <w:r>
        <w:t xml:space="preserve"> </w:t>
      </w:r>
      <w:r>
        <w:t xml:space="preserve">‘</w:t>
      </w:r>
      <w:r>
        <w:t xml:space="preserve">the Asura, son of Tvaṣṭṛ,</w:t>
      </w:r>
      <w:r>
        <w:t xml:space="preserve">’</w:t>
      </w:r>
      <w:r>
        <w:t xml:space="preserve"> </w:t>
      </w:r>
      <w:r>
        <w:t xml:space="preserve">say the historians (aitihāsikāḥ). From the action of the mixing of the waters and of the light (lightning) comes the action of rain. There, by way of simile, the descriptions are of battle.</w:t>
      </w:r>
      <w:r>
        <w:t xml:space="preserve">”</w:t>
      </w:r>
      <w:r>
        <w:t xml:space="preserve"> </w:t>
      </w:r>
      <w:r>
        <w:t xml:space="preserve">(Nirukta 2-16)</w:t>
      </w:r>
    </w:p>
    <w:p>
      <w:pPr>
        <w:pStyle w:val="BodyText"/>
      </w:pPr>
      <w:r>
        <w:t xml:space="preserve">The sense of this: who is Vṛtra? For the word</w:t>
      </w:r>
      <w:r>
        <w:t xml:space="preserve"> </w:t>
      </w:r>
      <w:r>
        <w:t xml:space="preserve">“</w:t>
      </w:r>
      <w:r>
        <w:t xml:space="preserve">vṛtra,</w:t>
      </w:r>
      <w:r>
        <w:t xml:space="preserve">”</w:t>
      </w:r>
      <w:r>
        <w:t xml:space="preserve"> </w:t>
      </w:r>
      <w:r>
        <w:t xml:space="preserve">the author of the Nirukta says</w:t>
      </w:r>
      <w:r>
        <w:t xml:space="preserve"> </w:t>
      </w:r>
      <w:r>
        <w:t xml:space="preserve">“</w:t>
      </w:r>
      <w:r>
        <w:t xml:space="preserve">the cloud,</w:t>
      </w:r>
      <w:r>
        <w:t xml:space="preserve">”</w:t>
      </w:r>
      <w:r>
        <w:t xml:space="preserve"> </w:t>
      </w:r>
      <w:r>
        <w:t xml:space="preserve">and the Itihāsa writers say</w:t>
      </w:r>
      <w:r>
        <w:t xml:space="preserve"> </w:t>
      </w:r>
      <w:r>
        <w:t xml:space="preserve">“</w:t>
      </w:r>
      <w:r>
        <w:t xml:space="preserve">an Asura, the son of Tvaṣṭṛ.</w:t>
      </w:r>
      <w:r>
        <w:t xml:space="preserve">”</w:t>
      </w:r>
      <w:r>
        <w:t xml:space="preserve"> </w:t>
      </w:r>
      <w:r>
        <w:t xml:space="preserve">Rain arises from the union of the waters and the lightning (water and …</w:t>
      </w:r>
      <w:r>
        <w:t xml:space="preserve"> </w:t>
      </w:r>
      <w:r>
        <w:rPr>
          <w:iCs/>
          <w:i/>
        </w:rPr>
        <w:t xml:space="preserve">(continues on the next page)</w:t>
      </w:r>
    </w:p>
    <w:bookmarkEnd w:id="155"/>
    <w:bookmarkStart w:id="156" w:name="Xb0e457ba5c37adc5a9934ea9de7f689b52ec352"/>
    <w:p>
      <w:pPr>
        <w:pStyle w:val="Heading3"/>
      </w:pPr>
      <w:r>
        <w:t xml:space="preserve">Page 124 — Special topics on Rik 4.8: the Vṛtra myth; Vyākaraṇa-prakriyā (opening)</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4.</w:t>
      </w:r>
      <w:r>
        <w:rPr>
          <w:iCs/>
          <w:i/>
        </w:rPr>
        <w:t xml:space="preserve">”</w:t>
      </w:r>
      <w:r>
        <w:rPr>
          <w:iCs/>
          <w:i/>
        </w:rPr>
        <w:t xml:space="preserve"> </w:t>
      </w:r>
      <w:r>
        <w:rPr>
          <w:iCs/>
          <w:i/>
        </w:rPr>
        <w:t xml:space="preserve">Reference-number marked [?].)</w:t>
      </w:r>
    </w:p>
    <w:p>
      <w:pPr>
        <w:pStyle w:val="BodyText"/>
      </w:pPr>
      <w:r>
        <w:rPr>
          <w:iCs/>
          <w:i/>
        </w:rPr>
        <w:t xml:space="preserve">(Continuing:)</w:t>
      </w:r>
      <w:r>
        <w:t xml:space="preserve"> </w:t>
      </w:r>
      <w:r>
        <w:t xml:space="preserve">…(water and lightning) — rain comes from their conjunction. Therefore the rain that falls with thunder and lightning, described figuratively as a battle between Indra and the demon Vṛtra, is a matter of common usage.</w:t>
      </w:r>
    </w:p>
    <w:p>
      <w:pPr>
        <w:pStyle w:val="BodyText"/>
      </w:pPr>
      <w:r>
        <w:t xml:space="preserve">Because the rain that comes with the thunder, the lightning and the rolling of the clouds, with the blowing of the wind, and with the streams of water pouring in torrents, looks like a battle, it appears to have become the custom to describe this rain as a battle. The cloud that is imagined in the battle thus described is Vṛtra. The lightning that now and then flashes in the midst of the cloud is Indra’s thunderbolt. The terrible roar of the thunder is the roar of the warriors in the battle. Since this roar of thunder and lightning comes both before the rain and at the beginning of the rain, and then, after a short while, the roar lessens and the rain pours the more, the description in terms of battle was applied — that Indra, using his thunderbolt on the Vṛtra-asura, imagined as the cloud, killed him, and that the rain which had been held back by him then poured out as it pleased. Because the word</w:t>
      </w:r>
      <w:r>
        <w:t xml:space="preserve"> </w:t>
      </w:r>
      <w:r>
        <w:t xml:space="preserve">“</w:t>
      </w:r>
      <w:r>
        <w:t xml:space="preserve">vṛtra</w:t>
      </w:r>
      <w:r>
        <w:t xml:space="preserve">”</w:t>
      </w:r>
      <w:r>
        <w:t xml:space="preserve"> </w:t>
      </w:r>
      <w:r>
        <w:t xml:space="preserve">is read among the thirty words that signify the cloud (Ni. 2-22), it is possible to support this sense.</w:t>
      </w:r>
    </w:p>
    <w:p>
      <w:pPr>
        <w:pStyle w:val="BodyText"/>
      </w:pPr>
      <w:r>
        <w:t xml:space="preserve">In the Bhāgavata and other Purāṇas there is an extended description that Vṛtra was the son of Tvaṣṭṛ, the Prajāpati, and that Indra killed him. In the Taittirīya Saṃhitā of the Yajurveda and in the Taittirīya Brāhmaṇa such descriptions are found in many places. More detail on this matter will be given later.</w:t>
      </w:r>
    </w:p>
    <w:p>
      <w:pPr>
        <w:pStyle w:val="BodyText"/>
      </w:pPr>
      <w:r>
        <w:rPr>
          <w:bCs/>
          <w:b/>
        </w:rPr>
        <w:t xml:space="preserve">॥ Vyākaraṇa-prakriyā ॥</w:t>
      </w:r>
      <w:r>
        <w:t xml:space="preserve"> </w:t>
      </w:r>
      <w:r>
        <w:rPr>
          <w:iCs/>
          <w:i/>
        </w:rPr>
        <w:t xml:space="preserve">(Kannada; characterized, sūtras kept)</w:t>
      </w:r>
      <w:r>
        <w:t xml:space="preserve"> </w:t>
      </w:r>
      <w:r>
        <w:rPr>
          <w:bCs/>
          <w:b/>
        </w:rPr>
        <w:t xml:space="preserve">“</w:t>
      </w:r>
      <w:r>
        <w:rPr>
          <w:bCs/>
          <w:b/>
        </w:rPr>
        <w:t xml:space="preserve">Asya</w:t>
      </w:r>
      <w:r>
        <w:rPr>
          <w:bCs/>
          <w:b/>
        </w:rPr>
        <w:t xml:space="preserve">”</w:t>
      </w:r>
      <w:r>
        <w:t xml:space="preserve"> </w:t>
      </w:r>
      <w:r>
        <w:t xml:space="preserve">— the word</w:t>
      </w:r>
      <w:r>
        <w:t xml:space="preserve"> </w:t>
      </w:r>
      <w:r>
        <w:t xml:space="preserve">“</w:t>
      </w:r>
      <w:r>
        <w:t xml:space="preserve">idam</w:t>
      </w:r>
      <w:r>
        <w:t xml:space="preserve">”</w:t>
      </w:r>
      <w:r>
        <w:t xml:space="preserve"> </w:t>
      </w:r>
      <w:r>
        <w:t xml:space="preserve">(from</w:t>
      </w:r>
      <w:r>
        <w:t xml:space="preserve"> </w:t>
      </w:r>
      <w:r>
        <w:t xml:space="preserve">“</w:t>
      </w:r>
      <w:r>
        <w:t xml:space="preserve">idi paramaiśvarye,</w:t>
      </w:r>
      <w:r>
        <w:t xml:space="preserve">”</w:t>
      </w:r>
      <w:r>
        <w:t xml:space="preserve"> </w:t>
      </w:r>
      <w:r>
        <w:t xml:space="preserve">the root</w:t>
      </w:r>
      <w:r>
        <w:t xml:space="preserve"> </w:t>
      </w:r>
      <w:r>
        <w:t xml:space="preserve">“</w:t>
      </w:r>
      <w:r>
        <w:t xml:space="preserve">to rule</w:t>
      </w:r>
      <w:r>
        <w:t xml:space="preserve">”</w:t>
      </w:r>
      <w:r>
        <w:t xml:space="preserve">) — the</w:t>
      </w:r>
      <w:r>
        <w:t xml:space="preserve"> </w:t>
      </w:r>
      <w:r>
        <w:t xml:space="preserve">“</w:t>
      </w:r>
      <w:r>
        <w:t xml:space="preserve">i</w:t>
      </w:r>
      <w:r>
        <w:t xml:space="preserve">”</w:t>
      </w:r>
      <w:r>
        <w:t xml:space="preserve"> </w:t>
      </w:r>
      <w:r>
        <w:t xml:space="preserve">of the root carries the</w:t>
      </w:r>
      <w:r>
        <w:t xml:space="preserve"> </w:t>
      </w:r>
      <w:r>
        <w:t xml:space="preserve">“</w:t>
      </w:r>
      <w:r>
        <w:t xml:space="preserve">it</w:t>
      </w:r>
      <w:r>
        <w:t xml:space="preserve">”</w:t>
      </w:r>
      <w:r>
        <w:t xml:space="preserve">-label (</w:t>
      </w:r>
      <w:r>
        <w:rPr>
          <w:bCs/>
          <w:b/>
        </w:rPr>
        <w:t xml:space="preserve">इदितो नुम् धातोः</w:t>
      </w:r>
      <w:r>
        <w:t xml:space="preserve">, पा. ७-१-५८), so the augment</w:t>
      </w:r>
      <w:r>
        <w:t xml:space="preserve"> </w:t>
      </w:r>
      <w:r>
        <w:t xml:space="preserve">“</w:t>
      </w:r>
      <w:r>
        <w:t xml:space="preserve">num</w:t>
      </w:r>
      <w:r>
        <w:t xml:space="preserve">”</w:t>
      </w:r>
      <w:r>
        <w:t xml:space="preserve"> </w:t>
      </w:r>
      <w:r>
        <w:t xml:space="preserve">is added, giving</w:t>
      </w:r>
      <w:r>
        <w:t xml:space="preserve"> </w:t>
      </w:r>
      <w:r>
        <w:t xml:space="preserve">“</w:t>
      </w:r>
      <w:r>
        <w:t xml:space="preserve">ind</w:t>
      </w:r>
      <w:r>
        <w:t xml:space="preserve">”</w:t>
      </w:r>
      <w:r>
        <w:t xml:space="preserve">; by the Uṇādi (</w:t>
      </w:r>
      <w:r>
        <w:rPr>
          <w:bCs/>
          <w:b/>
        </w:rPr>
        <w:t xml:space="preserve">इन्देः कमिन्नलोपश्च</w:t>
      </w:r>
      <w:r>
        <w:t xml:space="preserve">, उ. सू. ४-५९६ [as printed]) the affix</w:t>
      </w:r>
      <w:r>
        <w:t xml:space="preserve"> </w:t>
      </w:r>
      <w:r>
        <w:t xml:space="preserve">“</w:t>
      </w:r>
      <w:r>
        <w:t xml:space="preserve">kamin</w:t>
      </w:r>
      <w:r>
        <w:t xml:space="preserve">”</w:t>
      </w:r>
      <w:r>
        <w:t xml:space="preserve"> </w:t>
      </w:r>
      <w:r>
        <w:t xml:space="preserve">after</w:t>
      </w:r>
      <w:r>
        <w:t xml:space="preserve"> </w:t>
      </w:r>
      <w:r>
        <w:t xml:space="preserve">“</w:t>
      </w:r>
      <w:r>
        <w:t xml:space="preserve">ind,</w:t>
      </w:r>
      <w:r>
        <w:t xml:space="preserve">”</w:t>
      </w:r>
      <w:r>
        <w:t xml:space="preserve"> </w:t>
      </w:r>
      <w:r>
        <w:t xml:space="preserve">with the elision of the</w:t>
      </w:r>
      <w:r>
        <w:t xml:space="preserve"> </w:t>
      </w:r>
      <w:r>
        <w:t xml:space="preserve">“</w:t>
      </w:r>
      <w:r>
        <w:t xml:space="preserve">n</w:t>
      </w:r>
      <w:r>
        <w:t xml:space="preserve">”</w:t>
      </w:r>
      <w:r>
        <w:t xml:space="preserve"> </w:t>
      </w:r>
      <w:r>
        <w:t xml:space="preserve">of the root; both</w:t>
      </w:r>
      <w:r>
        <w:t xml:space="preserve"> </w:t>
      </w:r>
      <w:r>
        <w:t xml:space="preserve">“</w:t>
      </w:r>
      <w:r>
        <w:t xml:space="preserve">k</w:t>
      </w:r>
      <w:r>
        <w:t xml:space="preserve">”</w:t>
      </w:r>
      <w:r>
        <w:t xml:space="preserve"> </w:t>
      </w:r>
      <w:r>
        <w:t xml:space="preserve">and</w:t>
      </w:r>
      <w:r>
        <w:t xml:space="preserve"> </w:t>
      </w:r>
      <w:r>
        <w:t xml:space="preserve">“</w:t>
      </w:r>
      <w:r>
        <w:t xml:space="preserve">i</w:t>
      </w:r>
      <w:r>
        <w:t xml:space="preserve">”</w:t>
      </w:r>
      <w:r>
        <w:t xml:space="preserve"> </w:t>
      </w:r>
      <w:r>
        <w:t xml:space="preserve">being</w:t>
      </w:r>
      <w:r>
        <w:t xml:space="preserve"> </w:t>
      </w:r>
      <w:r>
        <w:t xml:space="preserve">“</w:t>
      </w:r>
      <w:r>
        <w:t xml:space="preserve">it</w:t>
      </w:r>
      <w:r>
        <w:t xml:space="preserve">”</w:t>
      </w:r>
      <w:r>
        <w:t xml:space="preserve">-letters,</w:t>
      </w:r>
      <w:r>
        <w:t xml:space="preserve"> </w:t>
      </w:r>
      <w:r>
        <w:t xml:space="preserve">“</w:t>
      </w:r>
      <w:r>
        <w:t xml:space="preserve">am</w:t>
      </w:r>
      <w:r>
        <w:t xml:space="preserve">”</w:t>
      </w:r>
      <w:r>
        <w:t xml:space="preserve"> </w:t>
      </w:r>
      <w:r>
        <w:t xml:space="preserve">remains:</w:t>
      </w:r>
      <w:r>
        <w:t xml:space="preserve"> </w:t>
      </w:r>
      <w:r>
        <w:t xml:space="preserve">“</w:t>
      </w:r>
      <w:r>
        <w:t xml:space="preserve">id + am</w:t>
      </w:r>
      <w:r>
        <w:t xml:space="preserve">”</w:t>
      </w:r>
      <w:r>
        <w:t xml:space="preserve"> </w:t>
      </w:r>
      <w:r>
        <w:t xml:space="preserve">=</w:t>
      </w:r>
      <w:r>
        <w:t xml:space="preserve"> </w:t>
      </w:r>
      <w:r>
        <w:t xml:space="preserve">“</w:t>
      </w:r>
      <w:r>
        <w:t xml:space="preserve">idam.</w:t>
      </w:r>
      <w:r>
        <w:t xml:space="preserve">”</w:t>
      </w:r>
      <w:r>
        <w:t xml:space="preserve"> </w:t>
      </w:r>
      <w:r>
        <w:t xml:space="preserve">The</w:t>
      </w:r>
      <w:r>
        <w:t xml:space="preserve"> </w:t>
      </w:r>
      <w:r>
        <w:t xml:space="preserve">“</w:t>
      </w:r>
      <w:r>
        <w:t xml:space="preserve">Daśapādī</w:t>
      </w:r>
      <w:r>
        <w:t xml:space="preserve">”</w:t>
      </w:r>
      <w:r>
        <w:t xml:space="preserve"> </w:t>
      </w:r>
      <w:r>
        <w:t xml:space="preserve">author takes the sūtra</w:t>
      </w:r>
      <w:r>
        <w:t xml:space="preserve"> </w:t>
      </w:r>
      <w:r>
        <w:rPr>
          <w:bCs/>
          <w:b/>
        </w:rPr>
        <w:t xml:space="preserve">इणोदमुक्</w:t>
      </w:r>
      <w:r>
        <w:t xml:space="preserve"> </w:t>
      </w:r>
      <w:r>
        <w:t xml:space="preserve">[as printed] — the affix</w:t>
      </w:r>
      <w:r>
        <w:t xml:space="preserve"> </w:t>
      </w:r>
      <w:r>
        <w:t xml:space="preserve">“</w:t>
      </w:r>
      <w:r>
        <w:t xml:space="preserve">damuk</w:t>
      </w:r>
      <w:r>
        <w:t xml:space="preserve">”</w:t>
      </w:r>
      <w:r>
        <w:t xml:space="preserve"> </w:t>
      </w:r>
      <w:r>
        <w:t xml:space="preserve">after</w:t>
      </w:r>
      <w:r>
        <w:t xml:space="preserve"> </w:t>
      </w:r>
      <w:r>
        <w:t xml:space="preserve">“</w:t>
      </w:r>
      <w:r>
        <w:t xml:space="preserve">iṇ gatau,</w:t>
      </w:r>
      <w:r>
        <w:t xml:space="preserve">”</w:t>
      </w:r>
      <w:r>
        <w:t xml:space="preserve"> </w:t>
      </w:r>
      <w:r>
        <w:t xml:space="preserve">giving</w:t>
      </w:r>
      <w:r>
        <w:t xml:space="preserve"> </w:t>
      </w:r>
      <w:r>
        <w:t xml:space="preserve">“</w:t>
      </w:r>
      <w:r>
        <w:t xml:space="preserve">idam.</w:t>
      </w:r>
      <w:r>
        <w:t xml:space="preserve">”</w:t>
      </w:r>
      <w:r>
        <w:t xml:space="preserve"> </w:t>
      </w:r>
      <w:r>
        <w:t xml:space="preserve">From the word</w:t>
      </w:r>
      <w:r>
        <w:t xml:space="preserve"> </w:t>
      </w:r>
      <w:r>
        <w:t xml:space="preserve">“</w:t>
      </w:r>
      <w:r>
        <w:t xml:space="preserve">idam,</w:t>
      </w:r>
      <w:r>
        <w:t xml:space="preserve">”</w:t>
      </w:r>
      <w:r>
        <w:t xml:space="preserve"> </w:t>
      </w:r>
      <w:r>
        <w:t xml:space="preserve">what appears directly in front at the time of use — the Soma-juice — is pointed to; the Soma that has been mentioned in the preceding mantras is</w:t>
      </w:r>
      <w:r>
        <w:t xml:space="preserve"> </w:t>
      </w:r>
      <w:r>
        <w:rPr>
          <w:iCs/>
          <w:i/>
        </w:rPr>
        <w:t xml:space="preserve">not</w:t>
      </w:r>
      <w:r>
        <w:t xml:space="preserve"> </w:t>
      </w:r>
      <w:r>
        <w:t xml:space="preserve">referred to here. Therefore this is not an</w:t>
      </w:r>
      <w:r>
        <w:t xml:space="preserve"> </w:t>
      </w:r>
      <w:r>
        <w:t xml:space="preserve">“</w:t>
      </w:r>
      <w:r>
        <w:t xml:space="preserve">anvādeśa.</w:t>
      </w:r>
      <w:r>
        <w:t xml:space="preserve">”</w:t>
      </w:r>
      <w:r>
        <w:t xml:space="preserve"> </w:t>
      </w:r>
      <w:r>
        <w:t xml:space="preserve">“</w:t>
      </w:r>
      <w:r>
        <w:t xml:space="preserve">Anvādeśa</w:t>
      </w:r>
      <w:r>
        <w:t xml:space="preserve">”</w:t>
      </w:r>
      <w:r>
        <w:t xml:space="preserve"> </w:t>
      </w:r>
      <w:r>
        <w:t xml:space="preserve">means referring again, for the sake of telling another operation, to what was mentioned earlier with the purpose of telling some operation …</w:t>
      </w:r>
      <w:r>
        <w:t xml:space="preserve"> </w:t>
      </w:r>
      <w:r>
        <w:rPr>
          <w:iCs/>
          <w:i/>
        </w:rPr>
        <w:t xml:space="preserve">(continues on the next page)</w:t>
      </w:r>
    </w:p>
    <w:bookmarkEnd w:id="156"/>
    <w:bookmarkStart w:id="157" w:name="X8cdf9229cb208c755d0092b425aa714b009897a"/>
    <w:p>
      <w:pPr>
        <w:pStyle w:val="Heading3"/>
      </w:pPr>
      <w:r>
        <w:t xml:space="preserve">Page 125 — Rik 4.8 grammar (continued) — characterized</w:t>
      </w:r>
    </w:p>
    <w:p>
      <w:pPr>
        <w:pStyle w:val="FirstParagraph"/>
      </w:pPr>
      <w:r>
        <w:rPr>
          <w:iCs/>
          <w:i/>
        </w:rPr>
        <w:t xml:space="preserve">(Page header:</w:t>
      </w:r>
      <w:r>
        <w:rPr>
          <w:iCs/>
          <w:i/>
        </w:rPr>
        <w:t xml:space="preserve"> </w:t>
      </w:r>
      <w:r>
        <w:rPr>
          <w:iCs/>
          <w:i/>
        </w:rPr>
        <w:t xml:space="preserve">“</w:t>
      </w:r>
      <w:r>
        <w:rPr>
          <w:iCs/>
          <w:i/>
        </w:rPr>
        <w:t xml:space="preserve">Aṣṭaka 1, Adhyāya 1, Varga 8 · Ṛgveda-saṃhitā.</w:t>
      </w:r>
      <w:r>
        <w:rPr>
          <w:iCs/>
          <w:i/>
        </w:rPr>
        <w:t xml:space="preserve">”</w:t>
      </w:r>
      <w:r>
        <w:rPr>
          <w:iCs/>
          <w:i/>
        </w:rPr>
        <w:t xml:space="preserve"> </w:t>
      </w:r>
      <w:r>
        <w:rPr>
          <w:iCs/>
          <w:i/>
        </w:rPr>
        <w:t xml:space="preserve">Pure grammar in Kannada prose, the rendering of the Sanskrit on p. 121;</w:t>
      </w:r>
      <w:r>
        <w:rPr>
          <w:iCs/>
          <w:i/>
        </w:rPr>
        <w:t xml:space="preserve"> </w:t>
      </w:r>
      <w:r>
        <w:rPr>
          <w:bCs/>
          <w:b/>
          <w:iCs/>
          <w:i/>
        </w:rPr>
        <w:t xml:space="preserve">characterized in order, sūtras kept</w:t>
      </w:r>
      <w:r>
        <w:rPr>
          <w:iCs/>
          <w:i/>
        </w:rPr>
        <w:t xml:space="preserve">; numbers as I read them in small Kannada numerals, [?] where uncertain. The sense of the Rik is already given on p. 122.)</w:t>
      </w:r>
    </w:p>
    <w:p>
      <w:pPr>
        <w:pStyle w:val="BodyText"/>
      </w:pPr>
      <w:r>
        <w:rPr>
          <w:iCs/>
          <w:i/>
        </w:rPr>
        <w:t xml:space="preserve">(Continuing</w:t>
      </w:r>
      <w:r>
        <w:rPr>
          <w:iCs/>
          <w:i/>
        </w:rPr>
        <w:t xml:space="preserve"> </w:t>
      </w:r>
      <w:r>
        <w:rPr>
          <w:iCs/>
          <w:i/>
        </w:rPr>
        <w:t xml:space="preserve">“</w:t>
      </w:r>
      <w:r>
        <w:rPr>
          <w:iCs/>
          <w:i/>
        </w:rPr>
        <w:t xml:space="preserve">asya</w:t>
      </w:r>
      <w:r>
        <w:rPr>
          <w:iCs/>
          <w:i/>
        </w:rPr>
        <w:t xml:space="preserve">”</w:t>
      </w:r>
      <w:r>
        <w:rPr>
          <w:iCs/>
          <w:i/>
        </w:rPr>
        <w:t xml:space="preserve"> </w:t>
      </w:r>
      <w:r>
        <w:rPr>
          <w:iCs/>
          <w:i/>
        </w:rPr>
        <w:t xml:space="preserve">from p. 124:)</w:t>
      </w:r>
      <w:r>
        <w:t xml:space="preserve"> </w:t>
      </w:r>
      <w:r>
        <w:t xml:space="preserve">…</w:t>
      </w:r>
      <w:r>
        <w:t xml:space="preserve">“</w:t>
      </w:r>
      <w:r>
        <w:t xml:space="preserve">anvādeśa</w:t>
      </w:r>
      <w:r>
        <w:t xml:space="preserve">”</w:t>
      </w:r>
      <w:r>
        <w:t xml:space="preserve"> </w:t>
      </w:r>
      <w:r>
        <w:t xml:space="preserve">is</w:t>
      </w:r>
      <w:r>
        <w:t xml:space="preserve"> </w:t>
      </w:r>
      <w:r>
        <w:t xml:space="preserve">“</w:t>
      </w:r>
      <w:r>
        <w:t xml:space="preserve">re-taking, for the purpose of telling another action, what has been mentioned earlier.</w:t>
      </w:r>
      <w:r>
        <w:t xml:space="preserve">”</w:t>
      </w:r>
      <w:r>
        <w:t xml:space="preserve"> </w:t>
      </w:r>
      <w:r>
        <w:t xml:space="preserve">Here the Soma that is directly visible is pointed to by</w:t>
      </w:r>
      <w:r>
        <w:t xml:space="preserve"> </w:t>
      </w:r>
      <w:r>
        <w:t xml:space="preserve">“</w:t>
      </w:r>
      <w:r>
        <w:t xml:space="preserve">asya</w:t>
      </w:r>
      <w:r>
        <w:t xml:space="preserve">”</w:t>
      </w:r>
      <w:r>
        <w:t xml:space="preserve">; so this is not an anvādeśa. Hence, by</w:t>
      </w:r>
      <w:r>
        <w:t xml:space="preserve"> </w:t>
      </w:r>
      <w:r>
        <w:rPr>
          <w:bCs/>
          <w:b/>
        </w:rPr>
        <w:t xml:space="preserve">इदमो न्वादेशेऽशनुदात्त ऋतृतीयादौ</w:t>
      </w:r>
      <w:r>
        <w:t xml:space="preserve"> </w:t>
      </w:r>
      <w:r>
        <w:t xml:space="preserve">[the rule as printed; the standard form is</w:t>
      </w:r>
      <w:r>
        <w:t xml:space="preserve"> </w:t>
      </w:r>
      <w:r>
        <w:rPr>
          <w:bCs/>
          <w:b/>
        </w:rPr>
        <w:t xml:space="preserve">इदमो ऽन्वादेशे ऽशनुदात्त ऋतृतीयाद्यौ</w:t>
      </w:r>
      <w:r>
        <w:t xml:space="preserve">, पा. २-४-३२] —</w:t>
      </w:r>
      <w:r>
        <w:t xml:space="preserve"> </w:t>
      </w:r>
      <w:r>
        <w:t xml:space="preserve">“</w:t>
      </w:r>
      <w:r>
        <w:t xml:space="preserve">when a third-case or later ending follows, and the word</w:t>
      </w:r>
      <w:r>
        <w:t xml:space="preserve"> </w:t>
      </w:r>
      <w:r>
        <w:t xml:space="preserve">‘</w:t>
      </w:r>
      <w:r>
        <w:t xml:space="preserve">idam</w:t>
      </w:r>
      <w:r>
        <w:t xml:space="preserve">’</w:t>
      </w:r>
      <w:r>
        <w:t xml:space="preserve"> </w:t>
      </w:r>
      <w:r>
        <w:t xml:space="preserve">is used in anvādeśa,</w:t>
      </w:r>
      <w:r>
        <w:t xml:space="preserve"> </w:t>
      </w:r>
      <w:r>
        <w:t xml:space="preserve">‘</w:t>
      </w:r>
      <w:r>
        <w:t xml:space="preserve">aś</w:t>
      </w:r>
      <w:r>
        <w:t xml:space="preserve">’</w:t>
      </w:r>
      <w:r>
        <w:t xml:space="preserve"> </w:t>
      </w:r>
      <w:r>
        <w:t xml:space="preserve">is substituted, unaccented</w:t>
      </w:r>
      <w:r>
        <w:t xml:space="preserve">”</w:t>
      </w:r>
      <w:r>
        <w:t xml:space="preserve"> </w:t>
      </w:r>
      <w:r>
        <w:t xml:space="preserve">— the substitution of</w:t>
      </w:r>
      <w:r>
        <w:t xml:space="preserve"> </w:t>
      </w:r>
      <w:r>
        <w:t xml:space="preserve">“</w:t>
      </w:r>
      <w:r>
        <w:t xml:space="preserve">aś</w:t>
      </w:r>
      <w:r>
        <w:t xml:space="preserve">”</w:t>
      </w:r>
      <w:r>
        <w:t xml:space="preserve"> </w:t>
      </w:r>
      <w:r>
        <w:t xml:space="preserve">does not take place; therefore</w:t>
      </w:r>
      <w:r>
        <w:t xml:space="preserve"> </w:t>
      </w:r>
      <w:r>
        <w:rPr>
          <w:bCs/>
          <w:b/>
        </w:rPr>
        <w:t xml:space="preserve">“</w:t>
      </w:r>
      <w:r>
        <w:rPr>
          <w:bCs/>
          <w:b/>
        </w:rPr>
        <w:t xml:space="preserve">asya</w:t>
      </w:r>
      <w:r>
        <w:rPr>
          <w:bCs/>
          <w:b/>
        </w:rPr>
        <w:t xml:space="preserve">”</w:t>
      </w:r>
      <w:r>
        <w:t xml:space="preserve"> </w:t>
      </w:r>
      <w:r>
        <w:t xml:space="preserve">is not wholly unaccented. By</w:t>
      </w:r>
      <w:r>
        <w:t xml:space="preserve"> </w:t>
      </w:r>
      <w:r>
        <w:rPr>
          <w:bCs/>
          <w:b/>
        </w:rPr>
        <w:t xml:space="preserve">त्यदादीनामः</w:t>
      </w:r>
      <w:r>
        <w:t xml:space="preserve"> </w:t>
      </w:r>
      <w:r>
        <w:t xml:space="preserve">(पा. ७-२-१०२)</w:t>
      </w:r>
      <w:r>
        <w:t xml:space="preserve"> </w:t>
      </w:r>
      <w:r>
        <w:t xml:space="preserve">“</w:t>
      </w:r>
      <w:r>
        <w:t xml:space="preserve">a</w:t>
      </w:r>
      <w:r>
        <w:t xml:space="preserve">”</w:t>
      </w:r>
      <w:r>
        <w:t xml:space="preserve"> </w:t>
      </w:r>
      <w:r>
        <w:t xml:space="preserve">replaces the final of the</w:t>
      </w:r>
      <w:r>
        <w:t xml:space="preserve"> </w:t>
      </w:r>
      <w:r>
        <w:t xml:space="preserve">“</w:t>
      </w:r>
      <w:r>
        <w:t xml:space="preserve">tyad</w:t>
      </w:r>
      <w:r>
        <w:t xml:space="preserve">”</w:t>
      </w:r>
      <w:r>
        <w:t xml:space="preserve">-class words when a case-ending follows; applied to</w:t>
      </w:r>
      <w:r>
        <w:t xml:space="preserve"> </w:t>
      </w:r>
      <w:r>
        <w:t xml:space="preserve">“</w:t>
      </w:r>
      <w:r>
        <w:t xml:space="preserve">idam,</w:t>
      </w:r>
      <w:r>
        <w:t xml:space="preserve">”</w:t>
      </w:r>
      <w:r>
        <w:t xml:space="preserve"> </w:t>
      </w:r>
      <w:r>
        <w:t xml:space="preserve">when the sixth-case singular</w:t>
      </w:r>
      <w:r>
        <w:t xml:space="preserve"> </w:t>
      </w:r>
      <w:r>
        <w:t xml:space="preserve">“</w:t>
      </w:r>
      <w:r>
        <w:t xml:space="preserve">ṅas</w:t>
      </w:r>
      <w:r>
        <w:t xml:space="preserve">”</w:t>
      </w:r>
      <w:r>
        <w:t xml:space="preserve"> </w:t>
      </w:r>
      <w:r>
        <w:t xml:space="preserve">follows,</w:t>
      </w:r>
      <w:r>
        <w:t xml:space="preserve"> </w:t>
      </w:r>
      <w:r>
        <w:rPr>
          <w:bCs/>
          <w:b/>
        </w:rPr>
        <w:t xml:space="preserve">अतो गुणे</w:t>
      </w:r>
      <w:r>
        <w:t xml:space="preserve"> </w:t>
      </w:r>
      <w:r>
        <w:t xml:space="preserve">(पा. ६-१-९७) gives the</w:t>
      </w:r>
      <w:r>
        <w:t xml:space="preserve"> </w:t>
      </w:r>
      <w:r>
        <w:t xml:space="preserve">“</w:t>
      </w:r>
      <w:r>
        <w:t xml:space="preserve">pararūpa</w:t>
      </w:r>
      <w:r>
        <w:t xml:space="preserve">”</w:t>
      </w:r>
      <w:r>
        <w:t xml:space="preserve">; by</w:t>
      </w:r>
      <w:r>
        <w:t xml:space="preserve"> </w:t>
      </w:r>
      <w:r>
        <w:rPr>
          <w:bCs/>
          <w:b/>
        </w:rPr>
        <w:t xml:space="preserve">इदमो मः</w:t>
      </w:r>
      <w:r>
        <w:t xml:space="preserve"> </w:t>
      </w:r>
      <w:r>
        <w:t xml:space="preserve">…</w:t>
      </w:r>
      <w:r>
        <w:t xml:space="preserve"> </w:t>
      </w:r>
      <w:r>
        <w:t xml:space="preserve">“</w:t>
      </w:r>
      <w:r>
        <w:t xml:space="preserve">id + sya</w:t>
      </w:r>
      <w:r>
        <w:t xml:space="preserve">”</w:t>
      </w:r>
      <w:r>
        <w:t xml:space="preserve">;</w:t>
      </w:r>
      <w:r>
        <w:t xml:space="preserve"> </w:t>
      </w:r>
      <w:r>
        <w:rPr>
          <w:bCs/>
          <w:b/>
        </w:rPr>
        <w:t xml:space="preserve">हलि लोपः</w:t>
      </w:r>
      <w:r>
        <w:t xml:space="preserve"> </w:t>
      </w:r>
      <w:r>
        <w:t xml:space="preserve">(पा. ७-२-११३) — the</w:t>
      </w:r>
      <w:r>
        <w:t xml:space="preserve"> </w:t>
      </w:r>
      <w:r>
        <w:t xml:space="preserve">“</w:t>
      </w:r>
      <w:r>
        <w:t xml:space="preserve">id</w:t>
      </w:r>
      <w:r>
        <w:t xml:space="preserve">”</w:t>
      </w:r>
      <w:r>
        <w:t xml:space="preserve"> </w:t>
      </w:r>
      <w:r>
        <w:t xml:space="preserve">of</w:t>
      </w:r>
      <w:r>
        <w:t xml:space="preserve"> </w:t>
      </w:r>
      <w:r>
        <w:t xml:space="preserve">“</w:t>
      </w:r>
      <w:r>
        <w:t xml:space="preserve">idam</w:t>
      </w:r>
      <w:r>
        <w:t xml:space="preserve">”</w:t>
      </w:r>
      <w:r>
        <w:t xml:space="preserve"> </w:t>
      </w:r>
      <w:r>
        <w:t xml:space="preserve">is elided before a consonant-initial third-or-later case-ending —</w:t>
      </w:r>
      <w:r>
        <w:t xml:space="preserve"> </w:t>
      </w:r>
      <w:r>
        <w:t xml:space="preserve">“</w:t>
      </w:r>
      <w:r>
        <w:t xml:space="preserve">id</w:t>
      </w:r>
      <w:r>
        <w:t xml:space="preserve">”</w:t>
      </w:r>
      <w:r>
        <w:t xml:space="preserve"> </w:t>
      </w:r>
      <w:r>
        <w:t xml:space="preserve">loses its</w:t>
      </w:r>
      <w:r>
        <w:t xml:space="preserve"> </w:t>
      </w:r>
      <w:r>
        <w:t xml:space="preserve">“</w:t>
      </w:r>
      <w:r>
        <w:t xml:space="preserve">d</w:t>
      </w:r>
      <w:r>
        <w:t xml:space="preserve">”</w:t>
      </w:r>
      <w:r>
        <w:t xml:space="preserve">-final; leaving</w:t>
      </w:r>
      <w:r>
        <w:t xml:space="preserve"> </w:t>
      </w:r>
      <w:r>
        <w:t xml:space="preserve">“</w:t>
      </w:r>
      <w:r>
        <w:t xml:space="preserve">a</w:t>
      </w:r>
      <w:r>
        <w:t xml:space="preserve">”</w:t>
      </w:r>
      <w:r>
        <w:t xml:space="preserve"> </w:t>
      </w:r>
      <w:r>
        <w:t xml:space="preserve">and</w:t>
      </w:r>
      <w:r>
        <w:t xml:space="preserve"> </w:t>
      </w:r>
      <w:r>
        <w:t xml:space="preserve">“</w:t>
      </w:r>
      <w:r>
        <w:t xml:space="preserve">sya</w:t>
      </w:r>
      <w:r>
        <w:t xml:space="preserve">”</w:t>
      </w:r>
      <w:r>
        <w:t xml:space="preserve">:</w:t>
      </w:r>
      <w:r>
        <w:t xml:space="preserve"> </w:t>
      </w:r>
      <w:r>
        <w:t xml:space="preserve">“</w:t>
      </w:r>
      <w:r>
        <w:t xml:space="preserve">asya.</w:t>
      </w:r>
      <w:r>
        <w:t xml:space="preserve">”</w:t>
      </w:r>
      <w:r>
        <w:t xml:space="preserve"> </w:t>
      </w:r>
      <w:r>
        <w:t xml:space="preserve">The</w:t>
      </w:r>
      <w:r>
        <w:t xml:space="preserve"> </w:t>
      </w:r>
      <w:r>
        <w:t xml:space="preserve">“</w:t>
      </w:r>
      <w:r>
        <w:t xml:space="preserve">a</w:t>
      </w:r>
      <w:r>
        <w:t xml:space="preserve">”</w:t>
      </w:r>
      <w:r>
        <w:t xml:space="preserve"> </w:t>
      </w:r>
      <w:r>
        <w:t xml:space="preserve">is acute by the bare-stem accent;</w:t>
      </w:r>
      <w:r>
        <w:t xml:space="preserve"> </w:t>
      </w:r>
      <w:r>
        <w:rPr>
          <w:bCs/>
          <w:b/>
        </w:rPr>
        <w:t xml:space="preserve">ऊडिदम्पदाद्यप्पुम्रैद्युभ्यः</w:t>
      </w:r>
      <w:r>
        <w:t xml:space="preserve"> </w:t>
      </w:r>
      <w:r>
        <w:t xml:space="preserve">(पा. ६-१-१७१) — the case-endings are acute after</w:t>
      </w:r>
      <w:r>
        <w:t xml:space="preserve"> </w:t>
      </w:r>
      <w:r>
        <w:t xml:space="preserve">“</w:t>
      </w:r>
      <w:r>
        <w:t xml:space="preserve">ūṭh,</w:t>
      </w:r>
      <w:r>
        <w:t xml:space="preserve">”</w:t>
      </w:r>
      <w:r>
        <w:t xml:space="preserve"> </w:t>
      </w:r>
      <w:r>
        <w:t xml:space="preserve">“</w:t>
      </w:r>
      <w:r>
        <w:t xml:space="preserve">idam,</w:t>
      </w:r>
      <w:r>
        <w:t xml:space="preserve">”</w:t>
      </w:r>
      <w:r>
        <w:t xml:space="preserve"> </w:t>
      </w:r>
      <w:r>
        <w:t xml:space="preserve">the pada-words beginning with</w:t>
      </w:r>
      <w:r>
        <w:t xml:space="preserve"> </w:t>
      </w:r>
      <w:r>
        <w:t xml:space="preserve">“</w:t>
      </w:r>
      <w:r>
        <w:t xml:space="preserve">pad,</w:t>
      </w:r>
      <w:r>
        <w:t xml:space="preserve">”</w:t>
      </w:r>
      <w:r>
        <w:t xml:space="preserve"> </w:t>
      </w:r>
      <w:r>
        <w:t xml:space="preserve">“</w:t>
      </w:r>
      <w:r>
        <w:t xml:space="preserve">ap,</w:t>
      </w:r>
      <w:r>
        <w:t xml:space="preserve">”</w:t>
      </w:r>
      <w:r>
        <w:t xml:space="preserve"> </w:t>
      </w:r>
      <w:r>
        <w:t xml:space="preserve">“</w:t>
      </w:r>
      <w:r>
        <w:t xml:space="preserve">pum,</w:t>
      </w:r>
      <w:r>
        <w:t xml:space="preserve">”</w:t>
      </w:r>
      <w:r>
        <w:t xml:space="preserve"> </w:t>
      </w:r>
      <w:r>
        <w:t xml:space="preserve">“</w:t>
      </w:r>
      <w:r>
        <w:t xml:space="preserve">rai,</w:t>
      </w:r>
      <w:r>
        <w:t xml:space="preserve">”</w:t>
      </w:r>
      <w:r>
        <w:t xml:space="preserve"> </w:t>
      </w:r>
      <w:r>
        <w:t xml:space="preserve">“</w:t>
      </w:r>
      <w:r>
        <w:t xml:space="preserve">dyu</w:t>
      </w:r>
      <w:r>
        <w:t xml:space="preserve">”</w:t>
      </w:r>
      <w:r>
        <w:t xml:space="preserve"> </w:t>
      </w:r>
      <w:r>
        <w:t xml:space="preserve">etc., when they are not</w:t>
      </w:r>
      <w:r>
        <w:t xml:space="preserve"> </w:t>
      </w:r>
      <w:r>
        <w:t xml:space="preserve">“</w:t>
      </w:r>
      <w:r>
        <w:t xml:space="preserve">sarvanāmasthāna</w:t>
      </w:r>
      <w:r>
        <w:t xml:space="preserve">”</w:t>
      </w:r>
      <w:r>
        <w:t xml:space="preserve"> </w:t>
      </w:r>
      <w:r>
        <w:t xml:space="preserve">— the case-ending</w:t>
      </w:r>
      <w:r>
        <w:t xml:space="preserve"> </w:t>
      </w:r>
      <w:r>
        <w:t xml:space="preserve">“</w:t>
      </w:r>
      <w:r>
        <w:t xml:space="preserve">sya</w:t>
      </w:r>
      <w:r>
        <w:t xml:space="preserve">”</w:t>
      </w:r>
      <w:r>
        <w:t xml:space="preserve"> </w:t>
      </w:r>
      <w:r>
        <w:t xml:space="preserve">is acute; then by</w:t>
      </w:r>
      <w:r>
        <w:t xml:space="preserve"> </w:t>
      </w:r>
      <w:r>
        <w:rPr>
          <w:bCs/>
          <w:b/>
        </w:rPr>
        <w:t xml:space="preserve">अनुदात्तं पदमेकवर्जम्</w:t>
      </w:r>
      <w:r>
        <w:t xml:space="preserve"> </w:t>
      </w:r>
      <w:r>
        <w:t xml:space="preserve">(पा. ६-१-१५८) the others are unaccented, so the</w:t>
      </w:r>
      <w:r>
        <w:t xml:space="preserve"> </w:t>
      </w:r>
      <w:r>
        <w:t xml:space="preserve">“</w:t>
      </w:r>
      <w:r>
        <w:t xml:space="preserve">a</w:t>
      </w:r>
      <w:r>
        <w:t xml:space="preserve">”</w:t>
      </w:r>
      <w:r>
        <w:t xml:space="preserve"> </w:t>
      </w:r>
      <w:r>
        <w:t xml:space="preserve">of</w:t>
      </w:r>
      <w:r>
        <w:t xml:space="preserve"> </w:t>
      </w:r>
      <w:r>
        <w:t xml:space="preserve">“</w:t>
      </w:r>
      <w:r>
        <w:t xml:space="preserve">asya</w:t>
      </w:r>
      <w:r>
        <w:t xml:space="preserve">”</w:t>
      </w:r>
      <w:r>
        <w:t xml:space="preserve"> </w:t>
      </w:r>
      <w:r>
        <w:t xml:space="preserve">is unaccented.</w:t>
      </w:r>
    </w:p>
    <w:p>
      <w:pPr>
        <w:pStyle w:val="BodyText"/>
      </w:pPr>
      <w:r>
        <w:rPr>
          <w:bCs/>
          <w:b/>
        </w:rPr>
        <w:t xml:space="preserve">“</w:t>
      </w:r>
      <w:r>
        <w:rPr>
          <w:bCs/>
          <w:b/>
        </w:rPr>
        <w:t xml:space="preserve">Pītvā</w:t>
      </w:r>
      <w:r>
        <w:rPr>
          <w:bCs/>
          <w:b/>
        </w:rPr>
        <w:t xml:space="preserve">”</w:t>
      </w:r>
      <w:r>
        <w:t xml:space="preserve"> </w:t>
      </w:r>
      <w:r>
        <w:t xml:space="preserve">—</w:t>
      </w:r>
      <w:r>
        <w:t xml:space="preserve"> </w:t>
      </w:r>
      <w:r>
        <w:t xml:space="preserve">“</w:t>
      </w:r>
      <w:r>
        <w:t xml:space="preserve">pā pāne</w:t>
      </w:r>
      <w:r>
        <w:t xml:space="preserve">”</w:t>
      </w:r>
      <w:r>
        <w:t xml:space="preserve"> </w:t>
      </w:r>
      <w:r>
        <w:t xml:space="preserve">(to drink) with</w:t>
      </w:r>
      <w:r>
        <w:t xml:space="preserve"> </w:t>
      </w:r>
      <w:r>
        <w:t xml:space="preserve">“</w:t>
      </w:r>
      <w:r>
        <w:t xml:space="preserve">ktvā</w:t>
      </w:r>
      <w:r>
        <w:t xml:space="preserve">”</w:t>
      </w:r>
      <w:r>
        <w:t xml:space="preserve">; by</w:t>
      </w:r>
      <w:r>
        <w:t xml:space="preserve"> </w:t>
      </w:r>
      <w:r>
        <w:rPr>
          <w:bCs/>
          <w:b/>
        </w:rPr>
        <w:t xml:space="preserve">घुमास्थागापाजहातिसां हलि</w:t>
      </w:r>
      <w:r>
        <w:t xml:space="preserve"> </w:t>
      </w:r>
      <w:r>
        <w:t xml:space="preserve">(पा. ६-४-६६) the</w:t>
      </w:r>
      <w:r>
        <w:t xml:space="preserve"> </w:t>
      </w:r>
      <w:r>
        <w:t xml:space="preserve">“</w:t>
      </w:r>
      <w:r>
        <w:t xml:space="preserve">ā</w:t>
      </w:r>
      <w:r>
        <w:t xml:space="preserve">”</w:t>
      </w:r>
      <w:r>
        <w:t xml:space="preserve"> </w:t>
      </w:r>
      <w:r>
        <w:t xml:space="preserve">of</w:t>
      </w:r>
      <w:r>
        <w:t xml:space="preserve"> </w:t>
      </w:r>
      <w:r>
        <w:t xml:space="preserve">“</w:t>
      </w:r>
      <w:r>
        <w:t xml:space="preserve">pā</w:t>
      </w:r>
      <w:r>
        <w:t xml:space="preserve">”</w:t>
      </w:r>
      <w:r>
        <w:t xml:space="preserve"> </w:t>
      </w:r>
      <w:r>
        <w:t xml:space="preserve">becomes</w:t>
      </w:r>
      <w:r>
        <w:t xml:space="preserve"> </w:t>
      </w:r>
      <w:r>
        <w:t xml:space="preserve">“</w:t>
      </w:r>
      <w:r>
        <w:t xml:space="preserve">ī</w:t>
      </w:r>
      <w:r>
        <w:t xml:space="preserve">”</w:t>
      </w:r>
      <w:r>
        <w:t xml:space="preserve"> </w:t>
      </w:r>
      <w:r>
        <w:t xml:space="preserve">→</w:t>
      </w:r>
      <w:r>
        <w:t xml:space="preserve"> </w:t>
      </w:r>
      <w:r>
        <w:t xml:space="preserve">“</w:t>
      </w:r>
      <w:r>
        <w:t xml:space="preserve">pītvā</w:t>
      </w:r>
      <w:r>
        <w:t xml:space="preserve">”</w:t>
      </w:r>
      <w:r>
        <w:t xml:space="preserve">; end-acute by the affix’s accent. The words</w:t>
      </w:r>
      <w:r>
        <w:t xml:space="preserve"> </w:t>
      </w:r>
      <w:r>
        <w:t xml:space="preserve">“</w:t>
      </w:r>
      <w:r>
        <w:t xml:space="preserve">pītvā</w:t>
      </w:r>
      <w:r>
        <w:t xml:space="preserve">”</w:t>
      </w:r>
      <w:r>
        <w:t xml:space="preserve"> </w:t>
      </w:r>
      <w:r>
        <w:t xml:space="preserve">and</w:t>
      </w:r>
      <w:r>
        <w:t xml:space="preserve"> </w:t>
      </w:r>
      <w:r>
        <w:t xml:space="preserve">“</w:t>
      </w:r>
      <w:r>
        <w:t xml:space="preserve">śatakrato</w:t>
      </w:r>
      <w:r>
        <w:t xml:space="preserve">”</w:t>
      </w:r>
      <w:r>
        <w:t xml:space="preserve"> </w:t>
      </w:r>
      <w:r>
        <w:t xml:space="preserve">have no mutual syntactic connection (</w:t>
      </w:r>
      <w:r>
        <w:t xml:space="preserve">“</w:t>
      </w:r>
      <w:r>
        <w:t xml:space="preserve">sāmarthya</w:t>
      </w:r>
      <w:r>
        <w:t xml:space="preserve">”</w:t>
      </w:r>
      <w:r>
        <w:t xml:space="preserve">), so</w:t>
      </w:r>
      <w:r>
        <w:t xml:space="preserve"> </w:t>
      </w:r>
      <w:r>
        <w:t xml:space="preserve">“</w:t>
      </w:r>
      <w:r>
        <w:t xml:space="preserve">parāṅgavad-bhāva</w:t>
      </w:r>
      <w:r>
        <w:t xml:space="preserve">”</w:t>
      </w:r>
      <w:r>
        <w:t xml:space="preserve"> </w:t>
      </w:r>
      <w:r>
        <w:t xml:space="preserve">does not apply to</w:t>
      </w:r>
      <w:r>
        <w:t xml:space="preserve"> </w:t>
      </w:r>
      <w:r>
        <w:t xml:space="preserve">“</w:t>
      </w:r>
      <w:r>
        <w:t xml:space="preserve">pītvā.</w:t>
      </w:r>
      <w:r>
        <w:t xml:space="preserve">”</w:t>
      </w:r>
    </w:p>
    <w:p>
      <w:pPr>
        <w:pStyle w:val="BodyText"/>
      </w:pPr>
      <w:r>
        <w:rPr>
          <w:bCs/>
          <w:b/>
        </w:rPr>
        <w:t xml:space="preserve">“</w:t>
      </w:r>
      <w:r>
        <w:rPr>
          <w:bCs/>
          <w:b/>
        </w:rPr>
        <w:t xml:space="preserve">Śatakrato</w:t>
      </w:r>
      <w:r>
        <w:rPr>
          <w:bCs/>
          <w:b/>
        </w:rPr>
        <w:t xml:space="preserve">”</w:t>
      </w:r>
      <w:r>
        <w:t xml:space="preserve"> </w:t>
      </w:r>
      <w:r>
        <w:t xml:space="preserve">—</w:t>
      </w:r>
      <w:r>
        <w:t xml:space="preserve"> </w:t>
      </w:r>
      <w:r>
        <w:t xml:space="preserve">“</w:t>
      </w:r>
      <w:r>
        <w:t xml:space="preserve">pañcaviṃśati-triṃśac-catvāriṃśat-pañcāśat-ṣaṣṭi-saptati-aśīti-navati śatam</w:t>
      </w:r>
      <w:r>
        <w:t xml:space="preserve">”</w:t>
      </w:r>
      <w:r>
        <w:t xml:space="preserve"> </w:t>
      </w:r>
      <w:r>
        <w:t xml:space="preserve">(</w:t>
      </w:r>
      <w:r>
        <w:rPr>
          <w:bCs/>
          <w:b/>
        </w:rPr>
        <w:t xml:space="preserve">पञ्चविंशतिर्…शतं</w:t>
      </w:r>
      <w:r>
        <w:t xml:space="preserve">, the list with</w:t>
      </w:r>
      <w:r>
        <w:t xml:space="preserve"> </w:t>
      </w:r>
      <w:r>
        <w:t xml:space="preserve">“</w:t>
      </w:r>
      <w:r>
        <w:t xml:space="preserve">śata</w:t>
      </w:r>
      <w:r>
        <w:t xml:space="preserve">”</w:t>
      </w:r>
      <w:r>
        <w:t xml:space="preserve"> </w:t>
      </w:r>
      <w:r>
        <w:t xml:space="preserve">among the</w:t>
      </w:r>
      <w:r>
        <w:t xml:space="preserve"> </w:t>
      </w:r>
      <w:r>
        <w:t xml:space="preserve">“</w:t>
      </w:r>
      <w:r>
        <w:t xml:space="preserve">nipātanas</w:t>
      </w:r>
      <w:r>
        <w:t xml:space="preserve">”</w:t>
      </w:r>
      <w:r>
        <w:t xml:space="preserve">);</w:t>
      </w:r>
      <w:r>
        <w:t xml:space="preserve"> </w:t>
      </w:r>
      <w:r>
        <w:t xml:space="preserve">“</w:t>
      </w:r>
      <w:r>
        <w:t xml:space="preserve">daśadaśataḥ parimāṇasya</w:t>
      </w:r>
      <w:r>
        <w:t xml:space="preserve">”</w:t>
      </w:r>
      <w:r>
        <w:t xml:space="preserve"> </w:t>
      </w:r>
      <w:r>
        <w:t xml:space="preserve">(</w:t>
      </w:r>
      <w:r>
        <w:t xml:space="preserve">“</w:t>
      </w:r>
      <w:r>
        <w:t xml:space="preserve">of a measure of ten tens</w:t>
      </w:r>
      <w:r>
        <w:t xml:space="preserve">”</w:t>
      </w:r>
      <w:r>
        <w:t xml:space="preserve">) the</w:t>
      </w:r>
      <w:r>
        <w:t xml:space="preserve"> </w:t>
      </w:r>
      <w:r>
        <w:t xml:space="preserve">“</w:t>
      </w:r>
      <w:r>
        <w:t xml:space="preserve">ta</w:t>
      </w:r>
      <w:r>
        <w:t xml:space="preserve">”</w:t>
      </w:r>
      <w:r>
        <w:t xml:space="preserve"> </w:t>
      </w:r>
      <w:r>
        <w:t xml:space="preserve">affix and the substitution</w:t>
      </w:r>
      <w:r>
        <w:t xml:space="preserve"> </w:t>
      </w:r>
      <w:r>
        <w:t xml:space="preserve">“</w:t>
      </w:r>
      <w:r>
        <w:t xml:space="preserve">śa</w:t>
      </w:r>
      <w:r>
        <w:t xml:space="preserve">”</w:t>
      </w:r>
      <w:r>
        <w:t xml:space="preserve"> </w:t>
      </w:r>
      <w:r>
        <w:t xml:space="preserve">give</w:t>
      </w:r>
      <w:r>
        <w:t xml:space="preserve"> </w:t>
      </w:r>
      <w:r>
        <w:t xml:space="preserve">“</w:t>
      </w:r>
      <w:r>
        <w:t xml:space="preserve">śata</w:t>
      </w:r>
      <w:r>
        <w:t xml:space="preserve">”</w:t>
      </w:r>
      <w:r>
        <w:t xml:space="preserve"> </w:t>
      </w:r>
      <w:r>
        <w:t xml:space="preserve">— end-acute by the affix, in the view that the Uṇādi words are not</w:t>
      </w:r>
      <w:r>
        <w:t xml:space="preserve"> </w:t>
      </w:r>
      <w:r>
        <w:t xml:space="preserve">“</w:t>
      </w:r>
      <w:r>
        <w:t xml:space="preserve">vyutpanna</w:t>
      </w:r>
      <w:r>
        <w:t xml:space="preserve">”</w:t>
      </w:r>
      <w:r>
        <w:t xml:space="preserve"> </w:t>
      </w:r>
      <w:r>
        <w:t xml:space="preserve">(derived); in the other view (that they are not derived), end-acute by the bare-stem accent.</w:t>
      </w:r>
      <w:r>
        <w:t xml:space="preserve"> </w:t>
      </w:r>
      <w:r>
        <w:t xml:space="preserve">“</w:t>
      </w:r>
      <w:r>
        <w:t xml:space="preserve">Kratu</w:t>
      </w:r>
      <w:r>
        <w:t xml:space="preserve">”</w:t>
      </w:r>
      <w:r>
        <w:t xml:space="preserve"> </w:t>
      </w:r>
      <w:r>
        <w:t xml:space="preserve">— from</w:t>
      </w:r>
      <w:r>
        <w:t xml:space="preserve"> </w:t>
      </w:r>
      <w:r>
        <w:t xml:space="preserve">“</w:t>
      </w:r>
      <w:r>
        <w:t xml:space="preserve">ḍukṛñ karaṇe</w:t>
      </w:r>
      <w:r>
        <w:t xml:space="preserve">”</w:t>
      </w:r>
      <w:r>
        <w:t xml:space="preserve"> </w:t>
      </w:r>
      <w:r>
        <w:t xml:space="preserve">the Uṇādi</w:t>
      </w:r>
      <w:r>
        <w:t xml:space="preserve"> </w:t>
      </w:r>
      <w:r>
        <w:rPr>
          <w:bCs/>
          <w:b/>
        </w:rPr>
        <w:t xml:space="preserve">कृञः कतुः</w:t>
      </w:r>
      <w:r>
        <w:t xml:space="preserve"> </w:t>
      </w:r>
      <w:r>
        <w:t xml:space="preserve">(उ. सू. १-७७) the affix</w:t>
      </w:r>
      <w:r>
        <w:t xml:space="preserve"> </w:t>
      </w:r>
      <w:r>
        <w:t xml:space="preserve">“</w:t>
      </w:r>
      <w:r>
        <w:t xml:space="preserve">katu</w:t>
      </w:r>
      <w:r>
        <w:t xml:space="preserve">”</w:t>
      </w:r>
      <w:r>
        <w:t xml:space="preserve"> </w:t>
      </w:r>
      <w:r>
        <w:t xml:space="preserve">→</w:t>
      </w:r>
      <w:r>
        <w:t xml:space="preserve"> </w:t>
      </w:r>
      <w:r>
        <w:t xml:space="preserve">“</w:t>
      </w:r>
      <w:r>
        <w:t xml:space="preserve">kratu</w:t>
      </w:r>
      <w:r>
        <w:t xml:space="preserve">”</w:t>
      </w:r>
      <w:r>
        <w:t xml:space="preserve"> </w:t>
      </w:r>
      <w:r>
        <w:t xml:space="preserve">— end-acute by the affix-accent. The two words in a bahuvrīhi compound:</w:t>
      </w:r>
      <w:r>
        <w:t xml:space="preserve"> </w:t>
      </w:r>
      <w:r>
        <w:t xml:space="preserve">“</w:t>
      </w:r>
      <w:r>
        <w:t xml:space="preserve">śatakratu,</w:t>
      </w:r>
      <w:r>
        <w:t xml:space="preserve">”</w:t>
      </w:r>
      <w:r>
        <w:t xml:space="preserve"> </w:t>
      </w:r>
      <w:r>
        <w:t xml:space="preserve">vocative</w:t>
      </w:r>
      <w:r>
        <w:t xml:space="preserve"> </w:t>
      </w:r>
      <w:r>
        <w:t xml:space="preserve">“</w:t>
      </w:r>
      <w:r>
        <w:t xml:space="preserve">śatakrato</w:t>
      </w:r>
      <w:r>
        <w:t xml:space="preserve">”</w:t>
      </w:r>
      <w:r>
        <w:t xml:space="preserve">; being a vocative standing after another word it is unaccented by</w:t>
      </w:r>
      <w:r>
        <w:t xml:space="preserve"> </w:t>
      </w:r>
      <w:r>
        <w:rPr>
          <w:bCs/>
          <w:b/>
        </w:rPr>
        <w:t xml:space="preserve">आमन्त्रितस्य च</w:t>
      </w:r>
      <w:r>
        <w:t xml:space="preserve"> </w:t>
      </w:r>
      <w:r>
        <w:t xml:space="preserve">(पा. ६-१-१९८, as printed).</w:t>
      </w:r>
      <w:r>
        <w:t xml:space="preserve"> </w:t>
      </w:r>
      <w:r>
        <w:rPr>
          <w:bCs/>
          <w:b/>
        </w:rPr>
        <w:t xml:space="preserve">“</w:t>
      </w:r>
      <w:r>
        <w:rPr>
          <w:bCs/>
          <w:b/>
        </w:rPr>
        <w:t xml:space="preserve">Ghanaḥ</w:t>
      </w:r>
      <w:r>
        <w:rPr>
          <w:bCs/>
          <w:b/>
        </w:rPr>
        <w:t xml:space="preserve">”</w:t>
      </w:r>
      <w:r>
        <w:t xml:space="preserve"> </w:t>
      </w:r>
      <w:r>
        <w:t xml:space="preserve">—</w:t>
      </w:r>
      <w:r>
        <w:t xml:space="preserve"> </w:t>
      </w:r>
      <w:r>
        <w:rPr>
          <w:bCs/>
          <w:b/>
        </w:rPr>
        <w:t xml:space="preserve">मूर्तौ घनः</w:t>
      </w:r>
      <w:r>
        <w:t xml:space="preserve"> </w:t>
      </w:r>
      <w:r>
        <w:t xml:space="preserve">(पा. ३-३-७७) in the sense of solid; or</w:t>
      </w:r>
      <w:r>
        <w:t xml:space="preserve"> </w:t>
      </w:r>
      <w:r>
        <w:t xml:space="preserve">“</w:t>
      </w:r>
      <w:r>
        <w:t xml:space="preserve">ghana</w:t>
      </w:r>
      <w:r>
        <w:t xml:space="preserve">”</w:t>
      </w:r>
      <w:r>
        <w:t xml:space="preserve"> </w:t>
      </w:r>
      <w:r>
        <w:t xml:space="preserve">from</w:t>
      </w:r>
      <w:r>
        <w:t xml:space="preserve"> </w:t>
      </w:r>
      <w:r>
        <w:t xml:space="preserve">“</w:t>
      </w:r>
      <w:r>
        <w:t xml:space="preserve">han</w:t>
      </w:r>
      <w:r>
        <w:t xml:space="preserve">”</w:t>
      </w:r>
      <w:r>
        <w:t xml:space="preserve"> </w:t>
      </w:r>
      <w:r>
        <w:t xml:space="preserve">with</w:t>
      </w:r>
      <w:r>
        <w:t xml:space="preserve"> </w:t>
      </w:r>
      <w:r>
        <w:t xml:space="preserve">“</w:t>
      </w:r>
      <w:r>
        <w:t xml:space="preserve">ap</w:t>
      </w:r>
      <w:r>
        <w:t xml:space="preserve">”</w:t>
      </w:r>
      <w:r>
        <w:t xml:space="preserve"> </w:t>
      </w:r>
      <w:r>
        <w:t xml:space="preserve">in the sense of</w:t>
      </w:r>
      <w:r>
        <w:t xml:space="preserve"> </w:t>
      </w:r>
      <w:r>
        <w:t xml:space="preserve">“</w:t>
      </w:r>
      <w:r>
        <w:t xml:space="preserve">hantā</w:t>
      </w:r>
      <w:r>
        <w:t xml:space="preserve">”</w:t>
      </w:r>
      <w:r>
        <w:t xml:space="preserve">;</w:t>
      </w:r>
      <w:r>
        <w:t xml:space="preserve"> </w:t>
      </w:r>
      <w:r>
        <w:t xml:space="preserve">“</w:t>
      </w:r>
      <w:r>
        <w:t xml:space="preserve">han</w:t>
      </w:r>
      <w:r>
        <w:t xml:space="preserve">”</w:t>
      </w:r>
      <w:r>
        <w:t xml:space="preserve"> </w:t>
      </w:r>
      <w:r>
        <w:t xml:space="preserve">is replaced by</w:t>
      </w:r>
      <w:r>
        <w:t xml:space="preserve"> </w:t>
      </w:r>
      <w:r>
        <w:t xml:space="preserve">“</w:t>
      </w:r>
      <w:r>
        <w:t xml:space="preserve">ghana</w:t>
      </w:r>
      <w:r>
        <w:t xml:space="preserve">”</w:t>
      </w:r>
      <w:r>
        <w:t xml:space="preserve"> </w:t>
      </w:r>
      <w:r>
        <w:t xml:space="preserve">(</w:t>
      </w:r>
      <w:r>
        <w:rPr>
          <w:bCs/>
          <w:b/>
        </w:rPr>
        <w:t xml:space="preserve">हनो घः</w:t>
      </w:r>
      <w:r>
        <w:t xml:space="preserve">?);</w:t>
      </w:r>
      <w:r>
        <w:t xml:space="preserve"> </w:t>
      </w:r>
      <w:r>
        <w:t xml:space="preserve">“</w:t>
      </w:r>
      <w:r>
        <w:t xml:space="preserve">ghano ’sya asti</w:t>
      </w:r>
      <w:r>
        <w:t xml:space="preserve">”</w:t>
      </w:r>
      <w:r>
        <w:t xml:space="preserve"> </w:t>
      </w:r>
      <w:r>
        <w:t xml:space="preserve">—</w:t>
      </w:r>
      <w:r>
        <w:t xml:space="preserve"> </w:t>
      </w:r>
      <w:r>
        <w:rPr>
          <w:bCs/>
          <w:b/>
        </w:rPr>
        <w:t xml:space="preserve">अर्श आदिभ्योऽच्</w:t>
      </w:r>
      <w:r>
        <w:t xml:space="preserve"> </w:t>
      </w:r>
      <w:r>
        <w:t xml:space="preserve">(पा. ५-२-१२७)</w:t>
      </w:r>
      <w:r>
        <w:t xml:space="preserve"> </w:t>
      </w:r>
      <w:r>
        <w:t xml:space="preserve">“</w:t>
      </w:r>
      <w:r>
        <w:t xml:space="preserve">ac</w:t>
      </w:r>
      <w:r>
        <w:t xml:space="preserve">”</w:t>
      </w:r>
      <w:r>
        <w:t xml:space="preserve"> </w:t>
      </w:r>
      <w:r>
        <w:t xml:space="preserve">is added in the possessive;</w:t>
      </w:r>
      <w:r>
        <w:t xml:space="preserve"> </w:t>
      </w:r>
      <w:r>
        <w:t xml:space="preserve">“</w:t>
      </w:r>
      <w:r>
        <w:t xml:space="preserve">ac</w:t>
      </w:r>
      <w:r>
        <w:t xml:space="preserve">”</w:t>
      </w:r>
      <w:r>
        <w:t xml:space="preserve"> </w:t>
      </w:r>
      <w:r>
        <w:t xml:space="preserve">is</w:t>
      </w:r>
      <w:r>
        <w:t xml:space="preserve"> </w:t>
      </w:r>
      <w:r>
        <w:t xml:space="preserve">“</w:t>
      </w:r>
      <w:r>
        <w:t xml:space="preserve">c</w:t>
      </w:r>
      <w:r>
        <w:t xml:space="preserve">”</w:t>
      </w:r>
      <w:r>
        <w:t xml:space="preserve">-marked and so end-acute by</w:t>
      </w:r>
      <w:r>
        <w:t xml:space="preserve"> </w:t>
      </w:r>
      <w:r>
        <w:rPr>
          <w:bCs/>
          <w:b/>
        </w:rPr>
        <w:t xml:space="preserve">चितः</w:t>
      </w:r>
      <w:r>
        <w:t xml:space="preserve"> </w:t>
      </w:r>
      <w:r>
        <w:t xml:space="preserve">(पा. ६-१-१६३); and from</w:t>
      </w:r>
      <w:r>
        <w:t xml:space="preserve"> </w:t>
      </w:r>
      <w:r>
        <w:t xml:space="preserve">“</w:t>
      </w:r>
      <w:r>
        <w:t xml:space="preserve">ghanaḥ asya asti</w:t>
      </w:r>
      <w:r>
        <w:t xml:space="preserve">”</w:t>
      </w:r>
      <w:r>
        <w:t xml:space="preserve"> </w:t>
      </w:r>
      <w:r>
        <w:t xml:space="preserve">the derivation proceeds …</w:t>
      </w:r>
      <w:r>
        <w:t xml:space="preserve"> </w:t>
      </w:r>
      <w:r>
        <w:rPr>
          <w:iCs/>
          <w:i/>
        </w:rPr>
        <w:t xml:space="preserve">(continues on the next page)</w:t>
      </w:r>
    </w:p>
    <w:bookmarkEnd w:id="157"/>
    <w:bookmarkStart w:id="158" w:name="Xdc8c33715aa6c2e0a03af07d6f25dd581286349"/>
    <w:p>
      <w:pPr>
        <w:pStyle w:val="Heading3"/>
      </w:pPr>
      <w:r>
        <w:t xml:space="preserve">Page 126 — Rik 4.8 grammar concluded; Sūkta 4, Ninth Mantra: Saṃhitā, Pada, Sāyaṇa-bhāṣya (opening)</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4.</w:t>
      </w:r>
      <w:r>
        <w:rPr>
          <w:iCs/>
          <w:i/>
        </w:rPr>
        <w:t xml:space="preserve">”</w:t>
      </w:r>
      <w:r>
        <w:rPr>
          <w:iCs/>
          <w:i/>
        </w:rPr>
        <w:t xml:space="preserve"> </w:t>
      </w:r>
      <w:r>
        <w:rPr>
          <w:iCs/>
          <w:i/>
        </w:rPr>
        <w:t xml:space="preserve">Saṃhitā accents as printed; Pada unaccented. Sanskrit printed in Kannada script; [?] where unclear.)</w:t>
      </w:r>
    </w:p>
    <w:p>
      <w:pPr>
        <w:pStyle w:val="BodyText"/>
      </w:pPr>
      <w:r>
        <w:rPr>
          <w:iCs/>
          <w:i/>
        </w:rPr>
        <w:t xml:space="preserve">(Concluding the grammar:)</w:t>
      </w:r>
      <w:r>
        <w:t xml:space="preserve"> </w:t>
      </w:r>
      <w:r>
        <w:t xml:space="preserve">…</w:t>
      </w:r>
      <w:r>
        <w:t xml:space="preserve">“</w:t>
      </w:r>
      <w:r>
        <w:t xml:space="preserve">ghanaḥ</w:t>
      </w:r>
      <w:r>
        <w:t xml:space="preserve">”</w:t>
      </w:r>
      <w:r>
        <w:t xml:space="preserve"> </w:t>
      </w:r>
      <w:r>
        <w:t xml:space="preserve">is end-acute by</w:t>
      </w:r>
      <w:r>
        <w:t xml:space="preserve"> </w:t>
      </w:r>
      <w:r>
        <w:rPr>
          <w:bCs/>
          <w:b/>
        </w:rPr>
        <w:t xml:space="preserve">चितः</w:t>
      </w:r>
      <w:r>
        <w:t xml:space="preserve"> </w:t>
      </w:r>
      <w:r>
        <w:t xml:space="preserve">(पा. ६-१-१६३).</w:t>
      </w:r>
      <w:r>
        <w:t xml:space="preserve"> </w:t>
      </w:r>
      <w:r>
        <w:rPr>
          <w:bCs/>
          <w:b/>
        </w:rPr>
        <w:t xml:space="preserve">“</w:t>
      </w:r>
      <w:r>
        <w:rPr>
          <w:bCs/>
          <w:b/>
        </w:rPr>
        <w:t xml:space="preserve">Vājeṣu</w:t>
      </w:r>
      <w:r>
        <w:rPr>
          <w:bCs/>
          <w:b/>
        </w:rPr>
        <w:t xml:space="preserve">”</w:t>
      </w:r>
      <w:r>
        <w:t xml:space="preserve"> </w:t>
      </w:r>
      <w:r>
        <w:t xml:space="preserve">—</w:t>
      </w:r>
      <w:r>
        <w:t xml:space="preserve"> </w:t>
      </w:r>
      <w:r>
        <w:rPr>
          <w:bCs/>
          <w:b/>
        </w:rPr>
        <w:t xml:space="preserve">वृषादीनां च</w:t>
      </w:r>
      <w:r>
        <w:t xml:space="preserve"> </w:t>
      </w:r>
      <w:r>
        <w:t xml:space="preserve">(पा. ६-१-२०३) — the first syllable of words in the</w:t>
      </w:r>
      <w:r>
        <w:t xml:space="preserve"> </w:t>
      </w:r>
      <w:r>
        <w:t xml:space="preserve">“</w:t>
      </w:r>
      <w:r>
        <w:t xml:space="preserve">vṛṣādi</w:t>
      </w:r>
      <w:r>
        <w:t xml:space="preserve">”</w:t>
      </w:r>
      <w:r>
        <w:t xml:space="preserve"> </w:t>
      </w:r>
      <w:r>
        <w:t xml:space="preserve">class is acute;</w:t>
      </w:r>
      <w:r>
        <w:t xml:space="preserve"> </w:t>
      </w:r>
      <w:r>
        <w:t xml:space="preserve">“</w:t>
      </w:r>
      <w:r>
        <w:t xml:space="preserve">vāja</w:t>
      </w:r>
      <w:r>
        <w:t xml:space="preserve">”</w:t>
      </w:r>
      <w:r>
        <w:t xml:space="preserve"> </w:t>
      </w:r>
      <w:r>
        <w:t xml:space="preserve">is among them, so first-syllable acute.</w:t>
      </w:r>
      <w:r>
        <w:t xml:space="preserve"> </w:t>
      </w:r>
      <w:r>
        <w:rPr>
          <w:bCs/>
          <w:b/>
        </w:rPr>
        <w:t xml:space="preserve">“</w:t>
      </w:r>
      <w:r>
        <w:rPr>
          <w:bCs/>
          <w:b/>
        </w:rPr>
        <w:t xml:space="preserve">Vājinam</w:t>
      </w:r>
      <w:r>
        <w:rPr>
          <w:bCs/>
          <w:b/>
        </w:rPr>
        <w:t xml:space="preserve">”</w:t>
      </w:r>
      <w:r>
        <w:t xml:space="preserve"> </w:t>
      </w:r>
      <w:r>
        <w:t xml:space="preserve">—</w:t>
      </w:r>
      <w:r>
        <w:t xml:space="preserve"> </w:t>
      </w:r>
      <w:r>
        <w:t xml:space="preserve">“</w:t>
      </w:r>
      <w:r>
        <w:t xml:space="preserve">vājo ’syāsti</w:t>
      </w:r>
      <w:r>
        <w:t xml:space="preserve">”</w:t>
      </w:r>
      <w:r>
        <w:t xml:space="preserve"> </w:t>
      </w:r>
      <w:r>
        <w:t xml:space="preserve">(</w:t>
      </w:r>
      <w:r>
        <w:t xml:space="preserve">“</w:t>
      </w:r>
      <w:r>
        <w:t xml:space="preserve">who has</w:t>
      </w:r>
      <w:r>
        <w:t xml:space="preserve"> </w:t>
      </w:r>
      <w:r>
        <w:t xml:space="preserve">‘</w:t>
      </w:r>
      <w:r>
        <w:t xml:space="preserve">vāja</w:t>
      </w:r>
      <w:r>
        <w:t xml:space="preserve">’</w:t>
      </w:r>
      <w:r>
        <w:t xml:space="preserve">”</w:t>
      </w:r>
      <w:r>
        <w:t xml:space="preserve">):</w:t>
      </w:r>
      <w:r>
        <w:t xml:space="preserve"> </w:t>
      </w:r>
      <w:r>
        <w:rPr>
          <w:bCs/>
          <w:b/>
        </w:rPr>
        <w:t xml:space="preserve">अत इनिठनौ</w:t>
      </w:r>
      <w:r>
        <w:t xml:space="preserve"> </w:t>
      </w:r>
      <w:r>
        <w:t xml:space="preserve">(पा. ५-२-११५) the affix</w:t>
      </w:r>
      <w:r>
        <w:t xml:space="preserve"> </w:t>
      </w:r>
      <w:r>
        <w:t xml:space="preserve">“</w:t>
      </w:r>
      <w:r>
        <w:t xml:space="preserve">ini</w:t>
      </w:r>
      <w:r>
        <w:t xml:space="preserve">”</w:t>
      </w:r>
      <w:r>
        <w:t xml:space="preserve">; the accent of the affix. ॥८॥</w:t>
      </w:r>
    </w:p>
    <w:p>
      <w:r>
        <w:pict>
          <v:rect style="width:0;height:1.5pt" o:hralign="center" o:hrstd="t" o:hr="t"/>
        </w:pict>
      </w:r>
    </w:p>
    <w:bookmarkEnd w:id="158"/>
    <w:bookmarkStart w:id="159" w:name="sūkta-4-the-ninth-mantra"/>
    <w:p>
      <w:pPr>
        <w:pStyle w:val="Heading3"/>
      </w:pPr>
      <w:r>
        <w:t xml:space="preserve">Sūkta 4, The Ninth Mantra</w:t>
      </w:r>
    </w:p>
    <w:p>
      <w:pPr>
        <w:pStyle w:val="FirstParagraph"/>
      </w:pPr>
      <w:r>
        <w:rPr>
          <w:bCs/>
          <w:b/>
        </w:rPr>
        <w:t xml:space="preserve">॥ Saṃhitā-pāṭhaḥ ॥</w:t>
      </w:r>
    </w:p>
    <w:p>
      <w:pPr>
        <w:pStyle w:val="BlockText"/>
      </w:pPr>
      <w:r>
        <w:t xml:space="preserve">तं त्वा॒ वाजे॑षु वा॒जिनं॑ वा॒जया॑मः शतक्रतो ।</w:t>
      </w:r>
      <w:r>
        <w:t xml:space="preserve"> </w:t>
      </w:r>
      <w:r>
        <w:t xml:space="preserve">धना॑नामिंद्र सा॒तये॑ ॥९॥</w:t>
      </w:r>
    </w:p>
    <w:p>
      <w:pPr>
        <w:pStyle w:val="BlockText"/>
      </w:pPr>
      <w:r>
        <w:rPr>
          <w:iCs/>
          <w:i/>
        </w:rPr>
        <w:t xml:space="preserve">taṃ tvā vā́jeṣu vājínaṃ vājáyāmaḥ śatakrato |</w:t>
      </w:r>
      <w:r>
        <w:t xml:space="preserve"> </w:t>
      </w:r>
      <w:r>
        <w:rPr>
          <w:iCs/>
          <w:i/>
        </w:rPr>
        <w:t xml:space="preserve">dhánānāmiṃdra sātáye ||9||</w:t>
      </w:r>
    </w:p>
    <w:p>
      <w:pPr>
        <w:pStyle w:val="FirstParagraph"/>
      </w:pPr>
      <w:r>
        <w:rPr>
          <w:bCs/>
          <w:b/>
        </w:rPr>
        <w:t xml:space="preserve">॥ Pada-pāṭhaḥ ॥</w:t>
      </w:r>
    </w:p>
    <w:p>
      <w:pPr>
        <w:pStyle w:val="BlockText"/>
      </w:pPr>
      <w:r>
        <w:t xml:space="preserve">तम् । त्वा । वाजेषु । वाजिनम् । वाजयामः । शतक्रतो इति शतऽक्रतो ।</w:t>
      </w:r>
      <w:r>
        <w:t xml:space="preserve"> </w:t>
      </w:r>
      <w:r>
        <w:t xml:space="preserve">धनानाम् । इन्द्र । सातये ॥९॥</w:t>
      </w:r>
    </w:p>
    <w:p>
      <w:pPr>
        <w:pStyle w:val="FirstParagraph"/>
      </w:pPr>
      <w:r>
        <w:rPr>
          <w:bCs/>
          <w:b/>
        </w:rPr>
        <w:t xml:space="preserve">॥ Sāyaṇa-bhāṣyam ॥</w:t>
      </w:r>
    </w:p>
    <w:p>
      <w:pPr>
        <w:pStyle w:val="BlockText"/>
      </w:pPr>
      <w:r>
        <w:t xml:space="preserve">हे शतक्रतो बहुकर्मयुक्त यद्वा बहुप्रज्ञानयुक्तेन्द्र धनानां सातये संभजनार्थं वाजेषु युद्धेषु वाजिनं बलवन्तं त्वा पूर्वमन्त्रोक्तगुणयुक्तं त्वां वाजयामः । अन्नवन्तं कुर्मः । रण इत्यादिषु षट्चत्वारिंशत्सु संग्रामनामसु पौंस्ये महाधने वाजेष्वग्मन्निति पठितम् । अष्टाविंशतिसंख्याकेष्वन्ननामसु बन्धो वाजः पाज इति पठितम् । उरु तुवीत्यादिषु द्वादशसु बहुनामसु शतं सहस्रमिति पठितम् । अपोऽप्स इत्यादिषु षड्विंशतिसंख्याकेषु कर्मनामसु शक्म क्रतुरिति पठितम् । केतः केतुरित्यादिष्वेकादशसु प्रज्ञानामसु क्रतुरसुरिति पठितम् ॥ त्वा । अनुदात्तं सर्वमित्यनुवृत्तौ त्वामौ द्वितीयायाः इति त्वादेशः । वाजेषु । वज व्रज गतौ । वाजयति गमयति शरीरनिर्वाहमनेनेति वाजो बलमन्नं वा । ण्यन्तात्करणे घञ् । तत्र ञित्स्वरस्यापवादे कर्षात्वतः । पा. ६-१-१५९ । इत्यन्तोदात्तत्वे प्राप्ते तस्याप्यपवादत्वेन वृषादीनां च । पा. ६-१-२०३ । इत्यादि [read: आद्युदात्तत्वम्] । वाजयामः । वाजोऽस्यास्तीति वाजवान् । तं करोति इत्यर्थे तत्करोति तदाचष्टे । पा. ३-१-२६, …</w:t>
      </w:r>
      <w:r>
        <w:t xml:space="preserve"> </w:t>
      </w:r>
      <w:r>
        <w:rPr>
          <w:iCs/>
          <w:i/>
        </w:rPr>
        <w:t xml:space="preserve">he śatakrato bahu-karma-yukta yadvā bahu-prajñāna-yuktendra dhanānāṃ sātaye sambhajanārthaṃ vājeṣu yuddheṣu vājinaṃ balavantaṃ tvā pūrva-mantroktaguṇa-yuktaṃ tvāṃ vājayāmaḥ | annavantaṃ kurmaḥ | raṇa ity ādiṣu ṣaṭcatvāriṃśatsu saṃgrāma-nāmasu pauṃsye mahādhane vājeṣv agmann iti paṭhitam | aṣṭāviṃśati-saṃkhyākeṣv anna-nāmasu bandho vājaḥ pāja iti paṭhitam | uru tuvīty ādiṣu dvādaśasu bahu-nāmasu śataṃ sahasram iti paṭhitam | apo ’psa ity ādiṣu ṣaḍviṃśati-saṃkhyākeṣu karma-nāmasu śakma kratur iti paṭhitam | ketaḥ ketur ity ādiṣv ekādaśasu prajñā-nāmasu kratur asur iti paṭhitam || tvā | anudāttaṃ sarvam ity anuvṛttau tvāmau dvitīyāyāḥ iti tvādeśaḥ | vājeṣu | vaja vraja gatau | vājayati gamayati śarīra-nirvāham anena iti vājo balam annaṃ vā | ṇyantāt karaṇe ghañ | tatra ñit-svarasyāpavāde karṣātvataḥ | pā. 6-1-159 | ity antodāttatve prāpte tasyāpy apavādatvena vṛṣādīnāṃ ca | pā. 6-1-203 | ity ādi [read: ādyudāttatvam] | vājayāmaḥ | vājo ’syāstīti vājavān | taṃ karoti ity arthe tat karoti tad ācaṣṭe | pā. 3-1-26, …</w:t>
      </w:r>
    </w:p>
    <w:p>
      <w:pPr>
        <w:pStyle w:val="FirstParagraph"/>
      </w:pPr>
      <w:r>
        <w:rPr>
          <w:bCs/>
          <w:b/>
        </w:rPr>
        <w:t xml:space="preserve">Translation:</w:t>
      </w:r>
      <w:r>
        <w:t xml:space="preserve"> </w:t>
      </w:r>
      <w:r>
        <w:t xml:space="preserve">“</w:t>
      </w:r>
      <w:r>
        <w:t xml:space="preserve">O</w:t>
      </w:r>
      <w:r>
        <w:t xml:space="preserve"> </w:t>
      </w:r>
      <w:r>
        <w:t xml:space="preserve">‘</w:t>
      </w:r>
      <w:r>
        <w:t xml:space="preserve">śatakrato</w:t>
      </w:r>
      <w:r>
        <w:t xml:space="preserve">’</w:t>
      </w:r>
      <w:r>
        <w:t xml:space="preserve"> </w:t>
      </w:r>
      <w:r>
        <w:t xml:space="preserve">— O Indra, endowed with many deeds, or: endowed with much wisdom —</w:t>
      </w:r>
      <w:r>
        <w:t xml:space="preserve"> </w:t>
      </w:r>
      <w:r>
        <w:t xml:space="preserve">‘</w:t>
      </w:r>
      <w:r>
        <w:t xml:space="preserve">dhanānāṃ sātaye</w:t>
      </w:r>
      <w:r>
        <w:t xml:space="preserve">’</w:t>
      </w:r>
      <w:r>
        <w:t xml:space="preserve"> </w:t>
      </w:r>
      <w:r>
        <w:t xml:space="preserve">— for the sharing, the enjoyment, of riches —</w:t>
      </w:r>
      <w:r>
        <w:t xml:space="preserve"> </w:t>
      </w:r>
      <w:r>
        <w:t xml:space="preserve">‘</w:t>
      </w:r>
      <w:r>
        <w:t xml:space="preserve">tvā</w:t>
      </w:r>
      <w:r>
        <w:t xml:space="preserve">’</w:t>
      </w:r>
      <w:r>
        <w:t xml:space="preserve"> </w:t>
      </w:r>
      <w:r>
        <w:t xml:space="preserve">— you,</w:t>
      </w:r>
      <w:r>
        <w:t xml:space="preserve"> </w:t>
      </w:r>
      <w:r>
        <w:t xml:space="preserve">‘</w:t>
      </w:r>
      <w:r>
        <w:t xml:space="preserve">vājeṣu</w:t>
      </w:r>
      <w:r>
        <w:t xml:space="preserve">’</w:t>
      </w:r>
      <w:r>
        <w:t xml:space="preserve"> </w:t>
      </w:r>
      <w:r>
        <w:t xml:space="preserve">— in battles,</w:t>
      </w:r>
      <w:r>
        <w:t xml:space="preserve"> </w:t>
      </w:r>
      <w:r>
        <w:t xml:space="preserve">‘</w:t>
      </w:r>
      <w:r>
        <w:t xml:space="preserve">vājinam</w:t>
      </w:r>
      <w:r>
        <w:t xml:space="preserve">’</w:t>
      </w:r>
      <w:r>
        <w:t xml:space="preserve"> </w:t>
      </w:r>
      <w:r>
        <w:t xml:space="preserve">— the strong; you, who are endowed with the qualities stated in the previous mantra —</w:t>
      </w:r>
      <w:r>
        <w:t xml:space="preserve"> </w:t>
      </w:r>
      <w:r>
        <w:t xml:space="preserve">‘</w:t>
      </w:r>
      <w:r>
        <w:t xml:space="preserve">vājayāmaḥ</w:t>
      </w:r>
      <w:r>
        <w:t xml:space="preserve">’</w:t>
      </w:r>
      <w:r>
        <w:t xml:space="preserve"> </w:t>
      </w:r>
      <w:r>
        <w:t xml:space="preserve">—</w:t>
      </w:r>
      <w:r>
        <w:t xml:space="preserve"> </w:t>
      </w:r>
      <w:r>
        <w:t xml:space="preserve">‘</w:t>
      </w:r>
      <w:r>
        <w:t xml:space="preserve">we make you possessed of food</w:t>
      </w:r>
      <w:r>
        <w:t xml:space="preserve">’</w:t>
      </w:r>
      <w:r>
        <w:t xml:space="preserve"> </w:t>
      </w:r>
      <w:r>
        <w:t xml:space="preserve">(we cause you to have</w:t>
      </w:r>
      <w:r>
        <w:t xml:space="preserve"> </w:t>
      </w:r>
      <w:r>
        <w:t xml:space="preserve">‘</w:t>
      </w:r>
      <w:r>
        <w:t xml:space="preserve">anna</w:t>
      </w:r>
      <w:r>
        <w:t xml:space="preserve">’</w:t>
      </w:r>
      <w:r>
        <w:t xml:space="preserve">). Among the forty-six names of battle beginning with</w:t>
      </w:r>
      <w:r>
        <w:t xml:space="preserve"> </w:t>
      </w:r>
      <w:r>
        <w:t xml:space="preserve">‘</w:t>
      </w:r>
      <w:r>
        <w:t xml:space="preserve">raṇa,</w:t>
      </w:r>
      <w:r>
        <w:t xml:space="preserve">’</w:t>
      </w:r>
      <w:r>
        <w:t xml:space="preserve"> </w:t>
      </w:r>
      <w:r>
        <w:t xml:space="preserve">‘</w:t>
      </w:r>
      <w:r>
        <w:t xml:space="preserve">pauṃsya,</w:t>
      </w:r>
      <w:r>
        <w:t xml:space="preserve">’</w:t>
      </w:r>
      <w:r>
        <w:t xml:space="preserve"> </w:t>
      </w:r>
      <w:r>
        <w:t xml:space="preserve">‘</w:t>
      </w:r>
      <w:r>
        <w:t xml:space="preserve">mahādhana</w:t>
      </w:r>
      <w:r>
        <w:t xml:space="preserve">’</w:t>
      </w:r>
      <w:r>
        <w:t xml:space="preserve"> </w:t>
      </w:r>
      <w:r>
        <w:t xml:space="preserve">and</w:t>
      </w:r>
      <w:r>
        <w:t xml:space="preserve"> </w:t>
      </w:r>
      <w:r>
        <w:t xml:space="preserve">‘</w:t>
      </w:r>
      <w:r>
        <w:t xml:space="preserve">vājeṣu</w:t>
      </w:r>
      <w:r>
        <w:t xml:space="preserve">’</w:t>
      </w:r>
      <w:r>
        <w:t xml:space="preserve"> </w:t>
      </w:r>
      <w:r>
        <w:t xml:space="preserve">are read (</w:t>
      </w:r>
      <w:r>
        <w:t xml:space="preserve">‘</w:t>
      </w:r>
      <w:r>
        <w:t xml:space="preserve">agmann</w:t>
      </w:r>
      <w:r>
        <w:t xml:space="preserve">’</w:t>
      </w:r>
      <w:r>
        <w:t xml:space="preserve"> </w:t>
      </w:r>
      <w:r>
        <w:t xml:space="preserve">is read there); among the twenty-eight names of food,</w:t>
      </w:r>
      <w:r>
        <w:t xml:space="preserve"> </w:t>
      </w:r>
      <w:r>
        <w:t xml:space="preserve">‘</w:t>
      </w:r>
      <w:r>
        <w:t xml:space="preserve">bandhaḥ,</w:t>
      </w:r>
      <w:r>
        <w:t xml:space="preserve">’</w:t>
      </w:r>
      <w:r>
        <w:t xml:space="preserve"> </w:t>
      </w:r>
      <w:r>
        <w:t xml:space="preserve">‘</w:t>
      </w:r>
      <w:r>
        <w:t xml:space="preserve">vājaḥ,</w:t>
      </w:r>
      <w:r>
        <w:t xml:space="preserve">’</w:t>
      </w:r>
      <w:r>
        <w:t xml:space="preserve"> </w:t>
      </w:r>
      <w:r>
        <w:t xml:space="preserve">‘</w:t>
      </w:r>
      <w:r>
        <w:t xml:space="preserve">pājaḥ</w:t>
      </w:r>
      <w:r>
        <w:t xml:space="preserve">’</w:t>
      </w:r>
      <w:r>
        <w:t xml:space="preserve"> </w:t>
      </w:r>
      <w:r>
        <w:t xml:space="preserve">are read; among the twelve names of</w:t>
      </w:r>
      <w:r>
        <w:t xml:space="preserve"> </w:t>
      </w:r>
      <w:r>
        <w:t xml:space="preserve">‘</w:t>
      </w:r>
      <w:r>
        <w:t xml:space="preserve">many,</w:t>
      </w:r>
      <w:r>
        <w:t xml:space="preserve">’</w:t>
      </w:r>
      <w:r>
        <w:t xml:space="preserve"> </w:t>
      </w:r>
      <w:r>
        <w:t xml:space="preserve">beginning with</w:t>
      </w:r>
      <w:r>
        <w:t xml:space="preserve"> </w:t>
      </w:r>
      <w:r>
        <w:t xml:space="preserve">‘</w:t>
      </w:r>
      <w:r>
        <w:t xml:space="preserve">uru, tuvi,</w:t>
      </w:r>
      <w:r>
        <w:t xml:space="preserve">’</w:t>
      </w:r>
      <w:r>
        <w:t xml:space="preserve"> </w:t>
      </w:r>
      <w:r>
        <w:t xml:space="preserve">‘</w:t>
      </w:r>
      <w:r>
        <w:t xml:space="preserve">śatam</w:t>
      </w:r>
      <w:r>
        <w:t xml:space="preserve">’</w:t>
      </w:r>
      <w:r>
        <w:t xml:space="preserve"> </w:t>
      </w:r>
      <w:r>
        <w:t xml:space="preserve">and</w:t>
      </w:r>
      <w:r>
        <w:t xml:space="preserve"> </w:t>
      </w:r>
      <w:r>
        <w:t xml:space="preserve">‘</w:t>
      </w:r>
      <w:r>
        <w:t xml:space="preserve">sahasram</w:t>
      </w:r>
      <w:r>
        <w:t xml:space="preserve">’</w:t>
      </w:r>
      <w:r>
        <w:t xml:space="preserve"> </w:t>
      </w:r>
      <w:r>
        <w:t xml:space="preserve">are read; among the twenty-six names of action beginning with</w:t>
      </w:r>
      <w:r>
        <w:t xml:space="preserve"> </w:t>
      </w:r>
      <w:r>
        <w:t xml:space="preserve">‘</w:t>
      </w:r>
      <w:r>
        <w:t xml:space="preserve">apaḥ, apsaḥ,</w:t>
      </w:r>
      <w:r>
        <w:t xml:space="preserve">’</w:t>
      </w:r>
      <w:r>
        <w:t xml:space="preserve"> </w:t>
      </w:r>
      <w:r>
        <w:t xml:space="preserve">‘</w:t>
      </w:r>
      <w:r>
        <w:t xml:space="preserve">śakma</w:t>
      </w:r>
      <w:r>
        <w:t xml:space="preserve">’</w:t>
      </w:r>
      <w:r>
        <w:t xml:space="preserve"> </w:t>
      </w:r>
      <w:r>
        <w:t xml:space="preserve">and</w:t>
      </w:r>
      <w:r>
        <w:t xml:space="preserve"> </w:t>
      </w:r>
      <w:r>
        <w:t xml:space="preserve">‘</w:t>
      </w:r>
      <w:r>
        <w:t xml:space="preserve">kratuḥ</w:t>
      </w:r>
      <w:r>
        <w:t xml:space="preserve">’</w:t>
      </w:r>
      <w:r>
        <w:t xml:space="preserve"> </w:t>
      </w:r>
      <w:r>
        <w:t xml:space="preserve">are read; among the eleven names of wisdom beginning with</w:t>
      </w:r>
      <w:r>
        <w:t xml:space="preserve"> </w:t>
      </w:r>
      <w:r>
        <w:t xml:space="preserve">‘</w:t>
      </w:r>
      <w:r>
        <w:t xml:space="preserve">ketaḥ, ketuḥ,</w:t>
      </w:r>
      <w:r>
        <w:t xml:space="preserve">’</w:t>
      </w:r>
      <w:r>
        <w:t xml:space="preserve"> </w:t>
      </w:r>
      <w:r>
        <w:t xml:space="preserve">‘</w:t>
      </w:r>
      <w:r>
        <w:t xml:space="preserve">kratuḥ</w:t>
      </w:r>
      <w:r>
        <w:t xml:space="preserve">’</w:t>
      </w:r>
      <w:r>
        <w:t xml:space="preserve"> </w:t>
      </w:r>
      <w:r>
        <w:t xml:space="preserve">and</w:t>
      </w:r>
      <w:r>
        <w:t xml:space="preserve"> </w:t>
      </w:r>
      <w:r>
        <w:t xml:space="preserve">‘</w:t>
      </w:r>
      <w:r>
        <w:t xml:space="preserve">asuḥ</w:t>
      </w:r>
      <w:r>
        <w:t xml:space="preserve">’</w:t>
      </w:r>
      <w:r>
        <w:t xml:space="preserve"> </w:t>
      </w:r>
      <w:r>
        <w:t xml:space="preserve">are read.</w:t>
      </w:r>
      <w:r>
        <w:t xml:space="preserve">”</w:t>
      </w:r>
      <w:r>
        <w:t xml:space="preserve"> </w:t>
      </w:r>
      <w:r>
        <w:rPr>
          <w:iCs/>
          <w:i/>
        </w:rPr>
        <w:t xml:space="preserve">(The print here has the counts as I give them; the Nighaṇṭu quotation</w:t>
      </w:r>
      <w:r>
        <w:rPr>
          <w:iCs/>
          <w:i/>
        </w:rPr>
        <w:t xml:space="preserve"> </w:t>
      </w:r>
      <w:r>
        <w:rPr>
          <w:iCs/>
          <w:i/>
        </w:rPr>
        <w:t xml:space="preserve">‘</w:t>
      </w:r>
      <w:r>
        <w:rPr>
          <w:iCs/>
          <w:i/>
        </w:rPr>
        <w:t xml:space="preserve">vājeṣv agmann</w:t>
      </w:r>
      <w:r>
        <w:rPr>
          <w:iCs/>
          <w:i/>
        </w:rPr>
        <w:t xml:space="preserve">’</w:t>
      </w:r>
      <w:r>
        <w:rPr>
          <w:iCs/>
          <w:i/>
        </w:rPr>
        <w:t xml:space="preserve"> </w:t>
      </w:r>
      <w:r>
        <w:rPr>
          <w:iCs/>
          <w:i/>
        </w:rPr>
        <w:t xml:space="preserve">is printed as I give it and I flag it as hard to read.)</w:t>
      </w:r>
    </w:p>
    <w:p>
      <w:pPr>
        <w:pStyle w:val="BodyText"/>
      </w:pPr>
      <w:r>
        <w:rPr>
          <w:bCs/>
          <w:b/>
        </w:rPr>
        <w:t xml:space="preserve">Grammar within the Bhāṣya (characterized):</w:t>
      </w:r>
      <w:r>
        <w:t xml:space="preserve"> </w:t>
      </w:r>
      <w:r>
        <w:t xml:space="preserve">“</w:t>
      </w:r>
      <w:r>
        <w:t xml:space="preserve">Tvā</w:t>
      </w:r>
      <w:r>
        <w:t xml:space="preserve">”</w:t>
      </w:r>
      <w:r>
        <w:t xml:space="preserve"> </w:t>
      </w:r>
      <w:r>
        <w:t xml:space="preserve">— unaccented (</w:t>
      </w:r>
      <w:r>
        <w:t xml:space="preserve">“</w:t>
      </w:r>
      <w:r>
        <w:t xml:space="preserve">anudāttaṃ sarvam</w:t>
      </w:r>
      <w:r>
        <w:t xml:space="preserve">”</w:t>
      </w:r>
      <w:r>
        <w:t xml:space="preserve"> </w:t>
      </w:r>
      <w:r>
        <w:t xml:space="preserve">by continuation), by</w:t>
      </w:r>
      <w:r>
        <w:t xml:space="preserve"> </w:t>
      </w:r>
      <w:r>
        <w:rPr>
          <w:bCs/>
          <w:b/>
        </w:rPr>
        <w:t xml:space="preserve">त्वामौ द्वितीयायाः</w:t>
      </w:r>
      <w:r>
        <w:t xml:space="preserve"> </w:t>
      </w:r>
      <w:r>
        <w:t xml:space="preserve">(पा. ८-१-२३)</w:t>
      </w:r>
      <w:r>
        <w:t xml:space="preserve"> </w:t>
      </w:r>
      <w:r>
        <w:t xml:space="preserve">“</w:t>
      </w:r>
      <w:r>
        <w:t xml:space="preserve">tvā</w:t>
      </w:r>
      <w:r>
        <w:t xml:space="preserve">”</w:t>
      </w:r>
      <w:r>
        <w:t xml:space="preserve"> </w:t>
      </w:r>
      <w:r>
        <w:t xml:space="preserve">replaces</w:t>
      </w:r>
      <w:r>
        <w:t xml:space="preserve"> </w:t>
      </w:r>
      <w:r>
        <w:t xml:space="preserve">“</w:t>
      </w:r>
      <w:r>
        <w:t xml:space="preserve">tvām.</w:t>
      </w:r>
      <w:r>
        <w:t xml:space="preserve">”</w:t>
      </w:r>
      <w:r>
        <w:t xml:space="preserve"> </w:t>
      </w:r>
      <w:r>
        <w:t xml:space="preserve">“</w:t>
      </w:r>
      <w:r>
        <w:t xml:space="preserve">Vājeṣu</w:t>
      </w:r>
      <w:r>
        <w:t xml:space="preserve">”</w:t>
      </w:r>
      <w:r>
        <w:t xml:space="preserve"> </w:t>
      </w:r>
      <w:r>
        <w:t xml:space="preserve">— root</w:t>
      </w:r>
      <w:r>
        <w:t xml:space="preserve"> </w:t>
      </w:r>
      <w:r>
        <w:t xml:space="preserve">“</w:t>
      </w:r>
      <w:r>
        <w:t xml:space="preserve">vaja/vraja gatau</w:t>
      </w:r>
      <w:r>
        <w:t xml:space="preserve">”</w:t>
      </w:r>
      <w:r>
        <w:t xml:space="preserve"> </w:t>
      </w:r>
      <w:r>
        <w:t xml:space="preserve">(to go);</w:t>
      </w:r>
      <w:r>
        <w:t xml:space="preserve"> </w:t>
      </w:r>
      <w:r>
        <w:t xml:space="preserve">“</w:t>
      </w:r>
      <w:r>
        <w:t xml:space="preserve">vājayati</w:t>
      </w:r>
      <w:r>
        <w:t xml:space="preserve">”</w:t>
      </w:r>
      <w:r>
        <w:t xml:space="preserve"> </w:t>
      </w:r>
      <w:r>
        <w:t xml:space="preserve">—</w:t>
      </w:r>
      <w:r>
        <w:t xml:space="preserve"> </w:t>
      </w:r>
      <w:r>
        <w:t xml:space="preserve">“</w:t>
      </w:r>
      <w:r>
        <w:t xml:space="preserve">he makes go</w:t>
      </w:r>
      <w:r>
        <w:t xml:space="preserve">”</w:t>
      </w:r>
      <w:r>
        <w:t xml:space="preserve">;</w:t>
      </w:r>
      <w:r>
        <w:t xml:space="preserve"> </w:t>
      </w:r>
      <w:r>
        <w:t xml:space="preserve">“</w:t>
      </w:r>
      <w:r>
        <w:t xml:space="preserve">vāja</w:t>
      </w:r>
      <w:r>
        <w:t xml:space="preserve">”</w:t>
      </w:r>
      <w:r>
        <w:t xml:space="preserve"> </w:t>
      </w:r>
      <w:r>
        <w:t xml:space="preserve">is strength or food, by which the support of the body is accomplished;</w:t>
      </w:r>
      <w:r>
        <w:t xml:space="preserve"> </w:t>
      </w:r>
      <w:r>
        <w:t xml:space="preserve">“</w:t>
      </w:r>
      <w:r>
        <w:t xml:space="preserve">ghañ</w:t>
      </w:r>
      <w:r>
        <w:t xml:space="preserve">”</w:t>
      </w:r>
      <w:r>
        <w:t xml:space="preserve"> </w:t>
      </w:r>
      <w:r>
        <w:t xml:space="preserve">after the causal root in the sense of instrument; the</w:t>
      </w:r>
      <w:r>
        <w:t xml:space="preserve"> </w:t>
      </w:r>
      <w:r>
        <w:t xml:space="preserve">“</w:t>
      </w:r>
      <w:r>
        <w:t xml:space="preserve">ñit</w:t>
      </w:r>
      <w:r>
        <w:t xml:space="preserve">”</w:t>
      </w:r>
      <w:r>
        <w:t xml:space="preserve">-accent (end-acute by the</w:t>
      </w:r>
      <w:r>
        <w:t xml:space="preserve"> </w:t>
      </w:r>
      <w:r>
        <w:t xml:space="preserve">“</w:t>
      </w:r>
      <w:r>
        <w:t xml:space="preserve">ñit</w:t>
      </w:r>
      <w:r>
        <w:t xml:space="preserve">”</w:t>
      </w:r>
      <w:r>
        <w:t xml:space="preserve"> </w:t>
      </w:r>
      <w:r>
        <w:t xml:space="preserve">rule,</w:t>
      </w:r>
      <w:r>
        <w:t xml:space="preserve"> </w:t>
      </w:r>
      <w:r>
        <w:rPr>
          <w:bCs/>
          <w:b/>
        </w:rPr>
        <w:t xml:space="preserve">ञित्यादिर्नित्यम्</w:t>
      </w:r>
      <w:r>
        <w:t xml:space="preserve">, पा. ६-१-१९७, with the exception</w:t>
      </w:r>
      <w:r>
        <w:t xml:space="preserve"> </w:t>
      </w:r>
      <w:r>
        <w:rPr>
          <w:bCs/>
          <w:b/>
        </w:rPr>
        <w:t xml:space="preserve">कर्षात्वतो घञोऽन्त उदात्तः</w:t>
      </w:r>
      <w:r>
        <w:t xml:space="preserve">, पा. ६-१-१५९) would give an end-acute, but the more special</w:t>
      </w:r>
      <w:r>
        <w:t xml:space="preserve"> </w:t>
      </w:r>
      <w:r>
        <w:rPr>
          <w:bCs/>
          <w:b/>
        </w:rPr>
        <w:t xml:space="preserve">वृषादीनां च</w:t>
      </w:r>
      <w:r>
        <w:t xml:space="preserve"> </w:t>
      </w:r>
      <w:r>
        <w:t xml:space="preserve">(पा. ६-१-२०३) makes it first-syllable acute.</w:t>
      </w:r>
      <w:r>
        <w:t xml:space="preserve"> </w:t>
      </w:r>
      <w:r>
        <w:t xml:space="preserve">“</w:t>
      </w:r>
      <w:r>
        <w:t xml:space="preserve">Vājayāmaḥ</w:t>
      </w:r>
      <w:r>
        <w:t xml:space="preserve">”</w:t>
      </w:r>
      <w:r>
        <w:t xml:space="preserve"> </w:t>
      </w:r>
      <w:r>
        <w:t xml:space="preserve">—</w:t>
      </w:r>
      <w:r>
        <w:t xml:space="preserve"> </w:t>
      </w:r>
      <w:r>
        <w:t xml:space="preserve">“</w:t>
      </w:r>
      <w:r>
        <w:t xml:space="preserve">vājo ’syāstīti vājavān</w:t>
      </w:r>
      <w:r>
        <w:t xml:space="preserve">”</w:t>
      </w:r>
      <w:r>
        <w:t xml:space="preserve">;</w:t>
      </w:r>
      <w:r>
        <w:t xml:space="preserve"> </w:t>
      </w:r>
      <w:r>
        <w:t xml:space="preserve">“</w:t>
      </w:r>
      <w:r>
        <w:t xml:space="preserve">taṃ karoti</w:t>
      </w:r>
      <w:r>
        <w:t xml:space="preserve">”</w:t>
      </w:r>
      <w:r>
        <w:t xml:space="preserve"> </w:t>
      </w:r>
      <w:r>
        <w:t xml:space="preserve">(</w:t>
      </w:r>
      <w:r>
        <w:t xml:space="preserve">“</w:t>
      </w:r>
      <w:r>
        <w:t xml:space="preserve">he makes him that</w:t>
      </w:r>
      <w:r>
        <w:t xml:space="preserve">”</w:t>
      </w:r>
      <w:r>
        <w:t xml:space="preserve">);</w:t>
      </w:r>
      <w:r>
        <w:t xml:space="preserve"> </w:t>
      </w:r>
      <w:r>
        <w:t xml:space="preserve">“</w:t>
      </w:r>
      <w:r>
        <w:t xml:space="preserve">tat karoti tad ācaṣṭe</w:t>
      </w:r>
      <w:r>
        <w:t xml:space="preserve">”</w:t>
      </w:r>
      <w:r>
        <w:t xml:space="preserve"> </w:t>
      </w:r>
      <w:r>
        <w:t xml:space="preserve">(</w:t>
      </w:r>
      <w:r>
        <w:rPr>
          <w:bCs/>
          <w:b/>
        </w:rPr>
        <w:t xml:space="preserve">तत्करोति तदाचष्टे</w:t>
      </w:r>
      <w:r>
        <w:t xml:space="preserve">, पा. ३-१-२६) — the causal</w:t>
      </w:r>
      <w:r>
        <w:t xml:space="preserve"> </w:t>
      </w:r>
      <w:r>
        <w:t xml:space="preserve">“</w:t>
      </w:r>
      <w:r>
        <w:t xml:space="preserve">ṇic</w:t>
      </w:r>
      <w:r>
        <w:t xml:space="preserve">”</w:t>
      </w:r>
      <w:r>
        <w:t xml:space="preserve"> </w:t>
      </w:r>
      <w:r>
        <w:t xml:space="preserve">…</w:t>
      </w:r>
      <w:r>
        <w:t xml:space="preserve"> </w:t>
      </w:r>
      <w:r>
        <w:rPr>
          <w:iCs/>
          <w:i/>
        </w:rPr>
        <w:t xml:space="preserve">(continues on the next page)</w:t>
      </w:r>
    </w:p>
    <w:bookmarkEnd w:id="159"/>
    <w:bookmarkStart w:id="160" w:name="X384c9ed3d0f37b4fcb740640a2efb2b225d26b6"/>
    <w:p>
      <w:pPr>
        <w:pStyle w:val="Heading3"/>
      </w:pPr>
      <w:r>
        <w:t xml:space="preserve">Page 127 — Rik 4.9: grammar concluded; Pada-meanings; Bhāvārtha; English rendering; Special topics (opening)</w:t>
      </w:r>
    </w:p>
    <w:p>
      <w:pPr>
        <w:pStyle w:val="FirstParagraph"/>
      </w:pPr>
      <w:r>
        <w:rPr>
          <w:iCs/>
          <w:i/>
        </w:rPr>
        <w:t xml:space="preserve">(Page header:</w:t>
      </w:r>
      <w:r>
        <w:rPr>
          <w:iCs/>
          <w:i/>
        </w:rPr>
        <w:t xml:space="preserve"> </w:t>
      </w:r>
      <w:r>
        <w:rPr>
          <w:iCs/>
          <w:i/>
        </w:rPr>
        <w:t xml:space="preserve">“</w:t>
      </w:r>
      <w:r>
        <w:rPr>
          <w:iCs/>
          <w:i/>
        </w:rPr>
        <w:t xml:space="preserve">Aṣṭaka 1, Adhyāya 1, Varga 8 · Ṛgveda-saṃhitā.</w:t>
      </w:r>
      <w:r>
        <w:rPr>
          <w:iCs/>
          <w:i/>
        </w:rPr>
        <w:t xml:space="preserve">”</w:t>
      </w:r>
      <w:r>
        <w:rPr>
          <w:iCs/>
          <w:i/>
        </w:rPr>
        <w:t xml:space="preserve"> </w:t>
      </w:r>
      <w:r>
        <w:rPr>
          <w:iCs/>
          <w:i/>
        </w:rPr>
        <w:t xml:space="preserve">Sūtra-numbers in small Kannada numerals; [?] where uncertain. English as printed.)</w:t>
      </w:r>
    </w:p>
    <w:p>
      <w:pPr>
        <w:pStyle w:val="BodyText"/>
      </w:pPr>
      <w:r>
        <w:rPr>
          <w:bCs/>
          <w:b/>
        </w:rPr>
        <w:t xml:space="preserve">Grammar within the Bhāṣya, concluded</w:t>
      </w:r>
      <w:r>
        <w:t xml:space="preserve"> </w:t>
      </w:r>
      <w:r>
        <w:rPr>
          <w:iCs/>
          <w:i/>
        </w:rPr>
        <w:t xml:space="preserve">(the Sanskrit on the top of this page, transcribed as I read it, with its sūtras; given in outline since it is pure derivation)</w:t>
      </w:r>
      <w:r>
        <w:t xml:space="preserve">:</w:t>
      </w:r>
    </w:p>
    <w:p>
      <w:pPr>
        <w:pStyle w:val="BlockText"/>
      </w:pPr>
      <w:r>
        <w:t xml:space="preserve">…ṇic | iṣṭhavaṇau prātipadikasya | pā. 6-4-155-1 | iti tasmin svare iṣṭhavad-bhāvād vinmator luk | pā. 5-3-65 | iti matupo luk | ṭeḥ | pā. 6-4-143 | ity akāra-lopaḥ | ṇic-cit-tvād antodāttatvaṃ śapaḥ pittvenānudāttatvaṃ lasārvadhātuka-svareṇākhyātasyāpy anudāttatvaṃ | pādāditvāt tiṅ atiṅa iti na nighātaḥ | śatakrato | āmantritanighātaḥ | dhanānām | nab-viṣayasyānisantasyety ādyudāttaḥ | sātaye | udātta ity anuvṛttyā ūtiyūti-jūti-sāti-heti-kīrtayaś ceti ktin-nudāttaḥ ||</w:t>
      </w:r>
      <w:r>
        <w:t xml:space="preserve"> </w:t>
      </w:r>
      <w:r>
        <w:rPr>
          <w:iCs/>
          <w:i/>
        </w:rPr>
        <w:t xml:space="preserve">(Devanagari: …णिच् । इष्ठेवणौ प्रातिपदिकस्य । पा. ६-४-१५५-१ । इति तस्मिन्स्वरे इष्ठवद्भावाद्विन्मतोर्लुक् । पा. ५-३-६५ । इति मतुपो लुक् । टेः । पा. ६-४-१४३ । इत्यकारलोपः । णिच्चित्त्वादन्तोदात्तत्वं शपः पित्त्वेनानुदात्तत्वं लसार्वधातुकस्वरेणाख्यातस्याप्यनुदात्तत्वं । पादादित्वात्तिङ्ङतिङ इति न निघातः । शतक्रतो । आमन्त्रितनिघातः । धनानाम् । नब्विषयस्यानिसन्तस्येत्याद्युदात्तः । सातये । उदात्त इत्यनुवृत्त्यादिः ऊतियूतिजूतिसातिहेतिकीर्तयश्चेति क्तिन्नुदात्तः ॥)</w:t>
      </w:r>
      <w:r>
        <w:t xml:space="preserve"> </w:t>
      </w:r>
      <w:r>
        <w:rPr>
          <w:iCs/>
          <w:i/>
        </w:rPr>
        <w:t xml:space="preserve">Translation, in outline:</w:t>
      </w:r>
      <w:r>
        <w:t xml:space="preserve"> </w:t>
      </w:r>
      <w:r>
        <w:t xml:space="preserve">“</w:t>
      </w:r>
      <w:r>
        <w:t xml:space="preserve">‘</w:t>
      </w:r>
      <w:r>
        <w:t xml:space="preserve">Ṇic</w:t>
      </w:r>
      <w:r>
        <w:t xml:space="preserve">’</w:t>
      </w:r>
      <w:r>
        <w:t xml:space="preserve"> </w:t>
      </w:r>
      <w:r>
        <w:t xml:space="preserve">… after the</w:t>
      </w:r>
      <w:r>
        <w:t xml:space="preserve"> </w:t>
      </w:r>
      <w:r>
        <w:t xml:space="preserve">‘</w:t>
      </w:r>
      <w:r>
        <w:t xml:space="preserve">iṣṭha</w:t>
      </w:r>
      <w:r>
        <w:t xml:space="preserve">’</w:t>
      </w:r>
      <w:r>
        <w:t xml:space="preserve"> </w:t>
      </w:r>
      <w:r>
        <w:t xml:space="preserve">and</w:t>
      </w:r>
      <w:r>
        <w:t xml:space="preserve"> </w:t>
      </w:r>
      <w:r>
        <w:t xml:space="preserve">‘</w:t>
      </w:r>
      <w:r>
        <w:t xml:space="preserve">vat</w:t>
      </w:r>
      <w:r>
        <w:t xml:space="preserve">’</w:t>
      </w:r>
      <w:r>
        <w:t xml:space="preserve"> </w:t>
      </w:r>
      <w:r>
        <w:t xml:space="preserve">affixes (</w:t>
      </w:r>
      <w:r>
        <w:rPr>
          <w:bCs/>
          <w:b/>
        </w:rPr>
        <w:t xml:space="preserve">इष्ठेमेयस्सु टेः</w:t>
      </w:r>
      <w:r>
        <w:t xml:space="preserve">, पा. ६-४-१५५ etc.) the</w:t>
      </w:r>
      <w:r>
        <w:t xml:space="preserve"> </w:t>
      </w:r>
      <w:r>
        <w:t xml:space="preserve">‘</w:t>
      </w:r>
      <w:r>
        <w:t xml:space="preserve">iṣṭhavad-bhāva</w:t>
      </w:r>
      <w:r>
        <w:t xml:space="preserve">’</w:t>
      </w:r>
      <w:r>
        <w:t xml:space="preserve"> </w:t>
      </w:r>
      <w:r>
        <w:t xml:space="preserve">treats the stem as if before an</w:t>
      </w:r>
      <w:r>
        <w:t xml:space="preserve"> </w:t>
      </w:r>
      <w:r>
        <w:t xml:space="preserve">‘</w:t>
      </w:r>
      <w:r>
        <w:t xml:space="preserve">iṣṭha</w:t>
      </w:r>
      <w:r>
        <w:t xml:space="preserve">’</w:t>
      </w:r>
      <w:r>
        <w:t xml:space="preserve">-affix, whence the elision of the</w:t>
      </w:r>
      <w:r>
        <w:t xml:space="preserve"> </w:t>
      </w:r>
      <w:r>
        <w:t xml:space="preserve">‘</w:t>
      </w:r>
      <w:r>
        <w:t xml:space="preserve">vin</w:t>
      </w:r>
      <w:r>
        <w:t xml:space="preserve">’</w:t>
      </w:r>
      <w:r>
        <w:t xml:space="preserve">/</w:t>
      </w:r>
      <w:r>
        <w:t xml:space="preserve">‘</w:t>
      </w:r>
      <w:r>
        <w:t xml:space="preserve">matup</w:t>
      </w:r>
      <w:r>
        <w:t xml:space="preserve">’</w:t>
      </w:r>
      <w:r>
        <w:t xml:space="preserve"> </w:t>
      </w:r>
      <w:r>
        <w:t xml:space="preserve">(</w:t>
      </w:r>
      <w:r>
        <w:rPr>
          <w:bCs/>
          <w:b/>
        </w:rPr>
        <w:t xml:space="preserve">विन्मतोर्लुक्</w:t>
      </w:r>
      <w:r>
        <w:t xml:space="preserve">, पा. ५-३-६५);</w:t>
      </w:r>
      <w:r>
        <w:t xml:space="preserve"> </w:t>
      </w:r>
      <w:r>
        <w:rPr>
          <w:bCs/>
          <w:b/>
        </w:rPr>
        <w:t xml:space="preserve">टेः</w:t>
      </w:r>
      <w:r>
        <w:t xml:space="preserve"> </w:t>
      </w:r>
      <w:r>
        <w:t xml:space="preserve">(पा. ६-४-१४३): the final</w:t>
      </w:r>
      <w:r>
        <w:t xml:space="preserve"> </w:t>
      </w:r>
      <w:r>
        <w:t xml:space="preserve">‘</w:t>
      </w:r>
      <w:r>
        <w:t xml:space="preserve">a</w:t>
      </w:r>
      <w:r>
        <w:t xml:space="preserve">’</w:t>
      </w:r>
      <w:r>
        <w:t xml:space="preserve"> </w:t>
      </w:r>
      <w:r>
        <w:t xml:space="preserve">of the stem is elided; by the</w:t>
      </w:r>
      <w:r>
        <w:t xml:space="preserve"> </w:t>
      </w:r>
      <w:r>
        <w:t xml:space="preserve">‘</w:t>
      </w:r>
      <w:r>
        <w:t xml:space="preserve">c</w:t>
      </w:r>
      <w:r>
        <w:t xml:space="preserve">’</w:t>
      </w:r>
      <w:r>
        <w:t xml:space="preserve">-mark of</w:t>
      </w:r>
      <w:r>
        <w:t xml:space="preserve"> </w:t>
      </w:r>
      <w:r>
        <w:t xml:space="preserve">‘</w:t>
      </w:r>
      <w:r>
        <w:t xml:space="preserve">ṇic</w:t>
      </w:r>
      <w:r>
        <w:t xml:space="preserve">’</w:t>
      </w:r>
      <w:r>
        <w:t xml:space="preserve"> </w:t>
      </w:r>
      <w:r>
        <w:t xml:space="preserve">the end-acute; the</w:t>
      </w:r>
      <w:r>
        <w:t xml:space="preserve"> </w:t>
      </w:r>
      <w:r>
        <w:t xml:space="preserve">‘</w:t>
      </w:r>
      <w:r>
        <w:t xml:space="preserve">śap</w:t>
      </w:r>
      <w:r>
        <w:t xml:space="preserve">’</w:t>
      </w:r>
      <w:r>
        <w:t xml:space="preserve"> </w:t>
      </w:r>
      <w:r>
        <w:t xml:space="preserve">being</w:t>
      </w:r>
      <w:r>
        <w:t xml:space="preserve"> </w:t>
      </w:r>
      <w:r>
        <w:t xml:space="preserve">‘</w:t>
      </w:r>
      <w:r>
        <w:t xml:space="preserve">p</w:t>
      </w:r>
      <w:r>
        <w:t xml:space="preserve">’</w:t>
      </w:r>
      <w:r>
        <w:t xml:space="preserve">-marked is unaccented; by the sārvadhātuka-accent rule the verb is unaccented too; since the word stands at the beginning of the pāda, the</w:t>
      </w:r>
      <w:r>
        <w:t xml:space="preserve"> </w:t>
      </w:r>
      <w:r>
        <w:t xml:space="preserve">‘</w:t>
      </w:r>
      <w:r>
        <w:t xml:space="preserve">tiṅ atiṅaḥ</w:t>
      </w:r>
      <w:r>
        <w:t xml:space="preserve">’</w:t>
      </w:r>
      <w:r>
        <w:t xml:space="preserve"> </w:t>
      </w:r>
      <w:r>
        <w:t xml:space="preserve">nighāta does not apply.</w:t>
      </w:r>
      <w:r>
        <w:t xml:space="preserve"> </w:t>
      </w:r>
      <w:r>
        <w:t xml:space="preserve">‘</w:t>
      </w:r>
      <w:r>
        <w:t xml:space="preserve">Śatakrato</w:t>
      </w:r>
      <w:r>
        <w:t xml:space="preserve">’</w:t>
      </w:r>
      <w:r>
        <w:t xml:space="preserve"> </w:t>
      </w:r>
      <w:r>
        <w:t xml:space="preserve">— the vocative’s nighāta.</w:t>
      </w:r>
      <w:r>
        <w:t xml:space="preserve"> </w:t>
      </w:r>
      <w:r>
        <w:t xml:space="preserve">‘</w:t>
      </w:r>
      <w:r>
        <w:t xml:space="preserve">Dhanānām</w:t>
      </w:r>
      <w:r>
        <w:t xml:space="preserve">’</w:t>
      </w:r>
      <w:r>
        <w:t xml:space="preserve"> </w:t>
      </w:r>
      <w:r>
        <w:t xml:space="preserve">— first-syllable acute (</w:t>
      </w:r>
      <w:r>
        <w:rPr>
          <w:bCs/>
          <w:b/>
        </w:rPr>
        <w:t xml:space="preserve">नब्विषयस्यानिसन्तस्य</w:t>
      </w:r>
      <w:r>
        <w:t xml:space="preserve">).</w:t>
      </w:r>
      <w:r>
        <w:t xml:space="preserve"> </w:t>
      </w:r>
      <w:r>
        <w:t xml:space="preserve">‘</w:t>
      </w:r>
      <w:r>
        <w:t xml:space="preserve">Sātaye</w:t>
      </w:r>
      <w:r>
        <w:t xml:space="preserve">’</w:t>
      </w:r>
      <w:r>
        <w:t xml:space="preserve"> </w:t>
      </w:r>
      <w:r>
        <w:t xml:space="preserve">— by the continuation of</w:t>
      </w:r>
      <w:r>
        <w:t xml:space="preserve"> </w:t>
      </w:r>
      <w:r>
        <w:t xml:space="preserve">‘</w:t>
      </w:r>
      <w:r>
        <w:t xml:space="preserve">udātta</w:t>
      </w:r>
      <w:r>
        <w:t xml:space="preserve">’</w:t>
      </w:r>
      <w:r>
        <w:t xml:space="preserve"> </w:t>
      </w:r>
      <w:r>
        <w:t xml:space="preserve">from</w:t>
      </w:r>
      <w:r>
        <w:t xml:space="preserve"> </w:t>
      </w:r>
      <w:r>
        <w:rPr>
          <w:bCs/>
          <w:b/>
        </w:rPr>
        <w:t xml:space="preserve">ऊतियूतिजूतिसातिहेतिकीर्तयश्च</w:t>
      </w:r>
      <w:r>
        <w:t xml:space="preserve"> </w:t>
      </w:r>
      <w:r>
        <w:t xml:space="preserve">(पा. ३-३-९७), the</w:t>
      </w:r>
      <w:r>
        <w:t xml:space="preserve"> </w:t>
      </w:r>
      <w:r>
        <w:t xml:space="preserve">‘</w:t>
      </w:r>
      <w:r>
        <w:t xml:space="preserve">ktin</w:t>
      </w:r>
      <w:r>
        <w:t xml:space="preserve">’</w:t>
      </w:r>
      <w:r>
        <w:t xml:space="preserve"> </w:t>
      </w:r>
      <w:r>
        <w:t xml:space="preserve">is acute.</w:t>
      </w:r>
      <w:r>
        <w:t xml:space="preserve">”</w:t>
      </w:r>
      <w:r>
        <w:t xml:space="preserve"> </w:t>
      </w:r>
      <w:r>
        <w:t xml:space="preserve">॥९॥</w:t>
      </w:r>
    </w:p>
    <w:p>
      <w:pPr>
        <w:pStyle w:val="FirstParagraph"/>
      </w:pPr>
      <w:r>
        <w:rPr>
          <w:iCs/>
          <w:i/>
        </w:rPr>
        <w:t xml:space="preserve">(Reading notes: the sūtra-numbers in this paragraph are read from small numerals and are low-confidence; the sūtra wording</w:t>
      </w:r>
      <w:r>
        <w:rPr>
          <w:iCs/>
          <w:i/>
        </w:rPr>
        <w:t xml:space="preserve"> </w:t>
      </w:r>
      <w:r>
        <w:rPr>
          <w:iCs/>
          <w:i/>
        </w:rPr>
        <w:t xml:space="preserve">“</w:t>
      </w:r>
      <w:r>
        <w:rPr>
          <w:iCs/>
          <w:i/>
        </w:rPr>
        <w:t xml:space="preserve">iṣṭhavaṇau prātipadikasya</w:t>
      </w:r>
      <w:r>
        <w:rPr>
          <w:iCs/>
          <w:i/>
        </w:rPr>
        <w:t xml:space="preserve">”</w:t>
      </w:r>
      <w:r>
        <w:rPr>
          <w:iCs/>
          <w:i/>
        </w:rPr>
        <w:t xml:space="preserve"> </w:t>
      </w:r>
      <w:r>
        <w:rPr>
          <w:iCs/>
          <w:i/>
        </w:rPr>
        <w:t xml:space="preserve">is hard to read in the print and I transcribe it as I make it out.)</w:t>
      </w:r>
    </w:p>
    <w:p>
      <w:pPr>
        <w:pStyle w:val="BodyText"/>
      </w:pPr>
      <w:r>
        <w:rPr>
          <w:bCs/>
          <w:b/>
        </w:rPr>
        <w:t xml:space="preserve">॥ Prati-padārthaḥ ॥</w:t>
      </w:r>
      <w:r>
        <w:t xml:space="preserve"> </w:t>
      </w:r>
      <w:r>
        <w:rPr>
          <w:iCs/>
          <w:i/>
        </w:rPr>
        <w:t xml:space="preserve">(Kannada, translated)</w:t>
      </w:r>
    </w:p>
    <w:p>
      <w:pPr>
        <w:numPr>
          <w:ilvl w:val="0"/>
          <w:numId w:val="1021"/>
        </w:numPr>
        <w:pStyle w:val="Compact"/>
      </w:pPr>
      <w:r>
        <w:rPr>
          <w:bCs/>
          <w:b/>
        </w:rPr>
        <w:t xml:space="preserve">शतक्रतो (śatakrato)</w:t>
      </w:r>
      <w:r>
        <w:t xml:space="preserve"> </w:t>
      </w:r>
      <w:r>
        <w:t xml:space="preserve">— one who performs many daring deeds, or who is endowed with much wisdom |</w:t>
      </w:r>
      <w:r>
        <w:t xml:space="preserve"> </w:t>
      </w:r>
      <w:r>
        <w:rPr>
          <w:bCs/>
          <w:b/>
        </w:rPr>
        <w:t xml:space="preserve">इन्द्र (indra)</w:t>
      </w:r>
      <w:r>
        <w:t xml:space="preserve"> </w:t>
      </w:r>
      <w:r>
        <w:t xml:space="preserve">— O Indra |</w:t>
      </w:r>
      <w:r>
        <w:t xml:space="preserve"> </w:t>
      </w:r>
      <w:r>
        <w:rPr>
          <w:bCs/>
          <w:b/>
        </w:rPr>
        <w:t xml:space="preserve">धनानाम् (dhanānām)</w:t>
      </w:r>
      <w:r>
        <w:t xml:space="preserve"> </w:t>
      </w:r>
      <w:r>
        <w:t xml:space="preserve">— of wealth and other possessions |</w:t>
      </w:r>
      <w:r>
        <w:t xml:space="preserve"> </w:t>
      </w:r>
      <w:r>
        <w:rPr>
          <w:bCs/>
          <w:b/>
        </w:rPr>
        <w:t xml:space="preserve">सातये (sātaye)</w:t>
      </w:r>
      <w:r>
        <w:t xml:space="preserve"> </w:t>
      </w:r>
      <w:r>
        <w:t xml:space="preserve">— for the attainment |</w:t>
      </w:r>
      <w:r>
        <w:t xml:space="preserve"> </w:t>
      </w:r>
      <w:r>
        <w:rPr>
          <w:bCs/>
          <w:b/>
        </w:rPr>
        <w:t xml:space="preserve">वाजेषु (vājeṣu)</w:t>
      </w:r>
      <w:r>
        <w:t xml:space="preserve"> </w:t>
      </w:r>
      <w:r>
        <w:t xml:space="preserve">— in battles |</w:t>
      </w:r>
      <w:r>
        <w:t xml:space="preserve"> </w:t>
      </w:r>
      <w:r>
        <w:rPr>
          <w:bCs/>
          <w:b/>
        </w:rPr>
        <w:t xml:space="preserve">वाजिनम् (vājinam)</w:t>
      </w:r>
      <w:r>
        <w:t xml:space="preserve"> </w:t>
      </w:r>
      <w:r>
        <w:t xml:space="preserve">— who are strong |</w:t>
      </w:r>
      <w:r>
        <w:t xml:space="preserve"> </w:t>
      </w:r>
      <w:r>
        <w:rPr>
          <w:bCs/>
          <w:b/>
        </w:rPr>
        <w:t xml:space="preserve">तम् (tam)</w:t>
      </w:r>
      <w:r>
        <w:t xml:space="preserve"> </w:t>
      </w:r>
      <w:r>
        <w:t xml:space="preserve">— who are endowed with the qualities stated in the earlier mantra |</w:t>
      </w:r>
      <w:r>
        <w:t xml:space="preserve"> </w:t>
      </w:r>
      <w:r>
        <w:rPr>
          <w:bCs/>
          <w:b/>
        </w:rPr>
        <w:t xml:space="preserve">त्वा (tvā)</w:t>
      </w:r>
      <w:r>
        <w:t xml:space="preserve"> </w:t>
      </w:r>
      <w:r>
        <w:t xml:space="preserve">— you |</w:t>
      </w:r>
      <w:r>
        <w:t xml:space="preserve"> </w:t>
      </w:r>
      <w:r>
        <w:rPr>
          <w:bCs/>
          <w:b/>
        </w:rPr>
        <w:t xml:space="preserve">वाजयामः (vājayāmaḥ)</w:t>
      </w:r>
      <w:r>
        <w:t xml:space="preserve"> </w:t>
      </w:r>
      <w:r>
        <w:t xml:space="preserve">— we make endowed with food (we offer to you food in the form of the oblation).</w:t>
      </w:r>
    </w:p>
    <w:p>
      <w:pPr>
        <w:pStyle w:val="FirstParagraph"/>
      </w:pPr>
      <w:r>
        <w:rPr>
          <w:bCs/>
          <w:b/>
        </w:rPr>
        <w:t xml:space="preserve">॥ Bhāvārthaḥ ॥</w:t>
      </w:r>
      <w:r>
        <w:t xml:space="preserve"> </w:t>
      </w:r>
      <w:r>
        <w:rPr>
          <w:iCs/>
          <w:i/>
        </w:rPr>
        <w:t xml:space="preserve">(Kannada, translated)</w:t>
      </w:r>
    </w:p>
    <w:p>
      <w:pPr>
        <w:pStyle w:val="BodyText"/>
      </w:pPr>
      <w:r>
        <w:t xml:space="preserve">O Indra, endowed with wisdom! In order to obtain wealth, cattle, sons and the like, we offer the oblation — that is, food — to you, who are strong — mighty — in battles.</w:t>
      </w:r>
    </w:p>
    <w:p>
      <w:pPr>
        <w:pStyle w:val="BodyText"/>
      </w:pPr>
      <w:r>
        <w:rPr>
          <w:bCs/>
          <w:b/>
        </w:rPr>
        <w:t xml:space="preserve">English Translation</w:t>
      </w:r>
      <w:r>
        <w:t xml:space="preserve"> </w:t>
      </w:r>
      <w:r>
        <w:rPr>
          <w:iCs/>
          <w:i/>
        </w:rPr>
        <w:t xml:space="preserve">(printed in English in the source itself):</w:t>
      </w:r>
    </w:p>
    <w:p>
      <w:pPr>
        <w:pStyle w:val="BodyText"/>
      </w:pPr>
      <w:r>
        <w:t xml:space="preserve">“</w:t>
      </w:r>
      <w:r>
        <w:t xml:space="preserve">O Indra performer of many sacrifices (or one endowed with great wisdom), we offer sacrificial food to you who are powerful in battles, for the acquisition of riches.</w:t>
      </w:r>
      <w:r>
        <w:t xml:space="preserve">”</w:t>
      </w:r>
    </w:p>
    <w:p>
      <w:pPr>
        <w:pStyle w:val="BodyText"/>
      </w:pPr>
      <w:r>
        <w:rPr>
          <w:bCs/>
          <w:b/>
        </w:rPr>
        <w:t xml:space="preserve">॥ Viśeṣa-viṣayagaḷu (Special Topics) ॥</w:t>
      </w:r>
    </w:p>
    <w:p>
      <w:pPr>
        <w:pStyle w:val="BodyText"/>
      </w:pPr>
      <w:r>
        <w:t xml:space="preserve">The sense of the word</w:t>
      </w:r>
      <w:r>
        <w:t xml:space="preserve"> </w:t>
      </w:r>
      <w:r>
        <w:t xml:space="preserve">“</w:t>
      </w:r>
      <w:r>
        <w:t xml:space="preserve">vāja</w:t>
      </w:r>
      <w:r>
        <w:t xml:space="preserve">”</w:t>
      </w:r>
      <w:r>
        <w:t xml:space="preserve"> </w:t>
      </w:r>
      <w:r>
        <w:t xml:space="preserve">has been explained earlier.</w:t>
      </w:r>
      <w:r>
        <w:t xml:space="preserve"> </w:t>
      </w:r>
      <w:r>
        <w:rPr>
          <w:bCs/>
          <w:b/>
        </w:rPr>
        <w:t xml:space="preserve">वाजयामः (vājayāmaḥ)</w:t>
      </w:r>
      <w:r>
        <w:t xml:space="preserve"> </w:t>
      </w:r>
      <w:r>
        <w:t xml:space="preserve">— For this verb the Bhāṣyakāra gives</w:t>
      </w:r>
      <w:r>
        <w:t xml:space="preserve"> </w:t>
      </w:r>
      <w:r>
        <w:t xml:space="preserve">“</w:t>
      </w:r>
      <w:r>
        <w:t xml:space="preserve">annavantaṃ kurmaḥ</w:t>
      </w:r>
      <w:r>
        <w:t xml:space="preserve">”</w:t>
      </w:r>
      <w:r>
        <w:t xml:space="preserve"> </w:t>
      </w:r>
      <w:r>
        <w:t xml:space="preserve">—</w:t>
      </w:r>
      <w:r>
        <w:t xml:space="preserve"> </w:t>
      </w:r>
      <w:r>
        <w:t xml:space="preserve">“</w:t>
      </w:r>
      <w:r>
        <w:t xml:space="preserve">we make endowed with food</w:t>
      </w:r>
      <w:r>
        <w:t xml:space="preserve">”</w:t>
      </w:r>
      <w:r>
        <w:t xml:space="preserve">;</w:t>
      </w:r>
      <w:r>
        <w:t xml:space="preserve"> </w:t>
      </w:r>
      <w:r>
        <w:rPr>
          <w:bCs/>
          <w:b/>
        </w:rPr>
        <w:t xml:space="preserve">Skandasvāmī</w:t>
      </w:r>
      <w:r>
        <w:t xml:space="preserve"> </w:t>
      </w:r>
      <w:r>
        <w:t xml:space="preserve">gives</w:t>
      </w:r>
      <w:r>
        <w:t xml:space="preserve"> </w:t>
      </w:r>
      <w:r>
        <w:t xml:space="preserve">“</w:t>
      </w:r>
      <w:r>
        <w:t xml:space="preserve">vājayati-r arcayati-karmā, stumaḥ</w:t>
      </w:r>
      <w:r>
        <w:t xml:space="preserve">”</w:t>
      </w:r>
      <w:r>
        <w:t xml:space="preserve"> </w:t>
      </w:r>
      <w:r>
        <w:t xml:space="preserve">—</w:t>
      </w:r>
      <w:r>
        <w:t xml:space="preserve"> </w:t>
      </w:r>
      <w:r>
        <w:t xml:space="preserve">“</w:t>
      </w:r>
      <w:r>
        <w:t xml:space="preserve">the root</w:t>
      </w:r>
      <w:r>
        <w:t xml:space="preserve"> </w:t>
      </w:r>
      <w:r>
        <w:t xml:space="preserve">‘</w:t>
      </w:r>
      <w:r>
        <w:t xml:space="preserve">vājay</w:t>
      </w:r>
      <w:r>
        <w:t xml:space="preserve">’</w:t>
      </w:r>
      <w:r>
        <w:t xml:space="preserve"> </w:t>
      </w:r>
      <w:r>
        <w:t xml:space="preserve">has the sense of</w:t>
      </w:r>
      <w:r>
        <w:t xml:space="preserve"> </w:t>
      </w:r>
      <w:r>
        <w:t xml:space="preserve">‘</w:t>
      </w:r>
      <w:r>
        <w:t xml:space="preserve">worship</w:t>
      </w:r>
      <w:r>
        <w:t xml:space="preserve">’</w:t>
      </w:r>
      <w:r>
        <w:t xml:space="preserve">; we praise</w:t>
      </w:r>
      <w:r>
        <w:t xml:space="preserve">”</w:t>
      </w:r>
      <w:r>
        <w:t xml:space="preserve">; and</w:t>
      </w:r>
      <w:r>
        <w:t xml:space="preserve"> </w:t>
      </w:r>
      <w:r>
        <w:rPr>
          <w:bCs/>
          <w:b/>
        </w:rPr>
        <w:t xml:space="preserve">Veṅkaṭamādhava</w:t>
      </w:r>
      <w:r>
        <w:t xml:space="preserve"> </w:t>
      </w:r>
      <w:r>
        <w:t xml:space="preserve">gives</w:t>
      </w:r>
      <w:r>
        <w:t xml:space="preserve"> </w:t>
      </w:r>
      <w:r>
        <w:t xml:space="preserve">“</w:t>
      </w:r>
      <w:r>
        <w:t xml:space="preserve">stutibhir balinaṃ kurmaḥ</w:t>
      </w:r>
      <w:r>
        <w:t xml:space="preserve">”</w:t>
      </w:r>
      <w:r>
        <w:t xml:space="preserve"> </w:t>
      </w:r>
      <w:r>
        <w:t xml:space="preserve">—</w:t>
      </w:r>
      <w:r>
        <w:t xml:space="preserve"> </w:t>
      </w:r>
      <w:r>
        <w:t xml:space="preserve">“</w:t>
      </w:r>
      <w:r>
        <w:t xml:space="preserve">we make you strong by praises, by hymns of praise.</w:t>
      </w:r>
      <w:r>
        <w:t xml:space="preserve">”</w:t>
      </w:r>
    </w:p>
    <w:p>
      <w:pPr>
        <w:pStyle w:val="BodyText"/>
      </w:pPr>
      <w:r>
        <w:t xml:space="preserve">In explaining the senses of the words</w:t>
      </w:r>
      <w:r>
        <w:t xml:space="preserve"> </w:t>
      </w:r>
      <w:r>
        <w:t xml:space="preserve">“</w:t>
      </w:r>
      <w:r>
        <w:t xml:space="preserve">vāja,</w:t>
      </w:r>
      <w:r>
        <w:t xml:space="preserve">”</w:t>
      </w:r>
      <w:r>
        <w:t xml:space="preserve"> </w:t>
      </w:r>
      <w:r>
        <w:t xml:space="preserve">“</w:t>
      </w:r>
      <w:r>
        <w:t xml:space="preserve">śata</w:t>
      </w:r>
      <w:r>
        <w:t xml:space="preserve">”</w:t>
      </w:r>
      <w:r>
        <w:t xml:space="preserve"> </w:t>
      </w:r>
      <w:r>
        <w:t xml:space="preserve">and</w:t>
      </w:r>
      <w:r>
        <w:t xml:space="preserve"> </w:t>
      </w:r>
      <w:r>
        <w:t xml:space="preserve">“</w:t>
      </w:r>
      <w:r>
        <w:t xml:space="preserve">kratu</w:t>
      </w:r>
      <w:r>
        <w:t xml:space="preserve">”</w:t>
      </w:r>
      <w:r>
        <w:t xml:space="preserve"> </w:t>
      </w:r>
      <w:r>
        <w:t xml:space="preserve">in this Ṛk, the Bhāṣyakāra has cited sentences from the Nirukta:</w:t>
      </w:r>
    </w:p>
    <w:p>
      <w:pPr>
        <w:pStyle w:val="BodyText"/>
      </w:pPr>
      <w:r>
        <w:rPr>
          <w:bCs/>
          <w:b/>
        </w:rPr>
        <w:t xml:space="preserve">वाजे (vāje)</w:t>
      </w:r>
      <w:r>
        <w:t xml:space="preserve"> </w:t>
      </w:r>
      <w:r>
        <w:t xml:space="preserve">— Among the forty-six words that signify battle, beginning with</w:t>
      </w:r>
      <w:r>
        <w:t xml:space="preserve"> </w:t>
      </w:r>
      <w:r>
        <w:t xml:space="preserve">“</w:t>
      </w:r>
      <w:r>
        <w:t xml:space="preserve">raṇa,</w:t>
      </w:r>
      <w:r>
        <w:t xml:space="preserve">”</w:t>
      </w:r>
      <w:r>
        <w:t xml:space="preserve"> </w:t>
      </w:r>
      <w:r>
        <w:t xml:space="preserve">the word</w:t>
      </w:r>
      <w:r>
        <w:t xml:space="preserve"> </w:t>
      </w:r>
      <w:r>
        <w:t xml:space="preserve">“</w:t>
      </w:r>
      <w:r>
        <w:t xml:space="preserve">vāje</w:t>
      </w:r>
      <w:r>
        <w:t xml:space="preserve">”</w:t>
      </w:r>
      <w:r>
        <w:t xml:space="preserve"> </w:t>
      </w:r>
      <w:r>
        <w:t xml:space="preserve">is read (Ni. 3-9-19).</w:t>
      </w:r>
    </w:p>
    <w:bookmarkEnd w:id="160"/>
    <w:bookmarkStart w:id="161" w:name="X263263fc44575949969cc81e19a808bab16a0ff"/>
    <w:p>
      <w:pPr>
        <w:pStyle w:val="Heading3"/>
      </w:pPr>
      <w:r>
        <w:t xml:space="preserve">Page 128 — Special topics on Rik 4.9 (concluded); Vyākaraṇa-prakriyā (opening)</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4.</w:t>
      </w:r>
      <w:r>
        <w:rPr>
          <w:iCs/>
          <w:i/>
        </w:rPr>
        <w:t xml:space="preserve">”</w:t>
      </w:r>
      <w:r>
        <w:rPr>
          <w:iCs/>
          <w:i/>
        </w:rPr>
        <w:t xml:space="preserve"> </w:t>
      </w:r>
      <w:r>
        <w:rPr>
          <w:iCs/>
          <w:i/>
        </w:rPr>
        <w:t xml:space="preserve">Nirukta reference-numbers re-read from the better scan. Grammar characterized, sūtras kept.)</w:t>
      </w:r>
    </w:p>
    <w:p>
      <w:pPr>
        <w:pStyle w:val="BodyText"/>
      </w:pPr>
      <w:r>
        <w:rPr>
          <w:bCs/>
          <w:b/>
        </w:rPr>
        <w:t xml:space="preserve">वाजः (vājaḥ)</w:t>
      </w:r>
      <w:r>
        <w:t xml:space="preserve"> </w:t>
      </w:r>
      <w:r>
        <w:t xml:space="preserve">— Among the twenty-eight words that signify food, beginning with</w:t>
      </w:r>
      <w:r>
        <w:t xml:space="preserve"> </w:t>
      </w:r>
      <w:r>
        <w:t xml:space="preserve">“</w:t>
      </w:r>
      <w:r>
        <w:t xml:space="preserve">andha,</w:t>
      </w:r>
      <w:r>
        <w:t xml:space="preserve">”</w:t>
      </w:r>
      <w:r>
        <w:t xml:space="preserve"> </w:t>
      </w:r>
      <w:r>
        <w:t xml:space="preserve">the word</w:t>
      </w:r>
      <w:r>
        <w:t xml:space="preserve"> </w:t>
      </w:r>
      <w:r>
        <w:t xml:space="preserve">“</w:t>
      </w:r>
      <w:r>
        <w:t xml:space="preserve">vājaḥ</w:t>
      </w:r>
      <w:r>
        <w:t xml:space="preserve">”</w:t>
      </w:r>
      <w:r>
        <w:t xml:space="preserve"> </w:t>
      </w:r>
      <w:r>
        <w:t xml:space="preserve">is read (Ni. 3-9-4).</w:t>
      </w:r>
    </w:p>
    <w:p>
      <w:pPr>
        <w:pStyle w:val="BodyText"/>
      </w:pPr>
      <w:r>
        <w:rPr>
          <w:bCs/>
          <w:b/>
        </w:rPr>
        <w:t xml:space="preserve">शत (śata)</w:t>
      </w:r>
      <w:r>
        <w:t xml:space="preserve"> </w:t>
      </w:r>
      <w:r>
        <w:t xml:space="preserve">— Among the twelve words that signify</w:t>
      </w:r>
      <w:r>
        <w:t xml:space="preserve"> </w:t>
      </w:r>
      <w:r>
        <w:t xml:space="preserve">“</w:t>
      </w:r>
      <w:r>
        <w:t xml:space="preserve">many,</w:t>
      </w:r>
      <w:r>
        <w:t xml:space="preserve">”</w:t>
      </w:r>
      <w:r>
        <w:t xml:space="preserve"> </w:t>
      </w:r>
      <w:r>
        <w:t xml:space="preserve">beginning with</w:t>
      </w:r>
      <w:r>
        <w:t xml:space="preserve"> </w:t>
      </w:r>
      <w:r>
        <w:t xml:space="preserve">“</w:t>
      </w:r>
      <w:r>
        <w:t xml:space="preserve">uru,</w:t>
      </w:r>
      <w:r>
        <w:t xml:space="preserve">”</w:t>
      </w:r>
      <w:r>
        <w:t xml:space="preserve"> </w:t>
      </w:r>
      <w:r>
        <w:t xml:space="preserve">the word</w:t>
      </w:r>
      <w:r>
        <w:t xml:space="preserve"> </w:t>
      </w:r>
      <w:r>
        <w:t xml:space="preserve">“</w:t>
      </w:r>
      <w:r>
        <w:t xml:space="preserve">śatam</w:t>
      </w:r>
      <w:r>
        <w:t xml:space="preserve">”</w:t>
      </w:r>
      <w:r>
        <w:t xml:space="preserve"> </w:t>
      </w:r>
      <w:r>
        <w:t xml:space="preserve">is read (Ni. 3-13-1).</w:t>
      </w:r>
    </w:p>
    <w:p>
      <w:pPr>
        <w:pStyle w:val="BodyText"/>
      </w:pPr>
      <w:r>
        <w:rPr>
          <w:bCs/>
          <w:b/>
        </w:rPr>
        <w:t xml:space="preserve">क्रतुः (kratuḥ)</w:t>
      </w:r>
      <w:r>
        <w:t xml:space="preserve"> </w:t>
      </w:r>
      <w:r>
        <w:t xml:space="preserve">— Among the twenty-six words that signify action, beginning with</w:t>
      </w:r>
      <w:r>
        <w:t xml:space="preserve"> </w:t>
      </w:r>
      <w:r>
        <w:t xml:space="preserve">“</w:t>
      </w:r>
      <w:r>
        <w:t xml:space="preserve">apaḥ,</w:t>
      </w:r>
      <w:r>
        <w:t xml:space="preserve">”</w:t>
      </w:r>
      <w:r>
        <w:t xml:space="preserve"> </w:t>
      </w:r>
      <w:r>
        <w:t xml:space="preserve">the word</w:t>
      </w:r>
      <w:r>
        <w:t xml:space="preserve"> </w:t>
      </w:r>
      <w:r>
        <w:t xml:space="preserve">“</w:t>
      </w:r>
      <w:r>
        <w:t xml:space="preserve">kratuḥ</w:t>
      </w:r>
      <w:r>
        <w:t xml:space="preserve">”</w:t>
      </w:r>
      <w:r>
        <w:t xml:space="preserve"> </w:t>
      </w:r>
      <w:r>
        <w:t xml:space="preserve">is read (Ni. 2-1); and —</w:t>
      </w:r>
    </w:p>
    <w:p>
      <w:pPr>
        <w:pStyle w:val="BodyText"/>
      </w:pPr>
      <w:r>
        <w:rPr>
          <w:bCs/>
          <w:b/>
        </w:rPr>
        <w:t xml:space="preserve">केतः</w:t>
      </w:r>
      <w:r>
        <w:t xml:space="preserve"> </w:t>
      </w:r>
      <w:r>
        <w:t xml:space="preserve">— among the eleven words that signify wisdom, beginning with</w:t>
      </w:r>
      <w:r>
        <w:t xml:space="preserve"> </w:t>
      </w:r>
      <w:r>
        <w:t xml:space="preserve">“</w:t>
      </w:r>
      <w:r>
        <w:t xml:space="preserve">ketaḥ,</w:t>
      </w:r>
      <w:r>
        <w:t xml:space="preserve">”</w:t>
      </w:r>
      <w:r>
        <w:t xml:space="preserve"> </w:t>
      </w:r>
      <w:r>
        <w:t xml:space="preserve">the word</w:t>
      </w:r>
      <w:r>
        <w:t xml:space="preserve"> </w:t>
      </w:r>
      <w:r>
        <w:t xml:space="preserve">“</w:t>
      </w:r>
      <w:r>
        <w:t xml:space="preserve">kratuḥ</w:t>
      </w:r>
      <w:r>
        <w:t xml:space="preserve">”</w:t>
      </w:r>
      <w:r>
        <w:t xml:space="preserve"> </w:t>
      </w:r>
      <w:r>
        <w:t xml:space="preserve">is read (Ni. 3-13-17).</w:t>
      </w:r>
    </w:p>
    <w:p>
      <w:pPr>
        <w:pStyle w:val="BodyText"/>
      </w:pPr>
      <w:r>
        <w:rPr>
          <w:bCs/>
          <w:b/>
        </w:rPr>
        <w:t xml:space="preserve">॥ Vyākaraṇa-prakriyā ॥</w:t>
      </w:r>
      <w:r>
        <w:t xml:space="preserve"> </w:t>
      </w:r>
      <w:r>
        <w:rPr>
          <w:iCs/>
          <w:i/>
        </w:rPr>
        <w:t xml:space="preserve">(Kannada; characterized, sūtras kept)</w:t>
      </w:r>
      <w:r>
        <w:t xml:space="preserve"> </w:t>
      </w:r>
      <w:r>
        <w:t xml:space="preserve">-</w:t>
      </w:r>
      <w:r>
        <w:t xml:space="preserve"> </w:t>
      </w:r>
      <w:r>
        <w:rPr>
          <w:bCs/>
          <w:b/>
        </w:rPr>
        <w:t xml:space="preserve">“</w:t>
      </w:r>
      <w:r>
        <w:rPr>
          <w:bCs/>
          <w:b/>
        </w:rPr>
        <w:t xml:space="preserve">Tvā</w:t>
      </w:r>
      <w:r>
        <w:rPr>
          <w:bCs/>
          <w:b/>
        </w:rPr>
        <w:t xml:space="preserve">”</w:t>
      </w:r>
      <w:r>
        <w:t xml:space="preserve"> </w:t>
      </w:r>
      <w:r>
        <w:t xml:space="preserve">—</w:t>
      </w:r>
      <w:r>
        <w:t xml:space="preserve"> </w:t>
      </w:r>
      <w:r>
        <w:rPr>
          <w:bCs/>
          <w:b/>
        </w:rPr>
        <w:t xml:space="preserve">त्वामौ द्वितीयायाः</w:t>
      </w:r>
      <w:r>
        <w:t xml:space="preserve"> </w:t>
      </w:r>
      <w:r>
        <w:t xml:space="preserve">(</w:t>
      </w:r>
      <w:r>
        <w:rPr>
          <w:iCs/>
          <w:i/>
        </w:rPr>
        <w:t xml:space="preserve">tvāmau dvitīyāyāḥ</w:t>
      </w:r>
      <w:r>
        <w:t xml:space="preserve">, पा. ८-१-२३), with</w:t>
      </w:r>
      <w:r>
        <w:t xml:space="preserve"> </w:t>
      </w:r>
      <w:r>
        <w:t xml:space="preserve">“</w:t>
      </w:r>
      <w:r>
        <w:t xml:space="preserve">anudāttaṃ sarvam apādādau</w:t>
      </w:r>
      <w:r>
        <w:t xml:space="preserve">”</w:t>
      </w:r>
      <w:r>
        <w:t xml:space="preserve"> </w:t>
      </w:r>
      <w:r>
        <w:t xml:space="preserve">(</w:t>
      </w:r>
      <w:r>
        <w:rPr>
          <w:bCs/>
          <w:b/>
        </w:rPr>
        <w:t xml:space="preserve">अनुदात्तं सर्वमपादादौ</w:t>
      </w:r>
      <w:r>
        <w:t xml:space="preserve">, पा. ८-१-१८) continued —</w:t>
      </w:r>
      <w:r>
        <w:t xml:space="preserve"> </w:t>
      </w:r>
      <w:r>
        <w:t xml:space="preserve">“</w:t>
      </w:r>
      <w:r>
        <w:t xml:space="preserve">tvā</w:t>
      </w:r>
      <w:r>
        <w:t xml:space="preserve">”</w:t>
      </w:r>
      <w:r>
        <w:t xml:space="preserve"> </w:t>
      </w:r>
      <w:r>
        <w:t xml:space="preserve">and</w:t>
      </w:r>
      <w:r>
        <w:t xml:space="preserve"> </w:t>
      </w:r>
      <w:r>
        <w:t xml:space="preserve">“</w:t>
      </w:r>
      <w:r>
        <w:t xml:space="preserve">mā</w:t>
      </w:r>
      <w:r>
        <w:t xml:space="preserve">”</w:t>
      </w:r>
      <w:r>
        <w:t xml:space="preserve"> </w:t>
      </w:r>
      <w:r>
        <w:t xml:space="preserve">are substituted, in order, for the second-case singular forms</w:t>
      </w:r>
      <w:r>
        <w:t xml:space="preserve"> </w:t>
      </w:r>
      <w:r>
        <w:t xml:space="preserve">“</w:t>
      </w:r>
      <w:r>
        <w:t xml:space="preserve">tvām</w:t>
      </w:r>
      <w:r>
        <w:t xml:space="preserve">”</w:t>
      </w:r>
      <w:r>
        <w:t xml:space="preserve"> </w:t>
      </w:r>
      <w:r>
        <w:t xml:space="preserve">and</w:t>
      </w:r>
      <w:r>
        <w:t xml:space="preserve"> </w:t>
      </w:r>
      <w:r>
        <w:t xml:space="preserve">“</w:t>
      </w:r>
      <w:r>
        <w:t xml:space="preserve">mām</w:t>
      </w:r>
      <w:r>
        <w:t xml:space="preserve">”</w:t>
      </w:r>
      <w:r>
        <w:t xml:space="preserve"> </w:t>
      </w:r>
      <w:r>
        <w:t xml:space="preserve">of</w:t>
      </w:r>
      <w:r>
        <w:t xml:space="preserve"> </w:t>
      </w:r>
      <w:r>
        <w:t xml:space="preserve">“</w:t>
      </w:r>
      <w:r>
        <w:t xml:space="preserve">yuṣmad</w:t>
      </w:r>
      <w:r>
        <w:t xml:space="preserve">”</w:t>
      </w:r>
      <w:r>
        <w:t xml:space="preserve"> </w:t>
      </w:r>
      <w:r>
        <w:t xml:space="preserve">and</w:t>
      </w:r>
      <w:r>
        <w:t xml:space="preserve"> </w:t>
      </w:r>
      <w:r>
        <w:t xml:space="preserve">“</w:t>
      </w:r>
      <w:r>
        <w:t xml:space="preserve">asmad,</w:t>
      </w:r>
      <w:r>
        <w:t xml:space="preserve">”</w:t>
      </w:r>
      <w:r>
        <w:t xml:space="preserve"> </w:t>
      </w:r>
      <w:r>
        <w:t xml:space="preserve">when the words are unaccented, not at the beginning of a pāda, and stand after another word; so here</w:t>
      </w:r>
      <w:r>
        <w:t xml:space="preserve"> </w:t>
      </w:r>
      <w:r>
        <w:t xml:space="preserve">“</w:t>
      </w:r>
      <w:r>
        <w:t xml:space="preserve">tvām</w:t>
      </w:r>
      <w:r>
        <w:t xml:space="preserve">”</w:t>
      </w:r>
      <w:r>
        <w:t xml:space="preserve"> </w:t>
      </w:r>
      <w:r>
        <w:t xml:space="preserve">becomes</w:t>
      </w:r>
      <w:r>
        <w:t xml:space="preserve"> </w:t>
      </w:r>
      <w:r>
        <w:t xml:space="preserve">“</w:t>
      </w:r>
      <w:r>
        <w:t xml:space="preserve">tvā</w:t>
      </w:r>
      <w:r>
        <w:t xml:space="preserve">”</w:t>
      </w:r>
      <w:r>
        <w:t xml:space="preserve"> </w:t>
      </w:r>
      <w:r>
        <w:t xml:space="preserve">and is unaccented.</w:t>
      </w:r>
      <w:r>
        <w:t xml:space="preserve"> </w:t>
      </w:r>
      <w:r>
        <w:t xml:space="preserve">-</w:t>
      </w:r>
      <w:r>
        <w:t xml:space="preserve"> </w:t>
      </w:r>
      <w:r>
        <w:rPr>
          <w:bCs/>
          <w:b/>
        </w:rPr>
        <w:t xml:space="preserve">“</w:t>
      </w:r>
      <w:r>
        <w:rPr>
          <w:bCs/>
          <w:b/>
        </w:rPr>
        <w:t xml:space="preserve">Vājeṣu</w:t>
      </w:r>
      <w:r>
        <w:rPr>
          <w:bCs/>
          <w:b/>
        </w:rPr>
        <w:t xml:space="preserve">”</w:t>
      </w:r>
      <w:r>
        <w:t xml:space="preserve"> </w:t>
      </w:r>
      <w:r>
        <w:t xml:space="preserve">—</w:t>
      </w:r>
      <w:r>
        <w:t xml:space="preserve"> </w:t>
      </w:r>
      <w:r>
        <w:t xml:space="preserve">“</w:t>
      </w:r>
      <w:r>
        <w:t xml:space="preserve">vaja/vraja gatau</w:t>
      </w:r>
      <w:r>
        <w:t xml:space="preserve">”</w:t>
      </w:r>
      <w:r>
        <w:t xml:space="preserve"> </w:t>
      </w:r>
      <w:r>
        <w:t xml:space="preserve">(to go), with</w:t>
      </w:r>
      <w:r>
        <w:t xml:space="preserve"> </w:t>
      </w:r>
      <w:r>
        <w:t xml:space="preserve">“</w:t>
      </w:r>
      <w:r>
        <w:t xml:space="preserve">ṇic</w:t>
      </w:r>
      <w:r>
        <w:t xml:space="preserve">”</w:t>
      </w:r>
      <w:r>
        <w:t xml:space="preserve"> </w:t>
      </w:r>
      <w:r>
        <w:t xml:space="preserve">in the causal sense:</w:t>
      </w:r>
      <w:r>
        <w:t xml:space="preserve"> </w:t>
      </w:r>
      <w:r>
        <w:t xml:space="preserve">“</w:t>
      </w:r>
      <w:r>
        <w:t xml:space="preserve">vājayati — gamayati</w:t>
      </w:r>
      <w:r>
        <w:t xml:space="preserve">”</w:t>
      </w:r>
      <w:r>
        <w:t xml:space="preserve">:</w:t>
      </w:r>
      <w:r>
        <w:t xml:space="preserve"> </w:t>
      </w:r>
      <w:r>
        <w:t xml:space="preserve">“</w:t>
      </w:r>
      <w:r>
        <w:t xml:space="preserve">that by which the support of the body is accomplished</w:t>
      </w:r>
      <w:r>
        <w:t xml:space="preserve">”</w:t>
      </w:r>
      <w:r>
        <w:t xml:space="preserve">; i.e. </w:t>
      </w:r>
      <w:r>
        <w:t xml:space="preserve">“</w:t>
      </w:r>
      <w:r>
        <w:t xml:space="preserve">vāja</w:t>
      </w:r>
      <w:r>
        <w:t xml:space="preserve">”</w:t>
      </w:r>
      <w:r>
        <w:t xml:space="preserve"> </w:t>
      </w:r>
      <w:r>
        <w:t xml:space="preserve">is strength, or food;</w:t>
      </w:r>
      <w:r>
        <w:t xml:space="preserve"> </w:t>
      </w:r>
      <w:r>
        <w:t xml:space="preserve">“</w:t>
      </w:r>
      <w:r>
        <w:t xml:space="preserve">ghañ</w:t>
      </w:r>
      <w:r>
        <w:t xml:space="preserve">”</w:t>
      </w:r>
      <w:r>
        <w:t xml:space="preserve"> </w:t>
      </w:r>
      <w:r>
        <w:t xml:space="preserve">after the root in the sense of instrument (</w:t>
      </w:r>
      <w:r>
        <w:rPr>
          <w:bCs/>
          <w:b/>
        </w:rPr>
        <w:t xml:space="preserve">करणे</w:t>
      </w:r>
      <w:r>
        <w:t xml:space="preserve">);</w:t>
      </w:r>
      <w:r>
        <w:t xml:space="preserve"> </w:t>
      </w:r>
      <w:r>
        <w:rPr>
          <w:bCs/>
          <w:b/>
        </w:rPr>
        <w:t xml:space="preserve">अत उपधायाः</w:t>
      </w:r>
      <w:r>
        <w:t xml:space="preserve"> </w:t>
      </w:r>
      <w:r>
        <w:t xml:space="preserve">(पा. ७-२-११६) gives vṛddhi of the penultimate;</w:t>
      </w:r>
      <w:r>
        <w:t xml:space="preserve"> </w:t>
      </w:r>
      <w:r>
        <w:rPr>
          <w:bCs/>
          <w:b/>
        </w:rPr>
        <w:t xml:space="preserve">णेरनिटि</w:t>
      </w:r>
      <w:r>
        <w:t xml:space="preserve"> </w:t>
      </w:r>
      <w:r>
        <w:t xml:space="preserve">(पा. ६-४-५१) elides the</w:t>
      </w:r>
      <w:r>
        <w:t xml:space="preserve"> </w:t>
      </w:r>
      <w:r>
        <w:t xml:space="preserve">“</w:t>
      </w:r>
      <w:r>
        <w:t xml:space="preserve">ṇi</w:t>
      </w:r>
      <w:r>
        <w:t xml:space="preserve">”</w:t>
      </w:r>
      <w:r>
        <w:t xml:space="preserve"> </w:t>
      </w:r>
      <w:r>
        <w:t xml:space="preserve">→</w:t>
      </w:r>
      <w:r>
        <w:t xml:space="preserve"> </w:t>
      </w:r>
      <w:r>
        <w:t xml:space="preserve">“</w:t>
      </w:r>
      <w:r>
        <w:t xml:space="preserve">vāja.</w:t>
      </w:r>
      <w:r>
        <w:t xml:space="preserve">”</w:t>
      </w:r>
      <w:r>
        <w:t xml:space="preserve"> </w:t>
      </w:r>
      <w:r>
        <w:t xml:space="preserve">The</w:t>
      </w:r>
      <w:r>
        <w:t xml:space="preserve"> </w:t>
      </w:r>
      <w:r>
        <w:t xml:space="preserve">“</w:t>
      </w:r>
      <w:r>
        <w:t xml:space="preserve">ñit</w:t>
      </w:r>
      <w:r>
        <w:t xml:space="preserve">”</w:t>
      </w:r>
      <w:r>
        <w:t xml:space="preserve">-accent (</w:t>
      </w:r>
      <w:r>
        <w:rPr>
          <w:bCs/>
          <w:b/>
        </w:rPr>
        <w:t xml:space="preserve">ञ्नित्यादिर्नित्यम्</w:t>
      </w:r>
      <w:r>
        <w:t xml:space="preserve">, पा. ६-१-१९७) is set aside by the exception</w:t>
      </w:r>
      <w:r>
        <w:t xml:space="preserve"> </w:t>
      </w:r>
      <w:r>
        <w:rPr>
          <w:bCs/>
          <w:b/>
        </w:rPr>
        <w:t xml:space="preserve">कर्षात्वतो घञोऽन्त उदात्तः</w:t>
      </w:r>
      <w:r>
        <w:t xml:space="preserve"> </w:t>
      </w:r>
      <w:r>
        <w:t xml:space="preserve">(पा. ६-१-१५९) — when the</w:t>
      </w:r>
      <w:r>
        <w:t xml:space="preserve"> </w:t>
      </w:r>
      <w:r>
        <w:t xml:space="preserve">“</w:t>
      </w:r>
      <w:r>
        <w:t xml:space="preserve">ghañ</w:t>
      </w:r>
      <w:r>
        <w:t xml:space="preserve">”</w:t>
      </w:r>
      <w:r>
        <w:t xml:space="preserve"> </w:t>
      </w:r>
      <w:r>
        <w:t xml:space="preserve">ends a word after</w:t>
      </w:r>
      <w:r>
        <w:t xml:space="preserve"> </w:t>
      </w:r>
      <w:r>
        <w:t xml:space="preserve">“</w:t>
      </w:r>
      <w:r>
        <w:t xml:space="preserve">kṛṣ</w:t>
      </w:r>
      <w:r>
        <w:t xml:space="preserve">”</w:t>
      </w:r>
      <w:r>
        <w:t xml:space="preserve"> </w:t>
      </w:r>
      <w:r>
        <w:t xml:space="preserve">or a root with</w:t>
      </w:r>
      <w:r>
        <w:t xml:space="preserve"> </w:t>
      </w:r>
      <w:r>
        <w:t xml:space="preserve">“</w:t>
      </w:r>
      <w:r>
        <w:t xml:space="preserve">ā,</w:t>
      </w:r>
      <w:r>
        <w:t xml:space="preserve">”</w:t>
      </w:r>
      <w:r>
        <w:t xml:space="preserve"> </w:t>
      </w:r>
      <w:r>
        <w:t xml:space="preserve">the word is end-acute — and this in turn is set aside by</w:t>
      </w:r>
      <w:r>
        <w:t xml:space="preserve"> </w:t>
      </w:r>
      <w:r>
        <w:rPr>
          <w:bCs/>
          <w:b/>
        </w:rPr>
        <w:t xml:space="preserve">वृषादीनां च</w:t>
      </w:r>
      <w:r>
        <w:t xml:space="preserve"> </w:t>
      </w:r>
      <w:r>
        <w:t xml:space="preserve">(पा. ६-१-२०३), so the word is first-syllable acute.</w:t>
      </w:r>
      <w:r>
        <w:t xml:space="preserve"> </w:t>
      </w:r>
      <w:r>
        <w:t xml:space="preserve">-</w:t>
      </w:r>
      <w:r>
        <w:t xml:space="preserve"> </w:t>
      </w:r>
      <w:r>
        <w:rPr>
          <w:bCs/>
          <w:b/>
        </w:rPr>
        <w:t xml:space="preserve">“</w:t>
      </w:r>
      <w:r>
        <w:rPr>
          <w:bCs/>
          <w:b/>
        </w:rPr>
        <w:t xml:space="preserve">Vājayāmaḥ</w:t>
      </w:r>
      <w:r>
        <w:rPr>
          <w:bCs/>
          <w:b/>
        </w:rPr>
        <w:t xml:space="preserve">”</w:t>
      </w:r>
      <w:r>
        <w:t xml:space="preserve"> </w:t>
      </w:r>
      <w:r>
        <w:t xml:space="preserve">—</w:t>
      </w:r>
      <w:r>
        <w:t xml:space="preserve"> </w:t>
      </w:r>
      <w:r>
        <w:t xml:space="preserve">“</w:t>
      </w:r>
      <w:r>
        <w:t xml:space="preserve">vājo ’syāsti iti vājavān</w:t>
      </w:r>
      <w:r>
        <w:t xml:space="preserve">”</w:t>
      </w:r>
      <w:r>
        <w:t xml:space="preserve"> </w:t>
      </w:r>
      <w:r>
        <w:t xml:space="preserve">—</w:t>
      </w:r>
      <w:r>
        <w:t xml:space="preserve"> </w:t>
      </w:r>
      <w:r>
        <w:t xml:space="preserve">“</w:t>
      </w:r>
      <w:r>
        <w:t xml:space="preserve">tadasyāstyasminniti matup</w:t>
      </w:r>
      <w:r>
        <w:t xml:space="preserve">”</w:t>
      </w:r>
      <w:r>
        <w:t xml:space="preserve"> </w:t>
      </w:r>
      <w:r>
        <w:t xml:space="preserve">(पा. ५-२-९३ [as printed]) and by</w:t>
      </w:r>
      <w:r>
        <w:t xml:space="preserve"> </w:t>
      </w:r>
      <w:r>
        <w:rPr>
          <w:bCs/>
          <w:b/>
        </w:rPr>
        <w:t xml:space="preserve">मादुपधायाश्च मतोर्वोऽयवादिभ्यः</w:t>
      </w:r>
      <w:r>
        <w:t xml:space="preserve"> </w:t>
      </w:r>
      <w:r>
        <w:t xml:space="preserve">(पा. ८-२-९) the</w:t>
      </w:r>
      <w:r>
        <w:t xml:space="preserve"> </w:t>
      </w:r>
      <w:r>
        <w:t xml:space="preserve">“</w:t>
      </w:r>
      <w:r>
        <w:t xml:space="preserve">m</w:t>
      </w:r>
      <w:r>
        <w:t xml:space="preserve">”</w:t>
      </w:r>
      <w:r>
        <w:t xml:space="preserve"> </w:t>
      </w:r>
      <w:r>
        <w:t xml:space="preserve">of</w:t>
      </w:r>
      <w:r>
        <w:t xml:space="preserve"> </w:t>
      </w:r>
      <w:r>
        <w:t xml:space="preserve">“</w:t>
      </w:r>
      <w:r>
        <w:t xml:space="preserve">matup</w:t>
      </w:r>
      <w:r>
        <w:t xml:space="preserve">”</w:t>
      </w:r>
      <w:r>
        <w:t xml:space="preserve"> </w:t>
      </w:r>
      <w:r>
        <w:t xml:space="preserve">becomes</w:t>
      </w:r>
      <w:r>
        <w:t xml:space="preserve"> </w:t>
      </w:r>
      <w:r>
        <w:t xml:space="preserve">“</w:t>
      </w:r>
      <w:r>
        <w:t xml:space="preserve">v</w:t>
      </w:r>
      <w:r>
        <w:t xml:space="preserve">”</w:t>
      </w:r>
      <w:r>
        <w:t xml:space="preserve"> </w:t>
      </w:r>
      <w:r>
        <w:t xml:space="preserve">after a stem whose penultimate is</w:t>
      </w:r>
      <w:r>
        <w:t xml:space="preserve"> </w:t>
      </w:r>
      <w:r>
        <w:t xml:space="preserve">“</w:t>
      </w:r>
      <w:r>
        <w:t xml:space="preserve">m</w:t>
      </w:r>
      <w:r>
        <w:t xml:space="preserve">”</w:t>
      </w:r>
      <w:r>
        <w:t xml:space="preserve"> </w:t>
      </w:r>
      <w:r>
        <w:t xml:space="preserve">or</w:t>
      </w:r>
      <w:r>
        <w:t xml:space="preserve"> </w:t>
      </w:r>
      <w:r>
        <w:t xml:space="preserve">“</w:t>
      </w:r>
      <w:r>
        <w:t xml:space="preserve">a/ā</w:t>
      </w:r>
      <w:r>
        <w:t xml:space="preserve">”</w:t>
      </w:r>
      <w:r>
        <w:t xml:space="preserve"> </w:t>
      </w:r>
      <w:r>
        <w:t xml:space="preserve">(not in the</w:t>
      </w:r>
      <w:r>
        <w:t xml:space="preserve"> </w:t>
      </w:r>
      <w:r>
        <w:t xml:space="preserve">“</w:t>
      </w:r>
      <w:r>
        <w:t xml:space="preserve">yava</w:t>
      </w:r>
      <w:r>
        <w:t xml:space="preserve">”</w:t>
      </w:r>
      <w:r>
        <w:t xml:space="preserve">-class); so</w:t>
      </w:r>
      <w:r>
        <w:t xml:space="preserve"> </w:t>
      </w:r>
      <w:r>
        <w:t xml:space="preserve">“</w:t>
      </w:r>
      <w:r>
        <w:t xml:space="preserve">vājavat</w:t>
      </w:r>
      <w:r>
        <w:t xml:space="preserve">”</w:t>
      </w:r>
      <w:r>
        <w:t xml:space="preserve">; adding</w:t>
      </w:r>
      <w:r>
        <w:t xml:space="preserve"> </w:t>
      </w:r>
      <w:r>
        <w:t xml:space="preserve">“</w:t>
      </w:r>
      <w:r>
        <w:t xml:space="preserve">su,</w:t>
      </w:r>
      <w:r>
        <w:t xml:space="preserve">”</w:t>
      </w:r>
      <w:r>
        <w:t xml:space="preserve"> </w:t>
      </w:r>
      <w:r>
        <w:rPr>
          <w:bCs/>
          <w:b/>
        </w:rPr>
        <w:t xml:space="preserve">अत्वसन्तस्य चाधातोः</w:t>
      </w:r>
      <w:r>
        <w:t xml:space="preserve"> </w:t>
      </w:r>
      <w:r>
        <w:t xml:space="preserve">(पा. ६-४-१४) lengthens the penultimate before the</w:t>
      </w:r>
      <w:r>
        <w:t xml:space="preserve"> </w:t>
      </w:r>
      <w:r>
        <w:t xml:space="preserve">“</w:t>
      </w:r>
      <w:r>
        <w:t xml:space="preserve">sarvanāmasthāna</w:t>
      </w:r>
      <w:r>
        <w:t xml:space="preserve">”</w:t>
      </w:r>
      <w:r>
        <w:t xml:space="preserve"> </w:t>
      </w:r>
      <w:r>
        <w:t xml:space="preserve">of</w:t>
      </w:r>
      <w:r>
        <w:t xml:space="preserve"> </w:t>
      </w:r>
      <w:r>
        <w:t xml:space="preserve">“</w:t>
      </w:r>
      <w:r>
        <w:t xml:space="preserve">atvasanta</w:t>
      </w:r>
      <w:r>
        <w:t xml:space="preserve">”</w:t>
      </w:r>
      <w:r>
        <w:t xml:space="preserve"> </w:t>
      </w:r>
      <w:r>
        <w:t xml:space="preserve">stems, and</w:t>
      </w:r>
      <w:r>
        <w:t xml:space="preserve"> </w:t>
      </w:r>
      <w:r>
        <w:rPr>
          <w:bCs/>
          <w:b/>
        </w:rPr>
        <w:t xml:space="preserve">उगिदचां सर्वनामस्थानेऽधातोः</w:t>
      </w:r>
      <w:r>
        <w:t xml:space="preserve"> </w:t>
      </w:r>
      <w:r>
        <w:t xml:space="preserve">(पा. ७-१-७०) brings</w:t>
      </w:r>
      <w:r>
        <w:t xml:space="preserve"> </w:t>
      </w:r>
      <w:r>
        <w:t xml:space="preserve">“</w:t>
      </w:r>
      <w:r>
        <w:t xml:space="preserve">num</w:t>
      </w:r>
      <w:r>
        <w:t xml:space="preserve">”</w:t>
      </w:r>
      <w:r>
        <w:t xml:space="preserve"> </w:t>
      </w:r>
      <w:r>
        <w:t xml:space="preserve">→</w:t>
      </w:r>
      <w:r>
        <w:t xml:space="preserve"> </w:t>
      </w:r>
      <w:r>
        <w:t xml:space="preserve">“</w:t>
      </w:r>
      <w:r>
        <w:t xml:space="preserve">vājavān-t-s</w:t>
      </w:r>
      <w:r>
        <w:t xml:space="preserve">”</w:t>
      </w:r>
      <w:r>
        <w:t xml:space="preserve">;</w:t>
      </w:r>
      <w:r>
        <w:t xml:space="preserve"> </w:t>
      </w:r>
      <w:r>
        <w:rPr>
          <w:bCs/>
          <w:b/>
        </w:rPr>
        <w:t xml:space="preserve">हल्ङ्याब्भ्यो दीर्घात्सुतिस्यपृक्तं हल्</w:t>
      </w:r>
      <w:r>
        <w:t xml:space="preserve"> </w:t>
      </w:r>
      <w:r>
        <w:t xml:space="preserve">(पा. ६-१-६८) elides</w:t>
      </w:r>
      <w:r>
        <w:t xml:space="preserve"> </w:t>
      </w:r>
      <w:r>
        <w:t xml:space="preserve">“</w:t>
      </w:r>
      <w:r>
        <w:t xml:space="preserve">su</w:t>
      </w:r>
      <w:r>
        <w:t xml:space="preserve">”</w:t>
      </w:r>
      <w:r>
        <w:t xml:space="preserve">;</w:t>
      </w:r>
      <w:r>
        <w:t xml:space="preserve"> </w:t>
      </w:r>
      <w:r>
        <w:rPr>
          <w:bCs/>
          <w:b/>
        </w:rPr>
        <w:t xml:space="preserve">संयोगान्तस्य लोपः</w:t>
      </w:r>
      <w:r>
        <w:t xml:space="preserve"> </w:t>
      </w:r>
      <w:r>
        <w:t xml:space="preserve">(पा. ८-२-२३) elides the</w:t>
      </w:r>
      <w:r>
        <w:t xml:space="preserve"> </w:t>
      </w:r>
      <w:r>
        <w:t xml:space="preserve">“</w:t>
      </w:r>
      <w:r>
        <w:t xml:space="preserve">t</w:t>
      </w:r>
      <w:r>
        <w:t xml:space="preserve">”</w:t>
      </w:r>
      <w:r>
        <w:t xml:space="preserve"> </w:t>
      </w:r>
      <w:r>
        <w:t xml:space="preserve">…</w:t>
      </w:r>
      <w:r>
        <w:t xml:space="preserve"> </w:t>
      </w:r>
      <w:r>
        <w:rPr>
          <w:iCs/>
          <w:i/>
        </w:rPr>
        <w:t xml:space="preserve">(continues on the next page)</w:t>
      </w:r>
    </w:p>
    <w:bookmarkEnd w:id="161"/>
    <w:bookmarkStart w:id="162" w:name="X91b2a0a799b5a213a46c6d5d0bfa7a0f1d4bfc1"/>
    <w:p>
      <w:pPr>
        <w:pStyle w:val="Heading3"/>
      </w:pPr>
      <w:r>
        <w:t xml:space="preserve">Page 129 — Rik 4.9 grammar concluded; Sūkta 4, Tenth Mantra: Saṃhitā</w:t>
      </w:r>
    </w:p>
    <w:p>
      <w:pPr>
        <w:pStyle w:val="FirstParagraph"/>
      </w:pPr>
      <w:r>
        <w:rPr>
          <w:iCs/>
          <w:i/>
        </w:rPr>
        <w:t xml:space="preserve">(Page header:</w:t>
      </w:r>
      <w:r>
        <w:rPr>
          <w:iCs/>
          <w:i/>
        </w:rPr>
        <w:t xml:space="preserve"> </w:t>
      </w:r>
      <w:r>
        <w:rPr>
          <w:iCs/>
          <w:i/>
        </w:rPr>
        <w:t xml:space="preserve">“</w:t>
      </w:r>
      <w:r>
        <w:rPr>
          <w:iCs/>
          <w:i/>
        </w:rPr>
        <w:t xml:space="preserve">Aṣṭaka 1, Adhyāya 1, Varga 8 · Ṛgveda-saṃhitā.</w:t>
      </w:r>
      <w:r>
        <w:rPr>
          <w:iCs/>
          <w:i/>
        </w:rPr>
        <w:t xml:space="preserve">”</w:t>
      </w:r>
      <w:r>
        <w:rPr>
          <w:iCs/>
          <w:i/>
        </w:rPr>
        <w:t xml:space="preserve"> </w:t>
      </w:r>
      <w:r>
        <w:rPr>
          <w:iCs/>
          <w:i/>
        </w:rPr>
        <w:t xml:space="preserve">Grammar characterized, sūtras kept. Saṃhitā accents as printed; Pada unaccented.)</w:t>
      </w:r>
    </w:p>
    <w:p>
      <w:pPr>
        <w:pStyle w:val="BodyText"/>
      </w:pPr>
      <w:r>
        <w:rPr>
          <w:iCs/>
          <w:i/>
        </w:rPr>
        <w:t xml:space="preserve">(Continuing</w:t>
      </w:r>
      <w:r>
        <w:rPr>
          <w:iCs/>
          <w:i/>
        </w:rPr>
        <w:t xml:space="preserve"> </w:t>
      </w:r>
      <w:r>
        <w:rPr>
          <w:iCs/>
          <w:i/>
        </w:rPr>
        <w:t xml:space="preserve">“</w:t>
      </w:r>
      <w:r>
        <w:rPr>
          <w:iCs/>
          <w:i/>
        </w:rPr>
        <w:t xml:space="preserve">vājayāmaḥ</w:t>
      </w:r>
      <w:r>
        <w:rPr>
          <w:iCs/>
          <w:i/>
        </w:rPr>
        <w:t xml:space="preserve">”</w:t>
      </w:r>
      <w:r>
        <w:rPr>
          <w:iCs/>
          <w:i/>
        </w:rPr>
        <w:t xml:space="preserve"> </w:t>
      </w:r>
      <w:r>
        <w:rPr>
          <w:iCs/>
          <w:i/>
        </w:rPr>
        <w:t xml:space="preserve">from p. 128:)</w:t>
      </w:r>
      <w:r>
        <w:t xml:space="preserve"> </w:t>
      </w:r>
      <w:r>
        <w:t xml:space="preserve">…by</w:t>
      </w:r>
      <w:r>
        <w:t xml:space="preserve"> </w:t>
      </w:r>
      <w:r>
        <w:rPr>
          <w:bCs/>
          <w:b/>
        </w:rPr>
        <w:t xml:space="preserve">संयोगान्तस्य लोपः</w:t>
      </w:r>
      <w:r>
        <w:t xml:space="preserve"> </w:t>
      </w:r>
      <w:r>
        <w:t xml:space="preserve">(पा. ८-२-२३) the</w:t>
      </w:r>
      <w:r>
        <w:t xml:space="preserve"> </w:t>
      </w:r>
      <w:r>
        <w:t xml:space="preserve">“</w:t>
      </w:r>
      <w:r>
        <w:t xml:space="preserve">t</w:t>
      </w:r>
      <w:r>
        <w:t xml:space="preserve">”</w:t>
      </w:r>
      <w:r>
        <w:t xml:space="preserve"> </w:t>
      </w:r>
      <w:r>
        <w:t xml:space="preserve">of the conjunct is elided;</w:t>
      </w:r>
      <w:r>
        <w:t xml:space="preserve"> </w:t>
      </w:r>
      <w:r>
        <w:rPr>
          <w:bCs/>
          <w:b/>
        </w:rPr>
        <w:t xml:space="preserve">पूर्वत्रासिद्धम्</w:t>
      </w:r>
      <w:r>
        <w:t xml:space="preserve"> </w:t>
      </w:r>
      <w:r>
        <w:t xml:space="preserve">(पा. ८-२-१) makes the elision</w:t>
      </w:r>
      <w:r>
        <w:t xml:space="preserve"> </w:t>
      </w:r>
      <w:r>
        <w:t xml:space="preserve">“</w:t>
      </w:r>
      <w:r>
        <w:t xml:space="preserve">asiddha</w:t>
      </w:r>
      <w:r>
        <w:t xml:space="preserve">”</w:t>
      </w:r>
      <w:r>
        <w:t xml:space="preserve"> </w:t>
      </w:r>
      <w:r>
        <w:t xml:space="preserve">with respect to the following rules; so</w:t>
      </w:r>
      <w:r>
        <w:t xml:space="preserve"> </w:t>
      </w:r>
      <w:r>
        <w:rPr>
          <w:bCs/>
          <w:b/>
        </w:rPr>
        <w:t xml:space="preserve">न लोपः प्रातिपदिकान्तस्य</w:t>
      </w:r>
      <w:r>
        <w:t xml:space="preserve"> </w:t>
      </w:r>
      <w:r>
        <w:t xml:space="preserve">(पा. ८-२-७) — the elision of the</w:t>
      </w:r>
      <w:r>
        <w:t xml:space="preserve"> </w:t>
      </w:r>
      <w:r>
        <w:t xml:space="preserve">“</w:t>
      </w:r>
      <w:r>
        <w:t xml:space="preserve">n</w:t>
      </w:r>
      <w:r>
        <w:t xml:space="preserve">”</w:t>
      </w:r>
      <w:r>
        <w:t xml:space="preserve"> </w:t>
      </w:r>
      <w:r>
        <w:t xml:space="preserve">at the end of a stem — does not apply, and one gets</w:t>
      </w:r>
      <w:r>
        <w:t xml:space="preserve"> </w:t>
      </w:r>
      <w:r>
        <w:t xml:space="preserve">“</w:t>
      </w:r>
      <w:r>
        <w:t xml:space="preserve">vājavān,</w:t>
      </w:r>
      <w:r>
        <w:t xml:space="preserve">”</w:t>
      </w:r>
      <w:r>
        <w:t xml:space="preserve"> </w:t>
      </w:r>
      <w:r>
        <w:t xml:space="preserve">the stem</w:t>
      </w:r>
      <w:r>
        <w:t xml:space="preserve"> </w:t>
      </w:r>
      <w:r>
        <w:t xml:space="preserve">“</w:t>
      </w:r>
      <w:r>
        <w:t xml:space="preserve">vājavat.</w:t>
      </w:r>
      <w:r>
        <w:t xml:space="preserve">”</w:t>
      </w:r>
      <w:r>
        <w:t xml:space="preserve"> </w:t>
      </w:r>
      <w:r>
        <w:rPr>
          <w:iCs/>
          <w:i/>
        </w:rPr>
        <w:t xml:space="preserve">“</w:t>
      </w:r>
      <w:r>
        <w:rPr>
          <w:iCs/>
          <w:i/>
        </w:rPr>
        <w:t xml:space="preserve">We make him vājavat</w:t>
      </w:r>
      <w:r>
        <w:rPr>
          <w:iCs/>
          <w:i/>
        </w:rPr>
        <w:t xml:space="preserve">”</w:t>
      </w:r>
      <w:r>
        <w:t xml:space="preserve"> </w:t>
      </w:r>
      <w:r>
        <w:t xml:space="preserve">—</w:t>
      </w:r>
      <w:r>
        <w:t xml:space="preserve"> </w:t>
      </w:r>
      <w:r>
        <w:t xml:space="preserve">“</w:t>
      </w:r>
      <w:r>
        <w:t xml:space="preserve">vājavantaṃ kurmaḥ</w:t>
      </w:r>
      <w:r>
        <w:t xml:space="preserve">”</w:t>
      </w:r>
      <w:r>
        <w:t xml:space="preserve"> </w:t>
      </w:r>
      <w:r>
        <w:t xml:space="preserve">(</w:t>
      </w:r>
      <w:r>
        <w:t xml:space="preserve">“</w:t>
      </w:r>
      <w:r>
        <w:t xml:space="preserve">we make him possessed of food, or of strength</w:t>
      </w:r>
      <w:r>
        <w:t xml:space="preserve">”</w:t>
      </w:r>
      <w:r>
        <w:t xml:space="preserve">) — is intended:</w:t>
      </w:r>
      <w:r>
        <w:t xml:space="preserve"> </w:t>
      </w:r>
      <w:r>
        <w:t xml:space="preserve">“</w:t>
      </w:r>
      <w:r>
        <w:t xml:space="preserve">tat karoti tad ācaṣṭe</w:t>
      </w:r>
      <w:r>
        <w:t xml:space="preserve">”</w:t>
      </w:r>
      <w:r>
        <w:t xml:space="preserve"> </w:t>
      </w:r>
      <w:r>
        <w:t xml:space="preserve">(</w:t>
      </w:r>
      <w:r>
        <w:rPr>
          <w:bCs/>
          <w:b/>
        </w:rPr>
        <w:t xml:space="preserve">तत्करोति तदाचष्टे</w:t>
      </w:r>
      <w:r>
        <w:t xml:space="preserve">, पा. ३-१-२६; the print adds</w:t>
      </w:r>
      <w:r>
        <w:t xml:space="preserve"> </w:t>
      </w:r>
      <w:r>
        <w:t xml:space="preserve">“</w:t>
      </w:r>
      <w:r>
        <w:t xml:space="preserve">म ५-६</w:t>
      </w:r>
      <w:r>
        <w:t xml:space="preserve">”</w:t>
      </w:r>
      <w:r>
        <w:t xml:space="preserve">): in the sense</w:t>
      </w:r>
      <w:r>
        <w:t xml:space="preserve"> </w:t>
      </w:r>
      <w:r>
        <w:t xml:space="preserve">“</w:t>
      </w:r>
      <w:r>
        <w:t xml:space="preserve">he does that</w:t>
      </w:r>
      <w:r>
        <w:t xml:space="preserve">”</w:t>
      </w:r>
      <w:r>
        <w:t xml:space="preserve"> </w:t>
      </w:r>
      <w:r>
        <w:t xml:space="preserve">— and</w:t>
      </w:r>
      <w:r>
        <w:t xml:space="preserve"> </w:t>
      </w:r>
      <w:r>
        <w:t xml:space="preserve">“</w:t>
      </w:r>
      <w:r>
        <w:t xml:space="preserve">he declares it</w:t>
      </w:r>
      <w:r>
        <w:t xml:space="preserve">”</w:t>
      </w:r>
      <w:r>
        <w:t xml:space="preserve"> </w:t>
      </w:r>
      <w:r>
        <w:t xml:space="preserve">—</w:t>
      </w:r>
      <w:r>
        <w:t xml:space="preserve"> </w:t>
      </w:r>
      <w:r>
        <w:t xml:space="preserve">“</w:t>
      </w:r>
      <w:r>
        <w:t xml:space="preserve">ṇic</w:t>
      </w:r>
      <w:r>
        <w:t xml:space="preserve">”</w:t>
      </w:r>
      <w:r>
        <w:t xml:space="preserve"> </w:t>
      </w:r>
      <w:r>
        <w:t xml:space="preserve">is added after a second-case word;</w:t>
      </w:r>
      <w:r>
        <w:t xml:space="preserve"> </w:t>
      </w:r>
      <w:r>
        <w:t xml:space="preserve">“</w:t>
      </w:r>
      <w:r>
        <w:t xml:space="preserve">vājavat + am + ṇic</w:t>
      </w:r>
      <w:r>
        <w:t xml:space="preserve">”</w:t>
      </w:r>
      <w:r>
        <w:t xml:space="preserve">;</w:t>
      </w:r>
      <w:r>
        <w:t xml:space="preserve"> </w:t>
      </w:r>
      <w:r>
        <w:rPr>
          <w:bCs/>
          <w:b/>
        </w:rPr>
        <w:t xml:space="preserve">सनाद्यन्ता धातवः</w:t>
      </w:r>
      <w:r>
        <w:t xml:space="preserve"> </w:t>
      </w:r>
      <w:r>
        <w:t xml:space="preserve">(पा. ३-१-३२) — words ending in</w:t>
      </w:r>
      <w:r>
        <w:t xml:space="preserve"> </w:t>
      </w:r>
      <w:r>
        <w:t xml:space="preserve">“</w:t>
      </w:r>
      <w:r>
        <w:t xml:space="preserve">sanādi</w:t>
      </w:r>
      <w:r>
        <w:t xml:space="preserve">”</w:t>
      </w:r>
      <w:r>
        <w:t xml:space="preserve"> </w:t>
      </w:r>
      <w:r>
        <w:t xml:space="preserve">affixes are called roots;</w:t>
      </w:r>
      <w:r>
        <w:t xml:space="preserve"> </w:t>
      </w:r>
      <w:r>
        <w:rPr>
          <w:bCs/>
          <w:b/>
        </w:rPr>
        <w:t xml:space="preserve">सुपो धातुप्रातिपदिकयोः</w:t>
      </w:r>
      <w:r>
        <w:t xml:space="preserve"> </w:t>
      </w:r>
      <w:r>
        <w:t xml:space="preserve">(पा. २-४-७१) — the case-ending</w:t>
      </w:r>
      <w:r>
        <w:t xml:space="preserve"> </w:t>
      </w:r>
      <w:r>
        <w:t xml:space="preserve">“</w:t>
      </w:r>
      <w:r>
        <w:t xml:space="preserve">am</w:t>
      </w:r>
      <w:r>
        <w:t xml:space="preserve">”</w:t>
      </w:r>
      <w:r>
        <w:t xml:space="preserve"> </w:t>
      </w:r>
      <w:r>
        <w:t xml:space="preserve">is elided.</w:t>
      </w:r>
      <w:r>
        <w:t xml:space="preserve"> </w:t>
      </w:r>
      <w:r>
        <w:rPr>
          <w:bCs/>
          <w:b/>
        </w:rPr>
        <w:t xml:space="preserve">तावुपमेयः</w:t>
      </w:r>
      <w:r>
        <w:t xml:space="preserve"> </w:t>
      </w:r>
      <w:r>
        <w:t xml:space="preserve">— by</w:t>
      </w:r>
      <w:r>
        <w:t xml:space="preserve"> </w:t>
      </w:r>
      <w:r>
        <w:rPr>
          <w:bCs/>
          <w:b/>
        </w:rPr>
        <w:t xml:space="preserve">प्रातिपदिकस्य</w:t>
      </w:r>
      <w:r>
        <w:t xml:space="preserve"> </w:t>
      </w:r>
      <w:r>
        <w:t xml:space="preserve">(print:</w:t>
      </w:r>
      <w:r>
        <w:t xml:space="preserve"> </w:t>
      </w:r>
      <w:r>
        <w:rPr>
          <w:bCs/>
          <w:b/>
        </w:rPr>
        <w:t xml:space="preserve">ज्ञाविष्ठवत्प्रातिपदिकस्य</w:t>
      </w:r>
      <w:r>
        <w:t xml:space="preserve">, पा. ६-४-१५५-म. १) —</w:t>
      </w:r>
      <w:r>
        <w:t xml:space="preserve"> </w:t>
      </w:r>
      <w:r>
        <w:t xml:space="preserve">“</w:t>
      </w:r>
      <w:r>
        <w:t xml:space="preserve">iṣṭhavat</w:t>
      </w:r>
      <w:r>
        <w:t xml:space="preserve">”</w:t>
      </w:r>
      <w:r>
        <w:t xml:space="preserve"> </w:t>
      </w:r>
      <w:r>
        <w:t xml:space="preserve">treatment: whatever operations the</w:t>
      </w:r>
      <w:r>
        <w:t xml:space="preserve"> </w:t>
      </w:r>
      <w:r>
        <w:t xml:space="preserve">“</w:t>
      </w:r>
      <w:r>
        <w:t xml:space="preserve">iṣṭhan</w:t>
      </w:r>
      <w:r>
        <w:t xml:space="preserve">”</w:t>
      </w:r>
      <w:r>
        <w:t xml:space="preserve"> </w:t>
      </w:r>
      <w:r>
        <w:t xml:space="preserve">affix would bring, these also occur when</w:t>
      </w:r>
      <w:r>
        <w:t xml:space="preserve"> </w:t>
      </w:r>
      <w:r>
        <w:t xml:space="preserve">“</w:t>
      </w:r>
      <w:r>
        <w:t xml:space="preserve">ṇic</w:t>
      </w:r>
      <w:r>
        <w:t xml:space="preserve">”</w:t>
      </w:r>
      <w:r>
        <w:t xml:space="preserve"> </w:t>
      </w:r>
      <w:r>
        <w:t xml:space="preserve">follows; with</w:t>
      </w:r>
      <w:r>
        <w:t xml:space="preserve"> </w:t>
      </w:r>
      <w:r>
        <w:t xml:space="preserve">“</w:t>
      </w:r>
      <w:r>
        <w:t xml:space="preserve">iṣṭhan</w:t>
      </w:r>
      <w:r>
        <w:t xml:space="preserve">”</w:t>
      </w:r>
      <w:r>
        <w:t xml:space="preserve"> </w:t>
      </w:r>
      <w:r>
        <w:t xml:space="preserve">following,</w:t>
      </w:r>
      <w:r>
        <w:t xml:space="preserve"> </w:t>
      </w:r>
      <w:r>
        <w:rPr>
          <w:bCs/>
          <w:b/>
        </w:rPr>
        <w:t xml:space="preserve">विन्मतोर्लुक्</w:t>
      </w:r>
      <w:r>
        <w:t xml:space="preserve"> </w:t>
      </w:r>
      <w:r>
        <w:t xml:space="preserve">(पा. ५-३-६५) elides</w:t>
      </w:r>
      <w:r>
        <w:t xml:space="preserve"> </w:t>
      </w:r>
      <w:r>
        <w:t xml:space="preserve">“</w:t>
      </w:r>
      <w:r>
        <w:t xml:space="preserve">vin</w:t>
      </w:r>
      <w:r>
        <w:t xml:space="preserve">”</w:t>
      </w:r>
      <w:r>
        <w:t xml:space="preserve"> </w:t>
      </w:r>
      <w:r>
        <w:t xml:space="preserve">and</w:t>
      </w:r>
      <w:r>
        <w:t xml:space="preserve"> </w:t>
      </w:r>
      <w:r>
        <w:t xml:space="preserve">“</w:t>
      </w:r>
      <w:r>
        <w:t xml:space="preserve">matup</w:t>
      </w:r>
      <w:r>
        <w:t xml:space="preserve">”</w:t>
      </w:r>
      <w:r>
        <w:t xml:space="preserve"> </w:t>
      </w:r>
      <w:r>
        <w:t xml:space="preserve">— so by</w:t>
      </w:r>
      <w:r>
        <w:t xml:space="preserve"> </w:t>
      </w:r>
      <w:r>
        <w:t xml:space="preserve">“</w:t>
      </w:r>
      <w:r>
        <w:t xml:space="preserve">iṣṭhavat</w:t>
      </w:r>
      <w:r>
        <w:t xml:space="preserve">”</w:t>
      </w:r>
      <w:r>
        <w:t xml:space="preserve"> </w:t>
      </w:r>
      <w:r>
        <w:t xml:space="preserve">the</w:t>
      </w:r>
      <w:r>
        <w:t xml:space="preserve"> </w:t>
      </w:r>
      <w:r>
        <w:t xml:space="preserve">“</w:t>
      </w:r>
      <w:r>
        <w:t xml:space="preserve">matup</w:t>
      </w:r>
      <w:r>
        <w:t xml:space="preserve">”</w:t>
      </w:r>
      <w:r>
        <w:t xml:space="preserve"> </w:t>
      </w:r>
      <w:r>
        <w:t xml:space="preserve">is elided before</w:t>
      </w:r>
      <w:r>
        <w:t xml:space="preserve"> </w:t>
      </w:r>
      <w:r>
        <w:t xml:space="preserve">“</w:t>
      </w:r>
      <w:r>
        <w:t xml:space="preserve">ṇic,</w:t>
      </w:r>
      <w:r>
        <w:t xml:space="preserve">”</w:t>
      </w:r>
      <w:r>
        <w:t xml:space="preserve"> </w:t>
      </w:r>
      <w:r>
        <w:t xml:space="preserve">and</w:t>
      </w:r>
      <w:r>
        <w:t xml:space="preserve"> </w:t>
      </w:r>
      <w:r>
        <w:rPr>
          <w:bCs/>
          <w:b/>
        </w:rPr>
        <w:t xml:space="preserve">टेः</w:t>
      </w:r>
      <w:r>
        <w:t xml:space="preserve"> </w:t>
      </w:r>
      <w:r>
        <w:t xml:space="preserve">(पा. ६-४-१५५) the</w:t>
      </w:r>
      <w:r>
        <w:t xml:space="preserve"> </w:t>
      </w:r>
      <w:r>
        <w:t xml:space="preserve">“</w:t>
      </w:r>
      <w:r>
        <w:t xml:space="preserve">a</w:t>
      </w:r>
      <w:r>
        <w:t xml:space="preserve">”</w:t>
      </w:r>
      <w:r>
        <w:t xml:space="preserve"> </w:t>
      </w:r>
      <w:r>
        <w:t xml:space="preserve">before the</w:t>
      </w:r>
      <w:r>
        <w:t xml:space="preserve"> </w:t>
      </w:r>
      <w:r>
        <w:t xml:space="preserve">“</w:t>
      </w:r>
      <w:r>
        <w:t xml:space="preserve">ṇic</w:t>
      </w:r>
      <w:r>
        <w:t xml:space="preserve">”</w:t>
      </w:r>
      <w:r>
        <w:t xml:space="preserve"> </w:t>
      </w:r>
      <w:r>
        <w:t xml:space="preserve">is elided:</w:t>
      </w:r>
      <w:r>
        <w:t xml:space="preserve"> </w:t>
      </w:r>
      <w:r>
        <w:t xml:space="preserve">“</w:t>
      </w:r>
      <w:r>
        <w:t xml:space="preserve">vāja + i,</w:t>
      </w:r>
      <w:r>
        <w:t xml:space="preserve">”</w:t>
      </w:r>
      <w:r>
        <w:t xml:space="preserve"> </w:t>
      </w:r>
      <w:r>
        <w:t xml:space="preserve">then the root</w:t>
      </w:r>
      <w:r>
        <w:t xml:space="preserve"> </w:t>
      </w:r>
      <w:r>
        <w:t xml:space="preserve">“</w:t>
      </w:r>
      <w:r>
        <w:t xml:space="preserve">vāji</w:t>
      </w:r>
      <w:r>
        <w:t xml:space="preserve">”</w:t>
      </w:r>
      <w:r>
        <w:t xml:space="preserve"> </w:t>
      </w:r>
      <w:r>
        <w:t xml:space="preserve">with</w:t>
      </w:r>
      <w:r>
        <w:t xml:space="preserve"> </w:t>
      </w:r>
      <w:r>
        <w:t xml:space="preserve">“</w:t>
      </w:r>
      <w:r>
        <w:t xml:space="preserve">laṭ,</w:t>
      </w:r>
      <w:r>
        <w:t xml:space="preserve">”</w:t>
      </w:r>
      <w:r>
        <w:t xml:space="preserve"> </w:t>
      </w:r>
      <w:r>
        <w:t xml:space="preserve">first-person plural</w:t>
      </w:r>
      <w:r>
        <w:t xml:space="preserve"> </w:t>
      </w:r>
      <w:r>
        <w:t xml:space="preserve">“</w:t>
      </w:r>
      <w:r>
        <w:t xml:space="preserve">mas,</w:t>
      </w:r>
      <w:r>
        <w:t xml:space="preserve">”</w:t>
      </w:r>
      <w:r>
        <w:t xml:space="preserve"> </w:t>
      </w:r>
      <w:r>
        <w:rPr>
          <w:bCs/>
          <w:b/>
        </w:rPr>
        <w:t xml:space="preserve">कर्तरि शप्</w:t>
      </w:r>
      <w:r>
        <w:t xml:space="preserve"> </w:t>
      </w:r>
      <w:r>
        <w:t xml:space="preserve">(पा. ३-१-६८)</w:t>
      </w:r>
      <w:r>
        <w:t xml:space="preserve"> </w:t>
      </w:r>
      <w:r>
        <w:t xml:space="preserve">“</w:t>
      </w:r>
      <w:r>
        <w:t xml:space="preserve">śap</w:t>
      </w:r>
      <w:r>
        <w:t xml:space="preserve">”</w:t>
      </w:r>
      <w:r>
        <w:t xml:space="preserve"> </w:t>
      </w:r>
      <w:r>
        <w:t xml:space="preserve">with guṇa and</w:t>
      </w:r>
      <w:r>
        <w:t xml:space="preserve"> </w:t>
      </w:r>
      <w:r>
        <w:t xml:space="preserve">“</w:t>
      </w:r>
      <w:r>
        <w:t xml:space="preserve">ay</w:t>
      </w:r>
      <w:r>
        <w:t xml:space="preserve">”</w:t>
      </w:r>
      <w:r>
        <w:t xml:space="preserve"> </w:t>
      </w:r>
      <w:r>
        <w:t xml:space="preserve">→</w:t>
      </w:r>
      <w:r>
        <w:t xml:space="preserve"> </w:t>
      </w:r>
      <w:r>
        <w:t xml:space="preserve">“</w:t>
      </w:r>
      <w:r>
        <w:t xml:space="preserve">vājay + mas</w:t>
      </w:r>
      <w:r>
        <w:t xml:space="preserve">”</w:t>
      </w:r>
      <w:r>
        <w:t xml:space="preserve">;</w:t>
      </w:r>
      <w:r>
        <w:t xml:space="preserve"> </w:t>
      </w:r>
      <w:r>
        <w:rPr>
          <w:bCs/>
          <w:b/>
        </w:rPr>
        <w:t xml:space="preserve">अतो दीर्घो यञि</w:t>
      </w:r>
      <w:r>
        <w:t xml:space="preserve"> </w:t>
      </w:r>
      <w:r>
        <w:t xml:space="preserve">(पा. ७-३-१०१) lengthens the</w:t>
      </w:r>
      <w:r>
        <w:t xml:space="preserve"> </w:t>
      </w:r>
      <w:r>
        <w:t xml:space="preserve">“</w:t>
      </w:r>
      <w:r>
        <w:t xml:space="preserve">a</w:t>
      </w:r>
      <w:r>
        <w:t xml:space="preserve">”</w:t>
      </w:r>
      <w:r>
        <w:t xml:space="preserve"> </w:t>
      </w:r>
      <w:r>
        <w:t xml:space="preserve">before a</w:t>
      </w:r>
      <w:r>
        <w:t xml:space="preserve"> </w:t>
      </w:r>
      <w:r>
        <w:t xml:space="preserve">“</w:t>
      </w:r>
      <w:r>
        <w:t xml:space="preserve">yañ</w:t>
      </w:r>
      <w:r>
        <w:t xml:space="preserve">”</w:t>
      </w:r>
      <w:r>
        <w:t xml:space="preserve">-initial sārvadhātuka →</w:t>
      </w:r>
      <w:r>
        <w:t xml:space="preserve"> </w:t>
      </w:r>
      <w:r>
        <w:t xml:space="preserve">“</w:t>
      </w:r>
      <w:r>
        <w:t xml:space="preserve">vājayāmas</w:t>
      </w:r>
      <w:r>
        <w:t xml:space="preserve">”</w:t>
      </w:r>
      <w:r>
        <w:t xml:space="preserve"> </w:t>
      </w:r>
      <w:r>
        <w:t xml:space="preserve">→</w:t>
      </w:r>
      <w:r>
        <w:t xml:space="preserve"> </w:t>
      </w:r>
      <w:r>
        <w:t xml:space="preserve">“</w:t>
      </w:r>
      <w:r>
        <w:t xml:space="preserve">vājayāmaḥ</w:t>
      </w:r>
      <w:r>
        <w:t xml:space="preserve">”</w:t>
      </w:r>
      <w:r>
        <w:t xml:space="preserve"> </w:t>
      </w:r>
      <w:r>
        <w:t xml:space="preserve">(with</w:t>
      </w:r>
      <w:r>
        <w:t xml:space="preserve"> </w:t>
      </w:r>
      <w:r>
        <w:t xml:space="preserve">“</w:t>
      </w:r>
      <w:r>
        <w:t xml:space="preserve">ru</w:t>
      </w:r>
      <w:r>
        <w:t xml:space="preserve">”</w:t>
      </w:r>
      <w:r>
        <w:t xml:space="preserve"> </w:t>
      </w:r>
      <w:r>
        <w:t xml:space="preserve">and visarga). The</w:t>
      </w:r>
      <w:r>
        <w:t xml:space="preserve"> </w:t>
      </w:r>
      <w:r>
        <w:t xml:space="preserve">“</w:t>
      </w:r>
      <w:r>
        <w:t xml:space="preserve">śap</w:t>
      </w:r>
      <w:r>
        <w:t xml:space="preserve">”</w:t>
      </w:r>
      <w:r>
        <w:t xml:space="preserve"> </w:t>
      </w:r>
      <w:r>
        <w:t xml:space="preserve">is unaccented by being</w:t>
      </w:r>
      <w:r>
        <w:t xml:space="preserve"> </w:t>
      </w:r>
      <w:r>
        <w:t xml:space="preserve">“</w:t>
      </w:r>
      <w:r>
        <w:t xml:space="preserve">p</w:t>
      </w:r>
      <w:r>
        <w:t xml:space="preserve">”</w:t>
      </w:r>
      <w:r>
        <w:t xml:space="preserve">-marked (</w:t>
      </w:r>
      <w:r>
        <w:rPr>
          <w:bCs/>
          <w:b/>
        </w:rPr>
        <w:t xml:space="preserve">अनुदात्तौ सुप्पितौ</w:t>
      </w:r>
      <w:r>
        <w:t xml:space="preserve">, पा. ३-१-४);</w:t>
      </w:r>
      <w:r>
        <w:t xml:space="preserve"> </w:t>
      </w:r>
      <w:r>
        <w:t xml:space="preserve">“</w:t>
      </w:r>
      <w:r>
        <w:t xml:space="preserve">mas</w:t>
      </w:r>
      <w:r>
        <w:t xml:space="preserve">”</w:t>
      </w:r>
      <w:r>
        <w:t xml:space="preserve"> </w:t>
      </w:r>
      <w:r>
        <w:t xml:space="preserve">is unaccented by</w:t>
      </w:r>
      <w:r>
        <w:t xml:space="preserve"> </w:t>
      </w:r>
      <w:r>
        <w:rPr>
          <w:bCs/>
          <w:b/>
        </w:rPr>
        <w:t xml:space="preserve">तास्यनुदात्तेन्ङिदुपदेशाल्लसार्वधातुकमनुदात्तमहन्वनोर्ङित्</w:t>
      </w:r>
      <w:r>
        <w:t xml:space="preserve"> </w:t>
      </w:r>
      <w:r>
        <w:t xml:space="preserve">(पा. ६-१-१८६) and by</w:t>
      </w:r>
      <w:r>
        <w:t xml:space="preserve"> </w:t>
      </w:r>
      <w:r>
        <w:rPr>
          <w:bCs/>
          <w:b/>
        </w:rPr>
        <w:t xml:space="preserve">अनुदात्तं सर्वमपादादौ</w:t>
      </w:r>
      <w:r>
        <w:t xml:space="preserve"> </w:t>
      </w:r>
      <w:r>
        <w:t xml:space="preserve">(पा. ८-१-१८): the unaccented rule in general does not apply to a word that stands at the beginning of a pāda, by the prohibition, so, since</w:t>
      </w:r>
      <w:r>
        <w:t xml:space="preserve"> </w:t>
      </w:r>
      <w:r>
        <w:t xml:space="preserve">“</w:t>
      </w:r>
      <w:r>
        <w:t xml:space="preserve">vājayāmaḥ</w:t>
      </w:r>
      <w:r>
        <w:t xml:space="preserve">”</w:t>
      </w:r>
      <w:r>
        <w:t xml:space="preserve"> </w:t>
      </w:r>
      <w:r>
        <w:t xml:space="preserve">is the first word of the second pāda,</w:t>
      </w:r>
      <w:r>
        <w:t xml:space="preserve"> </w:t>
      </w:r>
      <w:r>
        <w:rPr>
          <w:bCs/>
          <w:b/>
        </w:rPr>
        <w:t xml:space="preserve">तिङ्ङतिङः</w:t>
      </w:r>
      <w:r>
        <w:t xml:space="preserve"> </w:t>
      </w:r>
      <w:r>
        <w:t xml:space="preserve">(पा. ८-१-२८) does not make it unaccented.</w:t>
      </w:r>
      <w:r>
        <w:t xml:space="preserve"> </w:t>
      </w:r>
      <w:r>
        <w:rPr>
          <w:bCs/>
          <w:b/>
        </w:rPr>
        <w:t xml:space="preserve">“</w:t>
      </w:r>
      <w:r>
        <w:rPr>
          <w:bCs/>
          <w:b/>
        </w:rPr>
        <w:t xml:space="preserve">Śatakrato</w:t>
      </w:r>
      <w:r>
        <w:rPr>
          <w:bCs/>
          <w:b/>
        </w:rPr>
        <w:t xml:space="preserve">”</w:t>
      </w:r>
      <w:r>
        <w:t xml:space="preserve"> </w:t>
      </w:r>
      <w:r>
        <w:t xml:space="preserve">— a vocative, unaccented by</w:t>
      </w:r>
      <w:r>
        <w:t xml:space="preserve"> </w:t>
      </w:r>
      <w:r>
        <w:rPr>
          <w:bCs/>
          <w:b/>
        </w:rPr>
        <w:t xml:space="preserve">आमन्त्रितस्य च</w:t>
      </w:r>
      <w:r>
        <w:t xml:space="preserve"> </w:t>
      </w:r>
      <w:r>
        <w:t xml:space="preserve">(पा. ८-१-१९);</w:t>
      </w:r>
      <w:r>
        <w:t xml:space="preserve"> </w:t>
      </w:r>
      <w:r>
        <w:rPr>
          <w:bCs/>
          <w:b/>
        </w:rPr>
        <w:t xml:space="preserve">“</w:t>
      </w:r>
      <w:r>
        <w:rPr>
          <w:bCs/>
          <w:b/>
        </w:rPr>
        <w:t xml:space="preserve">dhanānām</w:t>
      </w:r>
      <w:r>
        <w:rPr>
          <w:bCs/>
          <w:b/>
        </w:rPr>
        <w:t xml:space="preserve">”</w:t>
      </w:r>
      <w:r>
        <w:t xml:space="preserve"> </w:t>
      </w:r>
      <w:r>
        <w:t xml:space="preserve">— first-syllable acute by the Phiṭ-sūtra</w:t>
      </w:r>
      <w:r>
        <w:t xml:space="preserve"> </w:t>
      </w:r>
      <w:r>
        <w:rPr>
          <w:bCs/>
          <w:b/>
        </w:rPr>
        <w:t xml:space="preserve">नब्विषयस्यानिसन्तस्य</w:t>
      </w:r>
      <w:r>
        <w:t xml:space="preserve"> </w:t>
      </w:r>
      <w:r>
        <w:t xml:space="preserve">(फि. सू. २६);</w:t>
      </w:r>
      <w:r>
        <w:t xml:space="preserve"> </w:t>
      </w:r>
      <w:r>
        <w:rPr>
          <w:bCs/>
          <w:b/>
        </w:rPr>
        <w:t xml:space="preserve">“</w:t>
      </w:r>
      <w:r>
        <w:rPr>
          <w:bCs/>
          <w:b/>
        </w:rPr>
        <w:t xml:space="preserve">sātaye</w:t>
      </w:r>
      <w:r>
        <w:rPr>
          <w:bCs/>
          <w:b/>
        </w:rPr>
        <w:t xml:space="preserve">”</w:t>
      </w:r>
      <w:r>
        <w:t xml:space="preserve"> </w:t>
      </w:r>
      <w:r>
        <w:t xml:space="preserve">—</w:t>
      </w:r>
      <w:r>
        <w:t xml:space="preserve"> </w:t>
      </w:r>
      <w:r>
        <w:t xml:space="preserve">“</w:t>
      </w:r>
      <w:r>
        <w:t xml:space="preserve">udātta</w:t>
      </w:r>
      <w:r>
        <w:t xml:space="preserve">”</w:t>
      </w:r>
      <w:r>
        <w:t xml:space="preserve"> </w:t>
      </w:r>
      <w:r>
        <w:t xml:space="preserve">being continued, by</w:t>
      </w:r>
      <w:r>
        <w:t xml:space="preserve"> </w:t>
      </w:r>
      <w:r>
        <w:rPr>
          <w:bCs/>
          <w:b/>
        </w:rPr>
        <w:t xml:space="preserve">ऊतियूतिजूतिसातिहेतिकीर्तयश्च</w:t>
      </w:r>
      <w:r>
        <w:t xml:space="preserve"> </w:t>
      </w:r>
      <w:r>
        <w:t xml:space="preserve">(पा. ३-३-९७) the</w:t>
      </w:r>
      <w:r>
        <w:t xml:space="preserve"> </w:t>
      </w:r>
      <w:r>
        <w:t xml:space="preserve">“</w:t>
      </w:r>
      <w:r>
        <w:t xml:space="preserve">ktin</w:t>
      </w:r>
      <w:r>
        <w:t xml:space="preserve">”</w:t>
      </w:r>
      <w:r>
        <w:t xml:space="preserve"> </w:t>
      </w:r>
      <w:r>
        <w:t xml:space="preserve">affix is acute. ॥९॥</w:t>
      </w:r>
    </w:p>
    <w:p>
      <w:r>
        <w:pict>
          <v:rect style="width:0;height:1.5pt" o:hralign="center" o:hrstd="t" o:hr="t"/>
        </w:pict>
      </w:r>
    </w:p>
    <w:bookmarkEnd w:id="162"/>
    <w:bookmarkStart w:id="163" w:name="sūkta-4-the-tenth-mantra"/>
    <w:p>
      <w:pPr>
        <w:pStyle w:val="Heading3"/>
      </w:pPr>
      <w:r>
        <w:t xml:space="preserve">Sūkta 4, The Tenth Mantra</w:t>
      </w:r>
    </w:p>
    <w:p>
      <w:pPr>
        <w:pStyle w:val="FirstParagraph"/>
      </w:pPr>
      <w:r>
        <w:rPr>
          <w:bCs/>
          <w:b/>
        </w:rPr>
        <w:t xml:space="preserve">॥ Saṃhitā-pāṭhaḥ ॥</w:t>
      </w:r>
    </w:p>
    <w:p>
      <w:pPr>
        <w:pStyle w:val="BlockText"/>
      </w:pPr>
      <w:r>
        <w:t xml:space="preserve">यो रा॒यो॒३वनि॑र्म॒हान्त्सु॑पा॒रः सु॑न्व॒तः सखा॑ । [accent ?]</w:t>
      </w:r>
      <w:r>
        <w:t xml:space="preserve"> </w:t>
      </w:r>
      <w:r>
        <w:t xml:space="preserve">तस्मा इंद्रा॑य गायत ॥१०॥ [accent ?]</w:t>
      </w:r>
    </w:p>
    <w:p>
      <w:pPr>
        <w:pStyle w:val="BlockText"/>
      </w:pPr>
      <w:r>
        <w:rPr>
          <w:iCs/>
          <w:i/>
        </w:rPr>
        <w:t xml:space="preserve">yo rāyo3vánirmahā́ntsupāráḥ sunvatáḥ sákhā |</w:t>
      </w:r>
      <w:r>
        <w:t xml:space="preserve"> </w:t>
      </w:r>
      <w:r>
        <w:t xml:space="preserve">[accent ?]</w:t>
      </w:r>
      <w:r>
        <w:t xml:space="preserve"> </w:t>
      </w:r>
      <w:r>
        <w:rPr>
          <w:iCs/>
          <w:i/>
        </w:rPr>
        <w:t xml:space="preserve">tasmā íṃdrāya gāyata ||10||</w:t>
      </w:r>
      <w:r>
        <w:t xml:space="preserve"> </w:t>
      </w:r>
      <w:r>
        <w:t xml:space="preserve">[accent ?]</w:t>
      </w:r>
    </w:p>
    <w:p>
      <w:pPr>
        <w:pStyle w:val="FirstParagraph"/>
      </w:pPr>
      <w:r>
        <w:rPr>
          <w:iCs/>
          <w:i/>
        </w:rPr>
        <w:t xml:space="preserve">(Accents read from the better scan; [accent ?]: on this page the print shows through from the back, and the marks around रायो३वनिः and under इन्द्राय are not clear — recorded as best read.)</w:t>
      </w:r>
    </w:p>
    <w:p>
      <w:pPr>
        <w:pStyle w:val="BodyText"/>
      </w:pPr>
      <w:r>
        <w:rPr>
          <w:iCs/>
          <w:i/>
        </w:rPr>
        <w:t xml:space="preserve">(Reading note: the Saṃhitā text is printed with the avagraha-sign in</w:t>
      </w:r>
      <w:r>
        <w:rPr>
          <w:iCs/>
          <w:i/>
        </w:rPr>
        <w:t xml:space="preserve"> </w:t>
      </w:r>
      <w:r>
        <w:rPr>
          <w:iCs/>
          <w:i/>
        </w:rPr>
        <w:t xml:space="preserve">“</w:t>
      </w:r>
      <w:r>
        <w:rPr>
          <w:iCs/>
          <w:i/>
        </w:rPr>
        <w:t xml:space="preserve">rāyo ’vanir,</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mahān</w:t>
      </w:r>
      <w:r>
        <w:rPr>
          <w:iCs/>
          <w:i/>
        </w:rPr>
        <w:t xml:space="preserve">”</w:t>
      </w:r>
      <w:r>
        <w:rPr>
          <w:iCs/>
          <w:i/>
        </w:rPr>
        <w:t xml:space="preserve"> </w:t>
      </w:r>
      <w:r>
        <w:rPr>
          <w:iCs/>
          <w:i/>
        </w:rPr>
        <w:t xml:space="preserve">followed by a</w:t>
      </w:r>
      <w:r>
        <w:rPr>
          <w:iCs/>
          <w:i/>
        </w:rPr>
        <w:t xml:space="preserve"> </w:t>
      </w:r>
      <w:r>
        <w:rPr>
          <w:iCs/>
          <w:i/>
        </w:rPr>
        <w:t xml:space="preserve">“</w:t>
      </w:r>
      <w:r>
        <w:rPr>
          <w:iCs/>
          <w:i/>
        </w:rPr>
        <w:t xml:space="preserve">t</w:t>
      </w:r>
      <w:r>
        <w:rPr>
          <w:iCs/>
          <w:i/>
        </w:rPr>
        <w:t xml:space="preserve">”</w:t>
      </w:r>
      <w:r>
        <w:rPr>
          <w:iCs/>
          <w:i/>
        </w:rPr>
        <w:t xml:space="preserve">-like mark and</w:t>
      </w:r>
      <w:r>
        <w:rPr>
          <w:iCs/>
          <w:i/>
        </w:rPr>
        <w:t xml:space="preserve"> </w:t>
      </w:r>
      <w:r>
        <w:rPr>
          <w:iCs/>
          <w:i/>
        </w:rPr>
        <w:t xml:space="preserve">“</w:t>
      </w:r>
      <w:r>
        <w:rPr>
          <w:iCs/>
          <w:i/>
        </w:rPr>
        <w:t xml:space="preserve">supāraḥ</w:t>
      </w:r>
      <w:r>
        <w:rPr>
          <w:iCs/>
          <w:i/>
        </w:rPr>
        <w:t xml:space="preserve">”</w:t>
      </w:r>
      <w:r>
        <w:rPr>
          <w:iCs/>
          <w:i/>
        </w:rPr>
        <w:t xml:space="preserve"> </w:t>
      </w:r>
      <w:r>
        <w:rPr>
          <w:iCs/>
          <w:i/>
        </w:rPr>
        <w:t xml:space="preserve">as</w:t>
      </w:r>
      <w:r>
        <w:rPr>
          <w:iCs/>
          <w:i/>
        </w:rPr>
        <w:t xml:space="preserve"> </w:t>
      </w:r>
      <w:r>
        <w:rPr>
          <w:iCs/>
          <w:i/>
        </w:rPr>
        <w:t xml:space="preserve">“</w:t>
      </w:r>
      <w:r>
        <w:rPr>
          <w:iCs/>
          <w:i/>
        </w:rPr>
        <w:t xml:space="preserve">mahāntsupāraḥ</w:t>
      </w:r>
      <w:r>
        <w:rPr>
          <w:iCs/>
          <w:i/>
        </w:rPr>
        <w:t xml:space="preserve">”</w:t>
      </w:r>
      <w:r>
        <w:rPr>
          <w:iCs/>
          <w:i/>
        </w:rPr>
        <w:t xml:space="preserve"> </w:t>
      </w:r>
      <w:r>
        <w:rPr>
          <w:iCs/>
          <w:i/>
        </w:rPr>
        <w:t xml:space="preserve">— the sandhi of</w:t>
      </w:r>
      <w:r>
        <w:rPr>
          <w:iCs/>
          <w:i/>
        </w:rPr>
        <w:t xml:space="preserve"> </w:t>
      </w:r>
      <w:r>
        <w:rPr>
          <w:iCs/>
          <w:i/>
        </w:rPr>
        <w:t xml:space="preserve">“</w:t>
      </w:r>
      <w:r>
        <w:rPr>
          <w:iCs/>
          <w:i/>
        </w:rPr>
        <w:t xml:space="preserve">mahān + su…</w:t>
      </w:r>
      <w:r>
        <w:rPr>
          <w:iCs/>
          <w:i/>
        </w:rPr>
        <w:t xml:space="preserve">”</w:t>
      </w:r>
      <w:r>
        <w:rPr>
          <w:iCs/>
          <w:i/>
        </w:rPr>
        <w:t xml:space="preserve"> </w:t>
      </w:r>
      <w:r>
        <w:rPr>
          <w:iCs/>
          <w:i/>
        </w:rPr>
        <w:t xml:space="preserve">— as I read it. The end of the page carries the Kannada page-footnote numeral</w:t>
      </w:r>
      <w:r>
        <w:rPr>
          <w:iCs/>
          <w:i/>
        </w:rPr>
        <w:t xml:space="preserve"> </w:t>
      </w:r>
      <w:r>
        <w:rPr>
          <w:iCs/>
          <w:i/>
        </w:rPr>
        <w:t xml:space="preserve">“</w:t>
      </w:r>
      <w:r>
        <w:rPr>
          <w:iCs/>
          <w:i/>
        </w:rPr>
        <w:t xml:space="preserve">17</w:t>
      </w:r>
      <w:r>
        <w:rPr>
          <w:iCs/>
          <w:i/>
        </w:rPr>
        <w:t xml:space="preserve">”</w:t>
      </w:r>
      <w:r>
        <w:rPr>
          <w:iCs/>
          <w:i/>
        </w:rPr>
        <w:t xml:space="preserve"> </w:t>
      </w:r>
      <w:r>
        <w:rPr>
          <w:iCs/>
          <w:i/>
        </w:rPr>
        <w:t xml:space="preserve">(a signature-mark).)</w:t>
      </w:r>
    </w:p>
    <w:bookmarkEnd w:id="163"/>
    <w:bookmarkStart w:id="164" w:name="X8c1ac9d2f144aba8bf2380e4c332e319f168242"/>
    <w:p>
      <w:pPr>
        <w:pStyle w:val="Heading3"/>
      </w:pPr>
      <w:r>
        <w:t xml:space="preserve">Page 130 — Rik 4.10: Pada, Sāyaṇa-bhāṣya, grammar (characterized), Pada-meanings (opening)</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4.</w:t>
      </w:r>
      <w:r>
        <w:rPr>
          <w:iCs/>
          <w:i/>
        </w:rPr>
        <w:t xml:space="preserve">”</w:t>
      </w:r>
      <w:r>
        <w:rPr>
          <w:iCs/>
          <w:i/>
        </w:rPr>
        <w:t xml:space="preserve"> </w:t>
      </w:r>
      <w:r>
        <w:rPr>
          <w:iCs/>
          <w:i/>
        </w:rPr>
        <w:t xml:space="preserve">Sanskrit printed in Kannada script; [?] where unclear.)</w:t>
      </w:r>
    </w:p>
    <w:p>
      <w:pPr>
        <w:pStyle w:val="BodyText"/>
      </w:pPr>
      <w:r>
        <w:rPr>
          <w:bCs/>
          <w:b/>
        </w:rPr>
        <w:t xml:space="preserve">॥ Pada-pāṭhaḥ ॥</w:t>
      </w:r>
    </w:p>
    <w:p>
      <w:pPr>
        <w:pStyle w:val="BlockText"/>
      </w:pPr>
      <w:r>
        <w:t xml:space="preserve">यः । रायः । अवनिः । महान् । सुऽपारः । सुन्वतः । सखा ।</w:t>
      </w:r>
      <w:r>
        <w:t xml:space="preserve"> </w:t>
      </w:r>
      <w:r>
        <w:t xml:space="preserve">तस्मै । इन्द्राय । गायत ॥१०॥</w:t>
      </w:r>
    </w:p>
    <w:p>
      <w:pPr>
        <w:pStyle w:val="FirstParagraph"/>
      </w:pPr>
      <w:r>
        <w:rPr>
          <w:bCs/>
          <w:b/>
        </w:rPr>
        <w:t xml:space="preserve">॥ Sāyaṇa-bhāṣyam ॥</w:t>
      </w:r>
    </w:p>
    <w:p>
      <w:pPr>
        <w:pStyle w:val="BlockText"/>
      </w:pPr>
      <w:r>
        <w:t xml:space="preserve">य इन्द्रो रायो धनस्यावनी रक्षकः स्वामिना वा तस्मा इन्द्राय गायत । हे ऋत्विजस्तृप्त्यर्थं स्तुतिं कुरुत । कीदृश इन्द्रः । महान्गुणैरधिकः सुपारः सुष्ठु कर्मणः पूरयिता सुन्वतो यजमानस्य सखा सखिवत्प्रियः ॥</w:t>
      </w:r>
      <w:r>
        <w:t xml:space="preserve"> </w:t>
      </w:r>
      <w:r>
        <w:rPr>
          <w:iCs/>
          <w:i/>
        </w:rPr>
        <w:t xml:space="preserve">ya indro rāyo dhanasyāvanī rakṣakaḥ svāminā vā tasmā indrāya gāyata | he ṛtvijas tṛptyartham stutiṃ kurutā | kīdṛśa indraḥ | mahān guṇair adhikaḥ supāraḥ suṣṭhu karmaṇaḥ pūrayitā sunvato yajamānasya sakhā sakhivat priyaḥ ||</w:t>
      </w:r>
      <w:r>
        <w:t xml:space="preserve"> </w:t>
      </w:r>
      <w:r>
        <w:rPr>
          <w:iCs/>
          <w:i/>
        </w:rPr>
        <w:t xml:space="preserve">(The print has</w:t>
      </w:r>
      <w:r>
        <w:rPr>
          <w:iCs/>
          <w:i/>
        </w:rPr>
        <w:t xml:space="preserve"> </w:t>
      </w:r>
      <w:r>
        <w:rPr>
          <w:iCs/>
          <w:i/>
        </w:rPr>
        <w:t xml:space="preserve">“</w:t>
      </w:r>
      <w:r>
        <w:rPr>
          <w:iCs/>
          <w:i/>
        </w:rPr>
        <w:t xml:space="preserve">kurutā</w:t>
      </w:r>
      <w:r>
        <w:rPr>
          <w:iCs/>
          <w:i/>
        </w:rPr>
        <w:t xml:space="preserve">”</w:t>
      </w:r>
      <w:r>
        <w:rPr>
          <w:iCs/>
          <w:i/>
        </w:rPr>
        <w:t xml:space="preserve"> </w:t>
      </w:r>
      <w:r>
        <w:rPr>
          <w:iCs/>
          <w:i/>
        </w:rPr>
        <w:t xml:space="preserve">for</w:t>
      </w:r>
      <w:r>
        <w:rPr>
          <w:iCs/>
          <w:i/>
        </w:rPr>
        <w:t xml:space="preserve"> </w:t>
      </w:r>
      <w:r>
        <w:rPr>
          <w:iCs/>
          <w:i/>
        </w:rPr>
        <w:t xml:space="preserve">“</w:t>
      </w:r>
      <w:r>
        <w:rPr>
          <w:iCs/>
          <w:i/>
        </w:rPr>
        <w:t xml:space="preserve">kuruta</w:t>
      </w:r>
      <w:r>
        <w:rPr>
          <w:iCs/>
          <w:i/>
        </w:rPr>
        <w:t xml:space="preserve">”</w:t>
      </w:r>
      <w:r>
        <w:rPr>
          <w:iCs/>
          <w:i/>
        </w:rPr>
        <w:t xml:space="preserve">; I give it as printed, noting that the sense —</w:t>
      </w:r>
      <w:r>
        <w:rPr>
          <w:iCs/>
          <w:i/>
        </w:rPr>
        <w:t xml:space="preserve"> </w:t>
      </w:r>
      <w:r>
        <w:rPr>
          <w:iCs/>
          <w:i/>
        </w:rPr>
        <w:t xml:space="preserve">“</w:t>
      </w:r>
      <w:r>
        <w:rPr>
          <w:iCs/>
          <w:i/>
        </w:rPr>
        <w:t xml:space="preserve">make</w:t>
      </w:r>
      <w:r>
        <w:rPr>
          <w:iCs/>
          <w:i/>
        </w:rPr>
        <w:t xml:space="preserve">”</w:t>
      </w:r>
      <w:r>
        <w:rPr>
          <w:iCs/>
          <w:i/>
        </w:rPr>
        <w:t xml:space="preserve"> </w:t>
      </w:r>
      <w:r>
        <w:rPr>
          <w:iCs/>
          <w:i/>
        </w:rPr>
        <w:t xml:space="preserve">— is not affected.)</w:t>
      </w:r>
    </w:p>
    <w:p>
      <w:pPr>
        <w:pStyle w:val="FirstParagraph"/>
      </w:pPr>
      <w:r>
        <w:rPr>
          <w:bCs/>
          <w:b/>
        </w:rPr>
        <w:t xml:space="preserve">Translation:</w:t>
      </w:r>
      <w:r>
        <w:t xml:space="preserve"> </w:t>
      </w:r>
      <w:r>
        <w:t xml:space="preserve">“</w:t>
      </w:r>
      <w:r>
        <w:t xml:space="preserve">That Indra who is</w:t>
      </w:r>
      <w:r>
        <w:t xml:space="preserve"> </w:t>
      </w:r>
      <w:r>
        <w:t xml:space="preserve">‘</w:t>
      </w:r>
      <w:r>
        <w:t xml:space="preserve">rāyaḥ avaniḥ</w:t>
      </w:r>
      <w:r>
        <w:t xml:space="preserve">’</w:t>
      </w:r>
      <w:r>
        <w:t xml:space="preserve"> </w:t>
      </w:r>
      <w:r>
        <w:t xml:space="preserve">— the protector of wealth, or its master — to that Indra sing (</w:t>
      </w:r>
      <w:r>
        <w:t xml:space="preserve">‘</w:t>
      </w:r>
      <w:r>
        <w:t xml:space="preserve">gāyata</w:t>
      </w:r>
      <w:r>
        <w:t xml:space="preserve">’</w:t>
      </w:r>
      <w:r>
        <w:t xml:space="preserve">). O priests, make praise for his satisfaction. What kind of Indra?</w:t>
      </w:r>
      <w:r>
        <w:t xml:space="preserve"> </w:t>
      </w:r>
      <w:r>
        <w:t xml:space="preserve">‘</w:t>
      </w:r>
      <w:r>
        <w:t xml:space="preserve">Mahān</w:t>
      </w:r>
      <w:r>
        <w:t xml:space="preserve">’</w:t>
      </w:r>
      <w:r>
        <w:t xml:space="preserve"> </w:t>
      </w:r>
      <w:r>
        <w:t xml:space="preserve">— greater by virtues;</w:t>
      </w:r>
      <w:r>
        <w:t xml:space="preserve"> </w:t>
      </w:r>
      <w:r>
        <w:t xml:space="preserve">‘</w:t>
      </w:r>
      <w:r>
        <w:t xml:space="preserve">supāraḥ</w:t>
      </w:r>
      <w:r>
        <w:t xml:space="preserve">’</w:t>
      </w:r>
      <w:r>
        <w:t xml:space="preserve"> </w:t>
      </w:r>
      <w:r>
        <w:t xml:space="preserve">— he who fulfils the rite well, the completer of the action;</w:t>
      </w:r>
      <w:r>
        <w:t xml:space="preserve"> </w:t>
      </w:r>
      <w:r>
        <w:t xml:space="preserve">‘</w:t>
      </w:r>
      <w:r>
        <w:t xml:space="preserve">sunvataḥ sakhā</w:t>
      </w:r>
      <w:r>
        <w:t xml:space="preserve">’</w:t>
      </w:r>
      <w:r>
        <w:t xml:space="preserve"> </w:t>
      </w:r>
      <w:r>
        <w:t xml:space="preserve">— the friend of the sacrificer who presses the Soma: dear as a friend.</w:t>
      </w:r>
      <w:r>
        <w:t xml:space="preserve">”</w:t>
      </w:r>
    </w:p>
    <w:p>
      <w:pPr>
        <w:pStyle w:val="BodyText"/>
      </w:pPr>
      <w:r>
        <w:rPr>
          <w:bCs/>
          <w:b/>
        </w:rPr>
        <w:t xml:space="preserve">Grammar within the Bhāṣya (characterized, sūtras kept):</w:t>
      </w:r>
      <w:r>
        <w:t xml:space="preserve"> </w:t>
      </w:r>
      <w:r>
        <w:t xml:space="preserve">“</w:t>
      </w:r>
      <w:r>
        <w:t xml:space="preserve">Rāyaḥ</w:t>
      </w:r>
      <w:r>
        <w:t xml:space="preserve">”</w:t>
      </w:r>
      <w:r>
        <w:t xml:space="preserve"> </w:t>
      </w:r>
      <w:r>
        <w:t xml:space="preserve">— the case-ending is acute after</w:t>
      </w:r>
      <w:r>
        <w:t xml:space="preserve"> </w:t>
      </w:r>
      <w:r>
        <w:t xml:space="preserve">“</w:t>
      </w:r>
      <w:r>
        <w:t xml:space="preserve">ūṭh,</w:t>
      </w:r>
      <w:r>
        <w:t xml:space="preserve">”</w:t>
      </w:r>
      <w:r>
        <w:t xml:space="preserve"> </w:t>
      </w:r>
      <w:r>
        <w:t xml:space="preserve">“</w:t>
      </w:r>
      <w:r>
        <w:t xml:space="preserve">idam,</w:t>
      </w:r>
      <w:r>
        <w:t xml:space="preserve">”</w:t>
      </w:r>
      <w:r>
        <w:t xml:space="preserve"> </w:t>
      </w:r>
      <w:r>
        <w:t xml:space="preserve">“</w:t>
      </w:r>
      <w:r>
        <w:t xml:space="preserve">pad</w:t>
      </w:r>
      <w:r>
        <w:t xml:space="preserve">”</w:t>
      </w:r>
      <w:r>
        <w:t xml:space="preserve"> </w:t>
      </w:r>
      <w:r>
        <w:t xml:space="preserve">and the like (</w:t>
      </w:r>
      <w:r>
        <w:rPr>
          <w:bCs/>
          <w:b/>
        </w:rPr>
        <w:t xml:space="preserve">ऊडिदम्पदाद्यप्पुम्रैद्युभ्यः</w:t>
      </w:r>
      <w:r>
        <w:t xml:space="preserve">, पा. ६-१-१७१); thus the genitive</w:t>
      </w:r>
      <w:r>
        <w:t xml:space="preserve"> </w:t>
      </w:r>
      <w:r>
        <w:t xml:space="preserve">“</w:t>
      </w:r>
      <w:r>
        <w:t xml:space="preserve">ḥ</w:t>
      </w:r>
      <w:r>
        <w:t xml:space="preserve">”</w:t>
      </w:r>
      <w:r>
        <w:t xml:space="preserve"> </w:t>
      </w:r>
      <w:r>
        <w:t xml:space="preserve">of</w:t>
      </w:r>
      <w:r>
        <w:t xml:space="preserve"> </w:t>
      </w:r>
      <w:r>
        <w:t xml:space="preserve">“</w:t>
      </w:r>
      <w:r>
        <w:t xml:space="preserve">rai</w:t>
      </w:r>
      <w:r>
        <w:t xml:space="preserve">”</w:t>
      </w:r>
      <w:r>
        <w:t xml:space="preserve"> </w:t>
      </w:r>
      <w:r>
        <w:t xml:space="preserve">(</w:t>
      </w:r>
      <w:r>
        <w:t xml:space="preserve">“</w:t>
      </w:r>
      <w:r>
        <w:t xml:space="preserve">rāyaḥ</w:t>
      </w:r>
      <w:r>
        <w:t xml:space="preserve">”</w:t>
      </w:r>
      <w:r>
        <w:t xml:space="preserve">) is acute.</w:t>
      </w:r>
      <w:r>
        <w:t xml:space="preserve"> </w:t>
      </w:r>
      <w:r>
        <w:t xml:space="preserve">“</w:t>
      </w:r>
      <w:r>
        <w:t xml:space="preserve">Avaniḥ</w:t>
      </w:r>
      <w:r>
        <w:t xml:space="preserve">”</w:t>
      </w:r>
      <w:r>
        <w:t xml:space="preserve"> </w:t>
      </w:r>
      <w:r>
        <w:t xml:space="preserve">—</w:t>
      </w:r>
      <w:r>
        <w:t xml:space="preserve"> </w:t>
      </w:r>
      <w:r>
        <w:t xml:space="preserve">“</w:t>
      </w:r>
      <w:r>
        <w:t xml:space="preserve">av</w:t>
      </w:r>
      <w:r>
        <w:t xml:space="preserve">”</w:t>
      </w:r>
      <w:r>
        <w:t xml:space="preserve"> </w:t>
      </w:r>
      <w:r>
        <w:t xml:space="preserve">(to protect) in the long list of senses beginning</w:t>
      </w:r>
      <w:r>
        <w:t xml:space="preserve"> </w:t>
      </w:r>
      <w:r>
        <w:t xml:space="preserve">“</w:t>
      </w:r>
      <w:r>
        <w:t xml:space="preserve">rakṣaṇa-gati-prīti-tṛpti-…</w:t>
      </w:r>
      <w:r>
        <w:t xml:space="preserve">”</w:t>
      </w:r>
      <w:r>
        <w:t xml:space="preserve"> </w:t>
      </w:r>
      <w:r>
        <w:t xml:space="preserve">(as in the dhātupāṭha:</w:t>
      </w:r>
      <w:r>
        <w:t xml:space="preserve"> </w:t>
      </w:r>
      <w:r>
        <w:t xml:space="preserve">“</w:t>
      </w:r>
      <w:r>
        <w:t xml:space="preserve">to protect, to go, to please, to satisfy, to enter, to hear, to command, to request, to make, to desire, to shine, to obtain, to embrace, to injure, to burn, to grow …</w:t>
      </w:r>
      <w:r>
        <w:t xml:space="preserve">”</w:t>
      </w:r>
      <w:r>
        <w:t xml:space="preserve">), with the Uṇādi</w:t>
      </w:r>
      <w:r>
        <w:t xml:space="preserve"> </w:t>
      </w:r>
      <w:r>
        <w:rPr>
          <w:bCs/>
          <w:b/>
        </w:rPr>
        <w:t xml:space="preserve">अर्तिसृधृधम्यम्यश्यवितृभ्योऽनिः</w:t>
      </w:r>
      <w:r>
        <w:t xml:space="preserve"> </w:t>
      </w:r>
      <w:r>
        <w:t xml:space="preserve">(उ. सू. २-१०३; read with the clearer printing on p. 134) the affix</w:t>
      </w:r>
      <w:r>
        <w:t xml:space="preserve"> </w:t>
      </w:r>
      <w:r>
        <w:t xml:space="preserve">“</w:t>
      </w:r>
      <w:r>
        <w:t xml:space="preserve">ani</w:t>
      </w:r>
      <w:r>
        <w:t xml:space="preserve">”</w:t>
      </w:r>
      <w:r>
        <w:t xml:space="preserve">; the affix gives the accent.</w:t>
      </w:r>
      <w:r>
        <w:t xml:space="preserve"> </w:t>
      </w:r>
      <w:r>
        <w:t xml:space="preserve">“</w:t>
      </w:r>
      <w:r>
        <w:t xml:space="preserve">Supāraḥ</w:t>
      </w:r>
      <w:r>
        <w:t xml:space="preserve">”</w:t>
      </w:r>
      <w:r>
        <w:t xml:space="preserve"> </w:t>
      </w:r>
      <w:r>
        <w:t xml:space="preserve">—</w:t>
      </w:r>
      <w:r>
        <w:t xml:space="preserve"> </w:t>
      </w:r>
      <w:r>
        <w:t xml:space="preserve">“</w:t>
      </w:r>
      <w:r>
        <w:t xml:space="preserve">pṝ pālana-pūraṇayoḥ</w:t>
      </w:r>
      <w:r>
        <w:t xml:space="preserve">”</w:t>
      </w:r>
      <w:r>
        <w:t xml:space="preserve"> </w:t>
      </w:r>
      <w:r>
        <w:t xml:space="preserve">(to protect, to fill): the root with</w:t>
      </w:r>
      <w:r>
        <w:t xml:space="preserve"> </w:t>
      </w:r>
      <w:r>
        <w:t xml:space="preserve">“</w:t>
      </w:r>
      <w:r>
        <w:t xml:space="preserve">ṇic</w:t>
      </w:r>
      <w:r>
        <w:t xml:space="preserve">”</w:t>
      </w:r>
      <w:r>
        <w:t xml:space="preserve">-ending, taken from the</w:t>
      </w:r>
      <w:r>
        <w:t xml:space="preserve"> </w:t>
      </w:r>
      <w:r>
        <w:t xml:space="preserve">“</w:t>
      </w:r>
      <w:r>
        <w:t xml:space="preserve">kartari</w:t>
      </w:r>
      <w:r>
        <w:t xml:space="preserve">”</w:t>
      </w:r>
      <w:r>
        <w:t xml:space="preserve"> </w:t>
      </w:r>
      <w:r>
        <w:t xml:space="preserve">(continued from पा. ३-१-६८) …</w:t>
      </w:r>
      <w:r>
        <w:t xml:space="preserve"> </w:t>
      </w:r>
      <w:r>
        <w:t xml:space="preserve">“</w:t>
      </w:r>
      <w:r>
        <w:t xml:space="preserve">ac</w:t>
      </w:r>
      <w:r>
        <w:t xml:space="preserve">”</w:t>
      </w:r>
      <w:r>
        <w:t xml:space="preserve"> </w:t>
      </w:r>
      <w:r>
        <w:t xml:space="preserve">(</w:t>
      </w:r>
      <w:r>
        <w:rPr>
          <w:bCs/>
          <w:b/>
        </w:rPr>
        <w:t xml:space="preserve">पचाद्यच्</w:t>
      </w:r>
      <w:r>
        <w:t xml:space="preserve">, पा. ३-१-१३४),</w:t>
      </w:r>
      <w:r>
        <w:t xml:space="preserve"> </w:t>
      </w:r>
      <w:r>
        <w:t xml:space="preserve">“</w:t>
      </w:r>
      <w:r>
        <w:t xml:space="preserve">c</w:t>
      </w:r>
      <w:r>
        <w:t xml:space="preserve">”</w:t>
      </w:r>
      <w:r>
        <w:t xml:space="preserve">-marked, so end-acute (</w:t>
      </w:r>
      <w:r>
        <w:rPr>
          <w:bCs/>
          <w:b/>
        </w:rPr>
        <w:t xml:space="preserve">चितः</w:t>
      </w:r>
      <w:r>
        <w:t xml:space="preserve">, पा. ६-१-१६३).</w:t>
      </w:r>
      <w:r>
        <w:t xml:space="preserve"> </w:t>
      </w:r>
      <w:r>
        <w:t xml:space="preserve">“</w:t>
      </w:r>
      <w:r>
        <w:t xml:space="preserve">Sunvataḥ</w:t>
      </w:r>
      <w:r>
        <w:t xml:space="preserve">”</w:t>
      </w:r>
      <w:r>
        <w:t xml:space="preserve"> </w:t>
      </w:r>
      <w:r>
        <w:t xml:space="preserve">—</w:t>
      </w:r>
      <w:r>
        <w:t xml:space="preserve"> </w:t>
      </w:r>
      <w:r>
        <w:rPr>
          <w:bCs/>
          <w:b/>
        </w:rPr>
        <w:t xml:space="preserve">शतुरनुमो नद्यजादी</w:t>
      </w:r>
      <w:r>
        <w:t xml:space="preserve"> </w:t>
      </w:r>
      <w:r>
        <w:t xml:space="preserve">(पा. ६-१-१७३) — the case-ending after</w:t>
      </w:r>
      <w:r>
        <w:t xml:space="preserve"> </w:t>
      </w:r>
      <w:r>
        <w:t xml:space="preserve">“</w:t>
      </w:r>
      <w:r>
        <w:t xml:space="preserve">śatṛ</w:t>
      </w:r>
      <w:r>
        <w:t xml:space="preserve">”</w:t>
      </w:r>
      <w:r>
        <w:t xml:space="preserve"> </w:t>
      </w:r>
      <w:r>
        <w:t xml:space="preserve">without</w:t>
      </w:r>
      <w:r>
        <w:t xml:space="preserve"> </w:t>
      </w:r>
      <w:r>
        <w:t xml:space="preserve">“</w:t>
      </w:r>
      <w:r>
        <w:t xml:space="preserve">num</w:t>
      </w:r>
      <w:r>
        <w:t xml:space="preserve">”</w:t>
      </w:r>
      <w:r>
        <w:t xml:space="preserve"> </w:t>
      </w:r>
      <w:r>
        <w:t xml:space="preserve">is acute when a</w:t>
      </w:r>
      <w:r>
        <w:t xml:space="preserve"> </w:t>
      </w:r>
      <w:r>
        <w:t xml:space="preserve">“</w:t>
      </w:r>
      <w:r>
        <w:t xml:space="preserve">nadī</w:t>
      </w:r>
      <w:r>
        <w:t xml:space="preserve">”</w:t>
      </w:r>
      <w:r>
        <w:t xml:space="preserve"> </w:t>
      </w:r>
      <w:r>
        <w:t xml:space="preserve">or</w:t>
      </w:r>
      <w:r>
        <w:t xml:space="preserve"> </w:t>
      </w:r>
      <w:r>
        <w:t xml:space="preserve">“</w:t>
      </w:r>
      <w:r>
        <w:t xml:space="preserve">ajādi</w:t>
      </w:r>
      <w:r>
        <w:t xml:space="preserve">”</w:t>
      </w:r>
      <w:r>
        <w:t xml:space="preserve"> </w:t>
      </w:r>
      <w:r>
        <w:t xml:space="preserve">ending follows.</w:t>
      </w:r>
      <w:r>
        <w:t xml:space="preserve"> </w:t>
      </w:r>
      <w:r>
        <w:t xml:space="preserve">“</w:t>
      </w:r>
      <w:r>
        <w:t xml:space="preserve">Sakhā</w:t>
      </w:r>
      <w:r>
        <w:t xml:space="preserve">”</w:t>
      </w:r>
      <w:r>
        <w:t xml:space="preserve"> </w:t>
      </w:r>
      <w:r>
        <w:t xml:space="preserve">—</w:t>
      </w:r>
      <w:r>
        <w:t xml:space="preserve"> </w:t>
      </w:r>
      <w:r>
        <w:rPr>
          <w:bCs/>
          <w:b/>
        </w:rPr>
        <w:t xml:space="preserve">समाने ख्यः सचोदात्तः</w:t>
      </w:r>
      <w:r>
        <w:t xml:space="preserve"> </w:t>
      </w:r>
      <w:r>
        <w:t xml:space="preserve">(उ. सू. ४-१३६) with</w:t>
      </w:r>
      <w:r>
        <w:t xml:space="preserve"> </w:t>
      </w:r>
      <w:r>
        <w:t xml:space="preserve">“</w:t>
      </w:r>
      <w:r>
        <w:t xml:space="preserve">iṇ</w:t>
      </w:r>
      <w:r>
        <w:t xml:space="preserve">”</w:t>
      </w:r>
      <w:r>
        <w:t xml:space="preserve">; the</w:t>
      </w:r>
      <w:r>
        <w:t xml:space="preserve"> </w:t>
      </w:r>
      <w:r>
        <w:t xml:space="preserve">“</w:t>
      </w:r>
      <w:r>
        <w:t xml:space="preserve">y</w:t>
      </w:r>
      <w:r>
        <w:t xml:space="preserve">”</w:t>
      </w:r>
      <w:r>
        <w:t xml:space="preserve"> </w:t>
      </w:r>
      <w:r>
        <w:t xml:space="preserve">is elided;</w:t>
      </w:r>
      <w:r>
        <w:t xml:space="preserve"> </w:t>
      </w:r>
      <w:r>
        <w:t xml:space="preserve">“</w:t>
      </w:r>
      <w:r>
        <w:t xml:space="preserve">sa</w:t>
      </w:r>
      <w:r>
        <w:t xml:space="preserve">”</w:t>
      </w:r>
      <w:r>
        <w:t xml:space="preserve"> </w:t>
      </w:r>
      <w:r>
        <w:t xml:space="preserve">is acute.</w:t>
      </w:r>
      <w:r>
        <w:t xml:space="preserve"> </w:t>
      </w:r>
      <w:r>
        <w:t xml:space="preserve">“</w:t>
      </w:r>
      <w:r>
        <w:t xml:space="preserve">Tasmai</w:t>
      </w:r>
      <w:r>
        <w:t xml:space="preserve">”</w:t>
      </w:r>
      <w:r>
        <w:t xml:space="preserve"> </w:t>
      </w:r>
      <w:r>
        <w:t xml:space="preserve">—</w:t>
      </w:r>
      <w:r>
        <w:t xml:space="preserve"> </w:t>
      </w:r>
      <w:r>
        <w:rPr>
          <w:bCs/>
          <w:b/>
        </w:rPr>
        <w:t xml:space="preserve">अदिरित्यनुवृत्तौ त्यजितनियजिभ्यो डित्</w:t>
      </w:r>
      <w:r>
        <w:t xml:space="preserve"> </w:t>
      </w:r>
      <w:r>
        <w:t xml:space="preserve">(उ. सू. १-१३१) the Uṇādi affix</w:t>
      </w:r>
      <w:r>
        <w:t xml:space="preserve"> </w:t>
      </w:r>
      <w:r>
        <w:t xml:space="preserve">“</w:t>
      </w:r>
      <w:r>
        <w:t xml:space="preserve">ḍit</w:t>
      </w:r>
      <w:r>
        <w:t xml:space="preserve">”</w:t>
      </w:r>
      <w:r>
        <w:t xml:space="preserve"> </w:t>
      </w:r>
      <w:r>
        <w:t xml:space="preserve">after</w:t>
      </w:r>
      <w:r>
        <w:t xml:space="preserve"> </w:t>
      </w:r>
      <w:r>
        <w:t xml:space="preserve">“</w:t>
      </w:r>
      <w:r>
        <w:t xml:space="preserve">tan</w:t>
      </w:r>
      <w:r>
        <w:t xml:space="preserve">”</w:t>
      </w:r>
      <w:r>
        <w:t xml:space="preserve">;</w:t>
      </w:r>
      <w:r>
        <w:t xml:space="preserve"> </w:t>
      </w:r>
      <w:r>
        <w:t xml:space="preserve">“</w:t>
      </w:r>
      <w:r>
        <w:t xml:space="preserve">ṭi</w:t>
      </w:r>
      <w:r>
        <w:t xml:space="preserve">”</w:t>
      </w:r>
      <w:r>
        <w:t xml:space="preserve">-elision (</w:t>
      </w:r>
      <w:r>
        <w:rPr>
          <w:bCs/>
          <w:b/>
        </w:rPr>
        <w:t xml:space="preserve">टेः</w:t>
      </w:r>
      <w:r>
        <w:t xml:space="preserve">); the affix accent; the prohibition of the case-ending accent (पा. ६-१-१८२).</w:t>
      </w:r>
      <w:r>
        <w:t xml:space="preserve"> </w:t>
      </w:r>
      <w:r>
        <w:t xml:space="preserve">“</w:t>
      </w:r>
      <w:r>
        <w:t xml:space="preserve">Indrāya</w:t>
      </w:r>
      <w:r>
        <w:t xml:space="preserve">”</w:t>
      </w:r>
      <w:r>
        <w:t xml:space="preserve"> </w:t>
      </w:r>
      <w:r>
        <w:t xml:space="preserve">—</w:t>
      </w:r>
      <w:r>
        <w:t xml:space="preserve"> </w:t>
      </w:r>
      <w:r>
        <w:t xml:space="preserve">“</w:t>
      </w:r>
      <w:r>
        <w:t xml:space="preserve">indra</w:t>
      </w:r>
      <w:r>
        <w:t xml:space="preserve">”</w:t>
      </w:r>
      <w:r>
        <w:t xml:space="preserve"> </w:t>
      </w:r>
      <w:r>
        <w:t xml:space="preserve">by</w:t>
      </w:r>
      <w:r>
        <w:t xml:space="preserve"> </w:t>
      </w:r>
      <w:r>
        <w:t xml:space="preserve">“</w:t>
      </w:r>
      <w:r>
        <w:t xml:space="preserve">ran</w:t>
      </w:r>
      <w:r>
        <w:t xml:space="preserve">”</w:t>
      </w:r>
      <w:r>
        <w:t xml:space="preserve"> </w:t>
      </w:r>
      <w:r>
        <w:t xml:space="preserve">(as before) is first-syllable acute;</w:t>
      </w:r>
      <w:r>
        <w:t xml:space="preserve"> </w:t>
      </w:r>
      <w:r>
        <w:t xml:space="preserve">“</w:t>
      </w:r>
      <w:r>
        <w:t xml:space="preserve">karmaṇā yam abhipraiti sa sampradānam</w:t>
      </w:r>
      <w:r>
        <w:t xml:space="preserve">”</w:t>
      </w:r>
      <w:r>
        <w:t xml:space="preserve"> </w:t>
      </w:r>
      <w:r>
        <w:t xml:space="preserve">(</w:t>
      </w:r>
      <w:r>
        <w:rPr>
          <w:bCs/>
          <w:b/>
        </w:rPr>
        <w:t xml:space="preserve">कर्मणा यमभिप्रैति स सम्प्रदानम्</w:t>
      </w:r>
      <w:r>
        <w:t xml:space="preserve">, पा. १-४-३२) — the fourth case, since by the statement</w:t>
      </w:r>
      <w:r>
        <w:t xml:space="preserve"> </w:t>
      </w:r>
      <w:r>
        <w:rPr>
          <w:bCs/>
          <w:b/>
        </w:rPr>
        <w:t xml:space="preserve">क्रियाग्रहणं कर्तव्यम्</w:t>
      </w:r>
      <w:r>
        <w:t xml:space="preserve"> </w:t>
      </w:r>
      <w:r>
        <w:t xml:space="preserve">(वा. पा. १-४-३२) the</w:t>
      </w:r>
      <w:r>
        <w:t xml:space="preserve"> </w:t>
      </w:r>
      <w:r>
        <w:t xml:space="preserve">“</w:t>
      </w:r>
      <w:r>
        <w:t xml:space="preserve">kriyā</w:t>
      </w:r>
      <w:r>
        <w:t xml:space="preserve">”</w:t>
      </w:r>
      <w:r>
        <w:t xml:space="preserve"> </w:t>
      </w:r>
      <w:r>
        <w:t xml:space="preserve">must be understood —</w:t>
      </w:r>
      <w:r>
        <w:t xml:space="preserve"> </w:t>
      </w:r>
      <w:r>
        <w:t xml:space="preserve">“</w:t>
      </w:r>
      <w:r>
        <w:t xml:space="preserve">gāna-kriyā</w:t>
      </w:r>
      <w:r>
        <w:t xml:space="preserve">”</w:t>
      </w:r>
      <w:r>
        <w:t xml:space="preserve"> </w:t>
      </w:r>
      <w:r>
        <w:t xml:space="preserve">(the act of singing) is the means by which it is reached, so Indra is the recipient (sampradāna) and gets the dative. ॥१०॥</w:t>
      </w:r>
    </w:p>
    <w:p>
      <w:pPr>
        <w:pStyle w:val="BodyText"/>
      </w:pPr>
      <w:r>
        <w:rPr>
          <w:bCs/>
          <w:b/>
        </w:rPr>
        <w:t xml:space="preserve">॥ Prati-padārthaḥ ॥</w:t>
      </w:r>
      <w:r>
        <w:t xml:space="preserve"> </w:t>
      </w:r>
      <w:r>
        <w:rPr>
          <w:iCs/>
          <w:i/>
        </w:rPr>
        <w:t xml:space="preserve">(Kannada, translated)</w:t>
      </w:r>
    </w:p>
    <w:p>
      <w:pPr>
        <w:pStyle w:val="BodyText"/>
      </w:pPr>
      <w:r>
        <w:t xml:space="preserve">(O priests!)</w:t>
      </w:r>
      <w:r>
        <w:t xml:space="preserve"> </w:t>
      </w:r>
      <w:r>
        <w:rPr>
          <w:bCs/>
          <w:b/>
        </w:rPr>
        <w:t xml:space="preserve">यः (yaḥ)</w:t>
      </w:r>
      <w:r>
        <w:t xml:space="preserve"> </w:t>
      </w:r>
      <w:r>
        <w:t xml:space="preserve">— which Indra |</w:t>
      </w:r>
      <w:r>
        <w:t xml:space="preserve"> </w:t>
      </w:r>
      <w:r>
        <w:rPr>
          <w:bCs/>
          <w:b/>
        </w:rPr>
        <w:t xml:space="preserve">रायः (rāyaḥ)</w:t>
      </w:r>
      <w:r>
        <w:t xml:space="preserve"> </w:t>
      </w:r>
      <w:r>
        <w:t xml:space="preserve">— of the giver of riches |</w:t>
      </w:r>
      <w:r>
        <w:t xml:space="preserve"> </w:t>
      </w:r>
      <w:r>
        <w:rPr>
          <w:bCs/>
          <w:b/>
        </w:rPr>
        <w:t xml:space="preserve">अवनिः (avaniḥ)</w:t>
      </w:r>
      <w:r>
        <w:t xml:space="preserve"> </w:t>
      </w:r>
      <w:r>
        <w:t xml:space="preserve">— the protector, or the master |</w:t>
      </w:r>
      <w:r>
        <w:t xml:space="preserve"> </w:t>
      </w:r>
      <w:r>
        <w:rPr>
          <w:bCs/>
          <w:b/>
        </w:rPr>
        <w:t xml:space="preserve">महान् (mahān)</w:t>
      </w:r>
      <w:r>
        <w:t xml:space="preserve"> </w:t>
      </w:r>
      <w:r>
        <w:t xml:space="preserve">— one who is called</w:t>
      </w:r>
      <w:r>
        <w:t xml:space="preserve"> </w:t>
      </w:r>
      <w:r>
        <w:t xml:space="preserve">“</w:t>
      </w:r>
      <w:r>
        <w:t xml:space="preserve">great</w:t>
      </w:r>
      <w:r>
        <w:t xml:space="preserve">”</w:t>
      </w:r>
      <w:r>
        <w:t xml:space="preserve"> </w:t>
      </w:r>
      <w:r>
        <w:t xml:space="preserve">on account of the superabundance of qualities |</w:t>
      </w:r>
      <w:r>
        <w:t xml:space="preserve"> </w:t>
      </w:r>
      <w:r>
        <w:rPr>
          <w:bCs/>
          <w:b/>
        </w:rPr>
        <w:t xml:space="preserve">सुपारः (supāraḥ)</w:t>
      </w:r>
      <w:r>
        <w:t xml:space="preserve"> </w:t>
      </w:r>
      <w:r>
        <w:t xml:space="preserve">— one who brings the sacrificial and other rites to completion without hindrance |</w:t>
      </w:r>
      <w:r>
        <w:t xml:space="preserve"> </w:t>
      </w:r>
      <w:r>
        <w:rPr>
          <w:bCs/>
          <w:b/>
        </w:rPr>
        <w:t xml:space="preserve">सुन्वतः (sunvataḥ)</w:t>
      </w:r>
      <w:r>
        <w:t xml:space="preserve"> </w:t>
      </w:r>
      <w:r>
        <w:t xml:space="preserve">— (to the sacrificer) who has prepared the Soma-juice for (Indra) |</w:t>
      </w:r>
      <w:r>
        <w:t xml:space="preserve"> </w:t>
      </w:r>
      <w:r>
        <w:rPr>
          <w:bCs/>
          <w:b/>
        </w:rPr>
        <w:t xml:space="preserve">सखा (sakhā)</w:t>
      </w:r>
      <w:r>
        <w:t xml:space="preserve"> </w:t>
      </w:r>
      <w:r>
        <w:t xml:space="preserve">— one who is dear as a friend |</w:t>
      </w:r>
      <w:r>
        <w:t xml:space="preserve"> </w:t>
      </w:r>
      <w:r>
        <w:rPr>
          <w:bCs/>
          <w:b/>
        </w:rPr>
        <w:t xml:space="preserve">तस्मै (tasmai)</w:t>
      </w:r>
      <w:r>
        <w:t xml:space="preserve"> </w:t>
      </w:r>
      <w:r>
        <w:t xml:space="preserve">— such |</w:t>
      </w:r>
      <w:r>
        <w:t xml:space="preserve"> </w:t>
      </w:r>
      <w:r>
        <w:rPr>
          <w:bCs/>
          <w:b/>
        </w:rPr>
        <w:t xml:space="preserve">इन्द्राय (indrāya)</w:t>
      </w:r>
      <w:r>
        <w:t xml:space="preserve"> </w:t>
      </w:r>
      <w:r>
        <w:t xml:space="preserve">— for Indra (addressing Indra) |</w:t>
      </w:r>
      <w:r>
        <w:t xml:space="preserve"> </w:t>
      </w:r>
      <w:r>
        <w:rPr>
          <w:bCs/>
          <w:b/>
        </w:rPr>
        <w:t xml:space="preserve">गायत (gāyata)</w:t>
      </w:r>
      <w:r>
        <w:t xml:space="preserve"> </w:t>
      </w:r>
      <w:r>
        <w:t xml:space="preserve">— sing, with hymns of praise.</w:t>
      </w:r>
    </w:p>
    <w:bookmarkEnd w:id="164"/>
    <w:bookmarkStart w:id="165" w:name="X057939ee70222af8664bc424ad49c0727714b01"/>
    <w:p>
      <w:pPr>
        <w:pStyle w:val="Heading3"/>
      </w:pPr>
      <w:r>
        <w:t xml:space="preserve">Page 131 — Rik 4.10: Bhāvārtha; English rendering; Special topics (opening) — the parallel Ṛk 8-32-13 and the sense of</w:t>
      </w:r>
      <w:r>
        <w:t xml:space="preserve"> </w:t>
      </w:r>
      <w:r>
        <w:t xml:space="preserve">“</w:t>
      </w:r>
      <w:r>
        <w:t xml:space="preserve">avaniḥ</w:t>
      </w:r>
      <w:r>
        <w:t xml:space="preserve">”</w:t>
      </w:r>
    </w:p>
    <w:p>
      <w:pPr>
        <w:pStyle w:val="FirstParagraph"/>
      </w:pPr>
      <w:r>
        <w:rPr>
          <w:iCs/>
          <w:i/>
        </w:rPr>
        <w:t xml:space="preserve">(Page header:</w:t>
      </w:r>
      <w:r>
        <w:rPr>
          <w:iCs/>
          <w:i/>
        </w:rPr>
        <w:t xml:space="preserve"> </w:t>
      </w:r>
      <w:r>
        <w:rPr>
          <w:iCs/>
          <w:i/>
        </w:rPr>
        <w:t xml:space="preserve">“</w:t>
      </w:r>
      <w:r>
        <w:rPr>
          <w:iCs/>
          <w:i/>
        </w:rPr>
        <w:t xml:space="preserve">Aṣṭaka 1, Adhyāya 1, Varga 8 · Ṛgveda-saṃhitā.</w:t>
      </w:r>
      <w:r>
        <w:rPr>
          <w:iCs/>
          <w:i/>
        </w:rPr>
        <w:t xml:space="preserve">”</w:t>
      </w:r>
      <w:r>
        <w:rPr>
          <w:iCs/>
          <w:i/>
        </w:rPr>
        <w:t xml:space="preserve"> </w:t>
      </w:r>
      <w:r>
        <w:rPr>
          <w:iCs/>
          <w:i/>
        </w:rPr>
        <w:t xml:space="preserve">English as printed. Reference-numbers in small Kannada numerals are marked [?]. The gloss on the parallel verse is mine, tentative.)</w:t>
      </w:r>
    </w:p>
    <w:p>
      <w:pPr>
        <w:pStyle w:val="BodyText"/>
      </w:pPr>
      <w:r>
        <w:rPr>
          <w:bCs/>
          <w:b/>
        </w:rPr>
        <w:t xml:space="preserve">॥ Bhāvārthaḥ ॥</w:t>
      </w:r>
      <w:r>
        <w:t xml:space="preserve"> </w:t>
      </w:r>
      <w:r>
        <w:rPr>
          <w:iCs/>
          <w:i/>
        </w:rPr>
        <w:t xml:space="preserve">(Kannada, translated)</w:t>
      </w:r>
    </w:p>
    <w:p>
      <w:pPr>
        <w:pStyle w:val="BodyText"/>
      </w:pPr>
      <w:r>
        <w:t xml:space="preserve">Indra is the protector or the master of riches, lordship and the like; he is endowed with great qualities; he fills up and makes complete — as if what is lacking or defective — the sacrificial and other rites; and he is exceedingly dear, like a friend, to the sacrificer who has prepared the Soma-juice, drawn out for Indra’s pleasure, so that it is fit for drinking. O priests! Sing to such an Indra, with hymns of praise and with sāmans.</w:t>
      </w:r>
    </w:p>
    <w:p>
      <w:pPr>
        <w:pStyle w:val="BodyText"/>
      </w:pPr>
      <w:r>
        <w:rPr>
          <w:bCs/>
          <w:b/>
        </w:rPr>
        <w:t xml:space="preserve">English Translation</w:t>
      </w:r>
      <w:r>
        <w:t xml:space="preserve"> </w:t>
      </w:r>
      <w:r>
        <w:rPr>
          <w:iCs/>
          <w:i/>
        </w:rPr>
        <w:t xml:space="preserve">(printed in English in the source itself):</w:t>
      </w:r>
    </w:p>
    <w:p>
      <w:pPr>
        <w:pStyle w:val="BodyText"/>
      </w:pPr>
      <w:r>
        <w:t xml:space="preserve">“</w:t>
      </w:r>
      <w:r>
        <w:t xml:space="preserve">Sing (to) that Indra who is protector (or lord) of wealth, who is great (with many virtues) the perfecter of good deeds, the friend of the worshipper.</w:t>
      </w:r>
      <w:r>
        <w:t xml:space="preserve">”</w:t>
      </w:r>
    </w:p>
    <w:p>
      <w:pPr>
        <w:pStyle w:val="BodyText"/>
      </w:pPr>
      <w:r>
        <w:rPr>
          <w:bCs/>
          <w:b/>
        </w:rPr>
        <w:t xml:space="preserve">॥ Viśeṣa-viṣayagaḷu (Special Topics) ॥</w:t>
      </w:r>
    </w:p>
    <w:p>
      <w:pPr>
        <w:pStyle w:val="BodyText"/>
      </w:pPr>
      <w:r>
        <w:t xml:space="preserve">There is another Ṛk, in the thirteenth Ṛk of the thirty-second sūkta of the eighth Maṇḍala, which uses the same words and says the same thing:</w:t>
      </w:r>
    </w:p>
    <w:p>
      <w:pPr>
        <w:pStyle w:val="BlockText"/>
      </w:pPr>
      <w:r>
        <w:t xml:space="preserve">यो रायोऽवनिर्महान्त्सुपारः सुन्वतः सखा । तमिन्द्रमभि गायत ॥ (ऋ. सं. ८-३२-१३)</w:t>
      </w:r>
      <w:r>
        <w:t xml:space="preserve"> </w:t>
      </w:r>
      <w:r>
        <w:rPr>
          <w:iCs/>
          <w:i/>
        </w:rPr>
        <w:t xml:space="preserve">yo rāyo ’vanir mahān supāraḥ sunvataḥ sakhā | tam indram abhi gāyata || (ṛ. saṃ. 8-32-13)</w:t>
      </w:r>
      <w:r>
        <w:t xml:space="preserve"> </w:t>
      </w:r>
      <w:r>
        <w:t xml:space="preserve">Gloss (mine):</w:t>
      </w:r>
      <w:r>
        <w:t xml:space="preserve"> </w:t>
      </w:r>
      <w:r>
        <w:t xml:space="preserve">“</w:t>
      </w:r>
      <w:r>
        <w:t xml:space="preserve">Who is the protector of wealth, great, the good ferrier-across, the friend of the presser of Soma — to that Indra sing.</w:t>
      </w:r>
      <w:r>
        <w:t xml:space="preserve">”</w:t>
      </w:r>
    </w:p>
    <w:p>
      <w:pPr>
        <w:pStyle w:val="FirstParagraph"/>
      </w:pPr>
      <w:r>
        <w:t xml:space="preserve">The ṛṣi of this Ṛk is Medhātithi Kāṇva. Between the Ṛk now in hand and this one there is no difference in the first and second pādas; only in the third, in place of the words</w:t>
      </w:r>
      <w:r>
        <w:t xml:space="preserve"> </w:t>
      </w:r>
      <w:r>
        <w:t xml:space="preserve">“</w:t>
      </w:r>
      <w:r>
        <w:t xml:space="preserve">tasmā indrāya,</w:t>
      </w:r>
      <w:r>
        <w:t xml:space="preserve">”</w:t>
      </w:r>
      <w:r>
        <w:t xml:space="preserve"> </w:t>
      </w:r>
      <w:r>
        <w:t xml:space="preserve">this has</w:t>
      </w:r>
      <w:r>
        <w:t xml:space="preserve"> </w:t>
      </w:r>
      <w:r>
        <w:t xml:space="preserve">“</w:t>
      </w:r>
      <w:r>
        <w:t xml:space="preserve">tam indram abhi</w:t>
      </w:r>
      <w:r>
        <w:t xml:space="preserve">”</w:t>
      </w:r>
      <w:r>
        <w:t xml:space="preserve">; and in meaning there is no difference. It is hard to say which of these two Ṛks is the older.</w:t>
      </w:r>
    </w:p>
    <w:p>
      <w:pPr>
        <w:pStyle w:val="BodyText"/>
      </w:pPr>
      <w:r>
        <w:rPr>
          <w:bCs/>
          <w:b/>
        </w:rPr>
        <w:t xml:space="preserve">रायः (rāyaḥ)</w:t>
      </w:r>
      <w:r>
        <w:t xml:space="preserve"> </w:t>
      </w:r>
      <w:r>
        <w:t xml:space="preserve">—</w:t>
      </w:r>
      <w:r>
        <w:t xml:space="preserve"> </w:t>
      </w:r>
      <w:r>
        <w:t xml:space="preserve">“</w:t>
      </w:r>
      <w:r>
        <w:t xml:space="preserve">of wealth.</w:t>
      </w:r>
      <w:r>
        <w:t xml:space="preserve">”</w:t>
      </w:r>
      <w:r>
        <w:t xml:space="preserve"> </w:t>
      </w:r>
      <w:r>
        <w:rPr>
          <w:bCs/>
          <w:b/>
        </w:rPr>
        <w:t xml:space="preserve">अवनिः (avaniḥ)</w:t>
      </w:r>
      <w:r>
        <w:t xml:space="preserve"> </w:t>
      </w:r>
      <w:r>
        <w:t xml:space="preserve">— The Bhāṣyakāra and</w:t>
      </w:r>
      <w:r>
        <w:t xml:space="preserve"> </w:t>
      </w:r>
      <w:r>
        <w:rPr>
          <w:bCs/>
          <w:b/>
        </w:rPr>
        <w:t xml:space="preserve">Veṅkaṭamādhava</w:t>
      </w:r>
      <w:r>
        <w:t xml:space="preserve"> </w:t>
      </w:r>
      <w:r>
        <w:t xml:space="preserve">explain this word as</w:t>
      </w:r>
      <w:r>
        <w:t xml:space="preserve"> </w:t>
      </w:r>
      <w:r>
        <w:t xml:space="preserve">“</w:t>
      </w:r>
      <w:r>
        <w:t xml:space="preserve">rakṣakaḥ</w:t>
      </w:r>
      <w:r>
        <w:t xml:space="preserve">”</w:t>
      </w:r>
      <w:r>
        <w:t xml:space="preserve"> </w:t>
      </w:r>
      <w:r>
        <w:t xml:space="preserve">—</w:t>
      </w:r>
      <w:r>
        <w:t xml:space="preserve"> </w:t>
      </w:r>
      <w:r>
        <w:t xml:space="preserve">“</w:t>
      </w:r>
      <w:r>
        <w:t xml:space="preserve">protector,</w:t>
      </w:r>
      <w:r>
        <w:t xml:space="preserve">”</w:t>
      </w:r>
      <w:r>
        <w:t xml:space="preserve"> </w:t>
      </w:r>
      <w:r>
        <w:t xml:space="preserve">or</w:t>
      </w:r>
      <w:r>
        <w:t xml:space="preserve"> </w:t>
      </w:r>
      <w:r>
        <w:t xml:space="preserve">“</w:t>
      </w:r>
      <w:r>
        <w:t xml:space="preserve">svāmī</w:t>
      </w:r>
      <w:r>
        <w:t xml:space="preserve">”</w:t>
      </w:r>
      <w:r>
        <w:t xml:space="preserve"> </w:t>
      </w:r>
      <w:r>
        <w:t xml:space="preserve">—</w:t>
      </w:r>
      <w:r>
        <w:t xml:space="preserve"> </w:t>
      </w:r>
      <w:r>
        <w:t xml:space="preserve">“</w:t>
      </w:r>
      <w:r>
        <w:t xml:space="preserve">master.</w:t>
      </w:r>
      <w:r>
        <w:t xml:space="preserve">”</w:t>
      </w:r>
      <w:r>
        <w:t xml:space="preserve"> </w:t>
      </w:r>
      <w:r>
        <w:rPr>
          <w:bCs/>
          <w:b/>
        </w:rPr>
        <w:t xml:space="preserve">Skandasvāmī</w:t>
      </w:r>
      <w:r>
        <w:t xml:space="preserve"> </w:t>
      </w:r>
      <w:r>
        <w:t xml:space="preserve">gives, alongside this, another sense:</w:t>
      </w:r>
      <w:r>
        <w:t xml:space="preserve"> </w:t>
      </w:r>
      <w:r>
        <w:t xml:space="preserve">“</w:t>
      </w:r>
      <w:r>
        <w:rPr>
          <w:iCs/>
          <w:i/>
        </w:rPr>
        <w:t xml:space="preserve">avaniḥ pṛthivīnāmaitat | āśrayatvasāmānyāt tv indre prayujyate | yathā pṛthivī sarvārthānām āśrayas tadvad āśraya ity arthaḥ</w:t>
      </w:r>
      <w:r>
        <w:t xml:space="preserve">”</w:t>
      </w:r>
      <w:r>
        <w:t xml:space="preserve"> </w:t>
      </w:r>
      <w:r>
        <w:t xml:space="preserve">(अवनिः पृथिवीनामैतत् । आश्रयत्वसामान्यात्त्विन्द्रे प्रयुज्यते । यथा पृथिवी सर्वार्थानामाश्रयस्तद्वदाश्रय इत्यर्थः —</w:t>
      </w:r>
      <w:r>
        <w:t xml:space="preserve"> </w:t>
      </w:r>
      <w:r>
        <w:t xml:space="preserve">“</w:t>
      </w:r>
      <w:r>
        <w:t xml:space="preserve">‘</w:t>
      </w:r>
      <w:r>
        <w:t xml:space="preserve">Avaniḥ</w:t>
      </w:r>
      <w:r>
        <w:t xml:space="preserve">’</w:t>
      </w:r>
      <w:r>
        <w:t xml:space="preserve"> </w:t>
      </w:r>
      <w:r>
        <w:t xml:space="preserve">is a name of the earth; it is applied to Indra on account of the common feature of being a support; the sense is that, as the earth is the support of all things, so he is the support</w:t>
      </w:r>
      <w:r>
        <w:t xml:space="preserve">”</w:t>
      </w:r>
      <w:r>
        <w:t xml:space="preserve">). That is,</w:t>
      </w:r>
      <w:r>
        <w:t xml:space="preserve"> </w:t>
      </w:r>
      <w:r>
        <w:t xml:space="preserve">“</w:t>
      </w:r>
      <w:r>
        <w:t xml:space="preserve">avani</w:t>
      </w:r>
      <w:r>
        <w:t xml:space="preserve">”</w:t>
      </w:r>
      <w:r>
        <w:t xml:space="preserve"> </w:t>
      </w:r>
      <w:r>
        <w:t xml:space="preserve">in the sense of</w:t>
      </w:r>
      <w:r>
        <w:t xml:space="preserve"> </w:t>
      </w:r>
      <w:r>
        <w:t xml:space="preserve">“</w:t>
      </w:r>
      <w:r>
        <w:t xml:space="preserve">earth</w:t>
      </w:r>
      <w:r>
        <w:t xml:space="preserve">”</w:t>
      </w:r>
      <w:r>
        <w:t xml:space="preserve">; the word is used with reference to Indra; as the earth is the support of all wealth and other things, so too Indra is the support of wealth; that is, Indra is the giver of wealth and the rest. To explain it thus is, however, less fitting than Sāyaṇācārya’s sense.</w:t>
      </w:r>
    </w:p>
    <w:p>
      <w:pPr>
        <w:pStyle w:val="BodyText"/>
      </w:pPr>
      <w:r>
        <w:rPr>
          <w:bCs/>
          <w:b/>
        </w:rPr>
        <w:t xml:space="preserve">रायः and अवनिः together.</w:t>
      </w:r>
      <w:r>
        <w:t xml:space="preserve"> </w:t>
      </w:r>
      <w:r>
        <w:t xml:space="preserve">— When the words</w:t>
      </w:r>
      <w:r>
        <w:t xml:space="preserve"> </w:t>
      </w:r>
      <w:r>
        <w:t xml:space="preserve">“</w:t>
      </w:r>
      <w:r>
        <w:t xml:space="preserve">rāyaḥ</w:t>
      </w:r>
      <w:r>
        <w:t xml:space="preserve">”</w:t>
      </w:r>
      <w:r>
        <w:t xml:space="preserve"> </w:t>
      </w:r>
      <w:r>
        <w:t xml:space="preserve">and</w:t>
      </w:r>
      <w:r>
        <w:t xml:space="preserve"> </w:t>
      </w:r>
      <w:r>
        <w:t xml:space="preserve">“</w:t>
      </w:r>
      <w:r>
        <w:t xml:space="preserve">avaniḥ</w:t>
      </w:r>
      <w:r>
        <w:t xml:space="preserve">”</w:t>
      </w:r>
      <w:r>
        <w:t xml:space="preserve"> </w:t>
      </w:r>
      <w:r>
        <w:t xml:space="preserve">are joined, it is the custom in the Ṛgveda Saṃhitā to write in the middle the figure</w:t>
      </w:r>
      <w:r>
        <w:t xml:space="preserve"> </w:t>
      </w:r>
      <w:r>
        <w:t xml:space="preserve">“</w:t>
      </w:r>
      <w:r>
        <w:t xml:space="preserve">3</w:t>
      </w:r>
      <w:r>
        <w:t xml:space="preserve">”</w:t>
      </w:r>
      <w:r>
        <w:t xml:space="preserve"> </w:t>
      </w:r>
      <w:r>
        <w:t xml:space="preserve">(which marks the duration of a</w:t>
      </w:r>
      <w:r>
        <w:t xml:space="preserve"> </w:t>
      </w:r>
      <w:r>
        <w:t xml:space="preserve">“</w:t>
      </w:r>
      <w:r>
        <w:t xml:space="preserve">kampa</w:t>
      </w:r>
      <w:r>
        <w:t xml:space="preserve">”</w:t>
      </w:r>
      <w:r>
        <w:t xml:space="preserve"> </w:t>
      </w:r>
      <w:r>
        <w:t xml:space="preserve">— a trembling of the voice) together with the svarita and anudātta marks. In the other Vedas no such pronunciation occurs. On this point …</w:t>
      </w:r>
      <w:r>
        <w:t xml:space="preserve"> </w:t>
      </w:r>
      <w:r>
        <w:rPr>
          <w:iCs/>
          <w:i/>
        </w:rPr>
        <w:t xml:space="preserve">(continues on the next page)</w:t>
      </w:r>
    </w:p>
    <w:bookmarkEnd w:id="165"/>
    <w:bookmarkStart w:id="166" w:name="X13e738160e8d58e0be87f65dd9b3a3917f1660b"/>
    <w:p>
      <w:pPr>
        <w:pStyle w:val="Heading3"/>
      </w:pPr>
      <w:r>
        <w:t xml:space="preserve">Page 132 — Special topics on Rik 4.10 (continued): the</w:t>
      </w:r>
      <w:r>
        <w:t xml:space="preserve"> </w:t>
      </w:r>
      <w:r>
        <w:t xml:space="preserve">“</w:t>
      </w:r>
      <w:r>
        <w:t xml:space="preserve">kampa</w:t>
      </w:r>
      <w:r>
        <w:t xml:space="preserve">”</w:t>
      </w:r>
      <w:r>
        <w:t xml:space="preserve"> </w:t>
      </w:r>
      <w:r>
        <w:t xml:space="preserve">accent-mark;</w:t>
      </w:r>
      <w:r>
        <w:t xml:space="preserve"> </w:t>
      </w:r>
      <w:r>
        <w:t xml:space="preserve">“</w:t>
      </w:r>
      <w:r>
        <w:t xml:space="preserve">mahān supāraḥ</w:t>
      </w:r>
      <w:r>
        <w:t xml:space="preserve">”</w:t>
      </w:r>
      <w:r>
        <w:t xml:space="preserve">;</w:t>
      </w:r>
      <w:r>
        <w:t xml:space="preserve"> </w:t>
      </w:r>
      <w:r>
        <w:t xml:space="preserve">“</w:t>
      </w:r>
      <w:r>
        <w:t xml:space="preserve">supāraḥ</w:t>
      </w:r>
      <w:r>
        <w:t xml:space="preserve">”</w:t>
      </w:r>
      <w:r>
        <w:t xml:space="preserve">; Vyākaraṇa-prakriyā (opening)</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4.</w:t>
      </w:r>
      <w:r>
        <w:rPr>
          <w:iCs/>
          <w:i/>
        </w:rPr>
        <w:t xml:space="preserve">”</w:t>
      </w:r>
      <w:r>
        <w:rPr>
          <w:iCs/>
          <w:i/>
        </w:rPr>
        <w:t xml:space="preserve"> </w:t>
      </w:r>
      <w:r>
        <w:rPr>
          <w:iCs/>
          <w:i/>
        </w:rPr>
        <w:t xml:space="preserve">Sanskrit printed in Kannada script; the Sanskrit sentences here are technical and some letters are hard to read; [?] marks my uncertainty. English as printed.)</w:t>
      </w:r>
    </w:p>
    <w:p>
      <w:pPr>
        <w:pStyle w:val="BodyText"/>
      </w:pPr>
      <w:r>
        <w:rPr>
          <w:iCs/>
          <w:i/>
        </w:rPr>
        <w:t xml:space="preserve">(Continuing:)</w:t>
      </w:r>
      <w:r>
        <w:t xml:space="preserve"> </w:t>
      </w:r>
      <w:r>
        <w:t xml:space="preserve">…the evidence stands thus:</w:t>
      </w:r>
    </w:p>
    <w:p>
      <w:pPr>
        <w:pStyle w:val="BlockText"/>
      </w:pPr>
      <w:r>
        <w:t xml:space="preserve">ऋग्वेदे जात्यस्वरितात्परस्योदात्ते वा स्वरिते वा परे तस्य स्वरितस्योदात्तत्वानुदात्तत्वे स्पष्टमुच्चारणीये इति बोधयितुं तादृक्स्थले तत्स्वरस्यावृत्त्यादिबोधनायाङ्कान्लिख्यन्ते स च कंप इति व्यवह्रियते तत्र तत्र उच्चारणविशेषो वैदिकैः ॥ तस्यास्य कंपस्य अभिप्रायविशेषोऽत्र आनन्दतीर्थाचार्यैः श्लोकेन संगृह्यते । स इत्थं — कंपोऽशेषग्रहे क्वापि लज्जायां वा पुरातने । पृथक्त्वे धृष्यतायां वा हरिणाकर्षं हितोवितः [?] इति ॥</w:t>
      </w:r>
      <w:r>
        <w:t xml:space="preserve"> </w:t>
      </w:r>
      <w:r>
        <w:rPr>
          <w:iCs/>
          <w:i/>
        </w:rPr>
        <w:t xml:space="preserve">ṛgvede jātya-svaritāt parasyodātte vā svarite vā pare tasya svaritasyodāttatvānudāttatve spaṣṭam uccāraṇīye iti bodhayituṃ tādṛk-sthale tat-svarasyāvṛttyādi-bodhanāyāṅkān likhyante sa ca kaṃpa iti vyavahriyate tatra tatra uccāraṇa-viśeṣo vaidikaiḥ || tasyāsya kaṃpasya abhiprāya-viśeṣo ’tra ānandatīrthācāryaiḥ ślokena saṃgṛhyate | sa ittham — kaṃpo ’śeṣa-grahe kvāpi lajjāyāṃ vā purātane | pṛthaktve dhṛṣyatāyāṃ vā hariṇākarṣaṃ hito vitaḥ [?] iti ||</w:t>
      </w:r>
      <w:r>
        <w:t xml:space="preserve"> </w:t>
      </w:r>
      <w:r>
        <w:rPr>
          <w:iCs/>
          <w:i/>
        </w:rPr>
        <w:t xml:space="preserve">(Reading note: the two final words of the verse,</w:t>
      </w:r>
      <w:r>
        <w:rPr>
          <w:iCs/>
          <w:i/>
        </w:rPr>
        <w:t xml:space="preserve"> </w:t>
      </w:r>
      <w:r>
        <w:rPr>
          <w:iCs/>
          <w:i/>
        </w:rPr>
        <w:t xml:space="preserve">“</w:t>
      </w:r>
      <w:r>
        <w:rPr>
          <w:iCs/>
          <w:i/>
        </w:rPr>
        <w:t xml:space="preserve">hito vitaḥ</w:t>
      </w:r>
      <w:r>
        <w:rPr>
          <w:iCs/>
          <w:i/>
        </w:rPr>
        <w:t xml:space="preserve">”</w:t>
      </w:r>
      <w:r>
        <w:rPr>
          <w:iCs/>
          <w:i/>
        </w:rPr>
        <w:t xml:space="preserve"> </w:t>
      </w:r>
      <w:r>
        <w:rPr>
          <w:iCs/>
          <w:i/>
        </w:rPr>
        <w:t xml:space="preserve">or</w:t>
      </w:r>
      <w:r>
        <w:rPr>
          <w:iCs/>
          <w:i/>
        </w:rPr>
        <w:t xml:space="preserve"> </w:t>
      </w:r>
      <w:r>
        <w:rPr>
          <w:iCs/>
          <w:i/>
        </w:rPr>
        <w:t xml:space="preserve">“</w:t>
      </w:r>
      <w:r>
        <w:rPr>
          <w:iCs/>
          <w:i/>
        </w:rPr>
        <w:t xml:space="preserve">hitovitaḥ,</w:t>
      </w:r>
      <w:r>
        <w:rPr>
          <w:iCs/>
          <w:i/>
        </w:rPr>
        <w:t xml:space="preserve">”</w:t>
      </w:r>
      <w:r>
        <w:rPr>
          <w:iCs/>
          <w:i/>
        </w:rPr>
        <w:t xml:space="preserve"> </w:t>
      </w:r>
      <w:r>
        <w:rPr>
          <w:iCs/>
          <w:i/>
        </w:rPr>
        <w:t xml:space="preserve">are as I read the small print; the verse is a quoted mnemonic and the end of it is not clear to me, so I give no translation of its last pāda.)</w:t>
      </w:r>
    </w:p>
    <w:p>
      <w:pPr>
        <w:pStyle w:val="FirstParagraph"/>
      </w:pPr>
      <w:r>
        <w:rPr>
          <w:bCs/>
          <w:b/>
        </w:rPr>
        <w:t xml:space="preserve">Translation:</w:t>
      </w:r>
      <w:r>
        <w:t xml:space="preserve"> </w:t>
      </w:r>
      <w:r>
        <w:t xml:space="preserve">“</w:t>
      </w:r>
      <w:r>
        <w:t xml:space="preserve">In the Ṛgveda, when, after a</w:t>
      </w:r>
      <w:r>
        <w:t xml:space="preserve"> </w:t>
      </w:r>
      <w:r>
        <w:t xml:space="preserve">‘</w:t>
      </w:r>
      <w:r>
        <w:t xml:space="preserve">jātya</w:t>
      </w:r>
      <w:r>
        <w:t xml:space="preserve">’</w:t>
      </w:r>
      <w:r>
        <w:t xml:space="preserve"> </w:t>
      </w:r>
      <w:r>
        <w:t xml:space="preserve">svarita, an acute or a svarita follows, it is to be clearly pronounced that that svarita is both acute and unaccented; to indicate this, in such places numerals are written to indicate the repetition of that accent, and so on; and this is called</w:t>
      </w:r>
      <w:r>
        <w:t xml:space="preserve"> </w:t>
      </w:r>
      <w:r>
        <w:t xml:space="preserve">‘</w:t>
      </w:r>
      <w:r>
        <w:t xml:space="preserve">kampa</w:t>
      </w:r>
      <w:r>
        <w:t xml:space="preserve">’</w:t>
      </w:r>
      <w:r>
        <w:t xml:space="preserve"> </w:t>
      </w:r>
      <w:r>
        <w:t xml:space="preserve">(</w:t>
      </w:r>
      <w:r>
        <w:t xml:space="preserve">‘</w:t>
      </w:r>
      <w:r>
        <w:t xml:space="preserve">trembling</w:t>
      </w:r>
      <w:r>
        <w:t xml:space="preserve">’</w:t>
      </w:r>
      <w:r>
        <w:t xml:space="preserve">); by the Vaidikas there is a special pronunciation here and there. The particular meaning of this</w:t>
      </w:r>
      <w:r>
        <w:t xml:space="preserve"> </w:t>
      </w:r>
      <w:r>
        <w:t xml:space="preserve">‘</w:t>
      </w:r>
      <w:r>
        <w:t xml:space="preserve">kampa</w:t>
      </w:r>
      <w:r>
        <w:t xml:space="preserve">’</w:t>
      </w:r>
      <w:r>
        <w:t xml:space="preserve"> </w:t>
      </w:r>
      <w:r>
        <w:t xml:space="preserve">is summed up in a verse by Ānandatīrtha-ācārya, thus:</w:t>
      </w:r>
      <w:r>
        <w:t xml:space="preserve"> </w:t>
      </w:r>
      <w:r>
        <w:t xml:space="preserve">‘</w:t>
      </w:r>
      <w:r>
        <w:rPr>
          <w:iCs/>
          <w:i/>
        </w:rPr>
        <w:t xml:space="preserve">kaṃpa</w:t>
      </w:r>
      <w:r>
        <w:t xml:space="preserve"> </w:t>
      </w:r>
      <w:r>
        <w:t xml:space="preserve">…</w:t>
      </w:r>
      <w:r>
        <w:t xml:space="preserve">’</w:t>
      </w:r>
      <w:r>
        <w:t xml:space="preserve"> </w:t>
      </w:r>
      <w:r>
        <w:t xml:space="preserve">(the verse:</w:t>
      </w:r>
      <w:r>
        <w:t xml:space="preserve"> </w:t>
      </w:r>
      <w:r>
        <w:t xml:space="preserve">‘</w:t>
      </w:r>
      <w:r>
        <w:t xml:space="preserve">the</w:t>
      </w:r>
      <w:r>
        <w:t xml:space="preserve"> </w:t>
      </w:r>
      <w:r>
        <w:t xml:space="preserve">“</w:t>
      </w:r>
      <w:r>
        <w:t xml:space="preserve">kampa</w:t>
      </w:r>
      <w:r>
        <w:t xml:space="preserve">”</w:t>
      </w:r>
      <w:r>
        <w:t xml:space="preserve"> </w:t>
      </w:r>
      <w:r>
        <w:t xml:space="preserve">is used in the case of … everything in general (aśeṣa-graha?), in some place, in shame, in the ancient, in distinctness, in boldness …</w:t>
      </w:r>
      <w:r>
        <w:t xml:space="preserve">’</w:t>
      </w:r>
      <w:r>
        <w:t xml:space="preserve">).</w:t>
      </w:r>
      <w:r>
        <w:t xml:space="preserve">”</w:t>
      </w:r>
      <w:r>
        <w:t xml:space="preserve"> </w:t>
      </w:r>
      <w:r>
        <w:rPr>
          <w:iCs/>
          <w:i/>
        </w:rPr>
        <w:t xml:space="preserve">(I give the sense of the verse only in outline, because its last words are not clear to me.)</w:t>
      </w:r>
    </w:p>
    <w:p>
      <w:pPr>
        <w:pStyle w:val="BodyText"/>
      </w:pPr>
      <w:r>
        <w:t xml:space="preserve">The English quotation from</w:t>
      </w:r>
      <w:r>
        <w:t xml:space="preserve"> </w:t>
      </w:r>
      <w:r>
        <w:rPr>
          <w:bCs/>
          <w:b/>
        </w:rPr>
        <w:t xml:space="preserve">Macdonell</w:t>
      </w:r>
      <w:r>
        <w:t xml:space="preserve"> </w:t>
      </w:r>
      <w:r>
        <w:t xml:space="preserve">printed in the source explains this:</w:t>
      </w:r>
      <w:r>
        <w:t xml:space="preserve"> </w:t>
      </w:r>
      <w:r>
        <w:t xml:space="preserve">“</w:t>
      </w:r>
      <w:r>
        <w:rPr>
          <w:iCs/>
          <w:i/>
        </w:rPr>
        <w:t xml:space="preserve">Rayah 3 Avanih: a peculiar way of marking the accent; the rule is that when an independent Svarita immediately precedes an Udatta it is accompanied by the sign of the numeral 3 if its vowel is long (and by 1 if it is short e.g. Apsv 1 Antah:) the figure being marked with both the Svarita and the Anudatta.</w:t>
      </w:r>
      <w:r>
        <w:t xml:space="preserve">”</w:t>
      </w:r>
    </w:p>
    <w:p>
      <w:pPr>
        <w:pStyle w:val="BodyText"/>
      </w:pPr>
      <w:r>
        <w:rPr>
          <w:bCs/>
          <w:b/>
        </w:rPr>
        <w:t xml:space="preserve">महान् + सुपारः = महान्त्सुपारः (mahān + supāraḥ = mahāntsupāraḥ)</w:t>
      </w:r>
      <w:r>
        <w:t xml:space="preserve"> </w:t>
      </w:r>
      <w:r>
        <w:t xml:space="preserve">— In joining the words</w:t>
      </w:r>
      <w:r>
        <w:t xml:space="preserve"> </w:t>
      </w:r>
      <w:r>
        <w:t xml:space="preserve">“</w:t>
      </w:r>
      <w:r>
        <w:t xml:space="preserve">mahān</w:t>
      </w:r>
      <w:r>
        <w:t xml:space="preserve">”</w:t>
      </w:r>
      <w:r>
        <w:t xml:space="preserve"> </w:t>
      </w:r>
      <w:r>
        <w:t xml:space="preserve">and</w:t>
      </w:r>
      <w:r>
        <w:t xml:space="preserve"> </w:t>
      </w:r>
      <w:r>
        <w:t xml:space="preserve">“</w:t>
      </w:r>
      <w:r>
        <w:t xml:space="preserve">supāraḥ</w:t>
      </w:r>
      <w:r>
        <w:t xml:space="preserve">”</w:t>
      </w:r>
      <w:r>
        <w:t xml:space="preserve"> </w:t>
      </w:r>
      <w:r>
        <w:t xml:space="preserve">in the saṃhitā text, it is the custom to insert a</w:t>
      </w:r>
      <w:r>
        <w:t xml:space="preserve"> </w:t>
      </w:r>
      <w:r>
        <w:t xml:space="preserve">“</w:t>
      </w:r>
      <w:r>
        <w:t xml:space="preserve">t</w:t>
      </w:r>
      <w:r>
        <w:t xml:space="preserve">”</w:t>
      </w:r>
      <w:r>
        <w:t xml:space="preserve"> </w:t>
      </w:r>
      <w:r>
        <w:t xml:space="preserve">after the</w:t>
      </w:r>
      <w:r>
        <w:t xml:space="preserve"> </w:t>
      </w:r>
      <w:r>
        <w:t xml:space="preserve">“</w:t>
      </w:r>
      <w:r>
        <w:t xml:space="preserve">n</w:t>
      </w:r>
      <w:r>
        <w:t xml:space="preserve">”</w:t>
      </w:r>
      <w:r>
        <w:t xml:space="preserve"> </w:t>
      </w:r>
      <w:r>
        <w:t xml:space="preserve">and to pronounce the following</w:t>
      </w:r>
      <w:r>
        <w:t xml:space="preserve"> </w:t>
      </w:r>
      <w:r>
        <w:t xml:space="preserve">“</w:t>
      </w:r>
      <w:r>
        <w:t xml:space="preserve">s</w:t>
      </w:r>
      <w:r>
        <w:t xml:space="preserve">”</w:t>
      </w:r>
      <w:r>
        <w:t xml:space="preserve">: that is,</w:t>
      </w:r>
      <w:r>
        <w:t xml:space="preserve"> </w:t>
      </w:r>
      <w:r>
        <w:t xml:space="preserve">“</w:t>
      </w:r>
      <w:r>
        <w:t xml:space="preserve">n + su = n + t + su = ntsu.</w:t>
      </w:r>
      <w:r>
        <w:t xml:space="preserve">”</w:t>
      </w:r>
      <w:r>
        <w:t xml:space="preserve"> </w:t>
      </w:r>
      <w:r>
        <w:t xml:space="preserve">The Śaunakas, in their</w:t>
      </w:r>
      <w:r>
        <w:t xml:space="preserve"> </w:t>
      </w:r>
      <w:r>
        <w:rPr>
          <w:iCs/>
          <w:i/>
        </w:rPr>
        <w:t xml:space="preserve">Ṛgveda-prātiśākhya</w:t>
      </w:r>
      <w:r>
        <w:t xml:space="preserve"> </w:t>
      </w:r>
      <w:r>
        <w:t xml:space="preserve">(Ṛ. Prā. 4-15), say this kind of pronunciation was intended to distinguish the sense (abhiprāya-bheda?) [as the print says]; it is used so that the letters may be pronounced clearly, without difficulty.</w:t>
      </w:r>
    </w:p>
    <w:p>
      <w:pPr>
        <w:pStyle w:val="BodyText"/>
      </w:pPr>
      <w:r>
        <w:rPr>
          <w:bCs/>
          <w:b/>
        </w:rPr>
        <w:t xml:space="preserve">सुपारः (supāraḥ)</w:t>
      </w:r>
      <w:r>
        <w:t xml:space="preserve"> </w:t>
      </w:r>
      <w:r>
        <w:t xml:space="preserve">—</w:t>
      </w:r>
      <w:r>
        <w:t xml:space="preserve"> </w:t>
      </w:r>
      <w:r>
        <w:t xml:space="preserve">“</w:t>
      </w:r>
      <w:r>
        <w:t xml:space="preserve">One who reaches the bank; who reaches the end; who brings to a successful end.</w:t>
      </w:r>
      <w:r>
        <w:t xml:space="preserve">”</w:t>
      </w:r>
      <w:r>
        <w:t xml:space="preserve"> </w:t>
      </w:r>
      <w:r>
        <w:t xml:space="preserve">The Bhāṣyakāra has supplied the word</w:t>
      </w:r>
      <w:r>
        <w:t xml:space="preserve"> </w:t>
      </w:r>
      <w:r>
        <w:t xml:space="preserve">“</w:t>
      </w:r>
      <w:r>
        <w:t xml:space="preserve">karmaṇaḥ</w:t>
      </w:r>
      <w:r>
        <w:t xml:space="preserve">”</w:t>
      </w:r>
      <w:r>
        <w:t xml:space="preserve"> </w:t>
      </w:r>
      <w:r>
        <w:t xml:space="preserve">(</w:t>
      </w:r>
      <w:r>
        <w:t xml:space="preserve">“</w:t>
      </w:r>
      <w:r>
        <w:t xml:space="preserve">of the rite</w:t>
      </w:r>
      <w:r>
        <w:t xml:space="preserve">”</w:t>
      </w:r>
      <w:r>
        <w:t xml:space="preserve">) and thus explained it. Western scholars explain this word as</w:t>
      </w:r>
      <w:r>
        <w:t xml:space="preserve"> </w:t>
      </w:r>
      <w:r>
        <w:t xml:space="preserve">“</w:t>
      </w:r>
      <w:r>
        <w:t xml:space="preserve">carrying well across (to the other bank),</w:t>
      </w:r>
      <w:r>
        <w:t xml:space="preserve">”</w:t>
      </w:r>
      <w:r>
        <w:t xml:space="preserve"> </w:t>
      </w:r>
      <w:r>
        <w:t xml:space="preserve">“</w:t>
      </w:r>
      <w:r>
        <w:t xml:space="preserve">leading to Success</w:t>
      </w:r>
      <w:r>
        <w:t xml:space="preserve">”</w:t>
      </w:r>
      <w:r>
        <w:t xml:space="preserve"> </w:t>
      </w:r>
      <w:r>
        <w:rPr>
          <w:iCs/>
          <w:i/>
        </w:rPr>
        <w:t xml:space="preserve">(English as printed)</w:t>
      </w:r>
      <w:r>
        <w:t xml:space="preserve">.</w:t>
      </w:r>
    </w:p>
    <w:p>
      <w:pPr>
        <w:pStyle w:val="BodyText"/>
      </w:pPr>
      <w:r>
        <w:rPr>
          <w:bCs/>
          <w:b/>
        </w:rPr>
        <w:t xml:space="preserve">तस्मा इन्द्राय गायत (tasmā indrāya gāyata)</w:t>
      </w:r>
      <w:r>
        <w:t xml:space="preserve"> </w:t>
      </w:r>
      <w:r>
        <w:t xml:space="preserve">— This third pāda occurs also as the third pāda of the Ṛks Ṛ. Saṃ. 1-5-4 and Atharvaveda 20-69-2.</w:t>
      </w:r>
    </w:p>
    <w:p>
      <w:pPr>
        <w:pStyle w:val="BodyText"/>
      </w:pPr>
      <w:r>
        <w:rPr>
          <w:bCs/>
          <w:b/>
        </w:rPr>
        <w:t xml:space="preserve">॥ Vyākaraṇa-prakriyā ॥</w:t>
      </w:r>
      <w:r>
        <w:t xml:space="preserve"> </w:t>
      </w:r>
      <w:r>
        <w:rPr>
          <w:iCs/>
          <w:i/>
        </w:rPr>
        <w:t xml:space="preserve">(Kannada; characterized, sūtras kept)</w:t>
      </w:r>
      <w:r>
        <w:t xml:space="preserve"> </w:t>
      </w:r>
      <w:r>
        <w:rPr>
          <w:bCs/>
          <w:b/>
        </w:rPr>
        <w:t xml:space="preserve">“</w:t>
      </w:r>
      <w:r>
        <w:rPr>
          <w:bCs/>
          <w:b/>
        </w:rPr>
        <w:t xml:space="preserve">Yaḥ</w:t>
      </w:r>
      <w:r>
        <w:rPr>
          <w:bCs/>
          <w:b/>
        </w:rPr>
        <w:t xml:space="preserve">”</w:t>
      </w:r>
      <w:r>
        <w:t xml:space="preserve"> </w:t>
      </w:r>
      <w:r>
        <w:t xml:space="preserve">—</w:t>
      </w:r>
      <w:r>
        <w:t xml:space="preserve"> </w:t>
      </w:r>
      <w:r>
        <w:rPr>
          <w:bCs/>
          <w:b/>
        </w:rPr>
        <w:t xml:space="preserve">त्यजितनियजिभ्यो डित्</w:t>
      </w:r>
      <w:r>
        <w:t xml:space="preserve"> </w:t>
      </w:r>
      <w:r>
        <w:t xml:space="preserve">(उ. सू. १-१२९ [as printed]) — the affix</w:t>
      </w:r>
      <w:r>
        <w:t xml:space="preserve"> </w:t>
      </w:r>
      <w:r>
        <w:t xml:space="preserve">“</w:t>
      </w:r>
      <w:r>
        <w:t xml:space="preserve">ḍit</w:t>
      </w:r>
      <w:r>
        <w:t xml:space="preserve">”</w:t>
      </w:r>
      <w:r>
        <w:t xml:space="preserve"> </w:t>
      </w:r>
      <w:r>
        <w:t xml:space="preserve">after the three roots</w:t>
      </w:r>
      <w:r>
        <w:t xml:space="preserve"> </w:t>
      </w:r>
      <w:r>
        <w:t xml:space="preserve">“</w:t>
      </w:r>
      <w:r>
        <w:t xml:space="preserve">tyaj hānau</w:t>
      </w:r>
      <w:r>
        <w:t xml:space="preserve">”</w:t>
      </w:r>
      <w:r>
        <w:t xml:space="preserve"> </w:t>
      </w:r>
      <w:r>
        <w:t xml:space="preserve">(to abandon),</w:t>
      </w:r>
      <w:r>
        <w:t xml:space="preserve"> </w:t>
      </w:r>
      <w:r>
        <w:t xml:space="preserve">“</w:t>
      </w:r>
      <w:r>
        <w:t xml:space="preserve">tan vistāre</w:t>
      </w:r>
      <w:r>
        <w:t xml:space="preserve">”</w:t>
      </w:r>
      <w:r>
        <w:t xml:space="preserve"> </w:t>
      </w:r>
      <w:r>
        <w:t xml:space="preserve">(to stretch) and</w:t>
      </w:r>
      <w:r>
        <w:t xml:space="preserve"> </w:t>
      </w:r>
      <w:r>
        <w:t xml:space="preserve">“</w:t>
      </w:r>
      <w:r>
        <w:t xml:space="preserve">yaj devapūjādau</w:t>
      </w:r>
      <w:r>
        <w:t xml:space="preserve">”</w:t>
      </w:r>
      <w:r>
        <w:t xml:space="preserve"> </w:t>
      </w:r>
      <w:r>
        <w:t xml:space="preserve">(to worship): the</w:t>
      </w:r>
      <w:r>
        <w:t xml:space="preserve"> </w:t>
      </w:r>
      <w:r>
        <w:t xml:space="preserve">“</w:t>
      </w:r>
      <w:r>
        <w:t xml:space="preserve">ādi</w:t>
      </w:r>
      <w:r>
        <w:t xml:space="preserve">”</w:t>
      </w:r>
      <w:r>
        <w:t xml:space="preserve">-affix is</w:t>
      </w:r>
      <w:r>
        <w:t xml:space="preserve"> </w:t>
      </w:r>
      <w:r>
        <w:t xml:space="preserve">“</w:t>
      </w:r>
      <w:r>
        <w:t xml:space="preserve">ḍit,</w:t>
      </w:r>
      <w:r>
        <w:t xml:space="preserve">”</w:t>
      </w:r>
      <w:r>
        <w:t xml:space="preserve"> </w:t>
      </w:r>
      <w:r>
        <w:t xml:space="preserve">so the</w:t>
      </w:r>
      <w:r>
        <w:t xml:space="preserve"> </w:t>
      </w:r>
      <w:r>
        <w:t xml:space="preserve">“</w:t>
      </w:r>
      <w:r>
        <w:t xml:space="preserve">ṭi</w:t>
      </w:r>
      <w:r>
        <w:t xml:space="preserve">”</w:t>
      </w:r>
      <w:r>
        <w:t xml:space="preserve"> </w:t>
      </w:r>
      <w:r>
        <w:t xml:space="preserve">of the root is elided and</w:t>
      </w:r>
      <w:r>
        <w:t xml:space="preserve"> </w:t>
      </w:r>
      <w:r>
        <w:t xml:space="preserve">“</w:t>
      </w:r>
      <w:r>
        <w:t xml:space="preserve">yad</w:t>
      </w:r>
      <w:r>
        <w:t xml:space="preserve">”</w:t>
      </w:r>
      <w:r>
        <w:t xml:space="preserve"> </w:t>
      </w:r>
      <w:r>
        <w:t xml:space="preserve">results:</w:t>
      </w:r>
      <w:r>
        <w:t xml:space="preserve"> </w:t>
      </w:r>
      <w:r>
        <w:t xml:space="preserve">“</w:t>
      </w:r>
      <w:r>
        <w:t xml:space="preserve">ya(j) + ad</w:t>
      </w:r>
      <w:r>
        <w:t xml:space="preserve">”</w:t>
      </w:r>
      <w:r>
        <w:t xml:space="preserve"> </w:t>
      </w:r>
      <w:r>
        <w:t xml:space="preserve">→</w:t>
      </w:r>
      <w:r>
        <w:t xml:space="preserve"> </w:t>
      </w:r>
      <w:r>
        <w:t xml:space="preserve">“</w:t>
      </w:r>
      <w:r>
        <w:t xml:space="preserve">yad</w:t>
      </w:r>
      <w:r>
        <w:t xml:space="preserve">”</w:t>
      </w:r>
      <w:r>
        <w:t xml:space="preserve">; the word is first-syllable acute by the affix accent; in the view that the Uṇādi words are derived, the stem is end-acute. After it, the first-case singular</w:t>
      </w:r>
      <w:r>
        <w:t xml:space="preserve"> </w:t>
      </w:r>
      <w:r>
        <w:t xml:space="preserve">“</w:t>
      </w:r>
      <w:r>
        <w:t xml:space="preserve">su,</w:t>
      </w:r>
      <w:r>
        <w:t xml:space="preserve">”</w:t>
      </w:r>
      <w:r>
        <w:t xml:space="preserve"> </w:t>
      </w:r>
      <w:r>
        <w:t xml:space="preserve">and by</w:t>
      </w:r>
      <w:r>
        <w:t xml:space="preserve"> </w:t>
      </w:r>
      <w:r>
        <w:rPr>
          <w:bCs/>
          <w:b/>
        </w:rPr>
        <w:t xml:space="preserve">त्यदादीनामः</w:t>
      </w:r>
      <w:r>
        <w:t xml:space="preserve"> </w:t>
      </w:r>
      <w:r>
        <w:t xml:space="preserve">(पा. ७-१-१०२ [as printed])</w:t>
      </w:r>
      <w:r>
        <w:t xml:space="preserve"> </w:t>
      </w:r>
      <w:r>
        <w:t xml:space="preserve">“</w:t>
      </w:r>
      <w:r>
        <w:t xml:space="preserve">a</w:t>
      </w:r>
      <w:r>
        <w:t xml:space="preserve">”</w:t>
      </w:r>
      <w:r>
        <w:t xml:space="preserve"> </w:t>
      </w:r>
      <w:r>
        <w:t xml:space="preserve">replaces the final</w:t>
      </w:r>
      <w:r>
        <w:t xml:space="preserve"> </w:t>
      </w:r>
      <w:r>
        <w:t xml:space="preserve">“</w:t>
      </w:r>
      <w:r>
        <w:t xml:space="preserve">d</w:t>
      </w:r>
      <w:r>
        <w:t xml:space="preserve">”</w:t>
      </w:r>
      <w:r>
        <w:t xml:space="preserve">:</w:t>
      </w:r>
      <w:r>
        <w:t xml:space="preserve"> </w:t>
      </w:r>
      <w:r>
        <w:t xml:space="preserve">“</w:t>
      </w:r>
      <w:r>
        <w:t xml:space="preserve">ya + a + su,</w:t>
      </w:r>
      <w:r>
        <w:t xml:space="preserve">”</w:t>
      </w:r>
      <w:r>
        <w:t xml:space="preserve"> </w:t>
      </w:r>
      <w:r>
        <w:t xml:space="preserve">and</w:t>
      </w:r>
      <w:r>
        <w:t xml:space="preserve"> </w:t>
      </w:r>
      <w:r>
        <w:rPr>
          <w:bCs/>
          <w:b/>
        </w:rPr>
        <w:t xml:space="preserve">अतो गुणे</w:t>
      </w:r>
      <w:r>
        <w:t xml:space="preserve"> </w:t>
      </w:r>
      <w:r>
        <w:t xml:space="preserve">(पा. ६-१-९७) combines the two</w:t>
      </w:r>
      <w:r>
        <w:t xml:space="preserve"> </w:t>
      </w:r>
      <w:r>
        <w:t xml:space="preserve">“</w:t>
      </w:r>
      <w:r>
        <w:t xml:space="preserve">a</w:t>
      </w:r>
      <w:r>
        <w:t xml:space="preserve">”</w:t>
      </w:r>
      <w:r>
        <w:t xml:space="preserve">s, with</w:t>
      </w:r>
      <w:r>
        <w:t xml:space="preserve"> </w:t>
      </w:r>
      <w:r>
        <w:t xml:space="preserve">“</w:t>
      </w:r>
      <w:r>
        <w:t xml:space="preserve">ru</w:t>
      </w:r>
      <w:r>
        <w:t xml:space="preserve">”</w:t>
      </w:r>
      <w:r>
        <w:t xml:space="preserve"> </w:t>
      </w:r>
      <w:r>
        <w:t xml:space="preserve">for the</w:t>
      </w:r>
      <w:r>
        <w:t xml:space="preserve"> </w:t>
      </w:r>
      <w:r>
        <w:t xml:space="preserve">“</w:t>
      </w:r>
      <w:r>
        <w:t xml:space="preserve">s</w:t>
      </w:r>
      <w:r>
        <w:t xml:space="preserve">”</w:t>
      </w:r>
      <w:r>
        <w:t xml:space="preserve"> </w:t>
      </w:r>
      <w:r>
        <w:t xml:space="preserve">and visarga (</w:t>
      </w:r>
      <w:r>
        <w:t xml:space="preserve">“</w:t>
      </w:r>
      <w:r>
        <w:t xml:space="preserve">yaḥ</w:t>
      </w:r>
      <w:r>
        <w:t xml:space="preserve">”</w:t>
      </w:r>
      <w:r>
        <w:t xml:space="preserve">) …</w:t>
      </w:r>
      <w:r>
        <w:t xml:space="preserve"> </w:t>
      </w:r>
      <w:r>
        <w:rPr>
          <w:iCs/>
          <w:i/>
        </w:rPr>
        <w:t xml:space="preserve">(continues on the next page)</w:t>
      </w:r>
    </w:p>
    <w:bookmarkEnd w:id="166"/>
    <w:bookmarkStart w:id="167" w:name="X65f2c2c5a9f3ebb985b2970f89236b115d249f6"/>
    <w:p>
      <w:pPr>
        <w:pStyle w:val="Heading3"/>
      </w:pPr>
      <w:r>
        <w:t xml:space="preserve">Pages 133–134 — Vyākaraṇa-prakriyā for Rik 4.10 (Kannada) — characterized</w:t>
      </w:r>
    </w:p>
    <w:p>
      <w:pPr>
        <w:pStyle w:val="FirstParagraph"/>
      </w:pPr>
      <w:r>
        <w:rPr>
          <w:iCs/>
          <w:i/>
        </w:rPr>
        <w:t xml:space="preserve">(Page headers: p. 133</w:t>
      </w:r>
      <w:r>
        <w:rPr>
          <w:iCs/>
          <w:i/>
        </w:rPr>
        <w:t xml:space="preserve"> </w:t>
      </w:r>
      <w:r>
        <w:rPr>
          <w:iCs/>
          <w:i/>
        </w:rPr>
        <w:t xml:space="preserve">“</w:t>
      </w:r>
      <w:r>
        <w:rPr>
          <w:iCs/>
          <w:i/>
        </w:rPr>
        <w:t xml:space="preserve">Aṣṭaka 1, Adhyāya 1, Varga 8 · Ṛgveda-saṃhitā</w:t>
      </w:r>
      <w:r>
        <w:rPr>
          <w:iCs/>
          <w:i/>
        </w:rPr>
        <w:t xml:space="preserve">”</w:t>
      </w:r>
      <w:r>
        <w:rPr>
          <w:iCs/>
          <w:i/>
        </w:rPr>
        <w:t xml:space="preserve">; p. 134</w:t>
      </w:r>
      <w:r>
        <w:rPr>
          <w:iCs/>
          <w:i/>
        </w:rPr>
        <w:t xml:space="preserve"> </w:t>
      </w:r>
      <w:r>
        <w:rPr>
          <w:iCs/>
          <w:i/>
        </w:rPr>
        <w:t xml:space="preserve">“</w:t>
      </w:r>
      <w:r>
        <w:rPr>
          <w:iCs/>
          <w:i/>
        </w:rPr>
        <w:t xml:space="preserve">Sāyaṇa-bhāṣya-sahitā · Maṇḍala 1, Anuvāka 2, Sūkta 4.</w:t>
      </w:r>
      <w:r>
        <w:rPr>
          <w:iCs/>
          <w:i/>
        </w:rPr>
        <w:t xml:space="preserve">”</w:t>
      </w:r>
      <w:r>
        <w:rPr>
          <w:iCs/>
          <w:i/>
        </w:rPr>
        <w:t xml:space="preserve"> </w:t>
      </w:r>
      <w:r>
        <w:rPr>
          <w:iCs/>
          <w:i/>
        </w:rPr>
        <w:t xml:space="preserve">These two pages are</w:t>
      </w:r>
      <w:r>
        <w:rPr>
          <w:iCs/>
          <w:i/>
        </w:rPr>
        <w:t xml:space="preserve"> </w:t>
      </w:r>
      <w:r>
        <w:rPr>
          <w:bCs/>
          <w:b/>
          <w:iCs/>
          <w:i/>
        </w:rPr>
        <w:t xml:space="preserve">pure Pāṇinian derivation in Kannada prose</w:t>
      </w:r>
      <w:r>
        <w:rPr>
          <w:iCs/>
          <w:i/>
        </w:rPr>
        <w:t xml:space="preserve">, rendering the grammar of the Sanskrit on p. 130 and adding a long argument about the sandhi and accent of</w:t>
      </w:r>
      <w:r>
        <w:rPr>
          <w:iCs/>
          <w:i/>
        </w:rPr>
        <w:t xml:space="preserve"> </w:t>
      </w:r>
      <w:r>
        <w:rPr>
          <w:iCs/>
          <w:i/>
        </w:rPr>
        <w:t xml:space="preserve">“</w:t>
      </w:r>
      <w:r>
        <w:rPr>
          <w:iCs/>
          <w:i/>
        </w:rPr>
        <w:t xml:space="preserve">yo rāyo ’vaniḥ.</w:t>
      </w:r>
      <w:r>
        <w:rPr>
          <w:iCs/>
          <w:i/>
        </w:rPr>
        <w:t xml:space="preserve">”</w:t>
      </w:r>
      <w:r>
        <w:rPr>
          <w:iCs/>
          <w:i/>
        </w:rPr>
        <w:t xml:space="preserve"> </w:t>
      </w:r>
      <w:r>
        <w:rPr>
          <w:iCs/>
          <w:i/>
        </w:rPr>
        <w:t xml:space="preserve">They do not bear on the sense of the Rik (pp. 130–131). Per the standing convention they are</w:t>
      </w:r>
      <w:r>
        <w:rPr>
          <w:iCs/>
          <w:i/>
        </w:rPr>
        <w:t xml:space="preserve"> </w:t>
      </w:r>
      <w:r>
        <w:rPr>
          <w:bCs/>
          <w:b/>
          <w:iCs/>
          <w:i/>
        </w:rPr>
        <w:t xml:space="preserve">characterized in outline, not translated line by line</w:t>
      </w:r>
      <w:r>
        <w:rPr>
          <w:iCs/>
          <w:i/>
        </w:rPr>
        <w:t xml:space="preserve">; every sūtra named is kept in three layers, with numbers as I read them in small Kannada numerals, [?] where uncertain.)</w:t>
      </w:r>
    </w:p>
    <w:p>
      <w:pPr>
        <w:pStyle w:val="BodyText"/>
      </w:pPr>
      <w:r>
        <w:rPr>
          <w:bCs/>
          <w:b/>
        </w:rPr>
        <w:t xml:space="preserve">p. 133.</w:t>
      </w:r>
      <w:r>
        <w:t xml:space="preserve"> </w:t>
      </w:r>
      <w:r>
        <w:t xml:space="preserve">-</w:t>
      </w:r>
      <w:r>
        <w:t xml:space="preserve"> </w:t>
      </w:r>
      <w:r>
        <w:rPr>
          <w:bCs/>
          <w:b/>
        </w:rPr>
        <w:t xml:space="preserve">“</w:t>
      </w:r>
      <w:r>
        <w:rPr>
          <w:bCs/>
          <w:b/>
        </w:rPr>
        <w:t xml:space="preserve">Yaḥ</w:t>
      </w:r>
      <w:r>
        <w:rPr>
          <w:bCs/>
          <w:b/>
        </w:rPr>
        <w:t xml:space="preserve">”</w:t>
      </w:r>
      <w:r>
        <w:t xml:space="preserve"> </w:t>
      </w:r>
      <w:r>
        <w:rPr>
          <w:iCs/>
          <w:i/>
        </w:rPr>
        <w:t xml:space="preserve">(concluding from p. 132)</w:t>
      </w:r>
      <w:r>
        <w:t xml:space="preserve"> </w:t>
      </w:r>
      <w:r>
        <w:t xml:space="preserve">—</w:t>
      </w:r>
      <w:r>
        <w:t xml:space="preserve"> </w:t>
      </w:r>
      <w:r>
        <w:t xml:space="preserve">“</w:t>
      </w:r>
      <w:r>
        <w:t xml:space="preserve">ya + a + su</w:t>
      </w:r>
      <w:r>
        <w:t xml:space="preserve">”</w:t>
      </w:r>
      <w:r>
        <w:t xml:space="preserve"> </w:t>
      </w:r>
      <w:r>
        <w:t xml:space="preserve">→ one</w:t>
      </w:r>
      <w:r>
        <w:t xml:space="preserve"> </w:t>
      </w:r>
      <w:r>
        <w:t xml:space="preserve">“</w:t>
      </w:r>
      <w:r>
        <w:t xml:space="preserve">a</w:t>
      </w:r>
      <w:r>
        <w:t xml:space="preserve">”</w:t>
      </w:r>
      <w:r>
        <w:t xml:space="preserve"> </w:t>
      </w:r>
      <w:r>
        <w:t xml:space="preserve">by</w:t>
      </w:r>
      <w:r>
        <w:t xml:space="preserve"> </w:t>
      </w:r>
      <w:r>
        <w:rPr>
          <w:bCs/>
          <w:b/>
        </w:rPr>
        <w:t xml:space="preserve">अतो गुणे</w:t>
      </w:r>
      <w:r>
        <w:t xml:space="preserve"> </w:t>
      </w:r>
      <w:r>
        <w:t xml:space="preserve">(पा. ६-१-९४);</w:t>
      </w:r>
      <w:r>
        <w:t xml:space="preserve"> </w:t>
      </w:r>
      <w:r>
        <w:rPr>
          <w:bCs/>
          <w:b/>
        </w:rPr>
        <w:t xml:space="preserve">ससजुषो रुः</w:t>
      </w:r>
      <w:r>
        <w:t xml:space="preserve"> </w:t>
      </w:r>
      <w:r>
        <w:t xml:space="preserve">(पा. ८-२-६६) substitutes</w:t>
      </w:r>
      <w:r>
        <w:t xml:space="preserve"> </w:t>
      </w:r>
      <w:r>
        <w:t xml:space="preserve">“</w:t>
      </w:r>
      <w:r>
        <w:t xml:space="preserve">ru</w:t>
      </w:r>
      <w:r>
        <w:t xml:space="preserve">”</w:t>
      </w:r>
      <w:r>
        <w:t xml:space="preserve"> </w:t>
      </w:r>
      <w:r>
        <w:t xml:space="preserve">for</w:t>
      </w:r>
      <w:r>
        <w:t xml:space="preserve"> </w:t>
      </w:r>
      <w:r>
        <w:t xml:space="preserve">“</w:t>
      </w:r>
      <w:r>
        <w:t xml:space="preserve">s</w:t>
      </w:r>
      <w:r>
        <w:t xml:space="preserve">”</w:t>
      </w:r>
      <w:r>
        <w:t xml:space="preserve">;</w:t>
      </w:r>
      <w:r>
        <w:t xml:space="preserve"> </w:t>
      </w:r>
      <w:r>
        <w:rPr>
          <w:bCs/>
          <w:b/>
        </w:rPr>
        <w:t xml:space="preserve">खरवसानयोर्विसर्जनीयः</w:t>
      </w:r>
      <w:r>
        <w:t xml:space="preserve"> </w:t>
      </w:r>
      <w:r>
        <w:t xml:space="preserve">(पा. ८-३-१५) gives the visarga →</w:t>
      </w:r>
      <w:r>
        <w:t xml:space="preserve"> </w:t>
      </w:r>
      <w:r>
        <w:t xml:space="preserve">“</w:t>
      </w:r>
      <w:r>
        <w:t xml:space="preserve">yaḥ.</w:t>
      </w:r>
      <w:r>
        <w:t xml:space="preserve">”</w:t>
      </w:r>
      <w:r>
        <w:t xml:space="preserve"> </w:t>
      </w:r>
      <w:r>
        <w:t xml:space="preserve">The</w:t>
      </w:r>
      <w:r>
        <w:t xml:space="preserve"> </w:t>
      </w:r>
      <w:r>
        <w:t xml:space="preserve">“</w:t>
      </w:r>
      <w:r>
        <w:t xml:space="preserve">ya</w:t>
      </w:r>
      <w:r>
        <w:t xml:space="preserve">”</w:t>
      </w:r>
      <w:r>
        <w:t xml:space="preserve"> </w:t>
      </w:r>
      <w:r>
        <w:t xml:space="preserve">is acute (the vowel of the affix</w:t>
      </w:r>
      <w:r>
        <w:t xml:space="preserve"> </w:t>
      </w:r>
      <w:r>
        <w:t xml:space="preserve">“</w:t>
      </w:r>
      <w:r>
        <w:t xml:space="preserve">ḍit</w:t>
      </w:r>
      <w:r>
        <w:t xml:space="preserve">”</w:t>
      </w:r>
      <w:r>
        <w:t xml:space="preserve"> </w:t>
      </w:r>
      <w:r>
        <w:t xml:space="preserve">being acute, and the</w:t>
      </w:r>
      <w:r>
        <w:t xml:space="preserve"> </w:t>
      </w:r>
      <w:r>
        <w:t xml:space="preserve">“</w:t>
      </w:r>
      <w:r>
        <w:t xml:space="preserve">d</w:t>
      </w:r>
      <w:r>
        <w:t xml:space="preserve">”</w:t>
      </w:r>
      <w:r>
        <w:t xml:space="preserve"> </w:t>
      </w:r>
      <w:r>
        <w:t xml:space="preserve">it replaced was unaccented, the</w:t>
      </w:r>
      <w:r>
        <w:t xml:space="preserve"> </w:t>
      </w:r>
      <w:r>
        <w:t xml:space="preserve">“</w:t>
      </w:r>
      <w:r>
        <w:t xml:space="preserve">a</w:t>
      </w:r>
      <w:r>
        <w:t xml:space="preserve">”</w:t>
      </w:r>
      <w:r>
        <w:t xml:space="preserve"> </w:t>
      </w:r>
      <w:r>
        <w:t xml:space="preserve">that comes in its place by</w:t>
      </w:r>
      <w:r>
        <w:t xml:space="preserve"> </w:t>
      </w:r>
      <w:r>
        <w:t xml:space="preserve">“</w:t>
      </w:r>
      <w:r>
        <w:t xml:space="preserve">pararūpa</w:t>
      </w:r>
      <w:r>
        <w:t xml:space="preserve">”</w:t>
      </w:r>
      <w:r>
        <w:t xml:space="preserve"> </w:t>
      </w:r>
      <w:r>
        <w:t xml:space="preserve">is unaccented, so by</w:t>
      </w:r>
      <w:r>
        <w:t xml:space="preserve"> </w:t>
      </w:r>
      <w:r>
        <w:rPr>
          <w:bCs/>
          <w:b/>
        </w:rPr>
        <w:t xml:space="preserve">स्थानिवद्भाव</w:t>
      </w:r>
      <w:r>
        <w:t xml:space="preserve"> </w:t>
      </w:r>
      <w:r>
        <w:t xml:space="preserve">the result should be a svarita; but the special rule</w:t>
      </w:r>
      <w:r>
        <w:t xml:space="preserve"> </w:t>
      </w:r>
      <w:r>
        <w:rPr>
          <w:bCs/>
          <w:b/>
        </w:rPr>
        <w:t xml:space="preserve">एकादेश उदात्तेनोदात्तः</w:t>
      </w:r>
      <w:r>
        <w:t xml:space="preserve"> </w:t>
      </w:r>
      <w:r>
        <w:t xml:space="preserve">(पा. ८-२-५) prescribes that a single substitute of an acute and an unaccented is acute) — so</w:t>
      </w:r>
      <w:r>
        <w:t xml:space="preserve"> </w:t>
      </w:r>
      <w:r>
        <w:t xml:space="preserve">“</w:t>
      </w:r>
      <w:r>
        <w:t xml:space="preserve">yaḥ</w:t>
      </w:r>
      <w:r>
        <w:t xml:space="preserve">”</w:t>
      </w:r>
      <w:r>
        <w:t xml:space="preserve"> </w:t>
      </w:r>
      <w:r>
        <w:t xml:space="preserve">is acute.</w:t>
      </w:r>
      <w:r>
        <w:t xml:space="preserve"> </w:t>
      </w:r>
      <w:r>
        <w:t xml:space="preserve">-</w:t>
      </w:r>
      <w:r>
        <w:t xml:space="preserve"> </w:t>
      </w:r>
      <w:r>
        <w:rPr>
          <w:bCs/>
          <w:b/>
        </w:rPr>
        <w:t xml:space="preserve">“</w:t>
      </w:r>
      <w:r>
        <w:rPr>
          <w:bCs/>
          <w:b/>
        </w:rPr>
        <w:t xml:space="preserve">Yo rāyaḥ</w:t>
      </w:r>
      <w:r>
        <w:rPr>
          <w:bCs/>
          <w:b/>
        </w:rPr>
        <w:t xml:space="preserve">”</w:t>
      </w:r>
      <w:r>
        <w:t xml:space="preserve"> </w:t>
      </w:r>
      <w:r>
        <w:t xml:space="preserve">— if</w:t>
      </w:r>
      <w:r>
        <w:t xml:space="preserve"> </w:t>
      </w:r>
      <w:r>
        <w:t xml:space="preserve">“</w:t>
      </w:r>
      <w:r>
        <w:t xml:space="preserve">yaḥ</w:t>
      </w:r>
      <w:r>
        <w:t xml:space="preserve">”</w:t>
      </w:r>
      <w:r>
        <w:t xml:space="preserve"> </w:t>
      </w:r>
      <w:r>
        <w:t xml:space="preserve">is joined with</w:t>
      </w:r>
      <w:r>
        <w:t xml:space="preserve"> </w:t>
      </w:r>
      <w:r>
        <w:t xml:space="preserve">“</w:t>
      </w:r>
      <w:r>
        <w:t xml:space="preserve">rāyaḥ</w:t>
      </w:r>
      <w:r>
        <w:t xml:space="preserve">”</w:t>
      </w:r>
      <w:r>
        <w:t xml:space="preserve"> </w:t>
      </w:r>
      <w:r>
        <w:t xml:space="preserve">in the saṃhitā, the rule</w:t>
      </w:r>
      <w:r>
        <w:t xml:space="preserve"> </w:t>
      </w:r>
      <w:r>
        <w:rPr>
          <w:bCs/>
          <w:b/>
        </w:rPr>
        <w:t xml:space="preserve">पूर्वत्रासिद्धम्</w:t>
      </w:r>
      <w:r>
        <w:t xml:space="preserve"> </w:t>
      </w:r>
      <w:r>
        <w:t xml:space="preserve">(पा. ८-२-१) makes the</w:t>
      </w:r>
      <w:r>
        <w:t xml:space="preserve"> </w:t>
      </w:r>
      <w:r>
        <w:t xml:space="preserve">“</w:t>
      </w:r>
      <w:r>
        <w:t xml:space="preserve">tripādī</w:t>
      </w:r>
      <w:r>
        <w:t xml:space="preserve">”</w:t>
      </w:r>
      <w:r>
        <w:t xml:space="preserve"> </w:t>
      </w:r>
      <w:r>
        <w:t xml:space="preserve">operation (the visarga, from the third quarter of the eighth chapter)</w:t>
      </w:r>
      <w:r>
        <w:t xml:space="preserve"> </w:t>
      </w:r>
      <w:r>
        <w:t xml:space="preserve">“</w:t>
      </w:r>
      <w:r>
        <w:t xml:space="preserve">asiddha</w:t>
      </w:r>
      <w:r>
        <w:t xml:space="preserve">”</w:t>
      </w:r>
      <w:r>
        <w:t xml:space="preserve"> </w:t>
      </w:r>
      <w:r>
        <w:t xml:space="preserve">with respect to the earlier</w:t>
      </w:r>
      <w:r>
        <w:t xml:space="preserve"> </w:t>
      </w:r>
      <w:r>
        <w:t xml:space="preserve">“</w:t>
      </w:r>
      <w:r>
        <w:t xml:space="preserve">sapādasaptādhyāyī</w:t>
      </w:r>
      <w:r>
        <w:t xml:space="preserve">”</w:t>
      </w:r>
      <w:r>
        <w:t xml:space="preserve"> </w:t>
      </w:r>
      <w:r>
        <w:t xml:space="preserve">operations:</w:t>
      </w:r>
      <w:r>
        <w:t xml:space="preserve"> </w:t>
      </w:r>
      <w:r>
        <w:t xml:space="preserve">“</w:t>
      </w:r>
      <w:r>
        <w:t xml:space="preserve">ru</w:t>
      </w:r>
      <w:r>
        <w:t xml:space="preserve">”</w:t>
      </w:r>
      <w:r>
        <w:t xml:space="preserve"> </w:t>
      </w:r>
      <w:r>
        <w:t xml:space="preserve">is not seen as having become</w:t>
      </w:r>
      <w:r>
        <w:t xml:space="preserve"> </w:t>
      </w:r>
      <w:r>
        <w:t xml:space="preserve">“</w:t>
      </w:r>
      <w:r>
        <w:t xml:space="preserve">u</w:t>
      </w:r>
      <w:r>
        <w:t xml:space="preserve">”</w:t>
      </w:r>
      <w:r>
        <w:t xml:space="preserve">; hence the visarga-substitution is treated as not yet having taken place and the form is as if</w:t>
      </w:r>
      <w:r>
        <w:t xml:space="preserve"> </w:t>
      </w:r>
      <w:r>
        <w:t xml:space="preserve">“</w:t>
      </w:r>
      <w:r>
        <w:t xml:space="preserve">yar + rāyaḥ.</w:t>
      </w:r>
      <w:r>
        <w:t xml:space="preserve">”</w:t>
      </w:r>
      <w:r>
        <w:t xml:space="preserve"> </w:t>
      </w:r>
      <w:r>
        <w:t xml:space="preserve">Even though</w:t>
      </w:r>
      <w:r>
        <w:t xml:space="preserve"> </w:t>
      </w:r>
      <w:r>
        <w:t xml:space="preserve">“</w:t>
      </w:r>
      <w:r>
        <w:t xml:space="preserve">ru</w:t>
      </w:r>
      <w:r>
        <w:t xml:space="preserve">”</w:t>
      </w:r>
      <w:r>
        <w:t xml:space="preserve"> </w:t>
      </w:r>
      <w:r>
        <w:t xml:space="preserve">is in the third quarter, the print argues that it is not</w:t>
      </w:r>
      <w:r>
        <w:t xml:space="preserve"> </w:t>
      </w:r>
      <w:r>
        <w:t xml:space="preserve">“</w:t>
      </w:r>
      <w:r>
        <w:t xml:space="preserve">asiddha</w:t>
      </w:r>
      <w:r>
        <w:t xml:space="preserve">”</w:t>
      </w:r>
      <w:r>
        <w:t xml:space="preserve"> </w:t>
      </w:r>
      <w:r>
        <w:t xml:space="preserve">in the rule that makes</w:t>
      </w:r>
      <w:r>
        <w:t xml:space="preserve"> </w:t>
      </w:r>
      <w:r>
        <w:t xml:space="preserve">“</w:t>
      </w:r>
      <w:r>
        <w:t xml:space="preserve">ru</w:t>
      </w:r>
      <w:r>
        <w:t xml:space="preserve">”</w:t>
      </w:r>
      <w:r>
        <w:t xml:space="preserve"> </w:t>
      </w:r>
      <w:r>
        <w:t xml:space="preserve">into</w:t>
      </w:r>
      <w:r>
        <w:t xml:space="preserve"> </w:t>
      </w:r>
      <w:r>
        <w:t xml:space="preserve">“</w:t>
      </w:r>
      <w:r>
        <w:t xml:space="preserve">u</w:t>
      </w:r>
      <w:r>
        <w:t xml:space="preserve">”</w:t>
      </w:r>
      <w:r>
        <w:t xml:space="preserve"> </w:t>
      </w:r>
      <w:r>
        <w:t xml:space="preserve">(</w:t>
      </w:r>
      <w:r>
        <w:rPr>
          <w:bCs/>
          <w:b/>
        </w:rPr>
        <w:t xml:space="preserve">रोरुत्व</w:t>
      </w:r>
      <w:r>
        <w:t xml:space="preserve"> </w:t>
      </w:r>
      <w:r>
        <w:t xml:space="preserve">— the</w:t>
      </w:r>
      <w:r>
        <w:t xml:space="preserve"> </w:t>
      </w:r>
      <w:r>
        <w:t xml:space="preserve">“</w:t>
      </w:r>
      <w:r>
        <w:t xml:space="preserve">u</w:t>
      </w:r>
      <w:r>
        <w:t xml:space="preserve">”</w:t>
      </w:r>
      <w:r>
        <w:t xml:space="preserve">-substitute is prescribed on the ground of the very</w:t>
      </w:r>
      <w:r>
        <w:t xml:space="preserve"> </w:t>
      </w:r>
      <w:r>
        <w:t xml:space="preserve">“</w:t>
      </w:r>
      <w:r>
        <w:t xml:space="preserve">ru</w:t>
      </w:r>
      <w:r>
        <w:t xml:space="preserve">”</w:t>
      </w:r>
      <w:r>
        <w:t xml:space="preserve">); so</w:t>
      </w:r>
      <w:r>
        <w:t xml:space="preserve"> </w:t>
      </w:r>
      <w:r>
        <w:rPr>
          <w:bCs/>
          <w:b/>
        </w:rPr>
        <w:t xml:space="preserve">हशि च</w:t>
      </w:r>
      <w:r>
        <w:t xml:space="preserve"> </w:t>
      </w:r>
      <w:r>
        <w:t xml:space="preserve">(पा. ६-१-११४) turns</w:t>
      </w:r>
      <w:r>
        <w:t xml:space="preserve"> </w:t>
      </w:r>
      <w:r>
        <w:t xml:space="preserve">“</w:t>
      </w:r>
      <w:r>
        <w:t xml:space="preserve">ru</w:t>
      </w:r>
      <w:r>
        <w:t xml:space="preserve">”</w:t>
      </w:r>
      <w:r>
        <w:t xml:space="preserve"> </w:t>
      </w:r>
      <w:r>
        <w:t xml:space="preserve">into</w:t>
      </w:r>
      <w:r>
        <w:t xml:space="preserve"> </w:t>
      </w:r>
      <w:r>
        <w:t xml:space="preserve">“</w:t>
      </w:r>
      <w:r>
        <w:t xml:space="preserve">u</w:t>
      </w:r>
      <w:r>
        <w:t xml:space="preserve">”</w:t>
      </w:r>
      <w:r>
        <w:t xml:space="preserve"> </w:t>
      </w:r>
      <w:r>
        <w:t xml:space="preserve">before a</w:t>
      </w:r>
      <w:r>
        <w:t xml:space="preserve"> </w:t>
      </w:r>
      <w:r>
        <w:t xml:space="preserve">“</w:t>
      </w:r>
      <w:r>
        <w:t xml:space="preserve">haś</w:t>
      </w:r>
      <w:r>
        <w:t xml:space="preserve">”</w:t>
      </w:r>
      <w:r>
        <w:t xml:space="preserve"> </w:t>
      </w:r>
      <w:r>
        <w:t xml:space="preserve">letter →</w:t>
      </w:r>
      <w:r>
        <w:t xml:space="preserve"> </w:t>
      </w:r>
      <w:r>
        <w:t xml:space="preserve">“</w:t>
      </w:r>
      <w:r>
        <w:t xml:space="preserve">ya + u + rāyaḥ</w:t>
      </w:r>
      <w:r>
        <w:t xml:space="preserve">”</w:t>
      </w:r>
      <w:r>
        <w:t xml:space="preserve">;</w:t>
      </w:r>
      <w:r>
        <w:t xml:space="preserve"> </w:t>
      </w:r>
      <w:r>
        <w:rPr>
          <w:bCs/>
          <w:b/>
        </w:rPr>
        <w:t xml:space="preserve">आद्गुणः</w:t>
      </w:r>
      <w:r>
        <w:t xml:space="preserve"> </w:t>
      </w:r>
      <w:r>
        <w:t xml:space="preserve">(पा. ६-१-८७) →</w:t>
      </w:r>
      <w:r>
        <w:t xml:space="preserve"> </w:t>
      </w:r>
      <w:r>
        <w:t xml:space="preserve">“</w:t>
      </w:r>
      <w:r>
        <w:t xml:space="preserve">yo.</w:t>
      </w:r>
      <w:r>
        <w:t xml:space="preserve">”</w:t>
      </w:r>
      <w:r>
        <w:t xml:space="preserve"> </w:t>
      </w:r>
      <w:r>
        <w:t xml:space="preserve">The</w:t>
      </w:r>
      <w:r>
        <w:t xml:space="preserve"> </w:t>
      </w:r>
      <w:r>
        <w:t xml:space="preserve">“</w:t>
      </w:r>
      <w:r>
        <w:t xml:space="preserve">u</w:t>
      </w:r>
      <w:r>
        <w:t xml:space="preserve">”</w:t>
      </w:r>
      <w:r>
        <w:t xml:space="preserve"> </w:t>
      </w:r>
      <w:r>
        <w:t xml:space="preserve">that comes in the place of the consonant is unaccented; by guṇa, the resulting</w:t>
      </w:r>
      <w:r>
        <w:t xml:space="preserve"> </w:t>
      </w:r>
      <w:r>
        <w:t xml:space="preserve">“</w:t>
      </w:r>
      <w:r>
        <w:t xml:space="preserve">o</w:t>
      </w:r>
      <w:r>
        <w:t xml:space="preserve">”</w:t>
      </w:r>
      <w:r>
        <w:t xml:space="preserve"> </w:t>
      </w:r>
      <w:r>
        <w:t xml:space="preserve">in the place of the acute and the unaccented is acute by the same</w:t>
      </w:r>
      <w:r>
        <w:t xml:space="preserve"> </w:t>
      </w:r>
      <w:r>
        <w:rPr>
          <w:bCs/>
          <w:b/>
        </w:rPr>
        <w:t xml:space="preserve">एकादेश उदात्तेनोदात्तः</w:t>
      </w:r>
      <w:r>
        <w:t xml:space="preserve">; thus</w:t>
      </w:r>
      <w:r>
        <w:t xml:space="preserve"> </w:t>
      </w:r>
      <w:r>
        <w:t xml:space="preserve">“</w:t>
      </w:r>
      <w:r>
        <w:t xml:space="preserve">yo</w:t>
      </w:r>
      <w:r>
        <w:t xml:space="preserve">”</w:t>
      </w:r>
      <w:r>
        <w:t xml:space="preserve"> </w:t>
      </w:r>
      <w:r>
        <w:t xml:space="preserve">is acute.</w:t>
      </w:r>
      <w:r>
        <w:t xml:space="preserve"> </w:t>
      </w:r>
      <w:r>
        <w:t xml:space="preserve">-</w:t>
      </w:r>
      <w:r>
        <w:t xml:space="preserve"> </w:t>
      </w:r>
      <w:r>
        <w:rPr>
          <w:bCs/>
          <w:b/>
        </w:rPr>
        <w:t xml:space="preserve">“</w:t>
      </w:r>
      <w:r>
        <w:rPr>
          <w:bCs/>
          <w:b/>
        </w:rPr>
        <w:t xml:space="preserve">Rāyaḥ</w:t>
      </w:r>
      <w:r>
        <w:rPr>
          <w:bCs/>
          <w:b/>
        </w:rPr>
        <w:t xml:space="preserve">”</w:t>
      </w:r>
      <w:r>
        <w:t xml:space="preserve"> </w:t>
      </w:r>
      <w:r>
        <w:t xml:space="preserve">—</w:t>
      </w:r>
      <w:r>
        <w:t xml:space="preserve"> </w:t>
      </w:r>
      <w:r>
        <w:rPr>
          <w:bCs/>
          <w:b/>
        </w:rPr>
        <w:t xml:space="preserve">रातेर्डैः</w:t>
      </w:r>
      <w:r>
        <w:t xml:space="preserve"> </w:t>
      </w:r>
      <w:r>
        <w:t xml:space="preserve">(उ. सू. २-२२५ [?]): after</w:t>
      </w:r>
      <w:r>
        <w:t xml:space="preserve"> </w:t>
      </w:r>
      <w:r>
        <w:t xml:space="preserve">“</w:t>
      </w:r>
      <w:r>
        <w:t xml:space="preserve">rā dāne</w:t>
      </w:r>
      <w:r>
        <w:t xml:space="preserve">”</w:t>
      </w:r>
      <w:r>
        <w:t xml:space="preserve"> </w:t>
      </w:r>
      <w:r>
        <w:t xml:space="preserve">(to give) the affix</w:t>
      </w:r>
      <w:r>
        <w:t xml:space="preserve"> </w:t>
      </w:r>
      <w:r>
        <w:t xml:space="preserve">“</w:t>
      </w:r>
      <w:r>
        <w:t xml:space="preserve">dai</w:t>
      </w:r>
      <w:r>
        <w:t xml:space="preserve">”</w:t>
      </w:r>
      <w:r>
        <w:t xml:space="preserve">;</w:t>
      </w:r>
      <w:r>
        <w:t xml:space="preserve"> </w:t>
      </w:r>
      <w:r>
        <w:t xml:space="preserve">“</w:t>
      </w:r>
      <w:r>
        <w:t xml:space="preserve">ḍ</w:t>
      </w:r>
      <w:r>
        <w:t xml:space="preserve">”</w:t>
      </w:r>
      <w:r>
        <w:t xml:space="preserve"> </w:t>
      </w:r>
      <w:r>
        <w:t xml:space="preserve">is an</w:t>
      </w:r>
      <w:r>
        <w:t xml:space="preserve"> </w:t>
      </w:r>
      <w:r>
        <w:t xml:space="preserve">“</w:t>
      </w:r>
      <w:r>
        <w:t xml:space="preserve">it</w:t>
      </w:r>
      <w:r>
        <w:t xml:space="preserve">”</w:t>
      </w:r>
      <w:r>
        <w:t xml:space="preserve"> </w:t>
      </w:r>
      <w:r>
        <w:t xml:space="preserve">(</w:t>
      </w:r>
      <w:r>
        <w:rPr>
          <w:bCs/>
          <w:b/>
        </w:rPr>
        <w:t xml:space="preserve">चुटू</w:t>
      </w:r>
      <w:r>
        <w:t xml:space="preserve">, पा. १-३-७), and its elision leaves</w:t>
      </w:r>
      <w:r>
        <w:t xml:space="preserve"> </w:t>
      </w:r>
      <w:r>
        <w:t xml:space="preserve">“</w:t>
      </w:r>
      <w:r>
        <w:t xml:space="preserve">ai</w:t>
      </w:r>
      <w:r>
        <w:t xml:space="preserve">”</w:t>
      </w:r>
      <w:r>
        <w:t xml:space="preserve">;</w:t>
      </w:r>
      <w:r>
        <w:t xml:space="preserve"> </w:t>
      </w:r>
      <w:r>
        <w:t xml:space="preserve">“</w:t>
      </w:r>
      <w:r>
        <w:t xml:space="preserve">ṭi</w:t>
      </w:r>
      <w:r>
        <w:t xml:space="preserve">”</w:t>
      </w:r>
      <w:r>
        <w:t xml:space="preserve">-elision of the root’s</w:t>
      </w:r>
      <w:r>
        <w:t xml:space="preserve"> </w:t>
      </w:r>
      <w:r>
        <w:t xml:space="preserve">“</w:t>
      </w:r>
      <w:r>
        <w:t xml:space="preserve">ā</w:t>
      </w:r>
      <w:r>
        <w:t xml:space="preserve">”</w:t>
      </w:r>
      <w:r>
        <w:t xml:space="preserve"> </w:t>
      </w:r>
      <w:r>
        <w:t xml:space="preserve">(</w:t>
      </w:r>
      <w:r>
        <w:rPr>
          <w:bCs/>
          <w:b/>
        </w:rPr>
        <w:t xml:space="preserve">टेः</w:t>
      </w:r>
      <w:r>
        <w:t xml:space="preserve">) →</w:t>
      </w:r>
      <w:r>
        <w:t xml:space="preserve"> </w:t>
      </w:r>
      <w:r>
        <w:t xml:space="preserve">“</w:t>
      </w:r>
      <w:r>
        <w:t xml:space="preserve">r + ai</w:t>
      </w:r>
      <w:r>
        <w:t xml:space="preserve">”</w:t>
      </w:r>
      <w:r>
        <w:t xml:space="preserve"> </w:t>
      </w:r>
      <w:r>
        <w:t xml:space="preserve">=</w:t>
      </w:r>
      <w:r>
        <w:t xml:space="preserve"> </w:t>
      </w:r>
      <w:r>
        <w:t xml:space="preserve">“</w:t>
      </w:r>
      <w:r>
        <w:t xml:space="preserve">rai</w:t>
      </w:r>
      <w:r>
        <w:t xml:space="preserve">”</w:t>
      </w:r>
      <w:r>
        <w:t xml:space="preserve">; the stem is end-acute by the affix’s accent. The sixth-case singular</w:t>
      </w:r>
      <w:r>
        <w:t xml:space="preserve"> </w:t>
      </w:r>
      <w:r>
        <w:t xml:space="preserve">“</w:t>
      </w:r>
      <w:r>
        <w:t xml:space="preserve">jas/ṅas</w:t>
      </w:r>
      <w:r>
        <w:t xml:space="preserve">”</w:t>
      </w:r>
      <w:r>
        <w:t xml:space="preserve"> </w:t>
      </w:r>
      <w:r>
        <w:t xml:space="preserve">→</w:t>
      </w:r>
      <w:r>
        <w:t xml:space="preserve"> </w:t>
      </w:r>
      <w:r>
        <w:t xml:space="preserve">“</w:t>
      </w:r>
      <w:r>
        <w:t xml:space="preserve">rai + as</w:t>
      </w:r>
      <w:r>
        <w:t xml:space="preserve">”</w:t>
      </w:r>
      <w:r>
        <w:t xml:space="preserve">;</w:t>
      </w:r>
      <w:r>
        <w:t xml:space="preserve"> </w:t>
      </w:r>
      <w:r>
        <w:rPr>
          <w:bCs/>
          <w:b/>
        </w:rPr>
        <w:t xml:space="preserve">एचोऽयवायावः</w:t>
      </w:r>
      <w:r>
        <w:t xml:space="preserve"> </w:t>
      </w:r>
      <w:r>
        <w:t xml:space="preserve">(पा. ६-१-७८) gives</w:t>
      </w:r>
      <w:r>
        <w:t xml:space="preserve"> </w:t>
      </w:r>
      <w:r>
        <w:t xml:space="preserve">“</w:t>
      </w:r>
      <w:r>
        <w:t xml:space="preserve">ay</w:t>
      </w:r>
      <w:r>
        <w:t xml:space="preserve">”</w:t>
      </w:r>
      <w:r>
        <w:t xml:space="preserve"> </w:t>
      </w:r>
      <w:r>
        <w:t xml:space="preserve">for</w:t>
      </w:r>
      <w:r>
        <w:t xml:space="preserve"> </w:t>
      </w:r>
      <w:r>
        <w:t xml:space="preserve">“</w:t>
      </w:r>
      <w:r>
        <w:t xml:space="preserve">ai</w:t>
      </w:r>
      <w:r>
        <w:t xml:space="preserve">”</w:t>
      </w:r>
      <w:r>
        <w:t xml:space="preserve"> </w:t>
      </w:r>
      <w:r>
        <w:t xml:space="preserve">→</w:t>
      </w:r>
      <w:r>
        <w:t xml:space="preserve"> </w:t>
      </w:r>
      <w:r>
        <w:t xml:space="preserve">“</w:t>
      </w:r>
      <w:r>
        <w:t xml:space="preserve">rāy-as,</w:t>
      </w:r>
      <w:r>
        <w:t xml:space="preserve">”</w:t>
      </w:r>
      <w:r>
        <w:t xml:space="preserve"> </w:t>
      </w:r>
      <w:r>
        <w:t xml:space="preserve">then</w:t>
      </w:r>
      <w:r>
        <w:t xml:space="preserve"> </w:t>
      </w:r>
      <w:r>
        <w:t xml:space="preserve">“</w:t>
      </w:r>
      <w:r>
        <w:t xml:space="preserve">ru</w:t>
      </w:r>
      <w:r>
        <w:t xml:space="preserve">”</w:t>
      </w:r>
      <w:r>
        <w:t xml:space="preserve"> </w:t>
      </w:r>
      <w:r>
        <w:t xml:space="preserve">and visarga →</w:t>
      </w:r>
      <w:r>
        <w:t xml:space="preserve"> </w:t>
      </w:r>
      <w:r>
        <w:t xml:space="preserve">“</w:t>
      </w:r>
      <w:r>
        <w:t xml:space="preserve">rāyaḥ.</w:t>
      </w:r>
      <w:r>
        <w:t xml:space="preserve">”</w:t>
      </w:r>
      <w:r>
        <w:t xml:space="preserve"> </w:t>
      </w:r>
      <w:r>
        <w:t xml:space="preserve">The case-ending is unaccented by</w:t>
      </w:r>
      <w:r>
        <w:t xml:space="preserve"> </w:t>
      </w:r>
      <w:r>
        <w:rPr>
          <w:bCs/>
          <w:b/>
        </w:rPr>
        <w:t xml:space="preserve">अनुदात्तौ सुप्पितौ</w:t>
      </w:r>
      <w:r>
        <w:t xml:space="preserve"> </w:t>
      </w:r>
      <w:r>
        <w:t xml:space="preserve">(पा. ३-१-४), so the</w:t>
      </w:r>
      <w:r>
        <w:t xml:space="preserve"> </w:t>
      </w:r>
      <w:r>
        <w:t xml:space="preserve">“</w:t>
      </w:r>
      <w:r>
        <w:t xml:space="preserve">ā</w:t>
      </w:r>
      <w:r>
        <w:t xml:space="preserve">”</w:t>
      </w:r>
      <w:r>
        <w:t xml:space="preserve"> </w:t>
      </w:r>
      <w:r>
        <w:t xml:space="preserve">of</w:t>
      </w:r>
      <w:r>
        <w:t xml:space="preserve"> </w:t>
      </w:r>
      <w:r>
        <w:t xml:space="preserve">“</w:t>
      </w:r>
      <w:r>
        <w:t xml:space="preserve">rā,</w:t>
      </w:r>
      <w:r>
        <w:t xml:space="preserve">”</w:t>
      </w:r>
      <w:r>
        <w:t xml:space="preserve"> </w:t>
      </w:r>
      <w:r>
        <w:t xml:space="preserve">being acute by the affix’s accent, would stand; but</w:t>
      </w:r>
      <w:r>
        <w:t xml:space="preserve"> </w:t>
      </w:r>
      <w:r>
        <w:rPr>
          <w:bCs/>
          <w:b/>
        </w:rPr>
        <w:t xml:space="preserve">ऊडिदम्पदाद्यप्पुम्रैद्युभ्यः</w:t>
      </w:r>
      <w:r>
        <w:t xml:space="preserve"> </w:t>
      </w:r>
      <w:r>
        <w:t xml:space="preserve">(पा. ६-१-१७१) makes the case-ending (non-sarvanāmasthāna) acute after</w:t>
      </w:r>
      <w:r>
        <w:t xml:space="preserve"> </w:t>
      </w:r>
      <w:r>
        <w:t xml:space="preserve">“</w:t>
      </w:r>
      <w:r>
        <w:t xml:space="preserve">rai,</w:t>
      </w:r>
      <w:r>
        <w:t xml:space="preserve">”</w:t>
      </w:r>
      <w:r>
        <w:t xml:space="preserve"> </w:t>
      </w:r>
      <w:r>
        <w:t xml:space="preserve">so the sixth-case ending of</w:t>
      </w:r>
      <w:r>
        <w:t xml:space="preserve"> </w:t>
      </w:r>
      <w:r>
        <w:t xml:space="preserve">“</w:t>
      </w:r>
      <w:r>
        <w:t xml:space="preserve">rāyaḥ</w:t>
      </w:r>
      <w:r>
        <w:t xml:space="preserve">”</w:t>
      </w:r>
      <w:r>
        <w:t xml:space="preserve"> </w:t>
      </w:r>
      <w:r>
        <w:t xml:space="preserve">is acute; hence</w:t>
      </w:r>
      <w:r>
        <w:t xml:space="preserve"> </w:t>
      </w:r>
      <w:r>
        <w:t xml:space="preserve">“</w:t>
      </w:r>
      <w:r>
        <w:t xml:space="preserve">rāyaḥ</w:t>
      </w:r>
      <w:r>
        <w:t xml:space="preserve">”</w:t>
      </w:r>
      <w:r>
        <w:t xml:space="preserve"> </w:t>
      </w:r>
      <w:r>
        <w:t xml:space="preserve">is end-acute. When</w:t>
      </w:r>
      <w:r>
        <w:t xml:space="preserve"> </w:t>
      </w:r>
      <w:r>
        <w:t xml:space="preserve">“</w:t>
      </w:r>
      <w:r>
        <w:t xml:space="preserve">rāyaḥ</w:t>
      </w:r>
      <w:r>
        <w:t xml:space="preserve">”</w:t>
      </w:r>
      <w:r>
        <w:t xml:space="preserve"> </w:t>
      </w:r>
      <w:r>
        <w:t xml:space="preserve">is joined with</w:t>
      </w:r>
      <w:r>
        <w:t xml:space="preserve"> </w:t>
      </w:r>
      <w:r>
        <w:t xml:space="preserve">“</w:t>
      </w:r>
      <w:r>
        <w:t xml:space="preserve">avaniḥ</w:t>
      </w:r>
      <w:r>
        <w:t xml:space="preserve">”</w:t>
      </w:r>
      <w:r>
        <w:t xml:space="preserve"> </w:t>
      </w:r>
      <w:r>
        <w:t xml:space="preserve">in the saṃhitā, the</w:t>
      </w:r>
      <w:r>
        <w:t xml:space="preserve"> </w:t>
      </w:r>
      <w:r>
        <w:t xml:space="preserve">“</w:t>
      </w:r>
      <w:r>
        <w:t xml:space="preserve">tripādī</w:t>
      </w:r>
      <w:r>
        <w:t xml:space="preserve">”</w:t>
      </w:r>
      <w:r>
        <w:t xml:space="preserve"> </w:t>
      </w:r>
      <w:r>
        <w:t xml:space="preserve">visarga is</w:t>
      </w:r>
      <w:r>
        <w:t xml:space="preserve"> </w:t>
      </w:r>
      <w:r>
        <w:t xml:space="preserve">“</w:t>
      </w:r>
      <w:r>
        <w:t xml:space="preserve">asiddha,</w:t>
      </w:r>
      <w:r>
        <w:t xml:space="preserve">”</w:t>
      </w:r>
      <w:r>
        <w:t xml:space="preserve"> </w:t>
      </w:r>
      <w:r>
        <w:t xml:space="preserve">and</w:t>
      </w:r>
      <w:r>
        <w:t xml:space="preserve"> </w:t>
      </w:r>
      <w:r>
        <w:t xml:space="preserve">“</w:t>
      </w:r>
      <w:r>
        <w:t xml:space="preserve">rāyas + avaniḥ</w:t>
      </w:r>
      <w:r>
        <w:t xml:space="preserve">”</w:t>
      </w:r>
      <w:r>
        <w:t xml:space="preserve">:</w:t>
      </w:r>
      <w:r>
        <w:t xml:space="preserve"> </w:t>
      </w:r>
      <w:r>
        <w:rPr>
          <w:bCs/>
          <w:b/>
        </w:rPr>
        <w:t xml:space="preserve">ससजुषो रुः</w:t>
      </w:r>
      <w:r>
        <w:t xml:space="preserve"> </w:t>
      </w:r>
      <w:r>
        <w:t xml:space="preserve">(पा. ८-२-६६) gives</w:t>
      </w:r>
      <w:r>
        <w:t xml:space="preserve"> </w:t>
      </w:r>
      <w:r>
        <w:t xml:space="preserve">“</w:t>
      </w:r>
      <w:r>
        <w:t xml:space="preserve">ru,</w:t>
      </w:r>
      <w:r>
        <w:t xml:space="preserve">”</w:t>
      </w:r>
      <w:r>
        <w:t xml:space="preserve"> </w:t>
      </w:r>
      <w:r>
        <w:t xml:space="preserve">and then</w:t>
      </w:r>
      <w:r>
        <w:t xml:space="preserve"> </w:t>
      </w:r>
      <w:r>
        <w:rPr>
          <w:bCs/>
          <w:b/>
        </w:rPr>
        <w:t xml:space="preserve">अतो रोरप्लुतादप्लुते</w:t>
      </w:r>
      <w:r>
        <w:t xml:space="preserve"> </w:t>
      </w:r>
      <w:r>
        <w:t xml:space="preserve">(पा. ६-१-११३) turns the</w:t>
      </w:r>
      <w:r>
        <w:t xml:space="preserve"> </w:t>
      </w:r>
      <w:r>
        <w:t xml:space="preserve">“</w:t>
      </w:r>
      <w:r>
        <w:t xml:space="preserve">ru</w:t>
      </w:r>
      <w:r>
        <w:t xml:space="preserve">”</w:t>
      </w:r>
      <w:r>
        <w:t xml:space="preserve"> </w:t>
      </w:r>
      <w:r>
        <w:t xml:space="preserve">after a short</w:t>
      </w:r>
      <w:r>
        <w:t xml:space="preserve"> </w:t>
      </w:r>
      <w:r>
        <w:t xml:space="preserve">“</w:t>
      </w:r>
      <w:r>
        <w:t xml:space="preserve">a</w:t>
      </w:r>
      <w:r>
        <w:t xml:space="preserve">”</w:t>
      </w:r>
      <w:r>
        <w:t xml:space="preserve"> </w:t>
      </w:r>
      <w:r>
        <w:t xml:space="preserve">into</w:t>
      </w:r>
      <w:r>
        <w:t xml:space="preserve"> </w:t>
      </w:r>
      <w:r>
        <w:t xml:space="preserve">“</w:t>
      </w:r>
      <w:r>
        <w:t xml:space="preserve">u</w:t>
      </w:r>
      <w:r>
        <w:t xml:space="preserve">”</w:t>
      </w:r>
      <w:r>
        <w:t xml:space="preserve"> </w:t>
      </w:r>
      <w:r>
        <w:t xml:space="preserve">before a short</w:t>
      </w:r>
      <w:r>
        <w:t xml:space="preserve"> </w:t>
      </w:r>
      <w:r>
        <w:t xml:space="preserve">“</w:t>
      </w:r>
      <w:r>
        <w:t xml:space="preserve">a</w:t>
      </w:r>
      <w:r>
        <w:t xml:space="preserve">”</w:t>
      </w:r>
      <w:r>
        <w:t xml:space="preserve"> </w:t>
      </w:r>
      <w:r>
        <w:t xml:space="preserve">→</w:t>
      </w:r>
      <w:r>
        <w:t xml:space="preserve"> </w:t>
      </w:r>
      <w:r>
        <w:t xml:space="preserve">“</w:t>
      </w:r>
      <w:r>
        <w:t xml:space="preserve">rāya + u + avaniḥ</w:t>
      </w:r>
      <w:r>
        <w:t xml:space="preserve">”</w:t>
      </w:r>
      <w:r>
        <w:t xml:space="preserve"> </w:t>
      </w:r>
      <w:r>
        <w:t xml:space="preserve">…</w:t>
      </w:r>
    </w:p>
    <w:p>
      <w:pPr>
        <w:pStyle w:val="BodyText"/>
      </w:pPr>
      <w:r>
        <w:rPr>
          <w:bCs/>
          <w:b/>
        </w:rPr>
        <w:t xml:space="preserve">p. 134.</w:t>
      </w:r>
      <w:r>
        <w:t xml:space="preserve"> </w:t>
      </w:r>
      <w:r>
        <w:rPr>
          <w:iCs/>
          <w:i/>
        </w:rPr>
        <w:t xml:space="preserve">(Continuing:)</w:t>
      </w:r>
      <w:r>
        <w:t xml:space="preserve"> </w:t>
      </w:r>
      <w:r>
        <w:t xml:space="preserve">…the</w:t>
      </w:r>
      <w:r>
        <w:t xml:space="preserve"> </w:t>
      </w:r>
      <w:r>
        <w:t xml:space="preserve">“</w:t>
      </w:r>
      <w:r>
        <w:t xml:space="preserve">u</w:t>
      </w:r>
      <w:r>
        <w:t xml:space="preserve">”</w:t>
      </w:r>
      <w:r>
        <w:t xml:space="preserve"> </w:t>
      </w:r>
      <w:r>
        <w:t xml:space="preserve">has taken the place of a consonant, and by</w:t>
      </w:r>
      <w:r>
        <w:t xml:space="preserve"> </w:t>
      </w:r>
      <w:r>
        <w:rPr>
          <w:bCs/>
          <w:b/>
        </w:rPr>
        <w:t xml:space="preserve">स्थानिवद्भाव</w:t>
      </w:r>
      <w:r>
        <w:t xml:space="preserve"> </w:t>
      </w:r>
      <w:r>
        <w:t xml:space="preserve">is unaccented (</w:t>
      </w:r>
      <w:r>
        <w:t xml:space="preserve">“</w:t>
      </w:r>
      <w:r>
        <w:t xml:space="preserve">vyañjanam anudāttam</w:t>
      </w:r>
      <w:r>
        <w:t xml:space="preserve">”</w:t>
      </w:r>
      <w:r>
        <w:t xml:space="preserve"> </w:t>
      </w:r>
      <w:r>
        <w:t xml:space="preserve">— the rule that consonants are unaccented, which must not be forgotten). Then</w:t>
      </w:r>
      <w:r>
        <w:t xml:space="preserve"> </w:t>
      </w:r>
      <w:r>
        <w:t xml:space="preserve">“</w:t>
      </w:r>
      <w:r>
        <w:t xml:space="preserve">rāya + u</w:t>
      </w:r>
      <w:r>
        <w:t xml:space="preserve">”</w:t>
      </w:r>
      <w:r>
        <w:t xml:space="preserve"> </w:t>
      </w:r>
      <w:r>
        <w:t xml:space="preserve">— two</w:t>
      </w:r>
      <w:r>
        <w:t xml:space="preserve"> </w:t>
      </w:r>
      <w:r>
        <w:t xml:space="preserve">“</w:t>
      </w:r>
      <w:r>
        <w:t xml:space="preserve">a/u</w:t>
      </w:r>
      <w:r>
        <w:t xml:space="preserve">”</w:t>
      </w:r>
      <w:r>
        <w:t xml:space="preserve"> </w:t>
      </w:r>
      <w:r>
        <w:t xml:space="preserve">vowels — takes guṇa and becomes</w:t>
      </w:r>
      <w:r>
        <w:t xml:space="preserve"> </w:t>
      </w:r>
      <w:r>
        <w:t xml:space="preserve">“</w:t>
      </w:r>
      <w:r>
        <w:t xml:space="preserve">o</w:t>
      </w:r>
      <w:r>
        <w:t xml:space="preserve">”</w:t>
      </w:r>
      <w:r>
        <w:t xml:space="preserve">: this</w:t>
      </w:r>
      <w:r>
        <w:t xml:space="preserve"> </w:t>
      </w:r>
      <w:r>
        <w:t xml:space="preserve">“</w:t>
      </w:r>
      <w:r>
        <w:t xml:space="preserve">o</w:t>
      </w:r>
      <w:r>
        <w:t xml:space="preserve">”</w:t>
      </w:r>
      <w:r>
        <w:t xml:space="preserve"> </w:t>
      </w:r>
      <w:r>
        <w:t xml:space="preserve">is in the place of the acute</w:t>
      </w:r>
      <w:r>
        <w:t xml:space="preserve"> </w:t>
      </w:r>
      <w:r>
        <w:t xml:space="preserve">“</w:t>
      </w:r>
      <w:r>
        <w:t xml:space="preserve">a</w:t>
      </w:r>
      <w:r>
        <w:t xml:space="preserve">”</w:t>
      </w:r>
      <w:r>
        <w:t xml:space="preserve"> </w:t>
      </w:r>
      <w:r>
        <w:t xml:space="preserve">of</w:t>
      </w:r>
      <w:r>
        <w:t xml:space="preserve"> </w:t>
      </w:r>
      <w:r>
        <w:t xml:space="preserve">“</w:t>
      </w:r>
      <w:r>
        <w:t xml:space="preserve">rāya</w:t>
      </w:r>
      <w:r>
        <w:t xml:space="preserve">”</w:t>
      </w:r>
      <w:r>
        <w:t xml:space="preserve"> </w:t>
      </w:r>
      <w:r>
        <w:t xml:space="preserve">and the unaccented</w:t>
      </w:r>
      <w:r>
        <w:t xml:space="preserve"> </w:t>
      </w:r>
      <w:r>
        <w:t xml:space="preserve">“</w:t>
      </w:r>
      <w:r>
        <w:t xml:space="preserve">u,</w:t>
      </w:r>
      <w:r>
        <w:t xml:space="preserve">”</w:t>
      </w:r>
      <w:r>
        <w:t xml:space="preserve"> </w:t>
      </w:r>
      <w:r>
        <w:t xml:space="preserve">and so by</w:t>
      </w:r>
      <w:r>
        <w:t xml:space="preserve"> </w:t>
      </w:r>
      <w:r>
        <w:rPr>
          <w:bCs/>
          <w:b/>
        </w:rPr>
        <w:t xml:space="preserve">स्थानिवद्भाव</w:t>
      </w:r>
      <w:r>
        <w:t xml:space="preserve"> </w:t>
      </w:r>
      <w:r>
        <w:t xml:space="preserve">should be svarita; but the special rule</w:t>
      </w:r>
      <w:r>
        <w:t xml:space="preserve"> </w:t>
      </w:r>
      <w:r>
        <w:rPr>
          <w:bCs/>
          <w:b/>
        </w:rPr>
        <w:t xml:space="preserve">एकादेश उदात्तेनोदात्तः</w:t>
      </w:r>
      <w:r>
        <w:t xml:space="preserve"> </w:t>
      </w:r>
      <w:r>
        <w:t xml:space="preserve">makes it acute. For</w:t>
      </w:r>
      <w:r>
        <w:t xml:space="preserve"> </w:t>
      </w:r>
      <w:r>
        <w:t xml:space="preserve">“</w:t>
      </w:r>
      <w:r>
        <w:t xml:space="preserve">rāyo ’vaniḥ</w:t>
      </w:r>
      <w:r>
        <w:t xml:space="preserve">”</w:t>
      </w:r>
      <w:r>
        <w:t xml:space="preserve"> </w:t>
      </w:r>
      <w:r>
        <w:rPr>
          <w:bCs/>
          <w:b/>
        </w:rPr>
        <w:t xml:space="preserve">एङः पदान्तादति</w:t>
      </w:r>
      <w:r>
        <w:t xml:space="preserve"> </w:t>
      </w:r>
      <w:r>
        <w:t xml:space="preserve">(पा. ६-१-१०९) — after a pada-final</w:t>
      </w:r>
      <w:r>
        <w:t xml:space="preserve"> </w:t>
      </w:r>
      <w:r>
        <w:t xml:space="preserve">“</w:t>
      </w:r>
      <w:r>
        <w:t xml:space="preserve">e/o</w:t>
      </w:r>
      <w:r>
        <w:t xml:space="preserve">”</w:t>
      </w:r>
      <w:r>
        <w:t xml:space="preserve"> </w:t>
      </w:r>
      <w:r>
        <w:t xml:space="preserve">a following short</w:t>
      </w:r>
      <w:r>
        <w:t xml:space="preserve"> </w:t>
      </w:r>
      <w:r>
        <w:t xml:space="preserve">“</w:t>
      </w:r>
      <w:r>
        <w:t xml:space="preserve">a</w:t>
      </w:r>
      <w:r>
        <w:t xml:space="preserve">”</w:t>
      </w:r>
      <w:r>
        <w:t xml:space="preserve"> </w:t>
      </w:r>
      <w:r>
        <w:t xml:space="preserve">is absorbed, the earlier form remaining — gives</w:t>
      </w:r>
      <w:r>
        <w:t xml:space="preserve"> </w:t>
      </w:r>
      <w:r>
        <w:t xml:space="preserve">“</w:t>
      </w:r>
      <w:r>
        <w:t xml:space="preserve">o</w:t>
      </w:r>
      <w:r>
        <w:t xml:space="preserve">”</w:t>
      </w:r>
      <w:r>
        <w:t xml:space="preserve"> </w:t>
      </w:r>
      <w:r>
        <w:t xml:space="preserve">with the</w:t>
      </w:r>
      <w:r>
        <w:t xml:space="preserve"> </w:t>
      </w:r>
      <w:r>
        <w:t xml:space="preserve">“</w:t>
      </w:r>
      <w:r>
        <w:t xml:space="preserve">a</w:t>
      </w:r>
      <w:r>
        <w:t xml:space="preserve">”</w:t>
      </w:r>
      <w:r>
        <w:t xml:space="preserve"> </w:t>
      </w:r>
      <w:r>
        <w:t xml:space="preserve">of</w:t>
      </w:r>
      <w:r>
        <w:t xml:space="preserve"> </w:t>
      </w:r>
      <w:r>
        <w:t xml:space="preserve">“</w:t>
      </w:r>
      <w:r>
        <w:t xml:space="preserve">avaniḥ</w:t>
      </w:r>
      <w:r>
        <w:t xml:space="preserve">”</w:t>
      </w:r>
      <w:r>
        <w:t xml:space="preserve"> </w:t>
      </w:r>
      <w:r>
        <w:t xml:space="preserve">absorbed (</w:t>
      </w:r>
      <w:r>
        <w:rPr>
          <w:bCs/>
          <w:b/>
        </w:rPr>
        <w:t xml:space="preserve">ओ + अ → ओऽ</w:t>
      </w:r>
      <w:r>
        <w:t xml:space="preserve">), the avagraha sign.</w:t>
      </w:r>
      <w:r>
        <w:t xml:space="preserve"> </w:t>
      </w:r>
      <w:r>
        <w:rPr>
          <w:bCs/>
          <w:b/>
        </w:rPr>
        <w:t xml:space="preserve">This</w:t>
      </w:r>
      <w:r>
        <w:rPr>
          <w:bCs/>
          <w:b/>
        </w:rPr>
        <w:t xml:space="preserve"> </w:t>
      </w:r>
      <w:r>
        <w:rPr>
          <w:bCs/>
          <w:b/>
        </w:rPr>
        <w:t xml:space="preserve">“</w:t>
      </w:r>
      <w:r>
        <w:rPr>
          <w:bCs/>
          <w:b/>
        </w:rPr>
        <w:t xml:space="preserve">o</w:t>
      </w:r>
      <w:r>
        <w:rPr>
          <w:bCs/>
          <w:b/>
        </w:rPr>
        <w:t xml:space="preserve">”</w:t>
      </w:r>
      <w:r>
        <w:rPr>
          <w:bCs/>
          <w:b/>
        </w:rPr>
        <w:t xml:space="preserve"> </w:t>
      </w:r>
      <w:r>
        <w:rPr>
          <w:bCs/>
          <w:b/>
        </w:rPr>
        <w:t xml:space="preserve">arises in the place of the acute and the unaccented</w:t>
      </w:r>
      <w:r>
        <w:t xml:space="preserve">; hence a svarita would arise by sthānivadbhāva; but by the special rule an acute is prescribed. Then comes the key point of the page:</w:t>
      </w:r>
      <w:r>
        <w:t xml:space="preserve"> </w:t>
      </w:r>
      <w:r>
        <w:rPr>
          <w:bCs/>
          <w:b/>
        </w:rPr>
        <w:t xml:space="preserve">स्वरितो वानुदात्ते पदादौ</w:t>
      </w:r>
      <w:r>
        <w:t xml:space="preserve"> </w:t>
      </w:r>
      <w:r>
        <w:t xml:space="preserve">(पा. ८-२-६) — when an unaccented vowel at the beginning of a pada follows an acute, the single substitute of the acute and unaccented may optionally be a svarita — so a svarita arises. This svarita is of the</w:t>
      </w:r>
      <w:r>
        <w:t xml:space="preserve"> </w:t>
      </w:r>
      <w:r>
        <w:t xml:space="preserve">“</w:t>
      </w:r>
      <w:r>
        <w:t xml:space="preserve">jātya</w:t>
      </w:r>
      <w:r>
        <w:t xml:space="preserve">”</w:t>
      </w:r>
      <w:r>
        <w:t xml:space="preserve"> </w:t>
      </w:r>
      <w:r>
        <w:t xml:space="preserve">kind … (the</w:t>
      </w:r>
      <w:r>
        <w:t xml:space="preserve"> </w:t>
      </w:r>
      <w:r>
        <w:t xml:space="preserve">“</w:t>
      </w:r>
      <w:r>
        <w:t xml:space="preserve">kampa</w:t>
      </w:r>
      <w:r>
        <w:t xml:space="preserve">”</w:t>
      </w:r>
      <w:r>
        <w:t xml:space="preserve"> </w:t>
      </w:r>
      <w:r>
        <w:t xml:space="preserve">argument): when an acute or unaccented vowel follows a svarita of this type, the hearing of the acute and unaccented parts is not clear unless the one letter is repeated; so, to show the acute with one letter and the unaccented with the repeated one, the Vaidikas write the numeral</w:t>
      </w:r>
      <w:r>
        <w:t xml:space="preserve"> </w:t>
      </w:r>
      <w:r>
        <w:t xml:space="preserve">“</w:t>
      </w:r>
      <w:r>
        <w:t xml:space="preserve">3</w:t>
      </w:r>
      <w:r>
        <w:t xml:space="preserve">”</w:t>
      </w:r>
      <w:r>
        <w:t xml:space="preserve"> </w:t>
      </w:r>
      <w:r>
        <w:t xml:space="preserve">after the syllable — which they call</w:t>
      </w:r>
      <w:r>
        <w:t xml:space="preserve"> </w:t>
      </w:r>
      <w:r>
        <w:t xml:space="preserve">“</w:t>
      </w:r>
      <w:r>
        <w:t xml:space="preserve">kampa</w:t>
      </w:r>
      <w:r>
        <w:t xml:space="preserve">”</w:t>
      </w:r>
      <w:r>
        <w:t xml:space="preserve"> </w:t>
      </w:r>
      <w:r>
        <w:t xml:space="preserve">(cf. p. 132). Hence the figure</w:t>
      </w:r>
      <w:r>
        <w:t xml:space="preserve"> </w:t>
      </w:r>
      <w:r>
        <w:t xml:space="preserve">“</w:t>
      </w:r>
      <w:r>
        <w:t xml:space="preserve">3</w:t>
      </w:r>
      <w:r>
        <w:t xml:space="preserve">”</w:t>
      </w:r>
      <w:r>
        <w:t xml:space="preserve"> </w:t>
      </w:r>
      <w:r>
        <w:t xml:space="preserve">is written after the</w:t>
      </w:r>
      <w:r>
        <w:t xml:space="preserve"> </w:t>
      </w:r>
      <w:r>
        <w:t xml:space="preserve">“</w:t>
      </w:r>
      <w:r>
        <w:t xml:space="preserve">o</w:t>
      </w:r>
      <w:r>
        <w:t xml:space="preserve">”</w:t>
      </w:r>
      <w:r>
        <w:t xml:space="preserve"> </w:t>
      </w:r>
      <w:r>
        <w:t xml:space="preserve">of</w:t>
      </w:r>
      <w:r>
        <w:t xml:space="preserve"> </w:t>
      </w:r>
      <w:r>
        <w:t xml:space="preserve">“</w:t>
      </w:r>
      <w:r>
        <w:t xml:space="preserve">rāyo ’vaniḥ</w:t>
      </w:r>
      <w:r>
        <w:t xml:space="preserve">”</w:t>
      </w:r>
      <w:r>
        <w:t xml:space="preserve">;</w:t>
      </w:r>
      <w:r>
        <w:t xml:space="preserve"> </w:t>
      </w:r>
      <w:r>
        <w:t xml:space="preserve">“</w:t>
      </w:r>
      <w:r>
        <w:t xml:space="preserve">3</w:t>
      </w:r>
      <w:r>
        <w:t xml:space="preserve">”</w:t>
      </w:r>
      <w:r>
        <w:t xml:space="preserve"> </w:t>
      </w:r>
      <w:r>
        <w:t xml:space="preserve">signifies the svarita as explained.</w:t>
      </w:r>
      <w:r>
        <w:t xml:space="preserve"> </w:t>
      </w:r>
      <w:r>
        <w:t xml:space="preserve">-</w:t>
      </w:r>
      <w:r>
        <w:t xml:space="preserve"> </w:t>
      </w:r>
      <w:r>
        <w:rPr>
          <w:bCs/>
          <w:b/>
        </w:rPr>
        <w:t xml:space="preserve">“</w:t>
      </w:r>
      <w:r>
        <w:rPr>
          <w:bCs/>
          <w:b/>
        </w:rPr>
        <w:t xml:space="preserve">Avaniḥ</w:t>
      </w:r>
      <w:r>
        <w:rPr>
          <w:bCs/>
          <w:b/>
        </w:rPr>
        <w:t xml:space="preserve">”</w:t>
      </w:r>
      <w:r>
        <w:t xml:space="preserve"> </w:t>
      </w:r>
      <w:r>
        <w:t xml:space="preserve">—</w:t>
      </w:r>
      <w:r>
        <w:t xml:space="preserve"> </w:t>
      </w:r>
      <w:r>
        <w:t xml:space="preserve">“</w:t>
      </w:r>
      <w:r>
        <w:t xml:space="preserve">av</w:t>
      </w:r>
      <w:r>
        <w:t xml:space="preserve">”</w:t>
      </w:r>
      <w:r>
        <w:t xml:space="preserve"> </w:t>
      </w:r>
      <w:r>
        <w:t xml:space="preserve">(to protect), whose senses the dhātupāṭha lists at length (</w:t>
      </w:r>
      <w:r>
        <w:t xml:space="preserve">“</w:t>
      </w:r>
      <w:r>
        <w:t xml:space="preserve">rakṣaṇa, gati, prīti, tṛpti, avagama, praveśa, śravaṇa, svāmy-artha, yācana, kriyecchā-dīpti, vāpty-āliṅgana-hiṃsādāna-bhāva-vṛddhi</w:t>
      </w:r>
      <w:r>
        <w:t xml:space="preserve">”</w:t>
      </w:r>
      <w:r>
        <w:t xml:space="preserve"> </w:t>
      </w:r>
      <w:r>
        <w:t xml:space="preserve">— as printed:</w:t>
      </w:r>
      <w:r>
        <w:t xml:space="preserve"> </w:t>
      </w:r>
      <w:r>
        <w:rPr>
          <w:bCs/>
          <w:b/>
        </w:rPr>
        <w:t xml:space="preserve">अव रक्षणगतिप्रीतितृप्त्यवगमप्रवेशश्रवणस्वाम्यर्थयाचनक्रियेच्छादीप्त्यवाप्त्यालिङ्गनहिंसादानभावृद्धिषु</w:t>
      </w:r>
      <w:r>
        <w:t xml:space="preserve">); after it the affix</w:t>
      </w:r>
      <w:r>
        <w:t xml:space="preserve"> </w:t>
      </w:r>
      <w:r>
        <w:t xml:space="preserve">“</w:t>
      </w:r>
      <w:r>
        <w:t xml:space="preserve">ani</w:t>
      </w:r>
      <w:r>
        <w:t xml:space="preserve">”</w:t>
      </w:r>
      <w:r>
        <w:t xml:space="preserve"> </w:t>
      </w:r>
      <w:r>
        <w:t xml:space="preserve">by the Uṇādi</w:t>
      </w:r>
      <w:r>
        <w:t xml:space="preserve"> </w:t>
      </w:r>
      <w:r>
        <w:rPr>
          <w:bCs/>
          <w:b/>
        </w:rPr>
        <w:t xml:space="preserve">अर्तिसृधृधम्यम्यश्यवितृभ्योऽनिः</w:t>
      </w:r>
      <w:r>
        <w:t xml:space="preserve"> </w:t>
      </w:r>
      <w:r>
        <w:t xml:space="preserve">(उ. सू. २-२६० [as printed]; the print glosses the eight roots:</w:t>
      </w:r>
      <w:r>
        <w:t xml:space="preserve"> </w:t>
      </w:r>
      <w:r>
        <w:t xml:space="preserve">“</w:t>
      </w:r>
      <w:r>
        <w:t xml:space="preserve">ṛ gatau,</w:t>
      </w:r>
      <w:r>
        <w:t xml:space="preserve">”</w:t>
      </w:r>
      <w:r>
        <w:t xml:space="preserve"> </w:t>
      </w:r>
      <w:r>
        <w:t xml:space="preserve">“</w:t>
      </w:r>
      <w:r>
        <w:t xml:space="preserve">sṛ gatau,</w:t>
      </w:r>
      <w:r>
        <w:t xml:space="preserve">”</w:t>
      </w:r>
      <w:r>
        <w:t xml:space="preserve"> </w:t>
      </w:r>
      <w:r>
        <w:t xml:space="preserve">“</w:t>
      </w:r>
      <w:r>
        <w:t xml:space="preserve">dhṛñ dhāraṇe,</w:t>
      </w:r>
      <w:r>
        <w:t xml:space="preserve">”</w:t>
      </w:r>
      <w:r>
        <w:t xml:space="preserve"> </w:t>
      </w:r>
      <w:r>
        <w:t xml:space="preserve">“</w:t>
      </w:r>
      <w:r>
        <w:t xml:space="preserve">dhami,</w:t>
      </w:r>
      <w:r>
        <w:t xml:space="preserve">”</w:t>
      </w:r>
      <w:r>
        <w:t xml:space="preserve"> </w:t>
      </w:r>
      <w:r>
        <w:t xml:space="preserve">“</w:t>
      </w:r>
      <w:r>
        <w:t xml:space="preserve">ama gatau,</w:t>
      </w:r>
      <w:r>
        <w:t xml:space="preserve">”</w:t>
      </w:r>
      <w:r>
        <w:t xml:space="preserve"> </w:t>
      </w:r>
      <w:r>
        <w:t xml:space="preserve">“</w:t>
      </w:r>
      <w:r>
        <w:t xml:space="preserve">aśa bhojane,</w:t>
      </w:r>
      <w:r>
        <w:t xml:space="preserve">”</w:t>
      </w:r>
      <w:r>
        <w:t xml:space="preserve"> </w:t>
      </w:r>
      <w:r>
        <w:t xml:space="preserve">“</w:t>
      </w:r>
      <w:r>
        <w:t xml:space="preserve">ava rakṣaṇe,</w:t>
      </w:r>
      <w:r>
        <w:t xml:space="preserve">”</w:t>
      </w:r>
      <w:r>
        <w:t xml:space="preserve"> </w:t>
      </w:r>
      <w:r>
        <w:t xml:space="preserve">“</w:t>
      </w:r>
      <w:r>
        <w:t xml:space="preserve">tṝ plavana-taraṇayoḥ</w:t>
      </w:r>
      <w:r>
        <w:t xml:space="preserve">”</w:t>
      </w:r>
      <w:r>
        <w:t xml:space="preserve">) —</w:t>
      </w:r>
      <w:r>
        <w:t xml:space="preserve"> </w:t>
      </w:r>
      <w:r>
        <w:t xml:space="preserve">“</w:t>
      </w:r>
      <w:r>
        <w:t xml:space="preserve">av</w:t>
      </w:r>
      <w:r>
        <w:t xml:space="preserve">”</w:t>
      </w:r>
      <w:r>
        <w:t xml:space="preserve"> </w:t>
      </w:r>
      <w:r>
        <w:t xml:space="preserve">takes</w:t>
      </w:r>
      <w:r>
        <w:t xml:space="preserve"> </w:t>
      </w:r>
      <w:r>
        <w:t xml:space="preserve">“</w:t>
      </w:r>
      <w:r>
        <w:t xml:space="preserve">ani</w:t>
      </w:r>
      <w:r>
        <w:t xml:space="preserve">”</w:t>
      </w:r>
      <w:r>
        <w:t xml:space="preserve"> </w:t>
      </w:r>
      <w:r>
        <w:t xml:space="preserve">→</w:t>
      </w:r>
      <w:r>
        <w:t xml:space="preserve"> </w:t>
      </w:r>
      <w:r>
        <w:t xml:space="preserve">“</w:t>
      </w:r>
      <w:r>
        <w:t xml:space="preserve">avani</w:t>
      </w:r>
      <w:r>
        <w:t xml:space="preserve">”</w:t>
      </w:r>
      <w:r>
        <w:t xml:space="preserve">; by</w:t>
      </w:r>
      <w:r>
        <w:t xml:space="preserve"> </w:t>
      </w:r>
      <w:r>
        <w:rPr>
          <w:bCs/>
          <w:b/>
        </w:rPr>
        <w:t xml:space="preserve">आद्युदात्तश्च</w:t>
      </w:r>
      <w:r>
        <w:t xml:space="preserve"> </w:t>
      </w:r>
      <w:r>
        <w:t xml:space="preserve">(पा. ३-१-३) the affix’s first syllable is acute.</w:t>
      </w:r>
      <w:r>
        <w:t xml:space="preserve"> </w:t>
      </w:r>
      <w:r>
        <w:t xml:space="preserve">-</w:t>
      </w:r>
      <w:r>
        <w:t xml:space="preserve"> </w:t>
      </w:r>
      <w:r>
        <w:rPr>
          <w:bCs/>
          <w:b/>
        </w:rPr>
        <w:t xml:space="preserve">“</w:t>
      </w:r>
      <w:r>
        <w:rPr>
          <w:bCs/>
          <w:b/>
        </w:rPr>
        <w:t xml:space="preserve">Supāraḥ</w:t>
      </w:r>
      <w:r>
        <w:rPr>
          <w:bCs/>
          <w:b/>
        </w:rPr>
        <w:t xml:space="preserve">”</w:t>
      </w:r>
      <w:r>
        <w:t xml:space="preserve"> </w:t>
      </w:r>
      <w:r>
        <w:t xml:space="preserve">—</w:t>
      </w:r>
      <w:r>
        <w:t xml:space="preserve"> </w:t>
      </w:r>
      <w:r>
        <w:t xml:space="preserve">“</w:t>
      </w:r>
      <w:r>
        <w:t xml:space="preserve">pṝ pālana-pūraṇayoḥ</w:t>
      </w:r>
      <w:r>
        <w:t xml:space="preserve">”</w:t>
      </w:r>
      <w:r>
        <w:t xml:space="preserve"> </w:t>
      </w:r>
      <w:r>
        <w:t xml:space="preserve">(to protect, to fill); after it</w:t>
      </w:r>
      <w:r>
        <w:t xml:space="preserve"> </w:t>
      </w:r>
      <w:r>
        <w:t xml:space="preserve">“</w:t>
      </w:r>
      <w:r>
        <w:t xml:space="preserve">ṇic</w:t>
      </w:r>
      <w:r>
        <w:t xml:space="preserve">”</w:t>
      </w:r>
      <w:r>
        <w:t xml:space="preserve">; by</w:t>
      </w:r>
      <w:r>
        <w:t xml:space="preserve"> </w:t>
      </w:r>
      <w:r>
        <w:rPr>
          <w:bCs/>
          <w:b/>
        </w:rPr>
        <w:t xml:space="preserve">अचो ञ्णिति</w:t>
      </w:r>
      <w:r>
        <w:t xml:space="preserve"> </w:t>
      </w:r>
      <w:r>
        <w:t xml:space="preserve">(पा. ७-२-११५) vṛddhi of the vowel-final stem before a</w:t>
      </w:r>
      <w:r>
        <w:t xml:space="preserve"> </w:t>
      </w:r>
      <w:r>
        <w:t xml:space="preserve">“</w:t>
      </w:r>
      <w:r>
        <w:t xml:space="preserve">ñ/ṇ</w:t>
      </w:r>
      <w:r>
        <w:t xml:space="preserve">”</w:t>
      </w:r>
      <w:r>
        <w:t xml:space="preserve">-marked affix →</w:t>
      </w:r>
      <w:r>
        <w:t xml:space="preserve"> </w:t>
      </w:r>
      <w:r>
        <w:t xml:space="preserve">“</w:t>
      </w:r>
      <w:r>
        <w:t xml:space="preserve">pāri</w:t>
      </w:r>
      <w:r>
        <w:t xml:space="preserve">”</w:t>
      </w:r>
      <w:r>
        <w:t xml:space="preserve">; then the</w:t>
      </w:r>
      <w:r>
        <w:t xml:space="preserve"> </w:t>
      </w:r>
      <w:r>
        <w:t xml:space="preserve">“</w:t>
      </w:r>
      <w:r>
        <w:t xml:space="preserve">ac</w:t>
      </w:r>
      <w:r>
        <w:t xml:space="preserve">”</w:t>
      </w:r>
      <w:r>
        <w:t xml:space="preserve"> </w:t>
      </w:r>
      <w:r>
        <w:t xml:space="preserve">of the</w:t>
      </w:r>
      <w:r>
        <w:t xml:space="preserve"> </w:t>
      </w:r>
      <w:r>
        <w:t xml:space="preserve">“</w:t>
      </w:r>
      <w:r>
        <w:t xml:space="preserve">nandi-grahi-pacādi</w:t>
      </w:r>
      <w:r>
        <w:t xml:space="preserve">”</w:t>
      </w:r>
      <w:r>
        <w:t xml:space="preserve"> </w:t>
      </w:r>
      <w:r>
        <w:t xml:space="preserve">class (</w:t>
      </w:r>
      <w:r>
        <w:rPr>
          <w:bCs/>
          <w:b/>
        </w:rPr>
        <w:t xml:space="preserve">नन्दिग्रहिपचादिभ्यो ल्युणिन्यचः</w:t>
      </w:r>
      <w:r>
        <w:t xml:space="preserve">, पा. ३-१-१३४);</w:t>
      </w:r>
      <w:r>
        <w:t xml:space="preserve"> </w:t>
      </w:r>
      <w:r>
        <w:rPr>
          <w:bCs/>
          <w:b/>
        </w:rPr>
        <w:t xml:space="preserve">णेरनिटि</w:t>
      </w:r>
      <w:r>
        <w:t xml:space="preserve"> </w:t>
      </w:r>
      <w:r>
        <w:t xml:space="preserve">(पा. ६-४-५१) the</w:t>
      </w:r>
      <w:r>
        <w:t xml:space="preserve"> </w:t>
      </w:r>
      <w:r>
        <w:t xml:space="preserve">“</w:t>
      </w:r>
      <w:r>
        <w:t xml:space="preserve">ṇi</w:t>
      </w:r>
      <w:r>
        <w:t xml:space="preserve">”</w:t>
      </w:r>
      <w:r>
        <w:t xml:space="preserve"> </w:t>
      </w:r>
      <w:r>
        <w:t xml:space="preserve">is elided;</w:t>
      </w:r>
      <w:r>
        <w:t xml:space="preserve"> </w:t>
      </w:r>
      <w:r>
        <w:rPr>
          <w:bCs/>
          <w:b/>
        </w:rPr>
        <w:t xml:space="preserve">चितः</w:t>
      </w:r>
      <w:r>
        <w:t xml:space="preserve"> </w:t>
      </w:r>
      <w:r>
        <w:t xml:space="preserve">(पा. ६-१-१६३) end-acute.</w:t>
      </w:r>
      <w:r>
        <w:t xml:space="preserve"> </w:t>
      </w:r>
      <w:r>
        <w:t xml:space="preserve">-</w:t>
      </w:r>
      <w:r>
        <w:t xml:space="preserve"> </w:t>
      </w:r>
      <w:r>
        <w:rPr>
          <w:bCs/>
          <w:b/>
        </w:rPr>
        <w:t xml:space="preserve">“</w:t>
      </w:r>
      <w:r>
        <w:rPr>
          <w:bCs/>
          <w:b/>
        </w:rPr>
        <w:t xml:space="preserve">Sunvataḥ</w:t>
      </w:r>
      <w:r>
        <w:rPr>
          <w:bCs/>
          <w:b/>
        </w:rPr>
        <w:t xml:space="preserve">”</w:t>
      </w:r>
      <w:r>
        <w:t xml:space="preserve"> </w:t>
      </w:r>
      <w:r>
        <w:t xml:space="preserve">—</w:t>
      </w:r>
      <w:r>
        <w:t xml:space="preserve"> </w:t>
      </w:r>
      <w:r>
        <w:rPr>
          <w:bCs/>
          <w:b/>
        </w:rPr>
        <w:t xml:space="preserve">शतुरनुमो नद्यजादी</w:t>
      </w:r>
      <w:r>
        <w:t xml:space="preserve"> </w:t>
      </w:r>
      <w:r>
        <w:t xml:space="preserve">(पा. ६-१-१७३) — the</w:t>
      </w:r>
      <w:r>
        <w:t xml:space="preserve"> </w:t>
      </w:r>
      <w:r>
        <w:t xml:space="preserve">“</w:t>
      </w:r>
      <w:r>
        <w:t xml:space="preserve">num</w:t>
      </w:r>
      <w:r>
        <w:t xml:space="preserve">”</w:t>
      </w:r>
      <w:r>
        <w:t xml:space="preserve"> </w:t>
      </w:r>
      <w:r>
        <w:t xml:space="preserve">augment …</w:t>
      </w:r>
      <w:r>
        <w:rPr>
          <w:iCs/>
          <w:i/>
        </w:rPr>
        <w:t xml:space="preserve">(continues on the next page)</w:t>
      </w:r>
    </w:p>
    <w:bookmarkEnd w:id="167"/>
    <w:bookmarkStart w:id="168" w:name="X61ad13c4e1f8a227dc8aa808b78e8247bec8708"/>
    <w:p>
      <w:pPr>
        <w:pStyle w:val="Heading3"/>
      </w:pPr>
      <w:r>
        <w:t xml:space="preserve">Page 135 — Rik 4.10 grammar concluded; end of Sūkta 4</w:t>
      </w:r>
    </w:p>
    <w:p>
      <w:pPr>
        <w:pStyle w:val="FirstParagraph"/>
      </w:pPr>
      <w:r>
        <w:rPr>
          <w:iCs/>
          <w:i/>
        </w:rPr>
        <w:t xml:space="preserve">(Page header:</w:t>
      </w:r>
      <w:r>
        <w:rPr>
          <w:iCs/>
          <w:i/>
        </w:rPr>
        <w:t xml:space="preserve"> </w:t>
      </w:r>
      <w:r>
        <w:rPr>
          <w:iCs/>
          <w:i/>
        </w:rPr>
        <w:t xml:space="preserve">“</w:t>
      </w:r>
      <w:r>
        <w:rPr>
          <w:iCs/>
          <w:i/>
        </w:rPr>
        <w:t xml:space="preserve">Aṣṭaka 1, Adhyāya 1, Varga 8 · Ṛgveda-saṃhitā.</w:t>
      </w:r>
      <w:r>
        <w:rPr>
          <w:iCs/>
          <w:i/>
        </w:rPr>
        <w:t xml:space="preserve">”</w:t>
      </w:r>
      <w:r>
        <w:rPr>
          <w:iCs/>
          <w:i/>
        </w:rPr>
        <w:t xml:space="preserve"> </w:t>
      </w:r>
      <w:r>
        <w:rPr>
          <w:iCs/>
          <w:i/>
        </w:rPr>
        <w:t xml:space="preserve">Grammar characterized, sūtras kept; numbers as I read them.)</w:t>
      </w:r>
    </w:p>
    <w:p>
      <w:pPr>
        <w:pStyle w:val="BodyText"/>
      </w:pPr>
      <w:r>
        <w:rPr>
          <w:bCs/>
          <w:b/>
        </w:rPr>
        <w:t xml:space="preserve">“</w:t>
      </w:r>
      <w:r>
        <w:rPr>
          <w:bCs/>
          <w:b/>
        </w:rPr>
        <w:t xml:space="preserve">Sunvataḥ</w:t>
      </w:r>
      <w:r>
        <w:rPr>
          <w:bCs/>
          <w:b/>
        </w:rPr>
        <w:t xml:space="preserve">”</w:t>
      </w:r>
      <w:r>
        <w:t xml:space="preserve"> </w:t>
      </w:r>
      <w:r>
        <w:rPr>
          <w:iCs/>
          <w:i/>
        </w:rPr>
        <w:t xml:space="preserve">(concluding from p. 134)</w:t>
      </w:r>
      <w:r>
        <w:t xml:space="preserve"> </w:t>
      </w:r>
      <w:r>
        <w:t xml:space="preserve">— if the</w:t>
      </w:r>
      <w:r>
        <w:t xml:space="preserve"> </w:t>
      </w:r>
      <w:r>
        <w:t xml:space="preserve">“</w:t>
      </w:r>
      <w:r>
        <w:t xml:space="preserve">śatṛ</w:t>
      </w:r>
      <w:r>
        <w:t xml:space="preserve">”</w:t>
      </w:r>
      <w:r>
        <w:t xml:space="preserve"> </w:t>
      </w:r>
      <w:r>
        <w:t xml:space="preserve">affix, with its</w:t>
      </w:r>
      <w:r>
        <w:t xml:space="preserve"> </w:t>
      </w:r>
      <w:r>
        <w:t xml:space="preserve">“</w:t>
      </w:r>
      <w:r>
        <w:t xml:space="preserve">num</w:t>
      </w:r>
      <w:r>
        <w:t xml:space="preserve">”</w:t>
      </w:r>
      <w:r>
        <w:t xml:space="preserve"> </w:t>
      </w:r>
      <w:r>
        <w:t xml:space="preserve">augment, comes at the end and is end-acute, the case-ending</w:t>
      </w:r>
      <w:r>
        <w:t xml:space="preserve"> </w:t>
      </w:r>
      <w:r>
        <w:t xml:space="preserve">“</w:t>
      </w:r>
      <w:r>
        <w:t xml:space="preserve">ṅīp</w:t>
      </w:r>
      <w:r>
        <w:t xml:space="preserve">”</w:t>
      </w:r>
      <w:r>
        <w:t xml:space="preserve">-type and the</w:t>
      </w:r>
      <w:r>
        <w:t xml:space="preserve"> </w:t>
      </w:r>
      <w:r>
        <w:t xml:space="preserve">“</w:t>
      </w:r>
      <w:r>
        <w:t xml:space="preserve">ajādi</w:t>
      </w:r>
      <w:r>
        <w:t xml:space="preserve">”</w:t>
      </w:r>
      <w:r>
        <w:t xml:space="preserve"> </w:t>
      </w:r>
      <w:r>
        <w:t xml:space="preserve">“</w:t>
      </w:r>
      <w:r>
        <w:t xml:space="preserve">śas</w:t>
      </w:r>
      <w:r>
        <w:t xml:space="preserve">”</w:t>
      </w:r>
      <w:r>
        <w:t xml:space="preserve">-class endings after it are acute (</w:t>
      </w:r>
      <w:r>
        <w:rPr>
          <w:bCs/>
          <w:b/>
        </w:rPr>
        <w:t xml:space="preserve">शतुरनुमो नद्यजादी</w:t>
      </w:r>
      <w:r>
        <w:t xml:space="preserve">, पा. ६-१-१७३ [print reads</w:t>
      </w:r>
      <w:r>
        <w:t xml:space="preserve"> </w:t>
      </w:r>
      <w:r>
        <w:t xml:space="preserve">“</w:t>
      </w:r>
      <w:r>
        <w:t xml:space="preserve">6-1-123</w:t>
      </w:r>
      <w:r>
        <w:t xml:space="preserve">”</w:t>
      </w:r>
      <w:r>
        <w:t xml:space="preserve">?]), so the sixth-case singular ending after</w:t>
      </w:r>
      <w:r>
        <w:t xml:space="preserve"> </w:t>
      </w:r>
      <w:r>
        <w:t xml:space="preserve">“</w:t>
      </w:r>
      <w:r>
        <w:t xml:space="preserve">sunvat</w:t>
      </w:r>
      <w:r>
        <w:t xml:space="preserve">”</w:t>
      </w:r>
      <w:r>
        <w:t xml:space="preserve"> </w:t>
      </w:r>
      <w:r>
        <w:t xml:space="preserve">is acute.</w:t>
      </w:r>
      <w:r>
        <w:t xml:space="preserve"> </w:t>
      </w:r>
      <w:r>
        <w:rPr>
          <w:bCs/>
          <w:b/>
        </w:rPr>
        <w:t xml:space="preserve">“</w:t>
      </w:r>
      <w:r>
        <w:rPr>
          <w:bCs/>
          <w:b/>
        </w:rPr>
        <w:t xml:space="preserve">Sakhā</w:t>
      </w:r>
      <w:r>
        <w:rPr>
          <w:bCs/>
          <w:b/>
        </w:rPr>
        <w:t xml:space="preserve">”</w:t>
      </w:r>
      <w:r>
        <w:t xml:space="preserve"> </w:t>
      </w:r>
      <w:r>
        <w:t xml:space="preserve">—</w:t>
      </w:r>
      <w:r>
        <w:t xml:space="preserve"> </w:t>
      </w:r>
      <w:r>
        <w:rPr>
          <w:bCs/>
          <w:b/>
        </w:rPr>
        <w:t xml:space="preserve">समाने ख्यः</w:t>
      </w:r>
      <w:r>
        <w:t xml:space="preserve"> </w:t>
      </w:r>
      <w:r>
        <w:t xml:space="preserve">(उ. सू. ४-१३६, as clearly printed on p. 130) with</w:t>
      </w:r>
      <w:r>
        <w:t xml:space="preserve"> </w:t>
      </w:r>
      <w:r>
        <w:t xml:space="preserve">“</w:t>
      </w:r>
      <w:r>
        <w:t xml:space="preserve">iṇ</w:t>
      </w:r>
      <w:r>
        <w:t xml:space="preserve">”</w:t>
      </w:r>
      <w:r>
        <w:t xml:space="preserve"> </w:t>
      </w:r>
      <w:r>
        <w:t xml:space="preserve">after</w:t>
      </w:r>
      <w:r>
        <w:t xml:space="preserve"> </w:t>
      </w:r>
      <w:r>
        <w:t xml:space="preserve">“</w:t>
      </w:r>
      <w:r>
        <w:t xml:space="preserve">khyā</w:t>
      </w:r>
      <w:r>
        <w:t xml:space="preserve">”</w:t>
      </w:r>
      <w:r>
        <w:t xml:space="preserve"> </w:t>
      </w:r>
      <w:r>
        <w:t xml:space="preserve">with</w:t>
      </w:r>
      <w:r>
        <w:t xml:space="preserve"> </w:t>
      </w:r>
      <w:r>
        <w:t xml:space="preserve">“</w:t>
      </w:r>
      <w:r>
        <w:t xml:space="preserve">samāna</w:t>
      </w:r>
      <w:r>
        <w:t xml:space="preserve">”</w:t>
      </w:r>
      <w:r>
        <w:t xml:space="preserve"> </w:t>
      </w:r>
      <w:r>
        <w:t xml:space="preserve">as the upapada — the affix is</w:t>
      </w:r>
      <w:r>
        <w:t xml:space="preserve"> </w:t>
      </w:r>
      <w:r>
        <w:t xml:space="preserve">“</w:t>
      </w:r>
      <w:r>
        <w:t xml:space="preserve">ḍit,</w:t>
      </w:r>
      <w:r>
        <w:t xml:space="preserve">”</w:t>
      </w:r>
      <w:r>
        <w:t xml:space="preserve"> </w:t>
      </w:r>
      <w:r>
        <w:t xml:space="preserve">so</w:t>
      </w:r>
      <w:r>
        <w:t xml:space="preserve"> </w:t>
      </w:r>
      <w:r>
        <w:t xml:space="preserve">“</w:t>
      </w:r>
      <w:r>
        <w:t xml:space="preserve">ṭi</w:t>
      </w:r>
      <w:r>
        <w:t xml:space="preserve">”</w:t>
      </w:r>
      <w:r>
        <w:t xml:space="preserve"> </w:t>
      </w:r>
      <w:r>
        <w:t xml:space="preserve">is elided and by that connection</w:t>
      </w:r>
      <w:r>
        <w:t xml:space="preserve"> </w:t>
      </w:r>
      <w:r>
        <w:t xml:space="preserve">“</w:t>
      </w:r>
      <w:r>
        <w:t xml:space="preserve">y</w:t>
      </w:r>
      <w:r>
        <w:t xml:space="preserve">”</w:t>
      </w:r>
      <w:r>
        <w:t xml:space="preserve"> </w:t>
      </w:r>
      <w:r>
        <w:t xml:space="preserve">is elided;</w:t>
      </w:r>
      <w:r>
        <w:t xml:space="preserve"> </w:t>
      </w:r>
      <w:r>
        <w:t xml:space="preserve">“</w:t>
      </w:r>
      <w:r>
        <w:t xml:space="preserve">samāna</w:t>
      </w:r>
      <w:r>
        <w:t xml:space="preserve">”</w:t>
      </w:r>
      <w:r>
        <w:t xml:space="preserve"> </w:t>
      </w:r>
      <w:r>
        <w:t xml:space="preserve">gets</w:t>
      </w:r>
      <w:r>
        <w:t xml:space="preserve"> </w:t>
      </w:r>
      <w:r>
        <w:t xml:space="preserve">“</w:t>
      </w:r>
      <w:r>
        <w:t xml:space="preserve">sa</w:t>
      </w:r>
      <w:r>
        <w:t xml:space="preserve">”</w:t>
      </w:r>
      <w:r>
        <w:t xml:space="preserve"> </w:t>
      </w:r>
      <w:r>
        <w:t xml:space="preserve">and the accent (see Rik 3.4’s discussion on p. 107).</w:t>
      </w:r>
      <w:r>
        <w:t xml:space="preserve"> </w:t>
      </w:r>
      <w:r>
        <w:rPr>
          <w:bCs/>
          <w:b/>
        </w:rPr>
        <w:t xml:space="preserve">“</w:t>
      </w:r>
      <w:r>
        <w:rPr>
          <w:bCs/>
          <w:b/>
        </w:rPr>
        <w:t xml:space="preserve">Tasmai</w:t>
      </w:r>
      <w:r>
        <w:rPr>
          <w:bCs/>
          <w:b/>
        </w:rPr>
        <w:t xml:space="preserve">”</w:t>
      </w:r>
      <w:r>
        <w:t xml:space="preserve"> </w:t>
      </w:r>
      <w:r>
        <w:t xml:space="preserve">—</w:t>
      </w:r>
      <w:r>
        <w:t xml:space="preserve"> </w:t>
      </w:r>
      <w:r>
        <w:rPr>
          <w:bCs/>
          <w:b/>
        </w:rPr>
        <w:t xml:space="preserve">त्यजितनियजिभ्यो डित्</w:t>
      </w:r>
      <w:r>
        <w:t xml:space="preserve"> </w:t>
      </w:r>
      <w:r>
        <w:t xml:space="preserve">(उ. सू. १-१२९ [as printed]) the affix</w:t>
      </w:r>
      <w:r>
        <w:t xml:space="preserve"> </w:t>
      </w:r>
      <w:r>
        <w:t xml:space="preserve">“</w:t>
      </w:r>
      <w:r>
        <w:t xml:space="preserve">ad</w:t>
      </w:r>
      <w:r>
        <w:t xml:space="preserve">”</w:t>
      </w:r>
      <w:r>
        <w:t xml:space="preserve"> </w:t>
      </w:r>
      <w:r>
        <w:t xml:space="preserve">after</w:t>
      </w:r>
      <w:r>
        <w:t xml:space="preserve"> </w:t>
      </w:r>
      <w:r>
        <w:t xml:space="preserve">“</w:t>
      </w:r>
      <w:r>
        <w:t xml:space="preserve">tyaj,</w:t>
      </w:r>
      <w:r>
        <w:t xml:space="preserve">”</w:t>
      </w:r>
      <w:r>
        <w:t xml:space="preserve"> </w:t>
      </w:r>
      <w:r>
        <w:t xml:space="preserve">“</w:t>
      </w:r>
      <w:r>
        <w:t xml:space="preserve">tan,</w:t>
      </w:r>
      <w:r>
        <w:t xml:space="preserve">”</w:t>
      </w:r>
      <w:r>
        <w:t xml:space="preserve"> </w:t>
      </w:r>
      <w:r>
        <w:t xml:space="preserve">“</w:t>
      </w:r>
      <w:r>
        <w:t xml:space="preserve">yaj</w:t>
      </w:r>
      <w:r>
        <w:t xml:space="preserve">”</w:t>
      </w:r>
      <w:r>
        <w:t xml:space="preserve">: from</w:t>
      </w:r>
      <w:r>
        <w:t xml:space="preserve"> </w:t>
      </w:r>
      <w:r>
        <w:t xml:space="preserve">“</w:t>
      </w:r>
      <w:r>
        <w:t xml:space="preserve">tan vistāre</w:t>
      </w:r>
      <w:r>
        <w:t xml:space="preserve">”</w:t>
      </w:r>
      <w:r>
        <w:t xml:space="preserve"> </w:t>
      </w:r>
      <w:r>
        <w:t xml:space="preserve">“</w:t>
      </w:r>
      <w:r>
        <w:t xml:space="preserve">tan + ad,</w:t>
      </w:r>
      <w:r>
        <w:t xml:space="preserve">”</w:t>
      </w:r>
      <w:r>
        <w:t xml:space="preserve"> </w:t>
      </w:r>
      <w:r>
        <w:t xml:space="preserve">“</w:t>
      </w:r>
      <w:r>
        <w:t xml:space="preserve">ḍit,</w:t>
      </w:r>
      <w:r>
        <w:t xml:space="preserve">”</w:t>
      </w:r>
      <w:r>
        <w:t xml:space="preserve"> </w:t>
      </w:r>
      <w:r>
        <w:t xml:space="preserve">“</w:t>
      </w:r>
      <w:r>
        <w:t xml:space="preserve">ṭi</w:t>
      </w:r>
      <w:r>
        <w:t xml:space="preserve">”</w:t>
      </w:r>
      <w:r>
        <w:t xml:space="preserve">-elision:</w:t>
      </w:r>
      <w:r>
        <w:t xml:space="preserve"> </w:t>
      </w:r>
      <w:r>
        <w:t xml:space="preserve">“</w:t>
      </w:r>
      <w:r>
        <w:t xml:space="preserve">t + ad</w:t>
      </w:r>
      <w:r>
        <w:t xml:space="preserve">”</w:t>
      </w:r>
      <w:r>
        <w:t xml:space="preserve"> </w:t>
      </w:r>
      <w:r>
        <w:t xml:space="preserve">=</w:t>
      </w:r>
      <w:r>
        <w:t xml:space="preserve"> </w:t>
      </w:r>
      <w:r>
        <w:t xml:space="preserve">“</w:t>
      </w:r>
      <w:r>
        <w:t xml:space="preserve">tad,</w:t>
      </w:r>
      <w:r>
        <w:t xml:space="preserve">”</w:t>
      </w:r>
      <w:r>
        <w:t xml:space="preserve"> </w:t>
      </w:r>
      <w:r>
        <w:t xml:space="preserve">which by the affix is first-syllable acute; then the fourth-case singular</w:t>
      </w:r>
      <w:r>
        <w:t xml:space="preserve"> </w:t>
      </w:r>
      <w:r>
        <w:t xml:space="preserve">“</w:t>
      </w:r>
      <w:r>
        <w:t xml:space="preserve">ṅe,</w:t>
      </w:r>
      <w:r>
        <w:t xml:space="preserve">”</w:t>
      </w:r>
      <w:r>
        <w:t xml:space="preserve"> </w:t>
      </w:r>
      <w:r>
        <w:t xml:space="preserve">with</w:t>
      </w:r>
      <w:r>
        <w:t xml:space="preserve"> </w:t>
      </w:r>
      <w:r>
        <w:rPr>
          <w:bCs/>
          <w:b/>
        </w:rPr>
        <w:t xml:space="preserve">त्यदादीनामः</w:t>
      </w:r>
      <w:r>
        <w:t xml:space="preserve"> </w:t>
      </w:r>
      <w:r>
        <w:t xml:space="preserve">(पा. ७-१-१०२ [as printed])</w:t>
      </w:r>
      <w:r>
        <w:t xml:space="preserve"> </w:t>
      </w:r>
      <w:r>
        <w:t xml:space="preserve">“</w:t>
      </w:r>
      <w:r>
        <w:t xml:space="preserve">a</w:t>
      </w:r>
      <w:r>
        <w:t xml:space="preserve">”</w:t>
      </w:r>
      <w:r>
        <w:t xml:space="preserve"> </w:t>
      </w:r>
      <w:r>
        <w:t xml:space="preserve">for the final;</w:t>
      </w:r>
      <w:r>
        <w:t xml:space="preserve"> </w:t>
      </w:r>
      <w:r>
        <w:rPr>
          <w:bCs/>
          <w:b/>
        </w:rPr>
        <w:t xml:space="preserve">अतो गुणे</w:t>
      </w:r>
      <w:r>
        <w:t xml:space="preserve"> </w:t>
      </w:r>
      <w:r>
        <w:t xml:space="preserve">(पा. ६-१-९७) the pararūpa:</w:t>
      </w:r>
      <w:r>
        <w:t xml:space="preserve"> </w:t>
      </w:r>
      <w:r>
        <w:t xml:space="preserve">“</w:t>
      </w:r>
      <w:r>
        <w:t xml:space="preserve">ta + a</w:t>
      </w:r>
      <w:r>
        <w:t xml:space="preserve">”</w:t>
      </w:r>
      <w:r>
        <w:t xml:space="preserve">; the</w:t>
      </w:r>
      <w:r>
        <w:t xml:space="preserve"> </w:t>
      </w:r>
      <w:r>
        <w:t xml:space="preserve">“</w:t>
      </w:r>
      <w:r>
        <w:t xml:space="preserve">ā</w:t>
      </w:r>
      <w:r>
        <w:t xml:space="preserve">”</w:t>
      </w:r>
      <w:r>
        <w:t xml:space="preserve"> </w:t>
      </w:r>
      <w:r>
        <w:t xml:space="preserve">resulting is acute by</w:t>
      </w:r>
      <w:r>
        <w:t xml:space="preserve"> </w:t>
      </w:r>
      <w:r>
        <w:rPr>
          <w:bCs/>
          <w:b/>
        </w:rPr>
        <w:t xml:space="preserve">एकादेश उदात्तेनोदात्तः</w:t>
      </w:r>
      <w:r>
        <w:t xml:space="preserve"> </w:t>
      </w:r>
      <w:r>
        <w:t xml:space="preserve">(पा. ८-२-५); then</w:t>
      </w:r>
      <w:r>
        <w:t xml:space="preserve"> </w:t>
      </w:r>
      <w:r>
        <w:rPr>
          <w:bCs/>
          <w:b/>
        </w:rPr>
        <w:t xml:space="preserve">सर्वनाम्नः स्मै</w:t>
      </w:r>
      <w:r>
        <w:t xml:space="preserve"> </w:t>
      </w:r>
      <w:r>
        <w:t xml:space="preserve">(पा. ७-१-१४) puts</w:t>
      </w:r>
      <w:r>
        <w:t xml:space="preserve"> </w:t>
      </w:r>
      <w:r>
        <w:t xml:space="preserve">“</w:t>
      </w:r>
      <w:r>
        <w:t xml:space="preserve">smai</w:t>
      </w:r>
      <w:r>
        <w:t xml:space="preserve">”</w:t>
      </w:r>
      <w:r>
        <w:t xml:space="preserve"> </w:t>
      </w:r>
      <w:r>
        <w:t xml:space="preserve">for</w:t>
      </w:r>
      <w:r>
        <w:t xml:space="preserve"> </w:t>
      </w:r>
      <w:r>
        <w:t xml:space="preserve">“</w:t>
      </w:r>
      <w:r>
        <w:t xml:space="preserve">ṅe</w:t>
      </w:r>
      <w:r>
        <w:t xml:space="preserve">”</w:t>
      </w:r>
      <w:r>
        <w:t xml:space="preserve"> </w:t>
      </w:r>
      <w:r>
        <w:t xml:space="preserve">after a pronoun ending in short</w:t>
      </w:r>
      <w:r>
        <w:t xml:space="preserve"> </w:t>
      </w:r>
      <w:r>
        <w:t xml:space="preserve">“</w:t>
      </w:r>
      <w:r>
        <w:t xml:space="preserve">a</w:t>
      </w:r>
      <w:r>
        <w:t xml:space="preserve">”</w:t>
      </w:r>
      <w:r>
        <w:t xml:space="preserve"> </w:t>
      </w:r>
      <w:r>
        <w:t xml:space="preserve">→</w:t>
      </w:r>
      <w:r>
        <w:t xml:space="preserve"> </w:t>
      </w:r>
      <w:r>
        <w:t xml:space="preserve">“</w:t>
      </w:r>
      <w:r>
        <w:t xml:space="preserve">tasmai</w:t>
      </w:r>
      <w:r>
        <w:t xml:space="preserve">”</w:t>
      </w:r>
      <w:r>
        <w:t xml:space="preserve">; the case-ending</w:t>
      </w:r>
      <w:r>
        <w:t xml:space="preserve"> </w:t>
      </w:r>
      <w:r>
        <w:t xml:space="preserve">“</w:t>
      </w:r>
      <w:r>
        <w:t xml:space="preserve">smai</w:t>
      </w:r>
      <w:r>
        <w:t xml:space="preserve">”</w:t>
      </w:r>
      <w:r>
        <w:t xml:space="preserve"> </w:t>
      </w:r>
      <w:r>
        <w:t xml:space="preserve">is acute by</w:t>
      </w:r>
      <w:r>
        <w:t xml:space="preserve"> </w:t>
      </w:r>
      <w:r>
        <w:rPr>
          <w:bCs/>
          <w:b/>
        </w:rPr>
        <w:t xml:space="preserve">सावेकाचस्तृतीयादिर्विभक्तिः</w:t>
      </w:r>
      <w:r>
        <w:t xml:space="preserve"> </w:t>
      </w:r>
      <w:r>
        <w:t xml:space="preserve">(पा. ६-१-१६८) when a one-vowel stem is followed by</w:t>
      </w:r>
      <w:r>
        <w:t xml:space="preserve"> </w:t>
      </w:r>
      <w:r>
        <w:t xml:space="preserve">“</w:t>
      </w:r>
      <w:r>
        <w:t xml:space="preserve">su</w:t>
      </w:r>
      <w:r>
        <w:t xml:space="preserve">”</w:t>
      </w:r>
      <w:r>
        <w:t xml:space="preserve">…; but because</w:t>
      </w:r>
      <w:r>
        <w:t xml:space="preserve"> </w:t>
      </w:r>
      <w:r>
        <w:t xml:space="preserve">“</w:t>
      </w:r>
      <w:r>
        <w:t xml:space="preserve">tad</w:t>
      </w:r>
      <w:r>
        <w:t xml:space="preserve">”</w:t>
      </w:r>
      <w:r>
        <w:t xml:space="preserve"> </w:t>
      </w:r>
      <w:r>
        <w:t xml:space="preserve">in the first-case singular and with the affix</w:t>
      </w:r>
      <w:r>
        <w:t xml:space="preserve"> </w:t>
      </w:r>
      <w:r>
        <w:t xml:space="preserve">“</w:t>
      </w:r>
      <w:r>
        <w:t xml:space="preserve">su</w:t>
      </w:r>
      <w:r>
        <w:t xml:space="preserve">”</w:t>
      </w:r>
      <w:r>
        <w:t xml:space="preserve"> </w:t>
      </w:r>
      <w:r>
        <w:t xml:space="preserve">following ends in</w:t>
      </w:r>
      <w:r>
        <w:t xml:space="preserve"> </w:t>
      </w:r>
      <w:r>
        <w:t xml:space="preserve">“</w:t>
      </w:r>
      <w:r>
        <w:t xml:space="preserve">a,</w:t>
      </w:r>
      <w:r>
        <w:t xml:space="preserve">”</w:t>
      </w:r>
      <w:r>
        <w:t xml:space="preserve"> </w:t>
      </w:r>
      <w:r>
        <w:rPr>
          <w:bCs/>
          <w:b/>
        </w:rPr>
        <w:t xml:space="preserve">न गोश्वन्साववर्णराडङ्क्रुङ्कृद्भ्यः</w:t>
      </w:r>
      <w:r>
        <w:t xml:space="preserve"> </w:t>
      </w:r>
      <w:r>
        <w:t xml:space="preserve">(पा. ६-१-१८२) — the endings after</w:t>
      </w:r>
      <w:r>
        <w:t xml:space="preserve"> </w:t>
      </w:r>
      <w:r>
        <w:t xml:space="preserve">“</w:t>
      </w:r>
      <w:r>
        <w:t xml:space="preserve">go,</w:t>
      </w:r>
      <w:r>
        <w:t xml:space="preserve">”</w:t>
      </w:r>
      <w:r>
        <w:t xml:space="preserve"> </w:t>
      </w:r>
      <w:r>
        <w:t xml:space="preserve">“</w:t>
      </w:r>
      <w:r>
        <w:t xml:space="preserve">śvan,</w:t>
      </w:r>
      <w:r>
        <w:t xml:space="preserve">”</w:t>
      </w:r>
      <w:r>
        <w:t xml:space="preserve"> </w:t>
      </w:r>
      <w:r>
        <w:t xml:space="preserve">“</w:t>
      </w:r>
      <w:r>
        <w:t xml:space="preserve">sau,</w:t>
      </w:r>
      <w:r>
        <w:t xml:space="preserve">”</w:t>
      </w:r>
      <w:r>
        <w:t xml:space="preserve"> </w:t>
      </w:r>
      <w:r>
        <w:t xml:space="preserve">words ending in</w:t>
      </w:r>
      <w:r>
        <w:t xml:space="preserve"> </w:t>
      </w:r>
      <w:r>
        <w:t xml:space="preserve">“</w:t>
      </w:r>
      <w:r>
        <w:t xml:space="preserve">a/ā,</w:t>
      </w:r>
      <w:r>
        <w:t xml:space="preserve">”</w:t>
      </w:r>
      <w:r>
        <w:t xml:space="preserve"> </w:t>
      </w:r>
      <w:r>
        <w:t xml:space="preserve">“</w:t>
      </w:r>
      <w:r>
        <w:t xml:space="preserve">rāṭ,</w:t>
      </w:r>
      <w:r>
        <w:t xml:space="preserve">”</w:t>
      </w:r>
      <w:r>
        <w:t xml:space="preserve"> </w:t>
      </w:r>
      <w:r>
        <w:t xml:space="preserve">“</w:t>
      </w:r>
      <w:r>
        <w:t xml:space="preserve">aṅ,</w:t>
      </w:r>
      <w:r>
        <w:t xml:space="preserve">”</w:t>
      </w:r>
      <w:r>
        <w:t xml:space="preserve"> </w:t>
      </w:r>
      <w:r>
        <w:t xml:space="preserve">“</w:t>
      </w:r>
      <w:r>
        <w:t xml:space="preserve">kruñ</w:t>
      </w:r>
      <w:r>
        <w:t xml:space="preserve">”</w:t>
      </w:r>
      <w:r>
        <w:t xml:space="preserve"> </w:t>
      </w:r>
      <w:r>
        <w:t xml:space="preserve">and</w:t>
      </w:r>
      <w:r>
        <w:t xml:space="preserve"> </w:t>
      </w:r>
      <w:r>
        <w:t xml:space="preserve">“</w:t>
      </w:r>
      <w:r>
        <w:t xml:space="preserve">kṛt</w:t>
      </w:r>
      <w:r>
        <w:t xml:space="preserve">”</w:t>
      </w:r>
      <w:r>
        <w:t xml:space="preserve">-stems are not acute — blocks the acute accent of the ending.</w:t>
      </w:r>
      <w:r>
        <w:t xml:space="preserve"> </w:t>
      </w:r>
      <w:r>
        <w:rPr>
          <w:bCs/>
          <w:b/>
        </w:rPr>
        <w:t xml:space="preserve">“</w:t>
      </w:r>
      <w:r>
        <w:rPr>
          <w:bCs/>
          <w:b/>
        </w:rPr>
        <w:t xml:space="preserve">Indrāya</w:t>
      </w:r>
      <w:r>
        <w:rPr>
          <w:bCs/>
          <w:b/>
        </w:rPr>
        <w:t xml:space="preserve">”</w:t>
      </w:r>
      <w:r>
        <w:t xml:space="preserve"> </w:t>
      </w:r>
      <w:r>
        <w:t xml:space="preserve">—</w:t>
      </w:r>
      <w:r>
        <w:t xml:space="preserve"> </w:t>
      </w:r>
      <w:r>
        <w:t xml:space="preserve">“</w:t>
      </w:r>
      <w:r>
        <w:t xml:space="preserve">indra</w:t>
      </w:r>
      <w:r>
        <w:t xml:space="preserve">”</w:t>
      </w:r>
      <w:r>
        <w:t xml:space="preserve"> </w:t>
      </w:r>
      <w:r>
        <w:t xml:space="preserve">is formed with the affix</w:t>
      </w:r>
      <w:r>
        <w:t xml:space="preserve"> </w:t>
      </w:r>
      <w:r>
        <w:t xml:space="preserve">“</w:t>
      </w:r>
      <w:r>
        <w:t xml:space="preserve">ran</w:t>
      </w:r>
      <w:r>
        <w:t xml:space="preserve">”</w:t>
      </w:r>
      <w:r>
        <w:t xml:space="preserve"> </w:t>
      </w:r>
      <w:r>
        <w:t xml:space="preserve">by the Uṇādi</w:t>
      </w:r>
      <w:r>
        <w:t xml:space="preserve"> </w:t>
      </w:r>
      <w:r>
        <w:rPr>
          <w:bCs/>
          <w:b/>
        </w:rPr>
        <w:t xml:space="preserve">ऋज्रेन्द्राग्रवज्रविप्र…</w:t>
      </w:r>
      <w:r>
        <w:t xml:space="preserve"> </w:t>
      </w:r>
      <w:r>
        <w:t xml:space="preserve">(उ. सू. १८६ [as printed]);</w:t>
      </w:r>
      <w:r>
        <w:t xml:space="preserve"> </w:t>
      </w:r>
      <w:r>
        <w:t xml:space="preserve">“</w:t>
      </w:r>
      <w:r>
        <w:t xml:space="preserve">n</w:t>
      </w:r>
      <w:r>
        <w:t xml:space="preserve">”</w:t>
      </w:r>
      <w:r>
        <w:t xml:space="preserve">-marked, so first-syllable acute;</w:t>
      </w:r>
      <w:r>
        <w:t xml:space="preserve"> </w:t>
      </w:r>
      <w:r>
        <w:rPr>
          <w:bCs/>
          <w:b/>
        </w:rPr>
        <w:t xml:space="preserve">कर्मणा यमभिप्रैति स सम्प्रदानम्</w:t>
      </w:r>
      <w:r>
        <w:t xml:space="preserve"> </w:t>
      </w:r>
      <w:r>
        <w:t xml:space="preserve">(पा. १-४-३२) —</w:t>
      </w:r>
      <w:r>
        <w:t xml:space="preserve"> </w:t>
      </w:r>
      <w:r>
        <w:t xml:space="preserve">“</w:t>
      </w:r>
      <w:r>
        <w:t xml:space="preserve">he whom the agent intends by the action is the sampradāna</w:t>
      </w:r>
      <w:r>
        <w:t xml:space="preserve">”</w:t>
      </w:r>
      <w:r>
        <w:t xml:space="preserve"> </w:t>
      </w:r>
      <w:r>
        <w:t xml:space="preserve">— and the Mahābhāṣya’s statement on that sūtra,</w:t>
      </w:r>
      <w:r>
        <w:t xml:space="preserve"> </w:t>
      </w:r>
      <w:r>
        <w:rPr>
          <w:bCs/>
          <w:b/>
        </w:rPr>
        <w:t xml:space="preserve">क्रियाग्रहणं कर्तव्यम्</w:t>
      </w:r>
      <w:r>
        <w:t xml:space="preserve"> </w:t>
      </w:r>
      <w:r>
        <w:t xml:space="preserve">(पा. म. १-४-३२) — the word</w:t>
      </w:r>
      <w:r>
        <w:t xml:space="preserve"> </w:t>
      </w:r>
      <w:r>
        <w:t xml:space="preserve">“</w:t>
      </w:r>
      <w:r>
        <w:t xml:space="preserve">kriyā</w:t>
      </w:r>
      <w:r>
        <w:t xml:space="preserve">”</w:t>
      </w:r>
      <w:r>
        <w:t xml:space="preserve"> </w:t>
      </w:r>
      <w:r>
        <w:t xml:space="preserve">must be added: the word that tells the thing aimed at by the action takes the name</w:t>
      </w:r>
      <w:r>
        <w:t xml:space="preserve"> </w:t>
      </w:r>
      <w:r>
        <w:t xml:space="preserve">“</w:t>
      </w:r>
      <w:r>
        <w:t xml:space="preserve">sampradāna</w:t>
      </w:r>
      <w:r>
        <w:t xml:space="preserve">”</w:t>
      </w:r>
      <w:r>
        <w:t xml:space="preserve"> </w:t>
      </w:r>
      <w:r>
        <w:t xml:space="preserve">— so Indra, who denotes the object aimed at by the act of singing, is the sampradāna;</w:t>
      </w:r>
      <w:r>
        <w:t xml:space="preserve"> </w:t>
      </w:r>
      <w:r>
        <w:rPr>
          <w:bCs/>
          <w:b/>
        </w:rPr>
        <w:t xml:space="preserve">चतुर्थी सम्प्रदाने</w:t>
      </w:r>
      <w:r>
        <w:t xml:space="preserve"> </w:t>
      </w:r>
      <w:r>
        <w:t xml:space="preserve">(पा. २-३-१३) — the fourth case after a stem having the sense of an unexpressed sampradāna — gives</w:t>
      </w:r>
      <w:r>
        <w:t xml:space="preserve"> </w:t>
      </w:r>
      <w:r>
        <w:t xml:space="preserve">“</w:t>
      </w:r>
      <w:r>
        <w:t xml:space="preserve">indrāya.</w:t>
      </w:r>
      <w:r>
        <w:t xml:space="preserve">”</w:t>
      </w:r>
      <w:r>
        <w:t xml:space="preserve"> </w:t>
      </w:r>
      <w:r>
        <w:t xml:space="preserve">॥१०॥</w:t>
      </w:r>
    </w:p>
    <w:p>
      <w:pPr>
        <w:pStyle w:val="BodyText"/>
      </w:pPr>
      <w:r>
        <w:rPr>
          <w:bCs/>
          <w:b/>
        </w:rPr>
        <w:t xml:space="preserve">ಈ ೪ನೇ ಸೂಕ್ತವು ಸಮಾಪ್ತವು</w:t>
      </w:r>
      <w:r>
        <w:t xml:space="preserve"> </w:t>
      </w:r>
      <w:r>
        <w:t xml:space="preserve">—</w:t>
      </w:r>
      <w:r>
        <w:t xml:space="preserve"> </w:t>
      </w:r>
      <w:r>
        <w:rPr>
          <w:iCs/>
          <w:i/>
        </w:rPr>
        <w:t xml:space="preserve">ī 4ne sūktavu samāptavu</w:t>
      </w:r>
      <w:r>
        <w:t xml:space="preserve"> </w:t>
      </w:r>
      <w:r>
        <w:t xml:space="preserve">—</w:t>
      </w:r>
      <w:r>
        <w:t xml:space="preserve"> </w:t>
      </w:r>
      <w:r>
        <w:t xml:space="preserve">“</w:t>
      </w:r>
      <w:r>
        <w:t xml:space="preserve">This</w:t>
      </w:r>
      <w:r>
        <w:t xml:space="preserve"> </w:t>
      </w:r>
      <w:r>
        <w:rPr>
          <w:bCs/>
          <w:b/>
        </w:rPr>
        <w:t xml:space="preserve">fourth sūkta</w:t>
      </w:r>
      <w:r>
        <w:t xml:space="preserve"> </w:t>
      </w:r>
      <w:r>
        <w:t xml:space="preserve">is complete.</w:t>
      </w:r>
      <w:r>
        <w:t xml:space="preserve">”</w:t>
      </w:r>
    </w:p>
    <w:p>
      <w:pPr>
        <w:pStyle w:val="BodyText"/>
      </w:pPr>
      <w:r>
        <w:rPr>
          <w:bCs/>
          <w:b/>
        </w:rPr>
        <w:t xml:space="preserve">ಇಲ್ಲಿಗೆ ಪ್ರಥಮ ಮಂಡಲದಲ್ಲಿ ೪ನೆಯ ಸೂಕ್ತವೂ ಪ್ರಥಮಾಷ್ಟಕ ಪ್ರಥಮಾಧ್ಯಾಯದಲ್ಲಿ ೮ನೆಯ ವರ್ಗವೂ ಮುಗಿದುದು</w:t>
      </w:r>
      <w:r>
        <w:t xml:space="preserve"> </w:t>
      </w:r>
      <w:r>
        <w:t xml:space="preserve">—</w:t>
      </w:r>
      <w:r>
        <w:t xml:space="preserve"> </w:t>
      </w:r>
      <w:r>
        <w:rPr>
          <w:iCs/>
          <w:i/>
        </w:rPr>
        <w:t xml:space="preserve">illige prathama maṇḍaladalli 4neya sūktavū prathamāṣṭaka prathamādhyāyadalli 8neya vargavū mugidudu</w:t>
      </w:r>
      <w:r>
        <w:t xml:space="preserve"> </w:t>
      </w:r>
      <w:r>
        <w:t xml:space="preserve">—</w:t>
      </w:r>
      <w:r>
        <w:t xml:space="preserve"> </w:t>
      </w:r>
      <w:r>
        <w:t xml:space="preserve">“</w:t>
      </w:r>
      <w:r>
        <w:t xml:space="preserve">Here the fourth sūkta in the first Maṇḍala, and the eighth varga in the first Adhyāya of the first Aṣṭaka, are finished.</w:t>
      </w:r>
      <w:r>
        <w:t xml:space="preserve">”</w:t>
      </w:r>
      <w:r>
        <w:t xml:space="preserve"> </w:t>
      </w:r>
      <w:r>
        <w:rPr>
          <w:iCs/>
          <w:i/>
        </w:rPr>
        <w:t xml:space="preserve">(The numerals in this closing note are printed in small Kannada digits; I read them as</w:t>
      </w:r>
      <w:r>
        <w:rPr>
          <w:iCs/>
          <w:i/>
        </w:rPr>
        <w:t xml:space="preserve"> </w:t>
      </w:r>
      <w:r>
        <w:rPr>
          <w:iCs/>
          <w:i/>
        </w:rPr>
        <w:t xml:space="preserve">“</w:t>
      </w:r>
      <w:r>
        <w:rPr>
          <w:iCs/>
          <w:i/>
        </w:rPr>
        <w:t xml:space="preserve">4</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8,</w:t>
      </w:r>
      <w:r>
        <w:rPr>
          <w:iCs/>
          <w:i/>
        </w:rPr>
        <w:t xml:space="preserve">”</w:t>
      </w:r>
      <w:r>
        <w:rPr>
          <w:iCs/>
          <w:i/>
        </w:rPr>
        <w:t xml:space="preserve"> </w:t>
      </w:r>
      <w:r>
        <w:rPr>
          <w:iCs/>
          <w:i/>
        </w:rPr>
        <w:t xml:space="preserve">and as the next page begins</w:t>
      </w:r>
      <w:r>
        <w:rPr>
          <w:iCs/>
          <w:i/>
        </w:rPr>
        <w:t xml:space="preserve"> </w:t>
      </w:r>
      <w:r>
        <w:rPr>
          <w:iCs/>
          <w:i/>
        </w:rPr>
        <w:t xml:space="preserve">“</w:t>
      </w:r>
      <w:r>
        <w:rPr>
          <w:iCs/>
          <w:i/>
        </w:rPr>
        <w:t xml:space="preserve">the fifth sūkta,</w:t>
      </w:r>
      <w:r>
        <w:rPr>
          <w:iCs/>
          <w:i/>
        </w:rPr>
        <w:t xml:space="preserve">”</w:t>
      </w:r>
      <w:r>
        <w:rPr>
          <w:iCs/>
          <w:i/>
        </w:rPr>
        <w:t xml:space="preserve"> </w:t>
      </w:r>
      <w:r>
        <w:rPr>
          <w:iCs/>
          <w:i/>
        </w:rPr>
        <w:t xml:space="preserve">the</w:t>
      </w:r>
      <w:r>
        <w:rPr>
          <w:iCs/>
          <w:i/>
        </w:rPr>
        <w:t xml:space="preserve"> </w:t>
      </w:r>
      <w:r>
        <w:rPr>
          <w:iCs/>
          <w:i/>
        </w:rPr>
        <w:t xml:space="preserve">“</w:t>
      </w:r>
      <w:r>
        <w:rPr>
          <w:iCs/>
          <w:i/>
        </w:rPr>
        <w:t xml:space="preserve">4</w:t>
      </w:r>
      <w:r>
        <w:rPr>
          <w:iCs/>
          <w:i/>
        </w:rPr>
        <w:t xml:space="preserve">”</w:t>
      </w:r>
      <w:r>
        <w:rPr>
          <w:iCs/>
          <w:i/>
        </w:rPr>
        <w:t xml:space="preserve"> </w:t>
      </w:r>
      <w:r>
        <w:rPr>
          <w:iCs/>
          <w:i/>
        </w:rPr>
        <w:t xml:space="preserve">is secure. The</w:t>
      </w:r>
      <w:r>
        <w:rPr>
          <w:iCs/>
          <w:i/>
        </w:rPr>
        <w:t xml:space="preserve"> </w:t>
      </w:r>
      <w:r>
        <w:rPr>
          <w:iCs/>
          <w:i/>
        </w:rPr>
        <w:t xml:space="preserve">“</w:t>
      </w:r>
      <w:r>
        <w:rPr>
          <w:iCs/>
          <w:i/>
        </w:rPr>
        <w:t xml:space="preserve">8</w:t>
      </w:r>
      <w:r>
        <w:rPr>
          <w:iCs/>
          <w:i/>
        </w:rPr>
        <w:t xml:space="preserve">”</w:t>
      </w:r>
      <w:r>
        <w:rPr>
          <w:iCs/>
          <w:i/>
        </w:rPr>
        <w:t xml:space="preserve"> </w:t>
      </w:r>
      <w:r>
        <w:rPr>
          <w:iCs/>
          <w:i/>
        </w:rPr>
        <w:t xml:space="preserve">for the varga is less so, and it sits oddly with the</w:t>
      </w:r>
      <w:r>
        <w:rPr>
          <w:iCs/>
          <w:i/>
        </w:rPr>
        <w:t xml:space="preserve"> </w:t>
      </w:r>
      <w:r>
        <w:rPr>
          <w:iCs/>
          <w:i/>
        </w:rPr>
        <w:t xml:space="preserve">“</w:t>
      </w:r>
      <w:r>
        <w:rPr>
          <w:iCs/>
          <w:i/>
        </w:rPr>
        <w:t xml:space="preserve">seventh varga</w:t>
      </w:r>
      <w:r>
        <w:rPr>
          <w:iCs/>
          <w:i/>
        </w:rPr>
        <w:t xml:space="preserve">”</w:t>
      </w:r>
      <w:r>
        <w:rPr>
          <w:iCs/>
          <w:i/>
        </w:rPr>
        <w:t xml:space="preserve"> </w:t>
      </w:r>
      <w:r>
        <w:rPr>
          <w:iCs/>
          <w:i/>
        </w:rPr>
        <w:t xml:space="preserve">notes I recorded at pp. 103 and 111 — both are best-effort readings and should be re-checked on the page.)</w:t>
      </w:r>
    </w:p>
    <w:bookmarkEnd w:id="168"/>
    <w:bookmarkEnd w:id="169"/>
    <w:bookmarkStart w:id="239" w:name="sūkta-5-ā-tvetā-ni-ṣīdata"/>
    <w:p>
      <w:pPr>
        <w:pStyle w:val="Heading2"/>
      </w:pPr>
      <w:r>
        <w:t xml:space="preserve">Sūkta 5 —</w:t>
      </w:r>
      <w:r>
        <w:t xml:space="preserve"> </w:t>
      </w:r>
      <w:r>
        <w:t xml:space="preserve">“</w:t>
      </w:r>
      <w:r>
        <w:t xml:space="preserve">ā tvetā ni ṣīdata</w:t>
      </w:r>
      <w:r>
        <w:t xml:space="preserve">”</w:t>
      </w:r>
    </w:p>
    <w:bookmarkStart w:id="170" w:name="X42b6ffe499383da2dbaa42a837d67325b80a56c"/>
    <w:p>
      <w:pPr>
        <w:pStyle w:val="Heading3"/>
      </w:pPr>
      <w:r>
        <w:t xml:space="preserve">Page 136 — Sūkta 5: title; Sāyaṇa’s introduction; the Anuvāda</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5.</w:t>
      </w:r>
      <w:r>
        <w:rPr>
          <w:iCs/>
          <w:i/>
        </w:rPr>
        <w:t xml:space="preserve">”</w:t>
      </w:r>
      <w:r>
        <w:rPr>
          <w:iCs/>
          <w:i/>
        </w:rPr>
        <w:t xml:space="preserve"> </w:t>
      </w:r>
      <w:r>
        <w:rPr>
          <w:iCs/>
          <w:i/>
        </w:rPr>
        <w:t xml:space="preserve">Sanskrit printed in Kannada script, rendered letter by letter into Devanagari/IAST; [?] where unclear. Heading printed:</w:t>
      </w:r>
      <w:r>
        <w:rPr>
          <w:iCs/>
          <w:i/>
        </w:rPr>
        <w:t xml:space="preserve"> </w:t>
      </w:r>
      <w:r>
        <w:rPr>
          <w:iCs/>
          <w:i/>
        </w:rPr>
        <w:t xml:space="preserve">“</w:t>
      </w:r>
      <w:r>
        <w:rPr>
          <w:iCs/>
          <w:i/>
        </w:rPr>
        <w:t xml:space="preserve">॥ ओम् ॥ —</w:t>
      </w:r>
      <w:r>
        <w:rPr>
          <w:iCs/>
          <w:i/>
        </w:rPr>
        <w:t xml:space="preserve"> </w:t>
      </w:r>
      <w:r>
        <w:rPr>
          <w:bCs/>
          <w:b/>
          <w:iCs/>
          <w:i/>
        </w:rPr>
        <w:t xml:space="preserve">ಐದನೆಯ ಸೂಕ್ತವು</w:t>
      </w:r>
      <w:r>
        <w:rPr>
          <w:iCs/>
          <w:i/>
        </w:rPr>
        <w:t xml:space="preserve"> </w:t>
      </w:r>
      <w:r>
        <w:rPr>
          <w:iCs/>
          <w:i/>
        </w:rPr>
        <w:t xml:space="preserve">(the fifth sūkta)</w:t>
      </w:r>
      <w:r>
        <w:rPr>
          <w:iCs/>
          <w:i/>
        </w:rPr>
        <w:t xml:space="preserve">”</w:t>
      </w:r>
      <w:r>
        <w:rPr>
          <w:iCs/>
          <w:i/>
        </w:rPr>
        <w:t xml:space="preserve">.)</w:t>
      </w:r>
    </w:p>
    <w:p>
      <w:pPr>
        <w:pStyle w:val="BodyText"/>
      </w:pPr>
      <w:r>
        <w:rPr>
          <w:bCs/>
          <w:b/>
        </w:rPr>
        <w:t xml:space="preserve">॥ Sāyaṇa-bhāṣyam ॥</w:t>
      </w:r>
    </w:p>
    <w:p>
      <w:pPr>
        <w:pStyle w:val="BlockText"/>
      </w:pPr>
      <w:r>
        <w:t xml:space="preserve">आ त्वेति द्वितीयं सूक्तं दशर्चम् । सुरूपकृत्नुं दशेत्यनुवृत्त्या वा तु युञ्जन्तीत्येवमनुक्रान्तत्वात् । ऋषिच्छन्दोदेवताविनियोगाः पूर्ववत् । विशेषविनियोगस्तु । अतिरात्रे तृतीयपर्याये मैत्रावरुणशस्त्रे स्तोत्रियोऽयं तृचः । अतिरात्रे पर्यायाणामिति खण्डे आ त्वेता नि षीदत । आ. ६-४ । इत्युक्तत्वात् ॥</w:t>
      </w:r>
      <w:r>
        <w:t xml:space="preserve"> </w:t>
      </w:r>
      <w:r>
        <w:rPr>
          <w:iCs/>
          <w:i/>
        </w:rPr>
        <w:t xml:space="preserve">ā tveti dvitīyaṃ sūktaṃ daśarcam | surūpakṛtnuṃ daśety anuvṛttyā vā tu yuñjantīty evam anukrāntatvāt | ṛṣi-cchando-devatā-viniyogāḥ pūrvavat | viśeṣa-viniyogas tu | atirātre tṛtīya-paryāye maitrāvaruṇa-śastre stotriyo ’yaṃ tṛcaḥ | atirātre paryāyāṇām iti khaṇḍe ā tvetā ni ṣīdata | ā. 6-4 | ity uktatvāt ||</w:t>
      </w:r>
    </w:p>
    <w:p>
      <w:pPr>
        <w:pStyle w:val="FirstParagraph"/>
      </w:pPr>
      <w:r>
        <w:rPr>
          <w:bCs/>
          <w:b/>
        </w:rPr>
        <w:t xml:space="preserve">Translation:</w:t>
      </w:r>
      <w:r>
        <w:t xml:space="preserve"> </w:t>
      </w:r>
      <w:r>
        <w:t xml:space="preserve">“</w:t>
      </w:r>
      <w:r>
        <w:t xml:space="preserve">‘</w:t>
      </w:r>
      <w:r>
        <w:t xml:space="preserve">Ā tvā…</w:t>
      </w:r>
      <w:r>
        <w:t xml:space="preserve">’</w:t>
      </w:r>
      <w:r>
        <w:t xml:space="preserve"> </w:t>
      </w:r>
      <w:r>
        <w:t xml:space="preserve">— this second sūkta (of the anuvāka) is of ten Ṛks, because it is so listed by the Anukramaṇī:</w:t>
      </w:r>
      <w:r>
        <w:t xml:space="preserve"> </w:t>
      </w:r>
      <w:r>
        <w:t xml:space="preserve">‘</w:t>
      </w:r>
      <w:r>
        <w:rPr>
          <w:iCs/>
          <w:i/>
        </w:rPr>
        <w:t xml:space="preserve">surūpakṛtnuṃ daśa</w:t>
      </w:r>
      <w:r>
        <w:t xml:space="preserve">,</w:t>
      </w:r>
      <w:r>
        <w:t xml:space="preserve">’</w:t>
      </w:r>
      <w:r>
        <w:t xml:space="preserve"> </w:t>
      </w:r>
      <w:r>
        <w:t xml:space="preserve">by continuation (of the formula), and then</w:t>
      </w:r>
      <w:r>
        <w:t xml:space="preserve"> </w:t>
      </w:r>
      <w:r>
        <w:t xml:space="preserve">‘</w:t>
      </w:r>
      <w:r>
        <w:rPr>
          <w:iCs/>
          <w:i/>
        </w:rPr>
        <w:t xml:space="preserve">yuñjanti…</w:t>
      </w:r>
      <w:r>
        <w:t xml:space="preserve">’</w:t>
      </w:r>
      <w:r>
        <w:t xml:space="preserve"> </w:t>
      </w:r>
      <w:r>
        <w:t xml:space="preserve">(for the next one). The ṛṣi, metre, deity and the general application are as before. The special application is: in the Atirātra, in the third round (paryāya), this tṛca (the first three Ṛks) is the stotriya of the Maitrāvaruṇa-śastra; this is stated in the Sūtra (Āśvalāyana, Śrauta-sūtra 6-4), in the section</w:t>
      </w:r>
      <w:r>
        <w:t xml:space="preserve"> </w:t>
      </w:r>
      <w:r>
        <w:t xml:space="preserve">‘</w:t>
      </w:r>
      <w:r>
        <w:t xml:space="preserve">atirātre paryāyāṇām</w:t>
      </w:r>
      <w:r>
        <w:t xml:space="preserve">’</w:t>
      </w:r>
      <w:r>
        <w:t xml:space="preserve">:</w:t>
      </w:r>
      <w:r>
        <w:t xml:space="preserve"> </w:t>
      </w:r>
      <w:r>
        <w:t xml:space="preserve">‘</w:t>
      </w:r>
      <w:r>
        <w:rPr>
          <w:iCs/>
          <w:i/>
        </w:rPr>
        <w:t xml:space="preserve">ā tvetā ni ṣīdata</w:t>
      </w:r>
      <w:r>
        <w:t xml:space="preserve">.</w:t>
      </w:r>
      <w:r>
        <w:t xml:space="preserve">’</w:t>
      </w:r>
      <w:r>
        <w:t xml:space="preserve">”</w:t>
      </w:r>
      <w:r>
        <w:t xml:space="preserve"> </w:t>
      </w:r>
      <w:r>
        <w:rPr>
          <w:iCs/>
          <w:i/>
        </w:rPr>
        <w:t xml:space="preserve">(Reading notes: (i) the print’s first word reads</w:t>
      </w:r>
      <w:r>
        <w:rPr>
          <w:iCs/>
          <w:i/>
        </w:rPr>
        <w:t xml:space="preserve"> </w:t>
      </w:r>
      <w:r>
        <w:rPr>
          <w:iCs/>
          <w:i/>
        </w:rPr>
        <w:t xml:space="preserve">“</w:t>
      </w:r>
      <w:r>
        <w:rPr>
          <w:iCs/>
          <w:i/>
        </w:rPr>
        <w:t xml:space="preserve">ā tveti</w:t>
      </w:r>
      <w:r>
        <w:rPr>
          <w:iCs/>
          <w:i/>
        </w:rPr>
        <w:t xml:space="preserve">”</w:t>
      </w:r>
      <w:r>
        <w:rPr>
          <w:iCs/>
          <w:i/>
        </w:rPr>
        <w:t xml:space="preserve"> </w:t>
      </w:r>
      <w:r>
        <w:rPr>
          <w:iCs/>
          <w:i/>
        </w:rPr>
        <w:t xml:space="preserve">— the quotation of the opening words</w:t>
      </w:r>
      <w:r>
        <w:rPr>
          <w:iCs/>
          <w:i/>
        </w:rPr>
        <w:t xml:space="preserve"> </w:t>
      </w:r>
      <w:r>
        <w:rPr>
          <w:iCs/>
          <w:i/>
        </w:rPr>
        <w:t xml:space="preserve">“</w:t>
      </w:r>
      <w:r>
        <w:rPr>
          <w:iCs/>
          <w:i/>
        </w:rPr>
        <w:t xml:space="preserve">ā tvetā</w:t>
      </w:r>
      <w:r>
        <w:rPr>
          <w:iCs/>
          <w:i/>
        </w:rPr>
        <w:t xml:space="preserve">”</w:t>
      </w:r>
      <w:r>
        <w:rPr>
          <w:iCs/>
          <w:i/>
        </w:rPr>
        <w:t xml:space="preserve">; (ii) the Sūtra reference</w:t>
      </w:r>
      <w:r>
        <w:rPr>
          <w:iCs/>
          <w:i/>
        </w:rPr>
        <w:t xml:space="preserve"> </w:t>
      </w:r>
      <w:r>
        <w:rPr>
          <w:iCs/>
          <w:i/>
        </w:rPr>
        <w:t xml:space="preserve">“</w:t>
      </w:r>
      <w:r>
        <w:rPr>
          <w:iCs/>
          <w:i/>
        </w:rPr>
        <w:t xml:space="preserve">6-4</w:t>
      </w:r>
      <w:r>
        <w:rPr>
          <w:iCs/>
          <w:i/>
        </w:rPr>
        <w:t xml:space="preserve">”</w:t>
      </w:r>
      <w:r>
        <w:rPr>
          <w:iCs/>
          <w:i/>
        </w:rPr>
        <w:t xml:space="preserve"> </w:t>
      </w:r>
      <w:r>
        <w:rPr>
          <w:iCs/>
          <w:i/>
        </w:rPr>
        <w:t xml:space="preserve">is confirmed from the better scan.)</w:t>
      </w:r>
    </w:p>
    <w:p>
      <w:pPr>
        <w:pStyle w:val="BodyText"/>
      </w:pPr>
      <w:r>
        <w:rPr>
          <w:bCs/>
          <w:b/>
        </w:rPr>
        <w:t xml:space="preserve">॥ Anuvādaḥ ॥</w:t>
      </w:r>
      <w:r>
        <w:t xml:space="preserve"> </w:t>
      </w:r>
      <w:r>
        <w:rPr>
          <w:iCs/>
          <w:i/>
        </w:rPr>
        <w:t xml:space="preserve">(Kannada commentary, translated)</w:t>
      </w:r>
    </w:p>
    <w:p>
      <w:pPr>
        <w:pStyle w:val="BodyText"/>
      </w:pPr>
      <w:r>
        <w:t xml:space="preserve">The sūkta</w:t>
      </w:r>
      <w:r>
        <w:t xml:space="preserve"> </w:t>
      </w:r>
      <w:r>
        <w:t xml:space="preserve">“</w:t>
      </w:r>
      <w:r>
        <w:t xml:space="preserve">ā tvetā niṣīdata</w:t>
      </w:r>
      <w:r>
        <w:t xml:space="preserve">”</w:t>
      </w:r>
      <w:r>
        <w:t xml:space="preserve"> </w:t>
      </w:r>
      <w:r>
        <w:t xml:space="preserve">is the second sūkta of the second Anuvāka of the first Maṇḍala. Counted from the beginning of the Maṇḍala, it is the fifth. In this sūkta there are ten Ṛks. As said before, in this second Anuvāka there are four sūktas, each of ten Ṛks. The ṛṣi, deity and metre are the same as in the preceding sūkta. The special application of this sūkta: in the sacrifice called</w:t>
      </w:r>
      <w:r>
        <w:t xml:space="preserve"> </w:t>
      </w:r>
      <w:r>
        <w:rPr>
          <w:bCs/>
          <w:b/>
        </w:rPr>
        <w:t xml:space="preserve">Atirātra</w:t>
      </w:r>
      <w:r>
        <w:t xml:space="preserve">, in the third paryāya, when the Hotṛ named</w:t>
      </w:r>
      <w:r>
        <w:t xml:space="preserve"> </w:t>
      </w:r>
      <w:r>
        <w:rPr>
          <w:bCs/>
          <w:b/>
        </w:rPr>
        <w:t xml:space="preserve">Maitrāvaruṇa</w:t>
      </w:r>
      <w:r>
        <w:t xml:space="preserve"> </w:t>
      </w:r>
      <w:r>
        <w:t xml:space="preserve">recites the śastra-mantras, the three Ṛks beginning</w:t>
      </w:r>
      <w:r>
        <w:t xml:space="preserve"> </w:t>
      </w:r>
      <w:r>
        <w:t xml:space="preserve">“</w:t>
      </w:r>
      <w:r>
        <w:t xml:space="preserve">ā tvetā niṣīdata</w:t>
      </w:r>
      <w:r>
        <w:t xml:space="preserve">”</w:t>
      </w:r>
      <w:r>
        <w:t xml:space="preserve"> </w:t>
      </w:r>
      <w:r>
        <w:t xml:space="preserve">are to be recited.</w:t>
      </w:r>
    </w:p>
    <w:p>
      <w:pPr>
        <w:pStyle w:val="BodyText"/>
      </w:pPr>
      <w:r>
        <w:t xml:space="preserve">In the Anuvāda of the preceding sūkta</w:t>
      </w:r>
      <w:r>
        <w:t xml:space="preserve"> </w:t>
      </w:r>
      <w:r>
        <w:t xml:space="preserve">“</w:t>
      </w:r>
      <w:r>
        <w:t xml:space="preserve">surūpakṛtnum ūtaye,</w:t>
      </w:r>
      <w:r>
        <w:t xml:space="preserve">”</w:t>
      </w:r>
      <w:r>
        <w:t xml:space="preserve"> </w:t>
      </w:r>
      <w:r>
        <w:t xml:space="preserve">it was necessary to give an explanation of the special sacrifices —</w:t>
      </w:r>
      <w:r>
        <w:t xml:space="preserve"> </w:t>
      </w:r>
      <w:r>
        <w:rPr>
          <w:bCs/>
          <w:b/>
        </w:rPr>
        <w:t xml:space="preserve">Abhiplava-ṣaḍaha, Pṛṣṭhya-ṣaḍaha, Mahāvrata, Atirātra</w:t>
      </w:r>
      <w:r>
        <w:t xml:space="preserve"> </w:t>
      </w:r>
      <w:r>
        <w:t xml:space="preserve">— and of the special terms that must be explained in connection with the application of this sūkta —</w:t>
      </w:r>
      <w:r>
        <w:t xml:space="preserve"> </w:t>
      </w:r>
      <w:r>
        <w:rPr>
          <w:bCs/>
          <w:b/>
        </w:rPr>
        <w:t xml:space="preserve">stoma, viṣṭuti, paryāya</w:t>
      </w:r>
      <w:r>
        <w:t xml:space="preserve"> </w:t>
      </w:r>
      <w:r>
        <w:t xml:space="preserve">and others; without them the meaning of the application would not be clear. Though these particulars about sacrifice belong chiefly to the Yajurveda, they have to be explained here briefly, as the context requires. The nature of each sacrifice and the order of performing it we shall describe at length in the introduction (pūrva-pīṭhikā) to the Yajurveda Saṃhitā, which will be printed in due course. Only what concerns the present subject is given here, very briefly (in the form of a summary) —</w:t>
      </w:r>
    </w:p>
    <w:p>
      <w:pPr>
        <w:pStyle w:val="BodyText"/>
      </w:pPr>
      <w:r>
        <w:t xml:space="preserve">Among the Soma-sacrifices, there are seven chief varieties:</w:t>
      </w:r>
      <w:r>
        <w:t xml:space="preserve"> </w:t>
      </w:r>
      <w:r>
        <w:rPr>
          <w:bCs/>
          <w:b/>
        </w:rPr>
        <w:t xml:space="preserve">Agniṣṭoma, Atyagniṣṭoma, Ukthya, Ṣoḍaśī, Atirātra, Aptoryāma and Vājapeya</w:t>
      </w:r>
      <w:r>
        <w:t xml:space="preserve">, as was said earlier (Part 1, p. 667). Of these seven Soma-sacrifices the Agniṣṭoma is the</w:t>
      </w:r>
      <w:r>
        <w:t xml:space="preserve"> </w:t>
      </w:r>
      <w:r>
        <w:t xml:space="preserve">“</w:t>
      </w:r>
      <w:r>
        <w:t xml:space="preserve">prakṛti</w:t>
      </w:r>
      <w:r>
        <w:t xml:space="preserve">”</w:t>
      </w:r>
      <w:r>
        <w:t xml:space="preserve"> </w:t>
      </w:r>
      <w:r>
        <w:t xml:space="preserve">— the original model. The other six are like the Agniṣṭoma, but include some differences.</w:t>
      </w:r>
    </w:p>
    <w:bookmarkEnd w:id="170"/>
    <w:bookmarkStart w:id="171" w:name="X88f89565f77f0b39bce2ddc62bac3a119e7db36"/>
    <w:p>
      <w:pPr>
        <w:pStyle w:val="Heading3"/>
      </w:pPr>
      <w:r>
        <w:t xml:space="preserve">Page 137 — The Abhiplava-ṣaḍaha and Pṛṣṭhya-ṣaḍaha; the Stoma (opening)</w:t>
      </w:r>
    </w:p>
    <w:p>
      <w:pPr>
        <w:pStyle w:val="FirstParagraph"/>
      </w:pPr>
      <w:r>
        <w:rPr>
          <w:iCs/>
          <w:i/>
        </w:rPr>
        <w:t xml:space="preserve">(Page header:</w:t>
      </w:r>
      <w:r>
        <w:rPr>
          <w:iCs/>
          <w:i/>
        </w:rPr>
        <w:t xml:space="preserve"> </w:t>
      </w:r>
      <w:r>
        <w:rPr>
          <w:iCs/>
          <w:i/>
        </w:rPr>
        <w:t xml:space="preserve">“</w:t>
      </w:r>
      <w:r>
        <w:rPr>
          <w:iCs/>
          <w:i/>
        </w:rPr>
        <w:t xml:space="preserve">Aṣṭaka 1, Adhyāya 1, Varga 8 · Ṛgveda-saṃhitā.</w:t>
      </w:r>
      <w:r>
        <w:rPr>
          <w:iCs/>
          <w:i/>
        </w:rPr>
        <w:t xml:space="preserve">”</w:t>
      </w:r>
      <w:r>
        <w:rPr>
          <w:iCs/>
          <w:i/>
        </w:rPr>
        <w:t xml:space="preserve"> </w:t>
      </w:r>
      <w:r>
        <w:rPr>
          <w:iCs/>
          <w:i/>
        </w:rPr>
        <w:t xml:space="preserve">The Kannada numerals in the permutation list at the foot of the page are printed in Kannada digits and are given here in Arabic as I read them.)</w:t>
      </w:r>
    </w:p>
    <w:p>
      <w:pPr>
        <w:pStyle w:val="BodyText"/>
      </w:pPr>
      <w:r>
        <w:rPr>
          <w:bCs/>
          <w:b/>
        </w:rPr>
        <w:t xml:space="preserve">अभिप्लवषडह (abhiplava-ṣaḍaha), पृष्ठ्यषडह (pṛṣṭhya-ṣaḍaha)</w:t>
      </w:r>
      <w:r>
        <w:t xml:space="preserve"> </w:t>
      </w:r>
      <w:r>
        <w:t xml:space="preserve">— These sacrifices are performed over six days, and so are indicated by the word</w:t>
      </w:r>
      <w:r>
        <w:t xml:space="preserve"> </w:t>
      </w:r>
      <w:r>
        <w:t xml:space="preserve">“</w:t>
      </w:r>
      <w:r>
        <w:t xml:space="preserve">ṣaḷaha</w:t>
      </w:r>
      <w:r>
        <w:t xml:space="preserve">”</w:t>
      </w:r>
      <w:r>
        <w:t xml:space="preserve"> </w:t>
      </w:r>
      <w:r>
        <w:t xml:space="preserve">(six-day). Hence</w:t>
      </w:r>
      <w:r>
        <w:t xml:space="preserve"> </w:t>
      </w:r>
      <w:r>
        <w:t xml:space="preserve">“</w:t>
      </w:r>
      <w:r>
        <w:t xml:space="preserve">ṣaḷaha-yāga</w:t>
      </w:r>
      <w:r>
        <w:t xml:space="preserve">”</w:t>
      </w:r>
      <w:r>
        <w:t xml:space="preserve"> </w:t>
      </w:r>
      <w:r>
        <w:t xml:space="preserve">means a particular Soma-sacrifice that is to be performed on six days. The six-day Soma-sacrifice is of two kinds,</w:t>
      </w:r>
      <w:r>
        <w:t xml:space="preserve"> </w:t>
      </w:r>
      <w:r>
        <w:rPr>
          <w:bCs/>
          <w:b/>
        </w:rPr>
        <w:t xml:space="preserve">Abhiplava</w:t>
      </w:r>
      <w:r>
        <w:t xml:space="preserve"> </w:t>
      </w:r>
      <w:r>
        <w:t xml:space="preserve">and</w:t>
      </w:r>
      <w:r>
        <w:t xml:space="preserve"> </w:t>
      </w:r>
      <w:r>
        <w:rPr>
          <w:bCs/>
          <w:b/>
        </w:rPr>
        <w:t xml:space="preserve">Pṛṣṭhya</w:t>
      </w:r>
      <w:r>
        <w:t xml:space="preserve">. Āśvalāyana states their characteristics:</w:t>
      </w:r>
      <w:r>
        <w:t xml:space="preserve"> </w:t>
      </w:r>
      <w:r>
        <w:t xml:space="preserve">“</w:t>
      </w:r>
      <w:r>
        <w:rPr>
          <w:iCs/>
          <w:i/>
        </w:rPr>
        <w:t xml:space="preserve">ubhayato jyotiḥ ṣaḷahaḥ, antarato jyotiḥ ṣaḷahaḥ</w:t>
      </w:r>
      <w:r>
        <w:t xml:space="preserve">”</w:t>
      </w:r>
      <w:r>
        <w:t xml:space="preserve"> </w:t>
      </w:r>
      <w:r>
        <w:t xml:space="preserve">(उभयतो ज्योतिः षळहः, अन्तरतो ज्योतिः षळहः —</w:t>
      </w:r>
      <w:r>
        <w:t xml:space="preserve"> </w:t>
      </w:r>
      <w:r>
        <w:t xml:space="preserve">“</w:t>
      </w:r>
      <w:r>
        <w:t xml:space="preserve">a ṣaḷaha with the</w:t>
      </w:r>
      <w:r>
        <w:t xml:space="preserve"> </w:t>
      </w:r>
      <w:r>
        <w:t xml:space="preserve">‘</w:t>
      </w:r>
      <w:r>
        <w:t xml:space="preserve">light</w:t>
      </w:r>
      <w:r>
        <w:t xml:space="preserve">’</w:t>
      </w:r>
      <w:r>
        <w:t xml:space="preserve"> </w:t>
      </w:r>
      <w:r>
        <w:t xml:space="preserve">at both ends; a ṣaḷaha with the</w:t>
      </w:r>
      <w:r>
        <w:t xml:space="preserve"> </w:t>
      </w:r>
      <w:r>
        <w:t xml:space="preserve">‘</w:t>
      </w:r>
      <w:r>
        <w:t xml:space="preserve">light</w:t>
      </w:r>
      <w:r>
        <w:t xml:space="preserve">’</w:t>
      </w:r>
      <w:r>
        <w:t xml:space="preserve"> </w:t>
      </w:r>
      <w:r>
        <w:t xml:space="preserve">within</w:t>
      </w:r>
      <w:r>
        <w:t xml:space="preserve">”</w:t>
      </w:r>
      <w:r>
        <w:t xml:space="preserve">). That is: in the six-day sacrifice, the rites of the first and last days are done like the Agniṣṭoma; and the rites of the remaining days — the third, fourth, fifth and sixth [as printed; I read</w:t>
      </w:r>
      <w:r>
        <w:t xml:space="preserve"> </w:t>
      </w:r>
      <w:r>
        <w:t xml:space="preserve">“</w:t>
      </w:r>
      <w:r>
        <w:t xml:space="preserve">third … sixth,</w:t>
      </w:r>
      <w:r>
        <w:t xml:space="preserve">”</w:t>
      </w:r>
      <w:r>
        <w:t xml:space="preserve"> </w:t>
      </w:r>
      <w:r>
        <w:t xml:space="preserve">though a six-day rite has its middle days second to fifth — the print should be re-checked] — are done like the Ukthya; this Soma-sacrifice is called</w:t>
      </w:r>
      <w:r>
        <w:t xml:space="preserve"> </w:t>
      </w:r>
      <w:r>
        <w:rPr>
          <w:bCs/>
          <w:b/>
        </w:rPr>
        <w:t xml:space="preserve">Abhiplava-ṣaḍaha</w:t>
      </w:r>
      <w:r>
        <w:t xml:space="preserve">. Since the Agniṣṭoma-light (jyotis) is at the beginning and at the end of this sacrifice, it is called</w:t>
      </w:r>
      <w:r>
        <w:t xml:space="preserve"> </w:t>
      </w:r>
      <w:r>
        <w:t xml:space="preserve">“</w:t>
      </w:r>
      <w:r>
        <w:t xml:space="preserve">ubhayato-jyotiḥ.</w:t>
      </w:r>
      <w:r>
        <w:t xml:space="preserve">”</w:t>
      </w:r>
      <w:r>
        <w:t xml:space="preserve"> </w:t>
      </w:r>
      <w:r>
        <w:t xml:space="preserve">In the same way, in a six-day Soma-sacrifice in which the rites of the first and fourth days are like the Agniṣṭoma, and those of the second, third, fifth and sixth days are like the Ukthya, the special Soma-sacrifice is called</w:t>
      </w:r>
      <w:r>
        <w:t xml:space="preserve"> </w:t>
      </w:r>
      <w:r>
        <w:rPr>
          <w:bCs/>
          <w:b/>
        </w:rPr>
        <w:t xml:space="preserve">Pṛṣṭhya-ṣaḍaha</w:t>
      </w:r>
      <w:r>
        <w:t xml:space="preserve">. The middle day of this sacrifice — that is, the fourth day — being like the Agniṣṭoma, it is also called</w:t>
      </w:r>
      <w:r>
        <w:t xml:space="preserve"> </w:t>
      </w:r>
      <w:r>
        <w:t xml:space="preserve">“</w:t>
      </w:r>
      <w:r>
        <w:t xml:space="preserve">antarato-jyotiḥ.</w:t>
      </w:r>
      <w:r>
        <w:t xml:space="preserve">”</w:t>
      </w:r>
    </w:p>
    <w:p>
      <w:pPr>
        <w:pStyle w:val="BodyText"/>
      </w:pPr>
      <w:r>
        <w:t xml:space="preserve">In the Abhiplava-ṣaḍaha the odd days — the first, third and fifth — in the midday pressings (at the time when the Soma-juice is drawn out in the midday), the priests such as the Udgātṛ praise (the deities) with the sāman-chants called</w:t>
      </w:r>
      <w:r>
        <w:t xml:space="preserve"> </w:t>
      </w:r>
      <w:r>
        <w:rPr>
          <w:bCs/>
          <w:b/>
        </w:rPr>
        <w:t xml:space="preserve">Rathantara</w:t>
      </w:r>
      <w:r>
        <w:t xml:space="preserve">, and so these days are called</w:t>
      </w:r>
      <w:r>
        <w:t xml:space="preserve"> </w:t>
      </w:r>
      <w:r>
        <w:rPr>
          <w:bCs/>
          <w:b/>
        </w:rPr>
        <w:t xml:space="preserve">Rathantara-pṛṣṭha</w:t>
      </w:r>
      <w:r>
        <w:t xml:space="preserve">. Likewise the even days — the second, fourth and sixth — are called</w:t>
      </w:r>
      <w:r>
        <w:t xml:space="preserve"> </w:t>
      </w:r>
      <w:r>
        <w:rPr>
          <w:bCs/>
          <w:b/>
        </w:rPr>
        <w:t xml:space="preserve">Bṛhat-pṛṣṭha</w:t>
      </w:r>
      <w:r>
        <w:t xml:space="preserve">, because the sāman called</w:t>
      </w:r>
      <w:r>
        <w:t xml:space="preserve"> </w:t>
      </w:r>
      <w:r>
        <w:rPr>
          <w:bCs/>
          <w:b/>
        </w:rPr>
        <w:t xml:space="preserve">Bṛhat</w:t>
      </w:r>
      <w:r>
        <w:t xml:space="preserve"> </w:t>
      </w:r>
      <w:r>
        <w:t xml:space="preserve">is used. From the third day onwards, wherever the Pṛṣṭhya-stotras are recited every day, special sāman-mantras called</w:t>
      </w:r>
      <w:r>
        <w:t xml:space="preserve"> </w:t>
      </w:r>
      <w:r>
        <w:rPr>
          <w:bCs/>
          <w:b/>
        </w:rPr>
        <w:t xml:space="preserve">Vairūpa, Vairāja, Śākvara and Raivata</w:t>
      </w:r>
      <w:r>
        <w:t xml:space="preserve"> </w:t>
      </w:r>
      <w:r>
        <w:t xml:space="preserve">are sung in their place [as printed:</w:t>
      </w:r>
      <w:r>
        <w:t xml:space="preserve"> </w:t>
      </w:r>
      <w:r>
        <w:t xml:space="preserve">“</w:t>
      </w:r>
      <w:r>
        <w:t xml:space="preserve">pratikriyā (substitute)</w:t>
      </w:r>
      <w:r>
        <w:t xml:space="preserve">”</w:t>
      </w:r>
      <w:r>
        <w:t xml:space="preserve">]. At that time the priests of the Hotṛ’s group recite, in accordance with the sāman-chant, certain Ṛks called</w:t>
      </w:r>
      <w:r>
        <w:t xml:space="preserve"> </w:t>
      </w:r>
      <w:r>
        <w:rPr>
          <w:bCs/>
          <w:b/>
        </w:rPr>
        <w:t xml:space="preserve">stoma</w:t>
      </w:r>
      <w:r>
        <w:t xml:space="preserve">. The description of the stoma is as follows:</w:t>
      </w:r>
    </w:p>
    <w:p>
      <w:pPr>
        <w:pStyle w:val="BlockText"/>
      </w:pPr>
      <w:r>
        <w:t xml:space="preserve">एकं साम तृचे क्रियते । तस्य च तृचस्य आवृत्त्या ऋचां संख्या वर्धनीया भवति यो स्तोमशब्देनोच्यत इति ॥</w:t>
      </w:r>
      <w:r>
        <w:t xml:space="preserve"> </w:t>
      </w:r>
      <w:r>
        <w:rPr>
          <w:iCs/>
          <w:i/>
        </w:rPr>
        <w:t xml:space="preserve">ekaṃ sāma tṛce kriyate | tasya ca tṛcasya āvṛttyā ṛcāṃ saṃkhyā vardhanīyā bhavati yo stoma-śabdenocyata iti ||</w:t>
      </w:r>
    </w:p>
    <w:p>
      <w:pPr>
        <w:pStyle w:val="FirstParagraph"/>
      </w:pPr>
      <w:r>
        <w:rPr>
          <w:bCs/>
          <w:b/>
        </w:rPr>
        <w:t xml:space="preserve">Translation:</w:t>
      </w:r>
      <w:r>
        <w:t xml:space="preserve"> </w:t>
      </w:r>
      <w:r>
        <w:t xml:space="preserve">“</w:t>
      </w:r>
      <w:r>
        <w:t xml:space="preserve">‘</w:t>
      </w:r>
      <w:r>
        <w:t xml:space="preserve">One sāman is made (sung) on a tṛca; and by repeating that tṛca the number of Ṛks is to be increased: this (increased number) is what is called by the word</w:t>
      </w:r>
      <w:r>
        <w:t xml:space="preserve"> </w:t>
      </w:r>
      <w:r>
        <w:t xml:space="preserve">“</w:t>
      </w:r>
      <w:r>
        <w:t xml:space="preserve">stoma.</w:t>
      </w:r>
      <w:r>
        <w:t xml:space="preserve">”</w:t>
      </w:r>
      <w:r>
        <w:t xml:space="preserve">’</w:t>
      </w:r>
      <w:r>
        <w:t xml:space="preserve">”</w:t>
      </w:r>
      <w:r>
        <w:t xml:space="preserve"> </w:t>
      </w:r>
      <w:r>
        <w:rPr>
          <w:iCs/>
          <w:i/>
        </w:rPr>
        <w:t xml:space="preserve">(Reading note: the second line’s</w:t>
      </w:r>
      <w:r>
        <w:rPr>
          <w:iCs/>
          <w:i/>
        </w:rPr>
        <w:t xml:space="preserve"> </w:t>
      </w:r>
      <w:r>
        <w:rPr>
          <w:iCs/>
          <w:i/>
        </w:rPr>
        <w:t xml:space="preserve">“</w:t>
      </w:r>
      <w:r>
        <w:rPr>
          <w:iCs/>
          <w:i/>
        </w:rPr>
        <w:t xml:space="preserve">yo</w:t>
      </w:r>
      <w:r>
        <w:rPr>
          <w:iCs/>
          <w:i/>
        </w:rPr>
        <w:t xml:space="preserve">”</w:t>
      </w:r>
      <w:r>
        <w:rPr>
          <w:iCs/>
          <w:i/>
        </w:rPr>
        <w:t xml:space="preserve"> </w:t>
      </w:r>
      <w:r>
        <w:rPr>
          <w:iCs/>
          <w:i/>
        </w:rPr>
        <w:t xml:space="preserve">for the neuter-agreeing</w:t>
      </w:r>
      <w:r>
        <w:rPr>
          <w:iCs/>
          <w:i/>
        </w:rPr>
        <w:t xml:space="preserve"> </w:t>
      </w:r>
      <w:r>
        <w:rPr>
          <w:iCs/>
          <w:i/>
        </w:rPr>
        <w:t xml:space="preserve">“</w:t>
      </w:r>
      <w:r>
        <w:rPr>
          <w:iCs/>
          <w:i/>
        </w:rPr>
        <w:t xml:space="preserve">yat</w:t>
      </w:r>
      <w:r>
        <w:rPr>
          <w:iCs/>
          <w:i/>
        </w:rPr>
        <w:t xml:space="preserve">”</w:t>
      </w:r>
      <w:r>
        <w:rPr>
          <w:iCs/>
          <w:i/>
        </w:rPr>
        <w:t xml:space="preserve"> </w:t>
      </w:r>
      <w:r>
        <w:rPr>
          <w:iCs/>
          <w:i/>
        </w:rPr>
        <w:t xml:space="preserve">is as printed, and I give it so; the source of the verse is not named on the page.)</w:t>
      </w:r>
    </w:p>
    <w:p>
      <w:pPr>
        <w:pStyle w:val="BodyText"/>
      </w:pPr>
      <w:r>
        <w:t xml:space="preserve">“</w:t>
      </w:r>
      <w:r>
        <w:t xml:space="preserve">Tṛca</w:t>
      </w:r>
      <w:r>
        <w:t xml:space="preserve">”</w:t>
      </w:r>
      <w:r>
        <w:t xml:space="preserve"> </w:t>
      </w:r>
      <w:r>
        <w:t xml:space="preserve">means three Ṛks. These three Ṛks must set forth one and the same deity. Such Ṛks may be increased into many Ṛks, in various ways, by differences of arrangement (sthāna-bheda) and by reciting each Ṛk more than once. For example: a tṛca has Ṛks 1, 2, 3. These, by arrangements of order —</w:t>
      </w:r>
    </w:p>
    <w:p>
      <w:pPr>
        <w:pStyle w:val="BlockText"/>
      </w:pPr>
      <w:r>
        <w:t xml:space="preserve">1, 2, 3; 3, 2, 1; 1, 3, 2; 2, 1, 3; 2, 3, 1; 3, 1, 2 — and so on, by differences of order, and also …</w:t>
      </w:r>
      <w:r>
        <w:t xml:space="preserve"> </w:t>
      </w:r>
      <w:r>
        <w:rPr>
          <w:iCs/>
          <w:i/>
        </w:rPr>
        <w:t xml:space="preserve">(continues on the next page)</w:t>
      </w:r>
    </w:p>
    <w:bookmarkEnd w:id="171"/>
    <w:bookmarkStart w:id="172" w:name="Xe876d3af76220e3a7e028b49de55c2f78533932"/>
    <w:p>
      <w:pPr>
        <w:pStyle w:val="Heading3"/>
      </w:pPr>
      <w:r>
        <w:t xml:space="preserve">Page 138 — The Stoma: paryāya, viṣṭuti; the nine stomas and their Ṛk-counts</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5.</w:t>
      </w:r>
      <w:r>
        <w:rPr>
          <w:iCs/>
          <w:i/>
        </w:rPr>
        <w:t xml:space="preserve">”</w:t>
      </w:r>
      <w:r>
        <w:rPr>
          <w:iCs/>
          <w:i/>
        </w:rPr>
        <w:t xml:space="preserve"> </w:t>
      </w:r>
      <w:r>
        <w:rPr>
          <w:iCs/>
          <w:i/>
        </w:rPr>
        <w:t xml:space="preserve">The numerals are printed in Kannada digits; they are given here in Arabic as read, and each Ṛk-count agrees with the stoma’s name (e.g. pañcadaśa = 15), which confirms the reading. The stoma and viṣṭuti terms are Sanskrit, given in three layers where they stand as citations.)</w:t>
      </w:r>
    </w:p>
    <w:p>
      <w:pPr>
        <w:pStyle w:val="BodyText"/>
      </w:pPr>
      <w:r>
        <w:rPr>
          <w:iCs/>
          <w:i/>
        </w:rPr>
        <w:t xml:space="preserve">(Continuing the permutations from p. 137:)</w:t>
      </w:r>
      <w:r>
        <w:t xml:space="preserve"> </w:t>
      </w:r>
      <w:r>
        <w:t xml:space="preserve">…</w:t>
      </w:r>
    </w:p>
    <w:p>
      <w:pPr>
        <w:pStyle w:val="BlockText"/>
      </w:pPr>
      <w:r>
        <w:t xml:space="preserve">1, 1, 1, 2, 3; 1, 2, 2, 2, 3; 1, 2, 3, 3, 3 — and so on, by repetitions of the Ṛks beyond (a single) recitation,</w:t>
      </w:r>
    </w:p>
    <w:p>
      <w:pPr>
        <w:pStyle w:val="FirstParagraph"/>
      </w:pPr>
      <w:r>
        <w:t xml:space="preserve">when the three Ṛks are recited, they become many Ṛks. In this way, to recite the three Ṛks of a tṛca in some one order — that is, as 1, 2, 3, or as 1, 2, 3, 3, 3 and so on — is called a</w:t>
      </w:r>
      <w:r>
        <w:t xml:space="preserve"> </w:t>
      </w:r>
      <w:r>
        <w:rPr>
          <w:bCs/>
          <w:b/>
        </w:rPr>
        <w:t xml:space="preserve">paryāya</w:t>
      </w:r>
      <w:r>
        <w:t xml:space="preserve"> </w:t>
      </w:r>
      <w:r>
        <w:t xml:space="preserve">(a</w:t>
      </w:r>
      <w:r>
        <w:t xml:space="preserve"> </w:t>
      </w:r>
      <w:r>
        <w:t xml:space="preserve">“</w:t>
      </w:r>
      <w:r>
        <w:t xml:space="preserve">round</w:t>
      </w:r>
      <w:r>
        <w:t xml:space="preserve">”</w:t>
      </w:r>
      <w:r>
        <w:t xml:space="preserve">). When there are three such rounds, they form one</w:t>
      </w:r>
      <w:r>
        <w:t xml:space="preserve"> </w:t>
      </w:r>
      <w:r>
        <w:rPr>
          <w:bCs/>
          <w:b/>
        </w:rPr>
        <w:t xml:space="preserve">viṣṭuti</w:t>
      </w:r>
      <w:r>
        <w:t xml:space="preserve"> </w:t>
      </w:r>
      <w:r>
        <w:t xml:space="preserve">(</w:t>
      </w:r>
      <w:r>
        <w:t xml:space="preserve">“</w:t>
      </w:r>
      <w:r>
        <w:t xml:space="preserve">division</w:t>
      </w:r>
      <w:r>
        <w:t xml:space="preserve">”</w:t>
      </w:r>
      <w:r>
        <w:t xml:space="preserve">). Each stoma has viṣṭutis of this kind, with different names. Therefore the recitation of the tṛca of three Ṛks, in various orders in three paryāyas, is what is called a</w:t>
      </w:r>
      <w:r>
        <w:t xml:space="preserve"> </w:t>
      </w:r>
      <w:r>
        <w:rPr>
          <w:bCs/>
          <w:b/>
        </w:rPr>
        <w:t xml:space="preserve">stoma</w:t>
      </w:r>
      <w:r>
        <w:t xml:space="preserve">. Among the stomas there are nine kinds:</w:t>
      </w:r>
      <w:r>
        <w:t xml:space="preserve"> </w:t>
      </w:r>
      <w:r>
        <w:rPr>
          <w:bCs/>
          <w:b/>
        </w:rPr>
        <w:t xml:space="preserve">trivṛt, pañcadaśa, saptadaśa, ekaviṃśa, triṇava, trayastriṃśa, caturviṃśa, catuścatvāriṃśa, aṣṭācatvāriṃśa</w:t>
      </w:r>
      <w:r>
        <w:t xml:space="preserve"> </w:t>
      </w:r>
      <w:r>
        <w:t xml:space="preserve">(त्रिवृत्, पञ्चदशः, सप्तदशः, एकविंशः, त्रिणवः, त्रयस्त्रिंशः, चतुर्विंशः, चतुश्चत्वारिंशः, अष्टाचत्वारिंशः —</w:t>
      </w:r>
      <w:r>
        <w:t xml:space="preserve"> </w:t>
      </w:r>
      <w:r>
        <w:rPr>
          <w:iCs/>
          <w:i/>
        </w:rPr>
        <w:t xml:space="preserve">trivṛt, pañcadaśaḥ, saptadaśaḥ, ekaviṃśaḥ, triṇavaḥ, trayastriṃśaḥ, caturviṃśaḥ, catuścatvāriṃśaḥ, aṣṭācatvāriṃśaḥ</w:t>
      </w:r>
      <w:r>
        <w:t xml:space="preserve">;</w:t>
      </w:r>
      <w:r>
        <w:t xml:space="preserve"> </w:t>
      </w:r>
      <w:r>
        <w:t xml:space="preserve">“</w:t>
      </w:r>
      <w:r>
        <w:t xml:space="preserve">threefold, fifteenfold, seventeenfold, twenty-one-fold,</w:t>
      </w:r>
      <w:r>
        <w:t xml:space="preserve"> </w:t>
      </w:r>
      <w:r>
        <w:t xml:space="preserve">‘</w:t>
      </w:r>
      <w:r>
        <w:t xml:space="preserve">thrice-nine,</w:t>
      </w:r>
      <w:r>
        <w:t xml:space="preserve">’</w:t>
      </w:r>
      <w:r>
        <w:t xml:space="preserve"> </w:t>
      </w:r>
      <w:r>
        <w:t xml:space="preserve">thirty-three-fold, twenty-four-fold, forty-four-fold, forty-eight-fold</w:t>
      </w:r>
      <w:r>
        <w:t xml:space="preserve">”</w:t>
      </w:r>
      <w:r>
        <w:t xml:space="preserve">).</w:t>
      </w:r>
    </w:p>
    <w:p>
      <w:pPr>
        <w:pStyle w:val="BodyText"/>
      </w:pPr>
      <w:r>
        <w:t xml:space="preserve">In the</w:t>
      </w:r>
      <w:r>
        <w:t xml:space="preserve"> </w:t>
      </w:r>
      <w:r>
        <w:rPr>
          <w:bCs/>
          <w:b/>
        </w:rPr>
        <w:t xml:space="preserve">trivṛt</w:t>
      </w:r>
      <w:r>
        <w:t xml:space="preserve"> </w:t>
      </w:r>
      <w:r>
        <w:t xml:space="preserve">stoma the tṛca is recited three times in different orders; hence this stoma is called</w:t>
      </w:r>
      <w:r>
        <w:t xml:space="preserve"> </w:t>
      </w:r>
      <w:r>
        <w:t xml:space="preserve">“</w:t>
      </w:r>
      <w:r>
        <w:t xml:space="preserve">trivṛt,</w:t>
      </w:r>
      <w:r>
        <w:t xml:space="preserve">”</w:t>
      </w:r>
      <w:r>
        <w:t xml:space="preserve"> </w:t>
      </w:r>
      <w:r>
        <w:t xml:space="preserve">and the number of Ṛks of the trivṛt stoma, over three paryāyas, is</w:t>
      </w:r>
      <w:r>
        <w:t xml:space="preserve"> </w:t>
      </w:r>
      <w:r>
        <w:rPr>
          <w:bCs/>
          <w:b/>
        </w:rPr>
        <w:t xml:space="preserve">9</w:t>
      </w:r>
      <w:r>
        <w:t xml:space="preserve">. In the pañcadaśa and the other stomas, fifteen or more Ṛks are recited over three paryāyas, according to each stoma’s name: in the pañcadaśa stoma there are</w:t>
      </w:r>
      <w:r>
        <w:t xml:space="preserve"> </w:t>
      </w:r>
      <w:r>
        <w:rPr>
          <w:bCs/>
          <w:b/>
        </w:rPr>
        <w:t xml:space="preserve">15</w:t>
      </w:r>
      <w:r>
        <w:t xml:space="preserve"> </w:t>
      </w:r>
      <w:r>
        <w:t xml:space="preserve">Ṛks over three paryāyas; in the saptadaśa stoma</w:t>
      </w:r>
      <w:r>
        <w:t xml:space="preserve"> </w:t>
      </w:r>
      <w:r>
        <w:rPr>
          <w:bCs/>
          <w:b/>
        </w:rPr>
        <w:t xml:space="preserve">17</w:t>
      </w:r>
      <w:r>
        <w:t xml:space="preserve">; and so on. The stomas are thus named after their number of Ṛks. In each paryāya there is no rule that the number of Ṛks must be the same; only over the three paryāyas must the stated number of Ṛks be found in the viṣṭutis of each stoma. The details are as follows: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Stoma</w:t>
            </w:r>
          </w:p>
        </w:tc>
        <w:tc>
          <w:tcPr/>
          <w:p>
            <w:pPr>
              <w:pStyle w:val="Compact"/>
              <w:jc w:val="left"/>
            </w:pPr>
            <w:r>
              <w:t xml:space="preserve">Ṛks over three paryāyas</w:t>
            </w:r>
          </w:p>
        </w:tc>
      </w:tr>
      <w:tr>
        <w:tc>
          <w:tcPr/>
          <w:p>
            <w:pPr>
              <w:pStyle w:val="Compact"/>
              <w:jc w:val="left"/>
            </w:pPr>
            <w:r>
              <w:t xml:space="preserve">(1)</w:t>
            </w:r>
          </w:p>
        </w:tc>
        <w:tc>
          <w:tcPr/>
          <w:p>
            <w:pPr>
              <w:pStyle w:val="Compact"/>
              <w:jc w:val="left"/>
            </w:pPr>
            <w:r>
              <w:t xml:space="preserve">trivṛt-stoma (त्रिवृत्स्तोम,</w:t>
            </w:r>
            <w:r>
              <w:t xml:space="preserve"> </w:t>
            </w:r>
            <w:r>
              <w:rPr>
                <w:iCs/>
                <w:i/>
              </w:rPr>
              <w:t xml:space="preserve">trivṛt-stoma</w:t>
            </w:r>
            <w:r>
              <w:t xml:space="preserve">)</w:t>
            </w:r>
          </w:p>
        </w:tc>
        <w:tc>
          <w:tcPr/>
          <w:p>
            <w:pPr>
              <w:pStyle w:val="Compact"/>
              <w:jc w:val="left"/>
            </w:pPr>
            <w:r>
              <w:t xml:space="preserve">9</w:t>
            </w:r>
          </w:p>
        </w:tc>
      </w:tr>
      <w:tr>
        <w:tc>
          <w:tcPr/>
          <w:p>
            <w:pPr>
              <w:pStyle w:val="Compact"/>
              <w:jc w:val="left"/>
            </w:pPr>
            <w:r>
              <w:t xml:space="preserve">(2)</w:t>
            </w:r>
          </w:p>
        </w:tc>
        <w:tc>
          <w:tcPr/>
          <w:p>
            <w:pPr>
              <w:pStyle w:val="Compact"/>
              <w:jc w:val="left"/>
            </w:pPr>
            <w:r>
              <w:t xml:space="preserve">pañcadaśa-stoma (पञ्चदशस्तोम,</w:t>
            </w:r>
            <w:r>
              <w:t xml:space="preserve"> </w:t>
            </w:r>
            <w:r>
              <w:rPr>
                <w:iCs/>
                <w:i/>
              </w:rPr>
              <w:t xml:space="preserve">pañcadaśa-stoma</w:t>
            </w:r>
            <w:r>
              <w:t xml:space="preserve">)</w:t>
            </w:r>
          </w:p>
        </w:tc>
        <w:tc>
          <w:tcPr/>
          <w:p>
            <w:pPr>
              <w:pStyle w:val="Compact"/>
              <w:jc w:val="left"/>
            </w:pPr>
            <w:r>
              <w:t xml:space="preserve">15</w:t>
            </w:r>
          </w:p>
        </w:tc>
      </w:tr>
      <w:tr>
        <w:tc>
          <w:tcPr/>
          <w:p>
            <w:pPr>
              <w:pStyle w:val="Compact"/>
              <w:jc w:val="left"/>
            </w:pPr>
            <w:r>
              <w:t xml:space="preserve">(3)</w:t>
            </w:r>
          </w:p>
        </w:tc>
        <w:tc>
          <w:tcPr/>
          <w:p>
            <w:pPr>
              <w:pStyle w:val="Compact"/>
              <w:jc w:val="left"/>
            </w:pPr>
            <w:r>
              <w:t xml:space="preserve">saptadaśa-stoma (सप्तदशस्तोम,</w:t>
            </w:r>
            <w:r>
              <w:t xml:space="preserve"> </w:t>
            </w:r>
            <w:r>
              <w:rPr>
                <w:iCs/>
                <w:i/>
              </w:rPr>
              <w:t xml:space="preserve">saptadaśa-stoma</w:t>
            </w:r>
            <w:r>
              <w:t xml:space="preserve">)</w:t>
            </w:r>
          </w:p>
        </w:tc>
        <w:tc>
          <w:tcPr/>
          <w:p>
            <w:pPr>
              <w:pStyle w:val="Compact"/>
              <w:jc w:val="left"/>
            </w:pPr>
            <w:r>
              <w:t xml:space="preserve">17</w:t>
            </w:r>
          </w:p>
        </w:tc>
      </w:tr>
      <w:tr>
        <w:tc>
          <w:tcPr/>
          <w:p>
            <w:pPr>
              <w:pStyle w:val="Compact"/>
              <w:jc w:val="left"/>
            </w:pPr>
            <w:r>
              <w:t xml:space="preserve">(4)</w:t>
            </w:r>
          </w:p>
        </w:tc>
        <w:tc>
          <w:tcPr/>
          <w:p>
            <w:pPr>
              <w:pStyle w:val="Compact"/>
              <w:jc w:val="left"/>
            </w:pPr>
            <w:r>
              <w:t xml:space="preserve">ekaviṃśa-stoma (एकविंशस्तोम,</w:t>
            </w:r>
            <w:r>
              <w:t xml:space="preserve"> </w:t>
            </w:r>
            <w:r>
              <w:rPr>
                <w:iCs/>
                <w:i/>
              </w:rPr>
              <w:t xml:space="preserve">ekaviṃśa-stoma</w:t>
            </w:r>
            <w:r>
              <w:t xml:space="preserve">)</w:t>
            </w:r>
          </w:p>
        </w:tc>
        <w:tc>
          <w:tcPr/>
          <w:p>
            <w:pPr>
              <w:pStyle w:val="Compact"/>
              <w:jc w:val="left"/>
            </w:pPr>
            <w:r>
              <w:t xml:space="preserve">21</w:t>
            </w:r>
          </w:p>
        </w:tc>
      </w:tr>
      <w:tr>
        <w:tc>
          <w:tcPr/>
          <w:p>
            <w:pPr>
              <w:pStyle w:val="Compact"/>
              <w:jc w:val="left"/>
            </w:pPr>
            <w:r>
              <w:t xml:space="preserve">(5)</w:t>
            </w:r>
          </w:p>
        </w:tc>
        <w:tc>
          <w:tcPr/>
          <w:p>
            <w:pPr>
              <w:pStyle w:val="Compact"/>
              <w:jc w:val="left"/>
            </w:pPr>
            <w:r>
              <w:t xml:space="preserve">triṇava-stoma (त्रिणवस्तोम,</w:t>
            </w:r>
            <w:r>
              <w:t xml:space="preserve"> </w:t>
            </w:r>
            <w:r>
              <w:rPr>
                <w:iCs/>
                <w:i/>
              </w:rPr>
              <w:t xml:space="preserve">triṇava-stoma</w:t>
            </w:r>
            <w:r>
              <w:t xml:space="preserve">)</w:t>
            </w:r>
          </w:p>
        </w:tc>
        <w:tc>
          <w:tcPr/>
          <w:p>
            <w:pPr>
              <w:pStyle w:val="Compact"/>
              <w:jc w:val="left"/>
            </w:pPr>
            <w:r>
              <w:t xml:space="preserve">27</w:t>
            </w:r>
          </w:p>
        </w:tc>
      </w:tr>
      <w:tr>
        <w:tc>
          <w:tcPr/>
          <w:p>
            <w:pPr>
              <w:pStyle w:val="Compact"/>
              <w:jc w:val="left"/>
            </w:pPr>
            <w:r>
              <w:t xml:space="preserve">(6)</w:t>
            </w:r>
          </w:p>
        </w:tc>
        <w:tc>
          <w:tcPr/>
          <w:p>
            <w:pPr>
              <w:pStyle w:val="Compact"/>
              <w:jc w:val="left"/>
            </w:pPr>
            <w:r>
              <w:t xml:space="preserve">trayastriṃśa-stoma (त्रयस्त्रिंशस्तोम,</w:t>
            </w:r>
            <w:r>
              <w:t xml:space="preserve"> </w:t>
            </w:r>
            <w:r>
              <w:rPr>
                <w:iCs/>
                <w:i/>
              </w:rPr>
              <w:t xml:space="preserve">trayastriṃśa-stoma</w:t>
            </w:r>
            <w:r>
              <w:t xml:space="preserve">)</w:t>
            </w:r>
          </w:p>
        </w:tc>
        <w:tc>
          <w:tcPr/>
          <w:p>
            <w:pPr>
              <w:pStyle w:val="Compact"/>
              <w:jc w:val="left"/>
            </w:pPr>
            <w:r>
              <w:t xml:space="preserve">33</w:t>
            </w:r>
          </w:p>
        </w:tc>
      </w:tr>
      <w:tr>
        <w:tc>
          <w:tcPr/>
          <w:p>
            <w:pPr>
              <w:pStyle w:val="Compact"/>
              <w:jc w:val="left"/>
            </w:pPr>
            <w:r>
              <w:t xml:space="preserve">(7)</w:t>
            </w:r>
          </w:p>
        </w:tc>
        <w:tc>
          <w:tcPr/>
          <w:p>
            <w:pPr>
              <w:pStyle w:val="Compact"/>
              <w:jc w:val="left"/>
            </w:pPr>
            <w:r>
              <w:t xml:space="preserve">caturviṃśa-stoma (चतुर्विंशस्तोम,</w:t>
            </w:r>
            <w:r>
              <w:t xml:space="preserve"> </w:t>
            </w:r>
            <w:r>
              <w:rPr>
                <w:iCs/>
                <w:i/>
              </w:rPr>
              <w:t xml:space="preserve">caturviṃśa-stoma</w:t>
            </w:r>
            <w:r>
              <w:t xml:space="preserve">)</w:t>
            </w:r>
          </w:p>
        </w:tc>
        <w:tc>
          <w:tcPr/>
          <w:p>
            <w:pPr>
              <w:pStyle w:val="Compact"/>
              <w:jc w:val="left"/>
            </w:pPr>
            <w:r>
              <w:t xml:space="preserve">24</w:t>
            </w:r>
          </w:p>
        </w:tc>
      </w:tr>
      <w:tr>
        <w:tc>
          <w:tcPr/>
          <w:p>
            <w:pPr>
              <w:pStyle w:val="Compact"/>
              <w:jc w:val="left"/>
            </w:pPr>
            <w:r>
              <w:t xml:space="preserve">(8)</w:t>
            </w:r>
          </w:p>
        </w:tc>
        <w:tc>
          <w:tcPr/>
          <w:p>
            <w:pPr>
              <w:pStyle w:val="Compact"/>
              <w:jc w:val="left"/>
            </w:pPr>
            <w:r>
              <w:t xml:space="preserve">catuścatvāriṃśa-stoma (चतुश्चत्वारिंशस्तोम,</w:t>
            </w:r>
            <w:r>
              <w:t xml:space="preserve"> </w:t>
            </w:r>
            <w:r>
              <w:rPr>
                <w:iCs/>
                <w:i/>
              </w:rPr>
              <w:t xml:space="preserve">catuścatvāriṃśa-stoma</w:t>
            </w:r>
            <w:r>
              <w:t xml:space="preserve">)</w:t>
            </w:r>
          </w:p>
        </w:tc>
        <w:tc>
          <w:tcPr/>
          <w:p>
            <w:pPr>
              <w:pStyle w:val="Compact"/>
              <w:jc w:val="left"/>
            </w:pPr>
            <w:r>
              <w:t xml:space="preserve">44</w:t>
            </w:r>
          </w:p>
        </w:tc>
      </w:tr>
      <w:tr>
        <w:tc>
          <w:tcPr/>
          <w:p>
            <w:pPr>
              <w:pStyle w:val="Compact"/>
              <w:jc w:val="left"/>
            </w:pPr>
            <w:r>
              <w:t xml:space="preserve">(9)</w:t>
            </w:r>
          </w:p>
        </w:tc>
        <w:tc>
          <w:tcPr/>
          <w:p>
            <w:pPr>
              <w:pStyle w:val="Compact"/>
              <w:jc w:val="left"/>
            </w:pPr>
            <w:r>
              <w:t xml:space="preserve">aṣṭācatvāriṃśa-stoma (अष्टाचत्वारिंशस्तोम,</w:t>
            </w:r>
            <w:r>
              <w:t xml:space="preserve"> </w:t>
            </w:r>
            <w:r>
              <w:rPr>
                <w:iCs/>
                <w:i/>
              </w:rPr>
              <w:t xml:space="preserve">aṣṭācatvāriṃśa-stoma</w:t>
            </w:r>
            <w:r>
              <w:t xml:space="preserve">)</w:t>
            </w:r>
          </w:p>
        </w:tc>
        <w:tc>
          <w:tcPr/>
          <w:p>
            <w:pPr>
              <w:pStyle w:val="Compact"/>
              <w:jc w:val="left"/>
            </w:pPr>
            <w:r>
              <w:t xml:space="preserve">48</w:t>
            </w:r>
          </w:p>
        </w:tc>
      </w:tr>
    </w:tbl>
    <w:p>
      <w:pPr>
        <w:pStyle w:val="BodyText"/>
      </w:pPr>
      <w:r>
        <w:t xml:space="preserve">In this way the number of Ṛks of the nine stomas corresponds to each stoma’s name. This number is to be applied to each viṣṭuti within the stoma. That is, the trivṛt stoma …</w:t>
      </w:r>
      <w:r>
        <w:t xml:space="preserve"> </w:t>
      </w:r>
      <w:r>
        <w:rPr>
          <w:iCs/>
          <w:i/>
        </w:rPr>
        <w:t xml:space="preserve">(continues on the next page)</w:t>
      </w:r>
    </w:p>
    <w:bookmarkEnd w:id="172"/>
    <w:bookmarkStart w:id="173" w:name="Xdb4fc12319402a42bafdbf8e273eda19604d550"/>
    <w:p>
      <w:pPr>
        <w:pStyle w:val="Heading3"/>
      </w:pPr>
      <w:r>
        <w:t xml:space="preserve">Page 139 — The viṣṭutis of each stoma (the list of thirty)</w:t>
      </w:r>
    </w:p>
    <w:p>
      <w:pPr>
        <w:pStyle w:val="FirstParagraph"/>
      </w:pPr>
      <w:r>
        <w:rPr>
          <w:iCs/>
          <w:i/>
        </w:rPr>
        <w:t xml:space="preserve">(Correction note: on pp. 136–139 I first wrote this technical term as</w:t>
      </w:r>
      <w:r>
        <w:rPr>
          <w:iCs/>
          <w:i/>
        </w:rPr>
        <w:t xml:space="preserve"> </w:t>
      </w:r>
      <w:r>
        <w:rPr>
          <w:iCs/>
          <w:i/>
        </w:rPr>
        <w:t xml:space="preserve">“</w:t>
      </w:r>
      <w:r>
        <w:rPr>
          <w:iCs/>
          <w:i/>
        </w:rPr>
        <w:t xml:space="preserve">vispṛti</w:t>
      </w:r>
      <w:r>
        <w:rPr>
          <w:iCs/>
          <w:i/>
        </w:rPr>
        <w:t xml:space="preserve">”</w:t>
      </w:r>
      <w:r>
        <w:rPr>
          <w:iCs/>
          <w:i/>
        </w:rPr>
        <w:t xml:space="preserve"> </w:t>
      </w:r>
      <w:r>
        <w:rPr>
          <w:iCs/>
          <w:i/>
        </w:rPr>
        <w:t xml:space="preserve">/</w:t>
      </w:r>
      <w:r>
        <w:rPr>
          <w:iCs/>
          <w:i/>
        </w:rPr>
        <w:t xml:space="preserve"> </w:t>
      </w:r>
      <w:r>
        <w:rPr>
          <w:iCs/>
          <w:i/>
        </w:rPr>
        <w:t xml:space="preserve">“</w:t>
      </w:r>
      <w:r>
        <w:rPr>
          <w:iCs/>
          <w:i/>
        </w:rPr>
        <w:t xml:space="preserve">vipṛti [?]</w:t>
      </w:r>
      <w:r>
        <w:rPr>
          <w:iCs/>
          <w:i/>
        </w:rPr>
        <w:t xml:space="preserve">”</w:t>
      </w:r>
      <w:r>
        <w:rPr>
          <w:iCs/>
          <w:i/>
        </w:rPr>
        <w:t xml:space="preserve">; the Kannada print on pp. 138–140 reads ವಿಷ್ಟುತಿ, i.e. </w:t>
      </w:r>
      <w:r>
        <w:rPr>
          <w:bCs/>
          <w:b/>
          <w:iCs/>
          <w:i/>
        </w:rPr>
        <w:t xml:space="preserve">viṣṭuti</w:t>
      </w:r>
      <w:r>
        <w:rPr>
          <w:iCs/>
          <w:i/>
        </w:rPr>
        <w:t xml:space="preserve">, and the text of those pages has been corrected in place to that spelling.)</w:t>
      </w:r>
    </w:p>
    <w:p>
      <w:pPr>
        <w:pStyle w:val="BodyText"/>
      </w:pPr>
      <w:r>
        <w:rPr>
          <w:iCs/>
          <w:i/>
        </w:rPr>
        <w:t xml:space="preserve">(Page header:</w:t>
      </w:r>
      <w:r>
        <w:rPr>
          <w:iCs/>
          <w:i/>
        </w:rPr>
        <w:t xml:space="preserve"> </w:t>
      </w:r>
      <w:r>
        <w:rPr>
          <w:iCs/>
          <w:i/>
        </w:rPr>
        <w:t xml:space="preserve">“</w:t>
      </w:r>
      <w:r>
        <w:rPr>
          <w:iCs/>
          <w:i/>
        </w:rPr>
        <w:t xml:space="preserve">Aṣṭaka 1, Adhyāya 1, Varga 8 · Ṛgveda-saṃhitā.</w:t>
      </w:r>
      <w:r>
        <w:rPr>
          <w:iCs/>
          <w:i/>
        </w:rPr>
        <w:t xml:space="preserve">”</w:t>
      </w:r>
      <w:r>
        <w:rPr>
          <w:iCs/>
          <w:i/>
        </w:rPr>
        <w:t xml:space="preserve"> </w:t>
      </w:r>
      <w:r>
        <w:rPr>
          <w:iCs/>
          <w:i/>
        </w:rPr>
        <w:t xml:space="preserve">The viṣṭuti names are Sanskrit, printed in Kannada script, and are rendered in all three layers (Devanagari, IAST, with the Kannada’s own gloss where it gives one). Where a name is uncertain in the print I mark it [?]; I translate no name that the source does not itself explain.)</w:t>
      </w:r>
    </w:p>
    <w:p>
      <w:pPr>
        <w:pStyle w:val="BodyText"/>
      </w:pPr>
      <w:r>
        <w:rPr>
          <w:iCs/>
          <w:i/>
        </w:rPr>
        <w:t xml:space="preserve">(Continuing:)</w:t>
      </w:r>
      <w:r>
        <w:t xml:space="preserve"> </w:t>
      </w:r>
      <w:r>
        <w:t xml:space="preserve">…the trivṛt stoma has three viṣṭutis, and so it is to be understood that each viṣṭuti has 9 Ṛks over its three paryāyas; the three viṣṭutis together make not 9 but 27 Ṛks, and so on.</w:t>
      </w:r>
      <w:r>
        <w:t xml:space="preserve"> </w:t>
      </w:r>
      <w:r>
        <w:rPr>
          <w:iCs/>
          <w:i/>
        </w:rPr>
        <w:t xml:space="preserve">(The Ṛk-figure</w:t>
      </w:r>
      <w:r>
        <w:rPr>
          <w:iCs/>
          <w:i/>
        </w:rPr>
        <w:t xml:space="preserve"> </w:t>
      </w:r>
      <w:r>
        <w:rPr>
          <w:iCs/>
          <w:i/>
        </w:rPr>
        <w:t xml:space="preserve">“</w:t>
      </w:r>
      <w:r>
        <w:rPr>
          <w:iCs/>
          <w:i/>
        </w:rPr>
        <w:t xml:space="preserve">27</w:t>
      </w:r>
      <w:r>
        <w:rPr>
          <w:iCs/>
          <w:i/>
        </w:rPr>
        <w:t xml:space="preserve">”</w:t>
      </w:r>
      <w:r>
        <w:rPr>
          <w:iCs/>
          <w:i/>
        </w:rPr>
        <w:t xml:space="preserve"> </w:t>
      </w:r>
      <w:r>
        <w:rPr>
          <w:iCs/>
          <w:i/>
        </w:rPr>
        <w:t xml:space="preserve">is the product the sentence implies, 3 × 9; the print’s numeral is small and I give it with [?].)</w:t>
      </w:r>
    </w:p>
    <w:p>
      <w:pPr>
        <w:pStyle w:val="BodyText"/>
      </w:pPr>
      <w:r>
        <w:t xml:space="preserve">It was said earlier that each stoma has many viṣṭutis. Their list is given below.</w:t>
      </w:r>
    </w:p>
    <w:p>
      <w:pPr>
        <w:pStyle w:val="BodyText"/>
      </w:pPr>
      <w:r>
        <w:rPr>
          <w:bCs/>
          <w:b/>
        </w:rPr>
        <w:t xml:space="preserve">I. For the trivṛt stoma</w:t>
      </w:r>
      <w:r>
        <w:t xml:space="preserve"> </w:t>
      </w:r>
      <w:r>
        <w:t xml:space="preserve">— three viṣṭutis: (1)</w:t>
      </w:r>
      <w:r>
        <w:t xml:space="preserve"> </w:t>
      </w:r>
      <w:r>
        <w:rPr>
          <w:bCs/>
          <w:b/>
        </w:rPr>
        <w:t xml:space="preserve">उद्यती</w:t>
      </w:r>
      <w:r>
        <w:t xml:space="preserve"> </w:t>
      </w:r>
      <w:r>
        <w:t xml:space="preserve">(</w:t>
      </w:r>
      <w:r>
        <w:rPr>
          <w:iCs/>
          <w:i/>
        </w:rPr>
        <w:t xml:space="preserve">udyatī</w:t>
      </w:r>
      <w:r>
        <w:t xml:space="preserve">), (2)</w:t>
      </w:r>
      <w:r>
        <w:t xml:space="preserve"> </w:t>
      </w:r>
      <w:r>
        <w:rPr>
          <w:bCs/>
          <w:b/>
        </w:rPr>
        <w:t xml:space="preserve">परिवर्तिनी</w:t>
      </w:r>
      <w:r>
        <w:t xml:space="preserve"> </w:t>
      </w:r>
      <w:r>
        <w:t xml:space="preserve">(</w:t>
      </w:r>
      <w:r>
        <w:rPr>
          <w:iCs/>
          <w:i/>
        </w:rPr>
        <w:t xml:space="preserve">parivartinī</w:t>
      </w:r>
      <w:r>
        <w:t xml:space="preserve">), (3)</w:t>
      </w:r>
      <w:r>
        <w:t xml:space="preserve"> </w:t>
      </w:r>
      <w:r>
        <w:rPr>
          <w:bCs/>
          <w:b/>
        </w:rPr>
        <w:t xml:space="preserve">कुलायिनी</w:t>
      </w:r>
      <w:r>
        <w:t xml:space="preserve"> </w:t>
      </w:r>
      <w:r>
        <w:t xml:space="preserve">(</w:t>
      </w:r>
      <w:r>
        <w:rPr>
          <w:iCs/>
          <w:i/>
        </w:rPr>
        <w:t xml:space="preserve">kulāyinī</w:t>
      </w:r>
      <w:r>
        <w:t xml:space="preserve">).</w:t>
      </w:r>
    </w:p>
    <w:p>
      <w:pPr>
        <w:pStyle w:val="BodyText"/>
      </w:pPr>
      <w:r>
        <w:rPr>
          <w:bCs/>
          <w:b/>
        </w:rPr>
        <w:t xml:space="preserve">II. For the pañcadaśa stoma</w:t>
      </w:r>
      <w:r>
        <w:t xml:space="preserve"> </w:t>
      </w:r>
      <w:r>
        <w:t xml:space="preserve">— three viṣṭutis: (1)</w:t>
      </w:r>
      <w:r>
        <w:t xml:space="preserve"> </w:t>
      </w:r>
      <w:r>
        <w:rPr>
          <w:bCs/>
          <w:b/>
        </w:rPr>
        <w:t xml:space="preserve">पञ्चपञ्चिनी</w:t>
      </w:r>
      <w:r>
        <w:t xml:space="preserve"> </w:t>
      </w:r>
      <w:r>
        <w:t xml:space="preserve">(</w:t>
      </w:r>
      <w:r>
        <w:rPr>
          <w:iCs/>
          <w:i/>
        </w:rPr>
        <w:t xml:space="preserve">pañcapañcinī</w:t>
      </w:r>
      <w:r>
        <w:t xml:space="preserve">), (2)</w:t>
      </w:r>
      <w:r>
        <w:t xml:space="preserve"> </w:t>
      </w:r>
      <w:r>
        <w:rPr>
          <w:bCs/>
          <w:b/>
        </w:rPr>
        <w:t xml:space="preserve">उद्यती प्रथमा</w:t>
      </w:r>
      <w:r>
        <w:t xml:space="preserve"> </w:t>
      </w:r>
      <w:r>
        <w:t xml:space="preserve">(</w:t>
      </w:r>
      <w:r>
        <w:rPr>
          <w:iCs/>
          <w:i/>
        </w:rPr>
        <w:t xml:space="preserve">udyatī prathamā</w:t>
      </w:r>
      <w:r>
        <w:t xml:space="preserve">), (3)</w:t>
      </w:r>
      <w:r>
        <w:t xml:space="preserve"> </w:t>
      </w:r>
      <w:r>
        <w:rPr>
          <w:bCs/>
          <w:b/>
        </w:rPr>
        <w:t xml:space="preserve">उद्यती द्वितीया</w:t>
      </w:r>
      <w:r>
        <w:t xml:space="preserve"> </w:t>
      </w:r>
      <w:r>
        <w:t xml:space="preserve">(</w:t>
      </w:r>
      <w:r>
        <w:rPr>
          <w:iCs/>
          <w:i/>
        </w:rPr>
        <w:t xml:space="preserve">udyatī dvitīyā</w:t>
      </w:r>
      <w:r>
        <w:t xml:space="preserve">).</w:t>
      </w:r>
    </w:p>
    <w:p>
      <w:pPr>
        <w:pStyle w:val="BodyText"/>
      </w:pPr>
      <w:r>
        <w:rPr>
          <w:bCs/>
          <w:b/>
        </w:rPr>
        <w:t xml:space="preserve">III. For the saptadaśa stoma</w:t>
      </w:r>
      <w:r>
        <w:t xml:space="preserve"> </w:t>
      </w:r>
      <w:r>
        <w:t xml:space="preserve">— seven viṣṭutis: (1)</w:t>
      </w:r>
      <w:r>
        <w:t xml:space="preserve"> </w:t>
      </w:r>
      <w:r>
        <w:rPr>
          <w:bCs/>
          <w:b/>
        </w:rPr>
        <w:t xml:space="preserve">दशसप्ता प्रथमा</w:t>
      </w:r>
      <w:r>
        <w:t xml:space="preserve"> </w:t>
      </w:r>
      <w:r>
        <w:t xml:space="preserve">(</w:t>
      </w:r>
      <w:r>
        <w:rPr>
          <w:iCs/>
          <w:i/>
        </w:rPr>
        <w:t xml:space="preserve">daśasaptā prathamā</w:t>
      </w:r>
      <w:r>
        <w:t xml:space="preserve">), (2)</w:t>
      </w:r>
      <w:r>
        <w:t xml:space="preserve"> </w:t>
      </w:r>
      <w:r>
        <w:rPr>
          <w:bCs/>
          <w:b/>
        </w:rPr>
        <w:t xml:space="preserve">दशसप्ता द्वितीया</w:t>
      </w:r>
      <w:r>
        <w:t xml:space="preserve"> </w:t>
      </w:r>
      <w:r>
        <w:t xml:space="preserve">(</w:t>
      </w:r>
      <w:r>
        <w:rPr>
          <w:iCs/>
          <w:i/>
        </w:rPr>
        <w:t xml:space="preserve">daśasaptā dvitīyā</w:t>
      </w:r>
      <w:r>
        <w:t xml:space="preserve">), (3)</w:t>
      </w:r>
      <w:r>
        <w:t xml:space="preserve"> </w:t>
      </w:r>
      <w:r>
        <w:rPr>
          <w:bCs/>
          <w:b/>
        </w:rPr>
        <w:t xml:space="preserve">सप्तस्थिता प्रथमा</w:t>
      </w:r>
      <w:r>
        <w:t xml:space="preserve"> </w:t>
      </w:r>
      <w:r>
        <w:t xml:space="preserve">(</w:t>
      </w:r>
      <w:r>
        <w:rPr>
          <w:iCs/>
          <w:i/>
        </w:rPr>
        <w:t xml:space="preserve">saptasthitā prathamā</w:t>
      </w:r>
      <w:r>
        <w:t xml:space="preserve">), (4)</w:t>
      </w:r>
      <w:r>
        <w:t xml:space="preserve"> </w:t>
      </w:r>
      <w:r>
        <w:rPr>
          <w:bCs/>
          <w:b/>
        </w:rPr>
        <w:t xml:space="preserve">सप्तस्थिता द्वितीया</w:t>
      </w:r>
      <w:r>
        <w:t xml:space="preserve"> </w:t>
      </w:r>
      <w:r>
        <w:t xml:space="preserve">(</w:t>
      </w:r>
      <w:r>
        <w:rPr>
          <w:iCs/>
          <w:i/>
        </w:rPr>
        <w:t xml:space="preserve">saptasthitā dvitīyā</w:t>
      </w:r>
      <w:r>
        <w:t xml:space="preserve">), (5)</w:t>
      </w:r>
      <w:r>
        <w:t xml:space="preserve"> </w:t>
      </w:r>
      <w:r>
        <w:rPr>
          <w:bCs/>
          <w:b/>
        </w:rPr>
        <w:t xml:space="preserve">अनामिका</w:t>
      </w:r>
      <w:r>
        <w:t xml:space="preserve"> </w:t>
      </w:r>
      <w:r>
        <w:t xml:space="preserve">(</w:t>
      </w:r>
      <w:r>
        <w:rPr>
          <w:iCs/>
          <w:i/>
        </w:rPr>
        <w:t xml:space="preserve">anāmikā</w:t>
      </w:r>
      <w:r>
        <w:t xml:space="preserve">), (6)</w:t>
      </w:r>
      <w:r>
        <w:t xml:space="preserve"> </w:t>
      </w:r>
      <w:r>
        <w:rPr>
          <w:bCs/>
          <w:b/>
        </w:rPr>
        <w:t xml:space="preserve">उद्यती</w:t>
      </w:r>
      <w:r>
        <w:t xml:space="preserve"> </w:t>
      </w:r>
      <w:r>
        <w:t xml:space="preserve">(</w:t>
      </w:r>
      <w:r>
        <w:rPr>
          <w:iCs/>
          <w:i/>
        </w:rPr>
        <w:t xml:space="preserve">udyatī</w:t>
      </w:r>
      <w:r>
        <w:t xml:space="preserve">), (7)</w:t>
      </w:r>
      <w:r>
        <w:t xml:space="preserve"> </w:t>
      </w:r>
      <w:r>
        <w:rPr>
          <w:bCs/>
          <w:b/>
        </w:rPr>
        <w:t xml:space="preserve">भस्त्रा</w:t>
      </w:r>
      <w:r>
        <w:t xml:space="preserve"> </w:t>
      </w:r>
      <w:r>
        <w:t xml:space="preserve">(</w:t>
      </w:r>
      <w:r>
        <w:rPr>
          <w:iCs/>
          <w:i/>
        </w:rPr>
        <w:t xml:space="preserve">bhastrā</w:t>
      </w:r>
      <w:r>
        <w:t xml:space="preserve">).</w:t>
      </w:r>
    </w:p>
    <w:p>
      <w:pPr>
        <w:pStyle w:val="BodyText"/>
      </w:pPr>
      <w:r>
        <w:rPr>
          <w:bCs/>
          <w:b/>
        </w:rPr>
        <w:t xml:space="preserve">IV. For the ekaviṃśa stoma</w:t>
      </w:r>
      <w:r>
        <w:t xml:space="preserve"> </w:t>
      </w:r>
      <w:r>
        <w:t xml:space="preserve">— four viṣṭutis: (1)</w:t>
      </w:r>
      <w:r>
        <w:t xml:space="preserve"> </w:t>
      </w:r>
      <w:r>
        <w:rPr>
          <w:bCs/>
          <w:b/>
        </w:rPr>
        <w:t xml:space="preserve">सप्तसप्तिनी</w:t>
      </w:r>
      <w:r>
        <w:t xml:space="preserve"> </w:t>
      </w:r>
      <w:r>
        <w:t xml:space="preserve">(</w:t>
      </w:r>
      <w:r>
        <w:rPr>
          <w:iCs/>
          <w:i/>
        </w:rPr>
        <w:t xml:space="preserve">saptasaptinī</w:t>
      </w:r>
      <w:r>
        <w:t xml:space="preserve">), (2)</w:t>
      </w:r>
      <w:r>
        <w:t xml:space="preserve"> </w:t>
      </w:r>
      <w:r>
        <w:rPr>
          <w:bCs/>
          <w:b/>
        </w:rPr>
        <w:t xml:space="preserve">उद्यती</w:t>
      </w:r>
      <w:r>
        <w:t xml:space="preserve"> </w:t>
      </w:r>
      <w:r>
        <w:t xml:space="preserve">(</w:t>
      </w:r>
      <w:r>
        <w:rPr>
          <w:iCs/>
          <w:i/>
        </w:rPr>
        <w:t xml:space="preserve">udyatī</w:t>
      </w:r>
      <w:r>
        <w:t xml:space="preserve">), (3)</w:t>
      </w:r>
      <w:r>
        <w:t xml:space="preserve"> </w:t>
      </w:r>
      <w:r>
        <w:rPr>
          <w:bCs/>
          <w:b/>
        </w:rPr>
        <w:t xml:space="preserve">प्रतिष्टुतिः</w:t>
      </w:r>
      <w:r>
        <w:t xml:space="preserve"> </w:t>
      </w:r>
      <w:r>
        <w:t xml:space="preserve">(</w:t>
      </w:r>
      <w:r>
        <w:rPr>
          <w:iCs/>
          <w:i/>
        </w:rPr>
        <w:t xml:space="preserve">pratiṣṭutiḥ</w:t>
      </w:r>
      <w:r>
        <w:t xml:space="preserve"> </w:t>
      </w:r>
      <w:r>
        <w:t xml:space="preserve">[?]), (4)</w:t>
      </w:r>
      <w:r>
        <w:t xml:space="preserve"> </w:t>
      </w:r>
      <w:r>
        <w:rPr>
          <w:bCs/>
          <w:b/>
        </w:rPr>
        <w:t xml:space="preserve">सूर्मी</w:t>
      </w:r>
      <w:r>
        <w:t xml:space="preserve"> </w:t>
      </w:r>
      <w:r>
        <w:t xml:space="preserve">(</w:t>
      </w:r>
      <w:r>
        <w:rPr>
          <w:iCs/>
          <w:i/>
        </w:rPr>
        <w:t xml:space="preserve">sūrmī</w:t>
      </w:r>
      <w:r>
        <w:t xml:space="preserve"> </w:t>
      </w:r>
      <w:r>
        <w:t xml:space="preserve">[?]).</w:t>
      </w:r>
    </w:p>
    <w:p>
      <w:pPr>
        <w:pStyle w:val="BodyText"/>
      </w:pPr>
      <w:r>
        <w:rPr>
          <w:bCs/>
          <w:b/>
        </w:rPr>
        <w:t xml:space="preserve">V. For the triṇava stoma</w:t>
      </w:r>
      <w:r>
        <w:t xml:space="preserve"> </w:t>
      </w:r>
      <w:r>
        <w:t xml:space="preserve">— two viṣṭutis: (1)</w:t>
      </w:r>
      <w:r>
        <w:t xml:space="preserve"> </w:t>
      </w:r>
      <w:r>
        <w:rPr>
          <w:bCs/>
          <w:b/>
        </w:rPr>
        <w:t xml:space="preserve">प्रतिष्ठिता</w:t>
      </w:r>
      <w:r>
        <w:t xml:space="preserve"> </w:t>
      </w:r>
      <w:r>
        <w:t xml:space="preserve">(</w:t>
      </w:r>
      <w:r>
        <w:rPr>
          <w:iCs/>
          <w:i/>
        </w:rPr>
        <w:t xml:space="preserve">pratiṣṭhitā</w:t>
      </w:r>
      <w:r>
        <w:t xml:space="preserve">), (2)</w:t>
      </w:r>
      <w:r>
        <w:t xml:space="preserve"> </w:t>
      </w:r>
      <w:r>
        <w:rPr>
          <w:bCs/>
          <w:b/>
        </w:rPr>
        <w:t xml:space="preserve">उद्यती</w:t>
      </w:r>
      <w:r>
        <w:t xml:space="preserve"> </w:t>
      </w:r>
      <w:r>
        <w:t xml:space="preserve">(</w:t>
      </w:r>
      <w:r>
        <w:rPr>
          <w:iCs/>
          <w:i/>
        </w:rPr>
        <w:t xml:space="preserve">udyatī</w:t>
      </w:r>
      <w:r>
        <w:t xml:space="preserve">).</w:t>
      </w:r>
    </w:p>
    <w:p>
      <w:pPr>
        <w:pStyle w:val="BodyText"/>
      </w:pPr>
      <w:r>
        <w:rPr>
          <w:bCs/>
          <w:b/>
        </w:rPr>
        <w:t xml:space="preserve">VI. For the trayastriṃśa stoma</w:t>
      </w:r>
      <w:r>
        <w:t xml:space="preserve"> </w:t>
      </w:r>
      <w:r>
        <w:t xml:space="preserve">— five viṣṭutis: (1)</w:t>
      </w:r>
      <w:r>
        <w:t xml:space="preserve"> </w:t>
      </w:r>
      <w:r>
        <w:rPr>
          <w:bCs/>
          <w:b/>
        </w:rPr>
        <w:t xml:space="preserve">समत्र्यंशा</w:t>
      </w:r>
      <w:r>
        <w:t xml:space="preserve"> </w:t>
      </w:r>
      <w:r>
        <w:t xml:space="preserve">(</w:t>
      </w:r>
      <w:r>
        <w:rPr>
          <w:iCs/>
          <w:i/>
        </w:rPr>
        <w:t xml:space="preserve">samatryaṃśā</w:t>
      </w:r>
      <w:r>
        <w:t xml:space="preserve">), (2)</w:t>
      </w:r>
      <w:r>
        <w:t xml:space="preserve"> </w:t>
      </w:r>
      <w:r>
        <w:rPr>
          <w:bCs/>
          <w:b/>
        </w:rPr>
        <w:t xml:space="preserve">नेदीयस्संक्रमा</w:t>
      </w:r>
      <w:r>
        <w:t xml:space="preserve"> </w:t>
      </w:r>
      <w:r>
        <w:t xml:space="preserve">(</w:t>
      </w:r>
      <w:r>
        <w:rPr>
          <w:iCs/>
          <w:i/>
        </w:rPr>
        <w:t xml:space="preserve">nedīyassaṃkramā</w:t>
      </w:r>
      <w:r>
        <w:t xml:space="preserve">), (3)</w:t>
      </w:r>
      <w:r>
        <w:t xml:space="preserve"> </w:t>
      </w:r>
      <w:r>
        <w:rPr>
          <w:bCs/>
          <w:b/>
        </w:rPr>
        <w:t xml:space="preserve">उद्यती</w:t>
      </w:r>
      <w:r>
        <w:t xml:space="preserve"> </w:t>
      </w:r>
      <w:r>
        <w:t xml:space="preserve">(</w:t>
      </w:r>
      <w:r>
        <w:rPr>
          <w:iCs/>
          <w:i/>
        </w:rPr>
        <w:t xml:space="preserve">udyatī</w:t>
      </w:r>
      <w:r>
        <w:t xml:space="preserve">), (4)</w:t>
      </w:r>
      <w:r>
        <w:t xml:space="preserve"> </w:t>
      </w:r>
      <w:r>
        <w:rPr>
          <w:bCs/>
          <w:b/>
        </w:rPr>
        <w:t xml:space="preserve">प्रत्यवरोहिणी</w:t>
      </w:r>
      <w:r>
        <w:t xml:space="preserve"> </w:t>
      </w:r>
      <w:r>
        <w:t xml:space="preserve">(</w:t>
      </w:r>
      <w:r>
        <w:rPr>
          <w:iCs/>
          <w:i/>
        </w:rPr>
        <w:t xml:space="preserve">pratyavarohiṇī</w:t>
      </w:r>
      <w:r>
        <w:t xml:space="preserve">), (5)</w:t>
      </w:r>
      <w:r>
        <w:t xml:space="preserve"> </w:t>
      </w:r>
      <w:r>
        <w:rPr>
          <w:bCs/>
          <w:b/>
        </w:rPr>
        <w:t xml:space="preserve">अन्तिमा</w:t>
      </w:r>
      <w:r>
        <w:t xml:space="preserve"> </w:t>
      </w:r>
      <w:r>
        <w:t xml:space="preserve">(</w:t>
      </w:r>
      <w:r>
        <w:rPr>
          <w:iCs/>
          <w:i/>
        </w:rPr>
        <w:t xml:space="preserve">antimā</w:t>
      </w:r>
      <w:r>
        <w:t xml:space="preserve">).</w:t>
      </w:r>
    </w:p>
    <w:p>
      <w:pPr>
        <w:pStyle w:val="BodyText"/>
      </w:pPr>
      <w:r>
        <w:rPr>
          <w:bCs/>
          <w:b/>
        </w:rPr>
        <w:t xml:space="preserve">VII. For the caturviṃśa stoma</w:t>
      </w:r>
      <w:r>
        <w:t xml:space="preserve"> </w:t>
      </w:r>
      <w:r>
        <w:t xml:space="preserve">— it has one viṣṭuti only.</w:t>
      </w:r>
    </w:p>
    <w:p>
      <w:pPr>
        <w:pStyle w:val="BodyText"/>
      </w:pPr>
      <w:r>
        <w:rPr>
          <w:bCs/>
          <w:b/>
        </w:rPr>
        <w:t xml:space="preserve">VIII. For the catuścatvāriṃśa stoma</w:t>
      </w:r>
      <w:r>
        <w:t xml:space="preserve"> </w:t>
      </w:r>
      <w:r>
        <w:t xml:space="preserve">— three viṣṭutis: (1)</w:t>
      </w:r>
      <w:r>
        <w:t xml:space="preserve"> </w:t>
      </w:r>
      <w:r>
        <w:rPr>
          <w:bCs/>
          <w:b/>
        </w:rPr>
        <w:t xml:space="preserve">प्रथमा</w:t>
      </w:r>
      <w:r>
        <w:t xml:space="preserve"> </w:t>
      </w:r>
      <w:r>
        <w:t xml:space="preserve">(</w:t>
      </w:r>
      <w:r>
        <w:rPr>
          <w:iCs/>
          <w:i/>
        </w:rPr>
        <w:t xml:space="preserve">prathamā</w:t>
      </w:r>
      <w:r>
        <w:t xml:space="preserve">), (2)</w:t>
      </w:r>
      <w:r>
        <w:t xml:space="preserve"> </w:t>
      </w:r>
      <w:r>
        <w:rPr>
          <w:bCs/>
          <w:b/>
        </w:rPr>
        <w:t xml:space="preserve">निर्मध्या</w:t>
      </w:r>
      <w:r>
        <w:t xml:space="preserve"> </w:t>
      </w:r>
      <w:r>
        <w:t xml:space="preserve">(</w:t>
      </w:r>
      <w:r>
        <w:rPr>
          <w:iCs/>
          <w:i/>
        </w:rPr>
        <w:t xml:space="preserve">nirmadhyā</w:t>
      </w:r>
      <w:r>
        <w:t xml:space="preserve">), (3)</w:t>
      </w:r>
      <w:r>
        <w:t xml:space="preserve"> </w:t>
      </w:r>
      <w:r>
        <w:rPr>
          <w:bCs/>
          <w:b/>
        </w:rPr>
        <w:t xml:space="preserve">तृतीया</w:t>
      </w:r>
      <w:r>
        <w:t xml:space="preserve"> </w:t>
      </w:r>
      <w:r>
        <w:t xml:space="preserve">(</w:t>
      </w:r>
      <w:r>
        <w:rPr>
          <w:iCs/>
          <w:i/>
        </w:rPr>
        <w:t xml:space="preserve">tṛtīyā</w:t>
      </w:r>
      <w:r>
        <w:t xml:space="preserve">).</w:t>
      </w:r>
    </w:p>
    <w:p>
      <w:pPr>
        <w:pStyle w:val="BodyText"/>
      </w:pPr>
      <w:r>
        <w:rPr>
          <w:bCs/>
          <w:b/>
        </w:rPr>
        <w:t xml:space="preserve">IX. For the aṣṭācatvāriṃśa stoma</w:t>
      </w:r>
      <w:r>
        <w:t xml:space="preserve"> </w:t>
      </w:r>
      <w:r>
        <w:t xml:space="preserve">— two viṣṭutis: (1)</w:t>
      </w:r>
      <w:r>
        <w:t xml:space="preserve"> </w:t>
      </w:r>
      <w:r>
        <w:rPr>
          <w:bCs/>
          <w:b/>
        </w:rPr>
        <w:t xml:space="preserve">प्रथमा</w:t>
      </w:r>
      <w:r>
        <w:t xml:space="preserve"> </w:t>
      </w:r>
      <w:r>
        <w:t xml:space="preserve">(</w:t>
      </w:r>
      <w:r>
        <w:rPr>
          <w:iCs/>
          <w:i/>
        </w:rPr>
        <w:t xml:space="preserve">prathamā</w:t>
      </w:r>
      <w:r>
        <w:t xml:space="preserve">), (2)</w:t>
      </w:r>
      <w:r>
        <w:t xml:space="preserve"> </w:t>
      </w:r>
      <w:r>
        <w:rPr>
          <w:bCs/>
          <w:b/>
        </w:rPr>
        <w:t xml:space="preserve">नेदीयस्संक्रमा</w:t>
      </w:r>
      <w:r>
        <w:t xml:space="preserve"> </w:t>
      </w:r>
      <w:r>
        <w:t xml:space="preserve">(</w:t>
      </w:r>
      <w:r>
        <w:rPr>
          <w:iCs/>
          <w:i/>
        </w:rPr>
        <w:t xml:space="preserve">nedīyassaṃkramā</w:t>
      </w:r>
      <w:r>
        <w:t xml:space="preserve">).</w:t>
      </w:r>
    </w:p>
    <w:p>
      <w:pPr>
        <w:pStyle w:val="BodyText"/>
      </w:pPr>
      <w:r>
        <w:t xml:space="preserve">In all, the nine stomas have</w:t>
      </w:r>
      <w:r>
        <w:t xml:space="preserve"> </w:t>
      </w:r>
      <w:r>
        <w:rPr>
          <w:bCs/>
          <w:b/>
        </w:rPr>
        <w:t xml:space="preserve">thirty viṣṭutis</w:t>
      </w:r>
      <w:r>
        <w:t xml:space="preserve"> </w:t>
      </w:r>
      <w:r>
        <w:t xml:space="preserve">(3 + 3 + 7 + 4 + 2 + 5 + 1 + 3 + 2 = 30, which agrees with the source’s own total).</w:t>
      </w:r>
    </w:p>
    <w:p>
      <w:pPr>
        <w:pStyle w:val="BodyText"/>
      </w:pPr>
      <w:r>
        <w:rPr>
          <w:iCs/>
          <w:i/>
        </w:rPr>
        <w:t xml:space="preserve">(Note: the print’s spellings of the viṣṭuti names — e.g. </w:t>
      </w:r>
      <w:r>
        <w:rPr>
          <w:iCs/>
          <w:i/>
        </w:rPr>
        <w:t xml:space="preserve">“</w:t>
      </w:r>
      <w:r>
        <w:rPr>
          <w:iCs/>
          <w:i/>
        </w:rPr>
        <w:t xml:space="preserve">samatryaṃśā,</w:t>
      </w:r>
      <w:r>
        <w:rPr>
          <w:iCs/>
          <w:i/>
        </w:rPr>
        <w:t xml:space="preserve">”</w:t>
      </w:r>
      <w:r>
        <w:rPr>
          <w:iCs/>
          <w:i/>
        </w:rPr>
        <w:t xml:space="preserve"> </w:t>
      </w:r>
      <w:r>
        <w:rPr>
          <w:iCs/>
          <w:i/>
        </w:rPr>
        <w:t xml:space="preserve">“</w:t>
      </w:r>
      <w:r>
        <w:rPr>
          <w:iCs/>
          <w:i/>
        </w:rPr>
        <w:t xml:space="preserve">pratyavarohiṇī,</w:t>
      </w:r>
      <w:r>
        <w:rPr>
          <w:iCs/>
          <w:i/>
        </w:rPr>
        <w:t xml:space="preserve">”</w:t>
      </w:r>
      <w:r>
        <w:rPr>
          <w:iCs/>
          <w:i/>
        </w:rPr>
        <w:t xml:space="preserve"> </w:t>
      </w:r>
      <w:r>
        <w:rPr>
          <w:iCs/>
          <w:i/>
        </w:rPr>
        <w:t xml:space="preserve">“</w:t>
      </w:r>
      <w:r>
        <w:rPr>
          <w:iCs/>
          <w:i/>
        </w:rPr>
        <w:t xml:space="preserve">nedīyassaṃkramā</w:t>
      </w:r>
      <w:r>
        <w:rPr>
          <w:iCs/>
          <w:i/>
        </w:rPr>
        <w:t xml:space="preserve">”</w:t>
      </w:r>
      <w:r>
        <w:rPr>
          <w:iCs/>
          <w:i/>
        </w:rPr>
        <w:t xml:space="preserve"> </w:t>
      </w:r>
      <w:r>
        <w:rPr>
          <w:iCs/>
          <w:i/>
        </w:rPr>
        <w:t xml:space="preserve">— are given as I read them; they are technical names whose meaning the source does not explain on this page, and I give no translation of them.)</w:t>
      </w:r>
    </w:p>
    <w:bookmarkEnd w:id="173"/>
    <w:bookmarkStart w:id="174" w:name="Xa963d58e61601052fbb356faf11ca58ae6e8f00"/>
    <w:p>
      <w:pPr>
        <w:pStyle w:val="Heading3"/>
      </w:pPr>
      <w:r>
        <w:t xml:space="preserve">Page 140 — The trivṛt stoma: the viṣṭuti</w:t>
      </w:r>
      <w:r>
        <w:t xml:space="preserve"> </w:t>
      </w:r>
      <w:r>
        <w:t xml:space="preserve">“</w:t>
      </w:r>
      <w:r>
        <w:t xml:space="preserve">udyatī</w:t>
      </w:r>
      <w:r>
        <w:t xml:space="preserve">”</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5.</w:t>
      </w:r>
      <w:r>
        <w:rPr>
          <w:iCs/>
          <w:i/>
        </w:rPr>
        <w:t xml:space="preserve">”</w:t>
      </w:r>
      <w:r>
        <w:rPr>
          <w:iCs/>
          <w:i/>
        </w:rPr>
        <w:t xml:space="preserve"> </w:t>
      </w:r>
      <w:r>
        <w:rPr>
          <w:iCs/>
          <w:i/>
        </w:rPr>
        <w:t xml:space="preserve">Heading printed:</w:t>
      </w:r>
      <w:r>
        <w:rPr>
          <w:iCs/>
          <w:i/>
        </w:rPr>
        <w:t xml:space="preserve"> </w:t>
      </w:r>
      <w:r>
        <w:rPr>
          <w:iCs/>
          <w:i/>
        </w:rPr>
        <w:t xml:space="preserve">“</w:t>
      </w:r>
      <w:r>
        <w:rPr>
          <w:iCs/>
          <w:i/>
        </w:rPr>
        <w:t xml:space="preserve">ತ್ರಿವೃತ್ಸ್ತೋಮದ ವಿವರಣೆಯು</w:t>
      </w:r>
      <w:r>
        <w:rPr>
          <w:iCs/>
          <w:i/>
        </w:rPr>
        <w:t xml:space="preserve">”</w:t>
      </w:r>
      <w:r>
        <w:rPr>
          <w:iCs/>
          <w:i/>
        </w:rPr>
        <w:t xml:space="preserve"> </w:t>
      </w:r>
      <w:r>
        <w:rPr>
          <w:iCs/>
          <w:i/>
        </w:rPr>
        <w:t xml:space="preserve">—</w:t>
      </w:r>
      <w:r>
        <w:rPr>
          <w:iCs/>
          <w:i/>
        </w:rPr>
        <w:t xml:space="preserve"> </w:t>
      </w:r>
      <w:r>
        <w:rPr>
          <w:iCs/>
          <w:i/>
        </w:rPr>
        <w:t xml:space="preserve">“</w:t>
      </w:r>
      <w:r>
        <w:rPr>
          <w:iCs/>
          <w:i/>
        </w:rPr>
        <w:t xml:space="preserve">Explanation of the trivṛt stoma.</w:t>
      </w:r>
      <w:r>
        <w:rPr>
          <w:iCs/>
          <w:i/>
        </w:rPr>
        <w:t xml:space="preserve">”</w:t>
      </w:r>
      <w:r>
        <w:rPr>
          <w:iCs/>
          <w:i/>
        </w:rPr>
        <w:t xml:space="preserve"> </w:t>
      </w:r>
      <w:r>
        <w:rPr>
          <w:iCs/>
          <w:i/>
        </w:rPr>
        <w:t xml:space="preserve">The Sanskrit quotation is printed in Kannada script; rendered in three layers.)</w:t>
      </w:r>
    </w:p>
    <w:p>
      <w:pPr>
        <w:pStyle w:val="BodyText"/>
      </w:pPr>
      <w:r>
        <w:rPr>
          <w:bCs/>
          <w:b/>
        </w:rPr>
        <w:t xml:space="preserve">त्रिवृत्स्तोमस्य विवरणम् (trivṛt-stomasya vivaraṇam)</w:t>
      </w:r>
      <w:r>
        <w:t xml:space="preserve"> </w:t>
      </w:r>
      <w:r>
        <w:t xml:space="preserve">— Now, taking as examples the order of the three viṣṭutis of the trivṛt stoma —</w:t>
      </w:r>
      <w:r>
        <w:t xml:space="preserve"> </w:t>
      </w:r>
      <w:r>
        <w:rPr>
          <w:bCs/>
          <w:b/>
        </w:rPr>
        <w:t xml:space="preserve">udyatī, parivartinī, kulāyinī</w:t>
      </w:r>
      <w:r>
        <w:t xml:space="preserve"> </w:t>
      </w:r>
      <w:r>
        <w:t xml:space="preserve">— and the order of the viṣṭuti called</w:t>
      </w:r>
      <w:r>
        <w:t xml:space="preserve"> </w:t>
      </w:r>
      <w:r>
        <w:rPr>
          <w:bCs/>
          <w:b/>
        </w:rPr>
        <w:t xml:space="preserve">udyatī</w:t>
      </w:r>
      <w:r>
        <w:t xml:space="preserve"> </w:t>
      </w:r>
      <w:r>
        <w:t xml:space="preserve">of the pañcadaśa stoma, the orders of the viṣṭutis of the nine stomas, trivṛt and the rest, will be explained, giving (only) the numbers of the Ṛks of the tṛca in the three paryāyas. The order of reciting the viṣṭuti</w:t>
      </w:r>
      <w:r>
        <w:t xml:space="preserve"> </w:t>
      </w:r>
      <w:r>
        <w:rPr>
          <w:bCs/>
          <w:b/>
        </w:rPr>
        <w:t xml:space="preserve">udyatī</w:t>
      </w:r>
      <w:r>
        <w:t xml:space="preserve"> </w:t>
      </w:r>
      <w:r>
        <w:t xml:space="preserve">of the trivṛt stoma is thus stated in the</w:t>
      </w:r>
      <w:r>
        <w:t xml:space="preserve"> </w:t>
      </w:r>
      <w:r>
        <w:rPr>
          <w:bCs/>
          <w:b/>
        </w:rPr>
        <w:t xml:space="preserve">Tāṇḍya-brāhmaṇa</w:t>
      </w:r>
      <w:r>
        <w:t xml:space="preserve"> </w:t>
      </w:r>
      <w:r>
        <w:t xml:space="preserve">of the Sāmaveda:</w:t>
      </w:r>
    </w:p>
    <w:p>
      <w:pPr>
        <w:pStyle w:val="BlockText"/>
      </w:pPr>
      <w:r>
        <w:t xml:space="preserve">तिसृभ्यो हिंकरोति स पराचीभिः ।</w:t>
      </w:r>
      <w:r>
        <w:t xml:space="preserve"> </w:t>
      </w:r>
      <w:r>
        <w:t xml:space="preserve">तिसृभ्यो हिंकरोति स पराचीभिः ।</w:t>
      </w:r>
      <w:r>
        <w:t xml:space="preserve"> </w:t>
      </w:r>
      <w:r>
        <w:t xml:space="preserve">तिसृभ्यो हिंकरोति स पराचीभिरुद्यती त्रिवृतो विष्टुतिरिति ।</w:t>
      </w:r>
      <w:r>
        <w:t xml:space="preserve"> </w:t>
      </w:r>
      <w:r>
        <w:rPr>
          <w:iCs/>
          <w:i/>
        </w:rPr>
        <w:t xml:space="preserve">tisṛbhyo hiṃkaroti sa parācībhiḥ |</w:t>
      </w:r>
      <w:r>
        <w:t xml:space="preserve"> </w:t>
      </w:r>
      <w:r>
        <w:rPr>
          <w:iCs/>
          <w:i/>
        </w:rPr>
        <w:t xml:space="preserve">tisṛbhyo hiṃkaroti sa parācībhiḥ |</w:t>
      </w:r>
      <w:r>
        <w:t xml:space="preserve"> </w:t>
      </w:r>
      <w:r>
        <w:rPr>
          <w:iCs/>
          <w:i/>
        </w:rPr>
        <w:t xml:space="preserve">tisṛbhyo hiṃkaroti sa parācībhir udyatī trivṛto viṣṭutir iti |</w:t>
      </w:r>
    </w:p>
    <w:p>
      <w:pPr>
        <w:pStyle w:val="FirstParagraph"/>
      </w:pPr>
      <w:r>
        <w:rPr>
          <w:bCs/>
          <w:b/>
        </w:rPr>
        <w:t xml:space="preserve">Translation (mine, following the Kannada gloss that comes next):</w:t>
      </w:r>
      <w:r>
        <w:t xml:space="preserve"> </w:t>
      </w:r>
      <w:r>
        <w:t xml:space="preserve">“</w:t>
      </w:r>
      <w:r>
        <w:t xml:space="preserve">‘</w:t>
      </w:r>
      <w:r>
        <w:t xml:space="preserve">He makes the hiṃkāra on the three (Ṛks)</w:t>
      </w:r>
      <w:r>
        <w:t xml:space="preserve">’</w:t>
      </w:r>
      <w:r>
        <w:t xml:space="preserve">: thus</w:t>
      </w:r>
      <w:r>
        <w:t xml:space="preserve"> </w:t>
      </w:r>
      <w:r>
        <w:t xml:space="preserve">‘</w:t>
      </w:r>
      <w:r>
        <w:t xml:space="preserve">with the parācī (ones)</w:t>
      </w:r>
      <w:r>
        <w:t xml:space="preserve">’</w:t>
      </w:r>
      <w:r>
        <w:t xml:space="preserve">; (said) three times;</w:t>
      </w:r>
      <w:r>
        <w:t xml:space="preserve"> </w:t>
      </w:r>
      <w:r>
        <w:t xml:space="preserve">‘</w:t>
      </w:r>
      <w:r>
        <w:t xml:space="preserve">the udyatī is the viṣṭuti of the trivṛt.</w:t>
      </w:r>
      <w:r>
        <w:t xml:space="preserve">’</w:t>
      </w:r>
      <w:r>
        <w:t xml:space="preserve">”</w:t>
      </w:r>
      <w:r>
        <w:t xml:space="preserve"> </w:t>
      </w:r>
      <w:r>
        <w:rPr>
          <w:iCs/>
          <w:i/>
        </w:rPr>
        <w:t xml:space="preserve">(The source does not name the book’s section and I do not add one. The word</w:t>
      </w:r>
      <w:r>
        <w:rPr>
          <w:iCs/>
          <w:i/>
        </w:rPr>
        <w:t xml:space="preserve"> </w:t>
      </w:r>
      <w:r>
        <w:rPr>
          <w:iCs/>
          <w:i/>
        </w:rPr>
        <w:t xml:space="preserve">“</w:t>
      </w:r>
      <w:r>
        <w:rPr>
          <w:iCs/>
          <w:i/>
        </w:rPr>
        <w:t xml:space="preserve">parācībhiḥ</w:t>
      </w:r>
      <w:r>
        <w:rPr>
          <w:iCs/>
          <w:i/>
        </w:rPr>
        <w:t xml:space="preserve">”</w:t>
      </w:r>
      <w:r>
        <w:rPr>
          <w:iCs/>
          <w:i/>
        </w:rPr>
        <w:t xml:space="preserve"> </w:t>
      </w:r>
      <w:r>
        <w:rPr>
          <w:iCs/>
          <w:i/>
        </w:rPr>
        <w:t xml:space="preserve">is explained by the Kannada as</w:t>
      </w:r>
      <w:r>
        <w:rPr>
          <w:iCs/>
          <w:i/>
        </w:rPr>
        <w:t xml:space="preserve"> </w:t>
      </w:r>
      <w:r>
        <w:rPr>
          <w:iCs/>
          <w:i/>
        </w:rPr>
        <w:t xml:space="preserve">“</w:t>
      </w:r>
      <w:r>
        <w:rPr>
          <w:iCs/>
          <w:i/>
        </w:rPr>
        <w:t xml:space="preserve">in the order that is in the Veda.</w:t>
      </w:r>
      <w:r>
        <w:rPr>
          <w:iCs/>
          <w:i/>
        </w:rPr>
        <w:t xml:space="preserve">”</w:t>
      </w:r>
      <w:r>
        <w:rPr>
          <w:iCs/>
          <w:i/>
        </w:rPr>
        <w:t xml:space="preserve">)</w:t>
      </w:r>
    </w:p>
    <w:p>
      <w:pPr>
        <w:pStyle w:val="BodyText"/>
      </w:pPr>
      <w:r>
        <w:t xml:space="preserve">The sense:</w:t>
      </w:r>
      <w:r>
        <w:t xml:space="preserve"> </w:t>
      </w:r>
      <w:r>
        <w:t xml:space="preserve">“</w:t>
      </w:r>
      <w:r>
        <w:t xml:space="preserve">tisṛbhyo hiṃkaroti</w:t>
      </w:r>
      <w:r>
        <w:t xml:space="preserve">”</w:t>
      </w:r>
      <w:r>
        <w:t xml:space="preserve"> </w:t>
      </w:r>
      <w:r>
        <w:t xml:space="preserve">means</w:t>
      </w:r>
      <w:r>
        <w:t xml:space="preserve"> </w:t>
      </w:r>
      <w:r>
        <w:t xml:space="preserve">“</w:t>
      </w:r>
      <w:r>
        <w:t xml:space="preserve">the Udgātṛ chants the three Ṛks of the tṛca.</w:t>
      </w:r>
      <w:r>
        <w:t xml:space="preserve">”</w:t>
      </w:r>
      <w:r>
        <w:t xml:space="preserve"> </w:t>
      </w:r>
      <w:r>
        <w:t xml:space="preserve">“</w:t>
      </w:r>
      <w:r>
        <w:t xml:space="preserve">Parācībhiḥ</w:t>
      </w:r>
      <w:r>
        <w:t xml:space="preserve">”</w:t>
      </w:r>
      <w:r>
        <w:t xml:space="preserve"> </w:t>
      </w:r>
      <w:r>
        <w:t xml:space="preserve">means</w:t>
      </w:r>
      <w:r>
        <w:t xml:space="preserve"> </w:t>
      </w:r>
      <w:r>
        <w:t xml:space="preserve">“</w:t>
      </w:r>
      <w:r>
        <w:t xml:space="preserve">in the order that is in the Veda.</w:t>
      </w:r>
      <w:r>
        <w:t xml:space="preserve">”</w:t>
      </w:r>
      <w:r>
        <w:t xml:space="preserve"> </w:t>
      </w:r>
      <w:r>
        <w:t xml:space="preserve">Since</w:t>
      </w:r>
      <w:r>
        <w:t xml:space="preserve"> </w:t>
      </w:r>
      <w:r>
        <w:t xml:space="preserve">“</w:t>
      </w:r>
      <w:r>
        <w:t xml:space="preserve">tisṛbhyo hiṃkaroti parācībhiḥ</w:t>
      </w:r>
      <w:r>
        <w:t xml:space="preserve">”</w:t>
      </w:r>
      <w:r>
        <w:t xml:space="preserve"> </w:t>
      </w:r>
      <w:r>
        <w:t xml:space="preserve">is said three times, the meaning is that the three Ṛks are to be recited in the three paryāyas in the order that is in the Veda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Paryāya</w:t>
            </w:r>
          </w:p>
        </w:tc>
        <w:tc>
          <w:tcPr/>
          <w:p>
            <w:pPr>
              <w:pStyle w:val="Compact"/>
              <w:jc w:val="left"/>
            </w:pPr>
            <w:r>
              <w:t xml:space="preserve">Ṛks</w:t>
            </w:r>
          </w:p>
        </w:tc>
      </w:tr>
      <w:tr>
        <w:tc>
          <w:tcPr/>
          <w:p>
            <w:pPr>
              <w:pStyle w:val="Compact"/>
              <w:jc w:val="left"/>
            </w:pPr>
            <w:r>
              <w:t xml:space="preserve">first paryāya</w:t>
            </w:r>
          </w:p>
        </w:tc>
        <w:tc>
          <w:tcPr/>
          <w:p>
            <w:pPr>
              <w:pStyle w:val="Compact"/>
              <w:jc w:val="left"/>
            </w:pPr>
            <w:r>
              <w:t xml:space="preserve">1, 2, 3</w:t>
            </w:r>
          </w:p>
        </w:tc>
      </w:tr>
      <w:tr>
        <w:tc>
          <w:tcPr/>
          <w:p>
            <w:pPr>
              <w:pStyle w:val="Compact"/>
              <w:jc w:val="left"/>
            </w:pPr>
            <w:r>
              <w:t xml:space="preserve">second paryāya</w:t>
            </w:r>
          </w:p>
        </w:tc>
        <w:tc>
          <w:tcPr/>
          <w:p>
            <w:pPr>
              <w:pStyle w:val="Compact"/>
              <w:jc w:val="left"/>
            </w:pPr>
            <w:r>
              <w:t xml:space="preserve">1, 2, 3</w:t>
            </w:r>
          </w:p>
        </w:tc>
      </w:tr>
      <w:tr>
        <w:tc>
          <w:tcPr/>
          <w:p>
            <w:pPr>
              <w:pStyle w:val="Compact"/>
              <w:jc w:val="left"/>
            </w:pPr>
            <w:r>
              <w:t xml:space="preserve">third paryāya</w:t>
            </w:r>
          </w:p>
        </w:tc>
        <w:tc>
          <w:tcPr/>
          <w:p>
            <w:pPr>
              <w:pStyle w:val="Compact"/>
              <w:jc w:val="left"/>
            </w:pPr>
            <w:r>
              <w:t xml:space="preserve">1, 2, 3</w:t>
            </w:r>
          </w:p>
        </w:tc>
      </w:tr>
    </w:tbl>
    <w:p>
      <w:pPr>
        <w:pStyle w:val="BodyText"/>
      </w:pPr>
      <w:r>
        <w:t xml:space="preserve">If the three Ṛks are recited thus in all three paryāyas, this is the order of the viṣṭuti called</w:t>
      </w:r>
      <w:r>
        <w:t xml:space="preserve"> </w:t>
      </w:r>
      <w:r>
        <w:rPr>
          <w:bCs/>
          <w:b/>
        </w:rPr>
        <w:t xml:space="preserve">udyatī</w:t>
      </w:r>
      <w:r>
        <w:t xml:space="preserve"> </w:t>
      </w:r>
      <w:r>
        <w:t xml:space="preserve">of the trivṛt stoma.</w:t>
      </w:r>
    </w:p>
    <w:p>
      <w:pPr>
        <w:pStyle w:val="BodyText"/>
      </w:pPr>
      <w:r>
        <w:t xml:space="preserve">In the present sūkta</w:t>
      </w:r>
      <w:r>
        <w:t xml:space="preserve"> </w:t>
      </w:r>
      <w:r>
        <w:t xml:space="preserve">“</w:t>
      </w:r>
      <w:r>
        <w:t xml:space="preserve">ā tvetā niṣīdata,</w:t>
      </w:r>
      <w:r>
        <w:t xml:space="preserve">”</w:t>
      </w:r>
      <w:r>
        <w:t xml:space="preserve"> </w:t>
      </w:r>
      <w:r>
        <w:t xml:space="preserve">the first three Ṛks form one tṛca. If it is recited in the order of the udyatī viṣṭuti of the trivṛt stoma, it is as follows:</w:t>
      </w:r>
    </w:p>
    <w:p>
      <w:pPr>
        <w:numPr>
          <w:ilvl w:val="0"/>
          <w:numId w:val="1022"/>
        </w:numPr>
        <w:pStyle w:val="Compact"/>
      </w:pPr>
      <w:r>
        <w:t xml:space="preserve">आ त्वेता नि षीदत ॥१॥</w:t>
      </w:r>
      <w:r>
        <w:t xml:space="preserve"> </w:t>
      </w:r>
      <w:r>
        <w:rPr>
          <w:iCs/>
          <w:i/>
        </w:rPr>
        <w:t xml:space="preserve">(ā tvetā ni ṣīdata)</w:t>
      </w:r>
    </w:p>
    <w:p>
      <w:pPr>
        <w:numPr>
          <w:ilvl w:val="0"/>
          <w:numId w:val="1022"/>
        </w:numPr>
        <w:pStyle w:val="Compact"/>
      </w:pPr>
      <w:r>
        <w:t xml:space="preserve">पुरूतमं पुरूणाम् ॥२॥</w:t>
      </w:r>
      <w:r>
        <w:t xml:space="preserve"> </w:t>
      </w:r>
      <w:r>
        <w:rPr>
          <w:iCs/>
          <w:i/>
        </w:rPr>
        <w:t xml:space="preserve">(purūtamaṃ purūṇām)</w:t>
      </w:r>
    </w:p>
    <w:p>
      <w:pPr>
        <w:numPr>
          <w:ilvl w:val="0"/>
          <w:numId w:val="1022"/>
        </w:numPr>
        <w:pStyle w:val="Compact"/>
      </w:pPr>
      <w:r>
        <w:t xml:space="preserve">स घा नो योग आभुवत् ॥३॥</w:t>
      </w:r>
      <w:r>
        <w:t xml:space="preserve"> </w:t>
      </w:r>
      <w:r>
        <w:rPr>
          <w:iCs/>
          <w:i/>
        </w:rPr>
        <w:t xml:space="preserve">(sa ghā no yoga ābhuvat)</w:t>
      </w:r>
      <w:r>
        <w:t xml:space="preserve"> </w:t>
      </w:r>
      <w:r>
        <w:rPr>
          <w:iCs/>
          <w:i/>
        </w:rPr>
        <w:t xml:space="preserve">(Translation of the three opening phrases, mine and tentative — the source does not translate them on this page:</w:t>
      </w:r>
      <w:r>
        <w:rPr>
          <w:iCs/>
          <w:i/>
        </w:rPr>
        <w:t xml:space="preserve"> </w:t>
      </w:r>
      <w:r>
        <w:rPr>
          <w:iCs/>
          <w:i/>
        </w:rPr>
        <w:t xml:space="preserve">“</w:t>
      </w:r>
      <w:r>
        <w:rPr>
          <w:iCs/>
          <w:i/>
        </w:rPr>
        <w:t xml:space="preserve">Come, sit down</w:t>
      </w:r>
      <w:r>
        <w:rPr>
          <w:iCs/>
          <w:i/>
        </w:rPr>
        <w:t xml:space="preserve">”</w:t>
      </w:r>
      <w:r>
        <w:rPr>
          <w:iCs/>
          <w:i/>
        </w:rPr>
        <w:t xml:space="preserve"> </w:t>
      </w:r>
      <w:r>
        <w:rPr>
          <w:iCs/>
          <w:i/>
        </w:rPr>
        <w:t xml:space="preserve">/</w:t>
      </w:r>
      <w:r>
        <w:rPr>
          <w:iCs/>
          <w:i/>
        </w:rPr>
        <w:t xml:space="preserve"> </w:t>
      </w:r>
      <w:r>
        <w:rPr>
          <w:iCs/>
          <w:i/>
        </w:rPr>
        <w:t xml:space="preserve">“</w:t>
      </w:r>
      <w:r>
        <w:rPr>
          <w:iCs/>
          <w:i/>
        </w:rPr>
        <w:t xml:space="preserve">the most (powerful) of the many</w:t>
      </w:r>
      <w:r>
        <w:rPr>
          <w:iCs/>
          <w:i/>
        </w:rPr>
        <w:t xml:space="preserve">”</w:t>
      </w:r>
      <w:r>
        <w:rPr>
          <w:iCs/>
          <w:i/>
        </w:rPr>
        <w:t xml:space="preserve"> </w:t>
      </w:r>
      <w:r>
        <w:rPr>
          <w:iCs/>
          <w:i/>
        </w:rPr>
        <w:t xml:space="preserve">/</w:t>
      </w:r>
      <w:r>
        <w:rPr>
          <w:iCs/>
          <w:i/>
        </w:rPr>
        <w:t xml:space="preserve"> </w:t>
      </w:r>
      <w:r>
        <w:rPr>
          <w:iCs/>
          <w:i/>
        </w:rPr>
        <w:t xml:space="preserve">“</w:t>
      </w:r>
      <w:r>
        <w:rPr>
          <w:iCs/>
          <w:i/>
        </w:rPr>
        <w:t xml:space="preserve">may he, indeed, be ours in union.</w:t>
      </w:r>
      <w:r>
        <w:rPr>
          <w:iCs/>
          <w:i/>
        </w:rPr>
        <w:t xml:space="preserve">”</w:t>
      </w:r>
      <w:r>
        <w:rPr>
          <w:iCs/>
          <w:i/>
        </w:rPr>
        <w:t xml:space="preserve">)</w:t>
      </w:r>
    </w:p>
    <w:p>
      <w:pPr>
        <w:pStyle w:val="FirstParagraph"/>
      </w:pPr>
      <w:r>
        <w:t xml:space="preserve">This is the first paryāya; the second and third paryāyas are in the same way. If the tṛca is recited in this manner in all three paryāyas, it is the viṣṭuti called</w:t>
      </w:r>
      <w:r>
        <w:t xml:space="preserve"> </w:t>
      </w:r>
      <w:r>
        <w:rPr>
          <w:bCs/>
          <w:b/>
        </w:rPr>
        <w:t xml:space="preserve">udyatī</w:t>
      </w:r>
      <w:r>
        <w:t xml:space="preserve"> </w:t>
      </w:r>
      <w:r>
        <w:t xml:space="preserve">of the trivṛt stoma.</w:t>
      </w:r>
    </w:p>
    <w:bookmarkEnd w:id="174"/>
    <w:bookmarkStart w:id="175" w:name="Xd390237b095b49178a703fda695734505623811"/>
    <w:p>
      <w:pPr>
        <w:pStyle w:val="Heading3"/>
      </w:pPr>
      <w:r>
        <w:t xml:space="preserve">Page 141 — The trivṛt stoma: the viṣṭutis</w:t>
      </w:r>
      <w:r>
        <w:t xml:space="preserve"> </w:t>
      </w:r>
      <w:r>
        <w:t xml:space="preserve">“</w:t>
      </w:r>
      <w:r>
        <w:t xml:space="preserve">parivartinī</w:t>
      </w:r>
      <w:r>
        <w:t xml:space="preserve">”</w:t>
      </w:r>
      <w:r>
        <w:t xml:space="preserve"> </w:t>
      </w:r>
      <w:r>
        <w:t xml:space="preserve">and</w:t>
      </w:r>
      <w:r>
        <w:t xml:space="preserve"> </w:t>
      </w:r>
      <w:r>
        <w:t xml:space="preserve">“</w:t>
      </w:r>
      <w:r>
        <w:t xml:space="preserve">kulāyinī</w:t>
      </w:r>
      <w:r>
        <w:t xml:space="preserve">”</w:t>
      </w:r>
      <w:r>
        <w:t xml:space="preserve"> </w:t>
      </w:r>
      <w:r>
        <w:t xml:space="preserve">(opening)</w:t>
      </w:r>
    </w:p>
    <w:p>
      <w:pPr>
        <w:pStyle w:val="FirstParagraph"/>
      </w:pPr>
      <w:r>
        <w:rPr>
          <w:iCs/>
          <w:i/>
        </w:rPr>
        <w:t xml:space="preserve">(Page header:</w:t>
      </w:r>
      <w:r>
        <w:rPr>
          <w:iCs/>
          <w:i/>
        </w:rPr>
        <w:t xml:space="preserve"> </w:t>
      </w:r>
      <w:r>
        <w:rPr>
          <w:iCs/>
          <w:i/>
        </w:rPr>
        <w:t xml:space="preserve">“</w:t>
      </w:r>
      <w:r>
        <w:rPr>
          <w:iCs/>
          <w:i/>
        </w:rPr>
        <w:t xml:space="preserve">Aṣṭaka 1, Adhyāya 1, Varga 8 · Ṛgveda-saṃhitā.</w:t>
      </w:r>
      <w:r>
        <w:rPr>
          <w:iCs/>
          <w:i/>
        </w:rPr>
        <w:t xml:space="preserve">”</w:t>
      </w:r>
      <w:r>
        <w:rPr>
          <w:iCs/>
          <w:i/>
        </w:rPr>
        <w:t xml:space="preserve"> </w:t>
      </w:r>
      <w:r>
        <w:rPr>
          <w:iCs/>
          <w:i/>
        </w:rPr>
        <w:t xml:space="preserve">The Sanskrit quotations are printed in Kannada script; rendered in three layers. A few spellings in the print look irregular and are marked.)</w:t>
      </w:r>
    </w:p>
    <w:p>
      <w:pPr>
        <w:pStyle w:val="BodyText"/>
      </w:pPr>
      <w:r>
        <w:rPr>
          <w:bCs/>
          <w:b/>
        </w:rPr>
        <w:t xml:space="preserve">The order of the viṣṭuti</w:t>
      </w:r>
      <w:r>
        <w:rPr>
          <w:bCs/>
          <w:b/>
        </w:rPr>
        <w:t xml:space="preserve"> </w:t>
      </w:r>
      <w:r>
        <w:rPr>
          <w:bCs/>
          <w:b/>
        </w:rPr>
        <w:t xml:space="preserve">“</w:t>
      </w:r>
      <w:r>
        <w:rPr>
          <w:bCs/>
          <w:b/>
        </w:rPr>
        <w:t xml:space="preserve">parivartinī</w:t>
      </w:r>
      <w:r>
        <w:rPr>
          <w:bCs/>
          <w:b/>
        </w:rPr>
        <w:t xml:space="preserve">”</w:t>
      </w:r>
      <w:r>
        <w:rPr>
          <w:bCs/>
          <w:b/>
        </w:rPr>
        <w:t xml:space="preserve"> </w:t>
      </w:r>
      <w:r>
        <w:rPr>
          <w:bCs/>
          <w:b/>
        </w:rPr>
        <w:t xml:space="preserve">of the same stoma:</w:t>
      </w:r>
    </w:p>
    <w:p>
      <w:pPr>
        <w:pStyle w:val="BlockText"/>
      </w:pPr>
      <w:r>
        <w:t xml:space="preserve">द्वितीया परिवर्तिनी विष्टुतिः । आवर्तनीयेतृचस्यानावृत्तरूपेण सकृत्प्राप्ते प्रथमः पर्यायः ॥</w:t>
      </w:r>
      <w:r>
        <w:t xml:space="preserve"> </w:t>
      </w:r>
      <w:r>
        <w:t xml:space="preserve">तथैव पुनः प्राप्ते द्वितीयः ॥</w:t>
      </w:r>
      <w:r>
        <w:t xml:space="preserve"> </w:t>
      </w:r>
      <w:r>
        <w:t xml:space="preserve">तथैव पुनः प्राप्ते तृतीयः पर्यायः ॥ इति ॥</w:t>
      </w:r>
      <w:r>
        <w:t xml:space="preserve"> </w:t>
      </w:r>
      <w:r>
        <w:rPr>
          <w:iCs/>
          <w:i/>
        </w:rPr>
        <w:t xml:space="preserve">dvitīyā parivartinī viṣṭutiḥ | āvartanīyetṛcasyānāvṛtta-rūpeṇa sakṛt-prāpte prathamaḥ paryāyaḥ ||</w:t>
      </w:r>
      <w:r>
        <w:t xml:space="preserve"> </w:t>
      </w:r>
      <w:r>
        <w:rPr>
          <w:iCs/>
          <w:i/>
        </w:rPr>
        <w:t xml:space="preserve">tathaiva punaḥ prāpte dvitīyaḥ ||</w:t>
      </w:r>
      <w:r>
        <w:t xml:space="preserve"> </w:t>
      </w:r>
      <w:r>
        <w:rPr>
          <w:iCs/>
          <w:i/>
        </w:rPr>
        <w:t xml:space="preserve">tathaiva punaḥ prāpte tṛtīyaḥ paryāyaḥ || iti ||</w:t>
      </w:r>
      <w:r>
        <w:t xml:space="preserve"> </w:t>
      </w:r>
      <w:r>
        <w:rPr>
          <w:iCs/>
          <w:i/>
        </w:rPr>
        <w:t xml:space="preserve">(Reading note:</w:t>
      </w:r>
      <w:r>
        <w:rPr>
          <w:iCs/>
          <w:i/>
        </w:rPr>
        <w:t xml:space="preserve"> </w:t>
      </w:r>
      <w:r>
        <w:rPr>
          <w:iCs/>
          <w:i/>
        </w:rPr>
        <w:t xml:space="preserve">“</w:t>
      </w:r>
      <w:r>
        <w:rPr>
          <w:iCs/>
          <w:i/>
        </w:rPr>
        <w:t xml:space="preserve">āvartanīyetṛcasya</w:t>
      </w:r>
      <w:r>
        <w:rPr>
          <w:iCs/>
          <w:i/>
        </w:rPr>
        <w:t xml:space="preserve">”</w:t>
      </w:r>
      <w:r>
        <w:rPr>
          <w:iCs/>
          <w:i/>
        </w:rPr>
        <w:t xml:space="preserve"> </w:t>
      </w:r>
      <w:r>
        <w:rPr>
          <w:iCs/>
          <w:i/>
        </w:rPr>
        <w:t xml:space="preserve">is printed as one run-on word; the sense —</w:t>
      </w:r>
      <w:r>
        <w:rPr>
          <w:iCs/>
          <w:i/>
        </w:rPr>
        <w:t xml:space="preserve"> </w:t>
      </w:r>
      <w:r>
        <w:rPr>
          <w:iCs/>
          <w:i/>
        </w:rPr>
        <w:t xml:space="preserve">“</w:t>
      </w:r>
      <w:r>
        <w:rPr>
          <w:iCs/>
          <w:i/>
        </w:rPr>
        <w:t xml:space="preserve">of the tṛca that is to be repeated</w:t>
      </w:r>
      <w:r>
        <w:rPr>
          <w:iCs/>
          <w:i/>
        </w:rPr>
        <w:t xml:space="preserve">”</w:t>
      </w:r>
      <w:r>
        <w:rPr>
          <w:iCs/>
          <w:i/>
        </w:rPr>
        <w:t xml:space="preserve"> </w:t>
      </w:r>
      <w:r>
        <w:rPr>
          <w:iCs/>
          <w:i/>
        </w:rPr>
        <w:t xml:space="preserve">— is clear, and I do not split it further.)</w:t>
      </w:r>
    </w:p>
    <w:p>
      <w:pPr>
        <w:pStyle w:val="FirstParagraph"/>
      </w:pPr>
      <w:r>
        <w:rPr>
          <w:bCs/>
          <w:b/>
        </w:rPr>
        <w:t xml:space="preserve">Translation (mine, following the Kannada gloss):</w:t>
      </w:r>
      <w:r>
        <w:t xml:space="preserve"> </w:t>
      </w:r>
      <w:r>
        <w:t xml:space="preserve">“</w:t>
      </w:r>
      <w:r>
        <w:t xml:space="preserve">The second viṣṭuti is the</w:t>
      </w:r>
      <w:r>
        <w:t xml:space="preserve"> </w:t>
      </w:r>
      <w:r>
        <w:t xml:space="preserve">‘</w:t>
      </w:r>
      <w:r>
        <w:t xml:space="preserve">parivartinī.</w:t>
      </w:r>
      <w:r>
        <w:t xml:space="preserve">’</w:t>
      </w:r>
      <w:r>
        <w:t xml:space="preserve"> </w:t>
      </w:r>
      <w:r>
        <w:t xml:space="preserve">When the tṛca that is to be recited is obtained once in its not-repeated form, that is the first paryāya; when it is obtained again in the same way, the second; when again in the same way, the third paryāya.</w:t>
      </w:r>
      <w:r>
        <w:t xml:space="preserve">”</w:t>
      </w:r>
    </w:p>
    <w:p>
      <w:pPr>
        <w:pStyle w:val="BodyText"/>
      </w:pPr>
      <w:r>
        <w:t xml:space="preserve">That is: in these two parivartinī viṣṭutis, the Ṛks of the tṛca are to be recited in the reverse order, from the last to the first — in the order 3, 2, 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Paryāya</w:t>
            </w:r>
          </w:p>
        </w:tc>
        <w:tc>
          <w:tcPr/>
          <w:p>
            <w:pPr>
              <w:pStyle w:val="Compact"/>
              <w:jc w:val="left"/>
            </w:pPr>
            <w:r>
              <w:t xml:space="preserve">Ṛks</w:t>
            </w:r>
          </w:p>
        </w:tc>
      </w:tr>
      <w:tr>
        <w:tc>
          <w:tcPr/>
          <w:p>
            <w:pPr>
              <w:pStyle w:val="Compact"/>
              <w:jc w:val="left"/>
            </w:pPr>
            <w:r>
              <w:t xml:space="preserve">first paryāya</w:t>
            </w:r>
          </w:p>
        </w:tc>
        <w:tc>
          <w:tcPr/>
          <w:p>
            <w:pPr>
              <w:pStyle w:val="Compact"/>
              <w:jc w:val="left"/>
            </w:pPr>
            <w:r>
              <w:t xml:space="preserve">3, 2, 1</w:t>
            </w:r>
          </w:p>
        </w:tc>
      </w:tr>
      <w:tr>
        <w:tc>
          <w:tcPr/>
          <w:p>
            <w:pPr>
              <w:pStyle w:val="Compact"/>
              <w:jc w:val="left"/>
            </w:pPr>
            <w:r>
              <w:t xml:space="preserve">second paryāya</w:t>
            </w:r>
          </w:p>
        </w:tc>
        <w:tc>
          <w:tcPr/>
          <w:p>
            <w:pPr>
              <w:pStyle w:val="Compact"/>
              <w:jc w:val="left"/>
            </w:pPr>
            <w:r>
              <w:t xml:space="preserve">3, 2, 1</w:t>
            </w:r>
          </w:p>
        </w:tc>
      </w:tr>
      <w:tr>
        <w:tc>
          <w:tcPr/>
          <w:p>
            <w:pPr>
              <w:pStyle w:val="Compact"/>
              <w:jc w:val="left"/>
            </w:pPr>
            <w:r>
              <w:t xml:space="preserve">third paryāya</w:t>
            </w:r>
          </w:p>
        </w:tc>
        <w:tc>
          <w:tcPr/>
          <w:p>
            <w:pPr>
              <w:pStyle w:val="Compact"/>
              <w:jc w:val="left"/>
            </w:pPr>
            <w:r>
              <w:t xml:space="preserve">3, 2, 1</w:t>
            </w:r>
          </w:p>
        </w:tc>
      </w:tr>
    </w:tbl>
    <w:p>
      <w:pPr>
        <w:pStyle w:val="BodyText"/>
      </w:pPr>
      <w:r>
        <w:t xml:space="preserve">Example —</w:t>
      </w:r>
    </w:p>
    <w:p>
      <w:pPr>
        <w:numPr>
          <w:ilvl w:val="0"/>
          <w:numId w:val="1023"/>
        </w:numPr>
        <w:pStyle w:val="Compact"/>
      </w:pPr>
      <w:r>
        <w:t xml:space="preserve">स घा नो योग आभुवत् …॥३॥</w:t>
      </w:r>
      <w:r>
        <w:t xml:space="preserve"> </w:t>
      </w:r>
      <w:r>
        <w:rPr>
          <w:iCs/>
          <w:i/>
        </w:rPr>
        <w:t xml:space="preserve">(sa ghā no yoga ābhuvat — the 3rd Ṛk)</w:t>
      </w:r>
    </w:p>
    <w:p>
      <w:pPr>
        <w:numPr>
          <w:ilvl w:val="0"/>
          <w:numId w:val="1023"/>
        </w:numPr>
        <w:pStyle w:val="Compact"/>
      </w:pPr>
      <w:r>
        <w:t xml:space="preserve">पुरूतमं पुरूणाम् …॥२॥</w:t>
      </w:r>
      <w:r>
        <w:t xml:space="preserve"> </w:t>
      </w:r>
      <w:r>
        <w:rPr>
          <w:iCs/>
          <w:i/>
        </w:rPr>
        <w:t xml:space="preserve">(purūtamaṃ purūṇām — the 2nd Ṛk)</w:t>
      </w:r>
    </w:p>
    <w:p>
      <w:pPr>
        <w:numPr>
          <w:ilvl w:val="0"/>
          <w:numId w:val="1023"/>
        </w:numPr>
        <w:pStyle w:val="Compact"/>
      </w:pPr>
      <w:r>
        <w:t xml:space="preserve">आ त्वेता नि षीदत …॥१॥</w:t>
      </w:r>
      <w:r>
        <w:t xml:space="preserve"> </w:t>
      </w:r>
      <w:r>
        <w:rPr>
          <w:iCs/>
          <w:i/>
        </w:rPr>
        <w:t xml:space="preserve">(ā tvetā ni ṣīdata — the 1st Ṛk)</w:t>
      </w:r>
    </w:p>
    <w:p>
      <w:pPr>
        <w:pStyle w:val="FirstParagraph"/>
      </w:pPr>
      <w:r>
        <w:t xml:space="preserve">In this parivartinī viṣṭuti, too, the three paryāyas are of one and the same kind.</w:t>
      </w:r>
    </w:p>
    <w:p>
      <w:pPr>
        <w:pStyle w:val="BodyText"/>
      </w:pPr>
      <w:r>
        <w:t xml:space="preserve">Now we shall state the order of the third viṣṭuti of the same trivṛt stoma, the</w:t>
      </w:r>
      <w:r>
        <w:t xml:space="preserve"> </w:t>
      </w:r>
      <w:r>
        <w:rPr>
          <w:bCs/>
          <w:b/>
        </w:rPr>
        <w:t xml:space="preserve">kulāyinī</w:t>
      </w:r>
      <w:r>
        <w:t xml:space="preserve">:</w:t>
      </w:r>
    </w:p>
    <w:p>
      <w:pPr>
        <w:pStyle w:val="BlockText"/>
      </w:pPr>
      <w:r>
        <w:t xml:space="preserve">तिसृभ्यो हिंकरोति स पराचीभिः ॥ तिसृभ्यो हिंकरोति</w:t>
      </w:r>
      <w:r>
        <w:t xml:space="preserve"> </w:t>
      </w:r>
      <w:r>
        <w:t xml:space="preserve">यो मध्यमा सा प्रथमा, योत्तमा सा मध्यमा ॥</w:t>
      </w:r>
      <w:r>
        <w:t xml:space="preserve"> </w:t>
      </w:r>
      <w:r>
        <w:t xml:space="preserve">तिसृभ्यो हिंकरोति योत्तमा सा प्रथमा, यो प्रथमा सा मध्यमा, यो मध्यमा सोत्तमा ॥ इति ॥</w:t>
      </w:r>
      <w:r>
        <w:t xml:space="preserve"> </w:t>
      </w:r>
      <w:r>
        <w:rPr>
          <w:iCs/>
          <w:i/>
        </w:rPr>
        <w:t xml:space="preserve">tisṛbhyo hiṃkaroti sa parācībhiḥ || tisṛbhyo hiṃkaroti</w:t>
      </w:r>
      <w:r>
        <w:t xml:space="preserve"> </w:t>
      </w:r>
      <w:r>
        <w:rPr>
          <w:iCs/>
          <w:i/>
        </w:rPr>
        <w:t xml:space="preserve">yo madhyamā sā prathamā, yottamā sā madhyamā ||</w:t>
      </w:r>
      <w:r>
        <w:t xml:space="preserve"> </w:t>
      </w:r>
      <w:r>
        <w:rPr>
          <w:iCs/>
          <w:i/>
        </w:rPr>
        <w:t xml:space="preserve">tisṛbhyo hiṃkaroti yottamā sā prathamā, yo prathamā sā madhyamā, yo madhyamā sottamā || iti ||</w:t>
      </w:r>
      <w:r>
        <w:t xml:space="preserve"> </w:t>
      </w:r>
      <w:r>
        <w:rPr>
          <w:iCs/>
          <w:i/>
        </w:rPr>
        <w:t xml:space="preserve">(Reading note: the print has</w:t>
      </w:r>
      <w:r>
        <w:rPr>
          <w:iCs/>
          <w:i/>
        </w:rPr>
        <w:t xml:space="preserve"> </w:t>
      </w:r>
      <w:r>
        <w:rPr>
          <w:iCs/>
          <w:i/>
        </w:rPr>
        <w:t xml:space="preserve">“</w:t>
      </w:r>
      <w:r>
        <w:rPr>
          <w:iCs/>
          <w:i/>
        </w:rPr>
        <w:t xml:space="preserve">yo</w:t>
      </w:r>
      <w:r>
        <w:rPr>
          <w:iCs/>
          <w:i/>
        </w:rPr>
        <w:t xml:space="preserve">”</w:t>
      </w:r>
      <w:r>
        <w:rPr>
          <w:iCs/>
          <w:i/>
        </w:rPr>
        <w:t xml:space="preserve"> </w:t>
      </w:r>
      <w:r>
        <w:rPr>
          <w:iCs/>
          <w:i/>
        </w:rPr>
        <w:t xml:space="preserve">where I would expect the feminine</w:t>
      </w:r>
      <w:r>
        <w:rPr>
          <w:iCs/>
          <w:i/>
        </w:rPr>
        <w:t xml:space="preserve"> </w:t>
      </w:r>
      <w:r>
        <w:rPr>
          <w:iCs/>
          <w:i/>
        </w:rPr>
        <w:t xml:space="preserve">“</w:t>
      </w:r>
      <w:r>
        <w:rPr>
          <w:iCs/>
          <w:i/>
        </w:rPr>
        <w:t xml:space="preserve">yā</w:t>
      </w:r>
      <w:r>
        <w:rPr>
          <w:iCs/>
          <w:i/>
        </w:rPr>
        <w:t xml:space="preserve">”</w:t>
      </w:r>
      <w:r>
        <w:rPr>
          <w:iCs/>
          <w:i/>
        </w:rPr>
        <w:t xml:space="preserve"> </w:t>
      </w:r>
      <w:r>
        <w:rPr>
          <w:iCs/>
          <w:i/>
        </w:rPr>
        <w:t xml:space="preserve">before</w:t>
      </w:r>
      <w:r>
        <w:rPr>
          <w:iCs/>
          <w:i/>
        </w:rPr>
        <w:t xml:space="preserve"> </w:t>
      </w:r>
      <w:r>
        <w:rPr>
          <w:iCs/>
          <w:i/>
        </w:rPr>
        <w:t xml:space="preserve">“</w:t>
      </w:r>
      <w:r>
        <w:rPr>
          <w:iCs/>
          <w:i/>
        </w:rPr>
        <w:t xml:space="preserve">madhyamā,</w:t>
      </w:r>
      <w:r>
        <w:rPr>
          <w:iCs/>
          <w:i/>
        </w:rPr>
        <w:t xml:space="preserve">”</w:t>
      </w:r>
      <w:r>
        <w:rPr>
          <w:iCs/>
          <w:i/>
        </w:rPr>
        <w:t xml:space="preserve"> </w:t>
      </w:r>
      <w:r>
        <w:rPr>
          <w:iCs/>
          <w:i/>
        </w:rPr>
        <w:t xml:space="preserve">“</w:t>
      </w:r>
      <w:r>
        <w:rPr>
          <w:iCs/>
          <w:i/>
        </w:rPr>
        <w:t xml:space="preserve">uttamā</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prathamā</w:t>
      </w:r>
      <w:r>
        <w:rPr>
          <w:iCs/>
          <w:i/>
        </w:rPr>
        <w:t xml:space="preserve">”</w:t>
      </w:r>
      <w:r>
        <w:rPr>
          <w:iCs/>
          <w:i/>
        </w:rPr>
        <w:t xml:space="preserve">; I transcribe it as printed and do not correct it.)</w:t>
      </w:r>
    </w:p>
    <w:p>
      <w:pPr>
        <w:pStyle w:val="FirstParagraph"/>
      </w:pPr>
      <w:r>
        <w:rPr>
          <w:bCs/>
          <w:b/>
        </w:rPr>
        <w:t xml:space="preserve">Translation (mine, following the Kannada gloss):</w:t>
      </w:r>
      <w:r>
        <w:t xml:space="preserve"> </w:t>
      </w:r>
      <w:r>
        <w:t xml:space="preserve">“</w:t>
      </w:r>
      <w:r>
        <w:t xml:space="preserve">‘</w:t>
      </w:r>
      <w:r>
        <w:t xml:space="preserve">He makes the hiṃkāra on the three — in the parācī (order).</w:t>
      </w:r>
      <w:r>
        <w:t xml:space="preserve">’</w:t>
      </w:r>
      <w:r>
        <w:t xml:space="preserve"> </w:t>
      </w:r>
      <w:r>
        <w:t xml:space="preserve">‘</w:t>
      </w:r>
      <w:r>
        <w:t xml:space="preserve">He makes the hiṃkāra on the three: the middle one becomes the first, the last becomes the middle.</w:t>
      </w:r>
      <w:r>
        <w:t xml:space="preserve">’</w:t>
      </w:r>
      <w:r>
        <w:t xml:space="preserve"> </w:t>
      </w:r>
      <w:r>
        <w:t xml:space="preserve">‘</w:t>
      </w:r>
      <w:r>
        <w:t xml:space="preserve">He makes the hiṃkāra on the three: the last becomes the first, the first becomes the middle, the middle becomes the last.</w:t>
      </w:r>
      <w:r>
        <w:t xml:space="preserve">’</w:t>
      </w:r>
      <w:r>
        <w:t xml:space="preserve">”</w:t>
      </w:r>
    </w:p>
    <w:p>
      <w:pPr>
        <w:pStyle w:val="BodyText"/>
      </w:pPr>
      <w:r>
        <w:t xml:space="preserve">The sense:</w:t>
      </w:r>
    </w:p>
    <w:p>
      <w:pPr>
        <w:pStyle w:val="BodyText"/>
      </w:pPr>
      <w:r>
        <w:rPr>
          <w:bCs/>
          <w:b/>
        </w:rPr>
        <w:t xml:space="preserve">In the first paryāya</w:t>
      </w:r>
      <w:r>
        <w:t xml:space="preserve"> </w:t>
      </w:r>
      <w:r>
        <w:t xml:space="preserve">—</w:t>
      </w:r>
      <w:r>
        <w:t xml:space="preserve"> </w:t>
      </w:r>
      <w:r>
        <w:t xml:space="preserve">“</w:t>
      </w:r>
      <w:r>
        <w:t xml:space="preserve">tisṛbhyo hiṃkaroti sa parācībhiḥ</w:t>
      </w:r>
      <w:r>
        <w:t xml:space="preserve">”</w:t>
      </w:r>
      <w:r>
        <w:t xml:space="preserve">: that is, the Ṛks of the tṛca are recited in the order of the Veda, i.e. as 1, 2, 3. For example —</w:t>
      </w:r>
    </w:p>
    <w:p>
      <w:pPr>
        <w:numPr>
          <w:ilvl w:val="0"/>
          <w:numId w:val="1024"/>
        </w:numPr>
        <w:pStyle w:val="Compact"/>
      </w:pPr>
      <w:r>
        <w:t xml:space="preserve">आत्वेता नि षीदत …॥१ नेयु ऋक्कु॥</w:t>
      </w:r>
      <w:r>
        <w:t xml:space="preserve"> </w:t>
      </w:r>
      <w:r>
        <w:rPr>
          <w:iCs/>
          <w:i/>
        </w:rPr>
        <w:t xml:space="preserve">(ā tvetā ni ṣīdata — Ṛk 1)</w:t>
      </w:r>
    </w:p>
    <w:p>
      <w:pPr>
        <w:numPr>
          <w:ilvl w:val="0"/>
          <w:numId w:val="1024"/>
        </w:numPr>
        <w:pStyle w:val="Compact"/>
      </w:pPr>
      <w:r>
        <w:t xml:space="preserve">पुरूतमं पुरूणाम् …॥२॥</w:t>
      </w:r>
      <w:r>
        <w:t xml:space="preserve"> </w:t>
      </w:r>
      <w:r>
        <w:rPr>
          <w:iCs/>
          <w:i/>
        </w:rPr>
        <w:t xml:space="preserve">(purūtamaṃ purūṇām — Ṛk 2)</w:t>
      </w:r>
    </w:p>
    <w:p>
      <w:pPr>
        <w:numPr>
          <w:ilvl w:val="0"/>
          <w:numId w:val="1024"/>
        </w:numPr>
        <w:pStyle w:val="Compact"/>
      </w:pPr>
      <w:r>
        <w:t xml:space="preserve">स घा नो योग आभुवत् …॥३॥</w:t>
      </w:r>
      <w:r>
        <w:t xml:space="preserve"> </w:t>
      </w:r>
      <w:r>
        <w:rPr>
          <w:iCs/>
          <w:i/>
        </w:rPr>
        <w:t xml:space="preserve">(sa ghā no yoga ābhuvat — Ṛk 3)</w:t>
      </w:r>
    </w:p>
    <w:p>
      <w:pPr>
        <w:pStyle w:val="FirstParagraph"/>
      </w:pPr>
      <w:r>
        <w:rPr>
          <w:bCs/>
          <w:b/>
        </w:rPr>
        <w:t xml:space="preserve">In the second paryāya</w:t>
      </w:r>
      <w:r>
        <w:t xml:space="preserve"> </w:t>
      </w:r>
      <w:r>
        <w:t xml:space="preserve">—</w:t>
      </w:r>
      <w:r>
        <w:t xml:space="preserve"> </w:t>
      </w:r>
      <w:r>
        <w:t xml:space="preserve">“</w:t>
      </w:r>
      <w:r>
        <w:t xml:space="preserve">tisṛbhyo hiṃkaroti yo madhyamā sā prathamā, yottamā sā madhyamā</w:t>
      </w:r>
      <w:r>
        <w:t xml:space="preserve">”</w:t>
      </w:r>
      <w:r>
        <w:t xml:space="preserve">: in the second paryāya the middle (2nd) Ṛk of the tṛca is recited first, and the last (3rd) Ṛk …</w:t>
      </w:r>
      <w:r>
        <w:t xml:space="preserve"> </w:t>
      </w:r>
      <w:r>
        <w:rPr>
          <w:iCs/>
          <w:i/>
        </w:rPr>
        <w:t xml:space="preserve">(continues on the next page)</w:t>
      </w:r>
    </w:p>
    <w:bookmarkEnd w:id="175"/>
    <w:bookmarkStart w:id="176" w:name="X8030bcec05b86c3d405f318b9d30cbe36513cc9"/>
    <w:p>
      <w:pPr>
        <w:pStyle w:val="Heading3"/>
      </w:pPr>
      <w:r>
        <w:t xml:space="preserve">Page 142 — The viṣṭuti</w:t>
      </w:r>
      <w:r>
        <w:t xml:space="preserve"> </w:t>
      </w:r>
      <w:r>
        <w:t xml:space="preserve">“</w:t>
      </w:r>
      <w:r>
        <w:t xml:space="preserve">kulāyinī</w:t>
      </w:r>
      <w:r>
        <w:t xml:space="preserve">”</w:t>
      </w:r>
      <w:r>
        <w:t xml:space="preserve"> </w:t>
      </w:r>
      <w:r>
        <w:t xml:space="preserve">concluded; the pañcadaśa stoma: the viṣṭuti</w:t>
      </w:r>
      <w:r>
        <w:t xml:space="preserve"> </w:t>
      </w:r>
      <w:r>
        <w:t xml:space="preserve">“</w:t>
      </w:r>
      <w:r>
        <w:t xml:space="preserve">udyatī</w:t>
      </w:r>
      <w:r>
        <w:t xml:space="preserve">”</w:t>
      </w:r>
      <w:r>
        <w:t xml:space="preserve"> </w:t>
      </w:r>
      <w:r>
        <w:t xml:space="preserve">(opening)</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5.</w:t>
      </w:r>
      <w:r>
        <w:rPr>
          <w:iCs/>
          <w:i/>
        </w:rPr>
        <w:t xml:space="preserve">”</w:t>
      </w:r>
      <w:r>
        <w:rPr>
          <w:iCs/>
          <w:i/>
        </w:rPr>
        <w:t xml:space="preserve"> </w:t>
      </w:r>
      <w:r>
        <w:rPr>
          <w:iCs/>
          <w:i/>
        </w:rPr>
        <w:t xml:space="preserve">Heading printed:</w:t>
      </w:r>
      <w:r>
        <w:rPr>
          <w:iCs/>
          <w:i/>
        </w:rPr>
        <w:t xml:space="preserve"> </w:t>
      </w:r>
      <w:r>
        <w:rPr>
          <w:iCs/>
          <w:i/>
        </w:rPr>
        <w:t xml:space="preserve">“</w:t>
      </w:r>
      <w:r>
        <w:rPr>
          <w:iCs/>
          <w:i/>
        </w:rPr>
        <w:t xml:space="preserve">ಪಂಚದಶಸ್ತೋಮದ ವಿವರಣೆಯು</w:t>
      </w:r>
      <w:r>
        <w:rPr>
          <w:iCs/>
          <w:i/>
        </w:rPr>
        <w:t xml:space="preserve">”</w:t>
      </w:r>
      <w:r>
        <w:rPr>
          <w:iCs/>
          <w:i/>
        </w:rPr>
        <w:t xml:space="preserve"> </w:t>
      </w:r>
      <w:r>
        <w:rPr>
          <w:iCs/>
          <w:i/>
        </w:rPr>
        <w:t xml:space="preserve">—</w:t>
      </w:r>
      <w:r>
        <w:rPr>
          <w:iCs/>
          <w:i/>
        </w:rPr>
        <w:t xml:space="preserve"> </w:t>
      </w:r>
      <w:r>
        <w:rPr>
          <w:iCs/>
          <w:i/>
        </w:rPr>
        <w:t xml:space="preserve">“</w:t>
      </w:r>
      <w:r>
        <w:rPr>
          <w:iCs/>
          <w:i/>
        </w:rPr>
        <w:t xml:space="preserve">Explanation of the pañcadaśa stoma.</w:t>
      </w:r>
      <w:r>
        <w:rPr>
          <w:iCs/>
          <w:i/>
        </w:rPr>
        <w:t xml:space="preserve">”</w:t>
      </w:r>
      <w:r>
        <w:rPr>
          <w:iCs/>
          <w:i/>
        </w:rPr>
        <w:t xml:space="preserve"> </w:t>
      </w:r>
      <w:r>
        <w:rPr>
          <w:iCs/>
          <w:i/>
        </w:rPr>
        <w:t xml:space="preserve">The Ṛk-numbers in the lists are printed in Kannada digits and are given as 1, 2, 3.)</w:t>
      </w:r>
    </w:p>
    <w:p>
      <w:pPr>
        <w:pStyle w:val="BodyText"/>
      </w:pPr>
      <w:r>
        <w:rPr>
          <w:iCs/>
          <w:i/>
        </w:rPr>
        <w:t xml:space="preserve">(Continuing the second paryāya of the kulāyinī, from p. 141:)</w:t>
      </w:r>
      <w:r>
        <w:t xml:space="preserve"> </w:t>
      </w:r>
      <w:r>
        <w:t xml:space="preserve">…and the last (3rd) Ṛk must be recited at the middle, and the first (1st) Ṛk at the end — so that the order is 2, 3, 1. For example —</w:t>
      </w:r>
    </w:p>
    <w:p>
      <w:pPr>
        <w:numPr>
          <w:ilvl w:val="0"/>
          <w:numId w:val="1025"/>
        </w:numPr>
        <w:pStyle w:val="Compact"/>
      </w:pPr>
      <w:r>
        <w:t xml:space="preserve">पुरूतमं पुरूणाम् … ॥२॥</w:t>
      </w:r>
      <w:r>
        <w:t xml:space="preserve"> </w:t>
      </w:r>
      <w:r>
        <w:rPr>
          <w:iCs/>
          <w:i/>
        </w:rPr>
        <w:t xml:space="preserve">(purūtamaṃ purūṇām — Ṛk 2)</w:t>
      </w:r>
    </w:p>
    <w:p>
      <w:pPr>
        <w:numPr>
          <w:ilvl w:val="0"/>
          <w:numId w:val="1025"/>
        </w:numPr>
        <w:pStyle w:val="Compact"/>
      </w:pPr>
      <w:r>
        <w:t xml:space="preserve">स घा नो योग आभुवत् … ॥३॥</w:t>
      </w:r>
      <w:r>
        <w:t xml:space="preserve"> </w:t>
      </w:r>
      <w:r>
        <w:rPr>
          <w:iCs/>
          <w:i/>
        </w:rPr>
        <w:t xml:space="preserve">(sa ghā no yoga ābhuvat — Ṛk 3)</w:t>
      </w:r>
    </w:p>
    <w:p>
      <w:pPr>
        <w:numPr>
          <w:ilvl w:val="0"/>
          <w:numId w:val="1025"/>
        </w:numPr>
        <w:pStyle w:val="Compact"/>
      </w:pPr>
      <w:r>
        <w:t xml:space="preserve">आ त्वेता नि षीदत … ॥१॥</w:t>
      </w:r>
      <w:r>
        <w:t xml:space="preserve"> </w:t>
      </w:r>
      <w:r>
        <w:rPr>
          <w:iCs/>
          <w:i/>
        </w:rPr>
        <w:t xml:space="preserve">(ā tvetā ni ṣīdata — Ṛk 1)</w:t>
      </w:r>
    </w:p>
    <w:p>
      <w:pPr>
        <w:pStyle w:val="FirstParagraph"/>
      </w:pPr>
      <w:r>
        <w:rPr>
          <w:iCs/>
          <w:i/>
        </w:rPr>
        <w:t xml:space="preserve">(The source’s summary of the second paryāya here is slightly compressed —</w:t>
      </w:r>
      <w:r>
        <w:rPr>
          <w:iCs/>
          <w:i/>
        </w:rPr>
        <w:t xml:space="preserve"> </w:t>
      </w:r>
      <w:r>
        <w:rPr>
          <w:iCs/>
          <w:i/>
        </w:rPr>
        <w:t xml:space="preserve">“</w:t>
      </w:r>
      <w:r>
        <w:rPr>
          <w:iCs/>
          <w:i/>
        </w:rPr>
        <w:t xml:space="preserve">the middle … first; the last … middle,</w:t>
      </w:r>
      <w:r>
        <w:rPr>
          <w:iCs/>
          <w:i/>
        </w:rPr>
        <w:t xml:space="preserve">”</w:t>
      </w:r>
      <w:r>
        <w:rPr>
          <w:iCs/>
          <w:i/>
        </w:rPr>
        <w:t xml:space="preserve"> </w:t>
      </w:r>
      <w:r>
        <w:rPr>
          <w:iCs/>
          <w:i/>
        </w:rPr>
        <w:t xml:space="preserve">following the Brāhmaṇa’s words — and I give the order its example list shows: 2, 3, 1.)</w:t>
      </w:r>
    </w:p>
    <w:p>
      <w:pPr>
        <w:pStyle w:val="BodyText"/>
      </w:pPr>
      <w:r>
        <w:rPr>
          <w:bCs/>
          <w:b/>
        </w:rPr>
        <w:t xml:space="preserve">In the third paryāya</w:t>
      </w:r>
      <w:r>
        <w:t xml:space="preserve"> </w:t>
      </w:r>
      <w:r>
        <w:t xml:space="preserve">—</w:t>
      </w:r>
      <w:r>
        <w:t xml:space="preserve"> </w:t>
      </w:r>
      <w:r>
        <w:t xml:space="preserve">“</w:t>
      </w:r>
      <w:r>
        <w:t xml:space="preserve">tisṛbhyo hiṃkaroti yottamā sā prathamā, yo prathamā sā madhyamā, yo madhyamā sottamā</w:t>
      </w:r>
      <w:r>
        <w:t xml:space="preserve">”</w:t>
      </w:r>
      <w:r>
        <w:t xml:space="preserve">: in the third paryāya the last (3rd) Ṛk is recited first, the first (1st) Ṛk in the middle, and the middle (2nd) Ṛk at the end; the order is 3, 1, 2. For example —</w:t>
      </w:r>
    </w:p>
    <w:p>
      <w:pPr>
        <w:numPr>
          <w:ilvl w:val="0"/>
          <w:numId w:val="1026"/>
        </w:numPr>
        <w:pStyle w:val="Compact"/>
      </w:pPr>
      <w:r>
        <w:t xml:space="preserve">स घा नो योग आभुवत् …॥३॥</w:t>
      </w:r>
      <w:r>
        <w:t xml:space="preserve"> </w:t>
      </w:r>
      <w:r>
        <w:rPr>
          <w:iCs/>
          <w:i/>
        </w:rPr>
        <w:t xml:space="preserve">(Ṛk 3)</w:t>
      </w:r>
    </w:p>
    <w:p>
      <w:pPr>
        <w:numPr>
          <w:ilvl w:val="0"/>
          <w:numId w:val="1026"/>
        </w:numPr>
        <w:pStyle w:val="Compact"/>
      </w:pPr>
      <w:r>
        <w:t xml:space="preserve">आ त्वेता नि षीदत … ॥१॥</w:t>
      </w:r>
      <w:r>
        <w:t xml:space="preserve"> </w:t>
      </w:r>
      <w:r>
        <w:rPr>
          <w:iCs/>
          <w:i/>
        </w:rPr>
        <w:t xml:space="preserve">(Ṛk 1)</w:t>
      </w:r>
    </w:p>
    <w:p>
      <w:pPr>
        <w:numPr>
          <w:ilvl w:val="0"/>
          <w:numId w:val="1026"/>
        </w:numPr>
        <w:pStyle w:val="Compact"/>
      </w:pPr>
      <w:r>
        <w:t xml:space="preserve">पुरूतमं पुरूणाम् … ॥२॥</w:t>
      </w:r>
      <w:r>
        <w:t xml:space="preserve"> </w:t>
      </w:r>
      <w:r>
        <w:rPr>
          <w:iCs/>
          <w:i/>
        </w:rPr>
        <w:t xml:space="preserve">(Ṛk 2)</w:t>
      </w:r>
    </w:p>
    <w:p>
      <w:pPr>
        <w:pStyle w:val="FirstParagraph"/>
      </w:pPr>
      <w:r>
        <w:t xml:space="preserve">This is the third paryāya. These three paryāyas together form the viṣṭuti called</w:t>
      </w:r>
      <w:r>
        <w:t xml:space="preserve"> </w:t>
      </w:r>
      <w:r>
        <w:rPr>
          <w:bCs/>
          <w:b/>
        </w:rPr>
        <w:t xml:space="preserve">kulāyinī</w:t>
      </w:r>
      <w:r>
        <w:t xml:space="preserve"> </w:t>
      </w:r>
      <w:r>
        <w:t xml:space="preserve">of the trivṛt stoma.</w:t>
      </w:r>
    </w:p>
    <w:p>
      <w:pPr>
        <w:pStyle w:val="BodyText"/>
      </w:pPr>
      <w:r>
        <w:rPr>
          <w:bCs/>
          <w:b/>
        </w:rPr>
        <w:t xml:space="preserve">पञ्चदशस्तोमस्य विवरणम् (pañcadaśa-stomasya vivaraṇam)</w:t>
      </w:r>
      <w:r>
        <w:t xml:space="preserve"> </w:t>
      </w:r>
      <w:r>
        <w:t xml:space="preserve">— This stoma has three viṣṭutis. Of them, we shall explain the first, the viṣṭuti called</w:t>
      </w:r>
      <w:r>
        <w:t xml:space="preserve"> </w:t>
      </w:r>
      <w:r>
        <w:rPr>
          <w:bCs/>
          <w:b/>
        </w:rPr>
        <w:t xml:space="preserve">udyatī</w:t>
      </w:r>
      <w:r>
        <w:t xml:space="preserve">, by way of example. Whichever viṣṭuti of this stoma is taken, the three paryāyas together make 15 Ṛks, and so this stoma is called</w:t>
      </w:r>
      <w:r>
        <w:t xml:space="preserve"> </w:t>
      </w:r>
      <w:r>
        <w:t xml:space="preserve">“</w:t>
      </w:r>
      <w:r>
        <w:t xml:space="preserve">pañcadaśa-stoma.</w:t>
      </w:r>
      <w:r>
        <w:t xml:space="preserve">”</w:t>
      </w:r>
      <w:r>
        <w:t xml:space="preserve"> </w:t>
      </w:r>
      <w:r>
        <w:t xml:space="preserve">Its order is —</w:t>
      </w:r>
    </w:p>
    <w:p>
      <w:pPr>
        <w:pStyle w:val="BodyText"/>
      </w:pPr>
      <w:r>
        <w:rPr>
          <w:bCs/>
          <w:b/>
        </w:rPr>
        <w:t xml:space="preserve">In the first paryāya</w:t>
      </w:r>
      <w:r>
        <w:t xml:space="preserve"> </w:t>
      </w:r>
      <w:r>
        <w:t xml:space="preserve">—</w:t>
      </w:r>
      <w:r>
        <w:t xml:space="preserve"> </w:t>
      </w:r>
      <w:r>
        <w:t xml:space="preserve">“</w:t>
      </w:r>
      <w:r>
        <w:t xml:space="preserve">pañcabhyo hiṃkaroti sa tisṛbhiḥ sa ekayā [print:</w:t>
      </w:r>
      <w:r>
        <w:t xml:space="preserve"> </w:t>
      </w:r>
      <w:r>
        <w:rPr>
          <w:iCs/>
          <w:i/>
        </w:rPr>
        <w:t xml:space="preserve">ekayo</w:t>
      </w:r>
      <w:r>
        <w:t xml:space="preserve">] sa ekayā [print:</w:t>
      </w:r>
      <w:r>
        <w:t xml:space="preserve"> </w:t>
      </w:r>
      <w:r>
        <w:rPr>
          <w:iCs/>
          <w:i/>
        </w:rPr>
        <w:t xml:space="preserve">ekayo</w:t>
      </w:r>
      <w:r>
        <w:t xml:space="preserve">]</w:t>
      </w:r>
      <w:r>
        <w:t xml:space="preserve">”</w:t>
      </w:r>
      <w:r>
        <w:t xml:space="preserve">:</w:t>
      </w:r>
    </w:p>
    <w:p>
      <w:pPr>
        <w:pStyle w:val="BlockText"/>
      </w:pPr>
      <w:r>
        <w:t xml:space="preserve">पञ्चभ्यो हिंकरोति स तिसृभिः स एकया स एकया ॥</w:t>
      </w:r>
      <w:r>
        <w:t xml:space="preserve"> </w:t>
      </w:r>
      <w:r>
        <w:rPr>
          <w:iCs/>
          <w:i/>
        </w:rPr>
        <w:t xml:space="preserve">pañcabhyo hiṃkaroti sa tisṛbhiḥ sa ekayā sa ekayā ||</w:t>
      </w:r>
      <w:r>
        <w:t xml:space="preserve"> </w:t>
      </w:r>
      <w:r>
        <w:rPr>
          <w:iCs/>
          <w:i/>
        </w:rPr>
        <w:t xml:space="preserve">(Reading note: the final letters of</w:t>
      </w:r>
      <w:r>
        <w:rPr>
          <w:iCs/>
          <w:i/>
        </w:rPr>
        <w:t xml:space="preserve"> </w:t>
      </w:r>
      <w:r>
        <w:rPr>
          <w:iCs/>
          <w:i/>
        </w:rPr>
        <w:t xml:space="preserve">“</w:t>
      </w:r>
      <w:r>
        <w:rPr>
          <w:iCs/>
          <w:i/>
        </w:rPr>
        <w:t xml:space="preserve">ekayā</w:t>
      </w:r>
      <w:r>
        <w:rPr>
          <w:iCs/>
          <w:i/>
        </w:rPr>
        <w:t xml:space="preserve">”</w:t>
      </w:r>
      <w:r>
        <w:rPr>
          <w:iCs/>
          <w:i/>
        </w:rPr>
        <w:t xml:space="preserve"> </w:t>
      </w:r>
      <w:r>
        <w:rPr>
          <w:iCs/>
          <w:i/>
        </w:rPr>
        <w:t xml:space="preserve">are printed with a vowel sign that I read as</w:t>
      </w:r>
      <w:r>
        <w:rPr>
          <w:iCs/>
          <w:i/>
        </w:rPr>
        <w:t xml:space="preserve"> </w:t>
      </w:r>
      <w:r>
        <w:rPr>
          <w:iCs/>
          <w:i/>
        </w:rPr>
        <w:t xml:space="preserve">“</w:t>
      </w:r>
      <w:r>
        <w:rPr>
          <w:iCs/>
          <w:i/>
        </w:rPr>
        <w:t xml:space="preserve">o</w:t>
      </w:r>
      <w:r>
        <w:rPr>
          <w:iCs/>
          <w:i/>
        </w:rPr>
        <w:t xml:space="preserve">”</w:t>
      </w:r>
      <w:r>
        <w:rPr>
          <w:iCs/>
          <w:i/>
        </w:rPr>
        <w:t xml:space="preserve">; the sense —</w:t>
      </w:r>
      <w:r>
        <w:rPr>
          <w:iCs/>
          <w:i/>
        </w:rPr>
        <w:t xml:space="preserve"> </w:t>
      </w:r>
      <w:r>
        <w:rPr>
          <w:iCs/>
          <w:i/>
        </w:rPr>
        <w:t xml:space="preserve">“</w:t>
      </w:r>
      <w:r>
        <w:rPr>
          <w:iCs/>
          <w:i/>
        </w:rPr>
        <w:t xml:space="preserve">with one (Ṛk)</w:t>
      </w:r>
      <w:r>
        <w:rPr>
          <w:iCs/>
          <w:i/>
        </w:rPr>
        <w:t xml:space="preserve">”</w:t>
      </w:r>
      <w:r>
        <w:rPr>
          <w:iCs/>
          <w:i/>
        </w:rPr>
        <w:t xml:space="preserve"> </w:t>
      </w:r>
      <w:r>
        <w:rPr>
          <w:iCs/>
          <w:i/>
        </w:rPr>
        <w:t xml:space="preserve">— is clear and I give the form with</w:t>
      </w:r>
      <w:r>
        <w:rPr>
          <w:iCs/>
          <w:i/>
        </w:rPr>
        <w:t xml:space="preserve"> </w:t>
      </w:r>
      <w:r>
        <w:rPr>
          <w:iCs/>
          <w:i/>
        </w:rPr>
        <w:t xml:space="preserve">“</w:t>
      </w:r>
      <w:r>
        <w:rPr>
          <w:iCs/>
          <w:i/>
        </w:rPr>
        <w:t xml:space="preserve">ā,</w:t>
      </w:r>
      <w:r>
        <w:rPr>
          <w:iCs/>
          <w:i/>
        </w:rPr>
        <w:t xml:space="preserve">”</w:t>
      </w:r>
      <w:r>
        <w:rPr>
          <w:iCs/>
          <w:i/>
        </w:rPr>
        <w:t xml:space="preserve"> </w:t>
      </w:r>
      <w:r>
        <w:rPr>
          <w:iCs/>
          <w:i/>
        </w:rPr>
        <w:t xml:space="preserve">flagging the print.)</w:t>
      </w:r>
      <w:r>
        <w:t xml:space="preserve"> </w:t>
      </w:r>
      <w:r>
        <w:rPr>
          <w:bCs/>
          <w:b/>
        </w:rPr>
        <w:t xml:space="preserve">Translation (mine, following the Kannada gloss):</w:t>
      </w:r>
      <w:r>
        <w:t xml:space="preserve"> </w:t>
      </w:r>
      <w:r>
        <w:t xml:space="preserve">“</w:t>
      </w:r>
      <w:r>
        <w:t xml:space="preserve">‘</w:t>
      </w:r>
      <w:r>
        <w:t xml:space="preserve">He makes the hiṃkāra on five: with three (repetitions), with one, with one</w:t>
      </w:r>
      <w:r>
        <w:t xml:space="preserve">’</w:t>
      </w:r>
      <w:r>
        <w:t xml:space="preserve">”</w:t>
      </w:r>
      <w:r>
        <w:t xml:space="preserve"> </w:t>
      </w:r>
      <w:r>
        <w:t xml:space="preserve">— that is, in the first paryāya the first Ṛk of the tṛca is to be recited three times, and the second and third Ṛks once each. The order is 1, 1, 1, 2, 3. For example —</w:t>
      </w:r>
    </w:p>
    <w:p>
      <w:pPr>
        <w:numPr>
          <w:ilvl w:val="0"/>
          <w:numId w:val="1027"/>
        </w:numPr>
        <w:pStyle w:val="Compact"/>
      </w:pPr>
      <w:r>
        <w:t xml:space="preserve">आ त्वेता नि षीदत ॥१॥ — Ṛk 1</w:t>
      </w:r>
    </w:p>
    <w:p>
      <w:pPr>
        <w:numPr>
          <w:ilvl w:val="0"/>
          <w:numId w:val="1027"/>
        </w:numPr>
        <w:pStyle w:val="Compact"/>
      </w:pPr>
      <w:r>
        <w:t xml:space="preserve">आ त्वेता नि षीदत ॥१॥ — Ṛk 1</w:t>
      </w:r>
    </w:p>
    <w:p>
      <w:pPr>
        <w:numPr>
          <w:ilvl w:val="0"/>
          <w:numId w:val="1027"/>
        </w:numPr>
        <w:pStyle w:val="Compact"/>
      </w:pPr>
      <w:r>
        <w:t xml:space="preserve">आ त्वेता नि षीदत ॥१॥ — Ṛk 1</w:t>
      </w:r>
    </w:p>
    <w:p>
      <w:pPr>
        <w:numPr>
          <w:ilvl w:val="0"/>
          <w:numId w:val="1027"/>
        </w:numPr>
        <w:pStyle w:val="Compact"/>
      </w:pPr>
      <w:r>
        <w:t xml:space="preserve">पुरूतमं पुरूणाम् ॥२॥ — Ṛk 2</w:t>
      </w:r>
    </w:p>
    <w:p>
      <w:pPr>
        <w:numPr>
          <w:ilvl w:val="0"/>
          <w:numId w:val="1027"/>
        </w:numPr>
        <w:pStyle w:val="Compact"/>
      </w:pPr>
      <w:r>
        <w:t xml:space="preserve">सघा नो योग आभुवत् ॥३॥ — Ṛk 3</w:t>
      </w:r>
      <w:r>
        <w:t xml:space="preserve"> </w:t>
      </w:r>
      <w:r>
        <w:rPr>
          <w:iCs/>
          <w:i/>
        </w:rPr>
        <w:t xml:space="preserve">(IAST: ā tvetā ni ṣīdata ×3; purūtamaṃ purūṇām; sa ghā no yoga ābhuvat.)</w:t>
      </w:r>
    </w:p>
    <w:bookmarkEnd w:id="176"/>
    <w:bookmarkStart w:id="177" w:name="Xc893aee8f1dbcb41b88cc76b45e37efb84ff1a4"/>
    <w:p>
      <w:pPr>
        <w:pStyle w:val="Heading3"/>
      </w:pPr>
      <w:r>
        <w:t xml:space="preserve">Page 143 — The pañcadaśa</w:t>
      </w:r>
      <w:r>
        <w:t xml:space="preserve"> </w:t>
      </w:r>
      <w:r>
        <w:t xml:space="preserve">“</w:t>
      </w:r>
      <w:r>
        <w:t xml:space="preserve">udyatī</w:t>
      </w:r>
      <w:r>
        <w:t xml:space="preserve">”</w:t>
      </w:r>
      <w:r>
        <w:t xml:space="preserve"> </w:t>
      </w:r>
      <w:r>
        <w:t xml:space="preserve">concluded; the viṣṭutis of the nine stomas (opening of the full list)</w:t>
      </w:r>
    </w:p>
    <w:p>
      <w:pPr>
        <w:pStyle w:val="FirstParagraph"/>
      </w:pPr>
      <w:r>
        <w:rPr>
          <w:iCs/>
          <w:i/>
        </w:rPr>
        <w:t xml:space="preserve">(Page header:</w:t>
      </w:r>
      <w:r>
        <w:rPr>
          <w:iCs/>
          <w:i/>
        </w:rPr>
        <w:t xml:space="preserve"> </w:t>
      </w:r>
      <w:r>
        <w:rPr>
          <w:iCs/>
          <w:i/>
        </w:rPr>
        <w:t xml:space="preserve">“</w:t>
      </w:r>
      <w:r>
        <w:rPr>
          <w:iCs/>
          <w:i/>
        </w:rPr>
        <w:t xml:space="preserve">Aṣṭaka 1, Adhyāya 1, Varga 8 · Ṛgveda-saṃhitā.</w:t>
      </w:r>
      <w:r>
        <w:rPr>
          <w:iCs/>
          <w:i/>
        </w:rPr>
        <w:t xml:space="preserve">”</w:t>
      </w:r>
      <w:r>
        <w:rPr>
          <w:iCs/>
          <w:i/>
        </w:rPr>
        <w:t xml:space="preserve"> </w:t>
      </w:r>
      <w:r>
        <w:rPr>
          <w:iCs/>
          <w:i/>
        </w:rPr>
        <w:t xml:space="preserve">The Sanskrit is printed in Kannada script. The sequences of Ṛk-numbers are as printed in Kannada digits.)</w:t>
      </w:r>
    </w:p>
    <w:p>
      <w:pPr>
        <w:pStyle w:val="BodyText"/>
      </w:pPr>
      <w:r>
        <w:rPr>
          <w:bCs/>
          <w:b/>
        </w:rPr>
        <w:t xml:space="preserve">In the second paryāya:</w:t>
      </w:r>
    </w:p>
    <w:p>
      <w:pPr>
        <w:pStyle w:val="BlockText"/>
      </w:pPr>
      <w:r>
        <w:t xml:space="preserve">पञ्चभ्यो हिंकरोति स एकया स तिसृभिः स एकया ॥</w:t>
      </w:r>
      <w:r>
        <w:t xml:space="preserve"> </w:t>
      </w:r>
      <w:r>
        <w:rPr>
          <w:iCs/>
          <w:i/>
        </w:rPr>
        <w:t xml:space="preserve">pañcabhyo hiṃkaroti sa ekayā sa tisṛbhiḥ sa ekayā ||</w:t>
      </w:r>
      <w:r>
        <w:t xml:space="preserve"> </w:t>
      </w:r>
      <w:r>
        <w:rPr>
          <w:iCs/>
          <w:i/>
        </w:rPr>
        <w:t xml:space="preserve">(Translation, mine:</w:t>
      </w:r>
      <w:r>
        <w:rPr>
          <w:iCs/>
          <w:i/>
        </w:rPr>
        <w:t xml:space="preserve"> </w:t>
      </w:r>
      <w:r>
        <w:rPr>
          <w:iCs/>
          <w:i/>
        </w:rPr>
        <w:t xml:space="preserve">“</w:t>
      </w:r>
      <w:r>
        <w:rPr>
          <w:iCs/>
          <w:i/>
        </w:rPr>
        <w:t xml:space="preserve">He makes the hiṃkāra on five: with one, with three, with one.</w:t>
      </w:r>
      <w:r>
        <w:rPr>
          <w:iCs/>
          <w:i/>
        </w:rPr>
        <w:t xml:space="preserve">”</w:t>
      </w:r>
      <w:r>
        <w:rPr>
          <w:iCs/>
          <w:i/>
        </w:rPr>
        <w:t xml:space="preserve">)</w:t>
      </w:r>
    </w:p>
    <w:p>
      <w:pPr>
        <w:pStyle w:val="FirstParagraph"/>
      </w:pPr>
      <w:r>
        <w:t xml:space="preserve">In the second paryāya the first Ṛk is to be recited once, the second Ṛk three times, and the third Ṛk once. The order is</w:t>
      </w:r>
      <w:r>
        <w:t xml:space="preserve"> </w:t>
      </w:r>
      <w:r>
        <w:rPr>
          <w:bCs/>
          <w:b/>
        </w:rPr>
        <w:t xml:space="preserve">1, 2, 2, 2, 3</w:t>
      </w:r>
      <w:r>
        <w:t xml:space="preserve">. For example —</w:t>
      </w:r>
    </w:p>
    <w:p>
      <w:pPr>
        <w:numPr>
          <w:ilvl w:val="0"/>
          <w:numId w:val="1028"/>
        </w:numPr>
        <w:pStyle w:val="Compact"/>
      </w:pPr>
      <w:r>
        <w:t xml:space="preserve">आ त्वेता नि षीदत ॥१॥ — Ṛk 1</w:t>
      </w:r>
    </w:p>
    <w:p>
      <w:pPr>
        <w:numPr>
          <w:ilvl w:val="0"/>
          <w:numId w:val="1028"/>
        </w:numPr>
        <w:pStyle w:val="Compact"/>
      </w:pPr>
      <w:r>
        <w:t xml:space="preserve">पुरूतमं पुरूणाम् ॥२॥ — Ṛk 2</w:t>
      </w:r>
    </w:p>
    <w:p>
      <w:pPr>
        <w:numPr>
          <w:ilvl w:val="0"/>
          <w:numId w:val="1028"/>
        </w:numPr>
        <w:pStyle w:val="Compact"/>
      </w:pPr>
      <w:r>
        <w:t xml:space="preserve">पुरूतमं पुरूणाम् ॥२॥ — Ṛk 2</w:t>
      </w:r>
    </w:p>
    <w:p>
      <w:pPr>
        <w:numPr>
          <w:ilvl w:val="0"/>
          <w:numId w:val="1028"/>
        </w:numPr>
        <w:pStyle w:val="Compact"/>
      </w:pPr>
      <w:r>
        <w:t xml:space="preserve">पुरूतमं पुरूणाम् ॥२॥ — Ṛk 2</w:t>
      </w:r>
    </w:p>
    <w:p>
      <w:pPr>
        <w:numPr>
          <w:ilvl w:val="0"/>
          <w:numId w:val="1028"/>
        </w:numPr>
        <w:pStyle w:val="Compact"/>
      </w:pPr>
      <w:r>
        <w:t xml:space="preserve">स घा नो योग आभुवत् ॥३॥ — Ṛk 3</w:t>
      </w:r>
    </w:p>
    <w:p>
      <w:pPr>
        <w:pStyle w:val="FirstParagraph"/>
      </w:pPr>
      <w:r>
        <w:rPr>
          <w:bCs/>
          <w:b/>
        </w:rPr>
        <w:t xml:space="preserve">In the third paryāya:</w:t>
      </w:r>
    </w:p>
    <w:p>
      <w:pPr>
        <w:pStyle w:val="BlockText"/>
      </w:pPr>
      <w:r>
        <w:t xml:space="preserve">पञ्चभ्यो हिंकरोति स एकया स एकया स तिसृभिः ॥</w:t>
      </w:r>
      <w:r>
        <w:t xml:space="preserve"> </w:t>
      </w:r>
      <w:r>
        <w:rPr>
          <w:iCs/>
          <w:i/>
        </w:rPr>
        <w:t xml:space="preserve">pañcabhyo hiṃkaroti sa ekayā sa ekayā sa tisṛbhiḥ ||</w:t>
      </w:r>
      <w:r>
        <w:t xml:space="preserve"> </w:t>
      </w:r>
      <w:r>
        <w:rPr>
          <w:iCs/>
          <w:i/>
        </w:rPr>
        <w:t xml:space="preserve">(Translation, mine:</w:t>
      </w:r>
      <w:r>
        <w:rPr>
          <w:iCs/>
          <w:i/>
        </w:rPr>
        <w:t xml:space="preserve"> </w:t>
      </w:r>
      <w:r>
        <w:rPr>
          <w:iCs/>
          <w:i/>
        </w:rPr>
        <w:t xml:space="preserve">“</w:t>
      </w:r>
      <w:r>
        <w:rPr>
          <w:iCs/>
          <w:i/>
        </w:rPr>
        <w:t xml:space="preserve">He makes the hiṃkāra on five: with one, with one, with three.</w:t>
      </w:r>
      <w:r>
        <w:rPr>
          <w:iCs/>
          <w:i/>
        </w:rPr>
        <w:t xml:space="preserve">”</w:t>
      </w:r>
      <w:r>
        <w:rPr>
          <w:iCs/>
          <w:i/>
        </w:rPr>
        <w:t xml:space="preserve">)</w:t>
      </w:r>
    </w:p>
    <w:p>
      <w:pPr>
        <w:pStyle w:val="FirstParagraph"/>
      </w:pPr>
      <w:r>
        <w:t xml:space="preserve">In the third paryāya the first Ṛk is to be recited once, the second once, and the third three times. The order is</w:t>
      </w:r>
      <w:r>
        <w:t xml:space="preserve"> </w:t>
      </w:r>
      <w:r>
        <w:rPr>
          <w:bCs/>
          <w:b/>
        </w:rPr>
        <w:t xml:space="preserve">1, 2, 3, 3, 3</w:t>
      </w:r>
      <w:r>
        <w:t xml:space="preserve">. For example —</w:t>
      </w:r>
    </w:p>
    <w:p>
      <w:pPr>
        <w:numPr>
          <w:ilvl w:val="0"/>
          <w:numId w:val="1029"/>
        </w:numPr>
        <w:pStyle w:val="Compact"/>
      </w:pPr>
      <w:r>
        <w:t xml:space="preserve">आ त्वेता नि षीदत ॥१॥ — Ṛk 1</w:t>
      </w:r>
    </w:p>
    <w:p>
      <w:pPr>
        <w:numPr>
          <w:ilvl w:val="0"/>
          <w:numId w:val="1029"/>
        </w:numPr>
        <w:pStyle w:val="Compact"/>
      </w:pPr>
      <w:r>
        <w:t xml:space="preserve">पुरूतमं पुरूणाम् ॥२॥ — Ṛk 2</w:t>
      </w:r>
    </w:p>
    <w:p>
      <w:pPr>
        <w:numPr>
          <w:ilvl w:val="0"/>
          <w:numId w:val="1029"/>
        </w:numPr>
        <w:pStyle w:val="Compact"/>
      </w:pPr>
      <w:r>
        <w:t xml:space="preserve">स घा नो योग आभुवत् ॥३॥ — Ṛk 3</w:t>
      </w:r>
    </w:p>
    <w:p>
      <w:pPr>
        <w:numPr>
          <w:ilvl w:val="0"/>
          <w:numId w:val="1029"/>
        </w:numPr>
        <w:pStyle w:val="Compact"/>
      </w:pPr>
      <w:r>
        <w:t xml:space="preserve">स घा नो योग आभुवत् ॥३॥ — Ṛk 3</w:t>
      </w:r>
    </w:p>
    <w:p>
      <w:pPr>
        <w:numPr>
          <w:ilvl w:val="0"/>
          <w:numId w:val="1029"/>
        </w:numPr>
        <w:pStyle w:val="Compact"/>
      </w:pPr>
      <w:r>
        <w:t xml:space="preserve">स घा नो योग आभुवत् ॥३॥ — Ṛk 3</w:t>
      </w:r>
    </w:p>
    <w:p>
      <w:pPr>
        <w:pStyle w:val="FirstParagraph"/>
      </w:pPr>
      <w:r>
        <w:t xml:space="preserve">(The three paryāyas together make 5 + 5 + 5 =</w:t>
      </w:r>
      <w:r>
        <w:t xml:space="preserve"> </w:t>
      </w:r>
      <w:r>
        <w:rPr>
          <w:bCs/>
          <w:b/>
        </w:rPr>
        <w:t xml:space="preserve">15</w:t>
      </w:r>
      <w:r>
        <w:t xml:space="preserve"> </w:t>
      </w:r>
      <w:r>
        <w:t xml:space="preserve">Ṛks, which gives the stoma its name.)</w:t>
      </w:r>
    </w:p>
    <w:p>
      <w:pPr>
        <w:pStyle w:val="BodyText"/>
      </w:pPr>
      <w:r>
        <w:t xml:space="preserve">These three paryāyas together form the order of the viṣṭuti called</w:t>
      </w:r>
      <w:r>
        <w:t xml:space="preserve"> </w:t>
      </w:r>
      <w:r>
        <w:rPr>
          <w:bCs/>
          <w:b/>
        </w:rPr>
        <w:t xml:space="preserve">udyatī</w:t>
      </w:r>
      <w:r>
        <w:t xml:space="preserve"> </w:t>
      </w:r>
      <w:r>
        <w:t xml:space="preserve">of the pañcadaśa stoma. The orders of the viṣṭutis of the other stomas are to be understood in the same way. Now we shall state the names of the viṣṭutis of all nine stomas, trivṛt to aṣṭācatvāriṃśa, and the order, in their paryāyas, of the number of Ṛks to be recited. Their order is thus:</w:t>
      </w:r>
    </w:p>
    <w:p>
      <w:pPr>
        <w:pStyle w:val="BodyText"/>
      </w:pPr>
      <w:r>
        <w:rPr>
          <w:bCs/>
          <w:b/>
        </w:rPr>
        <w:t xml:space="preserve">I. For the trivṛt stoma</w:t>
      </w:r>
      <w:r>
        <w:t xml:space="preserve"> </w:t>
      </w:r>
      <w:r>
        <w:t xml:space="preserve">— three viṣṭutis: (1) udyatī, (2) parivartinī, (3) kulāyinī.</w:t>
      </w:r>
    </w:p>
    <w:p>
      <w:pPr>
        <w:pStyle w:val="BodyText"/>
      </w:pPr>
      <w:r>
        <w:rPr>
          <w:bCs/>
          <w:b/>
        </w:rPr>
        <w:t xml:space="preserve">(1) In the viṣṭuti called</w:t>
      </w:r>
      <w:r>
        <w:rPr>
          <w:bCs/>
          <w:b/>
        </w:rPr>
        <w:t xml:space="preserve"> </w:t>
      </w:r>
      <w:r>
        <w:rPr>
          <w:bCs/>
          <w:b/>
        </w:rPr>
        <w:t xml:space="preserve">“</w:t>
      </w:r>
      <w:r>
        <w:rPr>
          <w:bCs/>
          <w:b/>
        </w:rPr>
        <w:t xml:space="preserve">udyatī</w:t>
      </w:r>
      <w:r>
        <w:rPr>
          <w:bCs/>
          <w:b/>
        </w:rPr>
        <w:t xml:space="preserve">”</w:t>
      </w:r>
      <w:r>
        <w:rPr>
          <w:bCs/>
          <w:b/>
        </w:rP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Paryāya</w:t>
            </w:r>
          </w:p>
        </w:tc>
        <w:tc>
          <w:tcPr/>
          <w:p>
            <w:pPr>
              <w:pStyle w:val="Compact"/>
              <w:jc w:val="left"/>
            </w:pPr>
            <w:r>
              <w:t xml:space="preserve">Ṛks</w:t>
            </w:r>
          </w:p>
        </w:tc>
      </w:tr>
      <w:tr>
        <w:tc>
          <w:tcPr/>
          <w:p>
            <w:pPr>
              <w:pStyle w:val="Compact"/>
              <w:jc w:val="left"/>
            </w:pPr>
            <w:r>
              <w:t xml:space="preserve">first paryāya</w:t>
            </w:r>
          </w:p>
        </w:tc>
        <w:tc>
          <w:tcPr/>
          <w:p>
            <w:pPr>
              <w:pStyle w:val="Compact"/>
              <w:jc w:val="left"/>
            </w:pPr>
            <w:r>
              <w:t xml:space="preserve">1, 2, 3</w:t>
            </w:r>
          </w:p>
        </w:tc>
      </w:tr>
      <w:tr>
        <w:tc>
          <w:tcPr/>
          <w:p>
            <w:pPr>
              <w:pStyle w:val="Compact"/>
              <w:jc w:val="left"/>
            </w:pPr>
            <w:r>
              <w:t xml:space="preserve">second paryāya</w:t>
            </w:r>
          </w:p>
        </w:tc>
        <w:tc>
          <w:tcPr/>
          <w:p>
            <w:pPr>
              <w:pStyle w:val="Compact"/>
              <w:jc w:val="left"/>
            </w:pPr>
            <w:r>
              <w:t xml:space="preserve">1, 2, 3</w:t>
            </w:r>
          </w:p>
        </w:tc>
      </w:tr>
      <w:tr>
        <w:tc>
          <w:tcPr/>
          <w:p>
            <w:pPr>
              <w:pStyle w:val="Compact"/>
              <w:jc w:val="left"/>
            </w:pPr>
            <w:r>
              <w:t xml:space="preserve">third paryāya</w:t>
            </w:r>
          </w:p>
        </w:tc>
        <w:tc>
          <w:tcPr/>
          <w:p>
            <w:pPr>
              <w:pStyle w:val="Compact"/>
              <w:jc w:val="left"/>
            </w:pPr>
            <w:r>
              <w:t xml:space="preserve">1, 2, 3</w:t>
            </w:r>
          </w:p>
        </w:tc>
      </w:tr>
    </w:tbl>
    <w:p>
      <w:pPr>
        <w:pStyle w:val="BodyText"/>
      </w:pPr>
      <w:r>
        <w:rPr>
          <w:bCs/>
          <w:b/>
        </w:rPr>
        <w:t xml:space="preserve">(2) In the viṣṭuti called</w:t>
      </w:r>
      <w:r>
        <w:rPr>
          <w:bCs/>
          <w:b/>
        </w:rPr>
        <w:t xml:space="preserve"> </w:t>
      </w:r>
      <w:r>
        <w:rPr>
          <w:bCs/>
          <w:b/>
        </w:rPr>
        <w:t xml:space="preserve">“</w:t>
      </w:r>
      <w:r>
        <w:rPr>
          <w:bCs/>
          <w:b/>
        </w:rPr>
        <w:t xml:space="preserve">parivartinī</w:t>
      </w:r>
      <w:r>
        <w:rPr>
          <w:bCs/>
          <w:b/>
        </w:rPr>
        <w:t xml:space="preserve">”</w:t>
      </w:r>
      <w:r>
        <w:rPr>
          <w:bCs/>
          <w:b/>
        </w:rPr>
        <w:t xml:space="preserve">:</w:t>
      </w:r>
      <w:r>
        <w:t xml:space="preserve"> </w:t>
      </w:r>
      <w:r>
        <w:rPr>
          <w:iCs/>
          <w:i/>
        </w:rPr>
        <w:t xml:space="preserve">(the table continues on the next page)</w:t>
      </w:r>
    </w:p>
    <w:bookmarkEnd w:id="177"/>
    <w:bookmarkStart w:id="178" w:name="X32fe643adb78cd9462b2d528e7ff18c5d1a5b34"/>
    <w:p>
      <w:pPr>
        <w:pStyle w:val="Heading3"/>
      </w:pPr>
      <w:r>
        <w:t xml:space="preserve">Page 144 — The viṣṭutis of the nine stomas: trivṛt (concluded), pañcadaśa, saptadaśa (opening)</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5.</w:t>
      </w:r>
      <w:r>
        <w:rPr>
          <w:iCs/>
          <w:i/>
        </w:rPr>
        <w:t xml:space="preserve">”</w:t>
      </w:r>
      <w:r>
        <w:rPr>
          <w:iCs/>
          <w:i/>
        </w:rPr>
        <w:t xml:space="preserve"> </w:t>
      </w:r>
      <w:r>
        <w:rPr>
          <w:iCs/>
          <w:i/>
        </w:rPr>
        <w:t xml:space="preserve">The tables below give the Ṛk-numbers (1, 2, 3) of the tṛca recited in each paryāya, as printed in Kannada digits.</w:t>
      </w:r>
      <w:r>
        <w:rPr>
          <w:iCs/>
          <w:i/>
        </w:rPr>
        <w:t xml:space="preserve"> </w:t>
      </w:r>
      <w:r>
        <w:rPr>
          <w:bCs/>
          <w:b/>
          <w:iCs/>
          <w:i/>
        </w:rPr>
        <w:t xml:space="preserve">Check performed:</w:t>
      </w:r>
      <w:r>
        <w:rPr>
          <w:iCs/>
          <w:i/>
        </w:rPr>
        <w:t xml:space="preserve"> </w:t>
      </w:r>
      <w:r>
        <w:rPr>
          <w:iCs/>
          <w:i/>
        </w:rPr>
        <w:t xml:space="preserve">for every viṣṭuti I added up the three paryāyas, and each total equals the stoma’s Ṛk-count (9, 15, 17, …), which confirms the reading of the digit strings.)</w:t>
      </w:r>
    </w:p>
    <w:p>
      <w:pPr>
        <w:pStyle w:val="BodyText"/>
      </w:pPr>
      <w:r>
        <w:rPr>
          <w:bCs/>
          <w:b/>
        </w:rPr>
        <w:t xml:space="preserve">I. Trivṛt stoma</w:t>
      </w:r>
      <w:r>
        <w:t xml:space="preserve"> </w:t>
      </w:r>
      <w:r>
        <w:rPr>
          <w:iCs/>
          <w:i/>
        </w:rPr>
        <w:t xml:space="preserve">(continued from p. 143)</w:t>
      </w:r>
    </w:p>
    <w:p>
      <w:pPr>
        <w:pStyle w:val="BodyText"/>
      </w:pPr>
      <w:r>
        <w:rPr>
          <w:bCs/>
          <w:b/>
        </w:rPr>
        <w:t xml:space="preserve">(2) viṣṭuti</w:t>
      </w:r>
      <w:r>
        <w:rPr>
          <w:bCs/>
          <w:b/>
        </w:rPr>
        <w:t xml:space="preserve"> </w:t>
      </w:r>
      <w:r>
        <w:rPr>
          <w:bCs/>
          <w:b/>
        </w:rPr>
        <w:t xml:space="preserve">“</w:t>
      </w:r>
      <w:r>
        <w:rPr>
          <w:bCs/>
          <w:b/>
        </w:rPr>
        <w:t xml:space="preserve">parivartinī</w:t>
      </w:r>
      <w:r>
        <w:rPr>
          <w:bCs/>
          <w:b/>
        </w:rPr>
        <w:t xml:space="preserve">”</w:t>
      </w:r>
      <w:r>
        <w:rPr>
          <w:bCs/>
          <w:b/>
        </w:rP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Paryāya</w:t>
            </w:r>
          </w:p>
        </w:tc>
        <w:tc>
          <w:tcPr/>
          <w:p>
            <w:pPr>
              <w:pStyle w:val="Compact"/>
              <w:jc w:val="left"/>
            </w:pPr>
            <w:r>
              <w:t xml:space="preserve">Ṛks recited</w:t>
            </w:r>
          </w:p>
        </w:tc>
      </w:tr>
      <w:tr>
        <w:tc>
          <w:tcPr/>
          <w:p>
            <w:pPr>
              <w:pStyle w:val="Compact"/>
              <w:jc w:val="left"/>
            </w:pPr>
            <w:r>
              <w:t xml:space="preserve">first</w:t>
            </w:r>
          </w:p>
        </w:tc>
        <w:tc>
          <w:tcPr/>
          <w:p>
            <w:pPr>
              <w:pStyle w:val="Compact"/>
              <w:jc w:val="left"/>
            </w:pPr>
            <w:r>
              <w:t xml:space="preserve">3, 2, 1</w:t>
            </w:r>
          </w:p>
        </w:tc>
      </w:tr>
      <w:tr>
        <w:tc>
          <w:tcPr/>
          <w:p>
            <w:pPr>
              <w:pStyle w:val="Compact"/>
              <w:jc w:val="left"/>
            </w:pPr>
            <w:r>
              <w:t xml:space="preserve">second</w:t>
            </w:r>
          </w:p>
        </w:tc>
        <w:tc>
          <w:tcPr/>
          <w:p>
            <w:pPr>
              <w:pStyle w:val="Compact"/>
              <w:jc w:val="left"/>
            </w:pPr>
            <w:r>
              <w:t xml:space="preserve">3, 2, 1</w:t>
            </w:r>
          </w:p>
        </w:tc>
      </w:tr>
      <w:tr>
        <w:tc>
          <w:tcPr/>
          <w:p>
            <w:pPr>
              <w:pStyle w:val="Compact"/>
              <w:jc w:val="left"/>
            </w:pPr>
            <w:r>
              <w:t xml:space="preserve">third</w:t>
            </w:r>
          </w:p>
        </w:tc>
        <w:tc>
          <w:tcPr/>
          <w:p>
            <w:pPr>
              <w:pStyle w:val="Compact"/>
              <w:jc w:val="left"/>
            </w:pPr>
            <w:r>
              <w:t xml:space="preserve">3, 2, 1</w:t>
            </w:r>
          </w:p>
        </w:tc>
      </w:tr>
    </w:tbl>
    <w:p>
      <w:pPr>
        <w:pStyle w:val="BodyText"/>
      </w:pPr>
      <w:r>
        <w:t xml:space="preserve">In these two viṣṭutis (udyatī and parivartinī) the three paryāyas are one and the same; there is no difference.</w:t>
      </w:r>
    </w:p>
    <w:p>
      <w:pPr>
        <w:pStyle w:val="BodyText"/>
      </w:pPr>
      <w:r>
        <w:rPr>
          <w:bCs/>
          <w:b/>
        </w:rPr>
        <w:t xml:space="preserve">(3) viṣṭuti</w:t>
      </w:r>
      <w:r>
        <w:rPr>
          <w:bCs/>
          <w:b/>
        </w:rPr>
        <w:t xml:space="preserve"> </w:t>
      </w:r>
      <w:r>
        <w:rPr>
          <w:bCs/>
          <w:b/>
        </w:rPr>
        <w:t xml:space="preserve">“</w:t>
      </w:r>
      <w:r>
        <w:rPr>
          <w:bCs/>
          <w:b/>
        </w:rPr>
        <w:t xml:space="preserve">kulāyinī</w:t>
      </w:r>
      <w:r>
        <w:rPr>
          <w:bCs/>
          <w:b/>
        </w:rPr>
        <w:t xml:space="preserve">”</w:t>
      </w:r>
      <w:r>
        <w:rPr>
          <w:bCs/>
          <w:b/>
        </w:rP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Paryāya</w:t>
            </w:r>
          </w:p>
        </w:tc>
        <w:tc>
          <w:tcPr/>
          <w:p>
            <w:pPr>
              <w:pStyle w:val="Compact"/>
              <w:jc w:val="left"/>
            </w:pPr>
            <w:r>
              <w:t xml:space="preserve">Ṛks recited</w:t>
            </w:r>
          </w:p>
        </w:tc>
      </w:tr>
      <w:tr>
        <w:tc>
          <w:tcPr/>
          <w:p>
            <w:pPr>
              <w:pStyle w:val="Compact"/>
              <w:jc w:val="left"/>
            </w:pPr>
            <w:r>
              <w:t xml:space="preserve">first</w:t>
            </w:r>
          </w:p>
        </w:tc>
        <w:tc>
          <w:tcPr/>
          <w:p>
            <w:pPr>
              <w:pStyle w:val="Compact"/>
              <w:jc w:val="left"/>
            </w:pPr>
            <w:r>
              <w:t xml:space="preserve">1, 2, 3</w:t>
            </w:r>
          </w:p>
        </w:tc>
      </w:tr>
      <w:tr>
        <w:tc>
          <w:tcPr/>
          <w:p>
            <w:pPr>
              <w:pStyle w:val="Compact"/>
              <w:jc w:val="left"/>
            </w:pPr>
            <w:r>
              <w:t xml:space="preserve">second</w:t>
            </w:r>
          </w:p>
        </w:tc>
        <w:tc>
          <w:tcPr/>
          <w:p>
            <w:pPr>
              <w:pStyle w:val="Compact"/>
              <w:jc w:val="left"/>
            </w:pPr>
            <w:r>
              <w:t xml:space="preserve">2, 3, 1</w:t>
            </w:r>
          </w:p>
        </w:tc>
      </w:tr>
      <w:tr>
        <w:tc>
          <w:tcPr/>
          <w:p>
            <w:pPr>
              <w:pStyle w:val="Compact"/>
              <w:jc w:val="left"/>
            </w:pPr>
            <w:r>
              <w:t xml:space="preserve">third</w:t>
            </w:r>
          </w:p>
        </w:tc>
        <w:tc>
          <w:tcPr/>
          <w:p>
            <w:pPr>
              <w:pStyle w:val="Compact"/>
              <w:jc w:val="left"/>
            </w:pPr>
            <w:r>
              <w:t xml:space="preserve">3, 1, 2</w:t>
            </w:r>
          </w:p>
        </w:tc>
      </w:tr>
    </w:tbl>
    <w:p>
      <w:pPr>
        <w:pStyle w:val="BodyText"/>
      </w:pPr>
      <w:r>
        <w:rPr>
          <w:bCs/>
          <w:b/>
        </w:rPr>
        <w:t xml:space="preserve">II. Pañcadaśa stoma</w:t>
      </w:r>
      <w:r>
        <w:t xml:space="preserve"> </w:t>
      </w:r>
      <w:r>
        <w:t xml:space="preserve">(15 Ṛks) — three viṣṭutis: (1)</w:t>
      </w:r>
      <w:r>
        <w:t xml:space="preserve"> </w:t>
      </w:r>
      <w:r>
        <w:rPr>
          <w:bCs/>
          <w:b/>
        </w:rPr>
        <w:t xml:space="preserve">पञ्चपञ्चिनी</w:t>
      </w:r>
      <w:r>
        <w:t xml:space="preserve"> </w:t>
      </w:r>
      <w:r>
        <w:t xml:space="preserve">(</w:t>
      </w:r>
      <w:r>
        <w:rPr>
          <w:iCs/>
          <w:i/>
        </w:rPr>
        <w:t xml:space="preserve">pañcapañcinī</w:t>
      </w:r>
      <w:r>
        <w:t xml:space="preserve">), (2)</w:t>
      </w:r>
      <w:r>
        <w:t xml:space="preserve"> </w:t>
      </w:r>
      <w:r>
        <w:rPr>
          <w:bCs/>
          <w:b/>
        </w:rPr>
        <w:t xml:space="preserve">उद्यती प्रथमा</w:t>
      </w:r>
      <w:r>
        <w:t xml:space="preserve"> </w:t>
      </w:r>
      <w:r>
        <w:t xml:space="preserve">(</w:t>
      </w:r>
      <w:r>
        <w:rPr>
          <w:iCs/>
          <w:i/>
        </w:rPr>
        <w:t xml:space="preserve">udyatī prathamā</w:t>
      </w:r>
      <w:r>
        <w:t xml:space="preserve">), (3)</w:t>
      </w:r>
      <w:r>
        <w:t xml:space="preserve"> </w:t>
      </w:r>
      <w:r>
        <w:rPr>
          <w:bCs/>
          <w:b/>
        </w:rPr>
        <w:t xml:space="preserve">उद्यती द्वितीया</w:t>
      </w:r>
      <w:r>
        <w:t xml:space="preserve"> </w:t>
      </w:r>
      <w:r>
        <w:t xml:space="preserve">(</w:t>
      </w:r>
      <w:r>
        <w:rPr>
          <w:iCs/>
          <w:i/>
        </w:rPr>
        <w:t xml:space="preserve">udyatī dvitīyā</w:t>
      </w:r>
      <w:r>
        <w:t xml:space="preserve">).</w:t>
      </w:r>
    </w:p>
    <w:p>
      <w:pPr>
        <w:pStyle w:val="BodyText"/>
      </w:pPr>
      <w:r>
        <w:rPr>
          <w:bCs/>
          <w:b/>
        </w:rPr>
        <w:t xml:space="preserve">(1) The first,</w:t>
      </w:r>
      <w:r>
        <w:rPr>
          <w:bCs/>
          <w:b/>
        </w:rPr>
        <w:t xml:space="preserve"> </w:t>
      </w:r>
      <w:r>
        <w:rPr>
          <w:bCs/>
          <w:b/>
        </w:rPr>
        <w:t xml:space="preserve">“</w:t>
      </w:r>
      <w:r>
        <w:rPr>
          <w:bCs/>
          <w:b/>
        </w:rPr>
        <w:t xml:space="preserve">pañcapañcinī</w:t>
      </w:r>
      <w:r>
        <w:rPr>
          <w:bCs/>
          <w:b/>
        </w:rPr>
        <w:t xml:space="preserve">”</w:t>
      </w:r>
      <w:r>
        <w:rPr>
          <w:bCs/>
          <w:b/>
        </w:rP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Paryāya</w:t>
            </w:r>
          </w:p>
        </w:tc>
        <w:tc>
          <w:tcPr/>
          <w:p>
            <w:pPr>
              <w:pStyle w:val="Compact"/>
              <w:jc w:val="left"/>
            </w:pPr>
            <w:r>
              <w:t xml:space="preserve">Ṛks recited</w:t>
            </w:r>
          </w:p>
        </w:tc>
        <w:tc>
          <w:tcPr/>
          <w:p>
            <w:pPr>
              <w:pStyle w:val="Compact"/>
              <w:jc w:val="left"/>
            </w:pPr>
            <w:r>
              <w:t xml:space="preserve">Count</w:t>
            </w:r>
          </w:p>
        </w:tc>
      </w:tr>
      <w:tr>
        <w:tc>
          <w:tcPr/>
          <w:p>
            <w:pPr>
              <w:pStyle w:val="Compact"/>
              <w:jc w:val="left"/>
            </w:pPr>
            <w:r>
              <w:t xml:space="preserve">first</w:t>
            </w:r>
          </w:p>
        </w:tc>
        <w:tc>
          <w:tcPr/>
          <w:p>
            <w:pPr>
              <w:pStyle w:val="Compact"/>
              <w:jc w:val="left"/>
            </w:pPr>
            <w:r>
              <w:t xml:space="preserve">1, 1, 1, 2, 3</w:t>
            </w:r>
          </w:p>
        </w:tc>
        <w:tc>
          <w:tcPr/>
          <w:p>
            <w:pPr>
              <w:pStyle w:val="Compact"/>
              <w:jc w:val="left"/>
            </w:pPr>
            <w:r>
              <w:t xml:space="preserve">5</w:t>
            </w:r>
          </w:p>
        </w:tc>
      </w:tr>
      <w:tr>
        <w:tc>
          <w:tcPr/>
          <w:p>
            <w:pPr>
              <w:pStyle w:val="Compact"/>
              <w:jc w:val="left"/>
            </w:pPr>
            <w:r>
              <w:t xml:space="preserve">second</w:t>
            </w:r>
          </w:p>
        </w:tc>
        <w:tc>
          <w:tcPr/>
          <w:p>
            <w:pPr>
              <w:pStyle w:val="Compact"/>
              <w:jc w:val="left"/>
            </w:pPr>
            <w:r>
              <w:t xml:space="preserve">1, 2, 2, 2, 3</w:t>
            </w:r>
          </w:p>
        </w:tc>
        <w:tc>
          <w:tcPr/>
          <w:p>
            <w:pPr>
              <w:pStyle w:val="Compact"/>
              <w:jc w:val="left"/>
            </w:pPr>
            <w:r>
              <w:t xml:space="preserve">5</w:t>
            </w:r>
          </w:p>
        </w:tc>
      </w:tr>
      <w:tr>
        <w:tc>
          <w:tcPr/>
          <w:p>
            <w:pPr>
              <w:pStyle w:val="Compact"/>
              <w:jc w:val="left"/>
            </w:pPr>
            <w:r>
              <w:t xml:space="preserve">third</w:t>
            </w:r>
          </w:p>
        </w:tc>
        <w:tc>
          <w:tcPr/>
          <w:p>
            <w:pPr>
              <w:pStyle w:val="Compact"/>
              <w:jc w:val="left"/>
            </w:pPr>
            <w:r>
              <w:t xml:space="preserve">1, 2, 3, 3, 3</w:t>
            </w:r>
          </w:p>
        </w:tc>
        <w:tc>
          <w:tcPr/>
          <w:p>
            <w:pPr>
              <w:pStyle w:val="Compact"/>
              <w:jc w:val="left"/>
            </w:pPr>
            <w:r>
              <w:t xml:space="preserve">5</w:t>
            </w:r>
          </w:p>
        </w:tc>
      </w:tr>
    </w:tbl>
    <w:p>
      <w:pPr>
        <w:pStyle w:val="BodyText"/>
      </w:pPr>
      <w:r>
        <w:t xml:space="preserve">This is the order of recitation of the viṣṭuti</w:t>
      </w:r>
      <w:r>
        <w:t xml:space="preserve"> </w:t>
      </w:r>
      <w:r>
        <w:t xml:space="preserve">“</w:t>
      </w:r>
      <w:r>
        <w:t xml:space="preserve">pañcapañcinī.</w:t>
      </w:r>
      <w:r>
        <w:t xml:space="preserve">”</w:t>
      </w:r>
    </w:p>
    <w:p>
      <w:pPr>
        <w:pStyle w:val="BodyText"/>
      </w:pPr>
      <w:r>
        <w:rPr>
          <w:bCs/>
          <w:b/>
        </w:rPr>
        <w:t xml:space="preserve">(2) The second,</w:t>
      </w:r>
      <w:r>
        <w:rPr>
          <w:bCs/>
          <w:b/>
        </w:rPr>
        <w:t xml:space="preserve"> </w:t>
      </w:r>
      <w:r>
        <w:rPr>
          <w:bCs/>
          <w:b/>
        </w:rPr>
        <w:t xml:space="preserve">“</w:t>
      </w:r>
      <w:r>
        <w:rPr>
          <w:bCs/>
          <w:b/>
        </w:rPr>
        <w:t xml:space="preserve">udyatī prathamā</w:t>
      </w:r>
      <w:r>
        <w:rPr>
          <w:bCs/>
          <w:b/>
        </w:rPr>
        <w:t xml:space="preserve">”</w:t>
      </w:r>
      <w:r>
        <w:rPr>
          <w:bCs/>
          <w:b/>
        </w:rP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Paryāya</w:t>
            </w:r>
          </w:p>
        </w:tc>
        <w:tc>
          <w:tcPr/>
          <w:p>
            <w:pPr>
              <w:pStyle w:val="Compact"/>
              <w:jc w:val="left"/>
            </w:pPr>
            <w:r>
              <w:t xml:space="preserve">Ṛks recited</w:t>
            </w:r>
          </w:p>
        </w:tc>
        <w:tc>
          <w:tcPr/>
          <w:p>
            <w:pPr>
              <w:pStyle w:val="Compact"/>
              <w:jc w:val="left"/>
            </w:pPr>
            <w:r>
              <w:t xml:space="preserve">Count</w:t>
            </w:r>
          </w:p>
        </w:tc>
      </w:tr>
      <w:tr>
        <w:tc>
          <w:tcPr/>
          <w:p>
            <w:pPr>
              <w:pStyle w:val="Compact"/>
              <w:jc w:val="left"/>
            </w:pPr>
            <w:r>
              <w:t xml:space="preserve">first</w:t>
            </w:r>
          </w:p>
        </w:tc>
        <w:tc>
          <w:tcPr/>
          <w:p>
            <w:pPr>
              <w:pStyle w:val="Compact"/>
              <w:jc w:val="left"/>
            </w:pPr>
            <w:r>
              <w:t xml:space="preserve">1, 1, 1, 2, 3</w:t>
            </w:r>
          </w:p>
        </w:tc>
        <w:tc>
          <w:tcPr/>
          <w:p>
            <w:pPr>
              <w:pStyle w:val="Compact"/>
              <w:jc w:val="left"/>
            </w:pPr>
            <w:r>
              <w:t xml:space="preserve">5</w:t>
            </w:r>
          </w:p>
        </w:tc>
      </w:tr>
      <w:tr>
        <w:tc>
          <w:tcPr/>
          <w:p>
            <w:pPr>
              <w:pStyle w:val="Compact"/>
              <w:jc w:val="left"/>
            </w:pPr>
            <w:r>
              <w:t xml:space="preserve">second</w:t>
            </w:r>
          </w:p>
        </w:tc>
        <w:tc>
          <w:tcPr/>
          <w:p>
            <w:pPr>
              <w:pStyle w:val="Compact"/>
              <w:jc w:val="left"/>
            </w:pPr>
            <w:r>
              <w:t xml:space="preserve">1, 2, 3</w:t>
            </w:r>
          </w:p>
        </w:tc>
        <w:tc>
          <w:tcPr/>
          <w:p>
            <w:pPr>
              <w:pStyle w:val="Compact"/>
              <w:jc w:val="left"/>
            </w:pPr>
            <w:r>
              <w:t xml:space="preserve">3</w:t>
            </w:r>
          </w:p>
        </w:tc>
      </w:tr>
      <w:tr>
        <w:tc>
          <w:tcPr/>
          <w:p>
            <w:pPr>
              <w:pStyle w:val="Compact"/>
              <w:jc w:val="left"/>
            </w:pPr>
            <w:r>
              <w:t xml:space="preserve">third</w:t>
            </w:r>
          </w:p>
        </w:tc>
        <w:tc>
          <w:tcPr/>
          <w:p>
            <w:pPr>
              <w:pStyle w:val="Compact"/>
              <w:jc w:val="left"/>
            </w:pPr>
            <w:r>
              <w:t xml:space="preserve">1, 2, 2, 2, 3, 3, 3</w:t>
            </w:r>
          </w:p>
        </w:tc>
        <w:tc>
          <w:tcPr/>
          <w:p>
            <w:pPr>
              <w:pStyle w:val="Compact"/>
              <w:jc w:val="left"/>
            </w:pPr>
            <w:r>
              <w:t xml:space="preserve">7</w:t>
            </w:r>
          </w:p>
        </w:tc>
      </w:tr>
    </w:tbl>
    <w:p>
      <w:pPr>
        <w:pStyle w:val="BodyText"/>
      </w:pPr>
      <w:r>
        <w:rPr>
          <w:bCs/>
          <w:b/>
        </w:rPr>
        <w:t xml:space="preserve">(3) The third,</w:t>
      </w:r>
      <w:r>
        <w:rPr>
          <w:bCs/>
          <w:b/>
        </w:rPr>
        <w:t xml:space="preserve"> </w:t>
      </w:r>
      <w:r>
        <w:rPr>
          <w:bCs/>
          <w:b/>
        </w:rPr>
        <w:t xml:space="preserve">“</w:t>
      </w:r>
      <w:r>
        <w:rPr>
          <w:bCs/>
          <w:b/>
        </w:rPr>
        <w:t xml:space="preserve">udyatī dvitīyā</w:t>
      </w:r>
      <w:r>
        <w:rPr>
          <w:bCs/>
          <w:b/>
        </w:rPr>
        <w:t xml:space="preserve">”</w:t>
      </w:r>
      <w:r>
        <w:rPr>
          <w:bCs/>
          <w:b/>
        </w:rP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Paryāya</w:t>
            </w:r>
          </w:p>
        </w:tc>
        <w:tc>
          <w:tcPr/>
          <w:p>
            <w:pPr>
              <w:pStyle w:val="Compact"/>
              <w:jc w:val="left"/>
            </w:pPr>
            <w:r>
              <w:t xml:space="preserve">Ṛks recited</w:t>
            </w:r>
          </w:p>
        </w:tc>
        <w:tc>
          <w:tcPr/>
          <w:p>
            <w:pPr>
              <w:pStyle w:val="Compact"/>
              <w:jc w:val="left"/>
            </w:pPr>
            <w:r>
              <w:t xml:space="preserve">Count</w:t>
            </w:r>
          </w:p>
        </w:tc>
      </w:tr>
      <w:tr>
        <w:tc>
          <w:tcPr/>
          <w:p>
            <w:pPr>
              <w:pStyle w:val="Compact"/>
              <w:jc w:val="left"/>
            </w:pPr>
            <w:r>
              <w:t xml:space="preserve">first</w:t>
            </w:r>
          </w:p>
        </w:tc>
        <w:tc>
          <w:tcPr/>
          <w:p>
            <w:pPr>
              <w:pStyle w:val="Compact"/>
              <w:jc w:val="left"/>
            </w:pPr>
            <w:r>
              <w:t xml:space="preserve">1, 2, 3</w:t>
            </w:r>
          </w:p>
        </w:tc>
        <w:tc>
          <w:tcPr/>
          <w:p>
            <w:pPr>
              <w:pStyle w:val="Compact"/>
              <w:jc w:val="left"/>
            </w:pPr>
            <w:r>
              <w:t xml:space="preserve">3</w:t>
            </w:r>
          </w:p>
        </w:tc>
      </w:tr>
      <w:tr>
        <w:tc>
          <w:tcPr/>
          <w:p>
            <w:pPr>
              <w:pStyle w:val="Compact"/>
              <w:jc w:val="left"/>
            </w:pPr>
            <w:r>
              <w:t xml:space="preserve">second</w:t>
            </w:r>
          </w:p>
        </w:tc>
        <w:tc>
          <w:tcPr/>
          <w:p>
            <w:pPr>
              <w:pStyle w:val="Compact"/>
              <w:jc w:val="left"/>
            </w:pPr>
            <w:r>
              <w:t xml:space="preserve">1, 2, 2, 2, 3</w:t>
            </w:r>
          </w:p>
        </w:tc>
        <w:tc>
          <w:tcPr/>
          <w:p>
            <w:pPr>
              <w:pStyle w:val="Compact"/>
              <w:jc w:val="left"/>
            </w:pPr>
            <w:r>
              <w:t xml:space="preserve">5</w:t>
            </w:r>
          </w:p>
        </w:tc>
      </w:tr>
      <w:tr>
        <w:tc>
          <w:tcPr/>
          <w:p>
            <w:pPr>
              <w:pStyle w:val="Compact"/>
              <w:jc w:val="left"/>
            </w:pPr>
            <w:r>
              <w:t xml:space="preserve">third</w:t>
            </w:r>
          </w:p>
        </w:tc>
        <w:tc>
          <w:tcPr/>
          <w:p>
            <w:pPr>
              <w:pStyle w:val="Compact"/>
              <w:jc w:val="left"/>
            </w:pPr>
            <w:r>
              <w:t xml:space="preserve">1, 1, 1, 2, 3, 3, 3</w:t>
            </w:r>
          </w:p>
        </w:tc>
        <w:tc>
          <w:tcPr/>
          <w:p>
            <w:pPr>
              <w:pStyle w:val="Compact"/>
              <w:jc w:val="left"/>
            </w:pPr>
            <w:r>
              <w:t xml:space="preserve">7</w:t>
            </w:r>
          </w:p>
        </w:tc>
      </w:tr>
    </w:tbl>
    <w:p>
      <w:pPr>
        <w:pStyle w:val="BodyText"/>
      </w:pPr>
      <w:r>
        <w:t xml:space="preserve">These are the orders of the three viṣṭutis of the pañcadaśa stoma.</w:t>
      </w:r>
      <w:r>
        <w:t xml:space="preserve"> </w:t>
      </w:r>
      <w:r>
        <w:rPr>
          <w:iCs/>
          <w:i/>
        </w:rPr>
        <w:t xml:space="preserve">(Each totals 15.</w:t>
      </w:r>
      <w:r>
        <w:rPr>
          <w:iCs/>
          <w:i/>
        </w:rPr>
        <w:t xml:space="preserve"> </w:t>
      </w:r>
      <w:r>
        <w:rPr>
          <w:bCs/>
          <w:b/>
          <w:iCs/>
          <w:i/>
        </w:rPr>
        <w:t xml:space="preserve">Source discrepancy, recorded not resolved:</w:t>
      </w:r>
      <w:r>
        <w:rPr>
          <w:iCs/>
          <w:i/>
        </w:rPr>
        <w:t xml:space="preserve"> </w:t>
      </w:r>
      <w:r>
        <w:rPr>
          <w:iCs/>
          <w:i/>
        </w:rPr>
        <w:t xml:space="preserve">on p. 142 the viṣṭuti taken as the worked example — the one with 1,1,1,2,3 / 1,2,2,2,3 / 1,2,3,3,3 — is called</w:t>
      </w:r>
      <w:r>
        <w:rPr>
          <w:iCs/>
          <w:i/>
        </w:rPr>
        <w:t xml:space="preserve"> </w:t>
      </w:r>
      <w:r>
        <w:rPr>
          <w:iCs/>
          <w:i/>
        </w:rPr>
        <w:t xml:space="preserve">“</w:t>
      </w:r>
      <w:r>
        <w:rPr>
          <w:iCs/>
          <w:i/>
        </w:rPr>
        <w:t xml:space="preserve">udyatī</w:t>
      </w:r>
      <w:r>
        <w:rPr>
          <w:iCs/>
          <w:i/>
        </w:rPr>
        <w:t xml:space="preserve">”</w:t>
      </w:r>
      <w:r>
        <w:rPr>
          <w:iCs/>
          <w:i/>
        </w:rPr>
        <w:t xml:space="preserve">; here that same pattern is the first,</w:t>
      </w:r>
      <w:r>
        <w:rPr>
          <w:iCs/>
          <w:i/>
        </w:rPr>
        <w:t xml:space="preserve"> </w:t>
      </w:r>
      <w:r>
        <w:rPr>
          <w:iCs/>
          <w:i/>
        </w:rPr>
        <w:t xml:space="preserve">“</w:t>
      </w:r>
      <w:r>
        <w:rPr>
          <w:iCs/>
          <w:i/>
        </w:rPr>
        <w:t xml:space="preserve">pañcapañcinī,</w:t>
      </w:r>
      <w:r>
        <w:rPr>
          <w:iCs/>
          <w:i/>
        </w:rPr>
        <w:t xml:space="preserve">”</w:t>
      </w:r>
      <w:r>
        <w:rPr>
          <w:iCs/>
          <w:i/>
        </w:rPr>
        <w:t xml:space="preserve"> </w:t>
      </w:r>
      <w:r>
        <w:rPr>
          <w:iCs/>
          <w:i/>
        </w:rPr>
        <w:t xml:space="preserve">and the</w:t>
      </w:r>
      <w:r>
        <w:rPr>
          <w:iCs/>
          <w:i/>
        </w:rPr>
        <w:t xml:space="preserve"> </w:t>
      </w:r>
      <w:r>
        <w:rPr>
          <w:iCs/>
          <w:i/>
        </w:rPr>
        <w:t xml:space="preserve">“</w:t>
      </w:r>
      <w:r>
        <w:rPr>
          <w:iCs/>
          <w:i/>
        </w:rPr>
        <w:t xml:space="preserve">udyatī prathamā</w:t>
      </w:r>
      <w:r>
        <w:rPr>
          <w:iCs/>
          <w:i/>
        </w:rPr>
        <w:t xml:space="preserve">”</w:t>
      </w:r>
      <w:r>
        <w:rPr>
          <w:iCs/>
          <w:i/>
        </w:rPr>
        <w:t xml:space="preserve"> </w:t>
      </w:r>
      <w:r>
        <w:rPr>
          <w:iCs/>
          <w:i/>
        </w:rPr>
        <w:t xml:space="preserve">has a different pattern. One of the two pages’ names for it is a slip, in the source or in my reading of a small numeral.)</w:t>
      </w:r>
    </w:p>
    <w:p>
      <w:pPr>
        <w:pStyle w:val="BodyText"/>
      </w:pPr>
      <w:r>
        <w:rPr>
          <w:bCs/>
          <w:b/>
        </w:rPr>
        <w:t xml:space="preserve">III. Saptadaśa stoma</w:t>
      </w:r>
      <w:r>
        <w:t xml:space="preserve"> </w:t>
      </w:r>
      <w:r>
        <w:t xml:space="preserve">(17 Ṛks) — seven viṣṭutis: (1)</w:t>
      </w:r>
      <w:r>
        <w:t xml:space="preserve"> </w:t>
      </w:r>
      <w:r>
        <w:rPr>
          <w:bCs/>
          <w:b/>
        </w:rPr>
        <w:t xml:space="preserve">दशसप्तानामिका प्रथमा</w:t>
      </w:r>
      <w:r>
        <w:t xml:space="preserve"> </w:t>
      </w:r>
      <w:r>
        <w:t xml:space="preserve">(</w:t>
      </w:r>
      <w:r>
        <w:rPr>
          <w:iCs/>
          <w:i/>
        </w:rPr>
        <w:t xml:space="preserve">daśasaptānāmikā prathamā</w:t>
      </w:r>
      <w:r>
        <w:t xml:space="preserve">), (2)</w:t>
      </w:r>
      <w:r>
        <w:t xml:space="preserve"> </w:t>
      </w:r>
      <w:r>
        <w:rPr>
          <w:bCs/>
          <w:b/>
        </w:rPr>
        <w:t xml:space="preserve">दशसप्तानामिका द्वितीया</w:t>
      </w:r>
      <w:r>
        <w:t xml:space="preserve"> </w:t>
      </w:r>
      <w:r>
        <w:t xml:space="preserve">(</w:t>
      </w:r>
      <w:r>
        <w:rPr>
          <w:iCs/>
          <w:i/>
        </w:rPr>
        <w:t xml:space="preserve">daśasaptānāmikā dvitīyā</w:t>
      </w:r>
      <w:r>
        <w:t xml:space="preserve">), (3)</w:t>
      </w:r>
      <w:r>
        <w:t xml:space="preserve"> </w:t>
      </w:r>
      <w:r>
        <w:rPr>
          <w:bCs/>
          <w:b/>
        </w:rPr>
        <w:t xml:space="preserve">सप्तस्थिता प्रथमा</w:t>
      </w:r>
      <w:r>
        <w:t xml:space="preserve"> </w:t>
      </w:r>
      <w:r>
        <w:t xml:space="preserve">(</w:t>
      </w:r>
      <w:r>
        <w:rPr>
          <w:iCs/>
          <w:i/>
        </w:rPr>
        <w:t xml:space="preserve">saptasthitā prathamā</w:t>
      </w:r>
      <w:r>
        <w:t xml:space="preserve">), (4)</w:t>
      </w:r>
      <w:r>
        <w:t xml:space="preserve"> </w:t>
      </w:r>
      <w:r>
        <w:rPr>
          <w:bCs/>
          <w:b/>
        </w:rPr>
        <w:t xml:space="preserve">सप्तस्थिता द्वितीया</w:t>
      </w:r>
      <w:r>
        <w:t xml:space="preserve"> </w:t>
      </w:r>
      <w:r>
        <w:t xml:space="preserve">(</w:t>
      </w:r>
      <w:r>
        <w:rPr>
          <w:iCs/>
          <w:i/>
        </w:rPr>
        <w:t xml:space="preserve">saptasthitā dvitīyā</w:t>
      </w:r>
      <w:r>
        <w:t xml:space="preserve">), (5)</w:t>
      </w:r>
      <w:r>
        <w:t xml:space="preserve"> </w:t>
      </w:r>
      <w:r>
        <w:rPr>
          <w:bCs/>
          <w:b/>
        </w:rPr>
        <w:t xml:space="preserve">अनामिका</w:t>
      </w:r>
      <w:r>
        <w:t xml:space="preserve"> </w:t>
      </w:r>
      <w:r>
        <w:t xml:space="preserve">(</w:t>
      </w:r>
      <w:r>
        <w:rPr>
          <w:iCs/>
          <w:i/>
        </w:rPr>
        <w:t xml:space="preserve">anāmikā</w:t>
      </w:r>
      <w:r>
        <w:t xml:space="preserve">), (6)</w:t>
      </w:r>
      <w:r>
        <w:t xml:space="preserve"> </w:t>
      </w:r>
      <w:r>
        <w:rPr>
          <w:bCs/>
          <w:b/>
        </w:rPr>
        <w:t xml:space="preserve">उद्यती</w:t>
      </w:r>
      <w:r>
        <w:t xml:space="preserve"> </w:t>
      </w:r>
      <w:r>
        <w:t xml:space="preserve">(</w:t>
      </w:r>
      <w:r>
        <w:rPr>
          <w:iCs/>
          <w:i/>
        </w:rPr>
        <w:t xml:space="preserve">udyatī</w:t>
      </w:r>
      <w:r>
        <w:t xml:space="preserve">), (7)</w:t>
      </w:r>
      <w:r>
        <w:t xml:space="preserve"> </w:t>
      </w:r>
      <w:r>
        <w:rPr>
          <w:bCs/>
          <w:b/>
        </w:rPr>
        <w:t xml:space="preserve">भस्त्रा</w:t>
      </w:r>
      <w:r>
        <w:t xml:space="preserve"> </w:t>
      </w:r>
      <w:r>
        <w:t xml:space="preserve">(</w:t>
      </w:r>
      <w:r>
        <w:rPr>
          <w:iCs/>
          <w:i/>
        </w:rPr>
        <w:t xml:space="preserve">bhastrā</w:t>
      </w:r>
      <w:r>
        <w:t xml:space="preserve">).</w:t>
      </w:r>
      <w:r>
        <w:t xml:space="preserve"> </w:t>
      </w:r>
      <w:r>
        <w:rPr>
          <w:iCs/>
          <w:i/>
        </w:rPr>
        <w:t xml:space="preserve">(Note: this page spells the first two names</w:t>
      </w:r>
      <w:r>
        <w:rPr>
          <w:iCs/>
          <w:i/>
        </w:rPr>
        <w:t xml:space="preserve"> </w:t>
      </w:r>
      <w:r>
        <w:rPr>
          <w:iCs/>
          <w:i/>
        </w:rPr>
        <w:t xml:space="preserve">“</w:t>
      </w:r>
      <w:r>
        <w:rPr>
          <w:iCs/>
          <w:i/>
        </w:rPr>
        <w:t xml:space="preserve">daśasaptānāmikā,</w:t>
      </w:r>
      <w:r>
        <w:rPr>
          <w:iCs/>
          <w:i/>
        </w:rPr>
        <w:t xml:space="preserve">”</w:t>
      </w:r>
      <w:r>
        <w:rPr>
          <w:iCs/>
          <w:i/>
        </w:rPr>
        <w:t xml:space="preserve"> </w:t>
      </w:r>
      <w:r>
        <w:rPr>
          <w:iCs/>
          <w:i/>
        </w:rPr>
        <w:t xml:space="preserve">whereas p. 139 gave them</w:t>
      </w:r>
      <w:r>
        <w:rPr>
          <w:iCs/>
          <w:i/>
        </w:rPr>
        <w:t xml:space="preserve"> </w:t>
      </w:r>
      <w:r>
        <w:rPr>
          <w:iCs/>
          <w:i/>
        </w:rPr>
        <w:t xml:space="preserve">“</w:t>
      </w:r>
      <w:r>
        <w:rPr>
          <w:iCs/>
          <w:i/>
        </w:rPr>
        <w:t xml:space="preserve">daśasaptā</w:t>
      </w:r>
      <w:r>
        <w:rPr>
          <w:iCs/>
          <w:i/>
        </w:rPr>
        <w:t xml:space="preserve">”</w:t>
      </w:r>
      <w:r>
        <w:rPr>
          <w:iCs/>
          <w:i/>
        </w:rPr>
        <w:t xml:space="preserve">; I record both spellings as printed.)</w:t>
      </w:r>
      <w:r>
        <w:t xml:space="preserve"> </w:t>
      </w:r>
      <w:r>
        <w:t xml:space="preserve">Their order follows on the next page.</w:t>
      </w:r>
    </w:p>
    <w:bookmarkEnd w:id="178"/>
    <w:bookmarkStart w:id="179" w:name="Xc96ad88368487d5a60741caa9aaadce7ef248ee"/>
    <w:p>
      <w:pPr>
        <w:pStyle w:val="Heading3"/>
      </w:pPr>
      <w:r>
        <w:t xml:space="preserve">Page 145 — The seven viṣṭutis of the saptadaśa stoma</w:t>
      </w:r>
    </w:p>
    <w:p>
      <w:pPr>
        <w:pStyle w:val="FirstParagraph"/>
      </w:pPr>
      <w:r>
        <w:rPr>
          <w:iCs/>
          <w:i/>
        </w:rPr>
        <w:t xml:space="preserve">(Page header:</w:t>
      </w:r>
      <w:r>
        <w:rPr>
          <w:iCs/>
          <w:i/>
        </w:rPr>
        <w:t xml:space="preserve"> </w:t>
      </w:r>
      <w:r>
        <w:rPr>
          <w:iCs/>
          <w:i/>
        </w:rPr>
        <w:t xml:space="preserve">“</w:t>
      </w:r>
      <w:r>
        <w:rPr>
          <w:iCs/>
          <w:i/>
        </w:rPr>
        <w:t xml:space="preserve">Aṣṭaka 1, Adhyāya 1, Varga 9 · Ṛgveda-saṃhitā.</w:t>
      </w:r>
      <w:r>
        <w:rPr>
          <w:iCs/>
          <w:i/>
        </w:rPr>
        <w:t xml:space="preserve">”</w:t>
      </w:r>
      <w:r>
        <w:rPr>
          <w:iCs/>
          <w:i/>
        </w:rPr>
        <w:t xml:space="preserve"> </w:t>
      </w:r>
      <w:r>
        <w:rPr>
          <w:iCs/>
          <w:i/>
        </w:rPr>
        <w:t xml:space="preserve">Each row’s three counts sum to 17.)</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w:t>
            </w:r>
          </w:p>
        </w:tc>
        <w:tc>
          <w:tcPr/>
          <w:p>
            <w:pPr>
              <w:pStyle w:val="Compact"/>
              <w:jc w:val="left"/>
            </w:pPr>
            <w:r>
              <w:t xml:space="preserve">Viṣṭuti</w:t>
            </w:r>
          </w:p>
        </w:tc>
        <w:tc>
          <w:tcPr/>
          <w:p>
            <w:pPr>
              <w:pStyle w:val="Compact"/>
              <w:jc w:val="left"/>
            </w:pPr>
            <w:r>
              <w:t xml:space="preserve">First paryāya</w:t>
            </w:r>
          </w:p>
        </w:tc>
        <w:tc>
          <w:tcPr/>
          <w:p>
            <w:pPr>
              <w:pStyle w:val="Compact"/>
              <w:jc w:val="left"/>
            </w:pPr>
            <w:r>
              <w:t xml:space="preserve">Second paryāya</w:t>
            </w:r>
          </w:p>
        </w:tc>
        <w:tc>
          <w:tcPr/>
          <w:p>
            <w:pPr>
              <w:pStyle w:val="Compact"/>
              <w:jc w:val="left"/>
            </w:pPr>
            <w:r>
              <w:t xml:space="preserve">Third paryāya</w:t>
            </w:r>
          </w:p>
        </w:tc>
      </w:tr>
      <w:tr>
        <w:tc>
          <w:tcPr/>
          <w:p>
            <w:pPr>
              <w:pStyle w:val="Compact"/>
              <w:jc w:val="left"/>
            </w:pPr>
            <w:r>
              <w:t xml:space="preserve">(1)</w:t>
            </w:r>
          </w:p>
        </w:tc>
        <w:tc>
          <w:tcPr/>
          <w:p>
            <w:pPr>
              <w:pStyle w:val="Compact"/>
              <w:jc w:val="left"/>
            </w:pPr>
            <w:r>
              <w:t xml:space="preserve">daśasaptānāmikā prathamā</w:t>
            </w:r>
          </w:p>
        </w:tc>
        <w:tc>
          <w:tcPr/>
          <w:p>
            <w:pPr>
              <w:pStyle w:val="Compact"/>
              <w:jc w:val="left"/>
            </w:pPr>
            <w:r>
              <w:t xml:space="preserve">1, 1, 1, 2, 3 (5)</w:t>
            </w:r>
          </w:p>
        </w:tc>
        <w:tc>
          <w:tcPr/>
          <w:p>
            <w:pPr>
              <w:pStyle w:val="Compact"/>
              <w:jc w:val="left"/>
            </w:pPr>
            <w:r>
              <w:t xml:space="preserve">1, 2, 2, 2, 3 (5)</w:t>
            </w:r>
          </w:p>
        </w:tc>
        <w:tc>
          <w:tcPr/>
          <w:p>
            <w:pPr>
              <w:pStyle w:val="Compact"/>
              <w:jc w:val="left"/>
            </w:pPr>
            <w:r>
              <w:t xml:space="preserve">1, 2, 2, 2, 3, 3, 3 (7)</w:t>
            </w:r>
          </w:p>
        </w:tc>
      </w:tr>
      <w:tr>
        <w:tc>
          <w:tcPr/>
          <w:p>
            <w:pPr>
              <w:pStyle w:val="Compact"/>
              <w:jc w:val="left"/>
            </w:pPr>
            <w:r>
              <w:t xml:space="preserve">(2)</w:t>
            </w:r>
          </w:p>
        </w:tc>
        <w:tc>
          <w:tcPr/>
          <w:p>
            <w:pPr>
              <w:pStyle w:val="Compact"/>
              <w:jc w:val="left"/>
            </w:pPr>
            <w:r>
              <w:t xml:space="preserve">daśasaptānāmikā dvitīyā</w:t>
            </w:r>
          </w:p>
        </w:tc>
        <w:tc>
          <w:tcPr/>
          <w:p>
            <w:pPr>
              <w:pStyle w:val="Compact"/>
              <w:jc w:val="left"/>
            </w:pPr>
            <w:r>
              <w:t xml:space="preserve">1, 1, 1, 2, 3 (5)</w:t>
            </w:r>
          </w:p>
        </w:tc>
        <w:tc>
          <w:tcPr/>
          <w:p>
            <w:pPr>
              <w:pStyle w:val="Compact"/>
              <w:jc w:val="left"/>
            </w:pPr>
            <w:r>
              <w:t xml:space="preserve">1, 2, 2, 2, 3 (5)</w:t>
            </w:r>
          </w:p>
        </w:tc>
        <w:tc>
          <w:tcPr/>
          <w:p>
            <w:pPr>
              <w:pStyle w:val="Compact"/>
              <w:jc w:val="left"/>
            </w:pPr>
            <w:r>
              <w:t xml:space="preserve">1, 1, 1, 2, 3, 3, 3 (7)</w:t>
            </w:r>
          </w:p>
        </w:tc>
      </w:tr>
      <w:tr>
        <w:tc>
          <w:tcPr/>
          <w:p>
            <w:pPr>
              <w:pStyle w:val="Compact"/>
              <w:jc w:val="left"/>
            </w:pPr>
            <w:r>
              <w:t xml:space="preserve">(3)</w:t>
            </w:r>
          </w:p>
        </w:tc>
        <w:tc>
          <w:tcPr/>
          <w:p>
            <w:pPr>
              <w:pStyle w:val="Compact"/>
              <w:jc w:val="left"/>
            </w:pPr>
            <w:r>
              <w:t xml:space="preserve">saptasthitā prathamā</w:t>
            </w:r>
          </w:p>
        </w:tc>
        <w:tc>
          <w:tcPr/>
          <w:p>
            <w:pPr>
              <w:pStyle w:val="Compact"/>
              <w:jc w:val="left"/>
            </w:pPr>
            <w:r>
              <w:t xml:space="preserve">1, 1, 1, 2, 2, 2, 3 (7)</w:t>
            </w:r>
          </w:p>
        </w:tc>
        <w:tc>
          <w:tcPr/>
          <w:p>
            <w:pPr>
              <w:pStyle w:val="Compact"/>
              <w:jc w:val="left"/>
            </w:pPr>
            <w:r>
              <w:t xml:space="preserve">1, 2, 3 (3)</w:t>
            </w:r>
          </w:p>
        </w:tc>
        <w:tc>
          <w:tcPr/>
          <w:p>
            <w:pPr>
              <w:pStyle w:val="Compact"/>
              <w:jc w:val="left"/>
            </w:pPr>
            <w:r>
              <w:t xml:space="preserve">1, 2, 2, 2, 3, 3, 3 (7)</w:t>
            </w:r>
          </w:p>
        </w:tc>
      </w:tr>
      <w:tr>
        <w:tc>
          <w:tcPr/>
          <w:p>
            <w:pPr>
              <w:pStyle w:val="Compact"/>
              <w:jc w:val="left"/>
            </w:pPr>
            <w:r>
              <w:t xml:space="preserve">(4)</w:t>
            </w:r>
          </w:p>
        </w:tc>
        <w:tc>
          <w:tcPr/>
          <w:p>
            <w:pPr>
              <w:pStyle w:val="Compact"/>
              <w:jc w:val="left"/>
            </w:pPr>
            <w:r>
              <w:t xml:space="preserve">saptasthitā dvitīyā</w:t>
            </w:r>
          </w:p>
        </w:tc>
        <w:tc>
          <w:tcPr/>
          <w:p>
            <w:pPr>
              <w:pStyle w:val="Compact"/>
              <w:jc w:val="left"/>
            </w:pPr>
            <w:r>
              <w:t xml:space="preserve">1, 1, 1, 2, 3, 3, 3 (7)</w:t>
            </w:r>
          </w:p>
        </w:tc>
        <w:tc>
          <w:tcPr/>
          <w:p>
            <w:pPr>
              <w:pStyle w:val="Compact"/>
              <w:jc w:val="left"/>
            </w:pPr>
            <w:r>
              <w:t xml:space="preserve">1, 2, 3 (3)</w:t>
            </w:r>
          </w:p>
        </w:tc>
        <w:tc>
          <w:tcPr/>
          <w:p>
            <w:pPr>
              <w:pStyle w:val="Compact"/>
              <w:jc w:val="left"/>
            </w:pPr>
            <w:r>
              <w:t xml:space="preserve">1, 1, 1, 2, 3, 3, 3 (7)</w:t>
            </w:r>
          </w:p>
        </w:tc>
      </w:tr>
      <w:tr>
        <w:tc>
          <w:tcPr/>
          <w:p>
            <w:pPr>
              <w:pStyle w:val="Compact"/>
              <w:jc w:val="left"/>
            </w:pPr>
            <w:r>
              <w:t xml:space="preserve">(5)</w:t>
            </w:r>
          </w:p>
        </w:tc>
        <w:tc>
          <w:tcPr/>
          <w:p>
            <w:pPr>
              <w:pStyle w:val="Compact"/>
              <w:jc w:val="left"/>
            </w:pPr>
            <w:r>
              <w:t xml:space="preserve">anāmikā</w:t>
            </w:r>
          </w:p>
        </w:tc>
        <w:tc>
          <w:tcPr/>
          <w:p>
            <w:pPr>
              <w:pStyle w:val="Compact"/>
              <w:jc w:val="left"/>
            </w:pPr>
            <w:r>
              <w:t xml:space="preserve">1, 1, 1, 2, 3 (5)</w:t>
            </w:r>
          </w:p>
        </w:tc>
        <w:tc>
          <w:tcPr/>
          <w:p>
            <w:pPr>
              <w:pStyle w:val="Compact"/>
              <w:jc w:val="left"/>
            </w:pPr>
            <w:r>
              <w:t xml:space="preserve">1, 2, 3 (3)</w:t>
            </w:r>
          </w:p>
        </w:tc>
        <w:tc>
          <w:tcPr/>
          <w:p>
            <w:pPr>
              <w:pStyle w:val="Compact"/>
              <w:jc w:val="left"/>
            </w:pPr>
            <w:r>
              <w:t xml:space="preserve">1, 1, 1, 2, 2, 2, 3, 3, 3 (9)</w:t>
            </w:r>
          </w:p>
        </w:tc>
      </w:tr>
      <w:tr>
        <w:tc>
          <w:tcPr/>
          <w:p>
            <w:pPr>
              <w:pStyle w:val="Compact"/>
              <w:jc w:val="left"/>
            </w:pPr>
            <w:r>
              <w:t xml:space="preserve">(6)</w:t>
            </w:r>
          </w:p>
        </w:tc>
        <w:tc>
          <w:tcPr/>
          <w:p>
            <w:pPr>
              <w:pStyle w:val="Compact"/>
              <w:jc w:val="left"/>
            </w:pPr>
            <w:r>
              <w:t xml:space="preserve">udyatī</w:t>
            </w:r>
          </w:p>
        </w:tc>
        <w:tc>
          <w:tcPr/>
          <w:p>
            <w:pPr>
              <w:pStyle w:val="Compact"/>
              <w:jc w:val="left"/>
            </w:pPr>
            <w:r>
              <w:t xml:space="preserve">1, 2, 3 (3)</w:t>
            </w:r>
          </w:p>
        </w:tc>
        <w:tc>
          <w:tcPr/>
          <w:p>
            <w:pPr>
              <w:pStyle w:val="Compact"/>
              <w:jc w:val="left"/>
            </w:pPr>
            <w:r>
              <w:t xml:space="preserve">1, 2, 2, 2, 3 (5)</w:t>
            </w:r>
          </w:p>
        </w:tc>
        <w:tc>
          <w:tcPr/>
          <w:p>
            <w:pPr>
              <w:pStyle w:val="Compact"/>
              <w:jc w:val="left"/>
            </w:pPr>
            <w:r>
              <w:t xml:space="preserve">1, 1, 1, 2, 2, 2, 3, 3, 3 (9)</w:t>
            </w:r>
          </w:p>
        </w:tc>
      </w:tr>
      <w:tr>
        <w:tc>
          <w:tcPr/>
          <w:p>
            <w:pPr>
              <w:pStyle w:val="Compact"/>
              <w:jc w:val="left"/>
            </w:pPr>
            <w:r>
              <w:t xml:space="preserve">(7)</w:t>
            </w:r>
          </w:p>
        </w:tc>
        <w:tc>
          <w:tcPr/>
          <w:p>
            <w:pPr>
              <w:pStyle w:val="Compact"/>
              <w:jc w:val="left"/>
            </w:pPr>
            <w:r>
              <w:t xml:space="preserve">bhastrā</w:t>
            </w:r>
          </w:p>
        </w:tc>
        <w:tc>
          <w:tcPr/>
          <w:p>
            <w:pPr>
              <w:pStyle w:val="Compact"/>
              <w:jc w:val="left"/>
            </w:pPr>
            <w:r>
              <w:t xml:space="preserve">1, 1, 1, 2, 2, 2, 3 (7)</w:t>
            </w:r>
          </w:p>
        </w:tc>
        <w:tc>
          <w:tcPr/>
          <w:p>
            <w:pPr>
              <w:pStyle w:val="Compact"/>
              <w:jc w:val="left"/>
            </w:pPr>
            <w:r>
              <w:t xml:space="preserve">1, 2, 2, 2, 3 (5)</w:t>
            </w:r>
          </w:p>
        </w:tc>
        <w:tc>
          <w:tcPr/>
          <w:p>
            <w:pPr>
              <w:pStyle w:val="Compact"/>
              <w:jc w:val="left"/>
            </w:pPr>
            <w:r>
              <w:t xml:space="preserve">1, 2, 3, 3, 3 (5)</w:t>
            </w:r>
          </w:p>
        </w:tc>
      </w:tr>
    </w:tbl>
    <w:p>
      <w:pPr>
        <w:pStyle w:val="BodyText"/>
      </w:pPr>
      <w:r>
        <w:rPr>
          <w:iCs/>
          <w:i/>
        </w:rPr>
        <w:t xml:space="preserve">(Reading note: the fourth row’s third paryāya and the fifth row’s second paryāya are printed with small variations of spacing in the source; I give the sequences whose sums are 17 and which agree with the digit strings I could read.)</w:t>
      </w:r>
    </w:p>
    <w:bookmarkEnd w:id="179"/>
    <w:bookmarkStart w:id="180" w:name="Xcd260df8dfff929ea757ab1a835c5952d680aca"/>
    <w:p>
      <w:pPr>
        <w:pStyle w:val="Heading3"/>
      </w:pPr>
      <w:r>
        <w:t xml:space="preserve">Page 146 — The viṣṭutis of the ekaviṃśa (21) and triṇava (27) stomas</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5.</w:t>
      </w:r>
      <w:r>
        <w:rPr>
          <w:iCs/>
          <w:i/>
        </w:rPr>
        <w:t xml:space="preserve">”</w:t>
      </w:r>
      <w:r>
        <w:rPr>
          <w:iCs/>
          <w:i/>
        </w:rPr>
        <w:t xml:space="preserve"> </w:t>
      </w:r>
      <w:r>
        <w:rPr>
          <w:iCs/>
          <w:i/>
        </w:rPr>
        <w:t xml:space="preserve">These long digit strings were read from enlarged slices of the page, and</w:t>
      </w:r>
      <w:r>
        <w:rPr>
          <w:iCs/>
          <w:i/>
        </w:rPr>
        <w:t xml:space="preserve"> </w:t>
      </w:r>
      <w:r>
        <w:rPr>
          <w:bCs/>
          <w:b/>
          <w:iCs/>
          <w:i/>
        </w:rPr>
        <w:t xml:space="preserve">each paryāya-set was added up as a check</w:t>
      </w:r>
      <w:r>
        <w:rPr>
          <w:iCs/>
          <w:i/>
        </w:rPr>
        <w:t xml:space="preserve">; where a set adds to the stoma’s number, that is noted. Note on spelling: the list of names at the head of the ekaviṃśa section prints the third as</w:t>
      </w:r>
      <w:r>
        <w:rPr>
          <w:iCs/>
          <w:i/>
        </w:rPr>
        <w:t xml:space="preserve"> </w:t>
      </w:r>
      <w:r>
        <w:rPr>
          <w:iCs/>
          <w:i/>
        </w:rPr>
        <w:t xml:space="preserve">“</w:t>
      </w:r>
      <w:r>
        <w:rPr>
          <w:iCs/>
          <w:i/>
        </w:rPr>
        <w:t xml:space="preserve">प्रतिष्टुतिः</w:t>
      </w:r>
      <w:r>
        <w:rPr>
          <w:iCs/>
          <w:i/>
        </w:rPr>
        <w:t xml:space="preserve">”</w:t>
      </w:r>
      <w:r>
        <w:rPr>
          <w:iCs/>
          <w:i/>
        </w:rPr>
        <w:t xml:space="preserve"> </w:t>
      </w:r>
      <w:r>
        <w:rPr>
          <w:iCs/>
          <w:i/>
        </w:rPr>
        <w:t xml:space="preserve">(</w:t>
      </w:r>
      <w:r>
        <w:t xml:space="preserve">pratiṣṭutiḥ* [?]) while the heading over its table prints a form I read as</w:t>
      </w:r>
      <w:r>
        <w:t xml:space="preserve"> </w:t>
      </w:r>
      <w:r>
        <w:t xml:space="preserve">“</w:t>
      </w:r>
      <w:r>
        <w:t xml:space="preserve">परिष्टुति</w:t>
      </w:r>
      <w:r>
        <w:t xml:space="preserve">”</w:t>
      </w:r>
      <w:r>
        <w:t xml:space="preserve"> </w:t>
      </w:r>
      <w:r>
        <w:t xml:space="preserve">(</w:t>
      </w:r>
      <w:r>
        <w:rPr>
          <w:iCs/>
          <w:i/>
        </w:rPr>
        <w:t xml:space="preserve">pariṣṭuti</w:t>
      </w:r>
      <w:r>
        <w:t xml:space="preserve"> </w:t>
      </w:r>
      <w:r>
        <w:t xml:space="preserve">[?]); I record both as printed and do not choose.)*</w:t>
      </w:r>
    </w:p>
    <w:p>
      <w:pPr>
        <w:pStyle w:val="BodyText"/>
      </w:pPr>
      <w:r>
        <w:rPr>
          <w:bCs/>
          <w:b/>
        </w:rPr>
        <w:t xml:space="preserve">IV. Ekaviṃśa stoma</w:t>
      </w:r>
      <w:r>
        <w:t xml:space="preserve"> </w:t>
      </w:r>
      <w:r>
        <w:t xml:space="preserve">(21 Ṛks) — four viṣṭutis: (1)</w:t>
      </w:r>
      <w:r>
        <w:t xml:space="preserve"> </w:t>
      </w:r>
      <w:r>
        <w:rPr>
          <w:bCs/>
          <w:b/>
        </w:rPr>
        <w:t xml:space="preserve">सप्तसप्तिनी</w:t>
      </w:r>
      <w:r>
        <w:t xml:space="preserve"> </w:t>
      </w:r>
      <w:r>
        <w:t xml:space="preserve">(</w:t>
      </w:r>
      <w:r>
        <w:rPr>
          <w:iCs/>
          <w:i/>
        </w:rPr>
        <w:t xml:space="preserve">saptasaptinī</w:t>
      </w:r>
      <w:r>
        <w:t xml:space="preserve">), (2)</w:t>
      </w:r>
      <w:r>
        <w:t xml:space="preserve"> </w:t>
      </w:r>
      <w:r>
        <w:rPr>
          <w:bCs/>
          <w:b/>
        </w:rPr>
        <w:t xml:space="preserve">उद्यती</w:t>
      </w:r>
      <w:r>
        <w:t xml:space="preserve"> </w:t>
      </w:r>
      <w:r>
        <w:t xml:space="preserve">(</w:t>
      </w:r>
      <w:r>
        <w:rPr>
          <w:iCs/>
          <w:i/>
        </w:rPr>
        <w:t xml:space="preserve">udyatī</w:t>
      </w:r>
      <w:r>
        <w:t xml:space="preserve">), (3)</w:t>
      </w:r>
      <w:r>
        <w:t xml:space="preserve"> </w:t>
      </w:r>
      <w:r>
        <w:rPr>
          <w:bCs/>
          <w:b/>
        </w:rPr>
        <w:t xml:space="preserve">प्रतिष्टुतिः / परिष्टुति</w:t>
      </w:r>
      <w:r>
        <w:t xml:space="preserve"> </w:t>
      </w:r>
      <w:r>
        <w:t xml:space="preserve">(</w:t>
      </w:r>
      <w:r>
        <w:rPr>
          <w:iCs/>
          <w:i/>
        </w:rPr>
        <w:t xml:space="preserve">pratiṣṭutiḥ / pariṣṭuti</w:t>
      </w:r>
      <w:r>
        <w:t xml:space="preserve"> </w:t>
      </w:r>
      <w:r>
        <w:t xml:space="preserve">[?]), (4)</w:t>
      </w:r>
      <w:r>
        <w:t xml:space="preserve"> </w:t>
      </w:r>
      <w:r>
        <w:rPr>
          <w:bCs/>
          <w:b/>
        </w:rPr>
        <w:t xml:space="preserve">सूर्मी</w:t>
      </w:r>
      <w:r>
        <w:t xml:space="preserve"> </w:t>
      </w:r>
      <w:r>
        <w:t xml:space="preserve">(</w:t>
      </w:r>
      <w:r>
        <w:rPr>
          <w:iCs/>
          <w:i/>
        </w:rPr>
        <w:t xml:space="preserve">sūrmī</w:t>
      </w:r>
      <w:r>
        <w:t xml:space="preserve"> </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Viṣṭuti</w:t>
            </w:r>
          </w:p>
        </w:tc>
        <w:tc>
          <w:tcPr/>
          <w:p>
            <w:pPr>
              <w:pStyle w:val="Compact"/>
              <w:jc w:val="left"/>
            </w:pPr>
            <w:r>
              <w:t xml:space="preserve">First paryāya</w:t>
            </w:r>
          </w:p>
        </w:tc>
        <w:tc>
          <w:tcPr/>
          <w:p>
            <w:pPr>
              <w:pStyle w:val="Compact"/>
              <w:jc w:val="left"/>
            </w:pPr>
            <w:r>
              <w:t xml:space="preserve">Second paryāya</w:t>
            </w:r>
          </w:p>
        </w:tc>
        <w:tc>
          <w:tcPr/>
          <w:p>
            <w:pPr>
              <w:pStyle w:val="Compact"/>
              <w:jc w:val="left"/>
            </w:pPr>
            <w:r>
              <w:t xml:space="preserve">Third paryāya</w:t>
            </w:r>
          </w:p>
        </w:tc>
        <w:tc>
          <w:tcPr/>
          <w:p>
            <w:pPr>
              <w:pStyle w:val="Compact"/>
              <w:jc w:val="left"/>
            </w:pPr>
            <w:r>
              <w:t xml:space="preserve">Total</w:t>
            </w:r>
          </w:p>
        </w:tc>
      </w:tr>
      <w:tr>
        <w:tc>
          <w:tcPr/>
          <w:p>
            <w:pPr>
              <w:pStyle w:val="Compact"/>
              <w:jc w:val="left"/>
            </w:pPr>
            <w:r>
              <w:t xml:space="preserve">(1) saptasaptinī</w:t>
            </w:r>
          </w:p>
        </w:tc>
        <w:tc>
          <w:tcPr/>
          <w:p>
            <w:pPr>
              <w:pStyle w:val="Compact"/>
              <w:jc w:val="left"/>
            </w:pPr>
            <w:r>
              <w:t xml:space="preserve">1, 1, 1, 2, 2, 2, 3 (7)</w:t>
            </w:r>
          </w:p>
        </w:tc>
        <w:tc>
          <w:tcPr/>
          <w:p>
            <w:pPr>
              <w:pStyle w:val="Compact"/>
              <w:jc w:val="left"/>
            </w:pPr>
            <w:r>
              <w:t xml:space="preserve">1, 2, 2, 2, 3, 3, 3 (7)</w:t>
            </w:r>
          </w:p>
        </w:tc>
        <w:tc>
          <w:tcPr/>
          <w:p>
            <w:pPr>
              <w:pStyle w:val="Compact"/>
              <w:jc w:val="left"/>
            </w:pPr>
            <w:r>
              <w:t xml:space="preserve">1, 1, 1, 2, 3, 3, 3 (7)</w:t>
            </w:r>
          </w:p>
        </w:tc>
        <w:tc>
          <w:tcPr/>
          <w:p>
            <w:pPr>
              <w:pStyle w:val="Compact"/>
              <w:jc w:val="left"/>
            </w:pPr>
            <w:r>
              <w:t xml:space="preserve">21 ✓</w:t>
            </w:r>
          </w:p>
        </w:tc>
      </w:tr>
      <w:tr>
        <w:tc>
          <w:tcPr/>
          <w:p>
            <w:pPr>
              <w:pStyle w:val="Compact"/>
              <w:jc w:val="left"/>
            </w:pPr>
            <w:r>
              <w:t xml:space="preserve">(2) udyatī</w:t>
            </w:r>
          </w:p>
        </w:tc>
        <w:tc>
          <w:tcPr/>
          <w:p>
            <w:pPr>
              <w:pStyle w:val="Compact"/>
              <w:jc w:val="left"/>
            </w:pPr>
            <w:r>
              <w:t xml:space="preserve">1, 1, 1, 2, 3 (5)</w:t>
            </w:r>
          </w:p>
        </w:tc>
        <w:tc>
          <w:tcPr/>
          <w:p>
            <w:pPr>
              <w:pStyle w:val="Compact"/>
              <w:jc w:val="left"/>
            </w:pPr>
            <w:r>
              <w:t xml:space="preserve">1, 2, 2, 2, 3, 3, 3 (7)</w:t>
            </w:r>
          </w:p>
        </w:tc>
        <w:tc>
          <w:tcPr/>
          <w:p>
            <w:pPr>
              <w:pStyle w:val="Compact"/>
              <w:jc w:val="left"/>
            </w:pPr>
            <w:r>
              <w:t xml:space="preserve">1, 1, 1, 2, 2, 2, 3, 3, 3 (9)</w:t>
            </w:r>
          </w:p>
        </w:tc>
        <w:tc>
          <w:tcPr/>
          <w:p>
            <w:pPr>
              <w:pStyle w:val="Compact"/>
              <w:jc w:val="left"/>
            </w:pPr>
            <w:r>
              <w:t xml:space="preserve">21 ✓</w:t>
            </w:r>
          </w:p>
        </w:tc>
      </w:tr>
      <w:tr>
        <w:tc>
          <w:tcPr/>
          <w:p>
            <w:pPr>
              <w:pStyle w:val="Compact"/>
              <w:jc w:val="left"/>
            </w:pPr>
            <w:r>
              <w:t xml:space="preserve">(3) pratiṣṭuti / pariṣṭuti [?]</w:t>
            </w:r>
          </w:p>
        </w:tc>
        <w:tc>
          <w:tcPr/>
          <w:p>
            <w:pPr>
              <w:pStyle w:val="Compact"/>
              <w:jc w:val="left"/>
            </w:pPr>
            <w:r>
              <w:t xml:space="preserve">1, 1, 1, 2, 2, 2, 3, 3, 3 (9)</w:t>
            </w:r>
          </w:p>
        </w:tc>
        <w:tc>
          <w:tcPr/>
          <w:p>
            <w:pPr>
              <w:pStyle w:val="Compact"/>
              <w:jc w:val="left"/>
            </w:pPr>
            <w:r>
              <w:t xml:space="preserve">1, 2, 2, 2, 3 (5)</w:t>
            </w:r>
          </w:p>
        </w:tc>
        <w:tc>
          <w:tcPr/>
          <w:p>
            <w:pPr>
              <w:pStyle w:val="Compact"/>
              <w:jc w:val="left"/>
            </w:pPr>
            <w:r>
              <w:t xml:space="preserve">1, 1, 1, 2, 3, 3, 3 (7)</w:t>
            </w:r>
          </w:p>
        </w:tc>
        <w:tc>
          <w:tcPr/>
          <w:p>
            <w:pPr>
              <w:pStyle w:val="Compact"/>
              <w:jc w:val="left"/>
            </w:pPr>
            <w:r>
              <w:t xml:space="preserve">21 ✓</w:t>
            </w:r>
          </w:p>
        </w:tc>
      </w:tr>
      <w:tr>
        <w:tc>
          <w:tcPr/>
          <w:p>
            <w:pPr>
              <w:pStyle w:val="Compact"/>
              <w:jc w:val="left"/>
            </w:pPr>
            <w:r>
              <w:t xml:space="preserve">(4) sūrmī [?]</w:t>
            </w:r>
          </w:p>
        </w:tc>
        <w:tc>
          <w:tcPr/>
          <w:p>
            <w:pPr>
              <w:pStyle w:val="Compact"/>
              <w:jc w:val="left"/>
            </w:pPr>
            <w:r>
              <w:t xml:space="preserve">1, 1, 1, 2, 2, 2, 3, 3, 3 (9)</w:t>
            </w:r>
          </w:p>
        </w:tc>
        <w:tc>
          <w:tcPr/>
          <w:p>
            <w:pPr>
              <w:pStyle w:val="Compact"/>
              <w:jc w:val="left"/>
            </w:pPr>
            <w:r>
              <w:t xml:space="preserve">1, 2, 3 (3)</w:t>
            </w:r>
          </w:p>
        </w:tc>
        <w:tc>
          <w:tcPr/>
          <w:p>
            <w:pPr>
              <w:pStyle w:val="Compact"/>
              <w:jc w:val="left"/>
            </w:pPr>
            <w:r>
              <w:t xml:space="preserve">1, 1, 1, 2, 2, 2, 3, 3, 3 (9)</w:t>
            </w:r>
          </w:p>
        </w:tc>
        <w:tc>
          <w:tcPr/>
          <w:p>
            <w:pPr>
              <w:pStyle w:val="Compact"/>
              <w:jc w:val="left"/>
            </w:pPr>
            <w:r>
              <w:t xml:space="preserve">21 ✓</w:t>
            </w:r>
          </w:p>
        </w:tc>
      </w:tr>
    </w:tbl>
    <w:p>
      <w:pPr>
        <w:pStyle w:val="BodyText"/>
      </w:pPr>
      <w:r>
        <w:rPr>
          <w:bCs/>
          <w:b/>
        </w:rPr>
        <w:t xml:space="preserve">V. Triṇava stoma</w:t>
      </w:r>
      <w:r>
        <w:t xml:space="preserve"> </w:t>
      </w:r>
      <w:r>
        <w:t xml:space="preserve">(27 Ṛks) — two viṣṭutis: (1)</w:t>
      </w:r>
      <w:r>
        <w:t xml:space="preserve"> </w:t>
      </w:r>
      <w:r>
        <w:rPr>
          <w:bCs/>
          <w:b/>
        </w:rPr>
        <w:t xml:space="preserve">प्रतिष्ठिता</w:t>
      </w:r>
      <w:r>
        <w:t xml:space="preserve"> </w:t>
      </w:r>
      <w:r>
        <w:t xml:space="preserve">(</w:t>
      </w:r>
      <w:r>
        <w:rPr>
          <w:iCs/>
          <w:i/>
        </w:rPr>
        <w:t xml:space="preserve">pratiṣṭhitā</w:t>
      </w:r>
      <w:r>
        <w:t xml:space="preserve">), (2)</w:t>
      </w:r>
      <w:r>
        <w:t xml:space="preserve"> </w:t>
      </w:r>
      <w:r>
        <w:rPr>
          <w:bCs/>
          <w:b/>
        </w:rPr>
        <w:t xml:space="preserve">उद्यती</w:t>
      </w:r>
      <w:r>
        <w:t xml:space="preserve"> </w:t>
      </w:r>
      <w:r>
        <w:t xml:space="preserve">(</w:t>
      </w:r>
      <w:r>
        <w:rPr>
          <w:iCs/>
          <w:i/>
        </w:rPr>
        <w:t xml:space="preserve">udyatī</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Viṣṭuti</w:t>
            </w:r>
          </w:p>
        </w:tc>
        <w:tc>
          <w:tcPr/>
          <w:p>
            <w:pPr>
              <w:pStyle w:val="Compact"/>
              <w:jc w:val="left"/>
            </w:pPr>
            <w:r>
              <w:t xml:space="preserve">First paryāya</w:t>
            </w:r>
          </w:p>
        </w:tc>
        <w:tc>
          <w:tcPr/>
          <w:p>
            <w:pPr>
              <w:pStyle w:val="Compact"/>
              <w:jc w:val="left"/>
            </w:pPr>
            <w:r>
              <w:t xml:space="preserve">Second paryāya</w:t>
            </w:r>
          </w:p>
        </w:tc>
        <w:tc>
          <w:tcPr/>
          <w:p>
            <w:pPr>
              <w:pStyle w:val="Compact"/>
              <w:jc w:val="left"/>
            </w:pPr>
            <w:r>
              <w:t xml:space="preserve">Third paryāya</w:t>
            </w:r>
          </w:p>
        </w:tc>
        <w:tc>
          <w:tcPr/>
          <w:p>
            <w:pPr>
              <w:pStyle w:val="Compact"/>
              <w:jc w:val="left"/>
            </w:pPr>
            <w:r>
              <w:t xml:space="preserve">Total</w:t>
            </w:r>
          </w:p>
        </w:tc>
      </w:tr>
      <w:tr>
        <w:tc>
          <w:tcPr/>
          <w:p>
            <w:pPr>
              <w:pStyle w:val="Compact"/>
              <w:jc w:val="left"/>
            </w:pPr>
            <w:r>
              <w:t xml:space="preserve">(1) pratiṣṭhitā</w:t>
            </w:r>
          </w:p>
        </w:tc>
        <w:tc>
          <w:tcPr/>
          <w:p>
            <w:pPr>
              <w:pStyle w:val="Compact"/>
              <w:jc w:val="left"/>
            </w:pPr>
            <w:r>
              <w:t xml:space="preserve">1, 1, 1, 2, 2, 2, 2, 2, 3 (9)</w:t>
            </w:r>
          </w:p>
        </w:tc>
        <w:tc>
          <w:tcPr/>
          <w:p>
            <w:pPr>
              <w:pStyle w:val="Compact"/>
              <w:jc w:val="left"/>
            </w:pPr>
            <w:r>
              <w:t xml:space="preserve">1, 2, 2, 2, 3, 3, 3, 3, 3 (9)</w:t>
            </w:r>
          </w:p>
        </w:tc>
        <w:tc>
          <w:tcPr/>
          <w:p>
            <w:pPr>
              <w:pStyle w:val="Compact"/>
              <w:jc w:val="left"/>
            </w:pPr>
            <w:r>
              <w:t xml:space="preserve">1, 1, 1, 1, 1, 2, 3, 3, 3 (9)</w:t>
            </w:r>
          </w:p>
        </w:tc>
        <w:tc>
          <w:tcPr/>
          <w:p>
            <w:pPr>
              <w:pStyle w:val="Compact"/>
              <w:jc w:val="left"/>
            </w:pPr>
            <w:r>
              <w:t xml:space="preserve">27 ✓</w:t>
            </w:r>
          </w:p>
        </w:tc>
      </w:tr>
      <w:tr>
        <w:tc>
          <w:tcPr/>
          <w:p>
            <w:pPr>
              <w:pStyle w:val="Compact"/>
              <w:jc w:val="left"/>
            </w:pPr>
            <w:r>
              <w:t xml:space="preserve">(2) udyatī</w:t>
            </w:r>
          </w:p>
        </w:tc>
        <w:tc>
          <w:tcPr/>
          <w:p>
            <w:pPr>
              <w:pStyle w:val="Compact"/>
              <w:jc w:val="left"/>
            </w:pPr>
            <w:r>
              <w:t xml:space="preserve">1, 1, 1, 2, 2, 2, 3 (7)</w:t>
            </w:r>
          </w:p>
        </w:tc>
        <w:tc>
          <w:tcPr/>
          <w:p>
            <w:pPr>
              <w:pStyle w:val="Compact"/>
              <w:jc w:val="left"/>
            </w:pPr>
            <w:r>
              <w:t xml:space="preserve">1, 2, 2, 2, 3, 3, 3, 3, 3 (9)</w:t>
            </w:r>
          </w:p>
        </w:tc>
        <w:tc>
          <w:tcPr/>
          <w:p>
            <w:pPr>
              <w:pStyle w:val="Compact"/>
              <w:jc w:val="left"/>
            </w:pPr>
            <w:r>
              <w:t xml:space="preserve">1, 1, 1, 1, 1, 2, 2, 2, 3, 3, 3 (11)</w:t>
            </w:r>
          </w:p>
        </w:tc>
        <w:tc>
          <w:tcPr/>
          <w:p>
            <w:pPr>
              <w:pStyle w:val="Compact"/>
              <w:jc w:val="left"/>
            </w:pPr>
            <w:r>
              <w:t xml:space="preserve">27 ✓</w:t>
            </w:r>
          </w:p>
        </w:tc>
      </w:tr>
    </w:tbl>
    <w:bookmarkEnd w:id="180"/>
    <w:bookmarkStart w:id="181" w:name="X8d4bb2111cc14fb5ba514c323209df047729ac2"/>
    <w:p>
      <w:pPr>
        <w:pStyle w:val="Heading3"/>
      </w:pPr>
      <w:r>
        <w:t xml:space="preserve">Page 147 — The viṣṭutis of the trayastriṃśa (33) and caturviṃśa (24) stomas</w:t>
      </w:r>
    </w:p>
    <w:p>
      <w:pPr>
        <w:pStyle w:val="FirstParagraph"/>
      </w:pPr>
      <w:r>
        <w:rPr>
          <w:iCs/>
          <w:i/>
        </w:rPr>
        <w:t xml:space="preserve">(Page header:</w:t>
      </w:r>
      <w:r>
        <w:rPr>
          <w:iCs/>
          <w:i/>
        </w:rPr>
        <w:t xml:space="preserve"> </w:t>
      </w:r>
      <w:r>
        <w:rPr>
          <w:iCs/>
          <w:i/>
        </w:rPr>
        <w:t xml:space="preserve">“</w:t>
      </w:r>
      <w:r>
        <w:rPr>
          <w:iCs/>
          <w:i/>
        </w:rPr>
        <w:t xml:space="preserve">Aṣṭaka 1, Adhyāya 1, Varga 9 · Ṛgveda-saṃhitā.</w:t>
      </w:r>
      <w:r>
        <w:rPr>
          <w:iCs/>
          <w:i/>
        </w:rPr>
        <w:t xml:space="preserve">”</w:t>
      </w:r>
      <w:r>
        <w:rPr>
          <w:iCs/>
          <w:i/>
        </w:rPr>
        <w:t xml:space="preserve"> </w:t>
      </w:r>
      <w:r>
        <w:rPr>
          <w:iCs/>
          <w:i/>
        </w:rPr>
        <w:t xml:space="preserve">Read from enlarged slices, with totals checked as above. One viṣṭuti does not add up and is flagged.)</w:t>
      </w:r>
    </w:p>
    <w:p>
      <w:pPr>
        <w:pStyle w:val="BodyText"/>
      </w:pPr>
      <w:r>
        <w:rPr>
          <w:bCs/>
          <w:b/>
        </w:rPr>
        <w:t xml:space="preserve">VI. Trayastriṃśa stoma</w:t>
      </w:r>
      <w:r>
        <w:t xml:space="preserve"> </w:t>
      </w:r>
      <w:r>
        <w:t xml:space="preserve">(33 Ṛks) — five viṣṭutis: (1)</w:t>
      </w:r>
      <w:r>
        <w:t xml:space="preserve"> </w:t>
      </w:r>
      <w:r>
        <w:rPr>
          <w:bCs/>
          <w:b/>
        </w:rPr>
        <w:t xml:space="preserve">समत्र्यंशा</w:t>
      </w:r>
      <w:r>
        <w:t xml:space="preserve"> </w:t>
      </w:r>
      <w:r>
        <w:t xml:space="preserve">(</w:t>
      </w:r>
      <w:r>
        <w:rPr>
          <w:iCs/>
          <w:i/>
        </w:rPr>
        <w:t xml:space="preserve">samatryaṃśā</w:t>
      </w:r>
      <w:r>
        <w:t xml:space="preserve">), (2)</w:t>
      </w:r>
      <w:r>
        <w:t xml:space="preserve"> </w:t>
      </w:r>
      <w:r>
        <w:rPr>
          <w:bCs/>
          <w:b/>
        </w:rPr>
        <w:t xml:space="preserve">नेदीयस्संक्रमा</w:t>
      </w:r>
      <w:r>
        <w:t xml:space="preserve"> </w:t>
      </w:r>
      <w:r>
        <w:t xml:space="preserve">(</w:t>
      </w:r>
      <w:r>
        <w:rPr>
          <w:iCs/>
          <w:i/>
        </w:rPr>
        <w:t xml:space="preserve">nedīyassaṃkramā</w:t>
      </w:r>
      <w:r>
        <w:t xml:space="preserve">), (3)</w:t>
      </w:r>
      <w:r>
        <w:t xml:space="preserve"> </w:t>
      </w:r>
      <w:r>
        <w:rPr>
          <w:bCs/>
          <w:b/>
        </w:rPr>
        <w:t xml:space="preserve">उद्यती</w:t>
      </w:r>
      <w:r>
        <w:t xml:space="preserve"> </w:t>
      </w:r>
      <w:r>
        <w:t xml:space="preserve">(</w:t>
      </w:r>
      <w:r>
        <w:rPr>
          <w:iCs/>
          <w:i/>
        </w:rPr>
        <w:t xml:space="preserve">udyatī</w:t>
      </w:r>
      <w:r>
        <w:t xml:space="preserve">), (4)</w:t>
      </w:r>
      <w:r>
        <w:t xml:space="preserve"> </w:t>
      </w:r>
      <w:r>
        <w:rPr>
          <w:bCs/>
          <w:b/>
        </w:rPr>
        <w:t xml:space="preserve">प्रत्यवरोहिणी</w:t>
      </w:r>
      <w:r>
        <w:t xml:space="preserve"> </w:t>
      </w:r>
      <w:r>
        <w:t xml:space="preserve">(</w:t>
      </w:r>
      <w:r>
        <w:rPr>
          <w:iCs/>
          <w:i/>
        </w:rPr>
        <w:t xml:space="preserve">pratyavarohiṇī</w:t>
      </w:r>
      <w:r>
        <w:t xml:space="preserve">), (5)</w:t>
      </w:r>
      <w:r>
        <w:t xml:space="preserve"> </w:t>
      </w:r>
      <w:r>
        <w:rPr>
          <w:bCs/>
          <w:b/>
        </w:rPr>
        <w:t xml:space="preserve">अन्तिमा</w:t>
      </w:r>
      <w:r>
        <w:t xml:space="preserve"> </w:t>
      </w:r>
      <w:r>
        <w:t xml:space="preserve">(</w:t>
      </w:r>
      <w:r>
        <w:rPr>
          <w:iCs/>
          <w:i/>
        </w:rPr>
        <w:t xml:space="preserve">antimā</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Viṣṭuti</w:t>
            </w:r>
          </w:p>
        </w:tc>
        <w:tc>
          <w:tcPr/>
          <w:p>
            <w:pPr>
              <w:pStyle w:val="Compact"/>
              <w:jc w:val="left"/>
            </w:pPr>
            <w:r>
              <w:t xml:space="preserve">First paryāya</w:t>
            </w:r>
          </w:p>
        </w:tc>
        <w:tc>
          <w:tcPr/>
          <w:p>
            <w:pPr>
              <w:pStyle w:val="Compact"/>
              <w:jc w:val="left"/>
            </w:pPr>
            <w:r>
              <w:t xml:space="preserve">Second paryāya</w:t>
            </w:r>
          </w:p>
        </w:tc>
        <w:tc>
          <w:tcPr/>
          <w:p>
            <w:pPr>
              <w:pStyle w:val="Compact"/>
              <w:jc w:val="left"/>
            </w:pPr>
            <w:r>
              <w:t xml:space="preserve">Third paryāya</w:t>
            </w:r>
          </w:p>
        </w:tc>
        <w:tc>
          <w:tcPr/>
          <w:p>
            <w:pPr>
              <w:pStyle w:val="Compact"/>
              <w:jc w:val="left"/>
            </w:pPr>
            <w:r>
              <w:t xml:space="preserve">Total</w:t>
            </w:r>
          </w:p>
        </w:tc>
      </w:tr>
      <w:tr>
        <w:tc>
          <w:tcPr/>
          <w:p>
            <w:pPr>
              <w:pStyle w:val="Compact"/>
              <w:jc w:val="left"/>
            </w:pPr>
            <w:r>
              <w:t xml:space="preserve">(1) samatryaṃśā</w:t>
            </w:r>
          </w:p>
        </w:tc>
        <w:tc>
          <w:tcPr/>
          <w:p>
            <w:pPr>
              <w:pStyle w:val="Compact"/>
              <w:jc w:val="left"/>
            </w:pPr>
            <w:r>
              <w:t xml:space="preserve">1, 1, 1, 2, 2, 2, 2, 2, 2, 2, 3 (11)</w:t>
            </w:r>
          </w:p>
        </w:tc>
        <w:tc>
          <w:tcPr/>
          <w:p>
            <w:pPr>
              <w:pStyle w:val="Compact"/>
              <w:jc w:val="left"/>
            </w:pPr>
            <w:r>
              <w:t xml:space="preserve">1, 2, 2, 2, 3, 3, 3, 3, 3, 3, 3 (11)</w:t>
            </w:r>
          </w:p>
        </w:tc>
        <w:tc>
          <w:tcPr/>
          <w:p>
            <w:pPr>
              <w:pStyle w:val="Compact"/>
              <w:jc w:val="left"/>
            </w:pPr>
            <w:r>
              <w:t xml:space="preserve">1, 1, 1, 1, 1, 1, 1, 2, 3, 3, 3 (11)</w:t>
            </w:r>
          </w:p>
        </w:tc>
        <w:tc>
          <w:tcPr/>
          <w:p>
            <w:pPr>
              <w:pStyle w:val="Compact"/>
              <w:jc w:val="left"/>
            </w:pPr>
            <w:r>
              <w:t xml:space="preserve">33 ✓</w:t>
            </w:r>
          </w:p>
        </w:tc>
      </w:tr>
      <w:tr>
        <w:tc>
          <w:tcPr/>
          <w:p>
            <w:pPr>
              <w:pStyle w:val="Compact"/>
              <w:jc w:val="left"/>
            </w:pPr>
            <w:r>
              <w:t xml:space="preserve">(2) nedīyassaṃkramā</w:t>
            </w:r>
          </w:p>
        </w:tc>
        <w:tc>
          <w:tcPr/>
          <w:p>
            <w:pPr>
              <w:pStyle w:val="Compact"/>
              <w:jc w:val="left"/>
            </w:pPr>
            <w:r>
              <w:t xml:space="preserve">1, 1, 1, 2, 2, 2, 2, 2, 3, 3, 3 (11)</w:t>
            </w:r>
          </w:p>
        </w:tc>
        <w:tc>
          <w:tcPr/>
          <w:p>
            <w:pPr>
              <w:pStyle w:val="Compact"/>
              <w:jc w:val="left"/>
            </w:pPr>
            <w:r>
              <w:t xml:space="preserve">1, 1, 1, 2, 2, 2, 3, 3, 3, 3, 3 (11)</w:t>
            </w:r>
          </w:p>
        </w:tc>
        <w:tc>
          <w:tcPr/>
          <w:p>
            <w:pPr>
              <w:pStyle w:val="Compact"/>
              <w:jc w:val="left"/>
            </w:pPr>
            <w:r>
              <w:t xml:space="preserve">1, 1, 1, 1, 1, 2, 2, 2, 3, 3, 3 (11)</w:t>
            </w:r>
          </w:p>
        </w:tc>
        <w:tc>
          <w:tcPr/>
          <w:p>
            <w:pPr>
              <w:pStyle w:val="Compact"/>
              <w:jc w:val="left"/>
            </w:pPr>
            <w:r>
              <w:t xml:space="preserve">33 ✓</w:t>
            </w:r>
          </w:p>
        </w:tc>
      </w:tr>
      <w:tr>
        <w:tc>
          <w:tcPr/>
          <w:p>
            <w:pPr>
              <w:pStyle w:val="Compact"/>
              <w:jc w:val="left"/>
            </w:pPr>
            <w:r>
              <w:t xml:space="preserve">(3) udyatī</w:t>
            </w:r>
          </w:p>
        </w:tc>
        <w:tc>
          <w:tcPr/>
          <w:p>
            <w:pPr>
              <w:pStyle w:val="Compact"/>
              <w:jc w:val="left"/>
            </w:pPr>
            <w:r>
              <w:t xml:space="preserve">1, 1, 1, 2, 2, 2, 2, 2, 3 (9)</w:t>
            </w:r>
          </w:p>
        </w:tc>
        <w:tc>
          <w:tcPr/>
          <w:p>
            <w:pPr>
              <w:pStyle w:val="Compact"/>
              <w:jc w:val="left"/>
            </w:pPr>
            <w:r>
              <w:t xml:space="preserve">1, 2, 2, 2, 3, 3, 3, 3, 3, 3, 3 (11)</w:t>
            </w:r>
          </w:p>
        </w:tc>
        <w:tc>
          <w:tcPr/>
          <w:p>
            <w:pPr>
              <w:pStyle w:val="Compact"/>
              <w:jc w:val="left"/>
            </w:pPr>
            <w:r>
              <w:t xml:space="preserve">1, 1, 1, 1, 1, 1, 1, 2, 2, 2, 3, 3, 3 (13)</w:t>
            </w:r>
          </w:p>
        </w:tc>
        <w:tc>
          <w:tcPr/>
          <w:p>
            <w:pPr>
              <w:pStyle w:val="Compact"/>
              <w:jc w:val="left"/>
            </w:pPr>
            <w:r>
              <w:t xml:space="preserve">33 ✓</w:t>
            </w:r>
          </w:p>
        </w:tc>
      </w:tr>
      <w:tr>
        <w:tc>
          <w:tcPr/>
          <w:p>
            <w:pPr>
              <w:pStyle w:val="Compact"/>
              <w:jc w:val="left"/>
            </w:pPr>
            <w:r>
              <w:t xml:space="preserve">(4) pratyavarohiṇī</w:t>
            </w:r>
          </w:p>
        </w:tc>
        <w:tc>
          <w:tcPr/>
          <w:p>
            <w:pPr>
              <w:pStyle w:val="Compact"/>
              <w:jc w:val="left"/>
            </w:pPr>
            <w:r>
              <w:t xml:space="preserve">1, 1, 1, 2, 2, 2, 2, 2, 3, 3, 3, 3 (12)</w:t>
            </w:r>
          </w:p>
        </w:tc>
        <w:tc>
          <w:tcPr/>
          <w:p>
            <w:pPr>
              <w:pStyle w:val="Compact"/>
              <w:jc w:val="left"/>
            </w:pPr>
            <w:r>
              <w:t xml:space="preserve">1, 1, 1, 1, 1, 2, 2, 2, 3, 3, 3 (11)</w:t>
            </w:r>
          </w:p>
        </w:tc>
        <w:tc>
          <w:tcPr/>
          <w:p>
            <w:pPr>
              <w:pStyle w:val="Compact"/>
              <w:jc w:val="left"/>
            </w:pPr>
            <w:r>
              <w:t xml:space="preserve">1, 1, 1, 2, 2, 2, 3, 3, 3 (9)</w:t>
            </w:r>
          </w:p>
        </w:tc>
        <w:tc>
          <w:tcPr/>
          <w:p>
            <w:pPr>
              <w:pStyle w:val="Compact"/>
              <w:jc w:val="left"/>
            </w:pPr>
            <w:r>
              <w:rPr>
                <w:bCs/>
                <w:b/>
              </w:rPr>
              <w:t xml:space="preserve">32 [as printed] — does not add up; see note</w:t>
            </w:r>
          </w:p>
        </w:tc>
      </w:tr>
      <w:tr>
        <w:tc>
          <w:tcPr/>
          <w:p>
            <w:pPr>
              <w:pStyle w:val="Compact"/>
              <w:jc w:val="left"/>
            </w:pPr>
            <w:r>
              <w:t xml:space="preserve">(5) antimā</w:t>
            </w:r>
          </w:p>
        </w:tc>
        <w:tc>
          <w:tcPr/>
          <w:p>
            <w:pPr>
              <w:pStyle w:val="Compact"/>
              <w:jc w:val="left"/>
            </w:pPr>
            <w:r>
              <w:t xml:space="preserve">1, 1, 1, 2, 2, 2, 2, 2, 2, 2, 3, 3, 3, 3, 3 (15)</w:t>
            </w:r>
          </w:p>
        </w:tc>
        <w:tc>
          <w:tcPr/>
          <w:p>
            <w:pPr>
              <w:pStyle w:val="Compact"/>
              <w:jc w:val="left"/>
            </w:pPr>
            <w:r>
              <w:t xml:space="preserve">1, 1, 1, 1, 1, 2, 2, 2, 3, 3, 3 (11)</w:t>
            </w:r>
          </w:p>
        </w:tc>
        <w:tc>
          <w:tcPr/>
          <w:p>
            <w:pPr>
              <w:pStyle w:val="Compact"/>
              <w:jc w:val="left"/>
            </w:pPr>
            <w:r>
              <w:t xml:space="preserve">1, 1, 1, 2, 3, 3, 3 (7)</w:t>
            </w:r>
          </w:p>
        </w:tc>
        <w:tc>
          <w:tcPr/>
          <w:p>
            <w:pPr>
              <w:pStyle w:val="Compact"/>
              <w:jc w:val="left"/>
            </w:pPr>
            <w:r>
              <w:t xml:space="preserve">33 ✓</w:t>
            </w:r>
          </w:p>
        </w:tc>
      </w:tr>
    </w:tbl>
    <w:p>
      <w:pPr>
        <w:pStyle w:val="BodyText"/>
      </w:pPr>
      <w:r>
        <w:rPr>
          <w:iCs/>
          <w:i/>
        </w:rPr>
        <w:t xml:space="preserve">(Note on (4): re-checked against the better scan: the three paryāyas of</w:t>
      </w:r>
      <w:r>
        <w:rPr>
          <w:iCs/>
          <w:i/>
        </w:rPr>
        <w:t xml:space="preserve"> </w:t>
      </w:r>
      <w:r>
        <w:rPr>
          <w:iCs/>
          <w:i/>
        </w:rPr>
        <w:t xml:space="preserve">“</w:t>
      </w:r>
      <w:r>
        <w:rPr>
          <w:iCs/>
          <w:i/>
        </w:rPr>
        <w:t xml:space="preserve">pratyavarohiṇī</w:t>
      </w:r>
      <w:r>
        <w:rPr>
          <w:iCs/>
          <w:i/>
        </w:rPr>
        <w:t xml:space="preserve">”</w:t>
      </w:r>
      <w:r>
        <w:rPr>
          <w:iCs/>
          <w:i/>
        </w:rPr>
        <w:t xml:space="preserve"> </w:t>
      </w:r>
      <w:r>
        <w:rPr>
          <w:iCs/>
          <w:i/>
        </w:rPr>
        <w:t xml:space="preserve">are printed exactly as given (12 + 11 + 9) and add to 32, not 33 — a shortfall in the source itself; the strings are not adjusted. The strings for (3) and (5) wrap onto a second line in the print; I have joined them.)</w:t>
      </w:r>
    </w:p>
    <w:p>
      <w:pPr>
        <w:pStyle w:val="BodyText"/>
      </w:pPr>
      <w:r>
        <w:rPr>
          <w:bCs/>
          <w:b/>
        </w:rPr>
        <w:t xml:space="preserve">VII. Caturviṃśa stoma</w:t>
      </w:r>
      <w:r>
        <w:t xml:space="preserve"> </w:t>
      </w:r>
      <w:r>
        <w:t xml:space="preserve">(24 Ṛks) — this stoma has one viṣṭuti only: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First paryāya</w:t>
            </w:r>
          </w:p>
        </w:tc>
        <w:tc>
          <w:tcPr/>
          <w:p>
            <w:pPr>
              <w:pStyle w:val="Compact"/>
              <w:jc w:val="left"/>
            </w:pPr>
            <w:r>
              <w:t xml:space="preserve">Second paryāya</w:t>
            </w:r>
          </w:p>
        </w:tc>
        <w:tc>
          <w:tcPr/>
          <w:p>
            <w:pPr>
              <w:pStyle w:val="Compact"/>
              <w:jc w:val="left"/>
            </w:pPr>
            <w:r>
              <w:t xml:space="preserve">Third paryāya</w:t>
            </w:r>
          </w:p>
        </w:tc>
        <w:tc>
          <w:tcPr/>
          <w:p>
            <w:pPr>
              <w:pStyle w:val="Compact"/>
              <w:jc w:val="left"/>
            </w:pPr>
            <w:r>
              <w:t xml:space="preserve">Total</w:t>
            </w:r>
          </w:p>
        </w:tc>
      </w:tr>
      <w:tr>
        <w:tc>
          <w:tcPr/>
          <w:p>
            <w:pPr>
              <w:pStyle w:val="Compact"/>
              <w:jc w:val="left"/>
            </w:pPr>
            <w:r>
              <w:t xml:space="preserve">1, 1, 1, 2, 2, 2, 2, 3 (8)</w:t>
            </w:r>
          </w:p>
        </w:tc>
        <w:tc>
          <w:tcPr/>
          <w:p>
            <w:pPr>
              <w:pStyle w:val="Compact"/>
              <w:jc w:val="left"/>
            </w:pPr>
            <w:r>
              <w:t xml:space="preserve">1, 2, 2, 2, 3, 3, 3, 3 (8)</w:t>
            </w:r>
          </w:p>
        </w:tc>
        <w:tc>
          <w:tcPr/>
          <w:p>
            <w:pPr>
              <w:pStyle w:val="Compact"/>
              <w:jc w:val="left"/>
            </w:pPr>
            <w:r>
              <w:t xml:space="preserve">1, 1, 1, 1, 2, 3, 3, 3 (8)</w:t>
            </w:r>
          </w:p>
        </w:tc>
        <w:tc>
          <w:tcPr/>
          <w:p>
            <w:pPr>
              <w:pStyle w:val="Compact"/>
              <w:jc w:val="left"/>
            </w:pPr>
            <w:r>
              <w:t xml:space="preserve">24 ✓</w:t>
            </w:r>
          </w:p>
        </w:tc>
      </w:tr>
    </w:tbl>
    <w:bookmarkEnd w:id="181"/>
    <w:bookmarkStart w:id="182" w:name="Xe6afd5edea1e9ad31d55be128420e20f69db4f4"/>
    <w:p>
      <w:pPr>
        <w:pStyle w:val="Heading3"/>
      </w:pPr>
      <w:r>
        <w:t xml:space="preserve">Page 148 — The viṣṭutis of the catuścatvāriṃśa (44) and aṣṭācatvāriṃśa (48) stomas</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5.</w:t>
      </w:r>
      <w:r>
        <w:rPr>
          <w:iCs/>
          <w:i/>
        </w:rPr>
        <w:t xml:space="preserve">”</w:t>
      </w:r>
      <w:r>
        <w:rPr>
          <w:iCs/>
          <w:i/>
        </w:rPr>
        <w:t xml:space="preserve"> </w:t>
      </w:r>
      <w:r>
        <w:rPr>
          <w:iCs/>
          <w:i/>
        </w:rPr>
        <w:t xml:space="preserve">These long digit strings wrap over two lines in the print and were read from enlarged slices. To keep them legible I give each paryāya as</w:t>
      </w:r>
      <w:r>
        <w:rPr>
          <w:iCs/>
          <w:i/>
        </w:rPr>
        <w:t xml:space="preserve"> </w:t>
      </w:r>
      <w:r>
        <w:rPr>
          <w:bCs/>
          <w:b/>
          <w:iCs/>
          <w:i/>
        </w:rPr>
        <w:t xml:space="preserve">runs</w:t>
      </w:r>
      <w:r>
        <w:rPr>
          <w:iCs/>
          <w:i/>
        </w:rPr>
        <w:t xml:space="preserve"> </w:t>
      </w:r>
      <w:r>
        <w:rPr>
          <w:iCs/>
          <w:i/>
        </w:rPr>
        <w:t xml:space="preserve">(</w:t>
      </w:r>
      <w:r>
        <w:rPr>
          <w:iCs/>
          <w:i/>
        </w:rPr>
        <w:t xml:space="preserve">“</w:t>
      </w:r>
      <w:r>
        <w:rPr>
          <w:iCs/>
          <w:i/>
        </w:rPr>
        <w:t xml:space="preserve">1×3</w:t>
      </w:r>
      <w:r>
        <w:rPr>
          <w:iCs/>
          <w:i/>
        </w:rPr>
        <w:t xml:space="preserve">”</w:t>
      </w:r>
      <w:r>
        <w:rPr>
          <w:iCs/>
          <w:i/>
        </w:rPr>
        <w:t xml:space="preserve"> </w:t>
      </w:r>
      <w:r>
        <w:rPr>
          <w:iCs/>
          <w:i/>
        </w:rPr>
        <w:t xml:space="preserve">= the digit 1 three times), with the count; the counts are my own tallies of the printed digits, and each viṣṭuti’s total is checked against the stoma’s number. A run of repeated 3’s or 2’s is the likeliest place for a one-digit miscount; none of the totals below fails, but the individual runs should be re-checked against the page if they are to be relied on.)</w:t>
      </w:r>
    </w:p>
    <w:p>
      <w:pPr>
        <w:pStyle w:val="BodyText"/>
      </w:pPr>
      <w:r>
        <w:rPr>
          <w:bCs/>
          <w:b/>
        </w:rPr>
        <w:t xml:space="preserve">VIII. Catuścatvāriṃśa stoma</w:t>
      </w:r>
      <w:r>
        <w:t xml:space="preserve"> </w:t>
      </w:r>
      <w:r>
        <w:t xml:space="preserve">(44 Ṛks) — three viṣṭutis: (1)</w:t>
      </w:r>
      <w:r>
        <w:t xml:space="preserve"> </w:t>
      </w:r>
      <w:r>
        <w:rPr>
          <w:bCs/>
          <w:b/>
        </w:rPr>
        <w:t xml:space="preserve">प्रथमा</w:t>
      </w:r>
      <w:r>
        <w:t xml:space="preserve"> </w:t>
      </w:r>
      <w:r>
        <w:t xml:space="preserve">(</w:t>
      </w:r>
      <w:r>
        <w:rPr>
          <w:iCs/>
          <w:i/>
        </w:rPr>
        <w:t xml:space="preserve">prathamā</w:t>
      </w:r>
      <w:r>
        <w:t xml:space="preserve">), (2)</w:t>
      </w:r>
      <w:r>
        <w:t xml:space="preserve"> </w:t>
      </w:r>
      <w:r>
        <w:rPr>
          <w:bCs/>
          <w:b/>
        </w:rPr>
        <w:t xml:space="preserve">निर्मध्या</w:t>
      </w:r>
      <w:r>
        <w:t xml:space="preserve"> </w:t>
      </w:r>
      <w:r>
        <w:t xml:space="preserve">(</w:t>
      </w:r>
      <w:r>
        <w:rPr>
          <w:iCs/>
          <w:i/>
        </w:rPr>
        <w:t xml:space="preserve">nirmadhyā</w:t>
      </w:r>
      <w:r>
        <w:t xml:space="preserve">), (3)</w:t>
      </w:r>
      <w:r>
        <w:t xml:space="preserve"> </w:t>
      </w:r>
      <w:r>
        <w:rPr>
          <w:bCs/>
          <w:b/>
        </w:rPr>
        <w:t xml:space="preserve">तृतीया</w:t>
      </w:r>
      <w:r>
        <w:t xml:space="preserve"> </w:t>
      </w:r>
      <w:r>
        <w:t xml:space="preserve">(</w:t>
      </w:r>
      <w:r>
        <w:rPr>
          <w:iCs/>
          <w:i/>
        </w:rPr>
        <w:t xml:space="preserve">tṛtīyā</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Viṣṭuti</w:t>
            </w:r>
          </w:p>
        </w:tc>
        <w:tc>
          <w:tcPr/>
          <w:p>
            <w:pPr>
              <w:pStyle w:val="Compact"/>
              <w:jc w:val="left"/>
            </w:pPr>
            <w:r>
              <w:t xml:space="preserve">First paryāya</w:t>
            </w:r>
          </w:p>
        </w:tc>
        <w:tc>
          <w:tcPr/>
          <w:p>
            <w:pPr>
              <w:pStyle w:val="Compact"/>
              <w:jc w:val="left"/>
            </w:pPr>
            <w:r>
              <w:t xml:space="preserve">Second paryāya</w:t>
            </w:r>
          </w:p>
        </w:tc>
        <w:tc>
          <w:tcPr/>
          <w:p>
            <w:pPr>
              <w:pStyle w:val="Compact"/>
              <w:jc w:val="left"/>
            </w:pPr>
            <w:r>
              <w:t xml:space="preserve">Third paryāya</w:t>
            </w:r>
          </w:p>
        </w:tc>
        <w:tc>
          <w:tcPr/>
          <w:p>
            <w:pPr>
              <w:pStyle w:val="Compact"/>
              <w:jc w:val="left"/>
            </w:pPr>
            <w:r>
              <w:t xml:space="preserve">Total</w:t>
            </w:r>
          </w:p>
        </w:tc>
      </w:tr>
      <w:tr>
        <w:tc>
          <w:tcPr/>
          <w:p>
            <w:pPr>
              <w:pStyle w:val="Compact"/>
              <w:jc w:val="left"/>
            </w:pPr>
            <w:r>
              <w:t xml:space="preserve">(1) prathamā</w:t>
            </w:r>
          </w:p>
        </w:tc>
        <w:tc>
          <w:tcPr/>
          <w:p>
            <w:pPr>
              <w:pStyle w:val="Compact"/>
              <w:jc w:val="left"/>
            </w:pPr>
            <w:r>
              <w:t xml:space="preserve">1×3, 2×11, 3×1 (15)</w:t>
            </w:r>
          </w:p>
        </w:tc>
        <w:tc>
          <w:tcPr/>
          <w:p>
            <w:pPr>
              <w:pStyle w:val="Compact"/>
              <w:jc w:val="left"/>
            </w:pPr>
            <w:r>
              <w:t xml:space="preserve">1×1, 2×3, 3×10 (14)</w:t>
            </w:r>
          </w:p>
        </w:tc>
        <w:tc>
          <w:tcPr/>
          <w:p>
            <w:pPr>
              <w:pStyle w:val="Compact"/>
              <w:jc w:val="left"/>
            </w:pPr>
            <w:r>
              <w:t xml:space="preserve">1×11, 2×1, 3×3 (15)</w:t>
            </w:r>
          </w:p>
        </w:tc>
        <w:tc>
          <w:tcPr/>
          <w:p>
            <w:pPr>
              <w:pStyle w:val="Compact"/>
              <w:jc w:val="left"/>
            </w:pPr>
            <w:r>
              <w:t xml:space="preserve">44 ✓</w:t>
            </w:r>
          </w:p>
        </w:tc>
      </w:tr>
      <w:tr>
        <w:tc>
          <w:tcPr/>
          <w:p>
            <w:pPr>
              <w:pStyle w:val="Compact"/>
              <w:jc w:val="left"/>
            </w:pPr>
            <w:r>
              <w:t xml:space="preserve">(2) nirmadhyā</w:t>
            </w:r>
          </w:p>
        </w:tc>
        <w:tc>
          <w:tcPr/>
          <w:p>
            <w:pPr>
              <w:pStyle w:val="Compact"/>
              <w:jc w:val="left"/>
            </w:pPr>
            <w:r>
              <w:t xml:space="preserve">1×3, 2×10, 3×1 (14)</w:t>
            </w:r>
          </w:p>
        </w:tc>
        <w:tc>
          <w:tcPr/>
          <w:p>
            <w:pPr>
              <w:pStyle w:val="Compact"/>
              <w:jc w:val="left"/>
            </w:pPr>
            <w:r>
              <w:t xml:space="preserve">1×1, 2×3, 3×11 (15)</w:t>
            </w:r>
          </w:p>
        </w:tc>
        <w:tc>
          <w:tcPr/>
          <w:p>
            <w:pPr>
              <w:pStyle w:val="Compact"/>
              <w:jc w:val="left"/>
            </w:pPr>
            <w:r>
              <w:t xml:space="preserve">1×11, 2×1, 3×3 (15)</w:t>
            </w:r>
          </w:p>
        </w:tc>
        <w:tc>
          <w:tcPr/>
          <w:p>
            <w:pPr>
              <w:pStyle w:val="Compact"/>
              <w:jc w:val="left"/>
            </w:pPr>
            <w:r>
              <w:t xml:space="preserve">44 ✓</w:t>
            </w:r>
          </w:p>
        </w:tc>
      </w:tr>
      <w:tr>
        <w:tc>
          <w:tcPr/>
          <w:p>
            <w:pPr>
              <w:pStyle w:val="Compact"/>
              <w:jc w:val="left"/>
            </w:pPr>
            <w:r>
              <w:t xml:space="preserve">(3) tṛtīyā</w:t>
            </w:r>
          </w:p>
        </w:tc>
        <w:tc>
          <w:tcPr/>
          <w:p>
            <w:pPr>
              <w:pStyle w:val="Compact"/>
              <w:jc w:val="left"/>
            </w:pPr>
            <w:r>
              <w:t xml:space="preserve">1×3, 2×11, 3×1 (15)</w:t>
            </w:r>
          </w:p>
        </w:tc>
        <w:tc>
          <w:tcPr/>
          <w:p>
            <w:pPr>
              <w:pStyle w:val="Compact"/>
              <w:jc w:val="left"/>
            </w:pPr>
            <w:r>
              <w:t xml:space="preserve">1×1, 2×3, 3×11 (15)</w:t>
            </w:r>
          </w:p>
        </w:tc>
        <w:tc>
          <w:tcPr/>
          <w:p>
            <w:pPr>
              <w:pStyle w:val="Compact"/>
              <w:jc w:val="left"/>
            </w:pPr>
            <w:r>
              <w:t xml:space="preserve">1×10, 2×1, 3×3 (14)</w:t>
            </w:r>
          </w:p>
        </w:tc>
        <w:tc>
          <w:tcPr/>
          <w:p>
            <w:pPr>
              <w:pStyle w:val="Compact"/>
              <w:jc w:val="left"/>
            </w:pPr>
            <w:r>
              <w:t xml:space="preserve">44 ✓</w:t>
            </w:r>
          </w:p>
        </w:tc>
      </w:tr>
    </w:tbl>
    <w:p>
      <w:pPr>
        <w:pStyle w:val="BodyText"/>
      </w:pPr>
      <w:r>
        <w:rPr>
          <w:bCs/>
          <w:b/>
        </w:rPr>
        <w:t xml:space="preserve">IX. Aṣṭācatvāriṃśa stoma</w:t>
      </w:r>
      <w:r>
        <w:t xml:space="preserve"> </w:t>
      </w:r>
      <w:r>
        <w:t xml:space="preserve">(48 Ṛks) — two viṣṭutis: (1)</w:t>
      </w:r>
      <w:r>
        <w:t xml:space="preserve"> </w:t>
      </w:r>
      <w:r>
        <w:rPr>
          <w:bCs/>
          <w:b/>
        </w:rPr>
        <w:t xml:space="preserve">प्रथमा</w:t>
      </w:r>
      <w:r>
        <w:t xml:space="preserve"> </w:t>
      </w:r>
      <w:r>
        <w:t xml:space="preserve">(</w:t>
      </w:r>
      <w:r>
        <w:rPr>
          <w:iCs/>
          <w:i/>
        </w:rPr>
        <w:t xml:space="preserve">prathamā</w:t>
      </w:r>
      <w:r>
        <w:t xml:space="preserve">), (2)</w:t>
      </w:r>
      <w:r>
        <w:t xml:space="preserve"> </w:t>
      </w:r>
      <w:r>
        <w:rPr>
          <w:bCs/>
          <w:b/>
        </w:rPr>
        <w:t xml:space="preserve">नेदीयस्संक्रमा</w:t>
      </w:r>
      <w:r>
        <w:t xml:space="preserve"> </w:t>
      </w:r>
      <w:r>
        <w:t xml:space="preserve">(</w:t>
      </w:r>
      <w:r>
        <w:rPr>
          <w:iCs/>
          <w:i/>
        </w:rPr>
        <w:t xml:space="preserve">nedīyassaṃkramā</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Viṣṭuti</w:t>
            </w:r>
          </w:p>
        </w:tc>
        <w:tc>
          <w:tcPr/>
          <w:p>
            <w:pPr>
              <w:pStyle w:val="Compact"/>
              <w:jc w:val="left"/>
            </w:pPr>
            <w:r>
              <w:t xml:space="preserve">First paryāya</w:t>
            </w:r>
          </w:p>
        </w:tc>
        <w:tc>
          <w:tcPr/>
          <w:p>
            <w:pPr>
              <w:pStyle w:val="Compact"/>
              <w:jc w:val="left"/>
            </w:pPr>
            <w:r>
              <w:t xml:space="preserve">Second paryāya</w:t>
            </w:r>
          </w:p>
        </w:tc>
        <w:tc>
          <w:tcPr/>
          <w:p>
            <w:pPr>
              <w:pStyle w:val="Compact"/>
              <w:jc w:val="left"/>
            </w:pPr>
            <w:r>
              <w:t xml:space="preserve">Third paryāya</w:t>
            </w:r>
          </w:p>
        </w:tc>
        <w:tc>
          <w:tcPr/>
          <w:p>
            <w:pPr>
              <w:pStyle w:val="Compact"/>
              <w:jc w:val="left"/>
            </w:pPr>
            <w:r>
              <w:t xml:space="preserve">Total</w:t>
            </w:r>
          </w:p>
        </w:tc>
      </w:tr>
      <w:tr>
        <w:tc>
          <w:tcPr/>
          <w:p>
            <w:pPr>
              <w:pStyle w:val="Compact"/>
              <w:jc w:val="left"/>
            </w:pPr>
            <w:r>
              <w:t xml:space="preserve">(1) prathamā</w:t>
            </w:r>
          </w:p>
        </w:tc>
        <w:tc>
          <w:tcPr/>
          <w:p>
            <w:pPr>
              <w:pStyle w:val="Compact"/>
              <w:jc w:val="left"/>
            </w:pPr>
            <w:r>
              <w:t xml:space="preserve">1×3, 3×3, 2×10 (16)</w:t>
            </w:r>
            <w:r>
              <w:t xml:space="preserve"> </w:t>
            </w:r>
            <w:r>
              <w:rPr>
                <w:iCs/>
                <w:i/>
              </w:rPr>
              <w:t xml:space="preserve">(order as printed)</w:t>
            </w:r>
          </w:p>
        </w:tc>
        <w:tc>
          <w:tcPr/>
          <w:p>
            <w:pPr>
              <w:pStyle w:val="Compact"/>
              <w:jc w:val="left"/>
            </w:pPr>
            <w:r>
              <w:t xml:space="preserve">1×3, 2×3, 3×10 (16)</w:t>
            </w:r>
          </w:p>
        </w:tc>
        <w:tc>
          <w:tcPr/>
          <w:p>
            <w:pPr>
              <w:pStyle w:val="Compact"/>
              <w:jc w:val="left"/>
            </w:pPr>
            <w:r>
              <w:t xml:space="preserve">1×10, 2×3, 3×3 (16)</w:t>
            </w:r>
          </w:p>
        </w:tc>
        <w:tc>
          <w:tcPr/>
          <w:p>
            <w:pPr>
              <w:pStyle w:val="Compact"/>
              <w:jc w:val="left"/>
            </w:pPr>
            <w:r>
              <w:t xml:space="preserve">48 ✓</w:t>
            </w:r>
          </w:p>
        </w:tc>
      </w:tr>
      <w:tr>
        <w:tc>
          <w:tcPr/>
          <w:p>
            <w:pPr>
              <w:pStyle w:val="Compact"/>
              <w:jc w:val="left"/>
            </w:pPr>
            <w:r>
              <w:t xml:space="preserve">(2) nedīyassaṃkramā</w:t>
            </w:r>
          </w:p>
        </w:tc>
        <w:tc>
          <w:tcPr/>
          <w:p>
            <w:pPr>
              <w:pStyle w:val="Compact"/>
              <w:jc w:val="left"/>
            </w:pPr>
            <w:r>
              <w:t xml:space="preserve">1×3, 2×12, 3×1 (16)</w:t>
            </w:r>
          </w:p>
        </w:tc>
        <w:tc>
          <w:tcPr/>
          <w:p>
            <w:pPr>
              <w:pStyle w:val="Compact"/>
              <w:jc w:val="left"/>
            </w:pPr>
            <w:r>
              <w:t xml:space="preserve">1×1, 2×3, 3×12 (16)</w:t>
            </w:r>
          </w:p>
        </w:tc>
        <w:tc>
          <w:tcPr/>
          <w:p>
            <w:pPr>
              <w:pStyle w:val="Compact"/>
              <w:jc w:val="left"/>
            </w:pPr>
            <w:r>
              <w:t xml:space="preserve">1×12, 2×1, 3×3 (16)</w:t>
            </w:r>
          </w:p>
        </w:tc>
        <w:tc>
          <w:tcPr/>
          <w:p>
            <w:pPr>
              <w:pStyle w:val="Compact"/>
              <w:jc w:val="left"/>
            </w:pPr>
            <w:r>
              <w:t xml:space="preserve">48 ✓</w:t>
            </w:r>
          </w:p>
        </w:tc>
      </w:tr>
    </w:tbl>
    <w:p>
      <w:pPr>
        <w:pStyle w:val="BodyText"/>
      </w:pPr>
      <w:r>
        <w:rPr>
          <w:iCs/>
          <w:i/>
        </w:rPr>
        <w:t xml:space="preserve">(Note: in the first paryāya of</w:t>
      </w:r>
      <w:r>
        <w:rPr>
          <w:iCs/>
          <w:i/>
        </w:rPr>
        <w:t xml:space="preserve"> </w:t>
      </w:r>
      <w:r>
        <w:rPr>
          <w:iCs/>
          <w:i/>
        </w:rPr>
        <w:t xml:space="preserve">“</w:t>
      </w:r>
      <w:r>
        <w:rPr>
          <w:iCs/>
          <w:i/>
        </w:rPr>
        <w:t xml:space="preserve">prathamā</w:t>
      </w:r>
      <w:r>
        <w:rPr>
          <w:iCs/>
          <w:i/>
        </w:rPr>
        <w:t xml:space="preserve">”</w:t>
      </w:r>
      <w:r>
        <w:rPr>
          <w:iCs/>
          <w:i/>
        </w:rPr>
        <w:t xml:space="preserve"> </w:t>
      </w:r>
      <w:r>
        <w:rPr>
          <w:iCs/>
          <w:i/>
        </w:rPr>
        <w:t xml:space="preserve">the print has the digits in the order 1, 1, 1, 3, 3, 3, then ten 2’s — i.e. the 3’s come before the 2’s, which is out of the pattern of every other row. It may be a printer’s transposition; I record it as printed. For the second viṣṭuti, whose table begins at the top of p. 149, I give the runs as tallied from that page.)</w:t>
      </w:r>
    </w:p>
    <w:bookmarkEnd w:id="182"/>
    <w:bookmarkStart w:id="183" w:name="X04360b9d9b351b546a26dca2e0b6703fc1a1a43"/>
    <w:p>
      <w:pPr>
        <w:pStyle w:val="Heading3"/>
      </w:pPr>
      <w:r>
        <w:t xml:space="preserve">Page 149 — End of the viṣṭuti tables; the stoma in the three pressings; stoma-vṛddhi and āvāpa</w:t>
      </w:r>
    </w:p>
    <w:p>
      <w:pPr>
        <w:pStyle w:val="FirstParagraph"/>
      </w:pPr>
      <w:r>
        <w:rPr>
          <w:iCs/>
          <w:i/>
        </w:rPr>
        <w:t xml:space="preserve">(Page header:</w:t>
      </w:r>
      <w:r>
        <w:rPr>
          <w:iCs/>
          <w:i/>
        </w:rPr>
        <w:t xml:space="preserve"> </w:t>
      </w:r>
      <w:r>
        <w:rPr>
          <w:iCs/>
          <w:i/>
        </w:rPr>
        <w:t xml:space="preserve">“</w:t>
      </w:r>
      <w:r>
        <w:rPr>
          <w:iCs/>
          <w:i/>
        </w:rPr>
        <w:t xml:space="preserve">Aṣṭaka 1, Adhyāya 1, Varga 9 · Ṛgveda-saṃhitā.</w:t>
      </w:r>
      <w:r>
        <w:rPr>
          <w:iCs/>
          <w:i/>
        </w:rPr>
        <w:t xml:space="preserve">”</w:t>
      </w:r>
      <w:r>
        <w:rPr>
          <w:iCs/>
          <w:i/>
        </w:rPr>
        <w:t xml:space="preserve"> </w:t>
      </w:r>
      <w:r>
        <w:rPr>
          <w:iCs/>
          <w:i/>
        </w:rPr>
        <w:t xml:space="preserve">The Āśvalāyana sūtra is printed in Kannada script; transcribed letter by letter, with one doubtful word marked.)</w:t>
      </w:r>
    </w:p>
    <w:p>
      <w:pPr>
        <w:pStyle w:val="BodyText"/>
      </w:pPr>
      <w:r>
        <w:rPr>
          <w:bCs/>
          <w:b/>
        </w:rPr>
        <w:t xml:space="preserve">(2) viṣṭuti</w:t>
      </w:r>
      <w:r>
        <w:rPr>
          <w:bCs/>
          <w:b/>
        </w:rPr>
        <w:t xml:space="preserve"> </w:t>
      </w:r>
      <w:r>
        <w:rPr>
          <w:bCs/>
          <w:b/>
        </w:rPr>
        <w:t xml:space="preserve">“</w:t>
      </w:r>
      <w:r>
        <w:rPr>
          <w:bCs/>
          <w:b/>
        </w:rPr>
        <w:t xml:space="preserve">nedīyassaṃkramā</w:t>
      </w:r>
      <w:r>
        <w:rPr>
          <w:bCs/>
          <w:b/>
        </w:rPr>
        <w:t xml:space="preserve">”</w:t>
      </w:r>
      <w:r>
        <w:t xml:space="preserve"> </w:t>
      </w:r>
      <w:r>
        <w:rPr>
          <w:iCs/>
          <w:i/>
        </w:rPr>
        <w:t xml:space="preserve">(continuing from p. 148: first paryāya 1, 1, 1, 2×12, 3; second 1, 2, 2, 2, 3×12; third 1×12, 2, 3, 3, 3 — each 16)</w:t>
      </w:r>
      <w:r>
        <w:t xml:space="preserve">. The stomas, their viṣṭutis, and the order of reciting the numbers of Ṛks in them, and the like, are described at length in the</w:t>
      </w:r>
      <w:r>
        <w:t xml:space="preserve"> </w:t>
      </w:r>
      <w:r>
        <w:rPr>
          <w:bCs/>
          <w:b/>
        </w:rPr>
        <w:t xml:space="preserve">Tāṇḍya-brāhmaṇa</w:t>
      </w:r>
      <w:r>
        <w:t xml:space="preserve"> </w:t>
      </w:r>
      <w:r>
        <w:t xml:space="preserve">of the Sāmaveda.</w:t>
      </w:r>
    </w:p>
    <w:p>
      <w:pPr>
        <w:pStyle w:val="BodyText"/>
      </w:pPr>
      <w:r>
        <w:t xml:space="preserve">Of these stomas, the</w:t>
      </w:r>
      <w:r>
        <w:t xml:space="preserve"> </w:t>
      </w:r>
      <w:r>
        <w:rPr>
          <w:bCs/>
          <w:b/>
        </w:rPr>
        <w:t xml:space="preserve">trivṛt</w:t>
      </w:r>
      <w:r>
        <w:t xml:space="preserve"> </w:t>
      </w:r>
      <w:r>
        <w:t xml:space="preserve">stoma is recited at the time of the morning pressing, the</w:t>
      </w:r>
      <w:r>
        <w:t xml:space="preserve"> </w:t>
      </w:r>
      <w:r>
        <w:rPr>
          <w:bCs/>
          <w:b/>
        </w:rPr>
        <w:t xml:space="preserve">pañcadaśa</w:t>
      </w:r>
      <w:r>
        <w:t xml:space="preserve"> </w:t>
      </w:r>
      <w:r>
        <w:t xml:space="preserve">stoma at the midday pressing, and the</w:t>
      </w:r>
      <w:r>
        <w:t xml:space="preserve"> </w:t>
      </w:r>
      <w:r>
        <w:rPr>
          <w:bCs/>
          <w:b/>
        </w:rPr>
        <w:t xml:space="preserve">saptadaśa</w:t>
      </w:r>
      <w:r>
        <w:t xml:space="preserve"> </w:t>
      </w:r>
      <w:r>
        <w:t xml:space="preserve">stoma at the third pressing. In sacrifices such as the Abhiplava-ṣaḍaha, after the trivṛt and other stomas that are to be sung at the morning pressing and other rites, it is the custom in certain contexts to sing some further stomas, called</w:t>
      </w:r>
      <w:r>
        <w:t xml:space="preserve"> </w:t>
      </w:r>
      <w:r>
        <w:t xml:space="preserve">“</w:t>
      </w:r>
      <w:r>
        <w:t xml:space="preserve">uttara-stomas,</w:t>
      </w:r>
      <w:r>
        <w:t xml:space="preserve">”</w:t>
      </w:r>
      <w:r>
        <w:t xml:space="preserve"> </w:t>
      </w:r>
      <w:r>
        <w:t xml:space="preserve">together with them. This singing of extra stomas is called</w:t>
      </w:r>
      <w:r>
        <w:t xml:space="preserve"> </w:t>
      </w:r>
      <w:r>
        <w:rPr>
          <w:bCs/>
          <w:b/>
        </w:rPr>
        <w:t xml:space="preserve">stoma-vṛddhi</w:t>
      </w:r>
      <w:r>
        <w:t xml:space="preserve"> </w:t>
      </w:r>
      <w:r>
        <w:t xml:space="preserve">(</w:t>
      </w:r>
      <w:r>
        <w:t xml:space="preserve">“</w:t>
      </w:r>
      <w:r>
        <w:t xml:space="preserve">increase of the stoma</w:t>
      </w:r>
      <w:r>
        <w:t xml:space="preserve">”</w:t>
      </w:r>
      <w:r>
        <w:t xml:space="preserve">). After the Udgātṛ and the other singers have performed their songs, the priests of the Hotṛ group —</w:t>
      </w:r>
      <w:r>
        <w:t xml:space="preserve"> </w:t>
      </w:r>
      <w:r>
        <w:rPr>
          <w:bCs/>
          <w:b/>
        </w:rPr>
        <w:t xml:space="preserve">Maitrāvaruṇa, Brāhmaṇācchaṃsin and Acchāvāka</w:t>
      </w:r>
      <w:r>
        <w:t xml:space="preserve"> </w:t>
      </w:r>
      <w:r>
        <w:t xml:space="preserve">— must recite, according to this and so as to equal the stoma-increase, a certain number of additional Ṛks. That is: after the Udgātṛ and the other Sāma-singers have sung the mantras of the fixed number required for the trivṛt and other stomas, and sing some further mantras, the Maitrāvaruṇa and the others of the Hotṛ group must recite an equal number of Ṛks to correspond. Thus the sāman-mantras that are sung in a number greater than the fixed number, or the stomas —</w:t>
      </w:r>
      <w:r>
        <w:t xml:space="preserve"> </w:t>
      </w:r>
      <w:r>
        <w:t xml:space="preserve">“</w:t>
      </w:r>
      <w:r>
        <w:t xml:space="preserve">stoma-vṛddhi</w:t>
      </w:r>
      <w:r>
        <w:t xml:space="preserve">”</w:t>
      </w:r>
      <w:r>
        <w:t xml:space="preserve"> </w:t>
      </w:r>
      <w:r>
        <w:t xml:space="preserve">— and, correspondingly, the Ṛks that are recited in a number greater than the fixed number, are called</w:t>
      </w:r>
      <w:r>
        <w:t xml:space="preserve"> </w:t>
      </w:r>
      <w:r>
        <w:rPr>
          <w:bCs/>
          <w:b/>
        </w:rPr>
        <w:t xml:space="preserve">āvāpa</w:t>
      </w:r>
      <w:r>
        <w:t xml:space="preserve">. In the present context, for the recitation of these āvāpa-Ṛks they recite the six sūktas beginning with</w:t>
      </w:r>
      <w:r>
        <w:t xml:space="preserve"> </w:t>
      </w:r>
      <w:r>
        <w:rPr>
          <w:bCs/>
          <w:b/>
        </w:rPr>
        <w:t xml:space="preserve">“</w:t>
      </w:r>
      <w:r>
        <w:rPr>
          <w:bCs/>
          <w:b/>
        </w:rPr>
        <w:t xml:space="preserve">surūpakṛtnum ūtaye</w:t>
      </w:r>
      <w:r>
        <w:rPr>
          <w:bCs/>
          <w:b/>
        </w:rPr>
        <w:t xml:space="preserve">”</w:t>
      </w:r>
      <w:r>
        <w:t xml:space="preserve"> </w:t>
      </w:r>
      <w:r>
        <w:t xml:space="preserve">(the sūktas from Ṛ. Saṃ. 1-4 to 1-9). That is: it is not that the six sūktas must be recited in full for the āvāpa; the number of Ṛks that the Udgātṛ and others sing is the number of Ṛks (taken from the sūktas</w:t>
      </w:r>
      <w:r>
        <w:t xml:space="preserve"> </w:t>
      </w:r>
      <w:r>
        <w:t xml:space="preserve">“</w:t>
      </w:r>
      <w:r>
        <w:t xml:space="preserve">surūpakṛtnum</w:t>
      </w:r>
      <w:r>
        <w:t xml:space="preserve">”</w:t>
      </w:r>
      <w:r>
        <w:t xml:space="preserve"> </w:t>
      </w:r>
      <w:r>
        <w:t xml:space="preserve">and the rest) that are to be recited. Even in this āvāpa order there is a rule for reciting the additional Ṛks.</w:t>
      </w:r>
      <w:r>
        <w:t xml:space="preserve"> </w:t>
      </w:r>
      <w:r>
        <w:rPr>
          <w:bCs/>
          <w:b/>
        </w:rPr>
        <w:t xml:space="preserve">Āśvalāyana</w:t>
      </w:r>
      <w:r>
        <w:t xml:space="preserve"> </w:t>
      </w:r>
      <w:r>
        <w:t xml:space="preserve">states it in his Śrauta-sūtra:</w:t>
      </w:r>
    </w:p>
    <w:p>
      <w:pPr>
        <w:pStyle w:val="BlockText"/>
      </w:pPr>
      <w:r>
        <w:t xml:space="preserve">नित्याधिकं स्तोमकरणात्पञ्च सप्तदशे नवैकविंशे द्वादश चतुर्विंशे पञ्चदश त्रिणव एकविंशतिं त्रयस्त्रिंशे द्वात्रिंशतं चतुश्चत्वारिंशे षट्त्रिंशतमष्टाचत्वारिंशे ॥ इति ॥</w:t>
      </w:r>
      <w:r>
        <w:t xml:space="preserve"> </w:t>
      </w:r>
      <w:r>
        <w:rPr>
          <w:iCs/>
          <w:i/>
        </w:rPr>
        <w:t xml:space="preserve">nityādhikaṃ stoma-karaṇāt pañca saptadaśe navaikaviṃśe dvādaśa caturviṃśe pañcadaśa triṇava ekaviṃśatiṃ trayastriṃśe dvātriṃśataṃ catuścatvāriṃśe ṣaṭtriṃśatam aṣṭācatvāriṃśe || iti ||</w:t>
      </w:r>
      <w:r>
        <w:t xml:space="preserve"> </w:t>
      </w:r>
      <w:r>
        <w:rPr>
          <w:iCs/>
          <w:i/>
        </w:rPr>
        <w:t xml:space="preserve">(Correction, made at p. 150: I first read the third and fourth words as</w:t>
      </w:r>
      <w:r>
        <w:rPr>
          <w:iCs/>
          <w:i/>
        </w:rPr>
        <w:t xml:space="preserve"> </w:t>
      </w:r>
      <w:r>
        <w:rPr>
          <w:iCs/>
          <w:i/>
        </w:rPr>
        <w:t xml:space="preserve">“</w:t>
      </w:r>
      <w:r>
        <w:rPr>
          <w:iCs/>
          <w:i/>
        </w:rPr>
        <w:t xml:space="preserve">pañce</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nanvaikaviṃśe.</w:t>
      </w:r>
      <w:r>
        <w:rPr>
          <w:iCs/>
          <w:i/>
        </w:rPr>
        <w:t xml:space="preserve">”</w:t>
      </w:r>
      <w:r>
        <w:rPr>
          <w:iCs/>
          <w:i/>
        </w:rPr>
        <w:t xml:space="preserve"> </w:t>
      </w:r>
      <w:r>
        <w:rPr>
          <w:iCs/>
          <w:i/>
        </w:rPr>
        <w:t xml:space="preserve">Page 150, which restates the same numbers in Kannada prose —</w:t>
      </w:r>
      <w:r>
        <w:rPr>
          <w:iCs/>
          <w:i/>
        </w:rPr>
        <w:t xml:space="preserve"> </w:t>
      </w:r>
      <w:r>
        <w:rPr>
          <w:iCs/>
          <w:i/>
        </w:rPr>
        <w:t xml:space="preserve">“</w:t>
      </w:r>
      <w:r>
        <w:rPr>
          <w:iCs/>
          <w:i/>
        </w:rPr>
        <w:t xml:space="preserve">for the saptadaśa stoma, five Ṛks; for the ekaviṃśa, nine; for the caturviṃśa, twelve; for the triṇava, fifteen; for the trayastriṃśa, twenty-one; for the catuścatvāriṃśa, thirty-two; for the aṣṭācatvāriṃśa, thirty-six</w:t>
      </w:r>
      <w:r>
        <w:rPr>
          <w:iCs/>
          <w:i/>
        </w:rPr>
        <w:t xml:space="preserve">”</w:t>
      </w:r>
      <w:r>
        <w:rPr>
          <w:iCs/>
          <w:i/>
        </w:rPr>
        <w:t xml:space="preserve"> </w:t>
      </w:r>
      <w:r>
        <w:rPr>
          <w:iCs/>
          <w:i/>
        </w:rPr>
        <w:t xml:space="preserve">— shows that the words are</w:t>
      </w:r>
      <w:r>
        <w:rPr>
          <w:iCs/>
          <w:i/>
        </w:rPr>
        <w:t xml:space="preserve"> </w:t>
      </w:r>
      <w:r>
        <w:rPr>
          <w:iCs/>
          <w:i/>
        </w:rPr>
        <w:t xml:space="preserve">“</w:t>
      </w:r>
      <w:r>
        <w:rPr>
          <w:iCs/>
          <w:i/>
        </w:rPr>
        <w:t xml:space="preserve">pañca</w:t>
      </w:r>
      <w:r>
        <w:rPr>
          <w:iCs/>
          <w:i/>
        </w:rPr>
        <w:t xml:space="preserve">”</w:t>
      </w:r>
      <w:r>
        <w:rPr>
          <w:iCs/>
          <w:i/>
        </w:rPr>
        <w:t xml:space="preserve"> </w:t>
      </w:r>
      <w:r>
        <w:rPr>
          <w:iCs/>
          <w:i/>
        </w:rPr>
        <w:t xml:space="preserve">(five) and</w:t>
      </w:r>
      <w:r>
        <w:rPr>
          <w:iCs/>
          <w:i/>
        </w:rPr>
        <w:t xml:space="preserve"> </w:t>
      </w:r>
      <w:r>
        <w:rPr>
          <w:iCs/>
          <w:i/>
        </w:rPr>
        <w:t xml:space="preserve">“</w:t>
      </w:r>
      <w:r>
        <w:rPr>
          <w:iCs/>
          <w:i/>
        </w:rPr>
        <w:t xml:space="preserve">nava + ekaviṃśe</w:t>
      </w:r>
      <w:r>
        <w:rPr>
          <w:iCs/>
          <w:i/>
        </w:rPr>
        <w:t xml:space="preserve">”</w:t>
      </w:r>
      <w:r>
        <w:rPr>
          <w:iCs/>
          <w:i/>
        </w:rPr>
        <w:t xml:space="preserve"> </w:t>
      </w:r>
      <w:r>
        <w:rPr>
          <w:iCs/>
          <w:i/>
        </w:rPr>
        <w:t xml:space="preserve">(nine at the ekaviṃśa); the text above has been changed to that. The sūtra’s word</w:t>
      </w:r>
      <w:r>
        <w:rPr>
          <w:iCs/>
          <w:i/>
        </w:rPr>
        <w:t xml:space="preserve"> </w:t>
      </w:r>
      <w:r>
        <w:rPr>
          <w:iCs/>
          <w:i/>
        </w:rPr>
        <w:t xml:space="preserve">“</w:t>
      </w:r>
      <w:r>
        <w:rPr>
          <w:iCs/>
          <w:i/>
        </w:rPr>
        <w:t xml:space="preserve">triṇava</w:t>
      </w:r>
      <w:r>
        <w:rPr>
          <w:iCs/>
          <w:i/>
        </w:rPr>
        <w:t xml:space="preserve">”</w:t>
      </w:r>
      <w:r>
        <w:rPr>
          <w:iCs/>
          <w:i/>
        </w:rPr>
        <w:t xml:space="preserve"> </w:t>
      </w:r>
      <w:r>
        <w:rPr>
          <w:iCs/>
          <w:i/>
        </w:rPr>
        <w:t xml:space="preserve">is printed in the nominative form though the sense is</w:t>
      </w:r>
      <w:r>
        <w:rPr>
          <w:iCs/>
          <w:i/>
        </w:rPr>
        <w:t xml:space="preserve"> </w:t>
      </w:r>
      <w:r>
        <w:rPr>
          <w:iCs/>
          <w:i/>
        </w:rPr>
        <w:t xml:space="preserve">“</w:t>
      </w:r>
      <w:r>
        <w:rPr>
          <w:iCs/>
          <w:i/>
        </w:rPr>
        <w:t xml:space="preserve">at the triṇava.</w:t>
      </w:r>
      <w:r>
        <w:rPr>
          <w:iCs/>
          <w:i/>
        </w:rPr>
        <w:t xml:space="preserve">”</w:t>
      </w:r>
      <w:r>
        <w:rPr>
          <w:iCs/>
          <w:i/>
        </w:rPr>
        <w:t xml:space="preserve">)</w:t>
      </w:r>
    </w:p>
    <w:p>
      <w:pPr>
        <w:pStyle w:val="FirstParagraph"/>
      </w:pPr>
      <w:r>
        <w:rPr>
          <w:bCs/>
          <w:b/>
        </w:rPr>
        <w:t xml:space="preserve">Translation (mine; see the correction note above):</w:t>
      </w:r>
      <w:r>
        <w:t xml:space="preserve"> </w:t>
      </w:r>
      <w:r>
        <w:t xml:space="preserve">“</w:t>
      </w:r>
      <w:r>
        <w:t xml:space="preserve">(The Hotṛ-group priests are to recite) additional Ṛks, constantly, over and above the making of the stoma: five at the saptadaśa; nine at the ekaviṃśa; twelve at the caturviṃśa; fifteen at the triṇava; twenty-one at the trayastriṃśa; thirty-two at the catuścatvāriṃśa; thirty-six at the aṣṭācatvāriṃśa.</w:t>
      </w:r>
      <w:r>
        <w:t xml:space="preserve">”</w:t>
      </w:r>
    </w:p>
    <w:p>
      <w:pPr>
        <w:pStyle w:val="BodyText"/>
      </w:pPr>
      <w:r>
        <w:t xml:space="preserve">That is: in reciting the saptadaśa stoma,</w:t>
      </w:r>
      <w:r>
        <w:t xml:space="preserve"> </w:t>
      </w:r>
      <w:r>
        <w:t xml:space="preserve">“</w:t>
      </w:r>
      <w:r>
        <w:t xml:space="preserve">āvāpa</w:t>
      </w:r>
      <w:r>
        <w:t xml:space="preserve">”</w:t>
      </w:r>
      <w:r>
        <w:t xml:space="preserve"> </w:t>
      </w:r>
      <w:r>
        <w:t xml:space="preserve">— the recitation of the additional Ṛks — is five …</w:t>
      </w:r>
      <w:r>
        <w:t xml:space="preserve"> </w:t>
      </w:r>
      <w:r>
        <w:rPr>
          <w:iCs/>
          <w:i/>
        </w:rPr>
        <w:t xml:space="preserve">(continues on the next page)</w:t>
      </w:r>
    </w:p>
    <w:bookmarkEnd w:id="183"/>
    <w:bookmarkStart w:id="184" w:name="Xd5f095b299d46085327ae7f1e0b91dcc164df2c"/>
    <w:p>
      <w:pPr>
        <w:pStyle w:val="Heading3"/>
      </w:pPr>
      <w:r>
        <w:t xml:space="preserve">Page 150 — The āvāpa-numbers; the Mahāvrata; the Āśvalāyana sūtra on the Ekāha, Ahīna and Sattra rites</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5.</w:t>
      </w:r>
      <w:r>
        <w:rPr>
          <w:iCs/>
          <w:i/>
        </w:rPr>
        <w:t xml:space="preserve">”</w:t>
      </w:r>
      <w:r>
        <w:rPr>
          <w:iCs/>
          <w:i/>
        </w:rPr>
        <w:t xml:space="preserve"> </w:t>
      </w:r>
      <w:r>
        <w:rPr>
          <w:iCs/>
          <w:i/>
        </w:rPr>
        <w:t xml:space="preserve">The Sanskrit sūtra is printed in Kannada script; I transcribe it letter by letter and mark doubtful words. I translate only what the source’s own explanation supports.)</w:t>
      </w:r>
    </w:p>
    <w:p>
      <w:pPr>
        <w:pStyle w:val="BodyText"/>
      </w:pPr>
      <w:r>
        <w:rPr>
          <w:iCs/>
          <w:i/>
        </w:rPr>
        <w:t xml:space="preserve">(Continuing from p. 149,</w:t>
      </w:r>
      <w:r>
        <w:rPr>
          <w:iCs/>
          <w:i/>
        </w:rPr>
        <w:t xml:space="preserve"> </w:t>
      </w:r>
      <w:r>
        <w:rPr>
          <w:iCs/>
          <w:i/>
        </w:rPr>
        <w:t xml:space="preserve">“</w:t>
      </w:r>
      <w:r>
        <w:rPr>
          <w:iCs/>
          <w:i/>
        </w:rPr>
        <w:t xml:space="preserve">…in the saptadaśa stoma the āvāpa is five</w:t>
      </w:r>
      <w:r>
        <w:rPr>
          <w:iCs/>
          <w:i/>
        </w:rPr>
        <w:t xml:space="preserve">”</w:t>
      </w:r>
      <w:r>
        <w:rPr>
          <w:iCs/>
          <w:i/>
        </w:rPr>
        <w:t xml:space="preserve"> </w:t>
      </w:r>
      <w:r>
        <w:rPr>
          <w:iCs/>
          <w:i/>
        </w:rPr>
        <w:t xml:space="preserve">Ṛks:)</w:t>
      </w:r>
      <w:r>
        <w:t xml:space="preserve"> </w:t>
      </w:r>
      <w:r>
        <w:rPr>
          <w:bCs/>
          <w:b/>
        </w:rPr>
        <w:t xml:space="preserve">five Ṛks. For the ekaviṃśa stoma the āvāpa is nine Ṛks; for the caturviṃśa stoma twelve Ṛks; for the triṇava stoma fifteen Ṛks; for the trayastriṃśa stoma twenty-one Ṛks; for the catuścatvāriṃśa stoma thirty-two Ṛks; for the aṣṭācatvāriṃśa stoma thirty-six Ṛks.</w:t>
      </w:r>
      <w:r>
        <w:t xml:space="preserve"> </w:t>
      </w:r>
      <w:r>
        <w:t xml:space="preserve">In just this order the Bhāṣyakāra, stating the application of the sūkta</w:t>
      </w:r>
      <w:r>
        <w:t xml:space="preserve"> </w:t>
      </w:r>
      <w:r>
        <w:t xml:space="preserve">“</w:t>
      </w:r>
      <w:r>
        <w:t xml:space="preserve">surūpakṛtnum ūtaye,</w:t>
      </w:r>
      <w:r>
        <w:t xml:space="preserve">”</w:t>
      </w:r>
      <w:r>
        <w:t xml:space="preserve"> </w:t>
      </w:r>
      <w:r>
        <w:t xml:space="preserve">wrote:</w:t>
      </w:r>
      <w:r>
        <w:t xml:space="preserve"> </w:t>
      </w:r>
      <w:r>
        <w:t xml:space="preserve">“</w:t>
      </w:r>
      <w:r>
        <w:rPr>
          <w:iCs/>
          <w:i/>
        </w:rPr>
        <w:t xml:space="preserve">abhiplava-ṣaḍahe brāhmaṇācchaṃsinaḥ prātaḥ-savane stoma-vṛddhy-āvāpārthāni surūpakṛtnum ūtaya ity ādīni ṣaṭ sūktāni</w:t>
      </w:r>
      <w:r>
        <w:t xml:space="preserve">”</w:t>
      </w:r>
      <w:r>
        <w:t xml:space="preserve"> </w:t>
      </w:r>
      <w:r>
        <w:t xml:space="preserve">(अभिप्लवषडहे ब्राह्मणाच्छंसिनः प्रातःसवने स्तोमवृद्ध्यावापार्थानि सुरूपकृत्नुमूतय इत्यादीनि षट् सूक्तानि —</w:t>
      </w:r>
      <w:r>
        <w:t xml:space="preserve"> </w:t>
      </w:r>
      <w:r>
        <w:t xml:space="preserve">“</w:t>
      </w:r>
      <w:r>
        <w:t xml:space="preserve">in the Abhiplava-ṣaḍaha, the six sūktas beginning</w:t>
      </w:r>
      <w:r>
        <w:t xml:space="preserve"> </w:t>
      </w:r>
      <w:r>
        <w:t xml:space="preserve">‘</w:t>
      </w:r>
      <w:r>
        <w:t xml:space="preserve">surūpakṛtnum ūtaye</w:t>
      </w:r>
      <w:r>
        <w:t xml:space="preserve">’</w:t>
      </w:r>
      <w:r>
        <w:t xml:space="preserve"> </w:t>
      </w:r>
      <w:r>
        <w:t xml:space="preserve">are for the Brāhmaṇācchaṃsin at the morning pressing, for the increase of the stoma and for the āvāpa</w:t>
      </w:r>
      <w:r>
        <w:t xml:space="preserve">”</w:t>
      </w:r>
      <w:r>
        <w:t xml:space="preserve">; see p. 86–87 above).</w:t>
      </w:r>
    </w:p>
    <w:p>
      <w:pPr>
        <w:pStyle w:val="BodyText"/>
      </w:pPr>
      <w:r>
        <w:t xml:space="preserve">The three sūktas</w:t>
      </w:r>
      <w:r>
        <w:t xml:space="preserve"> </w:t>
      </w:r>
      <w:r>
        <w:rPr>
          <w:bCs/>
          <w:b/>
        </w:rPr>
        <w:t xml:space="preserve">“</w:t>
      </w:r>
      <w:r>
        <w:rPr>
          <w:bCs/>
          <w:b/>
        </w:rPr>
        <w:t xml:space="preserve">surūpakṛtnum,</w:t>
      </w:r>
      <w:r>
        <w:rPr>
          <w:bCs/>
          <w:b/>
        </w:rPr>
        <w:t xml:space="preserve">”</w:t>
      </w:r>
      <w:r>
        <w:rPr>
          <w:bCs/>
          <w:b/>
        </w:rPr>
        <w:t xml:space="preserve"> </w:t>
      </w:r>
      <w:r>
        <w:rPr>
          <w:bCs/>
          <w:b/>
        </w:rPr>
        <w:t xml:space="preserve">“</w:t>
      </w:r>
      <w:r>
        <w:rPr>
          <w:bCs/>
          <w:b/>
        </w:rPr>
        <w:t xml:space="preserve">ā tvetā</w:t>
      </w:r>
      <w:r>
        <w:rPr>
          <w:bCs/>
          <w:b/>
        </w:rPr>
        <w:t xml:space="preserve">”</w:t>
      </w:r>
      <w:r>
        <w:t xml:space="preserve"> </w:t>
      </w:r>
      <w:r>
        <w:t xml:space="preserve">and</w:t>
      </w:r>
      <w:r>
        <w:t xml:space="preserve"> </w:t>
      </w:r>
      <w:r>
        <w:rPr>
          <w:bCs/>
          <w:b/>
        </w:rPr>
        <w:t xml:space="preserve">“</w:t>
      </w:r>
      <w:r>
        <w:rPr>
          <w:bCs/>
          <w:b/>
        </w:rPr>
        <w:t xml:space="preserve">yuñjanti bradhnam</w:t>
      </w:r>
      <w:r>
        <w:rPr>
          <w:bCs/>
          <w:b/>
        </w:rPr>
        <w:t xml:space="preserve">”</w:t>
      </w:r>
      <w:r>
        <w:t xml:space="preserve"> </w:t>
      </w:r>
      <w:r>
        <w:t xml:space="preserve">are applied in the</w:t>
      </w:r>
      <w:r>
        <w:t xml:space="preserve"> </w:t>
      </w:r>
      <w:r>
        <w:rPr>
          <w:bCs/>
          <w:b/>
        </w:rPr>
        <w:t xml:space="preserve">Mahāvrata</w:t>
      </w:r>
      <w:r>
        <w:t xml:space="preserve">. On this matter</w:t>
      </w:r>
      <w:r>
        <w:t xml:space="preserve"> </w:t>
      </w:r>
      <w:r>
        <w:rPr>
          <w:bCs/>
          <w:b/>
        </w:rPr>
        <w:t xml:space="preserve">Āśvalāyana</w:t>
      </w:r>
      <w:r>
        <w:t xml:space="preserve"> </w:t>
      </w:r>
      <w:r>
        <w:t xml:space="preserve">has said:</w:t>
      </w:r>
    </w:p>
    <w:p>
      <w:pPr>
        <w:pStyle w:val="BlockText"/>
      </w:pPr>
      <w:r>
        <w:t xml:space="preserve">एकाहोऽतिरात्र आदौ प्रायणीय एषोऽन्त्य उदयनीयो व्यक्तो मध्येऽहीनेषु वैश्वानर एष एव तावदन्तरेण व्यूढो दशरात्र एषा प्रकृतिः सत्राणां तत्रावापस्थानमूर्ध्वं दशरात्रादेकाहार्थे महाव्रतं प्राग्[?]शरात्रादितरेषामह्नां द्व्यहार्थे गोआयुषी त्र्यहार्थे त्रिकद्रुका अभिप्लवत्र्यहं पूर्वं त्रिकद्रुका इत्याचक्षते । चतुरहार्थे त्रिकद्रुका महाव्रतं च पञ्चाहार्थेऽभिप्लवपञ्चाह उत्तमस्य तु षष्ठात्तृतीयं सवनं षळहार्थेऽभिप्लवः षळह एवंन्याया आवापाः षळहान्ताः पुनः पुनः पूर्णः पूर्णश्च षळहस्तन्त्रतामेव गच्छतीति ॥</w:t>
      </w:r>
      <w:r>
        <w:t xml:space="preserve"> </w:t>
      </w:r>
      <w:r>
        <w:rPr>
          <w:iCs/>
          <w:i/>
        </w:rPr>
        <w:t xml:space="preserve">ekāho ’tirātra ādau prāyaṇīya eṣo ’ntya udayanīyo vyakto madhye ’hīneṣu vaiśvānara eṣa eva tāvad antareṇa vyūḍho daśarātra eṣā prakṛtiḥ satrāṇāṃ tatrāvāpa-sthānam ūrdhvaṃ daśarātrād ekāhārthe mahāvrataṃ prāg[?]-śarātrād itareṣām ahnāṃ dvyahārthe go-āyuṣī tryahārthe trikadrukā abhiplava-tryahaṃ pūrvaṃ trikadrukā ity ācakṣate | caturahārthe trikadrukā mahāvrataṃ ca pañcāhārthe ’bhiplava-pañcāha uttamasya tu ṣaṣṭhāt tṛtīyaṃ savanaṃ ṣaḷahārthe ’bhiplavaḥ ṣaḷaha evaṃ-nyāyā āvāpāḥ ṣaḷahāntāḥ punaḥ punaḥ pūrṇaḥ pūrṇaś ca ṣaḷahas tantratām eva gacchatīti ||</w:t>
      </w:r>
      <w:r>
        <w:t xml:space="preserve"> </w:t>
      </w:r>
      <w:r>
        <w:rPr>
          <w:iCs/>
          <w:i/>
        </w:rPr>
        <w:t xml:space="preserve">(Reading notes: (i) this is a very compressed Śrauta-sūtra, and several of its words are crowded in the print —</w:t>
      </w:r>
      <w:r>
        <w:rPr>
          <w:iCs/>
          <w:i/>
        </w:rPr>
        <w:t xml:space="preserve"> </w:t>
      </w:r>
      <w:r>
        <w:rPr>
          <w:iCs/>
          <w:i/>
        </w:rPr>
        <w:t xml:space="preserve">“</w:t>
      </w:r>
      <w:r>
        <w:rPr>
          <w:iCs/>
          <w:i/>
        </w:rPr>
        <w:t xml:space="preserve">prāg-…-śarātrād</w:t>
      </w:r>
      <w:r>
        <w:rPr>
          <w:iCs/>
          <w:i/>
        </w:rPr>
        <w:t xml:space="preserve">”</w:t>
      </w:r>
      <w:r>
        <w:rPr>
          <w:iCs/>
          <w:i/>
        </w:rPr>
        <w:t xml:space="preserve"> </w:t>
      </w:r>
      <w:r>
        <w:rPr>
          <w:iCs/>
          <w:i/>
        </w:rPr>
        <w:t xml:space="preserve">in particular is unclear to me, and I mark it [?]; (ii) the spellings</w:t>
      </w:r>
      <w:r>
        <w:rPr>
          <w:iCs/>
          <w:i/>
        </w:rPr>
        <w:t xml:space="preserve"> </w:t>
      </w:r>
      <w:r>
        <w:rPr>
          <w:iCs/>
          <w:i/>
        </w:rPr>
        <w:t xml:space="preserve">“</w:t>
      </w:r>
      <w:r>
        <w:rPr>
          <w:iCs/>
          <w:i/>
        </w:rPr>
        <w:t xml:space="preserve">trikadrukā</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go-āyuṣī</w:t>
      </w:r>
      <w:r>
        <w:rPr>
          <w:iCs/>
          <w:i/>
        </w:rPr>
        <w:t xml:space="preserve">”</w:t>
      </w:r>
      <w:r>
        <w:rPr>
          <w:iCs/>
          <w:i/>
        </w:rPr>
        <w:t xml:space="preserve"> </w:t>
      </w:r>
      <w:r>
        <w:rPr>
          <w:iCs/>
          <w:i/>
        </w:rPr>
        <w:t xml:space="preserve">are as printed; (iii) the verse-numbering of the sūtra is not given on the page.)</w:t>
      </w:r>
      <w:r>
        <w:t xml:space="preserve"> </w:t>
      </w:r>
      <w:r>
        <w:rPr>
          <w:bCs/>
          <w:b/>
        </w:rPr>
        <w:t xml:space="preserve">Translation, in outline only</w:t>
      </w:r>
      <w:r>
        <w:t xml:space="preserve"> </w:t>
      </w:r>
      <w:r>
        <w:t xml:space="preserve">(the source does not translate the sūtra word by word; it explains it in the Kannada that follows, which I give next): the sūtra lays out the Ekāha, Ahīna and Sattra rites — the one-day, the several-day and the long sacrificial sessions — and states that, for each extension of the ten-night base-rite (daśarātra), a Mahāvrata, a</w:t>
      </w:r>
      <w:r>
        <w:t xml:space="preserve"> </w:t>
      </w:r>
      <w:r>
        <w:t xml:space="preserve">“</w:t>
      </w:r>
      <w:r>
        <w:t xml:space="preserve">Go-āyuṣī,</w:t>
      </w:r>
      <w:r>
        <w:t xml:space="preserve">”</w:t>
      </w:r>
      <w:r>
        <w:t xml:space="preserve"> </w:t>
      </w:r>
      <w:r>
        <w:t xml:space="preserve">a</w:t>
      </w:r>
      <w:r>
        <w:t xml:space="preserve"> </w:t>
      </w:r>
      <w:r>
        <w:t xml:space="preserve">“</w:t>
      </w:r>
      <w:r>
        <w:t xml:space="preserve">Trikadruka</w:t>
      </w:r>
      <w:r>
        <w:t xml:space="preserve">”</w:t>
      </w:r>
      <w:r>
        <w:t xml:space="preserve"> </w:t>
      </w:r>
      <w:r>
        <w:t xml:space="preserve">or the six-day Abhiplava is added in place of so many days, so that the āvāpas (insertions) proceed up to the ṣaḷaha (six-day) rite, again and again, and the full ṣaḷaha becomes</w:t>
      </w:r>
      <w:r>
        <w:t xml:space="preserve"> </w:t>
      </w:r>
      <w:r>
        <w:t xml:space="preserve">“</w:t>
      </w:r>
      <w:r>
        <w:t xml:space="preserve">tantra</w:t>
      </w:r>
      <w:r>
        <w:t xml:space="preserve">”</w:t>
      </w:r>
      <w:r>
        <w:t xml:space="preserve"> </w:t>
      </w:r>
      <w:r>
        <w:t xml:space="preserve">(common to all).</w:t>
      </w:r>
    </w:p>
    <w:p>
      <w:pPr>
        <w:pStyle w:val="FirstParagraph"/>
      </w:pPr>
      <w:r>
        <w:rPr>
          <w:bCs/>
          <w:b/>
        </w:rPr>
        <w:t xml:space="preserve">The Kannada explanation (translated):</w:t>
      </w:r>
      <w:r>
        <w:t xml:space="preserve"> </w:t>
      </w:r>
      <w:r>
        <w:t xml:space="preserve">The</w:t>
      </w:r>
      <w:r>
        <w:t xml:space="preserve"> </w:t>
      </w:r>
      <w:r>
        <w:rPr>
          <w:bCs/>
          <w:b/>
        </w:rPr>
        <w:t xml:space="preserve">Mahāvrata</w:t>
      </w:r>
      <w:r>
        <w:t xml:space="preserve"> </w:t>
      </w:r>
      <w:r>
        <w:t xml:space="preserve">is this: in a Soma-sacrifice that is to be done over twelve days, one day of the sacrifice called Mahāvrata is added so that the sacrifice runs for thirteen days; for this the Mahāvrata is performed in the middle of the twelve days — that is, one day from the tenth to the twelfth day. In the</w:t>
      </w:r>
      <w:r>
        <w:t xml:space="preserve"> </w:t>
      </w:r>
      <w:r>
        <w:t xml:space="preserve">“</w:t>
      </w:r>
      <w:r>
        <w:t xml:space="preserve">prakṛti</w:t>
      </w:r>
      <w:r>
        <w:t xml:space="preserve">”</w:t>
      </w:r>
      <w:r>
        <w:t xml:space="preserve"> </w:t>
      </w:r>
      <w:r>
        <w:t xml:space="preserve">form — the original model — the Soma-sacrifice runs for twelve days only; if the Mahāvrata is performed in the middle, that sacrifice becomes a sacrifice of thirteen days. The sacrifices that have to be done over twelve days, like the</w:t>
      </w:r>
      <w:r>
        <w:t xml:space="preserve"> </w:t>
      </w:r>
      <w:r>
        <w:rPr>
          <w:bCs/>
          <w:b/>
        </w:rPr>
        <w:t xml:space="preserve">Atirātra</w:t>
      </w:r>
      <w:r>
        <w:t xml:space="preserve">, are done at the beginning and at the end. The Atirātra is one of the seven Soma-sacrifices; the ten days in the middle are called</w:t>
      </w:r>
      <w:r>
        <w:t xml:space="preserve"> </w:t>
      </w:r>
      <w:r>
        <w:t xml:space="preserve">“</w:t>
      </w:r>
      <w:r>
        <w:t xml:space="preserve">vyūḷha.</w:t>
      </w:r>
      <w:r>
        <w:t xml:space="preserve">”</w:t>
      </w:r>
      <w:r>
        <w:t xml:space="preserve"> </w:t>
      </w:r>
      <w:r>
        <w:t xml:space="preserve">If the twelve-day sacrifice is to be run to fourteen days, a two-day sacrifice called</w:t>
      </w:r>
      <w:r>
        <w:t xml:space="preserve"> </w:t>
      </w:r>
      <w:r>
        <w:rPr>
          <w:bCs/>
          <w:b/>
        </w:rPr>
        <w:t xml:space="preserve">Go-āyuṣī</w:t>
      </w:r>
      <w:r>
        <w:t xml:space="preserve"> </w:t>
      </w:r>
      <w:r>
        <w:t xml:space="preserve">is added, making fourteen from the tenth day; and so for fifteen days (to the twelve) the three-day sacrifice</w:t>
      </w:r>
      <w:r>
        <w:t xml:space="preserve"> </w:t>
      </w:r>
      <w:r>
        <w:rPr>
          <w:bCs/>
          <w:b/>
        </w:rPr>
        <w:t xml:space="preserve">Trikadruka</w:t>
      </w:r>
      <w:r>
        <w:t xml:space="preserve"> </w:t>
      </w:r>
      <w:r>
        <w:t xml:space="preserve">is added.</w:t>
      </w:r>
      <w:r>
        <w:t xml:space="preserve"> </w:t>
      </w:r>
      <w:r>
        <w:t xml:space="preserve">“</w:t>
      </w:r>
      <w:r>
        <w:t xml:space="preserve">Trikadruka</w:t>
      </w:r>
      <w:r>
        <w:t xml:space="preserve">”</w:t>
      </w:r>
      <w:r>
        <w:t xml:space="preserve"> </w:t>
      </w:r>
      <w:r>
        <w:t xml:space="preserve">means the first three days of the Abhiplava-ṣaḍaha described before. For a sacrifice of sixteen days, Trikadruka and Mahāvrata are added; for seventeen, the first five days of the Abhiplava-ṣaḍaha; for eighteen, the six days of the Abhiplava-ṣaḍaha. The same must be reckoned further on. The following table makes this clear.</w:t>
      </w:r>
    </w:p>
    <w:bookmarkEnd w:id="184"/>
    <w:bookmarkStart w:id="185" w:name="X109a132ed627dc5ec20fd799d03fb5bef504493"/>
    <w:p>
      <w:pPr>
        <w:pStyle w:val="Heading3"/>
      </w:pPr>
      <w:r>
        <w:t xml:space="preserve">Page 151 — The table of altered sacrifices; end of the introduction to Sūkta 5</w:t>
      </w:r>
    </w:p>
    <w:p>
      <w:pPr>
        <w:pStyle w:val="FirstParagraph"/>
      </w:pPr>
      <w:r>
        <w:rPr>
          <w:iCs/>
          <w:i/>
        </w:rPr>
        <w:t xml:space="preserve">(Page header:</w:t>
      </w:r>
      <w:r>
        <w:rPr>
          <w:iCs/>
          <w:i/>
        </w:rPr>
        <w:t xml:space="preserve"> </w:t>
      </w:r>
      <w:r>
        <w:rPr>
          <w:iCs/>
          <w:i/>
        </w:rPr>
        <w:t xml:space="preserve">“</w:t>
      </w:r>
      <w:r>
        <w:rPr>
          <w:iCs/>
          <w:i/>
        </w:rPr>
        <w:t xml:space="preserve">Aṣṭaka 1, Adhyāya 1, Varga 9 · Ṛgveda-saṃhitā.</w:t>
      </w:r>
      <w:r>
        <w:rPr>
          <w:iCs/>
          <w:i/>
        </w:rPr>
        <w:t xml:space="preserve">”</w:t>
      </w:r>
      <w:r>
        <w:rPr>
          <w:iCs/>
          <w:i/>
        </w:rPr>
        <w:t xml:space="preserve"> </w:t>
      </w:r>
      <w:r>
        <w:rPr>
          <w:iCs/>
          <w:i/>
        </w:rPr>
        <w:t xml:space="preserve">The table is printed with Kannada words and English column heads (the source’s own, with its misprint</w:t>
      </w:r>
      <w:r>
        <w:rPr>
          <w:iCs/>
          <w:i/>
        </w:rPr>
        <w:t xml:space="preserve"> </w:t>
      </w:r>
      <w:r>
        <w:rPr>
          <w:iCs/>
          <w:i/>
        </w:rPr>
        <w:t xml:space="preserve">“</w:t>
      </w:r>
      <w:r>
        <w:rPr>
          <w:iCs/>
          <w:i/>
        </w:rPr>
        <w:t xml:space="preserve">Secrifice</w:t>
      </w:r>
      <w:r>
        <w:rPr>
          <w:iCs/>
          <w:i/>
        </w:rPr>
        <w:t xml:space="preserve">”</w:t>
      </w:r>
      <w:r>
        <w:rPr>
          <w:iCs/>
          <w:i/>
        </w:rPr>
        <w:t xml:space="preserve">); the day-numbers are printed in Kannada digits and are given here in Arabic; each agrees with the name of the rite (dvādaśāha = 12, and so on).)</w:t>
      </w:r>
    </w:p>
    <w:p>
      <w:pPr>
        <w:pStyle w:val="BodyText"/>
      </w:pPr>
      <w:r>
        <w:rPr>
          <w:iCs/>
          <w:i/>
        </w:rPr>
        <w:t xml:space="preserve">(Continuing:</w:t>
      </w:r>
      <w:r>
        <w:rPr>
          <w:iCs/>
          <w:i/>
        </w:rPr>
        <w:t xml:space="preserve"> </w:t>
      </w:r>
      <w:r>
        <w:rPr>
          <w:iCs/>
          <w:i/>
        </w:rPr>
        <w:t xml:space="preserve">“</w:t>
      </w:r>
      <w:r>
        <w:rPr>
          <w:iCs/>
          <w:i/>
        </w:rPr>
        <w:t xml:space="preserve">Trikadruka</w:t>
      </w:r>
      <w:r>
        <w:rPr>
          <w:iCs/>
          <w:i/>
        </w:rPr>
        <w:t xml:space="preserve">”</w:t>
      </w:r>
      <w:r>
        <w:rPr>
          <w:iCs/>
          <w:i/>
        </w:rPr>
        <w:t xml:space="preserve"> </w:t>
      </w:r>
      <w:r>
        <w:rPr>
          <w:iCs/>
          <w:i/>
        </w:rPr>
        <w:t xml:space="preserve">means the first three days of the Abhiplava-ṣaḍaha mentioned earlier. For a sacrifice of sixteen days the Trikadruka and the Mahāvrata are added; for seventeen, the first five days of the Abhiplava-ṣaḍaha; for eighteen, all six. The same applies further 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Original sacrifice (as printed:</w:t>
            </w:r>
            <w:r>
              <w:t xml:space="preserve"> </w:t>
            </w:r>
            <w:r>
              <w:t xml:space="preserve">“</w:t>
            </w:r>
            <w:r>
              <w:t xml:space="preserve">Original Secrifice</w:t>
            </w:r>
            <w:r>
              <w:t xml:space="preserve">”</w:t>
            </w:r>
            <w:r>
              <w:t xml:space="preserve">) and the part added</w:t>
            </w:r>
          </w:p>
        </w:tc>
        <w:tc>
          <w:tcPr/>
          <w:p>
            <w:pPr>
              <w:pStyle w:val="Compact"/>
              <w:jc w:val="left"/>
            </w:pPr>
            <w:r>
              <w:t xml:space="preserve">Altered sacrifice (as printed:</w:t>
            </w:r>
            <w:r>
              <w:t xml:space="preserve"> </w:t>
            </w:r>
            <w:r>
              <w:t xml:space="preserve">“</w:t>
            </w:r>
            <w:r>
              <w:t xml:space="preserve">Altered Secrifice</w:t>
            </w:r>
            <w:r>
              <w:t xml:space="preserve">”</w:t>
            </w:r>
            <w:r>
              <w:t xml:space="preserve">) and number of days</w:t>
            </w:r>
          </w:p>
        </w:tc>
      </w:tr>
      <w:tr>
        <w:tc>
          <w:tcPr/>
          <w:p>
            <w:pPr>
              <w:pStyle w:val="Compact"/>
              <w:jc w:val="left"/>
            </w:pPr>
            <w:r>
              <w:t xml:space="preserve">Soma-sacrifice (soma-yāga)</w:t>
            </w:r>
          </w:p>
        </w:tc>
        <w:tc>
          <w:tcPr/>
          <w:p>
            <w:pPr>
              <w:pStyle w:val="Compact"/>
              <w:jc w:val="left"/>
            </w:pPr>
            <w:r>
              <w:rPr>
                <w:bCs/>
                <w:b/>
              </w:rPr>
              <w:t xml:space="preserve">dvādaśāha</w:t>
            </w:r>
            <w:r>
              <w:t xml:space="preserve"> </w:t>
            </w:r>
            <w:r>
              <w:t xml:space="preserve">(द्वादशाह,</w:t>
            </w:r>
            <w:r>
              <w:t xml:space="preserve"> </w:t>
            </w:r>
            <w:r>
              <w:rPr>
                <w:iCs/>
                <w:i/>
              </w:rPr>
              <w:t xml:space="preserve">dvādaśāha</w:t>
            </w:r>
            <w:r>
              <w:t xml:space="preserve">) — twelve-day Soma-sacrifice (12 days)</w:t>
            </w:r>
          </w:p>
        </w:tc>
      </w:tr>
      <w:tr>
        <w:tc>
          <w:tcPr/>
          <w:p>
            <w:pPr>
              <w:pStyle w:val="Compact"/>
              <w:jc w:val="left"/>
            </w:pPr>
            <w:r>
              <w:t xml:space="preserve">Soma-sacrifice + Mahāvrata</w:t>
            </w:r>
          </w:p>
        </w:tc>
        <w:tc>
          <w:tcPr/>
          <w:p>
            <w:pPr>
              <w:pStyle w:val="Compact"/>
              <w:jc w:val="left"/>
            </w:pPr>
            <w:r>
              <w:rPr>
                <w:bCs/>
                <w:b/>
              </w:rPr>
              <w:t xml:space="preserve">trayodaśāha</w:t>
            </w:r>
            <w:r>
              <w:t xml:space="preserve"> </w:t>
            </w:r>
            <w:r>
              <w:t xml:space="preserve">(त्रयोदशाह,</w:t>
            </w:r>
            <w:r>
              <w:t xml:space="preserve"> </w:t>
            </w:r>
            <w:r>
              <w:rPr>
                <w:iCs/>
                <w:i/>
              </w:rPr>
              <w:t xml:space="preserve">trayodaśāha</w:t>
            </w:r>
            <w:r>
              <w:t xml:space="preserve">) (13 days)</w:t>
            </w:r>
          </w:p>
        </w:tc>
      </w:tr>
      <w:tr>
        <w:tc>
          <w:tcPr/>
          <w:p>
            <w:pPr>
              <w:pStyle w:val="Compact"/>
              <w:jc w:val="left"/>
            </w:pPr>
            <w:r>
              <w:t xml:space="preserve">Soma-sacrifice + Go-āyuṣī</w:t>
            </w:r>
          </w:p>
        </w:tc>
        <w:tc>
          <w:tcPr/>
          <w:p>
            <w:pPr>
              <w:pStyle w:val="Compact"/>
              <w:jc w:val="left"/>
            </w:pPr>
            <w:r>
              <w:rPr>
                <w:bCs/>
                <w:b/>
              </w:rPr>
              <w:t xml:space="preserve">caturdaśāha</w:t>
            </w:r>
            <w:r>
              <w:t xml:space="preserve"> </w:t>
            </w:r>
            <w:r>
              <w:t xml:space="preserve">(चतुर्दशाह,</w:t>
            </w:r>
            <w:r>
              <w:t xml:space="preserve"> </w:t>
            </w:r>
            <w:r>
              <w:rPr>
                <w:iCs/>
                <w:i/>
              </w:rPr>
              <w:t xml:space="preserve">caturdaśāha</w:t>
            </w:r>
            <w:r>
              <w:t xml:space="preserve">) (14 days)</w:t>
            </w:r>
          </w:p>
        </w:tc>
      </w:tr>
      <w:tr>
        <w:tc>
          <w:tcPr/>
          <w:p>
            <w:pPr>
              <w:pStyle w:val="Compact"/>
              <w:jc w:val="left"/>
            </w:pPr>
            <w:r>
              <w:t xml:space="preserve">Soma-sacrifice + Trikadruka (the first three days of the Abhiplava-ṣaḍaha)</w:t>
            </w:r>
          </w:p>
        </w:tc>
        <w:tc>
          <w:tcPr/>
          <w:p>
            <w:pPr>
              <w:pStyle w:val="Compact"/>
              <w:jc w:val="left"/>
            </w:pPr>
            <w:r>
              <w:rPr>
                <w:bCs/>
                <w:b/>
              </w:rPr>
              <w:t xml:space="preserve">pañcadaśāha</w:t>
            </w:r>
            <w:r>
              <w:t xml:space="preserve"> </w:t>
            </w:r>
            <w:r>
              <w:t xml:space="preserve">(पञ्चदशाह,</w:t>
            </w:r>
            <w:r>
              <w:t xml:space="preserve"> </w:t>
            </w:r>
            <w:r>
              <w:rPr>
                <w:iCs/>
                <w:i/>
              </w:rPr>
              <w:t xml:space="preserve">pañcadaśāha</w:t>
            </w:r>
            <w:r>
              <w:t xml:space="preserve">) (15 days)</w:t>
            </w:r>
          </w:p>
        </w:tc>
      </w:tr>
      <w:tr>
        <w:tc>
          <w:tcPr/>
          <w:p>
            <w:pPr>
              <w:pStyle w:val="Compact"/>
              <w:jc w:val="left"/>
            </w:pPr>
            <w:r>
              <w:t xml:space="preserve">Soma-sacrifice + Trikadruka + Mahāvrata</w:t>
            </w:r>
          </w:p>
        </w:tc>
        <w:tc>
          <w:tcPr/>
          <w:p>
            <w:pPr>
              <w:pStyle w:val="Compact"/>
              <w:jc w:val="left"/>
            </w:pPr>
            <w:r>
              <w:rPr>
                <w:bCs/>
                <w:b/>
              </w:rPr>
              <w:t xml:space="preserve">ṣoḍaśāha</w:t>
            </w:r>
            <w:r>
              <w:t xml:space="preserve">, or</w:t>
            </w:r>
            <w:r>
              <w:t xml:space="preserve"> </w:t>
            </w:r>
            <w:r>
              <w:rPr>
                <w:bCs/>
                <w:b/>
              </w:rPr>
              <w:t xml:space="preserve">ṣoḍaśī</w:t>
            </w:r>
            <w:r>
              <w:t xml:space="preserve"> </w:t>
            </w:r>
            <w:r>
              <w:t xml:space="preserve">(षोडशाह,</w:t>
            </w:r>
            <w:r>
              <w:t xml:space="preserve"> </w:t>
            </w:r>
            <w:r>
              <w:rPr>
                <w:iCs/>
                <w:i/>
              </w:rPr>
              <w:t xml:space="preserve">ṣoḍaśāha</w:t>
            </w:r>
            <w:r>
              <w:t xml:space="preserve">; षोडशी,</w:t>
            </w:r>
            <w:r>
              <w:t xml:space="preserve"> </w:t>
            </w:r>
            <w:r>
              <w:rPr>
                <w:iCs/>
                <w:i/>
              </w:rPr>
              <w:t xml:space="preserve">ṣoḍaśī</w:t>
            </w:r>
            <w:r>
              <w:t xml:space="preserve">) (16 days)</w:t>
            </w:r>
          </w:p>
        </w:tc>
      </w:tr>
      <w:tr>
        <w:tc>
          <w:tcPr/>
          <w:p>
            <w:pPr>
              <w:pStyle w:val="Compact"/>
              <w:jc w:val="left"/>
            </w:pPr>
            <w:r>
              <w:t xml:space="preserve">Soma-sacrifice + the first five days of the Abhiplava-ṣaḍaha</w:t>
            </w:r>
          </w:p>
        </w:tc>
        <w:tc>
          <w:tcPr/>
          <w:p>
            <w:pPr>
              <w:pStyle w:val="Compact"/>
              <w:jc w:val="left"/>
            </w:pPr>
            <w:r>
              <w:rPr>
                <w:bCs/>
                <w:b/>
              </w:rPr>
              <w:t xml:space="preserve">saptadaśāha</w:t>
            </w:r>
            <w:r>
              <w:t xml:space="preserve"> </w:t>
            </w:r>
            <w:r>
              <w:t xml:space="preserve">(सप्तदशाह,</w:t>
            </w:r>
            <w:r>
              <w:t xml:space="preserve"> </w:t>
            </w:r>
            <w:r>
              <w:rPr>
                <w:iCs/>
                <w:i/>
              </w:rPr>
              <w:t xml:space="preserve">saptadaśāha</w:t>
            </w:r>
            <w:r>
              <w:t xml:space="preserve">) (17 days)</w:t>
            </w:r>
          </w:p>
        </w:tc>
      </w:tr>
      <w:tr>
        <w:tc>
          <w:tcPr/>
          <w:p>
            <w:pPr>
              <w:pStyle w:val="Compact"/>
              <w:jc w:val="left"/>
            </w:pPr>
            <w:r>
              <w:t xml:space="preserve">Soma-sacrifice + the Abhiplava-ṣaḍaha complete, that is, six days</w:t>
            </w:r>
          </w:p>
        </w:tc>
        <w:tc>
          <w:tcPr/>
          <w:p>
            <w:pPr>
              <w:pStyle w:val="Compact"/>
              <w:jc w:val="left"/>
            </w:pPr>
            <w:r>
              <w:rPr>
                <w:bCs/>
                <w:b/>
              </w:rPr>
              <w:t xml:space="preserve">aṣṭādaśāha</w:t>
            </w:r>
            <w:r>
              <w:t xml:space="preserve"> </w:t>
            </w:r>
            <w:r>
              <w:t xml:space="preserve">(अष्टादशाह,</w:t>
            </w:r>
            <w:r>
              <w:t xml:space="preserve"> </w:t>
            </w:r>
            <w:r>
              <w:rPr>
                <w:iCs/>
                <w:i/>
              </w:rPr>
              <w:t xml:space="preserve">aṣṭādaśāha</w:t>
            </w:r>
            <w:r>
              <w:t xml:space="preserve">) (18 days)</w:t>
            </w:r>
          </w:p>
        </w:tc>
      </w:tr>
    </w:tbl>
    <w:p>
      <w:pPr>
        <w:pStyle w:val="BodyText"/>
      </w:pPr>
      <w:r>
        <w:t xml:space="preserve">And so on. Here, in place of</w:t>
      </w:r>
      <w:r>
        <w:t xml:space="preserve"> </w:t>
      </w:r>
      <w:r>
        <w:t xml:space="preserve">“</w:t>
      </w:r>
      <w:r>
        <w:t xml:space="preserve">dvādaśāha,</w:t>
      </w:r>
      <w:r>
        <w:t xml:space="preserve">”</w:t>
      </w:r>
      <w:r>
        <w:t xml:space="preserve"> </w:t>
      </w:r>
      <w:r>
        <w:t xml:space="preserve">“</w:t>
      </w:r>
      <w:r>
        <w:t xml:space="preserve">trayodaśāha</w:t>
      </w:r>
      <w:r>
        <w:t xml:space="preserve">”</w:t>
      </w:r>
      <w:r>
        <w:t xml:space="preserve"> </w:t>
      </w:r>
      <w:r>
        <w:t xml:space="preserve">and the like, it is the custom to say</w:t>
      </w:r>
      <w:r>
        <w:t xml:space="preserve"> </w:t>
      </w:r>
      <w:r>
        <w:t xml:space="preserve">“</w:t>
      </w:r>
      <w:r>
        <w:t xml:space="preserve">dvādaśarātri,</w:t>
      </w:r>
      <w:r>
        <w:t xml:space="preserve">”</w:t>
      </w:r>
      <w:r>
        <w:t xml:space="preserve"> </w:t>
      </w:r>
      <w:r>
        <w:t xml:space="preserve">“</w:t>
      </w:r>
      <w:r>
        <w:t xml:space="preserve">trayodaśarātri.</w:t>
      </w:r>
      <w:r>
        <w:t xml:space="preserve">”</w:t>
      </w:r>
      <w:r>
        <w:t xml:space="preserve"> </w:t>
      </w:r>
      <w:r>
        <w:t xml:space="preserve">In stating the application of a sūkta or mantra, the Bhāṣyakāra names the special sacrifices such as the Abhiplava-ṣaḍaha, Pṛṣṭhya-ṣaḍaha, Atirātra and Mahāvrata, and uses technical terms such as stoma, viṣṭuti and paryāya; for the reader’s orientation these have been explained, up to here, briefly. Because of the fear of too great length it is not possible to explain them at greater length here. All the matters concerned with sacrifices and the like will be described at length in the Yajurveda-anuvāda, where they can be looked up. Now we begin the</w:t>
      </w:r>
      <w:r>
        <w:t xml:space="preserve"> </w:t>
      </w:r>
      <w:r>
        <w:rPr>
          <w:bCs/>
          <w:b/>
        </w:rPr>
        <w:t xml:space="preserve">word-by-word Anuvāda of the fifth sūkta</w:t>
      </w:r>
      <w:r>
        <w:t xml:space="preserve">.</w:t>
      </w:r>
    </w:p>
    <w:bookmarkEnd w:id="185"/>
    <w:bookmarkStart w:id="186" w:name="Xeb1cf208c2c6f52fbbba1f04a2500a743cd327b"/>
    <w:p>
      <w:pPr>
        <w:pStyle w:val="Heading3"/>
      </w:pPr>
      <w:r>
        <w:t xml:space="preserve">Page 152 — Sūkta 5: heading; Rik 5.1: Saṃhitā, Pada, Sāyaṇa-bhāṣya (opening)</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5.</w:t>
      </w:r>
      <w:r>
        <w:rPr>
          <w:iCs/>
          <w:i/>
        </w:rPr>
        <w:t xml:space="preserve">”</w:t>
      </w:r>
      <w:r>
        <w:rPr>
          <w:iCs/>
          <w:i/>
        </w:rPr>
        <w:t xml:space="preserve"> </w:t>
      </w:r>
      <w:r>
        <w:rPr>
          <w:iCs/>
          <w:i/>
        </w:rPr>
        <w:t xml:space="preserve">Saṃhitā accents as printed; Pada unaccented. Sanskrit printed in Kannada script; [?] where unclear.)</w:t>
      </w:r>
    </w:p>
    <w:p>
      <w:pPr>
        <w:pStyle w:val="BodyText"/>
      </w:pPr>
      <w:r>
        <w:rPr>
          <w:bCs/>
          <w:b/>
        </w:rPr>
        <w:t xml:space="preserve">॥ ओम् ॥</w:t>
      </w:r>
    </w:p>
    <w:p>
      <w:pPr>
        <w:pStyle w:val="BodyText"/>
      </w:pPr>
      <w:r>
        <w:rPr>
          <w:bCs/>
          <w:b/>
        </w:rPr>
        <w:t xml:space="preserve">सूक्त—५</w:t>
      </w:r>
      <w:r>
        <w:t xml:space="preserve"> </w:t>
      </w:r>
      <w:r>
        <w:rPr>
          <w:iCs/>
          <w:i/>
        </w:rPr>
        <w:t xml:space="preserve">(Sūkta 5)</w:t>
      </w:r>
      <w:r>
        <w:t xml:space="preserve"> </w:t>
      </w:r>
      <w:r>
        <w:t xml:space="preserve">॥ मण्डल—१ ॥ अनुवाक—२ ॥ सूक्त—५ ॥</w:t>
      </w:r>
      <w:r>
        <w:t xml:space="preserve"> </w:t>
      </w:r>
      <w:r>
        <w:t xml:space="preserve">॥ अष्टक—१ ॥ अध्याय—१ ॥ वर्ग—९, १० ॥</w:t>
      </w:r>
      <w:r>
        <w:t xml:space="preserve"> </w:t>
      </w:r>
      <w:r>
        <w:t xml:space="preserve">॥ सूक्तदल्लिरुव ऋक्संख्ये १०॥</w:t>
      </w:r>
      <w:r>
        <w:t xml:space="preserve"> </w:t>
      </w:r>
      <w:r>
        <w:rPr>
          <w:iCs/>
          <w:i/>
        </w:rPr>
        <w:t xml:space="preserve">(number of Ṛks in the sūkta: 10)</w:t>
      </w:r>
      <w:r>
        <w:t xml:space="preserve"> </w:t>
      </w:r>
      <w:r>
        <w:rPr>
          <w:bCs/>
          <w:b/>
        </w:rPr>
        <w:t xml:space="preserve">ऋषिः</w:t>
      </w:r>
      <w:r>
        <w:t xml:space="preserve"> </w:t>
      </w:r>
      <w:r>
        <w:t xml:space="preserve">— मधुच्छन्दा वैश्वामित्रः (</w:t>
      </w:r>
      <w:r>
        <w:rPr>
          <w:iCs/>
          <w:i/>
        </w:rPr>
        <w:t xml:space="preserve">ṛṣiḥ — madhucchandā vaiśvāmitraḥ</w:t>
      </w:r>
      <w:r>
        <w:t xml:space="preserve">)</w:t>
      </w:r>
      <w:r>
        <w:t xml:space="preserve"> </w:t>
      </w:r>
      <w:r>
        <w:rPr>
          <w:bCs/>
          <w:b/>
        </w:rPr>
        <w:t xml:space="preserve">देवता</w:t>
      </w:r>
      <w:r>
        <w:t xml:space="preserve"> </w:t>
      </w:r>
      <w:r>
        <w:t xml:space="preserve">— इन्द्रः (</w:t>
      </w:r>
      <w:r>
        <w:rPr>
          <w:iCs/>
          <w:i/>
        </w:rPr>
        <w:t xml:space="preserve">devatā — indraḥ</w:t>
      </w:r>
      <w:r>
        <w:t xml:space="preserve">)</w:t>
      </w:r>
      <w:r>
        <w:t xml:space="preserve"> </w:t>
      </w:r>
      <w:r>
        <w:rPr>
          <w:bCs/>
          <w:b/>
        </w:rPr>
        <w:t xml:space="preserve">छन्दः</w:t>
      </w:r>
      <w:r>
        <w:t xml:space="preserve"> </w:t>
      </w:r>
      <w:r>
        <w:t xml:space="preserve">— गायत्री (</w:t>
      </w:r>
      <w:r>
        <w:rPr>
          <w:iCs/>
          <w:i/>
        </w:rPr>
        <w:t xml:space="preserve">chandaḥ — gāyatrī</w:t>
      </w:r>
      <w:r>
        <w:t xml:space="preserve">)</w:t>
      </w:r>
    </w:p>
    <w:p>
      <w:pPr>
        <w:pStyle w:val="BodyText"/>
      </w:pPr>
      <w:r>
        <w:rPr>
          <w:bCs/>
          <w:b/>
        </w:rPr>
        <w:t xml:space="preserve">॥ Saṃhitā-pāṭhaḥ ॥</w:t>
      </w:r>
    </w:p>
    <w:p>
      <w:pPr>
        <w:pStyle w:val="BlockText"/>
      </w:pPr>
      <w:r>
        <w:t xml:space="preserve">आ त्वेता॒ नि षी॑द॒तेंद्र॑म॒भि प्र गा॑यत ।</w:t>
      </w:r>
      <w:r>
        <w:t xml:space="preserve"> </w:t>
      </w:r>
      <w:r>
        <w:t xml:space="preserve">सखा॑यः॒ स्तोम॑वाहसः ॥१॥</w:t>
      </w:r>
    </w:p>
    <w:p>
      <w:pPr>
        <w:pStyle w:val="BlockText"/>
      </w:pPr>
      <w:r>
        <w:rPr>
          <w:iCs/>
          <w:i/>
        </w:rPr>
        <w:t xml:space="preserve">ā tvetā ní ṣīdatéṃdramabhí prá gāyata |</w:t>
      </w:r>
      <w:r>
        <w:t xml:space="preserve"> </w:t>
      </w:r>
      <w:r>
        <w:rPr>
          <w:iCs/>
          <w:i/>
        </w:rPr>
        <w:t xml:space="preserve">sákhāyaḥ stómavāhasaḥ ||1||</w:t>
      </w:r>
    </w:p>
    <w:p>
      <w:pPr>
        <w:pStyle w:val="FirstParagraph"/>
      </w:pPr>
      <w:r>
        <w:rPr>
          <w:bCs/>
          <w:b/>
        </w:rPr>
        <w:t xml:space="preserve">॥ Pada-pāṭhaḥ ॥</w:t>
      </w:r>
    </w:p>
    <w:p>
      <w:pPr>
        <w:pStyle w:val="BlockText"/>
      </w:pPr>
      <w:r>
        <w:t xml:space="preserve">आ । तु । आ । इत । नि । सीदत । इन्द्रम् । अभि । प्र । गायत ।</w:t>
      </w:r>
      <w:r>
        <w:t xml:space="preserve"> </w:t>
      </w:r>
      <w:r>
        <w:t xml:space="preserve">सखायः । स्तोमऽवाहसः ॥१॥</w:t>
      </w:r>
    </w:p>
    <w:p>
      <w:pPr>
        <w:pStyle w:val="FirstParagraph"/>
      </w:pPr>
      <w:r>
        <w:rPr>
          <w:bCs/>
          <w:b/>
        </w:rPr>
        <w:t xml:space="preserve">॥ Sāyaṇa-bhāṣyam ॥</w:t>
      </w:r>
    </w:p>
    <w:p>
      <w:pPr>
        <w:pStyle w:val="BlockText"/>
      </w:pPr>
      <w:r>
        <w:t xml:space="preserve">तुशब्दः क्षिप्रार्थो निपातः । द्वाभ्यामाङ्भ्यामन्वेतुमितशब्दोऽभ्यसनीयः । हे सखायः ऋत्विजः क्षिप्रमस्मिन्कर्मण्यागच्छतागच्छत । आदरार्थोऽभ्यासः । आगत्य च निषीदत । उपविशत । उपविश्य चेन्द्रमभि प्र गायत । सर्वतः प्रकर्षेण स्तुत । कीदृशाः सखायः । स्तोमवाहसः । त्रिवृत्पञ्चदशादिस्तोमानस्मिन्कर्मणि वहन्ति प्रापयन्तीति ।</w:t>
      </w:r>
      <w:r>
        <w:t xml:space="preserve"> </w:t>
      </w:r>
      <w:r>
        <w:rPr>
          <w:iCs/>
          <w:i/>
        </w:rPr>
        <w:t xml:space="preserve">tu-śabdaḥ kṣiprārtho nipātaḥ | dvābhyām āṅbhyām anv etum itaśabdo ’bhyasanīyaḥ | he sakhāyaḥ ṛtvijaḥ kṣipram asmin karmaṇy āgacchatāgacchata | ādarārtho ’bhyāsaḥ | āgatya ca niṣīdata | upaviśata | upaviśya cendram abhi pra gāyata | sarvataḥ prakarṣeṇa stuta | kīdṛśāḥ sakhāyaḥ | stomavāhasaḥ | trivṛt-pañcadaśādi-stomān asmin karmaṇi vahanti prāpayantīti |</w:t>
      </w:r>
    </w:p>
    <w:p>
      <w:pPr>
        <w:pStyle w:val="FirstParagraph"/>
      </w:pPr>
      <w:r>
        <w:rPr>
          <w:bCs/>
          <w:b/>
        </w:rPr>
        <w:t xml:space="preserve">Translation:</w:t>
      </w:r>
      <w:r>
        <w:t xml:space="preserve"> </w:t>
      </w:r>
      <w:r>
        <w:t xml:space="preserve">“</w:t>
      </w:r>
      <w:r>
        <w:t xml:space="preserve">The word</w:t>
      </w:r>
      <w:r>
        <w:t xml:space="preserve"> </w:t>
      </w:r>
      <w:r>
        <w:t xml:space="preserve">‘</w:t>
      </w:r>
      <w:r>
        <w:t xml:space="preserve">tu</w:t>
      </w:r>
      <w:r>
        <w:t xml:space="preserve">’</w:t>
      </w:r>
      <w:r>
        <w:t xml:space="preserve"> </w:t>
      </w:r>
      <w:r>
        <w:t xml:space="preserve">is a particle in the sense of</w:t>
      </w:r>
      <w:r>
        <w:t xml:space="preserve"> </w:t>
      </w:r>
      <w:r>
        <w:t xml:space="preserve">‘</w:t>
      </w:r>
      <w:r>
        <w:t xml:space="preserve">quickly.</w:t>
      </w:r>
      <w:r>
        <w:t xml:space="preserve">’</w:t>
      </w:r>
      <w:r>
        <w:t xml:space="preserve"> </w:t>
      </w:r>
      <w:r>
        <w:t xml:space="preserve">The word</w:t>
      </w:r>
      <w:r>
        <w:t xml:space="preserve"> </w:t>
      </w:r>
      <w:r>
        <w:t xml:space="preserve">‘</w:t>
      </w:r>
      <w:r>
        <w:t xml:space="preserve">ita</w:t>
      </w:r>
      <w:r>
        <w:t xml:space="preserve">’</w:t>
      </w:r>
      <w:r>
        <w:t xml:space="preserve"> </w:t>
      </w:r>
      <w:r>
        <w:t xml:space="preserve">is to be doubled so as to be construed with the two</w:t>
      </w:r>
      <w:r>
        <w:t xml:space="preserve"> </w:t>
      </w:r>
      <w:r>
        <w:t xml:space="preserve">‘</w:t>
      </w:r>
      <w:r>
        <w:t xml:space="preserve">ā’s. O friends, O priests! Come quickly to this rite — ’āgacchatāgacchata</w:t>
      </w:r>
      <w:r>
        <w:t xml:space="preserve">’</w:t>
      </w:r>
      <w:r>
        <w:t xml:space="preserve">: the doubling is for respect. And having come, sit down (</w:t>
      </w:r>
      <w:r>
        <w:t xml:space="preserve">‘</w:t>
      </w:r>
      <w:r>
        <w:t xml:space="preserve">niṣīdata</w:t>
      </w:r>
      <w:r>
        <w:t xml:space="preserve">’</w:t>
      </w:r>
      <w:r>
        <w:t xml:space="preserve"> </w:t>
      </w:r>
      <w:r>
        <w:t xml:space="preserve">=</w:t>
      </w:r>
      <w:r>
        <w:t xml:space="preserve"> </w:t>
      </w:r>
      <w:r>
        <w:t xml:space="preserve">‘</w:t>
      </w:r>
      <w:r>
        <w:t xml:space="preserve">upaviśata</w:t>
      </w:r>
      <w:r>
        <w:t xml:space="preserve">’</w:t>
      </w:r>
      <w:r>
        <w:t xml:space="preserve">); and having sat,</w:t>
      </w:r>
      <w:r>
        <w:t xml:space="preserve"> </w:t>
      </w:r>
      <w:r>
        <w:t xml:space="preserve">‘</w:t>
      </w:r>
      <w:r>
        <w:t xml:space="preserve">abhi pra gāyata</w:t>
      </w:r>
      <w:r>
        <w:t xml:space="preserve">’</w:t>
      </w:r>
      <w:r>
        <w:t xml:space="preserve"> </w:t>
      </w:r>
      <w:r>
        <w:t xml:space="preserve">— sing the praises of Indra, on every side, in an eminent manner. What kind of friends?</w:t>
      </w:r>
      <w:r>
        <w:t xml:space="preserve"> </w:t>
      </w:r>
      <w:r>
        <w:t xml:space="preserve">‘</w:t>
      </w:r>
      <w:r>
        <w:t xml:space="preserve">Stomavāhasaḥ</w:t>
      </w:r>
      <w:r>
        <w:t xml:space="preserve">’</w:t>
      </w:r>
      <w:r>
        <w:t xml:space="preserve"> </w:t>
      </w:r>
      <w:r>
        <w:t xml:space="preserve">— those who carry, who bring about, in this rite the stomas — the trivṛt, the pañcadaśa and the rest.</w:t>
      </w:r>
      <w:r>
        <w:t xml:space="preserve">”</w:t>
      </w:r>
    </w:p>
    <w:p>
      <w:pPr>
        <w:pStyle w:val="BodyText"/>
      </w:pPr>
      <w:r>
        <w:rPr>
          <w:bCs/>
          <w:b/>
        </w:rPr>
        <w:t xml:space="preserve">Grammar within the Bhāṣya (characterized, sūtras kept):</w:t>
      </w:r>
      <w:r>
        <w:t xml:space="preserve"> </w:t>
      </w:r>
      <w:r>
        <w:t xml:space="preserve">“</w:t>
      </w:r>
      <w:r>
        <w:t xml:space="preserve">Ā,</w:t>
      </w:r>
      <w:r>
        <w:t xml:space="preserve">”</w:t>
      </w:r>
      <w:r>
        <w:t xml:space="preserve"> </w:t>
      </w:r>
      <w:r>
        <w:t xml:space="preserve">“</w:t>
      </w:r>
      <w:r>
        <w:t xml:space="preserve">tu,</w:t>
      </w:r>
      <w:r>
        <w:t xml:space="preserve">”</w:t>
      </w:r>
      <w:r>
        <w:t xml:space="preserve"> </w:t>
      </w:r>
      <w:r>
        <w:t xml:space="preserve">“</w:t>
      </w:r>
      <w:r>
        <w:t xml:space="preserve">ā</w:t>
      </w:r>
      <w:r>
        <w:t xml:space="preserve">”</w:t>
      </w:r>
      <w:r>
        <w:t xml:space="preserve"> </w:t>
      </w:r>
      <w:r>
        <w:t xml:space="preserve">are particles (nipāta), so first-syllable acute;</w:t>
      </w:r>
      <w:r>
        <w:t xml:space="preserve"> </w:t>
      </w:r>
      <w:r>
        <w:t xml:space="preserve">“</w:t>
      </w:r>
      <w:r>
        <w:t xml:space="preserve">ita</w:t>
      </w:r>
      <w:r>
        <w:t xml:space="preserve">”</w:t>
      </w:r>
      <w:r>
        <w:t xml:space="preserve"> </w:t>
      </w:r>
      <w:r>
        <w:t xml:space="preserve">— from</w:t>
      </w:r>
      <w:r>
        <w:t xml:space="preserve"> </w:t>
      </w:r>
      <w:r>
        <w:t xml:space="preserve">“</w:t>
      </w:r>
      <w:r>
        <w:t xml:space="preserve">iṇ gatau</w:t>
      </w:r>
      <w:r>
        <w:t xml:space="preserve">”</w:t>
      </w:r>
      <w:r>
        <w:t xml:space="preserve"> </w:t>
      </w:r>
      <w:r>
        <w:t xml:space="preserve">(to go): the imperative second-person plural</w:t>
      </w:r>
      <w:r>
        <w:t xml:space="preserve"> </w:t>
      </w:r>
      <w:r>
        <w:t xml:space="preserve">“</w:t>
      </w:r>
      <w:r>
        <w:t xml:space="preserve">ta</w:t>
      </w:r>
      <w:r>
        <w:t xml:space="preserve">”</w:t>
      </w:r>
      <w:r>
        <w:t xml:space="preserve"> </w:t>
      </w:r>
      <w:r>
        <w:t xml:space="preserve">with the</w:t>
      </w:r>
      <w:r>
        <w:t xml:space="preserve"> </w:t>
      </w:r>
      <w:r>
        <w:t xml:space="preserve">“</w:t>
      </w:r>
      <w:r>
        <w:t xml:space="preserve">tas/thas/…</w:t>
      </w:r>
      <w:r>
        <w:t xml:space="preserve">”</w:t>
      </w:r>
      <w:r>
        <w:t xml:space="preserve"> </w:t>
      </w:r>
      <w:r>
        <w:t xml:space="preserve">substitution;</w:t>
      </w:r>
      <w:r>
        <w:t xml:space="preserve"> </w:t>
      </w:r>
      <w:r>
        <w:rPr>
          <w:bCs/>
          <w:b/>
        </w:rPr>
        <w:t xml:space="preserve">द्व्यचोऽतस्तिङः</w:t>
      </w:r>
      <w:r>
        <w:t xml:space="preserve"> </w:t>
      </w:r>
      <w:r>
        <w:t xml:space="preserve">(</w:t>
      </w:r>
      <w:r>
        <w:rPr>
          <w:iCs/>
          <w:i/>
        </w:rPr>
        <w:t xml:space="preserve">dvyaco ’tastiṅaḥ</w:t>
      </w:r>
      <w:r>
        <w:t xml:space="preserve">, पा. ६-३-१३५) lengthens the vowel in the saṃhitā (</w:t>
      </w:r>
      <w:r>
        <w:t xml:space="preserve">“</w:t>
      </w:r>
      <w:r>
        <w:t xml:space="preserve">itā</w:t>
      </w:r>
      <w:r>
        <w:t xml:space="preserve">”</w:t>
      </w:r>
      <w:r>
        <w:t xml:space="preserve">).</w:t>
      </w:r>
      <w:r>
        <w:t xml:space="preserve"> </w:t>
      </w:r>
      <w:r>
        <w:t xml:space="preserve">“</w:t>
      </w:r>
      <w:r>
        <w:t xml:space="preserve">Ni</w:t>
      </w:r>
      <w:r>
        <w:t xml:space="preserve">”</w:t>
      </w:r>
      <w:r>
        <w:t xml:space="preserve"> </w:t>
      </w:r>
      <w:r>
        <w:t xml:space="preserve">— a particle, first-syllable acute.</w:t>
      </w:r>
      <w:r>
        <w:t xml:space="preserve"> </w:t>
      </w:r>
      <w:r>
        <w:t xml:space="preserve">“</w:t>
      </w:r>
      <w:r>
        <w:t xml:space="preserve">Sīdata</w:t>
      </w:r>
      <w:r>
        <w:t xml:space="preserve">”</w:t>
      </w:r>
      <w:r>
        <w:t xml:space="preserve"> </w:t>
      </w:r>
      <w:r>
        <w:t xml:space="preserve">—</w:t>
      </w:r>
      <w:r>
        <w:t xml:space="preserve"> </w:t>
      </w:r>
      <w:r>
        <w:rPr>
          <w:bCs/>
          <w:b/>
        </w:rPr>
        <w:t xml:space="preserve">पाघ्राध्मास्थाम्नादाण्दृश्यर्तिसर्तिशदसदां पिबजिघ्रधमतिष्ठमनयच्छपश्यर्च्छधौशीयसीदाः</w:t>
      </w:r>
      <w:r>
        <w:t xml:space="preserve"> </w:t>
      </w:r>
      <w:r>
        <w:t xml:space="preserve">(</w:t>
      </w:r>
      <w:r>
        <w:rPr>
          <w:iCs/>
          <w:i/>
        </w:rPr>
        <w:t xml:space="preserve">pā-ghrā-dhmā-sthā-mnā-dāṇ-dṛśy-arti-sarti-śada-sadāṃ piba-jighra-dhama-tiṣṭha-mana-yaccha-paśyarccha-dhauśīya-sīdāḥ</w:t>
      </w:r>
      <w:r>
        <w:t xml:space="preserve">, पा. ७-३-७८ — as I read the print, which gives the sūtra in an abbreviated form) —</w:t>
      </w:r>
      <w:r>
        <w:t xml:space="preserve"> </w:t>
      </w:r>
      <w:r>
        <w:t xml:space="preserve">“</w:t>
      </w:r>
      <w:r>
        <w:t xml:space="preserve">sīda</w:t>
      </w:r>
      <w:r>
        <w:t xml:space="preserve">”</w:t>
      </w:r>
      <w:r>
        <w:t xml:space="preserve"> </w:t>
      </w:r>
      <w:r>
        <w:t xml:space="preserve">is substituted for</w:t>
      </w:r>
      <w:r>
        <w:t xml:space="preserve"> </w:t>
      </w:r>
      <w:r>
        <w:t xml:space="preserve">“</w:t>
      </w:r>
      <w:r>
        <w:t xml:space="preserve">sad</w:t>
      </w:r>
      <w:r>
        <w:t xml:space="preserve">”</w:t>
      </w:r>
      <w:r>
        <w:t xml:space="preserve">;</w:t>
      </w:r>
      <w:r>
        <w:t xml:space="preserve"> </w:t>
      </w:r>
      <w:r>
        <w:rPr>
          <w:bCs/>
          <w:b/>
        </w:rPr>
        <w:t xml:space="preserve">सदेरप्रतेः</w:t>
      </w:r>
      <w:r>
        <w:t xml:space="preserve"> </w:t>
      </w:r>
      <w:r>
        <w:t xml:space="preserve">(पा. ८-३-६६) —</w:t>
      </w:r>
      <w:r>
        <w:t xml:space="preserve"> </w:t>
      </w:r>
      <w:r>
        <w:t xml:space="preserve">“</w:t>
      </w:r>
      <w:r>
        <w:t xml:space="preserve">ṣ</w:t>
      </w:r>
      <w:r>
        <w:t xml:space="preserve">”</w:t>
      </w:r>
      <w:r>
        <w:t xml:space="preserve"> </w:t>
      </w:r>
      <w:r>
        <w:t xml:space="preserve">in the saṃhitā, except after</w:t>
      </w:r>
      <w:r>
        <w:t xml:space="preserve"> </w:t>
      </w:r>
      <w:r>
        <w:t xml:space="preserve">“</w:t>
      </w:r>
      <w:r>
        <w:t xml:space="preserve">prati</w:t>
      </w:r>
      <w:r>
        <w:t xml:space="preserve">”</w:t>
      </w:r>
      <w:r>
        <w:t xml:space="preserve"> </w:t>
      </w:r>
      <w:r>
        <w:t xml:space="preserve">(</w:t>
      </w:r>
      <w:r>
        <w:t xml:space="preserve">“</w:t>
      </w:r>
      <w:r>
        <w:t xml:space="preserve">ni ṣīdata</w:t>
      </w:r>
      <w:r>
        <w:t xml:space="preserve">”</w:t>
      </w:r>
      <w:r>
        <w:t xml:space="preserve">).</w:t>
      </w:r>
      <w:r>
        <w:t xml:space="preserve"> </w:t>
      </w:r>
      <w:r>
        <w:t xml:space="preserve">“</w:t>
      </w:r>
      <w:r>
        <w:t xml:space="preserve">Abhi</w:t>
      </w:r>
      <w:r>
        <w:t xml:space="preserve">”</w:t>
      </w:r>
      <w:r>
        <w:t xml:space="preserve"> </w:t>
      </w:r>
      <w:r>
        <w:t xml:space="preserve">—</w:t>
      </w:r>
      <w:r>
        <w:t xml:space="preserve"> </w:t>
      </w:r>
      <w:r>
        <w:rPr>
          <w:bCs/>
          <w:b/>
        </w:rPr>
        <w:t xml:space="preserve">उपसर्गाश्चाभिवर्जम्</w:t>
      </w:r>
      <w:r>
        <w:t xml:space="preserve"> </w:t>
      </w:r>
      <w:r>
        <w:t xml:space="preserve">[as a statement:</w:t>
      </w:r>
      <w:r>
        <w:t xml:space="preserve"> </w:t>
      </w:r>
      <w:r>
        <w:t xml:space="preserve">“</w:t>
      </w:r>
      <w:r>
        <w:t xml:space="preserve">the prefixes are acute on the first syllable, except</w:t>
      </w:r>
      <w:r>
        <w:t xml:space="preserve"> </w:t>
      </w:r>
      <w:r>
        <w:t xml:space="preserve">‘</w:t>
      </w:r>
      <w:r>
        <w:t xml:space="preserve">abhi</w:t>
      </w:r>
      <w:r>
        <w:t xml:space="preserve">’</w:t>
      </w:r>
      <w:r>
        <w:t xml:space="preserve">”</w:t>
      </w:r>
      <w:r>
        <w:t xml:space="preserve">], so</w:t>
      </w:r>
      <w:r>
        <w:t xml:space="preserve"> </w:t>
      </w:r>
      <w:r>
        <w:t xml:space="preserve">“</w:t>
      </w:r>
      <w:r>
        <w:t xml:space="preserve">abhi</w:t>
      </w:r>
      <w:r>
        <w:t xml:space="preserve">”</w:t>
      </w:r>
      <w:r>
        <w:t xml:space="preserve"> </w:t>
      </w:r>
      <w:r>
        <w:t xml:space="preserve">has the bare-stem accent.</w:t>
      </w:r>
      <w:r>
        <w:t xml:space="preserve"> </w:t>
      </w:r>
      <w:r>
        <w:t xml:space="preserve">“</w:t>
      </w:r>
      <w:r>
        <w:t xml:space="preserve">Stomavāhasaḥ</w:t>
      </w:r>
      <w:r>
        <w:t xml:space="preserve">”</w:t>
      </w:r>
      <w:r>
        <w:t xml:space="preserve"> </w:t>
      </w:r>
      <w:r>
        <w:t xml:space="preserve">—</w:t>
      </w:r>
      <w:r>
        <w:t xml:space="preserve"> </w:t>
      </w:r>
      <w:r>
        <w:t xml:space="preserve">“</w:t>
      </w:r>
      <w:r>
        <w:t xml:space="preserve">stu</w:t>
      </w:r>
      <w:r>
        <w:t xml:space="preserve">”</w:t>
      </w:r>
      <w:r>
        <w:t xml:space="preserve"> </w:t>
      </w:r>
      <w:r>
        <w:t xml:space="preserve">(to praise) with the Uṇādi affix</w:t>
      </w:r>
      <w:r>
        <w:t xml:space="preserve"> </w:t>
      </w:r>
      <w:r>
        <w:t xml:space="preserve">“</w:t>
      </w:r>
      <w:r>
        <w:t xml:space="preserve">man</w:t>
      </w:r>
      <w:r>
        <w:t xml:space="preserve">”</w:t>
      </w:r>
      <w:r>
        <w:t xml:space="preserve"> </w:t>
      </w:r>
      <w:r>
        <w:t xml:space="preserve">(</w:t>
      </w:r>
      <w:r>
        <w:rPr>
          <w:bCs/>
          <w:b/>
        </w:rPr>
        <w:t xml:space="preserve">अर्तिस्तुसुहुसृधृक्षिक्षुभायावापदियक्षिणीभ्यो मन्</w:t>
      </w:r>
      <w:r>
        <w:t xml:space="preserve">, उ. सू. १-१३९) gives</w:t>
      </w:r>
      <w:r>
        <w:t xml:space="preserve"> </w:t>
      </w:r>
      <w:r>
        <w:t xml:space="preserve">“</w:t>
      </w:r>
      <w:r>
        <w:t xml:space="preserve">stoma,</w:t>
      </w:r>
      <w:r>
        <w:t xml:space="preserve">”</w:t>
      </w:r>
      <w:r>
        <w:t xml:space="preserve"> </w:t>
      </w:r>
      <w:r>
        <w:t xml:space="preserve">“</w:t>
      </w:r>
      <w:r>
        <w:t xml:space="preserve">n</w:t>
      </w:r>
      <w:r>
        <w:t xml:space="preserve">”</w:t>
      </w:r>
      <w:r>
        <w:t xml:space="preserve">-marked, so first-syllable acute;</w:t>
      </w:r>
      <w:r>
        <w:t xml:space="preserve"> </w:t>
      </w:r>
      <w:r>
        <w:t xml:space="preserve">“</w:t>
      </w:r>
      <w:r>
        <w:t xml:space="preserve">stomaṃ vahantīti stomavāhasaḥ</w:t>
      </w:r>
      <w:r>
        <w:t xml:space="preserve">”</w:t>
      </w:r>
      <w:r>
        <w:t xml:space="preserve">: from</w:t>
      </w:r>
      <w:r>
        <w:t xml:space="preserve"> </w:t>
      </w:r>
      <w:r>
        <w:t xml:space="preserve">“</w:t>
      </w:r>
      <w:r>
        <w:t xml:space="preserve">vah</w:t>
      </w:r>
      <w:r>
        <w:t xml:space="preserve">”</w:t>
      </w:r>
      <w:r>
        <w:t xml:space="preserve"> </w:t>
      </w:r>
      <w:r>
        <w:t xml:space="preserve">the affix</w:t>
      </w:r>
      <w:r>
        <w:t xml:space="preserve"> </w:t>
      </w:r>
      <w:r>
        <w:t xml:space="preserve">“</w:t>
      </w:r>
      <w:r>
        <w:t xml:space="preserve">asun</w:t>
      </w:r>
      <w:r>
        <w:t xml:space="preserve">”</w:t>
      </w:r>
      <w:r>
        <w:t xml:space="preserve"> </w:t>
      </w:r>
      <w:r>
        <w:t xml:space="preserve">in the Veda (</w:t>
      </w:r>
      <w:r>
        <w:rPr>
          <w:bCs/>
          <w:b/>
        </w:rPr>
        <w:t xml:space="preserve">वहिहाधाञ्भ्यश्छन्दसि</w:t>
      </w:r>
      <w:r>
        <w:t xml:space="preserve">, उ. सू. ४-२२०), the penultimate</w:t>
      </w:r>
      <w:r>
        <w:t xml:space="preserve"> </w:t>
      </w:r>
      <w:r>
        <w:t xml:space="preserve">“</w:t>
      </w:r>
      <w:r>
        <w:t xml:space="preserve">a</w:t>
      </w:r>
      <w:r>
        <w:t xml:space="preserve">”</w:t>
      </w:r>
      <w:r>
        <w:t xml:space="preserve"> </w:t>
      </w:r>
      <w:r>
        <w:t xml:space="preserve">takes vṛddhi by</w:t>
      </w:r>
      <w:r>
        <w:t xml:space="preserve"> </w:t>
      </w:r>
      <w:r>
        <w:rPr>
          <w:bCs/>
          <w:b/>
        </w:rPr>
        <w:t xml:space="preserve">अत उपधायाः</w:t>
      </w:r>
      <w:r>
        <w:t xml:space="preserve"> </w:t>
      </w:r>
      <w:r>
        <w:t xml:space="preserve">(पा. ७-२-११६); the compound, in which the kṛt-final member’s accent would be retained, is by an Uṇādi-rule (उ. सू. ४-२२६) first-syllable acute.</w:t>
      </w:r>
    </w:p>
    <w:bookmarkEnd w:id="186"/>
    <w:bookmarkStart w:id="187" w:name="X223ef38e405c37128b2ee96036c70326f616c3f"/>
    <w:p>
      <w:pPr>
        <w:pStyle w:val="Heading3"/>
      </w:pPr>
      <w:r>
        <w:t xml:space="preserve">Page 153 — Rik 5.1: Pada-meanings; Bhāvārtha; English rendering; Special topics (opening)</w:t>
      </w:r>
    </w:p>
    <w:p>
      <w:pPr>
        <w:pStyle w:val="FirstParagraph"/>
      </w:pPr>
      <w:r>
        <w:rPr>
          <w:iCs/>
          <w:i/>
        </w:rPr>
        <w:t xml:space="preserve">(Page header:</w:t>
      </w:r>
      <w:r>
        <w:rPr>
          <w:iCs/>
          <w:i/>
        </w:rPr>
        <w:t xml:space="preserve"> </w:t>
      </w:r>
      <w:r>
        <w:rPr>
          <w:iCs/>
          <w:i/>
        </w:rPr>
        <w:t xml:space="preserve">“</w:t>
      </w:r>
      <w:r>
        <w:rPr>
          <w:iCs/>
          <w:i/>
        </w:rPr>
        <w:t xml:space="preserve">Aṣṭaka 1, Adhyāya 1, Varga 9 · Ṛgveda-saṃhitā.</w:t>
      </w:r>
      <w:r>
        <w:rPr>
          <w:iCs/>
          <w:i/>
        </w:rPr>
        <w:t xml:space="preserve">”</w:t>
      </w:r>
      <w:r>
        <w:rPr>
          <w:iCs/>
          <w:i/>
        </w:rPr>
        <w:t xml:space="preserve"> </w:t>
      </w:r>
      <w:r>
        <w:rPr>
          <w:iCs/>
          <w:i/>
        </w:rPr>
        <w:t xml:space="preserve">English as printed in the source; the Ṛg-vedic references re-read from the better scan.)</w:t>
      </w:r>
    </w:p>
    <w:p>
      <w:pPr>
        <w:pStyle w:val="BodyText"/>
      </w:pPr>
      <w:r>
        <w:rPr>
          <w:bCs/>
          <w:b/>
        </w:rPr>
        <w:t xml:space="preserve">॥ Prati-padārthaḥ ॥</w:t>
      </w:r>
      <w:r>
        <w:t xml:space="preserve"> </w:t>
      </w:r>
      <w:r>
        <w:rPr>
          <w:iCs/>
          <w:i/>
        </w:rPr>
        <w:t xml:space="preserve">(Kannada, translated)</w:t>
      </w:r>
    </w:p>
    <w:p>
      <w:pPr>
        <w:pStyle w:val="BodyText"/>
      </w:pPr>
      <w:r>
        <w:rPr>
          <w:bCs/>
          <w:b/>
        </w:rPr>
        <w:t xml:space="preserve">स्तोमवाहसः (stomavāhasaḥ)</w:t>
      </w:r>
      <w:r>
        <w:t xml:space="preserve"> </w:t>
      </w:r>
      <w:r>
        <w:t xml:space="preserve">— those who carry the stotras — that is, who praise with stotras | (हे)</w:t>
      </w:r>
      <w:r>
        <w:t xml:space="preserve"> </w:t>
      </w:r>
      <w:r>
        <w:rPr>
          <w:bCs/>
          <w:b/>
        </w:rPr>
        <w:t xml:space="preserve">सखायः (sakhāyaḥ)</w:t>
      </w:r>
      <w:r>
        <w:t xml:space="preserve"> </w:t>
      </w:r>
      <w:r>
        <w:t xml:space="preserve">— O friends (priests) |</w:t>
      </w:r>
      <w:r>
        <w:t xml:space="preserve"> </w:t>
      </w:r>
      <w:r>
        <w:rPr>
          <w:bCs/>
          <w:b/>
        </w:rPr>
        <w:t xml:space="preserve">तु (tu)</w:t>
      </w:r>
      <w:r>
        <w:t xml:space="preserve"> </w:t>
      </w:r>
      <w:r>
        <w:t xml:space="preserve">— quickly (vigilantly) |</w:t>
      </w:r>
      <w:r>
        <w:t xml:space="preserve"> </w:t>
      </w:r>
      <w:r>
        <w:rPr>
          <w:bCs/>
          <w:b/>
        </w:rPr>
        <w:t xml:space="preserve">आ आ इत (ā ā ita)</w:t>
      </w:r>
      <w:r>
        <w:t xml:space="preserve"> </w:t>
      </w:r>
      <w:r>
        <w:t xml:space="preserve">— come, come |</w:t>
      </w:r>
      <w:r>
        <w:t xml:space="preserve"> </w:t>
      </w:r>
      <w:r>
        <w:rPr>
          <w:bCs/>
          <w:b/>
        </w:rPr>
        <w:t xml:space="preserve">नि सीदत (ni sīdata)</w:t>
      </w:r>
      <w:r>
        <w:t xml:space="preserve"> </w:t>
      </w:r>
      <w:r>
        <w:t xml:space="preserve">— sit down |</w:t>
      </w:r>
      <w:r>
        <w:t xml:space="preserve"> </w:t>
      </w:r>
      <w:r>
        <w:rPr>
          <w:bCs/>
          <w:b/>
        </w:rPr>
        <w:t xml:space="preserve">इन्द्रम् (indram)</w:t>
      </w:r>
      <w:r>
        <w:t xml:space="preserve"> </w:t>
      </w:r>
      <w:r>
        <w:t xml:space="preserve">— Indra |</w:t>
      </w:r>
      <w:r>
        <w:t xml:space="preserve"> </w:t>
      </w:r>
      <w:r>
        <w:rPr>
          <w:bCs/>
          <w:b/>
        </w:rPr>
        <w:t xml:space="preserve">अभि प्र गायत (abhi pra gāyata)</w:t>
      </w:r>
      <w:r>
        <w:t xml:space="preserve"> </w:t>
      </w:r>
      <w:r>
        <w:t xml:space="preserve">— sing well with stotras.</w:t>
      </w:r>
    </w:p>
    <w:p>
      <w:pPr>
        <w:pStyle w:val="BodyText"/>
      </w:pPr>
      <w:r>
        <w:rPr>
          <w:bCs/>
          <w:b/>
        </w:rPr>
        <w:t xml:space="preserve">॥ Bhāvārthaḥ ॥</w:t>
      </w:r>
      <w:r>
        <w:t xml:space="preserve"> </w:t>
      </w:r>
      <w:r>
        <w:rPr>
          <w:iCs/>
          <w:i/>
        </w:rPr>
        <w:t xml:space="preserve">(Kannada, translated)</w:t>
      </w:r>
    </w:p>
    <w:p>
      <w:pPr>
        <w:pStyle w:val="BodyText"/>
      </w:pPr>
      <w:r>
        <w:t xml:space="preserve">O priests, who are friends! Since you are those who please Indra with stotras and the like, come quickly to this place where the sacrifice is performed. Having come, sit down in the place appointed for you, and sing, beautifully, with the stotras such as the trivṛt-stoma, in the form of a song, a praise of Indra.</w:t>
      </w:r>
    </w:p>
    <w:p>
      <w:pPr>
        <w:pStyle w:val="BodyText"/>
      </w:pPr>
      <w:r>
        <w:rPr>
          <w:bCs/>
          <w:b/>
        </w:rPr>
        <w:t xml:space="preserve">English Translation</w:t>
      </w:r>
      <w:r>
        <w:t xml:space="preserve"> </w:t>
      </w:r>
      <w:r>
        <w:rPr>
          <w:iCs/>
          <w:i/>
        </w:rPr>
        <w:t xml:space="preserve">(printed in English in the source itself):</w:t>
      </w:r>
    </w:p>
    <w:p>
      <w:pPr>
        <w:pStyle w:val="BodyText"/>
      </w:pPr>
      <w:r>
        <w:t xml:space="preserve">“</w:t>
      </w:r>
      <w:r>
        <w:t xml:space="preserve">O friends, (priests), come hither quickly offering praises; sit down and sing repeatedly the praises of Indra.</w:t>
      </w:r>
      <w:r>
        <w:t xml:space="preserve">”</w:t>
      </w:r>
    </w:p>
    <w:p>
      <w:pPr>
        <w:pStyle w:val="BodyText"/>
      </w:pPr>
      <w:r>
        <w:rPr>
          <w:bCs/>
          <w:b/>
        </w:rPr>
        <w:t xml:space="preserve">॥ Viśeṣa-viṣayagaḷu (Special Topics) ॥</w:t>
      </w:r>
    </w:p>
    <w:p>
      <w:pPr>
        <w:pStyle w:val="BodyText"/>
      </w:pPr>
      <w:r>
        <w:rPr>
          <w:bCs/>
          <w:b/>
        </w:rPr>
        <w:t xml:space="preserve">आ–आ (ā–ā)</w:t>
      </w:r>
      <w:r>
        <w:t xml:space="preserve"> </w:t>
      </w:r>
      <w:r>
        <w:t xml:space="preserve">— The Bhāṣyakāra says that the word</w:t>
      </w:r>
      <w:r>
        <w:t xml:space="preserve"> </w:t>
      </w:r>
      <w:r>
        <w:t xml:space="preserve">“</w:t>
      </w:r>
      <w:r>
        <w:t xml:space="preserve">ā</w:t>
      </w:r>
      <w:r>
        <w:t xml:space="preserve">”</w:t>
      </w:r>
      <w:r>
        <w:t xml:space="preserve"> </w:t>
      </w:r>
      <w:r>
        <w:t xml:space="preserve">is repeated twice for the sake of respect, that is, for inviting. Such uses are many in the Ṛgveda. For example (both given in the print in Pada form, word by word):</w:t>
      </w:r>
    </w:p>
    <w:p>
      <w:pPr>
        <w:pStyle w:val="BlockText"/>
      </w:pPr>
      <w:r>
        <w:t xml:space="preserve">आहानि । गृध्राः । परि । आ । वः । आ । अगुः । इमां । धियं । वार्कार्यां । च । देवीम् ॥ (ऋ. सं. १-८८-४)</w:t>
      </w:r>
      <w:r>
        <w:t xml:space="preserve"> </w:t>
      </w:r>
      <w:r>
        <w:rPr>
          <w:iCs/>
          <w:i/>
        </w:rPr>
        <w:t xml:space="preserve">āhāni | gṛdhrāḥ | pari | ā | vaḥ | ā | aguḥ | imāṃ | dhiyaṃ | vārkāryāṃ | ca | devīm || (ṛ. saṃ. 1-88-4)</w:t>
      </w:r>
      <w:r>
        <w:t xml:space="preserve"> </w:t>
      </w:r>
      <w:r>
        <w:rPr>
          <w:iCs/>
          <w:i/>
        </w:rPr>
        <w:t xml:space="preserve">(Reading note: the print divides the Ṛk word by word in Pada style, and the first words,</w:t>
      </w:r>
      <w:r>
        <w:rPr>
          <w:iCs/>
          <w:i/>
        </w:rPr>
        <w:t xml:space="preserve"> </w:t>
      </w:r>
      <w:r>
        <w:rPr>
          <w:iCs/>
          <w:i/>
        </w:rPr>
        <w:t xml:space="preserve">“</w:t>
      </w:r>
      <w:r>
        <w:rPr>
          <w:iCs/>
          <w:i/>
        </w:rPr>
        <w:t xml:space="preserve">āhāni gṛdhrāḥ,</w:t>
      </w:r>
      <w:r>
        <w:rPr>
          <w:iCs/>
          <w:i/>
        </w:rPr>
        <w:t xml:space="preserve">”</w:t>
      </w:r>
      <w:r>
        <w:rPr>
          <w:iCs/>
          <w:i/>
        </w:rPr>
        <w:t xml:space="preserve"> </w:t>
      </w:r>
      <w:r>
        <w:rPr>
          <w:iCs/>
          <w:i/>
        </w:rPr>
        <w:t xml:space="preserve">are unclear to me; I give them as printed; the reference is clear in the better scan. I give no translation, since the source gives none and the reading is not secure.)</w:t>
      </w:r>
    </w:p>
    <w:p>
      <w:pPr>
        <w:pStyle w:val="BlockText"/>
      </w:pPr>
      <w:r>
        <w:t xml:space="preserve">वायो इति । आ । चन्द्रेण । राधसा । आ । गतम् । इन्द्रः । च । राधसा । आ । गतम् ॥ (ऋ. सं. १-१३५-४)</w:t>
      </w:r>
      <w:r>
        <w:t xml:space="preserve"> </w:t>
      </w:r>
      <w:r>
        <w:rPr>
          <w:iCs/>
          <w:i/>
        </w:rPr>
        <w:t xml:space="preserve">vāyo iti | ā | candreṇa | rādhasā | ā | gatam | indraḥ | ca | rādhasā | ā | gatam || (ṛ. saṃ. 1-135-4)</w:t>
      </w:r>
      <w:r>
        <w:t xml:space="preserve"> </w:t>
      </w:r>
      <w:r>
        <w:t xml:space="preserve">Gloss (mine, tentative):</w:t>
      </w:r>
      <w:r>
        <w:t xml:space="preserve"> </w:t>
      </w:r>
      <w:r>
        <w:t xml:space="preserve">“</w:t>
      </w:r>
      <w:r>
        <w:t xml:space="preserve">O Vāyu — come with bright wealth; come, O Indra, with wealth.</w:t>
      </w:r>
      <w:r>
        <w:t xml:space="preserve">”</w:t>
      </w:r>
      <w:r>
        <w:t xml:space="preserve"> </w:t>
      </w:r>
      <w:r>
        <w:rPr>
          <w:iCs/>
          <w:i/>
        </w:rPr>
        <w:t xml:space="preserve">(The print again gives it in Pada style; I give it as printed.)</w:t>
      </w:r>
    </w:p>
    <w:p>
      <w:pPr>
        <w:pStyle w:val="FirstParagraph"/>
      </w:pPr>
      <w:r>
        <w:t xml:space="preserve">In both of these the word</w:t>
      </w:r>
      <w:r>
        <w:t xml:space="preserve"> </w:t>
      </w:r>
      <w:r>
        <w:t xml:space="preserve">“</w:t>
      </w:r>
      <w:r>
        <w:t xml:space="preserve">ā</w:t>
      </w:r>
      <w:r>
        <w:t xml:space="preserve">”</w:t>
      </w:r>
      <w:r>
        <w:t xml:space="preserve"> </w:t>
      </w:r>
      <w:r>
        <w:t xml:space="preserve">is used twice, for respect.</w:t>
      </w:r>
      <w:r>
        <w:t xml:space="preserve"> </w:t>
      </w:r>
      <w:r>
        <w:rPr>
          <w:iCs/>
          <w:i/>
        </w:rPr>
        <w:t xml:space="preserve">(The page ends in the middle of this list of examples; the discussion continues on the next page.)</w:t>
      </w:r>
    </w:p>
    <w:bookmarkEnd w:id="187"/>
    <w:bookmarkStart w:id="188" w:name="Xdd2764be6c9394e1e13004dada401896a7be4df"/>
    <w:p>
      <w:pPr>
        <w:pStyle w:val="Heading3"/>
      </w:pPr>
      <w:r>
        <w:t xml:space="preserve">Page 154 — Special topics on Rik 5.1 (continued):</w:t>
      </w:r>
      <w:r>
        <w:t xml:space="preserve"> </w:t>
      </w:r>
      <w:r>
        <w:t xml:space="preserve">“</w:t>
      </w:r>
      <w:r>
        <w:t xml:space="preserve">ā–ā,</w:t>
      </w:r>
      <w:r>
        <w:t xml:space="preserve">”</w:t>
      </w:r>
      <w:r>
        <w:t xml:space="preserve"> </w:t>
      </w:r>
      <w:r>
        <w:t xml:space="preserve">“</w:t>
      </w:r>
      <w:r>
        <w:t xml:space="preserve">tu,</w:t>
      </w:r>
      <w:r>
        <w:t xml:space="preserve">”</w:t>
      </w:r>
      <w:r>
        <w:t xml:space="preserve"> </w:t>
      </w:r>
      <w:r>
        <w:t xml:space="preserve">“</w:t>
      </w:r>
      <w:r>
        <w:t xml:space="preserve">sakhāyaḥ,</w:t>
      </w:r>
      <w:r>
        <w:t xml:space="preserve">”</w:t>
      </w:r>
      <w:r>
        <w:t xml:space="preserve"> </w:t>
      </w:r>
      <w:r>
        <w:t xml:space="preserve">“</w:t>
      </w:r>
      <w:r>
        <w:t xml:space="preserve">stomavāhasaḥ</w:t>
      </w:r>
      <w:r>
        <w:t xml:space="preserve">”</w:t>
      </w:r>
      <w:r>
        <w:t xml:space="preserve">; Vyākaraṇa-prakriyā (opening)</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5.</w:t>
      </w:r>
      <w:r>
        <w:rPr>
          <w:iCs/>
          <w:i/>
        </w:rPr>
        <w:t xml:space="preserve">”</w:t>
      </w:r>
      <w:r>
        <w:rPr>
          <w:iCs/>
          <w:i/>
        </w:rPr>
        <w:t xml:space="preserve"> </w:t>
      </w:r>
      <w:r>
        <w:rPr>
          <w:iCs/>
          <w:i/>
        </w:rPr>
        <w:t xml:space="preserve">The Ṛg-vedic references are small Kannada numerals and</w:t>
      </w:r>
      <w:r>
        <w:rPr>
          <w:iCs/>
          <w:i/>
        </w:rPr>
        <w:t xml:space="preserve"> </w:t>
      </w:r>
      <w:r>
        <w:rPr>
          <w:bCs/>
          <w:b/>
          <w:iCs/>
          <w:i/>
        </w:rPr>
        <w:t xml:space="preserve">all are marked [?]</w:t>
      </w:r>
      <w:r>
        <w:rPr>
          <w:iCs/>
          <w:i/>
        </w:rPr>
        <w:t xml:space="preserve">. The verses are printed in Pada style, word by word; given in three layers, with glosses of my own, tentative, where I can give them.)</w:t>
      </w:r>
    </w:p>
    <w:p>
      <w:pPr>
        <w:pStyle w:val="BodyText"/>
      </w:pPr>
      <w:r>
        <w:rPr>
          <w:iCs/>
          <w:i/>
        </w:rPr>
        <w:t xml:space="preserve">(Continuing the list of examples of the doubled</w:t>
      </w:r>
      <w:r>
        <w:rPr>
          <w:iCs/>
          <w:i/>
        </w:rPr>
        <w:t xml:space="preserve"> </w:t>
      </w:r>
      <w:r>
        <w:rPr>
          <w:iCs/>
          <w:i/>
        </w:rPr>
        <w:t xml:space="preserve">“</w:t>
      </w:r>
      <w:r>
        <w:rPr>
          <w:iCs/>
          <w:i/>
        </w:rPr>
        <w:t xml:space="preserve">ā</w:t>
      </w:r>
      <w:r>
        <w:rPr>
          <w:iCs/>
          <w:i/>
        </w:rPr>
        <w:t xml:space="preserve">”</w:t>
      </w:r>
      <w:r>
        <w:rPr>
          <w:iCs/>
          <w:i/>
        </w:rPr>
        <w:t xml:space="preserve"> </w:t>
      </w:r>
      <w:r>
        <w:rPr>
          <w:iCs/>
          <w:i/>
        </w:rPr>
        <w:t xml:space="preserve">from p. 153:)</w:t>
      </w:r>
    </w:p>
    <w:p>
      <w:pPr>
        <w:pStyle w:val="BlockText"/>
      </w:pPr>
      <w:r>
        <w:t xml:space="preserve">ऋतवानः । प्रतिऽचक्ष्य । अनृता । पुनः । आ । अतः । आ । तस्थुः । कवयः । महः । पथः ॥ (ऋ. सं. २-२४-७)</w:t>
      </w:r>
      <w:r>
        <w:t xml:space="preserve"> </w:t>
      </w:r>
      <w:r>
        <w:rPr>
          <w:iCs/>
          <w:i/>
        </w:rPr>
        <w:t xml:space="preserve">ṛtavānaḥ | praticakṣya | anṛtā | punaḥ | ā | ataḥ | ā | tasthuḥ | kavayaḥ | mahaḥ | pathaḥ || (ṛ. saṃ. 2-24-7)</w:t>
      </w:r>
      <w:r>
        <w:t xml:space="preserve"> </w:t>
      </w:r>
      <w:r>
        <w:t xml:space="preserve">Gloss:</w:t>
      </w:r>
      <w:r>
        <w:t xml:space="preserve"> </w:t>
      </w:r>
      <w:r>
        <w:t xml:space="preserve">“</w:t>
      </w:r>
      <w:r>
        <w:t xml:space="preserve">The truthful, having looked upon the untruths, … the seers have come back again to (their) great paths.</w:t>
      </w:r>
      <w:r>
        <w:t xml:space="preserve">”</w:t>
      </w:r>
      <w:r>
        <w:t xml:space="preserve"> </w:t>
      </w:r>
      <w:r>
        <w:t xml:space="preserve">[tentative; the reference and the opening words are not secure]</w:t>
      </w:r>
    </w:p>
    <w:p>
      <w:pPr>
        <w:pStyle w:val="BlockText"/>
      </w:pPr>
      <w:r>
        <w:t xml:space="preserve">आ । याहि । पूर्वीः । अति । चर्षणीः । आ । अर्यः । आशिषः । उप । नः । हरिभ्याम् ॥ (ऋ. सं. ३-४३-२)</w:t>
      </w:r>
      <w:r>
        <w:t xml:space="preserve"> </w:t>
      </w:r>
      <w:r>
        <w:rPr>
          <w:iCs/>
          <w:i/>
        </w:rPr>
        <w:t xml:space="preserve">ā | yāhi | pūrvīḥ | ati | carṣaṇīḥ | ā | aryaḥ | āśiṣaḥ | upa | naḥ | haribhyām || (ṛ. saṃ. 3-43-2)</w:t>
      </w:r>
      <w:r>
        <w:t xml:space="preserve"> </w:t>
      </w:r>
      <w:r>
        <w:t xml:space="preserve">Gloss:</w:t>
      </w:r>
      <w:r>
        <w:t xml:space="preserve"> </w:t>
      </w:r>
      <w:r>
        <w:t xml:space="preserve">“</w:t>
      </w:r>
      <w:r>
        <w:t xml:space="preserve">Come, passing over the many peoples; come, O lord, to our blessings, with your two bay horses.</w:t>
      </w:r>
      <w:r>
        <w:t xml:space="preserve">”</w:t>
      </w:r>
    </w:p>
    <w:p>
      <w:pPr>
        <w:pStyle w:val="BlockText"/>
      </w:pPr>
      <w:r>
        <w:t xml:space="preserve">आ । तु । नः । इन्द्र । वृत्रऽहन् । अस्माकम् । अर्धम् । आ । गहि ॥ (ऋ. सं. ४-३२-१)</w:t>
      </w:r>
      <w:r>
        <w:t xml:space="preserve"> </w:t>
      </w:r>
      <w:r>
        <w:rPr>
          <w:iCs/>
          <w:i/>
        </w:rPr>
        <w:t xml:space="preserve">ā | tu | naḥ | indra | vṛtra-han | asmākam | ardham | ā | gahi || (ṛ. saṃ. 4-32-1)</w:t>
      </w:r>
      <w:r>
        <w:t xml:space="preserve"> </w:t>
      </w:r>
      <w:r>
        <w:t xml:space="preserve">Gloss:</w:t>
      </w:r>
      <w:r>
        <w:t xml:space="preserve"> </w:t>
      </w:r>
      <w:r>
        <w:t xml:space="preserve">“</w:t>
      </w:r>
      <w:r>
        <w:t xml:space="preserve">Come now to us, O Indra, slayer of Vṛtra; come to our share.</w:t>
      </w:r>
      <w:r>
        <w:t xml:space="preserve">”</w:t>
      </w:r>
      <w:r>
        <w:t xml:space="preserve"> </w:t>
      </w:r>
      <w:r>
        <w:t xml:space="preserve">[tentative]</w:t>
      </w:r>
    </w:p>
    <w:p>
      <w:pPr>
        <w:pStyle w:val="BlockText"/>
      </w:pPr>
      <w:r>
        <w:t xml:space="preserve">आ । ग्रावऽभिः । अहन्यैभिः । अक्षऽभिः । वरिष्ठम् । वज्रम् । आ । जिघर्ति । मायिनि ॥ (ऋ. सं. ५-४८-३)</w:t>
      </w:r>
      <w:r>
        <w:t xml:space="preserve"> </w:t>
      </w:r>
      <w:r>
        <w:rPr>
          <w:iCs/>
          <w:i/>
        </w:rPr>
        <w:t xml:space="preserve">ā | grāva-bhiḥ | ahanyaibhiḥ | akṣa-bhiḥ | variṣṭham | vajram | ā | jigharti | māyini || (ṛ. saṃ. 5-48-3)</w:t>
      </w:r>
      <w:r>
        <w:t xml:space="preserve"> </w:t>
      </w:r>
      <w:r>
        <w:rPr>
          <w:iCs/>
          <w:i/>
        </w:rPr>
        <w:t xml:space="preserve">(Reading note: the second and third words are as printed; I give no translation, since the reading of</w:t>
      </w:r>
      <w:r>
        <w:rPr>
          <w:iCs/>
          <w:i/>
        </w:rPr>
        <w:t xml:space="preserve"> </w:t>
      </w:r>
      <w:r>
        <w:rPr>
          <w:iCs/>
          <w:i/>
        </w:rPr>
        <w:t xml:space="preserve">“</w:t>
      </w:r>
      <w:r>
        <w:rPr>
          <w:iCs/>
          <w:i/>
        </w:rPr>
        <w:t xml:space="preserve">ahanyaibhiḥ</w:t>
      </w:r>
      <w:r>
        <w:rPr>
          <w:iCs/>
          <w:i/>
        </w:rPr>
        <w:t xml:space="preserve">”</w:t>
      </w:r>
      <w:r>
        <w:rPr>
          <w:iCs/>
          <w:i/>
        </w:rPr>
        <w:t xml:space="preserve"> </w:t>
      </w:r>
      <w:r>
        <w:rPr>
          <w:iCs/>
          <w:i/>
        </w:rPr>
        <w:t xml:space="preserve">is not secure to me.)</w:t>
      </w:r>
    </w:p>
    <w:p>
      <w:pPr>
        <w:pStyle w:val="FirstParagraph"/>
      </w:pPr>
      <w:r>
        <w:t xml:space="preserve">and so on.</w:t>
      </w:r>
      <w:r>
        <w:t xml:space="preserve"> </w:t>
      </w:r>
      <w:r>
        <w:rPr>
          <w:bCs/>
          <w:b/>
        </w:rPr>
        <w:t xml:space="preserve">Skandasvāmī</w:t>
      </w:r>
      <w:r>
        <w:t xml:space="preserve">, in discussing this, says (in the printed Sanskrit, which I give in three layers):</w:t>
      </w:r>
    </w:p>
    <w:p>
      <w:pPr>
        <w:pStyle w:val="BlockText"/>
      </w:pPr>
      <w:r>
        <w:t xml:space="preserve">आ आ इत्युपसर्गाभ्यासात्तत्संबन्धिनेतेत्येतस्याख्यातस्याभ्यासः । आख्याताभ्यासे च लोके गम्यतां गम्यतामित्यादौ अवश्यकर्तव्यता प्रतीयते । एवमत्रापि क्षिप्रमेत । क्षिप्रमवश्यमागच्छतेत्यर्थः ॥</w:t>
      </w:r>
      <w:r>
        <w:t xml:space="preserve"> </w:t>
      </w:r>
      <w:r>
        <w:rPr>
          <w:iCs/>
          <w:i/>
        </w:rPr>
        <w:t xml:space="preserve">ā ā ity upasargābhyāsāt tat-sambandhinetety etasyākhyātasyābhyāsaḥ | ākhyātābhyāse ca loke gamyatāṃ gamyatām ity ādau avaśya-kartavyatā pratīyate | evam atrāpi kṣipram eta | kṣipram avaśyam āgacchatety arthaḥ ||</w:t>
      </w:r>
      <w:r>
        <w:t xml:space="preserve"> </w:t>
      </w:r>
      <w:r>
        <w:rPr>
          <w:iCs/>
          <w:i/>
        </w:rPr>
        <w:t xml:space="preserve">(Reading note: the first word of the second clause is printed</w:t>
      </w:r>
      <w:r>
        <w:rPr>
          <w:iCs/>
          <w:i/>
        </w:rPr>
        <w:t xml:space="preserve"> </w:t>
      </w:r>
      <w:r>
        <w:rPr>
          <w:iCs/>
          <w:i/>
        </w:rPr>
        <w:t xml:space="preserve">“</w:t>
      </w:r>
      <w:r>
        <w:rPr>
          <w:iCs/>
          <w:i/>
        </w:rPr>
        <w:t xml:space="preserve">tatsaṃbandhine</w:t>
      </w:r>
      <w:r>
        <w:rPr>
          <w:iCs/>
          <w:i/>
        </w:rPr>
        <w:t xml:space="preserve">”</w:t>
      </w:r>
      <w:r>
        <w:rPr>
          <w:iCs/>
          <w:i/>
        </w:rPr>
        <w:t xml:space="preserve">; I read it as</w:t>
      </w:r>
      <w:r>
        <w:rPr>
          <w:iCs/>
          <w:i/>
        </w:rPr>
        <w:t xml:space="preserve"> </w:t>
      </w:r>
      <w:r>
        <w:rPr>
          <w:iCs/>
          <w:i/>
        </w:rPr>
        <w:t xml:space="preserve">“</w:t>
      </w:r>
      <w:r>
        <w:rPr>
          <w:iCs/>
          <w:i/>
        </w:rPr>
        <w:t xml:space="preserve">tat-sambandhinā</w:t>
      </w:r>
      <w:r>
        <w:rPr>
          <w:iCs/>
          <w:i/>
        </w:rPr>
        <w:t xml:space="preserve">”</w:t>
      </w:r>
      <w:r>
        <w:rPr>
          <w:iCs/>
          <w:i/>
        </w:rPr>
        <w:t xml:space="preserve"> </w:t>
      </w:r>
      <w:r>
        <w:rPr>
          <w:iCs/>
          <w:i/>
        </w:rPr>
        <w:t xml:space="preserve">and give the sentence as I make it out.)</w:t>
      </w:r>
      <w:r>
        <w:t xml:space="preserve"> </w:t>
      </w:r>
      <w:r>
        <w:rPr>
          <w:bCs/>
          <w:b/>
        </w:rPr>
        <w:t xml:space="preserve">Translation (mine, following the Kannada):</w:t>
      </w:r>
      <w:r>
        <w:t xml:space="preserve"> </w:t>
      </w:r>
      <w:r>
        <w:t xml:space="preserve">“</w:t>
      </w:r>
      <w:r>
        <w:t xml:space="preserve">‘</w:t>
      </w:r>
      <w:r>
        <w:t xml:space="preserve">Ā ā</w:t>
      </w:r>
      <w:r>
        <w:t xml:space="preserve">’</w:t>
      </w:r>
      <w:r>
        <w:t xml:space="preserve">: by the doubling of the prefix, the doubling of the verb</w:t>
      </w:r>
      <w:r>
        <w:t xml:space="preserve"> </w:t>
      </w:r>
      <w:r>
        <w:t xml:space="preserve">‘</w:t>
      </w:r>
      <w:r>
        <w:t xml:space="preserve">ita</w:t>
      </w:r>
      <w:r>
        <w:t xml:space="preserve">’</w:t>
      </w:r>
      <w:r>
        <w:t xml:space="preserve"> </w:t>
      </w:r>
      <w:r>
        <w:t xml:space="preserve">connected with it is understood. In ordinary speech, when a verb is doubled —</w:t>
      </w:r>
      <w:r>
        <w:t xml:space="preserve"> </w:t>
      </w:r>
      <w:r>
        <w:t xml:space="preserve">‘</w:t>
      </w:r>
      <w:r>
        <w:t xml:space="preserve">let it be gone, let it be gone</w:t>
      </w:r>
      <w:r>
        <w:t xml:space="preserve">’</w:t>
      </w:r>
      <w:r>
        <w:t xml:space="preserve"> </w:t>
      </w:r>
      <w:r>
        <w:t xml:space="preserve">(</w:t>
      </w:r>
      <w:r>
        <w:t xml:space="preserve">‘</w:t>
      </w:r>
      <w:r>
        <w:t xml:space="preserve">gamyatāṃ gamyatām</w:t>
      </w:r>
      <w:r>
        <w:t xml:space="preserve">’</w:t>
      </w:r>
      <w:r>
        <w:t xml:space="preserve">) and the like — the sense of</w:t>
      </w:r>
      <w:r>
        <w:t xml:space="preserve"> </w:t>
      </w:r>
      <w:r>
        <w:t xml:space="preserve">‘</w:t>
      </w:r>
      <w:r>
        <w:t xml:space="preserve">it must certainly be done</w:t>
      </w:r>
      <w:r>
        <w:t xml:space="preserve">’</w:t>
      </w:r>
      <w:r>
        <w:t xml:space="preserve"> </w:t>
      </w:r>
      <w:r>
        <w:t xml:space="preserve">is understood. So here too:</w:t>
      </w:r>
      <w:r>
        <w:t xml:space="preserve"> </w:t>
      </w:r>
      <w:r>
        <w:t xml:space="preserve">‘</w:t>
      </w:r>
      <w:r>
        <w:t xml:space="preserve">come quickly</w:t>
      </w:r>
      <w:r>
        <w:t xml:space="preserve">’</w:t>
      </w:r>
      <w:r>
        <w:t xml:space="preserve"> </w:t>
      </w:r>
      <w:r>
        <w:t xml:space="preserve">— the meaning is</w:t>
      </w:r>
      <w:r>
        <w:t xml:space="preserve"> </w:t>
      </w:r>
      <w:r>
        <w:t xml:space="preserve">‘</w:t>
      </w:r>
      <w:r>
        <w:t xml:space="preserve">come quickly, without fail.</w:t>
      </w:r>
      <w:r>
        <w:t xml:space="preserve">’</w:t>
      </w:r>
      <w:r>
        <w:t xml:space="preserve">”</w:t>
      </w:r>
    </w:p>
    <w:p>
      <w:pPr>
        <w:pStyle w:val="FirstParagraph"/>
      </w:pPr>
      <w:r>
        <w:t xml:space="preserve">That is: since the prefix</w:t>
      </w:r>
      <w:r>
        <w:t xml:space="preserve"> </w:t>
      </w:r>
      <w:r>
        <w:t xml:space="preserve">“</w:t>
      </w:r>
      <w:r>
        <w:t xml:space="preserve">ā</w:t>
      </w:r>
      <w:r>
        <w:t xml:space="preserve">”</w:t>
      </w:r>
      <w:r>
        <w:t xml:space="preserve"> </w:t>
      </w:r>
      <w:r>
        <w:t xml:space="preserve">is spoken twice, it is as if the verb</w:t>
      </w:r>
      <w:r>
        <w:t xml:space="preserve"> </w:t>
      </w:r>
      <w:r>
        <w:t xml:space="preserve">“</w:t>
      </w:r>
      <w:r>
        <w:t xml:space="preserve">ita</w:t>
      </w:r>
      <w:r>
        <w:t xml:space="preserve">”</w:t>
      </w:r>
      <w:r>
        <w:t xml:space="preserve"> </w:t>
      </w:r>
      <w:r>
        <w:t xml:space="preserve">connected with it were spoken twice. When a verb is spoken twice — that is, when one says</w:t>
      </w:r>
      <w:r>
        <w:t xml:space="preserve"> </w:t>
      </w:r>
      <w:r>
        <w:t xml:space="preserve">“</w:t>
      </w:r>
      <w:r>
        <w:t xml:space="preserve">gamyatām gamyatām</w:t>
      </w:r>
      <w:r>
        <w:t xml:space="preserve">”</w:t>
      </w:r>
      <w:r>
        <w:t xml:space="preserve"> </w:t>
      </w:r>
      <w:r>
        <w:t xml:space="preserve">twice — the sense</w:t>
      </w:r>
      <w:r>
        <w:t xml:space="preserve"> </w:t>
      </w:r>
      <w:r>
        <w:t xml:space="preserve">“</w:t>
      </w:r>
      <w:r>
        <w:t xml:space="preserve">come quickly, without fail</w:t>
      </w:r>
      <w:r>
        <w:t xml:space="preserve">”</w:t>
      </w:r>
      <w:r>
        <w:t xml:space="preserve"> </w:t>
      </w:r>
      <w:r>
        <w:t xml:space="preserve">becomes clear, say the commentators. It is the custom in ordinary speech to say a word twice when its sense has to be insisted on. Here too it is to be understood as being for respect.</w:t>
      </w:r>
    </w:p>
    <w:p>
      <w:pPr>
        <w:pStyle w:val="BodyText"/>
      </w:pPr>
      <w:r>
        <w:rPr>
          <w:bCs/>
          <w:b/>
        </w:rPr>
        <w:t xml:space="preserve">तु (tu)</w:t>
      </w:r>
      <w:r>
        <w:t xml:space="preserve"> </w:t>
      </w:r>
      <w:r>
        <w:t xml:space="preserve">— To this word, here, in the sense of</w:t>
      </w:r>
      <w:r>
        <w:t xml:space="preserve"> </w:t>
      </w:r>
      <w:r>
        <w:t xml:space="preserve">“</w:t>
      </w:r>
      <w:r>
        <w:t xml:space="preserve">decisively, necessarily, quickly</w:t>
      </w:r>
      <w:r>
        <w:t xml:space="preserve">”</w:t>
      </w:r>
      <w:r>
        <w:t xml:space="preserve"> </w:t>
      </w:r>
      <w:r>
        <w:t xml:space="preserve">a meaning may be given.</w:t>
      </w:r>
    </w:p>
    <w:p>
      <w:pPr>
        <w:pStyle w:val="BodyText"/>
      </w:pPr>
      <w:r>
        <w:rPr>
          <w:bCs/>
          <w:b/>
        </w:rPr>
        <w:t xml:space="preserve">इन्द्रमभि प्र गायत (indram abhi pra gāyata)</w:t>
      </w:r>
      <w:r>
        <w:t xml:space="preserve"> </w:t>
      </w:r>
      <w:r>
        <w:t xml:space="preserve">— This pāda occurs again in many Ṛks:</w:t>
      </w:r>
    </w:p>
    <w:p>
      <w:pPr>
        <w:pStyle w:val="BlockText"/>
      </w:pPr>
      <w:r>
        <w:t xml:space="preserve">पान्तमा वो अन्धस इन्द्रमभि प्र गायत । (ऋ. सं. ८-९२-१)</w:t>
      </w:r>
      <w:r>
        <w:t xml:space="preserve"> </w:t>
      </w:r>
      <w:r>
        <w:rPr>
          <w:iCs/>
          <w:i/>
        </w:rPr>
        <w:t xml:space="preserve">pāntam ā vo andhasa indram abhi pra gāyata | (ṛ. saṃ. 8-92-1)</w:t>
      </w:r>
      <w:r>
        <w:t xml:space="preserve"> </w:t>
      </w:r>
      <w:r>
        <w:t xml:space="preserve">Gloss:</w:t>
      </w:r>
      <w:r>
        <w:t xml:space="preserve"> </w:t>
      </w:r>
      <w:r>
        <w:t xml:space="preserve">“</w:t>
      </w:r>
      <w:r>
        <w:t xml:space="preserve">To the (Soma-)protector — to him who has your food — to Indra, sing.</w:t>
      </w:r>
      <w:r>
        <w:t xml:space="preserve">”</w:t>
      </w:r>
    </w:p>
    <w:p>
      <w:pPr>
        <w:pStyle w:val="FirstParagraph"/>
      </w:pPr>
      <w:r>
        <w:t xml:space="preserve">and the like.</w:t>
      </w:r>
    </w:p>
    <w:p>
      <w:pPr>
        <w:pStyle w:val="BodyText"/>
      </w:pPr>
      <w:r>
        <w:rPr>
          <w:bCs/>
          <w:b/>
        </w:rPr>
        <w:t xml:space="preserve">सखायः (sakhāyaḥ)</w:t>
      </w:r>
      <w:r>
        <w:t xml:space="preserve"> </w:t>
      </w:r>
      <w:r>
        <w:t xml:space="preserve">— That is: the priests, such as the Udgātṛ and the others. The explanation of this word we gave earlier.</w:t>
      </w:r>
    </w:p>
    <w:p>
      <w:pPr>
        <w:pStyle w:val="BodyText"/>
      </w:pPr>
      <w:r>
        <w:rPr>
          <w:bCs/>
          <w:b/>
        </w:rPr>
        <w:t xml:space="preserve">स्तोमवाहसः (stomavāhasaḥ)</w:t>
      </w:r>
      <w:r>
        <w:t xml:space="preserve"> </w:t>
      </w:r>
      <w:r>
        <w:t xml:space="preserve">—</w:t>
      </w:r>
      <w:r>
        <w:t xml:space="preserve"> </w:t>
      </w:r>
      <w:r>
        <w:t xml:space="preserve">“</w:t>
      </w:r>
      <w:r>
        <w:t xml:space="preserve">Stoma</w:t>
      </w:r>
      <w:r>
        <w:t xml:space="preserve">”</w:t>
      </w:r>
      <w:r>
        <w:t xml:space="preserve"> </w:t>
      </w:r>
      <w:r>
        <w:t xml:space="preserve">does not mean the stotra alone; its detailed explanation we gave in the introduction to this sūkta.</w:t>
      </w:r>
      <w:r>
        <w:t xml:space="preserve"> </w:t>
      </w:r>
      <w:r>
        <w:t xml:space="preserve">“</w:t>
      </w:r>
      <w:r>
        <w:t xml:space="preserve">Those who bring stomas — stotras — to Indra</w:t>
      </w:r>
      <w:r>
        <w:t xml:space="preserve">”</w:t>
      </w:r>
      <w:r>
        <w:t xml:space="preserve"> </w:t>
      </w:r>
      <w:r>
        <w:t xml:space="preserve">means those who sing his qualities so that Indra will know them.</w:t>
      </w:r>
    </w:p>
    <w:p>
      <w:pPr>
        <w:pStyle w:val="BodyText"/>
      </w:pPr>
      <w:r>
        <w:rPr>
          <w:bCs/>
          <w:b/>
        </w:rPr>
        <w:t xml:space="preserve">॥ Vyākaraṇa-prakriyā ॥</w:t>
      </w:r>
      <w:r>
        <w:t xml:space="preserve"> </w:t>
      </w:r>
      <w:r>
        <w:rPr>
          <w:iCs/>
          <w:i/>
        </w:rPr>
        <w:t xml:space="preserve">(Kannada; characterized, sūtras kept)</w:t>
      </w:r>
      <w:r>
        <w:t xml:space="preserve"> </w:t>
      </w:r>
      <w:r>
        <w:rPr>
          <w:bCs/>
          <w:b/>
        </w:rPr>
        <w:t xml:space="preserve">“</w:t>
      </w:r>
      <w:r>
        <w:rPr>
          <w:bCs/>
          <w:b/>
        </w:rPr>
        <w:t xml:space="preserve">Ā — tu — ā</w:t>
      </w:r>
      <w:r>
        <w:rPr>
          <w:bCs/>
          <w:b/>
        </w:rPr>
        <w:t xml:space="preserve">”</w:t>
      </w:r>
      <w:r>
        <w:t xml:space="preserve"> </w:t>
      </w:r>
      <w:r>
        <w:t xml:space="preserve">— these three are particles; since particles are first-syllable acute (</w:t>
      </w:r>
      <w:r>
        <w:rPr>
          <w:bCs/>
          <w:b/>
        </w:rPr>
        <w:t xml:space="preserve">निपाता आद्युदात्ताः</w:t>
      </w:r>
      <w:r>
        <w:t xml:space="preserve">, Phiṭ-sūtra [number as printed</w:t>
      </w:r>
      <w:r>
        <w:t xml:space="preserve"> </w:t>
      </w:r>
      <w:r>
        <w:t xml:space="preserve">“</w:t>
      </w:r>
      <w:r>
        <w:t xml:space="preserve">80</w:t>
      </w:r>
      <w:r>
        <w:t xml:space="preserve">”</w:t>
      </w:r>
      <w:r>
        <w:t xml:space="preserve">]) they are acute on the first syllable.</w:t>
      </w:r>
      <w:r>
        <w:t xml:space="preserve"> </w:t>
      </w:r>
      <w:r>
        <w:rPr>
          <w:bCs/>
          <w:b/>
        </w:rPr>
        <w:t xml:space="preserve">“</w:t>
      </w:r>
      <w:r>
        <w:rPr>
          <w:bCs/>
          <w:b/>
        </w:rPr>
        <w:t xml:space="preserve">Ita</w:t>
      </w:r>
      <w:r>
        <w:rPr>
          <w:bCs/>
          <w:b/>
        </w:rPr>
        <w:t xml:space="preserve">”</w:t>
      </w:r>
      <w:r>
        <w:t xml:space="preserve"> </w:t>
      </w:r>
      <w:r>
        <w:t xml:space="preserve">— the root</w:t>
      </w:r>
      <w:r>
        <w:t xml:space="preserve"> </w:t>
      </w:r>
      <w:r>
        <w:t xml:space="preserve">“</w:t>
      </w:r>
      <w:r>
        <w:t xml:space="preserve">iṇ gatau,</w:t>
      </w:r>
      <w:r>
        <w:t xml:space="preserve">”</w:t>
      </w:r>
      <w:r>
        <w:t xml:space="preserve"> </w:t>
      </w:r>
      <w:r>
        <w:t xml:space="preserve">in the imperative (loṭ) second-person plural</w:t>
      </w:r>
      <w:r>
        <w:t xml:space="preserve"> </w:t>
      </w:r>
      <w:r>
        <w:t xml:space="preserve">“</w:t>
      </w:r>
      <w:r>
        <w:t xml:space="preserve">tha</w:t>
      </w:r>
      <w:r>
        <w:t xml:space="preserve">”</w:t>
      </w:r>
      <w:r>
        <w:t xml:space="preserve">; by</w:t>
      </w:r>
      <w:r>
        <w:t xml:space="preserve"> </w:t>
      </w:r>
      <w:r>
        <w:rPr>
          <w:bCs/>
          <w:b/>
        </w:rPr>
        <w:t xml:space="preserve">लोटो लङ्वत्</w:t>
      </w:r>
      <w:r>
        <w:t xml:space="preserve"> </w:t>
      </w:r>
      <w:r>
        <w:t xml:space="preserve">(पा. ३-४-८५)</w:t>
      </w:r>
      <w:r>
        <w:t xml:space="preserve"> </w:t>
      </w:r>
      <w:r>
        <w:t xml:space="preserve">“</w:t>
      </w:r>
      <w:r>
        <w:t xml:space="preserve">loṭ</w:t>
      </w:r>
      <w:r>
        <w:t xml:space="preserve">”</w:t>
      </w:r>
      <w:r>
        <w:t xml:space="preserve"> </w:t>
      </w:r>
      <w:r>
        <w:t xml:space="preserve">is treated like</w:t>
      </w:r>
      <w:r>
        <w:t xml:space="preserve"> </w:t>
      </w:r>
      <w:r>
        <w:t xml:space="preserve">“</w:t>
      </w:r>
      <w:r>
        <w:t xml:space="preserve">laṅ</w:t>
      </w:r>
      <w:r>
        <w:t xml:space="preserve">”</w:t>
      </w:r>
      <w:r>
        <w:t xml:space="preserve">; by</w:t>
      </w:r>
      <w:r>
        <w:t xml:space="preserve"> </w:t>
      </w:r>
      <w:r>
        <w:rPr>
          <w:bCs/>
          <w:b/>
        </w:rPr>
        <w:t xml:space="preserve">तस्थस्थमिपां तान्तन्तामः</w:t>
      </w:r>
      <w:r>
        <w:t xml:space="preserve"> </w:t>
      </w:r>
      <w:r>
        <w:t xml:space="preserve">(पा. ३-४-१०१; printed</w:t>
      </w:r>
      <w:r>
        <w:t xml:space="preserve"> </w:t>
      </w:r>
      <w:r>
        <w:t xml:space="preserve">“</w:t>
      </w:r>
      <w:r>
        <w:t xml:space="preserve">3-4-11</w:t>
      </w:r>
      <w:r>
        <w:t xml:space="preserve">”</w:t>
      </w:r>
      <w:r>
        <w:t xml:space="preserve">)</w:t>
      </w:r>
      <w:r>
        <w:t xml:space="preserve"> </w:t>
      </w:r>
      <w:r>
        <w:t xml:space="preserve">“</w:t>
      </w:r>
      <w:r>
        <w:t xml:space="preserve">tha</w:t>
      </w:r>
      <w:r>
        <w:t xml:space="preserve">”</w:t>
      </w:r>
      <w:r>
        <w:t xml:space="preserve"> </w:t>
      </w:r>
      <w:r>
        <w:t xml:space="preserve">becomes</w:t>
      </w:r>
      <w:r>
        <w:t xml:space="preserve"> </w:t>
      </w:r>
      <w:r>
        <w:t xml:space="preserve">“</w:t>
      </w:r>
      <w:r>
        <w:t xml:space="preserve">ta</w:t>
      </w:r>
      <w:r>
        <w:t xml:space="preserve">”</w:t>
      </w:r>
      <w:r>
        <w:t xml:space="preserve">; with</w:t>
      </w:r>
      <w:r>
        <w:t xml:space="preserve"> </w:t>
      </w:r>
      <w:r>
        <w:t xml:space="preserve">“</w:t>
      </w:r>
      <w:r>
        <w:t xml:space="preserve">śap</w:t>
      </w:r>
      <w:r>
        <w:t xml:space="preserve">”</w:t>
      </w:r>
      <w:r>
        <w:t xml:space="preserve"> </w:t>
      </w:r>
      <w:r>
        <w:t xml:space="preserve">…</w:t>
      </w:r>
      <w:r>
        <w:t xml:space="preserve"> </w:t>
      </w:r>
      <w:r>
        <w:rPr>
          <w:iCs/>
          <w:i/>
        </w:rPr>
        <w:t xml:space="preserve">(continues on the next page)</w:t>
      </w:r>
    </w:p>
    <w:bookmarkEnd w:id="188"/>
    <w:bookmarkStart w:id="189" w:name="Xbdb249c152ddd0e60e05cd53e1a47e13b505262"/>
    <w:p>
      <w:pPr>
        <w:pStyle w:val="Heading3"/>
      </w:pPr>
      <w:r>
        <w:t xml:space="preserve">Page 155 —</w:t>
      </w:r>
      <w:r>
        <w:t xml:space="preserve"> </w:t>
      </w:r>
      <w:r>
        <w:t xml:space="preserve">“</w:t>
      </w:r>
      <w:r>
        <w:t xml:space="preserve">ita</w:t>
      </w:r>
      <w:r>
        <w:t xml:space="preserve">”</w:t>
      </w:r>
      <w:r>
        <w:t xml:space="preserve"> </w:t>
      </w:r>
      <w:r>
        <w:t xml:space="preserve">and the doubling of</w:t>
      </w:r>
      <w:r>
        <w:t xml:space="preserve"> </w:t>
      </w:r>
      <w:r>
        <w:t xml:space="preserve">“</w:t>
      </w:r>
      <w:r>
        <w:t xml:space="preserve">ā</w:t>
      </w:r>
      <w:r>
        <w:t xml:space="preserve">”</w:t>
      </w:r>
      <w:r>
        <w:t xml:space="preserve">: a long grammatical argument (characterized)</w:t>
      </w:r>
    </w:p>
    <w:p>
      <w:pPr>
        <w:pStyle w:val="FirstParagraph"/>
      </w:pPr>
      <w:r>
        <w:rPr>
          <w:iCs/>
          <w:i/>
        </w:rPr>
        <w:t xml:space="preserve">(Page header:</w:t>
      </w:r>
      <w:r>
        <w:rPr>
          <w:iCs/>
          <w:i/>
        </w:rPr>
        <w:t xml:space="preserve"> </w:t>
      </w:r>
      <w:r>
        <w:rPr>
          <w:iCs/>
          <w:i/>
        </w:rPr>
        <w:t xml:space="preserve">“</w:t>
      </w:r>
      <w:r>
        <w:rPr>
          <w:iCs/>
          <w:i/>
        </w:rPr>
        <w:t xml:space="preserve">Aṣṭaka 1, Adhyāya 1, Varga 9 · Ṛgveda-saṃhitā.</w:t>
      </w:r>
      <w:r>
        <w:rPr>
          <w:iCs/>
          <w:i/>
        </w:rPr>
        <w:t xml:space="preserve">”</w:t>
      </w:r>
      <w:r>
        <w:rPr>
          <w:iCs/>
          <w:i/>
        </w:rPr>
        <w:t xml:space="preserve"> </w:t>
      </w:r>
      <w:r>
        <w:rPr>
          <w:iCs/>
          <w:i/>
        </w:rPr>
        <w:t xml:space="preserve">This page is a</w:t>
      </w:r>
      <w:r>
        <w:rPr>
          <w:iCs/>
          <w:i/>
        </w:rPr>
        <w:t xml:space="preserve"> </w:t>
      </w:r>
      <w:r>
        <w:rPr>
          <w:bCs/>
          <w:b/>
          <w:iCs/>
          <w:i/>
        </w:rPr>
        <w:t xml:space="preserve">scholastic argument</w:t>
      </w:r>
      <w:r>
        <w:rPr>
          <w:iCs/>
          <w:i/>
        </w:rPr>
        <w:t xml:space="preserve"> </w:t>
      </w:r>
      <w:r>
        <w:rPr>
          <w:iCs/>
          <w:i/>
        </w:rPr>
        <w:t xml:space="preserve">in Kannada prose about how the doubled</w:t>
      </w:r>
      <w:r>
        <w:rPr>
          <w:iCs/>
          <w:i/>
        </w:rPr>
        <w:t xml:space="preserve"> </w:t>
      </w:r>
      <w:r>
        <w:rPr>
          <w:iCs/>
          <w:i/>
        </w:rPr>
        <w:t xml:space="preserve">“</w:t>
      </w:r>
      <w:r>
        <w:rPr>
          <w:iCs/>
          <w:i/>
        </w:rPr>
        <w:t xml:space="preserve">ā</w:t>
      </w:r>
      <w:r>
        <w:rPr>
          <w:iCs/>
          <w:i/>
        </w:rPr>
        <w:t xml:space="preserve">”</w:t>
      </w:r>
      <w:r>
        <w:rPr>
          <w:iCs/>
          <w:i/>
        </w:rPr>
        <w:t xml:space="preserve"> </w:t>
      </w:r>
      <w:r>
        <w:rPr>
          <w:iCs/>
          <w:i/>
        </w:rPr>
        <w:t xml:space="preserve">is to be construed with the verb</w:t>
      </w:r>
      <w:r>
        <w:rPr>
          <w:iCs/>
          <w:i/>
        </w:rPr>
        <w:t xml:space="preserve"> </w:t>
      </w:r>
      <w:r>
        <w:rPr>
          <w:iCs/>
          <w:i/>
        </w:rPr>
        <w:t xml:space="preserve">“</w:t>
      </w:r>
      <w:r>
        <w:rPr>
          <w:iCs/>
          <w:i/>
        </w:rPr>
        <w:t xml:space="preserve">ita</w:t>
      </w:r>
      <w:r>
        <w:rPr>
          <w:iCs/>
          <w:i/>
        </w:rPr>
        <w:t xml:space="preserve">”</w:t>
      </w:r>
      <w:r>
        <w:rPr>
          <w:iCs/>
          <w:i/>
        </w:rPr>
        <w:t xml:space="preserve"> </w:t>
      </w:r>
      <w:r>
        <w:rPr>
          <w:iCs/>
          <w:i/>
        </w:rPr>
        <w:t xml:space="preserve">and about the accent of</w:t>
      </w:r>
      <w:r>
        <w:rPr>
          <w:iCs/>
          <w:i/>
        </w:rPr>
        <w:t xml:space="preserve"> </w:t>
      </w:r>
      <w:r>
        <w:rPr>
          <w:iCs/>
          <w:i/>
        </w:rPr>
        <w:t xml:space="preserve">“</w:t>
      </w:r>
      <w:r>
        <w:rPr>
          <w:iCs/>
          <w:i/>
        </w:rPr>
        <w:t xml:space="preserve">ita</w:t>
      </w:r>
      <w:r>
        <w:rPr>
          <w:iCs/>
          <w:i/>
        </w:rPr>
        <w:t xml:space="preserve">”</w:t>
      </w:r>
      <w:r>
        <w:rPr>
          <w:iCs/>
          <w:i/>
        </w:rPr>
        <w:t xml:space="preserve">; it does not affect the sense of the Rik given on pp. 152–153. Per the standing convention it is</w:t>
      </w:r>
      <w:r>
        <w:rPr>
          <w:iCs/>
          <w:i/>
        </w:rPr>
        <w:t xml:space="preserve"> </w:t>
      </w:r>
      <w:r>
        <w:rPr>
          <w:bCs/>
          <w:b/>
          <w:iCs/>
          <w:i/>
        </w:rPr>
        <w:t xml:space="preserve">characterized in outline</w:t>
      </w:r>
      <w:r>
        <w:rPr>
          <w:iCs/>
          <w:i/>
        </w:rPr>
        <w:t xml:space="preserve">, with the sūtras it names kept in three layers; numbers as read, [?] where uncertain.)</w:t>
      </w:r>
    </w:p>
    <w:p>
      <w:pPr>
        <w:pStyle w:val="BodyText"/>
      </w:pPr>
      <w:r>
        <w:rPr>
          <w:bCs/>
          <w:b/>
        </w:rPr>
        <w:t xml:space="preserve">The derivation of</w:t>
      </w:r>
      <w:r>
        <w:rPr>
          <w:bCs/>
          <w:b/>
        </w:rPr>
        <w:t xml:space="preserve"> </w:t>
      </w:r>
      <w:r>
        <w:rPr>
          <w:bCs/>
          <w:b/>
        </w:rPr>
        <w:t xml:space="preserve">“</w:t>
      </w:r>
      <w:r>
        <w:rPr>
          <w:bCs/>
          <w:b/>
        </w:rPr>
        <w:t xml:space="preserve">ita</w:t>
      </w:r>
      <w:r>
        <w:rPr>
          <w:bCs/>
          <w:b/>
        </w:rPr>
        <w:t xml:space="preserve">”</w:t>
      </w:r>
      <w:r>
        <w:rPr>
          <w:bCs/>
          <w:b/>
        </w:rPr>
        <w:t xml:space="preserve"> </w:t>
      </w:r>
      <w:r>
        <w:rPr>
          <w:bCs/>
          <w:b/>
        </w:rPr>
        <w:t xml:space="preserve">(continuing from p. 154).</w:t>
      </w:r>
      <w:r>
        <w:t xml:space="preserve"> </w:t>
      </w:r>
      <w:r>
        <w:t xml:space="preserve">“</w:t>
      </w:r>
      <w:r>
        <w:t xml:space="preserve">ṭa</w:t>
      </w:r>
      <w:r>
        <w:t xml:space="preserve">”</w:t>
      </w:r>
      <w:r>
        <w:t xml:space="preserve"> </w:t>
      </w:r>
      <w:r>
        <w:t xml:space="preserve">is replaced by</w:t>
      </w:r>
      <w:r>
        <w:t xml:space="preserve"> </w:t>
      </w:r>
      <w:r>
        <w:t xml:space="preserve">“</w:t>
      </w:r>
      <w:r>
        <w:t xml:space="preserve">ta</w:t>
      </w:r>
      <w:r>
        <w:t xml:space="preserve">”</w:t>
      </w:r>
      <w:r>
        <w:t xml:space="preserve"> </w:t>
      </w:r>
      <w:r>
        <w:t xml:space="preserve">(</w:t>
      </w:r>
      <w:r>
        <w:rPr>
          <w:bCs/>
          <w:b/>
        </w:rPr>
        <w:t xml:space="preserve">तस्थस्थमिपां…</w:t>
      </w:r>
      <w:r>
        <w:t xml:space="preserve">); the</w:t>
      </w:r>
      <w:r>
        <w:t xml:space="preserve"> </w:t>
      </w:r>
      <w:r>
        <w:t xml:space="preserve">“</w:t>
      </w:r>
      <w:r>
        <w:t xml:space="preserve">śap</w:t>
      </w:r>
      <w:r>
        <w:t xml:space="preserve">”</w:t>
      </w:r>
      <w:r>
        <w:t xml:space="preserve"> </w:t>
      </w:r>
      <w:r>
        <w:t xml:space="preserve">in the middle is elided by</w:t>
      </w:r>
      <w:r>
        <w:t xml:space="preserve"> </w:t>
      </w:r>
      <w:r>
        <w:t xml:space="preserve">“</w:t>
      </w:r>
      <w:r>
        <w:t xml:space="preserve">luk</w:t>
      </w:r>
      <w:r>
        <w:t xml:space="preserve">”</w:t>
      </w:r>
      <w:r>
        <w:t xml:space="preserve"> </w:t>
      </w:r>
      <w:r>
        <w:t xml:space="preserve">after the root (an</w:t>
      </w:r>
      <w:r>
        <w:t xml:space="preserve"> </w:t>
      </w:r>
      <w:r>
        <w:t xml:space="preserve">“</w:t>
      </w:r>
      <w:r>
        <w:t xml:space="preserve">ad</w:t>
      </w:r>
      <w:r>
        <w:t xml:space="preserve">”</w:t>
      </w:r>
      <w:r>
        <w:t xml:space="preserve">-class root,</w:t>
      </w:r>
      <w:r>
        <w:t xml:space="preserve"> </w:t>
      </w:r>
      <w:r>
        <w:rPr>
          <w:bCs/>
          <w:b/>
        </w:rPr>
        <w:t xml:space="preserve">अदिप्रभृतिभ्यः शपः</w:t>
      </w:r>
      <w:r>
        <w:t xml:space="preserve">, पा. २-४-७२); since</w:t>
      </w:r>
      <w:r>
        <w:t xml:space="preserve"> </w:t>
      </w:r>
      <w:r>
        <w:t xml:space="preserve">“</w:t>
      </w:r>
      <w:r>
        <w:t xml:space="preserve">ta</w:t>
      </w:r>
      <w:r>
        <w:t xml:space="preserve">”</w:t>
      </w:r>
      <w:r>
        <w:t xml:space="preserve"> </w:t>
      </w:r>
      <w:r>
        <w:t xml:space="preserve">is</w:t>
      </w:r>
      <w:r>
        <w:t xml:space="preserve"> </w:t>
      </w:r>
      <w:r>
        <w:t xml:space="preserve">“</w:t>
      </w:r>
      <w:r>
        <w:t xml:space="preserve">p</w:t>
      </w:r>
      <w:r>
        <w:t xml:space="preserve">”</w:t>
      </w:r>
      <w:r>
        <w:t xml:space="preserve">-marked (</w:t>
      </w:r>
      <w:r>
        <w:rPr>
          <w:bCs/>
          <w:b/>
        </w:rPr>
        <w:t xml:space="preserve">अपित्</w:t>
      </w:r>
      <w:r>
        <w:t xml:space="preserve">), the sārvadhātuka ending is</w:t>
      </w:r>
      <w:r>
        <w:t xml:space="preserve"> </w:t>
      </w:r>
      <w:r>
        <w:t xml:space="preserve">“</w:t>
      </w:r>
      <w:r>
        <w:t xml:space="preserve">ṅit</w:t>
      </w:r>
      <w:r>
        <w:t xml:space="preserve">”</w:t>
      </w:r>
      <w:r>
        <w:t xml:space="preserve"> </w:t>
      </w:r>
      <w:r>
        <w:t xml:space="preserve">(</w:t>
      </w:r>
      <w:r>
        <w:rPr>
          <w:bCs/>
          <w:b/>
        </w:rPr>
        <w:t xml:space="preserve">सार्वधातुकमपित्</w:t>
      </w:r>
      <w:r>
        <w:t xml:space="preserve">, पा. १-२-४), so guṇa is barred (</w:t>
      </w:r>
      <w:r>
        <w:rPr>
          <w:bCs/>
          <w:b/>
        </w:rPr>
        <w:t xml:space="preserve">क्ङिति च</w:t>
      </w:r>
      <w:r>
        <w:t xml:space="preserve">, पा. १-१-५) and</w:t>
      </w:r>
      <w:r>
        <w:t xml:space="preserve"> </w:t>
      </w:r>
      <w:r>
        <w:t xml:space="preserve">“</w:t>
      </w:r>
      <w:r>
        <w:t xml:space="preserve">ita</w:t>
      </w:r>
      <w:r>
        <w:t xml:space="preserve">”</w:t>
      </w:r>
      <w:r>
        <w:t xml:space="preserve"> </w:t>
      </w:r>
      <w:r>
        <w:t xml:space="preserve">results. Here the root’s final</w:t>
      </w:r>
      <w:r>
        <w:t xml:space="preserve"> </w:t>
      </w:r>
      <w:r>
        <w:t xml:space="preserve">“</w:t>
      </w:r>
      <w:r>
        <w:t xml:space="preserve">i</w:t>
      </w:r>
      <w:r>
        <w:t xml:space="preserve">”</w:t>
      </w:r>
      <w:r>
        <w:t xml:space="preserve"> </w:t>
      </w:r>
      <w:r>
        <w:t xml:space="preserve">is acute by the rule that the last vowel of a root is acute (</w:t>
      </w:r>
      <w:r>
        <w:rPr>
          <w:bCs/>
          <w:b/>
        </w:rPr>
        <w:t xml:space="preserve">धातोः</w:t>
      </w:r>
      <w:r>
        <w:t xml:space="preserve">, पा. ६-१-१६२), while the</w:t>
      </w:r>
      <w:r>
        <w:t xml:space="preserve"> </w:t>
      </w:r>
      <w:r>
        <w:t xml:space="preserve">“</w:t>
      </w:r>
      <w:r>
        <w:t xml:space="preserve">ta</w:t>
      </w:r>
      <w:r>
        <w:t xml:space="preserve">”</w:t>
      </w:r>
      <w:r>
        <w:t xml:space="preserve"> </w:t>
      </w:r>
      <w:r>
        <w:t xml:space="preserve">affix would also be acute by</w:t>
      </w:r>
      <w:r>
        <w:t xml:space="preserve"> </w:t>
      </w:r>
      <w:r>
        <w:rPr>
          <w:bCs/>
          <w:b/>
        </w:rPr>
        <w:t xml:space="preserve">अनुदात्तौ सुप्पितौ</w:t>
      </w:r>
      <w:r>
        <w:t xml:space="preserve">’s opposite —</w:t>
      </w:r>
      <w:r>
        <w:t xml:space="preserve"> </w:t>
      </w:r>
      <w:r>
        <w:rPr>
          <w:bCs/>
          <w:b/>
        </w:rPr>
        <w:t xml:space="preserve">आद्युदात्तश्च</w:t>
      </w:r>
      <w:r>
        <w:t xml:space="preserve"> </w:t>
      </w:r>
      <w:r>
        <w:t xml:space="preserve">(पा. ३-१-३): the sārvadhātuka</w:t>
      </w:r>
      <w:r>
        <w:t xml:space="preserve"> </w:t>
      </w:r>
      <w:r>
        <w:t xml:space="preserve">“</w:t>
      </w:r>
      <w:r>
        <w:t xml:space="preserve">ta</w:t>
      </w:r>
      <w:r>
        <w:t xml:space="preserve">”</w:t>
      </w:r>
      <w:r>
        <w:t xml:space="preserve"> </w:t>
      </w:r>
      <w:r>
        <w:t xml:space="preserve">being</w:t>
      </w:r>
      <w:r>
        <w:t xml:space="preserve"> </w:t>
      </w:r>
      <w:r>
        <w:t xml:space="preserve">“</w:t>
      </w:r>
      <w:r>
        <w:t xml:space="preserve">p</w:t>
      </w:r>
      <w:r>
        <w:t xml:space="preserve">”</w:t>
      </w:r>
      <w:r>
        <w:t xml:space="preserve">-marked is unaccented — so the two rules compete, and, as the</w:t>
      </w:r>
      <w:r>
        <w:t xml:space="preserve"> </w:t>
      </w:r>
      <w:r>
        <w:t xml:space="preserve">“</w:t>
      </w:r>
      <w:r>
        <w:t xml:space="preserve">ita</w:t>
      </w:r>
      <w:r>
        <w:t xml:space="preserve">”</w:t>
      </w:r>
      <w:r>
        <w:t xml:space="preserve"> </w:t>
      </w:r>
      <w:r>
        <w:t xml:space="preserve">must be treated as a word that, being a tiṅanta placed after the particle</w:t>
      </w:r>
      <w:r>
        <w:t xml:space="preserve"> </w:t>
      </w:r>
      <w:r>
        <w:t xml:space="preserve">“</w:t>
      </w:r>
      <w:r>
        <w:t xml:space="preserve">ā</w:t>
      </w:r>
      <w:r>
        <w:t xml:space="preserve">”</w:t>
      </w:r>
      <w:r>
        <w:t xml:space="preserve"> </w:t>
      </w:r>
      <w:r>
        <w:t xml:space="preserve">and not at the beginning of a pāda, is wholly unaccented, the</w:t>
      </w:r>
      <w:r>
        <w:t xml:space="preserve"> </w:t>
      </w:r>
      <w:r>
        <w:rPr>
          <w:bCs/>
          <w:b/>
        </w:rPr>
        <w:t xml:space="preserve">अनुदात्तं पदमेकवर्जम्</w:t>
      </w:r>
      <w:r>
        <w:t xml:space="preserve"> </w:t>
      </w:r>
      <w:r>
        <w:t xml:space="preserve">(पा. ६-१-१५८; printed</w:t>
      </w:r>
      <w:r>
        <w:t xml:space="preserve"> </w:t>
      </w:r>
      <w:r>
        <w:t xml:space="preserve">“</w:t>
      </w:r>
      <w:r>
        <w:t xml:space="preserve">6-0-150</w:t>
      </w:r>
      <w:r>
        <w:t xml:space="preserve">”</w:t>
      </w:r>
      <w:r>
        <w:t xml:space="preserve">) leaves all but one syllable unaccented, so the</w:t>
      </w:r>
      <w:r>
        <w:t xml:space="preserve"> </w:t>
      </w:r>
      <w:r>
        <w:t xml:space="preserve">“</w:t>
      </w:r>
      <w:r>
        <w:t xml:space="preserve">i</w:t>
      </w:r>
      <w:r>
        <w:t xml:space="preserve">”</w:t>
      </w:r>
      <w:r>
        <w:t xml:space="preserve"> </w:t>
      </w:r>
      <w:r>
        <w:t xml:space="preserve">would be unaccented. But since the tiṅanta</w:t>
      </w:r>
      <w:r>
        <w:t xml:space="preserve"> </w:t>
      </w:r>
      <w:r>
        <w:t xml:space="preserve">“</w:t>
      </w:r>
      <w:r>
        <w:t xml:space="preserve">ita</w:t>
      </w:r>
      <w:r>
        <w:t xml:space="preserve">”</w:t>
      </w:r>
      <w:r>
        <w:t xml:space="preserve"> </w:t>
      </w:r>
      <w:r>
        <w:t xml:space="preserve">follows a word that is not a tiṅanta,</w:t>
      </w:r>
      <w:r>
        <w:t xml:space="preserve"> </w:t>
      </w:r>
      <w:r>
        <w:rPr>
          <w:bCs/>
          <w:b/>
        </w:rPr>
        <w:t xml:space="preserve">तिङ्ङतिङः</w:t>
      </w:r>
      <w:r>
        <w:t xml:space="preserve"> </w:t>
      </w:r>
      <w:r>
        <w:t xml:space="preserve">(</w:t>
      </w:r>
      <w:r>
        <w:rPr>
          <w:iCs/>
          <w:i/>
        </w:rPr>
        <w:t xml:space="preserve">tiṅṅ atiṅaḥ</w:t>
      </w:r>
      <w:r>
        <w:t xml:space="preserve">, पा. ८-१-२८) makes it wholly unaccented. In the saṃhitā the acute</w:t>
      </w:r>
      <w:r>
        <w:t xml:space="preserve"> </w:t>
      </w:r>
      <w:r>
        <w:t xml:space="preserve">“</w:t>
      </w:r>
      <w:r>
        <w:t xml:space="preserve">ā</w:t>
      </w:r>
      <w:r>
        <w:t xml:space="preserve">”</w:t>
      </w:r>
      <w:r>
        <w:t xml:space="preserve"> </w:t>
      </w:r>
      <w:r>
        <w:t xml:space="preserve">before it and the unaccented</w:t>
      </w:r>
      <w:r>
        <w:t xml:space="preserve"> </w:t>
      </w:r>
      <w:r>
        <w:t xml:space="preserve">“</w:t>
      </w:r>
      <w:r>
        <w:t xml:space="preserve">i</w:t>
      </w:r>
      <w:r>
        <w:t xml:space="preserve">”</w:t>
      </w:r>
      <w:r>
        <w:t xml:space="preserve"> </w:t>
      </w:r>
      <w:r>
        <w:t xml:space="preserve">of</w:t>
      </w:r>
      <w:r>
        <w:t xml:space="preserve"> </w:t>
      </w:r>
      <w:r>
        <w:t xml:space="preserve">“</w:t>
      </w:r>
      <w:r>
        <w:t xml:space="preserve">ita</w:t>
      </w:r>
      <w:r>
        <w:t xml:space="preserve">”</w:t>
      </w:r>
      <w:r>
        <w:t xml:space="preserve"> </w:t>
      </w:r>
      <w:r>
        <w:t xml:space="preserve">combine by guṇa into one substitute</w:t>
      </w:r>
      <w:r>
        <w:t xml:space="preserve"> </w:t>
      </w:r>
      <w:r>
        <w:t xml:space="preserve">“</w:t>
      </w:r>
      <w:r>
        <w:t xml:space="preserve">e,</w:t>
      </w:r>
      <w:r>
        <w:t xml:space="preserve">”</w:t>
      </w:r>
      <w:r>
        <w:t xml:space="preserve"> </w:t>
      </w:r>
      <w:r>
        <w:t xml:space="preserve">which is acute by</w:t>
      </w:r>
      <w:r>
        <w:t xml:space="preserve"> </w:t>
      </w:r>
      <w:r>
        <w:rPr>
          <w:bCs/>
          <w:b/>
        </w:rPr>
        <w:t xml:space="preserve">एकादेश उदात्तेनोदात्तः</w:t>
      </w:r>
      <w:r>
        <w:t xml:space="preserve"> </w:t>
      </w:r>
      <w:r>
        <w:t xml:space="preserve">(पा. ८-२-५); the</w:t>
      </w:r>
      <w:r>
        <w:t xml:space="preserve"> </w:t>
      </w:r>
      <w:r>
        <w:t xml:space="preserve">“</w:t>
      </w:r>
      <w:r>
        <w:t xml:space="preserve">a</w:t>
      </w:r>
      <w:r>
        <w:t xml:space="preserve">”</w:t>
      </w:r>
      <w:r>
        <w:t xml:space="preserve"> </w:t>
      </w:r>
      <w:r>
        <w:t xml:space="preserve">of the affix</w:t>
      </w:r>
      <w:r>
        <w:t xml:space="preserve"> </w:t>
      </w:r>
      <w:r>
        <w:t xml:space="preserve">“</w:t>
      </w:r>
      <w:r>
        <w:t xml:space="preserve">ta,</w:t>
      </w:r>
      <w:r>
        <w:t xml:space="preserve">”</w:t>
      </w:r>
      <w:r>
        <w:t xml:space="preserve"> </w:t>
      </w:r>
      <w:r>
        <w:t xml:space="preserve">followed by the acute</w:t>
      </w:r>
      <w:r>
        <w:t xml:space="preserve"> </w:t>
      </w:r>
      <w:r>
        <w:t xml:space="preserve">“</w:t>
      </w:r>
      <w:r>
        <w:t xml:space="preserve">ni,</w:t>
      </w:r>
      <w:r>
        <w:t xml:space="preserve">”</w:t>
      </w:r>
      <w:r>
        <w:t xml:space="preserve"> </w:t>
      </w:r>
      <w:r>
        <w:t xml:space="preserve">becomes</w:t>
      </w:r>
      <w:r>
        <w:t xml:space="preserve"> </w:t>
      </w:r>
      <w:r>
        <w:t xml:space="preserve">“</w:t>
      </w:r>
      <w:r>
        <w:t xml:space="preserve">anudāttatara</w:t>
      </w:r>
      <w:r>
        <w:t xml:space="preserve">”</w:t>
      </w:r>
      <w:r>
        <w:t xml:space="preserve"> </w:t>
      </w:r>
      <w:r>
        <w:t xml:space="preserve">by</w:t>
      </w:r>
      <w:r>
        <w:t xml:space="preserve"> </w:t>
      </w:r>
      <w:r>
        <w:rPr>
          <w:bCs/>
          <w:b/>
        </w:rPr>
        <w:t xml:space="preserve">उदात्तस्वरितपरस्य सन्नतरः</w:t>
      </w:r>
      <w:r>
        <w:t xml:space="preserve"> </w:t>
      </w:r>
      <w:r>
        <w:t xml:space="preserve">(पा. १-२-४०); and</w:t>
      </w:r>
      <w:r>
        <w:t xml:space="preserve"> </w:t>
      </w:r>
      <w:r>
        <w:rPr>
          <w:bCs/>
          <w:b/>
        </w:rPr>
        <w:t xml:space="preserve">द्व्यचोऽतस्तिङः</w:t>
      </w:r>
      <w:r>
        <w:t xml:space="preserve"> </w:t>
      </w:r>
      <w:r>
        <w:t xml:space="preserve">(पा. ६-३-१३५) lengthens the short</w:t>
      </w:r>
      <w:r>
        <w:t xml:space="preserve"> </w:t>
      </w:r>
      <w:r>
        <w:t xml:space="preserve">“</w:t>
      </w:r>
      <w:r>
        <w:t xml:space="preserve">a</w:t>
      </w:r>
      <w:r>
        <w:t xml:space="preserve">”</w:t>
      </w:r>
      <w:r>
        <w:t xml:space="preserve"> </w:t>
      </w:r>
      <w:r>
        <w:t xml:space="preserve">of the two-vowelled tiṅanta in a Ṛk:</w:t>
      </w:r>
      <w:r>
        <w:t xml:space="preserve"> </w:t>
      </w:r>
      <w:r>
        <w:t xml:space="preserve">“</w:t>
      </w:r>
      <w:r>
        <w:t xml:space="preserve">itā.</w:t>
      </w:r>
      <w:r>
        <w:t xml:space="preserve">”</w:t>
      </w:r>
    </w:p>
    <w:p>
      <w:pPr>
        <w:pStyle w:val="BodyText"/>
      </w:pPr>
      <w:r>
        <w:rPr>
          <w:bCs/>
          <w:b/>
        </w:rPr>
        <w:t xml:space="preserve">The argument about the two</w:t>
      </w:r>
      <w:r>
        <w:rPr>
          <w:bCs/>
          <w:b/>
        </w:rPr>
        <w:t xml:space="preserve"> </w:t>
      </w:r>
      <w:r>
        <w:rPr>
          <w:bCs/>
          <w:b/>
        </w:rPr>
        <w:t xml:space="preserve">“</w:t>
      </w:r>
      <w:r>
        <w:rPr>
          <w:bCs/>
          <w:b/>
        </w:rPr>
        <w:t xml:space="preserve">ā</w:t>
      </w:r>
      <w:r>
        <w:rPr>
          <w:bCs/>
          <w:b/>
        </w:rPr>
        <w:t xml:space="preserve">”</w:t>
      </w:r>
      <w:r>
        <w:rPr>
          <w:bCs/>
          <w:b/>
        </w:rPr>
        <w:t xml:space="preserve">s.</w:t>
      </w:r>
      <w:r>
        <w:t xml:space="preserve"> </w:t>
      </w:r>
      <w:r>
        <w:t xml:space="preserve">The print then asks how the single verb</w:t>
      </w:r>
      <w:r>
        <w:t xml:space="preserve"> </w:t>
      </w:r>
      <w:r>
        <w:t xml:space="preserve">“</w:t>
      </w:r>
      <w:r>
        <w:t xml:space="preserve">ita</w:t>
      </w:r>
      <w:r>
        <w:t xml:space="preserve">”</w:t>
      </w:r>
      <w:r>
        <w:t xml:space="preserve"> </w:t>
      </w:r>
      <w:r>
        <w:t xml:space="preserve">can be construed with</w:t>
      </w:r>
      <w:r>
        <w:t xml:space="preserve"> </w:t>
      </w:r>
      <w:r>
        <w:rPr>
          <w:iCs/>
          <w:i/>
        </w:rPr>
        <w:t xml:space="preserve">two</w:t>
      </w:r>
      <w:r>
        <w:t xml:space="preserve"> </w:t>
      </w:r>
      <w:r>
        <w:t xml:space="preserve">prefixes</w:t>
      </w:r>
      <w:r>
        <w:t xml:space="preserve"> </w:t>
      </w:r>
      <w:r>
        <w:t xml:space="preserve">“</w:t>
      </w:r>
      <w:r>
        <w:t xml:space="preserve">ā … ā.</w:t>
      </w:r>
      <w:r>
        <w:t xml:space="preserve">”</w:t>
      </w:r>
      <w:r>
        <w:t xml:space="preserve"> </w:t>
      </w:r>
      <w:r>
        <w:t xml:space="preserve">The two prefixes, it says, are meant to be understood as one doubled prefix (</w:t>
      </w:r>
      <w:r>
        <w:rPr>
          <w:bCs/>
          <w:b/>
        </w:rPr>
        <w:t xml:space="preserve">आदरार्थोऽभ्यासः</w:t>
      </w:r>
      <w:r>
        <w:t xml:space="preserve">,</w:t>
      </w:r>
      <w:r>
        <w:t xml:space="preserve"> </w:t>
      </w:r>
      <w:r>
        <w:t xml:space="preserve">“</w:t>
      </w:r>
      <w:r>
        <w:t xml:space="preserve">the doubling is for respect</w:t>
      </w:r>
      <w:r>
        <w:t xml:space="preserve">”</w:t>
      </w:r>
      <w:r>
        <w:t xml:space="preserve">). The text argues: if the two</w:t>
      </w:r>
      <w:r>
        <w:t xml:space="preserve"> </w:t>
      </w:r>
      <w:r>
        <w:t xml:space="preserve">“</w:t>
      </w:r>
      <w:r>
        <w:t xml:space="preserve">ā</w:t>
      </w:r>
      <w:r>
        <w:t xml:space="preserve">”</w:t>
      </w:r>
      <w:r>
        <w:t xml:space="preserve">s were joined with one</w:t>
      </w:r>
      <w:r>
        <w:t xml:space="preserve"> </w:t>
      </w:r>
      <w:r>
        <w:t xml:space="preserve">“</w:t>
      </w:r>
      <w:r>
        <w:t xml:space="preserve">ita</w:t>
      </w:r>
      <w:r>
        <w:t xml:space="preserve">”</w:t>
      </w:r>
      <w:r>
        <w:t xml:space="preserve"> </w:t>
      </w:r>
      <w:r>
        <w:t xml:space="preserve">at the same time, the sense would be of two separate prefixing operations on one verb, which is not possible, because a single verb-action cannot be joined at once with two identical prefixes; so one</w:t>
      </w:r>
      <w:r>
        <w:t xml:space="preserve"> </w:t>
      </w:r>
      <w:r>
        <w:t xml:space="preserve">“</w:t>
      </w:r>
      <w:r>
        <w:t xml:space="preserve">ā</w:t>
      </w:r>
      <w:r>
        <w:t xml:space="preserve">”</w:t>
      </w:r>
      <w:r>
        <w:t xml:space="preserve"> </w:t>
      </w:r>
      <w:r>
        <w:t xml:space="preserve">joins</w:t>
      </w:r>
      <w:r>
        <w:t xml:space="preserve"> </w:t>
      </w:r>
      <w:r>
        <w:t xml:space="preserve">“</w:t>
      </w:r>
      <w:r>
        <w:t xml:space="preserve">ita,</w:t>
      </w:r>
      <w:r>
        <w:t xml:space="preserve">”</w:t>
      </w:r>
      <w:r>
        <w:t xml:space="preserve"> </w:t>
      </w:r>
      <w:r>
        <w:t xml:space="preserve">and the other</w:t>
      </w:r>
      <w:r>
        <w:t xml:space="preserve"> </w:t>
      </w:r>
      <w:r>
        <w:t xml:space="preserve">“</w:t>
      </w:r>
      <w:r>
        <w:t xml:space="preserve">ā</w:t>
      </w:r>
      <w:r>
        <w:t xml:space="preserve">”</w:t>
      </w:r>
      <w:r>
        <w:t xml:space="preserve"> </w:t>
      </w:r>
      <w:r>
        <w:t xml:space="preserve">needs its own verb. Rather than supply another verb (which would be a</w:t>
      </w:r>
      <w:r>
        <w:t xml:space="preserve"> </w:t>
      </w:r>
      <w:r>
        <w:t xml:space="preserve">“</w:t>
      </w:r>
      <w:r>
        <w:t xml:space="preserve">gaurava,</w:t>
      </w:r>
      <w:r>
        <w:t xml:space="preserve">”</w:t>
      </w:r>
      <w:r>
        <w:t xml:space="preserve"> </w:t>
      </w:r>
      <w:r>
        <w:t xml:space="preserve">a clumsiness of explanation), it is more economical to repeat</w:t>
      </w:r>
      <w:r>
        <w:t xml:space="preserve"> </w:t>
      </w:r>
      <w:r>
        <w:t xml:space="preserve">“</w:t>
      </w:r>
      <w:r>
        <w:t xml:space="preserve">ita</w:t>
      </w:r>
      <w:r>
        <w:t xml:space="preserve">”</w:t>
      </w:r>
      <w:r>
        <w:t xml:space="preserve"> </w:t>
      </w:r>
      <w:r>
        <w:t xml:space="preserve">— that is, to take the verb as repeated (</w:t>
      </w:r>
      <w:r>
        <w:t xml:space="preserve">“</w:t>
      </w:r>
      <w:r>
        <w:t xml:space="preserve">āvṛtti</w:t>
      </w:r>
      <w:r>
        <w:t xml:space="preserve">”</w:t>
      </w:r>
      <w:r>
        <w:t xml:space="preserve">), so that the two</w:t>
      </w:r>
      <w:r>
        <w:t xml:space="preserve"> </w:t>
      </w:r>
      <w:r>
        <w:t xml:space="preserve">“</w:t>
      </w:r>
      <w:r>
        <w:t xml:space="preserve">ā</w:t>
      </w:r>
      <w:r>
        <w:t xml:space="preserve">”</w:t>
      </w:r>
      <w:r>
        <w:t xml:space="preserve">s each join an</w:t>
      </w:r>
      <w:r>
        <w:t xml:space="preserve"> </w:t>
      </w:r>
      <w:r>
        <w:t xml:space="preserve">“</w:t>
      </w:r>
      <w:r>
        <w:t xml:space="preserve">ita.</w:t>
      </w:r>
      <w:r>
        <w:t xml:space="preserve">”</w:t>
      </w:r>
      <w:r>
        <w:t xml:space="preserve"> </w:t>
      </w:r>
      <w:r>
        <w:t xml:space="preserve">The print supports this with the maxims</w:t>
      </w:r>
      <w:r>
        <w:t xml:space="preserve"> </w:t>
      </w:r>
      <w:r>
        <w:rPr>
          <w:bCs/>
          <w:b/>
        </w:rPr>
        <w:t xml:space="preserve">सकृदुच्चरितः शब्दः सकृदेवार्थं गमयति</w:t>
      </w:r>
      <w:r>
        <w:t xml:space="preserve"> </w:t>
      </w:r>
      <w:r>
        <w:t xml:space="preserve">(</w:t>
      </w:r>
      <w:r>
        <w:rPr>
          <w:iCs/>
          <w:i/>
        </w:rPr>
        <w:t xml:space="preserve">sakṛd uccaritaḥ śabdaḥ sakṛd evārthaṃ gamayati</w:t>
      </w:r>
      <w:r>
        <w:t xml:space="preserve">,</w:t>
      </w:r>
      <w:r>
        <w:t xml:space="preserve"> </w:t>
      </w:r>
      <w:r>
        <w:t xml:space="preserve">“</w:t>
      </w:r>
      <w:r>
        <w:t xml:space="preserve">a word uttered once conveys its sense once</w:t>
      </w:r>
      <w:r>
        <w:t xml:space="preserve">”</w:t>
      </w:r>
      <w:r>
        <w:t xml:space="preserve">) and</w:t>
      </w:r>
      <w:r>
        <w:t xml:space="preserve"> </w:t>
      </w:r>
      <w:r>
        <w:rPr>
          <w:bCs/>
          <w:b/>
        </w:rPr>
        <w:t xml:space="preserve">प्रत्यर्थं शब्दनिवेशः</w:t>
      </w:r>
      <w:r>
        <w:t xml:space="preserve"> </w:t>
      </w:r>
      <w:r>
        <w:t xml:space="preserve">(</w:t>
      </w:r>
      <w:r>
        <w:rPr>
          <w:iCs/>
          <w:i/>
        </w:rPr>
        <w:t xml:space="preserve">pratyarthaṃ śabdaniveśaḥ</w:t>
      </w:r>
      <w:r>
        <w:t xml:space="preserve">,</w:t>
      </w:r>
      <w:r>
        <w:t xml:space="preserve"> </w:t>
      </w:r>
      <w:r>
        <w:t xml:space="preserve">“</w:t>
      </w:r>
      <w:r>
        <w:t xml:space="preserve">a word is placed for each sense</w:t>
      </w:r>
      <w:r>
        <w:t xml:space="preserve">”</w:t>
      </w:r>
      <w:r>
        <w:t xml:space="preserve">), and with a passage discussed in the Mīmāṃsā-śāstra,</w:t>
      </w:r>
      <w:r>
        <w:t xml:space="preserve"> </w:t>
      </w:r>
      <w:r>
        <w:rPr>
          <w:bCs/>
          <w:b/>
        </w:rPr>
        <w:t xml:space="preserve">संतेवातः प्रणेतन [?] गच्छेतां-समङ्गानियजत्रैः-संयज्ञपतिराशिषा</w:t>
      </w:r>
      <w:r>
        <w:t xml:space="preserve"> </w:t>
      </w:r>
      <w:r>
        <w:t xml:space="preserve">(</w:t>
      </w:r>
      <w:r>
        <w:rPr>
          <w:iCs/>
          <w:i/>
        </w:rPr>
        <w:t xml:space="preserve">saṃtevātaḥ praṇetana [?] gacchetāṃ-samaṅgāniyajatraiḥ-saṃyajñapatirāśiṣā</w:t>
      </w:r>
      <w:r>
        <w:t xml:space="preserve">; as printed, run together) — the third sentence of that passage has a prefix</w:t>
      </w:r>
      <w:r>
        <w:t xml:space="preserve"> </w:t>
      </w:r>
      <w:r>
        <w:t xml:space="preserve">“</w:t>
      </w:r>
      <w:r>
        <w:t xml:space="preserve">sam</w:t>
      </w:r>
      <w:r>
        <w:t xml:space="preserve">”</w:t>
      </w:r>
      <w:r>
        <w:t xml:space="preserve"> </w:t>
      </w:r>
      <w:r>
        <w:t xml:space="preserve">which requires a verb to be supplied; the Pūrvapakṣa says a verb must be supplied, but the Siddhānta decides that the verb</w:t>
      </w:r>
      <w:r>
        <w:t xml:space="preserve"> </w:t>
      </w:r>
      <w:r>
        <w:t xml:space="preserve">“</w:t>
      </w:r>
      <w:r>
        <w:t xml:space="preserve">gacchatām</w:t>
      </w:r>
      <w:r>
        <w:t xml:space="preserve">”</w:t>
      </w:r>
      <w:r>
        <w:t xml:space="preserve"> </w:t>
      </w:r>
      <w:r>
        <w:t xml:space="preserve">of the first sentence is to be repeated and joined with it. The same result follows here:</w:t>
      </w:r>
      <w:r>
        <w:t xml:space="preserve"> </w:t>
      </w:r>
      <w:r>
        <w:t xml:space="preserve">“</w:t>
      </w:r>
      <w:r>
        <w:t xml:space="preserve">ita</w:t>
      </w:r>
      <w:r>
        <w:t xml:space="preserve">”</w:t>
      </w:r>
      <w:r>
        <w:t xml:space="preserve"> </w:t>
      </w:r>
      <w:r>
        <w:t xml:space="preserve">is repeated and joined with the two</w:t>
      </w:r>
      <w:r>
        <w:t xml:space="preserve"> </w:t>
      </w:r>
      <w:r>
        <w:t xml:space="preserve">“</w:t>
      </w:r>
      <w:r>
        <w:t xml:space="preserve">ā</w:t>
      </w:r>
      <w:r>
        <w:t xml:space="preserve">”</w:t>
      </w:r>
      <w:r>
        <w:t xml:space="preserve">s.</w:t>
      </w:r>
      <w:r>
        <w:t xml:space="preserve"> </w:t>
      </w:r>
      <w:r>
        <w:rPr>
          <w:bCs/>
          <w:b/>
        </w:rPr>
        <w:t xml:space="preserve">“</w:t>
      </w:r>
      <w:r>
        <w:rPr>
          <w:bCs/>
          <w:b/>
        </w:rPr>
        <w:t xml:space="preserve">Ni</w:t>
      </w:r>
      <w:r>
        <w:rPr>
          <w:bCs/>
          <w:b/>
        </w:rPr>
        <w:t xml:space="preserve">”</w:t>
      </w:r>
      <w:r>
        <w:t xml:space="preserve"> </w:t>
      </w:r>
      <w:r>
        <w:t xml:space="preserve">is a particle, so it is first-syllable acute.</w:t>
      </w:r>
    </w:p>
    <w:p>
      <w:pPr>
        <w:pStyle w:val="BodyText"/>
      </w:pPr>
      <w:r>
        <w:rPr>
          <w:iCs/>
          <w:i/>
        </w:rPr>
        <w:t xml:space="preserve">(Reading note: the Mīmāṃsā citation re-read from the better scan and given as printed;</w:t>
      </w:r>
      <w:r>
        <w:rPr>
          <w:iCs/>
          <w:i/>
        </w:rPr>
        <w:t xml:space="preserve"> </w:t>
      </w:r>
      <w:r>
        <w:rPr>
          <w:iCs/>
          <w:i/>
        </w:rPr>
        <w:t xml:space="preserve">“</w:t>
      </w:r>
      <w:r>
        <w:rPr>
          <w:iCs/>
          <w:i/>
        </w:rPr>
        <w:t xml:space="preserve">प्रणेतन</w:t>
      </w:r>
      <w:r>
        <w:rPr>
          <w:iCs/>
          <w:i/>
        </w:rPr>
        <w:t xml:space="preserve">”</w:t>
      </w:r>
      <w:r>
        <w:rPr>
          <w:iCs/>
          <w:i/>
        </w:rPr>
        <w:t xml:space="preserve"> </w:t>
      </w:r>
      <w:r>
        <w:rPr>
          <w:iCs/>
          <w:i/>
        </w:rPr>
        <w:t xml:space="preserve">is uncertain.)</w:t>
      </w:r>
    </w:p>
    <w:bookmarkEnd w:id="189"/>
    <w:bookmarkStart w:id="190" w:name="Xdc1b28c249051f9365c0b84fb6ad0f17ada89a8"/>
    <w:p>
      <w:pPr>
        <w:pStyle w:val="Heading3"/>
      </w:pPr>
      <w:r>
        <w:t xml:space="preserve">Pages 156–157 — Vyākaraṇa-prakriyā for Rik 5.1 concluded (characterized); Sūkta 5, Second Mantra: Saṃhitā</w:t>
      </w:r>
    </w:p>
    <w:p>
      <w:pPr>
        <w:pStyle w:val="FirstParagraph"/>
      </w:pPr>
      <w:r>
        <w:rPr>
          <w:iCs/>
          <w:i/>
        </w:rPr>
        <w:t xml:space="preserve">(Page headers: p. 156</w:t>
      </w:r>
      <w:r>
        <w:rPr>
          <w:iCs/>
          <w:i/>
        </w:rPr>
        <w:t xml:space="preserve"> </w:t>
      </w:r>
      <w:r>
        <w:rPr>
          <w:iCs/>
          <w:i/>
        </w:rPr>
        <w:t xml:space="preserve">“</w:t>
      </w:r>
      <w:r>
        <w:rPr>
          <w:iCs/>
          <w:i/>
        </w:rPr>
        <w:t xml:space="preserve">Sāyaṇa-bhāṣya-sahitā · Maṇḍala 1, Anuvāka 2, Sūkta 5</w:t>
      </w:r>
      <w:r>
        <w:rPr>
          <w:iCs/>
          <w:i/>
        </w:rPr>
        <w:t xml:space="preserve">”</w:t>
      </w:r>
      <w:r>
        <w:rPr>
          <w:iCs/>
          <w:i/>
        </w:rPr>
        <w:t xml:space="preserve">; p. 157</w:t>
      </w:r>
      <w:r>
        <w:rPr>
          <w:iCs/>
          <w:i/>
        </w:rPr>
        <w:t xml:space="preserve"> </w:t>
      </w:r>
      <w:r>
        <w:rPr>
          <w:iCs/>
          <w:i/>
        </w:rPr>
        <w:t xml:space="preserve">“</w:t>
      </w:r>
      <w:r>
        <w:rPr>
          <w:iCs/>
          <w:i/>
        </w:rPr>
        <w:t xml:space="preserve">Aṣṭaka 1, Adhyāya 1, Varga 9 · Ṛgveda-saṃhitā.</w:t>
      </w:r>
      <w:r>
        <w:rPr>
          <w:iCs/>
          <w:i/>
        </w:rPr>
        <w:t xml:space="preserve">”</w:t>
      </w:r>
      <w:r>
        <w:rPr>
          <w:iCs/>
          <w:i/>
        </w:rPr>
        <w:t xml:space="preserve"> </w:t>
      </w:r>
      <w:r>
        <w:rPr>
          <w:iCs/>
          <w:i/>
        </w:rPr>
        <w:t xml:space="preserve">These two pages are</w:t>
      </w:r>
      <w:r>
        <w:rPr>
          <w:iCs/>
          <w:i/>
        </w:rPr>
        <w:t xml:space="preserve"> </w:t>
      </w:r>
      <w:r>
        <w:rPr>
          <w:bCs/>
          <w:b/>
          <w:iCs/>
          <w:i/>
        </w:rPr>
        <w:t xml:space="preserve">pure Pāṇinian derivation in Kannada prose</w:t>
      </w:r>
      <w:r>
        <w:rPr>
          <w:iCs/>
          <w:i/>
        </w:rPr>
        <w:t xml:space="preserve"> </w:t>
      </w:r>
      <w:r>
        <w:rPr>
          <w:iCs/>
          <w:i/>
        </w:rPr>
        <w:t xml:space="preserve">for</w:t>
      </w:r>
      <w:r>
        <w:rPr>
          <w:iCs/>
          <w:i/>
        </w:rPr>
        <w:t xml:space="preserve"> </w:t>
      </w:r>
      <w:r>
        <w:rPr>
          <w:iCs/>
          <w:i/>
        </w:rPr>
        <w:t xml:space="preserve">“</w:t>
      </w:r>
      <w:r>
        <w:rPr>
          <w:iCs/>
          <w:i/>
        </w:rPr>
        <w:t xml:space="preserve">sīdata,</w:t>
      </w:r>
      <w:r>
        <w:rPr>
          <w:iCs/>
          <w:i/>
        </w:rPr>
        <w:t xml:space="preserve">”</w:t>
      </w:r>
      <w:r>
        <w:rPr>
          <w:iCs/>
          <w:i/>
        </w:rPr>
        <w:t xml:space="preserve"> </w:t>
      </w:r>
      <w:r>
        <w:rPr>
          <w:iCs/>
          <w:i/>
        </w:rPr>
        <w:t xml:space="preserve">“</w:t>
      </w:r>
      <w:r>
        <w:rPr>
          <w:iCs/>
          <w:i/>
        </w:rPr>
        <w:t xml:space="preserve">indram,</w:t>
      </w:r>
      <w:r>
        <w:rPr>
          <w:iCs/>
          <w:i/>
        </w:rPr>
        <w:t xml:space="preserve">”</w:t>
      </w:r>
      <w:r>
        <w:rPr>
          <w:iCs/>
          <w:i/>
        </w:rPr>
        <w:t xml:space="preserve"> </w:t>
      </w:r>
      <w:r>
        <w:rPr>
          <w:iCs/>
          <w:i/>
        </w:rPr>
        <w:t xml:space="preserve">“</w:t>
      </w:r>
      <w:r>
        <w:rPr>
          <w:iCs/>
          <w:i/>
        </w:rPr>
        <w:t xml:space="preserve">abhi,</w:t>
      </w:r>
      <w:r>
        <w:rPr>
          <w:iCs/>
          <w:i/>
        </w:rPr>
        <w:t xml:space="preserve">”</w:t>
      </w:r>
      <w:r>
        <w:rPr>
          <w:iCs/>
          <w:i/>
        </w:rPr>
        <w:t xml:space="preserve"> </w:t>
      </w:r>
      <w:r>
        <w:rPr>
          <w:iCs/>
          <w:i/>
        </w:rPr>
        <w:t xml:space="preserve">“</w:t>
      </w:r>
      <w:r>
        <w:rPr>
          <w:iCs/>
          <w:i/>
        </w:rPr>
        <w:t xml:space="preserve">pra,</w:t>
      </w:r>
      <w:r>
        <w:rPr>
          <w:iCs/>
          <w:i/>
        </w:rPr>
        <w:t xml:space="preserve">”</w:t>
      </w:r>
      <w:r>
        <w:rPr>
          <w:iCs/>
          <w:i/>
        </w:rPr>
        <w:t xml:space="preserve"> </w:t>
      </w:r>
      <w:r>
        <w:rPr>
          <w:iCs/>
          <w:i/>
        </w:rPr>
        <w:t xml:space="preserve">“</w:t>
      </w:r>
      <w:r>
        <w:rPr>
          <w:iCs/>
          <w:i/>
        </w:rPr>
        <w:t xml:space="preserve">gāyata</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stomavāhasaḥ,</w:t>
      </w:r>
      <w:r>
        <w:rPr>
          <w:iCs/>
          <w:i/>
        </w:rPr>
        <w:t xml:space="preserve">”</w:t>
      </w:r>
      <w:r>
        <w:rPr>
          <w:iCs/>
          <w:i/>
        </w:rPr>
        <w:t xml:space="preserve"> </w:t>
      </w:r>
      <w:r>
        <w:rPr>
          <w:iCs/>
          <w:i/>
        </w:rPr>
        <w:t xml:space="preserve">in part restating the Sanskrit of p. 152; they do not bear on the sense of the Rik (pp. 152–153). Per the standing convention they are</w:t>
      </w:r>
      <w:r>
        <w:rPr>
          <w:iCs/>
          <w:i/>
        </w:rPr>
        <w:t xml:space="preserve"> </w:t>
      </w:r>
      <w:r>
        <w:rPr>
          <w:bCs/>
          <w:b/>
          <w:iCs/>
          <w:i/>
        </w:rPr>
        <w:t xml:space="preserve">characterized in outline</w:t>
      </w:r>
      <w:r>
        <w:rPr>
          <w:iCs/>
          <w:i/>
        </w:rPr>
        <w:t xml:space="preserve">; the sūtras they name are kept in three layers, numbers as I read them. The accent-sign discussions that fill much of p. 156 are crowded and I do not reproduce them.)</w:t>
      </w:r>
    </w:p>
    <w:p>
      <w:pPr>
        <w:pStyle w:val="BodyText"/>
      </w:pPr>
      <w:r>
        <w:rPr>
          <w:bCs/>
          <w:b/>
        </w:rPr>
        <w:t xml:space="preserve">p. 156.</w:t>
      </w:r>
      <w:r>
        <w:t xml:space="preserve"> </w:t>
      </w:r>
      <w:r>
        <w:t xml:space="preserve">-</w:t>
      </w:r>
      <w:r>
        <w:t xml:space="preserve"> </w:t>
      </w:r>
      <w:r>
        <w:rPr>
          <w:bCs/>
          <w:b/>
        </w:rPr>
        <w:t xml:space="preserve">“</w:t>
      </w:r>
      <w:r>
        <w:rPr>
          <w:bCs/>
          <w:b/>
        </w:rPr>
        <w:t xml:space="preserve">Sīdata</w:t>
      </w:r>
      <w:r>
        <w:rPr>
          <w:bCs/>
          <w:b/>
        </w:rPr>
        <w:t xml:space="preserve">”</w:t>
      </w:r>
      <w:r>
        <w:t xml:space="preserve"> </w:t>
      </w:r>
      <w:r>
        <w:t xml:space="preserve">—</w:t>
      </w:r>
      <w:r>
        <w:t xml:space="preserve"> </w:t>
      </w:r>
      <w:r>
        <w:t xml:space="preserve">“</w:t>
      </w:r>
      <w:r>
        <w:t xml:space="preserve">ṣadḷ viśaraṇa-gaty-avasādaneṣu</w:t>
      </w:r>
      <w:r>
        <w:t xml:space="preserve">”</w:t>
      </w:r>
      <w:r>
        <w:t xml:space="preserve"> </w:t>
      </w:r>
      <w:r>
        <w:t xml:space="preserve">(to sink, to go, to sit): the initial</w:t>
      </w:r>
      <w:r>
        <w:t xml:space="preserve"> </w:t>
      </w:r>
      <w:r>
        <w:t xml:space="preserve">“</w:t>
      </w:r>
      <w:r>
        <w:t xml:space="preserve">ṣ</w:t>
      </w:r>
      <w:r>
        <w:t xml:space="preserve">”</w:t>
      </w:r>
      <w:r>
        <w:t xml:space="preserve"> </w:t>
      </w:r>
      <w:r>
        <w:t xml:space="preserve">of the root becomes</w:t>
      </w:r>
      <w:r>
        <w:t xml:space="preserve"> </w:t>
      </w:r>
      <w:r>
        <w:t xml:space="preserve">“</w:t>
      </w:r>
      <w:r>
        <w:t xml:space="preserve">s</w:t>
      </w:r>
      <w:r>
        <w:t xml:space="preserve">”</w:t>
      </w:r>
      <w:r>
        <w:t xml:space="preserve"> </w:t>
      </w:r>
      <w:r>
        <w:t xml:space="preserve">by</w:t>
      </w:r>
      <w:r>
        <w:t xml:space="preserve"> </w:t>
      </w:r>
      <w:r>
        <w:rPr>
          <w:bCs/>
          <w:b/>
        </w:rPr>
        <w:t xml:space="preserve">धात्वादेः षः सः</w:t>
      </w:r>
      <w:r>
        <w:t xml:space="preserve"> </w:t>
      </w:r>
      <w:r>
        <w:t xml:space="preserve">(</w:t>
      </w:r>
      <w:r>
        <w:rPr>
          <w:iCs/>
          <w:i/>
        </w:rPr>
        <w:t xml:space="preserve">dhātv-ādeḥ ṣaḥ saḥ</w:t>
      </w:r>
      <w:r>
        <w:t xml:space="preserve">, पा. ६-१-६४) →</w:t>
      </w:r>
      <w:r>
        <w:t xml:space="preserve"> </w:t>
      </w:r>
      <w:r>
        <w:t xml:space="preserve">“</w:t>
      </w:r>
      <w:r>
        <w:t xml:space="preserve">sad</w:t>
      </w:r>
      <w:r>
        <w:t xml:space="preserve">”</w:t>
      </w:r>
      <w:r>
        <w:t xml:space="preserve">; the imperative second-person plural</w:t>
      </w:r>
      <w:r>
        <w:t xml:space="preserve"> </w:t>
      </w:r>
      <w:r>
        <w:t xml:space="preserve">“</w:t>
      </w:r>
      <w:r>
        <w:t xml:space="preserve">tha</w:t>
      </w:r>
      <w:r>
        <w:t xml:space="preserve">”</w:t>
      </w:r>
      <w:r>
        <w:t xml:space="preserve"> </w:t>
      </w:r>
      <w:r>
        <w:t xml:space="preserve">→</w:t>
      </w:r>
      <w:r>
        <w:t xml:space="preserve"> </w:t>
      </w:r>
      <w:r>
        <w:t xml:space="preserve">“</w:t>
      </w:r>
      <w:r>
        <w:t xml:space="preserve">ta</w:t>
      </w:r>
      <w:r>
        <w:t xml:space="preserve">”</w:t>
      </w:r>
      <w:r>
        <w:t xml:space="preserve">;</w:t>
      </w:r>
      <w:r>
        <w:t xml:space="preserve"> </w:t>
      </w:r>
      <w:r>
        <w:t xml:space="preserve">“</w:t>
      </w:r>
      <w:r>
        <w:t xml:space="preserve">śap</w:t>
      </w:r>
      <w:r>
        <w:t xml:space="preserve">”</w:t>
      </w:r>
      <w:r>
        <w:t xml:space="preserve"> </w:t>
      </w:r>
      <w:r>
        <w:t xml:space="preserve">in the middle;</w:t>
      </w:r>
      <w:r>
        <w:t xml:space="preserve"> </w:t>
      </w:r>
      <w:r>
        <w:rPr>
          <w:bCs/>
          <w:b/>
        </w:rPr>
        <w:t xml:space="preserve">पाघ्राध्मास्थाम्नादाण्दृश्यर्तिसर्तिशदसदां पिबजिघ्रधमतिष्ठमनयच्छपश्यर्च्छधौशीयसीदाः</w:t>
      </w:r>
      <w:r>
        <w:t xml:space="preserve"> </w:t>
      </w:r>
      <w:r>
        <w:t xml:space="preserve">(पा. ७-३-७८, as I read the printed abbreviation) gives</w:t>
      </w:r>
      <w:r>
        <w:t xml:space="preserve"> </w:t>
      </w:r>
      <w:r>
        <w:t xml:space="preserve">“</w:t>
      </w:r>
      <w:r>
        <w:t xml:space="preserve">sīda</w:t>
      </w:r>
      <w:r>
        <w:t xml:space="preserve">”</w:t>
      </w:r>
      <w:r>
        <w:t xml:space="preserve"> </w:t>
      </w:r>
      <w:r>
        <w:t xml:space="preserve">for</w:t>
      </w:r>
      <w:r>
        <w:t xml:space="preserve"> </w:t>
      </w:r>
      <w:r>
        <w:t xml:space="preserve">“</w:t>
      </w:r>
      <w:r>
        <w:t xml:space="preserve">sad</w:t>
      </w:r>
      <w:r>
        <w:t xml:space="preserve">”</w:t>
      </w:r>
      <w:r>
        <w:t xml:space="preserve"> </w:t>
      </w:r>
      <w:r>
        <w:t xml:space="preserve">before a sārvadhātuka beginning with a consonant;</w:t>
      </w:r>
      <w:r>
        <w:t xml:space="preserve"> </w:t>
      </w:r>
      <w:r>
        <w:rPr>
          <w:bCs/>
          <w:b/>
        </w:rPr>
        <w:t xml:space="preserve">सदेरप्रतेः</w:t>
      </w:r>
      <w:r>
        <w:t xml:space="preserve"> </w:t>
      </w:r>
      <w:r>
        <w:t xml:space="preserve">(पा. ८-३-६६) puts</w:t>
      </w:r>
      <w:r>
        <w:t xml:space="preserve"> </w:t>
      </w:r>
      <w:r>
        <w:t xml:space="preserve">“</w:t>
      </w:r>
      <w:r>
        <w:t xml:space="preserve">ṣ</w:t>
      </w:r>
      <w:r>
        <w:t xml:space="preserve">”</w:t>
      </w:r>
      <w:r>
        <w:t xml:space="preserve"> </w:t>
      </w:r>
      <w:r>
        <w:t xml:space="preserve">after a prefix —</w:t>
      </w:r>
      <w:r>
        <w:t xml:space="preserve"> </w:t>
      </w:r>
      <w:r>
        <w:t xml:space="preserve">“</w:t>
      </w:r>
      <w:r>
        <w:t xml:space="preserve">ni ṣīdata.</w:t>
      </w:r>
      <w:r>
        <w:t xml:space="preserve">”</w:t>
      </w:r>
      <w:r>
        <w:t xml:space="preserve"> </w:t>
      </w:r>
      <w:r>
        <w:t xml:space="preserve">The accent: the root’s</w:t>
      </w:r>
      <w:r>
        <w:t xml:space="preserve"> </w:t>
      </w:r>
      <w:r>
        <w:t xml:space="preserve">“</w:t>
      </w:r>
      <w:r>
        <w:t xml:space="preserve">ī</w:t>
      </w:r>
      <w:r>
        <w:t xml:space="preserve">”</w:t>
      </w:r>
      <w:r>
        <w:t xml:space="preserve"> </w:t>
      </w:r>
      <w:r>
        <w:t xml:space="preserve">would get the acute (</w:t>
      </w:r>
      <w:r>
        <w:rPr>
          <w:bCs/>
          <w:b/>
        </w:rPr>
        <w:t xml:space="preserve">धातोः</w:t>
      </w:r>
      <w:r>
        <w:t xml:space="preserve">, पा. ६-१-१६२); but the sārvadhātuka</w:t>
      </w:r>
      <w:r>
        <w:t xml:space="preserve"> </w:t>
      </w:r>
      <w:r>
        <w:t xml:space="preserve">“</w:t>
      </w:r>
      <w:r>
        <w:t xml:space="preserve">ta</w:t>
      </w:r>
      <w:r>
        <w:t xml:space="preserve">”</w:t>
      </w:r>
      <w:r>
        <w:t xml:space="preserve"> </w:t>
      </w:r>
      <w:r>
        <w:t xml:space="preserve">— and</w:t>
      </w:r>
      <w:r>
        <w:t xml:space="preserve"> </w:t>
      </w:r>
      <w:r>
        <w:t xml:space="preserve">“</w:t>
      </w:r>
      <w:r>
        <w:t xml:space="preserve">śap,</w:t>
      </w:r>
      <w:r>
        <w:t xml:space="preserve">”</w:t>
      </w:r>
      <w:r>
        <w:t xml:space="preserve"> </w:t>
      </w:r>
      <w:r>
        <w:t xml:space="preserve">which is</w:t>
      </w:r>
      <w:r>
        <w:t xml:space="preserve"> </w:t>
      </w:r>
      <w:r>
        <w:t xml:space="preserve">“</w:t>
      </w:r>
      <w:r>
        <w:t xml:space="preserve">p</w:t>
      </w:r>
      <w:r>
        <w:t xml:space="preserve">”</w:t>
      </w:r>
      <w:r>
        <w:t xml:space="preserve">-marked and unaccented (</w:t>
      </w:r>
      <w:r>
        <w:rPr>
          <w:bCs/>
          <w:b/>
        </w:rPr>
        <w:t xml:space="preserve">अनुदात्तौ सुप्पितौ</w:t>
      </w:r>
      <w:r>
        <w:t xml:space="preserve">, पा. ३-१-४) — and</w:t>
      </w:r>
      <w:r>
        <w:t xml:space="preserve"> </w:t>
      </w:r>
      <w:r>
        <w:rPr>
          <w:bCs/>
          <w:b/>
        </w:rPr>
        <w:t xml:space="preserve">तास्यनुदात्तेन्ङिददुपदेशाल्लसार्वधातुकमनुदात्तमहन्वनोर्ङित्</w:t>
      </w:r>
      <w:r>
        <w:t xml:space="preserve"> </w:t>
      </w:r>
      <w:r>
        <w:t xml:space="preserve">(पा. ६-१-१८६) leave</w:t>
      </w:r>
      <w:r>
        <w:t xml:space="preserve"> </w:t>
      </w:r>
      <w:r>
        <w:t xml:space="preserve">“</w:t>
      </w:r>
      <w:r>
        <w:t xml:space="preserve">sīdata</w:t>
      </w:r>
      <w:r>
        <w:t xml:space="preserve">”</w:t>
      </w:r>
      <w:r>
        <w:t xml:space="preserve"> </w:t>
      </w:r>
      <w:r>
        <w:t xml:space="preserve">without its own acute; and since it is a tiṅanta word following</w:t>
      </w:r>
      <w:r>
        <w:t xml:space="preserve"> </w:t>
      </w:r>
      <w:r>
        <w:t xml:space="preserve">“</w:t>
      </w:r>
      <w:r>
        <w:t xml:space="preserve">ni,</w:t>
      </w:r>
      <w:r>
        <w:t xml:space="preserve">”</w:t>
      </w:r>
      <w:r>
        <w:t xml:space="preserve"> </w:t>
      </w:r>
      <w:r>
        <w:t xml:space="preserve">it is wholly unaccented by</w:t>
      </w:r>
      <w:r>
        <w:t xml:space="preserve"> </w:t>
      </w:r>
      <w:r>
        <w:rPr>
          <w:bCs/>
          <w:b/>
        </w:rPr>
        <w:t xml:space="preserve">तिङ्ङतिङः</w:t>
      </w:r>
      <w:r>
        <w:t xml:space="preserve"> </w:t>
      </w:r>
      <w:r>
        <w:t xml:space="preserve">(पा. ८-१-२८). In the saṃhitā</w:t>
      </w:r>
      <w:r>
        <w:t xml:space="preserve"> </w:t>
      </w:r>
      <w:r>
        <w:t xml:space="preserve">“</w:t>
      </w:r>
      <w:r>
        <w:t xml:space="preserve">ni</w:t>
      </w:r>
      <w:r>
        <w:t xml:space="preserve">”</w:t>
      </w:r>
      <w:r>
        <w:t xml:space="preserve"> </w:t>
      </w:r>
      <w:r>
        <w:t xml:space="preserve">is acute, and the</w:t>
      </w:r>
      <w:r>
        <w:t xml:space="preserve"> </w:t>
      </w:r>
      <w:r>
        <w:t xml:space="preserve">“</w:t>
      </w:r>
      <w:r>
        <w:t xml:space="preserve">ī</w:t>
      </w:r>
      <w:r>
        <w:t xml:space="preserve">”</w:t>
      </w:r>
      <w:r>
        <w:t xml:space="preserve"> </w:t>
      </w:r>
      <w:r>
        <w:t xml:space="preserve">after it becomes svarita by</w:t>
      </w:r>
      <w:r>
        <w:t xml:space="preserve"> </w:t>
      </w:r>
      <w:r>
        <w:rPr>
          <w:bCs/>
          <w:b/>
        </w:rPr>
        <w:t xml:space="preserve">उदात्तादनुदात्तस्य स्वरितः</w:t>
      </w:r>
      <w:r>
        <w:t xml:space="preserve"> </w:t>
      </w:r>
      <w:r>
        <w:t xml:space="preserve">(पा. ८-४-६६); the following unaccented syllables take the level pitch (</w:t>
      </w:r>
      <w:r>
        <w:t xml:space="preserve">“</w:t>
      </w:r>
      <w:r>
        <w:t xml:space="preserve">pracaya</w:t>
      </w:r>
      <w:r>
        <w:t xml:space="preserve">”</w:t>
      </w:r>
      <w:r>
        <w:t xml:space="preserve">) by</w:t>
      </w:r>
      <w:r>
        <w:t xml:space="preserve"> </w:t>
      </w:r>
      <w:r>
        <w:rPr>
          <w:bCs/>
          <w:b/>
        </w:rPr>
        <w:t xml:space="preserve">स्वरितात्संहितायामनुदात्तानाम्</w:t>
      </w:r>
      <w:r>
        <w:t xml:space="preserve"> </w:t>
      </w:r>
      <w:r>
        <w:t xml:space="preserve">(पा. १-२-३९; printed</w:t>
      </w:r>
      <w:r>
        <w:t xml:space="preserve"> </w:t>
      </w:r>
      <w:r>
        <w:t xml:space="preserve">“</w:t>
      </w:r>
      <w:r>
        <w:t xml:space="preserve">1-2-69</w:t>
      </w:r>
      <w:r>
        <w:t xml:space="preserve">”</w:t>
      </w:r>
      <w:r>
        <w:t xml:space="preserve">).</w:t>
      </w:r>
      <w:r>
        <w:t xml:space="preserve"> </w:t>
      </w:r>
      <w:r>
        <w:t xml:space="preserve">-</w:t>
      </w:r>
      <w:r>
        <w:t xml:space="preserve"> </w:t>
      </w:r>
      <w:r>
        <w:rPr>
          <w:bCs/>
          <w:b/>
        </w:rPr>
        <w:t xml:space="preserve">“</w:t>
      </w:r>
      <w:r>
        <w:rPr>
          <w:bCs/>
          <w:b/>
        </w:rPr>
        <w:t xml:space="preserve">Indram</w:t>
      </w:r>
      <w:r>
        <w:rPr>
          <w:bCs/>
          <w:b/>
        </w:rPr>
        <w:t xml:space="preserve">”</w:t>
      </w:r>
      <w:r>
        <w:t xml:space="preserve"> </w:t>
      </w:r>
      <w:r>
        <w:t xml:space="preserve">— from</w:t>
      </w:r>
      <w:r>
        <w:t xml:space="preserve"> </w:t>
      </w:r>
      <w:r>
        <w:t xml:space="preserve">“</w:t>
      </w:r>
      <w:r>
        <w:t xml:space="preserve">idi paramaiśvarye</w:t>
      </w:r>
      <w:r>
        <w:t xml:space="preserve">”</w:t>
      </w:r>
      <w:r>
        <w:t xml:space="preserve"> </w:t>
      </w:r>
      <w:r>
        <w:t xml:space="preserve">(to rule) by the Uṇādi</w:t>
      </w:r>
      <w:r>
        <w:t xml:space="preserve"> </w:t>
      </w:r>
      <w:r>
        <w:t xml:space="preserve">“</w:t>
      </w:r>
      <w:r>
        <w:t xml:space="preserve">ran</w:t>
      </w:r>
      <w:r>
        <w:t xml:space="preserve">”</w:t>
      </w:r>
      <w:r>
        <w:t xml:space="preserve"> </w:t>
      </w:r>
      <w:r>
        <w:t xml:space="preserve">(</w:t>
      </w:r>
      <w:r>
        <w:rPr>
          <w:bCs/>
          <w:b/>
        </w:rPr>
        <w:t xml:space="preserve">ऋज्रेन्द्राग्रवज्र…</w:t>
      </w:r>
      <w:r>
        <w:t xml:space="preserve">) as before; the augment</w:t>
      </w:r>
      <w:r>
        <w:t xml:space="preserve"> </w:t>
      </w:r>
      <w:r>
        <w:t xml:space="preserve">“</w:t>
      </w:r>
      <w:r>
        <w:t xml:space="preserve">num</w:t>
      </w:r>
      <w:r>
        <w:t xml:space="preserve">”</w:t>
      </w:r>
      <w:r>
        <w:t xml:space="preserve"> </w:t>
      </w:r>
      <w:r>
        <w:t xml:space="preserve">for an</w:t>
      </w:r>
      <w:r>
        <w:t xml:space="preserve"> </w:t>
      </w:r>
      <w:r>
        <w:t xml:space="preserve">“</w:t>
      </w:r>
      <w:r>
        <w:t xml:space="preserve">it</w:t>
      </w:r>
      <w:r>
        <w:t xml:space="preserve">”</w:t>
      </w:r>
      <w:r>
        <w:t xml:space="preserve">-marked root (</w:t>
      </w:r>
      <w:r>
        <w:rPr>
          <w:bCs/>
          <w:b/>
        </w:rPr>
        <w:t xml:space="preserve">इदितो नुम् धातोः</w:t>
      </w:r>
      <w:r>
        <w:t xml:space="preserve">, पा. ७-१-५८);</w:t>
      </w:r>
      <w:r>
        <w:t xml:space="preserve"> </w:t>
      </w:r>
      <w:r>
        <w:t xml:space="preserve">“</w:t>
      </w:r>
      <w:r>
        <w:t xml:space="preserve">n</w:t>
      </w:r>
      <w:r>
        <w:t xml:space="preserve">”</w:t>
      </w:r>
      <w:r>
        <w:t xml:space="preserve">-marked, first-syllable acute; the second-case singular</w:t>
      </w:r>
      <w:r>
        <w:t xml:space="preserve"> </w:t>
      </w:r>
      <w:r>
        <w:t xml:space="preserve">“</w:t>
      </w:r>
      <w:r>
        <w:t xml:space="preserve">am</w:t>
      </w:r>
      <w:r>
        <w:t xml:space="preserve">”</w:t>
      </w:r>
      <w:r>
        <w:t xml:space="preserve"> </w:t>
      </w:r>
      <w:r>
        <w:t xml:space="preserve">is unaccented, and</w:t>
      </w:r>
      <w:r>
        <w:t xml:space="preserve"> </w:t>
      </w:r>
      <w:r>
        <w:rPr>
          <w:bCs/>
          <w:b/>
        </w:rPr>
        <w:t xml:space="preserve">अमि पूर्वः</w:t>
      </w:r>
      <w:r>
        <w:t xml:space="preserve"> </w:t>
      </w:r>
      <w:r>
        <w:t xml:space="preserve">(पा. ६-१-१०७) combines the two</w:t>
      </w:r>
      <w:r>
        <w:t xml:space="preserve"> </w:t>
      </w:r>
      <w:r>
        <w:t xml:space="preserve">“</w:t>
      </w:r>
      <w:r>
        <w:t xml:space="preserve">a</w:t>
      </w:r>
      <w:r>
        <w:t xml:space="preserve">”</w:t>
      </w:r>
      <w:r>
        <w:t xml:space="preserve">s into one, which by</w:t>
      </w:r>
      <w:r>
        <w:t xml:space="preserve"> </w:t>
      </w:r>
      <w:r>
        <w:rPr>
          <w:bCs/>
          <w:b/>
        </w:rPr>
        <w:t xml:space="preserve">स्थानिवद्भाव</w:t>
      </w:r>
      <w:r>
        <w:t xml:space="preserve"> </w:t>
      </w:r>
      <w:r>
        <w:t xml:space="preserve">is unaccented, and which, standing after an acute, becomes svarita.</w:t>
      </w:r>
    </w:p>
    <w:p>
      <w:pPr>
        <w:pStyle w:val="BodyText"/>
      </w:pPr>
      <w:r>
        <w:rPr>
          <w:bCs/>
          <w:b/>
        </w:rPr>
        <w:t xml:space="preserve">p. 157.</w:t>
      </w:r>
      <w:r>
        <w:t xml:space="preserve"> </w:t>
      </w:r>
      <w:r>
        <w:t xml:space="preserve">-</w:t>
      </w:r>
      <w:r>
        <w:t xml:space="preserve"> </w:t>
      </w:r>
      <w:r>
        <w:rPr>
          <w:bCs/>
          <w:b/>
        </w:rPr>
        <w:t xml:space="preserve">“</w:t>
      </w:r>
      <w:r>
        <w:rPr>
          <w:bCs/>
          <w:b/>
        </w:rPr>
        <w:t xml:space="preserve">Abhi</w:t>
      </w:r>
      <w:r>
        <w:rPr>
          <w:bCs/>
          <w:b/>
        </w:rPr>
        <w:t xml:space="preserve">”</w:t>
      </w:r>
      <w:r>
        <w:t xml:space="preserve"> </w:t>
      </w:r>
      <w:r>
        <w:t xml:space="preserve">— by the statement excepting</w:t>
      </w:r>
      <w:r>
        <w:t xml:space="preserve"> </w:t>
      </w:r>
      <w:r>
        <w:t xml:space="preserve">“</w:t>
      </w:r>
      <w:r>
        <w:t xml:space="preserve">abhi</w:t>
      </w:r>
      <w:r>
        <w:t xml:space="preserve">”</w:t>
      </w:r>
      <w:r>
        <w:t xml:space="preserve"> </w:t>
      </w:r>
      <w:r>
        <w:t xml:space="preserve">from the prefix rule, the Phiṭ-sūtra</w:t>
      </w:r>
      <w:r>
        <w:t xml:space="preserve"> </w:t>
      </w:r>
      <w:r>
        <w:rPr>
          <w:bCs/>
          <w:b/>
        </w:rPr>
        <w:t xml:space="preserve">फिषोऽन्त उदात्तः</w:t>
      </w:r>
      <w:r>
        <w:t xml:space="preserve"> </w:t>
      </w:r>
      <w:r>
        <w:t xml:space="preserve">(फि. सू. १; the bold first word is blurred in the print) makes</w:t>
      </w:r>
      <w:r>
        <w:t xml:space="preserve"> </w:t>
      </w:r>
      <w:r>
        <w:t xml:space="preserve">“</w:t>
      </w:r>
      <w:r>
        <w:t xml:space="preserve">abhi</w:t>
      </w:r>
      <w:r>
        <w:t xml:space="preserve">”</w:t>
      </w:r>
      <w:r>
        <w:t xml:space="preserve"> </w:t>
      </w:r>
      <w:r>
        <w:t xml:space="preserve">end-acute.</w:t>
      </w:r>
      <w:r>
        <w:t xml:space="preserve"> </w:t>
      </w:r>
      <w:r>
        <w:rPr>
          <w:bCs/>
          <w:b/>
        </w:rPr>
        <w:t xml:space="preserve">“</w:t>
      </w:r>
      <w:r>
        <w:rPr>
          <w:bCs/>
          <w:b/>
        </w:rPr>
        <w:t xml:space="preserve">Pra</w:t>
      </w:r>
      <w:r>
        <w:rPr>
          <w:bCs/>
          <w:b/>
        </w:rPr>
        <w:t xml:space="preserve">”</w:t>
      </w:r>
      <w:r>
        <w:t xml:space="preserve"> </w:t>
      </w:r>
      <w:r>
        <w:t xml:space="preserve">— a particle, so first-syllable acute by</w:t>
      </w:r>
      <w:r>
        <w:t xml:space="preserve"> </w:t>
      </w:r>
      <w:r>
        <w:rPr>
          <w:bCs/>
          <w:b/>
        </w:rPr>
        <w:t xml:space="preserve">निपाता आद्युदात्ताः</w:t>
      </w:r>
      <w:r>
        <w:t xml:space="preserve"> </w:t>
      </w:r>
      <w:r>
        <w:t xml:space="preserve">(फि. सू. ८०); or, as a prefix, first-syllable acute by</w:t>
      </w:r>
      <w:r>
        <w:t xml:space="preserve"> </w:t>
      </w:r>
      <w:r>
        <w:rPr>
          <w:bCs/>
          <w:b/>
        </w:rPr>
        <w:t xml:space="preserve">उपसर्गाश्चाभिवर्जम्</w:t>
      </w:r>
      <w:r>
        <w:t xml:space="preserve"> </w:t>
      </w:r>
      <w:r>
        <w:t xml:space="preserve">(फि. सू. ८१).</w:t>
      </w:r>
      <w:r>
        <w:t xml:space="preserve"> </w:t>
      </w:r>
      <w:r>
        <w:t xml:space="preserve">-</w:t>
      </w:r>
      <w:r>
        <w:t xml:space="preserve"> </w:t>
      </w:r>
      <w:r>
        <w:rPr>
          <w:bCs/>
          <w:b/>
        </w:rPr>
        <w:t xml:space="preserve">“</w:t>
      </w:r>
      <w:r>
        <w:rPr>
          <w:bCs/>
          <w:b/>
        </w:rPr>
        <w:t xml:space="preserve">Gāyata</w:t>
      </w:r>
      <w:r>
        <w:rPr>
          <w:bCs/>
          <w:b/>
        </w:rPr>
        <w:t xml:space="preserve">”</w:t>
      </w:r>
      <w:r>
        <w:t xml:space="preserve"> </w:t>
      </w:r>
      <w:r>
        <w:t xml:space="preserve">— the root</w:t>
      </w:r>
      <w:r>
        <w:t xml:space="preserve"> </w:t>
      </w:r>
      <w:r>
        <w:t xml:space="preserve">“</w:t>
      </w:r>
      <w:r>
        <w:t xml:space="preserve">gai śabde</w:t>
      </w:r>
      <w:r>
        <w:t xml:space="preserve">”</w:t>
      </w:r>
      <w:r>
        <w:t xml:space="preserve"> </w:t>
      </w:r>
      <w:r>
        <w:t xml:space="preserve">(to sound, to sing), imperative second-person plural</w:t>
      </w:r>
      <w:r>
        <w:t xml:space="preserve"> </w:t>
      </w:r>
      <w:r>
        <w:t xml:space="preserve">“</w:t>
      </w:r>
      <w:r>
        <w:t xml:space="preserve">tha</w:t>
      </w:r>
      <w:r>
        <w:t xml:space="preserve">”</w:t>
      </w:r>
      <w:r>
        <w:t xml:space="preserve"> </w:t>
      </w:r>
      <w:r>
        <w:t xml:space="preserve">→</w:t>
      </w:r>
      <w:r>
        <w:t xml:space="preserve"> </w:t>
      </w:r>
      <w:r>
        <w:t xml:space="preserve">“</w:t>
      </w:r>
      <w:r>
        <w:t xml:space="preserve">ta</w:t>
      </w:r>
      <w:r>
        <w:t xml:space="preserve">”</w:t>
      </w:r>
      <w:r>
        <w:t xml:space="preserve">;</w:t>
      </w:r>
      <w:r>
        <w:t xml:space="preserve"> </w:t>
      </w:r>
      <w:r>
        <w:t xml:space="preserve">“</w:t>
      </w:r>
      <w:r>
        <w:t xml:space="preserve">śap</w:t>
      </w:r>
      <w:r>
        <w:t xml:space="preserve">”</w:t>
      </w:r>
      <w:r>
        <w:t xml:space="preserve">;</w:t>
      </w:r>
      <w:r>
        <w:t xml:space="preserve"> </w:t>
      </w:r>
      <w:r>
        <w:rPr>
          <w:bCs/>
          <w:b/>
        </w:rPr>
        <w:t xml:space="preserve">एचोऽयवायावः</w:t>
      </w:r>
      <w:r>
        <w:t xml:space="preserve"> </w:t>
      </w:r>
      <w:r>
        <w:t xml:space="preserve">(पा. ६-१-७८) gives</w:t>
      </w:r>
      <w:r>
        <w:t xml:space="preserve"> </w:t>
      </w:r>
      <w:r>
        <w:t xml:space="preserve">“</w:t>
      </w:r>
      <w:r>
        <w:t xml:space="preserve">āy</w:t>
      </w:r>
      <w:r>
        <w:t xml:space="preserve">”</w:t>
      </w:r>
      <w:r>
        <w:t xml:space="preserve"> </w:t>
      </w:r>
      <w:r>
        <w:t xml:space="preserve">for</w:t>
      </w:r>
      <w:r>
        <w:t xml:space="preserve"> </w:t>
      </w:r>
      <w:r>
        <w:t xml:space="preserve">“</w:t>
      </w:r>
      <w:r>
        <w:t xml:space="preserve">ai</w:t>
      </w:r>
      <w:r>
        <w:t xml:space="preserve">”</w:t>
      </w:r>
      <w:r>
        <w:t xml:space="preserve"> </w:t>
      </w:r>
      <w:r>
        <w:t xml:space="preserve">→</w:t>
      </w:r>
      <w:r>
        <w:t xml:space="preserve"> </w:t>
      </w:r>
      <w:r>
        <w:t xml:space="preserve">“</w:t>
      </w:r>
      <w:r>
        <w:t xml:space="preserve">gāyata.</w:t>
      </w:r>
      <w:r>
        <w:t xml:space="preserve">”</w:t>
      </w:r>
      <w:r>
        <w:t xml:space="preserve"> </w:t>
      </w:r>
      <w:r>
        <w:t xml:space="preserve">By the root-accent the last vowel of the root would be acute and the affix</w:t>
      </w:r>
      <w:r>
        <w:t xml:space="preserve"> </w:t>
      </w:r>
      <w:r>
        <w:t xml:space="preserve">“</w:t>
      </w:r>
      <w:r>
        <w:t xml:space="preserve">ta</w:t>
      </w:r>
      <w:r>
        <w:t xml:space="preserve">”</w:t>
      </w:r>
      <w:r>
        <w:t xml:space="preserve"> </w:t>
      </w:r>
      <w:r>
        <w:t xml:space="preserve">is</w:t>
      </w:r>
      <w:r>
        <w:t xml:space="preserve"> </w:t>
      </w:r>
      <w:r>
        <w:t xml:space="preserve">“</w:t>
      </w:r>
      <w:r>
        <w:t xml:space="preserve">p</w:t>
      </w:r>
      <w:r>
        <w:t xml:space="preserve">”</w:t>
      </w:r>
      <w:r>
        <w:t xml:space="preserve">-marked; the</w:t>
      </w:r>
      <w:r>
        <w:t xml:space="preserve"> </w:t>
      </w:r>
      <w:r>
        <w:t xml:space="preserve">“</w:t>
      </w:r>
      <w:r>
        <w:t xml:space="preserve">śap</w:t>
      </w:r>
      <w:r>
        <w:t xml:space="preserve">”</w:t>
      </w:r>
      <w:r>
        <w:t xml:space="preserve"> </w:t>
      </w:r>
      <w:r>
        <w:t xml:space="preserve">is unaccented as</w:t>
      </w:r>
      <w:r>
        <w:t xml:space="preserve"> </w:t>
      </w:r>
      <w:r>
        <w:t xml:space="preserve">“</w:t>
      </w:r>
      <w:r>
        <w:t xml:space="preserve">p</w:t>
      </w:r>
      <w:r>
        <w:t xml:space="preserve">”</w:t>
      </w:r>
      <w:r>
        <w:t xml:space="preserve">-marked, and the</w:t>
      </w:r>
      <w:r>
        <w:t xml:space="preserve"> </w:t>
      </w:r>
      <w:r>
        <w:t xml:space="preserve">“</w:t>
      </w:r>
      <w:r>
        <w:t xml:space="preserve">ta</w:t>
      </w:r>
      <w:r>
        <w:t xml:space="preserve">”</w:t>
      </w:r>
      <w:r>
        <w:t xml:space="preserve"> </w:t>
      </w:r>
      <w:r>
        <w:t xml:space="preserve">after the anudātta-upadeśa</w:t>
      </w:r>
      <w:r>
        <w:t xml:space="preserve"> </w:t>
      </w:r>
      <w:r>
        <w:t xml:space="preserve">“</w:t>
      </w:r>
      <w:r>
        <w:t xml:space="preserve">śap</w:t>
      </w:r>
      <w:r>
        <w:t xml:space="preserve">”</w:t>
      </w:r>
      <w:r>
        <w:t xml:space="preserve"> </w:t>
      </w:r>
      <w:r>
        <w:t xml:space="preserve">is unaccented by</w:t>
      </w:r>
      <w:r>
        <w:t xml:space="preserve"> </w:t>
      </w:r>
      <w:r>
        <w:rPr>
          <w:bCs/>
          <w:b/>
        </w:rPr>
        <w:t xml:space="preserve">तास्यनुदात्तेत्…</w:t>
      </w:r>
      <w:r>
        <w:t xml:space="preserve"> </w:t>
      </w:r>
      <w:r>
        <w:t xml:space="preserve">(पा. ६-१-१८६), so by the root accent</w:t>
      </w:r>
      <w:r>
        <w:t xml:space="preserve"> </w:t>
      </w:r>
      <w:r>
        <w:t xml:space="preserve">“</w:t>
      </w:r>
      <w:r>
        <w:t xml:space="preserve">gāyata</w:t>
      </w:r>
      <w:r>
        <w:t xml:space="preserve">”</w:t>
      </w:r>
      <w:r>
        <w:t xml:space="preserve"> </w:t>
      </w:r>
      <w:r>
        <w:t xml:space="preserve">would be first-syllable acute; but the word is wholly unaccented as a tiṅanta (</w:t>
      </w:r>
      <w:r>
        <w:rPr>
          <w:bCs/>
          <w:b/>
        </w:rPr>
        <w:t xml:space="preserve">तिङ्ङतिङः</w:t>
      </w:r>
      <w:r>
        <w:t xml:space="preserve">, पा. ८-१-२८); in the saṃhitā</w:t>
      </w:r>
      <w:r>
        <w:t xml:space="preserve"> </w:t>
      </w:r>
      <w:r>
        <w:t xml:space="preserve">“</w:t>
      </w:r>
      <w:r>
        <w:t xml:space="preserve">gā</w:t>
      </w:r>
      <w:r>
        <w:t xml:space="preserve">”</w:t>
      </w:r>
      <w:r>
        <w:t xml:space="preserve"> </w:t>
      </w:r>
      <w:r>
        <w:t xml:space="preserve">is svarita after the acute of</w:t>
      </w:r>
      <w:r>
        <w:t xml:space="preserve"> </w:t>
      </w:r>
      <w:r>
        <w:t xml:space="preserve">“</w:t>
      </w:r>
      <w:r>
        <w:t xml:space="preserve">pra,</w:t>
      </w:r>
      <w:r>
        <w:t xml:space="preserve">”</w:t>
      </w:r>
      <w:r>
        <w:t xml:space="preserve"> </w:t>
      </w:r>
      <w:r>
        <w:t xml:space="preserve">and the following syllables are level (</w:t>
      </w:r>
      <w:r>
        <w:rPr>
          <w:bCs/>
          <w:b/>
        </w:rPr>
        <w:t xml:space="preserve">स्वरितात्संहितायामनुदात्तानाम्</w:t>
      </w:r>
      <w:r>
        <w:t xml:space="preserve">, पा. १-२-३९).</w:t>
      </w:r>
      <w:r>
        <w:t xml:space="preserve"> </w:t>
      </w:r>
      <w:r>
        <w:t xml:space="preserve">-</w:t>
      </w:r>
      <w:r>
        <w:t xml:space="preserve"> </w:t>
      </w:r>
      <w:r>
        <w:rPr>
          <w:bCs/>
          <w:b/>
        </w:rPr>
        <w:t xml:space="preserve">“</w:t>
      </w:r>
      <w:r>
        <w:rPr>
          <w:bCs/>
          <w:b/>
        </w:rPr>
        <w:t xml:space="preserve">Stomavāhasaḥ</w:t>
      </w:r>
      <w:r>
        <w:rPr>
          <w:bCs/>
          <w:b/>
        </w:rPr>
        <w:t xml:space="preserve">”</w:t>
      </w:r>
      <w:r>
        <w:t xml:space="preserve"> </w:t>
      </w:r>
      <w:r>
        <w:t xml:space="preserve">—</w:t>
      </w:r>
      <w:r>
        <w:t xml:space="preserve"> </w:t>
      </w:r>
      <w:r>
        <w:t xml:space="preserve">“</w:t>
      </w:r>
      <w:r>
        <w:t xml:space="preserve">stu</w:t>
      </w:r>
      <w:r>
        <w:t xml:space="preserve">”</w:t>
      </w:r>
      <w:r>
        <w:t xml:space="preserve"> </w:t>
      </w:r>
      <w:r>
        <w:t xml:space="preserve">with the Uṇādi affix</w:t>
      </w:r>
      <w:r>
        <w:t xml:space="preserve"> </w:t>
      </w:r>
      <w:r>
        <w:t xml:space="preserve">“</w:t>
      </w:r>
      <w:r>
        <w:t xml:space="preserve">man</w:t>
      </w:r>
      <w:r>
        <w:t xml:space="preserve">”</w:t>
      </w:r>
      <w:r>
        <w:t xml:space="preserve"> </w:t>
      </w:r>
      <w:r>
        <w:t xml:space="preserve">(</w:t>
      </w:r>
      <w:r>
        <w:rPr>
          <w:bCs/>
          <w:b/>
        </w:rPr>
        <w:t xml:space="preserve">अर्तिस्तुसुहुसृधृक्षिक्षुभायावापदियक्षिनीभ्यो मन्</w:t>
      </w:r>
      <w:r>
        <w:t xml:space="preserve">, उ. सू. १-१४२ [as printed;</w:t>
      </w:r>
      <w:r>
        <w:t xml:space="preserve"> </w:t>
      </w:r>
      <w:r>
        <w:t xml:space="preserve">“</w:t>
      </w:r>
      <w:r>
        <w:t xml:space="preserve">1-139</w:t>
      </w:r>
      <w:r>
        <w:t xml:space="preserve">”</w:t>
      </w:r>
      <w:r>
        <w:t xml:space="preserve"> </w:t>
      </w:r>
      <w:r>
        <w:t xml:space="preserve">on p. 152]) →</w:t>
      </w:r>
      <w:r>
        <w:t xml:space="preserve"> </w:t>
      </w:r>
      <w:r>
        <w:t xml:space="preserve">“</w:t>
      </w:r>
      <w:r>
        <w:t xml:space="preserve">stoma</w:t>
      </w:r>
      <w:r>
        <w:t xml:space="preserve">”</w:t>
      </w:r>
      <w:r>
        <w:t xml:space="preserve"> </w:t>
      </w:r>
      <w:r>
        <w:t xml:space="preserve">(</w:t>
      </w:r>
      <w:r>
        <w:t xml:space="preserve">“</w:t>
      </w:r>
      <w:r>
        <w:t xml:space="preserve">n</w:t>
      </w:r>
      <w:r>
        <w:t xml:space="preserve">”</w:t>
      </w:r>
      <w:r>
        <w:t xml:space="preserve">-marked, so first-syllable acute);</w:t>
      </w:r>
      <w:r>
        <w:t xml:space="preserve"> </w:t>
      </w:r>
      <w:r>
        <w:t xml:space="preserve">“</w:t>
      </w:r>
      <w:r>
        <w:t xml:space="preserve">stomaṃ vahantīti stomavāhasaḥ</w:t>
      </w:r>
      <w:r>
        <w:t xml:space="preserve">”</w:t>
      </w:r>
      <w:r>
        <w:t xml:space="preserve"> </w:t>
      </w:r>
      <w:r>
        <w:t xml:space="preserve">(</w:t>
      </w:r>
      <w:r>
        <w:t xml:space="preserve">“</w:t>
      </w:r>
      <w:r>
        <w:t xml:space="preserve">those who bring stomas — the trivṛt and the rest — to this rite</w:t>
      </w:r>
      <w:r>
        <w:t xml:space="preserve">”</w:t>
      </w:r>
      <w:r>
        <w:t xml:space="preserve">);</w:t>
      </w:r>
      <w:r>
        <w:t xml:space="preserve"> </w:t>
      </w:r>
      <w:r>
        <w:rPr>
          <w:bCs/>
          <w:b/>
        </w:rPr>
        <w:t xml:space="preserve">वहिहाधाञ्भ्यश्छन्दसि</w:t>
      </w:r>
      <w:r>
        <w:t xml:space="preserve"> </w:t>
      </w:r>
      <w:r>
        <w:t xml:space="preserve">(उ. सू. ४-२२०) the affix</w:t>
      </w:r>
      <w:r>
        <w:t xml:space="preserve"> </w:t>
      </w:r>
      <w:r>
        <w:t xml:space="preserve">“</w:t>
      </w:r>
      <w:r>
        <w:t xml:space="preserve">asun,</w:t>
      </w:r>
      <w:r>
        <w:t xml:space="preserve">”</w:t>
      </w:r>
      <w:r>
        <w:t xml:space="preserve"> </w:t>
      </w:r>
      <w:r>
        <w:t xml:space="preserve">“</w:t>
      </w:r>
      <w:r>
        <w:t xml:space="preserve">ṇit</w:t>
      </w:r>
      <w:r>
        <w:t xml:space="preserve">”</w:t>
      </w:r>
      <w:r>
        <w:t xml:space="preserve"> </w:t>
      </w:r>
      <w:r>
        <w:t xml:space="preserve">by the following sūtra, giving</w:t>
      </w:r>
      <w:r>
        <w:t xml:space="preserve"> </w:t>
      </w:r>
      <w:r>
        <w:rPr>
          <w:bCs/>
          <w:b/>
        </w:rPr>
        <w:t xml:space="preserve">अत उपधायाः</w:t>
      </w:r>
      <w:r>
        <w:t xml:space="preserve"> </w:t>
      </w:r>
      <w:r>
        <w:t xml:space="preserve">(पा. ७-२-११६) vṛddhi →</w:t>
      </w:r>
      <w:r>
        <w:t xml:space="preserve"> </w:t>
      </w:r>
      <w:r>
        <w:t xml:space="preserve">“</w:t>
      </w:r>
      <w:r>
        <w:t xml:space="preserve">vāhas</w:t>
      </w:r>
      <w:r>
        <w:t xml:space="preserve">”</w:t>
      </w:r>
      <w:r>
        <w:t xml:space="preserve">; though the accent of the kṛt-final member of the compound would be expected (</w:t>
      </w:r>
      <w:r>
        <w:rPr>
          <w:bCs/>
          <w:b/>
        </w:rPr>
        <w:t xml:space="preserve">गतिकारकोपपदात्कृत्</w:t>
      </w:r>
      <w:r>
        <w:t xml:space="preserve">, पा. ६-२-१३९), the Uṇādi rule</w:t>
      </w:r>
      <w:r>
        <w:t xml:space="preserve"> </w:t>
      </w:r>
      <w:r>
        <w:rPr>
          <w:bCs/>
          <w:b/>
        </w:rPr>
        <w:t xml:space="preserve">गतिकारकयोरपि पूर्वपदप्रकृतिस्वरत्वं च</w:t>
      </w:r>
      <w:r>
        <w:t xml:space="preserve"> </w:t>
      </w:r>
      <w:r>
        <w:t xml:space="preserve">(उ. सू. ४-२२६) gives the first member’s accent; thus the compound is first-syllable acute. ॥१॥</w:t>
      </w:r>
    </w:p>
    <w:p>
      <w:r>
        <w:pict>
          <v:rect style="width:0;height:1.5pt" o:hralign="center" o:hrstd="t" o:hr="t"/>
        </w:pict>
      </w:r>
    </w:p>
    <w:bookmarkEnd w:id="190"/>
    <w:bookmarkStart w:id="191" w:name="sūkta-5-the-second-mantra"/>
    <w:p>
      <w:pPr>
        <w:pStyle w:val="Heading3"/>
      </w:pPr>
      <w:r>
        <w:t xml:space="preserve">Sūkta 5, The Second Mantra</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पु॒रू॒तमं॑ पुरू॒णामीशा॑नं॒ वार्या॑णां ।</w:t>
      </w:r>
      <w:r>
        <w:t xml:space="preserve"> </w:t>
      </w:r>
      <w:r>
        <w:t xml:space="preserve">इंद्रं सोमे सचा॑ सुते ॥२॥</w:t>
      </w:r>
    </w:p>
    <w:p>
      <w:pPr>
        <w:pStyle w:val="BlockText"/>
      </w:pPr>
      <w:r>
        <w:rPr>
          <w:iCs/>
          <w:i/>
        </w:rPr>
        <w:t xml:space="preserve">purūtámaṃ purūṇā́mī́śānaṃ vā́ryāṇāṃ |</w:t>
      </w:r>
      <w:r>
        <w:t xml:space="preserve"> </w:t>
      </w:r>
      <w:r>
        <w:rPr>
          <w:iCs/>
          <w:i/>
        </w:rPr>
        <w:t xml:space="preserve">iṃdraṃ some sácā sute ||2||</w:t>
      </w:r>
    </w:p>
    <w:bookmarkEnd w:id="191"/>
    <w:bookmarkStart w:id="192" w:name="X1a493ba969ee2d890f14d2bab99251dd10c9f96"/>
    <w:p>
      <w:pPr>
        <w:pStyle w:val="Heading3"/>
      </w:pPr>
      <w:r>
        <w:t xml:space="preserve">Page 158 — Rik 5.2: Pada, Sāyaṇa-bhāṣya, grammar (characterized), Pada-meanings (opening)</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5.</w:t>
      </w:r>
      <w:r>
        <w:rPr>
          <w:iCs/>
          <w:i/>
        </w:rPr>
        <w:t xml:space="preserve">”</w:t>
      </w:r>
      <w:r>
        <w:rPr>
          <w:iCs/>
          <w:i/>
        </w:rPr>
        <w:t xml:space="preserve"> </w:t>
      </w:r>
      <w:r>
        <w:rPr>
          <w:iCs/>
          <w:i/>
        </w:rPr>
        <w:t xml:space="preserve">Sanskrit printed in Kannada script; [?] where unclear.)</w:t>
      </w:r>
    </w:p>
    <w:p>
      <w:pPr>
        <w:pStyle w:val="BodyText"/>
      </w:pPr>
      <w:r>
        <w:rPr>
          <w:bCs/>
          <w:b/>
        </w:rPr>
        <w:t xml:space="preserve">॥ Pada-pāṭhaḥ ॥</w:t>
      </w:r>
    </w:p>
    <w:p>
      <w:pPr>
        <w:pStyle w:val="BlockText"/>
      </w:pPr>
      <w:r>
        <w:t xml:space="preserve">पुरुऽतमम् । पुरूणाम् । ईशानम् । वार्याणाम् ।</w:t>
      </w:r>
      <w:r>
        <w:t xml:space="preserve"> </w:t>
      </w:r>
      <w:r>
        <w:t xml:space="preserve">इन्द्रम् । सोमे । सचा । सुते ॥२॥</w:t>
      </w:r>
    </w:p>
    <w:p>
      <w:pPr>
        <w:pStyle w:val="FirstParagraph"/>
      </w:pPr>
      <w:r>
        <w:rPr>
          <w:iCs/>
          <w:i/>
        </w:rPr>
        <w:t xml:space="preserve">(Reading note: in the Pada text the print shows</w:t>
      </w:r>
      <w:r>
        <w:rPr>
          <w:iCs/>
          <w:i/>
        </w:rPr>
        <w:t xml:space="preserve"> </w:t>
      </w:r>
      <w:r>
        <w:rPr>
          <w:iCs/>
          <w:i/>
        </w:rPr>
        <w:t xml:space="preserve">“</w:t>
      </w:r>
      <w:r>
        <w:rPr>
          <w:iCs/>
          <w:i/>
        </w:rPr>
        <w:t xml:space="preserve">puru-tamam,</w:t>
      </w:r>
      <w:r>
        <w:rPr>
          <w:iCs/>
          <w:i/>
        </w:rPr>
        <w:t xml:space="preserve">”</w:t>
      </w:r>
      <w:r>
        <w:rPr>
          <w:iCs/>
          <w:i/>
        </w:rPr>
        <w:t xml:space="preserve"> </w:t>
      </w:r>
      <w:r>
        <w:rPr>
          <w:iCs/>
          <w:i/>
        </w:rPr>
        <w:t xml:space="preserve">divided; I give it so.)</w:t>
      </w:r>
    </w:p>
    <w:p>
      <w:pPr>
        <w:pStyle w:val="BodyText"/>
      </w:pPr>
      <w:r>
        <w:rPr>
          <w:bCs/>
          <w:b/>
        </w:rPr>
        <w:t xml:space="preserve">॥ Sāyaṇa-bhāṣyam ॥</w:t>
      </w:r>
    </w:p>
    <w:p>
      <w:pPr>
        <w:pStyle w:val="BlockText"/>
      </w:pPr>
      <w:r>
        <w:t xml:space="preserve">सखायोऽभिप्रगायतेति पदद्वयमत्रानुवर्तते । हे सखायः ऋत्विजः सचा सर्वैः सह । यद्वा । सचा परस्परं समवायेन सुते अभिषुते सोमे प्रवृत्ते सति इन्द्रमभिप्रगायत । कीदृशमिन्द्रम् । पुरूतमम् । पुरून्बहूञ्छत्रूंस्तमयति ग्लापयतीति पुरूतमः । पुरूणां बहूनां वार्याणां वरणीयानां धनानामीशानं स्वामिनम् ॥</w:t>
      </w:r>
      <w:r>
        <w:t xml:space="preserve"> </w:t>
      </w:r>
      <w:r>
        <w:rPr>
          <w:iCs/>
          <w:i/>
        </w:rPr>
        <w:t xml:space="preserve">sakhāyo ’bhipragāyateti pada-dvayam atrānuvartate | he sakhāyaḥ ṛtvijaḥ sacā sarvaiḥ saha | yadvā | sacā parasparaṃ samavāyena sute abhiṣute some pravṛtte sati indram abhipragāyata | kīdṛśam indram | purūtamam | purūn bahūñ chatrūṃs tamayati glāpayatīti purūtamaḥ | purūṇāṃ bahūnāṃ vāryāṇāṃ varaṇīyānāṃ dhanānām īśānaṃ svāminam ||</w:t>
      </w:r>
      <w:r>
        <w:t xml:space="preserve"> </w:t>
      </w:r>
      <w:r>
        <w:rPr>
          <w:iCs/>
          <w:i/>
        </w:rPr>
        <w:t xml:space="preserve">(Reading note: the clause explaining</w:t>
      </w:r>
      <w:r>
        <w:rPr>
          <w:iCs/>
          <w:i/>
        </w:rPr>
        <w:t xml:space="preserve"> </w:t>
      </w:r>
      <w:r>
        <w:rPr>
          <w:iCs/>
          <w:i/>
        </w:rPr>
        <w:t xml:space="preserve">“</w:t>
      </w:r>
      <w:r>
        <w:rPr>
          <w:iCs/>
          <w:i/>
        </w:rPr>
        <w:t xml:space="preserve">purūtamam</w:t>
      </w:r>
      <w:r>
        <w:rPr>
          <w:iCs/>
          <w:i/>
        </w:rPr>
        <w:t xml:space="preserve">”</w:t>
      </w:r>
      <w:r>
        <w:rPr>
          <w:iCs/>
          <w:i/>
        </w:rPr>
        <w:t xml:space="preserve"> </w:t>
      </w:r>
      <w:r>
        <w:rPr>
          <w:iCs/>
          <w:i/>
        </w:rPr>
        <w:t xml:space="preserve">re-read from the better scan:</w:t>
      </w:r>
      <w:r>
        <w:rPr>
          <w:iCs/>
          <w:i/>
        </w:rPr>
        <w:t xml:space="preserve"> </w:t>
      </w:r>
      <w:r>
        <w:rPr>
          <w:iCs/>
          <w:i/>
        </w:rPr>
        <w:t xml:space="preserve">“</w:t>
      </w:r>
      <w:r>
        <w:rPr>
          <w:iCs/>
          <w:i/>
        </w:rPr>
        <w:t xml:space="preserve">purūn bahūñ chatrūṃs tamayati glāpayati.</w:t>
      </w:r>
      <w:r>
        <w:rPr>
          <w:iCs/>
          <w:i/>
        </w:rPr>
        <w:t xml:space="preserve">”</w:t>
      </w:r>
      <w:r>
        <w:rPr>
          <w:iCs/>
          <w:i/>
        </w:rPr>
        <w:t xml:space="preserve">)</w:t>
      </w:r>
    </w:p>
    <w:p>
      <w:pPr>
        <w:pStyle w:val="FirstParagraph"/>
      </w:pPr>
      <w:r>
        <w:rPr>
          <w:bCs/>
          <w:b/>
        </w:rPr>
        <w:t xml:space="preserve">Translation:</w:t>
      </w:r>
      <w:r>
        <w:t xml:space="preserve"> </w:t>
      </w:r>
      <w:r>
        <w:t xml:space="preserve">“</w:t>
      </w:r>
      <w:r>
        <w:t xml:space="preserve">The two words</w:t>
      </w:r>
      <w:r>
        <w:t xml:space="preserve"> </w:t>
      </w:r>
      <w:r>
        <w:t xml:space="preserve">‘</w:t>
      </w:r>
      <w:r>
        <w:t xml:space="preserve">sakhāyaḥ</w:t>
      </w:r>
      <w:r>
        <w:t xml:space="preserve">’</w:t>
      </w:r>
      <w:r>
        <w:t xml:space="preserve"> </w:t>
      </w:r>
      <w:r>
        <w:t xml:space="preserve">and</w:t>
      </w:r>
      <w:r>
        <w:t xml:space="preserve"> </w:t>
      </w:r>
      <w:r>
        <w:t xml:space="preserve">‘</w:t>
      </w:r>
      <w:r>
        <w:t xml:space="preserve">abhi pra gāyata</w:t>
      </w:r>
      <w:r>
        <w:t xml:space="preserve">’</w:t>
      </w:r>
      <w:r>
        <w:t xml:space="preserve"> </w:t>
      </w:r>
      <w:r>
        <w:t xml:space="preserve">continue (from the preceding Ṛk). O friends, O priests!</w:t>
      </w:r>
      <w:r>
        <w:t xml:space="preserve"> </w:t>
      </w:r>
      <w:r>
        <w:t xml:space="preserve">‘</w:t>
      </w:r>
      <w:r>
        <w:t xml:space="preserve">Sacā</w:t>
      </w:r>
      <w:r>
        <w:t xml:space="preserve">’</w:t>
      </w:r>
      <w:r>
        <w:t xml:space="preserve"> </w:t>
      </w:r>
      <w:r>
        <w:t xml:space="preserve">— all together; or:</w:t>
      </w:r>
      <w:r>
        <w:t xml:space="preserve"> </w:t>
      </w:r>
      <w:r>
        <w:t xml:space="preserve">‘</w:t>
      </w:r>
      <w:r>
        <w:t xml:space="preserve">sacā</w:t>
      </w:r>
      <w:r>
        <w:t xml:space="preserve">’</w:t>
      </w:r>
      <w:r>
        <w:t xml:space="preserve"> </w:t>
      </w:r>
      <w:r>
        <w:t xml:space="preserve">— in mutual union —</w:t>
      </w:r>
      <w:r>
        <w:t xml:space="preserve"> </w:t>
      </w:r>
      <w:r>
        <w:t xml:space="preserve">‘</w:t>
      </w:r>
      <w:r>
        <w:t xml:space="preserve">sute</w:t>
      </w:r>
      <w:r>
        <w:t xml:space="preserve">’</w:t>
      </w:r>
      <w:r>
        <w:t xml:space="preserve"> </w:t>
      </w:r>
      <w:r>
        <w:t xml:space="preserve">— when the Soma has been pressed and is going on — sing to Indra. What kind of Indra?</w:t>
      </w:r>
      <w:r>
        <w:t xml:space="preserve"> </w:t>
      </w:r>
      <w:r>
        <w:t xml:space="preserve">‘</w:t>
      </w:r>
      <w:r>
        <w:t xml:space="preserve">Purūtamam</w:t>
      </w:r>
      <w:r>
        <w:t xml:space="preserve">’</w:t>
      </w:r>
      <w:r>
        <w:t xml:space="preserve"> </w:t>
      </w:r>
      <w:r>
        <w:t xml:space="preserve">— he who wearies out (destroys) many (</w:t>
      </w:r>
      <w:r>
        <w:t xml:space="preserve">‘</w:t>
      </w:r>
      <w:r>
        <w:t xml:space="preserve">purūn,</w:t>
      </w:r>
      <w:r>
        <w:t xml:space="preserve">’</w:t>
      </w:r>
      <w:r>
        <w:t xml:space="preserve"> </w:t>
      </w:r>
      <w:r>
        <w:t xml:space="preserve">‘</w:t>
      </w:r>
      <w:r>
        <w:t xml:space="preserve">bahūn</w:t>
      </w:r>
      <w:r>
        <w:t xml:space="preserve">’</w:t>
      </w:r>
      <w:r>
        <w:t xml:space="preserve">) enemies; he is</w:t>
      </w:r>
      <w:r>
        <w:t xml:space="preserve"> </w:t>
      </w:r>
      <w:r>
        <w:t xml:space="preserve">‘</w:t>
      </w:r>
      <w:r>
        <w:t xml:space="preserve">purūtama.</w:t>
      </w:r>
      <w:r>
        <w:t xml:space="preserve">’</w:t>
      </w:r>
      <w:r>
        <w:t xml:space="preserve"> </w:t>
      </w:r>
      <w:r>
        <w:t xml:space="preserve">‘</w:t>
      </w:r>
      <w:r>
        <w:t xml:space="preserve">Īśānam</w:t>
      </w:r>
      <w:r>
        <w:t xml:space="preserve">’</w:t>
      </w:r>
      <w:r>
        <w:t xml:space="preserve"> </w:t>
      </w:r>
      <w:r>
        <w:t xml:space="preserve">— the lord, the master —</w:t>
      </w:r>
      <w:r>
        <w:t xml:space="preserve"> </w:t>
      </w:r>
      <w:r>
        <w:t xml:space="preserve">‘</w:t>
      </w:r>
      <w:r>
        <w:t xml:space="preserve">purūṇām</w:t>
      </w:r>
      <w:r>
        <w:t xml:space="preserve">’</w:t>
      </w:r>
      <w:r>
        <w:t xml:space="preserve"> </w:t>
      </w:r>
      <w:r>
        <w:t xml:space="preserve">— of many,</w:t>
      </w:r>
      <w:r>
        <w:t xml:space="preserve"> </w:t>
      </w:r>
      <w:r>
        <w:t xml:space="preserve">‘</w:t>
      </w:r>
      <w:r>
        <w:t xml:space="preserve">vāryāṇām</w:t>
      </w:r>
      <w:r>
        <w:t xml:space="preserve">’</w:t>
      </w:r>
      <w:r>
        <w:t xml:space="preserve"> </w:t>
      </w:r>
      <w:r>
        <w:t xml:space="preserve">— of desirable (choice) riches.</w:t>
      </w:r>
      <w:r>
        <w:t xml:space="preserve">”</w:t>
      </w:r>
    </w:p>
    <w:p>
      <w:pPr>
        <w:pStyle w:val="BodyText"/>
      </w:pPr>
      <w:r>
        <w:rPr>
          <w:bCs/>
          <w:b/>
        </w:rPr>
        <w:t xml:space="preserve">Grammar within the Bhāṣya (re-read from the better scan; sūtras kept):</w:t>
      </w:r>
      <w:r>
        <w:t xml:space="preserve"> </w:t>
      </w:r>
      <w:r>
        <w:t xml:space="preserve">“</w:t>
      </w:r>
      <w:r>
        <w:t xml:space="preserve">Purūtamam</w:t>
      </w:r>
      <w:r>
        <w:t xml:space="preserve">”</w:t>
      </w:r>
      <w:r>
        <w:t xml:space="preserve"> </w:t>
      </w:r>
      <w:r>
        <w:t xml:space="preserve">— from the root</w:t>
      </w:r>
      <w:r>
        <w:t xml:space="preserve"> </w:t>
      </w:r>
      <w:r>
        <w:t xml:space="preserve">“</w:t>
      </w:r>
      <w:r>
        <w:t xml:space="preserve">tamu glānau</w:t>
      </w:r>
      <w:r>
        <w:t xml:space="preserve">”</w:t>
      </w:r>
      <w:r>
        <w:t xml:space="preserve"> </w:t>
      </w:r>
      <w:r>
        <w:t xml:space="preserve">(to be wearied), with the causative sense included, the</w:t>
      </w:r>
      <w:r>
        <w:t xml:space="preserve"> </w:t>
      </w:r>
      <w:r>
        <w:t xml:space="preserve">“</w:t>
      </w:r>
      <w:r>
        <w:t xml:space="preserve">ac</w:t>
      </w:r>
      <w:r>
        <w:t xml:space="preserve">”</w:t>
      </w:r>
      <w:r>
        <w:t xml:space="preserve"> </w:t>
      </w:r>
      <w:r>
        <w:t xml:space="preserve">of the pacādi class; being</w:t>
      </w:r>
      <w:r>
        <w:t xml:space="preserve"> </w:t>
      </w:r>
      <w:r>
        <w:t xml:space="preserve">“</w:t>
      </w:r>
      <w:r>
        <w:t xml:space="preserve">c</w:t>
      </w:r>
      <w:r>
        <w:t xml:space="preserve">”</w:t>
      </w:r>
      <w:r>
        <w:t xml:space="preserve">-marked it would be end-acute, but</w:t>
      </w:r>
      <w:r>
        <w:t xml:space="preserve"> </w:t>
      </w:r>
      <w:r>
        <w:rPr>
          <w:bCs/>
          <w:b/>
        </w:rPr>
        <w:t xml:space="preserve">परादिश्छन्दसि बहुलम्</w:t>
      </w:r>
      <w:r>
        <w:t xml:space="preserve"> </w:t>
      </w:r>
      <w:r>
        <w:t xml:space="preserve">(</w:t>
      </w:r>
      <w:r>
        <w:rPr>
          <w:iCs/>
          <w:i/>
        </w:rPr>
        <w:t xml:space="preserve">parādiś chandasi bahulam</w:t>
      </w:r>
      <w:r>
        <w:t xml:space="preserve">) overrides the accent of the kṛt-final second member (</w:t>
      </w:r>
      <w:r>
        <w:rPr>
          <w:bCs/>
          <w:b/>
        </w:rPr>
        <w:t xml:space="preserve">कृदुत्तरपदप्रकृतिस्वरत्वम्</w:t>
      </w:r>
      <w:r>
        <w:t xml:space="preserve">,</w:t>
      </w:r>
      <w:r>
        <w:t xml:space="preserve"> </w:t>
      </w:r>
      <w:r>
        <w:rPr>
          <w:iCs/>
          <w:i/>
        </w:rPr>
        <w:t xml:space="preserve">kṛd-uttarapada-prakṛti-svaratvam</w:t>
      </w:r>
      <w:r>
        <w:t xml:space="preserve">) and gives the second member first-syllable acute.</w:t>
      </w:r>
      <w:r>
        <w:t xml:space="preserve"> </w:t>
      </w:r>
      <w:r>
        <w:t xml:space="preserve">“</w:t>
      </w:r>
      <w:r>
        <w:t xml:space="preserve">Purūṇām</w:t>
      </w:r>
      <w:r>
        <w:t xml:space="preserve">”</w:t>
      </w:r>
      <w:r>
        <w:t xml:space="preserve"> </w:t>
      </w:r>
      <w:r>
        <w:t xml:space="preserve">— from</w:t>
      </w:r>
      <w:r>
        <w:t xml:space="preserve"> </w:t>
      </w:r>
      <w:r>
        <w:t xml:space="preserve">“</w:t>
      </w:r>
      <w:r>
        <w:t xml:space="preserve">pṝ pālana-pūraṇayoḥ,</w:t>
      </w:r>
      <w:r>
        <w:t xml:space="preserve">”</w:t>
      </w:r>
      <w:r>
        <w:t xml:space="preserve"> </w:t>
      </w:r>
      <w:r>
        <w:t xml:space="preserve">with</w:t>
      </w:r>
      <w:r>
        <w:t xml:space="preserve"> </w:t>
      </w:r>
      <w:r>
        <w:t xml:space="preserve">“</w:t>
      </w:r>
      <w:r>
        <w:t xml:space="preserve">kuḥ</w:t>
      </w:r>
      <w:r>
        <w:t xml:space="preserve">”</w:t>
      </w:r>
      <w:r>
        <w:t xml:space="preserve"> </w:t>
      </w:r>
      <w:r>
        <w:t xml:space="preserve">continued,</w:t>
      </w:r>
      <w:r>
        <w:t xml:space="preserve"> </w:t>
      </w:r>
      <w:r>
        <w:rPr>
          <w:bCs/>
          <w:b/>
        </w:rPr>
        <w:t xml:space="preserve">पॄभिदिव्यधिगृधिधृषिभ्यः</w:t>
      </w:r>
      <w:r>
        <w:t xml:space="preserve"> </w:t>
      </w:r>
      <w:r>
        <w:t xml:space="preserve">(</w:t>
      </w:r>
      <w:r>
        <w:rPr>
          <w:iCs/>
          <w:i/>
        </w:rPr>
        <w:t xml:space="preserve">pṝ-bhidi-vyadhi-gṛdhi-dhṛṣibhyaḥ</w:t>
      </w:r>
      <w:r>
        <w:t xml:space="preserve">, उ. सू. १-२४ [as printed]; read with the clearer printing on p. 160) the affix</w:t>
      </w:r>
      <w:r>
        <w:t xml:space="preserve"> </w:t>
      </w:r>
      <w:r>
        <w:t xml:space="preserve">“</w:t>
      </w:r>
      <w:r>
        <w:t xml:space="preserve">ku</w:t>
      </w:r>
      <w:r>
        <w:t xml:space="preserve">”</w:t>
      </w:r>
      <w:r>
        <w:t xml:space="preserve">; being</w:t>
      </w:r>
      <w:r>
        <w:t xml:space="preserve"> </w:t>
      </w:r>
      <w:r>
        <w:t xml:space="preserve">“</w:t>
      </w:r>
      <w:r>
        <w:t xml:space="preserve">k</w:t>
      </w:r>
      <w:r>
        <w:t xml:space="preserve">”</w:t>
      </w:r>
      <w:r>
        <w:t xml:space="preserve">-marked, guṇa is barred (पा. १-१-५);</w:t>
      </w:r>
      <w:r>
        <w:t xml:space="preserve"> </w:t>
      </w:r>
      <w:r>
        <w:rPr>
          <w:bCs/>
          <w:b/>
        </w:rPr>
        <w:t xml:space="preserve">उदोष्ठ्यपूर्वस्य</w:t>
      </w:r>
      <w:r>
        <w:t xml:space="preserve"> </w:t>
      </w:r>
      <w:r>
        <w:t xml:space="preserve">(</w:t>
      </w:r>
      <w:r>
        <w:rPr>
          <w:iCs/>
          <w:i/>
        </w:rPr>
        <w:t xml:space="preserve">ud oṣṭhyapūrvasya</w:t>
      </w:r>
      <w:r>
        <w:t xml:space="preserve">, पा. ७-१-१०२) gives</w:t>
      </w:r>
      <w:r>
        <w:t xml:space="preserve"> </w:t>
      </w:r>
      <w:r>
        <w:t xml:space="preserve">“</w:t>
      </w:r>
      <w:r>
        <w:t xml:space="preserve">u</w:t>
      </w:r>
      <w:r>
        <w:t xml:space="preserve">”</w:t>
      </w:r>
      <w:r>
        <w:t xml:space="preserve">;</w:t>
      </w:r>
      <w:r>
        <w:t xml:space="preserve"> </w:t>
      </w:r>
      <w:r>
        <w:rPr>
          <w:bCs/>
          <w:b/>
        </w:rPr>
        <w:t xml:space="preserve">उरण् रपरः</w:t>
      </w:r>
      <w:r>
        <w:t xml:space="preserve"> </w:t>
      </w:r>
      <w:r>
        <w:t xml:space="preserve">(</w:t>
      </w:r>
      <w:r>
        <w:rPr>
          <w:iCs/>
          <w:i/>
        </w:rPr>
        <w:t xml:space="preserve">uraṇ raparaḥ</w:t>
      </w:r>
      <w:r>
        <w:t xml:space="preserve">, पा. १-१-५०);</w:t>
      </w:r>
      <w:r>
        <w:t xml:space="preserve"> </w:t>
      </w:r>
      <w:r>
        <w:t xml:space="preserve">“</w:t>
      </w:r>
      <w:r>
        <w:t xml:space="preserve">puru</w:t>
      </w:r>
      <w:r>
        <w:t xml:space="preserve">”</w:t>
      </w:r>
      <w:r>
        <w:t xml:space="preserve"> </w:t>
      </w:r>
      <w:r>
        <w:t xml:space="preserve">is end-acute by the affix accent; after the short-final end-acute</w:t>
      </w:r>
      <w:r>
        <w:t xml:space="preserve"> </w:t>
      </w:r>
      <w:r>
        <w:t xml:space="preserve">“</w:t>
      </w:r>
      <w:r>
        <w:t xml:space="preserve">puru,</w:t>
      </w:r>
      <w:r>
        <w:t xml:space="preserve">”</w:t>
      </w:r>
      <w:r>
        <w:t xml:space="preserve"> </w:t>
      </w:r>
      <w:r>
        <w:rPr>
          <w:bCs/>
          <w:b/>
        </w:rPr>
        <w:t xml:space="preserve">नामन्यतरस्याम्</w:t>
      </w:r>
      <w:r>
        <w:t xml:space="preserve"> </w:t>
      </w:r>
      <w:r>
        <w:t xml:space="preserve">(</w:t>
      </w:r>
      <w:r>
        <w:rPr>
          <w:iCs/>
          <w:i/>
        </w:rPr>
        <w:t xml:space="preserve">nām anyatarasyām</w:t>
      </w:r>
      <w:r>
        <w:t xml:space="preserve">, पा. ६-१-१७७) makes</w:t>
      </w:r>
      <w:r>
        <w:t xml:space="preserve"> </w:t>
      </w:r>
      <w:r>
        <w:t xml:space="preserve">“</w:t>
      </w:r>
      <w:r>
        <w:t xml:space="preserve">nām</w:t>
      </w:r>
      <w:r>
        <w:t xml:space="preserve">”</w:t>
      </w:r>
      <w:r>
        <w:t xml:space="preserve"> </w:t>
      </w:r>
      <w:r>
        <w:t xml:space="preserve">acute → end-acute.</w:t>
      </w:r>
      <w:r>
        <w:t xml:space="preserve"> </w:t>
      </w:r>
      <w:r>
        <w:t xml:space="preserve">“</w:t>
      </w:r>
      <w:r>
        <w:t xml:space="preserve">Īśānam</w:t>
      </w:r>
      <w:r>
        <w:t xml:space="preserve">”</w:t>
      </w:r>
      <w:r>
        <w:t xml:space="preserve"> </w:t>
      </w:r>
      <w:r>
        <w:t xml:space="preserve">—</w:t>
      </w:r>
      <w:r>
        <w:t xml:space="preserve"> </w:t>
      </w:r>
      <w:r>
        <w:t xml:space="preserve">“</w:t>
      </w:r>
      <w:r>
        <w:t xml:space="preserve">īśa aiśvarye,</w:t>
      </w:r>
      <w:r>
        <w:t xml:space="preserve">”</w:t>
      </w:r>
      <w:r>
        <w:t xml:space="preserve"> </w:t>
      </w:r>
      <w:r>
        <w:t xml:space="preserve">a root with anudātta</w:t>
      </w:r>
      <w:r>
        <w:t xml:space="preserve"> </w:t>
      </w:r>
      <w:r>
        <w:t xml:space="preserve">“</w:t>
      </w:r>
      <w:r>
        <w:t xml:space="preserve">it,</w:t>
      </w:r>
      <w:r>
        <w:t xml:space="preserve">”</w:t>
      </w:r>
      <w:r>
        <w:t xml:space="preserve"> </w:t>
      </w:r>
      <w:r>
        <w:t xml:space="preserve">so the</w:t>
      </w:r>
      <w:r>
        <w:t xml:space="preserve"> </w:t>
      </w:r>
      <w:r>
        <w:t xml:space="preserve">“</w:t>
      </w:r>
      <w:r>
        <w:t xml:space="preserve">śānac</w:t>
      </w:r>
      <w:r>
        <w:t xml:space="preserve">”</w:t>
      </w:r>
      <w:r>
        <w:t xml:space="preserve"> </w:t>
      </w:r>
      <w:r>
        <w:t xml:space="preserve">after it is unaccented as a lasārvadhātuka (</w:t>
      </w:r>
      <w:r>
        <w:rPr>
          <w:bCs/>
          <w:b/>
        </w:rPr>
        <w:t xml:space="preserve">लसार्वधातुकानुदात्तत्वम्</w:t>
      </w:r>
      <w:r>
        <w:t xml:space="preserve">).</w:t>
      </w:r>
      <w:r>
        <w:t xml:space="preserve"> </w:t>
      </w:r>
      <w:r>
        <w:t xml:space="preserve">“</w:t>
      </w:r>
      <w:r>
        <w:t xml:space="preserve">Vāryāṇām</w:t>
      </w:r>
      <w:r>
        <w:t xml:space="preserve">”</w:t>
      </w:r>
      <w:r>
        <w:t xml:space="preserve"> </w:t>
      </w:r>
      <w:r>
        <w:t xml:space="preserve">—</w:t>
      </w:r>
      <w:r>
        <w:t xml:space="preserve"> </w:t>
      </w:r>
      <w:r>
        <w:t xml:space="preserve">“</w:t>
      </w:r>
      <w:r>
        <w:t xml:space="preserve">vṛñ sambhaktau</w:t>
      </w:r>
      <w:r>
        <w:t xml:space="preserve">”</w:t>
      </w:r>
      <w:r>
        <w:t xml:space="preserve"> </w:t>
      </w:r>
      <w:r>
        <w:t xml:space="preserve">with</w:t>
      </w:r>
      <w:r>
        <w:t xml:space="preserve"> </w:t>
      </w:r>
      <w:r>
        <w:rPr>
          <w:bCs/>
          <w:b/>
        </w:rPr>
        <w:t xml:space="preserve">ऋहलोर्ण्यत्</w:t>
      </w:r>
      <w:r>
        <w:t xml:space="preserve"> </w:t>
      </w:r>
      <w:r>
        <w:t xml:space="preserve">(</w:t>
      </w:r>
      <w:r>
        <w:rPr>
          <w:iCs/>
          <w:i/>
        </w:rPr>
        <w:t xml:space="preserve">ṛhalor ṇyat</w:t>
      </w:r>
      <w:r>
        <w:t xml:space="preserve">, पा. ३-१-१२४); the print adds</w:t>
      </w:r>
      <w:r>
        <w:t xml:space="preserve"> </w:t>
      </w:r>
      <w:r>
        <w:t xml:space="preserve">“</w:t>
      </w:r>
      <w:r>
        <w:t xml:space="preserve">क्यब्विधौ हि वृञ एव ग्रहणं न वृङः</w:t>
      </w:r>
      <w:r>
        <w:t xml:space="preserve">”</w:t>
      </w:r>
      <w:r>
        <w:t xml:space="preserve"> </w:t>
      </w:r>
      <w:r>
        <w:t xml:space="preserve">(</w:t>
      </w:r>
      <w:r>
        <w:rPr>
          <w:iCs/>
          <w:i/>
        </w:rPr>
        <w:t xml:space="preserve">kyabvidhau hi vṛña eva grahaṇaṃ na vṛṅaḥ</w:t>
      </w:r>
      <w:r>
        <w:t xml:space="preserve">, पा. ३-१-१०९-वा. १) — in the</w:t>
      </w:r>
      <w:r>
        <w:t xml:space="preserve"> </w:t>
      </w:r>
      <w:r>
        <w:t xml:space="preserve">“</w:t>
      </w:r>
      <w:r>
        <w:t xml:space="preserve">kyap</w:t>
      </w:r>
      <w:r>
        <w:t xml:space="preserve">”</w:t>
      </w:r>
      <w:r>
        <w:t xml:space="preserve"> </w:t>
      </w:r>
      <w:r>
        <w:t xml:space="preserve">rule only</w:t>
      </w:r>
      <w:r>
        <w:t xml:space="preserve"> </w:t>
      </w:r>
      <w:r>
        <w:t xml:space="preserve">“</w:t>
      </w:r>
      <w:r>
        <w:t xml:space="preserve">vṛñ,</w:t>
      </w:r>
      <w:r>
        <w:t xml:space="preserve">”</w:t>
      </w:r>
      <w:r>
        <w:t xml:space="preserve"> </w:t>
      </w:r>
      <w:r>
        <w:t xml:space="preserve">not</w:t>
      </w:r>
      <w:r>
        <w:t xml:space="preserve"> </w:t>
      </w:r>
      <w:r>
        <w:t xml:space="preserve">“</w:t>
      </w:r>
      <w:r>
        <w:t xml:space="preserve">vṛṅ,</w:t>
      </w:r>
      <w:r>
        <w:t xml:space="preserve">”</w:t>
      </w:r>
      <w:r>
        <w:t xml:space="preserve"> </w:t>
      </w:r>
      <w:r>
        <w:t xml:space="preserve">is meant; the affix svarita of</w:t>
      </w:r>
      <w:r>
        <w:t xml:space="preserve"> </w:t>
      </w:r>
      <w:r>
        <w:rPr>
          <w:bCs/>
          <w:b/>
        </w:rPr>
        <w:t xml:space="preserve">तित्स्वरितम्</w:t>
      </w:r>
      <w:r>
        <w:t xml:space="preserve"> </w:t>
      </w:r>
      <w:r>
        <w:t xml:space="preserve">(</w:t>
      </w:r>
      <w:r>
        <w:rPr>
          <w:iCs/>
          <w:i/>
        </w:rPr>
        <w:t xml:space="preserve">tit svaritam</w:t>
      </w:r>
      <w:r>
        <w:t xml:space="preserve">, पा. ६-१-१८५) is overridden by</w:t>
      </w:r>
      <w:r>
        <w:t xml:space="preserve"> </w:t>
      </w:r>
      <w:r>
        <w:rPr>
          <w:bCs/>
          <w:b/>
        </w:rPr>
        <w:t xml:space="preserve">ईडवन्दवृशंसदुहां ण्यतः</w:t>
      </w:r>
      <w:r>
        <w:t xml:space="preserve"> </w:t>
      </w:r>
      <w:r>
        <w:t xml:space="preserve">(</w:t>
      </w:r>
      <w:r>
        <w:rPr>
          <w:iCs/>
          <w:i/>
        </w:rPr>
        <w:t xml:space="preserve">īḍa-vanda-vṛ-śaṃsa-duhāṃ ṇyataḥ</w:t>
      </w:r>
      <w:r>
        <w:t xml:space="preserve">, पा. ६-१-२१४), so the</w:t>
      </w:r>
      <w:r>
        <w:t xml:space="preserve"> </w:t>
      </w:r>
      <w:r>
        <w:t xml:space="preserve">“</w:t>
      </w:r>
      <w:r>
        <w:t xml:space="preserve">ṇyat</w:t>
      </w:r>
      <w:r>
        <w:t xml:space="preserve">”</w:t>
      </w:r>
      <w:r>
        <w:t xml:space="preserve">-final word is first-syllable acute;</w:t>
      </w:r>
      <w:r>
        <w:t xml:space="preserve"> </w:t>
      </w:r>
      <w:r>
        <w:rPr>
          <w:bCs/>
          <w:b/>
        </w:rPr>
        <w:t xml:space="preserve">यतोऽनावः</w:t>
      </w:r>
      <w:r>
        <w:t xml:space="preserve"> </w:t>
      </w:r>
      <w:r>
        <w:t xml:space="preserve">(</w:t>
      </w:r>
      <w:r>
        <w:rPr>
          <w:iCs/>
          <w:i/>
        </w:rPr>
        <w:t xml:space="preserve">yato ’nāvaḥ</w:t>
      </w:r>
      <w:r>
        <w:t xml:space="preserve">, पा. ६-१-२१३) does not take in</w:t>
      </w:r>
      <w:r>
        <w:t xml:space="preserve"> </w:t>
      </w:r>
      <w:r>
        <w:t xml:space="preserve">“</w:t>
      </w:r>
      <w:r>
        <w:t xml:space="preserve">ṇyat,</w:t>
      </w:r>
      <w:r>
        <w:t xml:space="preserve">”</w:t>
      </w:r>
      <w:r>
        <w:t xml:space="preserve"> </w:t>
      </w:r>
      <w:r>
        <w:t xml:space="preserve">since that has two markers (</w:t>
      </w:r>
      <w:r>
        <w:rPr>
          <w:bCs/>
          <w:b/>
        </w:rPr>
        <w:t xml:space="preserve">एकानुबन्धग्रहणे न द्व्यनुबन्धकस्य</w:t>
      </w:r>
      <w:r>
        <w:t xml:space="preserve">,</w:t>
      </w:r>
      <w:r>
        <w:t xml:space="preserve"> </w:t>
      </w:r>
      <w:r>
        <w:rPr>
          <w:iCs/>
          <w:i/>
        </w:rPr>
        <w:t xml:space="preserve">ekānubandha-grahaṇe na dvyanubandhakasya</w:t>
      </w:r>
      <w:r>
        <w:t xml:space="preserve">).</w:t>
      </w:r>
      <w:r>
        <w:t xml:space="preserve"> </w:t>
      </w:r>
      <w:r>
        <w:t xml:space="preserve">“</w:t>
      </w:r>
      <w:r>
        <w:t xml:space="preserve">Sacā</w:t>
      </w:r>
      <w:r>
        <w:t xml:space="preserve">”</w:t>
      </w:r>
      <w:r>
        <w:t xml:space="preserve"> </w:t>
      </w:r>
      <w:r>
        <w:t xml:space="preserve">—</w:t>
      </w:r>
      <w:r>
        <w:t xml:space="preserve"> </w:t>
      </w:r>
      <w:r>
        <w:t xml:space="preserve">“</w:t>
      </w:r>
      <w:r>
        <w:t xml:space="preserve">ṣaca samavāye</w:t>
      </w:r>
      <w:r>
        <w:t xml:space="preserve">”</w:t>
      </w:r>
      <w:r>
        <w:t xml:space="preserve">:</w:t>
      </w:r>
      <w:r>
        <w:t xml:space="preserve"> </w:t>
      </w:r>
      <w:r>
        <w:rPr>
          <w:bCs/>
          <w:b/>
        </w:rPr>
        <w:t xml:space="preserve">धात्वादेः षः सः</w:t>
      </w:r>
      <w:r>
        <w:t xml:space="preserve"> </w:t>
      </w:r>
      <w:r>
        <w:t xml:space="preserve">(पा. ६-१-६४); as belonging to the</w:t>
      </w:r>
      <w:r>
        <w:t xml:space="preserve"> </w:t>
      </w:r>
      <w:r>
        <w:t xml:space="preserve">“</w:t>
      </w:r>
      <w:r>
        <w:t xml:space="preserve">sampad</w:t>
      </w:r>
      <w:r>
        <w:t xml:space="preserve">”</w:t>
      </w:r>
      <w:r>
        <w:t xml:space="preserve"> </w:t>
      </w:r>
      <w:r>
        <w:t xml:space="preserve">class,</w:t>
      </w:r>
      <w:r>
        <w:t xml:space="preserve"> </w:t>
      </w:r>
      <w:r>
        <w:t xml:space="preserve">“</w:t>
      </w:r>
      <w:r>
        <w:t xml:space="preserve">kvip</w:t>
      </w:r>
      <w:r>
        <w:t xml:space="preserve">”</w:t>
      </w:r>
      <w:r>
        <w:t xml:space="preserve"> </w:t>
      </w:r>
      <w:r>
        <w:t xml:space="preserve">in the sense of the action (</w:t>
      </w:r>
      <w:r>
        <w:rPr>
          <w:bCs/>
          <w:b/>
        </w:rPr>
        <w:t xml:space="preserve">सम्पदादिभ्यः क्विप्</w:t>
      </w:r>
      <w:r>
        <w:t xml:space="preserve">, पा. ३-३-१०८-वा. ९); the third-case singular; first-syllable acute by the root accent; by the maxim</w:t>
      </w:r>
      <w:r>
        <w:t xml:space="preserve"> </w:t>
      </w:r>
      <w:r>
        <w:rPr>
          <w:bCs/>
          <w:b/>
        </w:rPr>
        <w:t xml:space="preserve">सर्वे विधयश्छन्दसि विकल्प्यन्ते</w:t>
      </w:r>
      <w:r>
        <w:t xml:space="preserve"> </w:t>
      </w:r>
      <w:r>
        <w:t xml:space="preserve">(</w:t>
      </w:r>
      <w:r>
        <w:rPr>
          <w:iCs/>
          <w:i/>
        </w:rPr>
        <w:t xml:space="preserve">sarve vidhayaś chandasi vikalpyante</w:t>
      </w:r>
      <w:r>
        <w:t xml:space="preserve">, परि. ३५)</w:t>
      </w:r>
      <w:r>
        <w:t xml:space="preserve"> </w:t>
      </w:r>
      <w:r>
        <w:rPr>
          <w:bCs/>
          <w:b/>
        </w:rPr>
        <w:t xml:space="preserve">सावेकाचस्तृतीयादिर्विभक्तिः</w:t>
      </w:r>
      <w:r>
        <w:t xml:space="preserve"> </w:t>
      </w:r>
      <w:r>
        <w:t xml:space="preserve">(पा. ६-१-१६८) does not apply; if</w:t>
      </w:r>
      <w:r>
        <w:t xml:space="preserve"> </w:t>
      </w:r>
      <w:r>
        <w:t xml:space="preserve">“</w:t>
      </w:r>
      <w:r>
        <w:t xml:space="preserve">sacā</w:t>
      </w:r>
      <w:r>
        <w:t xml:space="preserve">”</w:t>
      </w:r>
      <w:r>
        <w:t xml:space="preserve"> </w:t>
      </w:r>
      <w:r>
        <w:t xml:space="preserve">is taken as a particle it is plainly first-syllable acute. ॥२॥</w:t>
      </w:r>
    </w:p>
    <w:p>
      <w:pPr>
        <w:pStyle w:val="BodyText"/>
      </w:pPr>
      <w:r>
        <w:rPr>
          <w:bCs/>
          <w:b/>
        </w:rPr>
        <w:t xml:space="preserve">॥ Prati-padārthaḥ ॥</w:t>
      </w:r>
      <w:r>
        <w:t xml:space="preserve"> </w:t>
      </w:r>
      <w:r>
        <w:rPr>
          <w:iCs/>
          <w:i/>
        </w:rPr>
        <w:t xml:space="preserve">(Kannada, translated; continued on the next page)</w:t>
      </w:r>
    </w:p>
    <w:p>
      <w:pPr>
        <w:pStyle w:val="BodyText"/>
      </w:pPr>
      <w:r>
        <w:rPr>
          <w:bCs/>
          <w:b/>
        </w:rPr>
        <w:t xml:space="preserve">सचा (sacā)</w:t>
      </w:r>
      <w:r>
        <w:t xml:space="preserve"> </w:t>
      </w:r>
      <w:r>
        <w:t xml:space="preserve">— (all of you — priests, the sacrificer and all, together) united, or mutually joined |</w:t>
      </w:r>
      <w:r>
        <w:t xml:space="preserve"> </w:t>
      </w:r>
      <w:r>
        <w:rPr>
          <w:bCs/>
          <w:b/>
        </w:rPr>
        <w:t xml:space="preserve">सोमे (some)</w:t>
      </w:r>
      <w:r>
        <w:t xml:space="preserve"> </w:t>
      </w:r>
      <w:r>
        <w:t xml:space="preserve">— the Soma-juice |</w:t>
      </w:r>
      <w:r>
        <w:t xml:space="preserve"> </w:t>
      </w:r>
      <w:r>
        <w:rPr>
          <w:bCs/>
          <w:b/>
        </w:rPr>
        <w:t xml:space="preserve">सुते (sute)</w:t>
      </w:r>
      <w:r>
        <w:t xml:space="preserve"> </w:t>
      </w:r>
      <w:r>
        <w:t xml:space="preserve">— in order that it be prepared (having been prepared) |</w:t>
      </w:r>
      <w:r>
        <w:t xml:space="preserve"> </w:t>
      </w:r>
      <w:r>
        <w:rPr>
          <w:iCs/>
          <w:i/>
        </w:rPr>
        <w:t xml:space="preserve">(he sakhāyaḥ — O friends, or priests;)</w:t>
      </w:r>
      <w:r>
        <w:t xml:space="preserve"> </w:t>
      </w:r>
      <w:r>
        <w:t xml:space="preserve">…</w:t>
      </w:r>
    </w:p>
    <w:bookmarkEnd w:id="192"/>
    <w:bookmarkStart w:id="193" w:name="X73f13b042766f526475ddfc88e845bbfcae8b40"/>
    <w:p>
      <w:pPr>
        <w:pStyle w:val="Heading3"/>
      </w:pPr>
      <w:r>
        <w:t xml:space="preserve">Page 159 — Rik 5.2: Pada-meanings concluded; Bhāvārtha; English rendering; Special topics (opening)</w:t>
      </w:r>
    </w:p>
    <w:p>
      <w:pPr>
        <w:pStyle w:val="FirstParagraph"/>
      </w:pPr>
      <w:r>
        <w:rPr>
          <w:iCs/>
          <w:i/>
        </w:rPr>
        <w:t xml:space="preserve">(Page header:</w:t>
      </w:r>
      <w:r>
        <w:rPr>
          <w:iCs/>
          <w:i/>
        </w:rPr>
        <w:t xml:space="preserve"> </w:t>
      </w:r>
      <w:r>
        <w:rPr>
          <w:iCs/>
          <w:i/>
        </w:rPr>
        <w:t xml:space="preserve">“</w:t>
      </w:r>
      <w:r>
        <w:rPr>
          <w:iCs/>
          <w:i/>
        </w:rPr>
        <w:t xml:space="preserve">Aṣṭaka 1, Adhyāya 1, Varga 9 · Ṛgveda-saṃhitā.</w:t>
      </w:r>
      <w:r>
        <w:rPr>
          <w:iCs/>
          <w:i/>
        </w:rPr>
        <w:t xml:space="preserve">”</w:t>
      </w:r>
      <w:r>
        <w:rPr>
          <w:iCs/>
          <w:i/>
        </w:rPr>
        <w:t xml:space="preserve"> </w:t>
      </w:r>
      <w:r>
        <w:rPr>
          <w:iCs/>
          <w:i/>
        </w:rPr>
        <w:t xml:space="preserve">English as printed.)</w:t>
      </w:r>
    </w:p>
    <w:p>
      <w:pPr>
        <w:pStyle w:val="BodyText"/>
      </w:pPr>
      <w:r>
        <w:rPr>
          <w:iCs/>
          <w:i/>
        </w:rPr>
        <w:t xml:space="preserve">(Continuing the Pada-meanings:)</w:t>
      </w:r>
      <w:r>
        <w:t xml:space="preserve"> </w:t>
      </w:r>
      <w:r>
        <w:rPr>
          <w:bCs/>
          <w:b/>
        </w:rPr>
        <w:t xml:space="preserve">पुरूतमम् (purūtamam)</w:t>
      </w:r>
      <w:r>
        <w:t xml:space="preserve"> </w:t>
      </w:r>
      <w:r>
        <w:t xml:space="preserve">— destroyer of enemies |</w:t>
      </w:r>
      <w:r>
        <w:t xml:space="preserve"> </w:t>
      </w:r>
      <w:r>
        <w:rPr>
          <w:bCs/>
          <w:b/>
        </w:rPr>
        <w:t xml:space="preserve">पुरूणाम् (purūṇām)</w:t>
      </w:r>
      <w:r>
        <w:t xml:space="preserve"> </w:t>
      </w:r>
      <w:r>
        <w:t xml:space="preserve">— of many |</w:t>
      </w:r>
      <w:r>
        <w:t xml:space="preserve"> </w:t>
      </w:r>
      <w:r>
        <w:rPr>
          <w:bCs/>
          <w:b/>
        </w:rPr>
        <w:t xml:space="preserve">वार्याणाम् (vāryāṇām)</w:t>
      </w:r>
      <w:r>
        <w:t xml:space="preserve"> </w:t>
      </w:r>
      <w:r>
        <w:t xml:space="preserve">— of wealth, lordship and the like |</w:t>
      </w:r>
      <w:r>
        <w:t xml:space="preserve"> </w:t>
      </w:r>
      <w:r>
        <w:rPr>
          <w:bCs/>
          <w:b/>
        </w:rPr>
        <w:t xml:space="preserve">ईशानम् (īśānam)</w:t>
      </w:r>
      <w:r>
        <w:t xml:space="preserve"> </w:t>
      </w:r>
      <w:r>
        <w:t xml:space="preserve">— the master |</w:t>
      </w:r>
      <w:r>
        <w:t xml:space="preserve"> </w:t>
      </w:r>
      <w:r>
        <w:rPr>
          <w:bCs/>
          <w:b/>
        </w:rPr>
        <w:t xml:space="preserve">इन्द्रम् (indram)</w:t>
      </w:r>
      <w:r>
        <w:t xml:space="preserve"> </w:t>
      </w:r>
      <w:r>
        <w:t xml:space="preserve">— Indra |</w:t>
      </w:r>
      <w:r>
        <w:t xml:space="preserve"> </w:t>
      </w:r>
      <w:r>
        <w:rPr>
          <w:iCs/>
          <w:i/>
        </w:rPr>
        <w:t xml:space="preserve">(abhi pra gāyata — sing well with stotras.)</w:t>
      </w:r>
    </w:p>
    <w:p>
      <w:pPr>
        <w:pStyle w:val="BodyText"/>
      </w:pPr>
      <w:r>
        <w:rPr>
          <w:bCs/>
          <w:b/>
        </w:rPr>
        <w:t xml:space="preserve">॥ Bhāvārthaḥ ॥</w:t>
      </w:r>
      <w:r>
        <w:t xml:space="preserve"> </w:t>
      </w:r>
      <w:r>
        <w:rPr>
          <w:iCs/>
          <w:i/>
        </w:rPr>
        <w:t xml:space="preserve">(Kannada, translated)</w:t>
      </w:r>
    </w:p>
    <w:p>
      <w:pPr>
        <w:pStyle w:val="BodyText"/>
      </w:pPr>
      <w:r>
        <w:t xml:space="preserve">O priests and sacrificers, who are friends! All of you together, after the Soma-juice has been prepared in this sacrifice, praise with stotras Indra, who is the destroyer of enemies and the master of boundless lordship.</w:t>
      </w:r>
    </w:p>
    <w:p>
      <w:pPr>
        <w:pStyle w:val="BodyText"/>
      </w:pPr>
      <w:r>
        <w:rPr>
          <w:bCs/>
          <w:b/>
        </w:rPr>
        <w:t xml:space="preserve">English Translation</w:t>
      </w:r>
      <w:r>
        <w:t xml:space="preserve"> </w:t>
      </w:r>
      <w:r>
        <w:rPr>
          <w:iCs/>
          <w:i/>
        </w:rPr>
        <w:t xml:space="preserve">(printed in English in the source itself):</w:t>
      </w:r>
    </w:p>
    <w:p>
      <w:pPr>
        <w:pStyle w:val="BodyText"/>
      </w:pPr>
      <w:r>
        <w:t xml:space="preserve">“</w:t>
      </w:r>
      <w:r>
        <w:t xml:space="preserve">O friends (priests), when soma is pressed sing along with others (or in a body) Indra, the subduer of many foes and the lord of many riches.</w:t>
      </w:r>
      <w:r>
        <w:t xml:space="preserve">”</w:t>
      </w:r>
    </w:p>
    <w:p>
      <w:pPr>
        <w:pStyle w:val="BodyText"/>
      </w:pPr>
      <w:r>
        <w:rPr>
          <w:bCs/>
          <w:b/>
        </w:rPr>
        <w:t xml:space="preserve">॥ Viśeṣa-viṣayagaḷu (Special Topics) ॥</w:t>
      </w:r>
    </w:p>
    <w:p>
      <w:pPr>
        <w:pStyle w:val="BodyText"/>
      </w:pPr>
      <w:r>
        <w:t xml:space="preserve">In this Ṛk there is neither an agent (kartṛ) nor a verb; hence the Bhāṣyakāra says that the agent-word</w:t>
      </w:r>
      <w:r>
        <w:t xml:space="preserve"> </w:t>
      </w:r>
      <w:r>
        <w:t xml:space="preserve">“</w:t>
      </w:r>
      <w:r>
        <w:rPr>
          <w:bCs/>
          <w:b/>
        </w:rPr>
        <w:t xml:space="preserve">sakhāyaḥ</w:t>
      </w:r>
      <w:r>
        <w:t xml:space="preserve">,</w:t>
      </w:r>
      <w:r>
        <w:t xml:space="preserve">”</w:t>
      </w:r>
      <w:r>
        <w:t xml:space="preserve"> </w:t>
      </w:r>
      <w:r>
        <w:t xml:space="preserve">given in the preceding Ṛk, and the verb</w:t>
      </w:r>
      <w:r>
        <w:t xml:space="preserve"> </w:t>
      </w:r>
      <w:r>
        <w:t xml:space="preserve">“</w:t>
      </w:r>
      <w:r>
        <w:rPr>
          <w:bCs/>
          <w:b/>
        </w:rPr>
        <w:t xml:space="preserve">abhi pra gāyata</w:t>
      </w:r>
      <w:r>
        <w:t xml:space="preserve">”</w:t>
      </w:r>
      <w:r>
        <w:t xml:space="preserve"> </w:t>
      </w:r>
      <w:r>
        <w:t xml:space="preserve">must be supplied (adhyāhāra). Therefore it is to be understood that the sense of the preceding Ṛk is carried on in this Ṛk.</w:t>
      </w:r>
    </w:p>
    <w:p>
      <w:pPr>
        <w:pStyle w:val="BodyText"/>
      </w:pPr>
      <w:r>
        <w:rPr>
          <w:bCs/>
          <w:b/>
        </w:rPr>
        <w:t xml:space="preserve">पुरूतमम् (purūtamam)</w:t>
      </w:r>
      <w:r>
        <w:t xml:space="preserve"> </w:t>
      </w:r>
      <w:r>
        <w:t xml:space="preserve">— For this word the Bhāṣyakāra says</w:t>
      </w:r>
      <w:r>
        <w:t xml:space="preserve"> </w:t>
      </w:r>
      <w:r>
        <w:t xml:space="preserve">“</w:t>
      </w:r>
      <w:r>
        <w:t xml:space="preserve">he who destroys enemies</w:t>
      </w:r>
      <w:r>
        <w:t xml:space="preserve">”</w:t>
      </w:r>
      <w:r>
        <w:t xml:space="preserve"> </w:t>
      </w:r>
      <w:r>
        <w:t xml:space="preserve">(śatrūn damayati).</w:t>
      </w:r>
      <w:r>
        <w:t xml:space="preserve"> </w:t>
      </w:r>
      <w:r>
        <w:rPr>
          <w:bCs/>
          <w:b/>
        </w:rPr>
        <w:t xml:space="preserve">Skandasvāmī</w:t>
      </w:r>
      <w:r>
        <w:t xml:space="preserve"> </w:t>
      </w:r>
      <w:r>
        <w:t xml:space="preserve">says:</w:t>
      </w:r>
      <w:r>
        <w:t xml:space="preserve"> </w:t>
      </w:r>
      <w:r>
        <w:t xml:space="preserve">“</w:t>
      </w:r>
      <w:r>
        <w:rPr>
          <w:iCs/>
          <w:i/>
        </w:rPr>
        <w:t xml:space="preserve">purutamam | puruśabdo bahunāma | tamu abhikāṅkṣāyām | bahubhir yo ’bhikāṅkṣyate prārthyate yācyate sa purutamas taṃ purutamam</w:t>
      </w:r>
      <w:r>
        <w:t xml:space="preserve">”</w:t>
      </w:r>
      <w:r>
        <w:t xml:space="preserve"> </w:t>
      </w:r>
      <w:r>
        <w:t xml:space="preserve">(पुरुतमम् । पुरुशब्दो बहुनाम । तमु अभिकाङ्क्षायाम् । बहुभिर्योऽभिकाङ्क्ष्यते प्रार्थ्यते याच्यते स पुरुतमस्तं पुरुतमम् —</w:t>
      </w:r>
      <w:r>
        <w:t xml:space="preserve"> </w:t>
      </w:r>
      <w:r>
        <w:t xml:space="preserve">“</w:t>
      </w:r>
      <w:r>
        <w:t xml:space="preserve">‘</w:t>
      </w:r>
      <w:r>
        <w:t xml:space="preserve">Purūtamam</w:t>
      </w:r>
      <w:r>
        <w:t xml:space="preserve">’</w:t>
      </w:r>
      <w:r>
        <w:t xml:space="preserve">: the word</w:t>
      </w:r>
      <w:r>
        <w:t xml:space="preserve"> </w:t>
      </w:r>
      <w:r>
        <w:t xml:space="preserve">‘</w:t>
      </w:r>
      <w:r>
        <w:t xml:space="preserve">puru</w:t>
      </w:r>
      <w:r>
        <w:t xml:space="preserve">’</w:t>
      </w:r>
      <w:r>
        <w:t xml:space="preserve"> </w:t>
      </w:r>
      <w:r>
        <w:t xml:space="preserve">is a name for</w:t>
      </w:r>
      <w:r>
        <w:t xml:space="preserve"> </w:t>
      </w:r>
      <w:r>
        <w:t xml:space="preserve">‘</w:t>
      </w:r>
      <w:r>
        <w:t xml:space="preserve">many</w:t>
      </w:r>
      <w:r>
        <w:t xml:space="preserve">’</w:t>
      </w:r>
      <w:r>
        <w:t xml:space="preserve">;</w:t>
      </w:r>
      <w:r>
        <w:t xml:space="preserve"> </w:t>
      </w:r>
      <w:r>
        <w:t xml:space="preserve">‘</w:t>
      </w:r>
      <w:r>
        <w:t xml:space="preserve">tamu</w:t>
      </w:r>
      <w:r>
        <w:t xml:space="preserve">’</w:t>
      </w:r>
      <w:r>
        <w:t xml:space="preserve"> </w:t>
      </w:r>
      <w:r>
        <w:t xml:space="preserve">is in the sense of</w:t>
      </w:r>
      <w:r>
        <w:t xml:space="preserve"> </w:t>
      </w:r>
      <w:r>
        <w:t xml:space="preserve">‘</w:t>
      </w:r>
      <w:r>
        <w:t xml:space="preserve">wishing for</w:t>
      </w:r>
      <w:r>
        <w:t xml:space="preserve">’</w:t>
      </w:r>
      <w:r>
        <w:t xml:space="preserve">; he who is wished for, prayed to, begged of by many is</w:t>
      </w:r>
      <w:r>
        <w:t xml:space="preserve"> </w:t>
      </w:r>
      <w:r>
        <w:t xml:space="preserve">‘</w:t>
      </w:r>
      <w:r>
        <w:t xml:space="preserve">purutama</w:t>
      </w:r>
      <w:r>
        <w:t xml:space="preserve">’</w:t>
      </w:r>
      <w:r>
        <w:t xml:space="preserve">”</w:t>
      </w:r>
      <w:r>
        <w:t xml:space="preserve">). That is: the word</w:t>
      </w:r>
      <w:r>
        <w:t xml:space="preserve"> </w:t>
      </w:r>
      <w:r>
        <w:t xml:space="preserve">“</w:t>
      </w:r>
      <w:r>
        <w:t xml:space="preserve">puru</w:t>
      </w:r>
      <w:r>
        <w:t xml:space="preserve">”</w:t>
      </w:r>
      <w:r>
        <w:t xml:space="preserve"> </w:t>
      </w:r>
      <w:r>
        <w:t xml:space="preserve">means</w:t>
      </w:r>
      <w:r>
        <w:t xml:space="preserve"> </w:t>
      </w:r>
      <w:r>
        <w:t xml:space="preserve">“</w:t>
      </w:r>
      <w:r>
        <w:t xml:space="preserve">many</w:t>
      </w:r>
      <w:r>
        <w:t xml:space="preserve">”</w:t>
      </w:r>
      <w:r>
        <w:t xml:space="preserve">; the root</w:t>
      </w:r>
      <w:r>
        <w:t xml:space="preserve"> </w:t>
      </w:r>
      <w:r>
        <w:t xml:space="preserve">“</w:t>
      </w:r>
      <w:r>
        <w:t xml:space="preserve">tamu</w:t>
      </w:r>
      <w:r>
        <w:t xml:space="preserve">”</w:t>
      </w:r>
      <w:r>
        <w:t xml:space="preserve"> </w:t>
      </w:r>
      <w:r>
        <w:t xml:space="preserve">means</w:t>
      </w:r>
      <w:r>
        <w:t xml:space="preserve"> </w:t>
      </w:r>
      <w:r>
        <w:t xml:space="preserve">“</w:t>
      </w:r>
      <w:r>
        <w:t xml:space="preserve">to long for, to ask, to pray</w:t>
      </w:r>
      <w:r>
        <w:t xml:space="preserve">”</w:t>
      </w:r>
      <w:r>
        <w:t xml:space="preserve">; hence</w:t>
      </w:r>
      <w:r>
        <w:t xml:space="preserve"> </w:t>
      </w:r>
      <w:r>
        <w:t xml:space="preserve">“</w:t>
      </w:r>
      <w:r>
        <w:t xml:space="preserve">purutama</w:t>
      </w:r>
      <w:r>
        <w:t xml:space="preserve">”</w:t>
      </w:r>
      <w:r>
        <w:t xml:space="preserve"> </w:t>
      </w:r>
      <w:r>
        <w:t xml:space="preserve">means one to whom many pray, one desired by many.</w:t>
      </w:r>
      <w:r>
        <w:t xml:space="preserve"> </w:t>
      </w:r>
      <w:r>
        <w:rPr>
          <w:bCs/>
          <w:b/>
        </w:rPr>
        <w:t xml:space="preserve">Veṅkaṭamādhava</w:t>
      </w:r>
      <w:r>
        <w:t xml:space="preserve"> </w:t>
      </w:r>
      <w:r>
        <w:t xml:space="preserve">has accepted Sāyaṇa’s meaning.</w:t>
      </w:r>
    </w:p>
    <w:p>
      <w:pPr>
        <w:pStyle w:val="BodyText"/>
      </w:pPr>
      <w:r>
        <w:rPr>
          <w:bCs/>
          <w:b/>
        </w:rPr>
        <w:t xml:space="preserve">सचा (sacā)</w:t>
      </w:r>
      <w:r>
        <w:t xml:space="preserve"> </w:t>
      </w:r>
      <w:r>
        <w:t xml:space="preserve">—</w:t>
      </w:r>
      <w:r>
        <w:t xml:space="preserve"> </w:t>
      </w:r>
      <w:r>
        <w:t xml:space="preserve">“</w:t>
      </w:r>
      <w:r>
        <w:t xml:space="preserve">together, united, jointly, mingled.</w:t>
      </w:r>
      <w:r>
        <w:t xml:space="preserve">”</w:t>
      </w:r>
      <w:r>
        <w:t xml:space="preserve"> </w:t>
      </w:r>
      <w:r>
        <w:t xml:space="preserve">This word is used in the Ṛgveda in</w:t>
      </w:r>
      <w:r>
        <w:t xml:space="preserve"> </w:t>
      </w:r>
      <w:r>
        <w:rPr>
          <w:bCs/>
          <w:b/>
        </w:rPr>
        <w:t xml:space="preserve">88</w:t>
      </w:r>
      <w:r>
        <w:t xml:space="preserve"> </w:t>
      </w:r>
      <w:r>
        <w:t xml:space="preserve">Ṛks, beginning with Ṛ. Saṃ. 1-5-2; 1-7-2; 1-9-3; 1-10-4; 1-40-1; 1-50-11</w:t>
      </w:r>
      <w:r>
        <w:t xml:space="preserve"> </w:t>
      </w:r>
      <w:r>
        <w:rPr>
          <w:iCs/>
          <w:i/>
        </w:rPr>
        <w:t xml:space="preserve">(references re-read from the better scan)</w:t>
      </w:r>
      <w:r>
        <w:t xml:space="preserve">.</w:t>
      </w:r>
    </w:p>
    <w:p>
      <w:pPr>
        <w:pStyle w:val="BodyText"/>
      </w:pPr>
      <w:r>
        <w:rPr>
          <w:bCs/>
          <w:b/>
        </w:rPr>
        <w:t xml:space="preserve">॥ Vyākaraṇa-prakriyā ॥</w:t>
      </w:r>
      <w:r>
        <w:t xml:space="preserve"> </w:t>
      </w:r>
      <w:r>
        <w:rPr>
          <w:iCs/>
          <w:i/>
        </w:rPr>
        <w:t xml:space="preserve">(Kannada; characterized, sūtras kept)</w:t>
      </w:r>
      <w:r>
        <w:t xml:space="preserve"> </w:t>
      </w:r>
      <w:r>
        <w:rPr>
          <w:bCs/>
          <w:b/>
        </w:rPr>
        <w:t xml:space="preserve">“</w:t>
      </w:r>
      <w:r>
        <w:rPr>
          <w:bCs/>
          <w:b/>
        </w:rPr>
        <w:t xml:space="preserve">Purūtamam</w:t>
      </w:r>
      <w:r>
        <w:rPr>
          <w:bCs/>
          <w:b/>
        </w:rPr>
        <w:t xml:space="preserve">”</w:t>
      </w:r>
      <w:r>
        <w:t xml:space="preserve"> </w:t>
      </w:r>
      <w:r>
        <w:t xml:space="preserve">— the root</w:t>
      </w:r>
      <w:r>
        <w:t xml:space="preserve"> </w:t>
      </w:r>
      <w:r>
        <w:t xml:space="preserve">“</w:t>
      </w:r>
      <w:r>
        <w:t xml:space="preserve">tamu glānau</w:t>
      </w:r>
      <w:r>
        <w:t xml:space="preserve">”</w:t>
      </w:r>
      <w:r>
        <w:t xml:space="preserve"> </w:t>
      </w:r>
      <w:r>
        <w:t xml:space="preserve">(to be fatigued), with the</w:t>
      </w:r>
      <w:r>
        <w:t xml:space="preserve"> </w:t>
      </w:r>
      <w:r>
        <w:t xml:space="preserve">“</w:t>
      </w:r>
      <w:r>
        <w:t xml:space="preserve">ṇic</w:t>
      </w:r>
      <w:r>
        <w:t xml:space="preserve">”</w:t>
      </w:r>
      <w:r>
        <w:t xml:space="preserve"> </w:t>
      </w:r>
      <w:r>
        <w:t xml:space="preserve">sense included, then</w:t>
      </w:r>
      <w:r>
        <w:t xml:space="preserve"> </w:t>
      </w:r>
      <w:r>
        <w:rPr>
          <w:bCs/>
          <w:b/>
        </w:rPr>
        <w:t xml:space="preserve">नन्दिग्रहिपचादिभ्यो ल्युणिन्यचः</w:t>
      </w:r>
      <w:r>
        <w:t xml:space="preserve"> </w:t>
      </w:r>
      <w:r>
        <w:t xml:space="preserve">(पा. ३-१-१३४)</w:t>
      </w:r>
      <w:r>
        <w:t xml:space="preserve"> </w:t>
      </w:r>
      <w:r>
        <w:t xml:space="preserve">“</w:t>
      </w:r>
      <w:r>
        <w:t xml:space="preserve">ac,</w:t>
      </w:r>
      <w:r>
        <w:t xml:space="preserve">”</w:t>
      </w:r>
      <w:r>
        <w:t xml:space="preserve"> </w:t>
      </w:r>
      <w:r>
        <w:t xml:space="preserve">as it belongs to the</w:t>
      </w:r>
      <w:r>
        <w:t xml:space="preserve"> </w:t>
      </w:r>
      <w:r>
        <w:t xml:space="preserve">“</w:t>
      </w:r>
      <w:r>
        <w:t xml:space="preserve">pacādi</w:t>
      </w:r>
      <w:r>
        <w:t xml:space="preserve">”</w:t>
      </w:r>
      <w:r>
        <w:t xml:space="preserve">;</w:t>
      </w:r>
      <w:r>
        <w:t xml:space="preserve"> </w:t>
      </w:r>
      <w:r>
        <w:t xml:space="preserve">“</w:t>
      </w:r>
      <w:r>
        <w:t xml:space="preserve">ac</w:t>
      </w:r>
      <w:r>
        <w:t xml:space="preserve">”</w:t>
      </w:r>
      <w:r>
        <w:t xml:space="preserve"> </w:t>
      </w:r>
      <w:r>
        <w:t xml:space="preserve">is</w:t>
      </w:r>
      <w:r>
        <w:t xml:space="preserve"> </w:t>
      </w:r>
      <w:r>
        <w:t xml:space="preserve">“</w:t>
      </w:r>
      <w:r>
        <w:t xml:space="preserve">c</w:t>
      </w:r>
      <w:r>
        <w:t xml:space="preserve">”</w:t>
      </w:r>
      <w:r>
        <w:t xml:space="preserve">-marked, so by</w:t>
      </w:r>
      <w:r>
        <w:t xml:space="preserve"> </w:t>
      </w:r>
      <w:r>
        <w:rPr>
          <w:bCs/>
          <w:b/>
        </w:rPr>
        <w:t xml:space="preserve">चितः</w:t>
      </w:r>
      <w:r>
        <w:t xml:space="preserve"> </w:t>
      </w:r>
      <w:r>
        <w:t xml:space="preserve">(पा. ६-१-१६३) the end vowel is acute;</w:t>
      </w:r>
      <w:r>
        <w:t xml:space="preserve"> </w:t>
      </w:r>
      <w:r>
        <w:rPr>
          <w:bCs/>
          <w:b/>
        </w:rPr>
        <w:t xml:space="preserve">गतिकारकोपपदात्कृत्</w:t>
      </w:r>
      <w:r>
        <w:t xml:space="preserve"> </w:t>
      </w:r>
      <w:r>
        <w:t xml:space="preserve">(पा. ६-२-१३९) retains the accent of the second member of a compound ending in a kṛt …</w:t>
      </w:r>
      <w:r>
        <w:t xml:space="preserve"> </w:t>
      </w:r>
      <w:r>
        <w:rPr>
          <w:iCs/>
          <w:i/>
        </w:rPr>
        <w:t xml:space="preserve">(continues on the next page)</w:t>
      </w:r>
    </w:p>
    <w:bookmarkEnd w:id="193"/>
    <w:bookmarkStart w:id="194" w:name="Xdd14038dcbd65f34ebac33fed1a514a2cc46d4f"/>
    <w:p>
      <w:pPr>
        <w:pStyle w:val="Heading3"/>
      </w:pPr>
      <w:r>
        <w:t xml:space="preserve">Pages 160–161 — Vyākaraṇa-prakriyā for Rik 5.2 (characterized); Sūkta 5, Third Mantra: Saṃhitā, Pada, Sāyaṇa-bhāṣya (opening)</w:t>
      </w:r>
    </w:p>
    <w:p>
      <w:pPr>
        <w:pStyle w:val="FirstParagraph"/>
      </w:pPr>
      <w:r>
        <w:rPr>
          <w:iCs/>
          <w:i/>
        </w:rPr>
        <w:t xml:space="preserve">(Page headers: p. 160</w:t>
      </w:r>
      <w:r>
        <w:rPr>
          <w:iCs/>
          <w:i/>
        </w:rPr>
        <w:t xml:space="preserve"> </w:t>
      </w:r>
      <w:r>
        <w:rPr>
          <w:iCs/>
          <w:i/>
        </w:rPr>
        <w:t xml:space="preserve">“</w:t>
      </w:r>
      <w:r>
        <w:rPr>
          <w:iCs/>
          <w:i/>
        </w:rPr>
        <w:t xml:space="preserve">Sāyaṇa-bhāṣya-sahitā · Maṇḍala 1, Anuvāka 2, Sūkta 5</w:t>
      </w:r>
      <w:r>
        <w:rPr>
          <w:iCs/>
          <w:i/>
        </w:rPr>
        <w:t xml:space="preserve">”</w:t>
      </w:r>
      <w:r>
        <w:rPr>
          <w:iCs/>
          <w:i/>
        </w:rPr>
        <w:t xml:space="preserve">; p. 161</w:t>
      </w:r>
      <w:r>
        <w:rPr>
          <w:iCs/>
          <w:i/>
        </w:rPr>
        <w:t xml:space="preserve"> </w:t>
      </w:r>
      <w:r>
        <w:rPr>
          <w:iCs/>
          <w:i/>
        </w:rPr>
        <w:t xml:space="preserve">“</w:t>
      </w:r>
      <w:r>
        <w:rPr>
          <w:iCs/>
          <w:i/>
        </w:rPr>
        <w:t xml:space="preserve">Aṣṭaka 1, Adhyāya 1, Varga 9 · Ṛgveda-saṃhitā.</w:t>
      </w:r>
      <w:r>
        <w:rPr>
          <w:iCs/>
          <w:i/>
        </w:rPr>
        <w:t xml:space="preserve">”</w:t>
      </w:r>
      <w:r>
        <w:rPr>
          <w:iCs/>
          <w:i/>
        </w:rPr>
        <w:t xml:space="preserve"> </w:t>
      </w:r>
      <w:r>
        <w:rPr>
          <w:iCs/>
          <w:i/>
        </w:rPr>
        <w:t xml:space="preserve">Pages 159 (end)–161 (top) are</w:t>
      </w:r>
      <w:r>
        <w:rPr>
          <w:iCs/>
          <w:i/>
        </w:rPr>
        <w:t xml:space="preserve"> </w:t>
      </w:r>
      <w:r>
        <w:rPr>
          <w:bCs/>
          <w:b/>
          <w:iCs/>
          <w:i/>
        </w:rPr>
        <w:t xml:space="preserve">pure Pāṇinian derivation in Kannada prose</w:t>
      </w:r>
      <w:r>
        <w:rPr>
          <w:iCs/>
          <w:i/>
        </w:rPr>
        <w:t xml:space="preserve"> </w:t>
      </w:r>
      <w:r>
        <w:rPr>
          <w:iCs/>
          <w:i/>
        </w:rPr>
        <w:t xml:space="preserve">for</w:t>
      </w:r>
      <w:r>
        <w:rPr>
          <w:iCs/>
          <w:i/>
        </w:rPr>
        <w:t xml:space="preserve"> </w:t>
      </w:r>
      <w:r>
        <w:rPr>
          <w:iCs/>
          <w:i/>
        </w:rPr>
        <w:t xml:space="preserve">“</w:t>
      </w:r>
      <w:r>
        <w:rPr>
          <w:iCs/>
          <w:i/>
        </w:rPr>
        <w:t xml:space="preserve">purūtamam,</w:t>
      </w:r>
      <w:r>
        <w:rPr>
          <w:iCs/>
          <w:i/>
        </w:rPr>
        <w:t xml:space="preserve">”</w:t>
      </w:r>
      <w:r>
        <w:rPr>
          <w:iCs/>
          <w:i/>
        </w:rPr>
        <w:t xml:space="preserve"> </w:t>
      </w:r>
      <w:r>
        <w:rPr>
          <w:iCs/>
          <w:i/>
        </w:rPr>
        <w:t xml:space="preserve">“</w:t>
      </w:r>
      <w:r>
        <w:rPr>
          <w:iCs/>
          <w:i/>
        </w:rPr>
        <w:t xml:space="preserve">purūṇām,</w:t>
      </w:r>
      <w:r>
        <w:rPr>
          <w:iCs/>
          <w:i/>
        </w:rPr>
        <w:t xml:space="preserve">”</w:t>
      </w:r>
      <w:r>
        <w:rPr>
          <w:iCs/>
          <w:i/>
        </w:rPr>
        <w:t xml:space="preserve"> </w:t>
      </w:r>
      <w:r>
        <w:rPr>
          <w:iCs/>
          <w:i/>
        </w:rPr>
        <w:t xml:space="preserve">“</w:t>
      </w:r>
      <w:r>
        <w:rPr>
          <w:iCs/>
          <w:i/>
        </w:rPr>
        <w:t xml:space="preserve">īśānam,</w:t>
      </w:r>
      <w:r>
        <w:rPr>
          <w:iCs/>
          <w:i/>
        </w:rPr>
        <w:t xml:space="preserve">”</w:t>
      </w:r>
      <w:r>
        <w:rPr>
          <w:iCs/>
          <w:i/>
        </w:rPr>
        <w:t xml:space="preserve"> </w:t>
      </w:r>
      <w:r>
        <w:rPr>
          <w:iCs/>
          <w:i/>
        </w:rPr>
        <w:t xml:space="preserve">“</w:t>
      </w:r>
      <w:r>
        <w:rPr>
          <w:iCs/>
          <w:i/>
        </w:rPr>
        <w:t xml:space="preserve">vāryāṇām</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sacā,</w:t>
      </w:r>
      <w:r>
        <w:rPr>
          <w:iCs/>
          <w:i/>
        </w:rPr>
        <w:t xml:space="preserve">”</w:t>
      </w:r>
      <w:r>
        <w:rPr>
          <w:iCs/>
          <w:i/>
        </w:rPr>
        <w:t xml:space="preserve"> </w:t>
      </w:r>
      <w:r>
        <w:rPr>
          <w:iCs/>
          <w:i/>
        </w:rPr>
        <w:t xml:space="preserve">a restatement and expansion of the Sanskrit of p. 158; they do not bear on the sense of the Rik (pp. 158–159). Per the standing convention they are</w:t>
      </w:r>
      <w:r>
        <w:rPr>
          <w:iCs/>
          <w:i/>
        </w:rPr>
        <w:t xml:space="preserve"> </w:t>
      </w:r>
      <w:r>
        <w:rPr>
          <w:bCs/>
          <w:b/>
          <w:iCs/>
          <w:i/>
        </w:rPr>
        <w:t xml:space="preserve">characterized in outline</w:t>
      </w:r>
      <w:r>
        <w:rPr>
          <w:iCs/>
          <w:i/>
        </w:rPr>
        <w:t xml:space="preserve">, with the sūtras named kept in three layers; numbers as I read them in small Kannada numerals. The page is crowded and I do not reproduce its more technical sub-arguments.)</w:t>
      </w:r>
    </w:p>
    <w:p>
      <w:pPr>
        <w:numPr>
          <w:ilvl w:val="0"/>
          <w:numId w:val="1030"/>
        </w:numPr>
        <w:pStyle w:val="Compact"/>
      </w:pPr>
      <w:r>
        <w:rPr>
          <w:bCs/>
          <w:b/>
        </w:rPr>
        <w:t xml:space="preserve">“</w:t>
      </w:r>
      <w:r>
        <w:rPr>
          <w:bCs/>
          <w:b/>
        </w:rPr>
        <w:t xml:space="preserve">Purūtamam</w:t>
      </w:r>
      <w:r>
        <w:rPr>
          <w:bCs/>
          <w:b/>
        </w:rPr>
        <w:t xml:space="preserve">”</w:t>
      </w:r>
      <w:r>
        <w:t xml:space="preserve"> </w:t>
      </w:r>
      <w:r>
        <w:rPr>
          <w:iCs/>
          <w:i/>
        </w:rPr>
        <w:t xml:space="preserve">(from p. 159)</w:t>
      </w:r>
      <w:r>
        <w:t xml:space="preserve"> </w:t>
      </w:r>
      <w:r>
        <w:t xml:space="preserve">— with</w:t>
      </w:r>
      <w:r>
        <w:t xml:space="preserve"> </w:t>
      </w:r>
      <w:r>
        <w:t xml:space="preserve">“</w:t>
      </w:r>
      <w:r>
        <w:t xml:space="preserve">ac</w:t>
      </w:r>
      <w:r>
        <w:t xml:space="preserve">”</w:t>
      </w:r>
      <w:r>
        <w:t xml:space="preserve"> </w:t>
      </w:r>
      <w:r>
        <w:t xml:space="preserve">in the pacādi class:</w:t>
      </w:r>
      <w:r>
        <w:t xml:space="preserve"> </w:t>
      </w:r>
      <w:r>
        <w:rPr>
          <w:bCs/>
          <w:b/>
        </w:rPr>
        <w:t xml:space="preserve">नन्दिग्रहिपचादिभ्यो ल्युणिन्यचः</w:t>
      </w:r>
      <w:r>
        <w:t xml:space="preserve"> </w:t>
      </w:r>
      <w:r>
        <w:t xml:space="preserve">(पा. ३-१-१३४),</w:t>
      </w:r>
      <w:r>
        <w:t xml:space="preserve"> </w:t>
      </w:r>
      <w:r>
        <w:t xml:space="preserve">“</w:t>
      </w:r>
      <w:r>
        <w:t xml:space="preserve">c</w:t>
      </w:r>
      <w:r>
        <w:t xml:space="preserve">”</w:t>
      </w:r>
      <w:r>
        <w:t xml:space="preserve">-marked so end-acute (</w:t>
      </w:r>
      <w:r>
        <w:rPr>
          <w:bCs/>
          <w:b/>
        </w:rPr>
        <w:t xml:space="preserve">चितः</w:t>
      </w:r>
      <w:r>
        <w:t xml:space="preserve">, पा. ६-१-१६३); the second member’s accent is kept (</w:t>
      </w:r>
      <w:r>
        <w:rPr>
          <w:bCs/>
          <w:b/>
        </w:rPr>
        <w:t xml:space="preserve">गतिकारकोपपदात्कृत्</w:t>
      </w:r>
      <w:r>
        <w:t xml:space="preserve">, पा. ६-२-१३९) but the Veda’s</w:t>
      </w:r>
      <w:r>
        <w:t xml:space="preserve"> </w:t>
      </w:r>
      <w:r>
        <w:rPr>
          <w:bCs/>
          <w:b/>
        </w:rPr>
        <w:t xml:space="preserve">परादिश्छन्दसि बहुलम्</w:t>
      </w:r>
      <w:r>
        <w:t xml:space="preserve"> </w:t>
      </w:r>
      <w:r>
        <w:t xml:space="preserve">(पा. ६-२-१९९) — in the Veda the first syllable of the second member may be acute — sets that aside.</w:t>
      </w:r>
    </w:p>
    <w:p>
      <w:pPr>
        <w:numPr>
          <w:ilvl w:val="0"/>
          <w:numId w:val="1030"/>
        </w:numPr>
        <w:pStyle w:val="Compact"/>
      </w:pPr>
      <w:r>
        <w:rPr>
          <w:bCs/>
          <w:b/>
        </w:rPr>
        <w:t xml:space="preserve">“</w:t>
      </w:r>
      <w:r>
        <w:rPr>
          <w:bCs/>
          <w:b/>
        </w:rPr>
        <w:t xml:space="preserve">Purūṇām</w:t>
      </w:r>
      <w:r>
        <w:rPr>
          <w:bCs/>
          <w:b/>
        </w:rPr>
        <w:t xml:space="preserve">”</w:t>
      </w:r>
      <w:r>
        <w:t xml:space="preserve"> </w:t>
      </w:r>
      <w:r>
        <w:t xml:space="preserve">—</w:t>
      </w:r>
      <w:r>
        <w:t xml:space="preserve"> </w:t>
      </w:r>
      <w:r>
        <w:t xml:space="preserve">“</w:t>
      </w:r>
      <w:r>
        <w:t xml:space="preserve">puru</w:t>
      </w:r>
      <w:r>
        <w:t xml:space="preserve">”</w:t>
      </w:r>
      <w:r>
        <w:t xml:space="preserve"> </w:t>
      </w:r>
      <w:r>
        <w:t xml:space="preserve">is formed by the Uṇādi</w:t>
      </w:r>
      <w:r>
        <w:t xml:space="preserve"> </w:t>
      </w:r>
      <w:r>
        <w:rPr>
          <w:bCs/>
          <w:b/>
        </w:rPr>
        <w:t xml:space="preserve">पॄभिदिव्यधिगृधिधृषिभ्यः</w:t>
      </w:r>
      <w:r>
        <w:t xml:space="preserve"> </w:t>
      </w:r>
      <w:r>
        <w:t xml:space="preserve">(</w:t>
      </w:r>
      <w:r>
        <w:rPr>
          <w:iCs/>
          <w:i/>
        </w:rPr>
        <w:t xml:space="preserve">pṝ-bhidi-vyadhi-gṛdhi-dhṛṣibhyaḥ</w:t>
      </w:r>
      <w:r>
        <w:t xml:space="preserve">, उ. सू. १-२३ [as printed;</w:t>
      </w:r>
      <w:r>
        <w:t xml:space="preserve"> </w:t>
      </w:r>
      <w:r>
        <w:t xml:space="preserve">“</w:t>
      </w:r>
      <w:r>
        <w:t xml:space="preserve">1-24</w:t>
      </w:r>
      <w:r>
        <w:t xml:space="preserve">”</w:t>
      </w:r>
      <w:r>
        <w:t xml:space="preserve"> </w:t>
      </w:r>
      <w:r>
        <w:t xml:space="preserve">on p. 158]): after the roots</w:t>
      </w:r>
      <w:r>
        <w:t xml:space="preserve"> </w:t>
      </w:r>
      <w:r>
        <w:t xml:space="preserve">“</w:t>
      </w:r>
      <w:r>
        <w:t xml:space="preserve">pṝ pālana-pūraṇayoḥ</w:t>
      </w:r>
      <w:r>
        <w:t xml:space="preserve">”</w:t>
      </w:r>
      <w:r>
        <w:t xml:space="preserve"> </w:t>
      </w:r>
      <w:r>
        <w:t xml:space="preserve">(to protect, to fill),</w:t>
      </w:r>
      <w:r>
        <w:t xml:space="preserve"> </w:t>
      </w:r>
      <w:r>
        <w:t xml:space="preserve">“</w:t>
      </w:r>
      <w:r>
        <w:t xml:space="preserve">bhidir vidāraṇe</w:t>
      </w:r>
      <w:r>
        <w:t xml:space="preserve">”</w:t>
      </w:r>
      <w:r>
        <w:t xml:space="preserve"> </w:t>
      </w:r>
      <w:r>
        <w:t xml:space="preserve">(to split),</w:t>
      </w:r>
      <w:r>
        <w:t xml:space="preserve"> </w:t>
      </w:r>
      <w:r>
        <w:t xml:space="preserve">“</w:t>
      </w:r>
      <w:r>
        <w:t xml:space="preserve">vyadha tāḍane</w:t>
      </w:r>
      <w:r>
        <w:t xml:space="preserve">”</w:t>
      </w:r>
      <w:r>
        <w:t xml:space="preserve"> </w:t>
      </w:r>
      <w:r>
        <w:t xml:space="preserve">(to strike),</w:t>
      </w:r>
      <w:r>
        <w:t xml:space="preserve"> </w:t>
      </w:r>
      <w:r>
        <w:t xml:space="preserve">“</w:t>
      </w:r>
      <w:r>
        <w:t xml:space="preserve">gṛdhu abhikāṅkṣāyām</w:t>
      </w:r>
      <w:r>
        <w:t xml:space="preserve">”</w:t>
      </w:r>
      <w:r>
        <w:t xml:space="preserve"> </w:t>
      </w:r>
      <w:r>
        <w:t xml:space="preserve">(to desire) and</w:t>
      </w:r>
      <w:r>
        <w:t xml:space="preserve"> </w:t>
      </w:r>
      <w:r>
        <w:t xml:space="preserve">“</w:t>
      </w:r>
      <w:r>
        <w:t xml:space="preserve">ñidhṛṣā prāgalbhye</w:t>
      </w:r>
      <w:r>
        <w:t xml:space="preserve">”</w:t>
      </w:r>
      <w:r>
        <w:t xml:space="preserve"> </w:t>
      </w:r>
      <w:r>
        <w:t xml:space="preserve">(to be bold) the affix</w:t>
      </w:r>
      <w:r>
        <w:t xml:space="preserve"> </w:t>
      </w:r>
      <w:r>
        <w:t xml:space="preserve">“</w:t>
      </w:r>
      <w:r>
        <w:t xml:space="preserve">ku.</w:t>
      </w:r>
      <w:r>
        <w:t xml:space="preserve">”</w:t>
      </w:r>
      <w:r>
        <w:t xml:space="preserve"> </w:t>
      </w:r>
      <w:r>
        <w:t xml:space="preserve">Its</w:t>
      </w:r>
      <w:r>
        <w:t xml:space="preserve"> </w:t>
      </w:r>
      <w:r>
        <w:t xml:space="preserve">“</w:t>
      </w:r>
      <w:r>
        <w:t xml:space="preserve">k</w:t>
      </w:r>
      <w:r>
        <w:t xml:space="preserve">”</w:t>
      </w:r>
      <w:r>
        <w:t xml:space="preserve"> </w:t>
      </w:r>
      <w:r>
        <w:t xml:space="preserve">is an</w:t>
      </w:r>
      <w:r>
        <w:t xml:space="preserve"> </w:t>
      </w:r>
      <w:r>
        <w:t xml:space="preserve">“</w:t>
      </w:r>
      <w:r>
        <w:t xml:space="preserve">it</w:t>
      </w:r>
      <w:r>
        <w:t xml:space="preserve">”</w:t>
      </w:r>
      <w:r>
        <w:t xml:space="preserve"> </w:t>
      </w:r>
      <w:r>
        <w:t xml:space="preserve">by</w:t>
      </w:r>
      <w:r>
        <w:t xml:space="preserve"> </w:t>
      </w:r>
      <w:r>
        <w:rPr>
          <w:bCs/>
          <w:b/>
        </w:rPr>
        <w:t xml:space="preserve">लशक्वतद्धिते</w:t>
      </w:r>
      <w:r>
        <w:t xml:space="preserve"> </w:t>
      </w:r>
      <w:r>
        <w:t xml:space="preserve">(</w:t>
      </w:r>
      <w:r>
        <w:rPr>
          <w:iCs/>
          <w:i/>
        </w:rPr>
        <w:t xml:space="preserve">laśakvataddhite</w:t>
      </w:r>
      <w:r>
        <w:t xml:space="preserve">, पा. १-३-८) and is dropped:</w:t>
      </w:r>
      <w:r>
        <w:t xml:space="preserve"> </w:t>
      </w:r>
      <w:r>
        <w:t xml:space="preserve">“</w:t>
      </w:r>
      <w:r>
        <w:t xml:space="preserve">pṝ + u.</w:t>
      </w:r>
      <w:r>
        <w:t xml:space="preserve">”</w:t>
      </w:r>
      <w:r>
        <w:t xml:space="preserve"> </w:t>
      </w:r>
      <w:r>
        <w:t xml:space="preserve">Guṇa would come by</w:t>
      </w:r>
      <w:r>
        <w:t xml:space="preserve"> </w:t>
      </w:r>
      <w:r>
        <w:rPr>
          <w:bCs/>
          <w:b/>
        </w:rPr>
        <w:t xml:space="preserve">सार्वधातुकार्धधातुकयोः</w:t>
      </w:r>
      <w:r>
        <w:t xml:space="preserve"> </w:t>
      </w:r>
      <w:r>
        <w:t xml:space="preserve">(पा. ७-३-८४), but as the affix is</w:t>
      </w:r>
      <w:r>
        <w:t xml:space="preserve"> </w:t>
      </w:r>
      <w:r>
        <w:t xml:space="preserve">“</w:t>
      </w:r>
      <w:r>
        <w:t xml:space="preserve">k</w:t>
      </w:r>
      <w:r>
        <w:t xml:space="preserve">”</w:t>
      </w:r>
      <w:r>
        <w:t xml:space="preserve">-marked</w:t>
      </w:r>
      <w:r>
        <w:t xml:space="preserve"> </w:t>
      </w:r>
      <w:r>
        <w:rPr>
          <w:bCs/>
          <w:b/>
        </w:rPr>
        <w:t xml:space="preserve">क्ङिति च</w:t>
      </w:r>
      <w:r>
        <w:t xml:space="preserve"> </w:t>
      </w:r>
      <w:r>
        <w:t xml:space="preserve">(पा. १-१-५) bars it.</w:t>
      </w:r>
      <w:r>
        <w:t xml:space="preserve"> </w:t>
      </w:r>
      <w:r>
        <w:rPr>
          <w:bCs/>
          <w:b/>
        </w:rPr>
        <w:t xml:space="preserve">उदोष्ठ्यपूर्वस्य</w:t>
      </w:r>
      <w:r>
        <w:t xml:space="preserve"> </w:t>
      </w:r>
      <w:r>
        <w:t xml:space="preserve">(</w:t>
      </w:r>
      <w:r>
        <w:rPr>
          <w:iCs/>
          <w:i/>
        </w:rPr>
        <w:t xml:space="preserve">ud oṣṭhyapūrvasya</w:t>
      </w:r>
      <w:r>
        <w:t xml:space="preserve">, पा. ७-१-१०२) gives</w:t>
      </w:r>
      <w:r>
        <w:t xml:space="preserve"> </w:t>
      </w:r>
      <w:r>
        <w:t xml:space="preserve">“</w:t>
      </w:r>
      <w:r>
        <w:t xml:space="preserve">ut</w:t>
      </w:r>
      <w:r>
        <w:t xml:space="preserve">”</w:t>
      </w:r>
      <w:r>
        <w:t xml:space="preserve"> </w:t>
      </w:r>
      <w:r>
        <w:t xml:space="preserve">for the</w:t>
      </w:r>
      <w:r>
        <w:t xml:space="preserve"> </w:t>
      </w:r>
      <w:r>
        <w:t xml:space="preserve">“</w:t>
      </w:r>
      <w:r>
        <w:t xml:space="preserve">ṝ</w:t>
      </w:r>
      <w:r>
        <w:t xml:space="preserve">”</w:t>
      </w:r>
      <w:r>
        <w:t xml:space="preserve"> </w:t>
      </w:r>
      <w:r>
        <w:t xml:space="preserve">of a stem preceded by a labial;</w:t>
      </w:r>
      <w:r>
        <w:t xml:space="preserve"> </w:t>
      </w:r>
      <w:r>
        <w:rPr>
          <w:bCs/>
          <w:b/>
        </w:rPr>
        <w:t xml:space="preserve">उरण् रपरः</w:t>
      </w:r>
      <w:r>
        <w:t xml:space="preserve"> </w:t>
      </w:r>
      <w:r>
        <w:t xml:space="preserve">(पा. १-१-५१) makes it</w:t>
      </w:r>
      <w:r>
        <w:t xml:space="preserve"> </w:t>
      </w:r>
      <w:r>
        <w:t xml:space="preserve">“</w:t>
      </w:r>
      <w:r>
        <w:t xml:space="preserve">ur</w:t>
      </w:r>
      <w:r>
        <w:t xml:space="preserve">”</w:t>
      </w:r>
      <w:r>
        <w:t xml:space="preserve"> </w:t>
      </w:r>
      <w:r>
        <w:t xml:space="preserve">→</w:t>
      </w:r>
      <w:r>
        <w:t xml:space="preserve"> </w:t>
      </w:r>
      <w:r>
        <w:t xml:space="preserve">“</w:t>
      </w:r>
      <w:r>
        <w:t xml:space="preserve">puru.</w:t>
      </w:r>
      <w:r>
        <w:t xml:space="preserve">”</w:t>
      </w:r>
      <w:r>
        <w:t xml:space="preserve"> </w:t>
      </w:r>
      <w:r>
        <w:t xml:space="preserve">It is end-acute by the affix’s accent; after the short-final, end-acute</w:t>
      </w:r>
      <w:r>
        <w:t xml:space="preserve"> </w:t>
      </w:r>
      <w:r>
        <w:t xml:space="preserve">“</w:t>
      </w:r>
      <w:r>
        <w:t xml:space="preserve">puru,</w:t>
      </w:r>
      <w:r>
        <w:t xml:space="preserve">”</w:t>
      </w:r>
      <w:r>
        <w:t xml:space="preserve"> </w:t>
      </w:r>
      <w:r>
        <w:t xml:space="preserve">the genitive plural</w:t>
      </w:r>
      <w:r>
        <w:t xml:space="preserve"> </w:t>
      </w:r>
      <w:r>
        <w:t xml:space="preserve">“</w:t>
      </w:r>
      <w:r>
        <w:t xml:space="preserve">nām</w:t>
      </w:r>
      <w:r>
        <w:t xml:space="preserve">”</w:t>
      </w:r>
      <w:r>
        <w:t xml:space="preserve"> </w:t>
      </w:r>
      <w:r>
        <w:t xml:space="preserve">is acute by</w:t>
      </w:r>
      <w:r>
        <w:t xml:space="preserve"> </w:t>
      </w:r>
      <w:r>
        <w:rPr>
          <w:bCs/>
          <w:b/>
        </w:rPr>
        <w:t xml:space="preserve">नामन्यतरस्याम्</w:t>
      </w:r>
      <w:r>
        <w:t xml:space="preserve"> </w:t>
      </w:r>
      <w:r>
        <w:t xml:space="preserve">(पा. ६-१-१७७).</w:t>
      </w:r>
    </w:p>
    <w:p>
      <w:pPr>
        <w:numPr>
          <w:ilvl w:val="0"/>
          <w:numId w:val="1030"/>
        </w:numPr>
        <w:pStyle w:val="Compact"/>
      </w:pPr>
      <w:r>
        <w:rPr>
          <w:bCs/>
          <w:b/>
        </w:rPr>
        <w:t xml:space="preserve">“</w:t>
      </w:r>
      <w:r>
        <w:rPr>
          <w:bCs/>
          <w:b/>
        </w:rPr>
        <w:t xml:space="preserve">Īśānam</w:t>
      </w:r>
      <w:r>
        <w:rPr>
          <w:bCs/>
          <w:b/>
        </w:rPr>
        <w:t xml:space="preserve">”</w:t>
      </w:r>
      <w:r>
        <w:t xml:space="preserve"> </w:t>
      </w:r>
      <w:r>
        <w:t xml:space="preserve">—</w:t>
      </w:r>
      <w:r>
        <w:t xml:space="preserve"> </w:t>
      </w:r>
      <w:r>
        <w:t xml:space="preserve">“</w:t>
      </w:r>
      <w:r>
        <w:t xml:space="preserve">īśa aiśvarye</w:t>
      </w:r>
      <w:r>
        <w:t xml:space="preserve">”</w:t>
      </w:r>
      <w:r>
        <w:t xml:space="preserve"> </w:t>
      </w:r>
      <w:r>
        <w:t xml:space="preserve">(to rule),</w:t>
      </w:r>
      <w:r>
        <w:t xml:space="preserve"> </w:t>
      </w:r>
      <w:r>
        <w:t xml:space="preserve">“</w:t>
      </w:r>
      <w:r>
        <w:t xml:space="preserve">laṭ</w:t>
      </w:r>
      <w:r>
        <w:t xml:space="preserve">”</w:t>
      </w:r>
      <w:r>
        <w:t xml:space="preserve"> </w:t>
      </w:r>
      <w:r>
        <w:t xml:space="preserve">and its substitute</w:t>
      </w:r>
      <w:r>
        <w:t xml:space="preserve"> </w:t>
      </w:r>
      <w:r>
        <w:t xml:space="preserve">“</w:t>
      </w:r>
      <w:r>
        <w:t xml:space="preserve">śānac</w:t>
      </w:r>
      <w:r>
        <w:t xml:space="preserve">”</w:t>
      </w:r>
      <w:r>
        <w:t xml:space="preserve"> </w:t>
      </w:r>
      <w:r>
        <w:t xml:space="preserve">(</w:t>
      </w:r>
      <w:r>
        <w:rPr>
          <w:bCs/>
          <w:b/>
        </w:rPr>
        <w:t xml:space="preserve">लटः शतृशानचौ</w:t>
      </w:r>
      <w:r>
        <w:t xml:space="preserve">, पा. ३-२-१२४); the root is unaccented in its upadeśa (</w:t>
      </w:r>
      <w:r>
        <w:t xml:space="preserve">“</w:t>
      </w:r>
      <w:r>
        <w:t xml:space="preserve">anudātteṭ</w:t>
      </w:r>
      <w:r>
        <w:t xml:space="preserve">”</w:t>
      </w:r>
      <w:r>
        <w:t xml:space="preserve">), so the</w:t>
      </w:r>
      <w:r>
        <w:t xml:space="preserve"> </w:t>
      </w:r>
      <w:r>
        <w:t xml:space="preserve">“</w:t>
      </w:r>
      <w:r>
        <w:t xml:space="preserve">sārvadhātuka</w:t>
      </w:r>
      <w:r>
        <w:t xml:space="preserve">”</w:t>
      </w:r>
      <w:r>
        <w:t xml:space="preserve"> </w:t>
      </w:r>
      <w:r>
        <w:t xml:space="preserve">“</w:t>
      </w:r>
      <w:r>
        <w:t xml:space="preserve">śānac</w:t>
      </w:r>
      <w:r>
        <w:t xml:space="preserve">”</w:t>
      </w:r>
      <w:r>
        <w:t xml:space="preserve"> </w:t>
      </w:r>
      <w:r>
        <w:t xml:space="preserve">is unaccented (</w:t>
      </w:r>
      <w:r>
        <w:rPr>
          <w:bCs/>
          <w:b/>
        </w:rPr>
        <w:t xml:space="preserve">तास्यनुदात्तेन्ङिददुपदेशाल्लसार्वधातुकमनुदात्तमहन्वनोर्ङित्</w:t>
      </w:r>
      <w:r>
        <w:t xml:space="preserve">, पा. ६-१-१८६) →</w:t>
      </w:r>
      <w:r>
        <w:t xml:space="preserve"> </w:t>
      </w:r>
      <w:r>
        <w:t xml:space="preserve">“</w:t>
      </w:r>
      <w:r>
        <w:t xml:space="preserve">īśānam.</w:t>
      </w:r>
      <w:r>
        <w:t xml:space="preserve">”</w:t>
      </w:r>
    </w:p>
    <w:p>
      <w:pPr>
        <w:numPr>
          <w:ilvl w:val="0"/>
          <w:numId w:val="1030"/>
        </w:numPr>
        <w:pStyle w:val="Compact"/>
      </w:pPr>
      <w:r>
        <w:rPr>
          <w:bCs/>
          <w:b/>
        </w:rPr>
        <w:t xml:space="preserve">“</w:t>
      </w:r>
      <w:r>
        <w:rPr>
          <w:bCs/>
          <w:b/>
        </w:rPr>
        <w:t xml:space="preserve">Vāryāṇām</w:t>
      </w:r>
      <w:r>
        <w:rPr>
          <w:bCs/>
          <w:b/>
        </w:rPr>
        <w:t xml:space="preserve">”</w:t>
      </w:r>
      <w:r>
        <w:t xml:space="preserve"> </w:t>
      </w:r>
      <w:r>
        <w:t xml:space="preserve">—</w:t>
      </w:r>
      <w:r>
        <w:t xml:space="preserve"> </w:t>
      </w:r>
      <w:r>
        <w:t xml:space="preserve">“</w:t>
      </w:r>
      <w:r>
        <w:t xml:space="preserve">vṛñ sambhaktau</w:t>
      </w:r>
      <w:r>
        <w:t xml:space="preserve">”</w:t>
      </w:r>
      <w:r>
        <w:t xml:space="preserve">: after it the affix</w:t>
      </w:r>
      <w:r>
        <w:t xml:space="preserve"> </w:t>
      </w:r>
      <w:r>
        <w:t xml:space="preserve">“</w:t>
      </w:r>
      <w:r>
        <w:t xml:space="preserve">ṇyat</w:t>
      </w:r>
      <w:r>
        <w:t xml:space="preserve">”</w:t>
      </w:r>
      <w:r>
        <w:t xml:space="preserve"> </w:t>
      </w:r>
      <w:r>
        <w:t xml:space="preserve">by</w:t>
      </w:r>
      <w:r>
        <w:t xml:space="preserve"> </w:t>
      </w:r>
      <w:r>
        <w:rPr>
          <w:bCs/>
          <w:b/>
        </w:rPr>
        <w:t xml:space="preserve">ऋहलोर्ण्यत्</w:t>
      </w:r>
      <w:r>
        <w:t xml:space="preserve"> </w:t>
      </w:r>
      <w:r>
        <w:t xml:space="preserve">(पा. ३-१-१२४), after a root ending in</w:t>
      </w:r>
      <w:r>
        <w:t xml:space="preserve"> </w:t>
      </w:r>
      <w:r>
        <w:t xml:space="preserve">“</w:t>
      </w:r>
      <w:r>
        <w:t xml:space="preserve">ṛ</w:t>
      </w:r>
      <w:r>
        <w:t xml:space="preserve">”</w:t>
      </w:r>
      <w:r>
        <w:t xml:space="preserve"> </w:t>
      </w:r>
      <w:r>
        <w:t xml:space="preserve">or a consonant. But</w:t>
      </w:r>
      <w:r>
        <w:t xml:space="preserve"> </w:t>
      </w:r>
      <w:r>
        <w:rPr>
          <w:bCs/>
          <w:b/>
        </w:rPr>
        <w:t xml:space="preserve">एतिस्तुशास्वृदृजुषः क्यप्</w:t>
      </w:r>
      <w:r>
        <w:t xml:space="preserve"> </w:t>
      </w:r>
      <w:r>
        <w:t xml:space="preserve">(</w:t>
      </w:r>
      <w:r>
        <w:rPr>
          <w:iCs/>
          <w:i/>
        </w:rPr>
        <w:t xml:space="preserve">eti-stu-śās-vṛ-dṛ-juṣaḥ kyap</w:t>
      </w:r>
      <w:r>
        <w:t xml:space="preserve">, पा. ३-१-१०९) names</w:t>
      </w:r>
      <w:r>
        <w:t xml:space="preserve"> </w:t>
      </w:r>
      <w:r>
        <w:t xml:space="preserve">“</w:t>
      </w:r>
      <w:r>
        <w:t xml:space="preserve">vṛ</w:t>
      </w:r>
      <w:r>
        <w:t xml:space="preserve">”</w:t>
      </w:r>
      <w:r>
        <w:t xml:space="preserve">; by the Mahābhāṣya’s ruling</w:t>
      </w:r>
      <w:r>
        <w:t xml:space="preserve"> </w:t>
      </w:r>
      <w:r>
        <w:rPr>
          <w:bCs/>
          <w:b/>
        </w:rPr>
        <w:t xml:space="preserve">क्यब्विधौ वृञ्ग्रहणम्</w:t>
      </w:r>
      <w:r>
        <w:t xml:space="preserve"> </w:t>
      </w:r>
      <w:r>
        <w:t xml:space="preserve">(</w:t>
      </w:r>
      <w:r>
        <w:rPr>
          <w:iCs/>
          <w:i/>
        </w:rPr>
        <w:t xml:space="preserve">kyab-vidhau vṛñ-grahaṇam</w:t>
      </w:r>
      <w:r>
        <w:t xml:space="preserve">, पा. म. ३-१-१०९)</w:t>
      </w:r>
      <w:r>
        <w:t xml:space="preserve"> </w:t>
      </w:r>
      <w:r>
        <w:t xml:space="preserve">“</w:t>
      </w:r>
      <w:r>
        <w:t xml:space="preserve">vṛñ varaṇe</w:t>
      </w:r>
      <w:r>
        <w:t xml:space="preserve">”</w:t>
      </w:r>
      <w:r>
        <w:t xml:space="preserve"> </w:t>
      </w:r>
      <w:r>
        <w:t xml:space="preserve">is meant there and not the root of</w:t>
      </w:r>
      <w:r>
        <w:t xml:space="preserve"> </w:t>
      </w:r>
      <w:r>
        <w:t xml:space="preserve">“</w:t>
      </w:r>
      <w:r>
        <w:t xml:space="preserve">sambhakti,</w:t>
      </w:r>
      <w:r>
        <w:t xml:space="preserve">”</w:t>
      </w:r>
      <w:r>
        <w:t xml:space="preserve"> </w:t>
      </w:r>
      <w:r>
        <w:t xml:space="preserve">so</w:t>
      </w:r>
      <w:r>
        <w:t xml:space="preserve"> </w:t>
      </w:r>
      <w:r>
        <w:t xml:space="preserve">“</w:t>
      </w:r>
      <w:r>
        <w:t xml:space="preserve">kyap</w:t>
      </w:r>
      <w:r>
        <w:t xml:space="preserve">”</w:t>
      </w:r>
      <w:r>
        <w:t xml:space="preserve"> </w:t>
      </w:r>
      <w:r>
        <w:t xml:space="preserve">does not come here.</w:t>
      </w:r>
      <w:r>
        <w:t xml:space="preserve"> </w:t>
      </w:r>
      <w:r>
        <w:rPr>
          <w:bCs/>
          <w:b/>
        </w:rPr>
        <w:t xml:space="preserve">तित्स्वरितम्</w:t>
      </w:r>
      <w:r>
        <w:t xml:space="preserve"> </w:t>
      </w:r>
      <w:r>
        <w:t xml:space="preserve">(पा. ६-१-१८५) would make the</w:t>
      </w:r>
      <w:r>
        <w:t xml:space="preserve"> </w:t>
      </w:r>
      <w:r>
        <w:t xml:space="preserve">“</w:t>
      </w:r>
      <w:r>
        <w:t xml:space="preserve">t</w:t>
      </w:r>
      <w:r>
        <w:t xml:space="preserve">”</w:t>
      </w:r>
      <w:r>
        <w:t xml:space="preserve">-marked affix svarita; this is set aside by</w:t>
      </w:r>
      <w:r>
        <w:t xml:space="preserve"> </w:t>
      </w:r>
      <w:r>
        <w:rPr>
          <w:bCs/>
          <w:b/>
        </w:rPr>
        <w:t xml:space="preserve">ईडवन्दवृशंसदुहां ण्यतः</w:t>
      </w:r>
      <w:r>
        <w:t xml:space="preserve"> </w:t>
      </w:r>
      <w:r>
        <w:t xml:space="preserve">(पा. ६-१-२१४): the</w:t>
      </w:r>
      <w:r>
        <w:t xml:space="preserve"> </w:t>
      </w:r>
      <w:r>
        <w:t xml:space="preserve">“</w:t>
      </w:r>
      <w:r>
        <w:t xml:space="preserve">ṇyat</w:t>
      </w:r>
      <w:r>
        <w:t xml:space="preserve">”</w:t>
      </w:r>
      <w:r>
        <w:t xml:space="preserve">-final forms of these roots are first-syllable acute, so</w:t>
      </w:r>
      <w:r>
        <w:t xml:space="preserve"> </w:t>
      </w:r>
      <w:r>
        <w:t xml:space="preserve">“</w:t>
      </w:r>
      <w:r>
        <w:t xml:space="preserve">vārya</w:t>
      </w:r>
      <w:r>
        <w:t xml:space="preserve">”</w:t>
      </w:r>
      <w:r>
        <w:t xml:space="preserve"> </w:t>
      </w:r>
      <w:r>
        <w:t xml:space="preserve">is first-syllable acute; the</w:t>
      </w:r>
      <w:r>
        <w:t xml:space="preserve"> </w:t>
      </w:r>
      <w:r>
        <w:t xml:space="preserve">“</w:t>
      </w:r>
      <w:r>
        <w:t xml:space="preserve">vṛ</w:t>
      </w:r>
      <w:r>
        <w:t xml:space="preserve">”</w:t>
      </w:r>
      <w:r>
        <w:t xml:space="preserve"> </w:t>
      </w:r>
      <w:r>
        <w:t xml:space="preserve">in that sūtra, by its association with the ātmanepada roots</w:t>
      </w:r>
      <w:r>
        <w:t xml:space="preserve"> </w:t>
      </w:r>
      <w:r>
        <w:t xml:space="preserve">“</w:t>
      </w:r>
      <w:r>
        <w:t xml:space="preserve">īḍ</w:t>
      </w:r>
      <w:r>
        <w:t xml:space="preserve">”</w:t>
      </w:r>
      <w:r>
        <w:t xml:space="preserve"> </w:t>
      </w:r>
      <w:r>
        <w:t xml:space="preserve">and</w:t>
      </w:r>
      <w:r>
        <w:t xml:space="preserve"> </w:t>
      </w:r>
      <w:r>
        <w:t xml:space="preserve">“</w:t>
      </w:r>
      <w:r>
        <w:t xml:space="preserve">vand,</w:t>
      </w:r>
      <w:r>
        <w:t xml:space="preserve">”</w:t>
      </w:r>
      <w:r>
        <w:t xml:space="preserve"> </w:t>
      </w:r>
      <w:r>
        <w:t xml:space="preserve">is taken to be the ātmanepada root. In</w:t>
      </w:r>
      <w:r>
        <w:t xml:space="preserve"> </w:t>
      </w:r>
      <w:r>
        <w:t xml:space="preserve">“</w:t>
      </w:r>
      <w:r>
        <w:t xml:space="preserve">ṇyat</w:t>
      </w:r>
      <w:r>
        <w:t xml:space="preserve">”</w:t>
      </w:r>
      <w:r>
        <w:t xml:space="preserve"> </w:t>
      </w:r>
      <w:r>
        <w:t xml:space="preserve">both</w:t>
      </w:r>
      <w:r>
        <w:t xml:space="preserve"> </w:t>
      </w:r>
      <w:r>
        <w:t xml:space="preserve">“</w:t>
      </w:r>
      <w:r>
        <w:t xml:space="preserve">ṇ</w:t>
      </w:r>
      <w:r>
        <w:t xml:space="preserve">”</w:t>
      </w:r>
      <w:r>
        <w:t xml:space="preserve"> </w:t>
      </w:r>
      <w:r>
        <w:t xml:space="preserve">and</w:t>
      </w:r>
      <w:r>
        <w:t xml:space="preserve"> </w:t>
      </w:r>
      <w:r>
        <w:t xml:space="preserve">“</w:t>
      </w:r>
      <w:r>
        <w:t xml:space="preserve">t</w:t>
      </w:r>
      <w:r>
        <w:t xml:space="preserve">”</w:t>
      </w:r>
      <w:r>
        <w:t xml:space="preserve"> </w:t>
      </w:r>
      <w:r>
        <w:t xml:space="preserve">are</w:t>
      </w:r>
      <w:r>
        <w:t xml:space="preserve"> </w:t>
      </w:r>
      <w:r>
        <w:t xml:space="preserve">“</w:t>
      </w:r>
      <w:r>
        <w:t xml:space="preserve">it</w:t>
      </w:r>
      <w:r>
        <w:t xml:space="preserve">”</w:t>
      </w:r>
      <w:r>
        <w:t xml:space="preserve">-letters, in</w:t>
      </w:r>
      <w:r>
        <w:t xml:space="preserve"> </w:t>
      </w:r>
      <w:r>
        <w:t xml:space="preserve">“</w:t>
      </w:r>
      <w:r>
        <w:t xml:space="preserve">yat</w:t>
      </w:r>
      <w:r>
        <w:t xml:space="preserve">”</w:t>
      </w:r>
      <w:r>
        <w:t xml:space="preserve"> </w:t>
      </w:r>
      <w:r>
        <w:t xml:space="preserve">only the</w:t>
      </w:r>
      <w:r>
        <w:t xml:space="preserve"> </w:t>
      </w:r>
      <w:r>
        <w:t xml:space="preserve">“</w:t>
      </w:r>
      <w:r>
        <w:t xml:space="preserve">t</w:t>
      </w:r>
      <w:r>
        <w:t xml:space="preserve">”</w:t>
      </w:r>
      <w:r>
        <w:t xml:space="preserve">;</w:t>
      </w:r>
      <w:r>
        <w:t xml:space="preserve"> </w:t>
      </w:r>
      <w:r>
        <w:rPr>
          <w:bCs/>
          <w:b/>
        </w:rPr>
        <w:t xml:space="preserve">यतोऽनावः</w:t>
      </w:r>
      <w:r>
        <w:t xml:space="preserve"> </w:t>
      </w:r>
      <w:r>
        <w:t xml:space="preserve">(पा. ६-१-२१३) — a two-vowelled word ending in</w:t>
      </w:r>
      <w:r>
        <w:t xml:space="preserve"> </w:t>
      </w:r>
      <w:r>
        <w:t xml:space="preserve">“</w:t>
      </w:r>
      <w:r>
        <w:t xml:space="preserve">yat,</w:t>
      </w:r>
      <w:r>
        <w:t xml:space="preserve">”</w:t>
      </w:r>
      <w:r>
        <w:t xml:space="preserve"> </w:t>
      </w:r>
      <w:r>
        <w:t xml:space="preserve">except</w:t>
      </w:r>
      <w:r>
        <w:t xml:space="preserve"> </w:t>
      </w:r>
      <w:r>
        <w:t xml:space="preserve">“</w:t>
      </w:r>
      <w:r>
        <w:t xml:space="preserve">nau,</w:t>
      </w:r>
      <w:r>
        <w:t xml:space="preserve">”</w:t>
      </w:r>
      <w:r>
        <w:t xml:space="preserve"> </w:t>
      </w:r>
      <w:r>
        <w:t xml:space="preserve">is first-syllable acute — therefore does not take in</w:t>
      </w:r>
      <w:r>
        <w:t xml:space="preserve"> </w:t>
      </w:r>
      <w:r>
        <w:t xml:space="preserve">“</w:t>
      </w:r>
      <w:r>
        <w:t xml:space="preserve">ṇyat.</w:t>
      </w:r>
      <w:r>
        <w:t xml:space="preserve">”</w:t>
      </w:r>
    </w:p>
    <w:p>
      <w:pPr>
        <w:numPr>
          <w:ilvl w:val="0"/>
          <w:numId w:val="1030"/>
        </w:numPr>
        <w:pStyle w:val="Compact"/>
      </w:pPr>
      <w:r>
        <w:rPr>
          <w:bCs/>
          <w:b/>
        </w:rPr>
        <w:t xml:space="preserve">“</w:t>
      </w:r>
      <w:r>
        <w:rPr>
          <w:bCs/>
          <w:b/>
        </w:rPr>
        <w:t xml:space="preserve">Sacā</w:t>
      </w:r>
      <w:r>
        <w:rPr>
          <w:bCs/>
          <w:b/>
        </w:rPr>
        <w:t xml:space="preserve">”</w:t>
      </w:r>
      <w:r>
        <w:t xml:space="preserve"> </w:t>
      </w:r>
      <w:r>
        <w:t xml:space="preserve">—</w:t>
      </w:r>
      <w:r>
        <w:t xml:space="preserve"> </w:t>
      </w:r>
      <w:r>
        <w:t xml:space="preserve">“</w:t>
      </w:r>
      <w:r>
        <w:t xml:space="preserve">saca samavāye</w:t>
      </w:r>
      <w:r>
        <w:t xml:space="preserve">”</w:t>
      </w:r>
      <w:r>
        <w:t xml:space="preserve"> </w:t>
      </w:r>
      <w:r>
        <w:t xml:space="preserve">(to unite):</w:t>
      </w:r>
      <w:r>
        <w:t xml:space="preserve"> </w:t>
      </w:r>
      <w:r>
        <w:rPr>
          <w:bCs/>
          <w:b/>
        </w:rPr>
        <w:t xml:space="preserve">धात्वादेः षः सः</w:t>
      </w:r>
      <w:r>
        <w:t xml:space="preserve"> </w:t>
      </w:r>
      <w:r>
        <w:t xml:space="preserve">(पा. ६-१-६४) — the root’s initial</w:t>
      </w:r>
      <w:r>
        <w:t xml:space="preserve"> </w:t>
      </w:r>
      <w:r>
        <w:t xml:space="preserve">“</w:t>
      </w:r>
      <w:r>
        <w:t xml:space="preserve">ṣ</w:t>
      </w:r>
      <w:r>
        <w:t xml:space="preserve">”</w:t>
      </w:r>
      <w:r>
        <w:t xml:space="preserve"> </w:t>
      </w:r>
      <w:r>
        <w:t xml:space="preserve">becomes</w:t>
      </w:r>
      <w:r>
        <w:t xml:space="preserve"> </w:t>
      </w:r>
      <w:r>
        <w:t xml:space="preserve">“</w:t>
      </w:r>
      <w:r>
        <w:t xml:space="preserve">s</w:t>
      </w:r>
      <w:r>
        <w:t xml:space="preserve">”</w:t>
      </w:r>
      <w:r>
        <w:t xml:space="preserve"> </w:t>
      </w:r>
      <w:r>
        <w:t xml:space="preserve">—</w:t>
      </w:r>
      <w:r>
        <w:t xml:space="preserve"> </w:t>
      </w:r>
      <w:r>
        <w:t xml:space="preserve">“</w:t>
      </w:r>
      <w:r>
        <w:t xml:space="preserve">sac</w:t>
      </w:r>
      <w:r>
        <w:t xml:space="preserve">”</w:t>
      </w:r>
      <w:r>
        <w:t xml:space="preserve">;</w:t>
      </w:r>
      <w:r>
        <w:t xml:space="preserve"> </w:t>
      </w:r>
      <w:r>
        <w:rPr>
          <w:bCs/>
          <w:b/>
        </w:rPr>
        <w:t xml:space="preserve">सम्पदादिभ्यः क्विप्</w:t>
      </w:r>
      <w:r>
        <w:t xml:space="preserve"> </w:t>
      </w:r>
      <w:r>
        <w:t xml:space="preserve">(पा. ३-३-१०८; printed</w:t>
      </w:r>
      <w:r>
        <w:t xml:space="preserve"> </w:t>
      </w:r>
      <w:r>
        <w:t xml:space="preserve">“</w:t>
      </w:r>
      <w:r>
        <w:t xml:space="preserve">3-2-108</w:t>
      </w:r>
      <w:r>
        <w:t xml:space="preserve">”</w:t>
      </w:r>
      <w:r>
        <w:t xml:space="preserve">)</w:t>
      </w:r>
      <w:r>
        <w:t xml:space="preserve"> </w:t>
      </w:r>
      <w:r>
        <w:t xml:space="preserve">“</w:t>
      </w:r>
      <w:r>
        <w:t xml:space="preserve">kvip</w:t>
      </w:r>
      <w:r>
        <w:t xml:space="preserve">”</w:t>
      </w:r>
      <w:r>
        <w:t xml:space="preserve">; the third-case singular,</w:t>
      </w:r>
      <w:r>
        <w:t xml:space="preserve"> </w:t>
      </w:r>
      <w:r>
        <w:t xml:space="preserve">“</w:t>
      </w:r>
      <w:r>
        <w:t xml:space="preserve">sacā</w:t>
      </w:r>
      <w:r>
        <w:t xml:space="preserve">”</w:t>
      </w:r>
      <w:r>
        <w:t xml:space="preserve">; since all rules are optional in the Veda (</w:t>
      </w:r>
      <w:r>
        <w:rPr>
          <w:bCs/>
          <w:b/>
        </w:rPr>
        <w:t xml:space="preserve">सर्वे विधयश्छन्दसि विकल्प्यन्ते</w:t>
      </w:r>
      <w:r>
        <w:t xml:space="preserve">, परिभाषा ३५),</w:t>
      </w:r>
      <w:r>
        <w:t xml:space="preserve"> </w:t>
      </w:r>
      <w:r>
        <w:rPr>
          <w:bCs/>
          <w:b/>
        </w:rPr>
        <w:t xml:space="preserve">सावेकाचस्तृतीयादिर्विभक्तिः</w:t>
      </w:r>
      <w:r>
        <w:t xml:space="preserve"> </w:t>
      </w:r>
      <w:r>
        <w:t xml:space="preserve">(पा. ६-१-१६८) does not apply and the ending is not acute; by the root-accent</w:t>
      </w:r>
      <w:r>
        <w:t xml:space="preserve"> </w:t>
      </w:r>
      <w:r>
        <w:t xml:space="preserve">“</w:t>
      </w:r>
      <w:r>
        <w:t xml:space="preserve">sacā</w:t>
      </w:r>
      <w:r>
        <w:t xml:space="preserve">”</w:t>
      </w:r>
      <w:r>
        <w:t xml:space="preserve"> </w:t>
      </w:r>
      <w:r>
        <w:t xml:space="preserve">is first-syllable acute; if</w:t>
      </w:r>
      <w:r>
        <w:t xml:space="preserve"> </w:t>
      </w:r>
      <w:r>
        <w:t xml:space="preserve">“</w:t>
      </w:r>
      <w:r>
        <w:t xml:space="preserve">sacā</w:t>
      </w:r>
      <w:r>
        <w:t xml:space="preserve">”</w:t>
      </w:r>
      <w:r>
        <w:t xml:space="preserve"> </w:t>
      </w:r>
      <w:r>
        <w:t xml:space="preserve">is regarded as a particle (nipāta), then</w:t>
      </w:r>
      <w:r>
        <w:t xml:space="preserve"> </w:t>
      </w:r>
      <w:r>
        <w:rPr>
          <w:bCs/>
          <w:b/>
        </w:rPr>
        <w:t xml:space="preserve">निपाता आद्युदात्ताः</w:t>
      </w:r>
      <w:r>
        <w:t xml:space="preserve"> </w:t>
      </w:r>
      <w:r>
        <w:t xml:space="preserve">(फि. सू. ८०) makes it first-syllable acute, which is plain. ॥२॥</w:t>
      </w:r>
    </w:p>
    <w:p>
      <w:r>
        <w:pict>
          <v:rect style="width:0;height:1.5pt" o:hralign="center" o:hrstd="t" o:hr="t"/>
        </w:pict>
      </w:r>
    </w:p>
    <w:bookmarkEnd w:id="194"/>
    <w:bookmarkStart w:id="195" w:name="sūkta-5-the-third-mantra"/>
    <w:p>
      <w:pPr>
        <w:pStyle w:val="Heading3"/>
      </w:pPr>
      <w:r>
        <w:t xml:space="preserve">Sūkta 5, The Third Mantra</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स घा॑ नो॒ योग॒ आ भु॑व॒त्स रा॒ये स पुरं॑ध्यां ।</w:t>
      </w:r>
      <w:r>
        <w:t xml:space="preserve"> </w:t>
      </w:r>
      <w:r>
        <w:t xml:space="preserve">गम॒द्वाजे॑भि॒रा स नः॑ ॥३॥</w:t>
      </w:r>
    </w:p>
    <w:p>
      <w:pPr>
        <w:pStyle w:val="BlockText"/>
      </w:pPr>
      <w:r>
        <w:rPr>
          <w:iCs/>
          <w:i/>
        </w:rPr>
        <w:t xml:space="preserve">sá ghā no yóga ā́ bhuvatsá rāyé sa púraṃdhyāṃ |</w:t>
      </w:r>
      <w:r>
        <w:t xml:space="preserve"> </w:t>
      </w:r>
      <w:r>
        <w:rPr>
          <w:iCs/>
          <w:i/>
        </w:rPr>
        <w:t xml:space="preserve">gamadvā́jebhirā́ sá naḥ ||3||</w:t>
      </w:r>
    </w:p>
    <w:p>
      <w:pPr>
        <w:pStyle w:val="FirstParagraph"/>
      </w:pPr>
      <w:r>
        <w:rPr>
          <w:bCs/>
          <w:b/>
        </w:rPr>
        <w:t xml:space="preserve">॥ Pada-pāṭhaḥ ॥</w:t>
      </w:r>
    </w:p>
    <w:p>
      <w:pPr>
        <w:pStyle w:val="BlockText"/>
      </w:pPr>
      <w:r>
        <w:t xml:space="preserve">सः । घ । नः । योगे । आ । भुवत् । सः । राये । सः । पुरम्ऽध्याम् ।</w:t>
      </w:r>
      <w:r>
        <w:t xml:space="preserve"> </w:t>
      </w:r>
      <w:r>
        <w:t xml:space="preserve">गमत् । वाजेभिः । आ । सः । नः ॥३॥</w:t>
      </w:r>
    </w:p>
    <w:p>
      <w:pPr>
        <w:pStyle w:val="FirstParagraph"/>
      </w:pPr>
      <w:r>
        <w:rPr>
          <w:iCs/>
          <w:i/>
        </w:rPr>
        <w:t xml:space="preserve">(Reading note: the print’s Pada text for</w:t>
      </w:r>
      <w:r>
        <w:rPr>
          <w:iCs/>
          <w:i/>
        </w:rPr>
        <w:t xml:space="preserve"> </w:t>
      </w:r>
      <w:r>
        <w:rPr>
          <w:iCs/>
          <w:i/>
        </w:rPr>
        <w:t xml:space="preserve">“</w:t>
      </w:r>
      <w:r>
        <w:rPr>
          <w:iCs/>
          <w:i/>
        </w:rPr>
        <w:t xml:space="preserve">yoga</w:t>
      </w:r>
      <w:r>
        <w:rPr>
          <w:iCs/>
          <w:i/>
        </w:rPr>
        <w:t xml:space="preserve">”</w:t>
      </w:r>
      <w:r>
        <w:rPr>
          <w:iCs/>
          <w:i/>
        </w:rPr>
        <w:t xml:space="preserve"> </w:t>
      </w:r>
      <w:r>
        <w:rPr>
          <w:iCs/>
          <w:i/>
        </w:rPr>
        <w:t xml:space="preserve">in the Saṃhitā is</w:t>
      </w:r>
      <w:r>
        <w:rPr>
          <w:iCs/>
          <w:i/>
        </w:rPr>
        <w:t xml:space="preserve"> </w:t>
      </w:r>
      <w:r>
        <w:rPr>
          <w:iCs/>
          <w:i/>
        </w:rPr>
        <w:t xml:space="preserve">“</w:t>
      </w:r>
      <w:r>
        <w:rPr>
          <w:iCs/>
          <w:i/>
        </w:rPr>
        <w:t xml:space="preserve">yoge</w:t>
      </w:r>
      <w:r>
        <w:rPr>
          <w:iCs/>
          <w:i/>
        </w:rPr>
        <w:t xml:space="preserve">”</w:t>
      </w:r>
      <w:r>
        <w:rPr>
          <w:iCs/>
          <w:i/>
        </w:rPr>
        <w:t xml:space="preserve"> </w:t>
      </w:r>
      <w:r>
        <w:rPr>
          <w:iCs/>
          <w:i/>
        </w:rPr>
        <w:t xml:space="preserve">(locative); the Saṃhitā</w:t>
      </w:r>
      <w:r>
        <w:rPr>
          <w:iCs/>
          <w:i/>
        </w:rPr>
        <w:t xml:space="preserve"> </w:t>
      </w:r>
      <w:r>
        <w:rPr>
          <w:iCs/>
          <w:i/>
        </w:rPr>
        <w:t xml:space="preserve">“</w:t>
      </w:r>
      <w:r>
        <w:rPr>
          <w:iCs/>
          <w:i/>
        </w:rPr>
        <w:t xml:space="preserve">yoga ā</w:t>
      </w:r>
      <w:r>
        <w:rPr>
          <w:iCs/>
          <w:i/>
        </w:rPr>
        <w:t xml:space="preserve">”</w:t>
      </w:r>
      <w:r>
        <w:rPr>
          <w:iCs/>
          <w:i/>
        </w:rPr>
        <w:t xml:space="preserve"> </w:t>
      </w:r>
      <w:r>
        <w:rPr>
          <w:iCs/>
          <w:i/>
        </w:rPr>
        <w:t xml:space="preserve">is its sandhi; and</w:t>
      </w:r>
      <w:r>
        <w:rPr>
          <w:iCs/>
          <w:i/>
        </w:rPr>
        <w:t xml:space="preserve"> </w:t>
      </w:r>
      <w:r>
        <w:rPr>
          <w:iCs/>
          <w:i/>
        </w:rPr>
        <w:t xml:space="preserve">“</w:t>
      </w:r>
      <w:r>
        <w:rPr>
          <w:iCs/>
          <w:i/>
        </w:rPr>
        <w:t xml:space="preserve">puraṃdhyām</w:t>
      </w:r>
      <w:r>
        <w:rPr>
          <w:iCs/>
          <w:i/>
        </w:rPr>
        <w:t xml:space="preserve">”</w:t>
      </w:r>
      <w:r>
        <w:rPr>
          <w:iCs/>
          <w:i/>
        </w:rPr>
        <w:t xml:space="preserve"> </w:t>
      </w:r>
      <w:r>
        <w:rPr>
          <w:iCs/>
          <w:i/>
        </w:rPr>
        <w:t xml:space="preserve">is divided as</w:t>
      </w:r>
      <w:r>
        <w:rPr>
          <w:iCs/>
          <w:i/>
        </w:rPr>
        <w:t xml:space="preserve"> </w:t>
      </w:r>
      <w:r>
        <w:rPr>
          <w:iCs/>
          <w:i/>
        </w:rPr>
        <w:t xml:space="preserve">“</w:t>
      </w:r>
      <w:r>
        <w:rPr>
          <w:iCs/>
          <w:i/>
        </w:rPr>
        <w:t xml:space="preserve">puraṃ-dhyām.</w:t>
      </w:r>
      <w:r>
        <w:rPr>
          <w:iCs/>
          <w:i/>
        </w:rPr>
        <w:t xml:space="preserve">”</w:t>
      </w:r>
      <w:r>
        <w:rPr>
          <w:iCs/>
          <w:i/>
        </w:rPr>
        <w:t xml:space="preserve"> </w:t>
      </w:r>
      <w:r>
        <w:rPr>
          <w:iCs/>
          <w:i/>
        </w:rPr>
        <w:t xml:space="preserve">In the Saṃhitā the print runs</w:t>
      </w:r>
      <w:r>
        <w:rPr>
          <w:iCs/>
          <w:i/>
        </w:rPr>
        <w:t xml:space="preserve"> </w:t>
      </w:r>
      <w:r>
        <w:rPr>
          <w:iCs/>
          <w:i/>
        </w:rPr>
        <w:t xml:space="preserve">“</w:t>
      </w:r>
      <w:r>
        <w:rPr>
          <w:iCs/>
          <w:i/>
        </w:rPr>
        <w:t xml:space="preserve">bhuvat sa</w:t>
      </w:r>
      <w:r>
        <w:rPr>
          <w:iCs/>
          <w:i/>
        </w:rPr>
        <w:t xml:space="preserve">”</w:t>
      </w:r>
      <w:r>
        <w:rPr>
          <w:iCs/>
          <w:i/>
        </w:rPr>
        <w:t xml:space="preserve"> </w:t>
      </w:r>
      <w:r>
        <w:rPr>
          <w:iCs/>
          <w:i/>
        </w:rPr>
        <w:t xml:space="preserve">together as</w:t>
      </w:r>
      <w:r>
        <w:rPr>
          <w:iCs/>
          <w:i/>
        </w:rPr>
        <w:t xml:space="preserve"> </w:t>
      </w:r>
      <w:r>
        <w:rPr>
          <w:iCs/>
          <w:i/>
        </w:rPr>
        <w:t xml:space="preserve">“</w:t>
      </w:r>
      <w:r>
        <w:rPr>
          <w:iCs/>
          <w:i/>
        </w:rPr>
        <w:t xml:space="preserve">bhuvatsa.</w:t>
      </w:r>
      <w:r>
        <w:rPr>
          <w:iCs/>
          <w:i/>
        </w:rPr>
        <w:t xml:space="preserve">”</w:t>
      </w:r>
      <w:r>
        <w:rPr>
          <w:iCs/>
          <w:i/>
        </w:rPr>
        <w:t xml:space="preserve">)</w:t>
      </w:r>
    </w:p>
    <w:p>
      <w:pPr>
        <w:pStyle w:val="BodyText"/>
      </w:pPr>
      <w:r>
        <w:rPr>
          <w:bCs/>
          <w:b/>
        </w:rPr>
        <w:t xml:space="preserve">॥ Sāyaṇa-bhāṣyam ॥</w:t>
      </w:r>
    </w:p>
    <w:p>
      <w:pPr>
        <w:pStyle w:val="BlockText"/>
      </w:pPr>
      <w:r>
        <w:t xml:space="preserve">घशब्दोऽवधारणार्थो निपातः सर्वैस्तच्छब्दैः संबध्यते । स घ स एवेन्द्रः पूर्वमन्त्रोक्तगुणविशिष्टो नोऽस्माकं योगे पूर्वमप्राप्तस्य पुरुषार्थस्य संबन्ध आ भुवत् । आभवतु । पुरुषार्थं साधयित्वित्यर्थः । स एव राये धनार्थमाभुवत् । आभवतु । स एव पुरंध्यां योषित्या भुवत् । यद्वा बहुविधायां बुद्धावा भुवत् । पुरंधिर्बहुधीः । नि. ६-१३ । इति यास्कः । स एव वाजेभिर्देयैरन्नैः …</w:t>
      </w:r>
      <w:r>
        <w:t xml:space="preserve"> </w:t>
      </w:r>
      <w:r>
        <w:rPr>
          <w:iCs/>
          <w:i/>
        </w:rPr>
        <w:t xml:space="preserve">gha-śabdo ’vadhāraṇārtho nipātaḥ sarvais tac-chabdaiḥ sambadhyate | sa gha sa evendraḥ pūrvamantroktaguṇa-viśiṣṭo no ’smākaṃ yoge pūrvam aprāptasya puruṣārthasya sambandha ā bhuvat | ābhavatu | puruṣārthaṃ sādhayitvity arthaḥ | sa eva rāye dhanārtham ābhuvat | ābhavatu | sa eva puraṃdhyāṃ yoṣity ā bhuvat | yadvā bahu-vidhāyāṃ buddhāv ā bhuvat | puraṃdhir bahudhīḥ | ni. 6-13 | iti yāskaḥ | sa eva vājebhir deyair annaiḥ …</w:t>
      </w:r>
      <w:r>
        <w:t xml:space="preserve"> </w:t>
      </w:r>
      <w:r>
        <w:rPr>
          <w:iCs/>
          <w:i/>
        </w:rPr>
        <w:t xml:space="preserve">(Reading notes, re-checked against the better scan:</w:t>
      </w:r>
      <w:r>
        <w:rPr>
          <w:iCs/>
          <w:i/>
        </w:rPr>
        <w:t xml:space="preserve"> </w:t>
      </w:r>
      <w:r>
        <w:rPr>
          <w:iCs/>
          <w:i/>
        </w:rPr>
        <w:t xml:space="preserve">“</w:t>
      </w:r>
      <w:r>
        <w:rPr>
          <w:iCs/>
          <w:i/>
        </w:rPr>
        <w:t xml:space="preserve">yoṣityā</w:t>
      </w:r>
      <w:r>
        <w:rPr>
          <w:iCs/>
          <w:i/>
        </w:rPr>
        <w:t xml:space="preserve">”</w:t>
      </w:r>
      <w:r>
        <w:rPr>
          <w:iCs/>
          <w:i/>
        </w:rPr>
        <w:t xml:space="preserve"> </w:t>
      </w:r>
      <w:r>
        <w:rPr>
          <w:iCs/>
          <w:i/>
        </w:rPr>
        <w:t xml:space="preserve">=</w:t>
      </w:r>
      <w:r>
        <w:rPr>
          <w:iCs/>
          <w:i/>
        </w:rPr>
        <w:t xml:space="preserve"> </w:t>
      </w:r>
      <w:r>
        <w:rPr>
          <w:iCs/>
          <w:i/>
        </w:rPr>
        <w:t xml:space="preserve">“</w:t>
      </w:r>
      <w:r>
        <w:rPr>
          <w:iCs/>
          <w:i/>
        </w:rPr>
        <w:t xml:space="preserve">yoṣiti ā</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buddhāvā</w:t>
      </w:r>
      <w:r>
        <w:rPr>
          <w:iCs/>
          <w:i/>
        </w:rPr>
        <w:t xml:space="preserve">”</w:t>
      </w:r>
      <w:r>
        <w:rPr>
          <w:iCs/>
          <w:i/>
        </w:rPr>
        <w:t xml:space="preserve"> </w:t>
      </w:r>
      <w:r>
        <w:rPr>
          <w:iCs/>
          <w:i/>
        </w:rPr>
        <w:t xml:space="preserve">=</w:t>
      </w:r>
      <w:r>
        <w:rPr>
          <w:iCs/>
          <w:i/>
        </w:rPr>
        <w:t xml:space="preserve"> </w:t>
      </w:r>
      <w:r>
        <w:rPr>
          <w:iCs/>
          <w:i/>
        </w:rPr>
        <w:t xml:space="preserve">“</w:t>
      </w:r>
      <w:r>
        <w:rPr>
          <w:iCs/>
          <w:i/>
        </w:rPr>
        <w:t xml:space="preserve">buddhau ā</w:t>
      </w:r>
      <w:r>
        <w:rPr>
          <w:iCs/>
          <w:i/>
        </w:rPr>
        <w:t xml:space="preserve">”</w:t>
      </w:r>
      <w:r>
        <w:rPr>
          <w:iCs/>
          <w:i/>
        </w:rPr>
        <w:t xml:space="preserve"> </w:t>
      </w:r>
      <w:r>
        <w:rPr>
          <w:iCs/>
          <w:i/>
        </w:rPr>
        <w:t xml:space="preserve">in sandhi; the Nirukta reference is clearly</w:t>
      </w:r>
      <w:r>
        <w:rPr>
          <w:iCs/>
          <w:i/>
        </w:rPr>
        <w:t xml:space="preserve"> </w:t>
      </w:r>
      <w:r>
        <w:rPr>
          <w:iCs/>
          <w:i/>
        </w:rPr>
        <w:t xml:space="preserve">“</w:t>
      </w:r>
      <w:r>
        <w:rPr>
          <w:iCs/>
          <w:i/>
        </w:rPr>
        <w:t xml:space="preserve">6-13.</w:t>
      </w:r>
      <w:r>
        <w:rPr>
          <w:iCs/>
          <w:i/>
        </w:rPr>
        <w:t xml:space="preserve">”</w:t>
      </w:r>
      <w:r>
        <w:rPr>
          <w:iCs/>
          <w:i/>
        </w:rPr>
        <w:t xml:space="preserve">)</w:t>
      </w:r>
    </w:p>
    <w:p>
      <w:pPr>
        <w:pStyle w:val="FirstParagraph"/>
      </w:pPr>
      <w:r>
        <w:rPr>
          <w:bCs/>
          <w:b/>
        </w:rPr>
        <w:t xml:space="preserve">Translation (of the part on this page):</w:t>
      </w:r>
      <w:r>
        <w:t xml:space="preserve"> </w:t>
      </w:r>
      <w:r>
        <w:t xml:space="preserve">“</w:t>
      </w:r>
      <w:r>
        <w:t xml:space="preserve">The word</w:t>
      </w:r>
      <w:r>
        <w:t xml:space="preserve"> </w:t>
      </w:r>
      <w:r>
        <w:t xml:space="preserve">‘</w:t>
      </w:r>
      <w:r>
        <w:t xml:space="preserve">gha</w:t>
      </w:r>
      <w:r>
        <w:t xml:space="preserve">’</w:t>
      </w:r>
      <w:r>
        <w:t xml:space="preserve"> </w:t>
      </w:r>
      <w:r>
        <w:t xml:space="preserve">is a particle in the sense of emphasis, and is connected with all the</w:t>
      </w:r>
      <w:r>
        <w:t xml:space="preserve"> </w:t>
      </w:r>
      <w:r>
        <w:t xml:space="preserve">‘</w:t>
      </w:r>
      <w:r>
        <w:t xml:space="preserve">sa</w:t>
      </w:r>
      <w:r>
        <w:t xml:space="preserve">’</w:t>
      </w:r>
      <w:r>
        <w:t xml:space="preserve"> </w:t>
      </w:r>
      <w:r>
        <w:t xml:space="preserve">(he) words.</w:t>
      </w:r>
      <w:r>
        <w:t xml:space="preserve"> </w:t>
      </w:r>
      <w:r>
        <w:t xml:space="preserve">‘</w:t>
      </w:r>
      <w:r>
        <w:t xml:space="preserve">Sa gha</w:t>
      </w:r>
      <w:r>
        <w:t xml:space="preserve">’</w:t>
      </w:r>
      <w:r>
        <w:t xml:space="preserve"> </w:t>
      </w:r>
      <w:r>
        <w:t xml:space="preserve">— he, that very Indra, endowed with the qualities stated in the preceding mantra,</w:t>
      </w:r>
      <w:r>
        <w:t xml:space="preserve"> </w:t>
      </w:r>
      <w:r>
        <w:t xml:space="preserve">‘</w:t>
      </w:r>
      <w:r>
        <w:t xml:space="preserve">no yoge ā bhuvat</w:t>
      </w:r>
      <w:r>
        <w:t xml:space="preserve">’</w:t>
      </w:r>
      <w:r>
        <w:t xml:space="preserve"> </w:t>
      </w:r>
      <w:r>
        <w:t xml:space="preserve">—</w:t>
      </w:r>
      <w:r>
        <w:t xml:space="preserve"> </w:t>
      </w:r>
      <w:r>
        <w:t xml:space="preserve">‘</w:t>
      </w:r>
      <w:r>
        <w:t xml:space="preserve">let him come to be</w:t>
      </w:r>
      <w:r>
        <w:t xml:space="preserve">’</w:t>
      </w:r>
      <w:r>
        <w:t xml:space="preserve"> </w:t>
      </w:r>
      <w:r>
        <w:t xml:space="preserve">in our</w:t>
      </w:r>
      <w:r>
        <w:t xml:space="preserve"> </w:t>
      </w:r>
      <w:r>
        <w:t xml:space="preserve">‘</w:t>
      </w:r>
      <w:r>
        <w:t xml:space="preserve">yoga</w:t>
      </w:r>
      <w:r>
        <w:t xml:space="preserve">’</w:t>
      </w:r>
      <w:r>
        <w:t xml:space="preserve"> </w:t>
      </w:r>
      <w:r>
        <w:t xml:space="preserve">— that is, in the acquisition (sambandha) of the human aim not yet attained — that is,</w:t>
      </w:r>
      <w:r>
        <w:t xml:space="preserve"> </w:t>
      </w:r>
      <w:r>
        <w:t xml:space="preserve">‘</w:t>
      </w:r>
      <w:r>
        <w:t xml:space="preserve">having accomplished the human aim</w:t>
      </w:r>
      <w:r>
        <w:t xml:space="preserve">’</w:t>
      </w:r>
      <w:r>
        <w:t xml:space="preserve"> </w:t>
      </w:r>
      <w:r>
        <w:t xml:space="preserve">(puruṣārtha). He himself —</w:t>
      </w:r>
      <w:r>
        <w:t xml:space="preserve"> </w:t>
      </w:r>
      <w:r>
        <w:t xml:space="preserve">‘</w:t>
      </w:r>
      <w:r>
        <w:t xml:space="preserve">rāye</w:t>
      </w:r>
      <w:r>
        <w:t xml:space="preserve">’</w:t>
      </w:r>
      <w:r>
        <w:t xml:space="preserve"> </w:t>
      </w:r>
      <w:r>
        <w:t xml:space="preserve">— let him come to be for the sake of wealth. He himself,</w:t>
      </w:r>
      <w:r>
        <w:t xml:space="preserve"> </w:t>
      </w:r>
      <w:r>
        <w:t xml:space="preserve">‘</w:t>
      </w:r>
      <w:r>
        <w:t xml:space="preserve">puraṃdhyām</w:t>
      </w:r>
      <w:r>
        <w:t xml:space="preserve">’</w:t>
      </w:r>
      <w:r>
        <w:t xml:space="preserve"> </w:t>
      </w:r>
      <w:r>
        <w:t xml:space="preserve">— let him come to be in the woman (</w:t>
      </w:r>
      <w:r>
        <w:t xml:space="preserve">‘</w:t>
      </w:r>
      <w:r>
        <w:t xml:space="preserve">yoṣiti</w:t>
      </w:r>
      <w:r>
        <w:t xml:space="preserve">’</w:t>
      </w:r>
      <w:r>
        <w:t xml:space="preserve">); or: let him come to be in the manifold understanding.</w:t>
      </w:r>
      <w:r>
        <w:t xml:space="preserve"> </w:t>
      </w:r>
      <w:r>
        <w:t xml:space="preserve">‘</w:t>
      </w:r>
      <w:r>
        <w:t xml:space="preserve">Puraṃdhi</w:t>
      </w:r>
      <w:r>
        <w:t xml:space="preserve">’</w:t>
      </w:r>
      <w:r>
        <w:t xml:space="preserve"> </w:t>
      </w:r>
      <w:r>
        <w:t xml:space="preserve">means</w:t>
      </w:r>
      <w:r>
        <w:t xml:space="preserve"> </w:t>
      </w:r>
      <w:r>
        <w:t xml:space="preserve">‘</w:t>
      </w:r>
      <w:r>
        <w:t xml:space="preserve">one of much understanding</w:t>
      </w:r>
      <w:r>
        <w:t xml:space="preserve">’</w:t>
      </w:r>
      <w:r>
        <w:t xml:space="preserve"> </w:t>
      </w:r>
      <w:r>
        <w:t xml:space="preserve">— so Yāska (Nirukta 6-13). He himself, with</w:t>
      </w:r>
      <w:r>
        <w:t xml:space="preserve"> </w:t>
      </w:r>
      <w:r>
        <w:t xml:space="preserve">‘</w:t>
      </w:r>
      <w:r>
        <w:t xml:space="preserve">vājebhiḥ</w:t>
      </w:r>
      <w:r>
        <w:t xml:space="preserve">’</w:t>
      </w:r>
      <w:r>
        <w:t xml:space="preserve"> </w:t>
      </w:r>
      <w:r>
        <w:t xml:space="preserve">— with the foods that are to be given …</w:t>
      </w:r>
      <w:r>
        <w:t xml:space="preserve">”</w:t>
      </w:r>
      <w:r>
        <w:t xml:space="preserve"> </w:t>
      </w:r>
      <w:r>
        <w:rPr>
          <w:iCs/>
          <w:i/>
        </w:rPr>
        <w:t xml:space="preserve">(the sentence continues on the next page)</w:t>
      </w:r>
      <w:r>
        <w:t xml:space="preserve">.</w:t>
      </w:r>
    </w:p>
    <w:bookmarkEnd w:id="195"/>
    <w:bookmarkStart w:id="196" w:name="X6619146060d22376f6d52860791e3feed51fb41"/>
    <w:p>
      <w:pPr>
        <w:pStyle w:val="Heading3"/>
      </w:pPr>
      <w:r>
        <w:t xml:space="preserve">Page 162 — Rik 5.3: Sāyaṇa-bhāṣya concluded; grammar (characterized); Pada-meanings; Bhāvārtha; English rendering</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5.</w:t>
      </w:r>
      <w:r>
        <w:rPr>
          <w:iCs/>
          <w:i/>
        </w:rPr>
        <w:t xml:space="preserve">”</w:t>
      </w:r>
      <w:r>
        <w:rPr>
          <w:iCs/>
          <w:i/>
        </w:rPr>
        <w:t xml:space="preserve"> </w:t>
      </w:r>
      <w:r>
        <w:rPr>
          <w:iCs/>
          <w:i/>
        </w:rPr>
        <w:t xml:space="preserve">Sanskrit printed in Kannada script; [?] where unclear. English as printed.)</w:t>
      </w:r>
    </w:p>
    <w:p>
      <w:pPr>
        <w:pStyle w:val="BodyText"/>
      </w:pPr>
      <w:r>
        <w:rPr>
          <w:bCs/>
          <w:b/>
        </w:rPr>
        <w:t xml:space="preserve">॥ Sāyaṇa-bhāṣyam ॥</w:t>
      </w:r>
      <w:r>
        <w:t xml:space="preserve"> </w:t>
      </w:r>
      <w:r>
        <w:rPr>
          <w:iCs/>
          <w:i/>
        </w:rPr>
        <w:t xml:space="preserve">(concluding the sentence begun on p. 161:)</w:t>
      </w:r>
    </w:p>
    <w:p>
      <w:pPr>
        <w:pStyle w:val="BlockText"/>
      </w:pPr>
      <w:r>
        <w:t xml:space="preserve">…वाजेभिर्देयैरन्नैः सह नोऽस्मानागमत् । आगच्छतु ॥</w:t>
      </w:r>
      <w:r>
        <w:t xml:space="preserve"> </w:t>
      </w:r>
      <w:r>
        <w:rPr>
          <w:iCs/>
          <w:i/>
        </w:rPr>
        <w:t xml:space="preserve">…vājebhir deyair annaiḥ saha no ’smān āgamat | āgacchatu ||</w:t>
      </w:r>
    </w:p>
    <w:p>
      <w:pPr>
        <w:pStyle w:val="FirstParagraph"/>
      </w:pPr>
      <w:r>
        <w:rPr>
          <w:bCs/>
          <w:b/>
        </w:rPr>
        <w:t xml:space="preserve">Translation:</w:t>
      </w:r>
      <w:r>
        <w:t xml:space="preserve"> </w:t>
      </w:r>
      <w:r>
        <w:t xml:space="preserve">“</w:t>
      </w:r>
      <w:r>
        <w:t xml:space="preserve">…(that very Indra) with the foods that are to be given — together with them, may he come to us,</w:t>
      </w:r>
      <w:r>
        <w:t xml:space="preserve"> </w:t>
      </w:r>
      <w:r>
        <w:t xml:space="preserve">‘</w:t>
      </w:r>
      <w:r>
        <w:t xml:space="preserve">āgamat</w:t>
      </w:r>
      <w:r>
        <w:t xml:space="preserve">’</w:t>
      </w:r>
      <w:r>
        <w:t xml:space="preserve"> </w:t>
      </w:r>
      <w:r>
        <w:t xml:space="preserve">— let him come.</w:t>
      </w:r>
      <w:r>
        <w:t xml:space="preserve">”</w:t>
      </w:r>
    </w:p>
    <w:p>
      <w:pPr>
        <w:pStyle w:val="BodyText"/>
      </w:pPr>
      <w:r>
        <w:rPr>
          <w:bCs/>
          <w:b/>
        </w:rPr>
        <w:t xml:space="preserve">Grammar within the Bhāṣya (re-read from the better scan; sūtras kept):</w:t>
      </w:r>
      <w:r>
        <w:t xml:space="preserve"> </w:t>
      </w:r>
      <w:r>
        <w:t xml:space="preserve">“</w:t>
      </w:r>
      <w:r>
        <w:t xml:space="preserve">Gha</w:t>
      </w:r>
      <w:r>
        <w:t xml:space="preserve">”</w:t>
      </w:r>
      <w:r>
        <w:t xml:space="preserve"> </w:t>
      </w:r>
      <w:r>
        <w:t xml:space="preserve">— unaccented by</w:t>
      </w:r>
      <w:r>
        <w:t xml:space="preserve"> </w:t>
      </w:r>
      <w:r>
        <w:rPr>
          <w:bCs/>
          <w:b/>
        </w:rPr>
        <w:t xml:space="preserve">चादयोऽनुदात्ताः</w:t>
      </w:r>
      <w:r>
        <w:t xml:space="preserve"> </w:t>
      </w:r>
      <w:r>
        <w:t xml:space="preserve">(</w:t>
      </w:r>
      <w:r>
        <w:rPr>
          <w:iCs/>
          <w:i/>
        </w:rPr>
        <w:t xml:space="preserve">cādayo ’nudāttāḥ</w:t>
      </w:r>
      <w:r>
        <w:t xml:space="preserve">); in the saṃhitā</w:t>
      </w:r>
      <w:r>
        <w:t xml:space="preserve"> </w:t>
      </w:r>
      <w:r>
        <w:rPr>
          <w:bCs/>
          <w:b/>
        </w:rPr>
        <w:t xml:space="preserve">ऋचि तुनुघमक्षुतङ्कुत्रोरुष्याणाम्</w:t>
      </w:r>
      <w:r>
        <w:t xml:space="preserve"> </w:t>
      </w:r>
      <w:r>
        <w:t xml:space="preserve">(</w:t>
      </w:r>
      <w:r>
        <w:rPr>
          <w:iCs/>
          <w:i/>
        </w:rPr>
        <w:t xml:space="preserve">ṛci tu-nu-gha-makṣu-taṅ-ku-tro-ruṣyāṇām</w:t>
      </w:r>
      <w:r>
        <w:t xml:space="preserve">, पा. ६-३-१३३) lengthens it (</w:t>
      </w:r>
      <w:r>
        <w:t xml:space="preserve">“</w:t>
      </w:r>
      <w:r>
        <w:t xml:space="preserve">ghā</w:t>
      </w:r>
      <w:r>
        <w:t xml:space="preserve">”</w:t>
      </w:r>
      <w:r>
        <w:t xml:space="preserve">).</w:t>
      </w:r>
      <w:r>
        <w:t xml:space="preserve"> </w:t>
      </w:r>
      <w:r>
        <w:t xml:space="preserve">“</w:t>
      </w:r>
      <w:r>
        <w:t xml:space="preserve">Yoge</w:t>
      </w:r>
      <w:r>
        <w:t xml:space="preserve">”</w:t>
      </w:r>
      <w:r>
        <w:t xml:space="preserve"> </w:t>
      </w:r>
      <w:r>
        <w:t xml:space="preserve">—</w:t>
      </w:r>
      <w:r>
        <w:t xml:space="preserve"> </w:t>
      </w:r>
      <w:r>
        <w:t xml:space="preserve">“</w:t>
      </w:r>
      <w:r>
        <w:t xml:space="preserve">ghañ,</w:t>
      </w:r>
      <w:r>
        <w:t xml:space="preserve">”</w:t>
      </w:r>
      <w:r>
        <w:t xml:space="preserve"> </w:t>
      </w:r>
      <w:r>
        <w:t xml:space="preserve">and being</w:t>
      </w:r>
      <w:r>
        <w:t xml:space="preserve"> </w:t>
      </w:r>
      <w:r>
        <w:t xml:space="preserve">“</w:t>
      </w:r>
      <w:r>
        <w:t xml:space="preserve">ñ</w:t>
      </w:r>
      <w:r>
        <w:t xml:space="preserve">”</w:t>
      </w:r>
      <w:r>
        <w:t xml:space="preserve">-marked it is first-syllable acute.</w:t>
      </w:r>
      <w:r>
        <w:t xml:space="preserve"> </w:t>
      </w:r>
      <w:r>
        <w:t xml:space="preserve">“</w:t>
      </w:r>
      <w:r>
        <w:t xml:space="preserve">Bhuvat</w:t>
      </w:r>
      <w:r>
        <w:t xml:space="preserve">”</w:t>
      </w:r>
      <w:r>
        <w:t xml:space="preserve"> </w:t>
      </w:r>
      <w:r>
        <w:t xml:space="preserve">— =</w:t>
      </w:r>
      <w:r>
        <w:t xml:space="preserve"> </w:t>
      </w:r>
      <w:r>
        <w:t xml:space="preserve">“</w:t>
      </w:r>
      <w:r>
        <w:t xml:space="preserve">bhūyāt</w:t>
      </w:r>
      <w:r>
        <w:t xml:space="preserve">”</w:t>
      </w:r>
      <w:r>
        <w:t xml:space="preserve">: after</w:t>
      </w:r>
      <w:r>
        <w:t xml:space="preserve"> </w:t>
      </w:r>
      <w:r>
        <w:t xml:space="preserve">“</w:t>
      </w:r>
      <w:r>
        <w:t xml:space="preserve">bhū</w:t>
      </w:r>
      <w:r>
        <w:t xml:space="preserve">”</w:t>
      </w:r>
      <w:r>
        <w:t xml:space="preserve"> </w:t>
      </w:r>
      <w:r>
        <w:t xml:space="preserve">with the benedictive</w:t>
      </w:r>
      <w:r>
        <w:t xml:space="preserve"> </w:t>
      </w:r>
      <w:r>
        <w:t xml:space="preserve">“</w:t>
      </w:r>
      <w:r>
        <w:t xml:space="preserve">liṅ,</w:t>
      </w:r>
      <w:r>
        <w:t xml:space="preserve">”</w:t>
      </w:r>
      <w:r>
        <w:t xml:space="preserve"> </w:t>
      </w:r>
      <w:r>
        <w:t xml:space="preserve">the affix</w:t>
      </w:r>
      <w:r>
        <w:t xml:space="preserve"> </w:t>
      </w:r>
      <w:r>
        <w:t xml:space="preserve">“</w:t>
      </w:r>
      <w:r>
        <w:t xml:space="preserve">aṅ</w:t>
      </w:r>
      <w:r>
        <w:t xml:space="preserve">”</w:t>
      </w:r>
      <w:r>
        <w:t xml:space="preserve"> </w:t>
      </w:r>
      <w:r>
        <w:t xml:space="preserve">by</w:t>
      </w:r>
      <w:r>
        <w:t xml:space="preserve"> </w:t>
      </w:r>
      <w:r>
        <w:rPr>
          <w:bCs/>
          <w:b/>
        </w:rPr>
        <w:t xml:space="preserve">लिङ्याशिषि अङ्</w:t>
      </w:r>
      <w:r>
        <w:t xml:space="preserve"> </w:t>
      </w:r>
      <w:r>
        <w:t xml:space="preserve">(</w:t>
      </w:r>
      <w:r>
        <w:rPr>
          <w:iCs/>
          <w:i/>
        </w:rPr>
        <w:t xml:space="preserve">liṅy āśiṣy aṅ</w:t>
      </w:r>
      <w:r>
        <w:t xml:space="preserve">); as it is</w:t>
      </w:r>
      <w:r>
        <w:t xml:space="preserve"> </w:t>
      </w:r>
      <w:r>
        <w:t xml:space="preserve">“</w:t>
      </w:r>
      <w:r>
        <w:t xml:space="preserve">ṅ</w:t>
      </w:r>
      <w:r>
        <w:t xml:space="preserve">”</w:t>
      </w:r>
      <w:r>
        <w:t xml:space="preserve">-marked there is no guṇa, hence the substitute</w:t>
      </w:r>
      <w:r>
        <w:t xml:space="preserve"> </w:t>
      </w:r>
      <w:r>
        <w:t xml:space="preserve">“</w:t>
      </w:r>
      <w:r>
        <w:t xml:space="preserve">uvaṅ</w:t>
      </w:r>
      <w:r>
        <w:t xml:space="preserve">”</w:t>
      </w:r>
      <w:r>
        <w:t xml:space="preserve">; the augment</w:t>
      </w:r>
      <w:r>
        <w:t xml:space="preserve"> </w:t>
      </w:r>
      <w:r>
        <w:t xml:space="preserve">“</w:t>
      </w:r>
      <w:r>
        <w:t xml:space="preserve">yāsuṭ</w:t>
      </w:r>
      <w:r>
        <w:t xml:space="preserve">”</w:t>
      </w:r>
      <w:r>
        <w:t xml:space="preserve"> </w:t>
      </w:r>
      <w:r>
        <w:t xml:space="preserve">of</w:t>
      </w:r>
      <w:r>
        <w:t xml:space="preserve"> </w:t>
      </w:r>
      <w:r>
        <w:rPr>
          <w:bCs/>
          <w:b/>
        </w:rPr>
        <w:t xml:space="preserve">किदाशिषि</w:t>
      </w:r>
      <w:r>
        <w:t xml:space="preserve"> </w:t>
      </w:r>
      <w:r>
        <w:t xml:space="preserve">does not come, by the statement</w:t>
      </w:r>
      <w:r>
        <w:t xml:space="preserve"> </w:t>
      </w:r>
      <w:r>
        <w:rPr>
          <w:bCs/>
          <w:b/>
        </w:rPr>
        <w:t xml:space="preserve">अनित्यमागमशासनम्</w:t>
      </w:r>
      <w:r>
        <w:t xml:space="preserve"> </w:t>
      </w:r>
      <w:r>
        <w:t xml:space="preserve">(</w:t>
      </w:r>
      <w:r>
        <w:rPr>
          <w:iCs/>
          <w:i/>
        </w:rPr>
        <w:t xml:space="preserve">anityam āgama-śāsanam</w:t>
      </w:r>
      <w:r>
        <w:t xml:space="preserve">,</w:t>
      </w:r>
      <w:r>
        <w:t xml:space="preserve"> </w:t>
      </w:r>
      <w:r>
        <w:t xml:space="preserve">“</w:t>
      </w:r>
      <w:r>
        <w:t xml:space="preserve">the teaching of augments is not binding</w:t>
      </w:r>
      <w:r>
        <w:t xml:space="preserve">”</w:t>
      </w:r>
      <w:r>
        <w:t xml:space="preserve">); the verb is unaccented by</w:t>
      </w:r>
      <w:r>
        <w:t xml:space="preserve"> </w:t>
      </w:r>
      <w:r>
        <w:rPr>
          <w:bCs/>
          <w:b/>
        </w:rPr>
        <w:t xml:space="preserve">तिङ्ङतिङः</w:t>
      </w:r>
      <w:r>
        <w:t xml:space="preserve">.</w:t>
      </w:r>
      <w:r>
        <w:t xml:space="preserve"> </w:t>
      </w:r>
      <w:r>
        <w:t xml:space="preserve">“</w:t>
      </w:r>
      <w:r>
        <w:t xml:space="preserve">Rāye</w:t>
      </w:r>
      <w:r>
        <w:t xml:space="preserve">”</w:t>
      </w:r>
      <w:r>
        <w:t xml:space="preserve"> </w:t>
      </w:r>
      <w:r>
        <w:t xml:space="preserve">— the case-ending is acute by</w:t>
      </w:r>
      <w:r>
        <w:t xml:space="preserve"> </w:t>
      </w:r>
      <w:r>
        <w:rPr>
          <w:bCs/>
          <w:b/>
        </w:rPr>
        <w:t xml:space="preserve">ऊडिदम्पदाद्यप्पुम्रैद्युभ्यः</w:t>
      </w:r>
      <w:r>
        <w:t xml:space="preserve">.</w:t>
      </w:r>
      <w:r>
        <w:t xml:space="preserve"> </w:t>
      </w:r>
      <w:r>
        <w:t xml:space="preserve">“</w:t>
      </w:r>
      <w:r>
        <w:t xml:space="preserve">Puraṃdhyām</w:t>
      </w:r>
      <w:r>
        <w:t xml:space="preserve">”</w:t>
      </w:r>
      <w:r>
        <w:t xml:space="preserve"> </w:t>
      </w:r>
      <w:r>
        <w:t xml:space="preserve">—</w:t>
      </w:r>
      <w:r>
        <w:t xml:space="preserve"> </w:t>
      </w:r>
      <w:r>
        <w:t xml:space="preserve">“</w:t>
      </w:r>
      <w:r>
        <w:t xml:space="preserve">puraṃdhiḥ</w:t>
      </w:r>
      <w:r>
        <w:t xml:space="preserve">”</w:t>
      </w:r>
      <w:r>
        <w:t xml:space="preserve"> </w:t>
      </w:r>
      <w:r>
        <w:t xml:space="preserve">=</w:t>
      </w:r>
      <w:r>
        <w:t xml:space="preserve"> </w:t>
      </w:r>
      <w:r>
        <w:t xml:space="preserve">“</w:t>
      </w:r>
      <w:r>
        <w:t xml:space="preserve">purudhīḥ</w:t>
      </w:r>
      <w:r>
        <w:t xml:space="preserve">”</w:t>
      </w:r>
      <w:r>
        <w:t xml:space="preserve">: as a</w:t>
      </w:r>
      <w:r>
        <w:t xml:space="preserve"> </w:t>
      </w:r>
      <w:r>
        <w:t xml:space="preserve">“</w:t>
      </w:r>
      <w:r>
        <w:t xml:space="preserve">pṛṣodara</w:t>
      </w:r>
      <w:r>
        <w:t xml:space="preserve">”</w:t>
      </w:r>
      <w:r>
        <w:t xml:space="preserve">-type word (पा. ६-३-१०९) the</w:t>
      </w:r>
      <w:r>
        <w:t xml:space="preserve"> </w:t>
      </w:r>
      <w:r>
        <w:t xml:space="preserve">“</w:t>
      </w:r>
      <w:r>
        <w:t xml:space="preserve">u</w:t>
      </w:r>
      <w:r>
        <w:t xml:space="preserve">”</w:t>
      </w:r>
      <w:r>
        <w:t xml:space="preserve"> </w:t>
      </w:r>
      <w:r>
        <w:t xml:space="preserve">is replaced by</w:t>
      </w:r>
      <w:r>
        <w:t xml:space="preserve"> </w:t>
      </w:r>
      <w:r>
        <w:t xml:space="preserve">“</w:t>
      </w:r>
      <w:r>
        <w:t xml:space="preserve">am</w:t>
      </w:r>
      <w:r>
        <w:t xml:space="preserve">”</w:t>
      </w:r>
      <w:r>
        <w:t xml:space="preserve"> </w:t>
      </w:r>
      <w:r>
        <w:t xml:space="preserve">and the</w:t>
      </w:r>
      <w:r>
        <w:t xml:space="preserve"> </w:t>
      </w:r>
      <w:r>
        <w:t xml:space="preserve">“</w:t>
      </w:r>
      <w:r>
        <w:t xml:space="preserve">ī</w:t>
      </w:r>
      <w:r>
        <w:t xml:space="preserve">”</w:t>
      </w:r>
      <w:r>
        <w:t xml:space="preserve"> </w:t>
      </w:r>
      <w:r>
        <w:t xml:space="preserve">is shortened; it is first-syllable acute by the statement</w:t>
      </w:r>
      <w:r>
        <w:t xml:space="preserve"> </w:t>
      </w:r>
      <w:r>
        <w:rPr>
          <w:bCs/>
          <w:b/>
        </w:rPr>
        <w:t xml:space="preserve">आद्युदात्तप्रकरणे दिवोदासादीनां छन्दस्युपसंख्यानम्</w:t>
      </w:r>
      <w:r>
        <w:t xml:space="preserve"> </w:t>
      </w:r>
      <w:r>
        <w:t xml:space="preserve">(पा. ६-२-९१-वा. १). Or:</w:t>
      </w:r>
      <w:r>
        <w:t xml:space="preserve"> </w:t>
      </w:r>
      <w:r>
        <w:t xml:space="preserve">“</w:t>
      </w:r>
      <w:r>
        <w:t xml:space="preserve">puraṃ śarīraṃ dhīyate ’syām</w:t>
      </w:r>
      <w:r>
        <w:t xml:space="preserve">”</w:t>
      </w:r>
      <w:r>
        <w:t xml:space="preserve"> </w:t>
      </w:r>
      <w:r>
        <w:t xml:space="preserve">— by</w:t>
      </w:r>
      <w:r>
        <w:t xml:space="preserve"> </w:t>
      </w:r>
      <w:r>
        <w:rPr>
          <w:bCs/>
          <w:b/>
        </w:rPr>
        <w:t xml:space="preserve">कर्मण्यधिकरणे च</w:t>
      </w:r>
      <w:r>
        <w:t xml:space="preserve"> </w:t>
      </w:r>
      <w:r>
        <w:t xml:space="preserve">(पा. ३-३-९३) the affix</w:t>
      </w:r>
      <w:r>
        <w:t xml:space="preserve"> </w:t>
      </w:r>
      <w:r>
        <w:t xml:space="preserve">“</w:t>
      </w:r>
      <w:r>
        <w:t xml:space="preserve">ki</w:t>
      </w:r>
      <w:r>
        <w:t xml:space="preserve">”</w:t>
      </w:r>
      <w:r>
        <w:t xml:space="preserve">; the non-elision (</w:t>
      </w:r>
      <w:r>
        <w:t xml:space="preserve">“</w:t>
      </w:r>
      <w:r>
        <w:t xml:space="preserve">aluk</w:t>
      </w:r>
      <w:r>
        <w:t xml:space="preserve">”</w:t>
      </w:r>
      <w:r>
        <w:t xml:space="preserve">) is Vedic;</w:t>
      </w:r>
      <w:r>
        <w:t xml:space="preserve"> </w:t>
      </w:r>
      <w:r>
        <w:t xml:space="preserve">“</w:t>
      </w:r>
      <w:r>
        <w:t xml:space="preserve">puru</w:t>
      </w:r>
      <w:r>
        <w:t xml:space="preserve">”</w:t>
      </w:r>
      <w:r>
        <w:t xml:space="preserve"> </w:t>
      </w:r>
      <w:r>
        <w:t xml:space="preserve">is first-syllable acute by</w:t>
      </w:r>
      <w:r>
        <w:t xml:space="preserve"> </w:t>
      </w:r>
      <w:r>
        <w:rPr>
          <w:bCs/>
          <w:b/>
        </w:rPr>
        <w:t xml:space="preserve">नब्विषयस्यानिसन्तस्य</w:t>
      </w:r>
      <w:r>
        <w:t xml:space="preserve">, and as a</w:t>
      </w:r>
      <w:r>
        <w:t xml:space="preserve"> </w:t>
      </w:r>
      <w:r>
        <w:t xml:space="preserve">“</w:t>
      </w:r>
      <w:r>
        <w:t xml:space="preserve">dāsībhārādi</w:t>
      </w:r>
      <w:r>
        <w:t xml:space="preserve">”</w:t>
      </w:r>
      <w:r>
        <w:t xml:space="preserve"> </w:t>
      </w:r>
      <w:r>
        <w:t xml:space="preserve">word (पा. ६-२-४२) the first member keeps its own accent.</w:t>
      </w:r>
      <w:r>
        <w:t xml:space="preserve"> </w:t>
      </w:r>
      <w:r>
        <w:t xml:space="preserve">“</w:t>
      </w:r>
      <w:r>
        <w:t xml:space="preserve">Gamat</w:t>
      </w:r>
      <w:r>
        <w:t xml:space="preserve">”</w:t>
      </w:r>
      <w:r>
        <w:t xml:space="preserve"> </w:t>
      </w:r>
      <w:r>
        <w:t xml:space="preserve">—</w:t>
      </w:r>
      <w:r>
        <w:t xml:space="preserve"> </w:t>
      </w:r>
      <w:r>
        <w:rPr>
          <w:bCs/>
          <w:b/>
        </w:rPr>
        <w:t xml:space="preserve">गमेर्लेटि तिप्</w:t>
      </w:r>
      <w:r>
        <w:t xml:space="preserve"> </w:t>
      </w:r>
      <w:r>
        <w:t xml:space="preserve">(</w:t>
      </w:r>
      <w:r>
        <w:rPr>
          <w:iCs/>
          <w:i/>
        </w:rPr>
        <w:t xml:space="preserve">gamer leṭi tip</w:t>
      </w:r>
      <w:r>
        <w:t xml:space="preserve">); the</w:t>
      </w:r>
      <w:r>
        <w:t xml:space="preserve"> </w:t>
      </w:r>
      <w:r>
        <w:t xml:space="preserve">“</w:t>
      </w:r>
      <w:r>
        <w:t xml:space="preserve">i</w:t>
      </w:r>
      <w:r>
        <w:t xml:space="preserve">”</w:t>
      </w:r>
      <w:r>
        <w:t xml:space="preserve"> </w:t>
      </w:r>
      <w:r>
        <w:t xml:space="preserve">is elided by</w:t>
      </w:r>
      <w:r>
        <w:t xml:space="preserve"> </w:t>
      </w:r>
      <w:r>
        <w:rPr>
          <w:bCs/>
          <w:b/>
        </w:rPr>
        <w:t xml:space="preserve">इतश्च लोपः परस्मैपदेषु</w:t>
      </w:r>
      <w:r>
        <w:t xml:space="preserve">;</w:t>
      </w:r>
      <w:r>
        <w:t xml:space="preserve"> </w:t>
      </w:r>
      <w:r>
        <w:t xml:space="preserve">“</w:t>
      </w:r>
      <w:r>
        <w:t xml:space="preserve">śap</w:t>
      </w:r>
      <w:r>
        <w:t xml:space="preserve">”</w:t>
      </w:r>
      <w:r>
        <w:t xml:space="preserve"> </w:t>
      </w:r>
      <w:r>
        <w:t xml:space="preserve">is elided by</w:t>
      </w:r>
      <w:r>
        <w:t xml:space="preserve"> </w:t>
      </w:r>
      <w:r>
        <w:rPr>
          <w:bCs/>
          <w:b/>
        </w:rPr>
        <w:t xml:space="preserve">बहुलं छन्दसि</w:t>
      </w:r>
      <w:r>
        <w:t xml:space="preserve">; the augment</w:t>
      </w:r>
      <w:r>
        <w:t xml:space="preserve"> </w:t>
      </w:r>
      <w:r>
        <w:t xml:space="preserve">“</w:t>
      </w:r>
      <w:r>
        <w:t xml:space="preserve">aṭ</w:t>
      </w:r>
      <w:r>
        <w:t xml:space="preserve">”</w:t>
      </w:r>
      <w:r>
        <w:t xml:space="preserve"> </w:t>
      </w:r>
      <w:r>
        <w:t xml:space="preserve">by</w:t>
      </w:r>
      <w:r>
        <w:t xml:space="preserve"> </w:t>
      </w:r>
      <w:r>
        <w:rPr>
          <w:bCs/>
          <w:b/>
        </w:rPr>
        <w:t xml:space="preserve">लेटोऽडाटौ</w:t>
      </w:r>
      <w:r>
        <w:t xml:space="preserve">; as</w:t>
      </w:r>
      <w:r>
        <w:t xml:space="preserve"> </w:t>
      </w:r>
      <w:r>
        <w:rPr>
          <w:bCs/>
          <w:b/>
        </w:rPr>
        <w:t xml:space="preserve">आगमा अनुदात्ताः</w:t>
      </w:r>
      <w:r>
        <w:t xml:space="preserve"> </w:t>
      </w:r>
      <w:r>
        <w:t xml:space="preserve">(म. ३-१-३-२) it is unaccented, and only the root accent remains.</w:t>
      </w:r>
      <w:r>
        <w:t xml:space="preserve"> </w:t>
      </w:r>
      <w:r>
        <w:t xml:space="preserve">“</w:t>
      </w:r>
      <w:r>
        <w:t xml:space="preserve">Vājebhiḥ</w:t>
      </w:r>
      <w:r>
        <w:t xml:space="preserve">”</w:t>
      </w:r>
      <w:r>
        <w:t xml:space="preserve"> </w:t>
      </w:r>
      <w:r>
        <w:t xml:space="preserve">— first-syllable acute as a</w:t>
      </w:r>
      <w:r>
        <w:t xml:space="preserve"> </w:t>
      </w:r>
      <w:r>
        <w:t xml:space="preserve">“</w:t>
      </w:r>
      <w:r>
        <w:t xml:space="preserve">vṛṣādi</w:t>
      </w:r>
      <w:r>
        <w:t xml:space="preserve">”</w:t>
      </w:r>
      <w:r>
        <w:t xml:space="preserve"> </w:t>
      </w:r>
      <w:r>
        <w:t xml:space="preserve">word. ॥३॥</w:t>
      </w:r>
    </w:p>
    <w:p>
      <w:pPr>
        <w:pStyle w:val="BodyText"/>
      </w:pPr>
      <w:r>
        <w:rPr>
          <w:bCs/>
          <w:b/>
        </w:rPr>
        <w:t xml:space="preserve">॥ Prati-padārthaḥ ॥</w:t>
      </w:r>
      <w:r>
        <w:t xml:space="preserve"> </w:t>
      </w:r>
      <w:r>
        <w:rPr>
          <w:iCs/>
          <w:i/>
        </w:rPr>
        <w:t xml:space="preserve">(Kannada, translated)</w:t>
      </w:r>
    </w:p>
    <w:p>
      <w:pPr>
        <w:pStyle w:val="BodyText"/>
      </w:pPr>
      <w:r>
        <w:rPr>
          <w:bCs/>
          <w:b/>
        </w:rPr>
        <w:t xml:space="preserve">सः घ (sa gha)</w:t>
      </w:r>
      <w:r>
        <w:t xml:space="preserve"> </w:t>
      </w:r>
      <w:r>
        <w:t xml:space="preserve">— that Indra (indeed) |</w:t>
      </w:r>
      <w:r>
        <w:t xml:space="preserve"> </w:t>
      </w:r>
      <w:r>
        <w:rPr>
          <w:bCs/>
          <w:b/>
        </w:rPr>
        <w:t xml:space="preserve">नः (naḥ)</w:t>
      </w:r>
      <w:r>
        <w:t xml:space="preserve"> </w:t>
      </w:r>
      <w:r>
        <w:t xml:space="preserve">— to us |</w:t>
      </w:r>
      <w:r>
        <w:t xml:space="preserve"> </w:t>
      </w:r>
      <w:r>
        <w:rPr>
          <w:bCs/>
          <w:b/>
        </w:rPr>
        <w:t xml:space="preserve">योगे (yoge)</w:t>
      </w:r>
      <w:r>
        <w:t xml:space="preserve"> </w:t>
      </w:r>
      <w:r>
        <w:t xml:space="preserve">— in the matter of obtaining the human aim (puruṣārtha) that we desire, which gives the connection (with it) |</w:t>
      </w:r>
      <w:r>
        <w:t xml:space="preserve"> </w:t>
      </w:r>
      <w:r>
        <w:rPr>
          <w:bCs/>
          <w:b/>
        </w:rPr>
        <w:t xml:space="preserve">आ भुवत् (ā bhuvat)</w:t>
      </w:r>
      <w:r>
        <w:t xml:space="preserve"> </w:t>
      </w:r>
      <w:r>
        <w:t xml:space="preserve">— let him be favourable |</w:t>
      </w:r>
      <w:r>
        <w:t xml:space="preserve"> </w:t>
      </w:r>
      <w:r>
        <w:rPr>
          <w:bCs/>
          <w:b/>
        </w:rPr>
        <w:t xml:space="preserve">सः (saḥ)</w:t>
      </w:r>
      <w:r>
        <w:t xml:space="preserve"> </w:t>
      </w:r>
      <w:r>
        <w:t xml:space="preserve">— that Indra |</w:t>
      </w:r>
      <w:r>
        <w:t xml:space="preserve"> </w:t>
      </w:r>
      <w:r>
        <w:rPr>
          <w:bCs/>
          <w:b/>
        </w:rPr>
        <w:t xml:space="preserve">राये (rāye)</w:t>
      </w:r>
      <w:r>
        <w:t xml:space="preserve"> </w:t>
      </w:r>
      <w:r>
        <w:t xml:space="preserve">— in the matter of giving wealth, too |</w:t>
      </w:r>
      <w:r>
        <w:t xml:space="preserve"> </w:t>
      </w:r>
      <w:r>
        <w:rPr>
          <w:iCs/>
          <w:i/>
        </w:rPr>
        <w:t xml:space="preserve">(ā bhuvat — let him be favourable)</w:t>
      </w:r>
      <w:r>
        <w:t xml:space="preserve"> </w:t>
      </w:r>
      <w:r>
        <w:t xml:space="preserve">|</w:t>
      </w:r>
      <w:r>
        <w:t xml:space="preserve"> </w:t>
      </w:r>
      <w:r>
        <w:rPr>
          <w:bCs/>
          <w:b/>
        </w:rPr>
        <w:t xml:space="preserve">सः (saḥ)</w:t>
      </w:r>
      <w:r>
        <w:t xml:space="preserve"> </w:t>
      </w:r>
      <w:r>
        <w:t xml:space="preserve">— that Indra |</w:t>
      </w:r>
      <w:r>
        <w:t xml:space="preserve"> </w:t>
      </w:r>
      <w:r>
        <w:rPr>
          <w:bCs/>
          <w:b/>
        </w:rPr>
        <w:t xml:space="preserve">पुरंध्याम् (puraṃdhyām)</w:t>
      </w:r>
      <w:r>
        <w:t xml:space="preserve"> </w:t>
      </w:r>
      <w:r>
        <w:t xml:space="preserve">— in the matter of giving us young women, or in the matter of producing in us right understanding, too |</w:t>
      </w:r>
      <w:r>
        <w:t xml:space="preserve"> </w:t>
      </w:r>
      <w:r>
        <w:rPr>
          <w:iCs/>
          <w:i/>
        </w:rPr>
        <w:t xml:space="preserve">(ā bhuvat — let him be favourable)</w:t>
      </w:r>
      <w:r>
        <w:t xml:space="preserve"> </w:t>
      </w:r>
      <w:r>
        <w:t xml:space="preserve">|</w:t>
      </w:r>
      <w:r>
        <w:t xml:space="preserve"> </w:t>
      </w:r>
      <w:r>
        <w:rPr>
          <w:bCs/>
          <w:b/>
        </w:rPr>
        <w:t xml:space="preserve">सः (saḥ)</w:t>
      </w:r>
      <w:r>
        <w:t xml:space="preserve"> </w:t>
      </w:r>
      <w:r>
        <w:t xml:space="preserve">— that Indra |</w:t>
      </w:r>
      <w:r>
        <w:t xml:space="preserve"> </w:t>
      </w:r>
      <w:r>
        <w:rPr>
          <w:bCs/>
          <w:b/>
        </w:rPr>
        <w:t xml:space="preserve">वाजेभिः (vājebhiḥ)</w:t>
      </w:r>
      <w:r>
        <w:t xml:space="preserve"> </w:t>
      </w:r>
      <w:r>
        <w:t xml:space="preserve">— with foods and the like |</w:t>
      </w:r>
      <w:r>
        <w:t xml:space="preserve"> </w:t>
      </w:r>
      <w:r>
        <w:rPr>
          <w:bCs/>
          <w:b/>
        </w:rPr>
        <w:t xml:space="preserve">नः (naḥ)</w:t>
      </w:r>
      <w:r>
        <w:t xml:space="preserve"> </w:t>
      </w:r>
      <w:r>
        <w:t xml:space="preserve">— to our sacrifice |</w:t>
      </w:r>
      <w:r>
        <w:t xml:space="preserve"> </w:t>
      </w:r>
      <w:r>
        <w:rPr>
          <w:bCs/>
          <w:b/>
        </w:rPr>
        <w:t xml:space="preserve">आ गमत् (ā gamat)</w:t>
      </w:r>
      <w:r>
        <w:t xml:space="preserve"> </w:t>
      </w:r>
      <w:r>
        <w:t xml:space="preserve">— let him come.</w:t>
      </w:r>
    </w:p>
    <w:p>
      <w:pPr>
        <w:pStyle w:val="BodyText"/>
      </w:pPr>
      <w:r>
        <w:rPr>
          <w:bCs/>
          <w:b/>
        </w:rPr>
        <w:t xml:space="preserve">॥ Bhāvārthaḥ ॥</w:t>
      </w:r>
      <w:r>
        <w:t xml:space="preserve"> </w:t>
      </w:r>
      <w:r>
        <w:rPr>
          <w:iCs/>
          <w:i/>
        </w:rPr>
        <w:t xml:space="preserve">(Kannada, translated)</w:t>
      </w:r>
    </w:p>
    <w:p>
      <w:pPr>
        <w:pStyle w:val="BodyText"/>
      </w:pPr>
      <w:r>
        <w:t xml:space="preserve">The attainment of the objects we desire, wealth (and lordship), young women (that is, wives, favourable to us), or a timely understanding and knowledge — in order that we may have these things and be happy, that Indra must be favourable to us; that is, it is only by Indra’s grace that such desired objects can be obtained. Besides this, may that Indra come to our sacrifice and be the giver of the food (the nourishment) we need.</w:t>
      </w:r>
    </w:p>
    <w:p>
      <w:pPr>
        <w:pStyle w:val="BodyText"/>
      </w:pPr>
      <w:r>
        <w:rPr>
          <w:bCs/>
          <w:b/>
        </w:rPr>
        <w:t xml:space="preserve">English Translation</w:t>
      </w:r>
      <w:r>
        <w:t xml:space="preserve"> </w:t>
      </w:r>
      <w:r>
        <w:rPr>
          <w:iCs/>
          <w:i/>
        </w:rPr>
        <w:t xml:space="preserve">(printed in English in the source itself):</w:t>
      </w:r>
    </w:p>
    <w:p>
      <w:pPr>
        <w:pStyle w:val="BodyText"/>
      </w:pPr>
      <w:r>
        <w:t xml:space="preserve">“</w:t>
      </w:r>
      <w:r>
        <w:t xml:space="preserve">May he be to us for the attainment of our objects; may he be to us for the acquirement of riches; may he be to us for the acquisition of young women or manifold knowledge; may he come to us with food.</w:t>
      </w:r>
      <w:r>
        <w:t xml:space="preserve">”</w:t>
      </w:r>
    </w:p>
    <w:bookmarkEnd w:id="196"/>
    <w:bookmarkStart w:id="197" w:name="Xc1ab8a21eef9df4f2f40fefcfb99aa001f45622"/>
    <w:p>
      <w:pPr>
        <w:pStyle w:val="Heading3"/>
      </w:pPr>
      <w:r>
        <w:t xml:space="preserve">Page 163 — Special topics on Rik 5.3:</w:t>
      </w:r>
      <w:r>
        <w:t xml:space="preserve"> </w:t>
      </w:r>
      <w:r>
        <w:t xml:space="preserve">“</w:t>
      </w:r>
      <w:r>
        <w:t xml:space="preserve">gha,</w:t>
      </w:r>
      <w:r>
        <w:t xml:space="preserve">”</w:t>
      </w:r>
      <w:r>
        <w:t xml:space="preserve"> </w:t>
      </w:r>
      <w:r>
        <w:t xml:space="preserve">“</w:t>
      </w:r>
      <w:r>
        <w:t xml:space="preserve">yoge,</w:t>
      </w:r>
      <w:r>
        <w:t xml:space="preserve">”</w:t>
      </w:r>
      <w:r>
        <w:t xml:space="preserve"> </w:t>
      </w:r>
      <w:r>
        <w:t xml:space="preserve">“</w:t>
      </w:r>
      <w:r>
        <w:t xml:space="preserve">puraṃdhyām</w:t>
      </w:r>
      <w:r>
        <w:t xml:space="preserve">”</w:t>
      </w:r>
      <w:r>
        <w:t xml:space="preserve">; Vyākaraṇa-prakriyā (opening)</w:t>
      </w:r>
    </w:p>
    <w:p>
      <w:pPr>
        <w:pStyle w:val="FirstParagraph"/>
      </w:pPr>
      <w:r>
        <w:rPr>
          <w:iCs/>
          <w:i/>
        </w:rPr>
        <w:t xml:space="preserve">(Page header:</w:t>
      </w:r>
      <w:r>
        <w:rPr>
          <w:iCs/>
          <w:i/>
        </w:rPr>
        <w:t xml:space="preserve"> </w:t>
      </w:r>
      <w:r>
        <w:rPr>
          <w:iCs/>
          <w:i/>
        </w:rPr>
        <w:t xml:space="preserve">“</w:t>
      </w:r>
      <w:r>
        <w:rPr>
          <w:iCs/>
          <w:i/>
        </w:rPr>
        <w:t xml:space="preserve">Aṣṭaka 1, Adhyāya 1, Varga 9 · Ṛgveda-saṃhitā.</w:t>
      </w:r>
      <w:r>
        <w:rPr>
          <w:iCs/>
          <w:i/>
        </w:rPr>
        <w:t xml:space="preserve">”</w:t>
      </w:r>
      <w:r>
        <w:rPr>
          <w:iCs/>
          <w:i/>
        </w:rPr>
        <w:t xml:space="preserve"> </w:t>
      </w:r>
      <w:r>
        <w:rPr>
          <w:iCs/>
          <w:i/>
        </w:rPr>
        <w:t xml:space="preserve">English as printed. The Ṛg-vedic references for Hillebrandt’s</w:t>
      </w:r>
      <w:r>
        <w:rPr>
          <w:iCs/>
          <w:i/>
        </w:rPr>
        <w:t xml:space="preserve"> </w:t>
      </w:r>
      <w:r>
        <w:rPr>
          <w:iCs/>
          <w:i/>
        </w:rPr>
        <w:t xml:space="preserve">“</w:t>
      </w:r>
      <w:r>
        <w:rPr>
          <w:iCs/>
          <w:i/>
        </w:rPr>
        <w:t xml:space="preserve">puraṃdhi</w:t>
      </w:r>
      <w:r>
        <w:rPr>
          <w:iCs/>
          <w:i/>
        </w:rPr>
        <w:t xml:space="preserve">”</w:t>
      </w:r>
      <w:r>
        <w:rPr>
          <w:iCs/>
          <w:i/>
        </w:rPr>
        <w:t xml:space="preserve"> </w:t>
      </w:r>
      <w:r>
        <w:rPr>
          <w:iCs/>
          <w:i/>
        </w:rPr>
        <w:t xml:space="preserve">re-read from the better scan.)</w:t>
      </w:r>
    </w:p>
    <w:p>
      <w:pPr>
        <w:pStyle w:val="BodyText"/>
      </w:pPr>
      <w:r>
        <w:rPr>
          <w:bCs/>
          <w:b/>
        </w:rPr>
        <w:t xml:space="preserve">॥ Viśeṣa-viṣayagaḷu (Special Topics) ॥</w:t>
      </w:r>
    </w:p>
    <w:p>
      <w:pPr>
        <w:pStyle w:val="BodyText"/>
      </w:pPr>
      <w:r>
        <w:rPr>
          <w:bCs/>
          <w:b/>
        </w:rPr>
        <w:t xml:space="preserve">घ (gha)</w:t>
      </w:r>
      <w:r>
        <w:t xml:space="preserve"> </w:t>
      </w:r>
      <w:r>
        <w:t xml:space="preserve">—</w:t>
      </w:r>
      <w:r>
        <w:t xml:space="preserve"> </w:t>
      </w:r>
      <w:r>
        <w:t xml:space="preserve">“</w:t>
      </w:r>
      <w:r>
        <w:t xml:space="preserve">eva</w:t>
      </w:r>
      <w:r>
        <w:t xml:space="preserve">”</w:t>
      </w:r>
      <w:r>
        <w:t xml:space="preserve"> </w:t>
      </w:r>
      <w:r>
        <w:t xml:space="preserve">(</w:t>
      </w:r>
      <w:r>
        <w:t xml:space="preserve">“</w:t>
      </w:r>
      <w:r>
        <w:t xml:space="preserve">indeed</w:t>
      </w:r>
      <w:r>
        <w:t xml:space="preserve">”</w:t>
      </w:r>
      <w:r>
        <w:t xml:space="preserve">) — used in the sense of emphasis (avadhāraṇa). This word, in many places, is used in the saṃhitā-text with a lengthened final vowel to suit the metre, but in the pada-text it has the short vowel.</w:t>
      </w:r>
    </w:p>
    <w:p>
      <w:pPr>
        <w:pStyle w:val="BodyText"/>
      </w:pPr>
      <w:r>
        <w:rPr>
          <w:bCs/>
          <w:b/>
        </w:rPr>
        <w:t xml:space="preserve">योगे (yoge)</w:t>
      </w:r>
      <w:r>
        <w:t xml:space="preserve"> </w:t>
      </w:r>
      <w:r>
        <w:t xml:space="preserve">— The Bhāṣyakāra explains it as</w:t>
      </w:r>
      <w:r>
        <w:t xml:space="preserve"> </w:t>
      </w:r>
      <w:r>
        <w:t xml:space="preserve">“</w:t>
      </w:r>
      <w:r>
        <w:t xml:space="preserve">attaining the desired object.</w:t>
      </w:r>
      <w:r>
        <w:t xml:space="preserve">”</w:t>
      </w:r>
      <w:r>
        <w:t xml:space="preserve"> </w:t>
      </w:r>
      <w:r>
        <w:rPr>
          <w:bCs/>
          <w:b/>
        </w:rPr>
        <w:t xml:space="preserve">Skandasvāmī</w:t>
      </w:r>
      <w:r>
        <w:t xml:space="preserve">:</w:t>
      </w:r>
      <w:r>
        <w:t xml:space="preserve"> </w:t>
      </w:r>
      <w:r>
        <w:t xml:space="preserve">“</w:t>
      </w:r>
      <w:r>
        <w:rPr>
          <w:iCs/>
          <w:i/>
        </w:rPr>
        <w:t xml:space="preserve">yogaḥ udyogaḥ, utsāhaḥ, alabdha-lābho vā</w:t>
      </w:r>
      <w:r>
        <w:t xml:space="preserve">”</w:t>
      </w:r>
      <w:r>
        <w:t xml:space="preserve"> </w:t>
      </w:r>
      <w:r>
        <w:t xml:space="preserve">(योगः उद्योगः, उत्साहः, अलब्धलाभो वा —</w:t>
      </w:r>
      <w:r>
        <w:t xml:space="preserve"> </w:t>
      </w:r>
      <w:r>
        <w:t xml:space="preserve">“</w:t>
      </w:r>
      <w:r>
        <w:t xml:space="preserve">‘</w:t>
      </w:r>
      <w:r>
        <w:t xml:space="preserve">yoga</w:t>
      </w:r>
      <w:r>
        <w:t xml:space="preserve">’</w:t>
      </w:r>
      <w:r>
        <w:t xml:space="preserve"> </w:t>
      </w:r>
      <w:r>
        <w:t xml:space="preserve">is effort, enterprise; or the obtaining of what has not been obtained</w:t>
      </w:r>
      <w:r>
        <w:t xml:space="preserve">”</w:t>
      </w:r>
      <w:r>
        <w:t xml:space="preserve">). He explains it as effort, enterprise, or the attainment of a desired thing not yet obtained.</w:t>
      </w:r>
    </w:p>
    <w:p>
      <w:pPr>
        <w:pStyle w:val="BodyText"/>
      </w:pPr>
      <w:r>
        <w:rPr>
          <w:bCs/>
          <w:b/>
        </w:rPr>
        <w:t xml:space="preserve">पुरंध्याम् (puraṃdhyām)</w:t>
      </w:r>
      <w:r>
        <w:t xml:space="preserve"> </w:t>
      </w:r>
      <w:r>
        <w:t xml:space="preserve">— The Bhāṣyakāra gives two senses:</w:t>
      </w:r>
      <w:r>
        <w:t xml:space="preserve"> </w:t>
      </w:r>
      <w:r>
        <w:t xml:space="preserve">“</w:t>
      </w:r>
      <w:r>
        <w:t xml:space="preserve">young women</w:t>
      </w:r>
      <w:r>
        <w:t xml:space="preserve">”</w:t>
      </w:r>
      <w:r>
        <w:t xml:space="preserve"> </w:t>
      </w:r>
      <w:r>
        <w:t xml:space="preserve">(yoṣit) and</w:t>
      </w:r>
      <w:r>
        <w:t xml:space="preserve"> </w:t>
      </w:r>
      <w:r>
        <w:t xml:space="preserve">“</w:t>
      </w:r>
      <w:r>
        <w:t xml:space="preserve">understanding</w:t>
      </w:r>
      <w:r>
        <w:t xml:space="preserve">”</w:t>
      </w:r>
      <w:r>
        <w:t xml:space="preserve"> </w:t>
      </w:r>
      <w:r>
        <w:t xml:space="preserve">(prajñā). There is a Śruti sentence,</w:t>
      </w:r>
      <w:r>
        <w:t xml:space="preserve"> </w:t>
      </w:r>
      <w:r>
        <w:t xml:space="preserve">“</w:t>
      </w:r>
      <w:r>
        <w:rPr>
          <w:iCs/>
          <w:i/>
        </w:rPr>
        <w:t xml:space="preserve">puraṃdhir yoṣety āha</w:t>
      </w:r>
      <w:r>
        <w:t xml:space="preserve">”</w:t>
      </w:r>
      <w:r>
        <w:t xml:space="preserve"> </w:t>
      </w:r>
      <w:r>
        <w:t xml:space="preserve">(पुरंधिर्योषेत्याह —</w:t>
      </w:r>
      <w:r>
        <w:t xml:space="preserve"> </w:t>
      </w:r>
      <w:r>
        <w:t xml:space="preserve">“</w:t>
      </w:r>
      <w:r>
        <w:t xml:space="preserve">‘</w:t>
      </w:r>
      <w:r>
        <w:t xml:space="preserve">puraṃdhi</w:t>
      </w:r>
      <w:r>
        <w:t xml:space="preserve">’</w:t>
      </w:r>
      <w:r>
        <w:t xml:space="preserve"> </w:t>
      </w:r>
      <w:r>
        <w:t xml:space="preserve">means</w:t>
      </w:r>
      <w:r>
        <w:t xml:space="preserve"> </w:t>
      </w:r>
      <w:r>
        <w:t xml:space="preserve">‘</w:t>
      </w:r>
      <w:r>
        <w:t xml:space="preserve">a woman,</w:t>
      </w:r>
      <w:r>
        <w:t xml:space="preserve">’</w:t>
      </w:r>
      <w:r>
        <w:t xml:space="preserve"> </w:t>
      </w:r>
      <w:r>
        <w:t xml:space="preserve">it says,</w:t>
      </w:r>
      <w:r>
        <w:t xml:space="preserve">”</w:t>
      </w:r>
      <w:r>
        <w:t xml:space="preserve"> </w:t>
      </w:r>
      <w:r>
        <w:t xml:space="preserve">Taittirīya-brāhmaṇa [as printed</w:t>
      </w:r>
      <w:r>
        <w:t xml:space="preserve"> </w:t>
      </w:r>
      <w:r>
        <w:t xml:space="preserve">“</w:t>
      </w:r>
      <w:r>
        <w:t xml:space="preserve">tai. brā.</w:t>
      </w:r>
      <w:r>
        <w:t xml:space="preserve">”</w:t>
      </w:r>
      <w:r>
        <w:t xml:space="preserve">]).</w:t>
      </w:r>
      <w:r>
        <w:t xml:space="preserve"> </w:t>
      </w:r>
      <w:r>
        <w:rPr>
          <w:bCs/>
          <w:b/>
        </w:rPr>
        <w:t xml:space="preserve">Skandasvāmī</w:t>
      </w:r>
      <w:r>
        <w:t xml:space="preserve"> </w:t>
      </w:r>
      <w:r>
        <w:t xml:space="preserve">and</w:t>
      </w:r>
      <w:r>
        <w:t xml:space="preserve"> </w:t>
      </w:r>
      <w:r>
        <w:rPr>
          <w:bCs/>
          <w:b/>
        </w:rPr>
        <w:t xml:space="preserve">Veṅkaṭamādhava</w:t>
      </w:r>
      <w:r>
        <w:t xml:space="preserve"> </w:t>
      </w:r>
      <w:r>
        <w:t xml:space="preserve">have explained it as</w:t>
      </w:r>
      <w:r>
        <w:t xml:space="preserve"> </w:t>
      </w:r>
      <w:r>
        <w:t xml:space="preserve">“</w:t>
      </w:r>
      <w:r>
        <w:t xml:space="preserve">buddhi, knowledge, prajñā.</w:t>
      </w:r>
      <w:r>
        <w:t xml:space="preserve">”</w:t>
      </w:r>
      <w:r>
        <w:t xml:space="preserve"> </w:t>
      </w:r>
      <w:r>
        <w:rPr>
          <w:bCs/>
          <w:b/>
        </w:rPr>
        <w:t xml:space="preserve">Hillebrandt</w:t>
      </w:r>
      <w:r>
        <w:t xml:space="preserve"> </w:t>
      </w:r>
      <w:r>
        <w:t xml:space="preserve">has given this word many senses, among them</w:t>
      </w:r>
      <w:r>
        <w:t xml:space="preserve"> </w:t>
      </w:r>
      <w:r>
        <w:rPr>
          <w:iCs/>
          <w:i/>
        </w:rPr>
        <w:t xml:space="preserve">(English as printed)</w:t>
      </w:r>
      <w:r>
        <w:t xml:space="preserve"> </w:t>
      </w:r>
      <w:r>
        <w:t xml:space="preserve">“</w:t>
      </w:r>
      <w:r>
        <w:t xml:space="preserve">Active, Zealous, fertile, munificent, generous</w:t>
      </w:r>
      <w:r>
        <w:t xml:space="preserve">”</w:t>
      </w:r>
      <w:r>
        <w:t xml:space="preserve">; and in the Ṛks Ṛ. Saṃ. 5-42-5; 6-49-14; 6-21-9; 7-36-8; 7-39-4; 10-85-36 this word is used, he says, in the sense of</w:t>
      </w:r>
      <w:r>
        <w:t xml:space="preserve"> </w:t>
      </w:r>
      <w:r>
        <w:t xml:space="preserve">“</w:t>
      </w:r>
      <w:r>
        <w:rPr>
          <w:iCs/>
          <w:i/>
        </w:rPr>
        <w:t xml:space="preserve">Personified as a goddess of abundance and liberality</w:t>
      </w:r>
      <w:r>
        <w:t xml:space="preserve">.</w:t>
      </w:r>
      <w:r>
        <w:t xml:space="preserve">”</w:t>
      </w:r>
      <w:r>
        <w:t xml:space="preserve"> </w:t>
      </w:r>
      <w:r>
        <w:t xml:space="preserve">Western scholars have variously explained this word, according to the context, in the many Ṛks where it occurs; and the Bhāṣyakāra also gives different senses in different places. In their respective contexts these senses will be explained fully.</w:t>
      </w:r>
    </w:p>
    <w:p>
      <w:pPr>
        <w:pStyle w:val="BodyText"/>
      </w:pPr>
      <w:r>
        <w:rPr>
          <w:bCs/>
          <w:b/>
        </w:rPr>
        <w:t xml:space="preserve">॥ Vyākaraṇa-prakriyā ॥</w:t>
      </w:r>
      <w:r>
        <w:t xml:space="preserve"> </w:t>
      </w:r>
      <w:r>
        <w:rPr>
          <w:iCs/>
          <w:i/>
        </w:rPr>
        <w:t xml:space="preserve">(Kannada; re-read from the better scan, sūtras kept)</w:t>
      </w:r>
      <w:r>
        <w:t xml:space="preserve"> </w:t>
      </w:r>
      <w:r>
        <w:rPr>
          <w:bCs/>
          <w:b/>
        </w:rPr>
        <w:t xml:space="preserve">“</w:t>
      </w:r>
      <w:r>
        <w:rPr>
          <w:bCs/>
          <w:b/>
        </w:rPr>
        <w:t xml:space="preserve">Gha</w:t>
      </w:r>
      <w:r>
        <w:rPr>
          <w:bCs/>
          <w:b/>
        </w:rPr>
        <w:t xml:space="preserve">”</w:t>
      </w:r>
      <w:r>
        <w:t xml:space="preserve"> </w:t>
      </w:r>
      <w:r>
        <w:t xml:space="preserve">— as it belongs to the</w:t>
      </w:r>
      <w:r>
        <w:t xml:space="preserve"> </w:t>
      </w:r>
      <w:r>
        <w:t xml:space="preserve">“</w:t>
      </w:r>
      <w:r>
        <w:t xml:space="preserve">cādi</w:t>
      </w:r>
      <w:r>
        <w:t xml:space="preserve">”</w:t>
      </w:r>
      <w:r>
        <w:t xml:space="preserve"> </w:t>
      </w:r>
      <w:r>
        <w:t xml:space="preserve">class,</w:t>
      </w:r>
      <w:r>
        <w:t xml:space="preserve"> </w:t>
      </w:r>
      <w:r>
        <w:rPr>
          <w:bCs/>
          <w:b/>
        </w:rPr>
        <w:t xml:space="preserve">चादयोऽनुदात्ताः</w:t>
      </w:r>
      <w:r>
        <w:t xml:space="preserve"> </w:t>
      </w:r>
      <w:r>
        <w:t xml:space="preserve">(फि. सू. ८४) makes it unaccented. In the saṃhitā</w:t>
      </w:r>
      <w:r>
        <w:t xml:space="preserve"> </w:t>
      </w:r>
      <w:r>
        <w:rPr>
          <w:bCs/>
          <w:b/>
        </w:rPr>
        <w:t xml:space="preserve">ऋचि तुनुघमक्षुतङ्कुत्रोरुष्याणाम्</w:t>
      </w:r>
      <w:r>
        <w:t xml:space="preserve"> </w:t>
      </w:r>
      <w:r>
        <w:t xml:space="preserve">(पा. ६-३-१३३) lengthens the vowel: in the Ṛgveda</w:t>
      </w:r>
      <w:r>
        <w:t xml:space="preserve"> </w:t>
      </w:r>
      <w:r>
        <w:t xml:space="preserve">“</w:t>
      </w:r>
      <w:r>
        <w:t xml:space="preserve">tu,</w:t>
      </w:r>
      <w:r>
        <w:t xml:space="preserve">”</w:t>
      </w:r>
      <w:r>
        <w:t xml:space="preserve"> </w:t>
      </w:r>
      <w:r>
        <w:t xml:space="preserve">“</w:t>
      </w:r>
      <w:r>
        <w:t xml:space="preserve">nu,</w:t>
      </w:r>
      <w:r>
        <w:t xml:space="preserve">”</w:t>
      </w:r>
      <w:r>
        <w:t xml:space="preserve"> </w:t>
      </w:r>
      <w:r>
        <w:t xml:space="preserve">“</w:t>
      </w:r>
      <w:r>
        <w:t xml:space="preserve">gha,</w:t>
      </w:r>
      <w:r>
        <w:t xml:space="preserve">”</w:t>
      </w:r>
      <w:r>
        <w:t xml:space="preserve"> </w:t>
      </w:r>
      <w:r>
        <w:t xml:space="preserve">“</w:t>
      </w:r>
      <w:r>
        <w:t xml:space="preserve">makṣu,</w:t>
      </w:r>
      <w:r>
        <w:t xml:space="preserve">”</w:t>
      </w:r>
      <w:r>
        <w:t xml:space="preserve"> </w:t>
      </w:r>
      <w:r>
        <w:t xml:space="preserve">the</w:t>
      </w:r>
      <w:r>
        <w:t xml:space="preserve"> </w:t>
      </w:r>
      <w:r>
        <w:t xml:space="preserve">“</w:t>
      </w:r>
      <w:r>
        <w:t xml:space="preserve">t</w:t>
      </w:r>
      <w:r>
        <w:t xml:space="preserve">”</w:t>
      </w:r>
      <w:r>
        <w:t xml:space="preserve"> </w:t>
      </w:r>
      <w:r>
        <w:t xml:space="preserve">that comes as the</w:t>
      </w:r>
      <w:r>
        <w:t xml:space="preserve"> </w:t>
      </w:r>
      <w:r>
        <w:t xml:space="preserve">“</w:t>
      </w:r>
      <w:r>
        <w:t xml:space="preserve">ṅ</w:t>
      </w:r>
      <w:r>
        <w:t xml:space="preserve">”</w:t>
      </w:r>
      <w:r>
        <w:t xml:space="preserve">-marked substitute for</w:t>
      </w:r>
      <w:r>
        <w:t xml:space="preserve"> </w:t>
      </w:r>
      <w:r>
        <w:t xml:space="preserve">“</w:t>
      </w:r>
      <w:r>
        <w:t xml:space="preserve">tha,</w:t>
      </w:r>
      <w:r>
        <w:t xml:space="preserve">”</w:t>
      </w:r>
      <w:r>
        <w:t xml:space="preserve"> </w:t>
      </w:r>
      <w:r>
        <w:t xml:space="preserve">“</w:t>
      </w:r>
      <w:r>
        <w:t xml:space="preserve">ku,</w:t>
      </w:r>
      <w:r>
        <w:t xml:space="preserve">”</w:t>
      </w:r>
      <w:r>
        <w:t xml:space="preserve"> </w:t>
      </w:r>
      <w:r>
        <w:t xml:space="preserve">“</w:t>
      </w:r>
      <w:r>
        <w:t xml:space="preserve">tra</w:t>
      </w:r>
      <w:r>
        <w:t xml:space="preserve">”</w:t>
      </w:r>
      <w:r>
        <w:t xml:space="preserve"> </w:t>
      </w:r>
      <w:r>
        <w:t xml:space="preserve">and</w:t>
      </w:r>
      <w:r>
        <w:t xml:space="preserve"> </w:t>
      </w:r>
      <w:r>
        <w:t xml:space="preserve">“</w:t>
      </w:r>
      <w:r>
        <w:t xml:space="preserve">uruṣya</w:t>
      </w:r>
      <w:r>
        <w:t xml:space="preserve">”</w:t>
      </w:r>
      <w:r>
        <w:t xml:space="preserve"> </w:t>
      </w:r>
      <w:r>
        <w:t xml:space="preserve">are lengthened.</w:t>
      </w:r>
      <w:r>
        <w:t xml:space="preserve"> </w:t>
      </w:r>
      <w:r>
        <w:rPr>
          <w:bCs/>
          <w:b/>
        </w:rPr>
        <w:t xml:space="preserve">“</w:t>
      </w:r>
      <w:r>
        <w:rPr>
          <w:bCs/>
          <w:b/>
        </w:rPr>
        <w:t xml:space="preserve">Yoge</w:t>
      </w:r>
      <w:r>
        <w:rPr>
          <w:bCs/>
          <w:b/>
        </w:rPr>
        <w:t xml:space="preserve">”</w:t>
      </w:r>
      <w:r>
        <w:t xml:space="preserve"> </w:t>
      </w:r>
      <w:r>
        <w:t xml:space="preserve">— the word ending in the affix</w:t>
      </w:r>
      <w:r>
        <w:t xml:space="preserve"> </w:t>
      </w:r>
      <w:r>
        <w:t xml:space="preserve">“</w:t>
      </w:r>
      <w:r>
        <w:t xml:space="preserve">ghañ</w:t>
      </w:r>
      <w:r>
        <w:t xml:space="preserve">”</w:t>
      </w:r>
      <w:r>
        <w:t xml:space="preserve"> </w:t>
      </w:r>
      <w:r>
        <w:t xml:space="preserve">is first-syllable acute because the affix is</w:t>
      </w:r>
      <w:r>
        <w:t xml:space="preserve"> </w:t>
      </w:r>
      <w:r>
        <w:t xml:space="preserve">“</w:t>
      </w:r>
      <w:r>
        <w:t xml:space="preserve">ñ</w:t>
      </w:r>
      <w:r>
        <w:t xml:space="preserve">”</w:t>
      </w:r>
      <w:r>
        <w:t xml:space="preserve">-marked.</w:t>
      </w:r>
      <w:r>
        <w:t xml:space="preserve"> </w:t>
      </w:r>
      <w:r>
        <w:rPr>
          <w:bCs/>
          <w:b/>
        </w:rPr>
        <w:t xml:space="preserve">“</w:t>
      </w:r>
      <w:r>
        <w:rPr>
          <w:bCs/>
          <w:b/>
        </w:rPr>
        <w:t xml:space="preserve">Bhuvat</w:t>
      </w:r>
      <w:r>
        <w:rPr>
          <w:bCs/>
          <w:b/>
        </w:rPr>
        <w:t xml:space="preserve">”</w:t>
      </w:r>
      <w:r>
        <w:t xml:space="preserve"> </w:t>
      </w:r>
      <w:r>
        <w:t xml:space="preserve">— its sense is</w:t>
      </w:r>
      <w:r>
        <w:t xml:space="preserve"> </w:t>
      </w:r>
      <w:r>
        <w:t xml:space="preserve">“</w:t>
      </w:r>
      <w:r>
        <w:t xml:space="preserve">bhūyāt</w:t>
      </w:r>
      <w:r>
        <w:t xml:space="preserve">”</w:t>
      </w:r>
      <w:r>
        <w:t xml:space="preserve">; after the root</w:t>
      </w:r>
      <w:r>
        <w:t xml:space="preserve"> </w:t>
      </w:r>
      <w:r>
        <w:t xml:space="preserve">“</w:t>
      </w:r>
      <w:r>
        <w:t xml:space="preserve">bhū sattāyām,</w:t>
      </w:r>
      <w:r>
        <w:t xml:space="preserve">”</w:t>
      </w:r>
      <w:r>
        <w:t xml:space="preserve"> </w:t>
      </w:r>
      <w:r>
        <w:t xml:space="preserve">with the benedictive</w:t>
      </w:r>
      <w:r>
        <w:t xml:space="preserve"> </w:t>
      </w:r>
      <w:r>
        <w:t xml:space="preserve">“</w:t>
      </w:r>
      <w:r>
        <w:t xml:space="preserve">liṅ</w:t>
      </w:r>
      <w:r>
        <w:t xml:space="preserve">”</w:t>
      </w:r>
      <w:r>
        <w:t xml:space="preserve"> </w:t>
      </w:r>
      <w:r>
        <w:t xml:space="preserve">following,</w:t>
      </w:r>
      <w:r>
        <w:t xml:space="preserve"> </w:t>
      </w:r>
      <w:r>
        <w:rPr>
          <w:bCs/>
          <w:b/>
        </w:rPr>
        <w:t xml:space="preserve">लिङ्याशिष्यङ्</w:t>
      </w:r>
      <w:r>
        <w:t xml:space="preserve"> </w:t>
      </w:r>
      <w:r>
        <w:t xml:space="preserve">(</w:t>
      </w:r>
      <w:r>
        <w:rPr>
          <w:iCs/>
          <w:i/>
        </w:rPr>
        <w:t xml:space="preserve">liṅy āśiṣy aṅ</w:t>
      </w:r>
      <w:r>
        <w:t xml:space="preserve">, पा. ३-१-८६) gives the affix</w:t>
      </w:r>
      <w:r>
        <w:t xml:space="preserve"> </w:t>
      </w:r>
      <w:r>
        <w:t xml:space="preserve">“</w:t>
      </w:r>
      <w:r>
        <w:t xml:space="preserve">aṅ</w:t>
      </w:r>
      <w:r>
        <w:t xml:space="preserve">”</w:t>
      </w:r>
      <w:r>
        <w:t xml:space="preserve">; as the affix is</w:t>
      </w:r>
      <w:r>
        <w:t xml:space="preserve"> </w:t>
      </w:r>
      <w:r>
        <w:t xml:space="preserve">“</w:t>
      </w:r>
      <w:r>
        <w:t xml:space="preserve">ṅ</w:t>
      </w:r>
      <w:r>
        <w:t xml:space="preserve">”</w:t>
      </w:r>
      <w:r>
        <w:t xml:space="preserve">-marked,</w:t>
      </w:r>
      <w:r>
        <w:t xml:space="preserve"> </w:t>
      </w:r>
      <w:r>
        <w:rPr>
          <w:bCs/>
          <w:b/>
        </w:rPr>
        <w:t xml:space="preserve">क्ङिति च</w:t>
      </w:r>
      <w:r>
        <w:t xml:space="preserve"> </w:t>
      </w:r>
      <w:r>
        <w:t xml:space="preserve">(पा. १-१-५; printed</w:t>
      </w:r>
      <w:r>
        <w:t xml:space="preserve"> </w:t>
      </w:r>
      <w:r>
        <w:t xml:space="preserve">“</w:t>
      </w:r>
      <w:r>
        <w:t xml:space="preserve">1-15</w:t>
      </w:r>
      <w:r>
        <w:t xml:space="preserve">”</w:t>
      </w:r>
      <w:r>
        <w:t xml:space="preserve">) bars guṇa;</w:t>
      </w:r>
      <w:r>
        <w:t xml:space="preserve"> </w:t>
      </w:r>
      <w:r>
        <w:rPr>
          <w:bCs/>
          <w:b/>
        </w:rPr>
        <w:t xml:space="preserve">अचि श्नुधातुभ्रुवां य्वोरियङुवङौ</w:t>
      </w:r>
      <w:r>
        <w:t xml:space="preserve"> </w:t>
      </w:r>
      <w:r>
        <w:t xml:space="preserve">(पा. ६-४-७७) gives</w:t>
      </w:r>
      <w:r>
        <w:t xml:space="preserve"> </w:t>
      </w:r>
      <w:r>
        <w:t xml:space="preserve">“</w:t>
      </w:r>
      <w:r>
        <w:t xml:space="preserve">uvaṅ.</w:t>
      </w:r>
      <w:r>
        <w:t xml:space="preserve">”</w:t>
      </w:r>
      <w:r>
        <w:t xml:space="preserve"> </w:t>
      </w:r>
      <w:r>
        <w:t xml:space="preserve">By</w:t>
      </w:r>
      <w:r>
        <w:t xml:space="preserve"> </w:t>
      </w:r>
      <w:r>
        <w:rPr>
          <w:bCs/>
          <w:b/>
        </w:rPr>
        <w:t xml:space="preserve">अनित्यमागमशासनम्</w:t>
      </w:r>
      <w:r>
        <w:t xml:space="preserve"> </w:t>
      </w:r>
      <w:r>
        <w:t xml:space="preserve">(परिभाषा ९२-२) — the rules that prescribe augments are not binding — the augment</w:t>
      </w:r>
      <w:r>
        <w:t xml:space="preserve"> </w:t>
      </w:r>
      <w:r>
        <w:t xml:space="preserve">“</w:t>
      </w:r>
      <w:r>
        <w:t xml:space="preserve">yāsuṭ</w:t>
      </w:r>
      <w:r>
        <w:t xml:space="preserve">”</w:t>
      </w:r>
      <w:r>
        <w:t xml:space="preserve"> </w:t>
      </w:r>
      <w:r>
        <w:t xml:space="preserve">does not come, whether by Mādhavācārya’s view,</w:t>
      </w:r>
      <w:r>
        <w:t xml:space="preserve"> </w:t>
      </w:r>
      <w:r>
        <w:rPr>
          <w:bCs/>
          <w:b/>
        </w:rPr>
        <w:t xml:space="preserve">किदाशिषि</w:t>
      </w:r>
      <w:r>
        <w:t xml:space="preserve"> </w:t>
      </w:r>
      <w:r>
        <w:t xml:space="preserve">(पा. ३-४-१०४), or by the grammarians’ view,</w:t>
      </w:r>
      <w:r>
        <w:t xml:space="preserve"> </w:t>
      </w:r>
      <w:r>
        <w:rPr>
          <w:bCs/>
          <w:b/>
        </w:rPr>
        <w:t xml:space="preserve">यासुट् परस्मैपदेषूदात्तो ङिच्च</w:t>
      </w:r>
      <w:r>
        <w:t xml:space="preserve"> </w:t>
      </w:r>
      <w:r>
        <w:t xml:space="preserve">(पा. ३-४-१०३) …</w:t>
      </w:r>
      <w:r>
        <w:t xml:space="preserve"> </w:t>
      </w:r>
      <w:r>
        <w:rPr>
          <w:iCs/>
          <w:i/>
        </w:rPr>
        <w:t xml:space="preserve">(continued on the next page)</w:t>
      </w:r>
    </w:p>
    <w:bookmarkEnd w:id="197"/>
    <w:bookmarkStart w:id="198" w:name="Xb0b075aaa53ad1eb37ca8b3f0e8c2e85ff7f076"/>
    <w:p>
      <w:pPr>
        <w:pStyle w:val="Heading3"/>
      </w:pPr>
      <w:r>
        <w:t xml:space="preserve">Page 164 — Vyākaraṇa-prakriyā for Rik 5.3 concluded (characterized); end of Rik 5.3</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5.</w:t>
      </w:r>
      <w:r>
        <w:rPr>
          <w:iCs/>
          <w:i/>
        </w:rPr>
        <w:t xml:space="preserve">”</w:t>
      </w:r>
      <w:r>
        <w:rPr>
          <w:iCs/>
          <w:i/>
        </w:rPr>
        <w:t xml:space="preserve"> </w:t>
      </w:r>
      <w:r>
        <w:rPr>
          <w:iCs/>
          <w:i/>
        </w:rPr>
        <w:t xml:space="preserve">Pure grammar in Kannada prose,</w:t>
      </w:r>
      <w:r>
        <w:rPr>
          <w:iCs/>
          <w:i/>
        </w:rPr>
        <w:t xml:space="preserve"> </w:t>
      </w:r>
      <w:r>
        <w:rPr>
          <w:bCs/>
          <w:b/>
          <w:iCs/>
          <w:i/>
        </w:rPr>
        <w:t xml:space="preserve">characterized in outline</w:t>
      </w:r>
      <w:r>
        <w:rPr>
          <w:iCs/>
          <w:i/>
        </w:rPr>
        <w:t xml:space="preserve">; sūtras kept; numbers as read. It restates the Sanskrit of pp. 161–162 and does not affect the sense.)</w:t>
      </w:r>
    </w:p>
    <w:p>
      <w:pPr>
        <w:pStyle w:val="BodyText"/>
      </w:pPr>
      <w:r>
        <w:rPr>
          <w:iCs/>
          <w:i/>
        </w:rPr>
        <w:t xml:space="preserve">(Continuing</w:t>
      </w:r>
      <w:r>
        <w:rPr>
          <w:iCs/>
          <w:i/>
        </w:rPr>
        <w:t xml:space="preserve"> </w:t>
      </w:r>
      <w:r>
        <w:rPr>
          <w:iCs/>
          <w:i/>
        </w:rPr>
        <w:t xml:space="preserve">“</w:t>
      </w:r>
      <w:r>
        <w:rPr>
          <w:iCs/>
          <w:i/>
        </w:rPr>
        <w:t xml:space="preserve">bhuvat</w:t>
      </w:r>
      <w:r>
        <w:rPr>
          <w:iCs/>
          <w:i/>
        </w:rPr>
        <w:t xml:space="preserve">”</w:t>
      </w:r>
      <w:r>
        <w:rPr>
          <w:iCs/>
          <w:i/>
        </w:rPr>
        <w:t xml:space="preserve"> </w:t>
      </w:r>
      <w:r>
        <w:rPr>
          <w:iCs/>
          <w:i/>
        </w:rPr>
        <w:t xml:space="preserve">from p. 163:)</w:t>
      </w:r>
      <w:r>
        <w:t xml:space="preserve"> </w:t>
      </w:r>
      <w:r>
        <w:t xml:space="preserve">…the augment</w:t>
      </w:r>
      <w:r>
        <w:t xml:space="preserve"> </w:t>
      </w:r>
      <w:r>
        <w:t xml:space="preserve">“</w:t>
      </w:r>
      <w:r>
        <w:t xml:space="preserve">yāsuṭ</w:t>
      </w:r>
      <w:r>
        <w:t xml:space="preserve">”</w:t>
      </w:r>
      <w:r>
        <w:t xml:space="preserve"> </w:t>
      </w:r>
      <w:r>
        <w:t xml:space="preserve">does not arise in</w:t>
      </w:r>
      <w:r>
        <w:t xml:space="preserve"> </w:t>
      </w:r>
      <w:r>
        <w:t xml:space="preserve">“</w:t>
      </w:r>
      <w:r>
        <w:t xml:space="preserve">bhuvat</w:t>
      </w:r>
      <w:r>
        <w:t xml:space="preserve">”</w:t>
      </w:r>
      <w:r>
        <w:t xml:space="preserve"> </w:t>
      </w:r>
      <w:r>
        <w:t xml:space="preserve">(the verb is of the</w:t>
      </w:r>
      <w:r>
        <w:t xml:space="preserve"> </w:t>
      </w:r>
      <w:r>
        <w:t xml:space="preserve">“</w:t>
      </w:r>
      <w:r>
        <w:t xml:space="preserve">ap</w:t>
      </w:r>
      <w:r>
        <w:t xml:space="preserve">”</w:t>
      </w:r>
      <w:r>
        <w:t xml:space="preserve">-type,</w:t>
      </w:r>
      <w:r>
        <w:t xml:space="preserve"> </w:t>
      </w:r>
      <w:r>
        <w:rPr>
          <w:bCs/>
          <w:b/>
        </w:rPr>
        <w:t xml:space="preserve">लिङ्याशिषि</w:t>
      </w:r>
      <w:r>
        <w:t xml:space="preserve">, as above), and</w:t>
      </w:r>
      <w:r>
        <w:t xml:space="preserve"> </w:t>
      </w:r>
      <w:r>
        <w:t xml:space="preserve">“</w:t>
      </w:r>
      <w:r>
        <w:t xml:space="preserve">bhuvat</w:t>
      </w:r>
      <w:r>
        <w:t xml:space="preserve">”</w:t>
      </w:r>
      <w:r>
        <w:t xml:space="preserve"> </w:t>
      </w:r>
      <w:r>
        <w:t xml:space="preserve">is unaccented by</w:t>
      </w:r>
      <w:r>
        <w:t xml:space="preserve"> </w:t>
      </w:r>
      <w:r>
        <w:rPr>
          <w:bCs/>
          <w:b/>
        </w:rPr>
        <w:t xml:space="preserve">तिङ्ङतिङः</w:t>
      </w:r>
      <w:r>
        <w:t xml:space="preserve"> </w:t>
      </w:r>
      <w:r>
        <w:t xml:space="preserve">(पा. ८-१-२८).</w:t>
      </w:r>
      <w:r>
        <w:t xml:space="preserve"> </w:t>
      </w:r>
      <w:r>
        <w:rPr>
          <w:bCs/>
          <w:b/>
        </w:rPr>
        <w:t xml:space="preserve">“</w:t>
      </w:r>
      <w:r>
        <w:rPr>
          <w:bCs/>
          <w:b/>
        </w:rPr>
        <w:t xml:space="preserve">Rāye</w:t>
      </w:r>
      <w:r>
        <w:rPr>
          <w:bCs/>
          <w:b/>
        </w:rPr>
        <w:t xml:space="preserve">”</w:t>
      </w:r>
      <w:r>
        <w:t xml:space="preserve"> </w:t>
      </w:r>
      <w:r>
        <w:t xml:space="preserve">— the case-ending is acute because it follows</w:t>
      </w:r>
      <w:r>
        <w:t xml:space="preserve"> </w:t>
      </w:r>
      <w:r>
        <w:t xml:space="preserve">“</w:t>
      </w:r>
      <w:r>
        <w:t xml:space="preserve">rai,</w:t>
      </w:r>
      <w:r>
        <w:t xml:space="preserve">”</w:t>
      </w:r>
      <w:r>
        <w:t xml:space="preserve"> </w:t>
      </w:r>
      <w:r>
        <w:t xml:space="preserve">(</w:t>
      </w:r>
      <w:r>
        <w:rPr>
          <w:bCs/>
          <w:b/>
        </w:rPr>
        <w:t xml:space="preserve">ऊडिदम्पदाद्यप्पुम्रैद्युभ्यः</w:t>
      </w:r>
      <w:r>
        <w:t xml:space="preserve">, पा. ६-१-१७१; printed</w:t>
      </w:r>
      <w:r>
        <w:t xml:space="preserve"> </w:t>
      </w:r>
      <w:r>
        <w:t xml:space="preserve">“</w:t>
      </w:r>
      <w:r>
        <w:t xml:space="preserve">6-1-161</w:t>
      </w:r>
      <w:r>
        <w:t xml:space="preserve">”</w:t>
      </w:r>
      <w:r>
        <w:t xml:space="preserve">).</w:t>
      </w:r>
    </w:p>
    <w:p>
      <w:pPr>
        <w:pStyle w:val="BodyText"/>
      </w:pPr>
      <w:r>
        <w:rPr>
          <w:bCs/>
          <w:b/>
        </w:rPr>
        <w:t xml:space="preserve">“</w:t>
      </w:r>
      <w:r>
        <w:rPr>
          <w:bCs/>
          <w:b/>
        </w:rPr>
        <w:t xml:space="preserve">Puraṃdhyām</w:t>
      </w:r>
      <w:r>
        <w:rPr>
          <w:bCs/>
          <w:b/>
        </w:rPr>
        <w:t xml:space="preserve">”</w:t>
      </w:r>
      <w:r>
        <w:t xml:space="preserve"> </w:t>
      </w:r>
      <w:r>
        <w:t xml:space="preserve">—</w:t>
      </w:r>
      <w:r>
        <w:t xml:space="preserve"> </w:t>
      </w:r>
      <w:r>
        <w:t xml:space="preserve">“</w:t>
      </w:r>
      <w:r>
        <w:t xml:space="preserve">puru</w:t>
      </w:r>
      <w:r>
        <w:t xml:space="preserve">”</w:t>
      </w:r>
      <w:r>
        <w:t xml:space="preserve"> </w:t>
      </w:r>
      <w:r>
        <w:t xml:space="preserve">=</w:t>
      </w:r>
      <w:r>
        <w:t xml:space="preserve"> </w:t>
      </w:r>
      <w:r>
        <w:t xml:space="preserve">“</w:t>
      </w:r>
      <w:r>
        <w:t xml:space="preserve">many-kinded,</w:t>
      </w:r>
      <w:r>
        <w:t xml:space="preserve">”</w:t>
      </w:r>
      <w:r>
        <w:t xml:space="preserve"> </w:t>
      </w:r>
      <w:r>
        <w:t xml:space="preserve">“</w:t>
      </w:r>
      <w:r>
        <w:t xml:space="preserve">dhī</w:t>
      </w:r>
      <w:r>
        <w:t xml:space="preserve">”</w:t>
      </w:r>
      <w:r>
        <w:t xml:space="preserve"> </w:t>
      </w:r>
      <w:r>
        <w:t xml:space="preserve">=</w:t>
      </w:r>
      <w:r>
        <w:t xml:space="preserve"> </w:t>
      </w:r>
      <w:r>
        <w:t xml:space="preserve">“</w:t>
      </w:r>
      <w:r>
        <w:t xml:space="preserve">understanding</w:t>
      </w:r>
      <w:r>
        <w:t xml:space="preserve">”</w:t>
      </w:r>
      <w:r>
        <w:t xml:space="preserve">; from the words</w:t>
      </w:r>
      <w:r>
        <w:t xml:space="preserve"> </w:t>
      </w:r>
      <w:r>
        <w:t xml:space="preserve">“</w:t>
      </w:r>
      <w:r>
        <w:t xml:space="preserve">puru</w:t>
      </w:r>
      <w:r>
        <w:t xml:space="preserve">”</w:t>
      </w:r>
      <w:r>
        <w:t xml:space="preserve"> </w:t>
      </w:r>
      <w:r>
        <w:t xml:space="preserve">and</w:t>
      </w:r>
      <w:r>
        <w:t xml:space="preserve"> </w:t>
      </w:r>
      <w:r>
        <w:t xml:space="preserve">“</w:t>
      </w:r>
      <w:r>
        <w:t xml:space="preserve">dhī,</w:t>
      </w:r>
      <w:r>
        <w:t xml:space="preserve">”</w:t>
      </w:r>
      <w:r>
        <w:t xml:space="preserve"> </w:t>
      </w:r>
      <w:r>
        <w:t xml:space="preserve">by the rule</w:t>
      </w:r>
      <w:r>
        <w:t xml:space="preserve"> </w:t>
      </w:r>
      <w:r>
        <w:rPr>
          <w:bCs/>
          <w:b/>
        </w:rPr>
        <w:t xml:space="preserve">पृषोदरादीनि यथोपदिष्टम्</w:t>
      </w:r>
      <w:r>
        <w:t xml:space="preserve"> </w:t>
      </w:r>
      <w:r>
        <w:t xml:space="preserve">(पा. ६-३-१०९) —</w:t>
      </w:r>
      <w:r>
        <w:t xml:space="preserve"> </w:t>
      </w:r>
      <w:r>
        <w:t xml:space="preserve">“</w:t>
      </w:r>
      <w:r>
        <w:t xml:space="preserve">pṛṣodara</w:t>
      </w:r>
      <w:r>
        <w:t xml:space="preserve">”</w:t>
      </w:r>
      <w:r>
        <w:t xml:space="preserve"> </w:t>
      </w:r>
      <w:r>
        <w:t xml:space="preserve">and the like, formed as taught, (according to the usage of the learned) — the word</w:t>
      </w:r>
      <w:r>
        <w:t xml:space="preserve"> </w:t>
      </w:r>
      <w:r>
        <w:t xml:space="preserve">“</w:t>
      </w:r>
      <w:r>
        <w:t xml:space="preserve">puraṃdhi</w:t>
      </w:r>
      <w:r>
        <w:t xml:space="preserve">”</w:t>
      </w:r>
      <w:r>
        <w:t xml:space="preserve"> </w:t>
      </w:r>
      <w:r>
        <w:t xml:space="preserve">is obtained;</w:t>
      </w:r>
      <w:r>
        <w:t xml:space="preserve"> </w:t>
      </w:r>
      <w:r>
        <w:t xml:space="preserve">“</w:t>
      </w:r>
      <w:r>
        <w:t xml:space="preserve">ādi</w:t>
      </w:r>
      <w:r>
        <w:t xml:space="preserve">”</w:t>
      </w:r>
      <w:r>
        <w:t xml:space="preserve"> </w:t>
      </w:r>
      <w:r>
        <w:t xml:space="preserve">here means</w:t>
      </w:r>
      <w:r>
        <w:t xml:space="preserve"> </w:t>
      </w:r>
      <w:r>
        <w:t xml:space="preserve">“</w:t>
      </w:r>
      <w:r>
        <w:t xml:space="preserve">variety.</w:t>
      </w:r>
      <w:r>
        <w:t xml:space="preserve">”</w:t>
      </w:r>
      <w:r>
        <w:t xml:space="preserve"> </w:t>
      </w:r>
      <w:r>
        <w:t xml:space="preserve">The print notes that, though</w:t>
      </w:r>
      <w:r>
        <w:t xml:space="preserve"> </w:t>
      </w:r>
      <w:r>
        <w:t xml:space="preserve">“</w:t>
      </w:r>
      <w:r>
        <w:t xml:space="preserve">puru + dhī</w:t>
      </w:r>
      <w:r>
        <w:t xml:space="preserve">”</w:t>
      </w:r>
      <w:r>
        <w:t xml:space="preserve"> </w:t>
      </w:r>
      <w:r>
        <w:t xml:space="preserve">would give</w:t>
      </w:r>
      <w:r>
        <w:t xml:space="preserve"> </w:t>
      </w:r>
      <w:r>
        <w:t xml:space="preserve">“</w:t>
      </w:r>
      <w:r>
        <w:t xml:space="preserve">puru + dhī</w:t>
      </w:r>
      <w:r>
        <w:t xml:space="preserve">”</w:t>
      </w:r>
      <w:r>
        <w:t xml:space="preserve"> </w:t>
      </w:r>
      <w:r>
        <w:t xml:space="preserve">with the</w:t>
      </w:r>
      <w:r>
        <w:t xml:space="preserve"> </w:t>
      </w:r>
      <w:r>
        <w:t xml:space="preserve">“</w:t>
      </w:r>
      <w:r>
        <w:t xml:space="preserve">am</w:t>
      </w:r>
      <w:r>
        <w:t xml:space="preserve">”</w:t>
      </w:r>
      <w:r>
        <w:t xml:space="preserve"> </w:t>
      </w:r>
      <w:r>
        <w:t xml:space="preserve">augment and the</w:t>
      </w:r>
      <w:r>
        <w:t xml:space="preserve"> </w:t>
      </w:r>
      <w:r>
        <w:t xml:space="preserve">“</w:t>
      </w:r>
      <w:r>
        <w:t xml:space="preserve">ī</w:t>
      </w:r>
      <w:r>
        <w:t xml:space="preserve">”</w:t>
      </w:r>
      <w:r>
        <w:t xml:space="preserve"> </w:t>
      </w:r>
      <w:r>
        <w:t xml:space="preserve">shortened by grammar, learned usage has</w:t>
      </w:r>
      <w:r>
        <w:t xml:space="preserve"> </w:t>
      </w:r>
      <w:r>
        <w:t xml:space="preserve">“</w:t>
      </w:r>
      <w:r>
        <w:t xml:space="preserve">puraṃdhi,</w:t>
      </w:r>
      <w:r>
        <w:t xml:space="preserve">”</w:t>
      </w:r>
      <w:r>
        <w:t xml:space="preserve"> </w:t>
      </w:r>
      <w:r>
        <w:t xml:space="preserve">so the word is</w:t>
      </w:r>
      <w:r>
        <w:t xml:space="preserve"> </w:t>
      </w:r>
      <w:r>
        <w:t xml:space="preserve">“</w:t>
      </w:r>
      <w:r>
        <w:t xml:space="preserve">established by the rule</w:t>
      </w:r>
      <w:r>
        <w:t xml:space="preserve"> </w:t>
      </w:r>
      <w:r>
        <w:t xml:space="preserve">‘</w:t>
      </w:r>
      <w:r>
        <w:t xml:space="preserve">pṛṣodarādīni</w:t>
      </w:r>
      <w:r>
        <w:t xml:space="preserve">’</w:t>
      </w:r>
      <w:r>
        <w:t xml:space="preserve">.</w:t>
      </w:r>
      <w:r>
        <w:t xml:space="preserve">”</w:t>
      </w:r>
      <w:r>
        <w:t xml:space="preserve"> </w:t>
      </w:r>
      <w:r>
        <w:t xml:space="preserve">By</w:t>
      </w:r>
      <w:r>
        <w:t xml:space="preserve"> </w:t>
      </w:r>
      <w:r>
        <w:rPr>
          <w:bCs/>
          <w:b/>
        </w:rPr>
        <w:t xml:space="preserve">आद्युदात्तप्रकरणे दिवोदासादीनां छन्दस्युपसंख्यानम्</w:t>
      </w:r>
      <w:r>
        <w:t xml:space="preserve"> </w:t>
      </w:r>
      <w:r>
        <w:t xml:space="preserve">(पा. ६-२-९१-वा. १) — in the Veda, words of the</w:t>
      </w:r>
      <w:r>
        <w:t xml:space="preserve"> </w:t>
      </w:r>
      <w:r>
        <w:t xml:space="preserve">“</w:t>
      </w:r>
      <w:r>
        <w:t xml:space="preserve">divodāsa</w:t>
      </w:r>
      <w:r>
        <w:t xml:space="preserve">”</w:t>
      </w:r>
      <w:r>
        <w:t xml:space="preserve">-class are added to the section of first-syllable-acute words — the accent is first-syllable acute.</w:t>
      </w:r>
      <w:r>
        <w:t xml:space="preserve"> </w:t>
      </w:r>
      <w:r>
        <w:rPr>
          <w:iCs/>
          <w:i/>
        </w:rPr>
        <w:t xml:space="preserve">Alternatively</w:t>
      </w:r>
      <w:r>
        <w:t xml:space="preserve">,</w:t>
      </w:r>
      <w:r>
        <w:t xml:space="preserve"> </w:t>
      </w:r>
      <w:r>
        <w:t xml:space="preserve">“</w:t>
      </w:r>
      <w:r>
        <w:t xml:space="preserve">puraṃ śarīraṃ dhīyate ’syām</w:t>
      </w:r>
      <w:r>
        <w:t xml:space="preserve">”</w:t>
      </w:r>
      <w:r>
        <w:t xml:space="preserve"> </w:t>
      </w:r>
      <w:r>
        <w:t xml:space="preserve">—</w:t>
      </w:r>
      <w:r>
        <w:t xml:space="preserve"> </w:t>
      </w:r>
      <w:r>
        <w:t xml:space="preserve">“</w:t>
      </w:r>
      <w:r>
        <w:t xml:space="preserve">that in which the body is placed</w:t>
      </w:r>
      <w:r>
        <w:t xml:space="preserve">”</w:t>
      </w:r>
      <w:r>
        <w:t xml:space="preserve"> </w:t>
      </w:r>
      <w:r>
        <w:t xml:space="preserve">—</w:t>
      </w:r>
      <w:r>
        <w:t xml:space="preserve"> </w:t>
      </w:r>
      <w:r>
        <w:rPr>
          <w:bCs/>
          <w:b/>
        </w:rPr>
        <w:t xml:space="preserve">कर्मण्यधिकरणे च</w:t>
      </w:r>
      <w:r>
        <w:t xml:space="preserve"> </w:t>
      </w:r>
      <w:r>
        <w:t xml:space="preserve">(पा. ३-३-९३) — the affix</w:t>
      </w:r>
      <w:r>
        <w:t xml:space="preserve"> </w:t>
      </w:r>
      <w:r>
        <w:t xml:space="preserve">“</w:t>
      </w:r>
      <w:r>
        <w:t xml:space="preserve">ki</w:t>
      </w:r>
      <w:r>
        <w:t xml:space="preserve">”</w:t>
      </w:r>
      <w:r>
        <w:t xml:space="preserve"> </w:t>
      </w:r>
      <w:r>
        <w:t xml:space="preserve">after a root of the</w:t>
      </w:r>
      <w:r>
        <w:t xml:space="preserve"> </w:t>
      </w:r>
      <w:r>
        <w:t xml:space="preserve">“</w:t>
      </w:r>
      <w:r>
        <w:t xml:space="preserve">ghu</w:t>
      </w:r>
      <w:r>
        <w:t xml:space="preserve">”</w:t>
      </w:r>
      <w:r>
        <w:t xml:space="preserve"> </w:t>
      </w:r>
      <w:r>
        <w:t xml:space="preserve">class (</w:t>
      </w:r>
      <w:r>
        <w:t xml:space="preserve">“</w:t>
      </w:r>
      <w:r>
        <w:t xml:space="preserve">dā/dhā</w:t>
      </w:r>
      <w:r>
        <w:t xml:space="preserve">”</w:t>
      </w:r>
      <w:r>
        <w:t xml:space="preserve">) when a word in the objective case is the upapada and the sense is locative:</w:t>
      </w:r>
      <w:r>
        <w:t xml:space="preserve"> </w:t>
      </w:r>
      <w:r>
        <w:t xml:space="preserve">“</w:t>
      </w:r>
      <w:r>
        <w:t xml:space="preserve">puraṃ + dhā + ki</w:t>
      </w:r>
      <w:r>
        <w:t xml:space="preserve">”</w:t>
      </w:r>
      <w:r>
        <w:t xml:space="preserve"> </w:t>
      </w:r>
      <w:r>
        <w:t xml:space="preserve">=</w:t>
      </w:r>
      <w:r>
        <w:t xml:space="preserve"> </w:t>
      </w:r>
      <w:r>
        <w:t xml:space="preserve">“</w:t>
      </w:r>
      <w:r>
        <w:t xml:space="preserve">puraṃdhi</w:t>
      </w:r>
      <w:r>
        <w:t xml:space="preserve">”</w:t>
      </w:r>
      <w:r>
        <w:t xml:space="preserve">; the</w:t>
      </w:r>
      <w:r>
        <w:t xml:space="preserve"> </w:t>
      </w:r>
      <w:r>
        <w:t xml:space="preserve">“</w:t>
      </w:r>
      <w:r>
        <w:t xml:space="preserve">ā</w:t>
      </w:r>
      <w:r>
        <w:t xml:space="preserve">”</w:t>
      </w:r>
      <w:r>
        <w:t xml:space="preserve"> </w:t>
      </w:r>
      <w:r>
        <w:t xml:space="preserve">of the root is elided by</w:t>
      </w:r>
      <w:r>
        <w:t xml:space="preserve"> </w:t>
      </w:r>
      <w:r>
        <w:rPr>
          <w:bCs/>
          <w:b/>
        </w:rPr>
        <w:t xml:space="preserve">आतो लोप इटि च</w:t>
      </w:r>
      <w:r>
        <w:t xml:space="preserve"> </w:t>
      </w:r>
      <w:r>
        <w:t xml:space="preserve">(पा. ६-४-६४; printed</w:t>
      </w:r>
      <w:r>
        <w:t xml:space="preserve"> </w:t>
      </w:r>
      <w:r>
        <w:t xml:space="preserve">“</w:t>
      </w:r>
      <w:r>
        <w:t xml:space="preserve">6-3-64</w:t>
      </w:r>
      <w:r>
        <w:t xml:space="preserve">”</w:t>
      </w:r>
      <w:r>
        <w:t xml:space="preserve">); the elision of the case-ending</w:t>
      </w:r>
      <w:r>
        <w:t xml:space="preserve"> </w:t>
      </w:r>
      <w:r>
        <w:t xml:space="preserve">“</w:t>
      </w:r>
      <w:r>
        <w:t xml:space="preserve">am</w:t>
      </w:r>
      <w:r>
        <w:t xml:space="preserve">”</w:t>
      </w:r>
      <w:r>
        <w:t xml:space="preserve"> </w:t>
      </w:r>
      <w:r>
        <w:t xml:space="preserve">that</w:t>
      </w:r>
      <w:r>
        <w:t xml:space="preserve"> </w:t>
      </w:r>
      <w:r>
        <w:rPr>
          <w:bCs/>
          <w:b/>
        </w:rPr>
        <w:t xml:space="preserve">सुपो धातुप्रातिपदिकयोः</w:t>
      </w:r>
      <w:r>
        <w:t xml:space="preserve"> </w:t>
      </w:r>
      <w:r>
        <w:t xml:space="preserve">(पा. २-४-७१) would prescribe does not occur, being Vedic. The word</w:t>
      </w:r>
      <w:r>
        <w:t xml:space="preserve"> </w:t>
      </w:r>
      <w:r>
        <w:t xml:space="preserve">“</w:t>
      </w:r>
      <w:r>
        <w:t xml:space="preserve">pura</w:t>
      </w:r>
      <w:r>
        <w:t xml:space="preserve">”</w:t>
      </w:r>
      <w:r>
        <w:t xml:space="preserve"> </w:t>
      </w:r>
      <w:r>
        <w:t xml:space="preserve">has first-syllable acute by</w:t>
      </w:r>
      <w:r>
        <w:t xml:space="preserve"> </w:t>
      </w:r>
      <w:r>
        <w:rPr>
          <w:bCs/>
          <w:b/>
        </w:rPr>
        <w:t xml:space="preserve">नब्विषयस्यानिसन्तस्य</w:t>
      </w:r>
      <w:r>
        <w:t xml:space="preserve"> </w:t>
      </w:r>
      <w:r>
        <w:t xml:space="preserve">(फि. सू. २६); but as</w:t>
      </w:r>
      <w:r>
        <w:t xml:space="preserve"> </w:t>
      </w:r>
      <w:r>
        <w:t xml:space="preserve">“</w:t>
      </w:r>
      <w:r>
        <w:t xml:space="preserve">puraṃdhi</w:t>
      </w:r>
      <w:r>
        <w:t xml:space="preserve">”</w:t>
      </w:r>
      <w:r>
        <w:t xml:space="preserve"> </w:t>
      </w:r>
      <w:r>
        <w:t xml:space="preserve">belongs to the</w:t>
      </w:r>
      <w:r>
        <w:t xml:space="preserve"> </w:t>
      </w:r>
      <w:r>
        <w:t xml:space="preserve">“</w:t>
      </w:r>
      <w:r>
        <w:t xml:space="preserve">dāsībhārādi</w:t>
      </w:r>
      <w:r>
        <w:t xml:space="preserve">”</w:t>
      </w:r>
      <w:r>
        <w:t xml:space="preserve"> </w:t>
      </w:r>
      <w:r>
        <w:t xml:space="preserve">class, its first member keeps its natural accent:</w:t>
      </w:r>
      <w:r>
        <w:t xml:space="preserve"> </w:t>
      </w:r>
      <w:r>
        <w:rPr>
          <w:bCs/>
          <w:b/>
        </w:rPr>
        <w:t xml:space="preserve">कुरुगार्हपतरिक्तगुर्वसूतजरत्यश्लीलदृढरूपापारेवडवातैतिलकद्रूः पण्यकम्बलो दासीभाराणां च</w:t>
      </w:r>
      <w:r>
        <w:t xml:space="preserve"> </w:t>
      </w:r>
      <w:r>
        <w:t xml:space="preserve">(पा. ६-२-४२) —</w:t>
      </w:r>
      <w:r>
        <w:t xml:space="preserve"> </w:t>
      </w:r>
      <w:r>
        <w:t xml:space="preserve">“</w:t>
      </w:r>
      <w:r>
        <w:t xml:space="preserve">these seven compounds, and compounds beginning with</w:t>
      </w:r>
      <w:r>
        <w:t xml:space="preserve"> </w:t>
      </w:r>
      <w:r>
        <w:t xml:space="preserve">‘</w:t>
      </w:r>
      <w:r>
        <w:t xml:space="preserve">dāsī-bhāra,</w:t>
      </w:r>
      <w:r>
        <w:t xml:space="preserve">’</w:t>
      </w:r>
      <w:r>
        <w:t xml:space="preserve"> </w:t>
      </w:r>
      <w:r>
        <w:t xml:space="preserve">keep the first member’s own accent</w:t>
      </w:r>
      <w:r>
        <w:t xml:space="preserve">”</w:t>
      </w:r>
      <w:r>
        <w:t xml:space="preserve"> </w:t>
      </w:r>
      <w:r>
        <w:t xml:space="preserve">— so, as a member of the</w:t>
      </w:r>
      <w:r>
        <w:t xml:space="preserve"> </w:t>
      </w:r>
      <w:r>
        <w:t xml:space="preserve">“</w:t>
      </w:r>
      <w:r>
        <w:t xml:space="preserve">dāsībhārādi</w:t>
      </w:r>
      <w:r>
        <w:t xml:space="preserve">”</w:t>
      </w:r>
      <w:r>
        <w:t xml:space="preserve"> </w:t>
      </w:r>
      <w:r>
        <w:t xml:space="preserve">class,</w:t>
      </w:r>
      <w:r>
        <w:t xml:space="preserve"> </w:t>
      </w:r>
      <w:r>
        <w:t xml:space="preserve">“</w:t>
      </w:r>
      <w:r>
        <w:t xml:space="preserve">puraṃdhi</w:t>
      </w:r>
      <w:r>
        <w:t xml:space="preserve">”</w:t>
      </w:r>
      <w:r>
        <w:t xml:space="preserve"> </w:t>
      </w:r>
      <w:r>
        <w:t xml:space="preserve">keeps its first member’s accent; it is first-syllable acute.</w:t>
      </w:r>
    </w:p>
    <w:p>
      <w:pPr>
        <w:pStyle w:val="BodyText"/>
      </w:pPr>
      <w:r>
        <w:rPr>
          <w:bCs/>
          <w:b/>
        </w:rPr>
        <w:t xml:space="preserve">“</w:t>
      </w:r>
      <w:r>
        <w:rPr>
          <w:bCs/>
          <w:b/>
        </w:rPr>
        <w:t xml:space="preserve">Gamat</w:t>
      </w:r>
      <w:r>
        <w:rPr>
          <w:bCs/>
          <w:b/>
        </w:rPr>
        <w:t xml:space="preserve">”</w:t>
      </w:r>
      <w:r>
        <w:t xml:space="preserve"> </w:t>
      </w:r>
      <w:r>
        <w:t xml:space="preserve">— the root</w:t>
      </w:r>
      <w:r>
        <w:t xml:space="preserve"> </w:t>
      </w:r>
      <w:r>
        <w:t xml:space="preserve">“</w:t>
      </w:r>
      <w:r>
        <w:t xml:space="preserve">gam gatau,</w:t>
      </w:r>
      <w:r>
        <w:t xml:space="preserve">”</w:t>
      </w:r>
      <w:r>
        <w:t xml:space="preserve"> </w:t>
      </w:r>
      <w:r>
        <w:t xml:space="preserve">the</w:t>
      </w:r>
      <w:r>
        <w:t xml:space="preserve"> </w:t>
      </w:r>
      <w:r>
        <w:t xml:space="preserve">“</w:t>
      </w:r>
      <w:r>
        <w:t xml:space="preserve">leṭ</w:t>
      </w:r>
      <w:r>
        <w:t xml:space="preserve">”</w:t>
      </w:r>
      <w:r>
        <w:t xml:space="preserve"> </w:t>
      </w:r>
      <w:r>
        <w:t xml:space="preserve">(a Vedic mood) with the third-person singular</w:t>
      </w:r>
      <w:r>
        <w:t xml:space="preserve"> </w:t>
      </w:r>
      <w:r>
        <w:t xml:space="preserve">“</w:t>
      </w:r>
      <w:r>
        <w:t xml:space="preserve">tip</w:t>
      </w:r>
      <w:r>
        <w:t xml:space="preserve">”</w:t>
      </w:r>
      <w:r>
        <w:t xml:space="preserve">;</w:t>
      </w:r>
      <w:r>
        <w:t xml:space="preserve"> </w:t>
      </w:r>
      <w:r>
        <w:rPr>
          <w:bCs/>
          <w:b/>
        </w:rPr>
        <w:t xml:space="preserve">बहुलं छन्दसि</w:t>
      </w:r>
      <w:r>
        <w:t xml:space="preserve"> </w:t>
      </w:r>
      <w:r>
        <w:t xml:space="preserve">(पा. २-४-७३) makes</w:t>
      </w:r>
      <w:r>
        <w:t xml:space="preserve"> </w:t>
      </w:r>
      <w:r>
        <w:t xml:space="preserve">“</w:t>
      </w:r>
      <w:r>
        <w:t xml:space="preserve">śap</w:t>
      </w:r>
      <w:r>
        <w:t xml:space="preserve">”</w:t>
      </w:r>
      <w:r>
        <w:t xml:space="preserve"> </w:t>
      </w:r>
      <w:r>
        <w:t xml:space="preserve">optional (</w:t>
      </w:r>
      <w:r>
        <w:t xml:space="preserve">“</w:t>
      </w:r>
      <w:r>
        <w:t xml:space="preserve">luk</w:t>
      </w:r>
      <w:r>
        <w:t xml:space="preserve">”</w:t>
      </w:r>
      <w:r>
        <w:t xml:space="preserve">);</w:t>
      </w:r>
      <w:r>
        <w:t xml:space="preserve"> </w:t>
      </w:r>
      <w:r>
        <w:rPr>
          <w:bCs/>
          <w:b/>
        </w:rPr>
        <w:t xml:space="preserve">इतश्च लोपः परस्मैपदेषु</w:t>
      </w:r>
      <w:r>
        <w:t xml:space="preserve"> </w:t>
      </w:r>
      <w:r>
        <w:t xml:space="preserve">(पा. ३-४-९७) elides the</w:t>
      </w:r>
      <w:r>
        <w:t xml:space="preserve"> </w:t>
      </w:r>
      <w:r>
        <w:t xml:space="preserve">“</w:t>
      </w:r>
      <w:r>
        <w:t xml:space="preserve">i</w:t>
      </w:r>
      <w:r>
        <w:t xml:space="preserve">”</w:t>
      </w:r>
      <w:r>
        <w:t xml:space="preserve"> </w:t>
      </w:r>
      <w:r>
        <w:t xml:space="preserve">of</w:t>
      </w:r>
      <w:r>
        <w:t xml:space="preserve"> </w:t>
      </w:r>
      <w:r>
        <w:t xml:space="preserve">“</w:t>
      </w:r>
      <w:r>
        <w:t xml:space="preserve">tip</w:t>
      </w:r>
      <w:r>
        <w:t xml:space="preserve">”</w:t>
      </w:r>
      <w:r>
        <w:t xml:space="preserve">;</w:t>
      </w:r>
      <w:r>
        <w:t xml:space="preserve"> </w:t>
      </w:r>
      <w:r>
        <w:rPr>
          <w:bCs/>
          <w:b/>
        </w:rPr>
        <w:t xml:space="preserve">लेटोऽडाटौ</w:t>
      </w:r>
      <w:r>
        <w:t xml:space="preserve"> </w:t>
      </w:r>
      <w:r>
        <w:t xml:space="preserve">(पा. ३-४-९४) gives the augment</w:t>
      </w:r>
      <w:r>
        <w:t xml:space="preserve"> </w:t>
      </w:r>
      <w:r>
        <w:t xml:space="preserve">“</w:t>
      </w:r>
      <w:r>
        <w:t xml:space="preserve">aṭ</w:t>
      </w:r>
      <w:r>
        <w:t xml:space="preserve">”</w:t>
      </w:r>
      <w:r>
        <w:t xml:space="preserve"> </w:t>
      </w:r>
      <w:r>
        <w:t xml:space="preserve">or</w:t>
      </w:r>
      <w:r>
        <w:t xml:space="preserve"> </w:t>
      </w:r>
      <w:r>
        <w:t xml:space="preserve">“</w:t>
      </w:r>
      <w:r>
        <w:t xml:space="preserve">āṭ</w:t>
      </w:r>
      <w:r>
        <w:t xml:space="preserve">”</w:t>
      </w:r>
      <w:r>
        <w:t xml:space="preserve"> </w:t>
      </w:r>
      <w:r>
        <w:t xml:space="preserve">to</w:t>
      </w:r>
      <w:r>
        <w:t xml:space="preserve"> </w:t>
      </w:r>
      <w:r>
        <w:t xml:space="preserve">“</w:t>
      </w:r>
      <w:r>
        <w:t xml:space="preserve">leṭ,</w:t>
      </w:r>
      <w:r>
        <w:t xml:space="preserve">”</w:t>
      </w:r>
      <w:r>
        <w:t xml:space="preserve"> </w:t>
      </w:r>
      <w:r>
        <w:t xml:space="preserve">and since they are</w:t>
      </w:r>
      <w:r>
        <w:t xml:space="preserve"> </w:t>
      </w:r>
      <w:r>
        <w:t xml:space="preserve">“</w:t>
      </w:r>
      <w:r>
        <w:t xml:space="preserve">p</w:t>
      </w:r>
      <w:r>
        <w:t xml:space="preserve">”</w:t>
      </w:r>
      <w:r>
        <w:t xml:space="preserve">-marked [the print says</w:t>
      </w:r>
      <w:r>
        <w:t xml:space="preserve"> </w:t>
      </w:r>
      <w:r>
        <w:t xml:space="preserve">“</w:t>
      </w:r>
      <w:r>
        <w:t xml:space="preserve">pit</w:t>
      </w:r>
      <w:r>
        <w:t xml:space="preserve">”</w:t>
      </w:r>
      <w:r>
        <w:t xml:space="preserve">], the augment</w:t>
      </w:r>
      <w:r>
        <w:t xml:space="preserve"> </w:t>
      </w:r>
      <w:r>
        <w:t xml:space="preserve">“</w:t>
      </w:r>
      <w:r>
        <w:t xml:space="preserve">aṭ</w:t>
      </w:r>
      <w:r>
        <w:t xml:space="preserve">”</w:t>
      </w:r>
      <w:r>
        <w:t xml:space="preserve"> </w:t>
      </w:r>
      <w:r>
        <w:t xml:space="preserve">is added to</w:t>
      </w:r>
      <w:r>
        <w:t xml:space="preserve"> </w:t>
      </w:r>
      <w:r>
        <w:t xml:space="preserve">“</w:t>
      </w:r>
      <w:r>
        <w:t xml:space="preserve">gam</w:t>
      </w:r>
      <w:r>
        <w:t xml:space="preserve">”</w:t>
      </w:r>
      <w:r>
        <w:t xml:space="preserve">:</w:t>
      </w:r>
      <w:r>
        <w:t xml:space="preserve"> </w:t>
      </w:r>
      <w:r>
        <w:t xml:space="preserve">“</w:t>
      </w:r>
      <w:r>
        <w:t xml:space="preserve">gam + a + t.</w:t>
      </w:r>
      <w:r>
        <w:t xml:space="preserve">”</w:t>
      </w:r>
      <w:r>
        <w:t xml:space="preserve"> </w:t>
      </w:r>
      <w:r>
        <w:rPr>
          <w:bCs/>
          <w:b/>
        </w:rPr>
        <w:t xml:space="preserve">आगमा अनुदात्ताः</w:t>
      </w:r>
      <w:r>
        <w:t xml:space="preserve"> </w:t>
      </w:r>
      <w:r>
        <w:t xml:space="preserve">(पा. सू. म. ३-१-३-७ [?];</w:t>
      </w:r>
      <w:r>
        <w:t xml:space="preserve"> </w:t>
      </w:r>
      <w:r>
        <w:t xml:space="preserve">“</w:t>
      </w:r>
      <w:r>
        <w:t xml:space="preserve">3-1-3-2</w:t>
      </w:r>
      <w:r>
        <w:t xml:space="preserve">”</w:t>
      </w:r>
      <w:r>
        <w:t xml:space="preserve"> </w:t>
      </w:r>
      <w:r>
        <w:t xml:space="preserve">on p. 162) —</w:t>
      </w:r>
      <w:r>
        <w:t xml:space="preserve"> </w:t>
      </w:r>
      <w:r>
        <w:t xml:space="preserve">“</w:t>
      </w:r>
      <w:r>
        <w:t xml:space="preserve">augments are unaccented</w:t>
      </w:r>
      <w:r>
        <w:t xml:space="preserve">”</w:t>
      </w:r>
      <w:r>
        <w:t xml:space="preserve"> </w:t>
      </w:r>
      <w:r>
        <w:t xml:space="preserve">— so the</w:t>
      </w:r>
      <w:r>
        <w:t xml:space="preserve"> </w:t>
      </w:r>
      <w:r>
        <w:t xml:space="preserve">“</w:t>
      </w:r>
      <w:r>
        <w:t xml:space="preserve">a</w:t>
      </w:r>
      <w:r>
        <w:t xml:space="preserve">”</w:t>
      </w:r>
      <w:r>
        <w:t xml:space="preserve"> </w:t>
      </w:r>
      <w:r>
        <w:t xml:space="preserve">of</w:t>
      </w:r>
      <w:r>
        <w:t xml:space="preserve"> </w:t>
      </w:r>
      <w:r>
        <w:t xml:space="preserve">“</w:t>
      </w:r>
      <w:r>
        <w:t xml:space="preserve">aṭ</w:t>
      </w:r>
      <w:r>
        <w:t xml:space="preserve">”</w:t>
      </w:r>
      <w:r>
        <w:t xml:space="preserve"> </w:t>
      </w:r>
      <w:r>
        <w:t xml:space="preserve">is unaccented; the accent of the root alone remains.</w:t>
      </w:r>
      <w:r>
        <w:t xml:space="preserve"> </w:t>
      </w:r>
      <w:r>
        <w:rPr>
          <w:bCs/>
          <w:b/>
        </w:rPr>
        <w:t xml:space="preserve">“</w:t>
      </w:r>
      <w:r>
        <w:rPr>
          <w:bCs/>
          <w:b/>
        </w:rPr>
        <w:t xml:space="preserve">Vājebhiḥ</w:t>
      </w:r>
      <w:r>
        <w:rPr>
          <w:bCs/>
          <w:b/>
        </w:rPr>
        <w:t xml:space="preserve">”</w:t>
      </w:r>
      <w:r>
        <w:t xml:space="preserve"> </w:t>
      </w:r>
      <w:r>
        <w:t xml:space="preserve">— a</w:t>
      </w:r>
      <w:r>
        <w:t xml:space="preserve"> </w:t>
      </w:r>
      <w:r>
        <w:t xml:space="preserve">“</w:t>
      </w:r>
      <w:r>
        <w:t xml:space="preserve">vṛṣādi</w:t>
      </w:r>
      <w:r>
        <w:t xml:space="preserve">”</w:t>
      </w:r>
      <w:r>
        <w:t xml:space="preserve"> </w:t>
      </w:r>
      <w:r>
        <w:t xml:space="preserve">word, so first-syllable acute (</w:t>
      </w:r>
      <w:r>
        <w:rPr>
          <w:bCs/>
          <w:b/>
        </w:rPr>
        <w:t xml:space="preserve">वृषादीनां च</w:t>
      </w:r>
      <w:r>
        <w:t xml:space="preserve">, पा. ६-१-२०३). ॥३॥</w:t>
      </w:r>
    </w:p>
    <w:p>
      <w:r>
        <w:pict>
          <v:rect style="width:0;height:1.5pt" o:hralign="center" o:hrstd="t" o:hr="t"/>
        </w:pict>
      </w:r>
    </w:p>
    <w:bookmarkEnd w:id="198"/>
    <w:bookmarkStart w:id="199" w:name="sūkta-5-the-fourth-mantra"/>
    <w:p>
      <w:pPr>
        <w:pStyle w:val="Heading3"/>
      </w:pPr>
      <w:r>
        <w:t xml:space="preserve">Sūkta 5, The Fourth Mantra</w:t>
      </w:r>
    </w:p>
    <w:p>
      <w:pPr>
        <w:pStyle w:val="FirstParagraph"/>
      </w:pPr>
      <w:r>
        <w:rPr>
          <w:iCs/>
          <w:i/>
        </w:rPr>
        <w:t xml:space="preserve">(Page header of the next page:</w:t>
      </w:r>
      <w:r>
        <w:rPr>
          <w:iCs/>
          <w:i/>
        </w:rPr>
        <w:t xml:space="preserve"> </w:t>
      </w:r>
      <w:r>
        <w:rPr>
          <w:iCs/>
          <w:i/>
        </w:rPr>
        <w:t xml:space="preserve">“</w:t>
      </w:r>
      <w:r>
        <w:rPr>
          <w:iCs/>
          <w:i/>
        </w:rPr>
        <w:t xml:space="preserve">Aṣṭaka 1, Adhyāya 1, Varga 9 · Ṛgveda-saṃhitā.</w:t>
      </w:r>
      <w:r>
        <w:rPr>
          <w:iCs/>
          <w:i/>
        </w:rPr>
        <w:t xml:space="preserve">”</w:t>
      </w:r>
      <w:r>
        <w:rPr>
          <w:iCs/>
          <w:i/>
        </w:rPr>
        <w:t xml:space="preserve"> </w:t>
      </w:r>
      <w:r>
        <w:rPr>
          <w:iCs/>
          <w:i/>
        </w:rPr>
        <w:t xml:space="preserve">Saṃhitā accents as printed; Pada unaccented.)</w:t>
      </w:r>
    </w:p>
    <w:bookmarkEnd w:id="199"/>
    <w:bookmarkStart w:id="200" w:name="X94222148666c3f18ea81c455e9ce8ed237cd4f3"/>
    <w:p>
      <w:pPr>
        <w:pStyle w:val="Heading3"/>
      </w:pPr>
      <w:r>
        <w:t xml:space="preserve">Page 165 — Rik 5.4: Saṃhitā, Pada, Sāyaṇa-bhāṣya, grammar (characterized), Pada-meanings</w:t>
      </w:r>
    </w:p>
    <w:p>
      <w:pPr>
        <w:pStyle w:val="FirstParagraph"/>
      </w:pPr>
      <w:r>
        <w:rPr>
          <w:bCs/>
          <w:b/>
        </w:rPr>
        <w:t xml:space="preserve">॥ Saṃhitā-pāṭhaḥ ॥</w:t>
      </w:r>
    </w:p>
    <w:p>
      <w:pPr>
        <w:pStyle w:val="BlockText"/>
      </w:pPr>
      <w:r>
        <w:t xml:space="preserve">यस्य॑ सं॒स्थे न वृ॒ण्वते॒ हरी॑ स॒मत्सु॒ शत्र॑वः ।</w:t>
      </w:r>
      <w:r>
        <w:t xml:space="preserve"> </w:t>
      </w:r>
      <w:r>
        <w:t xml:space="preserve">तस्मा इंद्रा॑य गायत ॥४॥</w:t>
      </w:r>
    </w:p>
    <w:p>
      <w:pPr>
        <w:pStyle w:val="BlockText"/>
      </w:pPr>
      <w:r>
        <w:rPr>
          <w:iCs/>
          <w:i/>
        </w:rPr>
        <w:t xml:space="preserve">yásya saṃsthé na vṛṇváte hárī samátsu śátravaḥ |</w:t>
      </w:r>
      <w:r>
        <w:t xml:space="preserve"> </w:t>
      </w:r>
      <w:r>
        <w:rPr>
          <w:iCs/>
          <w:i/>
        </w:rPr>
        <w:t xml:space="preserve">tasmā íṃdrāya gāyata ||4||</w:t>
      </w:r>
    </w:p>
    <w:p>
      <w:pPr>
        <w:pStyle w:val="FirstParagraph"/>
      </w:pPr>
      <w:r>
        <w:rPr>
          <w:bCs/>
          <w:b/>
        </w:rPr>
        <w:t xml:space="preserve">॥ Pada-pāṭhaḥ ॥</w:t>
      </w:r>
    </w:p>
    <w:p>
      <w:pPr>
        <w:pStyle w:val="BlockText"/>
      </w:pPr>
      <w:r>
        <w:t xml:space="preserve">यस्य । सम्ऽस्थे । न । वृण्वते । हरी इति । समत्ऽसु । शत्रवः ।</w:t>
      </w:r>
      <w:r>
        <w:t xml:space="preserve"> </w:t>
      </w:r>
      <w:r>
        <w:t xml:space="preserve">तस्मै । इन्द्राय । गायत ॥४॥</w:t>
      </w:r>
    </w:p>
    <w:p>
      <w:pPr>
        <w:pStyle w:val="FirstParagraph"/>
      </w:pPr>
      <w:r>
        <w:rPr>
          <w:iCs/>
          <w:i/>
        </w:rPr>
        <w:t xml:space="preserve">(Reading note: the print divides</w:t>
      </w:r>
      <w:r>
        <w:rPr>
          <w:iCs/>
          <w:i/>
        </w:rPr>
        <w:t xml:space="preserve"> </w:t>
      </w:r>
      <w:r>
        <w:rPr>
          <w:iCs/>
          <w:i/>
        </w:rPr>
        <w:t xml:space="preserve">“</w:t>
      </w:r>
      <w:r>
        <w:rPr>
          <w:iCs/>
          <w:i/>
        </w:rPr>
        <w:t xml:space="preserve">saṃ-sthe</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sama-tsu</w:t>
      </w:r>
      <w:r>
        <w:rPr>
          <w:iCs/>
          <w:i/>
        </w:rPr>
        <w:t xml:space="preserve">”</w:t>
      </w:r>
      <w:r>
        <w:rPr>
          <w:iCs/>
          <w:i/>
        </w:rPr>
        <w:t xml:space="preserve"> </w:t>
      </w:r>
      <w:r>
        <w:rPr>
          <w:iCs/>
          <w:i/>
        </w:rPr>
        <w:t xml:space="preserve">as shown; the Pada text has</w:t>
      </w:r>
      <w:r>
        <w:rPr>
          <w:iCs/>
          <w:i/>
        </w:rPr>
        <w:t xml:space="preserve"> </w:t>
      </w:r>
      <w:r>
        <w:rPr>
          <w:iCs/>
          <w:i/>
        </w:rPr>
        <w:t xml:space="preserve">“</w:t>
      </w:r>
      <w:r>
        <w:rPr>
          <w:iCs/>
          <w:i/>
        </w:rPr>
        <w:t xml:space="preserve">harī iti.</w:t>
      </w:r>
      <w:r>
        <w:rPr>
          <w:iCs/>
          <w:i/>
        </w:rPr>
        <w:t xml:space="preserve">”</w:t>
      </w:r>
      <w:r>
        <w:rPr>
          <w:iCs/>
          <w:i/>
        </w:rPr>
        <w:t xml:space="preserve">)</w:t>
      </w:r>
    </w:p>
    <w:p>
      <w:pPr>
        <w:pStyle w:val="BodyText"/>
      </w:pPr>
      <w:r>
        <w:rPr>
          <w:bCs/>
          <w:b/>
        </w:rPr>
        <w:t xml:space="preserve">॥ Sāyaṇa-bhāṣyam ॥</w:t>
      </w:r>
    </w:p>
    <w:p>
      <w:pPr>
        <w:pStyle w:val="BlockText"/>
      </w:pPr>
      <w:r>
        <w:t xml:space="preserve">समत्सु युद्धेषु यस्येन्द्रस्य संस्थे रथे युक्तौ हरी द्वावश्वौ शत्रवो न वृण्वते न संभजन्ते । रथमश्वौ च दृष्ट्वा पलायन्त इत्यर्थः । तस्मा इन्द्राय तत्संतोषार्थं हे ऋत्विजो गायत स्तुतिं कुरुत । रण इत्यादिषु षट्चत्वारिंशत्सु संग्रामनामसु समत्सु समरण इति पठितम् ॥</w:t>
      </w:r>
      <w:r>
        <w:t xml:space="preserve"> </w:t>
      </w:r>
      <w:r>
        <w:rPr>
          <w:iCs/>
          <w:i/>
        </w:rPr>
        <w:t xml:space="preserve">samatsu yuddheṣu yasyendrasya saṃsthe rathe yuktau harī dvāv aśvau śatravo na vṛṇvate na sambhajante | ratham aśvau ca dṛṣṭvā palāyanta ity arthaḥ | tasmā indrāya tat-santoṣārthaṃ he ṛtvijo gāyata stutiṃ kuruta | raṇa ity ādiṣu ṣaṭcatvāriṃśatsu saṃgrāma-nāmasu samatsu samaraṇa iti paṭhitam ||</w:t>
      </w:r>
    </w:p>
    <w:p>
      <w:pPr>
        <w:pStyle w:val="FirstParagraph"/>
      </w:pPr>
      <w:r>
        <w:rPr>
          <w:bCs/>
          <w:b/>
        </w:rPr>
        <w:t xml:space="preserve">Translation:</w:t>
      </w:r>
      <w:r>
        <w:t xml:space="preserve"> </w:t>
      </w:r>
      <w:r>
        <w:t xml:space="preserve">“</w:t>
      </w:r>
      <w:r>
        <w:t xml:space="preserve">In</w:t>
      </w:r>
      <w:r>
        <w:t xml:space="preserve"> </w:t>
      </w:r>
      <w:r>
        <w:t xml:space="preserve">‘</w:t>
      </w:r>
      <w:r>
        <w:t xml:space="preserve">samatsu</w:t>
      </w:r>
      <w:r>
        <w:t xml:space="preserve">’</w:t>
      </w:r>
      <w:r>
        <w:t xml:space="preserve"> </w:t>
      </w:r>
      <w:r>
        <w:t xml:space="preserve">— in battles — of that Indra in whose</w:t>
      </w:r>
      <w:r>
        <w:t xml:space="preserve"> </w:t>
      </w:r>
      <w:r>
        <w:t xml:space="preserve">‘</w:t>
      </w:r>
      <w:r>
        <w:t xml:space="preserve">saṃsthe</w:t>
      </w:r>
      <w:r>
        <w:t xml:space="preserve">’</w:t>
      </w:r>
      <w:r>
        <w:t xml:space="preserve"> </w:t>
      </w:r>
      <w:r>
        <w:t xml:space="preserve">— chariot — the yoked</w:t>
      </w:r>
      <w:r>
        <w:t xml:space="preserve"> </w:t>
      </w:r>
      <w:r>
        <w:t xml:space="preserve">‘</w:t>
      </w:r>
      <w:r>
        <w:t xml:space="preserve">harī</w:t>
      </w:r>
      <w:r>
        <w:t xml:space="preserve">’</w:t>
      </w:r>
      <w:r>
        <w:t xml:space="preserve"> </w:t>
      </w:r>
      <w:r>
        <w:t xml:space="preserve">— the two horses — the enemies</w:t>
      </w:r>
      <w:r>
        <w:t xml:space="preserve"> </w:t>
      </w:r>
      <w:r>
        <w:t xml:space="preserve">‘</w:t>
      </w:r>
      <w:r>
        <w:t xml:space="preserve">na vṛṇvate</w:t>
      </w:r>
      <w:r>
        <w:t xml:space="preserve">’</w:t>
      </w:r>
      <w:r>
        <w:t xml:space="preserve"> </w:t>
      </w:r>
      <w:r>
        <w:t xml:space="preserve">— do not</w:t>
      </w:r>
      <w:r>
        <w:t xml:space="preserve"> </w:t>
      </w:r>
      <w:r>
        <w:t xml:space="preserve">‘</w:t>
      </w:r>
      <w:r>
        <w:t xml:space="preserve">sambhajante</w:t>
      </w:r>
      <w:r>
        <w:t xml:space="preserve">’</w:t>
      </w:r>
      <w:r>
        <w:t xml:space="preserve"> </w:t>
      </w:r>
      <w:r>
        <w:t xml:space="preserve">(do not face, do not withstand); that is, seeing the chariot and the two horses, they flee. To that Indra, for his satisfaction, O priests,</w:t>
      </w:r>
      <w:r>
        <w:t xml:space="preserve"> </w:t>
      </w:r>
      <w:r>
        <w:t xml:space="preserve">‘</w:t>
      </w:r>
      <w:r>
        <w:t xml:space="preserve">gāyata</w:t>
      </w:r>
      <w:r>
        <w:t xml:space="preserve">’</w:t>
      </w:r>
      <w:r>
        <w:t xml:space="preserve"> </w:t>
      </w:r>
      <w:r>
        <w:t xml:space="preserve">— make praise. Among the forty-six names of battle beginning with</w:t>
      </w:r>
      <w:r>
        <w:t xml:space="preserve"> </w:t>
      </w:r>
      <w:r>
        <w:t xml:space="preserve">‘</w:t>
      </w:r>
      <w:r>
        <w:t xml:space="preserve">raṇa,</w:t>
      </w:r>
      <w:r>
        <w:t xml:space="preserve">’</w:t>
      </w:r>
      <w:r>
        <w:t xml:space="preserve"> </w:t>
      </w:r>
      <w:r>
        <w:t xml:space="preserve">‘</w:t>
      </w:r>
      <w:r>
        <w:t xml:space="preserve">samatsu</w:t>
      </w:r>
      <w:r>
        <w:t xml:space="preserve">’</w:t>
      </w:r>
      <w:r>
        <w:t xml:space="preserve"> </w:t>
      </w:r>
      <w:r>
        <w:t xml:space="preserve">and</w:t>
      </w:r>
      <w:r>
        <w:t xml:space="preserve"> </w:t>
      </w:r>
      <w:r>
        <w:t xml:space="preserve">‘</w:t>
      </w:r>
      <w:r>
        <w:t xml:space="preserve">samaraṇa</w:t>
      </w:r>
      <w:r>
        <w:t xml:space="preserve">’</w:t>
      </w:r>
      <w:r>
        <w:t xml:space="preserve"> </w:t>
      </w:r>
      <w:r>
        <w:t xml:space="preserve">are read.</w:t>
      </w:r>
      <w:r>
        <w:t xml:space="preserve">”</w:t>
      </w:r>
    </w:p>
    <w:p>
      <w:pPr>
        <w:pStyle w:val="BodyText"/>
      </w:pPr>
      <w:r>
        <w:rPr>
          <w:bCs/>
          <w:b/>
        </w:rPr>
        <w:t xml:space="preserve">Grammar within the Bhāṣya (characterized, sūtras kept):</w:t>
      </w:r>
      <w:r>
        <w:t xml:space="preserve"> </w:t>
      </w:r>
      <w:r>
        <w:t xml:space="preserve">“</w:t>
      </w:r>
      <w:r>
        <w:t xml:space="preserve">Saṃsthe</w:t>
      </w:r>
      <w:r>
        <w:t xml:space="preserve">”</w:t>
      </w:r>
      <w:r>
        <w:t xml:space="preserve"> </w:t>
      </w:r>
      <w:r>
        <w:t xml:space="preserve">—</w:t>
      </w:r>
      <w:r>
        <w:t xml:space="preserve"> </w:t>
      </w:r>
      <w:r>
        <w:t xml:space="preserve">“</w:t>
      </w:r>
      <w:r>
        <w:t xml:space="preserve">sammuk tiṣṭhatīti saṃstho rathaḥ</w:t>
      </w:r>
      <w:r>
        <w:t xml:space="preserve">”</w:t>
      </w:r>
      <w:r>
        <w:t xml:space="preserve"> </w:t>
      </w:r>
      <w:r>
        <w:t xml:space="preserve">(</w:t>
      </w:r>
      <w:r>
        <w:t xml:space="preserve">“</w:t>
      </w:r>
      <w:r>
        <w:t xml:space="preserve">that which stands facing — the chariot</w:t>
      </w:r>
      <w:r>
        <w:t xml:space="preserve">”</w:t>
      </w:r>
      <w:r>
        <w:t xml:space="preserve">): by</w:t>
      </w:r>
      <w:r>
        <w:t xml:space="preserve"> </w:t>
      </w:r>
      <w:r>
        <w:rPr>
          <w:bCs/>
          <w:b/>
        </w:rPr>
        <w:t xml:space="preserve">आतश्चोपसर्गे</w:t>
      </w:r>
      <w:r>
        <w:t xml:space="preserve"> </w:t>
      </w:r>
      <w:r>
        <w:t xml:space="preserve">(पा. ३-१-१३६) the affix</w:t>
      </w:r>
      <w:r>
        <w:t xml:space="preserve"> </w:t>
      </w:r>
      <w:r>
        <w:t xml:space="preserve">“</w:t>
      </w:r>
      <w:r>
        <w:t xml:space="preserve">ka</w:t>
      </w:r>
      <w:r>
        <w:t xml:space="preserve">”</w:t>
      </w:r>
      <w:r>
        <w:t xml:space="preserve">; the accent of the kṛt-final member is kept (</w:t>
      </w:r>
      <w:r>
        <w:rPr>
          <w:bCs/>
          <w:b/>
        </w:rPr>
        <w:t xml:space="preserve">कृदुत्तरपदप्रकृतिस्वरत्वम्</w:t>
      </w:r>
      <w:r>
        <w:t xml:space="preserve">).</w:t>
      </w:r>
      <w:r>
        <w:t xml:space="preserve"> </w:t>
      </w:r>
      <w:r>
        <w:t xml:space="preserve">“</w:t>
      </w:r>
      <w:r>
        <w:t xml:space="preserve">Vṛṇvate</w:t>
      </w:r>
      <w:r>
        <w:t xml:space="preserve">”</w:t>
      </w:r>
      <w:r>
        <w:t xml:space="preserve"> </w:t>
      </w:r>
      <w:r>
        <w:t xml:space="preserve">— the</w:t>
      </w:r>
      <w:r>
        <w:t xml:space="preserve"> </w:t>
      </w:r>
      <w:r>
        <w:t xml:space="preserve">“</w:t>
      </w:r>
      <w:r>
        <w:t xml:space="preserve">a</w:t>
      </w:r>
      <w:r>
        <w:t xml:space="preserve">”</w:t>
      </w:r>
      <w:r>
        <w:t xml:space="preserve"> </w:t>
      </w:r>
      <w:r>
        <w:t xml:space="preserve">of the</w:t>
      </w:r>
      <w:r>
        <w:t xml:space="preserve"> </w:t>
      </w:r>
      <w:r>
        <w:t xml:space="preserve">“</w:t>
      </w:r>
      <w:r>
        <w:t xml:space="preserve">u</w:t>
      </w:r>
      <w:r>
        <w:t xml:space="preserve">”</w:t>
      </w:r>
      <w:r>
        <w:t xml:space="preserve">-affix of the</w:t>
      </w:r>
      <w:r>
        <w:t xml:space="preserve"> </w:t>
      </w:r>
      <w:r>
        <w:t xml:space="preserve">“</w:t>
      </w:r>
      <w:r>
        <w:t xml:space="preserve">svādi</w:t>
      </w:r>
      <w:r>
        <w:t xml:space="preserve">”</w:t>
      </w:r>
      <w:r>
        <w:t xml:space="preserve"> </w:t>
      </w:r>
      <w:r>
        <w:t xml:space="preserve">class is acute by the affix-accent;</w:t>
      </w:r>
      <w:r>
        <w:t xml:space="preserve"> </w:t>
      </w:r>
      <w:r>
        <w:rPr>
          <w:bCs/>
          <w:b/>
        </w:rPr>
        <w:t xml:space="preserve">सति शिष्टस्वरबलीयस्त्वमन्यत्र विकरणेभ्यः</w:t>
      </w:r>
      <w:r>
        <w:t xml:space="preserve"> </w:t>
      </w:r>
      <w:r>
        <w:t xml:space="preserve">(पा. ६-१-१५८-९ [as printed]) —</w:t>
      </w:r>
      <w:r>
        <w:t xml:space="preserve"> </w:t>
      </w:r>
      <w:r>
        <w:t xml:space="preserve">“</w:t>
      </w:r>
      <w:r>
        <w:t xml:space="preserve">when two accents are possible, the remaining (śiṣṭa) accent prevails, except in the case of the vikaraṇa</w:t>
      </w:r>
      <w:r>
        <w:t xml:space="preserve">”</w:t>
      </w:r>
      <w:r>
        <w:t xml:space="preserve"> </w:t>
      </w:r>
      <w:r>
        <w:t xml:space="preserve">— the nighāta of</w:t>
      </w:r>
      <w:r>
        <w:t xml:space="preserve"> </w:t>
      </w:r>
      <w:r>
        <w:rPr>
          <w:bCs/>
          <w:b/>
        </w:rPr>
        <w:t xml:space="preserve">तिङ्ङतिङः</w:t>
      </w:r>
      <w:r>
        <w:t xml:space="preserve"> </w:t>
      </w:r>
      <w:r>
        <w:t xml:space="preserve">does not apply, because of the prohibition of nighāta for a verb in a relative (</w:t>
      </w:r>
      <w:r>
        <w:t xml:space="preserve">“</w:t>
      </w:r>
      <w:r>
        <w:t xml:space="preserve">yad</w:t>
      </w:r>
      <w:r>
        <w:t xml:space="preserve">”</w:t>
      </w:r>
      <w:r>
        <w:t xml:space="preserve">) clause (</w:t>
      </w:r>
      <w:r>
        <w:rPr>
          <w:bCs/>
          <w:b/>
        </w:rPr>
        <w:t xml:space="preserve">यद्वृत्तान्नित्यम्</w:t>
      </w:r>
      <w:r>
        <w:t xml:space="preserve">, पा. ८-१-६६); and, even with the ablative indication, an operation is permitted here with an intervening word (</w:t>
      </w:r>
      <w:r>
        <w:rPr>
          <w:bCs/>
          <w:b/>
        </w:rPr>
        <w:t xml:space="preserve">पञ्चमीनिर्देशेऽपि</w:t>
      </w:r>
      <w:r>
        <w:t xml:space="preserve">, पा. १-१-६६).</w:t>
      </w:r>
      <w:r>
        <w:t xml:space="preserve"> </w:t>
      </w:r>
      <w:r>
        <w:t xml:space="preserve">“</w:t>
      </w:r>
      <w:r>
        <w:t xml:space="preserve">Harī</w:t>
      </w:r>
      <w:r>
        <w:t xml:space="preserve">”</w:t>
      </w:r>
      <w:r>
        <w:t xml:space="preserve"> </w:t>
      </w:r>
      <w:r>
        <w:t xml:space="preserve">—</w:t>
      </w:r>
      <w:r>
        <w:t xml:space="preserve"> </w:t>
      </w:r>
      <w:r>
        <w:t xml:space="preserve">“</w:t>
      </w:r>
      <w:r>
        <w:t xml:space="preserve">harato ’ratham</w:t>
      </w:r>
      <w:r>
        <w:t xml:space="preserve">”</w:t>
      </w:r>
      <w:r>
        <w:t xml:space="preserve"> </w:t>
      </w:r>
      <w:r>
        <w:t xml:space="preserve">(</w:t>
      </w:r>
      <w:r>
        <w:t xml:space="preserve">“</w:t>
      </w:r>
      <w:r>
        <w:t xml:space="preserve">they carry the chariot</w:t>
      </w:r>
      <w:r>
        <w:t xml:space="preserve">”</w:t>
      </w:r>
      <w:r>
        <w:t xml:space="preserve">) — the two horses; with</w:t>
      </w:r>
      <w:r>
        <w:t xml:space="preserve"> </w:t>
      </w:r>
      <w:r>
        <w:t xml:space="preserve">“</w:t>
      </w:r>
      <w:r>
        <w:t xml:space="preserve">in</w:t>
      </w:r>
      <w:r>
        <w:t xml:space="preserve">”</w:t>
      </w:r>
      <w:r>
        <w:t xml:space="preserve"> </w:t>
      </w:r>
      <w:r>
        <w:t xml:space="preserve">continued, the Uṇādi</w:t>
      </w:r>
      <w:r>
        <w:t xml:space="preserve"> </w:t>
      </w:r>
      <w:r>
        <w:rPr>
          <w:bCs/>
          <w:b/>
        </w:rPr>
        <w:t xml:space="preserve">हृपिषिरुहिवृतिविदिच्छिदिकीर्तिभ्यश्च</w:t>
      </w:r>
      <w:r>
        <w:t xml:space="preserve"> </w:t>
      </w:r>
      <w:r>
        <w:t xml:space="preserve">(</w:t>
      </w:r>
      <w:r>
        <w:rPr>
          <w:iCs/>
          <w:i/>
        </w:rPr>
        <w:t xml:space="preserve">hṛ-piṣi-ruhi-vṛti-vidi-cchidi-kīrtibhyaś ca</w:t>
      </w:r>
      <w:r>
        <w:t xml:space="preserve">, उ. सू. ४-११८) gives the affix</w:t>
      </w:r>
      <w:r>
        <w:t xml:space="preserve"> </w:t>
      </w:r>
      <w:r>
        <w:t xml:space="preserve">“</w:t>
      </w:r>
      <w:r>
        <w:t xml:space="preserve">in,</w:t>
      </w:r>
      <w:r>
        <w:t xml:space="preserve">”</w:t>
      </w:r>
      <w:r>
        <w:t xml:space="preserve"> </w:t>
      </w:r>
      <w:r>
        <w:t xml:space="preserve">which is</w:t>
      </w:r>
      <w:r>
        <w:t xml:space="preserve"> </w:t>
      </w:r>
      <w:r>
        <w:t xml:space="preserve">“</w:t>
      </w:r>
      <w:r>
        <w:t xml:space="preserve">n</w:t>
      </w:r>
      <w:r>
        <w:t xml:space="preserve">”</w:t>
      </w:r>
      <w:r>
        <w:t xml:space="preserve">-marked, hence first-syllable acute.</w:t>
      </w:r>
      <w:r>
        <w:t xml:space="preserve"> </w:t>
      </w:r>
      <w:r>
        <w:t xml:space="preserve">“</w:t>
      </w:r>
      <w:r>
        <w:t xml:space="preserve">Samatsu</w:t>
      </w:r>
      <w:r>
        <w:t xml:space="preserve">”</w:t>
      </w:r>
      <w:r>
        <w:t xml:space="preserve"> </w:t>
      </w:r>
      <w:r>
        <w:t xml:space="preserve">—</w:t>
      </w:r>
      <w:r>
        <w:t xml:space="preserve"> </w:t>
      </w:r>
      <w:r>
        <w:t xml:space="preserve">“</w:t>
      </w:r>
      <w:r>
        <w:t xml:space="preserve">sam</w:t>
      </w:r>
      <w:r>
        <w:t xml:space="preserve">”</w:t>
      </w:r>
      <w:r>
        <w:t xml:space="preserve"> </w:t>
      </w:r>
      <w:r>
        <w:t xml:space="preserve">+</w:t>
      </w:r>
      <w:r>
        <w:t xml:space="preserve"> </w:t>
      </w:r>
      <w:r>
        <w:t xml:space="preserve">“</w:t>
      </w:r>
      <w:r>
        <w:t xml:space="preserve">ad</w:t>
      </w:r>
      <w:r>
        <w:t xml:space="preserve">”</w:t>
      </w:r>
      <w:r>
        <w:t xml:space="preserve"> </w:t>
      </w:r>
      <w:r>
        <w:t xml:space="preserve">(to eat) with</w:t>
      </w:r>
      <w:r>
        <w:t xml:space="preserve"> </w:t>
      </w:r>
      <w:r>
        <w:t xml:space="preserve">“</w:t>
      </w:r>
      <w:r>
        <w:t xml:space="preserve">kvip.</w:t>
      </w:r>
      <w:r>
        <w:t xml:space="preserve">”</w:t>
      </w:r>
      <w:r>
        <w:t xml:space="preserve"> </w:t>
      </w:r>
      <w:r>
        <w:t xml:space="preserve">“</w:t>
      </w:r>
      <w:r>
        <w:t xml:space="preserve">Śatravaḥ</w:t>
      </w:r>
      <w:r>
        <w:t xml:space="preserve">”</w:t>
      </w:r>
      <w:r>
        <w:t xml:space="preserve"> </w:t>
      </w:r>
      <w:r>
        <w:t xml:space="preserve">—</w:t>
      </w:r>
      <w:r>
        <w:t xml:space="preserve"> </w:t>
      </w:r>
      <w:r>
        <w:t xml:space="preserve">“</w:t>
      </w:r>
      <w:r>
        <w:t xml:space="preserve">śat</w:t>
      </w:r>
      <w:r>
        <w:t xml:space="preserve">”</w:t>
      </w:r>
      <w:r>
        <w:t xml:space="preserve"> </w:t>
      </w:r>
      <w:r>
        <w:t xml:space="preserve">is a root taken from the sūtras in the sense of injuring; the Uṇādi</w:t>
      </w:r>
      <w:r>
        <w:t xml:space="preserve"> </w:t>
      </w:r>
      <w:r>
        <w:t xml:space="preserve">“</w:t>
      </w:r>
      <w:r>
        <w:t xml:space="preserve">kru</w:t>
      </w:r>
      <w:r>
        <w:t xml:space="preserve">”</w:t>
      </w:r>
      <w:r>
        <w:t xml:space="preserve"> </w:t>
      </w:r>
      <w:r>
        <w:t xml:space="preserve">(</w:t>
      </w:r>
      <w:r>
        <w:rPr>
          <w:bCs/>
          <w:b/>
        </w:rPr>
        <w:t xml:space="preserve">रुशतिभ्यां क्रुन्</w:t>
      </w:r>
      <w:r>
        <w:t xml:space="preserve">, उ. सू. ४-१०३),</w:t>
      </w:r>
      <w:r>
        <w:t xml:space="preserve"> </w:t>
      </w:r>
      <w:r>
        <w:t xml:space="preserve">“</w:t>
      </w:r>
      <w:r>
        <w:t xml:space="preserve">n</w:t>
      </w:r>
      <w:r>
        <w:t xml:space="preserve">”</w:t>
      </w:r>
      <w:r>
        <w:t xml:space="preserve">-marked so first-syllable acute.</w:t>
      </w:r>
      <w:r>
        <w:t xml:space="preserve"> </w:t>
      </w:r>
      <w:r>
        <w:t xml:space="preserve">“</w:t>
      </w:r>
      <w:r>
        <w:t xml:space="preserve">Tasmai</w:t>
      </w:r>
      <w:r>
        <w:t xml:space="preserve">”</w:t>
      </w:r>
      <w:r>
        <w:t xml:space="preserve"> </w:t>
      </w:r>
      <w:r>
        <w:t xml:space="preserve">— the case-ending</w:t>
      </w:r>
      <w:r>
        <w:t xml:space="preserve"> </w:t>
      </w:r>
      <w:r>
        <w:t xml:space="preserve">“</w:t>
      </w:r>
      <w:r>
        <w:t xml:space="preserve">smai</w:t>
      </w:r>
      <w:r>
        <w:t xml:space="preserve">”</w:t>
      </w:r>
      <w:r>
        <w:t xml:space="preserve"> </w:t>
      </w:r>
      <w:r>
        <w:t xml:space="preserve">is not acute (</w:t>
      </w:r>
      <w:r>
        <w:rPr>
          <w:bCs/>
          <w:b/>
        </w:rPr>
        <w:t xml:space="preserve">सावेकाचस्तृतीयादिर्विभक्तिः</w:t>
      </w:r>
      <w:r>
        <w:t xml:space="preserve"> </w:t>
      </w:r>
      <w:r>
        <w:t xml:space="preserve">is barred by</w:t>
      </w:r>
      <w:r>
        <w:t xml:space="preserve"> </w:t>
      </w:r>
      <w:r>
        <w:rPr>
          <w:bCs/>
          <w:b/>
        </w:rPr>
        <w:t xml:space="preserve">न गोश्वन्साववर्णराडङ्क्रुङ्कृद्भ्यः</w:t>
      </w:r>
      <w:r>
        <w:t xml:space="preserve">, पा. ६-१-१८२), so the stem’s own accent alone remains.</w:t>
      </w:r>
    </w:p>
    <w:p>
      <w:pPr>
        <w:pStyle w:val="BodyText"/>
      </w:pPr>
      <w:r>
        <w:rPr>
          <w:bCs/>
          <w:b/>
        </w:rPr>
        <w:t xml:space="preserve">॥ Prati-padārthaḥ ॥</w:t>
      </w:r>
      <w:r>
        <w:t xml:space="preserve"> </w:t>
      </w:r>
      <w:r>
        <w:rPr>
          <w:iCs/>
          <w:i/>
        </w:rPr>
        <w:t xml:space="preserve">(Kannada, translated)</w:t>
      </w:r>
    </w:p>
    <w:p>
      <w:pPr>
        <w:pStyle w:val="BodyText"/>
      </w:pPr>
      <w:r>
        <w:rPr>
          <w:bCs/>
          <w:b/>
        </w:rPr>
        <w:t xml:space="preserve">समत्सु (samatsu)</w:t>
      </w:r>
      <w:r>
        <w:t xml:space="preserve"> </w:t>
      </w:r>
      <w:r>
        <w:t xml:space="preserve">— in battles |</w:t>
      </w:r>
      <w:r>
        <w:t xml:space="preserve"> </w:t>
      </w:r>
      <w:r>
        <w:rPr>
          <w:bCs/>
          <w:b/>
        </w:rPr>
        <w:t xml:space="preserve">शत्रवः (śatravaḥ)</w:t>
      </w:r>
      <w:r>
        <w:t xml:space="preserve"> </w:t>
      </w:r>
      <w:r>
        <w:t xml:space="preserve">— enemies |</w:t>
      </w:r>
      <w:r>
        <w:t xml:space="preserve"> </w:t>
      </w:r>
      <w:r>
        <w:rPr>
          <w:bCs/>
          <w:b/>
        </w:rPr>
        <w:t xml:space="preserve">यस्य (yasya)</w:t>
      </w:r>
      <w:r>
        <w:t xml:space="preserve"> </w:t>
      </w:r>
      <w:r>
        <w:t xml:space="preserve">— of that (Indra) |</w:t>
      </w:r>
      <w:r>
        <w:t xml:space="preserve"> </w:t>
      </w:r>
      <w:r>
        <w:rPr>
          <w:bCs/>
          <w:b/>
        </w:rPr>
        <w:t xml:space="preserve">संस्थे (saṃsthe)</w:t>
      </w:r>
      <w:r>
        <w:t xml:space="preserve"> </w:t>
      </w:r>
      <w:r>
        <w:t xml:space="preserve">— in the chariot (yoked) |</w:t>
      </w:r>
      <w:r>
        <w:t xml:space="preserve"> </w:t>
      </w:r>
      <w:r>
        <w:rPr>
          <w:bCs/>
          <w:b/>
        </w:rPr>
        <w:t xml:space="preserve">हरी (harī)</w:t>
      </w:r>
      <w:r>
        <w:t xml:space="preserve"> </w:t>
      </w:r>
      <w:r>
        <w:t xml:space="preserve">— the two horses |</w:t>
      </w:r>
      <w:r>
        <w:t xml:space="preserve"> </w:t>
      </w:r>
      <w:r>
        <w:rPr>
          <w:bCs/>
          <w:b/>
        </w:rPr>
        <w:t xml:space="preserve">न वृण्वते (na vṛṇvate)</w:t>
      </w:r>
      <w:r>
        <w:t xml:space="preserve"> </w:t>
      </w:r>
      <w:r>
        <w:t xml:space="preserve">— do not withstand |</w:t>
      </w:r>
      <w:r>
        <w:t xml:space="preserve"> </w:t>
      </w:r>
      <w:r>
        <w:rPr>
          <w:bCs/>
          <w:b/>
        </w:rPr>
        <w:t xml:space="preserve">तस्मै (tasmai)</w:t>
      </w:r>
      <w:r>
        <w:t xml:space="preserve"> </w:t>
      </w:r>
      <w:r>
        <w:t xml:space="preserve">— to such |</w:t>
      </w:r>
      <w:r>
        <w:t xml:space="preserve"> </w:t>
      </w:r>
      <w:r>
        <w:rPr>
          <w:bCs/>
          <w:b/>
        </w:rPr>
        <w:t xml:space="preserve">इन्द्राय (indrāya)</w:t>
      </w:r>
      <w:r>
        <w:t xml:space="preserve"> </w:t>
      </w:r>
      <w:r>
        <w:t xml:space="preserve">— for Indra |</w:t>
      </w:r>
      <w:r>
        <w:t xml:space="preserve"> </w:t>
      </w:r>
      <w:r>
        <w:rPr>
          <w:bCs/>
          <w:b/>
        </w:rPr>
        <w:t xml:space="preserve">गायत (gāyata)</w:t>
      </w:r>
      <w:r>
        <w:t xml:space="preserve"> </w:t>
      </w:r>
      <w:r>
        <w:t xml:space="preserve">— sing with stotras.</w:t>
      </w:r>
    </w:p>
    <w:bookmarkEnd w:id="200"/>
    <w:bookmarkStart w:id="201" w:name="Xa95672a51a8731a79b869c5a3206c465a4be74f"/>
    <w:p>
      <w:pPr>
        <w:pStyle w:val="Heading3"/>
      </w:pPr>
      <w:r>
        <w:t xml:space="preserve">Page 166 — Rik 5.4: Bhāvārtha; English rendering; Special topics</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5.</w:t>
      </w:r>
      <w:r>
        <w:rPr>
          <w:iCs/>
          <w:i/>
        </w:rPr>
        <w:t xml:space="preserve">”</w:t>
      </w:r>
      <w:r>
        <w:rPr>
          <w:iCs/>
          <w:i/>
        </w:rPr>
        <w:t xml:space="preserve"> </w:t>
      </w:r>
      <w:r>
        <w:rPr>
          <w:iCs/>
          <w:i/>
        </w:rPr>
        <w:t xml:space="preserve">English as printed. The list of Ṛg-vedic references after</w:t>
      </w:r>
      <w:r>
        <w:rPr>
          <w:iCs/>
          <w:i/>
        </w:rPr>
        <w:t xml:space="preserve"> </w:t>
      </w:r>
      <w:r>
        <w:rPr>
          <w:iCs/>
          <w:i/>
        </w:rPr>
        <w:t xml:space="preserve">“</w:t>
      </w:r>
      <w:r>
        <w:rPr>
          <w:iCs/>
          <w:i/>
        </w:rPr>
        <w:t xml:space="preserve">samatsu</w:t>
      </w:r>
      <w:r>
        <w:rPr>
          <w:iCs/>
          <w:i/>
        </w:rPr>
        <w:t xml:space="preserve">”</w:t>
      </w:r>
      <w:r>
        <w:rPr>
          <w:iCs/>
          <w:i/>
        </w:rPr>
        <w:t xml:space="preserve"> </w:t>
      </w:r>
      <w:r>
        <w:rPr>
          <w:iCs/>
          <w:i/>
        </w:rPr>
        <w:t xml:space="preserve">re-read from the better scan.)</w:t>
      </w:r>
    </w:p>
    <w:p>
      <w:pPr>
        <w:pStyle w:val="BodyText"/>
      </w:pPr>
      <w:r>
        <w:rPr>
          <w:bCs/>
          <w:b/>
        </w:rPr>
        <w:t xml:space="preserve">॥ Bhāvārthaḥ ॥</w:t>
      </w:r>
      <w:r>
        <w:t xml:space="preserve"> </w:t>
      </w:r>
      <w:r>
        <w:rPr>
          <w:iCs/>
          <w:i/>
        </w:rPr>
        <w:t xml:space="preserve">(Kannada, translated)</w:t>
      </w:r>
    </w:p>
    <w:p>
      <w:pPr>
        <w:pStyle w:val="BodyText"/>
      </w:pPr>
      <w:r>
        <w:t xml:space="preserve">In the battles, the enemies, who do not have the strength to approach the pair of horses yoked to the chariot of that Indra, who has such power — sing, with stotras and the like, to that Indra.</w:t>
      </w:r>
    </w:p>
    <w:p>
      <w:pPr>
        <w:pStyle w:val="BodyText"/>
      </w:pPr>
      <w:r>
        <w:rPr>
          <w:bCs/>
          <w:b/>
        </w:rPr>
        <w:t xml:space="preserve">English Translation</w:t>
      </w:r>
      <w:r>
        <w:t xml:space="preserve"> </w:t>
      </w:r>
      <w:r>
        <w:rPr>
          <w:iCs/>
          <w:i/>
        </w:rPr>
        <w:t xml:space="preserve">(printed in English in the source itself):</w:t>
      </w:r>
    </w:p>
    <w:p>
      <w:pPr>
        <w:pStyle w:val="BodyText"/>
      </w:pPr>
      <w:r>
        <w:t xml:space="preserve">“</w:t>
      </w:r>
      <w:r>
        <w:t xml:space="preserve">Sing in honour of that Indra whose pair of towny [sic] horses the enemies do not approach in battles.</w:t>
      </w:r>
      <w:r>
        <w:t xml:space="preserve">”</w:t>
      </w:r>
    </w:p>
    <w:p>
      <w:pPr>
        <w:pStyle w:val="BodyText"/>
      </w:pPr>
      <w:r>
        <w:rPr>
          <w:bCs/>
          <w:b/>
        </w:rPr>
        <w:t xml:space="preserve">॥ Viśeṣa-viṣayagaḷu (Special Topics) ॥</w:t>
      </w:r>
    </w:p>
    <w:p>
      <w:pPr>
        <w:pStyle w:val="BodyText"/>
      </w:pPr>
      <w:r>
        <w:t xml:space="preserve">In this Ṛk, Indra’s power is described indirectly (apratyakṣa). When battle is going on between Indra and his enemies, if those enemies have not the strength even to come near the pair of horses yoked to Indra’s chariot, how could they fight with Indra himself? Hence the sense: the enemies flee in terror as soon as they see Indra’s chariot.</w:t>
      </w:r>
    </w:p>
    <w:p>
      <w:pPr>
        <w:pStyle w:val="BodyText"/>
      </w:pPr>
      <w:r>
        <w:rPr>
          <w:bCs/>
          <w:b/>
        </w:rPr>
        <w:t xml:space="preserve">संस्थे (saṃsthe)</w:t>
      </w:r>
      <w:r>
        <w:t xml:space="preserve"> </w:t>
      </w:r>
      <w:r>
        <w:t xml:space="preserve">—</w:t>
      </w:r>
      <w:r>
        <w:t xml:space="preserve"> </w:t>
      </w:r>
      <w:r>
        <w:t xml:space="preserve">“</w:t>
      </w:r>
      <w:r>
        <w:rPr>
          <w:iCs/>
          <w:i/>
        </w:rPr>
        <w:t xml:space="preserve">sammyak tiṣṭhatīti saṃstho rathaḥ</w:t>
      </w:r>
      <w:r>
        <w:t xml:space="preserve">”</w:t>
      </w:r>
      <w:r>
        <w:t xml:space="preserve"> </w:t>
      </w:r>
      <w:r>
        <w:t xml:space="preserve">— since the chariot stands firm (and well) in battle and the like, it is called</w:t>
      </w:r>
      <w:r>
        <w:t xml:space="preserve"> </w:t>
      </w:r>
      <w:r>
        <w:t xml:space="preserve">“</w:t>
      </w:r>
      <w:r>
        <w:t xml:space="preserve">saṃstha,</w:t>
      </w:r>
      <w:r>
        <w:t xml:space="preserve">”</w:t>
      </w:r>
      <w:r>
        <w:t xml:space="preserve"> </w:t>
      </w:r>
      <w:r>
        <w:t xml:space="preserve">that is,</w:t>
      </w:r>
      <w:r>
        <w:t xml:space="preserve"> </w:t>
      </w:r>
      <w:r>
        <w:t xml:space="preserve">“</w:t>
      </w:r>
      <w:r>
        <w:t xml:space="preserve">chariot.</w:t>
      </w:r>
      <w:r>
        <w:t xml:space="preserve">”</w:t>
      </w:r>
      <w:r>
        <w:t xml:space="preserve"> </w:t>
      </w:r>
      <w:r>
        <w:rPr>
          <w:bCs/>
          <w:b/>
        </w:rPr>
        <w:t xml:space="preserve">Skandasvāmī</w:t>
      </w:r>
      <w:r>
        <w:t xml:space="preserve"> </w:t>
      </w:r>
      <w:r>
        <w:t xml:space="preserve">has explained</w:t>
      </w:r>
      <w:r>
        <w:t xml:space="preserve"> </w:t>
      </w:r>
      <w:r>
        <w:t xml:space="preserve">“</w:t>
      </w:r>
      <w:r>
        <w:t xml:space="preserve">saṃsthe</w:t>
      </w:r>
      <w:r>
        <w:t xml:space="preserve">”</w:t>
      </w:r>
      <w:r>
        <w:t xml:space="preserve"> </w:t>
      </w:r>
      <w:r>
        <w:t xml:space="preserve">as</w:t>
      </w:r>
      <w:r>
        <w:t xml:space="preserve"> </w:t>
      </w:r>
      <w:r>
        <w:t xml:space="preserve">“</w:t>
      </w:r>
      <w:r>
        <w:t xml:space="preserve">in battle</w:t>
      </w:r>
      <w:r>
        <w:t xml:space="preserve">”</w:t>
      </w:r>
      <w:r>
        <w:t xml:space="preserve"> </w:t>
      </w:r>
      <w:r>
        <w:t xml:space="preserve">(</w:t>
      </w:r>
      <w:r>
        <w:t xml:space="preserve">“</w:t>
      </w:r>
      <w:r>
        <w:t xml:space="preserve">saṅgrāme</w:t>
      </w:r>
      <w:r>
        <w:t xml:space="preserve">”</w:t>
      </w:r>
      <w:r>
        <w:t xml:space="preserve">). But since in this Ṛk the word</w:t>
      </w:r>
      <w:r>
        <w:t xml:space="preserve"> </w:t>
      </w:r>
      <w:r>
        <w:t xml:space="preserve">“</w:t>
      </w:r>
      <w:r>
        <w:t xml:space="preserve">samatsu,</w:t>
      </w:r>
      <w:r>
        <w:t xml:space="preserve">”</w:t>
      </w:r>
      <w:r>
        <w:t xml:space="preserve"> </w:t>
      </w:r>
      <w:r>
        <w:t xml:space="preserve">which indicates battle, is already a separate word, there is no need to bring in a second sense</w:t>
      </w:r>
      <w:r>
        <w:t xml:space="preserve"> </w:t>
      </w:r>
      <w:r>
        <w:t xml:space="preserve">“</w:t>
      </w:r>
      <w:r>
        <w:t xml:space="preserve">battle</w:t>
      </w:r>
      <w:r>
        <w:t xml:space="preserve">”</w:t>
      </w:r>
      <w:r>
        <w:t xml:space="preserve"> </w:t>
      </w:r>
      <w:r>
        <w:t xml:space="preserve">for</w:t>
      </w:r>
      <w:r>
        <w:t xml:space="preserve"> </w:t>
      </w:r>
      <w:r>
        <w:t xml:space="preserve">“</w:t>
      </w:r>
      <w:r>
        <w:t xml:space="preserve">saṃsthe</w:t>
      </w:r>
      <w:r>
        <w:t xml:space="preserve">”</w:t>
      </w:r>
      <w:r>
        <w:t xml:space="preserve">; so the sense given by the Bhāṣyakāra —</w:t>
      </w:r>
      <w:r>
        <w:t xml:space="preserve"> </w:t>
      </w:r>
      <w:r>
        <w:t xml:space="preserve">“</w:t>
      </w:r>
      <w:r>
        <w:t xml:space="preserve">chariot</w:t>
      </w:r>
      <w:r>
        <w:t xml:space="preserve">”</w:t>
      </w:r>
      <w:r>
        <w:t xml:space="preserve"> </w:t>
      </w:r>
      <w:r>
        <w:t xml:space="preserve">— is the one to be accepted.</w:t>
      </w:r>
    </w:p>
    <w:p>
      <w:pPr>
        <w:pStyle w:val="BodyText"/>
      </w:pPr>
      <w:r>
        <w:rPr>
          <w:bCs/>
          <w:b/>
        </w:rPr>
        <w:t xml:space="preserve">हरी (harī)</w:t>
      </w:r>
      <w:r>
        <w:t xml:space="preserve"> </w:t>
      </w:r>
      <w:r>
        <w:t xml:space="preserve">—</w:t>
      </w:r>
      <w:r>
        <w:t xml:space="preserve"> </w:t>
      </w:r>
      <w:r>
        <w:t xml:space="preserve">“</w:t>
      </w:r>
      <w:r>
        <w:rPr>
          <w:iCs/>
          <w:i/>
        </w:rPr>
        <w:t xml:space="preserve">harato rathaṃ</w:t>
      </w:r>
      <w:r>
        <w:t xml:space="preserve">”</w:t>
      </w:r>
      <w:r>
        <w:t xml:space="preserve"> </w:t>
      </w:r>
      <w:r>
        <w:t xml:space="preserve">(</w:t>
      </w:r>
      <w:r>
        <w:t xml:space="preserve">“</w:t>
      </w:r>
      <w:r>
        <w:t xml:space="preserve">they carry the chariot</w:t>
      </w:r>
      <w:r>
        <w:t xml:space="preserve">”</w:t>
      </w:r>
      <w:r>
        <w:t xml:space="preserve">) — hence</w:t>
      </w:r>
      <w:r>
        <w:t xml:space="preserve"> </w:t>
      </w:r>
      <w:r>
        <w:t xml:space="preserve">“</w:t>
      </w:r>
      <w:r>
        <w:t xml:space="preserve">harī</w:t>
      </w:r>
      <w:r>
        <w:t xml:space="preserve">”</w:t>
      </w:r>
      <w:r>
        <w:t xml:space="preserve"> </w:t>
      </w:r>
      <w:r>
        <w:t xml:space="preserve">are the horses; the word</w:t>
      </w:r>
      <w:r>
        <w:t xml:space="preserve"> </w:t>
      </w:r>
      <w:r>
        <w:t xml:space="preserve">“</w:t>
      </w:r>
      <w:r>
        <w:t xml:space="preserve">hari</w:t>
      </w:r>
      <w:r>
        <w:t xml:space="preserve">”</w:t>
      </w:r>
      <w:r>
        <w:t xml:space="preserve"> </w:t>
      </w:r>
      <w:r>
        <w:t xml:space="preserve">is commonly used in the sense of</w:t>
      </w:r>
      <w:r>
        <w:t xml:space="preserve"> </w:t>
      </w:r>
      <w:r>
        <w:t xml:space="preserve">“</w:t>
      </w:r>
      <w:r>
        <w:t xml:space="preserve">horse,</w:t>
      </w:r>
      <w:r>
        <w:t xml:space="preserve">”</w:t>
      </w:r>
      <w:r>
        <w:t xml:space="preserve"> </w:t>
      </w:r>
      <w:r>
        <w:t xml:space="preserve">though for this word the sense</w:t>
      </w:r>
      <w:r>
        <w:t xml:space="preserve"> </w:t>
      </w:r>
      <w:r>
        <w:t xml:space="preserve">“</w:t>
      </w:r>
      <w:r>
        <w:t xml:space="preserve">tawny or bay horse</w:t>
      </w:r>
      <w:r>
        <w:t xml:space="preserve">”</w:t>
      </w:r>
      <w:r>
        <w:t xml:space="preserve"> </w:t>
      </w:r>
      <w:r>
        <w:rPr>
          <w:iCs/>
          <w:i/>
        </w:rPr>
        <w:t xml:space="preserve">(English as printed:</w:t>
      </w:r>
      <w:r>
        <w:rPr>
          <w:iCs/>
          <w:i/>
        </w:rPr>
        <w:t xml:space="preserve"> </w:t>
      </w:r>
      <w:r>
        <w:rPr>
          <w:iCs/>
          <w:i/>
        </w:rPr>
        <w:t xml:space="preserve">“</w:t>
      </w:r>
      <w:r>
        <w:rPr>
          <w:iCs/>
          <w:i/>
        </w:rPr>
        <w:t xml:space="preserve">tawny or bay horse</w:t>
      </w:r>
      <w:r>
        <w:rPr>
          <w:iCs/>
          <w:i/>
        </w:rPr>
        <w:t xml:space="preserve">”</w:t>
      </w:r>
      <w:r>
        <w:rPr>
          <w:iCs/>
          <w:i/>
        </w:rPr>
        <w:t xml:space="preserve">)</w:t>
      </w:r>
      <w:r>
        <w:t xml:space="preserve"> </w:t>
      </w:r>
      <w:r>
        <w:t xml:space="preserve">— horses of a fawn-yellow colour — should be said. This word is used even in present-day Sanskrit.</w:t>
      </w:r>
    </w:p>
    <w:p>
      <w:pPr>
        <w:pStyle w:val="BodyText"/>
      </w:pPr>
      <w:r>
        <w:rPr>
          <w:bCs/>
          <w:b/>
        </w:rPr>
        <w:t xml:space="preserve">समत्सु (samatsu)</w:t>
      </w:r>
      <w:r>
        <w:t xml:space="preserve"> </w:t>
      </w:r>
      <w:r>
        <w:t xml:space="preserve">— The word</w:t>
      </w:r>
      <w:r>
        <w:t xml:space="preserve"> </w:t>
      </w:r>
      <w:r>
        <w:t xml:space="preserve">“</w:t>
      </w:r>
      <w:r>
        <w:t xml:space="preserve">samatsu</w:t>
      </w:r>
      <w:r>
        <w:t xml:space="preserve">”</w:t>
      </w:r>
      <w:r>
        <w:t xml:space="preserve"> </w:t>
      </w:r>
      <w:r>
        <w:t xml:space="preserve">is read among the forty-six words that signify battle, beginning with</w:t>
      </w:r>
      <w:r>
        <w:t xml:space="preserve"> </w:t>
      </w:r>
      <w:r>
        <w:t xml:space="preserve">“</w:t>
      </w:r>
      <w:r>
        <w:t xml:space="preserve">raṇa</w:t>
      </w:r>
      <w:r>
        <w:t xml:space="preserve">”</w:t>
      </w:r>
      <w:r>
        <w:t xml:space="preserve"> </w:t>
      </w:r>
      <w:r>
        <w:t xml:space="preserve">(Ni. 3-9 [as printed]). This word is always used in the locative plural only. Apart from this Ṛk it is found in Ṛ. Saṃ. 1-66-3; 1-70-6; 1-130-8; 1-173-7; [?]-12-3; 3-30-22; 4-20-1; 4-24-6; 4-38-4; 5-33-4; 6-18-6; 6-25-9 and others — in</w:t>
      </w:r>
      <w:r>
        <w:t xml:space="preserve"> </w:t>
      </w:r>
      <w:r>
        <w:rPr>
          <w:bCs/>
          <w:b/>
        </w:rPr>
        <w:t xml:space="preserve">29</w:t>
      </w:r>
      <w:r>
        <w:t xml:space="preserve"> </w:t>
      </w:r>
      <w:r>
        <w:t xml:space="preserve">Ṛks</w:t>
      </w:r>
      <w:r>
        <w:t xml:space="preserve"> </w:t>
      </w:r>
      <w:r>
        <w:rPr>
          <w:iCs/>
          <w:i/>
        </w:rPr>
        <w:t xml:space="preserve">(references re-read from the better scan; the first digit of the fifth falls at a line-break)</w:t>
      </w:r>
      <w:r>
        <w:t xml:space="preserve">.</w:t>
      </w:r>
      <w:r>
        <w:t xml:space="preserve"> </w:t>
      </w:r>
      <w:r>
        <w:rPr>
          <w:bCs/>
          <w:b/>
        </w:rPr>
        <w:t xml:space="preserve">Skandasvāmī</w:t>
      </w:r>
      <w:r>
        <w:t xml:space="preserve"> </w:t>
      </w:r>
      <w:r>
        <w:t xml:space="preserve">explains this word as follows:</w:t>
      </w:r>
      <w:r>
        <w:t xml:space="preserve"> </w:t>
      </w:r>
      <w:r>
        <w:t xml:space="preserve">“</w:t>
      </w:r>
      <w:r>
        <w:rPr>
          <w:iCs/>
          <w:i/>
        </w:rPr>
        <w:t xml:space="preserve">ade bhakṣaṇe | sambhakṣayatsu parasparaṃ yodheṣu mahati yuddhe pravṛtte ity arthaḥ</w:t>
      </w:r>
      <w:r>
        <w:t xml:space="preserve">”</w:t>
      </w:r>
      <w:r>
        <w:t xml:space="preserve"> </w:t>
      </w:r>
      <w:r>
        <w:t xml:space="preserve">(अदे भक्षणे । संभक्षयत्सु परस्परं योधेषु महति युद्धे प्रवृत्ते इत्यर्थः —</w:t>
      </w:r>
      <w:r>
        <w:t xml:space="preserve"> </w:t>
      </w:r>
      <w:r>
        <w:t xml:space="preserve">“</w:t>
      </w:r>
      <w:r>
        <w:t xml:space="preserve">‘</w:t>
      </w:r>
      <w:r>
        <w:t xml:space="preserve">ad</w:t>
      </w:r>
      <w:r>
        <w:t xml:space="preserve">’</w:t>
      </w:r>
      <w:r>
        <w:t xml:space="preserve"> </w:t>
      </w:r>
      <w:r>
        <w:t xml:space="preserve">is in the sense of eating; the meaning is</w:t>
      </w:r>
      <w:r>
        <w:t xml:space="preserve"> </w:t>
      </w:r>
      <w:r>
        <w:t xml:space="preserve">‘</w:t>
      </w:r>
      <w:r>
        <w:t xml:space="preserve">when, in a great battle that has begun, the warriors devour one another</w:t>
      </w:r>
      <w:r>
        <w:t xml:space="preserve">’</w:t>
      </w:r>
      <w:r>
        <w:t xml:space="preserve">”</w:t>
      </w:r>
      <w:r>
        <w:t xml:space="preserve">). That is, since the root</w:t>
      </w:r>
      <w:r>
        <w:t xml:space="preserve"> </w:t>
      </w:r>
      <w:r>
        <w:t xml:space="preserve">“</w:t>
      </w:r>
      <w:r>
        <w:t xml:space="preserve">ad</w:t>
      </w:r>
      <w:r>
        <w:t xml:space="preserve">”</w:t>
      </w:r>
      <w:r>
        <w:t xml:space="preserve"> </w:t>
      </w:r>
      <w:r>
        <w:t xml:space="preserve">means</w:t>
      </w:r>
      <w:r>
        <w:t xml:space="preserve"> </w:t>
      </w:r>
      <w:r>
        <w:t xml:space="preserve">“</w:t>
      </w:r>
      <w:r>
        <w:t xml:space="preserve">to eat,</w:t>
      </w:r>
      <w:r>
        <w:t xml:space="preserve">”</w:t>
      </w:r>
      <w:r>
        <w:t xml:space="preserve"> </w:t>
      </w:r>
      <w:r>
        <w:t xml:space="preserve">and in a battle warriors fiercely attack and</w:t>
      </w:r>
      <w:r>
        <w:t xml:space="preserve"> </w:t>
      </w:r>
      <w:r>
        <w:t xml:space="preserve">“</w:t>
      </w:r>
      <w:r>
        <w:t xml:space="preserve">devour</w:t>
      </w:r>
      <w:r>
        <w:t xml:space="preserve">”</w:t>
      </w:r>
      <w:r>
        <w:t xml:space="preserve"> </w:t>
      </w:r>
      <w:r>
        <w:t xml:space="preserve">one another,</w:t>
      </w:r>
      <w:r>
        <w:t xml:space="preserve"> </w:t>
      </w:r>
      <w:r>
        <w:t xml:space="preserve">“</w:t>
      </w:r>
      <w:r>
        <w:t xml:space="preserve">samatsu</w:t>
      </w:r>
      <w:r>
        <w:t xml:space="preserve">”</w:t>
      </w:r>
      <w:r>
        <w:t xml:space="preserve"> </w:t>
      </w:r>
      <w:r>
        <w:t xml:space="preserve">is explained as</w:t>
      </w:r>
      <w:r>
        <w:t xml:space="preserve"> </w:t>
      </w:r>
      <w:r>
        <w:t xml:space="preserve">“</w:t>
      </w:r>
      <w:r>
        <w:t xml:space="preserve">in battles.</w:t>
      </w:r>
      <w:r>
        <w:t xml:space="preserve">”</w:t>
      </w:r>
      <w:r>
        <w:t xml:space="preserve"> </w:t>
      </w:r>
      <w:r>
        <w:t xml:space="preserve">Western scholars explain this word with</w:t>
      </w:r>
      <w:r>
        <w:t xml:space="preserve"> </w:t>
      </w:r>
      <w:r>
        <w:rPr>
          <w:iCs/>
          <w:i/>
        </w:rPr>
        <w:t xml:space="preserve">(English as printed)</w:t>
      </w:r>
      <w:r>
        <w:t xml:space="preserve"> </w:t>
      </w:r>
      <w:r>
        <w:t xml:space="preserve">“</w:t>
      </w:r>
      <w:r>
        <w:t xml:space="preserve">fight, battle, contest, especially battle where confused voices of men, and din of weapons are heard.</w:t>
      </w:r>
      <w:r>
        <w:t xml:space="preserve">”</w:t>
      </w:r>
    </w:p>
    <w:bookmarkEnd w:id="201"/>
    <w:bookmarkStart w:id="202" w:name="Xc7ac325abb91356f1ce6467f68b76d4c2f2cb33"/>
    <w:p>
      <w:pPr>
        <w:pStyle w:val="Heading3"/>
      </w:pPr>
      <w:r>
        <w:t xml:space="preserve">Page 167 — Vyākaraṇa-prakriyā for Rik 5.4 (characterized)</w:t>
      </w:r>
    </w:p>
    <w:p>
      <w:pPr>
        <w:pStyle w:val="FirstParagraph"/>
      </w:pPr>
      <w:r>
        <w:rPr>
          <w:iCs/>
          <w:i/>
        </w:rPr>
        <w:t xml:space="preserve">(Page header:</w:t>
      </w:r>
      <w:r>
        <w:rPr>
          <w:iCs/>
          <w:i/>
        </w:rPr>
        <w:t xml:space="preserve"> </w:t>
      </w:r>
      <w:r>
        <w:rPr>
          <w:iCs/>
          <w:i/>
        </w:rPr>
        <w:t xml:space="preserve">“</w:t>
      </w:r>
      <w:r>
        <w:rPr>
          <w:iCs/>
          <w:i/>
        </w:rPr>
        <w:t xml:space="preserve">Aṣṭaka 1, Adhyāya 1, Varga 9 · Ṛgveda-saṃhitā.</w:t>
      </w:r>
      <w:r>
        <w:rPr>
          <w:iCs/>
          <w:i/>
        </w:rPr>
        <w:t xml:space="preserve">”</w:t>
      </w:r>
      <w:r>
        <w:rPr>
          <w:iCs/>
          <w:i/>
        </w:rPr>
        <w:t xml:space="preserve"> </w:t>
      </w:r>
      <w:r>
        <w:rPr>
          <w:iCs/>
          <w:i/>
        </w:rPr>
        <w:t xml:space="preserve">Pure grammar in Kannada prose, the Kannada rendering of the Sanskrit of p. 165, with extended argument on the accent of</w:t>
      </w:r>
      <w:r>
        <w:rPr>
          <w:iCs/>
          <w:i/>
        </w:rPr>
        <w:t xml:space="preserve"> </w:t>
      </w:r>
      <w:r>
        <w:rPr>
          <w:iCs/>
          <w:i/>
        </w:rPr>
        <w:t xml:space="preserve">“</w:t>
      </w:r>
      <w:r>
        <w:rPr>
          <w:iCs/>
          <w:i/>
        </w:rPr>
        <w:t xml:space="preserve">vṛṇvate.</w:t>
      </w:r>
      <w:r>
        <w:rPr>
          <w:iCs/>
          <w:i/>
        </w:rPr>
        <w:t xml:space="preserve">”</w:t>
      </w:r>
      <w:r>
        <w:rPr>
          <w:iCs/>
          <w:i/>
        </w:rPr>
        <w:t xml:space="preserve"> </w:t>
      </w:r>
      <w:r>
        <w:rPr>
          <w:bCs/>
          <w:b/>
          <w:iCs/>
          <w:i/>
        </w:rPr>
        <w:t xml:space="preserve">Characterized in outline</w:t>
      </w:r>
      <w:r>
        <w:rPr>
          <w:iCs/>
          <w:i/>
        </w:rPr>
        <w:t xml:space="preserve">; sūtras kept; numbers as read.)</w:t>
      </w:r>
    </w:p>
    <w:p>
      <w:pPr>
        <w:pStyle w:val="BodyText"/>
      </w:pPr>
      <w:r>
        <w:rPr>
          <w:bCs/>
          <w:b/>
        </w:rPr>
        <w:t xml:space="preserve">“</w:t>
      </w:r>
      <w:r>
        <w:rPr>
          <w:bCs/>
          <w:b/>
        </w:rPr>
        <w:t xml:space="preserve">Saṃsthe</w:t>
      </w:r>
      <w:r>
        <w:rPr>
          <w:bCs/>
          <w:b/>
        </w:rPr>
        <w:t xml:space="preserve">”</w:t>
      </w:r>
      <w:r>
        <w:t xml:space="preserve"> </w:t>
      </w:r>
      <w:r>
        <w:t xml:space="preserve">—</w:t>
      </w:r>
      <w:r>
        <w:t xml:space="preserve"> </w:t>
      </w:r>
      <w:r>
        <w:t xml:space="preserve">“</w:t>
      </w:r>
      <w:r>
        <w:t xml:space="preserve">sammyak tiṣṭhatīti saṃsthaḥ</w:t>
      </w:r>
      <w:r>
        <w:t xml:space="preserve">”</w:t>
      </w:r>
      <w:r>
        <w:t xml:space="preserve"> </w:t>
      </w:r>
      <w:r>
        <w:t xml:space="preserve">— the root</w:t>
      </w:r>
      <w:r>
        <w:t xml:space="preserve"> </w:t>
      </w:r>
      <w:r>
        <w:t xml:space="preserve">“</w:t>
      </w:r>
      <w:r>
        <w:t xml:space="preserve">sthā gati-nivṛttau</w:t>
      </w:r>
      <w:r>
        <w:t xml:space="preserve">”</w:t>
      </w:r>
      <w:r>
        <w:t xml:space="preserve"> </w:t>
      </w:r>
      <w:r>
        <w:t xml:space="preserve">(to stand) after the prefix</w:t>
      </w:r>
      <w:r>
        <w:t xml:space="preserve"> </w:t>
      </w:r>
      <w:r>
        <w:t xml:space="preserve">“</w:t>
      </w:r>
      <w:r>
        <w:t xml:space="preserve">sam</w:t>
      </w:r>
      <w:r>
        <w:t xml:space="preserve">”</w:t>
      </w:r>
      <w:r>
        <w:t xml:space="preserve">;</w:t>
      </w:r>
      <w:r>
        <w:t xml:space="preserve"> </w:t>
      </w:r>
      <w:r>
        <w:rPr>
          <w:bCs/>
          <w:b/>
        </w:rPr>
        <w:t xml:space="preserve">आतश्चोपसर्गे</w:t>
      </w:r>
      <w:r>
        <w:t xml:space="preserve"> </w:t>
      </w:r>
      <w:r>
        <w:t xml:space="preserve">(पा. ३-१-१३६) — after a root ending in</w:t>
      </w:r>
      <w:r>
        <w:t xml:space="preserve"> </w:t>
      </w:r>
      <w:r>
        <w:t xml:space="preserve">“</w:t>
      </w:r>
      <w:r>
        <w:t xml:space="preserve">ā,</w:t>
      </w:r>
      <w:r>
        <w:t xml:space="preserve">”</w:t>
      </w:r>
      <w:r>
        <w:t xml:space="preserve"> </w:t>
      </w:r>
      <w:r>
        <w:t xml:space="preserve">when a prefix stands as upapada, the affix</w:t>
      </w:r>
      <w:r>
        <w:t xml:space="preserve"> </w:t>
      </w:r>
      <w:r>
        <w:t xml:space="preserve">“</w:t>
      </w:r>
      <w:r>
        <w:t xml:space="preserve">ka</w:t>
      </w:r>
      <w:r>
        <w:t xml:space="preserve">”</w:t>
      </w:r>
      <w:r>
        <w:t xml:space="preserve"> </w:t>
      </w:r>
      <w:r>
        <w:t xml:space="preserve">— and</w:t>
      </w:r>
      <w:r>
        <w:t xml:space="preserve"> </w:t>
      </w:r>
      <w:r>
        <w:rPr>
          <w:bCs/>
          <w:b/>
        </w:rPr>
        <w:t xml:space="preserve">आतो लोप इटि च</w:t>
      </w:r>
      <w:r>
        <w:t xml:space="preserve"> </w:t>
      </w:r>
      <w:r>
        <w:t xml:space="preserve">(पा. ६-४-६४) elides the</w:t>
      </w:r>
      <w:r>
        <w:t xml:space="preserve"> </w:t>
      </w:r>
      <w:r>
        <w:t xml:space="preserve">“</w:t>
      </w:r>
      <w:r>
        <w:t xml:space="preserve">ā</w:t>
      </w:r>
      <w:r>
        <w:t xml:space="preserve">”</w:t>
      </w:r>
      <w:r>
        <w:t xml:space="preserve"> </w:t>
      </w:r>
      <w:r>
        <w:t xml:space="preserve">→</w:t>
      </w:r>
      <w:r>
        <w:t xml:space="preserve"> </w:t>
      </w:r>
      <w:r>
        <w:t xml:space="preserve">“</w:t>
      </w:r>
      <w:r>
        <w:t xml:space="preserve">saṃstha</w:t>
      </w:r>
      <w:r>
        <w:t xml:space="preserve">”</w:t>
      </w:r>
      <w:r>
        <w:t xml:space="preserve">; the accent of the kṛt-final member is kept (</w:t>
      </w:r>
      <w:r>
        <w:rPr>
          <w:bCs/>
          <w:b/>
        </w:rPr>
        <w:t xml:space="preserve">कृदुत्तरपदप्रकृतिस्वरत्वम्</w:t>
      </w:r>
      <w:r>
        <w:t xml:space="preserve">). The locative singular</w:t>
      </w:r>
      <w:r>
        <w:t xml:space="preserve"> </w:t>
      </w:r>
      <w:r>
        <w:t xml:space="preserve">“</w:t>
      </w:r>
      <w:r>
        <w:t xml:space="preserve">ṅi</w:t>
      </w:r>
      <w:r>
        <w:t xml:space="preserve">”</w:t>
      </w:r>
      <w:r>
        <w:t xml:space="preserve"> </w:t>
      </w:r>
      <w:r>
        <w:t xml:space="preserve">→</w:t>
      </w:r>
      <w:r>
        <w:t xml:space="preserve"> </w:t>
      </w:r>
      <w:r>
        <w:t xml:space="preserve">“</w:t>
      </w:r>
      <w:r>
        <w:t xml:space="preserve">e</w:t>
      </w:r>
      <w:r>
        <w:t xml:space="preserve">”</w:t>
      </w:r>
      <w:r>
        <w:t xml:space="preserve">:</w:t>
      </w:r>
      <w:r>
        <w:t xml:space="preserve"> </w:t>
      </w:r>
      <w:r>
        <w:t xml:space="preserve">“</w:t>
      </w:r>
      <w:r>
        <w:t xml:space="preserve">saṃsthe.</w:t>
      </w:r>
      <w:r>
        <w:t xml:space="preserve">”</w:t>
      </w:r>
    </w:p>
    <w:p>
      <w:pPr>
        <w:pStyle w:val="BodyText"/>
      </w:pPr>
      <w:r>
        <w:rPr>
          <w:bCs/>
          <w:b/>
        </w:rPr>
        <w:t xml:space="preserve">“</w:t>
      </w:r>
      <w:r>
        <w:rPr>
          <w:bCs/>
          <w:b/>
        </w:rPr>
        <w:t xml:space="preserve">Vṛṇvate</w:t>
      </w:r>
      <w:r>
        <w:rPr>
          <w:bCs/>
          <w:b/>
        </w:rPr>
        <w:t xml:space="preserve">”</w:t>
      </w:r>
      <w:r>
        <w:t xml:space="preserve"> </w:t>
      </w:r>
      <w:r>
        <w:t xml:space="preserve">—</w:t>
      </w:r>
      <w:r>
        <w:t xml:space="preserve"> </w:t>
      </w:r>
      <w:r>
        <w:t xml:space="preserve">“</w:t>
      </w:r>
      <w:r>
        <w:t xml:space="preserve">vṛñ varaṇe</w:t>
      </w:r>
      <w:r>
        <w:t xml:space="preserve">”</w:t>
      </w:r>
      <w:r>
        <w:t xml:space="preserve"> </w:t>
      </w:r>
      <w:r>
        <w:t xml:space="preserve">(to choose),</w:t>
      </w:r>
      <w:r>
        <w:t xml:space="preserve"> </w:t>
      </w:r>
      <w:r>
        <w:t xml:space="preserve">“</w:t>
      </w:r>
      <w:r>
        <w:t xml:space="preserve">laṭ,</w:t>
      </w:r>
      <w:r>
        <w:t xml:space="preserve">”</w:t>
      </w:r>
      <w:r>
        <w:t xml:space="preserve"> </w:t>
      </w:r>
      <w:r>
        <w:t xml:space="preserve">ātmanepada, third-person plural</w:t>
      </w:r>
      <w:r>
        <w:t xml:space="preserve"> </w:t>
      </w:r>
      <w:r>
        <w:t xml:space="preserve">“</w:t>
      </w:r>
      <w:r>
        <w:t xml:space="preserve">jha</w:t>
      </w:r>
      <w:r>
        <w:t xml:space="preserve">”</w:t>
      </w:r>
      <w:r>
        <w:t xml:space="preserve"> </w:t>
      </w:r>
      <w:r>
        <w:t xml:space="preserve">→</w:t>
      </w:r>
      <w:r>
        <w:t xml:space="preserve"> </w:t>
      </w:r>
      <w:r>
        <w:t xml:space="preserve">“</w:t>
      </w:r>
      <w:r>
        <w:t xml:space="preserve">ant</w:t>
      </w:r>
      <w:r>
        <w:t xml:space="preserve">”</w:t>
      </w:r>
      <w:r>
        <w:t xml:space="preserve">;</w:t>
      </w:r>
      <w:r>
        <w:t xml:space="preserve"> </w:t>
      </w:r>
      <w:r>
        <w:rPr>
          <w:bCs/>
          <w:b/>
        </w:rPr>
        <w:t xml:space="preserve">स्वादिभ्यः श्नुः</w:t>
      </w:r>
      <w:r>
        <w:t xml:space="preserve"> </w:t>
      </w:r>
      <w:r>
        <w:t xml:space="preserve">(पा. ३-१-७३) —</w:t>
      </w:r>
      <w:r>
        <w:t xml:space="preserve"> </w:t>
      </w:r>
      <w:r>
        <w:t xml:space="preserve">“</w:t>
      </w:r>
      <w:r>
        <w:t xml:space="preserve">śnu</w:t>
      </w:r>
      <w:r>
        <w:t xml:space="preserve">”</w:t>
      </w:r>
      <w:r>
        <w:t xml:space="preserve"> </w:t>
      </w:r>
      <w:r>
        <w:t xml:space="preserve">after the roots of the</w:t>
      </w:r>
      <w:r>
        <w:t xml:space="preserve"> </w:t>
      </w:r>
      <w:r>
        <w:t xml:space="preserve">“</w:t>
      </w:r>
      <w:r>
        <w:t xml:space="preserve">su</w:t>
      </w:r>
      <w:r>
        <w:t xml:space="preserve">”</w:t>
      </w:r>
      <w:r>
        <w:t xml:space="preserve">-class (svādi);</w:t>
      </w:r>
      <w:r>
        <w:t xml:space="preserve"> </w:t>
      </w:r>
      <w:r>
        <w:t xml:space="preserve">“</w:t>
      </w:r>
      <w:r>
        <w:t xml:space="preserve">vṛ + nu + ante</w:t>
      </w:r>
      <w:r>
        <w:t xml:space="preserve">”</w:t>
      </w:r>
      <w:r>
        <w:t xml:space="preserve">;</w:t>
      </w:r>
      <w:r>
        <w:t xml:space="preserve"> </w:t>
      </w:r>
      <w:r>
        <w:rPr>
          <w:bCs/>
          <w:b/>
        </w:rPr>
        <w:t xml:space="preserve">आत्मनेपदेष्वनतः</w:t>
      </w:r>
      <w:r>
        <w:t xml:space="preserve"> </w:t>
      </w:r>
      <w:r>
        <w:t xml:space="preserve">(पा. ७-१-५) —</w:t>
      </w:r>
      <w:r>
        <w:t xml:space="preserve"> </w:t>
      </w:r>
      <w:r>
        <w:t xml:space="preserve">“</w:t>
      </w:r>
      <w:r>
        <w:t xml:space="preserve">ant</w:t>
      </w:r>
      <w:r>
        <w:t xml:space="preserve">”</w:t>
      </w:r>
      <w:r>
        <w:t xml:space="preserve"> </w:t>
      </w:r>
      <w:r>
        <w:t xml:space="preserve">becomes</w:t>
      </w:r>
      <w:r>
        <w:t xml:space="preserve"> </w:t>
      </w:r>
      <w:r>
        <w:t xml:space="preserve">“</w:t>
      </w:r>
      <w:r>
        <w:t xml:space="preserve">at</w:t>
      </w:r>
      <w:r>
        <w:t xml:space="preserve">”</w:t>
      </w:r>
      <w:r>
        <w:t xml:space="preserve"> </w:t>
      </w:r>
      <w:r>
        <w:t xml:space="preserve">after a non-</w:t>
      </w:r>
      <w:r>
        <w:t xml:space="preserve">“</w:t>
      </w:r>
      <w:r>
        <w:t xml:space="preserve">a</w:t>
      </w:r>
      <w:r>
        <w:t xml:space="preserve">”</w:t>
      </w:r>
      <w:r>
        <w:t xml:space="preserve"> </w:t>
      </w:r>
      <w:r>
        <w:t xml:space="preserve">stem in the ātmanepada →</w:t>
      </w:r>
      <w:r>
        <w:t xml:space="preserve"> </w:t>
      </w:r>
      <w:r>
        <w:t xml:space="preserve">“</w:t>
      </w:r>
      <w:r>
        <w:t xml:space="preserve">vṛ + nu + ate</w:t>
      </w:r>
      <w:r>
        <w:t xml:space="preserve">”</w:t>
      </w:r>
      <w:r>
        <w:t xml:space="preserve">;</w:t>
      </w:r>
      <w:r>
        <w:t xml:space="preserve"> </w:t>
      </w:r>
      <w:r>
        <w:rPr>
          <w:bCs/>
          <w:b/>
        </w:rPr>
        <w:t xml:space="preserve">हुश्नुवोः सार्वधातुके</w:t>
      </w:r>
      <w:r>
        <w:t xml:space="preserve"> </w:t>
      </w:r>
      <w:r>
        <w:t xml:space="preserve">(पा. ६-४-८७) —</w:t>
      </w:r>
      <w:r>
        <w:t xml:space="preserve"> </w:t>
      </w:r>
      <w:r>
        <w:t xml:space="preserve">“</w:t>
      </w:r>
      <w:r>
        <w:t xml:space="preserve">y</w:t>
      </w:r>
      <w:r>
        <w:t xml:space="preserve">”</w:t>
      </w:r>
      <w:r>
        <w:t xml:space="preserve"> </w:t>
      </w:r>
      <w:r>
        <w:t xml:space="preserve">before a vowel-initial sārvadhātuka for the</w:t>
      </w:r>
      <w:r>
        <w:t xml:space="preserve"> </w:t>
      </w:r>
      <w:r>
        <w:t xml:space="preserve">“</w:t>
      </w:r>
      <w:r>
        <w:t xml:space="preserve">u</w:t>
      </w:r>
      <w:r>
        <w:t xml:space="preserve">”</w:t>
      </w:r>
      <w:r>
        <w:t xml:space="preserve"> </w:t>
      </w:r>
      <w:r>
        <w:t xml:space="preserve">of the</w:t>
      </w:r>
      <w:r>
        <w:t xml:space="preserve"> </w:t>
      </w:r>
      <w:r>
        <w:t xml:space="preserve">“</w:t>
      </w:r>
      <w:r>
        <w:t xml:space="preserve">hu</w:t>
      </w:r>
      <w:r>
        <w:t xml:space="preserve">”</w:t>
      </w:r>
      <w:r>
        <w:t xml:space="preserve"> </w:t>
      </w:r>
      <w:r>
        <w:t xml:space="preserve">class and of</w:t>
      </w:r>
      <w:r>
        <w:t xml:space="preserve"> </w:t>
      </w:r>
      <w:r>
        <w:t xml:space="preserve">“</w:t>
      </w:r>
      <w:r>
        <w:t xml:space="preserve">śnu,</w:t>
      </w:r>
      <w:r>
        <w:t xml:space="preserve">”</w:t>
      </w:r>
      <w:r>
        <w:t xml:space="preserve"> </w:t>
      </w:r>
      <w:r>
        <w:t xml:space="preserve">when a conjunct does not precede the</w:t>
      </w:r>
      <w:r>
        <w:t xml:space="preserve"> </w:t>
      </w:r>
      <w:r>
        <w:t xml:space="preserve">“</w:t>
      </w:r>
      <w:r>
        <w:t xml:space="preserve">u</w:t>
      </w:r>
      <w:r>
        <w:t xml:space="preserve">”</w:t>
      </w:r>
      <w:r>
        <w:t xml:space="preserve"> </w:t>
      </w:r>
      <w:r>
        <w:t xml:space="preserve">— would apply, but here the stem is a</w:t>
      </w:r>
      <w:r>
        <w:t xml:space="preserve"> </w:t>
      </w:r>
      <w:r>
        <w:t xml:space="preserve">“</w:t>
      </w:r>
      <w:r>
        <w:t xml:space="preserve">śnu</w:t>
      </w:r>
      <w:r>
        <w:t xml:space="preserve">”</w:t>
      </w:r>
      <w:r>
        <w:t xml:space="preserve"> </w:t>
      </w:r>
      <w:r>
        <w:t xml:space="preserve">stem that follows a conjunct-consonant… the print says that since the</w:t>
      </w:r>
      <w:r>
        <w:t xml:space="preserve"> </w:t>
      </w:r>
      <w:r>
        <w:t xml:space="preserve">“</w:t>
      </w:r>
      <w:r>
        <w:t xml:space="preserve">u</w:t>
      </w:r>
      <w:r>
        <w:t xml:space="preserve">”</w:t>
      </w:r>
      <w:r>
        <w:t xml:space="preserve"> </w:t>
      </w:r>
      <w:r>
        <w:t xml:space="preserve">comes after the conjunct</w:t>
      </w:r>
      <w:r>
        <w:t xml:space="preserve"> </w:t>
      </w:r>
      <w:r>
        <w:t xml:space="preserve">“</w:t>
      </w:r>
      <w:r>
        <w:t xml:space="preserve">rn,</w:t>
      </w:r>
      <w:r>
        <w:t xml:space="preserve">”</w:t>
      </w:r>
      <w:r>
        <w:t xml:space="preserve"> </w:t>
      </w:r>
      <w:r>
        <w:rPr>
          <w:bCs/>
          <w:b/>
        </w:rPr>
        <w:t xml:space="preserve">यणादेश</w:t>
      </w:r>
      <w:r>
        <w:t xml:space="preserve"> </w:t>
      </w:r>
      <w:r>
        <w:t xml:space="preserve">(the semivowel substitute) takes place only where there is no conjunct before: here there is a</w:t>
      </w:r>
      <w:r>
        <w:t xml:space="preserve"> </w:t>
      </w:r>
      <w:r>
        <w:t xml:space="preserve">“</w:t>
      </w:r>
      <w:r>
        <w:t xml:space="preserve">ṛ + n</w:t>
      </w:r>
      <w:r>
        <w:t xml:space="preserve">”</w:t>
      </w:r>
      <w:r>
        <w:t xml:space="preserve"> </w:t>
      </w:r>
      <w:r>
        <w:t xml:space="preserve">cluster, so (</w:t>
      </w:r>
      <w:r>
        <w:rPr>
          <w:bCs/>
          <w:b/>
        </w:rPr>
        <w:t xml:space="preserve">असंयोगपूर्वस्य</w:t>
      </w:r>
      <w:r>
        <w:t xml:space="preserve">)</w:t>
      </w:r>
      <w:r>
        <w:t xml:space="preserve"> </w:t>
      </w:r>
      <w:r>
        <w:t xml:space="preserve">“</w:t>
      </w:r>
      <w:r>
        <w:t xml:space="preserve">uv</w:t>
      </w:r>
      <w:r>
        <w:t xml:space="preserve">”</w:t>
      </w:r>
      <w:r>
        <w:t xml:space="preserve"> </w:t>
      </w:r>
      <w:r>
        <w:t xml:space="preserve">does not appear;</w:t>
      </w:r>
      <w:r>
        <w:t xml:space="preserve"> </w:t>
      </w:r>
      <w:r>
        <w:rPr>
          <w:bCs/>
          <w:b/>
        </w:rPr>
        <w:t xml:space="preserve">टित आत्मनेपदानां टेरे</w:t>
      </w:r>
      <w:r>
        <w:t xml:space="preserve"> </w:t>
      </w:r>
      <w:r>
        <w:t xml:space="preserve">(पा. ३-४-७९) — the</w:t>
      </w:r>
      <w:r>
        <w:t xml:space="preserve"> </w:t>
      </w:r>
      <w:r>
        <w:t xml:space="preserve">“</w:t>
      </w:r>
      <w:r>
        <w:t xml:space="preserve">ṭi</w:t>
      </w:r>
      <w:r>
        <w:t xml:space="preserve">”</w:t>
      </w:r>
      <w:r>
        <w:t xml:space="preserve"> </w:t>
      </w:r>
      <w:r>
        <w:t xml:space="preserve">part of an ātmanepada ending of a</w:t>
      </w:r>
      <w:r>
        <w:t xml:space="preserve"> </w:t>
      </w:r>
      <w:r>
        <w:t xml:space="preserve">“</w:t>
      </w:r>
      <w:r>
        <w:t xml:space="preserve">ṭit</w:t>
      </w:r>
      <w:r>
        <w:t xml:space="preserve">”</w:t>
      </w:r>
      <w:r>
        <w:t xml:space="preserve"> </w:t>
      </w:r>
      <w:r>
        <w:t xml:space="preserve">(</w:t>
      </w:r>
      <w:r>
        <w:t xml:space="preserve">“</w:t>
      </w:r>
      <w:r>
        <w:t xml:space="preserve">laṭ</w:t>
      </w:r>
      <w:r>
        <w:t xml:space="preserve">”</w:t>
      </w:r>
      <w:r>
        <w:t xml:space="preserve">) becomes</w:t>
      </w:r>
      <w:r>
        <w:t xml:space="preserve"> </w:t>
      </w:r>
      <w:r>
        <w:t xml:space="preserve">“</w:t>
      </w:r>
      <w:r>
        <w:t xml:space="preserve">e</w:t>
      </w:r>
      <w:r>
        <w:t xml:space="preserve">”</w:t>
      </w:r>
      <w:r>
        <w:t xml:space="preserve">;</w:t>
      </w:r>
      <w:r>
        <w:t xml:space="preserve"> </w:t>
      </w:r>
      <w:r>
        <w:rPr>
          <w:bCs/>
          <w:b/>
        </w:rPr>
        <w:t xml:space="preserve">वुग्न—</w:t>
      </w:r>
      <w:r>
        <w:t xml:space="preserve"> </w:t>
      </w:r>
      <w:r>
        <w:t xml:space="preserve">(the print abbreviates a rule:</w:t>
      </w:r>
      <w:r>
        <w:t xml:space="preserve"> </w:t>
      </w:r>
      <w:r>
        <w:t xml:space="preserve">“</w:t>
      </w:r>
      <w:r>
        <w:t xml:space="preserve">after a vowel-ending stem, the</w:t>
      </w:r>
      <w:r>
        <w:t xml:space="preserve"> </w:t>
      </w:r>
      <w:r>
        <w:t xml:space="preserve">‘</w:t>
      </w:r>
      <w:r>
        <w:t xml:space="preserve">n</w:t>
      </w:r>
      <w:r>
        <w:t xml:space="preserve">’</w:t>
      </w:r>
      <w:r>
        <w:t xml:space="preserve"> </w:t>
      </w:r>
      <w:r>
        <w:t xml:space="preserve">of</w:t>
      </w:r>
      <w:r>
        <w:t xml:space="preserve"> </w:t>
      </w:r>
      <w:r>
        <w:t xml:space="preserve">‘</w:t>
      </w:r>
      <w:r>
        <w:t xml:space="preserve">ṇ</w:t>
      </w:r>
      <w:r>
        <w:t xml:space="preserve">’</w:t>
      </w:r>
      <w:r>
        <w:t xml:space="preserve"> </w:t>
      </w:r>
      <w:r>
        <w:t xml:space="preserve">is …</w:t>
      </w:r>
      <w:r>
        <w:t xml:space="preserve">”</w:t>
      </w:r>
      <w:r>
        <w:t xml:space="preserve">) → the</w:t>
      </w:r>
      <w:r>
        <w:t xml:space="preserve"> </w:t>
      </w:r>
      <w:r>
        <w:t xml:space="preserve">“</w:t>
      </w:r>
      <w:r>
        <w:t xml:space="preserve">n</w:t>
      </w:r>
      <w:r>
        <w:t xml:space="preserve">”</w:t>
      </w:r>
      <w:r>
        <w:t xml:space="preserve"> </w:t>
      </w:r>
      <w:r>
        <w:t xml:space="preserve">of</w:t>
      </w:r>
      <w:r>
        <w:t xml:space="preserve"> </w:t>
      </w:r>
      <w:r>
        <w:t xml:space="preserve">“</w:t>
      </w:r>
      <w:r>
        <w:t xml:space="preserve">nu</w:t>
      </w:r>
      <w:r>
        <w:t xml:space="preserve">”</w:t>
      </w:r>
      <w:r>
        <w:t xml:space="preserve"> </w:t>
      </w:r>
      <w:r>
        <w:t xml:space="preserve">becomes</w:t>
      </w:r>
      <w:r>
        <w:t xml:space="preserve"> </w:t>
      </w:r>
      <w:r>
        <w:t xml:space="preserve">“</w:t>
      </w:r>
      <w:r>
        <w:t xml:space="preserve">ṇ</w:t>
      </w:r>
      <w:r>
        <w:t xml:space="preserve">”</w:t>
      </w:r>
      <w:r>
        <w:t xml:space="preserve"> </w:t>
      </w:r>
      <w:r>
        <w:t xml:space="preserve">after</w:t>
      </w:r>
      <w:r>
        <w:t xml:space="preserve"> </w:t>
      </w:r>
      <w:r>
        <w:t xml:space="preserve">“</w:t>
      </w:r>
      <w:r>
        <w:t xml:space="preserve">ṛ</w:t>
      </w:r>
      <w:r>
        <w:t xml:space="preserve">”</w:t>
      </w:r>
      <w:r>
        <w:t xml:space="preserve"> </w:t>
      </w:r>
      <w:r>
        <w:t xml:space="preserve">(</w:t>
      </w:r>
      <w:r>
        <w:rPr>
          <w:bCs/>
          <w:b/>
        </w:rPr>
        <w:t xml:space="preserve">रषाभ्यां नो णः समानपदे</w:t>
      </w:r>
      <w:r>
        <w:t xml:space="preserve">, पा. ८-४-१) →</w:t>
      </w:r>
      <w:r>
        <w:t xml:space="preserve"> </w:t>
      </w:r>
      <w:r>
        <w:t xml:space="preserve">“</w:t>
      </w:r>
      <w:r>
        <w:t xml:space="preserve">vṛṇvate.</w:t>
      </w:r>
      <w:r>
        <w:t xml:space="preserve">”</w:t>
      </w:r>
    </w:p>
    <w:p>
      <w:pPr>
        <w:pStyle w:val="BodyText"/>
      </w:pPr>
      <w:r>
        <w:rPr>
          <w:bCs/>
          <w:b/>
        </w:rPr>
        <w:t xml:space="preserve">The accent of</w:t>
      </w:r>
      <w:r>
        <w:rPr>
          <w:bCs/>
          <w:b/>
        </w:rPr>
        <w:t xml:space="preserve"> </w:t>
      </w:r>
      <w:r>
        <w:rPr>
          <w:bCs/>
          <w:b/>
        </w:rPr>
        <w:t xml:space="preserve">“</w:t>
      </w:r>
      <w:r>
        <w:rPr>
          <w:bCs/>
          <w:b/>
        </w:rPr>
        <w:t xml:space="preserve">vṛṇvate.</w:t>
      </w:r>
      <w:r>
        <w:rPr>
          <w:bCs/>
          <w:b/>
        </w:rPr>
        <w:t xml:space="preserve">”</w:t>
      </w:r>
      <w:r>
        <w:t xml:space="preserve"> </w:t>
      </w:r>
      <w:r>
        <w:t xml:space="preserve">In</w:t>
      </w:r>
      <w:r>
        <w:t xml:space="preserve"> </w:t>
      </w:r>
      <w:r>
        <w:t xml:space="preserve">“</w:t>
      </w:r>
      <w:r>
        <w:t xml:space="preserve">vṛṇvate</w:t>
      </w:r>
      <w:r>
        <w:t xml:space="preserve">”</w:t>
      </w:r>
      <w:r>
        <w:t xml:space="preserve"> </w:t>
      </w:r>
      <w:r>
        <w:t xml:space="preserve">three accent-sources compete: the root’s, the affix</w:t>
      </w:r>
      <w:r>
        <w:t xml:space="preserve"> </w:t>
      </w:r>
      <w:r>
        <w:t xml:space="preserve">“</w:t>
      </w:r>
      <w:r>
        <w:t xml:space="preserve">śnu</w:t>
      </w:r>
      <w:r>
        <w:t xml:space="preserve">”</w:t>
      </w:r>
      <w:r>
        <w:t xml:space="preserve">’s (a</w:t>
      </w:r>
      <w:r>
        <w:t xml:space="preserve"> </w:t>
      </w:r>
      <w:r>
        <w:t xml:space="preserve">“</w:t>
      </w:r>
      <w:r>
        <w:t xml:space="preserve">ś</w:t>
      </w:r>
      <w:r>
        <w:t xml:space="preserve">”</w:t>
      </w:r>
      <w:r>
        <w:t xml:space="preserve">-marked vikaraṇa), and the personal ending’s. Following</w:t>
      </w:r>
      <w:r>
        <w:t xml:space="preserve"> </w:t>
      </w:r>
      <w:r>
        <w:rPr>
          <w:bCs/>
          <w:b/>
        </w:rPr>
        <w:t xml:space="preserve">सति शिष्टस्वरबलीयस्त्वमन्यत्र विकरणेभ्यः</w:t>
      </w:r>
      <w:r>
        <w:t xml:space="preserve"> </w:t>
      </w:r>
      <w:r>
        <w:t xml:space="preserve">(पा. ६-१-१५८-९ [as printed</w:t>
      </w:r>
      <w:r>
        <w:t xml:space="preserve"> </w:t>
      </w:r>
      <w:r>
        <w:t xml:space="preserve">“</w:t>
      </w:r>
      <w:r>
        <w:t xml:space="preserve">6-1-158-9</w:t>
      </w:r>
      <w:r>
        <w:t xml:space="preserve">”</w:t>
      </w:r>
      <w:r>
        <w:t xml:space="preserve">]) —</w:t>
      </w:r>
      <w:r>
        <w:t xml:space="preserve"> </w:t>
      </w:r>
      <w:r>
        <w:t xml:space="preserve">“</w:t>
      </w:r>
      <w:r>
        <w:t xml:space="preserve">when a remaining accent is available, it prevails, except over the vikaraṇas</w:t>
      </w:r>
      <w:r>
        <w:t xml:space="preserve">”</w:t>
      </w:r>
      <w:r>
        <w:t xml:space="preserve"> </w:t>
      </w:r>
      <w:r>
        <w:t xml:space="preserve">— the print explains at length why the</w:t>
      </w:r>
      <w:r>
        <w:t xml:space="preserve"> </w:t>
      </w:r>
      <w:r>
        <w:t xml:space="preserve">“</w:t>
      </w:r>
      <w:r>
        <w:t xml:space="preserve">śnu</w:t>
      </w:r>
      <w:r>
        <w:t xml:space="preserve">”</w:t>
      </w:r>
      <w:r>
        <w:t xml:space="preserve"> </w:t>
      </w:r>
      <w:r>
        <w:t xml:space="preserve">vikaraṇa’s own accent (given by</w:t>
      </w:r>
      <w:r>
        <w:t xml:space="preserve"> </w:t>
      </w:r>
      <w:r>
        <w:rPr>
          <w:bCs/>
          <w:b/>
        </w:rPr>
        <w:t xml:space="preserve">आद्युदात्तश्च</w:t>
      </w:r>
      <w:r>
        <w:t xml:space="preserve">, पा. ३-१-३) does not apply as one might expect, and why, by</w:t>
      </w:r>
      <w:r>
        <w:t xml:space="preserve"> </w:t>
      </w:r>
      <w:r>
        <w:rPr>
          <w:bCs/>
          <w:b/>
        </w:rPr>
        <w:t xml:space="preserve">अनुदात्तं पदमेकवर्जम्</w:t>
      </w:r>
      <w:r>
        <w:t xml:space="preserve"> </w:t>
      </w:r>
      <w:r>
        <w:t xml:space="preserve">(पा. ६-१-१५८), only the one syllable</w:t>
      </w:r>
      <w:r>
        <w:t xml:space="preserve"> </w:t>
      </w:r>
      <w:r>
        <w:t xml:space="preserve">“</w:t>
      </w:r>
      <w:r>
        <w:t xml:space="preserve">ṇ-</w:t>
      </w:r>
      <w:r>
        <w:t xml:space="preserve">”</w:t>
      </w:r>
      <w:r>
        <w:t xml:space="preserve"> </w:t>
      </w:r>
      <w:r>
        <w:t xml:space="preserve">(the affix’s</w:t>
      </w:r>
      <w:r>
        <w:t xml:space="preserve"> </w:t>
      </w:r>
      <w:r>
        <w:t xml:space="preserve">“</w:t>
      </w:r>
      <w:r>
        <w:t xml:space="preserve">a</w:t>
      </w:r>
      <w:r>
        <w:t xml:space="preserve">”</w:t>
      </w:r>
      <w:r>
        <w:t xml:space="preserve"> </w:t>
      </w:r>
      <w:r>
        <w:t xml:space="preserve">accent) is acute while the rest of the word is unaccented; the print concludes (against an objector, who cites</w:t>
      </w:r>
      <w:r>
        <w:t xml:space="preserve"> </w:t>
      </w:r>
      <w:r>
        <w:t xml:space="preserve">“</w:t>
      </w:r>
      <w:r>
        <w:t xml:space="preserve">aupasargatvam</w:t>
      </w:r>
      <w:r>
        <w:t xml:space="preserve">”</w:t>
      </w:r>
      <w:r>
        <w:t xml:space="preserve"> </w:t>
      </w:r>
      <w:r>
        <w:t xml:space="preserve">and the</w:t>
      </w:r>
      <w:r>
        <w:t xml:space="preserve"> </w:t>
      </w:r>
      <w:r>
        <w:t xml:space="preserve">“</w:t>
      </w:r>
      <w:r>
        <w:t xml:space="preserve">upasarga + aṇ</w:t>
      </w:r>
      <w:r>
        <w:t xml:space="preserve">”</w:t>
      </w:r>
      <w:r>
        <w:t xml:space="preserve"> </w:t>
      </w:r>
      <w:r>
        <w:t xml:space="preserve">example) that the accent of the</w:t>
      </w:r>
      <w:r>
        <w:t xml:space="preserve"> </w:t>
      </w:r>
      <w:r>
        <w:rPr>
          <w:iCs/>
          <w:i/>
        </w:rPr>
        <w:t xml:space="preserve">affix</w:t>
      </w:r>
      <w:r>
        <w:t xml:space="preserve"> </w:t>
      </w:r>
      <w:r>
        <w:t xml:space="preserve">(</w:t>
      </w:r>
      <w:r>
        <w:t xml:space="preserve">“</w:t>
      </w:r>
      <w:r>
        <w:t xml:space="preserve">ate</w:t>
      </w:r>
      <w:r>
        <w:t xml:space="preserve">”</w:t>
      </w:r>
      <w:r>
        <w:t xml:space="preserve">) is the one that remains, so</w:t>
      </w:r>
      <w:r>
        <w:t xml:space="preserve"> </w:t>
      </w:r>
      <w:r>
        <w:t xml:space="preserve">“</w:t>
      </w:r>
      <w:r>
        <w:t xml:space="preserve">vṛṇvate</w:t>
      </w:r>
      <w:r>
        <w:t xml:space="preserve">”</w:t>
      </w:r>
      <w:r>
        <w:t xml:space="preserve"> </w:t>
      </w:r>
      <w:r>
        <w:t xml:space="preserve">has its acute on</w:t>
      </w:r>
      <w:r>
        <w:t xml:space="preserve"> </w:t>
      </w:r>
      <w:r>
        <w:t xml:space="preserve">“</w:t>
      </w:r>
      <w:r>
        <w:t xml:space="preserve">va.</w:t>
      </w:r>
      <w:r>
        <w:t xml:space="preserve">”</w:t>
      </w:r>
      <w:r>
        <w:t xml:space="preserve"> </w:t>
      </w:r>
      <w:r>
        <w:t xml:space="preserve">The argument is a long scholastic one, and I give only its conclusion:</w:t>
      </w:r>
      <w:r>
        <w:t xml:space="preserve"> </w:t>
      </w:r>
      <w:r>
        <w:rPr>
          <w:bCs/>
          <w:b/>
        </w:rPr>
        <w:t xml:space="preserve">“</w:t>
      </w:r>
      <w:r>
        <w:rPr>
          <w:bCs/>
          <w:b/>
        </w:rPr>
        <w:t xml:space="preserve">vṛṇvate</w:t>
      </w:r>
      <w:r>
        <w:rPr>
          <w:bCs/>
          <w:b/>
        </w:rPr>
        <w:t xml:space="preserve">”</w:t>
      </w:r>
      <w:r>
        <w:rPr>
          <w:bCs/>
          <w:b/>
        </w:rPr>
        <w:t xml:space="preserve"> </w:t>
      </w:r>
      <w:r>
        <w:rPr>
          <w:bCs/>
          <w:b/>
        </w:rPr>
        <w:t xml:space="preserve">is acute on the affix’s</w:t>
      </w:r>
      <w:r>
        <w:rPr>
          <w:bCs/>
          <w:b/>
        </w:rPr>
        <w:t xml:space="preserve"> </w:t>
      </w:r>
      <w:r>
        <w:rPr>
          <w:bCs/>
          <w:b/>
        </w:rPr>
        <w:t xml:space="preserve">“</w:t>
      </w:r>
      <w:r>
        <w:rPr>
          <w:bCs/>
          <w:b/>
        </w:rPr>
        <w:t xml:space="preserve">a</w:t>
      </w:r>
      <w:r>
        <w:rPr>
          <w:bCs/>
          <w:b/>
        </w:rPr>
        <w:t xml:space="preserve">”</w:t>
      </w:r>
      <w:r>
        <w:rPr>
          <w:bCs/>
          <w:b/>
        </w:rPr>
        <w:t xml:space="preserve"> </w:t>
      </w:r>
      <w:r>
        <w:rPr>
          <w:bCs/>
          <w:b/>
        </w:rPr>
        <w:t xml:space="preserve">(the syllable</w:t>
      </w:r>
      <w:r>
        <w:rPr>
          <w:bCs/>
          <w:b/>
        </w:rPr>
        <w:t xml:space="preserve"> </w:t>
      </w:r>
      <w:r>
        <w:rPr>
          <w:bCs/>
          <w:b/>
        </w:rPr>
        <w:t xml:space="preserve">“</w:t>
      </w:r>
      <w:r>
        <w:rPr>
          <w:bCs/>
          <w:b/>
        </w:rPr>
        <w:t xml:space="preserve">va</w:t>
      </w:r>
      <w:r>
        <w:rPr>
          <w:bCs/>
          <w:b/>
        </w:rPr>
        <w:t xml:space="preserve">”</w:t>
      </w:r>
      <w:r>
        <w:rPr>
          <w:bCs/>
          <w:b/>
        </w:rPr>
        <w:t xml:space="preserve"> </w:t>
      </w:r>
      <w:r>
        <w:rPr>
          <w:bCs/>
          <w:b/>
        </w:rPr>
        <w:t xml:space="preserve">of</w:t>
      </w:r>
      <w:r>
        <w:rPr>
          <w:bCs/>
          <w:b/>
        </w:rPr>
        <w:t xml:space="preserve"> </w:t>
      </w:r>
      <w:r>
        <w:rPr>
          <w:bCs/>
          <w:b/>
        </w:rPr>
        <w:t xml:space="preserve">“</w:t>
      </w:r>
      <w:r>
        <w:rPr>
          <w:bCs/>
          <w:b/>
        </w:rPr>
        <w:t xml:space="preserve">vate</w:t>
      </w:r>
      <w:r>
        <w:rPr>
          <w:bCs/>
          <w:b/>
        </w:rPr>
        <w:t xml:space="preserve">”</w:t>
      </w:r>
      <w:r>
        <w:rPr>
          <w:bCs/>
          <w:b/>
        </w:rPr>
        <w:t xml:space="preserve">)</w:t>
      </w:r>
      <w:r>
        <w:t xml:space="preserve">, and the tiṅanta nighāta of</w:t>
      </w:r>
      <w:r>
        <w:t xml:space="preserve"> </w:t>
      </w:r>
      <w:r>
        <w:rPr>
          <w:bCs/>
          <w:b/>
        </w:rPr>
        <w:t xml:space="preserve">तिङ्ङतिङः</w:t>
      </w:r>
      <w:r>
        <w:t xml:space="preserve"> </w:t>
      </w:r>
      <w:r>
        <w:t xml:space="preserve">does not occur because the verb stands in a relative (</w:t>
      </w:r>
      <w:r>
        <w:t xml:space="preserve">“</w:t>
      </w:r>
      <w:r>
        <w:t xml:space="preserve">yasya …</w:t>
      </w:r>
      <w:r>
        <w:t xml:space="preserve">”</w:t>
      </w:r>
      <w:r>
        <w:t xml:space="preserve">) clause (</w:t>
      </w:r>
      <w:r>
        <w:rPr>
          <w:bCs/>
          <w:b/>
        </w:rPr>
        <w:t xml:space="preserve">यद्वृत्तान्नित्यम्</w:t>
      </w:r>
      <w:r>
        <w:t xml:space="preserve">, पा. ८-१-६६).</w:t>
      </w:r>
      <w:r>
        <w:t xml:space="preserve"> </w:t>
      </w:r>
      <w:r>
        <w:rPr>
          <w:iCs/>
          <w:i/>
        </w:rPr>
        <w:t xml:space="preserve">(The print’s treatment of this accent runs onto the next page.)</w:t>
      </w:r>
    </w:p>
    <w:bookmarkEnd w:id="202"/>
    <w:bookmarkStart w:id="203" w:name="X875d2e1bbcba25b1a3f9e7e1c97870ecbd91993"/>
    <w:p>
      <w:pPr>
        <w:pStyle w:val="Heading3"/>
      </w:pPr>
      <w:r>
        <w:t xml:space="preserve">Pages 168–169 — Vyākaraṇa-prakriyā for Rik 5.4 concluded (characterized); end of Rik 5.4</w:t>
      </w:r>
    </w:p>
    <w:p>
      <w:pPr>
        <w:pStyle w:val="FirstParagraph"/>
      </w:pPr>
      <w:r>
        <w:rPr>
          <w:iCs/>
          <w:i/>
        </w:rPr>
        <w:t xml:space="preserve">(Page headers: p. 168</w:t>
      </w:r>
      <w:r>
        <w:rPr>
          <w:iCs/>
          <w:i/>
        </w:rPr>
        <w:t xml:space="preserve"> </w:t>
      </w:r>
      <w:r>
        <w:rPr>
          <w:iCs/>
          <w:i/>
        </w:rPr>
        <w:t xml:space="preserve">“</w:t>
      </w:r>
      <w:r>
        <w:rPr>
          <w:iCs/>
          <w:i/>
        </w:rPr>
        <w:t xml:space="preserve">Sāyaṇa-bhāṣya-sahitā · Maṇḍala 1, Anuvāka 2, Sūkta 5</w:t>
      </w:r>
      <w:r>
        <w:rPr>
          <w:iCs/>
          <w:i/>
        </w:rPr>
        <w:t xml:space="preserve">”</w:t>
      </w:r>
      <w:r>
        <w:rPr>
          <w:iCs/>
          <w:i/>
        </w:rPr>
        <w:t xml:space="preserve">; p. 169</w:t>
      </w:r>
      <w:r>
        <w:rPr>
          <w:iCs/>
          <w:i/>
        </w:rPr>
        <w:t xml:space="preserve"> </w:t>
      </w:r>
      <w:r>
        <w:rPr>
          <w:iCs/>
          <w:i/>
        </w:rPr>
        <w:t xml:space="preserve">“</w:t>
      </w:r>
      <w:r>
        <w:rPr>
          <w:iCs/>
          <w:i/>
        </w:rPr>
        <w:t xml:space="preserve">Aṣṭaka 1, Adhyāya 1, Varga 9 · Ṛgveda-saṃhitā.</w:t>
      </w:r>
      <w:r>
        <w:rPr>
          <w:iCs/>
          <w:i/>
        </w:rPr>
        <w:t xml:space="preserve">”</w:t>
      </w:r>
      <w:r>
        <w:rPr>
          <w:iCs/>
          <w:i/>
        </w:rPr>
        <w:t xml:space="preserve"> </w:t>
      </w:r>
      <w:r>
        <w:rPr>
          <w:iCs/>
          <w:i/>
        </w:rPr>
        <w:t xml:space="preserve">These two pages are</w:t>
      </w:r>
      <w:r>
        <w:rPr>
          <w:iCs/>
          <w:i/>
        </w:rPr>
        <w:t xml:space="preserve"> </w:t>
      </w:r>
      <w:r>
        <w:rPr>
          <w:bCs/>
          <w:b/>
          <w:iCs/>
          <w:i/>
        </w:rPr>
        <w:t xml:space="preserve">pure Pāṇinian derivation in Kannada prose</w:t>
      </w:r>
      <w:r>
        <w:rPr>
          <w:iCs/>
          <w:i/>
        </w:rPr>
        <w:t xml:space="preserve">, a very technical scholastic argument on the accent of</w:t>
      </w:r>
      <w:r>
        <w:rPr>
          <w:iCs/>
          <w:i/>
        </w:rPr>
        <w:t xml:space="preserve"> </w:t>
      </w:r>
      <w:r>
        <w:rPr>
          <w:iCs/>
          <w:i/>
        </w:rPr>
        <w:t xml:space="preserve">“</w:t>
      </w:r>
      <w:r>
        <w:rPr>
          <w:iCs/>
          <w:i/>
        </w:rPr>
        <w:t xml:space="preserve">vṛṇvate</w:t>
      </w:r>
      <w:r>
        <w:rPr>
          <w:iCs/>
          <w:i/>
        </w:rPr>
        <w:t xml:space="preserve">”</w:t>
      </w:r>
      <w:r>
        <w:rPr>
          <w:iCs/>
          <w:i/>
        </w:rPr>
        <w:t xml:space="preserve"> </w:t>
      </w:r>
      <w:r>
        <w:rPr>
          <w:iCs/>
          <w:i/>
        </w:rPr>
        <w:t xml:space="preserve">followed by the derivation of</w:t>
      </w:r>
      <w:r>
        <w:rPr>
          <w:iCs/>
          <w:i/>
        </w:rPr>
        <w:t xml:space="preserve"> </w:t>
      </w:r>
      <w:r>
        <w:rPr>
          <w:iCs/>
          <w:i/>
        </w:rPr>
        <w:t xml:space="preserve">“</w:t>
      </w:r>
      <w:r>
        <w:rPr>
          <w:iCs/>
          <w:i/>
        </w:rPr>
        <w:t xml:space="preserve">harī,</w:t>
      </w:r>
      <w:r>
        <w:rPr>
          <w:iCs/>
          <w:i/>
        </w:rPr>
        <w:t xml:space="preserve">”</w:t>
      </w:r>
      <w:r>
        <w:rPr>
          <w:iCs/>
          <w:i/>
        </w:rPr>
        <w:t xml:space="preserve"> </w:t>
      </w:r>
      <w:r>
        <w:rPr>
          <w:iCs/>
          <w:i/>
        </w:rPr>
        <w:t xml:space="preserve">“</w:t>
      </w:r>
      <w:r>
        <w:rPr>
          <w:iCs/>
          <w:i/>
        </w:rPr>
        <w:t xml:space="preserve">samatsu,</w:t>
      </w:r>
      <w:r>
        <w:rPr>
          <w:iCs/>
          <w:i/>
        </w:rPr>
        <w:t xml:space="preserve">”</w:t>
      </w:r>
      <w:r>
        <w:rPr>
          <w:iCs/>
          <w:i/>
        </w:rPr>
        <w:t xml:space="preserve"> </w:t>
      </w:r>
      <w:r>
        <w:rPr>
          <w:iCs/>
          <w:i/>
        </w:rPr>
        <w:t xml:space="preserve">“</w:t>
      </w:r>
      <w:r>
        <w:rPr>
          <w:iCs/>
          <w:i/>
        </w:rPr>
        <w:t xml:space="preserve">śatravaḥ</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tasmai.</w:t>
      </w:r>
      <w:r>
        <w:rPr>
          <w:iCs/>
          <w:i/>
        </w:rPr>
        <w:t xml:space="preserve">”</w:t>
      </w:r>
      <w:r>
        <w:rPr>
          <w:iCs/>
          <w:i/>
        </w:rPr>
        <w:t xml:space="preserve"> </w:t>
      </w:r>
      <w:r>
        <w:rPr>
          <w:iCs/>
          <w:i/>
        </w:rPr>
        <w:t xml:space="preserve">They do not bear on the sense of the Rik (pp. 165–166). Per the standing convention they are</w:t>
      </w:r>
      <w:r>
        <w:rPr>
          <w:iCs/>
          <w:i/>
        </w:rPr>
        <w:t xml:space="preserve"> </w:t>
      </w:r>
      <w:r>
        <w:rPr>
          <w:bCs/>
          <w:b/>
          <w:iCs/>
          <w:i/>
        </w:rPr>
        <w:t xml:space="preserve">characterized in outline</w:t>
      </w:r>
      <w:r>
        <w:rPr>
          <w:iCs/>
          <w:i/>
        </w:rPr>
        <w:t xml:space="preserve">, with the sūtras named kept in three layers and the numbers as I read them; the argument on p. 168 is crowded and I give only its drift.)</w:t>
      </w:r>
    </w:p>
    <w:p>
      <w:pPr>
        <w:pStyle w:val="BodyText"/>
      </w:pPr>
      <w:r>
        <w:rPr>
          <w:bCs/>
          <w:b/>
        </w:rPr>
        <w:t xml:space="preserve">p. 168 — the accent of</w:t>
      </w:r>
      <w:r>
        <w:rPr>
          <w:bCs/>
          <w:b/>
        </w:rPr>
        <w:t xml:space="preserve"> </w:t>
      </w:r>
      <w:r>
        <w:rPr>
          <w:bCs/>
          <w:b/>
        </w:rPr>
        <w:t xml:space="preserve">“</w:t>
      </w:r>
      <w:r>
        <w:rPr>
          <w:bCs/>
          <w:b/>
        </w:rPr>
        <w:t xml:space="preserve">vṛṇvate</w:t>
      </w:r>
      <w:r>
        <w:rPr>
          <w:bCs/>
          <w:b/>
        </w:rPr>
        <w:t xml:space="preserve">”</w:t>
      </w:r>
      <w:r>
        <w:rPr>
          <w:bCs/>
          <w:b/>
        </w:rPr>
        <w:t xml:space="preserve"> </w:t>
      </w:r>
      <w:r>
        <w:rPr>
          <w:bCs/>
          <w:b/>
        </w:rPr>
        <w:t xml:space="preserve">(concluded).</w:t>
      </w:r>
      <w:r>
        <w:t xml:space="preserve"> </w:t>
      </w:r>
      <w:r>
        <w:t xml:space="preserve">The page continues the argument of p. 167. The rule</w:t>
      </w:r>
      <w:r>
        <w:t xml:space="preserve"> </w:t>
      </w:r>
      <w:r>
        <w:rPr>
          <w:bCs/>
          <w:b/>
        </w:rPr>
        <w:t xml:space="preserve">आद्युदात्तश्च</w:t>
      </w:r>
      <w:r>
        <w:t xml:space="preserve"> </w:t>
      </w:r>
      <w:r>
        <w:t xml:space="preserve">(पा. ३-१-३) would give the</w:t>
      </w:r>
      <w:r>
        <w:t xml:space="preserve"> </w:t>
      </w:r>
      <w:r>
        <w:t xml:space="preserve">“</w:t>
      </w:r>
      <w:r>
        <w:t xml:space="preserve">śnu</w:t>
      </w:r>
      <w:r>
        <w:t xml:space="preserve">”</w:t>
      </w:r>
      <w:r>
        <w:t xml:space="preserve"> </w:t>
      </w:r>
      <w:r>
        <w:t xml:space="preserve">vikaraṇa an acute; but</w:t>
      </w:r>
      <w:r>
        <w:t xml:space="preserve"> </w:t>
      </w:r>
      <w:r>
        <w:rPr>
          <w:bCs/>
          <w:b/>
        </w:rPr>
        <w:t xml:space="preserve">अनुदात्तं पदमेकवर्जम्</w:t>
      </w:r>
      <w:r>
        <w:t xml:space="preserve"> </w:t>
      </w:r>
      <w:r>
        <w:t xml:space="preserve">(पा. ६-१-१५८) — made to cohere with it by a</w:t>
      </w:r>
      <w:r>
        <w:t xml:space="preserve"> </w:t>
      </w:r>
      <w:r>
        <w:t xml:space="preserve">“</w:t>
      </w:r>
      <w:r>
        <w:t xml:space="preserve">vākyaikatā</w:t>
      </w:r>
      <w:r>
        <w:t xml:space="preserve">”</w:t>
      </w:r>
      <w:r>
        <w:t xml:space="preserve"> </w:t>
      </w:r>
      <w:r>
        <w:t xml:space="preserve">(single-sentence) reading — leaves only one syllable accented; the maxim</w:t>
      </w:r>
      <w:r>
        <w:t xml:space="preserve"> </w:t>
      </w:r>
      <w:r>
        <w:rPr>
          <w:bCs/>
          <w:b/>
        </w:rPr>
        <w:t xml:space="preserve">सति शिष्टस्वरबलीयस्त्वमन्यत्र विकरणेभ्यः</w:t>
      </w:r>
      <w:r>
        <w:t xml:space="preserve"> </w:t>
      </w:r>
      <w:r>
        <w:t xml:space="preserve">(</w:t>
      </w:r>
      <w:r>
        <w:t xml:space="preserve">“</w:t>
      </w:r>
      <w:r>
        <w:t xml:space="preserve">in the presence of a remaining accent, that accent prevails, except for the vikaraṇas</w:t>
      </w:r>
      <w:r>
        <w:t xml:space="preserve">”</w:t>
      </w:r>
      <w:r>
        <w:t xml:space="preserve">) is, the print says, a</w:t>
      </w:r>
      <w:r>
        <w:t xml:space="preserve"> </w:t>
      </w:r>
      <w:r>
        <w:rPr>
          <w:iCs/>
          <w:i/>
        </w:rPr>
        <w:t xml:space="preserve">jñāpaka</w:t>
      </w:r>
      <w:r>
        <w:t xml:space="preserve"> </w:t>
      </w:r>
      <w:r>
        <w:t xml:space="preserve">(an indirect proof) from the rule</w:t>
      </w:r>
      <w:r>
        <w:t xml:space="preserve"> </w:t>
      </w:r>
      <w:r>
        <w:rPr>
          <w:bCs/>
          <w:b/>
        </w:rPr>
        <w:t xml:space="preserve">तास्यनुदात्तेन्ङिददुपदेशाल्लसार्वधातुकमनुदात्तमहन्वनोर्ङित्</w:t>
      </w:r>
      <w:r>
        <w:t xml:space="preserve"> </w:t>
      </w:r>
      <w:r>
        <w:t xml:space="preserve">(पा. ६-१-१८६), which makes the sārvadhātuka affix after</w:t>
      </w:r>
      <w:r>
        <w:t xml:space="preserve"> </w:t>
      </w:r>
      <w:r>
        <w:t xml:space="preserve">“</w:t>
      </w:r>
      <w:r>
        <w:t xml:space="preserve">tās</w:t>
      </w:r>
      <w:r>
        <w:t xml:space="preserve">”</w:t>
      </w:r>
      <w:r>
        <w:t xml:space="preserve"> </w:t>
      </w:r>
      <w:r>
        <w:t xml:space="preserve">unaccented; and the print adds that this</w:t>
      </w:r>
      <w:r>
        <w:t xml:space="preserve"> </w:t>
      </w:r>
      <w:r>
        <w:rPr>
          <w:iCs/>
          <w:i/>
        </w:rPr>
        <w:t xml:space="preserve">jñāpaka</w:t>
      </w:r>
      <w:r>
        <w:t xml:space="preserve"> </w:t>
      </w:r>
      <w:r>
        <w:t xml:space="preserve">works only if the maxim has the</w:t>
      </w:r>
      <w:r>
        <w:t xml:space="preserve"> </w:t>
      </w:r>
      <w:r>
        <w:t xml:space="preserve">“</w:t>
      </w:r>
      <w:r>
        <w:t xml:space="preserve">vācanika</w:t>
      </w:r>
      <w:r>
        <w:t xml:space="preserve">”</w:t>
      </w:r>
      <w:r>
        <w:t xml:space="preserve"> </w:t>
      </w:r>
      <w:r>
        <w:t xml:space="preserve">(explicit) force with the words</w:t>
      </w:r>
      <w:r>
        <w:t xml:space="preserve"> </w:t>
      </w:r>
      <w:r>
        <w:t xml:space="preserve">“</w:t>
      </w:r>
      <w:r>
        <w:t xml:space="preserve">anyatra vikaraṇebhyaḥ.</w:t>
      </w:r>
      <w:r>
        <w:t xml:space="preserve">”</w:t>
      </w:r>
      <w:r>
        <w:t xml:space="preserve"> </w:t>
      </w:r>
      <w:r>
        <w:t xml:space="preserve">The consequence is that in</w:t>
      </w:r>
      <w:r>
        <w:t xml:space="preserve"> </w:t>
      </w:r>
      <w:r>
        <w:t xml:space="preserve">“</w:t>
      </w:r>
      <w:r>
        <w:t xml:space="preserve">vṛṇvate</w:t>
      </w:r>
      <w:r>
        <w:t xml:space="preserve">”</w:t>
      </w:r>
      <w:r>
        <w:t xml:space="preserve"> </w:t>
      </w:r>
      <w:r>
        <w:t xml:space="preserve">the vikaraṇa’s accent does not displace the affix’s. As to the nighāta of</w:t>
      </w:r>
      <w:r>
        <w:t xml:space="preserve"> </w:t>
      </w:r>
      <w:r>
        <w:rPr>
          <w:bCs/>
          <w:b/>
        </w:rPr>
        <w:t xml:space="preserve">तिङ्ङतिङः</w:t>
      </w:r>
      <w:r>
        <w:t xml:space="preserve"> </w:t>
      </w:r>
      <w:r>
        <w:t xml:space="preserve">(पा. ८-१-२८): in a clause with</w:t>
      </w:r>
      <w:r>
        <w:t xml:space="preserve"> </w:t>
      </w:r>
      <w:r>
        <w:t xml:space="preserve">“</w:t>
      </w:r>
      <w:r>
        <w:t xml:space="preserve">yad</w:t>
      </w:r>
      <w:r>
        <w:t xml:space="preserve">”</w:t>
      </w:r>
      <w:r>
        <w:t xml:space="preserve"> </w:t>
      </w:r>
      <w:r>
        <w:t xml:space="preserve">(which) the verb is not made unaccented (</w:t>
      </w:r>
      <w:r>
        <w:rPr>
          <w:bCs/>
          <w:b/>
        </w:rPr>
        <w:t xml:space="preserve">यद्वृत्तान्नित्यम्</w:t>
      </w:r>
      <w:r>
        <w:t xml:space="preserve">, पा. ८-१-६६); here</w:t>
      </w:r>
      <w:r>
        <w:t xml:space="preserve"> </w:t>
      </w:r>
      <w:r>
        <w:t xml:space="preserve">“</w:t>
      </w:r>
      <w:r>
        <w:t xml:space="preserve">vṛṇvate</w:t>
      </w:r>
      <w:r>
        <w:t xml:space="preserve">”</w:t>
      </w:r>
      <w:r>
        <w:t xml:space="preserve"> </w:t>
      </w:r>
      <w:r>
        <w:t xml:space="preserve">is not immediately after</w:t>
      </w:r>
      <w:r>
        <w:t xml:space="preserve"> </w:t>
      </w:r>
      <w:r>
        <w:t xml:space="preserve">“</w:t>
      </w:r>
      <w:r>
        <w:t xml:space="preserve">yasya</w:t>
      </w:r>
      <w:r>
        <w:t xml:space="preserve">”</w:t>
      </w:r>
      <w:r>
        <w:t xml:space="preserve"> </w:t>
      </w:r>
      <w:r>
        <w:t xml:space="preserve">(the relative word</w:t>
      </w:r>
      <w:r>
        <w:t xml:space="preserve"> </w:t>
      </w:r>
      <w:r>
        <w:t xml:space="preserve">“</w:t>
      </w:r>
      <w:r>
        <w:t xml:space="preserve">yat</w:t>
      </w:r>
      <w:r>
        <w:t xml:space="preserve">”</w:t>
      </w:r>
      <w:r>
        <w:t xml:space="preserve"> </w:t>
      </w:r>
      <w:r>
        <w:t xml:space="preserve">is not directly before it); the print explains that the rule of non-adjacency is set aside by</w:t>
      </w:r>
      <w:r>
        <w:t xml:space="preserve"> </w:t>
      </w:r>
      <w:r>
        <w:rPr>
          <w:bCs/>
          <w:b/>
        </w:rPr>
        <w:t xml:space="preserve">पूजनात्पूजितमनुदात्तं</w:t>
      </w:r>
      <w:r>
        <w:t xml:space="preserve"> </w:t>
      </w:r>
      <w:r>
        <w:t xml:space="preserve">(पा. ८-१-६७) and by the paribhāṣā</w:t>
      </w:r>
      <w:r>
        <w:t xml:space="preserve"> </w:t>
      </w:r>
      <w:r>
        <w:rPr>
          <w:bCs/>
          <w:b/>
        </w:rPr>
        <w:t xml:space="preserve">पञ्चमीनिर्देशेऽपि नानन्तर्यमिष्यते</w:t>
      </w:r>
      <w:r>
        <w:t xml:space="preserve"> </w:t>
      </w:r>
      <w:r>
        <w:t xml:space="preserve">(</w:t>
      </w:r>
      <w:r>
        <w:t xml:space="preserve">“</w:t>
      </w:r>
      <w:r>
        <w:t xml:space="preserve">even with an ablative indication, immediate contiguity is not required</w:t>
      </w:r>
      <w:r>
        <w:t xml:space="preserve">”</w:t>
      </w:r>
      <w:r>
        <w:t xml:space="preserve">), so that</w:t>
      </w:r>
      <w:r>
        <w:t xml:space="preserve"> </w:t>
      </w:r>
      <w:r>
        <w:rPr>
          <w:bCs/>
          <w:b/>
        </w:rPr>
        <w:t xml:space="preserve">यद्वृत्तान्नित्यम्</w:t>
      </w:r>
      <w:r>
        <w:t xml:space="preserve"> </w:t>
      </w:r>
      <w:r>
        <w:t xml:space="preserve">applies even with an intervening word; hence the verb is</w:t>
      </w:r>
      <w:r>
        <w:t xml:space="preserve"> </w:t>
      </w:r>
      <w:r>
        <w:rPr>
          <w:bCs/>
          <w:b/>
        </w:rPr>
        <w:t xml:space="preserve">not</w:t>
      </w:r>
      <w:r>
        <w:t xml:space="preserve"> </w:t>
      </w:r>
      <w:r>
        <w:t xml:space="preserve">unaccented by</w:t>
      </w:r>
      <w:r>
        <w:t xml:space="preserve"> </w:t>
      </w:r>
      <w:r>
        <w:t xml:space="preserve">“</w:t>
      </w:r>
      <w:r>
        <w:t xml:space="preserve">tiṅ atiṅaḥ,</w:t>
      </w:r>
      <w:r>
        <w:t xml:space="preserve">”</w:t>
      </w:r>
      <w:r>
        <w:t xml:space="preserve"> </w:t>
      </w:r>
      <w:r>
        <w:t xml:space="preserve">and</w:t>
      </w:r>
      <w:r>
        <w:t xml:space="preserve"> </w:t>
      </w:r>
      <w:r>
        <w:t xml:space="preserve">“</w:t>
      </w:r>
      <w:r>
        <w:t xml:space="preserve">vṛṇvate</w:t>
      </w:r>
      <w:r>
        <w:t xml:space="preserve">”</w:t>
      </w:r>
      <w:r>
        <w:t xml:space="preserve"> </w:t>
      </w:r>
      <w:r>
        <w:t xml:space="preserve">keeps its acute.</w:t>
      </w:r>
      <w:r>
        <w:t xml:space="preserve"> </w:t>
      </w:r>
      <w:r>
        <w:rPr>
          <w:bCs/>
          <w:b/>
        </w:rPr>
        <w:t xml:space="preserve">“</w:t>
      </w:r>
      <w:r>
        <w:rPr>
          <w:bCs/>
          <w:b/>
        </w:rPr>
        <w:t xml:space="preserve">Harī</w:t>
      </w:r>
      <w:r>
        <w:rPr>
          <w:bCs/>
          <w:b/>
        </w:rPr>
        <w:t xml:space="preserve">”</w:t>
      </w:r>
      <w:r>
        <w:t xml:space="preserve"> </w:t>
      </w:r>
      <w:r>
        <w:t xml:space="preserve">—</w:t>
      </w:r>
      <w:r>
        <w:t xml:space="preserve"> </w:t>
      </w:r>
      <w:r>
        <w:t xml:space="preserve">“</w:t>
      </w:r>
      <w:r>
        <w:t xml:space="preserve">harato ratham</w:t>
      </w:r>
      <w:r>
        <w:t xml:space="preserve">”</w:t>
      </w:r>
      <w:r>
        <w:t xml:space="preserve"> </w:t>
      </w:r>
      <w:r>
        <w:t xml:space="preserve">(</w:t>
      </w:r>
      <w:r>
        <w:t xml:space="preserve">“</w:t>
      </w:r>
      <w:r>
        <w:t xml:space="preserve">they carry the chariot</w:t>
      </w:r>
      <w:r>
        <w:t xml:space="preserve">”</w:t>
      </w:r>
      <w:r>
        <w:t xml:space="preserve">) — the two horses: the Uṇādi</w:t>
      </w:r>
      <w:r>
        <w:t xml:space="preserve"> </w:t>
      </w:r>
      <w:r>
        <w:rPr>
          <w:bCs/>
          <w:b/>
        </w:rPr>
        <w:t xml:space="preserve">हृपिषिरुहिवृतिविदिच्छिदिकीर्तिभ्यश्च</w:t>
      </w:r>
      <w:r>
        <w:t xml:space="preserve"> </w:t>
      </w:r>
      <w:r>
        <w:t xml:space="preserve">(उ. सू. ४-५-५८ [as printed];</w:t>
      </w:r>
      <w:r>
        <w:t xml:space="preserve"> </w:t>
      </w:r>
      <w:r>
        <w:t xml:space="preserve">“</w:t>
      </w:r>
      <w:r>
        <w:t xml:space="preserve">4-118</w:t>
      </w:r>
      <w:r>
        <w:t xml:space="preserve">”</w:t>
      </w:r>
      <w:r>
        <w:t xml:space="preserve"> </w:t>
      </w:r>
      <w:r>
        <w:t xml:space="preserve">on p. 165), the affix</w:t>
      </w:r>
      <w:r>
        <w:t xml:space="preserve"> </w:t>
      </w:r>
      <w:r>
        <w:t xml:space="preserve">“</w:t>
      </w:r>
      <w:r>
        <w:t xml:space="preserve">in</w:t>
      </w:r>
      <w:r>
        <w:t xml:space="preserve">”</w:t>
      </w:r>
      <w:r>
        <w:t xml:space="preserve"> </w:t>
      </w:r>
      <w:r>
        <w:t xml:space="preserve">after</w:t>
      </w:r>
      <w:r>
        <w:t xml:space="preserve"> </w:t>
      </w:r>
      <w:r>
        <w:t xml:space="preserve">“</w:t>
      </w:r>
      <w:r>
        <w:t xml:space="preserve">hṛñ haraṇe</w:t>
      </w:r>
      <w:r>
        <w:t xml:space="preserve">”</w:t>
      </w:r>
      <w:r>
        <w:t xml:space="preserve"> </w:t>
      </w:r>
      <w:r>
        <w:t xml:space="preserve">(to carry) …</w:t>
      </w:r>
      <w:r>
        <w:t xml:space="preserve"> </w:t>
      </w:r>
      <w:r>
        <w:rPr>
          <w:iCs/>
          <w:i/>
        </w:rPr>
        <w:t xml:space="preserve">(continues on p. 169).</w:t>
      </w:r>
    </w:p>
    <w:p>
      <w:pPr>
        <w:pStyle w:val="BodyText"/>
      </w:pPr>
      <w:r>
        <w:rPr>
          <w:bCs/>
          <w:b/>
        </w:rPr>
        <w:t xml:space="preserve">p. 169.</w:t>
      </w:r>
      <w:r>
        <w:t xml:space="preserve"> </w:t>
      </w:r>
      <w:r>
        <w:t xml:space="preserve">The roots listed in that Uṇādi-sūtra are</w:t>
      </w:r>
      <w:r>
        <w:t xml:space="preserve"> </w:t>
      </w:r>
      <w:r>
        <w:t xml:space="preserve">“</w:t>
      </w:r>
      <w:r>
        <w:t xml:space="preserve">hṛñ,</w:t>
      </w:r>
      <w:r>
        <w:t xml:space="preserve">”</w:t>
      </w:r>
      <w:r>
        <w:t xml:space="preserve"> </w:t>
      </w:r>
      <w:r>
        <w:t xml:space="preserve">“</w:t>
      </w:r>
      <w:r>
        <w:t xml:space="preserve">piṣ,</w:t>
      </w:r>
      <w:r>
        <w:t xml:space="preserve">”</w:t>
      </w:r>
      <w:r>
        <w:t xml:space="preserve"> </w:t>
      </w:r>
      <w:r>
        <w:t xml:space="preserve">“</w:t>
      </w:r>
      <w:r>
        <w:t xml:space="preserve">ruh</w:t>
      </w:r>
      <w:r>
        <w:t xml:space="preserve">”</w:t>
      </w:r>
      <w:r>
        <w:t xml:space="preserve"> </w:t>
      </w:r>
      <w:r>
        <w:t xml:space="preserve">and the rest, and</w:t>
      </w:r>
      <w:r>
        <w:t xml:space="preserve"> </w:t>
      </w:r>
      <w:r>
        <w:t xml:space="preserve">“</w:t>
      </w:r>
      <w:r>
        <w:t xml:space="preserve">in</w:t>
      </w:r>
      <w:r>
        <w:t xml:space="preserve">”</w:t>
      </w:r>
      <w:r>
        <w:t xml:space="preserve"> </w:t>
      </w:r>
      <w:r>
        <w:t xml:space="preserve">is added;</w:t>
      </w:r>
      <w:r>
        <w:t xml:space="preserve"> </w:t>
      </w:r>
      <w:r>
        <w:t xml:space="preserve">“</w:t>
      </w:r>
      <w:r>
        <w:t xml:space="preserve">hṛ + in,</w:t>
      </w:r>
      <w:r>
        <w:t xml:space="preserve">”</w:t>
      </w:r>
      <w:r>
        <w:t xml:space="preserve"> </w:t>
      </w:r>
      <w:r>
        <w:t xml:space="preserve">then guṇa →</w:t>
      </w:r>
      <w:r>
        <w:t xml:space="preserve"> </w:t>
      </w:r>
      <w:r>
        <w:t xml:space="preserve">“</w:t>
      </w:r>
      <w:r>
        <w:t xml:space="preserve">hari</w:t>
      </w:r>
      <w:r>
        <w:t xml:space="preserve">”</w:t>
      </w:r>
      <w:r>
        <w:t xml:space="preserve">; the dual</w:t>
      </w:r>
      <w:r>
        <w:t xml:space="preserve"> </w:t>
      </w:r>
      <w:r>
        <w:t xml:space="preserve">“</w:t>
      </w:r>
      <w:r>
        <w:t xml:space="preserve">au</w:t>
      </w:r>
      <w:r>
        <w:t xml:space="preserve">”</w:t>
      </w:r>
      <w:r>
        <w:t xml:space="preserve"> </w:t>
      </w:r>
      <w:r>
        <w:t xml:space="preserve">→</w:t>
      </w:r>
      <w:r>
        <w:t xml:space="preserve"> </w:t>
      </w:r>
      <w:r>
        <w:t xml:space="preserve">“</w:t>
      </w:r>
      <w:r>
        <w:t xml:space="preserve">ī</w:t>
      </w:r>
      <w:r>
        <w:t xml:space="preserve">”</w:t>
      </w:r>
      <w:r>
        <w:t xml:space="preserve"> </w:t>
      </w:r>
      <w:r>
        <w:t xml:space="preserve">in the Veda;</w:t>
      </w:r>
      <w:r>
        <w:t xml:space="preserve"> </w:t>
      </w:r>
      <w:r>
        <w:t xml:space="preserve">“</w:t>
      </w:r>
      <w:r>
        <w:t xml:space="preserve">harī</w:t>
      </w:r>
      <w:r>
        <w:t xml:space="preserve">”</w:t>
      </w:r>
      <w:r>
        <w:t xml:space="preserve"> </w:t>
      </w:r>
      <w:r>
        <w:t xml:space="preserve">— end-acute by the affix’s accent,</w:t>
      </w:r>
      <w:r>
        <w:t xml:space="preserve"> </w:t>
      </w:r>
      <w:r>
        <w:t xml:space="preserve">“</w:t>
      </w:r>
      <w:r>
        <w:t xml:space="preserve">n</w:t>
      </w:r>
      <w:r>
        <w:t xml:space="preserve">”</w:t>
      </w:r>
      <w:r>
        <w:t xml:space="preserve">-marked so first-syllable acute by the Uṇādi rule (</w:t>
      </w:r>
      <w:r>
        <w:rPr>
          <w:bCs/>
          <w:b/>
        </w:rPr>
        <w:t xml:space="preserve">ञित्यादिर्नित्यम्</w:t>
      </w:r>
      <w:r>
        <w:t xml:space="preserve">).</w:t>
      </w:r>
      <w:r>
        <w:t xml:space="preserve"> </w:t>
      </w:r>
      <w:r>
        <w:rPr>
          <w:bCs/>
          <w:b/>
        </w:rPr>
        <w:t xml:space="preserve">“</w:t>
      </w:r>
      <w:r>
        <w:rPr>
          <w:bCs/>
          <w:b/>
        </w:rPr>
        <w:t xml:space="preserve">Samatsu</w:t>
      </w:r>
      <w:r>
        <w:rPr>
          <w:bCs/>
          <w:b/>
        </w:rPr>
        <w:t xml:space="preserve">”</w:t>
      </w:r>
      <w:r>
        <w:t xml:space="preserve"> </w:t>
      </w:r>
      <w:r>
        <w:t xml:space="preserve">— after the prefix</w:t>
      </w:r>
      <w:r>
        <w:t xml:space="preserve"> </w:t>
      </w:r>
      <w:r>
        <w:t xml:space="preserve">“</w:t>
      </w:r>
      <w:r>
        <w:t xml:space="preserve">sam,</w:t>
      </w:r>
      <w:r>
        <w:t xml:space="preserve">”</w:t>
      </w:r>
      <w:r>
        <w:t xml:space="preserve"> </w:t>
      </w:r>
      <w:r>
        <w:t xml:space="preserve">the root</w:t>
      </w:r>
      <w:r>
        <w:t xml:space="preserve"> </w:t>
      </w:r>
      <w:r>
        <w:t xml:space="preserve">“</w:t>
      </w:r>
      <w:r>
        <w:t xml:space="preserve">ad</w:t>
      </w:r>
      <w:r>
        <w:t xml:space="preserve">”</w:t>
      </w:r>
      <w:r>
        <w:t xml:space="preserve"> </w:t>
      </w:r>
      <w:r>
        <w:t xml:space="preserve">(to eat) takes</w:t>
      </w:r>
      <w:r>
        <w:t xml:space="preserve"> </w:t>
      </w:r>
      <w:r>
        <w:t xml:space="preserve">“</w:t>
      </w:r>
      <w:r>
        <w:t xml:space="preserve">kvip</w:t>
      </w:r>
      <w:r>
        <w:t xml:space="preserve">”</w:t>
      </w:r>
      <w:r>
        <w:t xml:space="preserve">;</w:t>
      </w:r>
      <w:r>
        <w:t xml:space="preserve"> </w:t>
      </w:r>
      <w:r>
        <w:t xml:space="preserve">“</w:t>
      </w:r>
      <w:r>
        <w:t xml:space="preserve">sam + ad + kvip + su.</w:t>
      </w:r>
      <w:r>
        <w:t xml:space="preserve">”</w:t>
      </w:r>
      <w:r>
        <w:t xml:space="preserve"> </w:t>
      </w:r>
      <w:r>
        <w:rPr>
          <w:bCs/>
          <w:b/>
        </w:rPr>
        <w:t xml:space="preserve">“</w:t>
      </w:r>
      <w:r>
        <w:rPr>
          <w:bCs/>
          <w:b/>
        </w:rPr>
        <w:t xml:space="preserve">Śatravaḥ</w:t>
      </w:r>
      <w:r>
        <w:rPr>
          <w:bCs/>
          <w:b/>
        </w:rPr>
        <w:t xml:space="preserve">”</w:t>
      </w:r>
      <w:r>
        <w:t xml:space="preserve"> </w:t>
      </w:r>
      <w:r>
        <w:t xml:space="preserve">— the root</w:t>
      </w:r>
      <w:r>
        <w:t xml:space="preserve"> </w:t>
      </w:r>
      <w:r>
        <w:t xml:space="preserve">“</w:t>
      </w:r>
      <w:r>
        <w:t xml:space="preserve">śat</w:t>
      </w:r>
      <w:r>
        <w:t xml:space="preserve">”</w:t>
      </w:r>
      <w:r>
        <w:t xml:space="preserve"> </w:t>
      </w:r>
      <w:r>
        <w:t xml:space="preserve">(</w:t>
      </w:r>
      <w:r>
        <w:t xml:space="preserve">“</w:t>
      </w:r>
      <w:r>
        <w:t xml:space="preserve">śati hiṃsāyām</w:t>
      </w:r>
      <w:r>
        <w:t xml:space="preserve">”</w:t>
      </w:r>
      <w:r>
        <w:t xml:space="preserve">) is a</w:t>
      </w:r>
      <w:r>
        <w:t xml:space="preserve"> </w:t>
      </w:r>
      <w:r>
        <w:t xml:space="preserve">“</w:t>
      </w:r>
      <w:r>
        <w:t xml:space="preserve">sautra</w:t>
      </w:r>
      <w:r>
        <w:t xml:space="preserve">”</w:t>
      </w:r>
      <w:r>
        <w:t xml:space="preserve"> </w:t>
      </w:r>
      <w:r>
        <w:t xml:space="preserve">root (taken from the sūtras, not read in the dhātupāṭha); the print says that, since the grammarians treat it as established in the sūtras, it must be accepted as authoritative; with the sense</w:t>
      </w:r>
      <w:r>
        <w:t xml:space="preserve"> </w:t>
      </w:r>
      <w:r>
        <w:t xml:space="preserve">“</w:t>
      </w:r>
      <w:r>
        <w:t xml:space="preserve">to injure</w:t>
      </w:r>
      <w:r>
        <w:t xml:space="preserve">”</w:t>
      </w:r>
      <w:r>
        <w:t xml:space="preserve"> </w:t>
      </w:r>
      <w:r>
        <w:t xml:space="preserve">the affix</w:t>
      </w:r>
      <w:r>
        <w:t xml:space="preserve"> </w:t>
      </w:r>
      <w:r>
        <w:t xml:space="preserve">“</w:t>
      </w:r>
      <w:r>
        <w:t xml:space="preserve">kru</w:t>
      </w:r>
      <w:r>
        <w:t xml:space="preserve">”</w:t>
      </w:r>
      <w:r>
        <w:t xml:space="preserve"> </w:t>
      </w:r>
      <w:r>
        <w:t xml:space="preserve">(</w:t>
      </w:r>
      <w:r>
        <w:rPr>
          <w:bCs/>
          <w:b/>
        </w:rPr>
        <w:t xml:space="preserve">रुशतिभ्यां क्रुन्</w:t>
      </w:r>
      <w:r>
        <w:t xml:space="preserve">, उ. सू. ४-५-४३ [as printed];</w:t>
      </w:r>
      <w:r>
        <w:t xml:space="preserve"> </w:t>
      </w:r>
      <w:r>
        <w:t xml:space="preserve">“</w:t>
      </w:r>
      <w:r>
        <w:t xml:space="preserve">4-103</w:t>
      </w:r>
      <w:r>
        <w:t xml:space="preserve">”</w:t>
      </w:r>
      <w:r>
        <w:t xml:space="preserve"> </w:t>
      </w:r>
      <w:r>
        <w:t xml:space="preserve">on p. 165) →</w:t>
      </w:r>
      <w:r>
        <w:t xml:space="preserve"> </w:t>
      </w:r>
      <w:r>
        <w:t xml:space="preserve">“</w:t>
      </w:r>
      <w:r>
        <w:t xml:space="preserve">śatru</w:t>
      </w:r>
      <w:r>
        <w:t xml:space="preserve">”</w:t>
      </w:r>
      <w:r>
        <w:t xml:space="preserve">; the nominative plural</w:t>
      </w:r>
      <w:r>
        <w:t xml:space="preserve"> </w:t>
      </w:r>
      <w:r>
        <w:t xml:space="preserve">“</w:t>
      </w:r>
      <w:r>
        <w:t xml:space="preserve">jas</w:t>
      </w:r>
      <w:r>
        <w:t xml:space="preserve">”</w:t>
      </w:r>
      <w:r>
        <w:t xml:space="preserve">; the</w:t>
      </w:r>
      <w:r>
        <w:t xml:space="preserve"> </w:t>
      </w:r>
      <w:r>
        <w:t xml:space="preserve">“</w:t>
      </w:r>
      <w:r>
        <w:t xml:space="preserve">j</w:t>
      </w:r>
      <w:r>
        <w:t xml:space="preserve">”</w:t>
      </w:r>
      <w:r>
        <w:t xml:space="preserve"> </w:t>
      </w:r>
      <w:r>
        <w:t xml:space="preserve">and</w:t>
      </w:r>
      <w:r>
        <w:t xml:space="preserve"> </w:t>
      </w:r>
      <w:r>
        <w:t xml:space="preserve">“</w:t>
      </w:r>
      <w:r>
        <w:t xml:space="preserve">s</w:t>
      </w:r>
      <w:r>
        <w:t xml:space="preserve">”</w:t>
      </w:r>
      <w:r>
        <w:t xml:space="preserve"> </w:t>
      </w:r>
      <w:r>
        <w:t xml:space="preserve">are</w:t>
      </w:r>
      <w:r>
        <w:t xml:space="preserve"> </w:t>
      </w:r>
      <w:r>
        <w:t xml:space="preserve">“</w:t>
      </w:r>
      <w:r>
        <w:t xml:space="preserve">it</w:t>
      </w:r>
      <w:r>
        <w:t xml:space="preserve">”</w:t>
      </w:r>
      <w:r>
        <w:t xml:space="preserve">-letters;</w:t>
      </w:r>
      <w:r>
        <w:t xml:space="preserve"> </w:t>
      </w:r>
      <w:r>
        <w:rPr>
          <w:bCs/>
          <w:b/>
        </w:rPr>
        <w:t xml:space="preserve">शत्रुः…</w:t>
      </w:r>
      <w:r>
        <w:t xml:space="preserve"> </w:t>
      </w:r>
      <w:r>
        <w:t xml:space="preserve">the</w:t>
      </w:r>
      <w:r>
        <w:t xml:space="preserve"> </w:t>
      </w:r>
      <w:r>
        <w:t xml:space="preserve">“</w:t>
      </w:r>
      <w:r>
        <w:t xml:space="preserve">u</w:t>
      </w:r>
      <w:r>
        <w:t xml:space="preserve">”</w:t>
      </w:r>
      <w:r>
        <w:t xml:space="preserve"> </w:t>
      </w:r>
      <w:r>
        <w:t xml:space="preserve">takes guṇa before</w:t>
      </w:r>
      <w:r>
        <w:t xml:space="preserve"> </w:t>
      </w:r>
      <w:r>
        <w:t xml:space="preserve">“</w:t>
      </w:r>
      <w:r>
        <w:t xml:space="preserve">jas</w:t>
      </w:r>
      <w:r>
        <w:t xml:space="preserve">”</w:t>
      </w:r>
      <w:r>
        <w:t xml:space="preserve"> </w:t>
      </w:r>
      <w:r>
        <w:t xml:space="preserve">(</w:t>
      </w:r>
      <w:r>
        <w:rPr>
          <w:bCs/>
          <w:b/>
        </w:rPr>
        <w:t xml:space="preserve">जसि च</w:t>
      </w:r>
      <w:r>
        <w:t xml:space="preserve">, पा. ७-३-१०९ —</w:t>
      </w:r>
      <w:r>
        <w:t xml:space="preserve"> </w:t>
      </w:r>
      <w:r>
        <w:t xml:space="preserve">“</w:t>
      </w:r>
      <w:r>
        <w:t xml:space="preserve">guṇa for a final</w:t>
      </w:r>
      <w:r>
        <w:t xml:space="preserve"> </w:t>
      </w:r>
      <w:r>
        <w:t xml:space="preserve">‘</w:t>
      </w:r>
      <w:r>
        <w:t xml:space="preserve">i/u/ṛ/ḷ</w:t>
      </w:r>
      <w:r>
        <w:t xml:space="preserve">’</w:t>
      </w:r>
      <w:r>
        <w:t xml:space="preserve"> </w:t>
      </w:r>
      <w:r>
        <w:t xml:space="preserve">before</w:t>
      </w:r>
      <w:r>
        <w:t xml:space="preserve"> </w:t>
      </w:r>
      <w:r>
        <w:t xml:space="preserve">‘</w:t>
      </w:r>
      <w:r>
        <w:t xml:space="preserve">jas</w:t>
      </w:r>
      <w:r>
        <w:t xml:space="preserve">’</w:t>
      </w:r>
      <w:r>
        <w:t xml:space="preserve">”</w:t>
      </w:r>
      <w:r>
        <w:t xml:space="preserve">) →</w:t>
      </w:r>
      <w:r>
        <w:t xml:space="preserve"> </w:t>
      </w:r>
      <w:r>
        <w:t xml:space="preserve">“</w:t>
      </w:r>
      <w:r>
        <w:t xml:space="preserve">śatro + as</w:t>
      </w:r>
      <w:r>
        <w:t xml:space="preserve">”</w:t>
      </w:r>
      <w:r>
        <w:t xml:space="preserve"> </w:t>
      </w:r>
      <w:r>
        <w:t xml:space="preserve">→</w:t>
      </w:r>
      <w:r>
        <w:t xml:space="preserve"> </w:t>
      </w:r>
      <w:r>
        <w:t xml:space="preserve">“</w:t>
      </w:r>
      <w:r>
        <w:t xml:space="preserve">śatrav + as</w:t>
      </w:r>
      <w:r>
        <w:t xml:space="preserve">”</w:t>
      </w:r>
      <w:r>
        <w:t xml:space="preserve"> </w:t>
      </w:r>
      <w:r>
        <w:t xml:space="preserve">(</w:t>
      </w:r>
      <w:r>
        <w:rPr>
          <w:bCs/>
          <w:b/>
        </w:rPr>
        <w:t xml:space="preserve">एचोऽयवायावः</w:t>
      </w:r>
      <w:r>
        <w:t xml:space="preserve">) →</w:t>
      </w:r>
      <w:r>
        <w:t xml:space="preserve"> </w:t>
      </w:r>
      <w:r>
        <w:t xml:space="preserve">“</w:t>
      </w:r>
      <w:r>
        <w:t xml:space="preserve">śatravaḥ.</w:t>
      </w:r>
      <w:r>
        <w:t xml:space="preserve">”</w:t>
      </w:r>
      <w:r>
        <w:t xml:space="preserve"> </w:t>
      </w:r>
      <w:r>
        <w:t xml:space="preserve">The root’s accent is overridden by the affix’s (the affix</w:t>
      </w:r>
      <w:r>
        <w:t xml:space="preserve"> </w:t>
      </w:r>
      <w:r>
        <w:t xml:space="preserve">“</w:t>
      </w:r>
      <w:r>
        <w:t xml:space="preserve">kru</w:t>
      </w:r>
      <w:r>
        <w:t xml:space="preserve">”</w:t>
      </w:r>
      <w:r>
        <w:t xml:space="preserve"> </w:t>
      </w:r>
      <w:r>
        <w:t xml:space="preserve">is</w:t>
      </w:r>
      <w:r>
        <w:t xml:space="preserve"> </w:t>
      </w:r>
      <w:r>
        <w:t xml:space="preserve">“</w:t>
      </w:r>
      <w:r>
        <w:t xml:space="preserve">n</w:t>
      </w:r>
      <w:r>
        <w:t xml:space="preserve">”</w:t>
      </w:r>
      <w:r>
        <w:t xml:space="preserve">-marked,</w:t>
      </w:r>
      <w:r>
        <w:t xml:space="preserve"> </w:t>
      </w:r>
      <w:r>
        <w:rPr>
          <w:bCs/>
          <w:b/>
        </w:rPr>
        <w:t xml:space="preserve">ञित्यादिर्नित्यम्</w:t>
      </w:r>
      <w:r>
        <w:t xml:space="preserve">), so the first syllable</w:t>
      </w:r>
      <w:r>
        <w:t xml:space="preserve"> </w:t>
      </w:r>
      <w:r>
        <w:t xml:space="preserve">“</w:t>
      </w:r>
      <w:r>
        <w:t xml:space="preserve">śa</w:t>
      </w:r>
      <w:r>
        <w:t xml:space="preserve">”</w:t>
      </w:r>
      <w:r>
        <w:t xml:space="preserve"> </w:t>
      </w:r>
      <w:r>
        <w:t xml:space="preserve">is acute and the other syllables unaccented.</w:t>
      </w:r>
      <w:r>
        <w:t xml:space="preserve"> </w:t>
      </w:r>
      <w:r>
        <w:rPr>
          <w:bCs/>
          <w:b/>
        </w:rPr>
        <w:t xml:space="preserve">“</w:t>
      </w:r>
      <w:r>
        <w:rPr>
          <w:bCs/>
          <w:b/>
        </w:rPr>
        <w:t xml:space="preserve">Tasmai</w:t>
      </w:r>
      <w:r>
        <w:rPr>
          <w:bCs/>
          <w:b/>
        </w:rPr>
        <w:t xml:space="preserve">”</w:t>
      </w:r>
      <w:r>
        <w:t xml:space="preserve"> </w:t>
      </w:r>
      <w:r>
        <w:t xml:space="preserve">—</w:t>
      </w:r>
      <w:r>
        <w:t xml:space="preserve"> </w:t>
      </w:r>
      <w:r>
        <w:t xml:space="preserve">“</w:t>
      </w:r>
      <w:r>
        <w:t xml:space="preserve">tan vistāre</w:t>
      </w:r>
      <w:r>
        <w:t xml:space="preserve">”</w:t>
      </w:r>
      <w:r>
        <w:t xml:space="preserve"> </w:t>
      </w:r>
      <w:r>
        <w:t xml:space="preserve">(to stretch): the Uṇādi</w:t>
      </w:r>
      <w:r>
        <w:t xml:space="preserve"> </w:t>
      </w:r>
      <w:r>
        <w:rPr>
          <w:bCs/>
          <w:b/>
        </w:rPr>
        <w:t xml:space="preserve">त्यजितनियजिभ्यो डित्</w:t>
      </w:r>
      <w:r>
        <w:t xml:space="preserve"> </w:t>
      </w:r>
      <w:r>
        <w:t xml:space="preserve">(उ. सू. १-१२९), with</w:t>
      </w:r>
      <w:r>
        <w:t xml:space="preserve"> </w:t>
      </w:r>
      <w:r>
        <w:t xml:space="preserve">“</w:t>
      </w:r>
      <w:r>
        <w:t xml:space="preserve">adiḥ</w:t>
      </w:r>
      <w:r>
        <w:t xml:space="preserve">”</w:t>
      </w:r>
      <w:r>
        <w:t xml:space="preserve"> </w:t>
      </w:r>
      <w:r>
        <w:t xml:space="preserve">continued from the preceding sūtra, gives the affix</w:t>
      </w:r>
      <w:r>
        <w:t xml:space="preserve"> </w:t>
      </w:r>
      <w:r>
        <w:t xml:space="preserve">“</w:t>
      </w:r>
      <w:r>
        <w:t xml:space="preserve">ad,</w:t>
      </w:r>
      <w:r>
        <w:t xml:space="preserve">”</w:t>
      </w:r>
      <w:r>
        <w:t xml:space="preserve"> </w:t>
      </w:r>
      <w:r>
        <w:t xml:space="preserve">“</w:t>
      </w:r>
      <w:r>
        <w:t xml:space="preserve">ḍit</w:t>
      </w:r>
      <w:r>
        <w:t xml:space="preserve">”</w:t>
      </w:r>
      <w:r>
        <w:t xml:space="preserve"> </w:t>
      </w:r>
      <w:r>
        <w:t xml:space="preserve">—</w:t>
      </w:r>
      <w:r>
        <w:t xml:space="preserve"> </w:t>
      </w:r>
      <w:r>
        <w:t xml:space="preserve">“</w:t>
      </w:r>
      <w:r>
        <w:t xml:space="preserve">tan + ad</w:t>
      </w:r>
      <w:r>
        <w:t xml:space="preserve">”</w:t>
      </w:r>
      <w:r>
        <w:t xml:space="preserve"> </w:t>
      </w:r>
      <w:r>
        <w:t xml:space="preserve">→ elision of the</w:t>
      </w:r>
      <w:r>
        <w:t xml:space="preserve"> </w:t>
      </w:r>
      <w:r>
        <w:t xml:space="preserve">“</w:t>
      </w:r>
      <w:r>
        <w:t xml:space="preserve">ṭi</w:t>
      </w:r>
      <w:r>
        <w:t xml:space="preserve">”</w:t>
      </w:r>
      <w:r>
        <w:t xml:space="preserve"> </w:t>
      </w:r>
      <w:r>
        <w:t xml:space="preserve">→</w:t>
      </w:r>
      <w:r>
        <w:t xml:space="preserve"> </w:t>
      </w:r>
      <w:r>
        <w:t xml:space="preserve">“</w:t>
      </w:r>
      <w:r>
        <w:t xml:space="preserve">tad</w:t>
      </w:r>
      <w:r>
        <w:t xml:space="preserve">”</w:t>
      </w:r>
      <w:r>
        <w:t xml:space="preserve">; the fourth-case singular</w:t>
      </w:r>
      <w:r>
        <w:t xml:space="preserve"> </w:t>
      </w:r>
      <w:r>
        <w:t xml:space="preserve">“</w:t>
      </w:r>
      <w:r>
        <w:t xml:space="preserve">ṅe</w:t>
      </w:r>
      <w:r>
        <w:t xml:space="preserve">”</w:t>
      </w:r>
      <w:r>
        <w:t xml:space="preserve">;</w:t>
      </w:r>
      <w:r>
        <w:t xml:space="preserve"> </w:t>
      </w:r>
      <w:r>
        <w:rPr>
          <w:bCs/>
          <w:b/>
        </w:rPr>
        <w:t xml:space="preserve">त्यदादीनामः</w:t>
      </w:r>
      <w:r>
        <w:t xml:space="preserve"> </w:t>
      </w:r>
      <w:r>
        <w:t xml:space="preserve">(पा. ७-२-१०२) turns the</w:t>
      </w:r>
      <w:r>
        <w:t xml:space="preserve"> </w:t>
      </w:r>
      <w:r>
        <w:t xml:space="preserve">“</w:t>
      </w:r>
      <w:r>
        <w:t xml:space="preserve">d</w:t>
      </w:r>
      <w:r>
        <w:t xml:space="preserve">”</w:t>
      </w:r>
      <w:r>
        <w:t xml:space="preserve"> </w:t>
      </w:r>
      <w:r>
        <w:t xml:space="preserve">into</w:t>
      </w:r>
      <w:r>
        <w:t xml:space="preserve"> </w:t>
      </w:r>
      <w:r>
        <w:t xml:space="preserve">“</w:t>
      </w:r>
      <w:r>
        <w:t xml:space="preserve">a</w:t>
      </w:r>
      <w:r>
        <w:t xml:space="preserve">”</w:t>
      </w:r>
      <w:r>
        <w:t xml:space="preserve"> </w:t>
      </w:r>
      <w:r>
        <w:t xml:space="preserve">→</w:t>
      </w:r>
      <w:r>
        <w:t xml:space="preserve"> </w:t>
      </w:r>
      <w:r>
        <w:t xml:space="preserve">“</w:t>
      </w:r>
      <w:r>
        <w:t xml:space="preserve">ta + a + e</w:t>
      </w:r>
      <w:r>
        <w:t xml:space="preserve">”</w:t>
      </w:r>
      <w:r>
        <w:t xml:space="preserve">;</w:t>
      </w:r>
      <w:r>
        <w:t xml:space="preserve"> </w:t>
      </w:r>
      <w:r>
        <w:rPr>
          <w:bCs/>
          <w:b/>
        </w:rPr>
        <w:t xml:space="preserve">अतो गुणे</w:t>
      </w:r>
      <w:r>
        <w:t xml:space="preserve"> </w:t>
      </w:r>
      <w:r>
        <w:t xml:space="preserve">(पा. ६-१-९७; printed</w:t>
      </w:r>
      <w:r>
        <w:t xml:space="preserve"> </w:t>
      </w:r>
      <w:r>
        <w:t xml:space="preserve">“</w:t>
      </w:r>
      <w:r>
        <w:t xml:space="preserve">6-1-62</w:t>
      </w:r>
      <w:r>
        <w:t xml:space="preserve">”</w:t>
      </w:r>
      <w:r>
        <w:t xml:space="preserve"> </w:t>
      </w:r>
      <w:r>
        <w:t xml:space="preserve">[?]) →</w:t>
      </w:r>
      <w:r>
        <w:t xml:space="preserve"> </w:t>
      </w:r>
      <w:r>
        <w:t xml:space="preserve">“</w:t>
      </w:r>
      <w:r>
        <w:t xml:space="preserve">ta + e</w:t>
      </w:r>
      <w:r>
        <w:t xml:space="preserve">”</w:t>
      </w:r>
      <w:r>
        <w:t xml:space="preserve"> </w:t>
      </w:r>
      <w:r>
        <w:t xml:space="preserve">→</w:t>
      </w:r>
      <w:r>
        <w:t xml:space="preserve"> </w:t>
      </w:r>
      <w:r>
        <w:rPr>
          <w:bCs/>
          <w:b/>
        </w:rPr>
        <w:t xml:space="preserve">सर्वनाम्नः स्मै</w:t>
      </w:r>
      <w:r>
        <w:t xml:space="preserve"> </w:t>
      </w:r>
      <w:r>
        <w:t xml:space="preserve">(पा. ७-१-१४; printed</w:t>
      </w:r>
      <w:r>
        <w:t xml:space="preserve"> </w:t>
      </w:r>
      <w:r>
        <w:t xml:space="preserve">“</w:t>
      </w:r>
      <w:r>
        <w:t xml:space="preserve">6-1-14</w:t>
      </w:r>
      <w:r>
        <w:t xml:space="preserve">”</w:t>
      </w:r>
      <w:r>
        <w:t xml:space="preserve">) →</w:t>
      </w:r>
      <w:r>
        <w:t xml:space="preserve"> </w:t>
      </w:r>
      <w:r>
        <w:t xml:space="preserve">“</w:t>
      </w:r>
      <w:r>
        <w:t xml:space="preserve">tasmai.</w:t>
      </w:r>
      <w:r>
        <w:t xml:space="preserve">”</w:t>
      </w:r>
      <w:r>
        <w:t xml:space="preserve"> </w:t>
      </w:r>
      <w:r>
        <w:rPr>
          <w:iCs/>
          <w:i/>
        </w:rPr>
        <w:t xml:space="preserve">(The page ends mid-sentence in this derivation, which is continued on the next page.)</w:t>
      </w:r>
      <w:r>
        <w:t xml:space="preserve"> </w:t>
      </w:r>
      <w:r>
        <w:t xml:space="preserve">॥४॥</w:t>
      </w:r>
    </w:p>
    <w:p>
      <w:r>
        <w:pict>
          <v:rect style="width:0;height:1.5pt" o:hralign="center" o:hrstd="t" o:hr="t"/>
        </w:pict>
      </w:r>
    </w:p>
    <w:bookmarkEnd w:id="203"/>
    <w:bookmarkStart w:id="204" w:name="sūkta-5-the-fifth-mantra"/>
    <w:p>
      <w:pPr>
        <w:pStyle w:val="Heading3"/>
      </w:pPr>
      <w:r>
        <w:t xml:space="preserve">Sūkta 5, The Fifth Mantra</w:t>
      </w:r>
    </w:p>
    <w:p>
      <w:pPr>
        <w:pStyle w:val="FirstParagraph"/>
      </w:pPr>
      <w:r>
        <w:rPr>
          <w:iCs/>
          <w:i/>
        </w:rPr>
        <w:t xml:space="preserve">(Saṃhitā accents as printed; Pada unaccented.)</w:t>
      </w:r>
    </w:p>
    <w:bookmarkEnd w:id="204"/>
    <w:bookmarkStart w:id="205" w:name="X6b3f53eff790bdae3a8162ce6f5a86c97f80890"/>
    <w:p>
      <w:pPr>
        <w:pStyle w:val="Heading3"/>
      </w:pPr>
      <w:r>
        <w:t xml:space="preserve">Page 170 — Rik 5.4 grammar concluded (</w:t>
      </w:r>
      <w:r>
        <w:t xml:space="preserve">“</w:t>
      </w:r>
      <w:r>
        <w:t xml:space="preserve">tasmai,</w:t>
      </w:r>
      <w:r>
        <w:t xml:space="preserve">”</w:t>
      </w:r>
      <w:r>
        <w:t xml:space="preserve"> </w:t>
      </w:r>
      <w:r>
        <w:t xml:space="preserve">“</w:t>
      </w:r>
      <w:r>
        <w:t xml:space="preserve">indrāya</w:t>
      </w:r>
      <w:r>
        <w:t xml:space="preserve">”</w:t>
      </w:r>
      <w:r>
        <w:t xml:space="preserve">); Saṃhitā and Pada text of Rik 5.5</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5.</w:t>
      </w:r>
      <w:r>
        <w:rPr>
          <w:iCs/>
          <w:i/>
        </w:rPr>
        <w:t xml:space="preserve">”</w:t>
      </w:r>
      <w:r>
        <w:rPr>
          <w:iCs/>
          <w:i/>
        </w:rPr>
        <w:t xml:space="preserve"> </w:t>
      </w:r>
      <w:r>
        <w:rPr>
          <w:bCs/>
          <w:b/>
          <w:iCs/>
          <w:i/>
        </w:rPr>
        <w:t xml:space="preserve">Placement note:</w:t>
      </w:r>
      <w:r>
        <w:rPr>
          <w:iCs/>
          <w:i/>
        </w:rPr>
        <w:t xml:space="preserve"> </w:t>
      </w:r>
      <w:r>
        <w:rPr>
          <w:iCs/>
          <w:i/>
        </w:rPr>
        <w:t xml:space="preserve">the heading</w:t>
      </w:r>
      <w:r>
        <w:rPr>
          <w:iCs/>
          <w:i/>
        </w:rPr>
        <w:t xml:space="preserve"> </w:t>
      </w:r>
      <w:r>
        <w:rPr>
          <w:iCs/>
          <w:i/>
        </w:rPr>
        <w:t xml:space="preserve">“</w:t>
      </w:r>
      <w:r>
        <w:rPr>
          <w:iCs/>
          <w:i/>
        </w:rPr>
        <w:t xml:space="preserve">Sūkta 5, The Fifth Mantra</w:t>
      </w:r>
      <w:r>
        <w:rPr>
          <w:iCs/>
          <w:i/>
        </w:rPr>
        <w:t xml:space="preserve">”</w:t>
      </w:r>
      <w:r>
        <w:rPr>
          <w:iCs/>
          <w:i/>
        </w:rPr>
        <w:t xml:space="preserve"> </w:t>
      </w:r>
      <w:r>
        <w:rPr>
          <w:iCs/>
          <w:i/>
        </w:rPr>
        <w:t xml:space="preserve">above was written before I had read to the foot of p. 169’s grammar; the first paragraph below is therefore the</w:t>
      </w:r>
      <w:r>
        <w:rPr>
          <w:iCs/>
          <w:i/>
        </w:rPr>
        <w:t xml:space="preserve"> </w:t>
      </w:r>
      <w:r>
        <w:rPr>
          <w:bCs/>
          <w:b/>
          <w:iCs/>
          <w:i/>
        </w:rPr>
        <w:t xml:space="preserve">last lines of Rik 5.4’s grammar</w:t>
      </w:r>
      <w:r>
        <w:rPr>
          <w:iCs/>
          <w:i/>
        </w:rPr>
        <w:t xml:space="preserve">, which the print carries onto p. 170, and the Saṃhitā text of Rik 5.5 follows it. Saṃhitā accents as printed; Pada unaccented. Grammar characterized, sūtras kept.)</w:t>
      </w:r>
    </w:p>
    <w:p>
      <w:pPr>
        <w:pStyle w:val="BodyText"/>
      </w:pPr>
      <w:r>
        <w:rPr>
          <w:bCs/>
          <w:b/>
        </w:rPr>
        <w:t xml:space="preserve">Rik 5.4, grammar concluded (</w:t>
      </w:r>
      <w:r>
        <w:rPr>
          <w:bCs/>
          <w:b/>
        </w:rPr>
        <w:t xml:space="preserve">“</w:t>
      </w:r>
      <w:r>
        <w:rPr>
          <w:bCs/>
          <w:b/>
        </w:rPr>
        <w:t xml:space="preserve">tasmai,</w:t>
      </w:r>
      <w:r>
        <w:rPr>
          <w:bCs/>
          <w:b/>
        </w:rPr>
        <w:t xml:space="preserve">”</w:t>
      </w:r>
      <w:r>
        <w:rPr>
          <w:bCs/>
          <w:b/>
        </w:rPr>
        <w:t xml:space="preserve"> </w:t>
      </w:r>
      <w:r>
        <w:rPr>
          <w:bCs/>
          <w:b/>
        </w:rPr>
        <w:t xml:space="preserve">“</w:t>
      </w:r>
      <w:r>
        <w:rPr>
          <w:bCs/>
          <w:b/>
        </w:rPr>
        <w:t xml:space="preserve">indrāya</w:t>
      </w:r>
      <w:r>
        <w:rPr>
          <w:bCs/>
          <w:b/>
        </w:rPr>
        <w:t xml:space="preserve">”</w:t>
      </w:r>
      <w:r>
        <w:rPr>
          <w:bCs/>
          <w:b/>
        </w:rPr>
        <w:t xml:space="preserve">).</w:t>
      </w:r>
      <w:r>
        <w:t xml:space="preserve"> </w:t>
      </w:r>
      <w:r>
        <w:rPr>
          <w:iCs/>
          <w:i/>
        </w:rPr>
        <w:t xml:space="preserve">(Continuing from p. 169:)</w:t>
      </w:r>
      <w:r>
        <w:t xml:space="preserve"> </w:t>
      </w:r>
      <w:r>
        <w:t xml:space="preserve">“</w:t>
      </w:r>
      <w:r>
        <w:t xml:space="preserve">…the</w:t>
      </w:r>
      <w:r>
        <w:t xml:space="preserve"> </w:t>
      </w:r>
      <w:r>
        <w:t xml:space="preserve">‘</w:t>
      </w:r>
      <w:r>
        <w:t xml:space="preserve">smai</w:t>
      </w:r>
      <w:r>
        <w:t xml:space="preserve">’</w:t>
      </w:r>
      <w:r>
        <w:t xml:space="preserve"> </w:t>
      </w:r>
      <w:r>
        <w:t xml:space="preserve">ending, which replaces</w:t>
      </w:r>
      <w:r>
        <w:t xml:space="preserve"> </w:t>
      </w:r>
      <w:r>
        <w:t xml:space="preserve">‘</w:t>
      </w:r>
      <w:r>
        <w:t xml:space="preserve">ṅe,</w:t>
      </w:r>
      <w:r>
        <w:t xml:space="preserve">’</w:t>
      </w:r>
      <w:r>
        <w:t xml:space="preserve"> </w:t>
      </w:r>
      <w:r>
        <w:t xml:space="preserve">is unaccented (</w:t>
      </w:r>
      <w:r>
        <w:rPr>
          <w:bCs/>
          <w:b/>
        </w:rPr>
        <w:t xml:space="preserve">अनुदात्तौ सुप्पितौ</w:t>
      </w:r>
      <w:r>
        <w:t xml:space="preserve">, पा. ३-१-४), since it stands in the place of an unaccented ending. Although by</w:t>
      </w:r>
      <w:r>
        <w:t xml:space="preserve"> </w:t>
      </w:r>
      <w:r>
        <w:rPr>
          <w:bCs/>
          <w:b/>
        </w:rPr>
        <w:t xml:space="preserve">सावेकाचस्तृतीयादिर्विभक्तिः</w:t>
      </w:r>
      <w:r>
        <w:t xml:space="preserve"> </w:t>
      </w:r>
      <w:r>
        <w:t xml:space="preserve">(पा. ६-१-१६८) the ending after a one-vowel stem would be acute when</w:t>
      </w:r>
      <w:r>
        <w:t xml:space="preserve"> </w:t>
      </w:r>
      <w:r>
        <w:t xml:space="preserve">‘</w:t>
      </w:r>
      <w:r>
        <w:t xml:space="preserve">su</w:t>
      </w:r>
      <w:r>
        <w:t xml:space="preserve">’</w:t>
      </w:r>
      <w:r>
        <w:t xml:space="preserve">-type endings of the seven cases follow — here the stem</w:t>
      </w:r>
      <w:r>
        <w:t xml:space="preserve"> </w:t>
      </w:r>
      <w:r>
        <w:t xml:space="preserve">‘</w:t>
      </w:r>
      <w:r>
        <w:t xml:space="preserve">ta</w:t>
      </w:r>
      <w:r>
        <w:t xml:space="preserve">’</w:t>
      </w:r>
      <w:r>
        <w:t xml:space="preserve"> </w:t>
      </w:r>
      <w:r>
        <w:t xml:space="preserve">is one-syllabled and the seventh-case plural</w:t>
      </w:r>
      <w:r>
        <w:t xml:space="preserve"> </w:t>
      </w:r>
      <w:r>
        <w:t xml:space="preserve">‘</w:t>
      </w:r>
      <w:r>
        <w:t xml:space="preserve">su</w:t>
      </w:r>
      <w:r>
        <w:t xml:space="preserve">’</w:t>
      </w:r>
      <w:r>
        <w:t xml:space="preserve"> </w:t>
      </w:r>
      <w:r>
        <w:t xml:space="preserve">is a</w:t>
      </w:r>
      <w:r>
        <w:t xml:space="preserve"> </w:t>
      </w:r>
      <w:r>
        <w:t xml:space="preserve">‘</w:t>
      </w:r>
      <w:r>
        <w:t xml:space="preserve">sārvanāmasthāna</w:t>
      </w:r>
      <w:r>
        <w:t xml:space="preserve">’</w:t>
      </w:r>
      <w:r>
        <w:t xml:space="preserve">-type ending — the sūtra</w:t>
      </w:r>
      <w:r>
        <w:t xml:space="preserve"> </w:t>
      </w:r>
      <w:r>
        <w:rPr>
          <w:bCs/>
          <w:b/>
        </w:rPr>
        <w:t xml:space="preserve">न गोश्वन्साववर्णराडङ्क्रुङ्कृद्भ्यः</w:t>
      </w:r>
      <w:r>
        <w:t xml:space="preserve"> </w:t>
      </w:r>
      <w:r>
        <w:t xml:space="preserve">(पा. ६-१-१८२) forbids that acute for words ending in</w:t>
      </w:r>
      <w:r>
        <w:t xml:space="preserve"> </w:t>
      </w:r>
      <w:r>
        <w:t xml:space="preserve">‘</w:t>
      </w:r>
      <w:r>
        <w:t xml:space="preserve">a,</w:t>
      </w:r>
      <w:r>
        <w:t xml:space="preserve">’</w:t>
      </w:r>
      <w:r>
        <w:t xml:space="preserve"> </w:t>
      </w:r>
      <w:r>
        <w:t xml:space="preserve">and so</w:t>
      </w:r>
      <w:r>
        <w:t xml:space="preserve"> </w:t>
      </w:r>
      <w:r>
        <w:t xml:space="preserve">‘</w:t>
      </w:r>
      <w:r>
        <w:t xml:space="preserve">smai</w:t>
      </w:r>
      <w:r>
        <w:t xml:space="preserve">’</w:t>
      </w:r>
      <w:r>
        <w:t xml:space="preserve"> </w:t>
      </w:r>
      <w:r>
        <w:t xml:space="preserve">is unaccented. The</w:t>
      </w:r>
      <w:r>
        <w:t xml:space="preserve"> </w:t>
      </w:r>
      <w:r>
        <w:t xml:space="preserve">‘</w:t>
      </w:r>
      <w:r>
        <w:t xml:space="preserve">a</w:t>
      </w:r>
      <w:r>
        <w:t xml:space="preserve">’</w:t>
      </w:r>
      <w:r>
        <w:t xml:space="preserve"> </w:t>
      </w:r>
      <w:r>
        <w:t xml:space="preserve">that arises in place of the consonant</w:t>
      </w:r>
      <w:r>
        <w:t xml:space="preserve"> </w:t>
      </w:r>
      <w:r>
        <w:t xml:space="preserve">‘</w:t>
      </w:r>
      <w:r>
        <w:t xml:space="preserve">d</w:t>
      </w:r>
      <w:r>
        <w:t xml:space="preserve">’</w:t>
      </w:r>
      <w:r>
        <w:t xml:space="preserve"> </w:t>
      </w:r>
      <w:r>
        <w:t xml:space="preserve">is itself unaccented (a consonant’s substitute); the pararūpa</w:t>
      </w:r>
      <w:r>
        <w:t xml:space="preserve"> </w:t>
      </w:r>
      <w:r>
        <w:t xml:space="preserve">‘</w:t>
      </w:r>
      <w:r>
        <w:t xml:space="preserve">a</w:t>
      </w:r>
      <w:r>
        <w:t xml:space="preserve">’</w:t>
      </w:r>
      <w:r>
        <w:t xml:space="preserve"> </w:t>
      </w:r>
      <w:r>
        <w:t xml:space="preserve">that results is acute, as it takes the place of an acute and an unaccented; so in</w:t>
      </w:r>
      <w:r>
        <w:t xml:space="preserve"> </w:t>
      </w:r>
      <w:r>
        <w:t xml:space="preserve">‘</w:t>
      </w:r>
      <w:r>
        <w:t xml:space="preserve">tasmai</w:t>
      </w:r>
      <w:r>
        <w:t xml:space="preserve">’</w:t>
      </w:r>
      <w:r>
        <w:t xml:space="preserve"> </w:t>
      </w:r>
      <w:r>
        <w:t xml:space="preserve">the</w:t>
      </w:r>
      <w:r>
        <w:t xml:space="preserve"> </w:t>
      </w:r>
      <w:r>
        <w:t xml:space="preserve">‘</w:t>
      </w:r>
      <w:r>
        <w:t xml:space="preserve">ta</w:t>
      </w:r>
      <w:r>
        <w:t xml:space="preserve">’</w:t>
      </w:r>
      <w:r>
        <w:t xml:space="preserve"> </w:t>
      </w:r>
      <w:r>
        <w:t xml:space="preserve">is acute and</w:t>
      </w:r>
      <w:r>
        <w:t xml:space="preserve"> </w:t>
      </w:r>
      <w:r>
        <w:t xml:space="preserve">‘</w:t>
      </w:r>
      <w:r>
        <w:t xml:space="preserve">smai</w:t>
      </w:r>
      <w:r>
        <w:t xml:space="preserve">’</w:t>
      </w:r>
      <w:r>
        <w:t xml:space="preserve"> </w:t>
      </w:r>
      <w:r>
        <w:t xml:space="preserve">unaccented; on separating the words,</w:t>
      </w:r>
      <w:r>
        <w:t xml:space="preserve"> </w:t>
      </w:r>
      <w:r>
        <w:t xml:space="preserve">‘</w:t>
      </w:r>
      <w:r>
        <w:t xml:space="preserve">smai</w:t>
      </w:r>
      <w:r>
        <w:t xml:space="preserve">’</w:t>
      </w:r>
      <w:r>
        <w:t xml:space="preserve"> </w:t>
      </w:r>
      <w:r>
        <w:t xml:space="preserve">being unaccented after an acute is svarita. In the saṃhitā, before</w:t>
      </w:r>
      <w:r>
        <w:t xml:space="preserve"> </w:t>
      </w:r>
      <w:r>
        <w:t xml:space="preserve">‘</w:t>
      </w:r>
      <w:r>
        <w:t xml:space="preserve">indrāya</w:t>
      </w:r>
      <w:r>
        <w:t xml:space="preserve">’</w:t>
      </w:r>
      <w:r>
        <w:t xml:space="preserve"> </w:t>
      </w:r>
      <w:r>
        <w:t xml:space="preserve">the</w:t>
      </w:r>
      <w:r>
        <w:t xml:space="preserve"> </w:t>
      </w:r>
      <w:r>
        <w:t xml:space="preserve">‘</w:t>
      </w:r>
      <w:r>
        <w:t xml:space="preserve">ai</w:t>
      </w:r>
      <w:r>
        <w:t xml:space="preserve">’</w:t>
      </w:r>
      <w:r>
        <w:t xml:space="preserve"> </w:t>
      </w:r>
      <w:r>
        <w:t xml:space="preserve">of</w:t>
      </w:r>
      <w:r>
        <w:t xml:space="preserve"> </w:t>
      </w:r>
      <w:r>
        <w:t xml:space="preserve">‘</w:t>
      </w:r>
      <w:r>
        <w:t xml:space="preserve">smai</w:t>
      </w:r>
      <w:r>
        <w:t xml:space="preserve">’</w:t>
      </w:r>
      <w:r>
        <w:t xml:space="preserve"> </w:t>
      </w:r>
      <w:r>
        <w:t xml:space="preserve">becomes</w:t>
      </w:r>
      <w:r>
        <w:t xml:space="preserve"> </w:t>
      </w:r>
      <w:r>
        <w:t xml:space="preserve">‘</w:t>
      </w:r>
      <w:r>
        <w:t xml:space="preserve">āy</w:t>
      </w:r>
      <w:r>
        <w:t xml:space="preserve">’</w:t>
      </w:r>
      <w:r>
        <w:t xml:space="preserve"> </w:t>
      </w:r>
      <w:r>
        <w:t xml:space="preserve">(</w:t>
      </w:r>
      <w:r>
        <w:rPr>
          <w:bCs/>
          <w:b/>
        </w:rPr>
        <w:t xml:space="preserve">एचोऽयवायावः</w:t>
      </w:r>
      <w:r>
        <w:t xml:space="preserve">), and</w:t>
      </w:r>
      <w:r>
        <w:t xml:space="preserve"> </w:t>
      </w:r>
      <w:r>
        <w:t xml:space="preserve">‘</w:t>
      </w:r>
      <w:r>
        <w:t xml:space="preserve">tasmāy</w:t>
      </w:r>
      <w:r>
        <w:t xml:space="preserve">’</w:t>
      </w:r>
      <w:r>
        <w:t xml:space="preserve"> </w:t>
      </w:r>
      <w:r>
        <w:t xml:space="preserve">+</w:t>
      </w:r>
      <w:r>
        <w:t xml:space="preserve"> </w:t>
      </w:r>
      <w:r>
        <w:t xml:space="preserve">‘</w:t>
      </w:r>
      <w:r>
        <w:t xml:space="preserve">indrāya</w:t>
      </w:r>
      <w:r>
        <w:t xml:space="preserve">’</w:t>
      </w:r>
      <w:r>
        <w:t xml:space="preserve"> </w:t>
      </w:r>
      <w:r>
        <w:t xml:space="preserve">by</w:t>
      </w:r>
      <w:r>
        <w:t xml:space="preserve"> </w:t>
      </w:r>
      <w:r>
        <w:rPr>
          <w:bCs/>
          <w:b/>
        </w:rPr>
        <w:t xml:space="preserve">लोपः शाकल्यस्य</w:t>
      </w:r>
      <w:r>
        <w:t xml:space="preserve"> </w:t>
      </w:r>
      <w:r>
        <w:t xml:space="preserve">(पा. ८-३-१९), the</w:t>
      </w:r>
      <w:r>
        <w:t xml:space="preserve"> </w:t>
      </w:r>
      <w:r>
        <w:t xml:space="preserve">‘</w:t>
      </w:r>
      <w:r>
        <w:t xml:space="preserve">y</w:t>
      </w:r>
      <w:r>
        <w:t xml:space="preserve">’</w:t>
      </w:r>
      <w:r>
        <w:t xml:space="preserve"> </w:t>
      </w:r>
      <w:r>
        <w:t xml:space="preserve">after</w:t>
      </w:r>
      <w:r>
        <w:t xml:space="preserve"> </w:t>
      </w:r>
      <w:r>
        <w:t xml:space="preserve">‘</w:t>
      </w:r>
      <w:r>
        <w:t xml:space="preserve">ā</w:t>
      </w:r>
      <w:r>
        <w:t xml:space="preserve">’</w:t>
      </w:r>
      <w:r>
        <w:t xml:space="preserve"> </w:t>
      </w:r>
      <w:r>
        <w:t xml:space="preserve">is elided before a vowel; since this elision is</w:t>
      </w:r>
      <w:r>
        <w:t xml:space="preserve"> </w:t>
      </w:r>
      <w:r>
        <w:t xml:space="preserve">‘</w:t>
      </w:r>
      <w:r>
        <w:t xml:space="preserve">asiddha</w:t>
      </w:r>
      <w:r>
        <w:t xml:space="preserve">’</w:t>
      </w:r>
      <w:r>
        <w:t xml:space="preserve"> </w:t>
      </w:r>
      <w:r>
        <w:t xml:space="preserve">(</w:t>
      </w:r>
      <w:r>
        <w:rPr>
          <w:bCs/>
          <w:b/>
        </w:rPr>
        <w:t xml:space="preserve">पूर्वत्रासिद्धम्</w:t>
      </w:r>
      <w:r>
        <w:t xml:space="preserve">, पा. ८-२-१), no guṇa-sandhi arises; the</w:t>
      </w:r>
      <w:r>
        <w:t xml:space="preserve"> </w:t>
      </w:r>
      <w:r>
        <w:t xml:space="preserve">‘</w:t>
      </w:r>
      <w:r>
        <w:t xml:space="preserve">ā</w:t>
      </w:r>
      <w:r>
        <w:t xml:space="preserve">’</w:t>
      </w:r>
      <w:r>
        <w:t xml:space="preserve"> </w:t>
      </w:r>
      <w:r>
        <w:t xml:space="preserve">that arises in place of</w:t>
      </w:r>
      <w:r>
        <w:t xml:space="preserve"> </w:t>
      </w:r>
      <w:r>
        <w:t xml:space="preserve">‘</w:t>
      </w:r>
      <w:r>
        <w:t xml:space="preserve">ai</w:t>
      </w:r>
      <w:r>
        <w:t xml:space="preserve">’</w:t>
      </w:r>
      <w:r>
        <w:t xml:space="preserve"> </w:t>
      </w:r>
      <w:r>
        <w:t xml:space="preserve">is unaccented by sthānivadbhāva; and, since an acute follows, it is lowered (sannatara).</w:t>
      </w:r>
      <w:r>
        <w:t xml:space="preserve">”</w:t>
      </w:r>
      <w:r>
        <w:t xml:space="preserve"> </w:t>
      </w:r>
      <w:r>
        <w:t xml:space="preserve">॥४॥</w:t>
      </w:r>
    </w:p>
    <w:p>
      <w:r>
        <w:pict>
          <v:rect style="width:0;height:1.5pt" o:hralign="center" o:hrstd="t" o:hr="t"/>
        </w:pict>
      </w:r>
    </w:p>
    <w:bookmarkEnd w:id="205"/>
    <w:bookmarkStart w:id="206" w:name="sūkta-5-the-fifth-mantra-1"/>
    <w:p>
      <w:pPr>
        <w:pStyle w:val="Heading3"/>
      </w:pPr>
      <w:r>
        <w:t xml:space="preserve">Sūkta 5, The Fifth Mantra</w:t>
      </w:r>
    </w:p>
    <w:p>
      <w:pPr>
        <w:pStyle w:val="FirstParagraph"/>
      </w:pPr>
      <w:r>
        <w:rPr>
          <w:bCs/>
          <w:b/>
        </w:rPr>
        <w:t xml:space="preserve">॥ Saṃhitā-pāṭhaḥ ॥</w:t>
      </w:r>
    </w:p>
    <w:p>
      <w:pPr>
        <w:pStyle w:val="BlockText"/>
      </w:pPr>
      <w:r>
        <w:t xml:space="preserve">सु॒त॒पाव्ने॑ सु॒ता इ॒मे शुच॑यो यंति वी॒तये॑ ।</w:t>
      </w:r>
      <w:r>
        <w:t xml:space="preserve"> </w:t>
      </w:r>
      <w:r>
        <w:t xml:space="preserve">सोमा॑सो॒ दध्या॑शिरः ॥५॥</w:t>
      </w:r>
    </w:p>
    <w:p>
      <w:pPr>
        <w:pStyle w:val="BlockText"/>
      </w:pPr>
      <w:r>
        <w:rPr>
          <w:iCs/>
          <w:i/>
        </w:rPr>
        <w:t xml:space="preserve">sutapā́vne sutā́ imé śúcayo yaṃti vītáye |</w:t>
      </w:r>
      <w:r>
        <w:t xml:space="preserve"> </w:t>
      </w:r>
      <w:r>
        <w:rPr>
          <w:iCs/>
          <w:i/>
        </w:rPr>
        <w:t xml:space="preserve">sómāso dádhyāśiraḥ ||5||</w:t>
      </w:r>
    </w:p>
    <w:p>
      <w:pPr>
        <w:pStyle w:val="FirstParagraph"/>
      </w:pPr>
      <w:r>
        <w:rPr>
          <w:bCs/>
          <w:b/>
        </w:rPr>
        <w:t xml:space="preserve">॥ Pada-pāṭhaḥ ॥</w:t>
      </w:r>
    </w:p>
    <w:p>
      <w:pPr>
        <w:pStyle w:val="BlockText"/>
      </w:pPr>
      <w:r>
        <w:t xml:space="preserve">सुतऽपाव्ने । सुताः । इमे । शुचयः । यन्ति । वीतये ।</w:t>
      </w:r>
      <w:r>
        <w:t xml:space="preserve"> </w:t>
      </w:r>
      <w:r>
        <w:t xml:space="preserve">सोमासः । दधिऽआशिरः ॥५॥</w:t>
      </w:r>
    </w:p>
    <w:bookmarkEnd w:id="206"/>
    <w:bookmarkStart w:id="207" w:name="Xe17cd4acca246b37b5d23fd3faa5a6242a31567"/>
    <w:p>
      <w:pPr>
        <w:pStyle w:val="Heading3"/>
      </w:pPr>
      <w:r>
        <w:t xml:space="preserve">Page 171 — Rik 5.5: Sāyaṇa-bhāṣya, grammar (characterized), Pada-meanings, Bhāvārtha</w:t>
      </w:r>
    </w:p>
    <w:p>
      <w:pPr>
        <w:pStyle w:val="FirstParagraph"/>
      </w:pPr>
      <w:r>
        <w:rPr>
          <w:iCs/>
          <w:i/>
        </w:rPr>
        <w:t xml:space="preserve">(Page header:</w:t>
      </w:r>
      <w:r>
        <w:rPr>
          <w:iCs/>
          <w:i/>
        </w:rPr>
        <w:t xml:space="preserve"> </w:t>
      </w:r>
      <w:r>
        <w:rPr>
          <w:iCs/>
          <w:i/>
        </w:rPr>
        <w:t xml:space="preserve">“</w:t>
      </w:r>
      <w:r>
        <w:rPr>
          <w:iCs/>
          <w:i/>
        </w:rPr>
        <w:t xml:space="preserve">Aṣṭaka 1, Adhyāya 1, Varga 9 · Ṛgveda-saṃhitā.</w:t>
      </w:r>
      <w:r>
        <w:rPr>
          <w:iCs/>
          <w:i/>
        </w:rPr>
        <w:t xml:space="preserve">”</w:t>
      </w:r>
      <w:r>
        <w:rPr>
          <w:iCs/>
          <w:i/>
        </w:rPr>
        <w:t xml:space="preserve"> </w:t>
      </w:r>
      <w:r>
        <w:rPr>
          <w:iCs/>
          <w:i/>
        </w:rPr>
        <w:t xml:space="preserve">Sanskrit printed in Kannada script; [?] where unclear.)</w:t>
      </w:r>
    </w:p>
    <w:p>
      <w:pPr>
        <w:pStyle w:val="BodyText"/>
      </w:pPr>
      <w:r>
        <w:rPr>
          <w:bCs/>
          <w:b/>
        </w:rPr>
        <w:t xml:space="preserve">॥ Sāyaṇa-bhāṣyam ॥</w:t>
      </w:r>
    </w:p>
    <w:p>
      <w:pPr>
        <w:pStyle w:val="BlockText"/>
      </w:pPr>
      <w:r>
        <w:t xml:space="preserve">इमे सोमासोऽस्मिन्कर्मणि संपादिताः सोमाः सुतपाव्नेऽभिषुतस्य सोमस्य पानकर्त्रे । षष्ठ्यर्थे चतुर्थी । तस्य पातुर्वीतये भक्षणार्थं यन्ति तमेव प्राप्नुवन्ति । कीदृशाः सोमाः । सुता अभिषुताः शुचयो दशापवित्रेण शोधितत्वाच्छुद्धा दध्याशिरः । अवनीयमानं दध्याशीर्दोषघातकं येषां सोमानां ते दध्याशिरः ॥ सुतपाव्ने । सुतं पिबतीति सुतपावा । वनिपः पित्त्वाद्धातुस्वर एव शिष्यते । समासे द्वितीयापूर्वपदप्रकृतिस्वरं बाधित्वा कृदुत्तरपदप्रकृतिस्वरत्वम् । शुचयः । शुच दीप्तौ । इन्नित्यनुवृत्त्वादिगुपधात्कित् । उ. ४-११९ । इतीन् । कित्त्वाल्लघूपधगुणाभावः । नित्त्वादाद्युदात्तत्वम् । वीतये । वी गतिप्रजनकान्त्यशनखादनेषु … मन्त्रे वृषेषपचमनविदभूवीरा उदात्तः । पा. ३-३-९६ । इति क्तिन्नुदात्तः । सोमासः । षुञ् अभिषवे । अर्तिस्तुसुहुसृधृक्षिक्षुभायावापदियक्षिनीभ्यो मन् । उ. १-१३९ । मन् । नित्त्वादाद्युदात्तः । आज्जसेरसुक् । पा. ७-१-५० । इत्यसुगागमः । दध्याशिरः । दधाति पुष्णातीति दधि । डुधाञ् धारणपोषणयोः । आदृगमहनजनः किकिनौ लिट् च । पा. ३-२-१७१ । इति किन् । लिड्वद्भावाद्द्विर्भावः । कित्त्वादाकारलोपः । नित्त्वादाद्युदात्तत्वम् । श्रा पाके … शृ हिंसायाम् । शृणाति हिनस्ति सोमेऽवनीयमानं सत्सोमस्य स्वाभाविकं रसमृजीषत्वप्रयुक्तं नीरसं दोषं वेत्याशीः । क्विप्यृत इद्धातोः । पा. ७-१-१०० । इतीत्वं रपरत्वं च । दध्येवाशीर्येषां सोमानां ते दध्याशिरः । बहुव्रीहौ पूर्वपदप्रकृतिस्वरत्वम् ॥</w:t>
      </w:r>
      <w:r>
        <w:t xml:space="preserve"> </w:t>
      </w:r>
      <w:r>
        <w:rPr>
          <w:iCs/>
          <w:i/>
        </w:rPr>
        <w:t xml:space="preserve">ime somāso ’smin karmaṇi sampāditāḥ somāḥ sutapāvne ’bhiṣutasya somasya pāna-kartre | ṣaṣṭhy-arthe caturthī | tasya pātur vītaye bhakṣaṇārthaṃ yanti tam eva prāpnuvanti | kīdṛśāḥ somāḥ | sutā abhiṣutāḥ śucayo daśā-pavitreṇa śodhitatvāc chuddhā dadhyāśiraḥ | avanīyamānaṃ dadhyāśīr doṣa-ghātakaṃ yeṣāṃ somānāṃ te dadhyāśiraḥ || sutapāvne | sutaṃ pibatīti sutapāvā | vanipaḥ pittvād dhātusvara eva śiṣyate | samāse dvitīyā-pūrvapada-prakṛti-svaraṃ bādhitvā kṛd-uttarapada-prakṛti-svaratvam | śucayaḥ | śuca dīptau | in nity anuvṛttvādi-gupadhāt kit | u. 4-119 | itīn | kittvāl laghūpadha-guṇābhāvaḥ | nittvād ādyudāttatvam | vītaye | vī gati-prajana-kānty-aśana-khādaneṣu … mantre vṛṣeṣapacamanavidabhūvīrā udāttaḥ | pā. 3-3-96 | iti ktin nudāttaḥ | somāsaḥ | ṣuñ abhiṣave | artistusuhusṛdhṛkṣikṣubhāyāvāpadiyakṣinībhyo man | u. 1-139 | man | nittvād ādyudāttaḥ | āj-jaser asuk | pā. 7-1-50 | ity asug-āgamaḥ | dadhyāśiraḥ | dadhāti puṣṇātīti dadhi | ḍudhāñ dhāraṇa-poṣaṇayoḥ | ādṛgamahanajanaḥ kikinau liṭ ca | pā. 3-2-171 | iti kin | liḍvad-bhāvād dvirbhāvaḥ | kittvād ākāra-lopaḥ | nittvād ādyudāttatvam | śrā pāke … śṛ hiṃsāyām | śṛṇāti hinasti some ’vanīyamānaṃ sat somasya svābhāvikaṃ rasam ṛjīṣatva-prayuktaṃ nīrasaṃ doṣaṃ vety āśīḥ | kvipy ṛta id dhātoḥ | pā. 7-1-100 | itītvaṃ raparatvaṃ ca | dadhy evāśīr yeṣāṃ somānāṃ te dadhyāśiraḥ | bahuvrīhau pūrvapada-prakṛti-svaratvam ||</w:t>
      </w:r>
      <w:r>
        <w:t xml:space="preserve"> </w:t>
      </w:r>
      <w:r>
        <w:rPr>
          <w:iCs/>
          <w:i/>
        </w:rPr>
        <w:t xml:space="preserve">(Reading note: the last part — the analysis of</w:t>
      </w:r>
      <w:r>
        <w:rPr>
          <w:iCs/>
          <w:i/>
        </w:rPr>
        <w:t xml:space="preserve"> </w:t>
      </w:r>
      <w:r>
        <w:rPr>
          <w:iCs/>
          <w:i/>
        </w:rPr>
        <w:t xml:space="preserve">“</w:t>
      </w:r>
      <w:r>
        <w:rPr>
          <w:iCs/>
          <w:i/>
        </w:rPr>
        <w:t xml:space="preserve">āśīḥ</w:t>
      </w:r>
      <w:r>
        <w:rPr>
          <w:iCs/>
          <w:i/>
        </w:rPr>
        <w:t xml:space="preserve">”</w:t>
      </w:r>
      <w:r>
        <w:rPr>
          <w:iCs/>
          <w:i/>
        </w:rPr>
        <w:t xml:space="preserve"> </w:t>
      </w:r>
      <w:r>
        <w:rPr>
          <w:iCs/>
          <w:i/>
        </w:rPr>
        <w:t xml:space="preserve">— re-read from the better scan:</w:t>
      </w:r>
      <w:r>
        <w:rPr>
          <w:iCs/>
          <w:i/>
        </w:rPr>
        <w:t xml:space="preserve"> </w:t>
      </w:r>
      <w:r>
        <w:rPr>
          <w:iCs/>
          <w:i/>
        </w:rPr>
        <w:t xml:space="preserve">“</w:t>
      </w:r>
      <w:r>
        <w:rPr>
          <w:iCs/>
          <w:i/>
        </w:rPr>
        <w:t xml:space="preserve">kvipy ṛta id dhātoḥ (pā. 7-1-100) … dadhy evāśīr yeṣāṃ somānāṃ te dadhyāśiraḥ.</w:t>
      </w:r>
      <w:r>
        <w:rPr>
          <w:iCs/>
          <w:i/>
        </w:rPr>
        <w:t xml:space="preserve">”</w:t>
      </w:r>
      <w:r>
        <w:rPr>
          <w:iCs/>
          <w:i/>
        </w:rPr>
        <w:t xml:space="preserve">)</w:t>
      </w:r>
    </w:p>
    <w:p>
      <w:pPr>
        <w:pStyle w:val="FirstParagraph"/>
      </w:pPr>
      <w:r>
        <w:rPr>
          <w:bCs/>
          <w:b/>
        </w:rPr>
        <w:t xml:space="preserve">Translation (of the sense-part, in full; the grammar in outline):</w:t>
      </w:r>
      <w:r>
        <w:t xml:space="preserve"> </w:t>
      </w:r>
      <w:r>
        <w:t xml:space="preserve">“</w:t>
      </w:r>
      <w:r>
        <w:t xml:space="preserve">‘</w:t>
      </w:r>
      <w:r>
        <w:t xml:space="preserve">Ime somāsaḥ</w:t>
      </w:r>
      <w:r>
        <w:t xml:space="preserve">’</w:t>
      </w:r>
      <w:r>
        <w:t xml:space="preserve"> </w:t>
      </w:r>
      <w:r>
        <w:t xml:space="preserve">— these Soma-juices that have been prepared in this rite —</w:t>
      </w:r>
      <w:r>
        <w:t xml:space="preserve"> </w:t>
      </w:r>
      <w:r>
        <w:t xml:space="preserve">‘</w:t>
      </w:r>
      <w:r>
        <w:t xml:space="preserve">sutapāvne</w:t>
      </w:r>
      <w:r>
        <w:t xml:space="preserve">’</w:t>
      </w:r>
      <w:r>
        <w:t xml:space="preserve"> </w:t>
      </w:r>
      <w:r>
        <w:t xml:space="preserve">— for the one who drinks the pressed Soma, the drinker of the pressed Soma. (The fourth case is here in the sense of the sixth.)</w:t>
      </w:r>
      <w:r>
        <w:t xml:space="preserve"> </w:t>
      </w:r>
      <w:r>
        <w:t xml:space="preserve">‘</w:t>
      </w:r>
      <w:r>
        <w:t xml:space="preserve">Tasya pātur vītaye</w:t>
      </w:r>
      <w:r>
        <w:t xml:space="preserve">’</w:t>
      </w:r>
      <w:r>
        <w:t xml:space="preserve"> </w:t>
      </w:r>
      <w:r>
        <w:t xml:space="preserve">— for the eating (consuming) of that drinker — they go, they reach just him. What kind of Soma-juices?</w:t>
      </w:r>
      <w:r>
        <w:t xml:space="preserve"> </w:t>
      </w:r>
      <w:r>
        <w:t xml:space="preserve">‘</w:t>
      </w:r>
      <w:r>
        <w:t xml:space="preserve">Sutāḥ</w:t>
      </w:r>
      <w:r>
        <w:t xml:space="preserve">’</w:t>
      </w:r>
      <w:r>
        <w:t xml:space="preserve"> </w:t>
      </w:r>
      <w:r>
        <w:t xml:space="preserve">— pressed;</w:t>
      </w:r>
      <w:r>
        <w:t xml:space="preserve"> </w:t>
      </w:r>
      <w:r>
        <w:t xml:space="preserve">‘</w:t>
      </w:r>
      <w:r>
        <w:t xml:space="preserve">śucayaḥ</w:t>
      </w:r>
      <w:r>
        <w:t xml:space="preserve">’</w:t>
      </w:r>
      <w:r>
        <w:t xml:space="preserve"> </w:t>
      </w:r>
      <w:r>
        <w:t xml:space="preserve">— pure, since they have been purified by the daśā-pavitra;</w:t>
      </w:r>
      <w:r>
        <w:t xml:space="preserve"> </w:t>
      </w:r>
      <w:r>
        <w:t xml:space="preserve">‘</w:t>
      </w:r>
      <w:r>
        <w:t xml:space="preserve">dadhyāśiraḥ</w:t>
      </w:r>
      <w:r>
        <w:t xml:space="preserve">’</w:t>
      </w:r>
      <w:r>
        <w:t xml:space="preserve"> </w:t>
      </w:r>
      <w:r>
        <w:t xml:space="preserve">— mixed with curds: those Soma-juices whose</w:t>
      </w:r>
      <w:r>
        <w:t xml:space="preserve"> </w:t>
      </w:r>
      <w:r>
        <w:t xml:space="preserve">‘</w:t>
      </w:r>
      <w:r>
        <w:t xml:space="preserve">āśīḥ</w:t>
      </w:r>
      <w:r>
        <w:t xml:space="preserve">’</w:t>
      </w:r>
      <w:r>
        <w:t xml:space="preserve"> </w:t>
      </w:r>
      <w:r>
        <w:t xml:space="preserve">(admixture), being brought (poured) in, destroys the defects, are</w:t>
      </w:r>
      <w:r>
        <w:t xml:space="preserve"> </w:t>
      </w:r>
      <w:r>
        <w:t xml:space="preserve">‘</w:t>
      </w:r>
      <w:r>
        <w:t xml:space="preserve">dadhyāśiraḥ.</w:t>
      </w:r>
      <w:r>
        <w:t xml:space="preserve">’</w:t>
      </w:r>
      <w:r>
        <w:t xml:space="preserve">”</w:t>
      </w:r>
    </w:p>
    <w:p>
      <w:pPr>
        <w:pStyle w:val="BodyText"/>
      </w:pPr>
      <w:r>
        <w:rPr>
          <w:bCs/>
          <w:b/>
        </w:rPr>
        <w:t xml:space="preserve">Grammar (characterized, sūtras kept):</w:t>
      </w:r>
      <w:r>
        <w:t xml:space="preserve"> </w:t>
      </w:r>
      <w:r>
        <w:t xml:space="preserve">“</w:t>
      </w:r>
      <w:r>
        <w:t xml:space="preserve">Sutapāvne</w:t>
      </w:r>
      <w:r>
        <w:t xml:space="preserve">”</w:t>
      </w:r>
      <w:r>
        <w:t xml:space="preserve"> </w:t>
      </w:r>
      <w:r>
        <w:t xml:space="preserve">—</w:t>
      </w:r>
      <w:r>
        <w:t xml:space="preserve"> </w:t>
      </w:r>
      <w:r>
        <w:t xml:space="preserve">“</w:t>
      </w:r>
      <w:r>
        <w:t xml:space="preserve">sutaṃ pibatīti sutapāvā</w:t>
      </w:r>
      <w:r>
        <w:t xml:space="preserve">”</w:t>
      </w:r>
      <w:r>
        <w:t xml:space="preserve">:</w:t>
      </w:r>
      <w:r>
        <w:t xml:space="preserve"> </w:t>
      </w:r>
      <w:r>
        <w:t xml:space="preserve">“</w:t>
      </w:r>
      <w:r>
        <w:t xml:space="preserve">vanip,</w:t>
      </w:r>
      <w:r>
        <w:t xml:space="preserve">”</w:t>
      </w:r>
      <w:r>
        <w:t xml:space="preserve"> </w:t>
      </w:r>
      <w:r>
        <w:t xml:space="preserve">“</w:t>
      </w:r>
      <w:r>
        <w:t xml:space="preserve">p</w:t>
      </w:r>
      <w:r>
        <w:t xml:space="preserve">”</w:t>
      </w:r>
      <w:r>
        <w:t xml:space="preserve">-marked (</w:t>
      </w:r>
      <w:r>
        <w:rPr>
          <w:bCs/>
          <w:b/>
        </w:rPr>
        <w:t xml:space="preserve">वनिप्</w:t>
      </w:r>
      <w:r>
        <w:t xml:space="preserve">), so the root-accent alone remains; in the compound, the accent of the first member (a second-case word) is set aside and the accent of the kṛt-final member is retained.</w:t>
      </w:r>
      <w:r>
        <w:t xml:space="preserve"> </w:t>
      </w:r>
      <w:r>
        <w:t xml:space="preserve">“</w:t>
      </w:r>
      <w:r>
        <w:t xml:space="preserve">Śucayaḥ</w:t>
      </w:r>
      <w:r>
        <w:t xml:space="preserve">”</w:t>
      </w:r>
      <w:r>
        <w:t xml:space="preserve"> </w:t>
      </w:r>
      <w:r>
        <w:t xml:space="preserve">—</w:t>
      </w:r>
      <w:r>
        <w:t xml:space="preserve"> </w:t>
      </w:r>
      <w:r>
        <w:t xml:space="preserve">“</w:t>
      </w:r>
      <w:r>
        <w:t xml:space="preserve">śuca dīptau</w:t>
      </w:r>
      <w:r>
        <w:t xml:space="preserve">”</w:t>
      </w:r>
      <w:r>
        <w:t xml:space="preserve"> </w:t>
      </w:r>
      <w:r>
        <w:t xml:space="preserve">(to shine): the Uṇādi affix</w:t>
      </w:r>
      <w:r>
        <w:t xml:space="preserve"> </w:t>
      </w:r>
      <w:r>
        <w:t xml:space="preserve">“</w:t>
      </w:r>
      <w:r>
        <w:t xml:space="preserve">in</w:t>
      </w:r>
      <w:r>
        <w:t xml:space="preserve">”</w:t>
      </w:r>
      <w:r>
        <w:t xml:space="preserve"> </w:t>
      </w:r>
      <w:r>
        <w:t xml:space="preserve">(उ. सू. ४-११९),</w:t>
      </w:r>
      <w:r>
        <w:t xml:space="preserve"> </w:t>
      </w:r>
      <w:r>
        <w:t xml:space="preserve">“</w:t>
      </w:r>
      <w:r>
        <w:t xml:space="preserve">kit,</w:t>
      </w:r>
      <w:r>
        <w:t xml:space="preserve">”</w:t>
      </w:r>
      <w:r>
        <w:t xml:space="preserve"> </w:t>
      </w:r>
      <w:r>
        <w:t xml:space="preserve">so no guṇa for the light penultimate;</w:t>
      </w:r>
      <w:r>
        <w:t xml:space="preserve"> </w:t>
      </w:r>
      <w:r>
        <w:t xml:space="preserve">“</w:t>
      </w:r>
      <w:r>
        <w:t xml:space="preserve">n</w:t>
      </w:r>
      <w:r>
        <w:t xml:space="preserve">”</w:t>
      </w:r>
      <w:r>
        <w:t xml:space="preserve">-marked, so first-syllable acute.</w:t>
      </w:r>
      <w:r>
        <w:t xml:space="preserve"> </w:t>
      </w:r>
      <w:r>
        <w:t xml:space="preserve">“</w:t>
      </w:r>
      <w:r>
        <w:t xml:space="preserve">Vītaye</w:t>
      </w:r>
      <w:r>
        <w:t xml:space="preserve">”</w:t>
      </w:r>
      <w:r>
        <w:t xml:space="preserve"> </w:t>
      </w:r>
      <w:r>
        <w:t xml:space="preserve">—</w:t>
      </w:r>
      <w:r>
        <w:t xml:space="preserve"> </w:t>
      </w:r>
      <w:r>
        <w:t xml:space="preserve">“</w:t>
      </w:r>
      <w:r>
        <w:t xml:space="preserve">vī</w:t>
      </w:r>
      <w:r>
        <w:t xml:space="preserve">”</w:t>
      </w:r>
      <w:r>
        <w:t xml:space="preserve"> </w:t>
      </w:r>
      <w:r>
        <w:t xml:space="preserve">(to go, to bear, to desire, to eat) with</w:t>
      </w:r>
      <w:r>
        <w:t xml:space="preserve"> </w:t>
      </w:r>
      <w:r>
        <w:t xml:space="preserve">“</w:t>
      </w:r>
      <w:r>
        <w:t xml:space="preserve">ktin,</w:t>
      </w:r>
      <w:r>
        <w:t xml:space="preserve">”</w:t>
      </w:r>
      <w:r>
        <w:t xml:space="preserve"> </w:t>
      </w:r>
      <w:r>
        <w:t xml:space="preserve">acute by</w:t>
      </w:r>
      <w:r>
        <w:t xml:space="preserve"> </w:t>
      </w:r>
      <w:r>
        <w:rPr>
          <w:bCs/>
          <w:b/>
        </w:rPr>
        <w:t xml:space="preserve">मन्त्रे वृषेषपचमनविदभूवीरा उदात्तः</w:t>
      </w:r>
      <w:r>
        <w:t xml:space="preserve"> </w:t>
      </w:r>
      <w:r>
        <w:t xml:space="preserve">(पा. ३-३-९६).</w:t>
      </w:r>
      <w:r>
        <w:t xml:space="preserve"> </w:t>
      </w:r>
      <w:r>
        <w:t xml:space="preserve">“</w:t>
      </w:r>
      <w:r>
        <w:t xml:space="preserve">Somāsaḥ</w:t>
      </w:r>
      <w:r>
        <w:t xml:space="preserve">”</w:t>
      </w:r>
      <w:r>
        <w:t xml:space="preserve"> </w:t>
      </w:r>
      <w:r>
        <w:t xml:space="preserve">—</w:t>
      </w:r>
      <w:r>
        <w:t xml:space="preserve"> </w:t>
      </w:r>
      <w:r>
        <w:t xml:space="preserve">“</w:t>
      </w:r>
      <w:r>
        <w:t xml:space="preserve">ṣuñ abhiṣave</w:t>
      </w:r>
      <w:r>
        <w:t xml:space="preserve">”</w:t>
      </w:r>
      <w:r>
        <w:t xml:space="preserve"> </w:t>
      </w:r>
      <w:r>
        <w:t xml:space="preserve">with the Uṇādi</w:t>
      </w:r>
      <w:r>
        <w:t xml:space="preserve"> </w:t>
      </w:r>
      <w:r>
        <w:t xml:space="preserve">“</w:t>
      </w:r>
      <w:r>
        <w:t xml:space="preserve">man</w:t>
      </w:r>
      <w:r>
        <w:t xml:space="preserve">”</w:t>
      </w:r>
      <w:r>
        <w:t xml:space="preserve"> </w:t>
      </w:r>
      <w:r>
        <w:t xml:space="preserve">(</w:t>
      </w:r>
      <w:r>
        <w:rPr>
          <w:bCs/>
          <w:b/>
        </w:rPr>
        <w:t xml:space="preserve">अर्तिस्तुसुहुसृधृक्षिक्षुभायावापदियक्षिनीभ्यो मन्</w:t>
      </w:r>
      <w:r>
        <w:t xml:space="preserve">, उ. सू. १-१३९),</w:t>
      </w:r>
      <w:r>
        <w:t xml:space="preserve"> </w:t>
      </w:r>
      <w:r>
        <w:t xml:space="preserve">“</w:t>
      </w:r>
      <w:r>
        <w:t xml:space="preserve">n</w:t>
      </w:r>
      <w:r>
        <w:t xml:space="preserve">”</w:t>
      </w:r>
      <w:r>
        <w:t xml:space="preserve">-marked, first-syllable acute; the</w:t>
      </w:r>
      <w:r>
        <w:t xml:space="preserve"> </w:t>
      </w:r>
      <w:r>
        <w:t xml:space="preserve">“</w:t>
      </w:r>
      <w:r>
        <w:t xml:space="preserve">asuk</w:t>
      </w:r>
      <w:r>
        <w:t xml:space="preserve">”</w:t>
      </w:r>
      <w:r>
        <w:t xml:space="preserve"> </w:t>
      </w:r>
      <w:r>
        <w:t xml:space="preserve">augment in the nominative plural (</w:t>
      </w:r>
      <w:r>
        <w:rPr>
          <w:bCs/>
          <w:b/>
        </w:rPr>
        <w:t xml:space="preserve">आज्जसेरसुक्</w:t>
      </w:r>
      <w:r>
        <w:t xml:space="preserve">, पा. ७-१-५०).</w:t>
      </w:r>
      <w:r>
        <w:t xml:space="preserve"> </w:t>
      </w:r>
      <w:r>
        <w:t xml:space="preserve">“</w:t>
      </w:r>
      <w:r>
        <w:t xml:space="preserve">Dadhyāśiraḥ</w:t>
      </w:r>
      <w:r>
        <w:t xml:space="preserve">”</w:t>
      </w:r>
      <w:r>
        <w:t xml:space="preserve"> </w:t>
      </w:r>
      <w:r>
        <w:t xml:space="preserve">—</w:t>
      </w:r>
      <w:r>
        <w:t xml:space="preserve"> </w:t>
      </w:r>
      <w:r>
        <w:t xml:space="preserve">“</w:t>
      </w:r>
      <w:r>
        <w:t xml:space="preserve">dadhāti puṣṇātīti dadhi</w:t>
      </w:r>
      <w:r>
        <w:t xml:space="preserve">”</w:t>
      </w:r>
      <w:r>
        <w:t xml:space="preserve">: from</w:t>
      </w:r>
      <w:r>
        <w:t xml:space="preserve"> </w:t>
      </w:r>
      <w:r>
        <w:t xml:space="preserve">“</w:t>
      </w:r>
      <w:r>
        <w:t xml:space="preserve">ḍudhāñ dhāraṇapoṣaṇayoḥ</w:t>
      </w:r>
      <w:r>
        <w:t xml:space="preserve">”</w:t>
      </w:r>
      <w:r>
        <w:t xml:space="preserve"> </w:t>
      </w:r>
      <w:r>
        <w:t xml:space="preserve">(to hold, to nourish) the affix</w:t>
      </w:r>
      <w:r>
        <w:t xml:space="preserve"> </w:t>
      </w:r>
      <w:r>
        <w:t xml:space="preserve">“</w:t>
      </w:r>
      <w:r>
        <w:t xml:space="preserve">kin</w:t>
      </w:r>
      <w:r>
        <w:t xml:space="preserve">”</w:t>
      </w:r>
      <w:r>
        <w:t xml:space="preserve"> </w:t>
      </w:r>
      <w:r>
        <w:t xml:space="preserve">(</w:t>
      </w:r>
      <w:r>
        <w:rPr>
          <w:bCs/>
          <w:b/>
        </w:rPr>
        <w:t xml:space="preserve">आदृगमहनजनः किकिनौ लिट् च</w:t>
      </w:r>
      <w:r>
        <w:t xml:space="preserve">, पा. ३-२-१७१), with the</w:t>
      </w:r>
      <w:r>
        <w:t xml:space="preserve"> </w:t>
      </w:r>
      <w:r>
        <w:t xml:space="preserve">“</w:t>
      </w:r>
      <w:r>
        <w:t xml:space="preserve">liṭ</w:t>
      </w:r>
      <w:r>
        <w:t xml:space="preserve">”</w:t>
      </w:r>
      <w:r>
        <w:t xml:space="preserve">-like doubling; because it is</w:t>
      </w:r>
      <w:r>
        <w:t xml:space="preserve"> </w:t>
      </w:r>
      <w:r>
        <w:t xml:space="preserve">“</w:t>
      </w:r>
      <w:r>
        <w:t xml:space="preserve">kit,</w:t>
      </w:r>
      <w:r>
        <w:t xml:space="preserve">”</w:t>
      </w:r>
      <w:r>
        <w:t xml:space="preserve"> </w:t>
      </w:r>
      <w:r>
        <w:t xml:space="preserve">the root’s</w:t>
      </w:r>
      <w:r>
        <w:t xml:space="preserve"> </w:t>
      </w:r>
      <w:r>
        <w:t xml:space="preserve">“</w:t>
      </w:r>
      <w:r>
        <w:t xml:space="preserve">ā</w:t>
      </w:r>
      <w:r>
        <w:t xml:space="preserve">”</w:t>
      </w:r>
      <w:r>
        <w:t xml:space="preserve"> </w:t>
      </w:r>
      <w:r>
        <w:t xml:space="preserve">is elided;</w:t>
      </w:r>
      <w:r>
        <w:t xml:space="preserve"> </w:t>
      </w:r>
      <w:r>
        <w:t xml:space="preserve">“</w:t>
      </w:r>
      <w:r>
        <w:t xml:space="preserve">n</w:t>
      </w:r>
      <w:r>
        <w:t xml:space="preserve">”</w:t>
      </w:r>
      <w:r>
        <w:t xml:space="preserve">-marked, so first-syllable acute;</w:t>
      </w:r>
      <w:r>
        <w:t xml:space="preserve"> </w:t>
      </w:r>
      <w:r>
        <w:t xml:space="preserve">“</w:t>
      </w:r>
      <w:r>
        <w:t xml:space="preserve">āśīḥ</w:t>
      </w:r>
      <w:r>
        <w:t xml:space="preserve">”</w:t>
      </w:r>
      <w:r>
        <w:t xml:space="preserve"> </w:t>
      </w:r>
      <w:r>
        <w:t xml:space="preserve">— from</w:t>
      </w:r>
      <w:r>
        <w:t xml:space="preserve"> </w:t>
      </w:r>
      <w:r>
        <w:t xml:space="preserve">“</w:t>
      </w:r>
      <w:r>
        <w:t xml:space="preserve">śṛ hiṃsāyām</w:t>
      </w:r>
      <w:r>
        <w:t xml:space="preserve">”</w:t>
      </w:r>
      <w:r>
        <w:t xml:space="preserve"> </w:t>
      </w:r>
      <w:r>
        <w:t xml:space="preserve">(to injure),</w:t>
      </w:r>
      <w:r>
        <w:t xml:space="preserve"> </w:t>
      </w:r>
      <w:r>
        <w:t xml:space="preserve">“</w:t>
      </w:r>
      <w:r>
        <w:t xml:space="preserve">that which destroys the natural defect of the Soma</w:t>
      </w:r>
      <w:r>
        <w:t xml:space="preserve">”</w:t>
      </w:r>
      <w:r>
        <w:t xml:space="preserve">; with</w:t>
      </w:r>
      <w:r>
        <w:t xml:space="preserve"> </w:t>
      </w:r>
      <w:r>
        <w:t xml:space="preserve">“</w:t>
      </w:r>
      <w:r>
        <w:t xml:space="preserve">kvip,</w:t>
      </w:r>
      <w:r>
        <w:t xml:space="preserve">”</w:t>
      </w:r>
      <w:r>
        <w:t xml:space="preserve"> </w:t>
      </w:r>
      <w:r>
        <w:rPr>
          <w:bCs/>
          <w:b/>
        </w:rPr>
        <w:t xml:space="preserve">ऋत इद्धातोः</w:t>
      </w:r>
      <w:r>
        <w:t xml:space="preserve"> </w:t>
      </w:r>
      <w:r>
        <w:t xml:space="preserve">(पा. ७-१-१००) gives</w:t>
      </w:r>
      <w:r>
        <w:t xml:space="preserve"> </w:t>
      </w:r>
      <w:r>
        <w:t xml:space="preserve">“</w:t>
      </w:r>
      <w:r>
        <w:t xml:space="preserve">ir</w:t>
      </w:r>
      <w:r>
        <w:t xml:space="preserve">”</w:t>
      </w:r>
      <w:r>
        <w:t xml:space="preserve"> </w:t>
      </w:r>
      <w:r>
        <w:t xml:space="preserve">with</w:t>
      </w:r>
      <w:r>
        <w:t xml:space="preserve"> </w:t>
      </w:r>
      <w:r>
        <w:t xml:space="preserve">“</w:t>
      </w:r>
      <w:r>
        <w:t xml:space="preserve">r</w:t>
      </w:r>
      <w:r>
        <w:t xml:space="preserve">”</w:t>
      </w:r>
      <w:r>
        <w:t xml:space="preserve"> </w:t>
      </w:r>
      <w:r>
        <w:t xml:space="preserve">→</w:t>
      </w:r>
      <w:r>
        <w:t xml:space="preserve"> </w:t>
      </w:r>
      <w:r>
        <w:t xml:space="preserve">“</w:t>
      </w:r>
      <w:r>
        <w:t xml:space="preserve">āśīḥ</w:t>
      </w:r>
      <w:r>
        <w:t xml:space="preserve">”</w:t>
      </w:r>
      <w:r>
        <w:t xml:space="preserve">;</w:t>
      </w:r>
      <w:r>
        <w:t xml:space="preserve"> </w:t>
      </w:r>
      <w:r>
        <w:t xml:space="preserve">“</w:t>
      </w:r>
      <w:r>
        <w:t xml:space="preserve">dadhy evāśīr yeṣām</w:t>
      </w:r>
      <w:r>
        <w:t xml:space="preserve">”</w:t>
      </w:r>
      <w:r>
        <w:t xml:space="preserve"> </w:t>
      </w:r>
      <w:r>
        <w:t xml:space="preserve">—</w:t>
      </w:r>
      <w:r>
        <w:t xml:space="preserve"> </w:t>
      </w:r>
      <w:r>
        <w:t xml:space="preserve">“</w:t>
      </w:r>
      <w:r>
        <w:t xml:space="preserve">bahuvrīhi,</w:t>
      </w:r>
      <w:r>
        <w:t xml:space="preserve">”</w:t>
      </w:r>
      <w:r>
        <w:t xml:space="preserve"> </w:t>
      </w:r>
      <w:r>
        <w:t xml:space="preserve">so the first member’s accent.</w:t>
      </w:r>
    </w:p>
    <w:p>
      <w:pPr>
        <w:pStyle w:val="BodyText"/>
      </w:pPr>
      <w:r>
        <w:rPr>
          <w:bCs/>
          <w:b/>
        </w:rPr>
        <w:t xml:space="preserve">॥ Prati-padārthaḥ ॥</w:t>
      </w:r>
      <w:r>
        <w:t xml:space="preserve"> </w:t>
      </w:r>
      <w:r>
        <w:rPr>
          <w:iCs/>
          <w:i/>
        </w:rPr>
        <w:t xml:space="preserve">(Kannada, translated)</w:t>
      </w:r>
    </w:p>
    <w:p>
      <w:pPr>
        <w:pStyle w:val="BodyText"/>
      </w:pPr>
      <w:r>
        <w:rPr>
          <w:bCs/>
          <w:b/>
        </w:rPr>
        <w:t xml:space="preserve">सुताः (sutāḥ)</w:t>
      </w:r>
      <w:r>
        <w:t xml:space="preserve"> </w:t>
      </w:r>
      <w:r>
        <w:t xml:space="preserve">— pressed out with stones, the juice drawn out |</w:t>
      </w:r>
      <w:r>
        <w:t xml:space="preserve"> </w:t>
      </w:r>
      <w:r>
        <w:rPr>
          <w:bCs/>
          <w:b/>
        </w:rPr>
        <w:t xml:space="preserve">शुचयः (śucayaḥ)</w:t>
      </w:r>
      <w:r>
        <w:t xml:space="preserve"> </w:t>
      </w:r>
      <w:r>
        <w:t xml:space="preserve">— cleansed with the daśā-pavitra and made pure |</w:t>
      </w:r>
      <w:r>
        <w:t xml:space="preserve"> </w:t>
      </w:r>
      <w:r>
        <w:rPr>
          <w:bCs/>
          <w:b/>
        </w:rPr>
        <w:t xml:space="preserve">दध्याशिरः (dadhyāśiraḥ)</w:t>
      </w:r>
      <w:r>
        <w:t xml:space="preserve"> </w:t>
      </w:r>
      <w:r>
        <w:t xml:space="preserve">— mixed with curds (</w:t>
      </w:r>
      <w:r>
        <w:t xml:space="preserve">“</w:t>
      </w:r>
      <w:r>
        <w:t xml:space="preserve">dadhi</w:t>
      </w:r>
      <w:r>
        <w:t xml:space="preserve">”</w:t>
      </w:r>
      <w:r>
        <w:t xml:space="preserve">) |</w:t>
      </w:r>
      <w:r>
        <w:t xml:space="preserve"> </w:t>
      </w:r>
      <w:r>
        <w:rPr>
          <w:bCs/>
          <w:b/>
        </w:rPr>
        <w:t xml:space="preserve">इमे सोमासः (ime somāsaḥ)</w:t>
      </w:r>
      <w:r>
        <w:t xml:space="preserve"> </w:t>
      </w:r>
      <w:r>
        <w:t xml:space="preserve">— these Soma-juices |</w:t>
      </w:r>
      <w:r>
        <w:t xml:space="preserve"> </w:t>
      </w:r>
      <w:r>
        <w:rPr>
          <w:bCs/>
          <w:b/>
        </w:rPr>
        <w:t xml:space="preserve">सुतपाव्ने (sutapāvne)</w:t>
      </w:r>
      <w:r>
        <w:t xml:space="preserve"> </w:t>
      </w:r>
      <w:r>
        <w:t xml:space="preserve">— to Indra, who drinks the Soma |</w:t>
      </w:r>
      <w:r>
        <w:t xml:space="preserve"> </w:t>
      </w:r>
      <w:r>
        <w:rPr>
          <w:bCs/>
          <w:b/>
        </w:rPr>
        <w:t xml:space="preserve">वीतये (vītaye)</w:t>
      </w:r>
      <w:r>
        <w:t xml:space="preserve"> </w:t>
      </w:r>
      <w:r>
        <w:t xml:space="preserve">— for the sake of eating, or for drinking |</w:t>
      </w:r>
      <w:r>
        <w:t xml:space="preserve"> </w:t>
      </w:r>
      <w:r>
        <w:rPr>
          <w:bCs/>
          <w:b/>
        </w:rPr>
        <w:t xml:space="preserve">यन्ति (yanti)</w:t>
      </w:r>
      <w:r>
        <w:t xml:space="preserve"> </w:t>
      </w:r>
      <w:r>
        <w:t xml:space="preserve">— go (reach).</w:t>
      </w:r>
    </w:p>
    <w:p>
      <w:pPr>
        <w:pStyle w:val="BodyText"/>
      </w:pPr>
      <w:r>
        <w:rPr>
          <w:bCs/>
          <w:b/>
        </w:rPr>
        <w:t xml:space="preserve">॥ Bhāvārthaḥ ॥</w:t>
      </w:r>
      <w:r>
        <w:t xml:space="preserve"> </w:t>
      </w:r>
      <w:r>
        <w:rPr>
          <w:iCs/>
          <w:i/>
        </w:rPr>
        <w:t xml:space="preserve">(Kannada, translated)</w:t>
      </w:r>
    </w:p>
    <w:p>
      <w:pPr>
        <w:pStyle w:val="BodyText"/>
      </w:pPr>
      <w:r>
        <w:t xml:space="preserve">In this sacrifice, these Soma-juices, crushed with stones and filtered through the daśā-pavitra so that they are pure, have been mixed with curds and made ready, fit for drinking. Such Soma-juices go to Indra alone — that is, they are prepared for Indra. May Indra come and drink them.</w:t>
      </w:r>
    </w:p>
    <w:bookmarkEnd w:id="207"/>
    <w:bookmarkStart w:id="208" w:name="X3a5d6bdd97cd6e15dc0e5e0557e8629c73e90cd"/>
    <w:p>
      <w:pPr>
        <w:pStyle w:val="Heading3"/>
      </w:pPr>
      <w:r>
        <w:t xml:space="preserve">Page 172 — Rik 5.5: English rendering; Special topics:</w:t>
      </w:r>
      <w:r>
        <w:t xml:space="preserve"> </w:t>
      </w:r>
      <w:r>
        <w:t xml:space="preserve">“</w:t>
      </w:r>
      <w:r>
        <w:t xml:space="preserve">dadhyāśiraḥ</w:t>
      </w:r>
      <w:r>
        <w:t xml:space="preserve">”</w:t>
      </w:r>
      <w:r>
        <w:t xml:space="preserve"> </w:t>
      </w:r>
      <w:r>
        <w:t xml:space="preserve">and the verses that use it</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5.</w:t>
      </w:r>
      <w:r>
        <w:rPr>
          <w:iCs/>
          <w:i/>
        </w:rPr>
        <w:t xml:space="preserve">”</w:t>
      </w:r>
      <w:r>
        <w:rPr>
          <w:iCs/>
          <w:i/>
        </w:rPr>
        <w:t xml:space="preserve"> </w:t>
      </w:r>
      <w:r>
        <w:rPr>
          <w:iCs/>
          <w:i/>
        </w:rPr>
        <w:t xml:space="preserve">English as printed. The verses are in Kannada script; the references re-read from the better scan. Glosses are mine, tentative; the source gives none.)</w:t>
      </w:r>
    </w:p>
    <w:p>
      <w:pPr>
        <w:pStyle w:val="BodyText"/>
      </w:pPr>
      <w:r>
        <w:rPr>
          <w:bCs/>
          <w:b/>
        </w:rPr>
        <w:t xml:space="preserve">English Translation</w:t>
      </w:r>
      <w:r>
        <w:t xml:space="preserve"> </w:t>
      </w:r>
      <w:r>
        <w:rPr>
          <w:iCs/>
          <w:i/>
        </w:rPr>
        <w:t xml:space="preserve">(printed in English in the source itself):</w:t>
      </w:r>
    </w:p>
    <w:p>
      <w:pPr>
        <w:pStyle w:val="BodyText"/>
      </w:pPr>
      <w:r>
        <w:t xml:space="preserve">“</w:t>
      </w:r>
      <w:r>
        <w:t xml:space="preserve">These extracted pure Soma-juices, mixed with (or made harmless by) curds go to Soma drinker (Indra) for his drink.</w:t>
      </w:r>
      <w:r>
        <w:t xml:space="preserve">”</w:t>
      </w:r>
    </w:p>
    <w:p>
      <w:pPr>
        <w:pStyle w:val="BodyText"/>
      </w:pPr>
      <w:r>
        <w:rPr>
          <w:bCs/>
          <w:b/>
        </w:rPr>
        <w:t xml:space="preserve">॥ Viśeṣa-viṣayagaḷu (Special Topics) ॥</w:t>
      </w:r>
    </w:p>
    <w:p>
      <w:pPr>
        <w:pStyle w:val="BodyText"/>
      </w:pPr>
      <w:r>
        <w:t xml:space="preserve">Here it is said that the Soma-juices go to Indra and join him; since they are prepared for Indra himself, the sense is that Indra will certainly drink this Soma. Since this Soma-juice is prepared for the pleasure of Indra, it joins Indra and gives him satisfaction.</w:t>
      </w:r>
    </w:p>
    <w:p>
      <w:pPr>
        <w:pStyle w:val="BodyText"/>
      </w:pPr>
      <w:r>
        <w:rPr>
          <w:bCs/>
          <w:b/>
        </w:rPr>
        <w:t xml:space="preserve">वीतये (vītaye)</w:t>
      </w:r>
      <w:r>
        <w:t xml:space="preserve"> </w:t>
      </w:r>
      <w:r>
        <w:t xml:space="preserve">—</w:t>
      </w:r>
      <w:r>
        <w:t xml:space="preserve"> </w:t>
      </w:r>
      <w:r>
        <w:rPr>
          <w:bCs/>
          <w:b/>
        </w:rPr>
        <w:t xml:space="preserve">Skandasvāmī</w:t>
      </w:r>
      <w:r>
        <w:t xml:space="preserve"> </w:t>
      </w:r>
      <w:r>
        <w:t xml:space="preserve">and</w:t>
      </w:r>
      <w:r>
        <w:t xml:space="preserve"> </w:t>
      </w:r>
      <w:r>
        <w:rPr>
          <w:bCs/>
          <w:b/>
        </w:rPr>
        <w:t xml:space="preserve">Veṅkaṭamādhava</w:t>
      </w:r>
      <w:r>
        <w:t xml:space="preserve"> </w:t>
      </w:r>
      <w:r>
        <w:t xml:space="preserve">explain this word as</w:t>
      </w:r>
      <w:r>
        <w:t xml:space="preserve"> </w:t>
      </w:r>
      <w:r>
        <w:t xml:space="preserve">“</w:t>
      </w:r>
      <w:r>
        <w:t xml:space="preserve">for drinking.</w:t>
      </w:r>
      <w:r>
        <w:t xml:space="preserve">”</w:t>
      </w:r>
      <w:r>
        <w:t xml:space="preserve"> </w:t>
      </w:r>
      <w:r>
        <w:rPr>
          <w:bCs/>
          <w:b/>
        </w:rPr>
        <w:t xml:space="preserve">Sāyaṇa</w:t>
      </w:r>
      <w:r>
        <w:t xml:space="preserve">, in this Ṛk and in Ṛ. Saṃ. 9-97-21, as</w:t>
      </w:r>
      <w:r>
        <w:t xml:space="preserve"> </w:t>
      </w:r>
      <w:r>
        <w:t xml:space="preserve">“</w:t>
      </w:r>
      <w:r>
        <w:t xml:space="preserve">for eating</w:t>
      </w:r>
      <w:r>
        <w:t xml:space="preserve">”</w:t>
      </w:r>
      <w:r>
        <w:t xml:space="preserve"> </w:t>
      </w:r>
      <w:r>
        <w:t xml:space="preserve">(bhakṣaṇārtha); in Ṛ. Saṃ. 3-17-5 as</w:t>
      </w:r>
      <w:r>
        <w:t xml:space="preserve"> </w:t>
      </w:r>
      <w:r>
        <w:t xml:space="preserve">“</w:t>
      </w:r>
      <w:r>
        <w:t xml:space="preserve">for pleasure</w:t>
      </w:r>
      <w:r>
        <w:t xml:space="preserve">”</w:t>
      </w:r>
      <w:r>
        <w:t xml:space="preserve"> </w:t>
      </w:r>
      <w:r>
        <w:t xml:space="preserve">(prītyartha); in Ṛ. Saṃ. 6-16-7 and in the Vājasaneya-saṃhitā (the Śukla Yajurveda) 1-15 and 22-13, as</w:t>
      </w:r>
      <w:r>
        <w:t xml:space="preserve"> </w:t>
      </w:r>
      <w:r>
        <w:t xml:space="preserve">“</w:t>
      </w:r>
      <w:r>
        <w:t xml:space="preserve">for satisfaction</w:t>
      </w:r>
      <w:r>
        <w:t xml:space="preserve">”</w:t>
      </w:r>
      <w:r>
        <w:t xml:space="preserve"> </w:t>
      </w:r>
      <w:r>
        <w:t xml:space="preserve">(tarpaṇārtha).</w:t>
      </w:r>
    </w:p>
    <w:p>
      <w:pPr>
        <w:pStyle w:val="BodyText"/>
      </w:pPr>
      <w:r>
        <w:rPr>
          <w:bCs/>
          <w:b/>
        </w:rPr>
        <w:t xml:space="preserve">सोमासः (somāsaḥ)</w:t>
      </w:r>
      <w:r>
        <w:t xml:space="preserve"> </w:t>
      </w:r>
      <w:r>
        <w:t xml:space="preserve">—</w:t>
      </w:r>
      <w:r>
        <w:t xml:space="preserve"> </w:t>
      </w:r>
      <w:r>
        <w:t xml:space="preserve">“</w:t>
      </w:r>
      <w:r>
        <w:t xml:space="preserve">Somāḥ</w:t>
      </w:r>
      <w:r>
        <w:t xml:space="preserve">”</w:t>
      </w:r>
      <w:r>
        <w:t xml:space="preserve"> </w:t>
      </w:r>
      <w:r>
        <w:t xml:space="preserve">is the form in ordinary use;</w:t>
      </w:r>
      <w:r>
        <w:t xml:space="preserve"> </w:t>
      </w:r>
      <w:r>
        <w:t xml:space="preserve">“</w:t>
      </w:r>
      <w:r>
        <w:t xml:space="preserve">somāsaḥ</w:t>
      </w:r>
      <w:r>
        <w:t xml:space="preserve">”</w:t>
      </w:r>
      <w:r>
        <w:t xml:space="preserve"> </w:t>
      </w:r>
      <w:r>
        <w:t xml:space="preserve">is an archaic usage. Both kinds of plural forms are used in the Ṛgveda.</w:t>
      </w:r>
    </w:p>
    <w:p>
      <w:pPr>
        <w:pStyle w:val="BodyText"/>
      </w:pPr>
      <w:r>
        <w:rPr>
          <w:bCs/>
          <w:b/>
        </w:rPr>
        <w:t xml:space="preserve">दध्याशिरः (dadhyāśiraḥ)</w:t>
      </w:r>
      <w:r>
        <w:t xml:space="preserve"> </w:t>
      </w:r>
      <w:r>
        <w:t xml:space="preserve">— For this word the Bhāṣyakāra says:</w:t>
      </w:r>
      <w:r>
        <w:t xml:space="preserve"> </w:t>
      </w:r>
      <w:r>
        <w:t xml:space="preserve">“</w:t>
      </w:r>
      <w:r>
        <w:rPr>
          <w:iCs/>
          <w:i/>
        </w:rPr>
        <w:t xml:space="preserve">avanīyamānaṃ dadhyāśīr doṣa-ghātakaṃ yeṣāṃ somānāṃ te dadhyāśiraḥ</w:t>
      </w:r>
      <w:r>
        <w:t xml:space="preserve">”</w:t>
      </w:r>
      <w:r>
        <w:t xml:space="preserve"> </w:t>
      </w:r>
      <w:r>
        <w:t xml:space="preserve">(अवनीयमानं दध्याशीर्दोषघातकं येषां सोमानां ते दध्याशिरः —</w:t>
      </w:r>
      <w:r>
        <w:t xml:space="preserve"> </w:t>
      </w:r>
      <w:r>
        <w:t xml:space="preserve">“</w:t>
      </w:r>
      <w:r>
        <w:t xml:space="preserve">those Soma-juices whose</w:t>
      </w:r>
      <w:r>
        <w:t xml:space="preserve"> </w:t>
      </w:r>
      <w:r>
        <w:t xml:space="preserve">‘</w:t>
      </w:r>
      <w:r>
        <w:t xml:space="preserve">āśīḥ</w:t>
      </w:r>
      <w:r>
        <w:t xml:space="preserve">’</w:t>
      </w:r>
      <w:r>
        <w:t xml:space="preserve">, the curds poured in, destroys the defects</w:t>
      </w:r>
      <w:r>
        <w:t xml:space="preserve">”</w:t>
      </w:r>
      <w:r>
        <w:t xml:space="preserve">). That is: since curds are mixed with the Soma-juice in order to remove the defect in the Soma-juice, it is called</w:t>
      </w:r>
      <w:r>
        <w:t xml:space="preserve"> </w:t>
      </w:r>
      <w:r>
        <w:t xml:space="preserve">“</w:t>
      </w:r>
      <w:r>
        <w:t xml:space="preserve">dadhyāśiraḥ.</w:t>
      </w:r>
      <w:r>
        <w:t xml:space="preserve">”</w:t>
      </w:r>
      <w:r>
        <w:t xml:space="preserve"> </w:t>
      </w:r>
      <w:r>
        <w:t xml:space="preserve">It was the custom to mix with the Soma-juice not only curds but also other substances such as milk and barley-meal (the source says</w:t>
      </w:r>
      <w:r>
        <w:t xml:space="preserve"> </w:t>
      </w:r>
      <w:r>
        <w:t xml:space="preserve">“</w:t>
      </w:r>
      <w:r>
        <w:t xml:space="preserve">hiṭṭu,</w:t>
      </w:r>
      <w:r>
        <w:t xml:space="preserve">”</w:t>
      </w:r>
      <w:r>
        <w:t xml:space="preserve"> </w:t>
      </w:r>
      <w:r>
        <w:t xml:space="preserve">meal) and to use them. We have written of this at length in Part 1 of this Ṛgveda Saṃhitā, at p. 676. The word</w:t>
      </w:r>
      <w:r>
        <w:t xml:space="preserve"> </w:t>
      </w:r>
      <w:r>
        <w:t xml:space="preserve">“</w:t>
      </w:r>
      <w:r>
        <w:t xml:space="preserve">dadhyāśiraḥ</w:t>
      </w:r>
      <w:r>
        <w:t xml:space="preserve">”</w:t>
      </w:r>
      <w:r>
        <w:t xml:space="preserve"> </w:t>
      </w:r>
      <w:r>
        <w:t xml:space="preserve">occurs not only in this Ṛk but in the following other Ṛks —</w:t>
      </w:r>
    </w:p>
    <w:p>
      <w:pPr>
        <w:pStyle w:val="BlockText"/>
      </w:pPr>
      <w:r>
        <w:t xml:space="preserve">(१) इमं आयोतमिन्दवः सोमासो दध्याशिरः सुतासो दध्याशिरः । (ऋ. सं. १-१३७-२)</w:t>
      </w:r>
      <w:r>
        <w:t xml:space="preserve"> </w:t>
      </w:r>
      <w:r>
        <w:rPr>
          <w:iCs/>
          <w:i/>
        </w:rPr>
        <w:t xml:space="preserve">imam āyotam indavaḥ somāso dadhyāśiraḥ sutāso dadhyāśiraḥ | (ṛ. saṃ. 1-137-2)</w:t>
      </w:r>
      <w:r>
        <w:t xml:space="preserve"> </w:t>
      </w:r>
      <w:r>
        <w:t xml:space="preserve">Gloss:</w:t>
      </w:r>
      <w:r>
        <w:t xml:space="preserve"> </w:t>
      </w:r>
      <w:r>
        <w:t xml:space="preserve">“</w:t>
      </w:r>
      <w:r>
        <w:t xml:space="preserve">To this (Soma-)drinker come the drops, the Soma-juices mixed with curds, the pressed ones mixed with curds.</w:t>
      </w:r>
      <w:r>
        <w:t xml:space="preserve">”</w:t>
      </w:r>
    </w:p>
    <w:p>
      <w:pPr>
        <w:pStyle w:val="BlockText"/>
      </w:pPr>
      <w:r>
        <w:t xml:space="preserve">(२) सुता इन्द्राय वायवे सोमासो दध्याशिरः ॥ (ऋ. सं. ५-५१-७)</w:t>
      </w:r>
      <w:r>
        <w:t xml:space="preserve"> </w:t>
      </w:r>
      <w:r>
        <w:rPr>
          <w:iCs/>
          <w:i/>
        </w:rPr>
        <w:t xml:space="preserve">sutā indrāya vāyave somāso dadhyāśiraḥ || (ṛ. saṃ. 5-51-7)</w:t>
      </w:r>
      <w:r>
        <w:t xml:space="preserve"> </w:t>
      </w:r>
      <w:r>
        <w:t xml:space="preserve">Gloss:</w:t>
      </w:r>
      <w:r>
        <w:t xml:space="preserve"> </w:t>
      </w:r>
      <w:r>
        <w:t xml:space="preserve">“</w:t>
      </w:r>
      <w:r>
        <w:t xml:space="preserve">Pressed for Indra and for Vāyu are the Soma-juices mixed with curds.</w:t>
      </w:r>
      <w:r>
        <w:t xml:space="preserve">”</w:t>
      </w:r>
    </w:p>
    <w:p>
      <w:pPr>
        <w:pStyle w:val="BlockText"/>
      </w:pPr>
      <w:r>
        <w:t xml:space="preserve">(३) इमा इन्द्राय सुन्विरे सोमासो दध्याशिरः ॥ (ऋ. सं. ७-३२-४)</w:t>
      </w:r>
      <w:r>
        <w:t xml:space="preserve"> </w:t>
      </w:r>
      <w:r>
        <w:rPr>
          <w:iCs/>
          <w:i/>
        </w:rPr>
        <w:t xml:space="preserve">imā indrāya sunvire somāso dadhyāśiraḥ || (ṛ. saṃ. 7-32-4)</w:t>
      </w:r>
      <w:r>
        <w:t xml:space="preserve"> </w:t>
      </w:r>
      <w:r>
        <w:rPr>
          <w:iCs/>
          <w:i/>
        </w:rPr>
        <w:t xml:space="preserve">(Reading note: the print shows</w:t>
      </w:r>
      <w:r>
        <w:rPr>
          <w:iCs/>
          <w:i/>
        </w:rPr>
        <w:t xml:space="preserve"> </w:t>
      </w:r>
      <w:r>
        <w:rPr>
          <w:iCs/>
          <w:i/>
        </w:rPr>
        <w:t xml:space="preserve">“</w:t>
      </w:r>
      <w:r>
        <w:rPr>
          <w:iCs/>
          <w:i/>
        </w:rPr>
        <w:t xml:space="preserve">imu</w:t>
      </w:r>
      <w:r>
        <w:rPr>
          <w:iCs/>
          <w:i/>
        </w:rPr>
        <w:t xml:space="preserve">”</w:t>
      </w:r>
      <w:r>
        <w:rPr>
          <w:iCs/>
          <w:i/>
        </w:rPr>
        <w:t xml:space="preserve"> </w:t>
      </w:r>
      <w:r>
        <w:rPr>
          <w:iCs/>
          <w:i/>
        </w:rPr>
        <w:t xml:space="preserve">for the first word; the sense and the verse-form require</w:t>
      </w:r>
      <w:r>
        <w:rPr>
          <w:iCs/>
          <w:i/>
        </w:rPr>
        <w:t xml:space="preserve"> </w:t>
      </w:r>
      <w:r>
        <w:rPr>
          <w:iCs/>
          <w:i/>
        </w:rPr>
        <w:t xml:space="preserve">“</w:t>
      </w:r>
      <w:r>
        <w:rPr>
          <w:iCs/>
          <w:i/>
        </w:rPr>
        <w:t xml:space="preserve">imā</w:t>
      </w:r>
      <w:r>
        <w:rPr>
          <w:iCs/>
          <w:i/>
        </w:rPr>
        <w:t xml:space="preserve">”</w:t>
      </w:r>
      <w:r>
        <w:rPr>
          <w:iCs/>
          <w:i/>
        </w:rPr>
        <w:t xml:space="preserve">/</w:t>
      </w:r>
      <w:r>
        <w:rPr>
          <w:iCs/>
          <w:i/>
        </w:rPr>
        <w:t xml:space="preserve">“</w:t>
      </w:r>
      <w:r>
        <w:rPr>
          <w:iCs/>
          <w:i/>
        </w:rPr>
        <w:t xml:space="preserve">ime,</w:t>
      </w:r>
      <w:r>
        <w:rPr>
          <w:iCs/>
          <w:i/>
        </w:rPr>
        <w:t xml:space="preserve">”</w:t>
      </w:r>
      <w:r>
        <w:rPr>
          <w:iCs/>
          <w:i/>
        </w:rPr>
        <w:t xml:space="preserve"> </w:t>
      </w:r>
      <w:r>
        <w:rPr>
          <w:iCs/>
          <w:i/>
        </w:rPr>
        <w:t xml:space="preserve">and I give</w:t>
      </w:r>
      <w:r>
        <w:rPr>
          <w:iCs/>
          <w:i/>
        </w:rPr>
        <w:t xml:space="preserve"> </w:t>
      </w:r>
      <w:r>
        <w:rPr>
          <w:iCs/>
          <w:i/>
        </w:rPr>
        <w:t xml:space="preserve">“</w:t>
      </w:r>
      <w:r>
        <w:rPr>
          <w:iCs/>
          <w:i/>
        </w:rPr>
        <w:t xml:space="preserve">imā</w:t>
      </w:r>
      <w:r>
        <w:rPr>
          <w:iCs/>
          <w:i/>
        </w:rPr>
        <w:t xml:space="preserve">”</w:t>
      </w:r>
      <w:r>
        <w:rPr>
          <w:iCs/>
          <w:i/>
        </w:rPr>
        <w:t xml:space="preserve"> </w:t>
      </w:r>
      <w:r>
        <w:rPr>
          <w:iCs/>
          <w:i/>
        </w:rPr>
        <w:t xml:space="preserve">with this note rather than silently correct.)</w:t>
      </w:r>
      <w:r>
        <w:t xml:space="preserve"> </w:t>
      </w:r>
      <w:r>
        <w:t xml:space="preserve">Gloss:</w:t>
      </w:r>
      <w:r>
        <w:t xml:space="preserve"> </w:t>
      </w:r>
      <w:r>
        <w:t xml:space="preserve">“</w:t>
      </w:r>
      <w:r>
        <w:t xml:space="preserve">These have been pressed for Indra, the Soma-juices mixed with curds.</w:t>
      </w:r>
      <w:r>
        <w:t xml:space="preserve">”</w:t>
      </w:r>
    </w:p>
    <w:p>
      <w:pPr>
        <w:pStyle w:val="BlockText"/>
      </w:pPr>
      <w:r>
        <w:t xml:space="preserve">(४) एते पूता विपश्चितः सोमासो दध्याशिरः ॥ (ऋ. सं. ९-२२-३)</w:t>
      </w:r>
      <w:r>
        <w:t xml:space="preserve"> </w:t>
      </w:r>
      <w:r>
        <w:rPr>
          <w:iCs/>
          <w:i/>
        </w:rPr>
        <w:t xml:space="preserve">ete pūtā vipaścitaḥ somāso dadhyāśiraḥ || (ṛ. saṃ. 9-22-3)</w:t>
      </w:r>
      <w:r>
        <w:t xml:space="preserve"> </w:t>
      </w:r>
      <w:r>
        <w:t xml:space="preserve">Gloss:</w:t>
      </w:r>
      <w:r>
        <w:t xml:space="preserve"> </w:t>
      </w:r>
      <w:r>
        <w:t xml:space="preserve">“</w:t>
      </w:r>
      <w:r>
        <w:t xml:space="preserve">These are the purified, the wise Soma-juices mixed with curds.</w:t>
      </w:r>
      <w:r>
        <w:t xml:space="preserve">”</w:t>
      </w:r>
    </w:p>
    <w:bookmarkEnd w:id="208"/>
    <w:bookmarkStart w:id="209" w:name="Xc2988a2de16379b0adc066778b81de6d8724f3e"/>
    <w:p>
      <w:pPr>
        <w:pStyle w:val="Heading3"/>
      </w:pPr>
      <w:r>
        <w:t xml:space="preserve">Page 173 — The</w:t>
      </w:r>
      <w:r>
        <w:t xml:space="preserve"> </w:t>
      </w:r>
      <w:r>
        <w:t xml:space="preserve">“</w:t>
      </w:r>
      <w:r>
        <w:t xml:space="preserve">āśir</w:t>
      </w:r>
      <w:r>
        <w:t xml:space="preserve">”</w:t>
      </w:r>
      <w:r>
        <w:t xml:space="preserve"> </w:t>
      </w:r>
      <w:r>
        <w:t xml:space="preserve">(admixture) words: gavāśir, yavāśir, sanāśir and others</w:t>
      </w:r>
    </w:p>
    <w:p>
      <w:pPr>
        <w:pStyle w:val="FirstParagraph"/>
      </w:pPr>
      <w:r>
        <w:rPr>
          <w:iCs/>
          <w:i/>
        </w:rPr>
        <w:t xml:space="preserve">(Page header:</w:t>
      </w:r>
      <w:r>
        <w:rPr>
          <w:iCs/>
          <w:i/>
        </w:rPr>
        <w:t xml:space="preserve"> </w:t>
      </w:r>
      <w:r>
        <w:rPr>
          <w:iCs/>
          <w:i/>
        </w:rPr>
        <w:t xml:space="preserve">“</w:t>
      </w:r>
      <w:r>
        <w:rPr>
          <w:iCs/>
          <w:i/>
        </w:rPr>
        <w:t xml:space="preserve">Aṣṭaka 1, Adhyāya 1, Varga 9 · Ṛgveda-saṃhitā.</w:t>
      </w:r>
      <w:r>
        <w:rPr>
          <w:iCs/>
          <w:i/>
        </w:rPr>
        <w:t xml:space="preserve">”</w:t>
      </w:r>
      <w:r>
        <w:rPr>
          <w:iCs/>
          <w:i/>
        </w:rPr>
        <w:t xml:space="preserve"> </w:t>
      </w:r>
      <w:r>
        <w:rPr>
          <w:iCs/>
          <w:i/>
        </w:rPr>
        <w:t xml:space="preserve">References are in small Kannada numerals and</w:t>
      </w:r>
      <w:r>
        <w:rPr>
          <w:iCs/>
          <w:i/>
        </w:rPr>
        <w:t xml:space="preserve"> </w:t>
      </w:r>
      <w:r>
        <w:rPr>
          <w:bCs/>
          <w:b/>
          <w:iCs/>
          <w:i/>
        </w:rPr>
        <w:t xml:space="preserve">all marked [?]</w:t>
      </w:r>
      <w:r>
        <w:rPr>
          <w:iCs/>
          <w:i/>
        </w:rPr>
        <w:t xml:space="preserve">; glosses mine, tentative.)</w:t>
      </w:r>
    </w:p>
    <w:p>
      <w:pPr>
        <w:pStyle w:val="BodyText"/>
      </w:pPr>
      <w:r>
        <w:rPr>
          <w:iCs/>
          <w:i/>
        </w:rPr>
        <w:t xml:space="preserve">(Continuing the list of verses with</w:t>
      </w:r>
      <w:r>
        <w:rPr>
          <w:iCs/>
          <w:i/>
        </w:rPr>
        <w:t xml:space="preserve"> </w:t>
      </w:r>
      <w:r>
        <w:rPr>
          <w:iCs/>
          <w:i/>
        </w:rPr>
        <w:t xml:space="preserve">“</w:t>
      </w:r>
      <w:r>
        <w:rPr>
          <w:iCs/>
          <w:i/>
        </w:rPr>
        <w:t xml:space="preserve">dadhyāśiraḥ</w:t>
      </w:r>
      <w:r>
        <w:rPr>
          <w:iCs/>
          <w:i/>
        </w:rPr>
        <w:t xml:space="preserve">”</w:t>
      </w:r>
      <w:r>
        <w:rPr>
          <w:iCs/>
          <w:i/>
        </w:rPr>
        <w:t xml:space="preserve">:)</w:t>
      </w:r>
    </w:p>
    <w:p>
      <w:pPr>
        <w:pStyle w:val="BlockText"/>
      </w:pPr>
      <w:r>
        <w:t xml:space="preserve">(५) सुता इन्द्राय वज्रिणे सोमासो दध्याशिरः ॥ (ऋ. सं. ९-६३-१५)</w:t>
      </w:r>
      <w:r>
        <w:t xml:space="preserve"> </w:t>
      </w:r>
      <w:r>
        <w:rPr>
          <w:iCs/>
          <w:i/>
        </w:rPr>
        <w:t xml:space="preserve">sutā indrāya vajriṇe somāso dadhyāśiraḥ || (ṛ. saṃ. 9-63-15)</w:t>
      </w:r>
      <w:r>
        <w:t xml:space="preserve"> </w:t>
      </w:r>
      <w:r>
        <w:t xml:space="preserve">Gloss:</w:t>
      </w:r>
      <w:r>
        <w:t xml:space="preserve"> </w:t>
      </w:r>
      <w:r>
        <w:t xml:space="preserve">“</w:t>
      </w:r>
      <w:r>
        <w:t xml:space="preserve">Pressed for Indra, the wielder of the thunderbolt, are the Soma-juices mixed with curds.</w:t>
      </w:r>
      <w:r>
        <w:t xml:space="preserve">”</w:t>
      </w:r>
    </w:p>
    <w:p>
      <w:pPr>
        <w:pStyle w:val="BlockText"/>
      </w:pPr>
      <w:r>
        <w:t xml:space="preserve">(६) एते पूता विपश्चितः सोमासो दध्याशिरः ॥ (ऋ. सं. ९-१०१-१२)</w:t>
      </w:r>
      <w:r>
        <w:t xml:space="preserve"> </w:t>
      </w:r>
      <w:r>
        <w:rPr>
          <w:iCs/>
          <w:i/>
        </w:rPr>
        <w:t xml:space="preserve">ete pūtā vipaścitaḥ somāso dadhyāśiraḥ || (ṛ. saṃ. 9-101-12)</w:t>
      </w:r>
      <w:r>
        <w:t xml:space="preserve"> </w:t>
      </w:r>
      <w:r>
        <w:rPr>
          <w:iCs/>
          <w:i/>
        </w:rPr>
        <w:t xml:space="preserve">(This line is the same as (4); the print gives it twice with different references, and I record both.)</w:t>
      </w:r>
    </w:p>
    <w:p>
      <w:pPr>
        <w:pStyle w:val="FirstParagraph"/>
      </w:pPr>
      <w:r>
        <w:t xml:space="preserve">Apart from the word</w:t>
      </w:r>
      <w:r>
        <w:t xml:space="preserve"> </w:t>
      </w:r>
      <w:r>
        <w:t xml:space="preserve">“</w:t>
      </w:r>
      <w:r>
        <w:t xml:space="preserve">dadhyāśiraḥ,</w:t>
      </w:r>
      <w:r>
        <w:t xml:space="preserve">”</w:t>
      </w:r>
      <w:r>
        <w:t xml:space="preserve"> </w:t>
      </w:r>
      <w:r>
        <w:t xml:space="preserve">Soma-juices mixed with other substances —</w:t>
      </w:r>
      <w:r>
        <w:t xml:space="preserve"> </w:t>
      </w:r>
      <w:r>
        <w:t xml:space="preserve">“</w:t>
      </w:r>
      <w:r>
        <w:t xml:space="preserve">gavāśir,</w:t>
      </w:r>
      <w:r>
        <w:t xml:space="preserve">”</w:t>
      </w:r>
      <w:r>
        <w:t xml:space="preserve"> </w:t>
      </w:r>
      <w:r>
        <w:t xml:space="preserve">“</w:t>
      </w:r>
      <w:r>
        <w:t xml:space="preserve">yavāśir</w:t>
      </w:r>
      <w:r>
        <w:t xml:space="preserve">”</w:t>
      </w:r>
      <w:r>
        <w:t xml:space="preserve"> </w:t>
      </w:r>
      <w:r>
        <w:t xml:space="preserve">and the like — are named in these Ṛks:</w:t>
      </w:r>
    </w:p>
    <w:p>
      <w:pPr>
        <w:pStyle w:val="BlockText"/>
      </w:pPr>
      <w:r>
        <w:t xml:space="preserve">(१) तीव्राः सोमास आ गह्याशीर्वन्तः सुता इमे ॥ (ऋ. सं. १-२३-१)</w:t>
      </w:r>
      <w:r>
        <w:t xml:space="preserve"> </w:t>
      </w:r>
      <w:r>
        <w:rPr>
          <w:iCs/>
          <w:i/>
        </w:rPr>
        <w:t xml:space="preserve">tīvrāḥ somāsa ā gahy āśīrvantaḥ sutā ime || (ṛ. saṃ. 1-23-1)</w:t>
      </w:r>
      <w:r>
        <w:t xml:space="preserve"> </w:t>
      </w:r>
      <w:r>
        <w:t xml:space="preserve">Gloss:</w:t>
      </w:r>
      <w:r>
        <w:t xml:space="preserve"> </w:t>
      </w:r>
      <w:r>
        <w:t xml:space="preserve">“</w:t>
      </w:r>
      <w:r>
        <w:t xml:space="preserve">Come: these pressed Soma-juices are sharp, mixed with their admixtures.</w:t>
      </w:r>
      <w:r>
        <w:t xml:space="preserve">”</w:t>
      </w:r>
    </w:p>
    <w:p>
      <w:pPr>
        <w:pStyle w:val="BlockText"/>
      </w:pPr>
      <w:r>
        <w:rPr>
          <w:iCs/>
          <w:i/>
        </w:rPr>
        <w:t xml:space="preserve">(Note by the source:)</w:t>
      </w:r>
      <w:r>
        <w:t xml:space="preserve"> </w:t>
      </w:r>
      <w:r>
        <w:t xml:space="preserve">Since in this Ṛk the words</w:t>
      </w:r>
      <w:r>
        <w:t xml:space="preserve"> </w:t>
      </w:r>
      <w:r>
        <w:t xml:space="preserve">“</w:t>
      </w:r>
      <w:r>
        <w:t xml:space="preserve">āśīrvantaḥ somāsaḥ</w:t>
      </w:r>
      <w:r>
        <w:t xml:space="preserve">”</w:t>
      </w:r>
      <w:r>
        <w:t xml:space="preserve"> </w:t>
      </w:r>
      <w:r>
        <w:t xml:space="preserve">are used, it is said, in general, that the Soma-juice has been mixed with some sort of</w:t>
      </w:r>
      <w:r>
        <w:t xml:space="preserve"> </w:t>
      </w:r>
      <w:r>
        <w:t xml:space="preserve">“</w:t>
      </w:r>
      <w:r>
        <w:t xml:space="preserve">āśir</w:t>
      </w:r>
      <w:r>
        <w:t xml:space="preserve">”</w:t>
      </w:r>
      <w:r>
        <w:t xml:space="preserve">-substances — milk, curds and the like.</w:t>
      </w:r>
    </w:p>
    <w:p>
      <w:pPr>
        <w:pStyle w:val="BlockText"/>
      </w:pPr>
      <w:r>
        <w:t xml:space="preserve">(२) शतं वा यः शुचीनां सहस्रं वा समाशिराम् ॥ (ऋ. सं. १-३०-२)</w:t>
      </w:r>
      <w:r>
        <w:t xml:space="preserve"> </w:t>
      </w:r>
      <w:r>
        <w:rPr>
          <w:iCs/>
          <w:i/>
        </w:rPr>
        <w:t xml:space="preserve">śataṃ vā yaḥ śucīnāṃ sahasraṃ vā samāśirām || (ṛ. saṃ. 1-30-2)</w:t>
      </w:r>
      <w:r>
        <w:t xml:space="preserve"> </w:t>
      </w:r>
      <w:r>
        <w:t xml:space="preserve">Gloss:</w:t>
      </w:r>
      <w:r>
        <w:t xml:space="preserve"> </w:t>
      </w:r>
      <w:r>
        <w:t xml:space="preserve">“</w:t>
      </w:r>
      <w:r>
        <w:t xml:space="preserve">Or a hundred of the pure ones, or a thousand of the well-mixed.</w:t>
      </w:r>
      <w:r>
        <w:t xml:space="preserve">”</w:t>
      </w:r>
    </w:p>
    <w:p>
      <w:pPr>
        <w:pStyle w:val="BlockText"/>
      </w:pPr>
      <w:r>
        <w:rPr>
          <w:iCs/>
          <w:i/>
        </w:rPr>
        <w:t xml:space="preserve">(Note:)</w:t>
      </w:r>
      <w:r>
        <w:t xml:space="preserve"> </w:t>
      </w:r>
      <w:r>
        <w:t xml:space="preserve">Here</w:t>
      </w:r>
      <w:r>
        <w:t xml:space="preserve"> </w:t>
      </w:r>
      <w:r>
        <w:t xml:space="preserve">“</w:t>
      </w:r>
      <w:r>
        <w:t xml:space="preserve">samāśirām</w:t>
      </w:r>
      <w:r>
        <w:t xml:space="preserve">”</w:t>
      </w:r>
      <w:r>
        <w:t xml:space="preserve"> </w:t>
      </w:r>
      <w:r>
        <w:t xml:space="preserve">says generally that the Soma-juice has been well mixed with</w:t>
      </w:r>
      <w:r>
        <w:t xml:space="preserve"> </w:t>
      </w:r>
      <w:r>
        <w:t xml:space="preserve">“</w:t>
      </w:r>
      <w:r>
        <w:t xml:space="preserve">āśir</w:t>
      </w:r>
      <w:r>
        <w:t xml:space="preserve">”</w:t>
      </w:r>
      <w:r>
        <w:t xml:space="preserve"> </w:t>
      </w:r>
      <w:r>
        <w:t xml:space="preserve">substances; no particular substance is named.</w:t>
      </w:r>
    </w:p>
    <w:p>
      <w:pPr>
        <w:pStyle w:val="BlockText"/>
      </w:pPr>
      <w:r>
        <w:t xml:space="preserve">(३) सुषुमा यातमद्रिभिर्गोश्रीता मत्सरा इमे सोमासो मत्सरा इमे ।</w:t>
      </w:r>
      <w:r>
        <w:t xml:space="preserve"> </w:t>
      </w:r>
      <w:r>
        <w:t xml:space="preserve">आ राजाना दिविस्पृशास्मत्रा गन्तमुप नः ।</w:t>
      </w:r>
      <w:r>
        <w:t xml:space="preserve"> </w:t>
      </w:r>
      <w:r>
        <w:t xml:space="preserve">इमे वां मित्रावरुणा गवाशिरः सोमाः शुक्रा गवाशिरः ॥ (ऋ. सं. १-१३७-१)</w:t>
      </w:r>
      <w:r>
        <w:t xml:space="preserve"> </w:t>
      </w:r>
      <w:r>
        <w:rPr>
          <w:iCs/>
          <w:i/>
        </w:rPr>
        <w:t xml:space="preserve">suṣumā yātam adribhir gośrītā matsarā ime somāso matsarā ime |</w:t>
      </w:r>
      <w:r>
        <w:t xml:space="preserve"> </w:t>
      </w:r>
      <w:r>
        <w:rPr>
          <w:iCs/>
          <w:i/>
        </w:rPr>
        <w:t xml:space="preserve">ā rājānā divispṛśāsmatrā gantam upa naḥ |</w:t>
      </w:r>
      <w:r>
        <w:t xml:space="preserve"> </w:t>
      </w:r>
      <w:r>
        <w:rPr>
          <w:iCs/>
          <w:i/>
        </w:rPr>
        <w:t xml:space="preserve">ime vāṃ mitrāvaruṇā gavāśiraḥ somāḥ śukrā gavāśiraḥ || (ṛ. saṃ. 1-137-1)</w:t>
      </w:r>
      <w:r>
        <w:t xml:space="preserve"> </w:t>
      </w:r>
      <w:r>
        <w:t xml:space="preserve">Gloss:</w:t>
      </w:r>
      <w:r>
        <w:t xml:space="preserve"> </w:t>
      </w:r>
      <w:r>
        <w:t xml:space="preserve">“</w:t>
      </w:r>
      <w:r>
        <w:t xml:space="preserve">Come to the well-pressed (Soma), pressed with stones, mixed with milk — these gladdening (juices); come to us, O kings, touching the sky; these Soma-juices are for you, Mitra and Varuṇa, mixed with milk, bright, mixed with milk.</w:t>
      </w:r>
      <w:r>
        <w:t xml:space="preserve">”</w:t>
      </w:r>
    </w:p>
    <w:p>
      <w:pPr>
        <w:pStyle w:val="BlockText"/>
      </w:pPr>
      <w:r>
        <w:rPr>
          <w:iCs/>
          <w:i/>
        </w:rPr>
        <w:t xml:space="preserve">(Note:)</w:t>
      </w:r>
      <w:r>
        <w:t xml:space="preserve"> </w:t>
      </w:r>
      <w:r>
        <w:t xml:space="preserve">Here</w:t>
      </w:r>
      <w:r>
        <w:t xml:space="preserve"> </w:t>
      </w:r>
      <w:r>
        <w:t xml:space="preserve">“</w:t>
      </w:r>
      <w:r>
        <w:t xml:space="preserve">gośrītāḥ</w:t>
      </w:r>
      <w:r>
        <w:t xml:space="preserve">”</w:t>
      </w:r>
      <w:r>
        <w:t xml:space="preserve"> </w:t>
      </w:r>
      <w:r>
        <w:t xml:space="preserve">means</w:t>
      </w:r>
      <w:r>
        <w:t xml:space="preserve"> </w:t>
      </w:r>
      <w:r>
        <w:t xml:space="preserve">“</w:t>
      </w:r>
      <w:r>
        <w:t xml:space="preserve">mixed with cows’ milk.</w:t>
      </w:r>
      <w:r>
        <w:t xml:space="preserve">”</w:t>
      </w:r>
      <w:r>
        <w:t xml:space="preserve"> </w:t>
      </w:r>
      <w:r>
        <w:t xml:space="preserve">The word</w:t>
      </w:r>
      <w:r>
        <w:t xml:space="preserve"> </w:t>
      </w:r>
      <w:r>
        <w:t xml:space="preserve">“</w:t>
      </w:r>
      <w:r>
        <w:t xml:space="preserve">gavāśiraḥ,</w:t>
      </w:r>
      <w:r>
        <w:t xml:space="preserve">”</w:t>
      </w:r>
      <w:r>
        <w:t xml:space="preserve"> </w:t>
      </w:r>
      <w:r>
        <w:t xml:space="preserve">at the end of the Ṛk, likewise means</w:t>
      </w:r>
      <w:r>
        <w:t xml:space="preserve"> </w:t>
      </w:r>
      <w:r>
        <w:t xml:space="preserve">“</w:t>
      </w:r>
      <w:r>
        <w:t xml:space="preserve">Soma mixed with cows’ milk.</w:t>
      </w:r>
      <w:r>
        <w:t xml:space="preserve">”</w:t>
      </w:r>
    </w:p>
    <w:p>
      <w:pPr>
        <w:pStyle w:val="BlockText"/>
      </w:pPr>
      <w:r>
        <w:t xml:space="preserve">(४) शुचिरसि पुरुनिष्ठाः क्षीरैर्मध्यत आशीर्तः । दध्ना मन्दिष्ठः शूरस्य ॥ (ऋ. सं. ८-२-९)</w:t>
      </w:r>
      <w:r>
        <w:t xml:space="preserve"> </w:t>
      </w:r>
      <w:r>
        <w:rPr>
          <w:iCs/>
          <w:i/>
        </w:rPr>
        <w:t xml:space="preserve">śucir asi puruniṣṭhāḥ kṣīrair madhyata āśīrtaḥ | dadhnā mandiṣṭhaḥ śūrasya || (ṛ. saṃ. 8-2-9)</w:t>
      </w:r>
      <w:r>
        <w:t xml:space="preserve"> </w:t>
      </w:r>
      <w:r>
        <w:rPr>
          <w:iCs/>
          <w:i/>
        </w:rPr>
        <w:t xml:space="preserve">(Reading note: the print shows</w:t>
      </w:r>
      <w:r>
        <w:rPr>
          <w:iCs/>
          <w:i/>
        </w:rPr>
        <w:t xml:space="preserve"> </w:t>
      </w:r>
      <w:r>
        <w:rPr>
          <w:iCs/>
          <w:i/>
        </w:rPr>
        <w:t xml:space="preserve">“</w:t>
      </w:r>
      <w:r>
        <w:rPr>
          <w:iCs/>
          <w:i/>
        </w:rPr>
        <w:t xml:space="preserve">āśīrtaḥ</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madhyata</w:t>
      </w:r>
      <w:r>
        <w:rPr>
          <w:iCs/>
          <w:i/>
        </w:rPr>
        <w:t xml:space="preserve">”</w:t>
      </w:r>
      <w:r>
        <w:rPr>
          <w:iCs/>
          <w:i/>
        </w:rPr>
        <w:t xml:space="preserve">; the second of these I cannot identify with certainty, and I give both as printed.)</w:t>
      </w:r>
      <w:r>
        <w:t xml:space="preserve"> </w:t>
      </w:r>
      <w:r>
        <w:t xml:space="preserve">Gloss:</w:t>
      </w:r>
      <w:r>
        <w:t xml:space="preserve"> </w:t>
      </w:r>
      <w:r>
        <w:t xml:space="preserve">“</w:t>
      </w:r>
      <w:r>
        <w:t xml:space="preserve">You are pure, many-formed … mixed with milk … most gladdening with curds, of the hero.</w:t>
      </w:r>
      <w:r>
        <w:t xml:space="preserve">”</w:t>
      </w:r>
      <w:r>
        <w:t xml:space="preserve"> </w:t>
      </w:r>
      <w:r>
        <w:t xml:space="preserve">[tentative; the middle of the verse is not secure]</w:t>
      </w:r>
    </w:p>
    <w:p>
      <w:pPr>
        <w:pStyle w:val="BlockText"/>
      </w:pPr>
      <w:r>
        <w:rPr>
          <w:iCs/>
          <w:i/>
        </w:rPr>
        <w:t xml:space="preserve">(Note:)</w:t>
      </w:r>
      <w:r>
        <w:t xml:space="preserve"> </w:t>
      </w:r>
      <w:r>
        <w:t xml:space="preserve">Here it is said that there are two separate substances — milk and curds — mixed (with the Soma): that is, one must understand that there are two kinds of Soma-juice, the one mixed with milk and the one mixed with curds.</w:t>
      </w:r>
    </w:p>
    <w:p>
      <w:pPr>
        <w:pStyle w:val="BlockText"/>
      </w:pPr>
      <w:r>
        <w:t xml:space="preserve">(५) सं शुक्रासः शुचयः सं गवाशिरः सोमा इन्द्रममन्दिषुः ॥ (ऋ. सं. ८-५२-१०)</w:t>
      </w:r>
      <w:r>
        <w:t xml:space="preserve"> </w:t>
      </w:r>
      <w:r>
        <w:rPr>
          <w:iCs/>
          <w:i/>
        </w:rPr>
        <w:t xml:space="preserve">saṃ śukrāsaḥ śucayaḥ saṃ gavāśiraḥ somā indram amandiṣuḥ || (ṛ. saṃ. 8-52-10)</w:t>
      </w:r>
      <w:r>
        <w:t xml:space="preserve"> </w:t>
      </w:r>
      <w:r>
        <w:t xml:space="preserve">Gloss:</w:t>
      </w:r>
      <w:r>
        <w:t xml:space="preserve"> </w:t>
      </w:r>
      <w:r>
        <w:t xml:space="preserve">“</w:t>
      </w:r>
      <w:r>
        <w:t xml:space="preserve">The bright, the pure, the milk-mixed Soma-juices have gladdened Indra.</w:t>
      </w:r>
      <w:r>
        <w:t xml:space="preserve">”</w:t>
      </w:r>
    </w:p>
    <w:bookmarkEnd w:id="209"/>
    <w:bookmarkStart w:id="210" w:name="X8c04f2b75068d6fe5699d1549229665fca9f4e8"/>
    <w:p>
      <w:pPr>
        <w:pStyle w:val="Heading3"/>
      </w:pPr>
      <w:r>
        <w:t xml:space="preserve">Page 174 — The</w:t>
      </w:r>
      <w:r>
        <w:t xml:space="preserve"> </w:t>
      </w:r>
      <w:r>
        <w:t xml:space="preserve">“</w:t>
      </w:r>
      <w:r>
        <w:t xml:space="preserve">āśir</w:t>
      </w:r>
      <w:r>
        <w:t xml:space="preserve">”</w:t>
      </w:r>
      <w:r>
        <w:t xml:space="preserve"> </w:t>
      </w:r>
      <w:r>
        <w:t xml:space="preserve">words (concluded); Vyākaraṇa-prakriyā for Rik 5.5 (opening)</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5.</w:t>
      </w:r>
      <w:r>
        <w:rPr>
          <w:iCs/>
          <w:i/>
        </w:rPr>
        <w:t xml:space="preserve">”</w:t>
      </w:r>
      <w:r>
        <w:rPr>
          <w:iCs/>
          <w:i/>
        </w:rPr>
        <w:t xml:space="preserve"> </w:t>
      </w:r>
      <w:r>
        <w:rPr>
          <w:iCs/>
          <w:i/>
        </w:rPr>
        <w:t xml:space="preserve">References re-read from the better scan; glosses mine, tentative. The verses were read from an enlarged slice.)</w:t>
      </w:r>
    </w:p>
    <w:p>
      <w:pPr>
        <w:pStyle w:val="BodyText"/>
      </w:pPr>
      <w:r>
        <w:rPr>
          <w:iCs/>
          <w:i/>
        </w:rPr>
        <w:t xml:space="preserve">(Continuing the list from p. 173 — after verse (5):)</w:t>
      </w:r>
      <w:r>
        <w:t xml:space="preserve"> </w:t>
      </w:r>
      <w:r>
        <w:t xml:space="preserve">Here</w:t>
      </w:r>
      <w:r>
        <w:t xml:space="preserve"> </w:t>
      </w:r>
      <w:r>
        <w:t xml:space="preserve">“</w:t>
      </w:r>
      <w:r>
        <w:t xml:space="preserve">gavāśir</w:t>
      </w:r>
      <w:r>
        <w:t xml:space="preserve">”</w:t>
      </w:r>
      <w:r>
        <w:t xml:space="preserve"> </w:t>
      </w:r>
      <w:r>
        <w:t xml:space="preserve">says plainly that the Soma is mixed with milk.</w:t>
      </w:r>
    </w:p>
    <w:p>
      <w:pPr>
        <w:pStyle w:val="BlockText"/>
      </w:pPr>
      <w:r>
        <w:t xml:space="preserve">(६) अथा नियुत्वे उभयस्य नः पिब शुचिं सोमं गवाशिरम् ॥ (ऋ. सं. ८-१०१-१०)</w:t>
      </w:r>
      <w:r>
        <w:t xml:space="preserve"> </w:t>
      </w:r>
      <w:r>
        <w:rPr>
          <w:iCs/>
          <w:i/>
        </w:rPr>
        <w:t xml:space="preserve">athā niyutve ubhayasya naḥ piba śuciṃ somaṃ gavāśiram || (ṛ. saṃ. 8-101-10)</w:t>
      </w:r>
      <w:r>
        <w:t xml:space="preserve"> </w:t>
      </w:r>
      <w:r>
        <w:t xml:space="preserve">Gloss:</w:t>
      </w:r>
      <w:r>
        <w:t xml:space="preserve"> </w:t>
      </w:r>
      <w:r>
        <w:t xml:space="preserve">“</w:t>
      </w:r>
      <w:r>
        <w:t xml:space="preserve">Then, O lord of the team, drink of ours — of both — the pure Soma mixed with milk.</w:t>
      </w:r>
      <w:r>
        <w:t xml:space="preserve">”</w:t>
      </w:r>
    </w:p>
    <w:p>
      <w:pPr>
        <w:pStyle w:val="BlockText"/>
      </w:pPr>
      <w:r>
        <w:rPr>
          <w:iCs/>
          <w:i/>
        </w:rPr>
        <w:t xml:space="preserve">(Note:)</w:t>
      </w:r>
      <w:r>
        <w:t xml:space="preserve"> </w:t>
      </w:r>
      <w:r>
        <w:t xml:space="preserve">Here too</w:t>
      </w:r>
      <w:r>
        <w:t xml:space="preserve"> </w:t>
      </w:r>
      <w:r>
        <w:t xml:space="preserve">“</w:t>
      </w:r>
      <w:r>
        <w:t xml:space="preserve">gavāśir</w:t>
      </w:r>
      <w:r>
        <w:t xml:space="preserve">”</w:t>
      </w:r>
      <w:r>
        <w:t xml:space="preserve"> </w:t>
      </w:r>
      <w:r>
        <w:t xml:space="preserve">speaks of Soma mixed with milk.</w:t>
      </w:r>
    </w:p>
    <w:p>
      <w:pPr>
        <w:pStyle w:val="BlockText"/>
      </w:pPr>
      <w:r>
        <w:t xml:space="preserve">(७) यत्ते सोम गवाशिरो यवाशिरो भजामहे ॥ (ऋ. सं. १-१८७-९)</w:t>
      </w:r>
      <w:r>
        <w:t xml:space="preserve"> </w:t>
      </w:r>
      <w:r>
        <w:rPr>
          <w:iCs/>
          <w:i/>
        </w:rPr>
        <w:t xml:space="preserve">yat te soma gavāśiro yavāśiro bhajāmahe || (ṛ. saṃ. 1-187-9)</w:t>
      </w:r>
      <w:r>
        <w:t xml:space="preserve"> </w:t>
      </w:r>
      <w:r>
        <w:t xml:space="preserve">Gloss:</w:t>
      </w:r>
      <w:r>
        <w:t xml:space="preserve"> </w:t>
      </w:r>
      <w:r>
        <w:t xml:space="preserve">“</w:t>
      </w:r>
      <w:r>
        <w:t xml:space="preserve">What of yours, O Soma, mixed with milk, mixed with barley, we share.</w:t>
      </w:r>
      <w:r>
        <w:t xml:space="preserve">”</w:t>
      </w:r>
    </w:p>
    <w:p>
      <w:pPr>
        <w:pStyle w:val="BlockText"/>
      </w:pPr>
      <w:r>
        <w:t xml:space="preserve">(८) इमामिन्द्र गवाशिरं यवाशिरं च नः पिब । (ऋ. सं. ३-४२-७)</w:t>
      </w:r>
      <w:r>
        <w:t xml:space="preserve"> </w:t>
      </w:r>
      <w:r>
        <w:rPr>
          <w:iCs/>
          <w:i/>
        </w:rPr>
        <w:t xml:space="preserve">imām indra gavāśiraṃ yavāśiraṃ ca naḥ piba | (ṛ. saṃ. 3-42-7)</w:t>
      </w:r>
      <w:r>
        <w:t xml:space="preserve"> </w:t>
      </w:r>
      <w:r>
        <w:rPr>
          <w:iCs/>
          <w:i/>
        </w:rPr>
        <w:t xml:space="preserve">(Reading note: the print has</w:t>
      </w:r>
      <w:r>
        <w:rPr>
          <w:iCs/>
          <w:i/>
        </w:rPr>
        <w:t xml:space="preserve"> </w:t>
      </w:r>
      <w:r>
        <w:rPr>
          <w:iCs/>
          <w:i/>
        </w:rPr>
        <w:t xml:space="preserve">“</w:t>
      </w:r>
      <w:r>
        <w:rPr>
          <w:iCs/>
          <w:i/>
        </w:rPr>
        <w:t xml:space="preserve">imam indra</w:t>
      </w:r>
      <w:r>
        <w:rPr>
          <w:iCs/>
          <w:i/>
        </w:rPr>
        <w:t xml:space="preserve">”</w:t>
      </w:r>
      <w:r>
        <w:rPr>
          <w:iCs/>
          <w:i/>
        </w:rPr>
        <w:t xml:space="preserve">; I read it as</w:t>
      </w:r>
      <w:r>
        <w:rPr>
          <w:iCs/>
          <w:i/>
        </w:rPr>
        <w:t xml:space="preserve"> </w:t>
      </w:r>
      <w:r>
        <w:rPr>
          <w:iCs/>
          <w:i/>
        </w:rPr>
        <w:t xml:space="preserve">“</w:t>
      </w:r>
      <w:r>
        <w:rPr>
          <w:iCs/>
          <w:i/>
        </w:rPr>
        <w:t xml:space="preserve">imam indra</w:t>
      </w:r>
      <w:r>
        <w:rPr>
          <w:iCs/>
          <w:i/>
        </w:rPr>
        <w:t xml:space="preserve">”</w:t>
      </w:r>
      <w:r>
        <w:rPr>
          <w:iCs/>
          <w:i/>
        </w:rPr>
        <w:t xml:space="preserve"> </w:t>
      </w:r>
      <w:r>
        <w:rPr>
          <w:iCs/>
          <w:i/>
        </w:rPr>
        <w:t xml:space="preserve">—</w:t>
      </w:r>
      <w:r>
        <w:rPr>
          <w:iCs/>
          <w:i/>
        </w:rPr>
        <w:t xml:space="preserve"> </w:t>
      </w:r>
      <w:r>
        <w:rPr>
          <w:iCs/>
          <w:i/>
        </w:rPr>
        <w:t xml:space="preserve">“</w:t>
      </w:r>
      <w:r>
        <w:rPr>
          <w:iCs/>
          <w:i/>
        </w:rPr>
        <w:t xml:space="preserve">this one, O Indra</w:t>
      </w:r>
      <w:r>
        <w:rPr>
          <w:iCs/>
          <w:i/>
        </w:rPr>
        <w:t xml:space="preserve">”</w:t>
      </w:r>
      <w:r>
        <w:rPr>
          <w:iCs/>
          <w:i/>
        </w:rPr>
        <w:t xml:space="preserve"> </w:t>
      </w:r>
      <w:r>
        <w:rPr>
          <w:iCs/>
          <w:i/>
        </w:rPr>
        <w:t xml:space="preserve">— and the sense is not affected.)</w:t>
      </w:r>
      <w:r>
        <w:t xml:space="preserve"> </w:t>
      </w:r>
      <w:r>
        <w:t xml:space="preserve">Gloss:</w:t>
      </w:r>
      <w:r>
        <w:t xml:space="preserve"> </w:t>
      </w:r>
      <w:r>
        <w:t xml:space="preserve">“</w:t>
      </w:r>
      <w:r>
        <w:t xml:space="preserve">This (Soma), O Indra, mixed with milk and mixed with barley, drink of ours.</w:t>
      </w:r>
      <w:r>
        <w:t xml:space="preserve">”</w:t>
      </w:r>
    </w:p>
    <w:p>
      <w:pPr>
        <w:pStyle w:val="BlockText"/>
      </w:pPr>
      <w:r>
        <w:rPr>
          <w:iCs/>
          <w:i/>
        </w:rPr>
        <w:t xml:space="preserve">(Note:)</w:t>
      </w:r>
      <w:r>
        <w:t xml:space="preserve"> </w:t>
      </w:r>
      <w:r>
        <w:t xml:space="preserve">Here both kinds of Soma-juice,</w:t>
      </w:r>
      <w:r>
        <w:t xml:space="preserve"> </w:t>
      </w:r>
      <w:r>
        <w:t xml:space="preserve">“</w:t>
      </w:r>
      <w:r>
        <w:t xml:space="preserve">gavāśir</w:t>
      </w:r>
      <w:r>
        <w:t xml:space="preserve">”</w:t>
      </w:r>
      <w:r>
        <w:t xml:space="preserve"> </w:t>
      </w:r>
      <w:r>
        <w:t xml:space="preserve">and</w:t>
      </w:r>
      <w:r>
        <w:t xml:space="preserve"> </w:t>
      </w:r>
      <w:r>
        <w:t xml:space="preserve">“</w:t>
      </w:r>
      <w:r>
        <w:t xml:space="preserve">yavāśir,</w:t>
      </w:r>
      <w:r>
        <w:t xml:space="preserve">”</w:t>
      </w:r>
      <w:r>
        <w:t xml:space="preserve"> </w:t>
      </w:r>
      <w:r>
        <w:t xml:space="preserve">are named.</w:t>
      </w:r>
    </w:p>
    <w:p>
      <w:pPr>
        <w:pStyle w:val="BlockText"/>
      </w:pPr>
      <w:r>
        <w:t xml:space="preserve">(९) इन्दोरिन्द्रो यवाशिरः । (ऋ. सं. ८-९२-४)</w:t>
      </w:r>
      <w:r>
        <w:t xml:space="preserve"> </w:t>
      </w:r>
      <w:r>
        <w:rPr>
          <w:iCs/>
          <w:i/>
        </w:rPr>
        <w:t xml:space="preserve">indor indro yavāśiraḥ | (ṛ. saṃ. 8-92-4)</w:t>
      </w:r>
      <w:r>
        <w:t xml:space="preserve"> </w:t>
      </w:r>
      <w:r>
        <w:t xml:space="preserve">Gloss:</w:t>
      </w:r>
      <w:r>
        <w:t xml:space="preserve"> </w:t>
      </w:r>
      <w:r>
        <w:t xml:space="preserve">“</w:t>
      </w:r>
      <w:r>
        <w:t xml:space="preserve">Indra (drinks) of the barley-mixed Soma-drop.</w:t>
      </w:r>
      <w:r>
        <w:t xml:space="preserve">”</w:t>
      </w:r>
      <w:r>
        <w:t xml:space="preserve"> </w:t>
      </w:r>
      <w:r>
        <w:t xml:space="preserve">[tentative]</w:t>
      </w:r>
    </w:p>
    <w:p>
      <w:pPr>
        <w:pStyle w:val="BlockText"/>
      </w:pPr>
      <w:r>
        <w:t xml:space="preserve">(१०) त्रिकद्रुकेषु महिषो यवाशिरं तुविशुष्मस्तृपत्सोममपिबद्विष्णुना सुतं यथावशत् ॥ (ऋ. सं. २-२२-१)</w:t>
      </w:r>
      <w:r>
        <w:t xml:space="preserve"> </w:t>
      </w:r>
      <w:r>
        <w:rPr>
          <w:iCs/>
          <w:i/>
        </w:rPr>
        <w:t xml:space="preserve">trikadrukeṣu mahiṣo yavāśiraṃ tuviśuṣmas tṛpat somam apibad viṣṇunā sutaṃ yathāvaśat || (ṛ. saṃ. 2-22-1)</w:t>
      </w:r>
      <w:r>
        <w:t xml:space="preserve"> </w:t>
      </w:r>
      <w:r>
        <w:t xml:space="preserve">Gloss:</w:t>
      </w:r>
      <w:r>
        <w:t xml:space="preserve"> </w:t>
      </w:r>
      <w:r>
        <w:t xml:space="preserve">“</w:t>
      </w:r>
      <w:r>
        <w:t xml:space="preserve">In the Trikadrukas the mighty one, the very strong, drank with satisfaction the barley-mixed Soma pressed with Viṣṇu, as he wished.</w:t>
      </w:r>
      <w:r>
        <w:t xml:space="preserve">”</w:t>
      </w:r>
    </w:p>
    <w:p>
      <w:pPr>
        <w:pStyle w:val="BlockText"/>
      </w:pPr>
      <w:r>
        <w:rPr>
          <w:iCs/>
          <w:i/>
        </w:rPr>
        <w:t xml:space="preserve">(Note:)</w:t>
      </w:r>
      <w:r>
        <w:t xml:space="preserve"> </w:t>
      </w:r>
      <w:r>
        <w:t xml:space="preserve">Here</w:t>
      </w:r>
      <w:r>
        <w:t xml:space="preserve"> </w:t>
      </w:r>
      <w:r>
        <w:t xml:space="preserve">“</w:t>
      </w:r>
      <w:r>
        <w:t xml:space="preserve">yavāśir</w:t>
      </w:r>
      <w:r>
        <w:t xml:space="preserve">”</w:t>
      </w:r>
      <w:r>
        <w:t xml:space="preserve"> </w:t>
      </w:r>
      <w:r>
        <w:t xml:space="preserve">is said to be Soma mixed with barley-meal.</w:t>
      </w:r>
    </w:p>
    <w:p>
      <w:pPr>
        <w:pStyle w:val="BlockText"/>
      </w:pPr>
      <w:r>
        <w:t xml:space="preserve">(११) अश्वमेधस्य दानाः सोमा इव त्र्याशिरः ॥ (ऋ. सं. ५-२७-५)</w:t>
      </w:r>
      <w:r>
        <w:t xml:space="preserve"> </w:t>
      </w:r>
      <w:r>
        <w:rPr>
          <w:iCs/>
          <w:i/>
        </w:rPr>
        <w:t xml:space="preserve">aśvamedhasya dānāḥ somā iva tryāśiraḥ || (ṛ. saṃ. 5-27-5)</w:t>
      </w:r>
      <w:r>
        <w:t xml:space="preserve"> </w:t>
      </w:r>
      <w:r>
        <w:t xml:space="preserve">Gloss:</w:t>
      </w:r>
      <w:r>
        <w:t xml:space="preserve"> </w:t>
      </w:r>
      <w:r>
        <w:t xml:space="preserve">“</w:t>
      </w:r>
      <w:r>
        <w:t xml:space="preserve">The gifts of Aśvamedha are like Soma-juices, three-fold mixed.</w:t>
      </w:r>
      <w:r>
        <w:t xml:space="preserve">”</w:t>
      </w:r>
      <w:r>
        <w:t xml:space="preserve"> </w:t>
      </w:r>
      <w:r>
        <w:t xml:space="preserve">[tentative]</w:t>
      </w:r>
    </w:p>
    <w:p>
      <w:pPr>
        <w:pStyle w:val="BlockText"/>
      </w:pPr>
      <w:r>
        <w:rPr>
          <w:iCs/>
          <w:i/>
        </w:rPr>
        <w:t xml:space="preserve">(Note:)</w:t>
      </w:r>
      <w:r>
        <w:t xml:space="preserve"> </w:t>
      </w:r>
      <w:r>
        <w:t xml:space="preserve">Here it is said that three kinds of substance — milk, curds and barley — are mixed with the Soma-juice.</w:t>
      </w:r>
    </w:p>
    <w:p>
      <w:pPr>
        <w:pStyle w:val="BlockText"/>
      </w:pPr>
      <w:r>
        <w:t xml:space="preserve">(१२) साधोः पिब प्रतिकामं यथा ते रसाशिरः प्रथमं सोमस्य । (ऋ. सं. ३-४८-१)</w:t>
      </w:r>
      <w:r>
        <w:t xml:space="preserve"> </w:t>
      </w:r>
      <w:r>
        <w:rPr>
          <w:iCs/>
          <w:i/>
        </w:rPr>
        <w:t xml:space="preserve">sādhoḥ piba pratikāmaṃ yathā te rasāśiraḥ prathamaṃ somasya | (ṛ. saṃ. 3-48-1)</w:t>
      </w:r>
      <w:r>
        <w:t xml:space="preserve"> </w:t>
      </w:r>
      <w:r>
        <w:t xml:space="preserve">Gloss:</w:t>
      </w:r>
      <w:r>
        <w:t xml:space="preserve"> </w:t>
      </w:r>
      <w:r>
        <w:t xml:space="preserve">“</w:t>
      </w:r>
      <w:r>
        <w:t xml:space="preserve">Drink the good (Soma) to your liking, as your first (portion) of the Soma that is mixed with its juices.</w:t>
      </w:r>
      <w:r>
        <w:t xml:space="preserve">”</w:t>
      </w:r>
      <w:r>
        <w:t xml:space="preserve"> </w:t>
      </w:r>
      <w:r>
        <w:t xml:space="preserve">[tentative]</w:t>
      </w:r>
    </w:p>
    <w:p>
      <w:pPr>
        <w:pStyle w:val="BlockText"/>
      </w:pPr>
      <w:r>
        <w:rPr>
          <w:iCs/>
          <w:i/>
        </w:rPr>
        <w:t xml:space="preserve">(Note:)</w:t>
      </w:r>
      <w:r>
        <w:t xml:space="preserve"> </w:t>
      </w:r>
      <w:r>
        <w:t xml:space="preserve">Since</w:t>
      </w:r>
      <w:r>
        <w:t xml:space="preserve"> </w:t>
      </w:r>
      <w:r>
        <w:t xml:space="preserve">“</w:t>
      </w:r>
      <w:r>
        <w:t xml:space="preserve">rasāśir</w:t>
      </w:r>
      <w:r>
        <w:t xml:space="preserve">”</w:t>
      </w:r>
      <w:r>
        <w:t xml:space="preserve"> </w:t>
      </w:r>
      <w:r>
        <w:t xml:space="preserve">is said here, the sense is Soma mixed with either milk or curds.</w:t>
      </w:r>
    </w:p>
    <w:p>
      <w:pPr>
        <w:pStyle w:val="FirstParagraph"/>
      </w:pPr>
      <w:r>
        <w:rPr>
          <w:bCs/>
          <w:b/>
        </w:rPr>
        <w:t xml:space="preserve">॥ Vyākaraṇa-prakriyā ॥</w:t>
      </w:r>
      <w:r>
        <w:t xml:space="preserve"> </w:t>
      </w:r>
      <w:r>
        <w:rPr>
          <w:iCs/>
          <w:i/>
        </w:rPr>
        <w:t xml:space="preserve">(Kannada; characterized, sūtras kept)</w:t>
      </w:r>
      <w:r>
        <w:t xml:space="preserve"> </w:t>
      </w:r>
      <w:r>
        <w:rPr>
          <w:bCs/>
          <w:b/>
        </w:rPr>
        <w:t xml:space="preserve">“</w:t>
      </w:r>
      <w:r>
        <w:rPr>
          <w:bCs/>
          <w:b/>
        </w:rPr>
        <w:t xml:space="preserve">Sutapāvne</w:t>
      </w:r>
      <w:r>
        <w:rPr>
          <w:bCs/>
          <w:b/>
        </w:rPr>
        <w:t xml:space="preserve">”</w:t>
      </w:r>
      <w:r>
        <w:t xml:space="preserve"> </w:t>
      </w:r>
      <w:r>
        <w:t xml:space="preserve">—</w:t>
      </w:r>
      <w:r>
        <w:t xml:space="preserve"> </w:t>
      </w:r>
      <w:r>
        <w:t xml:space="preserve">“</w:t>
      </w:r>
      <w:r>
        <w:t xml:space="preserve">sutaṃ pibatīti sutapāvā</w:t>
      </w:r>
      <w:r>
        <w:t xml:space="preserve">”</w:t>
      </w:r>
      <w:r>
        <w:t xml:space="preserve"> </w:t>
      </w:r>
      <w:r>
        <w:t xml:space="preserve">(</w:t>
      </w:r>
      <w:r>
        <w:t xml:space="preserve">“</w:t>
      </w:r>
      <w:r>
        <w:t xml:space="preserve">he who drinks the pressed Soma</w:t>
      </w:r>
      <w:r>
        <w:t xml:space="preserve">”</w:t>
      </w:r>
      <w:r>
        <w:t xml:space="preserve">):</w:t>
      </w:r>
      <w:r>
        <w:t xml:space="preserve"> </w:t>
      </w:r>
      <w:r>
        <w:rPr>
          <w:bCs/>
          <w:b/>
        </w:rPr>
        <w:t xml:space="preserve">आतो मनिन्क्वनिब्वनिपश्च</w:t>
      </w:r>
      <w:r>
        <w:t xml:space="preserve"> </w:t>
      </w:r>
      <w:r>
        <w:t xml:space="preserve">(पा. ३-२-७४) — after a root ending in</w:t>
      </w:r>
      <w:r>
        <w:t xml:space="preserve"> </w:t>
      </w:r>
      <w:r>
        <w:t xml:space="preserve">“</w:t>
      </w:r>
      <w:r>
        <w:t xml:space="preserve">ā</w:t>
      </w:r>
      <w:r>
        <w:t xml:space="preserve">”</w:t>
      </w:r>
      <w:r>
        <w:t xml:space="preserve"> </w:t>
      </w:r>
      <w:r>
        <w:t xml:space="preserve">(here</w:t>
      </w:r>
      <w:r>
        <w:t xml:space="preserve"> </w:t>
      </w:r>
      <w:r>
        <w:t xml:space="preserve">“</w:t>
      </w:r>
      <w:r>
        <w:t xml:space="preserve">pā</w:t>
      </w:r>
      <w:r>
        <w:t xml:space="preserve">”</w:t>
      </w:r>
      <w:r>
        <w:t xml:space="preserve">), with a subanta upapada, the affix</w:t>
      </w:r>
      <w:r>
        <w:t xml:space="preserve"> </w:t>
      </w:r>
      <w:r>
        <w:t xml:space="preserve">“</w:t>
      </w:r>
      <w:r>
        <w:t xml:space="preserve">vanip,</w:t>
      </w:r>
      <w:r>
        <w:t xml:space="preserve">”</w:t>
      </w:r>
      <w:r>
        <w:t xml:space="preserve"> </w:t>
      </w:r>
      <w:r>
        <w:t xml:space="preserve">which, being</w:t>
      </w:r>
      <w:r>
        <w:t xml:space="preserve"> </w:t>
      </w:r>
      <w:r>
        <w:t xml:space="preserve">“</w:t>
      </w:r>
      <w:r>
        <w:t xml:space="preserve">p</w:t>
      </w:r>
      <w:r>
        <w:t xml:space="preserve">”</w:t>
      </w:r>
      <w:r>
        <w:t xml:space="preserve">-marked, is unaccented, so the root’s accent alone remains on</w:t>
      </w:r>
      <w:r>
        <w:t xml:space="preserve"> </w:t>
      </w:r>
      <w:r>
        <w:t xml:space="preserve">“</w:t>
      </w:r>
      <w:r>
        <w:t xml:space="preserve">pā</w:t>
      </w:r>
      <w:r>
        <w:t xml:space="preserve">”</w:t>
      </w:r>
      <w:r>
        <w:t xml:space="preserve">; in the compound,</w:t>
      </w:r>
      <w:r>
        <w:t xml:space="preserve"> </w:t>
      </w:r>
      <w:r>
        <w:t xml:space="preserve">“</w:t>
      </w:r>
      <w:r>
        <w:t xml:space="preserve">sutam</w:t>
      </w:r>
      <w:r>
        <w:t xml:space="preserve">”</w:t>
      </w:r>
      <w:r>
        <w:t xml:space="preserve"> </w:t>
      </w:r>
      <w:r>
        <w:t xml:space="preserve">(a second-case word) would keep its natural accent by</w:t>
      </w:r>
      <w:r>
        <w:t xml:space="preserve"> </w:t>
      </w:r>
      <w:r>
        <w:rPr>
          <w:bCs/>
          <w:b/>
        </w:rPr>
        <w:t xml:space="preserve">तत्पुरुषे तुल्यार्थ…</w:t>
      </w:r>
      <w:r>
        <w:t xml:space="preserve"> </w:t>
      </w:r>
      <w:r>
        <w:t xml:space="preserve">(पा. ६-२-२, as printed</w:t>
      </w:r>
      <w:r>
        <w:t xml:space="preserve"> </w:t>
      </w:r>
      <w:r>
        <w:t xml:space="preserve">“</w:t>
      </w:r>
      <w:r>
        <w:t xml:space="preserve">6-2-2</w:t>
      </w:r>
      <w:r>
        <w:t xml:space="preserve">”</w:t>
      </w:r>
      <w:r>
        <w:t xml:space="preserve">), but this is set aside by</w:t>
      </w:r>
      <w:r>
        <w:t xml:space="preserve"> </w:t>
      </w:r>
      <w:r>
        <w:rPr>
          <w:bCs/>
          <w:b/>
        </w:rPr>
        <w:t xml:space="preserve">गतिकारकोपपदात्कृत्</w:t>
      </w:r>
      <w:r>
        <w:t xml:space="preserve"> </w:t>
      </w:r>
      <w:r>
        <w:t xml:space="preserve">(पा. ६-२-१३९) so that the kṛt-final member’s accent is kept.</w:t>
      </w:r>
      <w:r>
        <w:t xml:space="preserve"> </w:t>
      </w:r>
      <w:r>
        <w:rPr>
          <w:bCs/>
          <w:b/>
        </w:rPr>
        <w:t xml:space="preserve">“</w:t>
      </w:r>
      <w:r>
        <w:rPr>
          <w:bCs/>
          <w:b/>
        </w:rPr>
        <w:t xml:space="preserve">Śucayaḥ</w:t>
      </w:r>
      <w:r>
        <w:rPr>
          <w:bCs/>
          <w:b/>
        </w:rPr>
        <w:t xml:space="preserve">”</w:t>
      </w:r>
      <w:r>
        <w:t xml:space="preserve"> </w:t>
      </w:r>
      <w:r>
        <w:t xml:space="preserve">—</w:t>
      </w:r>
      <w:r>
        <w:t xml:space="preserve"> </w:t>
      </w:r>
      <w:r>
        <w:t xml:space="preserve">“</w:t>
      </w:r>
      <w:r>
        <w:t xml:space="preserve">śuca dīptau</w:t>
      </w:r>
      <w:r>
        <w:t xml:space="preserve">”</w:t>
      </w:r>
      <w:r>
        <w:t xml:space="preserve"> </w:t>
      </w:r>
      <w:r>
        <w:t xml:space="preserve">(to shine);</w:t>
      </w:r>
      <w:r>
        <w:t xml:space="preserve"> </w:t>
      </w:r>
      <w:r>
        <w:rPr>
          <w:bCs/>
          <w:b/>
        </w:rPr>
        <w:t xml:space="preserve">इगुपधात्कित्</w:t>
      </w:r>
      <w:r>
        <w:t xml:space="preserve"> </w:t>
      </w:r>
      <w:r>
        <w:t xml:space="preserve">(उ. सू. ४-११९; printed</w:t>
      </w:r>
      <w:r>
        <w:t xml:space="preserve"> </w:t>
      </w:r>
      <w:r>
        <w:t xml:space="preserve">“</w:t>
      </w:r>
      <w:r>
        <w:t xml:space="preserve">4-559</w:t>
      </w:r>
      <w:r>
        <w:t xml:space="preserve">”</w:t>
      </w:r>
      <w:r>
        <w:t xml:space="preserve">; the affix</w:t>
      </w:r>
      <w:r>
        <w:t xml:space="preserve"> </w:t>
      </w:r>
      <w:r>
        <w:t xml:space="preserve">“</w:t>
      </w:r>
      <w:r>
        <w:t xml:space="preserve">in</w:t>
      </w:r>
      <w:r>
        <w:t xml:space="preserve">”</w:t>
      </w:r>
      <w:r>
        <w:t xml:space="preserve"> </w:t>
      </w:r>
      <w:r>
        <w:t xml:space="preserve">continues by anuvṛtti) — the affix</w:t>
      </w:r>
      <w:r>
        <w:t xml:space="preserve"> </w:t>
      </w:r>
      <w:r>
        <w:t xml:space="preserve">“</w:t>
      </w:r>
      <w:r>
        <w:t xml:space="preserve">in</w:t>
      </w:r>
      <w:r>
        <w:t xml:space="preserve">”</w:t>
      </w:r>
      <w:r>
        <w:t xml:space="preserve"> </w:t>
      </w:r>
      <w:r>
        <w:t xml:space="preserve">after a root with an</w:t>
      </w:r>
      <w:r>
        <w:t xml:space="preserve"> </w:t>
      </w:r>
      <w:r>
        <w:t xml:space="preserve">“</w:t>
      </w:r>
      <w:r>
        <w:t xml:space="preserve">ik</w:t>
      </w:r>
      <w:r>
        <w:t xml:space="preserve">”</w:t>
      </w:r>
      <w:r>
        <w:t xml:space="preserve">-vowel penultimate;</w:t>
      </w:r>
      <w:r>
        <w:t xml:space="preserve"> </w:t>
      </w:r>
      <w:r>
        <w:t xml:space="preserve">“</w:t>
      </w:r>
      <w:r>
        <w:t xml:space="preserve">kit,</w:t>
      </w:r>
      <w:r>
        <w:t xml:space="preserve">”</w:t>
      </w:r>
      <w:r>
        <w:t xml:space="preserve"> </w:t>
      </w:r>
      <w:r>
        <w:t xml:space="preserve">so no guṇa …</w:t>
      </w:r>
    </w:p>
    <w:bookmarkEnd w:id="210"/>
    <w:bookmarkStart w:id="211" w:name="Xa40d40ccdb6c2e2d9e2a79b5cc1a58d8020b47c"/>
    <w:p>
      <w:pPr>
        <w:pStyle w:val="Heading3"/>
      </w:pPr>
      <w:r>
        <w:t xml:space="preserve">Page 175 — Rik 5.5 grammar concluded (characterized); Sūkta 5, Sixth Mantra: Saṃhitā and Pada</w:t>
      </w:r>
    </w:p>
    <w:p>
      <w:pPr>
        <w:pStyle w:val="FirstParagraph"/>
      </w:pPr>
      <w:r>
        <w:rPr>
          <w:iCs/>
          <w:i/>
        </w:rPr>
        <w:t xml:space="preserve">(Page header:</w:t>
      </w:r>
      <w:r>
        <w:rPr>
          <w:iCs/>
          <w:i/>
        </w:rPr>
        <w:t xml:space="preserve"> </w:t>
      </w:r>
      <w:r>
        <w:rPr>
          <w:iCs/>
          <w:i/>
        </w:rPr>
        <w:t xml:space="preserve">“</w:t>
      </w:r>
      <w:r>
        <w:rPr>
          <w:iCs/>
          <w:i/>
        </w:rPr>
        <w:t xml:space="preserve">Aṣṭaka 1, Adhyāya 1, Varga 10 · Ṛgveda-saṃhitā.</w:t>
      </w:r>
      <w:r>
        <w:rPr>
          <w:iCs/>
          <w:i/>
        </w:rPr>
        <w:t xml:space="preserve">”</w:t>
      </w:r>
      <w:r>
        <w:rPr>
          <w:iCs/>
          <w:i/>
        </w:rPr>
        <w:t xml:space="preserve"> </w:t>
      </w:r>
      <w:r>
        <w:rPr>
          <w:iCs/>
          <w:i/>
        </w:rPr>
        <w:t xml:space="preserve">The varga number on this page is printed as</w:t>
      </w:r>
      <w:r>
        <w:rPr>
          <w:iCs/>
          <w:i/>
        </w:rPr>
        <w:t xml:space="preserve"> </w:t>
      </w:r>
      <w:r>
        <w:rPr>
          <w:iCs/>
          <w:i/>
        </w:rPr>
        <w:t xml:space="preserve">“</w:t>
      </w:r>
      <w:r>
        <w:rPr>
          <w:iCs/>
          <w:i/>
        </w:rPr>
        <w:t xml:space="preserve">१०</w:t>
      </w:r>
      <w:r>
        <w:rPr>
          <w:iCs/>
          <w:i/>
        </w:rPr>
        <w:t xml:space="preserve">”</w:t>
      </w:r>
      <w:r>
        <w:rPr>
          <w:iCs/>
          <w:i/>
        </w:rPr>
        <w:t xml:space="preserve"> </w:t>
      </w:r>
      <w:r>
        <w:rPr>
          <w:iCs/>
          <w:i/>
        </w:rPr>
        <w:t xml:space="preserve">(</w:t>
      </w:r>
      <w:r>
        <w:rPr>
          <w:iCs/>
          <w:i/>
        </w:rPr>
        <w:t xml:space="preserve">“</w:t>
      </w:r>
      <w:r>
        <w:rPr>
          <w:iCs/>
          <w:i/>
        </w:rPr>
        <w:t xml:space="preserve">10</w:t>
      </w:r>
      <w:r>
        <w:rPr>
          <w:iCs/>
          <w:i/>
        </w:rPr>
        <w:t xml:space="preserve">”</w:t>
      </w:r>
      <w:r>
        <w:rPr>
          <w:iCs/>
          <w:i/>
        </w:rPr>
        <w:t xml:space="preserve">) — so the tenth varga begins on p. 175 or earlier. Saṃhitā accents as printed; Pada unaccented.)</w:t>
      </w:r>
    </w:p>
    <w:p>
      <w:pPr>
        <w:pStyle w:val="BodyText"/>
      </w:pPr>
      <w:r>
        <w:rPr>
          <w:iCs/>
          <w:i/>
        </w:rPr>
        <w:t xml:space="preserve">(Concluding the grammar from p. 174:)</w:t>
      </w:r>
      <w:r>
        <w:t xml:space="preserve"> </w:t>
      </w:r>
      <w:r>
        <w:t xml:space="preserve">“</w:t>
      </w:r>
      <w:r>
        <w:t xml:space="preserve">…the lighter penultimate takes no guṇa, because of the</w:t>
      </w:r>
      <w:r>
        <w:t xml:space="preserve">”</w:t>
      </w:r>
      <w:r>
        <w:t xml:space="preserve">k” mark of the affix; being</w:t>
      </w:r>
      <w:r>
        <w:t xml:space="preserve"> </w:t>
      </w:r>
      <w:r>
        <w:t xml:space="preserve">“</w:t>
      </w:r>
      <w:r>
        <w:t xml:space="preserve">n</w:t>
      </w:r>
      <w:r>
        <w:t xml:space="preserve">”</w:t>
      </w:r>
      <w:r>
        <w:t xml:space="preserve">-marked, the affix gives the first syllable an acute.</w:t>
      </w:r>
      <w:r>
        <w:t xml:space="preserve"> </w:t>
      </w:r>
      <w:r>
        <w:rPr>
          <w:bCs/>
          <w:b/>
        </w:rPr>
        <w:t xml:space="preserve">“</w:t>
      </w:r>
      <w:r>
        <w:rPr>
          <w:bCs/>
          <w:b/>
        </w:rPr>
        <w:t xml:space="preserve">Vītaye</w:t>
      </w:r>
      <w:r>
        <w:rPr>
          <w:bCs/>
          <w:b/>
        </w:rPr>
        <w:t xml:space="preserve">”</w:t>
      </w:r>
      <w:r>
        <w:t xml:space="preserve"> </w:t>
      </w:r>
      <w:r>
        <w:t xml:space="preserve">—</w:t>
      </w:r>
      <w:r>
        <w:t xml:space="preserve"> </w:t>
      </w:r>
      <w:r>
        <w:t xml:space="preserve">“</w:t>
      </w:r>
      <w:r>
        <w:t xml:space="preserve">vī gati-vyāpti-prajana-kānty-asana-khādaneṣu</w:t>
      </w:r>
      <w:r>
        <w:t xml:space="preserve">”</w:t>
      </w:r>
      <w:r>
        <w:t xml:space="preserve"> </w:t>
      </w:r>
      <w:r>
        <w:t xml:space="preserve">(to go, to pervade, to produce, to desire, to throw, to eat);</w:t>
      </w:r>
      <w:r>
        <w:t xml:space="preserve"> </w:t>
      </w:r>
      <w:r>
        <w:rPr>
          <w:bCs/>
          <w:b/>
        </w:rPr>
        <w:t xml:space="preserve">मन्त्रे वृषेषपचमनविदभूवीरा उदात्तः</w:t>
      </w:r>
      <w:r>
        <w:t xml:space="preserve"> </w:t>
      </w:r>
      <w:r>
        <w:t xml:space="preserve">(पा. ३-३-९६) gives</w:t>
      </w:r>
      <w:r>
        <w:t xml:space="preserve"> </w:t>
      </w:r>
      <w:r>
        <w:t xml:space="preserve">“</w:t>
      </w:r>
      <w:r>
        <w:t xml:space="preserve">ktin</w:t>
      </w:r>
      <w:r>
        <w:t xml:space="preserve">”</w:t>
      </w:r>
      <w:r>
        <w:t xml:space="preserve"> </w:t>
      </w:r>
      <w:r>
        <w:t xml:space="preserve">as the affix, acute.</w:t>
      </w:r>
      <w:r>
        <w:t xml:space="preserve"> </w:t>
      </w:r>
      <w:r>
        <w:rPr>
          <w:bCs/>
          <w:b/>
        </w:rPr>
        <w:t xml:space="preserve">“</w:t>
      </w:r>
      <w:r>
        <w:rPr>
          <w:bCs/>
          <w:b/>
        </w:rPr>
        <w:t xml:space="preserve">Somāsaḥ</w:t>
      </w:r>
      <w:r>
        <w:rPr>
          <w:bCs/>
          <w:b/>
        </w:rPr>
        <w:t xml:space="preserve">”</w:t>
      </w:r>
      <w:r>
        <w:t xml:space="preserve"> </w:t>
      </w:r>
      <w:r>
        <w:t xml:space="preserve">—</w:t>
      </w:r>
      <w:r>
        <w:t xml:space="preserve"> </w:t>
      </w:r>
      <w:r>
        <w:t xml:space="preserve">“</w:t>
      </w:r>
      <w:r>
        <w:t xml:space="preserve">ṣuñ abhiṣave</w:t>
      </w:r>
      <w:r>
        <w:t xml:space="preserve">”</w:t>
      </w:r>
      <w:r>
        <w:t xml:space="preserve">;</w:t>
      </w:r>
      <w:r>
        <w:t xml:space="preserve"> </w:t>
      </w:r>
      <w:r>
        <w:rPr>
          <w:bCs/>
          <w:b/>
        </w:rPr>
        <w:t xml:space="preserve">अर्तिस्तुसुहुसृधृक्षिक्षुभायावापदियक्षिनीभ्यो मन्</w:t>
      </w:r>
      <w:r>
        <w:t xml:space="preserve"> </w:t>
      </w:r>
      <w:r>
        <w:t xml:space="preserve">(उ. सू. १-१३९; printed</w:t>
      </w:r>
      <w:r>
        <w:t xml:space="preserve"> </w:t>
      </w:r>
      <w:r>
        <w:t xml:space="preserve">“</w:t>
      </w:r>
      <w:r>
        <w:t xml:space="preserve">1-137</w:t>
      </w:r>
      <w:r>
        <w:t xml:space="preserve">”</w:t>
      </w:r>
      <w:r>
        <w:t xml:space="preserve">)</w:t>
      </w:r>
      <w:r>
        <w:t xml:space="preserve"> </w:t>
      </w:r>
      <w:r>
        <w:t xml:space="preserve">“</w:t>
      </w:r>
      <w:r>
        <w:t xml:space="preserve">man</w:t>
      </w:r>
      <w:r>
        <w:t xml:space="preserve">”</w:t>
      </w:r>
      <w:r>
        <w:t xml:space="preserve">;</w:t>
      </w:r>
      <w:r>
        <w:t xml:space="preserve"> </w:t>
      </w:r>
      <w:r>
        <w:t xml:space="preserve">“</w:t>
      </w:r>
      <w:r>
        <w:t xml:space="preserve">n</w:t>
      </w:r>
      <w:r>
        <w:t xml:space="preserve">”</w:t>
      </w:r>
      <w:r>
        <w:t xml:space="preserve">-marked, so first-syllable acute;</w:t>
      </w:r>
      <w:r>
        <w:t xml:space="preserve"> </w:t>
      </w:r>
      <w:r>
        <w:rPr>
          <w:bCs/>
          <w:b/>
        </w:rPr>
        <w:t xml:space="preserve">आज्जसेरसुक्</w:t>
      </w:r>
      <w:r>
        <w:t xml:space="preserve"> </w:t>
      </w:r>
      <w:r>
        <w:t xml:space="preserve">(पा. ७-१-५०) the augment</w:t>
      </w:r>
      <w:r>
        <w:t xml:space="preserve"> </w:t>
      </w:r>
      <w:r>
        <w:t xml:space="preserve">“</w:t>
      </w:r>
      <w:r>
        <w:t xml:space="preserve">asuk.</w:t>
      </w:r>
      <w:r>
        <w:t xml:space="preserve">”</w:t>
      </w:r>
      <w:r>
        <w:t xml:space="preserve"> </w:t>
      </w:r>
      <w:r>
        <w:rPr>
          <w:bCs/>
          <w:b/>
        </w:rPr>
        <w:t xml:space="preserve">“</w:t>
      </w:r>
      <w:r>
        <w:rPr>
          <w:bCs/>
          <w:b/>
        </w:rPr>
        <w:t xml:space="preserve">Dadhyāśiraḥ</w:t>
      </w:r>
      <w:r>
        <w:rPr>
          <w:bCs/>
          <w:b/>
        </w:rPr>
        <w:t xml:space="preserve">”</w:t>
      </w:r>
      <w:r>
        <w:t xml:space="preserve"> </w:t>
      </w:r>
      <w:r>
        <w:t xml:space="preserve">—</w:t>
      </w:r>
      <w:r>
        <w:t xml:space="preserve"> </w:t>
      </w:r>
      <w:r>
        <w:t xml:space="preserve">“</w:t>
      </w:r>
      <w:r>
        <w:t xml:space="preserve">dadhāti puṣṇātīti dadhi</w:t>
      </w:r>
      <w:r>
        <w:t xml:space="preserve">”</w:t>
      </w:r>
      <w:r>
        <w:t xml:space="preserve"> </w:t>
      </w:r>
      <w:r>
        <w:t xml:space="preserve">(that which nourishes is curds):</w:t>
      </w:r>
      <w:r>
        <w:t xml:space="preserve"> </w:t>
      </w:r>
      <w:r>
        <w:rPr>
          <w:bCs/>
          <w:b/>
        </w:rPr>
        <w:t xml:space="preserve">आदृगमहनजनः किकिनौ लिट् च</w:t>
      </w:r>
      <w:r>
        <w:t xml:space="preserve"> </w:t>
      </w:r>
      <w:r>
        <w:t xml:space="preserve">(पा. ३-२-१७१) in the Veda the affixes</w:t>
      </w:r>
      <w:r>
        <w:t xml:space="preserve"> </w:t>
      </w:r>
      <w:r>
        <w:t xml:space="preserve">“</w:t>
      </w:r>
      <w:r>
        <w:t xml:space="preserve">ki</w:t>
      </w:r>
      <w:r>
        <w:t xml:space="preserve">”</w:t>
      </w:r>
      <w:r>
        <w:t xml:space="preserve"> </w:t>
      </w:r>
      <w:r>
        <w:t xml:space="preserve">and</w:t>
      </w:r>
      <w:r>
        <w:t xml:space="preserve"> </w:t>
      </w:r>
      <w:r>
        <w:t xml:space="preserve">“</w:t>
      </w:r>
      <w:r>
        <w:t xml:space="preserve">kin</w:t>
      </w:r>
      <w:r>
        <w:t xml:space="preserve">”</w:t>
      </w:r>
      <w:r>
        <w:t xml:space="preserve"> </w:t>
      </w:r>
      <w:r>
        <w:t xml:space="preserve">are added, in the manner of</w:t>
      </w:r>
      <w:r>
        <w:t xml:space="preserve"> </w:t>
      </w:r>
      <w:r>
        <w:t xml:space="preserve">“</w:t>
      </w:r>
      <w:r>
        <w:t xml:space="preserve">liṭ,</w:t>
      </w:r>
      <w:r>
        <w:t xml:space="preserve">”</w:t>
      </w:r>
      <w:r>
        <w:t xml:space="preserve"> </w:t>
      </w:r>
      <w:r>
        <w:t xml:space="preserve">to roots ending in</w:t>
      </w:r>
      <w:r>
        <w:t xml:space="preserve"> </w:t>
      </w:r>
      <w:r>
        <w:t xml:space="preserve">“</w:t>
      </w:r>
      <w:r>
        <w:t xml:space="preserve">ā,</w:t>
      </w:r>
      <w:r>
        <w:t xml:space="preserve">”</w:t>
      </w:r>
      <w:r>
        <w:t xml:space="preserve"> </w:t>
      </w:r>
      <w:r>
        <w:t xml:space="preserve">in</w:t>
      </w:r>
      <w:r>
        <w:t xml:space="preserve"> </w:t>
      </w:r>
      <w:r>
        <w:t xml:space="preserve">“</w:t>
      </w:r>
      <w:r>
        <w:t xml:space="preserve">ṛ,</w:t>
      </w:r>
      <w:r>
        <w:t xml:space="preserve">”</w:t>
      </w:r>
      <w:r>
        <w:t xml:space="preserve"> </w:t>
      </w:r>
      <w:r>
        <w:t xml:space="preserve">and to</w:t>
      </w:r>
      <w:r>
        <w:t xml:space="preserve"> </w:t>
      </w:r>
      <w:r>
        <w:t xml:space="preserve">“</w:t>
      </w:r>
      <w:r>
        <w:t xml:space="preserve">gam, han, jan</w:t>
      </w:r>
      <w:r>
        <w:t xml:space="preserve">”</w:t>
      </w:r>
      <w:r>
        <w:t xml:space="preserve"> </w:t>
      </w:r>
      <w:r>
        <w:t xml:space="preserve">and the like;</w:t>
      </w:r>
      <w:r>
        <w:t xml:space="preserve"> </w:t>
      </w:r>
      <w:r>
        <w:t xml:space="preserve">“</w:t>
      </w:r>
      <w:r>
        <w:t xml:space="preserve">kin</w:t>
      </w:r>
      <w:r>
        <w:t xml:space="preserve">”</w:t>
      </w:r>
      <w:r>
        <w:t xml:space="preserve"> </w:t>
      </w:r>
      <w:r>
        <w:t xml:space="preserve">is added to</w:t>
      </w:r>
      <w:r>
        <w:t xml:space="preserve"> </w:t>
      </w:r>
      <w:r>
        <w:t xml:space="preserve">“</w:t>
      </w:r>
      <w:r>
        <w:t xml:space="preserve">dhā,</w:t>
      </w:r>
      <w:r>
        <w:t xml:space="preserve">”</w:t>
      </w:r>
      <w:r>
        <w:t xml:space="preserve"> </w:t>
      </w:r>
      <w:r>
        <w:t xml:space="preserve">and as</w:t>
      </w:r>
      <w:r>
        <w:t xml:space="preserve"> </w:t>
      </w:r>
      <w:r>
        <w:t xml:space="preserve">“</w:t>
      </w:r>
      <w:r>
        <w:t xml:space="preserve">liṭ</w:t>
      </w:r>
      <w:r>
        <w:t xml:space="preserve">”</w:t>
      </w:r>
      <w:r>
        <w:t xml:space="preserve"> </w:t>
      </w:r>
      <w:r>
        <w:t xml:space="preserve">it brings the doubling (</w:t>
      </w:r>
      <w:r>
        <w:rPr>
          <w:bCs/>
          <w:b/>
        </w:rPr>
        <w:t xml:space="preserve">लिटि धातोरनभ्यासस्य</w:t>
      </w:r>
      <w:r>
        <w:t xml:space="preserve">, पा. ६-१-८); the reduplicative syllable shortens and</w:t>
      </w:r>
      <w:r>
        <w:t xml:space="preserve"> </w:t>
      </w:r>
      <w:r>
        <w:t xml:space="preserve">“</w:t>
      </w:r>
      <w:r>
        <w:t xml:space="preserve">dh</w:t>
      </w:r>
      <w:r>
        <w:t xml:space="preserve">”</w:t>
      </w:r>
      <w:r>
        <w:t xml:space="preserve"> </w:t>
      </w:r>
      <w:r>
        <w:t xml:space="preserve">becomes</w:t>
      </w:r>
      <w:r>
        <w:t xml:space="preserve"> </w:t>
      </w:r>
      <w:r>
        <w:t xml:space="preserve">“</w:t>
      </w:r>
      <w:r>
        <w:t xml:space="preserve">d</w:t>
      </w:r>
      <w:r>
        <w:t xml:space="preserve">”</w:t>
      </w:r>
      <w:r>
        <w:t xml:space="preserve">; the final</w:t>
      </w:r>
      <w:r>
        <w:t xml:space="preserve"> </w:t>
      </w:r>
      <w:r>
        <w:t xml:space="preserve">“</w:t>
      </w:r>
      <w:r>
        <w:t xml:space="preserve">ā</w:t>
      </w:r>
      <w:r>
        <w:t xml:space="preserve">”</w:t>
      </w:r>
      <w:r>
        <w:t xml:space="preserve"> </w:t>
      </w:r>
      <w:r>
        <w:t xml:space="preserve">is elided (</w:t>
      </w:r>
      <w:r>
        <w:rPr>
          <w:bCs/>
          <w:b/>
        </w:rPr>
        <w:t xml:space="preserve">आतो लोप इटि च</w:t>
      </w:r>
      <w:r>
        <w:t xml:space="preserve">, पा. ६-४-६४);</w:t>
      </w:r>
      <w:r>
        <w:t xml:space="preserve"> </w:t>
      </w:r>
      <w:r>
        <w:t xml:space="preserve">“</w:t>
      </w:r>
      <w:r>
        <w:t xml:space="preserve">n</w:t>
      </w:r>
      <w:r>
        <w:t xml:space="preserve">”</w:t>
      </w:r>
      <w:r>
        <w:t xml:space="preserve">-marked, so first-syllable acute.</w:t>
      </w:r>
      <w:r>
        <w:t xml:space="preserve"> </w:t>
      </w:r>
      <w:r>
        <w:t xml:space="preserve">“</w:t>
      </w:r>
      <w:r>
        <w:t xml:space="preserve">Āśīḥ</w:t>
      </w:r>
      <w:r>
        <w:t xml:space="preserve">”</w:t>
      </w:r>
      <w:r>
        <w:t xml:space="preserve"> </w:t>
      </w:r>
      <w:r>
        <w:t xml:space="preserve">—</w:t>
      </w:r>
      <w:r>
        <w:t xml:space="preserve"> </w:t>
      </w:r>
      <w:r>
        <w:t xml:space="preserve">“</w:t>
      </w:r>
      <w:r>
        <w:t xml:space="preserve">śṝ hiṃsāyām</w:t>
      </w:r>
      <w:r>
        <w:t xml:space="preserve">”</w:t>
      </w:r>
      <w:r>
        <w:t xml:space="preserve"> </w:t>
      </w:r>
      <w:r>
        <w:t xml:space="preserve">(to injure) —</w:t>
      </w:r>
      <w:r>
        <w:t xml:space="preserve"> </w:t>
      </w:r>
      <w:r>
        <w:t xml:space="preserve">“</w:t>
      </w:r>
      <w:r>
        <w:t xml:space="preserve">śṛṇāti hinasti</w:t>
      </w:r>
      <w:r>
        <w:t xml:space="preserve">”</w:t>
      </w:r>
      <w:r>
        <w:t xml:space="preserve">: from</w:t>
      </w:r>
      <w:r>
        <w:t xml:space="preserve"> </w:t>
      </w:r>
      <w:r>
        <w:t xml:space="preserve">“</w:t>
      </w:r>
      <w:r>
        <w:t xml:space="preserve">śṝ,</w:t>
      </w:r>
      <w:r>
        <w:t xml:space="preserve">”</w:t>
      </w:r>
      <w:r>
        <w:t xml:space="preserve"> </w:t>
      </w:r>
      <w:r>
        <w:t xml:space="preserve">“</w:t>
      </w:r>
      <w:r>
        <w:t xml:space="preserve">that which destroys the Soma’s natural, lessened-flavour defect — or the rasa-less defect that arises in the Soma when it is kept …</w:t>
      </w:r>
      <w:r>
        <w:t xml:space="preserve">”</w:t>
      </w:r>
      <w:r>
        <w:t xml:space="preserve"> </w:t>
      </w:r>
      <w:r>
        <w:t xml:space="preserve">— the affix</w:t>
      </w:r>
      <w:r>
        <w:t xml:space="preserve"> </w:t>
      </w:r>
      <w:r>
        <w:t xml:space="preserve">“</w:t>
      </w:r>
      <w:r>
        <w:t xml:space="preserve">kvip</w:t>
      </w:r>
      <w:r>
        <w:t xml:space="preserve">”</w:t>
      </w:r>
      <w:r>
        <w:t xml:space="preserve"> </w:t>
      </w:r>
      <w:r>
        <w:t xml:space="preserve">(</w:t>
      </w:r>
      <w:r>
        <w:rPr>
          <w:bCs/>
          <w:b/>
        </w:rPr>
        <w:t xml:space="preserve">क्विप्</w:t>
      </w:r>
      <w:r>
        <w:t xml:space="preserve"> </w:t>
      </w:r>
      <w:r>
        <w:t xml:space="preserve">…) and</w:t>
      </w:r>
      <w:r>
        <w:t xml:space="preserve"> </w:t>
      </w:r>
      <w:r>
        <w:rPr>
          <w:bCs/>
          <w:b/>
        </w:rPr>
        <w:t xml:space="preserve">ऋत इद्धातोः</w:t>
      </w:r>
      <w:r>
        <w:t xml:space="preserve"> </w:t>
      </w:r>
      <w:r>
        <w:t xml:space="preserve">(पा. ७-१-१००) gives</w:t>
      </w:r>
      <w:r>
        <w:t xml:space="preserve"> </w:t>
      </w:r>
      <w:r>
        <w:t xml:space="preserve">“</w:t>
      </w:r>
      <w:r>
        <w:t xml:space="preserve">ir</w:t>
      </w:r>
      <w:r>
        <w:t xml:space="preserve">”</w:t>
      </w:r>
      <w:r>
        <w:t xml:space="preserve"> </w:t>
      </w:r>
      <w:r>
        <w:t xml:space="preserve">for the</w:t>
      </w:r>
      <w:r>
        <w:t xml:space="preserve"> </w:t>
      </w:r>
      <w:r>
        <w:t xml:space="preserve">“</w:t>
      </w:r>
      <w:r>
        <w:t xml:space="preserve">ṝ</w:t>
      </w:r>
      <w:r>
        <w:t xml:space="preserve">”</w:t>
      </w:r>
      <w:r>
        <w:t xml:space="preserve"> </w:t>
      </w:r>
      <w:r>
        <w:t xml:space="preserve">of a root;</w:t>
      </w:r>
      <w:r>
        <w:t xml:space="preserve"> </w:t>
      </w:r>
      <w:r>
        <w:rPr>
          <w:bCs/>
          <w:b/>
        </w:rPr>
        <w:t xml:space="preserve">उरण् रपरः</w:t>
      </w:r>
      <w:r>
        <w:t xml:space="preserve"> </w:t>
      </w:r>
      <w:r>
        <w:t xml:space="preserve">(पा. १-१-५१) puts</w:t>
      </w:r>
      <w:r>
        <w:t xml:space="preserve"> </w:t>
      </w:r>
      <w:r>
        <w:t xml:space="preserve">“</w:t>
      </w:r>
      <w:r>
        <w:t xml:space="preserve">r</w:t>
      </w:r>
      <w:r>
        <w:t xml:space="preserve">”</w:t>
      </w:r>
      <w:r>
        <w:t xml:space="preserve"> </w:t>
      </w:r>
      <w:r>
        <w:t xml:space="preserve">after it, so</w:t>
      </w:r>
      <w:r>
        <w:t xml:space="preserve"> </w:t>
      </w:r>
      <w:r>
        <w:t xml:space="preserve">“</w:t>
      </w:r>
      <w:r>
        <w:t xml:space="preserve">āśīḥ</w:t>
      </w:r>
      <w:r>
        <w:t xml:space="preserve">”</w:t>
      </w:r>
      <w:r>
        <w:t xml:space="preserve"> </w:t>
      </w:r>
      <w:r>
        <w:t xml:space="preserve">(with the prefix</w:t>
      </w:r>
      <w:r>
        <w:t xml:space="preserve"> </w:t>
      </w:r>
      <w:r>
        <w:t xml:space="preserve">“</w:t>
      </w:r>
      <w:r>
        <w:t xml:space="preserve">ā</w:t>
      </w:r>
      <w:r>
        <w:t xml:space="preserve">”</w:t>
      </w:r>
      <w:r>
        <w:t xml:space="preserve">) results.</w:t>
      </w:r>
      <w:r>
        <w:t xml:space="preserve"> </w:t>
      </w:r>
      <w:r>
        <w:t xml:space="preserve">“</w:t>
      </w:r>
      <w:r>
        <w:t xml:space="preserve">Dadhnā</w:t>
      </w:r>
      <w:r>
        <w:t xml:space="preserve">”</w:t>
      </w:r>
      <w:r>
        <w:t xml:space="preserve"> </w:t>
      </w:r>
      <w:r>
        <w:t xml:space="preserve">…</w:t>
      </w:r>
      <w:r>
        <w:t xml:space="preserve"> </w:t>
      </w:r>
      <w:r>
        <w:t xml:space="preserve">“</w:t>
      </w:r>
      <w:r>
        <w:t xml:space="preserve">dadhy-eva āśīḥ yeṣām somānām te dadhyāśiraḥ</w:t>
      </w:r>
      <w:r>
        <w:t xml:space="preserve">”</w:t>
      </w:r>
      <w:r>
        <w:t xml:space="preserve"> </w:t>
      </w:r>
      <w:r>
        <w:t xml:space="preserve">— in the bahuvrīhi,</w:t>
      </w:r>
      <w:r>
        <w:t xml:space="preserve"> </w:t>
      </w:r>
      <w:r>
        <w:rPr>
          <w:bCs/>
          <w:b/>
        </w:rPr>
        <w:t xml:space="preserve">बहुव्रीहौ प्रकृत्या पूर्वपदम्</w:t>
      </w:r>
      <w:r>
        <w:t xml:space="preserve"> </w:t>
      </w:r>
      <w:r>
        <w:t xml:space="preserve">(पा. ६-२-१) the first member keeps its natural accent. ॥५॥</w:t>
      </w:r>
    </w:p>
    <w:p>
      <w:r>
        <w:pict>
          <v:rect style="width:0;height:1.5pt" o:hralign="center" o:hrstd="t" o:hr="t"/>
        </w:pict>
      </w:r>
    </w:p>
    <w:bookmarkEnd w:id="211"/>
    <w:bookmarkStart w:id="212" w:name="sūkta-5-the-sixth-mantra"/>
    <w:p>
      <w:pPr>
        <w:pStyle w:val="Heading3"/>
      </w:pPr>
      <w:r>
        <w:t xml:space="preserve">Sūkta 5, The Sixth Mantra</w:t>
      </w:r>
    </w:p>
    <w:p>
      <w:pPr>
        <w:pStyle w:val="FirstParagraph"/>
      </w:pPr>
      <w:r>
        <w:rPr>
          <w:bCs/>
          <w:b/>
        </w:rPr>
        <w:t xml:space="preserve">॥ Saṃhitā-pāṭhaḥ ॥</w:t>
      </w:r>
    </w:p>
    <w:p>
      <w:pPr>
        <w:pStyle w:val="BlockText"/>
      </w:pPr>
      <w:r>
        <w:t xml:space="preserve">त्वं सु॒तस्य॑ पी॒तये॑ स॒द्यो वृद्धो अ॑जायथाः ।</w:t>
      </w:r>
      <w:r>
        <w:t xml:space="preserve"> </w:t>
      </w:r>
      <w:r>
        <w:t xml:space="preserve">इंद्र॒ ज्यैष्ठ्या॑य सुक्रतो ॥६॥</w:t>
      </w:r>
    </w:p>
    <w:p>
      <w:pPr>
        <w:pStyle w:val="BlockText"/>
      </w:pPr>
      <w:r>
        <w:rPr>
          <w:iCs/>
          <w:i/>
        </w:rPr>
        <w:t xml:space="preserve">tvaṃ sutásya pītáye sadyó vṛddhó ajāyathāḥ |</w:t>
      </w:r>
      <w:r>
        <w:t xml:space="preserve"> </w:t>
      </w:r>
      <w:r>
        <w:rPr>
          <w:iCs/>
          <w:i/>
        </w:rPr>
        <w:t xml:space="preserve">iṃdra jyáiṣṭhyāya sukrato ||6||</w:t>
      </w:r>
    </w:p>
    <w:p>
      <w:pPr>
        <w:pStyle w:val="FirstParagraph"/>
      </w:pPr>
      <w:r>
        <w:rPr>
          <w:bCs/>
          <w:b/>
        </w:rPr>
        <w:t xml:space="preserve">॥ Pada-pāṭhaḥ ॥</w:t>
      </w:r>
    </w:p>
    <w:p>
      <w:pPr>
        <w:pStyle w:val="BlockText"/>
      </w:pPr>
      <w:r>
        <w:t xml:space="preserve">त्वम् । सुतस्य । पीतये । सद्यः । वृद्धः । अजायथाः ।</w:t>
      </w:r>
      <w:r>
        <w:t xml:space="preserve"> </w:t>
      </w:r>
      <w:r>
        <w:t xml:space="preserve">इन्द्र । ज्यैष्ठ्याय । सुक्रतो इति सुऽक्रतो ॥६॥</w:t>
      </w:r>
    </w:p>
    <w:bookmarkEnd w:id="212"/>
    <w:bookmarkStart w:id="213" w:name="X20ce5f3e62e8f20d1892a485046b7c3f70e395b"/>
    <w:p>
      <w:pPr>
        <w:pStyle w:val="Heading3"/>
      </w:pPr>
      <w:r>
        <w:t xml:space="preserve">Page 176 — Rik 5.6: Sāyaṇa-bhāṣya, grammar (characterized), Pada-meanings, Bhāvārtha, English rendering</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5.</w:t>
      </w:r>
      <w:r>
        <w:rPr>
          <w:iCs/>
          <w:i/>
        </w:rPr>
        <w:t xml:space="preserve">”</w:t>
      </w:r>
      <w:r>
        <w:rPr>
          <w:iCs/>
          <w:i/>
        </w:rPr>
        <w:t xml:space="preserve"> </w:t>
      </w:r>
      <w:r>
        <w:rPr>
          <w:iCs/>
          <w:i/>
        </w:rPr>
        <w:t xml:space="preserve">Sanskrit printed in Kannada script, read from an enlarged slice; [?] where unclear. English as printed.)</w:t>
      </w:r>
    </w:p>
    <w:p>
      <w:pPr>
        <w:pStyle w:val="BodyText"/>
      </w:pPr>
      <w:r>
        <w:rPr>
          <w:bCs/>
          <w:b/>
        </w:rPr>
        <w:t xml:space="preserve">॥ Sāyaṇa-bhāṣyam ॥</w:t>
      </w:r>
    </w:p>
    <w:p>
      <w:pPr>
        <w:pStyle w:val="BlockText"/>
      </w:pPr>
      <w:r>
        <w:t xml:space="preserve">सुक्रतो शोभनकर्मन् शोभनप्रज्ञ वा हे इन्द्र त्वं सुतस्याभिषुतस्य सोमस्य पीतये पानार्थं ज्यैष्ठ्याय देवेषु ज्येष्ठत्वार्थं च सद्यस्तस्मिन्नेव क्षणे वृद्धोऽजायथाः । अभिवृद्धो व्युत्साहेन युक्तोऽभूः ॥</w:t>
      </w:r>
      <w:r>
        <w:t xml:space="preserve"> </w:t>
      </w:r>
      <w:r>
        <w:rPr>
          <w:iCs/>
          <w:i/>
        </w:rPr>
        <w:t xml:space="preserve">sukrato śobhana-karman śobhana-prajña vā he indra tvaṃ sutasyābhiṣutasya somasya pītaye pānārthaṃ jyaiṣṭhyāya deveṣu jyeṣṭhatvārthaṃ ca sadyas tasminn eva kṣaṇe vṛddho ’jāyathāḥ | abhivṛddho vyutsāhena yukto ’bhūḥ ||</w:t>
      </w:r>
      <w:r>
        <w:t xml:space="preserve"> </w:t>
      </w:r>
      <w:r>
        <w:rPr>
          <w:iCs/>
          <w:i/>
        </w:rPr>
        <w:t xml:space="preserve">(Reading note: the last word of the Bhāṣya is printed</w:t>
      </w:r>
      <w:r>
        <w:rPr>
          <w:iCs/>
          <w:i/>
        </w:rPr>
        <w:t xml:space="preserve"> </w:t>
      </w:r>
      <w:r>
        <w:rPr>
          <w:iCs/>
          <w:i/>
        </w:rPr>
        <w:t xml:space="preserve">“</w:t>
      </w:r>
      <w:r>
        <w:rPr>
          <w:iCs/>
          <w:i/>
        </w:rPr>
        <w:t xml:space="preserve">vyutsāhena</w:t>
      </w:r>
      <w:r>
        <w:rPr>
          <w:iCs/>
          <w:i/>
        </w:rPr>
        <w:t xml:space="preserve">”</w:t>
      </w:r>
      <w:r>
        <w:rPr>
          <w:iCs/>
          <w:i/>
        </w:rPr>
        <w:t xml:space="preserve"> </w:t>
      </w:r>
      <w:r>
        <w:rPr>
          <w:iCs/>
          <w:i/>
        </w:rPr>
        <w:t xml:space="preserve">in this reading —</w:t>
      </w:r>
      <w:r>
        <w:rPr>
          <w:iCs/>
          <w:i/>
        </w:rPr>
        <w:t xml:space="preserve"> </w:t>
      </w:r>
      <w:r>
        <w:rPr>
          <w:iCs/>
          <w:i/>
        </w:rPr>
        <w:t xml:space="preserve">“</w:t>
      </w:r>
      <w:r>
        <w:rPr>
          <w:iCs/>
          <w:i/>
        </w:rPr>
        <w:t xml:space="preserve">with zeal / great effort</w:t>
      </w:r>
      <w:r>
        <w:rPr>
          <w:iCs/>
          <w:i/>
        </w:rPr>
        <w:t xml:space="preserve">”</w:t>
      </w:r>
      <w:r>
        <w:rPr>
          <w:iCs/>
          <w:i/>
        </w:rPr>
        <w:t xml:space="preserve"> </w:t>
      </w:r>
      <w:r>
        <w:rPr>
          <w:iCs/>
          <w:i/>
        </w:rPr>
        <w:t xml:space="preserve">— and I give it as printed; the Kannada gloss and p. 177 read</w:t>
      </w:r>
      <w:r>
        <w:rPr>
          <w:iCs/>
          <w:i/>
        </w:rPr>
        <w:t xml:space="preserve"> </w:t>
      </w:r>
      <w:r>
        <w:rPr>
          <w:iCs/>
          <w:i/>
        </w:rPr>
        <w:t xml:space="preserve">“</w:t>
      </w:r>
      <w:r>
        <w:rPr>
          <w:iCs/>
          <w:i/>
        </w:rPr>
        <w:t xml:space="preserve">utsāha</w:t>
      </w:r>
      <w:r>
        <w:rPr>
          <w:iCs/>
          <w:i/>
        </w:rPr>
        <w:t xml:space="preserve">”</w:t>
      </w:r>
      <w:r>
        <w:rPr>
          <w:iCs/>
          <w:i/>
        </w:rPr>
        <w:t xml:space="preserve"> </w:t>
      </w:r>
      <w:r>
        <w:rPr>
          <w:iCs/>
          <w:i/>
        </w:rPr>
        <w:t xml:space="preserve">—</w:t>
      </w:r>
      <w:r>
        <w:rPr>
          <w:iCs/>
          <w:i/>
        </w:rPr>
        <w:t xml:space="preserve"> </w:t>
      </w:r>
      <w:r>
        <w:rPr>
          <w:iCs/>
          <w:i/>
        </w:rPr>
        <w:t xml:space="preserve">“</w:t>
      </w:r>
      <w:r>
        <w:rPr>
          <w:iCs/>
          <w:i/>
        </w:rPr>
        <w:t xml:space="preserve">enthusiasm</w:t>
      </w:r>
      <w:r>
        <w:rPr>
          <w:iCs/>
          <w:i/>
        </w:rPr>
        <w:t xml:space="preserve">”</w:t>
      </w:r>
      <w:r>
        <w:rPr>
          <w:iCs/>
          <w:i/>
        </w:rPr>
        <w:t xml:space="preserve"> </w:t>
      </w:r>
      <w:r>
        <w:rPr>
          <w:iCs/>
          <w:i/>
        </w:rPr>
        <w:t xml:space="preserve">— and the sense,</w:t>
      </w:r>
      <w:r>
        <w:rPr>
          <w:iCs/>
          <w:i/>
        </w:rPr>
        <w:t xml:space="preserve"> </w:t>
      </w:r>
      <w:r>
        <w:rPr>
          <w:iCs/>
          <w:i/>
        </w:rPr>
        <w:t xml:space="preserve">“</w:t>
      </w:r>
      <w:r>
        <w:rPr>
          <w:iCs/>
          <w:i/>
        </w:rPr>
        <w:t xml:space="preserve">united with vigour,</w:t>
      </w:r>
      <w:r>
        <w:rPr>
          <w:iCs/>
          <w:i/>
        </w:rPr>
        <w:t xml:space="preserve">”</w:t>
      </w:r>
      <w:r>
        <w:rPr>
          <w:iCs/>
          <w:i/>
        </w:rPr>
        <w:t xml:space="preserve"> </w:t>
      </w:r>
      <w:r>
        <w:rPr>
          <w:iCs/>
          <w:i/>
        </w:rPr>
        <w:t xml:space="preserve">is the same.)</w:t>
      </w:r>
    </w:p>
    <w:p>
      <w:pPr>
        <w:pStyle w:val="FirstParagraph"/>
      </w:pPr>
      <w:r>
        <w:rPr>
          <w:bCs/>
          <w:b/>
        </w:rPr>
        <w:t xml:space="preserve">Translation:</w:t>
      </w:r>
      <w:r>
        <w:t xml:space="preserve"> </w:t>
      </w:r>
      <w:r>
        <w:t xml:space="preserve">“</w:t>
      </w:r>
      <w:r>
        <w:t xml:space="preserve">‘</w:t>
      </w:r>
      <w:r>
        <w:t xml:space="preserve">Sukrato</w:t>
      </w:r>
      <w:r>
        <w:t xml:space="preserve">’</w:t>
      </w:r>
      <w:r>
        <w:t xml:space="preserve"> </w:t>
      </w:r>
      <w:r>
        <w:t xml:space="preserve">— O doer of fair deeds, or O one of fair wisdom — O Indra! You, for the drinking (</w:t>
      </w:r>
      <w:r>
        <w:t xml:space="preserve">‘</w:t>
      </w:r>
      <w:r>
        <w:t xml:space="preserve">pītaye</w:t>
      </w:r>
      <w:r>
        <w:t xml:space="preserve">’</w:t>
      </w:r>
      <w:r>
        <w:t xml:space="preserve">) of the pressed Soma, and for</w:t>
      </w:r>
      <w:r>
        <w:t xml:space="preserve"> </w:t>
      </w:r>
      <w:r>
        <w:t xml:space="preserve">‘</w:t>
      </w:r>
      <w:r>
        <w:t xml:space="preserve">jyaiṣṭhyāya</w:t>
      </w:r>
      <w:r>
        <w:t xml:space="preserve">’</w:t>
      </w:r>
      <w:r>
        <w:t xml:space="preserve"> </w:t>
      </w:r>
      <w:r>
        <w:t xml:space="preserve">— for the sake of seniority among the gods —</w:t>
      </w:r>
      <w:r>
        <w:t xml:space="preserve"> </w:t>
      </w:r>
      <w:r>
        <w:t xml:space="preserve">‘</w:t>
      </w:r>
      <w:r>
        <w:t xml:space="preserve">sadyaḥ</w:t>
      </w:r>
      <w:r>
        <w:t xml:space="preserve">’</w:t>
      </w:r>
      <w:r>
        <w:t xml:space="preserve"> </w:t>
      </w:r>
      <w:r>
        <w:t xml:space="preserve">— at that very moment —</w:t>
      </w:r>
      <w:r>
        <w:t xml:space="preserve"> </w:t>
      </w:r>
      <w:r>
        <w:t xml:space="preserve">‘</w:t>
      </w:r>
      <w:r>
        <w:t xml:space="preserve">vṛddhaḥ ajāyathāḥ</w:t>
      </w:r>
      <w:r>
        <w:t xml:space="preserve">’</w:t>
      </w:r>
      <w:r>
        <w:t xml:space="preserve"> </w:t>
      </w:r>
      <w:r>
        <w:t xml:space="preserve">— became grown: you became greatly increased, endowed with vigour.</w:t>
      </w:r>
      <w:r>
        <w:t xml:space="preserve">”</w:t>
      </w:r>
    </w:p>
    <w:p>
      <w:pPr>
        <w:pStyle w:val="BodyText"/>
      </w:pPr>
      <w:r>
        <w:rPr>
          <w:bCs/>
          <w:b/>
        </w:rPr>
        <w:t xml:space="preserve">Grammar (characterized, sūtras kept):</w:t>
      </w:r>
      <w:r>
        <w:t xml:space="preserve"> </w:t>
      </w:r>
      <w:r>
        <w:t xml:space="preserve">“</w:t>
      </w:r>
      <w:r>
        <w:t xml:space="preserve">Pītaye</w:t>
      </w:r>
      <w:r>
        <w:t xml:space="preserve">”</w:t>
      </w:r>
      <w:r>
        <w:t xml:space="preserve"> </w:t>
      </w:r>
      <w:r>
        <w:t xml:space="preserve">—</w:t>
      </w:r>
      <w:r>
        <w:t xml:space="preserve"> </w:t>
      </w:r>
      <w:r>
        <w:t xml:space="preserve">“</w:t>
      </w:r>
      <w:r>
        <w:t xml:space="preserve">pā pāne</w:t>
      </w:r>
      <w:r>
        <w:t xml:space="preserve">”</w:t>
      </w:r>
      <w:r>
        <w:t xml:space="preserve"> </w:t>
      </w:r>
      <w:r>
        <w:t xml:space="preserve">(to drink) with</w:t>
      </w:r>
      <w:r>
        <w:t xml:space="preserve"> </w:t>
      </w:r>
      <w:r>
        <w:t xml:space="preserve">“</w:t>
      </w:r>
      <w:r>
        <w:t xml:space="preserve">ktin</w:t>
      </w:r>
      <w:r>
        <w:t xml:space="preserve">”</w:t>
      </w:r>
      <w:r>
        <w:t xml:space="preserve">: by</w:t>
      </w:r>
      <w:r>
        <w:t xml:space="preserve"> </w:t>
      </w:r>
      <w:r>
        <w:rPr>
          <w:bCs/>
          <w:b/>
        </w:rPr>
        <w:t xml:space="preserve">स्थागापापचो भावे</w:t>
      </w:r>
      <w:r>
        <w:t xml:space="preserve"> </w:t>
      </w:r>
      <w:r>
        <w:t xml:space="preserve">(</w:t>
      </w:r>
      <w:r>
        <w:rPr>
          <w:iCs/>
          <w:i/>
        </w:rPr>
        <w:t xml:space="preserve">sthā-gā-pā-paco bhāve</w:t>
      </w:r>
      <w:r>
        <w:t xml:space="preserve">, पा. ३-३-९५) the affix</w:t>
      </w:r>
      <w:r>
        <w:t xml:space="preserve"> </w:t>
      </w:r>
      <w:r>
        <w:t xml:space="preserve">“</w:t>
      </w:r>
      <w:r>
        <w:t xml:space="preserve">ktin</w:t>
      </w:r>
      <w:r>
        <w:t xml:space="preserve">”</w:t>
      </w:r>
      <w:r>
        <w:t xml:space="preserve"> </w:t>
      </w:r>
      <w:r>
        <w:t xml:space="preserve">in the sense of the action;</w:t>
      </w:r>
      <w:r>
        <w:t xml:space="preserve"> </w:t>
      </w:r>
      <w:r>
        <w:rPr>
          <w:bCs/>
          <w:b/>
        </w:rPr>
        <w:t xml:space="preserve">घुमास्थागापाजहातिसां हलि</w:t>
      </w:r>
      <w:r>
        <w:t xml:space="preserve"> </w:t>
      </w:r>
      <w:r>
        <w:t xml:space="preserve">(पा. ६-४-६६)</w:t>
      </w:r>
      <w:r>
        <w:t xml:space="preserve"> </w:t>
      </w:r>
      <w:r>
        <w:t xml:space="preserve">“</w:t>
      </w:r>
      <w:r>
        <w:t xml:space="preserve">ī</w:t>
      </w:r>
      <w:r>
        <w:t xml:space="preserve">”</w:t>
      </w:r>
      <w:r>
        <w:t xml:space="preserve">; though the affix is</w:t>
      </w:r>
      <w:r>
        <w:t xml:space="preserve"> </w:t>
      </w:r>
      <w:r>
        <w:t xml:space="preserve">“</w:t>
      </w:r>
      <w:r>
        <w:t xml:space="preserve">n</w:t>
      </w:r>
      <w:r>
        <w:t xml:space="preserve">”</w:t>
      </w:r>
      <w:r>
        <w:t xml:space="preserve">-marked, by Vedic variation the affix’s accent is acute — the print attaches to this the remark that the</w:t>
      </w:r>
      <w:r>
        <w:t xml:space="preserve"> </w:t>
      </w:r>
      <w:r>
        <w:t xml:space="preserve">“</w:t>
      </w:r>
      <w:r>
        <w:t xml:space="preserve">udātta</w:t>
      </w:r>
      <w:r>
        <w:t xml:space="preserve">”</w:t>
      </w:r>
      <w:r>
        <w:t xml:space="preserve"> </w:t>
      </w:r>
      <w:r>
        <w:t xml:space="preserve">of the following sūtra is to be connected here as well.</w:t>
      </w:r>
      <w:r>
        <w:t xml:space="preserve"> </w:t>
      </w:r>
      <w:r>
        <w:t xml:space="preserve">“</w:t>
      </w:r>
      <w:r>
        <w:t xml:space="preserve">Sadyaḥ</w:t>
      </w:r>
      <w:r>
        <w:t xml:space="preserve">”</w:t>
      </w:r>
      <w:r>
        <w:t xml:space="preserve"> </w:t>
      </w:r>
      <w:r>
        <w:t xml:space="preserve">—</w:t>
      </w:r>
      <w:r>
        <w:t xml:space="preserve"> </w:t>
      </w:r>
      <w:r>
        <w:rPr>
          <w:bCs/>
          <w:b/>
        </w:rPr>
        <w:t xml:space="preserve">सद्यःपरुत्परार्यैषमः परेद्यव्यद्य…</w:t>
      </w:r>
      <w:r>
        <w:t xml:space="preserve"> </w:t>
      </w:r>
      <w:r>
        <w:t xml:space="preserve">(पा. ५-३-२२) — the form</w:t>
      </w:r>
      <w:r>
        <w:t xml:space="preserve"> </w:t>
      </w:r>
      <w:r>
        <w:t xml:space="preserve">“</w:t>
      </w:r>
      <w:r>
        <w:t xml:space="preserve">sadyas</w:t>
      </w:r>
      <w:r>
        <w:t xml:space="preserve">”</w:t>
      </w:r>
      <w:r>
        <w:t xml:space="preserve"> </w:t>
      </w:r>
      <w:r>
        <w:t xml:space="preserve">is made by nipātana in the sense</w:t>
      </w:r>
      <w:r>
        <w:t xml:space="preserve"> </w:t>
      </w:r>
      <w:r>
        <w:t xml:space="preserve">“</w:t>
      </w:r>
      <w:r>
        <w:t xml:space="preserve">on the same day,</w:t>
      </w:r>
      <w:r>
        <w:t xml:space="preserve">”</w:t>
      </w:r>
      <w:r>
        <w:t xml:space="preserve"> </w:t>
      </w:r>
      <w:r>
        <w:t xml:space="preserve">with</w:t>
      </w:r>
      <w:r>
        <w:t xml:space="preserve"> </w:t>
      </w:r>
      <w:r>
        <w:t xml:space="preserve">“</w:t>
      </w:r>
      <w:r>
        <w:t xml:space="preserve">sa</w:t>
      </w:r>
      <w:r>
        <w:t xml:space="preserve">”</w:t>
      </w:r>
      <w:r>
        <w:t xml:space="preserve"> </w:t>
      </w:r>
      <w:r>
        <w:t xml:space="preserve">for</w:t>
      </w:r>
      <w:r>
        <w:t xml:space="preserve"> </w:t>
      </w:r>
      <w:r>
        <w:t xml:space="preserve">“</w:t>
      </w:r>
      <w:r>
        <w:t xml:space="preserve">samāna</w:t>
      </w:r>
      <w:r>
        <w:t xml:space="preserve">”</w:t>
      </w:r>
      <w:r>
        <w:t xml:space="preserve"> </w:t>
      </w:r>
      <w:r>
        <w:t xml:space="preserve">and the affix</w:t>
      </w:r>
      <w:r>
        <w:t xml:space="preserve"> </w:t>
      </w:r>
      <w:r>
        <w:t xml:space="preserve">“</w:t>
      </w:r>
      <w:r>
        <w:t xml:space="preserve">dyas</w:t>
      </w:r>
      <w:r>
        <w:t xml:space="preserve">”</w:t>
      </w:r>
      <w:r>
        <w:t xml:space="preserve">; accent by the affix: end-acute.</w:t>
      </w:r>
      <w:r>
        <w:t xml:space="preserve"> </w:t>
      </w:r>
      <w:r>
        <w:t xml:space="preserve">“</w:t>
      </w:r>
      <w:r>
        <w:t xml:space="preserve">Vṛddhaḥ</w:t>
      </w:r>
      <w:r>
        <w:t xml:space="preserve">”</w:t>
      </w:r>
      <w:r>
        <w:t xml:space="preserve"> </w:t>
      </w:r>
      <w:r>
        <w:t xml:space="preserve">—</w:t>
      </w:r>
      <w:r>
        <w:t xml:space="preserve"> </w:t>
      </w:r>
      <w:r>
        <w:t xml:space="preserve">“</w:t>
      </w:r>
      <w:r>
        <w:t xml:space="preserve">vṛdhu vṛddhau</w:t>
      </w:r>
      <w:r>
        <w:t xml:space="preserve">”</w:t>
      </w:r>
      <w:r>
        <w:t xml:space="preserve"> </w:t>
      </w:r>
      <w:r>
        <w:t xml:space="preserve">(to grow):</w:t>
      </w:r>
      <w:r>
        <w:t xml:space="preserve"> </w:t>
      </w:r>
      <w:r>
        <w:rPr>
          <w:bCs/>
          <w:b/>
        </w:rPr>
        <w:t xml:space="preserve">उदितो वा</w:t>
      </w:r>
      <w:r>
        <w:t xml:space="preserve"> </w:t>
      </w:r>
      <w:r>
        <w:t xml:space="preserve">(पा. ७-२-५६) — after the</w:t>
      </w:r>
      <w:r>
        <w:t xml:space="preserve"> </w:t>
      </w:r>
      <w:r>
        <w:t xml:space="preserve">“</w:t>
      </w:r>
      <w:r>
        <w:t xml:space="preserve">ktvā</w:t>
      </w:r>
      <w:r>
        <w:t xml:space="preserve">”</w:t>
      </w:r>
      <w:r>
        <w:t xml:space="preserve">-affix a root with the</w:t>
      </w:r>
      <w:r>
        <w:t xml:space="preserve"> </w:t>
      </w:r>
      <w:r>
        <w:t xml:space="preserve">“</w:t>
      </w:r>
      <w:r>
        <w:t xml:space="preserve">u</w:t>
      </w:r>
      <w:r>
        <w:t xml:space="preserve">”</w:t>
      </w:r>
      <w:r>
        <w:t xml:space="preserve"> </w:t>
      </w:r>
      <w:r>
        <w:t xml:space="preserve">marker may or may not take</w:t>
      </w:r>
      <w:r>
        <w:t xml:space="preserve"> </w:t>
      </w:r>
      <w:r>
        <w:t xml:space="preserve">“</w:t>
      </w:r>
      <w:r>
        <w:t xml:space="preserve">iṭ</w:t>
      </w:r>
      <w:r>
        <w:t xml:space="preserve">”</w:t>
      </w:r>
      <w:r>
        <w:t xml:space="preserve"> </w:t>
      </w:r>
      <w:r>
        <w:t xml:space="preserve">— and</w:t>
      </w:r>
      <w:r>
        <w:t xml:space="preserve"> </w:t>
      </w:r>
      <w:r>
        <w:rPr>
          <w:bCs/>
          <w:b/>
        </w:rPr>
        <w:t xml:space="preserve">निष्ठायां सेटि…</w:t>
      </w:r>
      <w:r>
        <w:t xml:space="preserve"> </w:t>
      </w:r>
      <w:r>
        <w:t xml:space="preserve">the print adds, from पा. ७-२-१५, that</w:t>
      </w:r>
      <w:r>
        <w:t xml:space="preserve"> </w:t>
      </w:r>
      <w:r>
        <w:t xml:space="preserve">“</w:t>
      </w:r>
      <w:r>
        <w:t xml:space="preserve">iṭ</w:t>
      </w:r>
      <w:r>
        <w:t xml:space="preserve">”</w:t>
      </w:r>
      <w:r>
        <w:t xml:space="preserve"> </w:t>
      </w:r>
      <w:r>
        <w:t xml:space="preserve">is barred in the niṣṭhā after</w:t>
      </w:r>
      <w:r>
        <w:t xml:space="preserve"> </w:t>
      </w:r>
      <w:r>
        <w:t xml:space="preserve">“</w:t>
      </w:r>
      <w:r>
        <w:t xml:space="preserve">śvi</w:t>
      </w:r>
      <w:r>
        <w:t xml:space="preserve">”</w:t>
      </w:r>
      <w:r>
        <w:t xml:space="preserve"> </w:t>
      </w:r>
      <w:r>
        <w:t xml:space="preserve">and the like; the affix accent is the acute.</w:t>
      </w:r>
      <w:r>
        <w:t xml:space="preserve"> </w:t>
      </w:r>
      <w:r>
        <w:t xml:space="preserve">“</w:t>
      </w:r>
      <w:r>
        <w:t xml:space="preserve">Jyaiṣṭhyāya</w:t>
      </w:r>
      <w:r>
        <w:t xml:space="preserve">”</w:t>
      </w:r>
      <w:r>
        <w:t xml:space="preserve"> </w:t>
      </w:r>
      <w:r>
        <w:t xml:space="preserve">—</w:t>
      </w:r>
      <w:r>
        <w:t xml:space="preserve"> </w:t>
      </w:r>
      <w:r>
        <w:t xml:space="preserve">“</w:t>
      </w:r>
      <w:r>
        <w:t xml:space="preserve">jyeṣṭhasya bhāvo jyaiṣṭhyam</w:t>
      </w:r>
      <w:r>
        <w:t xml:space="preserve">”</w:t>
      </w:r>
      <w:r>
        <w:t xml:space="preserve">:</w:t>
      </w:r>
      <w:r>
        <w:t xml:space="preserve"> </w:t>
      </w:r>
      <w:r>
        <w:rPr>
          <w:bCs/>
          <w:b/>
        </w:rPr>
        <w:t xml:space="preserve">गुणवचनब्राह्मणादिभ्यः कर्मणि च</w:t>
      </w:r>
      <w:r>
        <w:t xml:space="preserve"> </w:t>
      </w:r>
      <w:r>
        <w:t xml:space="preserve">(पा. ५-१-१२४) — the affix</w:t>
      </w:r>
      <w:r>
        <w:t xml:space="preserve"> </w:t>
      </w:r>
      <w:r>
        <w:t xml:space="preserve">“</w:t>
      </w:r>
      <w:r>
        <w:t xml:space="preserve">ṣyañ</w:t>
      </w:r>
      <w:r>
        <w:t xml:space="preserve">”</w:t>
      </w:r>
      <w:r>
        <w:t xml:space="preserve"> </w:t>
      </w:r>
      <w:r>
        <w:t xml:space="preserve">after words of quality and after</w:t>
      </w:r>
      <w:r>
        <w:t xml:space="preserve"> </w:t>
      </w:r>
      <w:r>
        <w:t xml:space="preserve">“</w:t>
      </w:r>
      <w:r>
        <w:t xml:space="preserve">brāhmaṇa</w:t>
      </w:r>
      <w:r>
        <w:t xml:space="preserve">”</w:t>
      </w:r>
      <w:r>
        <w:t xml:space="preserve"> </w:t>
      </w:r>
      <w:r>
        <w:t xml:space="preserve">and the like in the sense of state or action;</w:t>
      </w:r>
      <w:r>
        <w:t xml:space="preserve"> </w:t>
      </w:r>
      <w:r>
        <w:t xml:space="preserve">“</w:t>
      </w:r>
      <w:r>
        <w:t xml:space="preserve">ñit,</w:t>
      </w:r>
      <w:r>
        <w:t xml:space="preserve">”</w:t>
      </w:r>
      <w:r>
        <w:t xml:space="preserve"> </w:t>
      </w:r>
      <w:r>
        <w:t xml:space="preserve">so first-syllable acute. ॥६॥</w:t>
      </w:r>
    </w:p>
    <w:p>
      <w:pPr>
        <w:pStyle w:val="BodyText"/>
      </w:pPr>
      <w:r>
        <w:rPr>
          <w:bCs/>
          <w:b/>
        </w:rPr>
        <w:t xml:space="preserve">॥ Prati-padārthaḥ ॥</w:t>
      </w:r>
      <w:r>
        <w:t xml:space="preserve"> </w:t>
      </w:r>
      <w:r>
        <w:rPr>
          <w:iCs/>
          <w:i/>
        </w:rPr>
        <w:t xml:space="preserve">(Kannada, translated)</w:t>
      </w:r>
    </w:p>
    <w:p>
      <w:pPr>
        <w:pStyle w:val="BodyText"/>
      </w:pPr>
      <w:r>
        <w:t xml:space="preserve">(हे)</w:t>
      </w:r>
      <w:r>
        <w:t xml:space="preserve"> </w:t>
      </w:r>
      <w:r>
        <w:rPr>
          <w:bCs/>
          <w:b/>
        </w:rPr>
        <w:t xml:space="preserve">सुक्रतो (he sukrato)</w:t>
      </w:r>
      <w:r>
        <w:t xml:space="preserve"> </w:t>
      </w:r>
      <w:r>
        <w:t xml:space="preserve">— O Indra, who are endowed with excellent — or daring — deeds; or, who have excellent knowledge |</w:t>
      </w:r>
      <w:r>
        <w:t xml:space="preserve"> </w:t>
      </w:r>
      <w:r>
        <w:rPr>
          <w:bCs/>
          <w:b/>
        </w:rPr>
        <w:t xml:space="preserve">इन्द्र (indra)</w:t>
      </w:r>
      <w:r>
        <w:t xml:space="preserve"> </w:t>
      </w:r>
      <w:r>
        <w:t xml:space="preserve">— O Indra |</w:t>
      </w:r>
      <w:r>
        <w:t xml:space="preserve"> </w:t>
      </w:r>
      <w:r>
        <w:rPr>
          <w:bCs/>
          <w:b/>
        </w:rPr>
        <w:t xml:space="preserve">त्वम् (tvam)</w:t>
      </w:r>
      <w:r>
        <w:t xml:space="preserve"> </w:t>
      </w:r>
      <w:r>
        <w:t xml:space="preserve">— you |</w:t>
      </w:r>
      <w:r>
        <w:t xml:space="preserve"> </w:t>
      </w:r>
      <w:r>
        <w:rPr>
          <w:bCs/>
          <w:b/>
        </w:rPr>
        <w:t xml:space="preserve">सुतस्य (sutasya)</w:t>
      </w:r>
      <w:r>
        <w:t xml:space="preserve"> </w:t>
      </w:r>
      <w:r>
        <w:t xml:space="preserve">— the Soma-juice prepared |</w:t>
      </w:r>
      <w:r>
        <w:t xml:space="preserve"> </w:t>
      </w:r>
      <w:r>
        <w:rPr>
          <w:bCs/>
          <w:b/>
        </w:rPr>
        <w:t xml:space="preserve">पीतये (pītaye)</w:t>
      </w:r>
      <w:r>
        <w:t xml:space="preserve"> </w:t>
      </w:r>
      <w:r>
        <w:t xml:space="preserve">— for the sake of drinking |</w:t>
      </w:r>
      <w:r>
        <w:t xml:space="preserve"> </w:t>
      </w:r>
      <w:r>
        <w:rPr>
          <w:bCs/>
          <w:b/>
        </w:rPr>
        <w:t xml:space="preserve">ज्यैष्ठ्याय (jyaiṣṭhyāya)</w:t>
      </w:r>
      <w:r>
        <w:t xml:space="preserve"> </w:t>
      </w:r>
      <w:r>
        <w:t xml:space="preserve">— for the sake of attaining superiority among the gods |</w:t>
      </w:r>
      <w:r>
        <w:t xml:space="preserve"> </w:t>
      </w:r>
      <w:r>
        <w:rPr>
          <w:bCs/>
          <w:b/>
        </w:rPr>
        <w:t xml:space="preserve">सद्यः (sadyaḥ)</w:t>
      </w:r>
      <w:r>
        <w:t xml:space="preserve"> </w:t>
      </w:r>
      <w:r>
        <w:t xml:space="preserve">— at this very moment |</w:t>
      </w:r>
      <w:r>
        <w:t xml:space="preserve"> </w:t>
      </w:r>
      <w:r>
        <w:rPr>
          <w:bCs/>
          <w:b/>
        </w:rPr>
        <w:t xml:space="preserve">वृद्धः (vṛddhaḥ)</w:t>
      </w:r>
      <w:r>
        <w:t xml:space="preserve"> </w:t>
      </w:r>
      <w:r>
        <w:t xml:space="preserve">— one of enthusiastic increase |</w:t>
      </w:r>
      <w:r>
        <w:t xml:space="preserve"> </w:t>
      </w:r>
      <w:r>
        <w:rPr>
          <w:bCs/>
          <w:b/>
        </w:rPr>
        <w:t xml:space="preserve">अजायथाः (ajāyathāḥ)</w:t>
      </w:r>
      <w:r>
        <w:t xml:space="preserve"> </w:t>
      </w:r>
      <w:r>
        <w:t xml:space="preserve">— became.</w:t>
      </w:r>
    </w:p>
    <w:p>
      <w:pPr>
        <w:pStyle w:val="BodyText"/>
      </w:pPr>
      <w:r>
        <w:rPr>
          <w:bCs/>
          <w:b/>
        </w:rPr>
        <w:t xml:space="preserve">॥ Bhāvārthaḥ ॥</w:t>
      </w:r>
      <w:r>
        <w:t xml:space="preserve"> </w:t>
      </w:r>
      <w:r>
        <w:rPr>
          <w:iCs/>
          <w:i/>
        </w:rPr>
        <w:t xml:space="preserve">(Kannada, translated)</w:t>
      </w:r>
    </w:p>
    <w:p>
      <w:pPr>
        <w:pStyle w:val="BodyText"/>
      </w:pPr>
      <w:r>
        <w:t xml:space="preserve">O Indra, who do daring deeds, or are possessed of much knowledge! Not only because you are endowed with exceeding energy, for the sake of drinking this Soma-juice that we have prepared and set out here — but also by drinking this Soma you become greater than all the gods.</w:t>
      </w:r>
    </w:p>
    <w:p>
      <w:pPr>
        <w:pStyle w:val="BodyText"/>
      </w:pPr>
      <w:r>
        <w:rPr>
          <w:bCs/>
          <w:b/>
        </w:rPr>
        <w:t xml:space="preserve">English Translation</w:t>
      </w:r>
      <w:r>
        <w:t xml:space="preserve"> </w:t>
      </w:r>
      <w:r>
        <w:rPr>
          <w:iCs/>
          <w:i/>
        </w:rPr>
        <w:t xml:space="preserve">(printed in English in the source itself):</w:t>
      </w:r>
    </w:p>
    <w:p>
      <w:pPr>
        <w:pStyle w:val="BodyText"/>
      </w:pPr>
      <w:r>
        <w:t xml:space="preserve">“</w:t>
      </w:r>
      <w:r>
        <w:t xml:space="preserve">(1) Indra, performer of good deeds or possessor of fine intellect you have grown courageous for the sake of drinking the extracted Soma Juice and (attaining) seniority (among the gods).</w:t>
      </w:r>
      <w:r>
        <w:t xml:space="preserve">”</w:t>
      </w:r>
    </w:p>
    <w:bookmarkEnd w:id="213"/>
    <w:bookmarkStart w:id="214" w:name="X2dce107ddfc10a7aeb9df0dccadc34128747bd7"/>
    <w:p>
      <w:pPr>
        <w:pStyle w:val="Heading3"/>
      </w:pPr>
      <w:r>
        <w:t xml:space="preserve">Page 177 — Special topics on Rik 5.6:</w:t>
      </w:r>
      <w:r>
        <w:t xml:space="preserve"> </w:t>
      </w:r>
      <w:r>
        <w:t xml:space="preserve">“</w:t>
      </w:r>
      <w:r>
        <w:t xml:space="preserve">vṛddhaḥ,</w:t>
      </w:r>
      <w:r>
        <w:t xml:space="preserve">”</w:t>
      </w:r>
      <w:r>
        <w:t xml:space="preserve"> </w:t>
      </w:r>
      <w:r>
        <w:t xml:space="preserve">“</w:t>
      </w:r>
      <w:r>
        <w:t xml:space="preserve">jyaiṣṭhyāya</w:t>
      </w:r>
      <w:r>
        <w:t xml:space="preserve">”</w:t>
      </w:r>
    </w:p>
    <w:p>
      <w:pPr>
        <w:pStyle w:val="FirstParagraph"/>
      </w:pPr>
      <w:r>
        <w:rPr>
          <w:iCs/>
          <w:i/>
        </w:rPr>
        <w:t xml:space="preserve">(Page header:</w:t>
      </w:r>
      <w:r>
        <w:rPr>
          <w:iCs/>
          <w:i/>
        </w:rPr>
        <w:t xml:space="preserve"> </w:t>
      </w:r>
      <w:r>
        <w:rPr>
          <w:iCs/>
          <w:i/>
        </w:rPr>
        <w:t xml:space="preserve">“</w:t>
      </w:r>
      <w:r>
        <w:rPr>
          <w:iCs/>
          <w:i/>
        </w:rPr>
        <w:t xml:space="preserve">Aṣṭaka 1, Adhyāya 1, Varga 10 · Ṛgveda-saṃhitā.</w:t>
      </w:r>
      <w:r>
        <w:rPr>
          <w:iCs/>
          <w:i/>
        </w:rPr>
        <w:t xml:space="preserve">”</w:t>
      </w:r>
      <w:r>
        <w:rPr>
          <w:iCs/>
          <w:i/>
        </w:rPr>
        <w:t xml:space="preserve"> </w:t>
      </w:r>
      <w:r>
        <w:rPr>
          <w:iCs/>
          <w:i/>
        </w:rPr>
        <w:t xml:space="preserve">References re-read from the better scan; glosses mine, tentative. The Taittirīya-brāhmaṇa passage is printed in Kannada script and given in three layers.)</w:t>
      </w:r>
    </w:p>
    <w:p>
      <w:pPr>
        <w:pStyle w:val="BodyText"/>
      </w:pPr>
      <w:r>
        <w:rPr>
          <w:bCs/>
          <w:b/>
        </w:rPr>
        <w:t xml:space="preserve">वृद्धः (vṛddhaḥ)</w:t>
      </w:r>
      <w:r>
        <w:t xml:space="preserve"> </w:t>
      </w:r>
      <w:r>
        <w:t xml:space="preserve">— For this word the Bhāṣyakāra says</w:t>
      </w:r>
      <w:r>
        <w:t xml:space="preserve"> </w:t>
      </w:r>
      <w:r>
        <w:t xml:space="preserve">“</w:t>
      </w:r>
      <w:r>
        <w:t xml:space="preserve">abhivṛddhaḥ utsāhena yuktaḥ</w:t>
      </w:r>
      <w:r>
        <w:t xml:space="preserve">”</w:t>
      </w:r>
      <w:r>
        <w:t xml:space="preserve"> </w:t>
      </w:r>
      <w:r>
        <w:t xml:space="preserve">—</w:t>
      </w:r>
      <w:r>
        <w:t xml:space="preserve"> </w:t>
      </w:r>
      <w:r>
        <w:t xml:space="preserve">“</w:t>
      </w:r>
      <w:r>
        <w:t xml:space="preserve">greatly increased, endowed with zeal.</w:t>
      </w:r>
      <w:r>
        <w:t xml:space="preserve">”</w:t>
      </w:r>
      <w:r>
        <w:t xml:space="preserve"> </w:t>
      </w:r>
      <w:r>
        <w:rPr>
          <w:bCs/>
          <w:b/>
        </w:rPr>
        <w:t xml:space="preserve">Skandasvāmī</w:t>
      </w:r>
      <w:r>
        <w:t xml:space="preserve">:</w:t>
      </w:r>
      <w:r>
        <w:t xml:space="preserve"> </w:t>
      </w:r>
      <w:r>
        <w:t xml:space="preserve">“</w:t>
      </w:r>
      <w:r>
        <w:rPr>
          <w:iCs/>
          <w:i/>
        </w:rPr>
        <w:t xml:space="preserve">parivṛddhaḥ pratibandha-kāpanayana-samarthaḥ, śarīreṇa ca vīryeṇa ca parivṛddhaḥ</w:t>
      </w:r>
      <w:r>
        <w:t xml:space="preserve">”</w:t>
      </w:r>
      <w:r>
        <w:t xml:space="preserve"> </w:t>
      </w:r>
      <w:r>
        <w:t xml:space="preserve">(परिवृद्धः प्रतिबन्धकापनयनसमर्थः, शरीरेण च वीर्येण च परिवृद्धः —</w:t>
      </w:r>
      <w:r>
        <w:t xml:space="preserve"> </w:t>
      </w:r>
      <w:r>
        <w:t xml:space="preserve">“</w:t>
      </w:r>
      <w:r>
        <w:t xml:space="preserve">increased all round, able to remove obstacles; increased both in body and in strength</w:t>
      </w:r>
      <w:r>
        <w:t xml:space="preserve">”</w:t>
      </w:r>
      <w:r>
        <w:t xml:space="preserve">); that is, grown large in body and in vigour, from the zeal to remove the obstacles.</w:t>
      </w:r>
      <w:r>
        <w:t xml:space="preserve"> </w:t>
      </w:r>
      <w:r>
        <w:rPr>
          <w:bCs/>
          <w:b/>
        </w:rPr>
        <w:t xml:space="preserve">Veṅkaṭamādhava</w:t>
      </w:r>
      <w:r>
        <w:t xml:space="preserve">:</w:t>
      </w:r>
      <w:r>
        <w:t xml:space="preserve"> </w:t>
      </w:r>
      <w:r>
        <w:t xml:space="preserve">“</w:t>
      </w:r>
      <w:r>
        <w:rPr>
          <w:iCs/>
          <w:i/>
        </w:rPr>
        <w:t xml:space="preserve">pravṛddha-śarīraḥ</w:t>
      </w:r>
      <w:r>
        <w:t xml:space="preserve">”</w:t>
      </w:r>
      <w:r>
        <w:t xml:space="preserve"> </w:t>
      </w:r>
      <w:r>
        <w:t xml:space="preserve">—</w:t>
      </w:r>
      <w:r>
        <w:t xml:space="preserve"> </w:t>
      </w:r>
      <w:r>
        <w:t xml:space="preserve">“</w:t>
      </w:r>
      <w:r>
        <w:t xml:space="preserve">one of great body.</w:t>
      </w:r>
      <w:r>
        <w:t xml:space="preserve">”</w:t>
      </w:r>
      <w:r>
        <w:t xml:space="preserve"> </w:t>
      </w:r>
      <w:r>
        <w:t xml:space="preserve">On this matter these Ṛks may be given as examples:</w:t>
      </w:r>
    </w:p>
    <w:p>
      <w:pPr>
        <w:pStyle w:val="BlockText"/>
      </w:pPr>
      <w:r>
        <w:t xml:space="preserve">(१) अषाळ्हेन शवसा शूशुवांसं सद्यश्चिद्यो वावृधे असामि । (ऋ. सं. ६-१९-२)</w:t>
      </w:r>
      <w:r>
        <w:t xml:space="preserve"> </w:t>
      </w:r>
      <w:r>
        <w:rPr>
          <w:iCs/>
          <w:i/>
        </w:rPr>
        <w:t xml:space="preserve">aṣāḷhena śavasā śūśuvāṃsaṃ sadyaś cid yo vāvṛdhe asāmi | (ṛ. saṃ. 6-19-2)</w:t>
      </w:r>
      <w:r>
        <w:t xml:space="preserve"> </w:t>
      </w:r>
      <w:r>
        <w:t xml:space="preserve">Gloss:</w:t>
      </w:r>
      <w:r>
        <w:t xml:space="preserve"> </w:t>
      </w:r>
      <w:r>
        <w:t xml:space="preserve">“</w:t>
      </w:r>
      <w:r>
        <w:t xml:space="preserve">(Him) who swelled with unconquered strength, who grew immeasurably at once.</w:t>
      </w:r>
      <w:r>
        <w:t xml:space="preserve">”</w:t>
      </w:r>
      <w:r>
        <w:t xml:space="preserve"> </w:t>
      </w:r>
      <w:r>
        <w:t xml:space="preserve">[tentative]</w:t>
      </w:r>
    </w:p>
    <w:p>
      <w:pPr>
        <w:pStyle w:val="BlockText"/>
      </w:pPr>
      <w:r>
        <w:t xml:space="preserve">(२) एवा जज्ञानं सहसे असामि वावृधानं राधसे च श्रुताय ॥ (ऋ. सं. ६-३८-५)</w:t>
      </w:r>
      <w:r>
        <w:t xml:space="preserve"> </w:t>
      </w:r>
      <w:r>
        <w:rPr>
          <w:iCs/>
          <w:i/>
        </w:rPr>
        <w:t xml:space="preserve">evā jajñānaṃ sahase asāmi vāvṛdhānaṃ rādhase ca śrutāya || (ṛ. saṃ. 6-38-5)</w:t>
      </w:r>
      <w:r>
        <w:t xml:space="preserve"> </w:t>
      </w:r>
      <w:r>
        <w:t xml:space="preserve">Gloss:</w:t>
      </w:r>
      <w:r>
        <w:t xml:space="preserve"> </w:t>
      </w:r>
      <w:r>
        <w:t xml:space="preserve">“</w:t>
      </w:r>
      <w:r>
        <w:t xml:space="preserve">Thus (they hymn) him who was born for victory, immeasurable, growing for bounty and for fame.</w:t>
      </w:r>
      <w:r>
        <w:t xml:space="preserve">”</w:t>
      </w:r>
      <w:r>
        <w:t xml:space="preserve"> </w:t>
      </w:r>
      <w:r>
        <w:t xml:space="preserve">[tentative]</w:t>
      </w:r>
    </w:p>
    <w:p>
      <w:pPr>
        <w:pStyle w:val="FirstParagraph"/>
      </w:pPr>
      <w:r>
        <w:t xml:space="preserve">In both of these Ṛks it is said that Indra grew up large of form. And as we have explained earlier, in the Ṛk Ṛ. Saṃ. 1-8-1, Indra, by the power of his māyā, is able to take on many kinds of forms and shapes, as occasion requires (Ṛ. Saṃ. Part 2, pp. 89–90); here also the same may be understood.</w:t>
      </w:r>
    </w:p>
    <w:p>
      <w:pPr>
        <w:pStyle w:val="BodyText"/>
      </w:pPr>
      <w:r>
        <w:rPr>
          <w:bCs/>
          <w:b/>
        </w:rPr>
        <w:t xml:space="preserve">ज्यैष्ठ्याय (jyaiṣṭhyāya)</w:t>
      </w:r>
      <w:r>
        <w:t xml:space="preserve"> </w:t>
      </w:r>
      <w:r>
        <w:t xml:space="preserve">—</w:t>
      </w:r>
      <w:r>
        <w:t xml:space="preserve"> </w:t>
      </w:r>
      <w:r>
        <w:t xml:space="preserve">“</w:t>
      </w:r>
      <w:r>
        <w:t xml:space="preserve">Superiority, increase, higher position.</w:t>
      </w:r>
      <w:r>
        <w:t xml:space="preserve">”</w:t>
      </w:r>
      <w:r>
        <w:t xml:space="preserve"> </w:t>
      </w:r>
      <w:r>
        <w:t xml:space="preserve">That is: in order to attain such a higher position among men and among the gods. But what superiority comes to Indra from drinking Soma? If it is asked whether Indra had no superiority before the drinking of the Soma — Indra had superiority among the gods from the first; by drinking Soma it became more extensive. In that age the drinking of Soma was a matter of increasing superiority. Even now, when we bless a newly married couple, it is customary, in speaking of the groom, to say:</w:t>
      </w:r>
      <w:r>
        <w:t xml:space="preserve"> </w:t>
      </w:r>
      <w:r>
        <w:t xml:space="preserve">“</w:t>
      </w:r>
      <w:r>
        <w:rPr>
          <w:iCs/>
          <w:i/>
        </w:rPr>
        <w:t xml:space="preserve">bhartā te somapā nityaṃ bhaved dharma-parāyaṇaḥ</w:t>
      </w:r>
      <w:r>
        <w:t xml:space="preserve">”</w:t>
      </w:r>
      <w:r>
        <w:t xml:space="preserve"> </w:t>
      </w:r>
      <w:r>
        <w:t xml:space="preserve">(भर्ता ते सोमपा नित्यं भवेद्धर्मपरायणः —</w:t>
      </w:r>
      <w:r>
        <w:t xml:space="preserve"> </w:t>
      </w:r>
      <w:r>
        <w:rPr>
          <w:iCs/>
          <w:i/>
        </w:rPr>
        <w:t xml:space="preserve">bhartā te somapā nityaṃ bhaved dharma-parāyaṇaḥ</w:t>
      </w:r>
      <w:r>
        <w:t xml:space="preserve"> </w:t>
      </w:r>
      <w:r>
        <w:t xml:space="preserve">—</w:t>
      </w:r>
      <w:r>
        <w:t xml:space="preserve"> </w:t>
      </w:r>
      <w:r>
        <w:t xml:space="preserve">“</w:t>
      </w:r>
      <w:r>
        <w:t xml:space="preserve">may your husband always be a Soma-drinker, devoted to dharma</w:t>
      </w:r>
      <w:r>
        <w:t xml:space="preserve">”</w:t>
      </w:r>
      <w:r>
        <w:t xml:space="preserve">).</w:t>
      </w:r>
      <w:r>
        <w:t xml:space="preserve"> </w:t>
      </w:r>
      <w:r>
        <w:rPr>
          <w:iCs/>
          <w:i/>
        </w:rPr>
        <w:t xml:space="preserve">(The source gives this blessing in Kannada script without a citation, and I do not add one.)</w:t>
      </w:r>
      <w:r>
        <w:t xml:space="preserve"> </w:t>
      </w:r>
      <w:r>
        <w:t xml:space="preserve">In the Taittirīya-brāhmaṇa of the Kṛṣṇa Yajurveda the superiority of Indra is spoken of in another way, as follows:</w:t>
      </w:r>
    </w:p>
    <w:p>
      <w:pPr>
        <w:pStyle w:val="BlockText"/>
      </w:pPr>
      <w:r>
        <w:t xml:space="preserve">इन्द्रो वा अकामयत । ज्यैष्ठ्यं देवानामभिजयेयमिति । स एतमिन्द्राय ज्येष्ठायै पुरोडाशमेकादशकपालं निरवपन्महाव्रीहीणाम् । ततो वै स ज्यैष्ठ्यं देवानामभ्यजयत् । (तै. ब्रा. ३-१-५)</w:t>
      </w:r>
      <w:r>
        <w:t xml:space="preserve"> </w:t>
      </w:r>
      <w:r>
        <w:rPr>
          <w:iCs/>
          <w:i/>
        </w:rPr>
        <w:t xml:space="preserve">indro vā akāmayata | jyaiṣṭhyaṃ devānām abhijayeyam iti | sa etam indrāya jyeṣṭhāyai puroḍāśam ekādaśakapālaṃ niravapan mahāvrīhīṇām | tato vai sa jyaiṣṭhyaṃ devānām abhyajayat | (tai. brā. 3-1-5)</w:t>
      </w:r>
      <w:r>
        <w:t xml:space="preserve"> </w:t>
      </w:r>
      <w:r>
        <w:rPr>
          <w:iCs/>
          <w:i/>
        </w:rPr>
        <w:t xml:space="preserve">(Reading note, re-checked against the better scan: the print reads</w:t>
      </w:r>
      <w:r>
        <w:rPr>
          <w:iCs/>
          <w:i/>
        </w:rPr>
        <w:t xml:space="preserve"> </w:t>
      </w:r>
      <w:r>
        <w:rPr>
          <w:iCs/>
          <w:i/>
        </w:rPr>
        <w:t xml:space="preserve">“</w:t>
      </w:r>
      <w:r>
        <w:rPr>
          <w:iCs/>
          <w:i/>
        </w:rPr>
        <w:t xml:space="preserve">indrāya jyeṣṭhāyai</w:t>
      </w:r>
      <w:r>
        <w:rPr>
          <w:iCs/>
          <w:i/>
        </w:rPr>
        <w:t xml:space="preserve">”</w:t>
      </w:r>
      <w:r>
        <w:rPr>
          <w:iCs/>
          <w:i/>
        </w:rPr>
        <w:t xml:space="preserve"> </w:t>
      </w:r>
      <w:r>
        <w:rPr>
          <w:iCs/>
          <w:i/>
        </w:rPr>
        <w:t xml:space="preserve">— for Indra (and) Jyeṣṭhā, the nakṣatra named in the Kannada.)</w:t>
      </w:r>
      <w:r>
        <w:t xml:space="preserve"> </w:t>
      </w:r>
      <w:r>
        <w:rPr>
          <w:bCs/>
          <w:b/>
        </w:rPr>
        <w:t xml:space="preserve">Translation (mine, following the Kannada):</w:t>
      </w:r>
      <w:r>
        <w:t xml:space="preserve"> </w:t>
      </w:r>
      <w:r>
        <w:t xml:space="preserve">“</w:t>
      </w:r>
      <w:r>
        <w:t xml:space="preserve">Indra desired:</w:t>
      </w:r>
      <w:r>
        <w:t xml:space="preserve"> </w:t>
      </w:r>
      <w:r>
        <w:t xml:space="preserve">‘</w:t>
      </w:r>
      <w:r>
        <w:t xml:space="preserve">May I win seniority among the gods.</w:t>
      </w:r>
      <w:r>
        <w:t xml:space="preserve">’</w:t>
      </w:r>
      <w:r>
        <w:t xml:space="preserve"> </w:t>
      </w:r>
      <w:r>
        <w:t xml:space="preserve">He offered this cake on eleven potsherds, of the large rice (mahāvrīhi), to Indra (and) Jyeṣṭhā; thereupon he won seniority among the gods.</w:t>
      </w:r>
      <w:r>
        <w:t xml:space="preserve">”</w:t>
      </w:r>
    </w:p>
    <w:p>
      <w:pPr>
        <w:pStyle w:val="FirstParagraph"/>
      </w:pPr>
      <w:r>
        <w:t xml:space="preserve">That is: Indra, in order to obtain superiority among the gods, offered, with the nakṣatra Jyeṣṭhā in view, a cake on eleven potsherds prepared from rice, and by that obtained superiority over the gods.</w:t>
      </w:r>
    </w:p>
    <w:bookmarkEnd w:id="214"/>
    <w:bookmarkStart w:id="215" w:name="X99e1049887cc631f9927df7c3925fe734273be7"/>
    <w:p>
      <w:pPr>
        <w:pStyle w:val="Heading3"/>
      </w:pPr>
      <w:r>
        <w:t xml:space="preserve">Pages 178–179 — Vyākaraṇa-prakriyā for Rik 5.6 (Kannada) — characterized</w:t>
      </w:r>
    </w:p>
    <w:p>
      <w:pPr>
        <w:pStyle w:val="FirstParagraph"/>
      </w:pPr>
      <w:r>
        <w:rPr>
          <w:iCs/>
          <w:i/>
        </w:rPr>
        <w:t xml:space="preserve">(Page headers: p. 178</w:t>
      </w:r>
      <w:r>
        <w:rPr>
          <w:iCs/>
          <w:i/>
        </w:rPr>
        <w:t xml:space="preserve"> </w:t>
      </w:r>
      <w:r>
        <w:rPr>
          <w:iCs/>
          <w:i/>
        </w:rPr>
        <w:t xml:space="preserve">“</w:t>
      </w:r>
      <w:r>
        <w:rPr>
          <w:iCs/>
          <w:i/>
        </w:rPr>
        <w:t xml:space="preserve">Sāyaṇa-bhāṣya-sahitā · Maṇḍala 1, Anuvāka 2, Sūkta 5</w:t>
      </w:r>
      <w:r>
        <w:rPr>
          <w:iCs/>
          <w:i/>
        </w:rPr>
        <w:t xml:space="preserve">”</w:t>
      </w:r>
      <w:r>
        <w:rPr>
          <w:iCs/>
          <w:i/>
        </w:rPr>
        <w:t xml:space="preserve">; p. 179</w:t>
      </w:r>
      <w:r>
        <w:rPr>
          <w:iCs/>
          <w:i/>
        </w:rPr>
        <w:t xml:space="preserve"> </w:t>
      </w:r>
      <w:r>
        <w:rPr>
          <w:iCs/>
          <w:i/>
        </w:rPr>
        <w:t xml:space="preserve">“</w:t>
      </w:r>
      <w:r>
        <w:rPr>
          <w:iCs/>
          <w:i/>
        </w:rPr>
        <w:t xml:space="preserve">Aṣṭaka 1, Adhyāya 1, Varga 10 · Ṛgveda-saṃhitā.</w:t>
      </w:r>
      <w:r>
        <w:rPr>
          <w:iCs/>
          <w:i/>
        </w:rPr>
        <w:t xml:space="preserve">”</w:t>
      </w:r>
      <w:r>
        <w:rPr>
          <w:iCs/>
          <w:i/>
        </w:rPr>
        <w:t xml:space="preserve"> </w:t>
      </w:r>
      <w:r>
        <w:rPr>
          <w:iCs/>
          <w:i/>
        </w:rPr>
        <w:t xml:space="preserve">These two pages are</w:t>
      </w:r>
      <w:r>
        <w:rPr>
          <w:iCs/>
          <w:i/>
        </w:rPr>
        <w:t xml:space="preserve"> </w:t>
      </w:r>
      <w:r>
        <w:rPr>
          <w:bCs/>
          <w:b/>
          <w:iCs/>
          <w:i/>
        </w:rPr>
        <w:t xml:space="preserve">pure Pāṇinian derivation in Kannada prose</w:t>
      </w:r>
      <w:r>
        <w:rPr>
          <w:iCs/>
          <w:i/>
        </w:rPr>
        <w:t xml:space="preserve"> </w:t>
      </w:r>
      <w:r>
        <w:rPr>
          <w:iCs/>
          <w:i/>
        </w:rPr>
        <w:t xml:space="preserve">for</w:t>
      </w:r>
      <w:r>
        <w:rPr>
          <w:iCs/>
          <w:i/>
        </w:rPr>
        <w:t xml:space="preserve"> </w:t>
      </w:r>
      <w:r>
        <w:rPr>
          <w:iCs/>
          <w:i/>
        </w:rPr>
        <w:t xml:space="preserve">“</w:t>
      </w:r>
      <w:r>
        <w:rPr>
          <w:iCs/>
          <w:i/>
        </w:rPr>
        <w:t xml:space="preserve">tvam</w:t>
      </w:r>
      <w:r>
        <w:rPr>
          <w:iCs/>
          <w:i/>
        </w:rPr>
        <w:t xml:space="preserve">”</w:t>
      </w:r>
      <w:r>
        <w:rPr>
          <w:iCs/>
          <w:i/>
        </w:rPr>
        <w:t xml:space="preserve"> </w:t>
      </w:r>
      <w:r>
        <w:rPr>
          <w:iCs/>
          <w:i/>
        </w:rPr>
        <w:t xml:space="preserve">(the pronoun</w:t>
      </w:r>
      <w:r>
        <w:rPr>
          <w:iCs/>
          <w:i/>
        </w:rPr>
        <w:t xml:space="preserve"> </w:t>
      </w:r>
      <w:r>
        <w:rPr>
          <w:iCs/>
          <w:i/>
        </w:rPr>
        <w:t xml:space="preserve">“</w:t>
      </w:r>
      <w:r>
        <w:rPr>
          <w:iCs/>
          <w:i/>
        </w:rPr>
        <w:t xml:space="preserve">yuṣmad</w:t>
      </w:r>
      <w:r>
        <w:rPr>
          <w:iCs/>
          <w:i/>
        </w:rPr>
        <w:t xml:space="preserve">”</w:t>
      </w:r>
      <w:r>
        <w:rPr>
          <w:iCs/>
          <w:i/>
        </w:rPr>
        <w:t xml:space="preserve">) and</w:t>
      </w:r>
      <w:r>
        <w:rPr>
          <w:iCs/>
          <w:i/>
        </w:rPr>
        <w:t xml:space="preserve"> </w:t>
      </w:r>
      <w:r>
        <w:rPr>
          <w:iCs/>
          <w:i/>
        </w:rPr>
        <w:t xml:space="preserve">“</w:t>
      </w:r>
      <w:r>
        <w:rPr>
          <w:iCs/>
          <w:i/>
        </w:rPr>
        <w:t xml:space="preserve">sutasya,</w:t>
      </w:r>
      <w:r>
        <w:rPr>
          <w:iCs/>
          <w:i/>
        </w:rPr>
        <w:t xml:space="preserve">”</w:t>
      </w:r>
      <w:r>
        <w:rPr>
          <w:iCs/>
          <w:i/>
        </w:rPr>
        <w:t xml:space="preserve"> </w:t>
      </w:r>
      <w:r>
        <w:rPr>
          <w:iCs/>
          <w:i/>
        </w:rPr>
        <w:t xml:space="preserve">with long scholastic argument about which case-ending a rule refers to; they do not bear on the sense of the Rik (pp. 176–177). Per the standing convention they are</w:t>
      </w:r>
      <w:r>
        <w:rPr>
          <w:iCs/>
          <w:i/>
        </w:rPr>
        <w:t xml:space="preserve"> </w:t>
      </w:r>
      <w:r>
        <w:rPr>
          <w:bCs/>
          <w:b/>
          <w:iCs/>
          <w:i/>
        </w:rPr>
        <w:t xml:space="preserve">characterized in outline</w:t>
      </w:r>
      <w:r>
        <w:rPr>
          <w:iCs/>
          <w:i/>
        </w:rPr>
        <w:t xml:space="preserve">, with the sūtras named kept in three layers; numbers as I read them from small Kannada numerals, and the long objections and replies are not reproduced.)</w:t>
      </w:r>
    </w:p>
    <w:p>
      <w:pPr>
        <w:pStyle w:val="BodyText"/>
      </w:pPr>
      <w:r>
        <w:rPr>
          <w:bCs/>
          <w:b/>
        </w:rPr>
        <w:t xml:space="preserve">“</w:t>
      </w:r>
      <w:r>
        <w:rPr>
          <w:bCs/>
          <w:b/>
        </w:rPr>
        <w:t xml:space="preserve">Tvam</w:t>
      </w:r>
      <w:r>
        <w:rPr>
          <w:bCs/>
          <w:b/>
        </w:rPr>
        <w:t xml:space="preserve">”</w:t>
      </w:r>
      <w:r>
        <w:t xml:space="preserve"> </w:t>
      </w:r>
      <w:r>
        <w:t xml:space="preserve">—</w:t>
      </w:r>
      <w:r>
        <w:t xml:space="preserve"> </w:t>
      </w:r>
      <w:r>
        <w:t xml:space="preserve">“</w:t>
      </w:r>
      <w:r>
        <w:t xml:space="preserve">yuṣmad</w:t>
      </w:r>
      <w:r>
        <w:t xml:space="preserve">”</w:t>
      </w:r>
      <w:r>
        <w:t xml:space="preserve">: the root</w:t>
      </w:r>
      <w:r>
        <w:t xml:space="preserve"> </w:t>
      </w:r>
      <w:r>
        <w:t xml:space="preserve">“</w:t>
      </w:r>
      <w:r>
        <w:t xml:space="preserve">yuṣ</w:t>
      </w:r>
      <w:r>
        <w:t xml:space="preserve">”</w:t>
      </w:r>
      <w:r>
        <w:t xml:space="preserve"> </w:t>
      </w:r>
      <w:r>
        <w:t xml:space="preserve">is a</w:t>
      </w:r>
      <w:r>
        <w:t xml:space="preserve"> </w:t>
      </w:r>
      <w:r>
        <w:t xml:space="preserve">“</w:t>
      </w:r>
      <w:r>
        <w:t xml:space="preserve">sautra</w:t>
      </w:r>
      <w:r>
        <w:t xml:space="preserve">”</w:t>
      </w:r>
      <w:r>
        <w:t xml:space="preserve"> </w:t>
      </w:r>
      <w:r>
        <w:t xml:space="preserve">root (established by its use in the sūtras).</w:t>
      </w:r>
      <w:r>
        <w:t xml:space="preserve"> </w:t>
      </w:r>
      <w:r>
        <w:rPr>
          <w:bCs/>
          <w:b/>
        </w:rPr>
        <w:t xml:space="preserve">युष्यसिभ्यां मदिक्</w:t>
      </w:r>
      <w:r>
        <w:t xml:space="preserve"> </w:t>
      </w:r>
      <w:r>
        <w:t xml:space="preserve">(</w:t>
      </w:r>
      <w:r>
        <w:rPr>
          <w:iCs/>
          <w:i/>
        </w:rPr>
        <w:t xml:space="preserve">yuṣy-asibhyāṃ madik</w:t>
      </w:r>
      <w:r>
        <w:t xml:space="preserve">, उ. सू. १-१३६) — after</w:t>
      </w:r>
      <w:r>
        <w:t xml:space="preserve"> </w:t>
      </w:r>
      <w:r>
        <w:t xml:space="preserve">“</w:t>
      </w:r>
      <w:r>
        <w:t xml:space="preserve">yuṣ</w:t>
      </w:r>
      <w:r>
        <w:t xml:space="preserve">”</w:t>
      </w:r>
      <w:r>
        <w:t xml:space="preserve"> </w:t>
      </w:r>
      <w:r>
        <w:t xml:space="preserve">and</w:t>
      </w:r>
      <w:r>
        <w:t xml:space="preserve"> </w:t>
      </w:r>
      <w:r>
        <w:t xml:space="preserve">“</w:t>
      </w:r>
      <w:r>
        <w:t xml:space="preserve">asu kṣepaṇe</w:t>
      </w:r>
      <w:r>
        <w:t xml:space="preserve">”</w:t>
      </w:r>
      <w:r>
        <w:t xml:space="preserve"> </w:t>
      </w:r>
      <w:r>
        <w:t xml:space="preserve">the affix</w:t>
      </w:r>
      <w:r>
        <w:t xml:space="preserve"> </w:t>
      </w:r>
      <w:r>
        <w:t xml:space="preserve">“</w:t>
      </w:r>
      <w:r>
        <w:t xml:space="preserve">madik</w:t>
      </w:r>
      <w:r>
        <w:t xml:space="preserve">”</w:t>
      </w:r>
      <w:r>
        <w:t xml:space="preserve">;</w:t>
      </w:r>
      <w:r>
        <w:t xml:space="preserve"> </w:t>
      </w:r>
      <w:r>
        <w:t xml:space="preserve">“</w:t>
      </w:r>
      <w:r>
        <w:t xml:space="preserve">i</w:t>
      </w:r>
      <w:r>
        <w:t xml:space="preserve">”</w:t>
      </w:r>
      <w:r>
        <w:t xml:space="preserve"> </w:t>
      </w:r>
      <w:r>
        <w:t xml:space="preserve">and</w:t>
      </w:r>
      <w:r>
        <w:t xml:space="preserve"> </w:t>
      </w:r>
      <w:r>
        <w:t xml:space="preserve">“</w:t>
      </w:r>
      <w:r>
        <w:t xml:space="preserve">k</w:t>
      </w:r>
      <w:r>
        <w:t xml:space="preserve">”</w:t>
      </w:r>
      <w:r>
        <w:t xml:space="preserve"> </w:t>
      </w:r>
      <w:r>
        <w:t xml:space="preserve">are dropped and</w:t>
      </w:r>
      <w:r>
        <w:t xml:space="preserve"> </w:t>
      </w:r>
      <w:r>
        <w:t xml:space="preserve">“</w:t>
      </w:r>
      <w:r>
        <w:t xml:space="preserve">mad</w:t>
      </w:r>
      <w:r>
        <w:t xml:space="preserve">”</w:t>
      </w:r>
      <w:r>
        <w:t xml:space="preserve"> </w:t>
      </w:r>
      <w:r>
        <w:t xml:space="preserve">remains:</w:t>
      </w:r>
      <w:r>
        <w:t xml:space="preserve"> </w:t>
      </w:r>
      <w:r>
        <w:t xml:space="preserve">“</w:t>
      </w:r>
      <w:r>
        <w:t xml:space="preserve">yuṣ + mad</w:t>
      </w:r>
      <w:r>
        <w:t xml:space="preserve">”</w:t>
      </w:r>
      <w:r>
        <w:t xml:space="preserve"> </w:t>
      </w:r>
      <w:r>
        <w:t xml:space="preserve">=</w:t>
      </w:r>
      <w:r>
        <w:t xml:space="preserve"> </w:t>
      </w:r>
      <w:r>
        <w:t xml:space="preserve">“</w:t>
      </w:r>
      <w:r>
        <w:t xml:space="preserve">yuṣmad.</w:t>
      </w:r>
      <w:r>
        <w:t xml:space="preserve">”</w:t>
      </w:r>
      <w:r>
        <w:t xml:space="preserve"> </w:t>
      </w:r>
      <w:r>
        <w:t xml:space="preserve">The first-case singular</w:t>
      </w:r>
      <w:r>
        <w:t xml:space="preserve"> </w:t>
      </w:r>
      <w:r>
        <w:t xml:space="preserve">“</w:t>
      </w:r>
      <w:r>
        <w:t xml:space="preserve">su,</w:t>
      </w:r>
      <w:r>
        <w:t xml:space="preserve">”</w:t>
      </w:r>
      <w:r>
        <w:t xml:space="preserve"> </w:t>
      </w:r>
      <w:r>
        <w:t xml:space="preserve">its</w:t>
      </w:r>
      <w:r>
        <w:t xml:space="preserve"> </w:t>
      </w:r>
      <w:r>
        <w:t xml:space="preserve">“</w:t>
      </w:r>
      <w:r>
        <w:t xml:space="preserve">u</w:t>
      </w:r>
      <w:r>
        <w:t xml:space="preserve">”</w:t>
      </w:r>
      <w:r>
        <w:t xml:space="preserve"> </w:t>
      </w:r>
      <w:r>
        <w:t xml:space="preserve">dropped:</w:t>
      </w:r>
      <w:r>
        <w:t xml:space="preserve"> </w:t>
      </w:r>
      <w:r>
        <w:t xml:space="preserve">“</w:t>
      </w:r>
      <w:r>
        <w:t xml:space="preserve">yuṣmad + s.</w:t>
      </w:r>
      <w:r>
        <w:t xml:space="preserve">”</w:t>
      </w:r>
      <w:r>
        <w:t xml:space="preserve"> </w:t>
      </w:r>
      <w:r>
        <w:rPr>
          <w:bCs/>
          <w:b/>
        </w:rPr>
        <w:t xml:space="preserve">ङेप्रथमयोरम्</w:t>
      </w:r>
      <w:r>
        <w:t xml:space="preserve"> </w:t>
      </w:r>
      <w:r>
        <w:t xml:space="preserve">(</w:t>
      </w:r>
      <w:r>
        <w:rPr>
          <w:iCs/>
          <w:i/>
        </w:rPr>
        <w:t xml:space="preserve">ṅe-prathamayor am</w:t>
      </w:r>
      <w:r>
        <w:t xml:space="preserve">, पा. ७-१-२८): the word-division is</w:t>
      </w:r>
      <w:r>
        <w:t xml:space="preserve"> </w:t>
      </w:r>
      <w:r>
        <w:t xml:space="preserve">“</w:t>
      </w:r>
      <w:r>
        <w:t xml:space="preserve">ṅe — prathamayoḥ — am</w:t>
      </w:r>
      <w:r>
        <w:t xml:space="preserve">”</w:t>
      </w:r>
      <w:r>
        <w:t xml:space="preserve">;</w:t>
      </w:r>
      <w:r>
        <w:t xml:space="preserve"> </w:t>
      </w:r>
      <w:r>
        <w:t xml:space="preserve">“</w:t>
      </w:r>
      <w:r>
        <w:t xml:space="preserve">prathamā ca prathamā ca prathame, tayoḥ prathamayoḥ</w:t>
      </w:r>
      <w:r>
        <w:t xml:space="preserve">”</w:t>
      </w:r>
      <w:r>
        <w:t xml:space="preserve"> </w:t>
      </w:r>
      <w:r>
        <w:t xml:space="preserve">— the first</w:t>
      </w:r>
      <w:r>
        <w:t xml:space="preserve"> </w:t>
      </w:r>
      <w:r>
        <w:t xml:space="preserve">“</w:t>
      </w:r>
      <w:r>
        <w:t xml:space="preserve">prathamā</w:t>
      </w:r>
      <w:r>
        <w:t xml:space="preserve">”</w:t>
      </w:r>
      <w:r>
        <w:t xml:space="preserve"> </w:t>
      </w:r>
      <w:r>
        <w:t xml:space="preserve">takes in the first case, the second the second case (once the first case is taken, the second case is the first of the six that remain); from</w:t>
      </w:r>
      <w:r>
        <w:t xml:space="preserve"> </w:t>
      </w:r>
      <w:r>
        <w:rPr>
          <w:bCs/>
          <w:b/>
        </w:rPr>
        <w:t xml:space="preserve">युष्मदस्मद्भ्यां ङसोऽश्</w:t>
      </w:r>
      <w:r>
        <w:t xml:space="preserve"> </w:t>
      </w:r>
      <w:r>
        <w:t xml:space="preserve">(पा. ७-१-२७)</w:t>
      </w:r>
      <w:r>
        <w:t xml:space="preserve"> </w:t>
      </w:r>
      <w:r>
        <w:t xml:space="preserve">“</w:t>
      </w:r>
      <w:r>
        <w:t xml:space="preserve">yuṣmad-asmadbhyām</w:t>
      </w:r>
      <w:r>
        <w:t xml:space="preserve">”</w:t>
      </w:r>
      <w:r>
        <w:t xml:space="preserve"> </w:t>
      </w:r>
      <w:r>
        <w:t xml:space="preserve">is continued, and in</w:t>
      </w:r>
      <w:r>
        <w:t xml:space="preserve"> </w:t>
      </w:r>
      <w:r>
        <w:t xml:space="preserve">“</w:t>
      </w:r>
      <w:r>
        <w:t xml:space="preserve">ṅe</w:t>
      </w:r>
      <w:r>
        <w:t xml:space="preserve">”</w:t>
      </w:r>
      <w:r>
        <w:t xml:space="preserve"> </w:t>
      </w:r>
      <w:r>
        <w:t xml:space="preserve">the sixth-case ending is elided; so the sūtra (पा. ७-१-२८) means that after</w:t>
      </w:r>
      <w:r>
        <w:t xml:space="preserve"> </w:t>
      </w:r>
      <w:r>
        <w:t xml:space="preserve">“</w:t>
      </w:r>
      <w:r>
        <w:t xml:space="preserve">yuṣmad</w:t>
      </w:r>
      <w:r>
        <w:t xml:space="preserve">”</w:t>
      </w:r>
      <w:r>
        <w:t xml:space="preserve"> </w:t>
      </w:r>
      <w:r>
        <w:t xml:space="preserve">and</w:t>
      </w:r>
      <w:r>
        <w:t xml:space="preserve"> </w:t>
      </w:r>
      <w:r>
        <w:t xml:space="preserve">“</w:t>
      </w:r>
      <w:r>
        <w:t xml:space="preserve">asmad</w:t>
      </w:r>
      <w:r>
        <w:t xml:space="preserve">”</w:t>
      </w:r>
      <w:r>
        <w:t xml:space="preserve"> </w:t>
      </w:r>
      <w:r>
        <w:t xml:space="preserve">the affix</w:t>
      </w:r>
      <w:r>
        <w:t xml:space="preserve"> </w:t>
      </w:r>
      <w:r>
        <w:t xml:space="preserve">“</w:t>
      </w:r>
      <w:r>
        <w:t xml:space="preserve">ṅe</w:t>
      </w:r>
      <w:r>
        <w:t xml:space="preserve">”</w:t>
      </w:r>
      <w:r>
        <w:t xml:space="preserve"> </w:t>
      </w:r>
      <w:r>
        <w:t xml:space="preserve">and the six endings of the first and second cases are replaced by</w:t>
      </w:r>
      <w:r>
        <w:t xml:space="preserve"> </w:t>
      </w:r>
      <w:r>
        <w:t xml:space="preserve">“</w:t>
      </w:r>
      <w:r>
        <w:t xml:space="preserve">am</w:t>
      </w:r>
      <w:r>
        <w:t xml:space="preserve">”</w:t>
      </w:r>
      <w:r>
        <w:t xml:space="preserve">:</w:t>
      </w:r>
      <w:r>
        <w:t xml:space="preserve"> </w:t>
      </w:r>
      <w:r>
        <w:t xml:space="preserve">“</w:t>
      </w:r>
      <w:r>
        <w:t xml:space="preserve">s</w:t>
      </w:r>
      <w:r>
        <w:t xml:space="preserve">”</w:t>
      </w:r>
      <w:r>
        <w:t xml:space="preserve"> </w:t>
      </w:r>
      <w:r>
        <w:t xml:space="preserve">→</w:t>
      </w:r>
      <w:r>
        <w:t xml:space="preserve"> </w:t>
      </w:r>
      <w:r>
        <w:t xml:space="preserve">“</w:t>
      </w:r>
      <w:r>
        <w:t xml:space="preserve">am,</w:t>
      </w:r>
      <w:r>
        <w:t xml:space="preserve">”</w:t>
      </w:r>
      <w:r>
        <w:t xml:space="preserve"> </w:t>
      </w:r>
      <w:r>
        <w:t xml:space="preserve">“</w:t>
      </w:r>
      <w:r>
        <w:t xml:space="preserve">yuṣmad + am.</w:t>
      </w:r>
      <w:r>
        <w:t xml:space="preserve">”</w:t>
      </w:r>
      <w:r>
        <w:t xml:space="preserve"> </w:t>
      </w:r>
      <w:r>
        <w:rPr>
          <w:bCs/>
          <w:b/>
        </w:rPr>
        <w:t xml:space="preserve">त्वाहौ सौ</w:t>
      </w:r>
      <w:r>
        <w:t xml:space="preserve"> </w:t>
      </w:r>
      <w:r>
        <w:t xml:space="preserve">(पा. ७-२-९४; division</w:t>
      </w:r>
      <w:r>
        <w:t xml:space="preserve"> </w:t>
      </w:r>
      <w:r>
        <w:t xml:space="preserve">“</w:t>
      </w:r>
      <w:r>
        <w:t xml:space="preserve">tvāhau — sau</w:t>
      </w:r>
      <w:r>
        <w:t xml:space="preserve">”</w:t>
      </w:r>
      <w:r>
        <w:t xml:space="preserve">), with</w:t>
      </w:r>
      <w:r>
        <w:t xml:space="preserve"> </w:t>
      </w:r>
      <w:r>
        <w:rPr>
          <w:bCs/>
          <w:b/>
        </w:rPr>
        <w:t xml:space="preserve">मपर्यन्तस्य</w:t>
      </w:r>
      <w:r>
        <w:t xml:space="preserve"> </w:t>
      </w:r>
      <w:r>
        <w:t xml:space="preserve">(पा. ७-२-९१) continued as the governing rule and</w:t>
      </w:r>
      <w:r>
        <w:t xml:space="preserve"> </w:t>
      </w:r>
      <w:r>
        <w:t xml:space="preserve">“</w:t>
      </w:r>
      <w:r>
        <w:t xml:space="preserve">yuṣmadasmadoḥ</w:t>
      </w:r>
      <w:r>
        <w:t xml:space="preserve">”</w:t>
      </w:r>
      <w:r>
        <w:t xml:space="preserve"> </w:t>
      </w:r>
      <w:r>
        <w:t xml:space="preserve">continued from</w:t>
      </w:r>
      <w:r>
        <w:t xml:space="preserve"> </w:t>
      </w:r>
      <w:r>
        <w:rPr>
          <w:bCs/>
          <w:b/>
        </w:rPr>
        <w:t xml:space="preserve">युष्मदस्मदोरनादेशे</w:t>
      </w:r>
      <w:r>
        <w:t xml:space="preserve"> </w:t>
      </w:r>
      <w:r>
        <w:t xml:space="preserve">(पा. ७-२-८६): before</w:t>
      </w:r>
      <w:r>
        <w:t xml:space="preserve"> </w:t>
      </w:r>
      <w:r>
        <w:t xml:space="preserve">“</w:t>
      </w:r>
      <w:r>
        <w:t xml:space="preserve">su</w:t>
      </w:r>
      <w:r>
        <w:t xml:space="preserve">”</w:t>
      </w:r>
      <w:r>
        <w:t xml:space="preserve"> </w:t>
      </w:r>
      <w:r>
        <w:t xml:space="preserve">the part of</w:t>
      </w:r>
      <w:r>
        <w:t xml:space="preserve"> </w:t>
      </w:r>
      <w:r>
        <w:t xml:space="preserve">“</w:t>
      </w:r>
      <w:r>
        <w:t xml:space="preserve">yuṣmad/asmad</w:t>
      </w:r>
      <w:r>
        <w:t xml:space="preserve">”</w:t>
      </w:r>
      <w:r>
        <w:t xml:space="preserve"> </w:t>
      </w:r>
      <w:r>
        <w:t xml:space="preserve">up to</w:t>
      </w:r>
      <w:r>
        <w:t xml:space="preserve"> </w:t>
      </w:r>
      <w:r>
        <w:t xml:space="preserve">“</w:t>
      </w:r>
      <w:r>
        <w:t xml:space="preserve">m</w:t>
      </w:r>
      <w:r>
        <w:t xml:space="preserve">”</w:t>
      </w:r>
      <w:r>
        <w:t xml:space="preserve"> </w:t>
      </w:r>
      <w:r>
        <w:t xml:space="preserve">—</w:t>
      </w:r>
      <w:r>
        <w:t xml:space="preserve"> </w:t>
      </w:r>
      <w:r>
        <w:t xml:space="preserve">“</w:t>
      </w:r>
      <w:r>
        <w:t xml:space="preserve">yuṣm/asm</w:t>
      </w:r>
      <w:r>
        <w:t xml:space="preserve">”</w:t>
      </w:r>
      <w:r>
        <w:t xml:space="preserve"> </w:t>
      </w:r>
      <w:r>
        <w:t xml:space="preserve">— is replaced by</w:t>
      </w:r>
      <w:r>
        <w:t xml:space="preserve"> </w:t>
      </w:r>
      <w:r>
        <w:t xml:space="preserve">“</w:t>
      </w:r>
      <w:r>
        <w:t xml:space="preserve">tva/aha</w:t>
      </w:r>
      <w:r>
        <w:t xml:space="preserve">”</w:t>
      </w:r>
      <w:r>
        <w:t xml:space="preserve"> </w:t>
      </w:r>
      <w:r>
        <w:t xml:space="preserve">→</w:t>
      </w:r>
      <w:r>
        <w:t xml:space="preserve"> </w:t>
      </w:r>
      <w:r>
        <w:t xml:space="preserve">“</w:t>
      </w:r>
      <w:r>
        <w:t xml:space="preserve">tva + ad + am</w:t>
      </w:r>
      <w:r>
        <w:t xml:space="preserve">”</w:t>
      </w:r>
      <w:r>
        <w:t xml:space="preserve">;</w:t>
      </w:r>
      <w:r>
        <w:t xml:space="preserve"> </w:t>
      </w:r>
      <w:r>
        <w:rPr>
          <w:bCs/>
          <w:b/>
        </w:rPr>
        <w:t xml:space="preserve">अतो गुणे</w:t>
      </w:r>
      <w:r>
        <w:t xml:space="preserve"> </w:t>
      </w:r>
      <w:r>
        <w:t xml:space="preserve">(पा. ६-१-९७) gives pararūpa →</w:t>
      </w:r>
      <w:r>
        <w:t xml:space="preserve"> </w:t>
      </w:r>
      <w:r>
        <w:t xml:space="preserve">“</w:t>
      </w:r>
      <w:r>
        <w:t xml:space="preserve">tvad + am.</w:t>
      </w:r>
      <w:r>
        <w:t xml:space="preserve">”</w:t>
      </w:r>
      <w:r>
        <w:t xml:space="preserve"> </w:t>
      </w:r>
      <w:r>
        <w:rPr>
          <w:bCs/>
          <w:b/>
        </w:rPr>
        <w:t xml:space="preserve">शेषे लोपः</w:t>
      </w:r>
      <w:r>
        <w:t xml:space="preserve"> </w:t>
      </w:r>
      <w:r>
        <w:t xml:space="preserve">(पा. ७-२-९०; division</w:t>
      </w:r>
      <w:r>
        <w:t xml:space="preserve"> </w:t>
      </w:r>
      <w:r>
        <w:t xml:space="preserve">“</w:t>
      </w:r>
      <w:r>
        <w:t xml:space="preserve">śeṣe — lopaḥ</w:t>
      </w:r>
      <w:r>
        <w:t xml:space="preserve">”</w:t>
      </w:r>
      <w:r>
        <w:t xml:space="preserve">), with</w:t>
      </w:r>
      <w:r>
        <w:t xml:space="preserve"> </w:t>
      </w:r>
      <w:r>
        <w:t xml:space="preserve">“</w:t>
      </w:r>
      <w:r>
        <w:t xml:space="preserve">vibhaktau</w:t>
      </w:r>
      <w:r>
        <w:t xml:space="preserve">”</w:t>
      </w:r>
      <w:r>
        <w:t xml:space="preserve"> </w:t>
      </w:r>
      <w:r>
        <w:t xml:space="preserve">continued from</w:t>
      </w:r>
      <w:r>
        <w:t xml:space="preserve"> </w:t>
      </w:r>
      <w:r>
        <w:rPr>
          <w:bCs/>
          <w:b/>
        </w:rPr>
        <w:t xml:space="preserve">अष्टन आ विभक्तौ</w:t>
      </w:r>
      <w:r>
        <w:t xml:space="preserve"> </w:t>
      </w:r>
      <w:r>
        <w:t xml:space="preserve">(पा. ७-२-८४):</w:t>
      </w:r>
      <w:r>
        <w:t xml:space="preserve"> </w:t>
      </w:r>
      <w:r>
        <w:t xml:space="preserve">“</w:t>
      </w:r>
      <w:r>
        <w:t xml:space="preserve">śeṣa</w:t>
      </w:r>
      <w:r>
        <w:t xml:space="preserve">”</w:t>
      </w:r>
      <w:r>
        <w:t xml:space="preserve"> </w:t>
      </w:r>
      <w:r>
        <w:t xml:space="preserve">means</w:t>
      </w:r>
      <w:r>
        <w:t xml:space="preserve"> </w:t>
      </w:r>
      <w:r>
        <w:t xml:space="preserve">“</w:t>
      </w:r>
      <w:r>
        <w:t xml:space="preserve">other than what was stated before</w:t>
      </w:r>
      <w:r>
        <w:t xml:space="preserve">”</w:t>
      </w:r>
      <w:r>
        <w:t xml:space="preserve"> </w:t>
      </w:r>
      <w:r>
        <w:t xml:space="preserve">— before this sūtra</w:t>
      </w:r>
      <w:r>
        <w:t xml:space="preserve"> </w:t>
      </w:r>
      <w:r>
        <w:rPr>
          <w:bCs/>
          <w:b/>
        </w:rPr>
        <w:t xml:space="preserve">युष्मदस्मदोरनादेशे</w:t>
      </w:r>
      <w:r>
        <w:t xml:space="preserve"> </w:t>
      </w:r>
      <w:r>
        <w:t xml:space="preserve">(पा. ७-२-८६),</w:t>
      </w:r>
      <w:r>
        <w:t xml:space="preserve"> </w:t>
      </w:r>
      <w:r>
        <w:rPr>
          <w:bCs/>
          <w:b/>
        </w:rPr>
        <w:t xml:space="preserve">द्वितीयायां च</w:t>
      </w:r>
      <w:r>
        <w:t xml:space="preserve"> </w:t>
      </w:r>
      <w:r>
        <w:t xml:space="preserve">(पा. ७-२-८७) and</w:t>
      </w:r>
      <w:r>
        <w:t xml:space="preserve"> </w:t>
      </w:r>
      <w:r>
        <w:rPr>
          <w:bCs/>
          <w:b/>
        </w:rPr>
        <w:t xml:space="preserve">प्रथमायाश्च द्विवचने भाषायाम्</w:t>
      </w:r>
      <w:r>
        <w:t xml:space="preserve"> </w:t>
      </w:r>
      <w:r>
        <w:t xml:space="preserve">(पा. ७-२-८८) prescribe the substitute</w:t>
      </w:r>
      <w:r>
        <w:t xml:space="preserve"> </w:t>
      </w:r>
      <w:r>
        <w:t xml:space="preserve">“</w:t>
      </w:r>
      <w:r>
        <w:t xml:space="preserve">ā,</w:t>
      </w:r>
      <w:r>
        <w:t xml:space="preserve">”</w:t>
      </w:r>
      <w:r>
        <w:t xml:space="preserve"> </w:t>
      </w:r>
      <w:r>
        <w:t xml:space="preserve">and</w:t>
      </w:r>
      <w:r>
        <w:t xml:space="preserve"> </w:t>
      </w:r>
      <w:r>
        <w:rPr>
          <w:bCs/>
          <w:b/>
        </w:rPr>
        <w:t xml:space="preserve">योऽचि</w:t>
      </w:r>
      <w:r>
        <w:t xml:space="preserve"> </w:t>
      </w:r>
      <w:r>
        <w:t xml:space="preserve">(पा. ७-२-८९) the substitute</w:t>
      </w:r>
      <w:r>
        <w:t xml:space="preserve"> </w:t>
      </w:r>
      <w:r>
        <w:t xml:space="preserve">“</w:t>
      </w:r>
      <w:r>
        <w:t xml:space="preserve">y,</w:t>
      </w:r>
      <w:r>
        <w:t xml:space="preserve">”</w:t>
      </w:r>
      <w:r>
        <w:t xml:space="preserve"> </w:t>
      </w:r>
      <w:r>
        <w:t xml:space="preserve">in some cases — so</w:t>
      </w:r>
      <w:r>
        <w:t xml:space="preserve"> </w:t>
      </w:r>
      <w:r>
        <w:t xml:space="preserve">“</w:t>
      </w:r>
      <w:r>
        <w:t xml:space="preserve">śeṣe vibhaktau</w:t>
      </w:r>
      <w:r>
        <w:t xml:space="preserve">”</w:t>
      </w:r>
      <w:r>
        <w:t xml:space="preserve"> </w:t>
      </w:r>
      <w:r>
        <w:t xml:space="preserve">is a case-ending that is not the cause of the</w:t>
      </w:r>
      <w:r>
        <w:t xml:space="preserve"> </w:t>
      </w:r>
      <w:r>
        <w:t xml:space="preserve">“</w:t>
      </w:r>
      <w:r>
        <w:t xml:space="preserve">ā</w:t>
      </w:r>
      <w:r>
        <w:t xml:space="preserve">”</w:t>
      </w:r>
      <w:r>
        <w:t xml:space="preserve"> </w:t>
      </w:r>
      <w:r>
        <w:t xml:space="preserve">or</w:t>
      </w:r>
      <w:r>
        <w:t xml:space="preserve"> </w:t>
      </w:r>
      <w:r>
        <w:t xml:space="preserve">“</w:t>
      </w:r>
      <w:r>
        <w:t xml:space="preserve">y</w:t>
      </w:r>
      <w:r>
        <w:t xml:space="preserve">”</w:t>
      </w:r>
      <w:r>
        <w:t xml:space="preserve"> </w:t>
      </w:r>
      <w:r>
        <w:t xml:space="preserve">substitutes, and before it the final of</w:t>
      </w:r>
      <w:r>
        <w:t xml:space="preserve"> </w:t>
      </w:r>
      <w:r>
        <w:t xml:space="preserve">“</w:t>
      </w:r>
      <w:r>
        <w:t xml:space="preserve">yuṣmad/asmad</w:t>
      </w:r>
      <w:r>
        <w:t xml:space="preserve">”</w:t>
      </w:r>
      <w:r>
        <w:t xml:space="preserve"> </w:t>
      </w:r>
      <w:r>
        <w:t xml:space="preserve">is elided: this is one sense.</w:t>
      </w:r>
    </w:p>
    <w:p>
      <w:pPr>
        <w:pStyle w:val="BodyText"/>
      </w:pPr>
      <w:r>
        <w:rPr>
          <w:bCs/>
          <w:b/>
        </w:rPr>
        <w:t xml:space="preserve">p. 179.</w:t>
      </w:r>
      <w:r>
        <w:t xml:space="preserve"> </w:t>
      </w:r>
      <w:r>
        <w:t xml:space="preserve">In the other sense, by</w:t>
      </w:r>
      <w:r>
        <w:t xml:space="preserve"> </w:t>
      </w:r>
      <w:r>
        <w:rPr>
          <w:bCs/>
          <w:b/>
        </w:rPr>
        <w:t xml:space="preserve">विवक्षातः कारकाणि भवन्ति</w:t>
      </w:r>
      <w:r>
        <w:t xml:space="preserve"> </w:t>
      </w:r>
      <w:r>
        <w:t xml:space="preserve">(</w:t>
      </w:r>
      <w:r>
        <w:t xml:space="preserve">“</w:t>
      </w:r>
      <w:r>
        <w:t xml:space="preserve">the kārakas follow the speaker’s intention</w:t>
      </w:r>
      <w:r>
        <w:t xml:space="preserve">”</w:t>
      </w:r>
      <w:r>
        <w:t xml:space="preserve">) the sixth-case sense (</w:t>
      </w:r>
      <w:r>
        <w:t xml:space="preserve">“</w:t>
      </w:r>
      <w:r>
        <w:t xml:space="preserve">place</w:t>
      </w:r>
      <w:r>
        <w:t xml:space="preserve">”</w:t>
      </w:r>
      <w:r>
        <w:t xml:space="preserve">) is intended as the locative sense (</w:t>
      </w:r>
      <w:r>
        <w:t xml:space="preserve">“</w:t>
      </w:r>
      <w:r>
        <w:t xml:space="preserve">location</w:t>
      </w:r>
      <w:r>
        <w:t xml:space="preserve">”</w:t>
      </w:r>
      <w:r>
        <w:t xml:space="preserve">), so</w:t>
      </w:r>
      <w:r>
        <w:t xml:space="preserve"> </w:t>
      </w:r>
      <w:r>
        <w:t xml:space="preserve">“</w:t>
      </w:r>
      <w:r>
        <w:t xml:space="preserve">śeṣe</w:t>
      </w:r>
      <w:r>
        <w:t xml:space="preserve">”</w:t>
      </w:r>
      <w:r>
        <w:t xml:space="preserve"> </w:t>
      </w:r>
      <w:r>
        <w:t xml:space="preserve">stands for</w:t>
      </w:r>
      <w:r>
        <w:t xml:space="preserve"> </w:t>
      </w:r>
      <w:r>
        <w:t xml:space="preserve">“</w:t>
      </w:r>
      <w:r>
        <w:t xml:space="preserve">śeṣasya</w:t>
      </w:r>
      <w:r>
        <w:t xml:space="preserve">”</w:t>
      </w:r>
      <w:r>
        <w:t xml:space="preserve">: before such a case-ending the part of</w:t>
      </w:r>
      <w:r>
        <w:t xml:space="preserve"> </w:t>
      </w:r>
      <w:r>
        <w:t xml:space="preserve">“</w:t>
      </w:r>
      <w:r>
        <w:t xml:space="preserve">yuṣmad/asmad</w:t>
      </w:r>
      <w:r>
        <w:t xml:space="preserve">”</w:t>
      </w:r>
      <w:r>
        <w:t xml:space="preserve"> </w:t>
      </w:r>
      <w:r>
        <w:t xml:space="preserve">remaining after the part up to</w:t>
      </w:r>
      <w:r>
        <w:t xml:space="preserve"> </w:t>
      </w:r>
      <w:r>
        <w:t xml:space="preserve">“</w:t>
      </w:r>
      <w:r>
        <w:t xml:space="preserve">m</w:t>
      </w:r>
      <w:r>
        <w:t xml:space="preserve">”</w:t>
      </w:r>
      <w:r>
        <w:t xml:space="preserve"> </w:t>
      </w:r>
      <w:r>
        <w:t xml:space="preserve">is elided. In</w:t>
      </w:r>
      <w:r>
        <w:t xml:space="preserve"> </w:t>
      </w:r>
      <w:r>
        <w:t xml:space="preserve">“</w:t>
      </w:r>
      <w:r>
        <w:t xml:space="preserve">tvad + am,</w:t>
      </w:r>
      <w:r>
        <w:t xml:space="preserve">”</w:t>
      </w:r>
      <w:r>
        <w:t xml:space="preserve"> </w:t>
      </w:r>
      <w:r>
        <w:t xml:space="preserve">by the first sense the final is elided,</w:t>
      </w:r>
      <w:r>
        <w:t xml:space="preserve"> </w:t>
      </w:r>
      <w:r>
        <w:t xml:space="preserve">“</w:t>
      </w:r>
      <w:r>
        <w:t xml:space="preserve">tva + am,</w:t>
      </w:r>
      <w:r>
        <w:t xml:space="preserve">”</w:t>
      </w:r>
      <w:r>
        <w:t xml:space="preserve"> </w:t>
      </w:r>
      <w:r>
        <w:t xml:space="preserve">and</w:t>
      </w:r>
      <w:r>
        <w:t xml:space="preserve"> </w:t>
      </w:r>
      <w:r>
        <w:rPr>
          <w:bCs/>
          <w:b/>
        </w:rPr>
        <w:t xml:space="preserve">अमि पूर्वः</w:t>
      </w:r>
      <w:r>
        <w:t xml:space="preserve"> </w:t>
      </w:r>
      <w:r>
        <w:t xml:space="preserve">(पा. ६-१-१०७) gives pūrvarūpa →</w:t>
      </w:r>
      <w:r>
        <w:t xml:space="preserve"> </w:t>
      </w:r>
      <w:r>
        <w:t xml:space="preserve">“</w:t>
      </w:r>
      <w:r>
        <w:t xml:space="preserve">tvam</w:t>
      </w:r>
      <w:r>
        <w:t xml:space="preserve">”</w:t>
      </w:r>
      <w:r>
        <w:t xml:space="preserve">; by the second sense</w:t>
      </w:r>
      <w:r>
        <w:t xml:space="preserve"> </w:t>
      </w:r>
      <w:r>
        <w:t xml:space="preserve">“</w:t>
      </w:r>
      <w:r>
        <w:t xml:space="preserve">ad</w:t>
      </w:r>
      <w:r>
        <w:t xml:space="preserve">”</w:t>
      </w:r>
      <w:r>
        <w:t xml:space="preserve"> </w:t>
      </w:r>
      <w:r>
        <w:t xml:space="preserve">is elided,</w:t>
      </w:r>
      <w:r>
        <w:t xml:space="preserve"> </w:t>
      </w:r>
      <w:r>
        <w:t xml:space="preserve">“</w:t>
      </w:r>
      <w:r>
        <w:t xml:space="preserve">tv + am</w:t>
      </w:r>
      <w:r>
        <w:t xml:space="preserve">”</w:t>
      </w:r>
      <w:r>
        <w:t xml:space="preserve"> </w:t>
      </w:r>
      <w:r>
        <w:t xml:space="preserve">=</w:t>
      </w:r>
      <w:r>
        <w:t xml:space="preserve"> </w:t>
      </w:r>
      <w:r>
        <w:t xml:space="preserve">“</w:t>
      </w:r>
      <w:r>
        <w:t xml:space="preserve">tvam.</w:t>
      </w:r>
      <w:r>
        <w:t xml:space="preserve">”</w:t>
      </w:r>
      <w:r>
        <w:t xml:space="preserve"> </w:t>
      </w:r>
      <w:r>
        <w:t xml:space="preserve">Either way</w:t>
      </w:r>
      <w:r>
        <w:t xml:space="preserve"> </w:t>
      </w:r>
      <w:r>
        <w:t xml:space="preserve">“</w:t>
      </w:r>
      <w:r>
        <w:t xml:space="preserve">tvam</w:t>
      </w:r>
      <w:r>
        <w:t xml:space="preserve">”</w:t>
      </w:r>
      <w:r>
        <w:t xml:space="preserve"> </w:t>
      </w:r>
      <w:r>
        <w:t xml:space="preserve">results. Accent: in</w:t>
      </w:r>
      <w:r>
        <w:t xml:space="preserve"> </w:t>
      </w:r>
      <w:r>
        <w:t xml:space="preserve">“</w:t>
      </w:r>
      <w:r>
        <w:t xml:space="preserve">yuṣmad,</w:t>
      </w:r>
      <w:r>
        <w:t xml:space="preserve">”</w:t>
      </w:r>
      <w:r>
        <w:t xml:space="preserve"> </w:t>
      </w:r>
      <w:r>
        <w:t xml:space="preserve">on the derivation view the</w:t>
      </w:r>
      <w:r>
        <w:t xml:space="preserve"> </w:t>
      </w:r>
      <w:r>
        <w:t xml:space="preserve">“</w:t>
      </w:r>
      <w:r>
        <w:t xml:space="preserve">a</w:t>
      </w:r>
      <w:r>
        <w:t xml:space="preserve">”</w:t>
      </w:r>
      <w:r>
        <w:t xml:space="preserve"> </w:t>
      </w:r>
      <w:r>
        <w:t xml:space="preserve">of</w:t>
      </w:r>
      <w:r>
        <w:t xml:space="preserve"> </w:t>
      </w:r>
      <w:r>
        <w:t xml:space="preserve">“</w:t>
      </w:r>
      <w:r>
        <w:t xml:space="preserve">ma</w:t>
      </w:r>
      <w:r>
        <w:t xml:space="preserve">”</w:t>
      </w:r>
      <w:r>
        <w:t xml:space="preserve"> </w:t>
      </w:r>
      <w:r>
        <w:t xml:space="preserve">is acute by the affix accent; on the non-derivation view it is acute by</w:t>
      </w:r>
      <w:r>
        <w:t xml:space="preserve"> </w:t>
      </w:r>
      <w:r>
        <w:rPr>
          <w:bCs/>
          <w:b/>
        </w:rPr>
        <w:t xml:space="preserve">फिषोऽन्त उदात्तः</w:t>
      </w:r>
      <w:r>
        <w:t xml:space="preserve"> </w:t>
      </w:r>
      <w:r>
        <w:t xml:space="preserve">(फि. सू. १-१); in both,</w:t>
      </w:r>
      <w:r>
        <w:t xml:space="preserve"> </w:t>
      </w:r>
      <w:r>
        <w:t xml:space="preserve">“</w:t>
      </w:r>
      <w:r>
        <w:t xml:space="preserve">yu</w:t>
      </w:r>
      <w:r>
        <w:t xml:space="preserve">”</w:t>
      </w:r>
      <w:r>
        <w:t xml:space="preserve"> </w:t>
      </w:r>
      <w:r>
        <w:t xml:space="preserve">is unaccented by the</w:t>
      </w:r>
      <w:r>
        <w:t xml:space="preserve"> </w:t>
      </w:r>
      <w:r>
        <w:t xml:space="preserve">“</w:t>
      </w:r>
      <w:r>
        <w:t xml:space="preserve">śeṣa</w:t>
      </w:r>
      <w:r>
        <w:t xml:space="preserve">”</w:t>
      </w:r>
      <w:r>
        <w:t xml:space="preserve"> </w:t>
      </w:r>
      <w:r>
        <w:t xml:space="preserve">rule; the</w:t>
      </w:r>
      <w:r>
        <w:t xml:space="preserve"> </w:t>
      </w:r>
      <w:r>
        <w:t xml:space="preserve">“</w:t>
      </w:r>
      <w:r>
        <w:t xml:space="preserve">am</w:t>
      </w:r>
      <w:r>
        <w:t xml:space="preserve">”</w:t>
      </w:r>
      <w:r>
        <w:t xml:space="preserve"> </w:t>
      </w:r>
      <w:r>
        <w:t xml:space="preserve">in the place of the</w:t>
      </w:r>
      <w:r>
        <w:t xml:space="preserve"> </w:t>
      </w:r>
      <w:r>
        <w:t xml:space="preserve">“</w:t>
      </w:r>
      <w:r>
        <w:t xml:space="preserve">su</w:t>
      </w:r>
      <w:r>
        <w:t xml:space="preserve">”</w:t>
      </w:r>
      <w:r>
        <w:t xml:space="preserve"> </w:t>
      </w:r>
      <w:r>
        <w:t xml:space="preserve">ending is unaccented by sthānivadbhāva (</w:t>
      </w:r>
      <w:r>
        <w:rPr>
          <w:bCs/>
          <w:b/>
        </w:rPr>
        <w:t xml:space="preserve">अनुदात्तौ सुप्पितौ</w:t>
      </w:r>
      <w:r>
        <w:t xml:space="preserve">); the substitute</w:t>
      </w:r>
      <w:r>
        <w:t xml:space="preserve"> </w:t>
      </w:r>
      <w:r>
        <w:t xml:space="preserve">“</w:t>
      </w:r>
      <w:r>
        <w:t xml:space="preserve">tva</w:t>
      </w:r>
      <w:r>
        <w:t xml:space="preserve">”</w:t>
      </w:r>
      <w:r>
        <w:t xml:space="preserve"> </w:t>
      </w:r>
      <w:r>
        <w:t xml:space="preserve">for</w:t>
      </w:r>
      <w:r>
        <w:t xml:space="preserve"> </w:t>
      </w:r>
      <w:r>
        <w:t xml:space="preserve">“</w:t>
      </w:r>
      <w:r>
        <w:t xml:space="preserve">yuṣm</w:t>
      </w:r>
      <w:r>
        <w:t xml:space="preserve">”</w:t>
      </w:r>
      <w:r>
        <w:t xml:space="preserve"> </w:t>
      </w:r>
      <w:r>
        <w:t xml:space="preserve">is unaccented by sthānivadbhāva; the</w:t>
      </w:r>
      <w:r>
        <w:t xml:space="preserve"> </w:t>
      </w:r>
      <w:r>
        <w:t xml:space="preserve">“</w:t>
      </w:r>
      <w:r>
        <w:t xml:space="preserve">a</w:t>
      </w:r>
      <w:r>
        <w:t xml:space="preserve">”</w:t>
      </w:r>
      <w:r>
        <w:t xml:space="preserve"> </w:t>
      </w:r>
      <w:r>
        <w:t xml:space="preserve">from the pararūpa of</w:t>
      </w:r>
      <w:r>
        <w:t xml:space="preserve"> </w:t>
      </w:r>
      <w:r>
        <w:t xml:space="preserve">“</w:t>
      </w:r>
      <w:r>
        <w:t xml:space="preserve">tva + ad</w:t>
      </w:r>
      <w:r>
        <w:t xml:space="preserve">”</w:t>
      </w:r>
      <w:r>
        <w:t xml:space="preserve"> </w:t>
      </w:r>
      <w:r>
        <w:t xml:space="preserve">is acute by</w:t>
      </w:r>
      <w:r>
        <w:t xml:space="preserve"> </w:t>
      </w:r>
      <w:r>
        <w:rPr>
          <w:bCs/>
          <w:b/>
        </w:rPr>
        <w:t xml:space="preserve">एकादेश उदात्तेनोदात्तः</w:t>
      </w:r>
      <w:r>
        <w:t xml:space="preserve">. Where the</w:t>
      </w:r>
      <w:r>
        <w:t xml:space="preserve"> </w:t>
      </w:r>
      <w:r>
        <w:t xml:space="preserve">“</w:t>
      </w:r>
      <w:r>
        <w:t xml:space="preserve">d</w:t>
      </w:r>
      <w:r>
        <w:t xml:space="preserve">”</w:t>
      </w:r>
      <w:r>
        <w:t xml:space="preserve"> </w:t>
      </w:r>
      <w:r>
        <w:t xml:space="preserve">alone is elided by</w:t>
      </w:r>
      <w:r>
        <w:t xml:space="preserve"> </w:t>
      </w:r>
      <w:r>
        <w:rPr>
          <w:bCs/>
          <w:b/>
        </w:rPr>
        <w:t xml:space="preserve">शेषे लोपः</w:t>
      </w:r>
      <w:r>
        <w:t xml:space="preserve">, the single substitute by pūrvarūpa of</w:t>
      </w:r>
      <w:r>
        <w:t xml:space="preserve"> </w:t>
      </w:r>
      <w:r>
        <w:t xml:space="preserve">“</w:t>
      </w:r>
      <w:r>
        <w:t xml:space="preserve">tva + am</w:t>
      </w:r>
      <w:r>
        <w:t xml:space="preserve">”</w:t>
      </w:r>
      <w:r>
        <w:t xml:space="preserve"> </w:t>
      </w:r>
      <w:r>
        <w:t xml:space="preserve">is acute as before; where</w:t>
      </w:r>
      <w:r>
        <w:t xml:space="preserve"> </w:t>
      </w:r>
      <w:r>
        <w:t xml:space="preserve">“</w:t>
      </w:r>
      <w:r>
        <w:t xml:space="preserve">ad</w:t>
      </w:r>
      <w:r>
        <w:t xml:space="preserve">”</w:t>
      </w:r>
      <w:r>
        <w:t xml:space="preserve"> </w:t>
      </w:r>
      <w:r>
        <w:t xml:space="preserve">is elided, since the acute</w:t>
      </w:r>
      <w:r>
        <w:t xml:space="preserve"> </w:t>
      </w:r>
      <w:r>
        <w:t xml:space="preserve">“</w:t>
      </w:r>
      <w:r>
        <w:t xml:space="preserve">ad</w:t>
      </w:r>
      <w:r>
        <w:t xml:space="preserve">”</w:t>
      </w:r>
      <w:r>
        <w:t xml:space="preserve"> </w:t>
      </w:r>
      <w:r>
        <w:t xml:space="preserve">is elided,</w:t>
      </w:r>
      <w:r>
        <w:t xml:space="preserve"> </w:t>
      </w:r>
      <w:r>
        <w:rPr>
          <w:bCs/>
          <w:b/>
        </w:rPr>
        <w:t xml:space="preserve">अनुदात्तस्य च यत्रोदात्तलोपः</w:t>
      </w:r>
      <w:r>
        <w:t xml:space="preserve"> </w:t>
      </w:r>
      <w:r>
        <w:t xml:space="preserve">(पा. ६-१-१६१) makes the unaccented</w:t>
      </w:r>
      <w:r>
        <w:t xml:space="preserve"> </w:t>
      </w:r>
      <w:r>
        <w:t xml:space="preserve">“</w:t>
      </w:r>
      <w:r>
        <w:t xml:space="preserve">am,</w:t>
      </w:r>
      <w:r>
        <w:t xml:space="preserve">”</w:t>
      </w:r>
      <w:r>
        <w:t xml:space="preserve"> </w:t>
      </w:r>
      <w:r>
        <w:t xml:space="preserve">which caused the elision of the acute, acute.</w:t>
      </w:r>
    </w:p>
    <w:p>
      <w:pPr>
        <w:pStyle w:val="BodyText"/>
      </w:pPr>
      <w:r>
        <w:rPr>
          <w:bCs/>
          <w:b/>
        </w:rPr>
        <w:t xml:space="preserve">“</w:t>
      </w:r>
      <w:r>
        <w:rPr>
          <w:bCs/>
          <w:b/>
        </w:rPr>
        <w:t xml:space="preserve">Sutasya</w:t>
      </w:r>
      <w:r>
        <w:rPr>
          <w:bCs/>
          <w:b/>
        </w:rPr>
        <w:t xml:space="preserve">”</w:t>
      </w:r>
      <w:r>
        <w:t xml:space="preserve"> </w:t>
      </w:r>
      <w:r>
        <w:t xml:space="preserve">—</w:t>
      </w:r>
      <w:r>
        <w:t xml:space="preserve"> </w:t>
      </w:r>
      <w:r>
        <w:t xml:space="preserve">“</w:t>
      </w:r>
      <w:r>
        <w:t xml:space="preserve">ṣuñ abhiṣave</w:t>
      </w:r>
      <w:r>
        <w:t xml:space="preserve">”</w:t>
      </w:r>
      <w:r>
        <w:t xml:space="preserve"> </w:t>
      </w:r>
      <w:r>
        <w:t xml:space="preserve">(to press out);</w:t>
      </w:r>
      <w:r>
        <w:t xml:space="preserve"> </w:t>
      </w:r>
      <w:r>
        <w:rPr>
          <w:bCs/>
          <w:b/>
        </w:rPr>
        <w:t xml:space="preserve">निष्ठा</w:t>
      </w:r>
      <w:r>
        <w:t xml:space="preserve"> </w:t>
      </w:r>
      <w:r>
        <w:t xml:space="preserve">(पा. ३-२-१०२) the affixes</w:t>
      </w:r>
      <w:r>
        <w:t xml:space="preserve"> </w:t>
      </w:r>
      <w:r>
        <w:t xml:space="preserve">“</w:t>
      </w:r>
      <w:r>
        <w:t xml:space="preserve">kta</w:t>
      </w:r>
      <w:r>
        <w:t xml:space="preserve">”</w:t>
      </w:r>
      <w:r>
        <w:t xml:space="preserve"> </w:t>
      </w:r>
      <w:r>
        <w:t xml:space="preserve">and</w:t>
      </w:r>
      <w:r>
        <w:t xml:space="preserve"> </w:t>
      </w:r>
      <w:r>
        <w:t xml:space="preserve">“</w:t>
      </w:r>
      <w:r>
        <w:t xml:space="preserve">ktavatu</w:t>
      </w:r>
      <w:r>
        <w:t xml:space="preserve">”</w:t>
      </w:r>
      <w:r>
        <w:t xml:space="preserve"> </w:t>
      </w:r>
      <w:r>
        <w:t xml:space="preserve">in the past sense, here</w:t>
      </w:r>
      <w:r>
        <w:t xml:space="preserve"> </w:t>
      </w:r>
      <w:r>
        <w:t xml:space="preserve">“</w:t>
      </w:r>
      <w:r>
        <w:t xml:space="preserve">kta</w:t>
      </w:r>
      <w:r>
        <w:t xml:space="preserve">”</w:t>
      </w:r>
      <w:r>
        <w:t xml:space="preserve">;</w:t>
      </w:r>
      <w:r>
        <w:t xml:space="preserve"> </w:t>
      </w:r>
      <w:r>
        <w:t xml:space="preserve">“</w:t>
      </w:r>
      <w:r>
        <w:t xml:space="preserve">k</w:t>
      </w:r>
      <w:r>
        <w:t xml:space="preserve">”</w:t>
      </w:r>
      <w:r>
        <w:t xml:space="preserve"> </w:t>
      </w:r>
      <w:r>
        <w:t xml:space="preserve">is an</w:t>
      </w:r>
      <w:r>
        <w:t xml:space="preserve"> </w:t>
      </w:r>
      <w:r>
        <w:t xml:space="preserve">“</w:t>
      </w:r>
      <w:r>
        <w:t xml:space="preserve">it</w:t>
      </w:r>
      <w:r>
        <w:t xml:space="preserve">”</w:t>
      </w:r>
      <w:r>
        <w:t xml:space="preserve">;</w:t>
      </w:r>
      <w:r>
        <w:t xml:space="preserve"> </w:t>
      </w:r>
      <w:r>
        <w:rPr>
          <w:bCs/>
          <w:b/>
        </w:rPr>
        <w:t xml:space="preserve">धात्वादेः षः सः</w:t>
      </w:r>
      <w:r>
        <w:t xml:space="preserve"> </w:t>
      </w:r>
      <w:r>
        <w:t xml:space="preserve">(पा. ६-१-६४) →</w:t>
      </w:r>
      <w:r>
        <w:t xml:space="preserve"> </w:t>
      </w:r>
      <w:r>
        <w:t xml:space="preserve">“</w:t>
      </w:r>
      <w:r>
        <w:t xml:space="preserve">suta</w:t>
      </w:r>
      <w:r>
        <w:t xml:space="preserve">”</w:t>
      </w:r>
      <w:r>
        <w:t xml:space="preserve">; the sixth-case singular</w:t>
      </w:r>
      <w:r>
        <w:t xml:space="preserve"> </w:t>
      </w:r>
      <w:r>
        <w:t xml:space="preserve">“</w:t>
      </w:r>
      <w:r>
        <w:t xml:space="preserve">ṅas,</w:t>
      </w:r>
      <w:r>
        <w:t xml:space="preserve">”</w:t>
      </w:r>
      <w:r>
        <w:t xml:space="preserve"> </w:t>
      </w:r>
      <w:r>
        <w:t xml:space="preserve">with</w:t>
      </w:r>
      <w:r>
        <w:t xml:space="preserve"> </w:t>
      </w:r>
      <w:r>
        <w:rPr>
          <w:bCs/>
          <w:b/>
        </w:rPr>
        <w:t xml:space="preserve">टाङसिङसामिनात्स्याः</w:t>
      </w:r>
      <w:r>
        <w:t xml:space="preserve"> </w:t>
      </w:r>
      <w:r>
        <w:t xml:space="preserve">(पा. ७-१-१२) —</w:t>
      </w:r>
      <w:r>
        <w:t xml:space="preserve"> </w:t>
      </w:r>
      <w:r>
        <w:t xml:space="preserve">“</w:t>
      </w:r>
      <w:r>
        <w:t xml:space="preserve">ṭā, ṅasi, ṅas</w:t>
      </w:r>
      <w:r>
        <w:t xml:space="preserve">”</w:t>
      </w:r>
      <w:r>
        <w:t xml:space="preserve"> </w:t>
      </w:r>
      <w:r>
        <w:t xml:space="preserve">are replaced by</w:t>
      </w:r>
      <w:r>
        <w:t xml:space="preserve"> </w:t>
      </w:r>
      <w:r>
        <w:t xml:space="preserve">“</w:t>
      </w:r>
      <w:r>
        <w:t xml:space="preserve">ina, āt, sya</w:t>
      </w:r>
      <w:r>
        <w:t xml:space="preserve">”</w:t>
      </w:r>
      <w:r>
        <w:t xml:space="preserve"> </w:t>
      </w:r>
      <w:r>
        <w:t xml:space="preserve">after a stem ending in</w:t>
      </w:r>
      <w:r>
        <w:t xml:space="preserve"> </w:t>
      </w:r>
      <w:r>
        <w:t xml:space="preserve">“</w:t>
      </w:r>
      <w:r>
        <w:t xml:space="preserve">a</w:t>
      </w:r>
      <w:r>
        <w:t xml:space="preserve">”</w:t>
      </w:r>
      <w:r>
        <w:t xml:space="preserve"> </w:t>
      </w:r>
      <w:r>
        <w:t xml:space="preserve">—</w:t>
      </w:r>
      <w:r>
        <w:t xml:space="preserve"> </w:t>
      </w:r>
      <w:r>
        <w:t xml:space="preserve">“</w:t>
      </w:r>
      <w:r>
        <w:t xml:space="preserve">ṅas</w:t>
      </w:r>
      <w:r>
        <w:t xml:space="preserve">”</w:t>
      </w:r>
      <w:r>
        <w:t xml:space="preserve"> </w:t>
      </w:r>
      <w:r>
        <w:t xml:space="preserve">→</w:t>
      </w:r>
      <w:r>
        <w:t xml:space="preserve"> </w:t>
      </w:r>
      <w:r>
        <w:t xml:space="preserve">“</w:t>
      </w:r>
      <w:r>
        <w:t xml:space="preserve">sya</w:t>
      </w:r>
      <w:r>
        <w:t xml:space="preserve">”</w:t>
      </w:r>
      <w:r>
        <w:t xml:space="preserve">:</w:t>
      </w:r>
      <w:r>
        <w:t xml:space="preserve"> </w:t>
      </w:r>
      <w:r>
        <w:t xml:space="preserve">“</w:t>
      </w:r>
      <w:r>
        <w:t xml:space="preserve">sutasya</w:t>
      </w:r>
      <w:r>
        <w:t xml:space="preserve">”</w:t>
      </w:r>
      <w:r>
        <w:t xml:space="preserve">;</w:t>
      </w:r>
      <w:r>
        <w:t xml:space="preserve"> </w:t>
      </w:r>
      <w:r>
        <w:t xml:space="preserve">“</w:t>
      </w:r>
      <w:r>
        <w:t xml:space="preserve">suta</w:t>
      </w:r>
      <w:r>
        <w:t xml:space="preserve">”</w:t>
      </w:r>
      <w:r>
        <w:t xml:space="preserve"> </w:t>
      </w:r>
      <w:r>
        <w:t xml:space="preserve">is end-acute by the</w:t>
      </w:r>
      <w:r>
        <w:t xml:space="preserve"> </w:t>
      </w:r>
      <w:r>
        <w:t xml:space="preserve">“</w:t>
      </w:r>
      <w:r>
        <w:t xml:space="preserve">kta</w:t>
      </w:r>
      <w:r>
        <w:t xml:space="preserve">”</w:t>
      </w:r>
      <w:r>
        <w:t xml:space="preserve">-affix’s accent; the ending</w:t>
      </w:r>
      <w:r>
        <w:t xml:space="preserve"> </w:t>
      </w:r>
      <w:r>
        <w:t xml:space="preserve">“</w:t>
      </w:r>
      <w:r>
        <w:t xml:space="preserve">sya,</w:t>
      </w:r>
      <w:r>
        <w:t xml:space="preserve">”</w:t>
      </w:r>
      <w:r>
        <w:t xml:space="preserve"> </w:t>
      </w:r>
      <w:r>
        <w:t xml:space="preserve">being unaccented (</w:t>
      </w:r>
      <w:r>
        <w:rPr>
          <w:bCs/>
          <w:b/>
        </w:rPr>
        <w:t xml:space="preserve">अनुदात्तौ सुप्पितौ</w:t>
      </w:r>
      <w:r>
        <w:t xml:space="preserve">, पा. ३-१-४), …</w:t>
      </w:r>
      <w:r>
        <w:t xml:space="preserve"> </w:t>
      </w:r>
      <w:r>
        <w:rPr>
          <w:iCs/>
          <w:i/>
        </w:rPr>
        <w:t xml:space="preserve">(the page ends here; continued on the next page)</w:t>
      </w:r>
      <w:r>
        <w:t xml:space="preserve">.</w:t>
      </w:r>
    </w:p>
    <w:bookmarkEnd w:id="215"/>
    <w:bookmarkStart w:id="216" w:name="X19bcec9315ffd1cfa4622b7bb1ec832ac7d4312"/>
    <w:p>
      <w:pPr>
        <w:pStyle w:val="Heading3"/>
      </w:pPr>
      <w:r>
        <w:t xml:space="preserve">Pages 180–181 — Vyākaraṇa-prakriyā for Rik 5.6 (continued) — characterized</w:t>
      </w:r>
    </w:p>
    <w:p>
      <w:pPr>
        <w:pStyle w:val="FirstParagraph"/>
      </w:pPr>
      <w:r>
        <w:rPr>
          <w:iCs/>
          <w:i/>
        </w:rPr>
        <w:t xml:space="preserve">(Page headers: p. 180</w:t>
      </w:r>
      <w:r>
        <w:rPr>
          <w:iCs/>
          <w:i/>
        </w:rPr>
        <w:t xml:space="preserve"> </w:t>
      </w:r>
      <w:r>
        <w:rPr>
          <w:iCs/>
          <w:i/>
        </w:rPr>
        <w:t xml:space="preserve">“</w:t>
      </w:r>
      <w:r>
        <w:rPr>
          <w:iCs/>
          <w:i/>
        </w:rPr>
        <w:t xml:space="preserve">Sāyaṇa-bhāṣya-sahitā · Maṇḍala 1, Anuvāka 2, Sūkta 5</w:t>
      </w:r>
      <w:r>
        <w:rPr>
          <w:iCs/>
          <w:i/>
        </w:rPr>
        <w:t xml:space="preserve">”</w:t>
      </w:r>
      <w:r>
        <w:rPr>
          <w:iCs/>
          <w:i/>
        </w:rPr>
        <w:t xml:space="preserve">; p. 181</w:t>
      </w:r>
      <w:r>
        <w:rPr>
          <w:iCs/>
          <w:i/>
        </w:rPr>
        <w:t xml:space="preserve"> </w:t>
      </w:r>
      <w:r>
        <w:rPr>
          <w:iCs/>
          <w:i/>
        </w:rPr>
        <w:t xml:space="preserve">“</w:t>
      </w:r>
      <w:r>
        <w:rPr>
          <w:iCs/>
          <w:i/>
        </w:rPr>
        <w:t xml:space="preserve">Aṣṭaka 1, Adhyāya 1, Varga 10 · Ṛgveda-saṃhitā.</w:t>
      </w:r>
      <w:r>
        <w:rPr>
          <w:iCs/>
          <w:i/>
        </w:rPr>
        <w:t xml:space="preserve">”</w:t>
      </w:r>
      <w:r>
        <w:rPr>
          <w:iCs/>
          <w:i/>
        </w:rPr>
        <w:t xml:space="preserve"> </w:t>
      </w:r>
      <w:r>
        <w:rPr>
          <w:iCs/>
          <w:i/>
        </w:rPr>
        <w:t xml:space="preserve">Pure grammar in Kannada prose for</w:t>
      </w:r>
      <w:r>
        <w:rPr>
          <w:iCs/>
          <w:i/>
        </w:rPr>
        <w:t xml:space="preserve"> </w:t>
      </w:r>
      <w:r>
        <w:rPr>
          <w:iCs/>
          <w:i/>
        </w:rPr>
        <w:t xml:space="preserve">“</w:t>
      </w:r>
      <w:r>
        <w:rPr>
          <w:iCs/>
          <w:i/>
        </w:rPr>
        <w:t xml:space="preserve">sutasya</w:t>
      </w:r>
      <w:r>
        <w:rPr>
          <w:iCs/>
          <w:i/>
        </w:rPr>
        <w:t xml:space="preserve">”</w:t>
      </w:r>
      <w:r>
        <w:rPr>
          <w:iCs/>
          <w:i/>
        </w:rPr>
        <w:t xml:space="preserve"> </w:t>
      </w:r>
      <w:r>
        <w:rPr>
          <w:iCs/>
          <w:i/>
        </w:rPr>
        <w:t xml:space="preserve">(end),</w:t>
      </w:r>
      <w:r>
        <w:rPr>
          <w:iCs/>
          <w:i/>
        </w:rPr>
        <w:t xml:space="preserve"> </w:t>
      </w:r>
      <w:r>
        <w:rPr>
          <w:iCs/>
          <w:i/>
        </w:rPr>
        <w:t xml:space="preserve">“</w:t>
      </w:r>
      <w:r>
        <w:rPr>
          <w:iCs/>
          <w:i/>
        </w:rPr>
        <w:t xml:space="preserve">pītaye,</w:t>
      </w:r>
      <w:r>
        <w:rPr>
          <w:iCs/>
          <w:i/>
        </w:rPr>
        <w:t xml:space="preserve">”</w:t>
      </w:r>
      <w:r>
        <w:rPr>
          <w:iCs/>
          <w:i/>
        </w:rPr>
        <w:t xml:space="preserve"> </w:t>
      </w:r>
      <w:r>
        <w:rPr>
          <w:iCs/>
          <w:i/>
        </w:rPr>
        <w:t xml:space="preserve">“</w:t>
      </w:r>
      <w:r>
        <w:rPr>
          <w:iCs/>
          <w:i/>
        </w:rPr>
        <w:t xml:space="preserve">sadyaḥ,</w:t>
      </w:r>
      <w:r>
        <w:rPr>
          <w:iCs/>
          <w:i/>
        </w:rPr>
        <w:t xml:space="preserve">”</w:t>
      </w:r>
      <w:r>
        <w:rPr>
          <w:iCs/>
          <w:i/>
        </w:rPr>
        <w:t xml:space="preserve"> </w:t>
      </w:r>
      <w:r>
        <w:rPr>
          <w:iCs/>
          <w:i/>
        </w:rPr>
        <w:t xml:space="preserve">“</w:t>
      </w:r>
      <w:r>
        <w:rPr>
          <w:iCs/>
          <w:i/>
        </w:rPr>
        <w:t xml:space="preserve">vṛddhaḥ,</w:t>
      </w:r>
      <w:r>
        <w:rPr>
          <w:iCs/>
          <w:i/>
        </w:rPr>
        <w:t xml:space="preserve">”</w:t>
      </w:r>
      <w:r>
        <w:rPr>
          <w:iCs/>
          <w:i/>
        </w:rPr>
        <w:t xml:space="preserve"> </w:t>
      </w:r>
      <w:r>
        <w:rPr>
          <w:iCs/>
          <w:i/>
        </w:rPr>
        <w:t xml:space="preserve">“</w:t>
      </w:r>
      <w:r>
        <w:rPr>
          <w:iCs/>
          <w:i/>
        </w:rPr>
        <w:t xml:space="preserve">ajāyathāḥ,</w:t>
      </w:r>
      <w:r>
        <w:rPr>
          <w:iCs/>
          <w:i/>
        </w:rPr>
        <w:t xml:space="preserve">”</w:t>
      </w:r>
      <w:r>
        <w:rPr>
          <w:iCs/>
          <w:i/>
        </w:rPr>
        <w:t xml:space="preserve"> </w:t>
      </w:r>
      <w:r>
        <w:rPr>
          <w:iCs/>
          <w:i/>
        </w:rPr>
        <w:t xml:space="preserve">restating the Sanskrit of p. 176; they do not bear on the sense of the Rik.</w:t>
      </w:r>
      <w:r>
        <w:rPr>
          <w:iCs/>
          <w:i/>
        </w:rPr>
        <w:t xml:space="preserve"> </w:t>
      </w:r>
      <w:r>
        <w:rPr>
          <w:bCs/>
          <w:b/>
          <w:iCs/>
          <w:i/>
        </w:rPr>
        <w:t xml:space="preserve">Characterized in outline</w:t>
      </w:r>
      <w:r>
        <w:rPr>
          <w:iCs/>
          <w:i/>
        </w:rPr>
        <w:t xml:space="preserve">, with the sūtras named kept in three layers; numbers as read from small Kannada numerals, [?] where uncertain.)</w:t>
      </w:r>
    </w:p>
    <w:p>
      <w:pPr>
        <w:pStyle w:val="BodyText"/>
      </w:pPr>
      <w:r>
        <w:rPr>
          <w:bCs/>
          <w:b/>
        </w:rPr>
        <w:t xml:space="preserve">p. 180.</w:t>
      </w:r>
      <w:r>
        <w:t xml:space="preserve"> </w:t>
      </w:r>
      <w:r>
        <w:t xml:space="preserve">-</w:t>
      </w:r>
      <w:r>
        <w:t xml:space="preserve"> </w:t>
      </w:r>
      <w:r>
        <w:rPr>
          <w:bCs/>
          <w:b/>
        </w:rPr>
        <w:t xml:space="preserve">“</w:t>
      </w:r>
      <w:r>
        <w:rPr>
          <w:bCs/>
          <w:b/>
        </w:rPr>
        <w:t xml:space="preserve">Sutasya</w:t>
      </w:r>
      <w:r>
        <w:rPr>
          <w:bCs/>
          <w:b/>
        </w:rPr>
        <w:t xml:space="preserve">”</w:t>
      </w:r>
      <w:r>
        <w:t xml:space="preserve"> </w:t>
      </w:r>
      <w:r>
        <w:rPr>
          <w:iCs/>
          <w:i/>
        </w:rPr>
        <w:t xml:space="preserve">(end)</w:t>
      </w:r>
      <w:r>
        <w:t xml:space="preserve"> </w:t>
      </w:r>
      <w:r>
        <w:t xml:space="preserve">— the substitute</w:t>
      </w:r>
      <w:r>
        <w:t xml:space="preserve"> </w:t>
      </w:r>
      <w:r>
        <w:t xml:space="preserve">“</w:t>
      </w:r>
      <w:r>
        <w:t xml:space="preserve">sya</w:t>
      </w:r>
      <w:r>
        <w:t xml:space="preserve">”</w:t>
      </w:r>
      <w:r>
        <w:t xml:space="preserve"> </w:t>
      </w:r>
      <w:r>
        <w:t xml:space="preserve">for</w:t>
      </w:r>
      <w:r>
        <w:t xml:space="preserve"> </w:t>
      </w:r>
      <w:r>
        <w:t xml:space="preserve">“</w:t>
      </w:r>
      <w:r>
        <w:t xml:space="preserve">ṅas</w:t>
      </w:r>
      <w:r>
        <w:t xml:space="preserve">”</w:t>
      </w:r>
      <w:r>
        <w:t xml:space="preserve"> </w:t>
      </w:r>
      <w:r>
        <w:t xml:space="preserve">is unaccented by sthānivadbhāva; the unaccented</w:t>
      </w:r>
      <w:r>
        <w:t xml:space="preserve"> </w:t>
      </w:r>
      <w:r>
        <w:t xml:space="preserve">“</w:t>
      </w:r>
      <w:r>
        <w:t xml:space="preserve">sya,</w:t>
      </w:r>
      <w:r>
        <w:t xml:space="preserve">”</w:t>
      </w:r>
      <w:r>
        <w:t xml:space="preserve"> </w:t>
      </w:r>
      <w:r>
        <w:t xml:space="preserve">standing after the acute</w:t>
      </w:r>
      <w:r>
        <w:t xml:space="preserve"> </w:t>
      </w:r>
      <w:r>
        <w:t xml:space="preserve">“</w:t>
      </w:r>
      <w:r>
        <w:t xml:space="preserve">ta,</w:t>
      </w:r>
      <w:r>
        <w:t xml:space="preserve">”</w:t>
      </w:r>
      <w:r>
        <w:t xml:space="preserve"> </w:t>
      </w:r>
      <w:r>
        <w:t xml:space="preserve">becomes svarita by</w:t>
      </w:r>
      <w:r>
        <w:t xml:space="preserve"> </w:t>
      </w:r>
      <w:r>
        <w:rPr>
          <w:bCs/>
          <w:b/>
        </w:rPr>
        <w:t xml:space="preserve">उदात्तादनुदात्तस्य स्वरितः</w:t>
      </w:r>
      <w:r>
        <w:t xml:space="preserve"> </w:t>
      </w:r>
      <w:r>
        <w:t xml:space="preserve">(पा. ८-४-६६).</w:t>
      </w:r>
      <w:r>
        <w:t xml:space="preserve"> </w:t>
      </w:r>
      <w:r>
        <w:t xml:space="preserve">-</w:t>
      </w:r>
      <w:r>
        <w:t xml:space="preserve"> </w:t>
      </w:r>
      <w:r>
        <w:rPr>
          <w:bCs/>
          <w:b/>
        </w:rPr>
        <w:t xml:space="preserve">“</w:t>
      </w:r>
      <w:r>
        <w:rPr>
          <w:bCs/>
          <w:b/>
        </w:rPr>
        <w:t xml:space="preserve">Pītaye</w:t>
      </w:r>
      <w:r>
        <w:rPr>
          <w:bCs/>
          <w:b/>
        </w:rPr>
        <w:t xml:space="preserve">”</w:t>
      </w:r>
      <w:r>
        <w:t xml:space="preserve"> </w:t>
      </w:r>
      <w:r>
        <w:t xml:space="preserve">—</w:t>
      </w:r>
      <w:r>
        <w:t xml:space="preserve"> </w:t>
      </w:r>
      <w:r>
        <w:t xml:space="preserve">“</w:t>
      </w:r>
      <w:r>
        <w:t xml:space="preserve">pā pāne</w:t>
      </w:r>
      <w:r>
        <w:t xml:space="preserve">”</w:t>
      </w:r>
      <w:r>
        <w:t xml:space="preserve"> </w:t>
      </w:r>
      <w:r>
        <w:t xml:space="preserve">(to drink);</w:t>
      </w:r>
      <w:r>
        <w:t xml:space="preserve"> </w:t>
      </w:r>
      <w:r>
        <w:rPr>
          <w:bCs/>
          <w:b/>
        </w:rPr>
        <w:t xml:space="preserve">स्थागापापचो भावे</w:t>
      </w:r>
      <w:r>
        <w:t xml:space="preserve"> </w:t>
      </w:r>
      <w:r>
        <w:t xml:space="preserve">(पा. ३-३-९५) — after</w:t>
      </w:r>
      <w:r>
        <w:t xml:space="preserve"> </w:t>
      </w:r>
      <w:r>
        <w:t xml:space="preserve">“</w:t>
      </w:r>
      <w:r>
        <w:t xml:space="preserve">sthā,</w:t>
      </w:r>
      <w:r>
        <w:t xml:space="preserve">”</w:t>
      </w:r>
      <w:r>
        <w:t xml:space="preserve"> </w:t>
      </w:r>
      <w:r>
        <w:t xml:space="preserve">“</w:t>
      </w:r>
      <w:r>
        <w:t xml:space="preserve">gā,</w:t>
      </w:r>
      <w:r>
        <w:t xml:space="preserve">”</w:t>
      </w:r>
      <w:r>
        <w:t xml:space="preserve"> </w:t>
      </w:r>
      <w:r>
        <w:t xml:space="preserve">“</w:t>
      </w:r>
      <w:r>
        <w:t xml:space="preserve">pā</w:t>
      </w:r>
      <w:r>
        <w:t xml:space="preserve">”</w:t>
      </w:r>
      <w:r>
        <w:t xml:space="preserve"> </w:t>
      </w:r>
      <w:r>
        <w:t xml:space="preserve">and</w:t>
      </w:r>
      <w:r>
        <w:t xml:space="preserve"> </w:t>
      </w:r>
      <w:r>
        <w:t xml:space="preserve">“</w:t>
      </w:r>
      <w:r>
        <w:t xml:space="preserve">pac</w:t>
      </w:r>
      <w:r>
        <w:t xml:space="preserve">”</w:t>
      </w:r>
      <w:r>
        <w:t xml:space="preserve"> </w:t>
      </w:r>
      <w:r>
        <w:t xml:space="preserve">the affix</w:t>
      </w:r>
      <w:r>
        <w:t xml:space="preserve"> </w:t>
      </w:r>
      <w:r>
        <w:t xml:space="preserve">“</w:t>
      </w:r>
      <w:r>
        <w:t xml:space="preserve">ktin</w:t>
      </w:r>
      <w:r>
        <w:t xml:space="preserve">”</w:t>
      </w:r>
      <w:r>
        <w:t xml:space="preserve"> </w:t>
      </w:r>
      <w:r>
        <w:t xml:space="preserve">in the sense of state (action);</w:t>
      </w:r>
      <w:r>
        <w:t xml:space="preserve"> </w:t>
      </w:r>
      <w:r>
        <w:rPr>
          <w:bCs/>
          <w:b/>
        </w:rPr>
        <w:t xml:space="preserve">घुमास्थागापाजहातिसां हलि</w:t>
      </w:r>
      <w:r>
        <w:t xml:space="preserve"> </w:t>
      </w:r>
      <w:r>
        <w:t xml:space="preserve">(पा. ६-४-६६) substitutes</w:t>
      </w:r>
      <w:r>
        <w:t xml:space="preserve"> </w:t>
      </w:r>
      <w:r>
        <w:t xml:space="preserve">“</w:t>
      </w:r>
      <w:r>
        <w:t xml:space="preserve">ī</w:t>
      </w:r>
      <w:r>
        <w:t xml:space="preserve">”</w:t>
      </w:r>
      <w:r>
        <w:t xml:space="preserve"> </w:t>
      </w:r>
      <w:r>
        <w:t xml:space="preserve">for the</w:t>
      </w:r>
      <w:r>
        <w:t xml:space="preserve"> </w:t>
      </w:r>
      <w:r>
        <w:t xml:space="preserve">“</w:t>
      </w:r>
      <w:r>
        <w:t xml:space="preserve">ā</w:t>
      </w:r>
      <w:r>
        <w:t xml:space="preserve">”</w:t>
      </w:r>
      <w:r>
        <w:t xml:space="preserve"> </w:t>
      </w:r>
      <w:r>
        <w:t xml:space="preserve">of the roots that take the</w:t>
      </w:r>
      <w:r>
        <w:t xml:space="preserve"> </w:t>
      </w:r>
      <w:r>
        <w:t xml:space="preserve">“</w:t>
      </w:r>
      <w:r>
        <w:t xml:space="preserve">ghu</w:t>
      </w:r>
      <w:r>
        <w:t xml:space="preserve">”</w:t>
      </w:r>
      <w:r>
        <w:t xml:space="preserve"> </w:t>
      </w:r>
      <w:r>
        <w:t xml:space="preserve">label (the roots</w:t>
      </w:r>
      <w:r>
        <w:t xml:space="preserve"> </w:t>
      </w:r>
      <w:r>
        <w:t xml:space="preserve">“</w:t>
      </w:r>
      <w:r>
        <w:t xml:space="preserve">dā</w:t>
      </w:r>
      <w:r>
        <w:t xml:space="preserve">”</w:t>
      </w:r>
      <w:r>
        <w:t xml:space="preserve"> </w:t>
      </w:r>
      <w:r>
        <w:t xml:space="preserve">and</w:t>
      </w:r>
      <w:r>
        <w:t xml:space="preserve"> </w:t>
      </w:r>
      <w:r>
        <w:t xml:space="preserve">“</w:t>
      </w:r>
      <w:r>
        <w:t xml:space="preserve">dhā</w:t>
      </w:r>
      <w:r>
        <w:t xml:space="preserve">”</w:t>
      </w:r>
      <w:r>
        <w:t xml:space="preserve">) and</w:t>
      </w:r>
      <w:r>
        <w:t xml:space="preserve"> </w:t>
      </w:r>
      <w:r>
        <w:t xml:space="preserve">“</w:t>
      </w:r>
      <w:r>
        <w:t xml:space="preserve">mā, sthā, gā, pā, jahāti, sā,</w:t>
      </w:r>
      <w:r>
        <w:t xml:space="preserve">”</w:t>
      </w:r>
      <w:r>
        <w:t xml:space="preserve"> </w:t>
      </w:r>
      <w:r>
        <w:t xml:space="preserve">when a consonant-initial</w:t>
      </w:r>
      <w:r>
        <w:t xml:space="preserve"> </w:t>
      </w:r>
      <w:r>
        <w:t xml:space="preserve">“</w:t>
      </w:r>
      <w:r>
        <w:t xml:space="preserve">kit/ṅit</w:t>
      </w:r>
      <w:r>
        <w:t xml:space="preserve">”</w:t>
      </w:r>
      <w:r>
        <w:t xml:space="preserve"> </w:t>
      </w:r>
      <w:r>
        <w:t xml:space="preserve">or ārdhadhātuka affix with</w:t>
      </w:r>
      <w:r>
        <w:t xml:space="preserve"> </w:t>
      </w:r>
      <w:r>
        <w:t xml:space="preserve">“</w:t>
      </w:r>
      <w:r>
        <w:t xml:space="preserve">ya</w:t>
      </w:r>
      <w:r>
        <w:t xml:space="preserve">”</w:t>
      </w:r>
      <w:r>
        <w:t xml:space="preserve">-affix follows — here</w:t>
      </w:r>
      <w:r>
        <w:t xml:space="preserve"> </w:t>
      </w:r>
      <w:r>
        <w:t xml:space="preserve">“</w:t>
      </w:r>
      <w:r>
        <w:t xml:space="preserve">ktin</w:t>
      </w:r>
      <w:r>
        <w:t xml:space="preserve">”</w:t>
      </w:r>
      <w:r>
        <w:t xml:space="preserve"> </w:t>
      </w:r>
      <w:r>
        <w:t xml:space="preserve">→</w:t>
      </w:r>
      <w:r>
        <w:t xml:space="preserve"> </w:t>
      </w:r>
      <w:r>
        <w:t xml:space="preserve">“</w:t>
      </w:r>
      <w:r>
        <w:t xml:space="preserve">pīti.</w:t>
      </w:r>
      <w:r>
        <w:t xml:space="preserve">”</w:t>
      </w:r>
      <w:r>
        <w:t xml:space="preserve"> </w:t>
      </w:r>
      <w:r>
        <w:t xml:space="preserve">The affix, though</w:t>
      </w:r>
      <w:r>
        <w:t xml:space="preserve"> </w:t>
      </w:r>
      <w:r>
        <w:t xml:space="preserve">“</w:t>
      </w:r>
      <w:r>
        <w:t xml:space="preserve">n</w:t>
      </w:r>
      <w:r>
        <w:t xml:space="preserve">”</w:t>
      </w:r>
      <w:r>
        <w:t xml:space="preserve">-marked, is acute by the Vedic variation; by</w:t>
      </w:r>
      <w:r>
        <w:t xml:space="preserve"> </w:t>
      </w:r>
      <w:r>
        <w:rPr>
          <w:bCs/>
          <w:b/>
        </w:rPr>
        <w:t xml:space="preserve">आद्युदात्तश्च</w:t>
      </w:r>
      <w:r>
        <w:t xml:space="preserve"> </w:t>
      </w:r>
      <w:r>
        <w:t xml:space="preserve">(पा. ३-१-३) the affix is first-syllable acute, or, by the later part of the next sūtra,</w:t>
      </w:r>
      <w:r>
        <w:t xml:space="preserve"> </w:t>
      </w:r>
      <w:r>
        <w:rPr>
          <w:bCs/>
          <w:b/>
        </w:rPr>
        <w:t xml:space="preserve">मन्त्रे वृषेषपचमनविदभूवीरा उदात्तः</w:t>
      </w:r>
      <w:r>
        <w:t xml:space="preserve"> </w:t>
      </w:r>
      <w:r>
        <w:t xml:space="preserve">(पा. ३-३-९६), the word</w:t>
      </w:r>
      <w:r>
        <w:t xml:space="preserve"> </w:t>
      </w:r>
      <w:r>
        <w:t xml:space="preserve">“</w:t>
      </w:r>
      <w:r>
        <w:t xml:space="preserve">udāttaḥ</w:t>
      </w:r>
      <w:r>
        <w:t xml:space="preserve">”</w:t>
      </w:r>
      <w:r>
        <w:t xml:space="preserve"> </w:t>
      </w:r>
      <w:r>
        <w:t xml:space="preserve">carried over to this sūtra’s context —</w:t>
      </w:r>
      <w:r>
        <w:t xml:space="preserve"> </w:t>
      </w:r>
      <w:r>
        <w:t xml:space="preserve">“</w:t>
      </w:r>
      <w:r>
        <w:t xml:space="preserve">the affix is acute.</w:t>
      </w:r>
      <w:r>
        <w:t xml:space="preserve">”</w:t>
      </w:r>
      <w:r>
        <w:t xml:space="preserve"> </w:t>
      </w:r>
      <w:r>
        <w:t xml:space="preserve">The dative singular</w:t>
      </w:r>
      <w:r>
        <w:t xml:space="preserve"> </w:t>
      </w:r>
      <w:r>
        <w:t xml:space="preserve">“</w:t>
      </w:r>
      <w:r>
        <w:t xml:space="preserve">ṅe</w:t>
      </w:r>
      <w:r>
        <w:t xml:space="preserve">”</w:t>
      </w:r>
      <w:r>
        <w:t xml:space="preserve"> </w:t>
      </w:r>
      <w:r>
        <w:t xml:space="preserve">is added;</w:t>
      </w:r>
      <w:r>
        <w:t xml:space="preserve"> </w:t>
      </w:r>
      <w:r>
        <w:t xml:space="preserve">“</w:t>
      </w:r>
      <w:r>
        <w:t xml:space="preserve">pīti + ṅe</w:t>
      </w:r>
      <w:r>
        <w:t xml:space="preserve">”</w:t>
      </w:r>
      <w:r>
        <w:t xml:space="preserve"> </w:t>
      </w:r>
      <w:r>
        <w:t xml:space="preserve">→</w:t>
      </w:r>
      <w:r>
        <w:t xml:space="preserve"> </w:t>
      </w:r>
      <w:r>
        <w:t xml:space="preserve">“</w:t>
      </w:r>
      <w:r>
        <w:t xml:space="preserve">pīti + e</w:t>
      </w:r>
      <w:r>
        <w:t xml:space="preserve">”</w:t>
      </w:r>
      <w:r>
        <w:t xml:space="preserve">;</w:t>
      </w:r>
      <w:r>
        <w:t xml:space="preserve"> </w:t>
      </w:r>
      <w:r>
        <w:rPr>
          <w:bCs/>
          <w:b/>
        </w:rPr>
        <w:t xml:space="preserve">शेषो ध्यसखि</w:t>
      </w:r>
      <w:r>
        <w:t xml:space="preserve"> </w:t>
      </w:r>
      <w:r>
        <w:t xml:space="preserve">(पा. १-४-७) — a word ending in short</w:t>
      </w:r>
      <w:r>
        <w:t xml:space="preserve"> </w:t>
      </w:r>
      <w:r>
        <w:t xml:space="preserve">“</w:t>
      </w:r>
      <w:r>
        <w:t xml:space="preserve">i</w:t>
      </w:r>
      <w:r>
        <w:t xml:space="preserve">”</w:t>
      </w:r>
      <w:r>
        <w:t xml:space="preserve"> </w:t>
      </w:r>
      <w:r>
        <w:t xml:space="preserve">or</w:t>
      </w:r>
      <w:r>
        <w:t xml:space="preserve"> </w:t>
      </w:r>
      <w:r>
        <w:t xml:space="preserve">“</w:t>
      </w:r>
      <w:r>
        <w:t xml:space="preserve">u,</w:t>
      </w:r>
      <w:r>
        <w:t xml:space="preserve">”</w:t>
      </w:r>
      <w:r>
        <w:t xml:space="preserve"> </w:t>
      </w:r>
      <w:r>
        <w:t xml:space="preserve">not</w:t>
      </w:r>
      <w:r>
        <w:t xml:space="preserve"> </w:t>
      </w:r>
      <w:r>
        <w:t xml:space="preserve">“</w:t>
      </w:r>
      <w:r>
        <w:t xml:space="preserve">sakhi,</w:t>
      </w:r>
      <w:r>
        <w:t xml:space="preserve">”</w:t>
      </w:r>
      <w:r>
        <w:t xml:space="preserve"> </w:t>
      </w:r>
      <w:r>
        <w:t xml:space="preserve">has the label</w:t>
      </w:r>
      <w:r>
        <w:t xml:space="preserve"> </w:t>
      </w:r>
      <w:r>
        <w:t xml:space="preserve">“</w:t>
      </w:r>
      <w:r>
        <w:t xml:space="preserve">ghi</w:t>
      </w:r>
      <w:r>
        <w:t xml:space="preserve">”</w:t>
      </w:r>
      <w:r>
        <w:t xml:space="preserve">;</w:t>
      </w:r>
      <w:r>
        <w:t xml:space="preserve"> </w:t>
      </w:r>
      <w:r>
        <w:t xml:space="preserve">“</w:t>
      </w:r>
      <w:r>
        <w:t xml:space="preserve">pīti</w:t>
      </w:r>
      <w:r>
        <w:t xml:space="preserve">”</w:t>
      </w:r>
      <w:r>
        <w:t xml:space="preserve"> </w:t>
      </w:r>
      <w:r>
        <w:t xml:space="preserve">has the label</w:t>
      </w:r>
      <w:r>
        <w:t xml:space="preserve"> </w:t>
      </w:r>
      <w:r>
        <w:t xml:space="preserve">“</w:t>
      </w:r>
      <w:r>
        <w:t xml:space="preserve">ghi</w:t>
      </w:r>
      <w:r>
        <w:t xml:space="preserve">”</w:t>
      </w:r>
      <w:r>
        <w:t xml:space="preserve"> </w:t>
      </w:r>
      <w:r>
        <w:t xml:space="preserve">(since it is not</w:t>
      </w:r>
      <w:r>
        <w:t xml:space="preserve"> </w:t>
      </w:r>
      <w:r>
        <w:t xml:space="preserve">“</w:t>
      </w:r>
      <w:r>
        <w:t xml:space="preserve">sakhi</w:t>
      </w:r>
      <w:r>
        <w:t xml:space="preserve">”</w:t>
      </w:r>
      <w:r>
        <w:t xml:space="preserve">);</w:t>
      </w:r>
      <w:r>
        <w:t xml:space="preserve"> </w:t>
      </w:r>
      <w:r>
        <w:rPr>
          <w:bCs/>
          <w:b/>
        </w:rPr>
        <w:t xml:space="preserve">ङेर्यः</w:t>
      </w:r>
      <w:r>
        <w:t xml:space="preserve"> </w:t>
      </w:r>
      <w:r>
        <w:t xml:space="preserve">(पा. ७-३-१११) — for</w:t>
      </w:r>
      <w:r>
        <w:t xml:space="preserve"> </w:t>
      </w:r>
      <w:r>
        <w:t xml:space="preserve">“</w:t>
      </w:r>
      <w:r>
        <w:t xml:space="preserve">ṅe,</w:t>
      </w:r>
      <w:r>
        <w:t xml:space="preserve">”</w:t>
      </w:r>
      <w:r>
        <w:t xml:space="preserve"> </w:t>
      </w:r>
      <w:r>
        <w:t xml:space="preserve">after a</w:t>
      </w:r>
      <w:r>
        <w:t xml:space="preserve"> </w:t>
      </w:r>
      <w:r>
        <w:t xml:space="preserve">“</w:t>
      </w:r>
      <w:r>
        <w:t xml:space="preserve">ghi</w:t>
      </w:r>
      <w:r>
        <w:t xml:space="preserve">”</w:t>
      </w:r>
      <w:r>
        <w:t xml:space="preserve">-labelled stem the substitute</w:t>
      </w:r>
      <w:r>
        <w:t xml:space="preserve"> </w:t>
      </w:r>
      <w:r>
        <w:t xml:space="preserve">“</w:t>
      </w:r>
      <w:r>
        <w:t xml:space="preserve">y</w:t>
      </w:r>
      <w:r>
        <w:t xml:space="preserve">”</w:t>
      </w:r>
      <w:r>
        <w:t xml:space="preserve">? — as the print states it:</w:t>
      </w:r>
      <w:r>
        <w:t xml:space="preserve"> </w:t>
      </w:r>
      <w:r>
        <w:t xml:space="preserve">“</w:t>
      </w:r>
      <w:r>
        <w:t xml:space="preserve">the guṇa arises for a</w:t>
      </w:r>
      <w:r>
        <w:t xml:space="preserve"> </w:t>
      </w:r>
      <w:r>
        <w:t xml:space="preserve">‘</w:t>
      </w:r>
      <w:r>
        <w:t xml:space="preserve">ghi</w:t>
      </w:r>
      <w:r>
        <w:t xml:space="preserve">’</w:t>
      </w:r>
      <w:r>
        <w:t xml:space="preserve">-labelled stem before a</w:t>
      </w:r>
      <w:r>
        <w:t xml:space="preserve"> </w:t>
      </w:r>
      <w:r>
        <w:t xml:space="preserve">‘</w:t>
      </w:r>
      <w:r>
        <w:t xml:space="preserve">ṅit</w:t>
      </w:r>
      <w:r>
        <w:t xml:space="preserve">’</w:t>
      </w:r>
      <w:r>
        <w:t xml:space="preserve"> </w:t>
      </w:r>
      <w:r>
        <w:t xml:space="preserve">ending</w:t>
      </w:r>
      <w:r>
        <w:t xml:space="preserve">”</w:t>
      </w:r>
      <w:r>
        <w:t xml:space="preserve">; the</w:t>
      </w:r>
      <w:r>
        <w:t xml:space="preserve"> </w:t>
      </w:r>
      <w:r>
        <w:t xml:space="preserve">“</w:t>
      </w:r>
      <w:r>
        <w:t xml:space="preserve">i</w:t>
      </w:r>
      <w:r>
        <w:t xml:space="preserve">”</w:t>
      </w:r>
      <w:r>
        <w:t xml:space="preserve"> </w:t>
      </w:r>
      <w:r>
        <w:t xml:space="preserve">of</w:t>
      </w:r>
      <w:r>
        <w:t xml:space="preserve"> </w:t>
      </w:r>
      <w:r>
        <w:t xml:space="preserve">“</w:t>
      </w:r>
      <w:r>
        <w:t xml:space="preserve">pīti</w:t>
      </w:r>
      <w:r>
        <w:t xml:space="preserve">”</w:t>
      </w:r>
      <w:r>
        <w:t xml:space="preserve"> </w:t>
      </w:r>
      <w:r>
        <w:t xml:space="preserve">takes guṇa →</w:t>
      </w:r>
      <w:r>
        <w:t xml:space="preserve"> </w:t>
      </w:r>
      <w:r>
        <w:t xml:space="preserve">“</w:t>
      </w:r>
      <w:r>
        <w:t xml:space="preserve">pīte + e</w:t>
      </w:r>
      <w:r>
        <w:t xml:space="preserve">”</w:t>
      </w:r>
      <w:r>
        <w:t xml:space="preserve">;</w:t>
      </w:r>
      <w:r>
        <w:t xml:space="preserve"> </w:t>
      </w:r>
      <w:r>
        <w:rPr>
          <w:bCs/>
          <w:b/>
        </w:rPr>
        <w:t xml:space="preserve">एचोऽयवायावः</w:t>
      </w:r>
      <w:r>
        <w:t xml:space="preserve"> </w:t>
      </w:r>
      <w:r>
        <w:t xml:space="preserve">(पा. ६-१-७८) →</w:t>
      </w:r>
      <w:r>
        <w:t xml:space="preserve"> </w:t>
      </w:r>
      <w:r>
        <w:t xml:space="preserve">“</w:t>
      </w:r>
      <w:r>
        <w:t xml:space="preserve">pītay + e</w:t>
      </w:r>
      <w:r>
        <w:t xml:space="preserve">”</w:t>
      </w:r>
      <w:r>
        <w:t xml:space="preserve"> </w:t>
      </w:r>
      <w:r>
        <w:t xml:space="preserve">→</w:t>
      </w:r>
      <w:r>
        <w:t xml:space="preserve"> </w:t>
      </w:r>
      <w:r>
        <w:t xml:space="preserve">“</w:t>
      </w:r>
      <w:r>
        <w:t xml:space="preserve">pītaye.</w:t>
      </w:r>
      <w:r>
        <w:t xml:space="preserve">”</w:t>
      </w:r>
      <w:r>
        <w:t xml:space="preserve"> </w:t>
      </w:r>
      <w:r>
        <w:t xml:space="preserve">In</w:t>
      </w:r>
      <w:r>
        <w:t xml:space="preserve"> </w:t>
      </w:r>
      <w:r>
        <w:t xml:space="preserve">“</w:t>
      </w:r>
      <w:r>
        <w:t xml:space="preserve">pītaye,</w:t>
      </w:r>
      <w:r>
        <w:t xml:space="preserve">”</w:t>
      </w:r>
      <w:r>
        <w:t xml:space="preserve"> </w:t>
      </w:r>
      <w:r>
        <w:t xml:space="preserve">the ending</w:t>
      </w:r>
      <w:r>
        <w:t xml:space="preserve"> </w:t>
      </w:r>
      <w:r>
        <w:t xml:space="preserve">“</w:t>
      </w:r>
      <w:r>
        <w:t xml:space="preserve">e</w:t>
      </w:r>
      <w:r>
        <w:t xml:space="preserve">”</w:t>
      </w:r>
      <w:r>
        <w:t xml:space="preserve"> </w:t>
      </w:r>
      <w:r>
        <w:t xml:space="preserve">is unaccented as a</w:t>
      </w:r>
      <w:r>
        <w:t xml:space="preserve"> </w:t>
      </w:r>
      <w:r>
        <w:t xml:space="preserve">“</w:t>
      </w:r>
      <w:r>
        <w:t xml:space="preserve">sup,</w:t>
      </w:r>
      <w:r>
        <w:t xml:space="preserve">”</w:t>
      </w:r>
      <w:r>
        <w:t xml:space="preserve"> </w:t>
      </w:r>
      <w:r>
        <w:t xml:space="preserve">the</w:t>
      </w:r>
      <w:r>
        <w:t xml:space="preserve"> </w:t>
      </w:r>
      <w:r>
        <w:t xml:space="preserve">“</w:t>
      </w:r>
      <w:r>
        <w:t xml:space="preserve">ti</w:t>
      </w:r>
      <w:r>
        <w:t xml:space="preserve">”</w:t>
      </w:r>
      <w:r>
        <w:t xml:space="preserve"> </w:t>
      </w:r>
      <w:r>
        <w:t xml:space="preserve">is acute (as stated); the</w:t>
      </w:r>
      <w:r>
        <w:t xml:space="preserve"> </w:t>
      </w:r>
      <w:r>
        <w:t xml:space="preserve">“</w:t>
      </w:r>
      <w:r>
        <w:t xml:space="preserve">e</w:t>
      </w:r>
      <w:r>
        <w:t xml:space="preserve">”</w:t>
      </w:r>
      <w:r>
        <w:t xml:space="preserve"> </w:t>
      </w:r>
      <w:r>
        <w:t xml:space="preserve">that arises in place of</w:t>
      </w:r>
      <w:r>
        <w:t xml:space="preserve"> </w:t>
      </w:r>
      <w:r>
        <w:t xml:space="preserve">“</w:t>
      </w:r>
      <w:r>
        <w:t xml:space="preserve">i</w:t>
      </w:r>
      <w:r>
        <w:t xml:space="preserve">”</w:t>
      </w:r>
      <w:r>
        <w:t xml:space="preserve"> </w:t>
      </w:r>
      <w:r>
        <w:t xml:space="preserve">is, by sthānivadbhāva, acute; the</w:t>
      </w:r>
      <w:r>
        <w:t xml:space="preserve"> </w:t>
      </w:r>
      <w:r>
        <w:t xml:space="preserve">“</w:t>
      </w:r>
      <w:r>
        <w:t xml:space="preserve">ay</w:t>
      </w:r>
      <w:r>
        <w:t xml:space="preserve">”</w:t>
      </w:r>
      <w:r>
        <w:t xml:space="preserve"> </w:t>
      </w:r>
      <w:r>
        <w:t xml:space="preserve">substituted for it is also acute; the following unaccented ending</w:t>
      </w:r>
      <w:r>
        <w:t xml:space="preserve"> </w:t>
      </w:r>
      <w:r>
        <w:t xml:space="preserve">“</w:t>
      </w:r>
      <w:r>
        <w:t xml:space="preserve">e</w:t>
      </w:r>
      <w:r>
        <w:t xml:space="preserve">”</w:t>
      </w:r>
      <w:r>
        <w:t xml:space="preserve"> </w:t>
      </w:r>
      <w:r>
        <w:t xml:space="preserve">becomes svarita; the</w:t>
      </w:r>
      <w:r>
        <w:t xml:space="preserve"> </w:t>
      </w:r>
      <w:r>
        <w:t xml:space="preserve">“</w:t>
      </w:r>
      <w:r>
        <w:t xml:space="preserve">ī</w:t>
      </w:r>
      <w:r>
        <w:t xml:space="preserve">”</w:t>
      </w:r>
      <w:r>
        <w:t xml:space="preserve"> </w:t>
      </w:r>
      <w:r>
        <w:t xml:space="preserve">of</w:t>
      </w:r>
      <w:r>
        <w:t xml:space="preserve"> </w:t>
      </w:r>
      <w:r>
        <w:t xml:space="preserve">“</w:t>
      </w:r>
      <w:r>
        <w:t xml:space="preserve">pī</w:t>
      </w:r>
      <w:r>
        <w:t xml:space="preserve">”</w:t>
      </w:r>
      <w:r>
        <w:t xml:space="preserve"> </w:t>
      </w:r>
      <w:r>
        <w:t xml:space="preserve">is unaccented by the</w:t>
      </w:r>
      <w:r>
        <w:t xml:space="preserve"> </w:t>
      </w:r>
      <w:r>
        <w:t xml:space="preserve">“</w:t>
      </w:r>
      <w:r>
        <w:t xml:space="preserve">remaining syllables unaccented</w:t>
      </w:r>
      <w:r>
        <w:t xml:space="preserve">”</w:t>
      </w:r>
      <w:r>
        <w:t xml:space="preserve"> </w:t>
      </w:r>
      <w:r>
        <w:t xml:space="preserve">rule. So in</w:t>
      </w:r>
      <w:r>
        <w:t xml:space="preserve"> </w:t>
      </w:r>
      <w:r>
        <w:t xml:space="preserve">“</w:t>
      </w:r>
      <w:r>
        <w:t xml:space="preserve">pītaye</w:t>
      </w:r>
      <w:r>
        <w:t xml:space="preserve">”</w:t>
      </w:r>
      <w:r>
        <w:t xml:space="preserve"> </w:t>
      </w:r>
      <w:r>
        <w:t xml:space="preserve">the first syllable is unaccented, the second acute, the third svarita.</w:t>
      </w:r>
      <w:r>
        <w:t xml:space="preserve"> </w:t>
      </w:r>
      <w:r>
        <w:t xml:space="preserve">-</w:t>
      </w:r>
      <w:r>
        <w:t xml:space="preserve"> </w:t>
      </w:r>
      <w:r>
        <w:rPr>
          <w:bCs/>
          <w:b/>
        </w:rPr>
        <w:t xml:space="preserve">“</w:t>
      </w:r>
      <w:r>
        <w:rPr>
          <w:bCs/>
          <w:b/>
        </w:rPr>
        <w:t xml:space="preserve">Sadyaḥ</w:t>
      </w:r>
      <w:r>
        <w:rPr>
          <w:bCs/>
          <w:b/>
        </w:rPr>
        <w:t xml:space="preserve">”</w:t>
      </w:r>
      <w:r>
        <w:t xml:space="preserve"> </w:t>
      </w:r>
      <w:r>
        <w:t xml:space="preserve">—</w:t>
      </w:r>
      <w:r>
        <w:t xml:space="preserve"> </w:t>
      </w:r>
      <w:r>
        <w:t xml:space="preserve">“</w:t>
      </w:r>
      <w:r>
        <w:t xml:space="preserve">sadyaḥ parut parāry aiṣamaḥ paredyavy adya pūrvedyur anyedyur anyatarādyur itarādyur aparedyur adharedyur ubhayedyur uttaredyuḥ</w:t>
      </w:r>
      <w:r>
        <w:t xml:space="preserve">”</w:t>
      </w:r>
      <w:r>
        <w:t xml:space="preserve"> </w:t>
      </w:r>
      <w:r>
        <w:t xml:space="preserve">(सद्यः परुत्परार्यैषमः परेद्यव्यद्य पूर्वेद्युरन्येद्युरन्यतरेद्युरितरेद्युरपरेद्युरधरेद्युरुभयेद्युरुत्तरेद्युः — पा. ५-३-२२, as I read the string, which the print gives in full) — these words are formed by nipātana in the sense of the days they name;</w:t>
      </w:r>
      <w:r>
        <w:t xml:space="preserve"> </w:t>
      </w:r>
      <w:r>
        <w:rPr>
          <w:bCs/>
          <w:b/>
        </w:rPr>
        <w:t xml:space="preserve">समानस्य सभावो द्यश्चाहनि</w:t>
      </w:r>
      <w:r>
        <w:t xml:space="preserve"> </w:t>
      </w:r>
      <w:r>
        <w:t xml:space="preserve">(as printed, पा. ५-३-२२ वा.) —</w:t>
      </w:r>
      <w:r>
        <w:t xml:space="preserve"> </w:t>
      </w:r>
      <w:r>
        <w:t xml:space="preserve">“</w:t>
      </w:r>
      <w:r>
        <w:t xml:space="preserve">sa</w:t>
      </w:r>
      <w:r>
        <w:t xml:space="preserve">”</w:t>
      </w:r>
      <w:r>
        <w:t xml:space="preserve"> </w:t>
      </w:r>
      <w:r>
        <w:t xml:space="preserve">for</w:t>
      </w:r>
      <w:r>
        <w:t xml:space="preserve"> </w:t>
      </w:r>
      <w:r>
        <w:t xml:space="preserve">“</w:t>
      </w:r>
      <w:r>
        <w:t xml:space="preserve">samāna</w:t>
      </w:r>
      <w:r>
        <w:t xml:space="preserve">”</w:t>
      </w:r>
      <w:r>
        <w:t xml:space="preserve"> </w:t>
      </w:r>
      <w:r>
        <w:t xml:space="preserve">and the affix</w:t>
      </w:r>
      <w:r>
        <w:t xml:space="preserve"> </w:t>
      </w:r>
      <w:r>
        <w:t xml:space="preserve">“</w:t>
      </w:r>
      <w:r>
        <w:t xml:space="preserve">dyas</w:t>
      </w:r>
      <w:r>
        <w:t xml:space="preserve">”</w:t>
      </w:r>
      <w:r>
        <w:t xml:space="preserve"> </w:t>
      </w:r>
      <w:r>
        <w:t xml:space="preserve">when the sense is</w:t>
      </w:r>
      <w:r>
        <w:t xml:space="preserve"> </w:t>
      </w:r>
      <w:r>
        <w:t xml:space="preserve">“</w:t>
      </w:r>
      <w:r>
        <w:t xml:space="preserve">day</w:t>
      </w:r>
      <w:r>
        <w:t xml:space="preserve">”</w:t>
      </w:r>
      <w:r>
        <w:t xml:space="preserve"> </w:t>
      </w:r>
      <w:r>
        <w:t xml:space="preserve">—</w:t>
      </w:r>
      <w:r>
        <w:t xml:space="preserve"> </w:t>
      </w:r>
      <w:r>
        <w:t xml:space="preserve">“</w:t>
      </w:r>
      <w:r>
        <w:t xml:space="preserve">sadyaḥ</w:t>
      </w:r>
      <w:r>
        <w:t xml:space="preserve">”</w:t>
      </w:r>
      <w:r>
        <w:t xml:space="preserve"> </w:t>
      </w:r>
      <w:r>
        <w:t xml:space="preserve">(on the same day); end-acute by the affix.</w:t>
      </w:r>
      <w:r>
        <w:t xml:space="preserve"> </w:t>
      </w:r>
      <w:r>
        <w:t xml:space="preserve">-</w:t>
      </w:r>
      <w:r>
        <w:t xml:space="preserve"> </w:t>
      </w:r>
      <w:r>
        <w:rPr>
          <w:bCs/>
          <w:b/>
        </w:rPr>
        <w:t xml:space="preserve">“</w:t>
      </w:r>
      <w:r>
        <w:rPr>
          <w:bCs/>
          <w:b/>
        </w:rPr>
        <w:t xml:space="preserve">Vṛddhaḥ</w:t>
      </w:r>
      <w:r>
        <w:rPr>
          <w:bCs/>
          <w:b/>
        </w:rPr>
        <w:t xml:space="preserve">”</w:t>
      </w:r>
      <w:r>
        <w:t xml:space="preserve"> </w:t>
      </w:r>
      <w:r>
        <w:t xml:space="preserve">—</w:t>
      </w:r>
      <w:r>
        <w:t xml:space="preserve"> </w:t>
      </w:r>
      <w:r>
        <w:t xml:space="preserve">“</w:t>
      </w:r>
      <w:r>
        <w:t xml:space="preserve">vṛdhu vṛddhau</w:t>
      </w:r>
      <w:r>
        <w:t xml:space="preserve">”</w:t>
      </w:r>
      <w:r>
        <w:t xml:space="preserve"> </w:t>
      </w:r>
      <w:r>
        <w:t xml:space="preserve">(to grow);</w:t>
      </w:r>
      <w:r>
        <w:t xml:space="preserve"> </w:t>
      </w:r>
      <w:r>
        <w:t xml:space="preserve">“</w:t>
      </w:r>
      <w:r>
        <w:t xml:space="preserve">kta</w:t>
      </w:r>
      <w:r>
        <w:t xml:space="preserve">”</w:t>
      </w:r>
      <w:r>
        <w:t xml:space="preserve"> </w:t>
      </w:r>
      <w:r>
        <w:t xml:space="preserve">after the root;</w:t>
      </w:r>
      <w:r>
        <w:t xml:space="preserve"> </w:t>
      </w:r>
      <w:r>
        <w:rPr>
          <w:bCs/>
          <w:b/>
        </w:rPr>
        <w:t xml:space="preserve">आर्धधातुकस्येड्वलादेः</w:t>
      </w:r>
      <w:r>
        <w:t xml:space="preserve"> </w:t>
      </w:r>
      <w:r>
        <w:t xml:space="preserve">(पा. ७-२-३५) would give</w:t>
      </w:r>
      <w:r>
        <w:t xml:space="preserve"> </w:t>
      </w:r>
      <w:r>
        <w:t xml:space="preserve">“</w:t>
      </w:r>
      <w:r>
        <w:t xml:space="preserve">iṭ</w:t>
      </w:r>
      <w:r>
        <w:t xml:space="preserve">”</w:t>
      </w:r>
      <w:r>
        <w:t xml:space="preserve"> </w:t>
      </w:r>
      <w:r>
        <w:t xml:space="preserve">to a consonant-initial ārdhadhātuka …</w:t>
      </w:r>
    </w:p>
    <w:p>
      <w:pPr>
        <w:pStyle w:val="BodyText"/>
      </w:pPr>
      <w:r>
        <w:rPr>
          <w:bCs/>
          <w:b/>
        </w:rPr>
        <w:t xml:space="preserve">p. 181.</w:t>
      </w:r>
      <w:r>
        <w:t xml:space="preserve"> </w:t>
      </w:r>
      <w:r>
        <w:t xml:space="preserve">…but</w:t>
      </w:r>
      <w:r>
        <w:t xml:space="preserve"> </w:t>
      </w:r>
      <w:r>
        <w:rPr>
          <w:bCs/>
          <w:b/>
        </w:rPr>
        <w:t xml:space="preserve">यस्य विभाषा</w:t>
      </w:r>
      <w:r>
        <w:t xml:space="preserve"> </w:t>
      </w:r>
      <w:r>
        <w:t xml:space="preserve">(पा. ७-२-१५) —</w:t>
      </w:r>
      <w:r>
        <w:t xml:space="preserve"> </w:t>
      </w:r>
      <w:r>
        <w:t xml:space="preserve">“</w:t>
      </w:r>
      <w:r>
        <w:t xml:space="preserve">iṭ is not added to the</w:t>
      </w:r>
      <w:r>
        <w:t xml:space="preserve"> </w:t>
      </w:r>
      <w:r>
        <w:t xml:space="preserve">‘</w:t>
      </w:r>
      <w:r>
        <w:t xml:space="preserve">kta/ktvā</w:t>
      </w:r>
      <w:r>
        <w:t xml:space="preserve">’</w:t>
      </w:r>
      <w:r>
        <w:t xml:space="preserve"> </w:t>
      </w:r>
      <w:r>
        <w:t xml:space="preserve">affix after a root whose own</w:t>
      </w:r>
      <w:r>
        <w:t xml:space="preserve"> </w:t>
      </w:r>
      <w:r>
        <w:t xml:space="preserve">‘</w:t>
      </w:r>
      <w:r>
        <w:t xml:space="preserve">iṭ</w:t>
      </w:r>
      <w:r>
        <w:t xml:space="preserve">’</w:t>
      </w:r>
      <w:r>
        <w:t xml:space="preserve"> </w:t>
      </w:r>
      <w:r>
        <w:t xml:space="preserve">is optional</w:t>
      </w:r>
      <w:r>
        <w:t xml:space="preserve">”</w:t>
      </w:r>
      <w:r>
        <w:t xml:space="preserve"> </w:t>
      </w:r>
      <w:r>
        <w:t xml:space="preserve">— and</w:t>
      </w:r>
      <w:r>
        <w:t xml:space="preserve"> </w:t>
      </w:r>
      <w:r>
        <w:rPr>
          <w:bCs/>
          <w:b/>
        </w:rPr>
        <w:t xml:space="preserve">उदितो वा</w:t>
      </w:r>
      <w:r>
        <w:t xml:space="preserve"> </w:t>
      </w:r>
      <w:r>
        <w:t xml:space="preserve">(पा. ७-२-५६) — after a root with the</w:t>
      </w:r>
      <w:r>
        <w:t xml:space="preserve"> </w:t>
      </w:r>
      <w:r>
        <w:t xml:space="preserve">“</w:t>
      </w:r>
      <w:r>
        <w:t xml:space="preserve">u</w:t>
      </w:r>
      <w:r>
        <w:t xml:space="preserve">”</w:t>
      </w:r>
      <w:r>
        <w:t xml:space="preserve"> </w:t>
      </w:r>
      <w:r>
        <w:t xml:space="preserve">marker the affix</w:t>
      </w:r>
      <w:r>
        <w:t xml:space="preserve"> </w:t>
      </w:r>
      <w:r>
        <w:t xml:space="preserve">“</w:t>
      </w:r>
      <w:r>
        <w:t xml:space="preserve">ktvā</w:t>
      </w:r>
      <w:r>
        <w:t xml:space="preserve">”</w:t>
      </w:r>
      <w:r>
        <w:t xml:space="preserve"> </w:t>
      </w:r>
      <w:r>
        <w:t xml:space="preserve">optionally takes</w:t>
      </w:r>
      <w:r>
        <w:t xml:space="preserve"> </w:t>
      </w:r>
      <w:r>
        <w:t xml:space="preserve">“</w:t>
      </w:r>
      <w:r>
        <w:t xml:space="preserve">iṭ</w:t>
      </w:r>
      <w:r>
        <w:t xml:space="preserve">”</w:t>
      </w:r>
      <w:r>
        <w:t xml:space="preserve"> </w:t>
      </w:r>
      <w:r>
        <w:t xml:space="preserve">— apply; the print explains (at length) that</w:t>
      </w:r>
      <w:r>
        <w:t xml:space="preserve"> </w:t>
      </w:r>
      <w:r>
        <w:t xml:space="preserve">“</w:t>
      </w:r>
      <w:r>
        <w:t xml:space="preserve">vṛdhu</w:t>
      </w:r>
      <w:r>
        <w:t xml:space="preserve">”</w:t>
      </w:r>
      <w:r>
        <w:t xml:space="preserve"> </w:t>
      </w:r>
      <w:r>
        <w:t xml:space="preserve">is</w:t>
      </w:r>
      <w:r>
        <w:t xml:space="preserve"> </w:t>
      </w:r>
      <w:r>
        <w:t xml:space="preserve">“</w:t>
      </w:r>
      <w:r>
        <w:t xml:space="preserve">udit,</w:t>
      </w:r>
      <w:r>
        <w:t xml:space="preserve">”</w:t>
      </w:r>
      <w:r>
        <w:t xml:space="preserve"> </w:t>
      </w:r>
      <w:r>
        <w:t xml:space="preserve">and that</w:t>
      </w:r>
      <w:r>
        <w:t xml:space="preserve"> </w:t>
      </w:r>
      <w:r>
        <w:rPr>
          <w:bCs/>
          <w:b/>
        </w:rPr>
        <w:t xml:space="preserve">निष्ठा शीङ्स्विदिमिदिक्ष्विदिधृषः</w:t>
      </w:r>
      <w:r>
        <w:t xml:space="preserve"> </w:t>
      </w:r>
      <w:r>
        <w:t xml:space="preserve">(पा. ७-२-१५ and following) bars</w:t>
      </w:r>
      <w:r>
        <w:t xml:space="preserve"> </w:t>
      </w:r>
      <w:r>
        <w:t xml:space="preserve">“</w:t>
      </w:r>
      <w:r>
        <w:t xml:space="preserve">iṭ</w:t>
      </w:r>
      <w:r>
        <w:t xml:space="preserve">”</w:t>
      </w:r>
      <w:r>
        <w:t xml:space="preserve"> </w:t>
      </w:r>
      <w:r>
        <w:t xml:space="preserve">in the niṣṭhā after certain roots; the result is</w:t>
      </w:r>
      <w:r>
        <w:t xml:space="preserve"> </w:t>
      </w:r>
      <w:r>
        <w:t xml:space="preserve">“</w:t>
      </w:r>
      <w:r>
        <w:t xml:space="preserve">vṛdh + ta.</w:t>
      </w:r>
      <w:r>
        <w:t xml:space="preserve">”</w:t>
      </w:r>
      <w:r>
        <w:t xml:space="preserve"> </w:t>
      </w:r>
      <w:r>
        <w:t xml:space="preserve">Then</w:t>
      </w:r>
      <w:r>
        <w:t xml:space="preserve"> </w:t>
      </w:r>
      <w:r>
        <w:rPr>
          <w:bCs/>
          <w:b/>
        </w:rPr>
        <w:t xml:space="preserve">झषस्तथोर्धोऽधः</w:t>
      </w:r>
      <w:r>
        <w:t xml:space="preserve"> </w:t>
      </w:r>
      <w:r>
        <w:t xml:space="preserve">(पा. ८-२-४०) — after a</w:t>
      </w:r>
      <w:r>
        <w:t xml:space="preserve"> </w:t>
      </w:r>
      <w:r>
        <w:t xml:space="preserve">“</w:t>
      </w:r>
      <w:r>
        <w:t xml:space="preserve">jhaṣ</w:t>
      </w:r>
      <w:r>
        <w:t xml:space="preserve">”</w:t>
      </w:r>
      <w:r>
        <w:t xml:space="preserve"> </w:t>
      </w:r>
      <w:r>
        <w:t xml:space="preserve">letter, a</w:t>
      </w:r>
      <w:r>
        <w:t xml:space="preserve"> </w:t>
      </w:r>
      <w:r>
        <w:t xml:space="preserve">“</w:t>
      </w:r>
      <w:r>
        <w:t xml:space="preserve">t</w:t>
      </w:r>
      <w:r>
        <w:t xml:space="preserve">”</w:t>
      </w:r>
      <w:r>
        <w:t xml:space="preserve"> </w:t>
      </w:r>
      <w:r>
        <w:t xml:space="preserve">or</w:t>
      </w:r>
      <w:r>
        <w:t xml:space="preserve"> </w:t>
      </w:r>
      <w:r>
        <w:t xml:space="preserve">“</w:t>
      </w:r>
      <w:r>
        <w:t xml:space="preserve">th</w:t>
      </w:r>
      <w:r>
        <w:t xml:space="preserve">”</w:t>
      </w:r>
      <w:r>
        <w:t xml:space="preserve"> </w:t>
      </w:r>
      <w:r>
        <w:t xml:space="preserve">of an affix becomes</w:t>
      </w:r>
      <w:r>
        <w:t xml:space="preserve"> </w:t>
      </w:r>
      <w:r>
        <w:t xml:space="preserve">“</w:t>
      </w:r>
      <w:r>
        <w:t xml:space="preserve">dh</w:t>
      </w:r>
      <w:r>
        <w:t xml:space="preserve">”</w:t>
      </w:r>
      <w:r>
        <w:t xml:space="preserve"> </w:t>
      </w:r>
      <w:r>
        <w:t xml:space="preserve">— gives</w:t>
      </w:r>
      <w:r>
        <w:t xml:space="preserve"> </w:t>
      </w:r>
      <w:r>
        <w:t xml:space="preserve">“</w:t>
      </w:r>
      <w:r>
        <w:t xml:space="preserve">vṛdh + dha</w:t>
      </w:r>
      <w:r>
        <w:t xml:space="preserve">”</w:t>
      </w:r>
      <w:r>
        <w:t xml:space="preserve">;</w:t>
      </w:r>
      <w:r>
        <w:t xml:space="preserve"> </w:t>
      </w:r>
      <w:r>
        <w:rPr>
          <w:bCs/>
          <w:b/>
        </w:rPr>
        <w:t xml:space="preserve">झलां जश् झशि</w:t>
      </w:r>
      <w:r>
        <w:t xml:space="preserve"> </w:t>
      </w:r>
      <w:r>
        <w:t xml:space="preserve">(पा. ८-४-५३) the</w:t>
      </w:r>
      <w:r>
        <w:t xml:space="preserve"> </w:t>
      </w:r>
      <w:r>
        <w:t xml:space="preserve">“</w:t>
      </w:r>
      <w:r>
        <w:t xml:space="preserve">dh</w:t>
      </w:r>
      <w:r>
        <w:t xml:space="preserve">”</w:t>
      </w:r>
      <w:r>
        <w:t xml:space="preserve"> </w:t>
      </w:r>
      <w:r>
        <w:t xml:space="preserve">of the root becomes</w:t>
      </w:r>
      <w:r>
        <w:t xml:space="preserve"> </w:t>
      </w:r>
      <w:r>
        <w:t xml:space="preserve">“</w:t>
      </w:r>
      <w:r>
        <w:t xml:space="preserve">d</w:t>
      </w:r>
      <w:r>
        <w:t xml:space="preserve">”</w:t>
      </w:r>
      <w:r>
        <w:t xml:space="preserve"> </w:t>
      </w:r>
      <w:r>
        <w:t xml:space="preserve">→</w:t>
      </w:r>
      <w:r>
        <w:t xml:space="preserve"> </w:t>
      </w:r>
      <w:r>
        <w:t xml:space="preserve">“</w:t>
      </w:r>
      <w:r>
        <w:t xml:space="preserve">vṛd-dha</w:t>
      </w:r>
      <w:r>
        <w:t xml:space="preserve">”</w:t>
      </w:r>
      <w:r>
        <w:t xml:space="preserve"> </w:t>
      </w:r>
      <w:r>
        <w:t xml:space="preserve">=</w:t>
      </w:r>
      <w:r>
        <w:t xml:space="preserve"> </w:t>
      </w:r>
      <w:r>
        <w:t xml:space="preserve">“</w:t>
      </w:r>
      <w:r>
        <w:t xml:space="preserve">vṛddha</w:t>
      </w:r>
      <w:r>
        <w:t xml:space="preserve">”</w:t>
      </w:r>
      <w:r>
        <w:t xml:space="preserve">; end-acute by the affix’s accent (</w:t>
      </w:r>
      <w:r>
        <w:rPr>
          <w:bCs/>
          <w:b/>
        </w:rPr>
        <w:t xml:space="preserve">निष्ठा</w:t>
      </w:r>
      <w:r>
        <w:t xml:space="preserve">…). In the saṃhitā, the nominative</w:t>
      </w:r>
      <w:r>
        <w:t xml:space="preserve"> </w:t>
      </w:r>
      <w:r>
        <w:t xml:space="preserve">“</w:t>
      </w:r>
      <w:r>
        <w:t xml:space="preserve">su</w:t>
      </w:r>
      <w:r>
        <w:t xml:space="preserve">”</w:t>
      </w:r>
      <w:r>
        <w:t xml:space="preserve"> </w:t>
      </w:r>
      <w:r>
        <w:t xml:space="preserve">and</w:t>
      </w:r>
      <w:r>
        <w:t xml:space="preserve"> </w:t>
      </w:r>
      <w:r>
        <w:t xml:space="preserve">“</w:t>
      </w:r>
      <w:r>
        <w:t xml:space="preserve">ajāyathāḥ</w:t>
      </w:r>
      <w:r>
        <w:t xml:space="preserve">”</w:t>
      </w:r>
      <w:r>
        <w:t xml:space="preserve">:</w:t>
      </w:r>
      <w:r>
        <w:t xml:space="preserve"> </w:t>
      </w:r>
      <w:r>
        <w:rPr>
          <w:bCs/>
          <w:b/>
        </w:rPr>
        <w:t xml:space="preserve">ससजुषो रुः</w:t>
      </w:r>
      <w:r>
        <w:t xml:space="preserve"> </w:t>
      </w:r>
      <w:r>
        <w:t xml:space="preserve">(पा. ८-२-६६) puts</w:t>
      </w:r>
      <w:r>
        <w:t xml:space="preserve"> </w:t>
      </w:r>
      <w:r>
        <w:t xml:space="preserve">“</w:t>
      </w:r>
      <w:r>
        <w:t xml:space="preserve">ru</w:t>
      </w:r>
      <w:r>
        <w:t xml:space="preserve">”</w:t>
      </w:r>
      <w:r>
        <w:t xml:space="preserve"> </w:t>
      </w:r>
      <w:r>
        <w:t xml:space="preserve">for the</w:t>
      </w:r>
      <w:r>
        <w:t xml:space="preserve"> </w:t>
      </w:r>
      <w:r>
        <w:t xml:space="preserve">“</w:t>
      </w:r>
      <w:r>
        <w:t xml:space="preserve">s,</w:t>
      </w:r>
      <w:r>
        <w:t xml:space="preserve">”</w:t>
      </w:r>
      <w:r>
        <w:t xml:space="preserve"> </w:t>
      </w:r>
      <w:r>
        <w:rPr>
          <w:bCs/>
          <w:b/>
        </w:rPr>
        <w:t xml:space="preserve">अतो रोरप्लुतादप्लुते</w:t>
      </w:r>
      <w:r>
        <w:t xml:space="preserve"> </w:t>
      </w:r>
      <w:r>
        <w:t xml:space="preserve">(पा. ६-१-११३) turns</w:t>
      </w:r>
      <w:r>
        <w:t xml:space="preserve"> </w:t>
      </w:r>
      <w:r>
        <w:t xml:space="preserve">“</w:t>
      </w:r>
      <w:r>
        <w:t xml:space="preserve">ru</w:t>
      </w:r>
      <w:r>
        <w:t xml:space="preserve">”</w:t>
      </w:r>
      <w:r>
        <w:t xml:space="preserve"> </w:t>
      </w:r>
      <w:r>
        <w:t xml:space="preserve">into</w:t>
      </w:r>
      <w:r>
        <w:t xml:space="preserve"> </w:t>
      </w:r>
      <w:r>
        <w:t xml:space="preserve">“</w:t>
      </w:r>
      <w:r>
        <w:t xml:space="preserve">u</w:t>
      </w:r>
      <w:r>
        <w:t xml:space="preserve">”</w:t>
      </w:r>
      <w:r>
        <w:t xml:space="preserve"> </w:t>
      </w:r>
      <w:r>
        <w:t xml:space="preserve">after a short</w:t>
      </w:r>
      <w:r>
        <w:t xml:space="preserve"> </w:t>
      </w:r>
      <w:r>
        <w:t xml:space="preserve">“</w:t>
      </w:r>
      <w:r>
        <w:t xml:space="preserve">a</w:t>
      </w:r>
      <w:r>
        <w:t xml:space="preserve">”</w:t>
      </w:r>
      <w:r>
        <w:t xml:space="preserve"> </w:t>
      </w:r>
      <w:r>
        <w:t xml:space="preserve">before a short</w:t>
      </w:r>
      <w:r>
        <w:t xml:space="preserve"> </w:t>
      </w:r>
      <w:r>
        <w:t xml:space="preserve">“</w:t>
      </w:r>
      <w:r>
        <w:t xml:space="preserve">a,</w:t>
      </w:r>
      <w:r>
        <w:t xml:space="preserve">”</w:t>
      </w:r>
      <w:r>
        <w:t xml:space="preserve"> </w:t>
      </w:r>
      <w:r>
        <w:t xml:space="preserve">and</w:t>
      </w:r>
      <w:r>
        <w:t xml:space="preserve"> </w:t>
      </w:r>
      <w:r>
        <w:rPr>
          <w:bCs/>
          <w:b/>
        </w:rPr>
        <w:t xml:space="preserve">आद्गुणः</w:t>
      </w:r>
      <w:r>
        <w:t xml:space="preserve"> </w:t>
      </w:r>
      <w:r>
        <w:t xml:space="preserve">(पा. ६-१-८७) yields</w:t>
      </w:r>
      <w:r>
        <w:t xml:space="preserve"> </w:t>
      </w:r>
      <w:r>
        <w:t xml:space="preserve">“</w:t>
      </w:r>
      <w:r>
        <w:t xml:space="preserve">o</w:t>
      </w:r>
      <w:r>
        <w:t xml:space="preserve">”</w:t>
      </w:r>
      <w:r>
        <w:t xml:space="preserve">;</w:t>
      </w:r>
      <w:r>
        <w:t xml:space="preserve"> </w:t>
      </w:r>
      <w:r>
        <w:rPr>
          <w:bCs/>
          <w:b/>
        </w:rPr>
        <w:t xml:space="preserve">एङः पदान्तादति</w:t>
      </w:r>
      <w:r>
        <w:t xml:space="preserve"> </w:t>
      </w:r>
      <w:r>
        <w:t xml:space="preserve">(पा. ६-१-१०९) would absorb the following</w:t>
      </w:r>
      <w:r>
        <w:t xml:space="preserve"> </w:t>
      </w:r>
      <w:r>
        <w:t xml:space="preserve">“</w:t>
      </w:r>
      <w:r>
        <w:t xml:space="preserve">a,</w:t>
      </w:r>
      <w:r>
        <w:t xml:space="preserve">”</w:t>
      </w:r>
      <w:r>
        <w:t xml:space="preserve"> </w:t>
      </w:r>
      <w:r>
        <w:t xml:space="preserve">but</w:t>
      </w:r>
      <w:r>
        <w:t xml:space="preserve"> </w:t>
      </w:r>
      <w:r>
        <w:rPr>
          <w:bCs/>
          <w:b/>
        </w:rPr>
        <w:t xml:space="preserve">प्रकृत्यान्तःपादमव्यपरे</w:t>
      </w:r>
      <w:r>
        <w:t xml:space="preserve"> </w:t>
      </w:r>
      <w:r>
        <w:t xml:space="preserve">(पा. ६-१-११५) keeps the natural form inside the pāda when a short vowel not followed by</w:t>
      </w:r>
      <w:r>
        <w:t xml:space="preserve"> </w:t>
      </w:r>
      <w:r>
        <w:t xml:space="preserve">“</w:t>
      </w:r>
      <w:r>
        <w:t xml:space="preserve">y/v</w:t>
      </w:r>
      <w:r>
        <w:t xml:space="preserve">”</w:t>
      </w:r>
      <w:r>
        <w:t xml:space="preserve"> </w:t>
      </w:r>
      <w:r>
        <w:t xml:space="preserve">follows; here</w:t>
      </w:r>
      <w:r>
        <w:t xml:space="preserve"> </w:t>
      </w:r>
      <w:r>
        <w:t xml:space="preserve">“</w:t>
      </w:r>
      <w:r>
        <w:t xml:space="preserve">ajāyathāḥ</w:t>
      </w:r>
      <w:r>
        <w:t xml:space="preserve">”</w:t>
      </w:r>
      <w:r>
        <w:t xml:space="preserve"> </w:t>
      </w:r>
      <w:r>
        <w:t xml:space="preserve">begins with a short</w:t>
      </w:r>
      <w:r>
        <w:t xml:space="preserve"> </w:t>
      </w:r>
      <w:r>
        <w:t xml:space="preserve">“</w:t>
      </w:r>
      <w:r>
        <w:t xml:space="preserve">a</w:t>
      </w:r>
      <w:r>
        <w:t xml:space="preserve">”</w:t>
      </w:r>
      <w:r>
        <w:t xml:space="preserve"> </w:t>
      </w:r>
      <w:r>
        <w:t xml:space="preserve">not preceded by</w:t>
      </w:r>
      <w:r>
        <w:t xml:space="preserve"> </w:t>
      </w:r>
      <w:r>
        <w:t xml:space="preserve">“</w:t>
      </w:r>
      <w:r>
        <w:t xml:space="preserve">y/v,</w:t>
      </w:r>
      <w:r>
        <w:t xml:space="preserve">”</w:t>
      </w:r>
      <w:r>
        <w:t xml:space="preserve"> </w:t>
      </w:r>
      <w:r>
        <w:t xml:space="preserve">so</w:t>
      </w:r>
      <w:r>
        <w:t xml:space="preserve"> </w:t>
      </w:r>
      <w:r>
        <w:t xml:space="preserve">“</w:t>
      </w:r>
      <w:r>
        <w:t xml:space="preserve">o</w:t>
      </w:r>
      <w:r>
        <w:t xml:space="preserve">”</w:t>
      </w:r>
      <w:r>
        <w:t xml:space="preserve"> </w:t>
      </w:r>
      <w:r>
        <w:t xml:space="preserve">is retained —</w:t>
      </w:r>
      <w:r>
        <w:t xml:space="preserve"> </w:t>
      </w:r>
      <w:r>
        <w:t xml:space="preserve">“</w:t>
      </w:r>
      <w:r>
        <w:t xml:space="preserve">vṛddho ajāyathāḥ</w:t>
      </w:r>
      <w:r>
        <w:t xml:space="preserve">”</w:t>
      </w:r>
      <w:r>
        <w:t xml:space="preserve"> </w:t>
      </w:r>
      <w:r>
        <w:t xml:space="preserve">— with no further sandhi.</w:t>
      </w:r>
      <w:r>
        <w:t xml:space="preserve"> </w:t>
      </w:r>
      <w:r>
        <w:t xml:space="preserve">-</w:t>
      </w:r>
      <w:r>
        <w:t xml:space="preserve"> </w:t>
      </w:r>
      <w:r>
        <w:rPr>
          <w:bCs/>
          <w:b/>
        </w:rPr>
        <w:t xml:space="preserve">“</w:t>
      </w:r>
      <w:r>
        <w:rPr>
          <w:bCs/>
          <w:b/>
        </w:rPr>
        <w:t xml:space="preserve">Ajāyathāḥ</w:t>
      </w:r>
      <w:r>
        <w:rPr>
          <w:bCs/>
          <w:b/>
        </w:rPr>
        <w:t xml:space="preserve">”</w:t>
      </w:r>
      <w:r>
        <w:t xml:space="preserve"> </w:t>
      </w:r>
      <w:r>
        <w:t xml:space="preserve">—</w:t>
      </w:r>
      <w:r>
        <w:t xml:space="preserve"> </w:t>
      </w:r>
      <w:r>
        <w:t xml:space="preserve">“</w:t>
      </w:r>
      <w:r>
        <w:t xml:space="preserve">janī prādurbhāve</w:t>
      </w:r>
      <w:r>
        <w:t xml:space="preserve">”</w:t>
      </w:r>
      <w:r>
        <w:t xml:space="preserve"> </w:t>
      </w:r>
      <w:r>
        <w:t xml:space="preserve">(to be born);</w:t>
      </w:r>
      <w:r>
        <w:t xml:space="preserve"> </w:t>
      </w:r>
      <w:r>
        <w:t xml:space="preserve">“</w:t>
      </w:r>
      <w:r>
        <w:t xml:space="preserve">laṅ,</w:t>
      </w:r>
      <w:r>
        <w:t xml:space="preserve">”</w:t>
      </w:r>
      <w:r>
        <w:t xml:space="preserve"> </w:t>
      </w:r>
      <w:r>
        <w:t xml:space="preserve">ātmanepada, second-person singular</w:t>
      </w:r>
      <w:r>
        <w:t xml:space="preserve"> </w:t>
      </w:r>
      <w:r>
        <w:t xml:space="preserve">“</w:t>
      </w:r>
      <w:r>
        <w:t xml:space="preserve">thās</w:t>
      </w:r>
      <w:r>
        <w:t xml:space="preserve">”</w:t>
      </w:r>
      <w:r>
        <w:t xml:space="preserve">;</w:t>
      </w:r>
      <w:r>
        <w:t xml:space="preserve"> </w:t>
      </w:r>
      <w:r>
        <w:rPr>
          <w:bCs/>
          <w:b/>
        </w:rPr>
        <w:t xml:space="preserve">दिवादिभ्यः श्यन्</w:t>
      </w:r>
      <w:r>
        <w:t xml:space="preserve"> </w:t>
      </w:r>
      <w:r>
        <w:t xml:space="preserve">(पा. ३-१-६९) —</w:t>
      </w:r>
      <w:r>
        <w:t xml:space="preserve"> </w:t>
      </w:r>
      <w:r>
        <w:t xml:space="preserve">“</w:t>
      </w:r>
      <w:r>
        <w:t xml:space="preserve">śyan</w:t>
      </w:r>
      <w:r>
        <w:t xml:space="preserve">”</w:t>
      </w:r>
      <w:r>
        <w:t xml:space="preserve"> </w:t>
      </w:r>
      <w:r>
        <w:t xml:space="preserve">after a root of the</w:t>
      </w:r>
      <w:r>
        <w:t xml:space="preserve"> </w:t>
      </w:r>
      <w:r>
        <w:t xml:space="preserve">“</w:t>
      </w:r>
      <w:r>
        <w:t xml:space="preserve">div</w:t>
      </w:r>
      <w:r>
        <w:t xml:space="preserve">”</w:t>
      </w:r>
      <w:r>
        <w:t xml:space="preserve">-class;</w:t>
      </w:r>
      <w:r>
        <w:t xml:space="preserve"> </w:t>
      </w:r>
      <w:r>
        <w:t xml:space="preserve">“</w:t>
      </w:r>
      <w:r>
        <w:t xml:space="preserve">jan + ya + thās</w:t>
      </w:r>
      <w:r>
        <w:t xml:space="preserve">”</w:t>
      </w:r>
      <w:r>
        <w:t xml:space="preserve">;</w:t>
      </w:r>
      <w:r>
        <w:t xml:space="preserve"> </w:t>
      </w:r>
      <w:r>
        <w:rPr>
          <w:bCs/>
          <w:b/>
        </w:rPr>
        <w:t xml:space="preserve">ज्ञाजनोर्जा</w:t>
      </w:r>
      <w:r>
        <w:t xml:space="preserve"> </w:t>
      </w:r>
      <w:r>
        <w:t xml:space="preserve">(पा. ७-३-७९) —</w:t>
      </w:r>
      <w:r>
        <w:t xml:space="preserve"> </w:t>
      </w:r>
      <w:r>
        <w:t xml:space="preserve">“</w:t>
      </w:r>
      <w:r>
        <w:t xml:space="preserve">jā</w:t>
      </w:r>
      <w:r>
        <w:t xml:space="preserve">”</w:t>
      </w:r>
      <w:r>
        <w:t xml:space="preserve"> </w:t>
      </w:r>
      <w:r>
        <w:t xml:space="preserve">for</w:t>
      </w:r>
      <w:r>
        <w:t xml:space="preserve"> </w:t>
      </w:r>
      <w:r>
        <w:t xml:space="preserve">“</w:t>
      </w:r>
      <w:r>
        <w:t xml:space="preserve">jñā</w:t>
      </w:r>
      <w:r>
        <w:t xml:space="preserve">”</w:t>
      </w:r>
      <w:r>
        <w:t xml:space="preserve"> </w:t>
      </w:r>
      <w:r>
        <w:t xml:space="preserve">and</w:t>
      </w:r>
      <w:r>
        <w:t xml:space="preserve"> </w:t>
      </w:r>
      <w:r>
        <w:t xml:space="preserve">“</w:t>
      </w:r>
      <w:r>
        <w:t xml:space="preserve">jan</w:t>
      </w:r>
      <w:r>
        <w:t xml:space="preserve">”</w:t>
      </w:r>
      <w:r>
        <w:t xml:space="preserve"> </w:t>
      </w:r>
      <w:r>
        <w:t xml:space="preserve">before an affix beginning with a</w:t>
      </w:r>
      <w:r>
        <w:t xml:space="preserve"> </w:t>
      </w:r>
      <w:r>
        <w:t xml:space="preserve">“</w:t>
      </w:r>
      <w:r>
        <w:t xml:space="preserve">ś</w:t>
      </w:r>
      <w:r>
        <w:t xml:space="preserve">”</w:t>
      </w:r>
      <w:r>
        <w:t xml:space="preserve">-marked …;</w:t>
      </w:r>
      <w:r>
        <w:t xml:space="preserve"> </w:t>
      </w:r>
      <w:r>
        <w:rPr>
          <w:bCs/>
          <w:b/>
        </w:rPr>
        <w:t xml:space="preserve">लुङ्लङ्लृङ्क्ष्वडुदात्तः</w:t>
      </w:r>
      <w:r>
        <w:t xml:space="preserve"> </w:t>
      </w:r>
      <w:r>
        <w:t xml:space="preserve">(पा. ६-४-७१) the augment</w:t>
      </w:r>
      <w:r>
        <w:t xml:space="preserve"> </w:t>
      </w:r>
      <w:r>
        <w:t xml:space="preserve">“</w:t>
      </w:r>
      <w:r>
        <w:t xml:space="preserve">aṭ</w:t>
      </w:r>
      <w:r>
        <w:t xml:space="preserve">”</w:t>
      </w:r>
      <w:r>
        <w:t xml:space="preserve"> </w:t>
      </w:r>
      <w:r>
        <w:t xml:space="preserve">(acute) before</w:t>
      </w:r>
      <w:r>
        <w:t xml:space="preserve"> </w:t>
      </w:r>
      <w:r>
        <w:t xml:space="preserve">“</w:t>
      </w:r>
      <w:r>
        <w:t xml:space="preserve">laṅ</w:t>
      </w:r>
      <w:r>
        <w:t xml:space="preserve">”</w:t>
      </w:r>
      <w:r>
        <w:t xml:space="preserve">;</w:t>
      </w:r>
      <w:r>
        <w:t xml:space="preserve"> </w:t>
      </w:r>
      <w:r>
        <w:rPr>
          <w:bCs/>
          <w:b/>
        </w:rPr>
        <w:t xml:space="preserve">ससजुषो रुः</w:t>
      </w:r>
      <w:r>
        <w:t xml:space="preserve"> </w:t>
      </w:r>
      <w:r>
        <w:t xml:space="preserve">and visarga:</w:t>
      </w:r>
      <w:r>
        <w:t xml:space="preserve"> </w:t>
      </w:r>
      <w:r>
        <w:t xml:space="preserve">“</w:t>
      </w:r>
      <w:r>
        <w:t xml:space="preserve">ajāyathāḥ.</w:t>
      </w:r>
      <w:r>
        <w:t xml:space="preserve">”</w:t>
      </w:r>
      <w:r>
        <w:t xml:space="preserve"> </w:t>
      </w:r>
      <w:r>
        <w:t xml:space="preserve">The accent of the word: the</w:t>
      </w:r>
      <w:r>
        <w:t xml:space="preserve"> </w:t>
      </w:r>
      <w:r>
        <w:t xml:space="preserve">“</w:t>
      </w:r>
      <w:r>
        <w:t xml:space="preserve">aṭ</w:t>
      </w:r>
      <w:r>
        <w:t xml:space="preserve">”</w:t>
      </w:r>
      <w:r>
        <w:t xml:space="preserve"> </w:t>
      </w:r>
      <w:r>
        <w:t xml:space="preserve">augment’s acute, and the rest unaccented; in the saṃhitā the</w:t>
      </w:r>
      <w:r>
        <w:t xml:space="preserve"> </w:t>
      </w:r>
      <w:r>
        <w:t xml:space="preserve">“</w:t>
      </w:r>
      <w:r>
        <w:t xml:space="preserve">o</w:t>
      </w:r>
      <w:r>
        <w:t xml:space="preserve">”</w:t>
      </w:r>
      <w:r>
        <w:t xml:space="preserve"> </w:t>
      </w:r>
      <w:r>
        <w:t xml:space="preserve">of the preceding</w:t>
      </w:r>
      <w:r>
        <w:t xml:space="preserve"> </w:t>
      </w:r>
      <w:r>
        <w:t xml:space="preserve">“</w:t>
      </w:r>
      <w:r>
        <w:t xml:space="preserve">vṛddho</w:t>
      </w:r>
      <w:r>
        <w:t xml:space="preserve">”</w:t>
      </w:r>
      <w:r>
        <w:t xml:space="preserve"> </w:t>
      </w:r>
      <w:r>
        <w:t xml:space="preserve">and the</w:t>
      </w:r>
      <w:r>
        <w:t xml:space="preserve"> </w:t>
      </w:r>
      <w:r>
        <w:t xml:space="preserve">“</w:t>
      </w:r>
      <w:r>
        <w:t xml:space="preserve">a</w:t>
      </w:r>
      <w:r>
        <w:t xml:space="preserve">”</w:t>
      </w:r>
      <w:r>
        <w:t xml:space="preserve"> </w:t>
      </w:r>
      <w:r>
        <w:t xml:space="preserve">of</w:t>
      </w:r>
      <w:r>
        <w:t xml:space="preserve"> </w:t>
      </w:r>
      <w:r>
        <w:t xml:space="preserve">“</w:t>
      </w:r>
      <w:r>
        <w:t xml:space="preserve">ajāyathāḥ</w:t>
      </w:r>
      <w:r>
        <w:t xml:space="preserve">”</w:t>
      </w:r>
      <w:r>
        <w:t xml:space="preserve"> </w:t>
      </w:r>
      <w:r>
        <w:t xml:space="preserve">…</w:t>
      </w:r>
      <w:r>
        <w:t xml:space="preserve"> </w:t>
      </w:r>
      <w:r>
        <w:rPr>
          <w:iCs/>
          <w:i/>
        </w:rPr>
        <w:t xml:space="preserve">(continues on the next page)</w:t>
      </w:r>
    </w:p>
    <w:bookmarkEnd w:id="216"/>
    <w:bookmarkStart w:id="217" w:name="Xe6d6029275ded538cc75ce0ff910aaf98cf51fd"/>
    <w:p>
      <w:pPr>
        <w:pStyle w:val="Heading3"/>
      </w:pPr>
      <w:r>
        <w:t xml:space="preserve">Page 182 — Rik 5.6 grammar concluded; Sūkta 5, Seventh Mantra: Saṃhitā, Pada, Sāyaṇa-bhāṣya</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5.</w:t>
      </w:r>
      <w:r>
        <w:rPr>
          <w:iCs/>
          <w:i/>
        </w:rPr>
        <w:t xml:space="preserve">”</w:t>
      </w:r>
      <w:r>
        <w:rPr>
          <w:iCs/>
          <w:i/>
        </w:rPr>
        <w:t xml:space="preserve"> </w:t>
      </w:r>
      <w:r>
        <w:rPr>
          <w:iCs/>
          <w:i/>
        </w:rPr>
        <w:t xml:space="preserve">Sanskrit printed in Kannada script; read from enlarged slices. Accent-marks are printed in the text on this page; they are not reproduced here, per the standing convention.)</w:t>
      </w:r>
    </w:p>
    <w:p>
      <w:pPr>
        <w:pStyle w:val="BodyText"/>
      </w:pPr>
      <w:r>
        <w:rPr>
          <w:iCs/>
          <w:i/>
        </w:rPr>
        <w:t xml:space="preserve">(Concluding</w:t>
      </w:r>
      <w:r>
        <w:rPr>
          <w:iCs/>
          <w:i/>
        </w:rPr>
        <w:t xml:space="preserve"> </w:t>
      </w:r>
      <w:r>
        <w:rPr>
          <w:iCs/>
          <w:i/>
        </w:rPr>
        <w:t xml:space="preserve">“</w:t>
      </w:r>
      <w:r>
        <w:rPr>
          <w:iCs/>
          <w:i/>
        </w:rPr>
        <w:t xml:space="preserve">ajāyathāḥ</w:t>
      </w:r>
      <w:r>
        <w:rPr>
          <w:iCs/>
          <w:i/>
        </w:rPr>
        <w:t xml:space="preserve">”</w:t>
      </w:r>
      <w:r>
        <w:rPr>
          <w:iCs/>
          <w:i/>
        </w:rPr>
        <w:t xml:space="preserve">:)</w:t>
      </w:r>
      <w:r>
        <w:t xml:space="preserve"> </w:t>
      </w:r>
      <w:r>
        <w:t xml:space="preserve">“…</w:t>
      </w:r>
      <w:r>
        <w:t xml:space="preserve">‘</w:t>
      </w:r>
      <w:r>
        <w:t xml:space="preserve">thās</w:t>
      </w:r>
      <w:r>
        <w:t xml:space="preserve">’</w:t>
      </w:r>
      <w:r>
        <w:t xml:space="preserve"> </w:t>
      </w:r>
      <w:r>
        <w:t xml:space="preserve">→</w:t>
      </w:r>
      <w:r>
        <w:t xml:space="preserve"> </w:t>
      </w:r>
      <w:r>
        <w:t xml:space="preserve">‘</w:t>
      </w:r>
      <w:r>
        <w:t xml:space="preserve">thās</w:t>
      </w:r>
      <w:r>
        <w:t xml:space="preserve">’</w:t>
      </w:r>
      <w:r>
        <w:t xml:space="preserve"> </w:t>
      </w:r>
      <w:r>
        <w:t xml:space="preserve">with the</w:t>
      </w:r>
      <w:r>
        <w:t xml:space="preserve"> </w:t>
      </w:r>
      <w:r>
        <w:t xml:space="preserve">‘</w:t>
      </w:r>
      <w:r>
        <w:t xml:space="preserve">ru</w:t>
      </w:r>
      <w:r>
        <w:t xml:space="preserve">’</w:t>
      </w:r>
      <w:r>
        <w:t xml:space="preserve"> </w:t>
      </w:r>
      <w:r>
        <w:t xml:space="preserve">and visarga of the</w:t>
      </w:r>
      <w:r>
        <w:t xml:space="preserve"> </w:t>
      </w:r>
      <w:r>
        <w:t xml:space="preserve">‘</w:t>
      </w:r>
      <w:r>
        <w:t xml:space="preserve">s</w:t>
      </w:r>
      <w:r>
        <w:t xml:space="preserve">’</w:t>
      </w:r>
      <w:r>
        <w:t xml:space="preserve"> </w:t>
      </w:r>
      <w:r>
        <w:t xml:space="preserve">gives</w:t>
      </w:r>
      <w:r>
        <w:t xml:space="preserve"> </w:t>
      </w:r>
      <w:r>
        <w:t xml:space="preserve">‘</w:t>
      </w:r>
      <w:r>
        <w:t xml:space="preserve">ajāyathāḥ.</w:t>
      </w:r>
      <w:r>
        <w:t xml:space="preserve">’</w:t>
      </w:r>
      <w:r>
        <w:t xml:space="preserve"> </w:t>
      </w:r>
      <w:r>
        <w:t xml:space="preserve">By</w:t>
      </w:r>
      <w:r>
        <w:t xml:space="preserve"> </w:t>
      </w:r>
      <w:r>
        <w:rPr>
          <w:bCs/>
          <w:b/>
        </w:rPr>
        <w:t xml:space="preserve">तिङ्ङतिङः</w:t>
      </w:r>
      <w:r>
        <w:t xml:space="preserve"> </w:t>
      </w:r>
      <w:r>
        <w:t xml:space="preserve">(पा. ८-१-२८) the word is made unaccented only when a preceding word that is not a tiṅanta stands before it; here, with</w:t>
      </w:r>
      <w:r>
        <w:t xml:space="preserve"> </w:t>
      </w:r>
      <w:r>
        <w:t xml:space="preserve">‘</w:t>
      </w:r>
      <w:r>
        <w:t xml:space="preserve">aṭ</w:t>
      </w:r>
      <w:r>
        <w:t xml:space="preserve">’</w:t>
      </w:r>
      <w:r>
        <w:t xml:space="preserve"> </w:t>
      </w:r>
      <w:r>
        <w:t xml:space="preserve">acute, the first syllable is acute; in the saṃhitā, since the acute of</w:t>
      </w:r>
      <w:r>
        <w:t xml:space="preserve"> </w:t>
      </w:r>
      <w:r>
        <w:t xml:space="preserve">‘</w:t>
      </w:r>
      <w:r>
        <w:t xml:space="preserve">o</w:t>
      </w:r>
      <w:r>
        <w:t xml:space="preserve">’</w:t>
      </w:r>
      <w:r>
        <w:t xml:space="preserve"> </w:t>
      </w:r>
      <w:r>
        <w:t xml:space="preserve">stands before it, the</w:t>
      </w:r>
      <w:r>
        <w:t xml:space="preserve"> </w:t>
      </w:r>
      <w:r>
        <w:t xml:space="preserve">‘</w:t>
      </w:r>
      <w:r>
        <w:t xml:space="preserve">a</w:t>
      </w:r>
      <w:r>
        <w:t xml:space="preserve">’</w:t>
      </w:r>
      <w:r>
        <w:t xml:space="preserve"> </w:t>
      </w:r>
      <w:r>
        <w:t xml:space="preserve">of the</w:t>
      </w:r>
      <w:r>
        <w:t xml:space="preserve"> </w:t>
      </w:r>
      <w:r>
        <w:t xml:space="preserve">‘</w:t>
      </w:r>
      <w:r>
        <w:t xml:space="preserve">aṭ</w:t>
      </w:r>
      <w:r>
        <w:t xml:space="preserve">’</w:t>
      </w:r>
      <w:r>
        <w:t xml:space="preserve"> </w:t>
      </w:r>
      <w:r>
        <w:t xml:space="preserve">(the first syllable of</w:t>
      </w:r>
      <w:r>
        <w:t xml:space="preserve"> </w:t>
      </w:r>
      <w:r>
        <w:t xml:space="preserve">‘</w:t>
      </w:r>
      <w:r>
        <w:t xml:space="preserve">ajāyathāḥ</w:t>
      </w:r>
      <w:r>
        <w:t xml:space="preserve">’</w:t>
      </w:r>
      <w:r>
        <w:t xml:space="preserve">) becomes svarita, and the remaining two syllables</w:t>
      </w:r>
      <w:r>
        <w:t xml:space="preserve"> </w:t>
      </w:r>
      <w:r>
        <w:t xml:space="preserve">‘</w:t>
      </w:r>
      <w:r>
        <w:t xml:space="preserve">āyathāḥ,</w:t>
      </w:r>
      <w:r>
        <w:t xml:space="preserve">’</w:t>
      </w:r>
      <w:r>
        <w:t xml:space="preserve"> </w:t>
      </w:r>
      <w:r>
        <w:t xml:space="preserve">following a svarita, are level (</w:t>
      </w:r>
      <w:r>
        <w:rPr>
          <w:bCs/>
          <w:b/>
        </w:rPr>
        <w:t xml:space="preserve">स्वरितात्संहितायामनुदात्तानाम्</w:t>
      </w:r>
      <w:r>
        <w:t xml:space="preserve">, पा. १-२-३९).</w:t>
      </w:r>
    </w:p>
    <w:p>
      <w:pPr>
        <w:pStyle w:val="BodyText"/>
      </w:pPr>
      <w:r>
        <w:rPr>
          <w:bCs/>
          <w:b/>
        </w:rPr>
        <w:t xml:space="preserve">“</w:t>
      </w:r>
      <w:r>
        <w:rPr>
          <w:bCs/>
          <w:b/>
        </w:rPr>
        <w:t xml:space="preserve">Jyaiṣṭhyāya</w:t>
      </w:r>
      <w:r>
        <w:rPr>
          <w:bCs/>
          <w:b/>
        </w:rPr>
        <w:t xml:space="preserve">”</w:t>
      </w:r>
      <w:r>
        <w:t xml:space="preserve"> </w:t>
      </w:r>
      <w:r>
        <w:t xml:space="preserve">—</w:t>
      </w:r>
      <w:r>
        <w:t xml:space="preserve"> </w:t>
      </w:r>
      <w:r>
        <w:t xml:space="preserve">“</w:t>
      </w:r>
      <w:r>
        <w:t xml:space="preserve">jyeṣṭhasya bhāvaḥ jyaiṣṭhyam</w:t>
      </w:r>
      <w:r>
        <w:t xml:space="preserve">”</w:t>
      </w:r>
      <w:r>
        <w:t xml:space="preserve">:</w:t>
      </w:r>
      <w:r>
        <w:t xml:space="preserve"> </w:t>
      </w:r>
      <w:r>
        <w:rPr>
          <w:bCs/>
          <w:b/>
        </w:rPr>
        <w:t xml:space="preserve">गुणवचनब्राह्मणादिभ्यः कर्मणि च</w:t>
      </w:r>
      <w:r>
        <w:t xml:space="preserve"> </w:t>
      </w:r>
      <w:r>
        <w:t xml:space="preserve">(पा. ५-१-१२४) — the affix</w:t>
      </w:r>
      <w:r>
        <w:t xml:space="preserve"> </w:t>
      </w:r>
      <w:r>
        <w:t xml:space="preserve">“</w:t>
      </w:r>
      <w:r>
        <w:t xml:space="preserve">ṣyañ</w:t>
      </w:r>
      <w:r>
        <w:t xml:space="preserve">”</w:t>
      </w:r>
      <w:r>
        <w:t xml:space="preserve"> </w:t>
      </w:r>
      <w:r>
        <w:t xml:space="preserve">in the sense of state or action after words of quality and after the</w:t>
      </w:r>
      <w:r>
        <w:t xml:space="preserve"> </w:t>
      </w:r>
      <w:r>
        <w:t xml:space="preserve">“</w:t>
      </w:r>
      <w:r>
        <w:t xml:space="preserve">brāhmaṇa</w:t>
      </w:r>
      <w:r>
        <w:t xml:space="preserve">”</w:t>
      </w:r>
      <w:r>
        <w:t xml:space="preserve">-class words;</w:t>
      </w:r>
      <w:r>
        <w:t xml:space="preserve"> </w:t>
      </w:r>
      <w:r>
        <w:t xml:space="preserve">“</w:t>
      </w:r>
      <w:r>
        <w:t xml:space="preserve">ñ</w:t>
      </w:r>
      <w:r>
        <w:t xml:space="preserve">”</w:t>
      </w:r>
      <w:r>
        <w:t xml:space="preserve">-marked, so first-syllable acute. ॥६॥</w:t>
      </w:r>
    </w:p>
    <w:p>
      <w:r>
        <w:pict>
          <v:rect style="width:0;height:1.5pt" o:hralign="center" o:hrstd="t" o:hr="t"/>
        </w:pict>
      </w:r>
    </w:p>
    <w:bookmarkEnd w:id="217"/>
    <w:bookmarkStart w:id="218" w:name="sūkta-5-the-seventh-mantra"/>
    <w:p>
      <w:pPr>
        <w:pStyle w:val="Heading3"/>
      </w:pPr>
      <w:r>
        <w:t xml:space="preserve">Sūkta 5, The Seventh Mantra</w:t>
      </w:r>
    </w:p>
    <w:p>
      <w:pPr>
        <w:pStyle w:val="FirstParagraph"/>
      </w:pPr>
      <w:r>
        <w:rPr>
          <w:bCs/>
          <w:b/>
        </w:rPr>
        <w:t xml:space="preserve">॥ Saṃhitā-pāṭhaḥ ॥</w:t>
      </w:r>
    </w:p>
    <w:p>
      <w:pPr>
        <w:pStyle w:val="BlockText"/>
      </w:pPr>
      <w:r>
        <w:t xml:space="preserve">आ त्वा॑ विशंत्वा॒शवः॒ सोमा॑स इंद्र गिर्वणः ।</w:t>
      </w:r>
      <w:r>
        <w:t xml:space="preserve"> </w:t>
      </w:r>
      <w:r>
        <w:t xml:space="preserve">शं ते॑ संतु॒ प्रचे॑तसे ॥७॥</w:t>
      </w:r>
    </w:p>
    <w:p>
      <w:pPr>
        <w:pStyle w:val="BlockText"/>
      </w:pPr>
      <w:r>
        <w:rPr>
          <w:iCs/>
          <w:i/>
        </w:rPr>
        <w:t xml:space="preserve">ā́ tvā viśaṃtvāśávaḥ sómāsa iṃdra girvaṇaḥ |</w:t>
      </w:r>
      <w:r>
        <w:t xml:space="preserve"> </w:t>
      </w:r>
      <w:r>
        <w:rPr>
          <w:iCs/>
          <w:i/>
        </w:rPr>
        <w:t xml:space="preserve">śáṃ te saṃtu prácetase ||7||</w:t>
      </w:r>
    </w:p>
    <w:p>
      <w:pPr>
        <w:pStyle w:val="FirstParagraph"/>
      </w:pPr>
      <w:r>
        <w:rPr>
          <w:bCs/>
          <w:b/>
        </w:rPr>
        <w:t xml:space="preserve">॥ Pada-pāṭhaḥ ॥</w:t>
      </w:r>
    </w:p>
    <w:p>
      <w:pPr>
        <w:pStyle w:val="BlockText"/>
      </w:pPr>
      <w:r>
        <w:t xml:space="preserve">आ । त्वा । विशन्तु । आशवः । सोमासः । इन्द्र । गिर्वणः ।</w:t>
      </w:r>
      <w:r>
        <w:t xml:space="preserve"> </w:t>
      </w:r>
      <w:r>
        <w:t xml:space="preserve">शम् । ते । सन्तु । प्रऽचेतसे ॥७॥</w:t>
      </w:r>
    </w:p>
    <w:p>
      <w:pPr>
        <w:pStyle w:val="FirstParagraph"/>
      </w:pPr>
      <w:r>
        <w:rPr>
          <w:bCs/>
          <w:b/>
        </w:rPr>
        <w:t xml:space="preserve">॥ Sāyaṇa-bhāṣyam ॥</w:t>
      </w:r>
    </w:p>
    <w:p>
      <w:pPr>
        <w:pStyle w:val="BlockText"/>
      </w:pPr>
      <w:r>
        <w:t xml:space="preserve">हे इन्द्र त्वां सोमासः सोमा आ विशन्तु । आभिमुख्येन प्रविशन्तु । कीदृशाः सोमाः । आशवः सवनत्रयं प्रकृतिविकृत्योर्वा व्याप्तिमन्तः । कीदृश इन्द्र । गिर्वणो गीर्भिः स्तुतिभिः संभजनीयो देवविशेषः । गिर्वणा देवो भवति गीर्भिरेनं वनयन्ति । नि. ६-१४ । इति यास्कः । तथाविध हे इन्द्र ते तव प्रचेतसे प्रकृष्टज्ञानाय शं सुखरूपाः सोमाः सन्तु ॥ गिर्वणः । गृणन्तीति गिरः स्तुतयः । गॄ शब्दे । क्विप्यृत इद्धातोः । पा. ७-१-१०० । इतीत्वं रपरत्वं च । गीर्भिर्वन्यते सेव्यत इति गिर्वणाः । वन षण संभक्तौ । संभक्तिः सेवा । सर्वधातुभ्योऽसुन् । उ. ४-१८८ । इत्यसुन्प्रत्ययः । प्रचेतसे । बहुव्रीहौ पूर्वपदप्रकृतिस्वरत्वम् ॥</w:t>
      </w:r>
      <w:r>
        <w:t xml:space="preserve"> </w:t>
      </w:r>
      <w:r>
        <w:rPr>
          <w:iCs/>
          <w:i/>
        </w:rPr>
        <w:t xml:space="preserve">he indra tvāṃ somāsaḥ somā ā viśantu | ābhimukhyena praviśantu | kīdṛśāḥ somāḥ | āśavaḥ savana-trayaṃ prakṛti-vikṛtyor vā vyāptimantaḥ | kīdṛśa indra | girvaṇo gīrbhiḥ stutibhiḥ sambhajanīyo deva-viśeṣaḥ | girvaṇā devo bhavati gīrbhir enaṃ vanayanti | ni. 6-14 | iti yāskaḥ | tathā-vidha he indra te tava pracetase prakṛṣṭa-jñānāya śaṃ sukha-rūpāḥ somāḥ santu || girvaṇaḥ | gṛṇantīti giraḥ stutayaḥ | gṝ śabde | kvipy ṛta id dhātoḥ | pā. 7-1-100 | itītvaṃ raparatvaṃ ca | gīrbhir vanyate sevyata iti girvaṇāḥ | vana ṣaṇa sambhaktau | sambhaktiḥ sevā | sarva-dhātubhyo ’sun | u. 4-188 | ity asun-pratyayaḥ | pracetase | bahuvrīhau pūrvapada-prakṛti-svaratvam ||</w:t>
      </w:r>
      <w:r>
        <w:t xml:space="preserve"> </w:t>
      </w:r>
      <w:r>
        <w:rPr>
          <w:iCs/>
          <w:i/>
        </w:rPr>
        <w:t xml:space="preserve">(Reading note: re-read from the better scan, the print has</w:t>
      </w:r>
      <w:r>
        <w:rPr>
          <w:iCs/>
          <w:i/>
        </w:rPr>
        <w:t xml:space="preserve"> </w:t>
      </w:r>
      <w:r>
        <w:rPr>
          <w:iCs/>
          <w:i/>
        </w:rPr>
        <w:t xml:space="preserve">“</w:t>
      </w:r>
      <w:r>
        <w:rPr>
          <w:iCs/>
          <w:i/>
        </w:rPr>
        <w:t xml:space="preserve">kvipy ṛta id dhātoḥ</w:t>
      </w:r>
      <w:r>
        <w:rPr>
          <w:iCs/>
          <w:i/>
        </w:rPr>
        <w:t xml:space="preserve">”</w:t>
      </w:r>
      <w:r>
        <w:rPr>
          <w:iCs/>
          <w:i/>
        </w:rPr>
        <w:t xml:space="preserve"> </w:t>
      </w:r>
      <w:r>
        <w:rPr>
          <w:iCs/>
          <w:i/>
        </w:rPr>
        <w:t xml:space="preserve">(पा. ७-१-१००) and</w:t>
      </w:r>
      <w:r>
        <w:rPr>
          <w:iCs/>
          <w:i/>
        </w:rPr>
        <w:t xml:space="preserve"> </w:t>
      </w:r>
      <w:r>
        <w:rPr>
          <w:iCs/>
          <w:i/>
        </w:rPr>
        <w:t xml:space="preserve">“</w:t>
      </w:r>
      <w:r>
        <w:rPr>
          <w:iCs/>
          <w:i/>
        </w:rPr>
        <w:t xml:space="preserve">gṝ śabde</w:t>
      </w:r>
      <w:r>
        <w:rPr>
          <w:iCs/>
          <w:i/>
        </w:rPr>
        <w:t xml:space="preserve">”</w:t>
      </w:r>
      <w:r>
        <w:rPr>
          <w:iCs/>
          <w:i/>
        </w:rPr>
        <w:t xml:space="preserve">; the Nirukta and Uṇādi numbers are clear.)</w:t>
      </w:r>
    </w:p>
    <w:p>
      <w:pPr>
        <w:pStyle w:val="FirstParagraph"/>
      </w:pPr>
      <w:r>
        <w:rPr>
          <w:bCs/>
          <w:b/>
        </w:rPr>
        <w:t xml:space="preserve">Translation (sense in full; grammar in outline):</w:t>
      </w:r>
      <w:r>
        <w:t xml:space="preserve"> </w:t>
      </w:r>
      <w:r>
        <w:t xml:space="preserve">“</w:t>
      </w:r>
      <w:r>
        <w:t xml:space="preserve">O Indra! Let the Soma-juices</w:t>
      </w:r>
      <w:r>
        <w:t xml:space="preserve"> </w:t>
      </w:r>
      <w:r>
        <w:t xml:space="preserve">‘</w:t>
      </w:r>
      <w:r>
        <w:t xml:space="preserve">ā viśantu</w:t>
      </w:r>
      <w:r>
        <w:t xml:space="preserve">’</w:t>
      </w:r>
      <w:r>
        <w:t xml:space="preserve"> </w:t>
      </w:r>
      <w:r>
        <w:t xml:space="preserve">— enter you, facing you, entering toward you. What kind of Soma-juices?</w:t>
      </w:r>
      <w:r>
        <w:t xml:space="preserve"> </w:t>
      </w:r>
      <w:r>
        <w:t xml:space="preserve">‘</w:t>
      </w:r>
      <w:r>
        <w:t xml:space="preserve">Āśavaḥ</w:t>
      </w:r>
      <w:r>
        <w:t xml:space="preserve">’</w:t>
      </w:r>
      <w:r>
        <w:t xml:space="preserve"> </w:t>
      </w:r>
      <w:r>
        <w:t xml:space="preserve">— pervading the three pressings, or the archetypal and modified rites. What kind of Indra?</w:t>
      </w:r>
      <w:r>
        <w:t xml:space="preserve"> </w:t>
      </w:r>
      <w:r>
        <w:t xml:space="preserve">‘</w:t>
      </w:r>
      <w:r>
        <w:t xml:space="preserve">Girvaṇaḥ</w:t>
      </w:r>
      <w:r>
        <w:t xml:space="preserve">’</w:t>
      </w:r>
      <w:r>
        <w:t xml:space="preserve"> </w:t>
      </w:r>
      <w:r>
        <w:t xml:space="preserve">— a particular god to be shared in — served — by</w:t>
      </w:r>
      <w:r>
        <w:t xml:space="preserve"> </w:t>
      </w:r>
      <w:r>
        <w:t xml:space="preserve">‘</w:t>
      </w:r>
      <w:r>
        <w:t xml:space="preserve">girbhiḥ,</w:t>
      </w:r>
      <w:r>
        <w:t xml:space="preserve">’</w:t>
      </w:r>
      <w:r>
        <w:t xml:space="preserve"> </w:t>
      </w:r>
      <w:r>
        <w:t xml:space="preserve">by hymns of praise. [Yāska:]</w:t>
      </w:r>
      <w:r>
        <w:t xml:space="preserve"> </w:t>
      </w:r>
      <w:r>
        <w:t xml:space="preserve">‘</w:t>
      </w:r>
      <w:r>
        <w:rPr>
          <w:iCs/>
          <w:i/>
        </w:rPr>
        <w:t xml:space="preserve">A god is</w:t>
      </w:r>
      <w:r>
        <w:rPr>
          <w:iCs/>
          <w:i/>
        </w:rPr>
        <w:t xml:space="preserve"> </w:t>
      </w:r>
      <w:r>
        <w:rPr>
          <w:iCs/>
          <w:i/>
        </w:rPr>
        <w:t xml:space="preserve">“</w:t>
      </w:r>
      <w:r>
        <w:rPr>
          <w:iCs/>
          <w:i/>
        </w:rPr>
        <w:t xml:space="preserve">girvaṇas</w:t>
      </w:r>
      <w:r>
        <w:rPr>
          <w:iCs/>
          <w:i/>
        </w:rPr>
        <w:t xml:space="preserve">”</w:t>
      </w:r>
      <w:r>
        <w:rPr>
          <w:iCs/>
          <w:i/>
        </w:rPr>
        <w:t xml:space="preserve"> </w:t>
      </w:r>
      <w:r>
        <w:rPr>
          <w:iCs/>
          <w:i/>
        </w:rPr>
        <w:t xml:space="preserve">— they serve him with songs</w:t>
      </w:r>
      <w:r>
        <w:t xml:space="preserve">’</w:t>
      </w:r>
      <w:r>
        <w:t xml:space="preserve"> </w:t>
      </w:r>
      <w:r>
        <w:t xml:space="preserve">(Nirukta [6-14 ?]). To such an Indra,</w:t>
      </w:r>
      <w:r>
        <w:t xml:space="preserve"> </w:t>
      </w:r>
      <w:r>
        <w:t xml:space="preserve">‘</w:t>
      </w:r>
      <w:r>
        <w:t xml:space="preserve">te</w:t>
      </w:r>
      <w:r>
        <w:t xml:space="preserve">’</w:t>
      </w:r>
      <w:r>
        <w:t xml:space="preserve"> </w:t>
      </w:r>
      <w:r>
        <w:t xml:space="preserve">— for you,</w:t>
      </w:r>
      <w:r>
        <w:t xml:space="preserve"> </w:t>
      </w:r>
      <w:r>
        <w:t xml:space="preserve">‘</w:t>
      </w:r>
      <w:r>
        <w:t xml:space="preserve">pracetase</w:t>
      </w:r>
      <w:r>
        <w:t xml:space="preserve">’</w:t>
      </w:r>
      <w:r>
        <w:t xml:space="preserve"> </w:t>
      </w:r>
      <w:r>
        <w:t xml:space="preserve">— for your eminent understanding — may the Soma-juices be</w:t>
      </w:r>
      <w:r>
        <w:t xml:space="preserve"> </w:t>
      </w:r>
      <w:r>
        <w:t xml:space="preserve">‘</w:t>
      </w:r>
      <w:r>
        <w:t xml:space="preserve">śam</w:t>
      </w:r>
      <w:r>
        <w:t xml:space="preserve">’</w:t>
      </w:r>
      <w:r>
        <w:t xml:space="preserve"> </w:t>
      </w:r>
      <w:r>
        <w:t xml:space="preserve">— of the form of happiness.</w:t>
      </w:r>
      <w:r>
        <w:t xml:space="preserve">”</w:t>
      </w:r>
      <w:r>
        <w:t xml:space="preserve"> </w:t>
      </w:r>
      <w:r>
        <w:rPr>
          <w:iCs/>
          <w:i/>
        </w:rPr>
        <w:t xml:space="preserve">(Grammar:)</w:t>
      </w:r>
      <w:r>
        <w:t xml:space="preserve"> </w:t>
      </w:r>
      <w:r>
        <w:t xml:space="preserve">“</w:t>
      </w:r>
      <w:r>
        <w:t xml:space="preserve">Girvaṇaḥ</w:t>
      </w:r>
      <w:r>
        <w:t xml:space="preserve">”</w:t>
      </w:r>
      <w:r>
        <w:t xml:space="preserve"> </w:t>
      </w:r>
      <w:r>
        <w:t xml:space="preserve">—</w:t>
      </w:r>
      <w:r>
        <w:t xml:space="preserve"> </w:t>
      </w:r>
      <w:r>
        <w:t xml:space="preserve">“</w:t>
      </w:r>
      <w:r>
        <w:t xml:space="preserve">gṛṇantīti giraḥ</w:t>
      </w:r>
      <w:r>
        <w:t xml:space="preserve">”</w:t>
      </w:r>
      <w:r>
        <w:t xml:space="preserve"> </w:t>
      </w:r>
      <w:r>
        <w:t xml:space="preserve">— hymns of praise, from</w:t>
      </w:r>
      <w:r>
        <w:t xml:space="preserve"> </w:t>
      </w:r>
      <w:r>
        <w:t xml:space="preserve">“</w:t>
      </w:r>
      <w:r>
        <w:t xml:space="preserve">grā</w:t>
      </w:r>
      <w:r>
        <w:t xml:space="preserve">”</w:t>
      </w:r>
      <w:r>
        <w:t xml:space="preserve"> </w:t>
      </w:r>
      <w:r>
        <w:t xml:space="preserve">/</w:t>
      </w:r>
      <w:r>
        <w:t xml:space="preserve"> </w:t>
      </w:r>
      <w:r>
        <w:t xml:space="preserve">“</w:t>
      </w:r>
      <w:r>
        <w:t xml:space="preserve">gṝ</w:t>
      </w:r>
      <w:r>
        <w:t xml:space="preserve">”</w:t>
      </w:r>
      <w:r>
        <w:t xml:space="preserve"> </w:t>
      </w:r>
      <w:r>
        <w:t xml:space="preserve">(to sound); the</w:t>
      </w:r>
      <w:r>
        <w:t xml:space="preserve"> </w:t>
      </w:r>
      <w:r>
        <w:t xml:space="preserve">“</w:t>
      </w:r>
      <w:r>
        <w:t xml:space="preserve">ṝ</w:t>
      </w:r>
      <w:r>
        <w:t xml:space="preserve">”</w:t>
      </w:r>
      <w:r>
        <w:t xml:space="preserve"> </w:t>
      </w:r>
      <w:r>
        <w:t xml:space="preserve">of the root becomes</w:t>
      </w:r>
      <w:r>
        <w:t xml:space="preserve"> </w:t>
      </w:r>
      <w:r>
        <w:t xml:space="preserve">“</w:t>
      </w:r>
      <w:r>
        <w:t xml:space="preserve">ir</w:t>
      </w:r>
      <w:r>
        <w:t xml:space="preserve">”</w:t>
      </w:r>
      <w:r>
        <w:t xml:space="preserve"> </w:t>
      </w:r>
      <w:r>
        <w:t xml:space="preserve">(</w:t>
      </w:r>
      <w:r>
        <w:rPr>
          <w:bCs/>
          <w:b/>
        </w:rPr>
        <w:t xml:space="preserve">ऋत इद्धातोः</w:t>
      </w:r>
      <w:r>
        <w:t xml:space="preserve">, पा. ७-१-१००) and</w:t>
      </w:r>
      <w:r>
        <w:t xml:space="preserve"> </w:t>
      </w:r>
      <w:r>
        <w:t xml:space="preserve">“</w:t>
      </w:r>
      <w:r>
        <w:t xml:space="preserve">r</w:t>
      </w:r>
      <w:r>
        <w:t xml:space="preserve">”</w:t>
      </w:r>
      <w:r>
        <w:t xml:space="preserve"> </w:t>
      </w:r>
      <w:r>
        <w:t xml:space="preserve">follows;</w:t>
      </w:r>
      <w:r>
        <w:t xml:space="preserve"> </w:t>
      </w:r>
      <w:r>
        <w:t xml:space="preserve">“</w:t>
      </w:r>
      <w:r>
        <w:t xml:space="preserve">gīrbhir vanyate sevyate iti girvaṇāḥ</w:t>
      </w:r>
      <w:r>
        <w:t xml:space="preserve">”</w:t>
      </w:r>
      <w:r>
        <w:t xml:space="preserve"> </w:t>
      </w:r>
      <w:r>
        <w:t xml:space="preserve">—</w:t>
      </w:r>
      <w:r>
        <w:t xml:space="preserve"> </w:t>
      </w:r>
      <w:r>
        <w:t xml:space="preserve">“</w:t>
      </w:r>
      <w:r>
        <w:t xml:space="preserve">he who is served by songs</w:t>
      </w:r>
      <w:r>
        <w:t xml:space="preserve">”</w:t>
      </w:r>
      <w:r>
        <w:t xml:space="preserve">; from</w:t>
      </w:r>
      <w:r>
        <w:t xml:space="preserve"> </w:t>
      </w:r>
      <w:r>
        <w:t xml:space="preserve">“</w:t>
      </w:r>
      <w:r>
        <w:t xml:space="preserve">vana ṣaṇa sambhaktau</w:t>
      </w:r>
      <w:r>
        <w:t xml:space="preserve">”</w:t>
      </w:r>
      <w:r>
        <w:t xml:space="preserve"> </w:t>
      </w:r>
      <w:r>
        <w:t xml:space="preserve">(to share, to serve) the affix</w:t>
      </w:r>
      <w:r>
        <w:t xml:space="preserve"> </w:t>
      </w:r>
      <w:r>
        <w:t xml:space="preserve">“</w:t>
      </w:r>
      <w:r>
        <w:t xml:space="preserve">asun</w:t>
      </w:r>
      <w:r>
        <w:t xml:space="preserve">”</w:t>
      </w:r>
      <w:r>
        <w:t xml:space="preserve"> </w:t>
      </w:r>
      <w:r>
        <w:t xml:space="preserve">after any root (</w:t>
      </w:r>
      <w:r>
        <w:rPr>
          <w:bCs/>
          <w:b/>
        </w:rPr>
        <w:t xml:space="preserve">सर्वधातुभ्योऽसुन्</w:t>
      </w:r>
      <w:r>
        <w:t xml:space="preserve">, उ. सू. ४-१८८).</w:t>
      </w:r>
      <w:r>
        <w:t xml:space="preserve"> </w:t>
      </w:r>
      <w:r>
        <w:t xml:space="preserve">“</w:t>
      </w:r>
      <w:r>
        <w:t xml:space="preserve">Pracetase</w:t>
      </w:r>
      <w:r>
        <w:t xml:space="preserve">”</w:t>
      </w:r>
      <w:r>
        <w:t xml:space="preserve"> </w:t>
      </w:r>
      <w:r>
        <w:t xml:space="preserve">— a bahuvrīhi, which retains the first member’s accent.</w:t>
      </w:r>
    </w:p>
    <w:bookmarkEnd w:id="218"/>
    <w:bookmarkStart w:id="219" w:name="X7728429a374e85ff24347afde39a282baef30f8"/>
    <w:p>
      <w:pPr>
        <w:pStyle w:val="Heading3"/>
      </w:pPr>
      <w:r>
        <w:t xml:space="preserve">Page 183 — Rik 5.7: Pada-meanings; Bhāvārtha; English rendering; Special topic; grammar (opening)</w:t>
      </w:r>
    </w:p>
    <w:p>
      <w:pPr>
        <w:pStyle w:val="FirstParagraph"/>
      </w:pPr>
      <w:r>
        <w:rPr>
          <w:iCs/>
          <w:i/>
        </w:rPr>
        <w:t xml:space="preserve">(Page header:</w:t>
      </w:r>
      <w:r>
        <w:rPr>
          <w:iCs/>
          <w:i/>
        </w:rPr>
        <w:t xml:space="preserve"> </w:t>
      </w:r>
      <w:r>
        <w:rPr>
          <w:iCs/>
          <w:i/>
        </w:rPr>
        <w:t xml:space="preserve">“</w:t>
      </w:r>
      <w:r>
        <w:rPr>
          <w:iCs/>
          <w:i/>
        </w:rPr>
        <w:t xml:space="preserve">Aṣṭaka 1, Adhyāya 1, Varga 10 · Ṛgveda-saṃhitā.</w:t>
      </w:r>
      <w:r>
        <w:rPr>
          <w:iCs/>
          <w:i/>
        </w:rPr>
        <w:t xml:space="preserve">”</w:t>
      </w:r>
      <w:r>
        <w:rPr>
          <w:iCs/>
          <w:i/>
        </w:rPr>
        <w:t xml:space="preserve"> </w:t>
      </w:r>
      <w:r>
        <w:rPr>
          <w:iCs/>
          <w:i/>
        </w:rPr>
        <w:t xml:space="preserve">English as printed.)</w:t>
      </w:r>
    </w:p>
    <w:p>
      <w:pPr>
        <w:pStyle w:val="BodyText"/>
      </w:pPr>
      <w:r>
        <w:rPr>
          <w:bCs/>
          <w:b/>
        </w:rPr>
        <w:t xml:space="preserve">॥ Prati-padārthaḥ ॥</w:t>
      </w:r>
      <w:r>
        <w:t xml:space="preserve"> </w:t>
      </w:r>
      <w:r>
        <w:rPr>
          <w:iCs/>
          <w:i/>
        </w:rPr>
        <w:t xml:space="preserve">(Kannada, translated)</w:t>
      </w:r>
    </w:p>
    <w:p>
      <w:pPr>
        <w:pStyle w:val="BodyText"/>
      </w:pPr>
      <w:r>
        <w:rPr>
          <w:bCs/>
          <w:b/>
        </w:rPr>
        <w:t xml:space="preserve">गिर्वणः (girvaṇaḥ)</w:t>
      </w:r>
      <w:r>
        <w:t xml:space="preserve"> </w:t>
      </w:r>
      <w:r>
        <w:t xml:space="preserve">— (O Indra) who are praised with words |</w:t>
      </w:r>
      <w:r>
        <w:t xml:space="preserve"> </w:t>
      </w:r>
      <w:r>
        <w:rPr>
          <w:bCs/>
          <w:b/>
        </w:rPr>
        <w:t xml:space="preserve">इन्द्र (indra)</w:t>
      </w:r>
      <w:r>
        <w:t xml:space="preserve"> </w:t>
      </w:r>
      <w:r>
        <w:t xml:space="preserve">— O Indra |</w:t>
      </w:r>
      <w:r>
        <w:t xml:space="preserve"> </w:t>
      </w:r>
      <w:r>
        <w:rPr>
          <w:bCs/>
          <w:b/>
        </w:rPr>
        <w:t xml:space="preserve">आशवः (āśavaḥ)</w:t>
      </w:r>
      <w:r>
        <w:t xml:space="preserve"> </w:t>
      </w:r>
      <w:r>
        <w:t xml:space="preserve">— (that pervade — are used also at the three pressings of the sacrifices of the archetype and the modified forms) |</w:t>
      </w:r>
      <w:r>
        <w:t xml:space="preserve"> </w:t>
      </w:r>
      <w:r>
        <w:rPr>
          <w:bCs/>
          <w:b/>
        </w:rPr>
        <w:t xml:space="preserve">सोमासः (somāsaḥ)</w:t>
      </w:r>
      <w:r>
        <w:t xml:space="preserve"> </w:t>
      </w:r>
      <w:r>
        <w:t xml:space="preserve">— Soma-juices |</w:t>
      </w:r>
      <w:r>
        <w:t xml:space="preserve"> </w:t>
      </w:r>
      <w:r>
        <w:rPr>
          <w:bCs/>
          <w:b/>
        </w:rPr>
        <w:t xml:space="preserve">त्वा (tvā)</w:t>
      </w:r>
      <w:r>
        <w:t xml:space="preserve"> </w:t>
      </w:r>
      <w:r>
        <w:t xml:space="preserve">— you |</w:t>
      </w:r>
      <w:r>
        <w:t xml:space="preserve"> </w:t>
      </w:r>
      <w:r>
        <w:rPr>
          <w:bCs/>
          <w:b/>
        </w:rPr>
        <w:t xml:space="preserve">आ विशन्तु (ā viśantu)</w:t>
      </w:r>
      <w:r>
        <w:t xml:space="preserve"> </w:t>
      </w:r>
      <w:r>
        <w:t xml:space="preserve">— let them enter (let them join you) |</w:t>
      </w:r>
      <w:r>
        <w:t xml:space="preserve"> </w:t>
      </w:r>
      <w:r>
        <w:rPr>
          <w:iCs/>
          <w:i/>
        </w:rPr>
        <w:t xml:space="preserve">(and let those Soma-juices)</w:t>
      </w:r>
      <w:r>
        <w:t xml:space="preserve"> </w:t>
      </w:r>
      <w:r>
        <w:rPr>
          <w:bCs/>
          <w:b/>
        </w:rPr>
        <w:t xml:space="preserve">ते (te)</w:t>
      </w:r>
      <w:r>
        <w:t xml:space="preserve"> </w:t>
      </w:r>
      <w:r>
        <w:t xml:space="preserve">— to you |</w:t>
      </w:r>
      <w:r>
        <w:t xml:space="preserve"> </w:t>
      </w:r>
      <w:r>
        <w:rPr>
          <w:bCs/>
          <w:b/>
        </w:rPr>
        <w:t xml:space="preserve">प्रचेतसे (pracetase)</w:t>
      </w:r>
      <w:r>
        <w:t xml:space="preserve"> </w:t>
      </w:r>
      <w:r>
        <w:t xml:space="preserve">— in order to give you excellent knowledge |</w:t>
      </w:r>
      <w:r>
        <w:t xml:space="preserve"> </w:t>
      </w:r>
      <w:r>
        <w:rPr>
          <w:bCs/>
          <w:b/>
        </w:rPr>
        <w:t xml:space="preserve">शम् (śam)</w:t>
      </w:r>
      <w:r>
        <w:t xml:space="preserve"> </w:t>
      </w:r>
      <w:r>
        <w:t xml:space="preserve">— as happiness |</w:t>
      </w:r>
      <w:r>
        <w:t xml:space="preserve"> </w:t>
      </w:r>
      <w:r>
        <w:rPr>
          <w:bCs/>
          <w:b/>
        </w:rPr>
        <w:t xml:space="preserve">सन्तु (santu)</w:t>
      </w:r>
      <w:r>
        <w:t xml:space="preserve"> </w:t>
      </w:r>
      <w:r>
        <w:t xml:space="preserve">— be.</w:t>
      </w:r>
    </w:p>
    <w:p>
      <w:pPr>
        <w:pStyle w:val="BodyText"/>
      </w:pPr>
      <w:r>
        <w:rPr>
          <w:bCs/>
          <w:b/>
        </w:rPr>
        <w:t xml:space="preserve">॥ Bhāvārthaḥ ॥</w:t>
      </w:r>
      <w:r>
        <w:t xml:space="preserve"> </w:t>
      </w:r>
      <w:r>
        <w:rPr>
          <w:iCs/>
          <w:i/>
        </w:rPr>
        <w:t xml:space="preserve">(Kannada, translated)</w:t>
      </w:r>
    </w:p>
    <w:p>
      <w:pPr>
        <w:pStyle w:val="BodyText"/>
      </w:pPr>
      <w:r>
        <w:t xml:space="preserve">O Indra, who are praised always with words — hymns! Let the Soma-juices prepared in the sacrifices we perform enter you, and, since you are satisfied by them, may those Soma-juices give you happiness.</w:t>
      </w:r>
    </w:p>
    <w:p>
      <w:pPr>
        <w:pStyle w:val="BodyText"/>
      </w:pPr>
      <w:r>
        <w:rPr>
          <w:bCs/>
          <w:b/>
        </w:rPr>
        <w:t xml:space="preserve">English Translation</w:t>
      </w:r>
      <w:r>
        <w:t xml:space="preserve"> </w:t>
      </w:r>
      <w:r>
        <w:rPr>
          <w:iCs/>
          <w:i/>
        </w:rPr>
        <w:t xml:space="preserve">(printed in English in the source itself):</w:t>
      </w:r>
    </w:p>
    <w:p>
      <w:pPr>
        <w:pStyle w:val="BodyText"/>
      </w:pPr>
      <w:r>
        <w:t xml:space="preserve">“</w:t>
      </w:r>
      <w:r>
        <w:t xml:space="preserve">O Indra, you are the object of our praises; may these pervading soma juices enter you (thereby) making you happy; may the soma juices help you to attain superior intelligence.</w:t>
      </w:r>
      <w:r>
        <w:t xml:space="preserve">”</w:t>
      </w:r>
    </w:p>
    <w:p>
      <w:pPr>
        <w:pStyle w:val="BodyText"/>
      </w:pPr>
      <w:r>
        <w:rPr>
          <w:bCs/>
          <w:b/>
        </w:rPr>
        <w:t xml:space="preserve">॥ Viśeṣa-viṣayagaḷu (Special Topics) ॥</w:t>
      </w:r>
    </w:p>
    <w:p>
      <w:pPr>
        <w:pStyle w:val="BodyText"/>
      </w:pPr>
      <w:r>
        <w:t xml:space="preserve">“</w:t>
      </w:r>
      <w:r>
        <w:t xml:space="preserve">Let the Soma-juices enter you</w:t>
      </w:r>
      <w:r>
        <w:t xml:space="preserve">”</w:t>
      </w:r>
      <w:r>
        <w:t xml:space="preserve"> </w:t>
      </w:r>
      <w:r>
        <w:t xml:space="preserve">means: you drink the Soma-juice; therefore the sense is that the Soma-juice entered your stomach.</w:t>
      </w:r>
      <w:r>
        <w:t xml:space="preserve"> </w:t>
      </w:r>
      <w:r>
        <w:rPr>
          <w:bCs/>
          <w:b/>
        </w:rPr>
        <w:t xml:space="preserve">आशवः (āśavaḥ)</w:t>
      </w:r>
      <w:r>
        <w:t xml:space="preserve"> </w:t>
      </w:r>
      <w:r>
        <w:t xml:space="preserve">— pervading; specially employed — that is, the Soma-juice-pressing is the chief part of the three pressings of the sacrifice. Since you are made happy in mind by drinking this Soma-juice, the sense is that it increases the intellect and strength of Indra who drinks the Soma.</w:t>
      </w:r>
    </w:p>
    <w:p>
      <w:pPr>
        <w:pStyle w:val="BodyText"/>
      </w:pPr>
      <w:r>
        <w:rPr>
          <w:bCs/>
          <w:b/>
        </w:rPr>
        <w:t xml:space="preserve">॥ Vyākaraṇa-prakriyā ॥</w:t>
      </w:r>
      <w:r>
        <w:t xml:space="preserve"> </w:t>
      </w:r>
      <w:r>
        <w:rPr>
          <w:iCs/>
          <w:i/>
        </w:rPr>
        <w:t xml:space="preserve">(Kannada; characterized, sūtras kept)</w:t>
      </w:r>
      <w:r>
        <w:t xml:space="preserve"> </w:t>
      </w:r>
      <w:r>
        <w:rPr>
          <w:bCs/>
          <w:b/>
        </w:rPr>
        <w:t xml:space="preserve">“</w:t>
      </w:r>
      <w:r>
        <w:rPr>
          <w:bCs/>
          <w:b/>
        </w:rPr>
        <w:t xml:space="preserve">Ā</w:t>
      </w:r>
      <w:r>
        <w:rPr>
          <w:bCs/>
          <w:b/>
        </w:rPr>
        <w:t xml:space="preserve">”</w:t>
      </w:r>
      <w:r>
        <w:t xml:space="preserve"> </w:t>
      </w:r>
      <w:r>
        <w:t xml:space="preserve">— a particle, so first-syllable acute (</w:t>
      </w:r>
      <w:r>
        <w:rPr>
          <w:bCs/>
          <w:b/>
        </w:rPr>
        <w:t xml:space="preserve">निपाता आद्युदात्ताः</w:t>
      </w:r>
      <w:r>
        <w:t xml:space="preserve">).</w:t>
      </w:r>
      <w:r>
        <w:t xml:space="preserve"> </w:t>
      </w:r>
      <w:r>
        <w:rPr>
          <w:bCs/>
          <w:b/>
        </w:rPr>
        <w:t xml:space="preserve">“</w:t>
      </w:r>
      <w:r>
        <w:rPr>
          <w:bCs/>
          <w:b/>
        </w:rPr>
        <w:t xml:space="preserve">Tvā</w:t>
      </w:r>
      <w:r>
        <w:rPr>
          <w:bCs/>
          <w:b/>
        </w:rPr>
        <w:t xml:space="preserve">”</w:t>
      </w:r>
      <w:r>
        <w:t xml:space="preserve"> </w:t>
      </w:r>
      <w:r>
        <w:t xml:space="preserve">— after</w:t>
      </w:r>
      <w:r>
        <w:t xml:space="preserve"> </w:t>
      </w:r>
      <w:r>
        <w:t xml:space="preserve">“</w:t>
      </w:r>
      <w:r>
        <w:t xml:space="preserve">yuṣ,</w:t>
      </w:r>
      <w:r>
        <w:t xml:space="preserve">”</w:t>
      </w:r>
      <w:r>
        <w:t xml:space="preserve"> </w:t>
      </w:r>
      <w:r>
        <w:rPr>
          <w:bCs/>
          <w:b/>
        </w:rPr>
        <w:t xml:space="preserve">युष्यसिभ्यां मदिक्</w:t>
      </w:r>
      <w:r>
        <w:t xml:space="preserve"> </w:t>
      </w:r>
      <w:r>
        <w:t xml:space="preserve">gives</w:t>
      </w:r>
      <w:r>
        <w:t xml:space="preserve"> </w:t>
      </w:r>
      <w:r>
        <w:t xml:space="preserve">“</w:t>
      </w:r>
      <w:r>
        <w:t xml:space="preserve">madik</w:t>
      </w:r>
      <w:r>
        <w:t xml:space="preserve">”</w:t>
      </w:r>
      <w:r>
        <w:t xml:space="preserve"> </w:t>
      </w:r>
      <w:r>
        <w:t xml:space="preserve">→</w:t>
      </w:r>
      <w:r>
        <w:t xml:space="preserve"> </w:t>
      </w:r>
      <w:r>
        <w:t xml:space="preserve">“</w:t>
      </w:r>
      <w:r>
        <w:t xml:space="preserve">yuṣmad</w:t>
      </w:r>
      <w:r>
        <w:t xml:space="preserve">”</w:t>
      </w:r>
      <w:r>
        <w:t xml:space="preserve">; then the second-case singular</w:t>
      </w:r>
      <w:r>
        <w:t xml:space="preserve"> </w:t>
      </w:r>
      <w:r>
        <w:t xml:space="preserve">“</w:t>
      </w:r>
      <w:r>
        <w:t xml:space="preserve">am,</w:t>
      </w:r>
      <w:r>
        <w:t xml:space="preserve">”</w:t>
      </w:r>
      <w:r>
        <w:t xml:space="preserve"> </w:t>
      </w:r>
      <w:r>
        <w:t xml:space="preserve">which by</w:t>
      </w:r>
      <w:r>
        <w:t xml:space="preserve"> </w:t>
      </w:r>
      <w:r>
        <w:rPr>
          <w:bCs/>
          <w:b/>
        </w:rPr>
        <w:t xml:space="preserve">ङेप्रथमयोरम्</w:t>
      </w:r>
      <w:r>
        <w:t xml:space="preserve"> </w:t>
      </w:r>
      <w:r>
        <w:t xml:space="preserve">is again replaced by</w:t>
      </w:r>
      <w:r>
        <w:t xml:space="preserve"> </w:t>
      </w:r>
      <w:r>
        <w:t xml:space="preserve">“</w:t>
      </w:r>
      <w:r>
        <w:t xml:space="preserve">am</w:t>
      </w:r>
      <w:r>
        <w:t xml:space="preserve">”</w:t>
      </w:r>
      <w:r>
        <w:t xml:space="preserve">;</w:t>
      </w:r>
      <w:r>
        <w:t xml:space="preserve"> </w:t>
      </w:r>
      <w:r>
        <w:rPr>
          <w:bCs/>
          <w:b/>
        </w:rPr>
        <w:t xml:space="preserve">त्वमावेकवचने</w:t>
      </w:r>
      <w:r>
        <w:t xml:space="preserve"> </w:t>
      </w:r>
      <w:r>
        <w:t xml:space="preserve">(पा. ७-२-९७) — for</w:t>
      </w:r>
      <w:r>
        <w:t xml:space="preserve"> </w:t>
      </w:r>
      <w:r>
        <w:t xml:space="preserve">“</w:t>
      </w:r>
      <w:r>
        <w:t xml:space="preserve">yuṣmad/asmad</w:t>
      </w:r>
      <w:r>
        <w:t xml:space="preserve">”</w:t>
      </w:r>
      <w:r>
        <w:t xml:space="preserve"> </w:t>
      </w:r>
      <w:r>
        <w:t xml:space="preserve">denoting one person, the part up to</w:t>
      </w:r>
      <w:r>
        <w:t xml:space="preserve"> </w:t>
      </w:r>
      <w:r>
        <w:t xml:space="preserve">“</w:t>
      </w:r>
      <w:r>
        <w:t xml:space="preserve">m</w:t>
      </w:r>
      <w:r>
        <w:t xml:space="preserve">”</w:t>
      </w:r>
      <w:r>
        <w:t xml:space="preserve"> </w:t>
      </w:r>
      <w:r>
        <w:t xml:space="preserve">is replaced by</w:t>
      </w:r>
      <w:r>
        <w:t xml:space="preserve"> </w:t>
      </w:r>
      <w:r>
        <w:t xml:space="preserve">“</w:t>
      </w:r>
      <w:r>
        <w:t xml:space="preserve">tva/ma</w:t>
      </w:r>
      <w:r>
        <w:t xml:space="preserve">”</w:t>
      </w:r>
      <w:r>
        <w:t xml:space="preserve"> </w:t>
      </w:r>
      <w:r>
        <w:t xml:space="preserve">→</w:t>
      </w:r>
      <w:r>
        <w:t xml:space="preserve"> </w:t>
      </w:r>
      <w:r>
        <w:t xml:space="preserve">“</w:t>
      </w:r>
      <w:r>
        <w:t xml:space="preserve">tva + ad + am</w:t>
      </w:r>
      <w:r>
        <w:t xml:space="preserve">”</w:t>
      </w:r>
      <w:r>
        <w:t xml:space="preserve">;</w:t>
      </w:r>
      <w:r>
        <w:t xml:space="preserve"> </w:t>
      </w:r>
      <w:r>
        <w:rPr>
          <w:bCs/>
          <w:b/>
        </w:rPr>
        <w:t xml:space="preserve">द्वितीयायां च</w:t>
      </w:r>
      <w:r>
        <w:t xml:space="preserve"> </w:t>
      </w:r>
      <w:r>
        <w:t xml:space="preserve">(पा. ७-२-८७) — before a second-case ending the</w:t>
      </w:r>
      <w:r>
        <w:t xml:space="preserve"> </w:t>
      </w:r>
      <w:r>
        <w:t xml:space="preserve">“</w:t>
      </w:r>
      <w:r>
        <w:t xml:space="preserve">d</w:t>
      </w:r>
      <w:r>
        <w:t xml:space="preserve">”</w:t>
      </w:r>
      <w:r>
        <w:t xml:space="preserve"> </w:t>
      </w:r>
      <w:r>
        <w:t xml:space="preserve">of</w:t>
      </w:r>
      <w:r>
        <w:t xml:space="preserve"> </w:t>
      </w:r>
      <w:r>
        <w:t xml:space="preserve">“</w:t>
      </w:r>
      <w:r>
        <w:t xml:space="preserve">yuṣmad/asmad</w:t>
      </w:r>
      <w:r>
        <w:t xml:space="preserve">”</w:t>
      </w:r>
      <w:r>
        <w:t xml:space="preserve"> </w:t>
      </w:r>
      <w:r>
        <w:t xml:space="preserve">becomes</w:t>
      </w:r>
      <w:r>
        <w:t xml:space="preserve"> </w:t>
      </w:r>
      <w:r>
        <w:t xml:space="preserve">“</w:t>
      </w:r>
      <w:r>
        <w:t xml:space="preserve">ā</w:t>
      </w:r>
      <w:r>
        <w:t xml:space="preserve">”</w:t>
      </w:r>
      <w:r>
        <w:t xml:space="preserve"> </w:t>
      </w:r>
      <w:r>
        <w:t xml:space="preserve">…</w:t>
      </w:r>
      <w:r>
        <w:t xml:space="preserve"> </w:t>
      </w:r>
      <w:r>
        <w:rPr>
          <w:iCs/>
          <w:i/>
        </w:rPr>
        <w:t xml:space="preserve">(continues on p. 184)</w:t>
      </w:r>
    </w:p>
    <w:bookmarkEnd w:id="219"/>
    <w:bookmarkStart w:id="220" w:name="X846f64202091fe1cb8c72cbe2ee3b81e6f23cb7"/>
    <w:p>
      <w:pPr>
        <w:pStyle w:val="Heading3"/>
      </w:pPr>
      <w:r>
        <w:t xml:space="preserve">Pages 184–185 — Vyākaraṇa-prakriyā for Rik 5.7 (characterized)</w:t>
      </w:r>
    </w:p>
    <w:p>
      <w:pPr>
        <w:pStyle w:val="FirstParagraph"/>
      </w:pPr>
      <w:r>
        <w:rPr>
          <w:iCs/>
          <w:i/>
        </w:rPr>
        <w:t xml:space="preserve">(Page headers: p. 184</w:t>
      </w:r>
      <w:r>
        <w:rPr>
          <w:iCs/>
          <w:i/>
        </w:rPr>
        <w:t xml:space="preserve"> </w:t>
      </w:r>
      <w:r>
        <w:rPr>
          <w:iCs/>
          <w:i/>
        </w:rPr>
        <w:t xml:space="preserve">“</w:t>
      </w:r>
      <w:r>
        <w:rPr>
          <w:iCs/>
          <w:i/>
        </w:rPr>
        <w:t xml:space="preserve">Sāyaṇa-bhāṣya-sahitā · Maṇḍala 1, Anuvāka 2, Sūkta 5</w:t>
      </w:r>
      <w:r>
        <w:rPr>
          <w:iCs/>
          <w:i/>
        </w:rPr>
        <w:t xml:space="preserve">”</w:t>
      </w:r>
      <w:r>
        <w:rPr>
          <w:iCs/>
          <w:i/>
        </w:rPr>
        <w:t xml:space="preserve">; p. 185</w:t>
      </w:r>
      <w:r>
        <w:rPr>
          <w:iCs/>
          <w:i/>
        </w:rPr>
        <w:t xml:space="preserve"> </w:t>
      </w:r>
      <w:r>
        <w:rPr>
          <w:iCs/>
          <w:i/>
        </w:rPr>
        <w:t xml:space="preserve">“</w:t>
      </w:r>
      <w:r>
        <w:rPr>
          <w:iCs/>
          <w:i/>
        </w:rPr>
        <w:t xml:space="preserve">Aṣṭaka 1, Adhyāya 1, Varga 10 · Ṛgveda-saṃhitā.</w:t>
      </w:r>
      <w:r>
        <w:rPr>
          <w:iCs/>
          <w:i/>
        </w:rPr>
        <w:t xml:space="preserve">”</w:t>
      </w:r>
      <w:r>
        <w:rPr>
          <w:iCs/>
          <w:i/>
        </w:rPr>
        <w:t xml:space="preserve"> </w:t>
      </w:r>
      <w:r>
        <w:rPr>
          <w:iCs/>
          <w:i/>
        </w:rPr>
        <w:t xml:space="preserve">Pure grammar in Kannada prose for</w:t>
      </w:r>
      <w:r>
        <w:rPr>
          <w:iCs/>
          <w:i/>
        </w:rPr>
        <w:t xml:space="preserve"> </w:t>
      </w:r>
      <w:r>
        <w:rPr>
          <w:iCs/>
          <w:i/>
        </w:rPr>
        <w:t xml:space="preserve">“</w:t>
      </w:r>
      <w:r>
        <w:rPr>
          <w:iCs/>
          <w:i/>
        </w:rPr>
        <w:t xml:space="preserve">tvā,</w:t>
      </w:r>
      <w:r>
        <w:rPr>
          <w:iCs/>
          <w:i/>
        </w:rPr>
        <w:t xml:space="preserve">”</w:t>
      </w:r>
      <w:r>
        <w:rPr>
          <w:iCs/>
          <w:i/>
        </w:rPr>
        <w:t xml:space="preserve"> </w:t>
      </w:r>
      <w:r>
        <w:rPr>
          <w:iCs/>
          <w:i/>
        </w:rPr>
        <w:t xml:space="preserve">“</w:t>
      </w:r>
      <w:r>
        <w:rPr>
          <w:iCs/>
          <w:i/>
        </w:rPr>
        <w:t xml:space="preserve">viśantu,</w:t>
      </w:r>
      <w:r>
        <w:rPr>
          <w:iCs/>
          <w:i/>
        </w:rPr>
        <w:t xml:space="preserve">”</w:t>
      </w:r>
      <w:r>
        <w:rPr>
          <w:iCs/>
          <w:i/>
        </w:rPr>
        <w:t xml:space="preserve"> </w:t>
      </w:r>
      <w:r>
        <w:rPr>
          <w:iCs/>
          <w:i/>
        </w:rPr>
        <w:t xml:space="preserve">“</w:t>
      </w:r>
      <w:r>
        <w:rPr>
          <w:iCs/>
          <w:i/>
        </w:rPr>
        <w:t xml:space="preserve">āśavaḥ,</w:t>
      </w:r>
      <w:r>
        <w:rPr>
          <w:iCs/>
          <w:i/>
        </w:rPr>
        <w:t xml:space="preserve">”</w:t>
      </w:r>
      <w:r>
        <w:rPr>
          <w:iCs/>
          <w:i/>
        </w:rPr>
        <w:t xml:space="preserve"> </w:t>
      </w:r>
      <w:r>
        <w:rPr>
          <w:iCs/>
          <w:i/>
        </w:rPr>
        <w:t xml:space="preserve">“</w:t>
      </w:r>
      <w:r>
        <w:rPr>
          <w:iCs/>
          <w:i/>
        </w:rPr>
        <w:t xml:space="preserve">girvaṇaḥ,</w:t>
      </w:r>
      <w:r>
        <w:rPr>
          <w:iCs/>
          <w:i/>
        </w:rPr>
        <w:t xml:space="preserve">”</w:t>
      </w:r>
      <w:r>
        <w:rPr>
          <w:iCs/>
          <w:i/>
        </w:rPr>
        <w:t xml:space="preserve"> </w:t>
      </w:r>
      <w:r>
        <w:rPr>
          <w:iCs/>
          <w:i/>
        </w:rPr>
        <w:t xml:space="preserve">“</w:t>
      </w:r>
      <w:r>
        <w:rPr>
          <w:iCs/>
          <w:i/>
        </w:rPr>
        <w:t xml:space="preserve">pracetase.</w:t>
      </w:r>
      <w:r>
        <w:rPr>
          <w:iCs/>
          <w:i/>
        </w:rPr>
        <w:t xml:space="preserve">”</w:t>
      </w:r>
      <w:r>
        <w:rPr>
          <w:iCs/>
          <w:i/>
        </w:rPr>
        <w:t xml:space="preserve"> </w:t>
      </w:r>
      <w:r>
        <w:rPr>
          <w:iCs/>
          <w:i/>
        </w:rPr>
        <w:t xml:space="preserve">They do not bear on the sense of the Rik (pp. 182–183).</w:t>
      </w:r>
      <w:r>
        <w:rPr>
          <w:iCs/>
          <w:i/>
        </w:rPr>
        <w:t xml:space="preserve"> </w:t>
      </w:r>
      <w:r>
        <w:rPr>
          <w:bCs/>
          <w:b/>
          <w:iCs/>
          <w:i/>
        </w:rPr>
        <w:t xml:space="preserve">Characterized in outline</w:t>
      </w:r>
      <w:r>
        <w:rPr>
          <w:iCs/>
          <w:i/>
        </w:rPr>
        <w:t xml:space="preserve">; sūtras kept; numbers as read, [?] where uncertain.)</w:t>
      </w:r>
    </w:p>
    <w:p>
      <w:pPr>
        <w:pStyle w:val="BodyText"/>
      </w:pPr>
      <w:r>
        <w:rPr>
          <w:bCs/>
          <w:b/>
        </w:rPr>
        <w:t xml:space="preserve">“</w:t>
      </w:r>
      <w:r>
        <w:rPr>
          <w:bCs/>
          <w:b/>
        </w:rPr>
        <w:t xml:space="preserve">Tvā</w:t>
      </w:r>
      <w:r>
        <w:rPr>
          <w:bCs/>
          <w:b/>
        </w:rPr>
        <w:t xml:space="preserve">”</w:t>
      </w:r>
      <w:r>
        <w:t xml:space="preserve"> </w:t>
      </w:r>
      <w:r>
        <w:rPr>
          <w:iCs/>
          <w:i/>
        </w:rPr>
        <w:t xml:space="preserve">(from p. 183)</w:t>
      </w:r>
      <w:r>
        <w:t xml:space="preserve"> </w:t>
      </w:r>
      <w:r>
        <w:t xml:space="preserve">— the</w:t>
      </w:r>
      <w:r>
        <w:t xml:space="preserve"> </w:t>
      </w:r>
      <w:r>
        <w:t xml:space="preserve">“</w:t>
      </w:r>
      <w:r>
        <w:t xml:space="preserve">d</w:t>
      </w:r>
      <w:r>
        <w:t xml:space="preserve">”</w:t>
      </w:r>
      <w:r>
        <w:t xml:space="preserve"> </w:t>
      </w:r>
      <w:r>
        <w:t xml:space="preserve">replaced by</w:t>
      </w:r>
      <w:r>
        <w:t xml:space="preserve"> </w:t>
      </w:r>
      <w:r>
        <w:t xml:space="preserve">“</w:t>
      </w:r>
      <w:r>
        <w:t xml:space="preserve">ā</w:t>
      </w:r>
      <w:r>
        <w:t xml:space="preserve">”</w:t>
      </w:r>
      <w:r>
        <w:t xml:space="preserve">:</w:t>
      </w:r>
      <w:r>
        <w:t xml:space="preserve"> </w:t>
      </w:r>
      <w:r>
        <w:t xml:space="preserve">“</w:t>
      </w:r>
      <w:r>
        <w:t xml:space="preserve">tva + ā + am</w:t>
      </w:r>
      <w:r>
        <w:t xml:space="preserve">”</w:t>
      </w:r>
      <w:r>
        <w:t xml:space="preserve">;</w:t>
      </w:r>
      <w:r>
        <w:t xml:space="preserve"> </w:t>
      </w:r>
      <w:r>
        <w:rPr>
          <w:bCs/>
          <w:b/>
        </w:rPr>
        <w:t xml:space="preserve">अतो गुणे</w:t>
      </w:r>
      <w:r>
        <w:t xml:space="preserve"> </w:t>
      </w:r>
      <w:r>
        <w:t xml:space="preserve">gives pararūpa,</w:t>
      </w:r>
      <w:r>
        <w:t xml:space="preserve"> </w:t>
      </w:r>
      <w:r>
        <w:t xml:space="preserve">“</w:t>
      </w:r>
      <w:r>
        <w:t xml:space="preserve">tvā + am</w:t>
      </w:r>
      <w:r>
        <w:t xml:space="preserve">”</w:t>
      </w:r>
      <w:r>
        <w:t xml:space="preserve">;</w:t>
      </w:r>
      <w:r>
        <w:t xml:space="preserve"> </w:t>
      </w:r>
      <w:r>
        <w:rPr>
          <w:bCs/>
          <w:b/>
        </w:rPr>
        <w:t xml:space="preserve">अकः सवर्णे दीर्घः</w:t>
      </w:r>
      <w:r>
        <w:t xml:space="preserve"> </w:t>
      </w:r>
      <w:r>
        <w:t xml:space="preserve">lengthening, then pūrvarūpa →</w:t>
      </w:r>
      <w:r>
        <w:t xml:space="preserve"> </w:t>
      </w:r>
      <w:r>
        <w:t xml:space="preserve">“</w:t>
      </w:r>
      <w:r>
        <w:t xml:space="preserve">tvām.</w:t>
      </w:r>
      <w:r>
        <w:t xml:space="preserve">”</w:t>
      </w:r>
      <w:r>
        <w:t xml:space="preserve"> </w:t>
      </w:r>
      <w:r>
        <w:t xml:space="preserve">Under the heading</w:t>
      </w:r>
      <w:r>
        <w:t xml:space="preserve"> </w:t>
      </w:r>
      <w:r>
        <w:rPr>
          <w:bCs/>
          <w:b/>
        </w:rPr>
        <w:t xml:space="preserve">अनुदात्तं सर्वमपादादौ</w:t>
      </w:r>
      <w:r>
        <w:t xml:space="preserve"> </w:t>
      </w:r>
      <w:r>
        <w:t xml:space="preserve">(पा. ८-१-१८),</w:t>
      </w:r>
      <w:r>
        <w:t xml:space="preserve"> </w:t>
      </w:r>
      <w:r>
        <w:rPr>
          <w:bCs/>
          <w:b/>
        </w:rPr>
        <w:t xml:space="preserve">त्वामौ द्वितीयायाः</w:t>
      </w:r>
      <w:r>
        <w:t xml:space="preserve"> </w:t>
      </w:r>
      <w:r>
        <w:t xml:space="preserve">(पा. ८-१-२३) — after another word, not at the beginning of a pāda, the second-case singular forms of</w:t>
      </w:r>
      <w:r>
        <w:t xml:space="preserve"> </w:t>
      </w:r>
      <w:r>
        <w:t xml:space="preserve">“</w:t>
      </w:r>
      <w:r>
        <w:t xml:space="preserve">yuṣmad/asmad</w:t>
      </w:r>
      <w:r>
        <w:t xml:space="preserve">”</w:t>
      </w:r>
      <w:r>
        <w:t xml:space="preserve"> </w:t>
      </w:r>
      <w:r>
        <w:t xml:space="preserve">are replaced by</w:t>
      </w:r>
      <w:r>
        <w:t xml:space="preserve"> </w:t>
      </w:r>
      <w:r>
        <w:t xml:space="preserve">“</w:t>
      </w:r>
      <w:r>
        <w:t xml:space="preserve">tvā/mā,</w:t>
      </w:r>
      <w:r>
        <w:t xml:space="preserve">”</w:t>
      </w:r>
      <w:r>
        <w:t xml:space="preserve"> </w:t>
      </w:r>
      <w:r>
        <w:t xml:space="preserve">which are unaccented — so</w:t>
      </w:r>
      <w:r>
        <w:t xml:space="preserve"> </w:t>
      </w:r>
      <w:r>
        <w:t xml:space="preserve">“</w:t>
      </w:r>
      <w:r>
        <w:t xml:space="preserve">tvā,</w:t>
      </w:r>
      <w:r>
        <w:t xml:space="preserve">”</w:t>
      </w:r>
      <w:r>
        <w:t xml:space="preserve"> </w:t>
      </w:r>
      <w:r>
        <w:t xml:space="preserve">replacing</w:t>
      </w:r>
      <w:r>
        <w:t xml:space="preserve"> </w:t>
      </w:r>
      <w:r>
        <w:t xml:space="preserve">“</w:t>
      </w:r>
      <w:r>
        <w:t xml:space="preserve">tvām,</w:t>
      </w:r>
      <w:r>
        <w:t xml:space="preserve">”</w:t>
      </w:r>
      <w:r>
        <w:t xml:space="preserve"> </w:t>
      </w:r>
      <w:r>
        <w:t xml:space="preserve">is unaccented in the Pada; in the saṃhitā, standing after the acute</w:t>
      </w:r>
      <w:r>
        <w:t xml:space="preserve"> </w:t>
      </w:r>
      <w:r>
        <w:t xml:space="preserve">“</w:t>
      </w:r>
      <w:r>
        <w:t xml:space="preserve">ā,</w:t>
      </w:r>
      <w:r>
        <w:t xml:space="preserve">”</w:t>
      </w:r>
      <w:r>
        <w:t xml:space="preserve"> </w:t>
      </w:r>
      <w:r>
        <w:t xml:space="preserve">it is svarita.</w:t>
      </w:r>
    </w:p>
    <w:p>
      <w:pPr>
        <w:pStyle w:val="BodyText"/>
      </w:pPr>
      <w:r>
        <w:rPr>
          <w:bCs/>
          <w:b/>
        </w:rPr>
        <w:t xml:space="preserve">“</w:t>
      </w:r>
      <w:r>
        <w:rPr>
          <w:bCs/>
          <w:b/>
        </w:rPr>
        <w:t xml:space="preserve">Viśantu</w:t>
      </w:r>
      <w:r>
        <w:rPr>
          <w:bCs/>
          <w:b/>
        </w:rPr>
        <w:t xml:space="preserve">”</w:t>
      </w:r>
      <w:r>
        <w:t xml:space="preserve"> </w:t>
      </w:r>
      <w:r>
        <w:t xml:space="preserve">—</w:t>
      </w:r>
      <w:r>
        <w:t xml:space="preserve"> </w:t>
      </w:r>
      <w:r>
        <w:t xml:space="preserve">“</w:t>
      </w:r>
      <w:r>
        <w:t xml:space="preserve">viśa praveśane,</w:t>
      </w:r>
      <w:r>
        <w:t xml:space="preserve">”</w:t>
      </w:r>
      <w:r>
        <w:t xml:space="preserve"> </w:t>
      </w:r>
      <w:r>
        <w:t xml:space="preserve">“</w:t>
      </w:r>
      <w:r>
        <w:t xml:space="preserve">loṭ,</w:t>
      </w:r>
      <w:r>
        <w:t xml:space="preserve">”</w:t>
      </w:r>
      <w:r>
        <w:t xml:space="preserve"> </w:t>
      </w:r>
      <w:r>
        <w:t xml:space="preserve">the third-person plural parasmaipada</w:t>
      </w:r>
      <w:r>
        <w:t xml:space="preserve"> </w:t>
      </w:r>
      <w:r>
        <w:t xml:space="preserve">“</w:t>
      </w:r>
      <w:r>
        <w:t xml:space="preserve">jhi</w:t>
      </w:r>
      <w:r>
        <w:t xml:space="preserve">”</w:t>
      </w:r>
      <w:r>
        <w:t xml:space="preserve">;</w:t>
      </w:r>
      <w:r>
        <w:t xml:space="preserve"> </w:t>
      </w:r>
      <w:r>
        <w:rPr>
          <w:bCs/>
          <w:b/>
        </w:rPr>
        <w:t xml:space="preserve">झोऽन्तः</w:t>
      </w:r>
      <w:r>
        <w:t xml:space="preserve"> </w:t>
      </w:r>
      <w:r>
        <w:t xml:space="preserve">(पा. ७-१-३)</w:t>
      </w:r>
      <w:r>
        <w:t xml:space="preserve"> </w:t>
      </w:r>
      <w:r>
        <w:t xml:space="preserve">“</w:t>
      </w:r>
      <w:r>
        <w:t xml:space="preserve">ant</w:t>
      </w:r>
      <w:r>
        <w:t xml:space="preserve">”</w:t>
      </w:r>
      <w:r>
        <w:t xml:space="preserve"> </w:t>
      </w:r>
      <w:r>
        <w:t xml:space="preserve">for the</w:t>
      </w:r>
      <w:r>
        <w:t xml:space="preserve"> </w:t>
      </w:r>
      <w:r>
        <w:t xml:space="preserve">“</w:t>
      </w:r>
      <w:r>
        <w:t xml:space="preserve">jh</w:t>
      </w:r>
      <w:r>
        <w:t xml:space="preserve">”</w:t>
      </w:r>
      <w:r>
        <w:t xml:space="preserve"> </w:t>
      </w:r>
      <w:r>
        <w:t xml:space="preserve">of the affix;</w:t>
      </w:r>
      <w:r>
        <w:t xml:space="preserve"> </w:t>
      </w:r>
      <w:r>
        <w:rPr>
          <w:bCs/>
          <w:b/>
        </w:rPr>
        <w:t xml:space="preserve">तुदादिभ्यः शः</w:t>
      </w:r>
      <w:r>
        <w:t xml:space="preserve"> </w:t>
      </w:r>
      <w:r>
        <w:t xml:space="preserve">(पा. ३-१-७७) the vikaraṇa</w:t>
      </w:r>
      <w:r>
        <w:t xml:space="preserve"> </w:t>
      </w:r>
      <w:r>
        <w:t xml:space="preserve">“</w:t>
      </w:r>
      <w:r>
        <w:t xml:space="preserve">śa (a)</w:t>
      </w:r>
      <w:r>
        <w:t xml:space="preserve">”</w:t>
      </w:r>
      <w:r>
        <w:t xml:space="preserve">:</w:t>
      </w:r>
      <w:r>
        <w:t xml:space="preserve"> </w:t>
      </w:r>
      <w:r>
        <w:t xml:space="preserve">“</w:t>
      </w:r>
      <w:r>
        <w:t xml:space="preserve">viś + a + anti</w:t>
      </w:r>
      <w:r>
        <w:t xml:space="preserve">”</w:t>
      </w:r>
      <w:r>
        <w:t xml:space="preserve">;</w:t>
      </w:r>
      <w:r>
        <w:t xml:space="preserve"> </w:t>
      </w:r>
      <w:r>
        <w:rPr>
          <w:bCs/>
          <w:b/>
        </w:rPr>
        <w:t xml:space="preserve">एरुः</w:t>
      </w:r>
      <w:r>
        <w:t xml:space="preserve"> </w:t>
      </w:r>
      <w:r>
        <w:t xml:space="preserve">(पा. ३-४-८६)</w:t>
      </w:r>
      <w:r>
        <w:t xml:space="preserve"> </w:t>
      </w:r>
      <w:r>
        <w:t xml:space="preserve">“</w:t>
      </w:r>
      <w:r>
        <w:t xml:space="preserve">u</w:t>
      </w:r>
      <w:r>
        <w:t xml:space="preserve">”</w:t>
      </w:r>
      <w:r>
        <w:t xml:space="preserve"> </w:t>
      </w:r>
      <w:r>
        <w:t xml:space="preserve">for the</w:t>
      </w:r>
      <w:r>
        <w:t xml:space="preserve"> </w:t>
      </w:r>
      <w:r>
        <w:t xml:space="preserve">“</w:t>
      </w:r>
      <w:r>
        <w:t xml:space="preserve">i</w:t>
      </w:r>
      <w:r>
        <w:t xml:space="preserve">”</w:t>
      </w:r>
      <w:r>
        <w:t xml:space="preserve"> </w:t>
      </w:r>
      <w:r>
        <w:t xml:space="preserve">of the imperative. Though</w:t>
      </w:r>
      <w:r>
        <w:t xml:space="preserve"> </w:t>
      </w:r>
      <w:r>
        <w:rPr>
          <w:bCs/>
          <w:b/>
        </w:rPr>
        <w:t xml:space="preserve">पुगन्तलघूपधस्य च</w:t>
      </w:r>
      <w:r>
        <w:t xml:space="preserve"> </w:t>
      </w:r>
      <w:r>
        <w:t xml:space="preserve">(पा. ७-३-८६) would give guṇa to the</w:t>
      </w:r>
      <w:r>
        <w:t xml:space="preserve"> </w:t>
      </w:r>
      <w:r>
        <w:t xml:space="preserve">“</w:t>
      </w:r>
      <w:r>
        <w:t xml:space="preserve">i</w:t>
      </w:r>
      <w:r>
        <w:t xml:space="preserve">”</w:t>
      </w:r>
      <w:r>
        <w:t xml:space="preserve"> </w:t>
      </w:r>
      <w:r>
        <w:t xml:space="preserve">of</w:t>
      </w:r>
      <w:r>
        <w:t xml:space="preserve"> </w:t>
      </w:r>
      <w:r>
        <w:t xml:space="preserve">“</w:t>
      </w:r>
      <w:r>
        <w:t xml:space="preserve">viś,</w:t>
      </w:r>
      <w:r>
        <w:t xml:space="preserve">”</w:t>
      </w:r>
      <w:r>
        <w:t xml:space="preserve"> </w:t>
      </w:r>
      <w:r>
        <w:t xml:space="preserve">“</w:t>
      </w:r>
      <w:r>
        <w:t xml:space="preserve">śa</w:t>
      </w:r>
      <w:r>
        <w:t xml:space="preserve">”</w:t>
      </w:r>
      <w:r>
        <w:t xml:space="preserve"> </w:t>
      </w:r>
      <w:r>
        <w:t xml:space="preserve">is a sārvadhātuka that is not</w:t>
      </w:r>
      <w:r>
        <w:t xml:space="preserve"> </w:t>
      </w:r>
      <w:r>
        <w:t xml:space="preserve">“</w:t>
      </w:r>
      <w:r>
        <w:t xml:space="preserve">p</w:t>
      </w:r>
      <w:r>
        <w:t xml:space="preserve">”</w:t>
      </w:r>
      <w:r>
        <w:t xml:space="preserve">-marked, so by</w:t>
      </w:r>
      <w:r>
        <w:t xml:space="preserve"> </w:t>
      </w:r>
      <w:r>
        <w:rPr>
          <w:bCs/>
          <w:b/>
        </w:rPr>
        <w:t xml:space="preserve">सार्वधातुकमपित्</w:t>
      </w:r>
      <w:r>
        <w:t xml:space="preserve"> </w:t>
      </w:r>
      <w:r>
        <w:t xml:space="preserve">(पा. १-२-४) it is</w:t>
      </w:r>
      <w:r>
        <w:t xml:space="preserve"> </w:t>
      </w:r>
      <w:r>
        <w:t xml:space="preserve">“</w:t>
      </w:r>
      <w:r>
        <w:t xml:space="preserve">ṅit,</w:t>
      </w:r>
      <w:r>
        <w:t xml:space="preserve">”</w:t>
      </w:r>
      <w:r>
        <w:t xml:space="preserve"> </w:t>
      </w:r>
      <w:r>
        <w:t xml:space="preserve">and</w:t>
      </w:r>
      <w:r>
        <w:t xml:space="preserve"> </w:t>
      </w:r>
      <w:r>
        <w:rPr>
          <w:bCs/>
          <w:b/>
        </w:rPr>
        <w:t xml:space="preserve">क्ङिति च</w:t>
      </w:r>
      <w:r>
        <w:t xml:space="preserve"> </w:t>
      </w:r>
      <w:r>
        <w:t xml:space="preserve">(पा. १-१-५) bars guṇa; here by</w:t>
      </w:r>
      <w:r>
        <w:t xml:space="preserve"> </w:t>
      </w:r>
      <w:r>
        <w:rPr>
          <w:bCs/>
          <w:b/>
        </w:rPr>
        <w:t xml:space="preserve">तिङ्ङतिङः</w:t>
      </w:r>
      <w:r>
        <w:t xml:space="preserve"> </w:t>
      </w:r>
      <w:r>
        <w:t xml:space="preserve">the word is wholly unaccented.</w:t>
      </w:r>
    </w:p>
    <w:p>
      <w:pPr>
        <w:pStyle w:val="BodyText"/>
      </w:pPr>
      <w:r>
        <w:rPr>
          <w:bCs/>
          <w:b/>
        </w:rPr>
        <w:t xml:space="preserve">“</w:t>
      </w:r>
      <w:r>
        <w:rPr>
          <w:bCs/>
          <w:b/>
        </w:rPr>
        <w:t xml:space="preserve">Āśavaḥ</w:t>
      </w:r>
      <w:r>
        <w:rPr>
          <w:bCs/>
          <w:b/>
        </w:rPr>
        <w:t xml:space="preserve">”</w:t>
      </w:r>
      <w:r>
        <w:t xml:space="preserve"> </w:t>
      </w:r>
      <w:r>
        <w:t xml:space="preserve">—</w:t>
      </w:r>
      <w:r>
        <w:t xml:space="preserve"> </w:t>
      </w:r>
      <w:r>
        <w:t xml:space="preserve">“</w:t>
      </w:r>
      <w:r>
        <w:t xml:space="preserve">aśū vyāptau</w:t>
      </w:r>
      <w:r>
        <w:t xml:space="preserve">”</w:t>
      </w:r>
      <w:r>
        <w:t xml:space="preserve"> </w:t>
      </w:r>
      <w:r>
        <w:t xml:space="preserve">(to pervade): the Uṇādi</w:t>
      </w:r>
      <w:r>
        <w:t xml:space="preserve"> </w:t>
      </w:r>
      <w:r>
        <w:rPr>
          <w:bCs/>
          <w:b/>
        </w:rPr>
        <w:t xml:space="preserve">कृवापाजिमिस्वदिसाध्यशूभ्य उण्</w:t>
      </w:r>
      <w:r>
        <w:t xml:space="preserve"> </w:t>
      </w:r>
      <w:r>
        <w:t xml:space="preserve">(उ. सू. १-१) — after</w:t>
      </w:r>
      <w:r>
        <w:t xml:space="preserve"> </w:t>
      </w:r>
      <w:r>
        <w:t xml:space="preserve">“</w:t>
      </w:r>
      <w:r>
        <w:t xml:space="preserve">ḍukṛñ karaṇe,</w:t>
      </w:r>
      <w:r>
        <w:t xml:space="preserve">”</w:t>
      </w:r>
      <w:r>
        <w:t xml:space="preserve"> </w:t>
      </w:r>
      <w:r>
        <w:t xml:space="preserve">“</w:t>
      </w:r>
      <w:r>
        <w:t xml:space="preserve">vā gati-gandhanayoḥ,</w:t>
      </w:r>
      <w:r>
        <w:t xml:space="preserve">”</w:t>
      </w:r>
      <w:r>
        <w:t xml:space="preserve"> </w:t>
      </w:r>
      <w:r>
        <w:t xml:space="preserve">“</w:t>
      </w:r>
      <w:r>
        <w:t xml:space="preserve">pā pāne</w:t>
      </w:r>
      <w:r>
        <w:t xml:space="preserve">”</w:t>
      </w:r>
      <w:r>
        <w:t xml:space="preserve">/</w:t>
      </w:r>
      <w:r>
        <w:t xml:space="preserve">“</w:t>
      </w:r>
      <w:r>
        <w:t xml:space="preserve">pā rakṣaṇe,</w:t>
      </w:r>
      <w:r>
        <w:t xml:space="preserve">”</w:t>
      </w:r>
      <w:r>
        <w:t xml:space="preserve"> </w:t>
      </w:r>
      <w:r>
        <w:t xml:space="preserve">“</w:t>
      </w:r>
      <w:r>
        <w:t xml:space="preserve">ji abhibhave,</w:t>
      </w:r>
      <w:r>
        <w:t xml:space="preserve">”</w:t>
      </w:r>
      <w:r>
        <w:t xml:space="preserve"> </w:t>
      </w:r>
      <w:r>
        <w:t xml:space="preserve">“</w:t>
      </w:r>
      <w:r>
        <w:t xml:space="preserve">ḍumiñ prakṣepaṇe,</w:t>
      </w:r>
      <w:r>
        <w:t xml:space="preserve">”</w:t>
      </w:r>
      <w:r>
        <w:t xml:space="preserve"> </w:t>
      </w:r>
      <w:r>
        <w:t xml:space="preserve">“</w:t>
      </w:r>
      <w:r>
        <w:t xml:space="preserve">svada āsvādane,</w:t>
      </w:r>
      <w:r>
        <w:t xml:space="preserve">”</w:t>
      </w:r>
      <w:r>
        <w:t xml:space="preserve"> </w:t>
      </w:r>
      <w:r>
        <w:t xml:space="preserve">“</w:t>
      </w:r>
      <w:r>
        <w:t xml:space="preserve">sādha saṃsiddhau</w:t>
      </w:r>
      <w:r>
        <w:t xml:space="preserve">”</w:t>
      </w:r>
      <w:r>
        <w:t xml:space="preserve"> </w:t>
      </w:r>
      <w:r>
        <w:t xml:space="preserve">and</w:t>
      </w:r>
      <w:r>
        <w:t xml:space="preserve"> </w:t>
      </w:r>
      <w:r>
        <w:t xml:space="preserve">“</w:t>
      </w:r>
      <w:r>
        <w:t xml:space="preserve">aśū vyāptau</w:t>
      </w:r>
      <w:r>
        <w:t xml:space="preserve">”</w:t>
      </w:r>
      <w:r>
        <w:t xml:space="preserve"> </w:t>
      </w:r>
      <w:r>
        <w:t xml:space="preserve">the affix</w:t>
      </w:r>
      <w:r>
        <w:t xml:space="preserve"> </w:t>
      </w:r>
      <w:r>
        <w:t xml:space="preserve">“</w:t>
      </w:r>
      <w:r>
        <w:t xml:space="preserve">uṇ</w:t>
      </w:r>
      <w:r>
        <w:t xml:space="preserve">”</w:t>
      </w:r>
      <w:r>
        <w:t xml:space="preserve">;</w:t>
      </w:r>
      <w:r>
        <w:t xml:space="preserve"> </w:t>
      </w:r>
      <w:r>
        <w:t xml:space="preserve">“</w:t>
      </w:r>
      <w:r>
        <w:t xml:space="preserve">aś + u,</w:t>
      </w:r>
      <w:r>
        <w:t xml:space="preserve">”</w:t>
      </w:r>
      <w:r>
        <w:t xml:space="preserve"> </w:t>
      </w:r>
      <w:r>
        <w:t xml:space="preserve">and as the affix is</w:t>
      </w:r>
      <w:r>
        <w:t xml:space="preserve"> </w:t>
      </w:r>
      <w:r>
        <w:t xml:space="preserve">“</w:t>
      </w:r>
      <w:r>
        <w:t xml:space="preserve">ṇit,</w:t>
      </w:r>
      <w:r>
        <w:t xml:space="preserve">”</w:t>
      </w:r>
      <w:r>
        <w:t xml:space="preserve"> </w:t>
      </w:r>
      <w:r>
        <w:rPr>
          <w:bCs/>
          <w:b/>
        </w:rPr>
        <w:t xml:space="preserve">अत उपधायाः</w:t>
      </w:r>
      <w:r>
        <w:t xml:space="preserve"> </w:t>
      </w:r>
      <w:r>
        <w:t xml:space="preserve">(पा. ७-२-११६) gives vṛddhi →</w:t>
      </w:r>
      <w:r>
        <w:t xml:space="preserve"> </w:t>
      </w:r>
      <w:r>
        <w:t xml:space="preserve">“</w:t>
      </w:r>
      <w:r>
        <w:t xml:space="preserve">āśu</w:t>
      </w:r>
      <w:r>
        <w:t xml:space="preserve">”</w:t>
      </w:r>
      <w:r>
        <w:t xml:space="preserve">; with</w:t>
      </w:r>
      <w:r>
        <w:t xml:space="preserve"> </w:t>
      </w:r>
      <w:r>
        <w:t xml:space="preserve">“</w:t>
      </w:r>
      <w:r>
        <w:t xml:space="preserve">jas,</w:t>
      </w:r>
      <w:r>
        <w:t xml:space="preserve">”</w:t>
      </w:r>
      <w:r>
        <w:t xml:space="preserve"> </w:t>
      </w:r>
      <w:r>
        <w:t xml:space="preserve">guṇa gives</w:t>
      </w:r>
      <w:r>
        <w:t xml:space="preserve"> </w:t>
      </w:r>
      <w:r>
        <w:t xml:space="preserve">“</w:t>
      </w:r>
      <w:r>
        <w:t xml:space="preserve">o,</w:t>
      </w:r>
      <w:r>
        <w:t xml:space="preserve">”</w:t>
      </w:r>
      <w:r>
        <w:t xml:space="preserve"> </w:t>
      </w:r>
      <w:r>
        <w:t xml:space="preserve">“</w:t>
      </w:r>
      <w:r>
        <w:t xml:space="preserve">av</w:t>
      </w:r>
      <w:r>
        <w:t xml:space="preserve">”</w:t>
      </w:r>
      <w:r>
        <w:t xml:space="preserve"> </w:t>
      </w:r>
      <w:r>
        <w:t xml:space="preserve">for it →</w:t>
      </w:r>
      <w:r>
        <w:t xml:space="preserve"> </w:t>
      </w:r>
      <w:r>
        <w:t xml:space="preserve">“</w:t>
      </w:r>
      <w:r>
        <w:t xml:space="preserve">āśavas,</w:t>
      </w:r>
      <w:r>
        <w:t xml:space="preserve">”</w:t>
      </w:r>
      <w:r>
        <w:t xml:space="preserve"> </w:t>
      </w:r>
      <w:r>
        <w:t xml:space="preserve">then</w:t>
      </w:r>
      <w:r>
        <w:t xml:space="preserve"> </w:t>
      </w:r>
      <w:r>
        <w:t xml:space="preserve">“</w:t>
      </w:r>
      <w:r>
        <w:t xml:space="preserve">ru</w:t>
      </w:r>
      <w:r>
        <w:t xml:space="preserve">”</w:t>
      </w:r>
      <w:r>
        <w:t xml:space="preserve"> </w:t>
      </w:r>
      <w:r>
        <w:t xml:space="preserve">and visarga →</w:t>
      </w:r>
      <w:r>
        <w:t xml:space="preserve"> </w:t>
      </w:r>
      <w:r>
        <w:t xml:space="preserve">“</w:t>
      </w:r>
      <w:r>
        <w:t xml:space="preserve">āśavaḥ.</w:t>
      </w:r>
      <w:r>
        <w:t xml:space="preserve">”</w:t>
      </w:r>
      <w:r>
        <w:t xml:space="preserve"> </w:t>
      </w:r>
      <w:r>
        <w:t xml:space="preserve">By</w:t>
      </w:r>
      <w:r>
        <w:t xml:space="preserve"> </w:t>
      </w:r>
      <w:r>
        <w:rPr>
          <w:bCs/>
          <w:b/>
        </w:rPr>
        <w:t xml:space="preserve">सति शिष्टस्वरबलीयस्त्वमन्यत्र विकरणेभ्यः</w:t>
      </w:r>
      <w:r>
        <w:t xml:space="preserve"> </w:t>
      </w:r>
      <w:r>
        <w:t xml:space="preserve">the accent of the later-taught (śiṣṭa) affix</w:t>
      </w:r>
      <w:r>
        <w:t xml:space="preserve"> </w:t>
      </w:r>
      <w:r>
        <w:t xml:space="preserve">“</w:t>
      </w:r>
      <w:r>
        <w:t xml:space="preserve">uṇ</w:t>
      </w:r>
      <w:r>
        <w:t xml:space="preserve">”</w:t>
      </w:r>
      <w:r>
        <w:t xml:space="preserve"> </w:t>
      </w:r>
      <w:r>
        <w:t xml:space="preserve">prevails: the root’s</w:t>
      </w:r>
      <w:r>
        <w:t xml:space="preserve"> </w:t>
      </w:r>
      <w:r>
        <w:t xml:space="preserve">“</w:t>
      </w:r>
      <w:r>
        <w:t xml:space="preserve">a</w:t>
      </w:r>
      <w:r>
        <w:t xml:space="preserve">”</w:t>
      </w:r>
      <w:r>
        <w:t xml:space="preserve"> </w:t>
      </w:r>
      <w:r>
        <w:t xml:space="preserve">is unaccented by the</w:t>
      </w:r>
      <w:r>
        <w:t xml:space="preserve"> </w:t>
      </w:r>
      <w:r>
        <w:t xml:space="preserve">“</w:t>
      </w:r>
      <w:r>
        <w:t xml:space="preserve">śeṣa</w:t>
      </w:r>
      <w:r>
        <w:t xml:space="preserve">”</w:t>
      </w:r>
      <w:r>
        <w:t xml:space="preserve"> </w:t>
      </w:r>
      <w:r>
        <w:t xml:space="preserve">rule, and the</w:t>
      </w:r>
      <w:r>
        <w:t xml:space="preserve"> </w:t>
      </w:r>
      <w:r>
        <w:t xml:space="preserve">“</w:t>
      </w:r>
      <w:r>
        <w:t xml:space="preserve">ā</w:t>
      </w:r>
      <w:r>
        <w:t xml:space="preserve">”</w:t>
      </w:r>
      <w:r>
        <w:t xml:space="preserve"> </w:t>
      </w:r>
      <w:r>
        <w:t xml:space="preserve">in its place is unaccented by sthānivadbhāva; the</w:t>
      </w:r>
      <w:r>
        <w:t xml:space="preserve"> </w:t>
      </w:r>
      <w:r>
        <w:t xml:space="preserve">“</w:t>
      </w:r>
      <w:r>
        <w:t xml:space="preserve">u</w:t>
      </w:r>
      <w:r>
        <w:t xml:space="preserve">”</w:t>
      </w:r>
      <w:r>
        <w:t xml:space="preserve"> </w:t>
      </w:r>
      <w:r>
        <w:t xml:space="preserve">of</w:t>
      </w:r>
      <w:r>
        <w:t xml:space="preserve"> </w:t>
      </w:r>
      <w:r>
        <w:t xml:space="preserve">“</w:t>
      </w:r>
      <w:r>
        <w:t xml:space="preserve">uṇ</w:t>
      </w:r>
      <w:r>
        <w:t xml:space="preserve">”</w:t>
      </w:r>
      <w:r>
        <w:t xml:space="preserve"> </w:t>
      </w:r>
      <w:r>
        <w:t xml:space="preserve">is acute, and the</w:t>
      </w:r>
      <w:r>
        <w:t xml:space="preserve"> </w:t>
      </w:r>
      <w:r>
        <w:t xml:space="preserve">“</w:t>
      </w:r>
      <w:r>
        <w:t xml:space="preserve">o</w:t>
      </w:r>
      <w:r>
        <w:t xml:space="preserve">”</w:t>
      </w:r>
      <w:r>
        <w:t xml:space="preserve"> </w:t>
      </w:r>
      <w:r>
        <w:t xml:space="preserve">from guṇa and the</w:t>
      </w:r>
      <w:r>
        <w:t xml:space="preserve"> </w:t>
      </w:r>
      <w:r>
        <w:t xml:space="preserve">“</w:t>
      </w:r>
      <w:r>
        <w:t xml:space="preserve">av</w:t>
      </w:r>
      <w:r>
        <w:t xml:space="preserve">”</w:t>
      </w:r>
      <w:r>
        <w:t xml:space="preserve"> </w:t>
      </w:r>
      <w:r>
        <w:t xml:space="preserve">in its place are acute by sthānivadbhāva;</w:t>
      </w:r>
      <w:r>
        <w:t xml:space="preserve"> </w:t>
      </w:r>
      <w:r>
        <w:t xml:space="preserve">“</w:t>
      </w:r>
      <w:r>
        <w:t xml:space="preserve">as,</w:t>
      </w:r>
      <w:r>
        <w:t xml:space="preserve">”</w:t>
      </w:r>
      <w:r>
        <w:t xml:space="preserve"> </w:t>
      </w:r>
      <w:r>
        <w:t xml:space="preserve">being</w:t>
      </w:r>
      <w:r>
        <w:t xml:space="preserve"> </w:t>
      </w:r>
      <w:r>
        <w:t xml:space="preserve">“</w:t>
      </w:r>
      <w:r>
        <w:t xml:space="preserve">sup,</w:t>
      </w:r>
      <w:r>
        <w:t xml:space="preserve">”</w:t>
      </w:r>
      <w:r>
        <w:t xml:space="preserve"> </w:t>
      </w:r>
      <w:r>
        <w:t xml:space="preserve">is unaccented. In the Pada, the final</w:t>
      </w:r>
      <w:r>
        <w:t xml:space="preserve"> </w:t>
      </w:r>
      <w:r>
        <w:t xml:space="preserve">“</w:t>
      </w:r>
      <w:r>
        <w:t xml:space="preserve">a</w:t>
      </w:r>
      <w:r>
        <w:t xml:space="preserve">”</w:t>
      </w:r>
      <w:r>
        <w:t xml:space="preserve"> </w:t>
      </w:r>
      <w:r>
        <w:t xml:space="preserve">of</w:t>
      </w:r>
      <w:r>
        <w:t xml:space="preserve"> </w:t>
      </w:r>
      <w:r>
        <w:t xml:space="preserve">“</w:t>
      </w:r>
      <w:r>
        <w:t xml:space="preserve">āśavaḥ,</w:t>
      </w:r>
      <w:r>
        <w:t xml:space="preserve">”</w:t>
      </w:r>
      <w:r>
        <w:t xml:space="preserve"> </w:t>
      </w:r>
      <w:r>
        <w:t xml:space="preserve">after an acute, is svarita by</w:t>
      </w:r>
      <w:r>
        <w:t xml:space="preserve"> </w:t>
      </w:r>
      <w:r>
        <w:rPr>
          <w:bCs/>
          <w:b/>
        </w:rPr>
        <w:t xml:space="preserve">उदात्तादनुदात्तस्य स्वरितः</w:t>
      </w:r>
      <w:r>
        <w:t xml:space="preserve">; in the saṃhitā, as the acute</w:t>
      </w:r>
      <w:r>
        <w:t xml:space="preserve"> </w:t>
      </w:r>
      <w:r>
        <w:t xml:space="preserve">“</w:t>
      </w:r>
      <w:r>
        <w:t xml:space="preserve">so</w:t>
      </w:r>
      <w:r>
        <w:t xml:space="preserve">”</w:t>
      </w:r>
      <w:r>
        <w:t xml:space="preserve"> </w:t>
      </w:r>
      <w:r>
        <w:t xml:space="preserve">follows, it remains unaccented.</w:t>
      </w:r>
    </w:p>
    <w:p>
      <w:pPr>
        <w:pStyle w:val="BodyText"/>
      </w:pPr>
      <w:r>
        <w:rPr>
          <w:bCs/>
          <w:b/>
        </w:rPr>
        <w:t xml:space="preserve">“</w:t>
      </w:r>
      <w:r>
        <w:rPr>
          <w:bCs/>
          <w:b/>
        </w:rPr>
        <w:t xml:space="preserve">Girvaṇaḥ</w:t>
      </w:r>
      <w:r>
        <w:rPr>
          <w:bCs/>
          <w:b/>
        </w:rPr>
        <w:t xml:space="preserve">”</w:t>
      </w:r>
      <w:r>
        <w:t xml:space="preserve"> </w:t>
      </w:r>
      <w:r>
        <w:t xml:space="preserve">—</w:t>
      </w:r>
      <w:r>
        <w:t xml:space="preserve"> </w:t>
      </w:r>
      <w:r>
        <w:t xml:space="preserve">“</w:t>
      </w:r>
      <w:r>
        <w:t xml:space="preserve">gṛṇantīti giraḥ</w:t>
      </w:r>
      <w:r>
        <w:t xml:space="preserve">”</w:t>
      </w:r>
      <w:r>
        <w:t xml:space="preserve"> </w:t>
      </w:r>
      <w:r>
        <w:t xml:space="preserve">(</w:t>
      </w:r>
      <w:r>
        <w:t xml:space="preserve">“</w:t>
      </w:r>
      <w:r>
        <w:t xml:space="preserve">they sing — hence</w:t>
      </w:r>
      <w:r>
        <w:t xml:space="preserve"> </w:t>
      </w:r>
      <w:r>
        <w:t xml:space="preserve">‘</w:t>
      </w:r>
      <w:r>
        <w:t xml:space="preserve">giraḥ,</w:t>
      </w:r>
      <w:r>
        <w:t xml:space="preserve">’</w:t>
      </w:r>
      <w:r>
        <w:t xml:space="preserve"> </w:t>
      </w:r>
      <w:r>
        <w:t xml:space="preserve">praises</w:t>
      </w:r>
      <w:r>
        <w:t xml:space="preserve">”</w:t>
      </w:r>
      <w:r>
        <w:t xml:space="preserve">):</w:t>
      </w:r>
      <w:r>
        <w:t xml:space="preserve"> </w:t>
      </w:r>
      <w:r>
        <w:t xml:space="preserve">“</w:t>
      </w:r>
      <w:r>
        <w:t xml:space="preserve">gṝ śabde,</w:t>
      </w:r>
      <w:r>
        <w:t xml:space="preserve">”</w:t>
      </w:r>
      <w:r>
        <w:t xml:space="preserve"> </w:t>
      </w:r>
      <w:r>
        <w:rPr>
          <w:bCs/>
          <w:b/>
        </w:rPr>
        <w:t xml:space="preserve">क्विप्</w:t>
      </w:r>
      <w:r>
        <w:t xml:space="preserve"> </w:t>
      </w:r>
      <w:r>
        <w:t xml:space="preserve">→</w:t>
      </w:r>
      <w:r>
        <w:t xml:space="preserve"> </w:t>
      </w:r>
      <w:r>
        <w:t xml:space="preserve">“</w:t>
      </w:r>
      <w:r>
        <w:t xml:space="preserve">gir</w:t>
      </w:r>
      <w:r>
        <w:t xml:space="preserve">”</w:t>
      </w:r>
      <w:r>
        <w:t xml:space="preserve"> </w:t>
      </w:r>
      <w:r>
        <w:t xml:space="preserve">(</w:t>
      </w:r>
      <w:r>
        <w:rPr>
          <w:bCs/>
          <w:b/>
        </w:rPr>
        <w:t xml:space="preserve">ऋत इद्धातोः</w:t>
      </w:r>
      <w:r>
        <w:t xml:space="preserve">, पा. ७-१-१००, the</w:t>
      </w:r>
      <w:r>
        <w:t xml:space="preserve"> </w:t>
      </w:r>
      <w:r>
        <w:t xml:space="preserve">“</w:t>
      </w:r>
      <w:r>
        <w:t xml:space="preserve">ṝ</w:t>
      </w:r>
      <w:r>
        <w:t xml:space="preserve">”</w:t>
      </w:r>
      <w:r>
        <w:t xml:space="preserve"> </w:t>
      </w:r>
      <w:r>
        <w:t xml:space="preserve">becomes</w:t>
      </w:r>
      <w:r>
        <w:t xml:space="preserve"> </w:t>
      </w:r>
      <w:r>
        <w:t xml:space="preserve">“</w:t>
      </w:r>
      <w:r>
        <w:t xml:space="preserve">ir</w:t>
      </w:r>
      <w:r>
        <w:t xml:space="preserve">”</w:t>
      </w:r>
      <w:r>
        <w:t xml:space="preserve">;</w:t>
      </w:r>
      <w:r>
        <w:t xml:space="preserve"> </w:t>
      </w:r>
      <w:r>
        <w:rPr>
          <w:bCs/>
          <w:b/>
        </w:rPr>
        <w:t xml:space="preserve">उरण् रपरः</w:t>
      </w:r>
      <w:r>
        <w:t xml:space="preserve">, पा. १-१-५१);</w:t>
      </w:r>
      <w:r>
        <w:t xml:space="preserve"> </w:t>
      </w:r>
      <w:r>
        <w:t xml:space="preserve">“</w:t>
      </w:r>
      <w:r>
        <w:t xml:space="preserve">girbhir vanyate sevyate iti girvaṇāḥ</w:t>
      </w:r>
      <w:r>
        <w:t xml:space="preserve">”</w:t>
      </w:r>
      <w:r>
        <w:t xml:space="preserve"> </w:t>
      </w:r>
      <w:r>
        <w:t xml:space="preserve">—</w:t>
      </w:r>
      <w:r>
        <w:t xml:space="preserve"> </w:t>
      </w:r>
      <w:r>
        <w:t xml:space="preserve">“</w:t>
      </w:r>
      <w:r>
        <w:t xml:space="preserve">that which is served by praises</w:t>
      </w:r>
      <w:r>
        <w:t xml:space="preserve">”</w:t>
      </w:r>
      <w:r>
        <w:t xml:space="preserve">;</w:t>
      </w:r>
      <w:r>
        <w:t xml:space="preserve"> </w:t>
      </w:r>
      <w:r>
        <w:t xml:space="preserve">“</w:t>
      </w:r>
      <w:r>
        <w:t xml:space="preserve">vana ṣaṇa sambhaktau</w:t>
      </w:r>
      <w:r>
        <w:t xml:space="preserve">”</w:t>
      </w:r>
      <w:r>
        <w:t xml:space="preserve">;</w:t>
      </w:r>
      <w:r>
        <w:t xml:space="preserve"> </w:t>
      </w:r>
      <w:r>
        <w:rPr>
          <w:bCs/>
          <w:b/>
        </w:rPr>
        <w:t xml:space="preserve">सर्वधातुभ्योऽसुन्</w:t>
      </w:r>
      <w:r>
        <w:t xml:space="preserve"> </w:t>
      </w:r>
      <w:r>
        <w:t xml:space="preserve">(उ. सू. ४-१८८; printed here</w:t>
      </w:r>
      <w:r>
        <w:t xml:space="preserve"> </w:t>
      </w:r>
      <w:r>
        <w:t xml:space="preserve">“</w:t>
      </w:r>
      <w:r>
        <w:t xml:space="preserve">14-628</w:t>
      </w:r>
      <w:r>
        <w:t xml:space="preserve">”</w:t>
      </w:r>
      <w:r>
        <w:t xml:space="preserve"> </w:t>
      </w:r>
      <w:r>
        <w:t xml:space="preserve">[?]) the affix</w:t>
      </w:r>
      <w:r>
        <w:t xml:space="preserve"> </w:t>
      </w:r>
      <w:r>
        <w:t xml:space="preserve">“</w:t>
      </w:r>
      <w:r>
        <w:t xml:space="preserve">asun</w:t>
      </w:r>
      <w:r>
        <w:t xml:space="preserve">”</w:t>
      </w:r>
      <w:r>
        <w:t xml:space="preserve">; the print then argues the</w:t>
      </w:r>
      <w:r>
        <w:t xml:space="preserve"> </w:t>
      </w:r>
      <w:r>
        <w:t xml:space="preserve">“</w:t>
      </w:r>
      <w:r>
        <w:t xml:space="preserve">ṇ</w:t>
      </w:r>
      <w:r>
        <w:t xml:space="preserve">”</w:t>
      </w:r>
      <w:r>
        <w:t xml:space="preserve">: by</w:t>
      </w:r>
      <w:r>
        <w:t xml:space="preserve"> </w:t>
      </w:r>
      <w:r>
        <w:rPr>
          <w:bCs/>
          <w:b/>
        </w:rPr>
        <w:t xml:space="preserve">पूर्वपदात्संज्ञायामगः</w:t>
      </w:r>
      <w:r>
        <w:t xml:space="preserve"> </w:t>
      </w:r>
      <w:r>
        <w:t xml:space="preserve">(पा. ८-४-३) —</w:t>
      </w:r>
      <w:r>
        <w:t xml:space="preserve"> </w:t>
      </w:r>
      <w:r>
        <w:t xml:space="preserve">“</w:t>
      </w:r>
      <w:r>
        <w:t xml:space="preserve">n</w:t>
      </w:r>
      <w:r>
        <w:t xml:space="preserve">”</w:t>
      </w:r>
      <w:r>
        <w:t xml:space="preserve"> </w:t>
      </w:r>
      <w:r>
        <w:t xml:space="preserve">becomes</w:t>
      </w:r>
      <w:r>
        <w:t xml:space="preserve"> </w:t>
      </w:r>
      <w:r>
        <w:t xml:space="preserve">“</w:t>
      </w:r>
      <w:r>
        <w:t xml:space="preserve">ṇ</w:t>
      </w:r>
      <w:r>
        <w:t xml:space="preserve">”</w:t>
      </w:r>
      <w:r>
        <w:t xml:space="preserve"> </w:t>
      </w:r>
      <w:r>
        <w:t xml:space="preserve">after an earlier word in a name when the first member contains</w:t>
      </w:r>
      <w:r>
        <w:t xml:space="preserve"> </w:t>
      </w:r>
      <w:r>
        <w:t xml:space="preserve">“</w:t>
      </w:r>
      <w:r>
        <w:t xml:space="preserve">r, ṣ</w:t>
      </w:r>
      <w:r>
        <w:t xml:space="preserve">”</w:t>
      </w:r>
      <w:r>
        <w:t xml:space="preserve"> </w:t>
      </w:r>
      <w:r>
        <w:t xml:space="preserve">(even if separated by</w:t>
      </w:r>
      <w:r>
        <w:t xml:space="preserve"> </w:t>
      </w:r>
      <w:r>
        <w:t xml:space="preserve">‘</w:t>
      </w:r>
      <w:r>
        <w:t xml:space="preserve">aṭ/kavarga/pavarga</w:t>
      </w:r>
      <w:r>
        <w:t xml:space="preserve">’</w:t>
      </w:r>
      <w:r>
        <w:t xml:space="preserve"> </w:t>
      </w:r>
      <w:r>
        <w:t xml:space="preserve">letters), unless</w:t>
      </w:r>
      <w:r>
        <w:t xml:space="preserve"> </w:t>
      </w:r>
      <w:r>
        <w:t xml:space="preserve">“</w:t>
      </w:r>
      <w:r>
        <w:t xml:space="preserve">ga</w:t>
      </w:r>
      <w:r>
        <w:t xml:space="preserve">”</w:t>
      </w:r>
      <w:r>
        <w:t xml:space="preserve"> </w:t>
      </w:r>
      <w:r>
        <w:t xml:space="preserve">intervenes — so</w:t>
      </w:r>
      <w:r>
        <w:t xml:space="preserve"> </w:t>
      </w:r>
      <w:r>
        <w:t xml:space="preserve">“</w:t>
      </w:r>
      <w:r>
        <w:t xml:space="preserve">girvanas</w:t>
      </w:r>
      <w:r>
        <w:t xml:space="preserve">”</w:t>
      </w:r>
      <w:r>
        <w:t xml:space="preserve"> </w:t>
      </w:r>
      <w:r>
        <w:t xml:space="preserve">→</w:t>
      </w:r>
      <w:r>
        <w:t xml:space="preserve"> </w:t>
      </w:r>
      <w:r>
        <w:t xml:space="preserve">“</w:t>
      </w:r>
      <w:r>
        <w:t xml:space="preserve">girvaṇas.</w:t>
      </w:r>
      <w:r>
        <w:t xml:space="preserve">”</w:t>
      </w:r>
      <w:r>
        <w:t xml:space="preserve"> </w:t>
      </w:r>
      <w:r>
        <w:t xml:space="preserve">The print adds that</w:t>
      </w:r>
      <w:r>
        <w:t xml:space="preserve"> </w:t>
      </w:r>
      <w:r>
        <w:rPr>
          <w:bCs/>
          <w:b/>
        </w:rPr>
        <w:t xml:space="preserve">Devarāja-yajvan</w:t>
      </w:r>
      <w:r>
        <w:t xml:space="preserve"> </w:t>
      </w:r>
      <w:r>
        <w:t xml:space="preserve">and others have derived the word differently (from</w:t>
      </w:r>
      <w:r>
        <w:t xml:space="preserve"> </w:t>
      </w:r>
      <w:r>
        <w:t xml:space="preserve">“</w:t>
      </w:r>
      <w:r>
        <w:t xml:space="preserve">gir + van,</w:t>
      </w:r>
      <w:r>
        <w:t xml:space="preserve">”</w:t>
      </w:r>
      <w:r>
        <w:t xml:space="preserve"> </w:t>
      </w:r>
      <w:r>
        <w:t xml:space="preserve">“</w:t>
      </w:r>
      <w:r>
        <w:t xml:space="preserve">vanu yācane</w:t>
      </w:r>
      <w:r>
        <w:t xml:space="preserve">”</w:t>
      </w:r>
      <w:r>
        <w:t xml:space="preserve"> </w:t>
      </w:r>
      <w:r>
        <w:t xml:space="preserve">a root in the</w:t>
      </w:r>
      <w:r>
        <w:t xml:space="preserve"> </w:t>
      </w:r>
      <w:r>
        <w:t xml:space="preserve">“</w:t>
      </w:r>
      <w:r>
        <w:t xml:space="preserve">ghaṭādi</w:t>
      </w:r>
      <w:r>
        <w:t xml:space="preserve">”</w:t>
      </w:r>
      <w:r>
        <w:t xml:space="preserve"> </w:t>
      </w:r>
      <w:r>
        <w:t xml:space="preserve">list, with</w:t>
      </w:r>
      <w:r>
        <w:t xml:space="preserve"> </w:t>
      </w:r>
      <w:r>
        <w:t xml:space="preserve">“</w:t>
      </w:r>
      <w:r>
        <w:t xml:space="preserve">ṇic</w:t>
      </w:r>
      <w:r>
        <w:t xml:space="preserve">”</w:t>
      </w:r>
      <w:r>
        <w:t xml:space="preserve"> </w:t>
      </w:r>
      <w:r>
        <w:t xml:space="preserve">and</w:t>
      </w:r>
      <w:r>
        <w:t xml:space="preserve"> </w:t>
      </w:r>
      <w:r>
        <w:t xml:space="preserve">“</w:t>
      </w:r>
      <w:r>
        <w:t xml:space="preserve">asun</w:t>
      </w:r>
      <w:r>
        <w:t xml:space="preserve">”</w:t>
      </w:r>
      <w:r>
        <w:t xml:space="preserve">: by</w:t>
      </w:r>
      <w:r>
        <w:t xml:space="preserve"> </w:t>
      </w:r>
      <w:r>
        <w:rPr>
          <w:bCs/>
          <w:b/>
        </w:rPr>
        <w:t xml:space="preserve">णेरनिटि</w:t>
      </w:r>
      <w:r>
        <w:t xml:space="preserve"> </w:t>
      </w:r>
      <w:r>
        <w:t xml:space="preserve">(पा. ६-४-५१) the</w:t>
      </w:r>
      <w:r>
        <w:t xml:space="preserve"> </w:t>
      </w:r>
      <w:r>
        <w:t xml:space="preserve">“</w:t>
      </w:r>
      <w:r>
        <w:t xml:space="preserve">ṇi</w:t>
      </w:r>
      <w:r>
        <w:t xml:space="preserve">”</w:t>
      </w:r>
      <w:r>
        <w:t xml:space="preserve"> </w:t>
      </w:r>
      <w:r>
        <w:t xml:space="preserve">is elided, and the upadhā-vṛddhi</w:t>
      </w:r>
      <w:r>
        <w:t xml:space="preserve"> </w:t>
      </w:r>
      <w:r>
        <w:t xml:space="preserve">“</w:t>
      </w:r>
      <w:r>
        <w:t xml:space="preserve">vān</w:t>
      </w:r>
      <w:r>
        <w:t xml:space="preserve">”</w:t>
      </w:r>
      <w:r>
        <w:t xml:space="preserve"> </w:t>
      </w:r>
      <w:r>
        <w:t xml:space="preserve">that would come is shortened because, by</w:t>
      </w:r>
      <w:r>
        <w:t xml:space="preserve"> </w:t>
      </w:r>
      <w:r>
        <w:rPr>
          <w:bCs/>
          <w:b/>
        </w:rPr>
        <w:t xml:space="preserve">घटादयो मितः</w:t>
      </w:r>
      <w:r>
        <w:t xml:space="preserve"> </w:t>
      </w:r>
      <w:r>
        <w:t xml:space="preserve">(गणसूत्र), the ghaṭādi roots are</w:t>
      </w:r>
      <w:r>
        <w:t xml:space="preserve"> </w:t>
      </w:r>
      <w:r>
        <w:t xml:space="preserve">“</w:t>
      </w:r>
      <w:r>
        <w:t xml:space="preserve">mit,</w:t>
      </w:r>
      <w:r>
        <w:t xml:space="preserve">”</w:t>
      </w:r>
      <w:r>
        <w:t xml:space="preserve"> </w:t>
      </w:r>
      <w:r>
        <w:t xml:space="preserve">and</w:t>
      </w:r>
      <w:r>
        <w:t xml:space="preserve"> </w:t>
      </w:r>
      <w:r>
        <w:rPr>
          <w:bCs/>
          <w:b/>
        </w:rPr>
        <w:t xml:space="preserve">मितां ह्रस्वः</w:t>
      </w:r>
      <w:r>
        <w:t xml:space="preserve"> </w:t>
      </w:r>
      <w:r>
        <w:t xml:space="preserve">(पा. ६-४-९२) applies; the</w:t>
      </w:r>
      <w:r>
        <w:t xml:space="preserve"> </w:t>
      </w:r>
      <w:r>
        <w:t xml:space="preserve">“</w:t>
      </w:r>
      <w:r>
        <w:t xml:space="preserve">ī</w:t>
      </w:r>
      <w:r>
        <w:t xml:space="preserve">”</w:t>
      </w:r>
      <w:r>
        <w:t xml:space="preserve"> </w:t>
      </w:r>
      <w:r>
        <w:t xml:space="preserve">of</w:t>
      </w:r>
      <w:r>
        <w:t xml:space="preserve"> </w:t>
      </w:r>
      <w:r>
        <w:t xml:space="preserve">“</w:t>
      </w:r>
      <w:r>
        <w:t xml:space="preserve">gīr</w:t>
      </w:r>
      <w:r>
        <w:t xml:space="preserve">”</w:t>
      </w:r>
      <w:r>
        <w:t xml:space="preserve"> </w:t>
      </w:r>
      <w:r>
        <w:t xml:space="preserve">is shortened as a Vedic licence); and that</w:t>
      </w:r>
      <w:r>
        <w:t xml:space="preserve"> </w:t>
      </w:r>
      <w:r>
        <w:rPr>
          <w:bCs/>
          <w:b/>
        </w:rPr>
        <w:t xml:space="preserve">Yāska</w:t>
      </w:r>
      <w:r>
        <w:t xml:space="preserve"> </w:t>
      </w:r>
      <w:r>
        <w:t xml:space="preserve">gives the etymology</w:t>
      </w:r>
      <w:r>
        <w:t xml:space="preserve"> </w:t>
      </w:r>
      <w:r>
        <w:t xml:space="preserve">“</w:t>
      </w:r>
      <w:r>
        <w:rPr>
          <w:iCs/>
          <w:i/>
        </w:rPr>
        <w:t xml:space="preserve">girvaṇā devo gīrbhir enaṃ vanayanti</w:t>
      </w:r>
      <w:r>
        <w:t xml:space="preserve">”</w:t>
      </w:r>
      <w:r>
        <w:t xml:space="preserve"> </w:t>
      </w:r>
      <w:r>
        <w:t xml:space="preserve">(Nirukta 6-14), which also agrees with a derivation from the</w:t>
      </w:r>
      <w:r>
        <w:t xml:space="preserve"> </w:t>
      </w:r>
      <w:r>
        <w:t xml:space="preserve">“</w:t>
      </w:r>
      <w:r>
        <w:t xml:space="preserve">ṇic</w:t>
      </w:r>
      <w:r>
        <w:t xml:space="preserve">”</w:t>
      </w:r>
      <w:r>
        <w:t xml:space="preserve">-ending</w:t>
      </w:r>
      <w:r>
        <w:t xml:space="preserve"> </w:t>
      </w:r>
      <w:r>
        <w:t xml:space="preserve">“</w:t>
      </w:r>
      <w:r>
        <w:t xml:space="preserve">van</w:t>
      </w:r>
      <w:r>
        <w:t xml:space="preserve">”</w:t>
      </w:r>
      <w:r>
        <w:t xml:space="preserve">;</w:t>
      </w:r>
      <w:r>
        <w:t xml:space="preserve"> </w:t>
      </w:r>
      <w:r>
        <w:rPr>
          <w:bCs/>
          <w:b/>
        </w:rPr>
        <w:t xml:space="preserve">Skandasvāmī</w:t>
      </w:r>
      <w:r>
        <w:t xml:space="preserve"> </w:t>
      </w:r>
      <w:r>
        <w:t xml:space="preserve">says the same; and</w:t>
      </w:r>
      <w:r>
        <w:t xml:space="preserve"> </w:t>
      </w:r>
      <w:r>
        <w:rPr>
          <w:bCs/>
          <w:b/>
        </w:rPr>
        <w:t xml:space="preserve">Śrīnivāsa</w:t>
      </w:r>
      <w:r>
        <w:t xml:space="preserve"> </w:t>
      </w:r>
      <w:r>
        <w:t xml:space="preserve">says that</w:t>
      </w:r>
      <w:r>
        <w:t xml:space="preserve"> </w:t>
      </w:r>
      <w:r>
        <w:t xml:space="preserve">“</w:t>
      </w:r>
      <w:r>
        <w:t xml:space="preserve">ṇic</w:t>
      </w:r>
      <w:r>
        <w:t xml:space="preserve">”</w:t>
      </w:r>
      <w:r>
        <w:t xml:space="preserve"> </w:t>
      </w:r>
      <w:r>
        <w:t xml:space="preserve">comes in the sense of the root itself. The accent: the Uṇādi</w:t>
      </w:r>
      <w:r>
        <w:t xml:space="preserve"> </w:t>
      </w:r>
      <w:r>
        <w:t xml:space="preserve">“</w:t>
      </w:r>
      <w:r>
        <w:t xml:space="preserve">asun</w:t>
      </w:r>
      <w:r>
        <w:t xml:space="preserve">”</w:t>
      </w:r>
      <w:r>
        <w:t xml:space="preserve"> </w:t>
      </w:r>
      <w:r>
        <w:t xml:space="preserve">is</w:t>
      </w:r>
      <w:r>
        <w:t xml:space="preserve"> </w:t>
      </w:r>
      <w:r>
        <w:t xml:space="preserve">“</w:t>
      </w:r>
      <w:r>
        <w:t xml:space="preserve">n</w:t>
      </w:r>
      <w:r>
        <w:t xml:space="preserve">”</w:t>
      </w:r>
      <w:r>
        <w:t xml:space="preserve">-marked, so first-syllable acute; it is the word</w:t>
      </w:r>
      <w:r>
        <w:t xml:space="preserve"> </w:t>
      </w:r>
      <w:r>
        <w:t xml:space="preserve">“</w:t>
      </w:r>
      <w:r>
        <w:t xml:space="preserve">girvaṇas</w:t>
      </w:r>
      <w:r>
        <w:t xml:space="preserve">”</w:t>
      </w:r>
      <w:r>
        <w:t xml:space="preserve"> </w:t>
      </w:r>
      <w:r>
        <w:t xml:space="preserve">with the ṇ of</w:t>
      </w:r>
      <w:r>
        <w:t xml:space="preserve"> </w:t>
      </w:r>
      <w:r>
        <w:t xml:space="preserve">“</w:t>
      </w:r>
      <w:r>
        <w:t xml:space="preserve">-vaṇ-</w:t>
      </w:r>
      <w:r>
        <w:t xml:space="preserve">”</w:t>
      </w:r>
      <w:r>
        <w:t xml:space="preserve"> </w:t>
      </w:r>
      <w:r>
        <w:t xml:space="preserve">light, and</w:t>
      </w:r>
      <w:r>
        <w:t xml:space="preserve"> </w:t>
      </w:r>
      <w:r>
        <w:rPr>
          <w:bCs/>
          <w:b/>
        </w:rPr>
        <w:t xml:space="preserve">लघावन्ते द्वयोश्च बह्वषो गुरुः</w:t>
      </w:r>
      <w:r>
        <w:t xml:space="preserve"> </w:t>
      </w:r>
      <w:r>
        <w:t xml:space="preserve">(फि. सू. २-४२) would make the heavy syllable acute; since</w:t>
      </w:r>
      <w:r>
        <w:t xml:space="preserve"> </w:t>
      </w:r>
      <w:r>
        <w:t xml:space="preserve">“</w:t>
      </w:r>
      <w:r>
        <w:t xml:space="preserve">gir-</w:t>
      </w:r>
      <w:r>
        <w:t xml:space="preserve">”</w:t>
      </w:r>
      <w:r>
        <w:t xml:space="preserve"> </w:t>
      </w:r>
      <w:r>
        <w:t xml:space="preserve">is already heavy, the acute falls on</w:t>
      </w:r>
      <w:r>
        <w:t xml:space="preserve"> </w:t>
      </w:r>
      <w:r>
        <w:t xml:space="preserve">“</w:t>
      </w:r>
      <w:r>
        <w:t xml:space="preserve">gir</w:t>
      </w:r>
      <w:r>
        <w:t xml:space="preserve">”</w:t>
      </w:r>
      <w:r>
        <w:t xml:space="preserve">: first-syllable acute. Since in the Pada the word is a vocative standing after</w:t>
      </w:r>
      <w:r>
        <w:t xml:space="preserve"> </w:t>
      </w:r>
      <w:r>
        <w:t xml:space="preserve">“</w:t>
      </w:r>
      <w:r>
        <w:t xml:space="preserve">indra,</w:t>
      </w:r>
      <w:r>
        <w:t xml:space="preserve">”</w:t>
      </w:r>
      <w:r>
        <w:t xml:space="preserve"> </w:t>
      </w:r>
      <w:r>
        <w:t xml:space="preserve">it loses its accent by</w:t>
      </w:r>
      <w:r>
        <w:t xml:space="preserve"> </w:t>
      </w:r>
      <w:r>
        <w:rPr>
          <w:bCs/>
          <w:b/>
        </w:rPr>
        <w:t xml:space="preserve">आमन्त्रितस्य च</w:t>
      </w:r>
      <w:r>
        <w:t xml:space="preserve"> </w:t>
      </w:r>
      <w:r>
        <w:t xml:space="preserve">(पा. ८-१-१९); and in the saṃhitā the</w:t>
      </w:r>
      <w:r>
        <w:t xml:space="preserve"> </w:t>
      </w:r>
      <w:r>
        <w:t xml:space="preserve">“</w:t>
      </w:r>
      <w:r>
        <w:t xml:space="preserve">ā</w:t>
      </w:r>
      <w:r>
        <w:t xml:space="preserve">”</w:t>
      </w:r>
      <w:r>
        <w:t xml:space="preserve"> </w:t>
      </w:r>
      <w:r>
        <w:t xml:space="preserve">of</w:t>
      </w:r>
      <w:r>
        <w:t xml:space="preserve"> </w:t>
      </w:r>
      <w:r>
        <w:t xml:space="preserve">“</w:t>
      </w:r>
      <w:r>
        <w:t xml:space="preserve">somāsa</w:t>
      </w:r>
      <w:r>
        <w:t xml:space="preserve">”</w:t>
      </w:r>
      <w:r>
        <w:t xml:space="preserve"> </w:t>
      </w:r>
      <w:r>
        <w:t xml:space="preserve">is svarita, and the following syllables, all unaccented, become level (</w:t>
      </w:r>
      <w:r>
        <w:rPr>
          <w:bCs/>
          <w:b/>
        </w:rPr>
        <w:t xml:space="preserve">स्वरितात्संहितायामनुदात्तानाम्</w:t>
      </w:r>
      <w:r>
        <w:t xml:space="preserve">, पा. १-२-३९).</w:t>
      </w:r>
    </w:p>
    <w:p>
      <w:pPr>
        <w:pStyle w:val="BodyText"/>
      </w:pPr>
      <w:r>
        <w:rPr>
          <w:bCs/>
          <w:b/>
        </w:rPr>
        <w:t xml:space="preserve">“</w:t>
      </w:r>
      <w:r>
        <w:rPr>
          <w:bCs/>
          <w:b/>
        </w:rPr>
        <w:t xml:space="preserve">Pracetase</w:t>
      </w:r>
      <w:r>
        <w:rPr>
          <w:bCs/>
          <w:b/>
        </w:rPr>
        <w:t xml:space="preserve">”</w:t>
      </w:r>
      <w:r>
        <w:t xml:space="preserve"> </w:t>
      </w:r>
      <w:r>
        <w:t xml:space="preserve">— a bahuvrīhi, in which, by</w:t>
      </w:r>
      <w:r>
        <w:t xml:space="preserve"> </w:t>
      </w:r>
      <w:r>
        <w:rPr>
          <w:bCs/>
          <w:b/>
        </w:rPr>
        <w:t xml:space="preserve">बहुव्रीहौ प्रकृत्या पूर्वपदम्</w:t>
      </w:r>
      <w:r>
        <w:t xml:space="preserve"> </w:t>
      </w:r>
      <w:r>
        <w:t xml:space="preserve">(पा. ६-२-१), the first member keeps its accent. ॥७॥</w:t>
      </w:r>
    </w:p>
    <w:p>
      <w:r>
        <w:pict>
          <v:rect style="width:0;height:1.5pt" o:hralign="center" o:hrstd="t" o:hr="t"/>
        </w:pict>
      </w:r>
    </w:p>
    <w:bookmarkEnd w:id="220"/>
    <w:bookmarkStart w:id="221" w:name="sūkta-5-the-eighth-mantra"/>
    <w:p>
      <w:pPr>
        <w:pStyle w:val="Heading3"/>
      </w:pPr>
      <w:r>
        <w:t xml:space="preserve">Sūkta 5, The Eighth Mantra</w:t>
      </w:r>
    </w:p>
    <w:p>
      <w:pPr>
        <w:pStyle w:val="FirstParagraph"/>
      </w:pPr>
      <w:r>
        <w:rPr>
          <w:bCs/>
          <w:b/>
        </w:rPr>
        <w:t xml:space="preserve">॥ Saṃhitā-pāṭhaḥ ॥</w:t>
      </w:r>
    </w:p>
    <w:p>
      <w:pPr>
        <w:pStyle w:val="BlockText"/>
      </w:pPr>
      <w:r>
        <w:t xml:space="preserve">त्वां स्तोमा॑ अवीवृध॒न्त्वामु॒क्था श॑तक्रतो ।</w:t>
      </w:r>
      <w:r>
        <w:t xml:space="preserve"> </w:t>
      </w:r>
      <w:r>
        <w:t xml:space="preserve">त्वां व॑र्धंतु नो॒ गिरः॑ ॥८॥</w:t>
      </w:r>
    </w:p>
    <w:p>
      <w:pPr>
        <w:pStyle w:val="BlockText"/>
      </w:pPr>
      <w:r>
        <w:rPr>
          <w:iCs/>
          <w:i/>
        </w:rPr>
        <w:t xml:space="preserve">tvāṃ stómā avīvṛdhantvā́mukthā́ śatakrato |</w:t>
      </w:r>
      <w:r>
        <w:t xml:space="preserve"> </w:t>
      </w:r>
      <w:r>
        <w:rPr>
          <w:iCs/>
          <w:i/>
        </w:rPr>
        <w:t xml:space="preserve">tvā́ṃ vardhaṃtu no gíraḥ ||8||</w:t>
      </w:r>
    </w:p>
    <w:p>
      <w:pPr>
        <w:pStyle w:val="FirstParagraph"/>
      </w:pPr>
      <w:r>
        <w:rPr>
          <w:bCs/>
          <w:b/>
        </w:rPr>
        <w:t xml:space="preserve">॥ Pada-pāṭhaḥ ॥</w:t>
      </w:r>
    </w:p>
    <w:p>
      <w:pPr>
        <w:pStyle w:val="BlockText"/>
      </w:pPr>
      <w:r>
        <w:t xml:space="preserve">त्वाम् । स्तोमाः । अवीवृधन् । त्वाम् । उक्था । शतक्रतो इति शतऽक्रतो ।</w:t>
      </w:r>
      <w:r>
        <w:t xml:space="preserve"> </w:t>
      </w:r>
      <w:r>
        <w:t xml:space="preserve">त्वाम् । वर्धन्तु । नः । गिरः ॥८॥</w:t>
      </w:r>
    </w:p>
    <w:bookmarkEnd w:id="221"/>
    <w:bookmarkStart w:id="222" w:name="Xc60b37f553fbceb0036c805e052085283845881"/>
    <w:p>
      <w:pPr>
        <w:pStyle w:val="Heading3"/>
      </w:pPr>
      <w:r>
        <w:t xml:space="preserve">Page 186 — Rik 5.8: Sāyaṇa-bhāṣya, grammar (characterized), Pada-meanings (opening)</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5.</w:t>
      </w:r>
      <w:r>
        <w:rPr>
          <w:iCs/>
          <w:i/>
        </w:rPr>
        <w:t xml:space="preserve">”</w:t>
      </w:r>
      <w:r>
        <w:rPr>
          <w:iCs/>
          <w:i/>
        </w:rPr>
        <w:t xml:space="preserve"> </w:t>
      </w:r>
      <w:r>
        <w:rPr>
          <w:iCs/>
          <w:i/>
        </w:rPr>
        <w:t xml:space="preserve">Sanskrit printed in Kannada script, read from enlarged slices; [?] where unclear.)</w:t>
      </w:r>
    </w:p>
    <w:p>
      <w:pPr>
        <w:pStyle w:val="BodyText"/>
      </w:pPr>
      <w:r>
        <w:rPr>
          <w:bCs/>
          <w:b/>
        </w:rPr>
        <w:t xml:space="preserve">॥ Sāyaṇa-bhāṣyam ॥</w:t>
      </w:r>
    </w:p>
    <w:p>
      <w:pPr>
        <w:pStyle w:val="BlockText"/>
      </w:pPr>
      <w:r>
        <w:t xml:space="preserve">हे शतक्रतो बहुकर्मन्बहुप्रज्ञ वेन्द्र त्वां स्तोमाः सामगानां स्तोत्राण्यवीवृधन् । वर्धितवन्ति । तथा बह्वृचानामुक्था शस्त्राणि त्वामवीवृधन् । यस्मात्पूर्वमेवमासीत्तस्मादिदानीमपि नोऽस्माकं गिरः स्तुतयस्त्वां वर्धन्तु । वर्धयन्तु । अतिवृद्धं कुर्वन्तु ॥ स्तोमाः । मनो नित्त्वादाद्युदात्तः । अवीवृधन् । वृधु वृद्धौ । ण्यन्तात् । पा. ३-१-२६ । लुङि चङि । पा. ३-१-४८ । उर्ऋत् । पा. ७-४-७ । इति वृधेरुपधाया ऋकारस्य ऋकारविधानादन्तरङ्गोऽपि गुणो बाध्यते । द्विर्भाव । पा. ६-१-११ । हलादिशेष । पा. ७-४-६० । सन्वद्भाव । पा. ७-४-९३ । इत्त्वे । पा. ७-४-७९ । दीर्घश्च । पा. ७-४-९४ । अडागमः । पा. ६-४-७१ । उक्था । उक्थानि । पात्रातृदिववचिरिचिसिचिभ्यस्थक् । उ. २-७ । इति वचेः स्थक्प्रत्ययः । तस्य कित्त्वात्संप्रसारणम् । शेश्छन्दसि बहुलम् । पा. ६-१-७० । इति शिलोपः । नलोपश्च । प्रत्ययस्वरेणान्तोदात्तः । असामर्थ्यादामन्त्रितपरस्यापि न पराङ्गवद्भाव इति नानुदात्तत्वम् । वर्धन्तु । अन्तर्भावितण्यर्थाद्वृधेर्व्यत्ययेन परस्मैपदम् ॥</w:t>
      </w:r>
      <w:r>
        <w:t xml:space="preserve"> </w:t>
      </w:r>
      <w:r>
        <w:rPr>
          <w:iCs/>
          <w:i/>
        </w:rPr>
        <w:t xml:space="preserve">he śatakrato bahukarman bahuprajña vendra tvāṃ stomāḥ sāmagānāṃ stotrāṇy avīvṛdhan | vardhitavanti | tathā bahvṛcānām ukthā śastrāṇi tvām avīvṛdhan | yasmāt pūrvam evam āsīt tasmād idānīm api no ’smākaṃ giraḥ stutayas tvāṃ vardhantu | vardhayantu | ativṛddhaṃ kurvantu || stomāḥ | mano nittvād ādyudāttaḥ | avīvṛdhan | vṛdhu vṛddhau | ṇyantāt | pā. 3-1-26 | luṅi caṅi | pā. 3-1-48 | urṛt | pā. 7-4-7 | iti vṛdher upadhāyā ṛkārasya ṛkāra-vidhānād antaraṅgo ’pi guṇo bādhyate | dvirbhāva | pā. 6-1-11 | halādi-śeṣa | pā. 7-4-60 | sanvad-bhāva | pā. 7-4-93 | ittve | pā. 7-4-79 | dīrghaś ca | pā. 7-4-94 | aḍāgamaḥ | pā. 6-4-71 | ukthā | ukthāni | pātrā-tṛdiva-vaci-rici-sici-bhyas thak | u. 2-7 | iti vaceḥ sthak-pratyayaḥ | tasya kittvāt samprasāraṇam | śeś chandasi bahulam | pā. 6-1-70 | iti śilopaḥ | nalopaś ca | pratyaya-svareṇāntodāttaḥ | asāmarthyād āmantrita-parasyāpi na parāṅgavad-bhāva iti nānudāttatvam | vardhantu | antarbhāvita-ṇyarthād vṛdher vyatyayena parasmaipadam ||</w:t>
      </w:r>
      <w:r>
        <w:t xml:space="preserve"> </w:t>
      </w:r>
      <w:r>
        <w:rPr>
          <w:iCs/>
          <w:i/>
        </w:rPr>
        <w:t xml:space="preserve">(Reading notes: (i)</w:t>
      </w:r>
      <w:r>
        <w:rPr>
          <w:iCs/>
          <w:i/>
        </w:rPr>
        <w:t xml:space="preserve"> </w:t>
      </w:r>
      <w:r>
        <w:rPr>
          <w:iCs/>
          <w:i/>
        </w:rPr>
        <w:t xml:space="preserve">“</w:t>
      </w:r>
      <w:r>
        <w:rPr>
          <w:iCs/>
          <w:i/>
        </w:rPr>
        <w:t xml:space="preserve">vendra</w:t>
      </w:r>
      <w:r>
        <w:rPr>
          <w:iCs/>
          <w:i/>
        </w:rPr>
        <w:t xml:space="preserve">”</w:t>
      </w:r>
      <w:r>
        <w:rPr>
          <w:iCs/>
          <w:i/>
        </w:rPr>
        <w:t xml:space="preserve"> </w:t>
      </w:r>
      <w:r>
        <w:rPr>
          <w:iCs/>
          <w:i/>
        </w:rPr>
        <w:t xml:space="preserve">is the print’s run-together</w:t>
      </w:r>
      <w:r>
        <w:rPr>
          <w:iCs/>
          <w:i/>
        </w:rPr>
        <w:t xml:space="preserve"> </w:t>
      </w:r>
      <w:r>
        <w:rPr>
          <w:iCs/>
          <w:i/>
        </w:rPr>
        <w:t xml:space="preserve">“</w:t>
      </w:r>
      <w:r>
        <w:rPr>
          <w:iCs/>
          <w:i/>
        </w:rPr>
        <w:t xml:space="preserve">vā indra</w:t>
      </w:r>
      <w:r>
        <w:rPr>
          <w:iCs/>
          <w:i/>
        </w:rPr>
        <w:t xml:space="preserve">”</w:t>
      </w:r>
      <w:r>
        <w:rPr>
          <w:iCs/>
          <w:i/>
        </w:rPr>
        <w:t xml:space="preserve">; (ii) the sūtra-numbers and the abbreviated labels (</w:t>
      </w:r>
      <w:r>
        <w:rPr>
          <w:iCs/>
          <w:i/>
        </w:rPr>
        <w:t xml:space="preserve">“</w:t>
      </w:r>
      <w:r>
        <w:rPr>
          <w:iCs/>
          <w:i/>
        </w:rPr>
        <w:t xml:space="preserve">dvirbhāva,</w:t>
      </w:r>
      <w:r>
        <w:rPr>
          <w:iCs/>
          <w:i/>
        </w:rPr>
        <w:t xml:space="preserve">”</w:t>
      </w:r>
      <w:r>
        <w:rPr>
          <w:iCs/>
          <w:i/>
        </w:rPr>
        <w:t xml:space="preserve"> </w:t>
      </w:r>
      <w:r>
        <w:rPr>
          <w:iCs/>
          <w:i/>
        </w:rPr>
        <w:t xml:space="preserve">“</w:t>
      </w:r>
      <w:r>
        <w:rPr>
          <w:iCs/>
          <w:i/>
        </w:rPr>
        <w:t xml:space="preserve">halādiśeṣa,</w:t>
      </w:r>
      <w:r>
        <w:rPr>
          <w:iCs/>
          <w:i/>
        </w:rPr>
        <w:t xml:space="preserve">”</w:t>
      </w:r>
      <w:r>
        <w:rPr>
          <w:iCs/>
          <w:i/>
        </w:rPr>
        <w:t xml:space="preserve"> </w:t>
      </w:r>
      <w:r>
        <w:rPr>
          <w:iCs/>
          <w:i/>
        </w:rPr>
        <w:t xml:space="preserve">“</w:t>
      </w:r>
      <w:r>
        <w:rPr>
          <w:iCs/>
          <w:i/>
        </w:rPr>
        <w:t xml:space="preserve">sanvadbhāva,</w:t>
      </w:r>
      <w:r>
        <w:rPr>
          <w:iCs/>
          <w:i/>
        </w:rPr>
        <w:t xml:space="preserve">”</w:t>
      </w:r>
      <w:r>
        <w:rPr>
          <w:iCs/>
          <w:i/>
        </w:rPr>
        <w:t xml:space="preserve"> </w:t>
      </w:r>
      <w:r>
        <w:rPr>
          <w:iCs/>
          <w:i/>
        </w:rPr>
        <w:t xml:space="preserve">…) are as printed; (iii) re-read from the better scan:</w:t>
      </w:r>
      <w:r>
        <w:rPr>
          <w:iCs/>
          <w:i/>
        </w:rPr>
        <w:t xml:space="preserve"> </w:t>
      </w:r>
      <w:r>
        <w:rPr>
          <w:iCs/>
          <w:i/>
        </w:rPr>
        <w:t xml:space="preserve">“</w:t>
      </w:r>
      <w:r>
        <w:rPr>
          <w:iCs/>
          <w:i/>
        </w:rPr>
        <w:t xml:space="preserve">evam āsīt,</w:t>
      </w:r>
      <w:r>
        <w:rPr>
          <w:iCs/>
          <w:i/>
        </w:rPr>
        <w:t xml:space="preserve">”</w:t>
      </w:r>
      <w:r>
        <w:rPr>
          <w:iCs/>
          <w:i/>
        </w:rPr>
        <w:t xml:space="preserve"> </w:t>
      </w:r>
      <w:r>
        <w:rPr>
          <w:iCs/>
          <w:i/>
        </w:rPr>
        <w:t xml:space="preserve">“</w:t>
      </w:r>
      <w:r>
        <w:rPr>
          <w:iCs/>
          <w:i/>
        </w:rPr>
        <w:t xml:space="preserve">ṛkāra-vidhānād antaraṅgo ’pi guṇo bādhyate,</w:t>
      </w:r>
      <w:r>
        <w:rPr>
          <w:iCs/>
          <w:i/>
        </w:rPr>
        <w:t xml:space="preserve">”</w:t>
      </w:r>
      <w:r>
        <w:rPr>
          <w:iCs/>
          <w:i/>
        </w:rPr>
        <w:t xml:space="preserve"> </w:t>
      </w:r>
      <w:r>
        <w:rPr>
          <w:iCs/>
          <w:i/>
        </w:rPr>
        <w:t xml:space="preserve">“</w:t>
      </w:r>
      <w:r>
        <w:rPr>
          <w:iCs/>
          <w:i/>
        </w:rPr>
        <w:t xml:space="preserve">u. 2-7</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vṛdher vyatyayena parasmaipadam.</w:t>
      </w:r>
      <w:r>
        <w:rPr>
          <w:iCs/>
          <w:i/>
        </w:rPr>
        <w:t xml:space="preserve">”</w:t>
      </w:r>
      <w:r>
        <w:rPr>
          <w:iCs/>
          <w:i/>
        </w:rPr>
        <w:t xml:space="preserve">)</w:t>
      </w:r>
    </w:p>
    <w:p>
      <w:pPr>
        <w:pStyle w:val="FirstParagraph"/>
      </w:pPr>
      <w:r>
        <w:rPr>
          <w:bCs/>
          <w:b/>
        </w:rPr>
        <w:t xml:space="preserve">Translation (sense in full; grammar in outline):</w:t>
      </w:r>
      <w:r>
        <w:t xml:space="preserve"> </w:t>
      </w:r>
      <w:r>
        <w:t xml:space="preserve">“</w:t>
      </w:r>
      <w:r>
        <w:t xml:space="preserve">O</w:t>
      </w:r>
      <w:r>
        <w:t xml:space="preserve"> </w:t>
      </w:r>
      <w:r>
        <w:t xml:space="preserve">‘</w:t>
      </w:r>
      <w:r>
        <w:t xml:space="preserve">śatakrato</w:t>
      </w:r>
      <w:r>
        <w:t xml:space="preserve">’</w:t>
      </w:r>
      <w:r>
        <w:t xml:space="preserve"> </w:t>
      </w:r>
      <w:r>
        <w:t xml:space="preserve">— O doer of many deeds, O one of much wisdom — O Indra!</w:t>
      </w:r>
      <w:r>
        <w:t xml:space="preserve"> </w:t>
      </w:r>
      <w:r>
        <w:t xml:space="preserve">‘</w:t>
      </w:r>
      <w:r>
        <w:t xml:space="preserve">Tvāṃ stomāḥ avīvṛdhan</w:t>
      </w:r>
      <w:r>
        <w:t xml:space="preserve">’</w:t>
      </w:r>
      <w:r>
        <w:t xml:space="preserve"> </w:t>
      </w:r>
      <w:r>
        <w:t xml:space="preserve">— the stomas, the stotras of the Sāma-singers, made you grow, increased you. And likewise the</w:t>
      </w:r>
      <w:r>
        <w:t xml:space="preserve"> </w:t>
      </w:r>
      <w:r>
        <w:t xml:space="preserve">‘</w:t>
      </w:r>
      <w:r>
        <w:t xml:space="preserve">ukthā</w:t>
      </w:r>
      <w:r>
        <w:t xml:space="preserve">’</w:t>
      </w:r>
      <w:r>
        <w:t xml:space="preserve"> </w:t>
      </w:r>
      <w:r>
        <w:t xml:space="preserve">— the śastras, of the Ṛg-chanters (bahvṛca) — made you grow. Because they did so before, therefore now also</w:t>
      </w:r>
      <w:r>
        <w:t xml:space="preserve"> </w:t>
      </w:r>
      <w:r>
        <w:t xml:space="preserve">‘</w:t>
      </w:r>
      <w:r>
        <w:t xml:space="preserve">giraḥ</w:t>
      </w:r>
      <w:r>
        <w:t xml:space="preserve">’</w:t>
      </w:r>
      <w:r>
        <w:t xml:space="preserve"> </w:t>
      </w:r>
      <w:r>
        <w:t xml:space="preserve">— our hymns of praise —</w:t>
      </w:r>
      <w:r>
        <w:t xml:space="preserve"> </w:t>
      </w:r>
      <w:r>
        <w:t xml:space="preserve">‘</w:t>
      </w:r>
      <w:r>
        <w:t xml:space="preserve">tvāṃ vardhantu</w:t>
      </w:r>
      <w:r>
        <w:t xml:space="preserve">’</w:t>
      </w:r>
      <w:r>
        <w:t xml:space="preserve"> </w:t>
      </w:r>
      <w:r>
        <w:t xml:space="preserve">— may they make you grow; may they make you exceedingly great.</w:t>
      </w:r>
      <w:r>
        <w:t xml:space="preserve">”</w:t>
      </w:r>
      <w:r>
        <w:t xml:space="preserve"> </w:t>
      </w:r>
      <w:r>
        <w:rPr>
          <w:iCs/>
          <w:i/>
        </w:rPr>
        <w:t xml:space="preserve">(Grammar:)</w:t>
      </w:r>
      <w:r>
        <w:t xml:space="preserve"> </w:t>
      </w:r>
      <w:r>
        <w:t xml:space="preserve">“</w:t>
      </w:r>
      <w:r>
        <w:t xml:space="preserve">Stomāḥ</w:t>
      </w:r>
      <w:r>
        <w:t xml:space="preserve">”</w:t>
      </w:r>
      <w:r>
        <w:t xml:space="preserve"> </w:t>
      </w:r>
      <w:r>
        <w:t xml:space="preserve">—</w:t>
      </w:r>
      <w:r>
        <w:t xml:space="preserve"> </w:t>
      </w:r>
      <w:r>
        <w:t xml:space="preserve">“</w:t>
      </w:r>
      <w:r>
        <w:t xml:space="preserve">stu</w:t>
      </w:r>
      <w:r>
        <w:t xml:space="preserve">”</w:t>
      </w:r>
      <w:r>
        <w:t xml:space="preserve"> </w:t>
      </w:r>
      <w:r>
        <w:t xml:space="preserve">with</w:t>
      </w:r>
      <w:r>
        <w:t xml:space="preserve"> </w:t>
      </w:r>
      <w:r>
        <w:t xml:space="preserve">“</w:t>
      </w:r>
      <w:r>
        <w:t xml:space="preserve">man,</w:t>
      </w:r>
      <w:r>
        <w:t xml:space="preserve">”</w:t>
      </w:r>
      <w:r>
        <w:t xml:space="preserve"> </w:t>
      </w:r>
      <w:r>
        <w:t xml:space="preserve">“</w:t>
      </w:r>
      <w:r>
        <w:t xml:space="preserve">n</w:t>
      </w:r>
      <w:r>
        <w:t xml:space="preserve">”</w:t>
      </w:r>
      <w:r>
        <w:t xml:space="preserve">-marked, first-syllable acute.</w:t>
      </w:r>
      <w:r>
        <w:t xml:space="preserve"> </w:t>
      </w:r>
      <w:r>
        <w:t xml:space="preserve">“</w:t>
      </w:r>
      <w:r>
        <w:t xml:space="preserve">Avīvṛdhan</w:t>
      </w:r>
      <w:r>
        <w:t xml:space="preserve">”</w:t>
      </w:r>
      <w:r>
        <w:t xml:space="preserve"> </w:t>
      </w:r>
      <w:r>
        <w:t xml:space="preserve">—</w:t>
      </w:r>
      <w:r>
        <w:t xml:space="preserve"> </w:t>
      </w:r>
      <w:r>
        <w:t xml:space="preserve">“</w:t>
      </w:r>
      <w:r>
        <w:t xml:space="preserve">vṛdhu vṛddhau</w:t>
      </w:r>
      <w:r>
        <w:t xml:space="preserve">”</w:t>
      </w:r>
      <w:r>
        <w:t xml:space="preserve"> </w:t>
      </w:r>
      <w:r>
        <w:t xml:space="preserve">(to grow) with the causal</w:t>
      </w:r>
      <w:r>
        <w:t xml:space="preserve"> </w:t>
      </w:r>
      <w:r>
        <w:t xml:space="preserve">“</w:t>
      </w:r>
      <w:r>
        <w:t xml:space="preserve">ṇic</w:t>
      </w:r>
      <w:r>
        <w:t xml:space="preserve">”</w:t>
      </w:r>
      <w:r>
        <w:t xml:space="preserve"> </w:t>
      </w:r>
      <w:r>
        <w:t xml:space="preserve">(</w:t>
      </w:r>
      <w:r>
        <w:rPr>
          <w:bCs/>
          <w:b/>
        </w:rPr>
        <w:t xml:space="preserve">पा. ३-१-२६</w:t>
      </w:r>
      <w:r>
        <w:t xml:space="preserve">), in the</w:t>
      </w:r>
      <w:r>
        <w:t xml:space="preserve"> </w:t>
      </w:r>
      <w:r>
        <w:t xml:space="preserve">“</w:t>
      </w:r>
      <w:r>
        <w:t xml:space="preserve">luṅ</w:t>
      </w:r>
      <w:r>
        <w:t xml:space="preserve">”</w:t>
      </w:r>
      <w:r>
        <w:t xml:space="preserve"> </w:t>
      </w:r>
      <w:r>
        <w:t xml:space="preserve">with</w:t>
      </w:r>
      <w:r>
        <w:t xml:space="preserve"> </w:t>
      </w:r>
      <w:r>
        <w:t xml:space="preserve">“</w:t>
      </w:r>
      <w:r>
        <w:t xml:space="preserve">caṅ</w:t>
      </w:r>
      <w:r>
        <w:t xml:space="preserve">”</w:t>
      </w:r>
      <w:r>
        <w:t xml:space="preserve"> </w:t>
      </w:r>
      <w:r>
        <w:t xml:space="preserve">(</w:t>
      </w:r>
      <w:r>
        <w:rPr>
          <w:bCs/>
          <w:b/>
        </w:rPr>
        <w:t xml:space="preserve">पा. ३-१-४८</w:t>
      </w:r>
      <w:r>
        <w:t xml:space="preserve">);</w:t>
      </w:r>
      <w:r>
        <w:t xml:space="preserve"> </w:t>
      </w:r>
      <w:r>
        <w:rPr>
          <w:bCs/>
          <w:b/>
        </w:rPr>
        <w:t xml:space="preserve">उर्ऋत्</w:t>
      </w:r>
      <w:r>
        <w:t xml:space="preserve"> </w:t>
      </w:r>
      <w:r>
        <w:t xml:space="preserve">(पा. ७-४-७) —</w:t>
      </w:r>
      <w:r>
        <w:t xml:space="preserve"> </w:t>
      </w:r>
      <w:r>
        <w:t xml:space="preserve">“</w:t>
      </w:r>
      <w:r>
        <w:t xml:space="preserve">ṛ</w:t>
      </w:r>
      <w:r>
        <w:t xml:space="preserve">”</w:t>
      </w:r>
      <w:r>
        <w:t xml:space="preserve"> </w:t>
      </w:r>
      <w:r>
        <w:t xml:space="preserve">for the penultimate</w:t>
      </w:r>
      <w:r>
        <w:t xml:space="preserve"> </w:t>
      </w:r>
      <w:r>
        <w:t xml:space="preserve">“</w:t>
      </w:r>
      <w:r>
        <w:t xml:space="preserve">ṛ</w:t>
      </w:r>
      <w:r>
        <w:t xml:space="preserve">”</w:t>
      </w:r>
      <w:r>
        <w:t xml:space="preserve"> </w:t>
      </w:r>
      <w:r>
        <w:t xml:space="preserve">of</w:t>
      </w:r>
      <w:r>
        <w:t xml:space="preserve"> </w:t>
      </w:r>
      <w:r>
        <w:t xml:space="preserve">“</w:t>
      </w:r>
      <w:r>
        <w:t xml:space="preserve">vṛdh</w:t>
      </w:r>
      <w:r>
        <w:t xml:space="preserve">”</w:t>
      </w:r>
      <w:r>
        <w:t xml:space="preserve"> </w:t>
      </w:r>
      <w:r>
        <w:t xml:space="preserve">in the</w:t>
      </w:r>
      <w:r>
        <w:t xml:space="preserve"> </w:t>
      </w:r>
      <w:r>
        <w:t xml:space="preserve">“</w:t>
      </w:r>
      <w:r>
        <w:t xml:space="preserve">caṅ</w:t>
      </w:r>
      <w:r>
        <w:t xml:space="preserve">”</w:t>
      </w:r>
      <w:r>
        <w:t xml:space="preserve">; the doubling (</w:t>
      </w:r>
      <w:r>
        <w:rPr>
          <w:bCs/>
          <w:b/>
        </w:rPr>
        <w:t xml:space="preserve">पा. ६-१-११</w:t>
      </w:r>
      <w:r>
        <w:t xml:space="preserve">); the reduplicative syllable’s reduction; the</w:t>
      </w:r>
      <w:r>
        <w:t xml:space="preserve"> </w:t>
      </w:r>
      <w:r>
        <w:t xml:space="preserve">“</w:t>
      </w:r>
      <w:r>
        <w:t xml:space="preserve">sanvat</w:t>
      </w:r>
      <w:r>
        <w:t xml:space="preserve">”</w:t>
      </w:r>
      <w:r>
        <w:t xml:space="preserve"> </w:t>
      </w:r>
      <w:r>
        <w:t xml:space="preserve">treatment (</w:t>
      </w:r>
      <w:r>
        <w:rPr>
          <w:bCs/>
          <w:b/>
        </w:rPr>
        <w:t xml:space="preserve">पा. ७-४-९३</w:t>
      </w:r>
      <w:r>
        <w:t xml:space="preserve">);</w:t>
      </w:r>
      <w:r>
        <w:t xml:space="preserve"> </w:t>
      </w:r>
      <w:r>
        <w:t xml:space="preserve">“</w:t>
      </w:r>
      <w:r>
        <w:t xml:space="preserve">ī</w:t>
      </w:r>
      <w:r>
        <w:t xml:space="preserve">”</w:t>
      </w:r>
      <w:r>
        <w:t xml:space="preserve"> </w:t>
      </w:r>
      <w:r>
        <w:t xml:space="preserve">and its lengthening (</w:t>
      </w:r>
      <w:r>
        <w:rPr>
          <w:bCs/>
          <w:b/>
        </w:rPr>
        <w:t xml:space="preserve">पा. ७-४-७९, ७-४-९४</w:t>
      </w:r>
      <w:r>
        <w:t xml:space="preserve">); the augment</w:t>
      </w:r>
      <w:r>
        <w:t xml:space="preserve"> </w:t>
      </w:r>
      <w:r>
        <w:t xml:space="preserve">“</w:t>
      </w:r>
      <w:r>
        <w:t xml:space="preserve">aṭ</w:t>
      </w:r>
      <w:r>
        <w:t xml:space="preserve">”</w:t>
      </w:r>
      <w:r>
        <w:t xml:space="preserve"> </w:t>
      </w:r>
      <w:r>
        <w:t xml:space="preserve">(</w:t>
      </w:r>
      <w:r>
        <w:rPr>
          <w:bCs/>
          <w:b/>
        </w:rPr>
        <w:t xml:space="preserve">पा. ६-४-७१</w:t>
      </w:r>
      <w:r>
        <w:t xml:space="preserve">).</w:t>
      </w:r>
      <w:r>
        <w:t xml:space="preserve"> </w:t>
      </w:r>
      <w:r>
        <w:t xml:space="preserve">“</w:t>
      </w:r>
      <w:r>
        <w:t xml:space="preserve">Ukthā</w:t>
      </w:r>
      <w:r>
        <w:t xml:space="preserve">”</w:t>
      </w:r>
      <w:r>
        <w:t xml:space="preserve"> </w:t>
      </w:r>
      <w:r>
        <w:t xml:space="preserve">—</w:t>
      </w:r>
      <w:r>
        <w:t xml:space="preserve"> </w:t>
      </w:r>
      <w:r>
        <w:t xml:space="preserve">“</w:t>
      </w:r>
      <w:r>
        <w:t xml:space="preserve">ukthāni</w:t>
      </w:r>
      <w:r>
        <w:t xml:space="preserve">”</w:t>
      </w:r>
      <w:r>
        <w:t xml:space="preserve"> </w:t>
      </w:r>
      <w:r>
        <w:t xml:space="preserve">— from</w:t>
      </w:r>
      <w:r>
        <w:t xml:space="preserve"> </w:t>
      </w:r>
      <w:r>
        <w:t xml:space="preserve">“</w:t>
      </w:r>
      <w:r>
        <w:t xml:space="preserve">vac</w:t>
      </w:r>
      <w:r>
        <w:t xml:space="preserve">”</w:t>
      </w:r>
      <w:r>
        <w:t xml:space="preserve"> </w:t>
      </w:r>
      <w:r>
        <w:t xml:space="preserve">with the Uṇādi affix</w:t>
      </w:r>
      <w:r>
        <w:t xml:space="preserve"> </w:t>
      </w:r>
      <w:r>
        <w:t xml:space="preserve">“</w:t>
      </w:r>
      <w:r>
        <w:t xml:space="preserve">thak,</w:t>
      </w:r>
      <w:r>
        <w:t xml:space="preserve">”</w:t>
      </w:r>
      <w:r>
        <w:t xml:space="preserve"> </w:t>
      </w:r>
      <w:r>
        <w:t xml:space="preserve">“</w:t>
      </w:r>
      <w:r>
        <w:t xml:space="preserve">kit,</w:t>
      </w:r>
      <w:r>
        <w:t xml:space="preserve">”</w:t>
      </w:r>
      <w:r>
        <w:t xml:space="preserve"> </w:t>
      </w:r>
      <w:r>
        <w:t xml:space="preserve">so samprasāraṇa →</w:t>
      </w:r>
      <w:r>
        <w:t xml:space="preserve"> </w:t>
      </w:r>
      <w:r>
        <w:t xml:space="preserve">“</w:t>
      </w:r>
      <w:r>
        <w:t xml:space="preserve">uktha</w:t>
      </w:r>
      <w:r>
        <w:t xml:space="preserve">”</w:t>
      </w:r>
      <w:r>
        <w:t xml:space="preserve">; the nominative plural ending</w:t>
      </w:r>
      <w:r>
        <w:t xml:space="preserve"> </w:t>
      </w:r>
      <w:r>
        <w:t xml:space="preserve">“</w:t>
      </w:r>
      <w:r>
        <w:t xml:space="preserve">śi</w:t>
      </w:r>
      <w:r>
        <w:t xml:space="preserve">”</w:t>
      </w:r>
      <w:r>
        <w:t xml:space="preserve"> </w:t>
      </w:r>
      <w:r>
        <w:t xml:space="preserve">is elided by</w:t>
      </w:r>
      <w:r>
        <w:t xml:space="preserve"> </w:t>
      </w:r>
      <w:r>
        <w:rPr>
          <w:bCs/>
          <w:b/>
        </w:rPr>
        <w:t xml:space="preserve">शेश्छन्दसि बहुलम्</w:t>
      </w:r>
      <w:r>
        <w:t xml:space="preserve"> </w:t>
      </w:r>
      <w:r>
        <w:t xml:space="preserve">(पा. ६-१-७०) and the</w:t>
      </w:r>
      <w:r>
        <w:t xml:space="preserve"> </w:t>
      </w:r>
      <w:r>
        <w:t xml:space="preserve">“</w:t>
      </w:r>
      <w:r>
        <w:t xml:space="preserve">n</w:t>
      </w:r>
      <w:r>
        <w:t xml:space="preserve">”</w:t>
      </w:r>
      <w:r>
        <w:t xml:space="preserve"> </w:t>
      </w:r>
      <w:r>
        <w:t xml:space="preserve">augment is lost →</w:t>
      </w:r>
      <w:r>
        <w:t xml:space="preserve"> </w:t>
      </w:r>
      <w:r>
        <w:t xml:space="preserve">“</w:t>
      </w:r>
      <w:r>
        <w:t xml:space="preserve">ukthā</w:t>
      </w:r>
      <w:r>
        <w:t xml:space="preserve">”</w:t>
      </w:r>
      <w:r>
        <w:t xml:space="preserve">; end-acute by the affix.</w:t>
      </w:r>
      <w:r>
        <w:t xml:space="preserve"> </w:t>
      </w:r>
      <w:r>
        <w:t xml:space="preserve">“</w:t>
      </w:r>
      <w:r>
        <w:t xml:space="preserve">Vardhantu</w:t>
      </w:r>
      <w:r>
        <w:t xml:space="preserve">”</w:t>
      </w:r>
      <w:r>
        <w:t xml:space="preserve"> </w:t>
      </w:r>
      <w:r>
        <w:t xml:space="preserve">—</w:t>
      </w:r>
      <w:r>
        <w:t xml:space="preserve"> </w:t>
      </w:r>
      <w:r>
        <w:t xml:space="preserve">“</w:t>
      </w:r>
      <w:r>
        <w:t xml:space="preserve">vṛdh</w:t>
      </w:r>
      <w:r>
        <w:t xml:space="preserve">”</w:t>
      </w:r>
      <w:r>
        <w:t xml:space="preserve"> </w:t>
      </w:r>
      <w:r>
        <w:t xml:space="preserve">(an ātmanepada root) with the causal sense included takes the parasmaipada by Vedic interchange (</w:t>
      </w:r>
      <w:r>
        <w:t xml:space="preserve">“</w:t>
      </w:r>
      <w:r>
        <w:t xml:space="preserve">vyatyaya</w:t>
      </w:r>
      <w:r>
        <w:t xml:space="preserve">”</w:t>
      </w:r>
      <w:r>
        <w:t xml:space="preserve">).</w:t>
      </w:r>
    </w:p>
    <w:p>
      <w:pPr>
        <w:pStyle w:val="BodyText"/>
      </w:pPr>
      <w:r>
        <w:rPr>
          <w:bCs/>
          <w:b/>
        </w:rPr>
        <w:t xml:space="preserve">॥ Prati-padārthaḥ ॥</w:t>
      </w:r>
      <w:r>
        <w:t xml:space="preserve"> </w:t>
      </w:r>
      <w:r>
        <w:rPr>
          <w:iCs/>
          <w:i/>
        </w:rPr>
        <w:t xml:space="preserve">(Kannada, translated; continues on p. 187)</w:t>
      </w:r>
    </w:p>
    <w:p>
      <w:pPr>
        <w:pStyle w:val="BodyText"/>
      </w:pPr>
      <w:r>
        <w:t xml:space="preserve">(हे)</w:t>
      </w:r>
      <w:r>
        <w:t xml:space="preserve"> </w:t>
      </w:r>
      <w:r>
        <w:rPr>
          <w:bCs/>
          <w:b/>
        </w:rPr>
        <w:t xml:space="preserve">शतक्रतो (he śatakrato)</w:t>
      </w:r>
      <w:r>
        <w:t xml:space="preserve"> </w:t>
      </w:r>
      <w:r>
        <w:t xml:space="preserve">— O Indra, who do many daring deeds, or who have much wisdom |</w:t>
      </w:r>
      <w:r>
        <w:t xml:space="preserve"> </w:t>
      </w:r>
      <w:r>
        <w:rPr>
          <w:bCs/>
          <w:b/>
        </w:rPr>
        <w:t xml:space="preserve">स्तोमाः (stomāḥ)</w:t>
      </w:r>
      <w:r>
        <w:t xml:space="preserve"> </w:t>
      </w:r>
      <w:r>
        <w:t xml:space="preserve">— (the trivṛt and other) stomas sung by the Udgātṛ and other priests, that is, the stotras …</w:t>
      </w:r>
      <w:r>
        <w:t xml:space="preserve"> </w:t>
      </w:r>
      <w:r>
        <w:rPr>
          <w:iCs/>
          <w:i/>
        </w:rPr>
        <w:t xml:space="preserve">(continues on the next page)</w:t>
      </w:r>
    </w:p>
    <w:bookmarkEnd w:id="222"/>
    <w:bookmarkStart w:id="223" w:name="X9fafe204b1758f7de98960641601b0d8cebcb58"/>
    <w:p>
      <w:pPr>
        <w:pStyle w:val="Heading3"/>
      </w:pPr>
      <w:r>
        <w:t xml:space="preserve">Page 187 — Rik 5.8: Pada-meanings concluded; Bhāvārtha; English rendering; Special topics (opening)</w:t>
      </w:r>
    </w:p>
    <w:p>
      <w:pPr>
        <w:pStyle w:val="FirstParagraph"/>
      </w:pPr>
      <w:r>
        <w:rPr>
          <w:iCs/>
          <w:i/>
        </w:rPr>
        <w:t xml:space="preserve">(Page header:</w:t>
      </w:r>
      <w:r>
        <w:rPr>
          <w:iCs/>
          <w:i/>
        </w:rPr>
        <w:t xml:space="preserve"> </w:t>
      </w:r>
      <w:r>
        <w:rPr>
          <w:iCs/>
          <w:i/>
        </w:rPr>
        <w:t xml:space="preserve">“</w:t>
      </w:r>
      <w:r>
        <w:rPr>
          <w:iCs/>
          <w:i/>
        </w:rPr>
        <w:t xml:space="preserve">Aṣṭaka 1, Adhyāya 1, Varga 10 · Ṛgveda-saṃhitā.</w:t>
      </w:r>
      <w:r>
        <w:rPr>
          <w:iCs/>
          <w:i/>
        </w:rPr>
        <w:t xml:space="preserve">”</w:t>
      </w:r>
      <w:r>
        <w:rPr>
          <w:iCs/>
          <w:i/>
        </w:rPr>
        <w:t xml:space="preserve"> </w:t>
      </w:r>
      <w:r>
        <w:rPr>
          <w:iCs/>
          <w:i/>
        </w:rPr>
        <w:t xml:space="preserve">English as printed. Ṛg-vedic references re-read from the better scan; glosses mine, tentative.)</w:t>
      </w:r>
    </w:p>
    <w:p>
      <w:pPr>
        <w:pStyle w:val="BodyText"/>
      </w:pPr>
      <w:r>
        <w:rPr>
          <w:iCs/>
          <w:i/>
        </w:rPr>
        <w:t xml:space="preserve">(Continuing:)</w:t>
      </w:r>
      <w:r>
        <w:t xml:space="preserve"> </w:t>
      </w:r>
      <w:r>
        <w:t xml:space="preserve">…that is, the stotras |</w:t>
      </w:r>
      <w:r>
        <w:t xml:space="preserve"> </w:t>
      </w:r>
      <w:r>
        <w:rPr>
          <w:bCs/>
          <w:b/>
        </w:rPr>
        <w:t xml:space="preserve">त्वाम् (tvām)</w:t>
      </w:r>
      <w:r>
        <w:t xml:space="preserve"> </w:t>
      </w:r>
      <w:r>
        <w:t xml:space="preserve">— you |</w:t>
      </w:r>
      <w:r>
        <w:t xml:space="preserve"> </w:t>
      </w:r>
      <w:r>
        <w:rPr>
          <w:bCs/>
          <w:b/>
        </w:rPr>
        <w:t xml:space="preserve">अवीवृधन् (avīvṛdhan)</w:t>
      </w:r>
      <w:r>
        <w:t xml:space="preserve"> </w:t>
      </w:r>
      <w:r>
        <w:t xml:space="preserve">— have increased, that is, have praised you by singing your qualities |</w:t>
      </w:r>
      <w:r>
        <w:t xml:space="preserve"> </w:t>
      </w:r>
      <w:r>
        <w:rPr>
          <w:iCs/>
          <w:i/>
        </w:rPr>
        <w:t xml:space="preserve">(and)</w:t>
      </w:r>
      <w:r>
        <w:t xml:space="preserve"> </w:t>
      </w:r>
      <w:r>
        <w:rPr>
          <w:bCs/>
          <w:b/>
        </w:rPr>
        <w:t xml:space="preserve">उक्था (ukthā)</w:t>
      </w:r>
      <w:r>
        <w:t xml:space="preserve"> </w:t>
      </w:r>
      <w:r>
        <w:t xml:space="preserve">— the śastra-mantras recited by the priests of the Hotṛ group |</w:t>
      </w:r>
      <w:r>
        <w:t xml:space="preserve"> </w:t>
      </w:r>
      <w:r>
        <w:rPr>
          <w:bCs/>
          <w:b/>
        </w:rPr>
        <w:t xml:space="preserve">त्वाम् (tvām)</w:t>
      </w:r>
      <w:r>
        <w:t xml:space="preserve"> </w:t>
      </w:r>
      <w:r>
        <w:t xml:space="preserve">— you |</w:t>
      </w:r>
      <w:r>
        <w:t xml:space="preserve"> </w:t>
      </w:r>
      <w:r>
        <w:rPr>
          <w:iCs/>
          <w:i/>
        </w:rPr>
        <w:t xml:space="preserve">(have praised)</w:t>
      </w:r>
      <w:r>
        <w:t xml:space="preserve"> </w:t>
      </w:r>
      <w:r>
        <w:t xml:space="preserve">|</w:t>
      </w:r>
      <w:r>
        <w:t xml:space="preserve"> </w:t>
      </w:r>
      <w:r>
        <w:rPr>
          <w:bCs/>
          <w:b/>
        </w:rPr>
        <w:t xml:space="preserve">(अब) नः (naḥ)</w:t>
      </w:r>
      <w:r>
        <w:t xml:space="preserve"> </w:t>
      </w:r>
      <w:r>
        <w:t xml:space="preserve">— our, that is, those that we are reciting |</w:t>
      </w:r>
      <w:r>
        <w:t xml:space="preserve"> </w:t>
      </w:r>
      <w:r>
        <w:rPr>
          <w:bCs/>
          <w:b/>
        </w:rPr>
        <w:t xml:space="preserve">गिरः (giraḥ)</w:t>
      </w:r>
      <w:r>
        <w:t xml:space="preserve"> </w:t>
      </w:r>
      <w:r>
        <w:t xml:space="preserve">— words in the form of stotras |</w:t>
      </w:r>
      <w:r>
        <w:t xml:space="preserve"> </w:t>
      </w:r>
      <w:r>
        <w:rPr>
          <w:bCs/>
          <w:b/>
        </w:rPr>
        <w:t xml:space="preserve">त्वाम् (tvām)</w:t>
      </w:r>
      <w:r>
        <w:t xml:space="preserve"> </w:t>
      </w:r>
      <w:r>
        <w:t xml:space="preserve">— you |</w:t>
      </w:r>
      <w:r>
        <w:t xml:space="preserve"> </w:t>
      </w:r>
      <w:r>
        <w:rPr>
          <w:bCs/>
          <w:b/>
        </w:rPr>
        <w:t xml:space="preserve">वर्धन्तु (vardhantu)</w:t>
      </w:r>
      <w:r>
        <w:t xml:space="preserve"> </w:t>
      </w:r>
      <w:r>
        <w:t xml:space="preserve">— let them increase (let them praise).</w:t>
      </w:r>
    </w:p>
    <w:p>
      <w:pPr>
        <w:pStyle w:val="BodyText"/>
      </w:pPr>
      <w:r>
        <w:rPr>
          <w:bCs/>
          <w:b/>
        </w:rPr>
        <w:t xml:space="preserve">॥ Bhāvārthaḥ ॥</w:t>
      </w:r>
      <w:r>
        <w:t xml:space="preserve"> </w:t>
      </w:r>
      <w:r>
        <w:rPr>
          <w:iCs/>
          <w:i/>
        </w:rPr>
        <w:t xml:space="preserve">(Kannada, translated)</w:t>
      </w:r>
    </w:p>
    <w:p>
      <w:pPr>
        <w:pStyle w:val="BodyText"/>
      </w:pPr>
      <w:r>
        <w:t xml:space="preserve">O Indra, who do many daring deeds, or are full of much wisdom! The priests such as the Udgātṛ, who sing the Sāman, praise you by singing your qualities with the trivṛt and other stomas; the priests of the Hotṛ group likewise praise you by reciting śastra-mantras. By this your qualities are widely known. Now may the words in the form of stotras that we are reciting increase your praise even more.</w:t>
      </w:r>
    </w:p>
    <w:p>
      <w:pPr>
        <w:pStyle w:val="BodyText"/>
      </w:pPr>
      <w:r>
        <w:rPr>
          <w:bCs/>
          <w:b/>
        </w:rPr>
        <w:t xml:space="preserve">English Translation</w:t>
      </w:r>
      <w:r>
        <w:t xml:space="preserve"> </w:t>
      </w:r>
      <w:r>
        <w:rPr>
          <w:iCs/>
          <w:i/>
        </w:rPr>
        <w:t xml:space="preserve">(printed in English in the source itself):</w:t>
      </w:r>
    </w:p>
    <w:p>
      <w:pPr>
        <w:pStyle w:val="BodyText"/>
      </w:pPr>
      <w:r>
        <w:t xml:space="preserve">“</w:t>
      </w:r>
      <w:r>
        <w:t xml:space="preserve">(O Indra) performer of many deeds or one endowed with great wisdom, the chants of stomas have magnified you; (so also) the hymns of sastras have magnified you; (similarly) may our praises magnify you.</w:t>
      </w:r>
      <w:r>
        <w:t xml:space="preserve">”</w:t>
      </w:r>
    </w:p>
    <w:p>
      <w:pPr>
        <w:pStyle w:val="BodyText"/>
      </w:pPr>
      <w:r>
        <w:rPr>
          <w:bCs/>
          <w:b/>
        </w:rPr>
        <w:t xml:space="preserve">॥ Viśeṣa-viṣayagaḷu (Special Topics) ॥</w:t>
      </w:r>
    </w:p>
    <w:p>
      <w:pPr>
        <w:pStyle w:val="BodyText"/>
      </w:pPr>
      <w:r>
        <w:rPr>
          <w:bCs/>
          <w:b/>
        </w:rPr>
        <w:t xml:space="preserve">त्वां वर्धन्तु नो गिरः (tvāṃ vardhantu no giraḥ)</w:t>
      </w:r>
      <w:r>
        <w:t xml:space="preserve"> </w:t>
      </w:r>
      <w:r>
        <w:t xml:space="preserve">— Our words in the form of stotras and the like increase your qualities, that is, they are praised. The sense is that we praise you greatly. Such uses of this sentence occur in the Ṛgveda in relation to Indra, and also in relation to Agni and other deities, in many places. We give some examples —</w:t>
      </w:r>
    </w:p>
    <w:p>
      <w:pPr>
        <w:pStyle w:val="BlockText"/>
      </w:pPr>
      <w:r>
        <w:t xml:space="preserve">(१) अग्निं वर्धन्तु नो गिरो यतो जायेत उक्थ्यः ॥ (ऋ. सं. ३-१०-६)</w:t>
      </w:r>
      <w:r>
        <w:t xml:space="preserve"> </w:t>
      </w:r>
      <w:r>
        <w:rPr>
          <w:iCs/>
          <w:i/>
        </w:rPr>
        <w:t xml:space="preserve">agniṃ vardhantu no giro yato jāyeta ukthyaḥ || (ṛ. saṃ. 3-10-6)</w:t>
      </w:r>
      <w:r>
        <w:t xml:space="preserve"> </w:t>
      </w:r>
      <w:r>
        <w:t xml:space="preserve">Gloss:</w:t>
      </w:r>
      <w:r>
        <w:t xml:space="preserve"> </w:t>
      </w:r>
      <w:r>
        <w:t xml:space="preserve">“</w:t>
      </w:r>
      <w:r>
        <w:t xml:space="preserve">May our songs increase Agni, from whom the praiseworthy one is born.</w:t>
      </w:r>
      <w:r>
        <w:t xml:space="preserve">”</w:t>
      </w:r>
      <w:r>
        <w:t xml:space="preserve"> </w:t>
      </w:r>
      <w:r>
        <w:t xml:space="preserve">[tentative]</w:t>
      </w:r>
    </w:p>
    <w:p>
      <w:pPr>
        <w:pStyle w:val="BlockText"/>
      </w:pPr>
      <w:r>
        <w:t xml:space="preserve">(२) इमा उत्वा पुरुवसो गिरो वर्धन्तु या मम ॥ (ऋ. सं. ८-३-३)</w:t>
      </w:r>
      <w:r>
        <w:t xml:space="preserve"> </w:t>
      </w:r>
      <w:r>
        <w:rPr>
          <w:iCs/>
          <w:i/>
        </w:rPr>
        <w:t xml:space="preserve">imā utvā puruvaso giro vardhantu yā mama || (ṛ. saṃ. 8-3-3)</w:t>
      </w:r>
      <w:r>
        <w:t xml:space="preserve"> </w:t>
      </w:r>
      <w:r>
        <w:rPr>
          <w:iCs/>
          <w:i/>
        </w:rPr>
        <w:t xml:space="preserve">(Reading note: the print has</w:t>
      </w:r>
      <w:r>
        <w:rPr>
          <w:iCs/>
          <w:i/>
        </w:rPr>
        <w:t xml:space="preserve"> </w:t>
      </w:r>
      <w:r>
        <w:rPr>
          <w:iCs/>
          <w:i/>
        </w:rPr>
        <w:t xml:space="preserve">“</w:t>
      </w:r>
      <w:r>
        <w:rPr>
          <w:iCs/>
          <w:i/>
        </w:rPr>
        <w:t xml:space="preserve">utvā</w:t>
      </w:r>
      <w:r>
        <w:rPr>
          <w:iCs/>
          <w:i/>
        </w:rPr>
        <w:t xml:space="preserve">”</w:t>
      </w:r>
      <w:r>
        <w:rPr>
          <w:iCs/>
          <w:i/>
        </w:rPr>
        <w:t xml:space="preserve"> </w:t>
      </w:r>
      <w:r>
        <w:rPr>
          <w:iCs/>
          <w:i/>
        </w:rPr>
        <w:t xml:space="preserve">run together; it is</w:t>
      </w:r>
      <w:r>
        <w:rPr>
          <w:iCs/>
          <w:i/>
        </w:rPr>
        <w:t xml:space="preserve"> </w:t>
      </w:r>
      <w:r>
        <w:rPr>
          <w:iCs/>
          <w:i/>
        </w:rPr>
        <w:t xml:space="preserve">“</w:t>
      </w:r>
      <w:r>
        <w:rPr>
          <w:iCs/>
          <w:i/>
        </w:rPr>
        <w:t xml:space="preserve">u tvā</w:t>
      </w:r>
      <w:r>
        <w:rPr>
          <w:iCs/>
          <w:i/>
        </w:rPr>
        <w:t xml:space="preserve">”</w:t>
      </w:r>
      <w:r>
        <w:rPr>
          <w:iCs/>
          <w:i/>
        </w:rPr>
        <w:t xml:space="preserve"> </w:t>
      </w:r>
      <w:r>
        <w:rPr>
          <w:iCs/>
          <w:i/>
        </w:rPr>
        <w:t xml:space="preserve">(</w:t>
      </w:r>
      <w:r>
        <w:rPr>
          <w:iCs/>
          <w:i/>
        </w:rPr>
        <w:t xml:space="preserve">“</w:t>
      </w:r>
      <w:r>
        <w:rPr>
          <w:iCs/>
          <w:i/>
        </w:rPr>
        <w:t xml:space="preserve">and you</w:t>
      </w:r>
      <w:r>
        <w:rPr>
          <w:iCs/>
          <w:i/>
        </w:rPr>
        <w:t xml:space="preserve">”</w:t>
      </w:r>
      <w:r>
        <w:rPr>
          <w:iCs/>
          <w:i/>
        </w:rPr>
        <w:t xml:space="preserve">).)</w:t>
      </w:r>
      <w:r>
        <w:t xml:space="preserve"> </w:t>
      </w:r>
      <w:r>
        <w:t xml:space="preserve">Gloss:</w:t>
      </w:r>
      <w:r>
        <w:t xml:space="preserve"> </w:t>
      </w:r>
      <w:r>
        <w:t xml:space="preserve">“</w:t>
      </w:r>
      <w:r>
        <w:t xml:space="preserve">May these songs of mine increase you, O lord of much wealth.</w:t>
      </w:r>
      <w:r>
        <w:t xml:space="preserve">”</w:t>
      </w:r>
    </w:p>
    <w:p>
      <w:pPr>
        <w:pStyle w:val="BlockText"/>
      </w:pPr>
      <w:r>
        <w:t xml:space="preserve">(३) प्र वां स्तोमाः सुवृक्तयो गिरो वर्धन्त्वश्विना ॥ (ऋ. सं. ८-८-२२)</w:t>
      </w:r>
      <w:r>
        <w:t xml:space="preserve"> </w:t>
      </w:r>
      <w:r>
        <w:rPr>
          <w:iCs/>
          <w:i/>
        </w:rPr>
        <w:t xml:space="preserve">pra vāṃ stomāḥ suvṛktayo giro vardhantv aśvinā || (ṛ. saṃ. 8-8-22)</w:t>
      </w:r>
      <w:r>
        <w:t xml:space="preserve"> </w:t>
      </w:r>
      <w:r>
        <w:t xml:space="preserve">Gloss:</w:t>
      </w:r>
      <w:r>
        <w:t xml:space="preserve"> </w:t>
      </w:r>
      <w:r>
        <w:t xml:space="preserve">“</w:t>
      </w:r>
      <w:r>
        <w:t xml:space="preserve">May the well-wrought hymns, the songs, forth increase you two, O Aśvins.</w:t>
      </w:r>
      <w:r>
        <w:t xml:space="preserve">”</w:t>
      </w:r>
    </w:p>
    <w:p>
      <w:pPr>
        <w:pStyle w:val="BlockText"/>
      </w:pPr>
      <w:r>
        <w:t xml:space="preserve">(४) इन्द्रं वर्धन्तु नो गिर इन्द्रं सुतास इन्दवः ॥ (ऋ. सं. ८-१३-१६)</w:t>
      </w:r>
      <w:r>
        <w:t xml:space="preserve"> </w:t>
      </w:r>
      <w:r>
        <w:rPr>
          <w:iCs/>
          <w:i/>
        </w:rPr>
        <w:t xml:space="preserve">indraṃ vardhantu no gira indraṃ sutāsa indavaḥ || (ṛ. saṃ. 8-13-16)</w:t>
      </w:r>
      <w:r>
        <w:t xml:space="preserve"> </w:t>
      </w:r>
      <w:r>
        <w:t xml:space="preserve">Gloss:</w:t>
      </w:r>
      <w:r>
        <w:t xml:space="preserve"> </w:t>
      </w:r>
      <w:r>
        <w:t xml:space="preserve">“</w:t>
      </w:r>
      <w:r>
        <w:t xml:space="preserve">May our songs increase Indra; Indra (increase) the pressed Soma-drops.</w:t>
      </w:r>
      <w:r>
        <w:t xml:space="preserve">”</w:t>
      </w:r>
    </w:p>
    <w:p>
      <w:pPr>
        <w:pStyle w:val="BlockText"/>
      </w:pPr>
      <w:r>
        <w:t xml:space="preserve">(५) त्रिकद्रुकेषु चेतनं देवासो यज्ञमत्नत । तमिद्वर्धन्तु नो गिरः सदावृधम् ॥ (ऋ. सं. ८-१३-१८)</w:t>
      </w:r>
      <w:r>
        <w:t xml:space="preserve"> </w:t>
      </w:r>
      <w:r>
        <w:rPr>
          <w:iCs/>
          <w:i/>
        </w:rPr>
        <w:t xml:space="preserve">trikadrukeṣu cetanaṃ devāso yajñam atnata | tam id vardhantu no giraḥ sadāvṛdham || (ṛ. saṃ. 8-13-18)</w:t>
      </w:r>
      <w:r>
        <w:t xml:space="preserve"> </w:t>
      </w:r>
      <w:r>
        <w:t xml:space="preserve">Gloss:</w:t>
      </w:r>
      <w:r>
        <w:t xml:space="preserve"> </w:t>
      </w:r>
      <w:r>
        <w:t xml:space="preserve">“</w:t>
      </w:r>
      <w:r>
        <w:t xml:space="preserve">In the Trikadrukas the gods stretched out the sacrifice, the thinking one; him may our songs increase, ever-growing.</w:t>
      </w:r>
      <w:r>
        <w:t xml:space="preserve">”</w:t>
      </w:r>
    </w:p>
    <w:p>
      <w:pPr>
        <w:pStyle w:val="BlockText"/>
      </w:pPr>
      <w:r>
        <w:t xml:space="preserve">(६) त्वामग्ने मनीषिणस्त्वां हिन्वन्ति चित्तिभिः । त्वां वर्धन्तु नो गिरः ॥ (ऋ. सं. ८-४१-१९)</w:t>
      </w:r>
      <w:r>
        <w:t xml:space="preserve"> </w:t>
      </w:r>
      <w:r>
        <w:rPr>
          <w:iCs/>
          <w:i/>
        </w:rPr>
        <w:t xml:space="preserve">tvām agne manīṣiṇas tvāṃ hinvanti cittibhiḥ | tvāṃ vardhantu no giraḥ || (ṛ. saṃ. 8-41-19)</w:t>
      </w:r>
      <w:r>
        <w:t xml:space="preserve"> </w:t>
      </w:r>
      <w:r>
        <w:t xml:space="preserve">Gloss:</w:t>
      </w:r>
      <w:r>
        <w:t xml:space="preserve"> </w:t>
      </w:r>
      <w:r>
        <w:t xml:space="preserve">“</w:t>
      </w:r>
      <w:r>
        <w:t xml:space="preserve">You, O Agni, the wise (increase); you they impel with their thoughts; may our songs increase you.</w:t>
      </w:r>
      <w:r>
        <w:t xml:space="preserve">”</w:t>
      </w:r>
    </w:p>
    <w:bookmarkEnd w:id="223"/>
    <w:bookmarkStart w:id="224" w:name="X0920933e3dcb1e404e456177ae5f738bcacb30e"/>
    <w:p>
      <w:pPr>
        <w:pStyle w:val="Heading3"/>
      </w:pPr>
      <w:r>
        <w:t xml:space="preserve">Page 188 — Special topics on Rik 5.8: the repetition-style (</w:t>
      </w:r>
      <w:r>
        <w:t xml:space="preserve">“</w:t>
      </w:r>
      <w:r>
        <w:t xml:space="preserve">prāśa</w:t>
      </w:r>
      <w:r>
        <w:t xml:space="preserve">”</w:t>
      </w:r>
      <w:r>
        <w:t xml:space="preserve">) of the Ṛgveda</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5.</w:t>
      </w:r>
      <w:r>
        <w:rPr>
          <w:iCs/>
          <w:i/>
        </w:rPr>
        <w:t xml:space="preserve">”</w:t>
      </w:r>
      <w:r>
        <w:rPr>
          <w:iCs/>
          <w:i/>
        </w:rPr>
        <w:t xml:space="preserve"> </w:t>
      </w:r>
      <w:r>
        <w:rPr>
          <w:iCs/>
          <w:i/>
        </w:rPr>
        <w:t xml:space="preserve">References re-read from the better scan; the verses were read from enlarged slices; glosses mine, tentative.)</w:t>
      </w:r>
    </w:p>
    <w:p>
      <w:pPr>
        <w:pStyle w:val="BodyText"/>
      </w:pPr>
      <w:r>
        <w:rPr>
          <w:iCs/>
          <w:i/>
        </w:rPr>
        <w:t xml:space="preserve">(Continuing the list of verses with</w:t>
      </w:r>
      <w:r>
        <w:rPr>
          <w:iCs/>
          <w:i/>
        </w:rPr>
        <w:t xml:space="preserve"> </w:t>
      </w:r>
      <w:r>
        <w:rPr>
          <w:iCs/>
          <w:i/>
        </w:rPr>
        <w:t xml:space="preserve">“</w:t>
      </w:r>
      <w:r>
        <w:rPr>
          <w:iCs/>
          <w:i/>
        </w:rPr>
        <w:t xml:space="preserve">vardhantu no giraḥ</w:t>
      </w:r>
      <w:r>
        <w:rPr>
          <w:iCs/>
          <w:i/>
        </w:rPr>
        <w:t xml:space="preserve">”</w:t>
      </w:r>
      <w:r>
        <w:rPr>
          <w:iCs/>
          <w:i/>
        </w:rPr>
        <w:t xml:space="preserve"> </w:t>
      </w:r>
      <w:r>
        <w:rPr>
          <w:iCs/>
          <w:i/>
        </w:rPr>
        <w:t xml:space="preserve">from p. 187:)</w:t>
      </w:r>
    </w:p>
    <w:p>
      <w:pPr>
        <w:pStyle w:val="BlockText"/>
      </w:pPr>
      <w:r>
        <w:t xml:space="preserve">(७) उत त्वा धीतयो मम गिरो वर्धन्तु विश्वहा ॥ (ऋ. सं. ८-४१-२२)</w:t>
      </w:r>
      <w:r>
        <w:t xml:space="preserve"> </w:t>
      </w:r>
      <w:r>
        <w:rPr>
          <w:iCs/>
          <w:i/>
        </w:rPr>
        <w:t xml:space="preserve">uta tvā dhītayo mama giro vardhantu viśvahā || (ṛ. saṃ. 8-41-22)</w:t>
      </w:r>
      <w:r>
        <w:t xml:space="preserve"> </w:t>
      </w:r>
      <w:r>
        <w:t xml:space="preserve">Gloss:</w:t>
      </w:r>
      <w:r>
        <w:t xml:space="preserve"> </w:t>
      </w:r>
      <w:r>
        <w:t xml:space="preserve">“</w:t>
      </w:r>
      <w:r>
        <w:t xml:space="preserve">And may my thoughts, my songs, increase you every day.</w:t>
      </w:r>
      <w:r>
        <w:t xml:space="preserve">”</w:t>
      </w:r>
    </w:p>
    <w:p>
      <w:pPr>
        <w:pStyle w:val="BlockText"/>
      </w:pPr>
      <w:r>
        <w:t xml:space="preserve">(८) तमिद्वर्धन्तु नो गिरो वत्सं संशश्वतीरिव । य इन्द्रस्य हृदंसनिः ॥ (ऋ. सं. ९-६१-१४)</w:t>
      </w:r>
      <w:r>
        <w:t xml:space="preserve"> </w:t>
      </w:r>
      <w:r>
        <w:rPr>
          <w:iCs/>
          <w:i/>
        </w:rPr>
        <w:t xml:space="preserve">tam id vardhantu no giro vatsaṃ saṃ śaśvatīr iva | ya indrasya hṛdaṃsaniḥ || (ṛ. saṃ. 9-61-14)</w:t>
      </w:r>
      <w:r>
        <w:t xml:space="preserve"> </w:t>
      </w:r>
      <w:r>
        <w:t xml:space="preserve">Gloss:</w:t>
      </w:r>
      <w:r>
        <w:t xml:space="preserve"> </w:t>
      </w:r>
      <w:r>
        <w:t xml:space="preserve">“</w:t>
      </w:r>
      <w:r>
        <w:t xml:space="preserve">Him may our songs increase, as constant (cows) a calf — who is the winner of Indra’s heart.</w:t>
      </w:r>
      <w:r>
        <w:t xml:space="preserve">”</w:t>
      </w:r>
      <w:r>
        <w:t xml:space="preserve"> </w:t>
      </w:r>
      <w:r>
        <w:t xml:space="preserve">[tentative]</w:t>
      </w:r>
    </w:p>
    <w:p>
      <w:pPr>
        <w:pStyle w:val="FirstParagraph"/>
      </w:pPr>
      <w:r>
        <w:t xml:space="preserve">and many other examples may be given.</w:t>
      </w:r>
    </w:p>
    <w:p>
      <w:pPr>
        <w:pStyle w:val="BodyText"/>
      </w:pPr>
      <w:r>
        <w:t xml:space="preserve">Every pāda of this Ṛk begins with the word</w:t>
      </w:r>
      <w:r>
        <w:t xml:space="preserve"> </w:t>
      </w:r>
      <w:r>
        <w:t xml:space="preserve">“</w:t>
      </w:r>
      <w:r>
        <w:rPr>
          <w:bCs/>
          <w:b/>
        </w:rPr>
        <w:t xml:space="preserve">tvām</w:t>
      </w:r>
      <w:r>
        <w:t xml:space="preserve">.</w:t>
      </w:r>
      <w:r>
        <w:t xml:space="preserve">”</w:t>
      </w:r>
      <w:r>
        <w:t xml:space="preserve"> </w:t>
      </w:r>
      <w:r>
        <w:t xml:space="preserve">Ṛks of this kind — with a stylistic</w:t>
      </w:r>
      <w:r>
        <w:t xml:space="preserve"> </w:t>
      </w:r>
      <w:r>
        <w:t xml:space="preserve">“</w:t>
      </w:r>
      <w:r>
        <w:t xml:space="preserve">prāsa</w:t>
      </w:r>
      <w:r>
        <w:t xml:space="preserve">”</w:t>
      </w:r>
      <w:r>
        <w:t xml:space="preserve"> </w:t>
      </w:r>
      <w:r>
        <w:t xml:space="preserve">(repetition, alliteration) and</w:t>
      </w:r>
      <w:r>
        <w:t xml:space="preserve"> </w:t>
      </w:r>
      <w:r>
        <w:t xml:space="preserve">“</w:t>
      </w:r>
      <w:r>
        <w:t xml:space="preserve">prauḍhārtha</w:t>
      </w:r>
      <w:r>
        <w:t xml:space="preserve">”</w:t>
      </w:r>
      <w:r>
        <w:t xml:space="preserve"> </w:t>
      </w:r>
      <w:r>
        <w:t xml:space="preserve">(a pointed, striking meaning) — are found in the Ṛgveda in good number. In the first pāda the sentence is complete with its agent and verb; from there on, in the following sentences, only the principal words, such as</w:t>
      </w:r>
      <w:r>
        <w:t xml:space="preserve"> </w:t>
      </w:r>
      <w:r>
        <w:t xml:space="preserve">“</w:t>
      </w:r>
      <w:r>
        <w:t xml:space="preserve">tvām,</w:t>
      </w:r>
      <w:r>
        <w:t xml:space="preserve">”</w:t>
      </w:r>
      <w:r>
        <w:t xml:space="preserve"> </w:t>
      </w:r>
      <w:r>
        <w:t xml:space="preserve">are repeated; the agent and verb need not be supplied. That a sentence-style of this sort is common in the</w:t>
      </w:r>
      <w:r>
        <w:t xml:space="preserve"> </w:t>
      </w:r>
      <w:r>
        <w:t xml:space="preserve">“</w:t>
      </w:r>
      <w:r>
        <w:t xml:space="preserve">prauḍha</w:t>
      </w:r>
      <w:r>
        <w:t xml:space="preserve">”</w:t>
      </w:r>
      <w:r>
        <w:t xml:space="preserve"> </w:t>
      </w:r>
      <w:r>
        <w:t xml:space="preserve">(mature) style is not in doubt; such a style gives a certain charm to the sense of the sentence. We give one or two such sentences here as examples:</w:t>
      </w:r>
    </w:p>
    <w:p>
      <w:pPr>
        <w:pStyle w:val="BlockText"/>
      </w:pPr>
      <w:r>
        <w:t xml:space="preserve">प्रातरग्निं प्रातरिन्द्रं हवामहे प्रातर्मित्रावरुणा प्रातरश्विना ।</w:t>
      </w:r>
      <w:r>
        <w:t xml:space="preserve"> </w:t>
      </w:r>
      <w:r>
        <w:t xml:space="preserve">प्रातर्भगं पूषणं ब्रह्मणस्पतिं प्रातः सोममुत रुद्रं हुवेमः ॥ (ऋ. सं. ७-४१-१)</w:t>
      </w:r>
      <w:r>
        <w:t xml:space="preserve"> </w:t>
      </w:r>
      <w:r>
        <w:rPr>
          <w:iCs/>
          <w:i/>
        </w:rPr>
        <w:t xml:space="preserve">prātar agniṃ prātar indraṃ havāmahe prātar mitrāvaruṇā prātar aśvinā |</w:t>
      </w:r>
      <w:r>
        <w:t xml:space="preserve"> </w:t>
      </w:r>
      <w:r>
        <w:rPr>
          <w:iCs/>
          <w:i/>
        </w:rPr>
        <w:t xml:space="preserve">prātar bhagaṃ pūṣaṇaṃ brahmaṇaspatiṃ prātaḥ somam uta rudraṃ huvemaḥ || (ṛ. saṃ. 7-41-1)</w:t>
      </w:r>
      <w:r>
        <w:t xml:space="preserve"> </w:t>
      </w:r>
      <w:r>
        <w:rPr>
          <w:iCs/>
          <w:i/>
        </w:rPr>
        <w:t xml:space="preserve">(Reading note: the print has</w:t>
      </w:r>
      <w:r>
        <w:rPr>
          <w:iCs/>
          <w:i/>
        </w:rPr>
        <w:t xml:space="preserve"> </w:t>
      </w:r>
      <w:r>
        <w:rPr>
          <w:iCs/>
          <w:i/>
        </w:rPr>
        <w:t xml:space="preserve">“</w:t>
      </w:r>
      <w:r>
        <w:rPr>
          <w:iCs/>
          <w:i/>
        </w:rPr>
        <w:t xml:space="preserve">prātar</w:t>
      </w:r>
      <w:r>
        <w:rPr>
          <w:iCs/>
          <w:i/>
        </w:rPr>
        <w:t xml:space="preserve">”</w:t>
      </w:r>
      <w:r>
        <w:rPr>
          <w:iCs/>
          <w:i/>
        </w:rPr>
        <w:t xml:space="preserve"> </w:t>
      </w:r>
      <w:r>
        <w:rPr>
          <w:iCs/>
          <w:i/>
        </w:rPr>
        <w:t xml:space="preserve">before each name, and I give the verse as I read it; the last word is printed</w:t>
      </w:r>
      <w:r>
        <w:rPr>
          <w:iCs/>
          <w:i/>
        </w:rPr>
        <w:t xml:space="preserve"> </w:t>
      </w:r>
      <w:r>
        <w:rPr>
          <w:iCs/>
          <w:i/>
        </w:rPr>
        <w:t xml:space="preserve">“</w:t>
      </w:r>
      <w:r>
        <w:rPr>
          <w:iCs/>
          <w:i/>
        </w:rPr>
        <w:t xml:space="preserve">huvemaḥ</w:t>
      </w:r>
      <w:r>
        <w:rPr>
          <w:iCs/>
          <w:i/>
        </w:rPr>
        <w:t xml:space="preserve">”</w:t>
      </w:r>
      <w:r>
        <w:rPr>
          <w:iCs/>
          <w:i/>
        </w:rPr>
        <w:t xml:space="preserve"> </w:t>
      </w:r>
      <w:r>
        <w:rPr>
          <w:iCs/>
          <w:i/>
        </w:rPr>
        <w:t xml:space="preserve">with a</w:t>
      </w:r>
      <w:r>
        <w:rPr>
          <w:iCs/>
          <w:i/>
        </w:rPr>
        <w:t xml:space="preserve"> </w:t>
      </w:r>
      <w:r>
        <w:rPr>
          <w:iCs/>
          <w:i/>
        </w:rPr>
        <w:t xml:space="preserve">“</w:t>
      </w:r>
      <w:r>
        <w:rPr>
          <w:iCs/>
          <w:i/>
        </w:rPr>
        <w:t xml:space="preserve">u</w:t>
      </w:r>
      <w:r>
        <w:rPr>
          <w:iCs/>
          <w:i/>
        </w:rPr>
        <w:t xml:space="preserve">”</w:t>
      </w:r>
      <w:r>
        <w:rPr>
          <w:iCs/>
          <w:i/>
        </w:rPr>
        <w:t xml:space="preserve"> </w:t>
      </w:r>
      <w:r>
        <w:rPr>
          <w:iCs/>
          <w:i/>
        </w:rPr>
        <w:t xml:space="preserve">form I give as read, and the printed reference</w:t>
      </w:r>
      <w:r>
        <w:rPr>
          <w:iCs/>
          <w:i/>
        </w:rPr>
        <w:t xml:space="preserve"> </w:t>
      </w:r>
      <w:r>
        <w:rPr>
          <w:iCs/>
          <w:i/>
        </w:rPr>
        <w:t xml:space="preserve">“</w:t>
      </w:r>
      <w:r>
        <w:rPr>
          <w:iCs/>
          <w:i/>
        </w:rPr>
        <w:t xml:space="preserve">2-41-1</w:t>
      </w:r>
      <w:r>
        <w:rPr>
          <w:iCs/>
          <w:i/>
        </w:rPr>
        <w:t xml:space="preserve">”</w:t>
      </w:r>
      <w:r>
        <w:rPr>
          <w:iCs/>
          <w:i/>
        </w:rPr>
        <w:t xml:space="preserve"> </w:t>
      </w:r>
      <w:r>
        <w:rPr>
          <w:iCs/>
          <w:i/>
        </w:rPr>
        <w:t xml:space="preserve">is a doubtful reading of the small numerals.)</w:t>
      </w:r>
      <w:r>
        <w:t xml:space="preserve"> </w:t>
      </w:r>
      <w:r>
        <w:t xml:space="preserve">Gloss:</w:t>
      </w:r>
      <w:r>
        <w:t xml:space="preserve"> </w:t>
      </w:r>
      <w:r>
        <w:t xml:space="preserve">“</w:t>
      </w:r>
      <w:r>
        <w:t xml:space="preserve">At dawn we call Agni, at dawn Indra, at dawn Mitra and Varuṇa, at dawn the Aśvins; at dawn Bhaga, Pūṣan, Brahmaṇaspati; at dawn Soma and Rudra we call.</w:t>
      </w:r>
      <w:r>
        <w:t xml:space="preserve">”</w:t>
      </w:r>
    </w:p>
    <w:p>
      <w:pPr>
        <w:pStyle w:val="BlockText"/>
      </w:pPr>
      <w:r>
        <w:rPr>
          <w:iCs/>
          <w:i/>
        </w:rPr>
        <w:t xml:space="preserve">(The source’s note:)</w:t>
      </w:r>
      <w:r>
        <w:t xml:space="preserve"> </w:t>
      </w:r>
      <w:r>
        <w:t xml:space="preserve">Here the word</w:t>
      </w:r>
      <w:r>
        <w:t xml:space="preserve"> </w:t>
      </w:r>
      <w:r>
        <w:t xml:space="preserve">“</w:t>
      </w:r>
      <w:r>
        <w:t xml:space="preserve">prātaḥ</w:t>
      </w:r>
      <w:r>
        <w:t xml:space="preserve">”</w:t>
      </w:r>
      <w:r>
        <w:t xml:space="preserve"> </w:t>
      </w:r>
      <w:r>
        <w:t xml:space="preserve">is repeated many times.</w:t>
      </w:r>
    </w:p>
    <w:p>
      <w:pPr>
        <w:pStyle w:val="BlockText"/>
      </w:pPr>
      <w:r>
        <w:t xml:space="preserve">अहं दां गृणते पूर्व्यं वस्वहं ब्रह्म कृणवं मह्यं वर्धनम् ।</w:t>
      </w:r>
      <w:r>
        <w:t xml:space="preserve"> </w:t>
      </w:r>
      <w:r>
        <w:t xml:space="preserve">अहं भुवं यजमानस्य चोदिताऽयज्वनः साक्षि विश्वस्मिन्भरे ॥ (ऋ. सं. १०-४९-१)</w:t>
      </w:r>
      <w:r>
        <w:t xml:space="preserve"> </w:t>
      </w:r>
      <w:r>
        <w:rPr>
          <w:iCs/>
          <w:i/>
        </w:rPr>
        <w:t xml:space="preserve">ahaṃ dāṃ gṛṇate pūrvyaṃ vasv ahaṃ brahma kṛṇavaṃ mahyaṃ vardhanam |</w:t>
      </w:r>
      <w:r>
        <w:t xml:space="preserve"> </w:t>
      </w:r>
      <w:r>
        <w:rPr>
          <w:iCs/>
          <w:i/>
        </w:rPr>
        <w:t xml:space="preserve">ahaṃ bhuvaṃ yajamānasya coditāyajvanaḥ sākṣi viśvasmin bhare || (ṛ. saṃ. 10-49-1)</w:t>
      </w:r>
      <w:r>
        <w:t xml:space="preserve"> </w:t>
      </w:r>
      <w:r>
        <w:rPr>
          <w:iCs/>
          <w:i/>
        </w:rPr>
        <w:t xml:space="preserve">(Reading note: I give the verse as printed —</w:t>
      </w:r>
      <w:r>
        <w:rPr>
          <w:iCs/>
          <w:i/>
        </w:rPr>
        <w:t xml:space="preserve"> </w:t>
      </w:r>
      <w:r>
        <w:rPr>
          <w:iCs/>
          <w:i/>
        </w:rPr>
        <w:t xml:space="preserve">“</w:t>
      </w:r>
      <w:r>
        <w:rPr>
          <w:iCs/>
          <w:i/>
        </w:rPr>
        <w:t xml:space="preserve">dāṃ</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vasv</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bhuvaṃ</w:t>
      </w:r>
      <w:r>
        <w:rPr>
          <w:iCs/>
          <w:i/>
        </w:rPr>
        <w:t xml:space="preserve">”</w:t>
      </w:r>
      <w:r>
        <w:rPr>
          <w:iCs/>
          <w:i/>
        </w:rPr>
        <w:t xml:space="preserve"> </w:t>
      </w:r>
      <w:r>
        <w:rPr>
          <w:iCs/>
          <w:i/>
        </w:rPr>
        <w:t xml:space="preserve">are the printed forms; I flag the whole citation, since the first line is crowded in the print.)</w:t>
      </w:r>
      <w:r>
        <w:t xml:space="preserve"> </w:t>
      </w:r>
      <w:r>
        <w:t xml:space="preserve">Gloss (mine; tentative):</w:t>
      </w:r>
      <w:r>
        <w:t xml:space="preserve"> </w:t>
      </w:r>
      <w:r>
        <w:t xml:space="preserve">“</w:t>
      </w:r>
      <w:r>
        <w:t xml:space="preserve">I gave to the singer the first wealth; I made the prayer for my own increase; I became the instigator of the sacrificer, and, in every battle, the conqueror of the one who does not sacrifice.</w:t>
      </w:r>
      <w:r>
        <w:t xml:space="preserve">”</w:t>
      </w:r>
    </w:p>
    <w:p>
      <w:pPr>
        <w:pStyle w:val="BlockText"/>
      </w:pPr>
      <w:r>
        <w:rPr>
          <w:iCs/>
          <w:i/>
        </w:rPr>
        <w:t xml:space="preserve">(The source’s note:)</w:t>
      </w:r>
      <w:r>
        <w:t xml:space="preserve"> </w:t>
      </w:r>
      <w:r>
        <w:t xml:space="preserve">Here the word</w:t>
      </w:r>
      <w:r>
        <w:t xml:space="preserve"> </w:t>
      </w:r>
      <w:r>
        <w:t xml:space="preserve">“</w:t>
      </w:r>
      <w:r>
        <w:t xml:space="preserve">ahaṃ</w:t>
      </w:r>
      <w:r>
        <w:t xml:space="preserve">”</w:t>
      </w:r>
      <w:r>
        <w:t xml:space="preserve"> </w:t>
      </w:r>
      <w:r>
        <w:t xml:space="preserve">is repeated again and again. Not only this Ṛk but, in this sūkta and in many other sūktas, all the Ṛks are like this.</w:t>
      </w:r>
    </w:p>
    <w:p>
      <w:pPr>
        <w:pStyle w:val="BlockText"/>
      </w:pPr>
      <w:r>
        <w:t xml:space="preserve">अग्निः सप्तिं वाजम्भरं ददात्यग्निर्वीरं श्रुत्यं कर्मनिष्ठाम् ।</w:t>
      </w:r>
      <w:r>
        <w:t xml:space="preserve"> </w:t>
      </w:r>
      <w:r>
        <w:t xml:space="preserve">अग्नी रोदसी वि चरत्समञ्जन्नग्निर्नारीं वीरकुक्षिं पुरंधिम् ॥ (ऋ. सं. १०-८०-१)</w:t>
      </w:r>
      <w:r>
        <w:t xml:space="preserve"> </w:t>
      </w:r>
      <w:r>
        <w:rPr>
          <w:iCs/>
          <w:i/>
        </w:rPr>
        <w:t xml:space="preserve">agniḥ saptiṃ vājambharaṃ dadāty agnir vīraṃ śrutyaṃ karmaniṣṭhām |</w:t>
      </w:r>
      <w:r>
        <w:t xml:space="preserve"> </w:t>
      </w:r>
      <w:r>
        <w:rPr>
          <w:iCs/>
          <w:i/>
        </w:rPr>
        <w:t xml:space="preserve">agnī rodasī vi carat samañjann agnir nārīṃ vīrakukṣiṃ puraṃdhim || (ṛ. saṃ. 10-80-1)</w:t>
      </w:r>
      <w:r>
        <w:t xml:space="preserve"> </w:t>
      </w:r>
      <w:r>
        <w:rPr>
          <w:iCs/>
          <w:i/>
        </w:rPr>
        <w:t xml:space="preserve">(Reading note: the first line is as printed; the printed word</w:t>
      </w:r>
      <w:r>
        <w:rPr>
          <w:iCs/>
          <w:i/>
        </w:rPr>
        <w:t xml:space="preserve"> </w:t>
      </w:r>
      <w:r>
        <w:rPr>
          <w:iCs/>
          <w:i/>
        </w:rPr>
        <w:t xml:space="preserve">“</w:t>
      </w:r>
      <w:r>
        <w:rPr>
          <w:iCs/>
          <w:i/>
        </w:rPr>
        <w:t xml:space="preserve">agnī</w:t>
      </w:r>
      <w:r>
        <w:rPr>
          <w:iCs/>
          <w:i/>
        </w:rPr>
        <w:t xml:space="preserve">”</w:t>
      </w:r>
      <w:r>
        <w:rPr>
          <w:iCs/>
          <w:i/>
        </w:rPr>
        <w:t xml:space="preserve"> </w:t>
      </w:r>
      <w:r>
        <w:rPr>
          <w:iCs/>
          <w:i/>
        </w:rPr>
        <w:t xml:space="preserve">in line 2 is a dual of</w:t>
      </w:r>
      <w:r>
        <w:rPr>
          <w:iCs/>
          <w:i/>
        </w:rPr>
        <w:t xml:space="preserve"> </w:t>
      </w:r>
      <w:r>
        <w:rPr>
          <w:iCs/>
          <w:i/>
        </w:rPr>
        <w:t xml:space="preserve">“</w:t>
      </w:r>
      <w:r>
        <w:rPr>
          <w:iCs/>
          <w:i/>
        </w:rPr>
        <w:t xml:space="preserve">agni,</w:t>
      </w:r>
      <w:r>
        <w:rPr>
          <w:iCs/>
          <w:i/>
        </w:rPr>
        <w:t xml:space="preserve">”</w:t>
      </w:r>
      <w:r>
        <w:rPr>
          <w:iCs/>
          <w:i/>
        </w:rPr>
        <w:t xml:space="preserve"> </w:t>
      </w:r>
      <w:r>
        <w:rPr>
          <w:iCs/>
          <w:i/>
        </w:rPr>
        <w:t xml:space="preserve">and I give it as read.)</w:t>
      </w:r>
      <w:r>
        <w:t xml:space="preserve"> </w:t>
      </w:r>
      <w:r>
        <w:t xml:space="preserve">Gloss (mine; tentative):</w:t>
      </w:r>
      <w:r>
        <w:t xml:space="preserve"> </w:t>
      </w:r>
      <w:r>
        <w:t xml:space="preserve">“</w:t>
      </w:r>
      <w:r>
        <w:t xml:space="preserve">Agni gives the horse that brings the prize; Agni the hero, renowned, steadfast in action; Agni, going through heaven and earth, anointing both; Agni, the woman, hero-wombed, the (goddess) Puraṃdhi.</w:t>
      </w:r>
      <w:r>
        <w:t xml:space="preserve">”</w:t>
      </w:r>
    </w:p>
    <w:p>
      <w:pPr>
        <w:pStyle w:val="BlockText"/>
      </w:pPr>
      <w:r>
        <w:rPr>
          <w:iCs/>
          <w:i/>
        </w:rPr>
        <w:t xml:space="preserve">(The source’s note:)</w:t>
      </w:r>
      <w:r>
        <w:t xml:space="preserve"> </w:t>
      </w:r>
      <w:r>
        <w:t xml:space="preserve">In this Ṛk, and in all the other Ṛks of this sūkta, the word</w:t>
      </w:r>
      <w:r>
        <w:t xml:space="preserve"> </w:t>
      </w:r>
      <w:r>
        <w:t xml:space="preserve">“</w:t>
      </w:r>
      <w:r>
        <w:t xml:space="preserve">agniḥ</w:t>
      </w:r>
      <w:r>
        <w:t xml:space="preserve">”</w:t>
      </w:r>
      <w:r>
        <w:t xml:space="preserve"> </w:t>
      </w:r>
      <w:r>
        <w:t xml:space="preserve">is repeated at the beginning of every pāda.</w:t>
      </w:r>
    </w:p>
    <w:p>
      <w:pPr>
        <w:pStyle w:val="BlockText"/>
      </w:pPr>
      <w:r>
        <w:t xml:space="preserve">शं न इन्द्राग्नी भवतामवोभिः शं न इन्द्रावरुणा रातहव्या ।</w:t>
      </w:r>
      <w:r>
        <w:t xml:space="preserve"> </w:t>
      </w:r>
      <w:r>
        <w:t xml:space="preserve">शमिन्द्रासोमा सुविताय शं योः शं न इन्द्रापूषणा वाजसातौ ॥ (ऋ. सं. ७-३५-१)</w:t>
      </w:r>
      <w:r>
        <w:t xml:space="preserve"> </w:t>
      </w:r>
      <w:r>
        <w:rPr>
          <w:iCs/>
          <w:i/>
        </w:rPr>
        <w:t xml:space="preserve">śaṃ na indrāgnī bhavatām avobhiḥ śaṃ na indrāvaruṇā rātahavyā |</w:t>
      </w:r>
      <w:r>
        <w:t xml:space="preserve"> </w:t>
      </w:r>
      <w:r>
        <w:rPr>
          <w:iCs/>
          <w:i/>
        </w:rPr>
        <w:t xml:space="preserve">śam indrāsomā suvitāya śaṃ yoḥ śaṃ na indrāpūṣaṇā vājasātau || (ṛ. saṃ. 7-35-1)</w:t>
      </w:r>
      <w:r>
        <w:t xml:space="preserve"> </w:t>
      </w:r>
      <w:r>
        <w:t xml:space="preserve">Gloss:</w:t>
      </w:r>
      <w:r>
        <w:t xml:space="preserve"> </w:t>
      </w:r>
      <w:r>
        <w:t xml:space="preserve">“</w:t>
      </w:r>
      <w:r>
        <w:t xml:space="preserve">May Indra and Agni be a blessing to us with their help; a blessing, Indra and Varuṇa, those who accept the oblation; a blessing, Indra and Soma, for good fortune, healing and wellbeing; a blessing to us, Indra and Pūṣan, in the winning of the prize.</w:t>
      </w:r>
      <w:r>
        <w:t xml:space="preserve">”</w:t>
      </w:r>
      <w:r>
        <w:t xml:space="preserve"> </w:t>
      </w:r>
      <w:r>
        <w:rPr>
          <w:iCs/>
          <w:i/>
        </w:rPr>
        <w:t xml:space="preserve">(The reference as printed reads</w:t>
      </w:r>
      <w:r>
        <w:rPr>
          <w:iCs/>
          <w:i/>
        </w:rPr>
        <w:t xml:space="preserve"> </w:t>
      </w:r>
      <w:r>
        <w:rPr>
          <w:iCs/>
          <w:i/>
        </w:rPr>
        <w:t xml:space="preserve">“</w:t>
      </w:r>
      <w:r>
        <w:rPr>
          <w:iCs/>
          <w:i/>
        </w:rPr>
        <w:t xml:space="preserve">2-3?-1</w:t>
      </w:r>
      <w:r>
        <w:rPr>
          <w:iCs/>
          <w:i/>
        </w:rPr>
        <w:t xml:space="preserve">”</w:t>
      </w:r>
      <w:r>
        <w:rPr>
          <w:iCs/>
          <w:i/>
        </w:rPr>
        <w:t xml:space="preserve">; I give</w:t>
      </w:r>
      <w:r>
        <w:rPr>
          <w:iCs/>
          <w:i/>
        </w:rPr>
        <w:t xml:space="preserve"> </w:t>
      </w:r>
      <w:r>
        <w:rPr>
          <w:iCs/>
          <w:i/>
        </w:rPr>
        <w:t xml:space="preserve">“</w:t>
      </w:r>
      <w:r>
        <w:rPr>
          <w:iCs/>
          <w:i/>
        </w:rPr>
        <w:t xml:space="preserve">6-73-1</w:t>
      </w:r>
      <w:r>
        <w:rPr>
          <w:iCs/>
          <w:i/>
        </w:rPr>
        <w:t xml:space="preserve">”</w:t>
      </w:r>
      <w:r>
        <w:rPr>
          <w:iCs/>
          <w:i/>
        </w:rPr>
        <w:t xml:space="preserve"> </w:t>
      </w:r>
      <w:r>
        <w:rPr>
          <w:iCs/>
          <w:i/>
        </w:rPr>
        <w:t xml:space="preserve">from the verse’s wording and mark it [?].)</w:t>
      </w:r>
    </w:p>
    <w:p>
      <w:pPr>
        <w:pStyle w:val="BlockText"/>
      </w:pPr>
      <w:r>
        <w:rPr>
          <w:iCs/>
          <w:i/>
        </w:rPr>
        <w:t xml:space="preserve">(The source’s note:)</w:t>
      </w:r>
      <w:r>
        <w:t xml:space="preserve"> </w:t>
      </w:r>
      <w:r>
        <w:t xml:space="preserve">In this Ṛk, and in the other Ṛks of this sūkta, the words</w:t>
      </w:r>
      <w:r>
        <w:t xml:space="preserve"> </w:t>
      </w:r>
      <w:r>
        <w:t xml:space="preserve">“</w:t>
      </w:r>
      <w:r>
        <w:t xml:space="preserve">śam</w:t>
      </w:r>
      <w:r>
        <w:t xml:space="preserve">”</w:t>
      </w:r>
      <w:r>
        <w:t xml:space="preserve"> </w:t>
      </w:r>
      <w:r>
        <w:t xml:space="preserve">and</w:t>
      </w:r>
      <w:r>
        <w:t xml:space="preserve"> </w:t>
      </w:r>
      <w:r>
        <w:t xml:space="preserve">“</w:t>
      </w:r>
      <w:r>
        <w:t xml:space="preserve">śam naḥ</w:t>
      </w:r>
      <w:r>
        <w:t xml:space="preserve">”</w:t>
      </w:r>
      <w:r>
        <w:t xml:space="preserve"> </w:t>
      </w:r>
      <w:r>
        <w:t xml:space="preserve">are repeated at the beginning of every pāda. Ṛks of this kind, of the</w:t>
      </w:r>
      <w:r>
        <w:t xml:space="preserve"> </w:t>
      </w:r>
      <w:r>
        <w:t xml:space="preserve">“</w:t>
      </w:r>
      <w:r>
        <w:t xml:space="preserve">prāsabaddha</w:t>
      </w:r>
      <w:r>
        <w:t xml:space="preserve">”</w:t>
      </w:r>
      <w:r>
        <w:t xml:space="preserve"> </w:t>
      </w:r>
      <w:r>
        <w:t xml:space="preserve">and</w:t>
      </w:r>
      <w:r>
        <w:t xml:space="preserve"> </w:t>
      </w:r>
      <w:r>
        <w:t xml:space="preserve">“</w:t>
      </w:r>
      <w:r>
        <w:t xml:space="preserve">prauḍhārtha</w:t>
      </w:r>
      <w:r>
        <w:t xml:space="preserve">”</w:t>
      </w:r>
      <w:r>
        <w:t xml:space="preserve"> </w:t>
      </w:r>
      <w:r>
        <w:t xml:space="preserve">style, are numerous in the Ṛgveda.</w:t>
      </w:r>
    </w:p>
    <w:p>
      <w:pPr>
        <w:pStyle w:val="FirstParagraph"/>
      </w:pPr>
      <w:r>
        <w:rPr>
          <w:iCs/>
          <w:i/>
        </w:rPr>
        <w:t xml:space="preserve">(Correction note on the reference to the last verse: my first reading of the printed number as</w:t>
      </w:r>
      <w:r>
        <w:rPr>
          <w:iCs/>
          <w:i/>
        </w:rPr>
        <w:t xml:space="preserve"> </w:t>
      </w:r>
      <w:r>
        <w:rPr>
          <w:iCs/>
          <w:i/>
        </w:rPr>
        <w:t xml:space="preserve">“</w:t>
      </w:r>
      <w:r>
        <w:rPr>
          <w:iCs/>
          <w:i/>
        </w:rPr>
        <w:t xml:space="preserve">2-3?-1</w:t>
      </w:r>
      <w:r>
        <w:rPr>
          <w:iCs/>
          <w:i/>
        </w:rPr>
        <w:t xml:space="preserve">”</w:t>
      </w:r>
      <w:r>
        <w:rPr>
          <w:iCs/>
          <w:i/>
        </w:rPr>
        <w:t xml:space="preserve"> </w:t>
      </w:r>
      <w:r>
        <w:rPr>
          <w:iCs/>
          <w:i/>
        </w:rPr>
        <w:t xml:space="preserve">was a misread of small numerals; the verse is the well-known opening of a</w:t>
      </w:r>
      <w:r>
        <w:rPr>
          <w:iCs/>
          <w:i/>
        </w:rPr>
        <w:t xml:space="preserve"> </w:t>
      </w:r>
      <w:r>
        <w:rPr>
          <w:iCs/>
          <w:i/>
        </w:rPr>
        <w:t xml:space="preserve">“</w:t>
      </w:r>
      <w:r>
        <w:rPr>
          <w:iCs/>
          <w:i/>
        </w:rPr>
        <w:t xml:space="preserve">śaṃ no</w:t>
      </w:r>
      <w:r>
        <w:rPr>
          <w:iCs/>
          <w:i/>
        </w:rPr>
        <w:t xml:space="preserve">”</w:t>
      </w:r>
      <w:r>
        <w:rPr>
          <w:iCs/>
          <w:i/>
        </w:rPr>
        <w:t xml:space="preserve"> </w:t>
      </w:r>
      <w:r>
        <w:rPr>
          <w:iCs/>
          <w:i/>
        </w:rPr>
        <w:t xml:space="preserve">hymn, and I have given</w:t>
      </w:r>
      <w:r>
        <w:rPr>
          <w:iCs/>
          <w:i/>
        </w:rPr>
        <w:t xml:space="preserve"> </w:t>
      </w:r>
      <w:r>
        <w:rPr>
          <w:iCs/>
          <w:i/>
        </w:rPr>
        <w:t xml:space="preserve">“</w:t>
      </w:r>
      <w:r>
        <w:rPr>
          <w:iCs/>
          <w:i/>
        </w:rPr>
        <w:t xml:space="preserve">6-73-1</w:t>
      </w:r>
      <w:r>
        <w:rPr>
          <w:iCs/>
          <w:i/>
        </w:rPr>
        <w:t xml:space="preserve">”</w:t>
      </w:r>
      <w:r>
        <w:rPr>
          <w:iCs/>
          <w:i/>
        </w:rPr>
        <w:t xml:space="preserve"> </w:t>
      </w:r>
      <w:r>
        <w:rPr>
          <w:iCs/>
          <w:i/>
        </w:rPr>
        <w:t xml:space="preserve">with a [?], because I could not read the printed digits and I am relying on the wording. I record this rather than present the number as read.)</w:t>
      </w:r>
    </w:p>
    <w:bookmarkEnd w:id="224"/>
    <w:bookmarkStart w:id="225" w:name="Xb1a3ba3297b86f3294afe7d78f74b13fb932b32"/>
    <w:p>
      <w:pPr>
        <w:pStyle w:val="Heading3"/>
      </w:pPr>
      <w:r>
        <w:t xml:space="preserve">Page 189 — Vyākaraṇa-prakriyā for Rik 5.8 (characterized)</w:t>
      </w:r>
    </w:p>
    <w:p>
      <w:pPr>
        <w:pStyle w:val="FirstParagraph"/>
      </w:pPr>
      <w:r>
        <w:rPr>
          <w:iCs/>
          <w:i/>
        </w:rPr>
        <w:t xml:space="preserve">(Page header:</w:t>
      </w:r>
      <w:r>
        <w:rPr>
          <w:iCs/>
          <w:i/>
        </w:rPr>
        <w:t xml:space="preserve"> </w:t>
      </w:r>
      <w:r>
        <w:rPr>
          <w:iCs/>
          <w:i/>
        </w:rPr>
        <w:t xml:space="preserve">“</w:t>
      </w:r>
      <w:r>
        <w:rPr>
          <w:iCs/>
          <w:i/>
        </w:rPr>
        <w:t xml:space="preserve">Aṣṭaka 1, Adhyāya 1, Varga 10 · Ṛgveda-saṃhitā.</w:t>
      </w:r>
      <w:r>
        <w:rPr>
          <w:iCs/>
          <w:i/>
        </w:rPr>
        <w:t xml:space="preserve">”</w:t>
      </w:r>
      <w:r>
        <w:rPr>
          <w:iCs/>
          <w:i/>
        </w:rPr>
        <w:t xml:space="preserve"> </w:t>
      </w:r>
      <w:r>
        <w:rPr>
          <w:iCs/>
          <w:i/>
        </w:rPr>
        <w:t xml:space="preserve">Pure grammar in Kannada prose for</w:t>
      </w:r>
      <w:r>
        <w:rPr>
          <w:iCs/>
          <w:i/>
        </w:rPr>
        <w:t xml:space="preserve"> </w:t>
      </w:r>
      <w:r>
        <w:rPr>
          <w:iCs/>
          <w:i/>
        </w:rPr>
        <w:t xml:space="preserve">“</w:t>
      </w:r>
      <w:r>
        <w:rPr>
          <w:iCs/>
          <w:i/>
        </w:rPr>
        <w:t xml:space="preserve">stomāḥ,</w:t>
      </w:r>
      <w:r>
        <w:rPr>
          <w:iCs/>
          <w:i/>
        </w:rPr>
        <w:t xml:space="preserve">”</w:t>
      </w:r>
      <w:r>
        <w:rPr>
          <w:iCs/>
          <w:i/>
        </w:rPr>
        <w:t xml:space="preserve"> </w:t>
      </w:r>
      <w:r>
        <w:rPr>
          <w:iCs/>
          <w:i/>
        </w:rPr>
        <w:t xml:space="preserve">“</w:t>
      </w:r>
      <w:r>
        <w:rPr>
          <w:iCs/>
          <w:i/>
        </w:rPr>
        <w:t xml:space="preserve">avīvṛdhan</w:t>
      </w:r>
      <w:r>
        <w:rPr>
          <w:iCs/>
          <w:i/>
        </w:rPr>
        <w:t xml:space="preserve">”</w:t>
      </w:r>
      <w:r>
        <w:rPr>
          <w:iCs/>
          <w:i/>
        </w:rPr>
        <w:t xml:space="preserve"> </w:t>
      </w:r>
      <w:r>
        <w:rPr>
          <w:iCs/>
          <w:i/>
        </w:rPr>
        <w:t xml:space="preserve">and its reduplication, restating the Sanskrit of p. 186; it does not bear on the sense of the Rik (pp. 186–187).</w:t>
      </w:r>
      <w:r>
        <w:rPr>
          <w:iCs/>
          <w:i/>
        </w:rPr>
        <w:t xml:space="preserve"> </w:t>
      </w:r>
      <w:r>
        <w:rPr>
          <w:bCs/>
          <w:b/>
          <w:iCs/>
          <w:i/>
        </w:rPr>
        <w:t xml:space="preserve">Characterized in outline</w:t>
      </w:r>
      <w:r>
        <w:rPr>
          <w:iCs/>
          <w:i/>
        </w:rPr>
        <w:t xml:space="preserve">; sūtras kept; numbers as read.)</w:t>
      </w:r>
    </w:p>
    <w:p>
      <w:pPr>
        <w:pStyle w:val="BodyText"/>
      </w:pPr>
      <w:r>
        <w:rPr>
          <w:bCs/>
          <w:b/>
        </w:rPr>
        <w:t xml:space="preserve">“</w:t>
      </w:r>
      <w:r>
        <w:rPr>
          <w:bCs/>
          <w:b/>
        </w:rPr>
        <w:t xml:space="preserve">Stomāḥ</w:t>
      </w:r>
      <w:r>
        <w:rPr>
          <w:bCs/>
          <w:b/>
        </w:rPr>
        <w:t xml:space="preserve">”</w:t>
      </w:r>
      <w:r>
        <w:t xml:space="preserve"> </w:t>
      </w:r>
      <w:r>
        <w:t xml:space="preserve">— after the root</w:t>
      </w:r>
      <w:r>
        <w:t xml:space="preserve"> </w:t>
      </w:r>
      <w:r>
        <w:t xml:space="preserve">“</w:t>
      </w:r>
      <w:r>
        <w:t xml:space="preserve">ṣṭuñ stutau</w:t>
      </w:r>
      <w:r>
        <w:t xml:space="preserve">”</w:t>
      </w:r>
      <w:r>
        <w:t xml:space="preserve"> </w:t>
      </w:r>
      <w:r>
        <w:t xml:space="preserve">(to praise), the Uṇādi</w:t>
      </w:r>
      <w:r>
        <w:t xml:space="preserve"> </w:t>
      </w:r>
      <w:r>
        <w:rPr>
          <w:bCs/>
          <w:b/>
        </w:rPr>
        <w:t xml:space="preserve">अर्तिस्तुसुहुसृधृक्षिक्षुभायावापदियक्षिनीभ्यो मन्</w:t>
      </w:r>
      <w:r>
        <w:t xml:space="preserve"> </w:t>
      </w:r>
      <w:r>
        <w:t xml:space="preserve">(उ. सू. १-१३७ [as printed]) gives</w:t>
      </w:r>
      <w:r>
        <w:t xml:space="preserve"> </w:t>
      </w:r>
      <w:r>
        <w:t xml:space="preserve">“</w:t>
      </w:r>
      <w:r>
        <w:t xml:space="preserve">man</w:t>
      </w:r>
      <w:r>
        <w:t xml:space="preserve">”</w:t>
      </w:r>
      <w:r>
        <w:t xml:space="preserve">; being</w:t>
      </w:r>
      <w:r>
        <w:t xml:space="preserve"> </w:t>
      </w:r>
      <w:r>
        <w:t xml:space="preserve">“</w:t>
      </w:r>
      <w:r>
        <w:t xml:space="preserve">n</w:t>
      </w:r>
      <w:r>
        <w:t xml:space="preserve">”</w:t>
      </w:r>
      <w:r>
        <w:t xml:space="preserve">-marked, the word is first-syllable acute (</w:t>
      </w:r>
      <w:r>
        <w:rPr>
          <w:bCs/>
          <w:b/>
        </w:rPr>
        <w:t xml:space="preserve">ञित्यादिर्नित्यम्</w:t>
      </w:r>
      <w:r>
        <w:t xml:space="preserve">).</w:t>
      </w:r>
    </w:p>
    <w:p>
      <w:pPr>
        <w:pStyle w:val="BodyText"/>
      </w:pPr>
      <w:r>
        <w:rPr>
          <w:bCs/>
          <w:b/>
        </w:rPr>
        <w:t xml:space="preserve">“</w:t>
      </w:r>
      <w:r>
        <w:rPr>
          <w:bCs/>
          <w:b/>
        </w:rPr>
        <w:t xml:space="preserve">Avīvṛdhan</w:t>
      </w:r>
      <w:r>
        <w:rPr>
          <w:bCs/>
          <w:b/>
        </w:rPr>
        <w:t xml:space="preserve">”</w:t>
      </w:r>
      <w:r>
        <w:t xml:space="preserve"> </w:t>
      </w:r>
      <w:r>
        <w:t xml:space="preserve">—</w:t>
      </w:r>
      <w:r>
        <w:t xml:space="preserve"> </w:t>
      </w:r>
      <w:r>
        <w:t xml:space="preserve">“</w:t>
      </w:r>
      <w:r>
        <w:t xml:space="preserve">vṛdhu vṛddhau</w:t>
      </w:r>
      <w:r>
        <w:t xml:space="preserve">”</w:t>
      </w:r>
      <w:r>
        <w:t xml:space="preserve"> </w:t>
      </w:r>
      <w:r>
        <w:t xml:space="preserve">(to grow), with the causal</w:t>
      </w:r>
      <w:r>
        <w:t xml:space="preserve"> </w:t>
      </w:r>
      <w:r>
        <w:t xml:space="preserve">“</w:t>
      </w:r>
      <w:r>
        <w:t xml:space="preserve">ṇic</w:t>
      </w:r>
      <w:r>
        <w:t xml:space="preserve">”</w:t>
      </w:r>
      <w:r>
        <w:t xml:space="preserve"> </w:t>
      </w:r>
      <w:r>
        <w:t xml:space="preserve">(</w:t>
      </w:r>
      <w:r>
        <w:rPr>
          <w:bCs/>
          <w:b/>
        </w:rPr>
        <w:t xml:space="preserve">हेतुमति च</w:t>
      </w:r>
      <w:r>
        <w:t xml:space="preserve">, पा. ३-१-२६);</w:t>
      </w:r>
      <w:r>
        <w:t xml:space="preserve"> </w:t>
      </w:r>
      <w:r>
        <w:rPr>
          <w:bCs/>
          <w:b/>
        </w:rPr>
        <w:t xml:space="preserve">च्लि लुङि</w:t>
      </w:r>
      <w:r>
        <w:t xml:space="preserve"> </w:t>
      </w:r>
      <w:r>
        <w:t xml:space="preserve">(पा. ३-१-४३);</w:t>
      </w:r>
      <w:r>
        <w:t xml:space="preserve"> </w:t>
      </w:r>
      <w:r>
        <w:rPr>
          <w:bCs/>
          <w:b/>
        </w:rPr>
        <w:t xml:space="preserve">णिश्रिद्रुस्रुभ्यः कर्तरि चङ्</w:t>
      </w:r>
      <w:r>
        <w:t xml:space="preserve"> </w:t>
      </w:r>
      <w:r>
        <w:t xml:space="preserve">(पा. ३-१-४८) —</w:t>
      </w:r>
      <w:r>
        <w:t xml:space="preserve"> </w:t>
      </w:r>
      <w:r>
        <w:t xml:space="preserve">“</w:t>
      </w:r>
      <w:r>
        <w:t xml:space="preserve">caṅ</w:t>
      </w:r>
      <w:r>
        <w:t xml:space="preserve">”</w:t>
      </w:r>
      <w:r>
        <w:t xml:space="preserve"> </w:t>
      </w:r>
      <w:r>
        <w:t xml:space="preserve">for</w:t>
      </w:r>
      <w:r>
        <w:t xml:space="preserve"> </w:t>
      </w:r>
      <w:r>
        <w:t xml:space="preserve">“</w:t>
      </w:r>
      <w:r>
        <w:t xml:space="preserve">cli</w:t>
      </w:r>
      <w:r>
        <w:t xml:space="preserve">”</w:t>
      </w:r>
      <w:r>
        <w:t xml:space="preserve"> </w:t>
      </w:r>
      <w:r>
        <w:t xml:space="preserve">in the</w:t>
      </w:r>
      <w:r>
        <w:t xml:space="preserve"> </w:t>
      </w:r>
      <w:r>
        <w:t xml:space="preserve">“</w:t>
      </w:r>
      <w:r>
        <w:t xml:space="preserve">luṅ,</w:t>
      </w:r>
      <w:r>
        <w:t xml:space="preserve">”</w:t>
      </w:r>
      <w:r>
        <w:t xml:space="preserve"> </w:t>
      </w:r>
      <w:r>
        <w:t xml:space="preserve">after the roots</w:t>
      </w:r>
      <w:r>
        <w:t xml:space="preserve"> </w:t>
      </w:r>
      <w:r>
        <w:t xml:space="preserve">“</w:t>
      </w:r>
      <w:r>
        <w:t xml:space="preserve">śri, dru, sru</w:t>
      </w:r>
      <w:r>
        <w:t xml:space="preserve">”</w:t>
      </w:r>
      <w:r>
        <w:t xml:space="preserve"> </w:t>
      </w:r>
      <w:r>
        <w:t xml:space="preserve">and after a</w:t>
      </w:r>
      <w:r>
        <w:t xml:space="preserve"> </w:t>
      </w:r>
      <w:r>
        <w:t xml:space="preserve">“</w:t>
      </w:r>
      <w:r>
        <w:t xml:space="preserve">ṇic</w:t>
      </w:r>
      <w:r>
        <w:t xml:space="preserve">”</w:t>
      </w:r>
      <w:r>
        <w:t xml:space="preserve">-ended root, when the agent is intended:</w:t>
      </w:r>
      <w:r>
        <w:t xml:space="preserve"> </w:t>
      </w:r>
      <w:r>
        <w:t xml:space="preserve">“</w:t>
      </w:r>
      <w:r>
        <w:t xml:space="preserve">vṛdh + i + caṅ + jhi</w:t>
      </w:r>
      <w:r>
        <w:t xml:space="preserve">”</w:t>
      </w:r>
      <w:r>
        <w:t xml:space="preserve">;</w:t>
      </w:r>
      <w:r>
        <w:t xml:space="preserve"> </w:t>
      </w:r>
      <w:r>
        <w:rPr>
          <w:bCs/>
          <w:b/>
        </w:rPr>
        <w:t xml:space="preserve">उर्ऋत्</w:t>
      </w:r>
      <w:r>
        <w:t xml:space="preserve"> </w:t>
      </w:r>
      <w:r>
        <w:t xml:space="preserve">(पा. ७-४-७) — the</w:t>
      </w:r>
      <w:r>
        <w:t xml:space="preserve"> </w:t>
      </w:r>
      <w:r>
        <w:t xml:space="preserve">“</w:t>
      </w:r>
      <w:r>
        <w:t xml:space="preserve">ṛ</w:t>
      </w:r>
      <w:r>
        <w:t xml:space="preserve">”</w:t>
      </w:r>
      <w:r>
        <w:t xml:space="preserve"> </w:t>
      </w:r>
      <w:r>
        <w:t xml:space="preserve">of the penultimate of the root</w:t>
      </w:r>
      <w:r>
        <w:t xml:space="preserve"> </w:t>
      </w:r>
      <w:r>
        <w:t xml:space="preserve">“</w:t>
      </w:r>
      <w:r>
        <w:t xml:space="preserve">vṛdh,</w:t>
      </w:r>
      <w:r>
        <w:t xml:space="preserve">”</w:t>
      </w:r>
      <w:r>
        <w:t xml:space="preserve"> </w:t>
      </w:r>
      <w:r>
        <w:t xml:space="preserve">before the</w:t>
      </w:r>
      <w:r>
        <w:t xml:space="preserve"> </w:t>
      </w:r>
      <w:r>
        <w:t xml:space="preserve">“</w:t>
      </w:r>
      <w:r>
        <w:t xml:space="preserve">caṅ</w:t>
      </w:r>
      <w:r>
        <w:t xml:space="preserve">”</w:t>
      </w:r>
      <w:r>
        <w:t xml:space="preserve"> </w:t>
      </w:r>
      <w:r>
        <w:t xml:space="preserve">that follows</w:t>
      </w:r>
      <w:r>
        <w:t xml:space="preserve"> </w:t>
      </w:r>
      <w:r>
        <w:t xml:space="preserve">“</w:t>
      </w:r>
      <w:r>
        <w:t xml:space="preserve">ṇi,</w:t>
      </w:r>
      <w:r>
        <w:t xml:space="preserve">”</w:t>
      </w:r>
      <w:r>
        <w:t xml:space="preserve"> </w:t>
      </w:r>
      <w:r>
        <w:t xml:space="preserve">is replaced by</w:t>
      </w:r>
      <w:r>
        <w:t xml:space="preserve"> </w:t>
      </w:r>
      <w:r>
        <w:t xml:space="preserve">“</w:t>
      </w:r>
      <w:r>
        <w:t xml:space="preserve">ṛ</w:t>
      </w:r>
      <w:r>
        <w:t xml:space="preserve">”</w:t>
      </w:r>
      <w:r>
        <w:t xml:space="preserve"> </w:t>
      </w:r>
      <w:r>
        <w:t xml:space="preserve">optionally — the print explains that since this sūtra prescribes</w:t>
      </w:r>
      <w:r>
        <w:t xml:space="preserve"> </w:t>
      </w:r>
      <w:r>
        <w:t xml:space="preserve">“</w:t>
      </w:r>
      <w:r>
        <w:t xml:space="preserve">ṛ</w:t>
      </w:r>
      <w:r>
        <w:t xml:space="preserve">”</w:t>
      </w:r>
      <w:r>
        <w:t xml:space="preserve"> </w:t>
      </w:r>
      <w:r>
        <w:t xml:space="preserve">for a penultimate</w:t>
      </w:r>
      <w:r>
        <w:t xml:space="preserve"> </w:t>
      </w:r>
      <w:r>
        <w:t xml:space="preserve">“</w:t>
      </w:r>
      <w:r>
        <w:t xml:space="preserve">ṛ,</w:t>
      </w:r>
      <w:r>
        <w:t xml:space="preserve">”</w:t>
      </w:r>
      <w:r>
        <w:t xml:space="preserve"> </w:t>
      </w:r>
      <w:r>
        <w:t xml:space="preserve">it is intended to bar the guṇa that</w:t>
      </w:r>
      <w:r>
        <w:t xml:space="preserve"> </w:t>
      </w:r>
      <w:r>
        <w:rPr>
          <w:bCs/>
          <w:b/>
        </w:rPr>
        <w:t xml:space="preserve">पुगन्तलघूपधस्य च</w:t>
      </w:r>
      <w:r>
        <w:t xml:space="preserve"> </w:t>
      </w:r>
      <w:r>
        <w:t xml:space="preserve">(पा. ७-३-८६) would otherwise give to the light penultimate</w:t>
      </w:r>
      <w:r>
        <w:t xml:space="preserve"> </w:t>
      </w:r>
      <w:r>
        <w:t xml:space="preserve">“</w:t>
      </w:r>
      <w:r>
        <w:t xml:space="preserve">ṛ</w:t>
      </w:r>
      <w:r>
        <w:t xml:space="preserve">”</w:t>
      </w:r>
      <w:r>
        <w:t xml:space="preserve"> </w:t>
      </w:r>
      <w:r>
        <w:t xml:space="preserve">(though that guṇa is</w:t>
      </w:r>
      <w:r>
        <w:t xml:space="preserve"> </w:t>
      </w:r>
      <w:r>
        <w:t xml:space="preserve">“</w:t>
      </w:r>
      <w:r>
        <w:t xml:space="preserve">antaraṅga</w:t>
      </w:r>
      <w:r>
        <w:t xml:space="preserve">”</w:t>
      </w:r>
      <w:r>
        <w:t xml:space="preserve"> </w:t>
      </w:r>
      <w:r>
        <w:t xml:space="preserve">in relation to the prescribed</w:t>
      </w:r>
      <w:r>
        <w:t xml:space="preserve"> </w:t>
      </w:r>
      <w:r>
        <w:t xml:space="preserve">“</w:t>
      </w:r>
      <w:r>
        <w:t xml:space="preserve">ṛ</w:t>
      </w:r>
      <w:r>
        <w:t xml:space="preserve">”</w:t>
      </w:r>
      <w:r>
        <w:t xml:space="preserve">); so there is no guṇa. Then</w:t>
      </w:r>
      <w:r>
        <w:t xml:space="preserve"> </w:t>
      </w:r>
      <w:r>
        <w:rPr>
          <w:bCs/>
          <w:b/>
        </w:rPr>
        <w:t xml:space="preserve">चङि</w:t>
      </w:r>
      <w:r>
        <w:t xml:space="preserve"> </w:t>
      </w:r>
      <w:r>
        <w:t xml:space="preserve">(पा. ६-१-११) — when</w:t>
      </w:r>
      <w:r>
        <w:t xml:space="preserve"> </w:t>
      </w:r>
      <w:r>
        <w:t xml:space="preserve">“</w:t>
      </w:r>
      <w:r>
        <w:t xml:space="preserve">caṅ</w:t>
      </w:r>
      <w:r>
        <w:t xml:space="preserve">”</w:t>
      </w:r>
      <w:r>
        <w:t xml:space="preserve"> </w:t>
      </w:r>
      <w:r>
        <w:t xml:space="preserve">follows, the first one-vowel part of the (non-reduplicated) root is doubled; the root being a non-vowel-initial one, the first part with one vowel is doubled:</w:t>
      </w:r>
      <w:r>
        <w:t xml:space="preserve"> </w:t>
      </w:r>
      <w:r>
        <w:t xml:space="preserve">“</w:t>
      </w:r>
      <w:r>
        <w:t xml:space="preserve">vṛdh-vṛdh + i</w:t>
      </w:r>
      <w:r>
        <w:t xml:space="preserve">”</w:t>
      </w:r>
      <w:r>
        <w:t xml:space="preserve">;</w:t>
      </w:r>
      <w:r>
        <w:t xml:space="preserve"> </w:t>
      </w:r>
      <w:r>
        <w:rPr>
          <w:bCs/>
          <w:b/>
        </w:rPr>
        <w:t xml:space="preserve">उरत्</w:t>
      </w:r>
      <w:r>
        <w:t xml:space="preserve"> </w:t>
      </w:r>
      <w:r>
        <w:t xml:space="preserve">(पा. ७-४-६६) — a short</w:t>
      </w:r>
      <w:r>
        <w:t xml:space="preserve"> </w:t>
      </w:r>
      <w:r>
        <w:t xml:space="preserve">“</w:t>
      </w:r>
      <w:r>
        <w:t xml:space="preserve">a</w:t>
      </w:r>
      <w:r>
        <w:t xml:space="preserve">”</w:t>
      </w:r>
      <w:r>
        <w:t xml:space="preserve"> </w:t>
      </w:r>
      <w:r>
        <w:t xml:space="preserve">substitutes for the</w:t>
      </w:r>
      <w:r>
        <w:t xml:space="preserve"> </w:t>
      </w:r>
      <w:r>
        <w:t xml:space="preserve">“</w:t>
      </w:r>
      <w:r>
        <w:t xml:space="preserve">ṛ</w:t>
      </w:r>
      <w:r>
        <w:t xml:space="preserve">”</w:t>
      </w:r>
      <w:r>
        <w:t xml:space="preserve"> </w:t>
      </w:r>
      <w:r>
        <w:t xml:space="preserve">of the reduplicative syllable; with</w:t>
      </w:r>
      <w:r>
        <w:t xml:space="preserve"> </w:t>
      </w:r>
      <w:r>
        <w:rPr>
          <w:bCs/>
          <w:b/>
        </w:rPr>
        <w:t xml:space="preserve">उरण् रपरः</w:t>
      </w:r>
      <w:r>
        <w:t xml:space="preserve"> </w:t>
      </w:r>
      <w:r>
        <w:t xml:space="preserve">(पा. १-१-५१) the</w:t>
      </w:r>
      <w:r>
        <w:t xml:space="preserve"> </w:t>
      </w:r>
      <w:r>
        <w:t xml:space="preserve">“</w:t>
      </w:r>
      <w:r>
        <w:t xml:space="preserve">ar</w:t>
      </w:r>
      <w:r>
        <w:t xml:space="preserve">”</w:t>
      </w:r>
      <w:r>
        <w:t xml:space="preserve"> </w:t>
      </w:r>
      <w:r>
        <w:t xml:space="preserve">results:</w:t>
      </w:r>
      <w:r>
        <w:t xml:space="preserve"> </w:t>
      </w:r>
      <w:r>
        <w:t xml:space="preserve">“</w:t>
      </w:r>
      <w:r>
        <w:t xml:space="preserve">var-vṛdh-i + a + jhi</w:t>
      </w:r>
      <w:r>
        <w:t xml:space="preserve">”</w:t>
      </w:r>
      <w:r>
        <w:t xml:space="preserve">;</w:t>
      </w:r>
      <w:r>
        <w:t xml:space="preserve"> </w:t>
      </w:r>
      <w:r>
        <w:rPr>
          <w:bCs/>
          <w:b/>
        </w:rPr>
        <w:t xml:space="preserve">हलादिः शेषः</w:t>
      </w:r>
      <w:r>
        <w:t xml:space="preserve"> </w:t>
      </w:r>
      <w:r>
        <w:t xml:space="preserve">(पा. ७-४-६०) leaves only the first consonant of the reduplicative syllable:</w:t>
      </w:r>
      <w:r>
        <w:t xml:space="preserve"> </w:t>
      </w:r>
      <w:r>
        <w:t xml:space="preserve">“</w:t>
      </w:r>
      <w:r>
        <w:t xml:space="preserve">va-vṛdh-i + a + jhi</w:t>
      </w:r>
      <w:r>
        <w:t xml:space="preserve">”</w:t>
      </w:r>
      <w:r>
        <w:t xml:space="preserve">;</w:t>
      </w:r>
      <w:r>
        <w:t xml:space="preserve"> </w:t>
      </w:r>
      <w:r>
        <w:rPr>
          <w:bCs/>
          <w:b/>
        </w:rPr>
        <w:t xml:space="preserve">सन्वल्लघुनि चङ्परेऽनग्लोपे</w:t>
      </w:r>
      <w:r>
        <w:t xml:space="preserve"> </w:t>
      </w:r>
      <w:r>
        <w:t xml:space="preserve">(पा. ७-४-९३) — when</w:t>
      </w:r>
      <w:r>
        <w:t xml:space="preserve"> </w:t>
      </w:r>
      <w:r>
        <w:t xml:space="preserve">“</w:t>
      </w:r>
      <w:r>
        <w:t xml:space="preserve">caṅ</w:t>
      </w:r>
      <w:r>
        <w:t xml:space="preserve">”</w:t>
      </w:r>
      <w:r>
        <w:t xml:space="preserve"> </w:t>
      </w:r>
      <w:r>
        <w:t xml:space="preserve">follows a</w:t>
      </w:r>
      <w:r>
        <w:t xml:space="preserve"> </w:t>
      </w:r>
      <w:r>
        <w:t xml:space="preserve">“</w:t>
      </w:r>
      <w:r>
        <w:t xml:space="preserve">ṇi</w:t>
      </w:r>
      <w:r>
        <w:t xml:space="preserve">”</w:t>
      </w:r>
      <w:r>
        <w:t xml:space="preserve"> </w:t>
      </w:r>
      <w:r>
        <w:t xml:space="preserve">and the stem has a light syllable in the reduplicative part, the reduplicative syllable is treated as if before</w:t>
      </w:r>
      <w:r>
        <w:t xml:space="preserve"> </w:t>
      </w:r>
      <w:r>
        <w:t xml:space="preserve">“</w:t>
      </w:r>
      <w:r>
        <w:t xml:space="preserve">san</w:t>
      </w:r>
      <w:r>
        <w:t xml:space="preserve">”</w:t>
      </w:r>
      <w:r>
        <w:t xml:space="preserve"> </w:t>
      </w:r>
      <w:r>
        <w:t xml:space="preserve">—</w:t>
      </w:r>
      <w:r>
        <w:t xml:space="preserve"> </w:t>
      </w:r>
      <w:r>
        <w:t xml:space="preserve">“</w:t>
      </w:r>
      <w:r>
        <w:t xml:space="preserve">sanvat</w:t>
      </w:r>
      <w:r>
        <w:t xml:space="preserve">”</w:t>
      </w:r>
      <w:r>
        <w:t xml:space="preserve"> </w:t>
      </w:r>
      <w:r>
        <w:t xml:space="preserve">— except where the elision of an</w:t>
      </w:r>
      <w:r>
        <w:t xml:space="preserve"> </w:t>
      </w:r>
      <w:r>
        <w:t xml:space="preserve">“</w:t>
      </w:r>
      <w:r>
        <w:t xml:space="preserve">aṅga</w:t>
      </w:r>
      <w:r>
        <w:t xml:space="preserve">”</w:t>
      </w:r>
      <w:r>
        <w:t xml:space="preserve"> </w:t>
      </w:r>
      <w:r>
        <w:t xml:space="preserve">vowel has taken place; this gives the</w:t>
      </w:r>
      <w:r>
        <w:t xml:space="preserve"> </w:t>
      </w:r>
      <w:r>
        <w:t xml:space="preserve">“</w:t>
      </w:r>
      <w:r>
        <w:t xml:space="preserve">i</w:t>
      </w:r>
      <w:r>
        <w:t xml:space="preserve">”</w:t>
      </w:r>
      <w:r>
        <w:t xml:space="preserve"> </w:t>
      </w:r>
      <w:r>
        <w:t xml:space="preserve">in the reduplicative syllable:</w:t>
      </w:r>
      <w:r>
        <w:t xml:space="preserve"> </w:t>
      </w:r>
      <w:r>
        <w:rPr>
          <w:bCs/>
          <w:b/>
        </w:rPr>
        <w:t xml:space="preserve">सन्यतः</w:t>
      </w:r>
      <w:r>
        <w:t xml:space="preserve"> </w:t>
      </w:r>
      <w:r>
        <w:t xml:space="preserve">(पा. ७-४-७९) —</w:t>
      </w:r>
      <w:r>
        <w:t xml:space="preserve"> </w:t>
      </w:r>
      <w:r>
        <w:t xml:space="preserve">“</w:t>
      </w:r>
      <w:r>
        <w:t xml:space="preserve">a</w:t>
      </w:r>
      <w:r>
        <w:t xml:space="preserve">”</w:t>
      </w:r>
      <w:r>
        <w:t xml:space="preserve"> </w:t>
      </w:r>
      <w:r>
        <w:t xml:space="preserve">becomes</w:t>
      </w:r>
      <w:r>
        <w:t xml:space="preserve"> </w:t>
      </w:r>
      <w:r>
        <w:t xml:space="preserve">“</w:t>
      </w:r>
      <w:r>
        <w:t xml:space="preserve">i</w:t>
      </w:r>
      <w:r>
        <w:t xml:space="preserve">”</w:t>
      </w:r>
      <w:r>
        <w:t xml:space="preserve"> </w:t>
      </w:r>
      <w:r>
        <w:t xml:space="preserve">before</w:t>
      </w:r>
      <w:r>
        <w:t xml:space="preserve"> </w:t>
      </w:r>
      <w:r>
        <w:t xml:space="preserve">“</w:t>
      </w:r>
      <w:r>
        <w:t xml:space="preserve">san</w:t>
      </w:r>
      <w:r>
        <w:t xml:space="preserve">”</w:t>
      </w:r>
      <w:r>
        <w:t xml:space="preserve"> </w:t>
      </w:r>
      <w:r>
        <w:t xml:space="preserve">→</w:t>
      </w:r>
      <w:r>
        <w:t xml:space="preserve"> </w:t>
      </w:r>
      <w:r>
        <w:t xml:space="preserve">“</w:t>
      </w:r>
      <w:r>
        <w:t xml:space="preserve">vi-vṛdh-i</w:t>
      </w:r>
      <w:r>
        <w:t xml:space="preserve">”</w:t>
      </w:r>
      <w:r>
        <w:t xml:space="preserve">;</w:t>
      </w:r>
      <w:r>
        <w:t xml:space="preserve"> </w:t>
      </w:r>
      <w:r>
        <w:rPr>
          <w:bCs/>
          <w:b/>
        </w:rPr>
        <w:t xml:space="preserve">दीर्घो लघोः</w:t>
      </w:r>
      <w:r>
        <w:t xml:space="preserve"> </w:t>
      </w:r>
      <w:r>
        <w:t xml:space="preserve">(पा. ७-४-९४) lengthens the light reduplicative syllable →</w:t>
      </w:r>
      <w:r>
        <w:t xml:space="preserve"> </w:t>
      </w:r>
      <w:r>
        <w:t xml:space="preserve">“</w:t>
      </w:r>
      <w:r>
        <w:t xml:space="preserve">vī-vṛdh-i + a + jhi</w:t>
      </w:r>
      <w:r>
        <w:t xml:space="preserve">”</w:t>
      </w:r>
      <w:r>
        <w:t xml:space="preserve">;</w:t>
      </w:r>
      <w:r>
        <w:t xml:space="preserve"> </w:t>
      </w:r>
      <w:r>
        <w:rPr>
          <w:bCs/>
          <w:b/>
        </w:rPr>
        <w:t xml:space="preserve">लुङ्लङ्लृङ्क्ष्वडुदात्तः</w:t>
      </w:r>
      <w:r>
        <w:t xml:space="preserve"> </w:t>
      </w:r>
      <w:r>
        <w:t xml:space="preserve">(पा. ६-४-७१) puts the augment</w:t>
      </w:r>
      <w:r>
        <w:t xml:space="preserve"> </w:t>
      </w:r>
      <w:r>
        <w:t xml:space="preserve">“</w:t>
      </w:r>
      <w:r>
        <w:t xml:space="preserve">aṭ</w:t>
      </w:r>
      <w:r>
        <w:t xml:space="preserve">”</w:t>
      </w:r>
      <w:r>
        <w:t xml:space="preserve"> </w:t>
      </w:r>
      <w:r>
        <w:t xml:space="preserve">before</w:t>
      </w:r>
      <w:r>
        <w:t xml:space="preserve"> </w:t>
      </w:r>
      <w:r>
        <w:t xml:space="preserve">“</w:t>
      </w:r>
      <w:r>
        <w:t xml:space="preserve">luṅ</w:t>
      </w:r>
      <w:r>
        <w:t xml:space="preserve">”</w:t>
      </w:r>
      <w:r>
        <w:t xml:space="preserve"> </w:t>
      </w:r>
      <w:r>
        <w:t xml:space="preserve">→</w:t>
      </w:r>
      <w:r>
        <w:t xml:space="preserve"> </w:t>
      </w:r>
      <w:r>
        <w:t xml:space="preserve">“</w:t>
      </w:r>
      <w:r>
        <w:t xml:space="preserve">a-vīvṛdhi + a + jhi</w:t>
      </w:r>
      <w:r>
        <w:t xml:space="preserve">”</w:t>
      </w:r>
      <w:r>
        <w:t xml:space="preserve">;</w:t>
      </w:r>
      <w:r>
        <w:t xml:space="preserve"> </w:t>
      </w:r>
      <w:r>
        <w:rPr>
          <w:bCs/>
          <w:b/>
        </w:rPr>
        <w:t xml:space="preserve">झोऽन्तः</w:t>
      </w:r>
      <w:r>
        <w:t xml:space="preserve"> </w:t>
      </w:r>
      <w:r>
        <w:t xml:space="preserve">(पा. ७-१-३) puts</w:t>
      </w:r>
      <w:r>
        <w:t xml:space="preserve"> </w:t>
      </w:r>
      <w:r>
        <w:t xml:space="preserve">“</w:t>
      </w:r>
      <w:r>
        <w:t xml:space="preserve">ant</w:t>
      </w:r>
      <w:r>
        <w:t xml:space="preserve">”</w:t>
      </w:r>
      <w:r>
        <w:t xml:space="preserve">;</w:t>
      </w:r>
      <w:r>
        <w:t xml:space="preserve"> </w:t>
      </w:r>
      <w:r>
        <w:rPr>
          <w:bCs/>
          <w:b/>
        </w:rPr>
        <w:t xml:space="preserve">णेरनिटि</w:t>
      </w:r>
      <w:r>
        <w:t xml:space="preserve"> </w:t>
      </w:r>
      <w:r>
        <w:t xml:space="preserve">… the</w:t>
      </w:r>
      <w:r>
        <w:t xml:space="preserve"> </w:t>
      </w:r>
      <w:r>
        <w:t xml:space="preserve">“</w:t>
      </w:r>
      <w:r>
        <w:t xml:space="preserve">ṇi</w:t>
      </w:r>
      <w:r>
        <w:t xml:space="preserve">”</w:t>
      </w:r>
      <w:r>
        <w:t xml:space="preserve"> </w:t>
      </w:r>
      <w:r>
        <w:t xml:space="preserve">is elided before</w:t>
      </w:r>
      <w:r>
        <w:t xml:space="preserve"> </w:t>
      </w:r>
      <w:r>
        <w:t xml:space="preserve">“</w:t>
      </w:r>
      <w:r>
        <w:t xml:space="preserve">a</w:t>
      </w:r>
      <w:r>
        <w:t xml:space="preserve">”</w:t>
      </w:r>
      <w:r>
        <w:t xml:space="preserve"> </w:t>
      </w:r>
      <w:r>
        <w:t xml:space="preserve">→</w:t>
      </w:r>
      <w:r>
        <w:t xml:space="preserve"> </w:t>
      </w:r>
      <w:r>
        <w:t xml:space="preserve">“</w:t>
      </w:r>
      <w:r>
        <w:t xml:space="preserve">avīvṛdh + an + t</w:t>
      </w:r>
      <w:r>
        <w:t xml:space="preserve">”</w:t>
      </w:r>
      <w:r>
        <w:t xml:space="preserve">; the final</w:t>
      </w:r>
      <w:r>
        <w:t xml:space="preserve"> </w:t>
      </w:r>
      <w:r>
        <w:t xml:space="preserve">“</w:t>
      </w:r>
      <w:r>
        <w:t xml:space="preserve">t</w:t>
      </w:r>
      <w:r>
        <w:t xml:space="preserve">”</w:t>
      </w:r>
      <w:r>
        <w:t xml:space="preserve"> </w:t>
      </w:r>
      <w:r>
        <w:t xml:space="preserve">of</w:t>
      </w:r>
      <w:r>
        <w:t xml:space="preserve"> </w:t>
      </w:r>
      <w:r>
        <w:t xml:space="preserve">“</w:t>
      </w:r>
      <w:r>
        <w:t xml:space="preserve">an(t)</w:t>
      </w:r>
      <w:r>
        <w:t xml:space="preserve">”</w:t>
      </w:r>
      <w:r>
        <w:t xml:space="preserve"> </w:t>
      </w:r>
      <w:r>
        <w:t xml:space="preserve">is elided (</w:t>
      </w:r>
      <w:r>
        <w:rPr>
          <w:bCs/>
          <w:b/>
        </w:rPr>
        <w:t xml:space="preserve">संयोगान्तस्य लोपः</w:t>
      </w:r>
      <w:r>
        <w:t xml:space="preserve">, पा. ८-२-२३, and</w:t>
      </w:r>
      <w:r>
        <w:t xml:space="preserve"> </w:t>
      </w:r>
      <w:r>
        <w:rPr>
          <w:bCs/>
          <w:b/>
        </w:rPr>
        <w:t xml:space="preserve">लङः शाकटायनस्यैव</w:t>
      </w:r>
      <w:r>
        <w:t xml:space="preserve">…);</w:t>
      </w:r>
      <w:r>
        <w:t xml:space="preserve"> </w:t>
      </w:r>
      <w:r>
        <w:t xml:space="preserve">“</w:t>
      </w:r>
      <w:r>
        <w:t xml:space="preserve">avīvṛdhan.</w:t>
      </w:r>
      <w:r>
        <w:t xml:space="preserve">”</w:t>
      </w:r>
      <w:r>
        <w:t xml:space="preserve"> </w:t>
      </w:r>
      <w:r>
        <w:rPr>
          <w:iCs/>
          <w:i/>
        </w:rPr>
        <w:t xml:space="preserve">(The page ends mid-sentence in the discussion of the accent, which continues on the next page.)</w:t>
      </w:r>
    </w:p>
    <w:bookmarkEnd w:id="225"/>
    <w:bookmarkStart w:id="226" w:name="Xaf0e8d436655bede1c45cf818119e9507c3d179"/>
    <w:p>
      <w:pPr>
        <w:pStyle w:val="Heading3"/>
      </w:pPr>
      <w:r>
        <w:t xml:space="preserve">Page 190 — Rik 5.8 grammar concluded (characterized):</w:t>
      </w:r>
      <w:r>
        <w:t xml:space="preserve"> </w:t>
      </w:r>
      <w:r>
        <w:t xml:space="preserve">“</w:t>
      </w:r>
      <w:r>
        <w:t xml:space="preserve">avīvṛdhan,</w:t>
      </w:r>
      <w:r>
        <w:t xml:space="preserve">”</w:t>
      </w:r>
      <w:r>
        <w:t xml:space="preserve"> </w:t>
      </w:r>
      <w:r>
        <w:t xml:space="preserve">“</w:t>
      </w:r>
      <w:r>
        <w:t xml:space="preserve">ukthā,</w:t>
      </w:r>
      <w:r>
        <w:t xml:space="preserve">”</w:t>
      </w:r>
      <w:r>
        <w:t xml:space="preserve"> </w:t>
      </w:r>
      <w:r>
        <w:t xml:space="preserve">“</w:t>
      </w:r>
      <w:r>
        <w:t xml:space="preserve">vardhantu</w:t>
      </w:r>
      <w:r>
        <w:t xml:space="preserve">”</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5.</w:t>
      </w:r>
      <w:r>
        <w:rPr>
          <w:iCs/>
          <w:i/>
        </w:rPr>
        <w:t xml:space="preserve">”</w:t>
      </w:r>
      <w:r>
        <w:rPr>
          <w:iCs/>
          <w:i/>
        </w:rPr>
        <w:t xml:space="preserve"> </w:t>
      </w:r>
      <w:r>
        <w:rPr>
          <w:iCs/>
          <w:i/>
        </w:rPr>
        <w:t xml:space="preserve">Pure grammar in Kannada prose,</w:t>
      </w:r>
      <w:r>
        <w:rPr>
          <w:iCs/>
          <w:i/>
        </w:rPr>
        <w:t xml:space="preserve"> </w:t>
      </w:r>
      <w:r>
        <w:rPr>
          <w:bCs/>
          <w:b/>
          <w:iCs/>
          <w:i/>
        </w:rPr>
        <w:t xml:space="preserve">characterized in outline</w:t>
      </w:r>
      <w:r>
        <w:rPr>
          <w:iCs/>
          <w:i/>
        </w:rPr>
        <w:t xml:space="preserve">; sūtras kept; numbers as read.)</w:t>
      </w:r>
    </w:p>
    <w:p>
      <w:pPr>
        <w:pStyle w:val="BodyText"/>
      </w:pPr>
      <w:r>
        <w:rPr>
          <w:iCs/>
          <w:i/>
        </w:rPr>
        <w:t xml:space="preserve">(Continuing</w:t>
      </w:r>
      <w:r>
        <w:rPr>
          <w:iCs/>
          <w:i/>
        </w:rPr>
        <w:t xml:space="preserve"> </w:t>
      </w:r>
      <w:r>
        <w:rPr>
          <w:iCs/>
          <w:i/>
        </w:rPr>
        <w:t xml:space="preserve">“</w:t>
      </w:r>
      <w:r>
        <w:rPr>
          <w:iCs/>
          <w:i/>
        </w:rPr>
        <w:t xml:space="preserve">avīvṛdhan</w:t>
      </w:r>
      <w:r>
        <w:rPr>
          <w:iCs/>
          <w:i/>
        </w:rPr>
        <w:t xml:space="preserve">”</w:t>
      </w:r>
      <w:r>
        <w:rPr>
          <w:iCs/>
          <w:i/>
        </w:rPr>
        <w:t xml:space="preserve"> </w:t>
      </w:r>
      <w:r>
        <w:rPr>
          <w:iCs/>
          <w:i/>
        </w:rPr>
        <w:t xml:space="preserve">from p. 189:)</w:t>
      </w:r>
      <w:r>
        <w:t xml:space="preserve"> </w:t>
      </w:r>
      <w:r>
        <w:t xml:space="preserve">…the augment</w:t>
      </w:r>
      <w:r>
        <w:t xml:space="preserve"> </w:t>
      </w:r>
      <w:r>
        <w:t xml:space="preserve">“</w:t>
      </w:r>
      <w:r>
        <w:t xml:space="preserve">aṭ</w:t>
      </w:r>
      <w:r>
        <w:t xml:space="preserve">”</w:t>
      </w:r>
      <w:r>
        <w:t xml:space="preserve"> </w:t>
      </w:r>
      <w:r>
        <w:t xml:space="preserve">(</w:t>
      </w:r>
      <w:r>
        <w:rPr>
          <w:bCs/>
          <w:b/>
        </w:rPr>
        <w:t xml:space="preserve">लुङ्लङ्लृङ्क्ष्वडुदात्तः</w:t>
      </w:r>
      <w:r>
        <w:t xml:space="preserve">, पा. ६-४-७१) is added to these forms. In</w:t>
      </w:r>
      <w:r>
        <w:t xml:space="preserve"> </w:t>
      </w:r>
      <w:r>
        <w:t xml:space="preserve">“</w:t>
      </w:r>
      <w:r>
        <w:t xml:space="preserve">avīvṛdh + i + a + jhi</w:t>
      </w:r>
      <w:r>
        <w:t xml:space="preserve">”</w:t>
      </w:r>
      <w:r>
        <w:t xml:space="preserve"> </w:t>
      </w:r>
      <w:r>
        <w:t xml:space="preserve">the</w:t>
      </w:r>
      <w:r>
        <w:t xml:space="preserve"> </w:t>
      </w:r>
      <w:r>
        <w:t xml:space="preserve">“</w:t>
      </w:r>
      <w:r>
        <w:t xml:space="preserve">ṇic</w:t>
      </w:r>
      <w:r>
        <w:t xml:space="preserve">”</w:t>
      </w:r>
      <w:r>
        <w:t xml:space="preserve"> </w:t>
      </w:r>
      <w:r>
        <w:t xml:space="preserve">is elided by</w:t>
      </w:r>
      <w:r>
        <w:t xml:space="preserve"> </w:t>
      </w:r>
      <w:r>
        <w:rPr>
          <w:bCs/>
          <w:b/>
        </w:rPr>
        <w:t xml:space="preserve">णेरनिटि</w:t>
      </w:r>
      <w:r>
        <w:t xml:space="preserve"> </w:t>
      </w:r>
      <w:r>
        <w:t xml:space="preserve">(पा. ६-४-५१) because an ārdhadhātuka without</w:t>
      </w:r>
      <w:r>
        <w:t xml:space="preserve"> </w:t>
      </w:r>
      <w:r>
        <w:t xml:space="preserve">“</w:t>
      </w:r>
      <w:r>
        <w:t xml:space="preserve">iṭ</w:t>
      </w:r>
      <w:r>
        <w:t xml:space="preserve">”</w:t>
      </w:r>
      <w:r>
        <w:t xml:space="preserve"> </w:t>
      </w:r>
      <w:r>
        <w:t xml:space="preserve">follows; the</w:t>
      </w:r>
      <w:r>
        <w:t xml:space="preserve"> </w:t>
      </w:r>
      <w:r>
        <w:t xml:space="preserve">“</w:t>
      </w:r>
      <w:r>
        <w:t xml:space="preserve">ṛ</w:t>
      </w:r>
      <w:r>
        <w:t xml:space="preserve">”</w:t>
      </w:r>
      <w:r>
        <w:t xml:space="preserve"> </w:t>
      </w:r>
      <w:r>
        <w:t xml:space="preserve">… by</w:t>
      </w:r>
      <w:r>
        <w:t xml:space="preserve"> </w:t>
      </w:r>
      <w:r>
        <w:rPr>
          <w:bCs/>
          <w:b/>
        </w:rPr>
        <w:t xml:space="preserve">ऋदृशोऽङि गुणः</w:t>
      </w:r>
      <w:r>
        <w:t xml:space="preserve"> </w:t>
      </w:r>
      <w:r>
        <w:t xml:space="preserve">is not applicable here; the</w:t>
      </w:r>
      <w:r>
        <w:t xml:space="preserve"> </w:t>
      </w:r>
      <w:r>
        <w:t xml:space="preserve">“</w:t>
      </w:r>
      <w:r>
        <w:t xml:space="preserve">jh</w:t>
      </w:r>
      <w:r>
        <w:t xml:space="preserve">”</w:t>
      </w:r>
      <w:r>
        <w:t xml:space="preserve"> </w:t>
      </w:r>
      <w:r>
        <w:t xml:space="preserve">becomes</w:t>
      </w:r>
      <w:r>
        <w:t xml:space="preserve"> </w:t>
      </w:r>
      <w:r>
        <w:t xml:space="preserve">“</w:t>
      </w:r>
      <w:r>
        <w:t xml:space="preserve">ant</w:t>
      </w:r>
      <w:r>
        <w:t xml:space="preserve">”</w:t>
      </w:r>
      <w:r>
        <w:t xml:space="preserve"> </w:t>
      </w:r>
      <w:r>
        <w:t xml:space="preserve">(</w:t>
      </w:r>
      <w:r>
        <w:rPr>
          <w:bCs/>
          <w:b/>
        </w:rPr>
        <w:t xml:space="preserve">झोऽन्तः</w:t>
      </w:r>
      <w:r>
        <w:t xml:space="preserve">, पा. ७-१-३), and the</w:t>
      </w:r>
      <w:r>
        <w:t xml:space="preserve"> </w:t>
      </w:r>
      <w:r>
        <w:t xml:space="preserve">“</w:t>
      </w:r>
      <w:r>
        <w:t xml:space="preserve">ṛ</w:t>
      </w:r>
      <w:r>
        <w:t xml:space="preserve">”</w:t>
      </w:r>
      <w:r>
        <w:t xml:space="preserve"> </w:t>
      </w:r>
      <w:r>
        <w:t xml:space="preserve">(of</w:t>
      </w:r>
      <w:r>
        <w:t xml:space="preserve"> </w:t>
      </w:r>
      <w:r>
        <w:t xml:space="preserve">“</w:t>
      </w:r>
      <w:r>
        <w:t xml:space="preserve">jhi</w:t>
      </w:r>
      <w:r>
        <w:t xml:space="preserve">”</w:t>
      </w:r>
      <w:r>
        <w:t xml:space="preserve">’s</w:t>
      </w:r>
      <w:r>
        <w:t xml:space="preserve"> </w:t>
      </w:r>
      <w:r>
        <w:t xml:space="preserve">“</w:t>
      </w:r>
      <w:r>
        <w:t xml:space="preserve">i,</w:t>
      </w:r>
      <w:r>
        <w:t xml:space="preserve">”</w:t>
      </w:r>
      <w:r>
        <w:t xml:space="preserve"> </w:t>
      </w:r>
      <w:r>
        <w:t xml:space="preserve">the print says) — by</w:t>
      </w:r>
      <w:r>
        <w:t xml:space="preserve"> </w:t>
      </w:r>
      <w:r>
        <w:rPr>
          <w:bCs/>
          <w:b/>
        </w:rPr>
        <w:t xml:space="preserve">इतश्च</w:t>
      </w:r>
      <w:r>
        <w:t xml:space="preserve"> </w:t>
      </w:r>
      <w:r>
        <w:t xml:space="preserve">(पा. ३-४-१००) the final</w:t>
      </w:r>
      <w:r>
        <w:t xml:space="preserve"> </w:t>
      </w:r>
      <w:r>
        <w:t xml:space="preserve">“</w:t>
      </w:r>
      <w:r>
        <w:t xml:space="preserve">i</w:t>
      </w:r>
      <w:r>
        <w:t xml:space="preserve">”</w:t>
      </w:r>
      <w:r>
        <w:t xml:space="preserve"> </w:t>
      </w:r>
      <w:r>
        <w:t xml:space="preserve">of the ending is elided; by</w:t>
      </w:r>
      <w:r>
        <w:t xml:space="preserve"> </w:t>
      </w:r>
      <w:r>
        <w:rPr>
          <w:bCs/>
          <w:b/>
        </w:rPr>
        <w:t xml:space="preserve">संयोगान्तस्य लोपः</w:t>
      </w:r>
      <w:r>
        <w:t xml:space="preserve"> </w:t>
      </w:r>
      <w:r>
        <w:t xml:space="preserve">(पा. ८-२-२३) the final</w:t>
      </w:r>
      <w:r>
        <w:t xml:space="preserve"> </w:t>
      </w:r>
      <w:r>
        <w:t xml:space="preserve">“</w:t>
      </w:r>
      <w:r>
        <w:t xml:space="preserve">t</w:t>
      </w:r>
      <w:r>
        <w:t xml:space="preserve">”</w:t>
      </w:r>
      <w:r>
        <w:t xml:space="preserve"> </w:t>
      </w:r>
      <w:r>
        <w:t xml:space="preserve">of the conjunct is elided — and since that elision is</w:t>
      </w:r>
      <w:r>
        <w:t xml:space="preserve"> </w:t>
      </w:r>
      <w:r>
        <w:t xml:space="preserve">“</w:t>
      </w:r>
      <w:r>
        <w:t xml:space="preserve">asiddha</w:t>
      </w:r>
      <w:r>
        <w:t xml:space="preserve">”</w:t>
      </w:r>
      <w:r>
        <w:t xml:space="preserve"> </w:t>
      </w:r>
      <w:r>
        <w:t xml:space="preserve">(</w:t>
      </w:r>
      <w:r>
        <w:rPr>
          <w:bCs/>
          <w:b/>
        </w:rPr>
        <w:t xml:space="preserve">पूर्वत्रासिद्धम्</w:t>
      </w:r>
      <w:r>
        <w:t xml:space="preserve">, पा. ८-२-१) with respect to</w:t>
      </w:r>
      <w:r>
        <w:t xml:space="preserve"> </w:t>
      </w:r>
      <w:r>
        <w:rPr>
          <w:bCs/>
          <w:b/>
        </w:rPr>
        <w:t xml:space="preserve">नलोपः प्रातिपदिकान्तस्य</w:t>
      </w:r>
      <w:r>
        <w:t xml:space="preserve"> </w:t>
      </w:r>
      <w:r>
        <w:t xml:space="preserve">(पा. ८-२-७), the</w:t>
      </w:r>
      <w:r>
        <w:t xml:space="preserve"> </w:t>
      </w:r>
      <w:r>
        <w:t xml:space="preserve">“</w:t>
      </w:r>
      <w:r>
        <w:t xml:space="preserve">n</w:t>
      </w:r>
      <w:r>
        <w:t xml:space="preserve">”</w:t>
      </w:r>
      <w:r>
        <w:t xml:space="preserve"> </w:t>
      </w:r>
      <w:r>
        <w:t xml:space="preserve">is not elided; the result is</w:t>
      </w:r>
      <w:r>
        <w:t xml:space="preserve"> </w:t>
      </w:r>
      <w:r>
        <w:rPr>
          <w:bCs/>
          <w:b/>
        </w:rPr>
        <w:t xml:space="preserve">“</w:t>
      </w:r>
      <w:r>
        <w:rPr>
          <w:bCs/>
          <w:b/>
        </w:rPr>
        <w:t xml:space="preserve">avīvṛdhan.</w:t>
      </w:r>
      <w:r>
        <w:rPr>
          <w:bCs/>
          <w:b/>
        </w:rPr>
        <w:t xml:space="preserve">”</w:t>
      </w:r>
    </w:p>
    <w:p>
      <w:pPr>
        <w:pStyle w:val="BodyText"/>
      </w:pPr>
      <w:r>
        <w:rPr>
          <w:bCs/>
          <w:b/>
        </w:rPr>
        <w:t xml:space="preserve">“</w:t>
      </w:r>
      <w:r>
        <w:rPr>
          <w:bCs/>
          <w:b/>
        </w:rPr>
        <w:t xml:space="preserve">Ukthā</w:t>
      </w:r>
      <w:r>
        <w:rPr>
          <w:bCs/>
          <w:b/>
        </w:rPr>
        <w:t xml:space="preserve">”</w:t>
      </w:r>
      <w:r>
        <w:t xml:space="preserve"> </w:t>
      </w:r>
      <w:r>
        <w:t xml:space="preserve">—</w:t>
      </w:r>
      <w:r>
        <w:t xml:space="preserve"> </w:t>
      </w:r>
      <w:r>
        <w:t xml:space="preserve">“</w:t>
      </w:r>
      <w:r>
        <w:t xml:space="preserve">ukthāni,</w:t>
      </w:r>
      <w:r>
        <w:t xml:space="preserve">”</w:t>
      </w:r>
      <w:r>
        <w:t xml:space="preserve"> </w:t>
      </w:r>
      <w:r>
        <w:t xml:space="preserve">the word meaning</w:t>
      </w:r>
      <w:r>
        <w:t xml:space="preserve"> </w:t>
      </w:r>
      <w:r>
        <w:t xml:space="preserve">“</w:t>
      </w:r>
      <w:r>
        <w:t xml:space="preserve">śastras</w:t>
      </w:r>
      <w:r>
        <w:t xml:space="preserve">”</w:t>
      </w:r>
      <w:r>
        <w:t xml:space="preserve"> </w:t>
      </w:r>
      <w:r>
        <w:t xml:space="preserve">— from</w:t>
      </w:r>
      <w:r>
        <w:t xml:space="preserve"> </w:t>
      </w:r>
      <w:r>
        <w:t xml:space="preserve">“</w:t>
      </w:r>
      <w:r>
        <w:t xml:space="preserve">vac paribhāṣaṇe</w:t>
      </w:r>
      <w:r>
        <w:t xml:space="preserve">”</w:t>
      </w:r>
      <w:r>
        <w:t xml:space="preserve"> </w:t>
      </w:r>
      <w:r>
        <w:t xml:space="preserve">(to speak), the Uṇādi</w:t>
      </w:r>
      <w:r>
        <w:t xml:space="preserve"> </w:t>
      </w:r>
      <w:r>
        <w:rPr>
          <w:bCs/>
          <w:b/>
        </w:rPr>
        <w:t xml:space="preserve">पात्रातृदिववचिरिचिसिचिभ्यस्थक्</w:t>
      </w:r>
      <w:r>
        <w:t xml:space="preserve"> </w:t>
      </w:r>
      <w:r>
        <w:t xml:space="preserve">(उ. सू. २-१६-४ [as printed];</w:t>
      </w:r>
      <w:r>
        <w:t xml:space="preserve"> </w:t>
      </w:r>
      <w:r>
        <w:t xml:space="preserve">“</w:t>
      </w:r>
      <w:r>
        <w:t xml:space="preserve">2-7</w:t>
      </w:r>
      <w:r>
        <w:t xml:space="preserve">”</w:t>
      </w:r>
      <w:r>
        <w:t xml:space="preserve"> </w:t>
      </w:r>
      <w:r>
        <w:t xml:space="preserve">on p. 186) — the affix</w:t>
      </w:r>
      <w:r>
        <w:t xml:space="preserve"> </w:t>
      </w:r>
      <w:r>
        <w:t xml:space="preserve">“</w:t>
      </w:r>
      <w:r>
        <w:t xml:space="preserve">thak</w:t>
      </w:r>
      <w:r>
        <w:t xml:space="preserve">”</w:t>
      </w:r>
      <w:r>
        <w:t xml:space="preserve"> </w:t>
      </w:r>
      <w:r>
        <w:t xml:space="preserve">after</w:t>
      </w:r>
      <w:r>
        <w:t xml:space="preserve"> </w:t>
      </w:r>
      <w:r>
        <w:t xml:space="preserve">“</w:t>
      </w:r>
      <w:r>
        <w:t xml:space="preserve">vac</w:t>
      </w:r>
      <w:r>
        <w:t xml:space="preserve">”</w:t>
      </w:r>
      <w:r>
        <w:t xml:space="preserve">; since it is</w:t>
      </w:r>
      <w:r>
        <w:t xml:space="preserve"> </w:t>
      </w:r>
      <w:r>
        <w:t xml:space="preserve">“</w:t>
      </w:r>
      <w:r>
        <w:t xml:space="preserve">k</w:t>
      </w:r>
      <w:r>
        <w:t xml:space="preserve">”</w:t>
      </w:r>
      <w:r>
        <w:t xml:space="preserve">-marked, the root undergoes samprasāraṇa (</w:t>
      </w:r>
      <w:r>
        <w:rPr>
          <w:bCs/>
          <w:b/>
        </w:rPr>
        <w:t xml:space="preserve">वचिस्वपियजादीनां किति</w:t>
      </w:r>
      <w:r>
        <w:t xml:space="preserve">, पा. ६-१-१५) →</w:t>
      </w:r>
      <w:r>
        <w:t xml:space="preserve"> </w:t>
      </w:r>
      <w:r>
        <w:t xml:space="preserve">“</w:t>
      </w:r>
      <w:r>
        <w:t xml:space="preserve">uc + tha</w:t>
      </w:r>
      <w:r>
        <w:t xml:space="preserve">”</w:t>
      </w:r>
      <w:r>
        <w:t xml:space="preserve"> </w:t>
      </w:r>
      <w:r>
        <w:t xml:space="preserve">and</w:t>
      </w:r>
      <w:r>
        <w:t xml:space="preserve"> </w:t>
      </w:r>
      <w:r>
        <w:rPr>
          <w:bCs/>
          <w:b/>
        </w:rPr>
        <w:t xml:space="preserve">संप्रसारणाच्च</w:t>
      </w:r>
      <w:r>
        <w:t xml:space="preserve"> </w:t>
      </w:r>
      <w:r>
        <w:t xml:space="preserve">(पा. ६-१-१०८) the pūrvarūpa;</w:t>
      </w:r>
      <w:r>
        <w:t xml:space="preserve"> </w:t>
      </w:r>
      <w:r>
        <w:rPr>
          <w:bCs/>
          <w:b/>
        </w:rPr>
        <w:t xml:space="preserve">चोः कुः</w:t>
      </w:r>
      <w:r>
        <w:t xml:space="preserve"> </w:t>
      </w:r>
      <w:r>
        <w:t xml:space="preserve">(पा. ८-२-३०) turns</w:t>
      </w:r>
      <w:r>
        <w:t xml:space="preserve"> </w:t>
      </w:r>
      <w:r>
        <w:t xml:space="preserve">“</w:t>
      </w:r>
      <w:r>
        <w:t xml:space="preserve">c</w:t>
      </w:r>
      <w:r>
        <w:t xml:space="preserve">”</w:t>
      </w:r>
      <w:r>
        <w:t xml:space="preserve"> </w:t>
      </w:r>
      <w:r>
        <w:t xml:space="preserve">into</w:t>
      </w:r>
      <w:r>
        <w:t xml:space="preserve"> </w:t>
      </w:r>
      <w:r>
        <w:t xml:space="preserve">“</w:t>
      </w:r>
      <w:r>
        <w:t xml:space="preserve">k</w:t>
      </w:r>
      <w:r>
        <w:t xml:space="preserve">”</w:t>
      </w:r>
      <w:r>
        <w:t xml:space="preserve"> </w:t>
      </w:r>
      <w:r>
        <w:t xml:space="preserve">→</w:t>
      </w:r>
      <w:r>
        <w:t xml:space="preserve"> </w:t>
      </w:r>
      <w:r>
        <w:t xml:space="preserve">“</w:t>
      </w:r>
      <w:r>
        <w:t xml:space="preserve">ukthaa</w:t>
      </w:r>
      <w:r>
        <w:t xml:space="preserve">”</w:t>
      </w:r>
      <w:r>
        <w:t xml:space="preserve"> </w:t>
      </w:r>
      <w:r>
        <w:t xml:space="preserve">…</w:t>
      </w:r>
      <w:r>
        <w:t xml:space="preserve"> </w:t>
      </w:r>
      <w:r>
        <w:t xml:space="preserve">“</w:t>
      </w:r>
      <w:r>
        <w:t xml:space="preserve">uktha.</w:t>
      </w:r>
      <w:r>
        <w:t xml:space="preserve">”</w:t>
      </w:r>
      <w:r>
        <w:t xml:space="preserve"> </w:t>
      </w:r>
      <w:r>
        <w:t xml:space="preserve">As a neuter word, the plural</w:t>
      </w:r>
      <w:r>
        <w:t xml:space="preserve"> </w:t>
      </w:r>
      <w:r>
        <w:t xml:space="preserve">“</w:t>
      </w:r>
      <w:r>
        <w:t xml:space="preserve">jas/śas</w:t>
      </w:r>
      <w:r>
        <w:t xml:space="preserve">”</w:t>
      </w:r>
      <w:r>
        <w:t xml:space="preserve"> </w:t>
      </w:r>
      <w:r>
        <w:t xml:space="preserve">is replaced by</w:t>
      </w:r>
      <w:r>
        <w:t xml:space="preserve"> </w:t>
      </w:r>
      <w:r>
        <w:t xml:space="preserve">“</w:t>
      </w:r>
      <w:r>
        <w:t xml:space="preserve">śi</w:t>
      </w:r>
      <w:r>
        <w:t xml:space="preserve">”</w:t>
      </w:r>
      <w:r>
        <w:t xml:space="preserve"> </w:t>
      </w:r>
      <w:r>
        <w:t xml:space="preserve">(</w:t>
      </w:r>
      <w:r>
        <w:rPr>
          <w:bCs/>
          <w:b/>
        </w:rPr>
        <w:t xml:space="preserve">जश्शसोः शिः</w:t>
      </w:r>
      <w:r>
        <w:t xml:space="preserve">, पा. ७-१-२०) —</w:t>
      </w:r>
      <w:r>
        <w:t xml:space="preserve"> </w:t>
      </w:r>
      <w:r>
        <w:t xml:space="preserve">“</w:t>
      </w:r>
      <w:r>
        <w:t xml:space="preserve">śi</w:t>
      </w:r>
      <w:r>
        <w:t xml:space="preserve">”</w:t>
      </w:r>
      <w:r>
        <w:t xml:space="preserve"> </w:t>
      </w:r>
      <w:r>
        <w:t xml:space="preserve">is a</w:t>
      </w:r>
      <w:r>
        <w:t xml:space="preserve"> </w:t>
      </w:r>
      <w:r>
        <w:t xml:space="preserve">“</w:t>
      </w:r>
      <w:r>
        <w:t xml:space="preserve">sarvanāmasthāna</w:t>
      </w:r>
      <w:r>
        <w:t xml:space="preserve">”</w:t>
      </w:r>
      <w:r>
        <w:t xml:space="preserve"> </w:t>
      </w:r>
      <w:r>
        <w:t xml:space="preserve">(</w:t>
      </w:r>
      <w:r>
        <w:rPr>
          <w:bCs/>
          <w:b/>
        </w:rPr>
        <w:t xml:space="preserve">शि सर्वनामस्थानम्</w:t>
      </w:r>
      <w:r>
        <w:t xml:space="preserve">, पा. १-१-४२), and for a neuter stem</w:t>
      </w:r>
      <w:r>
        <w:t xml:space="preserve"> </w:t>
      </w:r>
      <w:r>
        <w:rPr>
          <w:bCs/>
          <w:b/>
        </w:rPr>
        <w:t xml:space="preserve">नपुंसकस्य झलचः</w:t>
      </w:r>
      <w:r>
        <w:t xml:space="preserve"> </w:t>
      </w:r>
      <w:r>
        <w:t xml:space="preserve">(पा. ७-१-७२) the</w:t>
      </w:r>
      <w:r>
        <w:t xml:space="preserve"> </w:t>
      </w:r>
      <w:r>
        <w:t xml:space="preserve">“</w:t>
      </w:r>
      <w:r>
        <w:t xml:space="preserve">num</w:t>
      </w:r>
      <w:r>
        <w:t xml:space="preserve">”</w:t>
      </w:r>
      <w:r>
        <w:t xml:space="preserve"> </w:t>
      </w:r>
      <w:r>
        <w:t xml:space="preserve">augment is added to a neuter stem ending in a</w:t>
      </w:r>
      <w:r>
        <w:t xml:space="preserve"> </w:t>
      </w:r>
      <w:r>
        <w:t xml:space="preserve">“</w:t>
      </w:r>
      <w:r>
        <w:t xml:space="preserve">jhal</w:t>
      </w:r>
      <w:r>
        <w:t xml:space="preserve">”</w:t>
      </w:r>
      <w:r>
        <w:t xml:space="preserve"> </w:t>
      </w:r>
      <w:r>
        <w:t xml:space="preserve">or a vowel —</w:t>
      </w:r>
      <w:r>
        <w:t xml:space="preserve"> </w:t>
      </w:r>
      <w:r>
        <w:t xml:space="preserve">“</w:t>
      </w:r>
      <w:r>
        <w:t xml:space="preserve">ukthan-i</w:t>
      </w:r>
      <w:r>
        <w:t xml:space="preserve">”</w:t>
      </w:r>
      <w:r>
        <w:t xml:space="preserve"> </w:t>
      </w:r>
      <w:r>
        <w:t xml:space="preserve">— with</w:t>
      </w:r>
      <w:r>
        <w:t xml:space="preserve"> </w:t>
      </w:r>
      <w:r>
        <w:rPr>
          <w:bCs/>
          <w:b/>
        </w:rPr>
        <w:t xml:space="preserve">सर्वनामस्थाने चासंबुद्धौ</w:t>
      </w:r>
      <w:r>
        <w:t xml:space="preserve"> </w:t>
      </w:r>
      <w:r>
        <w:t xml:space="preserve">(पा. ६-४-८) the lengthening,</w:t>
      </w:r>
      <w:r>
        <w:t xml:space="preserve"> </w:t>
      </w:r>
      <w:r>
        <w:t xml:space="preserve">“</w:t>
      </w:r>
      <w:r>
        <w:t xml:space="preserve">ukthān-i</w:t>
      </w:r>
      <w:r>
        <w:t xml:space="preserve">”</w:t>
      </w:r>
      <w:r>
        <w:t xml:space="preserve">;</w:t>
      </w:r>
      <w:r>
        <w:t xml:space="preserve"> </w:t>
      </w:r>
      <w:r>
        <w:rPr>
          <w:bCs/>
          <w:b/>
        </w:rPr>
        <w:t xml:space="preserve">शेश्छन्दसि बहुलम्</w:t>
      </w:r>
      <w:r>
        <w:t xml:space="preserve"> </w:t>
      </w:r>
      <w:r>
        <w:t xml:space="preserve">(पा. ६-१-७०) — in the Veda</w:t>
      </w:r>
      <w:r>
        <w:t xml:space="preserve"> </w:t>
      </w:r>
      <w:r>
        <w:t xml:space="preserve">“</w:t>
      </w:r>
      <w:r>
        <w:t xml:space="preserve">śi</w:t>
      </w:r>
      <w:r>
        <w:t xml:space="preserve">”</w:t>
      </w:r>
      <w:r>
        <w:t xml:space="preserve"> </w:t>
      </w:r>
      <w:r>
        <w:t xml:space="preserve">is variably elided — the</w:t>
      </w:r>
      <w:r>
        <w:t xml:space="preserve"> </w:t>
      </w:r>
      <w:r>
        <w:t xml:space="preserve">“</w:t>
      </w:r>
      <w:r>
        <w:t xml:space="preserve">i</w:t>
      </w:r>
      <w:r>
        <w:t xml:space="preserve">”</w:t>
      </w:r>
      <w:r>
        <w:t xml:space="preserve"> </w:t>
      </w:r>
      <w:r>
        <w:t xml:space="preserve">goes, and by</w:t>
      </w:r>
      <w:r>
        <w:t xml:space="preserve"> </w:t>
      </w:r>
      <w:r>
        <w:rPr>
          <w:bCs/>
          <w:b/>
        </w:rPr>
        <w:t xml:space="preserve">नलोपः प्रातिपदिकान्तस्य</w:t>
      </w:r>
      <w:r>
        <w:t xml:space="preserve"> </w:t>
      </w:r>
      <w:r>
        <w:t xml:space="preserve">(पा. ८-२-७; printed</w:t>
      </w:r>
      <w:r>
        <w:t xml:space="preserve"> </w:t>
      </w:r>
      <w:r>
        <w:t xml:space="preserve">“</w:t>
      </w:r>
      <w:r>
        <w:t xml:space="preserve">8-27</w:t>
      </w:r>
      <w:r>
        <w:t xml:space="preserve">”</w:t>
      </w:r>
      <w:r>
        <w:t xml:space="preserve">) the final</w:t>
      </w:r>
      <w:r>
        <w:t xml:space="preserve"> </w:t>
      </w:r>
      <w:r>
        <w:t xml:space="preserve">“</w:t>
      </w:r>
      <w:r>
        <w:t xml:space="preserve">n</w:t>
      </w:r>
      <w:r>
        <w:t xml:space="preserve">”</w:t>
      </w:r>
      <w:r>
        <w:t xml:space="preserve"> </w:t>
      </w:r>
      <w:r>
        <w:t xml:space="preserve">is elided too →</w:t>
      </w:r>
      <w:r>
        <w:t xml:space="preserve"> </w:t>
      </w:r>
      <w:r>
        <w:rPr>
          <w:bCs/>
          <w:b/>
        </w:rPr>
        <w:t xml:space="preserve">“</w:t>
      </w:r>
      <w:r>
        <w:rPr>
          <w:bCs/>
          <w:b/>
        </w:rPr>
        <w:t xml:space="preserve">ukthā.</w:t>
      </w:r>
      <w:r>
        <w:rPr>
          <w:bCs/>
          <w:b/>
        </w:rPr>
        <w:t xml:space="preserve">”</w:t>
      </w:r>
      <w:r>
        <w:t xml:space="preserve"> </w:t>
      </w:r>
      <w:r>
        <w:t xml:space="preserve">End-acute by the affix’s accent. Though</w:t>
      </w:r>
      <w:r>
        <w:t xml:space="preserve"> </w:t>
      </w:r>
      <w:r>
        <w:t xml:space="preserve">“</w:t>
      </w:r>
      <w:r>
        <w:t xml:space="preserve">śatakrato,</w:t>
      </w:r>
      <w:r>
        <w:t xml:space="preserve">”</w:t>
      </w:r>
      <w:r>
        <w:t xml:space="preserve"> </w:t>
      </w:r>
      <w:r>
        <w:t xml:space="preserve">a vocative, follows</w:t>
      </w:r>
      <w:r>
        <w:t xml:space="preserve"> </w:t>
      </w:r>
      <w:r>
        <w:t xml:space="preserve">“</w:t>
      </w:r>
      <w:r>
        <w:t xml:space="preserve">ukthā,</w:t>
      </w:r>
      <w:r>
        <w:t xml:space="preserve">”</w:t>
      </w:r>
      <w:r>
        <w:t xml:space="preserve"> </w:t>
      </w:r>
      <w:r>
        <w:t xml:space="preserve">the word</w:t>
      </w:r>
      <w:r>
        <w:t xml:space="preserve"> </w:t>
      </w:r>
      <w:r>
        <w:t xml:space="preserve">“</w:t>
      </w:r>
      <w:r>
        <w:t xml:space="preserve">ukthā</w:t>
      </w:r>
      <w:r>
        <w:t xml:space="preserve">”</w:t>
      </w:r>
      <w:r>
        <w:t xml:space="preserve"> </w:t>
      </w:r>
      <w:r>
        <w:t xml:space="preserve">is connected in sense with</w:t>
      </w:r>
      <w:r>
        <w:t xml:space="preserve"> </w:t>
      </w:r>
      <w:r>
        <w:t xml:space="preserve">“</w:t>
      </w:r>
      <w:r>
        <w:t xml:space="preserve">avīvṛdhan,</w:t>
      </w:r>
      <w:r>
        <w:t xml:space="preserve">”</w:t>
      </w:r>
      <w:r>
        <w:t xml:space="preserve"> </w:t>
      </w:r>
      <w:r>
        <w:t xml:space="preserve">not with</w:t>
      </w:r>
      <w:r>
        <w:t xml:space="preserve"> </w:t>
      </w:r>
      <w:r>
        <w:t xml:space="preserve">“</w:t>
      </w:r>
      <w:r>
        <w:t xml:space="preserve">śatakrato,</w:t>
      </w:r>
      <w:r>
        <w:t xml:space="preserve">”</w:t>
      </w:r>
      <w:r>
        <w:t xml:space="preserve"> </w:t>
      </w:r>
      <w:r>
        <w:t xml:space="preserve">so there is no mutual syntactic connection (</w:t>
      </w:r>
      <w:r>
        <w:rPr>
          <w:bCs/>
          <w:b/>
        </w:rPr>
        <w:t xml:space="preserve">asāmarthya</w:t>
      </w:r>
      <w:r>
        <w:t xml:space="preserve">); the rule</w:t>
      </w:r>
      <w:r>
        <w:t xml:space="preserve"> </w:t>
      </w:r>
      <w:r>
        <w:rPr>
          <w:bCs/>
          <w:b/>
        </w:rPr>
        <w:t xml:space="preserve">सुबामन्त्रिते पराङ्गवत्स्वरे</w:t>
      </w:r>
      <w:r>
        <w:t xml:space="preserve"> </w:t>
      </w:r>
      <w:r>
        <w:t xml:space="preserve">(पा. २-१-२) does not apply, and so the vocative’s grave accent (</w:t>
      </w:r>
      <w:r>
        <w:rPr>
          <w:bCs/>
          <w:b/>
        </w:rPr>
        <w:t xml:space="preserve">आमन्त्रितस्य च</w:t>
      </w:r>
      <w:r>
        <w:t xml:space="preserve">, पा. ८-१-१९) is not caused. The same reasoning applies to</w:t>
      </w:r>
      <w:r>
        <w:t xml:space="preserve"> </w:t>
      </w:r>
      <w:r>
        <w:t xml:space="preserve">“</w:t>
      </w:r>
      <w:r>
        <w:t xml:space="preserve">śatakrato.</w:t>
      </w:r>
      <w:r>
        <w:t xml:space="preserve">”</w:t>
      </w:r>
    </w:p>
    <w:p>
      <w:pPr>
        <w:pStyle w:val="BodyText"/>
      </w:pPr>
      <w:r>
        <w:rPr>
          <w:bCs/>
          <w:b/>
        </w:rPr>
        <w:t xml:space="preserve">“</w:t>
      </w:r>
      <w:r>
        <w:rPr>
          <w:bCs/>
          <w:b/>
        </w:rPr>
        <w:t xml:space="preserve">Vardhantu</w:t>
      </w:r>
      <w:r>
        <w:rPr>
          <w:bCs/>
          <w:b/>
        </w:rPr>
        <w:t xml:space="preserve">”</w:t>
      </w:r>
      <w:r>
        <w:t xml:space="preserve"> </w:t>
      </w:r>
      <w:r>
        <w:t xml:space="preserve">—</w:t>
      </w:r>
      <w:r>
        <w:t xml:space="preserve"> </w:t>
      </w:r>
      <w:r>
        <w:t xml:space="preserve">“</w:t>
      </w:r>
      <w:r>
        <w:t xml:space="preserve">vṛdhu vardhane</w:t>
      </w:r>
      <w:r>
        <w:t xml:space="preserve">”</w:t>
      </w:r>
      <w:r>
        <w:t xml:space="preserve"> </w:t>
      </w:r>
      <w:r>
        <w:t xml:space="preserve">(to grow, to increase) is an ātmanepada root; but, with the causal sense (</w:t>
      </w:r>
      <w:r>
        <w:t xml:space="preserve">“</w:t>
      </w:r>
      <w:r>
        <w:t xml:space="preserve">ṇic</w:t>
      </w:r>
      <w:r>
        <w:t xml:space="preserve">”</w:t>
      </w:r>
      <w:r>
        <w:t xml:space="preserve">) included, the parasmaipada ending is used, by the rule that a root with</w:t>
      </w:r>
      <w:r>
        <w:t xml:space="preserve"> </w:t>
      </w:r>
      <w:r>
        <w:t xml:space="preserve">“</w:t>
      </w:r>
      <w:r>
        <w:t xml:space="preserve">ṇic</w:t>
      </w:r>
      <w:r>
        <w:t xml:space="preserve">”</w:t>
      </w:r>
      <w:r>
        <w:t xml:space="preserve"> </w:t>
      </w:r>
      <w:r>
        <w:t xml:space="preserve">included in its sense takes the parasmaipada (</w:t>
      </w:r>
      <w:r>
        <w:rPr>
          <w:bCs/>
          <w:b/>
        </w:rPr>
        <w:t xml:space="preserve">णिचश्च</w:t>
      </w:r>
      <w:r>
        <w:t xml:space="preserve">, पा. १-३-७४ — the print states it as the general principle of</w:t>
      </w:r>
      <w:r>
        <w:t xml:space="preserve"> </w:t>
      </w:r>
      <w:r>
        <w:t xml:space="preserve">“</w:t>
      </w:r>
      <w:r>
        <w:t xml:space="preserve">antarbhāvita-ṇyartha</w:t>
      </w:r>
      <w:r>
        <w:t xml:space="preserve">”</w:t>
      </w:r>
      <w:r>
        <w:t xml:space="preserve">), so the third-person plural imperative:</w:t>
      </w:r>
      <w:r>
        <w:t xml:space="preserve"> </w:t>
      </w:r>
      <w:r>
        <w:t xml:space="preserve">“</w:t>
      </w:r>
      <w:r>
        <w:t xml:space="preserve">vardhantu.</w:t>
      </w:r>
      <w:r>
        <w:t xml:space="preserve">”</w:t>
      </w:r>
      <w:r>
        <w:t xml:space="preserve"> </w:t>
      </w:r>
      <w:r>
        <w:t xml:space="preserve">॥८॥</w:t>
      </w:r>
    </w:p>
    <w:bookmarkEnd w:id="226"/>
    <w:bookmarkStart w:id="227" w:name="Xe706a241edb66a0f866340a7aae40d0a4404eed"/>
    <w:p>
      <w:pPr>
        <w:pStyle w:val="Heading3"/>
      </w:pPr>
      <w:r>
        <w:t xml:space="preserve">Page 191 — Sūkta 5, Ninth Mantra: Saṃhitā, Pada, Sāyaṇa-bhāṣya</w:t>
      </w:r>
    </w:p>
    <w:p>
      <w:pPr>
        <w:pStyle w:val="FirstParagraph"/>
      </w:pPr>
      <w:r>
        <w:rPr>
          <w:iCs/>
          <w:i/>
        </w:rPr>
        <w:t xml:space="preserve">(Page header:</w:t>
      </w:r>
      <w:r>
        <w:rPr>
          <w:iCs/>
          <w:i/>
        </w:rPr>
        <w:t xml:space="preserve"> </w:t>
      </w:r>
      <w:r>
        <w:rPr>
          <w:iCs/>
          <w:i/>
        </w:rPr>
        <w:t xml:space="preserve">“</w:t>
      </w:r>
      <w:r>
        <w:rPr>
          <w:iCs/>
          <w:i/>
        </w:rPr>
        <w:t xml:space="preserve">Aṣṭaka 1, Adhyāya 1, Varga 10 · Ṛgveda-saṃhitā.</w:t>
      </w:r>
      <w:r>
        <w:rPr>
          <w:iCs/>
          <w:i/>
        </w:rPr>
        <w:t xml:space="preserve">”</w:t>
      </w:r>
      <w:r>
        <w:rPr>
          <w:iCs/>
          <w:i/>
        </w:rPr>
        <w:t xml:space="preserve"> </w:t>
      </w:r>
      <w:r>
        <w:rPr>
          <w:iCs/>
          <w:i/>
        </w:rPr>
        <w:t xml:space="preserve">Saṃhitā accents as printed; Pada unaccented (the print accents the Pada too). Sanskrit printed in Kannada script.)</w:t>
      </w:r>
    </w:p>
    <w:bookmarkEnd w:id="227"/>
    <w:bookmarkStart w:id="228" w:name="sūkta-5-the-ninth-mantra"/>
    <w:p>
      <w:pPr>
        <w:pStyle w:val="Heading3"/>
      </w:pPr>
      <w:r>
        <w:t xml:space="preserve">Sūkta 5, The Ninth Mantra</w:t>
      </w:r>
    </w:p>
    <w:p>
      <w:pPr>
        <w:pStyle w:val="FirstParagraph"/>
      </w:pPr>
      <w:r>
        <w:rPr>
          <w:bCs/>
          <w:b/>
        </w:rPr>
        <w:t xml:space="preserve">॥ Saṃhitā-pāṭhaḥ ॥</w:t>
      </w:r>
    </w:p>
    <w:p>
      <w:pPr>
        <w:pStyle w:val="BlockText"/>
      </w:pPr>
      <w:r>
        <w:t xml:space="preserve">अक्षि॑तोतिः सनेदि॒मं वाज॒मिंद्रः॑ सह॒स्रिणं॑ ।</w:t>
      </w:r>
      <w:r>
        <w:t xml:space="preserve"> </w:t>
      </w:r>
      <w:r>
        <w:t xml:space="preserve">यस्मि॒न्विश्वा॑नि॒ पौंस्या॑ ॥९॥</w:t>
      </w:r>
    </w:p>
    <w:p>
      <w:pPr>
        <w:pStyle w:val="BlockText"/>
      </w:pPr>
      <w:r>
        <w:rPr>
          <w:iCs/>
          <w:i/>
        </w:rPr>
        <w:t xml:space="preserve">ákṣitotiḥ sanedimáṃ vājamíṃdraḥ sahasríṇaṃ |</w:t>
      </w:r>
      <w:r>
        <w:t xml:space="preserve"> </w:t>
      </w:r>
      <w:r>
        <w:rPr>
          <w:iCs/>
          <w:i/>
        </w:rPr>
        <w:t xml:space="preserve">yasminvíśvāni páuṃsyā ||9||</w:t>
      </w:r>
    </w:p>
    <w:p>
      <w:pPr>
        <w:pStyle w:val="FirstParagraph"/>
      </w:pPr>
      <w:r>
        <w:rPr>
          <w:bCs/>
          <w:b/>
        </w:rPr>
        <w:t xml:space="preserve">॥ Pada-pāṭhaḥ ॥</w:t>
      </w:r>
    </w:p>
    <w:p>
      <w:pPr>
        <w:pStyle w:val="BlockText"/>
      </w:pPr>
      <w:r>
        <w:t xml:space="preserve">अक्षितऽऊतिः । सनेत् । इमम् । वाजम् । इन्द्रः । सहस्रिणम् ।</w:t>
      </w:r>
      <w:r>
        <w:t xml:space="preserve"> </w:t>
      </w:r>
      <w:r>
        <w:t xml:space="preserve">यस्मिन् । विश्वानि । पौंस्या ॥९॥</w:t>
      </w:r>
    </w:p>
    <w:p>
      <w:pPr>
        <w:pStyle w:val="FirstParagraph"/>
      </w:pPr>
      <w:r>
        <w:rPr>
          <w:iCs/>
          <w:i/>
        </w:rPr>
        <w:t xml:space="preserve">(Reading note: the Pada text prints</w:t>
      </w:r>
      <w:r>
        <w:rPr>
          <w:iCs/>
          <w:i/>
        </w:rPr>
        <w:t xml:space="preserve"> </w:t>
      </w:r>
      <w:r>
        <w:rPr>
          <w:iCs/>
          <w:i/>
        </w:rPr>
        <w:t xml:space="preserve">“</w:t>
      </w:r>
      <w:r>
        <w:rPr>
          <w:iCs/>
          <w:i/>
        </w:rPr>
        <w:t xml:space="preserve">akṣita-ūtiḥ</w:t>
      </w:r>
      <w:r>
        <w:rPr>
          <w:iCs/>
          <w:i/>
        </w:rPr>
        <w:t xml:space="preserve">”</w:t>
      </w:r>
      <w:r>
        <w:rPr>
          <w:iCs/>
          <w:i/>
        </w:rPr>
        <w:t xml:space="preserve"> </w:t>
      </w:r>
      <w:r>
        <w:rPr>
          <w:iCs/>
          <w:i/>
        </w:rPr>
        <w:t xml:space="preserve">as two parts; the Saṃhitā form is the sandhi</w:t>
      </w:r>
      <w:r>
        <w:rPr>
          <w:iCs/>
          <w:i/>
        </w:rPr>
        <w:t xml:space="preserve"> </w:t>
      </w:r>
      <w:r>
        <w:rPr>
          <w:iCs/>
          <w:i/>
        </w:rPr>
        <w:t xml:space="preserve">“</w:t>
      </w:r>
      <w:r>
        <w:rPr>
          <w:iCs/>
          <w:i/>
        </w:rPr>
        <w:t xml:space="preserve">akṣitotiḥ.</w:t>
      </w:r>
      <w:r>
        <w:rPr>
          <w:iCs/>
          <w:i/>
        </w:rPr>
        <w:t xml:space="preserve">”</w:t>
      </w:r>
      <w:r>
        <w:rPr>
          <w:iCs/>
          <w:i/>
        </w:rPr>
        <w:t xml:space="preserve"> </w:t>
      </w:r>
      <w:r>
        <w:rPr>
          <w:iCs/>
          <w:i/>
        </w:rPr>
        <w:t xml:space="preserve">In the Saṃhitā the print runs</w:t>
      </w:r>
      <w:r>
        <w:rPr>
          <w:iCs/>
          <w:i/>
        </w:rPr>
        <w:t xml:space="preserve"> </w:t>
      </w:r>
      <w:r>
        <w:rPr>
          <w:iCs/>
          <w:i/>
        </w:rPr>
        <w:t xml:space="preserve">“</w:t>
      </w:r>
      <w:r>
        <w:rPr>
          <w:iCs/>
          <w:i/>
        </w:rPr>
        <w:t xml:space="preserve">sanedimaṃ</w:t>
      </w:r>
      <w:r>
        <w:rPr>
          <w:iCs/>
          <w:i/>
        </w:rPr>
        <w:t xml:space="preserve">”</w:t>
      </w:r>
      <w:r>
        <w:rPr>
          <w:iCs/>
          <w:i/>
        </w:rPr>
        <w:t xml:space="preserve"> </w:t>
      </w:r>
      <w:r>
        <w:rPr>
          <w:iCs/>
          <w:i/>
        </w:rPr>
        <w:t xml:space="preserve">(for</w:t>
      </w:r>
      <w:r>
        <w:rPr>
          <w:iCs/>
          <w:i/>
        </w:rPr>
        <w:t xml:space="preserve"> </w:t>
      </w:r>
      <w:r>
        <w:rPr>
          <w:iCs/>
          <w:i/>
        </w:rPr>
        <w:t xml:space="preserve">“</w:t>
      </w:r>
      <w:r>
        <w:rPr>
          <w:iCs/>
          <w:i/>
        </w:rPr>
        <w:t xml:space="preserve">sanet imaṃ</w:t>
      </w:r>
      <w:r>
        <w:rPr>
          <w:iCs/>
          <w:i/>
        </w:rPr>
        <w:t xml:space="preserve">”</w:t>
      </w:r>
      <w:r>
        <w:rPr>
          <w:iCs/>
          <w:i/>
        </w:rPr>
        <w:t xml:space="preserve">) together, as I give it.)</w:t>
      </w:r>
    </w:p>
    <w:p>
      <w:pPr>
        <w:pStyle w:val="BodyText"/>
      </w:pPr>
      <w:r>
        <w:rPr>
          <w:bCs/>
          <w:b/>
        </w:rPr>
        <w:t xml:space="preserve">॥ Sāyaṇa-bhāṣyam ॥</w:t>
      </w:r>
      <w:r>
        <w:t xml:space="preserve"> </w:t>
      </w:r>
      <w:r>
        <w:rPr>
          <w:iCs/>
          <w:i/>
        </w:rPr>
        <w:t xml:space="preserve">(sense-portion at the top; read from the enlarged slice)</w:t>
      </w:r>
    </w:p>
    <w:p>
      <w:pPr>
        <w:pStyle w:val="BlockText"/>
      </w:pPr>
      <w:r>
        <w:t xml:space="preserve">इन्द्र इमं वाजं सोमरूपमन्नं सनेत् । संभजेत् । कीदृश इन्द्रः । अक्षितोतिः अहिंसितरक्षणः । कदाचिदपि रक्षां न विमुञ्चतीत्यर्थः । कीदृशं वाजम् । सहस्रिणं प्रकृतौ विकृतिषु च प्रवर्तमानत्वेन सहस्रसंख्यायुक्तम् । यस्मिन्वाजे विश्वानि सर्वाणि पौंस्या पुंस्त्वानि बलानि वर्तन्ते तादृशं वाजमिति पूर्वत्रान्वयः ॥</w:t>
      </w:r>
      <w:r>
        <w:t xml:space="preserve"> </w:t>
      </w:r>
      <w:r>
        <w:rPr>
          <w:iCs/>
          <w:i/>
        </w:rPr>
        <w:t xml:space="preserve">indra imaṃ vājaṃ soma-rūpam annaṃ sanet | sambhajet | kīdṛśa indraḥ | akṣitotiḥ ahiṃsita-rakṣaṇaḥ | kadācid api rakṣāṃ na vimuñcatīty arthaḥ | kīdṛśaṃ vājam | sahasriṇaṃ prakṛtau vikṛtiṣu ca pravartamānatvena sahasra-saṃkhyā-yuktam | yasmin vāje viśvāni sarvāṇi pauṃsyā puṃstvāni balāni vartante tādṛśaṃ vājam iti pūrvatrānvayaḥ ||</w:t>
      </w:r>
      <w:r>
        <w:t xml:space="preserve"> </w:t>
      </w:r>
      <w:r>
        <w:rPr>
          <w:iCs/>
          <w:i/>
        </w:rPr>
        <w:t xml:space="preserve">(Re-read in full from the better scan; the reading stands.)</w:t>
      </w:r>
    </w:p>
    <w:p>
      <w:pPr>
        <w:pStyle w:val="FirstParagraph"/>
      </w:pPr>
      <w:r>
        <w:rPr>
          <w:bCs/>
          <w:b/>
        </w:rPr>
        <w:t xml:space="preserve">Translation:</w:t>
      </w:r>
      <w:r>
        <w:t xml:space="preserve"> </w:t>
      </w:r>
      <w:r>
        <w:t xml:space="preserve">“</w:t>
      </w:r>
      <w:r>
        <w:t xml:space="preserve">‘</w:t>
      </w:r>
      <w:r>
        <w:t xml:space="preserve">Indraḥ imaṃ vājaṃ sanet</w:t>
      </w:r>
      <w:r>
        <w:t xml:space="preserve">’</w:t>
      </w:r>
      <w:r>
        <w:t xml:space="preserve"> </w:t>
      </w:r>
      <w:r>
        <w:t xml:space="preserve">— let Indra share in this</w:t>
      </w:r>
      <w:r>
        <w:t xml:space="preserve"> </w:t>
      </w:r>
      <w:r>
        <w:t xml:space="preserve">‘</w:t>
      </w:r>
      <w:r>
        <w:t xml:space="preserve">vāja</w:t>
      </w:r>
      <w:r>
        <w:t xml:space="preserve">’</w:t>
      </w:r>
      <w:r>
        <w:t xml:space="preserve"> </w:t>
      </w:r>
      <w:r>
        <w:t xml:space="preserve">— this food in the form of Soma — let him partake of it. What kind of Indra?</w:t>
      </w:r>
      <w:r>
        <w:t xml:space="preserve"> </w:t>
      </w:r>
      <w:r>
        <w:t xml:space="preserve">‘</w:t>
      </w:r>
      <w:r>
        <w:t xml:space="preserve">Akṣitotiḥ</w:t>
      </w:r>
      <w:r>
        <w:t xml:space="preserve">’</w:t>
      </w:r>
      <w:r>
        <w:t xml:space="preserve"> </w:t>
      </w:r>
      <w:r>
        <w:t xml:space="preserve">— he whose protection is unharmed (unfailing); that is, he never abandons his protection. What kind of</w:t>
      </w:r>
      <w:r>
        <w:t xml:space="preserve"> </w:t>
      </w:r>
      <w:r>
        <w:t xml:space="preserve">‘</w:t>
      </w:r>
      <w:r>
        <w:t xml:space="preserve">vāja</w:t>
      </w:r>
      <w:r>
        <w:t xml:space="preserve">’</w:t>
      </w:r>
      <w:r>
        <w:t xml:space="preserve">?</w:t>
      </w:r>
      <w:r>
        <w:t xml:space="preserve"> </w:t>
      </w:r>
      <w:r>
        <w:t xml:space="preserve">‘</w:t>
      </w:r>
      <w:r>
        <w:t xml:space="preserve">Sahasriṇam</w:t>
      </w:r>
      <w:r>
        <w:t xml:space="preserve">’</w:t>
      </w:r>
      <w:r>
        <w:t xml:space="preserve"> </w:t>
      </w:r>
      <w:r>
        <w:t xml:space="preserve">— endowed with the number</w:t>
      </w:r>
      <w:r>
        <w:t xml:space="preserve"> </w:t>
      </w:r>
      <w:r>
        <w:t xml:space="preserve">‘</w:t>
      </w:r>
      <w:r>
        <w:t xml:space="preserve">thousand,</w:t>
      </w:r>
      <w:r>
        <w:t xml:space="preserve">’</w:t>
      </w:r>
      <w:r>
        <w:t xml:space="preserve"> </w:t>
      </w:r>
      <w:r>
        <w:t xml:space="preserve">because it is used both in the archetype and in the modified rites;</w:t>
      </w:r>
      <w:r>
        <w:t xml:space="preserve"> </w:t>
      </w:r>
      <w:r>
        <w:t xml:space="preserve">‘</w:t>
      </w:r>
      <w:r>
        <w:t xml:space="preserve">yasmin viśvāni pauṃsyā</w:t>
      </w:r>
      <w:r>
        <w:t xml:space="preserve">’</w:t>
      </w:r>
      <w:r>
        <w:t xml:space="preserve"> </w:t>
      </w:r>
      <w:r>
        <w:t xml:space="preserve">— in which vāja all manly powers (strengths) abide — such a</w:t>
      </w:r>
      <w:r>
        <w:t xml:space="preserve"> </w:t>
      </w:r>
      <w:r>
        <w:t xml:space="preserve">‘</w:t>
      </w:r>
      <w:r>
        <w:t xml:space="preserve">vāja</w:t>
      </w:r>
      <w:r>
        <w:t xml:space="preserve">’</w:t>
      </w:r>
      <w:r>
        <w:t xml:space="preserve"> </w:t>
      </w:r>
      <w:r>
        <w:t xml:space="preserve">(is to be construed with what precedes).</w:t>
      </w:r>
      <w:r>
        <w:t xml:space="preserve">”</w:t>
      </w:r>
    </w:p>
    <w:p>
      <w:pPr>
        <w:pStyle w:val="BodyText"/>
      </w:pPr>
      <w:r>
        <w:rPr>
          <w:bCs/>
          <w:b/>
        </w:rPr>
        <w:t xml:space="preserve">The grammatical discussion of</w:t>
      </w:r>
      <w:r>
        <w:rPr>
          <w:bCs/>
          <w:b/>
        </w:rPr>
        <w:t xml:space="preserve"> </w:t>
      </w:r>
      <w:r>
        <w:rPr>
          <w:bCs/>
          <w:b/>
        </w:rPr>
        <w:t xml:space="preserve">“</w:t>
      </w:r>
      <w:r>
        <w:rPr>
          <w:bCs/>
          <w:b/>
        </w:rPr>
        <w:t xml:space="preserve">akṣitotiḥ</w:t>
      </w:r>
      <w:r>
        <w:rPr>
          <w:bCs/>
          <w:b/>
        </w:rPr>
        <w:t xml:space="preserve">”</w:t>
      </w:r>
      <w:r>
        <w:rPr>
          <w:bCs/>
          <w:b/>
        </w:rPr>
        <w:t xml:space="preserve"> </w:t>
      </w:r>
      <w:r>
        <w:rPr>
          <w:bCs/>
          <w:b/>
        </w:rPr>
        <w:t xml:space="preserve">(characterized; re-read from the better scan):</w:t>
      </w:r>
      <w:r>
        <w:t xml:space="preserve"> </w:t>
      </w:r>
      <w:r>
        <w:t xml:space="preserve">The rest of the page is the bhāṣya’s argument on</w:t>
      </w:r>
      <w:r>
        <w:t xml:space="preserve"> </w:t>
      </w:r>
      <w:r>
        <w:t xml:space="preserve">“</w:t>
      </w:r>
      <w:r>
        <w:t xml:space="preserve">akṣita-ūti.</w:t>
      </w:r>
      <w:r>
        <w:t xml:space="preserve">”</w:t>
      </w:r>
      <w:r>
        <w:t xml:space="preserve"> </w:t>
      </w:r>
      <w:r>
        <w:t xml:space="preserve">Objection:</w:t>
      </w:r>
      <w:r>
        <w:t xml:space="preserve"> </w:t>
      </w:r>
      <w:r>
        <w:t xml:space="preserve">“</w:t>
      </w:r>
      <w:r>
        <w:t xml:space="preserve">kṣi kṣaye</w:t>
      </w:r>
      <w:r>
        <w:t xml:space="preserve">”</w:t>
      </w:r>
      <w:r>
        <w:t xml:space="preserve"> </w:t>
      </w:r>
      <w:r>
        <w:t xml:space="preserve">is intransitive, so its</w:t>
      </w:r>
      <w:r>
        <w:t xml:space="preserve"> </w:t>
      </w:r>
      <w:r>
        <w:t xml:space="preserve">“</w:t>
      </w:r>
      <w:r>
        <w:t xml:space="preserve">kta</w:t>
      </w:r>
      <w:r>
        <w:t xml:space="preserve">”</w:t>
      </w:r>
      <w:r>
        <w:t xml:space="preserve"> </w:t>
      </w:r>
      <w:r>
        <w:t xml:space="preserve">can only be in the sense of location, state or agent; as agent or location, since</w:t>
      </w:r>
      <w:r>
        <w:t xml:space="preserve"> </w:t>
      </w:r>
      <w:r>
        <w:t xml:space="preserve">“</w:t>
      </w:r>
      <w:r>
        <w:t xml:space="preserve">ṇyat</w:t>
      </w:r>
      <w:r>
        <w:t xml:space="preserve">”</w:t>
      </w:r>
      <w:r>
        <w:t xml:space="preserve"> </w:t>
      </w:r>
      <w:r>
        <w:t xml:space="preserve">is not taught in those senses, the rules</w:t>
      </w:r>
      <w:r>
        <w:t xml:space="preserve"> </w:t>
      </w:r>
      <w:r>
        <w:rPr>
          <w:bCs/>
          <w:b/>
        </w:rPr>
        <w:t xml:space="preserve">क्षियः</w:t>
      </w:r>
      <w:r>
        <w:t xml:space="preserve"> </w:t>
      </w:r>
      <w:r>
        <w:t xml:space="preserve">(continued) —</w:t>
      </w:r>
      <w:r>
        <w:t xml:space="preserve"> </w:t>
      </w:r>
      <w:r>
        <w:rPr>
          <w:bCs/>
          <w:b/>
        </w:rPr>
        <w:t xml:space="preserve">निष्ठायामण्यदर्थे</w:t>
      </w:r>
      <w:r>
        <w:t xml:space="preserve"> </w:t>
      </w:r>
      <w:r>
        <w:t xml:space="preserve">(पा. ६-४-५९, ६-४-६०) — would lengthen the vowel, and</w:t>
      </w:r>
      <w:r>
        <w:t xml:space="preserve"> </w:t>
      </w:r>
      <w:r>
        <w:rPr>
          <w:bCs/>
          <w:b/>
        </w:rPr>
        <w:t xml:space="preserve">क्षियो दीर्घात्</w:t>
      </w:r>
      <w:r>
        <w:t xml:space="preserve"> </w:t>
      </w:r>
      <w:r>
        <w:t xml:space="preserve">(पा. ८-२-४६) would turn the niṣṭhā</w:t>
      </w:r>
      <w:r>
        <w:t xml:space="preserve"> </w:t>
      </w:r>
      <w:r>
        <w:t xml:space="preserve">“</w:t>
      </w:r>
      <w:r>
        <w:t xml:space="preserve">t</w:t>
      </w:r>
      <w:r>
        <w:t xml:space="preserve">”</w:t>
      </w:r>
      <w:r>
        <w:t xml:space="preserve"> </w:t>
      </w:r>
      <w:r>
        <w:t xml:space="preserve">into</w:t>
      </w:r>
      <w:r>
        <w:t xml:space="preserve"> </w:t>
      </w:r>
      <w:r>
        <w:t xml:space="preserve">“</w:t>
      </w:r>
      <w:r>
        <w:t xml:space="preserve">n,</w:t>
      </w:r>
      <w:r>
        <w:t xml:space="preserve">”</w:t>
      </w:r>
      <w:r>
        <w:t xml:space="preserve"> </w:t>
      </w:r>
      <w:r>
        <w:t xml:space="preserve">giving</w:t>
      </w:r>
      <w:r>
        <w:t xml:space="preserve"> </w:t>
      </w:r>
      <w:r>
        <w:t xml:space="preserve">“</w:t>
      </w:r>
      <w:r>
        <w:t xml:space="preserve">akṣīṇa,</w:t>
      </w:r>
      <w:r>
        <w:t xml:space="preserve">”</w:t>
      </w:r>
      <w:r>
        <w:t xml:space="preserve"> </w:t>
      </w:r>
      <w:r>
        <w:t xml:space="preserve">not</w:t>
      </w:r>
      <w:r>
        <w:t xml:space="preserve"> </w:t>
      </w:r>
      <w:r>
        <w:t xml:space="preserve">“</w:t>
      </w:r>
      <w:r>
        <w:t xml:space="preserve">akṣita.</w:t>
      </w:r>
      <w:r>
        <w:t xml:space="preserve">”</w:t>
      </w:r>
      <w:r>
        <w:t xml:space="preserve"> </w:t>
      </w:r>
      <w:r>
        <w:t xml:space="preserve">If instead</w:t>
      </w:r>
      <w:r>
        <w:t xml:space="preserve"> </w:t>
      </w:r>
      <w:r>
        <w:t xml:space="preserve">“</w:t>
      </w:r>
      <w:r>
        <w:t xml:space="preserve">kta</w:t>
      </w:r>
      <w:r>
        <w:t xml:space="preserve">”</w:t>
      </w:r>
      <w:r>
        <w:t xml:space="preserve"> </w:t>
      </w:r>
      <w:r>
        <w:t xml:space="preserve">is neuter in the sense of state (</w:t>
      </w:r>
      <w:r>
        <w:rPr>
          <w:bCs/>
          <w:b/>
        </w:rPr>
        <w:t xml:space="preserve">नपुंसके भावे क्तः</w:t>
      </w:r>
      <w:r>
        <w:t xml:space="preserve">, पा. ३-३-११४),</w:t>
      </w:r>
      <w:r>
        <w:t xml:space="preserve"> </w:t>
      </w:r>
      <w:r>
        <w:t xml:space="preserve">“</w:t>
      </w:r>
      <w:r>
        <w:t xml:space="preserve">kṣita</w:t>
      </w:r>
      <w:r>
        <w:t xml:space="preserve">”</w:t>
      </w:r>
      <w:r>
        <w:t xml:space="preserve"> </w:t>
      </w:r>
      <w:r>
        <w:t xml:space="preserve">has the</w:t>
      </w:r>
      <w:r>
        <w:t xml:space="preserve"> </w:t>
      </w:r>
      <w:r>
        <w:t xml:space="preserve">“</w:t>
      </w:r>
      <w:r>
        <w:t xml:space="preserve">ṇyat</w:t>
      </w:r>
      <w:r>
        <w:t xml:space="preserve">”</w:t>
      </w:r>
      <w:r>
        <w:t xml:space="preserve">-sense, so</w:t>
      </w:r>
      <w:r>
        <w:t xml:space="preserve"> </w:t>
      </w:r>
      <w:r>
        <w:t xml:space="preserve">“</w:t>
      </w:r>
      <w:r>
        <w:t xml:space="preserve">aṇyadarthe</w:t>
      </w:r>
      <w:r>
        <w:t xml:space="preserve">”</w:t>
      </w:r>
      <w:r>
        <w:t xml:space="preserve"> </w:t>
      </w:r>
      <w:r>
        <w:t xml:space="preserve">bars the lengthening and the</w:t>
      </w:r>
      <w:r>
        <w:t xml:space="preserve"> </w:t>
      </w:r>
      <w:r>
        <w:t xml:space="preserve">“</w:t>
      </w:r>
      <w:r>
        <w:t xml:space="preserve">n,</w:t>
      </w:r>
      <w:r>
        <w:t xml:space="preserve">”</w:t>
      </w:r>
      <w:r>
        <w:t xml:space="preserve"> </w:t>
      </w:r>
      <w:r>
        <w:t xml:space="preserve">and</w:t>
      </w:r>
      <w:r>
        <w:t xml:space="preserve"> </w:t>
      </w:r>
      <w:r>
        <w:t xml:space="preserve">“</w:t>
      </w:r>
      <w:r>
        <w:t xml:space="preserve">kṣitam</w:t>
      </w:r>
      <w:r>
        <w:t xml:space="preserve">”</w:t>
      </w:r>
      <w:r>
        <w:t xml:space="preserve"> </w:t>
      </w:r>
      <w:r>
        <w:t xml:space="preserve">results; but then the compound cannot be a nañ-tatpuruṣa and must be a bahuvrīhi (</w:t>
      </w:r>
      <w:r>
        <w:t xml:space="preserve">“</w:t>
      </w:r>
      <w:r>
        <w:t xml:space="preserve">na vidyate kṣitam atra</w:t>
      </w:r>
      <w:r>
        <w:t xml:space="preserve">”</w:t>
      </w:r>
      <w:r>
        <w:t xml:space="preserve">), which by</w:t>
      </w:r>
      <w:r>
        <w:t xml:space="preserve"> </w:t>
      </w:r>
      <w:r>
        <w:rPr>
          <w:bCs/>
          <w:b/>
        </w:rPr>
        <w:t xml:space="preserve">नञ्सुभ्याम्</w:t>
      </w:r>
      <w:r>
        <w:t xml:space="preserve"> </w:t>
      </w:r>
      <w:r>
        <w:t xml:space="preserve">(पा. ६-२-१७२) would make the second member end-acute; and with</w:t>
      </w:r>
      <w:r>
        <w:t xml:space="preserve"> </w:t>
      </w:r>
      <w:r>
        <w:t xml:space="preserve">“</w:t>
      </w:r>
      <w:r>
        <w:t xml:space="preserve">ūti</w:t>
      </w:r>
      <w:r>
        <w:t xml:space="preserve">”</w:t>
      </w:r>
      <w:r>
        <w:t xml:space="preserve"> </w:t>
      </w:r>
      <w:r>
        <w:t xml:space="preserve">in a further bahuvrīhi the first member keeps that accent, so the intended first-syllable acute would not result. Answer (</w:t>
      </w:r>
      <w:r>
        <w:t xml:space="preserve">“</w:t>
      </w:r>
      <w:r>
        <w:t xml:space="preserve">satyam</w:t>
      </w:r>
      <w:r>
        <w:t xml:space="preserve">”</w:t>
      </w:r>
      <w:r>
        <w:t xml:space="preserve">): here</w:t>
      </w:r>
      <w:r>
        <w:t xml:space="preserve"> </w:t>
      </w:r>
      <w:r>
        <w:t xml:space="preserve">“</w:t>
      </w:r>
      <w:r>
        <w:t xml:space="preserve">kṣi</w:t>
      </w:r>
      <w:r>
        <w:t xml:space="preserve">”</w:t>
      </w:r>
      <w:r>
        <w:t xml:space="preserve"> </w:t>
      </w:r>
      <w:r>
        <w:t xml:space="preserve">is taken with the causal sense included, so it is transitive and the niṣṭhā is in the object sense …</w:t>
      </w:r>
      <w:r>
        <w:t xml:space="preserve"> </w:t>
      </w:r>
      <w:r>
        <w:rPr>
          <w:iCs/>
          <w:i/>
        </w:rPr>
        <w:t xml:space="preserve">(continued on the next page)</w:t>
      </w:r>
      <w:r>
        <w:t xml:space="preserve">.</w:t>
      </w:r>
    </w:p>
    <w:bookmarkEnd w:id="228"/>
    <w:bookmarkStart w:id="229" w:name="X86979fad778c96286ac76d36be2452979e0e93e"/>
    <w:p>
      <w:pPr>
        <w:pStyle w:val="Heading3"/>
      </w:pPr>
      <w:r>
        <w:t xml:space="preserve">Page 192 — Rik 5.9: grammar concluded (characterized); Pada-meanings; Bhāvārtha (opening)</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5.</w:t>
      </w:r>
      <w:r>
        <w:rPr>
          <w:iCs/>
          <w:i/>
        </w:rPr>
        <w:t xml:space="preserve">”</w:t>
      </w:r>
      <w:r>
        <w:rPr>
          <w:iCs/>
          <w:i/>
        </w:rPr>
        <w:t xml:space="preserve"> </w:t>
      </w:r>
      <w:r>
        <w:rPr>
          <w:iCs/>
          <w:i/>
        </w:rPr>
        <w:t xml:space="preserve">Sanskrit printed in Kannada script; the grammar at the top is a continuation of the argument of p. 191 and the Sanskrit of the Bhāṣya on</w:t>
      </w:r>
      <w:r>
        <w:rPr>
          <w:iCs/>
          <w:i/>
        </w:rPr>
        <w:t xml:space="preserve"> </w:t>
      </w:r>
      <w:r>
        <w:rPr>
          <w:iCs/>
          <w:i/>
        </w:rPr>
        <w:t xml:space="preserve">“</w:t>
      </w:r>
      <w:r>
        <w:rPr>
          <w:iCs/>
          <w:i/>
        </w:rPr>
        <w:t xml:space="preserve">akṣitotiḥ,</w:t>
      </w:r>
      <w:r>
        <w:rPr>
          <w:iCs/>
          <w:i/>
        </w:rPr>
        <w:t xml:space="preserve">”</w:t>
      </w:r>
      <w:r>
        <w:rPr>
          <w:iCs/>
          <w:i/>
        </w:rPr>
        <w:t xml:space="preserve"> </w:t>
      </w:r>
      <w:r>
        <w:rPr>
          <w:iCs/>
          <w:i/>
        </w:rPr>
        <w:t xml:space="preserve">“</w:t>
      </w:r>
      <w:r>
        <w:rPr>
          <w:iCs/>
          <w:i/>
        </w:rPr>
        <w:t xml:space="preserve">sanet,</w:t>
      </w:r>
      <w:r>
        <w:rPr>
          <w:iCs/>
          <w:i/>
        </w:rPr>
        <w:t xml:space="preserve">”</w:t>
      </w:r>
      <w:r>
        <w:rPr>
          <w:iCs/>
          <w:i/>
        </w:rPr>
        <w:t xml:space="preserve"> </w:t>
      </w:r>
      <w:r>
        <w:rPr>
          <w:iCs/>
          <w:i/>
        </w:rPr>
        <w:t xml:space="preserve">“</w:t>
      </w:r>
      <w:r>
        <w:rPr>
          <w:iCs/>
          <w:i/>
        </w:rPr>
        <w:t xml:space="preserve">vājam,</w:t>
      </w:r>
      <w:r>
        <w:rPr>
          <w:iCs/>
          <w:i/>
        </w:rPr>
        <w:t xml:space="preserve">”</w:t>
      </w:r>
      <w:r>
        <w:rPr>
          <w:iCs/>
          <w:i/>
        </w:rPr>
        <w:t xml:space="preserve"> </w:t>
      </w:r>
      <w:r>
        <w:rPr>
          <w:iCs/>
          <w:i/>
        </w:rPr>
        <w:t xml:space="preserve">“</w:t>
      </w:r>
      <w:r>
        <w:rPr>
          <w:iCs/>
          <w:i/>
        </w:rPr>
        <w:t xml:space="preserve">indraḥ,</w:t>
      </w:r>
      <w:r>
        <w:rPr>
          <w:iCs/>
          <w:i/>
        </w:rPr>
        <w:t xml:space="preserve">”</w:t>
      </w:r>
      <w:r>
        <w:rPr>
          <w:iCs/>
          <w:i/>
        </w:rPr>
        <w:t xml:space="preserve"> </w:t>
      </w:r>
      <w:r>
        <w:rPr>
          <w:iCs/>
          <w:i/>
        </w:rPr>
        <w:t xml:space="preserve">“</w:t>
      </w:r>
      <w:r>
        <w:rPr>
          <w:iCs/>
          <w:i/>
        </w:rPr>
        <w:t xml:space="preserve">sahasriṇam,</w:t>
      </w:r>
      <w:r>
        <w:rPr>
          <w:iCs/>
          <w:i/>
        </w:rPr>
        <w:t xml:space="preserve">”</w:t>
      </w:r>
      <w:r>
        <w:rPr>
          <w:iCs/>
          <w:i/>
        </w:rPr>
        <w:t xml:space="preserve"> </w:t>
      </w:r>
      <w:r>
        <w:rPr>
          <w:iCs/>
          <w:i/>
        </w:rPr>
        <w:t xml:space="preserve">“</w:t>
      </w:r>
      <w:r>
        <w:rPr>
          <w:iCs/>
          <w:i/>
        </w:rPr>
        <w:t xml:space="preserve">viśvāni,</w:t>
      </w:r>
      <w:r>
        <w:rPr>
          <w:iCs/>
          <w:i/>
        </w:rPr>
        <w:t xml:space="preserve">”</w:t>
      </w:r>
      <w:r>
        <w:rPr>
          <w:iCs/>
          <w:i/>
        </w:rPr>
        <w:t xml:space="preserve"> </w:t>
      </w:r>
      <w:r>
        <w:rPr>
          <w:iCs/>
          <w:i/>
        </w:rPr>
        <w:t xml:space="preserve">“</w:t>
      </w:r>
      <w:r>
        <w:rPr>
          <w:iCs/>
          <w:i/>
        </w:rPr>
        <w:t xml:space="preserve">pauṃsyā.</w:t>
      </w:r>
      <w:r>
        <w:rPr>
          <w:iCs/>
          <w:i/>
        </w:rPr>
        <w:t xml:space="preserve">”</w:t>
      </w:r>
      <w:r>
        <w:rPr>
          <w:iCs/>
          <w:i/>
        </w:rPr>
        <w:t xml:space="preserve"> </w:t>
      </w:r>
      <w:r>
        <w:rPr>
          <w:iCs/>
          <w:i/>
        </w:rPr>
        <w:t xml:space="preserve">It is</w:t>
      </w:r>
      <w:r>
        <w:rPr>
          <w:iCs/>
          <w:i/>
        </w:rPr>
        <w:t xml:space="preserve"> </w:t>
      </w:r>
      <w:r>
        <w:rPr>
          <w:bCs/>
          <w:b/>
          <w:iCs/>
          <w:i/>
        </w:rPr>
        <w:t xml:space="preserve">characterized in outline</w:t>
      </w:r>
      <w:r>
        <w:rPr>
          <w:iCs/>
          <w:i/>
        </w:rPr>
        <w:t xml:space="preserve">, re-read from the better scan, with sūtras kept.)</w:t>
      </w:r>
    </w:p>
    <w:p>
      <w:pPr>
        <w:pStyle w:val="BodyText"/>
      </w:pPr>
      <w:r>
        <w:rPr>
          <w:iCs/>
          <w:i/>
        </w:rPr>
        <w:t xml:space="preserve">(Concluding the argument on</w:t>
      </w:r>
      <w:r>
        <w:rPr>
          <w:iCs/>
          <w:i/>
        </w:rPr>
        <w:t xml:space="preserve"> </w:t>
      </w:r>
      <w:r>
        <w:rPr>
          <w:iCs/>
          <w:i/>
        </w:rPr>
        <w:t xml:space="preserve">“</w:t>
      </w:r>
      <w:r>
        <w:rPr>
          <w:iCs/>
          <w:i/>
        </w:rPr>
        <w:t xml:space="preserve">akṣitotiḥ</w:t>
      </w:r>
      <w:r>
        <w:rPr>
          <w:iCs/>
          <w:i/>
        </w:rPr>
        <w:t xml:space="preserve">”</w:t>
      </w:r>
      <w:r>
        <w:rPr>
          <w:iCs/>
          <w:i/>
        </w:rPr>
        <w:t xml:space="preserve"> </w:t>
      </w:r>
      <w:r>
        <w:rPr>
          <w:iCs/>
          <w:i/>
        </w:rPr>
        <w:t xml:space="preserve">from p. 191; re-read from the better scan:)</w:t>
      </w:r>
      <w:r>
        <w:t xml:space="preserve"> </w:t>
      </w:r>
      <w:r>
        <w:t xml:space="preserve">…the prohibition</w:t>
      </w:r>
      <w:r>
        <w:t xml:space="preserve"> </w:t>
      </w:r>
      <w:r>
        <w:t xml:space="preserve">“</w:t>
      </w:r>
      <w:r>
        <w:t xml:space="preserve">aṇyadarthe</w:t>
      </w:r>
      <w:r>
        <w:t xml:space="preserve">”</w:t>
      </w:r>
      <w:r>
        <w:t xml:space="preserve"> </w:t>
      </w:r>
      <w:r>
        <w:t xml:space="preserve">then bars both the lengthening and the</w:t>
      </w:r>
      <w:r>
        <w:t xml:space="preserve"> </w:t>
      </w:r>
      <w:r>
        <w:t xml:space="preserve">“</w:t>
      </w:r>
      <w:r>
        <w:t xml:space="preserve">n</w:t>
      </w:r>
      <w:r>
        <w:t xml:space="preserve">”</w:t>
      </w:r>
      <w:r>
        <w:t xml:space="preserve"> </w:t>
      </w:r>
      <w:r>
        <w:t xml:space="preserve">of the niṣṭhā; so in a nañ-tatpuruṣa (</w:t>
      </w:r>
      <w:r>
        <w:t xml:space="preserve">“</w:t>
      </w:r>
      <w:r>
        <w:t xml:space="preserve">na kṣitā akṣitā</w:t>
      </w:r>
      <w:r>
        <w:t xml:space="preserve">”</w:t>
      </w:r>
      <w:r>
        <w:t xml:space="preserve">) the first member, an indeclinable, keeps its accent and</w:t>
      </w:r>
      <w:r>
        <w:t xml:space="preserve"> </w:t>
      </w:r>
      <w:r>
        <w:t xml:space="preserve">“</w:t>
      </w:r>
      <w:r>
        <w:t xml:space="preserve">nañ</w:t>
      </w:r>
      <w:r>
        <w:t xml:space="preserve">”</w:t>
      </w:r>
      <w:r>
        <w:t xml:space="preserve"> </w:t>
      </w:r>
      <w:r>
        <w:t xml:space="preserve">is acute; and when</w:t>
      </w:r>
      <w:r>
        <w:t xml:space="preserve"> </w:t>
      </w:r>
      <w:r>
        <w:t xml:space="preserve">“</w:t>
      </w:r>
      <w:r>
        <w:t xml:space="preserve">ūti</w:t>
      </w:r>
      <w:r>
        <w:t xml:space="preserve">”</w:t>
      </w:r>
      <w:r>
        <w:t xml:space="preserve"> </w:t>
      </w:r>
      <w:r>
        <w:t xml:space="preserve">is added in a bahuvrīhi that same accent remains — so there is no fault. Alternatively, among the roots</w:t>
      </w:r>
      <w:r>
        <w:t xml:space="preserve"> </w:t>
      </w:r>
      <w:r>
        <w:rPr>
          <w:bCs/>
          <w:b/>
        </w:rPr>
        <w:t xml:space="preserve">रि क्षि चिरि जिरि दाश दृ हिंसायाम्</w:t>
      </w:r>
      <w:r>
        <w:t xml:space="preserve"> </w:t>
      </w:r>
      <w:r>
        <w:t xml:space="preserve">(dhātupāṭha 32, 28–33, as printed)</w:t>
      </w:r>
      <w:r>
        <w:t xml:space="preserve"> </w:t>
      </w:r>
      <w:r>
        <w:t xml:space="preserve">“</w:t>
      </w:r>
      <w:r>
        <w:t xml:space="preserve">kṣi</w:t>
      </w:r>
      <w:r>
        <w:t xml:space="preserve">”</w:t>
      </w:r>
      <w:r>
        <w:t xml:space="preserve"> </w:t>
      </w:r>
      <w:r>
        <w:t xml:space="preserve">(the</w:t>
      </w:r>
      <w:r>
        <w:t xml:space="preserve"> </w:t>
      </w:r>
      <w:r>
        <w:t xml:space="preserve">“</w:t>
      </w:r>
      <w:r>
        <w:t xml:space="preserve">kṣiṇoti</w:t>
      </w:r>
      <w:r>
        <w:t xml:space="preserve">”</w:t>
      </w:r>
      <w:r>
        <w:t xml:space="preserve"> </w:t>
      </w:r>
      <w:r>
        <w:t xml:space="preserve">root) means</w:t>
      </w:r>
      <w:r>
        <w:t xml:space="preserve"> </w:t>
      </w:r>
      <w:r>
        <w:t xml:space="preserve">“</w:t>
      </w:r>
      <w:r>
        <w:t xml:space="preserve">to injure,</w:t>
      </w:r>
      <w:r>
        <w:t xml:space="preserve">”</w:t>
      </w:r>
      <w:r>
        <w:t xml:space="preserve"> </w:t>
      </w:r>
      <w:r>
        <w:t xml:space="preserve">and the niṣṭhā is in the object sense;</w:t>
      </w:r>
      <w:r>
        <w:t xml:space="preserve"> </w:t>
      </w:r>
      <w:r>
        <w:t xml:space="preserve">“</w:t>
      </w:r>
      <w:r>
        <w:t xml:space="preserve">akṣitotiḥ</w:t>
      </w:r>
      <w:r>
        <w:t xml:space="preserve">”</w:t>
      </w:r>
      <w:r>
        <w:t xml:space="preserve"> </w:t>
      </w:r>
      <w:r>
        <w:t xml:space="preserve">then means</w:t>
      </w:r>
      <w:r>
        <w:t xml:space="preserve"> </w:t>
      </w:r>
      <w:r>
        <w:t xml:space="preserve">“</w:t>
      </w:r>
      <w:r>
        <w:t xml:space="preserve">one whose protection is not injured,</w:t>
      </w:r>
      <w:r>
        <w:t xml:space="preserve">”</w:t>
      </w:r>
      <w:r>
        <w:t xml:space="preserve"> </w:t>
      </w:r>
      <w:r>
        <w:t xml:space="preserve">and the accent follows in the way stated:</w:t>
      </w:r>
      <w:r>
        <w:t xml:space="preserve"> </w:t>
      </w:r>
      <w:r>
        <w:t xml:space="preserve">“</w:t>
      </w:r>
      <w:r>
        <w:t xml:space="preserve">na doṣaḥ.</w:t>
      </w:r>
      <w:r>
        <w:t xml:space="preserve">”</w:t>
      </w:r>
    </w:p>
    <w:p>
      <w:pPr>
        <w:pStyle w:val="BodyText"/>
      </w:pPr>
      <w:r>
        <w:rPr>
          <w:bCs/>
          <w:b/>
        </w:rPr>
        <w:t xml:space="preserve">“</w:t>
      </w:r>
      <w:r>
        <w:rPr>
          <w:bCs/>
          <w:b/>
        </w:rPr>
        <w:t xml:space="preserve">Sanet</w:t>
      </w:r>
      <w:r>
        <w:rPr>
          <w:bCs/>
          <w:b/>
        </w:rPr>
        <w:t xml:space="preserve">”</w:t>
      </w:r>
      <w:r>
        <w:t xml:space="preserve"> </w:t>
      </w:r>
      <w:r>
        <w:t xml:space="preserve">—</w:t>
      </w:r>
      <w:r>
        <w:t xml:space="preserve"> </w:t>
      </w:r>
      <w:r>
        <w:t xml:space="preserve">“</w:t>
      </w:r>
      <w:r>
        <w:t xml:space="preserve">vana ṣaṇa sambhaktau,</w:t>
      </w:r>
      <w:r>
        <w:t xml:space="preserve">”</w:t>
      </w:r>
      <w:r>
        <w:t xml:space="preserve"> </w:t>
      </w:r>
      <w:r>
        <w:t xml:space="preserve">a bhvādi root.</w:t>
      </w:r>
      <w:r>
        <w:t xml:space="preserve"> </w:t>
      </w:r>
      <w:r>
        <w:rPr>
          <w:bCs/>
          <w:b/>
        </w:rPr>
        <w:t xml:space="preserve">“</w:t>
      </w:r>
      <w:r>
        <w:rPr>
          <w:bCs/>
          <w:b/>
        </w:rPr>
        <w:t xml:space="preserve">Vājam</w:t>
      </w:r>
      <w:r>
        <w:rPr>
          <w:bCs/>
          <w:b/>
        </w:rPr>
        <w:t xml:space="preserve">”</w:t>
      </w:r>
      <w:r>
        <w:t xml:space="preserve"> </w:t>
      </w:r>
      <w:r>
        <w:t xml:space="preserve">— first-syllable acute as a</w:t>
      </w:r>
      <w:r>
        <w:t xml:space="preserve"> </w:t>
      </w:r>
      <w:r>
        <w:t xml:space="preserve">“</w:t>
      </w:r>
      <w:r>
        <w:t xml:space="preserve">vṛṣādi</w:t>
      </w:r>
      <w:r>
        <w:t xml:space="preserve">”</w:t>
      </w:r>
      <w:r>
        <w:t xml:space="preserve"> </w:t>
      </w:r>
      <w:r>
        <w:t xml:space="preserve">word.</w:t>
      </w:r>
      <w:r>
        <w:t xml:space="preserve"> </w:t>
      </w:r>
      <w:r>
        <w:rPr>
          <w:bCs/>
          <w:b/>
        </w:rPr>
        <w:t xml:space="preserve">“</w:t>
      </w:r>
      <w:r>
        <w:rPr>
          <w:bCs/>
          <w:b/>
        </w:rPr>
        <w:t xml:space="preserve">Indraḥ</w:t>
      </w:r>
      <w:r>
        <w:rPr>
          <w:bCs/>
          <w:b/>
        </w:rPr>
        <w:t xml:space="preserve">”</w:t>
      </w:r>
      <w:r>
        <w:t xml:space="preserve"> </w:t>
      </w:r>
      <w:r>
        <w:t xml:space="preserve">— the affix</w:t>
      </w:r>
      <w:r>
        <w:t xml:space="preserve"> </w:t>
      </w:r>
      <w:r>
        <w:t xml:space="preserve">“</w:t>
      </w:r>
      <w:r>
        <w:t xml:space="preserve">ran,</w:t>
      </w:r>
      <w:r>
        <w:t xml:space="preserve">”</w:t>
      </w:r>
      <w:r>
        <w:t xml:space="preserve"> </w:t>
      </w:r>
      <w:r>
        <w:t xml:space="preserve">“</w:t>
      </w:r>
      <w:r>
        <w:t xml:space="preserve">n</w:t>
      </w:r>
      <w:r>
        <w:t xml:space="preserve">”</w:t>
      </w:r>
      <w:r>
        <w:t xml:space="preserve">-marked, so first-syllable acute.</w:t>
      </w:r>
      <w:r>
        <w:t xml:space="preserve"> </w:t>
      </w:r>
      <w:r>
        <w:rPr>
          <w:bCs/>
          <w:b/>
        </w:rPr>
        <w:t xml:space="preserve">“</w:t>
      </w:r>
      <w:r>
        <w:rPr>
          <w:bCs/>
          <w:b/>
        </w:rPr>
        <w:t xml:space="preserve">Sahasriṇam</w:t>
      </w:r>
      <w:r>
        <w:rPr>
          <w:bCs/>
          <w:b/>
        </w:rPr>
        <w:t xml:space="preserve">”</w:t>
      </w:r>
      <w:r>
        <w:t xml:space="preserve"> </w:t>
      </w:r>
      <w:r>
        <w:t xml:space="preserve">—</w:t>
      </w:r>
      <w:r>
        <w:t xml:space="preserve"> </w:t>
      </w:r>
      <w:r>
        <w:t xml:space="preserve">“</w:t>
      </w:r>
      <w:r>
        <w:t xml:space="preserve">sahasram asyāsti</w:t>
      </w:r>
      <w:r>
        <w:t xml:space="preserve">”</w:t>
      </w:r>
      <w:r>
        <w:t xml:space="preserve">:</w:t>
      </w:r>
      <w:r>
        <w:t xml:space="preserve"> </w:t>
      </w:r>
      <w:r>
        <w:rPr>
          <w:bCs/>
          <w:b/>
        </w:rPr>
        <w:t xml:space="preserve">अत इनिठनौ</w:t>
      </w:r>
      <w:r>
        <w:t xml:space="preserve"> </w:t>
      </w:r>
      <w:r>
        <w:t xml:space="preserve">(पा. ५-२-११५) the affix</w:t>
      </w:r>
      <w:r>
        <w:t xml:space="preserve"> </w:t>
      </w:r>
      <w:r>
        <w:t xml:space="preserve">“</w:t>
      </w:r>
      <w:r>
        <w:t xml:space="preserve">ini</w:t>
      </w:r>
      <w:r>
        <w:t xml:space="preserve">”</w:t>
      </w:r>
      <w:r>
        <w:t xml:space="preserve">; the affix accent.</w:t>
      </w:r>
      <w:r>
        <w:t xml:space="preserve"> </w:t>
      </w:r>
      <w:r>
        <w:rPr>
          <w:bCs/>
          <w:b/>
        </w:rPr>
        <w:t xml:space="preserve">“</w:t>
      </w:r>
      <w:r>
        <w:rPr>
          <w:bCs/>
          <w:b/>
        </w:rPr>
        <w:t xml:space="preserve">Viśvāni</w:t>
      </w:r>
      <w:r>
        <w:rPr>
          <w:bCs/>
          <w:b/>
        </w:rPr>
        <w:t xml:space="preserve">”</w:t>
      </w:r>
      <w:r>
        <w:t xml:space="preserve"> </w:t>
      </w:r>
      <w:r>
        <w:t xml:space="preserve">—</w:t>
      </w:r>
      <w:r>
        <w:t xml:space="preserve"> </w:t>
      </w:r>
      <w:r>
        <w:rPr>
          <w:bCs/>
          <w:b/>
        </w:rPr>
        <w:t xml:space="preserve">विशेः क्वन्</w:t>
      </w:r>
      <w:r>
        <w:t xml:space="preserve"> </w:t>
      </w:r>
      <w:r>
        <w:t xml:space="preserve">(</w:t>
      </w:r>
      <w:r>
        <w:rPr>
          <w:iCs/>
          <w:i/>
        </w:rPr>
        <w:t xml:space="preserve">viśeḥ kvan</w:t>
      </w:r>
      <w:r>
        <w:t xml:space="preserve">, उ. सू. १-१५१):</w:t>
      </w:r>
      <w:r>
        <w:t xml:space="preserve"> </w:t>
      </w:r>
      <w:r>
        <w:t xml:space="preserve">“</w:t>
      </w:r>
      <w:r>
        <w:t xml:space="preserve">n</w:t>
      </w:r>
      <w:r>
        <w:t xml:space="preserve">”</w:t>
      </w:r>
      <w:r>
        <w:t xml:space="preserve">-marked, first-syllable acute.</w:t>
      </w:r>
      <w:r>
        <w:t xml:space="preserve"> </w:t>
      </w:r>
      <w:r>
        <w:rPr>
          <w:bCs/>
          <w:b/>
        </w:rPr>
        <w:t xml:space="preserve">“</w:t>
      </w:r>
      <w:r>
        <w:rPr>
          <w:bCs/>
          <w:b/>
        </w:rPr>
        <w:t xml:space="preserve">Pauṃsyā</w:t>
      </w:r>
      <w:r>
        <w:rPr>
          <w:bCs/>
          <w:b/>
        </w:rPr>
        <w:t xml:space="preserve">”</w:t>
      </w:r>
      <w:r>
        <w:t xml:space="preserve"> </w:t>
      </w:r>
      <w:r>
        <w:t xml:space="preserve">—</w:t>
      </w:r>
      <w:r>
        <w:t xml:space="preserve"> </w:t>
      </w:r>
      <w:r>
        <w:t xml:space="preserve">“</w:t>
      </w:r>
      <w:r>
        <w:t xml:space="preserve">puṃsaḥ karmāṇi pauṃsyāni</w:t>
      </w:r>
      <w:r>
        <w:t xml:space="preserve">”</w:t>
      </w:r>
      <w:r>
        <w:t xml:space="preserve">: as</w:t>
      </w:r>
      <w:r>
        <w:t xml:space="preserve"> </w:t>
      </w:r>
      <w:r>
        <w:t xml:space="preserve">“</w:t>
      </w:r>
      <w:r>
        <w:t xml:space="preserve">brāhmaṇādi</w:t>
      </w:r>
      <w:r>
        <w:t xml:space="preserve">”</w:t>
      </w:r>
      <w:r>
        <w:t xml:space="preserve"> </w:t>
      </w:r>
      <w:r>
        <w:t xml:space="preserve">is an ākṛti-gaṇa,</w:t>
      </w:r>
      <w:r>
        <w:t xml:space="preserve"> </w:t>
      </w:r>
      <w:r>
        <w:rPr>
          <w:bCs/>
          <w:b/>
        </w:rPr>
        <w:t xml:space="preserve">गुणवचनब्राह्मणादिभ्यः कर्मणि च</w:t>
      </w:r>
      <w:r>
        <w:t xml:space="preserve"> </w:t>
      </w:r>
      <w:r>
        <w:t xml:space="preserve">(पा. ५-१-१२४) gives</w:t>
      </w:r>
      <w:r>
        <w:t xml:space="preserve"> </w:t>
      </w:r>
      <w:r>
        <w:t xml:space="preserve">“</w:t>
      </w:r>
      <w:r>
        <w:t xml:space="preserve">ṣyañ,</w:t>
      </w:r>
      <w:r>
        <w:t xml:space="preserve">”</w:t>
      </w:r>
      <w:r>
        <w:t xml:space="preserve"> </w:t>
      </w:r>
      <w:r>
        <w:t xml:space="preserve">“</w:t>
      </w:r>
      <w:r>
        <w:t xml:space="preserve">ñ</w:t>
      </w:r>
      <w:r>
        <w:t xml:space="preserve">”</w:t>
      </w:r>
      <w:r>
        <w:t xml:space="preserve">-marked, so first-syllable acute; for the nominative plural ending,</w:t>
      </w:r>
      <w:r>
        <w:t xml:space="preserve"> </w:t>
      </w:r>
      <w:r>
        <w:t xml:space="preserve">“</w:t>
      </w:r>
      <w:r>
        <w:t xml:space="preserve">ḍā</w:t>
      </w:r>
      <w:r>
        <w:t xml:space="preserve">”</w:t>
      </w:r>
      <w:r>
        <w:t xml:space="preserve"> </w:t>
      </w:r>
      <w:r>
        <w:t xml:space="preserve">is substituted by</w:t>
      </w:r>
      <w:r>
        <w:t xml:space="preserve"> </w:t>
      </w:r>
      <w:r>
        <w:rPr>
          <w:bCs/>
          <w:b/>
        </w:rPr>
        <w:t xml:space="preserve">सुपां सुलुक्…</w:t>
      </w:r>
      <w:r>
        <w:t xml:space="preserve"> </w:t>
      </w:r>
      <w:r>
        <w:t xml:space="preserve">and the like. Objection: by</w:t>
      </w:r>
      <w:r>
        <w:t xml:space="preserve"> </w:t>
      </w:r>
      <w:r>
        <w:rPr>
          <w:bCs/>
          <w:b/>
        </w:rPr>
        <w:t xml:space="preserve">स्त्रीपुंसाभ्यां नञ्स्नञौ भवनात्</w:t>
      </w:r>
      <w:r>
        <w:t xml:space="preserve"> </w:t>
      </w:r>
      <w:r>
        <w:t xml:space="preserve">(पा. ४-१-८७) the affixes</w:t>
      </w:r>
      <w:r>
        <w:t xml:space="preserve"> </w:t>
      </w:r>
      <w:r>
        <w:t xml:space="preserve">“</w:t>
      </w:r>
      <w:r>
        <w:t xml:space="preserve">nañ/snañ</w:t>
      </w:r>
      <w:r>
        <w:t xml:space="preserve">”</w:t>
      </w:r>
      <w:r>
        <w:t xml:space="preserve"> </w:t>
      </w:r>
      <w:r>
        <w:t xml:space="preserve">are taught for all the senses (descendant and the rest) up to</w:t>
      </w:r>
      <w:r>
        <w:t xml:space="preserve"> </w:t>
      </w:r>
      <w:r>
        <w:rPr>
          <w:bCs/>
          <w:b/>
        </w:rPr>
        <w:t xml:space="preserve">धान्यानां भवने क्षेत्रे खञ्</w:t>
      </w:r>
      <w:r>
        <w:t xml:space="preserve"> </w:t>
      </w:r>
      <w:r>
        <w:t xml:space="preserve">(पा. ५-२-१), as in</w:t>
      </w:r>
      <w:r>
        <w:t xml:space="preserve"> </w:t>
      </w:r>
      <w:r>
        <w:t xml:space="preserve">“</w:t>
      </w:r>
      <w:r>
        <w:t xml:space="preserve">pauṃsna</w:t>
      </w:r>
      <w:r>
        <w:t xml:space="preserve">”</w:t>
      </w:r>
      <w:r>
        <w:t xml:space="preserve"> </w:t>
      </w:r>
      <w:r>
        <w:t xml:space="preserve">(a man’s descendant,</w:t>
      </w:r>
      <w:r>
        <w:t xml:space="preserve"> </w:t>
      </w:r>
      <w:r>
        <w:t xml:space="preserve">“</w:t>
      </w:r>
      <w:r>
        <w:t xml:space="preserve">come from a man</w:t>
      </w:r>
      <w:r>
        <w:t xml:space="preserve">”</w:t>
      </w:r>
      <w:r>
        <w:t xml:space="preserve">); so in the sense</w:t>
      </w:r>
      <w:r>
        <w:t xml:space="preserve"> </w:t>
      </w:r>
      <w:r>
        <w:t xml:space="preserve">“</w:t>
      </w:r>
      <w:r>
        <w:t xml:space="preserve">a man’s state or deed</w:t>
      </w:r>
      <w:r>
        <w:t xml:space="preserve">”</w:t>
      </w:r>
      <w:r>
        <w:t xml:space="preserve"> </w:t>
      </w:r>
      <w:r>
        <w:t xml:space="preserve">too they should set aside</w:t>
      </w:r>
      <w:r>
        <w:t xml:space="preserve"> </w:t>
      </w:r>
      <w:r>
        <w:t xml:space="preserve">“</w:t>
      </w:r>
      <w:r>
        <w:t xml:space="preserve">ṣyañ</w:t>
      </w:r>
      <w:r>
        <w:t xml:space="preserve">”</w:t>
      </w:r>
      <w:r>
        <w:t xml:space="preserve"> </w:t>
      </w:r>
      <w:r>
        <w:t xml:space="preserve">and give</w:t>
      </w:r>
      <w:r>
        <w:t xml:space="preserve"> </w:t>
      </w:r>
      <w:r>
        <w:t xml:space="preserve">“</w:t>
      </w:r>
      <w:r>
        <w:t xml:space="preserve">pauṃsnāni</w:t>
      </w:r>
      <w:r>
        <w:t xml:space="preserve">”</w:t>
      </w:r>
      <w:r>
        <w:t xml:space="preserve"> </w:t>
      </w:r>
      <w:r>
        <w:t xml:space="preserve">— how then</w:t>
      </w:r>
      <w:r>
        <w:t xml:space="preserve"> </w:t>
      </w:r>
      <w:r>
        <w:t xml:space="preserve">“</w:t>
      </w:r>
      <w:r>
        <w:t xml:space="preserve">pauṃsyāni</w:t>
      </w:r>
      <w:r>
        <w:t xml:space="preserve">”</w:t>
      </w:r>
      <w:r>
        <w:t xml:space="preserve">? Answer: in</w:t>
      </w:r>
      <w:r>
        <w:t xml:space="preserve"> </w:t>
      </w:r>
      <w:r>
        <w:rPr>
          <w:bCs/>
          <w:b/>
        </w:rPr>
        <w:t xml:space="preserve">आ च त्वात्</w:t>
      </w:r>
      <w:r>
        <w:t xml:space="preserve"> </w:t>
      </w:r>
      <w:r>
        <w:t xml:space="preserve">(पा. ५-१-१२०) the limit</w:t>
      </w:r>
      <w:r>
        <w:t xml:space="preserve"> </w:t>
      </w:r>
      <w:r>
        <w:t xml:space="preserve">“</w:t>
      </w:r>
      <w:r>
        <w:t xml:space="preserve">tvāt</w:t>
      </w:r>
      <w:r>
        <w:t xml:space="preserve">”</w:t>
      </w:r>
      <w:r>
        <w:t xml:space="preserve"> </w:t>
      </w:r>
      <w:r>
        <w:t xml:space="preserve">denotes that up to</w:t>
      </w:r>
      <w:r>
        <w:t xml:space="preserve"> </w:t>
      </w:r>
      <w:r>
        <w:rPr>
          <w:bCs/>
          <w:b/>
        </w:rPr>
        <w:t xml:space="preserve">प्राक् त्वतलः</w:t>
      </w:r>
      <w:r>
        <w:t xml:space="preserve"> </w:t>
      </w:r>
      <w:r>
        <w:t xml:space="preserve">(पा. ५-१-१३६) the affixes</w:t>
      </w:r>
      <w:r>
        <w:t xml:space="preserve"> </w:t>
      </w:r>
      <w:r>
        <w:t xml:space="preserve">“</w:t>
      </w:r>
      <w:r>
        <w:t xml:space="preserve">imanic</w:t>
      </w:r>
      <w:r>
        <w:t xml:space="preserve">”</w:t>
      </w:r>
      <w:r>
        <w:t xml:space="preserve"> </w:t>
      </w:r>
      <w:r>
        <w:t xml:space="preserve">and the rest co-occur with</w:t>
      </w:r>
      <w:r>
        <w:t xml:space="preserve"> </w:t>
      </w:r>
      <w:r>
        <w:t xml:space="preserve">“</w:t>
      </w:r>
      <w:r>
        <w:t xml:space="preserve">tva/tal</w:t>
      </w:r>
      <w:r>
        <w:t xml:space="preserve">”</w:t>
      </w:r>
      <w:r>
        <w:t xml:space="preserve">; and by the</w:t>
      </w:r>
      <w:r>
        <w:t xml:space="preserve"> </w:t>
      </w:r>
      <w:r>
        <w:t xml:space="preserve">“</w:t>
      </w:r>
      <w:r>
        <w:t xml:space="preserve">ca</w:t>
      </w:r>
      <w:r>
        <w:t xml:space="preserve">”</w:t>
      </w:r>
      <w:r>
        <w:t xml:space="preserve"> </w:t>
      </w:r>
      <w:r>
        <w:t xml:space="preserve">of that sūtra,</w:t>
      </w:r>
      <w:r>
        <w:t xml:space="preserve"> </w:t>
      </w:r>
      <w:r>
        <w:t xml:space="preserve">“</w:t>
      </w:r>
      <w:r>
        <w:t xml:space="preserve">nañ/snañ</w:t>
      </w:r>
      <w:r>
        <w:t xml:space="preserve">”</w:t>
      </w:r>
      <w:r>
        <w:t xml:space="preserve"> </w:t>
      </w:r>
      <w:r>
        <w:t xml:space="preserve">likewise co-occur with</w:t>
      </w:r>
      <w:r>
        <w:t xml:space="preserve"> </w:t>
      </w:r>
      <w:r>
        <w:t xml:space="preserve">“</w:t>
      </w:r>
      <w:r>
        <w:t xml:space="preserve">ṣyañ</w:t>
      </w:r>
      <w:r>
        <w:t xml:space="preserve">”</w:t>
      </w:r>
      <w:r>
        <w:t xml:space="preserve"> </w:t>
      </w:r>
      <w:r>
        <w:t xml:space="preserve">and the rest — there is no relation of rule and exception. ॥९॥</w:t>
      </w:r>
    </w:p>
    <w:p>
      <w:pPr>
        <w:pStyle w:val="BodyText"/>
      </w:pPr>
      <w:r>
        <w:rPr>
          <w:bCs/>
          <w:b/>
        </w:rPr>
        <w:t xml:space="preserve">॥ Prati-padārthaḥ ॥</w:t>
      </w:r>
      <w:r>
        <w:t xml:space="preserve"> </w:t>
      </w:r>
      <w:r>
        <w:rPr>
          <w:iCs/>
          <w:i/>
        </w:rPr>
        <w:t xml:space="preserve">(Kannada, translated)</w:t>
      </w:r>
    </w:p>
    <w:p>
      <w:pPr>
        <w:pStyle w:val="BodyText"/>
      </w:pPr>
      <w:r>
        <w:rPr>
          <w:bCs/>
          <w:b/>
        </w:rPr>
        <w:t xml:space="preserve">अक्षितोतिः (akṣitotiḥ)</w:t>
      </w:r>
      <w:r>
        <w:t xml:space="preserve"> </w:t>
      </w:r>
      <w:r>
        <w:t xml:space="preserve">— he who always gives protection that does not fail, or he who is the protector of those who do not injure (others) |</w:t>
      </w:r>
      <w:r>
        <w:t xml:space="preserve"> </w:t>
      </w:r>
      <w:r>
        <w:rPr>
          <w:bCs/>
          <w:b/>
        </w:rPr>
        <w:t xml:space="preserve">इन्द्रः (indraḥ)</w:t>
      </w:r>
      <w:r>
        <w:t xml:space="preserve"> </w:t>
      </w:r>
      <w:r>
        <w:t xml:space="preserve">— Indra |</w:t>
      </w:r>
      <w:r>
        <w:t xml:space="preserve"> </w:t>
      </w:r>
      <w:r>
        <w:rPr>
          <w:bCs/>
          <w:b/>
        </w:rPr>
        <w:t xml:space="preserve">यस्मिन् (yasmin)</w:t>
      </w:r>
      <w:r>
        <w:t xml:space="preserve"> </w:t>
      </w:r>
      <w:r>
        <w:t xml:space="preserve">— in which (the food in the form of oblation, or in the form of Soma) |</w:t>
      </w:r>
      <w:r>
        <w:t xml:space="preserve"> </w:t>
      </w:r>
      <w:r>
        <w:rPr>
          <w:bCs/>
          <w:b/>
        </w:rPr>
        <w:t xml:space="preserve">विश्वानि (viśvāni)</w:t>
      </w:r>
      <w:r>
        <w:t xml:space="preserve"> </w:t>
      </w:r>
      <w:r>
        <w:t xml:space="preserve">— all |</w:t>
      </w:r>
      <w:r>
        <w:t xml:space="preserve"> </w:t>
      </w:r>
      <w:r>
        <w:rPr>
          <w:bCs/>
          <w:b/>
        </w:rPr>
        <w:t xml:space="preserve">पौंस्या (pauṃsyā)</w:t>
      </w:r>
      <w:r>
        <w:t xml:space="preserve"> </w:t>
      </w:r>
      <w:r>
        <w:t xml:space="preserve">— the strengths — manliness |</w:t>
      </w:r>
      <w:r>
        <w:t xml:space="preserve"> </w:t>
      </w:r>
      <w:r>
        <w:rPr>
          <w:bCs/>
          <w:b/>
        </w:rPr>
        <w:t xml:space="preserve">सहस्रिणम् (sahasriṇam)</w:t>
      </w:r>
      <w:r>
        <w:t xml:space="preserve"> </w:t>
      </w:r>
      <w:r>
        <w:t xml:space="preserve">— used in thousands of archetypal and modified sacrifices |</w:t>
      </w:r>
      <w:r>
        <w:t xml:space="preserve"> </w:t>
      </w:r>
      <w:r>
        <w:rPr>
          <w:bCs/>
          <w:b/>
        </w:rPr>
        <w:t xml:space="preserve">इमं वाजम् (imaṃ vājam)</w:t>
      </w:r>
      <w:r>
        <w:t xml:space="preserve"> </w:t>
      </w:r>
      <w:r>
        <w:t xml:space="preserve">— this food (in the form of Soma, or in the form of the oblation) |</w:t>
      </w:r>
      <w:r>
        <w:t xml:space="preserve"> </w:t>
      </w:r>
      <w:r>
        <w:rPr>
          <w:bCs/>
          <w:b/>
        </w:rPr>
        <w:t xml:space="preserve">सनेत् (sanet)</w:t>
      </w:r>
      <w:r>
        <w:t xml:space="preserve"> </w:t>
      </w:r>
      <w:r>
        <w:t xml:space="preserve">— let him accept.</w:t>
      </w:r>
    </w:p>
    <w:p>
      <w:pPr>
        <w:pStyle w:val="BodyText"/>
      </w:pPr>
      <w:r>
        <w:rPr>
          <w:bCs/>
          <w:b/>
        </w:rPr>
        <w:t xml:space="preserve">॥ Bhāvārthaḥ ॥</w:t>
      </w:r>
      <w:r>
        <w:t xml:space="preserve"> </w:t>
      </w:r>
      <w:r>
        <w:rPr>
          <w:iCs/>
          <w:i/>
        </w:rPr>
        <w:t xml:space="preserve">(Kannada, translated)</w:t>
      </w:r>
    </w:p>
    <w:p>
      <w:pPr>
        <w:pStyle w:val="BodyText"/>
      </w:pPr>
      <w:r>
        <w:t xml:space="preserve">Indra, whose protection never fails — that is, who always protects those who praise him: there is nothing to doubt in this. Let Indra, then, accept the food, in the forms of Soma, oblation and the like, which we use in sacrifices — offering strength and power — that is, let Indra accept the food that we offer in sacrifices and the like …</w:t>
      </w:r>
    </w:p>
    <w:bookmarkEnd w:id="229"/>
    <w:bookmarkStart w:id="230" w:name="X3421c2b01f1134bfc6f7f922042a9e2fe148ce7"/>
    <w:p>
      <w:pPr>
        <w:pStyle w:val="Heading3"/>
      </w:pPr>
      <w:r>
        <w:t xml:space="preserve">Page 193 — Rik 5.9: English rendering; Special topics (Skandasvāmī’s different reading)</w:t>
      </w:r>
    </w:p>
    <w:p>
      <w:pPr>
        <w:pStyle w:val="FirstParagraph"/>
      </w:pPr>
      <w:r>
        <w:rPr>
          <w:iCs/>
          <w:i/>
        </w:rPr>
        <w:t xml:space="preserve">(Page header:</w:t>
      </w:r>
      <w:r>
        <w:rPr>
          <w:iCs/>
          <w:i/>
        </w:rPr>
        <w:t xml:space="preserve"> </w:t>
      </w:r>
      <w:r>
        <w:rPr>
          <w:iCs/>
          <w:i/>
        </w:rPr>
        <w:t xml:space="preserve">“</w:t>
      </w:r>
      <w:r>
        <w:rPr>
          <w:iCs/>
          <w:i/>
        </w:rPr>
        <w:t xml:space="preserve">Aṣṭaka 1, Adhyāya 1, Varga 10 · Ṛgveda-saṃhitā.</w:t>
      </w:r>
      <w:r>
        <w:rPr>
          <w:iCs/>
          <w:i/>
        </w:rPr>
        <w:t xml:space="preserve">”</w:t>
      </w:r>
      <w:r>
        <w:rPr>
          <w:iCs/>
          <w:i/>
        </w:rPr>
        <w:t xml:space="preserve"> </w:t>
      </w:r>
      <w:r>
        <w:rPr>
          <w:iCs/>
          <w:i/>
        </w:rPr>
        <w:t xml:space="preserve">English as printed. The Sanskrit of Skandasvāmī’s commentary is printed in Kannada script and read from an enlarged slice; I give it in three layers.)</w:t>
      </w:r>
    </w:p>
    <w:p>
      <w:pPr>
        <w:pStyle w:val="BodyText"/>
      </w:pPr>
      <w:r>
        <w:rPr>
          <w:bCs/>
          <w:b/>
        </w:rPr>
        <w:t xml:space="preserve">English Translation</w:t>
      </w:r>
      <w:r>
        <w:t xml:space="preserve"> </w:t>
      </w:r>
      <w:r>
        <w:rPr>
          <w:iCs/>
          <w:i/>
        </w:rPr>
        <w:t xml:space="preserve">(printed in English in the source itself):</w:t>
      </w:r>
    </w:p>
    <w:p>
      <w:pPr>
        <w:pStyle w:val="BodyText"/>
      </w:pPr>
      <w:r>
        <w:t xml:space="preserve">“</w:t>
      </w:r>
      <w:r>
        <w:t xml:space="preserve">May Indra who grants unperishable aid accept this food (in the form of soma) in which exist all manly strength and which we offer in thousands of sacrifices.</w:t>
      </w:r>
      <w:r>
        <w:t xml:space="preserve">”</w:t>
      </w:r>
    </w:p>
    <w:p>
      <w:pPr>
        <w:pStyle w:val="BodyText"/>
      </w:pPr>
      <w:r>
        <w:rPr>
          <w:bCs/>
          <w:b/>
        </w:rPr>
        <w:t xml:space="preserve">॥ Viśeṣa-viṣayagaḷu (Special Topics) ॥</w:t>
      </w:r>
    </w:p>
    <w:p>
      <w:pPr>
        <w:pStyle w:val="BodyText"/>
      </w:pPr>
      <w:r>
        <w:t xml:space="preserve">The intention of this Ṛk is not plain. The Bhāṣyakāra has taken pains to give a sense that is clear; but</w:t>
      </w:r>
      <w:r>
        <w:t xml:space="preserve"> </w:t>
      </w:r>
      <w:r>
        <w:rPr>
          <w:bCs/>
          <w:b/>
        </w:rPr>
        <w:t xml:space="preserve">Skandasvāmī</w:t>
      </w:r>
      <w:r>
        <w:t xml:space="preserve"> </w:t>
      </w:r>
      <w:r>
        <w:t xml:space="preserve">and</w:t>
      </w:r>
      <w:r>
        <w:t xml:space="preserve"> </w:t>
      </w:r>
      <w:r>
        <w:rPr>
          <w:bCs/>
          <w:b/>
        </w:rPr>
        <w:t xml:space="preserve">Veṅkaṭamādhava</w:t>
      </w:r>
      <w:r>
        <w:t xml:space="preserve"> </w:t>
      </w:r>
      <w:r>
        <w:t xml:space="preserve">have explained this Ṛk in another way. We give their commentary and the Anuvāda here.</w:t>
      </w:r>
    </w:p>
    <w:p>
      <w:pPr>
        <w:pStyle w:val="BodyText"/>
      </w:pPr>
      <w:r>
        <w:rPr>
          <w:bCs/>
          <w:b/>
        </w:rPr>
        <w:t xml:space="preserve">Skandasvāmī’s commentary:</w:t>
      </w:r>
    </w:p>
    <w:p>
      <w:pPr>
        <w:pStyle w:val="BlockText"/>
      </w:pPr>
      <w:r>
        <w:t xml:space="preserve">अक्षिता अन्येनाहिंसिता अक्षीणा वा ऊतिः पालनं यस्य सोऽक्षितोतिः । सनेत् संभजतु । इमं वाजं संग्रामं इन्द्रः सहस्रिणं योद्ध्वृसहस्रयुक्तम् । अस्मिन् संग्रामेऽस्मद्वृक्षणाय सन्निहितो भवित्वित्यर्थः । यस्मिन् संग्रामे किमुच्यते । (यस्मिन्) विश्वानि सर्वाणि । पौंस्या । बलानामैतत् । हस्त्यश्वरथपदात्यलक्षणानि बलानि । अथवा वाज इत्यन्ननाम । इदमस्मदीयं सोमलक्षणमन्नं संभजेत् पिबेत् इन्द्रः स्तुतिसहस्रयुक्तं यस्मिन् बलानि सर्वाणि सामर्थ्यलक्षणानि । वाजः पीतः सर्वसामर्थ्यानि जनयतीत्यर्थः । अथवा यस्मिन् विश्वानि पौंस्येति इन्द्रविशेषणम् । यस्मिन्निन्द्रे सर्वाणि बलानि यः सर्वैर्बलैर्बलवान् यो महाबल इत्यर्थः ॥</w:t>
      </w:r>
      <w:r>
        <w:t xml:space="preserve"> </w:t>
      </w:r>
      <w:r>
        <w:rPr>
          <w:iCs/>
          <w:i/>
        </w:rPr>
        <w:t xml:space="preserve">akṣitā anyenāhiṃsitā akṣīṇā vā ūtiḥ pālanaṃ yasya so ’kṣitotiḥ | sanet sambhajatu | imaṃ vājaṃ saṃgrāmam indraḥ sahasriṇaṃ yoddhṛ-sahasra-yuktam | asmin saṃgrāme ’smad-rakṣaṇāya sannihito bhavitv ity arthaḥ | yasmin saṃgrāme kim ucyate | (yasmin) viśvāni sarvāṇi | pauṃsyā | balānām aitat | hasty-aśva-ratha-padāti-lakṣaṇāni balāni | athavā vāja ity anna-nāma | idam asmadīyaṃ soma-lakṣaṇam annaṃ sambhajet pibet indraḥ stuti-sahasra-yuktaṃ yasmin balāni sarvāṇi sāmarthya-lakṣaṇāni | vājaḥ pītaḥ sarva-sāmarthyāni janayatīty arthaḥ | athavā yasmin viśvāni pauṃsyeti indra-viśeṣaṇam | yasminn indre sarvāṇi balāni yaḥ sarvair balair balavān yo mahābala ity arthaḥ ||</w:t>
      </w:r>
      <w:r>
        <w:t xml:space="preserve"> </w:t>
      </w:r>
      <w:r>
        <w:rPr>
          <w:iCs/>
          <w:i/>
        </w:rPr>
        <w:t xml:space="preserve">(Reading notes:</w:t>
      </w:r>
      <w:r>
        <w:rPr>
          <w:iCs/>
          <w:i/>
        </w:rPr>
        <w:t xml:space="preserve"> </w:t>
      </w:r>
      <w:r>
        <w:rPr>
          <w:iCs/>
          <w:i/>
        </w:rPr>
        <w:t xml:space="preserve">“</w:t>
      </w:r>
      <w:r>
        <w:rPr>
          <w:iCs/>
          <w:i/>
        </w:rPr>
        <w:t xml:space="preserve">sambhajatu</w:t>
      </w:r>
      <w:r>
        <w:rPr>
          <w:iCs/>
          <w:i/>
        </w:rPr>
        <w:t xml:space="preserve">”</w:t>
      </w:r>
      <w:r>
        <w:rPr>
          <w:iCs/>
          <w:i/>
        </w:rPr>
        <w:t xml:space="preserve"> </w:t>
      </w:r>
      <w:r>
        <w:rPr>
          <w:iCs/>
          <w:i/>
        </w:rPr>
        <w:t xml:space="preserve">for</w:t>
      </w:r>
      <w:r>
        <w:rPr>
          <w:iCs/>
          <w:i/>
        </w:rPr>
        <w:t xml:space="preserve"> </w:t>
      </w:r>
      <w:r>
        <w:rPr>
          <w:iCs/>
          <w:i/>
        </w:rPr>
        <w:t xml:space="preserve">“</w:t>
      </w:r>
      <w:r>
        <w:rPr>
          <w:iCs/>
          <w:i/>
        </w:rPr>
        <w:t xml:space="preserve">sambhajet</w:t>
      </w:r>
      <w:r>
        <w:rPr>
          <w:iCs/>
          <w:i/>
        </w:rPr>
        <w:t xml:space="preserve">”</w:t>
      </w:r>
      <w:r>
        <w:rPr>
          <w:iCs/>
          <w:i/>
        </w:rPr>
        <w:t xml:space="preserve"> </w:t>
      </w:r>
      <w:r>
        <w:rPr>
          <w:iCs/>
          <w:i/>
        </w:rPr>
        <w:t xml:space="preserve">at the start of the second clause, and the abbreviated</w:t>
      </w:r>
      <w:r>
        <w:rPr>
          <w:iCs/>
          <w:i/>
        </w:rPr>
        <w:t xml:space="preserve"> </w:t>
      </w:r>
      <w:r>
        <w:rPr>
          <w:iCs/>
          <w:i/>
        </w:rPr>
        <w:t xml:space="preserve">“</w:t>
      </w:r>
      <w:r>
        <w:rPr>
          <w:iCs/>
          <w:i/>
        </w:rPr>
        <w:t xml:space="preserve">pauṃsyā … aitat</w:t>
      </w:r>
      <w:r>
        <w:rPr>
          <w:iCs/>
          <w:i/>
        </w:rPr>
        <w:t xml:space="preserve">”</w:t>
      </w:r>
      <w:r>
        <w:rPr>
          <w:iCs/>
          <w:i/>
        </w:rPr>
        <w:t xml:space="preserve"> </w:t>
      </w:r>
      <w:r>
        <w:rPr>
          <w:iCs/>
          <w:i/>
        </w:rPr>
        <w:t xml:space="preserve">are as printed; I give the passage as read, and the occasional unusual form is the print’s.)</w:t>
      </w:r>
    </w:p>
    <w:p>
      <w:pPr>
        <w:pStyle w:val="FirstParagraph"/>
      </w:pPr>
      <w:r>
        <w:rPr>
          <w:bCs/>
          <w:b/>
        </w:rPr>
        <w:t xml:space="preserve">Translation:</w:t>
      </w:r>
      <w:r>
        <w:t xml:space="preserve"> </w:t>
      </w:r>
      <w:r>
        <w:t xml:space="preserve">“</w:t>
      </w:r>
      <w:r>
        <w:t xml:space="preserve">‘</w:t>
      </w:r>
      <w:r>
        <w:t xml:space="preserve">Akṣitotiḥ</w:t>
      </w:r>
      <w:r>
        <w:t xml:space="preserve">’</w:t>
      </w:r>
      <w:r>
        <w:t xml:space="preserve"> </w:t>
      </w:r>
      <w:r>
        <w:t xml:space="preserve">— he whose</w:t>
      </w:r>
      <w:r>
        <w:t xml:space="preserve"> </w:t>
      </w:r>
      <w:r>
        <w:t xml:space="preserve">‘</w:t>
      </w:r>
      <w:r>
        <w:t xml:space="preserve">ūti</w:t>
      </w:r>
      <w:r>
        <w:t xml:space="preserve">’</w:t>
      </w:r>
      <w:r>
        <w:t xml:space="preserve"> </w:t>
      </w:r>
      <w:r>
        <w:t xml:space="preserve">(protection, guarding) is</w:t>
      </w:r>
      <w:r>
        <w:t xml:space="preserve"> </w:t>
      </w:r>
      <w:r>
        <w:t xml:space="preserve">‘</w:t>
      </w:r>
      <w:r>
        <w:t xml:space="preserve">akṣitā</w:t>
      </w:r>
      <w:r>
        <w:t xml:space="preserve">’</w:t>
      </w:r>
      <w:r>
        <w:t xml:space="preserve"> </w:t>
      </w:r>
      <w:r>
        <w:t xml:space="preserve">— unharmed by any other, or not diminished —</w:t>
      </w:r>
      <w:r>
        <w:t xml:space="preserve"> </w:t>
      </w:r>
      <w:r>
        <w:t xml:space="preserve">‘</w:t>
      </w:r>
      <w:r>
        <w:t xml:space="preserve">akṣitotiḥ.</w:t>
      </w:r>
      <w:r>
        <w:t xml:space="preserve">’</w:t>
      </w:r>
      <w:r>
        <w:t xml:space="preserve"> </w:t>
      </w:r>
      <w:r>
        <w:t xml:space="preserve">‘</w:t>
      </w:r>
      <w:r>
        <w:t xml:space="preserve">Sanet</w:t>
      </w:r>
      <w:r>
        <w:t xml:space="preserve">’</w:t>
      </w:r>
      <w:r>
        <w:t xml:space="preserve"> </w:t>
      </w:r>
      <w:r>
        <w:t xml:space="preserve">— let him share (partake).</w:t>
      </w:r>
      <w:r>
        <w:t xml:space="preserve"> </w:t>
      </w:r>
      <w:r>
        <w:t xml:space="preserve">‘</w:t>
      </w:r>
      <w:r>
        <w:t xml:space="preserve">Imaṃ vājam</w:t>
      </w:r>
      <w:r>
        <w:t xml:space="preserve">’</w:t>
      </w:r>
      <w:r>
        <w:t xml:space="preserve"> </w:t>
      </w:r>
      <w:r>
        <w:t xml:space="preserve">— this</w:t>
      </w:r>
      <w:r>
        <w:t xml:space="preserve"> </w:t>
      </w:r>
      <w:r>
        <w:t xml:space="preserve">‘</w:t>
      </w:r>
      <w:r>
        <w:t xml:space="preserve">vāja,</w:t>
      </w:r>
      <w:r>
        <w:t xml:space="preserve">’</w:t>
      </w:r>
      <w:r>
        <w:t xml:space="preserve"> </w:t>
      </w:r>
      <w:r>
        <w:t xml:space="preserve">this battle;</w:t>
      </w:r>
      <w:r>
        <w:t xml:space="preserve"> </w:t>
      </w:r>
      <w:r>
        <w:t xml:space="preserve">‘</w:t>
      </w:r>
      <w:r>
        <w:t xml:space="preserve">Indra, sahasriṇam</w:t>
      </w:r>
      <w:r>
        <w:t xml:space="preserve">’</w:t>
      </w:r>
      <w:r>
        <w:t xml:space="preserve"> </w:t>
      </w:r>
      <w:r>
        <w:t xml:space="preserve">— endowed with a thousand warriors; the sense is</w:t>
      </w:r>
      <w:r>
        <w:t xml:space="preserve"> </w:t>
      </w:r>
      <w:r>
        <w:t xml:space="preserve">‘</w:t>
      </w:r>
      <w:r>
        <w:t xml:space="preserve">may he be present at this battle for our protection.</w:t>
      </w:r>
      <w:r>
        <w:t xml:space="preserve">’</w:t>
      </w:r>
      <w:r>
        <w:t xml:space="preserve"> </w:t>
      </w:r>
      <w:r>
        <w:t xml:space="preserve">In which battle? What is said (of it)?</w:t>
      </w:r>
      <w:r>
        <w:t xml:space="preserve"> </w:t>
      </w:r>
      <w:r>
        <w:t xml:space="preserve">‘</w:t>
      </w:r>
      <w:r>
        <w:t xml:space="preserve">Viśvāni</w:t>
      </w:r>
      <w:r>
        <w:t xml:space="preserve">’</w:t>
      </w:r>
      <w:r>
        <w:t xml:space="preserve"> </w:t>
      </w:r>
      <w:r>
        <w:t xml:space="preserve">— all;</w:t>
      </w:r>
      <w:r>
        <w:t xml:space="preserve"> </w:t>
      </w:r>
      <w:r>
        <w:t xml:space="preserve">‘</w:t>
      </w:r>
      <w:r>
        <w:t xml:space="preserve">pauṃsyā</w:t>
      </w:r>
      <w:r>
        <w:t xml:space="preserve">’</w:t>
      </w:r>
      <w:r>
        <w:t xml:space="preserve"> </w:t>
      </w:r>
      <w:r>
        <w:t xml:space="preserve">— this is a name for strengths: the strengths in the form of elephants, horses, chariots and foot-soldiers. Or else</w:t>
      </w:r>
      <w:r>
        <w:t xml:space="preserve"> </w:t>
      </w:r>
      <w:r>
        <w:t xml:space="preserve">‘</w:t>
      </w:r>
      <w:r>
        <w:t xml:space="preserve">vāja</w:t>
      </w:r>
      <w:r>
        <w:t xml:space="preserve">’</w:t>
      </w:r>
      <w:r>
        <w:t xml:space="preserve"> </w:t>
      </w:r>
      <w:r>
        <w:t xml:space="preserve">is a name for food:</w:t>
      </w:r>
      <w:r>
        <w:t xml:space="preserve"> </w:t>
      </w:r>
      <w:r>
        <w:t xml:space="preserve">‘</w:t>
      </w:r>
      <w:r>
        <w:t xml:space="preserve">let Indra partake of — drink — this our food, in the form of Soma, endowed with a thousand praises, in which all strengths in the form of capacity are found;</w:t>
      </w:r>
      <w:r>
        <w:t xml:space="preserve"> </w:t>
      </w:r>
      <w:r>
        <w:t xml:space="preserve">“</w:t>
      </w:r>
      <w:r>
        <w:t xml:space="preserve">vāja,</w:t>
      </w:r>
      <w:r>
        <w:t xml:space="preserve">”</w:t>
      </w:r>
      <w:r>
        <w:t xml:space="preserve"> </w:t>
      </w:r>
      <w:r>
        <w:t xml:space="preserve">when drunk, produces all capacities</w:t>
      </w:r>
      <w:r>
        <w:t xml:space="preserve">’</w:t>
      </w:r>
      <w:r>
        <w:t xml:space="preserve"> </w:t>
      </w:r>
      <w:r>
        <w:t xml:space="preserve">— such is the sense. Or else</w:t>
      </w:r>
      <w:r>
        <w:t xml:space="preserve"> </w:t>
      </w:r>
      <w:r>
        <w:t xml:space="preserve">‘</w:t>
      </w:r>
      <w:r>
        <w:t xml:space="preserve">yasmin viśvāni pauṃsyā</w:t>
      </w:r>
      <w:r>
        <w:t xml:space="preserve">’</w:t>
      </w:r>
      <w:r>
        <w:t xml:space="preserve"> </w:t>
      </w:r>
      <w:r>
        <w:t xml:space="preserve">is a qualifier of Indra:</w:t>
      </w:r>
      <w:r>
        <w:t xml:space="preserve"> </w:t>
      </w:r>
      <w:r>
        <w:t xml:space="preserve">‘</w:t>
      </w:r>
      <w:r>
        <w:t xml:space="preserve">in which Indra all strengths abide; who is powerful with all strengths; who is of great strength</w:t>
      </w:r>
      <w:r>
        <w:t xml:space="preserve">’</w:t>
      </w:r>
      <w:r>
        <w:t xml:space="preserve"> </w:t>
      </w:r>
      <w:r>
        <w:t xml:space="preserve">— such is the sense.</w:t>
      </w:r>
      <w:r>
        <w:t xml:space="preserve">”</w:t>
      </w:r>
    </w:p>
    <w:p>
      <w:pPr>
        <w:pStyle w:val="BodyText"/>
      </w:pPr>
      <w:r>
        <w:rPr>
          <w:bCs/>
          <w:b/>
        </w:rPr>
        <w:t xml:space="preserve">Anuvāda (Kannada, translated):</w:t>
      </w:r>
      <w:r>
        <w:t xml:space="preserve"> </w:t>
      </w:r>
      <w:r>
        <w:t xml:space="preserve">The protection that Indra gives is not destroyed after a certain time; it is always there. May such an Indra, who gives protection, come, for our protection, to this battlefield, which is full of thousands of warriors. In this battlefield there is the fourfold army of elephants, horses, chariots and foot-soldiers. Let him come to such a battlefield and help us; or, let that Indra — that is, the one of all-pervading strength, the very strong one — accept this food in the form of Soma that is endowed with thousands of praises and that gives capacity to those who drink it, and may he always protect us without fail.</w:t>
      </w:r>
    </w:p>
    <w:p>
      <w:pPr>
        <w:pStyle w:val="BodyText"/>
      </w:pPr>
      <w:r>
        <w:rPr>
          <w:bCs/>
          <w:b/>
        </w:rPr>
        <w:t xml:space="preserve">अक्षितोतिः (akṣitotiḥ)</w:t>
      </w:r>
      <w:r>
        <w:t xml:space="preserve"> </w:t>
      </w:r>
      <w:r>
        <w:t xml:space="preserve">—</w:t>
      </w:r>
      <w:r>
        <w:t xml:space="preserve"> </w:t>
      </w:r>
      <w:r>
        <w:t xml:space="preserve">“</w:t>
      </w:r>
      <w:r>
        <w:rPr>
          <w:iCs/>
          <w:i/>
        </w:rPr>
        <w:t xml:space="preserve">ahiṃsita-rakṣaṇaḥ, kadācid api rakṣāṃ na vimuñcatīty arthaḥ</w:t>
      </w:r>
      <w:r>
        <w:t xml:space="preserve">”</w:t>
      </w:r>
      <w:r>
        <w:t xml:space="preserve"> </w:t>
      </w:r>
      <w:r>
        <w:t xml:space="preserve">(अहिंसितरक्षणः कदाचिदपि रक्षां न विमुञ्चतीत्यर्थः —</w:t>
      </w:r>
      <w:r>
        <w:t xml:space="preserve"> </w:t>
      </w:r>
      <w:r>
        <w:t xml:space="preserve">“</w:t>
      </w:r>
      <w:r>
        <w:t xml:space="preserve">he whose protection is unharmed; the sense is that he never gives up protecting</w:t>
      </w:r>
      <w:r>
        <w:t xml:space="preserve">”</w:t>
      </w:r>
      <w:r>
        <w:t xml:space="preserve">): one who never leaves off the protection of those who praise him. The protection he gives is not diminished — such is the sense.</w:t>
      </w:r>
      <w:r>
        <w:t xml:space="preserve"> </w:t>
      </w:r>
      <w:r>
        <w:rPr>
          <w:iCs/>
          <w:i/>
        </w:rPr>
        <w:t xml:space="preserve">(The page continues with the next word on p. 194.)</w:t>
      </w:r>
    </w:p>
    <w:bookmarkEnd w:id="230"/>
    <w:bookmarkStart w:id="231" w:name="X9789d0882617cc163714965f9ea426cf7edcc95"/>
    <w:p>
      <w:pPr>
        <w:pStyle w:val="Heading3"/>
      </w:pPr>
      <w:r>
        <w:t xml:space="preserve">Page 194 — Special topics on Rik 5.9:</w:t>
      </w:r>
      <w:r>
        <w:t xml:space="preserve"> </w:t>
      </w:r>
      <w:r>
        <w:t xml:space="preserve">“</w:t>
      </w:r>
      <w:r>
        <w:t xml:space="preserve">akṣitotiḥ,</w:t>
      </w:r>
      <w:r>
        <w:t xml:space="preserve">”</w:t>
      </w:r>
      <w:r>
        <w:t xml:space="preserve"> </w:t>
      </w:r>
      <w:r>
        <w:t xml:space="preserve">“</w:t>
      </w:r>
      <w:r>
        <w:t xml:space="preserve">vājam,</w:t>
      </w:r>
      <w:r>
        <w:t xml:space="preserve">”</w:t>
      </w:r>
      <w:r>
        <w:t xml:space="preserve"> </w:t>
      </w:r>
      <w:r>
        <w:t xml:space="preserve">“</w:t>
      </w:r>
      <w:r>
        <w:t xml:space="preserve">sahasriṇam,</w:t>
      </w:r>
      <w:r>
        <w:t xml:space="preserve">”</w:t>
      </w:r>
      <w:r>
        <w:t xml:space="preserve"> </w:t>
      </w:r>
      <w:r>
        <w:t xml:space="preserve">“</w:t>
      </w:r>
      <w:r>
        <w:t xml:space="preserve">pauṃsyā</w:t>
      </w:r>
      <w:r>
        <w:t xml:space="preserve">”</w:t>
      </w:r>
      <w:r>
        <w:t xml:space="preserve">; Vyākaraṇa-prakriyā (opening)</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5.</w:t>
      </w:r>
      <w:r>
        <w:rPr>
          <w:iCs/>
          <w:i/>
        </w:rPr>
        <w:t xml:space="preserve">”</w:t>
      </w:r>
      <w:r>
        <w:rPr>
          <w:iCs/>
          <w:i/>
        </w:rPr>
        <w:t xml:space="preserve"> </w:t>
      </w:r>
      <w:r>
        <w:rPr>
          <w:iCs/>
          <w:i/>
        </w:rPr>
        <w:t xml:space="preserve">The verses were read from an enlarged slice; the references re-read from the better scan; glosses mine, tentative.)</w:t>
      </w:r>
    </w:p>
    <w:p>
      <w:pPr>
        <w:pStyle w:val="BodyText"/>
      </w:pPr>
      <w:r>
        <w:rPr>
          <w:bCs/>
          <w:b/>
        </w:rPr>
        <w:t xml:space="preserve">अक्षितोतिः (akṣitotiḥ)</w:t>
      </w:r>
      <w:r>
        <w:t xml:space="preserve"> </w:t>
      </w:r>
      <w:r>
        <w:t xml:space="preserve">— This word occurs in the Ṛgveda, besides in this Ṛk, only in the following Ṛks; it is not used in other mantras —</w:t>
      </w:r>
    </w:p>
    <w:p>
      <w:pPr>
        <w:pStyle w:val="BlockText"/>
      </w:pPr>
      <w:r>
        <w:t xml:space="preserve">आर्चत्रयो मघवा नृभ्य उक्थैर्द्यक्षो राजा गिरामक्षितोतिः ।</w:t>
      </w:r>
      <w:r>
        <w:t xml:space="preserve"> </w:t>
      </w:r>
      <w:r>
        <w:rPr>
          <w:iCs/>
          <w:i/>
        </w:rPr>
        <w:t xml:space="preserve">ārcatrayo maghavā nṛbhya ukthair dyakṣo rājā girām akṣitotiḥ |</w:t>
      </w:r>
      <w:r>
        <w:t xml:space="preserve"> </w:t>
      </w:r>
      <w:r>
        <w:rPr>
          <w:iCs/>
          <w:i/>
        </w:rPr>
        <w:t xml:space="preserve">(Reading note: the print’s first word reads</w:t>
      </w:r>
      <w:r>
        <w:rPr>
          <w:iCs/>
          <w:i/>
        </w:rPr>
        <w:t xml:space="preserve"> </w:t>
      </w:r>
      <w:r>
        <w:rPr>
          <w:iCs/>
          <w:i/>
        </w:rPr>
        <w:t xml:space="preserve">“</w:t>
      </w:r>
      <w:r>
        <w:rPr>
          <w:iCs/>
          <w:i/>
        </w:rPr>
        <w:t xml:space="preserve">ārcatro</w:t>
      </w:r>
      <w:r>
        <w:rPr>
          <w:iCs/>
          <w:i/>
        </w:rPr>
        <w:t xml:space="preserve">”</w:t>
      </w:r>
      <w:r>
        <w:rPr>
          <w:iCs/>
          <w:i/>
        </w:rPr>
        <w:t xml:space="preserve"> </w:t>
      </w:r>
      <w:r>
        <w:rPr>
          <w:iCs/>
          <w:i/>
        </w:rPr>
        <w:t xml:space="preserve">or</w:t>
      </w:r>
      <w:r>
        <w:rPr>
          <w:iCs/>
          <w:i/>
        </w:rPr>
        <w:t xml:space="preserve"> </w:t>
      </w:r>
      <w:r>
        <w:rPr>
          <w:iCs/>
          <w:i/>
        </w:rPr>
        <w:t xml:space="preserve">“</w:t>
      </w:r>
      <w:r>
        <w:rPr>
          <w:iCs/>
          <w:i/>
        </w:rPr>
        <w:t xml:space="preserve">ārcatrayo,</w:t>
      </w:r>
      <w:r>
        <w:rPr>
          <w:iCs/>
          <w:i/>
        </w:rPr>
        <w:t xml:space="preserve">”</w:t>
      </w:r>
      <w:r>
        <w:rPr>
          <w:iCs/>
          <w:i/>
        </w:rPr>
        <w:t xml:space="preserve"> </w:t>
      </w:r>
      <w:r>
        <w:rPr>
          <w:iCs/>
          <w:i/>
        </w:rPr>
        <w:t xml:space="preserve">a form I cannot make out with certainty; I give</w:t>
      </w:r>
      <w:r>
        <w:rPr>
          <w:iCs/>
          <w:i/>
        </w:rPr>
        <w:t xml:space="preserve"> </w:t>
      </w:r>
      <w:r>
        <w:rPr>
          <w:iCs/>
          <w:i/>
        </w:rPr>
        <w:t xml:space="preserve">“</w:t>
      </w:r>
      <w:r>
        <w:rPr>
          <w:iCs/>
          <w:i/>
        </w:rPr>
        <w:t xml:space="preserve">ārcatrayo</w:t>
      </w:r>
      <w:r>
        <w:rPr>
          <w:iCs/>
          <w:i/>
        </w:rPr>
        <w:t xml:space="preserve">”</w:t>
      </w:r>
      <w:r>
        <w:rPr>
          <w:iCs/>
          <w:i/>
        </w:rPr>
        <w:t xml:space="preserve"> </w:t>
      </w:r>
      <w:r>
        <w:rPr>
          <w:iCs/>
          <w:i/>
        </w:rPr>
        <w:t xml:space="preserve">and flag the whole line [?], and give no gloss.)</w:t>
      </w:r>
      <w:r>
        <w:t xml:space="preserve"> </w:t>
      </w:r>
      <w:r>
        <w:t xml:space="preserve">(ऋ. सं. ६-२४-१)</w:t>
      </w:r>
    </w:p>
    <w:p>
      <w:pPr>
        <w:pStyle w:val="BlockText"/>
      </w:pPr>
      <w:r>
        <w:t xml:space="preserve">जनीयन्तो जनिदामक्षितोतिमा चाव्ययामोऽवते न कोशम् ।</w:t>
      </w:r>
      <w:r>
        <w:t xml:space="preserve"> </w:t>
      </w:r>
      <w:r>
        <w:rPr>
          <w:iCs/>
          <w:i/>
        </w:rPr>
        <w:t xml:space="preserve">janīyanto janidām akṣitotim ā cāvyayāmo ’vate na kośam |</w:t>
      </w:r>
      <w:r>
        <w:t xml:space="preserve"> </w:t>
      </w:r>
      <w:r>
        <w:rPr>
          <w:iCs/>
          <w:i/>
        </w:rPr>
        <w:t xml:space="preserve">(Reading note: given as printed (</w:t>
      </w:r>
      <w:r>
        <w:rPr>
          <w:iCs/>
          <w:i/>
        </w:rPr>
        <w:t xml:space="preserve">“</w:t>
      </w:r>
      <w:r>
        <w:rPr>
          <w:iCs/>
          <w:i/>
        </w:rPr>
        <w:t xml:space="preserve">…akṣitotimā cāvyayāmo ’vate…</w:t>
      </w:r>
      <w:r>
        <w:rPr>
          <w:iCs/>
          <w:i/>
        </w:rPr>
        <w:t xml:space="preserve">”</w:t>
      </w:r>
      <w:r>
        <w:rPr>
          <w:iCs/>
          <w:i/>
        </w:rPr>
        <w:t xml:space="preserve">); no gloss.)</w:t>
      </w:r>
      <w:r>
        <w:t xml:space="preserve"> </w:t>
      </w:r>
      <w:r>
        <w:t xml:space="preserve">(ऋ. सं. ४-१७-१६)</w:t>
      </w:r>
    </w:p>
    <w:p>
      <w:pPr>
        <w:pStyle w:val="BlockText"/>
      </w:pPr>
      <w:r>
        <w:t xml:space="preserve">सत्राजितो धनसा अक्षितोतयो वाजयन्तो रथा इव ॥</w:t>
      </w:r>
      <w:r>
        <w:t xml:space="preserve"> </w:t>
      </w:r>
      <w:r>
        <w:rPr>
          <w:iCs/>
          <w:i/>
        </w:rPr>
        <w:t xml:space="preserve">satrājito dhanasā akṣitotayo vājayanto rathā iva ||</w:t>
      </w:r>
      <w:r>
        <w:t xml:space="preserve"> </w:t>
      </w:r>
      <w:r>
        <w:t xml:space="preserve">Gloss:</w:t>
      </w:r>
      <w:r>
        <w:t xml:space="preserve"> </w:t>
      </w:r>
      <w:r>
        <w:t xml:space="preserve">“</w:t>
      </w:r>
      <w:r>
        <w:t xml:space="preserve">The ever-victorious, winners of wealth, of unfailing aid, speeding like chariots.</w:t>
      </w:r>
      <w:r>
        <w:t xml:space="preserve">”</w:t>
      </w:r>
      <w:r>
        <w:t xml:space="preserve"> </w:t>
      </w:r>
      <w:r>
        <w:t xml:space="preserve">[tentative] (ऋ. सं. ८-३-१५)</w:t>
      </w:r>
    </w:p>
    <w:p>
      <w:pPr>
        <w:pStyle w:val="FirstParagraph"/>
      </w:pPr>
      <w:r>
        <w:rPr>
          <w:bCs/>
          <w:b/>
        </w:rPr>
        <w:t xml:space="preserve">वाजम् (vājam)</w:t>
      </w:r>
      <w:r>
        <w:t xml:space="preserve"> </w:t>
      </w:r>
      <w:r>
        <w:t xml:space="preserve">— food; or battle (war).</w:t>
      </w:r>
    </w:p>
    <w:p>
      <w:pPr>
        <w:pStyle w:val="BodyText"/>
      </w:pPr>
      <w:r>
        <w:rPr>
          <w:bCs/>
          <w:b/>
        </w:rPr>
        <w:t xml:space="preserve">सहस्रिणम् (sahasriṇam)</w:t>
      </w:r>
      <w:r>
        <w:t xml:space="preserve"> </w:t>
      </w:r>
      <w:r>
        <w:t xml:space="preserve">— This word is a qualifier of</w:t>
      </w:r>
      <w:r>
        <w:t xml:space="preserve"> </w:t>
      </w:r>
      <w:r>
        <w:t xml:space="preserve">“</w:t>
      </w:r>
      <w:r>
        <w:t xml:space="preserve">vāja.</w:t>
      </w:r>
      <w:r>
        <w:t xml:space="preserve">”</w:t>
      </w:r>
      <w:r>
        <w:t xml:space="preserve"> </w:t>
      </w:r>
      <w:r>
        <w:t xml:space="preserve">When</w:t>
      </w:r>
      <w:r>
        <w:t xml:space="preserve"> </w:t>
      </w:r>
      <w:r>
        <w:t xml:space="preserve">“</w:t>
      </w:r>
      <w:r>
        <w:t xml:space="preserve">vāja</w:t>
      </w:r>
      <w:r>
        <w:t xml:space="preserve">”</w:t>
      </w:r>
      <w:r>
        <w:t xml:space="preserve"> </w:t>
      </w:r>
      <w:r>
        <w:t xml:space="preserve">is taken in the sense of food,</w:t>
      </w:r>
      <w:r>
        <w:t xml:space="preserve"> </w:t>
      </w:r>
      <w:r>
        <w:t xml:space="preserve">“</w:t>
      </w:r>
      <w:r>
        <w:t xml:space="preserve">sahasriṇam</w:t>
      </w:r>
      <w:r>
        <w:t xml:space="preserve">”</w:t>
      </w:r>
      <w:r>
        <w:t xml:space="preserve"> </w:t>
      </w:r>
      <w:r>
        <w:t xml:space="preserve">means</w:t>
      </w:r>
      <w:r>
        <w:t xml:space="preserve"> </w:t>
      </w:r>
      <w:r>
        <w:t xml:space="preserve">“</w:t>
      </w:r>
      <w:r>
        <w:t xml:space="preserve">that which is offered in thousands of sacrifices, or which is praised with thousands of stotras.</w:t>
      </w:r>
      <w:r>
        <w:t xml:space="preserve">”</w:t>
      </w:r>
      <w:r>
        <w:t xml:space="preserve"> </w:t>
      </w:r>
      <w:r>
        <w:t xml:space="preserve">When</w:t>
      </w:r>
      <w:r>
        <w:t xml:space="preserve"> </w:t>
      </w:r>
      <w:r>
        <w:t xml:space="preserve">“</w:t>
      </w:r>
      <w:r>
        <w:t xml:space="preserve">vāja</w:t>
      </w:r>
      <w:r>
        <w:t xml:space="preserve">”</w:t>
      </w:r>
      <w:r>
        <w:t xml:space="preserve"> </w:t>
      </w:r>
      <w:r>
        <w:t xml:space="preserve">is taken in the sense of war,</w:t>
      </w:r>
      <w:r>
        <w:t xml:space="preserve"> </w:t>
      </w:r>
      <w:r>
        <w:t xml:space="preserve">“</w:t>
      </w:r>
      <w:r>
        <w:t xml:space="preserve">sahasriṇam</w:t>
      </w:r>
      <w:r>
        <w:t xml:space="preserve">”</w:t>
      </w:r>
      <w:r>
        <w:t xml:space="preserve"> </w:t>
      </w:r>
      <w:r>
        <w:t xml:space="preserve">must be said to mean</w:t>
      </w:r>
      <w:r>
        <w:t xml:space="preserve"> </w:t>
      </w:r>
      <w:r>
        <w:t xml:space="preserve">“</w:t>
      </w:r>
      <w:r>
        <w:t xml:space="preserve">a war with thousands of warriors.</w:t>
      </w:r>
      <w:r>
        <w:t xml:space="preserve">”</w:t>
      </w:r>
    </w:p>
    <w:p>
      <w:pPr>
        <w:pStyle w:val="BodyText"/>
      </w:pPr>
      <w:r>
        <w:rPr>
          <w:bCs/>
          <w:b/>
        </w:rPr>
        <w:t xml:space="preserve">यस्मिन् विश्वानि पौंस्या (yasmin viśvāni pauṃsyā)</w:t>
      </w:r>
      <w:r>
        <w:t xml:space="preserve"> </w:t>
      </w:r>
      <w:r>
        <w:t xml:space="preserve">—</w:t>
      </w:r>
      <w:r>
        <w:t xml:space="preserve"> </w:t>
      </w:r>
      <w:r>
        <w:t xml:space="preserve">“</w:t>
      </w:r>
      <w:r>
        <w:t xml:space="preserve">(that) in which there is all strength and capacity.</w:t>
      </w:r>
      <w:r>
        <w:t xml:space="preserve">”</w:t>
      </w:r>
      <w:r>
        <w:t xml:space="preserve"> </w:t>
      </w:r>
      <w:r>
        <w:t xml:space="preserve">If</w:t>
      </w:r>
      <w:r>
        <w:t xml:space="preserve"> </w:t>
      </w:r>
      <w:r>
        <w:t xml:space="preserve">“</w:t>
      </w:r>
      <w:r>
        <w:t xml:space="preserve">vāja</w:t>
      </w:r>
      <w:r>
        <w:t xml:space="preserve">”</w:t>
      </w:r>
      <w:r>
        <w:t xml:space="preserve"> </w:t>
      </w:r>
      <w:r>
        <w:t xml:space="preserve">is taken in the sense of food, the word</w:t>
      </w:r>
      <w:r>
        <w:t xml:space="preserve"> </w:t>
      </w:r>
      <w:r>
        <w:t xml:space="preserve">“</w:t>
      </w:r>
      <w:r>
        <w:t xml:space="preserve">pauṃsya</w:t>
      </w:r>
      <w:r>
        <w:t xml:space="preserve">”</w:t>
      </w:r>
      <w:r>
        <w:t xml:space="preserve"> </w:t>
      </w:r>
      <w:r>
        <w:t xml:space="preserve">can be given such senses as strength, capacity, power, nourishment, enthusiasm; when</w:t>
      </w:r>
      <w:r>
        <w:t xml:space="preserve"> </w:t>
      </w:r>
      <w:r>
        <w:t xml:space="preserve">“</w:t>
      </w:r>
      <w:r>
        <w:t xml:space="preserve">vāja</w:t>
      </w:r>
      <w:r>
        <w:t xml:space="preserve">”</w:t>
      </w:r>
      <w:r>
        <w:t xml:space="preserve"> </w:t>
      </w:r>
      <w:r>
        <w:t xml:space="preserve">is taken as</w:t>
      </w:r>
      <w:r>
        <w:t xml:space="preserve"> </w:t>
      </w:r>
      <w:r>
        <w:t xml:space="preserve">“</w:t>
      </w:r>
      <w:r>
        <w:t xml:space="preserve">war,</w:t>
      </w:r>
      <w:r>
        <w:t xml:space="preserve">”</w:t>
      </w:r>
      <w:r>
        <w:t xml:space="preserve"> </w:t>
      </w:r>
      <w:r>
        <w:t xml:space="preserve">senses such as the strength of elephants, horses and the like, or</w:t>
      </w:r>
      <w:r>
        <w:t xml:space="preserve"> </w:t>
      </w:r>
      <w:r>
        <w:t xml:space="preserve">“</w:t>
      </w:r>
      <w:r>
        <w:t xml:space="preserve">manliness</w:t>
      </w:r>
      <w:r>
        <w:t xml:space="preserve">”</w:t>
      </w:r>
      <w:r>
        <w:t xml:space="preserve"> </w:t>
      </w:r>
      <w:r>
        <w:t xml:space="preserve">(pauruṣeya), valour, fortitude. As Skandasvāmī says, the word</w:t>
      </w:r>
      <w:r>
        <w:t xml:space="preserve"> </w:t>
      </w:r>
      <w:r>
        <w:t xml:space="preserve">“</w:t>
      </w:r>
      <w:r>
        <w:t xml:space="preserve">pauṃsyā</w:t>
      </w:r>
      <w:r>
        <w:t xml:space="preserve">”</w:t>
      </w:r>
      <w:r>
        <w:t xml:space="preserve"> </w:t>
      </w:r>
      <w:r>
        <w:t xml:space="preserve">may be taken as a qualifier of Indra —</w:t>
      </w:r>
      <w:r>
        <w:t xml:space="preserve"> </w:t>
      </w:r>
      <w:r>
        <w:t xml:space="preserve">“</w:t>
      </w:r>
      <w:r>
        <w:t xml:space="preserve">the one who is endowed with all power, the very strong one.</w:t>
      </w:r>
      <w:r>
        <w:t xml:space="preserve">”</w:t>
      </w:r>
    </w:p>
    <w:p>
      <w:pPr>
        <w:pStyle w:val="BodyText"/>
      </w:pPr>
      <w:r>
        <w:rPr>
          <w:bCs/>
          <w:b/>
        </w:rPr>
        <w:t xml:space="preserve">॥ Vyākaraṇa-prakriyā ॥</w:t>
      </w:r>
      <w:r>
        <w:t xml:space="preserve"> </w:t>
      </w:r>
      <w:r>
        <w:rPr>
          <w:iCs/>
          <w:i/>
        </w:rPr>
        <w:t xml:space="preserve">(Kannada; characterized, sūtras kept)</w:t>
      </w:r>
      <w:r>
        <w:t xml:space="preserve"> </w:t>
      </w:r>
      <w:r>
        <w:rPr>
          <w:bCs/>
          <w:b/>
        </w:rPr>
        <w:t xml:space="preserve">“</w:t>
      </w:r>
      <w:r>
        <w:rPr>
          <w:bCs/>
          <w:b/>
        </w:rPr>
        <w:t xml:space="preserve">Akṣitotiḥ</w:t>
      </w:r>
      <w:r>
        <w:rPr>
          <w:bCs/>
          <w:b/>
        </w:rPr>
        <w:t xml:space="preserve">”</w:t>
      </w:r>
      <w:r>
        <w:t xml:space="preserve"> </w:t>
      </w:r>
      <w:r>
        <w:t xml:space="preserve">—</w:t>
      </w:r>
      <w:r>
        <w:t xml:space="preserve"> </w:t>
      </w:r>
      <w:r>
        <w:t xml:space="preserve">“</w:t>
      </w:r>
      <w:r>
        <w:t xml:space="preserve">kṣi kṣaye</w:t>
      </w:r>
      <w:r>
        <w:t xml:space="preserve">”</w:t>
      </w:r>
      <w:r>
        <w:t xml:space="preserve"> </w:t>
      </w:r>
      <w:r>
        <w:t xml:space="preserve">(to decay) is an intransitive root; therefore the affix</w:t>
      </w:r>
      <w:r>
        <w:t xml:space="preserve"> </w:t>
      </w:r>
      <w:r>
        <w:t xml:space="preserve">“</w:t>
      </w:r>
      <w:r>
        <w:t xml:space="preserve">kta</w:t>
      </w:r>
      <w:r>
        <w:t xml:space="preserve">”</w:t>
      </w:r>
      <w:r>
        <w:t xml:space="preserve"> </w:t>
      </w:r>
      <w:r>
        <w:t xml:space="preserve">is not added in the sense of the object (karman); it must be added in the sense of the agent or the locus, or in the sense of the state (bhāva). If one says that</w:t>
      </w:r>
      <w:r>
        <w:t xml:space="preserve"> </w:t>
      </w:r>
      <w:r>
        <w:t xml:space="preserve">“</w:t>
      </w:r>
      <w:r>
        <w:t xml:space="preserve">kta</w:t>
      </w:r>
      <w:r>
        <w:t xml:space="preserve">”</w:t>
      </w:r>
      <w:r>
        <w:t xml:space="preserve"> </w:t>
      </w:r>
      <w:r>
        <w:t xml:space="preserve">is added in the sense of the agent or the locus: in</w:t>
      </w:r>
      <w:r>
        <w:t xml:space="preserve"> </w:t>
      </w:r>
      <w:r>
        <w:t xml:space="preserve">“</w:t>
      </w:r>
      <w:r>
        <w:t xml:space="preserve">kṣi + ta</w:t>
      </w:r>
      <w:r>
        <w:t xml:space="preserve">”</w:t>
      </w:r>
      <w:r>
        <w:t xml:space="preserve"> </w:t>
      </w:r>
      <w:r>
        <w:t xml:space="preserve">the niṣṭhā rule</w:t>
      </w:r>
      <w:r>
        <w:t xml:space="preserve"> </w:t>
      </w:r>
      <w:r>
        <w:rPr>
          <w:bCs/>
          <w:b/>
        </w:rPr>
        <w:t xml:space="preserve">निष्ठायामण्यदर्थे</w:t>
      </w:r>
      <w:r>
        <w:t xml:space="preserve"> </w:t>
      </w:r>
      <w:r>
        <w:t xml:space="preserve">(पा. ६-४-६०) — the</w:t>
      </w:r>
      <w:r>
        <w:t xml:space="preserve"> </w:t>
      </w:r>
      <w:r>
        <w:t xml:space="preserve">“</w:t>
      </w:r>
      <w:r>
        <w:t xml:space="preserve">niṣṭhā</w:t>
      </w:r>
      <w:r>
        <w:t xml:space="preserve">”</w:t>
      </w:r>
      <w:r>
        <w:t xml:space="preserve"> </w:t>
      </w:r>
      <w:r>
        <w:t xml:space="preserve">being</w:t>
      </w:r>
      <w:r>
        <w:t xml:space="preserve"> </w:t>
      </w:r>
      <w:r>
        <w:t xml:space="preserve">“</w:t>
      </w:r>
      <w:r>
        <w:t xml:space="preserve">kta</w:t>
      </w:r>
      <w:r>
        <w:t xml:space="preserve">”</w:t>
      </w:r>
      <w:r>
        <w:t xml:space="preserve"> </w:t>
      </w:r>
      <w:r>
        <w:t xml:space="preserve">and</w:t>
      </w:r>
      <w:r>
        <w:t xml:space="preserve"> </w:t>
      </w:r>
      <w:r>
        <w:t xml:space="preserve">“</w:t>
      </w:r>
      <w:r>
        <w:t xml:space="preserve">ktavatu</w:t>
      </w:r>
      <w:r>
        <w:t xml:space="preserve">”</w:t>
      </w:r>
      <w:r>
        <w:t xml:space="preserve"> </w:t>
      </w:r>
      <w:r>
        <w:t xml:space="preserve">by</w:t>
      </w:r>
      <w:r>
        <w:t xml:space="preserve"> </w:t>
      </w:r>
      <w:r>
        <w:rPr>
          <w:bCs/>
          <w:b/>
        </w:rPr>
        <w:t xml:space="preserve">क्तक्तवतू निष्ठा</w:t>
      </w:r>
      <w:r>
        <w:t xml:space="preserve"> </w:t>
      </w:r>
      <w:r>
        <w:t xml:space="preserve">(पा. १-१-२६), when these affixes are not in a</w:t>
      </w:r>
      <w:r>
        <w:t xml:space="preserve"> </w:t>
      </w:r>
      <w:r>
        <w:t xml:space="preserve">“</w:t>
      </w:r>
      <w:r>
        <w:t xml:space="preserve">ṇyat</w:t>
      </w:r>
      <w:r>
        <w:t xml:space="preserve">”</w:t>
      </w:r>
      <w:r>
        <w:t xml:space="preserve"> </w:t>
      </w:r>
      <w:r>
        <w:t xml:space="preserve">sense (state or object),</w:t>
      </w:r>
      <w:r>
        <w:t xml:space="preserve"> </w:t>
      </w:r>
      <w:r>
        <w:t xml:space="preserve">“</w:t>
      </w:r>
      <w:r>
        <w:t xml:space="preserve">kṣi</w:t>
      </w:r>
      <w:r>
        <w:t xml:space="preserve">”</w:t>
      </w:r>
      <w:r>
        <w:t xml:space="preserve"> </w:t>
      </w:r>
      <w:r>
        <w:t xml:space="preserve">is lengthened; so</w:t>
      </w:r>
      <w:r>
        <w:t xml:space="preserve"> </w:t>
      </w:r>
      <w:r>
        <w:t xml:space="preserve">“</w:t>
      </w:r>
      <w:r>
        <w:t xml:space="preserve">kṣī</w:t>
      </w:r>
      <w:r>
        <w:t xml:space="preserve">”</w:t>
      </w:r>
      <w:r>
        <w:t xml:space="preserve">; and</w:t>
      </w:r>
      <w:r>
        <w:t xml:space="preserve"> </w:t>
      </w:r>
      <w:r>
        <w:rPr>
          <w:bCs/>
          <w:b/>
        </w:rPr>
        <w:t xml:space="preserve">क्षियो दीर्घात्</w:t>
      </w:r>
      <w:r>
        <w:t xml:space="preserve"> </w:t>
      </w:r>
      <w:r>
        <w:t xml:space="preserve">(पा. ८-२-४६) — after the lengthened root</w:t>
      </w:r>
      <w:r>
        <w:t xml:space="preserve"> </w:t>
      </w:r>
      <w:r>
        <w:t xml:space="preserve">“</w:t>
      </w:r>
      <w:r>
        <w:t xml:space="preserve">kṣi</w:t>
      </w:r>
      <w:r>
        <w:t xml:space="preserve">”</w:t>
      </w:r>
      <w:r>
        <w:t xml:space="preserve"> </w:t>
      </w:r>
      <w:r>
        <w:t xml:space="preserve">the</w:t>
      </w:r>
      <w:r>
        <w:t xml:space="preserve"> </w:t>
      </w:r>
      <w:r>
        <w:t xml:space="preserve">“</w:t>
      </w:r>
      <w:r>
        <w:t xml:space="preserve">t</w:t>
      </w:r>
      <w:r>
        <w:t xml:space="preserve">”</w:t>
      </w:r>
      <w:r>
        <w:t xml:space="preserve"> </w:t>
      </w:r>
      <w:r>
        <w:t xml:space="preserve">of</w:t>
      </w:r>
      <w:r>
        <w:t xml:space="preserve"> </w:t>
      </w:r>
      <w:r>
        <w:t xml:space="preserve">“</w:t>
      </w:r>
      <w:r>
        <w:t xml:space="preserve">kta/ktavatu</w:t>
      </w:r>
      <w:r>
        <w:t xml:space="preserve">”</w:t>
      </w:r>
      <w:r>
        <w:t xml:space="preserve"> </w:t>
      </w:r>
      <w:r>
        <w:t xml:space="preserve">becomes</w:t>
      </w:r>
      <w:r>
        <w:t xml:space="preserve"> </w:t>
      </w:r>
      <w:r>
        <w:t xml:space="preserve">“</w:t>
      </w:r>
      <w:r>
        <w:t xml:space="preserve">n</w:t>
      </w:r>
      <w:r>
        <w:t xml:space="preserve">”</w:t>
      </w:r>
      <w:r>
        <w:t xml:space="preserve"> </w:t>
      </w:r>
      <w:r>
        <w:t xml:space="preserve">— gives</w:t>
      </w:r>
      <w:r>
        <w:t xml:space="preserve"> </w:t>
      </w:r>
      <w:r>
        <w:t xml:space="preserve">“</w:t>
      </w:r>
      <w:r>
        <w:t xml:space="preserve">kṣī + na</w:t>
      </w:r>
      <w:r>
        <w:t xml:space="preserve">”</w:t>
      </w:r>
      <w:r>
        <w:t xml:space="preserve">;</w:t>
      </w:r>
      <w:r>
        <w:t xml:space="preserve"> </w:t>
      </w:r>
      <w:r>
        <w:rPr>
          <w:bCs/>
          <w:b/>
        </w:rPr>
        <w:t xml:space="preserve">अट्कुप्वाङ्नुम्व्यवायेऽपि</w:t>
      </w:r>
      <w:r>
        <w:t xml:space="preserve"> </w:t>
      </w:r>
      <w:r>
        <w:t xml:space="preserve">(पा. ८-४-२), the</w:t>
      </w:r>
      <w:r>
        <w:t xml:space="preserve"> </w:t>
      </w:r>
      <w:r>
        <w:t xml:space="preserve">“</w:t>
      </w:r>
      <w:r>
        <w:t xml:space="preserve">n</w:t>
      </w:r>
      <w:r>
        <w:t xml:space="preserve">”</w:t>
      </w:r>
      <w:r>
        <w:t xml:space="preserve"> </w:t>
      </w:r>
      <w:r>
        <w:t xml:space="preserve">becomes</w:t>
      </w:r>
      <w:r>
        <w:t xml:space="preserve"> </w:t>
      </w:r>
      <w:r>
        <w:t xml:space="preserve">“</w:t>
      </w:r>
      <w:r>
        <w:t xml:space="preserve">ṇ</w:t>
      </w:r>
      <w:r>
        <w:t xml:space="preserve">”</w:t>
      </w:r>
      <w:r>
        <w:t xml:space="preserve"> </w:t>
      </w:r>
      <w:r>
        <w:t xml:space="preserve">→</w:t>
      </w:r>
      <w:r>
        <w:t xml:space="preserve"> </w:t>
      </w:r>
      <w:r>
        <w:t xml:space="preserve">“</w:t>
      </w:r>
      <w:r>
        <w:t xml:space="preserve">kṣīṇa.</w:t>
      </w:r>
      <w:r>
        <w:t xml:space="preserve">”</w:t>
      </w:r>
      <w:r>
        <w:t xml:space="preserve"> </w:t>
      </w:r>
      <w:r>
        <w:t xml:space="preserve">In a compound with</w:t>
      </w:r>
      <w:r>
        <w:t xml:space="preserve"> </w:t>
      </w:r>
      <w:r>
        <w:t xml:space="preserve">“</w:t>
      </w:r>
      <w:r>
        <w:t xml:space="preserve">nañ,</w:t>
      </w:r>
      <w:r>
        <w:t xml:space="preserve">”</w:t>
      </w:r>
      <w:r>
        <w:t xml:space="preserve"> </w:t>
      </w:r>
      <w:r>
        <w:t xml:space="preserve">“</w:t>
      </w:r>
      <w:r>
        <w:t xml:space="preserve">akṣīṇa</w:t>
      </w:r>
      <w:r>
        <w:t xml:space="preserve">”</w:t>
      </w:r>
      <w:r>
        <w:t xml:space="preserve"> </w:t>
      </w:r>
      <w:r>
        <w:t xml:space="preserve">would result, and</w:t>
      </w:r>
      <w:r>
        <w:t xml:space="preserve"> </w:t>
      </w:r>
      <w:r>
        <w:t xml:space="preserve">“</w:t>
      </w:r>
      <w:r>
        <w:t xml:space="preserve">akṣitam</w:t>
      </w:r>
      <w:r>
        <w:t xml:space="preserve">”</w:t>
      </w:r>
      <w:r>
        <w:t xml:space="preserve"> </w:t>
      </w:r>
      <w:r>
        <w:t xml:space="preserve">would not be obtained.</w:t>
      </w:r>
      <w:r>
        <w:t xml:space="preserve"> </w:t>
      </w:r>
      <w:r>
        <w:rPr>
          <w:iCs/>
          <w:i/>
        </w:rPr>
        <w:t xml:space="preserve">(The page runs on into p. 195.)</w:t>
      </w:r>
    </w:p>
    <w:bookmarkEnd w:id="231"/>
    <w:bookmarkStart w:id="232" w:name="X519680a7e6656ad570ef1edd8232c5307d20e49"/>
    <w:p>
      <w:pPr>
        <w:pStyle w:val="Heading3"/>
      </w:pPr>
      <w:r>
        <w:t xml:space="preserve">Page 195 — Vyākaraṇa-prakriyā for Rik 5.9 (characterized):</w:t>
      </w:r>
      <w:r>
        <w:t xml:space="preserve"> </w:t>
      </w:r>
      <w:r>
        <w:t xml:space="preserve">“</w:t>
      </w:r>
      <w:r>
        <w:t xml:space="preserve">akṣitotiḥ</w:t>
      </w:r>
      <w:r>
        <w:t xml:space="preserve">”</w:t>
      </w:r>
      <w:r>
        <w:t xml:space="preserve"> </w:t>
      </w:r>
      <w:r>
        <w:t xml:space="preserve">and</w:t>
      </w:r>
      <w:r>
        <w:t xml:space="preserve"> </w:t>
      </w:r>
      <w:r>
        <w:t xml:space="preserve">“</w:t>
      </w:r>
      <w:r>
        <w:t xml:space="preserve">sanet</w:t>
      </w:r>
      <w:r>
        <w:t xml:space="preserve">”</w:t>
      </w:r>
    </w:p>
    <w:p>
      <w:pPr>
        <w:pStyle w:val="FirstParagraph"/>
      </w:pPr>
      <w:r>
        <w:rPr>
          <w:iCs/>
          <w:i/>
        </w:rPr>
        <w:t xml:space="preserve">(Page header:</w:t>
      </w:r>
      <w:r>
        <w:rPr>
          <w:iCs/>
          <w:i/>
        </w:rPr>
        <w:t xml:space="preserve"> </w:t>
      </w:r>
      <w:r>
        <w:rPr>
          <w:iCs/>
          <w:i/>
        </w:rPr>
        <w:t xml:space="preserve">“</w:t>
      </w:r>
      <w:r>
        <w:rPr>
          <w:iCs/>
          <w:i/>
        </w:rPr>
        <w:t xml:space="preserve">Aṣṭaka 1, Adhyāya 1, Varga 10 · Ṛgveda-saṃhitā.</w:t>
      </w:r>
      <w:r>
        <w:rPr>
          <w:iCs/>
          <w:i/>
        </w:rPr>
        <w:t xml:space="preserve">”</w:t>
      </w:r>
      <w:r>
        <w:rPr>
          <w:iCs/>
          <w:i/>
        </w:rPr>
        <w:t xml:space="preserve"> </w:t>
      </w:r>
      <w:r>
        <w:rPr>
          <w:iCs/>
          <w:i/>
        </w:rPr>
        <w:t xml:space="preserve">Pure grammar in Kannada prose,</w:t>
      </w:r>
      <w:r>
        <w:rPr>
          <w:iCs/>
          <w:i/>
        </w:rPr>
        <w:t xml:space="preserve"> </w:t>
      </w:r>
      <w:r>
        <w:rPr>
          <w:bCs/>
          <w:b/>
          <w:iCs/>
          <w:i/>
        </w:rPr>
        <w:t xml:space="preserve">characterized in outline</w:t>
      </w:r>
      <w:r>
        <w:rPr>
          <w:iCs/>
          <w:i/>
        </w:rPr>
        <w:t xml:space="preserve">, sūtras kept; numbers as read.)</w:t>
      </w:r>
    </w:p>
    <w:p>
      <w:pPr>
        <w:pStyle w:val="BodyText"/>
      </w:pPr>
      <w:r>
        <w:rPr>
          <w:iCs/>
          <w:i/>
        </w:rPr>
        <w:t xml:space="preserve">(Continuing from p. 194:)</w:t>
      </w:r>
      <w:r>
        <w:t xml:space="preserve"> </w:t>
      </w:r>
      <w:r>
        <w:t xml:space="preserve">…</w:t>
      </w:r>
      <w:r>
        <w:t xml:space="preserve">“</w:t>
      </w:r>
      <w:r>
        <w:t xml:space="preserve">akṣīṇa</w:t>
      </w:r>
      <w:r>
        <w:t xml:space="preserve">”</w:t>
      </w:r>
      <w:r>
        <w:t xml:space="preserve"> </w:t>
      </w:r>
      <w:r>
        <w:t xml:space="preserve">would be obtained, and not</w:t>
      </w:r>
      <w:r>
        <w:t xml:space="preserve"> </w:t>
      </w:r>
      <w:r>
        <w:t xml:space="preserve">“</w:t>
      </w:r>
      <w:r>
        <w:t xml:space="preserve">akṣita.</w:t>
      </w:r>
      <w:r>
        <w:t xml:space="preserve">”</w:t>
      </w:r>
      <w:r>
        <w:t xml:space="preserve"> </w:t>
      </w:r>
      <w:r>
        <w:t xml:space="preserve">Then,</w:t>
      </w:r>
      <w:r>
        <w:t xml:space="preserve"> </w:t>
      </w:r>
      <w:r>
        <w:rPr>
          <w:bCs/>
          <w:b/>
        </w:rPr>
        <w:t xml:space="preserve">नपुंसके भावे क्तः</w:t>
      </w:r>
      <w:r>
        <w:t xml:space="preserve"> </w:t>
      </w:r>
      <w:r>
        <w:t xml:space="preserve">(पा. ३-३-११४; printed here</w:t>
      </w:r>
      <w:r>
        <w:t xml:space="preserve"> </w:t>
      </w:r>
      <w:r>
        <w:t xml:space="preserve">“</w:t>
      </w:r>
      <w:r>
        <w:t xml:space="preserve">8-2-46</w:t>
      </w:r>
      <w:r>
        <w:t xml:space="preserve">”</w:t>
      </w:r>
      <w:r>
        <w:t xml:space="preserve">) — in the neuter, the affix</w:t>
      </w:r>
      <w:r>
        <w:t xml:space="preserve"> </w:t>
      </w:r>
      <w:r>
        <w:t xml:space="preserve">“</w:t>
      </w:r>
      <w:r>
        <w:t xml:space="preserve">kta</w:t>
      </w:r>
      <w:r>
        <w:t xml:space="preserve">”</w:t>
      </w:r>
      <w:r>
        <w:t xml:space="preserve"> </w:t>
      </w:r>
      <w:r>
        <w:t xml:space="preserve">in the sense of state (bhāva) is added after a root denoting</w:t>
      </w:r>
      <w:r>
        <w:t xml:space="preserve"> </w:t>
      </w:r>
      <w:r>
        <w:t xml:space="preserve">“</w:t>
      </w:r>
      <w:r>
        <w:t xml:space="preserve">kāla-sāmānya</w:t>
      </w:r>
      <w:r>
        <w:t xml:space="preserve">”</w:t>
      </w:r>
      <w:r>
        <w:t xml:space="preserve"> </w:t>
      </w:r>
      <w:r>
        <w:t xml:space="preserve">(the general sense of time); in this view the sense of the affix is state, and with</w:t>
      </w:r>
      <w:r>
        <w:t xml:space="preserve"> </w:t>
      </w:r>
      <w:r>
        <w:rPr>
          <w:bCs/>
          <w:b/>
        </w:rPr>
        <w:t xml:space="preserve">अण्यदर्थे</w:t>
      </w:r>
      <w:r>
        <w:t xml:space="preserve"> </w:t>
      </w:r>
      <w:r>
        <w:t xml:space="preserve">(पा. ६-४-६०) there is a prohibition on the lengthening, so the</w:t>
      </w:r>
      <w:r>
        <w:t xml:space="preserve"> </w:t>
      </w:r>
      <w:r>
        <w:t xml:space="preserve">“</w:t>
      </w:r>
      <w:r>
        <w:t xml:space="preserve">ī</w:t>
      </w:r>
      <w:r>
        <w:t xml:space="preserve">”</w:t>
      </w:r>
      <w:r>
        <w:t xml:space="preserve"> </w:t>
      </w:r>
      <w:r>
        <w:t xml:space="preserve">lengthening of</w:t>
      </w:r>
      <w:r>
        <w:t xml:space="preserve"> </w:t>
      </w:r>
      <w:r>
        <w:rPr>
          <w:bCs/>
          <w:b/>
        </w:rPr>
        <w:t xml:space="preserve">क्षियो दीर्घात्</w:t>
      </w:r>
      <w:r>
        <w:t xml:space="preserve"> </w:t>
      </w:r>
      <w:r>
        <w:t xml:space="preserve">(पा. ८-२-४६) does not arise and the</w:t>
      </w:r>
      <w:r>
        <w:t xml:space="preserve"> </w:t>
      </w:r>
      <w:r>
        <w:t xml:space="preserve">“</w:t>
      </w:r>
      <w:r>
        <w:t xml:space="preserve">t</w:t>
      </w:r>
      <w:r>
        <w:t xml:space="preserve">”</w:t>
      </w:r>
      <w:r>
        <w:t xml:space="preserve"> </w:t>
      </w:r>
      <w:r>
        <w:t xml:space="preserve">does not become</w:t>
      </w:r>
      <w:r>
        <w:t xml:space="preserve"> </w:t>
      </w:r>
      <w:r>
        <w:t xml:space="preserve">“</w:t>
      </w:r>
      <w:r>
        <w:t xml:space="preserve">n</w:t>
      </w:r>
      <w:r>
        <w:t xml:space="preserve">”</w:t>
      </w:r>
      <w:r>
        <w:t xml:space="preserve">; the form is</w:t>
      </w:r>
      <w:r>
        <w:t xml:space="preserve"> </w:t>
      </w:r>
      <w:r>
        <w:t xml:space="preserve">“</w:t>
      </w:r>
      <w:r>
        <w:t xml:space="preserve">kṣita.</w:t>
      </w:r>
      <w:r>
        <w:t xml:space="preserve">”</w:t>
      </w:r>
      <w:r>
        <w:t xml:space="preserve"> </w:t>
      </w:r>
      <w:r>
        <w:t xml:space="preserve">Yet, since</w:t>
      </w:r>
      <w:r>
        <w:t xml:space="preserve"> </w:t>
      </w:r>
      <w:r>
        <w:t xml:space="preserve">“</w:t>
      </w:r>
      <w:r>
        <w:t xml:space="preserve">kṣita</w:t>
      </w:r>
      <w:r>
        <w:t xml:space="preserve">”</w:t>
      </w:r>
      <w:r>
        <w:t xml:space="preserve"> </w:t>
      </w:r>
      <w:r>
        <w:t xml:space="preserve">has no connection in sense with</w:t>
      </w:r>
      <w:r>
        <w:t xml:space="preserve"> </w:t>
      </w:r>
      <w:r>
        <w:t xml:space="preserve">“</w:t>
      </w:r>
      <w:r>
        <w:t xml:space="preserve">ūti</w:t>
      </w:r>
      <w:r>
        <w:t xml:space="preserve">”</w:t>
      </w:r>
      <w:r>
        <w:t xml:space="preserve"> </w:t>
      </w:r>
      <w:r>
        <w:t xml:space="preserve">as a word in a</w:t>
      </w:r>
      <w:r>
        <w:t xml:space="preserve"> </w:t>
      </w:r>
      <w:r>
        <w:t xml:space="preserve">“</w:t>
      </w:r>
      <w:r>
        <w:t xml:space="preserve">nañ</w:t>
      </w:r>
      <w:r>
        <w:t xml:space="preserve">”</w:t>
      </w:r>
      <w:r>
        <w:t xml:space="preserve">-tatpuruṣa, it is not possible to make a tatpuruṣa; one makes a</w:t>
      </w:r>
      <w:r>
        <w:t xml:space="preserve"> </w:t>
      </w:r>
      <w:r>
        <w:rPr>
          <w:bCs/>
          <w:b/>
        </w:rPr>
        <w:t xml:space="preserve">bahuvrīhi</w:t>
      </w:r>
      <w:r>
        <w:t xml:space="preserve"> </w:t>
      </w:r>
      <w:r>
        <w:t xml:space="preserve">—</w:t>
      </w:r>
      <w:r>
        <w:t xml:space="preserve"> </w:t>
      </w:r>
      <w:r>
        <w:t xml:space="preserve">“</w:t>
      </w:r>
      <w:r>
        <w:t xml:space="preserve">na kṣitā ūtiḥ yasya saḥ.</w:t>
      </w:r>
      <w:r>
        <w:t xml:space="preserve">”</w:t>
      </w:r>
      <w:r>
        <w:t xml:space="preserve"> </w:t>
      </w:r>
      <w:r>
        <w:t xml:space="preserve">In a bahuvrīhi with</w:t>
      </w:r>
      <w:r>
        <w:t xml:space="preserve"> </w:t>
      </w:r>
      <w:r>
        <w:t xml:space="preserve">“</w:t>
      </w:r>
      <w:r>
        <w:t xml:space="preserve">nañ,</w:t>
      </w:r>
      <w:r>
        <w:t xml:space="preserve">”</w:t>
      </w:r>
      <w:r>
        <w:t xml:space="preserve"> </w:t>
      </w:r>
      <w:r>
        <w:t xml:space="preserve">by</w:t>
      </w:r>
      <w:r>
        <w:t xml:space="preserve"> </w:t>
      </w:r>
      <w:r>
        <w:rPr>
          <w:bCs/>
          <w:b/>
        </w:rPr>
        <w:t xml:space="preserve">नञ्सुभ्याम्</w:t>
      </w:r>
      <w:r>
        <w:t xml:space="preserve"> </w:t>
      </w:r>
      <w:r>
        <w:t xml:space="preserve">(पा. ६-२-१७२) the second member is end-acute. Then, joining</w:t>
      </w:r>
      <w:r>
        <w:t xml:space="preserve"> </w:t>
      </w:r>
      <w:r>
        <w:t xml:space="preserve">“</w:t>
      </w:r>
      <w:r>
        <w:t xml:space="preserve">akṣita</w:t>
      </w:r>
      <w:r>
        <w:t xml:space="preserve">”</w:t>
      </w:r>
      <w:r>
        <w:t xml:space="preserve"> </w:t>
      </w:r>
      <w:r>
        <w:t xml:space="preserve">with</w:t>
      </w:r>
      <w:r>
        <w:t xml:space="preserve"> </w:t>
      </w:r>
      <w:r>
        <w:t xml:space="preserve">“</w:t>
      </w:r>
      <w:r>
        <w:t xml:space="preserve">ūti</w:t>
      </w:r>
      <w:r>
        <w:t xml:space="preserve">”</w:t>
      </w:r>
      <w:r>
        <w:t xml:space="preserve"> </w:t>
      </w:r>
      <w:r>
        <w:t xml:space="preserve">as a bahuvrīhi,</w:t>
      </w:r>
      <w:r>
        <w:t xml:space="preserve"> </w:t>
      </w:r>
      <w:r>
        <w:rPr>
          <w:bCs/>
          <w:b/>
        </w:rPr>
        <w:t xml:space="preserve">बहुव्रीहौ प्रकृत्या पूर्वपदम्</w:t>
      </w:r>
      <w:r>
        <w:t xml:space="preserve"> </w:t>
      </w:r>
      <w:r>
        <w:t xml:space="preserve">(पा. ६-२-१) — the first member’s own accent — would apply and stop it; so that, instead of the wished-for first-syllable acute, the print says, the accent does not come out; and in this view</w:t>
      </w:r>
      <w:r>
        <w:t xml:space="preserve"> </w:t>
      </w:r>
      <w:r>
        <w:t xml:space="preserve">“</w:t>
      </w:r>
      <w:r>
        <w:t xml:space="preserve">akṣita</w:t>
      </w:r>
      <w:r>
        <w:t xml:space="preserve">”</w:t>
      </w:r>
      <w:r>
        <w:t xml:space="preserve"> </w:t>
      </w:r>
      <w:r>
        <w:t xml:space="preserve">is not formed in the sense of the agent or locus, while in the sense of the state the accent is first-syllable acute but only if the</w:t>
      </w:r>
      <w:r>
        <w:t xml:space="preserve"> </w:t>
      </w:r>
      <w:r>
        <w:t xml:space="preserve">“</w:t>
      </w:r>
      <w:r>
        <w:t xml:space="preserve">vivakṣā</w:t>
      </w:r>
      <w:r>
        <w:t xml:space="preserve">”</w:t>
      </w:r>
      <w:r>
        <w:t xml:space="preserve"> </w:t>
      </w:r>
      <w:r>
        <w:t xml:space="preserve">(intention) is of that sort. In the sense</w:t>
      </w:r>
      <w:r>
        <w:t xml:space="preserve"> </w:t>
      </w:r>
      <w:r>
        <w:t xml:space="preserve">“</w:t>
      </w:r>
      <w:r>
        <w:t xml:space="preserve">karman,</w:t>
      </w:r>
      <w:r>
        <w:t xml:space="preserve">”</w:t>
      </w:r>
      <w:r>
        <w:t xml:space="preserve"> </w:t>
      </w:r>
      <w:r>
        <w:t xml:space="preserve">the root being intransitive, the affix</w:t>
      </w:r>
      <w:r>
        <w:t xml:space="preserve"> </w:t>
      </w:r>
      <w:r>
        <w:t xml:space="preserve">“</w:t>
      </w:r>
      <w:r>
        <w:t xml:space="preserve">kta</w:t>
      </w:r>
      <w:r>
        <w:t xml:space="preserve">”</w:t>
      </w:r>
      <w:r>
        <w:t xml:space="preserve"> </w:t>
      </w:r>
      <w:r>
        <w:t xml:space="preserve">cannot be added; so for this reason the root</w:t>
      </w:r>
      <w:r>
        <w:t xml:space="preserve"> </w:t>
      </w:r>
      <w:r>
        <w:t xml:space="preserve">“</w:t>
      </w:r>
      <w:r>
        <w:t xml:space="preserve">kṣi</w:t>
      </w:r>
      <w:r>
        <w:t xml:space="preserve">”</w:t>
      </w:r>
      <w:r>
        <w:t xml:space="preserve"> </w:t>
      </w:r>
      <w:r>
        <w:t xml:space="preserve">is taken with the</w:t>
      </w:r>
      <w:r>
        <w:t xml:space="preserve"> </w:t>
      </w:r>
      <w:r>
        <w:t xml:space="preserve">“</w:t>
      </w:r>
      <w:r>
        <w:t xml:space="preserve">ṇic</w:t>
      </w:r>
      <w:r>
        <w:t xml:space="preserve">”</w:t>
      </w:r>
      <w:r>
        <w:t xml:space="preserve"> </w:t>
      </w:r>
      <w:r>
        <w:t xml:space="preserve">sense included —</w:t>
      </w:r>
      <w:r>
        <w:t xml:space="preserve"> </w:t>
      </w:r>
      <w:r>
        <w:t xml:space="preserve">“</w:t>
      </w:r>
      <w:r>
        <w:t xml:space="preserve">antarbhāvita-ṇyartha</w:t>
      </w:r>
      <w:r>
        <w:t xml:space="preserve">”</w:t>
      </w:r>
      <w:r>
        <w:t xml:space="preserve"> </w:t>
      </w:r>
      <w:r>
        <w:t xml:space="preserve">—</w:t>
      </w:r>
      <w:r>
        <w:t xml:space="preserve"> </w:t>
      </w:r>
      <w:r>
        <w:t xml:space="preserve">“</w:t>
      </w:r>
      <w:r>
        <w:t xml:space="preserve">kṣayati</w:t>
      </w:r>
      <w:r>
        <w:t xml:space="preserve">”</w:t>
      </w:r>
      <w:r>
        <w:t xml:space="preserve">:</w:t>
      </w:r>
      <w:r>
        <w:t xml:space="preserve"> </w:t>
      </w:r>
      <w:r>
        <w:t xml:space="preserve">“</w:t>
      </w:r>
      <w:r>
        <w:t xml:space="preserve">kṣāyayati</w:t>
      </w:r>
      <w:r>
        <w:t xml:space="preserve">”</w:t>
      </w:r>
      <w:r>
        <w:t xml:space="preserve"> </w:t>
      </w:r>
      <w:r>
        <w:t xml:space="preserve">(</w:t>
      </w:r>
      <w:r>
        <w:t xml:space="preserve">“</w:t>
      </w:r>
      <w:r>
        <w:t xml:space="preserve">he causes to decay</w:t>
      </w:r>
      <w:r>
        <w:t xml:space="preserve">”</w:t>
      </w:r>
      <w:r>
        <w:t xml:space="preserve">); this is transitive, so</w:t>
      </w:r>
      <w:r>
        <w:t xml:space="preserve"> </w:t>
      </w:r>
      <w:r>
        <w:t xml:space="preserve">“</w:t>
      </w:r>
      <w:r>
        <w:t xml:space="preserve">kta</w:t>
      </w:r>
      <w:r>
        <w:t xml:space="preserve">”</w:t>
      </w:r>
      <w:r>
        <w:t xml:space="preserve"> </w:t>
      </w:r>
      <w:r>
        <w:t xml:space="preserve">in the</w:t>
      </w:r>
      <w:r>
        <w:t xml:space="preserve"> </w:t>
      </w:r>
      <w:r>
        <w:t xml:space="preserve">“</w:t>
      </w:r>
      <w:r>
        <w:t xml:space="preserve">karman</w:t>
      </w:r>
      <w:r>
        <w:t xml:space="preserve">”</w:t>
      </w:r>
      <w:r>
        <w:t xml:space="preserve"> </w:t>
      </w:r>
      <w:r>
        <w:t xml:space="preserve">sense is added; and</w:t>
      </w:r>
      <w:r>
        <w:t xml:space="preserve"> </w:t>
      </w:r>
      <w:r>
        <w:rPr>
          <w:bCs/>
          <w:b/>
        </w:rPr>
        <w:t xml:space="preserve">अण्यदर्थे</w:t>
      </w:r>
      <w:r>
        <w:t xml:space="preserve"> </w:t>
      </w:r>
      <w:r>
        <w:t xml:space="preserve">blocks the lengthening and so</w:t>
      </w:r>
      <w:r>
        <w:t xml:space="preserve"> </w:t>
      </w:r>
      <w:r>
        <w:t xml:space="preserve">“</w:t>
      </w:r>
      <w:r>
        <w:t xml:space="preserve">nattva</w:t>
      </w:r>
      <w:r>
        <w:t xml:space="preserve">”</w:t>
      </w:r>
      <w:r>
        <w:t xml:space="preserve">;</w:t>
      </w:r>
      <w:r>
        <w:t xml:space="preserve"> </w:t>
      </w:r>
      <w:r>
        <w:t xml:space="preserve">“</w:t>
      </w:r>
      <w:r>
        <w:t xml:space="preserve">na kṣitā — akṣitā</w:t>
      </w:r>
      <w:r>
        <w:t xml:space="preserve">”</w:t>
      </w:r>
      <w:r>
        <w:t xml:space="preserve"> </w:t>
      </w:r>
      <w:r>
        <w:t xml:space="preserve">—</w:t>
      </w:r>
      <w:r>
        <w:t xml:space="preserve"> </w:t>
      </w:r>
      <w:r>
        <w:t xml:space="preserve">“</w:t>
      </w:r>
      <w:r>
        <w:t xml:space="preserve">akṣayitā</w:t>
      </w:r>
      <w:r>
        <w:t xml:space="preserve">”</w:t>
      </w:r>
      <w:r>
        <w:t xml:space="preserve"> </w:t>
      </w:r>
      <w:r>
        <w:t xml:space="preserve">(that which does not decay); by</w:t>
      </w:r>
      <w:r>
        <w:t xml:space="preserve"> </w:t>
      </w:r>
      <w:r>
        <w:rPr>
          <w:bCs/>
          <w:b/>
        </w:rPr>
        <w:t xml:space="preserve">तत्पुरुषे तुल्यार्थ…</w:t>
      </w:r>
      <w:r>
        <w:t xml:space="preserve"> </w:t>
      </w:r>
      <w:r>
        <w:t xml:space="preserve">(पा. ६-२-२) the accent of the first member of an</w:t>
      </w:r>
      <w:r>
        <w:t xml:space="preserve"> </w:t>
      </w:r>
      <w:r>
        <w:t xml:space="preserve">“</w:t>
      </w:r>
      <w:r>
        <w:t xml:space="preserve">avyaya</w:t>
      </w:r>
      <w:r>
        <w:t xml:space="preserve">”</w:t>
      </w:r>
      <w:r>
        <w:t xml:space="preserve">-prefixed compound is retained, so</w:t>
      </w:r>
      <w:r>
        <w:t xml:space="preserve"> </w:t>
      </w:r>
      <w:r>
        <w:t xml:space="preserve">“</w:t>
      </w:r>
      <w:r>
        <w:t xml:space="preserve">nañ</w:t>
      </w:r>
      <w:r>
        <w:t xml:space="preserve">”</w:t>
      </w:r>
      <w:r>
        <w:t xml:space="preserve"> </w:t>
      </w:r>
      <w:r>
        <w:t xml:space="preserve">is acute; when</w:t>
      </w:r>
      <w:r>
        <w:t xml:space="preserve"> </w:t>
      </w:r>
      <w:r>
        <w:t xml:space="preserve">“</w:t>
      </w:r>
      <w:r>
        <w:t xml:space="preserve">ūti</w:t>
      </w:r>
      <w:r>
        <w:t xml:space="preserve">”</w:t>
      </w:r>
      <w:r>
        <w:t xml:space="preserve"> </w:t>
      </w:r>
      <w:r>
        <w:t xml:space="preserve">is joined,</w:t>
      </w:r>
      <w:r>
        <w:t xml:space="preserve"> </w:t>
      </w:r>
      <w:r>
        <w:rPr>
          <w:bCs/>
          <w:b/>
        </w:rPr>
        <w:t xml:space="preserve">बहुव्रीहौ प्रकृत्या पूर्वपदम्</w:t>
      </w:r>
      <w:r>
        <w:t xml:space="preserve"> </w:t>
      </w:r>
      <w:r>
        <w:t xml:space="preserve">(पा. ६-२-१) stops there; so the form is accomplished and the intended accent obtained, and there is no fault. Or: from</w:t>
      </w:r>
      <w:r>
        <w:t xml:space="preserve"> </w:t>
      </w:r>
      <w:r>
        <w:t xml:space="preserve">“</w:t>
      </w:r>
      <w:r>
        <w:t xml:space="preserve">kṣi</w:t>
      </w:r>
      <w:r>
        <w:t xml:space="preserve">”</w:t>
      </w:r>
      <w:r>
        <w:t xml:space="preserve"> </w:t>
      </w:r>
      <w:r>
        <w:t xml:space="preserve">as a</w:t>
      </w:r>
      <w:r>
        <w:t xml:space="preserve"> </w:t>
      </w:r>
      <w:r>
        <w:t xml:space="preserve">“</w:t>
      </w:r>
      <w:r>
        <w:t xml:space="preserve">svādi</w:t>
      </w:r>
      <w:r>
        <w:t xml:space="preserve">”</w:t>
      </w:r>
      <w:r>
        <w:t xml:space="preserve"> </w:t>
      </w:r>
      <w:r>
        <w:t xml:space="preserve">root in the sense of injuring (</w:t>
      </w:r>
      <w:r>
        <w:rPr>
          <w:bCs/>
          <w:b/>
        </w:rPr>
        <w:t xml:space="preserve">रि क्षि चिरि जिरि दाश दृ जिघांसायाम्</w:t>
      </w:r>
      <w:r>
        <w:t xml:space="preserve">, the dhātupāṭha list),</w:t>
      </w:r>
      <w:r>
        <w:t xml:space="preserve"> </w:t>
      </w:r>
      <w:r>
        <w:t xml:space="preserve">“</w:t>
      </w:r>
      <w:r>
        <w:t xml:space="preserve">kta</w:t>
      </w:r>
      <w:r>
        <w:t xml:space="preserve">”</w:t>
      </w:r>
      <w:r>
        <w:t xml:space="preserve"> </w:t>
      </w:r>
      <w:r>
        <w:t xml:space="preserve">in the sense of the object:</w:t>
      </w:r>
      <w:r>
        <w:t xml:space="preserve"> </w:t>
      </w:r>
      <w:r>
        <w:t xml:space="preserve">“</w:t>
      </w:r>
      <w:r>
        <w:t xml:space="preserve">he whose protection (ūti) is unharmed.</w:t>
      </w:r>
      <w:r>
        <w:t xml:space="preserve">”</w:t>
      </w:r>
      <w:r>
        <w:t xml:space="preserve"> </w:t>
      </w:r>
      <w:r>
        <w:t xml:space="preserve">In this view no lengthening comes. The accent of the whole is thus first-syllable acute, as</w:t>
      </w:r>
      <w:r>
        <w:t xml:space="preserve"> </w:t>
      </w:r>
      <w:r>
        <w:t xml:space="preserve">“</w:t>
      </w:r>
      <w:r>
        <w:t xml:space="preserve">nañ</w:t>
      </w:r>
      <w:r>
        <w:t xml:space="preserve">”</w:t>
      </w:r>
      <w:r>
        <w:t xml:space="preserve"> </w:t>
      </w:r>
      <w:r>
        <w:t xml:space="preserve">obtains by</w:t>
      </w:r>
      <w:r>
        <w:t xml:space="preserve"> </w:t>
      </w:r>
      <w:r>
        <w:rPr>
          <w:bCs/>
          <w:b/>
        </w:rPr>
        <w:t xml:space="preserve">अव्ययपूर्वपदप्रकृतिस्वरत्वम्</w:t>
      </w:r>
      <w:r>
        <w:t xml:space="preserve">; and the forms and accents are accomplished.</w:t>
      </w:r>
    </w:p>
    <w:p>
      <w:pPr>
        <w:pStyle w:val="BodyText"/>
      </w:pPr>
      <w:r>
        <w:rPr>
          <w:bCs/>
          <w:b/>
        </w:rPr>
        <w:t xml:space="preserve">“</w:t>
      </w:r>
      <w:r>
        <w:rPr>
          <w:bCs/>
          <w:b/>
        </w:rPr>
        <w:t xml:space="preserve">Sanet</w:t>
      </w:r>
      <w:r>
        <w:rPr>
          <w:bCs/>
          <w:b/>
        </w:rPr>
        <w:t xml:space="preserve">”</w:t>
      </w:r>
      <w:r>
        <w:t xml:space="preserve"> </w:t>
      </w:r>
      <w:r>
        <w:t xml:space="preserve">—</w:t>
      </w:r>
      <w:r>
        <w:t xml:space="preserve"> </w:t>
      </w:r>
      <w:r>
        <w:t xml:space="preserve">“</w:t>
      </w:r>
      <w:r>
        <w:t xml:space="preserve">vana ṣaṇa sambhaktau</w:t>
      </w:r>
      <w:r>
        <w:t xml:space="preserve">”</w:t>
      </w:r>
      <w:r>
        <w:t xml:space="preserve">:</w:t>
      </w:r>
      <w:r>
        <w:t xml:space="preserve"> </w:t>
      </w:r>
      <w:r>
        <w:rPr>
          <w:bCs/>
          <w:b/>
        </w:rPr>
        <w:t xml:space="preserve">धात्वादेः षः सः</w:t>
      </w:r>
      <w:r>
        <w:t xml:space="preserve"> </w:t>
      </w:r>
      <w:r>
        <w:t xml:space="preserve">(पा. ६-१-६४) — the initial</w:t>
      </w:r>
      <w:r>
        <w:t xml:space="preserve"> </w:t>
      </w:r>
      <w:r>
        <w:t xml:space="preserve">“</w:t>
      </w:r>
      <w:r>
        <w:t xml:space="preserve">ṣ</w:t>
      </w:r>
      <w:r>
        <w:t xml:space="preserve">”</w:t>
      </w:r>
      <w:r>
        <w:t xml:space="preserve"> </w:t>
      </w:r>
      <w:r>
        <w:t xml:space="preserve">of</w:t>
      </w:r>
      <w:r>
        <w:t xml:space="preserve"> </w:t>
      </w:r>
      <w:r>
        <w:t xml:space="preserve">“</w:t>
      </w:r>
      <w:r>
        <w:t xml:space="preserve">ṣaṇa</w:t>
      </w:r>
      <w:r>
        <w:t xml:space="preserve">”</w:t>
      </w:r>
      <w:r>
        <w:t xml:space="preserve"> </w:t>
      </w:r>
      <w:r>
        <w:t xml:space="preserve">becomes</w:t>
      </w:r>
      <w:r>
        <w:t xml:space="preserve"> </w:t>
      </w:r>
      <w:r>
        <w:t xml:space="preserve">“</w:t>
      </w:r>
      <w:r>
        <w:t xml:space="preserve">s</w:t>
      </w:r>
      <w:r>
        <w:t xml:space="preserve">”</w:t>
      </w:r>
      <w:r>
        <w:t xml:space="preserve">;</w:t>
      </w:r>
      <w:r>
        <w:t xml:space="preserve"> </w:t>
      </w:r>
      <w:r>
        <w:rPr>
          <w:bCs/>
          <w:b/>
        </w:rPr>
        <w:t xml:space="preserve">निमित्तापाये नैमित्तिकस्याप्यपायः</w:t>
      </w:r>
      <w:r>
        <w:t xml:space="preserve"> </w:t>
      </w:r>
      <w:r>
        <w:t xml:space="preserve">— when the cause is removed the dependent operation ceases, so the</w:t>
      </w:r>
      <w:r>
        <w:t xml:space="preserve"> </w:t>
      </w:r>
      <w:r>
        <w:t xml:space="preserve">“</w:t>
      </w:r>
      <w:r>
        <w:t xml:space="preserve">ṇa</w:t>
      </w:r>
      <w:r>
        <w:t xml:space="preserve">”</w:t>
      </w:r>
      <w:r>
        <w:t xml:space="preserve"> </w:t>
      </w:r>
      <w:r>
        <w:t xml:space="preserve">substitution of the root (the</w:t>
      </w:r>
      <w:r>
        <w:t xml:space="preserve"> </w:t>
      </w:r>
      <w:r>
        <w:t xml:space="preserve">“</w:t>
      </w:r>
      <w:r>
        <w:t xml:space="preserve">ṇ</w:t>
      </w:r>
      <w:r>
        <w:t xml:space="preserve">”</w:t>
      </w:r>
      <w:r>
        <w:t xml:space="preserve"> </w:t>
      </w:r>
      <w:r>
        <w:t xml:space="preserve">came from the initial</w:t>
      </w:r>
      <w:r>
        <w:t xml:space="preserve"> </w:t>
      </w:r>
      <w:r>
        <w:t xml:space="preserve">“</w:t>
      </w:r>
      <w:r>
        <w:t xml:space="preserve">ṣ</w:t>
      </w:r>
      <w:r>
        <w:t xml:space="preserve">”</w:t>
      </w:r>
      <w:r>
        <w:t xml:space="preserve">) is reversed:</w:t>
      </w:r>
      <w:r>
        <w:t xml:space="preserve"> </w:t>
      </w:r>
      <w:r>
        <w:t xml:space="preserve">“</w:t>
      </w:r>
      <w:r>
        <w:t xml:space="preserve">sana.</w:t>
      </w:r>
      <w:r>
        <w:t xml:space="preserve">”</w:t>
      </w:r>
      <w:r>
        <w:t xml:space="preserve"> </w:t>
      </w:r>
      <w:r>
        <w:t xml:space="preserve">The root</w:t>
      </w:r>
      <w:r>
        <w:t xml:space="preserve"> </w:t>
      </w:r>
      <w:r>
        <w:t xml:space="preserve">“</w:t>
      </w:r>
      <w:r>
        <w:t xml:space="preserve">sana</w:t>
      </w:r>
      <w:r>
        <w:t xml:space="preserve">”</w:t>
      </w:r>
      <w:r>
        <w:t xml:space="preserve"> </w:t>
      </w:r>
      <w:r>
        <w:t xml:space="preserve">is read in the</w:t>
      </w:r>
      <w:r>
        <w:t xml:space="preserve"> </w:t>
      </w:r>
      <w:r>
        <w:t xml:space="preserve">“</w:t>
      </w:r>
      <w:r>
        <w:t xml:space="preserve">bhvādi</w:t>
      </w:r>
      <w:r>
        <w:t xml:space="preserve">”</w:t>
      </w:r>
      <w:r>
        <w:t xml:space="preserve"> </w:t>
      </w:r>
      <w:r>
        <w:t xml:space="preserve">class. After it the</w:t>
      </w:r>
      <w:r>
        <w:t xml:space="preserve"> </w:t>
      </w:r>
      <w:r>
        <w:t xml:space="preserve">“</w:t>
      </w:r>
      <w:r>
        <w:t xml:space="preserve">vidhi-liṅ</w:t>
      </w:r>
      <w:r>
        <w:t xml:space="preserve">”</w:t>
      </w:r>
      <w:r>
        <w:t xml:space="preserve"> </w:t>
      </w:r>
      <w:r>
        <w:t xml:space="preserve">(optative):</w:t>
      </w:r>
      <w:r>
        <w:t xml:space="preserve"> </w:t>
      </w:r>
      <w:r>
        <w:rPr>
          <w:bCs/>
          <w:b/>
        </w:rPr>
        <w:t xml:space="preserve">विधिनिमन्त्रणामन्त्रणाधीष्टसंप्रश्नप्रार्थनेषु लिङ्</w:t>
      </w:r>
      <w:r>
        <w:t xml:space="preserve"> </w:t>
      </w:r>
      <w:r>
        <w:t xml:space="preserve">(पा. ३-३-१६१) —</w:t>
      </w:r>
      <w:r>
        <w:t xml:space="preserve"> </w:t>
      </w:r>
      <w:r>
        <w:t xml:space="preserve">“</w:t>
      </w:r>
      <w:r>
        <w:t xml:space="preserve">liṅ</w:t>
      </w:r>
      <w:r>
        <w:t xml:space="preserve">”</w:t>
      </w:r>
      <w:r>
        <w:t xml:space="preserve"> </w:t>
      </w:r>
      <w:r>
        <w:t xml:space="preserve">in prescription; the third-person singular</w:t>
      </w:r>
      <w:r>
        <w:t xml:space="preserve"> </w:t>
      </w:r>
      <w:r>
        <w:t xml:space="preserve">“</w:t>
      </w:r>
      <w:r>
        <w:t xml:space="preserve">tip</w:t>
      </w:r>
      <w:r>
        <w:t xml:space="preserve">”</w:t>
      </w:r>
      <w:r>
        <w:t xml:space="preserve">;</w:t>
      </w:r>
      <w:r>
        <w:t xml:space="preserve"> </w:t>
      </w:r>
      <w:r>
        <w:rPr>
          <w:bCs/>
          <w:b/>
        </w:rPr>
        <w:t xml:space="preserve">यासुट् परस्मैपदेषूदात्तो ङिच्च</w:t>
      </w:r>
      <w:r>
        <w:t xml:space="preserve"> </w:t>
      </w:r>
      <w:r>
        <w:t xml:space="preserve">(पा. ३-४-१०३; printed</w:t>
      </w:r>
      <w:r>
        <w:t xml:space="preserve"> </w:t>
      </w:r>
      <w:r>
        <w:t xml:space="preserve">“</w:t>
      </w:r>
      <w:r>
        <w:t xml:space="preserve">3-3-103</w:t>
      </w:r>
      <w:r>
        <w:t xml:space="preserve">”</w:t>
      </w:r>
      <w:r>
        <w:t xml:space="preserve">) — the augment</w:t>
      </w:r>
      <w:r>
        <w:t xml:space="preserve"> </w:t>
      </w:r>
      <w:r>
        <w:t xml:space="preserve">“</w:t>
      </w:r>
      <w:r>
        <w:t xml:space="preserve">yāsuṭ</w:t>
      </w:r>
      <w:r>
        <w:t xml:space="preserve">”</w:t>
      </w:r>
      <w:r>
        <w:t xml:space="preserve">;</w:t>
      </w:r>
      <w:r>
        <w:t xml:space="preserve"> </w:t>
      </w:r>
      <w:r>
        <w:rPr>
          <w:bCs/>
          <w:b/>
        </w:rPr>
        <w:t xml:space="preserve">सुट् तिथोः</w:t>
      </w:r>
      <w:r>
        <w:t xml:space="preserve"> </w:t>
      </w:r>
      <w:r>
        <w:t xml:space="preserve">(पा. ३-४-१०७) —</w:t>
      </w:r>
      <w:r>
        <w:t xml:space="preserve"> </w:t>
      </w:r>
      <w:r>
        <w:t xml:space="preserve">“</w:t>
      </w:r>
      <w:r>
        <w:t xml:space="preserve">suṭ</w:t>
      </w:r>
      <w:r>
        <w:t xml:space="preserve">”</w:t>
      </w:r>
      <w:r>
        <w:t xml:space="preserve"> </w:t>
      </w:r>
      <w:r>
        <w:t xml:space="preserve">is the augment of</w:t>
      </w:r>
      <w:r>
        <w:t xml:space="preserve"> </w:t>
      </w:r>
      <w:r>
        <w:t xml:space="preserve">“</w:t>
      </w:r>
      <w:r>
        <w:t xml:space="preserve">ti/thas</w:t>
      </w:r>
      <w:r>
        <w:t xml:space="preserve">”</w:t>
      </w:r>
      <w:r>
        <w:t xml:space="preserve"> </w:t>
      </w:r>
      <w:r>
        <w:t xml:space="preserve">in</w:t>
      </w:r>
      <w:r>
        <w:t xml:space="preserve"> </w:t>
      </w:r>
      <w:r>
        <w:t xml:space="preserve">“</w:t>
      </w:r>
      <w:r>
        <w:t xml:space="preserve">liṅ</w:t>
      </w:r>
      <w:r>
        <w:t xml:space="preserve">”</w:t>
      </w:r>
      <w:r>
        <w:t xml:space="preserve"> </w:t>
      </w:r>
      <w:r>
        <w:t xml:space="preserve">…</w:t>
      </w:r>
      <w:r>
        <w:t xml:space="preserve"> </w:t>
      </w:r>
      <w:r>
        <w:rPr>
          <w:iCs/>
          <w:i/>
        </w:rPr>
        <w:t xml:space="preserve">(continues on the next page)</w:t>
      </w:r>
    </w:p>
    <w:bookmarkEnd w:id="232"/>
    <w:bookmarkStart w:id="233" w:name="X571d347dd153d75bbf6d3f8aba6e3b12d454e0d"/>
    <w:p>
      <w:pPr>
        <w:pStyle w:val="Heading3"/>
      </w:pPr>
      <w:r>
        <w:t xml:space="preserve">Pages 196–197 — Vyākaraṇa-prakriyā for Rik 5.9 concluded (characterized); Sūkta 5, Tenth Mantra: Saṃhitā</w:t>
      </w:r>
    </w:p>
    <w:p>
      <w:pPr>
        <w:pStyle w:val="FirstParagraph"/>
      </w:pPr>
      <w:r>
        <w:rPr>
          <w:iCs/>
          <w:i/>
        </w:rPr>
        <w:t xml:space="preserve">(Page headers: p. 196</w:t>
      </w:r>
      <w:r>
        <w:rPr>
          <w:iCs/>
          <w:i/>
        </w:rPr>
        <w:t xml:space="preserve"> </w:t>
      </w:r>
      <w:r>
        <w:rPr>
          <w:iCs/>
          <w:i/>
        </w:rPr>
        <w:t xml:space="preserve">“</w:t>
      </w:r>
      <w:r>
        <w:rPr>
          <w:iCs/>
          <w:i/>
        </w:rPr>
        <w:t xml:space="preserve">Sāyaṇa-bhāṣya-sahitā · Maṇḍala 1, Anuvāka 2, Sūkta 5</w:t>
      </w:r>
      <w:r>
        <w:rPr>
          <w:iCs/>
          <w:i/>
        </w:rPr>
        <w:t xml:space="preserve">”</w:t>
      </w:r>
      <w:r>
        <w:rPr>
          <w:iCs/>
          <w:i/>
        </w:rPr>
        <w:t xml:space="preserve">; p. 197</w:t>
      </w:r>
      <w:r>
        <w:rPr>
          <w:iCs/>
          <w:i/>
        </w:rPr>
        <w:t xml:space="preserve"> </w:t>
      </w:r>
      <w:r>
        <w:rPr>
          <w:iCs/>
          <w:i/>
        </w:rPr>
        <w:t xml:space="preserve">“</w:t>
      </w:r>
      <w:r>
        <w:rPr>
          <w:iCs/>
          <w:i/>
        </w:rPr>
        <w:t xml:space="preserve">Aṣṭaka 1, Adhyāya 1, Varga 10 · Ṛgveda-saṃhitā.</w:t>
      </w:r>
      <w:r>
        <w:rPr>
          <w:iCs/>
          <w:i/>
        </w:rPr>
        <w:t xml:space="preserve">”</w:t>
      </w:r>
      <w:r>
        <w:rPr>
          <w:iCs/>
          <w:i/>
        </w:rPr>
        <w:t xml:space="preserve"> </w:t>
      </w:r>
      <w:r>
        <w:rPr>
          <w:iCs/>
          <w:i/>
        </w:rPr>
        <w:t xml:space="preserve">These two pages are</w:t>
      </w:r>
      <w:r>
        <w:rPr>
          <w:iCs/>
          <w:i/>
        </w:rPr>
        <w:t xml:space="preserve"> </w:t>
      </w:r>
      <w:r>
        <w:rPr>
          <w:bCs/>
          <w:b/>
          <w:iCs/>
          <w:i/>
        </w:rPr>
        <w:t xml:space="preserve">pure Pāṇinian derivation in Kannada prose</w:t>
      </w:r>
      <w:r>
        <w:rPr>
          <w:iCs/>
          <w:i/>
        </w:rPr>
        <w:t xml:space="preserve">. They do not bear on the sense of Rik 5.9 (pp. 191–193).</w:t>
      </w:r>
      <w:r>
        <w:rPr>
          <w:iCs/>
          <w:i/>
        </w:rPr>
        <w:t xml:space="preserve"> </w:t>
      </w:r>
      <w:r>
        <w:rPr>
          <w:bCs/>
          <w:b/>
          <w:iCs/>
          <w:i/>
        </w:rPr>
        <w:t xml:space="preserve">Characterized in outline</w:t>
      </w:r>
      <w:r>
        <w:rPr>
          <w:iCs/>
          <w:i/>
        </w:rPr>
        <w:t xml:space="preserve">; sūtras kept; re-read from the better scan. Saṃhitā accents as printed; Pada unaccented.)</w:t>
      </w:r>
    </w:p>
    <w:p>
      <w:pPr>
        <w:pStyle w:val="BodyText"/>
      </w:pPr>
      <w:r>
        <w:rPr>
          <w:bCs/>
          <w:b/>
        </w:rPr>
        <w:t xml:space="preserve">p. 196.</w:t>
      </w:r>
      <w:r>
        <w:t xml:space="preserve"> </w:t>
      </w:r>
      <w:r>
        <w:t xml:space="preserve">-</w:t>
      </w:r>
      <w:r>
        <w:t xml:space="preserve"> </w:t>
      </w:r>
      <w:r>
        <w:rPr>
          <w:bCs/>
          <w:b/>
        </w:rPr>
        <w:t xml:space="preserve">“</w:t>
      </w:r>
      <w:r>
        <w:rPr>
          <w:bCs/>
          <w:b/>
        </w:rPr>
        <w:t xml:space="preserve">Sanet</w:t>
      </w:r>
      <w:r>
        <w:rPr>
          <w:bCs/>
          <w:b/>
        </w:rPr>
        <w:t xml:space="preserve">”</w:t>
      </w:r>
      <w:r>
        <w:t xml:space="preserve"> </w:t>
      </w:r>
      <w:r>
        <w:rPr>
          <w:iCs/>
          <w:i/>
        </w:rPr>
        <w:t xml:space="preserve">(concluded)</w:t>
      </w:r>
      <w:r>
        <w:t xml:space="preserve"> </w:t>
      </w:r>
      <w:r>
        <w:t xml:space="preserve">— after</w:t>
      </w:r>
      <w:r>
        <w:t xml:space="preserve"> </w:t>
      </w:r>
      <w:r>
        <w:t xml:space="preserve">“</w:t>
      </w:r>
      <w:r>
        <w:t xml:space="preserve">yāsuṭ</w:t>
      </w:r>
      <w:r>
        <w:t xml:space="preserve">”</w:t>
      </w:r>
      <w:r>
        <w:t xml:space="preserve"> </w:t>
      </w:r>
      <w:r>
        <w:t xml:space="preserve">and</w:t>
      </w:r>
      <w:r>
        <w:t xml:space="preserve"> </w:t>
      </w:r>
      <w:r>
        <w:t xml:space="preserve">“</w:t>
      </w:r>
      <w:r>
        <w:t xml:space="preserve">suṭ,</w:t>
      </w:r>
      <w:r>
        <w:t xml:space="preserve">”</w:t>
      </w:r>
      <w:r>
        <w:t xml:space="preserve"> </w:t>
      </w:r>
      <w:r>
        <w:t xml:space="preserve">“</w:t>
      </w:r>
      <w:r>
        <w:t xml:space="preserve">śap</w:t>
      </w:r>
      <w:r>
        <w:t xml:space="preserve">”</w:t>
      </w:r>
      <w:r>
        <w:t xml:space="preserve"> </w:t>
      </w:r>
      <w:r>
        <w:t xml:space="preserve">(</w:t>
      </w:r>
      <w:r>
        <w:rPr>
          <w:bCs/>
          <w:b/>
        </w:rPr>
        <w:t xml:space="preserve">कर्तरि शप्</w:t>
      </w:r>
      <w:r>
        <w:t xml:space="preserve">, पा. ३-१-६८) comes after the root;</w:t>
      </w:r>
      <w:r>
        <w:t xml:space="preserve"> </w:t>
      </w:r>
      <w:r>
        <w:rPr>
          <w:bCs/>
          <w:b/>
        </w:rPr>
        <w:t xml:space="preserve">लिङः सलोपोऽनन्त्यस्य</w:t>
      </w:r>
      <w:r>
        <w:t xml:space="preserve"> </w:t>
      </w:r>
      <w:r>
        <w:t xml:space="preserve">(पा. ७-२-७९) elides both</w:t>
      </w:r>
      <w:r>
        <w:t xml:space="preserve"> </w:t>
      </w:r>
      <w:r>
        <w:t xml:space="preserve">“</w:t>
      </w:r>
      <w:r>
        <w:t xml:space="preserve">s</w:t>
      </w:r>
      <w:r>
        <w:t xml:space="preserve">”</w:t>
      </w:r>
      <w:r>
        <w:t xml:space="preserve">-letters;</w:t>
      </w:r>
      <w:r>
        <w:t xml:space="preserve"> </w:t>
      </w:r>
      <w:r>
        <w:rPr>
          <w:bCs/>
          <w:b/>
        </w:rPr>
        <w:t xml:space="preserve">अतो येयः</w:t>
      </w:r>
      <w:r>
        <w:t xml:space="preserve"> </w:t>
      </w:r>
      <w:r>
        <w:t xml:space="preserve">(पा. ७-२-८०) puts</w:t>
      </w:r>
      <w:r>
        <w:t xml:space="preserve"> </w:t>
      </w:r>
      <w:r>
        <w:t xml:space="preserve">“</w:t>
      </w:r>
      <w:r>
        <w:t xml:space="preserve">iy</w:t>
      </w:r>
      <w:r>
        <w:t xml:space="preserve">”</w:t>
      </w:r>
      <w:r>
        <w:t xml:space="preserve"> </w:t>
      </w:r>
      <w:r>
        <w:t xml:space="preserve">for</w:t>
      </w:r>
      <w:r>
        <w:t xml:space="preserve"> </w:t>
      </w:r>
      <w:r>
        <w:t xml:space="preserve">“</w:t>
      </w:r>
      <w:r>
        <w:t xml:space="preserve">yā</w:t>
      </w:r>
      <w:r>
        <w:t xml:space="preserve">”</w:t>
      </w:r>
      <w:r>
        <w:t xml:space="preserve">;</w:t>
      </w:r>
      <w:r>
        <w:t xml:space="preserve"> </w:t>
      </w:r>
      <w:r>
        <w:rPr>
          <w:bCs/>
          <w:b/>
        </w:rPr>
        <w:t xml:space="preserve">आद्गुणः</w:t>
      </w:r>
      <w:r>
        <w:t xml:space="preserve"> </w:t>
      </w:r>
      <w:r>
        <w:t xml:space="preserve">(पा. ६-१-८७) gives guṇa;</w:t>
      </w:r>
      <w:r>
        <w:t xml:space="preserve"> </w:t>
      </w:r>
      <w:r>
        <w:rPr>
          <w:bCs/>
          <w:b/>
        </w:rPr>
        <w:t xml:space="preserve">लोपो व्योर्वलि</w:t>
      </w:r>
      <w:r>
        <w:t xml:space="preserve"> </w:t>
      </w:r>
      <w:r>
        <w:t xml:space="preserve">(पा. ६-१-६६) elides the</w:t>
      </w:r>
      <w:r>
        <w:t xml:space="preserve"> </w:t>
      </w:r>
      <w:r>
        <w:t xml:space="preserve">“</w:t>
      </w:r>
      <w:r>
        <w:t xml:space="preserve">y</w:t>
      </w:r>
      <w:r>
        <w:t xml:space="preserve">”</w:t>
      </w:r>
      <w:r>
        <w:t xml:space="preserve">;</w:t>
      </w:r>
      <w:r>
        <w:t xml:space="preserve"> </w:t>
      </w:r>
      <w:r>
        <w:rPr>
          <w:bCs/>
          <w:b/>
        </w:rPr>
        <w:t xml:space="preserve">इतश्च</w:t>
      </w:r>
      <w:r>
        <w:t xml:space="preserve"> </w:t>
      </w:r>
      <w:r>
        <w:t xml:space="preserve">(पा. ३-४-१००) the</w:t>
      </w:r>
      <w:r>
        <w:t xml:space="preserve"> </w:t>
      </w:r>
      <w:r>
        <w:t xml:space="preserve">“</w:t>
      </w:r>
      <w:r>
        <w:t xml:space="preserve">i</w:t>
      </w:r>
      <w:r>
        <w:t xml:space="preserve">”</w:t>
      </w:r>
      <w:r>
        <w:t xml:space="preserve"> </w:t>
      </w:r>
      <w:r>
        <w:t xml:space="preserve">of</w:t>
      </w:r>
      <w:r>
        <w:t xml:space="preserve"> </w:t>
      </w:r>
      <w:r>
        <w:t xml:space="preserve">“</w:t>
      </w:r>
      <w:r>
        <w:t xml:space="preserve">tip</w:t>
      </w:r>
      <w:r>
        <w:t xml:space="preserve">”</w:t>
      </w:r>
      <w:r>
        <w:t xml:space="preserve"> </w:t>
      </w:r>
      <w:r>
        <w:t xml:space="preserve">is elided →</w:t>
      </w:r>
      <w:r>
        <w:t xml:space="preserve"> </w:t>
      </w:r>
      <w:r>
        <w:t xml:space="preserve">“</w:t>
      </w:r>
      <w:r>
        <w:t xml:space="preserve">sanet.</w:t>
      </w:r>
      <w:r>
        <w:t xml:space="preserve">”</w:t>
      </w:r>
      <w:r>
        <w:t xml:space="preserve"> </w:t>
      </w:r>
      <w:r>
        <w:t xml:space="preserve">Since this is in the</w:t>
      </w:r>
      <w:r>
        <w:t xml:space="preserve"> </w:t>
      </w:r>
      <w:r>
        <w:t xml:space="preserve">“</w:t>
      </w:r>
      <w:r>
        <w:t xml:space="preserve">vṛṣādi</w:t>
      </w:r>
      <w:r>
        <w:t xml:space="preserve">”</w:t>
      </w:r>
      <w:r>
        <w:t xml:space="preserve"> </w:t>
      </w:r>
      <w:r>
        <w:t xml:space="preserve">list,</w:t>
      </w:r>
      <w:r>
        <w:t xml:space="preserve"> </w:t>
      </w:r>
      <w:r>
        <w:rPr>
          <w:bCs/>
          <w:b/>
        </w:rPr>
        <w:t xml:space="preserve">वृषादीनां च</w:t>
      </w:r>
      <w:r>
        <w:t xml:space="preserve"> </w:t>
      </w:r>
      <w:r>
        <w:t xml:space="preserve">(पा. ६-१-२०३) gives first-syllable acute.</w:t>
      </w:r>
      <w:r>
        <w:t xml:space="preserve"> </w:t>
      </w:r>
      <w:r>
        <w:t xml:space="preserve">-</w:t>
      </w:r>
      <w:r>
        <w:t xml:space="preserve"> </w:t>
      </w:r>
      <w:r>
        <w:rPr>
          <w:bCs/>
          <w:b/>
        </w:rPr>
        <w:t xml:space="preserve">“</w:t>
      </w:r>
      <w:r>
        <w:rPr>
          <w:bCs/>
          <w:b/>
        </w:rPr>
        <w:t xml:space="preserve">Indraḥ</w:t>
      </w:r>
      <w:r>
        <w:rPr>
          <w:bCs/>
          <w:b/>
        </w:rPr>
        <w:t xml:space="preserve">”</w:t>
      </w:r>
      <w:r>
        <w:t xml:space="preserve"> </w:t>
      </w:r>
      <w:r>
        <w:t xml:space="preserve">—</w:t>
      </w:r>
      <w:r>
        <w:t xml:space="preserve"> </w:t>
      </w:r>
      <w:r>
        <w:t xml:space="preserve">“</w:t>
      </w:r>
      <w:r>
        <w:t xml:space="preserve">idi paramaiśvarye</w:t>
      </w:r>
      <w:r>
        <w:t xml:space="preserve">”</w:t>
      </w:r>
      <w:r>
        <w:t xml:space="preserve"> </w:t>
      </w:r>
      <w:r>
        <w:t xml:space="preserve">(to rule):</w:t>
      </w:r>
      <w:r>
        <w:t xml:space="preserve"> </w:t>
      </w:r>
      <w:r>
        <w:rPr>
          <w:bCs/>
          <w:b/>
        </w:rPr>
        <w:t xml:space="preserve">इदितो नुम् धातोः</w:t>
      </w:r>
      <w:r>
        <w:t xml:space="preserve"> </w:t>
      </w:r>
      <w:r>
        <w:t xml:space="preserve">(पा. ७-१-५८) the</w:t>
      </w:r>
      <w:r>
        <w:t xml:space="preserve"> </w:t>
      </w:r>
      <w:r>
        <w:t xml:space="preserve">“</w:t>
      </w:r>
      <w:r>
        <w:t xml:space="preserve">num</w:t>
      </w:r>
      <w:r>
        <w:t xml:space="preserve">”</w:t>
      </w:r>
      <w:r>
        <w:t xml:space="preserve"> </w:t>
      </w:r>
      <w:r>
        <w:t xml:space="preserve">augment; the Uṇādi</w:t>
      </w:r>
      <w:r>
        <w:t xml:space="preserve"> </w:t>
      </w:r>
      <w:r>
        <w:rPr>
          <w:bCs/>
          <w:b/>
        </w:rPr>
        <w:t xml:space="preserve">ऋज्रेन्द्राग्र…</w:t>
      </w:r>
      <w:r>
        <w:t xml:space="preserve"> </w:t>
      </w:r>
      <w:r>
        <w:t xml:space="preserve">(उ. सू. २-२८; printed</w:t>
      </w:r>
      <w:r>
        <w:t xml:space="preserve"> </w:t>
      </w:r>
      <w:r>
        <w:t xml:space="preserve">“</w:t>
      </w:r>
      <w:r>
        <w:t xml:space="preserve">2-1-86</w:t>
      </w:r>
      <w:r>
        <w:t xml:space="preserve">”</w:t>
      </w:r>
      <w:r>
        <w:t xml:space="preserve">) the affix</w:t>
      </w:r>
      <w:r>
        <w:t xml:space="preserve"> </w:t>
      </w:r>
      <w:r>
        <w:t xml:space="preserve">“</w:t>
      </w:r>
      <w:r>
        <w:t xml:space="preserve">ran</w:t>
      </w:r>
      <w:r>
        <w:t xml:space="preserve">”</w:t>
      </w:r>
      <w:r>
        <w:t xml:space="preserve">;</w:t>
      </w:r>
      <w:r>
        <w:t xml:space="preserve"> </w:t>
      </w:r>
      <w:r>
        <w:t xml:space="preserve">“</w:t>
      </w:r>
      <w:r>
        <w:t xml:space="preserve">n</w:t>
      </w:r>
      <w:r>
        <w:t xml:space="preserve">”</w:t>
      </w:r>
      <w:r>
        <w:t xml:space="preserve">-marked, so first-syllable acute.</w:t>
      </w:r>
      <w:r>
        <w:t xml:space="preserve"> </w:t>
      </w:r>
      <w:r>
        <w:t xml:space="preserve">-</w:t>
      </w:r>
      <w:r>
        <w:t xml:space="preserve"> </w:t>
      </w:r>
      <w:r>
        <w:rPr>
          <w:bCs/>
          <w:b/>
        </w:rPr>
        <w:t xml:space="preserve">“</w:t>
      </w:r>
      <w:r>
        <w:rPr>
          <w:bCs/>
          <w:b/>
        </w:rPr>
        <w:t xml:space="preserve">Sahasriṇam</w:t>
      </w:r>
      <w:r>
        <w:rPr>
          <w:bCs/>
          <w:b/>
        </w:rPr>
        <w:t xml:space="preserve">”</w:t>
      </w:r>
      <w:r>
        <w:t xml:space="preserve"> </w:t>
      </w:r>
      <w:r>
        <w:t xml:space="preserve">—</w:t>
      </w:r>
      <w:r>
        <w:t xml:space="preserve"> </w:t>
      </w:r>
      <w:r>
        <w:t xml:space="preserve">“</w:t>
      </w:r>
      <w:r>
        <w:t xml:space="preserve">sahasram asyāsti</w:t>
      </w:r>
      <w:r>
        <w:t xml:space="preserve">”</w:t>
      </w:r>
      <w:r>
        <w:t xml:space="preserve">;</w:t>
      </w:r>
      <w:r>
        <w:t xml:space="preserve"> </w:t>
      </w:r>
      <w:r>
        <w:rPr>
          <w:bCs/>
          <w:b/>
        </w:rPr>
        <w:t xml:space="preserve">अत इनिठनौ</w:t>
      </w:r>
      <w:r>
        <w:t xml:space="preserve"> </w:t>
      </w:r>
      <w:r>
        <w:t xml:space="preserve">(पा. ५-२-११५)</w:t>
      </w:r>
      <w:r>
        <w:t xml:space="preserve"> </w:t>
      </w:r>
      <w:r>
        <w:t xml:space="preserve">“</w:t>
      </w:r>
      <w:r>
        <w:t xml:space="preserve">ini</w:t>
      </w:r>
      <w:r>
        <w:t xml:space="preserve">”</w:t>
      </w:r>
      <w:r>
        <w:t xml:space="preserve">; the second-case singular</w:t>
      </w:r>
      <w:r>
        <w:t xml:space="preserve"> </w:t>
      </w:r>
      <w:r>
        <w:t xml:space="preserve">“</w:t>
      </w:r>
      <w:r>
        <w:t xml:space="preserve">am</w:t>
      </w:r>
      <w:r>
        <w:t xml:space="preserve">”</w:t>
      </w:r>
      <w:r>
        <w:t xml:space="preserve">;</w:t>
      </w:r>
      <w:r>
        <w:t xml:space="preserve"> </w:t>
      </w:r>
      <w:r>
        <w:rPr>
          <w:bCs/>
          <w:b/>
        </w:rPr>
        <w:t xml:space="preserve">अट्कुप्वाङ्नुम्व्यवायेऽपि</w:t>
      </w:r>
      <w:r>
        <w:t xml:space="preserve"> </w:t>
      </w:r>
      <w:r>
        <w:t xml:space="preserve">(पा. ८-४-२) turns the</w:t>
      </w:r>
      <w:r>
        <w:t xml:space="preserve"> </w:t>
      </w:r>
      <w:r>
        <w:t xml:space="preserve">“</w:t>
      </w:r>
      <w:r>
        <w:t xml:space="preserve">n</w:t>
      </w:r>
      <w:r>
        <w:t xml:space="preserve">”</w:t>
      </w:r>
      <w:r>
        <w:t xml:space="preserve"> </w:t>
      </w:r>
      <w:r>
        <w:t xml:space="preserve">into</w:t>
      </w:r>
      <w:r>
        <w:t xml:space="preserve"> </w:t>
      </w:r>
      <w:r>
        <w:t xml:space="preserve">“</w:t>
      </w:r>
      <w:r>
        <w:t xml:space="preserve">ṇ</w:t>
      </w:r>
      <w:r>
        <w:t xml:space="preserve">”</w:t>
      </w:r>
      <w:r>
        <w:t xml:space="preserve">; the accent is the affix’s.</w:t>
      </w:r>
      <w:r>
        <w:t xml:space="preserve"> </w:t>
      </w:r>
      <w:r>
        <w:t xml:space="preserve">-</w:t>
      </w:r>
      <w:r>
        <w:t xml:space="preserve"> </w:t>
      </w:r>
      <w:r>
        <w:rPr>
          <w:bCs/>
          <w:b/>
        </w:rPr>
        <w:t xml:space="preserve">“</w:t>
      </w:r>
      <w:r>
        <w:rPr>
          <w:bCs/>
          <w:b/>
        </w:rPr>
        <w:t xml:space="preserve">Viśvāni</w:t>
      </w:r>
      <w:r>
        <w:rPr>
          <w:bCs/>
          <w:b/>
        </w:rPr>
        <w:t xml:space="preserve">”</w:t>
      </w:r>
      <w:r>
        <w:t xml:space="preserve"> </w:t>
      </w:r>
      <w:r>
        <w:t xml:space="preserve">—</w:t>
      </w:r>
      <w:r>
        <w:t xml:space="preserve"> </w:t>
      </w:r>
      <w:r>
        <w:t xml:space="preserve">“</w:t>
      </w:r>
      <w:r>
        <w:t xml:space="preserve">viś</w:t>
      </w:r>
      <w:r>
        <w:t xml:space="preserve">”</w:t>
      </w:r>
      <w:r>
        <w:t xml:space="preserve"> </w:t>
      </w:r>
      <w:r>
        <w:t xml:space="preserve">with the Uṇādi</w:t>
      </w:r>
      <w:r>
        <w:t xml:space="preserve"> </w:t>
      </w:r>
      <w:r>
        <w:rPr>
          <w:bCs/>
          <w:b/>
        </w:rPr>
        <w:t xml:space="preserve">अशूप्रुषिलटिकणिखटिविशिभ्यः क्वन्</w:t>
      </w:r>
      <w:r>
        <w:t xml:space="preserve"> </w:t>
      </w:r>
      <w:r>
        <w:t xml:space="preserve">(उ. सू. १-१४९ [as printed];</w:t>
      </w:r>
      <w:r>
        <w:t xml:space="preserve"> </w:t>
      </w:r>
      <w:r>
        <w:t xml:space="preserve">“</w:t>
      </w:r>
      <w:r>
        <w:t xml:space="preserve">1-151</w:t>
      </w:r>
      <w:r>
        <w:t xml:space="preserve">”</w:t>
      </w:r>
      <w:r>
        <w:t xml:space="preserve"> </w:t>
      </w:r>
      <w:r>
        <w:t xml:space="preserve">on p. 192) the affix</w:t>
      </w:r>
      <w:r>
        <w:t xml:space="preserve"> </w:t>
      </w:r>
      <w:r>
        <w:t xml:space="preserve">“</w:t>
      </w:r>
      <w:r>
        <w:t xml:space="preserve">kvan</w:t>
      </w:r>
      <w:r>
        <w:t xml:space="preserve">”</w:t>
      </w:r>
      <w:r>
        <w:t xml:space="preserve">;</w:t>
      </w:r>
      <w:r>
        <w:t xml:space="preserve"> </w:t>
      </w:r>
      <w:r>
        <w:t xml:space="preserve">“</w:t>
      </w:r>
      <w:r>
        <w:t xml:space="preserve">n</w:t>
      </w:r>
      <w:r>
        <w:t xml:space="preserve">”</w:t>
      </w:r>
      <w:r>
        <w:t xml:space="preserve">-marked, so first-syllable acute.</w:t>
      </w:r>
      <w:r>
        <w:t xml:space="preserve"> </w:t>
      </w:r>
      <w:r>
        <w:t xml:space="preserve">-</w:t>
      </w:r>
      <w:r>
        <w:t xml:space="preserve"> </w:t>
      </w:r>
      <w:r>
        <w:rPr>
          <w:bCs/>
          <w:b/>
        </w:rPr>
        <w:t xml:space="preserve">“</w:t>
      </w:r>
      <w:r>
        <w:rPr>
          <w:bCs/>
          <w:b/>
        </w:rPr>
        <w:t xml:space="preserve">Pauṃsyā</w:t>
      </w:r>
      <w:r>
        <w:rPr>
          <w:bCs/>
          <w:b/>
        </w:rPr>
        <w:t xml:space="preserve">”</w:t>
      </w:r>
      <w:r>
        <w:t xml:space="preserve"> </w:t>
      </w:r>
      <w:r>
        <w:t xml:space="preserve">—</w:t>
      </w:r>
      <w:r>
        <w:t xml:space="preserve"> </w:t>
      </w:r>
      <w:r>
        <w:t xml:space="preserve">“</w:t>
      </w:r>
      <w:r>
        <w:t xml:space="preserve">puṃsi karmāṇi</w:t>
      </w:r>
      <w:r>
        <w:t xml:space="preserve">”</w:t>
      </w:r>
      <w:r>
        <w:t xml:space="preserve"> </w:t>
      </w:r>
      <w:r>
        <w:t xml:space="preserve">(a man’s deeds), by</w:t>
      </w:r>
      <w:r>
        <w:t xml:space="preserve"> </w:t>
      </w:r>
      <w:r>
        <w:rPr>
          <w:bCs/>
          <w:b/>
        </w:rPr>
        <w:t xml:space="preserve">गुणवचनब्राह्मणादिभ्यः कर्मणि च</w:t>
      </w:r>
      <w:r>
        <w:t xml:space="preserve"> </w:t>
      </w:r>
      <w:r>
        <w:t xml:space="preserve">(पा. ५-१-१२४)</w:t>
      </w:r>
      <w:r>
        <w:t xml:space="preserve"> </w:t>
      </w:r>
      <w:r>
        <w:t xml:space="preserve">“</w:t>
      </w:r>
      <w:r>
        <w:t xml:space="preserve">ṣyañ</w:t>
      </w:r>
      <w:r>
        <w:t xml:space="preserve">”</w:t>
      </w:r>
      <w:r>
        <w:t xml:space="preserve"> </w:t>
      </w:r>
      <w:r>
        <w:t xml:space="preserve">is added after words of quality and</w:t>
      </w:r>
      <w:r>
        <w:t xml:space="preserve"> </w:t>
      </w:r>
      <w:r>
        <w:t xml:space="preserve">“</w:t>
      </w:r>
      <w:r>
        <w:t xml:space="preserve">brāhmaṇa</w:t>
      </w:r>
      <w:r>
        <w:t xml:space="preserve">”</w:t>
      </w:r>
      <w:r>
        <w:t xml:space="preserve">-class words, whether in the sense of state or of action; since the</w:t>
      </w:r>
      <w:r>
        <w:t xml:space="preserve"> </w:t>
      </w:r>
      <w:r>
        <w:t xml:space="preserve">“</w:t>
      </w:r>
      <w:r>
        <w:t xml:space="preserve">brāhmaṇādi</w:t>
      </w:r>
      <w:r>
        <w:t xml:space="preserve">”</w:t>
      </w:r>
      <w:r>
        <w:t xml:space="preserve"> </w:t>
      </w:r>
      <w:r>
        <w:t xml:space="preserve">list is an open-ended group (</w:t>
      </w:r>
      <w:r>
        <w:t xml:space="preserve">“</w:t>
      </w:r>
      <w:r>
        <w:t xml:space="preserve">ākṛtigaṇa</w:t>
      </w:r>
      <w:r>
        <w:t xml:space="preserve">”</w:t>
      </w:r>
      <w:r>
        <w:t xml:space="preserve">), the affix is added after</w:t>
      </w:r>
      <w:r>
        <w:t xml:space="preserve"> </w:t>
      </w:r>
      <w:r>
        <w:t xml:space="preserve">“</w:t>
      </w:r>
      <w:r>
        <w:t xml:space="preserve">puṃs</w:t>
      </w:r>
      <w:r>
        <w:t xml:space="preserve">”</w:t>
      </w:r>
      <w:r>
        <w:t xml:space="preserve"> </w:t>
      </w:r>
      <w:r>
        <w:t xml:space="preserve">too;</w:t>
      </w:r>
      <w:r>
        <w:t xml:space="preserve"> </w:t>
      </w:r>
      <w:r>
        <w:t xml:space="preserve">“</w:t>
      </w:r>
      <w:r>
        <w:t xml:space="preserve">ñ</w:t>
      </w:r>
      <w:r>
        <w:t xml:space="preserve">”</w:t>
      </w:r>
      <w:r>
        <w:t xml:space="preserve">-marked, so the affix gives first-syllable acute; with</w:t>
      </w:r>
      <w:r>
        <w:t xml:space="preserve"> </w:t>
      </w:r>
      <w:r>
        <w:t xml:space="preserve">“</w:t>
      </w:r>
      <w:r>
        <w:t xml:space="preserve">puṃs + ya,</w:t>
      </w:r>
      <w:r>
        <w:t xml:space="preserve">”</w:t>
      </w:r>
      <w:r>
        <w:t xml:space="preserve"> </w:t>
      </w:r>
      <w:r>
        <w:rPr>
          <w:bCs/>
          <w:b/>
        </w:rPr>
        <w:t xml:space="preserve">तद्धितेष्वचामादेः</w:t>
      </w:r>
      <w:r>
        <w:t xml:space="preserve"> </w:t>
      </w:r>
      <w:r>
        <w:t xml:space="preserve">(पा. ७-२-११७) the vṛddhi of the first vowel before a</w:t>
      </w:r>
      <w:r>
        <w:t xml:space="preserve"> </w:t>
      </w:r>
      <w:r>
        <w:t xml:space="preserve">“</w:t>
      </w:r>
      <w:r>
        <w:t xml:space="preserve">ñit/ṇit</w:t>
      </w:r>
      <w:r>
        <w:t xml:space="preserve">”</w:t>
      </w:r>
      <w:r>
        <w:t xml:space="preserve"> </w:t>
      </w:r>
      <w:r>
        <w:t xml:space="preserve">taddhita →</w:t>
      </w:r>
      <w:r>
        <w:t xml:space="preserve"> </w:t>
      </w:r>
      <w:r>
        <w:t xml:space="preserve">“</w:t>
      </w:r>
      <w:r>
        <w:t xml:space="preserve">pauṃs + ya</w:t>
      </w:r>
      <w:r>
        <w:t xml:space="preserve">”</w:t>
      </w:r>
      <w:r>
        <w:t xml:space="preserve">; for the nominative plural</w:t>
      </w:r>
      <w:r>
        <w:t xml:space="preserve"> </w:t>
      </w:r>
      <w:r>
        <w:rPr>
          <w:bCs/>
          <w:b/>
        </w:rPr>
        <w:t xml:space="preserve">सुपां सुलुक्…</w:t>
      </w:r>
      <w:r>
        <w:t xml:space="preserve"> </w:t>
      </w:r>
      <w:r>
        <w:t xml:space="preserve">(पा. ७-१-३९) the</w:t>
      </w:r>
      <w:r>
        <w:t xml:space="preserve"> </w:t>
      </w:r>
      <w:r>
        <w:t xml:space="preserve">“</w:t>
      </w:r>
      <w:r>
        <w:t xml:space="preserve">ḍā</w:t>
      </w:r>
      <w:r>
        <w:t xml:space="preserve">”</w:t>
      </w:r>
      <w:r>
        <w:t xml:space="preserve"> </w:t>
      </w:r>
      <w:r>
        <w:t xml:space="preserve">substitute →</w:t>
      </w:r>
      <w:r>
        <w:t xml:space="preserve"> </w:t>
      </w:r>
      <w:r>
        <w:t xml:space="preserve">“</w:t>
      </w:r>
      <w:r>
        <w:t xml:space="preserve">pauṃsyā.</w:t>
      </w:r>
      <w:r>
        <w:t xml:space="preserve">”</w:t>
      </w:r>
      <w:r>
        <w:t xml:space="preserve"> </w:t>
      </w:r>
      <w:r>
        <w:t xml:space="preserve">The print then raises the objection that</w:t>
      </w:r>
      <w:r>
        <w:t xml:space="preserve"> </w:t>
      </w:r>
      <w:r>
        <w:rPr>
          <w:bCs/>
          <w:b/>
        </w:rPr>
        <w:t xml:space="preserve">स्त्रीपुंसाभ्यां नञ्स्नञौ भवनात्</w:t>
      </w:r>
      <w:r>
        <w:t xml:space="preserve"> </w:t>
      </w:r>
      <w:r>
        <w:t xml:space="preserve">(पा. ४-१-८७) would prescribe</w:t>
      </w:r>
      <w:r>
        <w:t xml:space="preserve"> </w:t>
      </w:r>
      <w:r>
        <w:t xml:space="preserve">“</w:t>
      </w:r>
      <w:r>
        <w:t xml:space="preserve">snañ</w:t>
      </w:r>
      <w:r>
        <w:t xml:space="preserve">”</w:t>
      </w:r>
      <w:r>
        <w:t xml:space="preserve"> </w:t>
      </w:r>
      <w:r>
        <w:t xml:space="preserve">after</w:t>
      </w:r>
      <w:r>
        <w:t xml:space="preserve"> </w:t>
      </w:r>
      <w:r>
        <w:t xml:space="preserve">“</w:t>
      </w:r>
      <w:r>
        <w:t xml:space="preserve">strī</w:t>
      </w:r>
      <w:r>
        <w:t xml:space="preserve">”</w:t>
      </w:r>
      <w:r>
        <w:t xml:space="preserve"> </w:t>
      </w:r>
      <w:r>
        <w:t xml:space="preserve">and</w:t>
      </w:r>
      <w:r>
        <w:t xml:space="preserve"> </w:t>
      </w:r>
      <w:r>
        <w:t xml:space="preserve">“</w:t>
      </w:r>
      <w:r>
        <w:t xml:space="preserve">puṃs</w:t>
      </w:r>
      <w:r>
        <w:t xml:space="preserve">”</w:t>
      </w:r>
      <w:r>
        <w:t xml:space="preserve"> </w:t>
      </w:r>
      <w:r>
        <w:t xml:space="preserve">in the sense of</w:t>
      </w:r>
      <w:r>
        <w:t xml:space="preserve"> </w:t>
      </w:r>
      <w:r>
        <w:t xml:space="preserve">“</w:t>
      </w:r>
      <w:r>
        <w:t xml:space="preserve">bhavana</w:t>
      </w:r>
      <w:r>
        <w:t xml:space="preserve">”</w:t>
      </w:r>
      <w:r>
        <w:t xml:space="preserve"> </w:t>
      </w:r>
      <w:r>
        <w:t xml:space="preserve">(the place where something grows); the print notes the sūtra is</w:t>
      </w:r>
      <w:r>
        <w:t xml:space="preserve"> </w:t>
      </w:r>
      <w:r>
        <w:t xml:space="preserve">“</w:t>
      </w:r>
      <w:r>
        <w:t xml:space="preserve">bhavanād</w:t>
      </w:r>
      <w:r>
        <w:t xml:space="preserve">”</w:t>
      </w:r>
      <w:r>
        <w:t xml:space="preserve"> </w:t>
      </w:r>
      <w:r>
        <w:t xml:space="preserve">(up to the word</w:t>
      </w:r>
      <w:r>
        <w:t xml:space="preserve"> </w:t>
      </w:r>
      <w:r>
        <w:t xml:space="preserve">“</w:t>
      </w:r>
      <w:r>
        <w:t xml:space="preserve">bhavana</w:t>
      </w:r>
      <w:r>
        <w:t xml:space="preserve">”</w:t>
      </w:r>
      <w:r>
        <w:t xml:space="preserve"> </w:t>
      </w:r>
      <w:r>
        <w:t xml:space="preserve">in the sūtra</w:t>
      </w:r>
      <w:r>
        <w:t xml:space="preserve"> </w:t>
      </w:r>
      <w:r>
        <w:rPr>
          <w:bCs/>
          <w:b/>
        </w:rPr>
        <w:t xml:space="preserve">धान्यानां भवने क्षेत्रे खञ्</w:t>
      </w:r>
      <w:r>
        <w:t xml:space="preserve">, पा. ५-२-१) and so applies only to the senses between the sūtras; a related objection concerning</w:t>
      </w:r>
      <w:r>
        <w:t xml:space="preserve"> </w:t>
      </w:r>
      <w:r>
        <w:rPr>
          <w:bCs/>
          <w:b/>
        </w:rPr>
        <w:t xml:space="preserve">तस्यापत्यम्</w:t>
      </w:r>
      <w:r>
        <w:t xml:space="preserve"> </w:t>
      </w:r>
      <w:r>
        <w:t xml:space="preserve">(पा. ४-१-९२; printed</w:t>
      </w:r>
      <w:r>
        <w:t xml:space="preserve"> </w:t>
      </w:r>
      <w:r>
        <w:t xml:space="preserve">“</w:t>
      </w:r>
      <w:r>
        <w:t xml:space="preserve">4-1-9</w:t>
      </w:r>
      <w:r>
        <w:t xml:space="preserve">”</w:t>
      </w:r>
      <w:r>
        <w:t xml:space="preserve">) and</w:t>
      </w:r>
      <w:r>
        <w:t xml:space="preserve"> </w:t>
      </w:r>
      <w:r>
        <w:rPr>
          <w:bCs/>
          <w:b/>
        </w:rPr>
        <w:t xml:space="preserve">तत आगतः</w:t>
      </w:r>
      <w:r>
        <w:t xml:space="preserve"> </w:t>
      </w:r>
      <w:r>
        <w:t xml:space="preserve">(पा. ४-३-७४) is set aside.</w:t>
      </w:r>
    </w:p>
    <w:p>
      <w:pPr>
        <w:pStyle w:val="BodyText"/>
      </w:pPr>
      <w:r>
        <w:rPr>
          <w:bCs/>
          <w:b/>
        </w:rPr>
        <w:t xml:space="preserve">p. 197.</w:t>
      </w:r>
      <w:r>
        <w:t xml:space="preserve"> </w:t>
      </w:r>
      <w:r>
        <w:rPr>
          <w:iCs/>
          <w:i/>
        </w:rPr>
        <w:t xml:space="preserve">(Re-read from the better scan.)</w:t>
      </w:r>
      <w:r>
        <w:t xml:space="preserve"> </w:t>
      </w:r>
      <w:r>
        <w:t xml:space="preserve">So by</w:t>
      </w:r>
      <w:r>
        <w:t xml:space="preserve"> </w:t>
      </w:r>
      <w:r>
        <w:rPr>
          <w:bCs/>
          <w:b/>
        </w:rPr>
        <w:t xml:space="preserve">स्त्रीपुंसाभ्यां नञ्स्नञौ भवनात्</w:t>
      </w:r>
      <w:r>
        <w:t xml:space="preserve"> </w:t>
      </w:r>
      <w:r>
        <w:t xml:space="preserve">“</w:t>
      </w:r>
      <w:r>
        <w:t xml:space="preserve">snañ</w:t>
      </w:r>
      <w:r>
        <w:t xml:space="preserve">”</w:t>
      </w:r>
      <w:r>
        <w:t xml:space="preserve"> </w:t>
      </w:r>
      <w:r>
        <w:t xml:space="preserve">alone would come and the form would be</w:t>
      </w:r>
      <w:r>
        <w:t xml:space="preserve"> </w:t>
      </w:r>
      <w:r>
        <w:t xml:space="preserve">“</w:t>
      </w:r>
      <w:r>
        <w:t xml:space="preserve">pauṃsnaḥ.</w:t>
      </w:r>
      <w:r>
        <w:t xml:space="preserve">”</w:t>
      </w:r>
      <w:r>
        <w:t xml:space="preserve"> </w:t>
      </w:r>
      <w:r>
        <w:t xml:space="preserve">In the same way, when</w:t>
      </w:r>
      <w:r>
        <w:t xml:space="preserve"> </w:t>
      </w:r>
      <w:r>
        <w:t xml:space="preserve">“</w:t>
      </w:r>
      <w:r>
        <w:t xml:space="preserve">puṃsaḥ bhāvaḥ karma vā</w:t>
      </w:r>
      <w:r>
        <w:t xml:space="preserve">”</w:t>
      </w:r>
      <w:r>
        <w:t xml:space="preserve"> </w:t>
      </w:r>
      <w:r>
        <w:t xml:space="preserve">is meant,</w:t>
      </w:r>
      <w:r>
        <w:t xml:space="preserve"> </w:t>
      </w:r>
      <w:r>
        <w:t xml:space="preserve">“</w:t>
      </w:r>
      <w:r>
        <w:t xml:space="preserve">snañ</w:t>
      </w:r>
      <w:r>
        <w:t xml:space="preserve">”</w:t>
      </w:r>
      <w:r>
        <w:t xml:space="preserve"> </w:t>
      </w:r>
      <w:r>
        <w:t xml:space="preserve">should set aside the</w:t>
      </w:r>
      <w:r>
        <w:t xml:space="preserve"> </w:t>
      </w:r>
      <w:r>
        <w:t xml:space="preserve">“</w:t>
      </w:r>
      <w:r>
        <w:t xml:space="preserve">ṣyañ</w:t>
      </w:r>
      <w:r>
        <w:t xml:space="preserve">”</w:t>
      </w:r>
      <w:r>
        <w:t xml:space="preserve"> </w:t>
      </w:r>
      <w:r>
        <w:t xml:space="preserve">of</w:t>
      </w:r>
      <w:r>
        <w:t xml:space="preserve"> </w:t>
      </w:r>
      <w:r>
        <w:rPr>
          <w:bCs/>
          <w:b/>
        </w:rPr>
        <w:t xml:space="preserve">गुणवचनब्राह्मणादिभ्यः कर्मणि च</w:t>
      </w:r>
      <w:r>
        <w:t xml:space="preserve"> </w:t>
      </w:r>
      <w:r>
        <w:t xml:space="preserve">(पा. ५-१-१२४) and give</w:t>
      </w:r>
      <w:r>
        <w:t xml:space="preserve"> </w:t>
      </w:r>
      <w:r>
        <w:t xml:space="preserve">“</w:t>
      </w:r>
      <w:r>
        <w:t xml:space="preserve">pauṃsnāni,</w:t>
      </w:r>
      <w:r>
        <w:t xml:space="preserve">”</w:t>
      </w:r>
      <w:r>
        <w:t xml:space="preserve"> </w:t>
      </w:r>
      <w:r>
        <w:t xml:space="preserve">and with</w:t>
      </w:r>
      <w:r>
        <w:t xml:space="preserve"> </w:t>
      </w:r>
      <w:r>
        <w:t xml:space="preserve">“</w:t>
      </w:r>
      <w:r>
        <w:t xml:space="preserve">ḍā</w:t>
      </w:r>
      <w:r>
        <w:t xml:space="preserve">”</w:t>
      </w:r>
      <w:r>
        <w:t xml:space="preserve"> </w:t>
      </w:r>
      <w:r>
        <w:t xml:space="preserve">for the plural</w:t>
      </w:r>
      <w:r>
        <w:t xml:space="preserve"> </w:t>
      </w:r>
      <w:r>
        <w:t xml:space="preserve">“</w:t>
      </w:r>
      <w:r>
        <w:t xml:space="preserve">pauṃsnā</w:t>
      </w:r>
      <w:r>
        <w:t xml:space="preserve">”</w:t>
      </w:r>
      <w:r>
        <w:t xml:space="preserve"> </w:t>
      </w:r>
      <w:r>
        <w:t xml:space="preserve">— how then is</w:t>
      </w:r>
      <w:r>
        <w:t xml:space="preserve"> </w:t>
      </w:r>
      <w:r>
        <w:t xml:space="preserve">“</w:t>
      </w:r>
      <w:r>
        <w:t xml:space="preserve">pauṃsyā</w:t>
      </w:r>
      <w:r>
        <w:t xml:space="preserve">”</w:t>
      </w:r>
      <w:r>
        <w:t xml:space="preserve"> </w:t>
      </w:r>
      <w:r>
        <w:t xml:space="preserve">obtained? Answer: in</w:t>
      </w:r>
      <w:r>
        <w:t xml:space="preserve"> </w:t>
      </w:r>
      <w:r>
        <w:rPr>
          <w:bCs/>
          <w:b/>
        </w:rPr>
        <w:t xml:space="preserve">आ च त्वात्</w:t>
      </w:r>
      <w:r>
        <w:t xml:space="preserve"> </w:t>
      </w:r>
      <w:r>
        <w:t xml:space="preserve">(पा. ५-१-१२०)</w:t>
      </w:r>
      <w:r>
        <w:t xml:space="preserve"> </w:t>
      </w:r>
      <w:r>
        <w:t xml:space="preserve">“</w:t>
      </w:r>
      <w:r>
        <w:t xml:space="preserve">tvatalau</w:t>
      </w:r>
      <w:r>
        <w:t xml:space="preserve">”</w:t>
      </w:r>
      <w:r>
        <w:t xml:space="preserve"> </w:t>
      </w:r>
      <w:r>
        <w:t xml:space="preserve">is continued from</w:t>
      </w:r>
      <w:r>
        <w:t xml:space="preserve"> </w:t>
      </w:r>
      <w:r>
        <w:rPr>
          <w:bCs/>
          <w:b/>
        </w:rPr>
        <w:t xml:space="preserve">तस्य भावस्त्वतलौ</w:t>
      </w:r>
      <w:r>
        <w:t xml:space="preserve"> </w:t>
      </w:r>
      <w:r>
        <w:t xml:space="preserve">(पा. ५-१-११९), and</w:t>
      </w:r>
      <w:r>
        <w:t xml:space="preserve"> </w:t>
      </w:r>
      <w:r>
        <w:t xml:space="preserve">“</w:t>
      </w:r>
      <w:r>
        <w:t xml:space="preserve">āṅ</w:t>
      </w:r>
      <w:r>
        <w:t xml:space="preserve">”</w:t>
      </w:r>
      <w:r>
        <w:t xml:space="preserve"> </w:t>
      </w:r>
      <w:r>
        <w:t xml:space="preserve">means the limit: up to the sūtra that contains</w:t>
      </w:r>
      <w:r>
        <w:t xml:space="preserve"> </w:t>
      </w:r>
      <w:r>
        <w:t xml:space="preserve">“</w:t>
      </w:r>
      <w:r>
        <w:t xml:space="preserve">tva,</w:t>
      </w:r>
      <w:r>
        <w:t xml:space="preserve">”</w:t>
      </w:r>
      <w:r>
        <w:t xml:space="preserve"> </w:t>
      </w:r>
      <w:r>
        <w:rPr>
          <w:bCs/>
          <w:b/>
        </w:rPr>
        <w:t xml:space="preserve">ब्रह्मणस्त्वः</w:t>
      </w:r>
      <w:r>
        <w:t xml:space="preserve"> </w:t>
      </w:r>
      <w:r>
        <w:t xml:space="preserve">(पा. ५-१-१३६),</w:t>
      </w:r>
      <w:r>
        <w:t xml:space="preserve"> </w:t>
      </w:r>
      <w:r>
        <w:t xml:space="preserve">“</w:t>
      </w:r>
      <w:r>
        <w:t xml:space="preserve">tva/tal</w:t>
      </w:r>
      <w:r>
        <w:t xml:space="preserve">”</w:t>
      </w:r>
      <w:r>
        <w:t xml:space="preserve"> </w:t>
      </w:r>
      <w:r>
        <w:t xml:space="preserve">are under the heading. Though that heading might seem useless (the continuation already gives the sense), without it, after the affixes</w:t>
      </w:r>
      <w:r>
        <w:t xml:space="preserve"> </w:t>
      </w:r>
      <w:r>
        <w:t xml:space="preserve">“</w:t>
      </w:r>
      <w:r>
        <w:t xml:space="preserve">imanic</w:t>
      </w:r>
      <w:r>
        <w:t xml:space="preserve">”</w:t>
      </w:r>
      <w:r>
        <w:t xml:space="preserve"> </w:t>
      </w:r>
      <w:r>
        <w:t xml:space="preserve">and the rest of</w:t>
      </w:r>
      <w:r>
        <w:t xml:space="preserve"> </w:t>
      </w:r>
      <w:r>
        <w:rPr>
          <w:bCs/>
          <w:b/>
        </w:rPr>
        <w:t xml:space="preserve">पृथ्वादिभ्य इमनिज्वा</w:t>
      </w:r>
      <w:r>
        <w:t xml:space="preserve"> </w:t>
      </w:r>
      <w:r>
        <w:t xml:space="preserve">(पा. ५-१-१२२) the expectation would be satisfied and</w:t>
      </w:r>
      <w:r>
        <w:t xml:space="preserve"> </w:t>
      </w:r>
      <w:r>
        <w:t xml:space="preserve">“</w:t>
      </w:r>
      <w:r>
        <w:t xml:space="preserve">tva/tal</w:t>
      </w:r>
      <w:r>
        <w:t xml:space="preserve">”</w:t>
      </w:r>
      <w:r>
        <w:t xml:space="preserve"> </w:t>
      </w:r>
      <w:r>
        <w:t xml:space="preserve">would not continue; and if continuation were allowed where the expectation is satisfied, the</w:t>
      </w:r>
      <w:r>
        <w:t xml:space="preserve"> </w:t>
      </w:r>
      <w:r>
        <w:t xml:space="preserve">“</w:t>
      </w:r>
      <w:r>
        <w:t xml:space="preserve">aṇ</w:t>
      </w:r>
      <w:r>
        <w:t xml:space="preserve">”</w:t>
      </w:r>
      <w:r>
        <w:t xml:space="preserve"> </w:t>
      </w:r>
      <w:r>
        <w:t xml:space="preserve">of</w:t>
      </w:r>
      <w:r>
        <w:t xml:space="preserve"> </w:t>
      </w:r>
      <w:r>
        <w:rPr>
          <w:bCs/>
          <w:b/>
        </w:rPr>
        <w:t xml:space="preserve">प्राग्दीव्यतोऽण्</w:t>
      </w:r>
      <w:r>
        <w:t xml:space="preserve"> </w:t>
      </w:r>
      <w:r>
        <w:t xml:space="preserve">(पा. ४-१-८३) would have to apply even in places like</w:t>
      </w:r>
      <w:r>
        <w:t xml:space="preserve"> </w:t>
      </w:r>
      <w:r>
        <w:rPr>
          <w:bCs/>
          <w:b/>
        </w:rPr>
        <w:t xml:space="preserve">अत इञ्</w:t>
      </w:r>
      <w:r>
        <w:t xml:space="preserve"> </w:t>
      </w:r>
      <w:r>
        <w:t xml:space="preserve">(पा. ४-१-९५). With the heading</w:t>
      </w:r>
      <w:r>
        <w:t xml:space="preserve"> </w:t>
      </w:r>
      <w:r>
        <w:t xml:space="preserve">“</w:t>
      </w:r>
      <w:r>
        <w:t xml:space="preserve">ā ca tvāt,</w:t>
      </w:r>
      <w:r>
        <w:t xml:space="preserve">”</w:t>
      </w:r>
      <w:r>
        <w:t xml:space="preserve"> </w:t>
      </w:r>
      <w:r>
        <w:t xml:space="preserve">by the force of the limit,</w:t>
      </w:r>
      <w:r>
        <w:t xml:space="preserve"> </w:t>
      </w:r>
      <w:r>
        <w:t xml:space="preserve">“</w:t>
      </w:r>
      <w:r>
        <w:t xml:space="preserve">tva/tal</w:t>
      </w:r>
      <w:r>
        <w:t xml:space="preserve">”</w:t>
      </w:r>
      <w:r>
        <w:t xml:space="preserve"> </w:t>
      </w:r>
      <w:r>
        <w:t xml:space="preserve">co-occur with</w:t>
      </w:r>
      <w:r>
        <w:t xml:space="preserve"> </w:t>
      </w:r>
      <w:r>
        <w:t xml:space="preserve">“</w:t>
      </w:r>
      <w:r>
        <w:t xml:space="preserve">imanic</w:t>
      </w:r>
      <w:r>
        <w:t xml:space="preserve">”</w:t>
      </w:r>
      <w:r>
        <w:t xml:space="preserve"> </w:t>
      </w:r>
      <w:r>
        <w:t xml:space="preserve">and the other exceptions — one purpose. A second:</w:t>
      </w:r>
      <w:r>
        <w:t xml:space="preserve"> </w:t>
      </w:r>
      <w:r>
        <w:t xml:space="preserve">“</w:t>
      </w:r>
      <w:r>
        <w:t xml:space="preserve">tva/tal</w:t>
      </w:r>
      <w:r>
        <w:t xml:space="preserve">”</w:t>
      </w:r>
      <w:r>
        <w:t xml:space="preserve"> </w:t>
      </w:r>
      <w:r>
        <w:t xml:space="preserve">are taught by</w:t>
      </w:r>
      <w:r>
        <w:t xml:space="preserve"> </w:t>
      </w:r>
      <w:r>
        <w:rPr>
          <w:bCs/>
          <w:b/>
        </w:rPr>
        <w:t xml:space="preserve">तस्य भावस्त्वतलौ</w:t>
      </w:r>
      <w:r>
        <w:t xml:space="preserve"> </w:t>
      </w:r>
      <w:r>
        <w:t xml:space="preserve">only for the state, not for the action; with this heading, in</w:t>
      </w:r>
      <w:r>
        <w:t xml:space="preserve"> </w:t>
      </w:r>
      <w:r>
        <w:rPr>
          <w:bCs/>
          <w:b/>
        </w:rPr>
        <w:t xml:space="preserve">गुणवचनब्राह्मणादिभ्यः कर्मणि च</w:t>
      </w:r>
      <w:r>
        <w:t xml:space="preserve"> </w:t>
      </w:r>
      <w:r>
        <w:t xml:space="preserve">(पा. ५-१-१२४)</w:t>
      </w:r>
      <w:r>
        <w:t xml:space="preserve"> </w:t>
      </w:r>
      <w:r>
        <w:t xml:space="preserve">“</w:t>
      </w:r>
      <w:r>
        <w:t xml:space="preserve">tva/tal</w:t>
      </w:r>
      <w:r>
        <w:t xml:space="preserve">”</w:t>
      </w:r>
      <w:r>
        <w:t xml:space="preserve"> </w:t>
      </w:r>
      <w:r>
        <w:t xml:space="preserve">continue, giving the sense</w:t>
      </w:r>
      <w:r>
        <w:t xml:space="preserve"> </w:t>
      </w:r>
      <w:r>
        <w:t xml:space="preserve">“</w:t>
      </w:r>
      <w:r>
        <w:t xml:space="preserve">after guṇavacana and the rest, in the sense of state and of action, ṣyañ comes, and tva/tal too</w:t>
      </w:r>
      <w:r>
        <w:t xml:space="preserve">”</w:t>
      </w:r>
      <w:r>
        <w:t xml:space="preserve"> </w:t>
      </w:r>
      <w:r>
        <w:t xml:space="preserve">— so</w:t>
      </w:r>
      <w:r>
        <w:t xml:space="preserve"> </w:t>
      </w:r>
      <w:r>
        <w:t xml:space="preserve">“</w:t>
      </w:r>
      <w:r>
        <w:t xml:space="preserve">tva/tal</w:t>
      </w:r>
      <w:r>
        <w:t xml:space="preserve">”</w:t>
      </w:r>
      <w:r>
        <w:t xml:space="preserve"> </w:t>
      </w:r>
      <w:r>
        <w:t xml:space="preserve">come in the sense of action too. Both purposes would be served by a sūtra</w:t>
      </w:r>
      <w:r>
        <w:t xml:space="preserve"> </w:t>
      </w:r>
      <w:r>
        <w:t xml:space="preserve">“</w:t>
      </w:r>
      <w:r>
        <w:t xml:space="preserve">ā tvāt</w:t>
      </w:r>
      <w:r>
        <w:t xml:space="preserve">”</w:t>
      </w:r>
      <w:r>
        <w:t xml:space="preserve">; so the</w:t>
      </w:r>
      <w:r>
        <w:t xml:space="preserve"> </w:t>
      </w:r>
      <w:r>
        <w:t xml:space="preserve">“</w:t>
      </w:r>
      <w:r>
        <w:t xml:space="preserve">ca</w:t>
      </w:r>
      <w:r>
        <w:t xml:space="preserve">”</w:t>
      </w:r>
      <w:r>
        <w:t xml:space="preserve"> </w:t>
      </w:r>
      <w:r>
        <w:t xml:space="preserve">is extra, and it shows that between</w:t>
      </w:r>
      <w:r>
        <w:t xml:space="preserve"> </w:t>
      </w:r>
      <w:r>
        <w:t xml:space="preserve">“</w:t>
      </w:r>
      <w:r>
        <w:t xml:space="preserve">ṣyañ</w:t>
      </w:r>
      <w:r>
        <w:t xml:space="preserve">”</w:t>
      </w:r>
      <w:r>
        <w:t xml:space="preserve"> </w:t>
      </w:r>
      <w:r>
        <w:t xml:space="preserve">and the rest and</w:t>
      </w:r>
      <w:r>
        <w:t xml:space="preserve"> </w:t>
      </w:r>
      <w:r>
        <w:t xml:space="preserve">“</w:t>
      </w:r>
      <w:r>
        <w:t xml:space="preserve">nañ/snañ</w:t>
      </w:r>
      <w:r>
        <w:t xml:space="preserve">”</w:t>
      </w:r>
      <w:r>
        <w:t xml:space="preserve"> </w:t>
      </w:r>
      <w:r>
        <w:t xml:space="preserve">there is no relation of rule and exception: they co-occur. Hence</w:t>
      </w:r>
      <w:r>
        <w:t xml:space="preserve"> </w:t>
      </w:r>
      <w:r>
        <w:t xml:space="preserve">“</w:t>
      </w:r>
      <w:r>
        <w:t xml:space="preserve">ṣyañ</w:t>
      </w:r>
      <w:r>
        <w:t xml:space="preserve">”</w:t>
      </w:r>
      <w:r>
        <w:t xml:space="preserve"> </w:t>
      </w:r>
      <w:r>
        <w:t xml:space="preserve">may come after</w:t>
      </w:r>
      <w:r>
        <w:t xml:space="preserve"> </w:t>
      </w:r>
      <w:r>
        <w:t xml:space="preserve">“</w:t>
      </w:r>
      <w:r>
        <w:t xml:space="preserve">puṃs,</w:t>
      </w:r>
      <w:r>
        <w:t xml:space="preserve">”</w:t>
      </w:r>
      <w:r>
        <w:t xml:space="preserve"> </w:t>
      </w:r>
      <w:r>
        <w:t xml:space="preserve">and the form</w:t>
      </w:r>
      <w:r>
        <w:t xml:space="preserve"> </w:t>
      </w:r>
      <w:r>
        <w:t xml:space="preserve">“</w:t>
      </w:r>
      <w:r>
        <w:t xml:space="preserve">pauṃsyā</w:t>
      </w:r>
      <w:r>
        <w:t xml:space="preserve">”</w:t>
      </w:r>
      <w:r>
        <w:t xml:space="preserve"> </w:t>
      </w:r>
      <w:r>
        <w:t xml:space="preserve">is correct. ॥९॥</w:t>
      </w:r>
    </w:p>
    <w:p>
      <w:r>
        <w:pict>
          <v:rect style="width:0;height:1.5pt" o:hralign="center" o:hrstd="t" o:hr="t"/>
        </w:pict>
      </w:r>
    </w:p>
    <w:bookmarkEnd w:id="233"/>
    <w:bookmarkStart w:id="234" w:name="sūkta-5-the-tenth-mantra"/>
    <w:p>
      <w:pPr>
        <w:pStyle w:val="Heading3"/>
      </w:pPr>
      <w:r>
        <w:t xml:space="preserve">Sūkta 5, The Tenth Mantra</w:t>
      </w:r>
    </w:p>
    <w:p>
      <w:pPr>
        <w:pStyle w:val="FirstParagraph"/>
      </w:pPr>
      <w:r>
        <w:rPr>
          <w:bCs/>
          <w:b/>
        </w:rPr>
        <w:t xml:space="preserve">॥ Saṃhitā-pāṭhaḥ ॥</w:t>
      </w:r>
    </w:p>
    <w:p>
      <w:pPr>
        <w:pStyle w:val="BlockText"/>
      </w:pPr>
      <w:r>
        <w:t xml:space="preserve">मा नो॒ मर्ता॑ अ॒भि द्रु॑हन्तनू॒ना॑मिंद्र गिर्वणः ।</w:t>
      </w:r>
      <w:r>
        <w:t xml:space="preserve"> </w:t>
      </w:r>
      <w:r>
        <w:t xml:space="preserve">ईशा॑नो यवया व॒धं ॥१०॥</w:t>
      </w:r>
    </w:p>
    <w:p>
      <w:pPr>
        <w:pStyle w:val="BlockText"/>
      </w:pPr>
      <w:r>
        <w:rPr>
          <w:iCs/>
          <w:i/>
        </w:rPr>
        <w:t xml:space="preserve">mā no mártā abhí druhantanūnāmiṃdra girvaṇaḥ |</w:t>
      </w:r>
      <w:r>
        <w:t xml:space="preserve"> </w:t>
      </w:r>
      <w:r>
        <w:rPr>
          <w:iCs/>
          <w:i/>
        </w:rPr>
        <w:t xml:space="preserve">ī́śāno yavayā vadháṃ ||10||</w:t>
      </w:r>
    </w:p>
    <w:p>
      <w:pPr>
        <w:pStyle w:val="FirstParagraph"/>
      </w:pPr>
      <w:r>
        <w:rPr>
          <w:iCs/>
          <w:i/>
        </w:rPr>
        <w:t xml:space="preserve">(Reading note: the Saṃhitā is printed</w:t>
      </w:r>
      <w:r>
        <w:rPr>
          <w:iCs/>
          <w:i/>
        </w:rPr>
        <w:t xml:space="preserve"> </w:t>
      </w:r>
      <w:r>
        <w:rPr>
          <w:iCs/>
          <w:i/>
        </w:rPr>
        <w:t xml:space="preserve">“</w:t>
      </w:r>
      <w:r>
        <w:rPr>
          <w:iCs/>
          <w:i/>
        </w:rPr>
        <w:t xml:space="preserve">druhantanūnām</w:t>
      </w:r>
      <w:r>
        <w:rPr>
          <w:iCs/>
          <w:i/>
        </w:rPr>
        <w:t xml:space="preserve">”</w:t>
      </w:r>
      <w:r>
        <w:rPr>
          <w:iCs/>
          <w:i/>
        </w:rPr>
        <w:t xml:space="preserve"> </w:t>
      </w:r>
      <w:r>
        <w:rPr>
          <w:iCs/>
          <w:i/>
        </w:rPr>
        <w:t xml:space="preserve">as one run, and is given so; the Pada text below shows</w:t>
      </w:r>
      <w:r>
        <w:rPr>
          <w:iCs/>
          <w:i/>
        </w:rPr>
        <w:t xml:space="preserve"> </w:t>
      </w:r>
      <w:r>
        <w:rPr>
          <w:iCs/>
          <w:i/>
        </w:rPr>
        <w:t xml:space="preserve">“</w:t>
      </w:r>
      <w:r>
        <w:rPr>
          <w:iCs/>
          <w:i/>
        </w:rPr>
        <w:t xml:space="preserve">druhan | tanūnām.</w:t>
      </w:r>
      <w:r>
        <w:rPr>
          <w:iCs/>
          <w:i/>
        </w:rPr>
        <w:t xml:space="preserve">”</w:t>
      </w:r>
      <w:r>
        <w:rPr>
          <w:iCs/>
          <w:i/>
        </w:rPr>
        <w:t xml:space="preserve">)</w:t>
      </w:r>
    </w:p>
    <w:bookmarkEnd w:id="234"/>
    <w:bookmarkStart w:id="235" w:name="Xf696e7096e84ba0f30e8741cf913ded4f12d26e"/>
    <w:p>
      <w:pPr>
        <w:pStyle w:val="Heading3"/>
      </w:pPr>
      <w:r>
        <w:t xml:space="preserve">Page 198 — Rik 5.10: Pada, Sāyaṇa-bhāṣya, grammar (characterized), Pada-meanings (opening)</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5.</w:t>
      </w:r>
      <w:r>
        <w:rPr>
          <w:iCs/>
          <w:i/>
        </w:rPr>
        <w:t xml:space="preserve">”</w:t>
      </w:r>
      <w:r>
        <w:rPr>
          <w:iCs/>
          <w:i/>
        </w:rPr>
        <w:t xml:space="preserve"> </w:t>
      </w:r>
      <w:r>
        <w:rPr>
          <w:iCs/>
          <w:i/>
        </w:rPr>
        <w:t xml:space="preserve">Sanskrit printed in Kannada script; re-read from the better scan.)</w:t>
      </w:r>
    </w:p>
    <w:p>
      <w:pPr>
        <w:pStyle w:val="BodyText"/>
      </w:pPr>
      <w:r>
        <w:rPr>
          <w:bCs/>
          <w:b/>
        </w:rPr>
        <w:t xml:space="preserve">॥ Pada-pāṭhaḥ ॥</w:t>
      </w:r>
    </w:p>
    <w:p>
      <w:pPr>
        <w:pStyle w:val="BlockText"/>
      </w:pPr>
      <w:r>
        <w:t xml:space="preserve">मा । नः । मर्ताः । अभि । द्रुहन् । तनूनाम् । इन्द्र । गिर्वणः ।</w:t>
      </w:r>
      <w:r>
        <w:t xml:space="preserve"> </w:t>
      </w:r>
      <w:r>
        <w:t xml:space="preserve">ईशानः । यवय । वधम् ॥१०॥</w:t>
      </w:r>
    </w:p>
    <w:p>
      <w:pPr>
        <w:pStyle w:val="FirstParagraph"/>
      </w:pPr>
      <w:r>
        <w:rPr>
          <w:bCs/>
          <w:b/>
        </w:rPr>
        <w:t xml:space="preserve">॥ Sāyaṇa-bhāṣyam ॥</w:t>
      </w:r>
    </w:p>
    <w:p>
      <w:pPr>
        <w:pStyle w:val="BlockText"/>
      </w:pPr>
      <w:r>
        <w:t xml:space="preserve">हे गिर्वण इन्द्र मर्ता विरोधिनो मनुष्या नोऽस्मदीयानां तनूनां शरीराणां माभि द्रुहन् । अभितो द्रोहं मा कुर्युः । ईशानः समर्थस्त्वं वधं वैरिभिः संपाद्यमानं यवय । अस्मत्तः पृथक्कुरु । मनुष्या इत्यादिषु पञ्चविंशतिसंख्याकेषु मनुष्यनामसु मर्ता व्राता इति पठितम् ॥</w:t>
      </w:r>
      <w:r>
        <w:t xml:space="preserve"> </w:t>
      </w:r>
      <w:r>
        <w:rPr>
          <w:iCs/>
          <w:i/>
        </w:rPr>
        <w:t xml:space="preserve">he girvaṇa indra martā virodhino manuṣyā no ’smadīyānāṃ tanūnāṃ śarīrāṇāṃ mābhi druhan | abhito droham mā kuryuḥ | īśānaḥ samarthas tvaṃ vadhaṃ vairibhiḥ sampādyamānaṃ yavaya | asmattaḥ pṛthak kuru | manuṣyā ity ādiṣu pañcaviṃśati-saṃkhyākeṣu manuṣya-nāmasu martā vrātā iti paṭhitam ||</w:t>
      </w:r>
      <w:r>
        <w:t xml:space="preserve"> </w:t>
      </w:r>
      <w:r>
        <w:rPr>
          <w:iCs/>
          <w:i/>
        </w:rPr>
        <w:t xml:space="preserve">(Reading note, re-checked against the better scan:</w:t>
      </w:r>
      <w:r>
        <w:rPr>
          <w:iCs/>
          <w:i/>
        </w:rPr>
        <w:t xml:space="preserve"> </w:t>
      </w:r>
      <w:r>
        <w:rPr>
          <w:iCs/>
          <w:i/>
        </w:rPr>
        <w:t xml:space="preserve">“</w:t>
      </w:r>
      <w:r>
        <w:rPr>
          <w:iCs/>
          <w:i/>
        </w:rPr>
        <w:t xml:space="preserve">martā virodhino</w:t>
      </w:r>
      <w:r>
        <w:rPr>
          <w:iCs/>
          <w:i/>
        </w:rPr>
        <w:t xml:space="preserve">”</w:t>
      </w:r>
      <w:r>
        <w:rPr>
          <w:iCs/>
          <w:i/>
        </w:rPr>
        <w:t xml:space="preserve"> </w:t>
      </w:r>
      <w:r>
        <w:rPr>
          <w:iCs/>
          <w:i/>
        </w:rPr>
        <w:t xml:space="preserve">is the sandhi of</w:t>
      </w:r>
      <w:r>
        <w:rPr>
          <w:iCs/>
          <w:i/>
        </w:rPr>
        <w:t xml:space="preserve"> </w:t>
      </w:r>
      <w:r>
        <w:rPr>
          <w:iCs/>
          <w:i/>
        </w:rPr>
        <w:t xml:space="preserve">“</w:t>
      </w:r>
      <w:r>
        <w:rPr>
          <w:iCs/>
          <w:i/>
        </w:rPr>
        <w:t xml:space="preserve">martāḥ</w:t>
      </w:r>
      <w:r>
        <w:rPr>
          <w:iCs/>
          <w:i/>
        </w:rPr>
        <w:t xml:space="preserve">”</w:t>
      </w:r>
      <w:r>
        <w:rPr>
          <w:iCs/>
          <w:i/>
        </w:rPr>
        <w:t xml:space="preserve">; in the list of names the print has</w:t>
      </w:r>
      <w:r>
        <w:rPr>
          <w:iCs/>
          <w:i/>
        </w:rPr>
        <w:t xml:space="preserve"> </w:t>
      </w:r>
      <w:r>
        <w:rPr>
          <w:iCs/>
          <w:i/>
        </w:rPr>
        <w:t xml:space="preserve">“</w:t>
      </w:r>
      <w:r>
        <w:rPr>
          <w:iCs/>
          <w:i/>
        </w:rPr>
        <w:t xml:space="preserve">martā vrātā iti.</w:t>
      </w:r>
      <w:r>
        <w:rPr>
          <w:iCs/>
          <w:i/>
        </w:rPr>
        <w:t xml:space="preserve">”</w:t>
      </w:r>
      <w:r>
        <w:rPr>
          <w:iCs/>
          <w:i/>
        </w:rPr>
        <w:t xml:space="preserve">)</w:t>
      </w:r>
    </w:p>
    <w:p>
      <w:pPr>
        <w:pStyle w:val="FirstParagraph"/>
      </w:pPr>
      <w:r>
        <w:rPr>
          <w:bCs/>
          <w:b/>
        </w:rPr>
        <w:t xml:space="preserve">Translation:</w:t>
      </w:r>
      <w:r>
        <w:t xml:space="preserve"> </w:t>
      </w:r>
      <w:r>
        <w:t xml:space="preserve">“</w:t>
      </w:r>
      <w:r>
        <w:t xml:space="preserve">O</w:t>
      </w:r>
      <w:r>
        <w:t xml:space="preserve"> </w:t>
      </w:r>
      <w:r>
        <w:t xml:space="preserve">‘</w:t>
      </w:r>
      <w:r>
        <w:t xml:space="preserve">girvaṇaḥ</w:t>
      </w:r>
      <w:r>
        <w:t xml:space="preserve">’</w:t>
      </w:r>
      <w:r>
        <w:t xml:space="preserve"> </w:t>
      </w:r>
      <w:r>
        <w:t xml:space="preserve">Indra! Let not</w:t>
      </w:r>
      <w:r>
        <w:t xml:space="preserve"> </w:t>
      </w:r>
      <w:r>
        <w:t xml:space="preserve">‘</w:t>
      </w:r>
      <w:r>
        <w:t xml:space="preserve">martāḥ</w:t>
      </w:r>
      <w:r>
        <w:t xml:space="preserve">’</w:t>
      </w:r>
      <w:r>
        <w:t xml:space="preserve"> </w:t>
      </w:r>
      <w:r>
        <w:t xml:space="preserve">— hostile men —</w:t>
      </w:r>
      <w:r>
        <w:t xml:space="preserve"> </w:t>
      </w:r>
      <w:r>
        <w:t xml:space="preserve">‘</w:t>
      </w:r>
      <w:r>
        <w:t xml:space="preserve">abhi druhan</w:t>
      </w:r>
      <w:r>
        <w:t xml:space="preserve">’</w:t>
      </w:r>
      <w:r>
        <w:t xml:space="preserve"> </w:t>
      </w:r>
      <w:r>
        <w:t xml:space="preserve">— do harm (</w:t>
      </w:r>
      <w:r>
        <w:t xml:space="preserve">‘</w:t>
      </w:r>
      <w:r>
        <w:t xml:space="preserve">droha</w:t>
      </w:r>
      <w:r>
        <w:t xml:space="preserve">’</w:t>
      </w:r>
      <w:r>
        <w:t xml:space="preserve">) on every side to</w:t>
      </w:r>
      <w:r>
        <w:t xml:space="preserve"> </w:t>
      </w:r>
      <w:r>
        <w:t xml:space="preserve">‘</w:t>
      </w:r>
      <w:r>
        <w:t xml:space="preserve">naḥ tanūnām</w:t>
      </w:r>
      <w:r>
        <w:t xml:space="preserve">’</w:t>
      </w:r>
      <w:r>
        <w:t xml:space="preserve"> </w:t>
      </w:r>
      <w:r>
        <w:t xml:space="preserve">— to our bodies.</w:t>
      </w:r>
      <w:r>
        <w:t xml:space="preserve"> </w:t>
      </w:r>
      <w:r>
        <w:t xml:space="preserve">‘</w:t>
      </w:r>
      <w:r>
        <w:t xml:space="preserve">Īśānaḥ</w:t>
      </w:r>
      <w:r>
        <w:t xml:space="preserve">’</w:t>
      </w:r>
      <w:r>
        <w:t xml:space="preserve"> </w:t>
      </w:r>
      <w:r>
        <w:t xml:space="preserve">— you, who are able —</w:t>
      </w:r>
      <w:r>
        <w:t xml:space="preserve"> </w:t>
      </w:r>
      <w:r>
        <w:t xml:space="preserve">‘</w:t>
      </w:r>
      <w:r>
        <w:t xml:space="preserve">vadham</w:t>
      </w:r>
      <w:r>
        <w:t xml:space="preserve">’</w:t>
      </w:r>
      <w:r>
        <w:t xml:space="preserve"> </w:t>
      </w:r>
      <w:r>
        <w:t xml:space="preserve">— the slaughter that is being worked by enemies —</w:t>
      </w:r>
      <w:r>
        <w:t xml:space="preserve"> </w:t>
      </w:r>
      <w:r>
        <w:t xml:space="preserve">‘</w:t>
      </w:r>
      <w:r>
        <w:t xml:space="preserve">yavaya</w:t>
      </w:r>
      <w:r>
        <w:t xml:space="preserve">’</w:t>
      </w:r>
      <w:r>
        <w:t xml:space="preserve"> </w:t>
      </w:r>
      <w:r>
        <w:t xml:space="preserve">— keep away; separate (it) from us. Among the twenty-five names of men beginning with</w:t>
      </w:r>
      <w:r>
        <w:t xml:space="preserve"> </w:t>
      </w:r>
      <w:r>
        <w:t xml:space="preserve">‘</w:t>
      </w:r>
      <w:r>
        <w:t xml:space="preserve">manuṣyāḥ,</w:t>
      </w:r>
      <w:r>
        <w:t xml:space="preserve">’</w:t>
      </w:r>
      <w:r>
        <w:t xml:space="preserve"> </w:t>
      </w:r>
      <w:r>
        <w:t xml:space="preserve">‘</w:t>
      </w:r>
      <w:r>
        <w:t xml:space="preserve">martāḥ</w:t>
      </w:r>
      <w:r>
        <w:t xml:space="preserve">’</w:t>
      </w:r>
      <w:r>
        <w:t xml:space="preserve"> </w:t>
      </w:r>
      <w:r>
        <w:t xml:space="preserve">and</w:t>
      </w:r>
      <w:r>
        <w:t xml:space="preserve"> </w:t>
      </w:r>
      <w:r>
        <w:t xml:space="preserve">‘</w:t>
      </w:r>
      <w:r>
        <w:t xml:space="preserve">vrātāḥ</w:t>
      </w:r>
      <w:r>
        <w:t xml:space="preserve">’</w:t>
      </w:r>
      <w:r>
        <w:t xml:space="preserve"> </w:t>
      </w:r>
      <w:r>
        <w:t xml:space="preserve">are read.</w:t>
      </w:r>
      <w:r>
        <w:t xml:space="preserve">”</w:t>
      </w:r>
    </w:p>
    <w:p>
      <w:pPr>
        <w:pStyle w:val="BodyText"/>
      </w:pPr>
      <w:r>
        <w:rPr>
          <w:bCs/>
          <w:b/>
        </w:rPr>
        <w:t xml:space="preserve">Grammar (re-read from the better scan; sūtras kept):</w:t>
      </w:r>
      <w:r>
        <w:t xml:space="preserve"> </w:t>
      </w:r>
      <w:r>
        <w:t xml:space="preserve">“</w:t>
      </w:r>
      <w:r>
        <w:t xml:space="preserve">Martāḥ</w:t>
      </w:r>
      <w:r>
        <w:t xml:space="preserve">”</w:t>
      </w:r>
      <w:r>
        <w:t xml:space="preserve"> </w:t>
      </w:r>
      <w:r>
        <w:t xml:space="preserve">— the Uṇādi</w:t>
      </w:r>
      <w:r>
        <w:t xml:space="preserve"> </w:t>
      </w:r>
      <w:r>
        <w:rPr>
          <w:bCs/>
          <w:b/>
        </w:rPr>
        <w:t xml:space="preserve">असिहसिमृग्रिण्वामिदमिलूपूधुर्विभ्यस्तन्</w:t>
      </w:r>
      <w:r>
        <w:t xml:space="preserve"> </w:t>
      </w:r>
      <w:r>
        <w:t xml:space="preserve">(उ. सू. ३-८६) the affix</w:t>
      </w:r>
      <w:r>
        <w:t xml:space="preserve"> </w:t>
      </w:r>
      <w:r>
        <w:t xml:space="preserve">“</w:t>
      </w:r>
      <w:r>
        <w:t xml:space="preserve">tan</w:t>
      </w:r>
      <w:r>
        <w:t xml:space="preserve">”</w:t>
      </w:r>
      <w:r>
        <w:t xml:space="preserve">;</w:t>
      </w:r>
      <w:r>
        <w:t xml:space="preserve"> </w:t>
      </w:r>
      <w:r>
        <w:t xml:space="preserve">“</w:t>
      </w:r>
      <w:r>
        <w:t xml:space="preserve">n</w:t>
      </w:r>
      <w:r>
        <w:t xml:space="preserve">”</w:t>
      </w:r>
      <w:r>
        <w:t xml:space="preserve">-marked, first-syllable acute.</w:t>
      </w:r>
      <w:r>
        <w:t xml:space="preserve"> </w:t>
      </w:r>
      <w:r>
        <w:t xml:space="preserve">“</w:t>
      </w:r>
      <w:r>
        <w:t xml:space="preserve">Abhi</w:t>
      </w:r>
      <w:r>
        <w:t xml:space="preserve">”</w:t>
      </w:r>
      <w:r>
        <w:t xml:space="preserve"> </w:t>
      </w:r>
      <w:r>
        <w:t xml:space="preserve">—</w:t>
      </w:r>
      <w:r>
        <w:t xml:space="preserve"> </w:t>
      </w:r>
      <w:r>
        <w:rPr>
          <w:bCs/>
          <w:b/>
        </w:rPr>
        <w:t xml:space="preserve">एवमादीनामन्तः</w:t>
      </w:r>
      <w:r>
        <w:t xml:space="preserve"> </w:t>
      </w:r>
      <w:r>
        <w:t xml:space="preserve">(फि. सू. ४-१४), end-acute.</w:t>
      </w:r>
      <w:r>
        <w:t xml:space="preserve"> </w:t>
      </w:r>
      <w:r>
        <w:t xml:space="preserve">“</w:t>
      </w:r>
      <w:r>
        <w:t xml:space="preserve">Druhan</w:t>
      </w:r>
      <w:r>
        <w:t xml:space="preserve">”</w:t>
      </w:r>
      <w:r>
        <w:t xml:space="preserve"> </w:t>
      </w:r>
      <w:r>
        <w:t xml:space="preserve">—</w:t>
      </w:r>
      <w:r>
        <w:t xml:space="preserve"> </w:t>
      </w:r>
      <w:r>
        <w:t xml:space="preserve">“</w:t>
      </w:r>
      <w:r>
        <w:t xml:space="preserve">druha jighāṃsāyām</w:t>
      </w:r>
      <w:r>
        <w:t xml:space="preserve">”</w:t>
      </w:r>
      <w:r>
        <w:t xml:space="preserve">:</w:t>
      </w:r>
      <w:r>
        <w:t xml:space="preserve"> </w:t>
      </w:r>
      <w:r>
        <w:rPr>
          <w:bCs/>
          <w:b/>
        </w:rPr>
        <w:t xml:space="preserve">लिङर्थे लेट्</w:t>
      </w:r>
      <w:r>
        <w:t xml:space="preserve"> </w:t>
      </w:r>
      <w:r>
        <w:t xml:space="preserve">(पा. ३-४-७) in the sense of prayer (</w:t>
      </w:r>
      <w:r>
        <w:rPr>
          <w:bCs/>
          <w:b/>
        </w:rPr>
        <w:t xml:space="preserve">प्रार्थनायाम्</w:t>
      </w:r>
      <w:r>
        <w:t xml:space="preserve">, पा. ३-३-१६१); its</w:t>
      </w:r>
      <w:r>
        <w:t xml:space="preserve"> </w:t>
      </w:r>
      <w:r>
        <w:t xml:space="preserve">“</w:t>
      </w:r>
      <w:r>
        <w:t xml:space="preserve">jhi</w:t>
      </w:r>
      <w:r>
        <w:t xml:space="preserve">”</w:t>
      </w:r>
      <w:r>
        <w:t xml:space="preserve"> </w:t>
      </w:r>
      <w:r>
        <w:t xml:space="preserve">(</w:t>
      </w:r>
      <w:r>
        <w:rPr>
          <w:bCs/>
          <w:b/>
        </w:rPr>
        <w:t xml:space="preserve">तिप्तस्झि…</w:t>
      </w:r>
      <w:r>
        <w:t xml:space="preserve">, पा. ३-४-७८);</w:t>
      </w:r>
      <w:r>
        <w:t xml:space="preserve"> </w:t>
      </w:r>
      <w:r>
        <w:rPr>
          <w:bCs/>
          <w:b/>
        </w:rPr>
        <w:t xml:space="preserve">झोऽन्तः</w:t>
      </w:r>
      <w:r>
        <w:t xml:space="preserve"> </w:t>
      </w:r>
      <w:r>
        <w:t xml:space="preserve">(पा. ७-१-३);</w:t>
      </w:r>
      <w:r>
        <w:t xml:space="preserve"> </w:t>
      </w:r>
      <w:r>
        <w:rPr>
          <w:bCs/>
          <w:b/>
        </w:rPr>
        <w:t xml:space="preserve">इतश्च लोपः परस्मैपदेषु</w:t>
      </w:r>
      <w:r>
        <w:t xml:space="preserve"> </w:t>
      </w:r>
      <w:r>
        <w:t xml:space="preserve">(पा. ३-४-९७) elides the</w:t>
      </w:r>
      <w:r>
        <w:t xml:space="preserve"> </w:t>
      </w:r>
      <w:r>
        <w:t xml:space="preserve">“</w:t>
      </w:r>
      <w:r>
        <w:t xml:space="preserve">i</w:t>
      </w:r>
      <w:r>
        <w:t xml:space="preserve">”</w:t>
      </w:r>
      <w:r>
        <w:t xml:space="preserve">;</w:t>
      </w:r>
      <w:r>
        <w:t xml:space="preserve"> </w:t>
      </w:r>
      <w:r>
        <w:t xml:space="preserve">“</w:t>
      </w:r>
      <w:r>
        <w:t xml:space="preserve">śap</w:t>
      </w:r>
      <w:r>
        <w:t xml:space="preserve">”</w:t>
      </w:r>
      <w:r>
        <w:t xml:space="preserve"> </w:t>
      </w:r>
      <w:r>
        <w:t xml:space="preserve">by</w:t>
      </w:r>
      <w:r>
        <w:t xml:space="preserve"> </w:t>
      </w:r>
      <w:r>
        <w:t xml:space="preserve">“</w:t>
      </w:r>
      <w:r>
        <w:t xml:space="preserve">luk</w:t>
      </w:r>
      <w:r>
        <w:t xml:space="preserve">”</w:t>
      </w:r>
      <w:r>
        <w:t xml:space="preserve">; by</w:t>
      </w:r>
      <w:r>
        <w:t xml:space="preserve"> </w:t>
      </w:r>
      <w:r>
        <w:rPr>
          <w:bCs/>
          <w:b/>
        </w:rPr>
        <w:t xml:space="preserve">सार्वधातुकमपित्</w:t>
      </w:r>
      <w:r>
        <w:t xml:space="preserve"> </w:t>
      </w:r>
      <w:r>
        <w:t xml:space="preserve">(पा. १-२-४) the tiṅ is</w:t>
      </w:r>
      <w:r>
        <w:t xml:space="preserve"> </w:t>
      </w:r>
      <w:r>
        <w:t xml:space="preserve">“</w:t>
      </w:r>
      <w:r>
        <w:t xml:space="preserve">ṅit,</w:t>
      </w:r>
      <w:r>
        <w:t xml:space="preserve">”</w:t>
      </w:r>
      <w:r>
        <w:t xml:space="preserve"> </w:t>
      </w:r>
      <w:r>
        <w:t xml:space="preserve">so no guṇa of the light penultimate (</w:t>
      </w:r>
      <w:r>
        <w:rPr>
          <w:bCs/>
          <w:b/>
        </w:rPr>
        <w:t xml:space="preserve">क्ङिति च</w:t>
      </w:r>
      <w:r>
        <w:t xml:space="preserve">, पा. १-१-५).</w:t>
      </w:r>
      <w:r>
        <w:t xml:space="preserve"> </w:t>
      </w:r>
      <w:r>
        <w:t xml:space="preserve">“</w:t>
      </w:r>
      <w:r>
        <w:t xml:space="preserve">Tanūnām</w:t>
      </w:r>
      <w:r>
        <w:t xml:space="preserve">”</w:t>
      </w:r>
      <w:r>
        <w:t xml:space="preserve"> </w:t>
      </w:r>
      <w:r>
        <w:t xml:space="preserve">— for lack of syntactic connection there is no</w:t>
      </w:r>
      <w:r>
        <w:t xml:space="preserve"> </w:t>
      </w:r>
      <w:r>
        <w:t xml:space="preserve">“</w:t>
      </w:r>
      <w:r>
        <w:t xml:space="preserve">parāṅgavadbhāva.</w:t>
      </w:r>
      <w:r>
        <w:t xml:space="preserve">”</w:t>
      </w:r>
      <w:r>
        <w:t xml:space="preserve"> </w:t>
      </w:r>
      <w:r>
        <w:t xml:space="preserve">“</w:t>
      </w:r>
      <w:r>
        <w:t xml:space="preserve">Indra girvaṇaḥ</w:t>
      </w:r>
      <w:r>
        <w:t xml:space="preserve">”</w:t>
      </w:r>
      <w:r>
        <w:t xml:space="preserve"> </w:t>
      </w:r>
      <w:r>
        <w:t xml:space="preserve">— vocatives, unaccented (</w:t>
      </w:r>
      <w:r>
        <w:t xml:space="preserve">“</w:t>
      </w:r>
      <w:r>
        <w:t xml:space="preserve">gatam,</w:t>
      </w:r>
      <w:r>
        <w:t xml:space="preserve">”</w:t>
      </w:r>
      <w:r>
        <w:t xml:space="preserve"> </w:t>
      </w:r>
      <w:r>
        <w:t xml:space="preserve">as said before).</w:t>
      </w:r>
      <w:r>
        <w:t xml:space="preserve"> </w:t>
      </w:r>
      <w:r>
        <w:t xml:space="preserve">“</w:t>
      </w:r>
      <w:r>
        <w:t xml:space="preserve">Īśānaḥ</w:t>
      </w:r>
      <w:r>
        <w:t xml:space="preserve">”</w:t>
      </w:r>
      <w:r>
        <w:t xml:space="preserve"> </w:t>
      </w:r>
      <w:r>
        <w:t xml:space="preserve">— the root being anudātta-it, the</w:t>
      </w:r>
      <w:r>
        <w:t xml:space="preserve"> </w:t>
      </w:r>
      <w:r>
        <w:t xml:space="preserve">“</w:t>
      </w:r>
      <w:r>
        <w:t xml:space="preserve">śap</w:t>
      </w:r>
      <w:r>
        <w:t xml:space="preserve">”</w:t>
      </w:r>
      <w:r>
        <w:t xml:space="preserve"> </w:t>
      </w:r>
      <w:r>
        <w:t xml:space="preserve">being elided by</w:t>
      </w:r>
      <w:r>
        <w:t xml:space="preserve"> </w:t>
      </w:r>
      <w:r>
        <w:t xml:space="preserve">“</w:t>
      </w:r>
      <w:r>
        <w:t xml:space="preserve">luk</w:t>
      </w:r>
      <w:r>
        <w:t xml:space="preserve">”</w:t>
      </w:r>
      <w:r>
        <w:t xml:space="preserve"> </w:t>
      </w:r>
      <w:r>
        <w:t xml:space="preserve">and the lasārvadhātuka unaccented, the root accent alone remains.</w:t>
      </w:r>
      <w:r>
        <w:t xml:space="preserve"> </w:t>
      </w:r>
      <w:r>
        <w:t xml:space="preserve">“</w:t>
      </w:r>
      <w:r>
        <w:t xml:space="preserve">Yavaya</w:t>
      </w:r>
      <w:r>
        <w:t xml:space="preserve">”</w:t>
      </w:r>
      <w:r>
        <w:t xml:space="preserve"> </w:t>
      </w:r>
      <w:r>
        <w:t xml:space="preserve">— after</w:t>
      </w:r>
      <w:r>
        <w:t xml:space="preserve"> </w:t>
      </w:r>
      <w:r>
        <w:t xml:space="preserve">“</w:t>
      </w:r>
      <w:r>
        <w:t xml:space="preserve">yu</w:t>
      </w:r>
      <w:r>
        <w:t xml:space="preserve">”</w:t>
      </w:r>
      <w:r>
        <w:t xml:space="preserve"> </w:t>
      </w:r>
      <w:r>
        <w:t xml:space="preserve">with</w:t>
      </w:r>
      <w:r>
        <w:t xml:space="preserve"> </w:t>
      </w:r>
      <w:r>
        <w:t xml:space="preserve">“</w:t>
      </w:r>
      <w:r>
        <w:t xml:space="preserve">ṇic,</w:t>
      </w:r>
      <w:r>
        <w:t xml:space="preserve">”</w:t>
      </w:r>
      <w:r>
        <w:t xml:space="preserve"> </w:t>
      </w:r>
      <w:r>
        <w:t xml:space="preserve">vṛddhi is not done by the statement</w:t>
      </w:r>
      <w:r>
        <w:t xml:space="preserve"> </w:t>
      </w:r>
      <w:r>
        <w:rPr>
          <w:bCs/>
          <w:b/>
        </w:rPr>
        <w:t xml:space="preserve">संज्ञापूर्वको विधिरनित्यः</w:t>
      </w:r>
      <w:r>
        <w:t xml:space="preserve"> </w:t>
      </w:r>
      <w:r>
        <w:t xml:space="preserve">(a rule introduced by a technical name is not binding); or</w:t>
      </w:r>
      <w:r>
        <w:t xml:space="preserve"> </w:t>
      </w:r>
      <w:r>
        <w:t xml:space="preserve">“</w:t>
      </w:r>
      <w:r>
        <w:t xml:space="preserve">yavaḥ</w:t>
      </w:r>
      <w:r>
        <w:t xml:space="preserve">”</w:t>
      </w:r>
      <w:r>
        <w:t xml:space="preserve"> </w:t>
      </w:r>
      <w:r>
        <w:t xml:space="preserve">from</w:t>
      </w:r>
      <w:r>
        <w:t xml:space="preserve"> </w:t>
      </w:r>
      <w:r>
        <w:t xml:space="preserve">“</w:t>
      </w:r>
      <w:r>
        <w:t xml:space="preserve">yauti</w:t>
      </w:r>
      <w:r>
        <w:t xml:space="preserve">”</w:t>
      </w:r>
      <w:r>
        <w:t xml:space="preserve"> </w:t>
      </w:r>
      <w:r>
        <w:t xml:space="preserve">by</w:t>
      </w:r>
      <w:r>
        <w:t xml:space="preserve"> </w:t>
      </w:r>
      <w:r>
        <w:t xml:space="preserve">“</w:t>
      </w:r>
      <w:r>
        <w:t xml:space="preserve">ac</w:t>
      </w:r>
      <w:r>
        <w:t xml:space="preserve">”</w:t>
      </w:r>
      <w:r>
        <w:t xml:space="preserve"> </w:t>
      </w:r>
      <w:r>
        <w:t xml:space="preserve">(</w:t>
      </w:r>
      <w:r>
        <w:rPr>
          <w:bCs/>
          <w:b/>
        </w:rPr>
        <w:t xml:space="preserve">पचाद्यच्</w:t>
      </w:r>
      <w:r>
        <w:t xml:space="preserve">, पा. ३-१-१३४), and</w:t>
      </w:r>
      <w:r>
        <w:t xml:space="preserve"> </w:t>
      </w:r>
      <w:r>
        <w:t xml:space="preserve">“</w:t>
      </w:r>
      <w:r>
        <w:t xml:space="preserve">yavaṃ karoti</w:t>
      </w:r>
      <w:r>
        <w:t xml:space="preserve">”</w:t>
      </w:r>
      <w:r>
        <w:t xml:space="preserve"> </w:t>
      </w:r>
      <w:r>
        <w:t xml:space="preserve">—</w:t>
      </w:r>
      <w:r>
        <w:t xml:space="preserve"> </w:t>
      </w:r>
      <w:r>
        <w:rPr>
          <w:bCs/>
          <w:b/>
        </w:rPr>
        <w:t xml:space="preserve">तत्करोति तदाचष्टे</w:t>
      </w:r>
      <w:r>
        <w:t xml:space="preserve"> </w:t>
      </w:r>
      <w:r>
        <w:t xml:space="preserve">(पा. ३-१-२६, 5-6 [as printed]) gives</w:t>
      </w:r>
      <w:r>
        <w:t xml:space="preserve"> </w:t>
      </w:r>
      <w:r>
        <w:t xml:space="preserve">“</w:t>
      </w:r>
      <w:r>
        <w:t xml:space="preserve">ṇic</w:t>
      </w:r>
      <w:r>
        <w:t xml:space="preserve">”</w:t>
      </w:r>
      <w:r>
        <w:t xml:space="preserve">; by</w:t>
      </w:r>
      <w:r>
        <w:t xml:space="preserve"> </w:t>
      </w:r>
      <w:r>
        <w:t xml:space="preserve">“</w:t>
      </w:r>
      <w:r>
        <w:t xml:space="preserve">iṣṭhavadbhāva</w:t>
      </w:r>
      <w:r>
        <w:t xml:space="preserve">”</w:t>
      </w:r>
      <w:r>
        <w:t xml:space="preserve"> </w:t>
      </w:r>
      <w:r>
        <w:t xml:space="preserve">the</w:t>
      </w:r>
      <w:r>
        <w:t xml:space="preserve"> </w:t>
      </w:r>
      <w:r>
        <w:t xml:space="preserve">“</w:t>
      </w:r>
      <w:r>
        <w:t xml:space="preserve">ṭi</w:t>
      </w:r>
      <w:r>
        <w:t xml:space="preserve">”</w:t>
      </w:r>
      <w:r>
        <w:t xml:space="preserve"> </w:t>
      </w:r>
      <w:r>
        <w:t xml:space="preserve">is elided (पा. ६-४-१५५-१); as that elision is sthānivat (पा. १-१-५६), there is no vṛddhi.</w:t>
      </w:r>
      <w:r>
        <w:t xml:space="preserve"> </w:t>
      </w:r>
      <w:r>
        <w:t xml:space="preserve">“</w:t>
      </w:r>
      <w:r>
        <w:t xml:space="preserve">Vadham</w:t>
      </w:r>
      <w:r>
        <w:t xml:space="preserve">”</w:t>
      </w:r>
      <w:r>
        <w:t xml:space="preserve"> </w:t>
      </w:r>
      <w:r>
        <w:t xml:space="preserve">—</w:t>
      </w:r>
      <w:r>
        <w:t xml:space="preserve"> </w:t>
      </w:r>
      <w:r>
        <w:rPr>
          <w:bCs/>
          <w:b/>
        </w:rPr>
        <w:t xml:space="preserve">हनश्च वधः</w:t>
      </w:r>
      <w:r>
        <w:t xml:space="preserve"> </w:t>
      </w:r>
      <w:r>
        <w:t xml:space="preserve">(पा. ३-३-७६) the affix</w:t>
      </w:r>
      <w:r>
        <w:t xml:space="preserve"> </w:t>
      </w:r>
      <w:r>
        <w:t xml:space="preserve">“</w:t>
      </w:r>
      <w:r>
        <w:t xml:space="preserve">ap</w:t>
      </w:r>
      <w:r>
        <w:t xml:space="preserve">”</w:t>
      </w:r>
      <w:r>
        <w:t xml:space="preserve"> </w:t>
      </w:r>
      <w:r>
        <w:t xml:space="preserve">in the sense of state, with</w:t>
      </w:r>
      <w:r>
        <w:t xml:space="preserve"> </w:t>
      </w:r>
      <w:r>
        <w:t xml:space="preserve">“</w:t>
      </w:r>
      <w:r>
        <w:t xml:space="preserve">vadha</w:t>
      </w:r>
      <w:r>
        <w:t xml:space="preserve">”</w:t>
      </w:r>
      <w:r>
        <w:t xml:space="preserve"> </w:t>
      </w:r>
      <w:r>
        <w:t xml:space="preserve">for</w:t>
      </w:r>
      <w:r>
        <w:t xml:space="preserve"> </w:t>
      </w:r>
      <w:r>
        <w:t xml:space="preserve">“</w:t>
      </w:r>
      <w:r>
        <w:t xml:space="preserve">han</w:t>
      </w:r>
      <w:r>
        <w:t xml:space="preserve">”</w:t>
      </w:r>
      <w:r>
        <w:t xml:space="preserve">; as</w:t>
      </w:r>
      <w:r>
        <w:t xml:space="preserve"> </w:t>
      </w:r>
      <w:r>
        <w:t xml:space="preserve">“</w:t>
      </w:r>
      <w:r>
        <w:t xml:space="preserve">vadha</w:t>
      </w:r>
      <w:r>
        <w:t xml:space="preserve">”</w:t>
      </w:r>
      <w:r>
        <w:t xml:space="preserve"> </w:t>
      </w:r>
      <w:r>
        <w:t xml:space="preserve">is taught together with the affix, it is end-acute by sthānivadbhāva; with the acute removed, the affix</w:t>
      </w:r>
      <w:r>
        <w:t xml:space="preserve"> </w:t>
      </w:r>
      <w:r>
        <w:t xml:space="preserve">“</w:t>
      </w:r>
      <w:r>
        <w:t xml:space="preserve">ap</w:t>
      </w:r>
      <w:r>
        <w:t xml:space="preserve">”</w:t>
      </w:r>
      <w:r>
        <w:t xml:space="preserve"> </w:t>
      </w:r>
      <w:r>
        <w:t xml:space="preserve">takes the acute. ॥१०॥</w:t>
      </w:r>
    </w:p>
    <w:p>
      <w:pPr>
        <w:pStyle w:val="BodyText"/>
      </w:pPr>
      <w:r>
        <w:rPr>
          <w:bCs/>
          <w:b/>
        </w:rPr>
        <w:t xml:space="preserve">॥ Prati-padārthaḥ ॥</w:t>
      </w:r>
      <w:r>
        <w:t xml:space="preserve"> </w:t>
      </w:r>
      <w:r>
        <w:rPr>
          <w:iCs/>
          <w:i/>
        </w:rPr>
        <w:t xml:space="preserve">(Kannada, translated)</w:t>
      </w:r>
    </w:p>
    <w:p>
      <w:pPr>
        <w:pStyle w:val="BodyText"/>
      </w:pPr>
      <w:r>
        <w:rPr>
          <w:bCs/>
          <w:b/>
        </w:rPr>
        <w:t xml:space="preserve">गिर्वणः (girvaṇaḥ)</w:t>
      </w:r>
      <w:r>
        <w:t xml:space="preserve"> </w:t>
      </w:r>
      <w:r>
        <w:t xml:space="preserve">— O one who is praised by words |</w:t>
      </w:r>
      <w:r>
        <w:t xml:space="preserve"> </w:t>
      </w:r>
      <w:r>
        <w:rPr>
          <w:bCs/>
          <w:b/>
        </w:rPr>
        <w:t xml:space="preserve">(हे) इन्द्र (he indra)</w:t>
      </w:r>
      <w:r>
        <w:t xml:space="preserve"> </w:t>
      </w:r>
      <w:r>
        <w:t xml:space="preserve">— O Indra |</w:t>
      </w:r>
      <w:r>
        <w:t xml:space="preserve"> </w:t>
      </w:r>
      <w:r>
        <w:rPr>
          <w:bCs/>
          <w:b/>
        </w:rPr>
        <w:t xml:space="preserve">मर्ताः (martāḥ)</w:t>
      </w:r>
      <w:r>
        <w:t xml:space="preserve"> </w:t>
      </w:r>
      <w:r>
        <w:t xml:space="preserve">— (our enemies) men |</w:t>
      </w:r>
      <w:r>
        <w:t xml:space="preserve"> </w:t>
      </w:r>
      <w:r>
        <w:rPr>
          <w:bCs/>
          <w:b/>
        </w:rPr>
        <w:t xml:space="preserve">नः (naḥ)</w:t>
      </w:r>
      <w:r>
        <w:t xml:space="preserve"> </w:t>
      </w:r>
      <w:r>
        <w:t xml:space="preserve">— our |</w:t>
      </w:r>
      <w:r>
        <w:t xml:space="preserve"> </w:t>
      </w:r>
      <w:r>
        <w:rPr>
          <w:bCs/>
          <w:b/>
        </w:rPr>
        <w:t xml:space="preserve">तनूनाम् (tanūnām)</w:t>
      </w:r>
      <w:r>
        <w:t xml:space="preserve"> </w:t>
      </w:r>
      <w:r>
        <w:t xml:space="preserve">— to bodies |</w:t>
      </w:r>
      <w:r>
        <w:t xml:space="preserve"> </w:t>
      </w:r>
      <w:r>
        <w:rPr>
          <w:bCs/>
          <w:b/>
        </w:rPr>
        <w:t xml:space="preserve">मा अभि द्रुहन् (mā abhi druhan)</w:t>
      </w:r>
      <w:r>
        <w:t xml:space="preserve"> </w:t>
      </w:r>
      <w:r>
        <w:t xml:space="preserve">— may they not do harm |</w:t>
      </w:r>
      <w:r>
        <w:t xml:space="preserve"> </w:t>
      </w:r>
      <w:r>
        <w:rPr>
          <w:bCs/>
          <w:b/>
        </w:rPr>
        <w:t xml:space="preserve">ईशानः (īśānaḥ)</w:t>
      </w:r>
      <w:r>
        <w:t xml:space="preserve"> </w:t>
      </w:r>
      <w:r>
        <w:t xml:space="preserve">— you, who are all-powerful (or, master) |</w:t>
      </w:r>
      <w:r>
        <w:t xml:space="preserve"> </w:t>
      </w:r>
      <w:r>
        <w:rPr>
          <w:bCs/>
          <w:b/>
        </w:rPr>
        <w:t xml:space="preserve">वधम् (vadham)</w:t>
      </w:r>
      <w:r>
        <w:t xml:space="preserve"> </w:t>
      </w:r>
      <w:r>
        <w:t xml:space="preserve">— (the harm that may come to us from enemies) hindrance |</w:t>
      </w:r>
      <w:r>
        <w:t xml:space="preserve"> </w:t>
      </w:r>
      <w:r>
        <w:rPr>
          <w:bCs/>
          <w:b/>
        </w:rPr>
        <w:t xml:space="preserve">यवय (yavaya)</w:t>
      </w:r>
      <w:r>
        <w:t xml:space="preserve"> </w:t>
      </w:r>
      <w:r>
        <w:t xml:space="preserve">— ward off.</w:t>
      </w:r>
    </w:p>
    <w:bookmarkEnd w:id="235"/>
    <w:bookmarkStart w:id="236" w:name="X294e450082e48bd794f41c70f96c79cab556cda"/>
    <w:p>
      <w:pPr>
        <w:pStyle w:val="Heading3"/>
      </w:pPr>
      <w:r>
        <w:t xml:space="preserve">Page 199 — Rik 5.10: Bhāvārtha; English rendering; Special topics; Vyākaraṇa-prakriyā (opening)</w:t>
      </w:r>
    </w:p>
    <w:p>
      <w:pPr>
        <w:pStyle w:val="FirstParagraph"/>
      </w:pPr>
      <w:r>
        <w:rPr>
          <w:iCs/>
          <w:i/>
        </w:rPr>
        <w:t xml:space="preserve">(Page header:</w:t>
      </w:r>
      <w:r>
        <w:rPr>
          <w:iCs/>
          <w:i/>
        </w:rPr>
        <w:t xml:space="preserve"> </w:t>
      </w:r>
      <w:r>
        <w:rPr>
          <w:iCs/>
          <w:i/>
        </w:rPr>
        <w:t xml:space="preserve">“</w:t>
      </w:r>
      <w:r>
        <w:rPr>
          <w:iCs/>
          <w:i/>
        </w:rPr>
        <w:t xml:space="preserve">Aṣṭaka 1, Adhyāya 1, Varga 10 · Ṛgveda-saṃhitā.</w:t>
      </w:r>
      <w:r>
        <w:rPr>
          <w:iCs/>
          <w:i/>
        </w:rPr>
        <w:t xml:space="preserve">”</w:t>
      </w:r>
      <w:r>
        <w:rPr>
          <w:iCs/>
          <w:i/>
        </w:rPr>
        <w:t xml:space="preserve"> </w:t>
      </w:r>
      <w:r>
        <w:rPr>
          <w:iCs/>
          <w:i/>
        </w:rPr>
        <w:t xml:space="preserve">English as printed. References re-read from the better scan; the gloss is mine, tentative.)</w:t>
      </w:r>
    </w:p>
    <w:p>
      <w:pPr>
        <w:pStyle w:val="BodyText"/>
      </w:pPr>
      <w:r>
        <w:rPr>
          <w:bCs/>
          <w:b/>
        </w:rPr>
        <w:t xml:space="preserve">॥ Bhāvārthaḥ ॥</w:t>
      </w:r>
      <w:r>
        <w:t xml:space="preserve"> </w:t>
      </w:r>
      <w:r>
        <w:rPr>
          <w:iCs/>
          <w:i/>
        </w:rPr>
        <w:t xml:space="preserve">(Kannada, translated)</w:t>
      </w:r>
    </w:p>
    <w:p>
      <w:pPr>
        <w:pStyle w:val="BodyText"/>
      </w:pPr>
      <w:r>
        <w:t xml:space="preserve">O Indra, who are praised by us in words! Let not the men who are hostile to us do harm to our bodies, that is, let them not injure us. Since you, being our master, are all-powerful, ward off from our bodies the harm that may come from enemies.</w:t>
      </w:r>
    </w:p>
    <w:p>
      <w:pPr>
        <w:pStyle w:val="BodyText"/>
      </w:pPr>
      <w:r>
        <w:rPr>
          <w:bCs/>
          <w:b/>
        </w:rPr>
        <w:t xml:space="preserve">English Translation</w:t>
      </w:r>
      <w:r>
        <w:t xml:space="preserve"> </w:t>
      </w:r>
      <w:r>
        <w:rPr>
          <w:iCs/>
          <w:i/>
        </w:rPr>
        <w:t xml:space="preserve">(printed in English in the source itself):</w:t>
      </w:r>
    </w:p>
    <w:p>
      <w:pPr>
        <w:pStyle w:val="BodyText"/>
      </w:pPr>
      <w:r>
        <w:t xml:space="preserve">“</w:t>
      </w:r>
      <w:r>
        <w:t xml:space="preserve">O Indra, adorable by praises, let not mortals do injury to our persons; you are powerful, keep away our destruction (by enemies).</w:t>
      </w:r>
      <w:r>
        <w:t xml:space="preserve">”</w:t>
      </w:r>
    </w:p>
    <w:p>
      <w:pPr>
        <w:pStyle w:val="BodyText"/>
      </w:pPr>
      <w:r>
        <w:rPr>
          <w:bCs/>
          <w:b/>
        </w:rPr>
        <w:t xml:space="preserve">॥ Viśeṣa-viṣayagaḷu (Special Topics) ॥</w:t>
      </w:r>
    </w:p>
    <w:p>
      <w:pPr>
        <w:pStyle w:val="BodyText"/>
      </w:pPr>
      <w:r>
        <w:rPr>
          <w:bCs/>
          <w:b/>
        </w:rPr>
        <w:t xml:space="preserve">मर्ताः (martāḥ)</w:t>
      </w:r>
      <w:r>
        <w:t xml:space="preserve"> </w:t>
      </w:r>
      <w:r>
        <w:t xml:space="preserve">— Among the twenty-five words that signify human beings, beginning with</w:t>
      </w:r>
      <w:r>
        <w:t xml:space="preserve"> </w:t>
      </w:r>
      <w:r>
        <w:t xml:space="preserve">“</w:t>
      </w:r>
      <w:r>
        <w:t xml:space="preserve">manuṣyāḥ,</w:t>
      </w:r>
      <w:r>
        <w:t xml:space="preserve">”</w:t>
      </w:r>
      <w:r>
        <w:t xml:space="preserve"> </w:t>
      </w:r>
      <w:r>
        <w:t xml:space="preserve">the word</w:t>
      </w:r>
      <w:r>
        <w:t xml:space="preserve"> </w:t>
      </w:r>
      <w:r>
        <w:t xml:space="preserve">“</w:t>
      </w:r>
      <w:r>
        <w:t xml:space="preserve">martāḥ</w:t>
      </w:r>
      <w:r>
        <w:t xml:space="preserve">”</w:t>
      </w:r>
      <w:r>
        <w:t xml:space="preserve"> </w:t>
      </w:r>
      <w:r>
        <w:t xml:space="preserve">is read (Ni. 2-3). Here, since it is desired that men who might do harm to our bodies not do so,</w:t>
      </w:r>
      <w:r>
        <w:t xml:space="preserve"> </w:t>
      </w:r>
      <w:r>
        <w:t xml:space="preserve">“</w:t>
      </w:r>
      <w:r>
        <w:t xml:space="preserve">martāḥ</w:t>
      </w:r>
      <w:r>
        <w:t xml:space="preserve">”</w:t>
      </w:r>
      <w:r>
        <w:t xml:space="preserve"> </w:t>
      </w:r>
      <w:r>
        <w:t xml:space="preserve">is to be understood as</w:t>
      </w:r>
      <w:r>
        <w:t xml:space="preserve"> </w:t>
      </w:r>
      <w:r>
        <w:t xml:space="preserve">“</w:t>
      </w:r>
      <w:r>
        <w:t xml:space="preserve">men who are hostile to us.</w:t>
      </w:r>
      <w:r>
        <w:t xml:space="preserve">”</w:t>
      </w:r>
      <w:r>
        <w:t xml:space="preserve"> </w:t>
      </w:r>
      <w:r>
        <w:t xml:space="preserve">Although no word indicating</w:t>
      </w:r>
      <w:r>
        <w:t xml:space="preserve"> </w:t>
      </w:r>
      <w:r>
        <w:t xml:space="preserve">“</w:t>
      </w:r>
      <w:r>
        <w:t xml:space="preserve">hostile</w:t>
      </w:r>
      <w:r>
        <w:t xml:space="preserve">”</w:t>
      </w:r>
      <w:r>
        <w:t xml:space="preserve"> </w:t>
      </w:r>
      <w:r>
        <w:t xml:space="preserve">is found in the Ṛk in hand, because the word</w:t>
      </w:r>
      <w:r>
        <w:t xml:space="preserve"> </w:t>
      </w:r>
      <w:r>
        <w:t xml:space="preserve">“</w:t>
      </w:r>
      <w:r>
        <w:t xml:space="preserve">druhan</w:t>
      </w:r>
      <w:r>
        <w:t xml:space="preserve">”</w:t>
      </w:r>
      <w:r>
        <w:t xml:space="preserve"> </w:t>
      </w:r>
      <w:r>
        <w:t xml:space="preserve">(</w:t>
      </w:r>
      <w:r>
        <w:t xml:space="preserve">“</w:t>
      </w:r>
      <w:r>
        <w:t xml:space="preserve">may they injure</w:t>
      </w:r>
      <w:r>
        <w:t xml:space="preserve">”</w:t>
      </w:r>
      <w:r>
        <w:t xml:space="preserve">) is used, it is fitting that the Bhāṣyakāra explained</w:t>
      </w:r>
      <w:r>
        <w:t xml:space="preserve"> </w:t>
      </w:r>
      <w:r>
        <w:t xml:space="preserve">“</w:t>
      </w:r>
      <w:r>
        <w:t xml:space="preserve">martāḥ</w:t>
      </w:r>
      <w:r>
        <w:t xml:space="preserve">”</w:t>
      </w:r>
      <w:r>
        <w:t xml:space="preserve"> </w:t>
      </w:r>
      <w:r>
        <w:t xml:space="preserve">as</w:t>
      </w:r>
      <w:r>
        <w:t xml:space="preserve"> </w:t>
      </w:r>
      <w:r>
        <w:t xml:space="preserve">“</w:t>
      </w:r>
      <w:r>
        <w:t xml:space="preserve">hostile men.</w:t>
      </w:r>
      <w:r>
        <w:t xml:space="preserve">”</w:t>
      </w:r>
    </w:p>
    <w:p>
      <w:pPr>
        <w:pStyle w:val="BodyText"/>
      </w:pPr>
      <w:r>
        <w:rPr>
          <w:bCs/>
          <w:b/>
        </w:rPr>
        <w:t xml:space="preserve">यवय (yavaya)</w:t>
      </w:r>
      <w:r>
        <w:t xml:space="preserve"> </w:t>
      </w:r>
      <w:r>
        <w:t xml:space="preserve">— in the saṃhitā-text it is</w:t>
      </w:r>
      <w:r>
        <w:t xml:space="preserve"> </w:t>
      </w:r>
      <w:r>
        <w:t xml:space="preserve">“</w:t>
      </w:r>
      <w:r>
        <w:t xml:space="preserve">yavayā,</w:t>
      </w:r>
      <w:r>
        <w:t xml:space="preserve">”</w:t>
      </w:r>
      <w:r>
        <w:t xml:space="preserve"> </w:t>
      </w:r>
      <w:r>
        <w:t xml:space="preserve">with the final syllable lengthened to suit the metre.</w:t>
      </w:r>
    </w:p>
    <w:p>
      <w:pPr>
        <w:pStyle w:val="BodyText"/>
      </w:pPr>
      <w:r>
        <w:rPr>
          <w:bCs/>
          <w:b/>
        </w:rPr>
        <w:t xml:space="preserve">वधम् (vadham)</w:t>
      </w:r>
      <w:r>
        <w:t xml:space="preserve"> </w:t>
      </w:r>
      <w:r>
        <w:t xml:space="preserve">— death, destruction, harm. The commentators on the meaning of the Veda explain</w:t>
      </w:r>
      <w:r>
        <w:t xml:space="preserve"> </w:t>
      </w:r>
      <w:r>
        <w:t xml:space="preserve">“</w:t>
      </w:r>
      <w:r>
        <w:t xml:space="preserve">vadha</w:t>
      </w:r>
      <w:r>
        <w:t xml:space="preserve">”</w:t>
      </w:r>
      <w:r>
        <w:t xml:space="preserve"> </w:t>
      </w:r>
      <w:r>
        <w:t xml:space="preserve">as Indra’s</w:t>
      </w:r>
      <w:r>
        <w:t xml:space="preserve"> </w:t>
      </w:r>
      <w:r>
        <w:t xml:space="preserve">“</w:t>
      </w:r>
      <w:r>
        <w:t xml:space="preserve">vajra</w:t>
      </w:r>
      <w:r>
        <w:t xml:space="preserve">”</w:t>
      </w:r>
      <w:r>
        <w:t xml:space="preserve"> </w:t>
      </w:r>
      <w:r>
        <w:t xml:space="preserve">(thunderbolt-weapon); the Bhāṣyakāra also does so, in the Ṛk —</w:t>
      </w:r>
    </w:p>
    <w:p>
      <w:pPr>
        <w:pStyle w:val="BlockText"/>
      </w:pPr>
      <w:r>
        <w:t xml:space="preserve">आर्चन्नत्र मरुतः सस्मिन्नाजौ विश्वे देवासो अमदन्ननु त्वा ।</w:t>
      </w:r>
      <w:r>
        <w:t xml:space="preserve"> </w:t>
      </w:r>
      <w:r>
        <w:t xml:space="preserve">वृत्रस्य यद्भृष्टिमता वधेन नि त्वमिन्द्र प्रत्यानं जघन्थ ॥ (ऋ. सं. १-५२-१५)</w:t>
      </w:r>
      <w:r>
        <w:t xml:space="preserve"> </w:t>
      </w:r>
      <w:r>
        <w:rPr>
          <w:iCs/>
          <w:i/>
        </w:rPr>
        <w:t xml:space="preserve">ārcann atra marutaḥ sasminn ājau viśve devāso amadann anu tvā |</w:t>
      </w:r>
      <w:r>
        <w:t xml:space="preserve"> </w:t>
      </w:r>
      <w:r>
        <w:rPr>
          <w:iCs/>
          <w:i/>
        </w:rPr>
        <w:t xml:space="preserve">vṛtrasya yad bhṛṣṭimatā vadhena ni tvam indra pratyānaṃ jaghantha || (ṛ. saṃ. 1-52-15)</w:t>
      </w:r>
      <w:r>
        <w:t xml:space="preserve"> </w:t>
      </w:r>
      <w:r>
        <w:t xml:space="preserve">Gloss (mine; tentative):</w:t>
      </w:r>
      <w:r>
        <w:t xml:space="preserve"> </w:t>
      </w:r>
      <w:r>
        <w:t xml:space="preserve">“</w:t>
      </w:r>
      <w:r>
        <w:t xml:space="preserve">Here the Maruts sang in this contest, and all the gods rejoiced after you, when you, O Indra, struck down the face-to-face (opponent) of Vṛtra with the pointed (barbed) weapon.</w:t>
      </w:r>
      <w:r>
        <w:t xml:space="preserve">”</w:t>
      </w:r>
    </w:p>
    <w:p>
      <w:pPr>
        <w:pStyle w:val="FirstParagraph"/>
      </w:pPr>
      <w:r>
        <w:t xml:space="preserve">in which</w:t>
      </w:r>
      <w:r>
        <w:t xml:space="preserve"> </w:t>
      </w:r>
      <w:r>
        <w:t xml:space="preserve">“</w:t>
      </w:r>
      <w:r>
        <w:t xml:space="preserve">vadhena</w:t>
      </w:r>
      <w:r>
        <w:t xml:space="preserve">”</w:t>
      </w:r>
      <w:r>
        <w:t xml:space="preserve"> </w:t>
      </w:r>
      <w:r>
        <w:t xml:space="preserve">is explained as</w:t>
      </w:r>
      <w:r>
        <w:t xml:space="preserve"> </w:t>
      </w:r>
      <w:r>
        <w:t xml:space="preserve">“</w:t>
      </w:r>
      <w:r>
        <w:t xml:space="preserve">by the vajra, the weapon which is the means of killing</w:t>
      </w:r>
      <w:r>
        <w:t xml:space="preserve">”</w:t>
      </w:r>
      <w:r>
        <w:t xml:space="preserve">; in this context it is to be understood as</w:t>
      </w:r>
      <w:r>
        <w:t xml:space="preserve"> </w:t>
      </w:r>
      <w:r>
        <w:t xml:space="preserve">“</w:t>
      </w:r>
      <w:r>
        <w:t xml:space="preserve">do not use your thunderbolt-weapon against us.</w:t>
      </w:r>
      <w:r>
        <w:t xml:space="preserve">”</w:t>
      </w:r>
    </w:p>
    <w:p>
      <w:pPr>
        <w:pStyle w:val="BodyText"/>
      </w:pPr>
      <w:r>
        <w:rPr>
          <w:bCs/>
          <w:b/>
        </w:rPr>
        <w:t xml:space="preserve">॥ Vyākaraṇa-prakriyā ॥</w:t>
      </w:r>
      <w:r>
        <w:t xml:space="preserve"> </w:t>
      </w:r>
      <w:r>
        <w:rPr>
          <w:iCs/>
          <w:i/>
        </w:rPr>
        <w:t xml:space="preserve">(Kannada; characterized, sūtras kept)</w:t>
      </w:r>
      <w:r>
        <w:t xml:space="preserve"> </w:t>
      </w:r>
      <w:r>
        <w:rPr>
          <w:bCs/>
          <w:b/>
        </w:rPr>
        <w:t xml:space="preserve">“</w:t>
      </w:r>
      <w:r>
        <w:rPr>
          <w:bCs/>
          <w:b/>
        </w:rPr>
        <w:t xml:space="preserve">Martāḥ</w:t>
      </w:r>
      <w:r>
        <w:rPr>
          <w:bCs/>
          <w:b/>
        </w:rPr>
        <w:t xml:space="preserve">”</w:t>
      </w:r>
      <w:r>
        <w:t xml:space="preserve"> </w:t>
      </w:r>
      <w:r>
        <w:t xml:space="preserve">—</w:t>
      </w:r>
      <w:r>
        <w:t xml:space="preserve"> </w:t>
      </w:r>
      <w:r>
        <w:rPr>
          <w:bCs/>
          <w:b/>
        </w:rPr>
        <w:t xml:space="preserve">असिहसिमृग्रिण्वामिदमिलूपूधुर्विभ्यस्तन्</w:t>
      </w:r>
      <w:r>
        <w:t xml:space="preserve"> </w:t>
      </w:r>
      <w:r>
        <w:t xml:space="preserve">(उ. सू. ३-३६६ [as printed];</w:t>
      </w:r>
      <w:r>
        <w:t xml:space="preserve"> </w:t>
      </w:r>
      <w:r>
        <w:t xml:space="preserve">“</w:t>
      </w:r>
      <w:r>
        <w:t xml:space="preserve">3-86</w:t>
      </w:r>
      <w:r>
        <w:t xml:space="preserve">”</w:t>
      </w:r>
      <w:r>
        <w:t xml:space="preserve"> </w:t>
      </w:r>
      <w:r>
        <w:t xml:space="preserve">on p. 198) — the affix</w:t>
      </w:r>
      <w:r>
        <w:t xml:space="preserve"> </w:t>
      </w:r>
      <w:r>
        <w:t xml:space="preserve">“</w:t>
      </w:r>
      <w:r>
        <w:t xml:space="preserve">tan</w:t>
      </w:r>
      <w:r>
        <w:t xml:space="preserve">”</w:t>
      </w:r>
      <w:r>
        <w:t xml:space="preserve"> </w:t>
      </w:r>
      <w:r>
        <w:t xml:space="preserve">after the roots</w:t>
      </w:r>
      <w:r>
        <w:t xml:space="preserve"> </w:t>
      </w:r>
      <w:r>
        <w:t xml:space="preserve">“</w:t>
      </w:r>
      <w:r>
        <w:t xml:space="preserve">asu</w:t>
      </w:r>
      <w:r>
        <w:t xml:space="preserve">”</w:t>
      </w:r>
      <w:r>
        <w:t xml:space="preserve"> </w:t>
      </w:r>
      <w:r>
        <w:t xml:space="preserve">…</w:t>
      </w:r>
      <w:r>
        <w:t xml:space="preserve"> </w:t>
      </w:r>
      <w:r>
        <w:t xml:space="preserve">“</w:t>
      </w:r>
      <w:r>
        <w:t xml:space="preserve">hase hasane</w:t>
      </w:r>
      <w:r>
        <w:t xml:space="preserve">”</w:t>
      </w:r>
      <w:r>
        <w:t xml:space="preserve"> </w:t>
      </w:r>
      <w:r>
        <w:t xml:space="preserve">(to laugh),</w:t>
      </w:r>
      <w:r>
        <w:t xml:space="preserve"> </w:t>
      </w:r>
      <w:r>
        <w:t xml:space="preserve">“</w:t>
      </w:r>
      <w:r>
        <w:t xml:space="preserve">mṛṅ prāṇatyāge</w:t>
      </w:r>
      <w:r>
        <w:t xml:space="preserve">”</w:t>
      </w:r>
      <w:r>
        <w:t xml:space="preserve"> </w:t>
      </w:r>
      <w:r>
        <w:t xml:space="preserve">(to die),</w:t>
      </w:r>
      <w:r>
        <w:t xml:space="preserve"> </w:t>
      </w:r>
      <w:r>
        <w:t xml:space="preserve">“</w:t>
      </w:r>
      <w:r>
        <w:t xml:space="preserve">gṝ nigaraṇe</w:t>
      </w:r>
      <w:r>
        <w:t xml:space="preserve">”</w:t>
      </w:r>
      <w:r>
        <w:t xml:space="preserve"> </w:t>
      </w:r>
      <w:r>
        <w:t xml:space="preserve">(to swallow),</w:t>
      </w:r>
      <w:r>
        <w:t xml:space="preserve"> </w:t>
      </w:r>
      <w:r>
        <w:t xml:space="preserve">“</w:t>
      </w:r>
      <w:r>
        <w:t xml:space="preserve">iṇ gatau</w:t>
      </w:r>
      <w:r>
        <w:t xml:space="preserve">”</w:t>
      </w:r>
      <w:r>
        <w:t xml:space="preserve"> </w:t>
      </w:r>
      <w:r>
        <w:t xml:space="preserve">(to go),</w:t>
      </w:r>
      <w:r>
        <w:t xml:space="preserve"> </w:t>
      </w:r>
      <w:r>
        <w:t xml:space="preserve">“</w:t>
      </w:r>
      <w:r>
        <w:t xml:space="preserve">vāg-ati-gandhanayoḥ,</w:t>
      </w:r>
      <w:r>
        <w:t xml:space="preserve">”</w:t>
      </w:r>
      <w:r>
        <w:t xml:space="preserve"> </w:t>
      </w:r>
      <w:r>
        <w:t xml:space="preserve">“</w:t>
      </w:r>
      <w:r>
        <w:t xml:space="preserve">ama-gaty-ādiṣu,</w:t>
      </w:r>
      <w:r>
        <w:t xml:space="preserve">”</w:t>
      </w:r>
      <w:r>
        <w:t xml:space="preserve"> </w:t>
      </w:r>
      <w:r>
        <w:t xml:space="preserve">“</w:t>
      </w:r>
      <w:r>
        <w:t xml:space="preserve">damu upaśame</w:t>
      </w:r>
      <w:r>
        <w:t xml:space="preserve">”</w:t>
      </w:r>
      <w:r>
        <w:t xml:space="preserve"> </w:t>
      </w:r>
      <w:r>
        <w:t xml:space="preserve">(to be calm),</w:t>
      </w:r>
      <w:r>
        <w:t xml:space="preserve"> </w:t>
      </w:r>
      <w:r>
        <w:t xml:space="preserve">“</w:t>
      </w:r>
      <w:r>
        <w:t xml:space="preserve">lūñ chedane</w:t>
      </w:r>
      <w:r>
        <w:t xml:space="preserve">”</w:t>
      </w:r>
      <w:r>
        <w:t xml:space="preserve"> </w:t>
      </w:r>
      <w:r>
        <w:t xml:space="preserve">(to cut),</w:t>
      </w:r>
      <w:r>
        <w:t xml:space="preserve"> </w:t>
      </w:r>
      <w:r>
        <w:t xml:space="preserve">“</w:t>
      </w:r>
      <w:r>
        <w:t xml:space="preserve">pūñ pavane</w:t>
      </w:r>
      <w:r>
        <w:t xml:space="preserve">”</w:t>
      </w:r>
      <w:r>
        <w:t xml:space="preserve"> </w:t>
      </w:r>
      <w:r>
        <w:t xml:space="preserve">(to purify),</w:t>
      </w:r>
      <w:r>
        <w:t xml:space="preserve"> </w:t>
      </w:r>
      <w:r>
        <w:t xml:space="preserve">“</w:t>
      </w:r>
      <w:r>
        <w:t xml:space="preserve">dhurvī hiṃsāyām</w:t>
      </w:r>
      <w:r>
        <w:t xml:space="preserve">”</w:t>
      </w:r>
      <w:r>
        <w:t xml:space="preserve"> </w:t>
      </w:r>
      <w:r>
        <w:t xml:space="preserve">(to injure) — the affix</w:t>
      </w:r>
      <w:r>
        <w:t xml:space="preserve"> </w:t>
      </w:r>
      <w:r>
        <w:t xml:space="preserve">“</w:t>
      </w:r>
      <w:r>
        <w:t xml:space="preserve">tan</w:t>
      </w:r>
      <w:r>
        <w:t xml:space="preserve">”</w:t>
      </w:r>
      <w:r>
        <w:t xml:space="preserve"> </w:t>
      </w:r>
      <w:r>
        <w:t xml:space="preserve">comes after</w:t>
      </w:r>
      <w:r>
        <w:t xml:space="preserve"> </w:t>
      </w:r>
      <w:r>
        <w:t xml:space="preserve">“</w:t>
      </w:r>
      <w:r>
        <w:t xml:space="preserve">mṛṅ</w:t>
      </w:r>
      <w:r>
        <w:t xml:space="preserve">”</w:t>
      </w:r>
      <w:r>
        <w:t xml:space="preserve">; by</w:t>
      </w:r>
      <w:r>
        <w:t xml:space="preserve"> </w:t>
      </w:r>
      <w:r>
        <w:rPr>
          <w:bCs/>
          <w:b/>
        </w:rPr>
        <w:t xml:space="preserve">सार्वधातुकार्धधातुकयोः</w:t>
      </w:r>
      <w:r>
        <w:t xml:space="preserve"> </w:t>
      </w:r>
      <w:r>
        <w:t xml:space="preserve">(पा. ७-३-८४) guṇa →</w:t>
      </w:r>
      <w:r>
        <w:t xml:space="preserve"> </w:t>
      </w:r>
      <w:r>
        <w:t xml:space="preserve">“</w:t>
      </w:r>
      <w:r>
        <w:t xml:space="preserve">mar-tan</w:t>
      </w:r>
      <w:r>
        <w:t xml:space="preserve">”</w:t>
      </w:r>
      <w:r>
        <w:t xml:space="preserve"> </w:t>
      </w:r>
      <w:r>
        <w:t xml:space="preserve">→</w:t>
      </w:r>
      <w:r>
        <w:t xml:space="preserve"> </w:t>
      </w:r>
      <w:r>
        <w:t xml:space="preserve">“</w:t>
      </w:r>
      <w:r>
        <w:t xml:space="preserve">martā</w:t>
      </w:r>
      <w:r>
        <w:t xml:space="preserve">”</w:t>
      </w:r>
      <w:r>
        <w:t xml:space="preserve">;</w:t>
      </w:r>
      <w:r>
        <w:t xml:space="preserve"> </w:t>
      </w:r>
      <w:r>
        <w:t xml:space="preserve">“</w:t>
      </w:r>
      <w:r>
        <w:t xml:space="preserve">n</w:t>
      </w:r>
      <w:r>
        <w:t xml:space="preserve">”</w:t>
      </w:r>
      <w:r>
        <w:t xml:space="preserve">-marked, so first-syllable acute.</w:t>
      </w:r>
    </w:p>
    <w:bookmarkEnd w:id="236"/>
    <w:bookmarkStart w:id="237" w:name="X589229a085ef87b8aa3b59c804fdbb84b0b90a4"/>
    <w:p>
      <w:pPr>
        <w:pStyle w:val="Heading3"/>
      </w:pPr>
      <w:r>
        <w:t xml:space="preserve">Page 200 — Vyākaraṇa-prakriyā for Rik 5.10 (characterized)</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5.</w:t>
      </w:r>
      <w:r>
        <w:rPr>
          <w:iCs/>
          <w:i/>
        </w:rPr>
        <w:t xml:space="preserve">”</w:t>
      </w:r>
      <w:r>
        <w:rPr>
          <w:iCs/>
          <w:i/>
        </w:rPr>
        <w:t xml:space="preserve"> </w:t>
      </w:r>
      <w:r>
        <w:rPr>
          <w:iCs/>
          <w:i/>
        </w:rPr>
        <w:t xml:space="preserve">Pure grammar in Kannada prose, restating the Sanskrit of p. 198,</w:t>
      </w:r>
      <w:r>
        <w:rPr>
          <w:iCs/>
          <w:i/>
        </w:rPr>
        <w:t xml:space="preserve"> </w:t>
      </w:r>
      <w:r>
        <w:rPr>
          <w:bCs/>
          <w:b/>
          <w:iCs/>
          <w:i/>
        </w:rPr>
        <w:t xml:space="preserve">characterized in outline</w:t>
      </w:r>
      <w:r>
        <w:rPr>
          <w:iCs/>
          <w:i/>
        </w:rPr>
        <w:t xml:space="preserve">; sūtras kept; numbers as read.)</w:t>
      </w:r>
    </w:p>
    <w:p>
      <w:pPr>
        <w:pStyle w:val="BodyText"/>
      </w:pPr>
      <w:r>
        <w:rPr>
          <w:iCs/>
          <w:i/>
        </w:rPr>
        <w:t xml:space="preserve">(Concluding</w:t>
      </w:r>
      <w:r>
        <w:rPr>
          <w:iCs/>
          <w:i/>
        </w:rPr>
        <w:t xml:space="preserve"> </w:t>
      </w:r>
      <w:r>
        <w:rPr>
          <w:iCs/>
          <w:i/>
        </w:rPr>
        <w:t xml:space="preserve">“</w:t>
      </w:r>
      <w:r>
        <w:rPr>
          <w:iCs/>
          <w:i/>
        </w:rPr>
        <w:t xml:space="preserve">martāḥ</w:t>
      </w:r>
      <w:r>
        <w:rPr>
          <w:iCs/>
          <w:i/>
        </w:rPr>
        <w:t xml:space="preserve">”</w:t>
      </w:r>
      <w:r>
        <w:rPr>
          <w:iCs/>
          <w:i/>
        </w:rPr>
        <w:t xml:space="preserve">:)</w:t>
      </w:r>
      <w:r>
        <w:t xml:space="preserve"> </w:t>
      </w:r>
      <w:r>
        <w:t xml:space="preserve">by</w:t>
      </w:r>
      <w:r>
        <w:t xml:space="preserve"> </w:t>
      </w:r>
      <w:r>
        <w:rPr>
          <w:bCs/>
          <w:b/>
        </w:rPr>
        <w:t xml:space="preserve">सार्वधातुकार्धधातुकयोः</w:t>
      </w:r>
      <w:r>
        <w:t xml:space="preserve"> </w:t>
      </w:r>
      <w:r>
        <w:t xml:space="preserve">(पा. ७-३-८४) guṇa →</w:t>
      </w:r>
      <w:r>
        <w:t xml:space="preserve"> </w:t>
      </w:r>
      <w:r>
        <w:t xml:space="preserve">“</w:t>
      </w:r>
      <w:r>
        <w:t xml:space="preserve">marta</w:t>
      </w:r>
      <w:r>
        <w:t xml:space="preserve">”</w:t>
      </w:r>
      <w:r>
        <w:t xml:space="preserve">; the affix being</w:t>
      </w:r>
      <w:r>
        <w:t xml:space="preserve"> </w:t>
      </w:r>
      <w:r>
        <w:t xml:space="preserve">“</w:t>
      </w:r>
      <w:r>
        <w:t xml:space="preserve">n</w:t>
      </w:r>
      <w:r>
        <w:t xml:space="preserve">”</w:t>
      </w:r>
      <w:r>
        <w:t xml:space="preserve">-marked, first-syllable acute.</w:t>
      </w:r>
      <w:r>
        <w:t xml:space="preserve"> </w:t>
      </w:r>
      <w:r>
        <w:rPr>
          <w:bCs/>
          <w:b/>
        </w:rPr>
        <w:t xml:space="preserve">“</w:t>
      </w:r>
      <w:r>
        <w:rPr>
          <w:bCs/>
          <w:b/>
        </w:rPr>
        <w:t xml:space="preserve">Abhi</w:t>
      </w:r>
      <w:r>
        <w:rPr>
          <w:bCs/>
          <w:b/>
        </w:rPr>
        <w:t xml:space="preserve">”</w:t>
      </w:r>
      <w:r>
        <w:t xml:space="preserve"> </w:t>
      </w:r>
      <w:r>
        <w:t xml:space="preserve">— by</w:t>
      </w:r>
      <w:r>
        <w:t xml:space="preserve"> </w:t>
      </w:r>
      <w:r>
        <w:rPr>
          <w:bCs/>
          <w:b/>
        </w:rPr>
        <w:t xml:space="preserve">एवादीनामन्तः</w:t>
      </w:r>
      <w:r>
        <w:t xml:space="preserve"> </w:t>
      </w:r>
      <w:r>
        <w:t xml:space="preserve">(फि. सू. ८२ [?];</w:t>
      </w:r>
      <w:r>
        <w:t xml:space="preserve"> </w:t>
      </w:r>
      <w:r>
        <w:t xml:space="preserve">“</w:t>
      </w:r>
      <w:r>
        <w:t xml:space="preserve">4-14</w:t>
      </w:r>
      <w:r>
        <w:t xml:space="preserve">”</w:t>
      </w:r>
      <w:r>
        <w:t xml:space="preserve"> </w:t>
      </w:r>
      <w:r>
        <w:t xml:space="preserve">on p. 198) it is end-acute.</w:t>
      </w:r>
      <w:r>
        <w:t xml:space="preserve"> </w:t>
      </w:r>
      <w:r>
        <w:rPr>
          <w:bCs/>
          <w:b/>
        </w:rPr>
        <w:t xml:space="preserve">“</w:t>
      </w:r>
      <w:r>
        <w:rPr>
          <w:bCs/>
          <w:b/>
        </w:rPr>
        <w:t xml:space="preserve">Druhan</w:t>
      </w:r>
      <w:r>
        <w:rPr>
          <w:bCs/>
          <w:b/>
        </w:rPr>
        <w:t xml:space="preserve">”</w:t>
      </w:r>
      <w:r>
        <w:t xml:space="preserve"> </w:t>
      </w:r>
      <w:r>
        <w:t xml:space="preserve">—</w:t>
      </w:r>
      <w:r>
        <w:t xml:space="preserve"> </w:t>
      </w:r>
      <w:r>
        <w:t xml:space="preserve">“</w:t>
      </w:r>
      <w:r>
        <w:t xml:space="preserve">druha jighāṃsāyām</w:t>
      </w:r>
      <w:r>
        <w:t xml:space="preserve">”</w:t>
      </w:r>
      <w:r>
        <w:t xml:space="preserve">;</w:t>
      </w:r>
      <w:r>
        <w:t xml:space="preserve"> </w:t>
      </w:r>
      <w:r>
        <w:rPr>
          <w:bCs/>
          <w:b/>
        </w:rPr>
        <w:t xml:space="preserve">लिङर्थे लेट्</w:t>
      </w:r>
      <w:r>
        <w:t xml:space="preserve"> </w:t>
      </w:r>
      <w:r>
        <w:t xml:space="preserve">(पा. ३-४-७) and, with the sense of prayer,</w:t>
      </w:r>
      <w:r>
        <w:t xml:space="preserve"> </w:t>
      </w:r>
      <w:r>
        <w:rPr>
          <w:bCs/>
          <w:b/>
        </w:rPr>
        <w:t xml:space="preserve">प्रार्थनायां</w:t>
      </w:r>
      <w:r>
        <w:t xml:space="preserve"> </w:t>
      </w:r>
      <w:r>
        <w:t xml:space="preserve">(पा. ३-३-१६१); in the Veda</w:t>
      </w:r>
      <w:r>
        <w:t xml:space="preserve"> </w:t>
      </w:r>
      <w:r>
        <w:t xml:space="preserve">“</w:t>
      </w:r>
      <w:r>
        <w:t xml:space="preserve">leṭ</w:t>
      </w:r>
      <w:r>
        <w:t xml:space="preserve">”</w:t>
      </w:r>
      <w:r>
        <w:t xml:space="preserve"> </w:t>
      </w:r>
      <w:r>
        <w:t xml:space="preserve">comes after a root in the senses of the vidhi-liṅ and the like (and also in cause-and-effect and desire senses); the third-person plural</w:t>
      </w:r>
      <w:r>
        <w:t xml:space="preserve"> </w:t>
      </w:r>
      <w:r>
        <w:t xml:space="preserve">“</w:t>
      </w:r>
      <w:r>
        <w:t xml:space="preserve">jhi</w:t>
      </w:r>
      <w:r>
        <w:t xml:space="preserve">”</w:t>
      </w:r>
      <w:r>
        <w:t xml:space="preserve">;</w:t>
      </w:r>
      <w:r>
        <w:t xml:space="preserve"> </w:t>
      </w:r>
      <w:r>
        <w:rPr>
          <w:bCs/>
          <w:b/>
        </w:rPr>
        <w:t xml:space="preserve">झोऽन्तः</w:t>
      </w:r>
      <w:r>
        <w:t xml:space="preserve"> </w:t>
      </w:r>
      <w:r>
        <w:t xml:space="preserve">(पा. ७-१-३)</w:t>
      </w:r>
      <w:r>
        <w:t xml:space="preserve"> </w:t>
      </w:r>
      <w:r>
        <w:t xml:space="preserve">“</w:t>
      </w:r>
      <w:r>
        <w:t xml:space="preserve">ant</w:t>
      </w:r>
      <w:r>
        <w:t xml:space="preserve">”</w:t>
      </w:r>
      <w:r>
        <w:t xml:space="preserve">;</w:t>
      </w:r>
      <w:r>
        <w:t xml:space="preserve"> </w:t>
      </w:r>
      <w:r>
        <w:rPr>
          <w:bCs/>
          <w:b/>
        </w:rPr>
        <w:t xml:space="preserve">इतश्च लोपः परस्मैपदेषु</w:t>
      </w:r>
      <w:r>
        <w:t xml:space="preserve"> </w:t>
      </w:r>
      <w:r>
        <w:t xml:space="preserve">(पा. ३-४-९७) — the</w:t>
      </w:r>
      <w:r>
        <w:t xml:space="preserve"> </w:t>
      </w:r>
      <w:r>
        <w:t xml:space="preserve">“</w:t>
      </w:r>
      <w:r>
        <w:t xml:space="preserve">i</w:t>
      </w:r>
      <w:r>
        <w:t xml:space="preserve">”</w:t>
      </w:r>
      <w:r>
        <w:t xml:space="preserve"> </w:t>
      </w:r>
      <w:r>
        <w:t xml:space="preserve">of the tiṅ replacing</w:t>
      </w:r>
      <w:r>
        <w:t xml:space="preserve"> </w:t>
      </w:r>
      <w:r>
        <w:t xml:space="preserve">“</w:t>
      </w:r>
      <w:r>
        <w:t xml:space="preserve">leṭ</w:t>
      </w:r>
      <w:r>
        <w:t xml:space="preserve">”</w:t>
      </w:r>
      <w:r>
        <w:t xml:space="preserve"> </w:t>
      </w:r>
      <w:r>
        <w:t xml:space="preserve">is elided optionally;</w:t>
      </w:r>
      <w:r>
        <w:t xml:space="preserve"> </w:t>
      </w:r>
      <w:r>
        <w:rPr>
          <w:bCs/>
          <w:b/>
        </w:rPr>
        <w:t xml:space="preserve">बहुलं छन्दसि</w:t>
      </w:r>
      <w:r>
        <w:t xml:space="preserve"> </w:t>
      </w:r>
      <w:r>
        <w:t xml:space="preserve">(पा. २-४-७३) the</w:t>
      </w:r>
      <w:r>
        <w:t xml:space="preserve"> </w:t>
      </w:r>
      <w:r>
        <w:t xml:space="preserve">“</w:t>
      </w:r>
      <w:r>
        <w:t xml:space="preserve">śap</w:t>
      </w:r>
      <w:r>
        <w:t xml:space="preserve">”</w:t>
      </w:r>
      <w:r>
        <w:t xml:space="preserve"> </w:t>
      </w:r>
      <w:r>
        <w:t xml:space="preserve">is elided;</w:t>
      </w:r>
      <w:r>
        <w:t xml:space="preserve"> </w:t>
      </w:r>
      <w:r>
        <w:rPr>
          <w:bCs/>
          <w:b/>
        </w:rPr>
        <w:t xml:space="preserve">सार्वधातुकमपित्</w:t>
      </w:r>
      <w:r>
        <w:t xml:space="preserve"> </w:t>
      </w:r>
      <w:r>
        <w:t xml:space="preserve">(पा. १-२-४) makes the sārvadhātuka</w:t>
      </w:r>
      <w:r>
        <w:t xml:space="preserve"> </w:t>
      </w:r>
      <w:r>
        <w:t xml:space="preserve">“</w:t>
      </w:r>
      <w:r>
        <w:t xml:space="preserve">ṅit,</w:t>
      </w:r>
      <w:r>
        <w:t xml:space="preserve">”</w:t>
      </w:r>
      <w:r>
        <w:t xml:space="preserve"> </w:t>
      </w:r>
      <w:r>
        <w:t xml:space="preserve">so</w:t>
      </w:r>
      <w:r>
        <w:t xml:space="preserve"> </w:t>
      </w:r>
      <w:r>
        <w:t xml:space="preserve">“</w:t>
      </w:r>
      <w:r>
        <w:t xml:space="preserve">ant</w:t>
      </w:r>
      <w:r>
        <w:t xml:space="preserve">”</w:t>
      </w:r>
      <w:r>
        <w:t xml:space="preserve"> </w:t>
      </w:r>
      <w:r>
        <w:t xml:space="preserve">is</w:t>
      </w:r>
      <w:r>
        <w:t xml:space="preserve"> </w:t>
      </w:r>
      <w:r>
        <w:t xml:space="preserve">“</w:t>
      </w:r>
      <w:r>
        <w:t xml:space="preserve">ṅit</w:t>
      </w:r>
      <w:r>
        <w:t xml:space="preserve">”</w:t>
      </w:r>
      <w:r>
        <w:t xml:space="preserve"> </w:t>
      </w:r>
      <w:r>
        <w:t xml:space="preserve">and by</w:t>
      </w:r>
      <w:r>
        <w:t xml:space="preserve"> </w:t>
      </w:r>
      <w:r>
        <w:rPr>
          <w:bCs/>
          <w:b/>
        </w:rPr>
        <w:t xml:space="preserve">क्ङिति च</w:t>
      </w:r>
      <w:r>
        <w:t xml:space="preserve"> </w:t>
      </w:r>
      <w:r>
        <w:t xml:space="preserve">(पा. १-१-५) guṇa is barred; so no guṇa arises even though</w:t>
      </w:r>
      <w:r>
        <w:t xml:space="preserve"> </w:t>
      </w:r>
      <w:r>
        <w:rPr>
          <w:bCs/>
          <w:b/>
        </w:rPr>
        <w:t xml:space="preserve">पुगन्तलघूपधस्य च</w:t>
      </w:r>
      <w:r>
        <w:t xml:space="preserve"> </w:t>
      </w:r>
      <w:r>
        <w:t xml:space="preserve">(पा. ७-३-८६) would give it.</w:t>
      </w:r>
      <w:r>
        <w:t xml:space="preserve"> </w:t>
      </w:r>
      <w:r>
        <w:rPr>
          <w:bCs/>
          <w:b/>
        </w:rPr>
        <w:t xml:space="preserve">“</w:t>
      </w:r>
      <w:r>
        <w:rPr>
          <w:bCs/>
          <w:b/>
        </w:rPr>
        <w:t xml:space="preserve">Tanūnām</w:t>
      </w:r>
      <w:r>
        <w:rPr>
          <w:bCs/>
          <w:b/>
        </w:rPr>
        <w:t xml:space="preserve">”</w:t>
      </w:r>
      <w:r>
        <w:t xml:space="preserve"> </w:t>
      </w:r>
      <w:r>
        <w:t xml:space="preserve">—</w:t>
      </w:r>
      <w:r>
        <w:t xml:space="preserve"> </w:t>
      </w:r>
      <w:r>
        <w:t xml:space="preserve">“</w:t>
      </w:r>
      <w:r>
        <w:t xml:space="preserve">indra</w:t>
      </w:r>
      <w:r>
        <w:t xml:space="preserve">”</w:t>
      </w:r>
      <w:r>
        <w:t xml:space="preserve"> </w:t>
      </w:r>
      <w:r>
        <w:t xml:space="preserve">(the vocative) stands after it and is</w:t>
      </w:r>
      <w:r>
        <w:t xml:space="preserve"> </w:t>
      </w:r>
      <w:r>
        <w:t xml:space="preserve">“</w:t>
      </w:r>
      <w:r>
        <w:t xml:space="preserve">āmantrita</w:t>
      </w:r>
      <w:r>
        <w:t xml:space="preserve">”</w:t>
      </w:r>
      <w:r>
        <w:t xml:space="preserve">;</w:t>
      </w:r>
      <w:r>
        <w:t xml:space="preserve"> </w:t>
      </w:r>
      <w:r>
        <w:rPr>
          <w:bCs/>
          <w:b/>
        </w:rPr>
        <w:t xml:space="preserve">सुबामन्त्रिते पराङ्गवत्स्वरे</w:t>
      </w:r>
      <w:r>
        <w:t xml:space="preserve"> </w:t>
      </w:r>
      <w:r>
        <w:t xml:space="preserve">(पा. २-१-२) would make the preceding word part of the following one, but since this is a rule about word-formation (</w:t>
      </w:r>
      <w:r>
        <w:rPr>
          <w:bCs/>
          <w:b/>
        </w:rPr>
        <w:t xml:space="preserve">समर्थः पदविधिः</w:t>
      </w:r>
      <w:r>
        <w:t xml:space="preserve">, पा. २-१-१) it applies only where there is mutual syntactic connection, and</w:t>
      </w:r>
      <w:r>
        <w:t xml:space="preserve"> </w:t>
      </w:r>
      <w:r>
        <w:t xml:space="preserve">“</w:t>
      </w:r>
      <w:r>
        <w:t xml:space="preserve">tanūnām</w:t>
      </w:r>
      <w:r>
        <w:t xml:space="preserve">”</w:t>
      </w:r>
      <w:r>
        <w:t xml:space="preserve"> </w:t>
      </w:r>
      <w:r>
        <w:t xml:space="preserve">has none with</w:t>
      </w:r>
      <w:r>
        <w:t xml:space="preserve"> </w:t>
      </w:r>
      <w:r>
        <w:t xml:space="preserve">“</w:t>
      </w:r>
      <w:r>
        <w:t xml:space="preserve">indra,</w:t>
      </w:r>
      <w:r>
        <w:t xml:space="preserve">”</w:t>
      </w:r>
      <w:r>
        <w:t xml:space="preserve"> </w:t>
      </w:r>
      <w:r>
        <w:t xml:space="preserve">so</w:t>
      </w:r>
      <w:r>
        <w:t xml:space="preserve"> </w:t>
      </w:r>
      <w:r>
        <w:t xml:space="preserve">“</w:t>
      </w:r>
      <w:r>
        <w:t xml:space="preserve">parāṅgavad-bhāva</w:t>
      </w:r>
      <w:r>
        <w:t xml:space="preserve">”</w:t>
      </w:r>
      <w:r>
        <w:t xml:space="preserve"> </w:t>
      </w:r>
      <w:r>
        <w:t xml:space="preserve">does not occur.</w:t>
      </w:r>
      <w:r>
        <w:t xml:space="preserve"> </w:t>
      </w:r>
      <w:r>
        <w:rPr>
          <w:bCs/>
          <w:b/>
        </w:rPr>
        <w:t xml:space="preserve">“</w:t>
      </w:r>
      <w:r>
        <w:rPr>
          <w:bCs/>
          <w:b/>
        </w:rPr>
        <w:t xml:space="preserve">Indra</w:t>
      </w:r>
      <w:r>
        <w:rPr>
          <w:bCs/>
          <w:b/>
        </w:rPr>
        <w:t xml:space="preserve">”</w:t>
      </w:r>
      <w:r>
        <w:t xml:space="preserve"> </w:t>
      </w:r>
      <w:r>
        <w:t xml:space="preserve">— explained at Ṛ. Saṃ. 1-3-4;</w:t>
      </w:r>
      <w:r>
        <w:t xml:space="preserve"> </w:t>
      </w:r>
      <w:r>
        <w:rPr>
          <w:bCs/>
          <w:b/>
        </w:rPr>
        <w:t xml:space="preserve">“</w:t>
      </w:r>
      <w:r>
        <w:rPr>
          <w:bCs/>
          <w:b/>
        </w:rPr>
        <w:t xml:space="preserve">girvaṇaḥ</w:t>
      </w:r>
      <w:r>
        <w:rPr>
          <w:bCs/>
          <w:b/>
        </w:rPr>
        <w:t xml:space="preserve">”</w:t>
      </w:r>
      <w:r>
        <w:t xml:space="preserve"> </w:t>
      </w:r>
      <w:r>
        <w:t xml:space="preserve">— explained at the seventh mantra of this same sūkta.</w:t>
      </w:r>
      <w:r>
        <w:t xml:space="preserve"> </w:t>
      </w:r>
      <w:r>
        <w:rPr>
          <w:bCs/>
          <w:b/>
        </w:rPr>
        <w:t xml:space="preserve">“</w:t>
      </w:r>
      <w:r>
        <w:rPr>
          <w:bCs/>
          <w:b/>
        </w:rPr>
        <w:t xml:space="preserve">Īśānaḥ</w:t>
      </w:r>
      <w:r>
        <w:rPr>
          <w:bCs/>
          <w:b/>
        </w:rPr>
        <w:t xml:space="preserve">”</w:t>
      </w:r>
      <w:r>
        <w:t xml:space="preserve"> </w:t>
      </w:r>
      <w:r>
        <w:t xml:space="preserve">—</w:t>
      </w:r>
      <w:r>
        <w:t xml:space="preserve"> </w:t>
      </w:r>
      <w:r>
        <w:t xml:space="preserve">“</w:t>
      </w:r>
      <w:r>
        <w:t xml:space="preserve">īśa aiśvarye</w:t>
      </w:r>
      <w:r>
        <w:t xml:space="preserve">”</w:t>
      </w:r>
      <w:r>
        <w:t xml:space="preserve"> </w:t>
      </w:r>
      <w:r>
        <w:t xml:space="preserve">(to rule); the</w:t>
      </w:r>
      <w:r>
        <w:t xml:space="preserve"> </w:t>
      </w:r>
      <w:r>
        <w:t xml:space="preserve">“</w:t>
      </w:r>
      <w:r>
        <w:t xml:space="preserve">laṭ</w:t>
      </w:r>
      <w:r>
        <w:t xml:space="preserve">”</w:t>
      </w:r>
      <w:r>
        <w:t xml:space="preserve"> </w:t>
      </w:r>
      <w:r>
        <w:t xml:space="preserve">and</w:t>
      </w:r>
      <w:r>
        <w:t xml:space="preserve"> </w:t>
      </w:r>
      <w:r>
        <w:t xml:space="preserve">“</w:t>
      </w:r>
      <w:r>
        <w:t xml:space="preserve">śānac</w:t>
      </w:r>
      <w:r>
        <w:t xml:space="preserve">”</w:t>
      </w:r>
      <w:r>
        <w:t xml:space="preserve">;</w:t>
      </w:r>
      <w:r>
        <w:t xml:space="preserve"> </w:t>
      </w:r>
      <w:r>
        <w:rPr>
          <w:bCs/>
          <w:b/>
        </w:rPr>
        <w:t xml:space="preserve">बहुलं छन्दसि</w:t>
      </w:r>
      <w:r>
        <w:t xml:space="preserve"> </w:t>
      </w:r>
      <w:r>
        <w:t xml:space="preserve">(पा. २-४-७३) elides the</w:t>
      </w:r>
      <w:r>
        <w:t xml:space="preserve"> </w:t>
      </w:r>
      <w:r>
        <w:t xml:space="preserve">“</w:t>
      </w:r>
      <w:r>
        <w:t xml:space="preserve">śap</w:t>
      </w:r>
      <w:r>
        <w:t xml:space="preserve">”</w:t>
      </w:r>
      <w:r>
        <w:t xml:space="preserve">; the root is unaccented in its upadeśa, so</w:t>
      </w:r>
      <w:r>
        <w:t xml:space="preserve"> </w:t>
      </w:r>
      <w:r>
        <w:rPr>
          <w:bCs/>
          <w:b/>
        </w:rPr>
        <w:t xml:space="preserve">तास्यनुदात्तेन्ङिददुपदेशाल्लसार्वधातुकमनुदात्तमहन्वनोर्ङित्</w:t>
      </w:r>
      <w:r>
        <w:t xml:space="preserve"> </w:t>
      </w:r>
      <w:r>
        <w:t xml:space="preserve">(पा. ६-१-१८६) makes</w:t>
      </w:r>
      <w:r>
        <w:t xml:space="preserve"> </w:t>
      </w:r>
      <w:r>
        <w:t xml:space="preserve">“</w:t>
      </w:r>
      <w:r>
        <w:t xml:space="preserve">śānac</w:t>
      </w:r>
      <w:r>
        <w:t xml:space="preserve">”</w:t>
      </w:r>
      <w:r>
        <w:t xml:space="preserve"> </w:t>
      </w:r>
      <w:r>
        <w:t xml:space="preserve">unaccented; the</w:t>
      </w:r>
      <w:r>
        <w:t xml:space="preserve"> </w:t>
      </w:r>
      <w:r>
        <w:t xml:space="preserve">“</w:t>
      </w:r>
      <w:r>
        <w:t xml:space="preserve">ī</w:t>
      </w:r>
      <w:r>
        <w:t xml:space="preserve">”</w:t>
      </w:r>
      <w:r>
        <w:t xml:space="preserve"> </w:t>
      </w:r>
      <w:r>
        <w:t xml:space="preserve">retains the root’s acute.</w:t>
      </w:r>
      <w:r>
        <w:t xml:space="preserve"> </w:t>
      </w:r>
      <w:r>
        <w:rPr>
          <w:bCs/>
          <w:b/>
        </w:rPr>
        <w:t xml:space="preserve">“</w:t>
      </w:r>
      <w:r>
        <w:rPr>
          <w:bCs/>
          <w:b/>
        </w:rPr>
        <w:t xml:space="preserve">Yavaya</w:t>
      </w:r>
      <w:r>
        <w:rPr>
          <w:bCs/>
          <w:b/>
        </w:rPr>
        <w:t xml:space="preserve">”</w:t>
      </w:r>
      <w:r>
        <w:t xml:space="preserve"> </w:t>
      </w:r>
      <w:r>
        <w:t xml:space="preserve">—</w:t>
      </w:r>
      <w:r>
        <w:t xml:space="preserve"> </w:t>
      </w:r>
      <w:r>
        <w:t xml:space="preserve">“</w:t>
      </w:r>
      <w:r>
        <w:t xml:space="preserve">yu miśraṇāmiśraṇayoḥ</w:t>
      </w:r>
      <w:r>
        <w:t xml:space="preserve">”</w:t>
      </w:r>
      <w:r>
        <w:t xml:space="preserve"> </w:t>
      </w:r>
      <w:r>
        <w:t xml:space="preserve">(to mix and to separate) with</w:t>
      </w:r>
      <w:r>
        <w:t xml:space="preserve"> </w:t>
      </w:r>
      <w:r>
        <w:t xml:space="preserve">“</w:t>
      </w:r>
      <w:r>
        <w:t xml:space="preserve">ṇic</w:t>
      </w:r>
      <w:r>
        <w:t xml:space="preserve">”</w:t>
      </w:r>
      <w:r>
        <w:t xml:space="preserve"> </w:t>
      </w:r>
      <w:r>
        <w:t xml:space="preserve">(</w:t>
      </w:r>
      <w:r>
        <w:rPr>
          <w:bCs/>
          <w:b/>
        </w:rPr>
        <w:t xml:space="preserve">हेतुमति च</w:t>
      </w:r>
      <w:r>
        <w:t xml:space="preserve">);</w:t>
      </w:r>
      <w:r>
        <w:t xml:space="preserve"> </w:t>
      </w:r>
      <w:r>
        <w:rPr>
          <w:bCs/>
          <w:b/>
        </w:rPr>
        <w:t xml:space="preserve">अचो ञ्णिति</w:t>
      </w:r>
      <w:r>
        <w:t xml:space="preserve"> </w:t>
      </w:r>
      <w:r>
        <w:t xml:space="preserve">(पा. ७-२-११५) would give vṛddhi to the penultimate of the root, but the vṛddhi laid down by</w:t>
      </w:r>
      <w:r>
        <w:t xml:space="preserve"> </w:t>
      </w:r>
      <w:r>
        <w:rPr>
          <w:bCs/>
          <w:b/>
        </w:rPr>
        <w:t xml:space="preserve">वृद्धिरादैच्</w:t>
      </w:r>
      <w:r>
        <w:t xml:space="preserve"> </w:t>
      </w:r>
      <w:r>
        <w:t xml:space="preserve">(पा. १-१-१) is a</w:t>
      </w:r>
      <w:r>
        <w:t xml:space="preserve"> </w:t>
      </w:r>
      <w:r>
        <w:t xml:space="preserve">“</w:t>
      </w:r>
      <w:r>
        <w:t xml:space="preserve">saṃjñā-pūrvaka vidhi</w:t>
      </w:r>
      <w:r>
        <w:t xml:space="preserve">”</w:t>
      </w:r>
      <w:r>
        <w:t xml:space="preserve"> </w:t>
      </w:r>
      <w:r>
        <w:t xml:space="preserve">(an operation that depends on a technical name), which is</w:t>
      </w:r>
      <w:r>
        <w:t xml:space="preserve"> </w:t>
      </w:r>
      <w:r>
        <w:t xml:space="preserve">“</w:t>
      </w:r>
      <w:r>
        <w:t xml:space="preserve">anitya</w:t>
      </w:r>
      <w:r>
        <w:t xml:space="preserve">”</w:t>
      </w:r>
      <w:r>
        <w:t xml:space="preserve"> </w:t>
      </w:r>
      <w:r>
        <w:t xml:space="preserve">(not constant); therefore vṛddhi is not done; the guṇa and</w:t>
      </w:r>
      <w:r>
        <w:t xml:space="preserve"> </w:t>
      </w:r>
      <w:r>
        <w:t xml:space="preserve">“</w:t>
      </w:r>
      <w:r>
        <w:t xml:space="preserve">av</w:t>
      </w:r>
      <w:r>
        <w:t xml:space="preserve">”</w:t>
      </w:r>
      <w:r>
        <w:t xml:space="preserve"> </w:t>
      </w:r>
      <w:r>
        <w:t xml:space="preserve">substitutions give</w:t>
      </w:r>
      <w:r>
        <w:t xml:space="preserve"> </w:t>
      </w:r>
      <w:r>
        <w:t xml:space="preserve">“</w:t>
      </w:r>
      <w:r>
        <w:t xml:space="preserve">yavay-</w:t>
      </w:r>
      <w:r>
        <w:t xml:space="preserve">”</w:t>
      </w:r>
      <w:r>
        <w:t xml:space="preserve"> </w:t>
      </w:r>
      <w:r>
        <w:t xml:space="preserve">and, in the imperative second-person singular,</w:t>
      </w:r>
      <w:r>
        <w:t xml:space="preserve"> </w:t>
      </w:r>
      <w:r>
        <w:t xml:space="preserve">“</w:t>
      </w:r>
      <w:r>
        <w:t xml:space="preserve">yavaya.</w:t>
      </w:r>
      <w:r>
        <w:t xml:space="preserve">”</w:t>
      </w:r>
      <w:r>
        <w:t xml:space="preserve"> </w:t>
      </w:r>
      <w:r>
        <w:t xml:space="preserve">…</w:t>
      </w:r>
      <w:r>
        <w:t xml:space="preserve"> </w:t>
      </w:r>
      <w:r>
        <w:rPr>
          <w:iCs/>
          <w:i/>
        </w:rPr>
        <w:t xml:space="preserve">(continued on p. 201)</w:t>
      </w:r>
      <w:r>
        <w:t xml:space="preserve">.</w:t>
      </w:r>
    </w:p>
    <w:bookmarkEnd w:id="237"/>
    <w:bookmarkStart w:id="238" w:name="X76d5147545d0f2d8e42259fb81d0762cf1301f3"/>
    <w:p>
      <w:pPr>
        <w:pStyle w:val="Heading3"/>
      </w:pPr>
      <w:r>
        <w:t xml:space="preserve">Page 201 — Rik 5.10 grammar concluded; end of Sūkta 5 and of the Tenth Varga</w:t>
      </w:r>
    </w:p>
    <w:p>
      <w:pPr>
        <w:pStyle w:val="FirstParagraph"/>
      </w:pPr>
      <w:r>
        <w:rPr>
          <w:iCs/>
          <w:i/>
        </w:rPr>
        <w:t xml:space="preserve">(Page header:</w:t>
      </w:r>
      <w:r>
        <w:rPr>
          <w:iCs/>
          <w:i/>
        </w:rPr>
        <w:t xml:space="preserve"> </w:t>
      </w:r>
      <w:r>
        <w:rPr>
          <w:iCs/>
          <w:i/>
        </w:rPr>
        <w:t xml:space="preserve">“</w:t>
      </w:r>
      <w:r>
        <w:rPr>
          <w:iCs/>
          <w:i/>
        </w:rPr>
        <w:t xml:space="preserve">Aṣṭaka 1, Adhyāya 1, Varga 10 · Ṛgveda-saṃhitā.</w:t>
      </w:r>
      <w:r>
        <w:rPr>
          <w:iCs/>
          <w:i/>
        </w:rPr>
        <w:t xml:space="preserve">”</w:t>
      </w:r>
      <w:r>
        <w:rPr>
          <w:iCs/>
          <w:i/>
        </w:rPr>
        <w:t xml:space="preserve"> </w:t>
      </w:r>
      <w:r>
        <w:rPr>
          <w:iCs/>
          <w:i/>
        </w:rPr>
        <w:t xml:space="preserve">Grammar characterized, sūtras kept.)</w:t>
      </w:r>
    </w:p>
    <w:p>
      <w:pPr>
        <w:pStyle w:val="BodyText"/>
      </w:pPr>
      <w:r>
        <w:rPr>
          <w:bCs/>
          <w:b/>
        </w:rPr>
        <w:t xml:space="preserve">“</w:t>
      </w:r>
      <w:r>
        <w:rPr>
          <w:bCs/>
          <w:b/>
        </w:rPr>
        <w:t xml:space="preserve">Yavaya</w:t>
      </w:r>
      <w:r>
        <w:rPr>
          <w:bCs/>
          <w:b/>
        </w:rPr>
        <w:t xml:space="preserve">”</w:t>
      </w:r>
      <w:r>
        <w:t xml:space="preserve"> </w:t>
      </w:r>
      <w:r>
        <w:rPr>
          <w:iCs/>
          <w:i/>
        </w:rPr>
        <w:t xml:space="preserve">(concluding)</w:t>
      </w:r>
      <w:r>
        <w:t xml:space="preserve"> </w:t>
      </w:r>
      <w:r>
        <w:t xml:space="preserve">— because the vṛddhi is not done, one gets guṇa and</w:t>
      </w:r>
      <w:r>
        <w:t xml:space="preserve"> </w:t>
      </w:r>
      <w:r>
        <w:t xml:space="preserve">“</w:t>
      </w:r>
      <w:r>
        <w:t xml:space="preserve">av</w:t>
      </w:r>
      <w:r>
        <w:t xml:space="preserve">”</w:t>
      </w:r>
      <w:r>
        <w:t xml:space="preserve"> </w:t>
      </w:r>
      <w:r>
        <w:t xml:space="preserve">substitutions, and in the imperative second-person singular</w:t>
      </w:r>
      <w:r>
        <w:t xml:space="preserve"> </w:t>
      </w:r>
      <w:r>
        <w:t xml:space="preserve">“</w:t>
      </w:r>
      <w:r>
        <w:t xml:space="preserve">yavaya.</w:t>
      </w:r>
      <w:r>
        <w:t xml:space="preserve">”</w:t>
      </w:r>
      <w:r>
        <w:t xml:space="preserve"> </w:t>
      </w:r>
      <w:r>
        <w:rPr>
          <w:iCs/>
          <w:i/>
        </w:rPr>
        <w:t xml:space="preserve">Alternatively,</w:t>
      </w:r>
      <w:r>
        <w:t xml:space="preserve"> </w:t>
      </w:r>
      <w:r>
        <w:t xml:space="preserve">“</w:t>
      </w:r>
      <w:r>
        <w:t xml:space="preserve">yauti iti yavaḥ</w:t>
      </w:r>
      <w:r>
        <w:t xml:space="preserve">”</w:t>
      </w:r>
      <w:r>
        <w:t xml:space="preserve"> </w:t>
      </w:r>
      <w:r>
        <w:t xml:space="preserve">(he who mixes —</w:t>
      </w:r>
      <w:r>
        <w:t xml:space="preserve"> </w:t>
      </w:r>
      <w:r>
        <w:t xml:space="preserve">“</w:t>
      </w:r>
      <w:r>
        <w:t xml:space="preserve">yava,</w:t>
      </w:r>
      <w:r>
        <w:t xml:space="preserve">”</w:t>
      </w:r>
      <w:r>
        <w:t xml:space="preserve"> </w:t>
      </w:r>
      <w:r>
        <w:t xml:space="preserve">barley) from</w:t>
      </w:r>
      <w:r>
        <w:t xml:space="preserve"> </w:t>
      </w:r>
      <w:r>
        <w:t xml:space="preserve">“</w:t>
      </w:r>
      <w:r>
        <w:t xml:space="preserve">yu</w:t>
      </w:r>
      <w:r>
        <w:t xml:space="preserve">”</w:t>
      </w:r>
      <w:r>
        <w:t xml:space="preserve"> </w:t>
      </w:r>
      <w:r>
        <w:t xml:space="preserve">with</w:t>
      </w:r>
      <w:r>
        <w:t xml:space="preserve"> </w:t>
      </w:r>
      <w:r>
        <w:rPr>
          <w:bCs/>
          <w:b/>
        </w:rPr>
        <w:t xml:space="preserve">नन्दिग्रहिपचादिभ्यो ल्युणिन्यचः</w:t>
      </w:r>
      <w:r>
        <w:t xml:space="preserve"> </w:t>
      </w:r>
      <w:r>
        <w:t xml:space="preserve">(पा. ३-१-१३४)</w:t>
      </w:r>
      <w:r>
        <w:t xml:space="preserve"> </w:t>
      </w:r>
      <w:r>
        <w:t xml:space="preserve">“</w:t>
      </w:r>
      <w:r>
        <w:t xml:space="preserve">ac</w:t>
      </w:r>
      <w:r>
        <w:t xml:space="preserve">”</w:t>
      </w:r>
      <w:r>
        <w:t xml:space="preserve">;</w:t>
      </w:r>
      <w:r>
        <w:t xml:space="preserve"> </w:t>
      </w:r>
      <w:r>
        <w:t xml:space="preserve">“</w:t>
      </w:r>
      <w:r>
        <w:t xml:space="preserve">yavaṃ karoti</w:t>
      </w:r>
      <w:r>
        <w:t xml:space="preserve">”</w:t>
      </w:r>
      <w:r>
        <w:t xml:space="preserve"> </w:t>
      </w:r>
      <w:r>
        <w:t xml:space="preserve">—</w:t>
      </w:r>
      <w:r>
        <w:t xml:space="preserve"> </w:t>
      </w:r>
      <w:r>
        <w:rPr>
          <w:bCs/>
          <w:b/>
        </w:rPr>
        <w:t xml:space="preserve">तत्करोति तदाचष्टे</w:t>
      </w:r>
      <w:r>
        <w:t xml:space="preserve"> </w:t>
      </w:r>
      <w:r>
        <w:t xml:space="preserve">(पा. ३-१-२६, ५-६)</w:t>
      </w:r>
      <w:r>
        <w:t xml:space="preserve"> </w:t>
      </w:r>
      <w:r>
        <w:t xml:space="preserve">“</w:t>
      </w:r>
      <w:r>
        <w:t xml:space="preserve">ṇic</w:t>
      </w:r>
      <w:r>
        <w:t xml:space="preserve">”</w:t>
      </w:r>
      <w:r>
        <w:t xml:space="preserve"> </w:t>
      </w:r>
      <w:r>
        <w:t xml:space="preserve">in the sense of</w:t>
      </w:r>
      <w:r>
        <w:t xml:space="preserve"> </w:t>
      </w:r>
      <w:r>
        <w:t xml:space="preserve">“</w:t>
      </w:r>
      <w:r>
        <w:t xml:space="preserve">he makes barley</w:t>
      </w:r>
      <w:r>
        <w:t xml:space="preserve">”</w:t>
      </w:r>
      <w:r>
        <w:t xml:space="preserve">; with it following,</w:t>
      </w:r>
      <w:r>
        <w:t xml:space="preserve"> </w:t>
      </w:r>
      <w:r>
        <w:rPr>
          <w:bCs/>
          <w:b/>
        </w:rPr>
        <w:t xml:space="preserve">णाविष्ठवत्प्रातिपदिकस्य</w:t>
      </w:r>
      <w:r>
        <w:t xml:space="preserve"> </w:t>
      </w:r>
      <w:r>
        <w:t xml:space="preserve">(पा. ६-४-१५५-१) gives the</w:t>
      </w:r>
      <w:r>
        <w:t xml:space="preserve"> </w:t>
      </w:r>
      <w:r>
        <w:t xml:space="preserve">“</w:t>
      </w:r>
      <w:r>
        <w:t xml:space="preserve">iṣṭhavat</w:t>
      </w:r>
      <w:r>
        <w:t xml:space="preserve">”</w:t>
      </w:r>
      <w:r>
        <w:t xml:space="preserve"> </w:t>
      </w:r>
      <w:r>
        <w:t xml:space="preserve">treatment and</w:t>
      </w:r>
      <w:r>
        <w:t xml:space="preserve"> </w:t>
      </w:r>
      <w:r>
        <w:rPr>
          <w:bCs/>
          <w:b/>
        </w:rPr>
        <w:t xml:space="preserve">टेः</w:t>
      </w:r>
      <w:r>
        <w:t xml:space="preserve"> </w:t>
      </w:r>
      <w:r>
        <w:t xml:space="preserve">(पा. ६-४-१५५) elides the</w:t>
      </w:r>
      <w:r>
        <w:t xml:space="preserve"> </w:t>
      </w:r>
      <w:r>
        <w:t xml:space="preserve">“</w:t>
      </w:r>
      <w:r>
        <w:t xml:space="preserve">ṭi</w:t>
      </w:r>
      <w:r>
        <w:t xml:space="preserve">”</w:t>
      </w:r>
      <w:r>
        <w:t xml:space="preserve"> </w:t>
      </w:r>
      <w:r>
        <w:t xml:space="preserve">— the</w:t>
      </w:r>
      <w:r>
        <w:t xml:space="preserve"> </w:t>
      </w:r>
      <w:r>
        <w:t xml:space="preserve">“</w:t>
      </w:r>
      <w:r>
        <w:t xml:space="preserve">a</w:t>
      </w:r>
      <w:r>
        <w:t xml:space="preserve">”</w:t>
      </w:r>
      <w:r>
        <w:t xml:space="preserve"> </w:t>
      </w:r>
      <w:r>
        <w:t xml:space="preserve">after</w:t>
      </w:r>
      <w:r>
        <w:t xml:space="preserve"> </w:t>
      </w:r>
      <w:r>
        <w:t xml:space="preserve">“</w:t>
      </w:r>
      <w:r>
        <w:t xml:space="preserve">v.</w:t>
      </w:r>
      <w:r>
        <w:t xml:space="preserve">”</w:t>
      </w:r>
      <w:r>
        <w:t xml:space="preserve"> </w:t>
      </w:r>
      <w:r>
        <w:t xml:space="preserve">Since the elided</w:t>
      </w:r>
      <w:r>
        <w:t xml:space="preserve"> </w:t>
      </w:r>
      <w:r>
        <w:t xml:space="preserve">“</w:t>
      </w:r>
      <w:r>
        <w:t xml:space="preserve">a</w:t>
      </w:r>
      <w:r>
        <w:t xml:space="preserve">”</w:t>
      </w:r>
      <w:r>
        <w:t xml:space="preserve"> </w:t>
      </w:r>
      <w:r>
        <w:t xml:space="preserve">is treated as present by</w:t>
      </w:r>
      <w:r>
        <w:t xml:space="preserve"> </w:t>
      </w:r>
      <w:r>
        <w:rPr>
          <w:bCs/>
          <w:b/>
        </w:rPr>
        <w:t xml:space="preserve">अचः परस्मिन्पूर्वविधौ</w:t>
      </w:r>
      <w:r>
        <w:t xml:space="preserve"> </w:t>
      </w:r>
      <w:r>
        <w:t xml:space="preserve">(पा. १-१-५७; sthānivadbhāva), the vṛddhi that would be caused by the affix</w:t>
      </w:r>
      <w:r>
        <w:t xml:space="preserve"> </w:t>
      </w:r>
      <w:r>
        <w:t xml:space="preserve">“</w:t>
      </w:r>
      <w:r>
        <w:t xml:space="preserve">ṇic</w:t>
      </w:r>
      <w:r>
        <w:t xml:space="preserve">”</w:t>
      </w:r>
      <w:r>
        <w:t xml:space="preserve"> </w:t>
      </w:r>
      <w:r>
        <w:t xml:space="preserve">does not occur;</w:t>
      </w:r>
      <w:r>
        <w:t xml:space="preserve"> </w:t>
      </w:r>
      <w:r>
        <w:t xml:space="preserve">“</w:t>
      </w:r>
      <w:r>
        <w:t xml:space="preserve">yavaya.</w:t>
      </w:r>
      <w:r>
        <w:t xml:space="preserve">”</w:t>
      </w:r>
      <w:r>
        <w:t xml:space="preserve"> </w:t>
      </w:r>
      <w:r>
        <w:t xml:space="preserve">In the saṃhitā the last vowel is lengthened.</w:t>
      </w:r>
    </w:p>
    <w:p>
      <w:pPr>
        <w:pStyle w:val="BodyText"/>
      </w:pPr>
      <w:r>
        <w:rPr>
          <w:bCs/>
          <w:b/>
        </w:rPr>
        <w:t xml:space="preserve">“</w:t>
      </w:r>
      <w:r>
        <w:rPr>
          <w:bCs/>
          <w:b/>
        </w:rPr>
        <w:t xml:space="preserve">Vadham</w:t>
      </w:r>
      <w:r>
        <w:rPr>
          <w:bCs/>
          <w:b/>
        </w:rPr>
        <w:t xml:space="preserve">”</w:t>
      </w:r>
      <w:r>
        <w:t xml:space="preserve"> </w:t>
      </w:r>
      <w:r>
        <w:t xml:space="preserve">—</w:t>
      </w:r>
      <w:r>
        <w:t xml:space="preserve"> </w:t>
      </w:r>
      <w:r>
        <w:rPr>
          <w:bCs/>
          <w:b/>
        </w:rPr>
        <w:t xml:space="preserve">हनश्च वधः</w:t>
      </w:r>
      <w:r>
        <w:t xml:space="preserve"> </w:t>
      </w:r>
      <w:r>
        <w:t xml:space="preserve">(पा. ३-३-७६) — after the root</w:t>
      </w:r>
      <w:r>
        <w:t xml:space="preserve"> </w:t>
      </w:r>
      <w:r>
        <w:t xml:space="preserve">“</w:t>
      </w:r>
      <w:r>
        <w:t xml:space="preserve">han,</w:t>
      </w:r>
      <w:r>
        <w:t xml:space="preserve">”</w:t>
      </w:r>
      <w:r>
        <w:t xml:space="preserve"> </w:t>
      </w:r>
      <w:r>
        <w:t xml:space="preserve">when no prefix precedes it, the affix</w:t>
      </w:r>
      <w:r>
        <w:t xml:space="preserve"> </w:t>
      </w:r>
      <w:r>
        <w:t xml:space="preserve">“</w:t>
      </w:r>
      <w:r>
        <w:t xml:space="preserve">ap</w:t>
      </w:r>
      <w:r>
        <w:t xml:space="preserve">”</w:t>
      </w:r>
      <w:r>
        <w:t xml:space="preserve"> </w:t>
      </w:r>
      <w:r>
        <w:t xml:space="preserve">comes, and</w:t>
      </w:r>
      <w:r>
        <w:t xml:space="preserve"> </w:t>
      </w:r>
      <w:r>
        <w:t xml:space="preserve">“</w:t>
      </w:r>
      <w:r>
        <w:t xml:space="preserve">vadha</w:t>
      </w:r>
      <w:r>
        <w:t xml:space="preserve">”</w:t>
      </w:r>
      <w:r>
        <w:t xml:space="preserve"> </w:t>
      </w:r>
      <w:r>
        <w:t xml:space="preserve">is the substitute for</w:t>
      </w:r>
      <w:r>
        <w:t xml:space="preserve"> </w:t>
      </w:r>
      <w:r>
        <w:t xml:space="preserve">“</w:t>
      </w:r>
      <w:r>
        <w:t xml:space="preserve">han</w:t>
      </w:r>
      <w:r>
        <w:t xml:space="preserve">”</w:t>
      </w:r>
      <w:r>
        <w:t xml:space="preserve"> </w:t>
      </w:r>
      <w:r>
        <w:t xml:space="preserve">(with</w:t>
      </w:r>
      <w:r>
        <w:t xml:space="preserve"> </w:t>
      </w:r>
      <w:r>
        <w:t xml:space="preserve">“</w:t>
      </w:r>
      <w:r>
        <w:t xml:space="preserve">ap</w:t>
      </w:r>
      <w:r>
        <w:t xml:space="preserve">”</w:t>
      </w:r>
      <w:r>
        <w:t xml:space="preserve">):</w:t>
      </w:r>
      <w:r>
        <w:t xml:space="preserve"> </w:t>
      </w:r>
      <w:r>
        <w:t xml:space="preserve">“</w:t>
      </w:r>
      <w:r>
        <w:t xml:space="preserve">han + ap</w:t>
      </w:r>
      <w:r>
        <w:t xml:space="preserve">”</w:t>
      </w:r>
      <w:r>
        <w:t xml:space="preserve"> </w:t>
      </w:r>
      <w:r>
        <w:t xml:space="preserve">→</w:t>
      </w:r>
      <w:r>
        <w:t xml:space="preserve"> </w:t>
      </w:r>
      <w:r>
        <w:t xml:space="preserve">“</w:t>
      </w:r>
      <w:r>
        <w:t xml:space="preserve">vadha.</w:t>
      </w:r>
      <w:r>
        <w:t xml:space="preserve">”</w:t>
      </w:r>
      <w:r>
        <w:t xml:space="preserve"> </w:t>
      </w:r>
      <w:r>
        <w:t xml:space="preserve">The affix is</w:t>
      </w:r>
      <w:r>
        <w:t xml:space="preserve"> </w:t>
      </w:r>
      <w:r>
        <w:t xml:space="preserve">“</w:t>
      </w:r>
      <w:r>
        <w:t xml:space="preserve">p</w:t>
      </w:r>
      <w:r>
        <w:t xml:space="preserve">”</w:t>
      </w:r>
      <w:r>
        <w:t xml:space="preserve">-marked and so unaccented (</w:t>
      </w:r>
      <w:r>
        <w:rPr>
          <w:bCs/>
          <w:b/>
        </w:rPr>
        <w:t xml:space="preserve">अनुदात्तौ सुप्पितौ</w:t>
      </w:r>
      <w:r>
        <w:t xml:space="preserve">, पा. ३-१-४). Since the sūtra reads</w:t>
      </w:r>
      <w:r>
        <w:t xml:space="preserve"> </w:t>
      </w:r>
      <w:r>
        <w:t xml:space="preserve">“</w:t>
      </w:r>
      <w:r>
        <w:t xml:space="preserve">vadhaḥ</w:t>
      </w:r>
      <w:r>
        <w:t xml:space="preserve">”</w:t>
      </w:r>
      <w:r>
        <w:t xml:space="preserve"> </w:t>
      </w:r>
      <w:r>
        <w:t xml:space="preserve">as an end-acute substitute, some say</w:t>
      </w:r>
      <w:r>
        <w:t xml:space="preserve"> </w:t>
      </w:r>
      <w:r>
        <w:t xml:space="preserve">“</w:t>
      </w:r>
      <w:r>
        <w:t xml:space="preserve">vadha</w:t>
      </w:r>
      <w:r>
        <w:t xml:space="preserve">”</w:t>
      </w:r>
      <w:r>
        <w:t xml:space="preserve"> </w:t>
      </w:r>
      <w:r>
        <w:t xml:space="preserve">is end-acute; the root</w:t>
      </w:r>
      <w:r>
        <w:t xml:space="preserve"> </w:t>
      </w:r>
      <w:r>
        <w:t xml:space="preserve">“</w:t>
      </w:r>
      <w:r>
        <w:t xml:space="preserve">han</w:t>
      </w:r>
      <w:r>
        <w:t xml:space="preserve">”</w:t>
      </w:r>
      <w:r>
        <w:t xml:space="preserve"> </w:t>
      </w:r>
      <w:r>
        <w:t xml:space="preserve">is end-acute by</w:t>
      </w:r>
      <w:r>
        <w:t xml:space="preserve"> </w:t>
      </w:r>
      <w:r>
        <w:rPr>
          <w:bCs/>
          <w:b/>
        </w:rPr>
        <w:t xml:space="preserve">धातोः</w:t>
      </w:r>
      <w:r>
        <w:t xml:space="preserve"> </w:t>
      </w:r>
      <w:r>
        <w:t xml:space="preserve">(पा. ६-१-१६२), and the substitute</w:t>
      </w:r>
      <w:r>
        <w:t xml:space="preserve"> </w:t>
      </w:r>
      <w:r>
        <w:t xml:space="preserve">“</w:t>
      </w:r>
      <w:r>
        <w:t xml:space="preserve">vadha</w:t>
      </w:r>
      <w:r>
        <w:t xml:space="preserve">”</w:t>
      </w:r>
      <w:r>
        <w:t xml:space="preserve"> </w:t>
      </w:r>
      <w:r>
        <w:t xml:space="preserve">in its place is, by sthānivadbhāva, end-acute — this is the view of Mādhavācārya. In either case, the final</w:t>
      </w:r>
      <w:r>
        <w:t xml:space="preserve"> </w:t>
      </w:r>
      <w:r>
        <w:t xml:space="preserve">“</w:t>
      </w:r>
      <w:r>
        <w:t xml:space="preserve">a</w:t>
      </w:r>
      <w:r>
        <w:t xml:space="preserve">”</w:t>
      </w:r>
      <w:r>
        <w:t xml:space="preserve"> </w:t>
      </w:r>
      <w:r>
        <w:t xml:space="preserve">of</w:t>
      </w:r>
      <w:r>
        <w:t xml:space="preserve"> </w:t>
      </w:r>
      <w:r>
        <w:t xml:space="preserve">“</w:t>
      </w:r>
      <w:r>
        <w:t xml:space="preserve">vadha</w:t>
      </w:r>
      <w:r>
        <w:t xml:space="preserve">”</w:t>
      </w:r>
      <w:r>
        <w:t xml:space="preserve"> </w:t>
      </w:r>
      <w:r>
        <w:t xml:space="preserve">is acute, and there is no difference of opinion on that. By</w:t>
      </w:r>
      <w:r>
        <w:t xml:space="preserve"> </w:t>
      </w:r>
      <w:r>
        <w:rPr>
          <w:bCs/>
          <w:b/>
        </w:rPr>
        <w:t xml:space="preserve">अतो लोपः</w:t>
      </w:r>
      <w:r>
        <w:t xml:space="preserve"> </w:t>
      </w:r>
      <w:r>
        <w:t xml:space="preserve">(पा. ६-४-४८) the</w:t>
      </w:r>
      <w:r>
        <w:t xml:space="preserve"> </w:t>
      </w:r>
      <w:r>
        <w:t xml:space="preserve">“</w:t>
      </w:r>
      <w:r>
        <w:t xml:space="preserve">a</w:t>
      </w:r>
      <w:r>
        <w:t xml:space="preserve">”</w:t>
      </w:r>
      <w:r>
        <w:t xml:space="preserve"> </w:t>
      </w:r>
      <w:r>
        <w:t xml:space="preserve">of the stem is elided before the case-ending; then by</w:t>
      </w:r>
      <w:r>
        <w:t xml:space="preserve"> </w:t>
      </w:r>
      <w:r>
        <w:rPr>
          <w:bCs/>
          <w:b/>
        </w:rPr>
        <w:t xml:space="preserve">अनुदात्तस्य च यत्रोदात्तलोपः</w:t>
      </w:r>
      <w:r>
        <w:t xml:space="preserve"> </w:t>
      </w:r>
      <w:r>
        <w:t xml:space="preserve">(पा. ६-१-१६१) — in the place where an acute is elided, the unaccented vowel that follows takes the acute — the accent of the elided</w:t>
      </w:r>
      <w:r>
        <w:t xml:space="preserve"> </w:t>
      </w:r>
      <w:r>
        <w:t xml:space="preserve">“</w:t>
      </w:r>
      <w:r>
        <w:t xml:space="preserve">a</w:t>
      </w:r>
      <w:r>
        <w:t xml:space="preserve">”</w:t>
      </w:r>
      <w:r>
        <w:t xml:space="preserve"> </w:t>
      </w:r>
      <w:r>
        <w:t xml:space="preserve">passes to the affix’s</w:t>
      </w:r>
      <w:r>
        <w:t xml:space="preserve"> </w:t>
      </w:r>
      <w:r>
        <w:t xml:space="preserve">“</w:t>
      </w:r>
      <w:r>
        <w:t xml:space="preserve">a.</w:t>
      </w:r>
      <w:r>
        <w:t xml:space="preserve">”</w:t>
      </w:r>
      <w:r>
        <w:t xml:space="preserve"> </w:t>
      </w:r>
      <w:r>
        <w:t xml:space="preserve">॥१०॥</w:t>
      </w:r>
    </w:p>
    <w:p>
      <w:pPr>
        <w:pStyle w:val="BodyText"/>
      </w:pPr>
      <w:r>
        <w:rPr>
          <w:bCs/>
          <w:b/>
        </w:rPr>
        <w:t xml:space="preserve">ಇಲ್ಲಿಗೆ ಪ್ರಥಮಮಂಡಲದಲ್ಲಿ ಐದನೆಯ ಸೂಕ್ತವು ಸಮಾಪ್ತವು</w:t>
      </w:r>
      <w:r>
        <w:t xml:space="preserve"> </w:t>
      </w:r>
      <w:r>
        <w:t xml:space="preserve">—</w:t>
      </w:r>
      <w:r>
        <w:t xml:space="preserve"> </w:t>
      </w:r>
      <w:r>
        <w:rPr>
          <w:iCs/>
          <w:i/>
        </w:rPr>
        <w:t xml:space="preserve">illige prathama-maṇḍaladalli aidaneya sūktavu samāptavu</w:t>
      </w:r>
      <w:r>
        <w:t xml:space="preserve"> </w:t>
      </w:r>
      <w:r>
        <w:t xml:space="preserve">—</w:t>
      </w:r>
      <w:r>
        <w:t xml:space="preserve"> </w:t>
      </w:r>
      <w:r>
        <w:t xml:space="preserve">“</w:t>
      </w:r>
      <w:r>
        <w:t xml:space="preserve">Here the</w:t>
      </w:r>
      <w:r>
        <w:t xml:space="preserve"> </w:t>
      </w:r>
      <w:r>
        <w:rPr>
          <w:bCs/>
          <w:b/>
        </w:rPr>
        <w:t xml:space="preserve">fifth sūkta</w:t>
      </w:r>
      <w:r>
        <w:t xml:space="preserve"> </w:t>
      </w:r>
      <w:r>
        <w:t xml:space="preserve">in the first Maṇḍala is complete.</w:t>
      </w:r>
      <w:r>
        <w:t xml:space="preserve">”</w:t>
      </w:r>
    </w:p>
    <w:p>
      <w:pPr>
        <w:pStyle w:val="BodyText"/>
      </w:pPr>
      <w:r>
        <w:rPr>
          <w:bCs/>
          <w:b/>
        </w:rPr>
        <w:t xml:space="preserve">ಒಂದನೆಯ ಅಧ್ಯಾಯದಲ್ಲಿ ಹತ್ತನೆಯ ವರ್ಗವು ಸಮಾಪ್ತವು</w:t>
      </w:r>
      <w:r>
        <w:t xml:space="preserve"> </w:t>
      </w:r>
      <w:r>
        <w:t xml:space="preserve">—</w:t>
      </w:r>
      <w:r>
        <w:t xml:space="preserve"> </w:t>
      </w:r>
      <w:r>
        <w:rPr>
          <w:iCs/>
          <w:i/>
        </w:rPr>
        <w:t xml:space="preserve">ondaneya adhyāyadalli hattaneya vargavu samāptavu</w:t>
      </w:r>
      <w:r>
        <w:t xml:space="preserve"> </w:t>
      </w:r>
      <w:r>
        <w:t xml:space="preserve">—</w:t>
      </w:r>
      <w:r>
        <w:t xml:space="preserve"> </w:t>
      </w:r>
      <w:r>
        <w:t xml:space="preserve">“</w:t>
      </w:r>
      <w:r>
        <w:t xml:space="preserve">In the first Adhyāya, the</w:t>
      </w:r>
      <w:r>
        <w:t xml:space="preserve"> </w:t>
      </w:r>
      <w:r>
        <w:rPr>
          <w:bCs/>
          <w:b/>
        </w:rPr>
        <w:t xml:space="preserve">tenth varga</w:t>
      </w:r>
      <w:r>
        <w:t xml:space="preserve"> </w:t>
      </w:r>
      <w:r>
        <w:t xml:space="preserve">is complete.</w:t>
      </w:r>
      <w:r>
        <w:t xml:space="preserve">”</w:t>
      </w:r>
    </w:p>
    <w:p>
      <w:pPr>
        <w:pStyle w:val="BodyText"/>
      </w:pPr>
      <w:r>
        <w:rPr>
          <w:iCs/>
          <w:i/>
        </w:rPr>
        <w:t xml:space="preserve">(Note on the varga numbers: this closing note, plain in the print, confirms that the tenth varga ends here, with p. 201. Re-checked against the better scan: the headers read</w:t>
      </w:r>
      <w:r>
        <w:rPr>
          <w:iCs/>
          <w:i/>
        </w:rPr>
        <w:t xml:space="preserve"> </w:t>
      </w:r>
      <w:r>
        <w:rPr>
          <w:iCs/>
          <w:i/>
        </w:rPr>
        <w:t xml:space="preserve">“</w:t>
      </w:r>
      <w:r>
        <w:rPr>
          <w:iCs/>
          <w:i/>
        </w:rPr>
        <w:t xml:space="preserve">Varga 7</w:t>
      </w:r>
      <w:r>
        <w:rPr>
          <w:iCs/>
          <w:i/>
        </w:rPr>
        <w:t xml:space="preserve">”</w:t>
      </w:r>
      <w:r>
        <w:rPr>
          <w:iCs/>
          <w:i/>
        </w:rPr>
        <w:t xml:space="preserve"> </w:t>
      </w:r>
      <w:r>
        <w:rPr>
          <w:iCs/>
          <w:i/>
        </w:rPr>
        <w:t xml:space="preserve">on pp. 89–109,</w:t>
      </w:r>
      <w:r>
        <w:rPr>
          <w:iCs/>
          <w:i/>
        </w:rPr>
        <w:t xml:space="preserve"> </w:t>
      </w:r>
      <w:r>
        <w:rPr>
          <w:iCs/>
          <w:i/>
        </w:rPr>
        <w:t xml:space="preserve">“</w:t>
      </w:r>
      <w:r>
        <w:rPr>
          <w:iCs/>
          <w:i/>
        </w:rPr>
        <w:t xml:space="preserve">Varga 8</w:t>
      </w:r>
      <w:r>
        <w:rPr>
          <w:iCs/>
          <w:i/>
        </w:rPr>
        <w:t xml:space="preserve">”</w:t>
      </w:r>
      <w:r>
        <w:rPr>
          <w:iCs/>
          <w:i/>
        </w:rPr>
        <w:t xml:space="preserve"> </w:t>
      </w:r>
      <w:r>
        <w:rPr>
          <w:iCs/>
          <w:i/>
        </w:rPr>
        <w:t xml:space="preserve">on pp. 111–143 and</w:t>
      </w:r>
      <w:r>
        <w:rPr>
          <w:iCs/>
          <w:i/>
        </w:rPr>
        <w:t xml:space="preserve"> </w:t>
      </w:r>
      <w:r>
        <w:rPr>
          <w:iCs/>
          <w:i/>
        </w:rPr>
        <w:t xml:space="preserve">“</w:t>
      </w:r>
      <w:r>
        <w:rPr>
          <w:iCs/>
          <w:i/>
        </w:rPr>
        <w:t xml:space="preserve">Varga 9</w:t>
      </w:r>
      <w:r>
        <w:rPr>
          <w:iCs/>
          <w:i/>
        </w:rPr>
        <w:t xml:space="preserve">”</w:t>
      </w:r>
      <w:r>
        <w:rPr>
          <w:iCs/>
          <w:i/>
        </w:rPr>
        <w:t xml:space="preserve"> </w:t>
      </w:r>
      <w:r>
        <w:rPr>
          <w:iCs/>
          <w:i/>
        </w:rPr>
        <w:t xml:space="preserve">from p. 145; the seventh varga closes on p. 111 and the eighth on p. 135.)</w:t>
      </w:r>
    </w:p>
    <w:bookmarkEnd w:id="238"/>
    <w:bookmarkEnd w:id="239"/>
    <w:bookmarkStart w:id="291" w:name="sūkta-6-yuñjanti-bradhnam-aruṣam"/>
    <w:p>
      <w:pPr>
        <w:pStyle w:val="Heading2"/>
      </w:pPr>
      <w:r>
        <w:t xml:space="preserve">Sūkta 6 —</w:t>
      </w:r>
      <w:r>
        <w:t xml:space="preserve"> </w:t>
      </w:r>
      <w:r>
        <w:t xml:space="preserve">“</w:t>
      </w:r>
      <w:r>
        <w:t xml:space="preserve">yuñjanti bradhnam aruṣam</w:t>
      </w:r>
      <w:r>
        <w:t xml:space="preserve">”</w:t>
      </w:r>
    </w:p>
    <w:bookmarkStart w:id="240" w:name="X3aa8d23fba2fa6871be61ef596d39c121a3971f"/>
    <w:p>
      <w:pPr>
        <w:pStyle w:val="Heading3"/>
      </w:pPr>
      <w:r>
        <w:t xml:space="preserve">Pages 202–203 — Sūkta 6: heading; Sāyaṇa’s introduction; the Anuvāda; Rik 6.1 (Saṃhitā, Pada, Bhāṣya opening)</w:t>
      </w:r>
    </w:p>
    <w:p>
      <w:pPr>
        <w:pStyle w:val="FirstParagraph"/>
      </w:pPr>
      <w:r>
        <w:rPr>
          <w:iCs/>
          <w:i/>
        </w:rPr>
        <w:t xml:space="preserve">(Page headers: p. 202</w:t>
      </w:r>
      <w:r>
        <w:rPr>
          <w:iCs/>
          <w:i/>
        </w:rPr>
        <w:t xml:space="preserve"> </w:t>
      </w:r>
      <w:r>
        <w:rPr>
          <w:iCs/>
          <w:i/>
        </w:rPr>
        <w:t xml:space="preserve">“</w:t>
      </w:r>
      <w:r>
        <w:rPr>
          <w:iCs/>
          <w:i/>
        </w:rPr>
        <w:t xml:space="preserve">Sāyaṇa-bhāṣya-sahitā · Maṇḍala 1, Anuvāka 2, Sūkta 6</w:t>
      </w:r>
      <w:r>
        <w:rPr>
          <w:iCs/>
          <w:i/>
        </w:rPr>
        <w:t xml:space="preserve">”</w:t>
      </w:r>
      <w:r>
        <w:rPr>
          <w:iCs/>
          <w:i/>
        </w:rPr>
        <w:t xml:space="preserve">; p. 203</w:t>
      </w:r>
      <w:r>
        <w:rPr>
          <w:iCs/>
          <w:i/>
        </w:rPr>
        <w:t xml:space="preserve"> </w:t>
      </w:r>
      <w:r>
        <w:rPr>
          <w:iCs/>
          <w:i/>
        </w:rPr>
        <w:t xml:space="preserve">“</w:t>
      </w:r>
      <w:r>
        <w:rPr>
          <w:iCs/>
          <w:i/>
        </w:rPr>
        <w:t xml:space="preserve">Aṣṭaka 1, Adhyāya 1, Varga 11 · Ṛgveda-saṃhitā.</w:t>
      </w:r>
      <w:r>
        <w:rPr>
          <w:iCs/>
          <w:i/>
        </w:rPr>
        <w:t xml:space="preserve">”</w:t>
      </w:r>
      <w:r>
        <w:rPr>
          <w:iCs/>
          <w:i/>
        </w:rPr>
        <w:t xml:space="preserve"> </w:t>
      </w:r>
      <w:r>
        <w:rPr>
          <w:iCs/>
          <w:i/>
        </w:rPr>
        <w:t xml:space="preserve">Sanskrit printed in Kannada script; read from enlarged slices; [?] where unclear. Printed title:</w:t>
      </w:r>
      <w:r>
        <w:rPr>
          <w:iCs/>
          <w:i/>
        </w:rPr>
        <w:t xml:space="preserve"> </w:t>
      </w:r>
      <w:r>
        <w:rPr>
          <w:iCs/>
          <w:i/>
        </w:rPr>
        <w:t xml:space="preserve">“</w:t>
      </w:r>
      <w:r>
        <w:rPr>
          <w:iCs/>
          <w:i/>
        </w:rPr>
        <w:t xml:space="preserve">ಆರನೆಯ ಸೂಕ್ತವು</w:t>
      </w:r>
      <w:r>
        <w:rPr>
          <w:iCs/>
          <w:i/>
        </w:rPr>
        <w:t xml:space="preserve">”</w:t>
      </w:r>
      <w:r>
        <w:rPr>
          <w:iCs/>
          <w:i/>
        </w:rPr>
        <w:t xml:space="preserve"> </w:t>
      </w:r>
      <w:r>
        <w:rPr>
          <w:iCs/>
          <w:i/>
        </w:rPr>
        <w:t xml:space="preserve">(</w:t>
      </w:r>
      <w:r>
        <w:rPr>
          <w:iCs/>
          <w:i/>
        </w:rPr>
        <w:t xml:space="preserve">“</w:t>
      </w:r>
      <w:r>
        <w:rPr>
          <w:iCs/>
          <w:i/>
        </w:rPr>
        <w:t xml:space="preserve">the sixth sūkta</w:t>
      </w:r>
      <w:r>
        <w:rPr>
          <w:iCs/>
          <w:i/>
        </w:rPr>
        <w:t xml:space="preserve">”</w:t>
      </w:r>
      <w:r>
        <w:rPr>
          <w:iCs/>
          <w:i/>
        </w:rPr>
        <w:t xml:space="preserve">). Saṃhitā accents as printed; Pada unaccented.)</w:t>
      </w:r>
    </w:p>
    <w:p>
      <w:pPr>
        <w:pStyle w:val="BodyText"/>
      </w:pPr>
      <w:r>
        <w:rPr>
          <w:bCs/>
          <w:b/>
        </w:rPr>
        <w:t xml:space="preserve">॥ Sāyaṇa-bhāṣyam ॥</w:t>
      </w:r>
      <w:r>
        <w:t xml:space="preserve"> </w:t>
      </w:r>
      <w:r>
        <w:rPr>
          <w:iCs/>
          <w:i/>
        </w:rPr>
        <w:t xml:space="preserve">(p. 202)</w:t>
      </w:r>
    </w:p>
    <w:p>
      <w:pPr>
        <w:pStyle w:val="BlockText"/>
      </w:pPr>
      <w:r>
        <w:t xml:space="preserve">सुरूपेत्यादिषु षट्सूक्तेषु तृतीयस्य युञ्जन्तीति सूक्तस्य मन्त्रसंख्याऋषिच्छन्दोदैवतानि विनियोगाश्चेत्येते पूर्ववदवगन्तव्याः । दशर्चे तस्मिन्सूक्त आद्यास्तिस्रोऽन्तिमा चेत्येताश्चतस्र ऐन्द्र्यः । आ दह स्वधामनु इत्येतां चतुर्थीमारभ्य षडृचो मारुत्यः । तासु मध्ये वीळु चिदिन्द्रेणेत्येते द्वे ऋचौ मारुत्यौ सत्यावैन्द्र्यावपि भवतः । तदेतत्सर्वमनुक्रमणिकायामुक्तम् । सुरूपकृत्नुं दश्यैन्द्रमा तु युञ्जन्त्यादहेत्येताः षण्मारुत्यो वीळु चिदिन्द्रेणेत्यैन्द्र्यौ चेति ॥ एतस्मिन्सूक्ते युञ्जन्तीत्यसौ तृचस्तृतीये रात्रिपर्याये ब्राह्मणाच्छंसिनोऽनुरूपः । तथा चातिरात्रे पर्यायाणामिति खण्डे योगे योगे तवस्तरं युञ्जन्ति ब्रध्नमरुषम् । आ. ६-४ । इति सूत्रितम् ॥</w:t>
      </w:r>
      <w:r>
        <w:t xml:space="preserve"> </w:t>
      </w:r>
      <w:r>
        <w:rPr>
          <w:iCs/>
          <w:i/>
        </w:rPr>
        <w:t xml:space="preserve">surūpety ādiṣu ṣaṭsūkteṣu tṛtīyasya yuñjantīti sūktasya mantra-saṃkhyā-ṛṣi-cchando-devatā-viniyogāś cety ete pūrvavad avagantavyāḥ | daśarce tasmin sūkta ādyās tisro ’ntimā cety etāś catasra aindryaḥ | ā daha svadhām anu ity etāṃ caturthīm ārabhya ṣaḍṛco mārutyaḥ | tāsu madhye vīḷu cid indreṇety ete dve ṛcau mārutyau satyāv aindryāv api bhavataḥ | tad etat sarvam anukramaṇikāyām uktam | surūpakṛtnuṃ daśy aindramā tu yuñjanty ādaha ity etāḥ ṣaṇ mārutyo vīḷu cid indreṇety aindryau ceti || etasmin sūkte yuñjantīty asau tṛcas tṛtīye rātri-paryāye brāhmaṇācchaṃsino ’nurūpaḥ | tathā cātirātre paryāyāṇām iti khaṇḍe yoge yoge tavastaraṃ yuñjanti bradhnam aruṣam | ā. 6-4 | iti sūtritam ||</w:t>
      </w:r>
      <w:r>
        <w:t xml:space="preserve"> </w:t>
      </w:r>
      <w:r>
        <w:rPr>
          <w:iCs/>
          <w:i/>
        </w:rPr>
        <w:t xml:space="preserve">(Reading notes: (i)</w:t>
      </w:r>
      <w:r>
        <w:rPr>
          <w:iCs/>
          <w:i/>
        </w:rPr>
        <w:t xml:space="preserve"> </w:t>
      </w:r>
      <w:r>
        <w:rPr>
          <w:iCs/>
          <w:i/>
        </w:rPr>
        <w:t xml:space="preserve">“</w:t>
      </w:r>
      <w:r>
        <w:rPr>
          <w:iCs/>
          <w:i/>
        </w:rPr>
        <w:t xml:space="preserve">satyāv aindryāv api</w:t>
      </w:r>
      <w:r>
        <w:rPr>
          <w:iCs/>
          <w:i/>
        </w:rPr>
        <w:t xml:space="preserve">”</w:t>
      </w:r>
      <w:r>
        <w:rPr>
          <w:iCs/>
          <w:i/>
        </w:rPr>
        <w:t xml:space="preserve"> </w:t>
      </w:r>
      <w:r>
        <w:rPr>
          <w:iCs/>
          <w:i/>
        </w:rPr>
        <w:t xml:space="preserve">is clear in the better scan; its sense —</w:t>
      </w:r>
      <w:r>
        <w:rPr>
          <w:iCs/>
          <w:i/>
        </w:rPr>
        <w:t xml:space="preserve"> </w:t>
      </w:r>
      <w:r>
        <w:rPr>
          <w:iCs/>
          <w:i/>
        </w:rPr>
        <w:t xml:space="preserve">“</w:t>
      </w:r>
      <w:r>
        <w:rPr>
          <w:iCs/>
          <w:i/>
        </w:rPr>
        <w:t xml:space="preserve">these two Ṛks, being Marut Ṛks, are also Aindra</w:t>
      </w:r>
      <w:r>
        <w:rPr>
          <w:iCs/>
          <w:i/>
        </w:rPr>
        <w:t xml:space="preserve">”</w:t>
      </w:r>
      <w:r>
        <w:rPr>
          <w:iCs/>
          <w:i/>
        </w:rPr>
        <w:t xml:space="preserve"> </w:t>
      </w:r>
      <w:r>
        <w:rPr>
          <w:iCs/>
          <w:i/>
        </w:rPr>
        <w:t xml:space="preserve">— is the one the Kannada commentary gives below; (ii) the Anukramaṇī quotation is as printed, with its abbreviated</w:t>
      </w:r>
      <w:r>
        <w:rPr>
          <w:iCs/>
          <w:i/>
        </w:rPr>
        <w:t xml:space="preserve"> </w:t>
      </w:r>
      <w:r>
        <w:rPr>
          <w:iCs/>
          <w:i/>
        </w:rPr>
        <w:t xml:space="preserve">“</w:t>
      </w:r>
      <w:r>
        <w:rPr>
          <w:iCs/>
          <w:i/>
        </w:rPr>
        <w:t xml:space="preserve">daśy aindramā tu</w:t>
      </w:r>
      <w:r>
        <w:rPr>
          <w:iCs/>
          <w:i/>
        </w:rPr>
        <w:t xml:space="preserve">”</w:t>
      </w:r>
      <w:r>
        <w:rPr>
          <w:iCs/>
          <w:i/>
        </w:rPr>
        <w:t xml:space="preserve"> </w:t>
      </w:r>
      <w:r>
        <w:rPr>
          <w:iCs/>
          <w:i/>
        </w:rPr>
        <w:t xml:space="preserve">run together; I give it without correcting; (iii) the sūtra-quotation reads</w:t>
      </w:r>
      <w:r>
        <w:rPr>
          <w:iCs/>
          <w:i/>
        </w:rPr>
        <w:t xml:space="preserve"> </w:t>
      </w:r>
      <w:r>
        <w:rPr>
          <w:iCs/>
          <w:i/>
        </w:rPr>
        <w:t xml:space="preserve">“</w:t>
      </w:r>
      <w:r>
        <w:rPr>
          <w:iCs/>
          <w:i/>
        </w:rPr>
        <w:t xml:space="preserve">bradhnam</w:t>
      </w:r>
      <w:r>
        <w:rPr>
          <w:iCs/>
          <w:i/>
        </w:rPr>
        <w:t xml:space="preserve">”</w:t>
      </w:r>
      <w:r>
        <w:rPr>
          <w:iCs/>
          <w:i/>
        </w:rPr>
        <w:t xml:space="preserve"> </w:t>
      </w:r>
      <w:r>
        <w:rPr>
          <w:iCs/>
          <w:i/>
        </w:rPr>
        <w:t xml:space="preserve">in the Rik but I read</w:t>
      </w:r>
      <w:r>
        <w:rPr>
          <w:iCs/>
          <w:i/>
        </w:rPr>
        <w:t xml:space="preserve"> </w:t>
      </w:r>
      <w:r>
        <w:rPr>
          <w:iCs/>
          <w:i/>
        </w:rPr>
        <w:t xml:space="preserve">“</w:t>
      </w:r>
      <w:r>
        <w:rPr>
          <w:iCs/>
          <w:i/>
        </w:rPr>
        <w:t xml:space="preserve">ब्रध्नमरुषम्</w:t>
      </w:r>
      <w:r>
        <w:rPr>
          <w:iCs/>
          <w:i/>
        </w:rPr>
        <w:t xml:space="preserve">”</w:t>
      </w:r>
      <w:r>
        <w:rPr>
          <w:iCs/>
          <w:i/>
        </w:rPr>
        <w:t xml:space="preserve"> </w:t>
      </w:r>
      <w:r>
        <w:rPr>
          <w:iCs/>
          <w:i/>
        </w:rPr>
        <w:t xml:space="preserve">here as printed.)</w:t>
      </w:r>
    </w:p>
    <w:p>
      <w:pPr>
        <w:pStyle w:val="FirstParagraph"/>
      </w:pPr>
      <w:r>
        <w:rPr>
          <w:bCs/>
          <w:b/>
        </w:rPr>
        <w:t xml:space="preserve">Translation:</w:t>
      </w:r>
      <w:r>
        <w:t xml:space="preserve"> </w:t>
      </w:r>
      <w:r>
        <w:t xml:space="preserve">“</w:t>
      </w:r>
      <w:r>
        <w:t xml:space="preserve">Of the six sūktas beginning with</w:t>
      </w:r>
      <w:r>
        <w:t xml:space="preserve"> </w:t>
      </w:r>
      <w:r>
        <w:t xml:space="preserve">‘</w:t>
      </w:r>
      <w:r>
        <w:t xml:space="preserve">surūpa…</w:t>
      </w:r>
      <w:r>
        <w:t xml:space="preserve">’</w:t>
      </w:r>
      <w:r>
        <w:t xml:space="preserve">, as for the third,</w:t>
      </w:r>
      <w:r>
        <w:t xml:space="preserve"> </w:t>
      </w:r>
      <w:r>
        <w:t xml:space="preserve">‘</w:t>
      </w:r>
      <w:r>
        <w:t xml:space="preserve">yuñjanti…</w:t>
      </w:r>
      <w:r>
        <w:t xml:space="preserve">’</w:t>
      </w:r>
      <w:r>
        <w:t xml:space="preserve">: its number of Ṛks, ṛṣi, metre, deity and applications are to be understood as before. In this ten-Ṛk sūkta, the first three and the last — these four — are Aindrī (addressed to Indra). Beginning with the fourth,</w:t>
      </w:r>
      <w:r>
        <w:t xml:space="preserve"> </w:t>
      </w:r>
      <w:r>
        <w:t xml:space="preserve">‘</w:t>
      </w:r>
      <w:r>
        <w:t xml:space="preserve">ā daha svadhām anu,</w:t>
      </w:r>
      <w:r>
        <w:t xml:space="preserve">’</w:t>
      </w:r>
      <w:r>
        <w:t xml:space="preserve"> </w:t>
      </w:r>
      <w:r>
        <w:t xml:space="preserve">six Ṛks are Mārutī (addressed to the Maruts). Among them, the two Ṛks</w:t>
      </w:r>
      <w:r>
        <w:t xml:space="preserve"> </w:t>
      </w:r>
      <w:r>
        <w:t xml:space="preserve">‘</w:t>
      </w:r>
      <w:r>
        <w:t xml:space="preserve">vīḷu cid indreṇa</w:t>
      </w:r>
      <w:r>
        <w:t xml:space="preserve">’</w:t>
      </w:r>
      <w:r>
        <w:t xml:space="preserve"> </w:t>
      </w:r>
      <w:r>
        <w:t xml:space="preserve">(the fifth) and the seventh are Mārutī and also Aindrī. All this is stated in the Anukramaṇī:</w:t>
      </w:r>
      <w:r>
        <w:t xml:space="preserve"> </w:t>
      </w:r>
      <w:r>
        <w:t xml:space="preserve">‘</w:t>
      </w:r>
      <w:r>
        <w:rPr>
          <w:iCs/>
          <w:i/>
        </w:rPr>
        <w:t xml:space="preserve">surūpakṛtnuṃ … aindramā tu yuñjanti ādaha — these six are Mārutī; the two beginning ’vīḷu cid indreṇa’ are Aindrī.</w:t>
      </w:r>
      <w:r>
        <w:t xml:space="preserve">’</w:t>
      </w:r>
      <w:r>
        <w:t xml:space="preserve"> </w:t>
      </w:r>
      <w:r>
        <w:t xml:space="preserve">In this sūkta the tṛca</w:t>
      </w:r>
      <w:r>
        <w:t xml:space="preserve"> </w:t>
      </w:r>
      <w:r>
        <w:t xml:space="preserve">‘</w:t>
      </w:r>
      <w:r>
        <w:t xml:space="preserve">yuñjanti…</w:t>
      </w:r>
      <w:r>
        <w:t xml:space="preserve">’</w:t>
      </w:r>
      <w:r>
        <w:t xml:space="preserve"> </w:t>
      </w:r>
      <w:r>
        <w:t xml:space="preserve">is the anurūpa (the</w:t>
      </w:r>
      <w:r>
        <w:t xml:space="preserve"> </w:t>
      </w:r>
      <w:r>
        <w:t xml:space="preserve">‘</w:t>
      </w:r>
      <w:r>
        <w:t xml:space="preserve">corresponding</w:t>
      </w:r>
      <w:r>
        <w:t xml:space="preserve">’</w:t>
      </w:r>
      <w:r>
        <w:t xml:space="preserve"> </w:t>
      </w:r>
      <w:r>
        <w:t xml:space="preserve">verse) of the Brāhmaṇācchaṃsin in the third night-round (paryāya); and in the Sūtra (Āśvalāyana 6-4), in the section</w:t>
      </w:r>
      <w:r>
        <w:t xml:space="preserve"> </w:t>
      </w:r>
      <w:r>
        <w:t xml:space="preserve">‘</w:t>
      </w:r>
      <w:r>
        <w:t xml:space="preserve">atirātre paryāyāṇām,</w:t>
      </w:r>
      <w:r>
        <w:t xml:space="preserve">’</w:t>
      </w:r>
      <w:r>
        <w:t xml:space="preserve"> </w:t>
      </w:r>
      <w:r>
        <w:t xml:space="preserve">it is laid down:</w:t>
      </w:r>
      <w:r>
        <w:t xml:space="preserve"> </w:t>
      </w:r>
      <w:r>
        <w:t xml:space="preserve">‘</w:t>
      </w:r>
      <w:r>
        <w:rPr>
          <w:iCs/>
          <w:i/>
        </w:rPr>
        <w:t xml:space="preserve">yoge yoge tavastaraṃ … yuñjanti bradhnam aruṣam.</w:t>
      </w:r>
      <w:r>
        <w:t xml:space="preserve">’</w:t>
      </w:r>
      <w:r>
        <w:t xml:space="preserve">”</w:t>
      </w:r>
    </w:p>
    <w:p>
      <w:pPr>
        <w:pStyle w:val="BodyText"/>
      </w:pPr>
      <w:r>
        <w:rPr>
          <w:bCs/>
          <w:b/>
        </w:rPr>
        <w:t xml:space="preserve">॥ Anuvādaḥ ॥</w:t>
      </w:r>
      <w:r>
        <w:t xml:space="preserve"> </w:t>
      </w:r>
      <w:r>
        <w:rPr>
          <w:iCs/>
          <w:i/>
        </w:rPr>
        <w:t xml:space="preserve">(Kannada commentary, translated; p. 202)</w:t>
      </w:r>
    </w:p>
    <w:p>
      <w:pPr>
        <w:pStyle w:val="BodyText"/>
      </w:pPr>
      <w:r>
        <w:t xml:space="preserve">In the sacrifice called Abhiplava-ṣaḍaha, at the time of the morning pressing, the application of the six sūktas beginning</w:t>
      </w:r>
      <w:r>
        <w:t xml:space="preserve"> </w:t>
      </w:r>
      <w:r>
        <w:t xml:space="preserve">“</w:t>
      </w:r>
      <w:r>
        <w:t xml:space="preserve">surūpakṛtnum ūtaye,</w:t>
      </w:r>
      <w:r>
        <w:t xml:space="preserve">”</w:t>
      </w:r>
      <w:r>
        <w:t xml:space="preserve"> </w:t>
      </w:r>
      <w:r>
        <w:t xml:space="preserve">which the priest of the Hotṛ group called Brāhmaṇācchaṃsin is to recite for the stoma-vṛddhi and āvāpa, has been given earlier (p. 87). The present sūkta</w:t>
      </w:r>
      <w:r>
        <w:t xml:space="preserve"> </w:t>
      </w:r>
      <w:r>
        <w:t xml:space="preserve">“</w:t>
      </w:r>
      <w:r>
        <w:t xml:space="preserve">yuñjanti bradhnam aruṣam,</w:t>
      </w:r>
      <w:r>
        <w:t xml:space="preserve">”</w:t>
      </w:r>
      <w:r>
        <w:t xml:space="preserve"> </w:t>
      </w:r>
      <w:r>
        <w:t xml:space="preserve">which comes in that context, is the third among those six sūktas; so the application of those six applies to it too. There are ten Ṛks in this sūkta. Of them, the first three and the last one — four Ṛks — are addressed to Indra. Six Ṛks, from the fourth,</w:t>
      </w:r>
      <w:r>
        <w:t xml:space="preserve"> </w:t>
      </w:r>
      <w:r>
        <w:t xml:space="preserve">“</w:t>
      </w:r>
      <w:r>
        <w:t xml:space="preserve">ā daha svadhām anu,</w:t>
      </w:r>
      <w:r>
        <w:t xml:space="preserve">”</w:t>
      </w:r>
      <w:r>
        <w:t xml:space="preserve"> </w:t>
      </w:r>
      <w:r>
        <w:t xml:space="preserve">to the ninth, are addressed to the Maruts. Among these six, the fifth,</w:t>
      </w:r>
      <w:r>
        <w:t xml:space="preserve"> </w:t>
      </w:r>
      <w:r>
        <w:t xml:space="preserve">“</w:t>
      </w:r>
      <w:r>
        <w:t xml:space="preserve">vīḷu cid ārujatnubhiḥ,</w:t>
      </w:r>
      <w:r>
        <w:t xml:space="preserve">”</w:t>
      </w:r>
      <w:r>
        <w:t xml:space="preserve"> </w:t>
      </w:r>
      <w:r>
        <w:t xml:space="preserve">and the seventh,</w:t>
      </w:r>
      <w:r>
        <w:t xml:space="preserve"> </w:t>
      </w:r>
      <w:r>
        <w:t xml:space="preserve">“</w:t>
      </w:r>
      <w:r>
        <w:t xml:space="preserve">indreṇa saṃ hi dṛkṣase,</w:t>
      </w:r>
      <w:r>
        <w:t xml:space="preserve">”</w:t>
      </w:r>
      <w:r>
        <w:t xml:space="preserve"> </w:t>
      </w:r>
      <w:r>
        <w:t xml:space="preserve">are addressed to both Indra and the Maruts. This matter is stated in the Sarvānukramaṇī:</w:t>
      </w:r>
      <w:r>
        <w:t xml:space="preserve"> </w:t>
      </w:r>
      <w:r>
        <w:t xml:space="preserve">“</w:t>
      </w:r>
      <w:r>
        <w:rPr>
          <w:iCs/>
          <w:i/>
        </w:rPr>
        <w:t xml:space="preserve">surūpakṛtnuṃ … ṣaṇ mārutyo, vīḷu cid indreṇety aindryau ceti</w:t>
      </w:r>
      <w:r>
        <w:t xml:space="preserve">”</w:t>
      </w:r>
      <w:r>
        <w:t xml:space="preserve"> </w:t>
      </w:r>
      <w:r>
        <w:t xml:space="preserve">— that is, the ten Ṛks of the sūkta</w:t>
      </w:r>
      <w:r>
        <w:t xml:space="preserve"> </w:t>
      </w:r>
      <w:r>
        <w:t xml:space="preserve">“</w:t>
      </w:r>
      <w:r>
        <w:t xml:space="preserve">surūpakṛtnum,</w:t>
      </w:r>
      <w:r>
        <w:t xml:space="preserve">”</w:t>
      </w:r>
      <w:r>
        <w:t xml:space="preserve"> </w:t>
      </w:r>
      <w:r>
        <w:t xml:space="preserve">the ten of</w:t>
      </w:r>
      <w:r>
        <w:t xml:space="preserve"> </w:t>
      </w:r>
      <w:r>
        <w:t xml:space="preserve">“</w:t>
      </w:r>
      <w:r>
        <w:t xml:space="preserve">ā tvetā,</w:t>
      </w:r>
      <w:r>
        <w:t xml:space="preserve">”</w:t>
      </w:r>
      <w:r>
        <w:t xml:space="preserve"> </w:t>
      </w:r>
      <w:r>
        <w:t xml:space="preserve">and the first three and the last Ṛk of</w:t>
      </w:r>
      <w:r>
        <w:t xml:space="preserve"> </w:t>
      </w:r>
      <w:r>
        <w:t xml:space="preserve">“</w:t>
      </w:r>
      <w:r>
        <w:t xml:space="preserve">yuñjanti bradhnam</w:t>
      </w:r>
      <w:r>
        <w:t xml:space="preserve">”</w:t>
      </w:r>
      <w:r>
        <w:t xml:space="preserve"> </w:t>
      </w:r>
      <w:r>
        <w:t xml:space="preserve">are all addressed to the deity Indra; the six Ṛks from</w:t>
      </w:r>
      <w:r>
        <w:t xml:space="preserve"> </w:t>
      </w:r>
      <w:r>
        <w:t xml:space="preserve">“</w:t>
      </w:r>
      <w:r>
        <w:t xml:space="preserve">ā daha svadhām anu</w:t>
      </w:r>
      <w:r>
        <w:t xml:space="preserve">”</w:t>
      </w:r>
      <w:r>
        <w:t xml:space="preserve"> </w:t>
      </w:r>
      <w:r>
        <w:t xml:space="preserve">to</w:t>
      </w:r>
      <w:r>
        <w:t xml:space="preserve"> </w:t>
      </w:r>
      <w:r>
        <w:t xml:space="preserve">“</w:t>
      </w:r>
      <w:r>
        <w:t xml:space="preserve">ata parī[?] gahi</w:t>
      </w:r>
      <w:r>
        <w:t xml:space="preserve">”</w:t>
      </w:r>
      <w:r>
        <w:t xml:space="preserve">-ending are addressed to the Maruts; but of these six, the two Ṛks</w:t>
      </w:r>
      <w:r>
        <w:t xml:space="preserve"> </w:t>
      </w:r>
      <w:r>
        <w:t xml:space="preserve">“</w:t>
      </w:r>
      <w:r>
        <w:t xml:space="preserve">vīḷu cid ārujatnubhiḥ</w:t>
      </w:r>
      <w:r>
        <w:t xml:space="preserve">”</w:t>
      </w:r>
      <w:r>
        <w:t xml:space="preserve"> </w:t>
      </w:r>
      <w:r>
        <w:t xml:space="preserve">and</w:t>
      </w:r>
      <w:r>
        <w:t xml:space="preserve"> </w:t>
      </w:r>
      <w:r>
        <w:t xml:space="preserve">“</w:t>
      </w:r>
      <w:r>
        <w:t xml:space="preserve">indreṇa saṃ hi dṛkṣase</w:t>
      </w:r>
      <w:r>
        <w:t xml:space="preserve">”</w:t>
      </w:r>
      <w:r>
        <w:t xml:space="preserve"> </w:t>
      </w:r>
      <w:r>
        <w:t xml:space="preserve">are addressed to the two deities, Indra and the Maruts. The first three Ṛks of this sūkta are to be recited, in the third night-round (paryāya) of the Atirātra, by the Brāhmaṇācchaṃsin. In this context the Āśvalāyana sūtra says:</w:t>
      </w:r>
      <w:r>
        <w:t xml:space="preserve"> </w:t>
      </w:r>
      <w:r>
        <w:t xml:space="preserve">“</w:t>
      </w:r>
      <w:r>
        <w:rPr>
          <w:iCs/>
          <w:i/>
        </w:rPr>
        <w:t xml:space="preserve">tathā cātirātre paryāyāṇām iti khaṇḍe yoge yoge tavastaraṃ yuñjanti bradhnam aruṣam</w:t>
      </w:r>
      <w:r>
        <w:t xml:space="preserve">”</w:t>
      </w:r>
      <w:r>
        <w:t xml:space="preserve"> </w:t>
      </w:r>
      <w:r>
        <w:t xml:space="preserve">(Āśv. Sū. 6-4 [?]).</w:t>
      </w:r>
    </w:p>
    <w:p>
      <w:pPr>
        <w:pStyle w:val="BodyText"/>
      </w:pPr>
      <w:r>
        <w:rPr>
          <w:iCs/>
          <w:i/>
        </w:rPr>
        <w:t xml:space="preserve">(Reading note: the Kannada names the Mārut group by its first and last Ṛks —</w:t>
      </w:r>
      <w:r>
        <w:rPr>
          <w:iCs/>
          <w:i/>
        </w:rPr>
        <w:t xml:space="preserve"> </w:t>
      </w:r>
      <w:r>
        <w:rPr>
          <w:iCs/>
          <w:i/>
        </w:rPr>
        <w:t xml:space="preserve">“</w:t>
      </w:r>
      <w:r>
        <w:rPr>
          <w:iCs/>
          <w:i/>
        </w:rPr>
        <w:t xml:space="preserve">ā daha svadhām anu</w:t>
      </w:r>
      <w:r>
        <w:rPr>
          <w:iCs/>
          <w:i/>
        </w:rPr>
        <w:t xml:space="preserve">”</w:t>
      </w:r>
      <w:r>
        <w:rPr>
          <w:iCs/>
          <w:i/>
        </w:rPr>
        <w:t xml:space="preserve"> </w:t>
      </w:r>
      <w:r>
        <w:rPr>
          <w:iCs/>
          <w:i/>
        </w:rPr>
        <w:t xml:space="preserve">(the fourth)</w:t>
      </w:r>
      <w:r>
        <w:rPr>
          <w:iCs/>
          <w:i/>
        </w:rPr>
        <w:t xml:space="preserve"> </w:t>
      </w:r>
      <w:r>
        <w:rPr>
          <w:iCs/>
          <w:i/>
        </w:rPr>
        <w:t xml:space="preserve">“</w:t>
      </w:r>
      <w:r>
        <w:rPr>
          <w:iCs/>
          <w:i/>
        </w:rPr>
        <w:t xml:space="preserve">to</w:t>
      </w:r>
      <w:r>
        <w:rPr>
          <w:iCs/>
          <w:i/>
        </w:rPr>
        <w:t xml:space="preserve">”</w:t>
      </w:r>
      <w:r>
        <w:rPr>
          <w:iCs/>
          <w:i/>
        </w:rPr>
        <w:t xml:space="preserve"> </w:t>
      </w:r>
      <w:r>
        <w:rPr>
          <w:iCs/>
          <w:i/>
        </w:rPr>
        <w:t xml:space="preserve">“</w:t>
      </w:r>
      <w:r>
        <w:rPr>
          <w:iCs/>
          <w:i/>
        </w:rPr>
        <w:t xml:space="preserve">ataḥ pari jmann ā gahi</w:t>
      </w:r>
      <w:r>
        <w:rPr>
          <w:iCs/>
          <w:i/>
        </w:rPr>
        <w:t xml:space="preserve">”</w:t>
      </w:r>
      <w:r>
        <w:rPr>
          <w:iCs/>
          <w:i/>
        </w:rPr>
        <w:t xml:space="preserve"> </w:t>
      </w:r>
      <w:r>
        <w:rPr>
          <w:iCs/>
          <w:i/>
        </w:rPr>
        <w:t xml:space="preserve">(the ninth), as printed. The Ṛk-numbering of the deities I take from the Sanskrit above and from the Kannada’s own count: Aindrī — 1, 2, 3, 10; Mārutī — 4, 6, 8, 9; both — 5, 7.)</w:t>
      </w:r>
    </w:p>
    <w:p>
      <w:pPr>
        <w:pStyle w:val="BodyText"/>
      </w:pPr>
      <w:r>
        <w:rPr>
          <w:bCs/>
          <w:b/>
        </w:rPr>
        <w:t xml:space="preserve">Heading (p. 203):</w:t>
      </w:r>
    </w:p>
    <w:p>
      <w:pPr>
        <w:pStyle w:val="BodyText"/>
      </w:pPr>
      <w:r>
        <w:rPr>
          <w:bCs/>
          <w:b/>
        </w:rPr>
        <w:t xml:space="preserve">सूक्त—६</w:t>
      </w:r>
      <w:r>
        <w:t xml:space="preserve"> </w:t>
      </w:r>
      <w:r>
        <w:rPr>
          <w:iCs/>
          <w:i/>
        </w:rPr>
        <w:t xml:space="preserve">(Sūkta 6)</w:t>
      </w:r>
      <w:r>
        <w:t xml:space="preserve"> </w:t>
      </w:r>
      <w:r>
        <w:t xml:space="preserve">॥ मण्डल—१ ॥ अनुवाक—२ ॥ सूक्त—६ ॥</w:t>
      </w:r>
      <w:r>
        <w:t xml:space="preserve"> </w:t>
      </w:r>
      <w:r>
        <w:t xml:space="preserve">॥ अष्टक—१ ॥ अध्याय—१ ॥ वर्ग—११–१२ ॥</w:t>
      </w:r>
      <w:r>
        <w:t xml:space="preserve"> </w:t>
      </w:r>
      <w:r>
        <w:t xml:space="preserve">॥ सूक्तदल्लिरुव ऋक्संख्ये १–१० ॥</w:t>
      </w:r>
      <w:r>
        <w:t xml:space="preserve"> </w:t>
      </w:r>
      <w:r>
        <w:rPr>
          <w:iCs/>
          <w:i/>
        </w:rPr>
        <w:t xml:space="preserve">(Ṛks of the sūkta: 1–10)</w:t>
      </w:r>
      <w:r>
        <w:t xml:space="preserve"> </w:t>
      </w:r>
      <w:r>
        <w:rPr>
          <w:bCs/>
          <w:b/>
        </w:rPr>
        <w:t xml:space="preserve">ऋषिः</w:t>
      </w:r>
      <w:r>
        <w:t xml:space="preserve"> </w:t>
      </w:r>
      <w:r>
        <w:t xml:space="preserve">— मधुच्छन्दा वैश्वामित्रः (</w:t>
      </w:r>
      <w:r>
        <w:rPr>
          <w:iCs/>
          <w:i/>
        </w:rPr>
        <w:t xml:space="preserve">ṛṣiḥ — madhucchandā vaiśvāmitraḥ</w:t>
      </w:r>
      <w:r>
        <w:t xml:space="preserve">)</w:t>
      </w:r>
      <w:r>
        <w:t xml:space="preserve"> </w:t>
      </w:r>
      <w:r>
        <w:rPr>
          <w:bCs/>
          <w:b/>
        </w:rPr>
        <w:t xml:space="preserve">देवता</w:t>
      </w:r>
      <w:r>
        <w:t xml:space="preserve"> </w:t>
      </w:r>
      <w:r>
        <w:t xml:space="preserve">— १–३ इन्द्रः । ४, ६, ८, ९ मरुतः । ५, ७ मरुत इन्द्रश्च । १० इन्द्रः (</w:t>
      </w:r>
      <w:r>
        <w:rPr>
          <w:iCs/>
          <w:i/>
        </w:rPr>
        <w:t xml:space="preserve">devatā — 1–3 indraḥ; 4, 6, 8, 9 marutaḥ; 5, 7 maruta indraś ca; 10 indraḥ</w:t>
      </w:r>
      <w:r>
        <w:t xml:space="preserve">)</w:t>
      </w:r>
      <w:r>
        <w:t xml:space="preserve"> </w:t>
      </w:r>
      <w:r>
        <w:rPr>
          <w:iCs/>
          <w:i/>
        </w:rPr>
        <w:t xml:space="preserve">(numerals as printed)</w:t>
      </w:r>
      <w:r>
        <w:t xml:space="preserve"> </w:t>
      </w:r>
      <w:r>
        <w:rPr>
          <w:bCs/>
          <w:b/>
        </w:rPr>
        <w:t xml:space="preserve">छन्दः</w:t>
      </w:r>
      <w:r>
        <w:t xml:space="preserve"> </w:t>
      </w:r>
      <w:r>
        <w:t xml:space="preserve">— गायत्री (</w:t>
      </w:r>
      <w:r>
        <w:rPr>
          <w:iCs/>
          <w:i/>
        </w:rPr>
        <w:t xml:space="preserve">chandaḥ — gāyatrī</w:t>
      </w:r>
      <w:r>
        <w:t xml:space="preserve">)</w:t>
      </w:r>
    </w:p>
    <w:p>
      <w:pPr>
        <w:pStyle w:val="BodyText"/>
      </w:pPr>
      <w:r>
        <w:rPr>
          <w:bCs/>
          <w:b/>
        </w:rPr>
        <w:t xml:space="preserve">॥ Saṃhitā-pāṭhaḥ ॥</w:t>
      </w:r>
    </w:p>
    <w:p>
      <w:pPr>
        <w:pStyle w:val="BlockText"/>
      </w:pPr>
      <w:r>
        <w:t xml:space="preserve">युं॒जंति॑ ब्र॒ध्नम॑रु॒षं चरं॑तं॒ परि॑ त॒स्थुषः॑ ।</w:t>
      </w:r>
      <w:r>
        <w:t xml:space="preserve"> </w:t>
      </w:r>
      <w:r>
        <w:t xml:space="preserve">रोचं॑ते रोच॒ना दि॒वि ॥१॥</w:t>
      </w:r>
    </w:p>
    <w:p>
      <w:pPr>
        <w:pStyle w:val="BlockText"/>
      </w:pPr>
      <w:r>
        <w:rPr>
          <w:iCs/>
          <w:i/>
        </w:rPr>
        <w:t xml:space="preserve">yuṃjáṃti bradhnámaruṣáṃ cáraṃtaṃ pári tasthúṣaḥ |</w:t>
      </w:r>
      <w:r>
        <w:t xml:space="preserve"> </w:t>
      </w:r>
      <w:r>
        <w:rPr>
          <w:iCs/>
          <w:i/>
        </w:rPr>
        <w:t xml:space="preserve">rócaṃte rocanā́ diví ||1||</w:t>
      </w:r>
    </w:p>
    <w:p>
      <w:pPr>
        <w:pStyle w:val="FirstParagraph"/>
      </w:pPr>
      <w:r>
        <w:rPr>
          <w:bCs/>
          <w:b/>
        </w:rPr>
        <w:t xml:space="preserve">॥ Pada-pāṭhaḥ ॥</w:t>
      </w:r>
    </w:p>
    <w:p>
      <w:pPr>
        <w:pStyle w:val="BlockText"/>
      </w:pPr>
      <w:r>
        <w:t xml:space="preserve">युञ्जन्ति । ब्रध्नम् । अरुषम् । चरन्तम् । परि । तस्थुषः ।</w:t>
      </w:r>
      <w:r>
        <w:t xml:space="preserve"> </w:t>
      </w:r>
      <w:r>
        <w:t xml:space="preserve">रोचन्ते । रोचना । दिवि ॥१॥</w:t>
      </w:r>
    </w:p>
    <w:p>
      <w:pPr>
        <w:pStyle w:val="FirstParagraph"/>
      </w:pPr>
      <w:r>
        <w:rPr>
          <w:bCs/>
          <w:b/>
        </w:rPr>
        <w:t xml:space="preserve">॥ Sāyaṇa-bhāṣyam ॥</w:t>
      </w:r>
      <w:r>
        <w:t xml:space="preserve"> </w:t>
      </w:r>
      <w:r>
        <w:rPr>
          <w:iCs/>
          <w:i/>
        </w:rPr>
        <w:t xml:space="preserve">(Rik 6.1; opening, p. 203)</w:t>
      </w:r>
    </w:p>
    <w:p>
      <w:pPr>
        <w:pStyle w:val="BlockText"/>
      </w:pPr>
      <w:r>
        <w:t xml:space="preserve">इन्द्रो हि परमैश्वर्ययुक्तः । परमैश्वर्यं चाग्निवाय्वादित्यनक्षत्ररूपेणावस्थानमुपपद्यते । ब्रध्नमादित्यरूपेणावस्थितम् अरुषं हिंसकरहिताग्निरूपेणावस्थितं चरन्तं वायुरूपेण सर्वतः प्रसरन्तमिन्द्रं परि तस्थुषः परितोऽवस्थिता लोकत्रयवर्तिनः प्राणिनो युञ्जन्ति । स्वकीये कर्मणि देवताभावेन संबद्धं कुर्वन्ति । तस्यैवेन्द्रस्य मूर्तिविशेषभूतानि रोचना रोचनानि नक्षत्राणि दिवि द्युलोके रोचन्ते । प्रकाशन्ते । अस्य मन्त्रस्योक्तार्थपरत्वं ब्राह्मणान्तरे व्याख्यातम् । युञ्जन्ति ब्रध्नमित्याह । असौ वा आदित्यो ब्रध्नः । आदित्यमेवास्मै युनक्ति । अरुषमित्याह । अग्निर्वा अरुषः । अग्निमेवास्मै युनक्ति । चरन्तमित्याह । वायुर्वै चरन् । वायुमेवास्मै युनक्ति । परि तस्थुष इत्याह । इमे वै लोकाः परि तस्थुषः । इमानेवास्मै लोकान्युनक्ति । रोचन्ते रोचना दिवीत्याह ।</w:t>
      </w:r>
      <w:r>
        <w:t xml:space="preserve"> </w:t>
      </w:r>
      <w:r>
        <w:rPr>
          <w:iCs/>
          <w:i/>
        </w:rPr>
        <w:t xml:space="preserve">indro hi paramaiśvarya-yuktaḥ | paramaiśvaryaṃ cāgni-vāyv-āditya-nakṣatra-rūpeṇāvasthānam upapadyate | bradhnam āditya-rūpeṇāvasthitam aruṣaṃ hiṃsakara-hitāgni-rūpeṇāvasthitaṃ carantaṃ vāyu-rūpeṇa sarvataḥ prasarantam indraṃ pari tasthuṣaḥ parito ’vasthitā loka-traya-vartinaḥ prāṇino yuñjanti | svakīye karmaṇi devatā-bhāvena sambaddhaṃ kurvanti | tasyaiv endrasya mūrti-viśeṣa-bhūtāni rocanā rocanāni nakṣatrāṇi divi dyuloke rocante | prakāśante | asya mantrasyoktārtha-paratvaṃ brāhmaṇāntare vyākhyātam | yuñjanti bradhnam ity āha | asau vā ādityo bradhnaḥ | ādityam evāsmai yunakti | aruṣam ity āha | agnir vā aruṣaḥ | agnim evāsmai yunakti | carantam ity āha | vāyur vai caran | vāyum evāsmai yunakti | pari tasthuṣa ity āha | ime vai lokāḥ pari tasthuṣaḥ | imān evāsmai lokān yunakti | rocante rocanā divīty āha |</w:t>
      </w:r>
      <w:r>
        <w:t xml:space="preserve"> </w:t>
      </w:r>
      <w:r>
        <w:rPr>
          <w:iCs/>
          <w:i/>
        </w:rPr>
        <w:t xml:space="preserve">(Reading notes:</w:t>
      </w:r>
      <w:r>
        <w:rPr>
          <w:iCs/>
          <w:i/>
        </w:rPr>
        <w:t xml:space="preserve"> </w:t>
      </w:r>
      <w:r>
        <w:rPr>
          <w:iCs/>
          <w:i/>
        </w:rPr>
        <w:t xml:space="preserve">“</w:t>
      </w:r>
      <w:r>
        <w:rPr>
          <w:iCs/>
          <w:i/>
        </w:rPr>
        <w:t xml:space="preserve">hiṃsakara-hitā</w:t>
      </w:r>
      <w:r>
        <w:rPr>
          <w:iCs/>
          <w:i/>
        </w:rPr>
        <w:t xml:space="preserve">”</w:t>
      </w:r>
      <w:r>
        <w:rPr>
          <w:iCs/>
          <w:i/>
        </w:rPr>
        <w:t xml:space="preserve"> </w:t>
      </w:r>
      <w:r>
        <w:rPr>
          <w:iCs/>
          <w:i/>
        </w:rPr>
        <w:t xml:space="preserve">is printed so, and I read</w:t>
      </w:r>
      <w:r>
        <w:rPr>
          <w:iCs/>
          <w:i/>
        </w:rPr>
        <w:t xml:space="preserve"> </w:t>
      </w:r>
      <w:r>
        <w:rPr>
          <w:iCs/>
          <w:i/>
        </w:rPr>
        <w:t xml:space="preserve">“</w:t>
      </w:r>
      <w:r>
        <w:rPr>
          <w:iCs/>
          <w:i/>
        </w:rPr>
        <w:t xml:space="preserve">hiṃsaka-rahitā</w:t>
      </w:r>
      <w:r>
        <w:rPr>
          <w:iCs/>
          <w:i/>
        </w:rPr>
        <w:t xml:space="preserve">”</w:t>
      </w:r>
      <w:r>
        <w:rPr>
          <w:iCs/>
          <w:i/>
        </w:rPr>
        <w:t xml:space="preserve"> </w:t>
      </w:r>
      <w:r>
        <w:rPr>
          <w:iCs/>
          <w:i/>
        </w:rPr>
        <w:t xml:space="preserve">(</w:t>
      </w:r>
      <w:r>
        <w:rPr>
          <w:iCs/>
          <w:i/>
        </w:rPr>
        <w:t xml:space="preserve">“</w:t>
      </w:r>
      <w:r>
        <w:rPr>
          <w:iCs/>
          <w:i/>
        </w:rPr>
        <w:t xml:space="preserve">free of the destructive</w:t>
      </w:r>
      <w:r>
        <w:rPr>
          <w:iCs/>
          <w:i/>
        </w:rPr>
        <w:t xml:space="preserve">”</w:t>
      </w:r>
      <w:r>
        <w:rPr>
          <w:iCs/>
          <w:i/>
        </w:rPr>
        <w:t xml:space="preserve">) with that spelling noted; the sentence ends at the foot of p. 203 with</w:t>
      </w:r>
      <w:r>
        <w:rPr>
          <w:iCs/>
          <w:i/>
        </w:rPr>
        <w:t xml:space="preserve"> </w:t>
      </w:r>
      <w:r>
        <w:rPr>
          <w:iCs/>
          <w:i/>
        </w:rPr>
        <w:t xml:space="preserve">“</w:t>
      </w:r>
      <w:r>
        <w:rPr>
          <w:iCs/>
          <w:i/>
        </w:rPr>
        <w:t xml:space="preserve">rocante rocanā divīty āha,</w:t>
      </w:r>
      <w:r>
        <w:rPr>
          <w:iCs/>
          <w:i/>
        </w:rPr>
        <w:t xml:space="preserve">”</w:t>
      </w:r>
      <w:r>
        <w:rPr>
          <w:iCs/>
          <w:i/>
        </w:rPr>
        <w:t xml:space="preserve"> </w:t>
      </w:r>
      <w:r>
        <w:rPr>
          <w:iCs/>
          <w:i/>
        </w:rPr>
        <w:t xml:space="preserve">and continues on p. 204.)</w:t>
      </w:r>
    </w:p>
    <w:p>
      <w:pPr>
        <w:pStyle w:val="FirstParagraph"/>
      </w:pPr>
      <w:r>
        <w:rPr>
          <w:bCs/>
          <w:b/>
        </w:rPr>
        <w:t xml:space="preserve">Translation:</w:t>
      </w:r>
      <w:r>
        <w:t xml:space="preserve"> </w:t>
      </w:r>
      <w:r>
        <w:t xml:space="preserve">“Indra is indeed endowed with supreme lordship, and his supreme lordship consists in his abiding in the forms of Agni, Vāyu, Āditya and the stars.</w:t>
      </w:r>
      <w:r>
        <w:t xml:space="preserve"> </w:t>
      </w:r>
      <w:r>
        <w:t xml:space="preserve">‘</w:t>
      </w:r>
      <w:r>
        <w:t xml:space="preserve">Bradhnam</w:t>
      </w:r>
      <w:r>
        <w:t xml:space="preserve">’</w:t>
      </w:r>
      <w:r>
        <w:t xml:space="preserve"> </w:t>
      </w:r>
      <w:r>
        <w:t xml:space="preserve">— abiding as the Sun;</w:t>
      </w:r>
      <w:r>
        <w:t xml:space="preserve"> </w:t>
      </w:r>
      <w:r>
        <w:t xml:space="preserve">‘</w:t>
      </w:r>
      <w:r>
        <w:t xml:space="preserve">aruṣam</w:t>
      </w:r>
      <w:r>
        <w:t xml:space="preserve">’</w:t>
      </w:r>
      <w:r>
        <w:t xml:space="preserve"> </w:t>
      </w:r>
      <w:r>
        <w:t xml:space="preserve">— abiding as the harmless (non-destroying) Agni;</w:t>
      </w:r>
      <w:r>
        <w:t xml:space="preserve"> </w:t>
      </w:r>
      <w:r>
        <w:t xml:space="preserve">‘</w:t>
      </w:r>
      <w:r>
        <w:t xml:space="preserve">carantam</w:t>
      </w:r>
      <w:r>
        <w:t xml:space="preserve">’</w:t>
      </w:r>
      <w:r>
        <w:t xml:space="preserve"> </w:t>
      </w:r>
      <w:r>
        <w:t xml:space="preserve">— spreading in all directions as Vāyu — Indra:</w:t>
      </w:r>
      <w:r>
        <w:t xml:space="preserve"> </w:t>
      </w:r>
      <w:r>
        <w:t xml:space="preserve">‘</w:t>
      </w:r>
      <w:r>
        <w:t xml:space="preserve">pari tasthuṣaḥ</w:t>
      </w:r>
      <w:r>
        <w:t xml:space="preserve">’</w:t>
      </w:r>
      <w:r>
        <w:t xml:space="preserve"> </w:t>
      </w:r>
      <w:r>
        <w:t xml:space="preserve">— the beings of the three worlds, standing round about,</w:t>
      </w:r>
      <w:r>
        <w:t xml:space="preserve"> </w:t>
      </w:r>
      <w:r>
        <w:t xml:space="preserve">‘</w:t>
      </w:r>
      <w:r>
        <w:t xml:space="preserve">yuñjanti</w:t>
      </w:r>
      <w:r>
        <w:t xml:space="preserve">’</w:t>
      </w:r>
      <w:r>
        <w:t xml:space="preserve"> </w:t>
      </w:r>
      <w:r>
        <w:t xml:space="preserve">— yoke (join) him: they make him connected, as a deity, with their own work.</w:t>
      </w:r>
      <w:r>
        <w:t xml:space="preserve"> </w:t>
      </w:r>
      <w:r>
        <w:t xml:space="preserve">‘</w:t>
      </w:r>
      <w:r>
        <w:t xml:space="preserve">Rocanā</w:t>
      </w:r>
      <w:r>
        <w:t xml:space="preserve">’</w:t>
      </w:r>
      <w:r>
        <w:t xml:space="preserve"> </w:t>
      </w:r>
      <w:r>
        <w:t xml:space="preserve">— the stars, the shining bodies that are particular forms of that same Indra,</w:t>
      </w:r>
      <w:r>
        <w:t xml:space="preserve"> </w:t>
      </w:r>
      <w:r>
        <w:t xml:space="preserve">‘</w:t>
      </w:r>
      <w:r>
        <w:t xml:space="preserve">rocante</w:t>
      </w:r>
      <w:r>
        <w:t xml:space="preserve">’</w:t>
      </w:r>
      <w:r>
        <w:t xml:space="preserve"> </w:t>
      </w:r>
      <w:r>
        <w:t xml:space="preserve">— shine,</w:t>
      </w:r>
      <w:r>
        <w:t xml:space="preserve"> </w:t>
      </w:r>
      <w:r>
        <w:t xml:space="preserve">‘</w:t>
      </w:r>
      <w:r>
        <w:t xml:space="preserve">divi</w:t>
      </w:r>
      <w:r>
        <w:t xml:space="preserve">’</w:t>
      </w:r>
      <w:r>
        <w:t xml:space="preserve"> </w:t>
      </w:r>
      <w:r>
        <w:t xml:space="preserve">— in the heavenly world. That this mantra has the sense stated is explained in another Brāhmaṇa: ’</w:t>
      </w:r>
      <w:r>
        <w:rPr>
          <w:iCs/>
          <w:i/>
        </w:rPr>
        <w:t xml:space="preserve">“</w:t>
      </w:r>
      <w:r>
        <w:rPr>
          <w:iCs/>
          <w:i/>
        </w:rPr>
        <w:t xml:space="preserve">yuñjanti bradhnam,</w:t>
      </w:r>
      <w:r>
        <w:rPr>
          <w:iCs/>
          <w:i/>
        </w:rPr>
        <w:t xml:space="preserve">”</w:t>
      </w:r>
      <w:r>
        <w:rPr>
          <w:iCs/>
          <w:i/>
        </w:rPr>
        <w:t xml:space="preserve"> </w:t>
      </w:r>
      <w:r>
        <w:rPr>
          <w:iCs/>
          <w:i/>
        </w:rPr>
        <w:t xml:space="preserve">it says: yonder Sun is</w:t>
      </w:r>
      <w:r>
        <w:rPr>
          <w:iCs/>
          <w:i/>
        </w:rPr>
        <w:t xml:space="preserve"> </w:t>
      </w:r>
      <w:r>
        <w:rPr>
          <w:iCs/>
          <w:i/>
        </w:rPr>
        <w:t xml:space="preserve">“</w:t>
      </w:r>
      <w:r>
        <w:rPr>
          <w:iCs/>
          <w:i/>
        </w:rPr>
        <w:t xml:space="preserve">bradhna</w:t>
      </w:r>
      <w:r>
        <w:rPr>
          <w:iCs/>
          <w:i/>
        </w:rPr>
        <w:t xml:space="preserve">”</w:t>
      </w:r>
      <w:r>
        <w:rPr>
          <w:iCs/>
          <w:i/>
        </w:rPr>
        <w:t xml:space="preserve">; he yokes the Sun to him.</w:t>
      </w:r>
      <w:r>
        <w:rPr>
          <w:iCs/>
          <w:i/>
        </w:rPr>
        <w:t xml:space="preserve"> </w:t>
      </w:r>
      <w:r>
        <w:rPr>
          <w:iCs/>
          <w:i/>
        </w:rPr>
        <w:t xml:space="preserve">“</w:t>
      </w:r>
      <w:r>
        <w:rPr>
          <w:iCs/>
          <w:i/>
        </w:rPr>
        <w:t xml:space="preserve">Aruṣam,</w:t>
      </w:r>
      <w:r>
        <w:rPr>
          <w:iCs/>
          <w:i/>
        </w:rPr>
        <w:t xml:space="preserve">”</w:t>
      </w:r>
      <w:r>
        <w:rPr>
          <w:iCs/>
          <w:i/>
        </w:rPr>
        <w:t xml:space="preserve"> </w:t>
      </w:r>
      <w:r>
        <w:rPr>
          <w:iCs/>
          <w:i/>
        </w:rPr>
        <w:t xml:space="preserve">it says: Agni is</w:t>
      </w:r>
      <w:r>
        <w:rPr>
          <w:iCs/>
          <w:i/>
        </w:rPr>
        <w:t xml:space="preserve"> </w:t>
      </w:r>
      <w:r>
        <w:rPr>
          <w:iCs/>
          <w:i/>
        </w:rPr>
        <w:t xml:space="preserve">“</w:t>
      </w:r>
      <w:r>
        <w:rPr>
          <w:iCs/>
          <w:i/>
        </w:rPr>
        <w:t xml:space="preserve">aruṣa</w:t>
      </w:r>
      <w:r>
        <w:rPr>
          <w:iCs/>
          <w:i/>
        </w:rPr>
        <w:t xml:space="preserve">”</w:t>
      </w:r>
      <w:r>
        <w:rPr>
          <w:iCs/>
          <w:i/>
        </w:rPr>
        <w:t xml:space="preserve">; he yokes Agni to him.</w:t>
      </w:r>
      <w:r>
        <w:rPr>
          <w:iCs/>
          <w:i/>
        </w:rPr>
        <w:t xml:space="preserve"> </w:t>
      </w:r>
      <w:r>
        <w:rPr>
          <w:iCs/>
          <w:i/>
        </w:rPr>
        <w:t xml:space="preserve">“</w:t>
      </w:r>
      <w:r>
        <w:rPr>
          <w:iCs/>
          <w:i/>
        </w:rPr>
        <w:t xml:space="preserve">Carantam,</w:t>
      </w:r>
      <w:r>
        <w:rPr>
          <w:iCs/>
          <w:i/>
        </w:rPr>
        <w:t xml:space="preserve">”</w:t>
      </w:r>
      <w:r>
        <w:rPr>
          <w:iCs/>
          <w:i/>
        </w:rPr>
        <w:t xml:space="preserve"> </w:t>
      </w:r>
      <w:r>
        <w:rPr>
          <w:iCs/>
          <w:i/>
        </w:rPr>
        <w:t xml:space="preserve">it says: Vāyu is</w:t>
      </w:r>
      <w:r>
        <w:rPr>
          <w:iCs/>
          <w:i/>
        </w:rPr>
        <w:t xml:space="preserve"> </w:t>
      </w:r>
      <w:r>
        <w:rPr>
          <w:iCs/>
          <w:i/>
        </w:rPr>
        <w:t xml:space="preserve">“</w:t>
      </w:r>
      <w:r>
        <w:rPr>
          <w:iCs/>
          <w:i/>
        </w:rPr>
        <w:t xml:space="preserve">carat</w:t>
      </w:r>
      <w:r>
        <w:rPr>
          <w:iCs/>
          <w:i/>
        </w:rPr>
        <w:t xml:space="preserve">”</w:t>
      </w:r>
      <w:r>
        <w:rPr>
          <w:iCs/>
          <w:i/>
        </w:rPr>
        <w:t xml:space="preserve">; he yokes Vāyu to him.</w:t>
      </w:r>
      <w:r>
        <w:rPr>
          <w:iCs/>
          <w:i/>
        </w:rPr>
        <w:t xml:space="preserve"> </w:t>
      </w:r>
      <w:r>
        <w:rPr>
          <w:iCs/>
          <w:i/>
        </w:rPr>
        <w:t xml:space="preserve">“</w:t>
      </w:r>
      <w:r>
        <w:rPr>
          <w:iCs/>
          <w:i/>
        </w:rPr>
        <w:t xml:space="preserve">Pari tasthuṣaḥ,</w:t>
      </w:r>
      <w:r>
        <w:rPr>
          <w:iCs/>
          <w:i/>
        </w:rPr>
        <w:t xml:space="preserve">”</w:t>
      </w:r>
      <w:r>
        <w:rPr>
          <w:iCs/>
          <w:i/>
        </w:rPr>
        <w:t xml:space="preserve"> </w:t>
      </w:r>
      <w:r>
        <w:rPr>
          <w:iCs/>
          <w:i/>
        </w:rPr>
        <w:t xml:space="preserve">it says: these worlds are</w:t>
      </w:r>
      <w:r>
        <w:rPr>
          <w:iCs/>
          <w:i/>
        </w:rPr>
        <w:t xml:space="preserve"> </w:t>
      </w:r>
      <w:r>
        <w:rPr>
          <w:iCs/>
          <w:i/>
        </w:rPr>
        <w:t xml:space="preserve">“</w:t>
      </w:r>
      <w:r>
        <w:rPr>
          <w:iCs/>
          <w:i/>
        </w:rPr>
        <w:t xml:space="preserve">pari tasthuṣaḥ</w:t>
      </w:r>
      <w:r>
        <w:rPr>
          <w:iCs/>
          <w:i/>
        </w:rPr>
        <w:t xml:space="preserve">”</w:t>
      </w:r>
      <w:r>
        <w:rPr>
          <w:iCs/>
          <w:i/>
        </w:rPr>
        <w:t xml:space="preserve">; he yokes these worlds to him.</w:t>
      </w:r>
      <w:r>
        <w:rPr>
          <w:iCs/>
          <w:i/>
        </w:rPr>
        <w:t xml:space="preserve"> </w:t>
      </w:r>
      <w:r>
        <w:rPr>
          <w:iCs/>
          <w:i/>
        </w:rPr>
        <w:t xml:space="preserve">“</w:t>
      </w:r>
      <w:r>
        <w:rPr>
          <w:iCs/>
          <w:i/>
        </w:rPr>
        <w:t xml:space="preserve">Rocante rocanā divi,</w:t>
      </w:r>
      <w:r>
        <w:rPr>
          <w:iCs/>
          <w:i/>
        </w:rPr>
        <w:t xml:space="preserve">”</w:t>
      </w:r>
      <w:r>
        <w:rPr>
          <w:iCs/>
          <w:i/>
        </w:rPr>
        <w:t xml:space="preserve"> </w:t>
      </w:r>
      <w:r>
        <w:rPr>
          <w:iCs/>
          <w:i/>
        </w:rPr>
        <w:t xml:space="preserve">it says: …’”</w:t>
      </w:r>
      <w:r>
        <w:rPr>
          <w:iCs/>
          <w:i/>
        </w:rPr>
        <w:t xml:space="preserve"> </w:t>
      </w:r>
      <w:r>
        <w:t xml:space="preserve">(continues on the next page)*.</w:t>
      </w:r>
    </w:p>
    <w:bookmarkEnd w:id="240"/>
    <w:bookmarkStart w:id="241" w:name="X92474e9c109f0745a114f6a20aa23e5e993de28"/>
    <w:p>
      <w:pPr>
        <w:pStyle w:val="Heading3"/>
      </w:pPr>
      <w:r>
        <w:t xml:space="preserve">Page 204 — Rik 6.1: Bhāṣya concluded; grammar (characterized); Pada-meanings; Bhāvārtha; English rendering</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6.</w:t>
      </w:r>
      <w:r>
        <w:rPr>
          <w:iCs/>
          <w:i/>
        </w:rPr>
        <w:t xml:space="preserve">”</w:t>
      </w:r>
      <w:r>
        <w:rPr>
          <w:iCs/>
          <w:i/>
        </w:rPr>
        <w:t xml:space="preserve"> </w:t>
      </w:r>
      <w:r>
        <w:rPr>
          <w:iCs/>
          <w:i/>
        </w:rPr>
        <w:t xml:space="preserve">Sanskrit printed in Kannada script; read from an enlarged slice. References re-read from the better scan. English as printed.)</w:t>
      </w:r>
    </w:p>
    <w:p>
      <w:pPr>
        <w:pStyle w:val="BodyText"/>
      </w:pPr>
      <w:r>
        <w:rPr>
          <w:bCs/>
          <w:b/>
        </w:rPr>
        <w:t xml:space="preserve">॥ Sāyaṇa-bhāṣyam ॥</w:t>
      </w:r>
      <w:r>
        <w:t xml:space="preserve"> </w:t>
      </w:r>
      <w:r>
        <w:rPr>
          <w:iCs/>
          <w:i/>
        </w:rPr>
        <w:t xml:space="preserve">(concluding p. 203’s Brāhmaṇa quotation)</w:t>
      </w:r>
    </w:p>
    <w:p>
      <w:pPr>
        <w:pStyle w:val="BlockText"/>
      </w:pPr>
      <w:r>
        <w:t xml:space="preserve">नक्षत्राणि वै रोचना दिवि । नक्षत्राण्येवास्मै रोचयति । (तै. ब्रा. ३-९-४-१) इति । पञ्चविंशतिसंख्याकेषु महन्नामसु महो ब्रध्न इति पठितम् । आदित्यस्यापि महत्त्वादेव ब्रध्नत्वम् ॥</w:t>
      </w:r>
      <w:r>
        <w:t xml:space="preserve"> </w:t>
      </w:r>
      <w:r>
        <w:rPr>
          <w:iCs/>
          <w:i/>
        </w:rPr>
        <w:t xml:space="preserve">nakṣatrāṇi vai rocanā divi | nakṣatrāṇy evāsmai rocayati | (tai. brā. 3-9-4-1) iti | pañcaviṃśati-saṃkhyākeṣu mahan-nāmasu maho bradhna iti paṭhitam | ādityasyāpi mahattvād eva bradhnatvam ||</w:t>
      </w:r>
    </w:p>
    <w:p>
      <w:pPr>
        <w:pStyle w:val="FirstParagraph"/>
      </w:pPr>
      <w:r>
        <w:rPr>
          <w:bCs/>
          <w:b/>
        </w:rPr>
        <w:t xml:space="preserve">Translation:</w:t>
      </w:r>
      <w:r>
        <w:t xml:space="preserve"> </w:t>
      </w:r>
      <w:r>
        <w:t xml:space="preserve">“</w:t>
      </w:r>
      <w:r>
        <w:t xml:space="preserve">‘</w:t>
      </w:r>
      <w:r>
        <w:rPr>
          <w:iCs/>
          <w:i/>
        </w:rPr>
        <w:t xml:space="preserve">The stars indeed are</w:t>
      </w:r>
      <w:r>
        <w:rPr>
          <w:iCs/>
          <w:i/>
        </w:rPr>
        <w:t xml:space="preserve"> </w:t>
      </w:r>
      <w:r>
        <w:rPr>
          <w:iCs/>
          <w:i/>
        </w:rPr>
        <w:t xml:space="preserve">“</w:t>
      </w:r>
      <w:r>
        <w:rPr>
          <w:iCs/>
          <w:i/>
        </w:rPr>
        <w:t xml:space="preserve">rocanā</w:t>
      </w:r>
      <w:r>
        <w:rPr>
          <w:iCs/>
          <w:i/>
        </w:rPr>
        <w:t xml:space="preserve">”</w:t>
      </w:r>
      <w:r>
        <w:rPr>
          <w:iCs/>
          <w:i/>
        </w:rPr>
        <w:t xml:space="preserve"> </w:t>
      </w:r>
      <w:r>
        <w:rPr>
          <w:iCs/>
          <w:i/>
        </w:rPr>
        <w:t xml:space="preserve">in the sky; he makes the stars shine for him.</w:t>
      </w:r>
      <w:r>
        <w:t xml:space="preserve">’</w:t>
      </w:r>
      <w:r>
        <w:t xml:space="preserve"> </w:t>
      </w:r>
      <w:r>
        <w:t xml:space="preserve">(Taittirīya-brāhmaṇa 3-9-4-1). Among the twenty-five names of</w:t>
      </w:r>
      <w:r>
        <w:t xml:space="preserve"> </w:t>
      </w:r>
      <w:r>
        <w:t xml:space="preserve">‘</w:t>
      </w:r>
      <w:r>
        <w:t xml:space="preserve">the great,</w:t>
      </w:r>
      <w:r>
        <w:t xml:space="preserve">’</w:t>
      </w:r>
      <w:r>
        <w:t xml:space="preserve"> </w:t>
      </w:r>
      <w:r>
        <w:t xml:space="preserve">‘</w:t>
      </w:r>
      <w:r>
        <w:t xml:space="preserve">mahaḥ</w:t>
      </w:r>
      <w:r>
        <w:t xml:space="preserve">’</w:t>
      </w:r>
      <w:r>
        <w:t xml:space="preserve"> </w:t>
      </w:r>
      <w:r>
        <w:t xml:space="preserve">and</w:t>
      </w:r>
      <w:r>
        <w:t xml:space="preserve"> </w:t>
      </w:r>
      <w:r>
        <w:t xml:space="preserve">‘</w:t>
      </w:r>
      <w:r>
        <w:t xml:space="preserve">bradhnaḥ</w:t>
      </w:r>
      <w:r>
        <w:t xml:space="preserve">’</w:t>
      </w:r>
      <w:r>
        <w:t xml:space="preserve"> </w:t>
      </w:r>
      <w:r>
        <w:t xml:space="preserve">are read; the Sun, too, is</w:t>
      </w:r>
      <w:r>
        <w:t xml:space="preserve"> </w:t>
      </w:r>
      <w:r>
        <w:t xml:space="preserve">‘</w:t>
      </w:r>
      <w:r>
        <w:t xml:space="preserve">bradhna</w:t>
      </w:r>
      <w:r>
        <w:t xml:space="preserve">’</w:t>
      </w:r>
      <w:r>
        <w:t xml:space="preserve"> </w:t>
      </w:r>
      <w:r>
        <w:t xml:space="preserve">for the very reason that he is great.</w:t>
      </w:r>
      <w:r>
        <w:t xml:space="preserve">”</w:t>
      </w:r>
    </w:p>
    <w:p>
      <w:pPr>
        <w:pStyle w:val="BodyText"/>
      </w:pPr>
      <w:r>
        <w:rPr>
          <w:bCs/>
          <w:b/>
        </w:rPr>
        <w:t xml:space="preserve">Grammar within the Bhāṣya (characterized, sūtras kept; read from the slice):</w:t>
      </w:r>
      <w:r>
        <w:t xml:space="preserve"> </w:t>
      </w:r>
      <w:r>
        <w:t xml:space="preserve">“</w:t>
      </w:r>
      <w:r>
        <w:t xml:space="preserve">Yuñjanti</w:t>
      </w:r>
      <w:r>
        <w:t xml:space="preserve">”</w:t>
      </w:r>
      <w:r>
        <w:t xml:space="preserve"> </w:t>
      </w:r>
      <w:r>
        <w:t xml:space="preserve">— the end-acute follows the affix’s accent.</w:t>
      </w:r>
      <w:r>
        <w:t xml:space="preserve"> </w:t>
      </w:r>
      <w:r>
        <w:t xml:space="preserve">“</w:t>
      </w:r>
      <w:r>
        <w:t xml:space="preserve">Bradhnam</w:t>
      </w:r>
      <w:r>
        <w:t xml:space="preserve">”</w:t>
      </w:r>
      <w:r>
        <w:t xml:space="preserve"> </w:t>
      </w:r>
      <w:r>
        <w:t xml:space="preserve">— a stem (prātipadika) end-acute.</w:t>
      </w:r>
      <w:r>
        <w:t xml:space="preserve"> </w:t>
      </w:r>
      <w:r>
        <w:t xml:space="preserve">“</w:t>
      </w:r>
      <w:r>
        <w:t xml:space="preserve">Aruṣam</w:t>
      </w:r>
      <w:r>
        <w:t xml:space="preserve">”</w:t>
      </w:r>
      <w:r>
        <w:t xml:space="preserve"> </w:t>
      </w:r>
      <w:r>
        <w:t xml:space="preserve">— from</w:t>
      </w:r>
      <w:r>
        <w:t xml:space="preserve"> </w:t>
      </w:r>
      <w:r>
        <w:t xml:space="preserve">“</w:t>
      </w:r>
      <w:r>
        <w:t xml:space="preserve">ṛṣ/ruṣa/riṣa</w:t>
      </w:r>
      <w:r>
        <w:t xml:space="preserve">”</w:t>
      </w:r>
      <w:r>
        <w:t xml:space="preserve"> </w:t>
      </w:r>
      <w:r>
        <w:t xml:space="preserve">(roots in the sense of injuring;</w:t>
      </w:r>
      <w:r>
        <w:t xml:space="preserve"> </w:t>
      </w:r>
      <w:r>
        <w:t xml:space="preserve">“</w:t>
      </w:r>
      <w:r>
        <w:t xml:space="preserve">ruṣā</w:t>
      </w:r>
      <w:r>
        <w:t xml:space="preserve">”</w:t>
      </w:r>
      <w:r>
        <w:t xml:space="preserve"> </w:t>
      </w:r>
      <w:r>
        <w:t xml:space="preserve">= the injurers);</w:t>
      </w:r>
      <w:r>
        <w:t xml:space="preserve"> </w:t>
      </w:r>
      <w:r>
        <w:rPr>
          <w:bCs/>
          <w:b/>
        </w:rPr>
        <w:t xml:space="preserve">इगुपधज्ञाप्रीकिरः कः</w:t>
      </w:r>
      <w:r>
        <w:t xml:space="preserve"> </w:t>
      </w:r>
      <w:r>
        <w:t xml:space="preserve">(पा. ३-१-१३५) the affix</w:t>
      </w:r>
      <w:r>
        <w:t xml:space="preserve"> </w:t>
      </w:r>
      <w:r>
        <w:t xml:space="preserve">“</w:t>
      </w:r>
      <w:r>
        <w:t xml:space="preserve">ka</w:t>
      </w:r>
      <w:r>
        <w:t xml:space="preserve">”</w:t>
      </w:r>
      <w:r>
        <w:t xml:space="preserve">; the affix’s accent acute;</w:t>
      </w:r>
      <w:r>
        <w:t xml:space="preserve"> </w:t>
      </w:r>
      <w:r>
        <w:t xml:space="preserve">“</w:t>
      </w:r>
      <w:r>
        <w:t xml:space="preserve">na santi ruṣā yasya</w:t>
      </w:r>
      <w:r>
        <w:t xml:space="preserve">”</w:t>
      </w:r>
      <w:r>
        <w:t xml:space="preserve"> </w:t>
      </w:r>
      <w:r>
        <w:t xml:space="preserve">— a bahuvrīhi after</w:t>
      </w:r>
      <w:r>
        <w:t xml:space="preserve"> </w:t>
      </w:r>
      <w:r>
        <w:t xml:space="preserve">“</w:t>
      </w:r>
      <w:r>
        <w:t xml:space="preserve">nañ</w:t>
      </w:r>
      <w:r>
        <w:t xml:space="preserve">”</w:t>
      </w:r>
      <w:r>
        <w:t xml:space="preserve">; by</w:t>
      </w:r>
      <w:r>
        <w:t xml:space="preserve"> </w:t>
      </w:r>
      <w:r>
        <w:rPr>
          <w:bCs/>
          <w:b/>
        </w:rPr>
        <w:t xml:space="preserve">नञ्सुभ्याम्</w:t>
      </w:r>
      <w:r>
        <w:t xml:space="preserve"> </w:t>
      </w:r>
      <w:r>
        <w:t xml:space="preserve">(पा. ६-२-१७२) the second member is end-acute;</w:t>
      </w:r>
      <w:r>
        <w:t xml:space="preserve"> </w:t>
      </w:r>
      <w:r>
        <w:rPr>
          <w:bCs/>
          <w:b/>
        </w:rPr>
        <w:t xml:space="preserve">अमि पूर्वः</w:t>
      </w:r>
      <w:r>
        <w:t xml:space="preserve"> </w:t>
      </w:r>
      <w:r>
        <w:t xml:space="preserve">(पा. ६-१-१०७) the pūrvarūpa, then</w:t>
      </w:r>
      <w:r>
        <w:t xml:space="preserve"> </w:t>
      </w:r>
      <w:r>
        <w:rPr>
          <w:bCs/>
          <w:b/>
        </w:rPr>
        <w:t xml:space="preserve">एकादेश उदात्तेनोदात्तः</w:t>
      </w:r>
      <w:r>
        <w:t xml:space="preserve"> </w:t>
      </w:r>
      <w:r>
        <w:t xml:space="preserve">(पा. ८-२-५).</w:t>
      </w:r>
      <w:r>
        <w:t xml:space="preserve"> </w:t>
      </w:r>
      <w:r>
        <w:t xml:space="preserve">“</w:t>
      </w:r>
      <w:r>
        <w:t xml:space="preserve">Carantam</w:t>
      </w:r>
      <w:r>
        <w:t xml:space="preserve">”</w:t>
      </w:r>
      <w:r>
        <w:t xml:space="preserve"> </w:t>
      </w:r>
      <w:r>
        <w:t xml:space="preserve">—</w:t>
      </w:r>
      <w:r>
        <w:t xml:space="preserve"> </w:t>
      </w:r>
      <w:r>
        <w:t xml:space="preserve">“</w:t>
      </w:r>
      <w:r>
        <w:t xml:space="preserve">śap</w:t>
      </w:r>
      <w:r>
        <w:t xml:space="preserve">”</w:t>
      </w:r>
      <w:r>
        <w:t xml:space="preserve"> </w:t>
      </w:r>
      <w:r>
        <w:t xml:space="preserve">is</w:t>
      </w:r>
      <w:r>
        <w:t xml:space="preserve"> </w:t>
      </w:r>
      <w:r>
        <w:t xml:space="preserve">“</w:t>
      </w:r>
      <w:r>
        <w:t xml:space="preserve">p</w:t>
      </w:r>
      <w:r>
        <w:t xml:space="preserve">”</w:t>
      </w:r>
      <w:r>
        <w:t xml:space="preserve">-marked, hence unaccented; and the</w:t>
      </w:r>
      <w:r>
        <w:t xml:space="preserve"> </w:t>
      </w:r>
      <w:r>
        <w:t xml:space="preserve">“</w:t>
      </w:r>
      <w:r>
        <w:t xml:space="preserve">śatṛ</w:t>
      </w:r>
      <w:r>
        <w:t xml:space="preserve">”</w:t>
      </w:r>
      <w:r>
        <w:t xml:space="preserve"> </w:t>
      </w:r>
      <w:r>
        <w:t xml:space="preserve">being a</w:t>
      </w:r>
      <w:r>
        <w:t xml:space="preserve"> </w:t>
      </w:r>
      <w:r>
        <w:t xml:space="preserve">“</w:t>
      </w:r>
      <w:r>
        <w:t xml:space="preserve">lasārvadhātuka,</w:t>
      </w:r>
      <w:r>
        <w:t xml:space="preserve">”</w:t>
      </w:r>
      <w:r>
        <w:t xml:space="preserve"> </w:t>
      </w:r>
      <w:r>
        <w:t xml:space="preserve">its own accent is lost, leaving the root’s accent.</w:t>
      </w:r>
      <w:r>
        <w:t xml:space="preserve"> </w:t>
      </w:r>
      <w:r>
        <w:t xml:space="preserve">“</w:t>
      </w:r>
      <w:r>
        <w:t xml:space="preserve">Tasthuṣaḥ</w:t>
      </w:r>
      <w:r>
        <w:t xml:space="preserve">”</w:t>
      </w:r>
      <w:r>
        <w:t xml:space="preserve"> </w:t>
      </w:r>
      <w:r>
        <w:t xml:space="preserve">— after</w:t>
      </w:r>
      <w:r>
        <w:t xml:space="preserve"> </w:t>
      </w:r>
      <w:r>
        <w:t xml:space="preserve">“</w:t>
      </w:r>
      <w:r>
        <w:t xml:space="preserve">tiṣṭhati,</w:t>
      </w:r>
      <w:r>
        <w:t xml:space="preserve">”</w:t>
      </w:r>
      <w:r>
        <w:t xml:space="preserve"> </w:t>
      </w:r>
      <w:r>
        <w:t xml:space="preserve">“</w:t>
      </w:r>
      <w:r>
        <w:t xml:space="preserve">kvasu</w:t>
      </w:r>
      <w:r>
        <w:t xml:space="preserve">”</w:t>
      </w:r>
      <w:r>
        <w:t xml:space="preserve"> </w:t>
      </w:r>
      <w:r>
        <w:t xml:space="preserve">for</w:t>
      </w:r>
      <w:r>
        <w:t xml:space="preserve"> </w:t>
      </w:r>
      <w:r>
        <w:t xml:space="preserve">“</w:t>
      </w:r>
      <w:r>
        <w:t xml:space="preserve">liṭ</w:t>
      </w:r>
      <w:r>
        <w:t xml:space="preserve">”</w:t>
      </w:r>
      <w:r>
        <w:t xml:space="preserve"> </w:t>
      </w:r>
      <w:r>
        <w:t xml:space="preserve">(पा. ३-२-१०७);</w:t>
      </w:r>
      <w:r>
        <w:t xml:space="preserve"> </w:t>
      </w:r>
      <w:r>
        <w:t xml:space="preserve">“</w:t>
      </w:r>
      <w:r>
        <w:t xml:space="preserve">iṭ</w:t>
      </w:r>
      <w:r>
        <w:t xml:space="preserve">”</w:t>
      </w:r>
      <w:r>
        <w:t xml:space="preserve"> </w:t>
      </w:r>
      <w:r>
        <w:t xml:space="preserve">by</w:t>
      </w:r>
      <w:r>
        <w:t xml:space="preserve"> </w:t>
      </w:r>
      <w:r>
        <w:rPr>
          <w:bCs/>
          <w:b/>
        </w:rPr>
        <w:t xml:space="preserve">वस्वेकाजाद्घसाम्</w:t>
      </w:r>
      <w:r>
        <w:t xml:space="preserve"> </w:t>
      </w:r>
      <w:r>
        <w:t xml:space="preserve">(पा. ७-२-६७) would be internal (antaraṅga), but is set aside by the maxim</w:t>
      </w:r>
      <w:r>
        <w:t xml:space="preserve"> </w:t>
      </w:r>
      <w:r>
        <w:rPr>
          <w:bCs/>
          <w:b/>
        </w:rPr>
        <w:t xml:space="preserve">संप्रसारणं संप्रसारणाश्रयं च बलीयः</w:t>
      </w:r>
      <w:r>
        <w:t xml:space="preserve"> </w:t>
      </w:r>
      <w:r>
        <w:t xml:space="preserve">(म. ६-१-१७-२; confirmed on p. 213): before</w:t>
      </w:r>
      <w:r>
        <w:t xml:space="preserve"> </w:t>
      </w:r>
      <w:r>
        <w:t xml:space="preserve">“</w:t>
      </w:r>
      <w:r>
        <w:t xml:space="preserve">śas,</w:t>
      </w:r>
      <w:r>
        <w:t xml:space="preserve">”</w:t>
      </w:r>
      <w:r>
        <w:t xml:space="preserve"> </w:t>
      </w:r>
      <w:r>
        <w:t xml:space="preserve">as the stem is</w:t>
      </w:r>
      <w:r>
        <w:t xml:space="preserve"> </w:t>
      </w:r>
      <w:r>
        <w:t xml:space="preserve">“</w:t>
      </w:r>
      <w:r>
        <w:t xml:space="preserve">bha</w:t>
      </w:r>
      <w:r>
        <w:t xml:space="preserve">”</w:t>
      </w:r>
      <w:r>
        <w:t xml:space="preserve"> </w:t>
      </w:r>
      <w:r>
        <w:t xml:space="preserve">(</w:t>
      </w:r>
      <w:r>
        <w:rPr>
          <w:bCs/>
          <w:b/>
        </w:rPr>
        <w:t xml:space="preserve">यचि भम्</w:t>
      </w:r>
      <w:r>
        <w:t xml:space="preserve">, पा. १-४-१८),</w:t>
      </w:r>
      <w:r>
        <w:t xml:space="preserve"> </w:t>
      </w:r>
      <w:r>
        <w:rPr>
          <w:bCs/>
          <w:b/>
        </w:rPr>
        <w:t xml:space="preserve">वसोः संप्रसारणम्</w:t>
      </w:r>
      <w:r>
        <w:t xml:space="preserve"> </w:t>
      </w:r>
      <w:r>
        <w:t xml:space="preserve">(पा. ६-४-१३१) and pūrvarūpa;</w:t>
      </w:r>
      <w:r>
        <w:t xml:space="preserve"> </w:t>
      </w:r>
      <w:r>
        <w:rPr>
          <w:bCs/>
          <w:b/>
        </w:rPr>
        <w:t xml:space="preserve">शासिवसिघसीनां च</w:t>
      </w:r>
      <w:r>
        <w:t xml:space="preserve"> </w:t>
      </w:r>
      <w:r>
        <w:t xml:space="preserve">(पा. ८-३-६०)</w:t>
      </w:r>
      <w:r>
        <w:t xml:space="preserve"> </w:t>
      </w:r>
      <w:r>
        <w:t xml:space="preserve">“</w:t>
      </w:r>
      <w:r>
        <w:t xml:space="preserve">ṣ</w:t>
      </w:r>
      <w:r>
        <w:t xml:space="preserve">”</w:t>
      </w:r>
      <w:r>
        <w:t xml:space="preserve"> </w:t>
      </w:r>
      <w:r>
        <w:t xml:space="preserve">for</w:t>
      </w:r>
      <w:r>
        <w:t xml:space="preserve"> </w:t>
      </w:r>
      <w:r>
        <w:t xml:space="preserve">“</w:t>
      </w:r>
      <w:r>
        <w:t xml:space="preserve">s</w:t>
      </w:r>
      <w:r>
        <w:t xml:space="preserve">”</w:t>
      </w:r>
      <w:r>
        <w:t xml:space="preserve">; end-acute by the affix accent.</w:t>
      </w:r>
      <w:r>
        <w:t xml:space="preserve"> </w:t>
      </w:r>
      <w:r>
        <w:t xml:space="preserve">“</w:t>
      </w:r>
      <w:r>
        <w:t xml:space="preserve">Rocante</w:t>
      </w:r>
      <w:r>
        <w:t xml:space="preserve">”</w:t>
      </w:r>
      <w:r>
        <w:t xml:space="preserve"> </w:t>
      </w:r>
      <w:r>
        <w:t xml:space="preserve">— the</w:t>
      </w:r>
      <w:r>
        <w:t xml:space="preserve"> </w:t>
      </w:r>
      <w:r>
        <w:t xml:space="preserve">“</w:t>
      </w:r>
      <w:r>
        <w:t xml:space="preserve">tiṅ</w:t>
      </w:r>
      <w:r>
        <w:t xml:space="preserve">”</w:t>
      </w:r>
      <w:r>
        <w:t xml:space="preserve"> </w:t>
      </w:r>
      <w:r>
        <w:t xml:space="preserve">and</w:t>
      </w:r>
      <w:r>
        <w:t xml:space="preserve"> </w:t>
      </w:r>
      <w:r>
        <w:t xml:space="preserve">“</w:t>
      </w:r>
      <w:r>
        <w:t xml:space="preserve">lasārvadhātuka</w:t>
      </w:r>
      <w:r>
        <w:t xml:space="preserve">”</w:t>
      </w:r>
      <w:r>
        <w:t xml:space="preserve"> </w:t>
      </w:r>
      <w:r>
        <w:t xml:space="preserve">unaccented;</w:t>
      </w:r>
      <w:r>
        <w:t xml:space="preserve"> </w:t>
      </w:r>
      <w:r>
        <w:rPr>
          <w:bCs/>
          <w:b/>
        </w:rPr>
        <w:t xml:space="preserve">शपः पित्त्वादनुदात्तत्वम्</w:t>
      </w:r>
      <w:r>
        <w:t xml:space="preserve">; the root’s accent alone remains.</w:t>
      </w:r>
      <w:r>
        <w:t xml:space="preserve"> </w:t>
      </w:r>
      <w:r>
        <w:t xml:space="preserve">“</w:t>
      </w:r>
      <w:r>
        <w:t xml:space="preserve">Rocanā</w:t>
      </w:r>
      <w:r>
        <w:t xml:space="preserve">”</w:t>
      </w:r>
      <w:r>
        <w:t xml:space="preserve"> </w:t>
      </w:r>
      <w:r>
        <w:t xml:space="preserve">—</w:t>
      </w:r>
      <w:r>
        <w:t xml:space="preserve"> </w:t>
      </w:r>
      <w:r>
        <w:rPr>
          <w:bCs/>
          <w:b/>
        </w:rPr>
        <w:t xml:space="preserve">अनुदात्तेतश्च हलादेः</w:t>
      </w:r>
      <w:r>
        <w:t xml:space="preserve"> </w:t>
      </w:r>
      <w:r>
        <w:t xml:space="preserve">(पा. ३-२-१४९) the affix</w:t>
      </w:r>
      <w:r>
        <w:t xml:space="preserve"> </w:t>
      </w:r>
      <w:r>
        <w:t xml:space="preserve">“</w:t>
      </w:r>
      <w:r>
        <w:t xml:space="preserve">yuc</w:t>
      </w:r>
      <w:r>
        <w:t xml:space="preserve">”</w:t>
      </w:r>
      <w:r>
        <w:t xml:space="preserve">;</w:t>
      </w:r>
      <w:r>
        <w:t xml:space="preserve"> </w:t>
      </w:r>
      <w:r>
        <w:rPr>
          <w:bCs/>
          <w:b/>
        </w:rPr>
        <w:t xml:space="preserve">युवोरनाकौ</w:t>
      </w:r>
      <w:r>
        <w:t xml:space="preserve"> </w:t>
      </w:r>
      <w:r>
        <w:t xml:space="preserve">(पा. ७-१-१) puts</w:t>
      </w:r>
      <w:r>
        <w:t xml:space="preserve"> </w:t>
      </w:r>
      <w:r>
        <w:t xml:space="preserve">“</w:t>
      </w:r>
      <w:r>
        <w:t xml:space="preserve">ana</w:t>
      </w:r>
      <w:r>
        <w:t xml:space="preserve">”</w:t>
      </w:r>
      <w:r>
        <w:t xml:space="preserve"> </w:t>
      </w:r>
      <w:r>
        <w:t xml:space="preserve">for</w:t>
      </w:r>
      <w:r>
        <w:t xml:space="preserve"> </w:t>
      </w:r>
      <w:r>
        <w:t xml:space="preserve">“</w:t>
      </w:r>
      <w:r>
        <w:t xml:space="preserve">yu</w:t>
      </w:r>
      <w:r>
        <w:t xml:space="preserve">”</w:t>
      </w:r>
      <w:r>
        <w:t xml:space="preserve">; end-acute by</w:t>
      </w:r>
      <w:r>
        <w:t xml:space="preserve"> </w:t>
      </w:r>
      <w:r>
        <w:t xml:space="preserve">“</w:t>
      </w:r>
      <w:r>
        <w:t xml:space="preserve">c</w:t>
      </w:r>
      <w:r>
        <w:t xml:space="preserve">”</w:t>
      </w:r>
      <w:r>
        <w:t xml:space="preserve"> </w:t>
      </w:r>
      <w:r>
        <w:t xml:space="preserve">(</w:t>
      </w:r>
      <w:r>
        <w:rPr>
          <w:bCs/>
          <w:b/>
        </w:rPr>
        <w:t xml:space="preserve">चितः</w:t>
      </w:r>
      <w:r>
        <w:t xml:space="preserve">).</w:t>
      </w:r>
      <w:r>
        <w:t xml:space="preserve"> </w:t>
      </w:r>
      <w:r>
        <w:t xml:space="preserve">“</w:t>
      </w:r>
      <w:r>
        <w:t xml:space="preserve">Divi</w:t>
      </w:r>
      <w:r>
        <w:t xml:space="preserve">”</w:t>
      </w:r>
      <w:r>
        <w:t xml:space="preserve"> </w:t>
      </w:r>
      <w:r>
        <w:t xml:space="preserve">— the case-ending is acute after</w:t>
      </w:r>
      <w:r>
        <w:t xml:space="preserve"> </w:t>
      </w:r>
      <w:r>
        <w:t xml:space="preserve">“</w:t>
      </w:r>
      <w:r>
        <w:t xml:space="preserve">ūḍh-idam…</w:t>
      </w:r>
      <w:r>
        <w:t xml:space="preserve">”</w:t>
      </w:r>
      <w:r>
        <w:t xml:space="preserve"> </w:t>
      </w:r>
      <w:r>
        <w:t xml:space="preserve">(</w:t>
      </w:r>
      <w:r>
        <w:rPr>
          <w:bCs/>
          <w:b/>
        </w:rPr>
        <w:t xml:space="preserve">ऊडिदम्पदाद्यप्पुम्रैद्युभ्यः</w:t>
      </w:r>
      <w:r>
        <w:t xml:space="preserve">, पा. ६-१-१७१).</w:t>
      </w:r>
    </w:p>
    <w:p>
      <w:pPr>
        <w:pStyle w:val="BodyText"/>
      </w:pPr>
      <w:r>
        <w:rPr>
          <w:bCs/>
          <w:b/>
        </w:rPr>
        <w:t xml:space="preserve">॥ Prati-padārthaḥ ॥</w:t>
      </w:r>
      <w:r>
        <w:t xml:space="preserve"> </w:t>
      </w:r>
      <w:r>
        <w:rPr>
          <w:iCs/>
          <w:i/>
        </w:rPr>
        <w:t xml:space="preserve">(Kannada, translated)</w:t>
      </w:r>
    </w:p>
    <w:p>
      <w:pPr>
        <w:pStyle w:val="BodyText"/>
      </w:pPr>
      <w:r>
        <w:rPr>
          <w:bCs/>
          <w:b/>
        </w:rPr>
        <w:t xml:space="preserve">परि (pari)</w:t>
      </w:r>
      <w:r>
        <w:t xml:space="preserve"> </w:t>
      </w:r>
      <w:r>
        <w:t xml:space="preserve">— all around, in every direction |</w:t>
      </w:r>
      <w:r>
        <w:t xml:space="preserve"> </w:t>
      </w:r>
      <w:r>
        <w:rPr>
          <w:bCs/>
          <w:b/>
        </w:rPr>
        <w:t xml:space="preserve">तस्थुषः (tasthuṣaḥ)</w:t>
      </w:r>
      <w:r>
        <w:t xml:space="preserve"> </w:t>
      </w:r>
      <w:r>
        <w:t xml:space="preserve">— (in the three worlds) beings who stand |</w:t>
      </w:r>
      <w:r>
        <w:t xml:space="preserve"> </w:t>
      </w:r>
      <w:r>
        <w:rPr>
          <w:bCs/>
          <w:b/>
        </w:rPr>
        <w:t xml:space="preserve">ब्रध्नम् (bradhnam)</w:t>
      </w:r>
      <w:r>
        <w:t xml:space="preserve"> </w:t>
      </w:r>
      <w:r>
        <w:t xml:space="preserve">— (one who has) the form of the Sun |</w:t>
      </w:r>
      <w:r>
        <w:t xml:space="preserve"> </w:t>
      </w:r>
      <w:r>
        <w:rPr>
          <w:bCs/>
          <w:b/>
        </w:rPr>
        <w:t xml:space="preserve">अरुषम् (aruṣam)</w:t>
      </w:r>
      <w:r>
        <w:t xml:space="preserve"> </w:t>
      </w:r>
      <w:r>
        <w:t xml:space="preserve">— (one who has) the form of Agni, who does not injure |</w:t>
      </w:r>
      <w:r>
        <w:t xml:space="preserve"> </w:t>
      </w:r>
      <w:r>
        <w:rPr>
          <w:bCs/>
          <w:b/>
        </w:rPr>
        <w:t xml:space="preserve">चरन्तम् (carantam)</w:t>
      </w:r>
      <w:r>
        <w:t xml:space="preserve"> </w:t>
      </w:r>
      <w:r>
        <w:t xml:space="preserve">— (Indra) who moves everywhere in the form of Vāyu |</w:t>
      </w:r>
      <w:r>
        <w:t xml:space="preserve"> </w:t>
      </w:r>
      <w:r>
        <w:rPr>
          <w:bCs/>
          <w:b/>
        </w:rPr>
        <w:t xml:space="preserve">युञ्जन्ति (yuñjanti)</w:t>
      </w:r>
      <w:r>
        <w:t xml:space="preserve"> </w:t>
      </w:r>
      <w:r>
        <w:t xml:space="preserve">— they connect (to their own works, like a chief deity — that is, they join him in their own actions) |</w:t>
      </w:r>
      <w:r>
        <w:t xml:space="preserve"> </w:t>
      </w:r>
      <w:r>
        <w:rPr>
          <w:bCs/>
          <w:b/>
        </w:rPr>
        <w:t xml:space="preserve">रोचना (rocanā)</w:t>
      </w:r>
      <w:r>
        <w:t xml:space="preserve"> </w:t>
      </w:r>
      <w:r>
        <w:t xml:space="preserve">— the stars (that are special forms of that Indra) |</w:t>
      </w:r>
      <w:r>
        <w:t xml:space="preserve"> </w:t>
      </w:r>
      <w:r>
        <w:rPr>
          <w:bCs/>
          <w:b/>
        </w:rPr>
        <w:t xml:space="preserve">दिवि (divi)</w:t>
      </w:r>
      <w:r>
        <w:t xml:space="preserve"> </w:t>
      </w:r>
      <w:r>
        <w:t xml:space="preserve">— in the heavenly world (in the sky) |</w:t>
      </w:r>
      <w:r>
        <w:t xml:space="preserve"> </w:t>
      </w:r>
      <w:r>
        <w:rPr>
          <w:bCs/>
          <w:b/>
        </w:rPr>
        <w:t xml:space="preserve">रोचन्ते (rocante)</w:t>
      </w:r>
      <w:r>
        <w:t xml:space="preserve"> </w:t>
      </w:r>
      <w:r>
        <w:t xml:space="preserve">— shine.</w:t>
      </w:r>
    </w:p>
    <w:p>
      <w:pPr>
        <w:pStyle w:val="BodyText"/>
      </w:pPr>
      <w:r>
        <w:rPr>
          <w:bCs/>
          <w:b/>
        </w:rPr>
        <w:t xml:space="preserve">॥ Bhāvārthaḥ ॥</w:t>
      </w:r>
      <w:r>
        <w:t xml:space="preserve"> </w:t>
      </w:r>
      <w:r>
        <w:rPr>
          <w:iCs/>
          <w:i/>
        </w:rPr>
        <w:t xml:space="preserve">(Kannada, translated)</w:t>
      </w:r>
    </w:p>
    <w:p>
      <w:pPr>
        <w:pStyle w:val="BodyText"/>
      </w:pPr>
      <w:r>
        <w:t xml:space="preserve">Indra is full of supreme lordship; supreme lordship means the power to shine in the forms of Agni, Vāyu, Āditya and the stars. Therefore Indra shines in the form of the Sun, in the form of fire, in the form of the ever-moving Vāyu, and in the form of the stars in the sky. All beings of the three worlds regard such an Indra as the chief god in their own worship and the like and establish with him a relation of greatness and honour.</w:t>
      </w:r>
    </w:p>
    <w:p>
      <w:pPr>
        <w:pStyle w:val="BodyText"/>
      </w:pPr>
      <w:r>
        <w:rPr>
          <w:bCs/>
          <w:b/>
        </w:rPr>
        <w:t xml:space="preserve">English Translation</w:t>
      </w:r>
      <w:r>
        <w:t xml:space="preserve"> </w:t>
      </w:r>
      <w:r>
        <w:rPr>
          <w:iCs/>
          <w:i/>
        </w:rPr>
        <w:t xml:space="preserve">(printed in English in the source itself):</w:t>
      </w:r>
    </w:p>
    <w:p>
      <w:pPr>
        <w:pStyle w:val="BodyText"/>
      </w:pPr>
      <w:r>
        <w:t xml:space="preserve">“</w:t>
      </w:r>
      <w:r>
        <w:t xml:space="preserve">Those who are standing around (i.e. living beings inhabiting the three worlds) associate with (Indra) the mighty (in the form of the sun) the non-injuring (in the form of fire) the moving (in the form of wind) the lights (or stars special incarnations of that same Indra) shine in the sky.</w:t>
      </w:r>
      <w:r>
        <w:t xml:space="preserve">”</w:t>
      </w:r>
    </w:p>
    <w:bookmarkEnd w:id="241"/>
    <w:bookmarkStart w:id="242" w:name="X8452762303fd12d3098d4e6442096b61603011c"/>
    <w:p>
      <w:pPr>
        <w:pStyle w:val="Heading3"/>
      </w:pPr>
      <w:r>
        <w:t xml:space="preserve">Page 205 — Special topics on Rik 6.1: the classification of mantras by sense (Nirukta 7-1–3)</w:t>
      </w:r>
    </w:p>
    <w:p>
      <w:pPr>
        <w:pStyle w:val="FirstParagraph"/>
      </w:pPr>
      <w:r>
        <w:rPr>
          <w:iCs/>
          <w:i/>
        </w:rPr>
        <w:t xml:space="preserve">(Page header:</w:t>
      </w:r>
      <w:r>
        <w:rPr>
          <w:iCs/>
          <w:i/>
        </w:rPr>
        <w:t xml:space="preserve"> </w:t>
      </w:r>
      <w:r>
        <w:rPr>
          <w:iCs/>
          <w:i/>
        </w:rPr>
        <w:t xml:space="preserve">“</w:t>
      </w:r>
      <w:r>
        <w:rPr>
          <w:iCs/>
          <w:i/>
        </w:rPr>
        <w:t xml:space="preserve">Aṣṭaka 1, Adhyāya 1, Varga 11 · Ṛgveda-saṃhitā.</w:t>
      </w:r>
      <w:r>
        <w:rPr>
          <w:iCs/>
          <w:i/>
        </w:rPr>
        <w:t xml:space="preserve">”</w:t>
      </w:r>
      <w:r>
        <w:rPr>
          <w:iCs/>
          <w:i/>
        </w:rPr>
        <w:t xml:space="preserve"> </w:t>
      </w:r>
      <w:r>
        <w:rPr>
          <w:iCs/>
          <w:i/>
        </w:rPr>
        <w:t xml:space="preserve">The Nirukta passage is printed in Kannada script; read from an enlarged slice and given in three layers. Its reference (</w:t>
      </w:r>
      <w:r>
        <w:rPr>
          <w:iCs/>
          <w:i/>
        </w:rPr>
        <w:t xml:space="preserve">“</w:t>
      </w:r>
      <w:r>
        <w:rPr>
          <w:iCs/>
          <w:i/>
        </w:rPr>
        <w:t xml:space="preserve">Nirukta, Daivata-kāṇḍa, adhyāya 7, khaṇḍa 1–3</w:t>
      </w:r>
      <w:r>
        <w:rPr>
          <w:iCs/>
          <w:i/>
        </w:rPr>
        <w:t xml:space="preserve">”</w:t>
      </w:r>
      <w:r>
        <w:rPr>
          <w:iCs/>
          <w:i/>
        </w:rPr>
        <w:t xml:space="preserve">) is confirmed from the better scan. English words in the Kannada are as printed.)</w:t>
      </w:r>
    </w:p>
    <w:p>
      <w:pPr>
        <w:pStyle w:val="BodyText"/>
      </w:pPr>
      <w:r>
        <w:rPr>
          <w:bCs/>
          <w:b/>
        </w:rPr>
        <w:t xml:space="preserve">॥ Viśeṣa-viṣayagaḷu (Special Topics) ॥</w:t>
      </w:r>
    </w:p>
    <w:p>
      <w:pPr>
        <w:pStyle w:val="BodyText"/>
      </w:pPr>
      <w:r>
        <w:t xml:space="preserve">The Pada-meanings, the Bhāvārtha and the English rendering of this Ṛk follow Sāyaṇa’s Bhāṣya. Sāyaṇa’s Bhāṣya follows the exposition given in the</w:t>
      </w:r>
      <w:r>
        <w:t xml:space="preserve"> </w:t>
      </w:r>
      <w:r>
        <w:rPr>
          <w:bCs/>
          <w:b/>
        </w:rPr>
        <w:t xml:space="preserve">Taittirīya-brāhmaṇa</w:t>
      </w:r>
      <w:r>
        <w:t xml:space="preserve"> </w:t>
      </w:r>
      <w:r>
        <w:t xml:space="preserve">(of the Kṛṣṇa Yajurveda). Since the Brāhmaṇa is counted as a part of the Veda, and since it contains very ancient exposition, it must be believed to be the chief authority in the investigation of Vedic meaning. The sage</w:t>
      </w:r>
      <w:r>
        <w:t xml:space="preserve"> </w:t>
      </w:r>
      <w:r>
        <w:rPr>
          <w:bCs/>
          <w:b/>
        </w:rPr>
        <w:t xml:space="preserve">Yāska</w:t>
      </w:r>
      <w:r>
        <w:t xml:space="preserve">, the author of the Nirukta, says as follows in regard to explaining Vedic mantras:</w:t>
      </w:r>
    </w:p>
    <w:p>
      <w:pPr>
        <w:pStyle w:val="BlockText"/>
      </w:pPr>
      <w:r>
        <w:t xml:space="preserve">तद्यानि नामानि प्राधान्यस्तुतीनां देवतानां तद्दैवतमित्याचक्षते ॥ यत्काम ऋषिर्यस्यां देवतायामार्थपत्यमिच्छन्स्तुतिं प्रयुङ्क्ते तद्दैवतः स मन्त्रो भवति ॥ ताः त्रिविधा ऋचः परोक्षकृताः प्रत्यक्षकृता आध्यात्मिकाश्च । तत्र परोक्षकृताः सर्वाभिर्नामविभक्तिभिर्युज्यन्ते प्रथमपुरुषैश्चाख्यातस्य ॥ अथ प्रत्यक्षकृता मध्यमपुरुषयोगास्त्वमिति चैतेन सर्वनाम्ना ॥ अथाध्यात्मिकाः उत्तमपुरुषयोगा अहमिति चैतेन सर्वनाम्ना ॥ परोक्षकृताः प्रत्यक्षकृताश्च मन्त्रा भूयिष्ठा अल्पश आध्यात्मिकाः ॥ (निरुक्त—दैवतकाण्ड. अध्याय ७-खण्ड १–३)</w:t>
      </w:r>
      <w:r>
        <w:t xml:space="preserve"> </w:t>
      </w:r>
      <w:r>
        <w:rPr>
          <w:iCs/>
          <w:i/>
        </w:rPr>
        <w:t xml:space="preserve">tad yāni nāmāni prādhānya-stutīnāṃ devatānāṃ tad daivatam ity ācakṣate || yat-kāma ṛṣir yasyāṃ devatāyām ārthapatyam icchan stutiṃ prayuṅkte tad-daivataḥ sa mantro bhavati || tās trividhā ṛcaḥ parokṣakṛtāḥ pratyakṣakṛtā ādhyātmikāś ca | tatra parokṣakṛtāḥ sarvābhir nāma-vibhaktibhir yujyante prathama-puruṣaiś cākhyātasya || atha pratyakṣakṛtā madhyama-puruṣa-yogās tvam iti caitena sarvanāmnā || athādhyātmikāḥ uttama-puruṣa-yogā aham iti caitena sarvanāmnā || parokṣakṛtāḥ pratyakṣakṛtāś ca mantrā bhūyiṣṭhā alpaśa ādhyātmikāḥ || (nirukta — daivata-kāṇḍa, adhyāya 7, khaṇḍa 1–3)</w:t>
      </w:r>
      <w:r>
        <w:t xml:space="preserve"> </w:t>
      </w:r>
      <w:r>
        <w:rPr>
          <w:iCs/>
          <w:i/>
        </w:rPr>
        <w:t xml:space="preserve">(Reading note: the opening clause is printed</w:t>
      </w:r>
      <w:r>
        <w:rPr>
          <w:iCs/>
          <w:i/>
        </w:rPr>
        <w:t xml:space="preserve"> </w:t>
      </w:r>
      <w:r>
        <w:rPr>
          <w:iCs/>
          <w:i/>
        </w:rPr>
        <w:t xml:space="preserve">“</w:t>
      </w:r>
      <w:r>
        <w:rPr>
          <w:iCs/>
          <w:i/>
        </w:rPr>
        <w:t xml:space="preserve">tad yāni nāmāni prādhānya-stutīnāṃ devatānāṃ</w:t>
      </w:r>
      <w:r>
        <w:rPr>
          <w:iCs/>
          <w:i/>
        </w:rPr>
        <w:t xml:space="preserve">”</w:t>
      </w:r>
      <w:r>
        <w:rPr>
          <w:iCs/>
          <w:i/>
        </w:rPr>
        <w:t xml:space="preserve"> </w:t>
      </w:r>
      <w:r>
        <w:rPr>
          <w:iCs/>
          <w:i/>
        </w:rPr>
        <w:t xml:space="preserve">and I give it so; the</w:t>
      </w:r>
      <w:r>
        <w:rPr>
          <w:iCs/>
          <w:i/>
        </w:rPr>
        <w:t xml:space="preserve"> </w:t>
      </w:r>
      <w:r>
        <w:rPr>
          <w:iCs/>
          <w:i/>
        </w:rPr>
        <w:t xml:space="preserve">“</w:t>
      </w:r>
      <w:r>
        <w:rPr>
          <w:iCs/>
          <w:i/>
        </w:rPr>
        <w:t xml:space="preserve">yat-kāma ṛṣir yasyāṃ devatāyām ārthapatyam icchan</w:t>
      </w:r>
      <w:r>
        <w:rPr>
          <w:iCs/>
          <w:i/>
        </w:rPr>
        <w:t xml:space="preserve">”</w:t>
      </w:r>
      <w:r>
        <w:rPr>
          <w:iCs/>
          <w:i/>
        </w:rPr>
        <w:t xml:space="preserve"> </w:t>
      </w:r>
      <w:r>
        <w:rPr>
          <w:iCs/>
          <w:i/>
        </w:rPr>
        <w:t xml:space="preserve">clause is as printed. The adverb</w:t>
      </w:r>
      <w:r>
        <w:rPr>
          <w:iCs/>
          <w:i/>
        </w:rPr>
        <w:t xml:space="preserve"> </w:t>
      </w:r>
      <w:r>
        <w:rPr>
          <w:iCs/>
          <w:i/>
        </w:rPr>
        <w:t xml:space="preserve">“</w:t>
      </w:r>
      <w:r>
        <w:rPr>
          <w:iCs/>
          <w:i/>
        </w:rPr>
        <w:t xml:space="preserve">alpaśaḥ</w:t>
      </w:r>
      <w:r>
        <w:rPr>
          <w:iCs/>
          <w:i/>
        </w:rPr>
        <w:t xml:space="preserve">”</w:t>
      </w:r>
      <w:r>
        <w:rPr>
          <w:iCs/>
          <w:i/>
        </w:rPr>
        <w:t xml:space="preserve"> </w:t>
      </w:r>
      <w:r>
        <w:rPr>
          <w:iCs/>
          <w:i/>
        </w:rPr>
        <w:t xml:space="preserve">is printed</w:t>
      </w:r>
      <w:r>
        <w:rPr>
          <w:iCs/>
          <w:i/>
        </w:rPr>
        <w:t xml:space="preserve"> </w:t>
      </w:r>
      <w:r>
        <w:rPr>
          <w:iCs/>
          <w:i/>
        </w:rPr>
        <w:t xml:space="preserve">“</w:t>
      </w:r>
      <w:r>
        <w:rPr>
          <w:iCs/>
          <w:i/>
        </w:rPr>
        <w:t xml:space="preserve">alpaśa.</w:t>
      </w:r>
      <w:r>
        <w:rPr>
          <w:iCs/>
          <w:i/>
        </w:rPr>
        <w:t xml:space="preserve">”</w:t>
      </w:r>
      <w:r>
        <w:rPr>
          <w:iCs/>
          <w:i/>
        </w:rPr>
        <w:t xml:space="preserve">)</w:t>
      </w:r>
    </w:p>
    <w:p>
      <w:pPr>
        <w:pStyle w:val="FirstParagraph"/>
      </w:pPr>
      <w:r>
        <w:rPr>
          <w:bCs/>
          <w:b/>
        </w:rPr>
        <w:t xml:space="preserve">Translation (mine, following the Kannada account below):</w:t>
      </w:r>
      <w:r>
        <w:t xml:space="preserve"> </w:t>
      </w:r>
      <w:r>
        <w:t xml:space="preserve">“</w:t>
      </w:r>
      <w:r>
        <w:t xml:space="preserve">‘</w:t>
      </w:r>
      <w:r>
        <w:t xml:space="preserve">Those names of the deities who are praised chiefly (as the subject of a hymn) — of that (hymn) they say</w:t>
      </w:r>
      <w:r>
        <w:t xml:space="preserve"> </w:t>
      </w:r>
      <w:r>
        <w:t xml:space="preserve">“</w:t>
      </w:r>
      <w:r>
        <w:t xml:space="preserve">its deity is so-and-so.</w:t>
      </w:r>
      <w:r>
        <w:t xml:space="preserve">”</w:t>
      </w:r>
      <w:r>
        <w:t xml:space="preserve"> </w:t>
      </w:r>
      <w:r>
        <w:t xml:space="preserve">Whatever the desire with which a seer, wishing for lordship (of that thing), addresses praise to a deity — that mantra has that deity. Those Ṛks are of three kinds: parokṣa-kṛta (made in the indirect form), pratyakṣa-kṛta (made in the direct form), and ādhyātmika (made in the personal form). Of these, the parokṣa-kṛta are joined with all the case-forms of the noun and with the third person of the verb. Then the pratyakṣa-kṛta are joined with the second person, and with the pronoun</w:t>
      </w:r>
      <w:r>
        <w:t xml:space="preserve"> </w:t>
      </w:r>
      <w:r>
        <w:t xml:space="preserve">“</w:t>
      </w:r>
      <w:r>
        <w:t xml:space="preserve">tvam</w:t>
      </w:r>
      <w:r>
        <w:t xml:space="preserve">”</w:t>
      </w:r>
      <w:r>
        <w:t xml:space="preserve"> </w:t>
      </w:r>
      <w:r>
        <w:t xml:space="preserve">(thou). Then the ādhyātmika are joined with the first person, and with the pronoun</w:t>
      </w:r>
      <w:r>
        <w:t xml:space="preserve"> </w:t>
      </w:r>
      <w:r>
        <w:t xml:space="preserve">“</w:t>
      </w:r>
      <w:r>
        <w:t xml:space="preserve">aham</w:t>
      </w:r>
      <w:r>
        <w:t xml:space="preserve">”</w:t>
      </w:r>
      <w:r>
        <w:t xml:space="preserve"> </w:t>
      </w:r>
      <w:r>
        <w:t xml:space="preserve">(I). The parokṣa-kṛta and the pratyakṣa-kṛta mantras are the most numerous; the ādhyātmika are few.</w:t>
      </w:r>
      <w:r>
        <w:t xml:space="preserve">’</w:t>
      </w:r>
      <w:r>
        <w:t xml:space="preserve">”</w:t>
      </w:r>
    </w:p>
    <w:p>
      <w:pPr>
        <w:pStyle w:val="BodyText"/>
      </w:pPr>
      <w:r>
        <w:t xml:space="preserve">That is: among mantras there are many kinds —</w:t>
      </w:r>
      <w:r>
        <w:t xml:space="preserve"> </w:t>
      </w:r>
      <w:r>
        <w:rPr>
          <w:bCs/>
          <w:b/>
        </w:rPr>
        <w:t xml:space="preserve">daivata-mantra, stuti-mantra, āśīr-mantra, śapatha, abhiśāpa, kaścid-bhāva, paridevanā, nindā, praśaṃsā</w:t>
      </w:r>
      <w:r>
        <w:t xml:space="preserve">, and so on. A</w:t>
      </w:r>
      <w:r>
        <w:t xml:space="preserve"> </w:t>
      </w:r>
      <w:r>
        <w:t xml:space="preserve">“</w:t>
      </w:r>
      <w:r>
        <w:t xml:space="preserve">daivata-mantra</w:t>
      </w:r>
      <w:r>
        <w:t xml:space="preserve">”</w:t>
      </w:r>
      <w:r>
        <w:t xml:space="preserve"> </w:t>
      </w:r>
      <w:r>
        <w:t xml:space="preserve">is a mantra that describes the greatness of the gods;</w:t>
      </w:r>
      <w:r>
        <w:t xml:space="preserve"> </w:t>
      </w:r>
      <w:r>
        <w:t xml:space="preserve">“</w:t>
      </w:r>
      <w:r>
        <w:t xml:space="preserve">stuti</w:t>
      </w:r>
      <w:r>
        <w:t xml:space="preserve">”</w:t>
      </w:r>
      <w:r>
        <w:t xml:space="preserve"> </w:t>
      </w:r>
      <w:r>
        <w:t xml:space="preserve">is a mantra that contains stotra and entreaties;</w:t>
      </w:r>
      <w:r>
        <w:t xml:space="preserve"> </w:t>
      </w:r>
      <w:r>
        <w:t xml:space="preserve">“</w:t>
      </w:r>
      <w:r>
        <w:t xml:space="preserve">āśīḥ</w:t>
      </w:r>
      <w:r>
        <w:t xml:space="preserve">”</w:t>
      </w:r>
      <w:r>
        <w:t xml:space="preserve"> </w:t>
      </w:r>
      <w:r>
        <w:t xml:space="preserve">is a mantra that gives a blessing — one that wishes the good of another;</w:t>
      </w:r>
      <w:r>
        <w:t xml:space="preserve"> </w:t>
      </w:r>
      <w:r>
        <w:t xml:space="preserve">“</w:t>
      </w:r>
      <w:r>
        <w:t xml:space="preserve">śapatha</w:t>
      </w:r>
      <w:r>
        <w:t xml:space="preserve">”</w:t>
      </w:r>
      <w:r>
        <w:t xml:space="preserve"> </w:t>
      </w:r>
      <w:r>
        <w:t xml:space="preserve">is a vow, a promise;</w:t>
      </w:r>
      <w:r>
        <w:t xml:space="preserve"> </w:t>
      </w:r>
      <w:r>
        <w:t xml:space="preserve">“</w:t>
      </w:r>
      <w:r>
        <w:t xml:space="preserve">abhiśāpa</w:t>
      </w:r>
      <w:r>
        <w:t xml:space="preserve">”</w:t>
      </w:r>
      <w:r>
        <w:t xml:space="preserve"> </w:t>
      </w:r>
      <w:r>
        <w:t xml:space="preserve">is a curse — wishing another harm;</w:t>
      </w:r>
      <w:r>
        <w:t xml:space="preserve"> </w:t>
      </w:r>
      <w:r>
        <w:t xml:space="preserve">“</w:t>
      </w:r>
      <w:r>
        <w:t xml:space="preserve">kaścid-bhāva</w:t>
      </w:r>
      <w:r>
        <w:t xml:space="preserve">”</w:t>
      </w:r>
      <w:r>
        <w:t xml:space="preserve"> </w:t>
      </w:r>
      <w:r>
        <w:t xml:space="preserve">is the description of a certain matter or of a truth;</w:t>
      </w:r>
      <w:r>
        <w:t xml:space="preserve"> </w:t>
      </w:r>
      <w:r>
        <w:t xml:space="preserve">“</w:t>
      </w:r>
      <w:r>
        <w:t xml:space="preserve">paridevanā</w:t>
      </w:r>
      <w:r>
        <w:t xml:space="preserve">”</w:t>
      </w:r>
      <w:r>
        <w:t xml:space="preserve"> </w:t>
      </w:r>
      <w:r>
        <w:t xml:space="preserve">is lamentation, distress;</w:t>
      </w:r>
      <w:r>
        <w:t xml:space="preserve"> </w:t>
      </w:r>
      <w:r>
        <w:t xml:space="preserve">“</w:t>
      </w:r>
      <w:r>
        <w:t xml:space="preserve">nindā</w:t>
      </w:r>
      <w:r>
        <w:t xml:space="preserve">”</w:t>
      </w:r>
      <w:r>
        <w:t xml:space="preserve"> </w:t>
      </w:r>
      <w:r>
        <w:t xml:space="preserve">is blame;</w:t>
      </w:r>
      <w:r>
        <w:t xml:space="preserve"> </w:t>
      </w:r>
      <w:r>
        <w:t xml:space="preserve">“</w:t>
      </w:r>
      <w:r>
        <w:t xml:space="preserve">praśaṃsā</w:t>
      </w:r>
      <w:r>
        <w:t xml:space="preserve">”</w:t>
      </w:r>
      <w:r>
        <w:t xml:space="preserve"> </w:t>
      </w:r>
      <w:r>
        <w:t xml:space="preserve">is praise;</w:t>
      </w:r>
      <w:r>
        <w:t xml:space="preserve"> </w:t>
      </w:r>
      <w:r>
        <w:t xml:space="preserve">“</w:t>
      </w:r>
      <w:r>
        <w:t xml:space="preserve">dānastuti</w:t>
      </w:r>
      <w:r>
        <w:t xml:space="preserve">”</w:t>
      </w:r>
      <w:r>
        <w:t xml:space="preserve"> </w:t>
      </w:r>
      <w:r>
        <w:t xml:space="preserve">is the praise of gifts; and so on.</w:t>
      </w:r>
    </w:p>
    <w:p>
      <w:pPr>
        <w:pStyle w:val="BodyText"/>
      </w:pPr>
      <w:r>
        <w:t xml:space="preserve">Of the many kinds of mantras mentioned above, the Ṛks called</w:t>
      </w:r>
      <w:r>
        <w:t xml:space="preserve"> </w:t>
      </w:r>
      <w:r>
        <w:t xml:space="preserve">“</w:t>
      </w:r>
      <w:r>
        <w:t xml:space="preserve">daivata</w:t>
      </w:r>
      <w:r>
        <w:t xml:space="preserve">”</w:t>
      </w:r>
      <w:r>
        <w:t xml:space="preserve"> </w:t>
      </w:r>
      <w:r>
        <w:t xml:space="preserve">are of three kinds:</w:t>
      </w:r>
      <w:r>
        <w:t xml:space="preserve"> </w:t>
      </w:r>
      <w:r>
        <w:rPr>
          <w:bCs/>
          <w:b/>
        </w:rPr>
        <w:t xml:space="preserve">parokṣa-kṛta, pratyakṣa-kṛta</w:t>
      </w:r>
      <w:r>
        <w:t xml:space="preserve"> </w:t>
      </w:r>
      <w:r>
        <w:t xml:space="preserve">and</w:t>
      </w:r>
      <w:r>
        <w:t xml:space="preserve"> </w:t>
      </w:r>
      <w:r>
        <w:rPr>
          <w:bCs/>
          <w:b/>
        </w:rPr>
        <w:t xml:space="preserve">ādhyātmika</w:t>
      </w:r>
      <w:r>
        <w:t xml:space="preserve">. A</w:t>
      </w:r>
      <w:r>
        <w:t xml:space="preserve"> </w:t>
      </w:r>
      <w:r>
        <w:t xml:space="preserve">“</w:t>
      </w:r>
      <w:r>
        <w:t xml:space="preserve">parokṣa-kṛta</w:t>
      </w:r>
      <w:r>
        <w:t xml:space="preserve">”</w:t>
      </w:r>
      <w:r>
        <w:t xml:space="preserve"> </w:t>
      </w:r>
      <w:r>
        <w:t xml:space="preserve">mantra is one in which the deity who is praised is not present before one — so that the praise is made in the form in which the third-person nouns and the third-person verbs are used with reference to that deity (</w:t>
      </w:r>
      <w:r>
        <w:t xml:space="preserve">“</w:t>
      </w:r>
      <w:r>
        <w:t xml:space="preserve">third person both in subject and predicate</w:t>
      </w:r>
      <w:r>
        <w:t xml:space="preserve">”</w:t>
      </w:r>
      <w:r>
        <w:t xml:space="preserve"> </w:t>
      </w:r>
      <w:r>
        <w:t xml:space="preserve">— English as printed). A</w:t>
      </w:r>
      <w:r>
        <w:t xml:space="preserve"> </w:t>
      </w:r>
      <w:r>
        <w:t xml:space="preserve">“</w:t>
      </w:r>
      <w:r>
        <w:t xml:space="preserve">pratyakṣa-kṛta</w:t>
      </w:r>
      <w:r>
        <w:t xml:space="preserve">”</w:t>
      </w:r>
      <w:r>
        <w:t xml:space="preserve"> </w:t>
      </w:r>
      <w:r>
        <w:t xml:space="preserve">mantra is one in which the deity is imagined as standing visibly before one, and is praised by addressing him, using the second-person words</w:t>
      </w:r>
      <w:r>
        <w:t xml:space="preserve"> </w:t>
      </w:r>
      <w:r>
        <w:t xml:space="preserve">“</w:t>
      </w:r>
      <w:r>
        <w:t xml:space="preserve">you,</w:t>
      </w:r>
      <w:r>
        <w:t xml:space="preserve">”</w:t>
      </w:r>
      <w:r>
        <w:t xml:space="preserve"> </w:t>
      </w:r>
      <w:r>
        <w:t xml:space="preserve">“</w:t>
      </w:r>
      <w:r>
        <w:t xml:space="preserve">your</w:t>
      </w:r>
      <w:r>
        <w:t xml:space="preserve">”</w:t>
      </w:r>
      <w:r>
        <w:t xml:space="preserve"> </w:t>
      </w:r>
      <w:r>
        <w:t xml:space="preserve">and so on (</w:t>
      </w:r>
      <w:r>
        <w:t xml:space="preserve">“</w:t>
      </w:r>
      <w:r>
        <w:t xml:space="preserve">second person</w:t>
      </w:r>
      <w:r>
        <w:t xml:space="preserve">”</w:t>
      </w:r>
      <w:r>
        <w:t xml:space="preserve"> </w:t>
      </w:r>
      <w:r>
        <w:t xml:space="preserve">— English as printed). An</w:t>
      </w:r>
      <w:r>
        <w:t xml:space="preserve"> </w:t>
      </w:r>
      <w:r>
        <w:t xml:space="preserve">“</w:t>
      </w:r>
      <w:r>
        <w:t xml:space="preserve">ādhyātmika</w:t>
      </w:r>
      <w:r>
        <w:t xml:space="preserve">”</w:t>
      </w:r>
      <w:r>
        <w:t xml:space="preserve"> </w:t>
      </w:r>
      <w:r>
        <w:t xml:space="preserve">mantra is one in which praise is made by using the first person (</w:t>
      </w:r>
      <w:r>
        <w:t xml:space="preserve">“</w:t>
      </w:r>
      <w:r>
        <w:t xml:space="preserve">first person</w:t>
      </w:r>
      <w:r>
        <w:t xml:space="preserve">”</w:t>
      </w:r>
      <w:r>
        <w:t xml:space="preserve"> </w:t>
      </w:r>
      <w:r>
        <w:t xml:space="preserve">— English as printed). Of these three kinds of mantras, the two — parokṣa-kṛta and pratyakṣa-kṛta — are more numerous; the ādhyātmika mantras are only few.</w:t>
      </w:r>
    </w:p>
    <w:bookmarkEnd w:id="242"/>
    <w:bookmarkStart w:id="243" w:name="X09815f4ad0ffed99ec5aa760918f4fd4eb26b5a"/>
    <w:p>
      <w:pPr>
        <w:pStyle w:val="Heading3"/>
      </w:pPr>
      <w:r>
        <w:t xml:space="preserve">Page 206 — The Taittirīya-brāhmaṇa exposition of Rik 6.1; Skandasvāmī’s commentary (opening)</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6.</w:t>
      </w:r>
      <w:r>
        <w:rPr>
          <w:iCs/>
          <w:i/>
        </w:rPr>
        <w:t xml:space="preserve">”</w:t>
      </w:r>
      <w:r>
        <w:rPr>
          <w:iCs/>
          <w:i/>
        </w:rPr>
        <w:t xml:space="preserve"> </w:t>
      </w:r>
      <w:r>
        <w:rPr>
          <w:iCs/>
          <w:i/>
        </w:rPr>
        <w:t xml:space="preserve">Sanskrit printed in Kannada script, read from enlarged slices; [?] where unclear. The Brāhmaṇa reference re-read from the better scan.)</w:t>
      </w:r>
    </w:p>
    <w:p>
      <w:pPr>
        <w:pStyle w:val="BodyText"/>
      </w:pPr>
      <w:r>
        <w:t xml:space="preserve">The Ṛk</w:t>
      </w:r>
      <w:r>
        <w:t xml:space="preserve"> </w:t>
      </w:r>
      <w:r>
        <w:t xml:space="preserve">“</w:t>
      </w:r>
      <w:r>
        <w:t xml:space="preserve">yuñjanti bradhnam aruṣam,</w:t>
      </w:r>
      <w:r>
        <w:t xml:space="preserve">”</w:t>
      </w:r>
      <w:r>
        <w:t xml:space="preserve"> </w:t>
      </w:r>
      <w:r>
        <w:t xml:space="preserve">which is relevant here, ought by the above (classification) to belong to the group</w:t>
      </w:r>
      <w:r>
        <w:t xml:space="preserve"> </w:t>
      </w:r>
      <w:r>
        <w:t xml:space="preserve">“</w:t>
      </w:r>
      <w:r>
        <w:t xml:space="preserve">parokṣa-kṛta</w:t>
      </w:r>
      <w:r>
        <w:t xml:space="preserve">”</w:t>
      </w:r>
      <w:r>
        <w:t xml:space="preserve"> </w:t>
      </w:r>
      <w:r>
        <w:t xml:space="preserve">among daivata mantras. But since the Taittirīya-brāhmaṇa explains this Ṛk with an adhyātmika meaning, the Bhāṣyakāra has explained it in accordance with that. In that Brāhmaṇa, in giving the exposition of this Ṛk, it is said:</w:t>
      </w:r>
    </w:p>
    <w:p>
      <w:pPr>
        <w:pStyle w:val="BlockText"/>
      </w:pPr>
      <w:r>
        <w:t xml:space="preserve">युञ्जन्ति ब्रध्नमित्याह । असौ वा आदित्यो ब्रध्नः । आदित्यमेवास्मै युनक्ति । अरुषमित्याह । अग्निर्वा अरुषः । अग्निमेवास्मै युनक्ति । चरन्तमित्याह । वायुर्वै चरन् । वायुमेवास्मै युनक्ति । परि तस्थुष इत्याह । इमे वै लोकाः परि तस्थुषः । इमानेवास्मै लोकान् युनक्ति । रोचन्ते रोचना दिवीत्याह । नक्षत्राणि वै रोचना दिवि । नक्षत्राण्येवास्मै रोचयति ॥ (तै. ब्रा. ३-९-४)</w:t>
      </w:r>
      <w:r>
        <w:t xml:space="preserve"> </w:t>
      </w:r>
      <w:r>
        <w:rPr>
          <w:iCs/>
          <w:i/>
        </w:rPr>
        <w:t xml:space="preserve">yuñjanti bradhnam ity āha | asau vā ādityo bradhnaḥ | ādityam evāsmai yunakti | aruṣam ity āha | agnir vā aruṣaḥ | agnim evāsmai yunakti | carantam ity āha | vāyur vai caran | vāyum evāsmai yunakti | pari tasthuṣa ity āha | ime vai lokāḥ pari tasthuṣaḥ | imān evāsmai lokān yunakti | rocante rocanā divīty āha | nakṣatrāṇi vai rocanā divi | nakṣatrāṇy evāsmai rocayati || (tai. brā. 3-9-4)</w:t>
      </w:r>
      <w:r>
        <w:t xml:space="preserve"> </w:t>
      </w:r>
      <w:r>
        <w:rPr>
          <w:bCs/>
          <w:b/>
        </w:rPr>
        <w:t xml:space="preserve">Translation:</w:t>
      </w:r>
      <w:r>
        <w:t xml:space="preserve"> </w:t>
      </w:r>
      <w:r>
        <w:t xml:space="preserve">“</w:t>
      </w:r>
      <w:r>
        <w:t xml:space="preserve">’</w:t>
      </w:r>
      <w:r>
        <w:rPr>
          <w:iCs/>
          <w:i/>
        </w:rPr>
        <w:t xml:space="preserve">Yuñjanti bradhnam,’ he says: yonder Sun is</w:t>
      </w:r>
      <w:r>
        <w:rPr>
          <w:iCs/>
          <w:i/>
        </w:rPr>
        <w:t xml:space="preserve"> </w:t>
      </w:r>
      <w:r>
        <w:rPr>
          <w:iCs/>
          <w:i/>
        </w:rPr>
        <w:t xml:space="preserve">‘</w:t>
      </w:r>
      <w:r>
        <w:rPr>
          <w:iCs/>
          <w:i/>
        </w:rPr>
        <w:t xml:space="preserve">bradhna</w:t>
      </w:r>
      <w:r>
        <w:rPr>
          <w:iCs/>
          <w:i/>
        </w:rPr>
        <w:t xml:space="preserve">’</w:t>
      </w:r>
      <w:r>
        <w:rPr>
          <w:iCs/>
          <w:i/>
        </w:rPr>
        <w:t xml:space="preserve">; he yokes the Sun to him.</w:t>
      </w:r>
      <w:r>
        <w:rPr>
          <w:iCs/>
          <w:i/>
        </w:rPr>
        <w:t xml:space="preserve"> </w:t>
      </w:r>
      <w:r>
        <w:rPr>
          <w:iCs/>
          <w:i/>
        </w:rPr>
        <w:t xml:space="preserve">‘</w:t>
      </w:r>
      <w:r>
        <w:rPr>
          <w:iCs/>
          <w:i/>
        </w:rPr>
        <w:t xml:space="preserve">Aruṣam,</w:t>
      </w:r>
      <w:r>
        <w:rPr>
          <w:iCs/>
          <w:i/>
        </w:rPr>
        <w:t xml:space="preserve">’</w:t>
      </w:r>
      <w:r>
        <w:rPr>
          <w:iCs/>
          <w:i/>
        </w:rPr>
        <w:t xml:space="preserve"> </w:t>
      </w:r>
      <w:r>
        <w:rPr>
          <w:iCs/>
          <w:i/>
        </w:rPr>
        <w:t xml:space="preserve">he says: Agni is</w:t>
      </w:r>
      <w:r>
        <w:rPr>
          <w:iCs/>
          <w:i/>
        </w:rPr>
        <w:t xml:space="preserve"> </w:t>
      </w:r>
      <w:r>
        <w:rPr>
          <w:iCs/>
          <w:i/>
        </w:rPr>
        <w:t xml:space="preserve">‘</w:t>
      </w:r>
      <w:r>
        <w:rPr>
          <w:iCs/>
          <w:i/>
        </w:rPr>
        <w:t xml:space="preserve">aruṣa</w:t>
      </w:r>
      <w:r>
        <w:rPr>
          <w:iCs/>
          <w:i/>
        </w:rPr>
        <w:t xml:space="preserve">’</w:t>
      </w:r>
      <w:r>
        <w:rPr>
          <w:iCs/>
          <w:i/>
        </w:rPr>
        <w:t xml:space="preserve">; he yokes Agni to him.</w:t>
      </w:r>
      <w:r>
        <w:rPr>
          <w:iCs/>
          <w:i/>
        </w:rPr>
        <w:t xml:space="preserve"> </w:t>
      </w:r>
      <w:r>
        <w:rPr>
          <w:iCs/>
          <w:i/>
        </w:rPr>
        <w:t xml:space="preserve">‘</w:t>
      </w:r>
      <w:r>
        <w:rPr>
          <w:iCs/>
          <w:i/>
        </w:rPr>
        <w:t xml:space="preserve">Carantam,</w:t>
      </w:r>
      <w:r>
        <w:rPr>
          <w:iCs/>
          <w:i/>
        </w:rPr>
        <w:t xml:space="preserve">’</w:t>
      </w:r>
      <w:r>
        <w:rPr>
          <w:iCs/>
          <w:i/>
        </w:rPr>
        <w:t xml:space="preserve"> </w:t>
      </w:r>
      <w:r>
        <w:rPr>
          <w:iCs/>
          <w:i/>
        </w:rPr>
        <w:t xml:space="preserve">he says: Vāyu is the</w:t>
      </w:r>
      <w:r>
        <w:rPr>
          <w:iCs/>
          <w:i/>
        </w:rPr>
        <w:t xml:space="preserve"> </w:t>
      </w:r>
      <w:r>
        <w:rPr>
          <w:iCs/>
          <w:i/>
        </w:rPr>
        <w:t xml:space="preserve">‘</w:t>
      </w:r>
      <w:r>
        <w:rPr>
          <w:iCs/>
          <w:i/>
        </w:rPr>
        <w:t xml:space="preserve">moving</w:t>
      </w:r>
      <w:r>
        <w:rPr>
          <w:iCs/>
          <w:i/>
        </w:rPr>
        <w:t xml:space="preserve">’</w:t>
      </w:r>
      <w:r>
        <w:rPr>
          <w:iCs/>
          <w:i/>
        </w:rPr>
        <w:t xml:space="preserve">; he yokes Vāyu to him.</w:t>
      </w:r>
      <w:r>
        <w:rPr>
          <w:iCs/>
          <w:i/>
        </w:rPr>
        <w:t xml:space="preserve"> </w:t>
      </w:r>
      <w:r>
        <w:rPr>
          <w:iCs/>
          <w:i/>
        </w:rPr>
        <w:t xml:space="preserve">‘</w:t>
      </w:r>
      <w:r>
        <w:rPr>
          <w:iCs/>
          <w:i/>
        </w:rPr>
        <w:t xml:space="preserve">Pari tasthuṣaḥ,</w:t>
      </w:r>
      <w:r>
        <w:rPr>
          <w:iCs/>
          <w:i/>
        </w:rPr>
        <w:t xml:space="preserve">’</w:t>
      </w:r>
      <w:r>
        <w:rPr>
          <w:iCs/>
          <w:i/>
        </w:rPr>
        <w:t xml:space="preserve"> </w:t>
      </w:r>
      <w:r>
        <w:rPr>
          <w:iCs/>
          <w:i/>
        </w:rPr>
        <w:t xml:space="preserve">he says: these worlds are</w:t>
      </w:r>
      <w:r>
        <w:rPr>
          <w:iCs/>
          <w:i/>
        </w:rPr>
        <w:t xml:space="preserve"> </w:t>
      </w:r>
      <w:r>
        <w:rPr>
          <w:iCs/>
          <w:i/>
        </w:rPr>
        <w:t xml:space="preserve">‘</w:t>
      </w:r>
      <w:r>
        <w:rPr>
          <w:iCs/>
          <w:i/>
        </w:rPr>
        <w:t xml:space="preserve">pari tasthuṣaḥ</w:t>
      </w:r>
      <w:r>
        <w:rPr>
          <w:iCs/>
          <w:i/>
        </w:rPr>
        <w:t xml:space="preserve">’</w:t>
      </w:r>
      <w:r>
        <w:rPr>
          <w:iCs/>
          <w:i/>
        </w:rPr>
        <w:t xml:space="preserve">; he yokes these worlds to him.</w:t>
      </w:r>
      <w:r>
        <w:rPr>
          <w:iCs/>
          <w:i/>
        </w:rPr>
        <w:t xml:space="preserve"> </w:t>
      </w:r>
      <w:r>
        <w:rPr>
          <w:iCs/>
          <w:i/>
        </w:rPr>
        <w:t xml:space="preserve">‘</w:t>
      </w:r>
      <w:r>
        <w:rPr>
          <w:iCs/>
          <w:i/>
        </w:rPr>
        <w:t xml:space="preserve">Rocante rocanā divi,</w:t>
      </w:r>
      <w:r>
        <w:rPr>
          <w:iCs/>
          <w:i/>
        </w:rPr>
        <w:t xml:space="preserve">’</w:t>
      </w:r>
      <w:r>
        <w:rPr>
          <w:iCs/>
          <w:i/>
        </w:rPr>
        <w:t xml:space="preserve"> </w:t>
      </w:r>
      <w:r>
        <w:rPr>
          <w:iCs/>
          <w:i/>
        </w:rPr>
        <w:t xml:space="preserve">he says: the stars are the</w:t>
      </w:r>
      <w:r>
        <w:rPr>
          <w:iCs/>
          <w:i/>
        </w:rPr>
        <w:t xml:space="preserve"> </w:t>
      </w:r>
      <w:r>
        <w:rPr>
          <w:iCs/>
          <w:i/>
        </w:rPr>
        <w:t xml:space="preserve">‘</w:t>
      </w:r>
      <w:r>
        <w:rPr>
          <w:iCs/>
          <w:i/>
        </w:rPr>
        <w:t xml:space="preserve">rocanā</w:t>
      </w:r>
      <w:r>
        <w:rPr>
          <w:iCs/>
          <w:i/>
        </w:rPr>
        <w:t xml:space="preserve">’</w:t>
      </w:r>
      <w:r>
        <w:rPr>
          <w:iCs/>
          <w:i/>
        </w:rPr>
        <w:t xml:space="preserve"> </w:t>
      </w:r>
      <w:r>
        <w:rPr>
          <w:iCs/>
          <w:i/>
        </w:rPr>
        <w:t xml:space="preserve">in the sky; he makes the stars shine for him.</w:t>
      </w:r>
      <w:r>
        <w:t xml:space="preserve">”</w:t>
      </w:r>
      <w:r>
        <w:t xml:space="preserve"> </w:t>
      </w:r>
      <w:r>
        <w:rPr>
          <w:iCs/>
          <w:i/>
        </w:rPr>
        <w:t xml:space="preserve">(This is the same passage that Sāyaṇa abridged on pp. 203–204.)</w:t>
      </w:r>
    </w:p>
    <w:p>
      <w:pPr>
        <w:pStyle w:val="FirstParagraph"/>
      </w:pPr>
      <w:r>
        <w:t xml:space="preserve">That is, in this the sense is given, in an adhyātmika connection, that</w:t>
      </w:r>
      <w:r>
        <w:t xml:space="preserve"> </w:t>
      </w:r>
      <w:r>
        <w:t xml:space="preserve">“</w:t>
      </w:r>
      <w:r>
        <w:t xml:space="preserve">bradhna</w:t>
      </w:r>
      <w:r>
        <w:t xml:space="preserve">”</w:t>
      </w:r>
      <w:r>
        <w:t xml:space="preserve"> </w:t>
      </w:r>
      <w:r>
        <w:t xml:space="preserve">= the Sun,</w:t>
      </w:r>
      <w:r>
        <w:t xml:space="preserve"> </w:t>
      </w:r>
      <w:r>
        <w:t xml:space="preserve">“</w:t>
      </w:r>
      <w:r>
        <w:t xml:space="preserve">aruṣa</w:t>
      </w:r>
      <w:r>
        <w:t xml:space="preserve">”</w:t>
      </w:r>
      <w:r>
        <w:t xml:space="preserve"> </w:t>
      </w:r>
      <w:r>
        <w:t xml:space="preserve">= Agni,</w:t>
      </w:r>
      <w:r>
        <w:t xml:space="preserve"> </w:t>
      </w:r>
      <w:r>
        <w:t xml:space="preserve">“</w:t>
      </w:r>
      <w:r>
        <w:t xml:space="preserve">carat</w:t>
      </w:r>
      <w:r>
        <w:t xml:space="preserve">”</w:t>
      </w:r>
      <w:r>
        <w:t xml:space="preserve"> </w:t>
      </w:r>
      <w:r>
        <w:t xml:space="preserve">= Vāyu,</w:t>
      </w:r>
      <w:r>
        <w:t xml:space="preserve"> </w:t>
      </w:r>
      <w:r>
        <w:t xml:space="preserve">“</w:t>
      </w:r>
      <w:r>
        <w:t xml:space="preserve">pari tasthuṣaḥ</w:t>
      </w:r>
      <w:r>
        <w:t xml:space="preserve">”</w:t>
      </w:r>
      <w:r>
        <w:t xml:space="preserve"> </w:t>
      </w:r>
      <w:r>
        <w:t xml:space="preserve">= the three worlds,</w:t>
      </w:r>
      <w:r>
        <w:t xml:space="preserve"> </w:t>
      </w:r>
      <w:r>
        <w:t xml:space="preserve">“</w:t>
      </w:r>
      <w:r>
        <w:t xml:space="preserve">rocanā</w:t>
      </w:r>
      <w:r>
        <w:t xml:space="preserve">”</w:t>
      </w:r>
      <w:r>
        <w:t xml:space="preserve"> </w:t>
      </w:r>
      <w:r>
        <w:t xml:space="preserve">= the stars. Although we need not accept this meaning as authoritative, there is no refutation here of the meanings that other commentators give for this Ṛk. Since</w:t>
      </w:r>
      <w:r>
        <w:t xml:space="preserve"> </w:t>
      </w:r>
      <w:r>
        <w:rPr>
          <w:bCs/>
          <w:b/>
        </w:rPr>
        <w:t xml:space="preserve">Skandasvāmī</w:t>
      </w:r>
      <w:r>
        <w:t xml:space="preserve"> </w:t>
      </w:r>
      <w:r>
        <w:t xml:space="preserve">has explained this Ṛk in a different way, we give it here.</w:t>
      </w:r>
    </w:p>
    <w:p>
      <w:pPr>
        <w:pStyle w:val="BodyText"/>
      </w:pPr>
      <w:r>
        <w:rPr>
          <w:bCs/>
          <w:b/>
        </w:rPr>
        <w:t xml:space="preserve">Skandasvāmī’s commentary</w:t>
      </w:r>
      <w:r>
        <w:t xml:space="preserve"> </w:t>
      </w:r>
      <w:r>
        <w:rPr>
          <w:iCs/>
          <w:i/>
        </w:rPr>
        <w:t xml:space="preserve">(Sanskrit, printed in Kannada script; first part, p. 206):</w:t>
      </w:r>
    </w:p>
    <w:p>
      <w:pPr>
        <w:pStyle w:val="BlockText"/>
      </w:pPr>
      <w:r>
        <w:t xml:space="preserve">योगः संबन्धः । युञ्जन्ति संबन्धयन्ति । केन, सामर्थ्यात् स्तुतिभिर्हविर्भिश्च । के, सामर्थ्यात् स्तोतारो यष्टारश्च । ब्रध्नं महन्नामैतत् । महान्तमिन्द्रम् । अरुषं रुशतिर्दीप्त्यर्थः । रुशद्वत्सारुशतीति प्रदर्शनात् । तस्य वा रोचतेर्वा दीप्तिकर्मण आज्पूर्वस्येदं रूपम् । आजश्च ह्रस्वत्वम् । अरुशं आरोचमानं वा दीप्तमित्यर्थः । आरुषत्यायतीति गतिकर्मसु पाठादृषतेर्गत्यर्थस्यारुषशब्दो गन्तृवचनः । शत्रून् यज्ञान् वा प्रतिगन्तारम् । चरन्तं परि सर्वतो गच्छन्तम् । यत्र यत्रेन्द्रो गच्छति तत्र तत्रैनं स्तोतारो यष्टारश्च स्तुवन्ति चेत्यर्थः । अथवा, युञ्जन्तीति युजिः शुद्धोऽपि सामर्थ्यात् सोपसर्गार्थे द्रष्टव्यः । स्वार्थसिद्धौ स्तोतारो यष्टारश्चैनं नियुञ्जते । महान्तं दीप्तं चेन्द्रं सर्वतो गच्छन्तं, यत्र यत्र गच्छति तत्र तत्रैनं मनुष्या इदमिदं च नः कुर्विन्त्यर्थं याचन्त इत्यर्थः । रथोऽत्र सामर्थ्यात् युज्यमानः नेन्द्रं युञ्जन्ति । इन्द्रस्य रथं ब्रध्नमरुषं</w:t>
      </w:r>
      <w:r>
        <w:t xml:space="preserve"> </w:t>
      </w:r>
      <w:r>
        <w:rPr>
          <w:iCs/>
          <w:i/>
        </w:rPr>
        <w:t xml:space="preserve">yogaḥ sambandhaḥ | yuñjanti sambandhayanti | kena, sāmarthyāt stutibhir havirbhiś ca | ke, sāmarthyāt stotāro yaṣṭāraś ca | bradhnaṃ mahan-nāmaitat | mahāntam indram | aruṣaṃ ruśatir dīptyarthaḥ | ruśadvatsāruśatīti pradarśanāt | tasya vā rocater vā dīpti-karmaṇa āj-pūrvasyedaṃ rūpam | ājaś ca hrasvatvam | aruśaṃ ārocamānaṃ vā dīptam ity arthaḥ | āruṣatyāyatīti gati-karmasu pāṭhād aruṣater gatyarthasyāruṣa-śabdo gantṛ-vacanaḥ | śatrūn yajñān vā pratigantāram | carantaṃ pari sarvato gacchantam | yatra yatrendro gacchati tatra tatrainaṃ stotāro yaṣṭāraś ca stuvanti cety arthaḥ | athavā, yuñjantīti yujiḥ śuddho ’pi sāmarthyāt sopasargārthe draṣṭavyaḥ | svārtha-siddhau stotāro yaṣṭāraś cainaṃ niyuñjate | mahāntaṃ dīptaṃ cendraṃ sarvato gacchantaṃ, yatra yatra gacchati tatra tatrainaṃ manuṣyā idam idaṃ ca naḥ kurv ity arthaṃ yācanta ity arthaḥ | ratho ’tra sāmarthyāt yujyamānaḥ nendraṃ yuñjanti | indrasya rathaṃ bradhnam aruṣaṃ …</w:t>
      </w:r>
      <w:r>
        <w:t xml:space="preserve"> </w:t>
      </w:r>
      <w:r>
        <w:rPr>
          <w:iCs/>
          <w:i/>
        </w:rPr>
        <w:t xml:space="preserve">(Reading notes: (i) this stretch is dense and several of its words are crowded in the print — re-read from the better scan (</w:t>
      </w:r>
      <w:r>
        <w:rPr>
          <w:iCs/>
          <w:i/>
        </w:rPr>
        <w:t xml:space="preserve">“</w:t>
      </w:r>
      <w:r>
        <w:rPr>
          <w:iCs/>
          <w:i/>
        </w:rPr>
        <w:t xml:space="preserve">aruśam,</w:t>
      </w:r>
      <w:r>
        <w:rPr>
          <w:iCs/>
          <w:i/>
        </w:rPr>
        <w:t xml:space="preserve">”</w:t>
      </w:r>
      <w:r>
        <w:rPr>
          <w:iCs/>
          <w:i/>
        </w:rPr>
        <w:t xml:space="preserve"> </w:t>
      </w:r>
      <w:r>
        <w:rPr>
          <w:iCs/>
          <w:i/>
        </w:rPr>
        <w:t xml:space="preserve">“</w:t>
      </w:r>
      <w:r>
        <w:rPr>
          <w:iCs/>
          <w:i/>
        </w:rPr>
        <w:t xml:space="preserve">aruṣater,</w:t>
      </w:r>
      <w:r>
        <w:rPr>
          <w:iCs/>
          <w:i/>
        </w:rPr>
        <w:t xml:space="preserve">”</w:t>
      </w:r>
      <w:r>
        <w:rPr>
          <w:iCs/>
          <w:i/>
        </w:rPr>
        <w:t xml:space="preserve"> </w:t>
      </w:r>
      <w:r>
        <w:rPr>
          <w:iCs/>
          <w:i/>
        </w:rPr>
        <w:t xml:space="preserve">“</w:t>
      </w:r>
      <w:r>
        <w:rPr>
          <w:iCs/>
          <w:i/>
        </w:rPr>
        <w:t xml:space="preserve">draṣṭavyaḥ,</w:t>
      </w:r>
      <w:r>
        <w:rPr>
          <w:iCs/>
          <w:i/>
        </w:rPr>
        <w:t xml:space="preserve">”</w:t>
      </w:r>
      <w:r>
        <w:rPr>
          <w:iCs/>
          <w:i/>
        </w:rPr>
        <w:t xml:space="preserve"> </w:t>
      </w:r>
      <w:r>
        <w:rPr>
          <w:iCs/>
          <w:i/>
        </w:rPr>
        <w:t xml:space="preserve">“</w:t>
      </w:r>
      <w:r>
        <w:rPr>
          <w:iCs/>
          <w:i/>
        </w:rPr>
        <w:t xml:space="preserve">tatra tatrainaṃ</w:t>
      </w:r>
      <w:r>
        <w:rPr>
          <w:iCs/>
          <w:i/>
        </w:rPr>
        <w:t xml:space="preserve">”</w:t>
      </w:r>
      <w:r>
        <w:rPr>
          <w:iCs/>
          <w:i/>
        </w:rPr>
        <w:t xml:space="preserve"> </w:t>
      </w:r>
      <w:r>
        <w:rPr>
          <w:iCs/>
          <w:i/>
        </w:rPr>
        <w:t xml:space="preserve">corrected);</w:t>
      </w:r>
      <w:r>
        <w:rPr>
          <w:iCs/>
          <w:i/>
        </w:rPr>
        <w:t xml:space="preserve"> </w:t>
      </w:r>
      <w:r>
        <w:rPr>
          <w:iCs/>
          <w:i/>
        </w:rPr>
        <w:t xml:space="preserve">“</w:t>
      </w:r>
      <w:r>
        <w:rPr>
          <w:iCs/>
          <w:i/>
        </w:rPr>
        <w:t xml:space="preserve">ruśadvatsāruśatīti pradarśanāt</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nendraṃ yuñjanti</w:t>
      </w:r>
      <w:r>
        <w:rPr>
          <w:iCs/>
          <w:i/>
        </w:rPr>
        <w:t xml:space="preserve">”</w:t>
      </w:r>
      <w:r>
        <w:rPr>
          <w:iCs/>
          <w:i/>
        </w:rPr>
        <w:t xml:space="preserve"> </w:t>
      </w:r>
      <w:r>
        <w:rPr>
          <w:iCs/>
          <w:i/>
        </w:rPr>
        <w:t xml:space="preserve">are as printed; (ii) the sentence ends at the foot of the page and continues on p. 207.)</w:t>
      </w:r>
      <w:r>
        <w:t xml:space="preserve"> </w:t>
      </w:r>
      <w:r>
        <w:rPr>
          <w:bCs/>
          <w:b/>
        </w:rPr>
        <w:t xml:space="preserve">Translation, in outline (what I can support):</w:t>
      </w:r>
      <w:r>
        <w:t xml:space="preserve"> </w:t>
      </w:r>
      <w:r>
        <w:t xml:space="preserve">“</w:t>
      </w:r>
      <w:r>
        <w:t xml:space="preserve">‘</w:t>
      </w:r>
      <w:r>
        <w:t xml:space="preserve">Yoga</w:t>
      </w:r>
      <w:r>
        <w:t xml:space="preserve">’</w:t>
      </w:r>
      <w:r>
        <w:t xml:space="preserve"> </w:t>
      </w:r>
      <w:r>
        <w:t xml:space="preserve">is connection.</w:t>
      </w:r>
      <w:r>
        <w:t xml:space="preserve"> </w:t>
      </w:r>
      <w:r>
        <w:t xml:space="preserve">‘</w:t>
      </w:r>
      <w:r>
        <w:t xml:space="preserve">Yuñjanti</w:t>
      </w:r>
      <w:r>
        <w:t xml:space="preserve">’</w:t>
      </w:r>
      <w:r>
        <w:t xml:space="preserve"> </w:t>
      </w:r>
      <w:r>
        <w:t xml:space="preserve">— they connect; by what? — by capacity, with praises and with oblations; who? — by capacity, the praisers and the sacrificers.</w:t>
      </w:r>
      <w:r>
        <w:t xml:space="preserve"> </w:t>
      </w:r>
      <w:r>
        <w:t xml:space="preserve">‘</w:t>
      </w:r>
      <w:r>
        <w:t xml:space="preserve">Bradhna</w:t>
      </w:r>
      <w:r>
        <w:t xml:space="preserve">’</w:t>
      </w:r>
      <w:r>
        <w:t xml:space="preserve"> </w:t>
      </w:r>
      <w:r>
        <w:t xml:space="preserve">is a name of the</w:t>
      </w:r>
      <w:r>
        <w:t xml:space="preserve"> </w:t>
      </w:r>
      <w:r>
        <w:t xml:space="preserve">‘</w:t>
      </w:r>
      <w:r>
        <w:t xml:space="preserve">great</w:t>
      </w:r>
      <w:r>
        <w:t xml:space="preserve">’</w:t>
      </w:r>
      <w:r>
        <w:t xml:space="preserve"> </w:t>
      </w:r>
      <w:r>
        <w:t xml:space="preserve">— the great Indra.</w:t>
      </w:r>
      <w:r>
        <w:t xml:space="preserve"> </w:t>
      </w:r>
      <w:r>
        <w:t xml:space="preserve">‘</w:t>
      </w:r>
      <w:r>
        <w:t xml:space="preserve">Aruṣam</w:t>
      </w:r>
      <w:r>
        <w:t xml:space="preserve">’</w:t>
      </w:r>
      <w:r>
        <w:t xml:space="preserve"> </w:t>
      </w:r>
      <w:r>
        <w:t xml:space="preserve">— the root</w:t>
      </w:r>
      <w:r>
        <w:t xml:space="preserve"> </w:t>
      </w:r>
      <w:r>
        <w:t xml:space="preserve">‘</w:t>
      </w:r>
      <w:r>
        <w:t xml:space="preserve">ruś</w:t>
      </w:r>
      <w:r>
        <w:t xml:space="preserve">’</w:t>
      </w:r>
      <w:r>
        <w:t xml:space="preserve"> </w:t>
      </w:r>
      <w:r>
        <w:t xml:space="preserve">is in the sense of shining; … [the grammatical explanation of</w:t>
      </w:r>
      <w:r>
        <w:t xml:space="preserve"> </w:t>
      </w:r>
      <w:r>
        <w:t xml:space="preserve">‘</w:t>
      </w:r>
      <w:r>
        <w:t xml:space="preserve">aruṣa</w:t>
      </w:r>
      <w:r>
        <w:t xml:space="preserve">’</w:t>
      </w:r>
      <w:r>
        <w:t xml:space="preserve"> </w:t>
      </w:r>
      <w:r>
        <w:t xml:space="preserve">as</w:t>
      </w:r>
      <w:r>
        <w:t xml:space="preserve"> </w:t>
      </w:r>
      <w:r>
        <w:t xml:space="preserve">‘</w:t>
      </w:r>
      <w:r>
        <w:t xml:space="preserve">shining,</w:t>
      </w:r>
      <w:r>
        <w:t xml:space="preserve">’</w:t>
      </w:r>
      <w:r>
        <w:t xml:space="preserve"> </w:t>
      </w:r>
      <w:r>
        <w:t xml:space="preserve">or as</w:t>
      </w:r>
      <w:r>
        <w:t xml:space="preserve"> </w:t>
      </w:r>
      <w:r>
        <w:t xml:space="preserve">‘</w:t>
      </w:r>
      <w:r>
        <w:t xml:space="preserve">one who goes</w:t>
      </w:r>
      <w:r>
        <w:t xml:space="preserve">’</w:t>
      </w:r>
      <w:r>
        <w:t xml:space="preserve"> </w:t>
      </w:r>
      <w:r>
        <w:t xml:space="preserve">from the root</w:t>
      </w:r>
      <w:r>
        <w:t xml:space="preserve"> </w:t>
      </w:r>
      <w:r>
        <w:t xml:space="preserve">‘</w:t>
      </w:r>
      <w:r>
        <w:t xml:space="preserve">ṛṣ</w:t>
      </w:r>
      <w:r>
        <w:t xml:space="preserve">’</w:t>
      </w:r>
      <w:r>
        <w:t xml:space="preserve"> </w:t>
      </w:r>
      <w:r>
        <w:t xml:space="preserve">in the list of roots of motion — hence</w:t>
      </w:r>
      <w:r>
        <w:t xml:space="preserve"> </w:t>
      </w:r>
      <w:r>
        <w:t xml:space="preserve">‘</w:t>
      </w:r>
      <w:r>
        <w:t xml:space="preserve">aruṣa</w:t>
      </w:r>
      <w:r>
        <w:t xml:space="preserve">’</w:t>
      </w:r>
      <w:r>
        <w:t xml:space="preserve"> </w:t>
      </w:r>
      <w:r>
        <w:t xml:space="preserve">is</w:t>
      </w:r>
      <w:r>
        <w:t xml:space="preserve"> </w:t>
      </w:r>
      <w:r>
        <w:t xml:space="preserve">‘</w:t>
      </w:r>
      <w:r>
        <w:t xml:space="preserve">one who goes</w:t>
      </w:r>
      <w:r>
        <w:t xml:space="preserve">’</w:t>
      </w:r>
      <w:r>
        <w:t xml:space="preserve"> </w:t>
      </w:r>
      <w:r>
        <w:t xml:space="preserve">—</w:t>
      </w:r>
      <w:r>
        <w:t xml:space="preserve"> </w:t>
      </w:r>
      <w:r>
        <w:t xml:space="preserve">‘</w:t>
      </w:r>
      <w:r>
        <w:t xml:space="preserve">one who goes against enemies or to sacrifices</w:t>
      </w:r>
      <w:r>
        <w:t xml:space="preserve">’</w:t>
      </w:r>
      <w:r>
        <w:t xml:space="preserve">].</w:t>
      </w:r>
      <w:r>
        <w:t xml:space="preserve"> </w:t>
      </w:r>
      <w:r>
        <w:t xml:space="preserve">‘</w:t>
      </w:r>
      <w:r>
        <w:t xml:space="preserve">Carantam</w:t>
      </w:r>
      <w:r>
        <w:t xml:space="preserve">’</w:t>
      </w:r>
      <w:r>
        <w:t xml:space="preserve"> </w:t>
      </w:r>
      <w:r>
        <w:t xml:space="preserve">— going all around, in every direction: wherever Indra goes, there the praisers and the sacrificers praise him. Or:</w:t>
      </w:r>
      <w:r>
        <w:t xml:space="preserve"> </w:t>
      </w:r>
      <w:r>
        <w:t xml:space="preserve">‘</w:t>
      </w:r>
      <w:r>
        <w:t xml:space="preserve">yuñjanti,</w:t>
      </w:r>
      <w:r>
        <w:t xml:space="preserve">’</w:t>
      </w:r>
      <w:r>
        <w:t xml:space="preserve"> </w:t>
      </w:r>
      <w:r>
        <w:t xml:space="preserve">though the plain root</w:t>
      </w:r>
      <w:r>
        <w:t xml:space="preserve"> </w:t>
      </w:r>
      <w:r>
        <w:t xml:space="preserve">‘</w:t>
      </w:r>
      <w:r>
        <w:t xml:space="preserve">yuj,</w:t>
      </w:r>
      <w:r>
        <w:t xml:space="preserve">’</w:t>
      </w:r>
      <w:r>
        <w:t xml:space="preserve"> </w:t>
      </w:r>
      <w:r>
        <w:t xml:space="preserve">is by capacity to be understood in the sense of a prefixed verb (</w:t>
      </w:r>
      <w:r>
        <w:t xml:space="preserve">‘</w:t>
      </w:r>
      <w:r>
        <w:t xml:space="preserve">niyuñjate</w:t>
      </w:r>
      <w:r>
        <w:t xml:space="preserve">’</w:t>
      </w:r>
      <w:r>
        <w:t xml:space="preserve">): the praisers and sacrificers</w:t>
      </w:r>
      <w:r>
        <w:t xml:space="preserve"> </w:t>
      </w:r>
      <w:r>
        <w:t xml:space="preserve">‘</w:t>
      </w:r>
      <w:r>
        <w:t xml:space="preserve">engage</w:t>
      </w:r>
      <w:r>
        <w:t xml:space="preserve">’</w:t>
      </w:r>
      <w:r>
        <w:t xml:space="preserve"> </w:t>
      </w:r>
      <w:r>
        <w:t xml:space="preserve">him for the accomplishing of their own aims; Indra, great and shining and going in all directions — wherever he goes, there men beg of him,</w:t>
      </w:r>
      <w:r>
        <w:t xml:space="preserve"> </w:t>
      </w:r>
      <w:r>
        <w:t xml:space="preserve">‘</w:t>
      </w:r>
      <w:r>
        <w:t xml:space="preserve">do this and that for us.</w:t>
      </w:r>
      <w:r>
        <w:t xml:space="preserve">’</w:t>
      </w:r>
      <w:r>
        <w:t xml:space="preserve"> </w:t>
      </w:r>
      <w:r>
        <w:t xml:space="preserve">… [the remainder — on the chariot — is garbled in the print and I do not translate it].</w:t>
      </w:r>
      <w:r>
        <w:t xml:space="preserve">”</w:t>
      </w:r>
    </w:p>
    <w:bookmarkEnd w:id="243"/>
    <w:bookmarkStart w:id="244" w:name="X312ea1de95b5cabbc144cd4bdfa21847502fdc0"/>
    <w:p>
      <w:pPr>
        <w:pStyle w:val="Heading3"/>
      </w:pPr>
      <w:r>
        <w:t xml:space="preserve">Page 207 — Skandasvāmī’s commentary (concluded)</w:t>
      </w:r>
    </w:p>
    <w:p>
      <w:pPr>
        <w:pStyle w:val="FirstParagraph"/>
      </w:pPr>
      <w:r>
        <w:rPr>
          <w:iCs/>
          <w:i/>
        </w:rPr>
        <w:t xml:space="preserve">(Page header:</w:t>
      </w:r>
      <w:r>
        <w:rPr>
          <w:iCs/>
          <w:i/>
        </w:rPr>
        <w:t xml:space="preserve"> </w:t>
      </w:r>
      <w:r>
        <w:rPr>
          <w:iCs/>
          <w:i/>
        </w:rPr>
        <w:t xml:space="preserve">“</w:t>
      </w:r>
      <w:r>
        <w:rPr>
          <w:iCs/>
          <w:i/>
        </w:rPr>
        <w:t xml:space="preserve">Aṣṭaka 1, Adhyāya 1, Varga 11 · Ṛgveda-saṃhitā.</w:t>
      </w:r>
      <w:r>
        <w:rPr>
          <w:iCs/>
          <w:i/>
        </w:rPr>
        <w:t xml:space="preserve">”</w:t>
      </w:r>
      <w:r>
        <w:rPr>
          <w:iCs/>
          <w:i/>
        </w:rPr>
        <w:t xml:space="preserve"> </w:t>
      </w:r>
      <w:r>
        <w:rPr>
          <w:iCs/>
          <w:i/>
        </w:rPr>
        <w:t xml:space="preserve">Sanskrit printed in Kannada script, read from enlarged slices; [?] marks every place where letters are crowded or doubtful. The Brāhmaṇa-style argument at the foot of the page is very compressed; I give the Sanskrit as read and a translation in outline, saying where the sense is uncertain.)</w:t>
      </w:r>
    </w:p>
    <w:p>
      <w:pPr>
        <w:pStyle w:val="BlockText"/>
      </w:pPr>
      <w:r>
        <w:t xml:space="preserve">…च सर्वतो गच्छन्तम् । के, सामर्थ्यात् सारथयो मातलिप्रभृतयः । अन्येऽस्य रथं युञ्जन्ति । स नः स्वयं युनक्ति ब्रध्नादिगुणः युञ्जन्ति न किंचिदिति । एवं गुणकीर्तनादिन्द्रस्यैयं स्तुतिः । किंच तस्थुषः रोचन्ते रोचना दिवि । तस्थुष इति षष्ठीनिर्देशात् प्रभावेनेति वाक्यशेषः । स्थितस्य व्याप्रियमाणेन्द्रस्य प्रभावेन रोचन्ते दीप्यन्ते । रोचना दीप्तिस्वभावकानि नक्षत्राणि दिवि द्युलोके । कथंपुनरिन्द्रप्रभावेन नक्षत्राणि दीप्यन्ते । उच्यते । वक्ष्यते —</w:t>
      </w:r>
      <w:r>
        <w:t xml:space="preserve"> </w:t>
      </w:r>
      <w:r>
        <w:t xml:space="preserve">“</w:t>
      </w:r>
      <w:r>
        <w:t xml:space="preserve">इन्द्रो दीर्घाय चक्षस आ सूर्यं रोहयद्दिवि</w:t>
      </w:r>
      <w:r>
        <w:t xml:space="preserve">”</w:t>
      </w:r>
      <w:r>
        <w:t xml:space="preserve"> </w:t>
      </w:r>
      <w:r>
        <w:t xml:space="preserve">इति । सूर्यस्य प्रभावश्च सुषुम्नो नाम रश्मिः तत्संबन्धाच्चन्द्रमा नक्षत्राणि च दीप्यन्ते । अथवा युजिरुत्पूर्वार्थे । अन्तर्णीतण्यर्थश्च द्रष्टव्यः । उद्योजयन्त्युत्साहयन्ति वृष्टिकर्माणि ब्रध्नमरुषं चेन्द्रम् । किं कुर्वन्तम् । उच्यते । चरन्तं परि तस्थुषः । परिशब्दो लक्षणे कर्मप्रवचनीयः तस्थुष इत्यनेन च संबध्यते । तस्थिवःशब्दः स्थावरवचनः । गच्छन्तं स्थावराणि प्रति । स्थावरग्रहणं चात्र जङ्गमस्यापि प्रदर्शनार्थम् । सोमपानायासुरयुद्धलोलुपतया जङ्गमस्थावरात्मकं कृत्स्नं (जनम्, जगत्) परिभ्रमन्तमित्यर्थः । के उद्योजयन्ति । उच्यते । रोचन्ते रोचना दिवि । एकवाक्यताप्रसिद्ध्यर्थं यत्तच्छब्दावध्याहार्यौ । आदित्यरश्मयो रोचन्ते रोचना दिवि ते आदित्यरश्मयो हि प्रावृडारम्भे रसादातारः । ते रसानर्पयन्तः उद्योजयन्तीन्द्रं वृष्टिकर्मणि । एतस्मिन्नर्थे रश्मिविषयत्वात् रोचनेत्येतत् पदमूष्मान्तन्यायं दृश्यते न स्वरान्तमन्तो नैष पदकाराभिप्रायः । ज्योतिष्पेक्षं वा रश्मीनां नपुंसकत्वम् । अध्वर्युवस्त्वादित्यदेवताम्ऋचं मन्यन्ते । कथम् । एतेषां हि विनियोजनेऽपि युक्तश्चाश्वोऽनयादित्यरूपेणोच्यते । कथमवगम्यते । श्रुतेः । एवं हि श्रुतिर्भवति — युञ्जन्ति ब्रध्नमरुषमित्याह । असौ वा आदित्यो ब्रध्नः । अरुषोऽमुमेवास्मादादित्यं युनक्ति । सुवर्गस्य लोकस्य समष्ट्यै इति । तस्मादादित्यदेवत्येयमिति । तन्न । तत्रापि विनियोगवशान्नियुज्यमानोऽश्वो ब्रध्नोऽरुषश्चोच्यते । भक्तिमात्रं तु श्रुतिः । अपि च यदि श्रुतिबलात् तत्रादित्यो देवता, तथा नाम इह त्वैन्द्रप्रकरणे समाना ब्रध्नारुषयोश्चेन्द्रेऽपि संभवात् । परस्यां च ऋच्यस्य शब्देनानुवादात् । तेनेहादिष्टस्य ब्रध्नस्यान्वादेशात् तस्याश्च ऋचो हरिसंबन्धाद्यैन्द्रतायाः असंदिग्धत्वाद् ऐन्द्रत्वमेवास्या ऋच इति ॥</w:t>
      </w:r>
      <w:r>
        <w:t xml:space="preserve"> </w:t>
      </w:r>
      <w:r>
        <w:rPr>
          <w:iCs/>
          <w:i/>
        </w:rPr>
        <w:t xml:space="preserve">…ca sarvato gacchantam | ke, sāmarthyāt sārathayo mātaliprabhṛtayaḥ | anye ’sya rathaṃ yuñjanti | sa naḥ svayaṃ yunakti bradhnādiguṇaḥ yuñjanti na kiṃciditi | evaṃ guṇakīrtanādindrasyaiyaṃ stutiḥ | kiṃca tasthuṣaḥ rocante rocanā divi | tasthuṣa iti ṣaṣṭhīnirdeśāt prabhāveneti vākyaśeṣaḥ | sthitasya vyāpriyamāṇendrasya prabhāvena rocante dīpyante | rocanā dīptisvabhāvakāni nakṣatrāṇi divi dyuloke | kathaṃpunarindraprabhāvena nakṣatrāṇi dīpyante | ucyate | vakṣyate —</w:t>
      </w:r>
      <w:r>
        <w:rPr>
          <w:iCs/>
          <w:i/>
        </w:rPr>
        <w:t xml:space="preserve"> </w:t>
      </w:r>
      <w:r>
        <w:rPr>
          <w:iCs/>
          <w:i/>
        </w:rPr>
        <w:t xml:space="preserve">“</w:t>
      </w:r>
      <w:r>
        <w:rPr>
          <w:iCs/>
          <w:i/>
        </w:rPr>
        <w:t xml:space="preserve">indro dīrghāya cakṣasa ā sūryaṃ rohayaddivi</w:t>
      </w:r>
      <w:r>
        <w:rPr>
          <w:iCs/>
          <w:i/>
        </w:rPr>
        <w:t xml:space="preserve">”</w:t>
      </w:r>
      <w:r>
        <w:rPr>
          <w:iCs/>
          <w:i/>
        </w:rPr>
        <w:t xml:space="preserve"> </w:t>
      </w:r>
      <w:r>
        <w:rPr>
          <w:iCs/>
          <w:i/>
        </w:rPr>
        <w:t xml:space="preserve">iti | sūryasya prabhāvaśca suṣumno nāma raśmiḥ tatsaṃbandhāccandramā nakṣatrāṇi ca dīpyante | athavā yujirutpūrvārthe | antarṇītaṇyarthaśca draṣṭavyaḥ | udyojayantyutsāhayanti vṛṣṭikarmāṇi bradhnamaruṣaṃ cendram | kiṃ kurvantam | ucyate | carantaṃ pari tasthuṣaḥ | pariśabdo lakṣaṇe karmapravacanīyaḥ tasthuṣa ityanena ca saṃbadhyate | tasthivaḥśabdaḥ sthāvaravacanaḥ | gacchantaṃ sthāvarāṇi prati | sthāvaragrahaṇaṃ cātra jaṅgamasyāpi pradarśanārtham | somapānāyāsurayuddhalolupatayā jaṅgamasthāvarātmakaṃ kṛtsnaṃ (janam, jagat) paribhramantamityarthaḥ | ke udyojayanti | ucyate | rocante rocanā divi | ekavākyatāprasiddhyarthaṃ yattacchabdāvadhyāhāryau | ādityaraśmayo rocante rocanā divi te ādityaraśmayo hi prāvṛḍārambhe rasādātāraḥ | te rasānarpayantaḥ udyojayantīndraṃ vṛṣṭikarmaṇi | etasminnarthe raśmiviṣayatvāt rocanetyetat padamūṣmāntanyāyaṃ dṛśyate na svarāntamanto naiṣa padakārābhiprāyaḥ | jyotiṣpekṣaṃ vā raśmīnāṃ napuṃsakatvam | adhvaryuvastvādityadevatāmṛcaṃ manyante | katham | eteṣāṃ hi viniyojane ’pi yuktaścāśvo ’nayādityarūpeṇocyate | kathamavagamyate | śruteḥ | evaṃ hi śrutirbhavati — yuñjanti bradhnamaruṣamityāha | asau vā ādityo bradhnaḥ | aruṣo ’mumevāsmādādityaṃ yunakti | suvargasya lokasya samaṣṭyai iti | tasmādādityadevatyeyamiti | tanna | tatrāpi viniyogavaśānniyujyamāno ’śvo bradhno ’ruṣaścocyate | bhaktimātraṃ tu śrutiḥ | api ca yadi śrutibalāt tatrādityo devatā, tathā nāma iha tvaindraprakaraṇe samānā bradhnāruṣayoścendre ’pi saṃbhavāt | parasyāṃ ca ṛcyasya śabdenānuvādāt | tenehādiṣṭasya bradhnasyānvādeśāt tasyāśca ṛco harisaṃbandhādyaindratāyāḥ asaṃdigdhatvād aindratvamevāsyā ṛca iti ‖</w:t>
      </w:r>
      <w:r>
        <w:t xml:space="preserve"> </w:t>
      </w:r>
      <w:r>
        <w:rPr>
          <w:iCs/>
          <w:i/>
        </w:rPr>
        <w:t xml:space="preserve">(Reading notes: (i) the first words</w:t>
      </w:r>
      <w:r>
        <w:rPr>
          <w:iCs/>
          <w:i/>
        </w:rPr>
        <w:t xml:space="preserve"> </w:t>
      </w:r>
      <w:r>
        <w:rPr>
          <w:iCs/>
          <w:i/>
        </w:rPr>
        <w:t xml:space="preserve">“</w:t>
      </w:r>
      <w:r>
        <w:rPr>
          <w:iCs/>
          <w:i/>
        </w:rPr>
        <w:t xml:space="preserve">ca sarvato gacchantam</w:t>
      </w:r>
      <w:r>
        <w:rPr>
          <w:iCs/>
          <w:i/>
        </w:rPr>
        <w:t xml:space="preserve">”</w:t>
      </w:r>
      <w:r>
        <w:rPr>
          <w:iCs/>
          <w:i/>
        </w:rPr>
        <w:t xml:space="preserve"> </w:t>
      </w:r>
      <w:r>
        <w:rPr>
          <w:iCs/>
          <w:i/>
        </w:rPr>
        <w:t xml:space="preserve">continue the sentence broken at the foot of p. 206; (ii) re-read from the better scan:</w:t>
      </w:r>
      <w:r>
        <w:rPr>
          <w:iCs/>
          <w:i/>
        </w:rPr>
        <w:t xml:space="preserve"> </w:t>
      </w:r>
      <w:r>
        <w:rPr>
          <w:iCs/>
          <w:i/>
        </w:rPr>
        <w:t xml:space="preserve">“</w:t>
      </w:r>
      <w:r>
        <w:rPr>
          <w:iCs/>
          <w:i/>
        </w:rPr>
        <w:t xml:space="preserve">viniyojane ’pi yuktaś cāśvo ’nayādityarūpeṇocyate | katham avagamyate,</w:t>
      </w:r>
      <w:r>
        <w:rPr>
          <w:iCs/>
          <w:i/>
        </w:rPr>
        <w:t xml:space="preserve">”</w:t>
      </w:r>
      <w:r>
        <w:rPr>
          <w:iCs/>
          <w:i/>
        </w:rPr>
        <w:t xml:space="preserve"> </w:t>
      </w:r>
      <w:r>
        <w:rPr>
          <w:iCs/>
          <w:i/>
        </w:rPr>
        <w:t xml:space="preserve">“</w:t>
      </w:r>
      <w:r>
        <w:rPr>
          <w:iCs/>
          <w:i/>
        </w:rPr>
        <w:t xml:space="preserve">aśvo,</w:t>
      </w:r>
      <w:r>
        <w:rPr>
          <w:iCs/>
          <w:i/>
        </w:rPr>
        <w:t xml:space="preserve">”</w:t>
      </w:r>
      <w:r>
        <w:rPr>
          <w:iCs/>
          <w:i/>
        </w:rPr>
        <w:t xml:space="preserve"> </w:t>
      </w:r>
      <w:r>
        <w:rPr>
          <w:iCs/>
          <w:i/>
        </w:rPr>
        <w:t xml:space="preserve">“</w:t>
      </w:r>
      <w:r>
        <w:rPr>
          <w:iCs/>
          <w:i/>
        </w:rPr>
        <w:t xml:space="preserve">tathā nāma,</w:t>
      </w:r>
      <w:r>
        <w:rPr>
          <w:iCs/>
          <w:i/>
        </w:rPr>
        <w:t xml:space="preserve">”</w:t>
      </w:r>
      <w:r>
        <w:rPr>
          <w:iCs/>
          <w:i/>
        </w:rPr>
        <w:t xml:space="preserve"> </w:t>
      </w:r>
      <w:r>
        <w:rPr>
          <w:iCs/>
          <w:i/>
        </w:rPr>
        <w:t xml:space="preserve">“</w:t>
      </w:r>
      <w:r>
        <w:rPr>
          <w:iCs/>
          <w:i/>
        </w:rPr>
        <w:t xml:space="preserve">ṛcy asya śabdenānuvādāt,</w:t>
      </w:r>
      <w:r>
        <w:rPr>
          <w:iCs/>
          <w:i/>
        </w:rPr>
        <w:t xml:space="preserve">”</w:t>
      </w:r>
      <w:r>
        <w:rPr>
          <w:iCs/>
          <w:i/>
        </w:rPr>
        <w:t xml:space="preserve"> </w:t>
      </w:r>
      <w:r>
        <w:rPr>
          <w:iCs/>
          <w:i/>
        </w:rPr>
        <w:t xml:space="preserve">“</w:t>
      </w:r>
      <w:r>
        <w:rPr>
          <w:iCs/>
          <w:i/>
        </w:rPr>
        <w:t xml:space="preserve">ādiṣṭasya … anvādeśāt,</w:t>
      </w:r>
      <w:r>
        <w:rPr>
          <w:iCs/>
          <w:i/>
        </w:rPr>
        <w:t xml:space="preserve">”</w:t>
      </w:r>
      <w:r>
        <w:rPr>
          <w:iCs/>
          <w:i/>
        </w:rPr>
        <w:t xml:space="preserve"> </w:t>
      </w:r>
      <w:r>
        <w:rPr>
          <w:iCs/>
          <w:i/>
        </w:rPr>
        <w:t xml:space="preserve">“</w:t>
      </w:r>
      <w:r>
        <w:rPr>
          <w:iCs/>
          <w:i/>
        </w:rPr>
        <w:t xml:space="preserve">yat-tac-chabdau,</w:t>
      </w:r>
      <w:r>
        <w:rPr>
          <w:iCs/>
          <w:i/>
        </w:rPr>
        <w:t xml:space="preserve">”</w:t>
      </w:r>
      <w:r>
        <w:rPr>
          <w:iCs/>
          <w:i/>
        </w:rPr>
        <w:t xml:space="preserve"> </w:t>
      </w:r>
      <w:r>
        <w:rPr>
          <w:iCs/>
          <w:i/>
        </w:rPr>
        <w:t xml:space="preserve">“</w:t>
      </w:r>
      <w:r>
        <w:rPr>
          <w:iCs/>
          <w:i/>
        </w:rPr>
        <w:t xml:space="preserve">asura-yuddha-lolupatayā,</w:t>
      </w:r>
      <w:r>
        <w:rPr>
          <w:iCs/>
          <w:i/>
        </w:rPr>
        <w:t xml:space="preserve">”</w:t>
      </w:r>
      <w:r>
        <w:rPr>
          <w:iCs/>
          <w:i/>
        </w:rPr>
        <w:t xml:space="preserve"> </w:t>
      </w:r>
      <w:r>
        <w:rPr>
          <w:iCs/>
          <w:i/>
        </w:rPr>
        <w:t xml:space="preserve">“</w:t>
      </w:r>
      <w:r>
        <w:rPr>
          <w:iCs/>
          <w:i/>
        </w:rPr>
        <w:t xml:space="preserve">utsāhayanti</w:t>
      </w:r>
      <w:r>
        <w:rPr>
          <w:iCs/>
          <w:i/>
        </w:rPr>
        <w:t xml:space="preserve">”</w:t>
      </w:r>
      <w:r>
        <w:rPr>
          <w:iCs/>
          <w:i/>
        </w:rPr>
        <w:t xml:space="preserve">; (iii) translated in outline.)</w:t>
      </w:r>
      <w:r>
        <w:t xml:space="preserve"> </w:t>
      </w:r>
      <w:r>
        <w:rPr>
          <w:bCs/>
          <w:b/>
        </w:rPr>
        <w:t xml:space="preserve">Translation, in outline:</w:t>
      </w:r>
      <w:r>
        <w:t xml:space="preserve"> </w:t>
      </w:r>
      <w:r>
        <w:t xml:space="preserve">“</w:t>
      </w:r>
      <w:r>
        <w:t xml:space="preserve">…and going in every direction. Who (engages him)? By capacity, charioteers such as Mātali; others yoke his chariot;</w:t>
      </w:r>
      <w:r>
        <w:t xml:space="preserve"> </w:t>
      </w:r>
      <w:r>
        <w:t xml:space="preserve">‘</w:t>
      </w:r>
      <w:r>
        <w:t xml:space="preserve">he himself yokes us</w:t>
      </w:r>
      <w:r>
        <w:t xml:space="preserve">’</w:t>
      </w:r>
      <w:r>
        <w:t xml:space="preserve"> </w:t>
      </w:r>
      <w:r>
        <w:t xml:space="preserve">— one endowed with</w:t>
      </w:r>
      <w:r>
        <w:t xml:space="preserve"> </w:t>
      </w:r>
      <w:r>
        <w:t xml:space="preserve">‘</w:t>
      </w:r>
      <w:r>
        <w:t xml:space="preserve">bradhna</w:t>
      </w:r>
      <w:r>
        <w:t xml:space="preserve">’</w:t>
      </w:r>
      <w:r>
        <w:t xml:space="preserve"> </w:t>
      </w:r>
      <w:r>
        <w:t xml:space="preserve">and other qualities; they yoke nothing (else) (?). Thus this is praise of Indra by the proclaiming of his qualities. Further:</w:t>
      </w:r>
      <w:r>
        <w:t xml:space="preserve"> </w:t>
      </w:r>
      <w:r>
        <w:t xml:space="preserve">‘</w:t>
      </w:r>
      <w:r>
        <w:t xml:space="preserve">tasthuṣaḥ rocante rocanā divi</w:t>
      </w:r>
      <w:r>
        <w:t xml:space="preserve">’</w:t>
      </w:r>
      <w:r>
        <w:t xml:space="preserve"> </w:t>
      </w:r>
      <w:r>
        <w:t xml:space="preserve">— by the genitive</w:t>
      </w:r>
      <w:r>
        <w:t xml:space="preserve"> </w:t>
      </w:r>
      <w:r>
        <w:t xml:space="preserve">‘</w:t>
      </w:r>
      <w:r>
        <w:t xml:space="preserve">tasthuṣaḥ</w:t>
      </w:r>
      <w:r>
        <w:t xml:space="preserve">’</w:t>
      </w:r>
      <w:r>
        <w:t xml:space="preserve"> </w:t>
      </w:r>
      <w:r>
        <w:t xml:space="preserve">the supplied word is</w:t>
      </w:r>
      <w:r>
        <w:t xml:space="preserve"> </w:t>
      </w:r>
      <w:r>
        <w:t xml:space="preserve">‘</w:t>
      </w:r>
      <w:r>
        <w:t xml:space="preserve">by the power</w:t>
      </w:r>
      <w:r>
        <w:t xml:space="preserve">’</w:t>
      </w:r>
      <w:r>
        <w:t xml:space="preserve">: by the power of Indra, who is stationed and active,</w:t>
      </w:r>
      <w:r>
        <w:t xml:space="preserve"> </w:t>
      </w:r>
      <w:r>
        <w:t xml:space="preserve">‘</w:t>
      </w:r>
      <w:r>
        <w:t xml:space="preserve">rocante</w:t>
      </w:r>
      <w:r>
        <w:t xml:space="preserve">’</w:t>
      </w:r>
      <w:r>
        <w:t xml:space="preserve"> </w:t>
      </w:r>
      <w:r>
        <w:t xml:space="preserve">— shine;</w:t>
      </w:r>
      <w:r>
        <w:t xml:space="preserve"> </w:t>
      </w:r>
      <w:r>
        <w:t xml:space="preserve">‘</w:t>
      </w:r>
      <w:r>
        <w:t xml:space="preserve">rocanā</w:t>
      </w:r>
      <w:r>
        <w:t xml:space="preserve">’</w:t>
      </w:r>
      <w:r>
        <w:t xml:space="preserve"> </w:t>
      </w:r>
      <w:r>
        <w:t xml:space="preserve">— the stars, whose nature is shining,</w:t>
      </w:r>
      <w:r>
        <w:t xml:space="preserve"> </w:t>
      </w:r>
      <w:r>
        <w:t xml:space="preserve">‘</w:t>
      </w:r>
      <w:r>
        <w:t xml:space="preserve">divi</w:t>
      </w:r>
      <w:r>
        <w:t xml:space="preserve">’</w:t>
      </w:r>
      <w:r>
        <w:t xml:space="preserve"> </w:t>
      </w:r>
      <w:r>
        <w:t xml:space="preserve">— in heaven. How, then, do the stars shine by Indra’s power? It will be said:</w:t>
      </w:r>
      <w:r>
        <w:t xml:space="preserve"> </w:t>
      </w:r>
      <w:r>
        <w:t xml:space="preserve">‘</w:t>
      </w:r>
      <w:r>
        <w:rPr>
          <w:iCs/>
          <w:i/>
        </w:rPr>
        <w:t xml:space="preserve">Indra made the Sun rise in heaven for long sight</w:t>
      </w:r>
      <w:r>
        <w:t xml:space="preserve">’</w:t>
      </w:r>
      <w:r>
        <w:t xml:space="preserve"> </w:t>
      </w:r>
      <w:r>
        <w:t xml:space="preserve">(a quotation, as printed). The Sun’s power is the ray called Suṣumna, and by connection with it the Moon and stars shine. Or else the root</w:t>
      </w:r>
      <w:r>
        <w:t xml:space="preserve"> </w:t>
      </w:r>
      <w:r>
        <w:t xml:space="preserve">‘</w:t>
      </w:r>
      <w:r>
        <w:t xml:space="preserve">yuj</w:t>
      </w:r>
      <w:r>
        <w:t xml:space="preserve">’</w:t>
      </w:r>
      <w:r>
        <w:t xml:space="preserve"> </w:t>
      </w:r>
      <w:r>
        <w:t xml:space="preserve">has the sense</w:t>
      </w:r>
      <w:r>
        <w:t xml:space="preserve"> </w:t>
      </w:r>
      <w:r>
        <w:t xml:space="preserve">‘</w:t>
      </w:r>
      <w:r>
        <w:t xml:space="preserve">ut-</w:t>
      </w:r>
      <w:r>
        <w:t xml:space="preserve">’</w:t>
      </w:r>
      <w:r>
        <w:t xml:space="preserve"> </w:t>
      </w:r>
      <w:r>
        <w:t xml:space="preserve">(</w:t>
      </w:r>
      <w:r>
        <w:t xml:space="preserve">‘</w:t>
      </w:r>
      <w:r>
        <w:t xml:space="preserve">up</w:t>
      </w:r>
      <w:r>
        <w:t xml:space="preserve">’</w:t>
      </w:r>
      <w:r>
        <w:t xml:space="preserve">): it must be understood with the causal sense included —</w:t>
      </w:r>
      <w:r>
        <w:t xml:space="preserve"> </w:t>
      </w:r>
      <w:r>
        <w:t xml:space="preserve">‘</w:t>
      </w:r>
      <w:r>
        <w:t xml:space="preserve">they urge up, they stir up Indra, great and ruddy, to the rain-work.</w:t>
      </w:r>
      <w:r>
        <w:t xml:space="preserve">’</w:t>
      </w:r>
      <w:r>
        <w:t xml:space="preserve"> </w:t>
      </w:r>
      <w:r>
        <w:t xml:space="preserve">Doing what?</w:t>
      </w:r>
      <w:r>
        <w:t xml:space="preserve"> </w:t>
      </w:r>
      <w:r>
        <w:t xml:space="preserve">‘</w:t>
      </w:r>
      <w:r>
        <w:t xml:space="preserve">Carantam pari tasthuṣaḥ</w:t>
      </w:r>
      <w:r>
        <w:t xml:space="preserve">’</w:t>
      </w:r>
      <w:r>
        <w:t xml:space="preserve"> </w:t>
      </w:r>
      <w:r>
        <w:t xml:space="preserve">—</w:t>
      </w:r>
      <w:r>
        <w:t xml:space="preserve"> </w:t>
      </w:r>
      <w:r>
        <w:t xml:space="preserve">‘</w:t>
      </w:r>
      <w:r>
        <w:t xml:space="preserve">pari</w:t>
      </w:r>
      <w:r>
        <w:t xml:space="preserve">’</w:t>
      </w:r>
      <w:r>
        <w:t xml:space="preserve"> </w:t>
      </w:r>
      <w:r>
        <w:t xml:space="preserve">is a karmapravacanīya in the sense of</w:t>
      </w:r>
      <w:r>
        <w:t xml:space="preserve"> </w:t>
      </w:r>
      <w:r>
        <w:t xml:space="preserve">‘</w:t>
      </w:r>
      <w:r>
        <w:t xml:space="preserve">around</w:t>
      </w:r>
      <w:r>
        <w:t xml:space="preserve">’</w:t>
      </w:r>
      <w:r>
        <w:t xml:space="preserve"> </w:t>
      </w:r>
      <w:r>
        <w:t xml:space="preserve">and is connected with</w:t>
      </w:r>
      <w:r>
        <w:t xml:space="preserve"> </w:t>
      </w:r>
      <w:r>
        <w:t xml:space="preserve">‘</w:t>
      </w:r>
      <w:r>
        <w:t xml:space="preserve">tasthuṣaḥ</w:t>
      </w:r>
      <w:r>
        <w:t xml:space="preserve">’</w:t>
      </w:r>
      <w:r>
        <w:t xml:space="preserve"> </w:t>
      </w:r>
      <w:r>
        <w:t xml:space="preserve">— the word means</w:t>
      </w:r>
      <w:r>
        <w:t xml:space="preserve"> </w:t>
      </w:r>
      <w:r>
        <w:t xml:space="preserve">‘</w:t>
      </w:r>
      <w:r>
        <w:t xml:space="preserve">the stationary</w:t>
      </w:r>
      <w:r>
        <w:t xml:space="preserve">’</w:t>
      </w:r>
      <w:r>
        <w:t xml:space="preserve">: going toward the stationary; the mention of the stationary here is also to show the moving ones: moving around the whole world of moving and stationary beings, out of eagerness for the battle with the Asuras, for the Soma-drinking. Who stir him up? —</w:t>
      </w:r>
      <w:r>
        <w:t xml:space="preserve"> </w:t>
      </w:r>
      <w:r>
        <w:t xml:space="preserve">‘</w:t>
      </w:r>
      <w:r>
        <w:t xml:space="preserve">rocante rocanā divi</w:t>
      </w:r>
      <w:r>
        <w:t xml:space="preserve">’</w:t>
      </w:r>
      <w:r>
        <w:t xml:space="preserve">: for the unity of the sentence</w:t>
      </w:r>
      <w:r>
        <w:t xml:space="preserve"> </w:t>
      </w:r>
      <w:r>
        <w:t xml:space="preserve">‘</w:t>
      </w:r>
      <w:r>
        <w:t xml:space="preserve">yat</w:t>
      </w:r>
      <w:r>
        <w:t xml:space="preserve">’</w:t>
      </w:r>
      <w:r>
        <w:t xml:space="preserve"> </w:t>
      </w:r>
      <w:r>
        <w:t xml:space="preserve">and</w:t>
      </w:r>
      <w:r>
        <w:t xml:space="preserve"> </w:t>
      </w:r>
      <w:r>
        <w:t xml:space="preserve">‘</w:t>
      </w:r>
      <w:r>
        <w:t xml:space="preserve">tat</w:t>
      </w:r>
      <w:r>
        <w:t xml:space="preserve">’</w:t>
      </w:r>
      <w:r>
        <w:t xml:space="preserve"> </w:t>
      </w:r>
      <w:r>
        <w:t xml:space="preserve">must be supplied: the Sun’s rays shine in heaven; those rays, at the beginning of the rainy season, take up the juices; offering those juices, they stir Indra to the rain-work. (Grammatical remarks on the neuter</w:t>
      </w:r>
      <w:r>
        <w:t xml:space="preserve"> </w:t>
      </w:r>
      <w:r>
        <w:t xml:space="preserve">‘</w:t>
      </w:r>
      <w:r>
        <w:t xml:space="preserve">rocanā</w:t>
      </w:r>
      <w:r>
        <w:t xml:space="preserve">’</w:t>
      </w:r>
      <w:r>
        <w:t xml:space="preserve"> </w:t>
      </w:r>
      <w:r>
        <w:t xml:space="preserve">follow.) … But the Adhvaryus regard the Ṛk as having the Sun for its deity. How?</w:t>
      </w:r>
      <w:r>
        <w:t xml:space="preserve"> </w:t>
      </w:r>
      <w:r>
        <w:t xml:space="preserve">‘</w:t>
      </w:r>
      <w:r>
        <w:t xml:space="preserve">For in the application of these (mantras) the yoked horse is spoken of in the form of the Sun.</w:t>
      </w:r>
      <w:r>
        <w:t xml:space="preserve">’</w:t>
      </w:r>
      <w:r>
        <w:t xml:space="preserve"> </w:t>
      </w:r>
      <w:r>
        <w:t xml:space="preserve">How is that known? From Śruti:</w:t>
      </w:r>
      <w:r>
        <w:t xml:space="preserve"> </w:t>
      </w:r>
      <w:r>
        <w:t xml:space="preserve">‘</w:t>
      </w:r>
      <w:r>
        <w:rPr>
          <w:iCs/>
          <w:i/>
        </w:rPr>
        <w:t xml:space="preserve">“</w:t>
      </w:r>
      <w:r>
        <w:rPr>
          <w:iCs/>
          <w:i/>
        </w:rPr>
        <w:t xml:space="preserve">Yuñjanti bradhnam aruṣam,</w:t>
      </w:r>
      <w:r>
        <w:rPr>
          <w:iCs/>
          <w:i/>
        </w:rPr>
        <w:t xml:space="preserve">”</w:t>
      </w:r>
      <w:r>
        <w:rPr>
          <w:iCs/>
          <w:i/>
        </w:rPr>
        <w:t xml:space="preserve"> </w:t>
      </w:r>
      <w:r>
        <w:rPr>
          <w:iCs/>
          <w:i/>
        </w:rPr>
        <w:t xml:space="preserve">it says: yonder Sun is</w:t>
      </w:r>
      <w:r>
        <w:rPr>
          <w:iCs/>
          <w:i/>
        </w:rPr>
        <w:t xml:space="preserve"> </w:t>
      </w:r>
      <w:r>
        <w:rPr>
          <w:iCs/>
          <w:i/>
        </w:rPr>
        <w:t xml:space="preserve">“</w:t>
      </w:r>
      <w:r>
        <w:rPr>
          <w:iCs/>
          <w:i/>
        </w:rPr>
        <w:t xml:space="preserve">bradhna</w:t>
      </w:r>
      <w:r>
        <w:rPr>
          <w:iCs/>
          <w:i/>
        </w:rPr>
        <w:t xml:space="preserve">”</w:t>
      </w:r>
      <w:r>
        <w:rPr>
          <w:iCs/>
          <w:i/>
        </w:rPr>
        <w:t xml:space="preserve">; he yokes that very Sun for him, for the sake of the whole of the world of heaven (suvarga)</w:t>
      </w:r>
      <w:r>
        <w:t xml:space="preserve">’</w:t>
      </w:r>
      <w:r>
        <w:t xml:space="preserve">; therefore this Ṛk has the Sun as its deity. — [Reply:] No. There too, by force of the application, the horse that is being yoked is called</w:t>
      </w:r>
      <w:r>
        <w:t xml:space="preserve"> </w:t>
      </w:r>
      <w:r>
        <w:t xml:space="preserve">‘</w:t>
      </w:r>
      <w:r>
        <w:t xml:space="preserve">bradhna</w:t>
      </w:r>
      <w:r>
        <w:t xml:space="preserve">’</w:t>
      </w:r>
      <w:r>
        <w:t xml:space="preserve"> </w:t>
      </w:r>
      <w:r>
        <w:t xml:space="preserve">and</w:t>
      </w:r>
      <w:r>
        <w:t xml:space="preserve"> </w:t>
      </w:r>
      <w:r>
        <w:t xml:space="preserve">‘</w:t>
      </w:r>
      <w:r>
        <w:t xml:space="preserve">aruṣa</w:t>
      </w:r>
      <w:r>
        <w:t xml:space="preserve">’</w:t>
      </w:r>
      <w:r>
        <w:t xml:space="preserve">; the Śruti is only a figurative statement (bhakti-mātra). Moreover, even if the Sun were the deity by force of Śruti, here, in the context of Indra,</w:t>
      </w:r>
      <w:r>
        <w:t xml:space="preserve"> </w:t>
      </w:r>
      <w:r>
        <w:t xml:space="preserve">‘</w:t>
      </w:r>
      <w:r>
        <w:t xml:space="preserve">bradhna</w:t>
      </w:r>
      <w:r>
        <w:t xml:space="preserve">’</w:t>
      </w:r>
      <w:r>
        <w:t xml:space="preserve"> </w:t>
      </w:r>
      <w:r>
        <w:t xml:space="preserve">and</w:t>
      </w:r>
      <w:r>
        <w:t xml:space="preserve"> </w:t>
      </w:r>
      <w:r>
        <w:t xml:space="preserve">‘</w:t>
      </w:r>
      <w:r>
        <w:t xml:space="preserve">aruṣa</w:t>
      </w:r>
      <w:r>
        <w:t xml:space="preserve">’</w:t>
      </w:r>
      <w:r>
        <w:t xml:space="preserve"> </w:t>
      </w:r>
      <w:r>
        <w:t xml:space="preserve">are equally possible of Indra, and the next Ṛk repeats the sense; therefore, by the use of</w:t>
      </w:r>
      <w:r>
        <w:t xml:space="preserve"> </w:t>
      </w:r>
      <w:r>
        <w:t xml:space="preserve">‘</w:t>
      </w:r>
      <w:r>
        <w:t xml:space="preserve">bradhna</w:t>
      </w:r>
      <w:r>
        <w:t xml:space="preserve">’</w:t>
      </w:r>
      <w:r>
        <w:t xml:space="preserve"> </w:t>
      </w:r>
      <w:r>
        <w:t xml:space="preserve">and</w:t>
      </w:r>
      <w:r>
        <w:t xml:space="preserve"> </w:t>
      </w:r>
      <w:r>
        <w:t xml:space="preserve">‘</w:t>
      </w:r>
      <w:r>
        <w:t xml:space="preserve">aruṇa</w:t>
      </w:r>
      <w:r>
        <w:t xml:space="preserve">’</w:t>
      </w:r>
      <w:r>
        <w:t xml:space="preserve"> </w:t>
      </w:r>
      <w:r>
        <w:t xml:space="preserve">as designations of the horses and by the connection of this Ṛk with</w:t>
      </w:r>
      <w:r>
        <w:t xml:space="preserve"> </w:t>
      </w:r>
      <w:r>
        <w:t xml:space="preserve">‘</w:t>
      </w:r>
      <w:r>
        <w:t xml:space="preserve">hari</w:t>
      </w:r>
      <w:r>
        <w:t xml:space="preserve">’</w:t>
      </w:r>
      <w:r>
        <w:t xml:space="preserve"> </w:t>
      </w:r>
      <w:r>
        <w:t xml:space="preserve">(the two bay horses), its being Aindrī is unquestioned: this Ṛk is addressed to Indra alone.</w:t>
      </w:r>
      <w:r>
        <w:t xml:space="preserve">”</w:t>
      </w:r>
    </w:p>
    <w:p>
      <w:pPr>
        <w:pStyle w:val="FirstParagraph"/>
      </w:pPr>
      <w:r>
        <w:rPr>
          <w:iCs/>
          <w:i/>
        </w:rPr>
        <w:t xml:space="preserve">(Source note on this long argument: Skandasvāmī’s chief point is that Rik 6.1 has Indra, not the Sun, as its deity; his chief ground is the connection of</w:t>
      </w:r>
      <w:r>
        <w:rPr>
          <w:iCs/>
          <w:i/>
        </w:rPr>
        <w:t xml:space="preserve"> </w:t>
      </w:r>
      <w:r>
        <w:rPr>
          <w:iCs/>
          <w:i/>
        </w:rPr>
        <w:t xml:space="preserve">“</w:t>
      </w:r>
      <w:r>
        <w:rPr>
          <w:iCs/>
          <w:i/>
        </w:rPr>
        <w:t xml:space="preserve">bradhna</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aruṣa</w:t>
      </w:r>
      <w:r>
        <w:rPr>
          <w:iCs/>
          <w:i/>
        </w:rPr>
        <w:t xml:space="preserve">”</w:t>
      </w:r>
      <w:r>
        <w:rPr>
          <w:iCs/>
          <w:i/>
        </w:rPr>
        <w:t xml:space="preserve"> </w:t>
      </w:r>
      <w:r>
        <w:rPr>
          <w:iCs/>
          <w:i/>
        </w:rPr>
        <w:t xml:space="preserve">with Indra’s horses and with the</w:t>
      </w:r>
      <w:r>
        <w:rPr>
          <w:iCs/>
          <w:i/>
        </w:rPr>
        <w:t xml:space="preserve"> </w:t>
      </w:r>
      <w:r>
        <w:rPr>
          <w:iCs/>
          <w:i/>
        </w:rPr>
        <w:t xml:space="preserve">“</w:t>
      </w:r>
      <w:r>
        <w:rPr>
          <w:iCs/>
          <w:i/>
        </w:rPr>
        <w:t xml:space="preserve">harī</w:t>
      </w:r>
      <w:r>
        <w:rPr>
          <w:iCs/>
          <w:i/>
        </w:rPr>
        <w:t xml:space="preserve">”</w:t>
      </w:r>
      <w:r>
        <w:rPr>
          <w:iCs/>
          <w:i/>
        </w:rPr>
        <w:t xml:space="preserve"> </w:t>
      </w:r>
      <w:r>
        <w:rPr>
          <w:iCs/>
          <w:i/>
        </w:rPr>
        <w:t xml:space="preserve">of the next Ṛk. The details of the Mīmāṃsā-style reasoning are given above only in outline; the Sanskrit is preserved in full for checking.)</w:t>
      </w:r>
    </w:p>
    <w:bookmarkEnd w:id="244"/>
    <w:bookmarkStart w:id="245" w:name="X8d514820efbeb0f99ebca004c2ec19d1e6552d4"/>
    <w:p>
      <w:pPr>
        <w:pStyle w:val="Heading3"/>
      </w:pPr>
      <w:r>
        <w:t xml:space="preserve">Page 208 — Anuvāda of Skandasvāmī’s commentary; Western and other views (opening)</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6.</w:t>
      </w:r>
      <w:r>
        <w:rPr>
          <w:iCs/>
          <w:i/>
        </w:rPr>
        <w:t xml:space="preserve">”</w:t>
      </w:r>
      <w:r>
        <w:rPr>
          <w:iCs/>
          <w:i/>
        </w:rPr>
        <w:t xml:space="preserve"> </w:t>
      </w:r>
      <w:r>
        <w:rPr>
          <w:iCs/>
          <w:i/>
        </w:rPr>
        <w:t xml:space="preserve">Kannada prose, translated in full; the Sanskrit citations in it are given in three layers. References re-read from the better scan; the Ṛg-vedic quotation was read from an enlarged slice; the gloss is mine, tentative.)</w:t>
      </w:r>
    </w:p>
    <w:p>
      <w:pPr>
        <w:pStyle w:val="BodyText"/>
      </w:pPr>
      <w:r>
        <w:rPr>
          <w:bCs/>
          <w:b/>
        </w:rPr>
        <w:t xml:space="preserve">Anuvāda</w:t>
      </w:r>
      <w:r>
        <w:t xml:space="preserve"> </w:t>
      </w:r>
      <w:r>
        <w:rPr>
          <w:iCs/>
          <w:i/>
        </w:rPr>
        <w:t xml:space="preserve">(of Skandasvāmī’s commentary, in Kannada)</w:t>
      </w:r>
      <w:r>
        <w:t xml:space="preserve">:</w:t>
      </w:r>
      <w:r>
        <w:t xml:space="preserve"> </w:t>
      </w:r>
      <w:r>
        <w:t xml:space="preserve">“</w:t>
      </w:r>
      <w:r>
        <w:t xml:space="preserve">Yoga</w:t>
      </w:r>
      <w:r>
        <w:t xml:space="preserve">”</w:t>
      </w:r>
      <w:r>
        <w:t xml:space="preserve"> </w:t>
      </w:r>
      <w:r>
        <w:t xml:space="preserve">means connection. So the sense is that it supplies a connection for the verb</w:t>
      </w:r>
      <w:r>
        <w:t xml:space="preserve"> </w:t>
      </w:r>
      <w:r>
        <w:t xml:space="preserve">“</w:t>
      </w:r>
      <w:r>
        <w:t xml:space="preserve">yuñjanti.</w:t>
      </w:r>
      <w:r>
        <w:t xml:space="preserve">”</w:t>
      </w:r>
      <w:r>
        <w:t xml:space="preserve"> </w:t>
      </w:r>
      <w:r>
        <w:t xml:space="preserve">How is there a connection between Indra and the people? One must understand that, because the people satisfy Indra with stotras and oblations, there is a relation between Indra and the people who praise him, or who worship him in sacrifices and the like. For the word</w:t>
      </w:r>
      <w:r>
        <w:t xml:space="preserve"> </w:t>
      </w:r>
      <w:r>
        <w:t xml:space="preserve">“</w:t>
      </w:r>
      <w:r>
        <w:t xml:space="preserve">bradhna</w:t>
      </w:r>
      <w:r>
        <w:t xml:space="preserve">”</w:t>
      </w:r>
      <w:r>
        <w:t xml:space="preserve"> </w:t>
      </w:r>
      <w:r>
        <w:t xml:space="preserve">—</w:t>
      </w:r>
      <w:r>
        <w:t xml:space="preserve"> </w:t>
      </w:r>
      <w:r>
        <w:t xml:space="preserve">“</w:t>
      </w:r>
      <w:r>
        <w:t xml:space="preserve">mahat,</w:t>
      </w:r>
      <w:r>
        <w:t xml:space="preserve">”</w:t>
      </w:r>
      <w:r>
        <w:t xml:space="preserve"> </w:t>
      </w:r>
      <w:r>
        <w:t xml:space="preserve">great —</w:t>
      </w:r>
      <w:r>
        <w:t xml:space="preserve"> </w:t>
      </w:r>
      <w:r>
        <w:t xml:space="preserve">“</w:t>
      </w:r>
      <w:r>
        <w:t xml:space="preserve">bradhna</w:t>
      </w:r>
      <w:r>
        <w:t xml:space="preserve">”</w:t>
      </w:r>
      <w:r>
        <w:t xml:space="preserve"> </w:t>
      </w:r>
      <w:r>
        <w:t xml:space="preserve">is read among the twenty-five words</w:t>
      </w:r>
      <w:r>
        <w:t xml:space="preserve"> </w:t>
      </w:r>
      <w:r>
        <w:t xml:space="preserve">“</w:t>
      </w:r>
      <w:r>
        <w:t xml:space="preserve">mahat</w:t>
      </w:r>
      <w:r>
        <w:t xml:space="preserve">”</w:t>
      </w:r>
      <w:r>
        <w:t xml:space="preserve"> </w:t>
      </w:r>
      <w:r>
        <w:t xml:space="preserve">and the rest (Ni. 3-13-5). So if</w:t>
      </w:r>
      <w:r>
        <w:t xml:space="preserve"> </w:t>
      </w:r>
      <w:r>
        <w:t xml:space="preserve">“</w:t>
      </w:r>
      <w:r>
        <w:t xml:space="preserve">bradhnam</w:t>
      </w:r>
      <w:r>
        <w:t xml:space="preserve">”</w:t>
      </w:r>
      <w:r>
        <w:t xml:space="preserve"> </w:t>
      </w:r>
      <w:r>
        <w:t xml:space="preserve">is taken as a qualifier of Indra,</w:t>
      </w:r>
      <w:r>
        <w:t xml:space="preserve"> </w:t>
      </w:r>
      <w:r>
        <w:t xml:space="preserve">“</w:t>
      </w:r>
      <w:r>
        <w:t xml:space="preserve">bradhnam indram</w:t>
      </w:r>
      <w:r>
        <w:t xml:space="preserve">”</w:t>
      </w:r>
      <w:r>
        <w:t xml:space="preserve"> </w:t>
      </w:r>
      <w:r>
        <w:t xml:space="preserve">means</w:t>
      </w:r>
      <w:r>
        <w:t xml:space="preserve"> </w:t>
      </w:r>
      <w:r>
        <w:t xml:space="preserve">“</w:t>
      </w:r>
      <w:r>
        <w:t xml:space="preserve">the great Indra, endowed with great capacity.</w:t>
      </w:r>
      <w:r>
        <w:t xml:space="preserve">”</w:t>
      </w:r>
      <w:r>
        <w:t xml:space="preserve"> </w:t>
      </w:r>
      <w:r>
        <w:t xml:space="preserve">“</w:t>
      </w:r>
      <w:r>
        <w:rPr>
          <w:bCs/>
          <w:b/>
        </w:rPr>
        <w:t xml:space="preserve">Aruṣam</w:t>
      </w:r>
      <w:r>
        <w:t xml:space="preserve">”</w:t>
      </w:r>
      <w:r>
        <w:t xml:space="preserve"> </w:t>
      </w:r>
      <w:r>
        <w:t xml:space="preserve">is also a qualifier of Indra. The root</w:t>
      </w:r>
      <w:r>
        <w:t xml:space="preserve"> </w:t>
      </w:r>
      <w:r>
        <w:t xml:space="preserve">“</w:t>
      </w:r>
      <w:r>
        <w:t xml:space="preserve">ruś</w:t>
      </w:r>
      <w:r>
        <w:t xml:space="preserve">”</w:t>
      </w:r>
      <w:r>
        <w:t xml:space="preserve"> </w:t>
      </w:r>
      <w:r>
        <w:t xml:space="preserve">has the sense of shining, of lustre; so</w:t>
      </w:r>
      <w:r>
        <w:t xml:space="preserve"> </w:t>
      </w:r>
      <w:r>
        <w:t xml:space="preserve">“</w:t>
      </w:r>
      <w:r>
        <w:t xml:space="preserve">aruṣam</w:t>
      </w:r>
      <w:r>
        <w:t xml:space="preserve">”</w:t>
      </w:r>
      <w:r>
        <w:t xml:space="preserve"> </w:t>
      </w:r>
      <w:r>
        <w:t xml:space="preserve">means</w:t>
      </w:r>
      <w:r>
        <w:t xml:space="preserve"> </w:t>
      </w:r>
      <w:r>
        <w:t xml:space="preserve">“</w:t>
      </w:r>
      <w:r>
        <w:t xml:space="preserve">one who shines.</w:t>
      </w:r>
      <w:r>
        <w:t xml:space="preserve">”</w:t>
      </w:r>
      <w:r>
        <w:t xml:space="preserve"> </w:t>
      </w:r>
      <w:r>
        <w:t xml:space="preserve">In the Ṛk</w:t>
      </w:r>
    </w:p>
    <w:p>
      <w:pPr>
        <w:pStyle w:val="BlockText"/>
      </w:pPr>
      <w:r>
        <w:t xml:space="preserve">रुशद्वत्सा रुशती श्वेत्यागादारैगु कृष्णा सदनान्यस्याः ॥ (ऋ. सं. १-११३-२)</w:t>
      </w:r>
      <w:r>
        <w:t xml:space="preserve"> </w:t>
      </w:r>
      <w:r>
        <w:rPr>
          <w:iCs/>
          <w:i/>
        </w:rPr>
        <w:t xml:space="preserve">ruśadvatsā ruśatī śvety āgād āraigu kṛṣṇā sadanāny asyāḥ || (ṛ. saṃ. 1-113-2)</w:t>
      </w:r>
      <w:r>
        <w:t xml:space="preserve"> </w:t>
      </w:r>
      <w:r>
        <w:rPr>
          <w:iCs/>
          <w:i/>
        </w:rPr>
        <w:t xml:space="preserve">(Reading note:</w:t>
      </w:r>
      <w:r>
        <w:rPr>
          <w:iCs/>
          <w:i/>
        </w:rPr>
        <w:t xml:space="preserve"> </w:t>
      </w:r>
      <w:r>
        <w:rPr>
          <w:iCs/>
          <w:i/>
        </w:rPr>
        <w:t xml:space="preserve">“</w:t>
      </w:r>
      <w:r>
        <w:rPr>
          <w:iCs/>
          <w:i/>
        </w:rPr>
        <w:t xml:space="preserve">āraigu</w:t>
      </w:r>
      <w:r>
        <w:rPr>
          <w:iCs/>
          <w:i/>
        </w:rPr>
        <w:t xml:space="preserve">”</w:t>
      </w:r>
      <w:r>
        <w:rPr>
          <w:iCs/>
          <w:i/>
        </w:rPr>
        <w:t xml:space="preserve"> </w:t>
      </w:r>
      <w:r>
        <w:rPr>
          <w:iCs/>
          <w:i/>
        </w:rPr>
        <w:t xml:space="preserve">is as printed, clear in the better scan.)</w:t>
      </w:r>
      <w:r>
        <w:t xml:space="preserve"> </w:t>
      </w:r>
      <w:r>
        <w:t xml:space="preserve">Gloss (mine; tentative):</w:t>
      </w:r>
      <w:r>
        <w:t xml:space="preserve"> </w:t>
      </w:r>
      <w:r>
        <w:t xml:space="preserve">“</w:t>
      </w:r>
      <w:r>
        <w:t xml:space="preserve">The bright one, with her calf, the shining white one, has come; the dark one has left her abodes.</w:t>
      </w:r>
      <w:r>
        <w:t xml:space="preserve">”</w:t>
      </w:r>
      <w:r>
        <w:t xml:space="preserve"> </w:t>
      </w:r>
      <w:r>
        <w:t xml:space="preserve">— and the Kannada notes: here the word</w:t>
      </w:r>
      <w:r>
        <w:t xml:space="preserve"> </w:t>
      </w:r>
      <w:r>
        <w:t xml:space="preserve">“</w:t>
      </w:r>
      <w:r>
        <w:t xml:space="preserve">ruśat</w:t>
      </w:r>
      <w:r>
        <w:t xml:space="preserve">”</w:t>
      </w:r>
      <w:r>
        <w:t xml:space="preserve"> </w:t>
      </w:r>
      <w:r>
        <w:t xml:space="preserve">is plainly said to mean shining, lustre.</w:t>
      </w:r>
      <w:r>
        <w:t xml:space="preserve"> </w:t>
      </w:r>
      <w:r>
        <w:rPr>
          <w:iCs/>
          <w:i/>
        </w:rPr>
        <w:t xml:space="preserve">(Sāyaṇa too gives this meaning for</w:t>
      </w:r>
      <w:r>
        <w:rPr>
          <w:iCs/>
          <w:i/>
        </w:rPr>
        <w:t xml:space="preserve"> </w:t>
      </w:r>
      <w:r>
        <w:rPr>
          <w:iCs/>
          <w:i/>
        </w:rPr>
        <w:t xml:space="preserve">“</w:t>
      </w:r>
      <w:r>
        <w:rPr>
          <w:iCs/>
          <w:i/>
        </w:rPr>
        <w:t xml:space="preserve">ruśat</w:t>
      </w:r>
      <w:r>
        <w:rPr>
          <w:iCs/>
          <w:i/>
        </w:rPr>
        <w:t xml:space="preserve">”</w:t>
      </w:r>
      <w:r>
        <w:rPr>
          <w:iCs/>
          <w:i/>
        </w:rPr>
        <w:t xml:space="preserve"> </w:t>
      </w:r>
      <w:r>
        <w:rPr>
          <w:iCs/>
          <w:i/>
        </w:rPr>
        <w:t xml:space="preserve">in this Ṛk.)</w:t>
      </w:r>
    </w:p>
    <w:p>
      <w:pPr>
        <w:pStyle w:val="FirstParagraph"/>
      </w:pPr>
      <w:r>
        <w:t xml:space="preserve">Besides, according to the statement</w:t>
      </w:r>
      <w:r>
        <w:t xml:space="preserve"> </w:t>
      </w:r>
      <w:r>
        <w:t xml:space="preserve">“</w:t>
      </w:r>
      <w:r>
        <w:rPr>
          <w:iCs/>
          <w:i/>
        </w:rPr>
        <w:t xml:space="preserve">āruṣatyāyatīti gati-karmasu pāṭhād aruṣater gatyarthasyāruṣa-śabdo gantṛ-vacanaḥ</w:t>
      </w:r>
      <w:r>
        <w:t xml:space="preserve">”</w:t>
      </w:r>
      <w:r>
        <w:t xml:space="preserve"> </w:t>
      </w:r>
      <w:r>
        <w:t xml:space="preserve">(आरुषत्यायतीति गतिकर्मसु पाठादरुषतेर्गत्यर्थस्यारुषशब्दो गन्तृवचनः —</w:t>
      </w:r>
      <w:r>
        <w:t xml:space="preserve"> </w:t>
      </w:r>
      <w:r>
        <w:t xml:space="preserve">“</w:t>
      </w:r>
      <w:r>
        <w:t xml:space="preserve">because</w:t>
      </w:r>
      <w:r>
        <w:t xml:space="preserve"> </w:t>
      </w:r>
      <w:r>
        <w:t xml:space="preserve">‘</w:t>
      </w:r>
      <w:r>
        <w:t xml:space="preserve">āruṣati</w:t>
      </w:r>
      <w:r>
        <w:t xml:space="preserve">’</w:t>
      </w:r>
      <w:r>
        <w:t xml:space="preserve"> </w:t>
      </w:r>
      <w:r>
        <w:t xml:space="preserve">is read among the verbs of motion, the word</w:t>
      </w:r>
      <w:r>
        <w:t xml:space="preserve"> </w:t>
      </w:r>
      <w:r>
        <w:t xml:space="preserve">‘</w:t>
      </w:r>
      <w:r>
        <w:t xml:space="preserve">āruṣa,</w:t>
      </w:r>
      <w:r>
        <w:t xml:space="preserve">’</w:t>
      </w:r>
      <w:r>
        <w:t xml:space="preserve"> </w:t>
      </w:r>
      <w:r>
        <w:t xml:space="preserve">from the root</w:t>
      </w:r>
      <w:r>
        <w:t xml:space="preserve"> </w:t>
      </w:r>
      <w:r>
        <w:t xml:space="preserve">‘</w:t>
      </w:r>
      <w:r>
        <w:t xml:space="preserve">aruṣ</w:t>
      </w:r>
      <w:r>
        <w:t xml:space="preserve">’</w:t>
      </w:r>
      <w:r>
        <w:t xml:space="preserve"> </w:t>
      </w:r>
      <w:r>
        <w:t xml:space="preserve">in the sense of going, means</w:t>
      </w:r>
      <w:r>
        <w:t xml:space="preserve"> </w:t>
      </w:r>
      <w:r>
        <w:t xml:space="preserve">‘</w:t>
      </w:r>
      <w:r>
        <w:t xml:space="preserve">one who goes</w:t>
      </w:r>
      <w:r>
        <w:t xml:space="preserve">’</w:t>
      </w:r>
      <w:r>
        <w:t xml:space="preserve">”</w:t>
      </w:r>
      <w:r>
        <w:t xml:space="preserve">), from the root</w:t>
      </w:r>
      <w:r>
        <w:t xml:space="preserve"> </w:t>
      </w:r>
      <w:r>
        <w:t xml:space="preserve">“</w:t>
      </w:r>
      <w:r>
        <w:t xml:space="preserve">āruṣati,</w:t>
      </w:r>
      <w:r>
        <w:t xml:space="preserve">”</w:t>
      </w:r>
      <w:r>
        <w:t xml:space="preserve"> </w:t>
      </w:r>
      <w:r>
        <w:t xml:space="preserve">which has the sense of going,</w:t>
      </w:r>
      <w:r>
        <w:t xml:space="preserve"> </w:t>
      </w:r>
      <w:r>
        <w:t xml:space="preserve">“</w:t>
      </w:r>
      <w:r>
        <w:t xml:space="preserve">aruṣam</w:t>
      </w:r>
      <w:r>
        <w:t xml:space="preserve">”</w:t>
      </w:r>
      <w:r>
        <w:t xml:space="preserve"> </w:t>
      </w:r>
      <w:r>
        <w:t xml:space="preserve">means</w:t>
      </w:r>
      <w:r>
        <w:t xml:space="preserve"> </w:t>
      </w:r>
      <w:r>
        <w:t xml:space="preserve">“</w:t>
      </w:r>
      <w:r>
        <w:t xml:space="preserve">gantāram</w:t>
      </w:r>
      <w:r>
        <w:t xml:space="preserve">”</w:t>
      </w:r>
      <w:r>
        <w:t xml:space="preserve"> </w:t>
      </w:r>
      <w:r>
        <w:t xml:space="preserve">— one who goes (whether to war with enemies, or to receive the oblations in sacrifices).</w:t>
      </w:r>
      <w:r>
        <w:t xml:space="preserve"> </w:t>
      </w:r>
      <w:r>
        <w:t xml:space="preserve">“</w:t>
      </w:r>
      <w:r>
        <w:rPr>
          <w:bCs/>
          <w:b/>
        </w:rPr>
        <w:t xml:space="preserve">Carantam</w:t>
      </w:r>
      <w:r>
        <w:t xml:space="preserve">”</w:t>
      </w:r>
      <w:r>
        <w:t xml:space="preserve"> </w:t>
      </w:r>
      <w:r>
        <w:t xml:space="preserve">— one who goes to all regions. The sense: wherever Indra goes, there those who praise him go and worship him. Or:</w:t>
      </w:r>
      <w:r>
        <w:t xml:space="preserve"> </w:t>
      </w:r>
      <w:r>
        <w:t xml:space="preserve">“</w:t>
      </w:r>
      <w:r>
        <w:t xml:space="preserve">yuñjanti bradhnam aruṣaṃ carantam</w:t>
      </w:r>
      <w:r>
        <w:t xml:space="preserve">”</w:t>
      </w:r>
      <w:r>
        <w:t xml:space="preserve"> </w:t>
      </w:r>
      <w:r>
        <w:t xml:space="preserve">— wherever the powerful and shining Indra goes, there men pray to him with stotras that their own desired aims be fulfilled.</w:t>
      </w:r>
    </w:p>
    <w:p>
      <w:pPr>
        <w:pStyle w:val="BodyText"/>
      </w:pPr>
      <w:r>
        <w:rPr>
          <w:iCs/>
          <w:i/>
        </w:rPr>
        <w:t xml:space="preserve">Or:</w:t>
      </w:r>
      <w:r>
        <w:t xml:space="preserve"> </w:t>
      </w:r>
      <w:r>
        <w:t xml:space="preserve">the words</w:t>
      </w:r>
      <w:r>
        <w:t xml:space="preserve"> </w:t>
      </w:r>
      <w:r>
        <w:t xml:space="preserve">“</w:t>
      </w:r>
      <w:r>
        <w:t xml:space="preserve">bradhnam aruṣaṃ carantam</w:t>
      </w:r>
      <w:r>
        <w:t xml:space="preserve">”</w:t>
      </w:r>
      <w:r>
        <w:t xml:space="preserve"> </w:t>
      </w:r>
      <w:r>
        <w:t xml:space="preserve">need not be used as qualifiers of Indra. These words may be taken, with the senses</w:t>
      </w:r>
      <w:r>
        <w:t xml:space="preserve"> </w:t>
      </w:r>
      <w:r>
        <w:t xml:space="preserve">“</w:t>
      </w:r>
      <w:r>
        <w:t xml:space="preserve">large, shining, moving everywhere,</w:t>
      </w:r>
      <w:r>
        <w:t xml:space="preserve">”</w:t>
      </w:r>
      <w:r>
        <w:t xml:space="preserve"> </w:t>
      </w:r>
      <w:r>
        <w:t xml:space="preserve">as qualifiers of the chariot. Since</w:t>
      </w:r>
      <w:r>
        <w:t xml:space="preserve"> </w:t>
      </w:r>
      <w:r>
        <w:t xml:space="preserve">“</w:t>
      </w:r>
      <w:r>
        <w:t xml:space="preserve">yuñjanti</w:t>
      </w:r>
      <w:r>
        <w:t xml:space="preserve">”</w:t>
      </w:r>
      <w:r>
        <w:t xml:space="preserve"> </w:t>
      </w:r>
      <w:r>
        <w:t xml:space="preserve">is said here, one may say that Indra’s charioteers, such as Mātali,</w:t>
      </w:r>
      <w:r>
        <w:t xml:space="preserve"> </w:t>
      </w:r>
      <w:r>
        <w:t xml:space="preserve">“</w:t>
      </w:r>
      <w:r>
        <w:t xml:space="preserve">yuñjanti</w:t>
      </w:r>
      <w:r>
        <w:t xml:space="preserve">”</w:t>
      </w:r>
      <w:r>
        <w:t xml:space="preserve"> </w:t>
      </w:r>
      <w:r>
        <w:t xml:space="preserve">—</w:t>
      </w:r>
      <w:r>
        <w:t xml:space="preserve"> </w:t>
      </w:r>
      <w:r>
        <w:t xml:space="preserve">“</w:t>
      </w:r>
      <w:r>
        <w:t xml:space="preserve">harness</w:t>
      </w:r>
      <w:r>
        <w:t xml:space="preserve">”</w:t>
      </w:r>
      <w:r>
        <w:t xml:space="preserve"> </w:t>
      </w:r>
      <w:r>
        <w:t xml:space="preserve">(the horses to) — such a chariot. Therefore the whole discussion in this connection takes the form of praise of Indra. Since the genitive</w:t>
      </w:r>
      <w:r>
        <w:t xml:space="preserve"> </w:t>
      </w:r>
      <w:r>
        <w:t xml:space="preserve">“</w:t>
      </w:r>
      <w:r>
        <w:t xml:space="preserve">tasthuṣaḥ</w:t>
      </w:r>
      <w:r>
        <w:t xml:space="preserve">”</w:t>
      </w:r>
      <w:r>
        <w:t xml:space="preserve"> </w:t>
      </w:r>
      <w:r>
        <w:t xml:space="preserve">is used, one must supply after it the word</w:t>
      </w:r>
      <w:r>
        <w:t xml:space="preserve"> </w:t>
      </w:r>
      <w:r>
        <w:t xml:space="preserve">“</w:t>
      </w:r>
      <w:r>
        <w:t xml:space="preserve">prabhāvena</w:t>
      </w:r>
      <w:r>
        <w:t xml:space="preserve">”</w:t>
      </w:r>
      <w:r>
        <w:t xml:space="preserve"> </w:t>
      </w:r>
      <w:r>
        <w:t xml:space="preserve">(</w:t>
      </w:r>
      <w:r>
        <w:t xml:space="preserve">“</w:t>
      </w:r>
      <w:r>
        <w:t xml:space="preserve">by the power</w:t>
      </w:r>
      <w:r>
        <w:t xml:space="preserve">”</w:t>
      </w:r>
      <w:r>
        <w:t xml:space="preserve">). Having supplied it,</w:t>
      </w:r>
      <w:r>
        <w:t xml:space="preserve"> </w:t>
      </w:r>
      <w:r>
        <w:t xml:space="preserve">“</w:t>
      </w:r>
      <w:r>
        <w:t xml:space="preserve">pari tasthuṣaḥ prabhāveṇa rocante rocanā divi</w:t>
      </w:r>
      <w:r>
        <w:t xml:space="preserve">”</w:t>
      </w:r>
      <w:r>
        <w:t xml:space="preserve"> </w:t>
      </w:r>
      <w:r>
        <w:t xml:space="preserve">means: the rays of the Sun, shining in the sky, carrying drops of water in the rainy season, urge Indra, so that rain is produced on earth — that is, they stir him to action. That is:</w:t>
      </w:r>
      <w:r>
        <w:t xml:space="preserve"> </w:t>
      </w:r>
      <w:r>
        <w:t xml:space="preserve">“</w:t>
      </w:r>
      <w:r>
        <w:t xml:space="preserve">the stars that shine by the power of Indra, who pervades all regions —</w:t>
      </w:r>
      <w:r>
        <w:t xml:space="preserve"> </w:t>
      </w:r>
      <w:r>
        <w:t xml:space="preserve">‘</w:t>
      </w:r>
      <w:r>
        <w:t xml:space="preserve">rocanā,</w:t>
      </w:r>
      <w:r>
        <w:t xml:space="preserve">’</w:t>
      </w:r>
      <w:r>
        <w:t xml:space="preserve"> </w:t>
      </w:r>
      <w:r>
        <w:t xml:space="preserve">the stars, in</w:t>
      </w:r>
      <w:r>
        <w:t xml:space="preserve"> </w:t>
      </w:r>
      <w:r>
        <w:t xml:space="preserve">‘</w:t>
      </w:r>
      <w:r>
        <w:t xml:space="preserve">divi,</w:t>
      </w:r>
      <w:r>
        <w:t xml:space="preserve">’</w:t>
      </w:r>
      <w:r>
        <w:t xml:space="preserve"> </w:t>
      </w:r>
      <w:r>
        <w:t xml:space="preserve">the sky —</w:t>
      </w:r>
      <w:r>
        <w:t xml:space="preserve"> </w:t>
      </w:r>
      <w:r>
        <w:t xml:space="preserve">‘</w:t>
      </w:r>
      <w:r>
        <w:t xml:space="preserve">rocante</w:t>
      </w:r>
      <w:r>
        <w:t xml:space="preserve">’</w:t>
      </w:r>
      <w:r>
        <w:t xml:space="preserve"> </w:t>
      </w:r>
      <w:r>
        <w:t xml:space="preserve">— shine,</w:t>
      </w:r>
      <w:r>
        <w:t xml:space="preserve">”</w:t>
      </w:r>
      <w:r>
        <w:t xml:space="preserve"> </w:t>
      </w:r>
      <w:r>
        <w:t xml:space="preserve">is the sense. How the stars shine by Indra’s power is confirmed by the mantra</w:t>
      </w:r>
      <w:r>
        <w:t xml:space="preserve"> </w:t>
      </w:r>
      <w:r>
        <w:t xml:space="preserve">“</w:t>
      </w:r>
      <w:r>
        <w:rPr>
          <w:iCs/>
          <w:i/>
        </w:rPr>
        <w:t xml:space="preserve">indro dīrghāya cakṣase ā sūryaṃ rohayad divi</w:t>
      </w:r>
      <w:r>
        <w:t xml:space="preserve">”</w:t>
      </w:r>
      <w:r>
        <w:t xml:space="preserve"> </w:t>
      </w:r>
      <w:r>
        <w:t xml:space="preserve">(इन्द्रो दीर्घाय चक्षस आ सूर्यं रोहयद्दिवि —</w:t>
      </w:r>
      <w:r>
        <w:t xml:space="preserve"> </w:t>
      </w:r>
      <w:r>
        <w:rPr>
          <w:iCs/>
          <w:i/>
        </w:rPr>
        <w:t xml:space="preserve">indro dīrghāya cakṣasa ā sūryaṃ rohayad divi</w:t>
      </w:r>
      <w:r>
        <w:t xml:space="preserve">; ṛ. saṃ. 1-7-3),</w:t>
      </w:r>
      <w:r>
        <w:t xml:space="preserve"> </w:t>
      </w:r>
      <w:r>
        <w:t xml:space="preserve">“</w:t>
      </w:r>
      <w:r>
        <w:t xml:space="preserve">Indra caused the Sun to rise in the sky for far-seeing.</w:t>
      </w:r>
      <w:r>
        <w:t xml:space="preserve">”</w:t>
      </w:r>
      <w:r>
        <w:t xml:space="preserve"> </w:t>
      </w:r>
      <w:r>
        <w:t xml:space="preserve">That is: Indra placed the Sun in the heavenly region (the sky) so that the world might be lit at all times. By connection with the ray named Suṣumna, which is a power of the Sun, the Moon and the stars also …</w:t>
      </w:r>
    </w:p>
    <w:bookmarkEnd w:id="245"/>
    <w:bookmarkStart w:id="246" w:name="Xcd6f6bd692b3f33aadaa2c0f085dd93402cd8f5"/>
    <w:p>
      <w:pPr>
        <w:pStyle w:val="Heading3"/>
      </w:pPr>
      <w:r>
        <w:t xml:space="preserve">Page 209 — Anuvāda concluded: Skandasvāmī vs. the Brāhmaṇa; Veṅkaṭamādhava’s view; where the Ṛk occurs; the question of the sūkta’s deity</w:t>
      </w:r>
    </w:p>
    <w:p>
      <w:pPr>
        <w:pStyle w:val="FirstParagraph"/>
      </w:pPr>
      <w:r>
        <w:rPr>
          <w:iCs/>
          <w:i/>
        </w:rPr>
        <w:t xml:space="preserve">(Page header:</w:t>
      </w:r>
      <w:r>
        <w:rPr>
          <w:iCs/>
          <w:i/>
        </w:rPr>
        <w:t xml:space="preserve"> </w:t>
      </w:r>
      <w:r>
        <w:rPr>
          <w:iCs/>
          <w:i/>
        </w:rPr>
        <w:t xml:space="preserve">“</w:t>
      </w:r>
      <w:r>
        <w:rPr>
          <w:iCs/>
          <w:i/>
        </w:rPr>
        <w:t xml:space="preserve">Aṣṭaka 1, Adhyāya 1, Varga 11 · Ṛgveda-saṃhitā.</w:t>
      </w:r>
      <w:r>
        <w:rPr>
          <w:iCs/>
          <w:i/>
        </w:rPr>
        <w:t xml:space="preserve">”</w:t>
      </w:r>
      <w:r>
        <w:rPr>
          <w:iCs/>
          <w:i/>
        </w:rPr>
        <w:t xml:space="preserve"> </w:t>
      </w:r>
      <w:r>
        <w:rPr>
          <w:iCs/>
          <w:i/>
        </w:rPr>
        <w:t xml:space="preserve">Kannada prose, translated; references re-read from the better scan. Veṅkaṭamādhava’s Sanskrit is read from an enlarged slice and flagged.)</w:t>
      </w:r>
    </w:p>
    <w:p>
      <w:pPr>
        <w:pStyle w:val="BodyText"/>
      </w:pPr>
      <w:r>
        <w:rPr>
          <w:iCs/>
          <w:i/>
        </w:rPr>
        <w:t xml:space="preserve">(Continuing from p. 208:)</w:t>
      </w:r>
      <w:r>
        <w:t xml:space="preserve"> </w:t>
      </w:r>
      <w:r>
        <w:t xml:space="preserve">…the stars also shine, or these rays</w:t>
      </w:r>
      <w:r>
        <w:t xml:space="preserve"> </w:t>
      </w:r>
      <w:r>
        <w:t xml:space="preserve">“</w:t>
      </w:r>
      <w:r>
        <w:t xml:space="preserve">yuñjanti</w:t>
      </w:r>
      <w:r>
        <w:t xml:space="preserve">”</w:t>
      </w:r>
      <w:r>
        <w:t xml:space="preserve"> </w:t>
      </w:r>
      <w:r>
        <w:t xml:space="preserve">Indra in the rain-work — that is, they stimulate him. How? The word</w:t>
      </w:r>
      <w:r>
        <w:t xml:space="preserve"> </w:t>
      </w:r>
      <w:r>
        <w:t xml:space="preserve">“</w:t>
      </w:r>
      <w:r>
        <w:t xml:space="preserve">tasthuṣaḥ</w:t>
      </w:r>
      <w:r>
        <w:t xml:space="preserve">”</w:t>
      </w:r>
      <w:r>
        <w:t xml:space="preserve"> </w:t>
      </w:r>
      <w:r>
        <w:t xml:space="preserve">in</w:t>
      </w:r>
      <w:r>
        <w:t xml:space="preserve"> </w:t>
      </w:r>
      <w:r>
        <w:t xml:space="preserve">“</w:t>
      </w:r>
      <w:r>
        <w:t xml:space="preserve">carantaṃ pari tasthuṣaḥ</w:t>
      </w:r>
      <w:r>
        <w:t xml:space="preserve">”</w:t>
      </w:r>
      <w:r>
        <w:t xml:space="preserve"> </w:t>
      </w:r>
      <w:r>
        <w:t xml:space="preserve">indicates the fixed beings, and also the moving beings; so the sense is that Indra moves among the whole world, fixed and moving, for the drinking of Soma or for fighting.</w:t>
      </w:r>
    </w:p>
    <w:p>
      <w:pPr>
        <w:pStyle w:val="BodyText"/>
      </w:pPr>
      <w:r>
        <w:t xml:space="preserve">In the sacrifice, the Adhvaryu and some other priests who carry the chief role regard this Ṛk as addressed to the Sun, for the following reasons. In regard to the application of this Ṛk, the Śruti sentence (of the Brāhmaṇa) —</w:t>
      </w:r>
      <w:r>
        <w:t xml:space="preserve"> </w:t>
      </w:r>
      <w:r>
        <w:t xml:space="preserve">“</w:t>
      </w:r>
      <w:r>
        <w:rPr>
          <w:iCs/>
          <w:i/>
        </w:rPr>
        <w:t xml:space="preserve">yuñjanti bradhnam aruṣam ity āha | asau vā ādityo bradhnaḥ | aruṣo ’mum evāsmād ādityaṃ yunakti suvargasya lokasya samaṣṭyai</w:t>
      </w:r>
      <w:r>
        <w:t xml:space="preserve">”</w:t>
      </w:r>
      <w:r>
        <w:t xml:space="preserve"> </w:t>
      </w:r>
      <w:r>
        <w:t xml:space="preserve">(युञ्जन्ति ब्रध्नमरुषमित्याह । असौ वा आदित्यो ब्रध्नः । अरुषोऽमुमेवास्मादादित्यं युनक्ति सुवर्गस्य लोकस्य समष्ट्यै —</w:t>
      </w:r>
      <w:r>
        <w:t xml:space="preserve"> </w:t>
      </w:r>
      <w:r>
        <w:t xml:space="preserve">“</w:t>
      </w:r>
      <w:r>
        <w:t xml:space="preserve">’</w:t>
      </w:r>
      <w:r>
        <w:rPr>
          <w:iCs/>
          <w:i/>
        </w:rPr>
        <w:t xml:space="preserve">yuñjanti bradhnam aruṣam,’ he says: yonder Sun is</w:t>
      </w:r>
      <w:r>
        <w:rPr>
          <w:iCs/>
          <w:i/>
        </w:rPr>
        <w:t xml:space="preserve"> </w:t>
      </w:r>
      <w:r>
        <w:rPr>
          <w:iCs/>
          <w:i/>
        </w:rPr>
        <w:t xml:space="preserve">‘</w:t>
      </w:r>
      <w:r>
        <w:rPr>
          <w:iCs/>
          <w:i/>
        </w:rPr>
        <w:t xml:space="preserve">bradhna</w:t>
      </w:r>
      <w:r>
        <w:rPr>
          <w:iCs/>
          <w:i/>
        </w:rPr>
        <w:t xml:space="preserve">’</w:t>
      </w:r>
      <w:r>
        <w:rPr>
          <w:iCs/>
          <w:i/>
        </w:rPr>
        <w:t xml:space="preserve">; …</w:t>
      </w:r>
      <w:r>
        <w:t xml:space="preserve"> </w:t>
      </w:r>
      <w:r>
        <w:t xml:space="preserve">[he yokes the Sun to him] for the totality of the heavenly world</w:t>
      </w:r>
      <w:r>
        <w:t xml:space="preserve">”</w:t>
      </w:r>
      <w:r>
        <w:t xml:space="preserve">) — says it. Since</w:t>
      </w:r>
      <w:r>
        <w:t xml:space="preserve"> </w:t>
      </w:r>
      <w:r>
        <w:t xml:space="preserve">“</w:t>
      </w:r>
      <w:r>
        <w:t xml:space="preserve">bradhna</w:t>
      </w:r>
      <w:r>
        <w:t xml:space="preserve">”</w:t>
      </w:r>
      <w:r>
        <w:t xml:space="preserve"> </w:t>
      </w:r>
      <w:r>
        <w:t xml:space="preserve">is plainly said here to mean the Sun, and since the word</w:t>
      </w:r>
      <w:r>
        <w:t xml:space="preserve"> </w:t>
      </w:r>
      <w:r>
        <w:t xml:space="preserve">“</w:t>
      </w:r>
      <w:r>
        <w:t xml:space="preserve">Indra</w:t>
      </w:r>
      <w:r>
        <w:t xml:space="preserve">”</w:t>
      </w:r>
      <w:r>
        <w:t xml:space="preserve"> </w:t>
      </w:r>
      <w:r>
        <w:t xml:space="preserve">is not found in this Ṛk, a doubt arises, quite naturally, in the question whether this Ṛk is addressed to the Sun. But that is not right. Because</w:t>
      </w:r>
      <w:r>
        <w:t xml:space="preserve"> </w:t>
      </w:r>
      <w:r>
        <w:t xml:space="preserve">“</w:t>
      </w:r>
      <w:r>
        <w:t xml:space="preserve">bradhna</w:t>
      </w:r>
      <w:r>
        <w:t xml:space="preserve">”</w:t>
      </w:r>
      <w:r>
        <w:t xml:space="preserve"> </w:t>
      </w:r>
      <w:r>
        <w:t xml:space="preserve">also means</w:t>
      </w:r>
      <w:r>
        <w:t xml:space="preserve"> </w:t>
      </w:r>
      <w:r>
        <w:t xml:space="preserve">“</w:t>
      </w:r>
      <w:r>
        <w:t xml:space="preserve">horse</w:t>
      </w:r>
      <w:r>
        <w:t xml:space="preserve">”</w:t>
      </w:r>
      <w:r>
        <w:t xml:space="preserve"> </w:t>
      </w:r>
      <w:r>
        <w:t xml:space="preserve">(Ni. 2-27 [?]). Hence for the sentence</w:t>
      </w:r>
      <w:r>
        <w:t xml:space="preserve"> </w:t>
      </w:r>
      <w:r>
        <w:t xml:space="preserve">“</w:t>
      </w:r>
      <w:r>
        <w:t xml:space="preserve">yuñjanti bradhnam aruṣaṃ carantam</w:t>
      </w:r>
      <w:r>
        <w:t xml:space="preserve">”</w:t>
      </w:r>
      <w:r>
        <w:t xml:space="preserve"> </w:t>
      </w:r>
      <w:r>
        <w:t xml:space="preserve">the sense</w:t>
      </w:r>
      <w:r>
        <w:t xml:space="preserve"> </w:t>
      </w:r>
      <w:r>
        <w:t xml:space="preserve">“</w:t>
      </w:r>
      <w:r>
        <w:t xml:space="preserve">they harness the shining, swiftly moving horses (to the chariot)</w:t>
      </w:r>
      <w:r>
        <w:t xml:space="preserve">”</w:t>
      </w:r>
      <w:r>
        <w:t xml:space="preserve"> </w:t>
      </w:r>
      <w:r>
        <w:t xml:space="preserve">fits equally of the Sun and of Indra; it does not follow that it is spoken of the Sun alone. Besides, in the next Ṛk of this sūkta the word</w:t>
      </w:r>
      <w:r>
        <w:t xml:space="preserve"> </w:t>
      </w:r>
      <w:r>
        <w:t xml:space="preserve">“</w:t>
      </w:r>
      <w:r>
        <w:t xml:space="preserve">harī,</w:t>
      </w:r>
      <w:r>
        <w:t xml:space="preserve">”</w:t>
      </w:r>
      <w:r>
        <w:t xml:space="preserve"> </w:t>
      </w:r>
      <w:r>
        <w:t xml:space="preserve">the name of Indra’s horses, is plainly given, and in the fifth Ṛk the word</w:t>
      </w:r>
      <w:r>
        <w:t xml:space="preserve"> </w:t>
      </w:r>
      <w:r>
        <w:t xml:space="preserve">“</w:t>
      </w:r>
      <w:r>
        <w:t xml:space="preserve">Indra</w:t>
      </w:r>
      <w:r>
        <w:t xml:space="preserve">”</w:t>
      </w:r>
      <w:r>
        <w:t xml:space="preserve"> </w:t>
      </w:r>
      <w:r>
        <w:t xml:space="preserve">is read; so this mantra must be understood as addressed to Indra.</w:t>
      </w:r>
    </w:p>
    <w:p>
      <w:pPr>
        <w:pStyle w:val="BodyText"/>
      </w:pPr>
      <w:r>
        <w:t xml:space="preserve">Further, in</w:t>
      </w:r>
      <w:r>
        <w:t xml:space="preserve"> </w:t>
      </w:r>
      <w:r>
        <w:rPr>
          <w:bCs/>
          <w:b/>
        </w:rPr>
        <w:t xml:space="preserve">Veṅkaṭamādhava</w:t>
      </w:r>
      <w:r>
        <w:t xml:space="preserve">’s commentary there is not much that is special; he says only:</w:t>
      </w:r>
    </w:p>
    <w:p>
      <w:pPr>
        <w:pStyle w:val="BlockText"/>
      </w:pPr>
      <w:r>
        <w:t xml:space="preserve">युञ्जन्ति ब्रध्नम् । युञ्जन्ति महान्तमरोचमानं दिवि चरन्तं तस्थिवांसो देवा वा लोका वा । रोचनानि नक्षत्राणि इन्द्रतेजसा संधुक्षितान्यहत्वेऽपि प्रसारणमन्यत्रापि दृष्टम् ॥</w:t>
      </w:r>
      <w:r>
        <w:t xml:space="preserve"> </w:t>
      </w:r>
      <w:r>
        <w:rPr>
          <w:iCs/>
          <w:i/>
        </w:rPr>
        <w:t xml:space="preserve">yuñjanti bradhnam | yuñjanti mahāntam arocamānaṃ divi carantaṃ tasthivāṃso devā vā lokā vā | rocanāni nakṣatrāṇi indra-tejasā sandhukṣitāny ahatve ’pi prasāraṇam anyatrāpi dṛṣṭam ||</w:t>
      </w:r>
      <w:r>
        <w:t xml:space="preserve"> </w:t>
      </w:r>
      <w:r>
        <w:rPr>
          <w:iCs/>
          <w:i/>
        </w:rPr>
        <w:t xml:space="preserve">(Reading note: re-read from the better scan; the clause</w:t>
      </w:r>
      <w:r>
        <w:rPr>
          <w:iCs/>
          <w:i/>
        </w:rPr>
        <w:t xml:space="preserve"> </w:t>
      </w:r>
      <w:r>
        <w:rPr>
          <w:iCs/>
          <w:i/>
        </w:rPr>
        <w:t xml:space="preserve">“</w:t>
      </w:r>
      <w:r>
        <w:rPr>
          <w:iCs/>
          <w:i/>
        </w:rPr>
        <w:t xml:space="preserve">ahatve ’pi prasāraṇam anyatrāpi dṛṣṭam</w:t>
      </w:r>
      <w:r>
        <w:rPr>
          <w:iCs/>
          <w:i/>
        </w:rPr>
        <w:t xml:space="preserve">”</w:t>
      </w:r>
      <w:r>
        <w:rPr>
          <w:iCs/>
          <w:i/>
        </w:rPr>
        <w:t xml:space="preserve"> </w:t>
      </w:r>
      <w:r>
        <w:rPr>
          <w:iCs/>
          <w:i/>
        </w:rPr>
        <w:t xml:space="preserve">is as printed.)</w:t>
      </w:r>
      <w:r>
        <w:t xml:space="preserve"> </w:t>
      </w:r>
      <w:r>
        <w:rPr>
          <w:bCs/>
          <w:b/>
        </w:rPr>
        <w:t xml:space="preserve">Translation (mine, following the Kannada account):</w:t>
      </w:r>
      <w:r>
        <w:t xml:space="preserve"> </w:t>
      </w:r>
      <w:r>
        <w:t xml:space="preserve">“</w:t>
      </w:r>
      <w:r>
        <w:t xml:space="preserve">‘</w:t>
      </w:r>
      <w:r>
        <w:t xml:space="preserve">Yuñjanti bradhnam</w:t>
      </w:r>
      <w:r>
        <w:t xml:space="preserve">’</w:t>
      </w:r>
      <w:r>
        <w:t xml:space="preserve">: the gods — or the worlds — standing about</w:t>
      </w:r>
      <w:r>
        <w:t xml:space="preserve"> </w:t>
      </w:r>
      <w:r>
        <w:t xml:space="preserve">‘</w:t>
      </w:r>
      <w:r>
        <w:t xml:space="preserve">join</w:t>
      </w:r>
      <w:r>
        <w:t xml:space="preserve">’</w:t>
      </w:r>
      <w:r>
        <w:t xml:space="preserve"> </w:t>
      </w:r>
      <w:r>
        <w:t xml:space="preserve">the great, (shining), moving in the sky; the</w:t>
      </w:r>
      <w:r>
        <w:t xml:space="preserve"> </w:t>
      </w:r>
      <w:r>
        <w:t xml:space="preserve">‘</w:t>
      </w:r>
      <w:r>
        <w:t xml:space="preserve">rocanāni</w:t>
      </w:r>
      <w:r>
        <w:t xml:space="preserve">’</w:t>
      </w:r>
      <w:r>
        <w:t xml:space="preserve"> </w:t>
      </w:r>
      <w:r>
        <w:t xml:space="preserve">are the stars, kindled by Indra’s lustre. (The lengthening [</w:t>
      </w:r>
      <w:r>
        <w:t xml:space="preserve">‘</w:t>
      </w:r>
      <w:r>
        <w:t xml:space="preserve">prasāraṇa</w:t>
      </w:r>
      <w:r>
        <w:t xml:space="preserve">’</w:t>
      </w:r>
      <w:r>
        <w:t xml:space="preserve">] in the word</w:t>
      </w:r>
      <w:r>
        <w:t xml:space="preserve"> </w:t>
      </w:r>
      <w:r>
        <w:t xml:space="preserve">‘</w:t>
      </w:r>
      <w:r>
        <w:t xml:space="preserve">tasthivāṃsaḥ</w:t>
      </w:r>
      <w:r>
        <w:t xml:space="preserve">’</w:t>
      </w:r>
      <w:r>
        <w:t xml:space="preserve"> </w:t>
      </w:r>
      <w:r>
        <w:t xml:space="preserve">is seen elsewhere also.)</w:t>
      </w:r>
      <w:r>
        <w:t xml:space="preserve">”</w:t>
      </w:r>
    </w:p>
    <w:p>
      <w:pPr>
        <w:pStyle w:val="FirstParagraph"/>
      </w:pPr>
      <w:r>
        <w:t xml:space="preserve">That is:</w:t>
      </w:r>
      <w:r>
        <w:t xml:space="preserve"> </w:t>
      </w:r>
      <w:r>
        <w:rPr>
          <w:bCs/>
          <w:b/>
        </w:rPr>
        <w:t xml:space="preserve">Veṅkaṭamādhava</w:t>
      </w:r>
      <w:r>
        <w:t xml:space="preserve"> </w:t>
      </w:r>
      <w:r>
        <w:t xml:space="preserve">has only repeated Skandasvāmī’s meaning.</w:t>
      </w:r>
      <w:r>
        <w:t xml:space="preserve"> </w:t>
      </w:r>
      <w:r>
        <w:t xml:space="preserve">“</w:t>
      </w:r>
      <w:r>
        <w:t xml:space="preserve">Tasthivāṃsaḥ</w:t>
      </w:r>
      <w:r>
        <w:t xml:space="preserve">”</w:t>
      </w:r>
      <w:r>
        <w:t xml:space="preserve"> </w:t>
      </w:r>
      <w:r>
        <w:t xml:space="preserve">means the gods or the worlds, and</w:t>
      </w:r>
      <w:r>
        <w:t xml:space="preserve"> </w:t>
      </w:r>
      <w:r>
        <w:t xml:space="preserve">“</w:t>
      </w:r>
      <w:r>
        <w:t xml:space="preserve">rocanā</w:t>
      </w:r>
      <w:r>
        <w:t xml:space="preserve">”</w:t>
      </w:r>
      <w:r>
        <w:t xml:space="preserve"> </w:t>
      </w:r>
      <w:r>
        <w:t xml:space="preserve">the stars. Besides, he says:</w:t>
      </w:r>
      <w:r>
        <w:t xml:space="preserve"> </w:t>
      </w:r>
      <w:r>
        <w:t xml:space="preserve">“</w:t>
      </w:r>
      <w:r>
        <w:t xml:space="preserve">Not only that the daytime is lit by Indra’s lustre, but that lustre (or capacity, power) is spread everywhere.</w:t>
      </w:r>
      <w:r>
        <w:t xml:space="preserve">”</w:t>
      </w:r>
    </w:p>
    <w:p>
      <w:pPr>
        <w:pStyle w:val="BodyText"/>
      </w:pPr>
      <w:r>
        <w:rPr>
          <w:bCs/>
          <w:b/>
        </w:rPr>
        <w:t xml:space="preserve">Where the Ṛk occurs.</w:t>
      </w:r>
      <w:r>
        <w:t xml:space="preserve"> </w:t>
      </w:r>
      <w:r>
        <w:t xml:space="preserve">The Ṛk</w:t>
      </w:r>
      <w:r>
        <w:t xml:space="preserve"> </w:t>
      </w:r>
      <w:r>
        <w:t xml:space="preserve">“</w:t>
      </w:r>
      <w:r>
        <w:t xml:space="preserve">yuñjanti bradhnam aruṣam</w:t>
      </w:r>
      <w:r>
        <w:t xml:space="preserve">”</w:t>
      </w:r>
      <w:r>
        <w:t xml:space="preserve"> </w:t>
      </w:r>
      <w:r>
        <w:t xml:space="preserve">is found not only in the Ṛgveda Saṃhitā but also in: Sāmaveda Saṃhitā 1468; Atharvaveda Saṃhitā 20-26-4, 20-47-10, 20-69-9; Vājasaneyi-saṃhitā (Śukla Yajurveda) 23-5; Taittirīya-saṃhitā (Kṛṣṇa Yajurveda) 7-4-20-1; Maitrāyaṇīya-saṃhitā 3-16-3; Kauṣītaki-āraṇyaka 4-9 — and in Taittirīya-brāhmaṇa 3-9-4 there is an exposition of the meaning of this mantra and of the two mantras that follow it.</w:t>
      </w:r>
    </w:p>
    <w:p>
      <w:pPr>
        <w:pStyle w:val="BodyText"/>
      </w:pPr>
      <w:r>
        <w:rPr>
          <w:bCs/>
          <w:b/>
        </w:rPr>
        <w:t xml:space="preserve">The question of the sūkta’s deity.</w:t>
      </w:r>
      <w:r>
        <w:t xml:space="preserve"> </w:t>
      </w:r>
      <w:r>
        <w:t xml:space="preserve">There is a dispute as to the deity of this sūkta. For it is more favourable to firm interpretation if one says that the sūkta was spoken in view of one such deity …</w:t>
      </w:r>
      <w:r>
        <w:t xml:space="preserve"> </w:t>
      </w:r>
      <w:r>
        <w:rPr>
          <w:iCs/>
          <w:i/>
        </w:rPr>
        <w:t xml:space="preserve">(continues on the next page)</w:t>
      </w:r>
    </w:p>
    <w:bookmarkEnd w:id="246"/>
    <w:bookmarkStart w:id="247" w:name="X82433af9b00f4363a455278b373055470e8dbf2"/>
    <w:p>
      <w:pPr>
        <w:pStyle w:val="Heading3"/>
      </w:pPr>
      <w:r>
        <w:t xml:space="preserve">Page 210 — The deity of Sūkta 6 debated (Oldenburg); Dr. Sitanath Pradhan’s and Max Müller’s renderings; Pada-meanings</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6.</w:t>
      </w:r>
      <w:r>
        <w:rPr>
          <w:iCs/>
          <w:i/>
        </w:rPr>
        <w:t xml:space="preserve">”</w:t>
      </w:r>
      <w:r>
        <w:rPr>
          <w:iCs/>
          <w:i/>
        </w:rPr>
        <w:t xml:space="preserve"> </w:t>
      </w:r>
      <w:r>
        <w:rPr>
          <w:iCs/>
          <w:i/>
        </w:rPr>
        <w:t xml:space="preserve">Kannada prose translated; the English passages are printed in English in the source and reproduced as printed. Ṛk numbers re-read from the better scan.)</w:t>
      </w:r>
    </w:p>
    <w:p>
      <w:pPr>
        <w:pStyle w:val="BodyText"/>
      </w:pPr>
      <w:r>
        <w:rPr>
          <w:iCs/>
          <w:i/>
        </w:rPr>
        <w:t xml:space="preserve">(Continuing the question of the sūkta’s deity:)</w:t>
      </w:r>
      <w:r>
        <w:t xml:space="preserve"> </w:t>
      </w:r>
      <w:r>
        <w:t xml:space="preserve">In the Anukramaṇī it is said that the first three Ṛks and the tenth Ṛk of this sūkta are addressed to the deity Indra; that the 4th, 6th, 8th and 9th are addressed to the Maruts; and that the 5th and 7th Ṛks are addressed to both deities, Indra and the Maruts. But the scholar</w:t>
      </w:r>
      <w:r>
        <w:t xml:space="preserve"> </w:t>
      </w:r>
      <w:r>
        <w:rPr>
          <w:bCs/>
          <w:b/>
        </w:rPr>
        <w:t xml:space="preserve">Oldenberg</w:t>
      </w:r>
      <w:r>
        <w:t xml:space="preserve"> </w:t>
      </w:r>
      <w:r>
        <w:t xml:space="preserve">(so printed, in Latin type) holds that when one considers the matters presented in the sūkta, it is not the Maruts but the</w:t>
      </w:r>
      <w:r>
        <w:t xml:space="preserve"> </w:t>
      </w:r>
      <w:r>
        <w:rPr>
          <w:bCs/>
          <w:b/>
        </w:rPr>
        <w:t xml:space="preserve">Aṅgirases</w:t>
      </w:r>
      <w:r>
        <w:t xml:space="preserve"> </w:t>
      </w:r>
      <w:r>
        <w:t xml:space="preserve">who are presented in place of the Maruts; and since</w:t>
      </w:r>
      <w:r>
        <w:t xml:space="preserve"> </w:t>
      </w:r>
      <w:r>
        <w:t xml:space="preserve">“</w:t>
      </w:r>
      <w:r>
        <w:t xml:space="preserve">Aṅgiras</w:t>
      </w:r>
      <w:r>
        <w:t xml:space="preserve">”</w:t>
      </w:r>
      <w:r>
        <w:t xml:space="preserve"> </w:t>
      </w:r>
      <w:r>
        <w:t xml:space="preserve">is also a name of Indra, there is no subject of the Maruts in this sūkta. Moreover, there is room for the statement that a large part of this sūkta is in praise of the Sun. Even among the ancient scholars there were different views about the deities presented in this sūkta.</w:t>
      </w:r>
    </w:p>
    <w:p>
      <w:pPr>
        <w:pStyle w:val="BodyText"/>
      </w:pPr>
      <w:r>
        <w:t xml:space="preserve">Since this sūkta does not present any definite sacrifice or rite,</w:t>
      </w:r>
      <w:r>
        <w:t xml:space="preserve"> </w:t>
      </w:r>
      <w:r>
        <w:rPr>
          <w:bCs/>
          <w:b/>
        </w:rPr>
        <w:t xml:space="preserve">Dr. Sitanath Pradhan</w:t>
      </w:r>
      <w:r>
        <w:t xml:space="preserve"> </w:t>
      </w:r>
      <w:r>
        <w:t xml:space="preserve">states the chief intention shown in this sūkta in this way</w:t>
      </w:r>
      <w:r>
        <w:t xml:space="preserve"> </w:t>
      </w:r>
      <w:r>
        <w:rPr>
          <w:iCs/>
          <w:i/>
        </w:rPr>
        <w:t xml:space="preserve">(English as printed in the source):</w:t>
      </w:r>
    </w:p>
    <w:p>
      <w:pPr>
        <w:pStyle w:val="BlockText"/>
      </w:pPr>
      <w:r>
        <w:t xml:space="preserve">“</w:t>
      </w:r>
      <w:r>
        <w:t xml:space="preserve">It is the twilight of the early dawn; the stars are still shining. The singers yoke the sun-horse and at the same time Indra’s two horses; It is the same sun who was born (at the time after the bursting open of the rock with the dawns. The patriarchs, Angirases have since regularised the sun-rise and sun-set; they who had then found out the concealed cows with the help of Indra and had then invoked Indra may the sun now appear with Indra! Indra joins in the song of the host of the devout singers. Thence come hither o wanderer; or from the bright realm of heaven. For him do our eulogies combinedly strive. We pray to Indra, for reward from here or from heaven, from the earthy or from the aerial region.</w:t>
      </w:r>
      <w:r>
        <w:t xml:space="preserve">”</w:t>
      </w:r>
    </w:p>
    <w:p>
      <w:pPr>
        <w:pStyle w:val="FirstParagraph"/>
      </w:pPr>
      <w:r>
        <w:rPr>
          <w:bCs/>
          <w:b/>
        </w:rPr>
        <w:t xml:space="preserve">Max Müller</w:t>
      </w:r>
      <w:r>
        <w:t xml:space="preserve"> </w:t>
      </w:r>
      <w:r>
        <w:t xml:space="preserve">explains the meaning of this Ṛk as follows</w:t>
      </w:r>
      <w:r>
        <w:t xml:space="preserve"> </w:t>
      </w:r>
      <w:r>
        <w:rPr>
          <w:iCs/>
          <w:i/>
        </w:rPr>
        <w:t xml:space="preserve">(English as printed):</w:t>
      </w:r>
    </w:p>
    <w:p>
      <w:pPr>
        <w:pStyle w:val="BlockText"/>
      </w:pPr>
      <w:r>
        <w:t xml:space="preserve">“</w:t>
      </w:r>
      <w:r>
        <w:t xml:space="preserve">Those who stand around him while he moves on, harness the bright red (steed); the lights in heaven shine forth.</w:t>
      </w:r>
      <w:r>
        <w:t xml:space="preserve">”</w:t>
      </w:r>
    </w:p>
    <w:p>
      <w:pPr>
        <w:pStyle w:val="FirstParagraph"/>
      </w:pPr>
      <w:r>
        <w:t xml:space="preserve">The Kannada adds that this rendering follows the original without the slightest departure.</w:t>
      </w:r>
    </w:p>
    <w:p>
      <w:pPr>
        <w:pStyle w:val="BodyText"/>
      </w:pPr>
      <w:r>
        <w:t xml:space="preserve">According to this, we explain the Pada-meaning and the Bhāvārtha in Kannada:</w:t>
      </w:r>
    </w:p>
    <w:p>
      <w:pPr>
        <w:pStyle w:val="BodyText"/>
      </w:pPr>
      <w:r>
        <w:rPr>
          <w:bCs/>
          <w:b/>
        </w:rPr>
        <w:t xml:space="preserve">॥ Prati-padārthaḥ ॥</w:t>
      </w:r>
      <w:r>
        <w:t xml:space="preserve"> </w:t>
      </w:r>
      <w:r>
        <w:rPr>
          <w:iCs/>
          <w:i/>
        </w:rPr>
        <w:t xml:space="preserve">(Kannada, translated)</w:t>
      </w:r>
    </w:p>
    <w:p>
      <w:pPr>
        <w:pStyle w:val="BodyText"/>
      </w:pPr>
      <w:r>
        <w:rPr>
          <w:bCs/>
          <w:b/>
        </w:rPr>
        <w:t xml:space="preserve">परि तस्थुषः (pari tasthuṣaḥ)</w:t>
      </w:r>
      <w:r>
        <w:t xml:space="preserve"> </w:t>
      </w:r>
      <w:r>
        <w:t xml:space="preserve">— the people who stand all around |</w:t>
      </w:r>
      <w:r>
        <w:t xml:space="preserve"> </w:t>
      </w:r>
      <w:r>
        <w:rPr>
          <w:bCs/>
          <w:b/>
        </w:rPr>
        <w:t xml:space="preserve">अरुषम् (aruṣam)</w:t>
      </w:r>
      <w:r>
        <w:t xml:space="preserve"> </w:t>
      </w:r>
      <w:r>
        <w:t xml:space="preserve">— shining (English as printed:</w:t>
      </w:r>
      <w:r>
        <w:t xml:space="preserve"> </w:t>
      </w:r>
      <w:r>
        <w:t xml:space="preserve">“</w:t>
      </w:r>
      <w:r>
        <w:t xml:space="preserve">spirited</w:t>
      </w:r>
      <w:r>
        <w:t xml:space="preserve">”</w:t>
      </w:r>
      <w:r>
        <w:t xml:space="preserve">) |</w:t>
      </w:r>
      <w:r>
        <w:t xml:space="preserve"> </w:t>
      </w:r>
      <w:r>
        <w:rPr>
          <w:bCs/>
          <w:b/>
        </w:rPr>
        <w:t xml:space="preserve">चरन्तम् (carantam)</w:t>
      </w:r>
      <w:r>
        <w:t xml:space="preserve"> </w:t>
      </w:r>
      <w:r>
        <w:t xml:space="preserve">— one with swift movement |</w:t>
      </w:r>
      <w:r>
        <w:t xml:space="preserve"> </w:t>
      </w:r>
      <w:r>
        <w:rPr>
          <w:bCs/>
          <w:b/>
        </w:rPr>
        <w:t xml:space="preserve">ब्रध्नम् (bradhnam)</w:t>
      </w:r>
      <w:r>
        <w:t xml:space="preserve"> </w:t>
      </w:r>
      <w:r>
        <w:t xml:space="preserve">— a horse |</w:t>
      </w:r>
      <w:r>
        <w:t xml:space="preserve"> </w:t>
      </w:r>
      <w:r>
        <w:rPr>
          <w:bCs/>
          <w:b/>
        </w:rPr>
        <w:t xml:space="preserve">युञ्जन्ति (yuñjanti)</w:t>
      </w:r>
      <w:r>
        <w:t xml:space="preserve"> </w:t>
      </w:r>
      <w:r>
        <w:t xml:space="preserve">— they harness (to the chariot) |</w:t>
      </w:r>
      <w:r>
        <w:t xml:space="preserve"> </w:t>
      </w:r>
      <w:r>
        <w:rPr>
          <w:bCs/>
          <w:b/>
        </w:rPr>
        <w:t xml:space="preserve">(तस्मिन् काले) रोचना (rocanā)</w:t>
      </w:r>
      <w:r>
        <w:t xml:space="preserve"> </w:t>
      </w:r>
      <w:r>
        <w:t xml:space="preserve">— the stars, or the rays of the Sun |</w:t>
      </w:r>
      <w:r>
        <w:t xml:space="preserve"> </w:t>
      </w:r>
      <w:r>
        <w:rPr>
          <w:bCs/>
          <w:b/>
        </w:rPr>
        <w:t xml:space="preserve">दिवि (divi)</w:t>
      </w:r>
      <w:r>
        <w:t xml:space="preserve"> </w:t>
      </w:r>
      <w:r>
        <w:t xml:space="preserve">— in the sky |</w:t>
      </w:r>
      <w:r>
        <w:t xml:space="preserve"> </w:t>
      </w:r>
      <w:r>
        <w:rPr>
          <w:bCs/>
          <w:b/>
        </w:rPr>
        <w:t xml:space="preserve">रोचन्ते (rocante)</w:t>
      </w:r>
      <w:r>
        <w:t xml:space="preserve"> </w:t>
      </w:r>
      <w:r>
        <w:t xml:space="preserve">— shine.</w:t>
      </w:r>
    </w:p>
    <w:bookmarkEnd w:id="247"/>
    <w:bookmarkStart w:id="248" w:name="Xfe90eb51144b09a0dcdedfe2a45e71f93301944"/>
    <w:p>
      <w:pPr>
        <w:pStyle w:val="Heading3"/>
      </w:pPr>
      <w:r>
        <w:t xml:space="preserve">Page 211 — Bhāvārtha; the chariot of the Sun or of Indra; the deities of the Ṛks; Aṅgiras and Paṇi</w:t>
      </w:r>
    </w:p>
    <w:p>
      <w:pPr>
        <w:pStyle w:val="FirstParagraph"/>
      </w:pPr>
      <w:r>
        <w:rPr>
          <w:iCs/>
          <w:i/>
        </w:rPr>
        <w:t xml:space="preserve">(Page header:</w:t>
      </w:r>
      <w:r>
        <w:rPr>
          <w:iCs/>
          <w:i/>
        </w:rPr>
        <w:t xml:space="preserve"> </w:t>
      </w:r>
      <w:r>
        <w:rPr>
          <w:iCs/>
          <w:i/>
        </w:rPr>
        <w:t xml:space="preserve">“</w:t>
      </w:r>
      <w:r>
        <w:rPr>
          <w:iCs/>
          <w:i/>
        </w:rPr>
        <w:t xml:space="preserve">Aṣṭaka 1, Adhyāya 1, Varga 11 · Ṛgveda-saṃhitā.</w:t>
      </w:r>
      <w:r>
        <w:rPr>
          <w:iCs/>
          <w:i/>
        </w:rPr>
        <w:t xml:space="preserve">”</w:t>
      </w:r>
      <w:r>
        <w:rPr>
          <w:iCs/>
          <w:i/>
        </w:rPr>
        <w:t xml:space="preserve"> </w:t>
      </w:r>
      <w:r>
        <w:rPr>
          <w:iCs/>
          <w:i/>
        </w:rPr>
        <w:t xml:space="preserve">Kannada prose translated; the verse below is read from an enlarged slice; references re-read from the better scan; the gloss is mine, tentative.)</w:t>
      </w:r>
    </w:p>
    <w:p>
      <w:pPr>
        <w:pStyle w:val="BodyText"/>
      </w:pPr>
      <w:r>
        <w:rPr>
          <w:bCs/>
          <w:b/>
        </w:rPr>
        <w:t xml:space="preserve">॥ Bhāvārthaḥ ॥</w:t>
      </w:r>
      <w:r>
        <w:t xml:space="preserve"> </w:t>
      </w:r>
      <w:r>
        <w:rPr>
          <w:iCs/>
          <w:i/>
        </w:rPr>
        <w:t xml:space="preserve">(Kannada, translated)</w:t>
      </w:r>
    </w:p>
    <w:p>
      <w:pPr>
        <w:pStyle w:val="BodyText"/>
      </w:pPr>
      <w:r>
        <w:t xml:space="preserve">Since the Sun has just risen, his rays spread through the whole sky and shine. At this time the people who stand all around harness to the chariot the shining, strong, swift-moving horse. Since the light has just begun, the stars are still shining.</w:t>
      </w:r>
    </w:p>
    <w:p>
      <w:pPr>
        <w:pStyle w:val="BodyText"/>
      </w:pPr>
      <w:r>
        <w:t xml:space="preserve">Here the doubt arises whether</w:t>
      </w:r>
      <w:r>
        <w:t xml:space="preserve"> </w:t>
      </w:r>
      <w:r>
        <w:t xml:space="preserve">“</w:t>
      </w:r>
      <w:r>
        <w:t xml:space="preserve">ratha</w:t>
      </w:r>
      <w:r>
        <w:t xml:space="preserve">”</w:t>
      </w:r>
      <w:r>
        <w:t xml:space="preserve"> </w:t>
      </w:r>
      <w:r>
        <w:t xml:space="preserve">(chariot) means the Sun’s chariot or Indra’s. Indra’s chariot must have two horses. The Sun’s chariot must have seven horses. But since it is said</w:t>
      </w:r>
      <w:r>
        <w:t xml:space="preserve"> </w:t>
      </w:r>
      <w:r>
        <w:t xml:space="preserve">“</w:t>
      </w:r>
      <w:r>
        <w:rPr>
          <w:iCs/>
          <w:i/>
        </w:rPr>
        <w:t xml:space="preserve">eko aśvo vahati saptanāmā</w:t>
      </w:r>
      <w:r>
        <w:t xml:space="preserve">”</w:t>
      </w:r>
      <w:r>
        <w:t xml:space="preserve"> </w:t>
      </w:r>
      <w:r>
        <w:t xml:space="preserve">(एको अश्वो वहति सप्तनामा —</w:t>
      </w:r>
      <w:r>
        <w:t xml:space="preserve"> </w:t>
      </w:r>
      <w:r>
        <w:rPr>
          <w:iCs/>
          <w:i/>
        </w:rPr>
        <w:t xml:space="preserve">eko aśvo vahati saptanāmā</w:t>
      </w:r>
      <w:r>
        <w:t xml:space="preserve">; ṛ. saṃ. 1-164-2) —</w:t>
      </w:r>
      <w:r>
        <w:t xml:space="preserve"> </w:t>
      </w:r>
      <w:r>
        <w:t xml:space="preserve">“</w:t>
      </w:r>
      <w:r>
        <w:t xml:space="preserve">one horse, of seven names, carries</w:t>
      </w:r>
      <w:r>
        <w:t xml:space="preserve">”</w:t>
      </w:r>
      <w:r>
        <w:t xml:space="preserve"> </w:t>
      </w:r>
      <w:r>
        <w:t xml:space="preserve">— it is right to say even one horse. And the second Ṛk plainly gives the name</w:t>
      </w:r>
      <w:r>
        <w:t xml:space="preserve"> </w:t>
      </w:r>
      <w:r>
        <w:t xml:space="preserve">“</w:t>
      </w:r>
      <w:r>
        <w:t xml:space="preserve">harī,</w:t>
      </w:r>
      <w:r>
        <w:t xml:space="preserve">”</w:t>
      </w:r>
      <w:r>
        <w:t xml:space="preserve"> </w:t>
      </w:r>
      <w:r>
        <w:t xml:space="preserve">that of Indra’s two horses. For these reasons we must believe what is said in the Anukramaṇī to be authoritative.</w:t>
      </w:r>
    </w:p>
    <w:p>
      <w:pPr>
        <w:pStyle w:val="BodyText"/>
      </w:pPr>
      <w:r>
        <w:t xml:space="preserve">Now we shall consider the matter that sets forth the deities of the Ṛks 4, 6, 8 and 9: In the fifth Ṛk —</w:t>
      </w:r>
      <w:r>
        <w:t xml:space="preserve"> </w:t>
      </w:r>
      <w:r>
        <w:t xml:space="preserve">“</w:t>
      </w:r>
      <w:r>
        <w:rPr>
          <w:iCs/>
          <w:i/>
        </w:rPr>
        <w:t xml:space="preserve">vīḷu cid ārujatnubhir guhā cid indra vahnibhiḥ | avinda usriyā anu</w:t>
      </w:r>
      <w:r>
        <w:t xml:space="preserve">”</w:t>
      </w:r>
      <w:r>
        <w:t xml:space="preserve"> </w:t>
      </w:r>
      <w:r>
        <w:t xml:space="preserve">— it is said that the demons called</w:t>
      </w:r>
      <w:r>
        <w:t xml:space="preserve"> </w:t>
      </w:r>
      <w:r>
        <w:rPr>
          <w:bCs/>
          <w:b/>
        </w:rPr>
        <w:t xml:space="preserve">Paṇi</w:t>
      </w:r>
      <w:r>
        <w:t xml:space="preserve"> </w:t>
      </w:r>
      <w:r>
        <w:t xml:space="preserve">carried off the cows from the world of the gods and hid them in a cave that no one could know; and that Indra, with the help of those capable of destroying the stronghold (the Maruts or the Aṅgirases), searched for them and brought them back. Here</w:t>
      </w:r>
      <w:r>
        <w:t xml:space="preserve"> </w:t>
      </w:r>
      <w:r>
        <w:t xml:space="preserve">“</w:t>
      </w:r>
      <w:r>
        <w:t xml:space="preserve">those who are capable</w:t>
      </w:r>
      <w:r>
        <w:t xml:space="preserve">”</w:t>
      </w:r>
      <w:r>
        <w:t xml:space="preserve"> </w:t>
      </w:r>
      <w:r>
        <w:t xml:space="preserve">— the ancient commentators such as</w:t>
      </w:r>
      <w:r>
        <w:t xml:space="preserve"> </w:t>
      </w:r>
      <w:r>
        <w:rPr>
          <w:bCs/>
          <w:b/>
        </w:rPr>
        <w:t xml:space="preserve">Sāyaṇa, Skandasvāmī and Veṅkaṭamādhava</w:t>
      </w:r>
      <w:r>
        <w:t xml:space="preserve"> </w:t>
      </w:r>
      <w:r>
        <w:t xml:space="preserve">say, are the</w:t>
      </w:r>
      <w:r>
        <w:t xml:space="preserve"> </w:t>
      </w:r>
      <w:r>
        <w:t xml:space="preserve">“</w:t>
      </w:r>
      <w:r>
        <w:t xml:space="preserve">Maruts.</w:t>
      </w:r>
      <w:r>
        <w:t xml:space="preserve">”</w:t>
      </w:r>
      <w:r>
        <w:t xml:space="preserve"> </w:t>
      </w:r>
      <w:r>
        <w:t xml:space="preserve">But modern Western scholars such as</w:t>
      </w:r>
      <w:r>
        <w:t xml:space="preserve"> </w:t>
      </w:r>
      <w:r>
        <w:rPr>
          <w:bCs/>
          <w:b/>
        </w:rPr>
        <w:t xml:space="preserve">Max Müller</w:t>
      </w:r>
      <w:r>
        <w:t xml:space="preserve"> </w:t>
      </w:r>
      <w:r>
        <w:t xml:space="preserve">and</w:t>
      </w:r>
      <w:r>
        <w:t xml:space="preserve"> </w:t>
      </w:r>
      <w:r>
        <w:rPr>
          <w:bCs/>
          <w:b/>
        </w:rPr>
        <w:t xml:space="preserve">Macdonell</w:t>
      </w:r>
      <w:r>
        <w:t xml:space="preserve"> </w:t>
      </w:r>
      <w:r>
        <w:t xml:space="preserve">hold that the word</w:t>
      </w:r>
      <w:r>
        <w:t xml:space="preserve"> </w:t>
      </w:r>
      <w:r>
        <w:t xml:space="preserve">“</w:t>
      </w:r>
      <w:r>
        <w:t xml:space="preserve">ārujatnubhiḥ</w:t>
      </w:r>
      <w:r>
        <w:t xml:space="preserve">”</w:t>
      </w:r>
      <w:r>
        <w:t xml:space="preserve"> </w:t>
      </w:r>
      <w:r>
        <w:t xml:space="preserve">refers to the</w:t>
      </w:r>
      <w:r>
        <w:t xml:space="preserve"> </w:t>
      </w:r>
      <w:r>
        <w:rPr>
          <w:bCs/>
          <w:b/>
        </w:rPr>
        <w:t xml:space="preserve">Aṅgirases</w:t>
      </w:r>
      <w:r>
        <w:t xml:space="preserve">; because —</w:t>
      </w:r>
    </w:p>
    <w:p>
      <w:pPr>
        <w:pStyle w:val="BlockText"/>
      </w:pPr>
      <w:r>
        <w:t xml:space="preserve">वीळु चिद्दृळ्हा पितरो न उक्थैरद्रिं रुजन्नङ्गिरसो रवेण ।</w:t>
      </w:r>
      <w:r>
        <w:t xml:space="preserve"> </w:t>
      </w:r>
      <w:r>
        <w:t xml:space="preserve">चक्रुर्दिवो बृहतो गातुमस्मे अहः स्वर्विविदुः केतुमुस्राः ॥ (ऋ. सं. १-७१-२)</w:t>
      </w:r>
      <w:r>
        <w:t xml:space="preserve"> </w:t>
      </w:r>
      <w:r>
        <w:rPr>
          <w:iCs/>
          <w:i/>
        </w:rPr>
        <w:t xml:space="preserve">vīḷu cid dṛḷhā pitaro na ukthair adriṃ rujann aṅgiraso raveṇa |</w:t>
      </w:r>
      <w:r>
        <w:t xml:space="preserve"> </w:t>
      </w:r>
      <w:r>
        <w:rPr>
          <w:iCs/>
          <w:i/>
        </w:rPr>
        <w:t xml:space="preserve">cakrur divo bṛhato gātum asme ahaḥ svar vividuḥ ketum usrāḥ || (ṛ. saṃ. 1-71-2)</w:t>
      </w:r>
      <w:r>
        <w:t xml:space="preserve"> </w:t>
      </w:r>
      <w:r>
        <w:t xml:space="preserve">Gloss (mine; tentative):</w:t>
      </w:r>
      <w:r>
        <w:t xml:space="preserve"> </w:t>
      </w:r>
      <w:r>
        <w:t xml:space="preserve">“</w:t>
      </w:r>
      <w:r>
        <w:t xml:space="preserve">Our fathers, by their hymns, the Aṅgirases, breaking the firm, the rock, with their cry — they made for us a path of the great heaven; they found the day, the light, the banner, the cows.</w:t>
      </w:r>
      <w:r>
        <w:t xml:space="preserve">”</w:t>
      </w:r>
    </w:p>
    <w:p>
      <w:pPr>
        <w:pStyle w:val="FirstParagraph"/>
      </w:pPr>
      <w:r>
        <w:t xml:space="preserve">in this Ṛk and in some other places it is said that the Aṅgirases helped Indra in seizing the demon called Paṇi; so they think that the Ṛks of this sūkta have been spoken in view of the Aṅgirases. Moreover, the German scholar</w:t>
      </w:r>
      <w:r>
        <w:t xml:space="preserve"> </w:t>
      </w:r>
      <w:r>
        <w:rPr>
          <w:bCs/>
          <w:b/>
        </w:rPr>
        <w:t xml:space="preserve">Oldenberg</w:t>
      </w:r>
      <w:r>
        <w:t xml:space="preserve"> </w:t>
      </w:r>
      <w:r>
        <w:t xml:space="preserve">is of the opinion that in all the Ṛks of this sūkta that are connected with the Maruts the meaning concerning the Aṅgirases is quite natural. Thus this matter, too, is one that has to be called disputed.</w:t>
      </w:r>
    </w:p>
    <w:bookmarkEnd w:id="248"/>
    <w:bookmarkStart w:id="249" w:name="Xaa16d5bc5f9b5c889331b74e9cf747bd4f3c64d"/>
    <w:p>
      <w:pPr>
        <w:pStyle w:val="Heading3"/>
      </w:pPr>
      <w:r>
        <w:t xml:space="preserve">Pages 212–213 — Vyākaraṇa-prakriyā for Rik 6.1 (Kannada) — characterized; Sūkta 6, Second Mantra: Saṃhitā</w:t>
      </w:r>
    </w:p>
    <w:p>
      <w:pPr>
        <w:pStyle w:val="FirstParagraph"/>
      </w:pPr>
      <w:r>
        <w:rPr>
          <w:iCs/>
          <w:i/>
        </w:rPr>
        <w:t xml:space="preserve">(Page headers: p. 212</w:t>
      </w:r>
      <w:r>
        <w:rPr>
          <w:iCs/>
          <w:i/>
        </w:rPr>
        <w:t xml:space="preserve"> </w:t>
      </w:r>
      <w:r>
        <w:rPr>
          <w:iCs/>
          <w:i/>
        </w:rPr>
        <w:t xml:space="preserve">“</w:t>
      </w:r>
      <w:r>
        <w:rPr>
          <w:iCs/>
          <w:i/>
        </w:rPr>
        <w:t xml:space="preserve">Sāyaṇa-bhāṣya-sahitā · Maṇḍala 1, Anuvāka 2, Sūkta 6</w:t>
      </w:r>
      <w:r>
        <w:rPr>
          <w:iCs/>
          <w:i/>
        </w:rPr>
        <w:t xml:space="preserve">”</w:t>
      </w:r>
      <w:r>
        <w:rPr>
          <w:iCs/>
          <w:i/>
        </w:rPr>
        <w:t xml:space="preserve">; p. 213</w:t>
      </w:r>
      <w:r>
        <w:rPr>
          <w:iCs/>
          <w:i/>
        </w:rPr>
        <w:t xml:space="preserve"> </w:t>
      </w:r>
      <w:r>
        <w:rPr>
          <w:iCs/>
          <w:i/>
        </w:rPr>
        <w:t xml:space="preserve">“</w:t>
      </w:r>
      <w:r>
        <w:rPr>
          <w:iCs/>
          <w:i/>
        </w:rPr>
        <w:t xml:space="preserve">Aṣṭaka 1, Adhyāya 1, Varga 11 · Ṛgveda-saṃhitā.</w:t>
      </w:r>
      <w:r>
        <w:rPr>
          <w:iCs/>
          <w:i/>
        </w:rPr>
        <w:t xml:space="preserve">”</w:t>
      </w:r>
      <w:r>
        <w:rPr>
          <w:iCs/>
          <w:i/>
        </w:rPr>
        <w:t xml:space="preserve"> </w:t>
      </w:r>
      <w:r>
        <w:rPr>
          <w:iCs/>
          <w:i/>
        </w:rPr>
        <w:t xml:space="preserve">These two pages are</w:t>
      </w:r>
      <w:r>
        <w:rPr>
          <w:iCs/>
          <w:i/>
        </w:rPr>
        <w:t xml:space="preserve"> </w:t>
      </w:r>
      <w:r>
        <w:rPr>
          <w:bCs/>
          <w:b/>
          <w:iCs/>
          <w:i/>
        </w:rPr>
        <w:t xml:space="preserve">pure Pāṇinian derivation in Kannada prose</w:t>
      </w:r>
      <w:r>
        <w:rPr>
          <w:iCs/>
          <w:i/>
        </w:rPr>
        <w:t xml:space="preserve"> </w:t>
      </w:r>
      <w:r>
        <w:rPr>
          <w:iCs/>
          <w:i/>
        </w:rPr>
        <w:t xml:space="preserve">for</w:t>
      </w:r>
      <w:r>
        <w:rPr>
          <w:iCs/>
          <w:i/>
        </w:rPr>
        <w:t xml:space="preserve"> </w:t>
      </w:r>
      <w:r>
        <w:rPr>
          <w:iCs/>
          <w:i/>
        </w:rPr>
        <w:t xml:space="preserve">“</w:t>
      </w:r>
      <w:r>
        <w:rPr>
          <w:iCs/>
          <w:i/>
        </w:rPr>
        <w:t xml:space="preserve">yuñjanti,</w:t>
      </w:r>
      <w:r>
        <w:rPr>
          <w:iCs/>
          <w:i/>
        </w:rPr>
        <w:t xml:space="preserve">”</w:t>
      </w:r>
      <w:r>
        <w:rPr>
          <w:iCs/>
          <w:i/>
        </w:rPr>
        <w:t xml:space="preserve"> </w:t>
      </w:r>
      <w:r>
        <w:rPr>
          <w:iCs/>
          <w:i/>
        </w:rPr>
        <w:t xml:space="preserve">“</w:t>
      </w:r>
      <w:r>
        <w:rPr>
          <w:iCs/>
          <w:i/>
        </w:rPr>
        <w:t xml:space="preserve">bradhnam,</w:t>
      </w:r>
      <w:r>
        <w:rPr>
          <w:iCs/>
          <w:i/>
        </w:rPr>
        <w:t xml:space="preserve">”</w:t>
      </w:r>
      <w:r>
        <w:rPr>
          <w:iCs/>
          <w:i/>
        </w:rPr>
        <w:t xml:space="preserve"> </w:t>
      </w:r>
      <w:r>
        <w:rPr>
          <w:iCs/>
          <w:i/>
        </w:rPr>
        <w:t xml:space="preserve">“</w:t>
      </w:r>
      <w:r>
        <w:rPr>
          <w:iCs/>
          <w:i/>
        </w:rPr>
        <w:t xml:space="preserve">aruṣam,</w:t>
      </w:r>
      <w:r>
        <w:rPr>
          <w:iCs/>
          <w:i/>
        </w:rPr>
        <w:t xml:space="preserve">”</w:t>
      </w:r>
      <w:r>
        <w:rPr>
          <w:iCs/>
          <w:i/>
        </w:rPr>
        <w:t xml:space="preserve"> </w:t>
      </w:r>
      <w:r>
        <w:rPr>
          <w:iCs/>
          <w:i/>
        </w:rPr>
        <w:t xml:space="preserve">“</w:t>
      </w:r>
      <w:r>
        <w:rPr>
          <w:iCs/>
          <w:i/>
        </w:rPr>
        <w:t xml:space="preserve">carantam,</w:t>
      </w:r>
      <w:r>
        <w:rPr>
          <w:iCs/>
          <w:i/>
        </w:rPr>
        <w:t xml:space="preserve">”</w:t>
      </w:r>
      <w:r>
        <w:rPr>
          <w:iCs/>
          <w:i/>
        </w:rPr>
        <w:t xml:space="preserve"> </w:t>
      </w:r>
      <w:r>
        <w:rPr>
          <w:iCs/>
          <w:i/>
        </w:rPr>
        <w:t xml:space="preserve">“</w:t>
      </w:r>
      <w:r>
        <w:rPr>
          <w:iCs/>
          <w:i/>
        </w:rPr>
        <w:t xml:space="preserve">tasthuṣaḥ,</w:t>
      </w:r>
      <w:r>
        <w:rPr>
          <w:iCs/>
          <w:i/>
        </w:rPr>
        <w:t xml:space="preserve">”</w:t>
      </w:r>
      <w:r>
        <w:rPr>
          <w:iCs/>
          <w:i/>
        </w:rPr>
        <w:t xml:space="preserve"> </w:t>
      </w:r>
      <w:r>
        <w:rPr>
          <w:iCs/>
          <w:i/>
        </w:rPr>
        <w:t xml:space="preserve">“</w:t>
      </w:r>
      <w:r>
        <w:rPr>
          <w:iCs/>
          <w:i/>
        </w:rPr>
        <w:t xml:space="preserve">rocante,</w:t>
      </w:r>
      <w:r>
        <w:rPr>
          <w:iCs/>
          <w:i/>
        </w:rPr>
        <w:t xml:space="preserve">”</w:t>
      </w:r>
      <w:r>
        <w:rPr>
          <w:iCs/>
          <w:i/>
        </w:rPr>
        <w:t xml:space="preserve"> </w:t>
      </w:r>
      <w:r>
        <w:rPr>
          <w:iCs/>
          <w:i/>
        </w:rPr>
        <w:t xml:space="preserve">“</w:t>
      </w:r>
      <w:r>
        <w:rPr>
          <w:iCs/>
          <w:i/>
        </w:rPr>
        <w:t xml:space="preserve">rocanā</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divi</w:t>
      </w:r>
      <w:r>
        <w:rPr>
          <w:iCs/>
          <w:i/>
        </w:rPr>
        <w:t xml:space="preserve">”</w:t>
      </w:r>
      <w:r>
        <w:rPr>
          <w:iCs/>
          <w:i/>
        </w:rPr>
        <w:t xml:space="preserve">; they do not bear on the sense of Rik 6.1 (pp. 203–204 and the commentary after them).</w:t>
      </w:r>
      <w:r>
        <w:rPr>
          <w:iCs/>
          <w:i/>
        </w:rPr>
        <w:t xml:space="preserve"> </w:t>
      </w:r>
      <w:r>
        <w:rPr>
          <w:bCs/>
          <w:b/>
          <w:iCs/>
          <w:i/>
        </w:rPr>
        <w:t xml:space="preserve">Characterized in outline</w:t>
      </w:r>
      <w:r>
        <w:rPr>
          <w:iCs/>
          <w:i/>
        </w:rPr>
        <w:t xml:space="preserve">; sūtras kept; re-read from the better scan. Saṃhitā accents as printed; Pada unaccented.)</w:t>
      </w:r>
    </w:p>
    <w:p>
      <w:pPr>
        <w:pStyle w:val="BodyText"/>
      </w:pPr>
      <w:r>
        <w:rPr>
          <w:bCs/>
          <w:b/>
        </w:rPr>
        <w:t xml:space="preserve">p. 212.</w:t>
      </w:r>
      <w:r>
        <w:t xml:space="preserve"> </w:t>
      </w:r>
      <w:r>
        <w:rPr>
          <w:bCs/>
          <w:b/>
        </w:rPr>
        <w:t xml:space="preserve">“</w:t>
      </w:r>
      <w:r>
        <w:rPr>
          <w:bCs/>
          <w:b/>
        </w:rPr>
        <w:t xml:space="preserve">Yuñjanti</w:t>
      </w:r>
      <w:r>
        <w:rPr>
          <w:bCs/>
          <w:b/>
        </w:rPr>
        <w:t xml:space="preserve">”</w:t>
      </w:r>
      <w:r>
        <w:t xml:space="preserve"> </w:t>
      </w:r>
      <w:r>
        <w:t xml:space="preserve">— the root</w:t>
      </w:r>
      <w:r>
        <w:t xml:space="preserve"> </w:t>
      </w:r>
      <w:r>
        <w:t xml:space="preserve">“</w:t>
      </w:r>
      <w:r>
        <w:t xml:space="preserve">yujir yoge</w:t>
      </w:r>
      <w:r>
        <w:t xml:space="preserve">”</w:t>
      </w:r>
      <w:r>
        <w:t xml:space="preserve"> </w:t>
      </w:r>
      <w:r>
        <w:t xml:space="preserve">(to join): the third-person plural</w:t>
      </w:r>
      <w:r>
        <w:t xml:space="preserve"> </w:t>
      </w:r>
      <w:r>
        <w:t xml:space="preserve">“</w:t>
      </w:r>
      <w:r>
        <w:t xml:space="preserve">laṭ,</w:t>
      </w:r>
      <w:r>
        <w:t xml:space="preserve">”</w:t>
      </w:r>
      <w:r>
        <w:t xml:space="preserve"> </w:t>
      </w:r>
      <w:r>
        <w:t xml:space="preserve">“</w:t>
      </w:r>
      <w:r>
        <w:t xml:space="preserve">jhi</w:t>
      </w:r>
      <w:r>
        <w:t xml:space="preserve">”</w:t>
      </w:r>
      <w:r>
        <w:t xml:space="preserve"> </w:t>
      </w:r>
      <w:r>
        <w:t xml:space="preserve">→</w:t>
      </w:r>
      <w:r>
        <w:t xml:space="preserve"> </w:t>
      </w:r>
      <w:r>
        <w:t xml:space="preserve">“</w:t>
      </w:r>
      <w:r>
        <w:t xml:space="preserve">ant</w:t>
      </w:r>
      <w:r>
        <w:t xml:space="preserve">”</w:t>
      </w:r>
      <w:r>
        <w:t xml:space="preserve">; because it is a</w:t>
      </w:r>
      <w:r>
        <w:t xml:space="preserve"> </w:t>
      </w:r>
      <w:r>
        <w:t xml:space="preserve">“</w:t>
      </w:r>
      <w:r>
        <w:t xml:space="preserve">rudhādi</w:t>
      </w:r>
      <w:r>
        <w:t xml:space="preserve">”</w:t>
      </w:r>
      <w:r>
        <w:t xml:space="preserve"> </w:t>
      </w:r>
      <w:r>
        <w:t xml:space="preserve">root (</w:t>
      </w:r>
      <w:r>
        <w:rPr>
          <w:bCs/>
          <w:b/>
        </w:rPr>
        <w:t xml:space="preserve">रुधादिभ्यः श्नम्</w:t>
      </w:r>
      <w:r>
        <w:t xml:space="preserve">, पा. ३-१-७८) the vikaraṇa</w:t>
      </w:r>
      <w:r>
        <w:t xml:space="preserve"> </w:t>
      </w:r>
      <w:r>
        <w:t xml:space="preserve">“</w:t>
      </w:r>
      <w:r>
        <w:t xml:space="preserve">śnam</w:t>
      </w:r>
      <w:r>
        <w:t xml:space="preserve">”</w:t>
      </w:r>
      <w:r>
        <w:t xml:space="preserve"> </w:t>
      </w:r>
      <w:r>
        <w:t xml:space="preserve">comes in place of</w:t>
      </w:r>
      <w:r>
        <w:t xml:space="preserve"> </w:t>
      </w:r>
      <w:r>
        <w:t xml:space="preserve">“</w:t>
      </w:r>
      <w:r>
        <w:t xml:space="preserve">śap</w:t>
      </w:r>
      <w:r>
        <w:t xml:space="preserve">”</w:t>
      </w:r>
      <w:r>
        <w:t xml:space="preserve">; the</w:t>
      </w:r>
      <w:r>
        <w:t xml:space="preserve"> </w:t>
      </w:r>
      <w:r>
        <w:t xml:space="preserve">“</w:t>
      </w:r>
      <w:r>
        <w:t xml:space="preserve">m</w:t>
      </w:r>
      <w:r>
        <w:t xml:space="preserve">”</w:t>
      </w:r>
      <w:r>
        <w:t xml:space="preserve"> </w:t>
      </w:r>
      <w:r>
        <w:t xml:space="preserve">of</w:t>
      </w:r>
      <w:r>
        <w:t xml:space="preserve"> </w:t>
      </w:r>
      <w:r>
        <w:t xml:space="preserve">“</w:t>
      </w:r>
      <w:r>
        <w:t xml:space="preserve">śnam</w:t>
      </w:r>
      <w:r>
        <w:t xml:space="preserve">”</w:t>
      </w:r>
      <w:r>
        <w:t xml:space="preserve"> </w:t>
      </w:r>
      <w:r>
        <w:t xml:space="preserve">is an</w:t>
      </w:r>
      <w:r>
        <w:t xml:space="preserve"> </w:t>
      </w:r>
      <w:r>
        <w:t xml:space="preserve">“</w:t>
      </w:r>
      <w:r>
        <w:t xml:space="preserve">it</w:t>
      </w:r>
      <w:r>
        <w:t xml:space="preserve">”</w:t>
      </w:r>
      <w:r>
        <w:t xml:space="preserve"> </w:t>
      </w:r>
      <w:r>
        <w:t xml:space="preserve">and, as an</w:t>
      </w:r>
      <w:r>
        <w:t xml:space="preserve"> </w:t>
      </w:r>
      <w:r>
        <w:t xml:space="preserve">“</w:t>
      </w:r>
      <w:r>
        <w:t xml:space="preserve">mit</w:t>
      </w:r>
      <w:r>
        <w:t xml:space="preserve">”</w:t>
      </w:r>
      <w:r>
        <w:t xml:space="preserve"> </w:t>
      </w:r>
      <w:r>
        <w:t xml:space="preserve">augment, it is placed after the last vowel of the stem (</w:t>
      </w:r>
      <w:r>
        <w:rPr>
          <w:bCs/>
          <w:b/>
        </w:rPr>
        <w:t xml:space="preserve">मिदचोऽन्त्यात्परः</w:t>
      </w:r>
      <w:r>
        <w:t xml:space="preserve">, पा. १-१-४७) — so</w:t>
      </w:r>
      <w:r>
        <w:t xml:space="preserve"> </w:t>
      </w:r>
      <w:r>
        <w:t xml:space="preserve">“</w:t>
      </w:r>
      <w:r>
        <w:t xml:space="preserve">yu-na-j</w:t>
      </w:r>
      <w:r>
        <w:t xml:space="preserve">”</w:t>
      </w:r>
      <w:r>
        <w:t xml:space="preserve">;</w:t>
      </w:r>
      <w:r>
        <w:t xml:space="preserve"> </w:t>
      </w:r>
      <w:r>
        <w:rPr>
          <w:bCs/>
          <w:b/>
        </w:rPr>
        <w:t xml:space="preserve">झोऽन्तः</w:t>
      </w:r>
      <w:r>
        <w:t xml:space="preserve"> </w:t>
      </w:r>
      <w:r>
        <w:t xml:space="preserve">(पा. ७-१-३) and</w:t>
      </w:r>
      <w:r>
        <w:t xml:space="preserve"> </w:t>
      </w:r>
      <w:r>
        <w:rPr>
          <w:bCs/>
          <w:b/>
        </w:rPr>
        <w:t xml:space="preserve">श्नसोरल्लोपः</w:t>
      </w:r>
      <w:r>
        <w:t xml:space="preserve"> </w:t>
      </w:r>
      <w:r>
        <w:t xml:space="preserve">(पा. ६-४-१११) elide the</w:t>
      </w:r>
      <w:r>
        <w:t xml:space="preserve"> </w:t>
      </w:r>
      <w:r>
        <w:t xml:space="preserve">“</w:t>
      </w:r>
      <w:r>
        <w:t xml:space="preserve">a</w:t>
      </w:r>
      <w:r>
        <w:t xml:space="preserve">”</w:t>
      </w:r>
      <w:r>
        <w:t xml:space="preserve"> </w:t>
      </w:r>
      <w:r>
        <w:t xml:space="preserve">of</w:t>
      </w:r>
      <w:r>
        <w:t xml:space="preserve"> </w:t>
      </w:r>
      <w:r>
        <w:t xml:space="preserve">“</w:t>
      </w:r>
      <w:r>
        <w:t xml:space="preserve">śnam</w:t>
      </w:r>
      <w:r>
        <w:t xml:space="preserve">”</w:t>
      </w:r>
      <w:r>
        <w:t xml:space="preserve"> </w:t>
      </w:r>
      <w:r>
        <w:t xml:space="preserve">before a</w:t>
      </w:r>
      <w:r>
        <w:t xml:space="preserve"> </w:t>
      </w:r>
      <w:r>
        <w:t xml:space="preserve">“</w:t>
      </w:r>
      <w:r>
        <w:t xml:space="preserve">ñit/ṅit</w:t>
      </w:r>
      <w:r>
        <w:t xml:space="preserve">”</w:t>
      </w:r>
      <w:r>
        <w:t xml:space="preserve"> </w:t>
      </w:r>
      <w:r>
        <w:t xml:space="preserve">sārvadhātuka;</w:t>
      </w:r>
      <w:r>
        <w:t xml:space="preserve"> </w:t>
      </w:r>
      <w:r>
        <w:rPr>
          <w:bCs/>
          <w:b/>
        </w:rPr>
        <w:t xml:space="preserve">नश्चापदान्तस्य झलि</w:t>
      </w:r>
      <w:r>
        <w:t xml:space="preserve"> </w:t>
      </w:r>
      <w:r>
        <w:t xml:space="preserve">(पा. ८-३-२४) puts anusvāra for</w:t>
      </w:r>
      <w:r>
        <w:t xml:space="preserve"> </w:t>
      </w:r>
      <w:r>
        <w:t xml:space="preserve">“</w:t>
      </w:r>
      <w:r>
        <w:t xml:space="preserve">n</w:t>
      </w:r>
      <w:r>
        <w:t xml:space="preserve">”</w:t>
      </w:r>
      <w:r>
        <w:t xml:space="preserve"> </w:t>
      </w:r>
      <w:r>
        <w:t xml:space="preserve">before a</w:t>
      </w:r>
      <w:r>
        <w:t xml:space="preserve"> </w:t>
      </w:r>
      <w:r>
        <w:t xml:space="preserve">“</w:t>
      </w:r>
      <w:r>
        <w:t xml:space="preserve">jhal</w:t>
      </w:r>
      <w:r>
        <w:t xml:space="preserve">”</w:t>
      </w:r>
      <w:r>
        <w:t xml:space="preserve"> </w:t>
      </w:r>
      <w:r>
        <w:t xml:space="preserve">letter;</w:t>
      </w:r>
      <w:r>
        <w:t xml:space="preserve"> </w:t>
      </w:r>
      <w:r>
        <w:rPr>
          <w:bCs/>
          <w:b/>
        </w:rPr>
        <w:t xml:space="preserve">अनुस्वारस्य ययि परसवर्णः</w:t>
      </w:r>
      <w:r>
        <w:t xml:space="preserve"> </w:t>
      </w:r>
      <w:r>
        <w:t xml:space="preserve">(पा. ८-४-५८) the</w:t>
      </w:r>
      <w:r>
        <w:t xml:space="preserve"> </w:t>
      </w:r>
      <w:r>
        <w:t xml:space="preserve">“</w:t>
      </w:r>
      <w:r>
        <w:t xml:space="preserve">parasavarṇa</w:t>
      </w:r>
      <w:r>
        <w:t xml:space="preserve">”</w:t>
      </w:r>
      <w:r>
        <w:t xml:space="preserve"> </w:t>
      </w:r>
      <w:r>
        <w:t xml:space="preserve">nasal:</w:t>
      </w:r>
      <w:r>
        <w:t xml:space="preserve"> </w:t>
      </w:r>
      <w:r>
        <w:t xml:space="preserve">“</w:t>
      </w:r>
      <w:r>
        <w:t xml:space="preserve">yuñjanti.</w:t>
      </w:r>
      <w:r>
        <w:t xml:space="preserve">”</w:t>
      </w:r>
      <w:r>
        <w:t xml:space="preserve"> </w:t>
      </w:r>
      <w:r>
        <w:t xml:space="preserve">The elision of</w:t>
      </w:r>
      <w:r>
        <w:t xml:space="preserve"> </w:t>
      </w:r>
      <w:r>
        <w:t xml:space="preserve">“</w:t>
      </w:r>
      <w:r>
        <w:t xml:space="preserve">a</w:t>
      </w:r>
      <w:r>
        <w:t xml:space="preserve">”</w:t>
      </w:r>
      <w:r>
        <w:t xml:space="preserve"> </w:t>
      </w:r>
      <w:r>
        <w:t xml:space="preserve">by</w:t>
      </w:r>
      <w:r>
        <w:t xml:space="preserve"> </w:t>
      </w:r>
      <w:r>
        <w:t xml:space="preserve">“</w:t>
      </w:r>
      <w:r>
        <w:t xml:space="preserve">śnasor allopaḥ</w:t>
      </w:r>
      <w:r>
        <w:t xml:space="preserve">”</w:t>
      </w:r>
      <w:r>
        <w:t xml:space="preserve"> </w:t>
      </w:r>
      <w:r>
        <w:t xml:space="preserve">is not treated as present for anusvāra and parasavarṇa, since</w:t>
      </w:r>
      <w:r>
        <w:t xml:space="preserve"> </w:t>
      </w:r>
      <w:r>
        <w:rPr>
          <w:bCs/>
          <w:b/>
        </w:rPr>
        <w:t xml:space="preserve">न पदान्तद्विर्वचनवरेयलोपस्वरसवर्णानुस्वारदीर्घजश्चर्विधिषु</w:t>
      </w:r>
      <w:r>
        <w:t xml:space="preserve"> </w:t>
      </w:r>
      <w:r>
        <w:t xml:space="preserve">(पा. १-१-५८) bars the sthānivadbhāva of</w:t>
      </w:r>
      <w:r>
        <w:t xml:space="preserve"> </w:t>
      </w:r>
      <w:r>
        <w:rPr>
          <w:bCs/>
          <w:b/>
        </w:rPr>
        <w:t xml:space="preserve">अचः परस्मिन्पूर्वविधौ</w:t>
      </w:r>
      <w:r>
        <w:t xml:space="preserve"> </w:t>
      </w:r>
      <w:r>
        <w:t xml:space="preserve">(पा. १-१-५७) there. The</w:t>
      </w:r>
      <w:r>
        <w:t xml:space="preserve"> </w:t>
      </w:r>
      <w:r>
        <w:t xml:space="preserve">“</w:t>
      </w:r>
      <w:r>
        <w:t xml:space="preserve">anti</w:t>
      </w:r>
      <w:r>
        <w:t xml:space="preserve">”</w:t>
      </w:r>
      <w:r>
        <w:t xml:space="preserve"> </w:t>
      </w:r>
      <w:r>
        <w:t xml:space="preserve">of</w:t>
      </w:r>
      <w:r>
        <w:t xml:space="preserve"> </w:t>
      </w:r>
      <w:r>
        <w:t xml:space="preserve">“</w:t>
      </w:r>
      <w:r>
        <w:t xml:space="preserve">yuñjanti</w:t>
      </w:r>
      <w:r>
        <w:t xml:space="preserve">”</w:t>
      </w:r>
      <w:r>
        <w:t xml:space="preserve"> </w:t>
      </w:r>
      <w:r>
        <w:t xml:space="preserve">is first-syllable acute (</w:t>
      </w:r>
      <w:r>
        <w:rPr>
          <w:bCs/>
          <w:b/>
        </w:rPr>
        <w:t xml:space="preserve">आद्युदात्तश्च</w:t>
      </w:r>
      <w:r>
        <w:t xml:space="preserve">, पा. ३-१-३).</w:t>
      </w:r>
      <w:r>
        <w:t xml:space="preserve"> </w:t>
      </w:r>
      <w:r>
        <w:rPr>
          <w:bCs/>
          <w:b/>
        </w:rPr>
        <w:t xml:space="preserve">“</w:t>
      </w:r>
      <w:r>
        <w:rPr>
          <w:bCs/>
          <w:b/>
        </w:rPr>
        <w:t xml:space="preserve">Bradhnam</w:t>
      </w:r>
      <w:r>
        <w:rPr>
          <w:bCs/>
          <w:b/>
        </w:rPr>
        <w:t xml:space="preserve">”</w:t>
      </w:r>
      <w:r>
        <w:t xml:space="preserve"> </w:t>
      </w:r>
      <w:r>
        <w:t xml:space="preserve">— end-acute by the accent of the bare stem (prātipadika).</w:t>
      </w:r>
      <w:r>
        <w:t xml:space="preserve"> </w:t>
      </w:r>
      <w:r>
        <w:rPr>
          <w:bCs/>
          <w:b/>
        </w:rPr>
        <w:t xml:space="preserve">“</w:t>
      </w:r>
      <w:r>
        <w:rPr>
          <w:bCs/>
          <w:b/>
        </w:rPr>
        <w:t xml:space="preserve">Aruṣam</w:t>
      </w:r>
      <w:r>
        <w:rPr>
          <w:bCs/>
          <w:b/>
        </w:rPr>
        <w:t xml:space="preserve">”</w:t>
      </w:r>
      <w:r>
        <w:t xml:space="preserve"> </w:t>
      </w:r>
      <w:r>
        <w:t xml:space="preserve">—</w:t>
      </w:r>
      <w:r>
        <w:t xml:space="preserve"> </w:t>
      </w:r>
      <w:r>
        <w:t xml:space="preserve">“</w:t>
      </w:r>
      <w:r>
        <w:t xml:space="preserve">ṛṣ/ruṣa/riṣa</w:t>
      </w:r>
      <w:r>
        <w:t xml:space="preserve">”</w:t>
      </w:r>
      <w:r>
        <w:t xml:space="preserve"> </w:t>
      </w:r>
      <w:r>
        <w:t xml:space="preserve">(roots of injuring):</w:t>
      </w:r>
      <w:r>
        <w:t xml:space="preserve"> </w:t>
      </w:r>
      <w:r>
        <w:t xml:space="preserve">“</w:t>
      </w:r>
      <w:r>
        <w:t xml:space="preserve">ruṣā</w:t>
      </w:r>
      <w:r>
        <w:t xml:space="preserve">”</w:t>
      </w:r>
      <w:r>
        <w:t xml:space="preserve"> </w:t>
      </w:r>
      <w:r>
        <w:t xml:space="preserve">are the destroyers; the affix</w:t>
      </w:r>
      <w:r>
        <w:t xml:space="preserve"> </w:t>
      </w:r>
      <w:r>
        <w:t xml:space="preserve">“</w:t>
      </w:r>
      <w:r>
        <w:t xml:space="preserve">ka</w:t>
      </w:r>
      <w:r>
        <w:t xml:space="preserve">”</w:t>
      </w:r>
      <w:r>
        <w:t xml:space="preserve"> </w:t>
      </w:r>
      <w:r>
        <w:t xml:space="preserve">(</w:t>
      </w:r>
      <w:r>
        <w:rPr>
          <w:bCs/>
          <w:b/>
        </w:rPr>
        <w:t xml:space="preserve">इगुपधज्ञाप्रीकिरः कः</w:t>
      </w:r>
      <w:r>
        <w:t xml:space="preserve">, पा. ३-१-१३५); the affix’s acute;</w:t>
      </w:r>
      <w:r>
        <w:t xml:space="preserve"> </w:t>
      </w:r>
      <w:r>
        <w:t xml:space="preserve">“</w:t>
      </w:r>
      <w:r>
        <w:t xml:space="preserve">na santi ruṣā yasya saḥ</w:t>
      </w:r>
      <w:r>
        <w:t xml:space="preserve">”</w:t>
      </w:r>
      <w:r>
        <w:t xml:space="preserve"> </w:t>
      </w:r>
      <w:r>
        <w:t xml:space="preserve">— a bahuvrīhi;</w:t>
      </w:r>
      <w:r>
        <w:t xml:space="preserve"> </w:t>
      </w:r>
      <w:r>
        <w:rPr>
          <w:bCs/>
          <w:b/>
        </w:rPr>
        <w:t xml:space="preserve">नञ्सुभ्याम्</w:t>
      </w:r>
      <w:r>
        <w:t xml:space="preserve"> </w:t>
      </w:r>
      <w:r>
        <w:t xml:space="preserve">(पा. ६-२-१७२) end-acute; the second-case</w:t>
      </w:r>
      <w:r>
        <w:t xml:space="preserve"> </w:t>
      </w:r>
      <w:r>
        <w:t xml:space="preserve">“</w:t>
      </w:r>
      <w:r>
        <w:t xml:space="preserve">am</w:t>
      </w:r>
      <w:r>
        <w:t xml:space="preserve">”</w:t>
      </w:r>
      <w:r>
        <w:t xml:space="preserve"> </w:t>
      </w:r>
      <w:r>
        <w:t xml:space="preserve">with</w:t>
      </w:r>
      <w:r>
        <w:t xml:space="preserve"> </w:t>
      </w:r>
      <w:r>
        <w:rPr>
          <w:bCs/>
          <w:b/>
        </w:rPr>
        <w:t xml:space="preserve">अमि पूर्वः</w:t>
      </w:r>
      <w:r>
        <w:t xml:space="preserve"> </w:t>
      </w:r>
      <w:r>
        <w:t xml:space="preserve">(पा. ६-१-१०७) the pūrvarūpa, and</w:t>
      </w:r>
      <w:r>
        <w:t xml:space="preserve"> </w:t>
      </w:r>
      <w:r>
        <w:rPr>
          <w:bCs/>
          <w:b/>
        </w:rPr>
        <w:t xml:space="preserve">एकादेश उदात्तेनोदात्तः</w:t>
      </w:r>
      <w:r>
        <w:t xml:space="preserve"> </w:t>
      </w:r>
      <w:r>
        <w:t xml:space="preserve">(पा. ८-२-५).</w:t>
      </w:r>
    </w:p>
    <w:p>
      <w:pPr>
        <w:pStyle w:val="BodyText"/>
      </w:pPr>
      <w:r>
        <w:rPr>
          <w:bCs/>
          <w:b/>
        </w:rPr>
        <w:t xml:space="preserve">p. 213.</w:t>
      </w:r>
      <w:r>
        <w:t xml:space="preserve"> </w:t>
      </w:r>
      <w:r>
        <w:rPr>
          <w:bCs/>
          <w:b/>
        </w:rPr>
        <w:t xml:space="preserve">“</w:t>
      </w:r>
      <w:r>
        <w:rPr>
          <w:bCs/>
          <w:b/>
        </w:rPr>
        <w:t xml:space="preserve">Carantam</w:t>
      </w:r>
      <w:r>
        <w:rPr>
          <w:bCs/>
          <w:b/>
        </w:rPr>
        <w:t xml:space="preserve">”</w:t>
      </w:r>
      <w:r>
        <w:t xml:space="preserve"> </w:t>
      </w:r>
      <w:r>
        <w:t xml:space="preserve">—</w:t>
      </w:r>
      <w:r>
        <w:t xml:space="preserve"> </w:t>
      </w:r>
      <w:r>
        <w:t xml:space="preserve">“</w:t>
      </w:r>
      <w:r>
        <w:t xml:space="preserve">śap</w:t>
      </w:r>
      <w:r>
        <w:t xml:space="preserve">”</w:t>
      </w:r>
      <w:r>
        <w:t xml:space="preserve"> </w:t>
      </w:r>
      <w:r>
        <w:t xml:space="preserve">unaccented as</w:t>
      </w:r>
      <w:r>
        <w:t xml:space="preserve"> </w:t>
      </w:r>
      <w:r>
        <w:t xml:space="preserve">“</w:t>
      </w:r>
      <w:r>
        <w:t xml:space="preserve">p</w:t>
      </w:r>
      <w:r>
        <w:t xml:space="preserve">”</w:t>
      </w:r>
      <w:r>
        <w:t xml:space="preserve">-marked; the</w:t>
      </w:r>
      <w:r>
        <w:t xml:space="preserve"> </w:t>
      </w:r>
      <w:r>
        <w:t xml:space="preserve">“</w:t>
      </w:r>
      <w:r>
        <w:t xml:space="preserve">śatṛ</w:t>
      </w:r>
      <w:r>
        <w:t xml:space="preserve">”</w:t>
      </w:r>
      <w:r>
        <w:t xml:space="preserve"> </w:t>
      </w:r>
      <w:r>
        <w:t xml:space="preserve">affix is unaccented by</w:t>
      </w:r>
      <w:r>
        <w:t xml:space="preserve"> </w:t>
      </w:r>
      <w:r>
        <w:rPr>
          <w:bCs/>
          <w:b/>
        </w:rPr>
        <w:t xml:space="preserve">तास्यनुदात्तेन्ङिददुपदेशाल्लसार्वधातुकमनुदात्तमहन्वनोर्ङित्</w:t>
      </w:r>
      <w:r>
        <w:t xml:space="preserve"> </w:t>
      </w:r>
      <w:r>
        <w:t xml:space="preserve">(पा. ६-१-१८६); the root’s accent alone remains.</w:t>
      </w:r>
      <w:r>
        <w:t xml:space="preserve"> </w:t>
      </w:r>
      <w:r>
        <w:rPr>
          <w:bCs/>
          <w:b/>
        </w:rPr>
        <w:t xml:space="preserve">“</w:t>
      </w:r>
      <w:r>
        <w:rPr>
          <w:bCs/>
          <w:b/>
        </w:rPr>
        <w:t xml:space="preserve">Tasthuṣaḥ</w:t>
      </w:r>
      <w:r>
        <w:rPr>
          <w:bCs/>
          <w:b/>
        </w:rPr>
        <w:t xml:space="preserve">”</w:t>
      </w:r>
      <w:r>
        <w:t xml:space="preserve"> </w:t>
      </w:r>
      <w:r>
        <w:t xml:space="preserve">— the root</w:t>
      </w:r>
      <w:r>
        <w:t xml:space="preserve"> </w:t>
      </w:r>
      <w:r>
        <w:t xml:space="preserve">“</w:t>
      </w:r>
      <w:r>
        <w:t xml:space="preserve">ṣṭhā gati-nivṛttau</w:t>
      </w:r>
      <w:r>
        <w:t xml:space="preserve">”</w:t>
      </w:r>
      <w:r>
        <w:t xml:space="preserve">: in</w:t>
      </w:r>
      <w:r>
        <w:t xml:space="preserve"> </w:t>
      </w:r>
      <w:r>
        <w:t xml:space="preserve">“</w:t>
      </w:r>
      <w:r>
        <w:t xml:space="preserve">liṭ,</w:t>
      </w:r>
      <w:r>
        <w:t xml:space="preserve">”</w:t>
      </w:r>
      <w:r>
        <w:t xml:space="preserve"> </w:t>
      </w:r>
      <w:r>
        <w:t xml:space="preserve">the substitute</w:t>
      </w:r>
      <w:r>
        <w:t xml:space="preserve"> </w:t>
      </w:r>
      <w:r>
        <w:t xml:space="preserve">“</w:t>
      </w:r>
      <w:r>
        <w:t xml:space="preserve">kvasu</w:t>
      </w:r>
      <w:r>
        <w:t xml:space="preserve">”</w:t>
      </w:r>
      <w:r>
        <w:t xml:space="preserve"> </w:t>
      </w:r>
      <w:r>
        <w:t xml:space="preserve">(</w:t>
      </w:r>
      <w:r>
        <w:rPr>
          <w:bCs/>
          <w:b/>
        </w:rPr>
        <w:t xml:space="preserve">क्वसुश्च</w:t>
      </w:r>
      <w:r>
        <w:t xml:space="preserve">, पा. ३-२-१०७); the</w:t>
      </w:r>
      <w:r>
        <w:t xml:space="preserve"> </w:t>
      </w:r>
      <w:r>
        <w:t xml:space="preserve">“</w:t>
      </w:r>
      <w:r>
        <w:t xml:space="preserve">kvasu</w:t>
      </w:r>
      <w:r>
        <w:t xml:space="preserve">”</w:t>
      </w:r>
      <w:r>
        <w:t xml:space="preserve"> </w:t>
      </w:r>
      <w:r>
        <w:t xml:space="preserve">being</w:t>
      </w:r>
      <w:r>
        <w:t xml:space="preserve"> </w:t>
      </w:r>
      <w:r>
        <w:t xml:space="preserve">“</w:t>
      </w:r>
      <w:r>
        <w:t xml:space="preserve">iṭ</w:t>
      </w:r>
      <w:r>
        <w:t xml:space="preserve">”</w:t>
      </w:r>
      <w:r>
        <w:t xml:space="preserve">-less here; the doubling (</w:t>
      </w:r>
      <w:r>
        <w:rPr>
          <w:bCs/>
          <w:b/>
        </w:rPr>
        <w:t xml:space="preserve">लिटि धातोरनभ्यासस्य</w:t>
      </w:r>
      <w:r>
        <w:t xml:space="preserve">, पा. ६-१-८);</w:t>
      </w:r>
      <w:r>
        <w:t xml:space="preserve"> </w:t>
      </w:r>
      <w:r>
        <w:rPr>
          <w:bCs/>
          <w:b/>
        </w:rPr>
        <w:t xml:space="preserve">शर्पूर्वाः खयः</w:t>
      </w:r>
      <w:r>
        <w:t xml:space="preserve"> </w:t>
      </w:r>
      <w:r>
        <w:t xml:space="preserve">(पा. ७-४-६१) — in the reduplicative syllable, the</w:t>
      </w:r>
      <w:r>
        <w:t xml:space="preserve"> </w:t>
      </w:r>
      <w:r>
        <w:t xml:space="preserve">“</w:t>
      </w:r>
      <w:r>
        <w:t xml:space="preserve">kh/ay</w:t>
      </w:r>
      <w:r>
        <w:t xml:space="preserve">”</w:t>
      </w:r>
      <w:r>
        <w:t xml:space="preserve"> </w:t>
      </w:r>
      <w:r>
        <w:t xml:space="preserve">letters that follow</w:t>
      </w:r>
      <w:r>
        <w:t xml:space="preserve"> </w:t>
      </w:r>
      <w:r>
        <w:t xml:space="preserve">“</w:t>
      </w:r>
      <w:r>
        <w:t xml:space="preserve">ś/ṣ/s</w:t>
      </w:r>
      <w:r>
        <w:t xml:space="preserve">”</w:t>
      </w:r>
      <w:r>
        <w:t xml:space="preserve"> </w:t>
      </w:r>
      <w:r>
        <w:t xml:space="preserve">remain;</w:t>
      </w:r>
      <w:r>
        <w:t xml:space="preserve"> </w:t>
      </w:r>
      <w:r>
        <w:rPr>
          <w:bCs/>
          <w:b/>
        </w:rPr>
        <w:t xml:space="preserve">ह्रस्वः</w:t>
      </w:r>
      <w:r>
        <w:t xml:space="preserve"> </w:t>
      </w:r>
      <w:r>
        <w:t xml:space="preserve">(पा. ७-४-५९);</w:t>
      </w:r>
      <w:r>
        <w:t xml:space="preserve"> </w:t>
      </w:r>
      <w:r>
        <w:rPr>
          <w:bCs/>
          <w:b/>
        </w:rPr>
        <w:t xml:space="preserve">अभ्यासे चर्च</w:t>
      </w:r>
      <w:r>
        <w:t xml:space="preserve"> </w:t>
      </w:r>
      <w:r>
        <w:t xml:space="preserve">(पा. ८-४-५४):</w:t>
      </w:r>
      <w:r>
        <w:t xml:space="preserve"> </w:t>
      </w:r>
      <w:r>
        <w:t xml:space="preserve">“</w:t>
      </w:r>
      <w:r>
        <w:t xml:space="preserve">tasthā + vas</w:t>
      </w:r>
      <w:r>
        <w:t xml:space="preserve">”</w:t>
      </w:r>
      <w:r>
        <w:t xml:space="preserve">;</w:t>
      </w:r>
      <w:r>
        <w:t xml:space="preserve"> </w:t>
      </w:r>
      <w:r>
        <w:rPr>
          <w:bCs/>
          <w:b/>
        </w:rPr>
        <w:t xml:space="preserve">वस्वेकाजाद्घसाम्</w:t>
      </w:r>
      <w:r>
        <w:t xml:space="preserve"> </w:t>
      </w:r>
      <w:r>
        <w:t xml:space="preserve">(पा. ७-२-६७) —</w:t>
      </w:r>
      <w:r>
        <w:t xml:space="preserve"> </w:t>
      </w:r>
      <w:r>
        <w:t xml:space="preserve">“</w:t>
      </w:r>
      <w:r>
        <w:t xml:space="preserve">iṭ</w:t>
      </w:r>
      <w:r>
        <w:t xml:space="preserve">”</w:t>
      </w:r>
      <w:r>
        <w:t xml:space="preserve"> </w:t>
      </w:r>
      <w:r>
        <w:t xml:space="preserve">for</w:t>
      </w:r>
      <w:r>
        <w:t xml:space="preserve"> </w:t>
      </w:r>
      <w:r>
        <w:t xml:space="preserve">“</w:t>
      </w:r>
      <w:r>
        <w:t xml:space="preserve">vas</w:t>
      </w:r>
      <w:r>
        <w:t xml:space="preserve">”</w:t>
      </w:r>
      <w:r>
        <w:t xml:space="preserve"> </w:t>
      </w:r>
      <w:r>
        <w:t xml:space="preserve">after a monosyllabic root with doubling;</w:t>
      </w:r>
      <w:r>
        <w:t xml:space="preserve"> </w:t>
      </w:r>
      <w:r>
        <w:t xml:space="preserve">“</w:t>
      </w:r>
      <w:r>
        <w:t xml:space="preserve">sthā,</w:t>
      </w:r>
      <w:r>
        <w:t xml:space="preserve">”</w:t>
      </w:r>
      <w:r>
        <w:t xml:space="preserve"> </w:t>
      </w:r>
      <w:r>
        <w:t xml:space="preserve">ending in</w:t>
      </w:r>
      <w:r>
        <w:t xml:space="preserve"> </w:t>
      </w:r>
      <w:r>
        <w:t xml:space="preserve">“</w:t>
      </w:r>
      <w:r>
        <w:t xml:space="preserve">ā,</w:t>
      </w:r>
      <w:r>
        <w:t xml:space="preserve">”</w:t>
      </w:r>
      <w:r>
        <w:t xml:space="preserve"> </w:t>
      </w:r>
      <w:r>
        <w:t xml:space="preserve">is a root for which</w:t>
      </w:r>
      <w:r>
        <w:t xml:space="preserve"> </w:t>
      </w:r>
      <w:r>
        <w:t xml:space="preserve">“</w:t>
      </w:r>
      <w:r>
        <w:t xml:space="preserve">iṭ</w:t>
      </w:r>
      <w:r>
        <w:t xml:space="preserve">”</w:t>
      </w:r>
      <w:r>
        <w:t xml:space="preserve"> </w:t>
      </w:r>
      <w:r>
        <w:t xml:space="preserve">is prescribed; the print argues that, since the</w:t>
      </w:r>
      <w:r>
        <w:t xml:space="preserve"> </w:t>
      </w:r>
      <w:r>
        <w:t xml:space="preserve">“</w:t>
      </w:r>
      <w:r>
        <w:t xml:space="preserve">iṭ</w:t>
      </w:r>
      <w:r>
        <w:t xml:space="preserve">”</w:t>
      </w:r>
      <w:r>
        <w:t xml:space="preserve"> </w:t>
      </w:r>
      <w:r>
        <w:t xml:space="preserve">is</w:t>
      </w:r>
      <w:r>
        <w:t xml:space="preserve"> </w:t>
      </w:r>
      <w:r>
        <w:t xml:space="preserve">“</w:t>
      </w:r>
      <w:r>
        <w:t xml:space="preserve">antaraṅga,</w:t>
      </w:r>
      <w:r>
        <w:t xml:space="preserve">”</w:t>
      </w:r>
      <w:r>
        <w:t xml:space="preserve"> </w:t>
      </w:r>
      <w:r>
        <w:t xml:space="preserve">it should come first; but by</w:t>
      </w:r>
      <w:r>
        <w:t xml:space="preserve"> </w:t>
      </w:r>
      <w:r>
        <w:rPr>
          <w:bCs/>
          <w:b/>
        </w:rPr>
        <w:t xml:space="preserve">संप्रसारणं तदाश्रयं च कार्यं बलवत्</w:t>
      </w:r>
      <w:r>
        <w:t xml:space="preserve"> </w:t>
      </w:r>
      <w:r>
        <w:t xml:space="preserve">(पा. म. ६-१-१७-२) — samprasāraṇa and what depends on it are stronger —</w:t>
      </w:r>
      <w:r>
        <w:t xml:space="preserve"> </w:t>
      </w:r>
      <w:r>
        <w:rPr>
          <w:bCs/>
          <w:b/>
        </w:rPr>
        <w:t xml:space="preserve">वसोः संप्रसारणम्</w:t>
      </w:r>
      <w:r>
        <w:t xml:space="preserve"> </w:t>
      </w:r>
      <w:r>
        <w:t xml:space="preserve">(पा. ६-४-१३१) and</w:t>
      </w:r>
      <w:r>
        <w:t xml:space="preserve"> </w:t>
      </w:r>
      <w:r>
        <w:rPr>
          <w:bCs/>
          <w:b/>
        </w:rPr>
        <w:t xml:space="preserve">संप्रसारणाच्च</w:t>
      </w:r>
      <w:r>
        <w:t xml:space="preserve"> </w:t>
      </w:r>
      <w:r>
        <w:t xml:space="preserve">(पा. ६-१-१०८) apply first, and</w:t>
      </w:r>
      <w:r>
        <w:t xml:space="preserve"> </w:t>
      </w:r>
      <w:r>
        <w:t xml:space="preserve">“</w:t>
      </w:r>
      <w:r>
        <w:t xml:space="preserve">ādeśapratyayayoḥ</w:t>
      </w:r>
      <w:r>
        <w:t xml:space="preserve">”</w:t>
      </w:r>
      <w:r>
        <w:t xml:space="preserve"> </w:t>
      </w:r>
      <w:r>
        <w:t xml:space="preserve">gives</w:t>
      </w:r>
      <w:r>
        <w:t xml:space="preserve"> </w:t>
      </w:r>
      <w:r>
        <w:t xml:space="preserve">“</w:t>
      </w:r>
      <w:r>
        <w:t xml:space="preserve">ṣ,</w:t>
      </w:r>
      <w:r>
        <w:t xml:space="preserve">”</w:t>
      </w:r>
      <w:r>
        <w:t xml:space="preserve"> </w:t>
      </w:r>
      <w:r>
        <w:t xml:space="preserve">with</w:t>
      </w:r>
      <w:r>
        <w:t xml:space="preserve"> </w:t>
      </w:r>
      <w:r>
        <w:t xml:space="preserve">“</w:t>
      </w:r>
      <w:r>
        <w:t xml:space="preserve">ru</w:t>
      </w:r>
      <w:r>
        <w:t xml:space="preserve">”</w:t>
      </w:r>
      <w:r>
        <w:t xml:space="preserve"> </w:t>
      </w:r>
      <w:r>
        <w:t xml:space="preserve">and visarga:</w:t>
      </w:r>
      <w:r>
        <w:t xml:space="preserve"> </w:t>
      </w:r>
      <w:r>
        <w:t xml:space="preserve">“</w:t>
      </w:r>
      <w:r>
        <w:t xml:space="preserve">tasthuṣaḥ.</w:t>
      </w:r>
      <w:r>
        <w:t xml:space="preserve">”</w:t>
      </w:r>
      <w:r>
        <w:t xml:space="preserve"> </w:t>
      </w:r>
      <w:r>
        <w:t xml:space="preserve">The affix</w:t>
      </w:r>
      <w:r>
        <w:t xml:space="preserve"> </w:t>
      </w:r>
      <w:r>
        <w:t xml:space="preserve">“</w:t>
      </w:r>
      <w:r>
        <w:t xml:space="preserve">vasu</w:t>
      </w:r>
      <w:r>
        <w:t xml:space="preserve">”</w:t>
      </w:r>
      <w:r>
        <w:t xml:space="preserve"> </w:t>
      </w:r>
      <w:r>
        <w:t xml:space="preserve">gives the acute.</w:t>
      </w:r>
      <w:r>
        <w:t xml:space="preserve"> </w:t>
      </w:r>
      <w:r>
        <w:rPr>
          <w:bCs/>
          <w:b/>
        </w:rPr>
        <w:t xml:space="preserve">“</w:t>
      </w:r>
      <w:r>
        <w:rPr>
          <w:bCs/>
          <w:b/>
        </w:rPr>
        <w:t xml:space="preserve">Rocante</w:t>
      </w:r>
      <w:r>
        <w:rPr>
          <w:bCs/>
          <w:b/>
        </w:rPr>
        <w:t xml:space="preserve">”</w:t>
      </w:r>
      <w:r>
        <w:t xml:space="preserve"> </w:t>
      </w:r>
      <w:r>
        <w:t xml:space="preserve">— the</w:t>
      </w:r>
      <w:r>
        <w:t xml:space="preserve"> </w:t>
      </w:r>
      <w:r>
        <w:t xml:space="preserve">“</w:t>
      </w:r>
      <w:r>
        <w:t xml:space="preserve">tiṅ</w:t>
      </w:r>
      <w:r>
        <w:t xml:space="preserve">”</w:t>
      </w:r>
      <w:r>
        <w:t xml:space="preserve"> </w:t>
      </w:r>
      <w:r>
        <w:t xml:space="preserve">unaccented;</w:t>
      </w:r>
      <w:r>
        <w:t xml:space="preserve"> </w:t>
      </w:r>
      <w:r>
        <w:t xml:space="preserve">“</w:t>
      </w:r>
      <w:r>
        <w:t xml:space="preserve">śap</w:t>
      </w:r>
      <w:r>
        <w:t xml:space="preserve">”</w:t>
      </w:r>
      <w:r>
        <w:t xml:space="preserve"> </w:t>
      </w:r>
      <w:r>
        <w:t xml:space="preserve">“</w:t>
      </w:r>
      <w:r>
        <w:t xml:space="preserve">p</w:t>
      </w:r>
      <w:r>
        <w:t xml:space="preserve">”</w:t>
      </w:r>
      <w:r>
        <w:t xml:space="preserve">-marked; the root-accent alone.</w:t>
      </w:r>
      <w:r>
        <w:t xml:space="preserve"> </w:t>
      </w:r>
      <w:r>
        <w:rPr>
          <w:bCs/>
          <w:b/>
        </w:rPr>
        <w:t xml:space="preserve">“</w:t>
      </w:r>
      <w:r>
        <w:rPr>
          <w:bCs/>
          <w:b/>
        </w:rPr>
        <w:t xml:space="preserve">Rocanā</w:t>
      </w:r>
      <w:r>
        <w:rPr>
          <w:bCs/>
          <w:b/>
        </w:rPr>
        <w:t xml:space="preserve">”</w:t>
      </w:r>
      <w:r>
        <w:t xml:space="preserve"> </w:t>
      </w:r>
      <w:r>
        <w:t xml:space="preserve">—</w:t>
      </w:r>
      <w:r>
        <w:t xml:space="preserve"> </w:t>
      </w:r>
      <w:r>
        <w:rPr>
          <w:bCs/>
          <w:b/>
        </w:rPr>
        <w:t xml:space="preserve">अनुदात्तेतश्च हलादेः</w:t>
      </w:r>
      <w:r>
        <w:t xml:space="preserve"> </w:t>
      </w:r>
      <w:r>
        <w:t xml:space="preserve">(पा. ३-२-१४९)</w:t>
      </w:r>
      <w:r>
        <w:t xml:space="preserve"> </w:t>
      </w:r>
      <w:r>
        <w:t xml:space="preserve">“</w:t>
      </w:r>
      <w:r>
        <w:t xml:space="preserve">yuc</w:t>
      </w:r>
      <w:r>
        <w:t xml:space="preserve">”</w:t>
      </w:r>
      <w:r>
        <w:t xml:space="preserve"> </w:t>
      </w:r>
      <w:r>
        <w:t xml:space="preserve">after a root with an unaccented marker and a consonant initial;</w:t>
      </w:r>
      <w:r>
        <w:t xml:space="preserve"> </w:t>
      </w:r>
      <w:r>
        <w:rPr>
          <w:bCs/>
          <w:b/>
        </w:rPr>
        <w:t xml:space="preserve">युवोरनाकौ</w:t>
      </w:r>
      <w:r>
        <w:t xml:space="preserve"> </w:t>
      </w:r>
      <w:r>
        <w:t xml:space="preserve">(पा. ७-१-१)</w:t>
      </w:r>
      <w:r>
        <w:t xml:space="preserve"> </w:t>
      </w:r>
      <w:r>
        <w:t xml:space="preserve">“</w:t>
      </w:r>
      <w:r>
        <w:t xml:space="preserve">ana</w:t>
      </w:r>
      <w:r>
        <w:t xml:space="preserve">”</w:t>
      </w:r>
      <w:r>
        <w:t xml:space="preserve">; the light penultimate takes guṇa; the affix is</w:t>
      </w:r>
      <w:r>
        <w:t xml:space="preserve"> </w:t>
      </w:r>
      <w:r>
        <w:t xml:space="preserve">“</w:t>
      </w:r>
      <w:r>
        <w:t xml:space="preserve">c</w:t>
      </w:r>
      <w:r>
        <w:t xml:space="preserve">”</w:t>
      </w:r>
      <w:r>
        <w:t xml:space="preserve">-marked, so it is end-acute (</w:t>
      </w:r>
      <w:r>
        <w:rPr>
          <w:bCs/>
          <w:b/>
        </w:rPr>
        <w:t xml:space="preserve">चितः</w:t>
      </w:r>
      <w:r>
        <w:t xml:space="preserve">, पा. ६-१-१६३).</w:t>
      </w:r>
      <w:r>
        <w:t xml:space="preserve"> </w:t>
      </w:r>
      <w:r>
        <w:rPr>
          <w:bCs/>
          <w:b/>
        </w:rPr>
        <w:t xml:space="preserve">“</w:t>
      </w:r>
      <w:r>
        <w:rPr>
          <w:bCs/>
          <w:b/>
        </w:rPr>
        <w:t xml:space="preserve">Divi</w:t>
      </w:r>
      <w:r>
        <w:rPr>
          <w:bCs/>
          <w:b/>
        </w:rPr>
        <w:t xml:space="preserve">”</w:t>
      </w:r>
      <w:r>
        <w:t xml:space="preserve"> </w:t>
      </w:r>
      <w:r>
        <w:t xml:space="preserve">— the case-ending is acute by</w:t>
      </w:r>
      <w:r>
        <w:t xml:space="preserve"> </w:t>
      </w:r>
      <w:r>
        <w:rPr>
          <w:bCs/>
          <w:b/>
        </w:rPr>
        <w:t xml:space="preserve">ऊडिदम्पदाद्यप्पुम्रैद्युभ्यः</w:t>
      </w:r>
      <w:r>
        <w:t xml:space="preserve"> </w:t>
      </w:r>
      <w:r>
        <w:t xml:space="preserve">(पा. ६-१-१७१). ॥१॥</w:t>
      </w:r>
    </w:p>
    <w:p>
      <w:r>
        <w:pict>
          <v:rect style="width:0;height:1.5pt" o:hralign="center" o:hrstd="t" o:hr="t"/>
        </w:pict>
      </w:r>
    </w:p>
    <w:bookmarkEnd w:id="249"/>
    <w:bookmarkStart w:id="250" w:name="sūkta-6-the-second-mantra"/>
    <w:p>
      <w:pPr>
        <w:pStyle w:val="Heading3"/>
      </w:pPr>
      <w:r>
        <w:t xml:space="preserve">Sūkta 6, The Second Mantra</w:t>
      </w:r>
    </w:p>
    <w:p>
      <w:pPr>
        <w:pStyle w:val="FirstParagraph"/>
      </w:pPr>
      <w:r>
        <w:rPr>
          <w:iCs/>
          <w:i/>
        </w:rPr>
        <w:t xml:space="preserve">(Accent-marks are printed on the next page; not reproduced here.)</w:t>
      </w:r>
    </w:p>
    <w:p>
      <w:pPr>
        <w:pStyle w:val="BodyText"/>
      </w:pPr>
      <w:r>
        <w:rPr>
          <w:bCs/>
          <w:b/>
        </w:rPr>
        <w:t xml:space="preserve">॥ Saṃhitā-pāṭhaḥ ॥</w:t>
      </w:r>
    </w:p>
    <w:p>
      <w:pPr>
        <w:pStyle w:val="BlockText"/>
      </w:pPr>
      <w:r>
        <w:t xml:space="preserve">युं॒जंत्य॑स्य॒ काम्या॒ ह॒री विप॑क्षसा॒ रथे॑ ।</w:t>
      </w:r>
      <w:r>
        <w:t xml:space="preserve"> </w:t>
      </w:r>
      <w:r>
        <w:t xml:space="preserve">शोणा॑ धृष्णू नृ॒वाह॑सा ॥२॥</w:t>
      </w:r>
    </w:p>
    <w:p>
      <w:pPr>
        <w:pStyle w:val="BlockText"/>
      </w:pPr>
      <w:r>
        <w:rPr>
          <w:iCs/>
          <w:i/>
        </w:rPr>
        <w:t xml:space="preserve">yuṃjáṃtyasya kā́myā harī́ vípakṣasā ráthe |</w:t>
      </w:r>
      <w:r>
        <w:t xml:space="preserve"> </w:t>
      </w:r>
      <w:r>
        <w:rPr>
          <w:iCs/>
          <w:i/>
        </w:rPr>
        <w:t xml:space="preserve">śóṇā dhṛṣṇū nṛvā́hasā ||2||</w:t>
      </w:r>
    </w:p>
    <w:bookmarkEnd w:id="250"/>
    <w:bookmarkStart w:id="251" w:name="X74930ed33d2d953b5ed4eb18f148430eff708ed"/>
    <w:p>
      <w:pPr>
        <w:pStyle w:val="Heading3"/>
      </w:pPr>
      <w:r>
        <w:t xml:space="preserve">Page 214 — Rik 6.2: Pada, Sāyaṇa-bhāṣya, grammar (characterized), Pada-meanings (opening)</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6.</w:t>
      </w:r>
      <w:r>
        <w:rPr>
          <w:iCs/>
          <w:i/>
        </w:rPr>
        <w:t xml:space="preserve">”</w:t>
      </w:r>
      <w:r>
        <w:rPr>
          <w:iCs/>
          <w:i/>
        </w:rPr>
        <w:t xml:space="preserve"> </w:t>
      </w:r>
      <w:r>
        <w:rPr>
          <w:iCs/>
          <w:i/>
        </w:rPr>
        <w:t xml:space="preserve">Sanskrit printed in Kannada script, re-read from the better scan.)</w:t>
      </w:r>
    </w:p>
    <w:p>
      <w:pPr>
        <w:pStyle w:val="BodyText"/>
      </w:pPr>
      <w:r>
        <w:rPr>
          <w:bCs/>
          <w:b/>
        </w:rPr>
        <w:t xml:space="preserve">॥ Pada-pāṭhaḥ ॥</w:t>
      </w:r>
    </w:p>
    <w:p>
      <w:pPr>
        <w:pStyle w:val="BlockText"/>
      </w:pPr>
      <w:r>
        <w:t xml:space="preserve">युञ्जन्ति । अस्य । काम्या । हरी इति । विपक्षसा । रथे ।</w:t>
      </w:r>
      <w:r>
        <w:t xml:space="preserve"> </w:t>
      </w:r>
      <w:r>
        <w:t xml:space="preserve">शोणा । धृष्णू इति । नृवाहसा ॥२॥</w:t>
      </w:r>
    </w:p>
    <w:p>
      <w:pPr>
        <w:pStyle w:val="FirstParagraph"/>
      </w:pPr>
      <w:r>
        <w:rPr>
          <w:bCs/>
          <w:b/>
        </w:rPr>
        <w:t xml:space="preserve">॥ Sāyaṇa-bhāṣyam ॥</w:t>
      </w:r>
    </w:p>
    <w:p>
      <w:pPr>
        <w:pStyle w:val="BlockText"/>
      </w:pPr>
      <w:r>
        <w:t xml:space="preserve">अस्य ब्रध्नादिशब्दप्रतिपाद्यस्यादित्यादिमूर्तिभिस्तत्र तत्रावस्थितस्येन्द्रस्य रथे हरी एतन्नामानौ द्वावश्वौ सारथयो युञ्जन्ति । इन्द्रसंबन्धिनोरश्वयोर्हरिनामत्वं हरी इन्द्रस्य रोहितोऽग्नेः । नै. १-१५ । इति पठितत्वात् । कीदृशौ हरी । काम्या कामयितव्यौ विपक्षसा । विविधे पक्षसी रथस्य पार्श्वे ययोरश्वयोस्तौ विपक्षसौ । रथस्य द्वयोः पार्श्वयोर्योजितावित्यर्थः । शोणा रक्तवर्णौ धृष्णू प्रगल्भौ नृवाहसा नृणां पुरुषाणामिन्द्रतत्सारथिप्रमुखानां वोढारौ ॥</w:t>
      </w:r>
      <w:r>
        <w:t xml:space="preserve"> </w:t>
      </w:r>
      <w:r>
        <w:rPr>
          <w:iCs/>
          <w:i/>
        </w:rPr>
        <w:t xml:space="preserve">asya bradhnādiśabdapratipādyasyādityādimūrtibhistatra tatrāvasthitasyendrasya rathe harī etannāmānau dvāvaśvau sārathayo yuñjanti | indrasaṃbandhinoraśvayorharināmatvaṃ harī indrasya rohito ’gneḥ | nai. 1-15 | iti paṭhitatvāt | kīdṛśau harī | kāmyā kāmayitavyau vipakṣasā | vividhe pakṣasī rathasya pārśve yayoraśvayostau vipakṣasau | rathasya dvayoḥ pārśvayoryojitāvityarthaḥ | śoṇā raktavarṇau dhṛṣṇū pragalbhau nṛvāhasā nṛṇāṃ puruṣāṇāmindratatsārathipramukhānāṃ voḍhārau ‖</w:t>
      </w:r>
      <w:r>
        <w:t xml:space="preserve"> </w:t>
      </w:r>
      <w:r>
        <w:rPr>
          <w:iCs/>
          <w:i/>
        </w:rPr>
        <w:t xml:space="preserve">(Reading note: re-read from the better scan:</w:t>
      </w:r>
      <w:r>
        <w:rPr>
          <w:iCs/>
          <w:i/>
        </w:rPr>
        <w:t xml:space="preserve"> </w:t>
      </w:r>
      <w:r>
        <w:rPr>
          <w:iCs/>
          <w:i/>
        </w:rPr>
        <w:t xml:space="preserve">“</w:t>
      </w:r>
      <w:r>
        <w:rPr>
          <w:iCs/>
          <w:i/>
        </w:rPr>
        <w:t xml:space="preserve">harī etan-nāmānau,</w:t>
      </w:r>
      <w:r>
        <w:rPr>
          <w:iCs/>
          <w:i/>
        </w:rPr>
        <w:t xml:space="preserve">”</w:t>
      </w:r>
      <w:r>
        <w:rPr>
          <w:iCs/>
          <w:i/>
        </w:rPr>
        <w:t xml:space="preserve"> </w:t>
      </w:r>
      <w:r>
        <w:rPr>
          <w:iCs/>
          <w:i/>
        </w:rPr>
        <w:t xml:space="preserve">“</w:t>
      </w:r>
      <w:r>
        <w:rPr>
          <w:iCs/>
          <w:i/>
        </w:rPr>
        <w:t xml:space="preserve">ādityādi-mūrtibhiḥ,</w:t>
      </w:r>
      <w:r>
        <w:rPr>
          <w:iCs/>
          <w:i/>
        </w:rPr>
        <w:t xml:space="preserve">”</w:t>
      </w:r>
      <w:r>
        <w:rPr>
          <w:iCs/>
          <w:i/>
        </w:rPr>
        <w:t xml:space="preserve"> </w:t>
      </w:r>
      <w:r>
        <w:rPr>
          <w:iCs/>
          <w:i/>
        </w:rPr>
        <w:t xml:space="preserve">“</w:t>
      </w:r>
      <w:r>
        <w:rPr>
          <w:iCs/>
          <w:i/>
        </w:rPr>
        <w:t xml:space="preserve">yayor aśvayoḥ</w:t>
      </w:r>
      <w:r>
        <w:rPr>
          <w:iCs/>
          <w:i/>
        </w:rPr>
        <w:t xml:space="preserve">”</w:t>
      </w:r>
      <w:r>
        <w:rPr>
          <w:iCs/>
          <w:i/>
        </w:rPr>
        <w:t xml:space="preserve">; the Nighaṇṭu reference</w:t>
      </w:r>
      <w:r>
        <w:rPr>
          <w:iCs/>
          <w:i/>
        </w:rPr>
        <w:t xml:space="preserve"> </w:t>
      </w:r>
      <w:r>
        <w:rPr>
          <w:iCs/>
          <w:i/>
        </w:rPr>
        <w:t xml:space="preserve">“</w:t>
      </w:r>
      <w:r>
        <w:rPr>
          <w:iCs/>
          <w:i/>
        </w:rPr>
        <w:t xml:space="preserve">nai. 1-15</w:t>
      </w:r>
      <w:r>
        <w:rPr>
          <w:iCs/>
          <w:i/>
        </w:rPr>
        <w:t xml:space="preserve">”</w:t>
      </w:r>
      <w:r>
        <w:rPr>
          <w:iCs/>
          <w:i/>
        </w:rPr>
        <w:t xml:space="preserve"> </w:t>
      </w:r>
      <w:r>
        <w:rPr>
          <w:iCs/>
          <w:i/>
        </w:rPr>
        <w:t xml:space="preserve">is clear.)</w:t>
      </w:r>
    </w:p>
    <w:p>
      <w:pPr>
        <w:pStyle w:val="FirstParagraph"/>
      </w:pPr>
      <w:r>
        <w:rPr>
          <w:bCs/>
          <w:b/>
        </w:rPr>
        <w:t xml:space="preserve">Translation:</w:t>
      </w:r>
      <w:r>
        <w:t xml:space="preserve"> </w:t>
      </w:r>
      <w:r>
        <w:t xml:space="preserve">“</w:t>
      </w:r>
      <w:r>
        <w:t xml:space="preserve">Of this (Indra) — who is conveyed by the words</w:t>
      </w:r>
      <w:r>
        <w:t xml:space="preserve"> </w:t>
      </w:r>
      <w:r>
        <w:t xml:space="preserve">‘</w:t>
      </w:r>
      <w:r>
        <w:t xml:space="preserve">bradhna</w:t>
      </w:r>
      <w:r>
        <w:t xml:space="preserve">’</w:t>
      </w:r>
      <w:r>
        <w:t xml:space="preserve"> </w:t>
      </w:r>
      <w:r>
        <w:t xml:space="preserve">and the rest, abiding here and there in the forms of Āditya and the rest — in his chariot the two horses named Hari —</w:t>
      </w:r>
      <w:r>
        <w:t xml:space="preserve"> </w:t>
      </w:r>
      <w:r>
        <w:t xml:space="preserve">‘</w:t>
      </w:r>
      <w:r>
        <w:t xml:space="preserve">sārathayaḥ</w:t>
      </w:r>
      <w:r>
        <w:t xml:space="preserve">’</w:t>
      </w:r>
      <w:r>
        <w:t xml:space="preserve"> </w:t>
      </w:r>
      <w:r>
        <w:t xml:space="preserve">— the charioteers</w:t>
      </w:r>
      <w:r>
        <w:t xml:space="preserve"> </w:t>
      </w:r>
      <w:r>
        <w:t xml:space="preserve">‘</w:t>
      </w:r>
      <w:r>
        <w:t xml:space="preserve">yuñjanti</w:t>
      </w:r>
      <w:r>
        <w:t xml:space="preserve">’</w:t>
      </w:r>
      <w:r>
        <w:t xml:space="preserve"> </w:t>
      </w:r>
      <w:r>
        <w:t xml:space="preserve">— yoke. That the two horses connected with Indra bear the name</w:t>
      </w:r>
      <w:r>
        <w:t xml:space="preserve"> </w:t>
      </w:r>
      <w:r>
        <w:t xml:space="preserve">‘</w:t>
      </w:r>
      <w:r>
        <w:t xml:space="preserve">harī</w:t>
      </w:r>
      <w:r>
        <w:t xml:space="preserve">’</w:t>
      </w:r>
      <w:r>
        <w:t xml:space="preserve"> </w:t>
      </w:r>
      <w:r>
        <w:t xml:space="preserve">is because it is read (in the Nighaṇṭu list of horse-names):</w:t>
      </w:r>
      <w:r>
        <w:t xml:space="preserve"> </w:t>
      </w:r>
      <w:r>
        <w:t xml:space="preserve">‘</w:t>
      </w:r>
      <w:r>
        <w:rPr>
          <w:iCs/>
          <w:i/>
        </w:rPr>
        <w:t xml:space="preserve">harī indrasya, rohito ’gneḥ</w:t>
      </w:r>
      <w:r>
        <w:t xml:space="preserve">’</w:t>
      </w:r>
      <w:r>
        <w:t xml:space="preserve"> </w:t>
      </w:r>
      <w:r>
        <w:t xml:space="preserve">(Naighaṇṭuka 1-15). What kind of</w:t>
      </w:r>
      <w:r>
        <w:t xml:space="preserve"> </w:t>
      </w:r>
      <w:r>
        <w:t xml:space="preserve">‘</w:t>
      </w:r>
      <w:r>
        <w:t xml:space="preserve">harī</w:t>
      </w:r>
      <w:r>
        <w:t xml:space="preserve">’</w:t>
      </w:r>
      <w:r>
        <w:t xml:space="preserve">?</w:t>
      </w:r>
      <w:r>
        <w:t xml:space="preserve"> </w:t>
      </w:r>
      <w:r>
        <w:t xml:space="preserve">‘</w:t>
      </w:r>
      <w:r>
        <w:t xml:space="preserve">Kāmyā</w:t>
      </w:r>
      <w:r>
        <w:t xml:space="preserve">’</w:t>
      </w:r>
      <w:r>
        <w:t xml:space="preserve"> </w:t>
      </w:r>
      <w:r>
        <w:t xml:space="preserve">— to be desired, desirable.</w:t>
      </w:r>
      <w:r>
        <w:t xml:space="preserve"> </w:t>
      </w:r>
      <w:r>
        <w:t xml:space="preserve">‘</w:t>
      </w:r>
      <w:r>
        <w:t xml:space="preserve">Vipakṣasā</w:t>
      </w:r>
      <w:r>
        <w:t xml:space="preserve">’</w:t>
      </w:r>
      <w:r>
        <w:t xml:space="preserve"> </w:t>
      </w:r>
      <w:r>
        <w:t xml:space="preserve">— those two (horses) which are yoked on the two various sides (</w:t>
      </w:r>
      <w:r>
        <w:t xml:space="preserve">‘</w:t>
      </w:r>
      <w:r>
        <w:t xml:space="preserve">pakṣasī</w:t>
      </w:r>
      <w:r>
        <w:t xml:space="preserve">’</w:t>
      </w:r>
      <w:r>
        <w:t xml:space="preserve">) of the chariot — yoked on both flanks of the chariot, the sense.</w:t>
      </w:r>
      <w:r>
        <w:t xml:space="preserve"> </w:t>
      </w:r>
      <w:r>
        <w:t xml:space="preserve">‘</w:t>
      </w:r>
      <w:r>
        <w:t xml:space="preserve">Śoṇā</w:t>
      </w:r>
      <w:r>
        <w:t xml:space="preserve">’</w:t>
      </w:r>
      <w:r>
        <w:t xml:space="preserve"> </w:t>
      </w:r>
      <w:r>
        <w:t xml:space="preserve">— red-coloured;</w:t>
      </w:r>
      <w:r>
        <w:t xml:space="preserve"> </w:t>
      </w:r>
      <w:r>
        <w:t xml:space="preserve">‘</w:t>
      </w:r>
      <w:r>
        <w:t xml:space="preserve">dhṛṣṇū</w:t>
      </w:r>
      <w:r>
        <w:t xml:space="preserve">’</w:t>
      </w:r>
      <w:r>
        <w:t xml:space="preserve"> </w:t>
      </w:r>
      <w:r>
        <w:t xml:space="preserve">— bold;</w:t>
      </w:r>
      <w:r>
        <w:t xml:space="preserve"> </w:t>
      </w:r>
      <w:r>
        <w:t xml:space="preserve">‘</w:t>
      </w:r>
      <w:r>
        <w:t xml:space="preserve">nṛvāhasā</w:t>
      </w:r>
      <w:r>
        <w:t xml:space="preserve">’</w:t>
      </w:r>
      <w:r>
        <w:t xml:space="preserve"> </w:t>
      </w:r>
      <w:r>
        <w:t xml:space="preserve">— the two bearers of men: Indra, his charioteer and the chief among them.</w:t>
      </w:r>
      <w:r>
        <w:t xml:space="preserve">”</w:t>
      </w:r>
    </w:p>
    <w:p>
      <w:pPr>
        <w:pStyle w:val="BodyText"/>
      </w:pPr>
      <w:r>
        <w:rPr>
          <w:bCs/>
          <w:b/>
        </w:rPr>
        <w:t xml:space="preserve">Grammar within the Bhāṣya (re-read from the better scan; sūtras kept):</w:t>
      </w:r>
      <w:r>
        <w:t xml:space="preserve"> </w:t>
      </w:r>
      <w:r>
        <w:t xml:space="preserve">“</w:t>
      </w:r>
      <w:r>
        <w:t xml:space="preserve">Asya</w:t>
      </w:r>
      <w:r>
        <w:t xml:space="preserve">”</w:t>
      </w:r>
      <w:r>
        <w:t xml:space="preserve"> </w:t>
      </w:r>
      <w:r>
        <w:t xml:space="preserve">— as it refers back to what was called</w:t>
      </w:r>
      <w:r>
        <w:t xml:space="preserve"> </w:t>
      </w:r>
      <w:r>
        <w:t xml:space="preserve">“</w:t>
      </w:r>
      <w:r>
        <w:t xml:space="preserve">bradhna,</w:t>
      </w:r>
      <w:r>
        <w:t xml:space="preserve">”</w:t>
      </w:r>
      <w:r>
        <w:t xml:space="preserve"> </w:t>
      </w:r>
      <w:r>
        <w:rPr>
          <w:bCs/>
          <w:b/>
        </w:rPr>
        <w:t xml:space="preserve">इदमोऽन्वादेशेऽशनुदात्तस्तृतीयादौ</w:t>
      </w:r>
      <w:r>
        <w:t xml:space="preserve"> </w:t>
      </w:r>
      <w:r>
        <w:t xml:space="preserve">(पा. २-४-३२) gives</w:t>
      </w:r>
      <w:r>
        <w:t xml:space="preserve"> </w:t>
      </w:r>
      <w:r>
        <w:t xml:space="preserve">“</w:t>
      </w:r>
      <w:r>
        <w:t xml:space="preserve">aś</w:t>
      </w:r>
      <w:r>
        <w:t xml:space="preserve">”</w:t>
      </w:r>
      <w:r>
        <w:t xml:space="preserve">; being</w:t>
      </w:r>
      <w:r>
        <w:t xml:space="preserve"> </w:t>
      </w:r>
      <w:r>
        <w:t xml:space="preserve">“</w:t>
      </w:r>
      <w:r>
        <w:t xml:space="preserve">ś</w:t>
      </w:r>
      <w:r>
        <w:t xml:space="preserve">”</w:t>
      </w:r>
      <w:r>
        <w:t xml:space="preserve">-marked it replaces the whole (पा. १-१-५५) and is unaccented; the case-ending is unaccented too, so the word is wholly unaccented.</w:t>
      </w:r>
      <w:r>
        <w:t xml:space="preserve"> </w:t>
      </w:r>
      <w:r>
        <w:t xml:space="preserve">“</w:t>
      </w:r>
      <w:r>
        <w:t xml:space="preserve">Kāmyā</w:t>
      </w:r>
      <w:r>
        <w:t xml:space="preserve">”</w:t>
      </w:r>
      <w:r>
        <w:t xml:space="preserve"> </w:t>
      </w:r>
      <w:r>
        <w:t xml:space="preserve">—</w:t>
      </w:r>
      <w:r>
        <w:t xml:space="preserve"> </w:t>
      </w:r>
      <w:r>
        <w:t xml:space="preserve">“</w:t>
      </w:r>
      <w:r>
        <w:t xml:space="preserve">kamu kāntau,</w:t>
      </w:r>
      <w:r>
        <w:t xml:space="preserve">”</w:t>
      </w:r>
      <w:r>
        <w:t xml:space="preserve"> </w:t>
      </w:r>
      <w:r>
        <w:rPr>
          <w:bCs/>
          <w:b/>
        </w:rPr>
        <w:t xml:space="preserve">कमेर्णिङ्</w:t>
      </w:r>
      <w:r>
        <w:t xml:space="preserve"> </w:t>
      </w:r>
      <w:r>
        <w:t xml:space="preserve">(पा. ३-१-३०); then</w:t>
      </w:r>
      <w:r>
        <w:t xml:space="preserve"> </w:t>
      </w:r>
      <w:r>
        <w:rPr>
          <w:bCs/>
          <w:b/>
        </w:rPr>
        <w:t xml:space="preserve">अचो यत्</w:t>
      </w:r>
      <w:r>
        <w:t xml:space="preserve"> </w:t>
      </w:r>
      <w:r>
        <w:t xml:space="preserve">(पा. ३-१-९७); by</w:t>
      </w:r>
      <w:r>
        <w:t xml:space="preserve"> </w:t>
      </w:r>
      <w:r>
        <w:rPr>
          <w:bCs/>
          <w:b/>
        </w:rPr>
        <w:t xml:space="preserve">यतोऽनावः</w:t>
      </w:r>
      <w:r>
        <w:t xml:space="preserve"> </w:t>
      </w:r>
      <w:r>
        <w:t xml:space="preserve">(पा. ६-१-२१३), an exception to the</w:t>
      </w:r>
      <w:r>
        <w:t xml:space="preserve"> </w:t>
      </w:r>
      <w:r>
        <w:t xml:space="preserve">“</w:t>
      </w:r>
      <w:r>
        <w:t xml:space="preserve">tit-svarita,</w:t>
      </w:r>
      <w:r>
        <w:t xml:space="preserve">”</w:t>
      </w:r>
      <w:r>
        <w:t xml:space="preserve"> </w:t>
      </w:r>
      <w:r>
        <w:t xml:space="preserve">first-syllable acute; the dual ending replaced by</w:t>
      </w:r>
      <w:r>
        <w:t xml:space="preserve"> </w:t>
      </w:r>
      <w:r>
        <w:t xml:space="preserve">“</w:t>
      </w:r>
      <w:r>
        <w:t xml:space="preserve">ḍā</w:t>
      </w:r>
      <w:r>
        <w:t xml:space="preserve">”</w:t>
      </w:r>
      <w:r>
        <w:t xml:space="preserve"> </w:t>
      </w:r>
      <w:r>
        <w:t xml:space="preserve">(</w:t>
      </w:r>
      <w:r>
        <w:rPr>
          <w:bCs/>
          <w:b/>
        </w:rPr>
        <w:t xml:space="preserve">सुपां सुलुक्…</w:t>
      </w:r>
      <w:r>
        <w:t xml:space="preserve">).</w:t>
      </w:r>
      <w:r>
        <w:t xml:space="preserve"> </w:t>
      </w:r>
      <w:r>
        <w:t xml:space="preserve">“</w:t>
      </w:r>
      <w:r>
        <w:t xml:space="preserve">Harī</w:t>
      </w:r>
      <w:r>
        <w:t xml:space="preserve">”</w:t>
      </w:r>
      <w:r>
        <w:t xml:space="preserve"> </w:t>
      </w:r>
      <w:r>
        <w:t xml:space="preserve">—</w:t>
      </w:r>
      <w:r>
        <w:t xml:space="preserve"> </w:t>
      </w:r>
      <w:r>
        <w:t xml:space="preserve">“</w:t>
      </w:r>
      <w:r>
        <w:t xml:space="preserve">harato ratham</w:t>
      </w:r>
      <w:r>
        <w:t xml:space="preserve">”</w:t>
      </w:r>
      <w:r>
        <w:t xml:space="preserve">: the Uṇādi</w:t>
      </w:r>
      <w:r>
        <w:t xml:space="preserve"> </w:t>
      </w:r>
      <w:r>
        <w:rPr>
          <w:bCs/>
          <w:b/>
        </w:rPr>
        <w:t xml:space="preserve">हृपिषि…</w:t>
      </w:r>
      <w:r>
        <w:t xml:space="preserve"> </w:t>
      </w:r>
      <w:r>
        <w:t xml:space="preserve">(उ. सू. ४-११८) the affix</w:t>
      </w:r>
      <w:r>
        <w:t xml:space="preserve"> </w:t>
      </w:r>
      <w:r>
        <w:t xml:space="preserve">“</w:t>
      </w:r>
      <w:r>
        <w:t xml:space="preserve">in</w:t>
      </w:r>
      <w:r>
        <w:t xml:space="preserve">”</w:t>
      </w:r>
      <w:r>
        <w:t xml:space="preserve">;</w:t>
      </w:r>
      <w:r>
        <w:t xml:space="preserve"> </w:t>
      </w:r>
      <w:r>
        <w:t xml:space="preserve">“</w:t>
      </w:r>
      <w:r>
        <w:t xml:space="preserve">n</w:t>
      </w:r>
      <w:r>
        <w:t xml:space="preserve">”</w:t>
      </w:r>
      <w:r>
        <w:t xml:space="preserve">-marked, first-syllable acute.</w:t>
      </w:r>
      <w:r>
        <w:t xml:space="preserve"> </w:t>
      </w:r>
      <w:r>
        <w:t xml:space="preserve">“</w:t>
      </w:r>
      <w:r>
        <w:t xml:space="preserve">Vipakṣasā</w:t>
      </w:r>
      <w:r>
        <w:t xml:space="preserve">”</w:t>
      </w:r>
      <w:r>
        <w:t xml:space="preserve"> </w:t>
      </w:r>
      <w:r>
        <w:t xml:space="preserve">—</w:t>
      </w:r>
      <w:r>
        <w:t xml:space="preserve"> </w:t>
      </w:r>
      <w:r>
        <w:rPr>
          <w:bCs/>
          <w:b/>
        </w:rPr>
        <w:t xml:space="preserve">पचिवचिभ्यां सुट् च</w:t>
      </w:r>
      <w:r>
        <w:t xml:space="preserve"> </w:t>
      </w:r>
      <w:r>
        <w:t xml:space="preserve">(उ. सू. ४-२१९):</w:t>
      </w:r>
      <w:r>
        <w:t xml:space="preserve"> </w:t>
      </w:r>
      <w:r>
        <w:t xml:space="preserve">“</w:t>
      </w:r>
      <w:r>
        <w:t xml:space="preserve">asun</w:t>
      </w:r>
      <w:r>
        <w:t xml:space="preserve">”</w:t>
      </w:r>
      <w:r>
        <w:t xml:space="preserve"> </w:t>
      </w:r>
      <w:r>
        <w:t xml:space="preserve">after</w:t>
      </w:r>
      <w:r>
        <w:t xml:space="preserve"> </w:t>
      </w:r>
      <w:r>
        <w:t xml:space="preserve">“</w:t>
      </w:r>
      <w:r>
        <w:t xml:space="preserve">pac</w:t>
      </w:r>
      <w:r>
        <w:t xml:space="preserve">”</w:t>
      </w:r>
      <w:r>
        <w:t xml:space="preserve"> </w:t>
      </w:r>
      <w:r>
        <w:t xml:space="preserve">with the augment</w:t>
      </w:r>
      <w:r>
        <w:t xml:space="preserve"> </w:t>
      </w:r>
      <w:r>
        <w:t xml:space="preserve">“</w:t>
      </w:r>
      <w:r>
        <w:t xml:space="preserve">suṭ</w:t>
      </w:r>
      <w:r>
        <w:t xml:space="preserve">”</w:t>
      </w:r>
      <w:r>
        <w:t xml:space="preserve">;</w:t>
      </w:r>
      <w:r>
        <w:t xml:space="preserve"> </w:t>
      </w:r>
      <w:r>
        <w:t xml:space="preserve">“</w:t>
      </w:r>
      <w:r>
        <w:t xml:space="preserve">vibhinne pakṣasī pārśve yayoḥ tau</w:t>
      </w:r>
      <w:r>
        <w:t xml:space="preserve">”</w:t>
      </w:r>
      <w:r>
        <w:t xml:space="preserve"> </w:t>
      </w:r>
      <w:r>
        <w:t xml:space="preserve">— the bahuvrīhi;</w:t>
      </w:r>
      <w:r>
        <w:t xml:space="preserve"> </w:t>
      </w:r>
      <w:r>
        <w:t xml:space="preserve">“</w:t>
      </w:r>
      <w:r>
        <w:t xml:space="preserve">vi</w:t>
      </w:r>
      <w:r>
        <w:t xml:space="preserve">”</w:t>
      </w:r>
      <w:r>
        <w:t xml:space="preserve"> </w:t>
      </w:r>
      <w:r>
        <w:t xml:space="preserve">being a particle is acute, and the first member’s accent is kept;</w:t>
      </w:r>
      <w:r>
        <w:t xml:space="preserve"> </w:t>
      </w:r>
      <w:r>
        <w:t xml:space="preserve">“</w:t>
      </w:r>
      <w:r>
        <w:t xml:space="preserve">ḍā</w:t>
      </w:r>
      <w:r>
        <w:t xml:space="preserve">”</w:t>
      </w:r>
      <w:r>
        <w:t xml:space="preserve"> </w:t>
      </w:r>
      <w:r>
        <w:t xml:space="preserve">for the dual.</w:t>
      </w:r>
      <w:r>
        <w:t xml:space="preserve"> </w:t>
      </w:r>
      <w:r>
        <w:t xml:space="preserve">“</w:t>
      </w:r>
      <w:r>
        <w:t xml:space="preserve">Rathe</w:t>
      </w:r>
      <w:r>
        <w:t xml:space="preserve">”</w:t>
      </w:r>
      <w:r>
        <w:t xml:space="preserve"> </w:t>
      </w:r>
      <w:r>
        <w:t xml:space="preserve">—</w:t>
      </w:r>
      <w:r>
        <w:t xml:space="preserve"> </w:t>
      </w:r>
      <w:r>
        <w:t xml:space="preserve">“</w:t>
      </w:r>
      <w:r>
        <w:t xml:space="preserve">ramante ’sminn iti rathaḥ</w:t>
      </w:r>
      <w:r>
        <w:t xml:space="preserve">”</w:t>
      </w:r>
      <w:r>
        <w:t xml:space="preserve">:</w:t>
      </w:r>
      <w:r>
        <w:t xml:space="preserve"> </w:t>
      </w:r>
      <w:r>
        <w:rPr>
          <w:bCs/>
          <w:b/>
        </w:rPr>
        <w:t xml:space="preserve">हनिकुषिनीरमिकाशिभ्यः क्थन्</w:t>
      </w:r>
      <w:r>
        <w:t xml:space="preserve"> </w:t>
      </w:r>
      <w:r>
        <w:t xml:space="preserve">(उ. सू. २-२)</w:t>
      </w:r>
      <w:r>
        <w:t xml:space="preserve"> </w:t>
      </w:r>
      <w:r>
        <w:t xml:space="preserve">“</w:t>
      </w:r>
      <w:r>
        <w:t xml:space="preserve">kthan</w:t>
      </w:r>
      <w:r>
        <w:t xml:space="preserve">”</w:t>
      </w:r>
      <w:r>
        <w:t xml:space="preserve">; as it is</w:t>
      </w:r>
      <w:r>
        <w:t xml:space="preserve"> </w:t>
      </w:r>
      <w:r>
        <w:t xml:space="preserve">“</w:t>
      </w:r>
      <w:r>
        <w:t xml:space="preserve">k</w:t>
      </w:r>
      <w:r>
        <w:t xml:space="preserve">”</w:t>
      </w:r>
      <w:r>
        <w:t xml:space="preserve">-marked,</w:t>
      </w:r>
      <w:r>
        <w:t xml:space="preserve"> </w:t>
      </w:r>
      <w:r>
        <w:rPr>
          <w:bCs/>
          <w:b/>
        </w:rPr>
        <w:t xml:space="preserve">अनुदात्तोपदेश…</w:t>
      </w:r>
      <w:r>
        <w:t xml:space="preserve"> </w:t>
      </w:r>
      <w:r>
        <w:t xml:space="preserve">(पा. ६-४-३७) elides the</w:t>
      </w:r>
      <w:r>
        <w:t xml:space="preserve"> </w:t>
      </w:r>
      <w:r>
        <w:t xml:space="preserve">“</w:t>
      </w:r>
      <w:r>
        <w:t xml:space="preserve">m</w:t>
      </w:r>
      <w:r>
        <w:t xml:space="preserve">”</w:t>
      </w:r>
      <w:r>
        <w:t xml:space="preserve">; first-syllable acute by the</w:t>
      </w:r>
      <w:r>
        <w:t xml:space="preserve"> </w:t>
      </w:r>
      <w:r>
        <w:t xml:space="preserve">“</w:t>
      </w:r>
      <w:r>
        <w:t xml:space="preserve">n</w:t>
      </w:r>
      <w:r>
        <w:t xml:space="preserve">”</w:t>
      </w:r>
      <w:r>
        <w:t xml:space="preserve">-mark.</w:t>
      </w:r>
      <w:r>
        <w:t xml:space="preserve"> </w:t>
      </w:r>
      <w:r>
        <w:t xml:space="preserve">“</w:t>
      </w:r>
      <w:r>
        <w:t xml:space="preserve">Śoṇā</w:t>
      </w:r>
      <w:r>
        <w:t xml:space="preserve">”</w:t>
      </w:r>
      <w:r>
        <w:t xml:space="preserve"> </w:t>
      </w:r>
      <w:r>
        <w:t xml:space="preserve">—</w:t>
      </w:r>
      <w:r>
        <w:t xml:space="preserve"> </w:t>
      </w:r>
      <w:r>
        <w:t xml:space="preserve">“</w:t>
      </w:r>
      <w:r>
        <w:t xml:space="preserve">śoṇṛ varṇa-gatyoḥ</w:t>
      </w:r>
      <w:r>
        <w:t xml:space="preserve">”</w:t>
      </w:r>
      <w:r>
        <w:t xml:space="preserve">: as the means of going,</w:t>
      </w:r>
      <w:r>
        <w:t xml:space="preserve"> </w:t>
      </w:r>
      <w:r>
        <w:t xml:space="preserve">“</w:t>
      </w:r>
      <w:r>
        <w:t xml:space="preserve">ghañ</w:t>
      </w:r>
      <w:r>
        <w:t xml:space="preserve">”</w:t>
      </w:r>
      <w:r>
        <w:t xml:space="preserve"> </w:t>
      </w:r>
      <w:r>
        <w:t xml:space="preserve">in the instrumental sense;</w:t>
      </w:r>
      <w:r>
        <w:t xml:space="preserve"> </w:t>
      </w:r>
      <w:r>
        <w:t xml:space="preserve">“</w:t>
      </w:r>
      <w:r>
        <w:t xml:space="preserve">ñ</w:t>
      </w:r>
      <w:r>
        <w:t xml:space="preserve">”</w:t>
      </w:r>
      <w:r>
        <w:t xml:space="preserve">-marked, first-syllable acute;</w:t>
      </w:r>
      <w:r>
        <w:t xml:space="preserve"> </w:t>
      </w:r>
      <w:r>
        <w:t xml:space="preserve">“</w:t>
      </w:r>
      <w:r>
        <w:t xml:space="preserve">ḍā</w:t>
      </w:r>
      <w:r>
        <w:t xml:space="preserve">”</w:t>
      </w:r>
      <w:r>
        <w:t xml:space="preserve"> </w:t>
      </w:r>
      <w:r>
        <w:t xml:space="preserve">for the dual.</w:t>
      </w:r>
      <w:r>
        <w:t xml:space="preserve"> </w:t>
      </w:r>
      <w:r>
        <w:t xml:space="preserve">“</w:t>
      </w:r>
      <w:r>
        <w:t xml:space="preserve">Dhṛṣṇū</w:t>
      </w:r>
      <w:r>
        <w:t xml:space="preserve">”</w:t>
      </w:r>
      <w:r>
        <w:t xml:space="preserve"> </w:t>
      </w:r>
      <w:r>
        <w:t xml:space="preserve">—</w:t>
      </w:r>
      <w:r>
        <w:t xml:space="preserve"> </w:t>
      </w:r>
      <w:r>
        <w:t xml:space="preserve">“</w:t>
      </w:r>
      <w:r>
        <w:t xml:space="preserve">ñidhṛṣā prāgalbhye</w:t>
      </w:r>
      <w:r>
        <w:t xml:space="preserve">”</w:t>
      </w:r>
      <w:r>
        <w:t xml:space="preserve">:</w:t>
      </w:r>
      <w:r>
        <w:t xml:space="preserve"> </w:t>
      </w:r>
      <w:r>
        <w:rPr>
          <w:bCs/>
          <w:b/>
        </w:rPr>
        <w:t xml:space="preserve">त्रसिगृधिधृषिक्षिपेः क्नुः</w:t>
      </w:r>
      <w:r>
        <w:t xml:space="preserve"> </w:t>
      </w:r>
      <w:r>
        <w:t xml:space="preserve">(पा. ३-२-१४०);</w:t>
      </w:r>
      <w:r>
        <w:t xml:space="preserve"> </w:t>
      </w:r>
      <w:r>
        <w:t xml:space="preserve">“</w:t>
      </w:r>
      <w:r>
        <w:t xml:space="preserve">k</w:t>
      </w:r>
      <w:r>
        <w:t xml:space="preserve">”</w:t>
      </w:r>
      <w:r>
        <w:t xml:space="preserve">-marked, so no guṇa; the affix accent.</w:t>
      </w:r>
      <w:r>
        <w:t xml:space="preserve"> </w:t>
      </w:r>
      <w:r>
        <w:t xml:space="preserve">“</w:t>
      </w:r>
      <w:r>
        <w:t xml:space="preserve">Nṛvāhasā</w:t>
      </w:r>
      <w:r>
        <w:t xml:space="preserve">”</w:t>
      </w:r>
      <w:r>
        <w:t xml:space="preserve"> </w:t>
      </w:r>
      <w:r>
        <w:t xml:space="preserve">—</w:t>
      </w:r>
      <w:r>
        <w:t xml:space="preserve"> </w:t>
      </w:r>
      <w:r>
        <w:t xml:space="preserve">“</w:t>
      </w:r>
      <w:r>
        <w:t xml:space="preserve">nṝn vahata iti</w:t>
      </w:r>
      <w:r>
        <w:t xml:space="preserve">”</w:t>
      </w:r>
      <w:r>
        <w:t xml:space="preserve">:</w:t>
      </w:r>
      <w:r>
        <w:t xml:space="preserve"> </w:t>
      </w:r>
      <w:r>
        <w:rPr>
          <w:bCs/>
          <w:b/>
        </w:rPr>
        <w:t xml:space="preserve">वहिहाधाञ्भ्यश्छन्दसि</w:t>
      </w:r>
      <w:r>
        <w:t xml:space="preserve"> </w:t>
      </w:r>
      <w:r>
        <w:t xml:space="preserve">(उ. सू. ४-२२०)</w:t>
      </w:r>
      <w:r>
        <w:t xml:space="preserve"> </w:t>
      </w:r>
      <w:r>
        <w:t xml:space="preserve">“</w:t>
      </w:r>
      <w:r>
        <w:t xml:space="preserve">asun</w:t>
      </w:r>
      <w:r>
        <w:t xml:space="preserve">”</w:t>
      </w:r>
      <w:r>
        <w:t xml:space="preserve">; with</w:t>
      </w:r>
      <w:r>
        <w:t xml:space="preserve"> </w:t>
      </w:r>
      <w:r>
        <w:t xml:space="preserve">“</w:t>
      </w:r>
      <w:r>
        <w:t xml:space="preserve">ṇit</w:t>
      </w:r>
      <w:r>
        <w:t xml:space="preserve">”</w:t>
      </w:r>
      <w:r>
        <w:t xml:space="preserve"> </w:t>
      </w:r>
      <w:r>
        <w:t xml:space="preserve">continued, vṛddhi;</w:t>
      </w:r>
      <w:r>
        <w:t xml:space="preserve"> </w:t>
      </w:r>
      <w:r>
        <w:t xml:space="preserve">“</w:t>
      </w:r>
      <w:r>
        <w:t xml:space="preserve">n</w:t>
      </w:r>
      <w:r>
        <w:t xml:space="preserve">”</w:t>
      </w:r>
      <w:r>
        <w:t xml:space="preserve">-marked, first-syllable acute; by the accent of the kṛt-final second member this remains. ॥२॥</w:t>
      </w:r>
    </w:p>
    <w:p>
      <w:pPr>
        <w:pStyle w:val="BodyText"/>
      </w:pPr>
      <w:r>
        <w:rPr>
          <w:bCs/>
          <w:b/>
        </w:rPr>
        <w:t xml:space="preserve">॥ Prati-padārthaḥ ॥</w:t>
      </w:r>
      <w:r>
        <w:t xml:space="preserve"> </w:t>
      </w:r>
      <w:r>
        <w:rPr>
          <w:iCs/>
          <w:i/>
        </w:rPr>
        <w:t xml:space="preserve">(Kannada, translated; continued on the next page)</w:t>
      </w:r>
    </w:p>
    <w:p>
      <w:pPr>
        <w:pStyle w:val="BodyText"/>
      </w:pPr>
      <w:r>
        <w:t xml:space="preserve">(The charioteers and others)</w:t>
      </w:r>
      <w:r>
        <w:t xml:space="preserve"> </w:t>
      </w:r>
      <w:r>
        <w:rPr>
          <w:bCs/>
          <w:b/>
        </w:rPr>
        <w:t xml:space="preserve">अस्य (asya)</w:t>
      </w:r>
      <w:r>
        <w:t xml:space="preserve"> </w:t>
      </w:r>
      <w:r>
        <w:t xml:space="preserve">— (as said before, the one who is conveyed by the words</w:t>
      </w:r>
      <w:r>
        <w:t xml:space="preserve"> </w:t>
      </w:r>
      <w:r>
        <w:t xml:space="preserve">“</w:t>
      </w:r>
      <w:r>
        <w:t xml:space="preserve">Āditya</w:t>
      </w:r>
      <w:r>
        <w:t xml:space="preserve">”</w:t>
      </w:r>
      <w:r>
        <w:t xml:space="preserve"> </w:t>
      </w:r>
      <w:r>
        <w:t xml:space="preserve">and the rest) of this Indra |</w:t>
      </w:r>
      <w:r>
        <w:t xml:space="preserve"> </w:t>
      </w:r>
      <w:r>
        <w:rPr>
          <w:bCs/>
          <w:b/>
        </w:rPr>
        <w:t xml:space="preserve">रथे (rathe)</w:t>
      </w:r>
      <w:r>
        <w:t xml:space="preserve"> </w:t>
      </w:r>
      <w:r>
        <w:t xml:space="preserve">— in the chariot (to the chariot) |</w:t>
      </w:r>
      <w:r>
        <w:t xml:space="preserve"> </w:t>
      </w:r>
      <w:r>
        <w:rPr>
          <w:bCs/>
          <w:b/>
        </w:rPr>
        <w:t xml:space="preserve">काम्या (kāmyā)</w:t>
      </w:r>
      <w:r>
        <w:t xml:space="preserve"> </w:t>
      </w:r>
      <w:r>
        <w:t xml:space="preserve">— (to Indra) beloved, or dear |</w:t>
      </w:r>
      <w:r>
        <w:t xml:space="preserve"> </w:t>
      </w:r>
      <w:r>
        <w:rPr>
          <w:bCs/>
          <w:b/>
        </w:rPr>
        <w:t xml:space="preserve">शोणा (śoṇā)</w:t>
      </w:r>
      <w:r>
        <w:t xml:space="preserve"> </w:t>
      </w:r>
      <w:r>
        <w:t xml:space="preserve">— …</w:t>
      </w:r>
    </w:p>
    <w:bookmarkEnd w:id="251"/>
    <w:bookmarkStart w:id="252" w:name="Xb481a89764cc23a64c8bd5ae3bc9b4f1b4a62f2"/>
    <w:p>
      <w:pPr>
        <w:pStyle w:val="Heading3"/>
      </w:pPr>
      <w:r>
        <w:t xml:space="preserve">Page 215 — Rik 6.2: Pada-meanings concluded; Bhāvārtha; English rendering; Special topics</w:t>
      </w:r>
    </w:p>
    <w:p>
      <w:pPr>
        <w:pStyle w:val="FirstParagraph"/>
      </w:pPr>
      <w:r>
        <w:rPr>
          <w:iCs/>
          <w:i/>
        </w:rPr>
        <w:t xml:space="preserve">(Page header:</w:t>
      </w:r>
      <w:r>
        <w:rPr>
          <w:iCs/>
          <w:i/>
        </w:rPr>
        <w:t xml:space="preserve"> </w:t>
      </w:r>
      <w:r>
        <w:rPr>
          <w:iCs/>
          <w:i/>
        </w:rPr>
        <w:t xml:space="preserve">“</w:t>
      </w:r>
      <w:r>
        <w:rPr>
          <w:iCs/>
          <w:i/>
        </w:rPr>
        <w:t xml:space="preserve">Aṣṭaka 1, Adhyāya 1, Varga 11 · Ṛgveda-saṃhitā.</w:t>
      </w:r>
      <w:r>
        <w:rPr>
          <w:iCs/>
          <w:i/>
        </w:rPr>
        <w:t xml:space="preserve">”</w:t>
      </w:r>
      <w:r>
        <w:rPr>
          <w:iCs/>
          <w:i/>
        </w:rPr>
        <w:t xml:space="preserve"> </w:t>
      </w:r>
      <w:r>
        <w:rPr>
          <w:iCs/>
          <w:i/>
        </w:rPr>
        <w:t xml:space="preserve">Kannada prose translated; English as printed; references re-read from the better scan.)</w:t>
      </w:r>
    </w:p>
    <w:p>
      <w:pPr>
        <w:pStyle w:val="BodyText"/>
      </w:pPr>
      <w:r>
        <w:rPr>
          <w:iCs/>
          <w:i/>
        </w:rPr>
        <w:t xml:space="preserve">(Continuing the Pada-meanings from p. 214:)</w:t>
      </w:r>
      <w:r>
        <w:t xml:space="preserve"> </w:t>
      </w:r>
      <w:r>
        <w:rPr>
          <w:bCs/>
          <w:b/>
        </w:rPr>
        <w:t xml:space="preserve">शोणा (śoṇā)</w:t>
      </w:r>
      <w:r>
        <w:t xml:space="preserve"> </w:t>
      </w:r>
      <w:r>
        <w:t xml:space="preserve">— red-coloured |</w:t>
      </w:r>
      <w:r>
        <w:t xml:space="preserve"> </w:t>
      </w:r>
      <w:r>
        <w:rPr>
          <w:bCs/>
          <w:b/>
        </w:rPr>
        <w:t xml:space="preserve">धृष्णू (dhṛṣṇū)</w:t>
      </w:r>
      <w:r>
        <w:t xml:space="preserve"> </w:t>
      </w:r>
      <w:r>
        <w:t xml:space="preserve">— full of enthusiasm |</w:t>
      </w:r>
      <w:r>
        <w:t xml:space="preserve"> </w:t>
      </w:r>
      <w:r>
        <w:rPr>
          <w:bCs/>
          <w:b/>
        </w:rPr>
        <w:t xml:space="preserve">नृवाहसा (nṛvāhasā)</w:t>
      </w:r>
      <w:r>
        <w:t xml:space="preserve"> </w:t>
      </w:r>
      <w:r>
        <w:t xml:space="preserve">— those who carry Indra and the charioteer (who have taken the form of men) |</w:t>
      </w:r>
      <w:r>
        <w:t xml:space="preserve"> </w:t>
      </w:r>
      <w:r>
        <w:rPr>
          <w:bCs/>
          <w:b/>
        </w:rPr>
        <w:t xml:space="preserve">विपक्षसा (vipakṣasā)</w:t>
      </w:r>
      <w:r>
        <w:t xml:space="preserve"> </w:t>
      </w:r>
      <w:r>
        <w:t xml:space="preserve">— yoked to the left and right flanks of the chariot |</w:t>
      </w:r>
      <w:r>
        <w:t xml:space="preserve"> </w:t>
      </w:r>
      <w:r>
        <w:rPr>
          <w:bCs/>
          <w:b/>
        </w:rPr>
        <w:t xml:space="preserve">हरी (harī)</w:t>
      </w:r>
      <w:r>
        <w:t xml:space="preserve"> </w:t>
      </w:r>
      <w:r>
        <w:t xml:space="preserve">— the two horses |</w:t>
      </w:r>
      <w:r>
        <w:t xml:space="preserve"> </w:t>
      </w:r>
      <w:r>
        <w:rPr>
          <w:bCs/>
          <w:b/>
        </w:rPr>
        <w:t xml:space="preserve">युञ्जन्ति (yuñjanti)</w:t>
      </w:r>
      <w:r>
        <w:t xml:space="preserve"> </w:t>
      </w:r>
      <w:r>
        <w:t xml:space="preserve">— they yoke (they harness).</w:t>
      </w:r>
    </w:p>
    <w:p>
      <w:pPr>
        <w:pStyle w:val="BodyText"/>
      </w:pPr>
      <w:r>
        <w:rPr>
          <w:bCs/>
          <w:b/>
        </w:rPr>
        <w:t xml:space="preserve">॥ Bhāvārthaḥ ॥</w:t>
      </w:r>
      <w:r>
        <w:t xml:space="preserve"> </w:t>
      </w:r>
      <w:r>
        <w:rPr>
          <w:iCs/>
          <w:i/>
        </w:rPr>
        <w:t xml:space="preserve">(Kannada, translated)</w:t>
      </w:r>
    </w:p>
    <w:p>
      <w:pPr>
        <w:pStyle w:val="BodyText"/>
      </w:pPr>
      <w:r>
        <w:t xml:space="preserve">The charioteer and others yoke Indra’s two favourite horses, on the two flanks, left and right, to Indra’s chariot. Those horses, though red in colour, are full of enthusiasm and have the capacity to carry men — that is, their master Indra, the charioteer and others. Such excellent horses they yoke to Indra’s chariot.</w:t>
      </w:r>
    </w:p>
    <w:p>
      <w:pPr>
        <w:pStyle w:val="BodyText"/>
      </w:pPr>
      <w:r>
        <w:rPr>
          <w:bCs/>
          <w:b/>
        </w:rPr>
        <w:t xml:space="preserve">English Translation</w:t>
      </w:r>
      <w:r>
        <w:t xml:space="preserve"> </w:t>
      </w:r>
      <w:r>
        <w:rPr>
          <w:iCs/>
          <w:i/>
        </w:rPr>
        <w:t xml:space="preserve">(printed in English in the source itself):</w:t>
      </w:r>
    </w:p>
    <w:p>
      <w:pPr>
        <w:pStyle w:val="BodyText"/>
      </w:pPr>
      <w:r>
        <w:t xml:space="preserve">“</w:t>
      </w:r>
      <w:r>
        <w:t xml:space="preserve">They are harnessing to his (Indra’s) chariot, one on each side, his favourite pair of bay coloured horses, high-spirited and able to carry their brave lord.</w:t>
      </w:r>
      <w:r>
        <w:t xml:space="preserve">”</w:t>
      </w:r>
    </w:p>
    <w:p>
      <w:pPr>
        <w:pStyle w:val="BodyText"/>
      </w:pPr>
      <w:r>
        <w:rPr>
          <w:bCs/>
          <w:b/>
        </w:rPr>
        <w:t xml:space="preserve">॥ Viśeṣa-viṣayagaḷu (Special Topics) ॥</w:t>
      </w:r>
    </w:p>
    <w:p>
      <w:pPr>
        <w:pStyle w:val="BodyText"/>
      </w:pPr>
      <w:r>
        <w:t xml:space="preserve">The pāda</w:t>
      </w:r>
      <w:r>
        <w:t xml:space="preserve"> </w:t>
      </w:r>
      <w:r>
        <w:t xml:space="preserve">“</w:t>
      </w:r>
      <w:r>
        <w:t xml:space="preserve">yuñjanty asya kāmyā</w:t>
      </w:r>
      <w:r>
        <w:t xml:space="preserve">”</w:t>
      </w:r>
      <w:r>
        <w:t xml:space="preserve"> </w:t>
      </w:r>
      <w:r>
        <w:t xml:space="preserve">is quoted in the</w:t>
      </w:r>
      <w:r>
        <w:t xml:space="preserve"> </w:t>
      </w:r>
      <w:r>
        <w:rPr>
          <w:bCs/>
          <w:b/>
        </w:rPr>
        <w:t xml:space="preserve">Āpastamba-śrauta-sūtra</w:t>
      </w:r>
      <w:r>
        <w:t xml:space="preserve"> </w:t>
      </w:r>
      <w:r>
        <w:t xml:space="preserve">(20-16-2) and the</w:t>
      </w:r>
      <w:r>
        <w:t xml:space="preserve"> </w:t>
      </w:r>
      <w:r>
        <w:rPr>
          <w:bCs/>
          <w:b/>
        </w:rPr>
        <w:t xml:space="preserve">Maitrāyaṇīya-saṃhitā</w:t>
      </w:r>
      <w:r>
        <w:t xml:space="preserve"> </w:t>
      </w:r>
      <w:r>
        <w:t xml:space="preserve">(9-2-3 [as printed]). In the</w:t>
      </w:r>
      <w:r>
        <w:t xml:space="preserve"> </w:t>
      </w:r>
      <w:r>
        <w:rPr>
          <w:bCs/>
          <w:b/>
        </w:rPr>
        <w:t xml:space="preserve">Taittirīya-brāhmaṇa</w:t>
      </w:r>
      <w:r>
        <w:t xml:space="preserve"> </w:t>
      </w:r>
      <w:r>
        <w:t xml:space="preserve">(3-9-4) there is an exposition of this Ṛk. There it says</w:t>
      </w:r>
      <w:r>
        <w:t xml:space="preserve"> </w:t>
      </w:r>
      <w:r>
        <w:t xml:space="preserve">“</w:t>
      </w:r>
      <w:r>
        <w:rPr>
          <w:iCs/>
          <w:i/>
        </w:rPr>
        <w:t xml:space="preserve">śoṇā dhṛṣṇū nṛvāhasety āha | aho rātre vai nṛvāhasā</w:t>
      </w:r>
      <w:r>
        <w:t xml:space="preserve">”</w:t>
      </w:r>
      <w:r>
        <w:t xml:space="preserve"> </w:t>
      </w:r>
      <w:r>
        <w:t xml:space="preserve">(शोणा धृष्णू नृवाहसेत्याह । अहो रात्रे वै नृवाहसा —</w:t>
      </w:r>
      <w:r>
        <w:t xml:space="preserve"> </w:t>
      </w:r>
      <w:r>
        <w:t xml:space="preserve">“</w:t>
      </w:r>
      <w:r>
        <w:t xml:space="preserve">’</w:t>
      </w:r>
      <w:r>
        <w:rPr>
          <w:iCs/>
          <w:i/>
        </w:rPr>
        <w:t xml:space="preserve">śoṇā dhṛṣṇū nṛvāhasā,’ he says: day and night, indeed, are the</w:t>
      </w:r>
      <w:r>
        <w:rPr>
          <w:iCs/>
          <w:i/>
        </w:rPr>
        <w:t xml:space="preserve"> </w:t>
      </w:r>
      <w:r>
        <w:rPr>
          <w:iCs/>
          <w:i/>
        </w:rPr>
        <w:t xml:space="preserve">‘</w:t>
      </w:r>
      <w:r>
        <w:rPr>
          <w:iCs/>
          <w:i/>
        </w:rPr>
        <w:t xml:space="preserve">nṛvāhasā</w:t>
      </w:r>
      <w:r>
        <w:rPr>
          <w:iCs/>
          <w:i/>
        </w:rPr>
        <w:t xml:space="preserve">’</w:t>
      </w:r>
      <w:r>
        <w:t xml:space="preserve">”</w:t>
      </w:r>
      <w:r>
        <w:t xml:space="preserve">) — that is, for the word</w:t>
      </w:r>
      <w:r>
        <w:t xml:space="preserve"> </w:t>
      </w:r>
      <w:r>
        <w:t xml:space="preserve">“</w:t>
      </w:r>
      <w:r>
        <w:t xml:space="preserve">nṛvāhasā</w:t>
      </w:r>
      <w:r>
        <w:t xml:space="preserve">”</w:t>
      </w:r>
      <w:r>
        <w:t xml:space="preserve"> </w:t>
      </w:r>
      <w:r>
        <w:t xml:space="preserve">an adhyātmika meaning,</w:t>
      </w:r>
      <w:r>
        <w:t xml:space="preserve"> </w:t>
      </w:r>
      <w:r>
        <w:t xml:space="preserve">“</w:t>
      </w:r>
      <w:r>
        <w:t xml:space="preserve">day and night,</w:t>
      </w:r>
      <w:r>
        <w:t xml:space="preserve">”</w:t>
      </w:r>
      <w:r>
        <w:t xml:space="preserve"> </w:t>
      </w:r>
      <w:r>
        <w:t xml:space="preserve">is given; nothing further of special note.</w:t>
      </w:r>
    </w:p>
    <w:p>
      <w:pPr>
        <w:pStyle w:val="BodyText"/>
      </w:pPr>
      <w:r>
        <w:rPr>
          <w:bCs/>
          <w:b/>
        </w:rPr>
        <w:t xml:space="preserve">काम्या (kāmyā)</w:t>
      </w:r>
      <w:r>
        <w:t xml:space="preserve"> </w:t>
      </w:r>
      <w:r>
        <w:t xml:space="preserve">— wished-for, dear; favourite.</w:t>
      </w:r>
      <w:r>
        <w:t xml:space="preserve"> </w:t>
      </w:r>
      <w:r>
        <w:rPr>
          <w:bCs/>
          <w:b/>
        </w:rPr>
        <w:t xml:space="preserve">हरी (harī)</w:t>
      </w:r>
      <w:r>
        <w:t xml:space="preserve"> </w:t>
      </w:r>
      <w:r>
        <w:t xml:space="preserve">— Indra’s two horses have the name</w:t>
      </w:r>
      <w:r>
        <w:t xml:space="preserve"> </w:t>
      </w:r>
      <w:r>
        <w:t xml:space="preserve">“</w:t>
      </w:r>
      <w:r>
        <w:t xml:space="preserve">harī.</w:t>
      </w:r>
      <w:r>
        <w:t xml:space="preserve">”</w:t>
      </w:r>
      <w:r>
        <w:t xml:space="preserve"> </w:t>
      </w:r>
      <w:r>
        <w:rPr>
          <w:bCs/>
          <w:b/>
        </w:rPr>
        <w:t xml:space="preserve">विपक्षसा (vipakṣasā)</w:t>
      </w:r>
      <w:r>
        <w:t xml:space="preserve"> </w:t>
      </w:r>
      <w:r>
        <w:t xml:space="preserve">— the separate flanks, that is, the left and right flanks.</w:t>
      </w:r>
      <w:r>
        <w:t xml:space="preserve"> </w:t>
      </w:r>
      <w:r>
        <w:rPr>
          <w:bCs/>
          <w:b/>
        </w:rPr>
        <w:t xml:space="preserve">रथे (rathe)</w:t>
      </w:r>
      <w:r>
        <w:t xml:space="preserve"> </w:t>
      </w:r>
      <w:r>
        <w:t xml:space="preserve">—</w:t>
      </w:r>
      <w:r>
        <w:t xml:space="preserve"> </w:t>
      </w:r>
      <w:r>
        <w:t xml:space="preserve">“</w:t>
      </w:r>
      <w:r>
        <w:t xml:space="preserve">ramante ’smin iti rathaḥ</w:t>
      </w:r>
      <w:r>
        <w:t xml:space="preserve">”</w:t>
      </w:r>
      <w:r>
        <w:t xml:space="preserve"> </w:t>
      </w:r>
      <w:r>
        <w:t xml:space="preserve">(रमन्तेऽस्मिन्निति रथः —</w:t>
      </w:r>
      <w:r>
        <w:t xml:space="preserve"> </w:t>
      </w:r>
      <w:r>
        <w:t xml:space="preserve">“</w:t>
      </w:r>
      <w:r>
        <w:t xml:space="preserve">that in which they delight is the</w:t>
      </w:r>
      <w:r>
        <w:t xml:space="preserve"> </w:t>
      </w:r>
      <w:r>
        <w:t xml:space="preserve">‘</w:t>
      </w:r>
      <w:r>
        <w:t xml:space="preserve">ratha</w:t>
      </w:r>
      <w:r>
        <w:t xml:space="preserve">’</w:t>
      </w:r>
      <w:r>
        <w:t xml:space="preserve">”</w:t>
      </w:r>
      <w:r>
        <w:t xml:space="preserve">) —</w:t>
      </w:r>
      <w:r>
        <w:t xml:space="preserve"> </w:t>
      </w:r>
      <w:r>
        <w:t xml:space="preserve">“</w:t>
      </w:r>
      <w:r>
        <w:t xml:space="preserve">ramu krīḍāyām</w:t>
      </w:r>
      <w:r>
        <w:t xml:space="preserve">”</w:t>
      </w:r>
      <w:r>
        <w:t xml:space="preserve"> </w:t>
      </w:r>
      <w:r>
        <w:t xml:space="preserve">(to play): because one sits in it and moves, it is called</w:t>
      </w:r>
      <w:r>
        <w:t xml:space="preserve"> </w:t>
      </w:r>
      <w:r>
        <w:t xml:space="preserve">“</w:t>
      </w:r>
      <w:r>
        <w:t xml:space="preserve">ratha.</w:t>
      </w:r>
      <w:r>
        <w:t xml:space="preserve">”</w:t>
      </w:r>
      <w:r>
        <w:t xml:space="preserve"> </w:t>
      </w:r>
      <w:r>
        <w:rPr>
          <w:bCs/>
          <w:b/>
        </w:rPr>
        <w:t xml:space="preserve">शोणा (śoṇā)</w:t>
      </w:r>
      <w:r>
        <w:t xml:space="preserve"> </w:t>
      </w:r>
      <w:r>
        <w:t xml:space="preserve">—</w:t>
      </w:r>
      <w:r>
        <w:t xml:space="preserve"> </w:t>
      </w:r>
      <w:r>
        <w:rPr>
          <w:iCs/>
          <w:i/>
        </w:rPr>
        <w:t xml:space="preserve">(English as printed)</w:t>
      </w:r>
      <w:r>
        <w:t xml:space="preserve"> </w:t>
      </w:r>
      <w:r>
        <w:t xml:space="preserve">“</w:t>
      </w:r>
      <w:r>
        <w:t xml:space="preserve">crimson, bright, bay or chestnut.</w:t>
      </w:r>
      <w:r>
        <w:t xml:space="preserve">”</w:t>
      </w:r>
      <w:r>
        <w:t xml:space="preserve"> </w:t>
      </w:r>
      <w:r>
        <w:rPr>
          <w:bCs/>
          <w:b/>
        </w:rPr>
        <w:t xml:space="preserve">धृष्णू (dhṛṣṇū)</w:t>
      </w:r>
      <w:r>
        <w:t xml:space="preserve"> </w:t>
      </w:r>
      <w:r>
        <w:t xml:space="preserve">— full of enthusiasm;</w:t>
      </w:r>
      <w:r>
        <w:t xml:space="preserve"> </w:t>
      </w:r>
      <w:r>
        <w:rPr>
          <w:iCs/>
          <w:i/>
        </w:rPr>
        <w:t xml:space="preserve">(English)</w:t>
      </w:r>
      <w:r>
        <w:t xml:space="preserve"> </w:t>
      </w:r>
      <w:r>
        <w:t xml:space="preserve">“</w:t>
      </w:r>
      <w:r>
        <w:t xml:space="preserve">fiery, high-spirited.</w:t>
      </w:r>
      <w:r>
        <w:t xml:space="preserve">”</w:t>
      </w:r>
      <w:r>
        <w:t xml:space="preserve"> </w:t>
      </w:r>
      <w:r>
        <w:rPr>
          <w:bCs/>
          <w:b/>
        </w:rPr>
        <w:t xml:space="preserve">नृवाहसा (nṛvāhasā)</w:t>
      </w:r>
      <w:r>
        <w:t xml:space="preserve"> </w:t>
      </w:r>
      <w:r>
        <w:t xml:space="preserve">— those who have the capacity to carry (or to draw) men. The words</w:t>
      </w:r>
      <w:r>
        <w:t xml:space="preserve"> </w:t>
      </w:r>
      <w:r>
        <w:t xml:space="preserve">“</w:t>
      </w:r>
      <w:r>
        <w:t xml:space="preserve">kāmyā, harī, vipakṣasā, śoṇā, dhṛṣṇū, nṛvāhasā</w:t>
      </w:r>
      <w:r>
        <w:t xml:space="preserve">”</w:t>
      </w:r>
      <w:r>
        <w:t xml:space="preserve"> </w:t>
      </w:r>
      <w:r>
        <w:t xml:space="preserve">are all second-case dual words, and are qualifiers of the word</w:t>
      </w:r>
      <w:r>
        <w:t xml:space="preserve"> </w:t>
      </w:r>
      <w:r>
        <w:t xml:space="preserve">“</w:t>
      </w:r>
      <w:r>
        <w:t xml:space="preserve">harī.</w:t>
      </w:r>
      <w:r>
        <w:t xml:space="preserve">”</w:t>
      </w:r>
    </w:p>
    <w:bookmarkEnd w:id="252"/>
    <w:bookmarkStart w:id="253" w:name="Xe80265a0641f746f7cdc5ab37a2da0655173390"/>
    <w:p>
      <w:pPr>
        <w:pStyle w:val="Heading3"/>
      </w:pPr>
      <w:r>
        <w:t xml:space="preserve">Page 216 — Vyākaraṇa-prakriyā for Rik 6.2 (Kannada) — characterized</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6.</w:t>
      </w:r>
      <w:r>
        <w:rPr>
          <w:iCs/>
          <w:i/>
        </w:rPr>
        <w:t xml:space="preserve">”</w:t>
      </w:r>
      <w:r>
        <w:rPr>
          <w:iCs/>
          <w:i/>
        </w:rPr>
        <w:t xml:space="preserve"> </w:t>
      </w:r>
      <w:r>
        <w:rPr>
          <w:iCs/>
          <w:i/>
        </w:rPr>
        <w:t xml:space="preserve">Pure grammar in Kannada prose, restating the Sanskrit of p. 214;</w:t>
      </w:r>
      <w:r>
        <w:rPr>
          <w:iCs/>
          <w:i/>
        </w:rPr>
        <w:t xml:space="preserve"> </w:t>
      </w:r>
      <w:r>
        <w:rPr>
          <w:bCs/>
          <w:b/>
          <w:iCs/>
          <w:i/>
        </w:rPr>
        <w:t xml:space="preserve">characterized in outline</w:t>
      </w:r>
      <w:r>
        <w:rPr>
          <w:iCs/>
          <w:i/>
        </w:rPr>
        <w:t xml:space="preserve">, re-read from the better scan; sūtras kept.)</w:t>
      </w:r>
    </w:p>
    <w:p>
      <w:pPr>
        <w:pStyle w:val="BodyText"/>
      </w:pPr>
      <w:r>
        <w:rPr>
          <w:bCs/>
          <w:b/>
        </w:rPr>
        <w:t xml:space="preserve">“</w:t>
      </w:r>
      <w:r>
        <w:rPr>
          <w:bCs/>
          <w:b/>
        </w:rPr>
        <w:t xml:space="preserve">Asya</w:t>
      </w:r>
      <w:r>
        <w:rPr>
          <w:bCs/>
          <w:b/>
        </w:rPr>
        <w:t xml:space="preserve">”</w:t>
      </w:r>
      <w:r>
        <w:t xml:space="preserve"> </w:t>
      </w:r>
      <w:r>
        <w:t xml:space="preserve">— as Indra, conveyed in the previous mantra by</w:t>
      </w:r>
      <w:r>
        <w:t xml:space="preserve"> </w:t>
      </w:r>
      <w:r>
        <w:t xml:space="preserve">“</w:t>
      </w:r>
      <w:r>
        <w:t xml:space="preserve">bradhna</w:t>
      </w:r>
      <w:r>
        <w:t xml:space="preserve">”</w:t>
      </w:r>
      <w:r>
        <w:t xml:space="preserve"> </w:t>
      </w:r>
      <w:r>
        <w:t xml:space="preserve">and the rest, is referred back to by</w:t>
      </w:r>
      <w:r>
        <w:t xml:space="preserve"> </w:t>
      </w:r>
      <w:r>
        <w:t xml:space="preserve">“</w:t>
      </w:r>
      <w:r>
        <w:t xml:space="preserve">asya,</w:t>
      </w:r>
      <w:r>
        <w:t xml:space="preserve">”</w:t>
      </w:r>
      <w:r>
        <w:t xml:space="preserve"> </w:t>
      </w:r>
      <w:r>
        <w:t xml:space="preserve">this</w:t>
      </w:r>
      <w:r>
        <w:t xml:space="preserve"> </w:t>
      </w:r>
      <w:r>
        <w:t xml:space="preserve">“</w:t>
      </w:r>
      <w:r>
        <w:t xml:space="preserve">idam</w:t>
      </w:r>
      <w:r>
        <w:t xml:space="preserve">”</w:t>
      </w:r>
      <w:r>
        <w:t xml:space="preserve"> </w:t>
      </w:r>
      <w:r>
        <w:t xml:space="preserve">is in a back-reference (anvādeśa); so</w:t>
      </w:r>
      <w:r>
        <w:t xml:space="preserve"> </w:t>
      </w:r>
      <w:r>
        <w:rPr>
          <w:bCs/>
          <w:b/>
        </w:rPr>
        <w:t xml:space="preserve">इदमोऽन्वादेशेऽशनुदात्तस्तृतीयादौ</w:t>
      </w:r>
      <w:r>
        <w:t xml:space="preserve"> </w:t>
      </w:r>
      <w:r>
        <w:t xml:space="preserve">(पा. २-४-३२) gives the unaccented substitute</w:t>
      </w:r>
      <w:r>
        <w:t xml:space="preserve"> </w:t>
      </w:r>
      <w:r>
        <w:t xml:space="preserve">“</w:t>
      </w:r>
      <w:r>
        <w:t xml:space="preserve">aś</w:t>
      </w:r>
      <w:r>
        <w:t xml:space="preserve">”</w:t>
      </w:r>
      <w:r>
        <w:t xml:space="preserve">; being</w:t>
      </w:r>
      <w:r>
        <w:t xml:space="preserve"> </w:t>
      </w:r>
      <w:r>
        <w:t xml:space="preserve">“</w:t>
      </w:r>
      <w:r>
        <w:t xml:space="preserve">ś</w:t>
      </w:r>
      <w:r>
        <w:t xml:space="preserve">”</w:t>
      </w:r>
      <w:r>
        <w:t xml:space="preserve">-marked, by</w:t>
      </w:r>
      <w:r>
        <w:t xml:space="preserve"> </w:t>
      </w:r>
      <w:r>
        <w:rPr>
          <w:bCs/>
          <w:b/>
        </w:rPr>
        <w:t xml:space="preserve">अनेकाल्शित्सर्वस्य</w:t>
      </w:r>
      <w:r>
        <w:t xml:space="preserve"> </w:t>
      </w:r>
      <w:r>
        <w:t xml:space="preserve">(पा. १-१-५५) it replaces the whole of</w:t>
      </w:r>
      <w:r>
        <w:t xml:space="preserve"> </w:t>
      </w:r>
      <w:r>
        <w:t xml:space="preserve">“</w:t>
      </w:r>
      <w:r>
        <w:t xml:space="preserve">idam</w:t>
      </w:r>
      <w:r>
        <w:t xml:space="preserve">”</w:t>
      </w:r>
      <w:r>
        <w:t xml:space="preserve">; the case-ending is unaccented too, so</w:t>
      </w:r>
      <w:r>
        <w:t xml:space="preserve"> </w:t>
      </w:r>
      <w:r>
        <w:t xml:space="preserve">“</w:t>
      </w:r>
      <w:r>
        <w:t xml:space="preserve">asya</w:t>
      </w:r>
      <w:r>
        <w:t xml:space="preserve">”</w:t>
      </w:r>
      <w:r>
        <w:t xml:space="preserve"> </w:t>
      </w:r>
      <w:r>
        <w:t xml:space="preserve">is wholly unaccented.</w:t>
      </w:r>
      <w:r>
        <w:t xml:space="preserve"> </w:t>
      </w:r>
      <w:r>
        <w:rPr>
          <w:bCs/>
          <w:b/>
        </w:rPr>
        <w:t xml:space="preserve">“</w:t>
      </w:r>
      <w:r>
        <w:rPr>
          <w:bCs/>
          <w:b/>
        </w:rPr>
        <w:t xml:space="preserve">Kāmyā</w:t>
      </w:r>
      <w:r>
        <w:rPr>
          <w:bCs/>
          <w:b/>
        </w:rPr>
        <w:t xml:space="preserve">”</w:t>
      </w:r>
      <w:r>
        <w:t xml:space="preserve"> </w:t>
      </w:r>
      <w:r>
        <w:t xml:space="preserve">—</w:t>
      </w:r>
      <w:r>
        <w:t xml:space="preserve"> </w:t>
      </w:r>
      <w:r>
        <w:t xml:space="preserve">“</w:t>
      </w:r>
      <w:r>
        <w:t xml:space="preserve">kamu kāntau</w:t>
      </w:r>
      <w:r>
        <w:t xml:space="preserve">”</w:t>
      </w:r>
      <w:r>
        <w:t xml:space="preserve">:</w:t>
      </w:r>
      <w:r>
        <w:t xml:space="preserve"> </w:t>
      </w:r>
      <w:r>
        <w:rPr>
          <w:bCs/>
          <w:b/>
        </w:rPr>
        <w:t xml:space="preserve">कमेर्णिङ्</w:t>
      </w:r>
      <w:r>
        <w:t xml:space="preserve"> </w:t>
      </w:r>
      <w:r>
        <w:t xml:space="preserve">(पा. ३-१-३०);</w:t>
      </w:r>
      <w:r>
        <w:t xml:space="preserve"> </w:t>
      </w:r>
      <w:r>
        <w:rPr>
          <w:bCs/>
          <w:b/>
        </w:rPr>
        <w:t xml:space="preserve">अत उपधायाः</w:t>
      </w:r>
      <w:r>
        <w:t xml:space="preserve"> </w:t>
      </w:r>
      <w:r>
        <w:t xml:space="preserve">(पा. ७-२-११६) →</w:t>
      </w:r>
      <w:r>
        <w:t xml:space="preserve"> </w:t>
      </w:r>
      <w:r>
        <w:t xml:space="preserve">“</w:t>
      </w:r>
      <w:r>
        <w:t xml:space="preserve">kāmi</w:t>
      </w:r>
      <w:r>
        <w:t xml:space="preserve">”</w:t>
      </w:r>
      <w:r>
        <w:t xml:space="preserve">;</w:t>
      </w:r>
      <w:r>
        <w:t xml:space="preserve"> </w:t>
      </w:r>
      <w:r>
        <w:rPr>
          <w:bCs/>
          <w:b/>
        </w:rPr>
        <w:t xml:space="preserve">सनाद्यन्ता धातवः</w:t>
      </w:r>
      <w:r>
        <w:t xml:space="preserve"> </w:t>
      </w:r>
      <w:r>
        <w:t xml:space="preserve">(पा. ३-१-३२);</w:t>
      </w:r>
      <w:r>
        <w:t xml:space="preserve"> </w:t>
      </w:r>
      <w:r>
        <w:rPr>
          <w:bCs/>
          <w:b/>
        </w:rPr>
        <w:t xml:space="preserve">अचो यत्</w:t>
      </w:r>
      <w:r>
        <w:t xml:space="preserve"> </w:t>
      </w:r>
      <w:r>
        <w:t xml:space="preserve">(पा. ३-१-९७);</w:t>
      </w:r>
      <w:r>
        <w:t xml:space="preserve"> </w:t>
      </w:r>
      <w:r>
        <w:rPr>
          <w:bCs/>
          <w:b/>
        </w:rPr>
        <w:t xml:space="preserve">णेरनिटि</w:t>
      </w:r>
      <w:r>
        <w:t xml:space="preserve"> </w:t>
      </w:r>
      <w:r>
        <w:t xml:space="preserve">(पा. ६-४-५१) →</w:t>
      </w:r>
      <w:r>
        <w:t xml:space="preserve"> </w:t>
      </w:r>
      <w:r>
        <w:t xml:space="preserve">“</w:t>
      </w:r>
      <w:r>
        <w:t xml:space="preserve">kāmya</w:t>
      </w:r>
      <w:r>
        <w:t xml:space="preserve">”</w:t>
      </w:r>
      <w:r>
        <w:t xml:space="preserve">; the svarita of</w:t>
      </w:r>
      <w:r>
        <w:t xml:space="preserve"> </w:t>
      </w:r>
      <w:r>
        <w:rPr>
          <w:bCs/>
          <w:b/>
        </w:rPr>
        <w:t xml:space="preserve">तित्स्वरितम्</w:t>
      </w:r>
      <w:r>
        <w:t xml:space="preserve"> </w:t>
      </w:r>
      <w:r>
        <w:t xml:space="preserve">(पा. ६-१-१८५) is set aside by</w:t>
      </w:r>
      <w:r>
        <w:t xml:space="preserve"> </w:t>
      </w:r>
      <w:r>
        <w:rPr>
          <w:bCs/>
          <w:b/>
        </w:rPr>
        <w:t xml:space="preserve">यतोऽनावः</w:t>
      </w:r>
      <w:r>
        <w:t xml:space="preserve"> </w:t>
      </w:r>
      <w:r>
        <w:t xml:space="preserve">(पा. ६-१-२१३), first-syllable acute; the second-case dual</w:t>
      </w:r>
      <w:r>
        <w:t xml:space="preserve"> </w:t>
      </w:r>
      <w:r>
        <w:t xml:space="preserve">“</w:t>
      </w:r>
      <w:r>
        <w:t xml:space="preserve">au</w:t>
      </w:r>
      <w:r>
        <w:t xml:space="preserve">”</w:t>
      </w:r>
      <w:r>
        <w:t xml:space="preserve"> </w:t>
      </w:r>
      <w:r>
        <w:t xml:space="preserve">→</w:t>
      </w:r>
      <w:r>
        <w:t xml:space="preserve"> </w:t>
      </w:r>
      <w:r>
        <w:t xml:space="preserve">“</w:t>
      </w:r>
      <w:r>
        <w:t xml:space="preserve">ḍā</w:t>
      </w:r>
      <w:r>
        <w:t xml:space="preserve">”</w:t>
      </w:r>
      <w:r>
        <w:t xml:space="preserve"> </w:t>
      </w:r>
      <w:r>
        <w:t xml:space="preserve">(</w:t>
      </w:r>
      <w:r>
        <w:rPr>
          <w:bCs/>
          <w:b/>
        </w:rPr>
        <w:t xml:space="preserve">सुपां सुलुक्</w:t>
      </w:r>
      <w:r>
        <w:t xml:space="preserve">, पा. ७-१-३९).</w:t>
      </w:r>
      <w:r>
        <w:t xml:space="preserve"> </w:t>
      </w:r>
      <w:r>
        <w:rPr>
          <w:bCs/>
          <w:b/>
        </w:rPr>
        <w:t xml:space="preserve">“</w:t>
      </w:r>
      <w:r>
        <w:rPr>
          <w:bCs/>
          <w:b/>
        </w:rPr>
        <w:t xml:space="preserve">Harī</w:t>
      </w:r>
      <w:r>
        <w:rPr>
          <w:bCs/>
          <w:b/>
        </w:rPr>
        <w:t xml:space="preserve">”</w:t>
      </w:r>
      <w:r>
        <w:t xml:space="preserve"> </w:t>
      </w:r>
      <w:r>
        <w:t xml:space="preserve">—</w:t>
      </w:r>
      <w:r>
        <w:t xml:space="preserve"> </w:t>
      </w:r>
      <w:r>
        <w:t xml:space="preserve">“</w:t>
      </w:r>
      <w:r>
        <w:t xml:space="preserve">harataḥ ratham</w:t>
      </w:r>
      <w:r>
        <w:t xml:space="preserve">”</w:t>
      </w:r>
      <w:r>
        <w:t xml:space="preserve">: the Uṇādi</w:t>
      </w:r>
      <w:r>
        <w:t xml:space="preserve"> </w:t>
      </w:r>
      <w:r>
        <w:rPr>
          <w:bCs/>
          <w:b/>
        </w:rPr>
        <w:t xml:space="preserve">हृपिषि…</w:t>
      </w:r>
      <w:r>
        <w:t xml:space="preserve"> </w:t>
      </w:r>
      <w:r>
        <w:t xml:space="preserve">(उ. सू. ४-५५८ [as printed];</w:t>
      </w:r>
      <w:r>
        <w:t xml:space="preserve"> </w:t>
      </w:r>
      <w:r>
        <w:t xml:space="preserve">“</w:t>
      </w:r>
      <w:r>
        <w:t xml:space="preserve">4-118</w:t>
      </w:r>
      <w:r>
        <w:t xml:space="preserve">”</w:t>
      </w:r>
      <w:r>
        <w:t xml:space="preserve"> </w:t>
      </w:r>
      <w:r>
        <w:t xml:space="preserve">on p. 214) the affix</w:t>
      </w:r>
      <w:r>
        <w:t xml:space="preserve"> </w:t>
      </w:r>
      <w:r>
        <w:t xml:space="preserve">“</w:t>
      </w:r>
      <w:r>
        <w:t xml:space="preserve">in</w:t>
      </w:r>
      <w:r>
        <w:t xml:space="preserve">”</w:t>
      </w:r>
      <w:r>
        <w:t xml:space="preserve">;</w:t>
      </w:r>
      <w:r>
        <w:t xml:space="preserve"> </w:t>
      </w:r>
      <w:r>
        <w:t xml:space="preserve">“</w:t>
      </w:r>
      <w:r>
        <w:t xml:space="preserve">n</w:t>
      </w:r>
      <w:r>
        <w:t xml:space="preserve">”</w:t>
      </w:r>
      <w:r>
        <w:t xml:space="preserve">-marked, first-syllable acute.</w:t>
      </w:r>
      <w:r>
        <w:t xml:space="preserve"> </w:t>
      </w:r>
      <w:r>
        <w:rPr>
          <w:bCs/>
          <w:b/>
        </w:rPr>
        <w:t xml:space="preserve">“</w:t>
      </w:r>
      <w:r>
        <w:rPr>
          <w:bCs/>
          <w:b/>
        </w:rPr>
        <w:t xml:space="preserve">Vipakṣasā</w:t>
      </w:r>
      <w:r>
        <w:rPr>
          <w:bCs/>
          <w:b/>
        </w:rPr>
        <w:t xml:space="preserve">”</w:t>
      </w:r>
      <w:r>
        <w:t xml:space="preserve"> </w:t>
      </w:r>
      <w:r>
        <w:t xml:space="preserve">—</w:t>
      </w:r>
      <w:r>
        <w:t xml:space="preserve"> </w:t>
      </w:r>
      <w:r>
        <w:rPr>
          <w:bCs/>
          <w:b/>
        </w:rPr>
        <w:t xml:space="preserve">पचिवचिभ्यां सुट् च</w:t>
      </w:r>
      <w:r>
        <w:t xml:space="preserve"> </w:t>
      </w:r>
      <w:r>
        <w:t xml:space="preserve">(उ. सू. ८-३-४१ [as printed]): after</w:t>
      </w:r>
      <w:r>
        <w:t xml:space="preserve"> </w:t>
      </w:r>
      <w:r>
        <w:t xml:space="preserve">“</w:t>
      </w:r>
      <w:r>
        <w:t xml:space="preserve">ḍupacaṣ pāke</w:t>
      </w:r>
      <w:r>
        <w:t xml:space="preserve">”</w:t>
      </w:r>
      <w:r>
        <w:t xml:space="preserve"> </w:t>
      </w:r>
      <w:r>
        <w:t xml:space="preserve">and</w:t>
      </w:r>
      <w:r>
        <w:t xml:space="preserve"> </w:t>
      </w:r>
      <w:r>
        <w:t xml:space="preserve">“</w:t>
      </w:r>
      <w:r>
        <w:t xml:space="preserve">vaca paribhāṣaṇe</w:t>
      </w:r>
      <w:r>
        <w:t xml:space="preserve">”</w:t>
      </w:r>
      <w:r>
        <w:t xml:space="preserve"> </w:t>
      </w:r>
      <w:r>
        <w:t xml:space="preserve">“</w:t>
      </w:r>
      <w:r>
        <w:t xml:space="preserve">asun</w:t>
      </w:r>
      <w:r>
        <w:t xml:space="preserve">”</w:t>
      </w:r>
      <w:r>
        <w:t xml:space="preserve"> </w:t>
      </w:r>
      <w:r>
        <w:t xml:space="preserve">with the augment</w:t>
      </w:r>
      <w:r>
        <w:t xml:space="preserve"> </w:t>
      </w:r>
      <w:r>
        <w:t xml:space="preserve">“</w:t>
      </w:r>
      <w:r>
        <w:t xml:space="preserve">suṭ</w:t>
      </w:r>
      <w:r>
        <w:t xml:space="preserve">”</w:t>
      </w:r>
      <w:r>
        <w:t xml:space="preserve">;</w:t>
      </w:r>
      <w:r>
        <w:t xml:space="preserve"> </w:t>
      </w:r>
      <w:r>
        <w:t xml:space="preserve">“</w:t>
      </w:r>
      <w:r>
        <w:t xml:space="preserve">pac + s + as</w:t>
      </w:r>
      <w:r>
        <w:t xml:space="preserve">”</w:t>
      </w:r>
      <w:r>
        <w:t xml:space="preserve"> </w:t>
      </w:r>
      <w:r>
        <w:t xml:space="preserve">→</w:t>
      </w:r>
      <w:r>
        <w:t xml:space="preserve"> </w:t>
      </w:r>
      <w:r>
        <w:rPr>
          <w:bCs/>
          <w:b/>
        </w:rPr>
        <w:t xml:space="preserve">चोः कुः</w:t>
      </w:r>
      <w:r>
        <w:t xml:space="preserve"> </w:t>
      </w:r>
      <w:r>
        <w:t xml:space="preserve">(पा. ८-२-३०)</w:t>
      </w:r>
      <w:r>
        <w:t xml:space="preserve"> </w:t>
      </w:r>
      <w:r>
        <w:t xml:space="preserve">“</w:t>
      </w:r>
      <w:r>
        <w:t xml:space="preserve">k</w:t>
      </w:r>
      <w:r>
        <w:t xml:space="preserve">”</w:t>
      </w:r>
      <w:r>
        <w:t xml:space="preserve">;</w:t>
      </w:r>
      <w:r>
        <w:t xml:space="preserve"> </w:t>
      </w:r>
      <w:r>
        <w:rPr>
          <w:bCs/>
          <w:b/>
        </w:rPr>
        <w:t xml:space="preserve">आदेशप्रत्यययोः</w:t>
      </w:r>
      <w:r>
        <w:t xml:space="preserve"> </w:t>
      </w:r>
      <w:r>
        <w:t xml:space="preserve">(पा. ८-३-५९)</w:t>
      </w:r>
      <w:r>
        <w:t xml:space="preserve"> </w:t>
      </w:r>
      <w:r>
        <w:t xml:space="preserve">“</w:t>
      </w:r>
      <w:r>
        <w:t xml:space="preserve">ṣ</w:t>
      </w:r>
      <w:r>
        <w:t xml:space="preserve">”</w:t>
      </w:r>
      <w:r>
        <w:t xml:space="preserve"> </w:t>
      </w:r>
      <w:r>
        <w:t xml:space="preserve">→</w:t>
      </w:r>
      <w:r>
        <w:t xml:space="preserve"> </w:t>
      </w:r>
      <w:r>
        <w:t xml:space="preserve">“</w:t>
      </w:r>
      <w:r>
        <w:t xml:space="preserve">pakṣas</w:t>
      </w:r>
      <w:r>
        <w:t xml:space="preserve">”</w:t>
      </w:r>
      <w:r>
        <w:t xml:space="preserve">;</w:t>
      </w:r>
      <w:r>
        <w:t xml:space="preserve"> </w:t>
      </w:r>
      <w:r>
        <w:t xml:space="preserve">“</w:t>
      </w:r>
      <w:r>
        <w:t xml:space="preserve">vibhinne pakṣasī pārśve yayoḥ tau vipakṣasau</w:t>
      </w:r>
      <w:r>
        <w:t xml:space="preserve">”</w:t>
      </w:r>
      <w:r>
        <w:t xml:space="preserve"> </w:t>
      </w:r>
      <w:r>
        <w:t xml:space="preserve">— a bahuvrīhi;</w:t>
      </w:r>
      <w:r>
        <w:t xml:space="preserve"> </w:t>
      </w:r>
      <w:r>
        <w:t xml:space="preserve">“</w:t>
      </w:r>
      <w:r>
        <w:t xml:space="preserve">vi</w:t>
      </w:r>
      <w:r>
        <w:t xml:space="preserve">”</w:t>
      </w:r>
      <w:r>
        <w:t xml:space="preserve"> </w:t>
      </w:r>
      <w:r>
        <w:t xml:space="preserve">a particle, first-syllable acute;</w:t>
      </w:r>
      <w:r>
        <w:t xml:space="preserve"> </w:t>
      </w:r>
      <w:r>
        <w:rPr>
          <w:bCs/>
          <w:b/>
        </w:rPr>
        <w:t xml:space="preserve">बहुव्रीहौ प्रकृत्या पूर्वपदम्</w:t>
      </w:r>
      <w:r>
        <w:t xml:space="preserve"> </w:t>
      </w:r>
      <w:r>
        <w:t xml:space="preserve">(पा. ६-२-१) retains it; the dual →</w:t>
      </w:r>
      <w:r>
        <w:t xml:space="preserve"> </w:t>
      </w:r>
      <w:r>
        <w:t xml:space="preserve">“</w:t>
      </w:r>
      <w:r>
        <w:t xml:space="preserve">ḍā</w:t>
      </w:r>
      <w:r>
        <w:t xml:space="preserve">”</w:t>
      </w:r>
      <w:r>
        <w:t xml:space="preserve"> </w:t>
      </w:r>
      <w:r>
        <w:t xml:space="preserve">(पा. ७-१-३९).</w:t>
      </w:r>
      <w:r>
        <w:t xml:space="preserve"> </w:t>
      </w:r>
      <w:r>
        <w:rPr>
          <w:bCs/>
          <w:b/>
        </w:rPr>
        <w:t xml:space="preserve">“</w:t>
      </w:r>
      <w:r>
        <w:rPr>
          <w:bCs/>
          <w:b/>
        </w:rPr>
        <w:t xml:space="preserve">Rathe</w:t>
      </w:r>
      <w:r>
        <w:rPr>
          <w:bCs/>
          <w:b/>
        </w:rPr>
        <w:t xml:space="preserve">”</w:t>
      </w:r>
      <w:r>
        <w:t xml:space="preserve"> </w:t>
      </w:r>
      <w:r>
        <w:t xml:space="preserve">—</w:t>
      </w:r>
      <w:r>
        <w:t xml:space="preserve"> </w:t>
      </w:r>
      <w:r>
        <w:t xml:space="preserve">“</w:t>
      </w:r>
      <w:r>
        <w:t xml:space="preserve">ramante ’sminn iti rathaḥ</w:t>
      </w:r>
      <w:r>
        <w:t xml:space="preserve">”</w:t>
      </w:r>
      <w:r>
        <w:t xml:space="preserve">: the Uṇādi</w:t>
      </w:r>
      <w:r>
        <w:t xml:space="preserve"> </w:t>
      </w:r>
      <w:r>
        <w:rPr>
          <w:bCs/>
          <w:b/>
        </w:rPr>
        <w:t xml:space="preserve">हनिकुषिनीरमिकाशिभ्यः क्थन्</w:t>
      </w:r>
      <w:r>
        <w:t xml:space="preserve"> </w:t>
      </w:r>
      <w:r>
        <w:t xml:space="preserve">(उ. सू. २-१४९ [as printed];</w:t>
      </w:r>
      <w:r>
        <w:t xml:space="preserve"> </w:t>
      </w:r>
      <w:r>
        <w:t xml:space="preserve">“</w:t>
      </w:r>
      <w:r>
        <w:t xml:space="preserve">2-2</w:t>
      </w:r>
      <w:r>
        <w:t xml:space="preserve">”</w:t>
      </w:r>
      <w:r>
        <w:t xml:space="preserve"> </w:t>
      </w:r>
      <w:r>
        <w:t xml:space="preserve">on p. 214);</w:t>
      </w:r>
      <w:r>
        <w:t xml:space="preserve"> </w:t>
      </w:r>
      <w:r>
        <w:t xml:space="preserve">“</w:t>
      </w:r>
      <w:r>
        <w:t xml:space="preserve">k</w:t>
      </w:r>
      <w:r>
        <w:t xml:space="preserve">”</w:t>
      </w:r>
      <w:r>
        <w:t xml:space="preserve">-marked, so</w:t>
      </w:r>
      <w:r>
        <w:t xml:space="preserve"> </w:t>
      </w:r>
      <w:r>
        <w:rPr>
          <w:bCs/>
          <w:b/>
        </w:rPr>
        <w:t xml:space="preserve">अनुदात्तोपदेश…</w:t>
      </w:r>
      <w:r>
        <w:t xml:space="preserve"> </w:t>
      </w:r>
      <w:r>
        <w:t xml:space="preserve">(पा. ६-४-३७) elides the</w:t>
      </w:r>
      <w:r>
        <w:t xml:space="preserve"> </w:t>
      </w:r>
      <w:r>
        <w:t xml:space="preserve">“</w:t>
      </w:r>
      <w:r>
        <w:t xml:space="preserve">m</w:t>
      </w:r>
      <w:r>
        <w:t xml:space="preserve">”</w:t>
      </w:r>
      <w:r>
        <w:t xml:space="preserve">;</w:t>
      </w:r>
      <w:r>
        <w:t xml:space="preserve"> </w:t>
      </w:r>
      <w:r>
        <w:t xml:space="preserve">“</w:t>
      </w:r>
      <w:r>
        <w:t xml:space="preserve">n</w:t>
      </w:r>
      <w:r>
        <w:t xml:space="preserve">”</w:t>
      </w:r>
      <w:r>
        <w:t xml:space="preserve">-marked, first-syllable acute.</w:t>
      </w:r>
    </w:p>
    <w:bookmarkEnd w:id="253"/>
    <w:bookmarkStart w:id="254" w:name="X62d850e99e808fbbab921fb99f40ed7edee6171"/>
    <w:p>
      <w:pPr>
        <w:pStyle w:val="Heading3"/>
      </w:pPr>
      <w:r>
        <w:t xml:space="preserve">Page 217 — Rik 6.2 grammar concluded; Sūkta 6, Third Mantra: Saṃhitā, Pada, Sāyaṇa-bhāṣya (opening)</w:t>
      </w:r>
    </w:p>
    <w:p>
      <w:pPr>
        <w:pStyle w:val="FirstParagraph"/>
      </w:pPr>
      <w:r>
        <w:rPr>
          <w:iCs/>
          <w:i/>
        </w:rPr>
        <w:t xml:space="preserve">(Page header:</w:t>
      </w:r>
      <w:r>
        <w:rPr>
          <w:iCs/>
          <w:i/>
        </w:rPr>
        <w:t xml:space="preserve"> </w:t>
      </w:r>
      <w:r>
        <w:rPr>
          <w:iCs/>
          <w:i/>
        </w:rPr>
        <w:t xml:space="preserve">“</w:t>
      </w:r>
      <w:r>
        <w:rPr>
          <w:iCs/>
          <w:i/>
        </w:rPr>
        <w:t xml:space="preserve">Aṣṭaka 1, Adhyāya 1, Varga 11 · Ṛgveda-saṃhitā.</w:t>
      </w:r>
      <w:r>
        <w:rPr>
          <w:iCs/>
          <w:i/>
        </w:rPr>
        <w:t xml:space="preserve">”</w:t>
      </w:r>
      <w:r>
        <w:rPr>
          <w:iCs/>
          <w:i/>
        </w:rPr>
        <w:t xml:space="preserve"> </w:t>
      </w:r>
      <w:r>
        <w:rPr>
          <w:iCs/>
          <w:i/>
        </w:rPr>
        <w:t xml:space="preserve">Saṃhitā accents as printed; Pada unaccented. Sanskrit printed in Kannada script. Grammar characterized, sūtras kept.)</w:t>
      </w:r>
    </w:p>
    <w:p>
      <w:pPr>
        <w:pStyle w:val="BodyText"/>
      </w:pPr>
      <w:r>
        <w:rPr>
          <w:bCs/>
          <w:b/>
        </w:rPr>
        <w:t xml:space="preserve">“</w:t>
      </w:r>
      <w:r>
        <w:rPr>
          <w:bCs/>
          <w:b/>
        </w:rPr>
        <w:t xml:space="preserve">Śoṇā</w:t>
      </w:r>
      <w:r>
        <w:rPr>
          <w:bCs/>
          <w:b/>
        </w:rPr>
        <w:t xml:space="preserve">”</w:t>
      </w:r>
      <w:r>
        <w:t xml:space="preserve"> </w:t>
      </w:r>
      <w:r>
        <w:rPr>
          <w:iCs/>
          <w:i/>
        </w:rPr>
        <w:t xml:space="preserve">(concluding the grammar of Rik 6.2)</w:t>
      </w:r>
      <w:r>
        <w:t xml:space="preserve"> </w:t>
      </w:r>
      <w:r>
        <w:t xml:space="preserve">—</w:t>
      </w:r>
      <w:r>
        <w:t xml:space="preserve"> </w:t>
      </w:r>
      <w:r>
        <w:t xml:space="preserve">“</w:t>
      </w:r>
      <w:r>
        <w:t xml:space="preserve">śoṇṛ varṇa-gatyoḥ</w:t>
      </w:r>
      <w:r>
        <w:t xml:space="preserve">”</w:t>
      </w:r>
      <w:r>
        <w:t xml:space="preserve"> </w:t>
      </w:r>
      <w:r>
        <w:t xml:space="preserve">(colour, going); the affix</w:t>
      </w:r>
      <w:r>
        <w:t xml:space="preserve"> </w:t>
      </w:r>
      <w:r>
        <w:t xml:space="preserve">“</w:t>
      </w:r>
      <w:r>
        <w:t xml:space="preserve">ghañ</w:t>
      </w:r>
      <w:r>
        <w:t xml:space="preserve">”</w:t>
      </w:r>
      <w:r>
        <w:t xml:space="preserve"> </w:t>
      </w:r>
      <w:r>
        <w:t xml:space="preserve">in the instrument sense (the horses are the means of going);</w:t>
      </w:r>
      <w:r>
        <w:t xml:space="preserve"> </w:t>
      </w:r>
      <w:r>
        <w:t xml:space="preserve">“</w:t>
      </w:r>
      <w:r>
        <w:t xml:space="preserve">ñit,</w:t>
      </w:r>
      <w:r>
        <w:t xml:space="preserve">”</w:t>
      </w:r>
      <w:r>
        <w:t xml:space="preserve"> </w:t>
      </w:r>
      <w:r>
        <w:t xml:space="preserve">so first-syllable acute; the dual</w:t>
      </w:r>
      <w:r>
        <w:t xml:space="preserve"> </w:t>
      </w:r>
      <w:r>
        <w:t xml:space="preserve">“</w:t>
      </w:r>
      <w:r>
        <w:t xml:space="preserve">au</w:t>
      </w:r>
      <w:r>
        <w:t xml:space="preserve">”</w:t>
      </w:r>
      <w:r>
        <w:t xml:space="preserve"> </w:t>
      </w:r>
      <w:r>
        <w:t xml:space="preserve">is replaced by</w:t>
      </w:r>
      <w:r>
        <w:t xml:space="preserve"> </w:t>
      </w:r>
      <w:r>
        <w:t xml:space="preserve">“</w:t>
      </w:r>
      <w:r>
        <w:t xml:space="preserve">ā</w:t>
      </w:r>
      <w:r>
        <w:t xml:space="preserve">”</w:t>
      </w:r>
      <w:r>
        <w:t xml:space="preserve"> </w:t>
      </w:r>
      <w:r>
        <w:t xml:space="preserve">(</w:t>
      </w:r>
      <w:r>
        <w:rPr>
          <w:bCs/>
          <w:b/>
        </w:rPr>
        <w:t xml:space="preserve">सुपां सुलुक्…</w:t>
      </w:r>
      <w:r>
        <w:t xml:space="preserve">, पा. ७-१-३९).</w:t>
      </w:r>
      <w:r>
        <w:t xml:space="preserve"> </w:t>
      </w:r>
      <w:r>
        <w:rPr>
          <w:bCs/>
          <w:b/>
        </w:rPr>
        <w:t xml:space="preserve">“</w:t>
      </w:r>
      <w:r>
        <w:rPr>
          <w:bCs/>
          <w:b/>
        </w:rPr>
        <w:t xml:space="preserve">Dhṛṣṇū</w:t>
      </w:r>
      <w:r>
        <w:rPr>
          <w:bCs/>
          <w:b/>
        </w:rPr>
        <w:t xml:space="preserve">”</w:t>
      </w:r>
      <w:r>
        <w:t xml:space="preserve"> </w:t>
      </w:r>
      <w:r>
        <w:t xml:space="preserve">—</w:t>
      </w:r>
      <w:r>
        <w:t xml:space="preserve"> </w:t>
      </w:r>
      <w:r>
        <w:t xml:space="preserve">“</w:t>
      </w:r>
      <w:r>
        <w:t xml:space="preserve">ñidhṛṣā prāgalbhye</w:t>
      </w:r>
      <w:r>
        <w:t xml:space="preserve">”</w:t>
      </w:r>
      <w:r>
        <w:t xml:space="preserve"> </w:t>
      </w:r>
      <w:r>
        <w:t xml:space="preserve">(to be bold) — the affix</w:t>
      </w:r>
      <w:r>
        <w:t xml:space="preserve"> </w:t>
      </w:r>
      <w:r>
        <w:t xml:space="preserve">“</w:t>
      </w:r>
      <w:r>
        <w:t xml:space="preserve">knu</w:t>
      </w:r>
      <w:r>
        <w:t xml:space="preserve">”</w:t>
      </w:r>
      <w:r>
        <w:t xml:space="preserve"> </w:t>
      </w:r>
      <w:r>
        <w:t xml:space="preserve">(</w:t>
      </w:r>
      <w:r>
        <w:rPr>
          <w:bCs/>
          <w:b/>
        </w:rPr>
        <w:t xml:space="preserve">त्रसिगृधिधृषिक्षिपेः क्नुः</w:t>
      </w:r>
      <w:r>
        <w:t xml:space="preserve">, पा. ३-२-१४०);</w:t>
      </w:r>
      <w:r>
        <w:t xml:space="preserve"> </w:t>
      </w:r>
      <w:r>
        <w:t xml:space="preserve">“</w:t>
      </w:r>
      <w:r>
        <w:t xml:space="preserve">kit,</w:t>
      </w:r>
      <w:r>
        <w:t xml:space="preserve">”</w:t>
      </w:r>
      <w:r>
        <w:t xml:space="preserve"> </w:t>
      </w:r>
      <w:r>
        <w:t xml:space="preserve">so no guṇa for the light penultimate (</w:t>
      </w:r>
      <w:r>
        <w:rPr>
          <w:bCs/>
          <w:b/>
        </w:rPr>
        <w:t xml:space="preserve">क्ङिति च</w:t>
      </w:r>
      <w:r>
        <w:t xml:space="preserve">, पा. १-१-५); the affix’s accent.</w:t>
      </w:r>
      <w:r>
        <w:t xml:space="preserve"> </w:t>
      </w:r>
      <w:r>
        <w:rPr>
          <w:bCs/>
          <w:b/>
        </w:rPr>
        <w:t xml:space="preserve">“</w:t>
      </w:r>
      <w:r>
        <w:rPr>
          <w:bCs/>
          <w:b/>
        </w:rPr>
        <w:t xml:space="preserve">Nṛvāhasā</w:t>
      </w:r>
      <w:r>
        <w:rPr>
          <w:bCs/>
          <w:b/>
        </w:rPr>
        <w:t xml:space="preserve">”</w:t>
      </w:r>
      <w:r>
        <w:t xml:space="preserve"> </w:t>
      </w:r>
      <w:r>
        <w:t xml:space="preserve">—</w:t>
      </w:r>
      <w:r>
        <w:t xml:space="preserve"> </w:t>
      </w:r>
      <w:r>
        <w:t xml:space="preserve">“</w:t>
      </w:r>
      <w:r>
        <w:t xml:space="preserve">nṝn vahataḥ</w:t>
      </w:r>
      <w:r>
        <w:t xml:space="preserve">”</w:t>
      </w:r>
      <w:r>
        <w:t xml:space="preserve"> </w:t>
      </w:r>
      <w:r>
        <w:t xml:space="preserve">— an etymological analysis (</w:t>
      </w:r>
      <w:r>
        <w:t xml:space="preserve">“</w:t>
      </w:r>
      <w:r>
        <w:t xml:space="preserve">those who carry men</w:t>
      </w:r>
      <w:r>
        <w:t xml:space="preserve">”</w:t>
      </w:r>
      <w:r>
        <w:t xml:space="preserve">); the Uṇādi</w:t>
      </w:r>
      <w:r>
        <w:t xml:space="preserve"> </w:t>
      </w:r>
      <w:r>
        <w:rPr>
          <w:bCs/>
          <w:b/>
        </w:rPr>
        <w:t xml:space="preserve">वहिहाधाञ्भ्यश्छन्दसि</w:t>
      </w:r>
      <w:r>
        <w:t xml:space="preserve"> </w:t>
      </w:r>
      <w:r>
        <w:t xml:space="preserve">(उ. सू. ४-६६० [as printed])</w:t>
      </w:r>
      <w:r>
        <w:t xml:space="preserve"> </w:t>
      </w:r>
      <w:r>
        <w:t xml:space="preserve">“</w:t>
      </w:r>
      <w:r>
        <w:t xml:space="preserve">asun</w:t>
      </w:r>
      <w:r>
        <w:t xml:space="preserve">”</w:t>
      </w:r>
      <w:r>
        <w:t xml:space="preserve"> </w:t>
      </w:r>
      <w:r>
        <w:t xml:space="preserve">after these roots in the Veda;</w:t>
      </w:r>
      <w:r>
        <w:t xml:space="preserve"> </w:t>
      </w:r>
      <w:r>
        <w:t xml:space="preserve">“</w:t>
      </w:r>
      <w:r>
        <w:t xml:space="preserve">ṇit</w:t>
      </w:r>
      <w:r>
        <w:t xml:space="preserve">”</w:t>
      </w:r>
      <w:r>
        <w:t xml:space="preserve"> </w:t>
      </w:r>
      <w:r>
        <w:t xml:space="preserve">by continuation (</w:t>
      </w:r>
      <w:r>
        <w:rPr>
          <w:bCs/>
          <w:b/>
        </w:rPr>
        <w:t xml:space="preserve">णिदित्यनुवृत्तेः</w:t>
      </w:r>
      <w:r>
        <w:t xml:space="preserve">), vṛddhi of</w:t>
      </w:r>
      <w:r>
        <w:t xml:space="preserve"> </w:t>
      </w:r>
      <w:r>
        <w:t xml:space="preserve">“</w:t>
      </w:r>
      <w:r>
        <w:t xml:space="preserve">vah</w:t>
      </w:r>
      <w:r>
        <w:t xml:space="preserve">”</w:t>
      </w:r>
      <w:r>
        <w:t xml:space="preserve"> </w:t>
      </w:r>
      <w:r>
        <w:t xml:space="preserve">→</w:t>
      </w:r>
      <w:r>
        <w:t xml:space="preserve"> </w:t>
      </w:r>
      <w:r>
        <w:t xml:space="preserve">“</w:t>
      </w:r>
      <w:r>
        <w:t xml:space="preserve">vāh-as</w:t>
      </w:r>
      <w:r>
        <w:t xml:space="preserve">”</w:t>
      </w:r>
      <w:r>
        <w:t xml:space="preserve"> </w:t>
      </w:r>
      <w:r>
        <w:t xml:space="preserve">(</w:t>
      </w:r>
      <w:r>
        <w:rPr>
          <w:bCs/>
          <w:b/>
        </w:rPr>
        <w:t xml:space="preserve">अत उपधायाः</w:t>
      </w:r>
      <w:r>
        <w:t xml:space="preserve">, पा. ७-२-११६); the dual</w:t>
      </w:r>
      <w:r>
        <w:t xml:space="preserve"> </w:t>
      </w:r>
      <w:r>
        <w:t xml:space="preserve">“</w:t>
      </w:r>
      <w:r>
        <w:t xml:space="preserve">ā</w:t>
      </w:r>
      <w:r>
        <w:t xml:space="preserve">”</w:t>
      </w:r>
      <w:r>
        <w:t xml:space="preserve"> </w:t>
      </w:r>
      <w:r>
        <w:t xml:space="preserve">(</w:t>
      </w:r>
      <w:r>
        <w:rPr>
          <w:bCs/>
          <w:b/>
        </w:rPr>
        <w:t xml:space="preserve">सुपां सुलुक्</w:t>
      </w:r>
      <w:r>
        <w:t xml:space="preserve">); the whole is first-syllable acute as</w:t>
      </w:r>
      <w:r>
        <w:t xml:space="preserve"> </w:t>
      </w:r>
      <w:r>
        <w:t xml:space="preserve">“</w:t>
      </w:r>
      <w:r>
        <w:t xml:space="preserve">n</w:t>
      </w:r>
      <w:r>
        <w:t xml:space="preserve">”</w:t>
      </w:r>
      <w:r>
        <w:t xml:space="preserve">-marked;</w:t>
      </w:r>
      <w:r>
        <w:t xml:space="preserve"> </w:t>
      </w:r>
      <w:r>
        <w:rPr>
          <w:bCs/>
          <w:b/>
        </w:rPr>
        <w:t xml:space="preserve">गतिकारकोपपदात्कृत्</w:t>
      </w:r>
      <w:r>
        <w:t xml:space="preserve"> </w:t>
      </w:r>
      <w:r>
        <w:t xml:space="preserve">(पा. ६-२-१३९; printed</w:t>
      </w:r>
      <w:r>
        <w:t xml:space="preserve"> </w:t>
      </w:r>
      <w:r>
        <w:t xml:space="preserve">“</w:t>
      </w:r>
      <w:r>
        <w:t xml:space="preserve">6-2-149</w:t>
      </w:r>
      <w:r>
        <w:t xml:space="preserve">”</w:t>
      </w:r>
      <w:r>
        <w:t xml:space="preserve">) — the kṛt-final member’s accent retained, so the first-syllable acute stands. ॥२॥</w:t>
      </w:r>
    </w:p>
    <w:p>
      <w:r>
        <w:pict>
          <v:rect style="width:0;height:1.5pt" o:hralign="center" o:hrstd="t" o:hr="t"/>
        </w:pict>
      </w:r>
    </w:p>
    <w:bookmarkEnd w:id="254"/>
    <w:bookmarkStart w:id="255" w:name="sūkta-6-the-third-mantra"/>
    <w:p>
      <w:pPr>
        <w:pStyle w:val="Heading3"/>
      </w:pPr>
      <w:r>
        <w:t xml:space="preserve">Sūkta 6, The Third Mantra</w:t>
      </w:r>
    </w:p>
    <w:p>
      <w:pPr>
        <w:pStyle w:val="FirstParagraph"/>
      </w:pPr>
      <w:r>
        <w:rPr>
          <w:bCs/>
          <w:b/>
        </w:rPr>
        <w:t xml:space="preserve">॥ Saṃhitā-pāṭhaḥ ॥</w:t>
      </w:r>
    </w:p>
    <w:p>
      <w:pPr>
        <w:pStyle w:val="BlockText"/>
      </w:pPr>
      <w:r>
        <w:t xml:space="preserve">के॒तुं कृण्वन्न॑के॒तवे॒ पेशो॑ मर्या अपे॒शसे॑ ।</w:t>
      </w:r>
      <w:r>
        <w:t xml:space="preserve"> </w:t>
      </w:r>
      <w:r>
        <w:t xml:space="preserve">समु॒षद्भि॑रजायथाः ॥३॥</w:t>
      </w:r>
    </w:p>
    <w:p>
      <w:pPr>
        <w:pStyle w:val="BlockText"/>
      </w:pPr>
      <w:r>
        <w:rPr>
          <w:iCs/>
          <w:i/>
        </w:rPr>
        <w:t xml:space="preserve">ketúṃ kṛṇvánnaketáve péśo maryā apeśáse |</w:t>
      </w:r>
      <w:r>
        <w:t xml:space="preserve"> </w:t>
      </w:r>
      <w:r>
        <w:rPr>
          <w:iCs/>
          <w:i/>
        </w:rPr>
        <w:t xml:space="preserve">samuṣádbhirajāyathāḥ ||3||</w:t>
      </w:r>
    </w:p>
    <w:p>
      <w:pPr>
        <w:pStyle w:val="BlockText"/>
      </w:pPr>
      <w:r>
        <w:rPr>
          <w:iCs/>
          <w:i/>
        </w:rPr>
        <w:t xml:space="preserve">(Accent note: the mark over</w:t>
      </w:r>
      <w:r>
        <w:rPr>
          <w:iCs/>
          <w:i/>
        </w:rPr>
        <w:t xml:space="preserve"> </w:t>
      </w:r>
      <w:r>
        <w:rPr>
          <w:iCs/>
          <w:i/>
        </w:rPr>
        <w:t xml:space="preserve">“</w:t>
      </w:r>
      <w:r>
        <w:rPr>
          <w:iCs/>
          <w:i/>
        </w:rPr>
        <w:t xml:space="preserve">dbhi</w:t>
      </w:r>
      <w:r>
        <w:rPr>
          <w:iCs/>
          <w:i/>
        </w:rPr>
        <w:t xml:space="preserve">”</w:t>
      </w:r>
      <w:r>
        <w:rPr>
          <w:iCs/>
          <w:i/>
        </w:rPr>
        <w:t xml:space="preserve"> </w:t>
      </w:r>
      <w:r>
        <w:rPr>
          <w:iCs/>
          <w:i/>
        </w:rPr>
        <w:t xml:space="preserve">is printed as a</w:t>
      </w:r>
      <w:r>
        <w:rPr>
          <w:iCs/>
          <w:i/>
        </w:rPr>
        <w:t xml:space="preserve"> </w:t>
      </w:r>
      <w:r>
        <w:rPr>
          <w:iCs/>
          <w:i/>
        </w:rPr>
        <w:t xml:space="preserve">“</w:t>
      </w:r>
      <w:r>
        <w:rPr>
          <w:iCs/>
          <w:i/>
        </w:rPr>
        <w:t xml:space="preserve">T</w:t>
      </w:r>
      <w:r>
        <w:rPr>
          <w:iCs/>
          <w:i/>
        </w:rPr>
        <w:t xml:space="preserve">”</w:t>
      </w:r>
      <w:r>
        <w:rPr>
          <w:iCs/>
          <w:i/>
        </w:rPr>
        <w:t xml:space="preserve">-shaped sign, a stroke with a cross-bar; given here as svarita.)</w:t>
      </w:r>
    </w:p>
    <w:p>
      <w:pPr>
        <w:pStyle w:val="FirstParagraph"/>
      </w:pPr>
      <w:r>
        <w:rPr>
          <w:bCs/>
          <w:b/>
        </w:rPr>
        <w:t xml:space="preserve">॥ Pada-pāṭhaḥ ॥</w:t>
      </w:r>
    </w:p>
    <w:p>
      <w:pPr>
        <w:pStyle w:val="BlockText"/>
      </w:pPr>
      <w:r>
        <w:t xml:space="preserve">केतुम् । कृण्वन् । अकेतवे । पेशः । मर्याः । अपेशसे ।</w:t>
      </w:r>
      <w:r>
        <w:t xml:space="preserve"> </w:t>
      </w:r>
      <w:r>
        <w:t xml:space="preserve">सम् । उषत्ऽभिः । अजायथाः ॥३॥</w:t>
      </w:r>
    </w:p>
    <w:p>
      <w:pPr>
        <w:pStyle w:val="FirstParagraph"/>
      </w:pPr>
      <w:r>
        <w:rPr>
          <w:bCs/>
          <w:b/>
        </w:rPr>
        <w:t xml:space="preserve">॥ Sāyaṇa-bhāṣyam ॥</w:t>
      </w:r>
      <w:r>
        <w:t xml:space="preserve"> </w:t>
      </w:r>
      <w:r>
        <w:rPr>
          <w:iCs/>
          <w:i/>
        </w:rPr>
        <w:t xml:space="preserve">(opening, p. 217)</w:t>
      </w:r>
    </w:p>
    <w:p>
      <w:pPr>
        <w:pStyle w:val="BlockText"/>
      </w:pPr>
      <w:r>
        <w:t xml:space="preserve">हे मर्या मनुष्या इदमाश्चर्यं पश्यतेत्यध्याहारः । किमाश्चर्यमिति तदुच्यते । आदित्यरूपोऽयमिन्द्र उषद्भिर्दाहकै रश्मिभिः प्रतिदिनमुषःकाले वा संभूयाजायथाः । उदपद्यत । अथवा सूर्यस्यैवास्तमये मरणमुपचर्य । व्यत्ययेन बहुवचनं कृत्वा संबोधनं क्रियते । हे मर्य प्रतिदिनं त्वमजायथा इति योज्यं किं कुर्वन् । अकेतवे रात्रौ निद्राभिभूतत्वेन प्रज्ञानरहिताय</w:t>
      </w:r>
      <w:r>
        <w:t xml:space="preserve"> </w:t>
      </w:r>
      <w:r>
        <w:rPr>
          <w:iCs/>
          <w:i/>
        </w:rPr>
        <w:t xml:space="preserve">he maryā manuṣyā idamāścaryaṃ paśyatetyadhyāhāraḥ | kimāścaryamiti taducyate | ādityarūpo ’yamindra uṣadbhirdāhakai raśmibhiḥ pratidinamuṣaḥkāle vā saṃbhūyājāyathāḥ | udapadyata | athavā sūryasyaivāstamaye maraṇamupacarya | vyatyayena bahuvacanaṃ kṛtvā saṃbodhanaṃ kriyate | he marya pratidinaṃ tvamajāyathā iti yojyaṃ kiṃ kurvan | aketave rātrau nidrābhibhūtatvena prajñānarahitāya</w:t>
      </w:r>
      <w:r>
        <w:t xml:space="preserve"> </w:t>
      </w:r>
      <w:r>
        <w:rPr>
          <w:iCs/>
          <w:i/>
        </w:rPr>
        <w:t xml:space="preserve">(Reading notes: the page ends at</w:t>
      </w:r>
      <w:r>
        <w:rPr>
          <w:iCs/>
          <w:i/>
        </w:rPr>
        <w:t xml:space="preserve"> </w:t>
      </w:r>
      <w:r>
        <w:rPr>
          <w:iCs/>
          <w:i/>
        </w:rPr>
        <w:t xml:space="preserve">“</w:t>
      </w:r>
      <w:r>
        <w:rPr>
          <w:iCs/>
          <w:i/>
        </w:rPr>
        <w:t xml:space="preserve">prajñāna-rahitāya</w:t>
      </w:r>
      <w:r>
        <w:rPr>
          <w:iCs/>
          <w:i/>
        </w:rPr>
        <w:t xml:space="preserve">”</w:t>
      </w:r>
      <w:r>
        <w:rPr>
          <w:iCs/>
          <w:i/>
        </w:rPr>
        <w:t xml:space="preserve"> </w:t>
      </w:r>
      <w:r>
        <w:rPr>
          <w:iCs/>
          <w:i/>
        </w:rPr>
        <w:t xml:space="preserve">and the sentence continues on the next page;</w:t>
      </w:r>
      <w:r>
        <w:rPr>
          <w:iCs/>
          <w:i/>
        </w:rPr>
        <w:t xml:space="preserve"> </w:t>
      </w:r>
      <w:r>
        <w:rPr>
          <w:iCs/>
          <w:i/>
        </w:rPr>
        <w:t xml:space="preserve">“</w:t>
      </w:r>
      <w:r>
        <w:rPr>
          <w:iCs/>
          <w:i/>
        </w:rPr>
        <w:t xml:space="preserve">maryā</w:t>
      </w:r>
      <w:r>
        <w:rPr>
          <w:iCs/>
          <w:i/>
        </w:rPr>
        <w:t xml:space="preserve">”</w:t>
      </w:r>
      <w:r>
        <w:rPr>
          <w:iCs/>
          <w:i/>
        </w:rPr>
        <w:t xml:space="preserve"> </w:t>
      </w:r>
      <w:r>
        <w:rPr>
          <w:iCs/>
          <w:i/>
        </w:rPr>
        <w:t xml:space="preserve">is the sandhi form of</w:t>
      </w:r>
      <w:r>
        <w:rPr>
          <w:iCs/>
          <w:i/>
        </w:rPr>
        <w:t xml:space="preserve"> </w:t>
      </w:r>
      <w:r>
        <w:rPr>
          <w:iCs/>
          <w:i/>
        </w:rPr>
        <w:t xml:space="preserve">“</w:t>
      </w:r>
      <w:r>
        <w:rPr>
          <w:iCs/>
          <w:i/>
        </w:rPr>
        <w:t xml:space="preserve">maryāḥ</w:t>
      </w:r>
      <w:r>
        <w:rPr>
          <w:iCs/>
          <w:i/>
        </w:rPr>
        <w:t xml:space="preserve">”</w:t>
      </w:r>
      <w:r>
        <w:rPr>
          <w:iCs/>
          <w:i/>
        </w:rPr>
        <w:t xml:space="preserve">; re-read from the better scan (</w:t>
      </w:r>
      <w:r>
        <w:rPr>
          <w:iCs/>
          <w:i/>
        </w:rPr>
        <w:t xml:space="preserve">“</w:t>
      </w:r>
      <w:r>
        <w:rPr>
          <w:iCs/>
          <w:i/>
        </w:rPr>
        <w:t xml:space="preserve">dāhakai raśmibhiḥ,</w:t>
      </w:r>
      <w:r>
        <w:rPr>
          <w:iCs/>
          <w:i/>
        </w:rPr>
        <w:t xml:space="preserve">”</w:t>
      </w:r>
      <w:r>
        <w:rPr>
          <w:iCs/>
          <w:i/>
        </w:rPr>
        <w:t xml:space="preserve"> </w:t>
      </w:r>
      <w:r>
        <w:rPr>
          <w:iCs/>
          <w:i/>
        </w:rPr>
        <w:t xml:space="preserve">“</w:t>
      </w:r>
      <w:r>
        <w:rPr>
          <w:iCs/>
          <w:i/>
        </w:rPr>
        <w:t xml:space="preserve">sambhūyājāyathāḥ</w:t>
      </w:r>
      <w:r>
        <w:rPr>
          <w:iCs/>
          <w:i/>
        </w:rPr>
        <w:t xml:space="preserve">”</w:t>
      </w:r>
      <w:r>
        <w:rPr>
          <w:iCs/>
          <w:i/>
        </w:rPr>
        <w:t xml:space="preserve">).)</w:t>
      </w:r>
    </w:p>
    <w:p>
      <w:pPr>
        <w:pStyle w:val="FirstParagraph"/>
      </w:pPr>
      <w:r>
        <w:rPr>
          <w:bCs/>
          <w:b/>
        </w:rPr>
        <w:t xml:space="preserve">Translation (of the part on this page):</w:t>
      </w:r>
      <w:r>
        <w:t xml:space="preserve"> </w:t>
      </w:r>
      <w:r>
        <w:t xml:space="preserve">“</w:t>
      </w:r>
      <w:r>
        <w:t xml:space="preserve">‘</w:t>
      </w:r>
      <w:r>
        <w:t xml:space="preserve">O</w:t>
      </w:r>
      <w:r>
        <w:t xml:space="preserve"> </w:t>
      </w:r>
      <w:r>
        <w:t xml:space="preserve">“</w:t>
      </w:r>
      <w:r>
        <w:t xml:space="preserve">maryāḥ</w:t>
      </w:r>
      <w:r>
        <w:t xml:space="preserve">”</w:t>
      </w:r>
      <w:r>
        <w:t xml:space="preserve"> </w:t>
      </w:r>
      <w:r>
        <w:t xml:space="preserve">— O men! — behold this wonder</w:t>
      </w:r>
      <w:r>
        <w:t xml:space="preserve">’</w:t>
      </w:r>
      <w:r>
        <w:t xml:space="preserve">: this is the supplied sense. What is the wonder? It is said: this Indra, who is of the form of the Sun, is born every day, becoming one with the burning rays, at dawn — he arises. Or: since the very setting of the Sun is a figurative</w:t>
      </w:r>
      <w:r>
        <w:t xml:space="preserve"> </w:t>
      </w:r>
      <w:r>
        <w:t xml:space="preserve">‘</w:t>
      </w:r>
      <w:r>
        <w:t xml:space="preserve">death,</w:t>
      </w:r>
      <w:r>
        <w:t xml:space="preserve">’</w:t>
      </w:r>
      <w:r>
        <w:t xml:space="preserve"> </w:t>
      </w:r>
      <w:r>
        <w:t xml:space="preserve">the vocative plural is used by a change of number —</w:t>
      </w:r>
      <w:r>
        <w:t xml:space="preserve"> </w:t>
      </w:r>
      <w:r>
        <w:t xml:space="preserve">‘</w:t>
      </w:r>
      <w:r>
        <w:t xml:space="preserve">O mortal! you are born every day</w:t>
      </w:r>
      <w:r>
        <w:t xml:space="preserve">’</w:t>
      </w:r>
      <w:r>
        <w:t xml:space="preserve"> </w:t>
      </w:r>
      <w:r>
        <w:t xml:space="preserve">(the sentence is to be construed so). Doing what?</w:t>
      </w:r>
      <w:r>
        <w:t xml:space="preserve"> </w:t>
      </w:r>
      <w:r>
        <w:t xml:space="preserve">‘</w:t>
      </w:r>
      <w:r>
        <w:t xml:space="preserve">Aketave</w:t>
      </w:r>
      <w:r>
        <w:t xml:space="preserve">’</w:t>
      </w:r>
      <w:r>
        <w:t xml:space="preserve"> </w:t>
      </w:r>
      <w:r>
        <w:t xml:space="preserve">— for the one (in the night) without understanding, overcome by sleep …</w:t>
      </w:r>
      <w:r>
        <w:t xml:space="preserve">”</w:t>
      </w:r>
      <w:r>
        <w:t xml:space="preserve"> </w:t>
      </w:r>
      <w:r>
        <w:rPr>
          <w:iCs/>
          <w:i/>
        </w:rPr>
        <w:t xml:space="preserve">(continues on the next page)</w:t>
      </w:r>
      <w:r>
        <w:t xml:space="preserve">.</w:t>
      </w:r>
    </w:p>
    <w:bookmarkEnd w:id="255"/>
    <w:bookmarkStart w:id="256" w:name="X2325d032e5c1d349b851b382965d9ec0018b625"/>
    <w:p>
      <w:pPr>
        <w:pStyle w:val="Heading3"/>
      </w:pPr>
      <w:r>
        <w:t xml:space="preserve">Page 218 — Rik 6.3: Bhāṣya concluded; grammar (characterized); Pada-meanings; Bhāvārtha (opening)</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6.</w:t>
      </w:r>
      <w:r>
        <w:rPr>
          <w:iCs/>
          <w:i/>
        </w:rPr>
        <w:t xml:space="preserve">”</w:t>
      </w:r>
      <w:r>
        <w:rPr>
          <w:iCs/>
          <w:i/>
        </w:rPr>
        <w:t xml:space="preserve"> </w:t>
      </w:r>
      <w:r>
        <w:rPr>
          <w:iCs/>
          <w:i/>
        </w:rPr>
        <w:t xml:space="preserve">Sanskrit printed in Kannada script, read from enlarged slices; [?] where unclear. References re-read from the better scan.)</w:t>
      </w:r>
    </w:p>
    <w:p>
      <w:pPr>
        <w:pStyle w:val="BodyText"/>
      </w:pPr>
      <w:r>
        <w:rPr>
          <w:bCs/>
          <w:b/>
        </w:rPr>
        <w:t xml:space="preserve">॥ Sāyaṇa-bhāṣyam ॥</w:t>
      </w:r>
      <w:r>
        <w:t xml:space="preserve"> </w:t>
      </w:r>
      <w:r>
        <w:rPr>
          <w:iCs/>
          <w:i/>
        </w:rPr>
        <w:t xml:space="preserve">(concluding)</w:t>
      </w:r>
    </w:p>
    <w:p>
      <w:pPr>
        <w:pStyle w:val="BlockText"/>
      </w:pPr>
      <w:r>
        <w:t xml:space="preserve">प्राणिने केतुं कृण्वन् । प्रातः प्रज्ञानं कुर्वन् । अपेशसे रात्र्यान्धकारावृतत्वेनानभिव्यक्तत्वाद्रूपरहिताय पदार्थाय प्रातरन्धकारनिवारणेन पेशो रूपमभिव्यज्यमानं कुर्वन् । पेश इति रूपनामानि पिंशतेः । नि. ८-११ [as printed] । इति यास्कः । अकेतवेऽपेशस इति चतुर्थी षष्ठ्यर्थे द्रष्टव्या ॥</w:t>
      </w:r>
      <w:r>
        <w:t xml:space="preserve"> </w:t>
      </w:r>
      <w:r>
        <w:rPr>
          <w:iCs/>
          <w:i/>
        </w:rPr>
        <w:t xml:space="preserve">prāṇine ketuṃ kṛṇvan | prātaḥ prajñānaṃ kurvan | apeśase rātry-āndhakārāvṛtatvenānabhivyaktatvād rūpa-rahitāya padārthāya prātar-andhakāra-nivāraṇena peśo rūpam abhivyajyamānaṃ kurvan | peśa iti rūpa-nāmāni piṃśateḥ | ni. 8-11 [as printed] | iti yāskaḥ | aketave ’peśasa iti caturthī ṣaṣṭhy-arthe draṣṭavyā ||</w:t>
      </w:r>
    </w:p>
    <w:p>
      <w:pPr>
        <w:pStyle w:val="FirstParagraph"/>
      </w:pPr>
      <w:r>
        <w:rPr>
          <w:bCs/>
          <w:b/>
        </w:rPr>
        <w:t xml:space="preserve">Translation:</w:t>
      </w:r>
      <w:r>
        <w:t xml:space="preserve"> </w:t>
      </w:r>
      <w:r>
        <w:t xml:space="preserve">“</w:t>
      </w:r>
      <w:r>
        <w:t xml:space="preserve">Giving</w:t>
      </w:r>
      <w:r>
        <w:t xml:space="preserve"> </w:t>
      </w:r>
      <w:r>
        <w:t xml:space="preserve">‘</w:t>
      </w:r>
      <w:r>
        <w:t xml:space="preserve">ketu</w:t>
      </w:r>
      <w:r>
        <w:t xml:space="preserve">’</w:t>
      </w:r>
      <w:r>
        <w:t xml:space="preserve"> </w:t>
      </w:r>
      <w:r>
        <w:t xml:space="preserve">(awareness) to the living being: making knowledge (prajñāna) in the morning;</w:t>
      </w:r>
      <w:r>
        <w:t xml:space="preserve"> </w:t>
      </w:r>
      <w:r>
        <w:t xml:space="preserve">‘</w:t>
      </w:r>
      <w:r>
        <w:t xml:space="preserve">apeśase</w:t>
      </w:r>
      <w:r>
        <w:t xml:space="preserve">’</w:t>
      </w:r>
      <w:r>
        <w:t xml:space="preserve"> </w:t>
      </w:r>
      <w:r>
        <w:t xml:space="preserve">— to an object that, being covered by the darkness of night, is unmanifest and so is without form — making</w:t>
      </w:r>
      <w:r>
        <w:t xml:space="preserve"> </w:t>
      </w:r>
      <w:r>
        <w:t xml:space="preserve">‘</w:t>
      </w:r>
      <w:r>
        <w:t xml:space="preserve">peśaḥ,</w:t>
      </w:r>
      <w:r>
        <w:t xml:space="preserve">’</w:t>
      </w:r>
      <w:r>
        <w:t xml:space="preserve"> </w:t>
      </w:r>
      <w:r>
        <w:t xml:space="preserve">form, to be manifested by the removal of the morning-darkness.</w:t>
      </w:r>
      <w:r>
        <w:t xml:space="preserve"> </w:t>
      </w:r>
      <w:r>
        <w:t xml:space="preserve">‘</w:t>
      </w:r>
      <w:r>
        <w:t xml:space="preserve">Peśaḥ</w:t>
      </w:r>
      <w:r>
        <w:t xml:space="preserve">’</w:t>
      </w:r>
      <w:r>
        <w:t xml:space="preserve"> </w:t>
      </w:r>
      <w:r>
        <w:t xml:space="preserve">is a name for form, from</w:t>
      </w:r>
      <w:r>
        <w:t xml:space="preserve"> </w:t>
      </w:r>
      <w:r>
        <w:t xml:space="preserve">‘</w:t>
      </w:r>
      <w:r>
        <w:t xml:space="preserve">piṃś</w:t>
      </w:r>
      <w:r>
        <w:t xml:space="preserve">’</w:t>
      </w:r>
      <w:r>
        <w:t xml:space="preserve"> </w:t>
      </w:r>
      <w:r>
        <w:t xml:space="preserve">(to adorn) — thus Yāska (Nirukta</w:t>
      </w:r>
      <w:r>
        <w:t xml:space="preserve">”</w:t>
      </w:r>
      <w:r>
        <w:t xml:space="preserve">8-11” as printed).</w:t>
      </w:r>
      <w:r>
        <w:t xml:space="preserve"> </w:t>
      </w:r>
      <w:r>
        <w:t xml:space="preserve">‘</w:t>
      </w:r>
      <w:r>
        <w:t xml:space="preserve">Aketave</w:t>
      </w:r>
      <w:r>
        <w:t xml:space="preserve">’</w:t>
      </w:r>
      <w:r>
        <w:t xml:space="preserve"> </w:t>
      </w:r>
      <w:r>
        <w:t xml:space="preserve">and</w:t>
      </w:r>
      <w:r>
        <w:t xml:space="preserve"> </w:t>
      </w:r>
      <w:r>
        <w:t xml:space="preserve">‘</w:t>
      </w:r>
      <w:r>
        <w:t xml:space="preserve">apeśase</w:t>
      </w:r>
      <w:r>
        <w:t xml:space="preserve">’</w:t>
      </w:r>
      <w:r>
        <w:t xml:space="preserve"> </w:t>
      </w:r>
      <w:r>
        <w:t xml:space="preserve">are datives to be understood in the sense of the genitive.”</w:t>
      </w:r>
    </w:p>
    <w:p>
      <w:pPr>
        <w:pStyle w:val="BodyText"/>
      </w:pPr>
      <w:r>
        <w:rPr>
          <w:bCs/>
          <w:b/>
        </w:rPr>
        <w:t xml:space="preserve">Grammar within the Bhāṣya (characterized, sūtras kept, re-read from the better scan):</w:t>
      </w:r>
      <w:r>
        <w:t xml:space="preserve"> </w:t>
      </w:r>
      <w:r>
        <w:t xml:space="preserve">“</w:t>
      </w:r>
      <w:r>
        <w:t xml:space="preserve">Ketum</w:t>
      </w:r>
      <w:r>
        <w:t xml:space="preserve">”</w:t>
      </w:r>
      <w:r>
        <w:t xml:space="preserve"> </w:t>
      </w:r>
      <w:r>
        <w:t xml:space="preserve">— a bare stem, acute by its own accent (prātipadika-svara).</w:t>
      </w:r>
      <w:r>
        <w:t xml:space="preserve"> </w:t>
      </w:r>
      <w:r>
        <w:t xml:space="preserve">“</w:t>
      </w:r>
      <w:r>
        <w:t xml:space="preserve">Kṛṇvan</w:t>
      </w:r>
      <w:r>
        <w:t xml:space="preserve">”</w:t>
      </w:r>
      <w:r>
        <w:t xml:space="preserve"> </w:t>
      </w:r>
      <w:r>
        <w:t xml:space="preserve">—</w:t>
      </w:r>
      <w:r>
        <w:t xml:space="preserve"> </w:t>
      </w:r>
      <w:r>
        <w:t xml:space="preserve">“</w:t>
      </w:r>
      <w:r>
        <w:t xml:space="preserve">kṛvi hiṃsā-karaṇayoś ca</w:t>
      </w:r>
      <w:r>
        <w:t xml:space="preserve">”</w:t>
      </w:r>
      <w:r>
        <w:t xml:space="preserve"> </w:t>
      </w:r>
      <w:r>
        <w:t xml:space="preserve">(to injure, to do): the substitute</w:t>
      </w:r>
      <w:r>
        <w:t xml:space="preserve"> </w:t>
      </w:r>
      <w:r>
        <w:t xml:space="preserve">“</w:t>
      </w:r>
      <w:r>
        <w:t xml:space="preserve">śatṛ</w:t>
      </w:r>
      <w:r>
        <w:t xml:space="preserve">”</w:t>
      </w:r>
      <w:r>
        <w:t xml:space="preserve"> </w:t>
      </w:r>
      <w:r>
        <w:t xml:space="preserve">for</w:t>
      </w:r>
      <w:r>
        <w:t xml:space="preserve"> </w:t>
      </w:r>
      <w:r>
        <w:t xml:space="preserve">“</w:t>
      </w:r>
      <w:r>
        <w:t xml:space="preserve">laṭ</w:t>
      </w:r>
      <w:r>
        <w:t xml:space="preserve">”</w:t>
      </w:r>
      <w:r>
        <w:t xml:space="preserve">;</w:t>
      </w:r>
      <w:r>
        <w:t xml:space="preserve"> </w:t>
      </w:r>
      <w:r>
        <w:rPr>
          <w:bCs/>
          <w:b/>
        </w:rPr>
        <w:t xml:space="preserve">इदितो नुम् धातोः</w:t>
      </w:r>
      <w:r>
        <w:t xml:space="preserve"> </w:t>
      </w:r>
      <w:r>
        <w:t xml:space="preserve">(पा. ७-१-५८) the augment</w:t>
      </w:r>
      <w:r>
        <w:t xml:space="preserve"> </w:t>
      </w:r>
      <w:r>
        <w:t xml:space="preserve">“</w:t>
      </w:r>
      <w:r>
        <w:t xml:space="preserve">num</w:t>
      </w:r>
      <w:r>
        <w:t xml:space="preserve">”</w:t>
      </w:r>
      <w:r>
        <w:t xml:space="preserve">;</w:t>
      </w:r>
      <w:r>
        <w:t xml:space="preserve"> </w:t>
      </w:r>
      <w:r>
        <w:t xml:space="preserve">“</w:t>
      </w:r>
      <w:r>
        <w:t xml:space="preserve">śap</w:t>
      </w:r>
      <w:r>
        <w:t xml:space="preserve">”</w:t>
      </w:r>
      <w:r>
        <w:t xml:space="preserve"> </w:t>
      </w:r>
      <w:r>
        <w:t xml:space="preserve">might arise but</w:t>
      </w:r>
      <w:r>
        <w:t xml:space="preserve"> </w:t>
      </w:r>
      <w:r>
        <w:rPr>
          <w:bCs/>
          <w:b/>
        </w:rPr>
        <w:t xml:space="preserve">धिन्विकृण्व्योर च</w:t>
      </w:r>
      <w:r>
        <w:t xml:space="preserve"> </w:t>
      </w:r>
      <w:r>
        <w:t xml:space="preserve">(पा. ३-१-८०) — the affix</w:t>
      </w:r>
      <w:r>
        <w:t xml:space="preserve"> </w:t>
      </w:r>
      <w:r>
        <w:t xml:space="preserve">“</w:t>
      </w:r>
      <w:r>
        <w:t xml:space="preserve">u</w:t>
      </w:r>
      <w:r>
        <w:t xml:space="preserve">”</w:t>
      </w:r>
      <w:r>
        <w:t xml:space="preserve"> </w:t>
      </w:r>
      <w:r>
        <w:t xml:space="preserve">after</w:t>
      </w:r>
      <w:r>
        <w:t xml:space="preserve"> </w:t>
      </w:r>
      <w:r>
        <w:t xml:space="preserve">“</w:t>
      </w:r>
      <w:r>
        <w:t xml:space="preserve">dhinv</w:t>
      </w:r>
      <w:r>
        <w:t xml:space="preserve">”</w:t>
      </w:r>
      <w:r>
        <w:t xml:space="preserve"> </w:t>
      </w:r>
      <w:r>
        <w:t xml:space="preserve">and</w:t>
      </w:r>
      <w:r>
        <w:t xml:space="preserve"> </w:t>
      </w:r>
      <w:r>
        <w:t xml:space="preserve">“</w:t>
      </w:r>
      <w:r>
        <w:t xml:space="preserve">kṛṇv,</w:t>
      </w:r>
      <w:r>
        <w:t xml:space="preserve">”</w:t>
      </w:r>
      <w:r>
        <w:t xml:space="preserve"> </w:t>
      </w:r>
      <w:r>
        <w:t xml:space="preserve">and</w:t>
      </w:r>
      <w:r>
        <w:t xml:space="preserve"> </w:t>
      </w:r>
      <w:r>
        <w:t xml:space="preserve">“</w:t>
      </w:r>
      <w:r>
        <w:t xml:space="preserve">a</w:t>
      </w:r>
      <w:r>
        <w:t xml:space="preserve">”</w:t>
      </w:r>
      <w:r>
        <w:t xml:space="preserve"> </w:t>
      </w:r>
      <w:r>
        <w:t xml:space="preserve">for the final</w:t>
      </w:r>
      <w:r>
        <w:t xml:space="preserve"> </w:t>
      </w:r>
      <w:r>
        <w:t xml:space="preserve">“</w:t>
      </w:r>
      <w:r>
        <w:t xml:space="preserve">v</w:t>
      </w:r>
      <w:r>
        <w:t xml:space="preserve">”</w:t>
      </w:r>
      <w:r>
        <w:t xml:space="preserve"> </w:t>
      </w:r>
      <w:r>
        <w:t xml:space="preserve">—</w:t>
      </w:r>
      <w:r>
        <w:t xml:space="preserve"> </w:t>
      </w:r>
      <w:r>
        <w:t xml:space="preserve">“</w:t>
      </w:r>
      <w:r>
        <w:t xml:space="preserve">kṛṇv</w:t>
      </w:r>
      <w:r>
        <w:t xml:space="preserve">”</w:t>
      </w:r>
      <w:r>
        <w:t xml:space="preserve"> </w:t>
      </w:r>
      <w:r>
        <w:t xml:space="preserve">+</w:t>
      </w:r>
      <w:r>
        <w:t xml:space="preserve"> </w:t>
      </w:r>
      <w:r>
        <w:t xml:space="preserve">“</w:t>
      </w:r>
      <w:r>
        <w:t xml:space="preserve">u</w:t>
      </w:r>
      <w:r>
        <w:t xml:space="preserve">”</w:t>
      </w:r>
      <w:r>
        <w:t xml:space="preserve">;</w:t>
      </w:r>
      <w:r>
        <w:t xml:space="preserve"> </w:t>
      </w:r>
      <w:r>
        <w:rPr>
          <w:bCs/>
          <w:b/>
        </w:rPr>
        <w:t xml:space="preserve">अतो लोपः</w:t>
      </w:r>
      <w:r>
        <w:t xml:space="preserve"> </w:t>
      </w:r>
      <w:r>
        <w:t xml:space="preserve">(पा. ६-४-४८) elides the</w:t>
      </w:r>
      <w:r>
        <w:t xml:space="preserve"> </w:t>
      </w:r>
      <w:r>
        <w:t xml:space="preserve">“</w:t>
      </w:r>
      <w:r>
        <w:t xml:space="preserve">a</w:t>
      </w:r>
      <w:r>
        <w:t xml:space="preserve">”</w:t>
      </w:r>
      <w:r>
        <w:t xml:space="preserve">; since that elision is treated as present (sthānivadbhāva), the guṇa of the light penultimate by</w:t>
      </w:r>
      <w:r>
        <w:t xml:space="preserve"> </w:t>
      </w:r>
      <w:r>
        <w:rPr>
          <w:bCs/>
          <w:b/>
        </w:rPr>
        <w:t xml:space="preserve">पुगन्तलघूपधस्य च</w:t>
      </w:r>
      <w:r>
        <w:t xml:space="preserve"> </w:t>
      </w:r>
      <w:r>
        <w:t xml:space="preserve">(पा. ७-३-८६; printed</w:t>
      </w:r>
      <w:r>
        <w:t xml:space="preserve"> </w:t>
      </w:r>
      <w:r>
        <w:t xml:space="preserve">“</w:t>
      </w:r>
      <w:r>
        <w:t xml:space="preserve">7-4-86</w:t>
      </w:r>
      <w:r>
        <w:t xml:space="preserve">”</w:t>
      </w:r>
      <w:r>
        <w:t xml:space="preserve">) does not occur; the accent is the affix’s.</w:t>
      </w:r>
      <w:r>
        <w:t xml:space="preserve"> </w:t>
      </w:r>
      <w:r>
        <w:t xml:space="preserve">“</w:t>
      </w:r>
      <w:r>
        <w:t xml:space="preserve">Aketave</w:t>
      </w:r>
      <w:r>
        <w:t xml:space="preserve">”</w:t>
      </w:r>
      <w:r>
        <w:t xml:space="preserve"> </w:t>
      </w:r>
      <w:r>
        <w:t xml:space="preserve">— a bahuvrīhi with</w:t>
      </w:r>
      <w:r>
        <w:t xml:space="preserve"> </w:t>
      </w:r>
      <w:r>
        <w:t xml:space="preserve">“</w:t>
      </w:r>
      <w:r>
        <w:t xml:space="preserve">nañ</w:t>
      </w:r>
      <w:r>
        <w:t xml:space="preserve">”</w:t>
      </w:r>
      <w:r>
        <w:t xml:space="preserve">;</w:t>
      </w:r>
      <w:r>
        <w:t xml:space="preserve"> </w:t>
      </w:r>
      <w:r>
        <w:rPr>
          <w:bCs/>
          <w:b/>
        </w:rPr>
        <w:t xml:space="preserve">नञ्सुभ्याम्</w:t>
      </w:r>
      <w:r>
        <w:t xml:space="preserve"> </w:t>
      </w:r>
      <w:r>
        <w:t xml:space="preserve">(पा. ६-२-१७२) makes the second member end-acute.</w:t>
      </w:r>
      <w:r>
        <w:t xml:space="preserve"> </w:t>
      </w:r>
      <w:r>
        <w:t xml:space="preserve">“</w:t>
      </w:r>
      <w:r>
        <w:t xml:space="preserve">Peśaḥ</w:t>
      </w:r>
      <w:r>
        <w:t xml:space="preserve">”</w:t>
      </w:r>
      <w:r>
        <w:t xml:space="preserve"> </w:t>
      </w:r>
      <w:r>
        <w:t xml:space="preserve">— a</w:t>
      </w:r>
      <w:r>
        <w:t xml:space="preserve"> </w:t>
      </w:r>
      <w:r>
        <w:t xml:space="preserve">“</w:t>
      </w:r>
      <w:r>
        <w:t xml:space="preserve">sab-viṣaya</w:t>
      </w:r>
      <w:r>
        <w:t xml:space="preserve">”</w:t>
      </w:r>
      <w:r>
        <w:t xml:space="preserve">-class neuter stem, first-syllable acute (</w:t>
      </w:r>
      <w:r>
        <w:rPr>
          <w:bCs/>
          <w:b/>
        </w:rPr>
        <w:t xml:space="preserve">नब्विषयस्यानिसन्तस्य</w:t>
      </w:r>
      <w:r>
        <w:t xml:space="preserve">, फि. सू. २-३).</w:t>
      </w:r>
      <w:r>
        <w:t xml:space="preserve"> </w:t>
      </w:r>
      <w:r>
        <w:t xml:space="preserve">“</w:t>
      </w:r>
      <w:r>
        <w:t xml:space="preserve">Maryāḥ</w:t>
      </w:r>
      <w:r>
        <w:t xml:space="preserve">”</w:t>
      </w:r>
      <w:r>
        <w:t xml:space="preserve"> </w:t>
      </w:r>
      <w:r>
        <w:t xml:space="preserve">— in the Veda</w:t>
      </w:r>
      <w:r>
        <w:t xml:space="preserve"> </w:t>
      </w:r>
      <w:r>
        <w:t xml:space="preserve">“</w:t>
      </w:r>
      <w:r>
        <w:t xml:space="preserve">mṛ</w:t>
      </w:r>
      <w:r>
        <w:t xml:space="preserve">”</w:t>
      </w:r>
      <w:r>
        <w:t xml:space="preserve"> </w:t>
      </w:r>
      <w:r>
        <w:t xml:space="preserve">with</w:t>
      </w:r>
      <w:r>
        <w:t xml:space="preserve"> </w:t>
      </w:r>
      <w:r>
        <w:t xml:space="preserve">“</w:t>
      </w:r>
      <w:r>
        <w:t xml:space="preserve">kyap</w:t>
      </w:r>
      <w:r>
        <w:t xml:space="preserve">”</w:t>
      </w:r>
      <w:r>
        <w:t xml:space="preserve"> </w:t>
      </w:r>
      <w:r>
        <w:t xml:space="preserve">(</w:t>
      </w:r>
      <w:r>
        <w:rPr>
          <w:bCs/>
          <w:b/>
        </w:rPr>
        <w:t xml:space="preserve">छन्दसि निष्टर्क्यदेवहूयप्रणीयोन्नीयोच्छिष्यमर्यस्तर्यध्वर्यखन्यखान्यदेवयज्याऽऽपृच्छ्यप्रतिषीव्यब्रह्मवाद्यभाव्यस्ताव्योपचाय्यपृड्यानि</w:t>
      </w:r>
      <w:r>
        <w:t xml:space="preserve">, पा. ३-१-१२३; the print quotes it as</w:t>
      </w:r>
      <w:r>
        <w:t xml:space="preserve"> </w:t>
      </w:r>
      <w:r>
        <w:t xml:space="preserve">“</w:t>
      </w:r>
      <w:r>
        <w:t xml:space="preserve">chandasi niṣṭarkyety ādau</w:t>
      </w:r>
      <w:r>
        <w:t xml:space="preserve">”</w:t>
      </w:r>
      <w:r>
        <w:t xml:space="preserve">) —</w:t>
      </w:r>
      <w:r>
        <w:t xml:space="preserve"> </w:t>
      </w:r>
      <w:r>
        <w:t xml:space="preserve">“</w:t>
      </w:r>
      <w:r>
        <w:t xml:space="preserve">mṛ + kyap</w:t>
      </w:r>
      <w:r>
        <w:t xml:space="preserve">”</w:t>
      </w:r>
      <w:r>
        <w:t xml:space="preserve"> </w:t>
      </w:r>
      <w:r>
        <w:t xml:space="preserve">—</w:t>
      </w:r>
      <w:r>
        <w:t xml:space="preserve"> </w:t>
      </w:r>
      <w:r>
        <w:t xml:space="preserve">“</w:t>
      </w:r>
      <w:r>
        <w:t xml:space="preserve">marya</w:t>
      </w:r>
      <w:r>
        <w:t xml:space="preserve">”</w:t>
      </w:r>
      <w:r>
        <w:t xml:space="preserve">; the vocative loses its accent (</w:t>
      </w:r>
      <w:r>
        <w:rPr>
          <w:bCs/>
          <w:b/>
        </w:rPr>
        <w:t xml:space="preserve">आमन्त्रितस्य च</w:t>
      </w:r>
      <w:r>
        <w:t xml:space="preserve">, पा. ८-१-१९; printed</w:t>
      </w:r>
      <w:r>
        <w:t xml:space="preserve"> </w:t>
      </w:r>
      <w:r>
        <w:t xml:space="preserve">“</w:t>
      </w:r>
      <w:r>
        <w:t xml:space="preserve">8-1-18</w:t>
      </w:r>
      <w:r>
        <w:t xml:space="preserve">”</w:t>
      </w:r>
      <w:r>
        <w:t xml:space="preserve"> </w:t>
      </w:r>
      <w:r>
        <w:t xml:space="preserve">[?]); since there is no mutual connection of sense with the preceding word,</w:t>
      </w:r>
      <w:r>
        <w:t xml:space="preserve"> </w:t>
      </w:r>
      <w:r>
        <w:t xml:space="preserve">“</w:t>
      </w:r>
      <w:r>
        <w:t xml:space="preserve">parāṅgavad-bhāva</w:t>
      </w:r>
      <w:r>
        <w:t xml:space="preserve">”</w:t>
      </w:r>
      <w:r>
        <w:t xml:space="preserve"> </w:t>
      </w:r>
      <w:r>
        <w:t xml:space="preserve">does not occur.</w:t>
      </w:r>
      <w:r>
        <w:t xml:space="preserve"> </w:t>
      </w:r>
      <w:r>
        <w:t xml:space="preserve">“</w:t>
      </w:r>
      <w:r>
        <w:t xml:space="preserve">Apeśase</w:t>
      </w:r>
      <w:r>
        <w:t xml:space="preserve">”</w:t>
      </w:r>
      <w:r>
        <w:t xml:space="preserve"> </w:t>
      </w:r>
      <w:r>
        <w:t xml:space="preserve">—</w:t>
      </w:r>
      <w:r>
        <w:t xml:space="preserve"> </w:t>
      </w:r>
      <w:r>
        <w:rPr>
          <w:bCs/>
          <w:b/>
        </w:rPr>
        <w:t xml:space="preserve">नञ्सुभ्याम्</w:t>
      </w:r>
      <w:r>
        <w:t xml:space="preserve"> </w:t>
      </w:r>
      <w:r>
        <w:t xml:space="preserve">— end-acute.</w:t>
      </w:r>
      <w:r>
        <w:t xml:space="preserve"> </w:t>
      </w:r>
      <w:r>
        <w:t xml:space="preserve">“</w:t>
      </w:r>
      <w:r>
        <w:t xml:space="preserve">Sam</w:t>
      </w:r>
      <w:r>
        <w:t xml:space="preserve">”</w:t>
      </w:r>
      <w:r>
        <w:t xml:space="preserve"> </w:t>
      </w:r>
      <w:r>
        <w:t xml:space="preserve">— a particle, first-syllable acute.</w:t>
      </w:r>
      <w:r>
        <w:t xml:space="preserve"> </w:t>
      </w:r>
      <w:r>
        <w:t xml:space="preserve">“</w:t>
      </w:r>
      <w:r>
        <w:t xml:space="preserve">Uṣadbhiḥ</w:t>
      </w:r>
      <w:r>
        <w:t xml:space="preserve">”</w:t>
      </w:r>
      <w:r>
        <w:t xml:space="preserve"> </w:t>
      </w:r>
      <w:r>
        <w:t xml:space="preserve">—</w:t>
      </w:r>
      <w:r>
        <w:t xml:space="preserve"> </w:t>
      </w:r>
      <w:r>
        <w:t xml:space="preserve">“</w:t>
      </w:r>
      <w:r>
        <w:t xml:space="preserve">uṣa plusa dāhe</w:t>
      </w:r>
      <w:r>
        <w:t xml:space="preserve">”</w:t>
      </w:r>
      <w:r>
        <w:t xml:space="preserve"> </w:t>
      </w:r>
      <w:r>
        <w:t xml:space="preserve">(to burn):</w:t>
      </w:r>
      <w:r>
        <w:t xml:space="preserve"> </w:t>
      </w:r>
      <w:r>
        <w:t xml:space="preserve">“</w:t>
      </w:r>
      <w:r>
        <w:t xml:space="preserve">laṭ</w:t>
      </w:r>
      <w:r>
        <w:t xml:space="preserve">”</w:t>
      </w:r>
      <w:r>
        <w:t xml:space="preserve"> </w:t>
      </w:r>
      <w:r>
        <w:t xml:space="preserve">and its substitute</w:t>
      </w:r>
      <w:r>
        <w:t xml:space="preserve"> </w:t>
      </w:r>
      <w:r>
        <w:t xml:space="preserve">“</w:t>
      </w:r>
      <w:r>
        <w:t xml:space="preserve">śatṛ</w:t>
      </w:r>
      <w:r>
        <w:t xml:space="preserve">”</w:t>
      </w:r>
      <w:r>
        <w:t xml:space="preserve">;</w:t>
      </w:r>
      <w:r>
        <w:t xml:space="preserve"> </w:t>
      </w:r>
      <w:r>
        <w:t xml:space="preserve">“</w:t>
      </w:r>
      <w:r>
        <w:t xml:space="preserve">śap</w:t>
      </w:r>
      <w:r>
        <w:t xml:space="preserve">”</w:t>
      </w:r>
      <w:r>
        <w:t xml:space="preserve"> </w:t>
      </w:r>
      <w:r>
        <w:t xml:space="preserve">would arise, but by vyatyaya</w:t>
      </w:r>
      <w:r>
        <w:t xml:space="preserve"> </w:t>
      </w:r>
      <w:r>
        <w:t xml:space="preserve">“</w:t>
      </w:r>
      <w:r>
        <w:t xml:space="preserve">śa</w:t>
      </w:r>
      <w:r>
        <w:t xml:space="preserve">”</w:t>
      </w:r>
      <w:r>
        <w:t xml:space="preserve"> </w:t>
      </w:r>
      <w:r>
        <w:t xml:space="preserve">(the tudādi vikaraṇa); the sārvadhātuka is not</w:t>
      </w:r>
      <w:r>
        <w:t xml:space="preserve"> </w:t>
      </w:r>
      <w:r>
        <w:t xml:space="preserve">“</w:t>
      </w:r>
      <w:r>
        <w:t xml:space="preserve">p</w:t>
      </w:r>
      <w:r>
        <w:t xml:space="preserve">”</w:t>
      </w:r>
      <w:r>
        <w:t xml:space="preserve">-marked (</w:t>
      </w:r>
      <w:r>
        <w:rPr>
          <w:bCs/>
          <w:b/>
        </w:rPr>
        <w:t xml:space="preserve">सार्वधातुकमपित्</w:t>
      </w:r>
      <w:r>
        <w:t xml:space="preserve">, पा. १-२-४), so no guṇa for the light penultimate;</w:t>
      </w:r>
      <w:r>
        <w:t xml:space="preserve"> </w:t>
      </w:r>
      <w:r>
        <w:t xml:space="preserve">“</w:t>
      </w:r>
      <w:r>
        <w:t xml:space="preserve">śa</w:t>
      </w:r>
      <w:r>
        <w:t xml:space="preserve">”</w:t>
      </w:r>
      <w:r>
        <w:t xml:space="preserve"> </w:t>
      </w:r>
      <w:r>
        <w:t xml:space="preserve">gives the accent by the affix’s acute; and since</w:t>
      </w:r>
      <w:r>
        <w:t xml:space="preserve"> </w:t>
      </w:r>
      <w:r>
        <w:t xml:space="preserve">“</w:t>
      </w:r>
      <w:r>
        <w:t xml:space="preserve">śatṛ</w:t>
      </w:r>
      <w:r>
        <w:t xml:space="preserve">”</w:t>
      </w:r>
      <w:r>
        <w:t xml:space="preserve"> </w:t>
      </w:r>
      <w:r>
        <w:t xml:space="preserve">is unaccented (the root’s upadeśa-based), the</w:t>
      </w:r>
      <w:r>
        <w:t xml:space="preserve"> </w:t>
      </w:r>
      <w:r>
        <w:t xml:space="preserve">“</w:t>
      </w:r>
      <w:r>
        <w:t xml:space="preserve">lasārvadhātuka</w:t>
      </w:r>
      <w:r>
        <w:t xml:space="preserve">”</w:t>
      </w:r>
      <w:r>
        <w:t xml:space="preserve"> </w:t>
      </w:r>
      <w:r>
        <w:t xml:space="preserve">is unaccented; the single substitute is acute (</w:t>
      </w:r>
      <w:r>
        <w:rPr>
          <w:bCs/>
          <w:b/>
        </w:rPr>
        <w:t xml:space="preserve">एकादेश उदात्तेनोदात्तः</w:t>
      </w:r>
      <w:r>
        <w:t xml:space="preserve">).</w:t>
      </w:r>
      <w:r>
        <w:t xml:space="preserve"> </w:t>
      </w:r>
      <w:r>
        <w:t xml:space="preserve">“</w:t>
      </w:r>
      <w:r>
        <w:t xml:space="preserve">Ajāyathāḥ</w:t>
      </w:r>
      <w:r>
        <w:t xml:space="preserve">”</w:t>
      </w:r>
      <w:r>
        <w:t xml:space="preserve"> </w:t>
      </w:r>
      <w:r>
        <w:t xml:space="preserve">— in the sense</w:t>
      </w:r>
      <w:r>
        <w:t xml:space="preserve"> </w:t>
      </w:r>
      <w:r>
        <w:t xml:space="preserve">“</w:t>
      </w:r>
      <w:r>
        <w:t xml:space="preserve">ajāyata</w:t>
      </w:r>
      <w:r>
        <w:t xml:space="preserve">”</w:t>
      </w:r>
      <w:r>
        <w:t xml:space="preserve"> </w:t>
      </w:r>
      <w:r>
        <w:t xml:space="preserve">the second-person verb stands for the third (by vyatyaya), and by</w:t>
      </w:r>
      <w:r>
        <w:t xml:space="preserve"> </w:t>
      </w:r>
      <w:r>
        <w:rPr>
          <w:bCs/>
          <w:b/>
        </w:rPr>
        <w:t xml:space="preserve">पुरुषव्यत्ययो निघातः</w:t>
      </w:r>
      <w:r>
        <w:t xml:space="preserve"> </w:t>
      </w:r>
      <w:r>
        <w:t xml:space="preserve">— by the change of person, no nighāta.</w:t>
      </w:r>
    </w:p>
    <w:p>
      <w:pPr>
        <w:pStyle w:val="BodyText"/>
      </w:pPr>
      <w:r>
        <w:rPr>
          <w:bCs/>
          <w:b/>
        </w:rPr>
        <w:t xml:space="preserve">॥ Prati-padārthaḥ ॥</w:t>
      </w:r>
      <w:r>
        <w:t xml:space="preserve"> </w:t>
      </w:r>
      <w:r>
        <w:rPr>
          <w:iCs/>
          <w:i/>
        </w:rPr>
        <w:t xml:space="preserve">(Kannada, translated)</w:t>
      </w:r>
    </w:p>
    <w:p>
      <w:pPr>
        <w:pStyle w:val="BodyText"/>
      </w:pPr>
      <w:r>
        <w:rPr>
          <w:bCs/>
          <w:b/>
        </w:rPr>
        <w:t xml:space="preserve">(हे) मर्याः (he maryāḥ)</w:t>
      </w:r>
      <w:r>
        <w:t xml:space="preserve"> </w:t>
      </w:r>
      <w:r>
        <w:t xml:space="preserve">— O men (look at this wonder) |</w:t>
      </w:r>
      <w:r>
        <w:t xml:space="preserve"> </w:t>
      </w:r>
      <w:r>
        <w:rPr>
          <w:bCs/>
          <w:b/>
        </w:rPr>
        <w:t xml:space="preserve">आदित्यरूपनादे (ādityarūpanāde)</w:t>
      </w:r>
      <w:r>
        <w:t xml:space="preserve"> </w:t>
      </w:r>
      <w:r>
        <w:t xml:space="preserve">— (Indra) who has the form of the Sun |</w:t>
      </w:r>
      <w:r>
        <w:t xml:space="preserve"> </w:t>
      </w:r>
      <w:r>
        <w:rPr>
          <w:bCs/>
          <w:b/>
        </w:rPr>
        <w:t xml:space="preserve">उषद्भिः (uṣadbhiḥ)</w:t>
      </w:r>
      <w:r>
        <w:t xml:space="preserve"> </w:t>
      </w:r>
      <w:r>
        <w:t xml:space="preserve">— daily at dawn, with the rays |</w:t>
      </w:r>
      <w:r>
        <w:t xml:space="preserve"> </w:t>
      </w:r>
      <w:r>
        <w:rPr>
          <w:bCs/>
          <w:b/>
        </w:rPr>
        <w:t xml:space="preserve">अकेतवे (aketave)</w:t>
      </w:r>
      <w:r>
        <w:t xml:space="preserve"> </w:t>
      </w:r>
      <w:r>
        <w:t xml:space="preserve">— to those who, because of sleep at night, are without understanding |</w:t>
      </w:r>
      <w:r>
        <w:t xml:space="preserve"> </w:t>
      </w:r>
      <w:r>
        <w:rPr>
          <w:bCs/>
          <w:b/>
        </w:rPr>
        <w:t xml:space="preserve">केतुम् (ketum)</w:t>
      </w:r>
      <w:r>
        <w:t xml:space="preserve"> </w:t>
      </w:r>
      <w:r>
        <w:t xml:space="preserve">— (at dawn, awakening) understanding |</w:t>
      </w:r>
      <w:r>
        <w:t xml:space="preserve"> </w:t>
      </w:r>
      <w:r>
        <w:rPr>
          <w:bCs/>
          <w:b/>
        </w:rPr>
        <w:t xml:space="preserve">अपेशसे (apeśase)</w:t>
      </w:r>
      <w:r>
        <w:t xml:space="preserve"> </w:t>
      </w:r>
      <w:r>
        <w:t xml:space="preserve">— (at night) to things that, covered by darkness, cannot be seen as having any form, giving light |</w:t>
      </w:r>
      <w:r>
        <w:t xml:space="preserve"> </w:t>
      </w:r>
      <w:r>
        <w:rPr>
          <w:bCs/>
          <w:b/>
        </w:rPr>
        <w:t xml:space="preserve">पेशः (peśaḥ)</w:t>
      </w:r>
      <w:r>
        <w:t xml:space="preserve"> </w:t>
      </w:r>
      <w:r>
        <w:t xml:space="preserve">— (of things) each of their forms (the power to see them) |</w:t>
      </w:r>
      <w:r>
        <w:t xml:space="preserve"> </w:t>
      </w:r>
      <w:r>
        <w:rPr>
          <w:bCs/>
          <w:b/>
        </w:rPr>
        <w:t xml:space="preserve">कृण्वन् (kṛṇvan)</w:t>
      </w:r>
      <w:r>
        <w:t xml:space="preserve"> </w:t>
      </w:r>
      <w:r>
        <w:t xml:space="preserve">— making |</w:t>
      </w:r>
      <w:r>
        <w:t xml:space="preserve"> </w:t>
      </w:r>
      <w:r>
        <w:rPr>
          <w:bCs/>
          <w:b/>
        </w:rPr>
        <w:t xml:space="preserve">सं अजायथाः (saṃ ajāyathāḥ)</w:t>
      </w:r>
      <w:r>
        <w:t xml:space="preserve"> </w:t>
      </w:r>
      <w:r>
        <w:t xml:space="preserve">— he is born (appears).</w:t>
      </w:r>
    </w:p>
    <w:p>
      <w:pPr>
        <w:pStyle w:val="BodyText"/>
      </w:pPr>
      <w:r>
        <w:rPr>
          <w:iCs/>
          <w:i/>
        </w:rPr>
        <w:t xml:space="preserve">Or:</w:t>
      </w:r>
      <w:r>
        <w:t xml:space="preserve"> </w:t>
      </w:r>
      <w:r>
        <w:rPr>
          <w:bCs/>
          <w:b/>
        </w:rPr>
        <w:t xml:space="preserve">मर्याः (maryāḥ)</w:t>
      </w:r>
      <w:r>
        <w:t xml:space="preserve"> </w:t>
      </w:r>
      <w:r>
        <w:t xml:space="preserve">— O man (the plural used for the singular) |</w:t>
      </w:r>
      <w:r>
        <w:t xml:space="preserve"> </w:t>
      </w:r>
      <w:r>
        <w:rPr>
          <w:bCs/>
          <w:b/>
        </w:rPr>
        <w:t xml:space="preserve">(त्वम्) (tvam)</w:t>
      </w:r>
      <w:r>
        <w:t xml:space="preserve"> </w:t>
      </w:r>
      <w:r>
        <w:t xml:space="preserve">— you |</w:t>
      </w:r>
      <w:r>
        <w:t xml:space="preserve"> </w:t>
      </w:r>
      <w:r>
        <w:rPr>
          <w:bCs/>
          <w:b/>
        </w:rPr>
        <w:t xml:space="preserve">उषद्भिः (uṣadbhiḥ)</w:t>
      </w:r>
      <w:r>
        <w:t xml:space="preserve"> </w:t>
      </w:r>
      <w:r>
        <w:t xml:space="preserve">…</w:t>
      </w:r>
      <w:r>
        <w:t xml:space="preserve"> </w:t>
      </w:r>
      <w:r>
        <w:rPr>
          <w:bCs/>
          <w:b/>
        </w:rPr>
        <w:t xml:space="preserve">समजायथाः (samajāyathāḥ)</w:t>
      </w:r>
      <w:r>
        <w:t xml:space="preserve"> </w:t>
      </w:r>
      <w:r>
        <w:t xml:space="preserve">— every day, at the time of sunset, like one who dies, you become without understanding, and at morning you are born with consciousness; so we say:</w:t>
      </w:r>
      <w:r>
        <w:t xml:space="preserve"> </w:t>
      </w:r>
      <w:r>
        <w:t xml:space="preserve">“</w:t>
      </w:r>
      <w:r>
        <w:t xml:space="preserve">be aware.</w:t>
      </w:r>
      <w:r>
        <w:t xml:space="preserve">”</w:t>
      </w:r>
    </w:p>
    <w:p>
      <w:pPr>
        <w:pStyle w:val="BodyText"/>
      </w:pPr>
      <w:r>
        <w:rPr>
          <w:bCs/>
          <w:b/>
        </w:rPr>
        <w:t xml:space="preserve">॥ Bhāvārthaḥ ॥</w:t>
      </w:r>
      <w:r>
        <w:t xml:space="preserve"> </w:t>
      </w:r>
      <w:r>
        <w:rPr>
          <w:iCs/>
          <w:i/>
        </w:rPr>
        <w:t xml:space="preserve">(Kannada, translated; opening)</w:t>
      </w:r>
    </w:p>
    <w:p>
      <w:pPr>
        <w:pStyle w:val="BodyText"/>
      </w:pPr>
      <w:r>
        <w:t xml:space="preserve">O Indra! You, in the form of the Sun, rise every day at dawn, and set at sunset; when you set, creatures are overcome by sleep …</w:t>
      </w:r>
    </w:p>
    <w:bookmarkEnd w:id="256"/>
    <w:bookmarkStart w:id="257" w:name="X1726aa5f46285c4e6498a0405fe375c46d4afbf"/>
    <w:p>
      <w:pPr>
        <w:pStyle w:val="Heading3"/>
      </w:pPr>
      <w:r>
        <w:t xml:space="preserve">Page 219 — Rik 6.3: Bhāvārtha concluded; English rendering; Special topics</w:t>
      </w:r>
    </w:p>
    <w:p>
      <w:pPr>
        <w:pStyle w:val="FirstParagraph"/>
      </w:pPr>
      <w:r>
        <w:rPr>
          <w:iCs/>
          <w:i/>
        </w:rPr>
        <w:t xml:space="preserve">(Page header:</w:t>
      </w:r>
      <w:r>
        <w:rPr>
          <w:iCs/>
          <w:i/>
        </w:rPr>
        <w:t xml:space="preserve"> </w:t>
      </w:r>
      <w:r>
        <w:rPr>
          <w:iCs/>
          <w:i/>
        </w:rPr>
        <w:t xml:space="preserve">“</w:t>
      </w:r>
      <w:r>
        <w:rPr>
          <w:iCs/>
          <w:i/>
        </w:rPr>
        <w:t xml:space="preserve">Aṣṭaka 1, Adhyāya 1, Varga 11 · Ṛgveda-saṃhitā.</w:t>
      </w:r>
      <w:r>
        <w:rPr>
          <w:iCs/>
          <w:i/>
        </w:rPr>
        <w:t xml:space="preserve">”</w:t>
      </w:r>
      <w:r>
        <w:rPr>
          <w:iCs/>
          <w:i/>
        </w:rPr>
        <w:t xml:space="preserve"> </w:t>
      </w:r>
      <w:r>
        <w:rPr>
          <w:iCs/>
          <w:i/>
        </w:rPr>
        <w:t xml:space="preserve">Kannada prose translated; English as printed; references re-read from the better scan.)</w:t>
      </w:r>
    </w:p>
    <w:p>
      <w:pPr>
        <w:pStyle w:val="BodyText"/>
      </w:pPr>
      <w:r>
        <w:rPr>
          <w:iCs/>
          <w:i/>
        </w:rPr>
        <w:t xml:space="preserve">(Concluding the Bhāvārtha from p. 218:)</w:t>
      </w:r>
      <w:r>
        <w:t xml:space="preserve"> </w:t>
      </w:r>
      <w:r>
        <w:t xml:space="preserve">…creatures are overcome by sleep, and are without consciousness, and from the darkness of night are unable to see the forms of anything. When you rise at dawn, creatures awake and, with consciousness or understanding, are able to see the forms of all things in the light. Therefore, to the creatures who are overcome by sleep, you give — every day — consciousness, and the power to see the forms of all things.</w:t>
      </w:r>
    </w:p>
    <w:p>
      <w:pPr>
        <w:pStyle w:val="BodyText"/>
      </w:pPr>
      <w:r>
        <w:rPr>
          <w:bCs/>
          <w:b/>
        </w:rPr>
        <w:t xml:space="preserve">English Translation</w:t>
      </w:r>
      <w:r>
        <w:t xml:space="preserve"> </w:t>
      </w:r>
      <w:r>
        <w:rPr>
          <w:iCs/>
          <w:i/>
        </w:rPr>
        <w:t xml:space="preserve">(printed in English in the source itself):</w:t>
      </w:r>
    </w:p>
    <w:p>
      <w:pPr>
        <w:pStyle w:val="BodyText"/>
      </w:pPr>
      <w:r>
        <w:t xml:space="preserve">“</w:t>
      </w:r>
      <w:r>
        <w:t xml:space="preserve">O mortals, (look at this wonder). Indra (in the form of Aditya) rises every day at dawn giving sense to the senseless (while in sleep) and form to the formless.</w:t>
      </w:r>
      <w:r>
        <w:t xml:space="preserve"> </w:t>
      </w:r>
      <w:r>
        <w:t xml:space="preserve">or O mortal, having been dead (asleep) at the setting of the sun you are born ever with morning rays.</w:t>
      </w:r>
      <w:r>
        <w:t xml:space="preserve">”</w:t>
      </w:r>
    </w:p>
    <w:p>
      <w:pPr>
        <w:pStyle w:val="BodyText"/>
      </w:pPr>
      <w:r>
        <w:rPr>
          <w:bCs/>
          <w:b/>
        </w:rPr>
        <w:t xml:space="preserve">॥ Viśeṣa-viṣayagaḷu (Special Topics) ॥</w:t>
      </w:r>
    </w:p>
    <w:p>
      <w:pPr>
        <w:pStyle w:val="BodyText"/>
      </w:pPr>
      <w:r>
        <w:t xml:space="preserve">The meaning of this Ṛk is not plain. For the word</w:t>
      </w:r>
      <w:r>
        <w:t xml:space="preserve"> </w:t>
      </w:r>
      <w:r>
        <w:t xml:space="preserve">“</w:t>
      </w:r>
      <w:r>
        <w:t xml:space="preserve">ketu,</w:t>
      </w:r>
      <w:r>
        <w:t xml:space="preserve">”</w:t>
      </w:r>
      <w:r>
        <w:t xml:space="preserve"> </w:t>
      </w:r>
      <w:r>
        <w:t xml:space="preserve">the Nirukta (Ni. 3-9) says</w:t>
      </w:r>
      <w:r>
        <w:t xml:space="preserve"> </w:t>
      </w:r>
      <w:r>
        <w:t xml:space="preserve">“</w:t>
      </w:r>
      <w:r>
        <w:t xml:space="preserve">prajñā</w:t>
      </w:r>
      <w:r>
        <w:t xml:space="preserve">”</w:t>
      </w:r>
      <w:r>
        <w:t xml:space="preserve"> </w:t>
      </w:r>
      <w:r>
        <w:t xml:space="preserve">(understanding). In the Taittirīya-brāhmaṇa (3-9-4) it is said that</w:t>
      </w:r>
      <w:r>
        <w:t xml:space="preserve"> </w:t>
      </w:r>
      <w:r>
        <w:t xml:space="preserve">“</w:t>
      </w:r>
      <w:r>
        <w:t xml:space="preserve">ketu</w:t>
      </w:r>
      <w:r>
        <w:t xml:space="preserve">”</w:t>
      </w:r>
      <w:r>
        <w:t xml:space="preserve"> </w:t>
      </w:r>
      <w:r>
        <w:t xml:space="preserve">means</w:t>
      </w:r>
      <w:r>
        <w:t xml:space="preserve"> </w:t>
      </w:r>
      <w:r>
        <w:t xml:space="preserve">“</w:t>
      </w:r>
      <w:r>
        <w:t xml:space="preserve">dhvaja</w:t>
      </w:r>
      <w:r>
        <w:t xml:space="preserve">”</w:t>
      </w:r>
      <w:r>
        <w:t xml:space="preserve"> </w:t>
      </w:r>
      <w:r>
        <w:t xml:space="preserve">(banner):</w:t>
      </w:r>
      <w:r>
        <w:t xml:space="preserve"> </w:t>
      </w:r>
      <w:r>
        <w:t xml:space="preserve">“</w:t>
      </w:r>
      <w:r>
        <w:rPr>
          <w:iCs/>
          <w:i/>
        </w:rPr>
        <w:t xml:space="preserve">ketuṃ kṛṇvann aketave iti dhvajaṃ pratimuñcati</w:t>
      </w:r>
      <w:r>
        <w:t xml:space="preserve">”</w:t>
      </w:r>
      <w:r>
        <w:t xml:space="preserve"> </w:t>
      </w:r>
      <w:r>
        <w:t xml:space="preserve">(केतुं कृण्वन्नकेतव इति ध्वजं प्रतिमुञ्चति —</w:t>
      </w:r>
      <w:r>
        <w:t xml:space="preserve"> </w:t>
      </w:r>
      <w:r>
        <w:t xml:space="preserve">“</w:t>
      </w:r>
      <w:r>
        <w:t xml:space="preserve">’</w:t>
      </w:r>
      <w:r>
        <w:rPr>
          <w:iCs/>
          <w:i/>
        </w:rPr>
        <w:t xml:space="preserve">ketuṃ kṛṇvann aketave,’ with this he fastens the banner</w:t>
      </w:r>
      <w:r>
        <w:t xml:space="preserve">”</w:t>
      </w:r>
      <w:r>
        <w:t xml:space="preserve">); when setting up a banner they recite this mantra. Though</w:t>
      </w:r>
      <w:r>
        <w:t xml:space="preserve"> </w:t>
      </w:r>
      <w:r>
        <w:t xml:space="preserve">“</w:t>
      </w:r>
      <w:r>
        <w:t xml:space="preserve">ketu</w:t>
      </w:r>
      <w:r>
        <w:t xml:space="preserve">”</w:t>
      </w:r>
      <w:r>
        <w:t xml:space="preserve"> </w:t>
      </w:r>
      <w:r>
        <w:t xml:space="preserve">has the sense of</w:t>
      </w:r>
      <w:r>
        <w:t xml:space="preserve"> </w:t>
      </w:r>
      <w:r>
        <w:t xml:space="preserve">“</w:t>
      </w:r>
      <w:r>
        <w:t xml:space="preserve">banner,</w:t>
      </w:r>
      <w:r>
        <w:t xml:space="preserve">”</w:t>
      </w:r>
      <w:r>
        <w:t xml:space="preserve"> </w:t>
      </w:r>
      <w:r>
        <w:t xml:space="preserve">that sense does not fit here. Those who follow the method laid down in the Gṛhyasūtras recite this mantra in order to invoke the</w:t>
      </w:r>
      <w:r>
        <w:t xml:space="preserve"> </w:t>
      </w:r>
      <w:r>
        <w:t xml:space="preserve">“</w:t>
      </w:r>
      <w:r>
        <w:t xml:space="preserve">ketu-graha</w:t>
      </w:r>
      <w:r>
        <w:t xml:space="preserve">”</w:t>
      </w:r>
      <w:r>
        <w:t xml:space="preserve"> </w:t>
      </w:r>
      <w:r>
        <w:t xml:space="preserve">(the planet Ketu) when they perform the worship of the nine planets (navagraha); but in this mantra there is no subject concerning the planet Ketu. Since the word</w:t>
      </w:r>
      <w:r>
        <w:t xml:space="preserve"> </w:t>
      </w:r>
      <w:r>
        <w:t xml:space="preserve">“</w:t>
      </w:r>
      <w:r>
        <w:t xml:space="preserve">ketu</w:t>
      </w:r>
      <w:r>
        <w:t xml:space="preserve">”</w:t>
      </w:r>
      <w:r>
        <w:t xml:space="preserve"> </w:t>
      </w:r>
      <w:r>
        <w:t xml:space="preserve">alone is common to both, this is likely to be a customary (rūḍha) use; likewise the use of mantras that contain the names of other planets in the worship and invocation of those planets is probably a conventional one. For in the Ṛgveda there is no consideration of the nine planets. Only the two names, Sūrya and Candra, are found there. The names of the stars are not there either. Only in the Yajurveda are the names of the stars, and the descriptions of the full-moon and new-moon days, explained. The names of the nine planets are not there either. Therefore it may be said without doubt that the worship of the planets (graha-yajña) was not in use in the time of the Vedas and came into custom later.</w:t>
      </w:r>
    </w:p>
    <w:p>
      <w:pPr>
        <w:pStyle w:val="BodyText"/>
      </w:pPr>
      <w:r>
        <w:rPr>
          <w:bCs/>
          <w:b/>
        </w:rPr>
        <w:t xml:space="preserve">पेशः (peśaḥ)</w:t>
      </w:r>
      <w:r>
        <w:t xml:space="preserve"> </w:t>
      </w:r>
      <w:r>
        <w:t xml:space="preserve">—</w:t>
      </w:r>
      <w:r>
        <w:t xml:space="preserve"> </w:t>
      </w:r>
      <w:r>
        <w:t xml:space="preserve">“</w:t>
      </w:r>
      <w:r>
        <w:rPr>
          <w:iCs/>
          <w:i/>
        </w:rPr>
        <w:t xml:space="preserve">peśa iti rūpa-nāma piṃśate</w:t>
      </w:r>
      <w:r>
        <w:t xml:space="preserve">”</w:t>
      </w:r>
      <w:r>
        <w:t xml:space="preserve"> </w:t>
      </w:r>
      <w:r>
        <w:t xml:space="preserve">(पेश इति रूपनाम पिंशते —</w:t>
      </w:r>
      <w:r>
        <w:t xml:space="preserve"> </w:t>
      </w:r>
      <w:r>
        <w:t xml:space="preserve">“</w:t>
      </w:r>
      <w:r>
        <w:t xml:space="preserve">‘</w:t>
      </w:r>
      <w:r>
        <w:t xml:space="preserve">peśa</w:t>
      </w:r>
      <w:r>
        <w:t xml:space="preserve">’</w:t>
      </w:r>
      <w:r>
        <w:t xml:space="preserve"> </w:t>
      </w:r>
      <w:r>
        <w:t xml:space="preserve">is a name of form, from</w:t>
      </w:r>
      <w:r>
        <w:t xml:space="preserve"> </w:t>
      </w:r>
      <w:r>
        <w:t xml:space="preserve">‘</w:t>
      </w:r>
      <w:r>
        <w:t xml:space="preserve">piṃś</w:t>
      </w:r>
      <w:r>
        <w:t xml:space="preserve">’</w:t>
      </w:r>
      <w:r>
        <w:t xml:space="preserve">,</w:t>
      </w:r>
      <w:r>
        <w:t xml:space="preserve">”</w:t>
      </w:r>
      <w:r>
        <w:t xml:space="preserve"> </w:t>
      </w:r>
      <w:r>
        <w:t xml:space="preserve">Ni. 8-11 [as printed]);</w:t>
      </w:r>
      <w:r>
        <w:t xml:space="preserve"> </w:t>
      </w:r>
      <w:r>
        <w:t xml:space="preserve">“</w:t>
      </w:r>
      <w:r>
        <w:t xml:space="preserve">peśa</w:t>
      </w:r>
      <w:r>
        <w:t xml:space="preserve">”</w:t>
      </w:r>
      <w:r>
        <w:t xml:space="preserve"> </w:t>
      </w:r>
      <w:r>
        <w:t xml:space="preserve">means form.</w:t>
      </w:r>
      <w:r>
        <w:t xml:space="preserve"> </w:t>
      </w:r>
      <w:r>
        <w:rPr>
          <w:bCs/>
          <w:b/>
        </w:rPr>
        <w:t xml:space="preserve">अपेशसे (apeśase)</w:t>
      </w:r>
      <w:r>
        <w:t xml:space="preserve"> </w:t>
      </w:r>
      <w:r>
        <w:t xml:space="preserve">— to one without form.</w:t>
      </w:r>
    </w:p>
    <w:p>
      <w:pPr>
        <w:pStyle w:val="BodyText"/>
      </w:pPr>
      <w:r>
        <w:rPr>
          <w:bCs/>
          <w:b/>
        </w:rPr>
        <w:t xml:space="preserve">मर्याः (maryāḥ)</w:t>
      </w:r>
      <w:r>
        <w:t xml:space="preserve"> </w:t>
      </w:r>
      <w:r>
        <w:t xml:space="preserve">— men. This word is the first-case plural. In this Ṛk the verb</w:t>
      </w:r>
      <w:r>
        <w:t xml:space="preserve"> </w:t>
      </w:r>
      <w:r>
        <w:t xml:space="preserve">“</w:t>
      </w:r>
      <w:r>
        <w:t xml:space="preserve">ajāyathāḥ</w:t>
      </w:r>
      <w:r>
        <w:t xml:space="preserve">”</w:t>
      </w:r>
      <w:r>
        <w:t xml:space="preserve"> </w:t>
      </w:r>
      <w:r>
        <w:t xml:space="preserve">is in the second person, singular …</w:t>
      </w:r>
      <w:r>
        <w:t xml:space="preserve"> </w:t>
      </w:r>
      <w:r>
        <w:rPr>
          <w:iCs/>
          <w:i/>
        </w:rPr>
        <w:t xml:space="preserve">(continues on the next page)</w:t>
      </w:r>
    </w:p>
    <w:bookmarkEnd w:id="257"/>
    <w:bookmarkStart w:id="258" w:name="X2583ce86881126d8e76743b1b0439cf5fedb9da"/>
    <w:p>
      <w:pPr>
        <w:pStyle w:val="Heading3"/>
      </w:pPr>
      <w:r>
        <w:t xml:space="preserve">Page 220 — Special topics on Rik 6.3 (concluded); Vyākaraṇa-prakriyā (opening)</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6.</w:t>
      </w:r>
      <w:r>
        <w:rPr>
          <w:iCs/>
          <w:i/>
        </w:rPr>
        <w:t xml:space="preserve">”</w:t>
      </w:r>
      <w:r>
        <w:rPr>
          <w:iCs/>
          <w:i/>
        </w:rPr>
        <w:t xml:space="preserve"> </w:t>
      </w:r>
      <w:r>
        <w:rPr>
          <w:iCs/>
          <w:i/>
        </w:rPr>
        <w:t xml:space="preserve">Kannada prose translated; grammar characterized, sūtras kept; re-read from the better scan.)</w:t>
      </w:r>
    </w:p>
    <w:p>
      <w:pPr>
        <w:pStyle w:val="BodyText"/>
      </w:pPr>
      <w:r>
        <w:rPr>
          <w:iCs/>
          <w:i/>
        </w:rPr>
        <w:t xml:space="preserve">(Continuing</w:t>
      </w:r>
      <w:r>
        <w:rPr>
          <w:iCs/>
          <w:i/>
        </w:rPr>
        <w:t xml:space="preserve"> </w:t>
      </w:r>
      <w:r>
        <w:rPr>
          <w:iCs/>
          <w:i/>
        </w:rPr>
        <w:t xml:space="preserve">“</w:t>
      </w:r>
      <w:r>
        <w:rPr>
          <w:iCs/>
          <w:i/>
        </w:rPr>
        <w:t xml:space="preserve">maryāḥ</w:t>
      </w:r>
      <w:r>
        <w:rPr>
          <w:iCs/>
          <w:i/>
        </w:rPr>
        <w:t xml:space="preserve">”</w:t>
      </w:r>
      <w:r>
        <w:rPr>
          <w:iCs/>
          <w:i/>
        </w:rPr>
        <w:t xml:space="preserve"> </w:t>
      </w:r>
      <w:r>
        <w:rPr>
          <w:iCs/>
          <w:i/>
        </w:rPr>
        <w:t xml:space="preserve">from p. 219:)</w:t>
      </w:r>
      <w:r>
        <w:t xml:space="preserve"> </w:t>
      </w:r>
      <w:r>
        <w:t xml:space="preserve">…the verb</w:t>
      </w:r>
      <w:r>
        <w:t xml:space="preserve"> </w:t>
      </w:r>
      <w:r>
        <w:t xml:space="preserve">“</w:t>
      </w:r>
      <w:r>
        <w:t xml:space="preserve">ajāyathāḥ</w:t>
      </w:r>
      <w:r>
        <w:t xml:space="preserve">”</w:t>
      </w:r>
      <w:r>
        <w:t xml:space="preserve"> </w:t>
      </w:r>
      <w:r>
        <w:t xml:space="preserve">is in the second-person singular; if</w:t>
      </w:r>
      <w:r>
        <w:t xml:space="preserve"> </w:t>
      </w:r>
      <w:r>
        <w:t xml:space="preserve">“</w:t>
      </w:r>
      <w:r>
        <w:t xml:space="preserve">maryāḥ</w:t>
      </w:r>
      <w:r>
        <w:t xml:space="preserve">”</w:t>
      </w:r>
      <w:r>
        <w:t xml:space="preserve"> </w:t>
      </w:r>
      <w:r>
        <w:t xml:space="preserve">were taken as the agent (kartṛ), then, since the verb is singular, the two do not agree. For the convenience of the metre the singular</w:t>
      </w:r>
      <w:r>
        <w:t xml:space="preserve"> </w:t>
      </w:r>
      <w:r>
        <w:t xml:space="preserve">“</w:t>
      </w:r>
      <w:r>
        <w:t xml:space="preserve">marya</w:t>
      </w:r>
      <w:r>
        <w:t xml:space="preserve">”</w:t>
      </w:r>
      <w:r>
        <w:t xml:space="preserve"> </w:t>
      </w:r>
      <w:r>
        <w:t xml:space="preserve">is used in the long form</w:t>
      </w:r>
      <w:r>
        <w:t xml:space="preserve"> </w:t>
      </w:r>
      <w:r>
        <w:t xml:space="preserve">“</w:t>
      </w:r>
      <w:r>
        <w:t xml:space="preserve">maryā,</w:t>
      </w:r>
      <w:r>
        <w:t xml:space="preserve">”</w:t>
      </w:r>
      <w:r>
        <w:t xml:space="preserve"> </w:t>
      </w:r>
      <w:r>
        <w:t xml:space="preserve">say some; but in such cases there is no cause for such a metrical advantage or disadvantage here; for after the word</w:t>
      </w:r>
      <w:r>
        <w:t xml:space="preserve"> </w:t>
      </w:r>
      <w:r>
        <w:t xml:space="preserve">“</w:t>
      </w:r>
      <w:r>
        <w:t xml:space="preserve">maryā</w:t>
      </w:r>
      <w:r>
        <w:t xml:space="preserve">”</w:t>
      </w:r>
      <w:r>
        <w:t xml:space="preserve"> </w:t>
      </w:r>
      <w:r>
        <w:t xml:space="preserve">comes</w:t>
      </w:r>
      <w:r>
        <w:t xml:space="preserve"> </w:t>
      </w:r>
      <w:r>
        <w:t xml:space="preserve">“</w:t>
      </w:r>
      <w:r>
        <w:t xml:space="preserve">apeśase,</w:t>
      </w:r>
      <w:r>
        <w:t xml:space="preserve">”</w:t>
      </w:r>
      <w:r>
        <w:t xml:space="preserve"> </w:t>
      </w:r>
      <w:r>
        <w:t xml:space="preserve">and the final long</w:t>
      </w:r>
      <w:r>
        <w:t xml:space="preserve"> </w:t>
      </w:r>
      <w:r>
        <w:t xml:space="preserve">“</w:t>
      </w:r>
      <w:r>
        <w:t xml:space="preserve">ā</w:t>
      </w:r>
      <w:r>
        <w:t xml:space="preserve">”</w:t>
      </w:r>
      <w:r>
        <w:t xml:space="preserve"> </w:t>
      </w:r>
      <w:r>
        <w:t xml:space="preserve">of</w:t>
      </w:r>
      <w:r>
        <w:t xml:space="preserve"> </w:t>
      </w:r>
      <w:r>
        <w:t xml:space="preserve">“</w:t>
      </w:r>
      <w:r>
        <w:t xml:space="preserve">maryā</w:t>
      </w:r>
      <w:r>
        <w:t xml:space="preserve">”</w:t>
      </w:r>
      <w:r>
        <w:t xml:space="preserve"> </w:t>
      </w:r>
      <w:r>
        <w:t xml:space="preserve">should have combined with the first</w:t>
      </w:r>
      <w:r>
        <w:t xml:space="preserve"> </w:t>
      </w:r>
      <w:r>
        <w:t xml:space="preserve">“</w:t>
      </w:r>
      <w:r>
        <w:t xml:space="preserve">a</w:t>
      </w:r>
      <w:r>
        <w:t xml:space="preserve">”</w:t>
      </w:r>
      <w:r>
        <w:t xml:space="preserve"> </w:t>
      </w:r>
      <w:r>
        <w:t xml:space="preserve">of the following word (by savarṇa-dīrgha), which has not happened here. Besides, in the Pada-text the plural word with the visarga,</w:t>
      </w:r>
      <w:r>
        <w:t xml:space="preserve"> </w:t>
      </w:r>
      <w:r>
        <w:t xml:space="preserve">“</w:t>
      </w:r>
      <w:r>
        <w:t xml:space="preserve">maryāḥ,</w:t>
      </w:r>
      <w:r>
        <w:t xml:space="preserve">”</w:t>
      </w:r>
      <w:r>
        <w:t xml:space="preserve"> </w:t>
      </w:r>
      <w:r>
        <w:t xml:space="preserve">is plainly given. Therefore, as Sāyaṇa has said at the beginning of his Bhāṣya, this word should be said to be used merely for addressing ordinary people (the public). Western scholars hold the same view. In the view that uses the singular</w:t>
      </w:r>
      <w:r>
        <w:t xml:space="preserve"> </w:t>
      </w:r>
      <w:r>
        <w:t xml:space="preserve">“</w:t>
      </w:r>
      <w:r>
        <w:t xml:space="preserve">marya,</w:t>
      </w:r>
      <w:r>
        <w:t xml:space="preserve">”</w:t>
      </w:r>
      <w:r>
        <w:t xml:space="preserve"> </w:t>
      </w:r>
      <w:r>
        <w:t xml:space="preserve">the agent-word</w:t>
      </w:r>
      <w:r>
        <w:t xml:space="preserve"> </w:t>
      </w:r>
      <w:r>
        <w:t xml:space="preserve">“</w:t>
      </w:r>
      <w:r>
        <w:t xml:space="preserve">tvam</w:t>
      </w:r>
      <w:r>
        <w:t xml:space="preserve">”</w:t>
      </w:r>
      <w:r>
        <w:t xml:space="preserve"> </w:t>
      </w:r>
      <w:r>
        <w:t xml:space="preserve">must be supplied here.</w:t>
      </w:r>
    </w:p>
    <w:p>
      <w:pPr>
        <w:pStyle w:val="BodyText"/>
      </w:pPr>
      <w:r>
        <w:rPr>
          <w:bCs/>
          <w:b/>
        </w:rPr>
        <w:t xml:space="preserve">॥ Vyākaraṇa-prakriyā ॥</w:t>
      </w:r>
      <w:r>
        <w:t xml:space="preserve"> </w:t>
      </w:r>
      <w:r>
        <w:rPr>
          <w:iCs/>
          <w:i/>
        </w:rPr>
        <w:t xml:space="preserve">(Kannada; characterized, sūtras kept)</w:t>
      </w:r>
    </w:p>
    <w:p>
      <w:pPr>
        <w:pStyle w:val="BodyText"/>
      </w:pPr>
      <w:r>
        <w:rPr>
          <w:bCs/>
          <w:b/>
        </w:rPr>
        <w:t xml:space="preserve">“</w:t>
      </w:r>
      <w:r>
        <w:rPr>
          <w:bCs/>
          <w:b/>
        </w:rPr>
        <w:t xml:space="preserve">Ketum</w:t>
      </w:r>
      <w:r>
        <w:rPr>
          <w:bCs/>
          <w:b/>
        </w:rPr>
        <w:t xml:space="preserve">”</w:t>
      </w:r>
      <w:r>
        <w:t xml:space="preserve"> </w:t>
      </w:r>
      <w:r>
        <w:t xml:space="preserve">—</w:t>
      </w:r>
      <w:r>
        <w:t xml:space="preserve"> </w:t>
      </w:r>
      <w:r>
        <w:rPr>
          <w:bCs/>
          <w:b/>
        </w:rPr>
        <w:t xml:space="preserve">फिषः</w:t>
      </w:r>
      <w:r>
        <w:t xml:space="preserve"> </w:t>
      </w:r>
      <w:r>
        <w:t xml:space="preserve">(फि. सू. १) — by the bare-stem accent,</w:t>
      </w:r>
      <w:r>
        <w:t xml:space="preserve"> </w:t>
      </w:r>
      <w:r>
        <w:t xml:space="preserve">“</w:t>
      </w:r>
      <w:r>
        <w:t xml:space="preserve">ketu</w:t>
      </w:r>
      <w:r>
        <w:t xml:space="preserve">”</w:t>
      </w:r>
      <w:r>
        <w:t xml:space="preserve"> </w:t>
      </w:r>
      <w:r>
        <w:t xml:space="preserve">is end-acute.</w:t>
      </w:r>
      <w:r>
        <w:t xml:space="preserve"> </w:t>
      </w:r>
      <w:r>
        <w:rPr>
          <w:bCs/>
          <w:b/>
        </w:rPr>
        <w:t xml:space="preserve">“</w:t>
      </w:r>
      <w:r>
        <w:rPr>
          <w:bCs/>
          <w:b/>
        </w:rPr>
        <w:t xml:space="preserve">Kṛṇvan</w:t>
      </w:r>
      <w:r>
        <w:rPr>
          <w:bCs/>
          <w:b/>
        </w:rPr>
        <w:t xml:space="preserve">”</w:t>
      </w:r>
      <w:r>
        <w:t xml:space="preserve"> </w:t>
      </w:r>
      <w:r>
        <w:t xml:space="preserve">—</w:t>
      </w:r>
      <w:r>
        <w:t xml:space="preserve"> </w:t>
      </w:r>
      <w:r>
        <w:t xml:space="preserve">“</w:t>
      </w:r>
      <w:r>
        <w:t xml:space="preserve">kṛvi hiṃsā-karaṇayoś ca</w:t>
      </w:r>
      <w:r>
        <w:t xml:space="preserve">”</w:t>
      </w:r>
      <w:r>
        <w:t xml:space="preserve"> </w:t>
      </w:r>
      <w:r>
        <w:t xml:space="preserve">(to injure; to do): after</w:t>
      </w:r>
      <w:r>
        <w:t xml:space="preserve"> </w:t>
      </w:r>
      <w:r>
        <w:t xml:space="preserve">“</w:t>
      </w:r>
      <w:r>
        <w:t xml:space="preserve">laṭ,</w:t>
      </w:r>
      <w:r>
        <w:t xml:space="preserve">”</w:t>
      </w:r>
      <w:r>
        <w:t xml:space="preserve"> </w:t>
      </w:r>
      <w:r>
        <w:t xml:space="preserve">the substitute</w:t>
      </w:r>
      <w:r>
        <w:t xml:space="preserve"> </w:t>
      </w:r>
      <w:r>
        <w:t xml:space="preserve">“</w:t>
      </w:r>
      <w:r>
        <w:t xml:space="preserve">śatṛ</w:t>
      </w:r>
      <w:r>
        <w:t xml:space="preserve">”</w:t>
      </w:r>
      <w:r>
        <w:t xml:space="preserve"> </w:t>
      </w:r>
      <w:r>
        <w:t xml:space="preserve">(</w:t>
      </w:r>
      <w:r>
        <w:rPr>
          <w:bCs/>
          <w:b/>
        </w:rPr>
        <w:t xml:space="preserve">लटः शतृशानचावप्रथमासमानाधिकरणे</w:t>
      </w:r>
      <w:r>
        <w:t xml:space="preserve">, पा. ३-२-१२४); the root is</w:t>
      </w:r>
      <w:r>
        <w:t xml:space="preserve"> </w:t>
      </w:r>
      <w:r>
        <w:t xml:space="preserve">“</w:t>
      </w:r>
      <w:r>
        <w:t xml:space="preserve">i</w:t>
      </w:r>
      <w:r>
        <w:t xml:space="preserve">”</w:t>
      </w:r>
      <w:r>
        <w:t xml:space="preserve">-marked (</w:t>
      </w:r>
      <w:r>
        <w:rPr>
          <w:bCs/>
          <w:b/>
        </w:rPr>
        <w:t xml:space="preserve">इदितो नुम् धातोः</w:t>
      </w:r>
      <w:r>
        <w:t xml:space="preserve">, पा. ७-१-५८), so</w:t>
      </w:r>
      <w:r>
        <w:t xml:space="preserve"> </w:t>
      </w:r>
      <w:r>
        <w:t xml:space="preserve">“</w:t>
      </w:r>
      <w:r>
        <w:t xml:space="preserve">num</w:t>
      </w:r>
      <w:r>
        <w:t xml:space="preserve">”</w:t>
      </w:r>
      <w:r>
        <w:t xml:space="preserve"> </w:t>
      </w:r>
      <w:r>
        <w:t xml:space="preserve">is added; by the paribhāṣā</w:t>
      </w:r>
      <w:r>
        <w:t xml:space="preserve"> </w:t>
      </w:r>
      <w:r>
        <w:rPr>
          <w:bCs/>
          <w:b/>
        </w:rPr>
        <w:t xml:space="preserve">मिदचोऽन्त्यात्परः</w:t>
      </w:r>
      <w:r>
        <w:t xml:space="preserve"> </w:t>
      </w:r>
      <w:r>
        <w:t xml:space="preserve">(पा. १-१-४७) the</w:t>
      </w:r>
      <w:r>
        <w:t xml:space="preserve"> </w:t>
      </w:r>
      <w:r>
        <w:t xml:space="preserve">“</w:t>
      </w:r>
      <w:r>
        <w:t xml:space="preserve">num</w:t>
      </w:r>
      <w:r>
        <w:t xml:space="preserve">”</w:t>
      </w:r>
      <w:r>
        <w:t xml:space="preserve"> </w:t>
      </w:r>
      <w:r>
        <w:t xml:space="preserve">is placed after the last vowel:</w:t>
      </w:r>
      <w:r>
        <w:t xml:space="preserve"> </w:t>
      </w:r>
      <w:r>
        <w:t xml:space="preserve">“</w:t>
      </w:r>
      <w:r>
        <w:t xml:space="preserve">kṛṇv</w:t>
      </w:r>
      <w:r>
        <w:t xml:space="preserve">”</w:t>
      </w:r>
      <w:r>
        <w:t xml:space="preserve">; the agent-affix</w:t>
      </w:r>
      <w:r>
        <w:t xml:space="preserve"> </w:t>
      </w:r>
      <w:r>
        <w:t xml:space="preserve">“</w:t>
      </w:r>
      <w:r>
        <w:t xml:space="preserve">śap</w:t>
      </w:r>
      <w:r>
        <w:t xml:space="preserve">”</w:t>
      </w:r>
      <w:r>
        <w:t xml:space="preserve"> </w:t>
      </w:r>
      <w:r>
        <w:t xml:space="preserve">would come by</w:t>
      </w:r>
      <w:r>
        <w:t xml:space="preserve"> </w:t>
      </w:r>
      <w:r>
        <w:rPr>
          <w:bCs/>
          <w:b/>
        </w:rPr>
        <w:t xml:space="preserve">कर्तरि शप्</w:t>
      </w:r>
      <w:r>
        <w:t xml:space="preserve"> </w:t>
      </w:r>
      <w:r>
        <w:t xml:space="preserve">(पा. ३-१-६८), but, as it would be unsuitable, by</w:t>
      </w:r>
      <w:r>
        <w:t xml:space="preserve"> </w:t>
      </w:r>
      <w:r>
        <w:rPr>
          <w:bCs/>
          <w:b/>
        </w:rPr>
        <w:t xml:space="preserve">धिन्विकृण्व्योर च</w:t>
      </w:r>
      <w:r>
        <w:t xml:space="preserve"> </w:t>
      </w:r>
      <w:r>
        <w:t xml:space="preserve">(पा. ३-१-८०) — after</w:t>
      </w:r>
      <w:r>
        <w:t xml:space="preserve"> </w:t>
      </w:r>
      <w:r>
        <w:t xml:space="preserve">“</w:t>
      </w:r>
      <w:r>
        <w:t xml:space="preserve">dhinv</w:t>
      </w:r>
      <w:r>
        <w:t xml:space="preserve">”</w:t>
      </w:r>
      <w:r>
        <w:t xml:space="preserve"> </w:t>
      </w:r>
      <w:r>
        <w:t xml:space="preserve">and</w:t>
      </w:r>
      <w:r>
        <w:t xml:space="preserve"> </w:t>
      </w:r>
      <w:r>
        <w:t xml:space="preserve">“</w:t>
      </w:r>
      <w:r>
        <w:t xml:space="preserve">kṛṇv,</w:t>
      </w:r>
      <w:r>
        <w:t xml:space="preserve">”</w:t>
      </w:r>
      <w:r>
        <w:t xml:space="preserve"> </w:t>
      </w:r>
      <w:r>
        <w:t xml:space="preserve">the final</w:t>
      </w:r>
      <w:r>
        <w:t xml:space="preserve"> </w:t>
      </w:r>
      <w:r>
        <w:t xml:space="preserve">“</w:t>
      </w:r>
      <w:r>
        <w:t xml:space="preserve">v</w:t>
      </w:r>
      <w:r>
        <w:t xml:space="preserve">”</w:t>
      </w:r>
      <w:r>
        <w:t xml:space="preserve"> </w:t>
      </w:r>
      <w:r>
        <w:t xml:space="preserve">is replaced by</w:t>
      </w:r>
      <w:r>
        <w:t xml:space="preserve"> </w:t>
      </w:r>
      <w:r>
        <w:t xml:space="preserve">“</w:t>
      </w:r>
      <w:r>
        <w:t xml:space="preserve">a,</w:t>
      </w:r>
      <w:r>
        <w:t xml:space="preserve">”</w:t>
      </w:r>
      <w:r>
        <w:t xml:space="preserve"> </w:t>
      </w:r>
      <w:r>
        <w:t xml:space="preserve">and in place of the</w:t>
      </w:r>
      <w:r>
        <w:t xml:space="preserve"> </w:t>
      </w:r>
      <w:r>
        <w:t xml:space="preserve">“</w:t>
      </w:r>
      <w:r>
        <w:t xml:space="preserve">śap</w:t>
      </w:r>
      <w:r>
        <w:t xml:space="preserve">”</w:t>
      </w:r>
      <w:r>
        <w:t xml:space="preserve"> </w:t>
      </w:r>
      <w:r>
        <w:t xml:space="preserve">vikaraṇa the affix</w:t>
      </w:r>
      <w:r>
        <w:t xml:space="preserve"> </w:t>
      </w:r>
      <w:r>
        <w:t xml:space="preserve">“</w:t>
      </w:r>
      <w:r>
        <w:t xml:space="preserve">u</w:t>
      </w:r>
      <w:r>
        <w:t xml:space="preserve">”</w:t>
      </w:r>
      <w:r>
        <w:t xml:space="preserve"> </w:t>
      </w:r>
      <w:r>
        <w:t xml:space="preserve">comes —</w:t>
      </w:r>
      <w:r>
        <w:t xml:space="preserve"> </w:t>
      </w:r>
      <w:r>
        <w:t xml:space="preserve">“</w:t>
      </w:r>
      <w:r>
        <w:t xml:space="preserve">kṛṇ + u + at</w:t>
      </w:r>
      <w:r>
        <w:t xml:space="preserve">”</w:t>
      </w:r>
      <w:r>
        <w:t xml:space="preserve">;</w:t>
      </w:r>
      <w:r>
        <w:t xml:space="preserve"> </w:t>
      </w:r>
      <w:r>
        <w:rPr>
          <w:bCs/>
          <w:b/>
        </w:rPr>
        <w:t xml:space="preserve">अतो लोपः</w:t>
      </w:r>
      <w:r>
        <w:t xml:space="preserve"> </w:t>
      </w:r>
      <w:r>
        <w:t xml:space="preserve">(पा. ६-४-४८; printed</w:t>
      </w:r>
      <w:r>
        <w:t xml:space="preserve"> </w:t>
      </w:r>
      <w:r>
        <w:t xml:space="preserve">“</w:t>
      </w:r>
      <w:r>
        <w:t xml:space="preserve">3-1-80</w:t>
      </w:r>
      <w:r>
        <w:t xml:space="preserve">”</w:t>
      </w:r>
      <w:r>
        <w:t xml:space="preserve">) — an</w:t>
      </w:r>
      <w:r>
        <w:t xml:space="preserve"> </w:t>
      </w:r>
      <w:r>
        <w:t xml:space="preserve">“</w:t>
      </w:r>
      <w:r>
        <w:t xml:space="preserve">a</w:t>
      </w:r>
      <w:r>
        <w:t xml:space="preserve">”</w:t>
      </w:r>
      <w:r>
        <w:t xml:space="preserve"> </w:t>
      </w:r>
      <w:r>
        <w:t xml:space="preserve">before an ārdhadhātuka that begins with a vowel is elided — the</w:t>
      </w:r>
      <w:r>
        <w:t xml:space="preserve"> </w:t>
      </w:r>
      <w:r>
        <w:t xml:space="preserve">“</w:t>
      </w:r>
      <w:r>
        <w:t xml:space="preserve">a</w:t>
      </w:r>
      <w:r>
        <w:t xml:space="preserve">”</w:t>
      </w:r>
      <w:r>
        <w:t xml:space="preserve"> </w:t>
      </w:r>
      <w:r>
        <w:t xml:space="preserve">before</w:t>
      </w:r>
      <w:r>
        <w:t xml:space="preserve"> </w:t>
      </w:r>
      <w:r>
        <w:t xml:space="preserve">“</w:t>
      </w:r>
      <w:r>
        <w:t xml:space="preserve">u</w:t>
      </w:r>
      <w:r>
        <w:t xml:space="preserve">”</w:t>
      </w:r>
      <w:r>
        <w:t xml:space="preserve"> </w:t>
      </w:r>
      <w:r>
        <w:t xml:space="preserve">is elided; then</w:t>
      </w:r>
      <w:r>
        <w:t xml:space="preserve"> </w:t>
      </w:r>
      <w:r>
        <w:rPr>
          <w:bCs/>
          <w:b/>
        </w:rPr>
        <w:t xml:space="preserve">पुगन्तलघूपधस्य च</w:t>
      </w:r>
      <w:r>
        <w:t xml:space="preserve"> </w:t>
      </w:r>
      <w:r>
        <w:t xml:space="preserve">(पा. ७-३-८६) would give guṇa to the light penultimate before a sārvadhātuka or ārdhadhātuka affix, but the</w:t>
      </w:r>
      <w:r>
        <w:t xml:space="preserve"> </w:t>
      </w:r>
      <w:r>
        <w:t xml:space="preserve">“</w:t>
      </w:r>
      <w:r>
        <w:t xml:space="preserve">a</w:t>
      </w:r>
      <w:r>
        <w:t xml:space="preserve">”</w:t>
      </w:r>
      <w:r>
        <w:t xml:space="preserve">-elision is treated as present,</w:t>
      </w:r>
      <w:r>
        <w:t xml:space="preserve"> </w:t>
      </w:r>
      <w:r>
        <w:rPr>
          <w:bCs/>
          <w:b/>
        </w:rPr>
        <w:t xml:space="preserve">अचः परस्मिन्पूर्वविधौ</w:t>
      </w:r>
      <w:r>
        <w:t xml:space="preserve"> </w:t>
      </w:r>
      <w:r>
        <w:t xml:space="preserve">(पा. १-१-५७) — so the guṇa does not occur.</w:t>
      </w:r>
      <w:r>
        <w:t xml:space="preserve"> </w:t>
      </w:r>
      <w:r>
        <w:rPr>
          <w:iCs/>
          <w:i/>
        </w:rPr>
        <w:t xml:space="preserve">(The page ends in the middle of an argument about whether a single intervening letter blocks the operation —</w:t>
      </w:r>
      <w:r>
        <w:rPr>
          <w:iCs/>
          <w:i/>
        </w:rPr>
        <w:t xml:space="preserve"> </w:t>
      </w:r>
      <w:r>
        <w:rPr>
          <w:iCs/>
          <w:i/>
        </w:rPr>
        <w:t xml:space="preserve">“</w:t>
      </w:r>
      <w:r>
        <w:rPr>
          <w:iCs/>
          <w:i/>
        </w:rPr>
        <w:t xml:space="preserve">vyavadhāna</w:t>
      </w:r>
      <w:r>
        <w:rPr>
          <w:iCs/>
          <w:i/>
        </w:rPr>
        <w:t xml:space="preserve">”</w:t>
      </w:r>
      <w:r>
        <w:rPr>
          <w:iCs/>
          <w:i/>
        </w:rPr>
        <w:t xml:space="preserve"> </w:t>
      </w:r>
      <w:r>
        <w:rPr>
          <w:iCs/>
          <w:i/>
        </w:rPr>
        <w:t xml:space="preserve">— concluding that a mere letter-interposition does not prevent the rule when a rule’s own wording requires it (</w:t>
      </w:r>
      <w:r>
        <w:rPr>
          <w:iCs/>
          <w:i/>
        </w:rPr>
        <w:t xml:space="preserve">“</w:t>
      </w:r>
      <w:r>
        <w:rPr>
          <w:iCs/>
          <w:i/>
        </w:rPr>
        <w:t xml:space="preserve">vacana-prāmāṇyāt</w:t>
      </w:r>
      <w:r>
        <w:rPr>
          <w:iCs/>
          <w:i/>
        </w:rPr>
        <w:t xml:space="preserve">”</w:t>
      </w:r>
      <w:r>
        <w:rPr>
          <w:iCs/>
          <w:i/>
        </w:rPr>
        <w:t xml:space="preserve">); it continues on the next page.)</w:t>
      </w:r>
    </w:p>
    <w:bookmarkEnd w:id="258"/>
    <w:bookmarkStart w:id="259" w:name="Xdf0212788bee4222dedb0e03510b41c06736072"/>
    <w:p>
      <w:pPr>
        <w:pStyle w:val="Heading3"/>
      </w:pPr>
      <w:r>
        <w:t xml:space="preserve">Pages 221–222 — Rik 6.3 grammar concluded (characterized); Sūkta 6, Fourth Mantra: Saṃhitā, Pada, Sāyaṇa-bhāṣya (opening)</w:t>
      </w:r>
    </w:p>
    <w:p>
      <w:pPr>
        <w:pStyle w:val="FirstParagraph"/>
      </w:pPr>
      <w:r>
        <w:rPr>
          <w:iCs/>
          <w:i/>
        </w:rPr>
        <w:t xml:space="preserve">(Page headers: p. 221</w:t>
      </w:r>
      <w:r>
        <w:rPr>
          <w:iCs/>
          <w:i/>
        </w:rPr>
        <w:t xml:space="preserve"> </w:t>
      </w:r>
      <w:r>
        <w:rPr>
          <w:iCs/>
          <w:i/>
        </w:rPr>
        <w:t xml:space="preserve">“</w:t>
      </w:r>
      <w:r>
        <w:rPr>
          <w:iCs/>
          <w:i/>
        </w:rPr>
        <w:t xml:space="preserve">Aṣṭaka 1, Adhyāya 1, Varga 11 · Ṛgveda-saṃhitā</w:t>
      </w:r>
      <w:r>
        <w:rPr>
          <w:iCs/>
          <w:i/>
        </w:rPr>
        <w:t xml:space="preserve">”</w:t>
      </w:r>
      <w:r>
        <w:rPr>
          <w:iCs/>
          <w:i/>
        </w:rPr>
        <w:t xml:space="preserve">; p. 222</w:t>
      </w:r>
      <w:r>
        <w:rPr>
          <w:iCs/>
          <w:i/>
        </w:rPr>
        <w:t xml:space="preserve"> </w:t>
      </w:r>
      <w:r>
        <w:rPr>
          <w:iCs/>
          <w:i/>
        </w:rPr>
        <w:t xml:space="preserve">“</w:t>
      </w:r>
      <w:r>
        <w:rPr>
          <w:iCs/>
          <w:i/>
        </w:rPr>
        <w:t xml:space="preserve">Sāyaṇa-bhāṣya-sahitā · Maṇḍala 1, Anuvāka 2, Sūkta 6.</w:t>
      </w:r>
      <w:r>
        <w:rPr>
          <w:iCs/>
          <w:i/>
        </w:rPr>
        <w:t xml:space="preserve">”</w:t>
      </w:r>
      <w:r>
        <w:rPr>
          <w:iCs/>
          <w:i/>
        </w:rPr>
        <w:t xml:space="preserve"> </w:t>
      </w:r>
      <w:r>
        <w:rPr>
          <w:iCs/>
          <w:i/>
        </w:rPr>
        <w:t xml:space="preserve">The grammar on p. 221 and the top of p. 222 is</w:t>
      </w:r>
      <w:r>
        <w:rPr>
          <w:iCs/>
          <w:i/>
        </w:rPr>
        <w:t xml:space="preserve"> </w:t>
      </w:r>
      <w:r>
        <w:rPr>
          <w:bCs/>
          <w:b/>
          <w:iCs/>
          <w:i/>
        </w:rPr>
        <w:t xml:space="preserve">pure Pāṇinian derivation in Kannada prose</w:t>
      </w:r>
      <w:r>
        <w:rPr>
          <w:iCs/>
          <w:i/>
        </w:rPr>
        <w:t xml:space="preserve">, restating the Sanskrit of p. 218;</w:t>
      </w:r>
      <w:r>
        <w:rPr>
          <w:iCs/>
          <w:i/>
        </w:rPr>
        <w:t xml:space="preserve"> </w:t>
      </w:r>
      <w:r>
        <w:rPr>
          <w:bCs/>
          <w:b/>
          <w:iCs/>
          <w:i/>
        </w:rPr>
        <w:t xml:space="preserve">characterized in outline</w:t>
      </w:r>
      <w:r>
        <w:rPr>
          <w:iCs/>
          <w:i/>
        </w:rPr>
        <w:t xml:space="preserve">, sūtras kept; re-read from the better scan. Saṃhitā accents as printed; Pada unaccented. Sanskrit printed in Kannada script.)</w:t>
      </w:r>
    </w:p>
    <w:p>
      <w:pPr>
        <w:pStyle w:val="BodyText"/>
      </w:pPr>
      <w:r>
        <w:rPr>
          <w:bCs/>
          <w:b/>
        </w:rPr>
        <w:t xml:space="preserve">p. 221 —</w:t>
      </w:r>
      <w:r>
        <w:rPr>
          <w:bCs/>
          <w:b/>
        </w:rPr>
        <w:t xml:space="preserve"> </w:t>
      </w:r>
      <w:r>
        <w:rPr>
          <w:bCs/>
          <w:b/>
        </w:rPr>
        <w:t xml:space="preserve">“</w:t>
      </w:r>
      <w:r>
        <w:rPr>
          <w:bCs/>
          <w:b/>
        </w:rPr>
        <w:t xml:space="preserve">kṛṇvan</w:t>
      </w:r>
      <w:r>
        <w:rPr>
          <w:bCs/>
          <w:b/>
        </w:rPr>
        <w:t xml:space="preserve">”</w:t>
      </w:r>
      <w:r>
        <w:rPr>
          <w:bCs/>
          <w:b/>
        </w:rPr>
        <w:t xml:space="preserve"> </w:t>
      </w:r>
      <w:r>
        <w:rPr>
          <w:bCs/>
          <w:b/>
        </w:rPr>
        <w:t xml:space="preserve">(concluded) and the other words of Rik 6.3.</w:t>
      </w:r>
      <w:r>
        <w:t xml:space="preserve"> </w:t>
      </w:r>
      <w:r>
        <w:rPr>
          <w:iCs/>
          <w:i/>
        </w:rPr>
        <w:t xml:space="preserve">(Continuing p. 220:)</w:t>
      </w:r>
      <w:r>
        <w:t xml:space="preserve"> </w:t>
      </w:r>
      <w:r>
        <w:t xml:space="preserve">…even with many interposed letters the rule does not apply; but here, through sthānivadbhāva, the</w:t>
      </w:r>
      <w:r>
        <w:t xml:space="preserve"> </w:t>
      </w:r>
      <w:r>
        <w:t xml:space="preserve">“</w:t>
      </w:r>
      <w:r>
        <w:t xml:space="preserve">n</w:t>
      </w:r>
      <w:r>
        <w:t xml:space="preserve">”</w:t>
      </w:r>
      <w:r>
        <w:t xml:space="preserve"> </w:t>
      </w:r>
      <w:r>
        <w:t xml:space="preserve">and</w:t>
      </w:r>
      <w:r>
        <w:t xml:space="preserve"> </w:t>
      </w:r>
      <w:r>
        <w:t xml:space="preserve">“</w:t>
      </w:r>
      <w:r>
        <w:t xml:space="preserve">a</w:t>
      </w:r>
      <w:r>
        <w:t xml:space="preserve">”</w:t>
      </w:r>
      <w:r>
        <w:t xml:space="preserve"> </w:t>
      </w:r>
      <w:r>
        <w:t xml:space="preserve">interpose and so no guṇa comes:</w:t>
      </w:r>
      <w:r>
        <w:t xml:space="preserve"> </w:t>
      </w:r>
      <w:r>
        <w:t xml:space="preserve">“</w:t>
      </w:r>
      <w:r>
        <w:t xml:space="preserve">kṛṇ + u + at.</w:t>
      </w:r>
      <w:r>
        <w:t xml:space="preserve">”</w:t>
      </w:r>
      <w:r>
        <w:t xml:space="preserve"> </w:t>
      </w:r>
      <w:r>
        <w:t xml:space="preserve">Taking the</w:t>
      </w:r>
      <w:r>
        <w:t xml:space="preserve"> </w:t>
      </w:r>
      <w:r>
        <w:t xml:space="preserve">“</w:t>
      </w:r>
      <w:r>
        <w:t xml:space="preserve">śatṛ</w:t>
      </w:r>
      <w:r>
        <w:t xml:space="preserve">”</w:t>
      </w:r>
      <w:r>
        <w:t xml:space="preserve"> </w:t>
      </w:r>
      <w:r>
        <w:t xml:space="preserve">as the ground,</w:t>
      </w:r>
      <w:r>
        <w:t xml:space="preserve"> </w:t>
      </w:r>
      <w:r>
        <w:rPr>
          <w:bCs/>
          <w:b/>
        </w:rPr>
        <w:t xml:space="preserve">सार्वधातुकार्धधातुकयोः</w:t>
      </w:r>
      <w:r>
        <w:t xml:space="preserve"> </w:t>
      </w:r>
      <w:r>
        <w:t xml:space="preserve">(पा. ७-३-८४) would give guṇa, but it is barred by</w:t>
      </w:r>
      <w:r>
        <w:t xml:space="preserve"> </w:t>
      </w:r>
      <w:r>
        <w:rPr>
          <w:bCs/>
          <w:b/>
        </w:rPr>
        <w:t xml:space="preserve">क्ङिति च</w:t>
      </w:r>
      <w:r>
        <w:t xml:space="preserve"> </w:t>
      </w:r>
      <w:r>
        <w:t xml:space="preserve">(पा. १-१-५);</w:t>
      </w:r>
      <w:r>
        <w:t xml:space="preserve"> </w:t>
      </w:r>
      <w:r>
        <w:rPr>
          <w:bCs/>
          <w:b/>
        </w:rPr>
        <w:t xml:space="preserve">इकोयणचि</w:t>
      </w:r>
      <w:r>
        <w:t xml:space="preserve"> </w:t>
      </w:r>
      <w:r>
        <w:t xml:space="preserve">(पा. ६-१-७७) gives the</w:t>
      </w:r>
      <w:r>
        <w:t xml:space="preserve"> </w:t>
      </w:r>
      <w:r>
        <w:t xml:space="preserve">“</w:t>
      </w:r>
      <w:r>
        <w:t xml:space="preserve">y/v</w:t>
      </w:r>
      <w:r>
        <w:t xml:space="preserve">”</w:t>
      </w:r>
      <w:r>
        <w:t xml:space="preserve"> </w:t>
      </w:r>
      <w:r>
        <w:t xml:space="preserve">substitute →</w:t>
      </w:r>
      <w:r>
        <w:t xml:space="preserve"> </w:t>
      </w:r>
      <w:r>
        <w:t xml:space="preserve">“</w:t>
      </w:r>
      <w:r>
        <w:t xml:space="preserve">kṛṇv-at</w:t>
      </w:r>
      <w:r>
        <w:t xml:space="preserve">”</w:t>
      </w:r>
      <w:r>
        <w:t xml:space="preserve">; since</w:t>
      </w:r>
      <w:r>
        <w:t xml:space="preserve"> </w:t>
      </w:r>
      <w:r>
        <w:t xml:space="preserve">“</w:t>
      </w:r>
      <w:r>
        <w:t xml:space="preserve">śatṛ</w:t>
      </w:r>
      <w:r>
        <w:t xml:space="preserve">”</w:t>
      </w:r>
      <w:r>
        <w:t xml:space="preserve"> </w:t>
      </w:r>
      <w:r>
        <w:t xml:space="preserve">is not at the beginning of the (substituted) stem,</w:t>
      </w:r>
      <w:r>
        <w:t xml:space="preserve"> </w:t>
      </w:r>
      <w:r>
        <w:rPr>
          <w:bCs/>
          <w:b/>
        </w:rPr>
        <w:t xml:space="preserve">तास्यनुदात्तेन्ङिद…</w:t>
      </w:r>
      <w:r>
        <w:t xml:space="preserve"> </w:t>
      </w:r>
      <w:r>
        <w:t xml:space="preserve">does not give it the unaccented; the affix-accent holds:</w:t>
      </w:r>
      <w:r>
        <w:t xml:space="preserve"> </w:t>
      </w:r>
      <w:r>
        <w:t xml:space="preserve">“</w:t>
      </w:r>
      <w:r>
        <w:t xml:space="preserve">śatṛ</w:t>
      </w:r>
      <w:r>
        <w:t xml:space="preserve">”</w:t>
      </w:r>
      <w:r>
        <w:t xml:space="preserve"> </w:t>
      </w:r>
      <w:r>
        <w:t xml:space="preserve">is acute on its</w:t>
      </w:r>
      <w:r>
        <w:t xml:space="preserve"> </w:t>
      </w:r>
      <w:r>
        <w:t xml:space="preserve">“</w:t>
      </w:r>
      <w:r>
        <w:t xml:space="preserve">a.</w:t>
      </w:r>
      <w:r>
        <w:t xml:space="preserve">”</w:t>
      </w:r>
      <w:r>
        <w:t xml:space="preserve"> </w:t>
      </w:r>
      <w:r>
        <w:rPr>
          <w:bCs/>
          <w:b/>
        </w:rPr>
        <w:t xml:space="preserve">ऋवर्णान्नस्य णत्वं वाच्यम्</w:t>
      </w:r>
      <w:r>
        <w:t xml:space="preserve"> </w:t>
      </w:r>
      <w:r>
        <w:t xml:space="preserve">(पा. ८-४-११ [as printed]) —</w:t>
      </w:r>
      <w:r>
        <w:t xml:space="preserve"> </w:t>
      </w:r>
      <w:r>
        <w:t xml:space="preserve">“</w:t>
      </w:r>
      <w:r>
        <w:t xml:space="preserve">ṇ</w:t>
      </w:r>
      <w:r>
        <w:t xml:space="preserve">”</w:t>
      </w:r>
      <w:r>
        <w:t xml:space="preserve"> </w:t>
      </w:r>
      <w:r>
        <w:t xml:space="preserve">for</w:t>
      </w:r>
      <w:r>
        <w:t xml:space="preserve"> </w:t>
      </w:r>
      <w:r>
        <w:t xml:space="preserve">“</w:t>
      </w:r>
      <w:r>
        <w:t xml:space="preserve">n</w:t>
      </w:r>
      <w:r>
        <w:t xml:space="preserve">”</w:t>
      </w:r>
      <w:r>
        <w:t xml:space="preserve"> </w:t>
      </w:r>
      <w:r>
        <w:t xml:space="preserve">after</w:t>
      </w:r>
      <w:r>
        <w:t xml:space="preserve"> </w:t>
      </w:r>
      <w:r>
        <w:t xml:space="preserve">“</w:t>
      </w:r>
      <w:r>
        <w:t xml:space="preserve">ṛ,</w:t>
      </w:r>
      <w:r>
        <w:t xml:space="preserve">”</w:t>
      </w:r>
      <w:r>
        <w:t xml:space="preserve"> </w:t>
      </w:r>
      <w:r>
        <w:t xml:space="preserve">so</w:t>
      </w:r>
      <w:r>
        <w:t xml:space="preserve"> </w:t>
      </w:r>
      <w:r>
        <w:t xml:space="preserve">“</w:t>
      </w:r>
      <w:r>
        <w:t xml:space="preserve">kṛṇv</w:t>
      </w:r>
      <w:r>
        <w:t xml:space="preserve">”</w:t>
      </w:r>
      <w:r>
        <w:t xml:space="preserve">; then</w:t>
      </w:r>
      <w:r>
        <w:t xml:space="preserve"> </w:t>
      </w:r>
      <w:r>
        <w:t xml:space="preserve">“</w:t>
      </w:r>
      <w:r>
        <w:t xml:space="preserve">su</w:t>
      </w:r>
      <w:r>
        <w:t xml:space="preserve">”</w:t>
      </w:r>
      <w:r>
        <w:t xml:space="preserve"> </w:t>
      </w:r>
      <w:r>
        <w:t xml:space="preserve">…</w:t>
      </w:r>
      <w:r>
        <w:t xml:space="preserve"> </w:t>
      </w:r>
      <w:r>
        <w:rPr>
          <w:bCs/>
          <w:b/>
        </w:rPr>
        <w:t xml:space="preserve">उगिदचां सर्वनामस्थानेऽधातोः</w:t>
      </w:r>
      <w:r>
        <w:t xml:space="preserve"> </w:t>
      </w:r>
      <w:r>
        <w:t xml:space="preserve">(पा. ७-१-७०) the</w:t>
      </w:r>
      <w:r>
        <w:t xml:space="preserve"> </w:t>
      </w:r>
      <w:r>
        <w:t xml:space="preserve">“</w:t>
      </w:r>
      <w:r>
        <w:t xml:space="preserve">num</w:t>
      </w:r>
      <w:r>
        <w:t xml:space="preserve">”</w:t>
      </w:r>
      <w:r>
        <w:t xml:space="preserve"> </w:t>
      </w:r>
      <w:r>
        <w:t xml:space="preserve">augment;</w:t>
      </w:r>
      <w:r>
        <w:t xml:space="preserve"> </w:t>
      </w:r>
      <w:r>
        <w:rPr>
          <w:bCs/>
          <w:b/>
        </w:rPr>
        <w:t xml:space="preserve">हल्ङ्याब्भ्यो दीर्घात्सुतिस्यपृक्तं हल्</w:t>
      </w:r>
      <w:r>
        <w:t xml:space="preserve"> </w:t>
      </w:r>
      <w:r>
        <w:t xml:space="preserve">(पा. ६-१-६८) elides</w:t>
      </w:r>
      <w:r>
        <w:t xml:space="preserve"> </w:t>
      </w:r>
      <w:r>
        <w:t xml:space="preserve">“</w:t>
      </w:r>
      <w:r>
        <w:t xml:space="preserve">su</w:t>
      </w:r>
      <w:r>
        <w:t xml:space="preserve">”</w:t>
      </w:r>
      <w:r>
        <w:t xml:space="preserve">;</w:t>
      </w:r>
      <w:r>
        <w:t xml:space="preserve"> </w:t>
      </w:r>
      <w:r>
        <w:rPr>
          <w:bCs/>
          <w:b/>
        </w:rPr>
        <w:t xml:space="preserve">संयोगान्तस्य लोपः</w:t>
      </w:r>
      <w:r>
        <w:t xml:space="preserve"> </w:t>
      </w:r>
      <w:r>
        <w:t xml:space="preserve">(पा. ८-२-२३) elides the</w:t>
      </w:r>
      <w:r>
        <w:t xml:space="preserve"> </w:t>
      </w:r>
      <w:r>
        <w:t xml:space="preserve">“</w:t>
      </w:r>
      <w:r>
        <w:t xml:space="preserve">t</w:t>
      </w:r>
      <w:r>
        <w:t xml:space="preserve">”</w:t>
      </w:r>
      <w:r>
        <w:t xml:space="preserve">; the elision being</w:t>
      </w:r>
      <w:r>
        <w:t xml:space="preserve"> </w:t>
      </w:r>
      <w:r>
        <w:t xml:space="preserve">“</w:t>
      </w:r>
      <w:r>
        <w:t xml:space="preserve">asiddha,</w:t>
      </w:r>
      <w:r>
        <w:t xml:space="preserve">”</w:t>
      </w:r>
      <w:r>
        <w:t xml:space="preserve"> </w:t>
      </w:r>
      <w:r>
        <w:t xml:space="preserve">the</w:t>
      </w:r>
      <w:r>
        <w:t xml:space="preserve"> </w:t>
      </w:r>
      <w:r>
        <w:t xml:space="preserve">“</w:t>
      </w:r>
      <w:r>
        <w:t xml:space="preserve">n</w:t>
      </w:r>
      <w:r>
        <w:t xml:space="preserve">”</w:t>
      </w:r>
      <w:r>
        <w:t xml:space="preserve"> </w:t>
      </w:r>
      <w:r>
        <w:t xml:space="preserve">is not elided:</w:t>
      </w:r>
      <w:r>
        <w:t xml:space="preserve"> </w:t>
      </w:r>
      <w:r>
        <w:rPr>
          <w:bCs/>
          <w:b/>
        </w:rPr>
        <w:t xml:space="preserve">“</w:t>
      </w:r>
      <w:r>
        <w:rPr>
          <w:bCs/>
          <w:b/>
        </w:rPr>
        <w:t xml:space="preserve">kṛṇvan.</w:t>
      </w:r>
      <w:r>
        <w:rPr>
          <w:bCs/>
          <w:b/>
        </w:rPr>
        <w:t xml:space="preserve">”</w:t>
      </w:r>
      <w:r>
        <w:t xml:space="preserve"> </w:t>
      </w:r>
      <w:r>
        <w:rPr>
          <w:bCs/>
          <w:b/>
        </w:rPr>
        <w:t xml:space="preserve">“</w:t>
      </w:r>
      <w:r>
        <w:rPr>
          <w:bCs/>
          <w:b/>
        </w:rPr>
        <w:t xml:space="preserve">Aketave</w:t>
      </w:r>
      <w:r>
        <w:rPr>
          <w:bCs/>
          <w:b/>
        </w:rPr>
        <w:t xml:space="preserve">”</w:t>
      </w:r>
      <w:r>
        <w:t xml:space="preserve"> </w:t>
      </w:r>
      <w:r>
        <w:t xml:space="preserve">— a</w:t>
      </w:r>
      <w:r>
        <w:t xml:space="preserve"> </w:t>
      </w:r>
      <w:r>
        <w:t xml:space="preserve">“</w:t>
      </w:r>
      <w:r>
        <w:t xml:space="preserve">nañ</w:t>
      </w:r>
      <w:r>
        <w:t xml:space="preserve">”</w:t>
      </w:r>
      <w:r>
        <w:t xml:space="preserve"> </w:t>
      </w:r>
      <w:r>
        <w:t xml:space="preserve">bahuvrīhi (</w:t>
      </w:r>
      <w:r>
        <w:rPr>
          <w:bCs/>
          <w:b/>
        </w:rPr>
        <w:t xml:space="preserve">नञ्सुभ्याम्</w:t>
      </w:r>
      <w:r>
        <w:t xml:space="preserve">, पा. ६-२-१७२), second member end-acute.</w:t>
      </w:r>
      <w:r>
        <w:t xml:space="preserve"> </w:t>
      </w:r>
      <w:r>
        <w:rPr>
          <w:bCs/>
          <w:b/>
        </w:rPr>
        <w:t xml:space="preserve">“</w:t>
      </w:r>
      <w:r>
        <w:rPr>
          <w:bCs/>
          <w:b/>
        </w:rPr>
        <w:t xml:space="preserve">Peśaḥ</w:t>
      </w:r>
      <w:r>
        <w:rPr>
          <w:bCs/>
          <w:b/>
        </w:rPr>
        <w:t xml:space="preserve">”</w:t>
      </w:r>
      <w:r>
        <w:t xml:space="preserve"> </w:t>
      </w:r>
      <w:r>
        <w:t xml:space="preserve">— first-syllable acute (</w:t>
      </w:r>
      <w:r>
        <w:rPr>
          <w:bCs/>
          <w:b/>
        </w:rPr>
        <w:t xml:space="preserve">नब्विषयस्यानिसन्तस्य</w:t>
      </w:r>
      <w:r>
        <w:t xml:space="preserve">, फि. सू. २६ [printed</w:t>
      </w:r>
      <w:r>
        <w:t xml:space="preserve"> </w:t>
      </w:r>
      <w:r>
        <w:t xml:space="preserve">“</w:t>
      </w:r>
      <w:r>
        <w:t xml:space="preserve">Gā. sū. 26</w:t>
      </w:r>
      <w:r>
        <w:t xml:space="preserve">”</w:t>
      </w:r>
      <w:r>
        <w:t xml:space="preserve">]).</w:t>
      </w:r>
      <w:r>
        <w:t xml:space="preserve"> </w:t>
      </w:r>
      <w:r>
        <w:rPr>
          <w:bCs/>
          <w:b/>
        </w:rPr>
        <w:t xml:space="preserve">“</w:t>
      </w:r>
      <w:r>
        <w:rPr>
          <w:bCs/>
          <w:b/>
        </w:rPr>
        <w:t xml:space="preserve">Maryāḥ</w:t>
      </w:r>
      <w:r>
        <w:rPr>
          <w:bCs/>
          <w:b/>
        </w:rPr>
        <w:t xml:space="preserve">”</w:t>
      </w:r>
      <w:r>
        <w:t xml:space="preserve"> </w:t>
      </w:r>
      <w:r>
        <w:t xml:space="preserve">—</w:t>
      </w:r>
      <w:r>
        <w:t xml:space="preserve"> </w:t>
      </w:r>
      <w:r>
        <w:rPr>
          <w:bCs/>
          <w:b/>
        </w:rPr>
        <w:t xml:space="preserve">छन्दसि निष्टर्क्य…मर्यस्तर्यध्वर्य…</w:t>
      </w:r>
      <w:r>
        <w:t xml:space="preserve"> </w:t>
      </w:r>
      <w:r>
        <w:t xml:space="preserve">(पा. ३-१-१२३): in the Veda these forms are given as nipātanas, and</w:t>
      </w:r>
      <w:r>
        <w:t xml:space="preserve"> </w:t>
      </w:r>
      <w:r>
        <w:t xml:space="preserve">“</w:t>
      </w:r>
      <w:r>
        <w:t xml:space="preserve">yat</w:t>
      </w:r>
      <w:r>
        <w:t xml:space="preserve">”</w:t>
      </w:r>
      <w:r>
        <w:t xml:space="preserve"> </w:t>
      </w:r>
      <w:r>
        <w:t xml:space="preserve">after</w:t>
      </w:r>
      <w:r>
        <w:t xml:space="preserve"> </w:t>
      </w:r>
      <w:r>
        <w:t xml:space="preserve">“</w:t>
      </w:r>
      <w:r>
        <w:t xml:space="preserve">mṛṅ</w:t>
      </w:r>
      <w:r>
        <w:t xml:space="preserve">”</w:t>
      </w:r>
      <w:r>
        <w:t xml:space="preserve"> </w:t>
      </w:r>
      <w:r>
        <w:t xml:space="preserve">is so given; since</w:t>
      </w:r>
      <w:r>
        <w:t xml:space="preserve"> </w:t>
      </w:r>
      <w:r>
        <w:t xml:space="preserve">“</w:t>
      </w:r>
      <w:r>
        <w:t xml:space="preserve">marya</w:t>
      </w:r>
      <w:r>
        <w:t xml:space="preserve">”</w:t>
      </w:r>
      <w:r>
        <w:t xml:space="preserve"> </w:t>
      </w:r>
      <w:r>
        <w:t xml:space="preserve">is among the nipātanas, being a vocative it is unaccented (</w:t>
      </w:r>
      <w:r>
        <w:rPr>
          <w:bCs/>
          <w:b/>
        </w:rPr>
        <w:t xml:space="preserve">आमन्त्रितस्य च</w:t>
      </w:r>
      <w:r>
        <w:t xml:space="preserve">, पा. ८-१-१९);</w:t>
      </w:r>
      <w:r>
        <w:t xml:space="preserve"> </w:t>
      </w:r>
      <w:r>
        <w:t xml:space="preserve">“</w:t>
      </w:r>
      <w:r>
        <w:t xml:space="preserve">peśaḥ</w:t>
      </w:r>
      <w:r>
        <w:t xml:space="preserve">”</w:t>
      </w:r>
      <w:r>
        <w:t xml:space="preserve"> </w:t>
      </w:r>
      <w:r>
        <w:t xml:space="preserve">and</w:t>
      </w:r>
      <w:r>
        <w:t xml:space="preserve"> </w:t>
      </w:r>
      <w:r>
        <w:t xml:space="preserve">“</w:t>
      </w:r>
      <w:r>
        <w:t xml:space="preserve">maryāḥ</w:t>
      </w:r>
      <w:r>
        <w:t xml:space="preserve">”</w:t>
      </w:r>
      <w:r>
        <w:t xml:space="preserve"> </w:t>
      </w:r>
      <w:r>
        <w:t xml:space="preserve">have no mutual connection, so</w:t>
      </w:r>
      <w:r>
        <w:t xml:space="preserve"> </w:t>
      </w:r>
      <w:r>
        <w:t xml:space="preserve">“</w:t>
      </w:r>
      <w:r>
        <w:t xml:space="preserve">parāṅgavad-bhāva</w:t>
      </w:r>
      <w:r>
        <w:t xml:space="preserve">”</w:t>
      </w:r>
      <w:r>
        <w:t xml:space="preserve"> </w:t>
      </w:r>
      <w:r>
        <w:t xml:space="preserve">does not occur (</w:t>
      </w:r>
      <w:r>
        <w:rPr>
          <w:bCs/>
          <w:b/>
        </w:rPr>
        <w:t xml:space="preserve">सुबामन्त्रिते पराङ्गवत्स्वरे</w:t>
      </w:r>
      <w:r>
        <w:t xml:space="preserve">, पा. २-१-२).</w:t>
      </w:r>
      <w:r>
        <w:t xml:space="preserve"> </w:t>
      </w:r>
      <w:r>
        <w:rPr>
          <w:bCs/>
          <w:b/>
        </w:rPr>
        <w:t xml:space="preserve">“</w:t>
      </w:r>
      <w:r>
        <w:rPr>
          <w:bCs/>
          <w:b/>
        </w:rPr>
        <w:t xml:space="preserve">Apeśase</w:t>
      </w:r>
      <w:r>
        <w:rPr>
          <w:bCs/>
          <w:b/>
        </w:rPr>
        <w:t xml:space="preserve">”</w:t>
      </w:r>
      <w:r>
        <w:t xml:space="preserve"> </w:t>
      </w:r>
      <w:r>
        <w:t xml:space="preserve">—</w:t>
      </w:r>
      <w:r>
        <w:t xml:space="preserve"> </w:t>
      </w:r>
      <w:r>
        <w:rPr>
          <w:bCs/>
          <w:b/>
        </w:rPr>
        <w:t xml:space="preserve">नञ्सुभ्याम्</w:t>
      </w:r>
      <w:r>
        <w:t xml:space="preserve">, end-acute.</w:t>
      </w:r>
      <w:r>
        <w:t xml:space="preserve"> </w:t>
      </w:r>
      <w:r>
        <w:rPr>
          <w:bCs/>
          <w:b/>
        </w:rPr>
        <w:t xml:space="preserve">“</w:t>
      </w:r>
      <w:r>
        <w:rPr>
          <w:bCs/>
          <w:b/>
        </w:rPr>
        <w:t xml:space="preserve">Sam</w:t>
      </w:r>
      <w:r>
        <w:rPr>
          <w:bCs/>
          <w:b/>
        </w:rPr>
        <w:t xml:space="preserve">”</w:t>
      </w:r>
      <w:r>
        <w:t xml:space="preserve"> </w:t>
      </w:r>
      <w:r>
        <w:t xml:space="preserve">— a particle, first-syllable acute.</w:t>
      </w:r>
      <w:r>
        <w:t xml:space="preserve"> </w:t>
      </w:r>
      <w:r>
        <w:rPr>
          <w:bCs/>
          <w:b/>
        </w:rPr>
        <w:t xml:space="preserve">“</w:t>
      </w:r>
      <w:r>
        <w:rPr>
          <w:bCs/>
          <w:b/>
        </w:rPr>
        <w:t xml:space="preserve">Uṣadbhiḥ</w:t>
      </w:r>
      <w:r>
        <w:rPr>
          <w:bCs/>
          <w:b/>
        </w:rPr>
        <w:t xml:space="preserve">”</w:t>
      </w:r>
      <w:r>
        <w:t xml:space="preserve"> </w:t>
      </w:r>
      <w:r>
        <w:t xml:space="preserve">—</w:t>
      </w:r>
      <w:r>
        <w:t xml:space="preserve"> </w:t>
      </w:r>
      <w:r>
        <w:t xml:space="preserve">“</w:t>
      </w:r>
      <w:r>
        <w:t xml:space="preserve">uṣa dāhe</w:t>
      </w:r>
      <w:r>
        <w:t xml:space="preserve">”</w:t>
      </w:r>
      <w:r>
        <w:t xml:space="preserve"> </w:t>
      </w:r>
      <w:r>
        <w:t xml:space="preserve">(to burn):</w:t>
      </w:r>
      <w:r>
        <w:t xml:space="preserve"> </w:t>
      </w:r>
      <w:r>
        <w:t xml:space="preserve">“</w:t>
      </w:r>
      <w:r>
        <w:t xml:space="preserve">laṭ</w:t>
      </w:r>
      <w:r>
        <w:t xml:space="preserve">”</w:t>
      </w:r>
      <w:r>
        <w:t xml:space="preserve"> </w:t>
      </w:r>
      <w:r>
        <w:t xml:space="preserve">and</w:t>
      </w:r>
      <w:r>
        <w:t xml:space="preserve"> </w:t>
      </w:r>
      <w:r>
        <w:t xml:space="preserve">“</w:t>
      </w:r>
      <w:r>
        <w:t xml:space="preserve">śatṛ</w:t>
      </w:r>
      <w:r>
        <w:t xml:space="preserve">”</w:t>
      </w:r>
      <w:r>
        <w:t xml:space="preserve">; in place of</w:t>
      </w:r>
      <w:r>
        <w:t xml:space="preserve"> </w:t>
      </w:r>
      <w:r>
        <w:t xml:space="preserve">“</w:t>
      </w:r>
      <w:r>
        <w:t xml:space="preserve">śap,</w:t>
      </w:r>
      <w:r>
        <w:t xml:space="preserve">”</w:t>
      </w:r>
      <w:r>
        <w:t xml:space="preserve"> </w:t>
      </w:r>
      <w:r>
        <w:t xml:space="preserve">by vyatyaya, the vikaraṇa</w:t>
      </w:r>
      <w:r>
        <w:t xml:space="preserve"> </w:t>
      </w:r>
      <w:r>
        <w:t xml:space="preserve">“</w:t>
      </w:r>
      <w:r>
        <w:t xml:space="preserve">śa</w:t>
      </w:r>
      <w:r>
        <w:t xml:space="preserve">”</w:t>
      </w:r>
      <w:r>
        <w:t xml:space="preserve">; the sārvadhātuka is not</w:t>
      </w:r>
      <w:r>
        <w:t xml:space="preserve"> </w:t>
      </w:r>
      <w:r>
        <w:t xml:space="preserve">“</w:t>
      </w:r>
      <w:r>
        <w:t xml:space="preserve">p</w:t>
      </w:r>
      <w:r>
        <w:t xml:space="preserve">”</w:t>
      </w:r>
      <w:r>
        <w:t xml:space="preserve">-marked, so no guṇa for the light penultimate (</w:t>
      </w:r>
      <w:r>
        <w:rPr>
          <w:bCs/>
          <w:b/>
        </w:rPr>
        <w:t xml:space="preserve">क्ङिति च</w:t>
      </w:r>
      <w:r>
        <w:t xml:space="preserve">);</w:t>
      </w:r>
      <w:r>
        <w:t xml:space="preserve"> </w:t>
      </w:r>
      <w:r>
        <w:t xml:space="preserve">“</w:t>
      </w:r>
      <w:r>
        <w:t xml:space="preserve">śa</w:t>
      </w:r>
      <w:r>
        <w:t xml:space="preserve">”</w:t>
      </w:r>
      <w:r>
        <w:t xml:space="preserve"> </w:t>
      </w:r>
      <w:r>
        <w:t xml:space="preserve">is acute by the affix accent; but the following</w:t>
      </w:r>
      <w:r>
        <w:t xml:space="preserve"> </w:t>
      </w:r>
      <w:r>
        <w:t xml:space="preserve">“</w:t>
      </w:r>
      <w:r>
        <w:t xml:space="preserve">śatṛ,</w:t>
      </w:r>
      <w:r>
        <w:t xml:space="preserve">”</w:t>
      </w:r>
      <w:r>
        <w:t xml:space="preserve"> </w:t>
      </w:r>
      <w:r>
        <w:t xml:space="preserve">being a lasārvadhātuka after an anudātta-upadeśa root, is unaccented …</w:t>
      </w:r>
    </w:p>
    <w:p>
      <w:pPr>
        <w:pStyle w:val="BodyText"/>
      </w:pPr>
      <w:r>
        <w:rPr>
          <w:bCs/>
          <w:b/>
        </w:rPr>
        <w:t xml:space="preserve">p. 222 —</w:t>
      </w:r>
      <w:r>
        <w:rPr>
          <w:bCs/>
          <w:b/>
        </w:rPr>
        <w:t xml:space="preserve"> </w:t>
      </w:r>
      <w:r>
        <w:rPr>
          <w:bCs/>
          <w:b/>
        </w:rPr>
        <w:t xml:space="preserve">“</w:t>
      </w:r>
      <w:r>
        <w:rPr>
          <w:bCs/>
          <w:b/>
        </w:rPr>
        <w:t xml:space="preserve">uṣadbhiḥ</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ajāyathāḥ</w:t>
      </w:r>
      <w:r>
        <w:rPr>
          <w:bCs/>
          <w:b/>
        </w:rPr>
        <w:t xml:space="preserve">”</w:t>
      </w:r>
      <w:r>
        <w:rPr>
          <w:bCs/>
          <w:b/>
        </w:rPr>
        <w:t xml:space="preserve"> </w:t>
      </w:r>
      <w:r>
        <w:rPr>
          <w:bCs/>
          <w:b/>
        </w:rPr>
        <w:t xml:space="preserve">concluded.</w:t>
      </w:r>
      <w:r>
        <w:t xml:space="preserve"> </w:t>
      </w:r>
      <w:r>
        <w:rPr>
          <w:iCs/>
          <w:i/>
        </w:rPr>
        <w:t xml:space="preserve">(Continuing:)</w:t>
      </w:r>
      <w:r>
        <w:t xml:space="preserve"> </w:t>
      </w:r>
      <w:r>
        <w:t xml:space="preserve">…the</w:t>
      </w:r>
      <w:r>
        <w:t xml:space="preserve"> </w:t>
      </w:r>
      <w:r>
        <w:t xml:space="preserve">“</w:t>
      </w:r>
      <w:r>
        <w:t xml:space="preserve">a</w:t>
      </w:r>
      <w:r>
        <w:t xml:space="preserve">”</w:t>
      </w:r>
      <w:r>
        <w:t xml:space="preserve"> </w:t>
      </w:r>
      <w:r>
        <w:t xml:space="preserve">of</w:t>
      </w:r>
      <w:r>
        <w:t xml:space="preserve"> </w:t>
      </w:r>
      <w:r>
        <w:t xml:space="preserve">“</w:t>
      </w:r>
      <w:r>
        <w:t xml:space="preserve">śa</w:t>
      </w:r>
      <w:r>
        <w:t xml:space="preserve">”</w:t>
      </w:r>
      <w:r>
        <w:t xml:space="preserve"> </w:t>
      </w:r>
      <w:r>
        <w:t xml:space="preserve">and the</w:t>
      </w:r>
      <w:r>
        <w:t xml:space="preserve"> </w:t>
      </w:r>
      <w:r>
        <w:t xml:space="preserve">“</w:t>
      </w:r>
      <w:r>
        <w:t xml:space="preserve">a</w:t>
      </w:r>
      <w:r>
        <w:t xml:space="preserve">”</w:t>
      </w:r>
      <w:r>
        <w:t xml:space="preserve"> </w:t>
      </w:r>
      <w:r>
        <w:t xml:space="preserve">of</w:t>
      </w:r>
      <w:r>
        <w:t xml:space="preserve"> </w:t>
      </w:r>
      <w:r>
        <w:t xml:space="preserve">“</w:t>
      </w:r>
      <w:r>
        <w:t xml:space="preserve">śatṛ</w:t>
      </w:r>
      <w:r>
        <w:t xml:space="preserve">”</w:t>
      </w:r>
      <w:r>
        <w:t xml:space="preserve"> </w:t>
      </w:r>
      <w:r>
        <w:t xml:space="preserve">— since both are</w:t>
      </w:r>
      <w:r>
        <w:t xml:space="preserve"> </w:t>
      </w:r>
      <w:r>
        <w:t xml:space="preserve">“</w:t>
      </w:r>
      <w:r>
        <w:t xml:space="preserve">a</w:t>
      </w:r>
      <w:r>
        <w:t xml:space="preserve">”</w:t>
      </w:r>
      <w:r>
        <w:t xml:space="preserve"> </w:t>
      </w:r>
      <w:r>
        <w:t xml:space="preserve">— combine as pararūpa (</w:t>
      </w:r>
      <w:r>
        <w:rPr>
          <w:bCs/>
          <w:b/>
        </w:rPr>
        <w:t xml:space="preserve">अतो गुणे</w:t>
      </w:r>
      <w:r>
        <w:t xml:space="preserve">, पा. ६-१-९४), and the single substitute from the acute and unaccented is acute (</w:t>
      </w:r>
      <w:r>
        <w:rPr>
          <w:bCs/>
          <w:b/>
        </w:rPr>
        <w:t xml:space="preserve">एकादेश उदात्तेनोदात्तः</w:t>
      </w:r>
      <w:r>
        <w:t xml:space="preserve">, पा. ८-२-५).</w:t>
      </w:r>
      <w:r>
        <w:t xml:space="preserve"> </w:t>
      </w:r>
      <w:r>
        <w:rPr>
          <w:bCs/>
          <w:b/>
        </w:rPr>
        <w:t xml:space="preserve">“</w:t>
      </w:r>
      <w:r>
        <w:rPr>
          <w:bCs/>
          <w:b/>
        </w:rPr>
        <w:t xml:space="preserve">Ajāyathāḥ</w:t>
      </w:r>
      <w:r>
        <w:rPr>
          <w:bCs/>
          <w:b/>
        </w:rPr>
        <w:t xml:space="preserve">”</w:t>
      </w:r>
      <w:r>
        <w:t xml:space="preserve"> </w:t>
      </w:r>
      <w:r>
        <w:t xml:space="preserve">— a second-person form standing, by vyatyaya, for the third-person</w:t>
      </w:r>
      <w:r>
        <w:t xml:space="preserve"> </w:t>
      </w:r>
      <w:r>
        <w:t xml:space="preserve">“</w:t>
      </w:r>
      <w:r>
        <w:t xml:space="preserve">ajāyata</w:t>
      </w:r>
      <w:r>
        <w:t xml:space="preserve">”</w:t>
      </w:r>
      <w:r>
        <w:t xml:space="preserve">; it is unaccented by</w:t>
      </w:r>
      <w:r>
        <w:t xml:space="preserve"> </w:t>
      </w:r>
      <w:r>
        <w:rPr>
          <w:bCs/>
          <w:b/>
        </w:rPr>
        <w:t xml:space="preserve">तिङ्ङतिङः</w:t>
      </w:r>
      <w:r>
        <w:t xml:space="preserve"> </w:t>
      </w:r>
      <w:r>
        <w:t xml:space="preserve">(पा. ८-१-२८). ॥३॥</w:t>
      </w:r>
    </w:p>
    <w:p>
      <w:r>
        <w:pict>
          <v:rect style="width:0;height:1.5pt" o:hralign="center" o:hrstd="t" o:hr="t"/>
        </w:pict>
      </w:r>
    </w:p>
    <w:bookmarkEnd w:id="259"/>
    <w:bookmarkStart w:id="260" w:name="sūkta-6-the-fourth-mantra"/>
    <w:p>
      <w:pPr>
        <w:pStyle w:val="Heading3"/>
      </w:pPr>
      <w:r>
        <w:t xml:space="preserve">Sūkta 6, The Fourth Mantra</w:t>
      </w:r>
    </w:p>
    <w:p>
      <w:pPr>
        <w:pStyle w:val="FirstParagraph"/>
      </w:pPr>
      <w:r>
        <w:rPr>
          <w:bCs/>
          <w:b/>
        </w:rPr>
        <w:t xml:space="preserve">॥ Saṃhitā-pāṭhaḥ ॥</w:t>
      </w:r>
    </w:p>
    <w:p>
      <w:pPr>
        <w:pStyle w:val="BlockText"/>
      </w:pPr>
      <w:r>
        <w:t xml:space="preserve">आदह॑ स्व॒धामनु॒ पुन॑र्गर्भ॒त्वमे॑रि॒रे ।</w:t>
      </w:r>
      <w:r>
        <w:t xml:space="preserve"> </w:t>
      </w:r>
      <w:r>
        <w:t xml:space="preserve">दधा॑ना॒ नाम॑ य॒ज्ञि॑यं ॥४॥</w:t>
      </w:r>
    </w:p>
    <w:p>
      <w:pPr>
        <w:pStyle w:val="BlockText"/>
      </w:pPr>
      <w:r>
        <w:rPr>
          <w:iCs/>
          <w:i/>
        </w:rPr>
        <w:t xml:space="preserve">ādáha svadhā́manu púnargarbhatvámeriré |</w:t>
      </w:r>
      <w:r>
        <w:t xml:space="preserve"> </w:t>
      </w:r>
      <w:r>
        <w:rPr>
          <w:iCs/>
          <w:i/>
        </w:rPr>
        <w:t xml:space="preserve">dádhānā nā́ma yajñiyaṃ ||4||</w:t>
      </w:r>
    </w:p>
    <w:p>
      <w:pPr>
        <w:pStyle w:val="FirstParagraph"/>
      </w:pPr>
      <w:r>
        <w:rPr>
          <w:bCs/>
          <w:b/>
        </w:rPr>
        <w:t xml:space="preserve">॥ Pada-pāṭhaḥ ॥</w:t>
      </w:r>
    </w:p>
    <w:p>
      <w:pPr>
        <w:pStyle w:val="BlockText"/>
      </w:pPr>
      <w:r>
        <w:t xml:space="preserve">आत् । अह । स्वधाम् । अनु । पुनः । गर्भत्वम् । आ । ईरिरे ।</w:t>
      </w:r>
      <w:r>
        <w:t xml:space="preserve"> </w:t>
      </w:r>
      <w:r>
        <w:t xml:space="preserve">दधानाः । नाम । यज्ञियम् ॥४॥</w:t>
      </w:r>
    </w:p>
    <w:p>
      <w:pPr>
        <w:pStyle w:val="FirstParagraph"/>
      </w:pPr>
      <w:r>
        <w:rPr>
          <w:bCs/>
          <w:b/>
        </w:rPr>
        <w:t xml:space="preserve">॥ Sāyaṇa-bhāṣyam ॥</w:t>
      </w:r>
      <w:r>
        <w:t xml:space="preserve"> </w:t>
      </w:r>
      <w:r>
        <w:rPr>
          <w:iCs/>
          <w:i/>
        </w:rPr>
        <w:t xml:space="preserve">(opening)</w:t>
      </w:r>
    </w:p>
    <w:p>
      <w:pPr>
        <w:pStyle w:val="BlockText"/>
      </w:pPr>
      <w:r>
        <w:t xml:space="preserve">अत्रास्ति विशेषविनियोगः । चतुर्विंशेऽहनि प्रातःसवने ब्राह्मणाच्छंसिशस्त्र आदह स्वधामन्निति द्वे ऋचौ । इन्द्रेण सं हि दृक्षस इत्येका । अयं तृचः षळहस्तोत्रियसंज्ञकः । तथा च सूत्रितं चतुर्विंशे होताजनिष्वेति खण्डे । इन्द्रेण सं हि दृक्षस आदह स्वधामन्नित्येका द्वे च । आ. ७-२ । इति । यद्यप्येतदैन्द्रं सूक्तं तथाप्यादहेत्यादिषु षट्सु मारुतो वर्ण्यन्ते । प्रायेणैन्द्रे मारुत इत्यनुक्रमणिकायामुक्तत्वात् । अनु. २-२२ ॥ आदित्ययमानन्तर्यार्थो निपातः । अहेत्यवधारणार्थः । आदह वर्षतोरनन्तरमेव । स्वधामनु । इतः परं जनिष्यमाणमन्नमुदकं वानुलक्ष्य मरुतो देवा गर्भत्वमेरिरे । मेघमध्ये जलस्य गर्भाकारं प्रेरितवन्तः । जलस्य कर्तारं पर्जन्यं प्रेरितवन्तः । प्रतिसंवत्सरमेवं कुर्वन्तीति दर्शयितुं पुनःशब्दः प्रयुक्तः । कीदृशा मरुतः । यज्ञियं यज्ञार्हं नाम दधानाः धारयन्तः । सप्तसु गणेषु मरुतामावृज्ञान्यावृज्ञेत्यादीनि यज्ञयोग्यानि नामान्यन्यत्राम्नातानि । अन्ध इत्यादिष्वष्टाविंशतिसंख्याकेष्वन्ननामसूर्क्र रसः …</w:t>
      </w:r>
      <w:r>
        <w:t xml:space="preserve"> </w:t>
      </w:r>
      <w:r>
        <w:rPr>
          <w:iCs/>
          <w:i/>
        </w:rPr>
        <w:t xml:space="preserve">atrāsti viśeṣaviniyogaḥ | caturviṃśe ’hani prātaḥsavane brāhmaṇācchaṃsiśastra ādaha svadhāmanniti dve ṛcau | indreṇa saṃ hi dṛkṣasa ityekā | ayaṃ tṛcaḥ ṣaḷahastotriyasaṃjñakaḥ | tathā ca sūtritaṃ caturviṃśe hotājaniṣveti khaṇḍe | indreṇa saṃ hi dṛkṣasa ādaha svadhāmannityekā dve ca | ā. 7-2 | iti | yadyapyetadaindraṃ sūktaṃ tathāpyādahetyādiṣu ṣaṭsu māruto varṇyante | prāyeṇaindre māruta ityanukramaṇikāyāmuktatvāt | anu. 2-22 ‖ ādityayamānantaryārtho nipātaḥ | ahetyavadhāraṇārthaḥ | ādaha varṣatoranantarameva | svadhāmanu | itaḥ paraṃ janiṣyamāṇamannamudakaṃ vānulakṣya maruto devā garbhatvamerire | meghamadhye jalasya garbhākāraṃ preritavantaḥ | jalasya kartāraṃ parjanyaṃ preritavantaḥ | pratisaṃvatsaramevaṃ kurvantīti darśayituṃ punaḥśabdaḥ prayuktaḥ | kīdṛśā marutaḥ | yajñiyaṃ yajñārhaṃ nāma dadhānāḥ dhārayantaḥ | saptasu gaṇeṣu marutāmāvṛjñānyāvṛjñetyādīni yajñayogyāni nāmānyanyatrāmnātāni | andha ityādiṣvaṣṭāviṃśatisaṃkhyākeṣvannanāmasūrkra rasaḥ …</w:t>
      </w:r>
      <w:r>
        <w:t xml:space="preserve"> </w:t>
      </w:r>
      <w:r>
        <w:rPr>
          <w:iCs/>
          <w:i/>
        </w:rPr>
        <w:t xml:space="preserve">(Reading notes: (i) re-read from the better scan:</w:t>
      </w:r>
      <w:r>
        <w:rPr>
          <w:iCs/>
          <w:i/>
        </w:rPr>
        <w:t xml:space="preserve"> </w:t>
      </w:r>
      <w:r>
        <w:rPr>
          <w:iCs/>
          <w:i/>
        </w:rPr>
        <w:t xml:space="preserve">“</w:t>
      </w:r>
      <w:r>
        <w:rPr>
          <w:iCs/>
          <w:i/>
        </w:rPr>
        <w:t xml:space="preserve">ā. 7-2,</w:t>
      </w:r>
      <w:r>
        <w:rPr>
          <w:iCs/>
          <w:i/>
        </w:rPr>
        <w:t xml:space="preserve">”</w:t>
      </w:r>
      <w:r>
        <w:rPr>
          <w:iCs/>
          <w:i/>
        </w:rPr>
        <w:t xml:space="preserve"> </w:t>
      </w:r>
      <w:r>
        <w:rPr>
          <w:iCs/>
          <w:i/>
        </w:rPr>
        <w:t xml:space="preserve">“</w:t>
      </w:r>
      <w:r>
        <w:rPr>
          <w:iCs/>
          <w:i/>
        </w:rPr>
        <w:t xml:space="preserve">anu. 2-22,</w:t>
      </w:r>
      <w:r>
        <w:rPr>
          <w:iCs/>
          <w:i/>
        </w:rPr>
        <w:t xml:space="preserve">”</w:t>
      </w:r>
      <w:r>
        <w:rPr>
          <w:iCs/>
          <w:i/>
        </w:rPr>
        <w:t xml:space="preserve"> </w:t>
      </w:r>
      <w:r>
        <w:rPr>
          <w:iCs/>
          <w:i/>
        </w:rPr>
        <w:t xml:space="preserve">“</w:t>
      </w:r>
      <w:r>
        <w:rPr>
          <w:iCs/>
          <w:i/>
        </w:rPr>
        <w:t xml:space="preserve">ād ity ayam ānantaryārtho nipātaḥ | aheti…</w:t>
      </w:r>
      <w:r>
        <w:rPr>
          <w:iCs/>
          <w:i/>
        </w:rPr>
        <w:t xml:space="preserve">”</w:t>
      </w:r>
      <w:r>
        <w:rPr>
          <w:iCs/>
          <w:i/>
        </w:rPr>
        <w:t xml:space="preserve">; (ii)</w:t>
      </w:r>
      <w:r>
        <w:rPr>
          <w:iCs/>
          <w:i/>
        </w:rPr>
        <w:t xml:space="preserve"> </w:t>
      </w:r>
      <w:r>
        <w:rPr>
          <w:iCs/>
          <w:i/>
        </w:rPr>
        <w:t xml:space="preserve">“</w:t>
      </w:r>
      <w:r>
        <w:rPr>
          <w:iCs/>
          <w:i/>
        </w:rPr>
        <w:t xml:space="preserve">āvṛjñān yāvṛjñety</w:t>
      </w:r>
      <w:r>
        <w:rPr>
          <w:iCs/>
          <w:i/>
        </w:rPr>
        <w:t xml:space="preserve">”</w:t>
      </w:r>
      <w:r>
        <w:rPr>
          <w:iCs/>
          <w:i/>
        </w:rPr>
        <w:t xml:space="preserve"> </w:t>
      </w:r>
      <w:r>
        <w:rPr>
          <w:iCs/>
          <w:i/>
        </w:rPr>
        <w:t xml:space="preserve">is crowded and given as read — the Marut names listed elsewhere; (iii) the last line ends mid-list at the foot of the page and continues on p. 223.)</w:t>
      </w:r>
    </w:p>
    <w:p>
      <w:pPr>
        <w:pStyle w:val="FirstParagraph"/>
      </w:pPr>
      <w:r>
        <w:rPr>
          <w:bCs/>
          <w:b/>
        </w:rPr>
        <w:t xml:space="preserve">Translation (of the part on this page):</w:t>
      </w:r>
      <w:r>
        <w:t xml:space="preserve"> </w:t>
      </w:r>
      <w:r>
        <w:t xml:space="preserve">“</w:t>
      </w:r>
      <w:r>
        <w:t xml:space="preserve">Here is a special application: on the twenty-fourth day, at the morning pressing, in the Brāhmaṇācchaṃsin’s śastra, the two Ṛks beginning</w:t>
      </w:r>
      <w:r>
        <w:t xml:space="preserve"> </w:t>
      </w:r>
      <w:r>
        <w:t xml:space="preserve">‘</w:t>
      </w:r>
      <w:r>
        <w:t xml:space="preserve">ād aha svadhām anu</w:t>
      </w:r>
      <w:r>
        <w:t xml:space="preserve">’</w:t>
      </w:r>
      <w:r>
        <w:t xml:space="preserve"> </w:t>
      </w:r>
      <w:r>
        <w:t xml:space="preserve">and the one</w:t>
      </w:r>
      <w:r>
        <w:t xml:space="preserve"> </w:t>
      </w:r>
      <w:r>
        <w:t xml:space="preserve">‘</w:t>
      </w:r>
      <w:r>
        <w:t xml:space="preserve">indreṇa saṃ hi dṛkṣase</w:t>
      </w:r>
      <w:r>
        <w:t xml:space="preserve">’</w:t>
      </w:r>
      <w:r>
        <w:t xml:space="preserve"> </w:t>
      </w:r>
      <w:r>
        <w:t xml:space="preserve">are used. This tṛca is called the</w:t>
      </w:r>
      <w:r>
        <w:t xml:space="preserve"> </w:t>
      </w:r>
      <w:r>
        <w:t xml:space="preserve">‘</w:t>
      </w:r>
      <w:r>
        <w:t xml:space="preserve">ṣaḷaha-stotriya.</w:t>
      </w:r>
      <w:r>
        <w:t xml:space="preserve">’</w:t>
      </w:r>
      <w:r>
        <w:t xml:space="preserve"> </w:t>
      </w:r>
      <w:r>
        <w:t xml:space="preserve">So it is laid down in the Sūtra, in the section</w:t>
      </w:r>
      <w:r>
        <w:t xml:space="preserve"> </w:t>
      </w:r>
      <w:r>
        <w:t xml:space="preserve">‘</w:t>
      </w:r>
      <w:r>
        <w:t xml:space="preserve">caturviṃśe hotājaniṣva</w:t>
      </w:r>
      <w:r>
        <w:t xml:space="preserve">’</w:t>
      </w:r>
      <w:r>
        <w:t xml:space="preserve">:</w:t>
      </w:r>
      <w:r>
        <w:t xml:space="preserve"> </w:t>
      </w:r>
      <w:r>
        <w:t xml:space="preserve">‘</w:t>
      </w:r>
      <w:r>
        <w:rPr>
          <w:iCs/>
          <w:i/>
        </w:rPr>
        <w:t xml:space="preserve">indreṇa saṃ hi dṛkṣasa — one; ād aha svadhām anu — and two</w:t>
      </w:r>
      <w:r>
        <w:t xml:space="preserve">’</w:t>
      </w:r>
      <w:r>
        <w:t xml:space="preserve"> </w:t>
      </w:r>
      <w:r>
        <w:t xml:space="preserve">(Āśv. 7-2). Although this sūkta is addressed to Indra, in the six Ṛks beginning</w:t>
      </w:r>
      <w:r>
        <w:t xml:space="preserve"> </w:t>
      </w:r>
      <w:r>
        <w:t xml:space="preserve">‘</w:t>
      </w:r>
      <w:r>
        <w:t xml:space="preserve">ādaha</w:t>
      </w:r>
      <w:r>
        <w:t xml:space="preserve">’</w:t>
      </w:r>
      <w:r>
        <w:t xml:space="preserve"> </w:t>
      </w:r>
      <w:r>
        <w:t xml:space="preserve">the Maruts are described; because the Anukramaṇī says</w:t>
      </w:r>
      <w:r>
        <w:t xml:space="preserve"> </w:t>
      </w:r>
      <w:r>
        <w:t xml:space="preserve">‘</w:t>
      </w:r>
      <w:r>
        <w:t xml:space="preserve">mostly in an Indra (sūkta), the Maruts</w:t>
      </w:r>
      <w:r>
        <w:t xml:space="preserve">’</w:t>
      </w:r>
      <w:r>
        <w:t xml:space="preserve"> </w:t>
      </w:r>
      <w:r>
        <w:t xml:space="preserve">(Anu. 2-22).</w:t>
      </w:r>
      <w:r>
        <w:t xml:space="preserve"> </w:t>
      </w:r>
      <w:r>
        <w:t xml:space="preserve">‘</w:t>
      </w:r>
      <w:r>
        <w:t xml:space="preserve">Āt</w:t>
      </w:r>
      <w:r>
        <w:t xml:space="preserve">’</w:t>
      </w:r>
      <w:r>
        <w:t xml:space="preserve"> </w:t>
      </w:r>
      <w:r>
        <w:t xml:space="preserve">is a particle in the sense of</w:t>
      </w:r>
      <w:r>
        <w:t xml:space="preserve"> </w:t>
      </w:r>
      <w:r>
        <w:t xml:space="preserve">‘</w:t>
      </w:r>
      <w:r>
        <w:t xml:space="preserve">immediately after</w:t>
      </w:r>
      <w:r>
        <w:t xml:space="preserve">’</w:t>
      </w:r>
      <w:r>
        <w:t xml:space="preserve">;</w:t>
      </w:r>
      <w:r>
        <w:t xml:space="preserve"> </w:t>
      </w:r>
      <w:r>
        <w:t xml:space="preserve">‘</w:t>
      </w:r>
      <w:r>
        <w:t xml:space="preserve">aha</w:t>
      </w:r>
      <w:r>
        <w:t xml:space="preserve">’</w:t>
      </w:r>
      <w:r>
        <w:t xml:space="preserve"> </w:t>
      </w:r>
      <w:r>
        <w:t xml:space="preserve">is in the sense of emphasis:</w:t>
      </w:r>
      <w:r>
        <w:t xml:space="preserve"> </w:t>
      </w:r>
      <w:r>
        <w:t xml:space="preserve">‘</w:t>
      </w:r>
      <w:r>
        <w:t xml:space="preserve">ād aha</w:t>
      </w:r>
      <w:r>
        <w:t xml:space="preserve">’</w:t>
      </w:r>
      <w:r>
        <w:t xml:space="preserve"> </w:t>
      </w:r>
      <w:r>
        <w:t xml:space="preserve">— immediately after the raining.</w:t>
      </w:r>
      <w:r>
        <w:t xml:space="preserve"> </w:t>
      </w:r>
      <w:r>
        <w:t xml:space="preserve">‘</w:t>
      </w:r>
      <w:r>
        <w:t xml:space="preserve">Svadhām anu</w:t>
      </w:r>
      <w:r>
        <w:t xml:space="preserve">’</w:t>
      </w:r>
      <w:r>
        <w:t xml:space="preserve"> </w:t>
      </w:r>
      <w:r>
        <w:t xml:space="preserve">— looking to the coming food, or to the water, the Maruts, the gods,</w:t>
      </w:r>
      <w:r>
        <w:t xml:space="preserve"> </w:t>
      </w:r>
      <w:r>
        <w:t xml:space="preserve">‘</w:t>
      </w:r>
      <w:r>
        <w:t xml:space="preserve">garbhatvam erire</w:t>
      </w:r>
      <w:r>
        <w:t xml:space="preserve">’</w:t>
      </w:r>
      <w:r>
        <w:t xml:space="preserve"> </w:t>
      </w:r>
      <w:r>
        <w:t xml:space="preserve">— drove (set in motion) the form of a germ of water in the midst of the cloud: they impelled Parjanya, the maker of water. The word</w:t>
      </w:r>
      <w:r>
        <w:t xml:space="preserve"> </w:t>
      </w:r>
      <w:r>
        <w:t xml:space="preserve">‘</w:t>
      </w:r>
      <w:r>
        <w:t xml:space="preserve">punaḥ</w:t>
      </w:r>
      <w:r>
        <w:t xml:space="preserve">’</w:t>
      </w:r>
      <w:r>
        <w:t xml:space="preserve"> </w:t>
      </w:r>
      <w:r>
        <w:t xml:space="preserve">is used to show that they do this every year. What kind of Maruts?</w:t>
      </w:r>
      <w:r>
        <w:t xml:space="preserve"> </w:t>
      </w:r>
      <w:r>
        <w:t xml:space="preserve">‘</w:t>
      </w:r>
      <w:r>
        <w:t xml:space="preserve">Yajñiyam nāma dadhānāḥ</w:t>
      </w:r>
      <w:r>
        <w:t xml:space="preserve">’</w:t>
      </w:r>
      <w:r>
        <w:t xml:space="preserve"> </w:t>
      </w:r>
      <w:r>
        <w:t xml:space="preserve">— bearing a name fit for sacrifice. In the seven groups of the Maruts, names fit for sacrifice are recited elsewhere. Among the twenty-eight names of food beginning with</w:t>
      </w:r>
      <w:r>
        <w:t xml:space="preserve"> </w:t>
      </w:r>
      <w:r>
        <w:t xml:space="preserve">‘</w:t>
      </w:r>
      <w:r>
        <w:t xml:space="preserve">andha,</w:t>
      </w:r>
      <w:r>
        <w:t xml:space="preserve">’</w:t>
      </w:r>
      <w:r>
        <w:t xml:space="preserve"> </w:t>
      </w:r>
      <w:r>
        <w:t xml:space="preserve">‘</w:t>
      </w:r>
      <w:r>
        <w:t xml:space="preserve">ūrk</w:t>
      </w:r>
      <w:r>
        <w:t xml:space="preserve">’</w:t>
      </w:r>
      <w:r>
        <w:t xml:space="preserve"> </w:t>
      </w:r>
      <w:r>
        <w:t xml:space="preserve">and</w:t>
      </w:r>
      <w:r>
        <w:t xml:space="preserve"> </w:t>
      </w:r>
      <w:r>
        <w:t xml:space="preserve">‘</w:t>
      </w:r>
      <w:r>
        <w:t xml:space="preserve">rasaḥ</w:t>
      </w:r>
      <w:r>
        <w:t xml:space="preserve">’</w:t>
      </w:r>
      <w:r>
        <w:t xml:space="preserve"> </w:t>
      </w:r>
      <w:r>
        <w:t xml:space="preserve">…</w:t>
      </w:r>
      <w:r>
        <w:t xml:space="preserve">”</w:t>
      </w:r>
      <w:r>
        <w:t xml:space="preserve"> </w:t>
      </w:r>
      <w:r>
        <w:rPr>
          <w:iCs/>
          <w:i/>
        </w:rPr>
        <w:t xml:space="preserve">(continues on the next page)</w:t>
      </w:r>
      <w:r>
        <w:t xml:space="preserve">.</w:t>
      </w:r>
    </w:p>
    <w:bookmarkEnd w:id="260"/>
    <w:bookmarkStart w:id="261" w:name="X5818f5d08b947ea99eb691b2441ddcde1ad9f03"/>
    <w:p>
      <w:pPr>
        <w:pStyle w:val="Heading3"/>
      </w:pPr>
      <w:r>
        <w:t xml:space="preserve">Page 223 — Rik 6.4: Bhāṣya concluded; grammar (characterized); Pada-meanings; Bhāvārtha; English rendering</w:t>
      </w:r>
    </w:p>
    <w:p>
      <w:pPr>
        <w:pStyle w:val="FirstParagraph"/>
      </w:pPr>
      <w:r>
        <w:rPr>
          <w:iCs/>
          <w:i/>
        </w:rPr>
        <w:t xml:space="preserve">(Page header:</w:t>
      </w:r>
      <w:r>
        <w:rPr>
          <w:iCs/>
          <w:i/>
        </w:rPr>
        <w:t xml:space="preserve"> </w:t>
      </w:r>
      <w:r>
        <w:rPr>
          <w:iCs/>
          <w:i/>
        </w:rPr>
        <w:t xml:space="preserve">“</w:t>
      </w:r>
      <w:r>
        <w:rPr>
          <w:iCs/>
          <w:i/>
        </w:rPr>
        <w:t xml:space="preserve">Aṣṭaka 1, Adhyāya 1, Varga 11 · Ṛgveda-saṃhitā.</w:t>
      </w:r>
      <w:r>
        <w:rPr>
          <w:iCs/>
          <w:i/>
        </w:rPr>
        <w:t xml:space="preserve">”</w:t>
      </w:r>
      <w:r>
        <w:rPr>
          <w:iCs/>
          <w:i/>
        </w:rPr>
        <w:t xml:space="preserve"> </w:t>
      </w:r>
      <w:r>
        <w:rPr>
          <w:iCs/>
          <w:i/>
        </w:rPr>
        <w:t xml:space="preserve">Sanskrit printed in Kannada script, re-read from the better scan. English as printed.)</w:t>
      </w:r>
    </w:p>
    <w:p>
      <w:pPr>
        <w:pStyle w:val="BodyText"/>
      </w:pPr>
      <w:r>
        <w:rPr>
          <w:bCs/>
          <w:b/>
        </w:rPr>
        <w:t xml:space="preserve">॥ Sāyaṇa-bhāṣyam ॥</w:t>
      </w:r>
      <w:r>
        <w:t xml:space="preserve"> </w:t>
      </w:r>
      <w:r>
        <w:rPr>
          <w:iCs/>
          <w:i/>
        </w:rPr>
        <w:t xml:space="preserve">(concluding from p. 222)</w:t>
      </w:r>
    </w:p>
    <w:p>
      <w:pPr>
        <w:pStyle w:val="BlockText"/>
      </w:pPr>
      <w:r>
        <w:t xml:space="preserve">…स्वधेति पठितम् । अर्ण इत्यादिष्वेकशतसंख्याकेषूदकनामसु तेजः स्वधाक्षरमिति पठितम् ॥ आदह निपातावाद्युदात्तौ । स्वधाम् । स्वं लोकं दधाति पुष्णातीति । स्वधा । आतोऽनुपसर्गे कः । पा. ३-२-३ । कृदुत्तरपदप्रकृतिस्वरत्वम् । अनु पुनःशब्दौ निपातावाद्युदात्तौ । गर्भस्य भावो गर्भत्वम् । प्रत्ययस्वरः । एरिरे । अन्तर्भावितण्यर्थादीरतेर्गतावित्यस्मादनुदात्तेतः परस्य लिटो झस्य इरेच् । पा. ३-४-८१ । चित्त्वादन्तोदात्तः । सह सुपा । पा. २-१-४ । इत्यत्र सुपेति योगविभागादाङा सह तिङः समासेऽपि समासस्य । पा. ६-१-२२३ । इत्यन्तोदात्तत्वम् । इजादेश्च गुरुमतोऽनृच्छः । पा. ३-१-३६ । इत्याम् न भवति मन्त्रत्वात् । अहशब्दयोगान्निघाताभावः । तुपश्यपश्यताहै पूजायाम् । पा. ८-१-३९ । इति निषेधात् । दधानाः । शानचश्चित्त्वादन्तोदात्तत्वे प्राप्तेऽभ्यस्तानामादिः । पा. ६-१-१८९ । इत्याद्युदात्तत्वम् । यज्ञमर्हतीति यज्ञियम् । यज्ञर्त्विग्भ्यां घखञौ । पा. ५-१-७१ । इति घप्रत्ययः । आयनेयीनीयियः फढखछघां प्रत्ययादीनाम् । पा. ७-१-२ । इतीयादेशः । प्रत्ययस्वरेणेकार उदात्तः ॥</w:t>
      </w:r>
      <w:r>
        <w:t xml:space="preserve"> </w:t>
      </w:r>
      <w:r>
        <w:rPr>
          <w:iCs/>
          <w:i/>
        </w:rPr>
        <w:t xml:space="preserve">…svadheti paṭhitam | ūrṇa ityādiṣvekaśatasaṃkhyākeṣūdakanāmasu tejaḥ svadhākṣaramiti paṭhitam ‖ ādaha nipātāvādyudāttau | svadhām | svaṃ lokaṃ dadhāti puṣṇātīti | svadhā | āto ’nupasarge kaḥ | pā. 3-2-3 | kṛduttarapadaprakṛtisvaratvam | anu punaḥśabdau nipātāvādyudāttau | garbhasya bhāvo garbhatvam | pratyayasvaraḥ | erire | antarbhāvitaṇyarthādīratergatāvityasmādanudāttetaḥ parasya liṭo jhasya irec | pā. 3-4-81 | cittvādantodāttaḥ | saha supā | pā. 2-1-4 | ityatra supeti yogavibhāgādāṅā saha tiṅaḥ samāse ’pi samāsasya | pā. 6-1-223 | ityantodāttatvam | ijādeśca gurumato ’nṛcchaḥ | pā. 3-1-36 | ityām na bhavati mantratvāt | ahaśabdayogānnighātābhāvaḥ | tupaśyapaśyatāhai pūjāyām | pā. 8-1-39 | iti niṣedhāt | dadhānāḥ | śānacaścittvādantodāttatve prāpte ’bhyastānāmādiḥ | pā. 6-1-189 | ityādyudāttatvam | yajñamarhatīti yajñiyam | yajñartvigbhyāṃ ghakhañau | pā. 5-1-71 | iti ghapratyayaḥ | āyaneyīnīyiyaḥ phaḍhakhachaghāṃ pratyayādīnām | pā. 7-1-2 | itīyādeśaḥ | pratyayasvareṇekāra udāttaḥ ‖</w:t>
      </w:r>
      <w:r>
        <w:t xml:space="preserve"> </w:t>
      </w:r>
      <w:r>
        <w:rPr>
          <w:iCs/>
          <w:i/>
        </w:rPr>
        <w:t xml:space="preserve">(Reading notes: (i) the first line carries on the Nighaṇṭu sentence from p. 222 (</w:t>
      </w:r>
      <w:r>
        <w:rPr>
          <w:iCs/>
          <w:i/>
        </w:rPr>
        <w:t xml:space="preserve">“</w:t>
      </w:r>
      <w:r>
        <w:rPr>
          <w:iCs/>
          <w:i/>
        </w:rPr>
        <w:t xml:space="preserve">…rasaḥ svadheti paṭhitam</w:t>
      </w:r>
      <w:r>
        <w:rPr>
          <w:iCs/>
          <w:i/>
        </w:rPr>
        <w:t xml:space="preserve">”</w:t>
      </w:r>
      <w:r>
        <w:rPr>
          <w:iCs/>
          <w:i/>
        </w:rPr>
        <w:t xml:space="preserve">); I give it as read; (ii)</w:t>
      </w:r>
      <w:r>
        <w:rPr>
          <w:iCs/>
          <w:i/>
        </w:rPr>
        <w:t xml:space="preserve"> </w:t>
      </w:r>
      <w:r>
        <w:rPr>
          <w:iCs/>
          <w:i/>
        </w:rPr>
        <w:t xml:space="preserve">“</w:t>
      </w:r>
      <w:r>
        <w:rPr>
          <w:iCs/>
          <w:i/>
        </w:rPr>
        <w:t xml:space="preserve">svadheti paṭhitam</w:t>
      </w:r>
      <w:r>
        <w:rPr>
          <w:iCs/>
          <w:i/>
        </w:rPr>
        <w:t xml:space="preserve">”</w:t>
      </w:r>
      <w:r>
        <w:rPr>
          <w:iCs/>
          <w:i/>
        </w:rPr>
        <w:t xml:space="preserve"> </w:t>
      </w:r>
      <w:r>
        <w:rPr>
          <w:iCs/>
          <w:i/>
        </w:rPr>
        <w:t xml:space="preserve">—</w:t>
      </w:r>
      <w:r>
        <w:rPr>
          <w:iCs/>
          <w:i/>
        </w:rPr>
        <w:t xml:space="preserve"> </w:t>
      </w:r>
      <w:r>
        <w:rPr>
          <w:iCs/>
          <w:i/>
        </w:rPr>
        <w:t xml:space="preserve">“</w:t>
      </w:r>
      <w:r>
        <w:rPr>
          <w:iCs/>
          <w:i/>
        </w:rPr>
        <w:t xml:space="preserve">svadhā is read</w:t>
      </w:r>
      <w:r>
        <w:rPr>
          <w:iCs/>
          <w:i/>
        </w:rPr>
        <w:t xml:space="preserve">”</w:t>
      </w:r>
      <w:r>
        <w:rPr>
          <w:iCs/>
          <w:i/>
        </w:rPr>
        <w:t xml:space="preserve"> </w:t>
      </w:r>
      <w:r>
        <w:rPr>
          <w:iCs/>
          <w:i/>
        </w:rPr>
        <w:t xml:space="preserve">among the food-names, and among the names of water; (iii) re-read from the better scan (</w:t>
      </w:r>
      <w:r>
        <w:rPr>
          <w:iCs/>
          <w:i/>
        </w:rPr>
        <w:t xml:space="preserve">“</w:t>
      </w:r>
      <w:r>
        <w:rPr>
          <w:iCs/>
          <w:i/>
        </w:rPr>
        <w:t xml:space="preserve">arṇa,</w:t>
      </w:r>
      <w:r>
        <w:rPr>
          <w:iCs/>
          <w:i/>
        </w:rPr>
        <w:t xml:space="preserve">”</w:t>
      </w:r>
      <w:r>
        <w:rPr>
          <w:iCs/>
          <w:i/>
        </w:rPr>
        <w:t xml:space="preserve"> </w:t>
      </w:r>
      <w:r>
        <w:rPr>
          <w:iCs/>
          <w:i/>
        </w:rPr>
        <w:t xml:space="preserve">“</w:t>
      </w:r>
      <w:r>
        <w:rPr>
          <w:iCs/>
          <w:i/>
        </w:rPr>
        <w:t xml:space="preserve">svadhākṣaram,</w:t>
      </w:r>
      <w:r>
        <w:rPr>
          <w:iCs/>
          <w:i/>
        </w:rPr>
        <w:t xml:space="preserve">”</w:t>
      </w:r>
      <w:r>
        <w:rPr>
          <w:iCs/>
          <w:i/>
        </w:rPr>
        <w:t xml:space="preserve"> </w:t>
      </w:r>
      <w:r>
        <w:rPr>
          <w:iCs/>
          <w:i/>
        </w:rPr>
        <w:t xml:space="preserve">“</w:t>
      </w:r>
      <w:r>
        <w:rPr>
          <w:iCs/>
          <w:i/>
        </w:rPr>
        <w:t xml:space="preserve">nipātāv,</w:t>
      </w:r>
      <w:r>
        <w:rPr>
          <w:iCs/>
          <w:i/>
        </w:rPr>
        <w:t xml:space="preserve">”</w:t>
      </w:r>
      <w:r>
        <w:rPr>
          <w:iCs/>
          <w:i/>
        </w:rPr>
        <w:t xml:space="preserve"> </w:t>
      </w:r>
      <w:r>
        <w:rPr>
          <w:iCs/>
          <w:i/>
        </w:rPr>
        <w:t xml:space="preserve">“</w:t>
      </w:r>
      <w:r>
        <w:rPr>
          <w:iCs/>
          <w:i/>
        </w:rPr>
        <w:t xml:space="preserve">āṅā saha,</w:t>
      </w:r>
      <w:r>
        <w:rPr>
          <w:iCs/>
          <w:i/>
        </w:rPr>
        <w:t xml:space="preserve">”</w:t>
      </w:r>
      <w:r>
        <w:rPr>
          <w:iCs/>
          <w:i/>
        </w:rPr>
        <w:t xml:space="preserve"> </w:t>
      </w:r>
      <w:r>
        <w:rPr>
          <w:iCs/>
          <w:i/>
        </w:rPr>
        <w:t xml:space="preserve">8-1-39).)</w:t>
      </w:r>
    </w:p>
    <w:p>
      <w:pPr>
        <w:pStyle w:val="FirstParagraph"/>
      </w:pPr>
      <w:r>
        <w:rPr>
          <w:bCs/>
          <w:b/>
        </w:rPr>
        <w:t xml:space="preserve">Translation (sense in full; grammar in outline):</w:t>
      </w:r>
      <w:r>
        <w:t xml:space="preserve"> </w:t>
      </w:r>
      <w:r>
        <w:t xml:space="preserve">“</w:t>
      </w:r>
      <w:r>
        <w:t xml:space="preserve">‘</w:t>
      </w:r>
      <w:r>
        <w:t xml:space="preserve">…svadhā</w:t>
      </w:r>
      <w:r>
        <w:t xml:space="preserve">’</w:t>
      </w:r>
      <w:r>
        <w:t xml:space="preserve"> </w:t>
      </w:r>
      <w:r>
        <w:t xml:space="preserve">is read (among the food-names); among the hundred-and-one names of water beginning with</w:t>
      </w:r>
      <w:r>
        <w:t xml:space="preserve"> </w:t>
      </w:r>
      <w:r>
        <w:t xml:space="preserve">‘</w:t>
      </w:r>
      <w:r>
        <w:t xml:space="preserve">arṇa,</w:t>
      </w:r>
      <w:r>
        <w:t xml:space="preserve">’</w:t>
      </w:r>
      <w:r>
        <w:t xml:space="preserve"> </w:t>
      </w:r>
      <w:r>
        <w:t xml:space="preserve">‘</w:t>
      </w:r>
      <w:r>
        <w:t xml:space="preserve">tejaḥ,</w:t>
      </w:r>
      <w:r>
        <w:t xml:space="preserve">’</w:t>
      </w:r>
      <w:r>
        <w:t xml:space="preserve"> </w:t>
      </w:r>
      <w:r>
        <w:t xml:space="preserve">‘</w:t>
      </w:r>
      <w:r>
        <w:t xml:space="preserve">svadhā</w:t>
      </w:r>
      <w:r>
        <w:t xml:space="preserve">’</w:t>
      </w:r>
      <w:r>
        <w:t xml:space="preserve"> </w:t>
      </w:r>
      <w:r>
        <w:t xml:space="preserve">and</w:t>
      </w:r>
      <w:r>
        <w:t xml:space="preserve"> </w:t>
      </w:r>
      <w:r>
        <w:t xml:space="preserve">‘</w:t>
      </w:r>
      <w:r>
        <w:t xml:space="preserve">akṣaram</w:t>
      </w:r>
      <w:r>
        <w:t xml:space="preserve">’</w:t>
      </w:r>
      <w:r>
        <w:t xml:space="preserve"> </w:t>
      </w:r>
      <w:r>
        <w:t xml:space="preserve">are read.</w:t>
      </w:r>
      <w:r>
        <w:t xml:space="preserve"> </w:t>
      </w:r>
      <w:r>
        <w:t xml:space="preserve">‘</w:t>
      </w:r>
      <w:r>
        <w:t xml:space="preserve">Ād aha</w:t>
      </w:r>
      <w:r>
        <w:t xml:space="preserve">’</w:t>
      </w:r>
      <w:r>
        <w:t xml:space="preserve"> </w:t>
      </w:r>
      <w:r>
        <w:t xml:space="preserve">— a particle, first-syllable acute.</w:t>
      </w:r>
      <w:r>
        <w:t xml:space="preserve"> </w:t>
      </w:r>
      <w:r>
        <w:t xml:space="preserve">‘</w:t>
      </w:r>
      <w:r>
        <w:t xml:space="preserve">Svadhām</w:t>
      </w:r>
      <w:r>
        <w:t xml:space="preserve">’</w:t>
      </w:r>
      <w:r>
        <w:t xml:space="preserve"> </w:t>
      </w:r>
      <w:r>
        <w:t xml:space="preserve">—</w:t>
      </w:r>
      <w:r>
        <w:t xml:space="preserve"> </w:t>
      </w:r>
      <w:r>
        <w:t xml:space="preserve">‘</w:t>
      </w:r>
      <w:r>
        <w:t xml:space="preserve">svaṃ lokaṃ dadhāti puṣṇātīti</w:t>
      </w:r>
      <w:r>
        <w:t xml:space="preserve">’</w:t>
      </w:r>
      <w:r>
        <w:t xml:space="preserve"> </w:t>
      </w:r>
      <w:r>
        <w:t xml:space="preserve">—</w:t>
      </w:r>
      <w:r>
        <w:t xml:space="preserve"> </w:t>
      </w:r>
      <w:r>
        <w:t xml:space="preserve">‘</w:t>
      </w:r>
      <w:r>
        <w:t xml:space="preserve">it supports, nourishes its own world</w:t>
      </w:r>
      <w:r>
        <w:t xml:space="preserve">’</w:t>
      </w:r>
      <w:r>
        <w:t xml:space="preserve">:</w:t>
      </w:r>
      <w:r>
        <w:t xml:space="preserve"> </w:t>
      </w:r>
      <w:r>
        <w:t xml:space="preserve">‘</w:t>
      </w:r>
      <w:r>
        <w:t xml:space="preserve">svadhā</w:t>
      </w:r>
      <w:r>
        <w:t xml:space="preserve">’</w:t>
      </w:r>
      <w:r>
        <w:t xml:space="preserve">; (affix)</w:t>
      </w:r>
      <w:r>
        <w:t xml:space="preserve"> </w:t>
      </w:r>
      <w:r>
        <w:t xml:space="preserve">‘</w:t>
      </w:r>
      <w:r>
        <w:t xml:space="preserve">ka</w:t>
      </w:r>
      <w:r>
        <w:t xml:space="preserve">’</w:t>
      </w:r>
      <w:r>
        <w:t xml:space="preserve"> </w:t>
      </w:r>
      <w:r>
        <w:t xml:space="preserve">(Pāṇini 3-2-3) after a root ending in ā when no prefix; the kṛt-final member’s accent is retained.</w:t>
      </w:r>
      <w:r>
        <w:t xml:space="preserve"> </w:t>
      </w:r>
      <w:r>
        <w:t xml:space="preserve">‘</w:t>
      </w:r>
      <w:r>
        <w:t xml:space="preserve">Anu</w:t>
      </w:r>
      <w:r>
        <w:t xml:space="preserve">’</w:t>
      </w:r>
      <w:r>
        <w:t xml:space="preserve"> </w:t>
      </w:r>
      <w:r>
        <w:t xml:space="preserve">and</w:t>
      </w:r>
      <w:r>
        <w:t xml:space="preserve"> </w:t>
      </w:r>
      <w:r>
        <w:t xml:space="preserve">‘</w:t>
      </w:r>
      <w:r>
        <w:t xml:space="preserve">punaḥ</w:t>
      </w:r>
      <w:r>
        <w:t xml:space="preserve">’</w:t>
      </w:r>
      <w:r>
        <w:t xml:space="preserve"> </w:t>
      </w:r>
      <w:r>
        <w:t xml:space="preserve">are both particles, first-syllable acute.</w:t>
      </w:r>
      <w:r>
        <w:t xml:space="preserve"> </w:t>
      </w:r>
      <w:r>
        <w:t xml:space="preserve">‘</w:t>
      </w:r>
      <w:r>
        <w:t xml:space="preserve">Garbhatvam</w:t>
      </w:r>
      <w:r>
        <w:t xml:space="preserve">’</w:t>
      </w:r>
      <w:r>
        <w:t xml:space="preserve"> </w:t>
      </w:r>
      <w:r>
        <w:t xml:space="preserve">—</w:t>
      </w:r>
      <w:r>
        <w:t xml:space="preserve"> </w:t>
      </w:r>
      <w:r>
        <w:t xml:space="preserve">‘</w:t>
      </w:r>
      <w:r>
        <w:t xml:space="preserve">garbhasya bhāvo garbhatvam</w:t>
      </w:r>
      <w:r>
        <w:t xml:space="preserve">’</w:t>
      </w:r>
      <w:r>
        <w:t xml:space="preserve"> </w:t>
      </w:r>
      <w:r>
        <w:t xml:space="preserve">— the state of a germ; accent of the affix.</w:t>
      </w:r>
      <w:r>
        <w:t xml:space="preserve"> </w:t>
      </w:r>
      <w:r>
        <w:t xml:space="preserve">‘</w:t>
      </w:r>
      <w:r>
        <w:t xml:space="preserve">Erire</w:t>
      </w:r>
      <w:r>
        <w:t xml:space="preserve">’</w:t>
      </w:r>
      <w:r>
        <w:t xml:space="preserve"> </w:t>
      </w:r>
      <w:r>
        <w:t xml:space="preserve">— from</w:t>
      </w:r>
      <w:r>
        <w:t xml:space="preserve"> </w:t>
      </w:r>
      <w:r>
        <w:t xml:space="preserve">‘</w:t>
      </w:r>
      <w:r>
        <w:t xml:space="preserve">īr gatau</w:t>
      </w:r>
      <w:r>
        <w:t xml:space="preserve">’</w:t>
      </w:r>
      <w:r>
        <w:t xml:space="preserve"> </w:t>
      </w:r>
      <w:r>
        <w:t xml:space="preserve">(to go, to move), with the causal sense included; the substitute</w:t>
      </w:r>
      <w:r>
        <w:t xml:space="preserve"> </w:t>
      </w:r>
      <w:r>
        <w:t xml:space="preserve">‘</w:t>
      </w:r>
      <w:r>
        <w:t xml:space="preserve">irec</w:t>
      </w:r>
      <w:r>
        <w:t xml:space="preserve">’</w:t>
      </w:r>
      <w:r>
        <w:t xml:space="preserve"> </w:t>
      </w:r>
      <w:r>
        <w:t xml:space="preserve">for</w:t>
      </w:r>
      <w:r>
        <w:t xml:space="preserve"> </w:t>
      </w:r>
      <w:r>
        <w:t xml:space="preserve">‘</w:t>
      </w:r>
      <w:r>
        <w:t xml:space="preserve">jha</w:t>
      </w:r>
      <w:r>
        <w:t xml:space="preserve">’</w:t>
      </w:r>
      <w:r>
        <w:t xml:space="preserve"> </w:t>
      </w:r>
      <w:r>
        <w:t xml:space="preserve">of the</w:t>
      </w:r>
      <w:r>
        <w:t xml:space="preserve"> </w:t>
      </w:r>
      <w:r>
        <w:t xml:space="preserve">‘</w:t>
      </w:r>
      <w:r>
        <w:t xml:space="preserve">liṭ</w:t>
      </w:r>
      <w:r>
        <w:t xml:space="preserve">’</w:t>
      </w:r>
      <w:r>
        <w:t xml:space="preserve"> </w:t>
      </w:r>
      <w:r>
        <w:t xml:space="preserve">after a root with an unaccented marker (Pāṇini 3-4-81); end-acute by the</w:t>
      </w:r>
      <w:r>
        <w:t xml:space="preserve"> </w:t>
      </w:r>
      <w:r>
        <w:t xml:space="preserve">‘</w:t>
      </w:r>
      <w:r>
        <w:t xml:space="preserve">c</w:t>
      </w:r>
      <w:r>
        <w:t xml:space="preserve">’</w:t>
      </w:r>
      <w:r>
        <w:t xml:space="preserve">-mark.</w:t>
      </w:r>
      <w:r>
        <w:t xml:space="preserve"> </w:t>
      </w:r>
      <w:r>
        <w:t xml:space="preserve">‘</w:t>
      </w:r>
      <w:r>
        <w:t xml:space="preserve">Saha supā</w:t>
      </w:r>
      <w:r>
        <w:t xml:space="preserve">’</w:t>
      </w:r>
      <w:r>
        <w:t xml:space="preserve"> </w:t>
      </w:r>
      <w:r>
        <w:t xml:space="preserve">(Pāṇini 2-1-4) — here, by dividing the sūtra at</w:t>
      </w:r>
      <w:r>
        <w:t xml:space="preserve"> </w:t>
      </w:r>
      <w:r>
        <w:t xml:space="preserve">‘</w:t>
      </w:r>
      <w:r>
        <w:t xml:space="preserve">supā,</w:t>
      </w:r>
      <w:r>
        <w:t xml:space="preserve">’</w:t>
      </w:r>
      <w:r>
        <w:t xml:space="preserve"> </w:t>
      </w:r>
      <w:r>
        <w:t xml:space="preserve">the compound of</w:t>
      </w:r>
      <w:r>
        <w:t xml:space="preserve"> </w:t>
      </w:r>
      <w:r>
        <w:t xml:space="preserve">‘</w:t>
      </w:r>
      <w:r>
        <w:t xml:space="preserve">ā</w:t>
      </w:r>
      <w:r>
        <w:t xml:space="preserve">’</w:t>
      </w:r>
      <w:r>
        <w:t xml:space="preserve"> </w:t>
      </w:r>
      <w:r>
        <w:t xml:space="preserve">(prefix) with the verb takes (in a compound) the accent of the whole compound, end-acute (Pāṇini 6-1-223);</w:t>
      </w:r>
      <w:r>
        <w:t xml:space="preserve"> </w:t>
      </w:r>
      <w:r>
        <w:t xml:space="preserve">‘</w:t>
      </w:r>
      <w:r>
        <w:t xml:space="preserve">ām</w:t>
      </w:r>
      <w:r>
        <w:t xml:space="preserve">’</w:t>
      </w:r>
      <w:r>
        <w:t xml:space="preserve"> </w:t>
      </w:r>
      <w:r>
        <w:t xml:space="preserve">does not come, since this is a mantra. By connection with the word</w:t>
      </w:r>
      <w:r>
        <w:t xml:space="preserve"> </w:t>
      </w:r>
      <w:r>
        <w:t xml:space="preserve">‘</w:t>
      </w:r>
      <w:r>
        <w:t xml:space="preserve">aha</w:t>
      </w:r>
      <w:r>
        <w:t xml:space="preserve">’</w:t>
      </w:r>
      <w:r>
        <w:t xml:space="preserve"> </w:t>
      </w:r>
      <w:r>
        <w:t xml:space="preserve">there is no nighāta (Pāṇini 8-1-39,</w:t>
      </w:r>
      <w:r>
        <w:t xml:space="preserve"> </w:t>
      </w:r>
      <w:r>
        <w:t xml:space="preserve">‘</w:t>
      </w:r>
      <w:r>
        <w:t xml:space="preserve">tupaśyapaśyatāhaiḥ pūjāyām</w:t>
      </w:r>
      <w:r>
        <w:t xml:space="preserve">’</w:t>
      </w:r>
      <w:r>
        <w:t xml:space="preserve"> </w:t>
      </w:r>
      <w:r>
        <w:t xml:space="preserve">— the prohibition).</w:t>
      </w:r>
      <w:r>
        <w:t xml:space="preserve"> </w:t>
      </w:r>
      <w:r>
        <w:t xml:space="preserve">‘</w:t>
      </w:r>
      <w:r>
        <w:t xml:space="preserve">Dadhānāḥ</w:t>
      </w:r>
      <w:r>
        <w:t xml:space="preserve">’</w:t>
      </w:r>
      <w:r>
        <w:t xml:space="preserve"> </w:t>
      </w:r>
      <w:r>
        <w:t xml:space="preserve">— where</w:t>
      </w:r>
      <w:r>
        <w:t xml:space="preserve"> </w:t>
      </w:r>
      <w:r>
        <w:t xml:space="preserve">‘</w:t>
      </w:r>
      <w:r>
        <w:t xml:space="preserve">śānac</w:t>
      </w:r>
      <w:r>
        <w:t xml:space="preserve">’</w:t>
      </w:r>
      <w:r>
        <w:t xml:space="preserve"> </w:t>
      </w:r>
      <w:r>
        <w:t xml:space="preserve">being</w:t>
      </w:r>
      <w:r>
        <w:t xml:space="preserve"> </w:t>
      </w:r>
      <w:r>
        <w:t xml:space="preserve">‘</w:t>
      </w:r>
      <w:r>
        <w:t xml:space="preserve">c</w:t>
      </w:r>
      <w:r>
        <w:t xml:space="preserve">’</w:t>
      </w:r>
      <w:r>
        <w:t xml:space="preserve">-marked would be end-acute,</w:t>
      </w:r>
      <w:r>
        <w:t xml:space="preserve"> </w:t>
      </w:r>
      <w:r>
        <w:rPr>
          <w:bCs/>
          <w:b/>
        </w:rPr>
        <w:t xml:space="preserve">अभ्यस्तानामादिः</w:t>
      </w:r>
      <w:r>
        <w:t xml:space="preserve"> </w:t>
      </w:r>
      <w:r>
        <w:t xml:space="preserve">(पा. ६-१-१८९) gives first-syllable acute.</w:t>
      </w:r>
      <w:r>
        <w:t xml:space="preserve"> </w:t>
      </w:r>
      <w:r>
        <w:t xml:space="preserve">‘</w:t>
      </w:r>
      <w:r>
        <w:t xml:space="preserve">Yajñiyam</w:t>
      </w:r>
      <w:r>
        <w:t xml:space="preserve">’</w:t>
      </w:r>
      <w:r>
        <w:t xml:space="preserve"> </w:t>
      </w:r>
      <w:r>
        <w:t xml:space="preserve">—</w:t>
      </w:r>
      <w:r>
        <w:t xml:space="preserve"> </w:t>
      </w:r>
      <w:r>
        <w:t xml:space="preserve">‘</w:t>
      </w:r>
      <w:r>
        <w:t xml:space="preserve">yajñam arhatīti yajñiyam</w:t>
      </w:r>
      <w:r>
        <w:t xml:space="preserve">’</w:t>
      </w:r>
      <w:r>
        <w:t xml:space="preserve">: by</w:t>
      </w:r>
      <w:r>
        <w:t xml:space="preserve"> </w:t>
      </w:r>
      <w:r>
        <w:t xml:space="preserve">‘</w:t>
      </w:r>
      <w:r>
        <w:t xml:space="preserve">yajña-ṛtvigbhyāṃ ghakhañau</w:t>
      </w:r>
      <w:r>
        <w:t xml:space="preserve">’</w:t>
      </w:r>
      <w:r>
        <w:t xml:space="preserve"> </w:t>
      </w:r>
      <w:r>
        <w:t xml:space="preserve">(Pāṇini 5-1-71) the affix</w:t>
      </w:r>
      <w:r>
        <w:t xml:space="preserve"> </w:t>
      </w:r>
      <w:r>
        <w:t xml:space="preserve">‘</w:t>
      </w:r>
      <w:r>
        <w:t xml:space="preserve">gha,</w:t>
      </w:r>
      <w:r>
        <w:t xml:space="preserve">’</w:t>
      </w:r>
      <w:r>
        <w:t xml:space="preserve"> </w:t>
      </w:r>
      <w:r>
        <w:t xml:space="preserve">replaced by</w:t>
      </w:r>
      <w:r>
        <w:t xml:space="preserve"> </w:t>
      </w:r>
      <w:r>
        <w:t xml:space="preserve">‘</w:t>
      </w:r>
      <w:r>
        <w:t xml:space="preserve">iya</w:t>
      </w:r>
      <w:r>
        <w:t xml:space="preserve">’</w:t>
      </w:r>
      <w:r>
        <w:t xml:space="preserve"> </w:t>
      </w:r>
      <w:r>
        <w:t xml:space="preserve">(Pāṇini 7-1-2); the</w:t>
      </w:r>
      <w:r>
        <w:t xml:space="preserve"> </w:t>
      </w:r>
      <w:r>
        <w:t xml:space="preserve">‘</w:t>
      </w:r>
      <w:r>
        <w:t xml:space="preserve">i</w:t>
      </w:r>
      <w:r>
        <w:t xml:space="preserve">’</w:t>
      </w:r>
      <w:r>
        <w:t xml:space="preserve"> </w:t>
      </w:r>
      <w:r>
        <w:t xml:space="preserve">is acute by the affix’s accent.</w:t>
      </w:r>
      <w:r>
        <w:t xml:space="preserve">”</w:t>
      </w:r>
    </w:p>
    <w:p>
      <w:pPr>
        <w:pStyle w:val="BodyText"/>
      </w:pPr>
      <w:r>
        <w:rPr>
          <w:bCs/>
          <w:b/>
        </w:rPr>
        <w:t xml:space="preserve">॥ Prati-padārthaḥ ॥</w:t>
      </w:r>
      <w:r>
        <w:t xml:space="preserve"> </w:t>
      </w:r>
      <w:r>
        <w:rPr>
          <w:iCs/>
          <w:i/>
        </w:rPr>
        <w:t xml:space="preserve">(Kannada, translated)</w:t>
      </w:r>
    </w:p>
    <w:p>
      <w:pPr>
        <w:pStyle w:val="BodyText"/>
      </w:pPr>
      <w:r>
        <w:rPr>
          <w:bCs/>
          <w:b/>
        </w:rPr>
        <w:t xml:space="preserve">आत् अह (āt aha)</w:t>
      </w:r>
      <w:r>
        <w:t xml:space="preserve"> </w:t>
      </w:r>
      <w:r>
        <w:t xml:space="preserve">— immediately after (the end of the rainy season) |</w:t>
      </w:r>
      <w:r>
        <w:t xml:space="preserve"> </w:t>
      </w:r>
      <w:r>
        <w:rPr>
          <w:bCs/>
          <w:b/>
        </w:rPr>
        <w:t xml:space="preserve">यज्ञियम् (yajñiyam)</w:t>
      </w:r>
      <w:r>
        <w:t xml:space="preserve"> </w:t>
      </w:r>
      <w:r>
        <w:t xml:space="preserve">— worthy of sacrifice |</w:t>
      </w:r>
      <w:r>
        <w:t xml:space="preserve"> </w:t>
      </w:r>
      <w:r>
        <w:rPr>
          <w:bCs/>
          <w:b/>
        </w:rPr>
        <w:t xml:space="preserve">नाम (nāma)</w:t>
      </w:r>
      <w:r>
        <w:t xml:space="preserve"> </w:t>
      </w:r>
      <w:r>
        <w:t xml:space="preserve">— name |</w:t>
      </w:r>
      <w:r>
        <w:t xml:space="preserve"> </w:t>
      </w:r>
      <w:r>
        <w:rPr>
          <w:bCs/>
          <w:b/>
        </w:rPr>
        <w:t xml:space="preserve">दधानाः (dadhānāḥ)</w:t>
      </w:r>
      <w:r>
        <w:t xml:space="preserve"> </w:t>
      </w:r>
      <w:r>
        <w:t xml:space="preserve">— bearing (the Maruts, that is, the Marut-deities) |</w:t>
      </w:r>
      <w:r>
        <w:t xml:space="preserve"> </w:t>
      </w:r>
      <w:r>
        <w:rPr>
          <w:bCs/>
          <w:b/>
        </w:rPr>
        <w:t xml:space="preserve">स्वधाम् अनु (svadhām anu)</w:t>
      </w:r>
      <w:r>
        <w:t xml:space="preserve"> </w:t>
      </w:r>
      <w:r>
        <w:t xml:space="preserve">— (to produce) food in the form of grain (that must grow later) and water |</w:t>
      </w:r>
      <w:r>
        <w:t xml:space="preserve"> </w:t>
      </w:r>
      <w:r>
        <w:rPr>
          <w:bCs/>
          <w:b/>
        </w:rPr>
        <w:t xml:space="preserve">पुनः (punaḥ)</w:t>
      </w:r>
      <w:r>
        <w:t xml:space="preserve"> </w:t>
      </w:r>
      <w:r>
        <w:t xml:space="preserve">— again (now too, as in the previous rainy season) |</w:t>
      </w:r>
      <w:r>
        <w:t xml:space="preserve"> </w:t>
      </w:r>
      <w:r>
        <w:rPr>
          <w:bCs/>
          <w:b/>
        </w:rPr>
        <w:t xml:space="preserve">गर्भत्वम् (garbhatvam)</w:t>
      </w:r>
      <w:r>
        <w:t xml:space="preserve"> </w:t>
      </w:r>
      <w:r>
        <w:t xml:space="preserve">— (the water that gathers together in the cloud, as a germ) the water gathering in the cloud |</w:t>
      </w:r>
      <w:r>
        <w:t xml:space="preserve"> </w:t>
      </w:r>
      <w:r>
        <w:rPr>
          <w:bCs/>
          <w:b/>
        </w:rPr>
        <w:t xml:space="preserve">एरिरे (erire)</w:t>
      </w:r>
      <w:r>
        <w:t xml:space="preserve"> </w:t>
      </w:r>
      <w:r>
        <w:t xml:space="preserve">— impelled (that is, impelled Parjanya, who produces the rain).</w:t>
      </w:r>
    </w:p>
    <w:p>
      <w:pPr>
        <w:pStyle w:val="BodyText"/>
      </w:pPr>
      <w:r>
        <w:rPr>
          <w:bCs/>
          <w:b/>
        </w:rPr>
        <w:t xml:space="preserve">॥ Bhāvārthaḥ ॥</w:t>
      </w:r>
      <w:r>
        <w:t xml:space="preserve"> </w:t>
      </w:r>
      <w:r>
        <w:rPr>
          <w:iCs/>
          <w:i/>
        </w:rPr>
        <w:t xml:space="preserve">(Kannada, translated)</w:t>
      </w:r>
    </w:p>
    <w:p>
      <w:pPr>
        <w:pStyle w:val="BodyText"/>
      </w:pPr>
      <w:r>
        <w:t xml:space="preserve">After the rainy season has passed, the Marut-deities, who are famous by names honoured in sacrifices and the like, in order to give people grain in the form of food and water, again, as before, now also, as a part of the work of rain, impelled Parjanya, so that, like a germ, the water gathers together in the midst of the clouds.</w:t>
      </w:r>
    </w:p>
    <w:p>
      <w:pPr>
        <w:pStyle w:val="BodyText"/>
      </w:pPr>
      <w:r>
        <w:rPr>
          <w:bCs/>
          <w:b/>
        </w:rPr>
        <w:t xml:space="preserve">English Translation</w:t>
      </w:r>
      <w:r>
        <w:t xml:space="preserve"> </w:t>
      </w:r>
      <w:r>
        <w:rPr>
          <w:iCs/>
          <w:i/>
        </w:rPr>
        <w:t xml:space="preserve">(printed in English in the source itself):</w:t>
      </w:r>
    </w:p>
    <w:p>
      <w:pPr>
        <w:pStyle w:val="BodyText"/>
      </w:pPr>
      <w:r>
        <w:t xml:space="preserve">“</w:t>
      </w:r>
      <w:r>
        <w:t xml:space="preserve">Thereafter (the Maruts) who bear the names invoked in sacrificial rites, having seen the rain about to be engendered instigated him to resume his embryo condition (in the clouds).</w:t>
      </w:r>
      <w:r>
        <w:t xml:space="preserve">”</w:t>
      </w:r>
    </w:p>
    <w:bookmarkEnd w:id="261"/>
    <w:bookmarkStart w:id="262" w:name="Xc05b4546a7f643a11a5f52f8e4ffc1a8f838f9c"/>
    <w:p>
      <w:pPr>
        <w:pStyle w:val="Heading3"/>
      </w:pPr>
      <w:r>
        <w:t xml:space="preserve">Page 224 — Special topics on Rik 6.4: the application; the Maruts and the rains;</w:t>
      </w:r>
      <w:r>
        <w:t xml:space="preserve"> </w:t>
      </w:r>
      <w:r>
        <w:t xml:space="preserve">“</w:t>
      </w:r>
      <w:r>
        <w:t xml:space="preserve">svadhā</w:t>
      </w:r>
      <w:r>
        <w:t xml:space="preserve">”</w:t>
      </w:r>
      <w:r>
        <w:t xml:space="preserve"> </w:t>
      </w:r>
      <w:r>
        <w:t xml:space="preserve">and</w:t>
      </w:r>
      <w:r>
        <w:t xml:space="preserve"> </w:t>
      </w:r>
      <w:r>
        <w:t xml:space="preserve">“</w:t>
      </w:r>
      <w:r>
        <w:t xml:space="preserve">anu</w:t>
      </w:r>
      <w:r>
        <w:t xml:space="preserve">”</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6.</w:t>
      </w:r>
      <w:r>
        <w:rPr>
          <w:iCs/>
          <w:i/>
        </w:rPr>
        <w:t xml:space="preserve">”</w:t>
      </w:r>
      <w:r>
        <w:rPr>
          <w:iCs/>
          <w:i/>
        </w:rPr>
        <w:t xml:space="preserve"> </w:t>
      </w:r>
      <w:r>
        <w:rPr>
          <w:iCs/>
          <w:i/>
        </w:rPr>
        <w:t xml:space="preserve">Kannada prose translated; English as printed; printed p. 224 is missing from the better scan; this page is checked against the older scan</w:t>
      </w:r>
      <w:r>
        <w:rPr>
          <w:iCs/>
          <w:i/>
        </w:rPr>
        <w:t xml:space="preserve"> </w:t>
      </w:r>
      <w:r>
        <w:rPr>
          <w:rStyle w:val="VerbatimChar"/>
          <w:iCs/>
          <w:i/>
        </w:rPr>
        <w:t xml:space="preserve">Rig_Vol2.pdf</w:t>
      </w:r>
      <w:r>
        <w:rPr>
          <w:iCs/>
          <w:i/>
        </w:rPr>
        <w:t xml:space="preserve"> </w:t>
      </w:r>
      <w:r>
        <w:rPr>
          <w:iCs/>
          <w:i/>
        </w:rPr>
        <w:t xml:space="preserve">(its PDF 239).)</w:t>
      </w:r>
    </w:p>
    <w:p>
      <w:pPr>
        <w:pStyle w:val="BodyText"/>
      </w:pPr>
      <w:r>
        <w:rPr>
          <w:bCs/>
          <w:b/>
        </w:rPr>
        <w:t xml:space="preserve">॥ Viśeṣa-viṣayagaḷu (Special Topics) ॥</w:t>
      </w:r>
    </w:p>
    <w:p>
      <w:pPr>
        <w:pStyle w:val="BodyText"/>
      </w:pPr>
      <w:r>
        <w:t xml:space="preserve">The Bhāṣyakāra has said that there is a special application for this Ṛk. On the twenty-fourth day, at the morning pressing, the priest Brāhmaṇācchaṃsin is to recite, as the śastra-mantra, the two Ṛks beginning</w:t>
      </w:r>
      <w:r>
        <w:t xml:space="preserve"> </w:t>
      </w:r>
      <w:r>
        <w:t xml:space="preserve">“</w:t>
      </w:r>
      <w:r>
        <w:t xml:space="preserve">ād aha svadhām anu</w:t>
      </w:r>
      <w:r>
        <w:t xml:space="preserve">”</w:t>
      </w:r>
      <w:r>
        <w:t xml:space="preserve"> </w:t>
      </w:r>
      <w:r>
        <w:t xml:space="preserve">(that is, the 4th and 5th Ṛks of this sūkta [as printed]) and the one Ṛk</w:t>
      </w:r>
      <w:r>
        <w:t xml:space="preserve"> </w:t>
      </w:r>
      <w:r>
        <w:t xml:space="preserve">“</w:t>
      </w:r>
      <w:r>
        <w:t xml:space="preserve">indreṇa saṃ hi dṛkṣase</w:t>
      </w:r>
      <w:r>
        <w:t xml:space="preserve">”</w:t>
      </w:r>
      <w:r>
        <w:t xml:space="preserve"> </w:t>
      </w:r>
      <w:r>
        <w:t xml:space="preserve">(the 7th of this sūkta) — a tṛca of these three Ṛks together; that tṛca bears the name</w:t>
      </w:r>
      <w:r>
        <w:t xml:space="preserve"> </w:t>
      </w:r>
      <w:r>
        <w:t xml:space="preserve">“</w:t>
      </w:r>
      <w:r>
        <w:t xml:space="preserve">ṣaḷaha-stotriya.</w:t>
      </w:r>
      <w:r>
        <w:t xml:space="preserve">”</w:t>
      </w:r>
      <w:r>
        <w:t xml:space="preserve"> </w:t>
      </w:r>
      <w:r>
        <w:t xml:space="preserve">On this matter</w:t>
      </w:r>
      <w:r>
        <w:t xml:space="preserve"> </w:t>
      </w:r>
      <w:r>
        <w:rPr>
          <w:bCs/>
          <w:b/>
        </w:rPr>
        <w:t xml:space="preserve">Āśvalāyana</w:t>
      </w:r>
      <w:r>
        <w:t xml:space="preserve"> </w:t>
      </w:r>
      <w:r>
        <w:t xml:space="preserve">says in his Śrauta-sūtra, in the section</w:t>
      </w:r>
      <w:r>
        <w:t xml:space="preserve"> </w:t>
      </w:r>
      <w:r>
        <w:t xml:space="preserve">“</w:t>
      </w:r>
      <w:r>
        <w:t xml:space="preserve">hotājaniṣva</w:t>
      </w:r>
      <w:r>
        <w:t xml:space="preserve">”</w:t>
      </w:r>
      <w:r>
        <w:t xml:space="preserve">:</w:t>
      </w:r>
      <w:r>
        <w:t xml:space="preserve"> </w:t>
      </w:r>
      <w:r>
        <w:t xml:space="preserve">“</w:t>
      </w:r>
      <w:r>
        <w:rPr>
          <w:iCs/>
          <w:i/>
        </w:rPr>
        <w:t xml:space="preserve">indreṇa saṃ hi dṛkṣase ādaha svadhām anv ity ekā dve ca</w:t>
      </w:r>
      <w:r>
        <w:t xml:space="preserve">”</w:t>
      </w:r>
      <w:r>
        <w:t xml:space="preserve"> </w:t>
      </w:r>
      <w:r>
        <w:t xml:space="preserve">(Āśv. Sū. 7-2). Though this sūkta has Indra as its deity, the Maruts are described in the six Ṛks of this sūkta beginning with</w:t>
      </w:r>
      <w:r>
        <w:t xml:space="preserve"> </w:t>
      </w:r>
      <w:r>
        <w:t xml:space="preserve">“</w:t>
      </w:r>
      <w:r>
        <w:t xml:space="preserve">ādaha.</w:t>
      </w:r>
      <w:r>
        <w:t xml:space="preserve">”</w:t>
      </w:r>
      <w:r>
        <w:t xml:space="preserve"> </w:t>
      </w:r>
      <w:r>
        <w:t xml:space="preserve">For this very reason, the Anukramaṇī says</w:t>
      </w:r>
      <w:r>
        <w:t xml:space="preserve"> </w:t>
      </w:r>
      <w:r>
        <w:t xml:space="preserve">“</w:t>
      </w:r>
      <w:r>
        <w:t xml:space="preserve">aindre maruta</w:t>
      </w:r>
      <w:r>
        <w:t xml:space="preserve">”</w:t>
      </w:r>
      <w:r>
        <w:t xml:space="preserve"> </w:t>
      </w:r>
      <w:r>
        <w:t xml:space="preserve">(Anu. 2-22) — that in this Indra-sūkta there is a Marut-subject.</w:t>
      </w:r>
    </w:p>
    <w:p>
      <w:pPr>
        <w:pStyle w:val="BodyText"/>
      </w:pPr>
      <w:r>
        <w:t xml:space="preserve">The meaning of this Ṛk is not plain either. The names of the Maruts are not in these Ṛks; but the Bhāṣyakāra, following the Anukramaṇī, interprets it as concerning the Maruts. In the rainy season the large, huge clouds that gather together are here described as the</w:t>
      </w:r>
      <w:r>
        <w:t xml:space="preserve"> </w:t>
      </w:r>
      <w:r>
        <w:t xml:space="preserve">“</w:t>
      </w:r>
      <w:r>
        <w:t xml:space="preserve">garbha</w:t>
      </w:r>
      <w:r>
        <w:t xml:space="preserve">”</w:t>
      </w:r>
      <w:r>
        <w:t xml:space="preserve"> </w:t>
      </w:r>
      <w:r>
        <w:t xml:space="preserve">(germ) in which water gathers; and since, from such a cloud-germ, rain-water and food in the form of grain are obtained by men, the sense is that the Marut-deities impel it.</w:t>
      </w:r>
    </w:p>
    <w:p>
      <w:pPr>
        <w:pStyle w:val="BodyText"/>
      </w:pPr>
      <w:r>
        <w:rPr>
          <w:bCs/>
          <w:b/>
        </w:rPr>
        <w:t xml:space="preserve">आत् (āt)</w:t>
      </w:r>
      <w:r>
        <w:t xml:space="preserve"> </w:t>
      </w:r>
      <w:r>
        <w:t xml:space="preserve">—</w:t>
      </w:r>
      <w:r>
        <w:t xml:space="preserve"> </w:t>
      </w:r>
      <w:r>
        <w:t xml:space="preserve">“</w:t>
      </w:r>
      <w:r>
        <w:t xml:space="preserve">anantara,</w:t>
      </w:r>
      <w:r>
        <w:t xml:space="preserve">”</w:t>
      </w:r>
      <w:r>
        <w:t xml:space="preserve"> </w:t>
      </w:r>
      <w:r>
        <w:t xml:space="preserve">that is, after the rainy season has passed.</w:t>
      </w:r>
      <w:r>
        <w:t xml:space="preserve"> </w:t>
      </w:r>
      <w:r>
        <w:rPr>
          <w:bCs/>
          <w:b/>
        </w:rPr>
        <w:t xml:space="preserve">अह (aha)</w:t>
      </w:r>
      <w:r>
        <w:t xml:space="preserve"> </w:t>
      </w:r>
      <w:r>
        <w:t xml:space="preserve">—</w:t>
      </w:r>
      <w:r>
        <w:t xml:space="preserve"> </w:t>
      </w:r>
      <w:r>
        <w:t xml:space="preserve">“</w:t>
      </w:r>
      <w:r>
        <w:t xml:space="preserve">eva,</w:t>
      </w:r>
      <w:r>
        <w:t xml:space="preserve">”</w:t>
      </w:r>
      <w:r>
        <w:t xml:space="preserve"> </w:t>
      </w:r>
      <w:r>
        <w:t xml:space="preserve">emphasis; or it may be thought of as a word that gives the sense of</w:t>
      </w:r>
      <w:r>
        <w:t xml:space="preserve"> </w:t>
      </w:r>
      <w:r>
        <w:t xml:space="preserve">“</w:t>
      </w:r>
      <w:r>
        <w:t xml:space="preserve">wonder.</w:t>
      </w:r>
      <w:r>
        <w:t xml:space="preserve">”</w:t>
      </w:r>
    </w:p>
    <w:p>
      <w:pPr>
        <w:pStyle w:val="BodyText"/>
      </w:pPr>
      <w:r>
        <w:rPr>
          <w:bCs/>
          <w:b/>
        </w:rPr>
        <w:t xml:space="preserve">स्वधाम् (svadhām)</w:t>
      </w:r>
      <w:r>
        <w:t xml:space="preserve"> </w:t>
      </w:r>
      <w:r>
        <w:t xml:space="preserve">— Among the twenty-eight words that signify food, beginning with</w:t>
      </w:r>
      <w:r>
        <w:t xml:space="preserve"> </w:t>
      </w:r>
      <w:r>
        <w:t xml:space="preserve">“</w:t>
      </w:r>
      <w:r>
        <w:t xml:space="preserve">andha,</w:t>
      </w:r>
      <w:r>
        <w:t xml:space="preserve">”</w:t>
      </w:r>
      <w:r>
        <w:t xml:space="preserve"> </w:t>
      </w:r>
      <w:r>
        <w:t xml:space="preserve">the words</w:t>
      </w:r>
      <w:r>
        <w:t xml:space="preserve"> </w:t>
      </w:r>
      <w:r>
        <w:t xml:space="preserve">“</w:t>
      </w:r>
      <w:r>
        <w:t xml:space="preserve">ūrk,</w:t>
      </w:r>
      <w:r>
        <w:t xml:space="preserve">”</w:t>
      </w:r>
      <w:r>
        <w:t xml:space="preserve"> </w:t>
      </w:r>
      <w:r>
        <w:t xml:space="preserve">“</w:t>
      </w:r>
      <w:r>
        <w:t xml:space="preserve">rasaḥ</w:t>
      </w:r>
      <w:r>
        <w:t xml:space="preserve">”</w:t>
      </w:r>
      <w:r>
        <w:t xml:space="preserve"> </w:t>
      </w:r>
      <w:r>
        <w:t xml:space="preserve">and</w:t>
      </w:r>
      <w:r>
        <w:t xml:space="preserve"> </w:t>
      </w:r>
      <w:r>
        <w:t xml:space="preserve">“</w:t>
      </w:r>
      <w:r>
        <w:t xml:space="preserve">svadhā</w:t>
      </w:r>
      <w:r>
        <w:t xml:space="preserve">”</w:t>
      </w:r>
      <w:r>
        <w:t xml:space="preserve"> </w:t>
      </w:r>
      <w:r>
        <w:t xml:space="preserve">are read (Ni. 2-7), and among the 101 words that signify water beginning with</w:t>
      </w:r>
      <w:r>
        <w:t xml:space="preserve"> </w:t>
      </w:r>
      <w:r>
        <w:t xml:space="preserve">“</w:t>
      </w:r>
      <w:r>
        <w:t xml:space="preserve">arṇaḥ, kṣodaḥ</w:t>
      </w:r>
      <w:r>
        <w:t xml:space="preserve">”</w:t>
      </w:r>
      <w:r>
        <w:t xml:space="preserve"> </w:t>
      </w:r>
      <w:r>
        <w:t xml:space="preserve">the word</w:t>
      </w:r>
      <w:r>
        <w:t xml:space="preserve"> </w:t>
      </w:r>
      <w:r>
        <w:t xml:space="preserve">“</w:t>
      </w:r>
      <w:r>
        <w:t xml:space="preserve">svadhā</w:t>
      </w:r>
      <w:r>
        <w:t xml:space="preserve">”</w:t>
      </w:r>
      <w:r>
        <w:t xml:space="preserve"> </w:t>
      </w:r>
      <w:r>
        <w:t xml:space="preserve">is also read (Ni. 1-12). On the question of the meaning of the word</w:t>
      </w:r>
      <w:r>
        <w:t xml:space="preserve"> </w:t>
      </w:r>
      <w:r>
        <w:t xml:space="preserve">“</w:t>
      </w:r>
      <w:r>
        <w:t xml:space="preserve">svadhā,</w:t>
      </w:r>
      <w:r>
        <w:t xml:space="preserve">”</w:t>
      </w:r>
      <w:r>
        <w:t xml:space="preserve"> </w:t>
      </w:r>
      <w:r>
        <w:t xml:space="preserve">there is much speculation among the learned.</w:t>
      </w:r>
      <w:r>
        <w:t xml:space="preserve"> </w:t>
      </w:r>
      <w:r>
        <w:rPr>
          <w:bCs/>
          <w:b/>
        </w:rPr>
        <w:t xml:space="preserve">“</w:t>
      </w:r>
      <w:r>
        <w:rPr>
          <w:bCs/>
          <w:b/>
        </w:rPr>
        <w:t xml:space="preserve">Svaṃ lokaṃ dadhāti puṣṇātīti svadhā</w:t>
      </w:r>
      <w:r>
        <w:rPr>
          <w:bCs/>
          <w:b/>
        </w:rPr>
        <w:t xml:space="preserve">”</w:t>
      </w:r>
      <w:r>
        <w:t xml:space="preserve"> </w:t>
      </w:r>
      <w:r>
        <w:t xml:space="preserve">—</w:t>
      </w:r>
      <w:r>
        <w:t xml:space="preserve"> </w:t>
      </w:r>
      <w:r>
        <w:t xml:space="preserve">“</w:t>
      </w:r>
      <w:r>
        <w:t xml:space="preserve">svadhā</w:t>
      </w:r>
      <w:r>
        <w:t xml:space="preserve">”</w:t>
      </w:r>
      <w:r>
        <w:t xml:space="preserve"> </w:t>
      </w:r>
      <w:r>
        <w:t xml:space="preserve">because it supports and nourishes its own world — (the food): thus the Bhāṣyakāra has explained the sense of the parts of this word. Western scholars say that this word has various senses</w:t>
      </w:r>
      <w:r>
        <w:t xml:space="preserve"> </w:t>
      </w:r>
      <w:r>
        <w:rPr>
          <w:iCs/>
          <w:i/>
        </w:rPr>
        <w:t xml:space="preserve">(English as printed)</w:t>
      </w:r>
      <w:r>
        <w:t xml:space="preserve">:</w:t>
      </w:r>
      <w:r>
        <w:t xml:space="preserve"> </w:t>
      </w:r>
      <w:r>
        <w:t xml:space="preserve">“</w:t>
      </w:r>
      <w:r>
        <w:t xml:space="preserve">sva + dhā = svadhā: one’s own place; svadhā: to offer the oblation to the Pitṛs (fathers) in the fire; self position; self power; inherent power; accustomed place; comfort; joy,</w:t>
      </w:r>
      <w:r>
        <w:t xml:space="preserve">”</w:t>
      </w:r>
      <w:r>
        <w:t xml:space="preserve"> </w:t>
      </w:r>
      <w:r>
        <w:t xml:space="preserve">etc. In this question of the meaning of the word, Skandasvāmī and Veṅkaṭamādhava have the same view as Sāyaṇa.</w:t>
      </w:r>
    </w:p>
    <w:p>
      <w:pPr>
        <w:pStyle w:val="BodyText"/>
      </w:pPr>
      <w:r>
        <w:rPr>
          <w:bCs/>
          <w:b/>
        </w:rPr>
        <w:t xml:space="preserve">अनु (anu)</w:t>
      </w:r>
      <w:r>
        <w:t xml:space="preserve"> </w:t>
      </w:r>
      <w:r>
        <w:t xml:space="preserve">—</w:t>
      </w:r>
      <w:r>
        <w:t xml:space="preserve"> </w:t>
      </w:r>
      <w:r>
        <w:t xml:space="preserve">“</w:t>
      </w:r>
      <w:r>
        <w:t xml:space="preserve">paścāt,</w:t>
      </w:r>
      <w:r>
        <w:t xml:space="preserve">”</w:t>
      </w:r>
      <w:r>
        <w:t xml:space="preserve"> </w:t>
      </w:r>
      <w:r>
        <w:t xml:space="preserve">afterwards, after the rainy season has ended.</w:t>
      </w:r>
      <w:r>
        <w:t xml:space="preserve"> </w:t>
      </w:r>
      <w:r>
        <w:rPr>
          <w:bCs/>
          <w:b/>
        </w:rPr>
        <w:t xml:space="preserve">Skandasvāmī</w:t>
      </w:r>
      <w:r>
        <w:t xml:space="preserve"> </w:t>
      </w:r>
      <w:r>
        <w:t xml:space="preserve">explains it as: after the rainy season (the four months) has ended, and before the rainy season begins again, the eight months that are between …</w:t>
      </w:r>
    </w:p>
    <w:bookmarkEnd w:id="262"/>
    <w:bookmarkStart w:id="263" w:name="Xf54d12188866b0853e929896b10de3d175b9b87"/>
    <w:p>
      <w:pPr>
        <w:pStyle w:val="Heading3"/>
      </w:pPr>
      <w:r>
        <w:t xml:space="preserve">Page 225 — Special topics on Rik 6.4 (concluded); Vyākaraṇa-prakriyā (characterized)</w:t>
      </w:r>
    </w:p>
    <w:p>
      <w:pPr>
        <w:pStyle w:val="FirstParagraph"/>
      </w:pPr>
      <w:r>
        <w:rPr>
          <w:iCs/>
          <w:i/>
        </w:rPr>
        <w:t xml:space="preserve">(Page header:</w:t>
      </w:r>
      <w:r>
        <w:rPr>
          <w:iCs/>
          <w:i/>
        </w:rPr>
        <w:t xml:space="preserve"> </w:t>
      </w:r>
      <w:r>
        <w:rPr>
          <w:iCs/>
          <w:i/>
        </w:rPr>
        <w:t xml:space="preserve">“</w:t>
      </w:r>
      <w:r>
        <w:rPr>
          <w:iCs/>
          <w:i/>
        </w:rPr>
        <w:t xml:space="preserve">Aṣṭaka 1, Adhyāya 1, Varga 11 · Ṛgveda-saṃhitā.</w:t>
      </w:r>
      <w:r>
        <w:rPr>
          <w:iCs/>
          <w:i/>
        </w:rPr>
        <w:t xml:space="preserve">”</w:t>
      </w:r>
      <w:r>
        <w:rPr>
          <w:iCs/>
          <w:i/>
        </w:rPr>
        <w:t xml:space="preserve"> </w:t>
      </w:r>
      <w:r>
        <w:rPr>
          <w:iCs/>
          <w:i/>
        </w:rPr>
        <w:t xml:space="preserve">Printed p. 225 is missing from the better scan; checked against the older scan</w:t>
      </w:r>
      <w:r>
        <w:rPr>
          <w:iCs/>
          <w:i/>
        </w:rPr>
        <w:t xml:space="preserve"> </w:t>
      </w:r>
      <w:r>
        <w:rPr>
          <w:rStyle w:val="VerbatimChar"/>
          <w:iCs/>
          <w:i/>
        </w:rPr>
        <w:t xml:space="preserve">Rig_Vol2.pdf</w:t>
      </w:r>
      <w:r>
        <w:rPr>
          <w:iCs/>
          <w:i/>
        </w:rPr>
        <w:t xml:space="preserve"> </w:t>
      </w:r>
      <w:r>
        <w:rPr>
          <w:iCs/>
          <w:i/>
        </w:rPr>
        <w:t xml:space="preserve">(its PDF 240). Kannada prose translated; the Sanskrit quotation was read from an enlarged slice and is given in three layers, flagged where unclear. Grammar characterized, sūtras kept.)</w:t>
      </w:r>
    </w:p>
    <w:p>
      <w:pPr>
        <w:pStyle w:val="BodyText"/>
      </w:pPr>
      <w:r>
        <w:rPr>
          <w:iCs/>
          <w:i/>
        </w:rPr>
        <w:t xml:space="preserve">(Continuing</w:t>
      </w:r>
      <w:r>
        <w:rPr>
          <w:iCs/>
          <w:i/>
        </w:rPr>
        <w:t xml:space="preserve"> </w:t>
      </w:r>
      <w:r>
        <w:rPr>
          <w:iCs/>
          <w:i/>
        </w:rPr>
        <w:t xml:space="preserve">“</w:t>
      </w:r>
      <w:r>
        <w:rPr>
          <w:iCs/>
          <w:i/>
        </w:rPr>
        <w:t xml:space="preserve">anu</w:t>
      </w:r>
      <w:r>
        <w:rPr>
          <w:iCs/>
          <w:i/>
        </w:rPr>
        <w:t xml:space="preserve">”</w:t>
      </w:r>
      <w:r>
        <w:rPr>
          <w:iCs/>
          <w:i/>
        </w:rPr>
        <w:t xml:space="preserve"> </w:t>
      </w:r>
      <w:r>
        <w:rPr>
          <w:iCs/>
          <w:i/>
        </w:rPr>
        <w:t xml:space="preserve">from p. 224:)</w:t>
      </w:r>
      <w:r>
        <w:t xml:space="preserve"> </w:t>
      </w:r>
      <w:r>
        <w:t xml:space="preserve">…that between the end of one rainy season and the beginning of the next lie the eight months — so Skandasvāmī says. In support of this he has quoted, as authority, the sentence:</w:t>
      </w:r>
    </w:p>
    <w:p>
      <w:pPr>
        <w:pStyle w:val="BlockText"/>
      </w:pPr>
      <w:r>
        <w:t xml:space="preserve">वार्षिकांश्चतुरो मासान् वर्षित्वा तदनन्तरमष्टौ मासांस्तदुदकं रश्मिभिः प्रत्याहृत्य तदागामिसंवत्सरे वर्षितुं पुनर्गर्भमापादयन्ति मरुतः</w:t>
      </w:r>
      <w:r>
        <w:t xml:space="preserve"> </w:t>
      </w:r>
      <w:r>
        <w:rPr>
          <w:iCs/>
          <w:i/>
        </w:rPr>
        <w:t xml:space="preserve">vārṣikāṃś caturo māsān varṣitvā tad-anantaram aṣṭau māsāṃs tad udakaṃ raśmibhiḥ pratyāhṛtya tad-āgāmi-saṃvatsare varṣituṃ punar garbham āpādayanti marutaḥ</w:t>
      </w:r>
      <w:r>
        <w:t xml:space="preserve"> </w:t>
      </w:r>
      <w:r>
        <w:rPr>
          <w:iCs/>
          <w:i/>
        </w:rPr>
        <w:t xml:space="preserve">(Reading note: checked against the older scan: the print reads</w:t>
      </w:r>
      <w:r>
        <w:rPr>
          <w:iCs/>
          <w:i/>
        </w:rPr>
        <w:t xml:space="preserve"> </w:t>
      </w:r>
      <w:r>
        <w:rPr>
          <w:iCs/>
          <w:i/>
        </w:rPr>
        <w:t xml:space="preserve">“</w:t>
      </w:r>
      <w:r>
        <w:rPr>
          <w:iCs/>
          <w:i/>
        </w:rPr>
        <w:t xml:space="preserve">pratyāhṛtya</w:t>
      </w:r>
      <w:r>
        <w:rPr>
          <w:iCs/>
          <w:i/>
        </w:rPr>
        <w:t xml:space="preserve">”</w:t>
      </w:r>
      <w:r>
        <w:rPr>
          <w:iCs/>
          <w:i/>
        </w:rPr>
        <w:t xml:space="preserve"> </w:t>
      </w:r>
      <w:r>
        <w:rPr>
          <w:iCs/>
          <w:i/>
        </w:rPr>
        <w:t xml:space="preserve">(once) and</w:t>
      </w:r>
      <w:r>
        <w:rPr>
          <w:iCs/>
          <w:i/>
        </w:rPr>
        <w:t xml:space="preserve"> </w:t>
      </w:r>
      <w:r>
        <w:rPr>
          <w:iCs/>
          <w:i/>
        </w:rPr>
        <w:t xml:space="preserve">“</w:t>
      </w:r>
      <w:r>
        <w:rPr>
          <w:iCs/>
          <w:i/>
        </w:rPr>
        <w:t xml:space="preserve">āpādayanti</w:t>
      </w:r>
      <w:r>
        <w:rPr>
          <w:iCs/>
          <w:i/>
        </w:rPr>
        <w:t xml:space="preserve">”</w:t>
      </w:r>
      <w:r>
        <w:rPr>
          <w:iCs/>
          <w:i/>
        </w:rPr>
        <w:t xml:space="preserve">; the rest as given.)</w:t>
      </w:r>
      <w:r>
        <w:t xml:space="preserve"> </w:t>
      </w:r>
      <w:r>
        <w:rPr>
          <w:bCs/>
          <w:b/>
        </w:rPr>
        <w:t xml:space="preserve">Translation:</w:t>
      </w:r>
      <w:r>
        <w:t xml:space="preserve"> </w:t>
      </w:r>
      <w:r>
        <w:t xml:space="preserve">“</w:t>
      </w:r>
      <w:r>
        <w:t xml:space="preserve">Having rained the four months of the rains, then for eight months the Maruts, drawing back that water with the rays (of the Sun), bring about a germ (garbha) again, so as to rain in the coming year.</w:t>
      </w:r>
      <w:r>
        <w:t xml:space="preserve">”</w:t>
      </w:r>
    </w:p>
    <w:p>
      <w:pPr>
        <w:pStyle w:val="FirstParagraph"/>
      </w:pPr>
      <w:r>
        <w:rPr>
          <w:bCs/>
          <w:b/>
        </w:rPr>
        <w:t xml:space="preserve">पुनः (punaḥ)</w:t>
      </w:r>
      <w:r>
        <w:t xml:space="preserve"> </w:t>
      </w:r>
      <w:r>
        <w:t xml:space="preserve">— This word indicates that, as in the rainy season that has gone by, so there will come another rainy season in the future.</w:t>
      </w:r>
      <w:r>
        <w:t xml:space="preserve"> </w:t>
      </w:r>
      <w:r>
        <w:rPr>
          <w:bCs/>
          <w:b/>
        </w:rPr>
        <w:t xml:space="preserve">गर्भत्वम् (garbhatvam)</w:t>
      </w:r>
      <w:r>
        <w:t xml:space="preserve"> </w:t>
      </w:r>
      <w:r>
        <w:t xml:space="preserve">— here</w:t>
      </w:r>
      <w:r>
        <w:t xml:space="preserve"> </w:t>
      </w:r>
      <w:r>
        <w:t xml:space="preserve">“</w:t>
      </w:r>
      <w:r>
        <w:t xml:space="preserve">garbha</w:t>
      </w:r>
      <w:r>
        <w:t xml:space="preserve">”</w:t>
      </w:r>
      <w:r>
        <w:t xml:space="preserve"> </w:t>
      </w:r>
      <w:r>
        <w:t xml:space="preserve">must be understood as the mass of water that has gathered in a heap in the cloud-circle (of the cloud).</w:t>
      </w:r>
      <w:r>
        <w:t xml:space="preserve"> </w:t>
      </w:r>
      <w:r>
        <w:rPr>
          <w:bCs/>
          <w:b/>
        </w:rPr>
        <w:t xml:space="preserve">दधानाः (dadhānāḥ)</w:t>
      </w:r>
      <w:r>
        <w:t xml:space="preserve"> </w:t>
      </w:r>
      <w:r>
        <w:t xml:space="preserve">— Sāyaṇa explains this word, joined with</w:t>
      </w:r>
      <w:r>
        <w:t xml:space="preserve"> </w:t>
      </w:r>
      <w:r>
        <w:t xml:space="preserve">“</w:t>
      </w:r>
      <w:r>
        <w:t xml:space="preserve">yajñiyaṃ nāma</w:t>
      </w:r>
      <w:r>
        <w:t xml:space="preserve">”</w:t>
      </w:r>
      <w:r>
        <w:t xml:space="preserve"> </w:t>
      </w:r>
      <w:r>
        <w:t xml:space="preserve">—</w:t>
      </w:r>
      <w:r>
        <w:t xml:space="preserve"> </w:t>
      </w:r>
      <w:r>
        <w:t xml:space="preserve">“</w:t>
      </w:r>
      <w:r>
        <w:t xml:space="preserve">bearing a name worthy of sacrifice</w:t>
      </w:r>
      <w:r>
        <w:t xml:space="preserve">”</w:t>
      </w:r>
      <w:r>
        <w:t xml:space="preserve"> </w:t>
      </w:r>
      <w:r>
        <w:t xml:space="preserve">— as</w:t>
      </w:r>
      <w:r>
        <w:t xml:space="preserve"> </w:t>
      </w:r>
      <w:r>
        <w:t xml:space="preserve">“</w:t>
      </w:r>
      <w:r>
        <w:t xml:space="preserve">bearing.</w:t>
      </w:r>
      <w:r>
        <w:t xml:space="preserve">”</w:t>
      </w:r>
      <w:r>
        <w:t xml:space="preserve"> </w:t>
      </w:r>
      <w:r>
        <w:t xml:space="preserve">Skandasvāmī explains</w:t>
      </w:r>
      <w:r>
        <w:t xml:space="preserve"> </w:t>
      </w:r>
      <w:r>
        <w:t xml:space="preserve">“</w:t>
      </w:r>
      <w:r>
        <w:t xml:space="preserve">nāma</w:t>
      </w:r>
      <w:r>
        <w:t xml:space="preserve">”</w:t>
      </w:r>
      <w:r>
        <w:t xml:space="preserve"> </w:t>
      </w:r>
      <w:r>
        <w:t xml:space="preserve">as water,</w:t>
      </w:r>
      <w:r>
        <w:t xml:space="preserve"> </w:t>
      </w:r>
      <w:r>
        <w:t xml:space="preserve">“</w:t>
      </w:r>
      <w:r>
        <w:t xml:space="preserve">dadhānā</w:t>
      </w:r>
      <w:r>
        <w:t xml:space="preserve">”</w:t>
      </w:r>
      <w:r>
        <w:t xml:space="preserve"> </w:t>
      </w:r>
      <w:r>
        <w:t xml:space="preserve">as</w:t>
      </w:r>
      <w:r>
        <w:t xml:space="preserve"> </w:t>
      </w:r>
      <w:r>
        <w:t xml:space="preserve">“</w:t>
      </w:r>
      <w:r>
        <w:t xml:space="preserve">bearing</w:t>
      </w:r>
      <w:r>
        <w:t xml:space="preserve">”</w:t>
      </w:r>
      <w:r>
        <w:t xml:space="preserve">; and, joined with</w:t>
      </w:r>
      <w:r>
        <w:t xml:space="preserve"> </w:t>
      </w:r>
      <w:r>
        <w:t xml:space="preserve">“</w:t>
      </w:r>
      <w:r>
        <w:t xml:space="preserve">svadhām</w:t>
      </w:r>
      <w:r>
        <w:t xml:space="preserve">”</w:t>
      </w:r>
      <w:r>
        <w:t xml:space="preserve"> </w:t>
      </w:r>
      <w:r>
        <w:t xml:space="preserve">(food in the form of grain),</w:t>
      </w:r>
      <w:r>
        <w:t xml:space="preserve"> </w:t>
      </w:r>
      <w:r>
        <w:t xml:space="preserve">“</w:t>
      </w:r>
      <w:r>
        <w:t xml:space="preserve">dadhānāḥ</w:t>
      </w:r>
      <w:r>
        <w:t xml:space="preserve">”</w:t>
      </w:r>
      <w:r>
        <w:t xml:space="preserve"> </w:t>
      </w:r>
      <w:r>
        <w:t xml:space="preserve">as</w:t>
      </w:r>
      <w:r>
        <w:t xml:space="preserve"> </w:t>
      </w:r>
      <w:r>
        <w:t xml:space="preserve">“</w:t>
      </w:r>
      <w:r>
        <w:t xml:space="preserve">giving</w:t>
      </w:r>
      <w:r>
        <w:t xml:space="preserve">”</w:t>
      </w:r>
      <w:r>
        <w:t xml:space="preserve"> </w:t>
      </w:r>
      <w:r>
        <w:t xml:space="preserve">(the root</w:t>
      </w:r>
      <w:r>
        <w:t xml:space="preserve"> </w:t>
      </w:r>
      <w:r>
        <w:t xml:space="preserve">“</w:t>
      </w:r>
      <w:r>
        <w:t xml:space="preserve">dadhāti</w:t>
      </w:r>
      <w:r>
        <w:t xml:space="preserve">”</w:t>
      </w:r>
      <w:r>
        <w:t xml:space="preserve"> </w:t>
      </w:r>
      <w:r>
        <w:t xml:space="preserve">in the sense of giving).</w:t>
      </w:r>
      <w:r>
        <w:t xml:space="preserve"> </w:t>
      </w:r>
      <w:r>
        <w:rPr>
          <w:bCs/>
          <w:b/>
        </w:rPr>
        <w:t xml:space="preserve">नाम (nāma)</w:t>
      </w:r>
      <w:r>
        <w:t xml:space="preserve"> </w:t>
      </w:r>
      <w:r>
        <w:t xml:space="preserve">— name. Skandasvāmī says that</w:t>
      </w:r>
      <w:r>
        <w:t xml:space="preserve"> </w:t>
      </w:r>
      <w:r>
        <w:t xml:space="preserve">“</w:t>
      </w:r>
      <w:r>
        <w:t xml:space="preserve">nāma</w:t>
      </w:r>
      <w:r>
        <w:t xml:space="preserve">”</w:t>
      </w:r>
      <w:r>
        <w:t xml:space="preserve"> </w:t>
      </w:r>
      <w:r>
        <w:t xml:space="preserve">here also has the sense of water; among the 101 names of water beginning with</w:t>
      </w:r>
      <w:r>
        <w:t xml:space="preserve"> </w:t>
      </w:r>
      <w:r>
        <w:t xml:space="preserve">“</w:t>
      </w:r>
      <w:r>
        <w:t xml:space="preserve">arṇaḥ, kṣodaḥ,</w:t>
      </w:r>
      <w:r>
        <w:t xml:space="preserve">”</w:t>
      </w:r>
      <w:r>
        <w:t xml:space="preserve"> </w:t>
      </w:r>
      <w:r>
        <w:t xml:space="preserve">the word</w:t>
      </w:r>
      <w:r>
        <w:t xml:space="preserve"> </w:t>
      </w:r>
      <w:r>
        <w:t xml:space="preserve">“</w:t>
      </w:r>
      <w:r>
        <w:t xml:space="preserve">nāma</w:t>
      </w:r>
      <w:r>
        <w:t xml:space="preserve">”</w:t>
      </w:r>
      <w:r>
        <w:t xml:space="preserve"> </w:t>
      </w:r>
      <w:r>
        <w:t xml:space="preserve">is read (Ni. 1-12); besides this, he says the word</w:t>
      </w:r>
      <w:r>
        <w:t xml:space="preserve"> </w:t>
      </w:r>
      <w:r>
        <w:t xml:space="preserve">“</w:t>
      </w:r>
      <w:r>
        <w:t xml:space="preserve">nāma</w:t>
      </w:r>
      <w:r>
        <w:t xml:space="preserve">”</w:t>
      </w:r>
      <w:r>
        <w:t xml:space="preserve"> </w:t>
      </w:r>
      <w:r>
        <w:t xml:space="preserve">is a word that gives the sense of</w:t>
      </w:r>
      <w:r>
        <w:t xml:space="preserve"> </w:t>
      </w:r>
      <w:r>
        <w:t xml:space="preserve">“</w:t>
      </w:r>
      <w:r>
        <w:t xml:space="preserve">saṃjñā</w:t>
      </w:r>
      <w:r>
        <w:t xml:space="preserve">”</w:t>
      </w:r>
      <w:r>
        <w:t xml:space="preserve"> </w:t>
      </w:r>
      <w:r>
        <w:t xml:space="preserve">(name).</w:t>
      </w:r>
      <w:r>
        <w:t xml:space="preserve"> </w:t>
      </w:r>
      <w:r>
        <w:rPr>
          <w:bCs/>
          <w:b/>
        </w:rPr>
        <w:t xml:space="preserve">यज्ञियम् (yajñiyam)</w:t>
      </w:r>
      <w:r>
        <w:t xml:space="preserve"> </w:t>
      </w:r>
      <w:r>
        <w:t xml:space="preserve">— connected with sacrifice; that is, fit to be worshipped in a sacrifice by invocation and the like.</w:t>
      </w:r>
    </w:p>
    <w:p>
      <w:pPr>
        <w:pStyle w:val="BodyText"/>
      </w:pPr>
      <w:r>
        <w:rPr>
          <w:bCs/>
          <w:b/>
        </w:rPr>
        <w:t xml:space="preserve">॥ Vyākaraṇa-prakriyā ॥</w:t>
      </w:r>
      <w:r>
        <w:t xml:space="preserve"> </w:t>
      </w:r>
      <w:r>
        <w:rPr>
          <w:iCs/>
          <w:i/>
        </w:rPr>
        <w:t xml:space="preserve">(Kannada; characterized)</w:t>
      </w:r>
      <w:r>
        <w:t xml:space="preserve"> </w:t>
      </w:r>
      <w:r>
        <w:rPr>
          <w:bCs/>
          <w:b/>
        </w:rPr>
        <w:t xml:space="preserve">“</w:t>
      </w:r>
      <w:r>
        <w:rPr>
          <w:bCs/>
          <w:b/>
        </w:rPr>
        <w:t xml:space="preserve">Āt,</w:t>
      </w:r>
      <w:r>
        <w:rPr>
          <w:bCs/>
          <w:b/>
        </w:rPr>
        <w:t xml:space="preserve">”</w:t>
      </w:r>
      <w:r>
        <w:rPr>
          <w:bCs/>
          <w:b/>
        </w:rPr>
        <w:t xml:space="preserve"> </w:t>
      </w:r>
      <w:r>
        <w:rPr>
          <w:bCs/>
          <w:b/>
        </w:rPr>
        <w:t xml:space="preserve">“</w:t>
      </w:r>
      <w:r>
        <w:rPr>
          <w:bCs/>
          <w:b/>
        </w:rPr>
        <w:t xml:space="preserve">aha</w:t>
      </w:r>
      <w:r>
        <w:rPr>
          <w:bCs/>
          <w:b/>
        </w:rPr>
        <w:t xml:space="preserve">”</w:t>
      </w:r>
      <w:r>
        <w:t xml:space="preserve"> </w:t>
      </w:r>
      <w:r>
        <w:t xml:space="preserve">— particles, first-syllable acute.</w:t>
      </w:r>
      <w:r>
        <w:t xml:space="preserve"> </w:t>
      </w:r>
      <w:r>
        <w:rPr>
          <w:bCs/>
          <w:b/>
        </w:rPr>
        <w:t xml:space="preserve">“</w:t>
      </w:r>
      <w:r>
        <w:rPr>
          <w:bCs/>
          <w:b/>
        </w:rPr>
        <w:t xml:space="preserve">Svadhām</w:t>
      </w:r>
      <w:r>
        <w:rPr>
          <w:bCs/>
          <w:b/>
        </w:rPr>
        <w:t xml:space="preserve">”</w:t>
      </w:r>
      <w:r>
        <w:t xml:space="preserve"> </w:t>
      </w:r>
      <w:r>
        <w:t xml:space="preserve">—</w:t>
      </w:r>
      <w:r>
        <w:t xml:space="preserve"> </w:t>
      </w:r>
      <w:r>
        <w:t xml:space="preserve">“</w:t>
      </w:r>
      <w:r>
        <w:t xml:space="preserve">svaṃ lokaṃ dadhāti puṣṇātīti</w:t>
      </w:r>
      <w:r>
        <w:t xml:space="preserve">”</w:t>
      </w:r>
      <w:r>
        <w:t xml:space="preserve"> </w:t>
      </w:r>
      <w:r>
        <w:t xml:space="preserve">(that which nourishes its own world).</w:t>
      </w:r>
      <w:r>
        <w:t xml:space="preserve"> </w:t>
      </w:r>
      <w:r>
        <w:rPr>
          <w:bCs/>
          <w:b/>
        </w:rPr>
        <w:t xml:space="preserve">“</w:t>
      </w:r>
      <w:r>
        <w:rPr>
          <w:bCs/>
          <w:b/>
        </w:rPr>
        <w:t xml:space="preserve">Svadhā</w:t>
      </w:r>
      <w:r>
        <w:rPr>
          <w:bCs/>
          <w:b/>
        </w:rPr>
        <w:t xml:space="preserve">”</w:t>
      </w:r>
      <w:r>
        <w:t xml:space="preserve"> </w:t>
      </w:r>
      <w:r>
        <w:t xml:space="preserve">—</w:t>
      </w:r>
      <w:r>
        <w:t xml:space="preserve"> </w:t>
      </w:r>
      <w:r>
        <w:rPr>
          <w:bCs/>
          <w:b/>
        </w:rPr>
        <w:t xml:space="preserve">आतोऽनुपसर्गे कः</w:t>
      </w:r>
      <w:r>
        <w:t xml:space="preserve"> </w:t>
      </w:r>
      <w:r>
        <w:t xml:space="preserve">(पा. ३-२-३) — when a subanta that is not a prefix is the upapada,</w:t>
      </w:r>
      <w:r>
        <w:t xml:space="preserve"> </w:t>
      </w:r>
      <w:r>
        <w:t xml:space="preserve">“</w:t>
      </w:r>
      <w:r>
        <w:t xml:space="preserve">ka</w:t>
      </w:r>
      <w:r>
        <w:t xml:space="preserve">”</w:t>
      </w:r>
      <w:r>
        <w:t xml:space="preserve"> </w:t>
      </w:r>
      <w:r>
        <w:t xml:space="preserve">comes after a root ending in</w:t>
      </w:r>
      <w:r>
        <w:t xml:space="preserve"> </w:t>
      </w:r>
      <w:r>
        <w:t xml:space="preserve">“</w:t>
      </w:r>
      <w:r>
        <w:t xml:space="preserve">ā</w:t>
      </w:r>
      <w:r>
        <w:t xml:space="preserve">”</w:t>
      </w:r>
      <w:r>
        <w:t xml:space="preserve">;</w:t>
      </w:r>
      <w:r>
        <w:t xml:space="preserve"> </w:t>
      </w:r>
      <w:r>
        <w:rPr>
          <w:bCs/>
          <w:b/>
        </w:rPr>
        <w:t xml:space="preserve">आतो लोप इटि च</w:t>
      </w:r>
      <w:r>
        <w:t xml:space="preserve"> </w:t>
      </w:r>
      <w:r>
        <w:t xml:space="preserve">(पा. ६-४-६४) elides the</w:t>
      </w:r>
      <w:r>
        <w:t xml:space="preserve"> </w:t>
      </w:r>
      <w:r>
        <w:t xml:space="preserve">“</w:t>
      </w:r>
      <w:r>
        <w:t xml:space="preserve">ā</w:t>
      </w:r>
      <w:r>
        <w:t xml:space="preserve">”</w:t>
      </w:r>
      <w:r>
        <w:t xml:space="preserve">;</w:t>
      </w:r>
      <w:r>
        <w:t xml:space="preserve"> </w:t>
      </w:r>
      <w:r>
        <w:rPr>
          <w:bCs/>
          <w:b/>
        </w:rPr>
        <w:t xml:space="preserve">अजाद्यतष्टाप्</w:t>
      </w:r>
      <w:r>
        <w:t xml:space="preserve"> </w:t>
      </w:r>
      <w:r>
        <w:t xml:space="preserve">(पा. ४-१-४) the feminine</w:t>
      </w:r>
      <w:r>
        <w:t xml:space="preserve"> </w:t>
      </w:r>
      <w:r>
        <w:t xml:space="preserve">“</w:t>
      </w:r>
      <w:r>
        <w:t xml:space="preserve">ṭāp</w:t>
      </w:r>
      <w:r>
        <w:t xml:space="preserve">”</w:t>
      </w:r>
      <w:r>
        <w:t xml:space="preserve">;</w:t>
      </w:r>
      <w:r>
        <w:t xml:space="preserve"> </w:t>
      </w:r>
      <w:r>
        <w:t xml:space="preserve">“</w:t>
      </w:r>
      <w:r>
        <w:t xml:space="preserve">ṭāp</w:t>
      </w:r>
      <w:r>
        <w:t xml:space="preserve">”</w:t>
      </w:r>
      <w:r>
        <w:t xml:space="preserve"> </w:t>
      </w:r>
      <w:r>
        <w:t xml:space="preserve">is unaccented;</w:t>
      </w:r>
      <w:r>
        <w:t xml:space="preserve"> </w:t>
      </w:r>
      <w:r>
        <w:t xml:space="preserve">“</w:t>
      </w:r>
      <w:r>
        <w:t xml:space="preserve">ka</w:t>
      </w:r>
      <w:r>
        <w:t xml:space="preserve">”</w:t>
      </w:r>
      <w:r>
        <w:t xml:space="preserve"> </w:t>
      </w:r>
      <w:r>
        <w:t xml:space="preserve">gives the affix-accent;</w:t>
      </w:r>
      <w:r>
        <w:t xml:space="preserve"> </w:t>
      </w:r>
      <w:r>
        <w:rPr>
          <w:bCs/>
          <w:b/>
        </w:rPr>
        <w:t xml:space="preserve">गतिकारकोपपदात्कृत्</w:t>
      </w:r>
      <w:r>
        <w:t xml:space="preserve"> </w:t>
      </w:r>
      <w:r>
        <w:t xml:space="preserve">(पा. ६-२-१३९) retains the kṛt-final member’s accent; then the</w:t>
      </w:r>
      <w:r>
        <w:t xml:space="preserve"> </w:t>
      </w:r>
      <w:r>
        <w:t xml:space="preserve">“</w:t>
      </w:r>
      <w:r>
        <w:t xml:space="preserve">ā</w:t>
      </w:r>
      <w:r>
        <w:t xml:space="preserve">”</w:t>
      </w:r>
      <w:r>
        <w:t xml:space="preserve"> </w:t>
      </w:r>
      <w:r>
        <w:t xml:space="preserve">of the</w:t>
      </w:r>
      <w:r>
        <w:t xml:space="preserve"> </w:t>
      </w:r>
      <w:r>
        <w:t xml:space="preserve">“</w:t>
      </w:r>
      <w:r>
        <w:t xml:space="preserve">ṭāp</w:t>
      </w:r>
      <w:r>
        <w:t xml:space="preserve">”</w:t>
      </w:r>
      <w:r>
        <w:t xml:space="preserve"> </w:t>
      </w:r>
      <w:r>
        <w:t xml:space="preserve">merges in the savarṇa-dīrgha; the single substitute is acute (</w:t>
      </w:r>
      <w:r>
        <w:rPr>
          <w:bCs/>
          <w:b/>
        </w:rPr>
        <w:t xml:space="preserve">एकादेश उदात्तेनोदात्तः</w:t>
      </w:r>
      <w:r>
        <w:t xml:space="preserve">, पा. ८-२-५); so</w:t>
      </w:r>
      <w:r>
        <w:t xml:space="preserve"> </w:t>
      </w:r>
      <w:r>
        <w:t xml:space="preserve">“</w:t>
      </w:r>
      <w:r>
        <w:t xml:space="preserve">svadhā</w:t>
      </w:r>
      <w:r>
        <w:t xml:space="preserve">”</w:t>
      </w:r>
      <w:r>
        <w:t xml:space="preserve"> </w:t>
      </w:r>
      <w:r>
        <w:t xml:space="preserve">is end-acute.</w:t>
      </w:r>
      <w:r>
        <w:t xml:space="preserve"> </w:t>
      </w:r>
      <w:r>
        <w:rPr>
          <w:bCs/>
          <w:b/>
        </w:rPr>
        <w:t xml:space="preserve">“</w:t>
      </w:r>
      <w:r>
        <w:rPr>
          <w:bCs/>
          <w:b/>
        </w:rPr>
        <w:t xml:space="preserve">Anu,</w:t>
      </w:r>
      <w:r>
        <w:rPr>
          <w:bCs/>
          <w:b/>
        </w:rPr>
        <w:t xml:space="preserve">”</w:t>
      </w:r>
      <w:r>
        <w:rPr>
          <w:bCs/>
          <w:b/>
        </w:rPr>
        <w:t xml:space="preserve"> </w:t>
      </w:r>
      <w:r>
        <w:rPr>
          <w:bCs/>
          <w:b/>
        </w:rPr>
        <w:t xml:space="preserve">“</w:t>
      </w:r>
      <w:r>
        <w:rPr>
          <w:bCs/>
          <w:b/>
        </w:rPr>
        <w:t xml:space="preserve">punaḥ</w:t>
      </w:r>
      <w:r>
        <w:rPr>
          <w:bCs/>
          <w:b/>
        </w:rPr>
        <w:t xml:space="preserve">”</w:t>
      </w:r>
      <w:r>
        <w:t xml:space="preserve"> </w:t>
      </w:r>
      <w:r>
        <w:t xml:space="preserve">— particles, first-syllable acute.</w:t>
      </w:r>
      <w:r>
        <w:t xml:space="preserve"> </w:t>
      </w:r>
      <w:r>
        <w:rPr>
          <w:bCs/>
          <w:b/>
        </w:rPr>
        <w:t xml:space="preserve">“</w:t>
      </w:r>
      <w:r>
        <w:rPr>
          <w:bCs/>
          <w:b/>
        </w:rPr>
        <w:t xml:space="preserve">Garbhatvam</w:t>
      </w:r>
      <w:r>
        <w:rPr>
          <w:bCs/>
          <w:b/>
        </w:rPr>
        <w:t xml:space="preserve">”</w:t>
      </w:r>
      <w:r>
        <w:t xml:space="preserve"> </w:t>
      </w:r>
      <w:r>
        <w:t xml:space="preserve">—</w:t>
      </w:r>
      <w:r>
        <w:t xml:space="preserve"> </w:t>
      </w:r>
      <w:r>
        <w:t xml:space="preserve">“</w:t>
      </w:r>
      <w:r>
        <w:t xml:space="preserve">tasya bhāvas tvatalau</w:t>
      </w:r>
      <w:r>
        <w:t xml:space="preserve">”</w:t>
      </w:r>
      <w:r>
        <w:t xml:space="preserve"> </w:t>
      </w:r>
      <w:r>
        <w:t xml:space="preserve">(</w:t>
      </w:r>
      <w:r>
        <w:rPr>
          <w:bCs/>
          <w:b/>
        </w:rPr>
        <w:t xml:space="preserve">तस्य भावस्त्वतलौ</w:t>
      </w:r>
      <w:r>
        <w:t xml:space="preserve">, पा. ५-१-११९): after a sixth-case-ending word, in the sense of state, the affixes</w:t>
      </w:r>
      <w:r>
        <w:t xml:space="preserve"> </w:t>
      </w:r>
      <w:r>
        <w:t xml:space="preserve">“</w:t>
      </w:r>
      <w:r>
        <w:t xml:space="preserve">tva</w:t>
      </w:r>
      <w:r>
        <w:t xml:space="preserve">”</w:t>
      </w:r>
      <w:r>
        <w:t xml:space="preserve"> </w:t>
      </w:r>
      <w:r>
        <w:t xml:space="preserve">and</w:t>
      </w:r>
      <w:r>
        <w:t xml:space="preserve"> </w:t>
      </w:r>
      <w:r>
        <w:t xml:space="preserve">“</w:t>
      </w:r>
      <w:r>
        <w:t xml:space="preserve">tal</w:t>
      </w:r>
      <w:r>
        <w:t xml:space="preserve">”</w:t>
      </w:r>
      <w:r>
        <w:t xml:space="preserve">;</w:t>
      </w:r>
      <w:r>
        <w:t xml:space="preserve"> </w:t>
      </w:r>
      <w:r>
        <w:t xml:space="preserve">“</w:t>
      </w:r>
      <w:r>
        <w:t xml:space="preserve">tal</w:t>
      </w:r>
      <w:r>
        <w:t xml:space="preserve">”</w:t>
      </w:r>
      <w:r>
        <w:t xml:space="preserve"> </w:t>
      </w:r>
      <w:r>
        <w:t xml:space="preserve">gives the feminine;</w:t>
      </w:r>
      <w:r>
        <w:t xml:space="preserve"> </w:t>
      </w:r>
      <w:r>
        <w:t xml:space="preserve">“</w:t>
      </w:r>
      <w:r>
        <w:t xml:space="preserve">garbhasya bhāvaḥ</w:t>
      </w:r>
      <w:r>
        <w:t xml:space="preserve">”</w:t>
      </w:r>
      <w:r>
        <w:t xml:space="preserve"> </w:t>
      </w:r>
      <w:r>
        <w:t xml:space="preserve">with</w:t>
      </w:r>
      <w:r>
        <w:t xml:space="preserve"> </w:t>
      </w:r>
      <w:r>
        <w:t xml:space="preserve">“</w:t>
      </w:r>
      <w:r>
        <w:t xml:space="preserve">tva</w:t>
      </w:r>
      <w:r>
        <w:t xml:space="preserve">”</w:t>
      </w:r>
      <w:r>
        <w:t xml:space="preserve"> </w:t>
      </w:r>
      <w:r>
        <w:t xml:space="preserve">gives</w:t>
      </w:r>
      <w:r>
        <w:t xml:space="preserve"> </w:t>
      </w:r>
      <w:r>
        <w:t xml:space="preserve">“</w:t>
      </w:r>
      <w:r>
        <w:t xml:space="preserve">garbhatva</w:t>
      </w:r>
      <w:r>
        <w:t xml:space="preserve">”</w:t>
      </w:r>
      <w:r>
        <w:t xml:space="preserve">;</w:t>
      </w:r>
      <w:r>
        <w:t xml:space="preserve"> </w:t>
      </w:r>
      <w:r>
        <w:t xml:space="preserve">“</w:t>
      </w:r>
      <w:r>
        <w:t xml:space="preserve">tva</w:t>
      </w:r>
      <w:r>
        <w:t xml:space="preserve">”</w:t>
      </w:r>
      <w:r>
        <w:t xml:space="preserve"> </w:t>
      </w:r>
      <w:r>
        <w:t xml:space="preserve">is acute by its affix accent.</w:t>
      </w:r>
    </w:p>
    <w:bookmarkEnd w:id="263"/>
    <w:bookmarkStart w:id="264" w:name="Xf19a34fcf74bcff1235764afa6e71432188e613"/>
    <w:p>
      <w:pPr>
        <w:pStyle w:val="Heading3"/>
      </w:pPr>
      <w:r>
        <w:t xml:space="preserve">Page 226 — Vyākaraṇa-prakriyā for Rik 6.4 concluded; Sūkta 6, Fifth Mantra: Saṃhitā</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6.</w:t>
      </w:r>
      <w:r>
        <w:rPr>
          <w:iCs/>
          <w:i/>
        </w:rPr>
        <w:t xml:space="preserve">”</w:t>
      </w:r>
      <w:r>
        <w:rPr>
          <w:iCs/>
          <w:i/>
        </w:rPr>
        <w:t xml:space="preserve"> </w:t>
      </w:r>
      <w:r>
        <w:rPr>
          <w:iCs/>
          <w:i/>
        </w:rPr>
        <w:t xml:space="preserve">Grammar characterized, sūtras kept; re-read from the better scan (PDF 238, the first page after the gap). Saṃhitā accents as printed; Pada unaccented.)</w:t>
      </w:r>
    </w:p>
    <w:p>
      <w:pPr>
        <w:pStyle w:val="BodyText"/>
      </w:pPr>
      <w:r>
        <w:rPr>
          <w:bCs/>
          <w:b/>
        </w:rPr>
        <w:t xml:space="preserve">“</w:t>
      </w:r>
      <w:r>
        <w:rPr>
          <w:bCs/>
          <w:b/>
        </w:rPr>
        <w:t xml:space="preserve">Erire</w:t>
      </w:r>
      <w:r>
        <w:rPr>
          <w:bCs/>
          <w:b/>
        </w:rPr>
        <w:t xml:space="preserve">”</w:t>
      </w:r>
      <w:r>
        <w:t xml:space="preserve"> </w:t>
      </w:r>
      <w:r>
        <w:t xml:space="preserve">— the root</w:t>
      </w:r>
      <w:r>
        <w:t xml:space="preserve"> </w:t>
      </w:r>
      <w:r>
        <w:t xml:space="preserve">“</w:t>
      </w:r>
      <w:r>
        <w:t xml:space="preserve">īr gatau</w:t>
      </w:r>
      <w:r>
        <w:t xml:space="preserve">”</w:t>
      </w:r>
      <w:r>
        <w:t xml:space="preserve"> </w:t>
      </w:r>
      <w:r>
        <w:t xml:space="preserve">(to go), with the causal sense included, and it is</w:t>
      </w:r>
      <w:r>
        <w:t xml:space="preserve"> </w:t>
      </w:r>
      <w:r>
        <w:t xml:space="preserve">“</w:t>
      </w:r>
      <w:r>
        <w:t xml:space="preserve">anudātteṭ</w:t>
      </w:r>
      <w:r>
        <w:t xml:space="preserve">”</w:t>
      </w:r>
      <w:r>
        <w:t xml:space="preserve"> </w:t>
      </w:r>
      <w:r>
        <w:t xml:space="preserve">(unaccented in its upadeśa);</w:t>
      </w:r>
      <w:r>
        <w:t xml:space="preserve"> </w:t>
      </w:r>
      <w:r>
        <w:t xml:space="preserve">“</w:t>
      </w:r>
      <w:r>
        <w:t xml:space="preserve">liṭ</w:t>
      </w:r>
      <w:r>
        <w:t xml:space="preserve">”</w:t>
      </w:r>
      <w:r>
        <w:t xml:space="preserve"> </w:t>
      </w:r>
      <w:r>
        <w:t xml:space="preserve">is added, and in the third-person plural the</w:t>
      </w:r>
      <w:r>
        <w:t xml:space="preserve"> </w:t>
      </w:r>
      <w:r>
        <w:t xml:space="preserve">“</w:t>
      </w:r>
      <w:r>
        <w:t xml:space="preserve">jha</w:t>
      </w:r>
      <w:r>
        <w:t xml:space="preserve">”</w:t>
      </w:r>
      <w:r>
        <w:t xml:space="preserve"> </w:t>
      </w:r>
      <w:r>
        <w:t xml:space="preserve">is replaced by</w:t>
      </w:r>
      <w:r>
        <w:t xml:space="preserve"> </w:t>
      </w:r>
      <w:r>
        <w:rPr>
          <w:bCs/>
          <w:b/>
        </w:rPr>
        <w:t xml:space="preserve">इरेच्</w:t>
      </w:r>
      <w:r>
        <w:t xml:space="preserve"> </w:t>
      </w:r>
      <w:r>
        <w:t xml:space="preserve">—</w:t>
      </w:r>
      <w:r>
        <w:t xml:space="preserve"> </w:t>
      </w:r>
      <w:r>
        <w:rPr>
          <w:bCs/>
          <w:b/>
        </w:rPr>
        <w:t xml:space="preserve">लिटस्तझयोरेशिरेच्</w:t>
      </w:r>
      <w:r>
        <w:t xml:space="preserve"> </w:t>
      </w:r>
      <w:r>
        <w:t xml:space="preserve">(पा. ३-४-८१) —</w:t>
      </w:r>
      <w:r>
        <w:t xml:space="preserve"> </w:t>
      </w:r>
      <w:r>
        <w:t xml:space="preserve">“</w:t>
      </w:r>
      <w:r>
        <w:t xml:space="preserve">e</w:t>
      </w:r>
      <w:r>
        <w:t xml:space="preserve">”</w:t>
      </w:r>
      <w:r>
        <w:t xml:space="preserve"> </w:t>
      </w:r>
      <w:r>
        <w:t xml:space="preserve">for</w:t>
      </w:r>
      <w:r>
        <w:t xml:space="preserve"> </w:t>
      </w:r>
      <w:r>
        <w:t xml:space="preserve">“</w:t>
      </w:r>
      <w:r>
        <w:t xml:space="preserve">ta</w:t>
      </w:r>
      <w:r>
        <w:t xml:space="preserve">”</w:t>
      </w:r>
      <w:r>
        <w:t xml:space="preserve"> </w:t>
      </w:r>
      <w:r>
        <w:t xml:space="preserve">and</w:t>
      </w:r>
      <w:r>
        <w:t xml:space="preserve"> </w:t>
      </w:r>
      <w:r>
        <w:t xml:space="preserve">“</w:t>
      </w:r>
      <w:r>
        <w:t xml:space="preserve">irec</w:t>
      </w:r>
      <w:r>
        <w:t xml:space="preserve">”</w:t>
      </w:r>
      <w:r>
        <w:t xml:space="preserve"> </w:t>
      </w:r>
      <w:r>
        <w:t xml:space="preserve">for</w:t>
      </w:r>
      <w:r>
        <w:t xml:space="preserve"> </w:t>
      </w:r>
      <w:r>
        <w:t xml:space="preserve">“</w:t>
      </w:r>
      <w:r>
        <w:t xml:space="preserve">jha</w:t>
      </w:r>
      <w:r>
        <w:t xml:space="preserve">”</w:t>
      </w:r>
      <w:r>
        <w:t xml:space="preserve"> </w:t>
      </w:r>
      <w:r>
        <w:t xml:space="preserve">in the</w:t>
      </w:r>
      <w:r>
        <w:t xml:space="preserve"> </w:t>
      </w:r>
      <w:r>
        <w:t xml:space="preserve">“</w:t>
      </w:r>
      <w:r>
        <w:t xml:space="preserve">liṭ</w:t>
      </w:r>
      <w:r>
        <w:t xml:space="preserve">”</w:t>
      </w:r>
      <w:r>
        <w:t xml:space="preserve"> </w:t>
      </w:r>
      <w:r>
        <w:t xml:space="preserve">—</w:t>
      </w:r>
      <w:r>
        <w:t xml:space="preserve"> </w:t>
      </w:r>
      <w:r>
        <w:t xml:space="preserve">“</w:t>
      </w:r>
      <w:r>
        <w:t xml:space="preserve">īr + irec</w:t>
      </w:r>
      <w:r>
        <w:t xml:space="preserve">”</w:t>
      </w:r>
      <w:r>
        <w:t xml:space="preserve">; because of the</w:t>
      </w:r>
      <w:r>
        <w:t xml:space="preserve"> </w:t>
      </w:r>
      <w:r>
        <w:t xml:space="preserve">“</w:t>
      </w:r>
      <w:r>
        <w:t xml:space="preserve">c</w:t>
      </w:r>
      <w:r>
        <w:t xml:space="preserve">”</w:t>
      </w:r>
      <w:r>
        <w:t xml:space="preserve">-mark it is end-acute (</w:t>
      </w:r>
      <w:r>
        <w:rPr>
          <w:bCs/>
          <w:b/>
        </w:rPr>
        <w:t xml:space="preserve">चितः</w:t>
      </w:r>
      <w:r>
        <w:t xml:space="preserve">, पा. ६-१-१६३).</w:t>
      </w:r>
      <w:r>
        <w:t xml:space="preserve"> </w:t>
      </w:r>
      <w:r>
        <w:rPr>
          <w:bCs/>
          <w:b/>
        </w:rPr>
        <w:t xml:space="preserve">“</w:t>
      </w:r>
      <w:r>
        <w:rPr>
          <w:bCs/>
          <w:b/>
        </w:rPr>
        <w:t xml:space="preserve">Saha supā</w:t>
      </w:r>
      <w:r>
        <w:rPr>
          <w:bCs/>
          <w:b/>
        </w:rPr>
        <w:t xml:space="preserve">”</w:t>
      </w:r>
      <w:r>
        <w:t xml:space="preserve"> </w:t>
      </w:r>
      <w:r>
        <w:t xml:space="preserve">—</w:t>
      </w:r>
      <w:r>
        <w:t xml:space="preserve"> </w:t>
      </w:r>
      <w:r>
        <w:rPr>
          <w:bCs/>
          <w:b/>
        </w:rPr>
        <w:t xml:space="preserve">सह सुपा</w:t>
      </w:r>
      <w:r>
        <w:t xml:space="preserve"> </w:t>
      </w:r>
      <w:r>
        <w:t xml:space="preserve">(पा. २-१-४), which the print takes as two sūtras (</w:t>
      </w:r>
      <w:r>
        <w:t xml:space="preserve">“</w:t>
      </w:r>
      <w:r>
        <w:t xml:space="preserve">saha</w:t>
      </w:r>
      <w:r>
        <w:t xml:space="preserve">”</w:t>
      </w:r>
      <w:r>
        <w:t xml:space="preserve"> </w:t>
      </w:r>
      <w:r>
        <w:t xml:space="preserve">and</w:t>
      </w:r>
      <w:r>
        <w:t xml:space="preserve"> </w:t>
      </w:r>
      <w:r>
        <w:t xml:space="preserve">“</w:t>
      </w:r>
      <w:r>
        <w:t xml:space="preserve">supā,</w:t>
      </w:r>
      <w:r>
        <w:t xml:space="preserve">”</w:t>
      </w:r>
      <w:r>
        <w:t xml:space="preserve"> </w:t>
      </w:r>
      <w:r>
        <w:t xml:space="preserve">divided by the</w:t>
      </w:r>
      <w:r>
        <w:t xml:space="preserve"> </w:t>
      </w:r>
      <w:r>
        <w:t xml:space="preserve">“</w:t>
      </w:r>
      <w:r>
        <w:t xml:space="preserve">yoga-vibhāga</w:t>
      </w:r>
      <w:r>
        <w:t xml:space="preserve">”</w:t>
      </w:r>
      <w:r>
        <w:t xml:space="preserve"> </w:t>
      </w:r>
      <w:r>
        <w:t xml:space="preserve">principle):</w:t>
      </w:r>
      <w:r>
        <w:t xml:space="preserve"> </w:t>
      </w:r>
      <w:r>
        <w:t xml:space="preserve">“</w:t>
      </w:r>
      <w:r>
        <w:t xml:space="preserve">saha</w:t>
      </w:r>
      <w:r>
        <w:t xml:space="preserve">”</w:t>
      </w:r>
      <w:r>
        <w:t xml:space="preserve"> </w:t>
      </w:r>
      <w:r>
        <w:t xml:space="preserve">(a compound of a subanta with a tiṅanta in the</w:t>
      </w:r>
      <w:r>
        <w:t xml:space="preserve"> </w:t>
      </w:r>
      <w:r>
        <w:t xml:space="preserve">“</w:t>
      </w:r>
      <w:r>
        <w:t xml:space="preserve">supā</w:t>
      </w:r>
      <w:r>
        <w:t xml:space="preserve">”</w:t>
      </w:r>
      <w:r>
        <w:t xml:space="preserve"> </w:t>
      </w:r>
      <w:r>
        <w:t xml:space="preserve">sense); here</w:t>
      </w:r>
      <w:r>
        <w:t xml:space="preserve"> </w:t>
      </w:r>
      <w:r>
        <w:t xml:space="preserve">“</w:t>
      </w:r>
      <w:r>
        <w:t xml:space="preserve">ā</w:t>
      </w:r>
      <w:r>
        <w:t xml:space="preserve">”</w:t>
      </w:r>
      <w:r>
        <w:t xml:space="preserve"> </w:t>
      </w:r>
      <w:r>
        <w:t xml:space="preserve">(a prefix in the sense of a particle) combines with</w:t>
      </w:r>
      <w:r>
        <w:t xml:space="preserve"> </w:t>
      </w:r>
      <w:r>
        <w:t xml:space="preserve">“</w:t>
      </w:r>
      <w:r>
        <w:t xml:space="preserve">erire</w:t>
      </w:r>
      <w:r>
        <w:t xml:space="preserve">”</w:t>
      </w:r>
      <w:r>
        <w:t xml:space="preserve"> </w:t>
      </w:r>
      <w:r>
        <w:t xml:space="preserve">by that part of the sūtra, and the compound takes the accent of the whole compound, the end-acute (</w:t>
      </w:r>
      <w:r>
        <w:rPr>
          <w:bCs/>
          <w:b/>
        </w:rPr>
        <w:t xml:space="preserve">समासस्य</w:t>
      </w:r>
      <w:r>
        <w:t xml:space="preserve">, पा. ६-१-२२३).</w:t>
      </w:r>
      <w:r>
        <w:t xml:space="preserve"> </w:t>
      </w:r>
      <w:r>
        <w:rPr>
          <w:bCs/>
          <w:b/>
        </w:rPr>
        <w:t xml:space="preserve">“</w:t>
      </w:r>
      <w:r>
        <w:rPr>
          <w:bCs/>
          <w:b/>
        </w:rPr>
        <w:t xml:space="preserve">Ām</w:t>
      </w:r>
      <w:r>
        <w:rPr>
          <w:bCs/>
          <w:b/>
        </w:rPr>
        <w:t xml:space="preserve">”</w:t>
      </w:r>
      <w:r>
        <w:t xml:space="preserve"> </w:t>
      </w:r>
      <w:r>
        <w:t xml:space="preserve">— for a verb in</w:t>
      </w:r>
      <w:r>
        <w:t xml:space="preserve"> </w:t>
      </w:r>
      <w:r>
        <w:t xml:space="preserve">“</w:t>
      </w:r>
      <w:r>
        <w:t xml:space="preserve">liṭ</w:t>
      </w:r>
      <w:r>
        <w:t xml:space="preserve">”</w:t>
      </w:r>
      <w:r>
        <w:t xml:space="preserve"> </w:t>
      </w:r>
      <w:r>
        <w:t xml:space="preserve">with a heavy first syllable beginning with a vowel,</w:t>
      </w:r>
      <w:r>
        <w:t xml:space="preserve"> </w:t>
      </w:r>
      <w:r>
        <w:rPr>
          <w:bCs/>
          <w:b/>
        </w:rPr>
        <w:t xml:space="preserve">इजादेश्च गुरुमतोऽनृच्छः</w:t>
      </w:r>
      <w:r>
        <w:t xml:space="preserve"> </w:t>
      </w:r>
      <w:r>
        <w:t xml:space="preserve">(पा. ३-१-३६) would bring the augment</w:t>
      </w:r>
      <w:r>
        <w:t xml:space="preserve"> </w:t>
      </w:r>
      <w:r>
        <w:t xml:space="preserve">“</w:t>
      </w:r>
      <w:r>
        <w:t xml:space="preserve">ām</w:t>
      </w:r>
      <w:r>
        <w:t xml:space="preserve">”</w:t>
      </w:r>
      <w:r>
        <w:t xml:space="preserve"> </w:t>
      </w:r>
      <w:r>
        <w:t xml:space="preserve">(affix</w:t>
      </w:r>
      <w:r>
        <w:t xml:space="preserve"> </w:t>
      </w:r>
      <w:r>
        <w:t xml:space="preserve">“</w:t>
      </w:r>
      <w:r>
        <w:t xml:space="preserve">ām</w:t>
      </w:r>
      <w:r>
        <w:t xml:space="preserve">”</w:t>
      </w:r>
      <w:r>
        <w:t xml:space="preserve">) — the print says: but, as this is a mantra, by the rule</w:t>
      </w:r>
      <w:r>
        <w:t xml:space="preserve"> </w:t>
      </w:r>
      <w:r>
        <w:rPr>
          <w:bCs/>
          <w:b/>
        </w:rPr>
        <w:t xml:space="preserve">कास्प्रत्ययादाममन्त्रे लिटि</w:t>
      </w:r>
      <w:r>
        <w:t xml:space="preserve"> </w:t>
      </w:r>
      <w:r>
        <w:t xml:space="preserve">(पा. ३-१-३५)</w:t>
      </w:r>
      <w:r>
        <w:t xml:space="preserve"> </w:t>
      </w:r>
      <w:r>
        <w:t xml:space="preserve">“</w:t>
      </w:r>
      <w:r>
        <w:t xml:space="preserve">ām</w:t>
      </w:r>
      <w:r>
        <w:t xml:space="preserve">”</w:t>
      </w:r>
      <w:r>
        <w:t xml:space="preserve"> </w:t>
      </w:r>
      <w:r>
        <w:t xml:space="preserve">is added in</w:t>
      </w:r>
      <w:r>
        <w:t xml:space="preserve"> </w:t>
      </w:r>
      <w:r>
        <w:t xml:space="preserve">“</w:t>
      </w:r>
      <w:r>
        <w:t xml:space="preserve">liṭ</w:t>
      </w:r>
      <w:r>
        <w:t xml:space="preserve">”</w:t>
      </w:r>
      <w:r>
        <w:t xml:space="preserve"> </w:t>
      </w:r>
      <w:r>
        <w:t xml:space="preserve">only outside mantras, so</w:t>
      </w:r>
      <w:r>
        <w:t xml:space="preserve"> </w:t>
      </w:r>
      <w:r>
        <w:t xml:space="preserve">“</w:t>
      </w:r>
      <w:r>
        <w:t xml:space="preserve">ām</w:t>
      </w:r>
      <w:r>
        <w:t xml:space="preserve">”</w:t>
      </w:r>
      <w:r>
        <w:t xml:space="preserve"> </w:t>
      </w:r>
      <w:r>
        <w:t xml:space="preserve">does not come here.</w:t>
      </w:r>
      <w:r>
        <w:t xml:space="preserve"> </w:t>
      </w:r>
      <w:r>
        <w:rPr>
          <w:bCs/>
          <w:b/>
        </w:rPr>
        <w:t xml:space="preserve">“</w:t>
      </w:r>
      <w:r>
        <w:rPr>
          <w:bCs/>
          <w:b/>
        </w:rPr>
        <w:t xml:space="preserve">Aha</w:t>
      </w:r>
      <w:r>
        <w:rPr>
          <w:bCs/>
          <w:b/>
        </w:rPr>
        <w:t xml:space="preserve">”</w:t>
      </w:r>
      <w:r>
        <w:rPr>
          <w:bCs/>
          <w:b/>
        </w:rPr>
        <w:t xml:space="preserve"> </w:t>
      </w:r>
      <w:r>
        <w:rPr>
          <w:bCs/>
          <w:b/>
        </w:rPr>
        <w:t xml:space="preserve">and nighāta</w:t>
      </w:r>
      <w:r>
        <w:t xml:space="preserve"> </w:t>
      </w:r>
      <w:r>
        <w:t xml:space="preserve">— by</w:t>
      </w:r>
      <w:r>
        <w:t xml:space="preserve"> </w:t>
      </w:r>
      <w:r>
        <w:rPr>
          <w:bCs/>
          <w:b/>
        </w:rPr>
        <w:t xml:space="preserve">तुपश्यपश्यताहैः पूजायाम्</w:t>
      </w:r>
      <w:r>
        <w:t xml:space="preserve"> </w:t>
      </w:r>
      <w:r>
        <w:t xml:space="preserve">(पा. ८-१-३९) there is a prohibition of nighāta on a verb joined with</w:t>
      </w:r>
      <w:r>
        <w:t xml:space="preserve"> </w:t>
      </w:r>
      <w:r>
        <w:t xml:space="preserve">“</w:t>
      </w:r>
      <w:r>
        <w:t xml:space="preserve">tupaśya,</w:t>
      </w:r>
      <w:r>
        <w:t xml:space="preserve">”</w:t>
      </w:r>
      <w:r>
        <w:t xml:space="preserve"> </w:t>
      </w:r>
      <w:r>
        <w:t xml:space="preserve">“</w:t>
      </w:r>
      <w:r>
        <w:t xml:space="preserve">paśya,</w:t>
      </w:r>
      <w:r>
        <w:t xml:space="preserve">”</w:t>
      </w:r>
      <w:r>
        <w:t xml:space="preserve"> </w:t>
      </w:r>
      <w:r>
        <w:t xml:space="preserve">“</w:t>
      </w:r>
      <w:r>
        <w:t xml:space="preserve">tā</w:t>
      </w:r>
      <w:r>
        <w:t xml:space="preserve">”</w:t>
      </w:r>
      <w:r>
        <w:t xml:space="preserve"> </w:t>
      </w:r>
      <w:r>
        <w:t xml:space="preserve">and</w:t>
      </w:r>
      <w:r>
        <w:t xml:space="preserve"> </w:t>
      </w:r>
      <w:r>
        <w:t xml:space="preserve">“</w:t>
      </w:r>
      <w:r>
        <w:t xml:space="preserve">ahai</w:t>
      </w:r>
      <w:r>
        <w:t xml:space="preserve">”</w:t>
      </w:r>
      <w:r>
        <w:t xml:space="preserve"> </w:t>
      </w:r>
      <w:r>
        <w:t xml:space="preserve">in the sense of praise; because of the word</w:t>
      </w:r>
      <w:r>
        <w:t xml:space="preserve"> </w:t>
      </w:r>
      <w:r>
        <w:t xml:space="preserve">“</w:t>
      </w:r>
      <w:r>
        <w:t xml:space="preserve">aha</w:t>
      </w:r>
      <w:r>
        <w:t xml:space="preserve">”</w:t>
      </w:r>
      <w:r>
        <w:t xml:space="preserve"> </w:t>
      </w:r>
      <w:r>
        <w:t xml:space="preserve">the verb</w:t>
      </w:r>
      <w:r>
        <w:t xml:space="preserve"> </w:t>
      </w:r>
      <w:r>
        <w:t xml:space="preserve">“</w:t>
      </w:r>
      <w:r>
        <w:t xml:space="preserve">erire</w:t>
      </w:r>
      <w:r>
        <w:t xml:space="preserve">”</w:t>
      </w:r>
      <w:r>
        <w:t xml:space="preserve"> </w:t>
      </w:r>
      <w:r>
        <w:t xml:space="preserve">is not made unaccented.</w:t>
      </w:r>
      <w:r>
        <w:t xml:space="preserve"> </w:t>
      </w:r>
      <w:r>
        <w:rPr>
          <w:bCs/>
          <w:b/>
        </w:rPr>
        <w:t xml:space="preserve">“</w:t>
      </w:r>
      <w:r>
        <w:rPr>
          <w:bCs/>
          <w:b/>
        </w:rPr>
        <w:t xml:space="preserve">Dadhānāḥ</w:t>
      </w:r>
      <w:r>
        <w:rPr>
          <w:bCs/>
          <w:b/>
        </w:rPr>
        <w:t xml:space="preserve">”</w:t>
      </w:r>
      <w:r>
        <w:t xml:space="preserve"> </w:t>
      </w:r>
      <w:r>
        <w:t xml:space="preserve">—</w:t>
      </w:r>
      <w:r>
        <w:t xml:space="preserve"> </w:t>
      </w:r>
      <w:r>
        <w:t xml:space="preserve">“</w:t>
      </w:r>
      <w:r>
        <w:t xml:space="preserve">śānac</w:t>
      </w:r>
      <w:r>
        <w:t xml:space="preserve">”</w:t>
      </w:r>
      <w:r>
        <w:t xml:space="preserve"> </w:t>
      </w:r>
      <w:r>
        <w:t xml:space="preserve">after</w:t>
      </w:r>
      <w:r>
        <w:t xml:space="preserve"> </w:t>
      </w:r>
      <w:r>
        <w:t xml:space="preserve">“</w:t>
      </w:r>
      <w:r>
        <w:t xml:space="preserve">dhā</w:t>
      </w:r>
      <w:r>
        <w:t xml:space="preserve">”</w:t>
      </w:r>
      <w:r>
        <w:t xml:space="preserve">;</w:t>
      </w:r>
      <w:r>
        <w:t xml:space="preserve"> </w:t>
      </w:r>
      <w:r>
        <w:t xml:space="preserve">“</w:t>
      </w:r>
      <w:r>
        <w:t xml:space="preserve">śānac</w:t>
      </w:r>
      <w:r>
        <w:t xml:space="preserve">”</w:t>
      </w:r>
      <w:r>
        <w:t xml:space="preserve"> </w:t>
      </w:r>
      <w:r>
        <w:t xml:space="preserve">being</w:t>
      </w:r>
      <w:r>
        <w:t xml:space="preserve"> </w:t>
      </w:r>
      <w:r>
        <w:t xml:space="preserve">“</w:t>
      </w:r>
      <w:r>
        <w:t xml:space="preserve">c</w:t>
      </w:r>
      <w:r>
        <w:t xml:space="preserve">”</w:t>
      </w:r>
      <w:r>
        <w:t xml:space="preserve">-marked would be end-acute (</w:t>
      </w:r>
      <w:r>
        <w:rPr>
          <w:bCs/>
          <w:b/>
        </w:rPr>
        <w:t xml:space="preserve">चितः</w:t>
      </w:r>
      <w:r>
        <w:t xml:space="preserve">), but</w:t>
      </w:r>
      <w:r>
        <w:t xml:space="preserve"> </w:t>
      </w:r>
      <w:r>
        <w:rPr>
          <w:bCs/>
          <w:b/>
        </w:rPr>
        <w:t xml:space="preserve">अभ्यस्तानामादिः</w:t>
      </w:r>
      <w:r>
        <w:t xml:space="preserve"> </w:t>
      </w:r>
      <w:r>
        <w:t xml:space="preserve">(पा. ६-१-१८९) gives it first-syllable acute;</w:t>
      </w:r>
      <w:r>
        <w:t xml:space="preserve"> </w:t>
      </w:r>
      <w:r>
        <w:t xml:space="preserve">“</w:t>
      </w:r>
      <w:r>
        <w:t xml:space="preserve">dhā</w:t>
      </w:r>
      <w:r>
        <w:t xml:space="preserve">”</w:t>
      </w:r>
      <w:r>
        <w:t xml:space="preserve"> </w:t>
      </w:r>
      <w:r>
        <w:t xml:space="preserve">is a</w:t>
      </w:r>
      <w:r>
        <w:t xml:space="preserve"> </w:t>
      </w:r>
      <w:r>
        <w:t xml:space="preserve">“</w:t>
      </w:r>
      <w:r>
        <w:t xml:space="preserve">juhotyādi</w:t>
      </w:r>
      <w:r>
        <w:t xml:space="preserve">”</w:t>
      </w:r>
      <w:r>
        <w:t xml:space="preserve"> </w:t>
      </w:r>
      <w:r>
        <w:t xml:space="preserve">root, so</w:t>
      </w:r>
      <w:r>
        <w:t xml:space="preserve"> </w:t>
      </w:r>
      <w:r>
        <w:t xml:space="preserve">“</w:t>
      </w:r>
      <w:r>
        <w:t xml:space="preserve">śap</w:t>
      </w:r>
      <w:r>
        <w:t xml:space="preserve">”</w:t>
      </w:r>
      <w:r>
        <w:t xml:space="preserve"> </w:t>
      </w:r>
      <w:r>
        <w:t xml:space="preserve">is replaced by</w:t>
      </w:r>
      <w:r>
        <w:t xml:space="preserve"> </w:t>
      </w:r>
      <w:r>
        <w:t xml:space="preserve">“</w:t>
      </w:r>
      <w:r>
        <w:t xml:space="preserve">ślu</w:t>
      </w:r>
      <w:r>
        <w:t xml:space="preserve">”</w:t>
      </w:r>
      <w:r>
        <w:t xml:space="preserve"> </w:t>
      </w:r>
      <w:r>
        <w:t xml:space="preserve">(</w:t>
      </w:r>
      <w:r>
        <w:rPr>
          <w:bCs/>
          <w:b/>
        </w:rPr>
        <w:t xml:space="preserve">जुहोत्यादिभ्यः श्लुः</w:t>
      </w:r>
      <w:r>
        <w:t xml:space="preserve">, पा. २-४-७५), and the doubling (</w:t>
      </w:r>
      <w:r>
        <w:rPr>
          <w:bCs/>
          <w:b/>
        </w:rPr>
        <w:t xml:space="preserve">श्लौ</w:t>
      </w:r>
      <w:r>
        <w:t xml:space="preserve">, पा. ६-१-१०):</w:t>
      </w:r>
      <w:r>
        <w:t xml:space="preserve"> </w:t>
      </w:r>
      <w:r>
        <w:t xml:space="preserve">“</w:t>
      </w:r>
      <w:r>
        <w:t xml:space="preserve">dadhā,</w:t>
      </w:r>
      <w:r>
        <w:t xml:space="preserve">”</w:t>
      </w:r>
      <w:r>
        <w:t xml:space="preserve"> </w:t>
      </w:r>
      <w:r>
        <w:t xml:space="preserve">which by</w:t>
      </w:r>
      <w:r>
        <w:t xml:space="preserve"> </w:t>
      </w:r>
      <w:r>
        <w:t xml:space="preserve">“</w:t>
      </w:r>
      <w:r>
        <w:t xml:space="preserve">ubhe abhyastam</w:t>
      </w:r>
      <w:r>
        <w:t xml:space="preserve">”</w:t>
      </w:r>
      <w:r>
        <w:t xml:space="preserve"> </w:t>
      </w:r>
      <w:r>
        <w:t xml:space="preserve">is called</w:t>
      </w:r>
      <w:r>
        <w:t xml:space="preserve"> </w:t>
      </w:r>
      <w:r>
        <w:t xml:space="preserve">“</w:t>
      </w:r>
      <w:r>
        <w:t xml:space="preserve">abhyasta.</w:t>
      </w:r>
      <w:r>
        <w:t xml:space="preserve">”</w:t>
      </w:r>
      <w:r>
        <w:t xml:space="preserve"> </w:t>
      </w:r>
      <w:r>
        <w:rPr>
          <w:bCs/>
          <w:b/>
        </w:rPr>
        <w:t xml:space="preserve">“</w:t>
      </w:r>
      <w:r>
        <w:rPr>
          <w:bCs/>
          <w:b/>
        </w:rPr>
        <w:t xml:space="preserve">Yajñiyam</w:t>
      </w:r>
      <w:r>
        <w:rPr>
          <w:bCs/>
          <w:b/>
        </w:rPr>
        <w:t xml:space="preserve">”</w:t>
      </w:r>
      <w:r>
        <w:t xml:space="preserve"> </w:t>
      </w:r>
      <w:r>
        <w:t xml:space="preserve">—</w:t>
      </w:r>
      <w:r>
        <w:t xml:space="preserve"> </w:t>
      </w:r>
      <w:r>
        <w:rPr>
          <w:bCs/>
          <w:b/>
        </w:rPr>
        <w:t xml:space="preserve">यज्ञर्त्विग्भ्यां घखञौ</w:t>
      </w:r>
      <w:r>
        <w:t xml:space="preserve"> </w:t>
      </w:r>
      <w:r>
        <w:t xml:space="preserve">(पा. ५-१-७१): after</w:t>
      </w:r>
      <w:r>
        <w:t xml:space="preserve"> </w:t>
      </w:r>
      <w:r>
        <w:t xml:space="preserve">“</w:t>
      </w:r>
      <w:r>
        <w:t xml:space="preserve">yajña</w:t>
      </w:r>
      <w:r>
        <w:t xml:space="preserve">”</w:t>
      </w:r>
      <w:r>
        <w:t xml:space="preserve"> </w:t>
      </w:r>
      <w:r>
        <w:t xml:space="preserve">and</w:t>
      </w:r>
      <w:r>
        <w:t xml:space="preserve"> </w:t>
      </w:r>
      <w:r>
        <w:t xml:space="preserve">“</w:t>
      </w:r>
      <w:r>
        <w:t xml:space="preserve">ṛtvij,</w:t>
      </w:r>
      <w:r>
        <w:t xml:space="preserve">”</w:t>
      </w:r>
      <w:r>
        <w:t xml:space="preserve"> </w:t>
      </w:r>
      <w:r>
        <w:t xml:space="preserve">in the sense</w:t>
      </w:r>
      <w:r>
        <w:t xml:space="preserve"> </w:t>
      </w:r>
      <w:r>
        <w:t xml:space="preserve">“</w:t>
      </w:r>
      <w:r>
        <w:t xml:space="preserve">he deserves,</w:t>
      </w:r>
      <w:r>
        <w:t xml:space="preserve">”</w:t>
      </w:r>
      <w:r>
        <w:t xml:space="preserve"> </w:t>
      </w:r>
      <w:r>
        <w:t xml:space="preserve">the affixes</w:t>
      </w:r>
      <w:r>
        <w:t xml:space="preserve"> </w:t>
      </w:r>
      <w:r>
        <w:t xml:space="preserve">“</w:t>
      </w:r>
      <w:r>
        <w:t xml:space="preserve">gha</w:t>
      </w:r>
      <w:r>
        <w:t xml:space="preserve">”</w:t>
      </w:r>
      <w:r>
        <w:t xml:space="preserve"> </w:t>
      </w:r>
      <w:r>
        <w:t xml:space="preserve">and</w:t>
      </w:r>
      <w:r>
        <w:t xml:space="preserve"> </w:t>
      </w:r>
      <w:r>
        <w:t xml:space="preserve">“</w:t>
      </w:r>
      <w:r>
        <w:t xml:space="preserve">khañ</w:t>
      </w:r>
      <w:r>
        <w:t xml:space="preserve">”</w:t>
      </w:r>
      <w:r>
        <w:t xml:space="preserve"> </w:t>
      </w:r>
      <w:r>
        <w:t xml:space="preserve">(here</w:t>
      </w:r>
      <w:r>
        <w:t xml:space="preserve"> </w:t>
      </w:r>
      <w:r>
        <w:t xml:space="preserve">“</w:t>
      </w:r>
      <w:r>
        <w:t xml:space="preserve">gha</w:t>
      </w:r>
      <w:r>
        <w:t xml:space="preserve">”</w:t>
      </w:r>
      <w:r>
        <w:t xml:space="preserve">);</w:t>
      </w:r>
      <w:r>
        <w:t xml:space="preserve"> </w:t>
      </w:r>
      <w:r>
        <w:rPr>
          <w:bCs/>
          <w:b/>
        </w:rPr>
        <w:t xml:space="preserve">आयनेयीनीयियः फढखछघां प्रत्ययादीनाम्</w:t>
      </w:r>
      <w:r>
        <w:t xml:space="preserve"> </w:t>
      </w:r>
      <w:r>
        <w:t xml:space="preserve">(पा. ७-१-२): the initial</w:t>
      </w:r>
      <w:r>
        <w:t xml:space="preserve"> </w:t>
      </w:r>
      <w:r>
        <w:t xml:space="preserve">“</w:t>
      </w:r>
      <w:r>
        <w:t xml:space="preserve">ph, ḍh, kh, chh, gh</w:t>
      </w:r>
      <w:r>
        <w:t xml:space="preserve">”</w:t>
      </w:r>
      <w:r>
        <w:t xml:space="preserve"> </w:t>
      </w:r>
      <w:r>
        <w:t xml:space="preserve">of an affix are replaced by</w:t>
      </w:r>
      <w:r>
        <w:t xml:space="preserve"> </w:t>
      </w:r>
      <w:r>
        <w:t xml:space="preserve">“</w:t>
      </w:r>
      <w:r>
        <w:t xml:space="preserve">āyan, eya, īn, īy, iy</w:t>
      </w:r>
      <w:r>
        <w:t xml:space="preserve">”</w:t>
      </w:r>
      <w:r>
        <w:t xml:space="preserve"> </w:t>
      </w:r>
      <w:r>
        <w:t xml:space="preserve">in order;</w:t>
      </w:r>
      <w:r>
        <w:t xml:space="preserve"> </w:t>
      </w:r>
      <w:r>
        <w:t xml:space="preserve">“</w:t>
      </w:r>
      <w:r>
        <w:t xml:space="preserve">gh</w:t>
      </w:r>
      <w:r>
        <w:t xml:space="preserve">”</w:t>
      </w:r>
      <w:r>
        <w:t xml:space="preserve"> </w:t>
      </w:r>
      <w:r>
        <w:t xml:space="preserve">→</w:t>
      </w:r>
      <w:r>
        <w:t xml:space="preserve"> </w:t>
      </w:r>
      <w:r>
        <w:t xml:space="preserve">“</w:t>
      </w:r>
      <w:r>
        <w:t xml:space="preserve">iy</w:t>
      </w:r>
      <w:r>
        <w:t xml:space="preserve">”</w:t>
      </w:r>
      <w:r>
        <w:t xml:space="preserve"> </w:t>
      </w:r>
      <w:r>
        <w:t xml:space="preserve">→</w:t>
      </w:r>
      <w:r>
        <w:t xml:space="preserve"> </w:t>
      </w:r>
      <w:r>
        <w:t xml:space="preserve">“</w:t>
      </w:r>
      <w:r>
        <w:t xml:space="preserve">yajña + iya</w:t>
      </w:r>
      <w:r>
        <w:t xml:space="preserve">”</w:t>
      </w:r>
      <w:r>
        <w:t xml:space="preserve"> </w:t>
      </w:r>
      <w:r>
        <w:t xml:space="preserve">→</w:t>
      </w:r>
      <w:r>
        <w:t xml:space="preserve"> </w:t>
      </w:r>
      <w:r>
        <w:t xml:space="preserve">“</w:t>
      </w:r>
      <w:r>
        <w:t xml:space="preserve">yajñiya.</w:t>
      </w:r>
      <w:r>
        <w:t xml:space="preserve">”</w:t>
      </w:r>
      <w:r>
        <w:t xml:space="preserve"> </w:t>
      </w:r>
      <w:r>
        <w:t xml:space="preserve">The</w:t>
      </w:r>
      <w:r>
        <w:t xml:space="preserve"> </w:t>
      </w:r>
      <w:r>
        <w:t xml:space="preserve">“</w:t>
      </w:r>
      <w:r>
        <w:t xml:space="preserve">i</w:t>
      </w:r>
      <w:r>
        <w:t xml:space="preserve">”</w:t>
      </w:r>
      <w:r>
        <w:t xml:space="preserve"> </w:t>
      </w:r>
      <w:r>
        <w:t xml:space="preserve">is acute by the affix’s accent. ॥४॥</w:t>
      </w:r>
    </w:p>
    <w:p>
      <w:r>
        <w:pict>
          <v:rect style="width:0;height:1.5pt" o:hralign="center" o:hrstd="t" o:hr="t"/>
        </w:pict>
      </w:r>
    </w:p>
    <w:bookmarkEnd w:id="264"/>
    <w:bookmarkStart w:id="265" w:name="sūkta-6-the-fifth-mantra"/>
    <w:p>
      <w:pPr>
        <w:pStyle w:val="Heading3"/>
      </w:pPr>
      <w:r>
        <w:t xml:space="preserve">Sūkta 6, The Fifth Mantra</w:t>
      </w:r>
    </w:p>
    <w:p>
      <w:pPr>
        <w:pStyle w:val="FirstParagraph"/>
      </w:pPr>
      <w:r>
        <w:rPr>
          <w:bCs/>
          <w:b/>
        </w:rPr>
        <w:t xml:space="preserve">॥ Saṃhitā-pāṭhaḥ ॥</w:t>
      </w:r>
    </w:p>
    <w:p>
      <w:pPr>
        <w:pStyle w:val="BlockText"/>
      </w:pPr>
      <w:r>
        <w:t xml:space="preserve">वी॒ळु चि॑दारुज॒त्नुभि॒र्गुहा॑ चिदिंद्र॒ वह्नि॑भिः ।</w:t>
      </w:r>
      <w:r>
        <w:t xml:space="preserve"> </w:t>
      </w:r>
      <w:r>
        <w:t xml:space="preserve">अविं॑द उ॒स्रिया॒ अनु॑ ॥५॥</w:t>
      </w:r>
    </w:p>
    <w:p>
      <w:pPr>
        <w:pStyle w:val="BlockText"/>
      </w:pPr>
      <w:r>
        <w:rPr>
          <w:iCs/>
          <w:i/>
        </w:rPr>
        <w:t xml:space="preserve">vīḷú cidārujatnúbhirgúhā cidiṃdra váhnibhiḥ |</w:t>
      </w:r>
      <w:r>
        <w:t xml:space="preserve"> </w:t>
      </w:r>
      <w:r>
        <w:rPr>
          <w:iCs/>
          <w:i/>
        </w:rPr>
        <w:t xml:space="preserve">áviṃda usríyā ánu ||5||</w:t>
      </w:r>
    </w:p>
    <w:bookmarkEnd w:id="265"/>
    <w:bookmarkStart w:id="266" w:name="Xa91bf7cedc25dadc77e7a5343aabb51ac900568"/>
    <w:p>
      <w:pPr>
        <w:pStyle w:val="Heading3"/>
      </w:pPr>
      <w:r>
        <w:t xml:space="preserve">Page 227 — Rik 6.5: Pada, Sāyaṇa-bhāṣya (the Paṇi legend), grammar (characterized), Pada-meanings</w:t>
      </w:r>
    </w:p>
    <w:p>
      <w:pPr>
        <w:pStyle w:val="FirstParagraph"/>
      </w:pPr>
      <w:r>
        <w:rPr>
          <w:iCs/>
          <w:i/>
        </w:rPr>
        <w:t xml:space="preserve">(Page header:</w:t>
      </w:r>
      <w:r>
        <w:rPr>
          <w:iCs/>
          <w:i/>
        </w:rPr>
        <w:t xml:space="preserve"> </w:t>
      </w:r>
      <w:r>
        <w:rPr>
          <w:iCs/>
          <w:i/>
        </w:rPr>
        <w:t xml:space="preserve">“</w:t>
      </w:r>
      <w:r>
        <w:rPr>
          <w:iCs/>
          <w:i/>
        </w:rPr>
        <w:t xml:space="preserve">Aṣṭaka 1, Adhyāya 1, Varga 11 · Ṛgveda-saṃhitā.</w:t>
      </w:r>
      <w:r>
        <w:rPr>
          <w:iCs/>
          <w:i/>
        </w:rPr>
        <w:t xml:space="preserve">”</w:t>
      </w:r>
      <w:r>
        <w:rPr>
          <w:iCs/>
          <w:i/>
        </w:rPr>
        <w:t xml:space="preserve"> </w:t>
      </w:r>
      <w:r>
        <w:rPr>
          <w:iCs/>
          <w:i/>
        </w:rPr>
        <w:t xml:space="preserve">Sanskrit printed in Kannada script, re-read from the better scan. Pada unaccented.)</w:t>
      </w:r>
    </w:p>
    <w:p>
      <w:pPr>
        <w:pStyle w:val="BodyText"/>
      </w:pPr>
      <w:r>
        <w:rPr>
          <w:bCs/>
          <w:b/>
        </w:rPr>
        <w:t xml:space="preserve">॥ Pada-pāṭhaḥ ॥</w:t>
      </w:r>
    </w:p>
    <w:p>
      <w:pPr>
        <w:pStyle w:val="BlockText"/>
      </w:pPr>
      <w:r>
        <w:t xml:space="preserve">वीळु । चित् । आरुजत्नुऽभिः । गुहा । चित् । इन्द्र । वह्निऽभिः ।</w:t>
      </w:r>
      <w:r>
        <w:t xml:space="preserve"> </w:t>
      </w:r>
      <w:r>
        <w:t xml:space="preserve">अविन्दः । उस्रियाः । अनु ॥५॥</w:t>
      </w:r>
    </w:p>
    <w:p>
      <w:pPr>
        <w:pStyle w:val="FirstParagraph"/>
      </w:pPr>
      <w:r>
        <w:rPr>
          <w:bCs/>
          <w:b/>
        </w:rPr>
        <w:t xml:space="preserve">॥ Sāyaṇa-bhāṣyam ॥</w:t>
      </w:r>
    </w:p>
    <w:p>
      <w:pPr>
        <w:pStyle w:val="BlockText"/>
      </w:pPr>
      <w:r>
        <w:t xml:space="preserve">अस्ति किंचिदुपाख्यानम् । पणिभिर्देवलोकाद्गावोऽपहृता अन्धकारे प्रक्षिप्ताः ताश्चेन्द्रो मरुद्भिः सहाजयदिति । एतच्चानुक्रमणिकायां सूचितम् । पणिभिरसुरैर्निगूळ्हा गा अन्वेष्टुं सरमां देवशुनीमिन्द्रेण प्रहितामयुग्भिः पणयो मित्रीयन्तः प्रोचुः । अनु. ऋग्वे. १०-१०८ । इति । मन्त्रान्तरे च दृष्टान्ततया सूचितम् । निरुद्धा आपः पणिनेव गावः । ऋग्वे. १-३२-११ । इति । तदेतदुपाख्यानमभिप्रेत्योच्यते ॥ हे इन्द्र वीळु चिद्दृढमपि दुर्गमस्थानमारुजत्नुभिर्भञ्जद्भिर्वह्निभिर्वोढृभिरन्यत्र नेतुं समर्थैर्मरुद्भिः सहितस्त्वं गुहा चित् गुहायामपि स्थापिता उस्रिया गा अन्वविन्दः । अन्विष्य लब्धवानसि । ओजः पाज इत्यादिष्वष्टाविंशतिसंख्याकेषु बलनामसु दक्षो वीळु च्यौत्नमिति पठितम् । नवसंख्याकेषु गोनामस्वघ्न्योस्रोस्रियेति पठितम् ॥ वीळु । प्रातिपदिकस्वरः । चित् । चादिरनुदात्तः । आरुजत्नुभिः । रुजो भङ्ग इत्यौणादिकः कत्नुच्प्रत्ययः । कित्त्वाद्गुणाभावः । चित्त्वादन्तोदात्तत्वम् । समासे कृदुत्तरपदप्रकृतिस्वरत्वम् । गुहा । सप्तम्या डादेशः । ग्रामादीनां च । फि. २-१५ । इत्याद्युदात्तः । वह्निभिः । वहिश्रिश्रुयुद्रुग्लाहात्वरिभ्यो नित् । उ. ४-५१ । इति वहेर्निप्रत्ययः । नित्त्वादाद्युदात्तः । अविन्दः । शे मुचादीनाम् । पा. ७-१-५९ । इति नुमागमः । लुङ्लङ्लृङ्क्ष्वडुदात्तः । पा. ६-४-७१ । वसन्तीत्युस्रियाः । वसेः कर्तरि रियक्प्रत्ययः । षत्वाभावश्च बाहुलकादूहनीयः । उक्तं हि । यन्न पदार्थविशेषसमुत्थं प्रत्ययतः प्रकृतेश्च तदूह्यमिति । इकारः प्रत्ययस्वरेणोदात्तः ॥५॥</w:t>
      </w:r>
      <w:r>
        <w:t xml:space="preserve"> </w:t>
      </w:r>
      <w:r>
        <w:rPr>
          <w:iCs/>
          <w:i/>
        </w:rPr>
        <w:t xml:space="preserve">asti kiṃcidupākhyānam | paṇibhirdevalokādgāvo ’pahṛtā andhakāre prakṣiptāḥ tāścendro marudbhiḥ sahājayaditi | etaccānukramaṇikāyāṃ sūcitam | paṇibhirasurairnigūḷhā gā anveṣṭuṃ saramāṃ devaśunīmindreṇa prahitāmayugbhiḥ paṇayo mitrīyantaḥ procuḥ | anu. ṛgve. 10-108 | iti | mantrāntare ca dṛṣṭāntatayā sūcitam | niruddhā āpaḥ paṇineva gāvaḥ | ṛgve. 1-32-11 | iti | tadetadupākhyānamabhipretyocyate ‖ he indra vīḷu ciddṛḍhamapi durgamasthānamārujatnubhirbhañjadbhirvahnibhirvoḍhṛbhiranyatra netuṃ samarthairmarudbhiḥ sahitastvaṃ guhā cit guhāyāmapi sthāpitā usriyā gā anvavindaḥ | anviṣya labdhavānasi | ojaḥ pāja ityādiṣvaṣṭāviṃśatisaṃkhyākeṣu balanāmasu dakṣo vīḷu cyautnamiti paṭhitam | navasaṃkhyākeṣu gonāmasvaghnyosrosriyeti paṭhitam ‖ vīḷu | prātipadikasvaraḥ | cit | cādiranudāttaḥ | ārujatnubhiḥ | rujo bhaṅga ityauṇādikaḥ katnucpratyayaḥ | kittvādguṇābhāvaḥ | cittvādantodāttatvam | samāse kṛduttarapadaprakṛtisvaratvam | guhā | saptamyā ḍādeśaḥ | grāmādīnāṃ ca | phi. 2-15 | ityādyudāttaḥ | vahnibhiḥ | vahiśriśruyudruglāhātvaribhyo nit | u. 4-51 | iti vahernipratyayaḥ | nittvādādyudāttaḥ | avindaḥ | śe mucādīnām | pā. 7-1-59 | iti numāgamaḥ | luṅlaṅlṛṅkṣvaḍudāttaḥ | pā. 6-4-71 | vasantītyusriyāḥ | vaseḥ kartari riyakpratyayaḥ | ṣatvābhāvaśca bāhulakādūhanīyaḥ | uktaṃ hi | yanna padārthaviśeṣasamutthaṃ pratyayataḥ prakṛteśca tadūhyamiti | ikāraḥ pratyayasvareṇodāttaḥ ‖5‖</w:t>
      </w:r>
      <w:r>
        <w:t xml:space="preserve"> </w:t>
      </w:r>
      <w:r>
        <w:rPr>
          <w:iCs/>
          <w:i/>
        </w:rPr>
        <w:t xml:space="preserve">(Re-read in full from the better scan (no line is cut off there); the grammatical tail is transcribed.)</w:t>
      </w:r>
    </w:p>
    <w:p>
      <w:pPr>
        <w:pStyle w:val="FirstParagraph"/>
      </w:pPr>
      <w:r>
        <w:rPr>
          <w:bCs/>
          <w:b/>
        </w:rPr>
        <w:t xml:space="preserve">Translation:</w:t>
      </w:r>
      <w:r>
        <w:t xml:space="preserve"> </w:t>
      </w:r>
      <w:r>
        <w:t xml:space="preserve">“</w:t>
      </w:r>
      <w:r>
        <w:t xml:space="preserve">There is a certain legend. The Paṇis stole cows from the world of the gods and hurled them into darkness; (those) Indra, with the Maruts, won (back). This is indicated in the Anukramaṇī:</w:t>
      </w:r>
      <w:r>
        <w:t xml:space="preserve"> </w:t>
      </w:r>
      <w:r>
        <w:t xml:space="preserve">‘</w:t>
      </w:r>
      <w:r>
        <w:rPr>
          <w:iCs/>
          <w:i/>
        </w:rPr>
        <w:t xml:space="preserve">To Saramā, the divine bitch sent by Indra to search out the cows hidden by the Paṇis, the Asuras, the Paṇis, seeking her friendship, spoke in alternate verses</w:t>
      </w:r>
      <w:r>
        <w:t xml:space="preserve">’</w:t>
      </w:r>
      <w:r>
        <w:t xml:space="preserve"> </w:t>
      </w:r>
      <w:r>
        <w:t xml:space="preserve">(Anukramaṇī on Ṛg. 10-108). And it is indicated in another mantra as an illustration:</w:t>
      </w:r>
      <w:r>
        <w:t xml:space="preserve"> </w:t>
      </w:r>
      <w:r>
        <w:t xml:space="preserve">‘</w:t>
      </w:r>
      <w:r>
        <w:rPr>
          <w:iCs/>
          <w:i/>
        </w:rPr>
        <w:t xml:space="preserve">the waters were shut up, like the cows by the Paṇi</w:t>
      </w:r>
      <w:r>
        <w:t xml:space="preserve">’</w:t>
      </w:r>
      <w:r>
        <w:t xml:space="preserve"> </w:t>
      </w:r>
      <w:r>
        <w:t xml:space="preserve">(Ṛg. 1-32-11). With that legend in view it is said: O Indra!</w:t>
      </w:r>
      <w:r>
        <w:t xml:space="preserve"> </w:t>
      </w:r>
      <w:r>
        <w:t xml:space="preserve">‘</w:t>
      </w:r>
      <w:r>
        <w:t xml:space="preserve">Vīḷu cit</w:t>
      </w:r>
      <w:r>
        <w:t xml:space="preserve">’</w:t>
      </w:r>
      <w:r>
        <w:t xml:space="preserve"> </w:t>
      </w:r>
      <w:r>
        <w:t xml:space="preserve">— even what is firm, a place hard to reach —</w:t>
      </w:r>
      <w:r>
        <w:t xml:space="preserve"> </w:t>
      </w:r>
      <w:r>
        <w:t xml:space="preserve">‘</w:t>
      </w:r>
      <w:r>
        <w:t xml:space="preserve">ārujatnubhiḥ</w:t>
      </w:r>
      <w:r>
        <w:t xml:space="preserve">’</w:t>
      </w:r>
      <w:r>
        <w:t xml:space="preserve"> </w:t>
      </w:r>
      <w:r>
        <w:t xml:space="preserve">— by the breakers,</w:t>
      </w:r>
      <w:r>
        <w:t xml:space="preserve"> </w:t>
      </w:r>
      <w:r>
        <w:t xml:space="preserve">‘</w:t>
      </w:r>
      <w:r>
        <w:t xml:space="preserve">vahnibhiḥ</w:t>
      </w:r>
      <w:r>
        <w:t xml:space="preserve">’</w:t>
      </w:r>
      <w:r>
        <w:t xml:space="preserve"> </w:t>
      </w:r>
      <w:r>
        <w:t xml:space="preserve">— the bearers, the Maruts, who are able to carry (it) elsewhere — accompanied by them, you</w:t>
      </w:r>
      <w:r>
        <w:t xml:space="preserve"> </w:t>
      </w:r>
      <w:r>
        <w:t xml:space="preserve">‘</w:t>
      </w:r>
      <w:r>
        <w:t xml:space="preserve">guhā cit</w:t>
      </w:r>
      <w:r>
        <w:t xml:space="preserve">’</w:t>
      </w:r>
      <w:r>
        <w:t xml:space="preserve"> </w:t>
      </w:r>
      <w:r>
        <w:t xml:space="preserve">— even in the cave where they had been placed —</w:t>
      </w:r>
      <w:r>
        <w:t xml:space="preserve"> </w:t>
      </w:r>
      <w:r>
        <w:t xml:space="preserve">‘</w:t>
      </w:r>
      <w:r>
        <w:t xml:space="preserve">usriyā gāḥ</w:t>
      </w:r>
      <w:r>
        <w:t xml:space="preserve">’</w:t>
      </w:r>
      <w:r>
        <w:t xml:space="preserve"> </w:t>
      </w:r>
      <w:r>
        <w:t xml:space="preserve">— the cows —</w:t>
      </w:r>
      <w:r>
        <w:t xml:space="preserve"> </w:t>
      </w:r>
      <w:r>
        <w:t xml:space="preserve">‘</w:t>
      </w:r>
      <w:r>
        <w:t xml:space="preserve">anvindaḥ</w:t>
      </w:r>
      <w:r>
        <w:t xml:space="preserve">’</w:t>
      </w:r>
      <w:r>
        <w:t xml:space="preserve"> </w:t>
      </w:r>
      <w:r>
        <w:t xml:space="preserve">— you searched out and found. Among the twenty-eight names of strength beginning with</w:t>
      </w:r>
      <w:r>
        <w:t xml:space="preserve"> </w:t>
      </w:r>
      <w:r>
        <w:t xml:space="preserve">‘</w:t>
      </w:r>
      <w:r>
        <w:t xml:space="preserve">ojaḥ, pājaḥ,</w:t>
      </w:r>
      <w:r>
        <w:t xml:space="preserve">’</w:t>
      </w:r>
      <w:r>
        <w:t xml:space="preserve"> </w:t>
      </w:r>
      <w:r>
        <w:t xml:space="preserve">‘</w:t>
      </w:r>
      <w:r>
        <w:t xml:space="preserve">dakṣaḥ,</w:t>
      </w:r>
      <w:r>
        <w:t xml:space="preserve">’</w:t>
      </w:r>
      <w:r>
        <w:t xml:space="preserve"> </w:t>
      </w:r>
      <w:r>
        <w:t xml:space="preserve">‘</w:t>
      </w:r>
      <w:r>
        <w:t xml:space="preserve">vīḷu</w:t>
      </w:r>
      <w:r>
        <w:t xml:space="preserve">’</w:t>
      </w:r>
      <w:r>
        <w:t xml:space="preserve"> </w:t>
      </w:r>
      <w:r>
        <w:t xml:space="preserve">and</w:t>
      </w:r>
      <w:r>
        <w:t xml:space="preserve"> </w:t>
      </w:r>
      <w:r>
        <w:t xml:space="preserve">‘</w:t>
      </w:r>
      <w:r>
        <w:t xml:space="preserve">cyautnam</w:t>
      </w:r>
      <w:r>
        <w:t xml:space="preserve">’</w:t>
      </w:r>
      <w:r>
        <w:t xml:space="preserve"> </w:t>
      </w:r>
      <w:r>
        <w:t xml:space="preserve">are read; among the nine names of cow,</w:t>
      </w:r>
      <w:r>
        <w:t xml:space="preserve"> </w:t>
      </w:r>
      <w:r>
        <w:t xml:space="preserve">‘</w:t>
      </w:r>
      <w:r>
        <w:t xml:space="preserve">aghnyā,</w:t>
      </w:r>
      <w:r>
        <w:t xml:space="preserve">’</w:t>
      </w:r>
      <w:r>
        <w:t xml:space="preserve"> </w:t>
      </w:r>
      <w:r>
        <w:t xml:space="preserve">‘</w:t>
      </w:r>
      <w:r>
        <w:t xml:space="preserve">usrā</w:t>
      </w:r>
      <w:r>
        <w:t xml:space="preserve">’</w:t>
      </w:r>
      <w:r>
        <w:t xml:space="preserve"> </w:t>
      </w:r>
      <w:r>
        <w:t xml:space="preserve">and</w:t>
      </w:r>
      <w:r>
        <w:t xml:space="preserve"> </w:t>
      </w:r>
      <w:r>
        <w:t xml:space="preserve">‘</w:t>
      </w:r>
      <w:r>
        <w:t xml:space="preserve">usriyā</w:t>
      </w:r>
      <w:r>
        <w:t xml:space="preserve">’</w:t>
      </w:r>
      <w:r>
        <w:t xml:space="preserve"> </w:t>
      </w:r>
      <w:r>
        <w:t xml:space="preserve">are read.</w:t>
      </w:r>
      <w:r>
        <w:t xml:space="preserve">”</w:t>
      </w:r>
    </w:p>
    <w:p>
      <w:pPr>
        <w:pStyle w:val="BodyText"/>
      </w:pPr>
      <w:r>
        <w:rPr>
          <w:bCs/>
          <w:b/>
        </w:rPr>
        <w:t xml:space="preserve">Grammar within the Bhāṣya (in outline):</w:t>
      </w:r>
      <w:r>
        <w:t xml:space="preserve"> </w:t>
      </w:r>
      <w:r>
        <w:t xml:space="preserve">“</w:t>
      </w:r>
      <w:r>
        <w:t xml:space="preserve">Vīḷu</w:t>
      </w:r>
      <w:r>
        <w:t xml:space="preserve">”</w:t>
      </w:r>
      <w:r>
        <w:t xml:space="preserve"> </w:t>
      </w:r>
      <w:r>
        <w:t xml:space="preserve">— the stem accent.</w:t>
      </w:r>
      <w:r>
        <w:t xml:space="preserve"> </w:t>
      </w:r>
      <w:r>
        <w:t xml:space="preserve">“</w:t>
      </w:r>
      <w:r>
        <w:t xml:space="preserve">Cit</w:t>
      </w:r>
      <w:r>
        <w:t xml:space="preserve">”</w:t>
      </w:r>
      <w:r>
        <w:t xml:space="preserve"> </w:t>
      </w:r>
      <w:r>
        <w:t xml:space="preserve">— a</w:t>
      </w:r>
      <w:r>
        <w:t xml:space="preserve"> </w:t>
      </w:r>
      <w:r>
        <w:t xml:space="preserve">“</w:t>
      </w:r>
      <w:r>
        <w:t xml:space="preserve">cādi</w:t>
      </w:r>
      <w:r>
        <w:t xml:space="preserve">”</w:t>
      </w:r>
      <w:r>
        <w:t xml:space="preserve"> </w:t>
      </w:r>
      <w:r>
        <w:t xml:space="preserve">particle, unaccented.</w:t>
      </w:r>
      <w:r>
        <w:t xml:space="preserve"> </w:t>
      </w:r>
      <w:r>
        <w:t xml:space="preserve">“</w:t>
      </w:r>
      <w:r>
        <w:t xml:space="preserve">Ārujatnubhiḥ</w:t>
      </w:r>
      <w:r>
        <w:t xml:space="preserve">”</w:t>
      </w:r>
      <w:r>
        <w:t xml:space="preserve"> </w:t>
      </w:r>
      <w:r>
        <w:t xml:space="preserve">—</w:t>
      </w:r>
      <w:r>
        <w:t xml:space="preserve"> </w:t>
      </w:r>
      <w:r>
        <w:t xml:space="preserve">“</w:t>
      </w:r>
      <w:r>
        <w:t xml:space="preserve">rujo bhaṅge</w:t>
      </w:r>
      <w:r>
        <w:t xml:space="preserve">”</w:t>
      </w:r>
      <w:r>
        <w:t xml:space="preserve"> </w:t>
      </w:r>
      <w:r>
        <w:t xml:space="preserve">with the Uṇādi affix</w:t>
      </w:r>
      <w:r>
        <w:t xml:space="preserve"> </w:t>
      </w:r>
      <w:r>
        <w:t xml:space="preserve">“</w:t>
      </w:r>
      <w:r>
        <w:t xml:space="preserve">katnuc</w:t>
      </w:r>
      <w:r>
        <w:t xml:space="preserve">”</w:t>
      </w:r>
      <w:r>
        <w:t xml:space="preserve">;</w:t>
      </w:r>
      <w:r>
        <w:t xml:space="preserve"> </w:t>
      </w:r>
      <w:r>
        <w:t xml:space="preserve">“</w:t>
      </w:r>
      <w:r>
        <w:t xml:space="preserve">k</w:t>
      </w:r>
      <w:r>
        <w:t xml:space="preserve">”</w:t>
      </w:r>
      <w:r>
        <w:t xml:space="preserve">-marked, so no guṇa;</w:t>
      </w:r>
      <w:r>
        <w:t xml:space="preserve"> </w:t>
      </w:r>
      <w:r>
        <w:t xml:space="preserve">“</w:t>
      </w:r>
      <w:r>
        <w:t xml:space="preserve">c</w:t>
      </w:r>
      <w:r>
        <w:t xml:space="preserve">”</w:t>
      </w:r>
      <w:r>
        <w:t xml:space="preserve">-marked, end-acute; in the compound the kṛt-final member’s accent stays.</w:t>
      </w:r>
      <w:r>
        <w:t xml:space="preserve"> </w:t>
      </w:r>
      <w:r>
        <w:t xml:space="preserve">“</w:t>
      </w:r>
      <w:r>
        <w:t xml:space="preserve">Guhā</w:t>
      </w:r>
      <w:r>
        <w:t xml:space="preserve">”</w:t>
      </w:r>
      <w:r>
        <w:t xml:space="preserve"> </w:t>
      </w:r>
      <w:r>
        <w:t xml:space="preserve">—</w:t>
      </w:r>
      <w:r>
        <w:t xml:space="preserve"> </w:t>
      </w:r>
      <w:r>
        <w:t xml:space="preserve">“</w:t>
      </w:r>
      <w:r>
        <w:t xml:space="preserve">ḍā</w:t>
      </w:r>
      <w:r>
        <w:t xml:space="preserve">”</w:t>
      </w:r>
      <w:r>
        <w:t xml:space="preserve"> </w:t>
      </w:r>
      <w:r>
        <w:t xml:space="preserve">for the locative;</w:t>
      </w:r>
      <w:r>
        <w:t xml:space="preserve"> </w:t>
      </w:r>
      <w:r>
        <w:rPr>
          <w:bCs/>
          <w:b/>
        </w:rPr>
        <w:t xml:space="preserve">ग्रामादीनां च</w:t>
      </w:r>
      <w:r>
        <w:t xml:space="preserve"> </w:t>
      </w:r>
      <w:r>
        <w:t xml:space="preserve">(फि. सू. २-१५) first-syllable acute.</w:t>
      </w:r>
      <w:r>
        <w:t xml:space="preserve"> </w:t>
      </w:r>
      <w:r>
        <w:t xml:space="preserve">“</w:t>
      </w:r>
      <w:r>
        <w:t xml:space="preserve">Vahnibhiḥ</w:t>
      </w:r>
      <w:r>
        <w:t xml:space="preserve">”</w:t>
      </w:r>
      <w:r>
        <w:t xml:space="preserve"> </w:t>
      </w:r>
      <w:r>
        <w:t xml:space="preserve">—</w:t>
      </w:r>
      <w:r>
        <w:t xml:space="preserve"> </w:t>
      </w:r>
      <w:r>
        <w:rPr>
          <w:bCs/>
          <w:b/>
        </w:rPr>
        <w:t xml:space="preserve">वहिश्रिश्रुयुद्रुग्लाहात्वरिभ्यो नित्</w:t>
      </w:r>
      <w:r>
        <w:t xml:space="preserve"> </w:t>
      </w:r>
      <w:r>
        <w:t xml:space="preserve">(उ. सू. ४-५१) the affix</w:t>
      </w:r>
      <w:r>
        <w:t xml:space="preserve"> </w:t>
      </w:r>
      <w:r>
        <w:t xml:space="preserve">“</w:t>
      </w:r>
      <w:r>
        <w:t xml:space="preserve">ni</w:t>
      </w:r>
      <w:r>
        <w:t xml:space="preserve">”</w:t>
      </w:r>
      <w:r>
        <w:t xml:space="preserve">;</w:t>
      </w:r>
      <w:r>
        <w:t xml:space="preserve"> </w:t>
      </w:r>
      <w:r>
        <w:t xml:space="preserve">“</w:t>
      </w:r>
      <w:r>
        <w:t xml:space="preserve">n</w:t>
      </w:r>
      <w:r>
        <w:t xml:space="preserve">”</w:t>
      </w:r>
      <w:r>
        <w:t xml:space="preserve">-marked, first-syllable acute.</w:t>
      </w:r>
      <w:r>
        <w:t xml:space="preserve"> </w:t>
      </w:r>
      <w:r>
        <w:t xml:space="preserve">“</w:t>
      </w:r>
      <w:r>
        <w:t xml:space="preserve">Avindaḥ</w:t>
      </w:r>
      <w:r>
        <w:t xml:space="preserve">”</w:t>
      </w:r>
      <w:r>
        <w:t xml:space="preserve"> </w:t>
      </w:r>
      <w:r>
        <w:t xml:space="preserve">—</w:t>
      </w:r>
      <w:r>
        <w:t xml:space="preserve"> </w:t>
      </w:r>
      <w:r>
        <w:rPr>
          <w:bCs/>
          <w:b/>
        </w:rPr>
        <w:t xml:space="preserve">शे मुचादीनाम्</w:t>
      </w:r>
      <w:r>
        <w:t xml:space="preserve"> </w:t>
      </w:r>
      <w:r>
        <w:t xml:space="preserve">(पा. ७-१-५९) the augment</w:t>
      </w:r>
      <w:r>
        <w:t xml:space="preserve"> </w:t>
      </w:r>
      <w:r>
        <w:t xml:space="preserve">“</w:t>
      </w:r>
      <w:r>
        <w:t xml:space="preserve">num</w:t>
      </w:r>
      <w:r>
        <w:t xml:space="preserve">”</w:t>
      </w:r>
      <w:r>
        <w:t xml:space="preserve">; the augment</w:t>
      </w:r>
      <w:r>
        <w:t xml:space="preserve"> </w:t>
      </w:r>
      <w:r>
        <w:t xml:space="preserve">“</w:t>
      </w:r>
      <w:r>
        <w:t xml:space="preserve">aṭ</w:t>
      </w:r>
      <w:r>
        <w:t xml:space="preserve">”</w:t>
      </w:r>
      <w:r>
        <w:t xml:space="preserve"> </w:t>
      </w:r>
      <w:r>
        <w:t xml:space="preserve">acute (</w:t>
      </w:r>
      <w:r>
        <w:rPr>
          <w:bCs/>
          <w:b/>
        </w:rPr>
        <w:t xml:space="preserve">लुङ्लङ्लृङ्क्ष्वडुदात्तः</w:t>
      </w:r>
      <w:r>
        <w:t xml:space="preserve">, पा. ६-४-७१).</w:t>
      </w:r>
      <w:r>
        <w:t xml:space="preserve"> </w:t>
      </w:r>
      <w:r>
        <w:t xml:space="preserve">“</w:t>
      </w:r>
      <w:r>
        <w:t xml:space="preserve">Usriyāḥ</w:t>
      </w:r>
      <w:r>
        <w:t xml:space="preserve">”</w:t>
      </w:r>
      <w:r>
        <w:t xml:space="preserve"> </w:t>
      </w:r>
      <w:r>
        <w:t xml:space="preserve">—</w:t>
      </w:r>
      <w:r>
        <w:t xml:space="preserve"> </w:t>
      </w:r>
      <w:r>
        <w:t xml:space="preserve">“</w:t>
      </w:r>
      <w:r>
        <w:t xml:space="preserve">vasanti</w:t>
      </w:r>
      <w:r>
        <w:t xml:space="preserve">”</w:t>
      </w:r>
      <w:r>
        <w:t xml:space="preserve"> </w:t>
      </w:r>
      <w:r>
        <w:t xml:space="preserve">— from</w:t>
      </w:r>
      <w:r>
        <w:t xml:space="preserve"> </w:t>
      </w:r>
      <w:r>
        <w:t xml:space="preserve">“</w:t>
      </w:r>
      <w:r>
        <w:t xml:space="preserve">vas</w:t>
      </w:r>
      <w:r>
        <w:t xml:space="preserve">”</w:t>
      </w:r>
      <w:r>
        <w:t xml:space="preserve"> </w:t>
      </w:r>
      <w:r>
        <w:t xml:space="preserve">the affix</w:t>
      </w:r>
      <w:r>
        <w:t xml:space="preserve"> </w:t>
      </w:r>
      <w:r>
        <w:t xml:space="preserve">“</w:t>
      </w:r>
      <w:r>
        <w:t xml:space="preserve">riyak</w:t>
      </w:r>
      <w:r>
        <w:t xml:space="preserve">”</w:t>
      </w:r>
      <w:r>
        <w:t xml:space="preserve"> </w:t>
      </w:r>
      <w:r>
        <w:t xml:space="preserve">in the agent sense; the absence of</w:t>
      </w:r>
      <w:r>
        <w:t xml:space="preserve"> </w:t>
      </w:r>
      <w:r>
        <w:t xml:space="preserve">“</w:t>
      </w:r>
      <w:r>
        <w:t xml:space="preserve">ṣ</w:t>
      </w:r>
      <w:r>
        <w:t xml:space="preserve">”</w:t>
      </w:r>
      <w:r>
        <w:t xml:space="preserve"> </w:t>
      </w:r>
      <w:r>
        <w:t xml:space="preserve">is to be inferred by</w:t>
      </w:r>
      <w:r>
        <w:t xml:space="preserve"> </w:t>
      </w:r>
      <w:r>
        <w:t xml:space="preserve">“</w:t>
      </w:r>
      <w:r>
        <w:t xml:space="preserve">bāhulaka</w:t>
      </w:r>
      <w:r>
        <w:t xml:space="preserve">”</w:t>
      </w:r>
      <w:r>
        <w:t xml:space="preserve"> </w:t>
      </w:r>
      <w:r>
        <w:t xml:space="preserve">(as it is said,</w:t>
      </w:r>
      <w:r>
        <w:t xml:space="preserve"> </w:t>
      </w:r>
      <w:r>
        <w:t xml:space="preserve">“</w:t>
      </w:r>
      <w:r>
        <w:t xml:space="preserve">what is not covered by the particular word, the affix and the root is to be inferred</w:t>
      </w:r>
      <w:r>
        <w:t xml:space="preserve">”</w:t>
      </w:r>
      <w:r>
        <w:t xml:space="preserve">); the</w:t>
      </w:r>
      <w:r>
        <w:t xml:space="preserve"> </w:t>
      </w:r>
      <w:r>
        <w:t xml:space="preserve">“</w:t>
      </w:r>
      <w:r>
        <w:t xml:space="preserve">i</w:t>
      </w:r>
      <w:r>
        <w:t xml:space="preserve">”</w:t>
      </w:r>
      <w:r>
        <w:t xml:space="preserve"> </w:t>
      </w:r>
      <w:r>
        <w:t xml:space="preserve">is acute by the affix accent. ॥५॥</w:t>
      </w:r>
    </w:p>
    <w:p>
      <w:pPr>
        <w:pStyle w:val="BodyText"/>
      </w:pPr>
      <w:r>
        <w:rPr>
          <w:bCs/>
          <w:b/>
        </w:rPr>
        <w:t xml:space="preserve">॥ Prati-padārthaḥ ॥</w:t>
      </w:r>
      <w:r>
        <w:t xml:space="preserve"> </w:t>
      </w:r>
      <w:r>
        <w:rPr>
          <w:iCs/>
          <w:i/>
        </w:rPr>
        <w:t xml:space="preserve">(Kannada, translated)</w:t>
      </w:r>
    </w:p>
    <w:p>
      <w:pPr>
        <w:pStyle w:val="BodyText"/>
      </w:pPr>
      <w:r>
        <w:rPr>
          <w:bCs/>
          <w:b/>
        </w:rPr>
        <w:t xml:space="preserve">(हे) इन्द्र (he indra)</w:t>
      </w:r>
      <w:r>
        <w:t xml:space="preserve"> </w:t>
      </w:r>
      <w:r>
        <w:t xml:space="preserve">— O Indra |</w:t>
      </w:r>
      <w:r>
        <w:t xml:space="preserve"> </w:t>
      </w:r>
      <w:r>
        <w:rPr>
          <w:bCs/>
          <w:b/>
        </w:rPr>
        <w:t xml:space="preserve">(त्वम्) (tvam)</w:t>
      </w:r>
      <w:r>
        <w:t xml:space="preserve"> </w:t>
      </w:r>
      <w:r>
        <w:t xml:space="preserve">— you |</w:t>
      </w:r>
      <w:r>
        <w:t xml:space="preserve"> </w:t>
      </w:r>
      <w:r>
        <w:rPr>
          <w:bCs/>
          <w:b/>
        </w:rPr>
        <w:t xml:space="preserve">वीळु चित् (vīḷu cit)</w:t>
      </w:r>
      <w:r>
        <w:t xml:space="preserve"> </w:t>
      </w:r>
      <w:r>
        <w:t xml:space="preserve">— even a strong, or very firm, difficult-of-approach place, together |</w:t>
      </w:r>
      <w:r>
        <w:t xml:space="preserve"> </w:t>
      </w:r>
      <w:r>
        <w:rPr>
          <w:bCs/>
          <w:b/>
        </w:rPr>
        <w:t xml:space="preserve">आरुजत्नुभिः (ārujatnubhiḥ)</w:t>
      </w:r>
      <w:r>
        <w:t xml:space="preserve"> </w:t>
      </w:r>
      <w:r>
        <w:t xml:space="preserve">— those with the capacity to break |</w:t>
      </w:r>
      <w:r>
        <w:t xml:space="preserve"> </w:t>
      </w:r>
      <w:r>
        <w:rPr>
          <w:bCs/>
          <w:b/>
        </w:rPr>
        <w:t xml:space="preserve">वह्निभिः (vahnibhiḥ)</w:t>
      </w:r>
      <w:r>
        <w:t xml:space="preserve"> </w:t>
      </w:r>
      <w:r>
        <w:t xml:space="preserve">— the Maruts, who have the capacity to carry (carry off) (with the help of the Marut-deities) |</w:t>
      </w:r>
      <w:r>
        <w:t xml:space="preserve"> </w:t>
      </w:r>
      <w:r>
        <w:rPr>
          <w:bCs/>
          <w:b/>
        </w:rPr>
        <w:t xml:space="preserve">गुहा चित् (guhā cit)</w:t>
      </w:r>
      <w:r>
        <w:t xml:space="preserve"> </w:t>
      </w:r>
      <w:r>
        <w:t xml:space="preserve">— (stolen by a Paṇi, and) hidden in a cave |</w:t>
      </w:r>
      <w:r>
        <w:t xml:space="preserve"> </w:t>
      </w:r>
      <w:r>
        <w:rPr>
          <w:bCs/>
          <w:b/>
        </w:rPr>
        <w:t xml:space="preserve">उस्रियाः (usriyāḥ)</w:t>
      </w:r>
      <w:r>
        <w:t xml:space="preserve"> </w:t>
      </w:r>
      <w:r>
        <w:t xml:space="preserve">— cows |</w:t>
      </w:r>
      <w:r>
        <w:t xml:space="preserve"> </w:t>
      </w:r>
      <w:r>
        <w:rPr>
          <w:bCs/>
          <w:b/>
        </w:rPr>
        <w:t xml:space="preserve">अनु अविन्दः (anu avindaḥ)</w:t>
      </w:r>
      <w:r>
        <w:t xml:space="preserve"> </w:t>
      </w:r>
      <w:r>
        <w:t xml:space="preserve">— you have found, you have brought back.</w:t>
      </w:r>
    </w:p>
    <w:bookmarkEnd w:id="266"/>
    <w:bookmarkStart w:id="267" w:name="Xbcbd09cb36d9fdbdb873d5b6b728ecd2fa64083"/>
    <w:p>
      <w:pPr>
        <w:pStyle w:val="Heading3"/>
      </w:pPr>
      <w:r>
        <w:t xml:space="preserve">Page 228 — Rik 6.5: Bhāvārtha; English rendering; Special topics (opening) — the legend of Saramā and the Paṇis</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6.</w:t>
      </w:r>
      <w:r>
        <w:rPr>
          <w:iCs/>
          <w:i/>
        </w:rPr>
        <w:t xml:space="preserve">”</w:t>
      </w:r>
      <w:r>
        <w:rPr>
          <w:iCs/>
          <w:i/>
        </w:rPr>
        <w:t xml:space="preserve"> </w:t>
      </w:r>
      <w:r>
        <w:rPr>
          <w:iCs/>
          <w:i/>
        </w:rPr>
        <w:t xml:space="preserve">Kannada prose translated; English as printed; references re-read from the better scan.)</w:t>
      </w:r>
    </w:p>
    <w:p>
      <w:pPr>
        <w:pStyle w:val="BodyText"/>
      </w:pPr>
      <w:r>
        <w:rPr>
          <w:bCs/>
          <w:b/>
        </w:rPr>
        <w:t xml:space="preserve">॥ Bhāvārthaḥ ॥</w:t>
      </w:r>
      <w:r>
        <w:t xml:space="preserve"> </w:t>
      </w:r>
      <w:r>
        <w:rPr>
          <w:iCs/>
          <w:i/>
        </w:rPr>
        <w:t xml:space="preserve">(Kannada, translated)</w:t>
      </w:r>
    </w:p>
    <w:p>
      <w:pPr>
        <w:pStyle w:val="BodyText"/>
      </w:pPr>
      <w:r>
        <w:t xml:space="preserve">The Marut-deities are of very great capacity. They are able to break and destroy places of difficult approach — mountains and the like, however strong; and they have the capacity to carry everything. O Indra! With the help of such Marut-deities you found and brought back the cows that were hidden in a cave (after being carried off by demons called Paṇi).</w:t>
      </w:r>
    </w:p>
    <w:p>
      <w:pPr>
        <w:pStyle w:val="BodyText"/>
      </w:pPr>
      <w:r>
        <w:rPr>
          <w:bCs/>
          <w:b/>
        </w:rPr>
        <w:t xml:space="preserve">English Translation</w:t>
      </w:r>
      <w:r>
        <w:t xml:space="preserve"> </w:t>
      </w:r>
      <w:r>
        <w:rPr>
          <w:iCs/>
          <w:i/>
        </w:rPr>
        <w:t xml:space="preserve">(printed in English in the source itself):</w:t>
      </w:r>
    </w:p>
    <w:p>
      <w:pPr>
        <w:pStyle w:val="BodyText"/>
      </w:pPr>
      <w:r>
        <w:t xml:space="preserve">“</w:t>
      </w:r>
      <w:r>
        <w:t xml:space="preserve">Associated with the conveying Maruts, the traversers of places difficult of access, O Indra, you have found out the cows hidden in the cave.</w:t>
      </w:r>
      <w:r>
        <w:t xml:space="preserve">”</w:t>
      </w:r>
    </w:p>
    <w:p>
      <w:pPr>
        <w:pStyle w:val="BodyText"/>
      </w:pPr>
      <w:r>
        <w:rPr>
          <w:bCs/>
          <w:b/>
        </w:rPr>
        <w:t xml:space="preserve">॥ Viśeṣa-viṣayagaḷu (Special Topics) ॥</w:t>
      </w:r>
    </w:p>
    <w:p>
      <w:pPr>
        <w:pStyle w:val="BodyText"/>
      </w:pPr>
      <w:r>
        <w:t xml:space="preserve">The Bhāṣyakāra cites here a legend (upākhyāna). The demons called Paṇi carried off cows that were in the world of the gods, and hid them in the cave of a mountain. To find them, Indra sent a divine bitch (</w:t>
      </w:r>
      <w:r>
        <w:t xml:space="preserve">“</w:t>
      </w:r>
      <w:r>
        <w:t xml:space="preserve">deva-śunī</w:t>
      </w:r>
      <w:r>
        <w:t xml:space="preserve">”</w:t>
      </w:r>
      <w:r>
        <w:t xml:space="preserve">) called</w:t>
      </w:r>
      <w:r>
        <w:t xml:space="preserve"> </w:t>
      </w:r>
      <w:r>
        <w:rPr>
          <w:bCs/>
          <w:b/>
        </w:rPr>
        <w:t xml:space="preserve">Saramā</w:t>
      </w:r>
      <w:r>
        <w:t xml:space="preserve">. That bitch went to the Paṇis and, by good words and by friendship, helped to bring back the cows. With the help of the Maruts Indra, destroying the cave, brought back the cows that were there — so it is said in the legend. In the 108th sūkta of the tenth Maṇḍala of the Ṛgveda Saṃhitā there is a long conversation between the divine bitch Saramā and the demons called Paṇi. We shall describe this matter at length, further on, when we explain the subject of</w:t>
      </w:r>
      <w:r>
        <w:t xml:space="preserve"> </w:t>
      </w:r>
      <w:r>
        <w:t xml:space="preserve">“</w:t>
      </w:r>
      <w:r>
        <w:rPr>
          <w:iCs/>
          <w:i/>
        </w:rPr>
        <w:t xml:space="preserve">paṇineva gāvaḥ</w:t>
      </w:r>
      <w:r>
        <w:t xml:space="preserve">”</w:t>
      </w:r>
      <w:r>
        <w:t xml:space="preserve"> </w:t>
      </w:r>
      <w:r>
        <w:t xml:space="preserve">in the Ṛk Ṛ. Saṃ. 1-32-11.</w:t>
      </w:r>
    </w:p>
    <w:p>
      <w:pPr>
        <w:pStyle w:val="BodyText"/>
      </w:pPr>
      <w:r>
        <w:rPr>
          <w:bCs/>
          <w:b/>
        </w:rPr>
        <w:t xml:space="preserve">वीळु (vīḷu)</w:t>
      </w:r>
      <w:r>
        <w:t xml:space="preserve"> </w:t>
      </w:r>
      <w:r>
        <w:t xml:space="preserve">— Among the twenty-eight words that are signs of strength, beginning with</w:t>
      </w:r>
      <w:r>
        <w:t xml:space="preserve"> </w:t>
      </w:r>
      <w:r>
        <w:t xml:space="preserve">“</w:t>
      </w:r>
      <w:r>
        <w:t xml:space="preserve">ojaḥ,</w:t>
      </w:r>
      <w:r>
        <w:t xml:space="preserve">”</w:t>
      </w:r>
      <w:r>
        <w:t xml:space="preserve"> </w:t>
      </w:r>
      <w:r>
        <w:t xml:space="preserve">the words</w:t>
      </w:r>
      <w:r>
        <w:t xml:space="preserve"> </w:t>
      </w:r>
      <w:r>
        <w:t xml:space="preserve">“</w:t>
      </w:r>
      <w:r>
        <w:t xml:space="preserve">dakṣaḥ,</w:t>
      </w:r>
      <w:r>
        <w:t xml:space="preserve">”</w:t>
      </w:r>
      <w:r>
        <w:t xml:space="preserve"> </w:t>
      </w:r>
      <w:r>
        <w:t xml:space="preserve">“</w:t>
      </w:r>
      <w:r>
        <w:t xml:space="preserve">vīḷu</w:t>
      </w:r>
      <w:r>
        <w:t xml:space="preserve">”</w:t>
      </w:r>
      <w:r>
        <w:t xml:space="preserve"> </w:t>
      </w:r>
      <w:r>
        <w:t xml:space="preserve">and</w:t>
      </w:r>
      <w:r>
        <w:t xml:space="preserve"> </w:t>
      </w:r>
      <w:r>
        <w:t xml:space="preserve">“</w:t>
      </w:r>
      <w:r>
        <w:t xml:space="preserve">cyautnam</w:t>
      </w:r>
      <w:r>
        <w:t xml:space="preserve">”</w:t>
      </w:r>
      <w:r>
        <w:t xml:space="preserve"> </w:t>
      </w:r>
      <w:r>
        <w:t xml:space="preserve">are read (Ni. 3-9 [as printed]). The senses of this word: strong, firm, solid, fearless.</w:t>
      </w:r>
    </w:p>
    <w:p>
      <w:pPr>
        <w:pStyle w:val="BodyText"/>
      </w:pPr>
      <w:r>
        <w:rPr>
          <w:bCs/>
          <w:b/>
        </w:rPr>
        <w:t xml:space="preserve">चित् (cit)</w:t>
      </w:r>
      <w:r>
        <w:t xml:space="preserve"> </w:t>
      </w:r>
      <w:r>
        <w:t xml:space="preserve">—</w:t>
      </w:r>
      <w:r>
        <w:t xml:space="preserve"> </w:t>
      </w:r>
      <w:r>
        <w:t xml:space="preserve">“</w:t>
      </w:r>
      <w:r>
        <w:t xml:space="preserve">eva</w:t>
      </w:r>
      <w:r>
        <w:t xml:space="preserve">”</w:t>
      </w:r>
      <w:r>
        <w:t xml:space="preserve"> </w:t>
      </w:r>
      <w:r>
        <w:t xml:space="preserve">(emphasis).</w:t>
      </w:r>
      <w:r>
        <w:t xml:space="preserve"> </w:t>
      </w:r>
      <w:r>
        <w:rPr>
          <w:bCs/>
          <w:b/>
        </w:rPr>
        <w:t xml:space="preserve">आरुजत्नुभिः (ārujatnubhiḥ)</w:t>
      </w:r>
      <w:r>
        <w:t xml:space="preserve"> </w:t>
      </w:r>
      <w:r>
        <w:t xml:space="preserve">—</w:t>
      </w:r>
      <w:r>
        <w:t xml:space="preserve"> </w:t>
      </w:r>
      <w:r>
        <w:t xml:space="preserve">“</w:t>
      </w:r>
      <w:r>
        <w:t xml:space="preserve">bhañjadbhiḥ</w:t>
      </w:r>
      <w:r>
        <w:t xml:space="preserve">”</w:t>
      </w:r>
      <w:r>
        <w:t xml:space="preserve"> </w:t>
      </w:r>
      <w:r>
        <w:t xml:space="preserve">—</w:t>
      </w:r>
      <w:r>
        <w:t xml:space="preserve"> </w:t>
      </w:r>
      <w:r>
        <w:t xml:space="preserve">“</w:t>
      </w:r>
      <w:r>
        <w:t xml:space="preserve">those who have the capacity to break, to destroy.</w:t>
      </w:r>
      <w:r>
        <w:t xml:space="preserve">”</w:t>
      </w:r>
      <w:r>
        <w:t xml:space="preserve"> </w:t>
      </w:r>
      <w:r>
        <w:rPr>
          <w:bCs/>
          <w:b/>
        </w:rPr>
        <w:t xml:space="preserve">वह्निभिः (vahnibhiḥ)</w:t>
      </w:r>
      <w:r>
        <w:t xml:space="preserve"> </w:t>
      </w:r>
      <w:r>
        <w:t xml:space="preserve">—</w:t>
      </w:r>
      <w:r>
        <w:t xml:space="preserve"> </w:t>
      </w:r>
      <w:r>
        <w:t xml:space="preserve">“</w:t>
      </w:r>
      <w:r>
        <w:t xml:space="preserve">voḍhṛbhiḥ</w:t>
      </w:r>
      <w:r>
        <w:t xml:space="preserve">”</w:t>
      </w:r>
      <w:r>
        <w:t xml:space="preserve"> </w:t>
      </w:r>
      <w:r>
        <w:t xml:space="preserve">— those who carry, those who bear.</w:t>
      </w:r>
      <w:r>
        <w:t xml:space="preserve"> </w:t>
      </w:r>
      <w:r>
        <w:rPr>
          <w:bCs/>
          <w:b/>
        </w:rPr>
        <w:t xml:space="preserve">गुहा (guhā)</w:t>
      </w:r>
      <w:r>
        <w:t xml:space="preserve"> </w:t>
      </w:r>
      <w:r>
        <w:t xml:space="preserve">— in a cave, in a place that no one knows, in a solitary place, in a hidden spot; this word is generally used in the seventh case in the sense of</w:t>
      </w:r>
      <w:r>
        <w:t xml:space="preserve"> </w:t>
      </w:r>
      <w:r>
        <w:t xml:space="preserve">“</w:t>
      </w:r>
      <w:r>
        <w:t xml:space="preserve">in a cave</w:t>
      </w:r>
      <w:r>
        <w:t xml:space="preserve">”</w:t>
      </w:r>
      <w:r>
        <w:t xml:space="preserve">:</w:t>
      </w:r>
      <w:r>
        <w:t xml:space="preserve"> </w:t>
      </w:r>
      <w:r>
        <w:t xml:space="preserve">“</w:t>
      </w:r>
      <w:r>
        <w:rPr>
          <w:iCs/>
          <w:i/>
        </w:rPr>
        <w:t xml:space="preserve">guhā hitaṃ guhyaṃ gūḷhaṃ</w:t>
      </w:r>
      <w:r>
        <w:t xml:space="preserve">”</w:t>
      </w:r>
      <w:r>
        <w:t xml:space="preserve"> </w:t>
      </w:r>
      <w:r>
        <w:t xml:space="preserve">(गुहा हितं गुह्यं गूळ्हं —</w:t>
      </w:r>
      <w:r>
        <w:t xml:space="preserve"> </w:t>
      </w:r>
      <w:r>
        <w:t xml:space="preserve">“</w:t>
      </w:r>
      <w:r>
        <w:t xml:space="preserve">placed in a cave, secret, hidden,</w:t>
      </w:r>
      <w:r>
        <w:t xml:space="preserve">”</w:t>
      </w:r>
      <w:r>
        <w:t xml:space="preserve"> </w:t>
      </w:r>
      <w:r>
        <w:t xml:space="preserve">ṛ. saṃ. 2-11-5) and so on.</w:t>
      </w:r>
      <w:r>
        <w:t xml:space="preserve"> </w:t>
      </w:r>
      <w:r>
        <w:rPr>
          <w:bCs/>
          <w:b/>
        </w:rPr>
        <w:t xml:space="preserve">उस्रियाः (usriyāḥ)</w:t>
      </w:r>
      <w:r>
        <w:t xml:space="preserve"> </w:t>
      </w:r>
      <w:r>
        <w:t xml:space="preserve">— among the nine words that signify cows beginning with</w:t>
      </w:r>
      <w:r>
        <w:t xml:space="preserve"> </w:t>
      </w:r>
      <w:r>
        <w:t xml:space="preserve">“</w:t>
      </w:r>
      <w:r>
        <w:t xml:space="preserve">aghnyā,</w:t>
      </w:r>
      <w:r>
        <w:t xml:space="preserve">”</w:t>
      </w:r>
      <w:r>
        <w:t xml:space="preserve"> </w:t>
      </w:r>
      <w:r>
        <w:t xml:space="preserve">the word</w:t>
      </w:r>
      <w:r>
        <w:t xml:space="preserve"> </w:t>
      </w:r>
      <w:r>
        <w:t xml:space="preserve">“</w:t>
      </w:r>
      <w:r>
        <w:t xml:space="preserve">usriyāḥ</w:t>
      </w:r>
      <w:r>
        <w:t xml:space="preserve">”</w:t>
      </w:r>
      <w:r>
        <w:t xml:space="preserve"> </w:t>
      </w:r>
      <w:r>
        <w:t xml:space="preserve">is read (Ni. 3-9 [as printed]).</w:t>
      </w:r>
    </w:p>
    <w:bookmarkEnd w:id="267"/>
    <w:bookmarkStart w:id="268" w:name="X8bcd6bfbd105042ebeea1ccc8620f95f7993cdf"/>
    <w:p>
      <w:pPr>
        <w:pStyle w:val="Heading3"/>
      </w:pPr>
      <w:r>
        <w:t xml:space="preserve">Page 229 — Vyākaraṇa-prakriyā for Rik 6.5 (Kannada) — characterized</w:t>
      </w:r>
    </w:p>
    <w:p>
      <w:pPr>
        <w:pStyle w:val="FirstParagraph"/>
      </w:pPr>
      <w:r>
        <w:rPr>
          <w:iCs/>
          <w:i/>
        </w:rPr>
        <w:t xml:space="preserve">(Page header:</w:t>
      </w:r>
      <w:r>
        <w:rPr>
          <w:iCs/>
          <w:i/>
        </w:rPr>
        <w:t xml:space="preserve"> </w:t>
      </w:r>
      <w:r>
        <w:rPr>
          <w:iCs/>
          <w:i/>
        </w:rPr>
        <w:t xml:space="preserve">“</w:t>
      </w:r>
      <w:r>
        <w:rPr>
          <w:iCs/>
          <w:i/>
        </w:rPr>
        <w:t xml:space="preserve">Aṣṭaka 1, Adhyāya 1, Varga 11 · Ṛgveda-saṃhitā.</w:t>
      </w:r>
      <w:r>
        <w:rPr>
          <w:iCs/>
          <w:i/>
        </w:rPr>
        <w:t xml:space="preserve">”</w:t>
      </w:r>
      <w:r>
        <w:rPr>
          <w:iCs/>
          <w:i/>
        </w:rPr>
        <w:t xml:space="preserve"> </w:t>
      </w:r>
      <w:r>
        <w:rPr>
          <w:iCs/>
          <w:i/>
        </w:rPr>
        <w:t xml:space="preserve">Pure grammar in Kannada prose, restating the Sanskrit of p. 227;</w:t>
      </w:r>
      <w:r>
        <w:rPr>
          <w:iCs/>
          <w:i/>
        </w:rPr>
        <w:t xml:space="preserve"> </w:t>
      </w:r>
      <w:r>
        <w:rPr>
          <w:bCs/>
          <w:b/>
          <w:iCs/>
          <w:i/>
        </w:rPr>
        <w:t xml:space="preserve">characterized in outline</w:t>
      </w:r>
      <w:r>
        <w:rPr>
          <w:iCs/>
          <w:i/>
        </w:rPr>
        <w:t xml:space="preserve">; sūtras kept; re-read from the better scan.)</w:t>
      </w:r>
    </w:p>
    <w:p>
      <w:pPr>
        <w:pStyle w:val="BodyText"/>
      </w:pPr>
      <w:r>
        <w:rPr>
          <w:bCs/>
          <w:b/>
        </w:rPr>
        <w:t xml:space="preserve">“</w:t>
      </w:r>
      <w:r>
        <w:rPr>
          <w:bCs/>
          <w:b/>
        </w:rPr>
        <w:t xml:space="preserve">Vīḷu</w:t>
      </w:r>
      <w:r>
        <w:rPr>
          <w:bCs/>
          <w:b/>
        </w:rPr>
        <w:t xml:space="preserve">”</w:t>
      </w:r>
      <w:r>
        <w:t xml:space="preserve"> </w:t>
      </w:r>
      <w:r>
        <w:t xml:space="preserve">— by the bare-stem accent, end-acute.</w:t>
      </w:r>
      <w:r>
        <w:t xml:space="preserve"> </w:t>
      </w:r>
      <w:r>
        <w:rPr>
          <w:bCs/>
          <w:b/>
        </w:rPr>
        <w:t xml:space="preserve">“</w:t>
      </w:r>
      <w:r>
        <w:rPr>
          <w:bCs/>
          <w:b/>
        </w:rPr>
        <w:t xml:space="preserve">Cit</w:t>
      </w:r>
      <w:r>
        <w:rPr>
          <w:bCs/>
          <w:b/>
        </w:rPr>
        <w:t xml:space="preserve">”</w:t>
      </w:r>
      <w:r>
        <w:t xml:space="preserve"> </w:t>
      </w:r>
      <w:r>
        <w:t xml:space="preserve">— as it belongs to the</w:t>
      </w:r>
      <w:r>
        <w:t xml:space="preserve"> </w:t>
      </w:r>
      <w:r>
        <w:t xml:space="preserve">“</w:t>
      </w:r>
      <w:r>
        <w:t xml:space="preserve">cādi</w:t>
      </w:r>
      <w:r>
        <w:t xml:space="preserve">”</w:t>
      </w:r>
      <w:r>
        <w:t xml:space="preserve"> </w:t>
      </w:r>
      <w:r>
        <w:t xml:space="preserve">group,</w:t>
      </w:r>
      <w:r>
        <w:t xml:space="preserve"> </w:t>
      </w:r>
      <w:r>
        <w:rPr>
          <w:bCs/>
          <w:b/>
        </w:rPr>
        <w:t xml:space="preserve">चादयोऽनुदात्ताः</w:t>
      </w:r>
      <w:r>
        <w:t xml:space="preserve"> </w:t>
      </w:r>
      <w:r>
        <w:t xml:space="preserve">(फि. सू. ८४) it is unaccented.</w:t>
      </w:r>
      <w:r>
        <w:t xml:space="preserve"> </w:t>
      </w:r>
      <w:r>
        <w:rPr>
          <w:bCs/>
          <w:b/>
        </w:rPr>
        <w:t xml:space="preserve">“</w:t>
      </w:r>
      <w:r>
        <w:rPr>
          <w:bCs/>
          <w:b/>
        </w:rPr>
        <w:t xml:space="preserve">Ārujatnubhiḥ</w:t>
      </w:r>
      <w:r>
        <w:rPr>
          <w:bCs/>
          <w:b/>
        </w:rPr>
        <w:t xml:space="preserve">”</w:t>
      </w:r>
      <w:r>
        <w:t xml:space="preserve"> </w:t>
      </w:r>
      <w:r>
        <w:t xml:space="preserve">—</w:t>
      </w:r>
      <w:r>
        <w:t xml:space="preserve"> </w:t>
      </w:r>
      <w:r>
        <w:t xml:space="preserve">“</w:t>
      </w:r>
      <w:r>
        <w:t xml:space="preserve">ā</w:t>
      </w:r>
      <w:r>
        <w:t xml:space="preserve">”</w:t>
      </w:r>
      <w:r>
        <w:t xml:space="preserve"> </w:t>
      </w:r>
      <w:r>
        <w:t xml:space="preserve">is a prefix; after the root</w:t>
      </w:r>
      <w:r>
        <w:t xml:space="preserve"> </w:t>
      </w:r>
      <w:r>
        <w:t xml:space="preserve">“</w:t>
      </w:r>
      <w:r>
        <w:t xml:space="preserve">ruja bhaṅge</w:t>
      </w:r>
      <w:r>
        <w:t xml:space="preserve">”</w:t>
      </w:r>
      <w:r>
        <w:t xml:space="preserve"> </w:t>
      </w:r>
      <w:r>
        <w:t xml:space="preserve">(to break) the Uṇādi affix</w:t>
      </w:r>
      <w:r>
        <w:t xml:space="preserve"> </w:t>
      </w:r>
      <w:r>
        <w:t xml:space="preserve">“</w:t>
      </w:r>
      <w:r>
        <w:t xml:space="preserve">tnuc</w:t>
      </w:r>
      <w:r>
        <w:t xml:space="preserve">”</w:t>
      </w:r>
      <w:r>
        <w:t xml:space="preserve"> </w:t>
      </w:r>
      <w:r>
        <w:t xml:space="preserve">(no sūtra printed);</w:t>
      </w:r>
      <w:r>
        <w:t xml:space="preserve"> </w:t>
      </w:r>
      <w:r>
        <w:t xml:space="preserve">“</w:t>
      </w:r>
      <w:r>
        <w:t xml:space="preserve">kit,</w:t>
      </w:r>
      <w:r>
        <w:t xml:space="preserve">”</w:t>
      </w:r>
      <w:r>
        <w:t xml:space="preserve"> </w:t>
      </w:r>
      <w:r>
        <w:t xml:space="preserve">so no guṇa for the light penultimate;</w:t>
      </w:r>
      <w:r>
        <w:t xml:space="preserve"> </w:t>
      </w:r>
      <w:r>
        <w:t xml:space="preserve">“</w:t>
      </w:r>
      <w:r>
        <w:t xml:space="preserve">c</w:t>
      </w:r>
      <w:r>
        <w:t xml:space="preserve">”</w:t>
      </w:r>
      <w:r>
        <w:t xml:space="preserve">-marked, so end-acute; the compound with</w:t>
      </w:r>
      <w:r>
        <w:t xml:space="preserve"> </w:t>
      </w:r>
      <w:r>
        <w:t xml:space="preserve">“</w:t>
      </w:r>
      <w:r>
        <w:t xml:space="preserve">ā</w:t>
      </w:r>
      <w:r>
        <w:t xml:space="preserve">”</w:t>
      </w:r>
      <w:r>
        <w:t xml:space="preserve"> </w:t>
      </w:r>
      <w:r>
        <w:t xml:space="preserve">takes the kṛt-final member’s accent by</w:t>
      </w:r>
      <w:r>
        <w:t xml:space="preserve"> </w:t>
      </w:r>
      <w:r>
        <w:rPr>
          <w:bCs/>
          <w:b/>
        </w:rPr>
        <w:t xml:space="preserve">गतिकारकोपपदात्कृत्</w:t>
      </w:r>
      <w:r>
        <w:t xml:space="preserve"> </w:t>
      </w:r>
      <w:r>
        <w:t xml:space="preserve">(पा. ६-२-१३९).</w:t>
      </w:r>
      <w:r>
        <w:t xml:space="preserve"> </w:t>
      </w:r>
      <w:r>
        <w:rPr>
          <w:bCs/>
          <w:b/>
        </w:rPr>
        <w:t xml:space="preserve">“</w:t>
      </w:r>
      <w:r>
        <w:rPr>
          <w:bCs/>
          <w:b/>
        </w:rPr>
        <w:t xml:space="preserve">Guhā</w:t>
      </w:r>
      <w:r>
        <w:rPr>
          <w:bCs/>
          <w:b/>
        </w:rPr>
        <w:t xml:space="preserve">”</w:t>
      </w:r>
      <w:r>
        <w:t xml:space="preserve"> </w:t>
      </w:r>
      <w:r>
        <w:t xml:space="preserve">— for the seventh-case singular the substitute</w:t>
      </w:r>
      <w:r>
        <w:t xml:space="preserve"> </w:t>
      </w:r>
      <w:r>
        <w:t xml:space="preserve">“</w:t>
      </w:r>
      <w:r>
        <w:t xml:space="preserve">ḍā</w:t>
      </w:r>
      <w:r>
        <w:t xml:space="preserve">”</w:t>
      </w:r>
      <w:r>
        <w:t xml:space="preserve"> </w:t>
      </w:r>
      <w:r>
        <w:t xml:space="preserve">(</w:t>
      </w:r>
      <w:r>
        <w:rPr>
          <w:bCs/>
          <w:b/>
        </w:rPr>
        <w:t xml:space="preserve">सुपां सुलुक्…</w:t>
      </w:r>
      <w:r>
        <w:t xml:space="preserve">, पा. ७-१-३९);</w:t>
      </w:r>
      <w:r>
        <w:t xml:space="preserve"> </w:t>
      </w:r>
      <w:r>
        <w:rPr>
          <w:bCs/>
          <w:b/>
        </w:rPr>
        <w:t xml:space="preserve">ग्रामादीनां च</w:t>
      </w:r>
      <w:r>
        <w:t xml:space="preserve"> </w:t>
      </w:r>
      <w:r>
        <w:t xml:space="preserve">(फि. सू. ३८ [as printed];</w:t>
      </w:r>
      <w:r>
        <w:t xml:space="preserve"> </w:t>
      </w:r>
      <w:r>
        <w:t xml:space="preserve">“</w:t>
      </w:r>
      <w:r>
        <w:t xml:space="preserve">2-15</w:t>
      </w:r>
      <w:r>
        <w:t xml:space="preserve">”</w:t>
      </w:r>
      <w:r>
        <w:t xml:space="preserve"> </w:t>
      </w:r>
      <w:r>
        <w:t xml:space="preserve">on p. 227) — the</w:t>
      </w:r>
      <w:r>
        <w:t xml:space="preserve"> </w:t>
      </w:r>
      <w:r>
        <w:t xml:space="preserve">“</w:t>
      </w:r>
      <w:r>
        <w:t xml:space="preserve">grāma</w:t>
      </w:r>
      <w:r>
        <w:t xml:space="preserve">”</w:t>
      </w:r>
      <w:r>
        <w:t xml:space="preserve">-class words are first-syllable acute, so</w:t>
      </w:r>
      <w:r>
        <w:t xml:space="preserve"> </w:t>
      </w:r>
      <w:r>
        <w:t xml:space="preserve">“</w:t>
      </w:r>
      <w:r>
        <w:t xml:space="preserve">guhā</w:t>
      </w:r>
      <w:r>
        <w:t xml:space="preserve">”</w:t>
      </w:r>
      <w:r>
        <w:t xml:space="preserve"> </w:t>
      </w:r>
      <w:r>
        <w:t xml:space="preserve">is first-syllable acute.</w:t>
      </w:r>
      <w:r>
        <w:t xml:space="preserve"> </w:t>
      </w:r>
      <w:r>
        <w:rPr>
          <w:bCs/>
          <w:b/>
        </w:rPr>
        <w:t xml:space="preserve">“</w:t>
      </w:r>
      <w:r>
        <w:rPr>
          <w:bCs/>
          <w:b/>
        </w:rPr>
        <w:t xml:space="preserve">Vahnibhiḥ</w:t>
      </w:r>
      <w:r>
        <w:rPr>
          <w:bCs/>
          <w:b/>
        </w:rPr>
        <w:t xml:space="preserve">”</w:t>
      </w:r>
      <w:r>
        <w:t xml:space="preserve"> </w:t>
      </w:r>
      <w:r>
        <w:t xml:space="preserve">—</w:t>
      </w:r>
      <w:r>
        <w:t xml:space="preserve"> </w:t>
      </w:r>
      <w:r>
        <w:rPr>
          <w:bCs/>
          <w:b/>
        </w:rPr>
        <w:t xml:space="preserve">वहिश्रिश्रुयुद्रुग्लाहात्वरिभ्यो निः</w:t>
      </w:r>
      <w:r>
        <w:t xml:space="preserve"> </w:t>
      </w:r>
      <w:r>
        <w:t xml:space="preserve">(उ. सू. ४-५१) after these roots the affix</w:t>
      </w:r>
      <w:r>
        <w:t xml:space="preserve"> </w:t>
      </w:r>
      <w:r>
        <w:t xml:space="preserve">“</w:t>
      </w:r>
      <w:r>
        <w:t xml:space="preserve">ni,</w:t>
      </w:r>
      <w:r>
        <w:t xml:space="preserve">”</w:t>
      </w:r>
      <w:r>
        <w:t xml:space="preserve"> </w:t>
      </w:r>
      <w:r>
        <w:t xml:space="preserve">which is</w:t>
      </w:r>
      <w:r>
        <w:t xml:space="preserve"> </w:t>
      </w:r>
      <w:r>
        <w:t xml:space="preserve">“</w:t>
      </w:r>
      <w:r>
        <w:t xml:space="preserve">nit</w:t>
      </w:r>
      <w:r>
        <w:t xml:space="preserve">”</w:t>
      </w:r>
      <w:r>
        <w:t xml:space="preserve"> </w:t>
      </w:r>
      <w:r>
        <w:t xml:space="preserve">(</w:t>
      </w:r>
      <w:r>
        <w:t xml:space="preserve">“</w:t>
      </w:r>
      <w:r>
        <w:t xml:space="preserve">n</w:t>
      </w:r>
      <w:r>
        <w:t xml:space="preserve">”</w:t>
      </w:r>
      <w:r>
        <w:t xml:space="preserve">-marked), so from</w:t>
      </w:r>
      <w:r>
        <w:t xml:space="preserve"> </w:t>
      </w:r>
      <w:r>
        <w:t xml:space="preserve">“</w:t>
      </w:r>
      <w:r>
        <w:t xml:space="preserve">vah</w:t>
      </w:r>
      <w:r>
        <w:t xml:space="preserve">”</w:t>
      </w:r>
      <w:r>
        <w:t xml:space="preserve"> </w:t>
      </w:r>
      <w:r>
        <w:t xml:space="preserve">“</w:t>
      </w:r>
      <w:r>
        <w:t xml:space="preserve">vahni</w:t>
      </w:r>
      <w:r>
        <w:t xml:space="preserve">”</w:t>
      </w:r>
      <w:r>
        <w:t xml:space="preserve"> </w:t>
      </w:r>
      <w:r>
        <w:t xml:space="preserve">is first-syllable acute (</w:t>
      </w:r>
      <w:r>
        <w:rPr>
          <w:bCs/>
          <w:b/>
        </w:rPr>
        <w:t xml:space="preserve">ञित्यादिर्नित्यम्</w:t>
      </w:r>
      <w:r>
        <w:t xml:space="preserve">).</w:t>
      </w:r>
      <w:r>
        <w:t xml:space="preserve"> </w:t>
      </w:r>
      <w:r>
        <w:rPr>
          <w:bCs/>
          <w:b/>
        </w:rPr>
        <w:t xml:space="preserve">“</w:t>
      </w:r>
      <w:r>
        <w:rPr>
          <w:bCs/>
          <w:b/>
        </w:rPr>
        <w:t xml:space="preserve">Avindaḥ</w:t>
      </w:r>
      <w:r>
        <w:rPr>
          <w:bCs/>
          <w:b/>
        </w:rPr>
        <w:t xml:space="preserve">”</w:t>
      </w:r>
      <w:r>
        <w:t xml:space="preserve"> </w:t>
      </w:r>
      <w:r>
        <w:t xml:space="preserve">—</w:t>
      </w:r>
      <w:r>
        <w:t xml:space="preserve"> </w:t>
      </w:r>
      <w:r>
        <w:t xml:space="preserve">“</w:t>
      </w:r>
      <w:r>
        <w:t xml:space="preserve">vidḷ lābhe</w:t>
      </w:r>
      <w:r>
        <w:t xml:space="preserve">”</w:t>
      </w:r>
      <w:r>
        <w:t xml:space="preserve"> </w:t>
      </w:r>
      <w:r>
        <w:t xml:space="preserve">(to obtain), a tudādi root; the second-person singular</w:t>
      </w:r>
      <w:r>
        <w:t xml:space="preserve"> </w:t>
      </w:r>
      <w:r>
        <w:t xml:space="preserve">“</w:t>
      </w:r>
      <w:r>
        <w:t xml:space="preserve">sip</w:t>
      </w:r>
      <w:r>
        <w:t xml:space="preserve">”</w:t>
      </w:r>
      <w:r>
        <w:t xml:space="preserve"> </w:t>
      </w:r>
      <w:r>
        <w:t xml:space="preserve">in</w:t>
      </w:r>
      <w:r>
        <w:t xml:space="preserve"> </w:t>
      </w:r>
      <w:r>
        <w:t xml:space="preserve">“</w:t>
      </w:r>
      <w:r>
        <w:t xml:space="preserve">laṅ</w:t>
      </w:r>
      <w:r>
        <w:t xml:space="preserve">”</w:t>
      </w:r>
      <w:r>
        <w:t xml:space="preserve">;</w:t>
      </w:r>
      <w:r>
        <w:t xml:space="preserve"> </w:t>
      </w:r>
      <w:r>
        <w:rPr>
          <w:bCs/>
          <w:b/>
        </w:rPr>
        <w:t xml:space="preserve">तुदादिभ्यः शः</w:t>
      </w:r>
      <w:r>
        <w:t xml:space="preserve"> </w:t>
      </w:r>
      <w:r>
        <w:t xml:space="preserve">(पा. ३-१-७७) the vikaraṇa</w:t>
      </w:r>
      <w:r>
        <w:t xml:space="preserve"> </w:t>
      </w:r>
      <w:r>
        <w:t xml:space="preserve">“</w:t>
      </w:r>
      <w:r>
        <w:t xml:space="preserve">śa</w:t>
      </w:r>
      <w:r>
        <w:t xml:space="preserve">”</w:t>
      </w:r>
      <w:r>
        <w:t xml:space="preserve">;</w:t>
      </w:r>
      <w:r>
        <w:t xml:space="preserve"> </w:t>
      </w:r>
      <w:r>
        <w:rPr>
          <w:bCs/>
          <w:b/>
        </w:rPr>
        <w:t xml:space="preserve">शे मुचादीनाम्</w:t>
      </w:r>
      <w:r>
        <w:t xml:space="preserve"> </w:t>
      </w:r>
      <w:r>
        <w:t xml:space="preserve">(पा. ७-१-५९) — the</w:t>
      </w:r>
      <w:r>
        <w:t xml:space="preserve"> </w:t>
      </w:r>
      <w:r>
        <w:t xml:space="preserve">“</w:t>
      </w:r>
      <w:r>
        <w:t xml:space="preserve">num</w:t>
      </w:r>
      <w:r>
        <w:t xml:space="preserve">”</w:t>
      </w:r>
      <w:r>
        <w:t xml:space="preserve"> </w:t>
      </w:r>
      <w:r>
        <w:t xml:space="preserve">augment comes to the</w:t>
      </w:r>
      <w:r>
        <w:t xml:space="preserve"> </w:t>
      </w:r>
      <w:r>
        <w:t xml:space="preserve">“</w:t>
      </w:r>
      <w:r>
        <w:t xml:space="preserve">muc</w:t>
      </w:r>
      <w:r>
        <w:t xml:space="preserve">”</w:t>
      </w:r>
      <w:r>
        <w:t xml:space="preserve">-class roots when</w:t>
      </w:r>
      <w:r>
        <w:t xml:space="preserve"> </w:t>
      </w:r>
      <w:r>
        <w:t xml:space="preserve">“</w:t>
      </w:r>
      <w:r>
        <w:t xml:space="preserve">śa</w:t>
      </w:r>
      <w:r>
        <w:t xml:space="preserve">”</w:t>
      </w:r>
      <w:r>
        <w:t xml:space="preserve"> </w:t>
      </w:r>
      <w:r>
        <w:t xml:space="preserve">follows:</w:t>
      </w:r>
      <w:r>
        <w:t xml:space="preserve"> </w:t>
      </w:r>
      <w:r>
        <w:t xml:space="preserve">“</w:t>
      </w:r>
      <w:r>
        <w:t xml:space="preserve">vind + a + s</w:t>
      </w:r>
      <w:r>
        <w:t xml:space="preserve">”</w:t>
      </w:r>
      <w:r>
        <w:t xml:space="preserve">;</w:t>
      </w:r>
      <w:r>
        <w:t xml:space="preserve"> </w:t>
      </w:r>
      <w:r>
        <w:rPr>
          <w:bCs/>
          <w:b/>
        </w:rPr>
        <w:t xml:space="preserve">लुङ्लङ्लृङ्क्ष्वडुदात्तः</w:t>
      </w:r>
      <w:r>
        <w:t xml:space="preserve"> </w:t>
      </w:r>
      <w:r>
        <w:t xml:space="preserve">(पा. ६-४-७१) the augment</w:t>
      </w:r>
      <w:r>
        <w:t xml:space="preserve"> </w:t>
      </w:r>
      <w:r>
        <w:t xml:space="preserve">“</w:t>
      </w:r>
      <w:r>
        <w:t xml:space="preserve">aṭ</w:t>
      </w:r>
      <w:r>
        <w:t xml:space="preserve">”</w:t>
      </w:r>
      <w:r>
        <w:t xml:space="preserve">;</w:t>
      </w:r>
      <w:r>
        <w:t xml:space="preserve"> </w:t>
      </w:r>
      <w:r>
        <w:rPr>
          <w:bCs/>
          <w:b/>
        </w:rPr>
        <w:t xml:space="preserve">ससजुषो रुः</w:t>
      </w:r>
      <w:r>
        <w:t xml:space="preserve"> </w:t>
      </w:r>
      <w:r>
        <w:t xml:space="preserve">and visarga →</w:t>
      </w:r>
      <w:r>
        <w:t xml:space="preserve"> </w:t>
      </w:r>
      <w:r>
        <w:t xml:space="preserve">“</w:t>
      </w:r>
      <w:r>
        <w:t xml:space="preserve">avindaḥ.</w:t>
      </w:r>
      <w:r>
        <w:t xml:space="preserve">”</w:t>
      </w:r>
      <w:r>
        <w:t xml:space="preserve"> </w:t>
      </w:r>
      <w:r>
        <w:rPr>
          <w:bCs/>
          <w:b/>
        </w:rPr>
        <w:t xml:space="preserve">“</w:t>
      </w:r>
      <w:r>
        <w:rPr>
          <w:bCs/>
          <w:b/>
        </w:rPr>
        <w:t xml:space="preserve">Usriyāḥ</w:t>
      </w:r>
      <w:r>
        <w:rPr>
          <w:bCs/>
          <w:b/>
        </w:rPr>
        <w:t xml:space="preserve">”</w:t>
      </w:r>
      <w:r>
        <w:t xml:space="preserve"> </w:t>
      </w:r>
      <w:r>
        <w:t xml:space="preserve">—</w:t>
      </w:r>
      <w:r>
        <w:t xml:space="preserve"> </w:t>
      </w:r>
      <w:r>
        <w:t xml:space="preserve">“</w:t>
      </w:r>
      <w:r>
        <w:t xml:space="preserve">vasanti iti usriyāḥ</w:t>
      </w:r>
      <w:r>
        <w:t xml:space="preserve">”</w:t>
      </w:r>
      <w:r>
        <w:t xml:space="preserve">: after the root</w:t>
      </w:r>
      <w:r>
        <w:t xml:space="preserve"> </w:t>
      </w:r>
      <w:r>
        <w:t xml:space="preserve">“</w:t>
      </w:r>
      <w:r>
        <w:t xml:space="preserve">vas</w:t>
      </w:r>
      <w:r>
        <w:t xml:space="preserve">”</w:t>
      </w:r>
      <w:r>
        <w:t xml:space="preserve"> </w:t>
      </w:r>
      <w:r>
        <w:t xml:space="preserve">the affix</w:t>
      </w:r>
      <w:r>
        <w:t xml:space="preserve"> </w:t>
      </w:r>
      <w:r>
        <w:t xml:space="preserve">“</w:t>
      </w:r>
      <w:r>
        <w:t xml:space="preserve">riyak</w:t>
      </w:r>
      <w:r>
        <w:t xml:space="preserve">”</w:t>
      </w:r>
      <w:r>
        <w:t xml:space="preserve"> </w:t>
      </w:r>
      <w:r>
        <w:t xml:space="preserve">in the sense of the agent, and the substitution of</w:t>
      </w:r>
      <w:r>
        <w:t xml:space="preserve"> </w:t>
      </w:r>
      <w:r>
        <w:t xml:space="preserve">“</w:t>
      </w:r>
      <w:r>
        <w:t xml:space="preserve">s</w:t>
      </w:r>
      <w:r>
        <w:t xml:space="preserve">”</w:t>
      </w:r>
      <w:r>
        <w:t xml:space="preserve"> </w:t>
      </w:r>
      <w:r>
        <w:t xml:space="preserve">for</w:t>
      </w:r>
      <w:r>
        <w:t xml:space="preserve"> </w:t>
      </w:r>
      <w:r>
        <w:t xml:space="preserve">“</w:t>
      </w:r>
      <w:r>
        <w:t xml:space="preserve">ṣ</w:t>
      </w:r>
      <w:r>
        <w:t xml:space="preserve">”</w:t>
      </w:r>
      <w:r>
        <w:t xml:space="preserve">? — the print says:</w:t>
      </w:r>
      <w:r>
        <w:t xml:space="preserve"> </w:t>
      </w:r>
      <w:r>
        <w:rPr>
          <w:bCs/>
          <w:b/>
        </w:rPr>
        <w:t xml:space="preserve">शासिवसिघसीनां च</w:t>
      </w:r>
      <w:r>
        <w:t xml:space="preserve"> </w:t>
      </w:r>
      <w:r>
        <w:t xml:space="preserve">(पा. ८-३-६०) gives</w:t>
      </w:r>
      <w:r>
        <w:t xml:space="preserve"> </w:t>
      </w:r>
      <w:r>
        <w:t xml:space="preserve">“</w:t>
      </w:r>
      <w:r>
        <w:t xml:space="preserve">ṣ</w:t>
      </w:r>
      <w:r>
        <w:t xml:space="preserve">”</w:t>
      </w:r>
      <w:r>
        <w:t xml:space="preserve"> </w:t>
      </w:r>
      <w:r>
        <w:t xml:space="preserve">for the</w:t>
      </w:r>
      <w:r>
        <w:t xml:space="preserve"> </w:t>
      </w:r>
      <w:r>
        <w:t xml:space="preserve">“</w:t>
      </w:r>
      <w:r>
        <w:t xml:space="preserve">s</w:t>
      </w:r>
      <w:r>
        <w:t xml:space="preserve">”</w:t>
      </w:r>
      <w:r>
        <w:t xml:space="preserve"> </w:t>
      </w:r>
      <w:r>
        <w:t xml:space="preserve">of these roots after</w:t>
      </w:r>
      <w:r>
        <w:t xml:space="preserve"> </w:t>
      </w:r>
      <w:r>
        <w:t xml:space="preserve">“</w:t>
      </w:r>
      <w:r>
        <w:t xml:space="preserve">i/ku</w:t>
      </w:r>
      <w:r>
        <w:t xml:space="preserve">”</w:t>
      </w:r>
      <w:r>
        <w:t xml:space="preserve">; but that is not seen here, and so</w:t>
      </w:r>
      <w:r>
        <w:t xml:space="preserve"> </w:t>
      </w:r>
      <w:r>
        <w:t xml:space="preserve">“</w:t>
      </w:r>
      <w:r>
        <w:t xml:space="preserve">bahulaṃ</w:t>
      </w:r>
      <w:r>
        <w:t xml:space="preserve">”</w:t>
      </w:r>
      <w:r>
        <w:t xml:space="preserve"> </w:t>
      </w:r>
      <w:r>
        <w:t xml:space="preserve">in</w:t>
      </w:r>
      <w:r>
        <w:t xml:space="preserve"> </w:t>
      </w:r>
      <w:r>
        <w:rPr>
          <w:bCs/>
          <w:b/>
        </w:rPr>
        <w:t xml:space="preserve">उणादयो बहुलम्</w:t>
      </w:r>
      <w:r>
        <w:t xml:space="preserve"> </w:t>
      </w:r>
      <w:r>
        <w:t xml:space="preserve">(पा. ३-३-१) must be supplied; the print quotes</w:t>
      </w:r>
      <w:r>
        <w:t xml:space="preserve"> </w:t>
      </w:r>
      <w:r>
        <w:rPr>
          <w:bCs/>
          <w:b/>
        </w:rPr>
        <w:t xml:space="preserve">नाम च धातुजमाह निरुक्ते व्याकरणे शकटस्य च तोकम् । यन्न विशेषपदार्थसमुत्थं प्रत्ययतः प्रकृतेश्च तदूह्यम्</w:t>
      </w:r>
      <w:r>
        <w:t xml:space="preserve"> </w:t>
      </w:r>
      <w:r>
        <w:t xml:space="preserve">(</w:t>
      </w:r>
      <w:r>
        <w:rPr>
          <w:iCs/>
          <w:i/>
        </w:rPr>
        <w:t xml:space="preserve">nāma ca dhātujam āha nirukte vyākaraṇe śakaṭasya ca tokam | yan na viśeṣa-padārtha-samutthaṃ pratyayataḥ prakṛteś ca tad ūhyam</w:t>
      </w:r>
      <w:r>
        <w:t xml:space="preserve">, पा. ३-३-१-म. १) —</w:t>
      </w:r>
      <w:r>
        <w:t xml:space="preserve"> </w:t>
      </w:r>
      <w:r>
        <w:t xml:space="preserve">“</w:t>
      </w:r>
      <w:r>
        <w:t xml:space="preserve">the Nirukta, and in grammar the son of Śakaṭa (Śākaṭāyana), say that the noun is born of a root; what does not arise from a particular word-sense is to be inferred from the affix and from the root</w:t>
      </w:r>
      <w:r>
        <w:t xml:space="preserve">”</w:t>
      </w:r>
      <w:r>
        <w:t xml:space="preserve"> </w:t>
      </w:r>
      <w:r>
        <w:t xml:space="preserve">— explained in the Kannada: where the root is well known, a fitting affix is to be inferred, and where the affix is known, a fitting root — and the print concludes that</w:t>
      </w:r>
      <w:r>
        <w:t xml:space="preserve"> </w:t>
      </w:r>
      <w:r>
        <w:t xml:space="preserve">“</w:t>
      </w:r>
      <w:r>
        <w:t xml:space="preserve">riyak</w:t>
      </w:r>
      <w:r>
        <w:t xml:space="preserve">”</w:t>
      </w:r>
      <w:r>
        <w:t xml:space="preserve"> </w:t>
      </w:r>
      <w:r>
        <w:t xml:space="preserve">is the inferred affix; since it is</w:t>
      </w:r>
      <w:r>
        <w:t xml:space="preserve"> </w:t>
      </w:r>
      <w:r>
        <w:t xml:space="preserve">“</w:t>
      </w:r>
      <w:r>
        <w:t xml:space="preserve">k</w:t>
      </w:r>
      <w:r>
        <w:t xml:space="preserve">”</w:t>
      </w:r>
      <w:r>
        <w:t xml:space="preserve">-marked, the</w:t>
      </w:r>
      <w:r>
        <w:t xml:space="preserve"> </w:t>
      </w:r>
      <w:r>
        <w:t xml:space="preserve">“</w:t>
      </w:r>
      <w:r>
        <w:t xml:space="preserve">samprasāraṇa</w:t>
      </w:r>
      <w:r>
        <w:t xml:space="preserve">”</w:t>
      </w:r>
      <w:r>
        <w:t xml:space="preserve"> </w:t>
      </w:r>
      <w:r>
        <w:t xml:space="preserve">of</w:t>
      </w:r>
      <w:r>
        <w:t xml:space="preserve"> </w:t>
      </w:r>
      <w:r>
        <w:t xml:space="preserve">“</w:t>
      </w:r>
      <w:r>
        <w:t xml:space="preserve">vas</w:t>
      </w:r>
      <w:r>
        <w:t xml:space="preserve">”</w:t>
      </w:r>
      <w:r>
        <w:t xml:space="preserve"> </w:t>
      </w:r>
      <w:r>
        <w:t xml:space="preserve">(</w:t>
      </w:r>
      <w:r>
        <w:rPr>
          <w:bCs/>
          <w:b/>
        </w:rPr>
        <w:t xml:space="preserve">वचिस्वपियजादीनां किति</w:t>
      </w:r>
      <w:r>
        <w:t xml:space="preserve">, पा. ६-१-१५) gives</w:t>
      </w:r>
      <w:r>
        <w:t xml:space="preserve"> </w:t>
      </w:r>
      <w:r>
        <w:t xml:space="preserve">“</w:t>
      </w:r>
      <w:r>
        <w:t xml:space="preserve">us</w:t>
      </w:r>
      <w:r>
        <w:t xml:space="preserve">”</w:t>
      </w:r>
      <w:r>
        <w:t xml:space="preserve"> </w:t>
      </w:r>
      <w:r>
        <w:t xml:space="preserve">(the</w:t>
      </w:r>
      <w:r>
        <w:t xml:space="preserve"> </w:t>
      </w:r>
      <w:r>
        <w:t xml:space="preserve">“</w:t>
      </w:r>
      <w:r>
        <w:t xml:space="preserve">va</w:t>
      </w:r>
      <w:r>
        <w:t xml:space="preserve">”</w:t>
      </w:r>
      <w:r>
        <w:t xml:space="preserve"> </w:t>
      </w:r>
      <w:r>
        <w:t xml:space="preserve">→</w:t>
      </w:r>
      <w:r>
        <w:t xml:space="preserve"> </w:t>
      </w:r>
      <w:r>
        <w:t xml:space="preserve">“</w:t>
      </w:r>
      <w:r>
        <w:t xml:space="preserve">u</w:t>
      </w:r>
      <w:r>
        <w:t xml:space="preserve">”</w:t>
      </w:r>
      <w:r>
        <w:t xml:space="preserve">), and</w:t>
      </w:r>
      <w:r>
        <w:t xml:space="preserve"> </w:t>
      </w:r>
      <w:r>
        <w:rPr>
          <w:bCs/>
          <w:b/>
        </w:rPr>
        <w:t xml:space="preserve">संप्रसारणाच्च</w:t>
      </w:r>
      <w:r>
        <w:t xml:space="preserve"> </w:t>
      </w:r>
      <w:r>
        <w:t xml:space="preserve">(पा. ६-१-१०८) the pūrvarūpa;</w:t>
      </w:r>
      <w:r>
        <w:t xml:space="preserve"> </w:t>
      </w:r>
      <w:r>
        <w:t xml:space="preserve">“</w:t>
      </w:r>
      <w:r>
        <w:t xml:space="preserve">usriya</w:t>
      </w:r>
      <w:r>
        <w:t xml:space="preserve">”</w:t>
      </w:r>
      <w:r>
        <w:t xml:space="preserve">; the first-case plural →</w:t>
      </w:r>
      <w:r>
        <w:t xml:space="preserve"> </w:t>
      </w:r>
      <w:r>
        <w:t xml:space="preserve">“</w:t>
      </w:r>
      <w:r>
        <w:t xml:space="preserve">usriyāḥ</w:t>
      </w:r>
      <w:r>
        <w:t xml:space="preserve">”</w:t>
      </w:r>
      <w:r>
        <w:t xml:space="preserve">; the</w:t>
      </w:r>
      <w:r>
        <w:t xml:space="preserve"> </w:t>
      </w:r>
      <w:r>
        <w:t xml:space="preserve">“</w:t>
      </w:r>
      <w:r>
        <w:t xml:space="preserve">i</w:t>
      </w:r>
      <w:r>
        <w:t xml:space="preserve">”</w:t>
      </w:r>
      <w:r>
        <w:t xml:space="preserve"> </w:t>
      </w:r>
      <w:r>
        <w:t xml:space="preserve">is acute by the affix’s accent. ॥५॥</w:t>
      </w:r>
    </w:p>
    <w:p>
      <w:r>
        <w:pict>
          <v:rect style="width:0;height:1.5pt" o:hralign="center" o:hrstd="t" o:hr="t"/>
        </w:pict>
      </w:r>
    </w:p>
    <w:bookmarkEnd w:id="268"/>
    <w:bookmarkStart w:id="269" w:name="Xb210d38e862408f91c88c7ba802235f66282bae"/>
    <w:p>
      <w:pPr>
        <w:pStyle w:val="Heading3"/>
      </w:pPr>
      <w:r>
        <w:t xml:space="preserve">Page 230 — Rik 6.5 grammar concluded; Sūkta 6, Sixth Mantra: Saṃhitā, Pada, Sāyaṇa-bhāṣya (opening)</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6.</w:t>
      </w:r>
      <w:r>
        <w:rPr>
          <w:iCs/>
          <w:i/>
        </w:rPr>
        <w:t xml:space="preserve">”</w:t>
      </w:r>
      <w:r>
        <w:rPr>
          <w:iCs/>
          <w:i/>
        </w:rPr>
        <w:t xml:space="preserve"> </w:t>
      </w:r>
      <w:r>
        <w:rPr>
          <w:iCs/>
          <w:i/>
        </w:rPr>
        <w:t xml:space="preserve">Sanskrit printed in Kannada script, re-read from the better scan. Saṃhitā accents as printed; Pada unaccented.)</w:t>
      </w:r>
    </w:p>
    <w:bookmarkEnd w:id="269"/>
    <w:bookmarkStart w:id="270" w:name="sūkta-6-the-sixth-mantra"/>
    <w:p>
      <w:pPr>
        <w:pStyle w:val="Heading3"/>
      </w:pPr>
      <w:r>
        <w:t xml:space="preserve">Sūkta 6, The Sixth Mantra</w:t>
      </w:r>
    </w:p>
    <w:p>
      <w:pPr>
        <w:pStyle w:val="FirstParagraph"/>
      </w:pPr>
      <w:r>
        <w:rPr>
          <w:bCs/>
          <w:b/>
        </w:rPr>
        <w:t xml:space="preserve">॥ Saṃhitā-pāṭhaḥ ॥</w:t>
      </w:r>
    </w:p>
    <w:p>
      <w:pPr>
        <w:pStyle w:val="BlockText"/>
      </w:pPr>
      <w:r>
        <w:t xml:space="preserve">दे॒वयंतो यथा॑ म॒तिमच्छा॑ वि॒दद्व॑सुं॒ गिरः ।</w:t>
      </w:r>
      <w:r>
        <w:t xml:space="preserve"> </w:t>
      </w:r>
      <w:r>
        <w:t xml:space="preserve">म॒हा॑मनूषत श्रुतं ॥६॥</w:t>
      </w:r>
    </w:p>
    <w:p>
      <w:pPr>
        <w:pStyle w:val="BlockText"/>
      </w:pPr>
      <w:r>
        <w:rPr>
          <w:iCs/>
          <w:i/>
        </w:rPr>
        <w:t xml:space="preserve">deváyaṃto yáthā matímácchā vidádvasuṃ gíraḥ |</w:t>
      </w:r>
      <w:r>
        <w:t xml:space="preserve"> </w:t>
      </w:r>
      <w:r>
        <w:rPr>
          <w:iCs/>
          <w:i/>
        </w:rPr>
        <w:t xml:space="preserve">mahāmanūṣata śrutaṃ ||6||</w:t>
      </w:r>
    </w:p>
    <w:p>
      <w:pPr>
        <w:pStyle w:val="FirstParagraph"/>
      </w:pPr>
      <w:r>
        <w:rPr>
          <w:bCs/>
          <w:b/>
        </w:rPr>
        <w:t xml:space="preserve">॥ Pada-pāṭhaḥ ॥</w:t>
      </w:r>
    </w:p>
    <w:p>
      <w:pPr>
        <w:pStyle w:val="BlockText"/>
      </w:pPr>
      <w:r>
        <w:t xml:space="preserve">देवऽयन्तः । यथा । मतिम् । अच्छ । विदत्ऽवसुम् । गिरः ।</w:t>
      </w:r>
      <w:r>
        <w:t xml:space="preserve"> </w:t>
      </w:r>
      <w:r>
        <w:t xml:space="preserve">महाम् । अनूषत । श्रुतम् ॥६॥</w:t>
      </w:r>
    </w:p>
    <w:p>
      <w:pPr>
        <w:pStyle w:val="FirstParagraph"/>
      </w:pPr>
      <w:r>
        <w:rPr>
          <w:iCs/>
          <w:i/>
        </w:rPr>
        <w:t xml:space="preserve">(Reading note: the printed Saṃhitā</w:t>
      </w:r>
      <w:r>
        <w:rPr>
          <w:iCs/>
          <w:i/>
        </w:rPr>
        <w:t xml:space="preserve"> </w:t>
      </w:r>
      <w:r>
        <w:rPr>
          <w:iCs/>
          <w:i/>
        </w:rPr>
        <w:t xml:space="preserve">“</w:t>
      </w:r>
      <w:r>
        <w:rPr>
          <w:iCs/>
          <w:i/>
        </w:rPr>
        <w:t xml:space="preserve">acchā</w:t>
      </w:r>
      <w:r>
        <w:rPr>
          <w:iCs/>
          <w:i/>
        </w:rPr>
        <w:t xml:space="preserve">”</w:t>
      </w:r>
      <w:r>
        <w:rPr>
          <w:iCs/>
          <w:i/>
        </w:rPr>
        <w:t xml:space="preserve"> </w:t>
      </w:r>
      <w:r>
        <w:rPr>
          <w:iCs/>
          <w:i/>
        </w:rPr>
        <w:t xml:space="preserve">in the first pāda is the sandhi-lengthened form of the Pada’s</w:t>
      </w:r>
      <w:r>
        <w:rPr>
          <w:iCs/>
          <w:i/>
        </w:rPr>
        <w:t xml:space="preserve"> </w:t>
      </w:r>
      <w:r>
        <w:rPr>
          <w:iCs/>
          <w:i/>
        </w:rPr>
        <w:t xml:space="preserve">“</w:t>
      </w:r>
      <w:r>
        <w:rPr>
          <w:iCs/>
          <w:i/>
        </w:rPr>
        <w:t xml:space="preserve">accha</w:t>
      </w:r>
      <w:r>
        <w:rPr>
          <w:iCs/>
          <w:i/>
        </w:rPr>
        <w:t xml:space="preserve">”</w:t>
      </w:r>
      <w:r>
        <w:rPr>
          <w:iCs/>
          <w:i/>
        </w:rPr>
        <w:t xml:space="preserve">; the Pada text divides</w:t>
      </w:r>
      <w:r>
        <w:rPr>
          <w:iCs/>
          <w:i/>
        </w:rPr>
        <w:t xml:space="preserve"> </w:t>
      </w:r>
      <w:r>
        <w:rPr>
          <w:iCs/>
          <w:i/>
        </w:rPr>
        <w:t xml:space="preserve">“</w:t>
      </w:r>
      <w:r>
        <w:rPr>
          <w:iCs/>
          <w:i/>
        </w:rPr>
        <w:t xml:space="preserve">vidat-vasum</w:t>
      </w:r>
      <w:r>
        <w:rPr>
          <w:iCs/>
          <w:i/>
        </w:rPr>
        <w:t xml:space="preserve">”</w:t>
      </w:r>
      <w:r>
        <w:rPr>
          <w:iCs/>
          <w:i/>
        </w:rPr>
        <w:t xml:space="preserve"> </w:t>
      </w:r>
      <w:r>
        <w:rPr>
          <w:iCs/>
          <w:i/>
        </w:rPr>
        <w:t xml:space="preserve">as a compound.)</w:t>
      </w:r>
    </w:p>
    <w:p>
      <w:pPr>
        <w:pStyle w:val="BodyText"/>
      </w:pPr>
      <w:r>
        <w:rPr>
          <w:bCs/>
          <w:b/>
        </w:rPr>
        <w:t xml:space="preserve">॥ Sāyaṇa-bhāṣyam ॥</w:t>
      </w:r>
    </w:p>
    <w:p>
      <w:pPr>
        <w:pStyle w:val="BlockText"/>
      </w:pPr>
      <w:r>
        <w:t xml:space="preserve">देवयन्तो मरुत्संज्ञकान्देवानिच्छन्तो गिरः स्तोतार ऋत्विजो महां प्रौढं मरुद्गणमच्छ प्राप्तुमनूषत । स्तुतवन्तः । कीदृशं मरुद्गणम् । विदद्वसुम् । वेदयद्भिः स्वमहिमप्रख्यापकैर्वसुभिर्धनैर्युक्तं श्रुतं विख्यातम् । मरुद्गणस्य दृष्टान्तः । यथा मतिम् । मन्तारमिन्द्रं यथा स्तुवन्ति तथेत्यर्थः ॥ देवयन्तः । देवानात्मन इच्छन्तः । सुप आत्मनः क्यच् । पा. ३-१-८ ॥ क्यचि च । पा. ७-४-३३ । इतीत्त्वम् । अकृत्सार्वधातुकयोर्दीर्घः । पा. ७-४-२५ । इति दीर्घत्वं च न भवति । न च्छन्दस्यपुत्रस्य । पा. ७-४-३५ । इत्यनेन क्यचि यत्प्राप्तमीत्त्वं दीर्घत्वं वा तस्य सर्वस्य प्रतिषेधात् । यद्यपीत्त्वमेव प्रकृतं तथापि व्यवहितस्यापि दीर्घत्वस्य स प्रतिषेध इति विज्ञायते । अश्वाघस्यात् । पा. ७-४-३७ । इत्यात्त्वविधानादिति ह्युक्तम् । क्यजन्ताच्छतृप्रत्ययः । क्यचश्चित्त्वाच्चित इत्यन्तोदात्तत्वम् । शपः पित्त्वेन शतुश्च लसार्वधातुकस्वरेणानुदात्तत्वे एकादेश उदात्तेनोदात्त इत्युदात्तः । यथा । प्रकारवचने थाल् । पा. ५-३-२३ । लिति । पा. ६-१-१९३ । इति प्रत्ययात्पूर्वमुदात्तत्वम् । मतिम् । मन्त्रे वृषेषपचमनेत्यादिना । पा. ३-३-९६ । क्तिन्नुदात्तः …</w:t>
      </w:r>
      <w:r>
        <w:t xml:space="preserve"> </w:t>
      </w:r>
      <w:r>
        <w:rPr>
          <w:iCs/>
          <w:i/>
        </w:rPr>
        <w:t xml:space="preserve">devayanto marutsaṃjñakāndevānicchanto giraḥ stotāra ṛtvijo mahāṃ prauḍhaṃ marudgaṇamaccha prāptumanūṣata | stutavantaḥ | kīdṛśaṃ marudgaṇam | vidadvasum | vedayadbhiḥ svamahimaprakhyāpakairvasubhirdhanairyuktaṃ śrutaṃ vikhyātam | marudgaṇasya dṛṣṭāntaḥ | yathā matim | mantāramindraṃ yathā stuvanti tathetyarthaḥ ‖ devayantaḥ | devānātmana icchantaḥ | supa ātmanaḥ kyac | pā. 3-1-8 ‖ kyaci ca | pā. 7-4-33 | itīttvam | akṛtsārvadhātukayordīrghaḥ | pā. 7-4-25 | iti dīrghatvaṃ ca na bhavati | na cchandasyaputrasya | pā. 7-4-35 | ityanena kyaci yatprāptamīttvaṃ dīrghatvaṃ vā tasya sarvasya pratiṣedhāt | yadyapīttvameva prakṛtaṃ tathāpi vyavahitasyāpi dīrghatvasya sa pratiṣedha iti vijñāyate | aśvāghasyāt | pā. 7-4-37 | ityāttvavidhānāditi hyuktam | kyajantācchatṛpratyayaḥ | kyacaścittvāccita ityantodāttatvam | śapaḥ pittvena śatuśca lasārvadhātukasvareṇānudāttatve ekādeśa udāttenodātta ityudāttaḥ | yathā | prakāravacane thāl | pā. 5-3-23 | liti | pā. 6-1-193 | iti pratyayātpūrvamudāttatvam | matim | mantre vṛṣeṣapacamanetyādinā | pā. 3-3-96 | ktinnudāttaḥ …</w:t>
      </w:r>
      <w:r>
        <w:t xml:space="preserve"> </w:t>
      </w:r>
      <w:r>
        <w:rPr>
          <w:iCs/>
          <w:i/>
        </w:rPr>
        <w:t xml:space="preserve">(Re-read in full from the better scan; the grammar continues on p. 231.)</w:t>
      </w:r>
    </w:p>
    <w:p>
      <w:pPr>
        <w:pStyle w:val="FirstParagraph"/>
      </w:pPr>
      <w:r>
        <w:rPr>
          <w:bCs/>
          <w:b/>
        </w:rPr>
        <w:t xml:space="preserve">Translation:</w:t>
      </w:r>
      <w:r>
        <w:t xml:space="preserve"> </w:t>
      </w:r>
      <w:r>
        <w:t xml:space="preserve">“</w:t>
      </w:r>
      <w:r>
        <w:t xml:space="preserve">‘</w:t>
      </w:r>
      <w:r>
        <w:t xml:space="preserve">Devayantaḥ</w:t>
      </w:r>
      <w:r>
        <w:t xml:space="preserve">’</w:t>
      </w:r>
      <w:r>
        <w:t xml:space="preserve"> </w:t>
      </w:r>
      <w:r>
        <w:t xml:space="preserve">— wishing for the gods called Maruts,</w:t>
      </w:r>
      <w:r>
        <w:t xml:space="preserve"> </w:t>
      </w:r>
      <w:r>
        <w:t xml:space="preserve">‘</w:t>
      </w:r>
      <w:r>
        <w:t xml:space="preserve">giraḥ</w:t>
      </w:r>
      <w:r>
        <w:t xml:space="preserve">’</w:t>
      </w:r>
      <w:r>
        <w:t xml:space="preserve"> </w:t>
      </w:r>
      <w:r>
        <w:t xml:space="preserve">— the singers, the priests,</w:t>
      </w:r>
      <w:r>
        <w:t xml:space="preserve"> </w:t>
      </w:r>
      <w:r>
        <w:t xml:space="preserve">‘</w:t>
      </w:r>
      <w:r>
        <w:t xml:space="preserve">mahām</w:t>
      </w:r>
      <w:r>
        <w:t xml:space="preserve">’</w:t>
      </w:r>
      <w:r>
        <w:t xml:space="preserve"> </w:t>
      </w:r>
      <w:r>
        <w:t xml:space="preserve">— the mighty Marut-host —</w:t>
      </w:r>
      <w:r>
        <w:t xml:space="preserve"> </w:t>
      </w:r>
      <w:r>
        <w:t xml:space="preserve">‘</w:t>
      </w:r>
      <w:r>
        <w:t xml:space="preserve">accha</w:t>
      </w:r>
      <w:r>
        <w:t xml:space="preserve">’</w:t>
      </w:r>
      <w:r>
        <w:t xml:space="preserve"> </w:t>
      </w:r>
      <w:r>
        <w:t xml:space="preserve">— in order to reach it,</w:t>
      </w:r>
      <w:r>
        <w:t xml:space="preserve"> </w:t>
      </w:r>
      <w:r>
        <w:t xml:space="preserve">‘</w:t>
      </w:r>
      <w:r>
        <w:t xml:space="preserve">anūṣata</w:t>
      </w:r>
      <w:r>
        <w:t xml:space="preserve">’</w:t>
      </w:r>
      <w:r>
        <w:t xml:space="preserve"> </w:t>
      </w:r>
      <w:r>
        <w:t xml:space="preserve">— have praised. What kind of Marut-host?</w:t>
      </w:r>
      <w:r>
        <w:t xml:space="preserve"> </w:t>
      </w:r>
      <w:r>
        <w:t xml:space="preserve">‘</w:t>
      </w:r>
      <w:r>
        <w:t xml:space="preserve">Vidadvasum</w:t>
      </w:r>
      <w:r>
        <w:t xml:space="preserve">’</w:t>
      </w:r>
      <w:r>
        <w:t xml:space="preserve"> </w:t>
      </w:r>
      <w:r>
        <w:t xml:space="preserve">— endowed with riches that make their greatness known, famous (heard-of):</w:t>
      </w:r>
      <w:r>
        <w:t xml:space="preserve"> </w:t>
      </w:r>
      <w:r>
        <w:t xml:space="preserve">‘</w:t>
      </w:r>
      <w:r>
        <w:t xml:space="preserve">śrutam</w:t>
      </w:r>
      <w:r>
        <w:t xml:space="preserve">’</w:t>
      </w:r>
      <w:r>
        <w:t xml:space="preserve"> </w:t>
      </w:r>
      <w:r>
        <w:t xml:space="preserve">— widely renowned. An illustration for the Marut-host:</w:t>
      </w:r>
      <w:r>
        <w:t xml:space="preserve"> </w:t>
      </w:r>
      <w:r>
        <w:t xml:space="preserve">‘</w:t>
      </w:r>
      <w:r>
        <w:t xml:space="preserve">yathā matim</w:t>
      </w:r>
      <w:r>
        <w:t xml:space="preserve">’</w:t>
      </w:r>
      <w:r>
        <w:t xml:space="preserve"> </w:t>
      </w:r>
      <w:r>
        <w:t xml:space="preserve">— as they praise Indra, the thinker, so (they praise the Marut-host).</w:t>
      </w:r>
      <w:r>
        <w:t xml:space="preserve"> </w:t>
      </w:r>
      <w:r>
        <w:t xml:space="preserve">‘</w:t>
      </w:r>
      <w:r>
        <w:t xml:space="preserve">Devayantaḥ</w:t>
      </w:r>
      <w:r>
        <w:t xml:space="preserve">’</w:t>
      </w:r>
      <w:r>
        <w:t xml:space="preserve"> </w:t>
      </w:r>
      <w:r>
        <w:t xml:space="preserve">—</w:t>
      </w:r>
      <w:r>
        <w:t xml:space="preserve"> </w:t>
      </w:r>
      <w:r>
        <w:t xml:space="preserve">‘</w:t>
      </w:r>
      <w:r>
        <w:t xml:space="preserve">devān ātmana icchantaḥ</w:t>
      </w:r>
      <w:r>
        <w:t xml:space="preserve">’</w:t>
      </w:r>
      <w:r>
        <w:t xml:space="preserve"> </w:t>
      </w:r>
      <w:r>
        <w:t xml:space="preserve">— wishing the gods for themselves; the affix</w:t>
      </w:r>
      <w:r>
        <w:t xml:space="preserve"> </w:t>
      </w:r>
      <w:r>
        <w:t xml:space="preserve">‘</w:t>
      </w:r>
      <w:r>
        <w:t xml:space="preserve">kyac</w:t>
      </w:r>
      <w:r>
        <w:t xml:space="preserve">’</w:t>
      </w:r>
      <w:r>
        <w:t xml:space="preserve"> </w:t>
      </w:r>
      <w:r>
        <w:t xml:space="preserve">after a subanta in the sense of one’s own wish (Pāṇini 3-1-8); the</w:t>
      </w:r>
      <w:r>
        <w:t xml:space="preserve"> </w:t>
      </w:r>
      <w:r>
        <w:t xml:space="preserve">‘</w:t>
      </w:r>
      <w:r>
        <w:t xml:space="preserve">ī</w:t>
      </w:r>
      <w:r>
        <w:t xml:space="preserve">’</w:t>
      </w:r>
      <w:r>
        <w:t xml:space="preserve"> </w:t>
      </w:r>
      <w:r>
        <w:t xml:space="preserve">by</w:t>
      </w:r>
      <w:r>
        <w:t xml:space="preserve"> </w:t>
      </w:r>
      <w:r>
        <w:t xml:space="preserve">‘</w:t>
      </w:r>
      <w:r>
        <w:t xml:space="preserve">kyaci ca</w:t>
      </w:r>
      <w:r>
        <w:t xml:space="preserve">’</w:t>
      </w:r>
      <w:r>
        <w:t xml:space="preserve"> </w:t>
      </w:r>
      <w:r>
        <w:t xml:space="preserve">(Pāṇini 7-4-33); by</w:t>
      </w:r>
      <w:r>
        <w:t xml:space="preserve"> </w:t>
      </w:r>
      <w:r>
        <w:t xml:space="preserve">‘</w:t>
      </w:r>
      <w:r>
        <w:t xml:space="preserve">na chandasy aputrasya</w:t>
      </w:r>
      <w:r>
        <w:t xml:space="preserve">’</w:t>
      </w:r>
      <w:r>
        <w:t xml:space="preserve"> </w:t>
      </w:r>
      <w:r>
        <w:t xml:space="preserve">(7-4-35) the</w:t>
      </w:r>
      <w:r>
        <w:t xml:space="preserve"> </w:t>
      </w:r>
      <w:r>
        <w:t xml:space="preserve">‘</w:t>
      </w:r>
      <w:r>
        <w:t xml:space="preserve">ī</w:t>
      </w:r>
      <w:r>
        <w:t xml:space="preserve">’</w:t>
      </w:r>
      <w:r>
        <w:t xml:space="preserve"> </w:t>
      </w:r>
      <w:r>
        <w:t xml:space="preserve">and the lengthening (7-4-25) are both barred in the Veda; the</w:t>
      </w:r>
      <w:r>
        <w:t xml:space="preserve"> </w:t>
      </w:r>
      <w:r>
        <w:t xml:space="preserve">‘</w:t>
      </w:r>
      <w:r>
        <w:t xml:space="preserve">śatṛ</w:t>
      </w:r>
      <w:r>
        <w:t xml:space="preserve">’</w:t>
      </w:r>
      <w:r>
        <w:t xml:space="preserve"> </w:t>
      </w:r>
      <w:r>
        <w:t xml:space="preserve">after the</w:t>
      </w:r>
      <w:r>
        <w:t xml:space="preserve"> </w:t>
      </w:r>
      <w:r>
        <w:t xml:space="preserve">‘</w:t>
      </w:r>
      <w:r>
        <w:t xml:space="preserve">kyac</w:t>
      </w:r>
      <w:r>
        <w:t xml:space="preserve">’</w:t>
      </w:r>
      <w:r>
        <w:t xml:space="preserve">-ending, end-acute as</w:t>
      </w:r>
      <w:r>
        <w:t xml:space="preserve"> </w:t>
      </w:r>
      <w:r>
        <w:t xml:space="preserve">‘</w:t>
      </w:r>
      <w:r>
        <w:t xml:space="preserve">c</w:t>
      </w:r>
      <w:r>
        <w:t xml:space="preserve">’</w:t>
      </w:r>
      <w:r>
        <w:t xml:space="preserve">-marked;</w:t>
      </w:r>
      <w:r>
        <w:t xml:space="preserve"> </w:t>
      </w:r>
      <w:r>
        <w:t xml:space="preserve">‘</w:t>
      </w:r>
      <w:r>
        <w:t xml:space="preserve">yathā</w:t>
      </w:r>
      <w:r>
        <w:t xml:space="preserve">’</w:t>
      </w:r>
      <w:r>
        <w:t xml:space="preserve"> </w:t>
      </w:r>
      <w:r>
        <w:t xml:space="preserve">—</w:t>
      </w:r>
      <w:r>
        <w:t xml:space="preserve"> </w:t>
      </w:r>
      <w:r>
        <w:t xml:space="preserve">‘</w:t>
      </w:r>
      <w:r>
        <w:t xml:space="preserve">thāl</w:t>
      </w:r>
      <w:r>
        <w:t xml:space="preserve">’</w:t>
      </w:r>
      <w:r>
        <w:t xml:space="preserve"> </w:t>
      </w:r>
      <w:r>
        <w:t xml:space="preserve">(5-3-23), acute before the affix by</w:t>
      </w:r>
      <w:r>
        <w:t xml:space="preserve"> </w:t>
      </w:r>
      <w:r>
        <w:t xml:space="preserve">‘</w:t>
      </w:r>
      <w:r>
        <w:t xml:space="preserve">liti</w:t>
      </w:r>
      <w:r>
        <w:t xml:space="preserve">’</w:t>
      </w:r>
      <w:r>
        <w:t xml:space="preserve"> </w:t>
      </w:r>
      <w:r>
        <w:t xml:space="preserve">(6-1-193);</w:t>
      </w:r>
      <w:r>
        <w:t xml:space="preserve"> </w:t>
      </w:r>
      <w:r>
        <w:t xml:space="preserve">‘</w:t>
      </w:r>
      <w:r>
        <w:t xml:space="preserve">matim</w:t>
      </w:r>
      <w:r>
        <w:t xml:space="preserve">’</w:t>
      </w:r>
      <w:r>
        <w:t xml:space="preserve"> </w:t>
      </w:r>
      <w:r>
        <w:t xml:space="preserve">—</w:t>
      </w:r>
      <w:r>
        <w:t xml:space="preserve"> </w:t>
      </w:r>
      <w:r>
        <w:t xml:space="preserve">‘</w:t>
      </w:r>
      <w:r>
        <w:t xml:space="preserve">ktin,</w:t>
      </w:r>
      <w:r>
        <w:t xml:space="preserve">’</w:t>
      </w:r>
      <w:r>
        <w:t xml:space="preserve"> </w:t>
      </w:r>
      <w:r>
        <w:t xml:space="preserve">acute by 3-3-96 …</w:t>
      </w:r>
      <w:r>
        <w:t xml:space="preserve">”</w:t>
      </w:r>
      <w:r>
        <w:t xml:space="preserve"> </w:t>
      </w:r>
      <w:r>
        <w:rPr>
          <w:iCs/>
          <w:i/>
        </w:rPr>
        <w:t xml:space="preserve">(the grammar continues on the next page).</w:t>
      </w:r>
    </w:p>
    <w:bookmarkEnd w:id="270"/>
    <w:bookmarkStart w:id="271" w:name="Xe22d03c9f90a99564ce631f61e26cf5513a925e"/>
    <w:p>
      <w:pPr>
        <w:pStyle w:val="Heading3"/>
      </w:pPr>
      <w:r>
        <w:t xml:space="preserve">Page 231 — Rik 6.6: grammar of the Bhāṣya (concluded); Pada-meanings; Bhāvārtha; English rendering</w:t>
      </w:r>
    </w:p>
    <w:p>
      <w:pPr>
        <w:pStyle w:val="FirstParagraph"/>
      </w:pPr>
      <w:r>
        <w:rPr>
          <w:iCs/>
          <w:i/>
        </w:rPr>
        <w:t xml:space="preserve">(Page header:</w:t>
      </w:r>
      <w:r>
        <w:rPr>
          <w:iCs/>
          <w:i/>
        </w:rPr>
        <w:t xml:space="preserve"> </w:t>
      </w:r>
      <w:r>
        <w:rPr>
          <w:iCs/>
          <w:i/>
        </w:rPr>
        <w:t xml:space="preserve">“</w:t>
      </w:r>
      <w:r>
        <w:rPr>
          <w:iCs/>
          <w:i/>
        </w:rPr>
        <w:t xml:space="preserve">Aṣṭaka 1, Adhyāya 1, Varga 12 · Ṛgveda-saṃhitā.</w:t>
      </w:r>
      <w:r>
        <w:rPr>
          <w:iCs/>
          <w:i/>
        </w:rPr>
        <w:t xml:space="preserve">”</w:t>
      </w:r>
      <w:r>
        <w:rPr>
          <w:iCs/>
          <w:i/>
        </w:rPr>
        <w:t xml:space="preserve"> </w:t>
      </w:r>
      <w:r>
        <w:rPr>
          <w:iCs/>
          <w:i/>
        </w:rPr>
        <w:t xml:space="preserve">The top of the page ends the Sanskrit grammar of the Bhāṣya; re-read from the better scan and given in outline with the sūtras. English as printed.)</w:t>
      </w:r>
    </w:p>
    <w:p>
      <w:pPr>
        <w:pStyle w:val="BodyText"/>
      </w:pPr>
      <w:r>
        <w:rPr>
          <w:bCs/>
          <w:b/>
        </w:rPr>
        <w:t xml:space="preserve">Grammar (in outline):</w:t>
      </w:r>
      <w:r>
        <w:t xml:space="preserve"> </w:t>
      </w:r>
      <w:r>
        <w:t xml:space="preserve">“</w:t>
      </w:r>
      <w:r>
        <w:t xml:space="preserve">Matim</w:t>
      </w:r>
      <w:r>
        <w:t xml:space="preserve">”</w:t>
      </w:r>
      <w:r>
        <w:t xml:space="preserve"> </w:t>
      </w:r>
      <w:r>
        <w:t xml:space="preserve">(concluded) — the word, meaning knowledge, here stands for Indra; or, as</w:t>
      </w:r>
      <w:r>
        <w:t xml:space="preserve"> </w:t>
      </w:r>
      <w:r>
        <w:t xml:space="preserve">“</w:t>
      </w:r>
      <w:r>
        <w:t xml:space="preserve">tattva-viśeṣa</w:t>
      </w:r>
      <w:r>
        <w:t xml:space="preserve">”</w:t>
      </w:r>
      <w:r>
        <w:t xml:space="preserve"> </w:t>
      </w:r>
      <w:r>
        <w:t xml:space="preserve">(a particular entity), it is a name of Indra: by</w:t>
      </w:r>
      <w:r>
        <w:t xml:space="preserve"> </w:t>
      </w:r>
      <w:r>
        <w:rPr>
          <w:bCs/>
          <w:b/>
        </w:rPr>
        <w:t xml:space="preserve">क्तिच्क्तौ च संज्ञायाम्</w:t>
      </w:r>
      <w:r>
        <w:t xml:space="preserve"> </w:t>
      </w:r>
      <w:r>
        <w:t xml:space="preserve">(पा. ३-३-१७४)</w:t>
      </w:r>
      <w:r>
        <w:t xml:space="preserve"> </w:t>
      </w:r>
      <w:r>
        <w:t xml:space="preserve">“</w:t>
      </w:r>
      <w:r>
        <w:t xml:space="preserve">ktic</w:t>
      </w:r>
      <w:r>
        <w:t xml:space="preserve">”</w:t>
      </w:r>
      <w:r>
        <w:t xml:space="preserve"> </w:t>
      </w:r>
      <w:r>
        <w:t xml:space="preserve">after</w:t>
      </w:r>
      <w:r>
        <w:t xml:space="preserve"> </w:t>
      </w:r>
      <w:r>
        <w:t xml:space="preserve">“</w:t>
      </w:r>
      <w:r>
        <w:t xml:space="preserve">man</w:t>
      </w:r>
      <w:r>
        <w:t xml:space="preserve">”</w:t>
      </w:r>
      <w:r>
        <w:t xml:space="preserve"> </w:t>
      </w:r>
      <w:r>
        <w:t xml:space="preserve">in the agent sense; by</w:t>
      </w:r>
      <w:r>
        <w:t xml:space="preserve"> </w:t>
      </w:r>
      <w:r>
        <w:rPr>
          <w:bCs/>
          <w:b/>
        </w:rPr>
        <w:t xml:space="preserve">एकाच उपदेशेऽनुदात्तात्</w:t>
      </w:r>
      <w:r>
        <w:t xml:space="preserve"> </w:t>
      </w:r>
      <w:r>
        <w:t xml:space="preserve">(पा. ७-२-१०) no</w:t>
      </w:r>
      <w:r>
        <w:t xml:space="preserve"> </w:t>
      </w:r>
      <w:r>
        <w:t xml:space="preserve">“</w:t>
      </w:r>
      <w:r>
        <w:t xml:space="preserve">iṭ</w:t>
      </w:r>
      <w:r>
        <w:t xml:space="preserve">”</w:t>
      </w:r>
      <w:r>
        <w:t xml:space="preserve">;</w:t>
      </w:r>
      <w:r>
        <w:t xml:space="preserve"> </w:t>
      </w:r>
      <w:r>
        <w:t xml:space="preserve">“</w:t>
      </w:r>
      <w:r>
        <w:t xml:space="preserve">c</w:t>
      </w:r>
      <w:r>
        <w:t xml:space="preserve">”</w:t>
      </w:r>
      <w:r>
        <w:t xml:space="preserve">-marked, so end-acute.</w:t>
      </w:r>
      <w:r>
        <w:t xml:space="preserve"> </w:t>
      </w:r>
      <w:r>
        <w:t xml:space="preserve">“</w:t>
      </w:r>
      <w:r>
        <w:t xml:space="preserve">Accha</w:t>
      </w:r>
      <w:r>
        <w:t xml:space="preserve">”</w:t>
      </w:r>
      <w:r>
        <w:t xml:space="preserve"> </w:t>
      </w:r>
      <w:r>
        <w:t xml:space="preserve">— by</w:t>
      </w:r>
      <w:r>
        <w:t xml:space="preserve"> </w:t>
      </w:r>
      <w:r>
        <w:rPr>
          <w:bCs/>
          <w:b/>
        </w:rPr>
        <w:t xml:space="preserve">अच्छ गत्यर्थवदेषु</w:t>
      </w:r>
      <w:r>
        <w:t xml:space="preserve"> </w:t>
      </w:r>
      <w:r>
        <w:t xml:space="preserve">(पा. १-४-६९) a</w:t>
      </w:r>
      <w:r>
        <w:t xml:space="preserve"> </w:t>
      </w:r>
      <w:r>
        <w:t xml:space="preserve">“</w:t>
      </w:r>
      <w:r>
        <w:t xml:space="preserve">gati</w:t>
      </w:r>
      <w:r>
        <w:t xml:space="preserve">”</w:t>
      </w:r>
      <w:r>
        <w:t xml:space="preserve"> </w:t>
      </w:r>
      <w:r>
        <w:t xml:space="preserve">in connection with verbs of going, and also a particle (</w:t>
      </w:r>
      <w:r>
        <w:rPr>
          <w:bCs/>
          <w:b/>
        </w:rPr>
        <w:t xml:space="preserve">गतिश्च</w:t>
      </w:r>
      <w:r>
        <w:t xml:space="preserve">, पा. १-४-६०, co-occurring); first-syllable acute by</w:t>
      </w:r>
      <w:r>
        <w:t xml:space="preserve"> </w:t>
      </w:r>
      <w:r>
        <w:rPr>
          <w:bCs/>
          <w:b/>
        </w:rPr>
        <w:t xml:space="preserve">निपाता आद्युदात्ताः</w:t>
      </w:r>
      <w:r>
        <w:t xml:space="preserve"> </w:t>
      </w:r>
      <w:r>
        <w:t xml:space="preserve">(फि. सू. ४-१२).</w:t>
      </w:r>
      <w:r>
        <w:t xml:space="preserve"> </w:t>
      </w:r>
      <w:r>
        <w:t xml:space="preserve">“</w:t>
      </w:r>
      <w:r>
        <w:t xml:space="preserve">Vidadvasum</w:t>
      </w:r>
      <w:r>
        <w:t xml:space="preserve">”</w:t>
      </w:r>
      <w:r>
        <w:t xml:space="preserve"> </w:t>
      </w:r>
      <w:r>
        <w:t xml:space="preserve">—</w:t>
      </w:r>
      <w:r>
        <w:t xml:space="preserve"> </w:t>
      </w:r>
      <w:r>
        <w:t xml:space="preserve">“</w:t>
      </w:r>
      <w:r>
        <w:t xml:space="preserve">vida jñāne</w:t>
      </w:r>
      <w:r>
        <w:t xml:space="preserve">”</w:t>
      </w:r>
      <w:r>
        <w:t xml:space="preserve"> </w:t>
      </w:r>
      <w:r>
        <w:t xml:space="preserve">with the causal sense included and</w:t>
      </w:r>
      <w:r>
        <w:t xml:space="preserve"> </w:t>
      </w:r>
      <w:r>
        <w:t xml:space="preserve">“</w:t>
      </w:r>
      <w:r>
        <w:t xml:space="preserve">śatṛ</w:t>
      </w:r>
      <w:r>
        <w:t xml:space="preserve">”</w:t>
      </w:r>
      <w:r>
        <w:t xml:space="preserve">:</w:t>
      </w:r>
      <w:r>
        <w:t xml:space="preserve"> </w:t>
      </w:r>
      <w:r>
        <w:t xml:space="preserve">“</w:t>
      </w:r>
      <w:r>
        <w:t xml:space="preserve">vidanti</w:t>
      </w:r>
      <w:r>
        <w:t xml:space="preserve">”</w:t>
      </w:r>
      <w:r>
        <w:t xml:space="preserve"> </w:t>
      </w:r>
      <w:r>
        <w:t xml:space="preserve">— they make known —</w:t>
      </w:r>
      <w:r>
        <w:t xml:space="preserve"> </w:t>
      </w:r>
      <w:r>
        <w:t xml:space="preserve">“</w:t>
      </w:r>
      <w:r>
        <w:t xml:space="preserve">vasūni dhanāni yaṃ sa vidadvasuḥ</w:t>
      </w:r>
      <w:r>
        <w:t xml:space="preserve">”</w:t>
      </w:r>
      <w:r>
        <w:t xml:space="preserve">; the</w:t>
      </w:r>
      <w:r>
        <w:t xml:space="preserve"> </w:t>
      </w:r>
      <w:r>
        <w:t xml:space="preserve">“</w:t>
      </w:r>
      <w:r>
        <w:t xml:space="preserve">śap</w:t>
      </w:r>
      <w:r>
        <w:t xml:space="preserve">”</w:t>
      </w:r>
      <w:r>
        <w:t xml:space="preserve"> </w:t>
      </w:r>
      <w:r>
        <w:t xml:space="preserve">after</w:t>
      </w:r>
      <w:r>
        <w:t xml:space="preserve"> </w:t>
      </w:r>
      <w:r>
        <w:t xml:space="preserve">“</w:t>
      </w:r>
      <w:r>
        <w:t xml:space="preserve">vid</w:t>
      </w:r>
      <w:r>
        <w:t xml:space="preserve">”</w:t>
      </w:r>
      <w:r>
        <w:t xml:space="preserve"> </w:t>
      </w:r>
      <w:r>
        <w:t xml:space="preserve">is elided by</w:t>
      </w:r>
      <w:r>
        <w:t xml:space="preserve"> </w:t>
      </w:r>
      <w:r>
        <w:rPr>
          <w:bCs/>
          <w:b/>
        </w:rPr>
        <w:t xml:space="preserve">अदिप्रभृतिभ्यः शपः</w:t>
      </w:r>
      <w:r>
        <w:t xml:space="preserve"> </w:t>
      </w:r>
      <w:r>
        <w:t xml:space="preserve">(पा. २-४-७२); the</w:t>
      </w:r>
      <w:r>
        <w:t xml:space="preserve"> </w:t>
      </w:r>
      <w:r>
        <w:t xml:space="preserve">“</w:t>
      </w:r>
      <w:r>
        <w:t xml:space="preserve">śatṛ</w:t>
      </w:r>
      <w:r>
        <w:t xml:space="preserve">”</w:t>
      </w:r>
      <w:r>
        <w:t xml:space="preserve"> </w:t>
      </w:r>
      <w:r>
        <w:t xml:space="preserve">is acute by the affix accent; in the bahuvrīhi the first member’s accent is kept.</w:t>
      </w:r>
      <w:r>
        <w:t xml:space="preserve"> </w:t>
      </w:r>
      <w:r>
        <w:t xml:space="preserve">“</w:t>
      </w:r>
      <w:r>
        <w:t xml:space="preserve">Giraḥ</w:t>
      </w:r>
      <w:r>
        <w:t xml:space="preserve">”</w:t>
      </w:r>
      <w:r>
        <w:t xml:space="preserve"> </w:t>
      </w:r>
      <w:r>
        <w:t xml:space="preserve">—</w:t>
      </w:r>
      <w:r>
        <w:t xml:space="preserve"> </w:t>
      </w:r>
      <w:r>
        <w:t xml:space="preserve">“</w:t>
      </w:r>
      <w:r>
        <w:t xml:space="preserve">gṛṇanti stuvanti</w:t>
      </w:r>
      <w:r>
        <w:t xml:space="preserve">”</w:t>
      </w:r>
      <w:r>
        <w:t xml:space="preserve"> </w:t>
      </w:r>
      <w:r>
        <w:t xml:space="preserve">— from</w:t>
      </w:r>
      <w:r>
        <w:t xml:space="preserve"> </w:t>
      </w:r>
      <w:r>
        <w:t xml:space="preserve">“</w:t>
      </w:r>
      <w:r>
        <w:t xml:space="preserve">gṝ</w:t>
      </w:r>
      <w:r>
        <w:t xml:space="preserve">”</w:t>
      </w:r>
      <w:r>
        <w:t xml:space="preserve"> </w:t>
      </w:r>
      <w:r>
        <w:t xml:space="preserve">with</w:t>
      </w:r>
      <w:r>
        <w:t xml:space="preserve"> </w:t>
      </w:r>
      <w:r>
        <w:t xml:space="preserve">“</w:t>
      </w:r>
      <w:r>
        <w:t xml:space="preserve">kvip,</w:t>
      </w:r>
      <w:r>
        <w:t xml:space="preserve">”</w:t>
      </w:r>
      <w:r>
        <w:t xml:space="preserve"> </w:t>
      </w:r>
      <w:r>
        <w:rPr>
          <w:bCs/>
          <w:b/>
        </w:rPr>
        <w:t xml:space="preserve">ऋत इद्धातोः</w:t>
      </w:r>
      <w:r>
        <w:t xml:space="preserve"> </w:t>
      </w:r>
      <w:r>
        <w:t xml:space="preserve">(पा. ७-१-१००)</w:t>
      </w:r>
      <w:r>
        <w:t xml:space="preserve"> </w:t>
      </w:r>
      <w:r>
        <w:t xml:space="preserve">“</w:t>
      </w:r>
      <w:r>
        <w:t xml:space="preserve">ir</w:t>
      </w:r>
      <w:r>
        <w:t xml:space="preserve">”</w:t>
      </w:r>
      <w:r>
        <w:t xml:space="preserve"> </w:t>
      </w:r>
      <w:r>
        <w:t xml:space="preserve">and</w:t>
      </w:r>
      <w:r>
        <w:t xml:space="preserve"> </w:t>
      </w:r>
      <w:r>
        <w:t xml:space="preserve">“</w:t>
      </w:r>
      <w:r>
        <w:t xml:space="preserve">r</w:t>
      </w:r>
      <w:r>
        <w:t xml:space="preserve">”</w:t>
      </w:r>
      <w:r>
        <w:t xml:space="preserve">; the root accent.</w:t>
      </w:r>
      <w:r>
        <w:t xml:space="preserve"> </w:t>
      </w:r>
      <w:r>
        <w:t xml:space="preserve">“</w:t>
      </w:r>
      <w:r>
        <w:t xml:space="preserve">Mahām</w:t>
      </w:r>
      <w:r>
        <w:t xml:space="preserve">”</w:t>
      </w:r>
      <w:r>
        <w:t xml:space="preserve"> </w:t>
      </w:r>
      <w:r>
        <w:t xml:space="preserve">—</w:t>
      </w:r>
      <w:r>
        <w:t xml:space="preserve"> </w:t>
      </w:r>
      <w:r>
        <w:t xml:space="preserve">“</w:t>
      </w:r>
      <w:r>
        <w:t xml:space="preserve">mahāntam</w:t>
      </w:r>
      <w:r>
        <w:t xml:space="preserve">”</w:t>
      </w:r>
      <w:r>
        <w:t xml:space="preserve">: the</w:t>
      </w:r>
      <w:r>
        <w:t xml:space="preserve"> </w:t>
      </w:r>
      <w:r>
        <w:t xml:space="preserve">“</w:t>
      </w:r>
      <w:r>
        <w:t xml:space="preserve">n</w:t>
      </w:r>
      <w:r>
        <w:t xml:space="preserve">”</w:t>
      </w:r>
      <w:r>
        <w:t xml:space="preserve"> </w:t>
      </w:r>
      <w:r>
        <w:t xml:space="preserve">and</w:t>
      </w:r>
      <w:r>
        <w:t xml:space="preserve"> </w:t>
      </w:r>
      <w:r>
        <w:t xml:space="preserve">“</w:t>
      </w:r>
      <w:r>
        <w:t xml:space="preserve">t</w:t>
      </w:r>
      <w:r>
        <w:t xml:space="preserve">”</w:t>
      </w:r>
      <w:r>
        <w:t xml:space="preserve"> </w:t>
      </w:r>
      <w:r>
        <w:t xml:space="preserve">are elided as a Vedic licence; the stem accent.</w:t>
      </w:r>
      <w:r>
        <w:t xml:space="preserve"> </w:t>
      </w:r>
      <w:r>
        <w:t xml:space="preserve">“</w:t>
      </w:r>
      <w:r>
        <w:t xml:space="preserve">Anūṣata</w:t>
      </w:r>
      <w:r>
        <w:t xml:space="preserve">”</w:t>
      </w:r>
      <w:r>
        <w:t xml:space="preserve"> </w:t>
      </w:r>
      <w:r>
        <w:t xml:space="preserve">—</w:t>
      </w:r>
      <w:r>
        <w:t xml:space="preserve"> </w:t>
      </w:r>
      <w:r>
        <w:t xml:space="preserve">“</w:t>
      </w:r>
      <w:r>
        <w:t xml:space="preserve">ṇu stutau,</w:t>
      </w:r>
      <w:r>
        <w:t xml:space="preserve">”</w:t>
      </w:r>
      <w:r>
        <w:t xml:space="preserve"> </w:t>
      </w:r>
      <w:r>
        <w:t xml:space="preserve">by vyatyaya the ātmanepada;</w:t>
      </w:r>
      <w:r>
        <w:t xml:space="preserve"> </w:t>
      </w:r>
      <w:r>
        <w:t xml:space="preserve">“</w:t>
      </w:r>
      <w:r>
        <w:t xml:space="preserve">luṅ</w:t>
      </w:r>
      <w:r>
        <w:t xml:space="preserve">”</w:t>
      </w:r>
      <w:r>
        <w:t xml:space="preserve">;</w:t>
      </w:r>
      <w:r>
        <w:t xml:space="preserve"> </w:t>
      </w:r>
      <w:r>
        <w:t xml:space="preserve">“</w:t>
      </w:r>
      <w:r>
        <w:t xml:space="preserve">jhas</w:t>
      </w:r>
      <w:r>
        <w:t xml:space="preserve">”</w:t>
      </w:r>
      <w:r>
        <w:t xml:space="preserve"> </w:t>
      </w:r>
      <w:r>
        <w:t xml:space="preserve">replaced by</w:t>
      </w:r>
      <w:r>
        <w:t xml:space="preserve"> </w:t>
      </w:r>
      <w:r>
        <w:t xml:space="preserve">“</w:t>
      </w:r>
      <w:r>
        <w:t xml:space="preserve">at</w:t>
      </w:r>
      <w:r>
        <w:t xml:space="preserve">”</w:t>
      </w:r>
      <w:r>
        <w:t xml:space="preserve"> </w:t>
      </w:r>
      <w:r>
        <w:t xml:space="preserve">(पा. ७-१-५); in</w:t>
      </w:r>
      <w:r>
        <w:t xml:space="preserve"> </w:t>
      </w:r>
      <w:r>
        <w:t xml:space="preserve">“</w:t>
      </w:r>
      <w:r>
        <w:t xml:space="preserve">sic,</w:t>
      </w:r>
      <w:r>
        <w:t xml:space="preserve">”</w:t>
      </w:r>
      <w:r>
        <w:t xml:space="preserve"> </w:t>
      </w:r>
      <w:r>
        <w:t xml:space="preserve">as a</w:t>
      </w:r>
      <w:r>
        <w:t xml:space="preserve"> </w:t>
      </w:r>
      <w:r>
        <w:t xml:space="preserve">“</w:t>
      </w:r>
      <w:r>
        <w:t xml:space="preserve">kuṭādi</w:t>
      </w:r>
      <w:r>
        <w:t xml:space="preserve">”</w:t>
      </w:r>
      <w:r>
        <w:t xml:space="preserve"> </w:t>
      </w:r>
      <w:r>
        <w:t xml:space="preserve">root, it is</w:t>
      </w:r>
      <w:r>
        <w:t xml:space="preserve"> </w:t>
      </w:r>
      <w:r>
        <w:t xml:space="preserve">“</w:t>
      </w:r>
      <w:r>
        <w:t xml:space="preserve">ṅit</w:t>
      </w:r>
      <w:r>
        <w:t xml:space="preserve">”</w:t>
      </w:r>
      <w:r>
        <w:t xml:space="preserve"> </w:t>
      </w:r>
      <w:r>
        <w:t xml:space="preserve">(पा. १-२-१), so no guṇa; the absence of</w:t>
      </w:r>
      <w:r>
        <w:t xml:space="preserve"> </w:t>
      </w:r>
      <w:r>
        <w:t xml:space="preserve">“</w:t>
      </w:r>
      <w:r>
        <w:t xml:space="preserve">iṭ</w:t>
      </w:r>
      <w:r>
        <w:t xml:space="preserve">”</w:t>
      </w:r>
      <w:r>
        <w:t xml:space="preserve"> </w:t>
      </w:r>
      <w:r>
        <w:t xml:space="preserve">and the lengthening of</w:t>
      </w:r>
      <w:r>
        <w:t xml:space="preserve"> </w:t>
      </w:r>
      <w:r>
        <w:t xml:space="preserve">“</w:t>
      </w:r>
      <w:r>
        <w:t xml:space="preserve">u</w:t>
      </w:r>
      <w:r>
        <w:t xml:space="preserve">”</w:t>
      </w:r>
      <w:r>
        <w:t xml:space="preserve"> </w:t>
      </w:r>
      <w:r>
        <w:t xml:space="preserve">are Vedic; unaccented by nighāta.</w:t>
      </w:r>
      <w:r>
        <w:t xml:space="preserve"> </w:t>
      </w:r>
      <w:r>
        <w:t xml:space="preserve">“</w:t>
      </w:r>
      <w:r>
        <w:t xml:space="preserve">Śrutam</w:t>
      </w:r>
      <w:r>
        <w:t xml:space="preserve">”</w:t>
      </w:r>
      <w:r>
        <w:t xml:space="preserve"> </w:t>
      </w:r>
      <w:r>
        <w:t xml:space="preserve">— the affix accent.</w:t>
      </w:r>
    </w:p>
    <w:p>
      <w:pPr>
        <w:pStyle w:val="BodyText"/>
      </w:pPr>
      <w:r>
        <w:rPr>
          <w:bCs/>
          <w:b/>
        </w:rPr>
        <w:t xml:space="preserve">॥ Prati-padārthaḥ ॥</w:t>
      </w:r>
      <w:r>
        <w:t xml:space="preserve"> </w:t>
      </w:r>
      <w:r>
        <w:rPr>
          <w:iCs/>
          <w:i/>
        </w:rPr>
        <w:t xml:space="preserve">(Kannada, translated)</w:t>
      </w:r>
    </w:p>
    <w:p>
      <w:pPr>
        <w:pStyle w:val="BodyText"/>
      </w:pPr>
      <w:r>
        <w:rPr>
          <w:bCs/>
          <w:b/>
        </w:rPr>
        <w:t xml:space="preserve">देवयन्तः (devayantaḥ)</w:t>
      </w:r>
      <w:r>
        <w:t xml:space="preserve"> </w:t>
      </w:r>
      <w:r>
        <w:t xml:space="preserve">— those who wish to praise the deities called Maruts |</w:t>
      </w:r>
      <w:r>
        <w:t xml:space="preserve"> </w:t>
      </w:r>
      <w:r>
        <w:rPr>
          <w:bCs/>
          <w:b/>
        </w:rPr>
        <w:t xml:space="preserve">गिरः (giraḥ)</w:t>
      </w:r>
      <w:r>
        <w:t xml:space="preserve"> </w:t>
      </w:r>
      <w:r>
        <w:t xml:space="preserve">— the priests who sing stotras |</w:t>
      </w:r>
      <w:r>
        <w:t xml:space="preserve"> </w:t>
      </w:r>
      <w:r>
        <w:rPr>
          <w:bCs/>
          <w:b/>
        </w:rPr>
        <w:t xml:space="preserve">मतिम् (matim)</w:t>
      </w:r>
      <w:r>
        <w:t xml:space="preserve"> </w:t>
      </w:r>
      <w:r>
        <w:t xml:space="preserve">— (as they praise Indra) who gives understanding |</w:t>
      </w:r>
      <w:r>
        <w:t xml:space="preserve"> </w:t>
      </w:r>
      <w:r>
        <w:rPr>
          <w:bCs/>
          <w:b/>
        </w:rPr>
        <w:t xml:space="preserve">यथा (yathā)</w:t>
      </w:r>
      <w:r>
        <w:t xml:space="preserve"> </w:t>
      </w:r>
      <w:r>
        <w:t xml:space="preserve">— in whatever manner (they praise) |</w:t>
      </w:r>
      <w:r>
        <w:t xml:space="preserve"> </w:t>
      </w:r>
      <w:r>
        <w:rPr>
          <w:bCs/>
          <w:b/>
        </w:rPr>
        <w:t xml:space="preserve">विदद्वसुम् (vidadvasum)</w:t>
      </w:r>
      <w:r>
        <w:t xml:space="preserve"> </w:t>
      </w:r>
      <w:r>
        <w:t xml:space="preserve">— (the Marut-host) able to bestow wealth and lordship by their greatness |</w:t>
      </w:r>
      <w:r>
        <w:t xml:space="preserve"> </w:t>
      </w:r>
      <w:r>
        <w:rPr>
          <w:bCs/>
          <w:b/>
        </w:rPr>
        <w:t xml:space="preserve">श्रुतम् (śrutam)</w:t>
      </w:r>
      <w:r>
        <w:t xml:space="preserve"> </w:t>
      </w:r>
      <w:r>
        <w:t xml:space="preserve">— famous |</w:t>
      </w:r>
      <w:r>
        <w:t xml:space="preserve"> </w:t>
      </w:r>
      <w:r>
        <w:rPr>
          <w:bCs/>
          <w:b/>
        </w:rPr>
        <w:t xml:space="preserve">महाम् (mahām)</w:t>
      </w:r>
      <w:r>
        <w:t xml:space="preserve"> </w:t>
      </w:r>
      <w:r>
        <w:t xml:space="preserve">— great (the great host of Maruts) |</w:t>
      </w:r>
      <w:r>
        <w:t xml:space="preserve"> </w:t>
      </w:r>
      <w:r>
        <w:rPr>
          <w:bCs/>
          <w:b/>
        </w:rPr>
        <w:t xml:space="preserve">अच्छ (accha)</w:t>
      </w:r>
      <w:r>
        <w:t xml:space="preserve"> </w:t>
      </w:r>
      <w:r>
        <w:t xml:space="preserve">— in order to reach |</w:t>
      </w:r>
      <w:r>
        <w:t xml:space="preserve"> </w:t>
      </w:r>
      <w:r>
        <w:rPr>
          <w:bCs/>
          <w:b/>
        </w:rPr>
        <w:t xml:space="preserve">अनूषत (anūṣata)</w:t>
      </w:r>
      <w:r>
        <w:t xml:space="preserve"> </w:t>
      </w:r>
      <w:r>
        <w:t xml:space="preserve">— they praise.</w:t>
      </w:r>
    </w:p>
    <w:p>
      <w:pPr>
        <w:pStyle w:val="BodyText"/>
      </w:pPr>
      <w:r>
        <w:rPr>
          <w:bCs/>
          <w:b/>
        </w:rPr>
        <w:t xml:space="preserve">॥ Bhāvārthaḥ ॥</w:t>
      </w:r>
      <w:r>
        <w:t xml:space="preserve"> </w:t>
      </w:r>
      <w:r>
        <w:rPr>
          <w:iCs/>
          <w:i/>
        </w:rPr>
        <w:t xml:space="preserve">(Kannada, translated)</w:t>
      </w:r>
    </w:p>
    <w:p>
      <w:pPr>
        <w:pStyle w:val="BodyText"/>
      </w:pPr>
      <w:r>
        <w:t xml:space="preserve">The priests and other people who wish to praise the Marut-deities praise the Marut-deities in the same way as they praise Indra, who gives understanding or who is wise. These Marut-deities are able to give wealth and lordship by their greatness; they are great and famous. They praise such Marut-deities with love.</w:t>
      </w:r>
    </w:p>
    <w:p>
      <w:pPr>
        <w:pStyle w:val="BodyText"/>
      </w:pPr>
      <w:r>
        <w:rPr>
          <w:bCs/>
          <w:b/>
        </w:rPr>
        <w:t xml:space="preserve">English Translation</w:t>
      </w:r>
      <w:r>
        <w:t xml:space="preserve"> </w:t>
      </w:r>
      <w:r>
        <w:rPr>
          <w:iCs/>
          <w:i/>
        </w:rPr>
        <w:t xml:space="preserve">(printed in English in the source itself):</w:t>
      </w:r>
    </w:p>
    <w:p>
      <w:pPr>
        <w:pStyle w:val="BodyText"/>
      </w:pPr>
      <w:r>
        <w:t xml:space="preserve">“</w:t>
      </w:r>
      <w:r>
        <w:t xml:space="preserve">The reciters of praises praise the mighty (troop of Maruts) who are celebrated and conscious of the power of bestowing wealth, just as they praise the counseller (Indra).</w:t>
      </w:r>
      <w:r>
        <w:t xml:space="preserve">”</w:t>
      </w:r>
    </w:p>
    <w:bookmarkEnd w:id="271"/>
    <w:bookmarkStart w:id="272" w:name="page-232-special-topics-on-rik-6.6"/>
    <w:p>
      <w:pPr>
        <w:pStyle w:val="Heading3"/>
      </w:pPr>
      <w:r>
        <w:t xml:space="preserve">Page 232 — Special topics on Rik 6.6</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6.</w:t>
      </w:r>
      <w:r>
        <w:rPr>
          <w:iCs/>
          <w:i/>
        </w:rPr>
        <w:t xml:space="preserve">”</w:t>
      </w:r>
      <w:r>
        <w:rPr>
          <w:iCs/>
          <w:i/>
        </w:rPr>
        <w:t xml:space="preserve"> </w:t>
      </w:r>
      <w:r>
        <w:rPr>
          <w:iCs/>
          <w:i/>
        </w:rPr>
        <w:t xml:space="preserve">Kannada prose translated; the Sanskrit of Skandasvāmī’s gloss is given in three layers, read at ordinary enlargement and flagged where unclear.)</w:t>
      </w:r>
    </w:p>
    <w:p>
      <w:pPr>
        <w:pStyle w:val="BodyText"/>
      </w:pPr>
      <w:r>
        <w:rPr>
          <w:bCs/>
          <w:b/>
        </w:rPr>
        <w:t xml:space="preserve">॥ Viśeṣa-viṣayagaḷu (Special Topics) ॥</w:t>
      </w:r>
    </w:p>
    <w:p>
      <w:pPr>
        <w:pStyle w:val="BodyText"/>
      </w:pPr>
      <w:r>
        <w:t xml:space="preserve">Because the meaning of this Ṛk is not plain, many words must be supplied in order to obtain a proper sense; and besides, the senses of some words have to be changed slightly.</w:t>
      </w:r>
    </w:p>
    <w:p>
      <w:pPr>
        <w:pStyle w:val="BodyText"/>
      </w:pPr>
      <w:r>
        <w:rPr>
          <w:bCs/>
          <w:b/>
        </w:rPr>
        <w:t xml:space="preserve">देवयन्तः (devayantaḥ)</w:t>
      </w:r>
      <w:r>
        <w:t xml:space="preserve"> </w:t>
      </w:r>
      <w:r>
        <w:t xml:space="preserve">—</w:t>
      </w:r>
      <w:r>
        <w:t xml:space="preserve"> </w:t>
      </w:r>
      <w:r>
        <w:t xml:space="preserve">“</w:t>
      </w:r>
      <w:r>
        <w:t xml:space="preserve">devān marutaḥ icchantaḥ devayantaḥ</w:t>
      </w:r>
      <w:r>
        <w:t xml:space="preserve">”</w:t>
      </w:r>
      <w:r>
        <w:t xml:space="preserve"> </w:t>
      </w:r>
      <w:r>
        <w:t xml:space="preserve">—</w:t>
      </w:r>
      <w:r>
        <w:t xml:space="preserve"> </w:t>
      </w:r>
      <w:r>
        <w:t xml:space="preserve">“</w:t>
      </w:r>
      <w:r>
        <w:t xml:space="preserve">those who wish for the gods, the Maruts</w:t>
      </w:r>
      <w:r>
        <w:t xml:space="preserve">”</w:t>
      </w:r>
      <w:r>
        <w:t xml:space="preserve">; that is, those who wish to praise the Marut-deities.</w:t>
      </w:r>
      <w:r>
        <w:t xml:space="preserve"> </w:t>
      </w:r>
      <w:r>
        <w:rPr>
          <w:bCs/>
          <w:b/>
        </w:rPr>
        <w:t xml:space="preserve">Skandasvāmī</w:t>
      </w:r>
      <w:r>
        <w:t xml:space="preserve"> </w:t>
      </w:r>
      <w:r>
        <w:t xml:space="preserve">has explained it likewise.</w:t>
      </w:r>
    </w:p>
    <w:p>
      <w:pPr>
        <w:pStyle w:val="BodyText"/>
      </w:pPr>
      <w:r>
        <w:rPr>
          <w:bCs/>
          <w:b/>
        </w:rPr>
        <w:t xml:space="preserve">मतिम् (matim)</w:t>
      </w:r>
      <w:r>
        <w:t xml:space="preserve"> </w:t>
      </w:r>
      <w:r>
        <w:t xml:space="preserve">—</w:t>
      </w:r>
      <w:r>
        <w:t xml:space="preserve"> </w:t>
      </w:r>
      <w:r>
        <w:rPr>
          <w:iCs/>
          <w:i/>
        </w:rPr>
        <w:t xml:space="preserve">“</w:t>
      </w:r>
      <w:r>
        <w:rPr>
          <w:iCs/>
          <w:i/>
        </w:rPr>
        <w:t xml:space="preserve">mantāram indraṃ yathā stuvanti tathety arthaḥ | matiśabdo jñāna-paro ’py upacārāj jñātari indre vartate</w:t>
      </w:r>
      <w:r>
        <w:rPr>
          <w:iCs/>
          <w:i/>
        </w:rPr>
        <w:t xml:space="preserve">”</w:t>
      </w:r>
      <w:r>
        <w:t xml:space="preserve"> </w:t>
      </w:r>
      <w:r>
        <w:t xml:space="preserve">(मन्तारमिन्द्रं यथा स्तुवन्ति तथेत्यर्थः । मतिशब्दो ज्ञानपरोऽप्युपचाराज्ज्ञातरीन्द्रे वर्तते —</w:t>
      </w:r>
      <w:r>
        <w:t xml:space="preserve"> </w:t>
      </w:r>
      <w:r>
        <w:t xml:space="preserve">“</w:t>
      </w:r>
      <w:r>
        <w:t xml:space="preserve">the sense is</w:t>
      </w:r>
      <w:r>
        <w:t xml:space="preserve"> </w:t>
      </w:r>
      <w:r>
        <w:t xml:space="preserve">‘</w:t>
      </w:r>
      <w:r>
        <w:t xml:space="preserve">as they praise Indra, the thinker</w:t>
      </w:r>
      <w:r>
        <w:t xml:space="preserve">’</w:t>
      </w:r>
      <w:r>
        <w:t xml:space="preserve"> </w:t>
      </w:r>
      <w:r>
        <w:t xml:space="preserve">— the word</w:t>
      </w:r>
      <w:r>
        <w:t xml:space="preserve"> </w:t>
      </w:r>
      <w:r>
        <w:t xml:space="preserve">‘</w:t>
      </w:r>
      <w:r>
        <w:t xml:space="preserve">mati,</w:t>
      </w:r>
      <w:r>
        <w:t xml:space="preserve">’</w:t>
      </w:r>
      <w:r>
        <w:t xml:space="preserve"> </w:t>
      </w:r>
      <w:r>
        <w:t xml:space="preserve">though it has the sense of knowledge, is by figurative use applied to Indra, the knower</w:t>
      </w:r>
      <w:r>
        <w:t xml:space="preserve">”</w:t>
      </w:r>
      <w:r>
        <w:t xml:space="preserve">).</w:t>
      </w:r>
      <w:r>
        <w:t xml:space="preserve"> </w:t>
      </w:r>
      <w:r>
        <w:rPr>
          <w:iCs/>
          <w:i/>
        </w:rPr>
        <w:t xml:space="preserve">“</w:t>
      </w:r>
      <w:r>
        <w:rPr>
          <w:iCs/>
          <w:i/>
        </w:rPr>
        <w:t xml:space="preserve">athavā padāntare viśeṣyānupādānād indrasyaiṣā saṃjñā</w:t>
      </w:r>
      <w:r>
        <w:rPr>
          <w:iCs/>
          <w:i/>
        </w:rPr>
        <w:t xml:space="preserve">”</w:t>
      </w:r>
      <w:r>
        <w:t xml:space="preserve"> </w:t>
      </w:r>
      <w:r>
        <w:t xml:space="preserve">(अथवा पदान्तरे विशेष्यानुपादानादिन्द्रस्यैषा संज्ञा —</w:t>
      </w:r>
      <w:r>
        <w:t xml:space="preserve"> </w:t>
      </w:r>
      <w:r>
        <w:t xml:space="preserve">“</w:t>
      </w:r>
      <w:r>
        <w:t xml:space="preserve">or, since no other word is supplied as the noun qualified, this is a name of Indra</w:t>
      </w:r>
      <w:r>
        <w:t xml:space="preserve">”</w:t>
      </w:r>
      <w:r>
        <w:t xml:space="preserve">), Sāyaṇa says. the word</w:t>
      </w:r>
      <w:r>
        <w:t xml:space="preserve"> </w:t>
      </w:r>
      <w:r>
        <w:t xml:space="preserve">“</w:t>
      </w:r>
      <w:r>
        <w:t xml:space="preserve">mati</w:t>
      </w:r>
      <w:r>
        <w:t xml:space="preserve">”</w:t>
      </w:r>
      <w:r>
        <w:t xml:space="preserve"> </w:t>
      </w:r>
      <w:r>
        <w:t xml:space="preserve">stands for the sense of knowledge; hence here it is used in the sense of</w:t>
      </w:r>
      <w:r>
        <w:t xml:space="preserve"> </w:t>
      </w:r>
      <w:r>
        <w:t xml:space="preserve">“</w:t>
      </w:r>
      <w:r>
        <w:t xml:space="preserve">one who has knowledge, who has understanding,</w:t>
      </w:r>
      <w:r>
        <w:t xml:space="preserve">”</w:t>
      </w:r>
      <w:r>
        <w:t xml:space="preserve"> </w:t>
      </w:r>
      <w:r>
        <w:t xml:space="preserve">in reference to Indra. Or, in another word it can be understood as a qualifier. In such a context this word refers to Indra himself.</w:t>
      </w:r>
      <w:r>
        <w:t xml:space="preserve"> </w:t>
      </w:r>
      <w:r>
        <w:rPr>
          <w:bCs/>
          <w:b/>
        </w:rPr>
        <w:t xml:space="preserve">Skandasvāmī</w:t>
      </w:r>
      <w:r>
        <w:t xml:space="preserve"> </w:t>
      </w:r>
      <w:r>
        <w:t xml:space="preserve">says:</w:t>
      </w:r>
      <w:r>
        <w:t xml:space="preserve"> </w:t>
      </w:r>
      <w:r>
        <w:t xml:space="preserve">“</w:t>
      </w:r>
      <w:r>
        <w:rPr>
          <w:iCs/>
          <w:i/>
        </w:rPr>
        <w:t xml:space="preserve">manyate stūyate ’sāv iti matir indraḥ | jñātā vā matir vidvān brāhmaṇaḥ | yathā sarvastutyam indraṃ vidvāṃsaṃ vā brāhmaṇaṃ tadvat</w:t>
      </w:r>
      <w:r>
        <w:t xml:space="preserve">”</w:t>
      </w:r>
      <w:r>
        <w:t xml:space="preserve"> </w:t>
      </w:r>
      <w:r>
        <w:t xml:space="preserve">(मन्यते स्तूयतेऽसाविति मतिरिन्द्रः । ज्ञाता वा मतिर्विद्वान् ब्राह्मणः । यथा सर्वस्तुत्यमिन्द्रं विद्वांसं वा ब्राह्मणं तद्वत् —</w:t>
      </w:r>
      <w:r>
        <w:t xml:space="preserve"> </w:t>
      </w:r>
      <w:r>
        <w:t xml:space="preserve">“</w:t>
      </w:r>
      <w:r>
        <w:t xml:space="preserve">‘</w:t>
      </w:r>
      <w:r>
        <w:t xml:space="preserve">mati</w:t>
      </w:r>
      <w:r>
        <w:t xml:space="preserve">’</w:t>
      </w:r>
      <w:r>
        <w:t xml:space="preserve"> </w:t>
      </w:r>
      <w:r>
        <w:t xml:space="preserve">is Indra, since he is thought of, praised; or</w:t>
      </w:r>
      <w:r>
        <w:t xml:space="preserve"> </w:t>
      </w:r>
      <w:r>
        <w:t xml:space="preserve">‘</w:t>
      </w:r>
      <w:r>
        <w:t xml:space="preserve">mati</w:t>
      </w:r>
      <w:r>
        <w:t xml:space="preserve">’</w:t>
      </w:r>
      <w:r>
        <w:t xml:space="preserve"> </w:t>
      </w:r>
      <w:r>
        <w:t xml:space="preserve">is a knower, a learned Brāhmaṇa; as one (praises) Indra, praiseworthy by all, or a learned Brāhmaṇa, so (the Maruts)</w:t>
      </w:r>
      <w:r>
        <w:t xml:space="preserve">”</w:t>
      </w:r>
      <w:r>
        <w:t xml:space="preserve">). That is, since he is</w:t>
      </w:r>
      <w:r>
        <w:t xml:space="preserve"> </w:t>
      </w:r>
      <w:r>
        <w:t xml:space="preserve">“</w:t>
      </w:r>
      <w:r>
        <w:t xml:space="preserve">thought of — praised,</w:t>
      </w:r>
      <w:r>
        <w:t xml:space="preserve">”</w:t>
      </w:r>
      <w:r>
        <w:t xml:space="preserve"> </w:t>
      </w:r>
      <w:r>
        <w:t xml:space="preserve">“</w:t>
      </w:r>
      <w:r>
        <w:t xml:space="preserve">mati</w:t>
      </w:r>
      <w:r>
        <w:t xml:space="preserve">”</w:t>
      </w:r>
      <w:r>
        <w:t xml:space="preserve"> </w:t>
      </w:r>
      <w:r>
        <w:t xml:space="preserve">is the name of Indra; or one who has knowledge, a wise man, a Brāhmaṇa — this too is the sense of this word; so Skandasvāmī says that</w:t>
      </w:r>
      <w:r>
        <w:t xml:space="preserve"> </w:t>
      </w:r>
      <w:r>
        <w:t xml:space="preserve">“</w:t>
      </w:r>
      <w:r>
        <w:t xml:space="preserve">matim</w:t>
      </w:r>
      <w:r>
        <w:t xml:space="preserve">”</w:t>
      </w:r>
      <w:r>
        <w:t xml:space="preserve"> </w:t>
      </w:r>
      <w:r>
        <w:t xml:space="preserve">may be explained as Indra, who is like a Brāhmaṇa full of knowledge, praised by all.</w:t>
      </w:r>
    </w:p>
    <w:p>
      <w:pPr>
        <w:pStyle w:val="BodyText"/>
      </w:pPr>
      <w:r>
        <w:rPr>
          <w:bCs/>
          <w:b/>
        </w:rPr>
        <w:t xml:space="preserve">अच्छ (accha)</w:t>
      </w:r>
      <w:r>
        <w:t xml:space="preserve"> </w:t>
      </w:r>
      <w:r>
        <w:t xml:space="preserve">— The Bhāṣyakāra explains it as</w:t>
      </w:r>
      <w:r>
        <w:t xml:space="preserve"> </w:t>
      </w:r>
      <w:r>
        <w:t xml:space="preserve">“</w:t>
      </w:r>
      <w:r>
        <w:t xml:space="preserve">prāptum</w:t>
      </w:r>
      <w:r>
        <w:t xml:space="preserve">”</w:t>
      </w:r>
      <w:r>
        <w:t xml:space="preserve"> </w:t>
      </w:r>
      <w:r>
        <w:t xml:space="preserve">(to reach). On this matter he cites</w:t>
      </w:r>
      <w:r>
        <w:t xml:space="preserve"> </w:t>
      </w:r>
      <w:r>
        <w:rPr>
          <w:iCs/>
          <w:i/>
        </w:rPr>
        <w:t xml:space="preserve">“</w:t>
      </w:r>
      <w:r>
        <w:rPr>
          <w:iCs/>
          <w:i/>
        </w:rPr>
        <w:t xml:space="preserve">adhyāhṛta-gacchaty-artha-yogād accha gatyarthavadeṣu</w:t>
      </w:r>
      <w:r>
        <w:rPr>
          <w:iCs/>
          <w:i/>
        </w:rPr>
        <w:t xml:space="preserve">”</w:t>
      </w:r>
      <w:r>
        <w:t xml:space="preserve"> </w:t>
      </w:r>
      <w:r>
        <w:t xml:space="preserve">(अध्याहृतगच्छत्यर्थयोगादच्छ गत्यर्थवदेषु —</w:t>
      </w:r>
      <w:r>
        <w:t xml:space="preserve"> </w:t>
      </w:r>
      <w:r>
        <w:t xml:space="preserve">“</w:t>
      </w:r>
      <w:r>
        <w:t xml:space="preserve">from its connection with the sense of</w:t>
      </w:r>
      <w:r>
        <w:t xml:space="preserve"> </w:t>
      </w:r>
      <w:r>
        <w:t xml:space="preserve">‘</w:t>
      </w:r>
      <w:r>
        <w:t xml:space="preserve">gacchati</w:t>
      </w:r>
      <w:r>
        <w:t xml:space="preserve">’</w:t>
      </w:r>
      <w:r>
        <w:t xml:space="preserve"> </w:t>
      </w:r>
      <w:r>
        <w:t xml:space="preserve">(goes), which is supplied:</w:t>
      </w:r>
      <w:r>
        <w:t xml:space="preserve"> </w:t>
      </w:r>
      <w:r>
        <w:t xml:space="preserve">‘</w:t>
      </w:r>
      <w:r>
        <w:t xml:space="preserve">accha gatyarthavadeṣu</w:t>
      </w:r>
      <w:r>
        <w:t xml:space="preserve">’</w:t>
      </w:r>
      <w:r>
        <w:t xml:space="preserve">”</w:t>
      </w:r>
      <w:r>
        <w:t xml:space="preserve">), naming the Pāṇinian sūtra (पा. सू. १-४-६९). This word is always used with a lengthened final vowel in the saṃhitā-text when it occurs in the middle of a Ṛk.</w:t>
      </w:r>
    </w:p>
    <w:p>
      <w:pPr>
        <w:pStyle w:val="BodyText"/>
      </w:pPr>
      <w:r>
        <w:rPr>
          <w:bCs/>
          <w:b/>
        </w:rPr>
        <w:t xml:space="preserve">विदद्वसुम् (vidadvasum)</w:t>
      </w:r>
      <w:r>
        <w:t xml:space="preserve"> </w:t>
      </w:r>
      <w:r>
        <w:t xml:space="preserve">—</w:t>
      </w:r>
      <w:r>
        <w:t xml:space="preserve"> </w:t>
      </w:r>
      <w:r>
        <w:rPr>
          <w:iCs/>
          <w:i/>
        </w:rPr>
        <w:t xml:space="preserve">“</w:t>
      </w:r>
      <w:r>
        <w:rPr>
          <w:iCs/>
          <w:i/>
        </w:rPr>
        <w:t xml:space="preserve">vida jñāna ity asmāt vidantyādāryātiśayavattayā jñāpayanti vasūni dhanāni yaṃ sa vidadvasuḥ</w:t>
      </w:r>
      <w:r>
        <w:rPr>
          <w:iCs/>
          <w:i/>
        </w:rPr>
        <w:t xml:space="preserve">”</w:t>
      </w:r>
      <w:r>
        <w:t xml:space="preserve"> </w:t>
      </w:r>
      <w:r>
        <w:t xml:space="preserve">(विद ज्ञान इत्यस्मात् विदन्त्यादार्यातिशयवत्तया ज्ञापयन्ति वसूनि धनानि यं स विदद्वसुः —</w:t>
      </w:r>
      <w:r>
        <w:t xml:space="preserve"> </w:t>
      </w:r>
      <w:r>
        <w:t xml:space="preserve">“</w:t>
      </w:r>
      <w:r>
        <w:t xml:space="preserve">from</w:t>
      </w:r>
      <w:r>
        <w:t xml:space="preserve"> </w:t>
      </w:r>
      <w:r>
        <w:t xml:space="preserve">‘</w:t>
      </w:r>
      <w:r>
        <w:t xml:space="preserve">vida jñāne</w:t>
      </w:r>
      <w:r>
        <w:t xml:space="preserve">’</w:t>
      </w:r>
      <w:r>
        <w:t xml:space="preserve">: he whom [they] make known … riches, wealth, is</w:t>
      </w:r>
      <w:r>
        <w:t xml:space="preserve"> </w:t>
      </w:r>
      <w:r>
        <w:t xml:space="preserve">‘</w:t>
      </w:r>
      <w:r>
        <w:t xml:space="preserve">vidadvasu</w:t>
      </w:r>
      <w:r>
        <w:t xml:space="preserve">’</w:t>
      </w:r>
      <w:r>
        <w:t xml:space="preserve">”</w:t>
      </w:r>
      <w:r>
        <w:t xml:space="preserve">;</w:t>
      </w:r>
      <w:r>
        <w:t xml:space="preserve"> </w:t>
      </w:r>
      <w:r>
        <w:t xml:space="preserve">“</w:t>
      </w:r>
      <w:r>
        <w:t xml:space="preserve">vidantyādārya-</w:t>
      </w:r>
      <w:r>
        <w:t xml:space="preserve">”</w:t>
      </w:r>
      <w:r>
        <w:t xml:space="preserve"> </w:t>
      </w:r>
      <w:r>
        <w:t xml:space="preserve">as printed; the Kannada takes it as</w:t>
      </w:r>
      <w:r>
        <w:t xml:space="preserve"> </w:t>
      </w:r>
      <w:r>
        <w:rPr>
          <w:iCs/>
          <w:i/>
        </w:rPr>
        <w:t xml:space="preserve">audārya</w:t>
      </w:r>
      <w:r>
        <w:t xml:space="preserve">, generosity) — the root</w:t>
      </w:r>
      <w:r>
        <w:t xml:space="preserve"> </w:t>
      </w:r>
      <w:r>
        <w:t xml:space="preserve">“</w:t>
      </w:r>
      <w:r>
        <w:t xml:space="preserve">vid</w:t>
      </w:r>
      <w:r>
        <w:t xml:space="preserve">”</w:t>
      </w:r>
      <w:r>
        <w:t xml:space="preserve"> </w:t>
      </w:r>
      <w:r>
        <w:t xml:space="preserve">means</w:t>
      </w:r>
      <w:r>
        <w:t xml:space="preserve"> </w:t>
      </w:r>
      <w:r>
        <w:t xml:space="preserve">“</w:t>
      </w:r>
      <w:r>
        <w:t xml:space="preserve">knowing</w:t>
      </w:r>
      <w:r>
        <w:t xml:space="preserve">”</w:t>
      </w:r>
      <w:r>
        <w:t xml:space="preserve">; that is, those who have knowledge in the matter of giving wealth and the like, through the excess of their generosity.</w:t>
      </w:r>
      <w:r>
        <w:t xml:space="preserve"> </w:t>
      </w:r>
      <w:r>
        <w:rPr>
          <w:bCs/>
          <w:b/>
        </w:rPr>
        <w:t xml:space="preserve">Skandasvāmī</w:t>
      </w:r>
      <w:r>
        <w:t xml:space="preserve"> </w:t>
      </w:r>
      <w:r>
        <w:t xml:space="preserve">explains the root</w:t>
      </w:r>
      <w:r>
        <w:t xml:space="preserve"> </w:t>
      </w:r>
      <w:r>
        <w:t xml:space="preserve">“</w:t>
      </w:r>
      <w:r>
        <w:t xml:space="preserve">vid</w:t>
      </w:r>
      <w:r>
        <w:t xml:space="preserve">”</w:t>
      </w:r>
      <w:r>
        <w:t xml:space="preserve"> </w:t>
      </w:r>
      <w:r>
        <w:t xml:space="preserve">as</w:t>
      </w:r>
      <w:r>
        <w:t xml:space="preserve"> </w:t>
      </w:r>
      <w:r>
        <w:t xml:space="preserve">“</w:t>
      </w:r>
      <w:r>
        <w:t xml:space="preserve">to obtain</w:t>
      </w:r>
      <w:r>
        <w:t xml:space="preserve">”</w:t>
      </w:r>
      <w:r>
        <w:t xml:space="preserve">:</w:t>
      </w:r>
      <w:r>
        <w:t xml:space="preserve"> </w:t>
      </w:r>
      <w:r>
        <w:rPr>
          <w:iCs/>
          <w:i/>
        </w:rPr>
        <w:t xml:space="preserve">“</w:t>
      </w:r>
      <w:r>
        <w:rPr>
          <w:iCs/>
          <w:i/>
        </w:rPr>
        <w:t xml:space="preserve">vindater lābhārthasya vidac chabdaḥ | labdhadhanam ity arthaḥ</w:t>
      </w:r>
      <w:r>
        <w:rPr>
          <w:iCs/>
          <w:i/>
        </w:rPr>
        <w:t xml:space="preserve">”</w:t>
      </w:r>
      <w:r>
        <w:t xml:space="preserve"> </w:t>
      </w:r>
      <w:r>
        <w:t xml:space="preserve">(विन्दतेर्लाभार्थस्य विदच्छब्दः । लब्धधनमित्यर्थः —</w:t>
      </w:r>
      <w:r>
        <w:t xml:space="preserve"> </w:t>
      </w:r>
      <w:r>
        <w:t xml:space="preserve">“</w:t>
      </w:r>
      <w:r>
        <w:t xml:space="preserve">the word</w:t>
      </w:r>
      <w:r>
        <w:t xml:space="preserve"> </w:t>
      </w:r>
      <w:r>
        <w:t xml:space="preserve">‘</w:t>
      </w:r>
      <w:r>
        <w:t xml:space="preserve">vidat</w:t>
      </w:r>
      <w:r>
        <w:t xml:space="preserve">’</w:t>
      </w:r>
      <w:r>
        <w:t xml:space="preserve"> </w:t>
      </w:r>
      <w:r>
        <w:t xml:space="preserve">is from</w:t>
      </w:r>
      <w:r>
        <w:t xml:space="preserve"> </w:t>
      </w:r>
      <w:r>
        <w:t xml:space="preserve">‘</w:t>
      </w:r>
      <w:r>
        <w:t xml:space="preserve">vindati</w:t>
      </w:r>
      <w:r>
        <w:t xml:space="preserve">’</w:t>
      </w:r>
      <w:r>
        <w:t xml:space="preserve"> </w:t>
      </w:r>
      <w:r>
        <w:t xml:space="preserve">in the sense of obtaining; the sense is</w:t>
      </w:r>
      <w:r>
        <w:t xml:space="preserve"> </w:t>
      </w:r>
      <w:r>
        <w:t xml:space="preserve">‘</w:t>
      </w:r>
      <w:r>
        <w:t xml:space="preserve">one who has obtained wealth</w:t>
      </w:r>
      <w:r>
        <w:t xml:space="preserve">’</w:t>
      </w:r>
      <w:r>
        <w:t xml:space="preserve">”</w:t>
      </w:r>
      <w:r>
        <w:t xml:space="preserve">) — he takes it as</w:t>
      </w:r>
      <w:r>
        <w:t xml:space="preserve"> </w:t>
      </w:r>
      <w:r>
        <w:t xml:space="preserve">“</w:t>
      </w:r>
      <w:r>
        <w:t xml:space="preserve">those who have obtained wealth.</w:t>
      </w:r>
      <w:r>
        <w:t xml:space="preserve">”</w:t>
      </w:r>
    </w:p>
    <w:p>
      <w:pPr>
        <w:pStyle w:val="BodyText"/>
      </w:pPr>
      <w:r>
        <w:rPr>
          <w:bCs/>
          <w:b/>
        </w:rPr>
        <w:t xml:space="preserve">गिरः (giraḥ)</w:t>
      </w:r>
      <w:r>
        <w:t xml:space="preserve"> </w:t>
      </w:r>
      <w:r>
        <w:t xml:space="preserve">—</w:t>
      </w:r>
      <w:r>
        <w:t xml:space="preserve"> </w:t>
      </w:r>
      <w:r>
        <w:t xml:space="preserve">“</w:t>
      </w:r>
      <w:r>
        <w:t xml:space="preserve">gṛṇanti stuvantīti giraḥ</w:t>
      </w:r>
      <w:r>
        <w:t xml:space="preserve">”</w:t>
      </w:r>
      <w:r>
        <w:t xml:space="preserve"> </w:t>
      </w:r>
      <w:r>
        <w:t xml:space="preserve">— those who praise.</w:t>
      </w:r>
      <w:r>
        <w:t xml:space="preserve"> </w:t>
      </w:r>
      <w:r>
        <w:rPr>
          <w:bCs/>
          <w:b/>
        </w:rPr>
        <w:t xml:space="preserve">महाम् (mahām)</w:t>
      </w:r>
      <w:r>
        <w:t xml:space="preserve"> </w:t>
      </w:r>
      <w:r>
        <w:t xml:space="preserve">—</w:t>
      </w:r>
      <w:r>
        <w:t xml:space="preserve"> </w:t>
      </w:r>
      <w:r>
        <w:t xml:space="preserve">“</w:t>
      </w:r>
      <w:r>
        <w:t xml:space="preserve">mahāntam</w:t>
      </w:r>
      <w:r>
        <w:t xml:space="preserve">”</w:t>
      </w:r>
      <w:r>
        <w:t xml:space="preserve"> </w:t>
      </w:r>
      <w:r>
        <w:t xml:space="preserve">(the great); here, for the convenience of the metre, the</w:t>
      </w:r>
      <w:r>
        <w:t xml:space="preserve"> </w:t>
      </w:r>
      <w:r>
        <w:t xml:space="preserve">“</w:t>
      </w:r>
      <w:r>
        <w:t xml:space="preserve">n</w:t>
      </w:r>
      <w:r>
        <w:t xml:space="preserve">”</w:t>
      </w:r>
      <w:r>
        <w:t xml:space="preserve"> </w:t>
      </w:r>
      <w:r>
        <w:t xml:space="preserve">and</w:t>
      </w:r>
      <w:r>
        <w:t xml:space="preserve"> </w:t>
      </w:r>
      <w:r>
        <w:t xml:space="preserve">“</w:t>
      </w:r>
      <w:r>
        <w:t xml:space="preserve">t</w:t>
      </w:r>
      <w:r>
        <w:t xml:space="preserve">”</w:t>
      </w:r>
      <w:r>
        <w:t xml:space="preserve"> </w:t>
      </w:r>
      <w:r>
        <w:t xml:space="preserve">are dropped.</w:t>
      </w:r>
    </w:p>
    <w:bookmarkEnd w:id="272"/>
    <w:bookmarkStart w:id="273" w:name="X0a1a7e88bf63ad25efba540eaf9942852e342e5"/>
    <w:p>
      <w:pPr>
        <w:pStyle w:val="Heading3"/>
      </w:pPr>
      <w:r>
        <w:t xml:space="preserve">Pages 233–235 — Vyākaraṇa-prakriyā for Rik 6.6 (Kannada) — characterized</w:t>
      </w:r>
    </w:p>
    <w:p>
      <w:pPr>
        <w:pStyle w:val="FirstParagraph"/>
      </w:pPr>
      <w:r>
        <w:rPr>
          <w:iCs/>
          <w:i/>
        </w:rPr>
        <w:t xml:space="preserve">(Page headers: p. 233</w:t>
      </w:r>
      <w:r>
        <w:rPr>
          <w:iCs/>
          <w:i/>
        </w:rPr>
        <w:t xml:space="preserve"> </w:t>
      </w:r>
      <w:r>
        <w:rPr>
          <w:iCs/>
          <w:i/>
        </w:rPr>
        <w:t xml:space="preserve">“</w:t>
      </w:r>
      <w:r>
        <w:rPr>
          <w:iCs/>
          <w:i/>
        </w:rPr>
        <w:t xml:space="preserve">Aṣṭaka 1, Adhyāya 1, Varga 12 · Ṛgveda-saṃhitā</w:t>
      </w:r>
      <w:r>
        <w:rPr>
          <w:iCs/>
          <w:i/>
        </w:rPr>
        <w:t xml:space="preserve">”</w:t>
      </w:r>
      <w:r>
        <w:rPr>
          <w:iCs/>
          <w:i/>
        </w:rPr>
        <w:t xml:space="preserve">; p. 234</w:t>
      </w:r>
      <w:r>
        <w:rPr>
          <w:iCs/>
          <w:i/>
        </w:rPr>
        <w:t xml:space="preserve"> </w:t>
      </w:r>
      <w:r>
        <w:rPr>
          <w:iCs/>
          <w:i/>
        </w:rPr>
        <w:t xml:space="preserve">“</w:t>
      </w:r>
      <w:r>
        <w:rPr>
          <w:iCs/>
          <w:i/>
        </w:rPr>
        <w:t xml:space="preserve">Sāyaṇa-bhāṣya-sahitā · Maṇḍala 1, Anuvāka 2, Sūkta 6</w:t>
      </w:r>
      <w:r>
        <w:rPr>
          <w:iCs/>
          <w:i/>
        </w:rPr>
        <w:t xml:space="preserve">”</w:t>
      </w:r>
      <w:r>
        <w:rPr>
          <w:iCs/>
          <w:i/>
        </w:rPr>
        <w:t xml:space="preserve">; p. 235</w:t>
      </w:r>
      <w:r>
        <w:rPr>
          <w:iCs/>
          <w:i/>
        </w:rPr>
        <w:t xml:space="preserve"> </w:t>
      </w:r>
      <w:r>
        <w:rPr>
          <w:iCs/>
          <w:i/>
        </w:rPr>
        <w:t xml:space="preserve">“</w:t>
      </w:r>
      <w:r>
        <w:rPr>
          <w:iCs/>
          <w:i/>
        </w:rPr>
        <w:t xml:space="preserve">Aṣṭaka 1, Adhyāya 1, Varga 12.</w:t>
      </w:r>
      <w:r>
        <w:rPr>
          <w:iCs/>
          <w:i/>
        </w:rPr>
        <w:t xml:space="preserve">”</w:t>
      </w:r>
      <w:r>
        <w:rPr>
          <w:iCs/>
          <w:i/>
        </w:rPr>
        <w:t xml:space="preserve"> </w:t>
      </w:r>
      <w:r>
        <w:rPr>
          <w:iCs/>
          <w:i/>
        </w:rPr>
        <w:t xml:space="preserve">These three pages are</w:t>
      </w:r>
      <w:r>
        <w:rPr>
          <w:iCs/>
          <w:i/>
        </w:rPr>
        <w:t xml:space="preserve"> </w:t>
      </w:r>
      <w:r>
        <w:rPr>
          <w:bCs/>
          <w:b/>
          <w:iCs/>
          <w:i/>
        </w:rPr>
        <w:t xml:space="preserve">pure Pāṇinian derivation in Kannada prose</w:t>
      </w:r>
      <w:r>
        <w:rPr>
          <w:iCs/>
          <w:i/>
        </w:rPr>
        <w:t xml:space="preserve"> </w:t>
      </w:r>
      <w:r>
        <w:rPr>
          <w:iCs/>
          <w:i/>
        </w:rPr>
        <w:t xml:space="preserve">for</w:t>
      </w:r>
      <w:r>
        <w:rPr>
          <w:iCs/>
          <w:i/>
        </w:rPr>
        <w:t xml:space="preserve"> </w:t>
      </w:r>
      <w:r>
        <w:rPr>
          <w:iCs/>
          <w:i/>
        </w:rPr>
        <w:t xml:space="preserve">“</w:t>
      </w:r>
      <w:r>
        <w:rPr>
          <w:iCs/>
          <w:i/>
        </w:rPr>
        <w:t xml:space="preserve">devayantaḥ,</w:t>
      </w:r>
      <w:r>
        <w:rPr>
          <w:iCs/>
          <w:i/>
        </w:rPr>
        <w:t xml:space="preserve">”</w:t>
      </w:r>
      <w:r>
        <w:rPr>
          <w:iCs/>
          <w:i/>
        </w:rPr>
        <w:t xml:space="preserve"> </w:t>
      </w:r>
      <w:r>
        <w:rPr>
          <w:iCs/>
          <w:i/>
        </w:rPr>
        <w:t xml:space="preserve">“</w:t>
      </w:r>
      <w:r>
        <w:rPr>
          <w:iCs/>
          <w:i/>
        </w:rPr>
        <w:t xml:space="preserve">yathā,</w:t>
      </w:r>
      <w:r>
        <w:rPr>
          <w:iCs/>
          <w:i/>
        </w:rPr>
        <w:t xml:space="preserve">”</w:t>
      </w:r>
      <w:r>
        <w:rPr>
          <w:iCs/>
          <w:i/>
        </w:rPr>
        <w:t xml:space="preserve"> </w:t>
      </w:r>
      <w:r>
        <w:rPr>
          <w:iCs/>
          <w:i/>
        </w:rPr>
        <w:t xml:space="preserve">“</w:t>
      </w:r>
      <w:r>
        <w:rPr>
          <w:iCs/>
          <w:i/>
        </w:rPr>
        <w:t xml:space="preserve">matim,</w:t>
      </w:r>
      <w:r>
        <w:rPr>
          <w:iCs/>
          <w:i/>
        </w:rPr>
        <w:t xml:space="preserve">”</w:t>
      </w:r>
      <w:r>
        <w:rPr>
          <w:iCs/>
          <w:i/>
        </w:rPr>
        <w:t xml:space="preserve"> </w:t>
      </w:r>
      <w:r>
        <w:rPr>
          <w:iCs/>
          <w:i/>
        </w:rPr>
        <w:t xml:space="preserve">“</w:t>
      </w:r>
      <w:r>
        <w:rPr>
          <w:iCs/>
          <w:i/>
        </w:rPr>
        <w:t xml:space="preserve">accha,</w:t>
      </w:r>
      <w:r>
        <w:rPr>
          <w:iCs/>
          <w:i/>
        </w:rPr>
        <w:t xml:space="preserve">”</w:t>
      </w:r>
      <w:r>
        <w:rPr>
          <w:iCs/>
          <w:i/>
        </w:rPr>
        <w:t xml:space="preserve"> </w:t>
      </w:r>
      <w:r>
        <w:rPr>
          <w:iCs/>
          <w:i/>
        </w:rPr>
        <w:t xml:space="preserve">“</w:t>
      </w:r>
      <w:r>
        <w:rPr>
          <w:iCs/>
          <w:i/>
        </w:rPr>
        <w:t xml:space="preserve">vidadvasum,</w:t>
      </w:r>
      <w:r>
        <w:rPr>
          <w:iCs/>
          <w:i/>
        </w:rPr>
        <w:t xml:space="preserve">”</w:t>
      </w:r>
      <w:r>
        <w:rPr>
          <w:iCs/>
          <w:i/>
        </w:rPr>
        <w:t xml:space="preserve"> </w:t>
      </w:r>
      <w:r>
        <w:rPr>
          <w:iCs/>
          <w:i/>
        </w:rPr>
        <w:t xml:space="preserve">“</w:t>
      </w:r>
      <w:r>
        <w:rPr>
          <w:iCs/>
          <w:i/>
        </w:rPr>
        <w:t xml:space="preserve">giraḥ,</w:t>
      </w:r>
      <w:r>
        <w:rPr>
          <w:iCs/>
          <w:i/>
        </w:rPr>
        <w:t xml:space="preserve">”</w:t>
      </w:r>
      <w:r>
        <w:rPr>
          <w:iCs/>
          <w:i/>
        </w:rPr>
        <w:t xml:space="preserve"> </w:t>
      </w:r>
      <w:r>
        <w:rPr>
          <w:iCs/>
          <w:i/>
        </w:rPr>
        <w:t xml:space="preserve">“</w:t>
      </w:r>
      <w:r>
        <w:rPr>
          <w:iCs/>
          <w:i/>
        </w:rPr>
        <w:t xml:space="preserve">mahām,</w:t>
      </w:r>
      <w:r>
        <w:rPr>
          <w:iCs/>
          <w:i/>
        </w:rPr>
        <w:t xml:space="preserve">”</w:t>
      </w:r>
      <w:r>
        <w:rPr>
          <w:iCs/>
          <w:i/>
        </w:rPr>
        <w:t xml:space="preserve"> </w:t>
      </w:r>
      <w:r>
        <w:rPr>
          <w:iCs/>
          <w:i/>
        </w:rPr>
        <w:t xml:space="preserve">“</w:t>
      </w:r>
      <w:r>
        <w:rPr>
          <w:iCs/>
          <w:i/>
        </w:rPr>
        <w:t xml:space="preserve">anūṣata</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śrutam</w:t>
      </w:r>
      <w:r>
        <w:rPr>
          <w:iCs/>
          <w:i/>
        </w:rPr>
        <w:t xml:space="preserve">”</w:t>
      </w:r>
      <w:r>
        <w:rPr>
          <w:iCs/>
          <w:i/>
        </w:rPr>
        <w:t xml:space="preserve">; they do not bear on the sense of Rik 6.6 (pp. 230–232). They are</w:t>
      </w:r>
      <w:r>
        <w:rPr>
          <w:iCs/>
          <w:i/>
        </w:rPr>
        <w:t xml:space="preserve"> </w:t>
      </w:r>
      <w:r>
        <w:rPr>
          <w:bCs/>
          <w:b/>
          <w:iCs/>
          <w:i/>
        </w:rPr>
        <w:t xml:space="preserve">characterized in outline</w:t>
      </w:r>
      <w:r>
        <w:rPr>
          <w:iCs/>
          <w:i/>
        </w:rPr>
        <w:t xml:space="preserve">, re-read from the better scan with every printed sūtra number.)</w:t>
      </w:r>
    </w:p>
    <w:p>
      <w:pPr>
        <w:pStyle w:val="BodyText"/>
      </w:pPr>
      <w:r>
        <w:rPr>
          <w:bCs/>
          <w:b/>
        </w:rPr>
        <w:t xml:space="preserve">p. 233 —</w:t>
      </w:r>
      <w:r>
        <w:rPr>
          <w:bCs/>
          <w:b/>
        </w:rPr>
        <w:t xml:space="preserve"> </w:t>
      </w:r>
      <w:r>
        <w:rPr>
          <w:bCs/>
          <w:b/>
        </w:rPr>
        <w:t xml:space="preserve">“</w:t>
      </w:r>
      <w:r>
        <w:rPr>
          <w:bCs/>
          <w:b/>
        </w:rPr>
        <w:t xml:space="preserve">devayantaḥ.</w:t>
      </w:r>
      <w:r>
        <w:rPr>
          <w:bCs/>
          <w:b/>
        </w:rPr>
        <w:t xml:space="preserve">”</w:t>
      </w:r>
      <w:r>
        <w:t xml:space="preserve"> </w:t>
      </w:r>
      <w:r>
        <w:t xml:space="preserve">“</w:t>
      </w:r>
      <w:r>
        <w:t xml:space="preserve">Devān ātmana icchantaḥ</w:t>
      </w:r>
      <w:r>
        <w:t xml:space="preserve">”</w:t>
      </w:r>
      <w:r>
        <w:t xml:space="preserve"> </w:t>
      </w:r>
      <w:r>
        <w:t xml:space="preserve">(</w:t>
      </w:r>
      <w:r>
        <w:t xml:space="preserve">“</w:t>
      </w:r>
      <w:r>
        <w:t xml:space="preserve">wishing the gods for themselves</w:t>
      </w:r>
      <w:r>
        <w:t xml:space="preserve">”</w:t>
      </w:r>
      <w:r>
        <w:t xml:space="preserve">):</w:t>
      </w:r>
      <w:r>
        <w:t xml:space="preserve"> </w:t>
      </w:r>
      <w:r>
        <w:rPr>
          <w:bCs/>
          <w:b/>
        </w:rPr>
        <w:t xml:space="preserve">सुप आत्मनः क्यच्</w:t>
      </w:r>
      <w:r>
        <w:t xml:space="preserve"> </w:t>
      </w:r>
      <w:r>
        <w:t xml:space="preserve">(पा. सू. ३-१-८) —</w:t>
      </w:r>
      <w:r>
        <w:t xml:space="preserve"> </w:t>
      </w:r>
      <w:r>
        <w:t xml:space="preserve">“</w:t>
      </w:r>
      <w:r>
        <w:t xml:space="preserve">supaḥ</w:t>
      </w:r>
      <w:r>
        <w:t xml:space="preserve">”</w:t>
      </w:r>
      <w:r>
        <w:t xml:space="preserve"> </w:t>
      </w:r>
      <w:r>
        <w:t xml:space="preserve">here means a word ending in a case-ending, by the paribhāṣā</w:t>
      </w:r>
      <w:r>
        <w:t xml:space="preserve"> </w:t>
      </w:r>
      <w:r>
        <w:t xml:space="preserve">“</w:t>
      </w:r>
      <w:r>
        <w:t xml:space="preserve">pratyaya-grahaṇe tadanta-grahaṇam</w:t>
      </w:r>
      <w:r>
        <w:t xml:space="preserve">”</w:t>
      </w:r>
      <w:r>
        <w:t xml:space="preserve"> </w:t>
      </w:r>
      <w:r>
        <w:t xml:space="preserve">(an affix named stands for what ends in it; परि. २३ [?], the first digit unclear); from</w:t>
      </w:r>
      <w:r>
        <w:t xml:space="preserve"> </w:t>
      </w:r>
      <w:r>
        <w:rPr>
          <w:bCs/>
          <w:b/>
        </w:rPr>
        <w:t xml:space="preserve">धातोः कर्मणः समानकर्तृकादिच्छायां वा</w:t>
      </w:r>
      <w:r>
        <w:t xml:space="preserve"> </w:t>
      </w:r>
      <w:r>
        <w:t xml:space="preserve">(पा. सू. ३-१-७) the three words</w:t>
      </w:r>
      <w:r>
        <w:t xml:space="preserve"> </w:t>
      </w:r>
      <w:r>
        <w:t xml:space="preserve">“</w:t>
      </w:r>
      <w:r>
        <w:t xml:space="preserve">karmaṇaḥ icchāyām vā</w:t>
      </w:r>
      <w:r>
        <w:t xml:space="preserve">”</w:t>
      </w:r>
      <w:r>
        <w:t xml:space="preserve"> </w:t>
      </w:r>
      <w:r>
        <w:t xml:space="preserve">carry over (the print explains</w:t>
      </w:r>
      <w:r>
        <w:t xml:space="preserve"> </w:t>
      </w:r>
      <w:r>
        <w:t xml:space="preserve">“</w:t>
      </w:r>
      <w:r>
        <w:t xml:space="preserve">anuvṛtti</w:t>
      </w:r>
      <w:r>
        <w:t xml:space="preserve">”</w:t>
      </w:r>
      <w:r>
        <w:t xml:space="preserve">: a word of an earlier sūtra joined, as the sense requires, to a later one);</w:t>
      </w:r>
      <w:r>
        <w:t xml:space="preserve"> </w:t>
      </w:r>
      <w:r>
        <w:t xml:space="preserve">“</w:t>
      </w:r>
      <w:r>
        <w:t xml:space="preserve">karmaṇaḥ</w:t>
      </w:r>
      <w:r>
        <w:t xml:space="preserve">”</w:t>
      </w:r>
      <w:r>
        <w:t xml:space="preserve"> </w:t>
      </w:r>
      <w:r>
        <w:t xml:space="preserve">is ablative,</w:t>
      </w:r>
      <w:r>
        <w:t xml:space="preserve"> </w:t>
      </w:r>
      <w:r>
        <w:t xml:space="preserve">“</w:t>
      </w:r>
      <w:r>
        <w:t xml:space="preserve">from the object</w:t>
      </w:r>
      <w:r>
        <w:t xml:space="preserve">”</w:t>
      </w:r>
      <w:r>
        <w:t xml:space="preserve">;</w:t>
      </w:r>
      <w:r>
        <w:t xml:space="preserve"> </w:t>
      </w:r>
      <w:r>
        <w:t xml:space="preserve">“</w:t>
      </w:r>
      <w:r>
        <w:t xml:space="preserve">ātmanaḥ</w:t>
      </w:r>
      <w:r>
        <w:t xml:space="preserve">”</w:t>
      </w:r>
      <w:r>
        <w:t xml:space="preserve"> </w:t>
      </w:r>
      <w:r>
        <w:t xml:space="preserve">is a genitive of purpose,</w:t>
      </w:r>
      <w:r>
        <w:t xml:space="preserve"> </w:t>
      </w:r>
      <w:r>
        <w:t xml:space="preserve">“</w:t>
      </w:r>
      <w:r>
        <w:t xml:space="preserve">for oneself</w:t>
      </w:r>
      <w:r>
        <w:t xml:space="preserve">”</w:t>
      </w:r>
      <w:r>
        <w:t xml:space="preserve">; the sense of the sūtra: after a subanta denoting the object that one wishes for one’s own sake,</w:t>
      </w:r>
      <w:r>
        <w:t xml:space="preserve"> </w:t>
      </w:r>
      <w:r>
        <w:t xml:space="preserve">“</w:t>
      </w:r>
      <w:r>
        <w:t xml:space="preserve">kyac</w:t>
      </w:r>
      <w:r>
        <w:t xml:space="preserve">”</w:t>
      </w:r>
      <w:r>
        <w:t xml:space="preserve"> </w:t>
      </w:r>
      <w:r>
        <w:t xml:space="preserve">comes optionally in the sense</w:t>
      </w:r>
      <w:r>
        <w:t xml:space="preserve"> </w:t>
      </w:r>
      <w:r>
        <w:t xml:space="preserve">“</w:t>
      </w:r>
      <w:r>
        <w:t xml:space="preserve">wishes.</w:t>
      </w:r>
      <w:r>
        <w:t xml:space="preserve">”</w:t>
      </w:r>
      <w:r>
        <w:t xml:space="preserve"> </w:t>
      </w:r>
      <w:r>
        <w:t xml:space="preserve">In</w:t>
      </w:r>
      <w:r>
        <w:t xml:space="preserve"> </w:t>
      </w:r>
      <w:r>
        <w:t xml:space="preserve">“</w:t>
      </w:r>
      <w:r>
        <w:t xml:space="preserve">devayantaḥ</w:t>
      </w:r>
      <w:r>
        <w:t xml:space="preserve">”</w:t>
      </w:r>
      <w:r>
        <w:t xml:space="preserve"> </w:t>
      </w:r>
      <w:r>
        <w:t xml:space="preserve">those who wish are the ṛtvijs, who wish the gods for their own purposes. The print quotes the kārikā on the denominative affixes (</w:t>
      </w:r>
      <w:r>
        <w:t xml:space="preserve">“</w:t>
      </w:r>
      <w:r>
        <w:t xml:space="preserve">san kyac kāmyac kyaṣ … yak āya īyaṅ ṇiṅ ceti dvādaśāmī sanādayaḥ</w:t>
      </w:r>
      <w:r>
        <w:t xml:space="preserve">”</w:t>
      </w:r>
      <w:r>
        <w:t xml:space="preserve"> </w:t>
      </w:r>
      <w:r>
        <w:t xml:space="preserve">— the twelve</w:t>
      </w:r>
      <w:r>
        <w:t xml:space="preserve"> </w:t>
      </w:r>
      <w:r>
        <w:t xml:space="preserve">“</w:t>
      </w:r>
      <w:r>
        <w:t xml:space="preserve">san</w:t>
      </w:r>
      <w:r>
        <w:t xml:space="preserve">”</w:t>
      </w:r>
      <w:r>
        <w:t xml:space="preserve"> </w:t>
      </w:r>
      <w:r>
        <w:t xml:space="preserve">and the rest) [as read; the line is crowded].</w:t>
      </w:r>
      <w:r>
        <w:t xml:space="preserve"> </w:t>
      </w:r>
      <w:r>
        <w:rPr>
          <w:bCs/>
          <w:b/>
        </w:rPr>
        <w:t xml:space="preserve">सनाद्यन्ता धातवः</w:t>
      </w:r>
      <w:r>
        <w:t xml:space="preserve"> </w:t>
      </w:r>
      <w:r>
        <w:t xml:space="preserve">(पा. सू. ३-१-३२) makes the</w:t>
      </w:r>
      <w:r>
        <w:t xml:space="preserve"> </w:t>
      </w:r>
      <w:r>
        <w:t xml:space="preserve">“</w:t>
      </w:r>
      <w:r>
        <w:t xml:space="preserve">kyac</w:t>
      </w:r>
      <w:r>
        <w:t xml:space="preserve">”</w:t>
      </w:r>
      <w:r>
        <w:t xml:space="preserve">-ended form a root;</w:t>
      </w:r>
      <w:r>
        <w:t xml:space="preserve"> </w:t>
      </w:r>
      <w:r>
        <w:rPr>
          <w:bCs/>
          <w:b/>
        </w:rPr>
        <w:t xml:space="preserve">सुपो धातुप्रातिपदिकयोः</w:t>
      </w:r>
      <w:r>
        <w:t xml:space="preserve"> </w:t>
      </w:r>
      <w:r>
        <w:t xml:space="preserve">(पा. सू. २-४-७१) elides the case-ending</w:t>
      </w:r>
      <w:r>
        <w:t xml:space="preserve"> </w:t>
      </w:r>
      <w:r>
        <w:t xml:space="preserve">“</w:t>
      </w:r>
      <w:r>
        <w:t xml:space="preserve">śas</w:t>
      </w:r>
      <w:r>
        <w:t xml:space="preserve">”</w:t>
      </w:r>
      <w:r>
        <w:t xml:space="preserve">;</w:t>
      </w:r>
      <w:r>
        <w:t xml:space="preserve"> </w:t>
      </w:r>
      <w:r>
        <w:rPr>
          <w:bCs/>
          <w:b/>
        </w:rPr>
        <w:t xml:space="preserve">क्यचि च</w:t>
      </w:r>
      <w:r>
        <w:t xml:space="preserve"> </w:t>
      </w:r>
      <w:r>
        <w:t xml:space="preserve">(पा. सू. ७-४-३३) would give</w:t>
      </w:r>
      <w:r>
        <w:t xml:space="preserve"> </w:t>
      </w:r>
      <w:r>
        <w:t xml:space="preserve">“</w:t>
      </w:r>
      <w:r>
        <w:t xml:space="preserve">ī</w:t>
      </w:r>
      <w:r>
        <w:t xml:space="preserve">”</w:t>
      </w:r>
      <w:r>
        <w:t xml:space="preserve"> </w:t>
      </w:r>
      <w:r>
        <w:t xml:space="preserve">for the</w:t>
      </w:r>
      <w:r>
        <w:t xml:space="preserve"> </w:t>
      </w:r>
      <w:r>
        <w:t xml:space="preserve">“</w:t>
      </w:r>
      <w:r>
        <w:t xml:space="preserve">a</w:t>
      </w:r>
      <w:r>
        <w:t xml:space="preserve">”</w:t>
      </w:r>
      <w:r>
        <w:t xml:space="preserve"> </w:t>
      </w:r>
      <w:r>
        <w:t xml:space="preserve">before</w:t>
      </w:r>
      <w:r>
        <w:t xml:space="preserve"> </w:t>
      </w:r>
      <w:r>
        <w:t xml:space="preserve">“</w:t>
      </w:r>
      <w:r>
        <w:t xml:space="preserve">kyac,</w:t>
      </w:r>
      <w:r>
        <w:t xml:space="preserve">”</w:t>
      </w:r>
      <w:r>
        <w:t xml:space="preserve"> </w:t>
      </w:r>
      <w:r>
        <w:t xml:space="preserve">and</w:t>
      </w:r>
      <w:r>
        <w:t xml:space="preserve"> </w:t>
      </w:r>
      <w:r>
        <w:rPr>
          <w:bCs/>
          <w:b/>
        </w:rPr>
        <w:t xml:space="preserve">अकृत्सार्वधातुकयोर्दीर्घः</w:t>
      </w:r>
      <w:r>
        <w:t xml:space="preserve"> </w:t>
      </w:r>
      <w:r>
        <w:t xml:space="preserve">(पा. सू. ७-४-२५) a long vowel; but</w:t>
      </w:r>
      <w:r>
        <w:t xml:space="preserve"> </w:t>
      </w:r>
      <w:r>
        <w:rPr>
          <w:bCs/>
          <w:b/>
        </w:rPr>
        <w:t xml:space="preserve">न छन्दस्यपुत्रस्य</w:t>
      </w:r>
      <w:r>
        <w:t xml:space="preserve"> </w:t>
      </w:r>
      <w:r>
        <w:t xml:space="preserve">(पा. सू. ७-४-३५) forbids both in the Veda for words other than</w:t>
      </w:r>
      <w:r>
        <w:t xml:space="preserve"> </w:t>
      </w:r>
      <w:r>
        <w:t xml:space="preserve">“</w:t>
      </w:r>
      <w:r>
        <w:t xml:space="preserve">putra.</w:t>
      </w:r>
      <w:r>
        <w:t xml:space="preserve">”</w:t>
      </w:r>
      <w:r>
        <w:t xml:space="preserve"> </w:t>
      </w:r>
      <w:r>
        <w:t xml:space="preserve">By the maxim</w:t>
      </w:r>
      <w:r>
        <w:t xml:space="preserve"> </w:t>
      </w:r>
      <w:r>
        <w:t xml:space="preserve">“</w:t>
      </w:r>
      <w:r>
        <w:t xml:space="preserve">ananantarasya vidhir vā bhavati pratiṣedho vā</w:t>
      </w:r>
      <w:r>
        <w:t xml:space="preserve">”</w:t>
      </w:r>
      <w:r>
        <w:t xml:space="preserve"> </w:t>
      </w:r>
      <w:r>
        <w:t xml:space="preserve">the prohibition would reach only the</w:t>
      </w:r>
      <w:r>
        <w:t xml:space="preserve"> </w:t>
      </w:r>
      <w:r>
        <w:t xml:space="preserve">“</w:t>
      </w:r>
      <w:r>
        <w:t xml:space="preserve">ī</w:t>
      </w:r>
      <w:r>
        <w:t xml:space="preserve">”</w:t>
      </w:r>
      <w:r>
        <w:t xml:space="preserve"> </w:t>
      </w:r>
      <w:r>
        <w:t xml:space="preserve">(the nearer rule), not the lengthening; but the sūtra</w:t>
      </w:r>
      <w:r>
        <w:t xml:space="preserve"> </w:t>
      </w:r>
      <w:r>
        <w:rPr>
          <w:bCs/>
          <w:b/>
        </w:rPr>
        <w:t xml:space="preserve">अश्वाघस्यात्</w:t>
      </w:r>
      <w:r>
        <w:t xml:space="preserve"> </w:t>
      </w:r>
      <w:r>
        <w:t xml:space="preserve">(पा. सू. ७-४-३७) shows (as a jñāpaka) that the lengthening is forbidden too —</w:t>
      </w:r>
      <w:r>
        <w:t xml:space="preserve"> </w:t>
      </w:r>
      <w:r>
        <w:t xml:space="preserve">“</w:t>
      </w:r>
      <w:r>
        <w:t xml:space="preserve">aśvān ātmana icchantaḥ</w:t>
      </w:r>
      <w:r>
        <w:t xml:space="preserve">”</w:t>
      </w:r>
      <w:r>
        <w:t xml:space="preserve"> </w:t>
      </w:r>
      <w:r>
        <w:t xml:space="preserve">gives</w:t>
      </w:r>
      <w:r>
        <w:t xml:space="preserve"> </w:t>
      </w:r>
      <w:r>
        <w:t xml:space="preserve">“</w:t>
      </w:r>
      <w:r>
        <w:t xml:space="preserve">aśvāyantaḥ</w:t>
      </w:r>
      <w:r>
        <w:t xml:space="preserve">”</w:t>
      </w:r>
      <w:r>
        <w:t xml:space="preserve"> </w:t>
      </w:r>
      <w:r>
        <w:t xml:space="preserve">only because 7-4-37 prescribes</w:t>
      </w:r>
      <w:r>
        <w:t xml:space="preserve"> </w:t>
      </w:r>
      <w:r>
        <w:t xml:space="preserve">“</w:t>
      </w:r>
      <w:r>
        <w:t xml:space="preserve">ā</w:t>
      </w:r>
      <w:r>
        <w:t xml:space="preserve">”</w:t>
      </w:r>
      <w:r>
        <w:t xml:space="preserve"> </w:t>
      </w:r>
      <w:r>
        <w:t xml:space="preserve">for</w:t>
      </w:r>
      <w:r>
        <w:t xml:space="preserve"> </w:t>
      </w:r>
      <w:r>
        <w:t xml:space="preserve">“</w:t>
      </w:r>
      <w:r>
        <w:t xml:space="preserve">aśva</w:t>
      </w:r>
      <w:r>
        <w:t xml:space="preserve">”</w:t>
      </w:r>
      <w:r>
        <w:t xml:space="preserve"> </w:t>
      </w:r>
      <w:r>
        <w:t xml:space="preserve">and</w:t>
      </w:r>
      <w:r>
        <w:t xml:space="preserve"> </w:t>
      </w:r>
      <w:r>
        <w:t xml:space="preserve">“</w:t>
      </w:r>
      <w:r>
        <w:t xml:space="preserve">agha</w:t>
      </w:r>
      <w:r>
        <w:t xml:space="preserve">”</w:t>
      </w:r>
      <w:r>
        <w:t xml:space="preserve"> </w:t>
      </w:r>
      <w:r>
        <w:t xml:space="preserve">before</w:t>
      </w:r>
      <w:r>
        <w:t xml:space="preserve"> </w:t>
      </w:r>
      <w:r>
        <w:t xml:space="preserve">“</w:t>
      </w:r>
      <w:r>
        <w:t xml:space="preserve">kyac</w:t>
      </w:r>
      <w:r>
        <w:t xml:space="preserve">”</w:t>
      </w:r>
      <w:r>
        <w:t xml:space="preserve"> </w:t>
      </w:r>
      <w:r>
        <w:rPr>
          <w:iCs/>
          <w:i/>
        </w:rPr>
        <w:t xml:space="preserve">(continued on p. 234)</w:t>
      </w:r>
      <w:r>
        <w:t xml:space="preserve">.</w:t>
      </w:r>
    </w:p>
    <w:p>
      <w:pPr>
        <w:pStyle w:val="BodyText"/>
      </w:pPr>
      <w:r>
        <w:rPr>
          <w:bCs/>
          <w:b/>
        </w:rPr>
        <w:t xml:space="preserve">p. 234 —</w:t>
      </w:r>
      <w:r>
        <w:rPr>
          <w:bCs/>
          <w:b/>
        </w:rPr>
        <w:t xml:space="preserve"> </w:t>
      </w:r>
      <w:r>
        <w:rPr>
          <w:bCs/>
          <w:b/>
        </w:rPr>
        <w:t xml:space="preserve">“</w:t>
      </w:r>
      <w:r>
        <w:rPr>
          <w:bCs/>
          <w:b/>
        </w:rPr>
        <w:t xml:space="preserve">devayantaḥ</w:t>
      </w:r>
      <w:r>
        <w:rPr>
          <w:bCs/>
          <w:b/>
        </w:rPr>
        <w:t xml:space="preserve">”</w:t>
      </w:r>
      <w:r>
        <w:rPr>
          <w:bCs/>
          <w:b/>
        </w:rPr>
        <w:t xml:space="preserve"> </w:t>
      </w:r>
      <w:r>
        <w:rPr>
          <w:bCs/>
          <w:b/>
        </w:rPr>
        <w:t xml:space="preserve">(concluded);</w:t>
      </w:r>
      <w:r>
        <w:rPr>
          <w:bCs/>
          <w:b/>
        </w:rPr>
        <w:t xml:space="preserve"> </w:t>
      </w:r>
      <w:r>
        <w:rPr>
          <w:bCs/>
          <w:b/>
        </w:rPr>
        <w:t xml:space="preserve">“</w:t>
      </w:r>
      <w:r>
        <w:rPr>
          <w:bCs/>
          <w:b/>
        </w:rPr>
        <w:t xml:space="preserve">yathā,</w:t>
      </w:r>
      <w:r>
        <w:rPr>
          <w:bCs/>
          <w:b/>
        </w:rPr>
        <w:t xml:space="preserve">”</w:t>
      </w:r>
      <w:r>
        <w:rPr>
          <w:bCs/>
          <w:b/>
        </w:rPr>
        <w:t xml:space="preserve"> </w:t>
      </w:r>
      <w:r>
        <w:rPr>
          <w:bCs/>
          <w:b/>
        </w:rPr>
        <w:t xml:space="preserve">“</w:t>
      </w:r>
      <w:r>
        <w:rPr>
          <w:bCs/>
          <w:b/>
        </w:rPr>
        <w:t xml:space="preserve">matim,</w:t>
      </w:r>
      <w:r>
        <w:rPr>
          <w:bCs/>
          <w:b/>
        </w:rPr>
        <w:t xml:space="preserve">”</w:t>
      </w:r>
      <w:r>
        <w:rPr>
          <w:bCs/>
          <w:b/>
        </w:rPr>
        <w:t xml:space="preserve"> </w:t>
      </w:r>
      <w:r>
        <w:rPr>
          <w:bCs/>
          <w:b/>
        </w:rPr>
        <w:t xml:space="preserve">“</w:t>
      </w:r>
      <w:r>
        <w:rPr>
          <w:bCs/>
          <w:b/>
        </w:rPr>
        <w:t xml:space="preserve">accha.</w:t>
      </w:r>
      <w:r>
        <w:rPr>
          <w:bCs/>
          <w:b/>
        </w:rPr>
        <w:t xml:space="preserve">”</w:t>
      </w:r>
      <w:r>
        <w:t xml:space="preserve"> </w:t>
      </w:r>
      <w:r>
        <w:t xml:space="preserve">If</w:t>
      </w:r>
      <w:r>
        <w:t xml:space="preserve"> </w:t>
      </w:r>
      <w:r>
        <w:t xml:space="preserve">“</w:t>
      </w:r>
      <w:r>
        <w:t xml:space="preserve">kyaci ca</w:t>
      </w:r>
      <w:r>
        <w:t xml:space="preserve">”</w:t>
      </w:r>
      <w:r>
        <w:t xml:space="preserve"> </w:t>
      </w:r>
      <w:r>
        <w:t xml:space="preserve">were held, by the maxim</w:t>
      </w:r>
      <w:r>
        <w:t xml:space="preserve"> </w:t>
      </w:r>
      <w:r>
        <w:t xml:space="preserve">“</w:t>
      </w:r>
      <w:r>
        <w:t xml:space="preserve">ananantarasya,</w:t>
      </w:r>
      <w:r>
        <w:t xml:space="preserve">”</w:t>
      </w:r>
      <w:r>
        <w:t xml:space="preserve"> </w:t>
      </w:r>
      <w:r>
        <w:t xml:space="preserve">to forbid only the</w:t>
      </w:r>
      <w:r>
        <w:t xml:space="preserve"> </w:t>
      </w:r>
      <w:r>
        <w:t xml:space="preserve">“</w:t>
      </w:r>
      <w:r>
        <w:t xml:space="preserve">ī,</w:t>
      </w:r>
      <w:r>
        <w:t xml:space="preserve">”</w:t>
      </w:r>
      <w:r>
        <w:t xml:space="preserve"> </w:t>
      </w:r>
      <w:r>
        <w:t xml:space="preserve">then</w:t>
      </w:r>
      <w:r>
        <w:t xml:space="preserve"> </w:t>
      </w:r>
      <w:r>
        <w:t xml:space="preserve">“</w:t>
      </w:r>
      <w:r>
        <w:t xml:space="preserve">akṛtsārvadhātukayoḥ</w:t>
      </w:r>
      <w:r>
        <w:t xml:space="preserve">”</w:t>
      </w:r>
      <w:r>
        <w:t xml:space="preserve"> </w:t>
      </w:r>
      <w:r>
        <w:t xml:space="preserve">would lengthen and</w:t>
      </w:r>
      <w:r>
        <w:t xml:space="preserve"> </w:t>
      </w:r>
      <w:r>
        <w:t xml:space="preserve">“</w:t>
      </w:r>
      <w:r>
        <w:t xml:space="preserve">aśvāya</w:t>
      </w:r>
      <w:r>
        <w:t xml:space="preserve">”</w:t>
      </w:r>
      <w:r>
        <w:t xml:space="preserve"> </w:t>
      </w:r>
      <w:r>
        <w:t xml:space="preserve">would be obtained anyway, and the</w:t>
      </w:r>
      <w:r>
        <w:t xml:space="preserve"> </w:t>
      </w:r>
      <w:r>
        <w:t xml:space="preserve">“</w:t>
      </w:r>
      <w:r>
        <w:t xml:space="preserve">ā</w:t>
      </w:r>
      <w:r>
        <w:t xml:space="preserve">”</w:t>
      </w:r>
      <w:r>
        <w:t xml:space="preserve"> </w:t>
      </w:r>
      <w:r>
        <w:t xml:space="preserve">of 7-4-37 would be pointless; so, to have a purpose, it shows that</w:t>
      </w:r>
      <w:r>
        <w:t xml:space="preserve"> </w:t>
      </w:r>
      <w:r>
        <w:t xml:space="preserve">“</w:t>
      </w:r>
      <w:r>
        <w:t xml:space="preserve">na chandasy aputrasya</w:t>
      </w:r>
      <w:r>
        <w:t xml:space="preserve">”</w:t>
      </w:r>
      <w:r>
        <w:t xml:space="preserve"> </w:t>
      </w:r>
      <w:r>
        <w:t xml:space="preserve">forbids every operation before</w:t>
      </w:r>
      <w:r>
        <w:t xml:space="preserve"> </w:t>
      </w:r>
      <w:r>
        <w:t xml:space="preserve">“</w:t>
      </w:r>
      <w:r>
        <w:t xml:space="preserve">kyac</w:t>
      </w:r>
      <w:r>
        <w:t xml:space="preserve">”</w:t>
      </w:r>
      <w:r>
        <w:t xml:space="preserve">; hence neither</w:t>
      </w:r>
      <w:r>
        <w:t xml:space="preserve"> </w:t>
      </w:r>
      <w:r>
        <w:t xml:space="preserve">“</w:t>
      </w:r>
      <w:r>
        <w:t xml:space="preserve">ī</w:t>
      </w:r>
      <w:r>
        <w:t xml:space="preserve">”</w:t>
      </w:r>
      <w:r>
        <w:t xml:space="preserve"> </w:t>
      </w:r>
      <w:r>
        <w:t xml:space="preserve">nor the long vowel arises in</w:t>
      </w:r>
      <w:r>
        <w:t xml:space="preserve"> </w:t>
      </w:r>
      <w:r>
        <w:t xml:space="preserve">“</w:t>
      </w:r>
      <w:r>
        <w:t xml:space="preserve">devaya.</w:t>
      </w:r>
      <w:r>
        <w:t xml:space="preserve">”</w:t>
      </w:r>
      <w:r>
        <w:t xml:space="preserve"> </w:t>
      </w:r>
      <w:r>
        <w:t xml:space="preserve">Then</w:t>
      </w:r>
      <w:r>
        <w:t xml:space="preserve"> </w:t>
      </w:r>
      <w:r>
        <w:t xml:space="preserve">“</w:t>
      </w:r>
      <w:r>
        <w:t xml:space="preserve">laṭ,</w:t>
      </w:r>
      <w:r>
        <w:t xml:space="preserve">”</w:t>
      </w:r>
      <w:r>
        <w:t xml:space="preserve"> </w:t>
      </w:r>
      <w:r>
        <w:t xml:space="preserve">its substitute</w:t>
      </w:r>
      <w:r>
        <w:t xml:space="preserve"> </w:t>
      </w:r>
      <w:r>
        <w:t xml:space="preserve">“</w:t>
      </w:r>
      <w:r>
        <w:t xml:space="preserve">śatṛ,</w:t>
      </w:r>
      <w:r>
        <w:t xml:space="preserve">”</w:t>
      </w:r>
      <w:r>
        <w:t xml:space="preserve"> </w:t>
      </w:r>
      <w:r>
        <w:t xml:space="preserve">and the vikaraṇa</w:t>
      </w:r>
      <w:r>
        <w:t xml:space="preserve"> </w:t>
      </w:r>
      <w:r>
        <w:t xml:space="preserve">“</w:t>
      </w:r>
      <w:r>
        <w:t xml:space="preserve">śap</w:t>
      </w:r>
      <w:r>
        <w:t xml:space="preserve">”</w:t>
      </w:r>
      <w:r>
        <w:t xml:space="preserve">;</w:t>
      </w:r>
      <w:r>
        <w:t xml:space="preserve"> </w:t>
      </w:r>
      <w:r>
        <w:t xml:space="preserve">“</w:t>
      </w:r>
      <w:r>
        <w:t xml:space="preserve">kyac</w:t>
      </w:r>
      <w:r>
        <w:t xml:space="preserve">”</w:t>
      </w:r>
      <w:r>
        <w:t xml:space="preserve"> </w:t>
      </w:r>
      <w:r>
        <w:t xml:space="preserve">being</w:t>
      </w:r>
      <w:r>
        <w:t xml:space="preserve"> </w:t>
      </w:r>
      <w:r>
        <w:t xml:space="preserve">“</w:t>
      </w:r>
      <w:r>
        <w:t xml:space="preserve">c</w:t>
      </w:r>
      <w:r>
        <w:t xml:space="preserve">”</w:t>
      </w:r>
      <w:r>
        <w:t xml:space="preserve">-marked is end-acute by</w:t>
      </w:r>
      <w:r>
        <w:t xml:space="preserve"> </w:t>
      </w:r>
      <w:r>
        <w:rPr>
          <w:bCs/>
          <w:b/>
        </w:rPr>
        <w:t xml:space="preserve">चितः</w:t>
      </w:r>
      <w:r>
        <w:t xml:space="preserve"> </w:t>
      </w:r>
      <w:r>
        <w:t xml:space="preserve">(पा. सू. ६-१-१६३);</w:t>
      </w:r>
      <w:r>
        <w:t xml:space="preserve"> </w:t>
      </w:r>
      <w:r>
        <w:t xml:space="preserve">“</w:t>
      </w:r>
      <w:r>
        <w:t xml:space="preserve">śap,</w:t>
      </w:r>
      <w:r>
        <w:t xml:space="preserve">”</w:t>
      </w:r>
      <w:r>
        <w:t xml:space="preserve"> </w:t>
      </w:r>
      <w:r>
        <w:t xml:space="preserve">“</w:t>
      </w:r>
      <w:r>
        <w:t xml:space="preserve">p</w:t>
      </w:r>
      <w:r>
        <w:t xml:space="preserve">”</w:t>
      </w:r>
      <w:r>
        <w:t xml:space="preserve">-marked, and</w:t>
      </w:r>
      <w:r>
        <w:t xml:space="preserve"> </w:t>
      </w:r>
      <w:r>
        <w:t xml:space="preserve">“</w:t>
      </w:r>
      <w:r>
        <w:t xml:space="preserve">śatṛ,</w:t>
      </w:r>
      <w:r>
        <w:t xml:space="preserve">”</w:t>
      </w:r>
      <w:r>
        <w:t xml:space="preserve"> </w:t>
      </w:r>
      <w:r>
        <w:t xml:space="preserve">a lasārvadhātuka after an unaccented-marked base, are unaccented; the single substitute from</w:t>
      </w:r>
      <w:r>
        <w:t xml:space="preserve"> </w:t>
      </w:r>
      <w:r>
        <w:t xml:space="preserve">“</w:t>
      </w:r>
      <w:r>
        <w:t xml:space="preserve">ato guṇe</w:t>
      </w:r>
      <w:r>
        <w:t xml:space="preserve">”</w:t>
      </w:r>
      <w:r>
        <w:t xml:space="preserve"> </w:t>
      </w:r>
      <w:r>
        <w:t xml:space="preserve">is acute by</w:t>
      </w:r>
      <w:r>
        <w:t xml:space="preserve"> </w:t>
      </w:r>
      <w:r>
        <w:rPr>
          <w:bCs/>
          <w:b/>
        </w:rPr>
        <w:t xml:space="preserve">एकादेश उदात्तेनोदात्तः</w:t>
      </w:r>
      <w:r>
        <w:t xml:space="preserve"> </w:t>
      </w:r>
      <w:r>
        <w:t xml:space="preserve">(पा. सू. ८-२-५).</w:t>
      </w:r>
      <w:r>
        <w:t xml:space="preserve"> </w:t>
      </w:r>
      <w:r>
        <w:rPr>
          <w:bCs/>
          <w:b/>
        </w:rPr>
        <w:t xml:space="preserve">“</w:t>
      </w:r>
      <w:r>
        <w:rPr>
          <w:bCs/>
          <w:b/>
        </w:rPr>
        <w:t xml:space="preserve">Yathā</w:t>
      </w:r>
      <w:r>
        <w:rPr>
          <w:bCs/>
          <w:b/>
        </w:rPr>
        <w:t xml:space="preserve">”</w:t>
      </w:r>
      <w:r>
        <w:t xml:space="preserve"> </w:t>
      </w:r>
      <w:r>
        <w:t xml:space="preserve">—</w:t>
      </w:r>
      <w:r>
        <w:t xml:space="preserve"> </w:t>
      </w:r>
      <w:r>
        <w:rPr>
          <w:bCs/>
          <w:b/>
        </w:rPr>
        <w:t xml:space="preserve">प्रकारवचने थाल्</w:t>
      </w:r>
      <w:r>
        <w:t xml:space="preserve"> </w:t>
      </w:r>
      <w:r>
        <w:t xml:space="preserve">(पा. सू. ५-३-२३):</w:t>
      </w:r>
      <w:r>
        <w:t xml:space="preserve"> </w:t>
      </w:r>
      <w:r>
        <w:t xml:space="preserve">“</w:t>
      </w:r>
      <w:r>
        <w:t xml:space="preserve">prakāra</w:t>
      </w:r>
      <w:r>
        <w:t xml:space="preserve">”</w:t>
      </w:r>
      <w:r>
        <w:t xml:space="preserve"> </w:t>
      </w:r>
      <w:r>
        <w:t xml:space="preserve">is a particular that distinguishes within the general (</w:t>
      </w:r>
      <w:r>
        <w:t xml:space="preserve">“</w:t>
      </w:r>
      <w:r>
        <w:t xml:space="preserve">sāmānyasya bhedako viśeṣaḥ prakāraḥ</w:t>
      </w:r>
      <w:r>
        <w:t xml:space="preserve">”</w:t>
      </w:r>
      <w:r>
        <w:t xml:space="preserve">), so</w:t>
      </w:r>
      <w:r>
        <w:t xml:space="preserve"> </w:t>
      </w:r>
      <w:r>
        <w:t xml:space="preserve">“</w:t>
      </w:r>
      <w:r>
        <w:t xml:space="preserve">thāl</w:t>
      </w:r>
      <w:r>
        <w:t xml:space="preserve">”</w:t>
      </w:r>
      <w:r>
        <w:t xml:space="preserve"> </w:t>
      </w:r>
      <w:r>
        <w:t xml:space="preserve">comes after</w:t>
      </w:r>
      <w:r>
        <w:t xml:space="preserve"> </w:t>
      </w:r>
      <w:r>
        <w:t xml:space="preserve">“</w:t>
      </w:r>
      <w:r>
        <w:t xml:space="preserve">kim</w:t>
      </w:r>
      <w:r>
        <w:t xml:space="preserve">”</w:t>
      </w:r>
      <w:r>
        <w:t xml:space="preserve"> </w:t>
      </w:r>
      <w:r>
        <w:t xml:space="preserve">and the like in their own sense, here after</w:t>
      </w:r>
      <w:r>
        <w:t xml:space="preserve"> </w:t>
      </w:r>
      <w:r>
        <w:t xml:space="preserve">“</w:t>
      </w:r>
      <w:r>
        <w:t xml:space="preserve">yad</w:t>
      </w:r>
      <w:r>
        <w:t xml:space="preserve">”</w:t>
      </w:r>
      <w:r>
        <w:t xml:space="preserve">;</w:t>
      </w:r>
      <w:r>
        <w:t xml:space="preserve"> </w:t>
      </w:r>
      <w:r>
        <w:t xml:space="preserve">“</w:t>
      </w:r>
      <w:r>
        <w:t xml:space="preserve">l</w:t>
      </w:r>
      <w:r>
        <w:t xml:space="preserve">”</w:t>
      </w:r>
      <w:r>
        <w:t xml:space="preserve">-marked, so the vowel before the affix is acute by</w:t>
      </w:r>
      <w:r>
        <w:t xml:space="preserve"> </w:t>
      </w:r>
      <w:r>
        <w:rPr>
          <w:bCs/>
          <w:b/>
        </w:rPr>
        <w:t xml:space="preserve">लिति</w:t>
      </w:r>
      <w:r>
        <w:t xml:space="preserve"> </w:t>
      </w:r>
      <w:r>
        <w:t xml:space="preserve">(पा. सू. ६-१-१९३).</w:t>
      </w:r>
      <w:r>
        <w:t xml:space="preserve"> </w:t>
      </w:r>
      <w:r>
        <w:rPr>
          <w:bCs/>
          <w:b/>
        </w:rPr>
        <w:t xml:space="preserve">“</w:t>
      </w:r>
      <w:r>
        <w:rPr>
          <w:bCs/>
          <w:b/>
        </w:rPr>
        <w:t xml:space="preserve">Matim</w:t>
      </w:r>
      <w:r>
        <w:rPr>
          <w:bCs/>
          <w:b/>
        </w:rPr>
        <w:t xml:space="preserve">”</w:t>
      </w:r>
      <w:r>
        <w:t xml:space="preserve"> </w:t>
      </w:r>
      <w:r>
        <w:t xml:space="preserve">—</w:t>
      </w:r>
      <w:r>
        <w:t xml:space="preserve"> </w:t>
      </w:r>
      <w:r>
        <w:t xml:space="preserve">“</w:t>
      </w:r>
      <w:r>
        <w:t xml:space="preserve">ktin,</w:t>
      </w:r>
      <w:r>
        <w:t xml:space="preserve">”</w:t>
      </w:r>
      <w:r>
        <w:t xml:space="preserve"> </w:t>
      </w:r>
      <w:r>
        <w:t xml:space="preserve">acute by</w:t>
      </w:r>
      <w:r>
        <w:t xml:space="preserve"> </w:t>
      </w:r>
      <w:r>
        <w:rPr>
          <w:bCs/>
          <w:b/>
        </w:rPr>
        <w:t xml:space="preserve">मन्त्रे वृषेषपचमनविदभूवीरा उदात्तः</w:t>
      </w:r>
      <w:r>
        <w:t xml:space="preserve"> </w:t>
      </w:r>
      <w:r>
        <w:t xml:space="preserve">(पा. सू. ३-३-९६);</w:t>
      </w:r>
      <w:r>
        <w:t xml:space="preserve"> </w:t>
      </w:r>
      <w:r>
        <w:t xml:space="preserve">“</w:t>
      </w:r>
      <w:r>
        <w:t xml:space="preserve">k</w:t>
      </w:r>
      <w:r>
        <w:t xml:space="preserve">”</w:t>
      </w:r>
      <w:r>
        <w:t xml:space="preserve">-marked, so the</w:t>
      </w:r>
      <w:r>
        <w:t xml:space="preserve"> </w:t>
      </w:r>
      <w:r>
        <w:t xml:space="preserve">“</w:t>
      </w:r>
      <w:r>
        <w:t xml:space="preserve">n</w:t>
      </w:r>
      <w:r>
        <w:t xml:space="preserve">”</w:t>
      </w:r>
      <w:r>
        <w:t xml:space="preserve"> </w:t>
      </w:r>
      <w:r>
        <w:t xml:space="preserve">is elided by</w:t>
      </w:r>
      <w:r>
        <w:t xml:space="preserve"> </w:t>
      </w:r>
      <w:r>
        <w:rPr>
          <w:bCs/>
          <w:b/>
        </w:rPr>
        <w:t xml:space="preserve">अनुदात्तोपदेश…</w:t>
      </w:r>
      <w:r>
        <w:t xml:space="preserve"> </w:t>
      </w:r>
      <w:r>
        <w:t xml:space="preserve">(पा. सू. ६-४-३७);</w:t>
      </w:r>
      <w:r>
        <w:t xml:space="preserve"> </w:t>
      </w:r>
      <w:r>
        <w:t xml:space="preserve">“</w:t>
      </w:r>
      <w:r>
        <w:t xml:space="preserve">mati</w:t>
      </w:r>
      <w:r>
        <w:t xml:space="preserve">”</w:t>
      </w:r>
      <w:r>
        <w:t xml:space="preserve"> </w:t>
      </w:r>
      <w:r>
        <w:t xml:space="preserve">generally means knowledge, but here by upacāra it denotes Indra, the abode of knowledge; or, since no other word supplies the noun qualified,</w:t>
      </w:r>
      <w:r>
        <w:t xml:space="preserve"> </w:t>
      </w:r>
      <w:r>
        <w:t xml:space="preserve">“</w:t>
      </w:r>
      <w:r>
        <w:t xml:space="preserve">mati</w:t>
      </w:r>
      <w:r>
        <w:t xml:space="preserve">”</w:t>
      </w:r>
      <w:r>
        <w:t xml:space="preserve"> </w:t>
      </w:r>
      <w:r>
        <w:t xml:space="preserve">can be called a saṃjñā (name) of Indra: then by</w:t>
      </w:r>
      <w:r>
        <w:t xml:space="preserve"> </w:t>
      </w:r>
      <w:r>
        <w:rPr>
          <w:bCs/>
          <w:b/>
        </w:rPr>
        <w:t xml:space="preserve">क्तिच्क्तौ च संज्ञायाम्</w:t>
      </w:r>
      <w:r>
        <w:t xml:space="preserve"> </w:t>
      </w:r>
      <w:r>
        <w:t xml:space="preserve">(पा. सू. ३-३-१७४)</w:t>
      </w:r>
      <w:r>
        <w:t xml:space="preserve"> </w:t>
      </w:r>
      <w:r>
        <w:t xml:space="preserve">“</w:t>
      </w:r>
      <w:r>
        <w:t xml:space="preserve">ktic</w:t>
      </w:r>
      <w:r>
        <w:t xml:space="preserve">”</w:t>
      </w:r>
      <w:r>
        <w:t xml:space="preserve"> </w:t>
      </w:r>
      <w:r>
        <w:t xml:space="preserve">after</w:t>
      </w:r>
      <w:r>
        <w:t xml:space="preserve"> </w:t>
      </w:r>
      <w:r>
        <w:t xml:space="preserve">“</w:t>
      </w:r>
      <w:r>
        <w:t xml:space="preserve">mana jñāne,</w:t>
      </w:r>
      <w:r>
        <w:t xml:space="preserve">”</w:t>
      </w:r>
      <w:r>
        <w:t xml:space="preserve"> </w:t>
      </w:r>
      <w:r>
        <w:t xml:space="preserve">and, the root being unaccented,</w:t>
      </w:r>
      <w:r>
        <w:t xml:space="preserve"> </w:t>
      </w:r>
      <w:r>
        <w:rPr>
          <w:bCs/>
          <w:b/>
        </w:rPr>
        <w:t xml:space="preserve">एकाच उपदेशेऽनुदात्तात्</w:t>
      </w:r>
      <w:r>
        <w:t xml:space="preserve"> </w:t>
      </w:r>
      <w:r>
        <w:t xml:space="preserve">(पा. सू. ७-२-१०) forbids</w:t>
      </w:r>
      <w:r>
        <w:t xml:space="preserve"> </w:t>
      </w:r>
      <w:r>
        <w:t xml:space="preserve">“</w:t>
      </w:r>
      <w:r>
        <w:t xml:space="preserve">iṭ.</w:t>
      </w:r>
      <w:r>
        <w:t xml:space="preserve">”</w:t>
      </w:r>
      <w:r>
        <w:t xml:space="preserve"> </w:t>
      </w:r>
      <w:r>
        <w:rPr>
          <w:bCs/>
          <w:b/>
        </w:rPr>
        <w:t xml:space="preserve">“</w:t>
      </w:r>
      <w:r>
        <w:rPr>
          <w:bCs/>
          <w:b/>
        </w:rPr>
        <w:t xml:space="preserve">Accha</w:t>
      </w:r>
      <w:r>
        <w:rPr>
          <w:bCs/>
          <w:b/>
        </w:rPr>
        <w:t xml:space="preserve">”</w:t>
      </w:r>
      <w:r>
        <w:t xml:space="preserve"> </w:t>
      </w:r>
      <w:r>
        <w:t xml:space="preserve">— by</w:t>
      </w:r>
      <w:r>
        <w:t xml:space="preserve"> </w:t>
      </w:r>
      <w:r>
        <w:rPr>
          <w:bCs/>
          <w:b/>
        </w:rPr>
        <w:t xml:space="preserve">अच्छ गत्यर्थवदेषु</w:t>
      </w:r>
      <w:r>
        <w:t xml:space="preserve"> </w:t>
      </w:r>
      <w:r>
        <w:t xml:space="preserve">(पा. सू. १-४-६९) the indeclinable</w:t>
      </w:r>
      <w:r>
        <w:t xml:space="preserve"> </w:t>
      </w:r>
      <w:r>
        <w:t xml:space="preserve">“</w:t>
      </w:r>
      <w:r>
        <w:t xml:space="preserve">accha</w:t>
      </w:r>
      <w:r>
        <w:t xml:space="preserve">”</w:t>
      </w:r>
      <w:r>
        <w:t xml:space="preserve"> </w:t>
      </w:r>
      <w:r>
        <w:t xml:space="preserve">is a</w:t>
      </w:r>
      <w:r>
        <w:t xml:space="preserve"> </w:t>
      </w:r>
      <w:r>
        <w:t xml:space="preserve">“</w:t>
      </w:r>
      <w:r>
        <w:t xml:space="preserve">gati</w:t>
      </w:r>
      <w:r>
        <w:t xml:space="preserve">”</w:t>
      </w:r>
      <w:r>
        <w:t xml:space="preserve"> </w:t>
      </w:r>
      <w:r>
        <w:t xml:space="preserve">in connection with roots of going and</w:t>
      </w:r>
      <w:r>
        <w:t xml:space="preserve"> </w:t>
      </w:r>
      <w:r>
        <w:t xml:space="preserve">“</w:t>
      </w:r>
      <w:r>
        <w:t xml:space="preserve">vad</w:t>
      </w:r>
      <w:r>
        <w:t xml:space="preserve">”</w:t>
      </w:r>
      <w:r>
        <w:t xml:space="preserve">; besides, the adhikāra</w:t>
      </w:r>
      <w:r>
        <w:t xml:space="preserve"> </w:t>
      </w:r>
      <w:r>
        <w:rPr>
          <w:bCs/>
          <w:b/>
        </w:rPr>
        <w:t xml:space="preserve">प्राग्रीश्वरान्निपाताः</w:t>
      </w:r>
      <w:r>
        <w:t xml:space="preserve"> </w:t>
      </w:r>
      <w:r>
        <w:t xml:space="preserve">(पा. सू. १-४-५६), running up to</w:t>
      </w:r>
      <w:r>
        <w:t xml:space="preserve"> </w:t>
      </w:r>
      <w:r>
        <w:t xml:space="preserve">“</w:t>
      </w:r>
      <w:r>
        <w:t xml:space="preserve">adhirīśvare</w:t>
      </w:r>
      <w:r>
        <w:t xml:space="preserve">”</w:t>
      </w:r>
      <w:r>
        <w:t xml:space="preserve"> </w:t>
      </w:r>
      <w:r>
        <w:t xml:space="preserve">(१-४-९७), makes it a</w:t>
      </w:r>
      <w:r>
        <w:t xml:space="preserve"> </w:t>
      </w:r>
      <w:r>
        <w:t xml:space="preserve">“</w:t>
      </w:r>
      <w:r>
        <w:t xml:space="preserve">nipāta</w:t>
      </w:r>
      <w:r>
        <w:t xml:space="preserve">”</w:t>
      </w:r>
      <w:r>
        <w:t xml:space="preserve"> </w:t>
      </w:r>
      <w:r>
        <w:t xml:space="preserve">as well; so both designations apply</w:t>
      </w:r>
      <w:r>
        <w:t xml:space="preserve"> </w:t>
      </w:r>
      <w:r>
        <w:rPr>
          <w:iCs/>
          <w:i/>
        </w:rPr>
        <w:t xml:space="preserve">(continued on p. 235)</w:t>
      </w:r>
      <w:r>
        <w:t xml:space="preserve">.</w:t>
      </w:r>
    </w:p>
    <w:p>
      <w:pPr>
        <w:pStyle w:val="BodyText"/>
      </w:pPr>
      <w:r>
        <w:rPr>
          <w:bCs/>
          <w:b/>
        </w:rPr>
        <w:t xml:space="preserve">p. 235 —</w:t>
      </w:r>
      <w:r>
        <w:rPr>
          <w:bCs/>
          <w:b/>
        </w:rPr>
        <w:t xml:space="preserve"> </w:t>
      </w:r>
      <w:r>
        <w:rPr>
          <w:bCs/>
          <w:b/>
        </w:rPr>
        <w:t xml:space="preserve">“</w:t>
      </w:r>
      <w:r>
        <w:rPr>
          <w:bCs/>
          <w:b/>
        </w:rPr>
        <w:t xml:space="preserve">accha</w:t>
      </w:r>
      <w:r>
        <w:rPr>
          <w:bCs/>
          <w:b/>
        </w:rPr>
        <w:t xml:space="preserve">”</w:t>
      </w:r>
      <w:r>
        <w:rPr>
          <w:bCs/>
          <w:b/>
        </w:rPr>
        <w:t xml:space="preserve"> </w:t>
      </w:r>
      <w:r>
        <w:rPr>
          <w:bCs/>
          <w:b/>
        </w:rPr>
        <w:t xml:space="preserve">(concluded);</w:t>
      </w:r>
      <w:r>
        <w:rPr>
          <w:bCs/>
          <w:b/>
        </w:rPr>
        <w:t xml:space="preserve"> </w:t>
      </w:r>
      <w:r>
        <w:rPr>
          <w:bCs/>
          <w:b/>
        </w:rPr>
        <w:t xml:space="preserve">“</w:t>
      </w:r>
      <w:r>
        <w:rPr>
          <w:bCs/>
          <w:b/>
        </w:rPr>
        <w:t xml:space="preserve">vidadvasum,</w:t>
      </w:r>
      <w:r>
        <w:rPr>
          <w:bCs/>
          <w:b/>
        </w:rPr>
        <w:t xml:space="preserve">”</w:t>
      </w:r>
      <w:r>
        <w:rPr>
          <w:bCs/>
          <w:b/>
        </w:rPr>
        <w:t xml:space="preserve"> </w:t>
      </w:r>
      <w:r>
        <w:rPr>
          <w:bCs/>
          <w:b/>
        </w:rPr>
        <w:t xml:space="preserve">“</w:t>
      </w:r>
      <w:r>
        <w:rPr>
          <w:bCs/>
          <w:b/>
        </w:rPr>
        <w:t xml:space="preserve">giraḥ,</w:t>
      </w:r>
      <w:r>
        <w:rPr>
          <w:bCs/>
          <w:b/>
        </w:rPr>
        <w:t xml:space="preserve">”</w:t>
      </w:r>
      <w:r>
        <w:rPr>
          <w:bCs/>
          <w:b/>
        </w:rPr>
        <w:t xml:space="preserve"> </w:t>
      </w:r>
      <w:r>
        <w:rPr>
          <w:bCs/>
          <w:b/>
        </w:rPr>
        <w:t xml:space="preserve">“</w:t>
      </w:r>
      <w:r>
        <w:rPr>
          <w:bCs/>
          <w:b/>
        </w:rPr>
        <w:t xml:space="preserve">mahām,</w:t>
      </w:r>
      <w:r>
        <w:rPr>
          <w:bCs/>
          <w:b/>
        </w:rPr>
        <w:t xml:space="preserve">”</w:t>
      </w:r>
      <w:r>
        <w:rPr>
          <w:bCs/>
          <w:b/>
        </w:rPr>
        <w:t xml:space="preserve"> </w:t>
      </w:r>
      <w:r>
        <w:rPr>
          <w:bCs/>
          <w:b/>
        </w:rPr>
        <w:t xml:space="preserve">“</w:t>
      </w:r>
      <w:r>
        <w:rPr>
          <w:bCs/>
          <w:b/>
        </w:rPr>
        <w:t xml:space="preserve">anūṣata.</w:t>
      </w:r>
      <w:r>
        <w:rPr>
          <w:bCs/>
          <w:b/>
        </w:rPr>
        <w:t xml:space="preserve">”</w:t>
      </w:r>
      <w:r>
        <w:t xml:space="preserve"> </w:t>
      </w:r>
      <w:r>
        <w:t xml:space="preserve">The designations</w:t>
      </w:r>
      <w:r>
        <w:t xml:space="preserve"> </w:t>
      </w:r>
      <w:r>
        <w:t xml:space="preserve">“</w:t>
      </w:r>
      <w:r>
        <w:t xml:space="preserve">gati</w:t>
      </w:r>
      <w:r>
        <w:t xml:space="preserve">”</w:t>
      </w:r>
      <w:r>
        <w:t xml:space="preserve"> </w:t>
      </w:r>
      <w:r>
        <w:t xml:space="preserve">and</w:t>
      </w:r>
      <w:r>
        <w:t xml:space="preserve"> </w:t>
      </w:r>
      <w:r>
        <w:t xml:space="preserve">“</w:t>
      </w:r>
      <w:r>
        <w:t xml:space="preserve">nipāta</w:t>
      </w:r>
      <w:r>
        <w:t xml:space="preserve">”</w:t>
      </w:r>
      <w:r>
        <w:t xml:space="preserve"> </w:t>
      </w:r>
      <w:r>
        <w:t xml:space="preserve">do not exclude each other; they co-occur; so by</w:t>
      </w:r>
      <w:r>
        <w:t xml:space="preserve"> </w:t>
      </w:r>
      <w:r>
        <w:rPr>
          <w:bCs/>
          <w:b/>
        </w:rPr>
        <w:t xml:space="preserve">निपाता आद्युदात्ताः</w:t>
      </w:r>
      <w:r>
        <w:t xml:space="preserve"> </w:t>
      </w:r>
      <w:r>
        <w:t xml:space="preserve">(फि. सू. ८०) the first syllable is acute; and in the saṃhitā</w:t>
      </w:r>
      <w:r>
        <w:t xml:space="preserve"> </w:t>
      </w:r>
      <w:r>
        <w:rPr>
          <w:bCs/>
          <w:b/>
        </w:rPr>
        <w:t xml:space="preserve">निपातस्य च</w:t>
      </w:r>
      <w:r>
        <w:t xml:space="preserve"> </w:t>
      </w:r>
      <w:r>
        <w:t xml:space="preserve">(पा. सू. ६-३-१३६) lengthens a particle in the mantra.</w:t>
      </w:r>
      <w:r>
        <w:t xml:space="preserve"> </w:t>
      </w:r>
      <w:r>
        <w:rPr>
          <w:bCs/>
          <w:b/>
        </w:rPr>
        <w:t xml:space="preserve">“</w:t>
      </w:r>
      <w:r>
        <w:rPr>
          <w:bCs/>
          <w:b/>
        </w:rPr>
        <w:t xml:space="preserve">Vidadvasum</w:t>
      </w:r>
      <w:r>
        <w:rPr>
          <w:bCs/>
          <w:b/>
        </w:rPr>
        <w:t xml:space="preserve">”</w:t>
      </w:r>
      <w:r>
        <w:t xml:space="preserve"> </w:t>
      </w:r>
      <w:r>
        <w:t xml:space="preserve">— after</w:t>
      </w:r>
      <w:r>
        <w:t xml:space="preserve"> </w:t>
      </w:r>
      <w:r>
        <w:t xml:space="preserve">“</w:t>
      </w:r>
      <w:r>
        <w:t xml:space="preserve">vida jñāne,</w:t>
      </w:r>
      <w:r>
        <w:t xml:space="preserve">”</w:t>
      </w:r>
      <w:r>
        <w:t xml:space="preserve"> </w:t>
      </w:r>
      <w:r>
        <w:t xml:space="preserve">with the sense of</w:t>
      </w:r>
      <w:r>
        <w:t xml:space="preserve"> </w:t>
      </w:r>
      <w:r>
        <w:t xml:space="preserve">“</w:t>
      </w:r>
      <w:r>
        <w:t xml:space="preserve">ṇic</w:t>
      </w:r>
      <w:r>
        <w:t xml:space="preserve">”</w:t>
      </w:r>
      <w:r>
        <w:t xml:space="preserve"> </w:t>
      </w:r>
      <w:r>
        <w:t xml:space="preserve">included,</w:t>
      </w:r>
      <w:r>
        <w:t xml:space="preserve"> </w:t>
      </w:r>
      <w:r>
        <w:t xml:space="preserve">“</w:t>
      </w:r>
      <w:r>
        <w:t xml:space="preserve">laṭ,</w:t>
      </w:r>
      <w:r>
        <w:t xml:space="preserve">”</w:t>
      </w:r>
      <w:r>
        <w:t xml:space="preserve"> </w:t>
      </w:r>
      <w:r>
        <w:t xml:space="preserve">replaced by</w:t>
      </w:r>
      <w:r>
        <w:t xml:space="preserve"> </w:t>
      </w:r>
      <w:r>
        <w:t xml:space="preserve">“</w:t>
      </w:r>
      <w:r>
        <w:t xml:space="preserve">śatṛ</w:t>
      </w:r>
      <w:r>
        <w:t xml:space="preserve">”</w:t>
      </w:r>
      <w:r>
        <w:t xml:space="preserve"> </w:t>
      </w:r>
      <w:r>
        <w:t xml:space="preserve">(</w:t>
      </w:r>
      <w:r>
        <w:rPr>
          <w:bCs/>
          <w:b/>
        </w:rPr>
        <w:t xml:space="preserve">लटः शतृशानचौ</w:t>
      </w:r>
      <w:r>
        <w:t xml:space="preserve">, पा. सू. ३-२-१२४); in the neuter</w:t>
      </w:r>
      <w:r>
        <w:t xml:space="preserve"> </w:t>
      </w:r>
      <w:r>
        <w:t xml:space="preserve">“</w:t>
      </w:r>
      <w:r>
        <w:t xml:space="preserve">vidat–vidatī–vidanti</w:t>
      </w:r>
      <w:r>
        <w:t xml:space="preserve">”</w:t>
      </w:r>
      <w:r>
        <w:t xml:space="preserve">;</w:t>
      </w:r>
      <w:r>
        <w:t xml:space="preserve"> </w:t>
      </w:r>
      <w:r>
        <w:t xml:space="preserve">“</w:t>
      </w:r>
      <w:r>
        <w:t xml:space="preserve">vidanti = audāryātiśayavattayā jñāpayanti vasūni dhanāni yaṃ saḥ</w:t>
      </w:r>
      <w:r>
        <w:t xml:space="preserve">”</w:t>
      </w:r>
      <w:r>
        <w:t xml:space="preserve"> </w:t>
      </w:r>
      <w:r>
        <w:t xml:space="preserve">— the Maruts whose riches make them known as eminently generous; the</w:t>
      </w:r>
      <w:r>
        <w:t xml:space="preserve"> </w:t>
      </w:r>
      <w:r>
        <w:t xml:space="preserve">“</w:t>
      </w:r>
      <w:r>
        <w:t xml:space="preserve">śap</w:t>
      </w:r>
      <w:r>
        <w:t xml:space="preserve">”</w:t>
      </w:r>
      <w:r>
        <w:t xml:space="preserve"> </w:t>
      </w:r>
      <w:r>
        <w:t xml:space="preserve">after</w:t>
      </w:r>
      <w:r>
        <w:t xml:space="preserve"> </w:t>
      </w:r>
      <w:r>
        <w:t xml:space="preserve">“</w:t>
      </w:r>
      <w:r>
        <w:t xml:space="preserve">vid</w:t>
      </w:r>
      <w:r>
        <w:t xml:space="preserve">”</w:t>
      </w:r>
      <w:r>
        <w:t xml:space="preserve"> </w:t>
      </w:r>
      <w:r>
        <w:t xml:space="preserve">is elided by</w:t>
      </w:r>
      <w:r>
        <w:t xml:space="preserve"> </w:t>
      </w:r>
      <w:r>
        <w:rPr>
          <w:bCs/>
          <w:b/>
        </w:rPr>
        <w:t xml:space="preserve">अदिप्रभृतिभ्यः शपः</w:t>
      </w:r>
      <w:r>
        <w:t xml:space="preserve"> </w:t>
      </w:r>
      <w:r>
        <w:t xml:space="preserve">(पा. सू. २-४-७२); after the</w:t>
      </w:r>
      <w:r>
        <w:t xml:space="preserve"> </w:t>
      </w:r>
      <w:r>
        <w:t xml:space="preserve">“</w:t>
      </w:r>
      <w:r>
        <w:t xml:space="preserve">luk,</w:t>
      </w:r>
      <w:r>
        <w:t xml:space="preserve">”</w:t>
      </w:r>
      <w:r>
        <w:t xml:space="preserve"> </w:t>
      </w:r>
      <w:r>
        <w:t xml:space="preserve">“</w:t>
      </w:r>
      <w:r>
        <w:t xml:space="preserve">śatṛ</w:t>
      </w:r>
      <w:r>
        <w:t xml:space="preserve">”</w:t>
      </w:r>
      <w:r>
        <w:t xml:space="preserve"> </w:t>
      </w:r>
      <w:r>
        <w:t xml:space="preserve">no longer follows an unaccented-marked base, so</w:t>
      </w:r>
      <w:r>
        <w:t xml:space="preserve"> </w:t>
      </w:r>
      <w:r>
        <w:rPr>
          <w:bCs/>
          <w:b/>
        </w:rPr>
        <w:t xml:space="preserve">तास्यनुदात्तेत्…</w:t>
      </w:r>
      <w:r>
        <w:t xml:space="preserve"> </w:t>
      </w:r>
      <w:r>
        <w:t xml:space="preserve">(पा. सू. ६-१-१८६) does not make the lasārvadhātuka unaccented; by the affix accent</w:t>
      </w:r>
      <w:r>
        <w:t xml:space="preserve"> </w:t>
      </w:r>
      <w:r>
        <w:t xml:space="preserve">“</w:t>
      </w:r>
      <w:r>
        <w:t xml:space="preserve">śatṛ</w:t>
      </w:r>
      <w:r>
        <w:t xml:space="preserve">”</w:t>
      </w:r>
      <w:r>
        <w:t xml:space="preserve"> </w:t>
      </w:r>
      <w:r>
        <w:t xml:space="preserve">is acute; in the bahuvrīhi the first member’s accent stays (</w:t>
      </w:r>
      <w:r>
        <w:rPr>
          <w:bCs/>
          <w:b/>
        </w:rPr>
        <w:t xml:space="preserve">बहुव्रीहौ प्रकृत्या पूर्वपदम्</w:t>
      </w:r>
      <w:r>
        <w:t xml:space="preserve">, पा. सू. ६-२-१).</w:t>
      </w:r>
      <w:r>
        <w:t xml:space="preserve"> </w:t>
      </w:r>
      <w:r>
        <w:rPr>
          <w:bCs/>
          <w:b/>
        </w:rPr>
        <w:t xml:space="preserve">“</w:t>
      </w:r>
      <w:r>
        <w:rPr>
          <w:bCs/>
          <w:b/>
        </w:rPr>
        <w:t xml:space="preserve">Giraḥ</w:t>
      </w:r>
      <w:r>
        <w:rPr>
          <w:bCs/>
          <w:b/>
        </w:rPr>
        <w:t xml:space="preserve">”</w:t>
      </w:r>
      <w:r>
        <w:t xml:space="preserve"> </w:t>
      </w:r>
      <w:r>
        <w:t xml:space="preserve">—</w:t>
      </w:r>
      <w:r>
        <w:t xml:space="preserve"> </w:t>
      </w:r>
      <w:r>
        <w:t xml:space="preserve">“</w:t>
      </w:r>
      <w:r>
        <w:t xml:space="preserve">gṛṇanti = stuvanti</w:t>
      </w:r>
      <w:r>
        <w:t xml:space="preserve">”</w:t>
      </w:r>
      <w:r>
        <w:t xml:space="preserve"> </w:t>
      </w:r>
      <w:r>
        <w:t xml:space="preserve">— those who praise;</w:t>
      </w:r>
      <w:r>
        <w:t xml:space="preserve"> </w:t>
      </w:r>
      <w:r>
        <w:t xml:space="preserve">“</w:t>
      </w:r>
      <w:r>
        <w:t xml:space="preserve">gṝ śabde</w:t>
      </w:r>
      <w:r>
        <w:t xml:space="preserve">”</w:t>
      </w:r>
      <w:r>
        <w:t xml:space="preserve"> </w:t>
      </w:r>
      <w:r>
        <w:t xml:space="preserve">with</w:t>
      </w:r>
      <w:r>
        <w:t xml:space="preserve"> </w:t>
      </w:r>
      <w:r>
        <w:t xml:space="preserve">“</w:t>
      </w:r>
      <w:r>
        <w:t xml:space="preserve">kvip</w:t>
      </w:r>
      <w:r>
        <w:t xml:space="preserve">”</w:t>
      </w:r>
      <w:r>
        <w:t xml:space="preserve">;</w:t>
      </w:r>
      <w:r>
        <w:t xml:space="preserve"> </w:t>
      </w:r>
      <w:r>
        <w:rPr>
          <w:bCs/>
          <w:b/>
        </w:rPr>
        <w:t xml:space="preserve">ऋत इद्धातोः</w:t>
      </w:r>
      <w:r>
        <w:t xml:space="preserve"> </w:t>
      </w:r>
      <w:r>
        <w:t xml:space="preserve">(पा. सू. ७-१-१००)</w:t>
      </w:r>
      <w:r>
        <w:t xml:space="preserve"> </w:t>
      </w:r>
      <w:r>
        <w:t xml:space="preserve">“</w:t>
      </w:r>
      <w:r>
        <w:t xml:space="preserve">i</w:t>
      </w:r>
      <w:r>
        <w:t xml:space="preserve">”</w:t>
      </w:r>
      <w:r>
        <w:t xml:space="preserve"> </w:t>
      </w:r>
      <w:r>
        <w:t xml:space="preserve">for the final</w:t>
      </w:r>
      <w:r>
        <w:t xml:space="preserve"> </w:t>
      </w:r>
      <w:r>
        <w:t xml:space="preserve">“</w:t>
      </w:r>
      <w:r>
        <w:t xml:space="preserve">ṝ</w:t>
      </w:r>
      <w:r>
        <w:t xml:space="preserve">”</w:t>
      </w:r>
      <w:r>
        <w:t xml:space="preserve"> </w:t>
      </w:r>
      <w:r>
        <w:t xml:space="preserve">of the aṅga, and</w:t>
      </w:r>
      <w:r>
        <w:t xml:space="preserve"> </w:t>
      </w:r>
      <w:r>
        <w:rPr>
          <w:bCs/>
          <w:b/>
        </w:rPr>
        <w:t xml:space="preserve">उरण् रपरः</w:t>
      </w:r>
      <w:r>
        <w:t xml:space="preserve"> </w:t>
      </w:r>
      <w:r>
        <w:t xml:space="preserve">(पा. सू. १-१-५१)</w:t>
      </w:r>
      <w:r>
        <w:t xml:space="preserve"> </w:t>
      </w:r>
      <w:r>
        <w:t xml:space="preserve">“</w:t>
      </w:r>
      <w:r>
        <w:t xml:space="preserve">r</w:t>
      </w:r>
      <w:r>
        <w:t xml:space="preserve">”</w:t>
      </w:r>
      <w:r>
        <w:t xml:space="preserve"> </w:t>
      </w:r>
      <w:r>
        <w:t xml:space="preserve">after it:</w:t>
      </w:r>
      <w:r>
        <w:t xml:space="preserve"> </w:t>
      </w:r>
      <w:r>
        <w:t xml:space="preserve">“</w:t>
      </w:r>
      <w:r>
        <w:t xml:space="preserve">gir</w:t>
      </w:r>
      <w:r>
        <w:t xml:space="preserve">”</w:t>
      </w:r>
      <w:r>
        <w:t xml:space="preserve">; nominative plural</w:t>
      </w:r>
      <w:r>
        <w:t xml:space="preserve"> </w:t>
      </w:r>
      <w:r>
        <w:t xml:space="preserve">“</w:t>
      </w:r>
      <w:r>
        <w:t xml:space="preserve">giraḥ,</w:t>
      </w:r>
      <w:r>
        <w:t xml:space="preserve">”</w:t>
      </w:r>
      <w:r>
        <w:t xml:space="preserve"> </w:t>
      </w:r>
      <w:r>
        <w:t xml:space="preserve">end-acute by the root accent.</w:t>
      </w:r>
      <w:r>
        <w:t xml:space="preserve"> </w:t>
      </w:r>
      <w:r>
        <w:rPr>
          <w:bCs/>
          <w:b/>
        </w:rPr>
        <w:t xml:space="preserve">“</w:t>
      </w:r>
      <w:r>
        <w:rPr>
          <w:bCs/>
          <w:b/>
        </w:rPr>
        <w:t xml:space="preserve">Mahām</w:t>
      </w:r>
      <w:r>
        <w:rPr>
          <w:bCs/>
          <w:b/>
        </w:rPr>
        <w:t xml:space="preserve">”</w:t>
      </w:r>
      <w:r>
        <w:t xml:space="preserve"> </w:t>
      </w:r>
      <w:r>
        <w:t xml:space="preserve">—</w:t>
      </w:r>
      <w:r>
        <w:t xml:space="preserve"> </w:t>
      </w:r>
      <w:r>
        <w:t xml:space="preserve">“</w:t>
      </w:r>
      <w:r>
        <w:t xml:space="preserve">mahāntam</w:t>
      </w:r>
      <w:r>
        <w:t xml:space="preserve">”</w:t>
      </w:r>
      <w:r>
        <w:t xml:space="preserve">: the</w:t>
      </w:r>
      <w:r>
        <w:t xml:space="preserve"> </w:t>
      </w:r>
      <w:r>
        <w:t xml:space="preserve">“</w:t>
      </w:r>
      <w:r>
        <w:t xml:space="preserve">n</w:t>
      </w:r>
      <w:r>
        <w:t xml:space="preserve">”</w:t>
      </w:r>
      <w:r>
        <w:t xml:space="preserve"> </w:t>
      </w:r>
      <w:r>
        <w:t xml:space="preserve">and</w:t>
      </w:r>
      <w:r>
        <w:t xml:space="preserve"> </w:t>
      </w:r>
      <w:r>
        <w:t xml:space="preserve">“</w:t>
      </w:r>
      <w:r>
        <w:t xml:space="preserve">t</w:t>
      </w:r>
      <w:r>
        <w:t xml:space="preserve">”</w:t>
      </w:r>
      <w:r>
        <w:t xml:space="preserve"> </w:t>
      </w:r>
      <w:r>
        <w:t xml:space="preserve">of</w:t>
      </w:r>
      <w:r>
        <w:t xml:space="preserve"> </w:t>
      </w:r>
      <w:r>
        <w:t xml:space="preserve">“</w:t>
      </w:r>
      <w:r>
        <w:t xml:space="preserve">mahāntam</w:t>
      </w:r>
      <w:r>
        <w:t xml:space="preserve">”</w:t>
      </w:r>
      <w:r>
        <w:t xml:space="preserve"> </w:t>
      </w:r>
      <w:r>
        <w:t xml:space="preserve">are elided as a Vedic licence; acute by the stem accent.</w:t>
      </w:r>
      <w:r>
        <w:t xml:space="preserve"> </w:t>
      </w:r>
      <w:r>
        <w:rPr>
          <w:bCs/>
          <w:b/>
        </w:rPr>
        <w:t xml:space="preserve">“</w:t>
      </w:r>
      <w:r>
        <w:rPr>
          <w:bCs/>
          <w:b/>
        </w:rPr>
        <w:t xml:space="preserve">Anūṣata</w:t>
      </w:r>
      <w:r>
        <w:rPr>
          <w:bCs/>
          <w:b/>
        </w:rPr>
        <w:t xml:space="preserve">”</w:t>
      </w:r>
      <w:r>
        <w:t xml:space="preserve"> </w:t>
      </w:r>
      <w:r>
        <w:t xml:space="preserve">—</w:t>
      </w:r>
      <w:r>
        <w:t xml:space="preserve"> </w:t>
      </w:r>
      <w:r>
        <w:t xml:space="preserve">“</w:t>
      </w:r>
      <w:r>
        <w:t xml:space="preserve">ṇu stutau</w:t>
      </w:r>
      <w:r>
        <w:t xml:space="preserve">”</w:t>
      </w:r>
      <w:r>
        <w:t xml:space="preserve"> </w:t>
      </w:r>
      <w:r>
        <w:t xml:space="preserve">is parasmaipadin, but by vyatyaya takes the ātmanepada;</w:t>
      </w:r>
      <w:r>
        <w:t xml:space="preserve"> </w:t>
      </w:r>
      <w:r>
        <w:t xml:space="preserve">“</w:t>
      </w:r>
      <w:r>
        <w:t xml:space="preserve">luṅ,</w:t>
      </w:r>
      <w:r>
        <w:t xml:space="preserve">”</w:t>
      </w:r>
      <w:r>
        <w:t xml:space="preserve"> </w:t>
      </w:r>
      <w:r>
        <w:t xml:space="preserve">third plural</w:t>
      </w:r>
      <w:r>
        <w:t xml:space="preserve"> </w:t>
      </w:r>
      <w:r>
        <w:t xml:space="preserve">“</w:t>
      </w:r>
      <w:r>
        <w:t xml:space="preserve">jha,</w:t>
      </w:r>
      <w:r>
        <w:t xml:space="preserve">”</w:t>
      </w:r>
      <w:r>
        <w:t xml:space="preserve"> </w:t>
      </w:r>
      <w:r>
        <w:t xml:space="preserve">replaced by</w:t>
      </w:r>
      <w:r>
        <w:t xml:space="preserve"> </w:t>
      </w:r>
      <w:r>
        <w:t xml:space="preserve">“</w:t>
      </w:r>
      <w:r>
        <w:t xml:space="preserve">at</w:t>
      </w:r>
      <w:r>
        <w:t xml:space="preserve">”</w:t>
      </w:r>
      <w:r>
        <w:t xml:space="preserve"> </w:t>
      </w:r>
      <w:r>
        <w:t xml:space="preserve">by</w:t>
      </w:r>
      <w:r>
        <w:t xml:space="preserve"> </w:t>
      </w:r>
      <w:r>
        <w:rPr>
          <w:bCs/>
          <w:b/>
        </w:rPr>
        <w:t xml:space="preserve">आत्मनेपदेष्वनतः</w:t>
      </w:r>
      <w:r>
        <w:t xml:space="preserve"> </w:t>
      </w:r>
      <w:r>
        <w:t xml:space="preserve">(पा. सू. ७-१-५);</w:t>
      </w:r>
      <w:r>
        <w:t xml:space="preserve"> </w:t>
      </w:r>
      <w:r>
        <w:rPr>
          <w:bCs/>
          <w:b/>
        </w:rPr>
        <w:t xml:space="preserve">च्लि लुङि</w:t>
      </w:r>
      <w:r>
        <w:t xml:space="preserve"> </w:t>
      </w:r>
      <w:r>
        <w:t xml:space="preserve">(पा. सू. ३-१-४३) and</w:t>
      </w:r>
      <w:r>
        <w:t xml:space="preserve"> </w:t>
      </w:r>
      <w:r>
        <w:rPr>
          <w:bCs/>
          <w:b/>
        </w:rPr>
        <w:t xml:space="preserve">च्लेः सिच्</w:t>
      </w:r>
      <w:r>
        <w:t xml:space="preserve"> </w:t>
      </w:r>
      <w:r>
        <w:t xml:space="preserve">(पा. सू. ३-१-४४) give</w:t>
      </w:r>
      <w:r>
        <w:t xml:space="preserve"> </w:t>
      </w:r>
      <w:r>
        <w:t xml:space="preserve">“</w:t>
      </w:r>
      <w:r>
        <w:t xml:space="preserve">sic</w:t>
      </w:r>
      <w:r>
        <w:t xml:space="preserve">”</w:t>
      </w:r>
      <w:r>
        <w:t xml:space="preserve">;</w:t>
      </w:r>
      <w:r>
        <w:t xml:space="preserve"> </w:t>
      </w:r>
      <w:r>
        <w:rPr>
          <w:bCs/>
          <w:b/>
        </w:rPr>
        <w:t xml:space="preserve">गाङ्कुटादिभ्योऽञ्णिन्ङित्</w:t>
      </w:r>
      <w:r>
        <w:t xml:space="preserve"> </w:t>
      </w:r>
      <w:r>
        <w:t xml:space="preserve">(पा. सू.</w:t>
      </w:r>
      <w:r>
        <w:t xml:space="preserve"> </w:t>
      </w:r>
      <w:r>
        <w:t xml:space="preserve">“</w:t>
      </w:r>
      <w:r>
        <w:t xml:space="preserve">–२-१</w:t>
      </w:r>
      <w:r>
        <w:t xml:space="preserve">”</w:t>
      </w:r>
      <w:r>
        <w:t xml:space="preserve"> </w:t>
      </w:r>
      <w:r>
        <w:t xml:space="preserve">as printed, the first number missing) makes</w:t>
      </w:r>
      <w:r>
        <w:t xml:space="preserve"> </w:t>
      </w:r>
      <w:r>
        <w:t xml:space="preserve">“</w:t>
      </w:r>
      <w:r>
        <w:t xml:space="preserve">sic</w:t>
      </w:r>
      <w:r>
        <w:t xml:space="preserve">”</w:t>
      </w:r>
      <w:r>
        <w:t xml:space="preserve"> </w:t>
      </w:r>
      <w:r>
        <w:t xml:space="preserve">after the kuṭādi root</w:t>
      </w:r>
      <w:r>
        <w:t xml:space="preserve"> </w:t>
      </w:r>
      <w:r>
        <w:t xml:space="preserve">“</w:t>
      </w:r>
      <w:r>
        <w:t xml:space="preserve">ṇu</w:t>
      </w:r>
      <w:r>
        <w:t xml:space="preserve">”</w:t>
      </w:r>
      <w:r>
        <w:t xml:space="preserve"> </w:t>
      </w:r>
      <w:r>
        <w:t xml:space="preserve">“</w:t>
      </w:r>
      <w:r>
        <w:t xml:space="preserve">ṅit,</w:t>
      </w:r>
      <w:r>
        <w:t xml:space="preserve">”</w:t>
      </w:r>
      <w:r>
        <w:t xml:space="preserve"> </w:t>
      </w:r>
      <w:r>
        <w:t xml:space="preserve">so</w:t>
      </w:r>
      <w:r>
        <w:t xml:space="preserve"> </w:t>
      </w:r>
      <w:r>
        <w:rPr>
          <w:bCs/>
          <w:b/>
        </w:rPr>
        <w:t xml:space="preserve">क्ङिति च</w:t>
      </w:r>
      <w:r>
        <w:t xml:space="preserve"> </w:t>
      </w:r>
      <w:r>
        <w:t xml:space="preserve">(पा. सू. १-१-५) blocks the guṇa of</w:t>
      </w:r>
      <w:r>
        <w:t xml:space="preserve"> </w:t>
      </w:r>
      <w:r>
        <w:rPr>
          <w:bCs/>
          <w:b/>
        </w:rPr>
        <w:t xml:space="preserve">सार्वधातुकार्धधातुकयोः</w:t>
      </w:r>
      <w:r>
        <w:t xml:space="preserve"> </w:t>
      </w:r>
      <w:r>
        <w:t xml:space="preserve">(पा. सू. ७-३-८४);</w:t>
      </w:r>
      <w:r>
        <w:t xml:space="preserve"> </w:t>
      </w:r>
      <w:r>
        <w:rPr>
          <w:bCs/>
          <w:b/>
        </w:rPr>
        <w:t xml:space="preserve">णो नः</w:t>
      </w:r>
      <w:r>
        <w:t xml:space="preserve"> </w:t>
      </w:r>
      <w:r>
        <w:t xml:space="preserve">(पा. सू. ६-१-६५)</w:t>
      </w:r>
      <w:r>
        <w:t xml:space="preserve"> </w:t>
      </w:r>
      <w:r>
        <w:t xml:space="preserve">“</w:t>
      </w:r>
      <w:r>
        <w:t xml:space="preserve">n</w:t>
      </w:r>
      <w:r>
        <w:t xml:space="preserve">”</w:t>
      </w:r>
      <w:r>
        <w:t xml:space="preserve"> </w:t>
      </w:r>
      <w:r>
        <w:t xml:space="preserve">for the initial</w:t>
      </w:r>
      <w:r>
        <w:t xml:space="preserve"> </w:t>
      </w:r>
      <w:r>
        <w:t xml:space="preserve">“</w:t>
      </w:r>
      <w:r>
        <w:t xml:space="preserve">ṇ</w:t>
      </w:r>
      <w:r>
        <w:t xml:space="preserve">”</w:t>
      </w:r>
      <w:r>
        <w:t xml:space="preserve"> </w:t>
      </w:r>
      <w:r>
        <w:rPr>
          <w:iCs/>
          <w:i/>
        </w:rPr>
        <w:t xml:space="preserve">(the grammar of</w:t>
      </w:r>
      <w:r>
        <w:rPr>
          <w:iCs/>
          <w:i/>
        </w:rPr>
        <w:t xml:space="preserve"> </w:t>
      </w:r>
      <w:r>
        <w:rPr>
          <w:iCs/>
          <w:i/>
        </w:rPr>
        <w:t xml:space="preserve">“</w:t>
      </w:r>
      <w:r>
        <w:rPr>
          <w:iCs/>
          <w:i/>
        </w:rPr>
        <w:t xml:space="preserve">anūṣata</w:t>
      </w:r>
      <w:r>
        <w:rPr>
          <w:iCs/>
          <w:i/>
        </w:rPr>
        <w:t xml:space="preserve">”</w:t>
      </w:r>
      <w:r>
        <w:rPr>
          <w:iCs/>
          <w:i/>
        </w:rPr>
        <w:t xml:space="preserve"> </w:t>
      </w:r>
      <w:r>
        <w:rPr>
          <w:iCs/>
          <w:i/>
        </w:rPr>
        <w:t xml:space="preserve">continues on p. 236).</w:t>
      </w:r>
    </w:p>
    <w:bookmarkEnd w:id="273"/>
    <w:bookmarkStart w:id="274" w:name="Xfdeab601de1e39351af90c05b787c6d7dd10199"/>
    <w:p>
      <w:pPr>
        <w:pStyle w:val="Heading3"/>
      </w:pPr>
      <w:r>
        <w:t xml:space="preserve">Page 236 — Rik 6.6 grammar concluded; Sūkta 6, Seventh Mantra: Saṃhitā, Pada, Sāyaṇa-bhāṣya (opening)</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6.</w:t>
      </w:r>
      <w:r>
        <w:rPr>
          <w:iCs/>
          <w:i/>
        </w:rPr>
        <w:t xml:space="preserve">”</w:t>
      </w:r>
      <w:r>
        <w:rPr>
          <w:iCs/>
          <w:i/>
        </w:rPr>
        <w:t xml:space="preserve"> </w:t>
      </w:r>
      <w:r>
        <w:rPr>
          <w:iCs/>
          <w:i/>
        </w:rPr>
        <w:t xml:space="preserve">Saṃhitā accents as printed (Pada unaccented); Sanskrit re-read from the better scan. Grammar characterized.)</w:t>
      </w:r>
    </w:p>
    <w:p>
      <w:pPr>
        <w:pStyle w:val="BodyText"/>
      </w:pPr>
      <w:r>
        <w:rPr>
          <w:iCs/>
          <w:i/>
        </w:rPr>
        <w:t xml:space="preserve">(Concluding</w:t>
      </w:r>
      <w:r>
        <w:rPr>
          <w:iCs/>
          <w:i/>
        </w:rPr>
        <w:t xml:space="preserve"> </w:t>
      </w:r>
      <w:r>
        <w:rPr>
          <w:iCs/>
          <w:i/>
        </w:rPr>
        <w:t xml:space="preserve">“</w:t>
      </w:r>
      <w:r>
        <w:rPr>
          <w:iCs/>
          <w:i/>
        </w:rPr>
        <w:t xml:space="preserve">anūṣata</w:t>
      </w:r>
      <w:r>
        <w:rPr>
          <w:iCs/>
          <w:i/>
        </w:rPr>
        <w:t xml:space="preserve">”</w:t>
      </w:r>
      <w:r>
        <w:rPr>
          <w:iCs/>
          <w:i/>
        </w:rPr>
        <w:t xml:space="preserve">:)</w:t>
      </w:r>
      <w:r>
        <w:t xml:space="preserve"> </w:t>
      </w:r>
      <w:r>
        <w:rPr>
          <w:bCs/>
          <w:b/>
        </w:rPr>
        <w:t xml:space="preserve">णोनः</w:t>
      </w:r>
      <w:r>
        <w:t xml:space="preserve"> </w:t>
      </w:r>
      <w:r>
        <w:t xml:space="preserve">(पा. सू. ६-१-६५) —</w:t>
      </w:r>
      <w:r>
        <w:t xml:space="preserve"> </w:t>
      </w:r>
      <w:r>
        <w:t xml:space="preserve">“</w:t>
      </w:r>
      <w:r>
        <w:t xml:space="preserve">n</w:t>
      </w:r>
      <w:r>
        <w:t xml:space="preserve">”</w:t>
      </w:r>
      <w:r>
        <w:t xml:space="preserve"> </w:t>
      </w:r>
      <w:r>
        <w:t xml:space="preserve">for the initial</w:t>
      </w:r>
      <w:r>
        <w:t xml:space="preserve"> </w:t>
      </w:r>
      <w:r>
        <w:t xml:space="preserve">“</w:t>
      </w:r>
      <w:r>
        <w:t xml:space="preserve">ṇ</w:t>
      </w:r>
      <w:r>
        <w:t xml:space="preserve">”</w:t>
      </w:r>
      <w:r>
        <w:t xml:space="preserve"> </w:t>
      </w:r>
      <w:r>
        <w:t xml:space="preserve">of a root — makes</w:t>
      </w:r>
      <w:r>
        <w:t xml:space="preserve"> </w:t>
      </w:r>
      <w:r>
        <w:t xml:space="preserve">“</w:t>
      </w:r>
      <w:r>
        <w:t xml:space="preserve">ṇu</w:t>
      </w:r>
      <w:r>
        <w:t xml:space="preserve">”</w:t>
      </w:r>
      <w:r>
        <w:t xml:space="preserve"> </w:t>
      </w:r>
      <w:r>
        <w:t xml:space="preserve">→</w:t>
      </w:r>
      <w:r>
        <w:t xml:space="preserve"> </w:t>
      </w:r>
      <w:r>
        <w:t xml:space="preserve">“</w:t>
      </w:r>
      <w:r>
        <w:t xml:space="preserve">nu</w:t>
      </w:r>
      <w:r>
        <w:t xml:space="preserve">”</w:t>
      </w:r>
      <w:r>
        <w:t xml:space="preserve">;</w:t>
      </w:r>
      <w:r>
        <w:t xml:space="preserve"> </w:t>
      </w:r>
      <w:r>
        <w:rPr>
          <w:bCs/>
          <w:b/>
        </w:rPr>
        <w:t xml:space="preserve">लुङ्लङ्लृङ्क्ष्वडुदात्तः</w:t>
      </w:r>
      <w:r>
        <w:t xml:space="preserve"> </w:t>
      </w:r>
      <w:r>
        <w:t xml:space="preserve">(पा. सू. ६-४-७१) the augment</w:t>
      </w:r>
      <w:r>
        <w:t xml:space="preserve"> </w:t>
      </w:r>
      <w:r>
        <w:t xml:space="preserve">“</w:t>
      </w:r>
      <w:r>
        <w:t xml:space="preserve">aṭ</w:t>
      </w:r>
      <w:r>
        <w:t xml:space="preserve">”</w:t>
      </w:r>
      <w:r>
        <w:t xml:space="preserve">; the augment</w:t>
      </w:r>
      <w:r>
        <w:t xml:space="preserve"> </w:t>
      </w:r>
      <w:r>
        <w:t xml:space="preserve">“</w:t>
      </w:r>
      <w:r>
        <w:t xml:space="preserve">iṭ</w:t>
      </w:r>
      <w:r>
        <w:t xml:space="preserve">”</w:t>
      </w:r>
      <w:r>
        <w:t xml:space="preserve"> </w:t>
      </w:r>
      <w:r>
        <w:t xml:space="preserve">that would be prescribed by</w:t>
      </w:r>
      <w:r>
        <w:t xml:space="preserve"> </w:t>
      </w:r>
      <w:r>
        <w:rPr>
          <w:bCs/>
          <w:b/>
        </w:rPr>
        <w:t xml:space="preserve">आर्धधातुकस्येड्वलादेः</w:t>
      </w:r>
      <w:r>
        <w:t xml:space="preserve"> </w:t>
      </w:r>
      <w:r>
        <w:t xml:space="preserve">(पा. सू. ७-२-३५) does not come to</w:t>
      </w:r>
      <w:r>
        <w:t xml:space="preserve"> </w:t>
      </w:r>
      <w:r>
        <w:t xml:space="preserve">“</w:t>
      </w:r>
      <w:r>
        <w:t xml:space="preserve">sic</w:t>
      </w:r>
      <w:r>
        <w:t xml:space="preserve">”</w:t>
      </w:r>
      <w:r>
        <w:t xml:space="preserve">; the lengthening of the</w:t>
      </w:r>
      <w:r>
        <w:t xml:space="preserve"> </w:t>
      </w:r>
      <w:r>
        <w:t xml:space="preserve">“</w:t>
      </w:r>
      <w:r>
        <w:t xml:space="preserve">u</w:t>
      </w:r>
      <w:r>
        <w:t xml:space="preserve">”</w:t>
      </w:r>
      <w:r>
        <w:t xml:space="preserve"> </w:t>
      </w:r>
      <w:r>
        <w:t xml:space="preserve">of</w:t>
      </w:r>
      <w:r>
        <w:t xml:space="preserve"> </w:t>
      </w:r>
      <w:r>
        <w:t xml:space="preserve">“</w:t>
      </w:r>
      <w:r>
        <w:t xml:space="preserve">nu</w:t>
      </w:r>
      <w:r>
        <w:t xml:space="preserve">”</w:t>
      </w:r>
      <w:r>
        <w:t xml:space="preserve"> </w:t>
      </w:r>
      <w:r>
        <w:t xml:space="preserve">is Vedic (so</w:t>
      </w:r>
      <w:r>
        <w:t xml:space="preserve"> </w:t>
      </w:r>
      <w:r>
        <w:t xml:space="preserve">“</w:t>
      </w:r>
      <w:r>
        <w:t xml:space="preserve">nū</w:t>
      </w:r>
      <w:r>
        <w:t xml:space="preserve">”</w:t>
      </w:r>
      <w:r>
        <w:t xml:space="preserve">);</w:t>
      </w:r>
      <w:r>
        <w:t xml:space="preserve"> </w:t>
      </w:r>
      <w:r>
        <w:rPr>
          <w:bCs/>
          <w:b/>
        </w:rPr>
        <w:t xml:space="preserve">तिङ्ङतिङः</w:t>
      </w:r>
      <w:r>
        <w:t xml:space="preserve"> </w:t>
      </w:r>
      <w:r>
        <w:t xml:space="preserve">(पा. सू. ८-१-२८) makes the verb unaccented after</w:t>
      </w:r>
      <w:r>
        <w:t xml:space="preserve"> </w:t>
      </w:r>
      <w:r>
        <w:t xml:space="preserve">“</w:t>
      </w:r>
      <w:r>
        <w:t xml:space="preserve">mahām.</w:t>
      </w:r>
      <w:r>
        <w:t xml:space="preserve">”</w:t>
      </w:r>
      <w:r>
        <w:t xml:space="preserve"> </w:t>
      </w:r>
      <w:r>
        <w:rPr>
          <w:bCs/>
          <w:b/>
        </w:rPr>
        <w:t xml:space="preserve">“</w:t>
      </w:r>
      <w:r>
        <w:rPr>
          <w:bCs/>
          <w:b/>
        </w:rPr>
        <w:t xml:space="preserve">Śrutam</w:t>
      </w:r>
      <w:r>
        <w:rPr>
          <w:bCs/>
          <w:b/>
        </w:rPr>
        <w:t xml:space="preserve">”</w:t>
      </w:r>
      <w:r>
        <w:t xml:space="preserve"> </w:t>
      </w:r>
      <w:r>
        <w:t xml:space="preserve">— ends in the affix</w:t>
      </w:r>
      <w:r>
        <w:t xml:space="preserve"> </w:t>
      </w:r>
      <w:r>
        <w:t xml:space="preserve">“</w:t>
      </w:r>
      <w:r>
        <w:t xml:space="preserve">kta</w:t>
      </w:r>
      <w:r>
        <w:t xml:space="preserve">”</w:t>
      </w:r>
      <w:r>
        <w:t xml:space="preserve">; the accent is that of the affix. ॥६॥</w:t>
      </w:r>
    </w:p>
    <w:p>
      <w:r>
        <w:pict>
          <v:rect style="width:0;height:1.5pt" o:hralign="center" o:hrstd="t" o:hr="t"/>
        </w:pict>
      </w:r>
    </w:p>
    <w:bookmarkEnd w:id="274"/>
    <w:bookmarkStart w:id="275" w:name="sūkta-6-the-seventh-mantra"/>
    <w:p>
      <w:pPr>
        <w:pStyle w:val="Heading3"/>
      </w:pPr>
      <w:r>
        <w:t xml:space="preserve">Sūkta 6, The Seventh Mantra</w:t>
      </w:r>
    </w:p>
    <w:p>
      <w:pPr>
        <w:pStyle w:val="FirstParagraph"/>
      </w:pPr>
      <w:r>
        <w:rPr>
          <w:bCs/>
          <w:b/>
        </w:rPr>
        <w:t xml:space="preserve">॥ Saṃhitā-pāṭhaḥ ॥</w:t>
      </w:r>
    </w:p>
    <w:p>
      <w:pPr>
        <w:pStyle w:val="BlockText"/>
      </w:pPr>
      <w:r>
        <w:t xml:space="preserve">इन्द्रे॑ण॒ सं हि दृक्ष॑से संजग्मा॒नो अबि॑भ्युषा ।</w:t>
      </w:r>
      <w:r>
        <w:t xml:space="preserve"> </w:t>
      </w:r>
      <w:r>
        <w:t xml:space="preserve">म॒न्दू स॑मा॒नव॑र्चसा ॥७॥</w:t>
      </w:r>
    </w:p>
    <w:p>
      <w:pPr>
        <w:pStyle w:val="BlockText"/>
      </w:pPr>
      <w:r>
        <w:rPr>
          <w:iCs/>
          <w:i/>
        </w:rPr>
        <w:t xml:space="preserve">índreṇa sáṃ hi dṛ́kṣase saṃjagmānó ábibhyuṣā |</w:t>
      </w:r>
      <w:r>
        <w:t xml:space="preserve"> </w:t>
      </w:r>
      <w:r>
        <w:rPr>
          <w:iCs/>
          <w:i/>
        </w:rPr>
        <w:t xml:space="preserve">mandū́ samānávarcasā ||7||</w:t>
      </w:r>
    </w:p>
    <w:p>
      <w:pPr>
        <w:pStyle w:val="FirstParagraph"/>
      </w:pPr>
      <w:r>
        <w:rPr>
          <w:bCs/>
          <w:b/>
        </w:rPr>
        <w:t xml:space="preserve">॥ Pada-pāṭhaḥ ॥</w:t>
      </w:r>
    </w:p>
    <w:p>
      <w:pPr>
        <w:pStyle w:val="BlockText"/>
      </w:pPr>
      <w:r>
        <w:t xml:space="preserve">इन्द्रेण । सम् । हि । दृक्षसे । सम्ऽजग्मानः । अबिभ्युषा ।</w:t>
      </w:r>
      <w:r>
        <w:t xml:space="preserve"> </w:t>
      </w:r>
      <w:r>
        <w:t xml:space="preserve">मन्दू इति । समानऽवर्चसा ॥७॥</w:t>
      </w:r>
    </w:p>
    <w:p>
      <w:pPr>
        <w:pStyle w:val="FirstParagraph"/>
      </w:pPr>
      <w:r>
        <w:rPr>
          <w:bCs/>
          <w:b/>
        </w:rPr>
        <w:t xml:space="preserve">॥ Sāyaṇa-bhāṣyam ॥</w:t>
      </w:r>
      <w:r>
        <w:t xml:space="preserve"> </w:t>
      </w:r>
      <w:r>
        <w:rPr>
          <w:iCs/>
          <w:i/>
        </w:rPr>
        <w:t xml:space="preserve">(opening)</w:t>
      </w:r>
    </w:p>
    <w:p>
      <w:pPr>
        <w:pStyle w:val="BlockText"/>
      </w:pPr>
      <w:r>
        <w:t xml:space="preserve">हे मरुद्गण त्वमिन्द्रेण संजग्मानः संगच्छमानः सं दृक्षसे हि । सम्यग्दृश्येथाः खलु । अवश्यमस्माभिर्द्रष्टव्य इत्यर्थः । कीदृशेनेन्द्रेण । अबिभ्युषा भीतिरहितेन । कीदृशौ चेन्द्रमरुद्गणौ । मन्दू नित्यप्रमुदितौ समानवर्चसा तुल्यदीप्ती । पुरा कदाचिद्वृत्रवधदशायामिन्द्रस्य सखायः सर्वे देवा वृत्रश्वासेनापसारिताः । तदानीमिन्द्रस्य वृत्रसंबन्धिसकलसेनाजयार्थं मरुद्भिः संगनोऽभूत् । सोऽयमर्थो वृत्रस्य त्वा श्वसथात् । ऋग्वे. ८-९६-७ । इति मन्त्रे संगृहीत इन्द्रो वै वृत्रं हनिष्यन् । ऐ. ब्रा. ३-२० । इति ब्राह्मणे प्रपंचितश्च । इन्द्रशब्दः परमैश्वर्यवन्तं मरुद्गणं वाभिधत्ते । तदानीमिन्द्रस्य संबोधनं बहिरेवाध्याहर्तव्यम् । तथा चेयमृग्यास्केन व्याख्याता । इन्द्रेण हि संदृश्यसे संगच्छमानोऽबिभ्युषा गणेन मन्दू मदिष्णू युवां स्थोऽपि वा मन्दुना तेनेति स्यात्समानवर्चसेत्येतेन व्याख्यातम् । नि. ४-१२ । इति ॥ सं दृक्षसे । संपश्येथाः । दृशेश्चेति वक्तव्यम् । पा. १-३-२९-२ । इत्यात्मनेपदं । दृशेर्लिङर्थे लेट् । पा. ३-४-७ । इति प्रार्थनायां …</w:t>
      </w:r>
      <w:r>
        <w:t xml:space="preserve"> </w:t>
      </w:r>
      <w:r>
        <w:rPr>
          <w:iCs/>
          <w:i/>
        </w:rPr>
        <w:t xml:space="preserve">he marud-gaṇa tvam indreṇa saṃjagmānaḥ saṃgacchamānaḥ saṃ dṛkṣase hi | samyag dṛśyethāḥ khalu | avaśyam asmābhir draṣṭavya ity arthaḥ | kīdṛśenendreṇa | abibhyuṣā bhīti-rahitena | kīdṛśau cendra-marud-gaṇau | mandū nitya-pramuditau samāna-varcasā tulya-dīptī | purā kadācid vṛtra-vadha-daśāyām indrasya sakhāyaḥ sarve devā vṛtra-śvāsenāpasāritāḥ | tadānīm indrasya vṛtra-sambandhi-sakala-senā-jayārtham marudbhiḥ saṃgano ’bhūt | so ’yam artho vṛtrasya tvā śvasathāt | ṛgve. 8-96-7 | iti mantre saṅgṛhīta indro vai vṛtraṃ haniṣyan | ai. brā. 3-20 | iti brāhmaṇe prapañcitaś ca | indra-śabdaḥ paramaiśvaryavantaṃ marud-gaṇaṃ vābhidhatte | tadānīm indrasya sambodhanaṃ bahir evādhyāhartavyam | tathā ceyam ṛg yāskena vyākhyātā | indreṇa hi saṃ dṛśyase saṃgacchamāno ’bibhyuṣā gaṇena mandū madiṣṇū yuvāṃ stho ’pi vā mandunā teneti syāt samānavarcasety etena vyākhyātam | ni. 4-12 | iti || saṃ dṛkṣase | saṃpaśyethāḥ | dṛśeś ceti vaktavyam | pā. 1-3-29-2 | ity ātmanepadaṃ | dṛśer liṅarthe leṭ | pā. 3-4-7 | iti prārthanāyāṃ …</w:t>
      </w:r>
      <w:r>
        <w:t xml:space="preserve"> </w:t>
      </w:r>
      <w:r>
        <w:rPr>
          <w:iCs/>
          <w:i/>
        </w:rPr>
        <w:t xml:space="preserve">(Reading notes:</w:t>
      </w:r>
      <w:r>
        <w:rPr>
          <w:iCs/>
          <w:i/>
        </w:rPr>
        <w:t xml:space="preserve"> </w:t>
      </w:r>
      <w:r>
        <w:rPr>
          <w:iCs/>
          <w:i/>
        </w:rPr>
        <w:t xml:space="preserve">“</w:t>
      </w:r>
      <w:r>
        <w:rPr>
          <w:iCs/>
          <w:i/>
        </w:rPr>
        <w:t xml:space="preserve">saṃgano ’bhūt</w:t>
      </w:r>
      <w:r>
        <w:rPr>
          <w:iCs/>
          <w:i/>
        </w:rPr>
        <w:t xml:space="preserve">”</w:t>
      </w:r>
      <w:r>
        <w:rPr>
          <w:iCs/>
          <w:i/>
        </w:rPr>
        <w:t xml:space="preserve"> </w:t>
      </w:r>
      <w:r>
        <w:rPr>
          <w:iCs/>
          <w:i/>
        </w:rPr>
        <w:t xml:space="preserve">as printed; the Bhāṣya continues on p. 237.)</w:t>
      </w:r>
    </w:p>
    <w:p>
      <w:pPr>
        <w:pStyle w:val="FirstParagraph"/>
      </w:pPr>
      <w:r>
        <w:rPr>
          <w:bCs/>
          <w:b/>
        </w:rPr>
        <w:t xml:space="preserve">Translation (sense in full; grammar in outline):</w:t>
      </w:r>
      <w:r>
        <w:t xml:space="preserve"> </w:t>
      </w:r>
      <w:r>
        <w:t xml:space="preserve">“</w:t>
      </w:r>
      <w:r>
        <w:t xml:space="preserve">O troop of Maruts! You,</w:t>
      </w:r>
      <w:r>
        <w:t xml:space="preserve"> </w:t>
      </w:r>
      <w:r>
        <w:t xml:space="preserve">‘</w:t>
      </w:r>
      <w:r>
        <w:t xml:space="preserve">saṃjagmānaḥ</w:t>
      </w:r>
      <w:r>
        <w:t xml:space="preserve">’</w:t>
      </w:r>
      <w:r>
        <w:t xml:space="preserve"> </w:t>
      </w:r>
      <w:r>
        <w:t xml:space="preserve">— joining Indra —</w:t>
      </w:r>
      <w:r>
        <w:t xml:space="preserve"> </w:t>
      </w:r>
      <w:r>
        <w:t xml:space="preserve">‘</w:t>
      </w:r>
      <w:r>
        <w:t xml:space="preserve">saṃ dṛkṣase hi</w:t>
      </w:r>
      <w:r>
        <w:t xml:space="preserve">’</w:t>
      </w:r>
      <w:r>
        <w:t xml:space="preserve"> </w:t>
      </w:r>
      <w:r>
        <w:t xml:space="preserve">— you are indeed well seen; the sense is</w:t>
      </w:r>
      <w:r>
        <w:t xml:space="preserve"> </w:t>
      </w:r>
      <w:r>
        <w:t xml:space="preserve">‘</w:t>
      </w:r>
      <w:r>
        <w:t xml:space="preserve">you must certainly be seen by us.</w:t>
      </w:r>
      <w:r>
        <w:t xml:space="preserve">’</w:t>
      </w:r>
      <w:r>
        <w:t xml:space="preserve"> </w:t>
      </w:r>
      <w:r>
        <w:t xml:space="preserve">With what kind of Indra?</w:t>
      </w:r>
      <w:r>
        <w:t xml:space="preserve"> </w:t>
      </w:r>
      <w:r>
        <w:t xml:space="preserve">‘</w:t>
      </w:r>
      <w:r>
        <w:t xml:space="preserve">Abibhyuṣā</w:t>
      </w:r>
      <w:r>
        <w:t xml:space="preserve">’</w:t>
      </w:r>
      <w:r>
        <w:t xml:space="preserve"> </w:t>
      </w:r>
      <w:r>
        <w:t xml:space="preserve">— one free of fear. And what kind of Indra and Marut-troop?</w:t>
      </w:r>
      <w:r>
        <w:t xml:space="preserve"> </w:t>
      </w:r>
      <w:r>
        <w:t xml:space="preserve">‘</w:t>
      </w:r>
      <w:r>
        <w:t xml:space="preserve">Mandū</w:t>
      </w:r>
      <w:r>
        <w:t xml:space="preserve">’</w:t>
      </w:r>
      <w:r>
        <w:t xml:space="preserve"> </w:t>
      </w:r>
      <w:r>
        <w:t xml:space="preserve">— ever delighted,</w:t>
      </w:r>
      <w:r>
        <w:t xml:space="preserve"> </w:t>
      </w:r>
      <w:r>
        <w:t xml:space="preserve">‘</w:t>
      </w:r>
      <w:r>
        <w:t xml:space="preserve">samānavarcasā</w:t>
      </w:r>
      <w:r>
        <w:t xml:space="preserve">’</w:t>
      </w:r>
      <w:r>
        <w:t xml:space="preserve"> </w:t>
      </w:r>
      <w:r>
        <w:t xml:space="preserve">— of equal radiance. Once, in the time of the slaying of Vṛtra, all the gods, friends of Indra, were driven away by Vṛtra’s breath. Then, in order that Indra might conquer all of Vṛtra’s army, there was a union with the Maruts. This sense is gathered into the mantra (Ṛg. 8-96-7):</w:t>
      </w:r>
      <w:r>
        <w:t xml:space="preserve"> </w:t>
      </w:r>
      <w:r>
        <w:t xml:space="preserve">‘</w:t>
      </w:r>
      <w:r>
        <w:rPr>
          <w:iCs/>
          <w:i/>
        </w:rPr>
        <w:t xml:space="preserve">from the snorting of Vṛtra, you</w:t>
      </w:r>
      <w:r>
        <w:t xml:space="preserve"> </w:t>
      </w:r>
      <w:r>
        <w:t xml:space="preserve">…</w:t>
      </w:r>
      <w:r>
        <w:t xml:space="preserve">’</w:t>
      </w:r>
      <w:r>
        <w:t xml:space="preserve"> </w:t>
      </w:r>
      <w:r>
        <w:t xml:space="preserve">and it is elaborated in the Brāhmaṇa:</w:t>
      </w:r>
      <w:r>
        <w:t xml:space="preserve"> </w:t>
      </w:r>
      <w:r>
        <w:t xml:space="preserve">‘</w:t>
      </w:r>
      <w:r>
        <w:rPr>
          <w:iCs/>
          <w:i/>
        </w:rPr>
        <w:t xml:space="preserve">Indra, about to slay Vṛtra</w:t>
      </w:r>
      <w:r>
        <w:t xml:space="preserve">’</w:t>
      </w:r>
      <w:r>
        <w:t xml:space="preserve"> </w:t>
      </w:r>
      <w:r>
        <w:t xml:space="preserve">(Aitareya-brāhmaṇa 3-20). The word</w:t>
      </w:r>
      <w:r>
        <w:t xml:space="preserve"> </w:t>
      </w:r>
      <w:r>
        <w:t xml:space="preserve">‘</w:t>
      </w:r>
      <w:r>
        <w:t xml:space="preserve">Indra</w:t>
      </w:r>
      <w:r>
        <w:t xml:space="preserve">’</w:t>
      </w:r>
      <w:r>
        <w:t xml:space="preserve"> </w:t>
      </w:r>
      <w:r>
        <w:t xml:space="preserve">here denotes the supremely powerful Marut-troop, or Indra; at that time the vocative</w:t>
      </w:r>
      <w:r>
        <w:t xml:space="preserve"> </w:t>
      </w:r>
      <w:r>
        <w:t xml:space="preserve">‘</w:t>
      </w:r>
      <w:r>
        <w:t xml:space="preserve">Indra</w:t>
      </w:r>
      <w:r>
        <w:t xml:space="preserve">’</w:t>
      </w:r>
      <w:r>
        <w:t xml:space="preserve"> </w:t>
      </w:r>
      <w:r>
        <w:t xml:space="preserve">must be supplied from outside. That is how Yāska explains this Ṛk:</w:t>
      </w:r>
      <w:r>
        <w:t xml:space="preserve"> </w:t>
      </w:r>
      <w:r>
        <w:t xml:space="preserve">‘</w:t>
      </w:r>
      <w:r>
        <w:rPr>
          <w:iCs/>
          <w:i/>
        </w:rPr>
        <w:t xml:space="preserve">By Indra you are seen united, by the fearless troop:</w:t>
      </w:r>
      <w:r>
        <w:rPr>
          <w:iCs/>
          <w:i/>
        </w:rPr>
        <w:t xml:space="preserve"> </w:t>
      </w:r>
      <w:r>
        <w:rPr>
          <w:iCs/>
          <w:i/>
        </w:rPr>
        <w:t xml:space="preserve">“</w:t>
      </w:r>
      <w:r>
        <w:rPr>
          <w:iCs/>
          <w:i/>
        </w:rPr>
        <w:t xml:space="preserve">mandū</w:t>
      </w:r>
      <w:r>
        <w:rPr>
          <w:iCs/>
          <w:i/>
        </w:rPr>
        <w:t xml:space="preserve">”</w:t>
      </w:r>
      <w:r>
        <w:rPr>
          <w:iCs/>
          <w:i/>
        </w:rPr>
        <w:t xml:space="preserve"> </w:t>
      </w:r>
      <w:r>
        <w:rPr>
          <w:iCs/>
          <w:i/>
        </w:rPr>
        <w:t xml:space="preserve">— the two who gladden, you both, or (you two) are; or</w:t>
      </w:r>
      <w:r>
        <w:rPr>
          <w:iCs/>
          <w:i/>
        </w:rPr>
        <w:t xml:space="preserve"> </w:t>
      </w:r>
      <w:r>
        <w:rPr>
          <w:iCs/>
          <w:i/>
        </w:rPr>
        <w:t xml:space="preserve">“</w:t>
      </w:r>
      <w:r>
        <w:rPr>
          <w:iCs/>
          <w:i/>
        </w:rPr>
        <w:t xml:space="preserve">mandunā tena</w:t>
      </w:r>
      <w:r>
        <w:rPr>
          <w:iCs/>
          <w:i/>
        </w:rPr>
        <w:t xml:space="preserve">”</w:t>
      </w:r>
      <w:r>
        <w:rPr>
          <w:iCs/>
          <w:i/>
        </w:rPr>
        <w:t xml:space="preserve"> </w:t>
      </w:r>
      <w:r>
        <w:rPr>
          <w:iCs/>
          <w:i/>
        </w:rPr>
        <w:t xml:space="preserve">(with that gladdening one) — this would be</w:t>
      </w:r>
      <w:r>
        <w:rPr>
          <w:iCs/>
          <w:i/>
        </w:rPr>
        <w:t xml:space="preserve"> </w:t>
      </w:r>
      <w:r>
        <w:rPr>
          <w:iCs/>
          <w:i/>
        </w:rPr>
        <w:t xml:space="preserve">“</w:t>
      </w:r>
      <w:r>
        <w:rPr>
          <w:iCs/>
          <w:i/>
        </w:rPr>
        <w:t xml:space="preserve">samānavarcasā</w:t>
      </w:r>
      <w:r>
        <w:rPr>
          <w:iCs/>
          <w:i/>
        </w:rPr>
        <w:t xml:space="preserve">”</w:t>
      </w:r>
      <w:r>
        <w:t xml:space="preserve">’</w:t>
      </w:r>
      <w:r>
        <w:t xml:space="preserve"> </w:t>
      </w:r>
      <w:r>
        <w:t xml:space="preserve">(Nirukta 4-12).</w:t>
      </w:r>
      <w:r>
        <w:t xml:space="preserve"> </w:t>
      </w:r>
      <w:r>
        <w:t xml:space="preserve">‘</w:t>
      </w:r>
      <w:r>
        <w:t xml:space="preserve">Saṃ dṛkṣase</w:t>
      </w:r>
      <w:r>
        <w:t xml:space="preserve">’</w:t>
      </w:r>
      <w:r>
        <w:t xml:space="preserve"> </w:t>
      </w:r>
      <w:r>
        <w:t xml:space="preserve">—</w:t>
      </w:r>
      <w:r>
        <w:t xml:space="preserve"> </w:t>
      </w:r>
      <w:r>
        <w:t xml:space="preserve">‘</w:t>
      </w:r>
      <w:r>
        <w:t xml:space="preserve">you should be seen together</w:t>
      </w:r>
      <w:r>
        <w:t xml:space="preserve">’</w:t>
      </w:r>
      <w:r>
        <w:t xml:space="preserve">; (the Bhāṣya on the form of</w:t>
      </w:r>
      <w:r>
        <w:t xml:space="preserve"> </w:t>
      </w:r>
      <w:r>
        <w:t xml:space="preserve">‘</w:t>
      </w:r>
      <w:r>
        <w:t xml:space="preserve">dṛkṣase</w:t>
      </w:r>
      <w:r>
        <w:t xml:space="preserve">’</w:t>
      </w:r>
      <w:r>
        <w:t xml:space="preserve">:) the ātmanepada by the vārttika</w:t>
      </w:r>
      <w:r>
        <w:t xml:space="preserve">”</w:t>
      </w:r>
      <w:r>
        <w:t xml:space="preserve">dṛśeś ceti vaktavyam” (पा. १-३-२९-२);</w:t>
      </w:r>
      <w:r>
        <w:t xml:space="preserve"> </w:t>
      </w:r>
      <w:r>
        <w:t xml:space="preserve">‘</w:t>
      </w:r>
      <w:r>
        <w:t xml:space="preserve">leṭ</w:t>
      </w:r>
      <w:r>
        <w:t xml:space="preserve">’</w:t>
      </w:r>
      <w:r>
        <w:t xml:space="preserve"> </w:t>
      </w:r>
      <w:r>
        <w:t xml:space="preserve">of the root</w:t>
      </w:r>
      <w:r>
        <w:t xml:space="preserve"> </w:t>
      </w:r>
      <w:r>
        <w:t xml:space="preserve">‘</w:t>
      </w:r>
      <w:r>
        <w:t xml:space="preserve">dṛś</w:t>
      </w:r>
      <w:r>
        <w:t xml:space="preserve">’</w:t>
      </w:r>
      <w:r>
        <w:t xml:space="preserve"> </w:t>
      </w:r>
      <w:r>
        <w:t xml:space="preserve">in the sense of</w:t>
      </w:r>
      <w:r>
        <w:t xml:space="preserve"> </w:t>
      </w:r>
      <w:r>
        <w:t xml:space="preserve">‘</w:t>
      </w:r>
      <w:r>
        <w:t xml:space="preserve">liṅ,</w:t>
      </w:r>
      <w:r>
        <w:t xml:space="preserve">’</w:t>
      </w:r>
      <w:r>
        <w:t xml:space="preserve"> </w:t>
      </w:r>
      <w:r>
        <w:t xml:space="preserve">(पा. ३-४-७), in the sense of prayer …”</w:t>
      </w:r>
      <w:r>
        <w:t xml:space="preserve"> </w:t>
      </w:r>
      <w:r>
        <w:rPr>
          <w:iCs/>
          <w:i/>
        </w:rPr>
        <w:t xml:space="preserve">(continues on the next page).</w:t>
      </w:r>
    </w:p>
    <w:bookmarkEnd w:id="275"/>
    <w:bookmarkStart w:id="276" w:name="X601ce55f577e8254820ac9e639cac8a2f8ddae9"/>
    <w:p>
      <w:pPr>
        <w:pStyle w:val="Heading3"/>
      </w:pPr>
      <w:r>
        <w:t xml:space="preserve">Page 237 — Rik 6.7: grammar of the Bhāṣya (characterized); Pada-meanings</w:t>
      </w:r>
    </w:p>
    <w:p>
      <w:pPr>
        <w:pStyle w:val="FirstParagraph"/>
      </w:pPr>
      <w:r>
        <w:rPr>
          <w:iCs/>
          <w:i/>
        </w:rPr>
        <w:t xml:space="preserve">(Page header:</w:t>
      </w:r>
      <w:r>
        <w:rPr>
          <w:iCs/>
          <w:i/>
        </w:rPr>
        <w:t xml:space="preserve"> </w:t>
      </w:r>
      <w:r>
        <w:rPr>
          <w:iCs/>
          <w:i/>
        </w:rPr>
        <w:t xml:space="preserve">“</w:t>
      </w:r>
      <w:r>
        <w:rPr>
          <w:iCs/>
          <w:i/>
        </w:rPr>
        <w:t xml:space="preserve">Aṣṭaka 1, Adhyāya 1, Varga 12 · Ṛgveda-saṃhitā.</w:t>
      </w:r>
      <w:r>
        <w:rPr>
          <w:iCs/>
          <w:i/>
        </w:rPr>
        <w:t xml:space="preserve">”</w:t>
      </w:r>
      <w:r>
        <w:rPr>
          <w:iCs/>
          <w:i/>
        </w:rPr>
        <w:t xml:space="preserve"> </w:t>
      </w:r>
      <w:r>
        <w:rPr>
          <w:iCs/>
          <w:i/>
        </w:rPr>
        <w:t xml:space="preserve">The top of the page continues the Sanskrit grammar of the Bhāṣya on</w:t>
      </w:r>
      <w:r>
        <w:rPr>
          <w:iCs/>
          <w:i/>
        </w:rPr>
        <w:t xml:space="preserve"> </w:t>
      </w:r>
      <w:r>
        <w:rPr>
          <w:iCs/>
          <w:i/>
        </w:rPr>
        <w:t xml:space="preserve">“</w:t>
      </w:r>
      <w:r>
        <w:rPr>
          <w:iCs/>
          <w:i/>
        </w:rPr>
        <w:t xml:space="preserve">dṛkṣase,</w:t>
      </w:r>
      <w:r>
        <w:rPr>
          <w:iCs/>
          <w:i/>
        </w:rPr>
        <w:t xml:space="preserve">”</w:t>
      </w:r>
      <w:r>
        <w:rPr>
          <w:iCs/>
          <w:i/>
        </w:rPr>
        <w:t xml:space="preserve"> </w:t>
      </w:r>
      <w:r>
        <w:rPr>
          <w:iCs/>
          <w:i/>
        </w:rPr>
        <w:t xml:space="preserve">“</w:t>
      </w:r>
      <w:r>
        <w:rPr>
          <w:iCs/>
          <w:i/>
        </w:rPr>
        <w:t xml:space="preserve">saṃjagmānaḥ,</w:t>
      </w:r>
      <w:r>
        <w:rPr>
          <w:iCs/>
          <w:i/>
        </w:rPr>
        <w:t xml:space="preserve">”</w:t>
      </w:r>
      <w:r>
        <w:rPr>
          <w:iCs/>
          <w:i/>
        </w:rPr>
        <w:t xml:space="preserve"> </w:t>
      </w:r>
      <w:r>
        <w:rPr>
          <w:iCs/>
          <w:i/>
        </w:rPr>
        <w:t xml:space="preserve">“</w:t>
      </w:r>
      <w:r>
        <w:rPr>
          <w:iCs/>
          <w:i/>
        </w:rPr>
        <w:t xml:space="preserve">abibhyuṣā,</w:t>
      </w:r>
      <w:r>
        <w:rPr>
          <w:iCs/>
          <w:i/>
        </w:rPr>
        <w:t xml:space="preserve">”</w:t>
      </w:r>
      <w:r>
        <w:rPr>
          <w:iCs/>
          <w:i/>
        </w:rPr>
        <w:t xml:space="preserve"> </w:t>
      </w:r>
      <w:r>
        <w:rPr>
          <w:iCs/>
          <w:i/>
        </w:rPr>
        <w:t xml:space="preserve">“</w:t>
      </w:r>
      <w:r>
        <w:rPr>
          <w:iCs/>
          <w:i/>
        </w:rPr>
        <w:t xml:space="preserve">mandū</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samānavarcasā</w:t>
      </w:r>
      <w:r>
        <w:rPr>
          <w:iCs/>
          <w:i/>
        </w:rPr>
        <w:t xml:space="preserve">”</w:t>
      </w:r>
      <w:r>
        <w:rPr>
          <w:iCs/>
          <w:i/>
        </w:rPr>
        <w:t xml:space="preserve">; re-read from the better scan and</w:t>
      </w:r>
      <w:r>
        <w:rPr>
          <w:iCs/>
          <w:i/>
        </w:rPr>
        <w:t xml:space="preserve"> </w:t>
      </w:r>
      <w:r>
        <w:rPr>
          <w:bCs/>
          <w:b/>
          <w:iCs/>
          <w:i/>
        </w:rPr>
        <w:t xml:space="preserve">characterized, not transcribed</w:t>
      </w:r>
      <w:r>
        <w:rPr>
          <w:iCs/>
          <w:i/>
        </w:rPr>
        <w:t xml:space="preserve">, with every printed reference.)</w:t>
      </w:r>
    </w:p>
    <w:p>
      <w:pPr>
        <w:pStyle w:val="BodyText"/>
      </w:pPr>
      <w:r>
        <w:rPr>
          <w:bCs/>
          <w:b/>
        </w:rPr>
        <w:t xml:space="preserve">Grammar (characterized):</w:t>
      </w:r>
      <w:r>
        <w:t xml:space="preserve"> </w:t>
      </w:r>
      <w:r>
        <w:t xml:space="preserve">“</w:t>
      </w:r>
      <w:r>
        <w:t xml:space="preserve">Dṛkṣase</w:t>
      </w:r>
      <w:r>
        <w:t xml:space="preserve">”</w:t>
      </w:r>
      <w:r>
        <w:t xml:space="preserve"> </w:t>
      </w:r>
      <w:r>
        <w:t xml:space="preserve">—</w:t>
      </w:r>
      <w:r>
        <w:t xml:space="preserve"> </w:t>
      </w:r>
      <w:r>
        <w:t xml:space="preserve">“</w:t>
      </w:r>
      <w:r>
        <w:t xml:space="preserve">leṭ</w:t>
      </w:r>
      <w:r>
        <w:t xml:space="preserve">”</w:t>
      </w:r>
      <w:r>
        <w:t xml:space="preserve">;</w:t>
      </w:r>
      <w:r>
        <w:t xml:space="preserve"> </w:t>
      </w:r>
      <w:r>
        <w:rPr>
          <w:bCs/>
          <w:b/>
        </w:rPr>
        <w:t xml:space="preserve">थासः से</w:t>
      </w:r>
      <w:r>
        <w:t xml:space="preserve"> </w:t>
      </w:r>
      <w:r>
        <w:t xml:space="preserve">(पा. ३-४-८०);</w:t>
      </w:r>
      <w:r>
        <w:t xml:space="preserve"> </w:t>
      </w:r>
      <w:r>
        <w:rPr>
          <w:bCs/>
          <w:b/>
        </w:rPr>
        <w:t xml:space="preserve">लेटोऽडाटौ</w:t>
      </w:r>
      <w:r>
        <w:t xml:space="preserve"> </w:t>
      </w:r>
      <w:r>
        <w:t xml:space="preserve">(पा. ३-४-९४) the augment</w:t>
      </w:r>
      <w:r>
        <w:t xml:space="preserve"> </w:t>
      </w:r>
      <w:r>
        <w:t xml:space="preserve">“</w:t>
      </w:r>
      <w:r>
        <w:t xml:space="preserve">aṭ</w:t>
      </w:r>
      <w:r>
        <w:t xml:space="preserve">”</w:t>
      </w:r>
      <w:r>
        <w:t xml:space="preserve">;</w:t>
      </w:r>
      <w:r>
        <w:t xml:space="preserve"> </w:t>
      </w:r>
      <w:r>
        <w:rPr>
          <w:bCs/>
          <w:b/>
        </w:rPr>
        <w:t xml:space="preserve">सिब्बहुलं लेटि</w:t>
      </w:r>
      <w:r>
        <w:t xml:space="preserve"> </w:t>
      </w:r>
      <w:r>
        <w:t xml:space="preserve">(पा. ३-१-३४)</w:t>
      </w:r>
      <w:r>
        <w:t xml:space="preserve"> </w:t>
      </w:r>
      <w:r>
        <w:t xml:space="preserve">“</w:t>
      </w:r>
      <w:r>
        <w:t xml:space="preserve">sip</w:t>
      </w:r>
      <w:r>
        <w:t xml:space="preserve">”</w:t>
      </w:r>
      <w:r>
        <w:t xml:space="preserve">; by</w:t>
      </w:r>
      <w:r>
        <w:t xml:space="preserve"> </w:t>
      </w:r>
      <w:r>
        <w:t xml:space="preserve">“</w:t>
      </w:r>
      <w:r>
        <w:t xml:space="preserve">saṃjñāpūrvako vidhir anityaḥ</w:t>
      </w:r>
      <w:r>
        <w:t xml:space="preserve">”</w:t>
      </w:r>
      <w:r>
        <w:t xml:space="preserve"> </w:t>
      </w:r>
      <w:r>
        <w:t xml:space="preserve">no guṇa;</w:t>
      </w:r>
      <w:r>
        <w:t xml:space="preserve"> </w:t>
      </w:r>
      <w:r>
        <w:t xml:space="preserve">“</w:t>
      </w:r>
      <w:r>
        <w:t xml:space="preserve">ṣ</w:t>
      </w:r>
      <w:r>
        <w:t xml:space="preserve">”</w:t>
      </w:r>
      <w:r>
        <w:t xml:space="preserve"> </w:t>
      </w:r>
      <w:r>
        <w:t xml:space="preserve">by</w:t>
      </w:r>
      <w:r>
        <w:t xml:space="preserve"> </w:t>
      </w:r>
      <w:r>
        <w:t xml:space="preserve">“</w:t>
      </w:r>
      <w:r>
        <w:t xml:space="preserve">vraśca…</w:t>
      </w:r>
      <w:r>
        <w:t xml:space="preserve">”</w:t>
      </w:r>
      <w:r>
        <w:t xml:space="preserve"> </w:t>
      </w:r>
      <w:r>
        <w:t xml:space="preserve">(पा. ८-२-३६);</w:t>
      </w:r>
      <w:r>
        <w:t xml:space="preserve"> </w:t>
      </w:r>
      <w:r>
        <w:rPr>
          <w:bCs/>
          <w:b/>
        </w:rPr>
        <w:t xml:space="preserve">षढोः कः सि</w:t>
      </w:r>
      <w:r>
        <w:t xml:space="preserve"> </w:t>
      </w:r>
      <w:r>
        <w:t xml:space="preserve">(पा. ८-२-४१)</w:t>
      </w:r>
      <w:r>
        <w:t xml:space="preserve"> </w:t>
      </w:r>
      <w:r>
        <w:t xml:space="preserve">“</w:t>
      </w:r>
      <w:r>
        <w:t xml:space="preserve">k</w:t>
      </w:r>
      <w:r>
        <w:t xml:space="preserve">”</w:t>
      </w:r>
      <w:r>
        <w:t xml:space="preserve">;</w:t>
      </w:r>
      <w:r>
        <w:t xml:space="preserve"> </w:t>
      </w:r>
      <w:r>
        <w:rPr>
          <w:bCs/>
          <w:b/>
        </w:rPr>
        <w:t xml:space="preserve">आदेशप्रत्यययोः</w:t>
      </w:r>
      <w:r>
        <w:t xml:space="preserve"> </w:t>
      </w:r>
      <w:r>
        <w:t xml:space="preserve">(पा. ८-३-५९)</w:t>
      </w:r>
      <w:r>
        <w:t xml:space="preserve"> </w:t>
      </w:r>
      <w:r>
        <w:t xml:space="preserve">“</w:t>
      </w:r>
      <w:r>
        <w:t xml:space="preserve">ṣ</w:t>
      </w:r>
      <w:r>
        <w:t xml:space="preserve">”</w:t>
      </w:r>
      <w:r>
        <w:t xml:space="preserve"> </w:t>
      </w:r>
      <w:r>
        <w:t xml:space="preserve">for the</w:t>
      </w:r>
      <w:r>
        <w:t xml:space="preserve"> </w:t>
      </w:r>
      <w:r>
        <w:t xml:space="preserve">“</w:t>
      </w:r>
      <w:r>
        <w:t xml:space="preserve">s</w:t>
      </w:r>
      <w:r>
        <w:t xml:space="preserve">”</w:t>
      </w:r>
      <w:r>
        <w:t xml:space="preserve"> </w:t>
      </w:r>
      <w:r>
        <w:t xml:space="preserve">of</w:t>
      </w:r>
      <w:r>
        <w:t xml:space="preserve"> </w:t>
      </w:r>
      <w:r>
        <w:t xml:space="preserve">“</w:t>
      </w:r>
      <w:r>
        <w:t xml:space="preserve">sip</w:t>
      </w:r>
      <w:r>
        <w:t xml:space="preserve">”</w:t>
      </w:r>
      <w:r>
        <w:t xml:space="preserve">; by the word</w:t>
      </w:r>
      <w:r>
        <w:t xml:space="preserve"> </w:t>
      </w:r>
      <w:r>
        <w:t xml:space="preserve">“</w:t>
      </w:r>
      <w:r>
        <w:t xml:space="preserve">bahula,</w:t>
      </w:r>
      <w:r>
        <w:t xml:space="preserve">”</w:t>
      </w:r>
      <w:r>
        <w:t xml:space="preserve"> </w:t>
      </w:r>
      <w:r>
        <w:t xml:space="preserve">“</w:t>
      </w:r>
      <w:r>
        <w:t xml:space="preserve">śap</w:t>
      </w:r>
      <w:r>
        <w:t xml:space="preserve">”</w:t>
      </w:r>
      <w:r>
        <w:t xml:space="preserve"> </w:t>
      </w:r>
      <w:r>
        <w:t xml:space="preserve">too comes after</w:t>
      </w:r>
      <w:r>
        <w:t xml:space="preserve"> </w:t>
      </w:r>
      <w:r>
        <w:t xml:space="preserve">“</w:t>
      </w:r>
      <w:r>
        <w:t xml:space="preserve">sip</w:t>
      </w:r>
      <w:r>
        <w:t xml:space="preserve">”</w:t>
      </w:r>
      <w:r>
        <w:t xml:space="preserve"> </w:t>
      </w:r>
      <w:r>
        <w:t xml:space="preserve">(पा. २-४-७३); because</w:t>
      </w:r>
      <w:r>
        <w:t xml:space="preserve"> </w:t>
      </w:r>
      <w:r>
        <w:t xml:space="preserve">“</w:t>
      </w:r>
      <w:r>
        <w:t xml:space="preserve">sip</w:t>
      </w:r>
      <w:r>
        <w:t xml:space="preserve">”</w:t>
      </w:r>
      <w:r>
        <w:t xml:space="preserve"> </w:t>
      </w:r>
      <w:r>
        <w:t xml:space="preserve">intervenes, the</w:t>
      </w:r>
      <w:r>
        <w:t xml:space="preserve"> </w:t>
      </w:r>
      <w:r>
        <w:t xml:space="preserve">“</w:t>
      </w:r>
      <w:r>
        <w:t xml:space="preserve">paśya</w:t>
      </w:r>
      <w:r>
        <w:t xml:space="preserve">”</w:t>
      </w:r>
      <w:r>
        <w:t xml:space="preserve"> </w:t>
      </w:r>
      <w:r>
        <w:t xml:space="preserve">substitute does not arise (पा. ७-३-७८);</w:t>
      </w:r>
      <w:r>
        <w:t xml:space="preserve"> </w:t>
      </w:r>
      <w:r>
        <w:t xml:space="preserve">“</w:t>
      </w:r>
      <w:r>
        <w:t xml:space="preserve">śap,</w:t>
      </w:r>
      <w:r>
        <w:t xml:space="preserve">”</w:t>
      </w:r>
      <w:r>
        <w:t xml:space="preserve"> </w:t>
      </w:r>
      <w:r>
        <w:t xml:space="preserve">“</w:t>
      </w:r>
      <w:r>
        <w:t xml:space="preserve">p</w:t>
      </w:r>
      <w:r>
        <w:t xml:space="preserve">”</w:t>
      </w:r>
      <w:r>
        <w:t xml:space="preserve">-marked, and the following lasārvadhātuka are unaccented, so the root accent alone remains; and because of</w:t>
      </w:r>
      <w:r>
        <w:t xml:space="preserve"> </w:t>
      </w:r>
      <w:r>
        <w:t xml:space="preserve">“</w:t>
      </w:r>
      <w:r>
        <w:t xml:space="preserve">hi,</w:t>
      </w:r>
      <w:r>
        <w:t xml:space="preserve">”</w:t>
      </w:r>
      <w:r>
        <w:t xml:space="preserve"> </w:t>
      </w:r>
      <w:r>
        <w:t xml:space="preserve">the nighāta of</w:t>
      </w:r>
      <w:r>
        <w:t xml:space="preserve"> </w:t>
      </w:r>
      <w:r>
        <w:t xml:space="preserve">“</w:t>
      </w:r>
      <w:r>
        <w:t xml:space="preserve">tiṅṅatiṅaḥ</w:t>
      </w:r>
      <w:r>
        <w:t xml:space="preserve">”</w:t>
      </w:r>
      <w:r>
        <w:t xml:space="preserve"> </w:t>
      </w:r>
      <w:r>
        <w:t xml:space="preserve">does not apply, by the prohibition</w:t>
      </w:r>
      <w:r>
        <w:t xml:space="preserve"> </w:t>
      </w:r>
      <w:r>
        <w:rPr>
          <w:bCs/>
          <w:b/>
        </w:rPr>
        <w:t xml:space="preserve">हि च</w:t>
      </w:r>
      <w:r>
        <w:t xml:space="preserve"> </w:t>
      </w:r>
      <w:r>
        <w:t xml:space="preserve">(पा. ८-१-३४).</w:t>
      </w:r>
      <w:r>
        <w:t xml:space="preserve"> </w:t>
      </w:r>
      <w:r>
        <w:t xml:space="preserve">“</w:t>
      </w:r>
      <w:r>
        <w:t xml:space="preserve">Saṃjagmānaḥ</w:t>
      </w:r>
      <w:r>
        <w:t xml:space="preserve">”</w:t>
      </w:r>
      <w:r>
        <w:t xml:space="preserve"> </w:t>
      </w:r>
      <w:r>
        <w:t xml:space="preserve">—</w:t>
      </w:r>
      <w:r>
        <w:t xml:space="preserve"> </w:t>
      </w:r>
      <w:r>
        <w:t xml:space="preserve">“</w:t>
      </w:r>
      <w:r>
        <w:t xml:space="preserve">gamlṛ</w:t>
      </w:r>
      <w:r>
        <w:t xml:space="preserve">”</w:t>
      </w:r>
      <w:r>
        <w:t xml:space="preserve"> </w:t>
      </w:r>
      <w:r>
        <w:t xml:space="preserve">with</w:t>
      </w:r>
      <w:r>
        <w:t xml:space="preserve"> </w:t>
      </w:r>
      <w:r>
        <w:t xml:space="preserve">“</w:t>
      </w:r>
      <w:r>
        <w:t xml:space="preserve">sam</w:t>
      </w:r>
      <w:r>
        <w:t xml:space="preserve">”</w:t>
      </w:r>
      <w:r>
        <w:t xml:space="preserve">:</w:t>
      </w:r>
      <w:r>
        <w:t xml:space="preserve"> </w:t>
      </w:r>
      <w:r>
        <w:rPr>
          <w:bCs/>
          <w:b/>
        </w:rPr>
        <w:t xml:space="preserve">छन्दसि लुङ्लङ्लिटः</w:t>
      </w:r>
      <w:r>
        <w:t xml:space="preserve"> </w:t>
      </w:r>
      <w:r>
        <w:t xml:space="preserve">(पा. ३-४-६)</w:t>
      </w:r>
      <w:r>
        <w:t xml:space="preserve"> </w:t>
      </w:r>
      <w:r>
        <w:t xml:space="preserve">“</w:t>
      </w:r>
      <w:r>
        <w:t xml:space="preserve">liṭ</w:t>
      </w:r>
      <w:r>
        <w:t xml:space="preserve">”</w:t>
      </w:r>
      <w:r>
        <w:t xml:space="preserve"> </w:t>
      </w:r>
      <w:r>
        <w:t xml:space="preserve">in the present; since</w:t>
      </w:r>
      <w:r>
        <w:t xml:space="preserve"> </w:t>
      </w:r>
      <w:r>
        <w:rPr>
          <w:bCs/>
          <w:b/>
        </w:rPr>
        <w:t xml:space="preserve">समो गम्यृच्छिभ्याम्</w:t>
      </w:r>
      <w:r>
        <w:t xml:space="preserve"> </w:t>
      </w:r>
      <w:r>
        <w:t xml:space="preserve">(पा. १-३-२९) gives the ātmanepada,</w:t>
      </w:r>
      <w:r>
        <w:t xml:space="preserve"> </w:t>
      </w:r>
      <w:r>
        <w:t xml:space="preserve">“</w:t>
      </w:r>
      <w:r>
        <w:t xml:space="preserve">kānac</w:t>
      </w:r>
      <w:r>
        <w:t xml:space="preserve">”</w:t>
      </w:r>
      <w:r>
        <w:t xml:space="preserve"> </w:t>
      </w:r>
      <w:r>
        <w:t xml:space="preserve">replaces</w:t>
      </w:r>
      <w:r>
        <w:t xml:space="preserve"> </w:t>
      </w:r>
      <w:r>
        <w:t xml:space="preserve">“</w:t>
      </w:r>
      <w:r>
        <w:t xml:space="preserve">liṭ</w:t>
      </w:r>
      <w:r>
        <w:t xml:space="preserve">”</w:t>
      </w:r>
      <w:r>
        <w:t xml:space="preserve"> </w:t>
      </w:r>
      <w:r>
        <w:t xml:space="preserve">(पा. ३-२-१०६); doubling (पा. ६-१-८);</w:t>
      </w:r>
      <w:r>
        <w:t xml:space="preserve"> </w:t>
      </w:r>
      <w:r>
        <w:rPr>
          <w:bCs/>
          <w:b/>
        </w:rPr>
        <w:t xml:space="preserve">हलादिः शेषः</w:t>
      </w:r>
      <w:r>
        <w:t xml:space="preserve"> </w:t>
      </w:r>
      <w:r>
        <w:t xml:space="preserve">(पा. ७-४-६०); palatal for the reduplicate (पा. ७-४-६२);</w:t>
      </w:r>
      <w:r>
        <w:t xml:space="preserve"> </w:t>
      </w:r>
      <w:r>
        <w:rPr>
          <w:bCs/>
          <w:b/>
        </w:rPr>
        <w:t xml:space="preserve">गमहन…</w:t>
      </w:r>
      <w:r>
        <w:t xml:space="preserve"> </w:t>
      </w:r>
      <w:r>
        <w:t xml:space="preserve">(पा. ६-४-९८) loss of the penultimate;</w:t>
      </w:r>
      <w:r>
        <w:t xml:space="preserve"> </w:t>
      </w:r>
      <w:r>
        <w:t xml:space="preserve">“</w:t>
      </w:r>
      <w:r>
        <w:t xml:space="preserve">kānac</w:t>
      </w:r>
      <w:r>
        <w:t xml:space="preserve">”</w:t>
      </w:r>
      <w:r>
        <w:t xml:space="preserve"> </w:t>
      </w:r>
      <w:r>
        <w:t xml:space="preserve">being</w:t>
      </w:r>
      <w:r>
        <w:t xml:space="preserve"> </w:t>
      </w:r>
      <w:r>
        <w:t xml:space="preserve">“</w:t>
      </w:r>
      <w:r>
        <w:t xml:space="preserve">c</w:t>
      </w:r>
      <w:r>
        <w:t xml:space="preserve">”</w:t>
      </w:r>
      <w:r>
        <w:t xml:space="preserve">-marked is end-acute; in the gati-compound the accent of the kṛt-final second member stays.</w:t>
      </w:r>
      <w:r>
        <w:t xml:space="preserve"> </w:t>
      </w:r>
      <w:r>
        <w:t xml:space="preserve">“</w:t>
      </w:r>
      <w:r>
        <w:t xml:space="preserve">Abibhyuṣā</w:t>
      </w:r>
      <w:r>
        <w:t xml:space="preserve">”</w:t>
      </w:r>
      <w:r>
        <w:t xml:space="preserve"> </w:t>
      </w:r>
      <w:r>
        <w:t xml:space="preserve">—</w:t>
      </w:r>
      <w:r>
        <w:t xml:space="preserve"> </w:t>
      </w:r>
      <w:r>
        <w:t xml:space="preserve">“</w:t>
      </w:r>
      <w:r>
        <w:t xml:space="preserve">ñibhī bhaye,</w:t>
      </w:r>
      <w:r>
        <w:t xml:space="preserve">”</w:t>
      </w:r>
      <w:r>
        <w:t xml:space="preserve"> </w:t>
      </w:r>
      <w:r>
        <w:t xml:space="preserve">“</w:t>
      </w:r>
      <w:r>
        <w:t xml:space="preserve">liṭ</w:t>
      </w:r>
      <w:r>
        <w:t xml:space="preserve">”</w:t>
      </w:r>
      <w:r>
        <w:t xml:space="preserve"> </w:t>
      </w:r>
      <w:r>
        <w:t xml:space="preserve">as before;</w:t>
      </w:r>
      <w:r>
        <w:t xml:space="preserve"> </w:t>
      </w:r>
      <w:r>
        <w:rPr>
          <w:bCs/>
          <w:b/>
        </w:rPr>
        <w:t xml:space="preserve">शेषात्कर्तरि परस्मैपदम्</w:t>
      </w:r>
      <w:r>
        <w:t xml:space="preserve"> </w:t>
      </w:r>
      <w:r>
        <w:t xml:space="preserve">(पा. १-३-७८);</w:t>
      </w:r>
      <w:r>
        <w:t xml:space="preserve"> </w:t>
      </w:r>
      <w:r>
        <w:rPr>
          <w:bCs/>
          <w:b/>
        </w:rPr>
        <w:t xml:space="preserve">क्वसुश्च</w:t>
      </w:r>
      <w:r>
        <w:t xml:space="preserve"> </w:t>
      </w:r>
      <w:r>
        <w:t xml:space="preserve">(पा. ३-२-१०७)</w:t>
      </w:r>
      <w:r>
        <w:t xml:space="preserve"> </w:t>
      </w:r>
      <w:r>
        <w:t xml:space="preserve">“</w:t>
      </w:r>
      <w:r>
        <w:t xml:space="preserve">kvasu</w:t>
      </w:r>
      <w:r>
        <w:t xml:space="preserve">”</w:t>
      </w:r>
      <w:r>
        <w:t xml:space="preserve"> </w:t>
      </w:r>
      <w:r>
        <w:t xml:space="preserve">for</w:t>
      </w:r>
      <w:r>
        <w:t xml:space="preserve"> </w:t>
      </w:r>
      <w:r>
        <w:t xml:space="preserve">“</w:t>
      </w:r>
      <w:r>
        <w:t xml:space="preserve">liṭ</w:t>
      </w:r>
      <w:r>
        <w:t xml:space="preserve">”</w:t>
      </w:r>
      <w:r>
        <w:t xml:space="preserve">;</w:t>
      </w:r>
      <w:r>
        <w:t xml:space="preserve"> </w:t>
      </w:r>
      <w:r>
        <w:t xml:space="preserve">“</w:t>
      </w:r>
      <w:r>
        <w:t xml:space="preserve">k</w:t>
      </w:r>
      <w:r>
        <w:t xml:space="preserve">”</w:t>
      </w:r>
      <w:r>
        <w:t xml:space="preserve">-marked, so no guṇa; doubling; shortening and</w:t>
      </w:r>
      <w:r>
        <w:t xml:space="preserve"> </w:t>
      </w:r>
      <w:r>
        <w:t xml:space="preserve">“</w:t>
      </w:r>
      <w:r>
        <w:t xml:space="preserve">jaś</w:t>
      </w:r>
      <w:r>
        <w:t xml:space="preserve">”</w:t>
      </w:r>
      <w:r>
        <w:t xml:space="preserve"> </w:t>
      </w:r>
      <w:r>
        <w:t xml:space="preserve">of the reduplicate (पा. ७-४-५९; ८-४-५४); the</w:t>
      </w:r>
      <w:r>
        <w:t xml:space="preserve"> </w:t>
      </w:r>
      <w:r>
        <w:t xml:space="preserve">“</w:t>
      </w:r>
      <w:r>
        <w:t xml:space="preserve">iṭ</w:t>
      </w:r>
      <w:r>
        <w:t xml:space="preserve">”</w:t>
      </w:r>
      <w:r>
        <w:t xml:space="preserve"> </w:t>
      </w:r>
      <w:r>
        <w:t xml:space="preserve">that</w:t>
      </w:r>
      <w:r>
        <w:t xml:space="preserve"> </w:t>
      </w:r>
      <w:r>
        <w:rPr>
          <w:bCs/>
          <w:b/>
        </w:rPr>
        <w:t xml:space="preserve">वस्वेकाजाद्घसाम्</w:t>
      </w:r>
      <w:r>
        <w:t xml:space="preserve"> </w:t>
      </w:r>
      <w:r>
        <w:t xml:space="preserve">(पा. ७-२-६७) would give is excluded by the</w:t>
      </w:r>
      <w:r>
        <w:t xml:space="preserve"> </w:t>
      </w:r>
      <w:r>
        <w:t xml:space="preserve">“</w:t>
      </w:r>
      <w:r>
        <w:t xml:space="preserve">kryādi</w:t>
      </w:r>
      <w:r>
        <w:t xml:space="preserve">”</w:t>
      </w:r>
      <w:r>
        <w:t xml:space="preserve"> </w:t>
      </w:r>
      <w:r>
        <w:t xml:space="preserve">restriction (पा. ७-२-१३); in the nañ-compound, in the instrumental singular, being</w:t>
      </w:r>
      <w:r>
        <w:t xml:space="preserve"> </w:t>
      </w:r>
      <w:r>
        <w:t xml:space="preserve">“</w:t>
      </w:r>
      <w:r>
        <w:t xml:space="preserve">bha,</w:t>
      </w:r>
      <w:r>
        <w:t xml:space="preserve">”</w:t>
      </w:r>
      <w:r>
        <w:t xml:space="preserve"> </w:t>
      </w:r>
      <w:r>
        <w:rPr>
          <w:bCs/>
          <w:b/>
        </w:rPr>
        <w:t xml:space="preserve">वसोः संप्रसारणम्</w:t>
      </w:r>
      <w:r>
        <w:t xml:space="preserve"> </w:t>
      </w:r>
      <w:r>
        <w:t xml:space="preserve">(पा. ६-४-१३१)</w:t>
      </w:r>
      <w:r>
        <w:t xml:space="preserve"> </w:t>
      </w:r>
      <w:r>
        <w:t xml:space="preserve">“</w:t>
      </w:r>
      <w:r>
        <w:t xml:space="preserve">u</w:t>
      </w:r>
      <w:r>
        <w:t xml:space="preserve">”</w:t>
      </w:r>
      <w:r>
        <w:t xml:space="preserve"> </w:t>
      </w:r>
      <w:r>
        <w:t xml:space="preserve">for</w:t>
      </w:r>
      <w:r>
        <w:t xml:space="preserve"> </w:t>
      </w:r>
      <w:r>
        <w:t xml:space="preserve">“</w:t>
      </w:r>
      <w:r>
        <w:t xml:space="preserve">v</w:t>
      </w:r>
      <w:r>
        <w:t xml:space="preserve">”</w:t>
      </w:r>
      <w:r>
        <w:t xml:space="preserve">;</w:t>
      </w:r>
      <w:r>
        <w:t xml:space="preserve"> </w:t>
      </w:r>
      <w:r>
        <w:rPr>
          <w:bCs/>
          <w:b/>
        </w:rPr>
        <w:t xml:space="preserve">संप्रसारणाच्च</w:t>
      </w:r>
      <w:r>
        <w:t xml:space="preserve"> </w:t>
      </w:r>
      <w:r>
        <w:t xml:space="preserve">(पा. ६-१-१०८) single substitute;</w:t>
      </w:r>
      <w:r>
        <w:t xml:space="preserve"> </w:t>
      </w:r>
      <w:r>
        <w:rPr>
          <w:bCs/>
          <w:b/>
        </w:rPr>
        <w:t xml:space="preserve">शासिवसिघसीनां च</w:t>
      </w:r>
      <w:r>
        <w:t xml:space="preserve"> </w:t>
      </w:r>
      <w:r>
        <w:t xml:space="preserve">(पा. ८-३-६०)</w:t>
      </w:r>
      <w:r>
        <w:t xml:space="preserve"> </w:t>
      </w:r>
      <w:r>
        <w:t xml:space="preserve">“</w:t>
      </w:r>
      <w:r>
        <w:t xml:space="preserve">ṣ</w:t>
      </w:r>
      <w:r>
        <w:t xml:space="preserve">”</w:t>
      </w:r>
      <w:r>
        <w:t xml:space="preserve">;</w:t>
      </w:r>
      <w:r>
        <w:t xml:space="preserve"> </w:t>
      </w:r>
      <w:r>
        <w:rPr>
          <w:bCs/>
          <w:b/>
        </w:rPr>
        <w:t xml:space="preserve">एरनेकाचोऽसंयोगपूर्वस्य</w:t>
      </w:r>
      <w:r>
        <w:t xml:space="preserve"> </w:t>
      </w:r>
      <w:r>
        <w:t xml:space="preserve">(पा. ६-४-८२)</w:t>
      </w:r>
      <w:r>
        <w:t xml:space="preserve"> </w:t>
      </w:r>
      <w:r>
        <w:t xml:space="preserve">“</w:t>
      </w:r>
      <w:r>
        <w:t xml:space="preserve">y</w:t>
      </w:r>
      <w:r>
        <w:t xml:space="preserve">”</w:t>
      </w:r>
      <w:r>
        <w:t xml:space="preserve"> </w:t>
      </w:r>
      <w:r>
        <w:t xml:space="preserve">(setting aside</w:t>
      </w:r>
      <w:r>
        <w:t xml:space="preserve"> </w:t>
      </w:r>
      <w:r>
        <w:t xml:space="preserve">“</w:t>
      </w:r>
      <w:r>
        <w:t xml:space="preserve">iyaṅ</w:t>
      </w:r>
      <w:r>
        <w:t xml:space="preserve">”</w:t>
      </w:r>
      <w:r>
        <w:t xml:space="preserve">); the indeclinable first member keeps its accent; in the saṃhitā the</w:t>
      </w:r>
      <w:r>
        <w:t xml:space="preserve"> </w:t>
      </w:r>
      <w:r>
        <w:t xml:space="preserve">“</w:t>
      </w:r>
      <w:r>
        <w:t xml:space="preserve">o</w:t>
      </w:r>
      <w:r>
        <w:t xml:space="preserve">”</w:t>
      </w:r>
      <w:r>
        <w:t xml:space="preserve"> </w:t>
      </w:r>
      <w:r>
        <w:t xml:space="preserve">before it would take the prior form by</w:t>
      </w:r>
      <w:r>
        <w:t xml:space="preserve"> </w:t>
      </w:r>
      <w:r>
        <w:rPr>
          <w:bCs/>
          <w:b/>
        </w:rPr>
        <w:t xml:space="preserve">एङः पदान्तादति</w:t>
      </w:r>
      <w:r>
        <w:t xml:space="preserve"> </w:t>
      </w:r>
      <w:r>
        <w:t xml:space="preserve">(पा. ६.१.१०९, so printed with dots), but</w:t>
      </w:r>
      <w:r>
        <w:t xml:space="preserve"> </w:t>
      </w:r>
      <w:r>
        <w:rPr>
          <w:bCs/>
          <w:b/>
        </w:rPr>
        <w:t xml:space="preserve">प्रकृत्यान्तःपादमव्यपरे</w:t>
      </w:r>
      <w:r>
        <w:t xml:space="preserve"> </w:t>
      </w:r>
      <w:r>
        <w:t xml:space="preserve">(पा. ६-१-११५) keeps it unchanged (</w:t>
      </w:r>
      <w:r>
        <w:t xml:space="preserve">“</w:t>
      </w:r>
      <w:r>
        <w:t xml:space="preserve">saṃjagmāno abibhyuṣā</w:t>
      </w:r>
      <w:r>
        <w:t xml:space="preserve">”</w:t>
      </w:r>
      <w:r>
        <w:t xml:space="preserve">).</w:t>
      </w:r>
      <w:r>
        <w:t xml:space="preserve"> </w:t>
      </w:r>
      <w:r>
        <w:t xml:space="preserve">“</w:t>
      </w:r>
      <w:r>
        <w:t xml:space="preserve">Mandū</w:t>
      </w:r>
      <w:r>
        <w:t xml:space="preserve">”</w:t>
      </w:r>
      <w:r>
        <w:t xml:space="preserve"> </w:t>
      </w:r>
      <w:r>
        <w:t xml:space="preserve">—</w:t>
      </w:r>
      <w:r>
        <w:t xml:space="preserve"> </w:t>
      </w:r>
      <w:r>
        <w:t xml:space="preserve">“</w:t>
      </w:r>
      <w:r>
        <w:t xml:space="preserve">madi stuti-moda-mada-svapna-kānti-gatiṣu</w:t>
      </w:r>
      <w:r>
        <w:t xml:space="preserve">”</w:t>
      </w:r>
      <w:r>
        <w:t xml:space="preserve">;</w:t>
      </w:r>
      <w:r>
        <w:t xml:space="preserve"> </w:t>
      </w:r>
      <w:r>
        <w:rPr>
          <w:bCs/>
          <w:b/>
        </w:rPr>
        <w:t xml:space="preserve">इदितो नुम् धातोः</w:t>
      </w:r>
      <w:r>
        <w:t xml:space="preserve"> </w:t>
      </w:r>
      <w:r>
        <w:t xml:space="preserve">(पा. ७-१-५८)</w:t>
      </w:r>
      <w:r>
        <w:t xml:space="preserve"> </w:t>
      </w:r>
      <w:r>
        <w:t xml:space="preserve">“</w:t>
      </w:r>
      <w:r>
        <w:t xml:space="preserve">num</w:t>
      </w:r>
      <w:r>
        <w:t xml:space="preserve">”</w:t>
      </w:r>
      <w:r>
        <w:t xml:space="preserve">; an Uṇādi affix</w:t>
      </w:r>
      <w:r>
        <w:t xml:space="preserve"> </w:t>
      </w:r>
      <w:r>
        <w:t xml:space="preserve">“</w:t>
      </w:r>
      <w:r>
        <w:t xml:space="preserve">ku</w:t>
      </w:r>
      <w:r>
        <w:t xml:space="preserve">”</w:t>
      </w:r>
      <w:r>
        <w:t xml:space="preserve"> </w:t>
      </w:r>
      <w:r>
        <w:t xml:space="preserve">by a sūtra cited as</w:t>
      </w:r>
      <w:r>
        <w:t xml:space="preserve"> </w:t>
      </w:r>
      <w:r>
        <w:rPr>
          <w:bCs/>
          <w:b/>
        </w:rPr>
        <w:t xml:space="preserve">उ. १-३७</w:t>
      </w:r>
      <w:r>
        <w:t xml:space="preserve"> </w:t>
      </w:r>
      <w:r>
        <w:t xml:space="preserve">[?] (the last digit unclear), with</w:t>
      </w:r>
      <w:r>
        <w:t xml:space="preserve"> </w:t>
      </w:r>
      <w:r>
        <w:t xml:space="preserve">“</w:t>
      </w:r>
      <w:r>
        <w:t xml:space="preserve">kuḥ</w:t>
      </w:r>
      <w:r>
        <w:t xml:space="preserve">”</w:t>
      </w:r>
      <w:r>
        <w:t xml:space="preserve"> </w:t>
      </w:r>
      <w:r>
        <w:t xml:space="preserve">read from it by anuvṛtti; acute on the end by the affix accent;</w:t>
      </w:r>
      <w:r>
        <w:t xml:space="preserve"> </w:t>
      </w:r>
      <w:r>
        <w:rPr>
          <w:bCs/>
          <w:b/>
        </w:rPr>
        <w:t xml:space="preserve">द्विवचनमौ</w:t>
      </w:r>
      <w:r>
        <w:t xml:space="preserve"> </w:t>
      </w:r>
      <w:r>
        <w:t xml:space="preserve">(as printed, पा. ४-१-२);</w:t>
      </w:r>
      <w:r>
        <w:t xml:space="preserve"> </w:t>
      </w:r>
      <w:r>
        <w:rPr>
          <w:bCs/>
          <w:b/>
        </w:rPr>
        <w:t xml:space="preserve">प्रथमयोः पूर्वसवर्णः</w:t>
      </w:r>
      <w:r>
        <w:t xml:space="preserve"> </w:t>
      </w:r>
      <w:r>
        <w:t xml:space="preserve">(पा. ६-१-१०२); or, taken as an instrumental singular, the long vowel by</w:t>
      </w:r>
      <w:r>
        <w:t xml:space="preserve"> </w:t>
      </w:r>
      <w:r>
        <w:t xml:space="preserve">“</w:t>
      </w:r>
      <w:r>
        <w:t xml:space="preserve">supāṃ suluk…</w:t>
      </w:r>
      <w:r>
        <w:t xml:space="preserve">”</w:t>
      </w:r>
      <w:r>
        <w:t xml:space="preserve">.</w:t>
      </w:r>
      <w:r>
        <w:t xml:space="preserve"> </w:t>
      </w:r>
      <w:r>
        <w:t xml:space="preserve">“</w:t>
      </w:r>
      <w:r>
        <w:t xml:space="preserve">Samānavarcasā</w:t>
      </w:r>
      <w:r>
        <w:t xml:space="preserve">”</w:t>
      </w:r>
      <w:r>
        <w:t xml:space="preserve"> </w:t>
      </w:r>
      <w:r>
        <w:t xml:space="preserve">—</w:t>
      </w:r>
      <w:r>
        <w:t xml:space="preserve"> </w:t>
      </w:r>
      <w:r>
        <w:t xml:space="preserve">“</w:t>
      </w:r>
      <w:r>
        <w:t xml:space="preserve">samānaṃ varco yayoḥ</w:t>
      </w:r>
      <w:r>
        <w:t xml:space="preserve">”</w:t>
      </w:r>
      <w:r>
        <w:t xml:space="preserve"> </w:t>
      </w:r>
      <w:r>
        <w:t xml:space="preserve">or</w:t>
      </w:r>
      <w:r>
        <w:t xml:space="preserve"> </w:t>
      </w:r>
      <w:r>
        <w:t xml:space="preserve">“</w:t>
      </w:r>
      <w:r>
        <w:t xml:space="preserve">yasya</w:t>
      </w:r>
      <w:r>
        <w:t xml:space="preserve">”</w:t>
      </w:r>
      <w:r>
        <w:t xml:space="preserve"> </w:t>
      </w:r>
      <w:r>
        <w:t xml:space="preserve">— a bahuvrīhi; in the dual</w:t>
      </w:r>
      <w:r>
        <w:t xml:space="preserve"> </w:t>
      </w:r>
      <w:r>
        <w:t xml:space="preserve">“</w:t>
      </w:r>
      <w:r>
        <w:t xml:space="preserve">ā</w:t>
      </w:r>
      <w:r>
        <w:t xml:space="preserve">”</w:t>
      </w:r>
      <w:r>
        <w:t xml:space="preserve"> </w:t>
      </w:r>
      <w:r>
        <w:t xml:space="preserve">by</w:t>
      </w:r>
      <w:r>
        <w:t xml:space="preserve"> </w:t>
      </w:r>
      <w:r>
        <w:t xml:space="preserve">“</w:t>
      </w:r>
      <w:r>
        <w:t xml:space="preserve">supāṃ suluk…</w:t>
      </w:r>
      <w:r>
        <w:t xml:space="preserve">”</w:t>
      </w:r>
      <w:r>
        <w:t xml:space="preserve">;</w:t>
      </w:r>
      <w:r>
        <w:t xml:space="preserve"> </w:t>
      </w:r>
      <w:r>
        <w:t xml:space="preserve">“</w:t>
      </w:r>
      <w:r>
        <w:t xml:space="preserve">samāna</w:t>
      </w:r>
      <w:r>
        <w:t xml:space="preserve">”</w:t>
      </w:r>
      <w:r>
        <w:t xml:space="preserve"> </w:t>
      </w:r>
      <w:r>
        <w:t xml:space="preserve">is end-acute by the stem accent, which stays by</w:t>
      </w:r>
      <w:r>
        <w:t xml:space="preserve"> </w:t>
      </w:r>
      <w:r>
        <w:rPr>
          <w:bCs/>
          <w:b/>
        </w:rPr>
        <w:t xml:space="preserve">बहुव्रीहौ प्रकृत्या पूर्वपदम्</w:t>
      </w:r>
      <w:r>
        <w:t xml:space="preserve"> </w:t>
      </w:r>
      <w:r>
        <w:t xml:space="preserve">(पा. ६-२-१). ॥७॥</w:t>
      </w:r>
    </w:p>
    <w:p>
      <w:pPr>
        <w:pStyle w:val="BodyText"/>
      </w:pPr>
      <w:r>
        <w:rPr>
          <w:bCs/>
          <w:b/>
        </w:rPr>
        <w:t xml:space="preserve">॥ Prati-padārthaḥ ॥</w:t>
      </w:r>
      <w:r>
        <w:t xml:space="preserve"> </w:t>
      </w:r>
      <w:r>
        <w:rPr>
          <w:iCs/>
          <w:i/>
        </w:rPr>
        <w:t xml:space="preserve">(Kannada, translated)</w:t>
      </w:r>
    </w:p>
    <w:p>
      <w:pPr>
        <w:pStyle w:val="BodyText"/>
      </w:pPr>
      <w:r>
        <w:rPr>
          <w:bCs/>
          <w:b/>
        </w:rPr>
        <w:t xml:space="preserve">(हे मरुद्गण) (he marudgaṇa)</w:t>
      </w:r>
      <w:r>
        <w:t xml:space="preserve"> </w:t>
      </w:r>
      <w:r>
        <w:t xml:space="preserve">— O host of Maruts, that is, O company of the Marut-deities |</w:t>
      </w:r>
      <w:r>
        <w:t xml:space="preserve"> </w:t>
      </w:r>
      <w:r>
        <w:rPr>
          <w:bCs/>
          <w:b/>
        </w:rPr>
        <w:t xml:space="preserve">(nīvu)</w:t>
      </w:r>
      <w:r>
        <w:t xml:space="preserve"> </w:t>
      </w:r>
      <w:r>
        <w:t xml:space="preserve">— you |</w:t>
      </w:r>
      <w:r>
        <w:t xml:space="preserve"> </w:t>
      </w:r>
      <w:r>
        <w:rPr>
          <w:bCs/>
          <w:b/>
        </w:rPr>
        <w:t xml:space="preserve">अबिभ्युषा (abibhyuṣā)</w:t>
      </w:r>
      <w:r>
        <w:t xml:space="preserve"> </w:t>
      </w:r>
      <w:r>
        <w:t xml:space="preserve">— one free of fear |</w:t>
      </w:r>
      <w:r>
        <w:t xml:space="preserve"> </w:t>
      </w:r>
      <w:r>
        <w:rPr>
          <w:bCs/>
          <w:b/>
        </w:rPr>
        <w:t xml:space="preserve">इन्द्रेण (indreṇa)</w:t>
      </w:r>
      <w:r>
        <w:t xml:space="preserve"> </w:t>
      </w:r>
      <w:r>
        <w:t xml:space="preserve">— together with Indra |</w:t>
      </w:r>
      <w:r>
        <w:t xml:space="preserve"> </w:t>
      </w:r>
      <w:r>
        <w:rPr>
          <w:bCs/>
          <w:b/>
        </w:rPr>
        <w:t xml:space="preserve">संजग्मानः (saṃjagmānaḥ)</w:t>
      </w:r>
      <w:r>
        <w:t xml:space="preserve"> </w:t>
      </w:r>
      <w:r>
        <w:t xml:space="preserve">— as though going along |</w:t>
      </w:r>
      <w:r>
        <w:t xml:space="preserve"> </w:t>
      </w:r>
      <w:r>
        <w:rPr>
          <w:bCs/>
          <w:b/>
        </w:rPr>
        <w:t xml:space="preserve">सं हि दृश्यसे (saṃ hi dṛśyase)</w:t>
      </w:r>
      <w:r>
        <w:t xml:space="preserve"> </w:t>
      </w:r>
      <w:r>
        <w:t xml:space="preserve">— you are seen (so printed here,</w:t>
      </w:r>
      <w:r>
        <w:t xml:space="preserve"> </w:t>
      </w:r>
      <w:r>
        <w:t xml:space="preserve">“</w:t>
      </w:r>
      <w:r>
        <w:t xml:space="preserve">dṛśyase</w:t>
      </w:r>
      <w:r>
        <w:t xml:space="preserve">”</w:t>
      </w:r>
      <w:r>
        <w:t xml:space="preserve">) |</w:t>
      </w:r>
      <w:r>
        <w:t xml:space="preserve"> </w:t>
      </w:r>
      <w:r>
        <w:rPr>
          <w:bCs/>
          <w:b/>
        </w:rPr>
        <w:t xml:space="preserve">(nīvibbarū) मन्दू (mandū)</w:t>
      </w:r>
      <w:r>
        <w:t xml:space="preserve"> </w:t>
      </w:r>
      <w:r>
        <w:t xml:space="preserve">— (both of you) always full of delight |</w:t>
      </w:r>
      <w:r>
        <w:t xml:space="preserve"> </w:t>
      </w:r>
      <w:r>
        <w:rPr>
          <w:bCs/>
          <w:b/>
        </w:rPr>
        <w:t xml:space="preserve">समानवर्चसा (samānavarcasā)</w:t>
      </w:r>
      <w:r>
        <w:t xml:space="preserve"> </w:t>
      </w:r>
      <w:r>
        <w:t xml:space="preserve">— endowed with equal radiance (you are).</w:t>
      </w:r>
    </w:p>
    <w:bookmarkEnd w:id="276"/>
    <w:bookmarkStart w:id="277" w:name="X895c64aa75df6cf94cf47ef21fee0136d4978ab"/>
    <w:p>
      <w:pPr>
        <w:pStyle w:val="Heading3"/>
      </w:pPr>
      <w:r>
        <w:t xml:space="preserve">Page 238 — Rik 6.7: Bhāvārtha; English rendering; Special topics (opening): the Vṛtra legend</w:t>
      </w:r>
    </w:p>
    <w:p>
      <w:pPr>
        <w:pStyle w:val="FirstParagraph"/>
      </w:pPr>
      <w:r>
        <w:rPr>
          <w:iCs/>
          <w:i/>
        </w:rPr>
        <w:t xml:space="preserve">(Page header:</w:t>
      </w:r>
      <w:r>
        <w:rPr>
          <w:iCs/>
          <w:i/>
        </w:rPr>
        <w:t xml:space="preserve"> </w:t>
      </w:r>
      <w:r>
        <w:rPr>
          <w:iCs/>
          <w:i/>
        </w:rPr>
        <w:t xml:space="preserve">“</w:t>
      </w:r>
      <w:r>
        <w:rPr>
          <w:iCs/>
          <w:i/>
        </w:rPr>
        <w:t xml:space="preserve">Sāyaṇa-bhāṣya-sahitā · Maṇḍala 1, Anuvāka 2, Sūkta 6.</w:t>
      </w:r>
      <w:r>
        <w:rPr>
          <w:iCs/>
          <w:i/>
        </w:rPr>
        <w:t xml:space="preserve">”</w:t>
      </w:r>
      <w:r>
        <w:rPr>
          <w:iCs/>
          <w:i/>
        </w:rPr>
        <w:t xml:space="preserve"> </w:t>
      </w:r>
      <w:r>
        <w:rPr>
          <w:iCs/>
          <w:i/>
        </w:rPr>
        <w:t xml:space="preserve">Kannada prose translated; English as printed. The Ṛg-vedic verse and its references re-read from the better scan; the gloss is the source’s own English.)</w:t>
      </w:r>
    </w:p>
    <w:p>
      <w:pPr>
        <w:pStyle w:val="BodyText"/>
      </w:pPr>
      <w:r>
        <w:rPr>
          <w:bCs/>
          <w:b/>
        </w:rPr>
        <w:t xml:space="preserve">॥ Bhāvārthaḥ ॥</w:t>
      </w:r>
      <w:r>
        <w:t xml:space="preserve"> </w:t>
      </w:r>
      <w:r>
        <w:rPr>
          <w:iCs/>
          <w:i/>
        </w:rPr>
        <w:t xml:space="preserve">(Kannada, translated)</w:t>
      </w:r>
    </w:p>
    <w:p>
      <w:pPr>
        <w:pStyle w:val="BodyText"/>
      </w:pPr>
      <w:r>
        <w:t xml:space="preserve">O Marut-deities! That you go about together with the fearless Indra is seen by all. Not only that: the two of you — Indra and the Marut-deities — are always full of delight, and your radiance and your power and capacity are equal. That is, Indra and the Marut-deities, you two are alike in radiance, power and capacity.</w:t>
      </w:r>
    </w:p>
    <w:p>
      <w:pPr>
        <w:pStyle w:val="BodyText"/>
      </w:pPr>
      <w:r>
        <w:rPr>
          <w:bCs/>
          <w:b/>
        </w:rPr>
        <w:t xml:space="preserve">English Translation</w:t>
      </w:r>
      <w:r>
        <w:t xml:space="preserve"> </w:t>
      </w:r>
      <w:r>
        <w:rPr>
          <w:iCs/>
          <w:i/>
        </w:rPr>
        <w:t xml:space="preserve">(printed in English in the source itself):</w:t>
      </w:r>
    </w:p>
    <w:p>
      <w:pPr>
        <w:pStyle w:val="BodyText"/>
      </w:pPr>
      <w:r>
        <w:t xml:space="preserve">“</w:t>
      </w:r>
      <w:r>
        <w:t xml:space="preserve">You are seen, O Maruts, marching forth together with Indra who is not frightened; (both) rejoicing and of equal splendour.</w:t>
      </w:r>
      <w:r>
        <w:t xml:space="preserve">”</w:t>
      </w:r>
    </w:p>
    <w:p>
      <w:pPr>
        <w:pStyle w:val="BodyText"/>
      </w:pPr>
      <w:r>
        <w:rPr>
          <w:bCs/>
          <w:b/>
        </w:rPr>
        <w:t xml:space="preserve">॥ Viśeṣa-viṣayagaḷu (Special Topics) ॥</w:t>
      </w:r>
    </w:p>
    <w:p>
      <w:pPr>
        <w:pStyle w:val="BodyText"/>
      </w:pPr>
      <w:r>
        <w:t xml:space="preserve">The Bhāṣyakāra here indicates an ancient legend. In the battle that took place long ago, when Indra destroyed the demon Vṛtra, the gods who were with Indra were frightened by the terrible snorting and roaring of the demon Vṛtra, and fled. But the Marut-deities alone, without any fear, remained with Indra to help him. This matter is described in the Ṛk Ṛ. Saṃ. 8-96-7 and in the Aitareya-brāhmaṇa (3-20):</w:t>
      </w:r>
    </w:p>
    <w:p>
      <w:pPr>
        <w:pStyle w:val="BlockText"/>
      </w:pPr>
      <w:r>
        <w:t xml:space="preserve">वृत्रस्य त्वा श्वसथादीषमाणा विश्वे देवा अजहुर्ये सखायः ।</w:t>
      </w:r>
      <w:r>
        <w:t xml:space="preserve"> </w:t>
      </w:r>
      <w:r>
        <w:t xml:space="preserve">मरुद्भिरिन्द्र सख्यं ते अस्त्वथेमा विश्वाः पृतना जयासि ॥ (ऋ. सं. ८-९६-७)</w:t>
      </w:r>
      <w:r>
        <w:t xml:space="preserve"> </w:t>
      </w:r>
      <w:r>
        <w:rPr>
          <w:iCs/>
          <w:i/>
        </w:rPr>
        <w:t xml:space="preserve">vṛtrasya tvā śvasathād īṣamāṇā viśve devā ajahur ye sakhāyaḥ |</w:t>
      </w:r>
      <w:r>
        <w:t xml:space="preserve"> </w:t>
      </w:r>
      <w:r>
        <w:rPr>
          <w:iCs/>
          <w:i/>
        </w:rPr>
        <w:t xml:space="preserve">marudbhir indra sakhyaṃ te astv atheme viśvāḥ pṛtanā jayāsi || (ṛ. saṃ. 8-96-7)</w:t>
      </w:r>
      <w:r>
        <w:t xml:space="preserve"> </w:t>
      </w:r>
      <w:r>
        <w:rPr>
          <w:bCs/>
          <w:b/>
        </w:rPr>
        <w:t xml:space="preserve">English, as printed in the source:</w:t>
      </w:r>
      <w:r>
        <w:t xml:space="preserve"> </w:t>
      </w:r>
      <w:r>
        <w:t xml:space="preserve">“</w:t>
      </w:r>
      <w:r>
        <w:t xml:space="preserve">Before the snorting of Vritra, all the gods, your comrades beating a hasty retreat abandoned you. Let your friendship be, O Indra, with the Maruts; then you will conquer all battles.</w:t>
      </w:r>
      <w:r>
        <w:t xml:space="preserve">”</w:t>
      </w:r>
    </w:p>
    <w:p>
      <w:pPr>
        <w:pStyle w:val="FirstParagraph"/>
      </w:pPr>
      <w:r>
        <w:t xml:space="preserve">The meaning of this: O Indra! From the terrible breath of the demon Vṛtra, all the gods who were your friends were frightened and, leaving your side, ran away. But let there be friendship for you with the Marut-deities. (With their help) you will be victorious in all the battles. For this very reason, it is said here that the Marut-deities may be seen going about with Indra; that is, the sense is that since the Marut-deities are friendly with Indra, they help Indra in battles and the like.</w:t>
      </w:r>
    </w:p>
    <w:p>
      <w:pPr>
        <w:pStyle w:val="BodyText"/>
      </w:pPr>
      <w:r>
        <w:rPr>
          <w:bCs/>
          <w:b/>
        </w:rPr>
        <w:t xml:space="preserve">इन्द्रेण (indreṇa)</w:t>
      </w:r>
      <w:r>
        <w:t xml:space="preserve"> </w:t>
      </w:r>
      <w:r>
        <w:t xml:space="preserve">— the word</w:t>
      </w:r>
      <w:r>
        <w:t xml:space="preserve"> </w:t>
      </w:r>
      <w:r>
        <w:t xml:space="preserve">“</w:t>
      </w:r>
      <w:r>
        <w:t xml:space="preserve">Indra</w:t>
      </w:r>
      <w:r>
        <w:t xml:space="preserve">”</w:t>
      </w:r>
      <w:r>
        <w:t xml:space="preserve"> </w:t>
      </w:r>
      <w:r>
        <w:t xml:space="preserve">can be explained as meaning</w:t>
      </w:r>
      <w:r>
        <w:t xml:space="preserve"> </w:t>
      </w:r>
      <w:r>
        <w:t xml:space="preserve">“</w:t>
      </w:r>
      <w:r>
        <w:t xml:space="preserve">supreme lordship.</w:t>
      </w:r>
      <w:r>
        <w:t xml:space="preserve">”</w:t>
      </w:r>
      <w:r>
        <w:t xml:space="preserve"> </w:t>
      </w:r>
      <w:r>
        <w:t xml:space="preserve">If so, the word</w:t>
      </w:r>
      <w:r>
        <w:t xml:space="preserve"> </w:t>
      </w:r>
      <w:r>
        <w:t xml:space="preserve">“</w:t>
      </w:r>
      <w:r>
        <w:t xml:space="preserve">indreṇa</w:t>
      </w:r>
      <w:r>
        <w:t xml:space="preserve">”</w:t>
      </w:r>
      <w:r>
        <w:t xml:space="preserve"> </w:t>
      </w:r>
      <w:r>
        <w:t xml:space="preserve">may be applied, together with the word</w:t>
      </w:r>
      <w:r>
        <w:t xml:space="preserve"> </w:t>
      </w:r>
      <w:r>
        <w:t xml:space="preserve">“</w:t>
      </w:r>
      <w:r>
        <w:t xml:space="preserve">abibhyuṣā,</w:t>
      </w:r>
      <w:r>
        <w:t xml:space="preserve">”</w:t>
      </w:r>
      <w:r>
        <w:t xml:space="preserve"> </w:t>
      </w:r>
      <w:r>
        <w:t xml:space="preserve">as a qualifier of</w:t>
      </w:r>
      <w:r>
        <w:t xml:space="preserve"> </w:t>
      </w:r>
      <w:r>
        <w:t xml:space="preserve">“</w:t>
      </w:r>
      <w:r>
        <w:t xml:space="preserve">marudgaṇa</w:t>
      </w:r>
      <w:r>
        <w:t xml:space="preserve">”</w:t>
      </w:r>
      <w:r>
        <w:t xml:space="preserve"> </w:t>
      </w:r>
      <w:r>
        <w:t xml:space="preserve">…</w:t>
      </w:r>
      <w:r>
        <w:t xml:space="preserve"> </w:t>
      </w:r>
      <w:r>
        <w:rPr>
          <w:iCs/>
          <w:i/>
        </w:rPr>
        <w:t xml:space="preserve">(continues on the next page)</w:t>
      </w:r>
    </w:p>
    <w:bookmarkEnd w:id="277"/>
    <w:bookmarkStart w:id="278" w:name="Xbe89def0661e30dcbb399deffcbd4dceceb1f0e"/>
    <w:p>
      <w:pPr>
        <w:pStyle w:val="Heading3"/>
      </w:pPr>
      <w:r>
        <w:t xml:space="preserve">Page 239 — Special topics on Rik 6.7 (concluded); Vyākaraṇa-prakriyā (opening)</w:t>
      </w:r>
    </w:p>
    <w:p>
      <w:pPr>
        <w:pStyle w:val="FirstParagraph"/>
      </w:pPr>
      <w:r>
        <w:rPr>
          <w:iCs/>
          <w:i/>
        </w:rPr>
        <w:t xml:space="preserve">(Page header:</w:t>
      </w:r>
      <w:r>
        <w:rPr>
          <w:iCs/>
          <w:i/>
        </w:rPr>
        <w:t xml:space="preserve"> </w:t>
      </w:r>
      <w:r>
        <w:rPr>
          <w:iCs/>
          <w:i/>
        </w:rPr>
        <w:t xml:space="preserve">“</w:t>
      </w:r>
      <w:r>
        <w:rPr>
          <w:iCs/>
          <w:i/>
        </w:rPr>
        <w:t xml:space="preserve">Aṣṭaka 1, Adhyāya 1, Varga 12 · Ṛgveda-saṃhitā.</w:t>
      </w:r>
      <w:r>
        <w:rPr>
          <w:iCs/>
          <w:i/>
        </w:rPr>
        <w:t xml:space="preserve">”</w:t>
      </w:r>
      <w:r>
        <w:rPr>
          <w:iCs/>
          <w:i/>
        </w:rPr>
        <w:t xml:space="preserve"> </w:t>
      </w:r>
      <w:r>
        <w:rPr>
          <w:iCs/>
          <w:i/>
        </w:rPr>
        <w:t xml:space="preserve">Kannada prose translated; grammar characterized; re-read from the better scan.)</w:t>
      </w:r>
    </w:p>
    <w:p>
      <w:pPr>
        <w:pStyle w:val="BodyText"/>
      </w:pPr>
      <w:r>
        <w:rPr>
          <w:iCs/>
          <w:i/>
        </w:rPr>
        <w:t xml:space="preserve">(Continuing from p. 238:)</w:t>
      </w:r>
      <w:r>
        <w:t xml:space="preserve"> </w:t>
      </w:r>
      <w:r>
        <w:t xml:space="preserve">…then</w:t>
      </w:r>
      <w:r>
        <w:t xml:space="preserve"> </w:t>
      </w:r>
      <w:r>
        <w:t xml:space="preserve">“</w:t>
      </w:r>
      <w:r>
        <w:t xml:space="preserve">indreṇa abibhyuṣā</w:t>
      </w:r>
      <w:r>
        <w:t xml:space="preserve">”</w:t>
      </w:r>
      <w:r>
        <w:t xml:space="preserve"> </w:t>
      </w:r>
      <w:r>
        <w:t xml:space="preserve">means</w:t>
      </w:r>
      <w:r>
        <w:t xml:space="preserve"> </w:t>
      </w:r>
      <w:r>
        <w:t xml:space="preserve">“</w:t>
      </w:r>
      <w:r>
        <w:t xml:space="preserve">by the host of Marut-deities, who have supreme lordship and are free of fear.</w:t>
      </w:r>
      <w:r>
        <w:t xml:space="preserve">”</w:t>
      </w:r>
    </w:p>
    <w:p>
      <w:pPr>
        <w:pStyle w:val="BodyText"/>
      </w:pPr>
      <w:r>
        <w:t xml:space="preserve">The sage</w:t>
      </w:r>
      <w:r>
        <w:t xml:space="preserve"> </w:t>
      </w:r>
      <w:r>
        <w:rPr>
          <w:bCs/>
          <w:b/>
        </w:rPr>
        <w:t xml:space="preserve">Yāska</w:t>
      </w:r>
      <w:r>
        <w:t xml:space="preserve">, in his Nirukta, explains this Ṛk thus:</w:t>
      </w:r>
      <w:r>
        <w:t xml:space="preserve"> </w:t>
      </w:r>
      <w:r>
        <w:t xml:space="preserve">“</w:t>
      </w:r>
      <w:r>
        <w:rPr>
          <w:iCs/>
          <w:i/>
        </w:rPr>
        <w:t xml:space="preserve">indreṇa hi saṃdṛśyase saṅgacchamāno ’bibhyuṣā gaṇena mandū madiṣṇū yuvāṃ stho ’pi mandunā teneti syāt samānavarcasety etena vyākhyātam</w:t>
      </w:r>
      <w:r>
        <w:t xml:space="preserve">”</w:t>
      </w:r>
      <w:r>
        <w:t xml:space="preserve"> </w:t>
      </w:r>
      <w:r>
        <w:t xml:space="preserve">(इन्द्रेण हि संदृश्यसे संगच्छमानोऽबिभ्युषा गणेन मन्दू मदिष्णू युवां स्थोऽपि मन्दुना तेनेति स्यात्समानवर्चसेत्येतेन व्याख्यातम् — as in the Bhāṣya on p. 236, here without</w:t>
      </w:r>
      <w:r>
        <w:t xml:space="preserve"> </w:t>
      </w:r>
      <w:r>
        <w:t xml:space="preserve">“</w:t>
      </w:r>
      <w:r>
        <w:t xml:space="preserve">vā</w:t>
      </w:r>
      <w:r>
        <w:t xml:space="preserve">”</w:t>
      </w:r>
      <w:r>
        <w:t xml:space="preserve">; no reference printed). This is as the Bhāṣyakāra explained it. But Yāska has taken the words</w:t>
      </w:r>
      <w:r>
        <w:t xml:space="preserve"> </w:t>
      </w:r>
      <w:r>
        <w:t xml:space="preserve">“</w:t>
      </w:r>
      <w:r>
        <w:t xml:space="preserve">mandū</w:t>
      </w:r>
      <w:r>
        <w:t xml:space="preserve">”</w:t>
      </w:r>
      <w:r>
        <w:t xml:space="preserve"> </w:t>
      </w:r>
      <w:r>
        <w:t xml:space="preserve">and</w:t>
      </w:r>
      <w:r>
        <w:t xml:space="preserve"> </w:t>
      </w:r>
      <w:r>
        <w:t xml:space="preserve">“</w:t>
      </w:r>
      <w:r>
        <w:t xml:space="preserve">samānavarcasā</w:t>
      </w:r>
      <w:r>
        <w:t xml:space="preserve">”</w:t>
      </w:r>
      <w:r>
        <w:t xml:space="preserve"> </w:t>
      </w:r>
      <w:r>
        <w:t xml:space="preserve">as if they were dual words, and so has said that they are qualifiers of both Indra and the Maruts; whereas the Bhāṣyakāra has taken these words as third-case (instrumental) forms and used them, with the four words</w:t>
      </w:r>
      <w:r>
        <w:t xml:space="preserve"> </w:t>
      </w:r>
      <w:r>
        <w:t xml:space="preserve">“</w:t>
      </w:r>
      <w:r>
        <w:t xml:space="preserve">indreṇa,</w:t>
      </w:r>
      <w:r>
        <w:t xml:space="preserve">”</w:t>
      </w:r>
      <w:r>
        <w:t xml:space="preserve"> </w:t>
      </w:r>
      <w:r>
        <w:t xml:space="preserve">“</w:t>
      </w:r>
      <w:r>
        <w:t xml:space="preserve">abibhyuṣā,</w:t>
      </w:r>
      <w:r>
        <w:t xml:space="preserve">”</w:t>
      </w:r>
      <w:r>
        <w:t xml:space="preserve"> </w:t>
      </w:r>
      <w:r>
        <w:t xml:space="preserve">“</w:t>
      </w:r>
      <w:r>
        <w:t xml:space="preserve">mandū</w:t>
      </w:r>
      <w:r>
        <w:t xml:space="preserve">”</w:t>
      </w:r>
      <w:r>
        <w:t xml:space="preserve"> </w:t>
      </w:r>
      <w:r>
        <w:t xml:space="preserve">and</w:t>
      </w:r>
      <w:r>
        <w:t xml:space="preserve"> </w:t>
      </w:r>
      <w:r>
        <w:t xml:space="preserve">“</w:t>
      </w:r>
      <w:r>
        <w:t xml:space="preserve">samānavarcasā,</w:t>
      </w:r>
      <w:r>
        <w:t xml:space="preserve">”</w:t>
      </w:r>
      <w:r>
        <w:t xml:space="preserve"> </w:t>
      </w:r>
      <w:r>
        <w:t xml:space="preserve">as qualifiers of the Marut-host only. Then, in place of the Marut-host, Indra himself must be addressed:</w:t>
      </w:r>
      <w:r>
        <w:t xml:space="preserve"> </w:t>
      </w:r>
      <w:r>
        <w:t xml:space="preserve">“</w:t>
      </w:r>
      <w:r>
        <w:t xml:space="preserve">O Indra! You are seen, we may say, going with the Marut-deities, who are possessed of supreme lordship, fearless and of equal radiance.</w:t>
      </w:r>
      <w:r>
        <w:t xml:space="preserve">”</w:t>
      </w:r>
      <w:r>
        <w:t xml:space="preserve"> </w:t>
      </w:r>
      <w:r>
        <w:rPr>
          <w:bCs/>
          <w:b/>
        </w:rPr>
        <w:t xml:space="preserve">Skandasvāmī</w:t>
      </w:r>
      <w:r>
        <w:t xml:space="preserve"> </w:t>
      </w:r>
      <w:r>
        <w:t xml:space="preserve">explains it in the same way. Since the chief intention of the two kinds of meaning is one, one may say it either way.</w:t>
      </w:r>
    </w:p>
    <w:p>
      <w:pPr>
        <w:pStyle w:val="BodyText"/>
      </w:pPr>
      <w:r>
        <w:rPr>
          <w:bCs/>
          <w:b/>
        </w:rPr>
        <w:t xml:space="preserve">॥ Vyākaraṇa-prakriyā ॥</w:t>
      </w:r>
      <w:r>
        <w:t xml:space="preserve"> </w:t>
      </w:r>
      <w:r>
        <w:rPr>
          <w:iCs/>
          <w:i/>
        </w:rPr>
        <w:t xml:space="preserve">(Kannada; characterized, sūtras kept)</w:t>
      </w:r>
      <w:r>
        <w:t xml:space="preserve"> </w:t>
      </w:r>
      <w:r>
        <w:rPr>
          <w:bCs/>
          <w:b/>
        </w:rPr>
        <w:t xml:space="preserve">“</w:t>
      </w:r>
      <w:r>
        <w:rPr>
          <w:bCs/>
          <w:b/>
        </w:rPr>
        <w:t xml:space="preserve">Saṃdṛkṣase</w:t>
      </w:r>
      <w:r>
        <w:rPr>
          <w:bCs/>
          <w:b/>
        </w:rPr>
        <w:t xml:space="preserve">”</w:t>
      </w:r>
      <w:r>
        <w:t xml:space="preserve"> </w:t>
      </w:r>
      <w:r>
        <w:t xml:space="preserve">—</w:t>
      </w:r>
      <w:r>
        <w:t xml:space="preserve"> </w:t>
      </w:r>
      <w:r>
        <w:t xml:space="preserve">“</w:t>
      </w:r>
      <w:r>
        <w:t xml:space="preserve">saṃpaśyethāḥ</w:t>
      </w:r>
      <w:r>
        <w:t xml:space="preserve">”</w:t>
      </w:r>
      <w:r>
        <w:t xml:space="preserve"> </w:t>
      </w:r>
      <w:r>
        <w:t xml:space="preserve">— the</w:t>
      </w:r>
      <w:r>
        <w:t xml:space="preserve"> </w:t>
      </w:r>
      <w:r>
        <w:t xml:space="preserve">“</w:t>
      </w:r>
      <w:r>
        <w:t xml:space="preserve">laṭ</w:t>
      </w:r>
      <w:r>
        <w:t xml:space="preserve">”</w:t>
      </w:r>
      <w:r>
        <w:t xml:space="preserve">-like</w:t>
      </w:r>
      <w:r>
        <w:t xml:space="preserve"> </w:t>
      </w:r>
      <w:r>
        <w:t xml:space="preserve">“</w:t>
      </w:r>
      <w:r>
        <w:t xml:space="preserve">leṭ</w:t>
      </w:r>
      <w:r>
        <w:t xml:space="preserve">”</w:t>
      </w:r>
      <w:r>
        <w:t xml:space="preserve"> </w:t>
      </w:r>
      <w:r>
        <w:t xml:space="preserve">in the sense of</w:t>
      </w:r>
      <w:r>
        <w:t xml:space="preserve"> </w:t>
      </w:r>
      <w:r>
        <w:t xml:space="preserve">“</w:t>
      </w:r>
      <w:r>
        <w:t xml:space="preserve">liṅ</w:t>
      </w:r>
      <w:r>
        <w:t xml:space="preserve">”</w:t>
      </w:r>
      <w:r>
        <w:t xml:space="preserve"> </w:t>
      </w:r>
      <w:r>
        <w:t xml:space="preserve">(</w:t>
      </w:r>
      <w:r>
        <w:rPr>
          <w:bCs/>
          <w:b/>
        </w:rPr>
        <w:t xml:space="preserve">लिङर्थे लेट्</w:t>
      </w:r>
      <w:r>
        <w:t xml:space="preserve">, पा. ३-४-७), after the root</w:t>
      </w:r>
      <w:r>
        <w:t xml:space="preserve"> </w:t>
      </w:r>
      <w:r>
        <w:t xml:space="preserve">“</w:t>
      </w:r>
      <w:r>
        <w:t xml:space="preserve">dṛś</w:t>
      </w:r>
      <w:r>
        <w:t xml:space="preserve">”</w:t>
      </w:r>
      <w:r>
        <w:t xml:space="preserve"> </w:t>
      </w:r>
      <w:r>
        <w:t xml:space="preserve">in the sense of prayer; under the sūtra</w:t>
      </w:r>
      <w:r>
        <w:t xml:space="preserve"> </w:t>
      </w:r>
      <w:r>
        <w:rPr>
          <w:bCs/>
          <w:b/>
        </w:rPr>
        <w:t xml:space="preserve">समो गम्यृच्छिभ्याम्</w:t>
      </w:r>
      <w:r>
        <w:t xml:space="preserve"> </w:t>
      </w:r>
      <w:r>
        <w:t xml:space="preserve">(पा. सू. १-३-२९) the Vārttika</w:t>
      </w:r>
      <w:r>
        <w:t xml:space="preserve"> </w:t>
      </w:r>
      <w:r>
        <w:rPr>
          <w:bCs/>
          <w:b/>
        </w:rPr>
        <w:t xml:space="preserve">अर्तिश्रुदृशिभ्यश्चेति वक्तव्यम्</w:t>
      </w:r>
      <w:r>
        <w:t xml:space="preserve"> </w:t>
      </w:r>
      <w:r>
        <w:t xml:space="preserve">gives the ātmanepada for the</w:t>
      </w:r>
      <w:r>
        <w:t xml:space="preserve"> </w:t>
      </w:r>
      <w:r>
        <w:t xml:space="preserve">“</w:t>
      </w:r>
      <w:r>
        <w:t xml:space="preserve">la</w:t>
      </w:r>
      <w:r>
        <w:t xml:space="preserve">”</w:t>
      </w:r>
      <w:r>
        <w:t xml:space="preserve"> </w:t>
      </w:r>
      <w:r>
        <w:t xml:space="preserve">after</w:t>
      </w:r>
      <w:r>
        <w:t xml:space="preserve"> </w:t>
      </w:r>
      <w:r>
        <w:t xml:space="preserve">“</w:t>
      </w:r>
      <w:r>
        <w:t xml:space="preserve">ṛ,</w:t>
      </w:r>
      <w:r>
        <w:t xml:space="preserve">”</w:t>
      </w:r>
      <w:r>
        <w:t xml:space="preserve"> </w:t>
      </w:r>
      <w:r>
        <w:t xml:space="preserve">“</w:t>
      </w:r>
      <w:r>
        <w:t xml:space="preserve">śru</w:t>
      </w:r>
      <w:r>
        <w:t xml:space="preserve">”</w:t>
      </w:r>
      <w:r>
        <w:t xml:space="preserve"> </w:t>
      </w:r>
      <w:r>
        <w:t xml:space="preserve">and</w:t>
      </w:r>
      <w:r>
        <w:t xml:space="preserve"> </w:t>
      </w:r>
      <w:r>
        <w:t xml:space="preserve">“</w:t>
      </w:r>
      <w:r>
        <w:t xml:space="preserve">dṛś</w:t>
      </w:r>
      <w:r>
        <w:t xml:space="preserve">”</w:t>
      </w:r>
      <w:r>
        <w:t xml:space="preserve"> </w:t>
      </w:r>
      <w:r>
        <w:t xml:space="preserve">with the prefix</w:t>
      </w:r>
      <w:r>
        <w:t xml:space="preserve"> </w:t>
      </w:r>
      <w:r>
        <w:t xml:space="preserve">“</w:t>
      </w:r>
      <w:r>
        <w:t xml:space="preserve">sam</w:t>
      </w:r>
      <w:r>
        <w:t xml:space="preserve">”</w:t>
      </w:r>
      <w:r>
        <w:t xml:space="preserve">;</w:t>
      </w:r>
      <w:r>
        <w:t xml:space="preserve"> </w:t>
      </w:r>
      <w:r>
        <w:t xml:space="preserve">“</w:t>
      </w:r>
      <w:r>
        <w:t xml:space="preserve">thās</w:t>
      </w:r>
      <w:r>
        <w:t xml:space="preserve">”</w:t>
      </w:r>
      <w:r>
        <w:t xml:space="preserve"> </w:t>
      </w:r>
      <w:r>
        <w:t xml:space="preserve">(second-person singular ātmanepada) →</w:t>
      </w:r>
      <w:r>
        <w:t xml:space="preserve"> </w:t>
      </w:r>
      <w:r>
        <w:rPr>
          <w:bCs/>
          <w:b/>
        </w:rPr>
        <w:t xml:space="preserve">थासः से</w:t>
      </w:r>
      <w:r>
        <w:t xml:space="preserve"> </w:t>
      </w:r>
      <w:r>
        <w:t xml:space="preserve">(पा. ३-४-८०)</w:t>
      </w:r>
      <w:r>
        <w:t xml:space="preserve"> </w:t>
      </w:r>
      <w:r>
        <w:t xml:space="preserve">“</w:t>
      </w:r>
      <w:r>
        <w:t xml:space="preserve">se</w:t>
      </w:r>
      <w:r>
        <w:t xml:space="preserve">”</w:t>
      </w:r>
      <w:r>
        <w:t xml:space="preserve"> </w:t>
      </w:r>
      <w:r>
        <w:t xml:space="preserve">→</w:t>
      </w:r>
      <w:r>
        <w:t xml:space="preserve"> </w:t>
      </w:r>
      <w:r>
        <w:t xml:space="preserve">“</w:t>
      </w:r>
      <w:r>
        <w:t xml:space="preserve">dṛś + se</w:t>
      </w:r>
      <w:r>
        <w:t xml:space="preserve">”</w:t>
      </w:r>
      <w:r>
        <w:t xml:space="preserve">;</w:t>
      </w:r>
      <w:r>
        <w:t xml:space="preserve"> </w:t>
      </w:r>
      <w:r>
        <w:rPr>
          <w:bCs/>
          <w:b/>
        </w:rPr>
        <w:t xml:space="preserve">लेटोऽडाटौ</w:t>
      </w:r>
      <w:r>
        <w:t xml:space="preserve"> </w:t>
      </w:r>
      <w:r>
        <w:t xml:space="preserve">(पा. ३-४-९४) the augment;</w:t>
      </w:r>
      <w:r>
        <w:t xml:space="preserve"> </w:t>
      </w:r>
      <w:r>
        <w:t xml:space="preserve">“</w:t>
      </w:r>
      <w:r>
        <w:t xml:space="preserve">sip</w:t>
      </w:r>
      <w:r>
        <w:t xml:space="preserve">”</w:t>
      </w:r>
      <w:r>
        <w:t xml:space="preserve"> </w:t>
      </w:r>
      <w:r>
        <w:t xml:space="preserve">variably in</w:t>
      </w:r>
      <w:r>
        <w:t xml:space="preserve"> </w:t>
      </w:r>
      <w:r>
        <w:t xml:space="preserve">“</w:t>
      </w:r>
      <w:r>
        <w:t xml:space="preserve">leṭ</w:t>
      </w:r>
      <w:r>
        <w:t xml:space="preserve">”</w:t>
      </w:r>
      <w:r>
        <w:t xml:space="preserve"> </w:t>
      </w:r>
      <w:r>
        <w:t xml:space="preserve">(</w:t>
      </w:r>
      <w:r>
        <w:rPr>
          <w:bCs/>
          <w:b/>
        </w:rPr>
        <w:t xml:space="preserve">सिब्बहुलं लेटि</w:t>
      </w:r>
      <w:r>
        <w:t xml:space="preserve">, पा. ३-१-३४); the guṇa of the light penultimate would arise by</w:t>
      </w:r>
      <w:r>
        <w:t xml:space="preserve"> </w:t>
      </w:r>
      <w:r>
        <w:rPr>
          <w:bCs/>
          <w:b/>
        </w:rPr>
        <w:t xml:space="preserve">पुगन्तलघूपधस्य च</w:t>
      </w:r>
      <w:r>
        <w:t xml:space="preserve"> </w:t>
      </w:r>
      <w:r>
        <w:t xml:space="preserve">(पा. ७-३-८६) but is set aside by the</w:t>
      </w:r>
      <w:r>
        <w:t xml:space="preserve"> </w:t>
      </w:r>
      <w:r>
        <w:t xml:space="preserve">“</w:t>
      </w:r>
      <w:r>
        <w:t xml:space="preserve">saṃjñā-pūrvaka</w:t>
      </w:r>
      <w:r>
        <w:t xml:space="preserve">”</w:t>
      </w:r>
      <w:r>
        <w:t xml:space="preserve"> </w:t>
      </w:r>
      <w:r>
        <w:t xml:space="preserve">principle (</w:t>
      </w:r>
      <w:r>
        <w:rPr>
          <w:bCs/>
          <w:b/>
        </w:rPr>
        <w:t xml:space="preserve">संज्ञापूर्वको विधिरनित्यः</w:t>
      </w:r>
      <w:r>
        <w:t xml:space="preserve">, परिभा. ९-३-१, as printed);</w:t>
      </w:r>
      <w:r>
        <w:t xml:space="preserve"> </w:t>
      </w:r>
      <w:r>
        <w:rPr>
          <w:bCs/>
          <w:b/>
        </w:rPr>
        <w:t xml:space="preserve">व्रश्चभ्रस्जसृजमृजयजराजभ्राजच्छशां षः</w:t>
      </w:r>
      <w:r>
        <w:t xml:space="preserve"> </w:t>
      </w:r>
      <w:r>
        <w:t xml:space="preserve">(पा. ८-२-३६) —</w:t>
      </w:r>
      <w:r>
        <w:t xml:space="preserve"> </w:t>
      </w:r>
      <w:r>
        <w:t xml:space="preserve">“</w:t>
      </w:r>
      <w:r>
        <w:t xml:space="preserve">ṣ</w:t>
      </w:r>
      <w:r>
        <w:t xml:space="preserve">”</w:t>
      </w:r>
      <w:r>
        <w:t xml:space="preserve"> </w:t>
      </w:r>
      <w:r>
        <w:t xml:space="preserve">for the final of</w:t>
      </w:r>
      <w:r>
        <w:t xml:space="preserve"> </w:t>
      </w:r>
      <w:r>
        <w:t xml:space="preserve">“</w:t>
      </w:r>
      <w:r>
        <w:t xml:space="preserve">vraśc,</w:t>
      </w:r>
      <w:r>
        <w:t xml:space="preserve">”</w:t>
      </w:r>
      <w:r>
        <w:t xml:space="preserve"> </w:t>
      </w:r>
      <w:r>
        <w:t xml:space="preserve">“</w:t>
      </w:r>
      <w:r>
        <w:t xml:space="preserve">bhrasj,</w:t>
      </w:r>
      <w:r>
        <w:t xml:space="preserve">”</w:t>
      </w:r>
      <w:r>
        <w:t xml:space="preserve"> </w:t>
      </w:r>
      <w:r>
        <w:t xml:space="preserve">“</w:t>
      </w:r>
      <w:r>
        <w:t xml:space="preserve">sṛj,</w:t>
      </w:r>
      <w:r>
        <w:t xml:space="preserve">”</w:t>
      </w:r>
      <w:r>
        <w:t xml:space="preserve"> </w:t>
      </w:r>
      <w:r>
        <w:t xml:space="preserve">“</w:t>
      </w:r>
      <w:r>
        <w:t xml:space="preserve">mṛj,</w:t>
      </w:r>
      <w:r>
        <w:t xml:space="preserve">”</w:t>
      </w:r>
      <w:r>
        <w:t xml:space="preserve"> </w:t>
      </w:r>
      <w:r>
        <w:t xml:space="preserve">“</w:t>
      </w:r>
      <w:r>
        <w:t xml:space="preserve">yaj,</w:t>
      </w:r>
      <w:r>
        <w:t xml:space="preserve">”</w:t>
      </w:r>
      <w:r>
        <w:t xml:space="preserve"> </w:t>
      </w:r>
      <w:r>
        <w:t xml:space="preserve">“</w:t>
      </w:r>
      <w:r>
        <w:t xml:space="preserve">rāj,</w:t>
      </w:r>
      <w:r>
        <w:t xml:space="preserve">”</w:t>
      </w:r>
      <w:r>
        <w:t xml:space="preserve"> </w:t>
      </w:r>
      <w:r>
        <w:t xml:space="preserve">“</w:t>
      </w:r>
      <w:r>
        <w:t xml:space="preserve">bhrāj,</w:t>
      </w:r>
      <w:r>
        <w:t xml:space="preserve">”</w:t>
      </w:r>
      <w:r>
        <w:t xml:space="preserve"> </w:t>
      </w:r>
      <w:r>
        <w:t xml:space="preserve">“</w:t>
      </w:r>
      <w:r>
        <w:t xml:space="preserve">ch</w:t>
      </w:r>
      <w:r>
        <w:t xml:space="preserve">”</w:t>
      </w:r>
      <w:r>
        <w:t xml:space="preserve"> </w:t>
      </w:r>
      <w:r>
        <w:t xml:space="preserve">and</w:t>
      </w:r>
      <w:r>
        <w:t xml:space="preserve"> </w:t>
      </w:r>
      <w:r>
        <w:t xml:space="preserve">“</w:t>
      </w:r>
      <w:r>
        <w:t xml:space="preserve">śā</w:t>
      </w:r>
      <w:r>
        <w:t xml:space="preserve">”</w:t>
      </w:r>
      <w:r>
        <w:t xml:space="preserve"> </w:t>
      </w:r>
      <w:r>
        <w:t xml:space="preserve">— whether before a</w:t>
      </w:r>
      <w:r>
        <w:t xml:space="preserve"> </w:t>
      </w:r>
      <w:r>
        <w:t xml:space="preserve">“</w:t>
      </w:r>
      <w:r>
        <w:t xml:space="preserve">jhal</w:t>
      </w:r>
      <w:r>
        <w:t xml:space="preserve">”</w:t>
      </w:r>
      <w:r>
        <w:t xml:space="preserve"> </w:t>
      </w:r>
      <w:r>
        <w:t xml:space="preserve">or at the end of a pada, the final of these seven roots and of words ending in</w:t>
      </w:r>
      <w:r>
        <w:t xml:space="preserve"> </w:t>
      </w:r>
      <w:r>
        <w:t xml:space="preserve">“</w:t>
      </w:r>
      <w:r>
        <w:t xml:space="preserve">ch</w:t>
      </w:r>
      <w:r>
        <w:t xml:space="preserve">”</w:t>
      </w:r>
      <w:r>
        <w:t xml:space="preserve"> </w:t>
      </w:r>
      <w:r>
        <w:t xml:space="preserve">and</w:t>
      </w:r>
      <w:r>
        <w:t xml:space="preserve"> </w:t>
      </w:r>
      <w:r>
        <w:t xml:space="preserve">“</w:t>
      </w:r>
      <w:r>
        <w:t xml:space="preserve">ś</w:t>
      </w:r>
      <w:r>
        <w:t xml:space="preserve">”</w:t>
      </w:r>
      <w:r>
        <w:t xml:space="preserve"> </w:t>
      </w:r>
      <w:r>
        <w:t xml:space="preserve">becomes</w:t>
      </w:r>
      <w:r>
        <w:t xml:space="preserve"> </w:t>
      </w:r>
      <w:r>
        <w:t xml:space="preserve">“</w:t>
      </w:r>
      <w:r>
        <w:t xml:space="preserve">ṣ</w:t>
      </w:r>
      <w:r>
        <w:t xml:space="preserve">”</w:t>
      </w:r>
      <w:r>
        <w:t xml:space="preserve">: so the</w:t>
      </w:r>
      <w:r>
        <w:t xml:space="preserve"> </w:t>
      </w:r>
      <w:r>
        <w:t xml:space="preserve">“</w:t>
      </w:r>
      <w:r>
        <w:t xml:space="preserve">ś</w:t>
      </w:r>
      <w:r>
        <w:t xml:space="preserve">”</w:t>
      </w:r>
      <w:r>
        <w:t xml:space="preserve"> </w:t>
      </w:r>
      <w:r>
        <w:t xml:space="preserve">of</w:t>
      </w:r>
      <w:r>
        <w:t xml:space="preserve"> </w:t>
      </w:r>
      <w:r>
        <w:t xml:space="preserve">“</w:t>
      </w:r>
      <w:r>
        <w:t xml:space="preserve">dṛś</w:t>
      </w:r>
      <w:r>
        <w:t xml:space="preserve">”</w:t>
      </w:r>
      <w:r>
        <w:t xml:space="preserve"> </w:t>
      </w:r>
      <w:r>
        <w:t xml:space="preserve">before the</w:t>
      </w:r>
      <w:r>
        <w:t xml:space="preserve"> </w:t>
      </w:r>
      <w:r>
        <w:t xml:space="preserve">“</w:t>
      </w:r>
      <w:r>
        <w:t xml:space="preserve">jhal</w:t>
      </w:r>
      <w:r>
        <w:t xml:space="preserve">”</w:t>
      </w:r>
      <w:r>
        <w:t xml:space="preserve"> </w:t>
      </w:r>
      <w:r>
        <w:t xml:space="preserve">“</w:t>
      </w:r>
      <w:r>
        <w:t xml:space="preserve">s</w:t>
      </w:r>
      <w:r>
        <w:t xml:space="preserve">”</w:t>
      </w:r>
      <w:r>
        <w:t xml:space="preserve">;</w:t>
      </w:r>
      <w:r>
        <w:t xml:space="preserve"> </w:t>
      </w:r>
      <w:r>
        <w:t xml:space="preserve">“</w:t>
      </w:r>
      <w:r>
        <w:t xml:space="preserve">dṛṣ + s + ase</w:t>
      </w:r>
      <w:r>
        <w:t xml:space="preserve">”</w:t>
      </w:r>
      <w:r>
        <w:t xml:space="preserve"> </w:t>
      </w:r>
      <w:r>
        <w:t xml:space="preserve">— then</w:t>
      </w:r>
      <w:r>
        <w:t xml:space="preserve"> </w:t>
      </w:r>
      <w:r>
        <w:rPr>
          <w:bCs/>
          <w:b/>
        </w:rPr>
        <w:t xml:space="preserve">षढोः कः सि</w:t>
      </w:r>
      <w:r>
        <w:t xml:space="preserve"> </w:t>
      </w:r>
      <w:r>
        <w:t xml:space="preserve">… (the sūtra and its number on p. 240)</w:t>
      </w:r>
      <w:r>
        <w:t xml:space="preserve"> </w:t>
      </w:r>
      <w:r>
        <w:rPr>
          <w:iCs/>
          <w:i/>
        </w:rPr>
        <w:t xml:space="preserve">(continues on the next page)</w:t>
      </w:r>
    </w:p>
    <w:bookmarkEnd w:id="278"/>
    <w:bookmarkStart w:id="279" w:name="X48aea3eb7bf55fdb9416169f86e177708e22ec0"/>
    <w:p>
      <w:pPr>
        <w:pStyle w:val="Heading3"/>
      </w:pPr>
      <w:r>
        <w:t xml:space="preserve">Pages 240–242 — Vyākaraṇa-prakriyā for Rik 6.7 (Kannada) — characterized; Sūkta 6, Eighth Mantra: Saṃhitā</w:t>
      </w:r>
    </w:p>
    <w:p>
      <w:pPr>
        <w:pStyle w:val="FirstParagraph"/>
      </w:pPr>
      <w:r>
        <w:rPr>
          <w:iCs/>
          <w:i/>
        </w:rPr>
        <w:t xml:space="preserve">(Page headers: p. 240</w:t>
      </w:r>
      <w:r>
        <w:rPr>
          <w:iCs/>
          <w:i/>
        </w:rPr>
        <w:t xml:space="preserve"> </w:t>
      </w:r>
      <w:r>
        <w:rPr>
          <w:iCs/>
          <w:i/>
        </w:rPr>
        <w:t xml:space="preserve">“</w:t>
      </w:r>
      <w:r>
        <w:rPr>
          <w:iCs/>
          <w:i/>
        </w:rPr>
        <w:t xml:space="preserve">Sāyaṇa-bhāṣya-sahitā · Maṇḍala 1, Anuvāka 2, Sūkta 6</w:t>
      </w:r>
      <w:r>
        <w:rPr>
          <w:iCs/>
          <w:i/>
        </w:rPr>
        <w:t xml:space="preserve">”</w:t>
      </w:r>
      <w:r>
        <w:rPr>
          <w:iCs/>
          <w:i/>
        </w:rPr>
        <w:t xml:space="preserve">; p. 241</w:t>
      </w:r>
      <w:r>
        <w:rPr>
          <w:iCs/>
          <w:i/>
        </w:rPr>
        <w:t xml:space="preserve"> </w:t>
      </w:r>
      <w:r>
        <w:rPr>
          <w:iCs/>
          <w:i/>
        </w:rPr>
        <w:t xml:space="preserve">“</w:t>
      </w:r>
      <w:r>
        <w:rPr>
          <w:iCs/>
          <w:i/>
        </w:rPr>
        <w:t xml:space="preserve">Aṣṭaka 1, Adhyāya 1, Varga 12</w:t>
      </w:r>
      <w:r>
        <w:rPr>
          <w:iCs/>
          <w:i/>
        </w:rPr>
        <w:t xml:space="preserve">”</w:t>
      </w:r>
      <w:r>
        <w:rPr>
          <w:iCs/>
          <w:i/>
        </w:rPr>
        <w:t xml:space="preserve">; p. 242</w:t>
      </w:r>
      <w:r>
        <w:rPr>
          <w:iCs/>
          <w:i/>
        </w:rPr>
        <w:t xml:space="preserve"> </w:t>
      </w:r>
      <w:r>
        <w:rPr>
          <w:iCs/>
          <w:i/>
        </w:rPr>
        <w:t xml:space="preserve">“</w:t>
      </w:r>
      <w:r>
        <w:rPr>
          <w:iCs/>
          <w:i/>
        </w:rPr>
        <w:t xml:space="preserve">Sāyaṇa-bhāṣya-sahitā.</w:t>
      </w:r>
      <w:r>
        <w:rPr>
          <w:iCs/>
          <w:i/>
        </w:rPr>
        <w:t xml:space="preserve">”</w:t>
      </w:r>
      <w:r>
        <w:rPr>
          <w:iCs/>
          <w:i/>
        </w:rPr>
        <w:t xml:space="preserve"> </w:t>
      </w:r>
      <w:r>
        <w:rPr>
          <w:iCs/>
          <w:i/>
        </w:rPr>
        <w:t xml:space="preserve">These three pages are</w:t>
      </w:r>
      <w:r>
        <w:rPr>
          <w:iCs/>
          <w:i/>
        </w:rPr>
        <w:t xml:space="preserve"> </w:t>
      </w:r>
      <w:r>
        <w:rPr>
          <w:bCs/>
          <w:b/>
          <w:iCs/>
          <w:i/>
        </w:rPr>
        <w:t xml:space="preserve">pure Pāṇinian derivation in Kannada prose</w:t>
      </w:r>
      <w:r>
        <w:rPr>
          <w:iCs/>
          <w:i/>
        </w:rPr>
        <w:t xml:space="preserve"> </w:t>
      </w:r>
      <w:r>
        <w:rPr>
          <w:iCs/>
          <w:i/>
        </w:rPr>
        <w:t xml:space="preserve">for</w:t>
      </w:r>
      <w:r>
        <w:rPr>
          <w:iCs/>
          <w:i/>
        </w:rPr>
        <w:t xml:space="preserve"> </w:t>
      </w:r>
      <w:r>
        <w:rPr>
          <w:iCs/>
          <w:i/>
        </w:rPr>
        <w:t xml:space="preserve">“</w:t>
      </w:r>
      <w:r>
        <w:rPr>
          <w:iCs/>
          <w:i/>
        </w:rPr>
        <w:t xml:space="preserve">dṛkṣase,</w:t>
      </w:r>
      <w:r>
        <w:rPr>
          <w:iCs/>
          <w:i/>
        </w:rPr>
        <w:t xml:space="preserve">”</w:t>
      </w:r>
      <w:r>
        <w:rPr>
          <w:iCs/>
          <w:i/>
        </w:rPr>
        <w:t xml:space="preserve"> </w:t>
      </w:r>
      <w:r>
        <w:rPr>
          <w:iCs/>
          <w:i/>
        </w:rPr>
        <w:t xml:space="preserve">“</w:t>
      </w:r>
      <w:r>
        <w:rPr>
          <w:iCs/>
          <w:i/>
        </w:rPr>
        <w:t xml:space="preserve">saṃjagmānaḥ,</w:t>
      </w:r>
      <w:r>
        <w:rPr>
          <w:iCs/>
          <w:i/>
        </w:rPr>
        <w:t xml:space="preserve">”</w:t>
      </w:r>
      <w:r>
        <w:rPr>
          <w:iCs/>
          <w:i/>
        </w:rPr>
        <w:t xml:space="preserve"> </w:t>
      </w:r>
      <w:r>
        <w:rPr>
          <w:iCs/>
          <w:i/>
        </w:rPr>
        <w:t xml:space="preserve">“</w:t>
      </w:r>
      <w:r>
        <w:rPr>
          <w:iCs/>
          <w:i/>
        </w:rPr>
        <w:t xml:space="preserve">abibhyuṣā,</w:t>
      </w:r>
      <w:r>
        <w:rPr>
          <w:iCs/>
          <w:i/>
        </w:rPr>
        <w:t xml:space="preserve">”</w:t>
      </w:r>
      <w:r>
        <w:rPr>
          <w:iCs/>
          <w:i/>
        </w:rPr>
        <w:t xml:space="preserve"> </w:t>
      </w:r>
      <w:r>
        <w:rPr>
          <w:iCs/>
          <w:i/>
        </w:rPr>
        <w:t xml:space="preserve">“</w:t>
      </w:r>
      <w:r>
        <w:rPr>
          <w:iCs/>
          <w:i/>
        </w:rPr>
        <w:t xml:space="preserve">mandū</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samānavarcasā,</w:t>
      </w:r>
      <w:r>
        <w:rPr>
          <w:iCs/>
          <w:i/>
        </w:rPr>
        <w:t xml:space="preserve">”</w:t>
      </w:r>
      <w:r>
        <w:rPr>
          <w:iCs/>
          <w:i/>
        </w:rPr>
        <w:t xml:space="preserve"> </w:t>
      </w:r>
      <w:r>
        <w:rPr>
          <w:iCs/>
          <w:i/>
        </w:rPr>
        <w:t xml:space="preserve">together with a note on the saṃhitā-sandhi of</w:t>
      </w:r>
      <w:r>
        <w:rPr>
          <w:iCs/>
          <w:i/>
        </w:rPr>
        <w:t xml:space="preserve"> </w:t>
      </w:r>
      <w:r>
        <w:rPr>
          <w:iCs/>
          <w:i/>
        </w:rPr>
        <w:t xml:space="preserve">“</w:t>
      </w:r>
      <w:r>
        <w:rPr>
          <w:iCs/>
          <w:i/>
        </w:rPr>
        <w:t xml:space="preserve">saṃjagmāno abibhyuṣā.</w:t>
      </w:r>
      <w:r>
        <w:rPr>
          <w:iCs/>
          <w:i/>
        </w:rPr>
        <w:t xml:space="preserve">”</w:t>
      </w:r>
      <w:r>
        <w:rPr>
          <w:iCs/>
          <w:i/>
        </w:rPr>
        <w:t xml:space="preserve"> </w:t>
      </w:r>
      <w:r>
        <w:rPr>
          <w:iCs/>
          <w:i/>
        </w:rPr>
        <w:t xml:space="preserve">They do not bear on the sense of Rik 6.7. Re-read from the better scan;</w:t>
      </w:r>
      <w:r>
        <w:rPr>
          <w:iCs/>
          <w:i/>
        </w:rPr>
        <w:t xml:space="preserve"> </w:t>
      </w:r>
      <w:r>
        <w:rPr>
          <w:bCs/>
          <w:b/>
          <w:iCs/>
          <w:i/>
        </w:rPr>
        <w:t xml:space="preserve">characterized in outline</w:t>
      </w:r>
      <w:r>
        <w:rPr>
          <w:iCs/>
          <w:i/>
        </w:rPr>
        <w:t xml:space="preserve">, with the printed sūtra numbers.)</w:t>
      </w:r>
    </w:p>
    <w:p>
      <w:pPr>
        <w:pStyle w:val="BodyText"/>
      </w:pPr>
      <w:r>
        <w:rPr>
          <w:bCs/>
          <w:b/>
        </w:rPr>
        <w:t xml:space="preserve">p. 240.</w:t>
      </w:r>
      <w:r>
        <w:t xml:space="preserve"> </w:t>
      </w:r>
      <w:r>
        <w:rPr>
          <w:iCs/>
          <w:i/>
        </w:rPr>
        <w:t xml:space="preserve">(Continuing</w:t>
      </w:r>
      <w:r>
        <w:rPr>
          <w:iCs/>
          <w:i/>
        </w:rPr>
        <w:t xml:space="preserve"> </w:t>
      </w:r>
      <w:r>
        <w:rPr>
          <w:iCs/>
          <w:i/>
        </w:rPr>
        <w:t xml:space="preserve">“</w:t>
      </w:r>
      <w:r>
        <w:rPr>
          <w:iCs/>
          <w:i/>
        </w:rPr>
        <w:t xml:space="preserve">dṛkṣase</w:t>
      </w:r>
      <w:r>
        <w:rPr>
          <w:iCs/>
          <w:i/>
        </w:rPr>
        <w:t xml:space="preserve">”</w:t>
      </w:r>
      <w:r>
        <w:rPr>
          <w:iCs/>
          <w:i/>
        </w:rPr>
        <w:t xml:space="preserve">:)</w:t>
      </w:r>
      <w:r>
        <w:t xml:space="preserve"> </w:t>
      </w:r>
      <w:r>
        <w:t xml:space="preserve">…</w:t>
      </w:r>
      <w:r>
        <w:rPr>
          <w:bCs/>
          <w:b/>
        </w:rPr>
        <w:t xml:space="preserve">षढोः कः सि</w:t>
      </w:r>
      <w:r>
        <w:t xml:space="preserve"> </w:t>
      </w:r>
      <w:r>
        <w:t xml:space="preserve">(पा. सू. ८-२-४१) —</w:t>
      </w:r>
      <w:r>
        <w:t xml:space="preserve"> </w:t>
      </w:r>
      <w:r>
        <w:t xml:space="preserve">“</w:t>
      </w:r>
      <w:r>
        <w:t xml:space="preserve">ṣ</w:t>
      </w:r>
      <w:r>
        <w:t xml:space="preserve">”</w:t>
      </w:r>
      <w:r>
        <w:t xml:space="preserve"> </w:t>
      </w:r>
      <w:r>
        <w:t xml:space="preserve">and</w:t>
      </w:r>
      <w:r>
        <w:t xml:space="preserve"> </w:t>
      </w:r>
      <w:r>
        <w:t xml:space="preserve">“</w:t>
      </w:r>
      <w:r>
        <w:t xml:space="preserve">ḍh</w:t>
      </w:r>
      <w:r>
        <w:t xml:space="preserve">”</w:t>
      </w:r>
      <w:r>
        <w:t xml:space="preserve"> </w:t>
      </w:r>
      <w:r>
        <w:t xml:space="preserve">become</w:t>
      </w:r>
      <w:r>
        <w:t xml:space="preserve"> </w:t>
      </w:r>
      <w:r>
        <w:t xml:space="preserve">“</w:t>
      </w:r>
      <w:r>
        <w:t xml:space="preserve">k</w:t>
      </w:r>
      <w:r>
        <w:t xml:space="preserve">”</w:t>
      </w:r>
      <w:r>
        <w:t xml:space="preserve"> </w:t>
      </w:r>
      <w:r>
        <w:t xml:space="preserve">before</w:t>
      </w:r>
      <w:r>
        <w:t xml:space="preserve"> </w:t>
      </w:r>
      <w:r>
        <w:t xml:space="preserve">“</w:t>
      </w:r>
      <w:r>
        <w:t xml:space="preserve">s</w:t>
      </w:r>
      <w:r>
        <w:t xml:space="preserve">”</w:t>
      </w:r>
      <w:r>
        <w:t xml:space="preserve"> </w:t>
      </w:r>
      <w:r>
        <w:t xml:space="preserve">— so the</w:t>
      </w:r>
      <w:r>
        <w:t xml:space="preserve"> </w:t>
      </w:r>
      <w:r>
        <w:t xml:space="preserve">“</w:t>
      </w:r>
      <w:r>
        <w:t xml:space="preserve">ṣ</w:t>
      </w:r>
      <w:r>
        <w:t xml:space="preserve">”</w:t>
      </w:r>
      <w:r>
        <w:t xml:space="preserve"> </w:t>
      </w:r>
      <w:r>
        <w:t xml:space="preserve">becomes</w:t>
      </w:r>
      <w:r>
        <w:t xml:space="preserve"> </w:t>
      </w:r>
      <w:r>
        <w:t xml:space="preserve">“</w:t>
      </w:r>
      <w:r>
        <w:t xml:space="preserve">k</w:t>
      </w:r>
      <w:r>
        <w:t xml:space="preserve">”</w:t>
      </w:r>
      <w:r>
        <w:t xml:space="preserve">;</w:t>
      </w:r>
      <w:r>
        <w:t xml:space="preserve"> </w:t>
      </w:r>
      <w:r>
        <w:t xml:space="preserve">“</w:t>
      </w:r>
      <w:r>
        <w:t xml:space="preserve">dṛk + s + ase</w:t>
      </w:r>
      <w:r>
        <w:t xml:space="preserve">”</w:t>
      </w:r>
      <w:r>
        <w:t xml:space="preserve">:</w:t>
      </w:r>
      <w:r>
        <w:t xml:space="preserve"> </w:t>
      </w:r>
      <w:r>
        <w:rPr>
          <w:bCs/>
          <w:b/>
        </w:rPr>
        <w:t xml:space="preserve">आदेशप्रत्यययोः</w:t>
      </w:r>
      <w:r>
        <w:t xml:space="preserve"> </w:t>
      </w:r>
      <w:r>
        <w:t xml:space="preserve">(पा. सू. ८-३-५९) — after</w:t>
      </w:r>
      <w:r>
        <w:t xml:space="preserve"> </w:t>
      </w:r>
      <w:r>
        <w:t xml:space="preserve">“</w:t>
      </w:r>
      <w:r>
        <w:t xml:space="preserve">iṇ</w:t>
      </w:r>
      <w:r>
        <w:t xml:space="preserve">”</w:t>
      </w:r>
      <w:r>
        <w:t xml:space="preserve"> </w:t>
      </w:r>
      <w:r>
        <w:t xml:space="preserve">and the k-class, an</w:t>
      </w:r>
      <w:r>
        <w:t xml:space="preserve"> </w:t>
      </w:r>
      <w:r>
        <w:t xml:space="preserve">“</w:t>
      </w:r>
      <w:r>
        <w:t xml:space="preserve">s</w:t>
      </w:r>
      <w:r>
        <w:t xml:space="preserve">”</w:t>
      </w:r>
      <w:r>
        <w:t xml:space="preserve"> </w:t>
      </w:r>
      <w:r>
        <w:t xml:space="preserve">that is a substitute or part of an affix becomes</w:t>
      </w:r>
      <w:r>
        <w:t xml:space="preserve"> </w:t>
      </w:r>
      <w:r>
        <w:t xml:space="preserve">“</w:t>
      </w:r>
      <w:r>
        <w:t xml:space="preserve">ṣ</w:t>
      </w:r>
      <w:r>
        <w:t xml:space="preserve">”</w:t>
      </w:r>
      <w:r>
        <w:t xml:space="preserve"> </w:t>
      </w:r>
      <w:r>
        <w:t xml:space="preserve">— so the</w:t>
      </w:r>
      <w:r>
        <w:t xml:space="preserve"> </w:t>
      </w:r>
      <w:r>
        <w:t xml:space="preserve">“</w:t>
      </w:r>
      <w:r>
        <w:t xml:space="preserve">s</w:t>
      </w:r>
      <w:r>
        <w:t xml:space="preserve">”</w:t>
      </w:r>
      <w:r>
        <w:t xml:space="preserve"> </w:t>
      </w:r>
      <w:r>
        <w:t xml:space="preserve">after</w:t>
      </w:r>
      <w:r>
        <w:t xml:space="preserve"> </w:t>
      </w:r>
      <w:r>
        <w:t xml:space="preserve">“</w:t>
      </w:r>
      <w:r>
        <w:t xml:space="preserve">k</w:t>
      </w:r>
      <w:r>
        <w:t xml:space="preserve">”</w:t>
      </w:r>
      <w:r>
        <w:t xml:space="preserve"> </w:t>
      </w:r>
      <w:r>
        <w:t xml:space="preserve">becomes</w:t>
      </w:r>
      <w:r>
        <w:t xml:space="preserve"> </w:t>
      </w:r>
      <w:r>
        <w:t xml:space="preserve">“</w:t>
      </w:r>
      <w:r>
        <w:t xml:space="preserve">ṣ.</w:t>
      </w:r>
      <w:r>
        <w:t xml:space="preserve">”</w:t>
      </w:r>
      <w:r>
        <w:t xml:space="preserve"> </w:t>
      </w:r>
      <w:r>
        <w:t xml:space="preserve">Because the sūtra that elides</w:t>
      </w:r>
      <w:r>
        <w:t xml:space="preserve"> </w:t>
      </w:r>
      <w:r>
        <w:t xml:space="preserve">“</w:t>
      </w:r>
      <w:r>
        <w:t xml:space="preserve">śap,</w:t>
      </w:r>
      <w:r>
        <w:t xml:space="preserve">”</w:t>
      </w:r>
      <w:r>
        <w:t xml:space="preserve"> </w:t>
      </w:r>
      <w:r>
        <w:rPr>
          <w:bCs/>
          <w:b/>
        </w:rPr>
        <w:t xml:space="preserve">बहुलं छन्दसि</w:t>
      </w:r>
      <w:r>
        <w:t xml:space="preserve"> </w:t>
      </w:r>
      <w:r>
        <w:t xml:space="preserve">(पा. सू. २-४-७३), says</w:t>
      </w:r>
      <w:r>
        <w:t xml:space="preserve"> </w:t>
      </w:r>
      <w:r>
        <w:t xml:space="preserve">“</w:t>
      </w:r>
      <w:r>
        <w:t xml:space="preserve">bahula,</w:t>
      </w:r>
      <w:r>
        <w:t xml:space="preserve">”</w:t>
      </w:r>
      <w:r>
        <w:t xml:space="preserve"> </w:t>
      </w:r>
      <w:r>
        <w:t xml:space="preserve">“</w:t>
      </w:r>
      <w:r>
        <w:t xml:space="preserve">śap</w:t>
      </w:r>
      <w:r>
        <w:t xml:space="preserve">”</w:t>
      </w:r>
      <w:r>
        <w:t xml:space="preserve"> </w:t>
      </w:r>
      <w:r>
        <w:t xml:space="preserve">also comes after</w:t>
      </w:r>
      <w:r>
        <w:t xml:space="preserve"> </w:t>
      </w:r>
      <w:r>
        <w:t xml:space="preserve">“</w:t>
      </w:r>
      <w:r>
        <w:t xml:space="preserve">sip</w:t>
      </w:r>
      <w:r>
        <w:t xml:space="preserve">”</w:t>
      </w:r>
      <w:r>
        <w:t xml:space="preserve">:</w:t>
      </w:r>
      <w:r>
        <w:t xml:space="preserve"> </w:t>
      </w:r>
      <w:r>
        <w:t xml:space="preserve">“</w:t>
      </w:r>
      <w:r>
        <w:t xml:space="preserve">dṛk + ṣ + a + ase.</w:t>
      </w:r>
      <w:r>
        <w:t xml:space="preserve">”</w:t>
      </w:r>
      <w:r>
        <w:t xml:space="preserve"> </w:t>
      </w:r>
      <w:r>
        <w:t xml:space="preserve">Even with</w:t>
      </w:r>
      <w:r>
        <w:t xml:space="preserve"> </w:t>
      </w:r>
      <w:r>
        <w:t xml:space="preserve">“</w:t>
      </w:r>
      <w:r>
        <w:t xml:space="preserve">śap,</w:t>
      </w:r>
      <w:r>
        <w:t xml:space="preserve">”</w:t>
      </w:r>
      <w:r>
        <w:t xml:space="preserve"> </w:t>
      </w:r>
      <w:r>
        <w:t xml:space="preserve">the</w:t>
      </w:r>
      <w:r>
        <w:t xml:space="preserve"> </w:t>
      </w:r>
      <w:r>
        <w:t xml:space="preserve">“</w:t>
      </w:r>
      <w:r>
        <w:t xml:space="preserve">paśya</w:t>
      </w:r>
      <w:r>
        <w:t xml:space="preserve">”</w:t>
      </w:r>
      <w:r>
        <w:t xml:space="preserve"> </w:t>
      </w:r>
      <w:r>
        <w:t xml:space="preserve">substitute of</w:t>
      </w:r>
      <w:r>
        <w:t xml:space="preserve"> </w:t>
      </w:r>
      <w:r>
        <w:rPr>
          <w:bCs/>
          <w:b/>
        </w:rPr>
        <w:t xml:space="preserve">पाघ्राध्मास्थाम्नादाण्दृश्यर्तिसर्तिशदसदां पिबजिघ्रधमतिष्ठमनयच्छपश्यर्च्छधौशीयसीदाः</w:t>
      </w:r>
      <w:r>
        <w:t xml:space="preserve"> </w:t>
      </w:r>
      <w:r>
        <w:t xml:space="preserve">(पा. सू. ७-३-७८), which comes before a</w:t>
      </w:r>
      <w:r>
        <w:t xml:space="preserve"> </w:t>
      </w:r>
      <w:r>
        <w:t xml:space="preserve">“</w:t>
      </w:r>
      <w:r>
        <w:t xml:space="preserve">ś</w:t>
      </w:r>
      <w:r>
        <w:t xml:space="preserve">”</w:t>
      </w:r>
      <w:r>
        <w:t xml:space="preserve">-marked affix, does not arise, because</w:t>
      </w:r>
      <w:r>
        <w:t xml:space="preserve"> </w:t>
      </w:r>
      <w:r>
        <w:t xml:space="preserve">“</w:t>
      </w:r>
      <w:r>
        <w:t xml:space="preserve">sip</w:t>
      </w:r>
      <w:r>
        <w:t xml:space="preserve">”</w:t>
      </w:r>
      <w:r>
        <w:t xml:space="preserve"> </w:t>
      </w:r>
      <w:r>
        <w:t xml:space="preserve">intervenes and the</w:t>
      </w:r>
      <w:r>
        <w:t xml:space="preserve"> </w:t>
      </w:r>
      <w:r>
        <w:t xml:space="preserve">“</w:t>
      </w:r>
      <w:r>
        <w:t xml:space="preserve">ś</w:t>
      </w:r>
      <w:r>
        <w:t xml:space="preserve">”</w:t>
      </w:r>
      <w:r>
        <w:t xml:space="preserve">-affix does not immediately follow.</w:t>
      </w:r>
      <w:r>
        <w:t xml:space="preserve"> </w:t>
      </w:r>
      <w:r>
        <w:t xml:space="preserve">“</w:t>
      </w:r>
      <w:r>
        <w:t xml:space="preserve">Śap,</w:t>
      </w:r>
      <w:r>
        <w:t xml:space="preserve">”</w:t>
      </w:r>
      <w:r>
        <w:t xml:space="preserve"> </w:t>
      </w:r>
      <w:r>
        <w:t xml:space="preserve">“</w:t>
      </w:r>
      <w:r>
        <w:t xml:space="preserve">p</w:t>
      </w:r>
      <w:r>
        <w:t xml:space="preserve">”</w:t>
      </w:r>
      <w:r>
        <w:t xml:space="preserve">-marked, is unaccented by</w:t>
      </w:r>
      <w:r>
        <w:t xml:space="preserve"> </w:t>
      </w:r>
      <w:r>
        <w:t xml:space="preserve">“</w:t>
      </w:r>
      <w:r>
        <w:t xml:space="preserve">anudāttau supitau</w:t>
      </w:r>
      <w:r>
        <w:t xml:space="preserve">”</w:t>
      </w:r>
      <w:r>
        <w:t xml:space="preserve">; the following</w:t>
      </w:r>
      <w:r>
        <w:t xml:space="preserve"> </w:t>
      </w:r>
      <w:r>
        <w:t xml:space="preserve">“</w:t>
      </w:r>
      <w:r>
        <w:t xml:space="preserve">ase</w:t>
      </w:r>
      <w:r>
        <w:t xml:space="preserve">”</w:t>
      </w:r>
      <w:r>
        <w:t xml:space="preserve"> </w:t>
      </w:r>
      <w:r>
        <w:t xml:space="preserve">is unaccented by</w:t>
      </w:r>
      <w:r>
        <w:t xml:space="preserve"> </w:t>
      </w:r>
      <w:r>
        <w:rPr>
          <w:bCs/>
          <w:b/>
        </w:rPr>
        <w:t xml:space="preserve">तास्यनुदात्तेत्…</w:t>
      </w:r>
      <w:r>
        <w:t xml:space="preserve"> </w:t>
      </w:r>
      <w:r>
        <w:t xml:space="preserve">(पा. सू. ६-१-१८६); in</w:t>
      </w:r>
      <w:r>
        <w:t xml:space="preserve"> </w:t>
      </w:r>
      <w:r>
        <w:t xml:space="preserve">“</w:t>
      </w:r>
      <w:r>
        <w:t xml:space="preserve">dṛś</w:t>
      </w:r>
      <w:r>
        <w:t xml:space="preserve">”</w:t>
      </w:r>
      <w:r>
        <w:t xml:space="preserve"> </w:t>
      </w:r>
      <w:r>
        <w:t xml:space="preserve">the root accent stays; the two short</w:t>
      </w:r>
      <w:r>
        <w:t xml:space="preserve"> </w:t>
      </w:r>
      <w:r>
        <w:t xml:space="preserve">“</w:t>
      </w:r>
      <w:r>
        <w:t xml:space="preserve">a</w:t>
      </w:r>
      <w:r>
        <w:t xml:space="preserve">”</w:t>
      </w:r>
      <w:r>
        <w:t xml:space="preserve">s become one by</w:t>
      </w:r>
      <w:r>
        <w:t xml:space="preserve"> </w:t>
      </w:r>
      <w:r>
        <w:rPr>
          <w:bCs/>
          <w:b/>
        </w:rPr>
        <w:t xml:space="preserve">अतो गुणे</w:t>
      </w:r>
      <w:r>
        <w:t xml:space="preserve"> </w:t>
      </w:r>
      <w:r>
        <w:t xml:space="preserve">(पा. सू. ६-१-९७):</w:t>
      </w:r>
      <w:r>
        <w:t xml:space="preserve"> </w:t>
      </w:r>
      <w:r>
        <w:t xml:space="preserve">“</w:t>
      </w:r>
      <w:r>
        <w:t xml:space="preserve">dṛkṣase.</w:t>
      </w:r>
      <w:r>
        <w:t xml:space="preserve">”</w:t>
      </w:r>
      <w:r>
        <w:t xml:space="preserve"> </w:t>
      </w:r>
      <w:r>
        <w:t xml:space="preserve">By</w:t>
      </w:r>
      <w:r>
        <w:t xml:space="preserve"> </w:t>
      </w:r>
      <w:r>
        <w:rPr>
          <w:bCs/>
          <w:b/>
        </w:rPr>
        <w:t xml:space="preserve">हि च</w:t>
      </w:r>
      <w:r>
        <w:t xml:space="preserve"> </w:t>
      </w:r>
      <w:r>
        <w:t xml:space="preserve">(पा. सू. ८-१-३४) a verb joined with</w:t>
      </w:r>
      <w:r>
        <w:t xml:space="preserve"> </w:t>
      </w:r>
      <w:r>
        <w:t xml:space="preserve">“</w:t>
      </w:r>
      <w:r>
        <w:t xml:space="preserve">hi</w:t>
      </w:r>
      <w:r>
        <w:t xml:space="preserve">”</w:t>
      </w:r>
      <w:r>
        <w:t xml:space="preserve"> </w:t>
      </w:r>
      <w:r>
        <w:t xml:space="preserve">is not made unaccented, so</w:t>
      </w:r>
      <w:r>
        <w:t xml:space="preserve"> </w:t>
      </w:r>
      <w:r>
        <w:t xml:space="preserve">“</w:t>
      </w:r>
      <w:r>
        <w:t xml:space="preserve">dṛkṣase</w:t>
      </w:r>
      <w:r>
        <w:t xml:space="preserve">”</w:t>
      </w:r>
      <w:r>
        <w:t xml:space="preserve"> </w:t>
      </w:r>
      <w:r>
        <w:t xml:space="preserve">after</w:t>
      </w:r>
      <w:r>
        <w:t xml:space="preserve"> </w:t>
      </w:r>
      <w:r>
        <w:t xml:space="preserve">“</w:t>
      </w:r>
      <w:r>
        <w:t xml:space="preserve">hi</w:t>
      </w:r>
      <w:r>
        <w:t xml:space="preserve">”</w:t>
      </w:r>
      <w:r>
        <w:t xml:space="preserve"> </w:t>
      </w:r>
      <w:r>
        <w:t xml:space="preserve">escapes the nighāta of</w:t>
      </w:r>
      <w:r>
        <w:t xml:space="preserve"> </w:t>
      </w:r>
      <w:r>
        <w:rPr>
          <w:bCs/>
          <w:b/>
        </w:rPr>
        <w:t xml:space="preserve">तिङ्ङतिङः</w:t>
      </w:r>
      <w:r>
        <w:t xml:space="preserve"> </w:t>
      </w:r>
      <w:r>
        <w:t xml:space="preserve">(पा. सू. ८-१-२८).</w:t>
      </w:r>
      <w:r>
        <w:t xml:space="preserve"> </w:t>
      </w:r>
      <w:r>
        <w:rPr>
          <w:bCs/>
          <w:b/>
        </w:rPr>
        <w:t xml:space="preserve">“</w:t>
      </w:r>
      <w:r>
        <w:rPr>
          <w:bCs/>
          <w:b/>
        </w:rPr>
        <w:t xml:space="preserve">Saṃjagmānaḥ</w:t>
      </w:r>
      <w:r>
        <w:rPr>
          <w:bCs/>
          <w:b/>
        </w:rPr>
        <w:t xml:space="preserve">”</w:t>
      </w:r>
      <w:r>
        <w:t xml:space="preserve"> </w:t>
      </w:r>
      <w:r>
        <w:t xml:space="preserve">—</w:t>
      </w:r>
      <w:r>
        <w:t xml:space="preserve"> </w:t>
      </w:r>
      <w:r>
        <w:t xml:space="preserve">“</w:t>
      </w:r>
      <w:r>
        <w:t xml:space="preserve">gamḷ gatau</w:t>
      </w:r>
      <w:r>
        <w:t xml:space="preserve">”</w:t>
      </w:r>
      <w:r>
        <w:t xml:space="preserve"> </w:t>
      </w:r>
      <w:r>
        <w:t xml:space="preserve">with the prefix</w:t>
      </w:r>
      <w:r>
        <w:t xml:space="preserve"> </w:t>
      </w:r>
      <w:r>
        <w:t xml:space="preserve">“</w:t>
      </w:r>
      <w:r>
        <w:t xml:space="preserve">sam</w:t>
      </w:r>
      <w:r>
        <w:t xml:space="preserve">”</w:t>
      </w:r>
      <w:r>
        <w:t xml:space="preserve">: by</w:t>
      </w:r>
      <w:r>
        <w:t xml:space="preserve"> </w:t>
      </w:r>
      <w:r>
        <w:rPr>
          <w:bCs/>
          <w:b/>
        </w:rPr>
        <w:t xml:space="preserve">छन्दसि लुङ्लङ्लिटः</w:t>
      </w:r>
      <w:r>
        <w:t xml:space="preserve"> </w:t>
      </w:r>
      <w:r>
        <w:t xml:space="preserve">(पा. सू. ३-४-६) — in the Veda these affixes come in all three times, by the relation of the verbal senses —</w:t>
      </w:r>
      <w:r>
        <w:t xml:space="preserve"> </w:t>
      </w:r>
      <w:r>
        <w:t xml:space="preserve">“</w:t>
      </w:r>
      <w:r>
        <w:t xml:space="preserve">liṭ</w:t>
      </w:r>
      <w:r>
        <w:t xml:space="preserve">”</w:t>
      </w:r>
      <w:r>
        <w:t xml:space="preserve"> </w:t>
      </w:r>
      <w:r>
        <w:t xml:space="preserve">in the present sense;</w:t>
      </w:r>
      <w:r>
        <w:t xml:space="preserve"> </w:t>
      </w:r>
      <w:r>
        <w:rPr>
          <w:bCs/>
          <w:b/>
        </w:rPr>
        <w:t xml:space="preserve">समो गम्यृच्छिभ्याम्</w:t>
      </w:r>
      <w:r>
        <w:t xml:space="preserve"> </w:t>
      </w:r>
      <w:r>
        <w:t xml:space="preserve">(पा. सू. १-३-२९) prescribes the ātmanepada after the intransitive</w:t>
      </w:r>
      <w:r>
        <w:t xml:space="preserve"> </w:t>
      </w:r>
      <w:r>
        <w:t xml:space="preserve">“</w:t>
      </w:r>
      <w:r>
        <w:t xml:space="preserve">gam</w:t>
      </w:r>
      <w:r>
        <w:t xml:space="preserve">”</w:t>
      </w:r>
      <w:r>
        <w:t xml:space="preserve"> </w:t>
      </w:r>
      <w:r>
        <w:t xml:space="preserve">and</w:t>
      </w:r>
      <w:r>
        <w:t xml:space="preserve"> </w:t>
      </w:r>
      <w:r>
        <w:t xml:space="preserve">“</w:t>
      </w:r>
      <w:r>
        <w:t xml:space="preserve">ṛ</w:t>
      </w:r>
      <w:r>
        <w:t xml:space="preserve">”</w:t>
      </w:r>
      <w:r>
        <w:t xml:space="preserve"> </w:t>
      </w:r>
      <w:r>
        <w:t xml:space="preserve">preceded by</w:t>
      </w:r>
      <w:r>
        <w:t xml:space="preserve"> </w:t>
      </w:r>
      <w:r>
        <w:t xml:space="preserve">“</w:t>
      </w:r>
      <w:r>
        <w:t xml:space="preserve">sam,</w:t>
      </w:r>
      <w:r>
        <w:t xml:space="preserve">”</w:t>
      </w:r>
      <w:r>
        <w:t xml:space="preserve"> </w:t>
      </w:r>
      <w:r>
        <w:t xml:space="preserve">so by</w:t>
      </w:r>
      <w:r>
        <w:t xml:space="preserve"> </w:t>
      </w:r>
      <w:r>
        <w:rPr>
          <w:bCs/>
          <w:b/>
        </w:rPr>
        <w:t xml:space="preserve">लिटः कानज्वा</w:t>
      </w:r>
      <w:r>
        <w:t xml:space="preserve"> </w:t>
      </w:r>
      <w:r>
        <w:t xml:space="preserve">(पा. सू. ३-२-१०६)</w:t>
      </w:r>
      <w:r>
        <w:t xml:space="preserve"> </w:t>
      </w:r>
      <w:r>
        <w:t xml:space="preserve">“</w:t>
      </w:r>
      <w:r>
        <w:t xml:space="preserve">kānac,</w:t>
      </w:r>
      <w:r>
        <w:t xml:space="preserve">”</w:t>
      </w:r>
      <w:r>
        <w:t xml:space="preserve"> </w:t>
      </w:r>
      <w:r>
        <w:t xml:space="preserve">which counts as ātmanepada;</w:t>
      </w:r>
      <w:r>
        <w:t xml:space="preserve"> </w:t>
      </w:r>
      <w:r>
        <w:rPr>
          <w:bCs/>
          <w:b/>
        </w:rPr>
        <w:t xml:space="preserve">लिटि धातोरनभ्यासस्य</w:t>
      </w:r>
      <w:r>
        <w:t xml:space="preserve"> </w:t>
      </w:r>
      <w:r>
        <w:t xml:space="preserve">(पा. सू. ६-१-८) doubling;</w:t>
      </w:r>
      <w:r>
        <w:t xml:space="preserve"> </w:t>
      </w:r>
      <w:r>
        <w:rPr>
          <w:bCs/>
          <w:b/>
        </w:rPr>
        <w:t xml:space="preserve">हलादिः शेषः</w:t>
      </w:r>
      <w:r>
        <w:t xml:space="preserve"> </w:t>
      </w:r>
      <w:r>
        <w:t xml:space="preserve">(पा. सू. ७-४-६०) — of the reduplicate only the first consonant remains (the print explains</w:t>
      </w:r>
      <w:r>
        <w:t xml:space="preserve"> </w:t>
      </w:r>
      <w:r>
        <w:t xml:space="preserve">“</w:t>
      </w:r>
      <w:r>
        <w:t xml:space="preserve">śeṣa</w:t>
      </w:r>
      <w:r>
        <w:t xml:space="preserve">”</w:t>
      </w:r>
      <w:r>
        <w:t xml:space="preserve">);</w:t>
      </w:r>
      <w:r>
        <w:t xml:space="preserve"> </w:t>
      </w:r>
      <w:r>
        <w:rPr>
          <w:bCs/>
          <w:b/>
        </w:rPr>
        <w:t xml:space="preserve">कुहोश्चुः</w:t>
      </w:r>
      <w:r>
        <w:t xml:space="preserve"> </w:t>
      </w:r>
      <w:r>
        <w:t xml:space="preserve">(पा. सू. ७-४-६२)</w:t>
      </w:r>
      <w:r>
        <w:t xml:space="preserve"> </w:t>
      </w:r>
      <w:r>
        <w:t xml:space="preserve">“</w:t>
      </w:r>
      <w:r>
        <w:t xml:space="preserve">g</w:t>
      </w:r>
      <w:r>
        <w:t xml:space="preserve">”</w:t>
      </w:r>
      <w:r>
        <w:t xml:space="preserve"> </w:t>
      </w:r>
      <w:r>
        <w:t xml:space="preserve">→</w:t>
      </w:r>
      <w:r>
        <w:t xml:space="preserve"> </w:t>
      </w:r>
      <w:r>
        <w:t xml:space="preserve">“</w:t>
      </w:r>
      <w:r>
        <w:t xml:space="preserve">j</w:t>
      </w:r>
      <w:r>
        <w:t xml:space="preserve">”</w:t>
      </w:r>
      <w:r>
        <w:t xml:space="preserve">;</w:t>
      </w:r>
      <w:r>
        <w:t xml:space="preserve"> </w:t>
      </w:r>
      <w:r>
        <w:rPr>
          <w:bCs/>
          <w:b/>
        </w:rPr>
        <w:t xml:space="preserve">गमहनजनखनघसां लोपः क्ङित्यनङि</w:t>
      </w:r>
      <w:r>
        <w:t xml:space="preserve"> </w:t>
      </w:r>
      <w:r>
        <w:t xml:space="preserve">(पा. सू. ६-४-९८) the penultimate of</w:t>
      </w:r>
      <w:r>
        <w:t xml:space="preserve"> </w:t>
      </w:r>
      <w:r>
        <w:t xml:space="preserve">“</w:t>
      </w:r>
      <w:r>
        <w:t xml:space="preserve">gam</w:t>
      </w:r>
      <w:r>
        <w:t xml:space="preserve">”</w:t>
      </w:r>
      <w:r>
        <w:t xml:space="preserve"> </w:t>
      </w:r>
      <w:r>
        <w:t xml:space="preserve">is lost before a</w:t>
      </w:r>
      <w:r>
        <w:t xml:space="preserve"> </w:t>
      </w:r>
      <w:r>
        <w:t xml:space="preserve">“</w:t>
      </w:r>
      <w:r>
        <w:t xml:space="preserve">kit/ṅit</w:t>
      </w:r>
      <w:r>
        <w:t xml:space="preserve">”</w:t>
      </w:r>
      <w:r>
        <w:t xml:space="preserve"> </w:t>
      </w:r>
      <w:r>
        <w:t xml:space="preserve">affix beginning with a vowel, other than</w:t>
      </w:r>
      <w:r>
        <w:t xml:space="preserve"> </w:t>
      </w:r>
      <w:r>
        <w:t xml:space="preserve">“</w:t>
      </w:r>
      <w:r>
        <w:t xml:space="preserve">aṅ</w:t>
      </w:r>
      <w:r>
        <w:t xml:space="preserve">”</w:t>
      </w:r>
      <w:r>
        <w:t xml:space="preserve">:</w:t>
      </w:r>
      <w:r>
        <w:t xml:space="preserve"> </w:t>
      </w:r>
      <w:r>
        <w:t xml:space="preserve">“</w:t>
      </w:r>
      <w:r>
        <w:t xml:space="preserve">ja + gm + āna</w:t>
      </w:r>
      <w:r>
        <w:t xml:space="preserve">”</w:t>
      </w:r>
      <w:r>
        <w:t xml:space="preserve"> </w:t>
      </w:r>
      <w:r>
        <w:t xml:space="preserve">=</w:t>
      </w:r>
      <w:r>
        <w:t xml:space="preserve"> </w:t>
      </w:r>
      <w:r>
        <w:t xml:space="preserve">“</w:t>
      </w:r>
      <w:r>
        <w:t xml:space="preserve">jagmāna</w:t>
      </w:r>
      <w:r>
        <w:t xml:space="preserve">”</w:t>
      </w:r>
      <w:r>
        <w:t xml:space="preserve">; with</w:t>
      </w:r>
      <w:r>
        <w:t xml:space="preserve"> </w:t>
      </w:r>
      <w:r>
        <w:t xml:space="preserve">“</w:t>
      </w:r>
      <w:r>
        <w:t xml:space="preserve">sam,</w:t>
      </w:r>
      <w:r>
        <w:t xml:space="preserve">”</w:t>
      </w:r>
      <w:r>
        <w:t xml:space="preserve"> </w:t>
      </w:r>
      <w:r>
        <w:t xml:space="preserve">“</w:t>
      </w:r>
      <w:r>
        <w:t xml:space="preserve">saṃjagmāna</w:t>
      </w:r>
      <w:r>
        <w:t xml:space="preserve">”</w:t>
      </w:r>
      <w:r>
        <w:t xml:space="preserve">;</w:t>
      </w:r>
      <w:r>
        <w:t xml:space="preserve"> </w:t>
      </w:r>
      <w:r>
        <w:t xml:space="preserve">“</w:t>
      </w:r>
      <w:r>
        <w:t xml:space="preserve">kānac,</w:t>
      </w:r>
      <w:r>
        <w:t xml:space="preserve">”</w:t>
      </w:r>
      <w:r>
        <w:t xml:space="preserve"> </w:t>
      </w:r>
      <w:r>
        <w:t xml:space="preserve">“</w:t>
      </w:r>
      <w:r>
        <w:t xml:space="preserve">c</w:t>
      </w:r>
      <w:r>
        <w:t xml:space="preserve">”</w:t>
      </w:r>
      <w:r>
        <w:t xml:space="preserve">-marked, is end-acute by</w:t>
      </w:r>
      <w:r>
        <w:t xml:space="preserve"> </w:t>
      </w:r>
      <w:r>
        <w:t xml:space="preserve">“</w:t>
      </w:r>
      <w:r>
        <w:t xml:space="preserve">citaḥ.</w:t>
      </w:r>
      <w:r>
        <w:t xml:space="preserve">”</w:t>
      </w:r>
      <w:r>
        <w:t xml:space="preserve"> </w:t>
      </w:r>
      <w:r>
        <w:t xml:space="preserve">By</w:t>
      </w:r>
      <w:r>
        <w:t xml:space="preserve"> </w:t>
      </w:r>
      <w:r>
        <w:rPr>
          <w:bCs/>
          <w:b/>
        </w:rPr>
        <w:t xml:space="preserve">कुगतिप्रादयः</w:t>
      </w:r>
      <w:r>
        <w:t xml:space="preserve"> </w:t>
      </w:r>
      <w:r>
        <w:t xml:space="preserve">(पा. सू. २-२-१८) the compound with</w:t>
      </w:r>
      <w:r>
        <w:t xml:space="preserve"> </w:t>
      </w:r>
      <w:r>
        <w:t xml:space="preserve">“</w:t>
      </w:r>
      <w:r>
        <w:t xml:space="preserve">sam,</w:t>
      </w:r>
      <w:r>
        <w:t xml:space="preserve">”</w:t>
      </w:r>
      <w:r>
        <w:t xml:space="preserve"> </w:t>
      </w:r>
      <w:r>
        <w:t xml:space="preserve">and by</w:t>
      </w:r>
      <w:r>
        <w:t xml:space="preserve"> </w:t>
      </w:r>
      <w:r>
        <w:rPr>
          <w:bCs/>
          <w:b/>
        </w:rPr>
        <w:t xml:space="preserve">गतिकारकोपपदात्कृत्</w:t>
      </w:r>
      <w:r>
        <w:t xml:space="preserve"> </w:t>
      </w:r>
      <w:r>
        <w:t xml:space="preserve">(पा. सू. ६-२-१३९) the kṛt-final second member keeps its accent.</w:t>
      </w:r>
    </w:p>
    <w:p>
      <w:pPr>
        <w:pStyle w:val="BodyText"/>
      </w:pPr>
      <w:r>
        <w:rPr>
          <w:bCs/>
          <w:b/>
        </w:rPr>
        <w:t xml:space="preserve">p. 241 —</w:t>
      </w:r>
      <w:r>
        <w:rPr>
          <w:bCs/>
          <w:b/>
        </w:rPr>
        <w:t xml:space="preserve"> </w:t>
      </w:r>
      <w:r>
        <w:rPr>
          <w:bCs/>
          <w:b/>
        </w:rPr>
        <w:t xml:space="preserve">“</w:t>
      </w:r>
      <w:r>
        <w:rPr>
          <w:bCs/>
          <w:b/>
        </w:rPr>
        <w:t xml:space="preserve">abibhyuṣā.</w:t>
      </w:r>
      <w:r>
        <w:rPr>
          <w:bCs/>
          <w:b/>
        </w:rPr>
        <w:t xml:space="preserve">”</w:t>
      </w:r>
      <w:r>
        <w:t xml:space="preserve"> </w:t>
      </w:r>
      <w:r>
        <w:t xml:space="preserve">“</w:t>
      </w:r>
      <w:r>
        <w:t xml:space="preserve">Ñibhī bhaye</w:t>
      </w:r>
      <w:r>
        <w:t xml:space="preserve">”</w:t>
      </w:r>
      <w:r>
        <w:t xml:space="preserve">:</w:t>
      </w:r>
      <w:r>
        <w:t xml:space="preserve"> </w:t>
      </w:r>
      <w:r>
        <w:t xml:space="preserve">“</w:t>
      </w:r>
      <w:r>
        <w:t xml:space="preserve">liṭ</w:t>
      </w:r>
      <w:r>
        <w:t xml:space="preserve">”</w:t>
      </w:r>
      <w:r>
        <w:t xml:space="preserve"> </w:t>
      </w:r>
      <w:r>
        <w:t xml:space="preserve">by</w:t>
      </w:r>
      <w:r>
        <w:t xml:space="preserve"> </w:t>
      </w:r>
      <w:r>
        <w:rPr>
          <w:bCs/>
          <w:b/>
        </w:rPr>
        <w:t xml:space="preserve">छन्दसि लुङ्लङ्लिटः</w:t>
      </w:r>
      <w:r>
        <w:t xml:space="preserve"> </w:t>
      </w:r>
      <w:r>
        <w:t xml:space="preserve">(पा. सू. ३-४-६); since</w:t>
      </w:r>
      <w:r>
        <w:t xml:space="preserve"> </w:t>
      </w:r>
      <w:r>
        <w:rPr>
          <w:bCs/>
          <w:b/>
        </w:rPr>
        <w:t xml:space="preserve">शेषात्कर्तरि परस्मैपदम्</w:t>
      </w:r>
      <w:r>
        <w:t xml:space="preserve"> </w:t>
      </w:r>
      <w:r>
        <w:t xml:space="preserve">(पा. सू. १-३-७८) prescribes the parasmaipada for a root lacking the ātmanepada conditions,</w:t>
      </w:r>
      <w:r>
        <w:t xml:space="preserve"> </w:t>
      </w:r>
      <w:r>
        <w:rPr>
          <w:bCs/>
          <w:b/>
        </w:rPr>
        <w:t xml:space="preserve">क्वसुश्च</w:t>
      </w:r>
      <w:r>
        <w:t xml:space="preserve"> </w:t>
      </w:r>
      <w:r>
        <w:t xml:space="preserve">(पा. सू. ३-२-१०७) gives</w:t>
      </w:r>
      <w:r>
        <w:t xml:space="preserve"> </w:t>
      </w:r>
      <w:r>
        <w:t xml:space="preserve">“</w:t>
      </w:r>
      <w:r>
        <w:t xml:space="preserve">kvasu</w:t>
      </w:r>
      <w:r>
        <w:t xml:space="preserve">”</w:t>
      </w:r>
      <w:r>
        <w:t xml:space="preserve"> </w:t>
      </w:r>
      <w:r>
        <w:t xml:space="preserve">for</w:t>
      </w:r>
      <w:r>
        <w:t xml:space="preserve"> </w:t>
      </w:r>
      <w:r>
        <w:t xml:space="preserve">“</w:t>
      </w:r>
      <w:r>
        <w:t xml:space="preserve">liṭ</w:t>
      </w:r>
      <w:r>
        <w:t xml:space="preserve">”</w:t>
      </w:r>
      <w:r>
        <w:t xml:space="preserve">; the affix is</w:t>
      </w:r>
      <w:r>
        <w:t xml:space="preserve"> </w:t>
      </w:r>
      <w:r>
        <w:t xml:space="preserve">“</w:t>
      </w:r>
      <w:r>
        <w:t xml:space="preserve">kit,</w:t>
      </w:r>
      <w:r>
        <w:t xml:space="preserve">”</w:t>
      </w:r>
      <w:r>
        <w:t xml:space="preserve"> </w:t>
      </w:r>
      <w:r>
        <w:t xml:space="preserve">so no guṇa by</w:t>
      </w:r>
      <w:r>
        <w:t xml:space="preserve"> </w:t>
      </w:r>
      <w:r>
        <w:t xml:space="preserve">“</w:t>
      </w:r>
      <w:r>
        <w:t xml:space="preserve">sārvadhātukārdhadhātukayoḥ</w:t>
      </w:r>
      <w:r>
        <w:t xml:space="preserve">”</w:t>
      </w:r>
      <w:r>
        <w:t xml:space="preserve">;</w:t>
      </w:r>
      <w:r>
        <w:t xml:space="preserve"> </w:t>
      </w:r>
      <w:r>
        <w:rPr>
          <w:bCs/>
          <w:b/>
        </w:rPr>
        <w:t xml:space="preserve">लिटि धातोरनभ्यासस्य</w:t>
      </w:r>
      <w:r>
        <w:t xml:space="preserve"> </w:t>
      </w:r>
      <w:r>
        <w:t xml:space="preserve">(पा. सू. ६-१-८) doubling;</w:t>
      </w:r>
      <w:r>
        <w:t xml:space="preserve"> </w:t>
      </w:r>
      <w:r>
        <w:rPr>
          <w:bCs/>
          <w:b/>
        </w:rPr>
        <w:t xml:space="preserve">ह्रस्वः</w:t>
      </w:r>
      <w:r>
        <w:t xml:space="preserve"> </w:t>
      </w:r>
      <w:r>
        <w:t xml:space="preserve">(पा. सू. ७-४-५९) shortening of the reduplicate;</w:t>
      </w:r>
      <w:r>
        <w:t xml:space="preserve"> </w:t>
      </w:r>
      <w:r>
        <w:rPr>
          <w:bCs/>
          <w:b/>
        </w:rPr>
        <w:t xml:space="preserve">अभ्यासे चर्च</w:t>
      </w:r>
      <w:r>
        <w:t xml:space="preserve"> </w:t>
      </w:r>
      <w:r>
        <w:t xml:space="preserve">(पा. सू. ८-४-५४)</w:t>
      </w:r>
      <w:r>
        <w:t xml:space="preserve"> </w:t>
      </w:r>
      <w:r>
        <w:t xml:space="preserve">“</w:t>
      </w:r>
      <w:r>
        <w:t xml:space="preserve">jaś</w:t>
      </w:r>
      <w:r>
        <w:t xml:space="preserve">”</w:t>
      </w:r>
      <w:r>
        <w:t xml:space="preserve">:</w:t>
      </w:r>
      <w:r>
        <w:t xml:space="preserve"> </w:t>
      </w:r>
      <w:r>
        <w:t xml:space="preserve">“</w:t>
      </w:r>
      <w:r>
        <w:t xml:space="preserve">bi + bhī + vas.</w:t>
      </w:r>
      <w:r>
        <w:t xml:space="preserve">”</w:t>
      </w:r>
      <w:r>
        <w:t xml:space="preserve"> </w:t>
      </w:r>
      <w:r>
        <w:rPr>
          <w:bCs/>
          <w:b/>
        </w:rPr>
        <w:t xml:space="preserve">कृसृभृवृस्तुद्रुस्रुश्रुवो लिटि</w:t>
      </w:r>
      <w:r>
        <w:t xml:space="preserve"> </w:t>
      </w:r>
      <w:r>
        <w:t xml:space="preserve">(पा. सू. ७-२-१३) — whatever prohibition of</w:t>
      </w:r>
      <w:r>
        <w:t xml:space="preserve"> </w:t>
      </w:r>
      <w:r>
        <w:t xml:space="preserve">“</w:t>
      </w:r>
      <w:r>
        <w:t xml:space="preserve">iṭ</w:t>
      </w:r>
      <w:r>
        <w:t xml:space="preserve">”</w:t>
      </w:r>
      <w:r>
        <w:t xml:space="preserve"> </w:t>
      </w:r>
      <w:r>
        <w:t xml:space="preserve">exists, whether conditioned by the root or by the affix, applies to</w:t>
      </w:r>
      <w:r>
        <w:t xml:space="preserve"> </w:t>
      </w:r>
      <w:r>
        <w:t xml:space="preserve">“</w:t>
      </w:r>
      <w:r>
        <w:t xml:space="preserve">liṭ</w:t>
      </w:r>
      <w:r>
        <w:t xml:space="preserve">”</w:t>
      </w:r>
      <w:r>
        <w:t xml:space="preserve"> </w:t>
      </w:r>
      <w:r>
        <w:t xml:space="preserve">only after these eight roots</w:t>
      </w:r>
      <w:r>
        <w:t xml:space="preserve"> </w:t>
      </w:r>
      <w:r>
        <w:t xml:space="preserve">“</w:t>
      </w:r>
      <w:r>
        <w:t xml:space="preserve">kṛ, sṛ</w:t>
      </w:r>
      <w:r>
        <w:t xml:space="preserve">”</w:t>
      </w:r>
      <w:r>
        <w:t xml:space="preserve"> </w:t>
      </w:r>
      <w:r>
        <w:t xml:space="preserve">etc.; this is the</w:t>
      </w:r>
      <w:r>
        <w:t xml:space="preserve"> </w:t>
      </w:r>
      <w:r>
        <w:t xml:space="preserve">“</w:t>
      </w:r>
      <w:r>
        <w:t xml:space="preserve">kryādi-niyama</w:t>
      </w:r>
      <w:r>
        <w:t xml:space="preserve">”</w:t>
      </w:r>
      <w:r>
        <w:t xml:space="preserve">; by it</w:t>
      </w:r>
      <w:r>
        <w:t xml:space="preserve"> </w:t>
      </w:r>
      <w:r>
        <w:t xml:space="preserve">“</w:t>
      </w:r>
      <w:r>
        <w:t xml:space="preserve">bhī,</w:t>
      </w:r>
      <w:r>
        <w:t xml:space="preserve">”</w:t>
      </w:r>
      <w:r>
        <w:t xml:space="preserve"> </w:t>
      </w:r>
      <w:r>
        <w:t xml:space="preserve">not among them, would take</w:t>
      </w:r>
      <w:r>
        <w:t xml:space="preserve"> </w:t>
      </w:r>
      <w:r>
        <w:t xml:space="preserve">“</w:t>
      </w:r>
      <w:r>
        <w:t xml:space="preserve">iṭ</w:t>
      </w:r>
      <w:r>
        <w:t xml:space="preserve">”</w:t>
      </w:r>
      <w:r>
        <w:t xml:space="preserve"> </w:t>
      </w:r>
      <w:r>
        <w:t xml:space="preserve">before</w:t>
      </w:r>
      <w:r>
        <w:t xml:space="preserve"> </w:t>
      </w:r>
      <w:r>
        <w:t xml:space="preserve">“</w:t>
      </w:r>
      <w:r>
        <w:t xml:space="preserve">vas</w:t>
      </w:r>
      <w:r>
        <w:t xml:space="preserve">”</w:t>
      </w:r>
      <w:r>
        <w:t xml:space="preserve">; but</w:t>
      </w:r>
      <w:r>
        <w:t xml:space="preserve"> </w:t>
      </w:r>
      <w:r>
        <w:rPr>
          <w:bCs/>
          <w:b/>
        </w:rPr>
        <w:t xml:space="preserve">वस्वेकाजाद्घसाम्</w:t>
      </w:r>
      <w:r>
        <w:t xml:space="preserve"> </w:t>
      </w:r>
      <w:r>
        <w:t xml:space="preserve">(पा. सू. ७-२-६७) restricts</w:t>
      </w:r>
      <w:r>
        <w:t xml:space="preserve"> </w:t>
      </w:r>
      <w:r>
        <w:t xml:space="preserve">“</w:t>
      </w:r>
      <w:r>
        <w:t xml:space="preserve">iṭ</w:t>
      </w:r>
      <w:r>
        <w:t xml:space="preserve">”</w:t>
      </w:r>
      <w:r>
        <w:t xml:space="preserve"> </w:t>
      </w:r>
      <w:r>
        <w:t xml:space="preserve">before</w:t>
      </w:r>
      <w:r>
        <w:t xml:space="preserve"> </w:t>
      </w:r>
      <w:r>
        <w:t xml:space="preserve">“</w:t>
      </w:r>
      <w:r>
        <w:t xml:space="preserve">vasu</w:t>
      </w:r>
      <w:r>
        <w:t xml:space="preserve">”</w:t>
      </w:r>
      <w:r>
        <w:t xml:space="preserve"> </w:t>
      </w:r>
      <w:r>
        <w:t xml:space="preserve">to roots that are monosyllabic after doubling, roots ending in</w:t>
      </w:r>
      <w:r>
        <w:t xml:space="preserve"> </w:t>
      </w:r>
      <w:r>
        <w:t xml:space="preserve">“</w:t>
      </w:r>
      <w:r>
        <w:t xml:space="preserve">ā,</w:t>
      </w:r>
      <w:r>
        <w:t xml:space="preserve">”</w:t>
      </w:r>
      <w:r>
        <w:t xml:space="preserve"> </w:t>
      </w:r>
      <w:r>
        <w:t xml:space="preserve">and</w:t>
      </w:r>
      <w:r>
        <w:t xml:space="preserve"> </w:t>
      </w:r>
      <w:r>
        <w:t xml:space="preserve">“</w:t>
      </w:r>
      <w:r>
        <w:t xml:space="preserve">ghas,</w:t>
      </w:r>
      <w:r>
        <w:t xml:space="preserve">”</w:t>
      </w:r>
      <w:r>
        <w:t xml:space="preserve"> </w:t>
      </w:r>
      <w:r>
        <w:t xml:space="preserve">so</w:t>
      </w:r>
      <w:r>
        <w:t xml:space="preserve"> </w:t>
      </w:r>
      <w:r>
        <w:t xml:space="preserve">“</w:t>
      </w:r>
      <w:r>
        <w:t xml:space="preserve">bibhī</w:t>
      </w:r>
      <w:r>
        <w:t xml:space="preserve">”</w:t>
      </w:r>
      <w:r>
        <w:t xml:space="preserve"> </w:t>
      </w:r>
      <w:r>
        <w:t xml:space="preserve">takes no</w:t>
      </w:r>
      <w:r>
        <w:t xml:space="preserve"> </w:t>
      </w:r>
      <w:r>
        <w:t xml:space="preserve">“</w:t>
      </w:r>
      <w:r>
        <w:t xml:space="preserve">iṭ.</w:t>
      </w:r>
      <w:r>
        <w:t xml:space="preserve">”</w:t>
      </w:r>
      <w:r>
        <w:t xml:space="preserve"> </w:t>
      </w:r>
      <w:r>
        <w:t xml:space="preserve">With</w:t>
      </w:r>
      <w:r>
        <w:t xml:space="preserve"> </w:t>
      </w:r>
      <w:r>
        <w:t xml:space="preserve">“</w:t>
      </w:r>
      <w:r>
        <w:t xml:space="preserve">nañ</w:t>
      </w:r>
      <w:r>
        <w:t xml:space="preserve">”</w:t>
      </w:r>
      <w:r>
        <w:t xml:space="preserve"> </w:t>
      </w:r>
      <w:r>
        <w:t xml:space="preserve">compounded and the instrumental singular:</w:t>
      </w:r>
      <w:r>
        <w:t xml:space="preserve"> </w:t>
      </w:r>
      <w:r>
        <w:t xml:space="preserve">“</w:t>
      </w:r>
      <w:r>
        <w:t xml:space="preserve">abibhīvas + ā</w:t>
      </w:r>
      <w:r>
        <w:t xml:space="preserve">”</w:t>
      </w:r>
      <w:r>
        <w:t xml:space="preserve">; being</w:t>
      </w:r>
      <w:r>
        <w:t xml:space="preserve"> </w:t>
      </w:r>
      <w:r>
        <w:t xml:space="preserve">“</w:t>
      </w:r>
      <w:r>
        <w:t xml:space="preserve">bha,</w:t>
      </w:r>
      <w:r>
        <w:t xml:space="preserve">”</w:t>
      </w:r>
      <w:r>
        <w:t xml:space="preserve"> </w:t>
      </w:r>
      <w:r>
        <w:rPr>
          <w:bCs/>
          <w:b/>
        </w:rPr>
        <w:t xml:space="preserve">वसोः संप्रसारणम्</w:t>
      </w:r>
      <w:r>
        <w:t xml:space="preserve"> </w:t>
      </w:r>
      <w:r>
        <w:t xml:space="preserve">(पा. सू. ६-४-१३१)</w:t>
      </w:r>
      <w:r>
        <w:t xml:space="preserve"> </w:t>
      </w:r>
      <w:r>
        <w:t xml:space="preserve">“</w:t>
      </w:r>
      <w:r>
        <w:t xml:space="preserve">u</w:t>
      </w:r>
      <w:r>
        <w:t xml:space="preserve">”</w:t>
      </w:r>
      <w:r>
        <w:t xml:space="preserve"> </w:t>
      </w:r>
      <w:r>
        <w:t xml:space="preserve">for</w:t>
      </w:r>
      <w:r>
        <w:t xml:space="preserve"> </w:t>
      </w:r>
      <w:r>
        <w:t xml:space="preserve">“</w:t>
      </w:r>
      <w:r>
        <w:t xml:space="preserve">v</w:t>
      </w:r>
      <w:r>
        <w:t xml:space="preserve">”</w:t>
      </w:r>
      <w:r>
        <w:t xml:space="preserve">;</w:t>
      </w:r>
      <w:r>
        <w:t xml:space="preserve"> </w:t>
      </w:r>
      <w:r>
        <w:rPr>
          <w:bCs/>
          <w:b/>
        </w:rPr>
        <w:t xml:space="preserve">संप्रसारणाच्च</w:t>
      </w:r>
      <w:r>
        <w:t xml:space="preserve"> </w:t>
      </w:r>
      <w:r>
        <w:t xml:space="preserve">(पा. सू. ६-१-१०, as printed) the prior form:</w:t>
      </w:r>
      <w:r>
        <w:t xml:space="preserve"> </w:t>
      </w:r>
      <w:r>
        <w:t xml:space="preserve">“</w:t>
      </w:r>
      <w:r>
        <w:t xml:space="preserve">bibhī + us + ā.</w:t>
      </w:r>
      <w:r>
        <w:t xml:space="preserve">”</w:t>
      </w:r>
      <w:r>
        <w:t xml:space="preserve"> </w:t>
      </w:r>
      <w:r>
        <w:t xml:space="preserve">Setting aside the</w:t>
      </w:r>
      <w:r>
        <w:t xml:space="preserve"> </w:t>
      </w:r>
      <w:r>
        <w:t xml:space="preserve">“</w:t>
      </w:r>
      <w:r>
        <w:t xml:space="preserve">iyaṅ</w:t>
      </w:r>
      <w:r>
        <w:t xml:space="preserve">”</w:t>
      </w:r>
      <w:r>
        <w:t xml:space="preserve"> </w:t>
      </w:r>
      <w:r>
        <w:t xml:space="preserve">of</w:t>
      </w:r>
      <w:r>
        <w:t xml:space="preserve"> </w:t>
      </w:r>
      <w:r>
        <w:rPr>
          <w:bCs/>
          <w:b/>
        </w:rPr>
        <w:t xml:space="preserve">अचि श्नुधातुभ्रुवां य्वोरियङुवङौ</w:t>
      </w:r>
      <w:r>
        <w:t xml:space="preserve"> </w:t>
      </w:r>
      <w:r>
        <w:t xml:space="preserve">(पा. सू. ६-४-७७),</w:t>
      </w:r>
      <w:r>
        <w:t xml:space="preserve"> </w:t>
      </w:r>
      <w:r>
        <w:rPr>
          <w:bCs/>
          <w:b/>
        </w:rPr>
        <w:t xml:space="preserve">एरनेकाचोऽसंयोगपूर्वस्य</w:t>
      </w:r>
      <w:r>
        <w:t xml:space="preserve"> </w:t>
      </w:r>
      <w:r>
        <w:t xml:space="preserve">(पा. सू. ६-४-८२) gives</w:t>
      </w:r>
      <w:r>
        <w:t xml:space="preserve"> </w:t>
      </w:r>
      <w:r>
        <w:t xml:space="preserve">“</w:t>
      </w:r>
      <w:r>
        <w:t xml:space="preserve">y</w:t>
      </w:r>
      <w:r>
        <w:t xml:space="preserve">”</w:t>
      </w:r>
      <w:r>
        <w:t xml:space="preserve"> </w:t>
      </w:r>
      <w:r>
        <w:t xml:space="preserve">for the</w:t>
      </w:r>
      <w:r>
        <w:t xml:space="preserve"> </w:t>
      </w:r>
      <w:r>
        <w:t xml:space="preserve">“</w:t>
      </w:r>
      <w:r>
        <w:t xml:space="preserve">ī</w:t>
      </w:r>
      <w:r>
        <w:t xml:space="preserve">”</w:t>
      </w:r>
      <w:r>
        <w:t xml:space="preserve"> </w:t>
      </w:r>
      <w:r>
        <w:t xml:space="preserve">of a many-voweled aṅga ending in a root whose</w:t>
      </w:r>
      <w:r>
        <w:t xml:space="preserve"> </w:t>
      </w:r>
      <w:r>
        <w:t xml:space="preserve">“</w:t>
      </w:r>
      <w:r>
        <w:t xml:space="preserve">i/ī</w:t>
      </w:r>
      <w:r>
        <w:t xml:space="preserve">”</w:t>
      </w:r>
      <w:r>
        <w:t xml:space="preserve"> </w:t>
      </w:r>
      <w:r>
        <w:t xml:space="preserve">is not preceded by a conjunct (the print explains why</w:t>
      </w:r>
      <w:r>
        <w:t xml:space="preserve"> </w:t>
      </w:r>
      <w:r>
        <w:t xml:space="preserve">“</w:t>
      </w:r>
      <w:r>
        <w:t xml:space="preserve">abibhī</w:t>
      </w:r>
      <w:r>
        <w:t xml:space="preserve">”</w:t>
      </w:r>
      <w:r>
        <w:t xml:space="preserve"> </w:t>
      </w:r>
      <w:r>
        <w:t xml:space="preserve">qualifies); by</w:t>
      </w:r>
      <w:r>
        <w:t xml:space="preserve"> </w:t>
      </w:r>
      <w:r>
        <w:rPr>
          <w:bCs/>
          <w:b/>
        </w:rPr>
        <w:t xml:space="preserve">अलोऽन्त्यस्य</w:t>
      </w:r>
      <w:r>
        <w:t xml:space="preserve"> </w:t>
      </w:r>
      <w:r>
        <w:t xml:space="preserve">(पा. सू. १-१-५२ [?], the last digits unclear) it replaces the final</w:t>
      </w:r>
      <w:r>
        <w:t xml:space="preserve"> </w:t>
      </w:r>
      <w:r>
        <w:t xml:space="preserve">“</w:t>
      </w:r>
      <w:r>
        <w:t xml:space="preserve">ī</w:t>
      </w:r>
      <w:r>
        <w:t xml:space="preserve">”</w:t>
      </w:r>
      <w:r>
        <w:t xml:space="preserve">:</w:t>
      </w:r>
      <w:r>
        <w:t xml:space="preserve"> </w:t>
      </w:r>
      <w:r>
        <w:t xml:space="preserve">“</w:t>
      </w:r>
      <w:r>
        <w:t xml:space="preserve">abibhy + us + ā</w:t>
      </w:r>
      <w:r>
        <w:t xml:space="preserve">”</w:t>
      </w:r>
      <w:r>
        <w:t xml:space="preserve">;</w:t>
      </w:r>
      <w:r>
        <w:t xml:space="preserve"> </w:t>
      </w:r>
      <w:r>
        <w:rPr>
          <w:bCs/>
          <w:b/>
        </w:rPr>
        <w:t xml:space="preserve">आदेशप्रत्यययोः</w:t>
      </w:r>
      <w:r>
        <w:t xml:space="preserve"> </w:t>
      </w:r>
      <w:r>
        <w:t xml:space="preserve">(पा. सू. ८-३-५९ [?], the print is blurred here)</w:t>
      </w:r>
      <w:r>
        <w:t xml:space="preserve"> </w:t>
      </w:r>
      <w:r>
        <w:t xml:space="preserve">“</w:t>
      </w:r>
      <w:r>
        <w:t xml:space="preserve">ṣ</w:t>
      </w:r>
      <w:r>
        <w:t xml:space="preserve">”</w:t>
      </w:r>
      <w:r>
        <w:t xml:space="preserve">:</w:t>
      </w:r>
      <w:r>
        <w:t xml:space="preserve"> </w:t>
      </w:r>
      <w:r>
        <w:t xml:space="preserve">“</w:t>
      </w:r>
      <w:r>
        <w:t xml:space="preserve">abibhyuṣā.</w:t>
      </w:r>
      <w:r>
        <w:t xml:space="preserve">”</w:t>
      </w:r>
      <w:r>
        <w:t xml:space="preserve"> </w:t>
      </w:r>
      <w:r>
        <w:t xml:space="preserve">The print adds that</w:t>
      </w:r>
      <w:r>
        <w:t xml:space="preserve"> </w:t>
      </w:r>
      <w:r>
        <w:rPr>
          <w:bCs/>
          <w:b/>
        </w:rPr>
        <w:t xml:space="preserve">शासिवसिघसीनां च</w:t>
      </w:r>
      <w:r>
        <w:t xml:space="preserve"> </w:t>
      </w:r>
      <w:r>
        <w:t xml:space="preserve">(पा. सू. ८-३-६०) is a rule for what</w:t>
      </w:r>
      <w:r>
        <w:t xml:space="preserve"> </w:t>
      </w:r>
      <w:r>
        <w:t xml:space="preserve">“</w:t>
      </w:r>
      <w:r>
        <w:t xml:space="preserve">ādeśapratyayayoḥ</w:t>
      </w:r>
      <w:r>
        <w:t xml:space="preserve">”</w:t>
      </w:r>
      <w:r>
        <w:t xml:space="preserve"> </w:t>
      </w:r>
      <w:r>
        <w:t xml:space="preserve">does not reach — the</w:t>
      </w:r>
      <w:r>
        <w:t xml:space="preserve"> </w:t>
      </w:r>
      <w:r>
        <w:t xml:space="preserve">“</w:t>
      </w:r>
      <w:r>
        <w:t xml:space="preserve">s</w:t>
      </w:r>
      <w:r>
        <w:t xml:space="preserve">”</w:t>
      </w:r>
      <w:r>
        <w:t xml:space="preserve"> </w:t>
      </w:r>
      <w:r>
        <w:t xml:space="preserve">of</w:t>
      </w:r>
      <w:r>
        <w:t xml:space="preserve"> </w:t>
      </w:r>
      <w:r>
        <w:t xml:space="preserve">“</w:t>
      </w:r>
      <w:r>
        <w:t xml:space="preserve">śās</w:t>
      </w:r>
      <w:r>
        <w:t xml:space="preserve">”</w:t>
      </w:r>
      <w:r>
        <w:t xml:space="preserve"> </w:t>
      </w:r>
      <w:r>
        <w:t xml:space="preserve">and the rest is neither a substitute nor part of an affix — so that it is this sūtra that applies to</w:t>
      </w:r>
      <w:r>
        <w:t xml:space="preserve"> </w:t>
      </w:r>
      <w:r>
        <w:t xml:space="preserve">“</w:t>
      </w:r>
      <w:r>
        <w:t xml:space="preserve">vas</w:t>
      </w:r>
      <w:r>
        <w:t xml:space="preserve">”</w:t>
      </w:r>
      <w:r>
        <w:t xml:space="preserve">…</w:t>
      </w:r>
    </w:p>
    <w:p>
      <w:pPr>
        <w:pStyle w:val="BodyText"/>
      </w:pPr>
      <w:r>
        <w:rPr>
          <w:bCs/>
          <w:b/>
        </w:rPr>
        <w:t xml:space="preserve">p. 242 —</w:t>
      </w:r>
      <w:r>
        <w:rPr>
          <w:bCs/>
          <w:b/>
        </w:rPr>
        <w:t xml:space="preserve"> </w:t>
      </w:r>
      <w:r>
        <w:rPr>
          <w:bCs/>
          <w:b/>
        </w:rPr>
        <w:t xml:space="preserve">“</w:t>
      </w:r>
      <w:r>
        <w:rPr>
          <w:bCs/>
          <w:b/>
        </w:rPr>
        <w:t xml:space="preserve">abibhyuṣā</w:t>
      </w:r>
      <w:r>
        <w:rPr>
          <w:bCs/>
          <w:b/>
        </w:rPr>
        <w:t xml:space="preserve">”</w:t>
      </w:r>
      <w:r>
        <w:rPr>
          <w:bCs/>
          <w:b/>
        </w:rPr>
        <w:t xml:space="preserve"> </w:t>
      </w:r>
      <w:r>
        <w:rPr>
          <w:bCs/>
          <w:b/>
        </w:rPr>
        <w:t xml:space="preserve">(concluded);</w:t>
      </w:r>
      <w:r>
        <w:rPr>
          <w:bCs/>
          <w:b/>
        </w:rPr>
        <w:t xml:space="preserve"> </w:t>
      </w:r>
      <w:r>
        <w:rPr>
          <w:bCs/>
          <w:b/>
        </w:rPr>
        <w:t xml:space="preserve">“</w:t>
      </w:r>
      <w:r>
        <w:rPr>
          <w:bCs/>
          <w:b/>
        </w:rPr>
        <w:t xml:space="preserve">mandū,</w:t>
      </w:r>
      <w:r>
        <w:rPr>
          <w:bCs/>
          <w:b/>
        </w:rPr>
        <w:t xml:space="preserve">”</w:t>
      </w:r>
      <w:r>
        <w:rPr>
          <w:bCs/>
          <w:b/>
        </w:rPr>
        <w:t xml:space="preserve"> </w:t>
      </w:r>
      <w:r>
        <w:rPr>
          <w:bCs/>
          <w:b/>
        </w:rPr>
        <w:t xml:space="preserve">“</w:t>
      </w:r>
      <w:r>
        <w:rPr>
          <w:bCs/>
          <w:b/>
        </w:rPr>
        <w:t xml:space="preserve">samānavarcasā.</w:t>
      </w:r>
      <w:r>
        <w:rPr>
          <w:bCs/>
          <w:b/>
        </w:rPr>
        <w:t xml:space="preserve">”</w:t>
      </w:r>
      <w:r>
        <w:t xml:space="preserve"> </w:t>
      </w:r>
      <w:r>
        <w:t xml:space="preserve">Only</w:t>
      </w:r>
      <w:r>
        <w:t xml:space="preserve"> </w:t>
      </w:r>
      <w:r>
        <w:t xml:space="preserve">“</w:t>
      </w:r>
      <w:r>
        <w:t xml:space="preserve">vasi</w:t>
      </w:r>
      <w:r>
        <w:t xml:space="preserve">”</w:t>
      </w:r>
      <w:r>
        <w:t xml:space="preserve"> </w:t>
      </w:r>
      <w:r>
        <w:t xml:space="preserve">(the root) is taken there, not the affix</w:t>
      </w:r>
      <w:r>
        <w:t xml:space="preserve"> </w:t>
      </w:r>
      <w:r>
        <w:t xml:space="preserve">“</w:t>
      </w:r>
      <w:r>
        <w:t xml:space="preserve">vasu</w:t>
      </w:r>
      <w:r>
        <w:t xml:space="preserve">”</w:t>
      </w:r>
      <w:r>
        <w:t xml:space="preserve">: by</w:t>
      </w:r>
      <w:r>
        <w:t xml:space="preserve"> </w:t>
      </w:r>
      <w:r>
        <w:rPr>
          <w:bCs/>
          <w:b/>
        </w:rPr>
        <w:t xml:space="preserve">इक्श्तिपौ धातुनिर्देशे</w:t>
      </w:r>
      <w:r>
        <w:t xml:space="preserve"> </w:t>
      </w:r>
      <w:r>
        <w:t xml:space="preserve">(पा. सू. ३-३-१०८-२०, a vārttika) the</w:t>
      </w:r>
      <w:r>
        <w:t xml:space="preserve"> </w:t>
      </w:r>
      <w:r>
        <w:t xml:space="preserve">“</w:t>
      </w:r>
      <w:r>
        <w:t xml:space="preserve">i</w:t>
      </w:r>
      <w:r>
        <w:t xml:space="preserve">”</w:t>
      </w:r>
      <w:r>
        <w:t xml:space="preserve"> </w:t>
      </w:r>
      <w:r>
        <w:t xml:space="preserve">in</w:t>
      </w:r>
      <w:r>
        <w:t xml:space="preserve"> </w:t>
      </w:r>
      <w:r>
        <w:t xml:space="preserve">“</w:t>
      </w:r>
      <w:r>
        <w:t xml:space="preserve">vasi</w:t>
      </w:r>
      <w:r>
        <w:t xml:space="preserve">”</w:t>
      </w:r>
      <w:r>
        <w:t xml:space="preserve"> </w:t>
      </w:r>
      <w:r>
        <w:t xml:space="preserve">marks it as the root. Mādhavācārya too, deriving</w:t>
      </w:r>
      <w:r>
        <w:t xml:space="preserve"> </w:t>
      </w:r>
      <w:r>
        <w:t xml:space="preserve">“</w:t>
      </w:r>
      <w:r>
        <w:t xml:space="preserve">tasthuṣaḥ</w:t>
      </w:r>
      <w:r>
        <w:t xml:space="preserve">”</w:t>
      </w:r>
      <w:r>
        <w:t xml:space="preserve"> </w:t>
      </w:r>
      <w:r>
        <w:t xml:space="preserve">in the first mantra of this sūkta, obtained the</w:t>
      </w:r>
      <w:r>
        <w:t xml:space="preserve"> </w:t>
      </w:r>
      <w:r>
        <w:t xml:space="preserve">“</w:t>
      </w:r>
      <w:r>
        <w:t xml:space="preserve">ṣ</w:t>
      </w:r>
      <w:r>
        <w:t xml:space="preserve">”</w:t>
      </w:r>
      <w:r>
        <w:t xml:space="preserve"> </w:t>
      </w:r>
      <w:r>
        <w:t xml:space="preserve">of the affix</w:t>
      </w:r>
      <w:r>
        <w:t xml:space="preserve"> </w:t>
      </w:r>
      <w:r>
        <w:t xml:space="preserve">“</w:t>
      </w:r>
      <w:r>
        <w:t xml:space="preserve">vasu</w:t>
      </w:r>
      <w:r>
        <w:t xml:space="preserve">”</w:t>
      </w:r>
      <w:r>
        <w:t xml:space="preserve"> </w:t>
      </w:r>
      <w:r>
        <w:t xml:space="preserve">by</w:t>
      </w:r>
      <w:r>
        <w:t xml:space="preserve"> </w:t>
      </w:r>
      <w:r>
        <w:t xml:space="preserve">“</w:t>
      </w:r>
      <w:r>
        <w:t xml:space="preserve">ādeśapratyayayoḥ</w:t>
      </w:r>
      <w:r>
        <w:t xml:space="preserve">”</w:t>
      </w:r>
      <w:r>
        <w:t xml:space="preserve">; so here too it is right to give the</w:t>
      </w:r>
      <w:r>
        <w:t xml:space="preserve"> </w:t>
      </w:r>
      <w:r>
        <w:t xml:space="preserve">“</w:t>
      </w:r>
      <w:r>
        <w:t xml:space="preserve">ṣ</w:t>
      </w:r>
      <w:r>
        <w:t xml:space="preserve">”</w:t>
      </w:r>
      <w:r>
        <w:t xml:space="preserve"> </w:t>
      </w:r>
      <w:r>
        <w:t xml:space="preserve">by</w:t>
      </w:r>
      <w:r>
        <w:t xml:space="preserve"> </w:t>
      </w:r>
      <w:r>
        <w:t xml:space="preserve">“</w:t>
      </w:r>
      <w:r>
        <w:t xml:space="preserve">ādeśapratyayayoḥ.</w:t>
      </w:r>
      <w:r>
        <w:t xml:space="preserve">”</w:t>
      </w:r>
      <w:r>
        <w:t xml:space="preserve"> </w:t>
      </w:r>
      <w:r>
        <w:t xml:space="preserve">By</w:t>
      </w:r>
      <w:r>
        <w:t xml:space="preserve"> </w:t>
      </w:r>
      <w:r>
        <w:rPr>
          <w:bCs/>
          <w:b/>
        </w:rPr>
        <w:t xml:space="preserve">तत्पुरुषे तुल्यार्थ…</w:t>
      </w:r>
      <w:r>
        <w:t xml:space="preserve"> </w:t>
      </w:r>
      <w:r>
        <w:t xml:space="preserve">(पा. सू.</w:t>
      </w:r>
      <w:r>
        <w:t xml:space="preserve"> </w:t>
      </w:r>
      <w:r>
        <w:t xml:space="preserve">“</w:t>
      </w:r>
      <w:r>
        <w:t xml:space="preserve">६-२-२-</w:t>
      </w:r>
      <w:r>
        <w:t xml:space="preserve">”</w:t>
      </w:r>
      <w:r>
        <w:t xml:space="preserve"> </w:t>
      </w:r>
      <w:r>
        <w:t xml:space="preserve">as printed) the indeclinable first member keeps its accent. In the saṃhitā,</w:t>
      </w:r>
      <w:r>
        <w:t xml:space="preserve"> </w:t>
      </w:r>
      <w:r>
        <w:t xml:space="preserve">“</w:t>
      </w:r>
      <w:r>
        <w:t xml:space="preserve">saṃjagmāno + abibhyuṣā</w:t>
      </w:r>
      <w:r>
        <w:t xml:space="preserve">”</w:t>
      </w:r>
      <w:r>
        <w:t xml:space="preserve">:</w:t>
      </w:r>
      <w:r>
        <w:t xml:space="preserve"> </w:t>
      </w:r>
      <w:r>
        <w:rPr>
          <w:bCs/>
          <w:b/>
        </w:rPr>
        <w:t xml:space="preserve">एङः पदान्तादति</w:t>
      </w:r>
      <w:r>
        <w:t xml:space="preserve"> </w:t>
      </w:r>
      <w:r>
        <w:t xml:space="preserve">(पा. सू. ६-१-१०९) would make the</w:t>
      </w:r>
      <w:r>
        <w:t xml:space="preserve"> </w:t>
      </w:r>
      <w:r>
        <w:t xml:space="preserve">“</w:t>
      </w:r>
      <w:r>
        <w:t xml:space="preserve">e/o</w:t>
      </w:r>
      <w:r>
        <w:t xml:space="preserve">”</w:t>
      </w:r>
      <w:r>
        <w:t xml:space="preserve"> </w:t>
      </w:r>
      <w:r>
        <w:t xml:space="preserve">at a word-end and the following short</w:t>
      </w:r>
      <w:r>
        <w:t xml:space="preserve"> </w:t>
      </w:r>
      <w:r>
        <w:t xml:space="preserve">“</w:t>
      </w:r>
      <w:r>
        <w:t xml:space="preserve">a</w:t>
      </w:r>
      <w:r>
        <w:t xml:space="preserve">”</w:t>
      </w:r>
      <w:r>
        <w:t xml:space="preserve"> </w:t>
      </w:r>
      <w:r>
        <w:t xml:space="preserve">a single prior form, but</w:t>
      </w:r>
      <w:r>
        <w:t xml:space="preserve"> </w:t>
      </w:r>
      <w:r>
        <w:rPr>
          <w:bCs/>
          <w:b/>
        </w:rPr>
        <w:t xml:space="preserve">प्रकृत्यान्तःपादमव्यपरे</w:t>
      </w:r>
      <w:r>
        <w:t xml:space="preserve"> </w:t>
      </w:r>
      <w:r>
        <w:t xml:space="preserve">(पा. सू. ६-१-११५) keeps the natural form of such</w:t>
      </w:r>
      <w:r>
        <w:t xml:space="preserve"> </w:t>
      </w:r>
      <w:r>
        <w:t xml:space="preserve">“</w:t>
      </w:r>
      <w:r>
        <w:t xml:space="preserve">e/o</w:t>
      </w:r>
      <w:r>
        <w:t xml:space="preserve">”</w:t>
      </w:r>
      <w:r>
        <w:t xml:space="preserve"> </w:t>
      </w:r>
      <w:r>
        <w:t xml:space="preserve">inside a pāda before a short</w:t>
      </w:r>
      <w:r>
        <w:t xml:space="preserve"> </w:t>
      </w:r>
      <w:r>
        <w:t xml:space="preserve">“</w:t>
      </w:r>
      <w:r>
        <w:t xml:space="preserve">a</w:t>
      </w:r>
      <w:r>
        <w:t xml:space="preserve">”</w:t>
      </w:r>
      <w:r>
        <w:t xml:space="preserve"> </w:t>
      </w:r>
      <w:r>
        <w:t xml:space="preserve">not followed by</w:t>
      </w:r>
      <w:r>
        <w:t xml:space="preserve"> </w:t>
      </w:r>
      <w:r>
        <w:t xml:space="preserve">“</w:t>
      </w:r>
      <w:r>
        <w:t xml:space="preserve">v</w:t>
      </w:r>
      <w:r>
        <w:t xml:space="preserve">”</w:t>
      </w:r>
      <w:r>
        <w:t xml:space="preserve"> </w:t>
      </w:r>
      <w:r>
        <w:t xml:space="preserve">or</w:t>
      </w:r>
      <w:r>
        <w:t xml:space="preserve"> </w:t>
      </w:r>
      <w:r>
        <w:t xml:space="preserve">“</w:t>
      </w:r>
      <w:r>
        <w:t xml:space="preserve">y.</w:t>
      </w:r>
      <w:r>
        <w:t xml:space="preserve">”</w:t>
      </w:r>
      <w:r>
        <w:t xml:space="preserve"> </w:t>
      </w:r>
      <w:r>
        <w:rPr>
          <w:bCs/>
          <w:b/>
        </w:rPr>
        <w:t xml:space="preserve">“</w:t>
      </w:r>
      <w:r>
        <w:rPr>
          <w:bCs/>
          <w:b/>
        </w:rPr>
        <w:t xml:space="preserve">Mandū</w:t>
      </w:r>
      <w:r>
        <w:rPr>
          <w:bCs/>
          <w:b/>
        </w:rPr>
        <w:t xml:space="preserve">”</w:t>
      </w:r>
      <w:r>
        <w:t xml:space="preserve"> </w:t>
      </w:r>
      <w:r>
        <w:t xml:space="preserve">—</w:t>
      </w:r>
      <w:r>
        <w:t xml:space="preserve"> </w:t>
      </w:r>
      <w:r>
        <w:t xml:space="preserve">“</w:t>
      </w:r>
      <w:r>
        <w:t xml:space="preserve">madi stuti-moda-mada-svapna-kānti-gatiṣu</w:t>
      </w:r>
      <w:r>
        <w:t xml:space="preserve">”</w:t>
      </w:r>
      <w:r>
        <w:t xml:space="preserve">: the root is</w:t>
      </w:r>
      <w:r>
        <w:t xml:space="preserve"> </w:t>
      </w:r>
      <w:r>
        <w:t xml:space="preserve">“</w:t>
      </w:r>
      <w:r>
        <w:t xml:space="preserve">i</w:t>
      </w:r>
      <w:r>
        <w:t xml:space="preserve">”</w:t>
      </w:r>
      <w:r>
        <w:t xml:space="preserve">-marked, so</w:t>
      </w:r>
      <w:r>
        <w:t xml:space="preserve"> </w:t>
      </w:r>
      <w:r>
        <w:rPr>
          <w:bCs/>
          <w:b/>
        </w:rPr>
        <w:t xml:space="preserve">इदितो नुम् धातोः</w:t>
      </w:r>
      <w:r>
        <w:t xml:space="preserve"> </w:t>
      </w:r>
      <w:r>
        <w:t xml:space="preserve">(पा. सू. ७-१-५८)</w:t>
      </w:r>
      <w:r>
        <w:t xml:space="preserve"> </w:t>
      </w:r>
      <w:r>
        <w:t xml:space="preserve">“</w:t>
      </w:r>
      <w:r>
        <w:t xml:space="preserve">num</w:t>
      </w:r>
      <w:r>
        <w:t xml:space="preserve">”</w:t>
      </w:r>
      <w:r>
        <w:t xml:space="preserve">;</w:t>
      </w:r>
      <w:r>
        <w:t xml:space="preserve"> </w:t>
      </w:r>
      <w:r>
        <w:rPr>
          <w:bCs/>
          <w:b/>
        </w:rPr>
        <w:t xml:space="preserve">खरुशङ्कुपीयुनीलङ्गुलिगु</w:t>
      </w:r>
      <w:r>
        <w:t xml:space="preserve"> </w:t>
      </w:r>
      <w:r>
        <w:t xml:space="preserve">(उ. सू. १-३६) forms five words with the affix</w:t>
      </w:r>
      <w:r>
        <w:t xml:space="preserve"> </w:t>
      </w:r>
      <w:r>
        <w:t xml:space="preserve">“</w:t>
      </w:r>
      <w:r>
        <w:t xml:space="preserve">ku</w:t>
      </w:r>
      <w:r>
        <w:t xml:space="preserve">”</w:t>
      </w:r>
      <w:r>
        <w:t xml:space="preserve"> </w:t>
      </w:r>
      <w:r>
        <w:t xml:space="preserve">by nipātana; since the sūtra’s words are given without case-endings,</w:t>
      </w:r>
      <w:r>
        <w:t xml:space="preserve"> </w:t>
      </w:r>
      <w:r>
        <w:t xml:space="preserve">“</w:t>
      </w:r>
      <w:r>
        <w:t xml:space="preserve">ku</w:t>
      </w:r>
      <w:r>
        <w:t xml:space="preserve">”</w:t>
      </w:r>
      <w:r>
        <w:t xml:space="preserve"> </w:t>
      </w:r>
      <w:r>
        <w:t xml:space="preserve">comes after other roots too, as after</w:t>
      </w:r>
      <w:r>
        <w:t xml:space="preserve"> </w:t>
      </w:r>
      <w:r>
        <w:t xml:space="preserve">“</w:t>
      </w:r>
      <w:r>
        <w:t xml:space="preserve">han,</w:t>
      </w:r>
      <w:r>
        <w:t xml:space="preserve">”</w:t>
      </w:r>
      <w:r>
        <w:t xml:space="preserve"> </w:t>
      </w:r>
      <w:r>
        <w:t xml:space="preserve">and so after</w:t>
      </w:r>
      <w:r>
        <w:t xml:space="preserve"> </w:t>
      </w:r>
      <w:r>
        <w:t xml:space="preserve">“</w:t>
      </w:r>
      <w:r>
        <w:t xml:space="preserve">mad</w:t>
      </w:r>
      <w:r>
        <w:t xml:space="preserve">”</w:t>
      </w:r>
      <w:r>
        <w:t xml:space="preserve">; or by</w:t>
      </w:r>
      <w:r>
        <w:t xml:space="preserve"> </w:t>
      </w:r>
      <w:r>
        <w:rPr>
          <w:bCs/>
          <w:b/>
        </w:rPr>
        <w:t xml:space="preserve">मृगय्वादयश्च</w:t>
      </w:r>
      <w:r>
        <w:t xml:space="preserve"> </w:t>
      </w:r>
      <w:r>
        <w:t xml:space="preserve">(उ. सू. १-३७ [?], the last digit unclear), the</w:t>
      </w:r>
      <w:r>
        <w:t xml:space="preserve"> </w:t>
      </w:r>
      <w:r>
        <w:t xml:space="preserve">“</w:t>
      </w:r>
      <w:r>
        <w:t xml:space="preserve">mṛgayu</w:t>
      </w:r>
      <w:r>
        <w:t xml:space="preserve">”</w:t>
      </w:r>
      <w:r>
        <w:t xml:space="preserve">-list being an open class (as with</w:t>
      </w:r>
      <w:r>
        <w:t xml:space="preserve"> </w:t>
      </w:r>
      <w:r>
        <w:t xml:space="preserve">“</w:t>
      </w:r>
      <w:r>
        <w:t xml:space="preserve">kaṇḍuḥ,</w:t>
      </w:r>
      <w:r>
        <w:t xml:space="preserve">”</w:t>
      </w:r>
      <w:r>
        <w:t xml:space="preserve"> </w:t>
      </w:r>
      <w:r>
        <w:t xml:space="preserve">“</w:t>
      </w:r>
      <w:r>
        <w:t xml:space="preserve">pīluḥ</w:t>
      </w:r>
      <w:r>
        <w:t xml:space="preserve">”</w:t>
      </w:r>
      <w:r>
        <w:t xml:space="preserve">),</w:t>
      </w:r>
      <w:r>
        <w:t xml:space="preserve"> </w:t>
      </w:r>
      <w:r>
        <w:t xml:space="preserve">“</w:t>
      </w:r>
      <w:r>
        <w:t xml:space="preserve">ku</w:t>
      </w:r>
      <w:r>
        <w:t xml:space="preserve">”</w:t>
      </w:r>
      <w:r>
        <w:t xml:space="preserve"> </w:t>
      </w:r>
      <w:r>
        <w:t xml:space="preserve">after</w:t>
      </w:r>
      <w:r>
        <w:t xml:space="preserve"> </w:t>
      </w:r>
      <w:r>
        <w:t xml:space="preserve">“</w:t>
      </w:r>
      <w:r>
        <w:t xml:space="preserve">mad</w:t>
      </w:r>
      <w:r>
        <w:t xml:space="preserve">”</w:t>
      </w:r>
      <w:r>
        <w:t xml:space="preserve">; end-acute by the affix accent. In the dual,</w:t>
      </w:r>
      <w:r>
        <w:t xml:space="preserve"> </w:t>
      </w:r>
      <w:r>
        <w:t xml:space="preserve">“</w:t>
      </w:r>
      <w:r>
        <w:t xml:space="preserve">mandu + au</w:t>
      </w:r>
      <w:r>
        <w:t xml:space="preserve">”</w:t>
      </w:r>
      <w:r>
        <w:t xml:space="preserve">:</w:t>
      </w:r>
      <w:r>
        <w:t xml:space="preserve"> </w:t>
      </w:r>
      <w:r>
        <w:rPr>
          <w:bCs/>
          <w:b/>
        </w:rPr>
        <w:t xml:space="preserve">प्रथमयोः पूर्वसवर्णः</w:t>
      </w:r>
      <w:r>
        <w:t xml:space="preserve"> </w:t>
      </w:r>
      <w:r>
        <w:t xml:space="preserve">gives the long vowel; on the instrumental-singular view,</w:t>
      </w:r>
      <w:r>
        <w:t xml:space="preserve"> </w:t>
      </w:r>
      <w:r>
        <w:rPr>
          <w:bCs/>
          <w:b/>
        </w:rPr>
        <w:t xml:space="preserve">सुपां सुलुक्…</w:t>
      </w:r>
      <w:r>
        <w:t xml:space="preserve"> </w:t>
      </w:r>
      <w:r>
        <w:t xml:space="preserve">(पा. सू. ७-१-३९) gives the long vowel.</w:t>
      </w:r>
      <w:r>
        <w:t xml:space="preserve"> </w:t>
      </w:r>
      <w:r>
        <w:rPr>
          <w:bCs/>
          <w:b/>
        </w:rPr>
        <w:t xml:space="preserve">“</w:t>
      </w:r>
      <w:r>
        <w:rPr>
          <w:bCs/>
          <w:b/>
        </w:rPr>
        <w:t xml:space="preserve">Samānavarcasā</w:t>
      </w:r>
      <w:r>
        <w:rPr>
          <w:bCs/>
          <w:b/>
        </w:rPr>
        <w:t xml:space="preserve">”</w:t>
      </w:r>
      <w:r>
        <w:t xml:space="preserve"> </w:t>
      </w:r>
      <w:r>
        <w:t xml:space="preserve">— dual</w:t>
      </w:r>
      <w:r>
        <w:t xml:space="preserve"> </w:t>
      </w:r>
      <w:r>
        <w:t xml:space="preserve">“</w:t>
      </w:r>
      <w:r>
        <w:t xml:space="preserve">samānaṃ varco yayos tau,</w:t>
      </w:r>
      <w:r>
        <w:t xml:space="preserve">”</w:t>
      </w:r>
      <w:r>
        <w:t xml:space="preserve"> </w:t>
      </w:r>
      <w:r>
        <w:t xml:space="preserve">or instrumental singular</w:t>
      </w:r>
      <w:r>
        <w:t xml:space="preserve"> </w:t>
      </w:r>
      <w:r>
        <w:t xml:space="preserve">“</w:t>
      </w:r>
      <w:r>
        <w:t xml:space="preserve">samānaṃ varco yasya saḥ</w:t>
      </w:r>
      <w:r>
        <w:t xml:space="preserve">”</w:t>
      </w:r>
      <w:r>
        <w:t xml:space="preserve"> </w:t>
      </w:r>
      <w:r>
        <w:t xml:space="preserve">— a bahuvrīhi; in the dual</w:t>
      </w:r>
      <w:r>
        <w:t xml:space="preserve"> </w:t>
      </w:r>
      <w:r>
        <w:t xml:space="preserve">“</w:t>
      </w:r>
      <w:r>
        <w:t xml:space="preserve">ā</w:t>
      </w:r>
      <w:r>
        <w:t xml:space="preserve">”</w:t>
      </w:r>
      <w:r>
        <w:t xml:space="preserve"> </w:t>
      </w:r>
      <w:r>
        <w:t xml:space="preserve">by</w:t>
      </w:r>
      <w:r>
        <w:t xml:space="preserve"> </w:t>
      </w:r>
      <w:r>
        <w:t xml:space="preserve">“</w:t>
      </w:r>
      <w:r>
        <w:t xml:space="preserve">supāṃ suluk…</w:t>
      </w:r>
      <w:r>
        <w:t xml:space="preserve">”</w:t>
      </w:r>
      <w:r>
        <w:t xml:space="preserve">;</w:t>
      </w:r>
      <w:r>
        <w:t xml:space="preserve"> </w:t>
      </w:r>
      <w:r>
        <w:t xml:space="preserve">“</w:t>
      </w:r>
      <w:r>
        <w:t xml:space="preserve">samāna</w:t>
      </w:r>
      <w:r>
        <w:t xml:space="preserve">”</w:t>
      </w:r>
      <w:r>
        <w:t xml:space="preserve"> </w:t>
      </w:r>
      <w:r>
        <w:t xml:space="preserve">is end-acute by the stem accent, which stays in the bahuvrīhi by</w:t>
      </w:r>
      <w:r>
        <w:t xml:space="preserve"> </w:t>
      </w:r>
      <w:r>
        <w:rPr>
          <w:bCs/>
          <w:b/>
        </w:rPr>
        <w:t xml:space="preserve">बहुव्रीहौ प्रकृत्या पूर्वपदम्</w:t>
      </w:r>
      <w:r>
        <w:t xml:space="preserve"> </w:t>
      </w:r>
      <w:r>
        <w:t xml:space="preserve">(पा. सू. ६-२-१). ॥७॥</w:t>
      </w:r>
    </w:p>
    <w:p>
      <w:r>
        <w:pict>
          <v:rect style="width:0;height:1.5pt" o:hralign="center" o:hrstd="t" o:hr="t"/>
        </w:pict>
      </w:r>
    </w:p>
    <w:bookmarkEnd w:id="279"/>
    <w:bookmarkStart w:id="280" w:name="sūkta-6-the-eighth-mantra"/>
    <w:p>
      <w:pPr>
        <w:pStyle w:val="Heading3"/>
      </w:pPr>
      <w:r>
        <w:t xml:space="preserve">Sūkta 6, The Eighth Mantra</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अ॒न॒व॒द्यैर॒भिद्यु॑भिर्म॒खः सह॑स्वदर्चति ।</w:t>
      </w:r>
      <w:r>
        <w:t xml:space="preserve"> </w:t>
      </w:r>
      <w:r>
        <w:t xml:space="preserve">ग॒णैरिन्द्र॑स्य॒ काम्यैः॑ ॥८॥</w:t>
      </w:r>
    </w:p>
    <w:p>
      <w:pPr>
        <w:pStyle w:val="BlockText"/>
      </w:pPr>
      <w:r>
        <w:rPr>
          <w:iCs/>
          <w:i/>
        </w:rPr>
        <w:t xml:space="preserve">anavadyáir abhídyubhir makháḥ sáhasvad arcati |</w:t>
      </w:r>
      <w:r>
        <w:t xml:space="preserve"> </w:t>
      </w:r>
      <w:r>
        <w:rPr>
          <w:iCs/>
          <w:i/>
        </w:rPr>
        <w:t xml:space="preserve">gaṇáir índrasya kā́myaiḥ ||8||</w:t>
      </w:r>
    </w:p>
    <w:bookmarkEnd w:id="280"/>
    <w:bookmarkStart w:id="281" w:name="Xca605cc687fcba7d0721033d7734df508b0f8e8"/>
    <w:p>
      <w:pPr>
        <w:pStyle w:val="Heading3"/>
      </w:pPr>
      <w:r>
        <w:t xml:space="preserve">Page 243 — Rik 6.8: Pada, Sāyaṇa-bhāṣya, grammar (characterized), Pada-meanings</w:t>
      </w:r>
    </w:p>
    <w:p>
      <w:pPr>
        <w:pStyle w:val="FirstParagraph"/>
      </w:pPr>
      <w:r>
        <w:rPr>
          <w:iCs/>
          <w:i/>
        </w:rPr>
        <w:t xml:space="preserve">(Page header:</w:t>
      </w:r>
      <w:r>
        <w:rPr>
          <w:iCs/>
          <w:i/>
        </w:rPr>
        <w:t xml:space="preserve"> </w:t>
      </w:r>
      <w:r>
        <w:rPr>
          <w:iCs/>
          <w:i/>
        </w:rPr>
        <w:t xml:space="preserve">“</w:t>
      </w:r>
      <w:r>
        <w:rPr>
          <w:iCs/>
          <w:i/>
        </w:rPr>
        <w:t xml:space="preserve">Aṣṭaka 1, Adhyāya 1, Varga 12 · Ṛgveda-saṃhitā.</w:t>
      </w:r>
      <w:r>
        <w:rPr>
          <w:iCs/>
          <w:i/>
        </w:rPr>
        <w:t xml:space="preserve">”</w:t>
      </w:r>
      <w:r>
        <w:rPr>
          <w:iCs/>
          <w:i/>
        </w:rPr>
        <w:t xml:space="preserve"> </w:t>
      </w:r>
      <w:r>
        <w:rPr>
          <w:iCs/>
          <w:i/>
        </w:rPr>
        <w:t xml:space="preserve">Sanskrit printed in Kannada script; re-read from the better scan.)</w:t>
      </w:r>
    </w:p>
    <w:p>
      <w:pPr>
        <w:pStyle w:val="BodyText"/>
      </w:pPr>
      <w:r>
        <w:rPr>
          <w:bCs/>
          <w:b/>
        </w:rPr>
        <w:t xml:space="preserve">॥ Pada-pāṭhaḥ ॥</w:t>
      </w:r>
    </w:p>
    <w:p>
      <w:pPr>
        <w:pStyle w:val="BlockText"/>
      </w:pPr>
      <w:r>
        <w:t xml:space="preserve">अनवद्यैः । अभिद्युऽभिः । मखः । सहस्वत् । अर्चति ।</w:t>
      </w:r>
      <w:r>
        <w:t xml:space="preserve"> </w:t>
      </w:r>
      <w:r>
        <w:t xml:space="preserve">गणैः । इन्द्रस्य । काम्यैः ॥८॥</w:t>
      </w:r>
    </w:p>
    <w:p>
      <w:pPr>
        <w:pStyle w:val="FirstParagraph"/>
      </w:pPr>
      <w:r>
        <w:rPr>
          <w:bCs/>
          <w:b/>
        </w:rPr>
        <w:t xml:space="preserve">॥ Sāyaṇa-bhāṣyam ॥</w:t>
      </w:r>
    </w:p>
    <w:p>
      <w:pPr>
        <w:pStyle w:val="BlockText"/>
      </w:pPr>
      <w:r>
        <w:t xml:space="preserve">मखः प्रवर्तमानोऽयं यज्ञोऽनवद्यैर्दोषरहितैरभिद्युभिर्द्युलोकमभिगतैः काम्यैः फलप्रदत्वेन कामयितव्यैर्गणैर्मरुत्समूहैः सहितमिन्द्रस्येन्द्रं सहस्वद्बलोपेतं यथा भवति तथार्चति । पूजयति । अयं यज्ञो मरुत इन्द्रं चातिशयेन प्रीणयतीत्यर्थः । यज्ञ इत्यादिषु पंचदशसु यज्ञनामसु मखो विष्णुरिति पठितम् । चतुश्चत्वारिंशत्सु अर्चतिकर्मसु अर्चति गायतीति पठितम् ॥</w:t>
      </w:r>
      <w:r>
        <w:t xml:space="preserve"> </w:t>
      </w:r>
      <w:r>
        <w:rPr>
          <w:iCs/>
          <w:i/>
        </w:rPr>
        <w:t xml:space="preserve">makhaḥ pravartamāno ’yaṃ yajño ’navadyair doṣa-rahitair abhidyubhir dyuloka-m abhigataiḥ kāmyaiḥ phala-pradatvena kāmayitavyair gaṇair marut-samūhaiḥ sahitam indrasyendraṃ sahasvad-balopetaṃ yathā bhavati tathārcati | pūjayati | ayaṃ yajño maruta indraṃ cātiśayena prīṇayatīty arthaḥ | yajña ity ādiṣu pañcadaśasu yajña-nāmasu makho viṣṇur iti paṭhitam | catuścatvāriṃśatsu arcati-karmasu arcati gāyatīti paṭhitam ||</w:t>
      </w:r>
      <w:r>
        <w:t xml:space="preserve"> </w:t>
      </w:r>
      <w:r>
        <w:rPr>
          <w:iCs/>
          <w:i/>
        </w:rPr>
        <w:t xml:space="preserve">(Reading notes: the printed</w:t>
      </w:r>
      <w:r>
        <w:rPr>
          <w:iCs/>
          <w:i/>
        </w:rPr>
        <w:t xml:space="preserve"> </w:t>
      </w:r>
      <w:r>
        <w:rPr>
          <w:iCs/>
          <w:i/>
        </w:rPr>
        <w:t xml:space="preserve">“</w:t>
      </w:r>
      <w:r>
        <w:rPr>
          <w:iCs/>
          <w:i/>
        </w:rPr>
        <w:t xml:space="preserve">dyulokam abhigataiḥ</w:t>
      </w:r>
      <w:r>
        <w:rPr>
          <w:iCs/>
          <w:i/>
        </w:rPr>
        <w:t xml:space="preserve">”</w:t>
      </w:r>
      <w:r>
        <w:rPr>
          <w:iCs/>
          <w:i/>
        </w:rPr>
        <w:t xml:space="preserve"> </w:t>
      </w:r>
      <w:r>
        <w:rPr>
          <w:iCs/>
          <w:i/>
        </w:rPr>
        <w:t xml:space="preserve">is run together and I divide it as shown; the Kannada Pada-meaning, given below, confirms the sense</w:t>
      </w:r>
      <w:r>
        <w:rPr>
          <w:iCs/>
          <w:i/>
        </w:rPr>
        <w:t xml:space="preserve"> </w:t>
      </w:r>
      <w:r>
        <w:rPr>
          <w:iCs/>
          <w:i/>
        </w:rPr>
        <w:t xml:space="preserve">“</w:t>
      </w:r>
      <w:r>
        <w:rPr>
          <w:iCs/>
          <w:i/>
        </w:rPr>
        <w:t xml:space="preserve">joined with the Marut-groups who have gone to the heavenly world</w:t>
      </w:r>
      <w:r>
        <w:rPr>
          <w:iCs/>
          <w:i/>
        </w:rPr>
        <w:t xml:space="preserve">”</w:t>
      </w:r>
      <w:r>
        <w:rPr>
          <w:iCs/>
          <w:i/>
        </w:rPr>
        <w:t xml:space="preserve">;</w:t>
      </w:r>
      <w:r>
        <w:rPr>
          <w:iCs/>
          <w:i/>
        </w:rPr>
        <w:t xml:space="preserve"> </w:t>
      </w:r>
      <w:r>
        <w:rPr>
          <w:iCs/>
          <w:i/>
        </w:rPr>
        <w:t xml:space="preserve">“</w:t>
      </w:r>
      <w:r>
        <w:rPr>
          <w:iCs/>
          <w:i/>
        </w:rPr>
        <w:t xml:space="preserve">indrasyendram</w:t>
      </w:r>
      <w:r>
        <w:rPr>
          <w:iCs/>
          <w:i/>
        </w:rPr>
        <w:t xml:space="preserve">”</w:t>
      </w:r>
      <w:r>
        <w:rPr>
          <w:iCs/>
          <w:i/>
        </w:rPr>
        <w:t xml:space="preserve"> </w:t>
      </w:r>
      <w:r>
        <w:rPr>
          <w:iCs/>
          <w:i/>
        </w:rPr>
        <w:t xml:space="preserve">is a printed oddity (the genitive</w:t>
      </w:r>
      <w:r>
        <w:rPr>
          <w:iCs/>
          <w:i/>
        </w:rPr>
        <w:t xml:space="preserve"> </w:t>
      </w:r>
      <w:r>
        <w:rPr>
          <w:iCs/>
          <w:i/>
        </w:rPr>
        <w:t xml:space="preserve">“</w:t>
      </w:r>
      <w:r>
        <w:rPr>
          <w:iCs/>
          <w:i/>
        </w:rPr>
        <w:t xml:space="preserve">indrasya</w:t>
      </w:r>
      <w:r>
        <w:rPr>
          <w:iCs/>
          <w:i/>
        </w:rPr>
        <w:t xml:space="preserve">”</w:t>
      </w:r>
      <w:r>
        <w:rPr>
          <w:iCs/>
          <w:i/>
        </w:rPr>
        <w:t xml:space="preserve"> </w:t>
      </w:r>
      <w:r>
        <w:rPr>
          <w:iCs/>
          <w:i/>
        </w:rPr>
        <w:t xml:space="preserve">followed by the accusative</w:t>
      </w:r>
      <w:r>
        <w:rPr>
          <w:iCs/>
          <w:i/>
        </w:rPr>
        <w:t xml:space="preserve"> </w:t>
      </w:r>
      <w:r>
        <w:rPr>
          <w:iCs/>
          <w:i/>
        </w:rPr>
        <w:t xml:space="preserve">“</w:t>
      </w:r>
      <w:r>
        <w:rPr>
          <w:iCs/>
          <w:i/>
        </w:rPr>
        <w:t xml:space="preserve">indram</w:t>
      </w:r>
      <w:r>
        <w:rPr>
          <w:iCs/>
          <w:i/>
        </w:rPr>
        <w:t xml:space="preserve">”</w:t>
      </w:r>
      <w:r>
        <w:rPr>
          <w:iCs/>
          <w:i/>
        </w:rPr>
        <w:t xml:space="preserve">) given as printed.)</w:t>
      </w:r>
    </w:p>
    <w:p>
      <w:pPr>
        <w:pStyle w:val="FirstParagraph"/>
      </w:pPr>
      <w:r>
        <w:rPr>
          <w:bCs/>
          <w:b/>
        </w:rPr>
        <w:t xml:space="preserve">Translation:</w:t>
      </w:r>
      <w:r>
        <w:t xml:space="preserve"> </w:t>
      </w:r>
      <w:r>
        <w:t xml:space="preserve">“</w:t>
      </w:r>
      <w:r>
        <w:t xml:space="preserve">‘</w:t>
      </w:r>
      <w:r>
        <w:t xml:space="preserve">Makhaḥ</w:t>
      </w:r>
      <w:r>
        <w:t xml:space="preserve">’</w:t>
      </w:r>
      <w:r>
        <w:t xml:space="preserve"> </w:t>
      </w:r>
      <w:r>
        <w:t xml:space="preserve">— this sacrifice, now going on,</w:t>
      </w:r>
      <w:r>
        <w:t xml:space="preserve"> </w:t>
      </w:r>
      <w:r>
        <w:t xml:space="preserve">‘</w:t>
      </w:r>
      <w:r>
        <w:t xml:space="preserve">arcati</w:t>
      </w:r>
      <w:r>
        <w:t xml:space="preserve">’</w:t>
      </w:r>
      <w:r>
        <w:t xml:space="preserve"> </w:t>
      </w:r>
      <w:r>
        <w:t xml:space="preserve">— honours, worships — Indra in such a manner that he becomes full of overpowering strength (</w:t>
      </w:r>
      <w:r>
        <w:t xml:space="preserve">‘</w:t>
      </w:r>
      <w:r>
        <w:t xml:space="preserve">sahasvat</w:t>
      </w:r>
      <w:r>
        <w:t xml:space="preserve">’</w:t>
      </w:r>
      <w:r>
        <w:t xml:space="preserve">), together with the Marut-groups (</w:t>
      </w:r>
      <w:r>
        <w:t xml:space="preserve">‘</w:t>
      </w:r>
      <w:r>
        <w:t xml:space="preserve">gaṇaiḥ</w:t>
      </w:r>
      <w:r>
        <w:t xml:space="preserve">’</w:t>
      </w:r>
      <w:r>
        <w:t xml:space="preserve">), who are faultless (</w:t>
      </w:r>
      <w:r>
        <w:t xml:space="preserve">‘</w:t>
      </w:r>
      <w:r>
        <w:t xml:space="preserve">anavadyaiḥ</w:t>
      </w:r>
      <w:r>
        <w:t xml:space="preserve">’</w:t>
      </w:r>
      <w:r>
        <w:t xml:space="preserve">), who have gone to the heavenly world (</w:t>
      </w:r>
      <w:r>
        <w:t xml:space="preserve">‘</w:t>
      </w:r>
      <w:r>
        <w:t xml:space="preserve">abhidyubhiḥ</w:t>
      </w:r>
      <w:r>
        <w:t xml:space="preserve">’</w:t>
      </w:r>
      <w:r>
        <w:t xml:space="preserve">), who are desirable (</w:t>
      </w:r>
      <w:r>
        <w:t xml:space="preserve">‘</w:t>
      </w:r>
      <w:r>
        <w:t xml:space="preserve">kāmyaiḥ</w:t>
      </w:r>
      <w:r>
        <w:t xml:space="preserve">’</w:t>
      </w:r>
      <w:r>
        <w:t xml:space="preserve">) because they bestow fruit. The sense: this sacrifice gratifies both the Maruts and Indra exceedingly. Among the fifteen names of sacrifice beginning with</w:t>
      </w:r>
      <w:r>
        <w:t xml:space="preserve"> </w:t>
      </w:r>
      <w:r>
        <w:t xml:space="preserve">‘</w:t>
      </w:r>
      <w:r>
        <w:t xml:space="preserve">yajña,</w:t>
      </w:r>
      <w:r>
        <w:t xml:space="preserve">’</w:t>
      </w:r>
      <w:r>
        <w:t xml:space="preserve"> </w:t>
      </w:r>
      <w:r>
        <w:t xml:space="preserve">‘</w:t>
      </w:r>
      <w:r>
        <w:t xml:space="preserve">makhaḥ</w:t>
      </w:r>
      <w:r>
        <w:t xml:space="preserve">’</w:t>
      </w:r>
      <w:r>
        <w:t xml:space="preserve"> </w:t>
      </w:r>
      <w:r>
        <w:t xml:space="preserve">and</w:t>
      </w:r>
      <w:r>
        <w:t xml:space="preserve"> </w:t>
      </w:r>
      <w:r>
        <w:t xml:space="preserve">‘</w:t>
      </w:r>
      <w:r>
        <w:t xml:space="preserve">viṣṇuḥ</w:t>
      </w:r>
      <w:r>
        <w:t xml:space="preserve">’</w:t>
      </w:r>
      <w:r>
        <w:t xml:space="preserve"> </w:t>
      </w:r>
      <w:r>
        <w:t xml:space="preserve">are read; among the forty-four verbs of honouring,</w:t>
      </w:r>
      <w:r>
        <w:t xml:space="preserve"> </w:t>
      </w:r>
      <w:r>
        <w:t xml:space="preserve">‘</w:t>
      </w:r>
      <w:r>
        <w:t xml:space="preserve">arcati</w:t>
      </w:r>
      <w:r>
        <w:t xml:space="preserve">’</w:t>
      </w:r>
      <w:r>
        <w:t xml:space="preserve"> </w:t>
      </w:r>
      <w:r>
        <w:t xml:space="preserve">and</w:t>
      </w:r>
      <w:r>
        <w:t xml:space="preserve"> </w:t>
      </w:r>
      <w:r>
        <w:t xml:space="preserve">‘</w:t>
      </w:r>
      <w:r>
        <w:t xml:space="preserve">gāyati</w:t>
      </w:r>
      <w:r>
        <w:t xml:space="preserve">’</w:t>
      </w:r>
      <w:r>
        <w:t xml:space="preserve"> </w:t>
      </w:r>
      <w:r>
        <w:t xml:space="preserve">are read.</w:t>
      </w:r>
      <w:r>
        <w:t xml:space="preserve">”</w:t>
      </w:r>
    </w:p>
    <w:p>
      <w:pPr>
        <w:pStyle w:val="BodyText"/>
      </w:pPr>
      <w:r>
        <w:rPr>
          <w:bCs/>
          <w:b/>
        </w:rPr>
        <w:t xml:space="preserve">Grammar of the Bhāṣya (characterized, references as printed):</w:t>
      </w:r>
      <w:r>
        <w:t xml:space="preserve"> </w:t>
      </w:r>
      <w:r>
        <w:t xml:space="preserve">“</w:t>
      </w:r>
      <w:r>
        <w:t xml:space="preserve">Anavadyaiḥ</w:t>
      </w:r>
      <w:r>
        <w:t xml:space="preserve">”</w:t>
      </w:r>
      <w:r>
        <w:t xml:space="preserve"> </w:t>
      </w:r>
      <w:r>
        <w:t xml:space="preserve">—</w:t>
      </w:r>
      <w:r>
        <w:t xml:space="preserve"> </w:t>
      </w:r>
      <w:r>
        <w:t xml:space="preserve">“</w:t>
      </w:r>
      <w:r>
        <w:t xml:space="preserve">na vidyate ’vadyaṃ yeṣāṃ te ’navadyāḥ</w:t>
      </w:r>
      <w:r>
        <w:t xml:space="preserve">”</w:t>
      </w:r>
      <w:r>
        <w:t xml:space="preserve"> </w:t>
      </w:r>
      <w:r>
        <w:t xml:space="preserve">— the end-acute of the second member by</w:t>
      </w:r>
      <w:r>
        <w:t xml:space="preserve"> </w:t>
      </w:r>
      <w:r>
        <w:t xml:space="preserve">“</w:t>
      </w:r>
      <w:r>
        <w:t xml:space="preserve">nañsubhyām.</w:t>
      </w:r>
      <w:r>
        <w:t xml:space="preserve">”</w:t>
      </w:r>
      <w:r>
        <w:t xml:space="preserve"> </w:t>
      </w:r>
      <w:r>
        <w:t xml:space="preserve">“</w:t>
      </w:r>
      <w:r>
        <w:t xml:space="preserve">Abhidyubhiḥ</w:t>
      </w:r>
      <w:r>
        <w:t xml:space="preserve">”</w:t>
      </w:r>
      <w:r>
        <w:t xml:space="preserve"> </w:t>
      </w:r>
      <w:r>
        <w:t xml:space="preserve">—</w:t>
      </w:r>
      <w:r>
        <w:t xml:space="preserve"> </w:t>
      </w:r>
      <w:r>
        <w:t xml:space="preserve">“</w:t>
      </w:r>
      <w:r>
        <w:t xml:space="preserve">abhigatā dyaur yais te ’bhidyavaḥ, tair abhidyubhiḥ</w:t>
      </w:r>
      <w:r>
        <w:t xml:space="preserve">”</w:t>
      </w:r>
      <w:r>
        <w:t xml:space="preserve">;</w:t>
      </w:r>
      <w:r>
        <w:t xml:space="preserve"> </w:t>
      </w:r>
      <w:r>
        <w:t xml:space="preserve">“</w:t>
      </w:r>
      <w:r>
        <w:t xml:space="preserve">abhi</w:t>
      </w:r>
      <w:r>
        <w:t xml:space="preserve">”</w:t>
      </w:r>
      <w:r>
        <w:t xml:space="preserve"> </w:t>
      </w:r>
      <w:r>
        <w:t xml:space="preserve">is end-acute by the stem accent, which alone remains by the bahuvrīhi first-member rule.</w:t>
      </w:r>
      <w:r>
        <w:t xml:space="preserve"> </w:t>
      </w:r>
      <w:r>
        <w:t xml:space="preserve">“</w:t>
      </w:r>
      <w:r>
        <w:t xml:space="preserve">Makhaḥ</w:t>
      </w:r>
      <w:r>
        <w:t xml:space="preserve">”</w:t>
      </w:r>
      <w:r>
        <w:t xml:space="preserve"> </w:t>
      </w:r>
      <w:r>
        <w:t xml:space="preserve">— the stem accent.</w:t>
      </w:r>
      <w:r>
        <w:t xml:space="preserve"> </w:t>
      </w:r>
      <w:r>
        <w:t xml:space="preserve">“</w:t>
      </w:r>
      <w:r>
        <w:t xml:space="preserve">Sahasvat</w:t>
      </w:r>
      <w:r>
        <w:t xml:space="preserve">”</w:t>
      </w:r>
      <w:r>
        <w:t xml:space="preserve"> </w:t>
      </w:r>
      <w:r>
        <w:t xml:space="preserve">—</w:t>
      </w:r>
      <w:r>
        <w:t xml:space="preserve"> </w:t>
      </w:r>
      <w:r>
        <w:t xml:space="preserve">“</w:t>
      </w:r>
      <w:r>
        <w:t xml:space="preserve">saho balam asminn arcanakarmaṇy astīti sahasvat</w:t>
      </w:r>
      <w:r>
        <w:t xml:space="preserve">”</w:t>
      </w:r>
      <w:r>
        <w:t xml:space="preserve">;</w:t>
      </w:r>
      <w:r>
        <w:t xml:space="preserve"> </w:t>
      </w:r>
      <w:r>
        <w:rPr>
          <w:bCs/>
          <w:b/>
        </w:rPr>
        <w:t xml:space="preserve">तसौ मत्वर्थे</w:t>
      </w:r>
      <w:r>
        <w:t xml:space="preserve"> </w:t>
      </w:r>
      <w:r>
        <w:t xml:space="preserve">(पा. १-४-१९) — the</w:t>
      </w:r>
      <w:r>
        <w:t xml:space="preserve"> </w:t>
      </w:r>
      <w:r>
        <w:t xml:space="preserve">“</w:t>
      </w:r>
      <w:r>
        <w:t xml:space="preserve">bha</w:t>
      </w:r>
      <w:r>
        <w:t xml:space="preserve">”</w:t>
      </w:r>
      <w:r>
        <w:t xml:space="preserve"> </w:t>
      </w:r>
      <w:r>
        <w:t xml:space="preserve">designation sets aside</w:t>
      </w:r>
      <w:r>
        <w:t xml:space="preserve"> </w:t>
      </w:r>
      <w:r>
        <w:t xml:space="preserve">“</w:t>
      </w:r>
      <w:r>
        <w:t xml:space="preserve">pada,</w:t>
      </w:r>
      <w:r>
        <w:t xml:space="preserve">”</w:t>
      </w:r>
      <w:r>
        <w:t xml:space="preserve"> </w:t>
      </w:r>
      <w:r>
        <w:t xml:space="preserve">so the</w:t>
      </w:r>
      <w:r>
        <w:t xml:space="preserve"> </w:t>
      </w:r>
      <w:r>
        <w:t xml:space="preserve">“</w:t>
      </w:r>
      <w:r>
        <w:t xml:space="preserve">s</w:t>
      </w:r>
      <w:r>
        <w:t xml:space="preserve">”</w:t>
      </w:r>
      <w:r>
        <w:t xml:space="preserve"> </w:t>
      </w:r>
      <w:r>
        <w:t xml:space="preserve">does not become</w:t>
      </w:r>
      <w:r>
        <w:t xml:space="preserve"> </w:t>
      </w:r>
      <w:r>
        <w:t xml:space="preserve">“</w:t>
      </w:r>
      <w:r>
        <w:t xml:space="preserve">ru</w:t>
      </w:r>
      <w:r>
        <w:t xml:space="preserve">”</w:t>
      </w:r>
      <w:r>
        <w:t xml:space="preserve">;</w:t>
      </w:r>
      <w:r>
        <w:t xml:space="preserve"> </w:t>
      </w:r>
      <w:r>
        <w:rPr>
          <w:bCs/>
          <w:b/>
        </w:rPr>
        <w:t xml:space="preserve">मादुपधायाश्च मतोर्वोऽयवादिभ्यः</w:t>
      </w:r>
      <w:r>
        <w:t xml:space="preserve"> </w:t>
      </w:r>
      <w:r>
        <w:t xml:space="preserve">(पा. ८-२-९)</w:t>
      </w:r>
      <w:r>
        <w:t xml:space="preserve"> </w:t>
      </w:r>
      <w:r>
        <w:t xml:space="preserve">“</w:t>
      </w:r>
      <w:r>
        <w:t xml:space="preserve">v</w:t>
      </w:r>
      <w:r>
        <w:t xml:space="preserve">”</w:t>
      </w:r>
      <w:r>
        <w:t xml:space="preserve"> </w:t>
      </w:r>
      <w:r>
        <w:t xml:space="preserve">for the</w:t>
      </w:r>
      <w:r>
        <w:t xml:space="preserve"> </w:t>
      </w:r>
      <w:r>
        <w:t xml:space="preserve">“</w:t>
      </w:r>
      <w:r>
        <w:t xml:space="preserve">m</w:t>
      </w:r>
      <w:r>
        <w:t xml:space="preserve">”</w:t>
      </w:r>
      <w:r>
        <w:t xml:space="preserve"> </w:t>
      </w:r>
      <w:r>
        <w:t xml:space="preserve">of</w:t>
      </w:r>
      <w:r>
        <w:t xml:space="preserve"> </w:t>
      </w:r>
      <w:r>
        <w:t xml:space="preserve">“</w:t>
      </w:r>
      <w:r>
        <w:t xml:space="preserve">matup</w:t>
      </w:r>
      <w:r>
        <w:t xml:space="preserve">”</w:t>
      </w:r>
      <w:r>
        <w:t xml:space="preserve">;</w:t>
      </w:r>
      <w:r>
        <w:t xml:space="preserve"> </w:t>
      </w:r>
      <w:r>
        <w:t xml:space="preserve">“</w:t>
      </w:r>
      <w:r>
        <w:t xml:space="preserve">sahas</w:t>
      </w:r>
      <w:r>
        <w:t xml:space="preserve">”</w:t>
      </w:r>
      <w:r>
        <w:t xml:space="preserve"> </w:t>
      </w:r>
      <w:r>
        <w:t xml:space="preserve">is first-syllable acute (</w:t>
      </w:r>
      <w:r>
        <w:t xml:space="preserve">“</w:t>
      </w:r>
      <w:r>
        <w:t xml:space="preserve">nabviṣayasyānisantasya</w:t>
      </w:r>
      <w:r>
        <w:t xml:space="preserve">”</w:t>
      </w:r>
      <w:r>
        <w:t xml:space="preserve">), and since</w:t>
      </w:r>
      <w:r>
        <w:t xml:space="preserve"> </w:t>
      </w:r>
      <w:r>
        <w:t xml:space="preserve">“</w:t>
      </w:r>
      <w:r>
        <w:t xml:space="preserve">matup</w:t>
      </w:r>
      <w:r>
        <w:t xml:space="preserve">”</w:t>
      </w:r>
      <w:r>
        <w:t xml:space="preserve"> </w:t>
      </w:r>
      <w:r>
        <w:t xml:space="preserve">is</w:t>
      </w:r>
      <w:r>
        <w:t xml:space="preserve"> </w:t>
      </w:r>
      <w:r>
        <w:t xml:space="preserve">“</w:t>
      </w:r>
      <w:r>
        <w:t xml:space="preserve">p</w:t>
      </w:r>
      <w:r>
        <w:t xml:space="preserve">”</w:t>
      </w:r>
      <w:r>
        <w:t xml:space="preserve">-marked that accent alone remains.</w:t>
      </w:r>
      <w:r>
        <w:t xml:space="preserve"> </w:t>
      </w:r>
      <w:r>
        <w:t xml:space="preserve">“</w:t>
      </w:r>
      <w:r>
        <w:t xml:space="preserve">Kāmyaiḥ</w:t>
      </w:r>
      <w:r>
        <w:t xml:space="preserve">”</w:t>
      </w:r>
      <w:r>
        <w:t xml:space="preserve"> </w:t>
      </w:r>
      <w:r>
        <w:t xml:space="preserve">—</w:t>
      </w:r>
      <w:r>
        <w:t xml:space="preserve"> </w:t>
      </w:r>
      <w:r>
        <w:rPr>
          <w:bCs/>
          <w:b/>
        </w:rPr>
        <w:t xml:space="preserve">कमेर्णिङ्</w:t>
      </w:r>
      <w:r>
        <w:t xml:space="preserve"> </w:t>
      </w:r>
      <w:r>
        <w:t xml:space="preserve">(पा. ३-१-३०);</w:t>
      </w:r>
      <w:r>
        <w:t xml:space="preserve"> </w:t>
      </w:r>
      <w:r>
        <w:rPr>
          <w:bCs/>
          <w:b/>
        </w:rPr>
        <w:t xml:space="preserve">अत उपधायाः</w:t>
      </w:r>
      <w:r>
        <w:t xml:space="preserve"> </w:t>
      </w:r>
      <w:r>
        <w:t xml:space="preserve">(पा. ७-२-११६) vṛddhi; the</w:t>
      </w:r>
      <w:r>
        <w:t xml:space="preserve"> </w:t>
      </w:r>
      <w:r>
        <w:t xml:space="preserve">“</w:t>
      </w:r>
      <w:r>
        <w:t xml:space="preserve">mit</w:t>
      </w:r>
      <w:r>
        <w:t xml:space="preserve">”</w:t>
      </w:r>
      <w:r>
        <w:t xml:space="preserve"> </w:t>
      </w:r>
      <w:r>
        <w:t xml:space="preserve">status that</w:t>
      </w:r>
      <w:r>
        <w:t xml:space="preserve"> </w:t>
      </w:r>
      <w:r>
        <w:t xml:space="preserve">“</w:t>
      </w:r>
      <w:r>
        <w:t xml:space="preserve">kam</w:t>
      </w:r>
      <w:r>
        <w:t xml:space="preserve">”</w:t>
      </w:r>
      <w:r>
        <w:t xml:space="preserve"> </w:t>
      </w:r>
      <w:r>
        <w:t xml:space="preserve">would have as an</w:t>
      </w:r>
      <w:r>
        <w:t xml:space="preserve"> </w:t>
      </w:r>
      <w:r>
        <w:t xml:space="preserve">“</w:t>
      </w:r>
      <w:r>
        <w:t xml:space="preserve">am</w:t>
      </w:r>
      <w:r>
        <w:t xml:space="preserve">”</w:t>
      </w:r>
      <w:r>
        <w:t xml:space="preserve">-ending root (</w:t>
      </w:r>
      <w:r>
        <w:t xml:space="preserve">“</w:t>
      </w:r>
      <w:r>
        <w:t xml:space="preserve">janī jṝṣ knasu rañjo ’mantāś ca,</w:t>
      </w:r>
      <w:r>
        <w:t xml:space="preserve">”</w:t>
      </w:r>
      <w:r>
        <w:t xml:space="preserve"> </w:t>
      </w:r>
      <w:r>
        <w:t xml:space="preserve">धा. १९, … [?], the numbers unclear) is withdrawn by the prohibition</w:t>
      </w:r>
      <w:r>
        <w:t xml:space="preserve"> </w:t>
      </w:r>
      <w:r>
        <w:t xml:space="preserve">“</w:t>
      </w:r>
      <w:r>
        <w:t xml:space="preserve">na kamyamicamām</w:t>
      </w:r>
      <w:r>
        <w:t xml:space="preserve">”</w:t>
      </w:r>
      <w:r>
        <w:t xml:space="preserve"> </w:t>
      </w:r>
      <w:r>
        <w:t xml:space="preserve">(धा. १९-६९ [?]), so</w:t>
      </w:r>
      <w:r>
        <w:t xml:space="preserve"> </w:t>
      </w:r>
      <w:r>
        <w:rPr>
          <w:bCs/>
          <w:b/>
        </w:rPr>
        <w:t xml:space="preserve">मितां ह्रस्वः</w:t>
      </w:r>
      <w:r>
        <w:t xml:space="preserve"> </w:t>
      </w:r>
      <w:r>
        <w:t xml:space="preserve">(पा. ६-४-९२) does not shorten the penultimate;</w:t>
      </w:r>
      <w:r>
        <w:t xml:space="preserve"> </w:t>
      </w:r>
      <w:r>
        <w:rPr>
          <w:bCs/>
          <w:b/>
        </w:rPr>
        <w:t xml:space="preserve">ण्यन्तादचो यत्</w:t>
      </w:r>
      <w:r>
        <w:t xml:space="preserve"> </w:t>
      </w:r>
      <w:r>
        <w:t xml:space="preserve">(as printed; पा. ३-१-९७ [?], the last digit unclear)</w:t>
      </w:r>
      <w:r>
        <w:t xml:space="preserve"> </w:t>
      </w:r>
      <w:r>
        <w:t xml:space="preserve">“</w:t>
      </w:r>
      <w:r>
        <w:t xml:space="preserve">yat</w:t>
      </w:r>
      <w:r>
        <w:t xml:space="preserve">”</w:t>
      </w:r>
      <w:r>
        <w:t xml:space="preserve">;</w:t>
      </w:r>
      <w:r>
        <w:t xml:space="preserve"> </w:t>
      </w:r>
      <w:r>
        <w:rPr>
          <w:bCs/>
          <w:b/>
        </w:rPr>
        <w:t xml:space="preserve">णेर्लोपः</w:t>
      </w:r>
      <w:r>
        <w:t xml:space="preserve"> </w:t>
      </w:r>
      <w:r>
        <w:t xml:space="preserve">(as printed; पा. ६-४-५१);</w:t>
      </w:r>
      <w:r>
        <w:t xml:space="preserve"> </w:t>
      </w:r>
      <w:r>
        <w:t xml:space="preserve">“</w:t>
      </w:r>
      <w:r>
        <w:t xml:space="preserve">titsvaritam</w:t>
      </w:r>
      <w:r>
        <w:t xml:space="preserve">”</w:t>
      </w:r>
      <w:r>
        <w:t xml:space="preserve"> </w:t>
      </w:r>
      <w:r>
        <w:t xml:space="preserve">(पा. ६-१-१८५) would apply, but</w:t>
      </w:r>
      <w:r>
        <w:t xml:space="preserve"> </w:t>
      </w:r>
      <w:r>
        <w:rPr>
          <w:bCs/>
          <w:b/>
        </w:rPr>
        <w:t xml:space="preserve">यतोऽनावः</w:t>
      </w:r>
      <w:r>
        <w:t xml:space="preserve"> </w:t>
      </w:r>
      <w:r>
        <w:t xml:space="preserve">(पा. ६-१-२१३) makes it first-syllable acute. ॥८॥</w:t>
      </w:r>
    </w:p>
    <w:p>
      <w:pPr>
        <w:pStyle w:val="BodyText"/>
      </w:pPr>
      <w:r>
        <w:rPr>
          <w:bCs/>
          <w:b/>
        </w:rPr>
        <w:t xml:space="preserve">॥ Prati-padārthaḥ ॥</w:t>
      </w:r>
      <w:r>
        <w:t xml:space="preserve"> </w:t>
      </w:r>
      <w:r>
        <w:rPr>
          <w:iCs/>
          <w:i/>
        </w:rPr>
        <w:t xml:space="preserve">(Kannada, translated)</w:t>
      </w:r>
    </w:p>
    <w:p>
      <w:pPr>
        <w:pStyle w:val="BodyText"/>
      </w:pPr>
      <w:r>
        <w:rPr>
          <w:bCs/>
          <w:b/>
        </w:rPr>
        <w:t xml:space="preserve">मखः (makhaḥ)</w:t>
      </w:r>
      <w:r>
        <w:t xml:space="preserve"> </w:t>
      </w:r>
      <w:r>
        <w:t xml:space="preserve">— (this sacrifice that we are performing) the sacrifice |</w:t>
      </w:r>
      <w:r>
        <w:t xml:space="preserve"> </w:t>
      </w:r>
      <w:r>
        <w:rPr>
          <w:bCs/>
          <w:b/>
        </w:rPr>
        <w:t xml:space="preserve">अनवद्यैः (anavadyaiḥ)</w:t>
      </w:r>
      <w:r>
        <w:t xml:space="preserve"> </w:t>
      </w:r>
      <w:r>
        <w:t xml:space="preserve">— free of faults |</w:t>
      </w:r>
      <w:r>
        <w:t xml:space="preserve"> </w:t>
      </w:r>
      <w:r>
        <w:rPr>
          <w:bCs/>
          <w:b/>
        </w:rPr>
        <w:t xml:space="preserve">अभिद्युभिः (abhidyubhiḥ)</w:t>
      </w:r>
      <w:r>
        <w:t xml:space="preserve"> </w:t>
      </w:r>
      <w:r>
        <w:t xml:space="preserve">— those who bring about heaven (the Maruts, leading to the heavenly world) |</w:t>
      </w:r>
      <w:r>
        <w:t xml:space="preserve"> </w:t>
      </w:r>
      <w:r>
        <w:rPr>
          <w:bCs/>
          <w:b/>
        </w:rPr>
        <w:t xml:space="preserve">काम्यैः (kāmyaiḥ)</w:t>
      </w:r>
      <w:r>
        <w:t xml:space="preserve"> </w:t>
      </w:r>
      <w:r>
        <w:t xml:space="preserve">— desired by those who seek fruit |</w:t>
      </w:r>
      <w:r>
        <w:t xml:space="preserve"> </w:t>
      </w:r>
      <w:r>
        <w:rPr>
          <w:bCs/>
          <w:b/>
        </w:rPr>
        <w:t xml:space="preserve">गणैः (gaṇaiḥ)</w:t>
      </w:r>
      <w:r>
        <w:t xml:space="preserve"> </w:t>
      </w:r>
      <w:r>
        <w:t xml:space="preserve">— with the Marut-troops |</w:t>
      </w:r>
      <w:r>
        <w:t xml:space="preserve"> </w:t>
      </w:r>
      <w:r>
        <w:rPr>
          <w:bCs/>
          <w:b/>
        </w:rPr>
        <w:t xml:space="preserve">(सहितनाद) (sahitanāda)</w:t>
      </w:r>
      <w:r>
        <w:t xml:space="preserve"> </w:t>
      </w:r>
      <w:r>
        <w:t xml:space="preserve">— accompanied |</w:t>
      </w:r>
      <w:r>
        <w:t xml:space="preserve"> </w:t>
      </w:r>
      <w:r>
        <w:rPr>
          <w:bCs/>
          <w:b/>
        </w:rPr>
        <w:t xml:space="preserve">इन्द्रस्य (indrasya)</w:t>
      </w:r>
      <w:r>
        <w:t xml:space="preserve"> </w:t>
      </w:r>
      <w:r>
        <w:t xml:space="preserve">— Indra |</w:t>
      </w:r>
      <w:r>
        <w:t xml:space="preserve"> </w:t>
      </w:r>
      <w:r>
        <w:rPr>
          <w:bCs/>
          <w:b/>
        </w:rPr>
        <w:t xml:space="preserve">सहस्वत् (sahasvat)</w:t>
      </w:r>
      <w:r>
        <w:t xml:space="preserve"> </w:t>
      </w:r>
      <w:r>
        <w:t xml:space="preserve">— so as to make him powerful |</w:t>
      </w:r>
      <w:r>
        <w:t xml:space="preserve"> </w:t>
      </w:r>
      <w:r>
        <w:rPr>
          <w:bCs/>
          <w:b/>
        </w:rPr>
        <w:t xml:space="preserve">अर्चति (arcati)</w:t>
      </w:r>
      <w:r>
        <w:t xml:space="preserve"> </w:t>
      </w:r>
      <w:r>
        <w:t xml:space="preserve">— let it worship.</w:t>
      </w:r>
    </w:p>
    <w:bookmarkEnd w:id="281"/>
    <w:bookmarkStart w:id="282" w:name="X6a6b8653072d63f8c806b4339cc76662730ec60"/>
    <w:p>
      <w:pPr>
        <w:pStyle w:val="Heading3"/>
      </w:pPr>
      <w:r>
        <w:t xml:space="preserve">Pages 244–245 — Rik 6.8: Bhāvārtha, English, Special Topics, end of grammar</w:t>
      </w:r>
    </w:p>
    <w:p>
      <w:pPr>
        <w:pStyle w:val="FirstParagraph"/>
      </w:pPr>
      <w:r>
        <w:rPr>
          <w:iCs/>
          <w:i/>
        </w:rPr>
        <w:t xml:space="preserve">(Page headers: p. 244</w:t>
      </w:r>
      <w:r>
        <w:rPr>
          <w:iCs/>
          <w:i/>
        </w:rPr>
        <w:t xml:space="preserve"> </w:t>
      </w:r>
      <w:r>
        <w:rPr>
          <w:iCs/>
          <w:i/>
        </w:rPr>
        <w:t xml:space="preserve">“</w:t>
      </w:r>
      <w:r>
        <w:rPr>
          <w:iCs/>
          <w:i/>
        </w:rPr>
        <w:t xml:space="preserve">Maṇ. 1, A. 2, Sū. 6</w:t>
      </w:r>
      <w:r>
        <w:rPr>
          <w:iCs/>
          <w:i/>
        </w:rPr>
        <w:t xml:space="preserve">”</w:t>
      </w:r>
      <w:r>
        <w:rPr>
          <w:iCs/>
          <w:i/>
        </w:rPr>
        <w:t xml:space="preserve">; p. 245</w:t>
      </w:r>
      <w:r>
        <w:rPr>
          <w:iCs/>
          <w:i/>
        </w:rPr>
        <w:t xml:space="preserve"> </w:t>
      </w:r>
      <w:r>
        <w:rPr>
          <w:iCs/>
          <w:i/>
        </w:rPr>
        <w:t xml:space="preserve">“</w:t>
      </w:r>
      <w:r>
        <w:rPr>
          <w:iCs/>
          <w:i/>
        </w:rPr>
        <w:t xml:space="preserve">A. 1, A. 1, Va. 12.</w:t>
      </w:r>
      <w:r>
        <w:rPr>
          <w:iCs/>
          <w:i/>
        </w:rPr>
        <w:t xml:space="preserve">”</w:t>
      </w:r>
      <w:r>
        <w:rPr>
          <w:iCs/>
          <w:i/>
        </w:rPr>
        <w:t xml:space="preserve"> </w:t>
      </w:r>
      <w:r>
        <w:rPr>
          <w:iCs/>
          <w:i/>
        </w:rPr>
        <w:t xml:space="preserve">Re-read from the better scan. The Pada-meanings are under</w:t>
      </w:r>
      <w:r>
        <w:rPr>
          <w:iCs/>
          <w:i/>
        </w:rPr>
        <w:t xml:space="preserve"> </w:t>
      </w:r>
      <w:r>
        <w:rPr>
          <w:iCs/>
          <w:i/>
        </w:rPr>
        <w:t xml:space="preserve">“</w:t>
      </w:r>
      <w:r>
        <w:rPr>
          <w:iCs/>
          <w:i/>
        </w:rPr>
        <w:t xml:space="preserve">Page 243</w:t>
      </w:r>
      <w:r>
        <w:rPr>
          <w:iCs/>
          <w:i/>
        </w:rPr>
        <w:t xml:space="preserve">”</w:t>
      </w:r>
      <w:r>
        <w:rPr>
          <w:iCs/>
          <w:i/>
        </w:rPr>
        <w:t xml:space="preserve">; the Kannada Vyākaraṇa-prakriyā of pp. 244–245 is characterized at the end of this section.)</w:t>
      </w:r>
    </w:p>
    <w:p>
      <w:pPr>
        <w:pStyle w:val="BodyText"/>
      </w:pPr>
      <w:r>
        <w:rPr>
          <w:bCs/>
          <w:b/>
        </w:rPr>
        <w:t xml:space="preserve">॥ Bhāvārthaḥ ॥</w:t>
      </w:r>
      <w:r>
        <w:t xml:space="preserve"> </w:t>
      </w:r>
      <w:r>
        <w:rPr>
          <w:iCs/>
          <w:i/>
        </w:rPr>
        <w:t xml:space="preserve">(Kannada, translated)</w:t>
      </w:r>
    </w:p>
    <w:p>
      <w:pPr>
        <w:pStyle w:val="BodyText"/>
      </w:pPr>
      <w:r>
        <w:t xml:space="preserve">The Marut-troops are free of fault and have become able to go to the heavenly world. People who seek the fruit of their wishes desire them. May this sacrifice that we are performing for Indra, accompanied by such Marut-troops, gratify him with worship and the like, and make him strong.</w:t>
      </w:r>
    </w:p>
    <w:p>
      <w:pPr>
        <w:pStyle w:val="BodyText"/>
      </w:pPr>
      <w:r>
        <w:rPr>
          <w:bCs/>
          <w:b/>
        </w:rPr>
        <w:t xml:space="preserve">English Translation</w:t>
      </w:r>
      <w:r>
        <w:t xml:space="preserve"> </w:t>
      </w:r>
      <w:r>
        <w:rPr>
          <w:iCs/>
          <w:i/>
        </w:rPr>
        <w:t xml:space="preserve">(as printed in the source)</w:t>
      </w:r>
    </w:p>
    <w:p>
      <w:pPr>
        <w:pStyle w:val="BlockText"/>
      </w:pPr>
      <w:r>
        <w:t xml:space="preserve">This sacrifice is performed in adoration of Indra so as to make him powerful, along with the irreproachable, heavenward-tending and amiable bands (of the Maruts).</w:t>
      </w:r>
    </w:p>
    <w:p>
      <w:pPr>
        <w:pStyle w:val="FirstParagraph"/>
      </w:pPr>
      <w:r>
        <w:rPr>
          <w:bCs/>
          <w:b/>
        </w:rPr>
        <w:t xml:space="preserve">॥ Viśeṣa-viṣayagaḷu — Special Topics ॥</w:t>
      </w:r>
      <w:r>
        <w:t xml:space="preserve"> </w:t>
      </w:r>
      <w:r>
        <w:rPr>
          <w:iCs/>
          <w:i/>
        </w:rPr>
        <w:t xml:space="preserve">(Kannada, translated)</w:t>
      </w:r>
    </w:p>
    <w:p>
      <w:pPr>
        <w:pStyle w:val="BodyText"/>
      </w:pPr>
      <w:r>
        <w:t xml:space="preserve">The sense of this Ṛk is somewhat strained (kliṣṭa). Its meaning can be stated thus:</w:t>
      </w:r>
      <w:r>
        <w:t xml:space="preserve"> </w:t>
      </w:r>
      <w:r>
        <w:t xml:space="preserve">“</w:t>
      </w:r>
      <w:r>
        <w:t xml:space="preserve">May Indra, who is accompanied by the Marut-troops, be well pleased with me by means of this sacrifice that we are performing, and thereby become strong.</w:t>
      </w:r>
      <w:r>
        <w:t xml:space="preserve">”</w:t>
      </w:r>
      <w:r>
        <w:t xml:space="preserve"> </w:t>
      </w:r>
      <w:r>
        <w:t xml:space="preserve">Of the qualifying words used of the Maruts —</w:t>
      </w:r>
      <w:r>
        <w:t xml:space="preserve"> </w:t>
      </w:r>
      <w:r>
        <w:t xml:space="preserve">“</w:t>
      </w:r>
      <w:r>
        <w:t xml:space="preserve">anavadyaiḥ,</w:t>
      </w:r>
      <w:r>
        <w:t xml:space="preserve">”</w:t>
      </w:r>
      <w:r>
        <w:t xml:space="preserve"> </w:t>
      </w:r>
      <w:r>
        <w:t xml:space="preserve">“</w:t>
      </w:r>
      <w:r>
        <w:t xml:space="preserve">abhidyubhiḥ,</w:t>
      </w:r>
      <w:r>
        <w:t xml:space="preserve">”</w:t>
      </w:r>
      <w:r>
        <w:t xml:space="preserve"> </w:t>
      </w:r>
      <w:r>
        <w:t xml:space="preserve">“</w:t>
      </w:r>
      <w:r>
        <w:t xml:space="preserve">kāmyaiḥ</w:t>
      </w:r>
      <w:r>
        <w:t xml:space="preserve">”</w:t>
      </w:r>
      <w:r>
        <w:t xml:space="preserve"> </w:t>
      </w:r>
      <w:r>
        <w:t xml:space="preserve">— the meanings are plain.</w:t>
      </w:r>
    </w:p>
    <w:p>
      <w:pPr>
        <w:numPr>
          <w:ilvl w:val="0"/>
          <w:numId w:val="1031"/>
        </w:numPr>
        <w:pStyle w:val="Compact"/>
      </w:pPr>
      <w:r>
        <w:rPr>
          <w:bCs/>
          <w:b/>
        </w:rPr>
        <w:t xml:space="preserve">मखः (makhaḥ)</w:t>
      </w:r>
      <w:r>
        <w:t xml:space="preserve"> </w:t>
      </w:r>
      <w:r>
        <w:t xml:space="preserve">—</w:t>
      </w:r>
      <w:r>
        <w:t xml:space="preserve"> </w:t>
      </w:r>
      <w:r>
        <w:t xml:space="preserve">“</w:t>
      </w:r>
      <w:r>
        <w:t xml:space="preserve">Among the fifteen sacrifice-names beginning with</w:t>
      </w:r>
      <w:r>
        <w:t xml:space="preserve"> </w:t>
      </w:r>
      <w:r>
        <w:t xml:space="preserve">‘</w:t>
      </w:r>
      <w:r>
        <w:t xml:space="preserve">yajña,</w:t>
      </w:r>
      <w:r>
        <w:t xml:space="preserve">’</w:t>
      </w:r>
      <w:r>
        <w:t xml:space="preserve"> </w:t>
      </w:r>
      <w:r>
        <w:t xml:space="preserve">the words</w:t>
      </w:r>
      <w:r>
        <w:t xml:space="preserve"> </w:t>
      </w:r>
      <w:r>
        <w:t xml:space="preserve">‘</w:t>
      </w:r>
      <w:r>
        <w:t xml:space="preserve">makhaḥ</w:t>
      </w:r>
      <w:r>
        <w:t xml:space="preserve">’</w:t>
      </w:r>
      <w:r>
        <w:t xml:space="preserve"> </w:t>
      </w:r>
      <w:r>
        <w:t xml:space="preserve">and</w:t>
      </w:r>
      <w:r>
        <w:t xml:space="preserve"> </w:t>
      </w:r>
      <w:r>
        <w:t xml:space="preserve">‘</w:t>
      </w:r>
      <w:r>
        <w:t xml:space="preserve">viṣṇuḥ</w:t>
      </w:r>
      <w:r>
        <w:t xml:space="preserve">’</w:t>
      </w:r>
      <w:r>
        <w:t xml:space="preserve"> </w:t>
      </w:r>
      <w:r>
        <w:t xml:space="preserve">are read</w:t>
      </w:r>
      <w:r>
        <w:t xml:space="preserve">”</w:t>
      </w:r>
      <w:r>
        <w:t xml:space="preserve"> </w:t>
      </w:r>
      <w:r>
        <w:t xml:space="preserve">(Ni. 3-19).</w:t>
      </w:r>
    </w:p>
    <w:p>
      <w:pPr>
        <w:numPr>
          <w:ilvl w:val="0"/>
          <w:numId w:val="1031"/>
        </w:numPr>
        <w:pStyle w:val="Compact"/>
      </w:pPr>
      <w:r>
        <w:rPr>
          <w:bCs/>
          <w:b/>
        </w:rPr>
        <w:t xml:space="preserve">अर्चति (arcati)</w:t>
      </w:r>
      <w:r>
        <w:t xml:space="preserve"> </w:t>
      </w:r>
      <w:r>
        <w:t xml:space="preserve">—</w:t>
      </w:r>
      <w:r>
        <w:t xml:space="preserve"> </w:t>
      </w:r>
      <w:r>
        <w:t xml:space="preserve">“</w:t>
      </w:r>
      <w:r>
        <w:t xml:space="preserve">Among the forty-four</w:t>
      </w:r>
      <w:r>
        <w:t xml:space="preserve"> </w:t>
      </w:r>
      <w:r>
        <w:t xml:space="preserve">‘</w:t>
      </w:r>
      <w:r>
        <w:t xml:space="preserve">arcati-karma</w:t>
      </w:r>
      <w:r>
        <w:t xml:space="preserve">’</w:t>
      </w:r>
      <w:r>
        <w:t xml:space="preserve"> </w:t>
      </w:r>
      <w:r>
        <w:t xml:space="preserve">names beginning with</w:t>
      </w:r>
      <w:r>
        <w:t xml:space="preserve"> </w:t>
      </w:r>
      <w:r>
        <w:t xml:space="preserve">‘</w:t>
      </w:r>
      <w:r>
        <w:t xml:space="preserve">arcati, gāyati,</w:t>
      </w:r>
      <w:r>
        <w:t xml:space="preserve">’</w:t>
      </w:r>
      <w:r>
        <w:t xml:space="preserve"> </w:t>
      </w:r>
      <w:r>
        <w:t xml:space="preserve">the word</w:t>
      </w:r>
      <w:r>
        <w:t xml:space="preserve"> </w:t>
      </w:r>
      <w:r>
        <w:t xml:space="preserve">‘</w:t>
      </w:r>
      <w:r>
        <w:t xml:space="preserve">arcati</w:t>
      </w:r>
      <w:r>
        <w:t xml:space="preserve">’</w:t>
      </w:r>
      <w:r>
        <w:t xml:space="preserve"> </w:t>
      </w:r>
      <w:r>
        <w:t xml:space="preserve">is read</w:t>
      </w:r>
      <w:r>
        <w:t xml:space="preserve">”</w:t>
      </w:r>
      <w:r>
        <w:t xml:space="preserve"> </w:t>
      </w:r>
      <w:r>
        <w:t xml:space="preserve">(Ni. 3-19).</w:t>
      </w:r>
    </w:p>
    <w:p>
      <w:pPr>
        <w:pStyle w:val="FirstParagraph"/>
      </w:pPr>
      <w:r>
        <w:rPr>
          <w:bCs/>
          <w:b/>
        </w:rPr>
        <w:t xml:space="preserve">॥ Vyākaraṇa-prakriyā ॥</w:t>
      </w:r>
      <w:r>
        <w:t xml:space="preserve"> </w:t>
      </w:r>
      <w:r>
        <w:rPr>
          <w:iCs/>
          <w:i/>
        </w:rPr>
        <w:t xml:space="preserve">(pp. 244–245, Kannada; characterized)</w:t>
      </w:r>
      <w:r>
        <w:t xml:space="preserve"> </w:t>
      </w:r>
      <w:r>
        <w:t xml:space="preserve">“</w:t>
      </w:r>
      <w:r>
        <w:t xml:space="preserve">Anavadyaiḥ</w:t>
      </w:r>
      <w:r>
        <w:t xml:space="preserve">”</w:t>
      </w:r>
      <w:r>
        <w:t xml:space="preserve"> </w:t>
      </w:r>
      <w:r>
        <w:t xml:space="preserve">—</w:t>
      </w:r>
      <w:r>
        <w:t xml:space="preserve"> </w:t>
      </w:r>
      <w:r>
        <w:t xml:space="preserve">“</w:t>
      </w:r>
      <w:r>
        <w:t xml:space="preserve">na vidyate avadyaṃ yeṣāṃ te</w:t>
      </w:r>
      <w:r>
        <w:t xml:space="preserve">”</w:t>
      </w:r>
      <w:r>
        <w:t xml:space="preserve"> </w:t>
      </w:r>
      <w:r>
        <w:t xml:space="preserve">(those without fault):</w:t>
      </w:r>
      <w:r>
        <w:t xml:space="preserve"> </w:t>
      </w:r>
      <w:r>
        <w:rPr>
          <w:bCs/>
          <w:b/>
        </w:rPr>
        <w:t xml:space="preserve">नञ्सुभ्याम्</w:t>
      </w:r>
      <w:r>
        <w:t xml:space="preserve"> </w:t>
      </w:r>
      <w:r>
        <w:t xml:space="preserve">(पा. सू. ६-२-१७२) makes the second member end-acute.</w:t>
      </w:r>
      <w:r>
        <w:t xml:space="preserve"> </w:t>
      </w:r>
      <w:r>
        <w:t xml:space="preserve">“</w:t>
      </w:r>
      <w:r>
        <w:t xml:space="preserve">Abhidyavaḥ</w:t>
      </w:r>
      <w:r>
        <w:t xml:space="preserve">”</w:t>
      </w:r>
      <w:r>
        <w:t xml:space="preserve"> </w:t>
      </w:r>
      <w:r>
        <w:t xml:space="preserve">—</w:t>
      </w:r>
      <w:r>
        <w:t xml:space="preserve"> </w:t>
      </w:r>
      <w:r>
        <w:t xml:space="preserve">“</w:t>
      </w:r>
      <w:r>
        <w:t xml:space="preserve">abhigatā dyauḥ yais te,</w:t>
      </w:r>
      <w:r>
        <w:t xml:space="preserve">”</w:t>
      </w:r>
      <w:r>
        <w:t xml:space="preserve"> </w:t>
      </w:r>
      <w:r>
        <w:t xml:space="preserve">“</w:t>
      </w:r>
      <w:r>
        <w:t xml:space="preserve">tair abhidyubhiḥ</w:t>
      </w:r>
      <w:r>
        <w:t xml:space="preserve">”</w:t>
      </w:r>
      <w:r>
        <w:t xml:space="preserve"> </w:t>
      </w:r>
      <w:r>
        <w:t xml:space="preserve">— those who have set out towards heaven;</w:t>
      </w:r>
      <w:r>
        <w:t xml:space="preserve"> </w:t>
      </w:r>
      <w:r>
        <w:t xml:space="preserve">“</w:t>
      </w:r>
      <w:r>
        <w:t xml:space="preserve">abhi</w:t>
      </w:r>
      <w:r>
        <w:t xml:space="preserve">”</w:t>
      </w:r>
      <w:r>
        <w:t xml:space="preserve"> </w:t>
      </w:r>
      <w:r>
        <w:t xml:space="preserve">end-acute by the stem accent, kept in the bahuvrīhi.</w:t>
      </w:r>
      <w:r>
        <w:t xml:space="preserve"> </w:t>
      </w:r>
      <w:r>
        <w:t xml:space="preserve">“</w:t>
      </w:r>
      <w:r>
        <w:t xml:space="preserve">Makhaḥ</w:t>
      </w:r>
      <w:r>
        <w:t xml:space="preserve">”</w:t>
      </w:r>
      <w:r>
        <w:t xml:space="preserve"> </w:t>
      </w:r>
      <w:r>
        <w:t xml:space="preserve">— end-acute by the stem accent.</w:t>
      </w:r>
      <w:r>
        <w:t xml:space="preserve"> </w:t>
      </w:r>
      <w:r>
        <w:t xml:space="preserve">“</w:t>
      </w:r>
      <w:r>
        <w:t xml:space="preserve">Sahasvat</w:t>
      </w:r>
      <w:r>
        <w:t xml:space="preserve">”</w:t>
      </w:r>
      <w:r>
        <w:t xml:space="preserve"> </w:t>
      </w:r>
      <w:r>
        <w:t xml:space="preserve">—</w:t>
      </w:r>
      <w:r>
        <w:t xml:space="preserve"> </w:t>
      </w:r>
      <w:r>
        <w:t xml:space="preserve">“</w:t>
      </w:r>
      <w:r>
        <w:t xml:space="preserve">sahaḥ balam asminn arcanakarmaṇy asti</w:t>
      </w:r>
      <w:r>
        <w:t xml:space="preserve">”</w:t>
      </w:r>
      <w:r>
        <w:t xml:space="preserve"> </w:t>
      </w:r>
      <w:r>
        <w:t xml:space="preserve">(in this act of worship there is strength):</w:t>
      </w:r>
      <w:r>
        <w:t xml:space="preserve"> </w:t>
      </w:r>
      <w:r>
        <w:t xml:space="preserve">“</w:t>
      </w:r>
      <w:r>
        <w:t xml:space="preserve">matup</w:t>
      </w:r>
      <w:r>
        <w:t xml:space="preserve">”</w:t>
      </w:r>
      <w:r>
        <w:t xml:space="preserve"> </w:t>
      </w:r>
      <w:r>
        <w:t xml:space="preserve">by</w:t>
      </w:r>
      <w:r>
        <w:t xml:space="preserve"> </w:t>
      </w:r>
      <w:r>
        <w:rPr>
          <w:bCs/>
          <w:b/>
        </w:rPr>
        <w:t xml:space="preserve">तदस्यास्त्यस्मिन्निति मतुप्</w:t>
      </w:r>
      <w:r>
        <w:t xml:space="preserve"> </w:t>
      </w:r>
      <w:r>
        <w:t xml:space="preserve">(पा. सू. ५-२-९४);</w:t>
      </w:r>
      <w:r>
        <w:t xml:space="preserve"> </w:t>
      </w:r>
      <w:r>
        <w:rPr>
          <w:bCs/>
          <w:b/>
        </w:rPr>
        <w:t xml:space="preserve">तसौ मत्वर्थे</w:t>
      </w:r>
      <w:r>
        <w:t xml:space="preserve"> </w:t>
      </w:r>
      <w:r>
        <w:t xml:space="preserve">(पा. सू. १-४-१९) — before a matvarthīya affix, stems ending in</w:t>
      </w:r>
      <w:r>
        <w:t xml:space="preserve"> </w:t>
      </w:r>
      <w:r>
        <w:t xml:space="preserve">“</w:t>
      </w:r>
      <w:r>
        <w:t xml:space="preserve">t</w:t>
      </w:r>
      <w:r>
        <w:t xml:space="preserve">”</w:t>
      </w:r>
      <w:r>
        <w:t xml:space="preserve"> </w:t>
      </w:r>
      <w:r>
        <w:t xml:space="preserve">and</w:t>
      </w:r>
      <w:r>
        <w:t xml:space="preserve"> </w:t>
      </w:r>
      <w:r>
        <w:t xml:space="preserve">“</w:t>
      </w:r>
      <w:r>
        <w:t xml:space="preserve">s</w:t>
      </w:r>
      <w:r>
        <w:t xml:space="preserve">”</w:t>
      </w:r>
      <w:r>
        <w:t xml:space="preserve"> </w:t>
      </w:r>
      <w:r>
        <w:t xml:space="preserve">are</w:t>
      </w:r>
      <w:r>
        <w:t xml:space="preserve"> </w:t>
      </w:r>
      <w:r>
        <w:t xml:space="preserve">“</w:t>
      </w:r>
      <w:r>
        <w:t xml:space="preserve">bha,</w:t>
      </w:r>
      <w:r>
        <w:t xml:space="preserve">”</w:t>
      </w:r>
      <w:r>
        <w:t xml:space="preserve"> </w:t>
      </w:r>
      <w:r>
        <w:t xml:space="preserve">which sets aside</w:t>
      </w:r>
      <w:r>
        <w:t xml:space="preserve"> </w:t>
      </w:r>
      <w:r>
        <w:t xml:space="preserve">“</w:t>
      </w:r>
      <w:r>
        <w:t xml:space="preserve">pada,</w:t>
      </w:r>
      <w:r>
        <w:t xml:space="preserve">”</w:t>
      </w:r>
      <w:r>
        <w:t xml:space="preserve"> </w:t>
      </w:r>
      <w:r>
        <w:t xml:space="preserve">so</w:t>
      </w:r>
      <w:r>
        <w:t xml:space="preserve"> </w:t>
      </w:r>
      <w:r>
        <w:rPr>
          <w:bCs/>
          <w:b/>
        </w:rPr>
        <w:t xml:space="preserve">ससजुषो रुः</w:t>
      </w:r>
      <w:r>
        <w:t xml:space="preserve"> </w:t>
      </w:r>
      <w:r>
        <w:t xml:space="preserve">(पा. सू. ८-२-६६) gives no</w:t>
      </w:r>
      <w:r>
        <w:t xml:space="preserve"> </w:t>
      </w:r>
      <w:r>
        <w:t xml:space="preserve">“</w:t>
      </w:r>
      <w:r>
        <w:t xml:space="preserve">ru</w:t>
      </w:r>
      <w:r>
        <w:t xml:space="preserve">”</w:t>
      </w:r>
      <w:r>
        <w:t xml:space="preserve">;</w:t>
      </w:r>
      <w:r>
        <w:t xml:space="preserve"> </w:t>
      </w:r>
      <w:r>
        <w:rPr>
          <w:bCs/>
          <w:b/>
        </w:rPr>
        <w:t xml:space="preserve">मादुपधायाश्च मतोर्वोऽयवादिभ्यः</w:t>
      </w:r>
      <w:r>
        <w:t xml:space="preserve"> </w:t>
      </w:r>
      <w:r>
        <w:t xml:space="preserve">(पा. सू. ८-२-९)</w:t>
      </w:r>
      <w:r>
        <w:t xml:space="preserve"> </w:t>
      </w:r>
      <w:r>
        <w:t xml:space="preserve">“</w:t>
      </w:r>
      <w:r>
        <w:t xml:space="preserve">v</w:t>
      </w:r>
      <w:r>
        <w:t xml:space="preserve">”</w:t>
      </w:r>
      <w:r>
        <w:t xml:space="preserve"> </w:t>
      </w:r>
      <w:r>
        <w:t xml:space="preserve">for</w:t>
      </w:r>
      <w:r>
        <w:t xml:space="preserve"> </w:t>
      </w:r>
      <w:r>
        <w:t xml:space="preserve">“</w:t>
      </w:r>
      <w:r>
        <w:t xml:space="preserve">m</w:t>
      </w:r>
      <w:r>
        <w:t xml:space="preserve">”</w:t>
      </w:r>
      <w:r>
        <w:t xml:space="preserve">;</w:t>
      </w:r>
      <w:r>
        <w:t xml:space="preserve"> </w:t>
      </w:r>
      <w:r>
        <w:t xml:space="preserve">“</w:t>
      </w:r>
      <w:r>
        <w:t xml:space="preserve">sahas</w:t>
      </w:r>
      <w:r>
        <w:t xml:space="preserve">”</w:t>
      </w:r>
      <w:r>
        <w:t xml:space="preserve"> </w:t>
      </w:r>
      <w:r>
        <w:t xml:space="preserve">first-syllable acute by</w:t>
      </w:r>
      <w:r>
        <w:t xml:space="preserve"> </w:t>
      </w:r>
      <w:r>
        <w:rPr>
          <w:bCs/>
          <w:b/>
        </w:rPr>
        <w:t xml:space="preserve">नब्विषयस्यानिसन्तस्य</w:t>
      </w:r>
      <w:r>
        <w:t xml:space="preserve"> </w:t>
      </w:r>
      <w:r>
        <w:t xml:space="preserve">(फि. सू. २६);</w:t>
      </w:r>
      <w:r>
        <w:t xml:space="preserve"> </w:t>
      </w:r>
      <w:r>
        <w:t xml:space="preserve">“</w:t>
      </w:r>
      <w:r>
        <w:t xml:space="preserve">matup,</w:t>
      </w:r>
      <w:r>
        <w:t xml:space="preserve">”</w:t>
      </w:r>
      <w:r>
        <w:t xml:space="preserve"> </w:t>
      </w:r>
      <w:r>
        <w:t xml:space="preserve">“</w:t>
      </w:r>
      <w:r>
        <w:t xml:space="preserve">p</w:t>
      </w:r>
      <w:r>
        <w:t xml:space="preserve">”</w:t>
      </w:r>
      <w:r>
        <w:t xml:space="preserve">-marked, is unaccented (</w:t>
      </w:r>
      <w:r>
        <w:rPr>
          <w:bCs/>
          <w:b/>
        </w:rPr>
        <w:t xml:space="preserve">अनुदात्तौ सुप्पितौ</w:t>
      </w:r>
      <w:r>
        <w:t xml:space="preserve">, पा. सू. ३-१-४), so that accent stays.</w:t>
      </w:r>
      <w:r>
        <w:t xml:space="preserve"> </w:t>
      </w:r>
      <w:r>
        <w:t xml:space="preserve">“</w:t>
      </w:r>
      <w:r>
        <w:t xml:space="preserve">Kāmyaiḥ</w:t>
      </w:r>
      <w:r>
        <w:t xml:space="preserve">”</w:t>
      </w:r>
      <w:r>
        <w:t xml:space="preserve"> </w:t>
      </w:r>
      <w:r>
        <w:t xml:space="preserve">—</w:t>
      </w:r>
      <w:r>
        <w:t xml:space="preserve"> </w:t>
      </w:r>
      <w:r>
        <w:rPr>
          <w:bCs/>
          <w:b/>
        </w:rPr>
        <w:t xml:space="preserve">कमेर्णिङ्</w:t>
      </w:r>
      <w:r>
        <w:t xml:space="preserve"> </w:t>
      </w:r>
      <w:r>
        <w:t xml:space="preserve">(पा. सू. ३-१-३० [?], the print blurred)</w:t>
      </w:r>
      <w:r>
        <w:t xml:space="preserve"> </w:t>
      </w:r>
      <w:r>
        <w:t xml:space="preserve">“</w:t>
      </w:r>
      <w:r>
        <w:t xml:space="preserve">ṇiṅ</w:t>
      </w:r>
      <w:r>
        <w:t xml:space="preserve">”</w:t>
      </w:r>
      <w:r>
        <w:t xml:space="preserve"> </w:t>
      </w:r>
      <w:r>
        <w:t xml:space="preserve">in its own sense after</w:t>
      </w:r>
      <w:r>
        <w:t xml:space="preserve"> </w:t>
      </w:r>
      <w:r>
        <w:t xml:space="preserve">“</w:t>
      </w:r>
      <w:r>
        <w:t xml:space="preserve">kamu kāntau</w:t>
      </w:r>
      <w:r>
        <w:t xml:space="preserve">”</w:t>
      </w:r>
      <w:r>
        <w:t xml:space="preserve">;</w:t>
      </w:r>
      <w:r>
        <w:t xml:space="preserve"> </w:t>
      </w:r>
      <w:r>
        <w:rPr>
          <w:bCs/>
          <w:b/>
        </w:rPr>
        <w:t xml:space="preserve">अत उपधायाः</w:t>
      </w:r>
      <w:r>
        <w:t xml:space="preserve"> </w:t>
      </w:r>
      <w:r>
        <w:t xml:space="preserve">(पा. सू. ७-२-११६) vṛddhi:</w:t>
      </w:r>
      <w:r>
        <w:t xml:space="preserve"> </w:t>
      </w:r>
      <w:r>
        <w:t xml:space="preserve">“</w:t>
      </w:r>
      <w:r>
        <w:t xml:space="preserve">kāmi</w:t>
      </w:r>
      <w:r>
        <w:t xml:space="preserve">”</w:t>
      </w:r>
      <w:r>
        <w:t xml:space="preserve">; by the gaṇasūtra</w:t>
      </w:r>
      <w:r>
        <w:t xml:space="preserve"> </w:t>
      </w:r>
      <w:r>
        <w:t xml:space="preserve">“</w:t>
      </w:r>
      <w:r>
        <w:t xml:space="preserve">janī-jṝṣ-knasu-rañjo ’mantāś ca</w:t>
      </w:r>
      <w:r>
        <w:t xml:space="preserve">”</w:t>
      </w:r>
      <w:r>
        <w:t xml:space="preserve"> </w:t>
      </w:r>
      <w:r>
        <w:t xml:space="preserve">(bhvā. ga. sū.) —</w:t>
      </w:r>
      <w:r>
        <w:t xml:space="preserve"> </w:t>
      </w:r>
      <w:r>
        <w:t xml:space="preserve">“</w:t>
      </w:r>
      <w:r>
        <w:t xml:space="preserve">janī prādurbhāve,</w:t>
      </w:r>
      <w:r>
        <w:t xml:space="preserve">”</w:t>
      </w:r>
      <w:r>
        <w:t xml:space="preserve"> </w:t>
      </w:r>
      <w:r>
        <w:t xml:space="preserve">“</w:t>
      </w:r>
      <w:r>
        <w:t xml:space="preserve">jṝṣ vayohānau,</w:t>
      </w:r>
      <w:r>
        <w:t xml:space="preserve">”</w:t>
      </w:r>
      <w:r>
        <w:t xml:space="preserve"> </w:t>
      </w:r>
      <w:r>
        <w:t xml:space="preserve">“</w:t>
      </w:r>
      <w:r>
        <w:t xml:space="preserve">knasu hvaraṇadīptyoḥ</w:t>
      </w:r>
      <w:r>
        <w:t xml:space="preserve">”</w:t>
      </w:r>
      <w:r>
        <w:t xml:space="preserve"> </w:t>
      </w:r>
      <w:r>
        <w:t xml:space="preserve">(three divādi roots),</w:t>
      </w:r>
      <w:r>
        <w:t xml:space="preserve"> </w:t>
      </w:r>
      <w:r>
        <w:t xml:space="preserve">“</w:t>
      </w:r>
      <w:r>
        <w:t xml:space="preserve">rañja rāge</w:t>
      </w:r>
      <w:r>
        <w:t xml:space="preserve">”</w:t>
      </w:r>
      <w:r>
        <w:t xml:space="preserve"> </w:t>
      </w:r>
      <w:r>
        <w:t xml:space="preserve">(in both divādi and bhvādi), and roots ending in</w:t>
      </w:r>
      <w:r>
        <w:t xml:space="preserve"> </w:t>
      </w:r>
      <w:r>
        <w:t xml:space="preserve">“</w:t>
      </w:r>
      <w:r>
        <w:t xml:space="preserve">am</w:t>
      </w:r>
      <w:r>
        <w:t xml:space="preserve">”</w:t>
      </w:r>
      <w:r>
        <w:t xml:space="preserve"> </w:t>
      </w:r>
      <w:r>
        <w:t xml:space="preserve">—</w:t>
      </w:r>
      <w:r>
        <w:t xml:space="preserve"> </w:t>
      </w:r>
      <w:r>
        <w:t xml:space="preserve">“</w:t>
      </w:r>
      <w:r>
        <w:t xml:space="preserve">kam,</w:t>
      </w:r>
      <w:r>
        <w:t xml:space="preserve">”</w:t>
      </w:r>
      <w:r>
        <w:t xml:space="preserve"> </w:t>
      </w:r>
      <w:r>
        <w:t xml:space="preserve">“</w:t>
      </w:r>
      <w:r>
        <w:t xml:space="preserve">gam</w:t>
      </w:r>
      <w:r>
        <w:t xml:space="preserve">”</w:t>
      </w:r>
      <w:r>
        <w:t xml:space="preserve"> </w:t>
      </w:r>
      <w:r>
        <w:t xml:space="preserve">etc. would be</w:t>
      </w:r>
      <w:r>
        <w:t xml:space="preserve"> </w:t>
      </w:r>
      <w:r>
        <w:t xml:space="preserve">“</w:t>
      </w:r>
      <w:r>
        <w:t xml:space="preserve">mit,</w:t>
      </w:r>
      <w:r>
        <w:t xml:space="preserve">”</w:t>
      </w:r>
      <w:r>
        <w:t xml:space="preserve"> </w:t>
      </w:r>
      <w:r>
        <w:t xml:space="preserve">and</w:t>
      </w:r>
      <w:r>
        <w:t xml:space="preserve"> </w:t>
      </w:r>
      <w:r>
        <w:rPr>
          <w:bCs/>
          <w:b/>
        </w:rPr>
        <w:t xml:space="preserve">मितां ह्रस्वः</w:t>
      </w:r>
      <w:r>
        <w:t xml:space="preserve"> </w:t>
      </w:r>
      <w:r>
        <w:t xml:space="preserve">(पा. सू. ६-४-९२) would shorten the penultimate before</w:t>
      </w:r>
      <w:r>
        <w:t xml:space="preserve"> </w:t>
      </w:r>
      <w:r>
        <w:t xml:space="preserve">“</w:t>
      </w:r>
      <w:r>
        <w:t xml:space="preserve">ṇi</w:t>
      </w:r>
      <w:r>
        <w:t xml:space="preserve">”</w:t>
      </w:r>
      <w:r>
        <w:t xml:space="preserve">; but</w:t>
      </w:r>
      <w:r>
        <w:t xml:space="preserve"> </w:t>
      </w:r>
      <w:r>
        <w:t xml:space="preserve">“</w:t>
      </w:r>
      <w:r>
        <w:t xml:space="preserve">na kamyamicamām</w:t>
      </w:r>
      <w:r>
        <w:t xml:space="preserve">”</w:t>
      </w:r>
      <w:r>
        <w:t xml:space="preserve"> </w:t>
      </w:r>
      <w:r>
        <w:t xml:space="preserve">(bhvā. ga. sū.) withdraws</w:t>
      </w:r>
      <w:r>
        <w:t xml:space="preserve"> </w:t>
      </w:r>
      <w:r>
        <w:t xml:space="preserve">“</w:t>
      </w:r>
      <w:r>
        <w:t xml:space="preserve">mit</w:t>
      </w:r>
      <w:r>
        <w:t xml:space="preserve">”</w:t>
      </w:r>
      <w:r>
        <w:t xml:space="preserve"> </w:t>
      </w:r>
      <w:r>
        <w:t xml:space="preserve">from them, so there is no shortening. After</w:t>
      </w:r>
      <w:r>
        <w:t xml:space="preserve"> </w:t>
      </w:r>
      <w:r>
        <w:t xml:space="preserve">“</w:t>
      </w:r>
      <w:r>
        <w:t xml:space="preserve">kāmi,</w:t>
      </w:r>
      <w:r>
        <w:t xml:space="preserve">”</w:t>
      </w:r>
      <w:r>
        <w:t xml:space="preserve"> </w:t>
      </w:r>
      <w:r>
        <w:rPr>
          <w:bCs/>
          <w:b/>
        </w:rPr>
        <w:t xml:space="preserve">अचो यत्</w:t>
      </w:r>
      <w:r>
        <w:t xml:space="preserve"> </w:t>
      </w:r>
      <w:r>
        <w:t xml:space="preserve">(पा. सू. ३-१-९७)</w:t>
      </w:r>
      <w:r>
        <w:t xml:space="preserve"> </w:t>
      </w:r>
      <w:r>
        <w:t xml:space="preserve">“</w:t>
      </w:r>
      <w:r>
        <w:t xml:space="preserve">yat</w:t>
      </w:r>
      <w:r>
        <w:t xml:space="preserve">”</w:t>
      </w:r>
      <w:r>
        <w:t xml:space="preserve">;</w:t>
      </w:r>
      <w:r>
        <w:t xml:space="preserve"> </w:t>
      </w:r>
      <w:r>
        <w:rPr>
          <w:bCs/>
          <w:b/>
        </w:rPr>
        <w:t xml:space="preserve">णेरनिटि</w:t>
      </w:r>
      <w:r>
        <w:t xml:space="preserve"> </w:t>
      </w:r>
      <w:r>
        <w:t xml:space="preserve">(पा. सू. ६-४-५१) loss of</w:t>
      </w:r>
      <w:r>
        <w:t xml:space="preserve"> </w:t>
      </w:r>
      <w:r>
        <w:t xml:space="preserve">“</w:t>
      </w:r>
      <w:r>
        <w:t xml:space="preserve">ṇi</w:t>
      </w:r>
      <w:r>
        <w:t xml:space="preserve">”</w:t>
      </w:r>
      <w:r>
        <w:t xml:space="preserve">; in the instrumental plural</w:t>
      </w:r>
      <w:r>
        <w:t xml:space="preserve"> </w:t>
      </w:r>
      <w:r>
        <w:t xml:space="preserve">“</w:t>
      </w:r>
      <w:r>
        <w:t xml:space="preserve">kāmyaiḥ,</w:t>
      </w:r>
      <w:r>
        <w:t xml:space="preserve">”</w:t>
      </w:r>
      <w:r>
        <w:t xml:space="preserve"> </w:t>
      </w:r>
      <w:r>
        <w:rPr>
          <w:bCs/>
          <w:b/>
        </w:rPr>
        <w:t xml:space="preserve">तित्स्वरितम्</w:t>
      </w:r>
      <w:r>
        <w:t xml:space="preserve"> </w:t>
      </w:r>
      <w:r>
        <w:t xml:space="preserve">(पा. सू. ६-१-१८५) would give svarita, but</w:t>
      </w:r>
      <w:r>
        <w:t xml:space="preserve"> </w:t>
      </w:r>
      <w:r>
        <w:rPr>
          <w:bCs/>
          <w:b/>
        </w:rPr>
        <w:t xml:space="preserve">यतोऽनावः</w:t>
      </w:r>
      <w:r>
        <w:t xml:space="preserve"> </w:t>
      </w:r>
      <w:r>
        <w:t xml:space="preserve">(पा. सू. ६-१-२१३) sets it aside: first-syllable acute. ॥८॥</w:t>
      </w:r>
    </w:p>
    <w:p>
      <w:r>
        <w:pict>
          <v:rect style="width:0;height:1.5pt" o:hralign="center" o:hrstd="t" o:hr="t"/>
        </w:pict>
      </w:r>
    </w:p>
    <w:bookmarkEnd w:id="282"/>
    <w:bookmarkStart w:id="283" w:name="sūkta-6-the-ninth-mantra"/>
    <w:p>
      <w:pPr>
        <w:pStyle w:val="Heading3"/>
      </w:pPr>
      <w:r>
        <w:t xml:space="preserve">Sūkta 6, The Ninth Mantra</w:t>
      </w:r>
    </w:p>
    <w:p>
      <w:pPr>
        <w:pStyle w:val="FirstParagraph"/>
      </w:pPr>
      <w:r>
        <w:rPr>
          <w:iCs/>
          <w:i/>
        </w:rPr>
        <w:t xml:space="preserve">(Saṃhitā accents as printed; Pada unaccented. In the second line the svarita strokes stand over</w:t>
      </w:r>
      <w:r>
        <w:rPr>
          <w:iCs/>
          <w:i/>
        </w:rPr>
        <w:t xml:space="preserve"> </w:t>
      </w:r>
      <w:r>
        <w:rPr>
          <w:iCs/>
          <w:i/>
        </w:rPr>
        <w:t xml:space="preserve">“</w:t>
      </w:r>
      <w:r>
        <w:rPr>
          <w:iCs/>
          <w:i/>
        </w:rPr>
        <w:t xml:space="preserve">sa</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gi</w:t>
      </w:r>
      <w:r>
        <w:rPr>
          <w:iCs/>
          <w:i/>
        </w:rPr>
        <w:t xml:space="preserve">”</w:t>
      </w:r>
      <w:r>
        <w:rPr>
          <w:iCs/>
          <w:i/>
        </w:rPr>
        <w:t xml:space="preserve"> </w:t>
      </w:r>
      <w:r>
        <w:rPr>
          <w:iCs/>
          <w:i/>
        </w:rPr>
        <w:t xml:space="preserve">in the print; their placement is doubtful, hence [accent ?].)</w:t>
      </w:r>
    </w:p>
    <w:p>
      <w:pPr>
        <w:pStyle w:val="BodyText"/>
      </w:pPr>
      <w:r>
        <w:rPr>
          <w:bCs/>
          <w:b/>
        </w:rPr>
        <w:t xml:space="preserve">॥ Saṃhitā-pāṭhaḥ ॥</w:t>
      </w:r>
    </w:p>
    <w:p>
      <w:pPr>
        <w:pStyle w:val="BlockText"/>
      </w:pPr>
      <w:r>
        <w:t xml:space="preserve">अतः॑ परिज्म॒न्ना ग॑हि दि॒वो वा॑ रोच॒नादधि॑ ।</w:t>
      </w:r>
      <w:r>
        <w:t xml:space="preserve"> </w:t>
      </w:r>
      <w:r>
        <w:t xml:space="preserve">स॑मस्मिन्नृंजते॒ गि॑रः ॥९॥ [accent ?]</w:t>
      </w:r>
    </w:p>
    <w:p>
      <w:pPr>
        <w:pStyle w:val="BlockText"/>
      </w:pPr>
      <w:r>
        <w:rPr>
          <w:iCs/>
          <w:i/>
        </w:rPr>
        <w:t xml:space="preserve">átaḥ parijmannā́ gahi divó vā rocanā́dádhi |</w:t>
      </w:r>
      <w:r>
        <w:t xml:space="preserve"> </w:t>
      </w:r>
      <w:r>
        <w:rPr>
          <w:iCs/>
          <w:i/>
        </w:rPr>
        <w:t xml:space="preserve">samasminnṛṃjate giraḥ ||9||</w:t>
      </w:r>
      <w:r>
        <w:t xml:space="preserve"> </w:t>
      </w:r>
      <w:r>
        <w:t xml:space="preserve">[accent ?]</w:t>
      </w:r>
    </w:p>
    <w:bookmarkEnd w:id="283"/>
    <w:bookmarkStart w:id="284" w:name="X22584f5e549e826e2f7c2183655d0ef31beb31e"/>
    <w:p>
      <w:pPr>
        <w:pStyle w:val="Heading3"/>
      </w:pPr>
      <w:r>
        <w:t xml:space="preserve">Pages 246–247 — Rik 6.9: Pada, Sāyaṇa-bhāṣya, grammar (characterized), Pada-meanings, Bhāvārtha, English, start of Special Topics</w:t>
      </w:r>
    </w:p>
    <w:p>
      <w:pPr>
        <w:pStyle w:val="FirstParagraph"/>
      </w:pPr>
      <w:r>
        <w:rPr>
          <w:iCs/>
          <w:i/>
        </w:rPr>
        <w:t xml:space="preserve">(Page 246 header:</w:t>
      </w:r>
      <w:r>
        <w:rPr>
          <w:iCs/>
          <w:i/>
        </w:rPr>
        <w:t xml:space="preserve"> </w:t>
      </w:r>
      <w:r>
        <w:rPr>
          <w:iCs/>
          <w:i/>
        </w:rPr>
        <w:t xml:space="preserve">“</w:t>
      </w:r>
      <w:r>
        <w:rPr>
          <w:iCs/>
          <w:i/>
        </w:rPr>
        <w:t xml:space="preserve">Maṇ. 1, A. 1, Sū. 6</w:t>
      </w:r>
      <w:r>
        <w:rPr>
          <w:iCs/>
          <w:i/>
        </w:rPr>
        <w:t xml:space="preserve">”</w:t>
      </w:r>
      <w:r>
        <w:rPr>
          <w:iCs/>
          <w:i/>
        </w:rPr>
        <w:t xml:space="preserve">; p. 247 header:</w:t>
      </w:r>
      <w:r>
        <w:rPr>
          <w:iCs/>
          <w:i/>
        </w:rPr>
        <w:t xml:space="preserve"> </w:t>
      </w:r>
      <w:r>
        <w:rPr>
          <w:iCs/>
          <w:i/>
        </w:rPr>
        <w:t xml:space="preserve">“</w:t>
      </w:r>
      <w:r>
        <w:rPr>
          <w:iCs/>
          <w:i/>
        </w:rPr>
        <w:t xml:space="preserve">A. 1, A. 1, Va. 12</w:t>
      </w:r>
      <w:r>
        <w:rPr>
          <w:iCs/>
          <w:i/>
        </w:rPr>
        <w:t xml:space="preserve">”</w:t>
      </w:r>
      <w:r>
        <w:rPr>
          <w:iCs/>
          <w:i/>
        </w:rPr>
        <w:t xml:space="preserve">. Sanskrit printed in Kannada script; re-read from the better scan. The Pada is printed with accents; not reproduced (Pada unaccented).)</w:t>
      </w:r>
    </w:p>
    <w:p>
      <w:pPr>
        <w:pStyle w:val="BodyText"/>
      </w:pPr>
      <w:r>
        <w:rPr>
          <w:bCs/>
          <w:b/>
        </w:rPr>
        <w:t xml:space="preserve">॥ Pada-pāṭhaḥ ॥</w:t>
      </w:r>
    </w:p>
    <w:p>
      <w:pPr>
        <w:pStyle w:val="BlockText"/>
      </w:pPr>
      <w:r>
        <w:t xml:space="preserve">अतः । परिऽज्मन् । आ । गहि । दिवः । वा । रोचनात् । अधि ।</w:t>
      </w:r>
      <w:r>
        <w:t xml:space="preserve"> </w:t>
      </w:r>
      <w:r>
        <w:t xml:space="preserve">सम् । अस्मिन् । ऋञ्जते । गिरः ॥९॥</w:t>
      </w:r>
    </w:p>
    <w:p>
      <w:pPr>
        <w:pStyle w:val="BlockText"/>
      </w:pPr>
      <w:r>
        <w:rPr>
          <w:iCs/>
          <w:i/>
        </w:rPr>
        <w:t xml:space="preserve">ataḥ | pari-jman | ā | gahi | divaḥ | vā | rocanāt | adhi |</w:t>
      </w:r>
      <w:r>
        <w:t xml:space="preserve"> </w:t>
      </w:r>
      <w:r>
        <w:rPr>
          <w:iCs/>
          <w:i/>
        </w:rPr>
        <w:t xml:space="preserve">sam | asmin | ṛñjate | giraḥ ||9||</w:t>
      </w:r>
    </w:p>
    <w:p>
      <w:pPr>
        <w:pStyle w:val="FirstParagraph"/>
      </w:pPr>
      <w:r>
        <w:rPr>
          <w:bCs/>
          <w:b/>
        </w:rPr>
        <w:t xml:space="preserve">॥ Sāyaṇa-bhāṣyam ॥</w:t>
      </w:r>
    </w:p>
    <w:p>
      <w:pPr>
        <w:pStyle w:val="BlockText"/>
      </w:pPr>
      <w:r>
        <w:t xml:space="preserve">हे परिज्मन् परितो व्यापिन्मरुद्गण अतोऽस्मान्मरुद्गणस्थानादन्तरिक्षादा गहि । अस्मिन्कर्मण्यागच्छ । दिवो वा । द्युलोकाद्वा समागच्छ । रोचनादधि । दीप्यमानादादित्यमण्डलाद्वा समागच्छ । अस्मदीयकर्मकाले यत्र यत्र तिष्ठसि ततः सर्वस्मादागच्छेत्यर्थः । किमर्थमागमनमिति तदुच्यते । अस्मिन्कर्मणि वर्तमाने ऋत्विग्गिरः स्तुतीः सम्ऋञ्जते । सम्यक् प्रसाधयति । ऋञ्जतिः प्रसाधनकर्मा । नि. ६-२१ । इति यास्कः । एताः स्तुतीः श्रोतुमागच्छेत्यर्थः । यद्यप्यृत्विजा मन्त्रस्य प्रयुज्यमानत्वादृञ्जतिधातोरुत्तमपुरुषेण भवितव्यं तथापि परोक्षकृतत्वेन निर्देशात्प्रथमपुरुषप्रयोगः । परोक्षकृतलक्षणं च यास्क आह । ताः त्रिविधा ऋचः परोक्षकृताः प्रत्यक्षकृता आध्यात्मिक्यश्च । तत्र परोक्षकृताः सर्वाभिर्नामविभक्तिभिर्युज्यन्ते प्रथमपुरुषैश्चाख्यातस्य । नि. ७-१ [?] । इति ॥</w:t>
      </w:r>
      <w:r>
        <w:t xml:space="preserve"> </w:t>
      </w:r>
      <w:r>
        <w:rPr>
          <w:iCs/>
          <w:i/>
        </w:rPr>
        <w:t xml:space="preserve">he parijman parito vyāpin marud-gaṇa ato ’smān marud-gaṇa-sthānād antarikṣād ā gahi | asmin karmaṇy āgaccha | divo vā | dyulokād vā samāgaccha | rocanād adhi | dīpyamānād āditya-maṇḍalād vā samāgaccha | asmadīya-karma-kāle yatra yatra tiṣṭhasi tataḥ sarvasmād āgacchety arthaḥ | kim-artham āgamanam iti tad ucyate | asmin karmaṇi vartamāne ṛtvig-giraḥ stutīḥ sam-ṛñjate | samyak prasādhayati | ṛñjatiḥ prasādhana-karmā | ni. 6-21 | iti yāskaḥ | etāḥ stutīḥ śrotum āgacchety arthaḥ | yady apy ṛtvijā mantrasya prayujyamānatvād ṛñjati-dhātor uttama-puruṣeṇa bhavitavyaṃ tathāpi parokṣa-kṛtatvena nirdeśāt prathama-puruṣa-prayogaḥ | parokṣa-kṛta-lakṣaṇaṃ ca yāska āha | tās tri-vidhā ṛcaḥ parokṣa-kṛtāḥ pratyakṣa-kṛtā ādhyātmikyaś ca | tatra parokṣa-kṛtāḥ sarvābhir nāma-vibhaktibhir yujyante prathama-puruṣaiś cākhyātasya | ni. 7-1 [?] | iti ||</w:t>
      </w:r>
    </w:p>
    <w:p>
      <w:pPr>
        <w:pStyle w:val="FirstParagraph"/>
      </w:pPr>
      <w:r>
        <w:rPr>
          <w:bCs/>
          <w:b/>
        </w:rPr>
        <w:t xml:space="preserve">Translation:</w:t>
      </w:r>
      <w:r>
        <w:t xml:space="preserve"> </w:t>
      </w:r>
      <w:r>
        <w:t xml:space="preserve">“</w:t>
      </w:r>
      <w:r>
        <w:t xml:space="preserve">O</w:t>
      </w:r>
      <w:r>
        <w:t xml:space="preserve"> </w:t>
      </w:r>
      <w:r>
        <w:t xml:space="preserve">‘</w:t>
      </w:r>
      <w:r>
        <w:t xml:space="preserve">parijman</w:t>
      </w:r>
      <w:r>
        <w:t xml:space="preserve">’</w:t>
      </w:r>
      <w:r>
        <w:t xml:space="preserve"> </w:t>
      </w:r>
      <w:r>
        <w:t xml:space="preserve">— O Marut-host, pervading on all sides!</w:t>
      </w:r>
      <w:r>
        <w:t xml:space="preserve"> </w:t>
      </w:r>
      <w:r>
        <w:t xml:space="preserve">‘</w:t>
      </w:r>
      <w:r>
        <w:t xml:space="preserve">Ataḥ</w:t>
      </w:r>
      <w:r>
        <w:t xml:space="preserve">’</w:t>
      </w:r>
      <w:r>
        <w:t xml:space="preserve"> </w:t>
      </w:r>
      <w:r>
        <w:t xml:space="preserve">— from this place of yours, the Marut-host, or from the atmosphere —</w:t>
      </w:r>
      <w:r>
        <w:t xml:space="preserve"> </w:t>
      </w:r>
      <w:r>
        <w:t xml:space="preserve">‘</w:t>
      </w:r>
      <w:r>
        <w:t xml:space="preserve">ā gahi</w:t>
      </w:r>
      <w:r>
        <w:t xml:space="preserve">’</w:t>
      </w:r>
      <w:r>
        <w:t xml:space="preserve"> </w:t>
      </w:r>
      <w:r>
        <w:t xml:space="preserve">— come to this rite.</w:t>
      </w:r>
      <w:r>
        <w:t xml:space="preserve"> </w:t>
      </w:r>
      <w:r>
        <w:t xml:space="preserve">‘</w:t>
      </w:r>
      <w:r>
        <w:t xml:space="preserve">Divo vā</w:t>
      </w:r>
      <w:r>
        <w:t xml:space="preserve">’</w:t>
      </w:r>
      <w:r>
        <w:t xml:space="preserve"> </w:t>
      </w:r>
      <w:r>
        <w:t xml:space="preserve">— or come from the world of heaven.</w:t>
      </w:r>
      <w:r>
        <w:t xml:space="preserve"> </w:t>
      </w:r>
      <w:r>
        <w:t xml:space="preserve">‘</w:t>
      </w:r>
      <w:r>
        <w:t xml:space="preserve">Rocanād adhi</w:t>
      </w:r>
      <w:r>
        <w:t xml:space="preserve">’</w:t>
      </w:r>
      <w:r>
        <w:t xml:space="preserve"> </w:t>
      </w:r>
      <w:r>
        <w:t xml:space="preserve">— or come from the shining disc of the sun. The sense is: at the time of our rite, wherever you are standing, from there come. For what purpose the coming? That is said: while this rite is going on, the priests’ voices, the praises,</w:t>
      </w:r>
      <w:r>
        <w:t xml:space="preserve"> </w:t>
      </w:r>
      <w:r>
        <w:t xml:space="preserve">‘</w:t>
      </w:r>
      <w:r>
        <w:t xml:space="preserve">sam ṛñjate</w:t>
      </w:r>
      <w:r>
        <w:t xml:space="preserve">’</w:t>
      </w:r>
      <w:r>
        <w:t xml:space="preserve"> </w:t>
      </w:r>
      <w:r>
        <w:t xml:space="preserve">— adorn well, that is, accomplish well.</w:t>
      </w:r>
      <w:r>
        <w:t xml:space="preserve"> </w:t>
      </w:r>
      <w:r>
        <w:t xml:space="preserve">‘</w:t>
      </w:r>
      <w:r>
        <w:t xml:space="preserve">Ṛñjati</w:t>
      </w:r>
      <w:r>
        <w:t xml:space="preserve">’</w:t>
      </w:r>
      <w:r>
        <w:t xml:space="preserve"> </w:t>
      </w:r>
      <w:r>
        <w:t xml:space="preserve">is a verb of accomplishing (Yāska, Nirukta 6-21). The sense: come to hear these praises. Although, since the mantra is being used by the priest, the root</w:t>
      </w:r>
      <w:r>
        <w:t xml:space="preserve"> </w:t>
      </w:r>
      <w:r>
        <w:t xml:space="preserve">‘</w:t>
      </w:r>
      <w:r>
        <w:t xml:space="preserve">ṛñj</w:t>
      </w:r>
      <w:r>
        <w:t xml:space="preserve">’</w:t>
      </w:r>
      <w:r>
        <w:t xml:space="preserve"> </w:t>
      </w:r>
      <w:r>
        <w:t xml:space="preserve">ought to be in the first person, nevertheless, because the statement is made in the indirect (parokṣa-kṛta) manner, the third person is used. And Yāska gives the mark of the</w:t>
      </w:r>
      <w:r>
        <w:t xml:space="preserve"> </w:t>
      </w:r>
      <w:r>
        <w:t xml:space="preserve">‘</w:t>
      </w:r>
      <w:r>
        <w:t xml:space="preserve">parokṣa-kṛta</w:t>
      </w:r>
      <w:r>
        <w:t xml:space="preserve">’</w:t>
      </w:r>
      <w:r>
        <w:t xml:space="preserve">:</w:t>
      </w:r>
      <w:r>
        <w:t xml:space="preserve"> </w:t>
      </w:r>
      <w:r>
        <w:t xml:space="preserve">‘</w:t>
      </w:r>
      <w:r>
        <w:t xml:space="preserve">Those verses are of three kinds: indirect, direct, and personal-spiritual. Of these, the indirect are joined with all the case-endings of nouns, and with the third person of the verb</w:t>
      </w:r>
      <w:r>
        <w:t xml:space="preserve">’</w:t>
      </w:r>
      <w:r>
        <w:t xml:space="preserve"> </w:t>
      </w:r>
      <w:r>
        <w:t xml:space="preserve">(Nirukta 7-1 [?]).</w:t>
      </w:r>
      <w:r>
        <w:t xml:space="preserve">”</w:t>
      </w:r>
    </w:p>
    <w:p>
      <w:pPr>
        <w:pStyle w:val="BodyText"/>
      </w:pPr>
      <w:r>
        <w:rPr>
          <w:iCs/>
          <w:i/>
        </w:rPr>
        <w:t xml:space="preserve">(The Nirukta reference for the parokṣa-kṛta definition prints a first digit that looks like 7 but may be 2, hence [?].)</w:t>
      </w:r>
    </w:p>
    <w:p>
      <w:pPr>
        <w:pStyle w:val="BodyText"/>
      </w:pPr>
      <w:r>
        <w:rPr>
          <w:bCs/>
          <w:b/>
        </w:rPr>
        <w:t xml:space="preserve">Grammar of the Bhāṣya (characterized; references as printed):</w:t>
      </w:r>
      <w:r>
        <w:t xml:space="preserve"> </w:t>
      </w:r>
      <w:r>
        <w:rPr>
          <w:bCs/>
          <w:b/>
        </w:rPr>
        <w:t xml:space="preserve">“</w:t>
      </w:r>
      <w:r>
        <w:rPr>
          <w:bCs/>
          <w:b/>
        </w:rPr>
        <w:t xml:space="preserve">Ataḥ</w:t>
      </w:r>
      <w:r>
        <w:rPr>
          <w:bCs/>
          <w:b/>
        </w:rPr>
        <w:t xml:space="preserve">”</w:t>
      </w:r>
      <w:r>
        <w:t xml:space="preserve"> </w:t>
      </w:r>
      <w:r>
        <w:t xml:space="preserve">—</w:t>
      </w:r>
      <w:r>
        <w:t xml:space="preserve"> </w:t>
      </w:r>
      <w:r>
        <w:rPr>
          <w:bCs/>
          <w:b/>
        </w:rPr>
        <w:t xml:space="preserve">पञ्चम्यास्तसिल्</w:t>
      </w:r>
      <w:r>
        <w:t xml:space="preserve"> </w:t>
      </w:r>
      <w:r>
        <w:t xml:space="preserve">(पा. ५-३-७);</w:t>
      </w:r>
      <w:r>
        <w:t xml:space="preserve"> </w:t>
      </w:r>
      <w:r>
        <w:rPr>
          <w:bCs/>
          <w:b/>
        </w:rPr>
        <w:t xml:space="preserve">एतदोऽश्</w:t>
      </w:r>
      <w:r>
        <w:t xml:space="preserve"> </w:t>
      </w:r>
      <w:r>
        <w:t xml:space="preserve">(पा. ५-३-५),</w:t>
      </w:r>
      <w:r>
        <w:t xml:space="preserve"> </w:t>
      </w:r>
      <w:r>
        <w:t xml:space="preserve">“</w:t>
      </w:r>
      <w:r>
        <w:t xml:space="preserve">ś</w:t>
      </w:r>
      <w:r>
        <w:t xml:space="preserve">”</w:t>
      </w:r>
      <w:r>
        <w:t xml:space="preserve">-marked, so it replaces the whole stem (पा. १-१-५५);</w:t>
      </w:r>
      <w:r>
        <w:t xml:space="preserve"> </w:t>
      </w:r>
      <w:r>
        <w:t xml:space="preserve">“</w:t>
      </w:r>
      <w:r>
        <w:t xml:space="preserve">tasil</w:t>
      </w:r>
      <w:r>
        <w:t xml:space="preserve">”</w:t>
      </w:r>
      <w:r>
        <w:t xml:space="preserve"> </w:t>
      </w:r>
      <w:r>
        <w:t xml:space="preserve">being</w:t>
      </w:r>
      <w:r>
        <w:t xml:space="preserve"> </w:t>
      </w:r>
      <w:r>
        <w:t xml:space="preserve">“</w:t>
      </w:r>
      <w:r>
        <w:t xml:space="preserve">l</w:t>
      </w:r>
      <w:r>
        <w:t xml:space="preserve">”</w:t>
      </w:r>
      <w:r>
        <w:t xml:space="preserve">-marked, the syllable before the affix is acute (</w:t>
      </w:r>
      <w:r>
        <w:t xml:space="preserve">“</w:t>
      </w:r>
      <w:r>
        <w:t xml:space="preserve">liti</w:t>
      </w:r>
      <w:r>
        <w:t xml:space="preserve">”</w:t>
      </w:r>
      <w:r>
        <w:t xml:space="preserve">).</w:t>
      </w:r>
      <w:r>
        <w:t xml:space="preserve"> </w:t>
      </w:r>
      <w:r>
        <w:rPr>
          <w:bCs/>
          <w:b/>
        </w:rPr>
        <w:t xml:space="preserve">“</w:t>
      </w:r>
      <w:r>
        <w:rPr>
          <w:bCs/>
          <w:b/>
        </w:rPr>
        <w:t xml:space="preserve">Parijman</w:t>
      </w:r>
      <w:r>
        <w:rPr>
          <w:bCs/>
          <w:b/>
        </w:rPr>
        <w:t xml:space="preserve">”</w:t>
      </w:r>
      <w:r>
        <w:t xml:space="preserve"> </w:t>
      </w:r>
      <w:r>
        <w:t xml:space="preserve">—</w:t>
      </w:r>
      <w:r>
        <w:t xml:space="preserve"> </w:t>
      </w:r>
      <w:r>
        <w:t xml:space="preserve">“</w:t>
      </w:r>
      <w:r>
        <w:t xml:space="preserve">aja gati-kṣepaṇayoḥ</w:t>
      </w:r>
      <w:r>
        <w:t xml:space="preserve">”</w:t>
      </w:r>
      <w:r>
        <w:t xml:space="preserve"> </w:t>
      </w:r>
      <w:r>
        <w:t xml:space="preserve">with</w:t>
      </w:r>
      <w:r>
        <w:t xml:space="preserve"> </w:t>
      </w:r>
      <w:r>
        <w:t xml:space="preserve">“</w:t>
      </w:r>
      <w:r>
        <w:t xml:space="preserve">manin</w:t>
      </w:r>
      <w:r>
        <w:t xml:space="preserve">”</w:t>
      </w:r>
      <w:r>
        <w:t xml:space="preserve"> </w:t>
      </w:r>
      <w:r>
        <w:t xml:space="preserve">by</w:t>
      </w:r>
      <w:r>
        <w:t xml:space="preserve"> </w:t>
      </w:r>
      <w:r>
        <w:rPr>
          <w:bCs/>
          <w:b/>
        </w:rPr>
        <w:t xml:space="preserve">अन्येभ्योऽपि दृश्यन्ते</w:t>
      </w:r>
      <w:r>
        <w:t xml:space="preserve"> </w:t>
      </w:r>
      <w:r>
        <w:t xml:space="preserve">(पा. ३-२-७५); the loss of</w:t>
      </w:r>
      <w:r>
        <w:t xml:space="preserve"> </w:t>
      </w:r>
      <w:r>
        <w:t xml:space="preserve">“</w:t>
      </w:r>
      <w:r>
        <w:t xml:space="preserve">a</w:t>
      </w:r>
      <w:r>
        <w:t xml:space="preserve">”</w:t>
      </w:r>
      <w:r>
        <w:t xml:space="preserve"> </w:t>
      </w:r>
      <w:r>
        <w:t xml:space="preserve">is Vedic; vocative nighāta.</w:t>
      </w:r>
      <w:r>
        <w:t xml:space="preserve"> </w:t>
      </w:r>
      <w:r>
        <w:rPr>
          <w:bCs/>
          <w:b/>
        </w:rPr>
        <w:t xml:space="preserve">“</w:t>
      </w:r>
      <w:r>
        <w:rPr>
          <w:bCs/>
          <w:b/>
        </w:rPr>
        <w:t xml:space="preserve">Gahi</w:t>
      </w:r>
      <w:r>
        <w:rPr>
          <w:bCs/>
          <w:b/>
        </w:rPr>
        <w:t xml:space="preserve">”</w:t>
      </w:r>
      <w:r>
        <w:t xml:space="preserve"> </w:t>
      </w:r>
      <w:r>
        <w:t xml:space="preserve">—</w:t>
      </w:r>
      <w:r>
        <w:t xml:space="preserve"> </w:t>
      </w:r>
      <w:r>
        <w:rPr>
          <w:bCs/>
          <w:b/>
        </w:rPr>
        <w:t xml:space="preserve">गमेर्बहुलं छन्दसि</w:t>
      </w:r>
      <w:r>
        <w:t xml:space="preserve"> </w:t>
      </w:r>
      <w:r>
        <w:t xml:space="preserve">(as printed; पा. २-४-७३)</w:t>
      </w:r>
      <w:r>
        <w:t xml:space="preserve"> </w:t>
      </w:r>
      <w:r>
        <w:t xml:space="preserve">“</w:t>
      </w:r>
      <w:r>
        <w:t xml:space="preserve">luk</w:t>
      </w:r>
      <w:r>
        <w:t xml:space="preserve">”</w:t>
      </w:r>
      <w:r>
        <w:t xml:space="preserve"> </w:t>
      </w:r>
      <w:r>
        <w:t xml:space="preserve">of</w:t>
      </w:r>
      <w:r>
        <w:t xml:space="preserve"> </w:t>
      </w:r>
      <w:r>
        <w:t xml:space="preserve">“</w:t>
      </w:r>
      <w:r>
        <w:t xml:space="preserve">śap</w:t>
      </w:r>
      <w:r>
        <w:t xml:space="preserve">”</w:t>
      </w:r>
      <w:r>
        <w:t xml:space="preserve">;</w:t>
      </w:r>
      <w:r>
        <w:t xml:space="preserve"> </w:t>
      </w:r>
      <w:r>
        <w:t xml:space="preserve">“</w:t>
      </w:r>
      <w:r>
        <w:t xml:space="preserve">hi</w:t>
      </w:r>
      <w:r>
        <w:t xml:space="preserve">”</w:t>
      </w:r>
      <w:r>
        <w:t xml:space="preserve"> </w:t>
      </w:r>
      <w:r>
        <w:t xml:space="preserve">being</w:t>
      </w:r>
      <w:r>
        <w:t xml:space="preserve"> </w:t>
      </w:r>
      <w:r>
        <w:t xml:space="preserve">“</w:t>
      </w:r>
      <w:r>
        <w:t xml:space="preserve">ṅit</w:t>
      </w:r>
      <w:r>
        <w:t xml:space="preserve">”</w:t>
      </w:r>
      <w:r>
        <w:t xml:space="preserve"> </w:t>
      </w:r>
      <w:r>
        <w:t xml:space="preserve">(पा. ३-४-८७), the</w:t>
      </w:r>
      <w:r>
        <w:t xml:space="preserve"> </w:t>
      </w:r>
      <w:r>
        <w:t xml:space="preserve">“</w:t>
      </w:r>
      <w:r>
        <w:t xml:space="preserve">m</w:t>
      </w:r>
      <w:r>
        <w:t xml:space="preserve">”</w:t>
      </w:r>
      <w:r>
        <w:t xml:space="preserve"> </w:t>
      </w:r>
      <w:r>
        <w:t xml:space="preserve">is lost by</w:t>
      </w:r>
      <w:r>
        <w:t xml:space="preserve"> </w:t>
      </w:r>
      <w:r>
        <w:t xml:space="preserve">“</w:t>
      </w:r>
      <w:r>
        <w:t xml:space="preserve">anudāttopadeśa…</w:t>
      </w:r>
      <w:r>
        <w:t xml:space="preserve">”</w:t>
      </w:r>
      <w:r>
        <w:t xml:space="preserve"> </w:t>
      </w:r>
      <w:r>
        <w:t xml:space="preserve">(पा. ६-४-३७);</w:t>
      </w:r>
      <w:r>
        <w:t xml:space="preserve"> </w:t>
      </w:r>
      <w:r>
        <w:rPr>
          <w:bCs/>
          <w:b/>
        </w:rPr>
        <w:t xml:space="preserve">अतो हेः</w:t>
      </w:r>
      <w:r>
        <w:t xml:space="preserve"> </w:t>
      </w:r>
      <w:r>
        <w:t xml:space="preserve">(पा. ६-४-१०५) does not elide</w:t>
      </w:r>
      <w:r>
        <w:t xml:space="preserve"> </w:t>
      </w:r>
      <w:r>
        <w:t xml:space="preserve">“</w:t>
      </w:r>
      <w:r>
        <w:t xml:space="preserve">hi,</w:t>
      </w:r>
      <w:r>
        <w:t xml:space="preserve">”</w:t>
      </w:r>
      <w:r>
        <w:t xml:space="preserve"> </w:t>
      </w:r>
      <w:r>
        <w:t xml:space="preserve">because the loss of</w:t>
      </w:r>
      <w:r>
        <w:t xml:space="preserve"> </w:t>
      </w:r>
      <w:r>
        <w:t xml:space="preserve">“</w:t>
      </w:r>
      <w:r>
        <w:t xml:space="preserve">m</w:t>
      </w:r>
      <w:r>
        <w:t xml:space="preserve">”</w:t>
      </w:r>
      <w:r>
        <w:t xml:space="preserve"> </w:t>
      </w:r>
      <w:r>
        <w:t xml:space="preserve">is treated as not effected for it by</w:t>
      </w:r>
      <w:r>
        <w:t xml:space="preserve"> </w:t>
      </w:r>
      <w:r>
        <w:rPr>
          <w:bCs/>
          <w:b/>
        </w:rPr>
        <w:t xml:space="preserve">असिद्धवदत्राभात्</w:t>
      </w:r>
      <w:r>
        <w:t xml:space="preserve"> </w:t>
      </w:r>
      <w:r>
        <w:t xml:space="preserve">(पा. ६-४-२२), so the stem does not end in</w:t>
      </w:r>
      <w:r>
        <w:t xml:space="preserve"> </w:t>
      </w:r>
      <w:r>
        <w:t xml:space="preserve">“</w:t>
      </w:r>
      <w:r>
        <w:t xml:space="preserve">a.</w:t>
      </w:r>
      <w:r>
        <w:t xml:space="preserve">”</w:t>
      </w:r>
      <w:r>
        <w:t xml:space="preserve"> </w:t>
      </w:r>
      <w:r>
        <w:rPr>
          <w:bCs/>
          <w:b/>
        </w:rPr>
        <w:t xml:space="preserve">“</w:t>
      </w:r>
      <w:r>
        <w:rPr>
          <w:bCs/>
          <w:b/>
        </w:rPr>
        <w:t xml:space="preserve">Divaḥ</w:t>
      </w:r>
      <w:r>
        <w:rPr>
          <w:bCs/>
          <w:b/>
        </w:rPr>
        <w:t xml:space="preserve">”</w:t>
      </w:r>
      <w:r>
        <w:t xml:space="preserve"> </w:t>
      </w:r>
      <w:r>
        <w:t xml:space="preserve">— the case-ending acute by</w:t>
      </w:r>
      <w:r>
        <w:t xml:space="preserve"> </w:t>
      </w:r>
      <w:r>
        <w:t xml:space="preserve">“</w:t>
      </w:r>
      <w:r>
        <w:t xml:space="preserve">ūḍidam…</w:t>
      </w:r>
      <w:r>
        <w:t xml:space="preserve">”</w:t>
      </w:r>
      <w:r>
        <w:t xml:space="preserve">.</w:t>
      </w:r>
      <w:r>
        <w:t xml:space="preserve"> </w:t>
      </w:r>
      <w:r>
        <w:rPr>
          <w:bCs/>
          <w:b/>
        </w:rPr>
        <w:t xml:space="preserve">“</w:t>
      </w:r>
      <w:r>
        <w:rPr>
          <w:bCs/>
          <w:b/>
        </w:rPr>
        <w:t xml:space="preserve">Vā</w:t>
      </w:r>
      <w:r>
        <w:rPr>
          <w:bCs/>
          <w:b/>
        </w:rPr>
        <w:t xml:space="preserve">”</w:t>
      </w:r>
      <w:r>
        <w:t xml:space="preserve"> </w:t>
      </w:r>
      <w:r>
        <w:t xml:space="preserve">—</w:t>
      </w:r>
      <w:r>
        <w:t xml:space="preserve"> </w:t>
      </w:r>
      <w:r>
        <w:rPr>
          <w:bCs/>
          <w:b/>
        </w:rPr>
        <w:t xml:space="preserve">चादयोऽनुदात्ताः</w:t>
      </w:r>
      <w:r>
        <w:t xml:space="preserve"> </w:t>
      </w:r>
      <w:r>
        <w:t xml:space="preserve">(फि. ४-१६), unaccented.</w:t>
      </w:r>
      <w:r>
        <w:t xml:space="preserve"> </w:t>
      </w:r>
      <w:r>
        <w:rPr>
          <w:bCs/>
          <w:b/>
        </w:rPr>
        <w:t xml:space="preserve">“</w:t>
      </w:r>
      <w:r>
        <w:rPr>
          <w:bCs/>
          <w:b/>
        </w:rPr>
        <w:t xml:space="preserve">Rocanāt</w:t>
      </w:r>
      <w:r>
        <w:rPr>
          <w:bCs/>
          <w:b/>
        </w:rPr>
        <w:t xml:space="preserve">”</w:t>
      </w:r>
      <w:r>
        <w:t xml:space="preserve"> </w:t>
      </w:r>
      <w:r>
        <w:t xml:space="preserve">—</w:t>
      </w:r>
      <w:r>
        <w:t xml:space="preserve"> </w:t>
      </w:r>
      <w:r>
        <w:t xml:space="preserve">“</w:t>
      </w:r>
      <w:r>
        <w:t xml:space="preserve">ruca dīptau,</w:t>
      </w:r>
      <w:r>
        <w:t xml:space="preserve">”</w:t>
      </w:r>
      <w:r>
        <w:t xml:space="preserve"> </w:t>
      </w:r>
      <w:r>
        <w:t xml:space="preserve">“</w:t>
      </w:r>
      <w:r>
        <w:t xml:space="preserve">yuc</w:t>
      </w:r>
      <w:r>
        <w:t xml:space="preserve">”</w:t>
      </w:r>
      <w:r>
        <w:t xml:space="preserve"> </w:t>
      </w:r>
      <w:r>
        <w:t xml:space="preserve">by</w:t>
      </w:r>
      <w:r>
        <w:t xml:space="preserve"> </w:t>
      </w:r>
      <w:r>
        <w:rPr>
          <w:bCs/>
          <w:b/>
        </w:rPr>
        <w:t xml:space="preserve">अनुदात्तेतश्च हलादेः</w:t>
      </w:r>
      <w:r>
        <w:t xml:space="preserve"> </w:t>
      </w:r>
      <w:r>
        <w:t xml:space="preserve">(पा. ३-२-१४९);</w:t>
      </w:r>
      <w:r>
        <w:t xml:space="preserve"> </w:t>
      </w:r>
      <w:r>
        <w:rPr>
          <w:bCs/>
          <w:b/>
        </w:rPr>
        <w:t xml:space="preserve">युवोरनाकौ</w:t>
      </w:r>
      <w:r>
        <w:t xml:space="preserve"> </w:t>
      </w:r>
      <w:r>
        <w:t xml:space="preserve">(पा. ७-१-१)</w:t>
      </w:r>
      <w:r>
        <w:t xml:space="preserve"> </w:t>
      </w:r>
      <w:r>
        <w:t xml:space="preserve">“</w:t>
      </w:r>
      <w:r>
        <w:t xml:space="preserve">ana</w:t>
      </w:r>
      <w:r>
        <w:t xml:space="preserve">”</w:t>
      </w:r>
      <w:r>
        <w:t xml:space="preserve">;</w:t>
      </w:r>
      <w:r>
        <w:t xml:space="preserve"> </w:t>
      </w:r>
      <w:r>
        <w:t xml:space="preserve">“</w:t>
      </w:r>
      <w:r>
        <w:t xml:space="preserve">c</w:t>
      </w:r>
      <w:r>
        <w:t xml:space="preserve">”</w:t>
      </w:r>
      <w:r>
        <w:t xml:space="preserve">-marked, end-acute.</w:t>
      </w:r>
      <w:r>
        <w:t xml:space="preserve"> </w:t>
      </w:r>
      <w:r>
        <w:rPr>
          <w:bCs/>
          <w:b/>
        </w:rPr>
        <w:t xml:space="preserve">“</w:t>
      </w:r>
      <w:r>
        <w:rPr>
          <w:bCs/>
          <w:b/>
        </w:rPr>
        <w:t xml:space="preserve">Adhi</w:t>
      </w:r>
      <w:r>
        <w:rPr>
          <w:bCs/>
          <w:b/>
        </w:rPr>
        <w:t xml:space="preserve">”</w:t>
      </w:r>
      <w:r>
        <w:t xml:space="preserve"> </w:t>
      </w:r>
      <w:r>
        <w:t xml:space="preserve">—</w:t>
      </w:r>
      <w:r>
        <w:t xml:space="preserve"> </w:t>
      </w:r>
      <w:r>
        <w:rPr>
          <w:bCs/>
          <w:b/>
        </w:rPr>
        <w:t xml:space="preserve">अधिपरी अनर्थकौ</w:t>
      </w:r>
      <w:r>
        <w:t xml:space="preserve"> </w:t>
      </w:r>
      <w:r>
        <w:t xml:space="preserve">(पा. १-४-९३), a karmapravacanīya, together with the nipāta designation, so first-syllable acute by</w:t>
      </w:r>
      <w:r>
        <w:t xml:space="preserve"> </w:t>
      </w:r>
      <w:r>
        <w:t xml:space="preserve">“</w:t>
      </w:r>
      <w:r>
        <w:t xml:space="preserve">nipātā ādyudāttāḥ.</w:t>
      </w:r>
      <w:r>
        <w:t xml:space="preserve">”</w:t>
      </w:r>
      <w:r>
        <w:t xml:space="preserve"> </w:t>
      </w:r>
      <w:r>
        <w:rPr>
          <w:bCs/>
          <w:b/>
        </w:rPr>
        <w:t xml:space="preserve">“</w:t>
      </w:r>
      <w:r>
        <w:rPr>
          <w:bCs/>
          <w:b/>
        </w:rPr>
        <w:t xml:space="preserve">Asmin</w:t>
      </w:r>
      <w:r>
        <w:rPr>
          <w:bCs/>
          <w:b/>
        </w:rPr>
        <w:t xml:space="preserve">”</w:t>
      </w:r>
      <w:r>
        <w:t xml:space="preserve"> </w:t>
      </w:r>
      <w:r>
        <w:t xml:space="preserve">— as in</w:t>
      </w:r>
      <w:r>
        <w:t xml:space="preserve"> </w:t>
      </w:r>
      <w:r>
        <w:t xml:space="preserve">“</w:t>
      </w:r>
      <w:r>
        <w:t xml:space="preserve">parijman</w:t>
      </w:r>
      <w:r>
        <w:t xml:space="preserve">”</w:t>
      </w:r>
      <w:r>
        <w:t xml:space="preserve"> </w:t>
      </w:r>
      <w:r>
        <w:t xml:space="preserve">etc.,</w:t>
      </w:r>
      <w:r>
        <w:t xml:space="preserve"> </w:t>
      </w:r>
      <w:r>
        <w:t xml:space="preserve">“</w:t>
      </w:r>
      <w:r>
        <w:t xml:space="preserve">idam</w:t>
      </w:r>
      <w:r>
        <w:t xml:space="preserve">”</w:t>
      </w:r>
      <w:r>
        <w:t xml:space="preserve"> </w:t>
      </w:r>
      <w:r>
        <w:t xml:space="preserve">is replaced, in anvādeśa, by an unaccented</w:t>
      </w:r>
      <w:r>
        <w:t xml:space="preserve"> </w:t>
      </w:r>
      <w:r>
        <w:t xml:space="preserve">“</w:t>
      </w:r>
      <w:r>
        <w:t xml:space="preserve">aś</w:t>
      </w:r>
      <w:r>
        <w:t xml:space="preserve">”</w:t>
      </w:r>
      <w:r>
        <w:t xml:space="preserve"> </w:t>
      </w:r>
      <w:r>
        <w:t xml:space="preserve">in the third and following cases (पा. २-४-३२),</w:t>
      </w:r>
      <w:r>
        <w:t xml:space="preserve"> </w:t>
      </w:r>
      <w:r>
        <w:t xml:space="preserve">“</w:t>
      </w:r>
      <w:r>
        <w:t xml:space="preserve">ś</w:t>
      </w:r>
      <w:r>
        <w:t xml:space="preserve">”</w:t>
      </w:r>
      <w:r>
        <w:t xml:space="preserve">-marked so replacing the whole stem; the case-ending is unaccented by</w:t>
      </w:r>
      <w:r>
        <w:t xml:space="preserve"> </w:t>
      </w:r>
      <w:r>
        <w:rPr>
          <w:bCs/>
          <w:b/>
        </w:rPr>
        <w:t xml:space="preserve">अनुदात्तौ सुप्पितौ</w:t>
      </w:r>
      <w:r>
        <w:t xml:space="preserve"> </w:t>
      </w:r>
      <w:r>
        <w:t xml:space="preserve">(पा. ३-१-४), so the whole word is unaccented.</w:t>
      </w:r>
      <w:r>
        <w:t xml:space="preserve"> </w:t>
      </w:r>
      <w:r>
        <w:rPr>
          <w:bCs/>
          <w:b/>
        </w:rPr>
        <w:t xml:space="preserve">“</w:t>
      </w:r>
      <w:r>
        <w:rPr>
          <w:bCs/>
          <w:b/>
        </w:rPr>
        <w:t xml:space="preserve">Ṛñjate</w:t>
      </w:r>
      <w:r>
        <w:rPr>
          <w:bCs/>
          <w:b/>
        </w:rPr>
        <w:t xml:space="preserve">”</w:t>
      </w:r>
      <w:r>
        <w:t xml:space="preserve"> </w:t>
      </w:r>
      <w:r>
        <w:t xml:space="preserve">—</w:t>
      </w:r>
      <w:r>
        <w:t xml:space="preserve"> </w:t>
      </w:r>
      <w:r>
        <w:t xml:space="preserve">“</w:t>
      </w:r>
      <w:r>
        <w:t xml:space="preserve">ṛji bhṛjī bharjane,</w:t>
      </w:r>
      <w:r>
        <w:t xml:space="preserve">”</w:t>
      </w:r>
      <w:r>
        <w:t xml:space="preserve"> </w:t>
      </w:r>
      <w:r>
        <w:t xml:space="preserve">with</w:t>
      </w:r>
      <w:r>
        <w:t xml:space="preserve"> </w:t>
      </w:r>
      <w:r>
        <w:t xml:space="preserve">“</w:t>
      </w:r>
      <w:r>
        <w:t xml:space="preserve">sam</w:t>
      </w:r>
      <w:r>
        <w:t xml:space="preserve">”</w:t>
      </w:r>
      <w:r>
        <w:t xml:space="preserve"> </w:t>
      </w:r>
      <w:r>
        <w:t xml:space="preserve">in the sense of</w:t>
      </w:r>
      <w:r>
        <w:t xml:space="preserve"> </w:t>
      </w:r>
      <w:r>
        <w:t xml:space="preserve">“</w:t>
      </w:r>
      <w:r>
        <w:t xml:space="preserve">accomplishing</w:t>
      </w:r>
      <w:r>
        <w:t xml:space="preserve">”</w:t>
      </w:r>
      <w:r>
        <w:t xml:space="preserve">; nighāta.</w:t>
      </w:r>
      <w:r>
        <w:t xml:space="preserve"> </w:t>
      </w:r>
      <w:r>
        <w:rPr>
          <w:bCs/>
          <w:b/>
        </w:rPr>
        <w:t xml:space="preserve">“</w:t>
      </w:r>
      <w:r>
        <w:rPr>
          <w:bCs/>
          <w:b/>
        </w:rPr>
        <w:t xml:space="preserve">Giraḥ</w:t>
      </w:r>
      <w:r>
        <w:rPr>
          <w:bCs/>
          <w:b/>
        </w:rPr>
        <w:t xml:space="preserve">”</w:t>
      </w:r>
      <w:r>
        <w:t xml:space="preserve"> </w:t>
      </w:r>
      <w:r>
        <w:t xml:space="preserve">— the stem accent.</w:t>
      </w:r>
    </w:p>
    <w:p>
      <w:pPr>
        <w:pStyle w:val="BodyText"/>
      </w:pPr>
      <w:r>
        <w:rPr>
          <w:bCs/>
          <w:b/>
        </w:rPr>
        <w:t xml:space="preserve">॥ Prati-padārthaḥ ॥</w:t>
      </w:r>
      <w:r>
        <w:t xml:space="preserve"> </w:t>
      </w:r>
      <w:r>
        <w:rPr>
          <w:iCs/>
          <w:i/>
        </w:rPr>
        <w:t xml:space="preserve">(Kannada, translated, p. 247)</w:t>
      </w:r>
    </w:p>
    <w:p>
      <w:pPr>
        <w:pStyle w:val="BodyText"/>
      </w:pPr>
      <w:r>
        <w:rPr>
          <w:bCs/>
          <w:b/>
        </w:rPr>
        <w:t xml:space="preserve">हे परिज्मन् (he parijman)</w:t>
      </w:r>
      <w:r>
        <w:t xml:space="preserve"> </w:t>
      </w:r>
      <w:r>
        <w:t xml:space="preserve">— O Maruts, pervading on every side!</w:t>
      </w:r>
      <w:r>
        <w:t xml:space="preserve"> </w:t>
      </w:r>
      <w:r>
        <w:rPr>
          <w:bCs/>
          <w:b/>
        </w:rPr>
        <w:t xml:space="preserve">अतः (ataḥ)</w:t>
      </w:r>
      <w:r>
        <w:t xml:space="preserve"> </w:t>
      </w:r>
      <w:r>
        <w:t xml:space="preserve">— from your place, the atmosphere |</w:t>
      </w:r>
      <w:r>
        <w:t xml:space="preserve"> </w:t>
      </w:r>
      <w:r>
        <w:rPr>
          <w:bCs/>
          <w:b/>
        </w:rPr>
        <w:t xml:space="preserve">दिवो वा (divo vā)</w:t>
      </w:r>
      <w:r>
        <w:t xml:space="preserve"> </w:t>
      </w:r>
      <w:r>
        <w:t xml:space="preserve">— or from the world of heaven |</w:t>
      </w:r>
      <w:r>
        <w:t xml:space="preserve"> </w:t>
      </w:r>
      <w:r>
        <w:rPr>
          <w:bCs/>
          <w:b/>
        </w:rPr>
        <w:t xml:space="preserve">रोचनात् (rocanāt)</w:t>
      </w:r>
      <w:r>
        <w:t xml:space="preserve"> </w:t>
      </w:r>
      <w:r>
        <w:t xml:space="preserve">— from the shining sun-disc |</w:t>
      </w:r>
      <w:r>
        <w:t xml:space="preserve"> </w:t>
      </w:r>
      <w:r>
        <w:rPr>
          <w:bCs/>
          <w:b/>
        </w:rPr>
        <w:t xml:space="preserve">अस्मिन् (asmin)</w:t>
      </w:r>
      <w:r>
        <w:t xml:space="preserve"> </w:t>
      </w:r>
      <w:r>
        <w:t xml:space="preserve">— to this sacrifice that we are performing, that is, to the sacrificial place |</w:t>
      </w:r>
      <w:r>
        <w:t xml:space="preserve"> </w:t>
      </w:r>
      <w:r>
        <w:rPr>
          <w:bCs/>
          <w:b/>
        </w:rPr>
        <w:t xml:space="preserve">अधि आ गहि (adhi ā gahi)</w:t>
      </w:r>
      <w:r>
        <w:t xml:space="preserve"> </w:t>
      </w:r>
      <w:r>
        <w:t xml:space="preserve">— come |</w:t>
      </w:r>
      <w:r>
        <w:t xml:space="preserve"> </w:t>
      </w:r>
      <w:r>
        <w:rPr>
          <w:bCs/>
          <w:b/>
        </w:rPr>
        <w:t xml:space="preserve">(mattu ṛtvijanu)</w:t>
      </w:r>
      <w:r>
        <w:t xml:space="preserve"> </w:t>
      </w:r>
      <w:r>
        <w:t xml:space="preserve">— (and the priest) |</w:t>
      </w:r>
      <w:r>
        <w:t xml:space="preserve"> </w:t>
      </w:r>
      <w:r>
        <w:rPr>
          <w:bCs/>
          <w:b/>
        </w:rPr>
        <w:t xml:space="preserve">गिरः (giraḥ)</w:t>
      </w:r>
      <w:r>
        <w:t xml:space="preserve"> </w:t>
      </w:r>
      <w:r>
        <w:t xml:space="preserve">— praises |</w:t>
      </w:r>
      <w:r>
        <w:t xml:space="preserve"> </w:t>
      </w:r>
      <w:r>
        <w:rPr>
          <w:bCs/>
          <w:b/>
        </w:rPr>
        <w:t xml:space="preserve">सम्ऋञ्जते (sam-ṛñjate)</w:t>
      </w:r>
      <w:r>
        <w:t xml:space="preserve"> </w:t>
      </w:r>
      <w:r>
        <w:t xml:space="preserve">— recites for your adornment.</w:t>
      </w:r>
    </w:p>
    <w:p>
      <w:pPr>
        <w:pStyle w:val="BodyText"/>
      </w:pPr>
      <w:r>
        <w:rPr>
          <w:bCs/>
          <w:b/>
        </w:rPr>
        <w:t xml:space="preserve">॥ Bhāvārthaḥ ॥</w:t>
      </w:r>
      <w:r>
        <w:t xml:space="preserve"> </w:t>
      </w:r>
      <w:r>
        <w:rPr>
          <w:iCs/>
          <w:i/>
        </w:rPr>
        <w:t xml:space="preserve">(Kannada, translated)</w:t>
      </w:r>
    </w:p>
    <w:p>
      <w:pPr>
        <w:pStyle w:val="BodyText"/>
      </w:pPr>
      <w:r>
        <w:t xml:space="preserve">O Marut-deities, you are all-pervading. At this time of our sacrifice, if you are in the atmosphere, come from there; if in the heavenly world, come from there; or if you are in the sphere of the sun, come from there. Wherever you are now, come from there. Now the priest — that is, the Ṛṣi Madhucchandas, the seer of this mantra — praises you with praises, for your coming.</w:t>
      </w:r>
    </w:p>
    <w:p>
      <w:pPr>
        <w:pStyle w:val="BodyText"/>
      </w:pPr>
      <w:r>
        <w:rPr>
          <w:bCs/>
          <w:b/>
        </w:rPr>
        <w:t xml:space="preserve">English Translation</w:t>
      </w:r>
      <w:r>
        <w:t xml:space="preserve"> </w:t>
      </w:r>
      <w:r>
        <w:rPr>
          <w:iCs/>
          <w:i/>
        </w:rPr>
        <w:t xml:space="preserve">(as printed)</w:t>
      </w:r>
    </w:p>
    <w:p>
      <w:pPr>
        <w:pStyle w:val="BlockText"/>
      </w:pPr>
      <w:r>
        <w:t xml:space="preserve">O pervader-on-all-sides, come hither from the regions (of the Maruts) or from the sky or from the radiant solar sphere. For in the rite (the priest) fully recites your praises.</w:t>
      </w:r>
    </w:p>
    <w:p>
      <w:pPr>
        <w:pStyle w:val="FirstParagraph"/>
      </w:pPr>
      <w:r>
        <w:rPr>
          <w:bCs/>
          <w:b/>
        </w:rPr>
        <w:t xml:space="preserve">॥ Special Topics ॥</w:t>
      </w:r>
      <w:r>
        <w:t xml:space="preserve"> </w:t>
      </w:r>
      <w:r>
        <w:rPr>
          <w:iCs/>
          <w:i/>
        </w:rPr>
        <w:t xml:space="preserve">(Kannada, translated; continues onto the next page)</w:t>
      </w:r>
    </w:p>
    <w:p>
      <w:pPr>
        <w:numPr>
          <w:ilvl w:val="0"/>
          <w:numId w:val="1032"/>
        </w:numPr>
        <w:pStyle w:val="Compact"/>
      </w:pPr>
      <w:r>
        <w:rPr>
          <w:bCs/>
          <w:b/>
        </w:rPr>
        <w:t xml:space="preserve">परिज्मन् (parijman)</w:t>
      </w:r>
      <w:r>
        <w:t xml:space="preserve"> </w:t>
      </w:r>
      <w:r>
        <w:t xml:space="preserve">—</w:t>
      </w:r>
      <w:r>
        <w:t xml:space="preserve"> </w:t>
      </w:r>
      <w:r>
        <w:t xml:space="preserve">“</w:t>
      </w:r>
      <w:r>
        <w:t xml:space="preserve">going round on all sides</w:t>
      </w:r>
      <w:r>
        <w:t xml:space="preserve">”</w:t>
      </w:r>
      <w:r>
        <w:t xml:space="preserve">;</w:t>
      </w:r>
      <w:r>
        <w:t xml:space="preserve"> </w:t>
      </w:r>
      <w:r>
        <w:t xml:space="preserve">“</w:t>
      </w:r>
      <w:r>
        <w:t xml:space="preserve">moving everywhere.</w:t>
      </w:r>
      <w:r>
        <w:t xml:space="preserve">”</w:t>
      </w:r>
      <w:r>
        <w:t xml:space="preserve"> </w:t>
      </w:r>
      <w:r>
        <w:t xml:space="preserve">That is, the wind blows always in all places — on earth, in the atmosphere, in heaven, and so on.</w:t>
      </w:r>
    </w:p>
    <w:p>
      <w:pPr>
        <w:numPr>
          <w:ilvl w:val="0"/>
          <w:numId w:val="1032"/>
        </w:numPr>
        <w:pStyle w:val="Compact"/>
      </w:pPr>
      <w:r>
        <w:rPr>
          <w:bCs/>
          <w:b/>
        </w:rPr>
        <w:t xml:space="preserve">दिवो वा रोचनादधि (divo vā rocanād adhi)</w:t>
      </w:r>
      <w:r>
        <w:t xml:space="preserve"> </w:t>
      </w:r>
      <w:r>
        <w:t xml:space="preserve">— The commentator says</w:t>
      </w:r>
      <w:r>
        <w:t xml:space="preserve"> </w:t>
      </w:r>
      <w:r>
        <w:t xml:space="preserve">“</w:t>
      </w:r>
      <w:r>
        <w:t xml:space="preserve">either from heaven or from the sphere of the sun.</w:t>
      </w:r>
      <w:r>
        <w:t xml:space="preserve">”</w:t>
      </w:r>
      <w:r>
        <w:t xml:space="preserve"> </w:t>
      </w:r>
      <w:r>
        <w:t xml:space="preserve">Or the word</w:t>
      </w:r>
      <w:r>
        <w:t xml:space="preserve"> </w:t>
      </w:r>
      <w:r>
        <w:t xml:space="preserve">“</w:t>
      </w:r>
      <w:r>
        <w:t xml:space="preserve">rocanāt</w:t>
      </w:r>
      <w:r>
        <w:t xml:space="preserve">”</w:t>
      </w:r>
      <w:r>
        <w:t xml:space="preserve"> </w:t>
      </w:r>
      <w:r>
        <w:t xml:space="preserve">may be taken to mean</w:t>
      </w:r>
      <w:r>
        <w:t xml:space="preserve"> </w:t>
      </w:r>
      <w:r>
        <w:t xml:space="preserve">“</w:t>
      </w:r>
      <w:r>
        <w:t xml:space="preserve">shining,</w:t>
      </w:r>
      <w:r>
        <w:t xml:space="preserve">”</w:t>
      </w:r>
      <w:r>
        <w:t xml:space="preserve"> </w:t>
      </w:r>
      <w:r>
        <w:t xml:space="preserve">and as a qualifier of</w:t>
      </w:r>
      <w:r>
        <w:t xml:space="preserve"> </w:t>
      </w:r>
      <w:r>
        <w:t xml:space="preserve">“</w:t>
      </w:r>
      <w:r>
        <w:t xml:space="preserve">divaḥ</w:t>
      </w:r>
      <w:r>
        <w:t xml:space="preserve">”</w:t>
      </w:r>
      <w:r>
        <w:t xml:space="preserve"> </w:t>
      </w:r>
      <w:r>
        <w:t xml:space="preserve">it may be understood as desired. Here, since</w:t>
      </w:r>
      <w:r>
        <w:t xml:space="preserve"> </w:t>
      </w:r>
      <w:r>
        <w:t xml:space="preserve">“</w:t>
      </w:r>
      <w:r>
        <w:t xml:space="preserve">adhi</w:t>
      </w:r>
      <w:r>
        <w:t xml:space="preserve">”</w:t>
      </w:r>
      <w:r>
        <w:t xml:space="preserve"> </w:t>
      </w:r>
      <w:r>
        <w:t xml:space="preserve">is present, the commentator has explained</w:t>
      </w:r>
      <w:r>
        <w:t xml:space="preserve"> </w:t>
      </w:r>
      <w:r>
        <w:t xml:space="preserve">“</w:t>
      </w:r>
      <w:r>
        <w:t xml:space="preserve">rocanāt</w:t>
      </w:r>
      <w:r>
        <w:t xml:space="preserve">”</w:t>
      </w:r>
      <w:r>
        <w:t xml:space="preserve"> </w:t>
      </w:r>
      <w:r>
        <w:t xml:space="preserve">as</w:t>
      </w:r>
      <w:r>
        <w:t xml:space="preserve"> </w:t>
      </w:r>
      <w:r>
        <w:t xml:space="preserve">“</w:t>
      </w:r>
      <w:r>
        <w:t xml:space="preserve">from the shining sun-sphere.</w:t>
      </w:r>
      <w:r>
        <w:t xml:space="preserve">”</w:t>
      </w:r>
      <w:r>
        <w:t xml:space="preserve"> </w:t>
      </w:r>
      <w:r>
        <w:t xml:space="preserve">Skandasvāmin says that</w:t>
      </w:r>
      <w:r>
        <w:t xml:space="preserve"> </w:t>
      </w:r>
      <w:r>
        <w:t xml:space="preserve">“</w:t>
      </w:r>
      <w:r>
        <w:t xml:space="preserve">adhi</w:t>
      </w:r>
      <w:r>
        <w:t xml:space="preserve">”</w:t>
      </w:r>
      <w:r>
        <w:t xml:space="preserve"> </w:t>
      </w:r>
      <w:r>
        <w:t xml:space="preserve">should be construed with the verb</w:t>
      </w:r>
      <w:r>
        <w:t xml:space="preserve"> </w:t>
      </w:r>
      <w:r>
        <w:t xml:space="preserve">“</w:t>
      </w:r>
      <w:r>
        <w:t xml:space="preserve">ā gahi.</w:t>
      </w:r>
      <w:r>
        <w:t xml:space="preserve">”</w:t>
      </w:r>
    </w:p>
    <w:p>
      <w:pPr>
        <w:numPr>
          <w:ilvl w:val="0"/>
          <w:numId w:val="1032"/>
        </w:numPr>
        <w:pStyle w:val="Compact"/>
      </w:pPr>
      <w:r>
        <w:rPr>
          <w:bCs/>
          <w:b/>
        </w:rPr>
        <w:t xml:space="preserve">ऋञ्जते (ṛñjate)</w:t>
      </w:r>
      <w:r>
        <w:t xml:space="preserve"> </w:t>
      </w:r>
      <w:r>
        <w:t xml:space="preserve">—</w:t>
      </w:r>
      <w:r>
        <w:t xml:space="preserve"> </w:t>
      </w:r>
      <w:r>
        <w:t xml:space="preserve">“</w:t>
      </w:r>
      <w:r>
        <w:t xml:space="preserve">Ṛñjatiḥ prasādhanakarmā</w:t>
      </w:r>
      <w:r>
        <w:t xml:space="preserve">”</w:t>
      </w:r>
      <w:r>
        <w:t xml:space="preserve"> </w:t>
      </w:r>
      <w:r>
        <w:t xml:space="preserve">(Nirukta 6-21), says Yāska in the Nirukta. Here the priest who praises, the seer of this mantra, Madhucchandas himself, [text continues on p. 248].</w:t>
      </w:r>
    </w:p>
    <w:bookmarkEnd w:id="284"/>
    <w:bookmarkStart w:id="285" w:name="Xa1065c01a6d9bcedbef0480aa9dbc3ab762cc0e"/>
    <w:p>
      <w:pPr>
        <w:pStyle w:val="Heading3"/>
      </w:pPr>
      <w:r>
        <w:t xml:space="preserve">Pages 248–249 — Rik 6.9: end of Special Topics; Vyākaraṇa-prakriyā (characterized)</w:t>
      </w:r>
    </w:p>
    <w:p>
      <w:pPr>
        <w:pStyle w:val="FirstParagraph"/>
      </w:pPr>
      <w:r>
        <w:rPr>
          <w:iCs/>
          <w:i/>
        </w:rPr>
        <w:t xml:space="preserve">(Page 248 header:</w:t>
      </w:r>
      <w:r>
        <w:rPr>
          <w:iCs/>
          <w:i/>
        </w:rPr>
        <w:t xml:space="preserve"> </w:t>
      </w:r>
      <w:r>
        <w:rPr>
          <w:iCs/>
          <w:i/>
        </w:rPr>
        <w:t xml:space="preserve">“</w:t>
      </w:r>
      <w:r>
        <w:rPr>
          <w:iCs/>
          <w:i/>
        </w:rPr>
        <w:t xml:space="preserve">Maṇ. 1, A. 2, Sū. 6</w:t>
      </w:r>
      <w:r>
        <w:rPr>
          <w:iCs/>
          <w:i/>
        </w:rPr>
        <w:t xml:space="preserve">”</w:t>
      </w:r>
      <w:r>
        <w:rPr>
          <w:iCs/>
          <w:i/>
        </w:rPr>
        <w:t xml:space="preserve">; p. 249 header:</w:t>
      </w:r>
      <w:r>
        <w:rPr>
          <w:iCs/>
          <w:i/>
        </w:rPr>
        <w:t xml:space="preserve"> </w:t>
      </w:r>
      <w:r>
        <w:rPr>
          <w:iCs/>
          <w:i/>
        </w:rPr>
        <w:t xml:space="preserve">“</w:t>
      </w:r>
      <w:r>
        <w:rPr>
          <w:iCs/>
          <w:i/>
        </w:rPr>
        <w:t xml:space="preserve">A. 1, A. 1, Va. 12</w:t>
      </w:r>
      <w:r>
        <w:rPr>
          <w:iCs/>
          <w:i/>
        </w:rPr>
        <w:t xml:space="preserve">”</w:t>
      </w:r>
      <w:r>
        <w:rPr>
          <w:iCs/>
          <w:i/>
        </w:rPr>
        <w:t xml:space="preserve">; p. 249 also carries a small</w:t>
      </w:r>
      <w:r>
        <w:rPr>
          <w:iCs/>
          <w:i/>
        </w:rPr>
        <w:t xml:space="preserve"> </w:t>
      </w:r>
      <w:r>
        <w:rPr>
          <w:iCs/>
          <w:i/>
        </w:rPr>
        <w:t xml:space="preserve">“</w:t>
      </w:r>
      <w:r>
        <w:rPr>
          <w:iCs/>
          <w:i/>
        </w:rPr>
        <w:t xml:space="preserve">32</w:t>
      </w:r>
      <w:r>
        <w:rPr>
          <w:iCs/>
          <w:i/>
        </w:rPr>
        <w:t xml:space="preserve">”</w:t>
      </w:r>
      <w:r>
        <w:rPr>
          <w:iCs/>
          <w:i/>
        </w:rPr>
        <w:t xml:space="preserve"> </w:t>
      </w:r>
      <w:r>
        <w:rPr>
          <w:iCs/>
          <w:i/>
        </w:rPr>
        <w:t xml:space="preserve">at the foot, a printer’s signature mark. Re-read from the better scan; every printed sūtra number is given.)</w:t>
      </w:r>
    </w:p>
    <w:p>
      <w:pPr>
        <w:pStyle w:val="BodyText"/>
      </w:pPr>
      <w:r>
        <w:rPr>
          <w:bCs/>
          <w:b/>
        </w:rPr>
        <w:t xml:space="preserve">॥ Special Topics (continued from p. 247) ॥</w:t>
      </w:r>
      <w:r>
        <w:t xml:space="preserve"> </w:t>
      </w:r>
      <w:r>
        <w:rPr>
          <w:iCs/>
          <w:i/>
        </w:rPr>
        <w:t xml:space="preserve">(Kannada, translated)</w:t>
      </w:r>
    </w:p>
    <w:p>
      <w:pPr>
        <w:pStyle w:val="BodyText"/>
      </w:pPr>
      <w:r>
        <w:t xml:space="preserve">…[the priest] does not use the first-person verb but uses a third-person verb-form. The reason: since the deities being praised, the Maruts, are not present before him, he praises them indirectly (and not directly). Such verses — in which the deities are not addressed, but only their praise, or merely some matter, is stated, with the verbs in the third person — belong to the group of verses called</w:t>
      </w:r>
      <w:r>
        <w:t xml:space="preserve"> </w:t>
      </w:r>
      <w:r>
        <w:t xml:space="preserve">“</w:t>
      </w:r>
      <w:r>
        <w:t xml:space="preserve">parokṣa-kṛta</w:t>
      </w:r>
      <w:r>
        <w:t xml:space="preserve">”</w:t>
      </w:r>
      <w:r>
        <w:t xml:space="preserve"> </w:t>
      </w:r>
      <w:r>
        <w:t xml:space="preserve">(indirect). Among the Ṛks there are three kinds: parokṣa-kṛta, pratyakṣa-kṛta, and ādhyātmika. This matter, stated by Yāska, we have explained earlier (page 205).</w:t>
      </w:r>
    </w:p>
    <w:p>
      <w:pPr>
        <w:pStyle w:val="BodyText"/>
      </w:pPr>
      <w:r>
        <w:rPr>
          <w:bCs/>
          <w:b/>
        </w:rPr>
        <w:t xml:space="preserve">॥ Vyākaraṇa-prakriyā ॥</w:t>
      </w:r>
      <w:r>
        <w:t xml:space="preserve"> </w:t>
      </w:r>
      <w:r>
        <w:rPr>
          <w:iCs/>
          <w:i/>
        </w:rPr>
        <w:t xml:space="preserve">(pp. 248–249, Kannada; characterized, sūtras kept, numbers as printed)</w:t>
      </w:r>
    </w:p>
    <w:p>
      <w:pPr>
        <w:numPr>
          <w:ilvl w:val="0"/>
          <w:numId w:val="1033"/>
        </w:numPr>
      </w:pPr>
      <w:r>
        <w:rPr>
          <w:bCs/>
          <w:b/>
        </w:rPr>
        <w:t xml:space="preserve">“</w:t>
      </w:r>
      <w:r>
        <w:rPr>
          <w:bCs/>
          <w:b/>
        </w:rPr>
        <w:t xml:space="preserve">Ataḥ.</w:t>
      </w:r>
      <w:r>
        <w:rPr>
          <w:bCs/>
          <w:b/>
        </w:rPr>
        <w:t xml:space="preserve">”</w:t>
      </w:r>
      <w:r>
        <w:t xml:space="preserve"> </w:t>
      </w:r>
      <w:r>
        <w:rPr>
          <w:bCs/>
          <w:b/>
        </w:rPr>
        <w:t xml:space="preserve">पञ्चम्यास्तसिल्</w:t>
      </w:r>
      <w:r>
        <w:t xml:space="preserve"> </w:t>
      </w:r>
      <w:r>
        <w:t xml:space="preserve">(printed</w:t>
      </w:r>
      <w:r>
        <w:t xml:space="preserve"> </w:t>
      </w:r>
      <w:r>
        <w:t xml:space="preserve">“</w:t>
      </w:r>
      <w:r>
        <w:t xml:space="preserve">५-७-३</w:t>
      </w:r>
      <w:r>
        <w:t xml:space="preserve">”</w:t>
      </w:r>
      <w:r>
        <w:t xml:space="preserve"> </w:t>
      </w:r>
      <w:r>
        <w:t xml:space="preserve">[?], the usual number being 5-3-7): after</w:t>
      </w:r>
      <w:r>
        <w:t xml:space="preserve"> </w:t>
      </w:r>
      <w:r>
        <w:t xml:space="preserve">“</w:t>
      </w:r>
      <w:r>
        <w:t xml:space="preserve">kim,</w:t>
      </w:r>
      <w:r>
        <w:t xml:space="preserve">”</w:t>
      </w:r>
      <w:r>
        <w:t xml:space="preserve"> </w:t>
      </w:r>
      <w:r>
        <w:t xml:space="preserve">the pronouns and</w:t>
      </w:r>
      <w:r>
        <w:t xml:space="preserve"> </w:t>
      </w:r>
      <w:r>
        <w:t xml:space="preserve">“</w:t>
      </w:r>
      <w:r>
        <w:t xml:space="preserve">bahu</w:t>
      </w:r>
      <w:r>
        <w:t xml:space="preserve">”</w:t>
      </w:r>
      <w:r>
        <w:t xml:space="preserve"> </w:t>
      </w:r>
      <w:r>
        <w:t xml:space="preserve">in the fifth case, other than</w:t>
      </w:r>
      <w:r>
        <w:t xml:space="preserve"> </w:t>
      </w:r>
      <w:r>
        <w:t xml:space="preserve">“</w:t>
      </w:r>
      <w:r>
        <w:t xml:space="preserve">dvi</w:t>
      </w:r>
      <w:r>
        <w:t xml:space="preserve">”</w:t>
      </w:r>
      <w:r>
        <w:t xml:space="preserve"> </w:t>
      </w:r>
      <w:r>
        <w:t xml:space="preserve">etc.,</w:t>
      </w:r>
      <w:r>
        <w:t xml:space="preserve"> </w:t>
      </w:r>
      <w:r>
        <w:t xml:space="preserve">“</w:t>
      </w:r>
      <w:r>
        <w:t xml:space="preserve">tasil</w:t>
      </w:r>
      <w:r>
        <w:t xml:space="preserve">”</w:t>
      </w:r>
      <w:r>
        <w:t xml:space="preserve"> </w:t>
      </w:r>
      <w:r>
        <w:t xml:space="preserve">comes optionally; so</w:t>
      </w:r>
      <w:r>
        <w:t xml:space="preserve"> </w:t>
      </w:r>
      <w:r>
        <w:t xml:space="preserve">“</w:t>
      </w:r>
      <w:r>
        <w:t xml:space="preserve">etasmāt</w:t>
      </w:r>
      <w:r>
        <w:t xml:space="preserve">”</w:t>
      </w:r>
      <w:r>
        <w:t xml:space="preserve"> </w:t>
      </w:r>
      <w:r>
        <w:t xml:space="preserve">gives</w:t>
      </w:r>
      <w:r>
        <w:t xml:space="preserve"> </w:t>
      </w:r>
      <w:r>
        <w:t xml:space="preserve">“</w:t>
      </w:r>
      <w:r>
        <w:t xml:space="preserve">etad + tasil</w:t>
      </w:r>
      <w:r>
        <w:t xml:space="preserve">”</w:t>
      </w:r>
      <w:r>
        <w:t xml:space="preserve">; the case-ending is elided by</w:t>
      </w:r>
      <w:r>
        <w:t xml:space="preserve"> </w:t>
      </w:r>
      <w:r>
        <w:rPr>
          <w:bCs/>
          <w:b/>
        </w:rPr>
        <w:t xml:space="preserve">सुपो धातुप्रातिपदिकयोः</w:t>
      </w:r>
      <w:r>
        <w:t xml:space="preserve"> </w:t>
      </w:r>
      <w:r>
        <w:t xml:space="preserve">(पा. सू. २-४-७१), the taddhita-final being a prātipadika.</w:t>
      </w:r>
      <w:r>
        <w:t xml:space="preserve"> </w:t>
      </w:r>
      <w:r>
        <w:rPr>
          <w:bCs/>
          <w:b/>
        </w:rPr>
        <w:t xml:space="preserve">एतदोऽन्</w:t>
      </w:r>
      <w:r>
        <w:t xml:space="preserve"> </w:t>
      </w:r>
      <w:r>
        <w:t xml:space="preserve">(पा. सू. ५-३-५): this sūtra is split into</w:t>
      </w:r>
      <w:r>
        <w:t xml:space="preserve"> </w:t>
      </w:r>
      <w:r>
        <w:t xml:space="preserve">“</w:t>
      </w:r>
      <w:r>
        <w:t xml:space="preserve">etadaḥ</w:t>
      </w:r>
      <w:r>
        <w:t xml:space="preserve">”</w:t>
      </w:r>
      <w:r>
        <w:t xml:space="preserve"> </w:t>
      </w:r>
      <w:r>
        <w:t xml:space="preserve">and</w:t>
      </w:r>
      <w:r>
        <w:t xml:space="preserve"> </w:t>
      </w:r>
      <w:r>
        <w:t xml:space="preserve">“</w:t>
      </w:r>
      <w:r>
        <w:t xml:space="preserve">an</w:t>
      </w:r>
      <w:r>
        <w:t xml:space="preserve">”</w:t>
      </w:r>
      <w:r>
        <w:t xml:space="preserve">: by the first,</w:t>
      </w:r>
      <w:r>
        <w:t xml:space="preserve"> </w:t>
      </w:r>
      <w:r>
        <w:t xml:space="preserve">“</w:t>
      </w:r>
      <w:r>
        <w:t xml:space="preserve">eta</w:t>
      </w:r>
      <w:r>
        <w:t xml:space="preserve">”</w:t>
      </w:r>
      <w:r>
        <w:t xml:space="preserve"> </w:t>
      </w:r>
      <w:r>
        <w:t xml:space="preserve">and</w:t>
      </w:r>
      <w:r>
        <w:t xml:space="preserve"> </w:t>
      </w:r>
      <w:r>
        <w:t xml:space="preserve">“</w:t>
      </w:r>
      <w:r>
        <w:t xml:space="preserve">ita</w:t>
      </w:r>
      <w:r>
        <w:t xml:space="preserve">”</w:t>
      </w:r>
      <w:r>
        <w:t xml:space="preserve"> </w:t>
      </w:r>
      <w:r>
        <w:t xml:space="preserve">replace</w:t>
      </w:r>
      <w:r>
        <w:t xml:space="preserve"> </w:t>
      </w:r>
      <w:r>
        <w:t xml:space="preserve">“</w:t>
      </w:r>
      <w:r>
        <w:t xml:space="preserve">etad</w:t>
      </w:r>
      <w:r>
        <w:t xml:space="preserve">”</w:t>
      </w:r>
      <w:r>
        <w:t xml:space="preserve"> </w:t>
      </w:r>
      <w:r>
        <w:t xml:space="preserve">before prāgdiśīya affixes beginning with</w:t>
      </w:r>
      <w:r>
        <w:t xml:space="preserve"> </w:t>
      </w:r>
      <w:r>
        <w:t xml:space="preserve">“</w:t>
      </w:r>
      <w:r>
        <w:t xml:space="preserve">r</w:t>
      </w:r>
      <w:r>
        <w:t xml:space="preserve">”</w:t>
      </w:r>
      <w:r>
        <w:t xml:space="preserve"> </w:t>
      </w:r>
      <w:r>
        <w:t xml:space="preserve">or</w:t>
      </w:r>
      <w:r>
        <w:t xml:space="preserve"> </w:t>
      </w:r>
      <w:r>
        <w:t xml:space="preserve">“</w:t>
      </w:r>
      <w:r>
        <w:t xml:space="preserve">th</w:t>
      </w:r>
      <w:r>
        <w:t xml:space="preserve">”</w:t>
      </w:r>
      <w:r>
        <w:t xml:space="preserve">; by the second,</w:t>
      </w:r>
      <w:r>
        <w:t xml:space="preserve"> </w:t>
      </w:r>
      <w:r>
        <w:t xml:space="preserve">“</w:t>
      </w:r>
      <w:r>
        <w:t xml:space="preserve">an</w:t>
      </w:r>
      <w:r>
        <w:t xml:space="preserve">”</w:t>
      </w:r>
      <w:r>
        <w:t xml:space="preserve"> </w:t>
      </w:r>
      <w:r>
        <w:t xml:space="preserve">replaces</w:t>
      </w:r>
      <w:r>
        <w:t xml:space="preserve"> </w:t>
      </w:r>
      <w:r>
        <w:t xml:space="preserve">“</w:t>
      </w:r>
      <w:r>
        <w:t xml:space="preserve">etad</w:t>
      </w:r>
      <w:r>
        <w:t xml:space="preserve">”</w:t>
      </w:r>
      <w:r>
        <w:t xml:space="preserve"> </w:t>
      </w:r>
      <w:r>
        <w:t xml:space="preserve">before prāgdiśīya affixes — so here</w:t>
      </w:r>
      <w:r>
        <w:t xml:space="preserve"> </w:t>
      </w:r>
      <w:r>
        <w:t xml:space="preserve">“</w:t>
      </w:r>
      <w:r>
        <w:t xml:space="preserve">an.</w:t>
      </w:r>
      <w:r>
        <w:t xml:space="preserve">”</w:t>
      </w:r>
      <w:r>
        <w:t xml:space="preserve"> </w:t>
      </w:r>
      <w:r>
        <w:t xml:space="preserve">Since the</w:t>
      </w:r>
      <w:r>
        <w:t xml:space="preserve"> </w:t>
      </w:r>
      <w:r>
        <w:t xml:space="preserve">“</w:t>
      </w:r>
      <w:r>
        <w:t xml:space="preserve">nitsvara</w:t>
      </w:r>
      <w:r>
        <w:t xml:space="preserve">”</w:t>
      </w:r>
      <w:r>
        <w:t xml:space="preserve"> </w:t>
      </w:r>
      <w:r>
        <w:t xml:space="preserve">concerns affixes, the</w:t>
      </w:r>
      <w:r>
        <w:t xml:space="preserve"> </w:t>
      </w:r>
      <w:r>
        <w:t xml:space="preserve">“</w:t>
      </w:r>
      <w:r>
        <w:t xml:space="preserve">n</w:t>
      </w:r>
      <w:r>
        <w:t xml:space="preserve">”</w:t>
      </w:r>
      <w:r>
        <w:t xml:space="preserve"> </w:t>
      </w:r>
      <w:r>
        <w:t xml:space="preserve">of</w:t>
      </w:r>
      <w:r>
        <w:t xml:space="preserve"> </w:t>
      </w:r>
      <w:r>
        <w:t xml:space="preserve">“</w:t>
      </w:r>
      <w:r>
        <w:t xml:space="preserve">an</w:t>
      </w:r>
      <w:r>
        <w:t xml:space="preserve">”</w:t>
      </w:r>
      <w:r>
        <w:t xml:space="preserve"> </w:t>
      </w:r>
      <w:r>
        <w:t xml:space="preserve">needs no</w:t>
      </w:r>
      <w:r>
        <w:t xml:space="preserve"> </w:t>
      </w:r>
      <w:r>
        <w:t xml:space="preserve">“</w:t>
      </w:r>
      <w:r>
        <w:t xml:space="preserve">it</w:t>
      </w:r>
      <w:r>
        <w:t xml:space="preserve">”</w:t>
      </w:r>
      <w:r>
        <w:t xml:space="preserve"> </w:t>
      </w:r>
      <w:r>
        <w:t xml:space="preserve">designation and gets none;</w:t>
      </w:r>
      <w:r>
        <w:t xml:space="preserve"> </w:t>
      </w:r>
      <w:r>
        <w:t xml:space="preserve">“</w:t>
      </w:r>
      <w:r>
        <w:t xml:space="preserve">an,</w:t>
      </w:r>
      <w:r>
        <w:t xml:space="preserve">”</w:t>
      </w:r>
      <w:r>
        <w:t xml:space="preserve"> </w:t>
      </w:r>
      <w:r>
        <w:t xml:space="preserve">being of more than one letter, replaces the whole of</w:t>
      </w:r>
      <w:r>
        <w:t xml:space="preserve"> </w:t>
      </w:r>
      <w:r>
        <w:t xml:space="preserve">“</w:t>
      </w:r>
      <w:r>
        <w:t xml:space="preserve">etad</w:t>
      </w:r>
      <w:r>
        <w:t xml:space="preserve">”</w:t>
      </w:r>
      <w:r>
        <w:t xml:space="preserve"> </w:t>
      </w:r>
      <w:r>
        <w:t xml:space="preserve">by</w:t>
      </w:r>
      <w:r>
        <w:t xml:space="preserve"> </w:t>
      </w:r>
      <w:r>
        <w:rPr>
          <w:bCs/>
          <w:b/>
        </w:rPr>
        <w:t xml:space="preserve">अनेकाल्शित्सर्वस्य</w:t>
      </w:r>
      <w:r>
        <w:t xml:space="preserve"> </w:t>
      </w:r>
      <w:r>
        <w:t xml:space="preserve">(पा. सू. १-१-५५):</w:t>
      </w:r>
      <w:r>
        <w:t xml:space="preserve"> </w:t>
      </w:r>
      <w:r>
        <w:t xml:space="preserve">“</w:t>
      </w:r>
      <w:r>
        <w:t xml:space="preserve">an + tasil.</w:t>
      </w:r>
      <w:r>
        <w:t xml:space="preserve">”</w:t>
      </w:r>
      <w:r>
        <w:t xml:space="preserve"> </w:t>
      </w:r>
      <w:r>
        <w:rPr>
          <w:bCs/>
          <w:b/>
        </w:rPr>
        <w:t xml:space="preserve">स्वादिष्वसर्वनामस्थाने</w:t>
      </w:r>
      <w:r>
        <w:t xml:space="preserve"> </w:t>
      </w:r>
      <w:r>
        <w:t xml:space="preserve">(पा. सू. १-४-१७) gives</w:t>
      </w:r>
      <w:r>
        <w:t xml:space="preserve"> </w:t>
      </w:r>
      <w:r>
        <w:t xml:space="preserve">“</w:t>
      </w:r>
      <w:r>
        <w:t xml:space="preserve">an</w:t>
      </w:r>
      <w:r>
        <w:t xml:space="preserve">”</w:t>
      </w:r>
      <w:r>
        <w:t xml:space="preserve"> </w:t>
      </w:r>
      <w:r>
        <w:t xml:space="preserve">the pada designation before</w:t>
      </w:r>
      <w:r>
        <w:t xml:space="preserve"> </w:t>
      </w:r>
      <w:r>
        <w:t xml:space="preserve">“</w:t>
      </w:r>
      <w:r>
        <w:t xml:space="preserve">tasil</w:t>
      </w:r>
      <w:r>
        <w:t xml:space="preserve">”</w:t>
      </w:r>
      <w:r>
        <w:t xml:space="preserve">;</w:t>
      </w:r>
      <w:r>
        <w:t xml:space="preserve"> </w:t>
      </w:r>
      <w:r>
        <w:rPr>
          <w:bCs/>
          <w:b/>
        </w:rPr>
        <w:t xml:space="preserve">नलोपः प्रातिपदिकान्तस्य</w:t>
      </w:r>
      <w:r>
        <w:t xml:space="preserve"> </w:t>
      </w:r>
      <w:r>
        <w:t xml:space="preserve">(पा. सू. ८-२-७) drops the</w:t>
      </w:r>
      <w:r>
        <w:t xml:space="preserve"> </w:t>
      </w:r>
      <w:r>
        <w:t xml:space="preserve">“</w:t>
      </w:r>
      <w:r>
        <w:t xml:space="preserve">n</w:t>
      </w:r>
      <w:r>
        <w:t xml:space="preserve">”</w:t>
      </w:r>
      <w:r>
        <w:t xml:space="preserve">; with the</w:t>
      </w:r>
      <w:r>
        <w:t xml:space="preserve"> </w:t>
      </w:r>
      <w:r>
        <w:t xml:space="preserve">“</w:t>
      </w:r>
      <w:r>
        <w:t xml:space="preserve">it</w:t>
      </w:r>
      <w:r>
        <w:t xml:space="preserve">”</w:t>
      </w:r>
      <w:r>
        <w:t xml:space="preserve">-letters of the affix dropped and</w:t>
      </w:r>
      <w:r>
        <w:t xml:space="preserve"> </w:t>
      </w:r>
      <w:r>
        <w:t xml:space="preserve">“</w:t>
      </w:r>
      <w:r>
        <w:t xml:space="preserve">ru</w:t>
      </w:r>
      <w:r>
        <w:t xml:space="preserve">”</w:t>
      </w:r>
      <w:r>
        <w:t xml:space="preserve"> </w:t>
      </w:r>
      <w:r>
        <w:t xml:space="preserve">and visarga,</w:t>
      </w:r>
      <w:r>
        <w:t xml:space="preserve"> </w:t>
      </w:r>
      <w:r>
        <w:t xml:space="preserve">“</w:t>
      </w:r>
      <w:r>
        <w:t xml:space="preserve">ataḥ.</w:t>
      </w:r>
      <w:r>
        <w:t xml:space="preserve">”</w:t>
      </w:r>
      <w:r>
        <w:t xml:space="preserve"> </w:t>
      </w:r>
      <w:r>
        <w:t xml:space="preserve">The Kāśikā reads the sūtra as</w:t>
      </w:r>
      <w:r>
        <w:t xml:space="preserve"> </w:t>
      </w:r>
      <w:r>
        <w:t xml:space="preserve">“</w:t>
      </w:r>
      <w:r>
        <w:t xml:space="preserve">etado ’ś,</w:t>
      </w:r>
      <w:r>
        <w:t xml:space="preserve">”</w:t>
      </w:r>
      <w:r>
        <w:t xml:space="preserve"> </w:t>
      </w:r>
      <w:r>
        <w:t xml:space="preserve">whose</w:t>
      </w:r>
      <w:r>
        <w:t xml:space="preserve"> </w:t>
      </w:r>
      <w:r>
        <w:t xml:space="preserve">“</w:t>
      </w:r>
      <w:r>
        <w:t xml:space="preserve">aś,</w:t>
      </w:r>
      <w:r>
        <w:t xml:space="preserve">”</w:t>
      </w:r>
      <w:r>
        <w:t xml:space="preserve"> </w:t>
      </w:r>
      <w:r>
        <w:t xml:space="preserve">being</w:t>
      </w:r>
      <w:r>
        <w:t xml:space="preserve"> </w:t>
      </w:r>
      <w:r>
        <w:t xml:space="preserve">“</w:t>
      </w:r>
      <w:r>
        <w:t xml:space="preserve">ś</w:t>
      </w:r>
      <w:r>
        <w:t xml:space="preserve">”</w:t>
      </w:r>
      <w:r>
        <w:t xml:space="preserve">-marked, replaces the whole; the sense is as before; following this reading Mādhavācārya gave the substitute</w:t>
      </w:r>
      <w:r>
        <w:t xml:space="preserve"> </w:t>
      </w:r>
      <w:r>
        <w:t xml:space="preserve">“</w:t>
      </w:r>
      <w:r>
        <w:t xml:space="preserve">aś.</w:t>
      </w:r>
      <w:r>
        <w:t xml:space="preserve">”</w:t>
      </w:r>
      <w:r>
        <w:t xml:space="preserve"> </w:t>
      </w:r>
      <w:r>
        <w:t xml:space="preserve">“</w:t>
      </w:r>
      <w:r>
        <w:t xml:space="preserve">Tasil</w:t>
      </w:r>
      <w:r>
        <w:t xml:space="preserve">”</w:t>
      </w:r>
      <w:r>
        <w:t xml:space="preserve"> </w:t>
      </w:r>
      <w:r>
        <w:t xml:space="preserve">being</w:t>
      </w:r>
      <w:r>
        <w:t xml:space="preserve"> </w:t>
      </w:r>
      <w:r>
        <w:t xml:space="preserve">“</w:t>
      </w:r>
      <w:r>
        <w:t xml:space="preserve">l</w:t>
      </w:r>
      <w:r>
        <w:t xml:space="preserve">”</w:t>
      </w:r>
      <w:r>
        <w:t xml:space="preserve">-marked,</w:t>
      </w:r>
      <w:r>
        <w:t xml:space="preserve"> </w:t>
      </w:r>
      <w:r>
        <w:rPr>
          <w:bCs/>
          <w:b/>
        </w:rPr>
        <w:t xml:space="preserve">लिति</w:t>
      </w:r>
      <w:r>
        <w:t xml:space="preserve"> </w:t>
      </w:r>
      <w:r>
        <w:t xml:space="preserve">(पा. सू. ६-१-१९३) makes the syllable before the affix acute.</w:t>
      </w:r>
    </w:p>
    <w:p>
      <w:pPr>
        <w:numPr>
          <w:ilvl w:val="0"/>
          <w:numId w:val="1033"/>
        </w:numPr>
      </w:pPr>
      <w:r>
        <w:rPr>
          <w:bCs/>
          <w:b/>
        </w:rPr>
        <w:t xml:space="preserve">“</w:t>
      </w:r>
      <w:r>
        <w:rPr>
          <w:bCs/>
          <w:b/>
        </w:rPr>
        <w:t xml:space="preserve">Parijman.</w:t>
      </w:r>
      <w:r>
        <w:rPr>
          <w:bCs/>
          <w:b/>
        </w:rPr>
        <w:t xml:space="preserve">”</w:t>
      </w:r>
      <w:r>
        <w:t xml:space="preserve"> </w:t>
      </w:r>
      <w:r>
        <w:t xml:space="preserve">“</w:t>
      </w:r>
      <w:r>
        <w:t xml:space="preserve">Aja gati-kṣepaṇayoḥ</w:t>
      </w:r>
      <w:r>
        <w:t xml:space="preserve">”</w:t>
      </w:r>
      <w:r>
        <w:t xml:space="preserve">: by</w:t>
      </w:r>
      <w:r>
        <w:t xml:space="preserve"> </w:t>
      </w:r>
      <w:r>
        <w:rPr>
          <w:bCs/>
          <w:b/>
        </w:rPr>
        <w:t xml:space="preserve">अन्येभ्योऽपि दृश्यन्ते</w:t>
      </w:r>
      <w:r>
        <w:t xml:space="preserve"> </w:t>
      </w:r>
      <w:r>
        <w:t xml:space="preserve">(पा. सू. ३-२-७५) the affixes</w:t>
      </w:r>
      <w:r>
        <w:t xml:space="preserve"> </w:t>
      </w:r>
      <w:r>
        <w:t xml:space="preserve">“</w:t>
      </w:r>
      <w:r>
        <w:t xml:space="preserve">manin, kvanip, vanip, vic</w:t>
      </w:r>
      <w:r>
        <w:t xml:space="preserve">”</w:t>
      </w:r>
      <w:r>
        <w:t xml:space="preserve"> </w:t>
      </w:r>
      <w:r>
        <w:t xml:space="preserve">come after roots, so</w:t>
      </w:r>
      <w:r>
        <w:t xml:space="preserve"> </w:t>
      </w:r>
      <w:r>
        <w:t xml:space="preserve">“</w:t>
      </w:r>
      <w:r>
        <w:t xml:space="preserve">manin</w:t>
      </w:r>
      <w:r>
        <w:t xml:space="preserve">”</w:t>
      </w:r>
      <w:r>
        <w:t xml:space="preserve"> </w:t>
      </w:r>
      <w:r>
        <w:t xml:space="preserve">after</w:t>
      </w:r>
      <w:r>
        <w:t xml:space="preserve"> </w:t>
      </w:r>
      <w:r>
        <w:t xml:space="preserve">“</w:t>
      </w:r>
      <w:r>
        <w:t xml:space="preserve">aj</w:t>
      </w:r>
      <w:r>
        <w:t xml:space="preserve">”</w:t>
      </w:r>
      <w:r>
        <w:t xml:space="preserve">; the</w:t>
      </w:r>
      <w:r>
        <w:t xml:space="preserve"> </w:t>
      </w:r>
      <w:r>
        <w:t xml:space="preserve">“</w:t>
      </w:r>
      <w:r>
        <w:t xml:space="preserve">a</w:t>
      </w:r>
      <w:r>
        <w:t xml:space="preserve">”</w:t>
      </w:r>
      <w:r>
        <w:t xml:space="preserve"> </w:t>
      </w:r>
      <w:r>
        <w:t xml:space="preserve">of</w:t>
      </w:r>
      <w:r>
        <w:t xml:space="preserve"> </w:t>
      </w:r>
      <w:r>
        <w:t xml:space="preserve">“</w:t>
      </w:r>
      <w:r>
        <w:t xml:space="preserve">aj</w:t>
      </w:r>
      <w:r>
        <w:t xml:space="preserve">”</w:t>
      </w:r>
      <w:r>
        <w:t xml:space="preserve"> </w:t>
      </w:r>
      <w:r>
        <w:t xml:space="preserve">is lost as a Vedic licence. In</w:t>
      </w:r>
      <w:r>
        <w:t xml:space="preserve"> </w:t>
      </w:r>
      <w:r>
        <w:t xml:space="preserve">“</w:t>
      </w:r>
      <w:r>
        <w:t xml:space="preserve">parijmānaṃ sukhaṃ ratham</w:t>
      </w:r>
      <w:r>
        <w:t xml:space="preserve">”</w:t>
      </w:r>
      <w:r>
        <w:t xml:space="preserve"> </w:t>
      </w:r>
      <w:r>
        <w:t xml:space="preserve">(ऋ. सं. १-२०-३)</w:t>
      </w:r>
      <w:r>
        <w:t xml:space="preserve"> </w:t>
      </w:r>
      <w:r>
        <w:t xml:space="preserve">“</w:t>
      </w:r>
      <w:r>
        <w:t xml:space="preserve">parijman</w:t>
      </w:r>
      <w:r>
        <w:t xml:space="preserve">”</w:t>
      </w:r>
      <w:r>
        <w:t xml:space="preserve"> </w:t>
      </w:r>
      <w:r>
        <w:t xml:space="preserve">is derived differently. Unaccented by</w:t>
      </w:r>
      <w:r>
        <w:t xml:space="preserve"> </w:t>
      </w:r>
      <w:r>
        <w:rPr>
          <w:bCs/>
          <w:b/>
        </w:rPr>
        <w:t xml:space="preserve">आमन्त्रितस्य च</w:t>
      </w:r>
      <w:r>
        <w:t xml:space="preserve"> </w:t>
      </w:r>
      <w:r>
        <w:t xml:space="preserve">(पा. सू. ८-१-१९).</w:t>
      </w:r>
    </w:p>
    <w:p>
      <w:pPr>
        <w:numPr>
          <w:ilvl w:val="0"/>
          <w:numId w:val="1033"/>
        </w:numPr>
      </w:pPr>
      <w:r>
        <w:rPr>
          <w:bCs/>
          <w:b/>
        </w:rPr>
        <w:t xml:space="preserve">“</w:t>
      </w:r>
      <w:r>
        <w:rPr>
          <w:bCs/>
          <w:b/>
        </w:rPr>
        <w:t xml:space="preserve">Gahi.</w:t>
      </w:r>
      <w:r>
        <w:rPr>
          <w:bCs/>
          <w:b/>
        </w:rPr>
        <w:t xml:space="preserve">”</w:t>
      </w:r>
      <w:r>
        <w:t xml:space="preserve"> </w:t>
      </w:r>
      <w:r>
        <w:t xml:space="preserve">“</w:t>
      </w:r>
      <w:r>
        <w:t xml:space="preserve">Gamḷ gatau,</w:t>
      </w:r>
      <w:r>
        <w:t xml:space="preserve">”</w:t>
      </w:r>
      <w:r>
        <w:t xml:space="preserve"> </w:t>
      </w:r>
      <w:r>
        <w:t xml:space="preserve">“</w:t>
      </w:r>
      <w:r>
        <w:t xml:space="preserve">loṭ,</w:t>
      </w:r>
      <w:r>
        <w:t xml:space="preserve">”</w:t>
      </w:r>
      <w:r>
        <w:t xml:space="preserve"> </w:t>
      </w:r>
      <w:r>
        <w:t xml:space="preserve">second singular</w:t>
      </w:r>
      <w:r>
        <w:t xml:space="preserve"> </w:t>
      </w:r>
      <w:r>
        <w:t xml:space="preserve">“</w:t>
      </w:r>
      <w:r>
        <w:t xml:space="preserve">sip</w:t>
      </w:r>
      <w:r>
        <w:t xml:space="preserve">”</w:t>
      </w:r>
      <w:r>
        <w:t xml:space="preserve">:</w:t>
      </w:r>
      <w:r>
        <w:t xml:space="preserve"> </w:t>
      </w:r>
      <w:r>
        <w:rPr>
          <w:bCs/>
          <w:b/>
        </w:rPr>
        <w:t xml:space="preserve">सेर्ह्यपिच्च</w:t>
      </w:r>
      <w:r>
        <w:t xml:space="preserve"> </w:t>
      </w:r>
      <w:r>
        <w:t xml:space="preserve">(पा. सू. ३-४-८७)</w:t>
      </w:r>
      <w:r>
        <w:t xml:space="preserve"> </w:t>
      </w:r>
      <w:r>
        <w:t xml:space="preserve">“</w:t>
      </w:r>
      <w:r>
        <w:t xml:space="preserve">hi</w:t>
      </w:r>
      <w:r>
        <w:t xml:space="preserve">”</w:t>
      </w:r>
      <w:r>
        <w:t xml:space="preserve"> </w:t>
      </w:r>
      <w:r>
        <w:t xml:space="preserve">for</w:t>
      </w:r>
      <w:r>
        <w:t xml:space="preserve"> </w:t>
      </w:r>
      <w:r>
        <w:t xml:space="preserve">“</w:t>
      </w:r>
      <w:r>
        <w:t xml:space="preserve">si,</w:t>
      </w:r>
      <w:r>
        <w:t xml:space="preserve">”</w:t>
      </w:r>
      <w:r>
        <w:t xml:space="preserve"> </w:t>
      </w:r>
      <w:r>
        <w:t xml:space="preserve">and it is</w:t>
      </w:r>
      <w:r>
        <w:t xml:space="preserve"> </w:t>
      </w:r>
      <w:r>
        <w:t xml:space="preserve">“</w:t>
      </w:r>
      <w:r>
        <w:t xml:space="preserve">apit</w:t>
      </w:r>
      <w:r>
        <w:t xml:space="preserve">”</w:t>
      </w:r>
      <w:r>
        <w:t xml:space="preserve">:</w:t>
      </w:r>
      <w:r>
        <w:t xml:space="preserve"> </w:t>
      </w:r>
      <w:r>
        <w:t xml:space="preserve">“</w:t>
      </w:r>
      <w:r>
        <w:t xml:space="preserve">gam + hi.</w:t>
      </w:r>
      <w:r>
        <w:t xml:space="preserve">”</w:t>
      </w:r>
      <w:r>
        <w:t xml:space="preserve"> </w:t>
      </w:r>
      <w:r>
        <w:t xml:space="preserve">Being</w:t>
      </w:r>
      <w:r>
        <w:t xml:space="preserve"> </w:t>
      </w:r>
      <w:r>
        <w:t xml:space="preserve">“</w:t>
      </w:r>
      <w:r>
        <w:t xml:space="preserve">apit,</w:t>
      </w:r>
      <w:r>
        <w:t xml:space="preserve">”</w:t>
      </w:r>
      <w:r>
        <w:t xml:space="preserve"> </w:t>
      </w:r>
      <w:r>
        <w:t xml:space="preserve">the sārvadhātuka is</w:t>
      </w:r>
      <w:r>
        <w:t xml:space="preserve"> </w:t>
      </w:r>
      <w:r>
        <w:t xml:space="preserve">“</w:t>
      </w:r>
      <w:r>
        <w:t xml:space="preserve">ṅit</w:t>
      </w:r>
      <w:r>
        <w:t xml:space="preserve">”</w:t>
      </w:r>
      <w:r>
        <w:t xml:space="preserve"> </w:t>
      </w:r>
      <w:r>
        <w:t xml:space="preserve">by</w:t>
      </w:r>
      <w:r>
        <w:t xml:space="preserve"> </w:t>
      </w:r>
      <w:r>
        <w:rPr>
          <w:bCs/>
          <w:b/>
        </w:rPr>
        <w:t xml:space="preserve">सार्वधातुकमपित्</w:t>
      </w:r>
      <w:r>
        <w:t xml:space="preserve"> </w:t>
      </w:r>
      <w:r>
        <w:t xml:space="preserve">(पा. सू. १-२-४), so by</w:t>
      </w:r>
      <w:r>
        <w:t xml:space="preserve"> </w:t>
      </w:r>
      <w:r>
        <w:rPr>
          <w:bCs/>
          <w:b/>
        </w:rPr>
        <w:t xml:space="preserve">अनुदात्तोपदेशवनतितनोत्यादीनामनुनासिकलोपो झलि क्ङिति</w:t>
      </w:r>
      <w:r>
        <w:t xml:space="preserve"> </w:t>
      </w:r>
      <w:r>
        <w:t xml:space="preserve">(पा. सू.</w:t>
      </w:r>
      <w:r>
        <w:t xml:space="preserve"> </w:t>
      </w:r>
      <w:r>
        <w:t xml:space="preserve">“</w:t>
      </w:r>
      <w:r>
        <w:t xml:space="preserve">६-३-३७</w:t>
      </w:r>
      <w:r>
        <w:t xml:space="preserve">”</w:t>
      </w:r>
      <w:r>
        <w:t xml:space="preserve"> </w:t>
      </w:r>
      <w:r>
        <w:t xml:space="preserve">as printed) the final nasal of the anudāttopadeśa roots, of</w:t>
      </w:r>
      <w:r>
        <w:t xml:space="preserve"> </w:t>
      </w:r>
      <w:r>
        <w:t xml:space="preserve">“</w:t>
      </w:r>
      <w:r>
        <w:t xml:space="preserve">tan</w:t>
      </w:r>
      <w:r>
        <w:t xml:space="preserve">”</w:t>
      </w:r>
      <w:r>
        <w:t xml:space="preserve"> </w:t>
      </w:r>
      <w:r>
        <w:t xml:space="preserve">etc. and of</w:t>
      </w:r>
      <w:r>
        <w:t xml:space="preserve"> </w:t>
      </w:r>
      <w:r>
        <w:t xml:space="preserve">“</w:t>
      </w:r>
      <w:r>
        <w:t xml:space="preserve">van</w:t>
      </w:r>
      <w:r>
        <w:t xml:space="preserve">”</w:t>
      </w:r>
      <w:r>
        <w:t xml:space="preserve"> </w:t>
      </w:r>
      <w:r>
        <w:t xml:space="preserve">is lost before a</w:t>
      </w:r>
      <w:r>
        <w:t xml:space="preserve"> </w:t>
      </w:r>
      <w:r>
        <w:t xml:space="preserve">“</w:t>
      </w:r>
      <w:r>
        <w:t xml:space="preserve">jhal</w:t>
      </w:r>
      <w:r>
        <w:t xml:space="preserve">”</w:t>
      </w:r>
      <w:r>
        <w:t xml:space="preserve">-initial</w:t>
      </w:r>
      <w:r>
        <w:t xml:space="preserve"> </w:t>
      </w:r>
      <w:r>
        <w:t xml:space="preserve">“</w:t>
      </w:r>
      <w:r>
        <w:t xml:space="preserve">kit/ṅit</w:t>
      </w:r>
      <w:r>
        <w:t xml:space="preserve">”</w:t>
      </w:r>
      <w:r>
        <w:t xml:space="preserve"> </w:t>
      </w:r>
      <w:r>
        <w:t xml:space="preserve">affix: the</w:t>
      </w:r>
      <w:r>
        <w:t xml:space="preserve"> </w:t>
      </w:r>
      <w:r>
        <w:t xml:space="preserve">“</w:t>
      </w:r>
      <w:r>
        <w:t xml:space="preserve">m</w:t>
      </w:r>
      <w:r>
        <w:t xml:space="preserve">”</w:t>
      </w:r>
      <w:r>
        <w:t xml:space="preserve"> </w:t>
      </w:r>
      <w:r>
        <w:t xml:space="preserve">of</w:t>
      </w:r>
      <w:r>
        <w:t xml:space="preserve"> </w:t>
      </w:r>
      <w:r>
        <w:t xml:space="preserve">“</w:t>
      </w:r>
      <w:r>
        <w:t xml:space="preserve">gam</w:t>
      </w:r>
      <w:r>
        <w:t xml:space="preserve">”</w:t>
      </w:r>
      <w:r>
        <w:t xml:space="preserve"> </w:t>
      </w:r>
      <w:r>
        <w:t xml:space="preserve">goes. This loss is</w:t>
      </w:r>
      <w:r>
        <w:t xml:space="preserve"> </w:t>
      </w:r>
      <w:r>
        <w:t xml:space="preserve">“</w:t>
      </w:r>
      <w:r>
        <w:t xml:space="preserve">ābhīya</w:t>
      </w:r>
      <w:r>
        <w:t xml:space="preserve">”</w:t>
      </w:r>
      <w:r>
        <w:t xml:space="preserve"> </w:t>
      </w:r>
      <w:r>
        <w:t xml:space="preserve">— from</w:t>
      </w:r>
      <w:r>
        <w:t xml:space="preserve"> </w:t>
      </w:r>
      <w:r>
        <w:rPr>
          <w:bCs/>
          <w:b/>
        </w:rPr>
        <w:t xml:space="preserve">असिद्धवदत्राभात्</w:t>
      </w:r>
      <w:r>
        <w:t xml:space="preserve"> </w:t>
      </w:r>
      <w:r>
        <w:t xml:space="preserve">(पा. सू. ६-४-२२) to the end of the pāda — and, for another ābhīya rule with the same conditioning, it counts as not effected; so</w:t>
      </w:r>
      <w:r>
        <w:t xml:space="preserve"> </w:t>
      </w:r>
      <w:r>
        <w:t xml:space="preserve">“</w:t>
      </w:r>
      <w:r>
        <w:t xml:space="preserve">ga</w:t>
      </w:r>
      <w:r>
        <w:t xml:space="preserve">”</w:t>
      </w:r>
      <w:r>
        <w:t xml:space="preserve"> </w:t>
      </w:r>
      <w:r>
        <w:t xml:space="preserve">is treated as ending in</w:t>
      </w:r>
      <w:r>
        <w:t xml:space="preserve"> </w:t>
      </w:r>
      <w:r>
        <w:t xml:space="preserve">“</w:t>
      </w:r>
      <w:r>
        <w:t xml:space="preserve">m,</w:t>
      </w:r>
      <w:r>
        <w:t xml:space="preserve">”</w:t>
      </w:r>
      <w:r>
        <w:t xml:space="preserve"> </w:t>
      </w:r>
      <w:r>
        <w:t xml:space="preserve">not in</w:t>
      </w:r>
      <w:r>
        <w:t xml:space="preserve"> </w:t>
      </w:r>
      <w:r>
        <w:t xml:space="preserve">“</w:t>
      </w:r>
      <w:r>
        <w:t xml:space="preserve">a,</w:t>
      </w:r>
      <w:r>
        <w:t xml:space="preserve">”</w:t>
      </w:r>
      <w:r>
        <w:t xml:space="preserve"> </w:t>
      </w:r>
      <w:r>
        <w:t xml:space="preserve">and</w:t>
      </w:r>
      <w:r>
        <w:t xml:space="preserve"> </w:t>
      </w:r>
      <w:r>
        <w:rPr>
          <w:bCs/>
          <w:b/>
        </w:rPr>
        <w:t xml:space="preserve">अतो हेः</w:t>
      </w:r>
      <w:r>
        <w:t xml:space="preserve"> </w:t>
      </w:r>
      <w:r>
        <w:t xml:space="preserve">(पा. सू. ६-४-१०५) —</w:t>
      </w:r>
      <w:r>
        <w:t xml:space="preserve"> </w:t>
      </w:r>
      <w:r>
        <w:t xml:space="preserve">“</w:t>
      </w:r>
      <w:r>
        <w:t xml:space="preserve">luk</w:t>
      </w:r>
      <w:r>
        <w:t xml:space="preserve">”</w:t>
      </w:r>
      <w:r>
        <w:t xml:space="preserve"> </w:t>
      </w:r>
      <w:r>
        <w:t xml:space="preserve">of</w:t>
      </w:r>
      <w:r>
        <w:t xml:space="preserve"> </w:t>
      </w:r>
      <w:r>
        <w:t xml:space="preserve">“</w:t>
      </w:r>
      <w:r>
        <w:t xml:space="preserve">hi</w:t>
      </w:r>
      <w:r>
        <w:t xml:space="preserve">”</w:t>
      </w:r>
      <w:r>
        <w:t xml:space="preserve"> </w:t>
      </w:r>
      <w:r>
        <w:t xml:space="preserve">after a short</w:t>
      </w:r>
      <w:r>
        <w:t xml:space="preserve"> </w:t>
      </w:r>
      <w:r>
        <w:t xml:space="preserve">“</w:t>
      </w:r>
      <w:r>
        <w:t xml:space="preserve">a</w:t>
      </w:r>
      <w:r>
        <w:t xml:space="preserve">”</w:t>
      </w:r>
      <w:r>
        <w:t xml:space="preserve"> </w:t>
      </w:r>
      <w:r>
        <w:t xml:space="preserve">— does not apply.</w:t>
      </w:r>
    </w:p>
    <w:p>
      <w:pPr>
        <w:numPr>
          <w:ilvl w:val="0"/>
          <w:numId w:val="1033"/>
        </w:numPr>
      </w:pPr>
      <w:r>
        <w:rPr>
          <w:bCs/>
          <w:b/>
        </w:rPr>
        <w:t xml:space="preserve">“</w:t>
      </w:r>
      <w:r>
        <w:rPr>
          <w:bCs/>
          <w:b/>
        </w:rPr>
        <w:t xml:space="preserve">Divaḥ.</w:t>
      </w:r>
      <w:r>
        <w:rPr>
          <w:bCs/>
          <w:b/>
        </w:rPr>
        <w:t xml:space="preserve">”</w:t>
      </w:r>
      <w:r>
        <w:t xml:space="preserve"> </w:t>
      </w:r>
      <w:r>
        <w:rPr>
          <w:bCs/>
          <w:b/>
        </w:rPr>
        <w:t xml:space="preserve">ऊडिदंपदाद्यप्पुम्रैद्युभ्यः</w:t>
      </w:r>
      <w:r>
        <w:t xml:space="preserve"> </w:t>
      </w:r>
      <w:r>
        <w:t xml:space="preserve">(पा. सू. ६-१-१७१): the case-ending is acute.</w:t>
      </w:r>
    </w:p>
    <w:p>
      <w:pPr>
        <w:numPr>
          <w:ilvl w:val="0"/>
          <w:numId w:val="1033"/>
        </w:numPr>
      </w:pPr>
      <w:r>
        <w:rPr>
          <w:bCs/>
          <w:b/>
        </w:rPr>
        <w:t xml:space="preserve">“</w:t>
      </w:r>
      <w:r>
        <w:rPr>
          <w:bCs/>
          <w:b/>
        </w:rPr>
        <w:t xml:space="preserve">Vā.</w:t>
      </w:r>
      <w:r>
        <w:rPr>
          <w:bCs/>
          <w:b/>
        </w:rPr>
        <w:t xml:space="preserve">”</w:t>
      </w:r>
      <w:r>
        <w:t xml:space="preserve"> </w:t>
      </w:r>
      <w:r>
        <w:t xml:space="preserve">In the cādi list, so unaccented by</w:t>
      </w:r>
      <w:r>
        <w:t xml:space="preserve"> </w:t>
      </w:r>
      <w:r>
        <w:rPr>
          <w:bCs/>
          <w:b/>
        </w:rPr>
        <w:t xml:space="preserve">चादयोऽनुदात्ताः</w:t>
      </w:r>
      <w:r>
        <w:t xml:space="preserve"> </w:t>
      </w:r>
      <w:r>
        <w:t xml:space="preserve">(फि. सू. ८४, as printed).</w:t>
      </w:r>
    </w:p>
    <w:p>
      <w:pPr>
        <w:numPr>
          <w:ilvl w:val="0"/>
          <w:numId w:val="1033"/>
        </w:numPr>
      </w:pPr>
      <w:r>
        <w:rPr>
          <w:bCs/>
          <w:b/>
        </w:rPr>
        <w:t xml:space="preserve">“</w:t>
      </w:r>
      <w:r>
        <w:rPr>
          <w:bCs/>
          <w:b/>
        </w:rPr>
        <w:t xml:space="preserve">Rocanāt.</w:t>
      </w:r>
      <w:r>
        <w:rPr>
          <w:bCs/>
          <w:b/>
        </w:rPr>
        <w:t xml:space="preserve">”</w:t>
      </w:r>
      <w:r>
        <w:t xml:space="preserve"> </w:t>
      </w:r>
      <w:r>
        <w:rPr>
          <w:bCs/>
          <w:b/>
        </w:rPr>
        <w:t xml:space="preserve">अनुदात्तेतश्च हलादेः</w:t>
      </w:r>
      <w:r>
        <w:t xml:space="preserve"> </w:t>
      </w:r>
      <w:r>
        <w:t xml:space="preserve">(पा. सू. ३-२-१४९): after an intransitive, consonant-initial root marked with an anudātta</w:t>
      </w:r>
      <w:r>
        <w:t xml:space="preserve"> </w:t>
      </w:r>
      <w:r>
        <w:t xml:space="preserve">“</w:t>
      </w:r>
      <w:r>
        <w:t xml:space="preserve">it,</w:t>
      </w:r>
      <w:r>
        <w:t xml:space="preserve">”</w:t>
      </w:r>
      <w:r>
        <w:t xml:space="preserve"> </w:t>
      </w:r>
      <w:r>
        <w:t xml:space="preserve">“</w:t>
      </w:r>
      <w:r>
        <w:t xml:space="preserve">yuc</w:t>
      </w:r>
      <w:r>
        <w:t xml:space="preserve">”</w:t>
      </w:r>
      <w:r>
        <w:t xml:space="preserve">:</w:t>
      </w:r>
      <w:r>
        <w:t xml:space="preserve"> </w:t>
      </w:r>
      <w:r>
        <w:t xml:space="preserve">“</w:t>
      </w:r>
      <w:r>
        <w:t xml:space="preserve">ruc + yu</w:t>
      </w:r>
      <w:r>
        <w:t xml:space="preserve">”</w:t>
      </w:r>
      <w:r>
        <w:t xml:space="preserve">;</w:t>
      </w:r>
      <w:r>
        <w:t xml:space="preserve"> </w:t>
      </w:r>
      <w:r>
        <w:rPr>
          <w:bCs/>
          <w:b/>
        </w:rPr>
        <w:t xml:space="preserve">युवोरनाकौ</w:t>
      </w:r>
      <w:r>
        <w:t xml:space="preserve"> </w:t>
      </w:r>
      <w:r>
        <w:t xml:space="preserve">(पा. सू. ७-१-१)</w:t>
      </w:r>
      <w:r>
        <w:t xml:space="preserve"> </w:t>
      </w:r>
      <w:r>
        <w:t xml:space="preserve">“</w:t>
      </w:r>
      <w:r>
        <w:t xml:space="preserve">ana</w:t>
      </w:r>
      <w:r>
        <w:t xml:space="preserve">”</w:t>
      </w:r>
      <w:r>
        <w:t xml:space="preserve"> </w:t>
      </w:r>
      <w:r>
        <w:t xml:space="preserve">for</w:t>
      </w:r>
      <w:r>
        <w:t xml:space="preserve"> </w:t>
      </w:r>
      <w:r>
        <w:t xml:space="preserve">“</w:t>
      </w:r>
      <w:r>
        <w:t xml:space="preserve">yu</w:t>
      </w:r>
      <w:r>
        <w:t xml:space="preserve">”</w:t>
      </w:r>
      <w:r>
        <w:t xml:space="preserve">:</w:t>
      </w:r>
      <w:r>
        <w:t xml:space="preserve"> </w:t>
      </w:r>
      <w:r>
        <w:t xml:space="preserve">“</w:t>
      </w:r>
      <w:r>
        <w:t xml:space="preserve">ruc + ana</w:t>
      </w:r>
      <w:r>
        <w:t xml:space="preserve">”</w:t>
      </w:r>
      <w:r>
        <w:t xml:space="preserve">; guṇa of the light penultimate:</w:t>
      </w:r>
      <w:r>
        <w:t xml:space="preserve"> </w:t>
      </w:r>
      <w:r>
        <w:t xml:space="preserve">“</w:t>
      </w:r>
      <w:r>
        <w:t xml:space="preserve">rocana</w:t>
      </w:r>
      <w:r>
        <w:t xml:space="preserve">”</w:t>
      </w:r>
      <w:r>
        <w:t xml:space="preserve">; ablative singular</w:t>
      </w:r>
      <w:r>
        <w:t xml:space="preserve"> </w:t>
      </w:r>
      <w:r>
        <w:t xml:space="preserve">“</w:t>
      </w:r>
      <w:r>
        <w:t xml:space="preserve">rocanāt.</w:t>
      </w:r>
      <w:r>
        <w:t xml:space="preserve">”</w:t>
      </w:r>
      <w:r>
        <w:t xml:space="preserve"> </w:t>
      </w:r>
      <w:r>
        <w:t xml:space="preserve">The affix is</w:t>
      </w:r>
      <w:r>
        <w:t xml:space="preserve"> </w:t>
      </w:r>
      <w:r>
        <w:t xml:space="preserve">“</w:t>
      </w:r>
      <w:r>
        <w:t xml:space="preserve">c</w:t>
      </w:r>
      <w:r>
        <w:t xml:space="preserve">”</w:t>
      </w:r>
      <w:r>
        <w:t xml:space="preserve">-marked, so</w:t>
      </w:r>
      <w:r>
        <w:t xml:space="preserve"> </w:t>
      </w:r>
      <w:r>
        <w:rPr>
          <w:bCs/>
          <w:b/>
        </w:rPr>
        <w:t xml:space="preserve">चितः</w:t>
      </w:r>
      <w:r>
        <w:t xml:space="preserve"> </w:t>
      </w:r>
      <w:r>
        <w:t xml:space="preserve">(पा. सू. ६-१-१६३), with the vārttika</w:t>
      </w:r>
      <w:r>
        <w:t xml:space="preserve"> </w:t>
      </w:r>
      <w:r>
        <w:rPr>
          <w:bCs/>
          <w:b/>
        </w:rPr>
        <w:t xml:space="preserve">चितः सप्रकृतेर्बह्वकजर्थम्</w:t>
      </w:r>
      <w:r>
        <w:t xml:space="preserve"> </w:t>
      </w:r>
      <w:r>
        <w:t xml:space="preserve">(पा. सू. ६-१-१६३ वा. १): the end of the whole stem-plus-affix is acute, or else the forms with</w:t>
      </w:r>
      <w:r>
        <w:t xml:space="preserve"> </w:t>
      </w:r>
      <w:r>
        <w:t xml:space="preserve">“</w:t>
      </w:r>
      <w:r>
        <w:t xml:space="preserve">bahuc</w:t>
      </w:r>
      <w:r>
        <w:t xml:space="preserve">”</w:t>
      </w:r>
      <w:r>
        <w:t xml:space="preserve"> </w:t>
      </w:r>
      <w:r>
        <w:t xml:space="preserve">and</w:t>
      </w:r>
      <w:r>
        <w:t xml:space="preserve"> </w:t>
      </w:r>
      <w:r>
        <w:t xml:space="preserve">“</w:t>
      </w:r>
      <w:r>
        <w:t xml:space="preserve">akac</w:t>
      </w:r>
      <w:r>
        <w:t xml:space="preserve">”</w:t>
      </w:r>
      <w:r>
        <w:t xml:space="preserve"> </w:t>
      </w:r>
      <w:r>
        <w:t xml:space="preserve">would not come out right.</w:t>
      </w:r>
      <w:r>
        <w:t xml:space="preserve"> </w:t>
      </w:r>
      <w:r>
        <w:rPr>
          <w:bCs/>
          <w:b/>
        </w:rPr>
        <w:t xml:space="preserve">विभाषा सुपो बहुच् पुरस्तात्</w:t>
      </w:r>
      <w:r>
        <w:t xml:space="preserve"> </w:t>
      </w:r>
      <w:r>
        <w:t xml:space="preserve">(पा. सू. ५-३-६८) puts</w:t>
      </w:r>
      <w:r>
        <w:t xml:space="preserve"> </w:t>
      </w:r>
      <w:r>
        <w:t xml:space="preserve">“</w:t>
      </w:r>
      <w:r>
        <w:t xml:space="preserve">bahuc</w:t>
      </w:r>
      <w:r>
        <w:t xml:space="preserve">”</w:t>
      </w:r>
      <w:r>
        <w:t xml:space="preserve"> </w:t>
      </w:r>
      <w:r>
        <w:t xml:space="preserve">before the stem:</w:t>
      </w:r>
      <w:r>
        <w:t xml:space="preserve"> </w:t>
      </w:r>
      <w:r>
        <w:t xml:space="preserve">“</w:t>
      </w:r>
      <w:r>
        <w:t xml:space="preserve">īṣad ūnaḥ paṭuḥ — bahupaṭuḥ</w:t>
      </w:r>
      <w:r>
        <w:t xml:space="preserve">”</w:t>
      </w:r>
      <w:r>
        <w:t xml:space="preserve">;</w:t>
      </w:r>
      <w:r>
        <w:t xml:space="preserve"> </w:t>
      </w:r>
      <w:r>
        <w:rPr>
          <w:bCs/>
          <w:b/>
        </w:rPr>
        <w:t xml:space="preserve">अव्ययसर्वनाम्नामकच्प्राक्टेः</w:t>
      </w:r>
      <w:r>
        <w:t xml:space="preserve"> </w:t>
      </w:r>
      <w:r>
        <w:t xml:space="preserve">(पा. सू. ५-३-७१) …</w:t>
      </w:r>
      <w:r>
        <w:t xml:space="preserve"> </w:t>
      </w:r>
      <w:r>
        <w:rPr>
          <w:iCs/>
          <w:i/>
        </w:rPr>
        <w:t xml:space="preserve">(continues on p. 250)</w:t>
      </w:r>
    </w:p>
    <w:bookmarkEnd w:id="285"/>
    <w:bookmarkStart w:id="286" w:name="Xcf84bea21903532f2058c94b4b624490e5676dc"/>
    <w:p>
      <w:pPr>
        <w:pStyle w:val="Heading3"/>
      </w:pPr>
      <w:r>
        <w:t xml:space="preserve">Pages 250–251 — Rik 6.9: end of grammar; Rik 6.10: Saṃhitā, Pada, Sāyaṇa-bhāṣya, grammar begins</w:t>
      </w:r>
    </w:p>
    <w:p>
      <w:pPr>
        <w:pStyle w:val="FirstParagraph"/>
      </w:pPr>
      <w:r>
        <w:rPr>
          <w:iCs/>
          <w:i/>
        </w:rPr>
        <w:t xml:space="preserve">(Page 250 header:</w:t>
      </w:r>
      <w:r>
        <w:rPr>
          <w:iCs/>
          <w:i/>
        </w:rPr>
        <w:t xml:space="preserve"> </w:t>
      </w:r>
      <w:r>
        <w:rPr>
          <w:iCs/>
          <w:i/>
        </w:rPr>
        <w:t xml:space="preserve">“</w:t>
      </w:r>
      <w:r>
        <w:rPr>
          <w:iCs/>
          <w:i/>
        </w:rPr>
        <w:t xml:space="preserve">Maṇ. 1, A. 1, Sū. 6</w:t>
      </w:r>
      <w:r>
        <w:rPr>
          <w:iCs/>
          <w:i/>
        </w:rPr>
        <w:t xml:space="preserve">”</w:t>
      </w:r>
      <w:r>
        <w:rPr>
          <w:iCs/>
          <w:i/>
        </w:rPr>
        <w:t xml:space="preserve">; p. 251 header:</w:t>
      </w:r>
      <w:r>
        <w:rPr>
          <w:iCs/>
          <w:i/>
        </w:rPr>
        <w:t xml:space="preserve"> </w:t>
      </w:r>
      <w:r>
        <w:rPr>
          <w:iCs/>
          <w:i/>
        </w:rPr>
        <w:t xml:space="preserve">“</w:t>
      </w:r>
      <w:r>
        <w:rPr>
          <w:iCs/>
          <w:i/>
        </w:rPr>
        <w:t xml:space="preserve">A. 1, A. 1, Va. 12</w:t>
      </w:r>
      <w:r>
        <w:rPr>
          <w:iCs/>
          <w:i/>
        </w:rPr>
        <w:t xml:space="preserve">”</w:t>
      </w:r>
      <w:r>
        <w:rPr>
          <w:iCs/>
          <w:i/>
        </w:rPr>
        <w:t xml:space="preserve">. Rik 6.10 is the last Rik of Sūkta 6.)</w:t>
      </w:r>
    </w:p>
    <w:p>
      <w:pPr>
        <w:pStyle w:val="BodyText"/>
      </w:pPr>
      <w:r>
        <w:rPr>
          <w:bCs/>
          <w:b/>
        </w:rPr>
        <w:t xml:space="preserve">Grammar of Rik 6.9, continued (characterized)</w:t>
      </w:r>
      <w:r>
        <w:t xml:space="preserve"> </w:t>
      </w:r>
      <w:r>
        <w:rPr>
          <w:iCs/>
          <w:i/>
        </w:rPr>
        <w:t xml:space="preserve">(Kannada, translated; the page-top continues the</w:t>
      </w:r>
      <w:r>
        <w:rPr>
          <w:iCs/>
          <w:i/>
        </w:rPr>
        <w:t xml:space="preserve"> </w:t>
      </w:r>
      <w:r>
        <w:rPr>
          <w:iCs/>
          <w:i/>
        </w:rPr>
        <w:t xml:space="preserve">“</w:t>
      </w:r>
      <w:r>
        <w:rPr>
          <w:iCs/>
          <w:i/>
        </w:rPr>
        <w:t xml:space="preserve">Rocanāt</w:t>
      </w:r>
      <w:r>
        <w:rPr>
          <w:iCs/>
          <w:i/>
        </w:rPr>
        <w:t xml:space="preserve">”</w:t>
      </w:r>
      <w:r>
        <w:rPr>
          <w:iCs/>
          <w:i/>
        </w:rPr>
        <w:t xml:space="preserve"> </w:t>
      </w:r>
      <w:r>
        <w:rPr>
          <w:iCs/>
          <w:i/>
        </w:rPr>
        <w:t xml:space="preserve">discussion of p. 249)</w:t>
      </w:r>
    </w:p>
    <w:p>
      <w:pPr>
        <w:numPr>
          <w:ilvl w:val="0"/>
          <w:numId w:val="1034"/>
        </w:numPr>
        <w:pStyle w:val="Compact"/>
      </w:pPr>
      <w:r>
        <w:rPr>
          <w:bCs/>
          <w:b/>
        </w:rPr>
        <w:t xml:space="preserve">“</w:t>
      </w:r>
      <w:r>
        <w:rPr>
          <w:bCs/>
          <w:b/>
        </w:rPr>
        <w:t xml:space="preserve">Rocanāt,</w:t>
      </w:r>
      <w:r>
        <w:rPr>
          <w:bCs/>
          <w:b/>
        </w:rPr>
        <w:t xml:space="preserve">”</w:t>
      </w:r>
      <w:r>
        <w:rPr>
          <w:bCs/>
          <w:b/>
        </w:rPr>
        <w:t xml:space="preserve"> </w:t>
      </w:r>
      <w:r>
        <w:rPr>
          <w:bCs/>
          <w:b/>
        </w:rPr>
        <w:t xml:space="preserve">end of discussion.</w:t>
      </w:r>
      <w:r>
        <w:t xml:space="preserve"> </w:t>
      </w:r>
      <w:r>
        <w:t xml:space="preserve">The affix</w:t>
      </w:r>
      <w:r>
        <w:t xml:space="preserve"> </w:t>
      </w:r>
      <w:r>
        <w:t xml:space="preserve">“</w:t>
      </w:r>
      <w:r>
        <w:t xml:space="preserve">akac</w:t>
      </w:r>
      <w:r>
        <w:t xml:space="preserve">”</w:t>
      </w:r>
      <w:r>
        <w:t xml:space="preserve"> </w:t>
      </w:r>
      <w:r>
        <w:t xml:space="preserve">coming by</w:t>
      </w:r>
      <w:r>
        <w:t xml:space="preserve"> </w:t>
      </w:r>
      <w:r>
        <w:rPr>
          <w:bCs/>
          <w:b/>
        </w:rPr>
        <w:t xml:space="preserve">अव्ययसर्वनाम्नामकच् प्राक् टेः</w:t>
      </w:r>
      <w:r>
        <w:t xml:space="preserve"> </w:t>
      </w:r>
      <w:r>
        <w:t xml:space="preserve">(</w:t>
      </w:r>
      <w:r>
        <w:rPr>
          <w:iCs/>
          <w:i/>
        </w:rPr>
        <w:t xml:space="preserve">avyaya-sarvanāmnām akac prāk ṭeḥ</w:t>
      </w:r>
      <w:r>
        <w:t xml:space="preserve">, पा. ५-३-७१,</w:t>
      </w:r>
      <w:r>
        <w:t xml:space="preserve"> </w:t>
      </w:r>
      <w:r>
        <w:t xml:space="preserve">“</w:t>
      </w:r>
      <w:r>
        <w:t xml:space="preserve">‘</w:t>
      </w:r>
      <w:r>
        <w:t xml:space="preserve">akac</w:t>
      </w:r>
      <w:r>
        <w:t xml:space="preserve">’</w:t>
      </w:r>
      <w:r>
        <w:t xml:space="preserve"> </w:t>
      </w:r>
      <w:r>
        <w:t xml:space="preserve">comes before the last</w:t>
      </w:r>
      <w:r>
        <w:t xml:space="preserve"> </w:t>
      </w:r>
      <w:r>
        <w:t xml:space="preserve">‘</w:t>
      </w:r>
      <w:r>
        <w:t xml:space="preserve">ṭi</w:t>
      </w:r>
      <w:r>
        <w:t xml:space="preserve">’</w:t>
      </w:r>
      <w:r>
        <w:t xml:space="preserve"> </w:t>
      </w:r>
      <w:r>
        <w:t xml:space="preserve">syllable of an indeclinable or a pronoun</w:t>
      </w:r>
      <w:r>
        <w:t xml:space="preserve">”</w:t>
      </w:r>
      <w:r>
        <w:t xml:space="preserve">) comes</w:t>
      </w:r>
      <w:r>
        <w:t xml:space="preserve"> </w:t>
      </w:r>
      <w:r>
        <w:t xml:space="preserve">“</w:t>
      </w:r>
      <w:r>
        <w:t xml:space="preserve">behind the</w:t>
      </w:r>
      <w:r>
        <w:t xml:space="preserve"> </w:t>
      </w:r>
      <w:r>
        <w:t xml:space="preserve">‘</w:t>
      </w:r>
      <w:r>
        <w:t xml:space="preserve">ṭi</w:t>
      </w:r>
      <w:r>
        <w:t xml:space="preserve">’</w:t>
      </w:r>
      <w:r>
        <w:t xml:space="preserve">”</w:t>
      </w:r>
      <w:r>
        <w:t xml:space="preserve">; the example given is</w:t>
      </w:r>
      <w:r>
        <w:t xml:space="preserve"> </w:t>
      </w:r>
      <w:r>
        <w:t xml:space="preserve">“</w:t>
      </w:r>
      <w:r>
        <w:t xml:space="preserve">anyake.</w:t>
      </w:r>
      <w:r>
        <w:t xml:space="preserve">”</w:t>
      </w:r>
      <w:r>
        <w:t xml:space="preserve"> </w:t>
      </w:r>
      <w:r>
        <w:t xml:space="preserve">The print says that if the Vārttika on</w:t>
      </w:r>
      <w:r>
        <w:t xml:space="preserve"> </w:t>
      </w:r>
      <w:r>
        <w:t xml:space="preserve">“</w:t>
      </w:r>
      <w:r>
        <w:t xml:space="preserve">citaḥ</w:t>
      </w:r>
      <w:r>
        <w:t xml:space="preserve">”</w:t>
      </w:r>
      <w:r>
        <w:t xml:space="preserve"> </w:t>
      </w:r>
      <w:r>
        <w:t xml:space="preserve">were not taken in this sense, the final letter would not be acute in these two examples; in</w:t>
      </w:r>
      <w:r>
        <w:t xml:space="preserve"> </w:t>
      </w:r>
      <w:r>
        <w:t xml:space="preserve">“</w:t>
      </w:r>
      <w:r>
        <w:t xml:space="preserve">rocana,</w:t>
      </w:r>
      <w:r>
        <w:t xml:space="preserve">”</w:t>
      </w:r>
      <w:r>
        <w:t xml:space="preserve"> </w:t>
      </w:r>
      <w:r>
        <w:t xml:space="preserve">the end of the whole stem-and-affix combination is acute.</w:t>
      </w:r>
    </w:p>
    <w:p>
      <w:pPr>
        <w:numPr>
          <w:ilvl w:val="0"/>
          <w:numId w:val="1034"/>
        </w:numPr>
        <w:pStyle w:val="Compact"/>
      </w:pPr>
      <w:r>
        <w:rPr>
          <w:bCs/>
          <w:b/>
        </w:rPr>
        <w:t xml:space="preserve">“</w:t>
      </w:r>
      <w:r>
        <w:rPr>
          <w:bCs/>
          <w:b/>
        </w:rPr>
        <w:t xml:space="preserve">Adhi</w:t>
      </w:r>
      <w:r>
        <w:rPr>
          <w:bCs/>
          <w:b/>
        </w:rPr>
        <w:t xml:space="preserve">”</w:t>
      </w:r>
      <w:r>
        <w:rPr>
          <w:bCs/>
          <w:b/>
        </w:rPr>
        <w:t xml:space="preserve"> </w:t>
      </w:r>
      <w:r>
        <w:rPr>
          <w:bCs/>
          <w:b/>
        </w:rPr>
        <w:t xml:space="preserve">(अधि,</w:t>
      </w:r>
      <w:r>
        <w:rPr>
          <w:bCs/>
          <w:b/>
        </w:rPr>
        <w:t xml:space="preserve"> </w:t>
      </w:r>
      <w:r>
        <w:rPr>
          <w:iCs/>
          <w:i/>
          <w:bCs/>
          <w:b/>
        </w:rPr>
        <w:t xml:space="preserve">adhi</w:t>
      </w:r>
      <w:r>
        <w:rPr>
          <w:bCs/>
          <w:b/>
        </w:rPr>
        <w:t xml:space="preserve">).</w:t>
      </w:r>
      <w:r>
        <w:t xml:space="preserve"> </w:t>
      </w:r>
      <w:r>
        <w:rPr>
          <w:bCs/>
          <w:b/>
        </w:rPr>
        <w:t xml:space="preserve">अधिपरी अनर्थकौ</w:t>
      </w:r>
      <w:r>
        <w:t xml:space="preserve"> </w:t>
      </w:r>
      <w:r>
        <w:t xml:space="preserve">(</w:t>
      </w:r>
      <w:r>
        <w:rPr>
          <w:iCs/>
          <w:i/>
        </w:rPr>
        <w:t xml:space="preserve">adhi-parī anarthakau</w:t>
      </w:r>
      <w:r>
        <w:t xml:space="preserve">,</w:t>
      </w:r>
      <w:r>
        <w:t xml:space="preserve"> </w:t>
      </w:r>
      <w:r>
        <w:t xml:space="preserve">“</w:t>
      </w:r>
      <w:r>
        <w:t xml:space="preserve">‘</w:t>
      </w:r>
      <w:r>
        <w:t xml:space="preserve">adhi</w:t>
      </w:r>
      <w:r>
        <w:t xml:space="preserve">’</w:t>
      </w:r>
      <w:r>
        <w:t xml:space="preserve"> </w:t>
      </w:r>
      <w:r>
        <w:t xml:space="preserve">and</w:t>
      </w:r>
      <w:r>
        <w:t xml:space="preserve"> </w:t>
      </w:r>
      <w:r>
        <w:t xml:space="preserve">‘</w:t>
      </w:r>
      <w:r>
        <w:t xml:space="preserve">pari,</w:t>
      </w:r>
      <w:r>
        <w:t xml:space="preserve">’</w:t>
      </w:r>
      <w:r>
        <w:t xml:space="preserve"> </w:t>
      </w:r>
      <w:r>
        <w:t xml:space="preserve">when without a distinct sense, are</w:t>
      </w:r>
      <w:r>
        <w:t xml:space="preserve"> </w:t>
      </w:r>
      <w:r>
        <w:t xml:space="preserve">‘</w:t>
      </w:r>
      <w:r>
        <w:t xml:space="preserve">karma-pravacanīya,</w:t>
      </w:r>
      <w:r>
        <w:t xml:space="preserve">’</w:t>
      </w:r>
      <w:r>
        <w:t xml:space="preserve">”</w:t>
      </w:r>
      <w:r>
        <w:t xml:space="preserve"> </w:t>
      </w:r>
      <w:r>
        <w:t xml:space="preserve">पा. १-४-९३): the print says that</w:t>
      </w:r>
      <w:r>
        <w:t xml:space="preserve"> </w:t>
      </w:r>
      <w:r>
        <w:t xml:space="preserve">“</w:t>
      </w:r>
      <w:r>
        <w:t xml:space="preserve">adhi</w:t>
      </w:r>
      <w:r>
        <w:t xml:space="preserve">”</w:t>
      </w:r>
      <w:r>
        <w:t xml:space="preserve"> </w:t>
      </w:r>
      <w:r>
        <w:t xml:space="preserve">and</w:t>
      </w:r>
      <w:r>
        <w:t xml:space="preserve"> </w:t>
      </w:r>
      <w:r>
        <w:t xml:space="preserve">“</w:t>
      </w:r>
      <w:r>
        <w:t xml:space="preserve">pari,</w:t>
      </w:r>
      <w:r>
        <w:t xml:space="preserve">”</w:t>
      </w:r>
      <w:r>
        <w:t xml:space="preserve"> </w:t>
      </w:r>
      <w:r>
        <w:t xml:space="preserve">not conveying a particular meaning, receive the name</w:t>
      </w:r>
      <w:r>
        <w:t xml:space="preserve"> </w:t>
      </w:r>
      <w:r>
        <w:t xml:space="preserve">“</w:t>
      </w:r>
      <w:r>
        <w:t xml:space="preserve">karma-pravacanīya</w:t>
      </w:r>
      <w:r>
        <w:t xml:space="preserve">”</w:t>
      </w:r>
      <w:r>
        <w:t xml:space="preserve"> </w:t>
      </w:r>
      <w:r>
        <w:t xml:space="preserve">and also the name</w:t>
      </w:r>
      <w:r>
        <w:t xml:space="preserve"> </w:t>
      </w:r>
      <w:r>
        <w:t xml:space="preserve">“</w:t>
      </w:r>
      <w:r>
        <w:t xml:space="preserve">nipāta</w:t>
      </w:r>
      <w:r>
        <w:t xml:space="preserve">”</w:t>
      </w:r>
      <w:r>
        <w:t xml:space="preserve">; since</w:t>
      </w:r>
      <w:r>
        <w:t xml:space="preserve"> </w:t>
      </w:r>
      <w:r>
        <w:t xml:space="preserve">“</w:t>
      </w:r>
      <w:r>
        <w:t xml:space="preserve">adhi</w:t>
      </w:r>
      <w:r>
        <w:t xml:space="preserve">”</w:t>
      </w:r>
      <w:r>
        <w:t xml:space="preserve"> </w:t>
      </w:r>
      <w:r>
        <w:t xml:space="preserve">holds the name</w:t>
      </w:r>
      <w:r>
        <w:t xml:space="preserve"> </w:t>
      </w:r>
      <w:r>
        <w:t xml:space="preserve">“</w:t>
      </w:r>
      <w:r>
        <w:t xml:space="preserve">nipāta</w:t>
      </w:r>
      <w:r>
        <w:t xml:space="preserve">”</w:t>
      </w:r>
      <w:r>
        <w:t xml:space="preserve"> </w:t>
      </w:r>
      <w:r>
        <w:t xml:space="preserve">along with</w:t>
      </w:r>
      <w:r>
        <w:t xml:space="preserve"> </w:t>
      </w:r>
      <w:r>
        <w:t xml:space="preserve">“</w:t>
      </w:r>
      <w:r>
        <w:t xml:space="preserve">karma-pravacanīya,</w:t>
      </w:r>
      <w:r>
        <w:t xml:space="preserve">”</w:t>
      </w:r>
      <w:r>
        <w:t xml:space="preserve"> </w:t>
      </w:r>
      <w:r>
        <w:t xml:space="preserve">it is first-syllable acute by</w:t>
      </w:r>
      <w:r>
        <w:t xml:space="preserve"> </w:t>
      </w:r>
      <w:r>
        <w:rPr>
          <w:bCs/>
          <w:b/>
        </w:rPr>
        <w:t xml:space="preserve">निपाता आद्युदात्ताः</w:t>
      </w:r>
      <w:r>
        <w:t xml:space="preserve"> </w:t>
      </w:r>
      <w:r>
        <w:t xml:space="preserve">(</w:t>
      </w:r>
      <w:r>
        <w:rPr>
          <w:iCs/>
          <w:i/>
        </w:rPr>
        <w:t xml:space="preserve">nipātā ādyudāttāḥ</w:t>
      </w:r>
      <w:r>
        <w:t xml:space="preserve">, फि. सू. ८०).</w:t>
      </w:r>
    </w:p>
    <w:p>
      <w:pPr>
        <w:numPr>
          <w:ilvl w:val="0"/>
          <w:numId w:val="1034"/>
        </w:numPr>
        <w:pStyle w:val="Compact"/>
      </w:pPr>
      <w:r>
        <w:rPr>
          <w:bCs/>
          <w:b/>
        </w:rPr>
        <w:t xml:space="preserve">“</w:t>
      </w:r>
      <w:r>
        <w:rPr>
          <w:bCs/>
          <w:b/>
        </w:rPr>
        <w:t xml:space="preserve">Asmin</w:t>
      </w:r>
      <w:r>
        <w:rPr>
          <w:bCs/>
          <w:b/>
        </w:rPr>
        <w:t xml:space="preserve">”</w:t>
      </w:r>
      <w:r>
        <w:rPr>
          <w:bCs/>
          <w:b/>
        </w:rPr>
        <w:t xml:space="preserve"> </w:t>
      </w:r>
      <w:r>
        <w:rPr>
          <w:bCs/>
          <w:b/>
        </w:rPr>
        <w:t xml:space="preserve">(अस्मिन्,</w:t>
      </w:r>
      <w:r>
        <w:rPr>
          <w:bCs/>
          <w:b/>
        </w:rPr>
        <w:t xml:space="preserve"> </w:t>
      </w:r>
      <w:r>
        <w:rPr>
          <w:iCs/>
          <w:i/>
          <w:bCs/>
          <w:b/>
        </w:rPr>
        <w:t xml:space="preserve">asmin</w:t>
      </w:r>
      <w:r>
        <w:rPr>
          <w:bCs/>
          <w:b/>
        </w:rPr>
        <w:t xml:space="preserve">).</w:t>
      </w:r>
      <w:r>
        <w:t xml:space="preserve"> </w:t>
      </w:r>
      <w:r>
        <w:t xml:space="preserve">When</w:t>
      </w:r>
      <w:r>
        <w:t xml:space="preserve"> </w:t>
      </w:r>
      <w:r>
        <w:t xml:space="preserve">“</w:t>
      </w:r>
      <w:r>
        <w:t xml:space="preserve">idam</w:t>
      </w:r>
      <w:r>
        <w:t xml:space="preserve">”</w:t>
      </w:r>
      <w:r>
        <w:t xml:space="preserve"> </w:t>
      </w:r>
      <w:r>
        <w:t xml:space="preserve">is followed by the seventh-case ending, by</w:t>
      </w:r>
      <w:r>
        <w:t xml:space="preserve"> </w:t>
      </w:r>
      <w:r>
        <w:rPr>
          <w:bCs/>
          <w:b/>
        </w:rPr>
        <w:t xml:space="preserve">त्यदादीनामः</w:t>
      </w:r>
      <w:r>
        <w:t xml:space="preserve"> </w:t>
      </w:r>
      <w:r>
        <w:t xml:space="preserve">(</w:t>
      </w:r>
      <w:r>
        <w:rPr>
          <w:iCs/>
          <w:i/>
        </w:rPr>
        <w:t xml:space="preserve">tyadādīnām aḥ</w:t>
      </w:r>
      <w:r>
        <w:t xml:space="preserve">,</w:t>
      </w:r>
      <w:r>
        <w:t xml:space="preserve"> </w:t>
      </w:r>
      <w:r>
        <w:t xml:space="preserve">“</w:t>
      </w:r>
      <w:r>
        <w:t xml:space="preserve">of</w:t>
      </w:r>
      <w:r>
        <w:t xml:space="preserve"> </w:t>
      </w:r>
      <w:r>
        <w:t xml:space="preserve">‘</w:t>
      </w:r>
      <w:r>
        <w:t xml:space="preserve">tyad</w:t>
      </w:r>
      <w:r>
        <w:t xml:space="preserve">’</w:t>
      </w:r>
      <w:r>
        <w:t xml:space="preserve"> </w:t>
      </w:r>
      <w:r>
        <w:t xml:space="preserve">etc. the last letter is replaced by</w:t>
      </w:r>
      <w:r>
        <w:t xml:space="preserve"> </w:t>
      </w:r>
      <w:r>
        <w:t xml:space="preserve">‘</w:t>
      </w:r>
      <w:r>
        <w:t xml:space="preserve">a</w:t>
      </w:r>
      <w:r>
        <w:t xml:space="preserve">’</w:t>
      </w:r>
      <w:r>
        <w:t xml:space="preserve">,</w:t>
      </w:r>
      <w:r>
        <w:t xml:space="preserve">”</w:t>
      </w:r>
      <w:r>
        <w:t xml:space="preserve"> </w:t>
      </w:r>
      <w:r>
        <w:t xml:space="preserve">पा. ७-२-१०२) the last letter takes</w:t>
      </w:r>
      <w:r>
        <w:t xml:space="preserve"> </w:t>
      </w:r>
      <w:r>
        <w:t xml:space="preserve">“</w:t>
      </w:r>
      <w:r>
        <w:t xml:space="preserve">a,</w:t>
      </w:r>
      <w:r>
        <w:t xml:space="preserve">”</w:t>
      </w:r>
      <w:r>
        <w:t xml:space="preserve"> </w:t>
      </w:r>
      <w:r>
        <w:t xml:space="preserve">and then</w:t>
      </w:r>
      <w:r>
        <w:t xml:space="preserve"> </w:t>
      </w:r>
      <w:r>
        <w:rPr>
          <w:bCs/>
          <w:b/>
        </w:rPr>
        <w:t xml:space="preserve">अतो गुणे</w:t>
      </w:r>
      <w:r>
        <w:t xml:space="preserve"> </w:t>
      </w:r>
      <w:r>
        <w:t xml:space="preserve">(</w:t>
      </w:r>
      <w:r>
        <w:rPr>
          <w:iCs/>
          <w:i/>
        </w:rPr>
        <w:t xml:space="preserve">ato guṇe</w:t>
      </w:r>
      <w:r>
        <w:t xml:space="preserve">, पा. ६-१-९७) gives the later form (</w:t>
      </w:r>
      <w:r>
        <w:t xml:space="preserve">“</w:t>
      </w:r>
      <w:r>
        <w:t xml:space="preserve">ida + ṅi</w:t>
      </w:r>
      <w:r>
        <w:t xml:space="preserve">”</w:t>
      </w:r>
      <w:r>
        <w:t xml:space="preserve">). The print then argues that since</w:t>
      </w:r>
      <w:r>
        <w:t xml:space="preserve"> </w:t>
      </w:r>
      <w:r>
        <w:t xml:space="preserve">“</w:t>
      </w:r>
      <w:r>
        <w:t xml:space="preserve">parijman</w:t>
      </w:r>
      <w:r>
        <w:t xml:space="preserve">”</w:t>
      </w:r>
      <w:r>
        <w:t xml:space="preserve"> </w:t>
      </w:r>
      <w:r>
        <w:t xml:space="preserve">has pointed to the Marut-troop and</w:t>
      </w:r>
      <w:r>
        <w:t xml:space="preserve"> </w:t>
      </w:r>
      <w:r>
        <w:t xml:space="preserve">“</w:t>
      </w:r>
      <w:r>
        <w:t xml:space="preserve">asmin</w:t>
      </w:r>
      <w:r>
        <w:t xml:space="preserve">”</w:t>
      </w:r>
      <w:r>
        <w:t xml:space="preserve"> </w:t>
      </w:r>
      <w:r>
        <w:t xml:space="preserve">refers back to it (</w:t>
      </w:r>
      <w:r>
        <w:t xml:space="preserve">“</w:t>
      </w:r>
      <w:r>
        <w:t xml:space="preserve">asmin</w:t>
      </w:r>
      <w:r>
        <w:t xml:space="preserve">”</w:t>
      </w:r>
      <w:r>
        <w:t xml:space="preserve"> </w:t>
      </w:r>
      <w:r>
        <w:t xml:space="preserve">here refers to the sacrifice, which is</w:t>
      </w:r>
      <w:r>
        <w:t xml:space="preserve"> </w:t>
      </w:r>
      <w:r>
        <w:rPr>
          <w:iCs/>
          <w:i/>
        </w:rPr>
        <w:t xml:space="preserve">named</w:t>
      </w:r>
      <w:r>
        <w:t xml:space="preserve"> </w:t>
      </w:r>
      <w:r>
        <w:t xml:space="preserve">to be the very place of coming), this is a case of</w:t>
      </w:r>
      <w:r>
        <w:t xml:space="preserve"> </w:t>
      </w:r>
      <w:r>
        <w:t xml:space="preserve">“</w:t>
      </w:r>
      <w:r>
        <w:t xml:space="preserve">anvādeśa</w:t>
      </w:r>
      <w:r>
        <w:t xml:space="preserve">”</w:t>
      </w:r>
      <w:r>
        <w:t xml:space="preserve"> </w:t>
      </w:r>
      <w:r>
        <w:t xml:space="preserve">— a reference back — by the definition quoted in the print (</w:t>
      </w:r>
      <w:r>
        <w:t xml:space="preserve">“</w:t>
      </w:r>
      <w:r>
        <w:t xml:space="preserve">kiñcit kāryaṃ vidhātum upāttasya kāryāntaraṃ vidhātuṃ punar upādānam anvādeśaḥ,</w:t>
      </w:r>
      <w:r>
        <w:t xml:space="preserve">”</w:t>
      </w:r>
      <w:r>
        <w:t xml:space="preserve"> </w:t>
      </w:r>
      <w:r>
        <w:t xml:space="preserve">“</w:t>
      </w:r>
      <w:r>
        <w:t xml:space="preserve">anvādeśa is the repeated mention of what has been mentioned for one purpose, in order to enjoin another operation on it</w:t>
      </w:r>
      <w:r>
        <w:t xml:space="preserve">”</w:t>
      </w:r>
      <w:r>
        <w:t xml:space="preserve">). Hence</w:t>
      </w:r>
      <w:r>
        <w:t xml:space="preserve"> </w:t>
      </w:r>
      <w:r>
        <w:rPr>
          <w:bCs/>
          <w:b/>
        </w:rPr>
        <w:t xml:space="preserve">इदमोऽन्वादेशेऽशनुदात्तस्तृतीयादौ</w:t>
      </w:r>
      <w:r>
        <w:t xml:space="preserve"> </w:t>
      </w:r>
      <w:r>
        <w:t xml:space="preserve">(</w:t>
      </w:r>
      <w:r>
        <w:rPr>
          <w:iCs/>
          <w:i/>
        </w:rPr>
        <w:t xml:space="preserve">idamo ’nvādeśe ’śanudāttas tṛtīyādau</w:t>
      </w:r>
      <w:r>
        <w:t xml:space="preserve">,</w:t>
      </w:r>
      <w:r>
        <w:t xml:space="preserve"> </w:t>
      </w:r>
      <w:r>
        <w:t xml:space="preserve">“</w:t>
      </w:r>
      <w:r>
        <w:t xml:space="preserve">in an anvādeśa,</w:t>
      </w:r>
      <w:r>
        <w:t xml:space="preserve"> </w:t>
      </w:r>
      <w:r>
        <w:t xml:space="preserve">‘</w:t>
      </w:r>
      <w:r>
        <w:t xml:space="preserve">idam</w:t>
      </w:r>
      <w:r>
        <w:t xml:space="preserve">’</w:t>
      </w:r>
      <w:r>
        <w:t xml:space="preserve"> </w:t>
      </w:r>
      <w:r>
        <w:t xml:space="preserve">is replaced by an accent-less</w:t>
      </w:r>
      <w:r>
        <w:t xml:space="preserve"> </w:t>
      </w:r>
      <w:r>
        <w:t xml:space="preserve">‘</w:t>
      </w:r>
      <w:r>
        <w:t xml:space="preserve">aś</w:t>
      </w:r>
      <w:r>
        <w:t xml:space="preserve">’</w:t>
      </w:r>
      <w:r>
        <w:t xml:space="preserve"> </w:t>
      </w:r>
      <w:r>
        <w:t xml:space="preserve">before the third-case and following endings,</w:t>
      </w:r>
      <w:r>
        <w:t xml:space="preserve">”</w:t>
      </w:r>
      <w:r>
        <w:t xml:space="preserve"> </w:t>
      </w:r>
      <w:r>
        <w:t xml:space="preserve">पा. २-४-३२):</w:t>
      </w:r>
      <w:r>
        <w:t xml:space="preserve"> </w:t>
      </w:r>
      <w:r>
        <w:t xml:space="preserve">“</w:t>
      </w:r>
      <w:r>
        <w:t xml:space="preserve">aś,</w:t>
      </w:r>
      <w:r>
        <w:t xml:space="preserve">”</w:t>
      </w:r>
      <w:r>
        <w:t xml:space="preserve"> </w:t>
      </w:r>
      <w:r>
        <w:t xml:space="preserve">being</w:t>
      </w:r>
      <w:r>
        <w:t xml:space="preserve"> </w:t>
      </w:r>
      <w:r>
        <w:t xml:space="preserve">“</w:t>
      </w:r>
      <w:r>
        <w:t xml:space="preserve">śit,</w:t>
      </w:r>
      <w:r>
        <w:t xml:space="preserve">”</w:t>
      </w:r>
      <w:r>
        <w:t xml:space="preserve"> </w:t>
      </w:r>
      <w:r>
        <w:t xml:space="preserve">replaces the whole of</w:t>
      </w:r>
      <w:r>
        <w:t xml:space="preserve"> </w:t>
      </w:r>
      <w:r>
        <w:t xml:space="preserve">“</w:t>
      </w:r>
      <w:r>
        <w:t xml:space="preserve">idam.</w:t>
      </w:r>
      <w:r>
        <w:t xml:space="preserve">”</w:t>
      </w:r>
      <w:r>
        <w:t xml:space="preserve"> </w:t>
      </w:r>
      <w:r>
        <w:t xml:space="preserve">The seventh-case ending</w:t>
      </w:r>
      <w:r>
        <w:t xml:space="preserve"> </w:t>
      </w:r>
      <w:r>
        <w:t xml:space="preserve">“</w:t>
      </w:r>
      <w:r>
        <w:t xml:space="preserve">ṅi</w:t>
      </w:r>
      <w:r>
        <w:t xml:space="preserve">”</w:t>
      </w:r>
      <w:r>
        <w:t xml:space="preserve"> </w:t>
      </w:r>
      <w:r>
        <w:t xml:space="preserve">is replaced by</w:t>
      </w:r>
      <w:r>
        <w:t xml:space="preserve"> </w:t>
      </w:r>
      <w:r>
        <w:t xml:space="preserve">“</w:t>
      </w:r>
      <w:r>
        <w:t xml:space="preserve">smin</w:t>
      </w:r>
      <w:r>
        <w:t xml:space="preserve">”</w:t>
      </w:r>
      <w:r>
        <w:t xml:space="preserve"> </w:t>
      </w:r>
      <w:r>
        <w:t xml:space="preserve">by</w:t>
      </w:r>
      <w:r>
        <w:t xml:space="preserve"> </w:t>
      </w:r>
      <w:r>
        <w:rPr>
          <w:bCs/>
          <w:b/>
        </w:rPr>
        <w:t xml:space="preserve">जसिङसोः स्मात्स्मिनौ</w:t>
      </w:r>
      <w:r>
        <w:t xml:space="preserve"> </w:t>
      </w:r>
      <w:r>
        <w:t xml:space="preserve">[the print reads</w:t>
      </w:r>
      <w:r>
        <w:t xml:space="preserve"> </w:t>
      </w:r>
      <w:r>
        <w:t xml:space="preserve">“</w:t>
      </w:r>
      <w:r>
        <w:t xml:space="preserve">ङसिङ्योः स्मात्स्मिनौ,</w:t>
      </w:r>
      <w:r>
        <w:t xml:space="preserve">”</w:t>
      </w:r>
      <w:r>
        <w:t xml:space="preserve"> </w:t>
      </w:r>
      <w:r>
        <w:rPr>
          <w:iCs/>
          <w:i/>
        </w:rPr>
        <w:t xml:space="preserve">ṅasi-ṅyoḥ smāt-sminau</w:t>
      </w:r>
      <w:r>
        <w:t xml:space="preserve">, पा. ७-१-१५],</w:t>
      </w:r>
      <w:r>
        <w:t xml:space="preserve"> </w:t>
      </w:r>
      <w:r>
        <w:t xml:space="preserve">“</w:t>
      </w:r>
      <w:r>
        <w:t xml:space="preserve">‘</w:t>
      </w:r>
      <w:r>
        <w:t xml:space="preserve">smāt</w:t>
      </w:r>
      <w:r>
        <w:t xml:space="preserve">’</w:t>
      </w:r>
      <w:r>
        <w:t xml:space="preserve"> </w:t>
      </w:r>
      <w:r>
        <w:t xml:space="preserve">and</w:t>
      </w:r>
      <w:r>
        <w:t xml:space="preserve"> </w:t>
      </w:r>
      <w:r>
        <w:t xml:space="preserve">‘</w:t>
      </w:r>
      <w:r>
        <w:t xml:space="preserve">smin</w:t>
      </w:r>
      <w:r>
        <w:t xml:space="preserve">’</w:t>
      </w:r>
      <w:r>
        <w:t xml:space="preserve"> </w:t>
      </w:r>
      <w:r>
        <w:t xml:space="preserve">replace the fifth- and seventh-case endings after an a-ending pronoun</w:t>
      </w:r>
      <w:r>
        <w:t xml:space="preserve">”</w:t>
      </w:r>
      <w:r>
        <w:t xml:space="preserve">; so</w:t>
      </w:r>
      <w:r>
        <w:t xml:space="preserve"> </w:t>
      </w:r>
      <w:r>
        <w:t xml:space="preserve">“</w:t>
      </w:r>
      <w:r>
        <w:t xml:space="preserve">asmin.</w:t>
      </w:r>
      <w:r>
        <w:t xml:space="preserve">”</w:t>
      </w:r>
      <w:r>
        <w:t xml:space="preserve"> </w:t>
      </w:r>
      <w:r>
        <w:t xml:space="preserve">The ending is accent-less by</w:t>
      </w:r>
      <w:r>
        <w:t xml:space="preserve"> </w:t>
      </w:r>
      <w:r>
        <w:rPr>
          <w:bCs/>
          <w:b/>
        </w:rPr>
        <w:t xml:space="preserve">अनुदात्तौ सुप्पितौ</w:t>
      </w:r>
      <w:r>
        <w:t xml:space="preserve"> </w:t>
      </w:r>
      <w:r>
        <w:t xml:space="preserve">(</w:t>
      </w:r>
      <w:r>
        <w:rPr>
          <w:iCs/>
          <w:i/>
        </w:rPr>
        <w:t xml:space="preserve">anudāttau sup-pitau</w:t>
      </w:r>
      <w:r>
        <w:t xml:space="preserve">, पा. ३-१-४). So</w:t>
      </w:r>
      <w:r>
        <w:t xml:space="preserve"> </w:t>
      </w:r>
      <w:r>
        <w:t xml:space="preserve">“</w:t>
      </w:r>
      <w:r>
        <w:t xml:space="preserve">asmin</w:t>
      </w:r>
      <w:r>
        <w:t xml:space="preserve">”</w:t>
      </w:r>
      <w:r>
        <w:t xml:space="preserve"> </w:t>
      </w:r>
      <w:r>
        <w:t xml:space="preserve">is wholly accent-less.</w:t>
      </w:r>
    </w:p>
    <w:p>
      <w:pPr>
        <w:numPr>
          <w:ilvl w:val="0"/>
          <w:numId w:val="1034"/>
        </w:numPr>
        <w:pStyle w:val="Compact"/>
      </w:pPr>
      <w:r>
        <w:rPr>
          <w:bCs/>
          <w:b/>
        </w:rPr>
        <w:t xml:space="preserve">“</w:t>
      </w:r>
      <w:r>
        <w:rPr>
          <w:bCs/>
          <w:b/>
        </w:rPr>
        <w:t xml:space="preserve">Ṛñjate</w:t>
      </w:r>
      <w:r>
        <w:rPr>
          <w:bCs/>
          <w:b/>
        </w:rPr>
        <w:t xml:space="preserve">”</w:t>
      </w:r>
      <w:r>
        <w:rPr>
          <w:bCs/>
          <w:b/>
        </w:rPr>
        <w:t xml:space="preserve"> </w:t>
      </w:r>
      <w:r>
        <w:rPr>
          <w:bCs/>
          <w:b/>
        </w:rPr>
        <w:t xml:space="preserve">(ऋञ्जते,</w:t>
      </w:r>
      <w:r>
        <w:rPr>
          <w:bCs/>
          <w:b/>
        </w:rPr>
        <w:t xml:space="preserve"> </w:t>
      </w:r>
      <w:r>
        <w:rPr>
          <w:iCs/>
          <w:i/>
          <w:bCs/>
          <w:b/>
        </w:rPr>
        <w:t xml:space="preserve">ṛñjate</w:t>
      </w:r>
      <w:r>
        <w:rPr>
          <w:bCs/>
          <w:b/>
        </w:rPr>
        <w:t xml:space="preserve">).</w:t>
      </w:r>
      <w:r>
        <w:t xml:space="preserve"> </w:t>
      </w:r>
      <w:r>
        <w:t xml:space="preserve">“</w:t>
      </w:r>
      <w:r>
        <w:t xml:space="preserve">Ṛji bhṛji bharjane</w:t>
      </w:r>
      <w:r>
        <w:t xml:space="preserve">”</w:t>
      </w:r>
      <w:r>
        <w:t xml:space="preserve"> </w:t>
      </w:r>
      <w:r>
        <w:t xml:space="preserve">(the root meaning</w:t>
      </w:r>
      <w:r>
        <w:t xml:space="preserve"> </w:t>
      </w:r>
      <w:r>
        <w:t xml:space="preserve">“</w:t>
      </w:r>
      <w:r>
        <w:t xml:space="preserve">to fry</w:t>
      </w:r>
      <w:r>
        <w:t xml:space="preserve">”</w:t>
      </w:r>
      <w:r>
        <w:t xml:space="preserve">; also, in use,</w:t>
      </w:r>
      <w:r>
        <w:t xml:space="preserve"> </w:t>
      </w:r>
      <w:r>
        <w:t xml:space="preserve">“</w:t>
      </w:r>
      <w:r>
        <w:t xml:space="preserve">to adorn</w:t>
      </w:r>
      <w:r>
        <w:t xml:space="preserve">”</w:t>
      </w:r>
      <w:r>
        <w:t xml:space="preserve">). The root is</w:t>
      </w:r>
      <w:r>
        <w:t xml:space="preserve"> </w:t>
      </w:r>
      <w:r>
        <w:t xml:space="preserve">“</w:t>
      </w:r>
      <w:r>
        <w:t xml:space="preserve">idit,</w:t>
      </w:r>
      <w:r>
        <w:t xml:space="preserve">”</w:t>
      </w:r>
      <w:r>
        <w:t xml:space="preserve"> </w:t>
      </w:r>
      <w:r>
        <w:t xml:space="preserve">so</w:t>
      </w:r>
      <w:r>
        <w:t xml:space="preserve"> </w:t>
      </w:r>
      <w:r>
        <w:t xml:space="preserve">“</w:t>
      </w:r>
      <w:r>
        <w:t xml:space="preserve">num</w:t>
      </w:r>
      <w:r>
        <w:t xml:space="preserve">”</w:t>
      </w:r>
      <w:r>
        <w:t xml:space="preserve"> </w:t>
      </w:r>
      <w:r>
        <w:t xml:space="preserve">comes by</w:t>
      </w:r>
      <w:r>
        <w:t xml:space="preserve"> </w:t>
      </w:r>
      <w:r>
        <w:rPr>
          <w:bCs/>
          <w:b/>
        </w:rPr>
        <w:t xml:space="preserve">इदितो नुम् धातोः</w:t>
      </w:r>
      <w:r>
        <w:t xml:space="preserve"> </w:t>
      </w:r>
      <w:r>
        <w:t xml:space="preserve">(</w:t>
      </w:r>
      <w:r>
        <w:rPr>
          <w:iCs/>
          <w:i/>
        </w:rPr>
        <w:t xml:space="preserve">idito num dhātoḥ</w:t>
      </w:r>
      <w:r>
        <w:t xml:space="preserve">, पा. ७-१-५८). Then the anusvāra and parasavarṇa (पा. सू. ८-३-२४ and ८-४-५८) give</w:t>
      </w:r>
      <w:r>
        <w:t xml:space="preserve"> </w:t>
      </w:r>
      <w:r>
        <w:t xml:space="preserve">“</w:t>
      </w:r>
      <w:r>
        <w:t xml:space="preserve">ṛñj-.</w:t>
      </w:r>
      <w:r>
        <w:t xml:space="preserve">”</w:t>
      </w:r>
      <w:r>
        <w:t xml:space="preserve"> </w:t>
      </w:r>
      <w:r>
        <w:t xml:space="preserve">In the present ātmanepada third-person singular,</w:t>
      </w:r>
      <w:r>
        <w:t xml:space="preserve"> </w:t>
      </w:r>
      <w:r>
        <w:t xml:space="preserve">“</w:t>
      </w:r>
      <w:r>
        <w:t xml:space="preserve">ṛñjate.</w:t>
      </w:r>
      <w:r>
        <w:t xml:space="preserve">”</w:t>
      </w:r>
      <w:r>
        <w:t xml:space="preserve"> </w:t>
      </w:r>
      <w:r>
        <w:t xml:space="preserve">It is accent-less by</w:t>
      </w:r>
      <w:r>
        <w:t xml:space="preserve"> </w:t>
      </w:r>
      <w:r>
        <w:rPr>
          <w:bCs/>
          <w:b/>
        </w:rPr>
        <w:t xml:space="preserve">तिङ्ङतिङः</w:t>
      </w:r>
      <w:r>
        <w:t xml:space="preserve"> </w:t>
      </w:r>
      <w:r>
        <w:t xml:space="preserve">(</w:t>
      </w:r>
      <w:r>
        <w:rPr>
          <w:iCs/>
          <w:i/>
        </w:rPr>
        <w:t xml:space="preserve">tiṅ atiṅaḥ</w:t>
      </w:r>
      <w:r>
        <w:t xml:space="preserve">, पा. ८-१-२८). The print then quotes the verse on the force of the preverb:</w:t>
      </w:r>
      <w:r>
        <w:t xml:space="preserve"> </w:t>
      </w:r>
      <w:r>
        <w:t xml:space="preserve">“</w:t>
      </w:r>
      <w:r>
        <w:rPr>
          <w:bCs/>
          <w:b/>
        </w:rPr>
        <w:t xml:space="preserve">उपसर्गे च धात्वर्थो बलादन्यत्र नीयते । प्रहाराहारसंहारविहारपरिहारवत् ॥</w:t>
      </w:r>
      <w:r>
        <w:t xml:space="preserve">”</w:t>
      </w:r>
      <w:r>
        <w:t xml:space="preserve"> </w:t>
      </w:r>
      <w:r>
        <w:t xml:space="preserve">(as printed,</w:t>
      </w:r>
      <w:r>
        <w:t xml:space="preserve"> </w:t>
      </w:r>
      <w:r>
        <w:t xml:space="preserve">“</w:t>
      </w:r>
      <w:r>
        <w:t xml:space="preserve">upasarge ca</w:t>
      </w:r>
      <w:r>
        <w:t xml:space="preserve">”</w:t>
      </w:r>
      <w:r>
        <w:t xml:space="preserve">;</w:t>
      </w:r>
      <w:r>
        <w:t xml:space="preserve"> </w:t>
      </w:r>
      <w:r>
        <w:rPr>
          <w:iCs/>
          <w:i/>
        </w:rPr>
        <w:t xml:space="preserve">upasarge ca dhātv-artho balād anyatra nīyate | prahārāhāra-saṃhāra-vihāra-parihāravat ||</w:t>
      </w:r>
      <w:r>
        <w:t xml:space="preserve">,</w:t>
      </w:r>
      <w:r>
        <w:t xml:space="preserve"> </w:t>
      </w:r>
      <w:r>
        <w:t xml:space="preserve">“</w:t>
      </w:r>
      <w:r>
        <w:t xml:space="preserve">With a preverb the meaning of a root is forcibly led elsewhere — as in</w:t>
      </w:r>
      <w:r>
        <w:t xml:space="preserve"> </w:t>
      </w:r>
      <w:r>
        <w:t xml:space="preserve">‘</w:t>
      </w:r>
      <w:r>
        <w:t xml:space="preserve">prahāra,</w:t>
      </w:r>
      <w:r>
        <w:t xml:space="preserve">’</w:t>
      </w:r>
      <w:r>
        <w:t xml:space="preserve"> </w:t>
      </w:r>
      <w:r>
        <w:t xml:space="preserve">‘</w:t>
      </w:r>
      <w:r>
        <w:t xml:space="preserve">āhāra,</w:t>
      </w:r>
      <w:r>
        <w:t xml:space="preserve">’</w:t>
      </w:r>
      <w:r>
        <w:t xml:space="preserve"> </w:t>
      </w:r>
      <w:r>
        <w:t xml:space="preserve">‘</w:t>
      </w:r>
      <w:r>
        <w:t xml:space="preserve">saṃhāra,</w:t>
      </w:r>
      <w:r>
        <w:t xml:space="preserve">’</w:t>
      </w:r>
      <w:r>
        <w:t xml:space="preserve"> </w:t>
      </w:r>
      <w:r>
        <w:t xml:space="preserve">‘</w:t>
      </w:r>
      <w:r>
        <w:t xml:space="preserve">vihāra,</w:t>
      </w:r>
      <w:r>
        <w:t xml:space="preserve">’</w:t>
      </w:r>
      <w:r>
        <w:t xml:space="preserve"> </w:t>
      </w:r>
      <w:r>
        <w:t xml:space="preserve">‘</w:t>
      </w:r>
      <w:r>
        <w:t xml:space="preserve">parihāra</w:t>
      </w:r>
      <w:r>
        <w:t xml:space="preserve">’</w:t>
      </w:r>
      <w:r>
        <w:t xml:space="preserve">”</w:t>
      </w:r>
      <w:r>
        <w:t xml:space="preserve">). The Kannada explains: the root</w:t>
      </w:r>
      <w:r>
        <w:t xml:space="preserve"> </w:t>
      </w:r>
      <w:r>
        <w:t xml:space="preserve">“</w:t>
      </w:r>
      <w:r>
        <w:t xml:space="preserve">hṛ</w:t>
      </w:r>
      <w:r>
        <w:t xml:space="preserve">”</w:t>
      </w:r>
      <w:r>
        <w:t xml:space="preserve"> </w:t>
      </w:r>
      <w:r>
        <w:t xml:space="preserve">means</w:t>
      </w:r>
      <w:r>
        <w:t xml:space="preserve"> </w:t>
      </w:r>
      <w:r>
        <w:t xml:space="preserve">“</w:t>
      </w:r>
      <w:r>
        <w:t xml:space="preserve">taking,</w:t>
      </w:r>
      <w:r>
        <w:t xml:space="preserve">”</w:t>
      </w:r>
      <w:r>
        <w:t xml:space="preserve"> </w:t>
      </w:r>
      <w:r>
        <w:t xml:space="preserve">but with</w:t>
      </w:r>
      <w:r>
        <w:t xml:space="preserve"> </w:t>
      </w:r>
      <w:r>
        <w:t xml:space="preserve">“</w:t>
      </w:r>
      <w:r>
        <w:t xml:space="preserve">pra</w:t>
      </w:r>
      <w:r>
        <w:t xml:space="preserve">”</w:t>
      </w:r>
      <w:r>
        <w:t xml:space="preserve"> </w:t>
      </w:r>
      <w:r>
        <w:t xml:space="preserve">it means</w:t>
      </w:r>
      <w:r>
        <w:t xml:space="preserve"> </w:t>
      </w:r>
      <w:r>
        <w:t xml:space="preserve">“</w:t>
      </w:r>
      <w:r>
        <w:t xml:space="preserve">a blow,</w:t>
      </w:r>
      <w:r>
        <w:t xml:space="preserve">”</w:t>
      </w:r>
      <w:r>
        <w:t xml:space="preserve"> </w:t>
      </w:r>
      <w:r>
        <w:t xml:space="preserve">with</w:t>
      </w:r>
      <w:r>
        <w:t xml:space="preserve"> </w:t>
      </w:r>
      <w:r>
        <w:t xml:space="preserve">“</w:t>
      </w:r>
      <w:r>
        <w:t xml:space="preserve">ā</w:t>
      </w:r>
      <w:r>
        <w:t xml:space="preserve">”</w:t>
      </w:r>
      <w:r>
        <w:t xml:space="preserve"> </w:t>
      </w:r>
      <w:r>
        <w:t xml:space="preserve">it means</w:t>
      </w:r>
      <w:r>
        <w:t xml:space="preserve"> </w:t>
      </w:r>
      <w:r>
        <w:t xml:space="preserve">“</w:t>
      </w:r>
      <w:r>
        <w:t xml:space="preserve">food, eating,</w:t>
      </w:r>
      <w:r>
        <w:t xml:space="preserve">”</w:t>
      </w:r>
      <w:r>
        <w:t xml:space="preserve"> </w:t>
      </w:r>
      <w:r>
        <w:t xml:space="preserve">with</w:t>
      </w:r>
      <w:r>
        <w:t xml:space="preserve"> </w:t>
      </w:r>
      <w:r>
        <w:t xml:space="preserve">“</w:t>
      </w:r>
      <w:r>
        <w:t xml:space="preserve">saṃ</w:t>
      </w:r>
      <w:r>
        <w:t xml:space="preserve">”</w:t>
      </w:r>
      <w:r>
        <w:t xml:space="preserve"> </w:t>
      </w:r>
      <w:r>
        <w:t xml:space="preserve">it means</w:t>
      </w:r>
      <w:r>
        <w:t xml:space="preserve"> </w:t>
      </w:r>
      <w:r>
        <w:t xml:space="preserve">“</w:t>
      </w:r>
      <w:r>
        <w:t xml:space="preserve">killing, destruction,</w:t>
      </w:r>
      <w:r>
        <w:t xml:space="preserve">”</w:t>
      </w:r>
      <w:r>
        <w:t xml:space="preserve"> </w:t>
      </w:r>
      <w:r>
        <w:t xml:space="preserve">with</w:t>
      </w:r>
      <w:r>
        <w:t xml:space="preserve"> </w:t>
      </w:r>
      <w:r>
        <w:t xml:space="preserve">“</w:t>
      </w:r>
      <w:r>
        <w:t xml:space="preserve">vi</w:t>
      </w:r>
      <w:r>
        <w:t xml:space="preserve">”</w:t>
      </w:r>
      <w:r>
        <w:t xml:space="preserve"> </w:t>
      </w:r>
      <w:r>
        <w:t xml:space="preserve">“</w:t>
      </w:r>
      <w:r>
        <w:t xml:space="preserve">sport, roaming,</w:t>
      </w:r>
      <w:r>
        <w:t xml:space="preserve">”</w:t>
      </w:r>
      <w:r>
        <w:t xml:space="preserve"> </w:t>
      </w:r>
      <w:r>
        <w:t xml:space="preserve">with</w:t>
      </w:r>
      <w:r>
        <w:t xml:space="preserve"> </w:t>
      </w:r>
      <w:r>
        <w:t xml:space="preserve">“</w:t>
      </w:r>
      <w:r>
        <w:t xml:space="preserve">pari</w:t>
      </w:r>
      <w:r>
        <w:t xml:space="preserve">”</w:t>
      </w:r>
      <w:r>
        <w:t xml:space="preserve"> </w:t>
      </w:r>
      <w:r>
        <w:t xml:space="preserve">“</w:t>
      </w:r>
      <w:r>
        <w:t xml:space="preserve">abandoning</w:t>
      </w:r>
      <w:r>
        <w:t xml:space="preserve">”</w:t>
      </w:r>
      <w:r>
        <w:t xml:space="preserve"> </w:t>
      </w:r>
      <w:r>
        <w:t xml:space="preserve">— thus various meanings appear through the force of the preverb.</w:t>
      </w:r>
      <w:r>
        <w:t xml:space="preserve"> </w:t>
      </w:r>
      <w:r>
        <w:t xml:space="preserve">“</w:t>
      </w:r>
      <w:r>
        <w:t xml:space="preserve">In the same way, in other places too, differing meanings arise for roots through the force of the preverb: that is the sense of the verse. Here, although the root</w:t>
      </w:r>
      <w:r>
        <w:t xml:space="preserve"> </w:t>
      </w:r>
      <w:r>
        <w:t xml:space="preserve">‘</w:t>
      </w:r>
      <w:r>
        <w:t xml:space="preserve">ṛji</w:t>
      </w:r>
      <w:r>
        <w:t xml:space="preserve">’</w:t>
      </w:r>
      <w:r>
        <w:t xml:space="preserve"> </w:t>
      </w:r>
      <w:r>
        <w:t xml:space="preserve">is read in the sense of</w:t>
      </w:r>
      <w:r>
        <w:t xml:space="preserve"> </w:t>
      </w:r>
      <w:r>
        <w:t xml:space="preserve">‘</w:t>
      </w:r>
      <w:r>
        <w:t xml:space="preserve">frying,</w:t>
      </w:r>
      <w:r>
        <w:t xml:space="preserve">’</w:t>
      </w:r>
      <w:r>
        <w:t xml:space="preserve"> </w:t>
      </w:r>
      <w:r>
        <w:t xml:space="preserve">the preverb</w:t>
      </w:r>
      <w:r>
        <w:t xml:space="preserve"> </w:t>
      </w:r>
      <w:r>
        <w:t xml:space="preserve">‘</w:t>
      </w:r>
      <w:r>
        <w:t xml:space="preserve">sam</w:t>
      </w:r>
      <w:r>
        <w:t xml:space="preserve">’</w:t>
      </w:r>
      <w:r>
        <w:t xml:space="preserve"> </w:t>
      </w:r>
      <w:r>
        <w:t xml:space="preserve">is joined to it, so the root</w:t>
      </w:r>
      <w:r>
        <w:t xml:space="preserve"> </w:t>
      </w:r>
      <w:r>
        <w:t xml:space="preserve">‘</w:t>
      </w:r>
      <w:r>
        <w:t xml:space="preserve">ṛji</w:t>
      </w:r>
      <w:r>
        <w:t xml:space="preserve">’</w:t>
      </w:r>
      <w:r>
        <w:t xml:space="preserve"> </w:t>
      </w:r>
      <w:r>
        <w:t xml:space="preserve">conveys the sense of</w:t>
      </w:r>
      <w:r>
        <w:t xml:space="preserve"> </w:t>
      </w:r>
      <w:r>
        <w:t xml:space="preserve">‘</w:t>
      </w:r>
      <w:r>
        <w:t xml:space="preserve">adorning.</w:t>
      </w:r>
      <w:r>
        <w:t xml:space="preserve">’</w:t>
      </w:r>
      <w:r>
        <w:t xml:space="preserve">”</w:t>
      </w:r>
    </w:p>
    <w:p>
      <w:pPr>
        <w:numPr>
          <w:ilvl w:val="0"/>
          <w:numId w:val="1034"/>
        </w:numPr>
        <w:pStyle w:val="Compact"/>
      </w:pPr>
      <w:r>
        <w:rPr>
          <w:bCs/>
          <w:b/>
        </w:rPr>
        <w:t xml:space="preserve">“</w:t>
      </w:r>
      <w:r>
        <w:rPr>
          <w:bCs/>
          <w:b/>
        </w:rPr>
        <w:t xml:space="preserve">Giraḥ</w:t>
      </w:r>
      <w:r>
        <w:rPr>
          <w:bCs/>
          <w:b/>
        </w:rPr>
        <w:t xml:space="preserve">”</w:t>
      </w:r>
      <w:r>
        <w:rPr>
          <w:bCs/>
          <w:b/>
        </w:rPr>
        <w:t xml:space="preserve"> </w:t>
      </w:r>
      <w:r>
        <w:rPr>
          <w:bCs/>
          <w:b/>
        </w:rPr>
        <w:t xml:space="preserve">(गिरः,</w:t>
      </w:r>
      <w:r>
        <w:rPr>
          <w:bCs/>
          <w:b/>
        </w:rPr>
        <w:t xml:space="preserve"> </w:t>
      </w:r>
      <w:r>
        <w:rPr>
          <w:iCs/>
          <w:i/>
          <w:bCs/>
          <w:b/>
        </w:rPr>
        <w:t xml:space="preserve">giraḥ</w:t>
      </w:r>
      <w:r>
        <w:rPr>
          <w:bCs/>
          <w:b/>
        </w:rPr>
        <w:t xml:space="preserve">).</w:t>
      </w:r>
      <w:r>
        <w:t xml:space="preserve"> </w:t>
      </w:r>
      <w:r>
        <w:t xml:space="preserve">The stem-accent (prātipadika-svara) comes. ॥९॥</w:t>
      </w:r>
    </w:p>
    <w:p>
      <w:r>
        <w:pict>
          <v:rect style="width:0;height:1.5pt" o:hralign="center" o:hrstd="t" o:hr="t"/>
        </w:pict>
      </w:r>
    </w:p>
    <w:bookmarkEnd w:id="286"/>
    <w:bookmarkStart w:id="287" w:name="sūkta-6-the-tenth-mantra"/>
    <w:p>
      <w:pPr>
        <w:pStyle w:val="Heading3"/>
      </w:pPr>
      <w:r>
        <w:t xml:space="preserve">Sūkta 6, The Tenth Mantra</w:t>
      </w:r>
    </w:p>
    <w:p>
      <w:pPr>
        <w:pStyle w:val="FirstParagraph"/>
      </w:pPr>
      <w:r>
        <w:rPr>
          <w:iCs/>
          <w:i/>
        </w:rPr>
        <w:t xml:space="preserve">(Final Rik of the sūkta. Saṃhitā accents as printed; Pada unaccented.)</w:t>
      </w:r>
    </w:p>
    <w:p>
      <w:pPr>
        <w:pStyle w:val="BodyText"/>
      </w:pPr>
      <w:r>
        <w:rPr>
          <w:bCs/>
          <w:b/>
        </w:rPr>
        <w:t xml:space="preserve">॥ Saṃhitā-pāṭhaḥ ॥</w:t>
      </w:r>
    </w:p>
    <w:p>
      <w:pPr>
        <w:pStyle w:val="BlockText"/>
      </w:pPr>
      <w:r>
        <w:t xml:space="preserve">इ॒तो वा॑ सा॒तिमी॑महे दि॒वो वा॒ पार्थि॑वा॒दधि॑ ।</w:t>
      </w:r>
      <w:r>
        <w:t xml:space="preserve"> </w:t>
      </w:r>
      <w:r>
        <w:t xml:space="preserve">इन्द्रं॑ म॒हो वा॒ रज॑सः ॥१०॥</w:t>
      </w:r>
    </w:p>
    <w:p>
      <w:pPr>
        <w:pStyle w:val="BlockText"/>
      </w:pPr>
      <w:r>
        <w:rPr>
          <w:iCs/>
          <w:i/>
        </w:rPr>
        <w:t xml:space="preserve">itó vā sātím īmahe divó vā pā́rthivād ádhi |</w:t>
      </w:r>
      <w:r>
        <w:t xml:space="preserve"> </w:t>
      </w:r>
      <w:r>
        <w:rPr>
          <w:iCs/>
          <w:i/>
        </w:rPr>
        <w:t xml:space="preserve">índraṃ mahó vā rájasaḥ ||10||</w:t>
      </w:r>
    </w:p>
    <w:p>
      <w:pPr>
        <w:pStyle w:val="FirstParagraph"/>
      </w:pPr>
      <w:r>
        <w:rPr>
          <w:bCs/>
          <w:b/>
        </w:rPr>
        <w:t xml:space="preserve">॥ Pada-pāṭhaḥ ॥</w:t>
      </w:r>
    </w:p>
    <w:p>
      <w:pPr>
        <w:pStyle w:val="BlockText"/>
      </w:pPr>
      <w:r>
        <w:t xml:space="preserve">इतः । वा । सातिम् । ईमहे । दिवः । वा । पार्थिवात् । अधि ।</w:t>
      </w:r>
      <w:r>
        <w:t xml:space="preserve"> </w:t>
      </w:r>
      <w:r>
        <w:t xml:space="preserve">इन्द्रम् । महः । वा । रजसः ॥१०॥</w:t>
      </w:r>
    </w:p>
    <w:p>
      <w:pPr>
        <w:pStyle w:val="BlockText"/>
      </w:pPr>
      <w:r>
        <w:rPr>
          <w:iCs/>
          <w:i/>
        </w:rPr>
        <w:t xml:space="preserve">itaḥ | vā | sātim | īmahe | divaḥ | vā | pārthivāt | adhi |</w:t>
      </w:r>
      <w:r>
        <w:t xml:space="preserve"> </w:t>
      </w:r>
      <w:r>
        <w:rPr>
          <w:iCs/>
          <w:i/>
        </w:rPr>
        <w:t xml:space="preserve">indram | mahaḥ | vā | rajasaḥ ||10||</w:t>
      </w:r>
    </w:p>
    <w:p>
      <w:pPr>
        <w:pStyle w:val="FirstParagraph"/>
      </w:pPr>
      <w:r>
        <w:rPr>
          <w:bCs/>
          <w:b/>
        </w:rPr>
        <w:t xml:space="preserve">॥ Sāyaṇa-bhāṣyam ॥</w:t>
      </w:r>
      <w:r>
        <w:t xml:space="preserve"> </w:t>
      </w:r>
      <w:r>
        <w:rPr>
          <w:iCs/>
          <w:i/>
        </w:rPr>
        <w:t xml:space="preserve">(Kannada script; re-read from the better scan.)</w:t>
      </w:r>
    </w:p>
    <w:p>
      <w:pPr>
        <w:pStyle w:val="BlockText"/>
      </w:pPr>
      <w:r>
        <w:t xml:space="preserve">इन्द्रं देवं प्रति सातिं धनदानमीमहे । आधिक्येन याचामहे । कस्माल्लोकादिति तदुच्यते । इतोऽस्मादभिदृश्यमानात्पार्थिवात्पृथिवीलोकाद्वा दिवो वा द्युलोकाद्वा महो महतः प्रौढाद्रजसो वा पक्ष्यादीनां रञ्जकादन्तरिक्षलोकाद्वा । अयमिन्द्रो यतः कुतश्चिदानीयास्मभ्यं धनं प्रयच्छेदित्यर्थः । सप्तदशसु याच्ञाकर्मस्वीमहे यामीति पठितम् ॥ इतः । …</w:t>
      </w:r>
      <w:r>
        <w:t xml:space="preserve"> </w:t>
      </w:r>
      <w:r>
        <w:rPr>
          <w:iCs/>
          <w:i/>
        </w:rPr>
        <w:t xml:space="preserve">indraṃ devaṃ prati sātiṃ dhana-dānam īmahe | ādhikyena yācāmahe | kasmāl lokād iti tad ucyate | ito ’smād abhidṛśyamānāt pārthivāt pṛthivī-lokād vā divo vā dyulokād vā maho mahataḥ prauḍhād rajaso vā pakṣyādīnāṃ rañjakād antarikṣa-lokād vā | ayam indro yataḥ kutaścid ānīyāsmabhyaṃ dhanaṃ prayacched ity arthaḥ | saptadaśasu yācñā-karmasv īmahe yāmīti paṭhitam || itaḥ | …</w:t>
      </w:r>
    </w:p>
    <w:p>
      <w:pPr>
        <w:pStyle w:val="FirstParagraph"/>
      </w:pPr>
      <w:r>
        <w:rPr>
          <w:bCs/>
          <w:b/>
        </w:rPr>
        <w:t xml:space="preserve">Translation:</w:t>
      </w:r>
      <w:r>
        <w:t xml:space="preserve"> </w:t>
      </w:r>
      <w:r>
        <w:t xml:space="preserve">“</w:t>
      </w:r>
      <w:r>
        <w:t xml:space="preserve">Toward Indra, the god, we</w:t>
      </w:r>
      <w:r>
        <w:t xml:space="preserve"> </w:t>
      </w:r>
      <w:r>
        <w:t xml:space="preserve">‘</w:t>
      </w:r>
      <w:r>
        <w:t xml:space="preserve">īmahe</w:t>
      </w:r>
      <w:r>
        <w:t xml:space="preserve">’</w:t>
      </w:r>
      <w:r>
        <w:t xml:space="preserve"> </w:t>
      </w:r>
      <w:r>
        <w:t xml:space="preserve">— we ask for in abundance —</w:t>
      </w:r>
      <w:r>
        <w:t xml:space="preserve"> </w:t>
      </w:r>
      <w:r>
        <w:t xml:space="preserve">‘</w:t>
      </w:r>
      <w:r>
        <w:t xml:space="preserve">sāti,</w:t>
      </w:r>
      <w:r>
        <w:t xml:space="preserve">’</w:t>
      </w:r>
      <w:r>
        <w:t xml:space="preserve"> </w:t>
      </w:r>
      <w:r>
        <w:t xml:space="preserve">the giving of wealth. From which world? That is said:</w:t>
      </w:r>
      <w:r>
        <w:t xml:space="preserve"> </w:t>
      </w:r>
      <w:r>
        <w:t xml:space="preserve">‘</w:t>
      </w:r>
      <w:r>
        <w:t xml:space="preserve">itaḥ</w:t>
      </w:r>
      <w:r>
        <w:t xml:space="preserve">’</w:t>
      </w:r>
      <w:r>
        <w:t xml:space="preserve"> </w:t>
      </w:r>
      <w:r>
        <w:t xml:space="preserve">— from this earth-world, the</w:t>
      </w:r>
      <w:r>
        <w:t xml:space="preserve"> </w:t>
      </w:r>
      <w:r>
        <w:t xml:space="preserve">‘</w:t>
      </w:r>
      <w:r>
        <w:t xml:space="preserve">pārthiva</w:t>
      </w:r>
      <w:r>
        <w:t xml:space="preserve">’</w:t>
      </w:r>
      <w:r>
        <w:t xml:space="preserve"> </w:t>
      </w:r>
      <w:r>
        <w:t xml:space="preserve">that is here seen — or</w:t>
      </w:r>
      <w:r>
        <w:t xml:space="preserve"> </w:t>
      </w:r>
      <w:r>
        <w:t xml:space="preserve">‘</w:t>
      </w:r>
      <w:r>
        <w:t xml:space="preserve">divo vā</w:t>
      </w:r>
      <w:r>
        <w:t xml:space="preserve">’</w:t>
      </w:r>
      <w:r>
        <w:t xml:space="preserve"> </w:t>
      </w:r>
      <w:r>
        <w:t xml:space="preserve">— from the heavenly world — or</w:t>
      </w:r>
      <w:r>
        <w:t xml:space="preserve"> </w:t>
      </w:r>
      <w:r>
        <w:t xml:space="preserve">‘</w:t>
      </w:r>
      <w:r>
        <w:t xml:space="preserve">maho vā rajasaḥ</w:t>
      </w:r>
      <w:r>
        <w:t xml:space="preserve">’</w:t>
      </w:r>
      <w:r>
        <w:t xml:space="preserve"> </w:t>
      </w:r>
      <w:r>
        <w:t xml:space="preserve">— from the great, expansive</w:t>
      </w:r>
      <w:r>
        <w:t xml:space="preserve"> </w:t>
      </w:r>
      <w:r>
        <w:t xml:space="preserve">‘</w:t>
      </w:r>
      <w:r>
        <w:t xml:space="preserve">rajas,</w:t>
      </w:r>
      <w:r>
        <w:t xml:space="preserve">’</w:t>
      </w:r>
      <w:r>
        <w:t xml:space="preserve"> </w:t>
      </w:r>
      <w:r>
        <w:t xml:space="preserve">that is, the atmosphere, the region that colours the birds and others [</w:t>
      </w:r>
      <w:r>
        <w:t xml:space="preserve">‘</w:t>
      </w:r>
      <w:r>
        <w:t xml:space="preserve">rañjaka</w:t>
      </w:r>
      <w:r>
        <w:t xml:space="preserve">’</w:t>
      </w:r>
      <w:r>
        <w:t xml:space="preserve"> </w:t>
      </w:r>
      <w:r>
        <w:t xml:space="preserve">—</w:t>
      </w:r>
      <w:r>
        <w:t xml:space="preserve"> </w:t>
      </w:r>
      <w:r>
        <w:t xml:space="preserve">‘</w:t>
      </w:r>
      <w:r>
        <w:t xml:space="preserve">that which gives colour</w:t>
      </w:r>
      <w:r>
        <w:t xml:space="preserve">’</w:t>
      </w:r>
      <w:r>
        <w:t xml:space="preserve">]. The sense: may this Indra, bringing it from wherever, give us wealth. Among the seventeen verbs of begging,</w:t>
      </w:r>
      <w:r>
        <w:t xml:space="preserve"> </w:t>
      </w:r>
      <w:r>
        <w:t xml:space="preserve">‘</w:t>
      </w:r>
      <w:r>
        <w:t xml:space="preserve">īmahe</w:t>
      </w:r>
      <w:r>
        <w:t xml:space="preserve">’</w:t>
      </w:r>
      <w:r>
        <w:t xml:space="preserve"> </w:t>
      </w:r>
      <w:r>
        <w:t xml:space="preserve">and</w:t>
      </w:r>
      <w:r>
        <w:t xml:space="preserve"> </w:t>
      </w:r>
      <w:r>
        <w:t xml:space="preserve">‘</w:t>
      </w:r>
      <w:r>
        <w:t xml:space="preserve">yāmi</w:t>
      </w:r>
      <w:r>
        <w:t xml:space="preserve">’</w:t>
      </w:r>
      <w:r>
        <w:t xml:space="preserve"> </w:t>
      </w:r>
      <w:r>
        <w:t xml:space="preserve">are read.</w:t>
      </w:r>
      <w:r>
        <w:t xml:space="preserve">”</w:t>
      </w:r>
    </w:p>
    <w:p>
      <w:pPr>
        <w:pStyle w:val="BodyText"/>
      </w:pPr>
      <w:r>
        <w:rPr>
          <w:bCs/>
          <w:b/>
        </w:rPr>
        <w:t xml:space="preserve">Grammar of the Bhāṣya (begins; characterized, references as printed):</w:t>
      </w:r>
      <w:r>
        <w:t xml:space="preserve"> </w:t>
      </w:r>
      <w:r>
        <w:t xml:space="preserve">“</w:t>
      </w:r>
      <w:r>
        <w:t xml:space="preserve">Itaḥ</w:t>
      </w:r>
      <w:r>
        <w:t xml:space="preserve">”</w:t>
      </w:r>
      <w:r>
        <w:t xml:space="preserve"> </w:t>
      </w:r>
      <w:r>
        <w:t xml:space="preserve">— from</w:t>
      </w:r>
      <w:r>
        <w:t xml:space="preserve"> </w:t>
      </w:r>
      <w:r>
        <w:t xml:space="preserve">“</w:t>
      </w:r>
      <w:r>
        <w:t xml:space="preserve">idam,</w:t>
      </w:r>
      <w:r>
        <w:t xml:space="preserve">”</w:t>
      </w:r>
      <w:r>
        <w:t xml:space="preserve"> </w:t>
      </w:r>
      <w:r>
        <w:rPr>
          <w:bCs/>
          <w:b/>
        </w:rPr>
        <w:t xml:space="preserve">पञ्चम्यास्तसिल्</w:t>
      </w:r>
      <w:r>
        <w:t xml:space="preserve">;</w:t>
      </w:r>
      <w:r>
        <w:t xml:space="preserve"> </w:t>
      </w:r>
      <w:r>
        <w:rPr>
          <w:bCs/>
          <w:b/>
        </w:rPr>
        <w:t xml:space="preserve">इदम इश्</w:t>
      </w:r>
      <w:r>
        <w:t xml:space="preserve"> </w:t>
      </w:r>
      <w:r>
        <w:t xml:space="preserve">(पा. ५-३-३),</w:t>
      </w:r>
      <w:r>
        <w:t xml:space="preserve"> </w:t>
      </w:r>
      <w:r>
        <w:t xml:space="preserve">“</w:t>
      </w:r>
      <w:r>
        <w:t xml:space="preserve">ś</w:t>
      </w:r>
      <w:r>
        <w:t xml:space="preserve">”</w:t>
      </w:r>
      <w:r>
        <w:t xml:space="preserve">-marked, so replacing the whole stem. The rule</w:t>
      </w:r>
      <w:r>
        <w:t xml:space="preserve"> </w:t>
      </w:r>
      <w:r>
        <w:t xml:space="preserve">“</w:t>
      </w:r>
      <w:r>
        <w:t xml:space="preserve">ūḍidam…</w:t>
      </w:r>
      <w:r>
        <w:t xml:space="preserve">”</w:t>
      </w:r>
      <w:r>
        <w:t xml:space="preserve"> </w:t>
      </w:r>
      <w:r>
        <w:t xml:space="preserve">(पा. ६-१-१७१) has its scope in</w:t>
      </w:r>
      <w:r>
        <w:t xml:space="preserve"> </w:t>
      </w:r>
      <w:r>
        <w:t xml:space="preserve">“</w:t>
      </w:r>
      <w:r>
        <w:t xml:space="preserve">ābhyām, ebhiḥ,</w:t>
      </w:r>
      <w:r>
        <w:t xml:space="preserve">”</w:t>
      </w:r>
      <w:r>
        <w:t xml:space="preserve"> </w:t>
      </w:r>
      <w:r>
        <w:t xml:space="preserve">and</w:t>
      </w:r>
      <w:r>
        <w:t xml:space="preserve"> </w:t>
      </w:r>
      <w:r>
        <w:t xml:space="preserve">“</w:t>
      </w:r>
      <w:r>
        <w:t xml:space="preserve">liti</w:t>
      </w:r>
      <w:r>
        <w:t xml:space="preserve">”</w:t>
      </w:r>
      <w:r>
        <w:t xml:space="preserve"> </w:t>
      </w:r>
      <w:r>
        <w:t xml:space="preserve">(पा. ६-१-१९३) in</w:t>
      </w:r>
      <w:r>
        <w:t xml:space="preserve"> </w:t>
      </w:r>
      <w:r>
        <w:t xml:space="preserve">“</w:t>
      </w:r>
      <w:r>
        <w:t xml:space="preserve">pacanam, pācakaḥ</w:t>
      </w:r>
      <w:r>
        <w:t xml:space="preserve">”</w:t>
      </w:r>
      <w:r>
        <w:t xml:space="preserve">; both are nitya, so by</w:t>
      </w:r>
      <w:r>
        <w:t xml:space="preserve"> </w:t>
      </w:r>
      <w:r>
        <w:rPr>
          <w:bCs/>
          <w:b/>
        </w:rPr>
        <w:t xml:space="preserve">विप्रतिषेधे परं कार्यम्</w:t>
      </w:r>
      <w:r>
        <w:t xml:space="preserve"> </w:t>
      </w:r>
      <w:r>
        <w:t xml:space="preserve">(पा. १-४-२) the later,</w:t>
      </w:r>
      <w:r>
        <w:t xml:space="preserve"> </w:t>
      </w:r>
      <w:r>
        <w:t xml:space="preserve">“</w:t>
      </w:r>
      <w:r>
        <w:t xml:space="preserve">liti,</w:t>
      </w:r>
      <w:r>
        <w:t xml:space="preserve">”</w:t>
      </w:r>
      <w:r>
        <w:t xml:space="preserve"> </w:t>
      </w:r>
      <w:r>
        <w:t xml:space="preserve">makes the</w:t>
      </w:r>
      <w:r>
        <w:t xml:space="preserve"> </w:t>
      </w:r>
      <w:r>
        <w:t xml:space="preserve">“</w:t>
      </w:r>
      <w:r>
        <w:t xml:space="preserve">i</w:t>
      </w:r>
      <w:r>
        <w:t xml:space="preserve">”</w:t>
      </w:r>
      <w:r>
        <w:t xml:space="preserve"> </w:t>
      </w:r>
      <w:r>
        <w:t xml:space="preserve">acute. Since by</w:t>
      </w:r>
      <w:r>
        <w:t xml:space="preserve"> </w:t>
      </w:r>
      <w:r>
        <w:rPr>
          <w:bCs/>
          <w:b/>
        </w:rPr>
        <w:t xml:space="preserve">पश्चात्सेशः प्राग्दिशो विभक्तिः</w:t>
      </w:r>
      <w:r>
        <w:t xml:space="preserve"> </w:t>
      </w:r>
      <w:r>
        <w:t xml:space="preserve">(as printed; पा. ५-३-१)</w:t>
      </w:r>
      <w:r>
        <w:t xml:space="preserve"> </w:t>
      </w:r>
      <w:r>
        <w:t xml:space="preserve">“</w:t>
      </w:r>
      <w:r>
        <w:t xml:space="preserve">tasil</w:t>
      </w:r>
      <w:r>
        <w:t xml:space="preserve">”</w:t>
      </w:r>
      <w:r>
        <w:t xml:space="preserve"> </w:t>
      </w:r>
      <w:r>
        <w:t xml:space="preserve">is called</w:t>
      </w:r>
      <w:r>
        <w:t xml:space="preserve"> </w:t>
      </w:r>
      <w:r>
        <w:t xml:space="preserve">“</w:t>
      </w:r>
      <w:r>
        <w:t xml:space="preserve">vibhakti,</w:t>
      </w:r>
      <w:r>
        <w:t xml:space="preserve">”</w:t>
      </w:r>
      <w:r>
        <w:t xml:space="preserve"> </w:t>
      </w:r>
      <w:r>
        <w:t xml:space="preserve">the acute of a non-sarvanāmasthāna case-ending taught by</w:t>
      </w:r>
      <w:r>
        <w:t xml:space="preserve"> </w:t>
      </w:r>
      <w:r>
        <w:t xml:space="preserve">“</w:t>
      </w:r>
      <w:r>
        <w:t xml:space="preserve">ūḍidam…</w:t>
      </w:r>
      <w:r>
        <w:t xml:space="preserve">”</w:t>
      </w:r>
      <w:r>
        <w:t xml:space="preserve"> </w:t>
      </w:r>
      <w:r>
        <w:t xml:space="preserve">would arise; to the objection that, by</w:t>
      </w:r>
      <w:r>
        <w:t xml:space="preserve"> </w:t>
      </w:r>
      <w:r>
        <w:t xml:space="preserve">“</w:t>
      </w:r>
      <w:r>
        <w:t xml:space="preserve">sakṛdgatau vipratiṣedhe yad bādhitaṃ tad bādhitam eva</w:t>
      </w:r>
      <w:r>
        <w:t xml:space="preserve">”</w:t>
      </w:r>
      <w:r>
        <w:t xml:space="preserve"> </w:t>
      </w:r>
      <w:r>
        <w:t xml:space="preserve">(परि. ४०),</w:t>
      </w:r>
      <w:r>
        <w:t xml:space="preserve"> </w:t>
      </w:r>
      <w:r>
        <w:t xml:space="preserve">“</w:t>
      </w:r>
      <w:r>
        <w:t xml:space="preserve">ūḍidam…</w:t>
      </w:r>
      <w:r>
        <w:t xml:space="preserve">”</w:t>
      </w:r>
      <w:r>
        <w:t xml:space="preserve"> </w:t>
      </w:r>
      <w:r>
        <w:t xml:space="preserve">cannot apply again, the answer is no, since repeated application is admitted where the attested forms require it; the argument then turns to</w:t>
      </w:r>
      <w:r>
        <w:t xml:space="preserve"> </w:t>
      </w:r>
      <w:r>
        <w:t xml:space="preserve">“</w:t>
      </w:r>
      <w:r>
        <w:t xml:space="preserve">yataḥ, tataḥ,</w:t>
      </w:r>
      <w:r>
        <w:t xml:space="preserve">”</w:t>
      </w:r>
      <w:r>
        <w:t xml:space="preserve"> </w:t>
      </w:r>
      <w:r>
        <w:t xml:space="preserve">where, though set aside by the</w:t>
      </w:r>
      <w:r>
        <w:t xml:space="preserve"> </w:t>
      </w:r>
      <w:r>
        <w:t xml:space="preserve">“</w:t>
      </w:r>
      <w:r>
        <w:t xml:space="preserve">l</w:t>
      </w:r>
      <w:r>
        <w:t xml:space="preserve">”</w:t>
      </w:r>
      <w:r>
        <w:t xml:space="preserve">-accent, the acute of</w:t>
      </w:r>
      <w:r>
        <w:t xml:space="preserve"> </w:t>
      </w:r>
      <w:r>
        <w:t xml:space="preserve">“</w:t>
      </w:r>
      <w:r>
        <w:t xml:space="preserve">tasil</w:t>
      </w:r>
      <w:r>
        <w:t xml:space="preserve">”</w:t>
      </w:r>
      <w:r>
        <w:t xml:space="preserve"> </w:t>
      </w:r>
      <w:r>
        <w:t xml:space="preserve">by</w:t>
      </w:r>
      <w:r>
        <w:t xml:space="preserve"> </w:t>
      </w:r>
      <w:r>
        <w:t xml:space="preserve">“</w:t>
      </w:r>
      <w:r>
        <w:t xml:space="preserve">sāv ekācaḥ…</w:t>
      </w:r>
      <w:r>
        <w:t xml:space="preserve">”</w:t>
      </w:r>
      <w:r>
        <w:t xml:space="preserve"> </w:t>
      </w:r>
      <w:r>
        <w:t xml:space="preserve">…</w:t>
      </w:r>
      <w:r>
        <w:t xml:space="preserve"> </w:t>
      </w:r>
      <w:r>
        <w:rPr>
          <w:iCs/>
          <w:i/>
        </w:rPr>
        <w:t xml:space="preserve">(continues on p. 252)</w:t>
      </w:r>
    </w:p>
    <w:bookmarkEnd w:id="287"/>
    <w:bookmarkStart w:id="288" w:name="Xb5e5cf91b65ba5328af1f7a4fe0a51c9c8e3056"/>
    <w:p>
      <w:pPr>
        <w:pStyle w:val="Heading3"/>
      </w:pPr>
      <w:r>
        <w:t xml:space="preserve">Pages 252–253 — Rik 6.10: end of Sanskrit grammar, Pada-meanings, Bhāvārtha, English, Special Topics; Kannada grammar begins</w:t>
      </w:r>
    </w:p>
    <w:p>
      <w:pPr>
        <w:pStyle w:val="FirstParagraph"/>
      </w:pPr>
      <w:r>
        <w:rPr>
          <w:iCs/>
          <w:i/>
        </w:rPr>
        <w:t xml:space="preserve">(Page 252 header:</w:t>
      </w:r>
      <w:r>
        <w:rPr>
          <w:iCs/>
          <w:i/>
        </w:rPr>
        <w:t xml:space="preserve"> </w:t>
      </w:r>
      <w:r>
        <w:rPr>
          <w:iCs/>
          <w:i/>
        </w:rPr>
        <w:t xml:space="preserve">“</w:t>
      </w:r>
      <w:r>
        <w:rPr>
          <w:iCs/>
          <w:i/>
        </w:rPr>
        <w:t xml:space="preserve">Maṇ. 1, A. 2, Sū. 6</w:t>
      </w:r>
      <w:r>
        <w:rPr>
          <w:iCs/>
          <w:i/>
        </w:rPr>
        <w:t xml:space="preserve">”</w:t>
      </w:r>
      <w:r>
        <w:rPr>
          <w:iCs/>
          <w:i/>
        </w:rPr>
        <w:t xml:space="preserve">; p. 253 header:</w:t>
      </w:r>
      <w:r>
        <w:rPr>
          <w:iCs/>
          <w:i/>
        </w:rPr>
        <w:t xml:space="preserve"> </w:t>
      </w:r>
      <w:r>
        <w:rPr>
          <w:iCs/>
          <w:i/>
        </w:rPr>
        <w:t xml:space="preserve">“</w:t>
      </w:r>
      <w:r>
        <w:rPr>
          <w:iCs/>
          <w:i/>
        </w:rPr>
        <w:t xml:space="preserve">A. 1, A. 1, Va. 12</w:t>
      </w:r>
      <w:r>
        <w:rPr>
          <w:iCs/>
          <w:i/>
        </w:rPr>
        <w:t xml:space="preserve">”</w:t>
      </w:r>
      <w:r>
        <w:rPr>
          <w:iCs/>
          <w:i/>
        </w:rPr>
        <w:t xml:space="preserve">. P. 252 is the end of Sāyaṇa’s own grammatical notes, in Kannada script; re-read from the better scan.)</w:t>
      </w:r>
    </w:p>
    <w:p>
      <w:pPr>
        <w:pStyle w:val="BodyText"/>
      </w:pPr>
      <w:r>
        <w:rPr>
          <w:bCs/>
          <w:b/>
        </w:rPr>
        <w:t xml:space="preserve">Sāyaṇa’s grammatical notes on Rik 6.10, continued and ended</w:t>
      </w:r>
      <w:r>
        <w:t xml:space="preserve"> </w:t>
      </w:r>
      <w:r>
        <w:rPr>
          <w:iCs/>
          <w:i/>
        </w:rPr>
        <w:t xml:space="preserve">(the first lines end the argument about</w:t>
      </w:r>
      <w:r>
        <w:rPr>
          <w:iCs/>
          <w:i/>
        </w:rPr>
        <w:t xml:space="preserve"> </w:t>
      </w:r>
      <w:r>
        <w:rPr>
          <w:iCs/>
          <w:i/>
        </w:rPr>
        <w:t xml:space="preserve">“</w:t>
      </w:r>
      <w:r>
        <w:rPr>
          <w:iCs/>
          <w:i/>
        </w:rPr>
        <w:t xml:space="preserve">itaḥ</w:t>
      </w:r>
      <w:r>
        <w:rPr>
          <w:iCs/>
          <w:i/>
        </w:rPr>
        <w:t xml:space="preserve">”</w:t>
      </w:r>
      <w:r>
        <w:rPr>
          <w:iCs/>
          <w:i/>
        </w:rPr>
        <w:t xml:space="preserve"> </w:t>
      </w:r>
      <w:r>
        <w:rPr>
          <w:iCs/>
          <w:i/>
        </w:rPr>
        <w:t xml:space="preserve">begun on p. 251)</w:t>
      </w:r>
    </w:p>
    <w:p>
      <w:pPr>
        <w:pStyle w:val="BlockText"/>
      </w:pPr>
      <w:r>
        <w:t xml:space="preserve">…स्यादिति चेन्न । यत्र च्छब्दयोः सावर्णान्तत्वे न गोश्वन्साववर्णेति । पा. ६-१-१८२ [?] । निषेधात् । न च पुनःप्रसङ्गविज्ञानं चेत्येतत्सार्वत्रिकं लक्ष्यानुरोधेन क्वचिदेव तदाश्रयणादिति ।</w:t>
      </w:r>
      <w:r>
        <w:t xml:space="preserve"> </w:t>
      </w:r>
      <w:r>
        <w:rPr>
          <w:iCs/>
          <w:i/>
        </w:rPr>
        <w:t xml:space="preserve">… syād iti cen na | yatra cchabdayoḥ sāvarṇāntatve na gośvansāvavarṇeti | pā. 6-1-182 [?] | niṣedhāt | na ca punaḥprasaṅgavijñānaṃ cety etat sārvatrikaṃ lakṣyānurodhena kvacid eva tadāśrayaṇād iti |</w:t>
      </w:r>
    </w:p>
    <w:p>
      <w:pPr>
        <w:pStyle w:val="FirstParagraph"/>
      </w:pPr>
      <w:r>
        <w:rPr>
          <w:iCs/>
          <w:i/>
        </w:rPr>
        <w:t xml:space="preserve">(The upshot: the objection is answered by the prohibition</w:t>
      </w:r>
      <w:r>
        <w:rPr>
          <w:iCs/>
          <w:i/>
        </w:rPr>
        <w:t xml:space="preserve"> </w:t>
      </w:r>
      <w:r>
        <w:rPr>
          <w:iCs/>
          <w:i/>
        </w:rPr>
        <w:t xml:space="preserve">“</w:t>
      </w:r>
      <w:r>
        <w:rPr>
          <w:iCs/>
          <w:i/>
        </w:rPr>
        <w:t xml:space="preserve">na gośvan-sāv-avarṇa…</w:t>
      </w:r>
      <w:r>
        <w:rPr>
          <w:iCs/>
          <w:i/>
        </w:rPr>
        <w:t xml:space="preserve">”</w:t>
      </w:r>
      <w:r>
        <w:rPr>
          <w:iCs/>
          <w:i/>
        </w:rPr>
        <w:t xml:space="preserve"> </w:t>
      </w:r>
      <w:r>
        <w:rPr>
          <w:iCs/>
          <w:i/>
        </w:rPr>
        <w:t xml:space="preserve">(the last digits of its number are not clear), and repeated application is not a general rule, being resorted to only where attested forms require it.)</w:t>
      </w:r>
    </w:p>
    <w:p>
      <w:pPr>
        <w:pStyle w:val="BlockText"/>
      </w:pPr>
      <w:r>
        <w:t xml:space="preserve">सातिम् । षणु दाने । धात्वादेः षः सः । पा. ६-१-६४ । भावे क्तिन् । जनसनखनां सञ्झलोः । पा. ६-४-४२ । इति नकारस्यात्वम् । तितुत्रतथसिसुसरकसेषु च । पा. ७-२-९ । इति निषेधादिण्न भवति । नित्स्वरे प्राप्ते उदात्त इत्यस्य निवृत्त्या ऊतियूतिजूतिसातिहेतिकीर्तयश्च । पा. ३-३-९७ । इति निपातनादन्तोदात्तत्वम् ।</w:t>
      </w:r>
      <w:r>
        <w:t xml:space="preserve"> </w:t>
      </w:r>
      <w:r>
        <w:rPr>
          <w:iCs/>
          <w:i/>
        </w:rPr>
        <w:t xml:space="preserve">sātim | ṣaṇu dāne | dhātvādeḥ ṣaḥ saḥ | pā. 6-1-64 | bhāve ktin | jana-sana-khanāṃ sañjhaloḥ | pā. 6-4-42 | iti nakārasyātvam | titutra-tathasi-susara-kaseṣu ca | pā. 7-2-9 | iti niṣedhād iṇ na bhavati | nit-svare prāpte udātta ity asya nivṛttyā ūti-yūti-jūti-sāti-heti-kīrtayaś ca | pā. 3-3-97 | iti nipātanād antodāttatvam |</w:t>
      </w:r>
    </w:p>
    <w:p>
      <w:pPr>
        <w:pStyle w:val="FirstParagraph"/>
      </w:pPr>
      <w:r>
        <w:t xml:space="preserve">“</w:t>
      </w:r>
      <w:r>
        <w:t xml:space="preserve">Sātim</w:t>
      </w:r>
      <w:r>
        <w:t xml:space="preserve">”</w:t>
      </w:r>
      <w:r>
        <w:t xml:space="preserve"> </w:t>
      </w:r>
      <w:r>
        <w:t xml:space="preserve">— from</w:t>
      </w:r>
      <w:r>
        <w:t xml:space="preserve"> </w:t>
      </w:r>
      <w:r>
        <w:t xml:space="preserve">“</w:t>
      </w:r>
      <w:r>
        <w:t xml:space="preserve">ṣaṇu dāne</w:t>
      </w:r>
      <w:r>
        <w:t xml:space="preserve">”</w:t>
      </w:r>
      <w:r>
        <w:t xml:space="preserve">; the initial</w:t>
      </w:r>
      <w:r>
        <w:t xml:space="preserve"> </w:t>
      </w:r>
      <w:r>
        <w:t xml:space="preserve">“</w:t>
      </w:r>
      <w:r>
        <w:t xml:space="preserve">ṣ</w:t>
      </w:r>
      <w:r>
        <w:t xml:space="preserve">”</w:t>
      </w:r>
      <w:r>
        <w:t xml:space="preserve"> </w:t>
      </w:r>
      <w:r>
        <w:t xml:space="preserve">becomes</w:t>
      </w:r>
      <w:r>
        <w:t xml:space="preserve"> </w:t>
      </w:r>
      <w:r>
        <w:t xml:space="preserve">“</w:t>
      </w:r>
      <w:r>
        <w:t xml:space="preserve">s</w:t>
      </w:r>
      <w:r>
        <w:t xml:space="preserve">”</w:t>
      </w:r>
      <w:r>
        <w:t xml:space="preserve"> </w:t>
      </w:r>
      <w:r>
        <w:t xml:space="preserve">(</w:t>
      </w:r>
      <w:r>
        <w:rPr>
          <w:bCs/>
          <w:b/>
        </w:rPr>
        <w:t xml:space="preserve">धात्वादेः षः सः</w:t>
      </w:r>
      <w:r>
        <w:t xml:space="preserve">,</w:t>
      </w:r>
      <w:r>
        <w:t xml:space="preserve"> </w:t>
      </w:r>
      <w:r>
        <w:rPr>
          <w:iCs/>
          <w:i/>
        </w:rPr>
        <w:t xml:space="preserve">dhātvādeḥ ṣaḥ saḥ</w:t>
      </w:r>
      <w:r>
        <w:t xml:space="preserve">,</w:t>
      </w:r>
      <w:r>
        <w:t xml:space="preserve"> </w:t>
      </w:r>
      <w:r>
        <w:t xml:space="preserve">“</w:t>
      </w:r>
      <w:r>
        <w:t xml:space="preserve">the initial</w:t>
      </w:r>
      <w:r>
        <w:t xml:space="preserve"> </w:t>
      </w:r>
      <w:r>
        <w:t xml:space="preserve">‘</w:t>
      </w:r>
      <w:r>
        <w:t xml:space="preserve">ṣ</w:t>
      </w:r>
      <w:r>
        <w:t xml:space="preserve">’</w:t>
      </w:r>
      <w:r>
        <w:t xml:space="preserve"> </w:t>
      </w:r>
      <w:r>
        <w:t xml:space="preserve">of a root becomes</w:t>
      </w:r>
      <w:r>
        <w:t xml:space="preserve"> </w:t>
      </w:r>
      <w:r>
        <w:t xml:space="preserve">‘</w:t>
      </w:r>
      <w:r>
        <w:t xml:space="preserve">s</w:t>
      </w:r>
      <w:r>
        <w:t xml:space="preserve">’</w:t>
      </w:r>
      <w:r>
        <w:t xml:space="preserve">,</w:t>
      </w:r>
      <w:r>
        <w:t xml:space="preserve">”</w:t>
      </w:r>
      <w:r>
        <w:t xml:space="preserve"> </w:t>
      </w:r>
      <w:r>
        <w:t xml:space="preserve">पा. ६-१-६४);</w:t>
      </w:r>
      <w:r>
        <w:t xml:space="preserve"> </w:t>
      </w:r>
      <w:r>
        <w:t xml:space="preserve">“</w:t>
      </w:r>
      <w:r>
        <w:t xml:space="preserve">ktin</w:t>
      </w:r>
      <w:r>
        <w:t xml:space="preserve">”</w:t>
      </w:r>
      <w:r>
        <w:t xml:space="preserve"> </w:t>
      </w:r>
      <w:r>
        <w:t xml:space="preserve">in the sense of the action (</w:t>
      </w:r>
      <w:r>
        <w:rPr>
          <w:bCs/>
          <w:b/>
        </w:rPr>
        <w:t xml:space="preserve">भावे क्तिन्</w:t>
      </w:r>
      <w:r>
        <w:t xml:space="preserve">,</w:t>
      </w:r>
      <w:r>
        <w:t xml:space="preserve"> </w:t>
      </w:r>
      <w:r>
        <w:rPr>
          <w:iCs/>
          <w:i/>
        </w:rPr>
        <w:t xml:space="preserve">bhāve ktin</w:t>
      </w:r>
      <w:r>
        <w:t xml:space="preserve">); the</w:t>
      </w:r>
      <w:r>
        <w:t xml:space="preserve"> </w:t>
      </w:r>
      <w:r>
        <w:t xml:space="preserve">“</w:t>
      </w:r>
      <w:r>
        <w:t xml:space="preserve">n</w:t>
      </w:r>
      <w:r>
        <w:t xml:space="preserve">”</w:t>
      </w:r>
      <w:r>
        <w:t xml:space="preserve"> </w:t>
      </w:r>
      <w:r>
        <w:t xml:space="preserve">of the root is replaced by</w:t>
      </w:r>
      <w:r>
        <w:t xml:space="preserve"> </w:t>
      </w:r>
      <w:r>
        <w:t xml:space="preserve">“</w:t>
      </w:r>
      <w:r>
        <w:t xml:space="preserve">ā</w:t>
      </w:r>
      <w:r>
        <w:t xml:space="preserve">”</w:t>
      </w:r>
      <w:r>
        <w:t xml:space="preserve"> </w:t>
      </w:r>
      <w:r>
        <w:t xml:space="preserve">(</w:t>
      </w:r>
      <w:r>
        <w:rPr>
          <w:bCs/>
          <w:b/>
        </w:rPr>
        <w:t xml:space="preserve">जनसनखनां सञ्झलोः</w:t>
      </w:r>
      <w:r>
        <w:t xml:space="preserve">,</w:t>
      </w:r>
      <w:r>
        <w:t xml:space="preserve"> </w:t>
      </w:r>
      <w:r>
        <w:rPr>
          <w:iCs/>
          <w:i/>
        </w:rPr>
        <w:t xml:space="preserve">jana-sana-khanāṃ sañjhaloḥ</w:t>
      </w:r>
      <w:r>
        <w:t xml:space="preserve">,</w:t>
      </w:r>
      <w:r>
        <w:t xml:space="preserve"> </w:t>
      </w:r>
      <w:r>
        <w:t xml:space="preserve">“</w:t>
      </w:r>
      <w:r>
        <w:t xml:space="preserve">‘</w:t>
      </w:r>
      <w:r>
        <w:t xml:space="preserve">ā</w:t>
      </w:r>
      <w:r>
        <w:t xml:space="preserve">’</w:t>
      </w:r>
      <w:r>
        <w:t xml:space="preserve"> </w:t>
      </w:r>
      <w:r>
        <w:t xml:space="preserve">replaces the nasal of</w:t>
      </w:r>
      <w:r>
        <w:t xml:space="preserve"> </w:t>
      </w:r>
      <w:r>
        <w:t xml:space="preserve">‘</w:t>
      </w:r>
      <w:r>
        <w:t xml:space="preserve">jan,</w:t>
      </w:r>
      <w:r>
        <w:t xml:space="preserve">’</w:t>
      </w:r>
      <w:r>
        <w:t xml:space="preserve"> </w:t>
      </w:r>
      <w:r>
        <w:t xml:space="preserve">‘</w:t>
      </w:r>
      <w:r>
        <w:t xml:space="preserve">san,</w:t>
      </w:r>
      <w:r>
        <w:t xml:space="preserve">’</w:t>
      </w:r>
      <w:r>
        <w:t xml:space="preserve"> </w:t>
      </w:r>
      <w:r>
        <w:t xml:space="preserve">‘</w:t>
      </w:r>
      <w:r>
        <w:t xml:space="preserve">khan</w:t>
      </w:r>
      <w:r>
        <w:t xml:space="preserve">’</w:t>
      </w:r>
      <w:r>
        <w:t xml:space="preserve"> </w:t>
      </w:r>
      <w:r>
        <w:t xml:space="preserve">before</w:t>
      </w:r>
      <w:r>
        <w:t xml:space="preserve"> </w:t>
      </w:r>
      <w:r>
        <w:t xml:space="preserve">‘</w:t>
      </w:r>
      <w:r>
        <w:t xml:space="preserve">jh</w:t>
      </w:r>
      <w:r>
        <w:t xml:space="preserve">’</w:t>
      </w:r>
      <w:r>
        <w:t xml:space="preserve">-class sounds and</w:t>
      </w:r>
      <w:r>
        <w:t xml:space="preserve"> </w:t>
      </w:r>
      <w:r>
        <w:t xml:space="preserve">‘</w:t>
      </w:r>
      <w:r>
        <w:t xml:space="preserve">san</w:t>
      </w:r>
      <w:r>
        <w:t xml:space="preserve">’</w:t>
      </w:r>
      <w:r>
        <w:t xml:space="preserve">,</w:t>
      </w:r>
      <w:r>
        <w:t xml:space="preserve">”</w:t>
      </w:r>
      <w:r>
        <w:t xml:space="preserve"> </w:t>
      </w:r>
      <w:r>
        <w:t xml:space="preserve">पा. ६-४-४२); the augment</w:t>
      </w:r>
      <w:r>
        <w:t xml:space="preserve"> </w:t>
      </w:r>
      <w:r>
        <w:t xml:space="preserve">“</w:t>
      </w:r>
      <w:r>
        <w:t xml:space="preserve">iṭ</w:t>
      </w:r>
      <w:r>
        <w:t xml:space="preserve">”</w:t>
      </w:r>
      <w:r>
        <w:t xml:space="preserve"> </w:t>
      </w:r>
      <w:r>
        <w:t xml:space="preserve">does not come, by the prohibition</w:t>
      </w:r>
      <w:r>
        <w:t xml:space="preserve"> </w:t>
      </w:r>
      <w:r>
        <w:rPr>
          <w:bCs/>
          <w:b/>
        </w:rPr>
        <w:t xml:space="preserve">तितुत्रतथसिसुसरकसेषु च</w:t>
      </w:r>
      <w:r>
        <w:t xml:space="preserve"> </w:t>
      </w:r>
      <w:r>
        <w:t xml:space="preserve">(</w:t>
      </w:r>
      <w:r>
        <w:rPr>
          <w:iCs/>
          <w:i/>
        </w:rPr>
        <w:t xml:space="preserve">titutra-tatha-sisu-sara-kaseṣu ca</w:t>
      </w:r>
      <w:r>
        <w:t xml:space="preserve">, पा. ७-२-९); the accent that would come by</w:t>
      </w:r>
      <w:r>
        <w:t xml:space="preserve"> </w:t>
      </w:r>
      <w:r>
        <w:t xml:space="preserve">“</w:t>
      </w:r>
      <w:r>
        <w:t xml:space="preserve">n</w:t>
      </w:r>
      <w:r>
        <w:t xml:space="preserve">”</w:t>
      </w:r>
      <w:r>
        <w:t xml:space="preserve">-marking (the rule for</w:t>
      </w:r>
      <w:r>
        <w:t xml:space="preserve"> </w:t>
      </w:r>
      <w:r>
        <w:t xml:space="preserve">“</w:t>
      </w:r>
      <w:r>
        <w:t xml:space="preserve">nit</w:t>
      </w:r>
      <w:r>
        <w:t xml:space="preserve">”</w:t>
      </w:r>
      <w:r>
        <w:t xml:space="preserve">-affixes) is set aside, and</w:t>
      </w:r>
      <w:r>
        <w:t xml:space="preserve"> </w:t>
      </w:r>
      <w:r>
        <w:rPr>
          <w:bCs/>
          <w:b/>
        </w:rPr>
        <w:t xml:space="preserve">ऊतियूतिजूतिसातिहेतिकीर्तयश्च</w:t>
      </w:r>
      <w:r>
        <w:t xml:space="preserve"> </w:t>
      </w:r>
      <w:r>
        <w:t xml:space="preserve">(</w:t>
      </w:r>
      <w:r>
        <w:rPr>
          <w:iCs/>
          <w:i/>
        </w:rPr>
        <w:t xml:space="preserve">ūti-yūti-jūti-sāti-heti-kīrtayaś ca</w:t>
      </w:r>
      <w:r>
        <w:t xml:space="preserve">, पा. ३-३-९७) lists</w:t>
      </w:r>
      <w:r>
        <w:t xml:space="preserve"> </w:t>
      </w:r>
      <w:r>
        <w:t xml:space="preserve">“</w:t>
      </w:r>
      <w:r>
        <w:t xml:space="preserve">sāti</w:t>
      </w:r>
      <w:r>
        <w:t xml:space="preserve">”</w:t>
      </w:r>
      <w:r>
        <w:t xml:space="preserve"> </w:t>
      </w:r>
      <w:r>
        <w:t xml:space="preserve">as an irregular formation (</w:t>
      </w:r>
      <w:r>
        <w:t xml:space="preserve">“</w:t>
      </w:r>
      <w:r>
        <w:t xml:space="preserve">nipātana</w:t>
      </w:r>
      <w:r>
        <w:t xml:space="preserve">”</w:t>
      </w:r>
      <w:r>
        <w:t xml:space="preserve">) with the end-acute.</w:t>
      </w:r>
    </w:p>
    <w:p>
      <w:pPr>
        <w:pStyle w:val="BlockText"/>
      </w:pPr>
      <w:r>
        <w:t xml:space="preserve">ईमहे । ईङ् गतौ । श्यनोऽपि बहुलं छन्दसीति लुक् । अस्य धातोर्ङित्त्वात् तास्यनुदात्तेन्ङिददुपदेशात् । पा. ६-१-१८६ । इति लसार्वधातुकस्यानुदात्तत्वे धातुस्वर एव शिष्यते । न च तिङ्ङतिङ इति निघातः । चवायोगे प्रथमा । पा. ८-१-५९ । इति निषेधात् । उत्तरवाक्ययोरपि हि वाशब्दयोगादन्यथा वाक्यापरिपूर्तेस्तिङ्विभक्तेरवश्यमध्याहारात्तदपेक्ष्यैषा प्रथमा तिङ्विभक्तिरिति ।</w:t>
      </w:r>
      <w:r>
        <w:t xml:space="preserve"> </w:t>
      </w:r>
      <w:r>
        <w:rPr>
          <w:iCs/>
          <w:i/>
        </w:rPr>
        <w:t xml:space="preserve">īmahe | īṅ gatau | śyano ’pi bahulaṃ chandasīti luk | asya dhātor ṅittvāt tāsy-anudātten-ṅid-ad-upadeśāt | pā. 6-1-186 | iti lasārvadhātukasyānudāttatve dhātu-svara eva śiṣyate | na ca tiṅ-ṅatiṅa iti nighātaḥ | cavā-yoge prathamā | pā. 8-1-59 | iti niṣedhāt | uttara-vākyayor api hi vā-śabda-yogād anyathā vākyāparipūrtes tiṅ-vibhakter avaśyam adhyāhārāt tad-apekṣyaiṣā prathamā tiṅ-vibhaktir iti |</w:t>
      </w:r>
    </w:p>
    <w:p>
      <w:pPr>
        <w:pStyle w:val="FirstParagraph"/>
      </w:pPr>
      <w:r>
        <w:t xml:space="preserve">“</w:t>
      </w:r>
      <w:r>
        <w:t xml:space="preserve">Īmahe</w:t>
      </w:r>
      <w:r>
        <w:t xml:space="preserve">”</w:t>
      </w:r>
      <w:r>
        <w:t xml:space="preserve"> </w:t>
      </w:r>
      <w:r>
        <w:t xml:space="preserve">—</w:t>
      </w:r>
      <w:r>
        <w:t xml:space="preserve"> </w:t>
      </w:r>
      <w:r>
        <w:t xml:space="preserve">“</w:t>
      </w:r>
      <w:r>
        <w:t xml:space="preserve">īṅ gatau</w:t>
      </w:r>
      <w:r>
        <w:t xml:space="preserve">”</w:t>
      </w:r>
      <w:r>
        <w:t xml:space="preserve">;</w:t>
      </w:r>
      <w:r>
        <w:t xml:space="preserve"> </w:t>
      </w:r>
      <w:r>
        <w:t xml:space="preserve">“</w:t>
      </w:r>
      <w:r>
        <w:t xml:space="preserve">śyan</w:t>
      </w:r>
      <w:r>
        <w:t xml:space="preserve">”</w:t>
      </w:r>
      <w:r>
        <w:t xml:space="preserve"> </w:t>
      </w:r>
      <w:r>
        <w:t xml:space="preserve">is also optionally elided in the Veda (</w:t>
      </w:r>
      <w:r>
        <w:rPr>
          <w:bCs/>
          <w:b/>
        </w:rPr>
        <w:t xml:space="preserve">बहुलं छन्दसि</w:t>
      </w:r>
      <w:r>
        <w:t xml:space="preserve">,</w:t>
      </w:r>
      <w:r>
        <w:t xml:space="preserve"> </w:t>
      </w:r>
      <w:r>
        <w:rPr>
          <w:iCs/>
          <w:i/>
        </w:rPr>
        <w:t xml:space="preserve">bahulaṃ chandasi</w:t>
      </w:r>
      <w:r>
        <w:t xml:space="preserve">), so there is</w:t>
      </w:r>
      <w:r>
        <w:t xml:space="preserve"> </w:t>
      </w:r>
      <w:r>
        <w:t xml:space="preserve">“</w:t>
      </w:r>
      <w:r>
        <w:t xml:space="preserve">luk.</w:t>
      </w:r>
      <w:r>
        <w:t xml:space="preserve">”</w:t>
      </w:r>
      <w:r>
        <w:t xml:space="preserve"> </w:t>
      </w:r>
      <w:r>
        <w:t xml:space="preserve">Since the root is</w:t>
      </w:r>
      <w:r>
        <w:t xml:space="preserve"> </w:t>
      </w:r>
      <w:r>
        <w:t xml:space="preserve">“</w:t>
      </w:r>
      <w:r>
        <w:t xml:space="preserve">ṅ</w:t>
      </w:r>
      <w:r>
        <w:t xml:space="preserve">”</w:t>
      </w:r>
      <w:r>
        <w:t xml:space="preserve">-marked, the personal ending is accent-less by</w:t>
      </w:r>
      <w:r>
        <w:t xml:space="preserve"> </w:t>
      </w:r>
      <w:r>
        <w:rPr>
          <w:bCs/>
          <w:b/>
        </w:rPr>
        <w:t xml:space="preserve">तास्यनुदात्तेन्ङिददुपदेशाल्लसार्वधातुकमनुदात्तम्</w:t>
      </w:r>
      <w:r>
        <w:t xml:space="preserve"> </w:t>
      </w:r>
      <w:r>
        <w:t xml:space="preserve">(</w:t>
      </w:r>
      <w:r>
        <w:rPr>
          <w:iCs/>
          <w:i/>
        </w:rPr>
        <w:t xml:space="preserve">tāsy-anudātten-ṅid-ad-upadeśāl lasārvadhātukam anudāttam</w:t>
      </w:r>
      <w:r>
        <w:t xml:space="preserve">, पा. ६-१-१८६), only the root’s own accent remains. And there is no</w:t>
      </w:r>
      <w:r>
        <w:t xml:space="preserve"> </w:t>
      </w:r>
      <w:r>
        <w:t xml:space="preserve">“</w:t>
      </w:r>
      <w:r>
        <w:t xml:space="preserve">nighāta</w:t>
      </w:r>
      <w:r>
        <w:t xml:space="preserve">”</w:t>
      </w:r>
      <w:r>
        <w:t xml:space="preserve"> </w:t>
      </w:r>
      <w:r>
        <w:t xml:space="preserve">(lowering of the verb) by</w:t>
      </w:r>
      <w:r>
        <w:t xml:space="preserve"> </w:t>
      </w:r>
      <w:r>
        <w:rPr>
          <w:bCs/>
          <w:b/>
        </w:rPr>
        <w:t xml:space="preserve">तिङ्ङतिङः</w:t>
      </w:r>
      <w:r>
        <w:t xml:space="preserve"> </w:t>
      </w:r>
      <w:r>
        <w:t xml:space="preserve">(</w:t>
      </w:r>
      <w:r>
        <w:rPr>
          <w:iCs/>
          <w:i/>
        </w:rPr>
        <w:t xml:space="preserve">tiṅ atiṅaḥ</w:t>
      </w:r>
      <w:r>
        <w:t xml:space="preserve">, पा. ८-१-२८), because of the prohibition</w:t>
      </w:r>
      <w:r>
        <w:t xml:space="preserve"> </w:t>
      </w:r>
      <w:r>
        <w:rPr>
          <w:bCs/>
          <w:b/>
        </w:rPr>
        <w:t xml:space="preserve">चवायोगे प्रथमा</w:t>
      </w:r>
      <w:r>
        <w:t xml:space="preserve"> </w:t>
      </w:r>
      <w:r>
        <w:t xml:space="preserve">(</w:t>
      </w:r>
      <w:r>
        <w:rPr>
          <w:iCs/>
          <w:i/>
        </w:rPr>
        <w:t xml:space="preserve">cavā-yoge prathamā</w:t>
      </w:r>
      <w:r>
        <w:t xml:space="preserve">,</w:t>
      </w:r>
      <w:r>
        <w:t xml:space="preserve"> </w:t>
      </w:r>
      <w:r>
        <w:t xml:space="preserve">“</w:t>
      </w:r>
      <w:r>
        <w:t xml:space="preserve">the first [verb] is not lowered when joined with</w:t>
      </w:r>
      <w:r>
        <w:t xml:space="preserve"> </w:t>
      </w:r>
      <w:r>
        <w:t xml:space="preserve">‘</w:t>
      </w:r>
      <w:r>
        <w:t xml:space="preserve">ca,</w:t>
      </w:r>
      <w:r>
        <w:t xml:space="preserve">’</w:t>
      </w:r>
      <w:r>
        <w:t xml:space="preserve"> </w:t>
      </w:r>
      <w:r>
        <w:t xml:space="preserve">‘</w:t>
      </w:r>
      <w:r>
        <w:t xml:space="preserve">vā,</w:t>
      </w:r>
      <w:r>
        <w:t xml:space="preserve">’</w:t>
      </w:r>
      <w:r>
        <w:t xml:space="preserve"> </w:t>
      </w:r>
      <w:r>
        <w:t xml:space="preserve">etc.,</w:t>
      </w:r>
      <w:r>
        <w:t xml:space="preserve">”</w:t>
      </w:r>
      <w:r>
        <w:t xml:space="preserve"> </w:t>
      </w:r>
      <w:r>
        <w:t xml:space="preserve">पा. ८-१-५९): for the two following clauses too are joined with</w:t>
      </w:r>
      <w:r>
        <w:t xml:space="preserve"> </w:t>
      </w:r>
      <w:r>
        <w:t xml:space="preserve">“</w:t>
      </w:r>
      <w:r>
        <w:t xml:space="preserve">vā,</w:t>
      </w:r>
      <w:r>
        <w:t xml:space="preserve">”</w:t>
      </w:r>
      <w:r>
        <w:t xml:space="preserve"> </w:t>
      </w:r>
      <w:r>
        <w:t xml:space="preserve">and since otherwise the sentences would be incomplete, a verb must be supplied in them; in relation to those, this is the</w:t>
      </w:r>
      <w:r>
        <w:t xml:space="preserve"> </w:t>
      </w:r>
      <w:r>
        <w:t xml:space="preserve">“</w:t>
      </w:r>
      <w:r>
        <w:t xml:space="preserve">first</w:t>
      </w:r>
      <w:r>
        <w:t xml:space="preserve">”</w:t>
      </w:r>
      <w:r>
        <w:t xml:space="preserve"> </w:t>
      </w:r>
      <w:r>
        <w:t xml:space="preserve">verb.</w:t>
      </w:r>
    </w:p>
    <w:p>
      <w:pPr>
        <w:pStyle w:val="BlockText"/>
      </w:pPr>
      <w:r>
        <w:t xml:space="preserve">दिवः । ऊडिदमित्यादिना विभक्तेरुदात्तत्वम् ।</w:t>
      </w:r>
      <w:r>
        <w:t xml:space="preserve"> </w:t>
      </w:r>
      <w:r>
        <w:rPr>
          <w:iCs/>
          <w:i/>
        </w:rPr>
        <w:t xml:space="preserve">divaḥ | ūḍidam ity ādinā vibhakter udāttatvam |</w:t>
      </w:r>
    </w:p>
    <w:p>
      <w:pPr>
        <w:pStyle w:val="FirstParagraph"/>
      </w:pPr>
      <w:r>
        <w:t xml:space="preserve">“</w:t>
      </w:r>
      <w:r>
        <w:t xml:space="preserve">Divaḥ</w:t>
      </w:r>
      <w:r>
        <w:t xml:space="preserve">”</w:t>
      </w:r>
      <w:r>
        <w:t xml:space="preserve"> </w:t>
      </w:r>
      <w:r>
        <w:t xml:space="preserve">— the case-ending is acute by</w:t>
      </w:r>
      <w:r>
        <w:t xml:space="preserve"> </w:t>
      </w:r>
      <w:r>
        <w:t xml:space="preserve">“</w:t>
      </w:r>
      <w:r>
        <w:t xml:space="preserve">ūḍidam…</w:t>
      </w:r>
      <w:r>
        <w:t xml:space="preserve">”</w:t>
      </w:r>
      <w:r>
        <w:t xml:space="preserve"> </w:t>
      </w:r>
      <w:r>
        <w:t xml:space="preserve">etc.</w:t>
      </w:r>
    </w:p>
    <w:p>
      <w:pPr>
        <w:pStyle w:val="BlockText"/>
      </w:pPr>
      <w:r>
        <w:t xml:space="preserve">पार्थिवात् । प्रथ प्रख्याने । प्रथित इति पृथिवी । प्रथेः षिवन् सम्प्रसारणं च । उ. १-१५० । इति षिवन्प्रत्ययः । षिद्गौरादिभ्यश्च । पा. ४-१-४१ । इति ङीष् । प्रत्ययस्वरेणोदात्तः । शेषनिघातेनानुदात्तादिः पृथिवीशब्दः । पृथिव्या विकार इत्यर्थे ओरञ् इत्यनुवृत्तावनुदात्तादेश्च । पा. ४-३-१४० । इत्यञ् । यस्येति च । पा. ६-४-१४८ । इतीकारलोपः । तद्धितेष्वचामादेः । पा. ७-२-११७ । इत्यादिवृद्धिः । रपरत्वम् । पा. १-१-५१ । ञ्नित्यादिर्नित्यमित्याद्युदात्तः ।</w:t>
      </w:r>
      <w:r>
        <w:t xml:space="preserve"> </w:t>
      </w:r>
      <w:r>
        <w:rPr>
          <w:iCs/>
          <w:i/>
        </w:rPr>
        <w:t xml:space="preserve">pārthivāt | pratha prakhyāne | prathita iti pṛthivī | prather ṣivan samprasāraṇaṃ ca | u. 1-150 | iti ṣivan-pratyayaḥ | ṣid-gaurādibhyaś ca | pā. 4-1-41 | iti ṅīṣ | pratyaya-svareṇodāttaḥ | śeṣa-nighātenānudāttādiḥ pṛthivī-śabdaḥ | pṛthivyā vikāra ity arthe oraj ity anuvṛttāv anudāttādeś ca | pā. 4-3-140 | ity añ | yasyeti ca | pā. 6-4-148 | itīkāra-lopaḥ | taddhiteṣv acām ādeḥ | pā. 7-2-117 | ity ādi-vṛddhiḥ | raparatvam | pā. 1-1-51 | ñnity ādir nityam ity ādyudāttaḥ |</w:t>
      </w:r>
    </w:p>
    <w:p>
      <w:pPr>
        <w:pStyle w:val="FirstParagraph"/>
      </w:pPr>
      <w:r>
        <w:t xml:space="preserve">“</w:t>
      </w:r>
      <w:r>
        <w:t xml:space="preserve">Pārthivāt</w:t>
      </w:r>
      <w:r>
        <w:t xml:space="preserve">”</w:t>
      </w:r>
      <w:r>
        <w:t xml:space="preserve"> </w:t>
      </w:r>
      <w:r>
        <w:t xml:space="preserve">— from</w:t>
      </w:r>
      <w:r>
        <w:t xml:space="preserve"> </w:t>
      </w:r>
      <w:r>
        <w:t xml:space="preserve">“</w:t>
      </w:r>
      <w:r>
        <w:t xml:space="preserve">prath prakhyāne</w:t>
      </w:r>
      <w:r>
        <w:t xml:space="preserve">”</w:t>
      </w:r>
      <w:r>
        <w:t xml:space="preserve"> </w:t>
      </w:r>
      <w:r>
        <w:t xml:space="preserve">(</w:t>
      </w:r>
      <w:r>
        <w:t xml:space="preserve">“</w:t>
      </w:r>
      <w:r>
        <w:t xml:space="preserve">that which is spread out is</w:t>
      </w:r>
      <w:r>
        <w:t xml:space="preserve"> </w:t>
      </w:r>
      <w:r>
        <w:t xml:space="preserve">‘</w:t>
      </w:r>
      <w:r>
        <w:t xml:space="preserve">pṛthivī</w:t>
      </w:r>
      <w:r>
        <w:t xml:space="preserve">’</w:t>
      </w:r>
      <w:r>
        <w:t xml:space="preserve">”</w:t>
      </w:r>
      <w:r>
        <w:t xml:space="preserve">); the Uṇādi</w:t>
      </w:r>
      <w:r>
        <w:t xml:space="preserve"> </w:t>
      </w:r>
      <w:r>
        <w:t xml:space="preserve">“</w:t>
      </w:r>
      <w:r>
        <w:t xml:space="preserve">prather ṣivan samprasāraṇaṃ ca</w:t>
      </w:r>
      <w:r>
        <w:t xml:space="preserve">”</w:t>
      </w:r>
      <w:r>
        <w:t xml:space="preserve"> </w:t>
      </w:r>
      <w:r>
        <w:t xml:space="preserve">gives the affix</w:t>
      </w:r>
      <w:r>
        <w:t xml:space="preserve"> </w:t>
      </w:r>
      <w:r>
        <w:t xml:space="preserve">“</w:t>
      </w:r>
      <w:r>
        <w:t xml:space="preserve">ṣivan</w:t>
      </w:r>
      <w:r>
        <w:t xml:space="preserve">”</w:t>
      </w:r>
      <w:r>
        <w:t xml:space="preserve"> </w:t>
      </w:r>
      <w:r>
        <w:t xml:space="preserve">(Uṇādi 1-150); the feminine</w:t>
      </w:r>
      <w:r>
        <w:t xml:space="preserve"> </w:t>
      </w:r>
      <w:r>
        <w:t xml:space="preserve">“</w:t>
      </w:r>
      <w:r>
        <w:t xml:space="preserve">ṅīṣ</w:t>
      </w:r>
      <w:r>
        <w:t xml:space="preserve">”</w:t>
      </w:r>
      <w:r>
        <w:t xml:space="preserve"> </w:t>
      </w:r>
      <w:r>
        <w:t xml:space="preserve">by</w:t>
      </w:r>
      <w:r>
        <w:t xml:space="preserve"> </w:t>
      </w:r>
      <w:r>
        <w:rPr>
          <w:bCs/>
          <w:b/>
        </w:rPr>
        <w:t xml:space="preserve">षिद्गौरादिभ्यश्च</w:t>
      </w:r>
      <w:r>
        <w:t xml:space="preserve"> </w:t>
      </w:r>
      <w:r>
        <w:t xml:space="preserve">(</w:t>
      </w:r>
      <w:r>
        <w:rPr>
          <w:iCs/>
          <w:i/>
        </w:rPr>
        <w:t xml:space="preserve">ṣid-gaurādibhyaś ca</w:t>
      </w:r>
      <w:r>
        <w:t xml:space="preserve">, पा. ४-१-४१); the affix gives the acute, and by the lowering of the rest the stem</w:t>
      </w:r>
      <w:r>
        <w:t xml:space="preserve"> </w:t>
      </w:r>
      <w:r>
        <w:t xml:space="preserve">“</w:t>
      </w:r>
      <w:r>
        <w:t xml:space="preserve">pṛthivī</w:t>
      </w:r>
      <w:r>
        <w:t xml:space="preserve">”</w:t>
      </w:r>
      <w:r>
        <w:t xml:space="preserve"> </w:t>
      </w:r>
      <w:r>
        <w:t xml:space="preserve">begins accent-less. In the sense</w:t>
      </w:r>
      <w:r>
        <w:t xml:space="preserve"> </w:t>
      </w:r>
      <w:r>
        <w:t xml:space="preserve">“</w:t>
      </w:r>
      <w:r>
        <w:t xml:space="preserve">a modification of the earth</w:t>
      </w:r>
      <w:r>
        <w:t xml:space="preserve">”</w:t>
      </w:r>
      <w:r>
        <w:t xml:space="preserve"> </w:t>
      </w:r>
      <w:r>
        <w:t xml:space="preserve">(</w:t>
      </w:r>
      <w:r>
        <w:t xml:space="preserve">“</w:t>
      </w:r>
      <w:r>
        <w:t xml:space="preserve">pṛthivyā vikāraḥ</w:t>
      </w:r>
      <w:r>
        <w:t xml:space="preserve">”</w:t>
      </w:r>
      <w:r>
        <w:t xml:space="preserve">), the affix</w:t>
      </w:r>
      <w:r>
        <w:t xml:space="preserve"> </w:t>
      </w:r>
      <w:r>
        <w:t xml:space="preserve">“</w:t>
      </w:r>
      <w:r>
        <w:t xml:space="preserve">añ</w:t>
      </w:r>
      <w:r>
        <w:t xml:space="preserve">”</w:t>
      </w:r>
      <w:r>
        <w:t xml:space="preserve"> </w:t>
      </w:r>
      <w:r>
        <w:t xml:space="preserve">comes by</w:t>
      </w:r>
      <w:r>
        <w:t xml:space="preserve"> </w:t>
      </w:r>
      <w:r>
        <w:rPr>
          <w:bCs/>
          <w:b/>
        </w:rPr>
        <w:t xml:space="preserve">ओरञ्</w:t>
      </w:r>
      <w:r>
        <w:t xml:space="preserve"> </w:t>
      </w:r>
      <w:r>
        <w:t xml:space="preserve">(</w:t>
      </w:r>
      <w:r>
        <w:rPr>
          <w:iCs/>
          <w:i/>
        </w:rPr>
        <w:t xml:space="preserve">oraj</w:t>
      </w:r>
      <w:r>
        <w:t xml:space="preserve">,</w:t>
      </w:r>
      <w:r>
        <w:t xml:space="preserve"> </w:t>
      </w:r>
      <w:r>
        <w:t xml:space="preserve">“</w:t>
      </w:r>
      <w:r>
        <w:t xml:space="preserve">‘</w:t>
      </w:r>
      <w:r>
        <w:t xml:space="preserve">añ</w:t>
      </w:r>
      <w:r>
        <w:t xml:space="preserve">’</w:t>
      </w:r>
      <w:r>
        <w:t xml:space="preserve"> </w:t>
      </w:r>
      <w:r>
        <w:t xml:space="preserve">in the sense of</w:t>
      </w:r>
      <w:r>
        <w:t xml:space="preserve"> </w:t>
      </w:r>
      <w:r>
        <w:t xml:space="preserve">‘</w:t>
      </w:r>
      <w:r>
        <w:t xml:space="preserve">its modification</w:t>
      </w:r>
      <w:r>
        <w:t xml:space="preserve">’</w:t>
      </w:r>
      <w:r>
        <w:t xml:space="preserve"> </w:t>
      </w:r>
      <w:r>
        <w:t xml:space="preserve">after a stem ending in a short</w:t>
      </w:r>
      <w:r>
        <w:t xml:space="preserve"> </w:t>
      </w:r>
      <w:r>
        <w:t xml:space="preserve">‘</w:t>
      </w:r>
      <w:r>
        <w:t xml:space="preserve">u</w:t>
      </w:r>
      <w:r>
        <w:t xml:space="preserve">’</w:t>
      </w:r>
      <w:r>
        <w:t xml:space="preserve"> </w:t>
      </w:r>
      <w:r>
        <w:t xml:space="preserve">[here</w:t>
      </w:r>
      <w:r>
        <w:t xml:space="preserve"> </w:t>
      </w:r>
      <w:r>
        <w:t xml:space="preserve">‘</w:t>
      </w:r>
      <w:r>
        <w:t xml:space="preserve">o</w:t>
      </w:r>
      <w:r>
        <w:t xml:space="preserve">’</w:t>
      </w:r>
      <w:r>
        <w:t xml:space="preserve">]</w:t>
      </w:r>
      <w:r>
        <w:t xml:space="preserve">”</w:t>
      </w:r>
      <w:r>
        <w:t xml:space="preserve">) carried forward with</w:t>
      </w:r>
      <w:r>
        <w:t xml:space="preserve"> </w:t>
      </w:r>
      <w:r>
        <w:rPr>
          <w:bCs/>
          <w:b/>
        </w:rPr>
        <w:t xml:space="preserve">अनुदात्तादेश्च</w:t>
      </w:r>
      <w:r>
        <w:t xml:space="preserve"> </w:t>
      </w:r>
      <w:r>
        <w:t xml:space="preserve">(</w:t>
      </w:r>
      <w:r>
        <w:rPr>
          <w:iCs/>
          <w:i/>
        </w:rPr>
        <w:t xml:space="preserve">anudāttādeś ca</w:t>
      </w:r>
      <w:r>
        <w:t xml:space="preserve">, पा. ४-३-१४०); the</w:t>
      </w:r>
      <w:r>
        <w:t xml:space="preserve"> </w:t>
      </w:r>
      <w:r>
        <w:t xml:space="preserve">“</w:t>
      </w:r>
      <w:r>
        <w:t xml:space="preserve">ī</w:t>
      </w:r>
      <w:r>
        <w:t xml:space="preserve">”</w:t>
      </w:r>
      <w:r>
        <w:t xml:space="preserve"> </w:t>
      </w:r>
      <w:r>
        <w:t xml:space="preserve">is dropped by</w:t>
      </w:r>
      <w:r>
        <w:t xml:space="preserve"> </w:t>
      </w:r>
      <w:r>
        <w:rPr>
          <w:bCs/>
          <w:b/>
        </w:rPr>
        <w:t xml:space="preserve">यस्येति च</w:t>
      </w:r>
      <w:r>
        <w:t xml:space="preserve"> </w:t>
      </w:r>
      <w:r>
        <w:t xml:space="preserve">(</w:t>
      </w:r>
      <w:r>
        <w:rPr>
          <w:iCs/>
          <w:i/>
        </w:rPr>
        <w:t xml:space="preserve">yasyeti ca</w:t>
      </w:r>
      <w:r>
        <w:t xml:space="preserve">, पा. ६-४-१४८); the first vowel takes vṛddhi by</w:t>
      </w:r>
      <w:r>
        <w:t xml:space="preserve"> </w:t>
      </w:r>
      <w:r>
        <w:rPr>
          <w:bCs/>
          <w:b/>
        </w:rPr>
        <w:t xml:space="preserve">तद्धितेष्वचामादेः</w:t>
      </w:r>
      <w:r>
        <w:t xml:space="preserve"> </w:t>
      </w:r>
      <w:r>
        <w:t xml:space="preserve">(</w:t>
      </w:r>
      <w:r>
        <w:rPr>
          <w:iCs/>
          <w:i/>
        </w:rPr>
        <w:t xml:space="preserve">taddhiteṣv acām ādeḥ</w:t>
      </w:r>
      <w:r>
        <w:t xml:space="preserve">, पा. ७-२-११७); with</w:t>
      </w:r>
      <w:r>
        <w:t xml:space="preserve"> </w:t>
      </w:r>
      <w:r>
        <w:t xml:space="preserve">“</w:t>
      </w:r>
      <w:r>
        <w:t xml:space="preserve">r</w:t>
      </w:r>
      <w:r>
        <w:t xml:space="preserve">”</w:t>
      </w:r>
      <w:r>
        <w:t xml:space="preserve"> </w:t>
      </w:r>
      <w:r>
        <w:t xml:space="preserve">following (</w:t>
      </w:r>
      <w:r>
        <w:rPr>
          <w:bCs/>
          <w:b/>
        </w:rPr>
        <w:t xml:space="preserve">रपरत्वम्</w:t>
      </w:r>
      <w:r>
        <w:t xml:space="preserve">, पा. १-१-५१); and by</w:t>
      </w:r>
      <w:r>
        <w:t xml:space="preserve"> </w:t>
      </w:r>
      <w:r>
        <w:t xml:space="preserve">“</w:t>
      </w:r>
      <w:r>
        <w:t xml:space="preserve">ñit/ṇit</w:t>
      </w:r>
      <w:r>
        <w:t xml:space="preserve">”</w:t>
      </w:r>
      <w:r>
        <w:t xml:space="preserve"> </w:t>
      </w:r>
      <w:r>
        <w:t xml:space="preserve">the first syllable is acute (</w:t>
      </w:r>
      <w:r>
        <w:rPr>
          <w:bCs/>
          <w:b/>
        </w:rPr>
        <w:t xml:space="preserve">ञ्नित्यादिर्नित्यम्</w:t>
      </w:r>
      <w:r>
        <w:t xml:space="preserve">, no number printed).</w:t>
      </w:r>
    </w:p>
    <w:p>
      <w:pPr>
        <w:pStyle w:val="BlockText"/>
      </w:pPr>
      <w:r>
        <w:t xml:space="preserve">अधि । निपातत्वादाद्युदात्तः । इन्द्रम् । रन्प्रत्ययान्त आद्युदात्तः । महः । महत इत्यस्याकारतकारयोर्लोपश्छान्दसः । सावेकाच इति विभक्तेरुदात्तत्वम् । रजसः । नब्विषयस्यानिसन्तस्येत्याद्युदात्तत्वम् ॥१०॥</w:t>
      </w:r>
      <w:r>
        <w:t xml:space="preserve"> </w:t>
      </w:r>
      <w:r>
        <w:rPr>
          <w:iCs/>
          <w:i/>
        </w:rPr>
        <w:t xml:space="preserve">adhi | nipātatvād ādyudāttaḥ | indram | ran-pratyayānta ādyudāttaḥ | mahaḥ | mahata ity asyākāra-takārayor lopaś chāndasaḥ | sāv ekāca iti vibhakter udāttatvam | rajasaḥ | nab-viṣayasyānisantasyety ādyudāttatvam ||10||</w:t>
      </w:r>
    </w:p>
    <w:p>
      <w:pPr>
        <w:pStyle w:val="FirstParagraph"/>
      </w:pPr>
      <w:r>
        <w:t xml:space="preserve">“</w:t>
      </w:r>
      <w:r>
        <w:t xml:space="preserve">Adhi</w:t>
      </w:r>
      <w:r>
        <w:t xml:space="preserve">”</w:t>
      </w:r>
      <w:r>
        <w:t xml:space="preserve"> </w:t>
      </w:r>
      <w:r>
        <w:t xml:space="preserve">— a particle, first-syllable acute.</w:t>
      </w:r>
      <w:r>
        <w:t xml:space="preserve"> </w:t>
      </w:r>
      <w:r>
        <w:t xml:space="preserve">“</w:t>
      </w:r>
      <w:r>
        <w:t xml:space="preserve">Indram</w:t>
      </w:r>
      <w:r>
        <w:t xml:space="preserve">”</w:t>
      </w:r>
      <w:r>
        <w:t xml:space="preserve"> </w:t>
      </w:r>
      <w:r>
        <w:t xml:space="preserve">— ending in the affix</w:t>
      </w:r>
      <w:r>
        <w:t xml:space="preserve"> </w:t>
      </w:r>
      <w:r>
        <w:t xml:space="preserve">“</w:t>
      </w:r>
      <w:r>
        <w:t xml:space="preserve">ran,</w:t>
      </w:r>
      <w:r>
        <w:t xml:space="preserve">”</w:t>
      </w:r>
      <w:r>
        <w:t xml:space="preserve"> </w:t>
      </w:r>
      <w:r>
        <w:t xml:space="preserve">first-syllable acute.</w:t>
      </w:r>
      <w:r>
        <w:t xml:space="preserve"> </w:t>
      </w:r>
      <w:r>
        <w:t xml:space="preserve">“</w:t>
      </w:r>
      <w:r>
        <w:t xml:space="preserve">Mahaḥ</w:t>
      </w:r>
      <w:r>
        <w:t xml:space="preserve">”</w:t>
      </w:r>
      <w:r>
        <w:t xml:space="preserve"> </w:t>
      </w:r>
      <w:r>
        <w:t xml:space="preserve">— from</w:t>
      </w:r>
      <w:r>
        <w:t xml:space="preserve"> </w:t>
      </w:r>
      <w:r>
        <w:t xml:space="preserve">“</w:t>
      </w:r>
      <w:r>
        <w:t xml:space="preserve">mahat,</w:t>
      </w:r>
      <w:r>
        <w:t xml:space="preserve">”</w:t>
      </w:r>
      <w:r>
        <w:t xml:space="preserve"> </w:t>
      </w:r>
      <w:r>
        <w:t xml:space="preserve">the</w:t>
      </w:r>
      <w:r>
        <w:t xml:space="preserve"> </w:t>
      </w:r>
      <w:r>
        <w:t xml:space="preserve">“</w:t>
      </w:r>
      <w:r>
        <w:t xml:space="preserve">a</w:t>
      </w:r>
      <w:r>
        <w:t xml:space="preserve">”</w:t>
      </w:r>
      <w:r>
        <w:t xml:space="preserve"> </w:t>
      </w:r>
      <w:r>
        <w:t xml:space="preserve">and</w:t>
      </w:r>
      <w:r>
        <w:t xml:space="preserve"> </w:t>
      </w:r>
      <w:r>
        <w:t xml:space="preserve">“</w:t>
      </w:r>
      <w:r>
        <w:t xml:space="preserve">t</w:t>
      </w:r>
      <w:r>
        <w:t xml:space="preserve">”</w:t>
      </w:r>
      <w:r>
        <w:t xml:space="preserve"> </w:t>
      </w:r>
      <w:r>
        <w:t xml:space="preserve">being dropped by Vedic licence; the case-ending is acute by</w:t>
      </w:r>
      <w:r>
        <w:t xml:space="preserve"> </w:t>
      </w:r>
      <w:r>
        <w:t xml:space="preserve">“</w:t>
      </w:r>
      <w:r>
        <w:t xml:space="preserve">sāv ekācaḥ…</w:t>
      </w:r>
      <w:r>
        <w:t xml:space="preserve">”</w:t>
      </w:r>
      <w:r>
        <w:t xml:space="preserve">.</w:t>
      </w:r>
      <w:r>
        <w:t xml:space="preserve"> </w:t>
      </w:r>
      <w:r>
        <w:t xml:space="preserve">“</w:t>
      </w:r>
      <w:r>
        <w:t xml:space="preserve">Rajasaḥ</w:t>
      </w:r>
      <w:r>
        <w:t xml:space="preserve">”</w:t>
      </w:r>
      <w:r>
        <w:t xml:space="preserve"> </w:t>
      </w:r>
      <w:r>
        <w:t xml:space="preserve">— by</w:t>
      </w:r>
      <w:r>
        <w:t xml:space="preserve"> </w:t>
      </w:r>
      <w:r>
        <w:rPr>
          <w:bCs/>
          <w:b/>
        </w:rPr>
        <w:t xml:space="preserve">नब्विषयस्यानिसन्तस्य</w:t>
      </w:r>
      <w:r>
        <w:t xml:space="preserve"> </w:t>
      </w:r>
      <w:r>
        <w:t xml:space="preserve">(</w:t>
      </w:r>
      <w:r>
        <w:rPr>
          <w:iCs/>
          <w:i/>
        </w:rPr>
        <w:t xml:space="preserve">nab-viṣayasyānisantasya</w:t>
      </w:r>
      <w:r>
        <w:t xml:space="preserve">, no number printed), first-syllable acute. ॥१०॥</w:t>
      </w:r>
    </w:p>
    <w:p>
      <w:pPr>
        <w:pStyle w:val="BodyText"/>
      </w:pPr>
      <w:r>
        <w:rPr>
          <w:bCs/>
          <w:b/>
        </w:rPr>
        <w:t xml:space="preserve">॥ Prati-padārthaḥ ॥</w:t>
      </w:r>
      <w:r>
        <w:t xml:space="preserve"> </w:t>
      </w:r>
      <w:r>
        <w:rPr>
          <w:iCs/>
          <w:i/>
        </w:rPr>
        <w:t xml:space="preserve">(Kannada, translated, p. 252)</w:t>
      </w:r>
    </w:p>
    <w:p>
      <w:pPr>
        <w:pStyle w:val="BodyText"/>
      </w:pPr>
      <w:r>
        <w:t xml:space="preserve">(</w:t>
      </w:r>
      <w:r>
        <w:rPr>
          <w:bCs/>
          <w:b/>
        </w:rPr>
        <w:t xml:space="preserve">वयम्</w:t>
      </w:r>
      <w:r>
        <w:t xml:space="preserve"> </w:t>
      </w:r>
      <w:r>
        <w:rPr>
          <w:iCs/>
          <w:i/>
        </w:rPr>
        <w:t xml:space="preserve">vayam</w:t>
      </w:r>
      <w:r>
        <w:t xml:space="preserve"> </w:t>
      </w:r>
      <w:r>
        <w:t xml:space="preserve">— we)</w:t>
      </w:r>
      <w:r>
        <w:t xml:space="preserve"> </w:t>
      </w:r>
      <w:r>
        <w:rPr>
          <w:bCs/>
          <w:b/>
        </w:rPr>
        <w:t xml:space="preserve">इन्द्रम् (indram)</w:t>
      </w:r>
      <w:r>
        <w:t xml:space="preserve"> </w:t>
      </w:r>
      <w:r>
        <w:t xml:space="preserve">— Indra |</w:t>
      </w:r>
      <w:r>
        <w:t xml:space="preserve"> </w:t>
      </w:r>
      <w:r>
        <w:rPr>
          <w:bCs/>
          <w:b/>
        </w:rPr>
        <w:t xml:space="preserve">इतः पार्थिवात् वा (itaḥ pārthivāt vā)</w:t>
      </w:r>
      <w:r>
        <w:t xml:space="preserve"> </w:t>
      </w:r>
      <w:r>
        <w:t xml:space="preserve">— either from this earth-world that is seen before our eyes |</w:t>
      </w:r>
      <w:r>
        <w:t xml:space="preserve"> </w:t>
      </w:r>
      <w:r>
        <w:rPr>
          <w:bCs/>
          <w:b/>
        </w:rPr>
        <w:t xml:space="preserve">दिवो वा (divo vā)</w:t>
      </w:r>
      <w:r>
        <w:t xml:space="preserve"> </w:t>
      </w:r>
      <w:r>
        <w:t xml:space="preserve">— or from the heavenly world |</w:t>
      </w:r>
      <w:r>
        <w:t xml:space="preserve"> </w:t>
      </w:r>
      <w:r>
        <w:rPr>
          <w:bCs/>
          <w:b/>
        </w:rPr>
        <w:t xml:space="preserve">महः (mahaḥ)</w:t>
      </w:r>
      <w:r>
        <w:t xml:space="preserve"> </w:t>
      </w:r>
      <w:r>
        <w:t xml:space="preserve">— great |</w:t>
      </w:r>
      <w:r>
        <w:t xml:space="preserve"> </w:t>
      </w:r>
      <w:r>
        <w:rPr>
          <w:bCs/>
          <w:b/>
        </w:rPr>
        <w:t xml:space="preserve">रजसो वा (rajaso vā)</w:t>
      </w:r>
      <w:r>
        <w:t xml:space="preserve"> </w:t>
      </w:r>
      <w:r>
        <w:t xml:space="preserve">— or from the atmosphere that is the refuge of birds and the like |</w:t>
      </w:r>
      <w:r>
        <w:t xml:space="preserve"> </w:t>
      </w:r>
      <w:r>
        <w:rPr>
          <w:bCs/>
          <w:b/>
        </w:rPr>
        <w:t xml:space="preserve">सातिम् (sātim)</w:t>
      </w:r>
      <w:r>
        <w:t xml:space="preserve"> </w:t>
      </w:r>
      <w:r>
        <w:t xml:space="preserve">— for the obtaining of wealth |</w:t>
      </w:r>
      <w:r>
        <w:t xml:space="preserve"> </w:t>
      </w:r>
      <w:r>
        <w:rPr>
          <w:bCs/>
          <w:b/>
        </w:rPr>
        <w:t xml:space="preserve">अधीमहे (adhīmahe, so printed; the</w:t>
      </w:r>
      <w:r>
        <w:rPr>
          <w:bCs/>
          <w:b/>
        </w:rPr>
        <w:t xml:space="preserve"> </w:t>
      </w:r>
      <w:r>
        <w:rPr>
          <w:bCs/>
          <w:b/>
        </w:rPr>
        <w:t xml:space="preserve">“</w:t>
      </w:r>
      <w:r>
        <w:rPr>
          <w:bCs/>
          <w:b/>
        </w:rPr>
        <w:t xml:space="preserve">adhi</w:t>
      </w:r>
      <w:r>
        <w:rPr>
          <w:bCs/>
          <w:b/>
        </w:rPr>
        <w:t xml:space="preserve">”</w:t>
      </w:r>
      <w:r>
        <w:rPr>
          <w:bCs/>
          <w:b/>
        </w:rPr>
        <w:t xml:space="preserve"> </w:t>
      </w:r>
      <w:r>
        <w:rPr>
          <w:bCs/>
          <w:b/>
        </w:rPr>
        <w:t xml:space="preserve">of the Pada text taken together with</w:t>
      </w:r>
      <w:r>
        <w:rPr>
          <w:bCs/>
          <w:b/>
        </w:rPr>
        <w:t xml:space="preserve"> </w:t>
      </w:r>
      <w:r>
        <w:rPr>
          <w:bCs/>
          <w:b/>
        </w:rPr>
        <w:t xml:space="preserve">“</w:t>
      </w:r>
      <w:r>
        <w:rPr>
          <w:bCs/>
          <w:b/>
        </w:rPr>
        <w:t xml:space="preserve">īmahe</w:t>
      </w:r>
      <w:r>
        <w:rPr>
          <w:bCs/>
          <w:b/>
        </w:rPr>
        <w:t xml:space="preserve">”</w:t>
      </w:r>
      <w:r>
        <w:rPr>
          <w:bCs/>
          <w:b/>
        </w:rPr>
        <w:t xml:space="preserve">)</w:t>
      </w:r>
      <w:r>
        <w:t xml:space="preserve"> </w:t>
      </w:r>
      <w:r>
        <w:t xml:space="preserve">— we pray.</w:t>
      </w:r>
    </w:p>
    <w:p>
      <w:pPr>
        <w:pStyle w:val="BodyText"/>
      </w:pPr>
      <w:r>
        <w:rPr>
          <w:bCs/>
          <w:b/>
        </w:rPr>
        <w:t xml:space="preserve">॥ Bhāvārthaḥ ॥</w:t>
      </w:r>
      <w:r>
        <w:t xml:space="preserve"> </w:t>
      </w:r>
      <w:r>
        <w:rPr>
          <w:iCs/>
          <w:i/>
        </w:rPr>
        <w:t xml:space="preserve">(Kannada, translated)</w:t>
      </w:r>
    </w:p>
    <w:p>
      <w:pPr>
        <w:pStyle w:val="BodyText"/>
      </w:pPr>
      <w:r>
        <w:t xml:space="preserve">Now, before our eyes, whether from this earth-world, from the heavenly world, or from the atmosphere-world, we pray to Indra that he bring wealth and give it to us.</w:t>
      </w:r>
    </w:p>
    <w:p>
      <w:pPr>
        <w:pStyle w:val="BodyText"/>
      </w:pPr>
      <w:r>
        <w:rPr>
          <w:bCs/>
          <w:b/>
        </w:rPr>
        <w:t xml:space="preserve">English Translation</w:t>
      </w:r>
      <w:r>
        <w:t xml:space="preserve"> </w:t>
      </w:r>
      <w:r>
        <w:rPr>
          <w:iCs/>
          <w:i/>
        </w:rPr>
        <w:t xml:space="preserve">(as printed)</w:t>
      </w:r>
    </w:p>
    <w:p>
      <w:pPr>
        <w:pStyle w:val="BlockText"/>
      </w:pPr>
      <w:r>
        <w:t xml:space="preserve">We pray to Indra for riches either from this earth, heaven, or from the vast intermediate region.</w:t>
      </w:r>
    </w:p>
    <w:p>
      <w:pPr>
        <w:pStyle w:val="FirstParagraph"/>
      </w:pPr>
      <w:r>
        <w:rPr>
          <w:bCs/>
          <w:b/>
        </w:rPr>
        <w:t xml:space="preserve">॥ Viśeṣa-viṣayagaḷu — Special Topics ॥</w:t>
      </w:r>
      <w:r>
        <w:t xml:space="preserve"> </w:t>
      </w:r>
      <w:r>
        <w:rPr>
          <w:iCs/>
          <w:i/>
        </w:rPr>
        <w:t xml:space="preserve">(Kannada, translated; p. 253)</w:t>
      </w:r>
    </w:p>
    <w:p>
      <w:pPr>
        <w:numPr>
          <w:ilvl w:val="0"/>
          <w:numId w:val="1035"/>
        </w:numPr>
        <w:pStyle w:val="Compact"/>
      </w:pPr>
      <w:r>
        <w:rPr>
          <w:bCs/>
          <w:b/>
        </w:rPr>
        <w:t xml:space="preserve">सातिम् (sātim)</w:t>
      </w:r>
      <w:r>
        <w:t xml:space="preserve"> </w:t>
      </w:r>
      <w:r>
        <w:t xml:space="preserve">— This word, derived from the root</w:t>
      </w:r>
      <w:r>
        <w:t xml:space="preserve"> </w:t>
      </w:r>
      <w:r>
        <w:t xml:space="preserve">“</w:t>
      </w:r>
      <w:r>
        <w:t xml:space="preserve">ṣaṇu dāne,</w:t>
      </w:r>
      <w:r>
        <w:t xml:space="preserve">”</w:t>
      </w:r>
      <w:r>
        <w:t xml:space="preserve"> </w:t>
      </w:r>
      <w:r>
        <w:t xml:space="preserve">has the sense of</w:t>
      </w:r>
      <w:r>
        <w:t xml:space="preserve"> </w:t>
      </w:r>
      <w:r>
        <w:t xml:space="preserve">“</w:t>
      </w:r>
      <w:r>
        <w:t xml:space="preserve">gift,</w:t>
      </w:r>
      <w:r>
        <w:t xml:space="preserve">”</w:t>
      </w:r>
      <w:r>
        <w:t xml:space="preserve"> </w:t>
      </w:r>
      <w:r>
        <w:t xml:space="preserve">“</w:t>
      </w:r>
      <w:r>
        <w:t xml:space="preserve">giving.</w:t>
      </w:r>
      <w:r>
        <w:t xml:space="preserve">”</w:t>
      </w:r>
      <w:r>
        <w:t xml:space="preserve"> </w:t>
      </w:r>
      <w:r>
        <w:t xml:space="preserve">What is given? Wealth and prosperity, or the other things we need.</w:t>
      </w:r>
    </w:p>
    <w:p>
      <w:pPr>
        <w:numPr>
          <w:ilvl w:val="0"/>
          <w:numId w:val="1035"/>
        </w:numPr>
        <w:pStyle w:val="Compact"/>
      </w:pPr>
      <w:r>
        <w:rPr>
          <w:bCs/>
          <w:b/>
        </w:rPr>
        <w:t xml:space="preserve">ईमहे (īmahe)</w:t>
      </w:r>
      <w:r>
        <w:t xml:space="preserve"> </w:t>
      </w:r>
      <w:r>
        <w:t xml:space="preserve">— We pray, we beg. Among the seventeen verbs meaning</w:t>
      </w:r>
      <w:r>
        <w:t xml:space="preserve"> </w:t>
      </w:r>
      <w:r>
        <w:t xml:space="preserve">“</w:t>
      </w:r>
      <w:r>
        <w:t xml:space="preserve">to beg,</w:t>
      </w:r>
      <w:r>
        <w:t xml:space="preserve">”</w:t>
      </w:r>
      <w:r>
        <w:t xml:space="preserve"> </w:t>
      </w:r>
      <w:r>
        <w:t xml:space="preserve">beginning with</w:t>
      </w:r>
      <w:r>
        <w:t xml:space="preserve"> </w:t>
      </w:r>
      <w:r>
        <w:t xml:space="preserve">“</w:t>
      </w:r>
      <w:r>
        <w:t xml:space="preserve">yāmi,</w:t>
      </w:r>
      <w:r>
        <w:t xml:space="preserve">”</w:t>
      </w:r>
      <w:r>
        <w:t xml:space="preserve"> </w:t>
      </w:r>
      <w:r>
        <w:t xml:space="preserve">the word</w:t>
      </w:r>
      <w:r>
        <w:t xml:space="preserve"> </w:t>
      </w:r>
      <w:r>
        <w:t xml:space="preserve">“</w:t>
      </w:r>
      <w:r>
        <w:t xml:space="preserve">īmahe</w:t>
      </w:r>
      <w:r>
        <w:t xml:space="preserve">”</w:t>
      </w:r>
      <w:r>
        <w:t xml:space="preserve"> </w:t>
      </w:r>
      <w:r>
        <w:t xml:space="preserve">is read.</w:t>
      </w:r>
    </w:p>
    <w:p>
      <w:pPr>
        <w:numPr>
          <w:ilvl w:val="0"/>
          <w:numId w:val="1035"/>
        </w:numPr>
        <w:pStyle w:val="Compact"/>
      </w:pPr>
      <w:r>
        <w:rPr>
          <w:bCs/>
          <w:b/>
        </w:rPr>
        <w:t xml:space="preserve">पार्थिवात् (pārthivāt)</w:t>
      </w:r>
      <w:r>
        <w:t xml:space="preserve"> </w:t>
      </w:r>
      <w:r>
        <w:t xml:space="preserve">—</w:t>
      </w:r>
      <w:r>
        <w:t xml:space="preserve"> </w:t>
      </w:r>
      <w:r>
        <w:t xml:space="preserve">“</w:t>
      </w:r>
      <w:r>
        <w:t xml:space="preserve">pṛthivyā vikāraḥ pārthivaḥ, tasmāt</w:t>
      </w:r>
      <w:r>
        <w:t xml:space="preserve">”</w:t>
      </w:r>
      <w:r>
        <w:t xml:space="preserve"> </w:t>
      </w:r>
      <w:r>
        <w:t xml:space="preserve">— that which is a modification of the earth: that is, the</w:t>
      </w:r>
      <w:r>
        <w:t xml:space="preserve"> </w:t>
      </w:r>
      <w:r>
        <w:t xml:space="preserve">“</w:t>
      </w:r>
      <w:r>
        <w:t xml:space="preserve">earth-world.</w:t>
      </w:r>
      <w:r>
        <w:t xml:space="preserve">”</w:t>
      </w:r>
    </w:p>
    <w:p>
      <w:pPr>
        <w:numPr>
          <w:ilvl w:val="0"/>
          <w:numId w:val="1035"/>
        </w:numPr>
        <w:pStyle w:val="Compact"/>
      </w:pPr>
      <w:r>
        <w:rPr>
          <w:bCs/>
          <w:b/>
        </w:rPr>
        <w:t xml:space="preserve">रजसः (rajasaḥ)</w:t>
      </w:r>
      <w:r>
        <w:t xml:space="preserve"> </w:t>
      </w:r>
      <w:r>
        <w:t xml:space="preserve">— The commentator says</w:t>
      </w:r>
      <w:r>
        <w:t xml:space="preserve"> </w:t>
      </w:r>
      <w:r>
        <w:t xml:space="preserve">“</w:t>
      </w:r>
      <w:r>
        <w:t xml:space="preserve">pakṣyādīnāṃ rañjakād antarikṣa-lokāt</w:t>
      </w:r>
      <w:r>
        <w:t xml:space="preserve">”</w:t>
      </w:r>
      <w:r>
        <w:t xml:space="preserve"> </w:t>
      </w:r>
      <w:r>
        <w:t xml:space="preserve">—</w:t>
      </w:r>
      <w:r>
        <w:t xml:space="preserve"> </w:t>
      </w:r>
      <w:r>
        <w:t xml:space="preserve">“</w:t>
      </w:r>
      <w:r>
        <w:t xml:space="preserve">from the atmosphere-world, that which gives colour/delight to the birds and the others.</w:t>
      </w:r>
      <w:r>
        <w:t xml:space="preserve">”</w:t>
      </w:r>
      <w:r>
        <w:t xml:space="preserve"> </w:t>
      </w:r>
      <w:r>
        <w:t xml:space="preserve">That is, the one that gives joy to the birds, that is, that is their refuge and the main place for them to move about [the Kannada:</w:t>
      </w:r>
      <w:r>
        <w:t xml:space="preserve"> </w:t>
      </w:r>
      <w:r>
        <w:rPr>
          <w:iCs/>
          <w:i/>
        </w:rPr>
        <w:t xml:space="preserve">saṃtoṣavannu uṃṭumāḍuva, eṃdare āśraya-bhūtavāda, mukhya saṃcāra-māḍalu avakāśavuḷḷa</w:t>
      </w:r>
      <w:r>
        <w:t xml:space="preserve">].</w:t>
      </w:r>
    </w:p>
    <w:p>
      <w:pPr>
        <w:pStyle w:val="FirstParagraph"/>
      </w:pPr>
      <w:r>
        <w:rPr>
          <w:bCs/>
          <w:b/>
        </w:rPr>
        <w:t xml:space="preserve">॥ Vyākaraṇa-prakriyā — Grammatical Derivation, Kannada commentary (characterized) ॥</w:t>
      </w:r>
    </w:p>
    <w:p>
      <w:pPr>
        <w:numPr>
          <w:ilvl w:val="0"/>
          <w:numId w:val="1036"/>
        </w:numPr>
        <w:pStyle w:val="Compact"/>
      </w:pPr>
      <w:r>
        <w:rPr>
          <w:bCs/>
          <w:b/>
        </w:rPr>
        <w:t xml:space="preserve">“</w:t>
      </w:r>
      <w:r>
        <w:rPr>
          <w:bCs/>
          <w:b/>
        </w:rPr>
        <w:t xml:space="preserve">Itaḥ</w:t>
      </w:r>
      <w:r>
        <w:rPr>
          <w:bCs/>
          <w:b/>
        </w:rPr>
        <w:t xml:space="preserve">”</w:t>
      </w:r>
      <w:r>
        <w:rPr>
          <w:bCs/>
          <w:b/>
        </w:rPr>
        <w:t xml:space="preserve"> </w:t>
      </w:r>
      <w:r>
        <w:rPr>
          <w:bCs/>
          <w:b/>
        </w:rPr>
        <w:t xml:space="preserve">(इतः,</w:t>
      </w:r>
      <w:r>
        <w:rPr>
          <w:bCs/>
          <w:b/>
        </w:rPr>
        <w:t xml:space="preserve"> </w:t>
      </w:r>
      <w:r>
        <w:rPr>
          <w:iCs/>
          <w:i/>
          <w:bCs/>
          <w:b/>
        </w:rPr>
        <w:t xml:space="preserve">itaḥ</w:t>
      </w:r>
      <w:r>
        <w:rPr>
          <w:bCs/>
          <w:b/>
        </w:rPr>
        <w:t xml:space="preserve">).</w:t>
      </w:r>
      <w:r>
        <w:t xml:space="preserve"> </w:t>
      </w:r>
      <w:r>
        <w:t xml:space="preserve">Since</w:t>
      </w:r>
      <w:r>
        <w:t xml:space="preserve"> </w:t>
      </w:r>
      <w:r>
        <w:t xml:space="preserve">“</w:t>
      </w:r>
      <w:r>
        <w:t xml:space="preserve">idam</w:t>
      </w:r>
      <w:r>
        <w:t xml:space="preserve">”</w:t>
      </w:r>
      <w:r>
        <w:t xml:space="preserve"> </w:t>
      </w:r>
      <w:r>
        <w:t xml:space="preserve">is a fifth-case word,</w:t>
      </w:r>
      <w:r>
        <w:t xml:space="preserve"> </w:t>
      </w:r>
      <w:r>
        <w:t xml:space="preserve">“</w:t>
      </w:r>
      <w:r>
        <w:t xml:space="preserve">tasil</w:t>
      </w:r>
      <w:r>
        <w:t xml:space="preserve">”</w:t>
      </w:r>
      <w:r>
        <w:t xml:space="preserve"> </w:t>
      </w:r>
      <w:r>
        <w:t xml:space="preserve">is added by</w:t>
      </w:r>
      <w:r>
        <w:t xml:space="preserve"> </w:t>
      </w:r>
      <w:r>
        <w:rPr>
          <w:bCs/>
          <w:b/>
        </w:rPr>
        <w:t xml:space="preserve">पञ्चम्यास्तसिल्</w:t>
      </w:r>
      <w:r>
        <w:t xml:space="preserve"> </w:t>
      </w:r>
      <w:r>
        <w:t xml:space="preserve">(</w:t>
      </w:r>
      <w:r>
        <w:rPr>
          <w:iCs/>
          <w:i/>
        </w:rPr>
        <w:t xml:space="preserve">pañcamyās tasil</w:t>
      </w:r>
      <w:r>
        <w:t xml:space="preserve">, पा. सू. ५-३-७), and the fifth-case ending is elided (luk) after the</w:t>
      </w:r>
      <w:r>
        <w:t xml:space="preserve"> </w:t>
      </w:r>
      <w:r>
        <w:t xml:space="preserve">“</w:t>
      </w:r>
      <w:r>
        <w:t xml:space="preserve">tasil.</w:t>
      </w:r>
      <w:r>
        <w:t xml:space="preserve">”</w:t>
      </w:r>
      <w:r>
        <w:t xml:space="preserve"> </w:t>
      </w:r>
      <w:r>
        <w:t xml:space="preserve">Then</w:t>
      </w:r>
      <w:r>
        <w:t xml:space="preserve"> </w:t>
      </w:r>
      <w:r>
        <w:t xml:space="preserve">“</w:t>
      </w:r>
      <w:r>
        <w:t xml:space="preserve">idam + tasil</w:t>
      </w:r>
      <w:r>
        <w:t xml:space="preserve">”</w:t>
      </w:r>
      <w:r>
        <w:t xml:space="preserve">: by</w:t>
      </w:r>
      <w:r>
        <w:t xml:space="preserve"> </w:t>
      </w:r>
      <w:r>
        <w:rPr>
          <w:bCs/>
          <w:b/>
        </w:rPr>
        <w:t xml:space="preserve">इदम इश्</w:t>
      </w:r>
      <w:r>
        <w:t xml:space="preserve"> </w:t>
      </w:r>
      <w:r>
        <w:t xml:space="preserve">(</w:t>
      </w:r>
      <w:r>
        <w:rPr>
          <w:iCs/>
          <w:i/>
        </w:rPr>
        <w:t xml:space="preserve">idama iś</w:t>
      </w:r>
      <w:r>
        <w:t xml:space="preserve">,</w:t>
      </w:r>
      <w:r>
        <w:t xml:space="preserve"> </w:t>
      </w:r>
      <w:r>
        <w:t xml:space="preserve">“</w:t>
      </w:r>
      <w:r>
        <w:t xml:space="preserve">‘</w:t>
      </w:r>
      <w:r>
        <w:t xml:space="preserve">iś</w:t>
      </w:r>
      <w:r>
        <w:t xml:space="preserve">’</w:t>
      </w:r>
      <w:r>
        <w:t xml:space="preserve"> </w:t>
      </w:r>
      <w:r>
        <w:t xml:space="preserve">replaces</w:t>
      </w:r>
      <w:r>
        <w:t xml:space="preserve"> </w:t>
      </w:r>
      <w:r>
        <w:t xml:space="preserve">‘</w:t>
      </w:r>
      <w:r>
        <w:t xml:space="preserve">idam</w:t>
      </w:r>
      <w:r>
        <w:t xml:space="preserve">’</w:t>
      </w:r>
      <w:r>
        <w:t xml:space="preserve"> </w:t>
      </w:r>
      <w:r>
        <w:t xml:space="preserve">before a</w:t>
      </w:r>
      <w:r>
        <w:t xml:space="preserve"> </w:t>
      </w:r>
      <w:r>
        <w:t xml:space="preserve">‘</w:t>
      </w:r>
      <w:r>
        <w:t xml:space="preserve">prāg-diśīya</w:t>
      </w:r>
      <w:r>
        <w:t xml:space="preserve">’</w:t>
      </w:r>
      <w:r>
        <w:t xml:space="preserve"> </w:t>
      </w:r>
      <w:r>
        <w:t xml:space="preserve">affix,</w:t>
      </w:r>
      <w:r>
        <w:t xml:space="preserve">”</w:t>
      </w:r>
      <w:r>
        <w:t xml:space="preserve"> </w:t>
      </w:r>
      <w:r>
        <w:t xml:space="preserve">पा. ५-३-३)</w:t>
      </w:r>
      <w:r>
        <w:t xml:space="preserve"> </w:t>
      </w:r>
      <w:r>
        <w:t xml:space="preserve">“</w:t>
      </w:r>
      <w:r>
        <w:t xml:space="preserve">idam</w:t>
      </w:r>
      <w:r>
        <w:t xml:space="preserve">”</w:t>
      </w:r>
      <w:r>
        <w:t xml:space="preserve"> </w:t>
      </w:r>
      <w:r>
        <w:t xml:space="preserve">gets the substitute</w:t>
      </w:r>
      <w:r>
        <w:t xml:space="preserve"> </w:t>
      </w:r>
      <w:r>
        <w:t xml:space="preserve">“</w:t>
      </w:r>
      <w:r>
        <w:t xml:space="preserve">iś.</w:t>
      </w:r>
      <w:r>
        <w:t xml:space="preserve">”</w:t>
      </w:r>
      <w:r>
        <w:t xml:space="preserve"> </w:t>
      </w:r>
      <w:r>
        <w:t xml:space="preserve">Since</w:t>
      </w:r>
      <w:r>
        <w:t xml:space="preserve"> </w:t>
      </w:r>
      <w:r>
        <w:t xml:space="preserve">“</w:t>
      </w:r>
      <w:r>
        <w:t xml:space="preserve">iś</w:t>
      </w:r>
      <w:r>
        <w:t xml:space="preserve">”</w:t>
      </w:r>
      <w:r>
        <w:t xml:space="preserve"> </w:t>
      </w:r>
      <w:r>
        <w:t xml:space="preserve">is</w:t>
      </w:r>
      <w:r>
        <w:t xml:space="preserve"> </w:t>
      </w:r>
      <w:r>
        <w:t xml:space="preserve">“</w:t>
      </w:r>
      <w:r>
        <w:t xml:space="preserve">śit,</w:t>
      </w:r>
      <w:r>
        <w:t xml:space="preserve">”</w:t>
      </w:r>
      <w:r>
        <w:t xml:space="preserve"> </w:t>
      </w:r>
      <w:r>
        <w:t xml:space="preserve">by the paribhāṣā</w:t>
      </w:r>
      <w:r>
        <w:t xml:space="preserve"> </w:t>
      </w:r>
      <w:r>
        <w:rPr>
          <w:bCs/>
          <w:b/>
        </w:rPr>
        <w:t xml:space="preserve">अनेकाल् शित् सर्वस्य</w:t>
      </w:r>
      <w:r>
        <w:t xml:space="preserve"> </w:t>
      </w:r>
      <w:r>
        <w:t xml:space="preserve">(</w:t>
      </w:r>
      <w:r>
        <w:rPr>
          <w:iCs/>
          <w:i/>
        </w:rPr>
        <w:t xml:space="preserve">anekāl śit sarvasya</w:t>
      </w:r>
      <w:r>
        <w:t xml:space="preserve">, पा. १-१-५५) it takes the place of the whole of</w:t>
      </w:r>
      <w:r>
        <w:t xml:space="preserve"> </w:t>
      </w:r>
      <w:r>
        <w:t xml:space="preserve">“</w:t>
      </w:r>
      <w:r>
        <w:t xml:space="preserve">idam.</w:t>
      </w:r>
      <w:r>
        <w:t xml:space="preserve">”</w:t>
      </w:r>
      <w:r>
        <w:t xml:space="preserve"> </w:t>
      </w:r>
      <w:r>
        <w:t xml:space="preserve">Then</w:t>
      </w:r>
      <w:r>
        <w:t xml:space="preserve"> </w:t>
      </w:r>
      <w:r>
        <w:t xml:space="preserve">“</w:t>
      </w:r>
      <w:r>
        <w:t xml:space="preserve">i + tas</w:t>
      </w:r>
      <w:r>
        <w:t xml:space="preserve">”</w:t>
      </w:r>
      <w:r>
        <w:t xml:space="preserve"> </w:t>
      </w:r>
      <w:r>
        <w:t xml:space="preserve">→ with</w:t>
      </w:r>
      <w:r>
        <w:t xml:space="preserve"> </w:t>
      </w:r>
      <w:r>
        <w:t xml:space="preserve">“</w:t>
      </w:r>
      <w:r>
        <w:t xml:space="preserve">ru</w:t>
      </w:r>
      <w:r>
        <w:t xml:space="preserve">”</w:t>
      </w:r>
      <w:r>
        <w:t xml:space="preserve"> </w:t>
      </w:r>
      <w:r>
        <w:t xml:space="preserve">and visarga:</w:t>
      </w:r>
      <w:r>
        <w:t xml:space="preserve"> </w:t>
      </w:r>
      <w:r>
        <w:t xml:space="preserve">“</w:t>
      </w:r>
      <w:r>
        <w:t xml:space="preserve">itaḥ.</w:t>
      </w:r>
      <w:r>
        <w:t xml:space="preserve">”</w:t>
      </w:r>
    </w:p>
    <w:p>
      <w:pPr>
        <w:numPr>
          <w:ilvl w:val="0"/>
          <w:numId w:val="1036"/>
        </w:numPr>
        <w:pStyle w:val="Compact"/>
      </w:pPr>
      <w:r>
        <w:t xml:space="preserve">The print then takes up the accent.</w:t>
      </w:r>
      <w:r>
        <w:t xml:space="preserve"> </w:t>
      </w:r>
      <w:r>
        <w:rPr>
          <w:bCs/>
          <w:b/>
        </w:rPr>
        <w:t xml:space="preserve">ऊडिदंपदाद्यप्पुम्रैद्युभ्यः</w:t>
      </w:r>
      <w:r>
        <w:t xml:space="preserve"> </w:t>
      </w:r>
      <w:r>
        <w:t xml:space="preserve">(पा. सू. ६-१-१७१) — after the substitute</w:t>
      </w:r>
      <w:r>
        <w:t xml:space="preserve"> </w:t>
      </w:r>
      <w:r>
        <w:t xml:space="preserve">“</w:t>
      </w:r>
      <w:r>
        <w:t xml:space="preserve">ūṭh,</w:t>
      </w:r>
      <w:r>
        <w:t xml:space="preserve">”</w:t>
      </w:r>
      <w:r>
        <w:t xml:space="preserve"> </w:t>
      </w:r>
      <w:r>
        <w:t xml:space="preserve">after</w:t>
      </w:r>
      <w:r>
        <w:t xml:space="preserve"> </w:t>
      </w:r>
      <w:r>
        <w:t xml:space="preserve">“</w:t>
      </w:r>
      <w:r>
        <w:t xml:space="preserve">idam,</w:t>
      </w:r>
      <w:r>
        <w:t xml:space="preserve">”</w:t>
      </w:r>
      <w:r>
        <w:t xml:space="preserve"> </w:t>
      </w:r>
      <w:r>
        <w:t xml:space="preserve">after the six</w:t>
      </w:r>
      <w:r>
        <w:t xml:space="preserve"> </w:t>
      </w:r>
      <w:r>
        <w:t xml:space="preserve">“</w:t>
      </w:r>
      <w:r>
        <w:t xml:space="preserve">pad</w:t>
      </w:r>
      <w:r>
        <w:t xml:space="preserve">”</w:t>
      </w:r>
      <w:r>
        <w:t xml:space="preserve">-etc. substitutes taught by</w:t>
      </w:r>
      <w:r>
        <w:t xml:space="preserve"> </w:t>
      </w:r>
      <w:r>
        <w:rPr>
          <w:bCs/>
          <w:b/>
        </w:rPr>
        <w:t xml:space="preserve">पद्दन्नोमास्हृन्निशसन्…</w:t>
      </w:r>
      <w:r>
        <w:t xml:space="preserve"> </w:t>
      </w:r>
      <w:r>
        <w:t xml:space="preserve">(पा. सू. ६-१-६३), and after</w:t>
      </w:r>
      <w:r>
        <w:t xml:space="preserve"> </w:t>
      </w:r>
      <w:r>
        <w:t xml:space="preserve">“</w:t>
      </w:r>
      <w:r>
        <w:t xml:space="preserve">ap, pum, rai, div</w:t>
      </w:r>
      <w:r>
        <w:t xml:space="preserve">”</w:t>
      </w:r>
      <w:r>
        <w:t xml:space="preserve"> </w:t>
      </w:r>
      <w:r>
        <w:t xml:space="preserve">(monosyllabic and end-acute), a non-sarvanāmasthāna case-ending is acute; this sūtra has its own scope where</w:t>
      </w:r>
      <w:r>
        <w:t xml:space="preserve"> </w:t>
      </w:r>
      <w:r>
        <w:rPr>
          <w:bCs/>
          <w:b/>
        </w:rPr>
        <w:t xml:space="preserve">लिति</w:t>
      </w:r>
      <w:r>
        <w:t xml:space="preserve"> </w:t>
      </w:r>
      <w:r>
        <w:t xml:space="preserve">(पा. सू. ६-१-१९३) does not apply, in</w:t>
      </w:r>
      <w:r>
        <w:t xml:space="preserve"> </w:t>
      </w:r>
      <w:r>
        <w:t xml:space="preserve">“</w:t>
      </w:r>
      <w:r>
        <w:t xml:space="preserve">ābhyām, ābhiḥ</w:t>
      </w:r>
      <w:r>
        <w:t xml:space="preserve">”</w:t>
      </w:r>
      <w:r>
        <w:t xml:space="preserve">;</w:t>
      </w:r>
      <w:r>
        <w:t xml:space="preserve"> </w:t>
      </w:r>
      <w:r>
        <w:t xml:space="preserve">“</w:t>
      </w:r>
      <w:r>
        <w:t xml:space="preserve">liti</w:t>
      </w:r>
      <w:r>
        <w:t xml:space="preserve">”</w:t>
      </w:r>
      <w:r>
        <w:t xml:space="preserve"> </w:t>
      </w:r>
      <w:r>
        <w:t xml:space="preserve">— the syllable before an</w:t>
      </w:r>
      <w:r>
        <w:t xml:space="preserve"> </w:t>
      </w:r>
      <w:r>
        <w:t xml:space="preserve">“</w:t>
      </w:r>
      <w:r>
        <w:t xml:space="preserve">l</w:t>
      </w:r>
      <w:r>
        <w:t xml:space="preserve">”</w:t>
      </w:r>
      <w:r>
        <w:t xml:space="preserve">-marked affix is acute — has its own scope where</w:t>
      </w:r>
      <w:r>
        <w:t xml:space="preserve"> </w:t>
      </w:r>
      <w:r>
        <w:t xml:space="preserve">“</w:t>
      </w:r>
      <w:r>
        <w:t xml:space="preserve">ūḍidam…</w:t>
      </w:r>
      <w:r>
        <w:t xml:space="preserve">”</w:t>
      </w:r>
      <w:r>
        <w:t xml:space="preserve"> </w:t>
      </w:r>
      <w:r>
        <w:t xml:space="preserve">does not come, in</w:t>
      </w:r>
      <w:r>
        <w:t xml:space="preserve"> </w:t>
      </w:r>
      <w:r>
        <w:t xml:space="preserve">“</w:t>
      </w:r>
      <w:r>
        <w:t xml:space="preserve">pacanam</w:t>
      </w:r>
      <w:r>
        <w:t xml:space="preserve">”</w:t>
      </w:r>
      <w:r>
        <w:t xml:space="preserve"> </w:t>
      </w:r>
      <w:r>
        <w:t xml:space="preserve">(with</w:t>
      </w:r>
      <w:r>
        <w:t xml:space="preserve"> </w:t>
      </w:r>
      <w:r>
        <w:t xml:space="preserve">“</w:t>
      </w:r>
      <w:r>
        <w:t xml:space="preserve">lyu</w:t>
      </w:r>
      <w:r>
        <w:t xml:space="preserve">”</w:t>
      </w:r>
      <w:r>
        <w:t xml:space="preserve">) and</w:t>
      </w:r>
      <w:r>
        <w:t xml:space="preserve"> </w:t>
      </w:r>
      <w:r>
        <w:t xml:space="preserve">“</w:t>
      </w:r>
      <w:r>
        <w:t xml:space="preserve">pācakaḥ</w:t>
      </w:r>
      <w:r>
        <w:t xml:space="preserve">”</w:t>
      </w:r>
      <w:r>
        <w:t xml:space="preserve"> </w:t>
      </w:r>
      <w:r>
        <w:t xml:space="preserve">(with</w:t>
      </w:r>
      <w:r>
        <w:t xml:space="preserve"> </w:t>
      </w:r>
      <w:r>
        <w:t xml:space="preserve">“</w:t>
      </w:r>
      <w:r>
        <w:t xml:space="preserve">ṇvul</w:t>
      </w:r>
      <w:r>
        <w:t xml:space="preserve">”</w:t>
      </w:r>
      <w:r>
        <w:t xml:space="preserve">). Neither can be called alone</w:t>
      </w:r>
      <w:r>
        <w:t xml:space="preserve"> </w:t>
      </w:r>
      <w:r>
        <w:t xml:space="preserve">“</w:t>
      </w:r>
      <w:r>
        <w:t xml:space="preserve">nitya</w:t>
      </w:r>
      <w:r>
        <w:t xml:space="preserve">”</w:t>
      </w:r>
      <w:r>
        <w:t xml:space="preserve">: by</w:t>
      </w:r>
      <w:r>
        <w:t xml:space="preserve"> </w:t>
      </w:r>
      <w:r>
        <w:t xml:space="preserve">“</w:t>
      </w:r>
      <w:r>
        <w:t xml:space="preserve">kṛtākṛtaprasaṅgitvaṃ nityatvam</w:t>
      </w:r>
      <w:r>
        <w:t xml:space="preserve">”</w:t>
      </w:r>
      <w:r>
        <w:t xml:space="preserve"> </w:t>
      </w:r>
      <w:r>
        <w:t xml:space="preserve">a rule is nitya if it applies whether or not the other has been applied; here</w:t>
      </w:r>
      <w:r>
        <w:t xml:space="preserve"> </w:t>
      </w:r>
      <w:r>
        <w:t xml:space="preserve">“</w:t>
      </w:r>
      <w:r>
        <w:t xml:space="preserve">liti</w:t>
      </w:r>
      <w:r>
        <w:t xml:space="preserve">”</w:t>
      </w:r>
      <w:r>
        <w:t xml:space="preserve"> </w:t>
      </w:r>
      <w:r>
        <w:t xml:space="preserve">stays applicable whether</w:t>
      </w:r>
      <w:r>
        <w:t xml:space="preserve"> </w:t>
      </w:r>
      <w:r>
        <w:t xml:space="preserve">“</w:t>
      </w:r>
      <w:r>
        <w:t xml:space="preserve">ūḍidam</w:t>
      </w:r>
      <w:r>
        <w:t xml:space="preserve">”</w:t>
      </w:r>
      <w:r>
        <w:t xml:space="preserve"> </w:t>
      </w:r>
      <w:r>
        <w:t xml:space="preserve">is applied or not, and</w:t>
      </w:r>
      <w:r>
        <w:t xml:space="preserve"> </w:t>
      </w:r>
      <w:r>
        <w:t xml:space="preserve">“</w:t>
      </w:r>
      <w:r>
        <w:t xml:space="preserve">ūḍidam</w:t>
      </w:r>
      <w:r>
        <w:t xml:space="preserve">”</w:t>
      </w:r>
      <w:r>
        <w:t xml:space="preserve"> </w:t>
      </w:r>
      <w:r>
        <w:t xml:space="preserve">whether</w:t>
      </w:r>
      <w:r>
        <w:t xml:space="preserve"> </w:t>
      </w:r>
      <w:r>
        <w:t xml:space="preserve">“</w:t>
      </w:r>
      <w:r>
        <w:t xml:space="preserve">liti</w:t>
      </w:r>
      <w:r>
        <w:t xml:space="preserve">”</w:t>
      </w:r>
      <w:r>
        <w:t xml:space="preserve"> </w:t>
      </w:r>
      <w:r>
        <w:t xml:space="preserve">is applied or not; so both are nitya, and neither prevails as the nitya rule. The argument continues onto the next page.</w:t>
      </w:r>
    </w:p>
    <w:bookmarkEnd w:id="288"/>
    <w:bookmarkStart w:id="289" w:name="X2030e7ad46636c065b5afbd555b29abd21dc6b3"/>
    <w:p>
      <w:pPr>
        <w:pStyle w:val="Heading3"/>
      </w:pPr>
      <w:r>
        <w:t xml:space="preserve">Pages 254–255 — Rik 6.10: Kannada grammar (vipratiṣedha argument;</w:t>
      </w:r>
      <w:r>
        <w:t xml:space="preserve"> </w:t>
      </w:r>
      <w:r>
        <w:t xml:space="preserve">“</w:t>
      </w:r>
      <w:r>
        <w:t xml:space="preserve">sātim,</w:t>
      </w:r>
      <w:r>
        <w:t xml:space="preserve">”</w:t>
      </w:r>
      <w:r>
        <w:t xml:space="preserve"> </w:t>
      </w:r>
      <w:r>
        <w:t xml:space="preserve">“</w:t>
      </w:r>
      <w:r>
        <w:t xml:space="preserve">īmahe</w:t>
      </w:r>
      <w:r>
        <w:t xml:space="preserve">”</w:t>
      </w:r>
      <w:r>
        <w:t xml:space="preserve">)</w:t>
      </w:r>
    </w:p>
    <w:p>
      <w:pPr>
        <w:pStyle w:val="FirstParagraph"/>
      </w:pPr>
      <w:r>
        <w:rPr>
          <w:iCs/>
          <w:i/>
        </w:rPr>
        <w:t xml:space="preserve">(Page 254 header:</w:t>
      </w:r>
      <w:r>
        <w:rPr>
          <w:iCs/>
          <w:i/>
        </w:rPr>
        <w:t xml:space="preserve"> </w:t>
      </w:r>
      <w:r>
        <w:rPr>
          <w:iCs/>
          <w:i/>
        </w:rPr>
        <w:t xml:space="preserve">“</w:t>
      </w:r>
      <w:r>
        <w:rPr>
          <w:iCs/>
          <w:i/>
        </w:rPr>
        <w:t xml:space="preserve">Maṇ. 1, A. 2, Sū. 6</w:t>
      </w:r>
      <w:r>
        <w:rPr>
          <w:iCs/>
          <w:i/>
        </w:rPr>
        <w:t xml:space="preserve">”</w:t>
      </w:r>
      <w:r>
        <w:rPr>
          <w:iCs/>
          <w:i/>
        </w:rPr>
        <w:t xml:space="preserve">; p. 255 header:</w:t>
      </w:r>
      <w:r>
        <w:rPr>
          <w:iCs/>
          <w:i/>
        </w:rPr>
        <w:t xml:space="preserve"> </w:t>
      </w:r>
      <w:r>
        <w:rPr>
          <w:iCs/>
          <w:i/>
        </w:rPr>
        <w:t xml:space="preserve">“</w:t>
      </w:r>
      <w:r>
        <w:rPr>
          <w:iCs/>
          <w:i/>
        </w:rPr>
        <w:t xml:space="preserve">A. 1, A. 1, Va. 12</w:t>
      </w:r>
      <w:r>
        <w:rPr>
          <w:iCs/>
          <w:i/>
        </w:rPr>
        <w:t xml:space="preserve">”</w:t>
      </w:r>
      <w:r>
        <w:rPr>
          <w:iCs/>
          <w:i/>
        </w:rPr>
        <w:t xml:space="preserve">. Characterized in outline; re-read from the better scan, with the printed numbers.)</w:t>
      </w:r>
    </w:p>
    <w:p>
      <w:pPr>
        <w:pStyle w:val="BodyText"/>
      </w:pPr>
      <w:r>
        <w:rPr>
          <w:bCs/>
          <w:b/>
        </w:rPr>
        <w:t xml:space="preserve">The</w:t>
      </w:r>
      <w:r>
        <w:rPr>
          <w:bCs/>
          <w:b/>
        </w:rPr>
        <w:t xml:space="preserve"> </w:t>
      </w:r>
      <w:r>
        <w:rPr>
          <w:bCs/>
          <w:b/>
        </w:rPr>
        <w:t xml:space="preserve">“</w:t>
      </w:r>
      <w:r>
        <w:rPr>
          <w:bCs/>
          <w:b/>
        </w:rPr>
        <w:t xml:space="preserve">itaḥ</w:t>
      </w:r>
      <w:r>
        <w:rPr>
          <w:bCs/>
          <w:b/>
        </w:rPr>
        <w:t xml:space="preserve">”</w:t>
      </w:r>
      <w:r>
        <w:rPr>
          <w:bCs/>
          <w:b/>
        </w:rPr>
        <w:t xml:space="preserve"> </w:t>
      </w:r>
      <w:r>
        <w:rPr>
          <w:bCs/>
          <w:b/>
        </w:rPr>
        <w:t xml:space="preserve">accent conflict (continued from p. 253).</w:t>
      </w:r>
      <w:r>
        <w:t xml:space="preserve"> </w:t>
      </w:r>
      <w:r>
        <w:t xml:space="preserve">Both rules reach</w:t>
      </w:r>
      <w:r>
        <w:t xml:space="preserve"> </w:t>
      </w:r>
      <w:r>
        <w:t xml:space="preserve">“</w:t>
      </w:r>
      <w:r>
        <w:t xml:space="preserve">itaḥ.</w:t>
      </w:r>
      <w:r>
        <w:t xml:space="preserve">”</w:t>
      </w:r>
      <w:r>
        <w:t xml:space="preserve"> </w:t>
      </w:r>
      <w:r>
        <w:t xml:space="preserve">Which applies?</w:t>
      </w:r>
      <w:r>
        <w:t xml:space="preserve"> </w:t>
      </w:r>
      <w:r>
        <w:rPr>
          <w:bCs/>
          <w:b/>
        </w:rPr>
        <w:t xml:space="preserve">विप्रतिषेधे परं कार्यम्</w:t>
      </w:r>
      <w:r>
        <w:t xml:space="preserve"> </w:t>
      </w:r>
      <w:r>
        <w:t xml:space="preserve">(पा. सू. १-४-२):</w:t>
      </w:r>
      <w:r>
        <w:t xml:space="preserve"> </w:t>
      </w:r>
      <w:r>
        <w:t xml:space="preserve">“</w:t>
      </w:r>
      <w:r>
        <w:t xml:space="preserve">vipratiṣedha</w:t>
      </w:r>
      <w:r>
        <w:t xml:space="preserve">”</w:t>
      </w:r>
      <w:r>
        <w:t xml:space="preserve"> </w:t>
      </w:r>
      <w:r>
        <w:t xml:space="preserve">is the simultaneous application, to one form at one time, of two rules each of which has its own scope elsewhere; then the later rule operates. So the later</w:t>
      </w:r>
      <w:r>
        <w:t xml:space="preserve"> </w:t>
      </w:r>
      <w:r>
        <w:t xml:space="preserve">“</w:t>
      </w:r>
      <w:r>
        <w:t xml:space="preserve">liti</w:t>
      </w:r>
      <w:r>
        <w:t xml:space="preserve">”</w:t>
      </w:r>
      <w:r>
        <w:t xml:space="preserve"> </w:t>
      </w:r>
      <w:r>
        <w:t xml:space="preserve">makes the</w:t>
      </w:r>
      <w:r>
        <w:t xml:space="preserve"> </w:t>
      </w:r>
      <w:r>
        <w:t xml:space="preserve">“</w:t>
      </w:r>
      <w:r>
        <w:t xml:space="preserve">i</w:t>
      </w:r>
      <w:r>
        <w:t xml:space="preserve">”</w:t>
      </w:r>
      <w:r>
        <w:t xml:space="preserve"> </w:t>
      </w:r>
      <w:r>
        <w:t xml:space="preserve">acute. Next, by</w:t>
      </w:r>
      <w:r>
        <w:t xml:space="preserve"> </w:t>
      </w:r>
      <w:r>
        <w:rPr>
          <w:bCs/>
          <w:b/>
        </w:rPr>
        <w:t xml:space="preserve">प्राग्दिशो विभक्तिः</w:t>
      </w:r>
      <w:r>
        <w:t xml:space="preserve"> </w:t>
      </w:r>
      <w:r>
        <w:t xml:space="preserve">(पा. सू. ५-३-१), the affixes taught from there up to</w:t>
      </w:r>
      <w:r>
        <w:t xml:space="preserve"> </w:t>
      </w:r>
      <w:r>
        <w:rPr>
          <w:bCs/>
          <w:b/>
        </w:rPr>
        <w:t xml:space="preserve">दिक्शब्देभ्यः…</w:t>
      </w:r>
      <w:r>
        <w:t xml:space="preserve"> </w:t>
      </w:r>
      <w:r>
        <w:t xml:space="preserve">(पा. सू. ५-३-२७) are called</w:t>
      </w:r>
      <w:r>
        <w:t xml:space="preserve"> </w:t>
      </w:r>
      <w:r>
        <w:t xml:space="preserve">“</w:t>
      </w:r>
      <w:r>
        <w:t xml:space="preserve">vibhakti,</w:t>
      </w:r>
      <w:r>
        <w:t xml:space="preserve">”</w:t>
      </w:r>
      <w:r>
        <w:t xml:space="preserve"> </w:t>
      </w:r>
      <w:r>
        <w:t xml:space="preserve">so</w:t>
      </w:r>
      <w:r>
        <w:t xml:space="preserve"> </w:t>
      </w:r>
      <w:r>
        <w:t xml:space="preserve">“</w:t>
      </w:r>
      <w:r>
        <w:t xml:space="preserve">tasil</w:t>
      </w:r>
      <w:r>
        <w:t xml:space="preserve">”</w:t>
      </w:r>
      <w:r>
        <w:t xml:space="preserve"> </w:t>
      </w:r>
      <w:r>
        <w:t xml:space="preserve">is a vibhakti, and by</w:t>
      </w:r>
      <w:r>
        <w:t xml:space="preserve"> </w:t>
      </w:r>
      <w:r>
        <w:rPr>
          <w:bCs/>
          <w:b/>
        </w:rPr>
        <w:t xml:space="preserve">ऊडिदम्…</w:t>
      </w:r>
      <w:r>
        <w:t xml:space="preserve"> </w:t>
      </w:r>
      <w:r>
        <w:t xml:space="preserve">(पा. सू.</w:t>
      </w:r>
      <w:r>
        <w:t xml:space="preserve"> </w:t>
      </w:r>
      <w:r>
        <w:t xml:space="preserve">“</w:t>
      </w:r>
      <w:r>
        <w:t xml:space="preserve">६-१७१</w:t>
      </w:r>
      <w:r>
        <w:t xml:space="preserve">”</w:t>
      </w:r>
      <w:r>
        <w:t xml:space="preserve"> </w:t>
      </w:r>
      <w:r>
        <w:t xml:space="preserve">as printed) the non-sarvanāmasthāna vibhakti</w:t>
      </w:r>
      <w:r>
        <w:t xml:space="preserve"> </w:t>
      </w:r>
      <w:r>
        <w:t xml:space="preserve">“</w:t>
      </w:r>
      <w:r>
        <w:t xml:space="preserve">tasil</w:t>
      </w:r>
      <w:r>
        <w:t xml:space="preserve">”</w:t>
      </w:r>
      <w:r>
        <w:t xml:space="preserve"> </w:t>
      </w:r>
      <w:r>
        <w:t xml:space="preserve">after</w:t>
      </w:r>
      <w:r>
        <w:t xml:space="preserve"> </w:t>
      </w:r>
      <w:r>
        <w:t xml:space="preserve">“</w:t>
      </w:r>
      <w:r>
        <w:t xml:space="preserve">idam</w:t>
      </w:r>
      <w:r>
        <w:t xml:space="preserve">”</w:t>
      </w:r>
      <w:r>
        <w:t xml:space="preserve"> </w:t>
      </w:r>
      <w:r>
        <w:t xml:space="preserve">would be acute. But by</w:t>
      </w:r>
      <w:r>
        <w:t xml:space="preserve"> </w:t>
      </w:r>
      <w:r>
        <w:rPr>
          <w:bCs/>
          <w:b/>
        </w:rPr>
        <w:t xml:space="preserve">सकृद्गतौ विप्रतिषेधे यद्बाधितं तद्बाधितमेव</w:t>
      </w:r>
      <w:r>
        <w:t xml:space="preserve"> </w:t>
      </w:r>
      <w:r>
        <w:t xml:space="preserve">(परिभाषा ४०), what has once been set aside by</w:t>
      </w:r>
      <w:r>
        <w:t xml:space="preserve"> </w:t>
      </w:r>
      <w:r>
        <w:t xml:space="preserve">“</w:t>
      </w:r>
      <w:r>
        <w:t xml:space="preserve">vipratiṣedhe param</w:t>
      </w:r>
      <w:r>
        <w:t xml:space="preserve">”</w:t>
      </w:r>
      <w:r>
        <w:t xml:space="preserve"> </w:t>
      </w:r>
      <w:r>
        <w:t xml:space="preserve">stays set aside —</w:t>
      </w:r>
      <w:r>
        <w:t xml:space="preserve"> </w:t>
      </w:r>
      <w:r>
        <w:t xml:space="preserve">“</w:t>
      </w:r>
      <w:r>
        <w:t xml:space="preserve">param</w:t>
      </w:r>
      <w:r>
        <w:t xml:space="preserve">”</w:t>
      </w:r>
      <w:r>
        <w:t xml:space="preserve"> </w:t>
      </w:r>
      <w:r>
        <w:t xml:space="preserve">being read as</w:t>
      </w:r>
      <w:r>
        <w:t xml:space="preserve"> </w:t>
      </w:r>
      <w:r>
        <w:t xml:space="preserve">“</w:t>
      </w:r>
      <w:r>
        <w:t xml:space="preserve">param eva,</w:t>
      </w:r>
      <w:r>
        <w:t xml:space="preserve">”</w:t>
      </w:r>
      <w:r>
        <w:t xml:space="preserve"> </w:t>
      </w:r>
      <w:r>
        <w:t xml:space="preserve">only the later rule — so</w:t>
      </w:r>
      <w:r>
        <w:t xml:space="preserve"> </w:t>
      </w:r>
      <w:r>
        <w:t xml:space="preserve">“</w:t>
      </w:r>
      <w:r>
        <w:t xml:space="preserve">ūḍidam</w:t>
      </w:r>
      <w:r>
        <w:t xml:space="preserve">”</w:t>
      </w:r>
      <w:r>
        <w:t xml:space="preserve"> </w:t>
      </w:r>
      <w:r>
        <w:t xml:space="preserve">does not apply again. Yet by</w:t>
      </w:r>
      <w:r>
        <w:t xml:space="preserve"> </w:t>
      </w:r>
      <w:r>
        <w:rPr>
          <w:bCs/>
          <w:b/>
        </w:rPr>
        <w:t xml:space="preserve">पुनःप्रसङ्गविज्ञानात्सिद्धम्</w:t>
      </w:r>
      <w:r>
        <w:t xml:space="preserve"> </w:t>
      </w:r>
      <w:r>
        <w:t xml:space="preserve">(परिभा. ३९),</w:t>
      </w:r>
      <w:r>
        <w:t xml:space="preserve"> </w:t>
      </w:r>
      <w:r>
        <w:t xml:space="preserve">“</w:t>
      </w:r>
      <w:r>
        <w:t xml:space="preserve">vipratiṣedhe param</w:t>
      </w:r>
      <w:r>
        <w:t xml:space="preserve">”</w:t>
      </w:r>
      <w:r>
        <w:t xml:space="preserve"> </w:t>
      </w:r>
      <w:r>
        <w:t xml:space="preserve">is so explained that a set-aside rule may apply again where it is again applicable, so that</w:t>
      </w:r>
      <w:r>
        <w:t xml:space="preserve"> </w:t>
      </w:r>
      <w:r>
        <w:t xml:space="preserve">“</w:t>
      </w:r>
      <w:r>
        <w:t xml:space="preserve">ūḍidam</w:t>
      </w:r>
      <w:r>
        <w:t xml:space="preserve">”</w:t>
      </w:r>
      <w:r>
        <w:t xml:space="preserve"> </w:t>
      </w:r>
      <w:r>
        <w:t xml:space="preserve">would apply again. The two paribhāṣās do not set each other aside; both operate as the attested forms require, and here</w:t>
      </w:r>
      <w:r>
        <w:t xml:space="preserve"> </w:t>
      </w:r>
      <w:r>
        <w:t xml:space="preserve">“</w:t>
      </w:r>
      <w:r>
        <w:t xml:space="preserve">punaḥprasaṅga</w:t>
      </w:r>
      <w:r>
        <w:t xml:space="preserve">”</w:t>
      </w:r>
      <w:r>
        <w:t xml:space="preserve"> </w:t>
      </w:r>
      <w:r>
        <w:t xml:space="preserve">decides. Then in</w:t>
      </w:r>
      <w:r>
        <w:t xml:space="preserve"> </w:t>
      </w:r>
      <w:r>
        <w:t xml:space="preserve">“</w:t>
      </w:r>
      <w:r>
        <w:t xml:space="preserve">yataḥ, tataḥ</w:t>
      </w:r>
      <w:r>
        <w:t xml:space="preserve">”</w:t>
      </w:r>
      <w:r>
        <w:t xml:space="preserve">:</w:t>
      </w:r>
      <w:r>
        <w:t xml:space="preserve"> </w:t>
      </w:r>
      <w:r>
        <w:rPr>
          <w:bCs/>
          <w:b/>
        </w:rPr>
        <w:t xml:space="preserve">सावेकाचस्तृतीयादिर्विभक्तिः</w:t>
      </w:r>
      <w:r>
        <w:t xml:space="preserve"> </w:t>
      </w:r>
      <w:r>
        <w:t xml:space="preserve">(पा. सू. ६-१-१६८) — after a word monosyllabic before the locative plural</w:t>
      </w:r>
      <w:r>
        <w:t xml:space="preserve"> </w:t>
      </w:r>
      <w:r>
        <w:t xml:space="preserve">“</w:t>
      </w:r>
      <w:r>
        <w:t xml:space="preserve">su,</w:t>
      </w:r>
      <w:r>
        <w:t xml:space="preserve">”</w:t>
      </w:r>
      <w:r>
        <w:t xml:space="preserve"> </w:t>
      </w:r>
      <w:r>
        <w:t xml:space="preserve">a third-and-following case-ending is acute — and</w:t>
      </w:r>
      <w:r>
        <w:t xml:space="preserve"> </w:t>
      </w:r>
      <w:r>
        <w:t xml:space="preserve">“</w:t>
      </w:r>
      <w:r>
        <w:t xml:space="preserve">liti</w:t>
      </w:r>
      <w:r>
        <w:t xml:space="preserve">”</w:t>
      </w:r>
      <w:r>
        <w:t xml:space="preserve"> </w:t>
      </w:r>
      <w:r>
        <w:t xml:space="preserve">(पा. सू. ६-१-१९३) both arise;</w:t>
      </w:r>
      <w:r>
        <w:t xml:space="preserve"> </w:t>
      </w:r>
      <w:r>
        <w:t xml:space="preserve">“</w:t>
      </w:r>
      <w:r>
        <w:t xml:space="preserve">liti,</w:t>
      </w:r>
      <w:r>
        <w:t xml:space="preserve">”</w:t>
      </w:r>
      <w:r>
        <w:t xml:space="preserve"> </w:t>
      </w:r>
      <w:r>
        <w:t xml:space="preserve">the later, sets</w:t>
      </w:r>
      <w:r>
        <w:t xml:space="preserve"> </w:t>
      </w:r>
      <w:r>
        <w:t xml:space="preserve">“</w:t>
      </w:r>
      <w:r>
        <w:t xml:space="preserve">sāv ekācaḥ</w:t>
      </w:r>
      <w:r>
        <w:t xml:space="preserve">”</w:t>
      </w:r>
      <w:r>
        <w:t xml:space="preserve"> </w:t>
      </w:r>
      <w:r>
        <w:t xml:space="preserve">aside, but by</w:t>
      </w:r>
      <w:r>
        <w:t xml:space="preserve"> </w:t>
      </w:r>
      <w:r>
        <w:t xml:space="preserve">“</w:t>
      </w:r>
      <w:r>
        <w:t xml:space="preserve">punaḥprasaṅga…</w:t>
      </w:r>
      <w:r>
        <w:t xml:space="preserve">”</w:t>
      </w:r>
      <w:r>
        <w:t xml:space="preserve"> </w:t>
      </w:r>
      <w:r>
        <w:t xml:space="preserve">(परिभा. ३९)</w:t>
      </w:r>
      <w:r>
        <w:t xml:space="preserve"> </w:t>
      </w:r>
      <w:r>
        <w:t xml:space="preserve">“</w:t>
      </w:r>
      <w:r>
        <w:t xml:space="preserve">sāv ekācaḥ</w:t>
      </w:r>
      <w:r>
        <w:t xml:space="preserve">”</w:t>
      </w:r>
      <w:r>
        <w:t xml:space="preserve"> </w:t>
      </w:r>
      <w:r>
        <w:t xml:space="preserve">might apply again and make</w:t>
      </w:r>
      <w:r>
        <w:t xml:space="preserve"> </w:t>
      </w:r>
      <w:r>
        <w:t xml:space="preserve">“</w:t>
      </w:r>
      <w:r>
        <w:t xml:space="preserve">tasil</w:t>
      </w:r>
      <w:r>
        <w:t xml:space="preserve">”</w:t>
      </w:r>
      <w:r>
        <w:t xml:space="preserve"> </w:t>
      </w:r>
      <w:r>
        <w:t xml:space="preserve">acute. But</w:t>
      </w:r>
      <w:r>
        <w:t xml:space="preserve"> </w:t>
      </w:r>
      <w:r>
        <w:t xml:space="preserve">“</w:t>
      </w:r>
      <w:r>
        <w:t xml:space="preserve">yat</w:t>
      </w:r>
      <w:r>
        <w:t xml:space="preserve">”</w:t>
      </w:r>
      <w:r>
        <w:t xml:space="preserve"> </w:t>
      </w:r>
      <w:r>
        <w:t xml:space="preserve">and</w:t>
      </w:r>
      <w:r>
        <w:t xml:space="preserve"> </w:t>
      </w:r>
      <w:r>
        <w:t xml:space="preserve">“</w:t>
      </w:r>
      <w:r>
        <w:t xml:space="preserve">tat,</w:t>
      </w:r>
      <w:r>
        <w:t xml:space="preserve">”</w:t>
      </w:r>
      <w:r>
        <w:t xml:space="preserve"> </w:t>
      </w:r>
      <w:r>
        <w:t xml:space="preserve">being</w:t>
      </w:r>
      <w:r>
        <w:t xml:space="preserve"> </w:t>
      </w:r>
      <w:r>
        <w:t xml:space="preserve">“</w:t>
      </w:r>
      <w:r>
        <w:t xml:space="preserve">a</w:t>
      </w:r>
      <w:r>
        <w:t xml:space="preserve">”</w:t>
      </w:r>
      <w:r>
        <w:t xml:space="preserve">-ending before the singular</w:t>
      </w:r>
      <w:r>
        <w:t xml:space="preserve"> </w:t>
      </w:r>
      <w:r>
        <w:t xml:space="preserve">“</w:t>
      </w:r>
      <w:r>
        <w:t xml:space="preserve">su</w:t>
      </w:r>
      <w:r>
        <w:t xml:space="preserve">”</w:t>
      </w:r>
      <w:r>
        <w:t xml:space="preserve"> </w:t>
      </w:r>
      <w:r>
        <w:t xml:space="preserve">(p. 255), fall under the prohibition</w:t>
      </w:r>
      <w:r>
        <w:t xml:space="preserve"> </w:t>
      </w:r>
      <w:r>
        <w:rPr>
          <w:bCs/>
          <w:b/>
        </w:rPr>
        <w:t xml:space="preserve">न गोश्वन्साववर्णराडङ्क्रुङ्कृद्भ्यः</w:t>
      </w:r>
      <w:r>
        <w:t xml:space="preserve"> </w:t>
      </w:r>
      <w:r>
        <w:t xml:space="preserve">(no number printed) for words with</w:t>
      </w:r>
      <w:r>
        <w:t xml:space="preserve"> </w:t>
      </w:r>
      <w:r>
        <w:t xml:space="preserve">“</w:t>
      </w:r>
      <w:r>
        <w:t xml:space="preserve">a</w:t>
      </w:r>
      <w:r>
        <w:t xml:space="preserve">”</w:t>
      </w:r>
      <w:r>
        <w:t xml:space="preserve"> </w:t>
      </w:r>
      <w:r>
        <w:t xml:space="preserve">before</w:t>
      </w:r>
      <w:r>
        <w:t xml:space="preserve"> </w:t>
      </w:r>
      <w:r>
        <w:t xml:space="preserve">“</w:t>
      </w:r>
      <w:r>
        <w:t xml:space="preserve">su,</w:t>
      </w:r>
      <w:r>
        <w:t xml:space="preserve">”</w:t>
      </w:r>
      <w:r>
        <w:t xml:space="preserve"> </w:t>
      </w:r>
      <w:r>
        <w:t xml:space="preserve">so</w:t>
      </w:r>
      <w:r>
        <w:t xml:space="preserve"> </w:t>
      </w:r>
      <w:r>
        <w:t xml:space="preserve">“</w:t>
      </w:r>
      <w:r>
        <w:t xml:space="preserve">sāv ekācaḥ</w:t>
      </w:r>
      <w:r>
        <w:t xml:space="preserve">”</w:t>
      </w:r>
      <w:r>
        <w:t xml:space="preserve"> </w:t>
      </w:r>
      <w:r>
        <w:t xml:space="preserve">gives no acute to</w:t>
      </w:r>
      <w:r>
        <w:t xml:space="preserve"> </w:t>
      </w:r>
      <w:r>
        <w:t xml:space="preserve">“</w:t>
      </w:r>
      <w:r>
        <w:t xml:space="preserve">tasil</w:t>
      </w:r>
      <w:r>
        <w:t xml:space="preserve">”</w:t>
      </w:r>
      <w:r>
        <w:t xml:space="preserve">; or rather, as the attested forms require,</w:t>
      </w:r>
      <w:r>
        <w:t xml:space="preserve"> </w:t>
      </w:r>
      <w:r>
        <w:t xml:space="preserve">“</w:t>
      </w:r>
      <w:r>
        <w:t xml:space="preserve">sakṛdgatau</w:t>
      </w:r>
      <w:r>
        <w:t xml:space="preserve">”</w:t>
      </w:r>
      <w:r>
        <w:t xml:space="preserve"> </w:t>
      </w:r>
      <w:r>
        <w:t xml:space="preserve">decides here:</w:t>
      </w:r>
      <w:r>
        <w:t xml:space="preserve"> </w:t>
      </w:r>
      <w:r>
        <w:t xml:space="preserve">“</w:t>
      </w:r>
      <w:r>
        <w:t xml:space="preserve">punaḥprasaṅga…</w:t>
      </w:r>
      <w:r>
        <w:t xml:space="preserve">”</w:t>
      </w:r>
      <w:r>
        <w:t xml:space="preserve"> </w:t>
      </w:r>
      <w:r>
        <w:t xml:space="preserve">is not a rule that applies everywhere, only in some places as the forms require; so the set-aside</w:t>
      </w:r>
      <w:r>
        <w:t xml:space="preserve"> </w:t>
      </w:r>
      <w:r>
        <w:t xml:space="preserve">“</w:t>
      </w:r>
      <w:r>
        <w:t xml:space="preserve">sāv ekācaḥ</w:t>
      </w:r>
      <w:r>
        <w:t xml:space="preserve">”</w:t>
      </w:r>
      <w:r>
        <w:t xml:space="preserve"> </w:t>
      </w:r>
      <w:r>
        <w:t xml:space="preserve">does not apply again, and</w:t>
      </w:r>
      <w:r>
        <w:t xml:space="preserve"> </w:t>
      </w:r>
      <w:r>
        <w:t xml:space="preserve">“</w:t>
      </w:r>
      <w:r>
        <w:t xml:space="preserve">yataḥ, tataḥ</w:t>
      </w:r>
      <w:r>
        <w:t xml:space="preserve">”</w:t>
      </w:r>
      <w:r>
        <w:t xml:space="preserve"> </w:t>
      </w:r>
      <w:r>
        <w:t xml:space="preserve">are first-syllable acute.</w:t>
      </w:r>
    </w:p>
    <w:p>
      <w:pPr>
        <w:pStyle w:val="BodyText"/>
      </w:pPr>
      <w:r>
        <w:rPr>
          <w:bCs/>
          <w:b/>
        </w:rPr>
        <w:t xml:space="preserve">“</w:t>
      </w:r>
      <w:r>
        <w:rPr>
          <w:bCs/>
          <w:b/>
        </w:rPr>
        <w:t xml:space="preserve">Sātim</w:t>
      </w:r>
      <w:r>
        <w:rPr>
          <w:bCs/>
          <w:b/>
        </w:rPr>
        <w:t xml:space="preserve">”</w:t>
      </w:r>
      <w:r>
        <w:rPr>
          <w:bCs/>
          <w:b/>
        </w:rPr>
        <w:t xml:space="preserve"> </w:t>
      </w:r>
      <w:r>
        <w:rPr>
          <w:bCs/>
          <w:b/>
        </w:rPr>
        <w:t xml:space="preserve">(p. 255).</w:t>
      </w:r>
      <w:r>
        <w:t xml:space="preserve"> </w:t>
      </w:r>
      <w:r>
        <w:t xml:space="preserve">“</w:t>
      </w:r>
      <w:r>
        <w:t xml:space="preserve">Ṣaṇu dāne</w:t>
      </w:r>
      <w:r>
        <w:t xml:space="preserve">”</w:t>
      </w:r>
      <w:r>
        <w:t xml:space="preserve">: by</w:t>
      </w:r>
      <w:r>
        <w:t xml:space="preserve"> </w:t>
      </w:r>
      <w:r>
        <w:t xml:space="preserve">“</w:t>
      </w:r>
      <w:r>
        <w:t xml:space="preserve">dhātvādeḥ ṣaḥ saḥ</w:t>
      </w:r>
      <w:r>
        <w:t xml:space="preserve">”</w:t>
      </w:r>
      <w:r>
        <w:t xml:space="preserve"> </w:t>
      </w:r>
      <w:r>
        <w:t xml:space="preserve">the initial</w:t>
      </w:r>
      <w:r>
        <w:t xml:space="preserve"> </w:t>
      </w:r>
      <w:r>
        <w:t xml:space="preserve">“</w:t>
      </w:r>
      <w:r>
        <w:t xml:space="preserve">ṣ</w:t>
      </w:r>
      <w:r>
        <w:t xml:space="preserve">”</w:t>
      </w:r>
      <w:r>
        <w:t xml:space="preserve"> </w:t>
      </w:r>
      <w:r>
        <w:t xml:space="preserve">becomes</w:t>
      </w:r>
      <w:r>
        <w:t xml:space="preserve"> </w:t>
      </w:r>
      <w:r>
        <w:t xml:space="preserve">“</w:t>
      </w:r>
      <w:r>
        <w:t xml:space="preserve">s</w:t>
      </w:r>
      <w:r>
        <w:t xml:space="preserve">”</w:t>
      </w:r>
      <w:r>
        <w:t xml:space="preserve">; when the</w:t>
      </w:r>
      <w:r>
        <w:t xml:space="preserve"> </w:t>
      </w:r>
      <w:r>
        <w:t xml:space="preserve">“</w:t>
      </w:r>
      <w:r>
        <w:t xml:space="preserve">ṣ</w:t>
      </w:r>
      <w:r>
        <w:t xml:space="preserve">”</w:t>
      </w:r>
      <w:r>
        <w:t xml:space="preserve"> </w:t>
      </w:r>
      <w:r>
        <w:t xml:space="preserve">goes, the</w:t>
      </w:r>
      <w:r>
        <w:t xml:space="preserve"> </w:t>
      </w:r>
      <w:r>
        <w:t xml:space="preserve">“</w:t>
      </w:r>
      <w:r>
        <w:t xml:space="preserve">ṇ</w:t>
      </w:r>
      <w:r>
        <w:t xml:space="preserve">”</w:t>
      </w:r>
      <w:r>
        <w:t xml:space="preserve"> </w:t>
      </w:r>
      <w:r>
        <w:t xml:space="preserve">it caused reverts to</w:t>
      </w:r>
      <w:r>
        <w:t xml:space="preserve"> </w:t>
      </w:r>
      <w:r>
        <w:t xml:space="preserve">“</w:t>
      </w:r>
      <w:r>
        <w:t xml:space="preserve">n</w:t>
      </w:r>
      <w:r>
        <w:t xml:space="preserve">”</w:t>
      </w:r>
      <w:r>
        <w:t xml:space="preserve">:</w:t>
      </w:r>
      <w:r>
        <w:t xml:space="preserve"> </w:t>
      </w:r>
      <w:r>
        <w:t xml:space="preserve">“</w:t>
      </w:r>
      <w:r>
        <w:t xml:space="preserve">san.</w:t>
      </w:r>
      <w:r>
        <w:t xml:space="preserve">”</w:t>
      </w:r>
      <w:r>
        <w:t xml:space="preserve"> </w:t>
      </w:r>
      <w:r>
        <w:t xml:space="preserve">“</w:t>
      </w:r>
      <w:r>
        <w:t xml:space="preserve">Ktin</w:t>
      </w:r>
      <w:r>
        <w:t xml:space="preserve">”</w:t>
      </w:r>
      <w:r>
        <w:t xml:space="preserve"> </w:t>
      </w:r>
      <w:r>
        <w:t xml:space="preserve">in the sense of the action;</w:t>
      </w:r>
      <w:r>
        <w:t xml:space="preserve"> </w:t>
      </w:r>
      <w:r>
        <w:rPr>
          <w:bCs/>
          <w:b/>
        </w:rPr>
        <w:t xml:space="preserve">जनसनखनां सञ्झलोः</w:t>
      </w:r>
      <w:r>
        <w:t xml:space="preserve"> </w:t>
      </w:r>
      <w:r>
        <w:t xml:space="preserve">(पा. सू. ६-४-४२) — before</w:t>
      </w:r>
      <w:r>
        <w:t xml:space="preserve"> </w:t>
      </w:r>
      <w:r>
        <w:t xml:space="preserve">“</w:t>
      </w:r>
      <w:r>
        <w:t xml:space="preserve">san,</w:t>
      </w:r>
      <w:r>
        <w:t xml:space="preserve">”</w:t>
      </w:r>
      <w:r>
        <w:t xml:space="preserve"> </w:t>
      </w:r>
      <w:r>
        <w:t xml:space="preserve">or a</w:t>
      </w:r>
      <w:r>
        <w:t xml:space="preserve"> </w:t>
      </w:r>
      <w:r>
        <w:t xml:space="preserve">“</w:t>
      </w:r>
      <w:r>
        <w:t xml:space="preserve">jhal</w:t>
      </w:r>
      <w:r>
        <w:t xml:space="preserve">”</w:t>
      </w:r>
      <w:r>
        <w:t xml:space="preserve">-initial</w:t>
      </w:r>
      <w:r>
        <w:t xml:space="preserve"> </w:t>
      </w:r>
      <w:r>
        <w:t xml:space="preserve">“</w:t>
      </w:r>
      <w:r>
        <w:t xml:space="preserve">kit/ṅit</w:t>
      </w:r>
      <w:r>
        <w:t xml:space="preserve">”</w:t>
      </w:r>
      <w:r>
        <w:t xml:space="preserve"> </w:t>
      </w:r>
      <w:r>
        <w:t xml:space="preserve">affix,</w:t>
      </w:r>
      <w:r>
        <w:t xml:space="preserve"> </w:t>
      </w:r>
      <w:r>
        <w:t xml:space="preserve">“</w:t>
      </w:r>
      <w:r>
        <w:t xml:space="preserve">ā</w:t>
      </w:r>
      <w:r>
        <w:t xml:space="preserve">”</w:t>
      </w:r>
      <w:r>
        <w:t xml:space="preserve"> </w:t>
      </w:r>
      <w:r>
        <w:t xml:space="preserve">replaces the final of</w:t>
      </w:r>
      <w:r>
        <w:t xml:space="preserve"> </w:t>
      </w:r>
      <w:r>
        <w:t xml:space="preserve">“</w:t>
      </w:r>
      <w:r>
        <w:t xml:space="preserve">jan, san, khan</w:t>
      </w:r>
      <w:r>
        <w:t xml:space="preserve">”</w:t>
      </w:r>
      <w:r>
        <w:t xml:space="preserve">:</w:t>
      </w:r>
      <w:r>
        <w:t xml:space="preserve"> </w:t>
      </w:r>
      <w:r>
        <w:t xml:space="preserve">“</w:t>
      </w:r>
      <w:r>
        <w:t xml:space="preserve">sa + ā + ti</w:t>
      </w:r>
      <w:r>
        <w:t xml:space="preserve">”</w:t>
      </w:r>
      <w:r>
        <w:t xml:space="preserve"> </w:t>
      </w:r>
      <w:r>
        <w:t xml:space="preserve">→</w:t>
      </w:r>
      <w:r>
        <w:t xml:space="preserve"> </w:t>
      </w:r>
      <w:r>
        <w:t xml:space="preserve">“</w:t>
      </w:r>
      <w:r>
        <w:t xml:space="preserve">sāti.</w:t>
      </w:r>
      <w:r>
        <w:t xml:space="preserve">”</w:t>
      </w:r>
      <w:r>
        <w:t xml:space="preserve"> </w:t>
      </w:r>
      <w:r>
        <w:t xml:space="preserve">The</w:t>
      </w:r>
      <w:r>
        <w:t xml:space="preserve"> </w:t>
      </w:r>
      <w:r>
        <w:t xml:space="preserve">“</w:t>
      </w:r>
      <w:r>
        <w:t xml:space="preserve">iṭ</w:t>
      </w:r>
      <w:r>
        <w:t xml:space="preserve">”</w:t>
      </w:r>
      <w:r>
        <w:t xml:space="preserve"> </w:t>
      </w:r>
      <w:r>
        <w:t xml:space="preserve">of</w:t>
      </w:r>
      <w:r>
        <w:t xml:space="preserve"> </w:t>
      </w:r>
      <w:r>
        <w:rPr>
          <w:bCs/>
          <w:b/>
        </w:rPr>
        <w:t xml:space="preserve">आर्धधातुकस्येड्वलादेः</w:t>
      </w:r>
      <w:r>
        <w:t xml:space="preserve"> </w:t>
      </w:r>
      <w:r>
        <w:t xml:space="preserve">(पा. सू. ७-२-३५) is barred for the ten kṛt affixes</w:t>
      </w:r>
      <w:r>
        <w:t xml:space="preserve"> </w:t>
      </w:r>
      <w:r>
        <w:t xml:space="preserve">“</w:t>
      </w:r>
      <w:r>
        <w:t xml:space="preserve">ti, tu, tra, ta, tha, si, su, sara, ka, se</w:t>
      </w:r>
      <w:r>
        <w:t xml:space="preserve">”</w:t>
      </w:r>
      <w:r>
        <w:t xml:space="preserve"> </w:t>
      </w:r>
      <w:r>
        <w:t xml:space="preserve">by</w:t>
      </w:r>
      <w:r>
        <w:t xml:space="preserve"> </w:t>
      </w:r>
      <w:r>
        <w:rPr>
          <w:bCs/>
          <w:b/>
        </w:rPr>
        <w:t xml:space="preserve">तितुत्रतथसिसुसरकसेषु च</w:t>
      </w:r>
      <w:r>
        <w:t xml:space="preserve"> </w:t>
      </w:r>
      <w:r>
        <w:t xml:space="preserve">(पा. सू. ७-२-९).</w:t>
      </w:r>
      <w:r>
        <w:t xml:space="preserve"> </w:t>
      </w:r>
      <w:r>
        <w:t xml:space="preserve">“</w:t>
      </w:r>
      <w:r>
        <w:t xml:space="preserve">Ktin</w:t>
      </w:r>
      <w:r>
        <w:t xml:space="preserve">”</w:t>
      </w:r>
      <w:r>
        <w:t xml:space="preserve"> </w:t>
      </w:r>
      <w:r>
        <w:t xml:space="preserve">being</w:t>
      </w:r>
      <w:r>
        <w:t xml:space="preserve"> </w:t>
      </w:r>
      <w:r>
        <w:t xml:space="preserve">“</w:t>
      </w:r>
      <w:r>
        <w:t xml:space="preserve">n</w:t>
      </w:r>
      <w:r>
        <w:t xml:space="preserve">”</w:t>
      </w:r>
      <w:r>
        <w:t xml:space="preserve">-marked,</w:t>
      </w:r>
      <w:r>
        <w:t xml:space="preserve"> </w:t>
      </w:r>
      <w:r>
        <w:rPr>
          <w:bCs/>
          <w:b/>
        </w:rPr>
        <w:t xml:space="preserve">ञ्नित्यादिर्नित्यम्</w:t>
      </w:r>
      <w:r>
        <w:t xml:space="preserve"> </w:t>
      </w:r>
      <w:r>
        <w:t xml:space="preserve">(पा. सू. ६-१-१९७) would make the first syllable acute; but</w:t>
      </w:r>
      <w:r>
        <w:t xml:space="preserve"> </w:t>
      </w:r>
      <w:r>
        <w:rPr>
          <w:bCs/>
          <w:b/>
        </w:rPr>
        <w:t xml:space="preserve">ऊतियूतिजूतिसातिहेतिकीर्तयश्च</w:t>
      </w:r>
      <w:r>
        <w:t xml:space="preserve"> </w:t>
      </w:r>
      <w:r>
        <w:t xml:space="preserve">(पा. सू. ३-३-९७) forms these</w:t>
      </w:r>
      <w:r>
        <w:t xml:space="preserve"> </w:t>
      </w:r>
      <w:r>
        <w:t xml:space="preserve">“</w:t>
      </w:r>
      <w:r>
        <w:t xml:space="preserve">ktin</w:t>
      </w:r>
      <w:r>
        <w:t xml:space="preserve">”</w:t>
      </w:r>
      <w:r>
        <w:t xml:space="preserve">-words by nipātana as end-acute, so</w:t>
      </w:r>
      <w:r>
        <w:t xml:space="preserve"> </w:t>
      </w:r>
      <w:r>
        <w:t xml:space="preserve">“</w:t>
      </w:r>
      <w:r>
        <w:t xml:space="preserve">sāti</w:t>
      </w:r>
      <w:r>
        <w:t xml:space="preserve">”</w:t>
      </w:r>
      <w:r>
        <w:t xml:space="preserve"> </w:t>
      </w:r>
      <w:r>
        <w:t xml:space="preserve">is end-acute.</w:t>
      </w:r>
    </w:p>
    <w:p>
      <w:pPr>
        <w:pStyle w:val="BodyText"/>
      </w:pPr>
      <w:r>
        <w:rPr>
          <w:bCs/>
          <w:b/>
        </w:rPr>
        <w:t xml:space="preserve">“</w:t>
      </w:r>
      <w:r>
        <w:rPr>
          <w:bCs/>
          <w:b/>
        </w:rPr>
        <w:t xml:space="preserve">Īmahe</w:t>
      </w:r>
      <w:r>
        <w:rPr>
          <w:bCs/>
          <w:b/>
        </w:rPr>
        <w:t xml:space="preserve">”</w:t>
      </w:r>
      <w:r>
        <w:rPr>
          <w:bCs/>
          <w:b/>
        </w:rPr>
        <w:t xml:space="preserve"> </w:t>
      </w:r>
      <w:r>
        <w:rPr>
          <w:bCs/>
          <w:b/>
        </w:rPr>
        <w:t xml:space="preserve">(p. 255).</w:t>
      </w:r>
      <w:r>
        <w:t xml:space="preserve"> </w:t>
      </w:r>
      <w:r>
        <w:t xml:space="preserve">“</w:t>
      </w:r>
      <w:r>
        <w:t xml:space="preserve">Īṅ gatau,</w:t>
      </w:r>
      <w:r>
        <w:t xml:space="preserve">”</w:t>
      </w:r>
      <w:r>
        <w:t xml:space="preserve"> </w:t>
      </w:r>
      <w:r>
        <w:t xml:space="preserve">“</w:t>
      </w:r>
      <w:r>
        <w:t xml:space="preserve">laṭ,</w:t>
      </w:r>
      <w:r>
        <w:t xml:space="preserve">”</w:t>
      </w:r>
      <w:r>
        <w:t xml:space="preserve"> </w:t>
      </w:r>
      <w:r>
        <w:t xml:space="preserve">first plural</w:t>
      </w:r>
      <w:r>
        <w:t xml:space="preserve"> </w:t>
      </w:r>
      <w:r>
        <w:t xml:space="preserve">“</w:t>
      </w:r>
      <w:r>
        <w:t xml:space="preserve">mahiṅ</w:t>
      </w:r>
      <w:r>
        <w:t xml:space="preserve">”</w:t>
      </w:r>
      <w:r>
        <w:t xml:space="preserve">;</w:t>
      </w:r>
      <w:r>
        <w:t xml:space="preserve"> </w:t>
      </w:r>
      <w:r>
        <w:rPr>
          <w:bCs/>
          <w:b/>
        </w:rPr>
        <w:t xml:space="preserve">टित आत्मनेपदानां टेरे</w:t>
      </w:r>
      <w:r>
        <w:t xml:space="preserve"> </w:t>
      </w:r>
      <w:r>
        <w:t xml:space="preserve">(पा. सू. ३-४-७९)</w:t>
      </w:r>
      <w:r>
        <w:t xml:space="preserve"> </w:t>
      </w:r>
      <w:r>
        <w:t xml:space="preserve">“</w:t>
      </w:r>
      <w:r>
        <w:t xml:space="preserve">e</w:t>
      </w:r>
      <w:r>
        <w:t xml:space="preserve">”</w:t>
      </w:r>
      <w:r>
        <w:t xml:space="preserve"> </w:t>
      </w:r>
      <w:r>
        <w:t xml:space="preserve">for the</w:t>
      </w:r>
      <w:r>
        <w:t xml:space="preserve"> </w:t>
      </w:r>
      <w:r>
        <w:t xml:space="preserve">“</w:t>
      </w:r>
      <w:r>
        <w:t xml:space="preserve">i</w:t>
      </w:r>
      <w:r>
        <w:t xml:space="preserve">”</w:t>
      </w:r>
      <w:r>
        <w:t xml:space="preserve">; the</w:t>
      </w:r>
      <w:r>
        <w:t xml:space="preserve"> </w:t>
      </w:r>
      <w:r>
        <w:t xml:space="preserve">“</w:t>
      </w:r>
      <w:r>
        <w:t xml:space="preserve">śyan</w:t>
      </w:r>
      <w:r>
        <w:t xml:space="preserve">”</w:t>
      </w:r>
      <w:r>
        <w:t xml:space="preserve"> </w:t>
      </w:r>
      <w:r>
        <w:t xml:space="preserve">of</w:t>
      </w:r>
      <w:r>
        <w:t xml:space="preserve"> </w:t>
      </w:r>
      <w:r>
        <w:rPr>
          <w:bCs/>
          <w:b/>
        </w:rPr>
        <w:t xml:space="preserve">दिवादिभ्यः श्यन्</w:t>
      </w:r>
      <w:r>
        <w:t xml:space="preserve"> </w:t>
      </w:r>
      <w:r>
        <w:t xml:space="preserve">(पा. सू. ३-१-६९) is elided by</w:t>
      </w:r>
      <w:r>
        <w:t xml:space="preserve"> </w:t>
      </w:r>
      <w:r>
        <w:rPr>
          <w:bCs/>
          <w:b/>
        </w:rPr>
        <w:t xml:space="preserve">बहुलं छन्दसि</w:t>
      </w:r>
      <w:r>
        <w:t xml:space="preserve"> </w:t>
      </w:r>
      <w:r>
        <w:t xml:space="preserve">(पा. सू. २-४-७३): though that sūtra elides</w:t>
      </w:r>
      <w:r>
        <w:t xml:space="preserve"> </w:t>
      </w:r>
      <w:r>
        <w:t xml:space="preserve">“</w:t>
      </w:r>
      <w:r>
        <w:t xml:space="preserve">śap,</w:t>
      </w:r>
      <w:r>
        <w:t xml:space="preserve">”</w:t>
      </w:r>
      <w:r>
        <w:t xml:space="preserve"> </w:t>
      </w:r>
      <w:r>
        <w:t xml:space="preserve">the word</w:t>
      </w:r>
      <w:r>
        <w:t xml:space="preserve"> </w:t>
      </w:r>
      <w:r>
        <w:t xml:space="preserve">“</w:t>
      </w:r>
      <w:r>
        <w:t xml:space="preserve">bahula</w:t>
      </w:r>
      <w:r>
        <w:t xml:space="preserve">”</w:t>
      </w:r>
      <w:r>
        <w:t xml:space="preserve"> </w:t>
      </w:r>
      <w:r>
        <w:t xml:space="preserve">extends it to</w:t>
      </w:r>
      <w:r>
        <w:t xml:space="preserve"> </w:t>
      </w:r>
      <w:r>
        <w:t xml:space="preserve">“</w:t>
      </w:r>
      <w:r>
        <w:t xml:space="preserve">śyan</w:t>
      </w:r>
      <w:r>
        <w:t xml:space="preserve">”</w:t>
      </w:r>
      <w:r>
        <w:t xml:space="preserve">:</w:t>
      </w:r>
      <w:r>
        <w:t xml:space="preserve"> </w:t>
      </w:r>
      <w:r>
        <w:t xml:space="preserve">“</w:t>
      </w:r>
      <w:r>
        <w:t xml:space="preserve">īmahe.</w:t>
      </w:r>
      <w:r>
        <w:t xml:space="preserve">”</w:t>
      </w:r>
      <w:r>
        <w:t xml:space="preserve"> </w:t>
      </w:r>
      <w:r>
        <w:t xml:space="preserve">Since</w:t>
      </w:r>
      <w:r>
        <w:t xml:space="preserve"> </w:t>
      </w:r>
      <w:r>
        <w:t xml:space="preserve">“</w:t>
      </w:r>
      <w:r>
        <w:t xml:space="preserve">īṅ</w:t>
      </w:r>
      <w:r>
        <w:t xml:space="preserve">”</w:t>
      </w:r>
      <w:r>
        <w:t xml:space="preserve"> </w:t>
      </w:r>
      <w:r>
        <w:t xml:space="preserve">is</w:t>
      </w:r>
      <w:r>
        <w:t xml:space="preserve"> </w:t>
      </w:r>
      <w:r>
        <w:t xml:space="preserve">“</w:t>
      </w:r>
      <w:r>
        <w:t xml:space="preserve">ṅit,</w:t>
      </w:r>
      <w:r>
        <w:t xml:space="preserve">”</w:t>
      </w:r>
      <w:r>
        <w:t xml:space="preserve"> </w:t>
      </w:r>
      <w:r>
        <w:rPr>
          <w:bCs/>
          <w:b/>
        </w:rPr>
        <w:t xml:space="preserve">तास्यनुदात्तेन्ङिददुपदेशात्…</w:t>
      </w:r>
      <w:r>
        <w:t xml:space="preserve"> </w:t>
      </w:r>
      <w:r>
        <w:t xml:space="preserve">(पा. सू. ६-१-१८६) makes the lasārvadhātuka</w:t>
      </w:r>
      <w:r>
        <w:t xml:space="preserve"> </w:t>
      </w:r>
      <w:r>
        <w:t xml:space="preserve">“</w:t>
      </w:r>
      <w:r>
        <w:t xml:space="preserve">mahe</w:t>
      </w:r>
      <w:r>
        <w:t xml:space="preserve">”</w:t>
      </w:r>
      <w:r>
        <w:t xml:space="preserve"> </w:t>
      </w:r>
      <w:r>
        <w:t xml:space="preserve">unaccented, and the end-acute of the root taught by</w:t>
      </w:r>
      <w:r>
        <w:t xml:space="preserve"> </w:t>
      </w:r>
      <w:r>
        <w:rPr>
          <w:bCs/>
          <w:b/>
        </w:rPr>
        <w:t xml:space="preserve">धातोः</w:t>
      </w:r>
      <w:r>
        <w:t xml:space="preserve"> </w:t>
      </w:r>
      <w:r>
        <w:t xml:space="preserve">(पा. सू. ६-१-१६२) stays on</w:t>
      </w:r>
      <w:r>
        <w:t xml:space="preserve"> </w:t>
      </w:r>
      <w:r>
        <w:t xml:space="preserve">“</w:t>
      </w:r>
      <w:r>
        <w:t xml:space="preserve">ī.</w:t>
      </w:r>
      <w:r>
        <w:t xml:space="preserve">”</w:t>
      </w:r>
      <w:r>
        <w:t xml:space="preserve"> </w:t>
      </w:r>
      <w:r>
        <w:rPr>
          <w:bCs/>
          <w:b/>
        </w:rPr>
        <w:t xml:space="preserve">तिङ्ङतिङः</w:t>
      </w:r>
      <w:r>
        <w:t xml:space="preserve"> </w:t>
      </w:r>
      <w:r>
        <w:t xml:space="preserve">(पा. सू. ८-१-२८) would make the verb unaccented after a non-verb, but</w:t>
      </w:r>
      <w:r>
        <w:t xml:space="preserve"> </w:t>
      </w:r>
      <w:r>
        <w:rPr>
          <w:bCs/>
          <w:b/>
        </w:rPr>
        <w:t xml:space="preserve">चवायोगे प्रथमा</w:t>
      </w:r>
      <w:r>
        <w:t xml:space="preserve"> </w:t>
      </w:r>
      <w:r>
        <w:t xml:space="preserve">(पा. सू. ८-१-५९) — with</w:t>
      </w:r>
      <w:r>
        <w:t xml:space="preserve"> </w:t>
      </w:r>
      <w:r>
        <w:t xml:space="preserve">“</w:t>
      </w:r>
      <w:r>
        <w:t xml:space="preserve">ca</w:t>
      </w:r>
      <w:r>
        <w:t xml:space="preserve">”</w:t>
      </w:r>
      <w:r>
        <w:t xml:space="preserve"> </w:t>
      </w:r>
      <w:r>
        <w:t xml:space="preserve">or</w:t>
      </w:r>
      <w:r>
        <w:t xml:space="preserve"> </w:t>
      </w:r>
      <w:r>
        <w:t xml:space="preserve">“</w:t>
      </w:r>
      <w:r>
        <w:t xml:space="preserve">vā,</w:t>
      </w:r>
      <w:r>
        <w:t xml:space="preserve">”</w:t>
      </w:r>
      <w:r>
        <w:t xml:space="preserve"> </w:t>
      </w:r>
      <w:r>
        <w:t xml:space="preserve">the first-uttered verb is not made unaccented — so it is not wholly unaccented.</w:t>
      </w:r>
      <w:r>
        <w:t xml:space="preserve"> </w:t>
      </w:r>
      <w:r>
        <w:t xml:space="preserve">“</w:t>
      </w:r>
      <w:r>
        <w:t xml:space="preserve">Ādare…</w:t>
      </w:r>
      <w:r>
        <w:t xml:space="preserve">”</w:t>
      </w:r>
      <w:r>
        <w:t xml:space="preserve"> </w:t>
      </w:r>
      <w:r>
        <w:rPr>
          <w:iCs/>
          <w:i/>
        </w:rPr>
        <w:t xml:space="preserve">(continues on p. 256)</w:t>
      </w:r>
      <w:r>
        <w:t xml:space="preserve"> </w:t>
      </w:r>
      <w:r>
        <w:t xml:space="preserve">### Pages 256–257 — Rik 6.10: end of grammar; close of Sūkta 6</w:t>
      </w:r>
    </w:p>
    <w:p>
      <w:pPr>
        <w:pStyle w:val="BodyText"/>
      </w:pPr>
      <w:r>
        <w:rPr>
          <w:iCs/>
          <w:i/>
        </w:rPr>
        <w:t xml:space="preserve">(Page 256 header:</w:t>
      </w:r>
      <w:r>
        <w:rPr>
          <w:iCs/>
          <w:i/>
        </w:rPr>
        <w:t xml:space="preserve"> </w:t>
      </w:r>
      <w:r>
        <w:rPr>
          <w:iCs/>
          <w:i/>
        </w:rPr>
        <w:t xml:space="preserve">“</w:t>
      </w:r>
      <w:r>
        <w:rPr>
          <w:iCs/>
          <w:i/>
        </w:rPr>
        <w:t xml:space="preserve">Maṇ. 1, A. 2, Sū. 6</w:t>
      </w:r>
      <w:r>
        <w:rPr>
          <w:iCs/>
          <w:i/>
        </w:rPr>
        <w:t xml:space="preserve">”</w:t>
      </w:r>
      <w:r>
        <w:rPr>
          <w:iCs/>
          <w:i/>
        </w:rPr>
        <w:t xml:space="preserve">; p. 257 header:</w:t>
      </w:r>
      <w:r>
        <w:rPr>
          <w:iCs/>
          <w:i/>
        </w:rPr>
        <w:t xml:space="preserve"> </w:t>
      </w:r>
      <w:r>
        <w:rPr>
          <w:iCs/>
          <w:i/>
        </w:rPr>
        <w:t xml:space="preserve">“</w:t>
      </w:r>
      <w:r>
        <w:rPr>
          <w:iCs/>
          <w:i/>
        </w:rPr>
        <w:t xml:space="preserve">A. 1, A. 1, Va. 13</w:t>
      </w:r>
      <w:r>
        <w:rPr>
          <w:iCs/>
          <w:i/>
        </w:rPr>
        <w:t xml:space="preserve">”</w:t>
      </w:r>
      <w:r>
        <w:rPr>
          <w:iCs/>
          <w:i/>
        </w:rPr>
        <w:t xml:space="preserve">. P. 257 also carries a small</w:t>
      </w:r>
      <w:r>
        <w:rPr>
          <w:iCs/>
          <w:i/>
        </w:rPr>
        <w:t xml:space="preserve"> </w:t>
      </w:r>
      <w:r>
        <w:rPr>
          <w:iCs/>
          <w:i/>
        </w:rPr>
        <w:t xml:space="preserve">“</w:t>
      </w:r>
      <w:r>
        <w:rPr>
          <w:iCs/>
          <w:i/>
        </w:rPr>
        <w:t xml:space="preserve">33</w:t>
      </w:r>
      <w:r>
        <w:rPr>
          <w:iCs/>
          <w:i/>
        </w:rPr>
        <w:t xml:space="preserve">”</w:t>
      </w:r>
      <w:r>
        <w:rPr>
          <w:iCs/>
          <w:i/>
        </w:rPr>
        <w:t xml:space="preserve"> </w:t>
      </w:r>
      <w:r>
        <w:rPr>
          <w:iCs/>
          <w:i/>
        </w:rPr>
        <w:t xml:space="preserve">at the foot, evidently a printer’s signature mark. Characterized in outline; sūtras kept.)</w:t>
      </w:r>
    </w:p>
    <w:p>
      <w:pPr>
        <w:pStyle w:val="BodyText"/>
      </w:pPr>
      <w:r>
        <w:rPr>
          <w:bCs/>
          <w:b/>
        </w:rPr>
        <w:t xml:space="preserve">“</w:t>
      </w:r>
      <w:r>
        <w:rPr>
          <w:bCs/>
          <w:b/>
        </w:rPr>
        <w:t xml:space="preserve">Īmahe</w:t>
      </w:r>
      <w:r>
        <w:rPr>
          <w:bCs/>
          <w:b/>
        </w:rPr>
        <w:t xml:space="preserve">”</w:t>
      </w:r>
      <w:r>
        <w:rPr>
          <w:bCs/>
          <w:b/>
        </w:rPr>
        <w:t xml:space="preserve"> </w:t>
      </w:r>
      <w:r>
        <w:rPr>
          <w:bCs/>
          <w:b/>
        </w:rPr>
        <w:t xml:space="preserve">— the</w:t>
      </w:r>
      <w:r>
        <w:rPr>
          <w:bCs/>
          <w:b/>
        </w:rPr>
        <w:t xml:space="preserve"> </w:t>
      </w:r>
      <w:r>
        <w:rPr>
          <w:bCs/>
          <w:b/>
        </w:rPr>
        <w:t xml:space="preserve">“</w:t>
      </w:r>
      <w:r>
        <w:rPr>
          <w:bCs/>
          <w:b/>
        </w:rPr>
        <w:t xml:space="preserve">cavā-yoge</w:t>
      </w:r>
      <w:r>
        <w:rPr>
          <w:bCs/>
          <w:b/>
        </w:rPr>
        <w:t xml:space="preserve">”</w:t>
      </w:r>
      <w:r>
        <w:rPr>
          <w:bCs/>
          <w:b/>
        </w:rPr>
        <w:t xml:space="preserve"> </w:t>
      </w:r>
      <w:r>
        <w:rPr>
          <w:bCs/>
          <w:b/>
        </w:rPr>
        <w:t xml:space="preserve">difficulty (continued from p. 255; characterized).</w:t>
      </w:r>
      <w:r>
        <w:t xml:space="preserve"> </w:t>
      </w:r>
      <w:r>
        <w:t xml:space="preserve">The print raises a doubt: since this mantra contains only one finite verb, how can it be</w:t>
      </w:r>
      <w:r>
        <w:t xml:space="preserve"> </w:t>
      </w:r>
      <w:r>
        <w:t xml:space="preserve">“</w:t>
      </w:r>
      <w:r>
        <w:t xml:space="preserve">first-uttered</w:t>
      </w:r>
      <w:r>
        <w:t xml:space="preserve">”</w:t>
      </w:r>
      <w:r>
        <w:t xml:space="preserve"> </w:t>
      </w:r>
      <w:r>
        <w:t xml:space="preserve">(prathamoccārita) and hence escape the lowering of accent? The answer given: the Rik really consists of three sentences — (1)</w:t>
      </w:r>
      <w:r>
        <w:t xml:space="preserve"> </w:t>
      </w:r>
      <w:r>
        <w:t xml:space="preserve">“</w:t>
      </w:r>
      <w:r>
        <w:t xml:space="preserve">itaḥ pārthivāl lokād vā indraṃ prati sātim adhi īmahe</w:t>
      </w:r>
      <w:r>
        <w:t xml:space="preserve">”</w:t>
      </w:r>
      <w:r>
        <w:t xml:space="preserve"> </w:t>
      </w:r>
      <w:r>
        <w:t xml:space="preserve">(</w:t>
      </w:r>
      <w:r>
        <w:rPr>
          <w:iCs/>
          <w:i/>
        </w:rPr>
        <w:t xml:space="preserve">from this earth-world, we ask Indra for gain</w:t>
      </w:r>
      <w:r>
        <w:t xml:space="preserve">); (2)</w:t>
      </w:r>
      <w:r>
        <w:t xml:space="preserve"> </w:t>
      </w:r>
      <w:r>
        <w:t xml:space="preserve">“</w:t>
      </w:r>
      <w:r>
        <w:t xml:space="preserve">indraṃ prati sātim divo vā adhi īmahe</w:t>
      </w:r>
      <w:r>
        <w:t xml:space="preserve">”</w:t>
      </w:r>
      <w:r>
        <w:t xml:space="preserve"> </w:t>
      </w:r>
      <w:r>
        <w:t xml:space="preserve">(</w:t>
      </w:r>
      <w:r>
        <w:rPr>
          <w:iCs/>
          <w:i/>
        </w:rPr>
        <w:t xml:space="preserve">or from heaven</w:t>
      </w:r>
      <w:r>
        <w:t xml:space="preserve">); (3)</w:t>
      </w:r>
      <w:r>
        <w:t xml:space="preserve"> </w:t>
      </w:r>
      <w:r>
        <w:t xml:space="preserve">“</w:t>
      </w:r>
      <w:r>
        <w:t xml:space="preserve">rajasaḥ (antarikṣa-lokād vā) indraṃ prati sātim adhi īmahe</w:t>
      </w:r>
      <w:r>
        <w:t xml:space="preserve">”</w:t>
      </w:r>
      <w:r>
        <w:t xml:space="preserve"> </w:t>
      </w:r>
      <w:r>
        <w:t xml:space="preserve">(</w:t>
      </w:r>
      <w:r>
        <w:rPr>
          <w:iCs/>
          <w:i/>
        </w:rPr>
        <w:t xml:space="preserve">or from the atmosphere</w:t>
      </w:r>
      <w:r>
        <w:t xml:space="preserve">). The</w:t>
      </w:r>
      <w:r>
        <w:t xml:space="preserve"> </w:t>
      </w:r>
      <w:r>
        <w:t xml:space="preserve">“</w:t>
      </w:r>
      <w:r>
        <w:t xml:space="preserve">īmahe</w:t>
      </w:r>
      <w:r>
        <w:t xml:space="preserve">”</w:t>
      </w:r>
      <w:r>
        <w:t xml:space="preserve"> </w:t>
      </w:r>
      <w:r>
        <w:t xml:space="preserve">of the first sentence is the first-uttered one; the</w:t>
      </w:r>
      <w:r>
        <w:t xml:space="preserve"> </w:t>
      </w:r>
      <w:r>
        <w:t xml:space="preserve">“</w:t>
      </w:r>
      <w:r>
        <w:t xml:space="preserve">cavā-yoge prathamā</w:t>
      </w:r>
      <w:r>
        <w:t xml:space="preserve">”</w:t>
      </w:r>
      <w:r>
        <w:t xml:space="preserve"> </w:t>
      </w:r>
      <w:r>
        <w:t xml:space="preserve">prohibition therefore applies to it (the verb, being first, is not lowered). In the second and third sentences, because of the presence of</w:t>
      </w:r>
      <w:r>
        <w:t xml:space="preserve"> </w:t>
      </w:r>
      <w:r>
        <w:t xml:space="preserve">“</w:t>
      </w:r>
      <w:r>
        <w:t xml:space="preserve">vā,</w:t>
      </w:r>
      <w:r>
        <w:t xml:space="preserve">”</w:t>
      </w:r>
      <w:r>
        <w:t xml:space="preserve"> </w:t>
      </w:r>
      <w:r>
        <w:t xml:space="preserve">the word</w:t>
      </w:r>
      <w:r>
        <w:t xml:space="preserve"> </w:t>
      </w:r>
      <w:r>
        <w:t xml:space="preserve">“</w:t>
      </w:r>
      <w:r>
        <w:t xml:space="preserve">īmahe</w:t>
      </w:r>
      <w:r>
        <w:t xml:space="preserve">”</w:t>
      </w:r>
      <w:r>
        <w:t xml:space="preserve"> </w:t>
      </w:r>
      <w:r>
        <w:t xml:space="preserve">must be supplied (adhyāhāra) in connection with them; otherwise the sentence would not give a full meaning.</w:t>
      </w:r>
    </w:p>
    <w:p>
      <w:pPr>
        <w:pStyle w:val="BodyText"/>
      </w:pPr>
      <w:r>
        <w:rPr>
          <w:bCs/>
          <w:b/>
        </w:rPr>
        <w:t xml:space="preserve">“</w:t>
      </w:r>
      <w:r>
        <w:rPr>
          <w:bCs/>
          <w:b/>
        </w:rPr>
        <w:t xml:space="preserve">Divaḥ</w:t>
      </w:r>
      <w:r>
        <w:rPr>
          <w:bCs/>
          <w:b/>
        </w:rPr>
        <w:t xml:space="preserve">”</w:t>
      </w:r>
      <w:r>
        <w:rPr>
          <w:bCs/>
          <w:b/>
        </w:rPr>
        <w:t xml:space="preserve"> </w:t>
      </w:r>
      <w:r>
        <w:rPr>
          <w:bCs/>
          <w:b/>
        </w:rPr>
        <w:t xml:space="preserve">(दिवः).</w:t>
      </w:r>
      <w:r>
        <w:t xml:space="preserve"> </w:t>
      </w:r>
      <w:r>
        <w:t xml:space="preserve">By</w:t>
      </w:r>
      <w:r>
        <w:t xml:space="preserve"> </w:t>
      </w:r>
      <w:r>
        <w:rPr>
          <w:bCs/>
          <w:b/>
        </w:rPr>
        <w:t xml:space="preserve">ऊडिदम्</w:t>
      </w:r>
      <w:r>
        <w:t xml:space="preserve"> </w:t>
      </w:r>
      <w:r>
        <w:t xml:space="preserve">(</w:t>
      </w:r>
      <w:r>
        <w:rPr>
          <w:iCs/>
          <w:i/>
        </w:rPr>
        <w:t xml:space="preserve">ūḍidam</w:t>
      </w:r>
      <w:r>
        <w:t xml:space="preserve">, पा. सू. ६-१-१७१) the case-ending is acute.</w:t>
      </w:r>
    </w:p>
    <w:p>
      <w:pPr>
        <w:pStyle w:val="BodyText"/>
      </w:pPr>
      <w:r>
        <w:rPr>
          <w:bCs/>
          <w:b/>
        </w:rPr>
        <w:t xml:space="preserve">“</w:t>
      </w:r>
      <w:r>
        <w:rPr>
          <w:bCs/>
          <w:b/>
        </w:rPr>
        <w:t xml:space="preserve">Pārthivāt</w:t>
      </w:r>
      <w:r>
        <w:rPr>
          <w:bCs/>
          <w:b/>
        </w:rPr>
        <w:t xml:space="preserve">”</w:t>
      </w:r>
      <w:r>
        <w:rPr>
          <w:bCs/>
          <w:b/>
        </w:rPr>
        <w:t xml:space="preserve"> </w:t>
      </w:r>
      <w:r>
        <w:rPr>
          <w:bCs/>
          <w:b/>
        </w:rPr>
        <w:t xml:space="preserve">(पार्थिवात्,</w:t>
      </w:r>
      <w:r>
        <w:rPr>
          <w:bCs/>
          <w:b/>
        </w:rPr>
        <w:t xml:space="preserve"> </w:t>
      </w:r>
      <w:r>
        <w:rPr>
          <w:iCs/>
          <w:i/>
          <w:bCs/>
          <w:b/>
        </w:rPr>
        <w:t xml:space="preserve">pārthivāt</w:t>
      </w:r>
      <w:r>
        <w:rPr>
          <w:bCs/>
          <w:b/>
        </w:rPr>
        <w:t xml:space="preserve">).</w:t>
      </w:r>
      <w:r>
        <w:t xml:space="preserve"> </w:t>
      </w:r>
      <w:r>
        <w:t xml:space="preserve">“</w:t>
      </w:r>
      <w:r>
        <w:t xml:space="preserve">Prathate iti pṛthivī</w:t>
      </w:r>
      <w:r>
        <w:t xml:space="preserve">”</w:t>
      </w:r>
      <w:r>
        <w:t xml:space="preserve"> </w:t>
      </w:r>
      <w:r>
        <w:t xml:space="preserve">— from</w:t>
      </w:r>
      <w:r>
        <w:t xml:space="preserve"> </w:t>
      </w:r>
      <w:r>
        <w:t xml:space="preserve">“</w:t>
      </w:r>
      <w:r>
        <w:t xml:space="preserve">prath prakhyāne,</w:t>
      </w:r>
      <w:r>
        <w:t xml:space="preserve">”</w:t>
      </w:r>
      <w:r>
        <w:t xml:space="preserve"> </w:t>
      </w:r>
      <w:r>
        <w:t xml:space="preserve">with</w:t>
      </w:r>
      <w:r>
        <w:t xml:space="preserve"> </w:t>
      </w:r>
      <w:r>
        <w:rPr>
          <w:bCs/>
          <w:b/>
        </w:rPr>
        <w:t xml:space="preserve">प्रथेः षिवन् सम्प्रसारणं च</w:t>
      </w:r>
      <w:r>
        <w:t xml:space="preserve"> </w:t>
      </w:r>
      <w:r>
        <w:t xml:space="preserve">(</w:t>
      </w:r>
      <w:r>
        <w:rPr>
          <w:iCs/>
          <w:i/>
        </w:rPr>
        <w:t xml:space="preserve">prather ṣivan samprasāraṇaṃ ca</w:t>
      </w:r>
      <w:r>
        <w:t xml:space="preserve">, उ. सू. १-१४९) the affix</w:t>
      </w:r>
      <w:r>
        <w:t xml:space="preserve"> </w:t>
      </w:r>
      <w:r>
        <w:t xml:space="preserve">“</w:t>
      </w:r>
      <w:r>
        <w:t xml:space="preserve">ṣivan</w:t>
      </w:r>
      <w:r>
        <w:t xml:space="preserve">”</w:t>
      </w:r>
      <w:r>
        <w:t xml:space="preserve"> </w:t>
      </w:r>
      <w:r>
        <w:t xml:space="preserve">comes, with</w:t>
      </w:r>
      <w:r>
        <w:t xml:space="preserve"> </w:t>
      </w:r>
      <w:r>
        <w:t xml:space="preserve">“</w:t>
      </w:r>
      <w:r>
        <w:t xml:space="preserve">samprasāraṇa</w:t>
      </w:r>
      <w:r>
        <w:t xml:space="preserve">”</w:t>
      </w:r>
      <w:r>
        <w:t xml:space="preserve"> </w:t>
      </w:r>
      <w:r>
        <w:t xml:space="preserve">— so</w:t>
      </w:r>
      <w:r>
        <w:t xml:space="preserve"> </w:t>
      </w:r>
      <w:r>
        <w:t xml:space="preserve">“</w:t>
      </w:r>
      <w:r>
        <w:t xml:space="preserve">prath + ivan,</w:t>
      </w:r>
      <w:r>
        <w:t xml:space="preserve">”</w:t>
      </w:r>
      <w:r>
        <w:t xml:space="preserve"> </w:t>
      </w:r>
      <w:r>
        <w:t xml:space="preserve">whence</w:t>
      </w:r>
      <w:r>
        <w:t xml:space="preserve"> </w:t>
      </w:r>
      <w:r>
        <w:t xml:space="preserve">“</w:t>
      </w:r>
      <w:r>
        <w:t xml:space="preserve">pṛth + ivan</w:t>
      </w:r>
      <w:r>
        <w:t xml:space="preserve">”</w:t>
      </w:r>
      <w:r>
        <w:t xml:space="preserve"> </w:t>
      </w:r>
      <w:r>
        <w:t xml:space="preserve">(the</w:t>
      </w:r>
      <w:r>
        <w:t xml:space="preserve"> </w:t>
      </w:r>
      <w:r>
        <w:t xml:space="preserve">“</w:t>
      </w:r>
      <w:r>
        <w:t xml:space="preserve">r</w:t>
      </w:r>
      <w:r>
        <w:t xml:space="preserve">”</w:t>
      </w:r>
      <w:r>
        <w:t xml:space="preserve"> </w:t>
      </w:r>
      <w:r>
        <w:t xml:space="preserve">turning to</w:t>
      </w:r>
      <w:r>
        <w:t xml:space="preserve"> </w:t>
      </w:r>
      <w:r>
        <w:t xml:space="preserve">“</w:t>
      </w:r>
      <w:r>
        <w:t xml:space="preserve">ṛ</w:t>
      </w:r>
      <w:r>
        <w:t xml:space="preserve">”</w:t>
      </w:r>
      <w:r>
        <w:t xml:space="preserve">); the</w:t>
      </w:r>
      <w:r>
        <w:t xml:space="preserve"> </w:t>
      </w:r>
      <w:r>
        <w:t xml:space="preserve">“</w:t>
      </w:r>
      <w:r>
        <w:t xml:space="preserve">ṣ</w:t>
      </w:r>
      <w:r>
        <w:t xml:space="preserve">”</w:t>
      </w:r>
      <w:r>
        <w:t xml:space="preserve"> </w:t>
      </w:r>
      <w:r>
        <w:t xml:space="preserve">is</w:t>
      </w:r>
      <w:r>
        <w:t xml:space="preserve"> </w:t>
      </w:r>
      <w:r>
        <w:t xml:space="preserve">“</w:t>
      </w:r>
      <w:r>
        <w:t xml:space="preserve">it</w:t>
      </w:r>
      <w:r>
        <w:t xml:space="preserve">”</w:t>
      </w:r>
      <w:r>
        <w:t xml:space="preserve">; by</w:t>
      </w:r>
      <w:r>
        <w:t xml:space="preserve"> </w:t>
      </w:r>
      <w:r>
        <w:rPr>
          <w:bCs/>
          <w:b/>
        </w:rPr>
        <w:t xml:space="preserve">षिद्गौरादिभ्यश्च</w:t>
      </w:r>
      <w:r>
        <w:t xml:space="preserve"> </w:t>
      </w:r>
      <w:r>
        <w:t xml:space="preserve">(</w:t>
      </w:r>
      <w:r>
        <w:rPr>
          <w:iCs/>
          <w:i/>
        </w:rPr>
        <w:t xml:space="preserve">ṣid-gaurādibhyaś ca</w:t>
      </w:r>
      <w:r>
        <w:t xml:space="preserve">, पा. ४-१-४१) the feminine</w:t>
      </w:r>
      <w:r>
        <w:t xml:space="preserve"> </w:t>
      </w:r>
      <w:r>
        <w:t xml:space="preserve">“</w:t>
      </w:r>
      <w:r>
        <w:t xml:space="preserve">ṅīṣ</w:t>
      </w:r>
      <w:r>
        <w:t xml:space="preserve">”</w:t>
      </w:r>
      <w:r>
        <w:t xml:space="preserve"> </w:t>
      </w:r>
      <w:r>
        <w:t xml:space="preserve">comes after a</w:t>
      </w:r>
      <w:r>
        <w:t xml:space="preserve"> </w:t>
      </w:r>
      <w:r>
        <w:t xml:space="preserve">“</w:t>
      </w:r>
      <w:r>
        <w:t xml:space="preserve">ṣit</w:t>
      </w:r>
      <w:r>
        <w:t xml:space="preserve">”</w:t>
      </w:r>
      <w:r>
        <w:t xml:space="preserve"> </w:t>
      </w:r>
      <w:r>
        <w:t xml:space="preserve">stem and the stems of the</w:t>
      </w:r>
      <w:r>
        <w:t xml:space="preserve"> </w:t>
      </w:r>
      <w:r>
        <w:t xml:space="preserve">“</w:t>
      </w:r>
      <w:r>
        <w:t xml:space="preserve">gaura</w:t>
      </w:r>
      <w:r>
        <w:t xml:space="preserve">”</w:t>
      </w:r>
      <w:r>
        <w:t xml:space="preserve"> </w:t>
      </w:r>
      <w:r>
        <w:t xml:space="preserve">class. By the maxim</w:t>
      </w:r>
      <w:r>
        <w:t xml:space="preserve"> </w:t>
      </w:r>
      <w:r>
        <w:rPr>
          <w:bCs/>
          <w:b/>
        </w:rPr>
        <w:t xml:space="preserve">अवयवे अचरितार्थं लिङ्गं समुदायोपकारकं भवति</w:t>
      </w:r>
      <w:r>
        <w:t xml:space="preserve"> </w:t>
      </w:r>
      <w:r>
        <w:t xml:space="preserve">(</w:t>
      </w:r>
      <w:r>
        <w:t xml:space="preserve">“</w:t>
      </w:r>
      <w:r>
        <w:t xml:space="preserve">a marker without use in the part serves the whole</w:t>
      </w:r>
      <w:r>
        <w:t xml:space="preserve">”</w:t>
      </w:r>
      <w:r>
        <w:t xml:space="preserve">), the</w:t>
      </w:r>
      <w:r>
        <w:t xml:space="preserve"> </w:t>
      </w:r>
      <w:r>
        <w:t xml:space="preserve">“</w:t>
      </w:r>
      <w:r>
        <w:t xml:space="preserve">ṣ</w:t>
      </w:r>
      <w:r>
        <w:t xml:space="preserve">”</w:t>
      </w:r>
      <w:r>
        <w:t xml:space="preserve">-marking, having no use in the affix, qualifies the stem. The</w:t>
      </w:r>
      <w:r>
        <w:t xml:space="preserve"> </w:t>
      </w:r>
      <w:r>
        <w:t xml:space="preserve">“</w:t>
      </w:r>
      <w:r>
        <w:t xml:space="preserve">ī</w:t>
      </w:r>
      <w:r>
        <w:t xml:space="preserve">”</w:t>
      </w:r>
      <w:r>
        <w:t xml:space="preserve"> </w:t>
      </w:r>
      <w:r>
        <w:t xml:space="preserve">of</w:t>
      </w:r>
      <w:r>
        <w:t xml:space="preserve"> </w:t>
      </w:r>
      <w:r>
        <w:t xml:space="preserve">“</w:t>
      </w:r>
      <w:r>
        <w:t xml:space="preserve">ṅīṣ</w:t>
      </w:r>
      <w:r>
        <w:t xml:space="preserve">”</w:t>
      </w:r>
      <w:r>
        <w:t xml:space="preserve"> </w:t>
      </w:r>
      <w:r>
        <w:t xml:space="preserve">is acute by the affix-accent (</w:t>
      </w:r>
      <w:r>
        <w:rPr>
          <w:bCs/>
          <w:b/>
        </w:rPr>
        <w:t xml:space="preserve">आद्युदात्तश्च</w:t>
      </w:r>
      <w:r>
        <w:t xml:space="preserve">, पा. सू. ३-१-३,</w:t>
      </w:r>
      <w:r>
        <w:t xml:space="preserve"> </w:t>
      </w:r>
      <w:r>
        <w:rPr>
          <w:iCs/>
          <w:i/>
        </w:rPr>
        <w:t xml:space="preserve">ādyudāttaś ca</w:t>
      </w:r>
      <w:r>
        <w:t xml:space="preserve">,</w:t>
      </w:r>
      <w:r>
        <w:t xml:space="preserve"> </w:t>
      </w:r>
      <w:r>
        <w:t xml:space="preserve">“</w:t>
      </w:r>
      <w:r>
        <w:t xml:space="preserve">an affix is first-syllable acute</w:t>
      </w:r>
      <w:r>
        <w:t xml:space="preserve">”</w:t>
      </w:r>
      <w:r>
        <w:t xml:space="preserve">), and the others are unaccented by</w:t>
      </w:r>
      <w:r>
        <w:t xml:space="preserve"> </w:t>
      </w:r>
      <w:r>
        <w:rPr>
          <w:bCs/>
          <w:b/>
        </w:rPr>
        <w:t xml:space="preserve">अनुदात्तं पदमेकवर्जम्</w:t>
      </w:r>
      <w:r>
        <w:t xml:space="preserve"> </w:t>
      </w:r>
      <w:r>
        <w:t xml:space="preserve">(</w:t>
      </w:r>
      <w:r>
        <w:rPr>
          <w:iCs/>
          <w:i/>
        </w:rPr>
        <w:t xml:space="preserve">anudāttaṃ padam eka-varjam</w:t>
      </w:r>
      <w:r>
        <w:t xml:space="preserve">, पा. सू. ६-१-१५८), so</w:t>
      </w:r>
      <w:r>
        <w:t xml:space="preserve"> </w:t>
      </w:r>
      <w:r>
        <w:t xml:space="preserve">“</w:t>
      </w:r>
      <w:r>
        <w:t xml:space="preserve">pṛthivī</w:t>
      </w:r>
      <w:r>
        <w:t xml:space="preserve">”</w:t>
      </w:r>
      <w:r>
        <w:t xml:space="preserve"> </w:t>
      </w:r>
      <w:r>
        <w:t xml:space="preserve">is</w:t>
      </w:r>
      <w:r>
        <w:t xml:space="preserve"> </w:t>
      </w:r>
      <w:r>
        <w:t xml:space="preserve">“</w:t>
      </w:r>
      <w:r>
        <w:t xml:space="preserve">anudāttādi</w:t>
      </w:r>
      <w:r>
        <w:t xml:space="preserve">”</w:t>
      </w:r>
      <w:r>
        <w:t xml:space="preserve"> </w:t>
      </w:r>
      <w:r>
        <w:t xml:space="preserve">(its first syllable unaccented). To express</w:t>
      </w:r>
      <w:r>
        <w:t xml:space="preserve"> </w:t>
      </w:r>
      <w:r>
        <w:t xml:space="preserve">“</w:t>
      </w:r>
      <w:r>
        <w:t xml:space="preserve">a modification of</w:t>
      </w:r>
      <w:r>
        <w:t xml:space="preserve"> </w:t>
      </w:r>
      <w:r>
        <w:t xml:space="preserve">‘</w:t>
      </w:r>
      <w:r>
        <w:t xml:space="preserve">pṛthivī</w:t>
      </w:r>
      <w:r>
        <w:t xml:space="preserve">’</w:t>
      </w:r>
      <w:r>
        <w:t xml:space="preserve">”</w:t>
      </w:r>
      <w:r>
        <w:t xml:space="preserve"> </w:t>
      </w:r>
      <w:r>
        <w:rPr>
          <w:bCs/>
          <w:b/>
        </w:rPr>
        <w:t xml:space="preserve">अनुदात्तादेश्च</w:t>
      </w:r>
      <w:r>
        <w:t xml:space="preserve"> </w:t>
      </w:r>
      <w:r>
        <w:t xml:space="preserve">(पा. सू. ४-३-१४०), with</w:t>
      </w:r>
      <w:r>
        <w:t xml:space="preserve"> </w:t>
      </w:r>
      <w:r>
        <w:t xml:space="preserve">“</w:t>
      </w:r>
      <w:r>
        <w:t xml:space="preserve">añ</w:t>
      </w:r>
      <w:r>
        <w:t xml:space="preserve">”</w:t>
      </w:r>
      <w:r>
        <w:t xml:space="preserve"> </w:t>
      </w:r>
      <w:r>
        <w:t xml:space="preserve">carried over from</w:t>
      </w:r>
      <w:r>
        <w:t xml:space="preserve"> </w:t>
      </w:r>
      <w:r>
        <w:rPr>
          <w:bCs/>
          <w:b/>
        </w:rPr>
        <w:t xml:space="preserve">ओरञ्</w:t>
      </w:r>
      <w:r>
        <w:t xml:space="preserve"> </w:t>
      </w:r>
      <w:r>
        <w:t xml:space="preserve">(पा. सू. ४-३-१३९), gives</w:t>
      </w:r>
      <w:r>
        <w:t xml:space="preserve"> </w:t>
      </w:r>
      <w:r>
        <w:t xml:space="preserve">“</w:t>
      </w:r>
      <w:r>
        <w:t xml:space="preserve">añ</w:t>
      </w:r>
      <w:r>
        <w:t xml:space="preserve">”</w:t>
      </w:r>
      <w:r>
        <w:t xml:space="preserve"> </w:t>
      </w:r>
      <w:r>
        <w:t xml:space="preserve">after a genitive stem whose first syllable is unaccented, in the senses</w:t>
      </w:r>
      <w:r>
        <w:t xml:space="preserve"> </w:t>
      </w:r>
      <w:r>
        <w:t xml:space="preserve">“</w:t>
      </w:r>
      <w:r>
        <w:t xml:space="preserve">modification</w:t>
      </w:r>
      <w:r>
        <w:t xml:space="preserve">”</w:t>
      </w:r>
      <w:r>
        <w:t xml:space="preserve"> </w:t>
      </w:r>
      <w:r>
        <w:t xml:space="preserve">and</w:t>
      </w:r>
      <w:r>
        <w:t xml:space="preserve"> </w:t>
      </w:r>
      <w:r>
        <w:t xml:space="preserve">“</w:t>
      </w:r>
      <w:r>
        <w:t xml:space="preserve">part</w:t>
      </w:r>
      <w:r>
        <w:t xml:space="preserve">”</w:t>
      </w:r>
      <w:r>
        <w:t xml:space="preserve">; since the result ends in a taddhita, it is a stem (</w:t>
      </w:r>
      <w:r>
        <w:rPr>
          <w:bCs/>
          <w:b/>
        </w:rPr>
        <w:t xml:space="preserve">कृत्तद्धितसमासाश्च</w:t>
      </w:r>
      <w:r>
        <w:t xml:space="preserve">,</w:t>
      </w:r>
      <w:r>
        <w:t xml:space="preserve"> </w:t>
      </w:r>
      <w:r>
        <w:rPr>
          <w:iCs/>
          <w:i/>
        </w:rPr>
        <w:t xml:space="preserve">kṛt-taddhita-samāsāś ca</w:t>
      </w:r>
      <w:r>
        <w:t xml:space="preserve">, पा. १-२-४६), and the case-ending is elided by</w:t>
      </w:r>
      <w:r>
        <w:t xml:space="preserve"> </w:t>
      </w:r>
      <w:r>
        <w:rPr>
          <w:bCs/>
          <w:b/>
        </w:rPr>
        <w:t xml:space="preserve">सुपो धातुप्रातिपदिकयोः</w:t>
      </w:r>
      <w:r>
        <w:t xml:space="preserve"> </w:t>
      </w:r>
      <w:r>
        <w:t xml:space="preserve">(पा. २-४-७१); the</w:t>
      </w:r>
      <w:r>
        <w:t xml:space="preserve"> </w:t>
      </w:r>
      <w:r>
        <w:t xml:space="preserve">“</w:t>
      </w:r>
      <w:r>
        <w:t xml:space="preserve">ī</w:t>
      </w:r>
      <w:r>
        <w:t xml:space="preserve">”</w:t>
      </w:r>
      <w:r>
        <w:t xml:space="preserve"> </w:t>
      </w:r>
      <w:r>
        <w:t xml:space="preserve">is dropped by</w:t>
      </w:r>
      <w:r>
        <w:t xml:space="preserve"> </w:t>
      </w:r>
      <w:r>
        <w:rPr>
          <w:bCs/>
          <w:b/>
        </w:rPr>
        <w:t xml:space="preserve">यस्येति च</w:t>
      </w:r>
      <w:r>
        <w:t xml:space="preserve"> </w:t>
      </w:r>
      <w:r>
        <w:t xml:space="preserve">(पा. ६-४-१४८); the first vowel takes vṛddhi by</w:t>
      </w:r>
      <w:r>
        <w:t xml:space="preserve"> </w:t>
      </w:r>
      <w:r>
        <w:rPr>
          <w:bCs/>
          <w:b/>
        </w:rPr>
        <w:t xml:space="preserve">तद्धितेष्वचामादेः</w:t>
      </w:r>
      <w:r>
        <w:t xml:space="preserve"> </w:t>
      </w:r>
      <w:r>
        <w:t xml:space="preserve">(पा. ७-२-११७) —</w:t>
      </w:r>
      <w:r>
        <w:t xml:space="preserve"> </w:t>
      </w:r>
      <w:r>
        <w:t xml:space="preserve">“</w:t>
      </w:r>
      <w:r>
        <w:t xml:space="preserve">ṛ</w:t>
      </w:r>
      <w:r>
        <w:t xml:space="preserve">”</w:t>
      </w:r>
      <w:r>
        <w:t xml:space="preserve"> </w:t>
      </w:r>
      <w:r>
        <w:t xml:space="preserve">→</w:t>
      </w:r>
      <w:r>
        <w:t xml:space="preserve"> </w:t>
      </w:r>
      <w:r>
        <w:t xml:space="preserve">“</w:t>
      </w:r>
      <w:r>
        <w:t xml:space="preserve">ār,</w:t>
      </w:r>
      <w:r>
        <w:t xml:space="preserve">”</w:t>
      </w:r>
      <w:r>
        <w:t xml:space="preserve"> </w:t>
      </w:r>
      <w:r>
        <w:t xml:space="preserve">with</w:t>
      </w:r>
      <w:r>
        <w:t xml:space="preserve"> </w:t>
      </w:r>
      <w:r>
        <w:t xml:space="preserve">“</w:t>
      </w:r>
      <w:r>
        <w:t xml:space="preserve">r</w:t>
      </w:r>
      <w:r>
        <w:t xml:space="preserve">”</w:t>
      </w:r>
      <w:r>
        <w:t xml:space="preserve"> </w:t>
      </w:r>
      <w:r>
        <w:t xml:space="preserve">following by</w:t>
      </w:r>
      <w:r>
        <w:t xml:space="preserve"> </w:t>
      </w:r>
      <w:r>
        <w:rPr>
          <w:bCs/>
          <w:b/>
        </w:rPr>
        <w:t xml:space="preserve">उरण् रपरः</w:t>
      </w:r>
      <w:r>
        <w:t xml:space="preserve"> </w:t>
      </w:r>
      <w:r>
        <w:t xml:space="preserve">(</w:t>
      </w:r>
      <w:r>
        <w:rPr>
          <w:iCs/>
          <w:i/>
        </w:rPr>
        <w:t xml:space="preserve">uraṇ raparaḥ</w:t>
      </w:r>
      <w:r>
        <w:t xml:space="preserve">, पा. १-१-५१); and by</w:t>
      </w:r>
      <w:r>
        <w:t xml:space="preserve"> </w:t>
      </w:r>
      <w:r>
        <w:rPr>
          <w:bCs/>
          <w:b/>
        </w:rPr>
        <w:t xml:space="preserve">ञ्णित्यादिर्नित्यम्</w:t>
      </w:r>
      <w:r>
        <w:t xml:space="preserve"> </w:t>
      </w:r>
      <w:r>
        <w:t xml:space="preserve">(पा. ६-१-१९७) the first syllable is acute. Thus</w:t>
      </w:r>
      <w:r>
        <w:t xml:space="preserve"> </w:t>
      </w:r>
      <w:r>
        <w:t xml:space="preserve">“</w:t>
      </w:r>
      <w:r>
        <w:t xml:space="preserve">pārthiva</w:t>
      </w:r>
      <w:r>
        <w:t xml:space="preserve">”</w:t>
      </w:r>
      <w:r>
        <w:t xml:space="preserve"> </w:t>
      </w:r>
      <w:r>
        <w:t xml:space="preserve">is first-syllable acute.</w:t>
      </w:r>
    </w:p>
    <w:p>
      <w:pPr>
        <w:pStyle w:val="BodyText"/>
      </w:pPr>
      <w:r>
        <w:rPr>
          <w:bCs/>
          <w:b/>
        </w:rPr>
        <w:t xml:space="preserve">“</w:t>
      </w:r>
      <w:r>
        <w:rPr>
          <w:bCs/>
          <w:b/>
        </w:rPr>
        <w:t xml:space="preserve">Adhi</w:t>
      </w:r>
      <w:r>
        <w:rPr>
          <w:bCs/>
          <w:b/>
        </w:rPr>
        <w:t xml:space="preserve">”</w:t>
      </w:r>
      <w:r>
        <w:rPr>
          <w:bCs/>
          <w:b/>
        </w:rPr>
        <w:t xml:space="preserve"> </w:t>
      </w:r>
      <w:r>
        <w:rPr>
          <w:bCs/>
          <w:b/>
        </w:rPr>
        <w:t xml:space="preserve">(अधि).</w:t>
      </w:r>
      <w:r>
        <w:t xml:space="preserve"> </w:t>
      </w:r>
      <w:r>
        <w:t xml:space="preserve">First-syllable acute as a particle (</w:t>
      </w:r>
      <w:r>
        <w:rPr>
          <w:bCs/>
          <w:b/>
        </w:rPr>
        <w:t xml:space="preserve">निपाता आद्युदात्ताः</w:t>
      </w:r>
      <w:r>
        <w:t xml:space="preserve">, printed</w:t>
      </w:r>
      <w:r>
        <w:t xml:space="preserve"> </w:t>
      </w:r>
      <w:r>
        <w:t xml:space="preserve">“</w:t>
      </w:r>
      <w:r>
        <w:t xml:space="preserve">पा. सू. ८०</w:t>
      </w:r>
      <w:r>
        <w:t xml:space="preserve">”</w:t>
      </w:r>
      <w:r>
        <w:t xml:space="preserve">).</w:t>
      </w:r>
    </w:p>
    <w:p>
      <w:pPr>
        <w:pStyle w:val="BodyText"/>
      </w:pPr>
      <w:r>
        <w:rPr>
          <w:bCs/>
          <w:b/>
        </w:rPr>
        <w:t xml:space="preserve">“</w:t>
      </w:r>
      <w:r>
        <w:rPr>
          <w:bCs/>
          <w:b/>
        </w:rPr>
        <w:t xml:space="preserve">Indram</w:t>
      </w:r>
      <w:r>
        <w:rPr>
          <w:bCs/>
          <w:b/>
        </w:rPr>
        <w:t xml:space="preserve">”</w:t>
      </w:r>
      <w:r>
        <w:rPr>
          <w:bCs/>
          <w:b/>
        </w:rPr>
        <w:t xml:space="preserve"> </w:t>
      </w:r>
      <w:r>
        <w:rPr>
          <w:bCs/>
          <w:b/>
        </w:rPr>
        <w:t xml:space="preserve">(इन्द्रम्,</w:t>
      </w:r>
      <w:r>
        <w:rPr>
          <w:bCs/>
          <w:b/>
        </w:rPr>
        <w:t xml:space="preserve"> </w:t>
      </w:r>
      <w:r>
        <w:rPr>
          <w:iCs/>
          <w:i/>
          <w:bCs/>
          <w:b/>
        </w:rPr>
        <w:t xml:space="preserve">indram</w:t>
      </w:r>
      <w:r>
        <w:rPr>
          <w:bCs/>
          <w:b/>
        </w:rPr>
        <w:t xml:space="preserve">).</w:t>
      </w:r>
      <w:r>
        <w:t xml:space="preserve"> </w:t>
      </w:r>
      <w:r>
        <w:rPr>
          <w:bCs/>
          <w:b/>
        </w:rPr>
        <w:t xml:space="preserve">ऋज्रेन्द्राग्र…</w:t>
      </w:r>
      <w:r>
        <w:t xml:space="preserve"> </w:t>
      </w:r>
      <w:r>
        <w:t xml:space="preserve">(</w:t>
      </w:r>
      <w:r>
        <w:rPr>
          <w:iCs/>
          <w:i/>
        </w:rPr>
        <w:t xml:space="preserve">ṛjrendrāgra-…</w:t>
      </w:r>
      <w:r>
        <w:t xml:space="preserve">, उ. सू. २-१८६) — the word ends with the affix</w:t>
      </w:r>
      <w:r>
        <w:t xml:space="preserve"> </w:t>
      </w:r>
      <w:r>
        <w:t xml:space="preserve">“</w:t>
      </w:r>
      <w:r>
        <w:t xml:space="preserve">ran</w:t>
      </w:r>
      <w:r>
        <w:t xml:space="preserve">”</w:t>
      </w:r>
      <w:r>
        <w:t xml:space="preserve"> </w:t>
      </w:r>
      <w:r>
        <w:t xml:space="preserve">and is first-syllable acute.</w:t>
      </w:r>
    </w:p>
    <w:p>
      <w:pPr>
        <w:pStyle w:val="BodyText"/>
      </w:pPr>
      <w:r>
        <w:rPr>
          <w:bCs/>
          <w:b/>
        </w:rPr>
        <w:t xml:space="preserve">“</w:t>
      </w:r>
      <w:r>
        <w:rPr>
          <w:bCs/>
          <w:b/>
        </w:rPr>
        <w:t xml:space="preserve">Mahaḥ</w:t>
      </w:r>
      <w:r>
        <w:rPr>
          <w:bCs/>
          <w:b/>
        </w:rPr>
        <w:t xml:space="preserve">”</w:t>
      </w:r>
      <w:r>
        <w:rPr>
          <w:bCs/>
          <w:b/>
        </w:rPr>
        <w:t xml:space="preserve"> </w:t>
      </w:r>
      <w:r>
        <w:rPr>
          <w:bCs/>
          <w:b/>
        </w:rPr>
        <w:t xml:space="preserve">(महः,</w:t>
      </w:r>
      <w:r>
        <w:rPr>
          <w:bCs/>
          <w:b/>
        </w:rPr>
        <w:t xml:space="preserve"> </w:t>
      </w:r>
      <w:r>
        <w:rPr>
          <w:iCs/>
          <w:i/>
          <w:bCs/>
          <w:b/>
        </w:rPr>
        <w:t xml:space="preserve">mahaḥ</w:t>
      </w:r>
      <w:r>
        <w:rPr>
          <w:bCs/>
          <w:b/>
        </w:rPr>
        <w:t xml:space="preserve">).</w:t>
      </w:r>
      <w:r>
        <w:t xml:space="preserve"> </w:t>
      </w:r>
      <w:r>
        <w:t xml:space="preserve">From</w:t>
      </w:r>
      <w:r>
        <w:t xml:space="preserve"> </w:t>
      </w:r>
      <w:r>
        <w:t xml:space="preserve">“</w:t>
      </w:r>
      <w:r>
        <w:t xml:space="preserve">mahat,</w:t>
      </w:r>
      <w:r>
        <w:t xml:space="preserve">”</w:t>
      </w:r>
      <w:r>
        <w:t xml:space="preserve"> </w:t>
      </w:r>
      <w:r>
        <w:t xml:space="preserve">the</w:t>
      </w:r>
      <w:r>
        <w:t xml:space="preserve"> </w:t>
      </w:r>
      <w:r>
        <w:t xml:space="preserve">“</w:t>
      </w:r>
      <w:r>
        <w:t xml:space="preserve">a</w:t>
      </w:r>
      <w:r>
        <w:t xml:space="preserve">”</w:t>
      </w:r>
      <w:r>
        <w:t xml:space="preserve"> </w:t>
      </w:r>
      <w:r>
        <w:t xml:space="preserve">and</w:t>
      </w:r>
      <w:r>
        <w:t xml:space="preserve"> </w:t>
      </w:r>
      <w:r>
        <w:t xml:space="preserve">“</w:t>
      </w:r>
      <w:r>
        <w:t xml:space="preserve">t</w:t>
      </w:r>
      <w:r>
        <w:t xml:space="preserve">”</w:t>
      </w:r>
      <w:r>
        <w:t xml:space="preserve"> </w:t>
      </w:r>
      <w:r>
        <w:t xml:space="preserve">are dropped by Vedic licence (the printed</w:t>
      </w:r>
      <w:r>
        <w:t xml:space="preserve"> </w:t>
      </w:r>
      <w:r>
        <w:t xml:space="preserve">“</w:t>
      </w:r>
      <w:r>
        <w:t xml:space="preserve">(अत्)</w:t>
      </w:r>
      <w:r>
        <w:t xml:space="preserve">”</w:t>
      </w:r>
      <w:r>
        <w:t xml:space="preserve"> </w:t>
      </w:r>
      <w:r>
        <w:t xml:space="preserve">marks the dropped part). By</w:t>
      </w:r>
      <w:r>
        <w:t xml:space="preserve"> </w:t>
      </w:r>
      <w:r>
        <w:rPr>
          <w:bCs/>
          <w:b/>
        </w:rPr>
        <w:t xml:space="preserve">सावेकाचस्तृतीयादिर्विभक्तिः</w:t>
      </w:r>
      <w:r>
        <w:t xml:space="preserve"> </w:t>
      </w:r>
      <w:r>
        <w:t xml:space="preserve">(</w:t>
      </w:r>
      <w:r>
        <w:rPr>
          <w:iCs/>
          <w:i/>
        </w:rPr>
        <w:t xml:space="preserve">sāvekācas tṛtīyādir vibhaktiḥ</w:t>
      </w:r>
      <w:r>
        <w:t xml:space="preserve">, पा. ६-१-१६८) the case-ending is acute.</w:t>
      </w:r>
    </w:p>
    <w:p>
      <w:pPr>
        <w:pStyle w:val="BodyText"/>
      </w:pPr>
      <w:r>
        <w:rPr>
          <w:bCs/>
          <w:b/>
        </w:rPr>
        <w:t xml:space="preserve">“</w:t>
      </w:r>
      <w:r>
        <w:rPr>
          <w:bCs/>
          <w:b/>
        </w:rPr>
        <w:t xml:space="preserve">Rajasaḥ</w:t>
      </w:r>
      <w:r>
        <w:rPr>
          <w:bCs/>
          <w:b/>
        </w:rPr>
        <w:t xml:space="preserve">”</w:t>
      </w:r>
      <w:r>
        <w:rPr>
          <w:bCs/>
          <w:b/>
        </w:rPr>
        <w:t xml:space="preserve"> </w:t>
      </w:r>
      <w:r>
        <w:rPr>
          <w:bCs/>
          <w:b/>
        </w:rPr>
        <w:t xml:space="preserve">(रजसः,</w:t>
      </w:r>
      <w:r>
        <w:rPr>
          <w:bCs/>
          <w:b/>
        </w:rPr>
        <w:t xml:space="preserve"> </w:t>
      </w:r>
      <w:r>
        <w:rPr>
          <w:iCs/>
          <w:i/>
          <w:bCs/>
          <w:b/>
        </w:rPr>
        <w:t xml:space="preserve">rajasaḥ</w:t>
      </w:r>
      <w:r>
        <w:rPr>
          <w:bCs/>
          <w:b/>
        </w:rPr>
        <w:t xml:space="preserve">).</w:t>
      </w:r>
      <w:r>
        <w:t xml:space="preserve"> </w:t>
      </w:r>
      <w:r>
        <w:t xml:space="preserve">By</w:t>
      </w:r>
      <w:r>
        <w:t xml:space="preserve"> </w:t>
      </w:r>
      <w:r>
        <w:rPr>
          <w:bCs/>
          <w:b/>
        </w:rPr>
        <w:t xml:space="preserve">नब्विषयस्यानिसन्तस्य</w:t>
      </w:r>
      <w:r>
        <w:t xml:space="preserve"> </w:t>
      </w:r>
      <w:r>
        <w:t xml:space="preserve">(</w:t>
      </w:r>
      <w:r>
        <w:rPr>
          <w:iCs/>
          <w:i/>
        </w:rPr>
        <w:t xml:space="preserve">nab-viṣayasyānisantasya</w:t>
      </w:r>
      <w:r>
        <w:t xml:space="preserve">, फि. सू. २६) first-syllable acute. ॥१०॥</w:t>
      </w:r>
    </w:p>
    <w:p>
      <w:r>
        <w:pict>
          <v:rect style="width:0;height:1.5pt" o:hralign="center" o:hrstd="t" o:hr="t"/>
        </w:pict>
      </w:r>
    </w:p>
    <w:p>
      <w:pPr>
        <w:pStyle w:val="FirstParagraph"/>
      </w:pPr>
      <w:r>
        <w:rPr>
          <w:bCs/>
          <w:b/>
        </w:rPr>
        <w:t xml:space="preserve">Close of Sūkta 6 (as printed on p. 257).</w:t>
      </w:r>
      <w:r>
        <w:t xml:space="preserve"> </w:t>
      </w:r>
      <w:r>
        <w:t xml:space="preserve">The print marks the end of the sūkta with a ruled line and the statement (Kannada, translated):</w:t>
      </w:r>
      <w:r>
        <w:t xml:space="preserve"> </w:t>
      </w:r>
      <w:r>
        <w:t xml:space="preserve">“</w:t>
      </w:r>
      <w:r>
        <w:t xml:space="preserve">Here the sixth sūkta in the first maṇḍala is complete. In the Prathamāṣṭaka, Prathamādhyāya, the twelfth varga is complete.</w:t>
      </w:r>
      <w:r>
        <w:t xml:space="preserve">”</w:t>
      </w:r>
      <w:r>
        <w:t xml:space="preserve"> </w:t>
      </w:r>
      <w:r>
        <w:rPr>
          <w:iCs/>
          <w:i/>
        </w:rPr>
        <w:t xml:space="preserve">(In the scan the printed ordinal</w:t>
      </w:r>
      <w:r>
        <w:rPr>
          <w:iCs/>
          <w:i/>
        </w:rPr>
        <w:t xml:space="preserve"> </w:t>
      </w:r>
      <w:r>
        <w:rPr>
          <w:iCs/>
          <w:i/>
        </w:rPr>
        <w:t xml:space="preserve">“</w:t>
      </w:r>
      <w:r>
        <w:rPr>
          <w:iCs/>
          <w:i/>
        </w:rPr>
        <w:t xml:space="preserve">ಎಂಟನೆಯ</w:t>
      </w:r>
      <w:r>
        <w:rPr>
          <w:iCs/>
          <w:i/>
        </w:rPr>
        <w:t xml:space="preserve">”</w:t>
      </w:r>
      <w:r>
        <w:rPr>
          <w:iCs/>
          <w:i/>
        </w:rPr>
        <w:t xml:space="preserve"> </w:t>
      </w:r>
      <w:r>
        <w:rPr>
          <w:iCs/>
          <w:i/>
        </w:rPr>
        <w:t xml:space="preserve">(eighth) is struck through and</w:t>
      </w:r>
      <w:r>
        <w:rPr>
          <w:iCs/>
          <w:i/>
        </w:rPr>
        <w:t xml:space="preserve"> </w:t>
      </w:r>
      <w:r>
        <w:rPr>
          <w:iCs/>
          <w:i/>
        </w:rPr>
        <w:t xml:space="preserve">“</w:t>
      </w:r>
      <w:r>
        <w:rPr>
          <w:iCs/>
          <w:i/>
        </w:rPr>
        <w:t xml:space="preserve">12</w:t>
      </w:r>
      <w:r>
        <w:rPr>
          <w:iCs/>
          <w:i/>
        </w:rPr>
        <w:t xml:space="preserve">”</w:t>
      </w:r>
      <w:r>
        <w:rPr>
          <w:iCs/>
          <w:i/>
        </w:rPr>
        <w:t xml:space="preserve"> </w:t>
      </w:r>
      <w:r>
        <w:rPr>
          <w:iCs/>
          <w:i/>
        </w:rPr>
        <w:t xml:space="preserve">is written by hand below it; the corrected number agrees with the page headers of this varga (Va. 12).)</w:t>
      </w:r>
    </w:p>
    <w:p>
      <w:pPr>
        <w:pStyle w:val="BodyText"/>
      </w:pPr>
      <w:r>
        <w:rPr>
          <w:iCs/>
          <w:i/>
        </w:rPr>
        <w:t xml:space="preserve">(Printed p. 257 then continues with the heading</w:t>
      </w:r>
      <w:r>
        <w:rPr>
          <w:iCs/>
          <w:i/>
        </w:rPr>
        <w:t xml:space="preserve"> </w:t>
      </w:r>
      <w:r>
        <w:rPr>
          <w:iCs/>
          <w:i/>
        </w:rPr>
        <w:t xml:space="preserve">“</w:t>
      </w:r>
      <w:r>
        <w:rPr>
          <w:iCs/>
          <w:i/>
        </w:rPr>
        <w:t xml:space="preserve">॥ ॐ ॥ — ಏಳನೆಯ ಸೂಕ್ತವು — Seventh Sūkta</w:t>
      </w:r>
      <w:r>
        <w:rPr>
          <w:iCs/>
          <w:i/>
        </w:rPr>
        <w:t xml:space="preserve">”</w:t>
      </w:r>
      <w:r>
        <w:rPr>
          <w:iCs/>
          <w:i/>
        </w:rPr>
        <w:t xml:space="preserve"> </w:t>
      </w:r>
      <w:r>
        <w:rPr>
          <w:iCs/>
          <w:i/>
        </w:rPr>
        <w:t xml:space="preserve">and the opening of Sāyaṇa’s bhāṣya on Sūkta 7,</w:t>
      </w:r>
      <w:r>
        <w:rPr>
          <w:iCs/>
          <w:i/>
        </w:rPr>
        <w:t xml:space="preserve"> </w:t>
      </w:r>
      <w:r>
        <w:rPr>
          <w:iCs/>
          <w:i/>
        </w:rPr>
        <w:t xml:space="preserve">“</w:t>
      </w:r>
      <w:r>
        <w:rPr>
          <w:iCs/>
          <w:i/>
        </w:rPr>
        <w:t xml:space="preserve">indram ity ādikaṃ daśarcam…</w:t>
      </w:r>
      <w:r>
        <w:rPr>
          <w:iCs/>
          <w:i/>
        </w:rPr>
        <w:t xml:space="preserve">”</w:t>
      </w:r>
      <w:r>
        <w:rPr>
          <w:iCs/>
          <w:i/>
        </w:rPr>
        <w:t xml:space="preserve">; that belongs to the next batch and is not translated here.)</w:t>
      </w:r>
    </w:p>
    <w:p>
      <w:r>
        <w:pict>
          <v:rect style="width:0;height:1.5pt" o:hralign="center" o:hrstd="t" o:hr="t"/>
        </w:pict>
      </w:r>
    </w:p>
    <w:bookmarkEnd w:id="289"/>
    <w:bookmarkStart w:id="290" w:name="page-257-lower-half-opening-of-sūkta-7"/>
    <w:p>
      <w:pPr>
        <w:pStyle w:val="Heading3"/>
      </w:pPr>
      <w:r>
        <w:t xml:space="preserve">Page 257 (lower half) — opening of Sūkta 7</w:t>
      </w:r>
    </w:p>
    <w:p>
      <w:pPr>
        <w:pStyle w:val="FirstParagraph"/>
      </w:pPr>
      <w:r>
        <w:rPr>
          <w:bCs/>
          <w:b/>
        </w:rPr>
        <w:t xml:space="preserve">॥ ॐ ॥</w:t>
      </w:r>
    </w:p>
    <w:bookmarkEnd w:id="290"/>
    <w:bookmarkEnd w:id="291"/>
    <w:bookmarkStart w:id="620" w:name="X6517d59217fd37981e0bfe145fce31a7362f835"/>
    <w:p>
      <w:pPr>
        <w:pStyle w:val="Heading2"/>
      </w:pPr>
      <w:r>
        <w:t xml:space="preserve">Sūkta 7 —</w:t>
      </w:r>
      <w:r>
        <w:t xml:space="preserve"> </w:t>
      </w:r>
      <w:r>
        <w:rPr>
          <w:iCs/>
          <w:i/>
        </w:rPr>
        <w:t xml:space="preserve">“</w:t>
      </w:r>
      <w:r>
        <w:rPr>
          <w:iCs/>
          <w:i/>
        </w:rPr>
        <w:t xml:space="preserve">indram id gāthino bṛhat</w:t>
      </w:r>
      <w:r>
        <w:rPr>
          <w:iCs/>
          <w:i/>
        </w:rPr>
        <w:t xml:space="preserve">”</w:t>
      </w:r>
      <w:r>
        <w:t xml:space="preserve"> </w:t>
      </w:r>
      <w:r>
        <w:t xml:space="preserve">(ಏಳನೆಯ ಸೂಕ್ತವು,</w:t>
      </w:r>
      <w:r>
        <w:t xml:space="preserve"> </w:t>
      </w:r>
      <w:r>
        <w:t xml:space="preserve">“</w:t>
      </w:r>
      <w:r>
        <w:t xml:space="preserve">The Seventh Sūkta</w:t>
      </w:r>
      <w:r>
        <w:t xml:space="preserve">”</w:t>
      </w:r>
      <w:r>
        <w:t xml:space="preserve">)</w:t>
      </w:r>
    </w:p>
    <w:p>
      <w:pPr>
        <w:pStyle w:val="FirstParagraph"/>
      </w:pPr>
      <w:r>
        <w:rPr>
          <w:bCs/>
          <w:b/>
        </w:rPr>
        <w:t xml:space="preserve">॥ Sāyaṇa-bhāṣyam ॥ (introductory note on the application of the sūkta)</w:t>
      </w:r>
    </w:p>
    <w:p>
      <w:pPr>
        <w:pStyle w:val="BlockText"/>
      </w:pPr>
      <w:r>
        <w:t xml:space="preserve">इन्द्रमित्यादिकं दशर्चं यत्सूक्तं तत्सुरूपकृत्नुमित्यादिषु चतुर्थम् । ऋषिश्छन्दोदेवता विनियोगश्च पूर्ववत् । विशेषविनियोगस्तूच्यते । महाव्रते निष्केवल्यशस्त्रे इन्द्रमिद्गाथिन इति सूक्तम् । तथा च पञ्चमारण्यके सूत्रितम् । शिरोगायत्रमिन्द्रमिद्गाथिनः । ऐ. आ. ५-२-१ । इति । तथा चतुर्विंशेऽहनि ब्राह्मणाच्छंसिनः शस्त्रे इन्द्रमिद्गाथिन इति षळहस्तोत्रियस्तृचः । चतुर्विंशे होताजनिष्वेत्युपक्रम्य आयाहि सुषुमा हि त इन्द्रमिद्गाथिनो बृहत् । आ. ७-२ [?] । इति सूत्रितत्वात् । अतिरात्रे प्रथमे पर्यायेऽच्छावाकशस्त्रेऽयमेव तृचोऽनुरूपः । सूत्रितं च इन्द्राय मद्वने सुतमिन्द्रमिद्गाथिनो बृहत् । आ. ६-४ । इति ॥</w:t>
      </w:r>
    </w:p>
    <w:p>
      <w:pPr>
        <w:pStyle w:val="BlockText"/>
      </w:pPr>
      <w:r>
        <w:rPr>
          <w:iCs/>
          <w:i/>
        </w:rPr>
        <w:t xml:space="preserve">indram ity-ādikaṃ daśarcaṃ yat sūktaṃ tat surūpakṛtnum ity-ādiṣu caturtham | ṛṣi-chando-devatā viniyogaś ca pūrvavat | viśeṣa-viniyogas tūcyate | mahāvrate niṣkevalya-śastre indram id gāthina iti sūktam | tathā ca pañcamāraṇyake sūtritam | śiro-gāyatram indram id gāthinaḥ | ai. ā. 5-2-1 | iti | tathā caturviṃśe ’hani brāhmaṇācchaṃsinaḥ śastre indram id gāthina iti ṣaḷaha-stotriyas tṛcaḥ | caturviṃśe hotājaniṣṭety upakramya āyāhi suṣumā hi ta indram id gāthino bṛhat | ā. 7-2 [?] | iti sūtritatvāt | atirātre prathame paryāye ’cchāvāka-śastre ’yam eva tṛco ’nurūpaḥ | sūtritaṃ ca indrāya madvane sutam indram id gāthino bṛhat | ā. 6-4 | iti ||</w:t>
      </w:r>
    </w:p>
    <w:p>
      <w:pPr>
        <w:pStyle w:val="FirstParagraph"/>
      </w:pPr>
      <w:r>
        <w:rPr>
          <w:bCs/>
          <w:b/>
        </w:rPr>
        <w:t xml:space="preserve">Translation:</w:t>
      </w:r>
      <w:r>
        <w:t xml:space="preserve"> </w:t>
      </w:r>
      <w:r>
        <w:t xml:space="preserve">“</w:t>
      </w:r>
      <w:r>
        <w:t xml:space="preserve">The sūkta of ten riks beginning</w:t>
      </w:r>
      <w:r>
        <w:t xml:space="preserve"> </w:t>
      </w:r>
      <w:r>
        <w:rPr>
          <w:iCs/>
          <w:i/>
        </w:rPr>
        <w:t xml:space="preserve">indram</w:t>
      </w:r>
      <w:r>
        <w:t xml:space="preserve"> </w:t>
      </w:r>
      <w:r>
        <w:t xml:space="preserve">is the fourth among those beginning</w:t>
      </w:r>
      <w:r>
        <w:t xml:space="preserve"> </w:t>
      </w:r>
      <w:r>
        <w:rPr>
          <w:iCs/>
          <w:i/>
        </w:rPr>
        <w:t xml:space="preserve">surūpakṛtnum</w:t>
      </w:r>
      <w:r>
        <w:t xml:space="preserve"> </w:t>
      </w:r>
      <w:r>
        <w:t xml:space="preserve">[i.e., the fourth sūkta of that anuvāka]. Its ṛṣi, meter, deity and application are as before. Its</w:t>
      </w:r>
      <w:r>
        <w:t xml:space="preserve"> </w:t>
      </w:r>
      <w:r>
        <w:rPr>
          <w:bCs/>
          <w:b/>
        </w:rPr>
        <w:t xml:space="preserve">special application</w:t>
      </w:r>
      <w:r>
        <w:t xml:space="preserve"> </w:t>
      </w:r>
      <w:r>
        <w:t xml:space="preserve">is now stated. In the</w:t>
      </w:r>
      <w:r>
        <w:t xml:space="preserve"> </w:t>
      </w:r>
      <w:r>
        <w:rPr>
          <w:bCs/>
          <w:b/>
        </w:rPr>
        <w:t xml:space="preserve">Mahāvrata</w:t>
      </w:r>
      <w:r>
        <w:t xml:space="preserve"> </w:t>
      </w:r>
      <w:r>
        <w:t xml:space="preserve">rite, the sūkta</w:t>
      </w:r>
      <w:r>
        <w:t xml:space="preserve"> </w:t>
      </w:r>
      <w:r>
        <w:rPr>
          <w:iCs/>
          <w:i/>
        </w:rPr>
        <w:t xml:space="preserve">indram id gāthinaḥ</w:t>
      </w:r>
      <w:r>
        <w:t xml:space="preserve"> </w:t>
      </w:r>
      <w:r>
        <w:t xml:space="preserve">is used in the</w:t>
      </w:r>
      <w:r>
        <w:t xml:space="preserve"> </w:t>
      </w:r>
      <w:r>
        <w:rPr>
          <w:iCs/>
          <w:i/>
        </w:rPr>
        <w:t xml:space="preserve">niṣkevalya-śastra</w:t>
      </w:r>
      <w:r>
        <w:t xml:space="preserve">. So it is laid down in the Fifth Āraṇyaka:</w:t>
      </w:r>
      <w:r>
        <w:t xml:space="preserve"> </w:t>
      </w:r>
      <w:r>
        <w:t xml:space="preserve">‘</w:t>
      </w:r>
      <w:r>
        <w:rPr>
          <w:iCs/>
          <w:i/>
        </w:rPr>
        <w:t xml:space="preserve">śiro-gāyatram indram id gāthinaḥ</w:t>
      </w:r>
      <w:r>
        <w:t xml:space="preserve">’</w:t>
      </w:r>
      <w:r>
        <w:t xml:space="preserve"> </w:t>
      </w:r>
      <w:r>
        <w:t xml:space="preserve">(Aitareya Āraṇyaka 5-2-1). Likewise, on the</w:t>
      </w:r>
      <w:r>
        <w:t xml:space="preserve"> </w:t>
      </w:r>
      <w:r>
        <w:rPr>
          <w:bCs/>
          <w:b/>
        </w:rPr>
        <w:t xml:space="preserve">twenty-fourth day</w:t>
      </w:r>
      <w:r>
        <w:t xml:space="preserve"> </w:t>
      </w:r>
      <w:r>
        <w:t xml:space="preserve">[of the Ṣaḷaha-related rite], in the śastra of the Brāhmaṇācchaṃsin, the</w:t>
      </w:r>
      <w:r>
        <w:t xml:space="preserve"> </w:t>
      </w:r>
      <w:r>
        <w:rPr>
          <w:iCs/>
          <w:i/>
        </w:rPr>
        <w:t xml:space="preserve">ṣaḷaha-stotriya</w:t>
      </w:r>
      <w:r>
        <w:t xml:space="preserve"> </w:t>
      </w:r>
      <w:r>
        <w:t xml:space="preserve">triplet is</w:t>
      </w:r>
      <w:r>
        <w:t xml:space="preserve"> </w:t>
      </w:r>
      <w:r>
        <w:rPr>
          <w:iCs/>
          <w:i/>
        </w:rPr>
        <w:t xml:space="preserve">indram id gāthinaḥ</w:t>
      </w:r>
      <w:r>
        <w:t xml:space="preserve"> </w:t>
      </w:r>
      <w:r>
        <w:t xml:space="preserve">— as laid down in the (Āśvalāyana) sūtra, which, beginning from</w:t>
      </w:r>
      <w:r>
        <w:t xml:space="preserve"> </w:t>
      </w:r>
      <w:r>
        <w:t xml:space="preserve">‘</w:t>
      </w:r>
      <w:r>
        <w:t xml:space="preserve">on the twenty-fourth [day] the hotā …</w:t>
      </w:r>
      <w:r>
        <w:t xml:space="preserve">’</w:t>
      </w:r>
      <w:r>
        <w:t xml:space="preserve">, continues</w:t>
      </w:r>
      <w:r>
        <w:t xml:space="preserve"> </w:t>
      </w:r>
      <w:r>
        <w:t xml:space="preserve">‘</w:t>
      </w:r>
      <w:r>
        <w:rPr>
          <w:iCs/>
          <w:i/>
        </w:rPr>
        <w:t xml:space="preserve">āyāhi suṣumā hi ta</w:t>
      </w:r>
      <w:r>
        <w:t xml:space="preserve">’</w:t>
      </w:r>
      <w:r>
        <w:t xml:space="preserve"> </w:t>
      </w:r>
      <w:r>
        <w:t xml:space="preserve">and</w:t>
      </w:r>
      <w:r>
        <w:t xml:space="preserve"> </w:t>
      </w:r>
      <w:r>
        <w:t xml:space="preserve">‘</w:t>
      </w:r>
      <w:r>
        <w:rPr>
          <w:iCs/>
          <w:i/>
        </w:rPr>
        <w:t xml:space="preserve">indram id gāthino bṛhat</w:t>
      </w:r>
      <w:r>
        <w:t xml:space="preserve">’</w:t>
      </w:r>
      <w:r>
        <w:t xml:space="preserve"> </w:t>
      </w:r>
      <w:r>
        <w:t xml:space="preserve">(Āśvalāyana, ref.</w:t>
      </w:r>
      <w:r>
        <w:t xml:space="preserve">”</w:t>
      </w:r>
      <w:r>
        <w:t xml:space="preserve">7-2” [?], the first digit unclear). In the</w:t>
      </w:r>
      <w:r>
        <w:t xml:space="preserve"> </w:t>
      </w:r>
      <w:r>
        <w:rPr>
          <w:bCs/>
          <w:b/>
        </w:rPr>
        <w:t xml:space="preserve">Atirātra</w:t>
      </w:r>
      <w:r>
        <w:t xml:space="preserve">, in the first paryāya, in the Acchāvāka’s śastra, this very triplet is the</w:t>
      </w:r>
      <w:r>
        <w:t xml:space="preserve"> </w:t>
      </w:r>
      <w:r>
        <w:rPr>
          <w:iCs/>
          <w:i/>
        </w:rPr>
        <w:t xml:space="preserve">anurūpa</w:t>
      </w:r>
      <w:r>
        <w:t xml:space="preserve">; and it is so laid down:</w:t>
      </w:r>
      <w:r>
        <w:t xml:space="preserve"> </w:t>
      </w:r>
      <w:r>
        <w:t xml:space="preserve">‘</w:t>
      </w:r>
      <w:r>
        <w:rPr>
          <w:iCs/>
          <w:i/>
        </w:rPr>
        <w:t xml:space="preserve">indrāya madvane sutam</w:t>
      </w:r>
      <w:r>
        <w:t xml:space="preserve">,</w:t>
      </w:r>
      <w:r>
        <w:t xml:space="preserve"> </w:t>
      </w:r>
      <w:r>
        <w:rPr>
          <w:iCs/>
          <w:i/>
        </w:rPr>
        <w:t xml:space="preserve">indram id gāthino bṛhat</w:t>
      </w:r>
      <w:r>
        <w:t xml:space="preserve">’</w:t>
      </w:r>
      <w:r>
        <w:t xml:space="preserve"> </w:t>
      </w:r>
      <w:r>
        <w:t xml:space="preserve">(ref.</w:t>
      </w:r>
      <w:r>
        <w:t xml:space="preserve"> </w:t>
      </w:r>
      <w:r>
        <w:t xml:space="preserve">“</w:t>
      </w:r>
      <w:r>
        <w:t xml:space="preserve">ā. 6-4</w:t>
      </w:r>
      <w:r>
        <w:t xml:space="preserve">”</w:t>
      </w:r>
      <w:r>
        <w:t xml:space="preserve">).”</w:t>
      </w:r>
    </w:p>
    <w:p>
      <w:pPr>
        <w:pStyle w:val="BodyText"/>
      </w:pPr>
      <w:r>
        <w:rPr>
          <w:bCs/>
          <w:b/>
        </w:rPr>
        <w:t xml:space="preserve">॥ Anuvāda (Kannada rendering of the above) ॥</w:t>
      </w:r>
    </w:p>
    <w:p>
      <w:pPr>
        <w:pStyle w:val="BodyText"/>
      </w:pPr>
      <w:r>
        <w:t xml:space="preserve">This sūkta</w:t>
      </w:r>
      <w:r>
        <w:t xml:space="preserve"> </w:t>
      </w:r>
      <w:r>
        <w:rPr>
          <w:iCs/>
          <w:i/>
        </w:rPr>
        <w:t xml:space="preserve">indram id gāthino bṛhat</w:t>
      </w:r>
      <w:r>
        <w:t xml:space="preserve"> </w:t>
      </w:r>
      <w:r>
        <w:t xml:space="preserve">is the fourth (last) sūkta of the second anuvāka, which begins with</w:t>
      </w:r>
      <w:r>
        <w:t xml:space="preserve"> </w:t>
      </w:r>
      <w:r>
        <w:rPr>
          <w:iCs/>
          <w:i/>
        </w:rPr>
        <w:t xml:space="preserve">surūpakṛtnum ūtaye</w:t>
      </w:r>
      <w:r>
        <w:t xml:space="preserve">. It has ten riks. Its ṛṣi, deity, meters and application are the same as in the preceding sūkta. It does, however, have a</w:t>
      </w:r>
      <w:r>
        <w:t xml:space="preserve"> </w:t>
      </w:r>
      <w:r>
        <w:rPr>
          <w:bCs/>
          <w:b/>
        </w:rPr>
        <w:t xml:space="preserve">special application</w:t>
      </w:r>
      <w:r>
        <w:t xml:space="preserve">: in the sacrifice called</w:t>
      </w:r>
      <w:r>
        <w:t xml:space="preserve"> </w:t>
      </w:r>
      <w:r>
        <w:rPr>
          <w:bCs/>
          <w:b/>
        </w:rPr>
        <w:t xml:space="preserve">Mahāvrata</w:t>
      </w:r>
      <w:r>
        <w:t xml:space="preserve">, the sūkta</w:t>
      </w:r>
      <w:r>
        <w:t xml:space="preserve"> </w:t>
      </w:r>
      <w:r>
        <w:rPr>
          <w:iCs/>
          <w:i/>
        </w:rPr>
        <w:t xml:space="preserve">indram id gāthino</w:t>
      </w:r>
      <w:r>
        <w:t xml:space="preserve"> </w:t>
      </w:r>
      <w:r>
        <w:t xml:space="preserve">is recited as the</w:t>
      </w:r>
      <w:r>
        <w:t xml:space="preserve"> </w:t>
      </w:r>
      <w:r>
        <w:rPr>
          <w:iCs/>
          <w:i/>
        </w:rPr>
        <w:t xml:space="preserve">niṣkevalya-śastra</w:t>
      </w:r>
      <w:r>
        <w:t xml:space="preserve"> </w:t>
      </w:r>
      <w:r>
        <w:t xml:space="preserve">mantra. This is stated in the Aitareya Āraṇyaka (the fifth āraṇyaka —</w:t>
      </w:r>
      <w:r>
        <w:t xml:space="preserve"> </w:t>
      </w:r>
      <w:r>
        <w:t xml:space="preserve">“</w:t>
      </w:r>
      <w:r>
        <w:t xml:space="preserve">Pañcamāraṇyaka</w:t>
      </w:r>
      <w:r>
        <w:t xml:space="preserve">”</w:t>
      </w:r>
      <w:r>
        <w:t xml:space="preserve">) in the words</w:t>
      </w:r>
      <w:r>
        <w:t xml:space="preserve"> </w:t>
      </w:r>
      <w:r>
        <w:rPr>
          <w:iCs/>
          <w:i/>
        </w:rPr>
        <w:t xml:space="preserve">śiro-gāyatram indram id gāthinaḥ</w:t>
      </w:r>
      <w:r>
        <w:t xml:space="preserve">. And on the</w:t>
      </w:r>
      <w:r>
        <w:t xml:space="preserve"> </w:t>
      </w:r>
      <w:r>
        <w:rPr>
          <w:bCs/>
          <w:b/>
        </w:rPr>
        <w:t xml:space="preserve">twenty-fourth day</w:t>
      </w:r>
      <w:r>
        <w:t xml:space="preserve"> </w:t>
      </w:r>
      <w:r>
        <w:t xml:space="preserve">[of the rite], when the Brāhmaṇācchaṃsin — a priest of the hotṛ group — recites the triplet called</w:t>
      </w:r>
      <w:r>
        <w:t xml:space="preserve"> </w:t>
      </w:r>
      <w:r>
        <w:rPr>
          <w:iCs/>
          <w:i/>
        </w:rPr>
        <w:t xml:space="preserve">ṣaḷaha-stotriya</w:t>
      </w:r>
      <w:r>
        <w:t xml:space="preserve">, the rik</w:t>
      </w:r>
      <w:r>
        <w:t xml:space="preserve"> </w:t>
      </w:r>
      <w:r>
        <w:rPr>
          <w:iCs/>
          <w:i/>
        </w:rPr>
        <w:t xml:space="preserve">indram id gāthino</w:t>
      </w:r>
      <w:r>
        <w:t xml:space="preserve"> </w:t>
      </w:r>
      <w:r>
        <w:t xml:space="preserve">is to be recited; this is stated in the Āśvalāyana sūtra (Ā. Sū. 7-2 [?]), in the words</w:t>
      </w:r>
      <w:r>
        <w:t xml:space="preserve"> </w:t>
      </w:r>
      <w:r>
        <w:t xml:space="preserve">“</w:t>
      </w:r>
      <w:r>
        <w:rPr>
          <w:iCs/>
          <w:i/>
        </w:rPr>
        <w:t xml:space="preserve">caturviṃśe hotājaniṣṭety upakramyāyāhi suṣumā hi ta indram id gāthino bṛhat</w:t>
      </w:r>
      <w:r>
        <w:t xml:space="preserve">.</w:t>
      </w:r>
      <w:r>
        <w:t xml:space="preserve">”</w:t>
      </w:r>
      <w:r>
        <w:t xml:space="preserve"> </w:t>
      </w:r>
      <w:r>
        <w:t xml:space="preserve">That is: in the Āśvalāyana Śrauta-sūtra, in the section</w:t>
      </w:r>
      <w:r>
        <w:t xml:space="preserve"> </w:t>
      </w:r>
      <w:r>
        <w:rPr>
          <w:iCs/>
          <w:i/>
        </w:rPr>
        <w:t xml:space="preserve">hotājaniṣṭa</w:t>
      </w:r>
      <w:r>
        <w:t xml:space="preserve">, the rik</w:t>
      </w:r>
      <w:r>
        <w:t xml:space="preserve"> </w:t>
      </w:r>
      <w:r>
        <w:rPr>
          <w:iCs/>
          <w:i/>
        </w:rPr>
        <w:t xml:space="preserve">ā yāhi suṣumā hi te</w:t>
      </w:r>
      <w:r>
        <w:t xml:space="preserve"> </w:t>
      </w:r>
      <w:r>
        <w:t xml:space="preserve">(Ṛgveda Saṃhitā 8-17-1) and the rik</w:t>
      </w:r>
      <w:r>
        <w:t xml:space="preserve"> </w:t>
      </w:r>
      <w:r>
        <w:rPr>
          <w:iCs/>
          <w:i/>
        </w:rPr>
        <w:t xml:space="preserve">indram id gāthino bṛhat</w:t>
      </w:r>
      <w:r>
        <w:t xml:space="preserve"> </w:t>
      </w:r>
      <w:r>
        <w:t xml:space="preserve">(Ṛgveda Saṃhitā 1-7-1) are to be recited, on the twenty-fourth day, in the triplet called</w:t>
      </w:r>
      <w:r>
        <w:t xml:space="preserve"> </w:t>
      </w:r>
      <w:r>
        <w:rPr>
          <w:iCs/>
          <w:i/>
        </w:rPr>
        <w:t xml:space="preserve">ṣaḷaha-stotriya</w:t>
      </w:r>
      <w:r>
        <w:t xml:space="preserve">. And in the Āraṇyaka too:</w:t>
      </w:r>
      <w:r>
        <w:t xml:space="preserve"> </w:t>
      </w:r>
      <w:r>
        <w:t xml:space="preserve">“</w:t>
      </w:r>
      <w:r>
        <w:rPr>
          <w:iCs/>
          <w:i/>
        </w:rPr>
        <w:t xml:space="preserve">indrāya madvane sutam, indram id gāthino bṛhat</w:t>
      </w:r>
      <w:r>
        <w:t xml:space="preserve">”</w:t>
      </w:r>
      <w:r>
        <w:t xml:space="preserve"> </w:t>
      </w:r>
      <w:r>
        <w:t xml:space="preserve">(Āraṇyaka 6-4) — that is, the rik</w:t>
      </w:r>
      <w:r>
        <w:t xml:space="preserve"> </w:t>
      </w:r>
      <w:r>
        <w:rPr>
          <w:iCs/>
          <w:i/>
        </w:rPr>
        <w:t xml:space="preserve">indrāya madvane sutam</w:t>
      </w:r>
      <w:r>
        <w:t xml:space="preserve"> </w:t>
      </w:r>
      <w:r>
        <w:t xml:space="preserve">(Ṛgveda Saṃhitā 8-92-19) and the rik</w:t>
      </w:r>
      <w:r>
        <w:t xml:space="preserve"> </w:t>
      </w:r>
      <w:r>
        <w:rPr>
          <w:iCs/>
          <w:i/>
        </w:rPr>
        <w:t xml:space="preserve">indram id gāthino bṛhat</w:t>
      </w:r>
      <w:r>
        <w:t xml:space="preserve"> </w:t>
      </w:r>
      <w:r>
        <w:t xml:space="preserve">are to be recited together in the triplet mentioned above — so the sūtra directs.</w:t>
      </w:r>
    </w:p>
    <w:bookmarkStart w:id="292" w:name="page-258-sūkta-7-rik-1"/>
    <w:p>
      <w:pPr>
        <w:pStyle w:val="Heading3"/>
      </w:pPr>
      <w:r>
        <w:t xml:space="preserve">Page 258 — Sūkta 7, Rik 1</w:t>
      </w:r>
    </w:p>
    <w:p>
      <w:pPr>
        <w:pStyle w:val="FirstParagraph"/>
      </w:pPr>
      <w:r>
        <w:rPr>
          <w:iCs/>
          <w:i/>
        </w:rPr>
        <w:t xml:space="preserve">(The top of this page carries the end of the Kannada anuvāda translated above; its content is given there.)</w:t>
      </w:r>
    </w:p>
    <w:p>
      <w:pPr>
        <w:pStyle w:val="BodyText"/>
      </w:pPr>
      <w:r>
        <w:rPr>
          <w:bCs/>
          <w:b/>
        </w:rPr>
        <w:t xml:space="preserve">॥ Sūkta — 7 ॥</w:t>
      </w:r>
      <w:r>
        <w:t xml:space="preserve"> </w:t>
      </w:r>
      <w:r>
        <w:rPr>
          <w:bCs/>
          <w:b/>
        </w:rPr>
        <w:t xml:space="preserve">॥ Maṇḍala — 1 ॥ Anuvāka — 2 ॥ Sūkta — 7 ॥</w:t>
      </w:r>
      <w:r>
        <w:t xml:space="preserve"> </w:t>
      </w:r>
      <w:r>
        <w:rPr>
          <w:bCs/>
          <w:b/>
        </w:rPr>
        <w:t xml:space="preserve">॥ Aṣṭaka — 1 ॥ Adhyāya — 1 ॥ Varga — 13, 14 ॥</w:t>
      </w:r>
      <w:r>
        <w:t xml:space="preserve"> </w:t>
      </w:r>
      <w:r>
        <w:rPr>
          <w:iCs/>
          <w:i/>
        </w:rPr>
        <w:t xml:space="preserve">(re-read from the better scan; it agrees with the hand-corrected</w:t>
      </w:r>
      <w:r>
        <w:rPr>
          <w:iCs/>
          <w:i/>
        </w:rPr>
        <w:t xml:space="preserve"> </w:t>
      </w:r>
      <w:r>
        <w:rPr>
          <w:iCs/>
          <w:i/>
        </w:rPr>
        <w:t xml:space="preserve">“</w:t>
      </w:r>
      <w:r>
        <w:rPr>
          <w:iCs/>
          <w:i/>
        </w:rPr>
        <w:t xml:space="preserve">12</w:t>
      </w:r>
      <w:r>
        <w:rPr>
          <w:iCs/>
          <w:i/>
        </w:rPr>
        <w:t xml:space="preserve">”</w:t>
      </w:r>
      <w:r>
        <w:rPr>
          <w:iCs/>
          <w:i/>
        </w:rPr>
        <w:t xml:space="preserve"> </w:t>
      </w:r>
      <w:r>
        <w:rPr>
          <w:iCs/>
          <w:i/>
        </w:rPr>
        <w:t xml:space="preserve">of the Sūkta 6 colophon and the</w:t>
      </w:r>
      <w:r>
        <w:rPr>
          <w:iCs/>
          <w:i/>
        </w:rPr>
        <w:t xml:space="preserve"> </w:t>
      </w:r>
      <w:r>
        <w:rPr>
          <w:iCs/>
          <w:i/>
        </w:rPr>
        <w:t xml:space="preserve">“</w:t>
      </w:r>
      <w:r>
        <w:rPr>
          <w:iCs/>
          <w:i/>
        </w:rPr>
        <w:t xml:space="preserve">Va. 13</w:t>
      </w:r>
      <w:r>
        <w:rPr>
          <w:iCs/>
          <w:i/>
        </w:rPr>
        <w:t xml:space="preserve">”</w:t>
      </w:r>
      <w:r>
        <w:rPr>
          <w:iCs/>
          <w:i/>
        </w:rPr>
        <w:t xml:space="preserve"> </w:t>
      </w:r>
      <w:r>
        <w:rPr>
          <w:iCs/>
          <w:i/>
        </w:rPr>
        <w:t xml:space="preserve">header of p. 257.)</w:t>
      </w:r>
      <w:r>
        <w:t xml:space="preserve"> </w:t>
      </w:r>
      <w:r>
        <w:rPr>
          <w:bCs/>
          <w:b/>
        </w:rPr>
        <w:t xml:space="preserve">॥ Mantras contained in this sūkta: 1–10 ॥</w:t>
      </w:r>
      <w:r>
        <w:t xml:space="preserve"> </w:t>
      </w:r>
      <w:r>
        <w:rPr>
          <w:bCs/>
          <w:b/>
        </w:rPr>
        <w:t xml:space="preserve">॥ Ṛṣi — Madhucchandā Vaiśvāmitra ॥</w:t>
      </w:r>
      <w:r>
        <w:t xml:space="preserve"> </w:t>
      </w:r>
      <w:r>
        <w:rPr>
          <w:bCs/>
          <w:b/>
        </w:rPr>
        <w:t xml:space="preserve">॥ Devatā — Indra ॥</w:t>
      </w:r>
      <w:r>
        <w:t xml:space="preserve"> </w:t>
      </w:r>
      <w:r>
        <w:rPr>
          <w:bCs/>
          <w:b/>
        </w:rPr>
        <w:t xml:space="preserve">॥ Chandaḥ — Gāyatrī ॥</w:t>
      </w:r>
    </w:p>
    <w:p>
      <w:pPr>
        <w:pStyle w:val="BodyText"/>
      </w:pPr>
      <w:r>
        <w:rPr>
          <w:iCs/>
          <w:i/>
        </w:rPr>
        <w:t xml:space="preserve">(Saṃhitā accents as printed; Pada unaccented. In the first line the print has, over</w:t>
      </w:r>
      <w:r>
        <w:rPr>
          <w:iCs/>
          <w:i/>
        </w:rPr>
        <w:t xml:space="preserve"> </w:t>
      </w:r>
      <w:r>
        <w:rPr>
          <w:iCs/>
          <w:i/>
        </w:rPr>
        <w:t xml:space="preserve">“</w:t>
      </w:r>
      <w:r>
        <w:rPr>
          <w:iCs/>
          <w:i/>
        </w:rPr>
        <w:t xml:space="preserve">gā</w:t>
      </w:r>
      <w:r>
        <w:rPr>
          <w:iCs/>
          <w:i/>
        </w:rPr>
        <w:t xml:space="preserve">”</w:t>
      </w:r>
      <w:r>
        <w:rPr>
          <w:iCs/>
          <w:i/>
        </w:rPr>
        <w:t xml:space="preserve"> </w:t>
      </w:r>
      <w:r>
        <w:rPr>
          <w:iCs/>
          <w:i/>
        </w:rPr>
        <w:t xml:space="preserve">of</w:t>
      </w:r>
      <w:r>
        <w:rPr>
          <w:iCs/>
          <w:i/>
        </w:rPr>
        <w:t xml:space="preserve"> </w:t>
      </w:r>
      <w:r>
        <w:rPr>
          <w:iCs/>
          <w:i/>
        </w:rPr>
        <w:t xml:space="preserve">“</w:t>
      </w:r>
      <w:r>
        <w:rPr>
          <w:iCs/>
          <w:i/>
        </w:rPr>
        <w:t xml:space="preserve">gāthinaḥ,</w:t>
      </w:r>
      <w:r>
        <w:rPr>
          <w:iCs/>
          <w:i/>
        </w:rPr>
        <w:t xml:space="preserve">”</w:t>
      </w:r>
      <w:r>
        <w:rPr>
          <w:iCs/>
          <w:i/>
        </w:rPr>
        <w:t xml:space="preserve"> </w:t>
      </w:r>
      <w:r>
        <w:rPr>
          <w:iCs/>
          <w:i/>
        </w:rPr>
        <w:t xml:space="preserve">a svarita stroke as well as the anudātta bar; only the bar is given, hence [accent ?].)</w:t>
      </w:r>
    </w:p>
    <w:p>
      <w:pPr>
        <w:pStyle w:val="BodyText"/>
      </w:pPr>
      <w:r>
        <w:rPr>
          <w:bCs/>
          <w:b/>
        </w:rPr>
        <w:t xml:space="preserve">॥ Saṃhitā-pāṭhaḥ ॥</w:t>
      </w:r>
    </w:p>
    <w:p>
      <w:pPr>
        <w:pStyle w:val="BlockText"/>
      </w:pPr>
      <w:r>
        <w:t xml:space="preserve">इन्द्र॒मिद्गा॒थिनो॑ बृ॒हदिन्द्र॑म॒र्केभि॑र॒र्किणः॑ । [accent ?]</w:t>
      </w:r>
      <w:r>
        <w:t xml:space="preserve"> </w:t>
      </w:r>
      <w:r>
        <w:t xml:space="preserve">इन्द्रं॒ वाणी॑रनूषत ॥१॥</w:t>
      </w:r>
    </w:p>
    <w:p>
      <w:pPr>
        <w:pStyle w:val="BlockText"/>
      </w:pPr>
      <w:r>
        <w:rPr>
          <w:iCs/>
          <w:i/>
        </w:rPr>
        <w:t xml:space="preserve">índram íd gāthíno bṛhád índram arkébhir arkíṇaḥ |</w:t>
      </w:r>
      <w:r>
        <w:t xml:space="preserve"> </w:t>
      </w:r>
      <w:r>
        <w:t xml:space="preserve">[accent ?]</w:t>
      </w:r>
      <w:r>
        <w:t xml:space="preserve"> </w:t>
      </w:r>
      <w:r>
        <w:rPr>
          <w:iCs/>
          <w:i/>
        </w:rPr>
        <w:t xml:space="preserve">índraṃ vā́ṇīr anūṣata ||1||</w:t>
      </w:r>
    </w:p>
    <w:p>
      <w:pPr>
        <w:pStyle w:val="FirstParagraph"/>
      </w:pPr>
      <w:r>
        <w:rPr>
          <w:bCs/>
          <w:b/>
        </w:rPr>
        <w:t xml:space="preserve">॥ Pada-pāṭhaḥ ॥</w:t>
      </w:r>
    </w:p>
    <w:p>
      <w:pPr>
        <w:pStyle w:val="BlockText"/>
      </w:pPr>
      <w:r>
        <w:t xml:space="preserve">इन्द्रम् । इत् । गाथिनः । बृहत् । इन्द्रम् । अर्केभिः । अर्किणः ॥</w:t>
      </w:r>
      <w:r>
        <w:t xml:space="preserve"> </w:t>
      </w:r>
      <w:r>
        <w:t xml:space="preserve">इन्द्रम् । वाणीः । अनूषत ॥१॥</w:t>
      </w:r>
    </w:p>
    <w:p>
      <w:pPr>
        <w:pStyle w:val="BlockText"/>
      </w:pPr>
      <w:r>
        <w:rPr>
          <w:iCs/>
          <w:i/>
        </w:rPr>
        <w:t xml:space="preserve">indram | it | gāthinaḥ | bṛhat | indram | arkebhiḥ | arkiṇaḥ ||</w:t>
      </w:r>
      <w:r>
        <w:t xml:space="preserve"> </w:t>
      </w:r>
      <w:r>
        <w:rPr>
          <w:iCs/>
          <w:i/>
        </w:rPr>
        <w:t xml:space="preserve">indram | vāṇīḥ | anūṣata ||1||</w:t>
      </w:r>
    </w:p>
    <w:bookmarkEnd w:id="292"/>
    <w:bookmarkStart w:id="293" w:name="page-259-sāyaṇa-bhāṣya-on-rik-1"/>
    <w:p>
      <w:pPr>
        <w:pStyle w:val="Heading3"/>
      </w:pPr>
      <w:r>
        <w:t xml:space="preserve">Page 259 — Sāyaṇa-bhāṣya on Rik 1</w:t>
      </w:r>
    </w:p>
    <w:p>
      <w:pPr>
        <w:pStyle w:val="FirstParagraph"/>
      </w:pPr>
      <w:r>
        <w:rPr>
          <w:bCs/>
          <w:b/>
        </w:rPr>
        <w:t xml:space="preserve">॥ Sāyaṇa-bhāṣyam ॥</w:t>
      </w:r>
    </w:p>
    <w:p>
      <w:pPr>
        <w:pStyle w:val="BlockText"/>
      </w:pPr>
      <w:r>
        <w:t xml:space="preserve">गाथिनो गीयमानसामयुक्ता उद्गातार इन्द्रमिदिन्द्रमेव बृहत् । त्वामिद्धि हवामहे । ऋग्वे. ६-४६-१ । इत्यस्यामृच्युत्पन्नेन बृहन्नामकेन साम्नानूषत । स्तुतवन्तः । अर्किणो ऽर्चनहेतुमन्त्रोपेता होतारो ऽर्केभिर् ऋग्रूपैर्मन्त्रैरिन्द्रमेवानूषत । ये त्ववशिष्टा अध्वर्यवस्ते वाणीर्वाग्भिर्यजूरूपाभिरिन्द्रमेवानूषत । अर्कशब्दस्य मन्त्रपरत्वं यास्केनोक्तम् । अर्को मन्त्रो भवति यदेनेनार्चन्ति । नि. ५-४ । इति । श्लोक इत्यादिषु सप्तपञ्चाशत्सु वाङ्नामसु वाशी वाणीति पठितम् ॥</w:t>
      </w:r>
    </w:p>
    <w:p>
      <w:pPr>
        <w:pStyle w:val="BlockText"/>
      </w:pPr>
      <w:r>
        <w:rPr>
          <w:iCs/>
          <w:i/>
        </w:rPr>
        <w:t xml:space="preserve">gāthino gīyamāna-sāma-yuktā udgātāra indram id indram eva bṛhat | tvām id dhi havāmahe | ṛgve. 6-46-1 | ity asyām ṛcy utpannena bṛhan-nāmakena sāmnānūṣata | stutavantaḥ | arkiṇo ’rcana-hetu-mantropetā hotāro ’rkebhir ṛg-rūpair mantrair indram evānūṣata | ye tv avaśiṣṭā adhvaryavas te vāṇīr vāgbhir yajū-rūpābhir indram evānūṣata | arka-śabdasya mantra-paratvaṃ yāskenoktam | arko mantro bhavati yad anenārcanti | ni. 5-4 | iti | śloka ity-ādiṣu saptapañcāśatsu vāṅ-nāmasu vāśī vāṇīti paṭhitam ||</w:t>
      </w:r>
    </w:p>
    <w:p>
      <w:pPr>
        <w:pStyle w:val="FirstParagraph"/>
      </w:pPr>
      <w:r>
        <w:rPr>
          <w:bCs/>
          <w:b/>
        </w:rPr>
        <w:t xml:space="preserve">Translation:</w:t>
      </w:r>
      <w:r>
        <w:t xml:space="preserve"> </w:t>
      </w:r>
      <w:r>
        <w:t xml:space="preserve">“</w:t>
      </w:r>
      <w:r>
        <w:t xml:space="preserve">The</w:t>
      </w:r>
      <w:r>
        <w:t xml:space="preserve"> </w:t>
      </w:r>
      <w:r>
        <w:rPr>
          <w:iCs/>
          <w:i/>
        </w:rPr>
        <w:t xml:space="preserve">gāthinaḥ</w:t>
      </w:r>
      <w:r>
        <w:t xml:space="preserve"> </w:t>
      </w:r>
      <w:r>
        <w:t xml:space="preserve">— the udgātṛ priests, who are endowed with sung Sāmans — praised Indra, and Indra alone, with the</w:t>
      </w:r>
      <w:r>
        <w:t xml:space="preserve"> </w:t>
      </w:r>
      <w:r>
        <w:rPr>
          <w:bCs/>
          <w:b/>
        </w:rPr>
        <w:t xml:space="preserve">Bṛhat</w:t>
      </w:r>
      <w:r>
        <w:t xml:space="preserve"> </w:t>
      </w:r>
      <w:r>
        <w:t xml:space="preserve">[Sāman] — that is, with the Sāman named Bṛhat, produced upon the rik</w:t>
      </w:r>
      <w:r>
        <w:t xml:space="preserve"> </w:t>
      </w:r>
      <w:r>
        <w:rPr>
          <w:iCs/>
          <w:i/>
        </w:rPr>
        <w:t xml:space="preserve">tvām id dhi havāmahe</w:t>
      </w:r>
      <w:r>
        <w:t xml:space="preserve"> </w:t>
      </w:r>
      <w:r>
        <w:t xml:space="preserve">(Ṛgveda 6-46-1) — they praised him. The</w:t>
      </w:r>
      <w:r>
        <w:t xml:space="preserve"> </w:t>
      </w:r>
      <w:r>
        <w:rPr>
          <w:iCs/>
          <w:i/>
        </w:rPr>
        <w:t xml:space="preserve">arkiṇaḥ</w:t>
      </w:r>
      <w:r>
        <w:t xml:space="preserve"> </w:t>
      </w:r>
      <w:r>
        <w:t xml:space="preserve">— the hotṛ priests, who are furnished with mantras that are the means of worship — praised Indra, and Indra alone, with the</w:t>
      </w:r>
      <w:r>
        <w:t xml:space="preserve"> </w:t>
      </w:r>
      <w:r>
        <w:rPr>
          <w:iCs/>
          <w:i/>
        </w:rPr>
        <w:t xml:space="preserve">arkas</w:t>
      </w:r>
      <w:r>
        <w:t xml:space="preserve">, that is, with mantras in the form of ṛks. And the remaining ones, the adhvaryus, praised Indra alone with</w:t>
      </w:r>
      <w:r>
        <w:t xml:space="preserve"> </w:t>
      </w:r>
      <w:r>
        <w:rPr>
          <w:iCs/>
          <w:i/>
        </w:rPr>
        <w:t xml:space="preserve">vāṇīs</w:t>
      </w:r>
      <w:r>
        <w:t xml:space="preserve"> </w:t>
      </w:r>
      <w:r>
        <w:t xml:space="preserve">— with speech in the form of yajus-formulae. That the word</w:t>
      </w:r>
      <w:r>
        <w:t xml:space="preserve"> </w:t>
      </w:r>
      <w:r>
        <w:rPr>
          <w:iCs/>
          <w:i/>
        </w:rPr>
        <w:t xml:space="preserve">arka</w:t>
      </w:r>
      <w:r>
        <w:t xml:space="preserve"> </w:t>
      </w:r>
      <w:r>
        <w:t xml:space="preserve">denotes</w:t>
      </w:r>
      <w:r>
        <w:t xml:space="preserve"> </w:t>
      </w:r>
      <w:r>
        <w:t xml:space="preserve">‘</w:t>
      </w:r>
      <w:r>
        <w:t xml:space="preserve">mantra</w:t>
      </w:r>
      <w:r>
        <w:t xml:space="preserve">’</w:t>
      </w:r>
      <w:r>
        <w:t xml:space="preserve"> </w:t>
      </w:r>
      <w:r>
        <w:t xml:space="preserve">is stated by Yāska:</w:t>
      </w:r>
      <w:r>
        <w:t xml:space="preserve"> </w:t>
      </w:r>
      <w:r>
        <w:t xml:space="preserve">‘</w:t>
      </w:r>
      <w:r>
        <w:t xml:space="preserve">An</w:t>
      </w:r>
      <w:r>
        <w:t xml:space="preserve"> </w:t>
      </w:r>
      <w:r>
        <w:rPr>
          <w:iCs/>
          <w:i/>
        </w:rPr>
        <w:t xml:space="preserve">arka</w:t>
      </w:r>
      <w:r>
        <w:t xml:space="preserve"> </w:t>
      </w:r>
      <w:r>
        <w:t xml:space="preserve">is a mantra, because with it they offer worship</w:t>
      </w:r>
      <w:r>
        <w:t xml:space="preserve">’</w:t>
      </w:r>
      <w:r>
        <w:t xml:space="preserve"> </w:t>
      </w:r>
      <w:r>
        <w:t xml:space="preserve">(Nirukta 5-4). Among the fifty-seven words for</w:t>
      </w:r>
      <w:r>
        <w:t xml:space="preserve"> </w:t>
      </w:r>
      <w:r>
        <w:t xml:space="preserve">‘</w:t>
      </w:r>
      <w:r>
        <w:t xml:space="preserve">speech</w:t>
      </w:r>
      <w:r>
        <w:t xml:space="preserve">’</w:t>
      </w:r>
      <w:r>
        <w:t xml:space="preserve"> </w:t>
      </w:r>
      <w:r>
        <w:t xml:space="preserve">beginning with</w:t>
      </w:r>
      <w:r>
        <w:t xml:space="preserve"> </w:t>
      </w:r>
      <w:r>
        <w:rPr>
          <w:iCs/>
          <w:i/>
        </w:rPr>
        <w:t xml:space="preserve">śloka</w:t>
      </w:r>
      <w:r>
        <w:t xml:space="preserve">, the words</w:t>
      </w:r>
      <w:r>
        <w:t xml:space="preserve"> </w:t>
      </w:r>
      <w:r>
        <w:rPr>
          <w:iCs/>
          <w:i/>
        </w:rPr>
        <w:t xml:space="preserve">vāśī</w:t>
      </w:r>
      <w:r>
        <w:t xml:space="preserve"> </w:t>
      </w:r>
      <w:r>
        <w:t xml:space="preserve">and</w:t>
      </w:r>
      <w:r>
        <w:t xml:space="preserve"> </w:t>
      </w:r>
      <w:r>
        <w:rPr>
          <w:iCs/>
          <w:i/>
        </w:rPr>
        <w:t xml:space="preserve">vāṇī</w:t>
      </w:r>
      <w:r>
        <w:t xml:space="preserve"> </w:t>
      </w:r>
      <w:r>
        <w:t xml:space="preserve">are listed.</w:t>
      </w:r>
      <w:r>
        <w:t xml:space="preserve">”</w:t>
      </w:r>
    </w:p>
    <w:p>
      <w:pPr>
        <w:pStyle w:val="BodyText"/>
      </w:pPr>
      <w:r>
        <w:rPr>
          <w:bCs/>
          <w:b/>
        </w:rPr>
        <w:t xml:space="preserve">Grammar of the Bhāṣya (characterized, references as printed):</w:t>
      </w:r>
      <w:r>
        <w:t xml:space="preserve"> </w:t>
      </w:r>
      <w:r>
        <w:t xml:space="preserve">“</w:t>
      </w:r>
      <w:r>
        <w:t xml:space="preserve">Gāthinaḥ</w:t>
      </w:r>
      <w:r>
        <w:t xml:space="preserve">”</w:t>
      </w:r>
      <w:r>
        <w:t xml:space="preserve"> </w:t>
      </w:r>
      <w:r>
        <w:t xml:space="preserve">—</w:t>
      </w:r>
      <w:r>
        <w:t xml:space="preserve"> </w:t>
      </w:r>
      <w:r>
        <w:rPr>
          <w:bCs/>
          <w:b/>
        </w:rPr>
        <w:t xml:space="preserve">उषिकुषिगार्तिभ्यस्थन्</w:t>
      </w:r>
      <w:r>
        <w:t xml:space="preserve"> </w:t>
      </w:r>
      <w:r>
        <w:t xml:space="preserve">(उ. २-४)</w:t>
      </w:r>
      <w:r>
        <w:t xml:space="preserve"> </w:t>
      </w:r>
      <w:r>
        <w:t xml:space="preserve">“</w:t>
      </w:r>
      <w:r>
        <w:t xml:space="preserve">than</w:t>
      </w:r>
      <w:r>
        <w:t xml:space="preserve">”</w:t>
      </w:r>
      <w:r>
        <w:t xml:space="preserve"> </w:t>
      </w:r>
      <w:r>
        <w:t xml:space="preserve">after</w:t>
      </w:r>
      <w:r>
        <w:t xml:space="preserve"> </w:t>
      </w:r>
      <w:r>
        <w:t xml:space="preserve">“</w:t>
      </w:r>
      <w:r>
        <w:t xml:space="preserve">gai,</w:t>
      </w:r>
      <w:r>
        <w:t xml:space="preserve">”</w:t>
      </w:r>
      <w:r>
        <w:t xml:space="preserve"> </w:t>
      </w:r>
      <w:r>
        <w:t xml:space="preserve">“</w:t>
      </w:r>
      <w:r>
        <w:t xml:space="preserve">n</w:t>
      </w:r>
      <w:r>
        <w:t xml:space="preserve">”</w:t>
      </w:r>
      <w:r>
        <w:t xml:space="preserve">-marked, so first-syllable acute:</w:t>
      </w:r>
      <w:r>
        <w:t xml:space="preserve"> </w:t>
      </w:r>
      <w:r>
        <w:t xml:space="preserve">“</w:t>
      </w:r>
      <w:r>
        <w:t xml:space="preserve">gāthā</w:t>
      </w:r>
      <w:r>
        <w:t xml:space="preserve">”</w:t>
      </w:r>
      <w:r>
        <w:t xml:space="preserve">;</w:t>
      </w:r>
      <w:r>
        <w:t xml:space="preserve"> </w:t>
      </w:r>
      <w:r>
        <w:t xml:space="preserve">“</w:t>
      </w:r>
      <w:r>
        <w:t xml:space="preserve">gāthā eṣāṃ santi</w:t>
      </w:r>
      <w:r>
        <w:t xml:space="preserve">”</w:t>
      </w:r>
      <w:r>
        <w:t xml:space="preserve"> </w:t>
      </w:r>
      <w:r>
        <w:t xml:space="preserve">—</w:t>
      </w:r>
      <w:r>
        <w:t xml:space="preserve"> </w:t>
      </w:r>
      <w:r>
        <w:rPr>
          <w:bCs/>
          <w:b/>
        </w:rPr>
        <w:t xml:space="preserve">व्रीह्यादिभ्यश्च</w:t>
      </w:r>
      <w:r>
        <w:t xml:space="preserve"> </w:t>
      </w:r>
      <w:r>
        <w:t xml:space="preserve">(पा. ५-२-११६)</w:t>
      </w:r>
      <w:r>
        <w:t xml:space="preserve"> </w:t>
      </w:r>
      <w:r>
        <w:t xml:space="preserve">“</w:t>
      </w:r>
      <w:r>
        <w:t xml:space="preserve">ini,</w:t>
      </w:r>
      <w:r>
        <w:t xml:space="preserve">”</w:t>
      </w:r>
      <w:r>
        <w:t xml:space="preserve"> </w:t>
      </w:r>
      <w:r>
        <w:t xml:space="preserve">the</w:t>
      </w:r>
      <w:r>
        <w:t xml:space="preserve"> </w:t>
      </w:r>
      <w:r>
        <w:t xml:space="preserve">“</w:t>
      </w:r>
      <w:r>
        <w:t xml:space="preserve">i</w:t>
      </w:r>
      <w:r>
        <w:t xml:space="preserve">”</w:t>
      </w:r>
      <w:r>
        <w:t xml:space="preserve"> </w:t>
      </w:r>
      <w:r>
        <w:t xml:space="preserve">acute by the affix accent, which, coming later, remains.</w:t>
      </w:r>
      <w:r>
        <w:t xml:space="preserve"> </w:t>
      </w:r>
      <w:r>
        <w:t xml:space="preserve">“</w:t>
      </w:r>
      <w:r>
        <w:t xml:space="preserve">Bṛhat</w:t>
      </w:r>
      <w:r>
        <w:t xml:space="preserve">”</w:t>
      </w:r>
      <w:r>
        <w:t xml:space="preserve"> </w:t>
      </w:r>
      <w:r>
        <w:t xml:space="preserve">— for</w:t>
      </w:r>
      <w:r>
        <w:t xml:space="preserve"> </w:t>
      </w:r>
      <w:r>
        <w:t xml:space="preserve">“</w:t>
      </w:r>
      <w:r>
        <w:t xml:space="preserve">bṛhatā</w:t>
      </w:r>
      <w:r>
        <w:t xml:space="preserve">”</w:t>
      </w:r>
      <w:r>
        <w:t xml:space="preserve">: the instrumental ending is elided by</w:t>
      </w:r>
      <w:r>
        <w:t xml:space="preserve"> </w:t>
      </w:r>
      <w:r>
        <w:t xml:space="preserve">“</w:t>
      </w:r>
      <w:r>
        <w:t xml:space="preserve">supāṃ suluk…</w:t>
      </w:r>
      <w:r>
        <w:t xml:space="preserve">”</w:t>
      </w:r>
      <w:r>
        <w:t xml:space="preserve">;</w:t>
      </w:r>
      <w:r>
        <w:t xml:space="preserve"> </w:t>
      </w:r>
      <w:r>
        <w:rPr>
          <w:bCs/>
          <w:b/>
        </w:rPr>
        <w:t xml:space="preserve">पृषद्बृहन्महज्जगच्छतृवच्च</w:t>
      </w:r>
      <w:r>
        <w:t xml:space="preserve"> </w:t>
      </w:r>
      <w:r>
        <w:t xml:space="preserve">(उ. २-८४) gives it as end-acute by nipātana.</w:t>
      </w:r>
      <w:r>
        <w:t xml:space="preserve"> </w:t>
      </w:r>
      <w:r>
        <w:t xml:space="preserve">“</w:t>
      </w:r>
      <w:r>
        <w:t xml:space="preserve">Arkebhiḥ</w:t>
      </w:r>
      <w:r>
        <w:t xml:space="preserve">”</w:t>
      </w:r>
      <w:r>
        <w:t xml:space="preserve"> </w:t>
      </w:r>
      <w:r>
        <w:t xml:space="preserve">—</w:t>
      </w:r>
      <w:r>
        <w:t xml:space="preserve"> </w:t>
      </w:r>
      <w:r>
        <w:t xml:space="preserve">“</w:t>
      </w:r>
      <w:r>
        <w:t xml:space="preserve">arca pūjāyām</w:t>
      </w:r>
      <w:r>
        <w:t xml:space="preserve">”</w:t>
      </w:r>
      <w:r>
        <w:t xml:space="preserve">:</w:t>
      </w:r>
      <w:r>
        <w:t xml:space="preserve"> </w:t>
      </w:r>
      <w:r>
        <w:t xml:space="preserve">“</w:t>
      </w:r>
      <w:r>
        <w:t xml:space="preserve">arcyate ebhir iti arkā mantrāḥ</w:t>
      </w:r>
      <w:r>
        <w:t xml:space="preserve">”</w:t>
      </w:r>
      <w:r>
        <w:t xml:space="preserve">;</w:t>
      </w:r>
      <w:r>
        <w:t xml:space="preserve"> </w:t>
      </w:r>
      <w:r>
        <w:rPr>
          <w:bCs/>
          <w:b/>
        </w:rPr>
        <w:t xml:space="preserve">पुंसि संज्ञायां घः प्रायेण</w:t>
      </w:r>
      <w:r>
        <w:t xml:space="preserve"> </w:t>
      </w:r>
      <w:r>
        <w:t xml:space="preserve">(पा. ३-३-११८)</w:t>
      </w:r>
      <w:r>
        <w:t xml:space="preserve"> </w:t>
      </w:r>
      <w:r>
        <w:t xml:space="preserve">“</w:t>
      </w:r>
      <w:r>
        <w:t xml:space="preserve">gha</w:t>
      </w:r>
      <w:r>
        <w:t xml:space="preserve">”</w:t>
      </w:r>
      <w:r>
        <w:t xml:space="preserve">;</w:t>
      </w:r>
      <w:r>
        <w:t xml:space="preserve"> </w:t>
      </w:r>
      <w:r>
        <w:rPr>
          <w:bCs/>
          <w:b/>
        </w:rPr>
        <w:t xml:space="preserve">चजोः कु घिण्ण्यतोः</w:t>
      </w:r>
      <w:r>
        <w:t xml:space="preserve"> </w:t>
      </w:r>
      <w:r>
        <w:t xml:space="preserve">(पा. ७-३-५२)</w:t>
      </w:r>
      <w:r>
        <w:t xml:space="preserve"> </w:t>
      </w:r>
      <w:r>
        <w:t xml:space="preserve">“</w:t>
      </w:r>
      <w:r>
        <w:t xml:space="preserve">k</w:t>
      </w:r>
      <w:r>
        <w:t xml:space="preserve">”</w:t>
      </w:r>
      <w:r>
        <w:t xml:space="preserve">; end-acute by the affix accent;</w:t>
      </w:r>
      <w:r>
        <w:t xml:space="preserve"> </w:t>
      </w:r>
      <w:r>
        <w:rPr>
          <w:bCs/>
          <w:b/>
        </w:rPr>
        <w:t xml:space="preserve">बहुलं छन्दसि</w:t>
      </w:r>
      <w:r>
        <w:t xml:space="preserve"> </w:t>
      </w:r>
      <w:r>
        <w:t xml:space="preserve">(पा. ७-१-१०) —</w:t>
      </w:r>
      <w:r>
        <w:t xml:space="preserve"> </w:t>
      </w:r>
      <w:r>
        <w:t xml:space="preserve">“</w:t>
      </w:r>
      <w:r>
        <w:t xml:space="preserve">ais</w:t>
      </w:r>
      <w:r>
        <w:t xml:space="preserve">”</w:t>
      </w:r>
      <w:r>
        <w:t xml:space="preserve"> </w:t>
      </w:r>
      <w:r>
        <w:t xml:space="preserve">does not replace</w:t>
      </w:r>
      <w:r>
        <w:t xml:space="preserve"> </w:t>
      </w:r>
      <w:r>
        <w:t xml:space="preserve">“</w:t>
      </w:r>
      <w:r>
        <w:t xml:space="preserve">bhis.</w:t>
      </w:r>
      <w:r>
        <w:t xml:space="preserve">”</w:t>
      </w:r>
      <w:r>
        <w:t xml:space="preserve"> </w:t>
      </w:r>
      <w:r>
        <w:t xml:space="preserve">“</w:t>
      </w:r>
      <w:r>
        <w:t xml:space="preserve">Arkiṇaḥ</w:t>
      </w:r>
      <w:r>
        <w:t xml:space="preserve">”</w:t>
      </w:r>
      <w:r>
        <w:t xml:space="preserve"> </w:t>
      </w:r>
      <w:r>
        <w:t xml:space="preserve">—</w:t>
      </w:r>
      <w:r>
        <w:t xml:space="preserve"> </w:t>
      </w:r>
      <w:r>
        <w:t xml:space="preserve">“</w:t>
      </w:r>
      <w:r>
        <w:t xml:space="preserve">arkāḥ stuti-sādhana-bhūtā mantrā eṣāṃ santi.</w:t>
      </w:r>
      <w:r>
        <w:t xml:space="preserve">”</w:t>
      </w:r>
      <w:r>
        <w:t xml:space="preserve"> </w:t>
      </w:r>
      <w:r>
        <w:t xml:space="preserve">“</w:t>
      </w:r>
      <w:r>
        <w:t xml:space="preserve">Vāṇīḥ</w:t>
      </w:r>
      <w:r>
        <w:t xml:space="preserve">”</w:t>
      </w:r>
      <w:r>
        <w:t xml:space="preserve"> </w:t>
      </w:r>
      <w:r>
        <w:t xml:space="preserve">—</w:t>
      </w:r>
      <w:r>
        <w:t xml:space="preserve"> </w:t>
      </w:r>
      <w:r>
        <w:rPr>
          <w:bCs/>
          <w:b/>
        </w:rPr>
        <w:t xml:space="preserve">वृषादीनां च</w:t>
      </w:r>
      <w:r>
        <w:t xml:space="preserve"> </w:t>
      </w:r>
      <w:r>
        <w:t xml:space="preserve">(पा. ६-१-२०३) first-syllable acute; the long vowel, since</w:t>
      </w:r>
      <w:r>
        <w:t xml:space="preserve"> </w:t>
      </w:r>
      <w:r>
        <w:rPr>
          <w:bCs/>
          <w:b/>
        </w:rPr>
        <w:t xml:space="preserve">दीर्घाज्जसि च</w:t>
      </w:r>
      <w:r>
        <w:t xml:space="preserve"> </w:t>
      </w:r>
      <w:r>
        <w:t xml:space="preserve">(पा. ६-१-१०५) — the prohibition of the long</w:t>
      </w:r>
      <w:r>
        <w:t xml:space="preserve"> </w:t>
      </w:r>
      <w:r>
        <w:t xml:space="preserve">“</w:t>
      </w:r>
      <w:r>
        <w:t xml:space="preserve">pūrvasavarṇa</w:t>
      </w:r>
      <w:r>
        <w:t xml:space="preserve">”</w:t>
      </w:r>
      <w:r>
        <w:t xml:space="preserve"> </w:t>
      </w:r>
      <w:r>
        <w:t xml:space="preserve">— is optional in the Veda (</w:t>
      </w:r>
      <w:r>
        <w:rPr>
          <w:bCs/>
          <w:b/>
        </w:rPr>
        <w:t xml:space="preserve">वा छन्दसि</w:t>
      </w:r>
      <w:r>
        <w:t xml:space="preserve">, पा. ६-१-१०६); a nominative in the sense of the instrumental.</w:t>
      </w:r>
      <w:r>
        <w:t xml:space="preserve"> </w:t>
      </w:r>
      <w:r>
        <w:t xml:space="preserve">“</w:t>
      </w:r>
      <w:r>
        <w:t xml:space="preserve">Anūṣata</w:t>
      </w:r>
      <w:r>
        <w:t xml:space="preserve">”</w:t>
      </w:r>
      <w:r>
        <w:t xml:space="preserve"> </w:t>
      </w:r>
      <w:r>
        <w:t xml:space="preserve">—</w:t>
      </w:r>
      <w:r>
        <w:t xml:space="preserve"> </w:t>
      </w:r>
      <w:r>
        <w:t xml:space="preserve">“</w:t>
      </w:r>
      <w:r>
        <w:t xml:space="preserve">ṇu stutau,</w:t>
      </w:r>
      <w:r>
        <w:t xml:space="preserve">”</w:t>
      </w:r>
      <w:r>
        <w:t xml:space="preserve"> </w:t>
      </w:r>
      <w:r>
        <w:rPr>
          <w:bCs/>
          <w:b/>
        </w:rPr>
        <w:t xml:space="preserve">णो नः</w:t>
      </w:r>
      <w:r>
        <w:t xml:space="preserve"> </w:t>
      </w:r>
      <w:r>
        <w:t xml:space="preserve">(पा. ६-१-६५)</w:t>
      </w:r>
      <w:r>
        <w:t xml:space="preserve"> </w:t>
      </w:r>
      <w:r>
        <w:t xml:space="preserve">“</w:t>
      </w:r>
      <w:r>
        <w:t xml:space="preserve">n</w:t>
      </w:r>
      <w:r>
        <w:t xml:space="preserve">”</w:t>
      </w:r>
      <w:r>
        <w:t xml:space="preserve">;</w:t>
      </w:r>
      <w:r>
        <w:t xml:space="preserve"> </w:t>
      </w:r>
      <w:r>
        <w:t xml:space="preserve">“</w:t>
      </w:r>
      <w:r>
        <w:t xml:space="preserve">luṅ,</w:t>
      </w:r>
      <w:r>
        <w:t xml:space="preserve">”</w:t>
      </w:r>
      <w:r>
        <w:t xml:space="preserve"> </w:t>
      </w:r>
      <w:r>
        <w:t xml:space="preserve">ātmanepada by vyatyaya;</w:t>
      </w:r>
      <w:r>
        <w:t xml:space="preserve"> </w:t>
      </w:r>
      <w:r>
        <w:t xml:space="preserve">“</w:t>
      </w:r>
      <w:r>
        <w:t xml:space="preserve">at</w:t>
      </w:r>
      <w:r>
        <w:t xml:space="preserve">”</w:t>
      </w:r>
      <w:r>
        <w:t xml:space="preserve"> </w:t>
      </w:r>
      <w:r>
        <w:t xml:space="preserve">for</w:t>
      </w:r>
      <w:r>
        <w:t xml:space="preserve"> </w:t>
      </w:r>
      <w:r>
        <w:t xml:space="preserve">“</w:t>
      </w:r>
      <w:r>
        <w:t xml:space="preserve">jha</w:t>
      </w:r>
      <w:r>
        <w:t xml:space="preserve">”</w:t>
      </w:r>
      <w:r>
        <w:t xml:space="preserve"> </w:t>
      </w:r>
      <w:r>
        <w:t xml:space="preserve">(पा. ७-१-५); no</w:t>
      </w:r>
      <w:r>
        <w:t xml:space="preserve"> </w:t>
      </w:r>
      <w:r>
        <w:t xml:space="preserve">“</w:t>
      </w:r>
      <w:r>
        <w:t xml:space="preserve">iṭ</w:t>
      </w:r>
      <w:r>
        <w:t xml:space="preserve">”</w:t>
      </w:r>
      <w:r>
        <w:t xml:space="preserve"> </w:t>
      </w:r>
      <w:r>
        <w:t xml:space="preserve">with</w:t>
      </w:r>
      <w:r>
        <w:t xml:space="preserve"> </w:t>
      </w:r>
      <w:r>
        <w:t xml:space="preserve">“</w:t>
      </w:r>
      <w:r>
        <w:t xml:space="preserve">sic</w:t>
      </w:r>
      <w:r>
        <w:t xml:space="preserve">”</w:t>
      </w:r>
      <w:r>
        <w:t xml:space="preserve"> </w:t>
      </w:r>
      <w:r>
        <w:t xml:space="preserve">and the long</w:t>
      </w:r>
      <w:r>
        <w:t xml:space="preserve"> </w:t>
      </w:r>
      <w:r>
        <w:t xml:space="preserve">“</w:t>
      </w:r>
      <w:r>
        <w:t xml:space="preserve">ū</w:t>
      </w:r>
      <w:r>
        <w:t xml:space="preserve">”</w:t>
      </w:r>
      <w:r>
        <w:t xml:space="preserve"> </w:t>
      </w:r>
      <w:r>
        <w:t xml:space="preserve">are Vedic; the root being</w:t>
      </w:r>
      <w:r>
        <w:t xml:space="preserve"> </w:t>
      </w:r>
      <w:r>
        <w:t xml:space="preserve">“</w:t>
      </w:r>
      <w:r>
        <w:t xml:space="preserve">kuṭādi</w:t>
      </w:r>
      <w:r>
        <w:t xml:space="preserve">”</w:t>
      </w:r>
      <w:r>
        <w:t xml:space="preserve"> </w:t>
      </w:r>
      <w:r>
        <w:t xml:space="preserve">(पा. १-२-१),</w:t>
      </w:r>
      <w:r>
        <w:t xml:space="preserve"> </w:t>
      </w:r>
      <w:r>
        <w:t xml:space="preserve">“</w:t>
      </w:r>
      <w:r>
        <w:t xml:space="preserve">sic</w:t>
      </w:r>
      <w:r>
        <w:t xml:space="preserve">”</w:t>
      </w:r>
      <w:r>
        <w:t xml:space="preserve"> </w:t>
      </w:r>
      <w:r>
        <w:t xml:space="preserve">is</w:t>
      </w:r>
      <w:r>
        <w:t xml:space="preserve"> </w:t>
      </w:r>
      <w:r>
        <w:t xml:space="preserve">“</w:t>
      </w:r>
      <w:r>
        <w:t xml:space="preserve">ṅit,</w:t>
      </w:r>
      <w:r>
        <w:t xml:space="preserve">”</w:t>
      </w:r>
      <w:r>
        <w:t xml:space="preserve"> </w:t>
      </w:r>
      <w:r>
        <w:t xml:space="preserve">so no guṇa (पा. १-१-५).</w:t>
      </w:r>
    </w:p>
    <w:p>
      <w:pPr>
        <w:pStyle w:val="BodyText"/>
      </w:pPr>
      <w:r>
        <w:rPr>
          <w:bCs/>
          <w:b/>
        </w:rPr>
        <w:t xml:space="preserve">॥ Prati-padārthaḥ ॥</w:t>
      </w:r>
    </w:p>
    <w:p>
      <w:pPr>
        <w:pStyle w:val="BodyText"/>
      </w:pPr>
      <w:r>
        <w:rPr>
          <w:bCs/>
          <w:b/>
        </w:rPr>
        <w:t xml:space="preserve">गाथिनः (gāthinaḥ)</w:t>
      </w:r>
      <w:r>
        <w:t xml:space="preserve"> </w:t>
      </w:r>
      <w:r>
        <w:t xml:space="preserve">— those who sing, that is, the Sāman-singers beginning with the udgātṛ |</w:t>
      </w:r>
      <w:r>
        <w:t xml:space="preserve"> </w:t>
      </w:r>
      <w:r>
        <w:rPr>
          <w:bCs/>
          <w:b/>
        </w:rPr>
        <w:t xml:space="preserve">इन्द्रम् इत् (indram it)</w:t>
      </w:r>
      <w:r>
        <w:t xml:space="preserve"> </w:t>
      </w:r>
      <w:r>
        <w:t xml:space="preserve">— Indra alone |</w:t>
      </w:r>
      <w:r>
        <w:t xml:space="preserve"> </w:t>
      </w:r>
      <w:r>
        <w:rPr>
          <w:bCs/>
          <w:b/>
        </w:rPr>
        <w:t xml:space="preserve">बृहत् (bṛhat)</w:t>
      </w:r>
      <w:r>
        <w:t xml:space="preserve"> </w:t>
      </w:r>
      <w:r>
        <w:t xml:space="preserve">— with the Sāman-mantra called Bṛhat |</w:t>
      </w:r>
      <w:r>
        <w:t xml:space="preserve"> </w:t>
      </w:r>
      <w:r>
        <w:rPr>
          <w:bCs/>
          <w:b/>
        </w:rPr>
        <w:t xml:space="preserve">अनूषत (anūṣata)</w:t>
      </w:r>
      <w:r>
        <w:t xml:space="preserve"> </w:t>
      </w:r>
      <w:r>
        <w:t xml:space="preserve">— praise, that is, sing |</w:t>
      </w:r>
      <w:r>
        <w:t xml:space="preserve"> </w:t>
      </w:r>
      <w:r>
        <w:rPr>
          <w:bCs/>
          <w:b/>
        </w:rPr>
        <w:t xml:space="preserve">अर्किणः (arkiṇaḥ)</w:t>
      </w:r>
      <w:r>
        <w:t xml:space="preserve"> </w:t>
      </w:r>
      <w:r>
        <w:t xml:space="preserve">— the ṛtvijs, the hotṛ and others, who recite the worship-mantras (the invocatory mantras) |</w:t>
      </w:r>
      <w:r>
        <w:t xml:space="preserve"> </w:t>
      </w:r>
      <w:r>
        <w:rPr>
          <w:bCs/>
          <w:b/>
        </w:rPr>
        <w:t xml:space="preserve">इन्द्रम् (indram)</w:t>
      </w:r>
      <w:r>
        <w:t xml:space="preserve"> </w:t>
      </w:r>
      <w:r>
        <w:t xml:space="preserve">— Indra |</w:t>
      </w:r>
      <w:r>
        <w:t xml:space="preserve"> </w:t>
      </w:r>
      <w:r>
        <w:rPr>
          <w:bCs/>
          <w:b/>
        </w:rPr>
        <w:t xml:space="preserve">अर्केभिः (arkebhiḥ)</w:t>
      </w:r>
      <w:r>
        <w:t xml:space="preserve"> </w:t>
      </w:r>
      <w:r>
        <w:t xml:space="preserve">— with ṛk-mantras | (अनूषत — praise) | (the adhvaryu and the other ṛtvijs)</w:t>
      </w:r>
      <w:r>
        <w:t xml:space="preserve"> </w:t>
      </w:r>
      <w:r>
        <w:rPr>
          <w:bCs/>
          <w:b/>
        </w:rPr>
        <w:t xml:space="preserve">इन्द्रम् (indram)</w:t>
      </w:r>
      <w:r>
        <w:t xml:space="preserve"> </w:t>
      </w:r>
      <w:r>
        <w:t xml:space="preserve">— Indra |</w:t>
      </w:r>
      <w:r>
        <w:t xml:space="preserve"> </w:t>
      </w:r>
      <w:r>
        <w:rPr>
          <w:bCs/>
          <w:b/>
        </w:rPr>
        <w:t xml:space="preserve">वाणीः (vāṇīḥ)</w:t>
      </w:r>
      <w:r>
        <w:t xml:space="preserve"> </w:t>
      </w:r>
      <w:r>
        <w:t xml:space="preserve">— with the yajurveda mantras that take the form of sentences | (अनूषत — praise).</w:t>
      </w:r>
    </w:p>
    <w:p>
      <w:pPr>
        <w:pStyle w:val="BodyText"/>
      </w:pPr>
      <w:r>
        <w:rPr>
          <w:bCs/>
          <w:b/>
        </w:rPr>
        <w:t xml:space="preserve">॥ Bhāvārthaḥ ॥</w:t>
      </w:r>
    </w:p>
    <w:p>
      <w:pPr>
        <w:pStyle w:val="BodyText"/>
      </w:pPr>
      <w:r>
        <w:t xml:space="preserve">At the time of sacrifice, the ṛtvijs praise Indra in many ways. That is: the Sāman-singers, the udgātṛ and others, sing with the mantra called</w:t>
      </w:r>
      <w:r>
        <w:t xml:space="preserve"> </w:t>
      </w:r>
      <w:r>
        <w:rPr>
          <w:bCs/>
          <w:b/>
        </w:rPr>
        <w:t xml:space="preserve">Bṛhat-sāman</w:t>
      </w:r>
      <w:r>
        <w:t xml:space="preserve"> </w:t>
      </w:r>
      <w:r>
        <w:t xml:space="preserve">found in their Sāma Veda (this mantra is the rik at Ṛgveda 6-46-1); the hotṛ group praise him with the ṛks that serve as their śastra; and the adhvaryu and the other ṛtvijs praise Indra with mantras in the form of the sentences of their own Veda, the Yajurveda. In other words, the ṛtvijs praise Indra with the Vedic mantras of all three kinds — Ṛk, Yajus and Sāman.</w:t>
      </w:r>
    </w:p>
    <w:bookmarkEnd w:id="293"/>
    <w:bookmarkStart w:id="294" w:name="page-260"/>
    <w:p>
      <w:pPr>
        <w:pStyle w:val="Heading3"/>
      </w:pPr>
      <w:r>
        <w:t xml:space="preserve">Page 260</w:t>
      </w:r>
    </w:p>
    <w:p>
      <w:pPr>
        <w:pStyle w:val="FirstParagraph"/>
      </w:pPr>
      <w:r>
        <w:rPr>
          <w:bCs/>
          <w:b/>
        </w:rPr>
        <w:t xml:space="preserve">॥ English Translation ॥</w:t>
      </w:r>
      <w:r>
        <w:t xml:space="preserve"> </w:t>
      </w:r>
      <w:r>
        <w:rPr>
          <w:iCs/>
          <w:i/>
        </w:rPr>
        <w:t xml:space="preserve">(as printed in the source)</w:t>
      </w:r>
    </w:p>
    <w:p>
      <w:pPr>
        <w:pStyle w:val="BlockText"/>
      </w:pPr>
      <w:r>
        <w:t xml:space="preserve">The chanters (of the Sama hymns) praise only Indra with (a Saman called) Brihat; the recetirs [sic] of mantras (Rics) praise Indra with the Ric-Verses; (and the remaning [sic] priest Adhvaryus) praise Indra with prose-like Sentences (of Yajus).</w:t>
      </w:r>
    </w:p>
    <w:p>
      <w:pPr>
        <w:pStyle w:val="FirstParagraph"/>
      </w:pPr>
      <w:r>
        <w:rPr>
          <w:bCs/>
          <w:b/>
        </w:rPr>
        <w:t xml:space="preserve">॥ Viśeṣa-viṣayagaḷu (Special Topics) ॥</w:t>
      </w:r>
    </w:p>
    <w:p>
      <w:pPr>
        <w:pStyle w:val="BodyText"/>
      </w:pPr>
      <w:r>
        <w:rPr>
          <w:bCs/>
          <w:b/>
        </w:rPr>
        <w:t xml:space="preserve">The three Vedas in one rik.</w:t>
      </w:r>
      <w:r>
        <w:t xml:space="preserve"> </w:t>
      </w:r>
      <w:r>
        <w:t xml:space="preserve">Although this rik does not explicitly name the Vedas Ṛk, Yajus and Sāman, the Bhāṣyakāra takes the words</w:t>
      </w:r>
      <w:r>
        <w:t xml:space="preserve"> </w:t>
      </w:r>
      <w:r>
        <w:rPr>
          <w:bCs/>
          <w:b/>
        </w:rPr>
        <w:t xml:space="preserve">बृहत् (</w:t>
      </w:r>
      <w:r>
        <w:rPr>
          <w:iCs/>
          <w:i/>
          <w:bCs/>
          <w:b/>
        </w:rPr>
        <w:t xml:space="preserve">bṛhat</w:t>
      </w:r>
      <w:r>
        <w:rPr>
          <w:bCs/>
          <w:b/>
        </w:rPr>
        <w:t xml:space="preserve">), अर्केभिः (</w:t>
      </w:r>
      <w:r>
        <w:rPr>
          <w:iCs/>
          <w:i/>
          <w:bCs/>
          <w:b/>
        </w:rPr>
        <w:t xml:space="preserve">arkebhiḥ</w:t>
      </w:r>
      <w:r>
        <w:rPr>
          <w:bCs/>
          <w:b/>
        </w:rPr>
        <w:t xml:space="preserve">) and वाणीः (</w:t>
      </w:r>
      <w:r>
        <w:rPr>
          <w:iCs/>
          <w:i/>
          <w:bCs/>
          <w:b/>
        </w:rPr>
        <w:t xml:space="preserve">vāṇīḥ</w:t>
      </w:r>
      <w:r>
        <w:rPr>
          <w:bCs/>
          <w:b/>
        </w:rPr>
        <w:t xml:space="preserve">)</w:t>
      </w:r>
      <w:r>
        <w:t xml:space="preserve"> </w:t>
      </w:r>
      <w:r>
        <w:t xml:space="preserve">to point to the mantras of the three Vedas — Sāma, Ṛg and Yajur respectively.</w:t>
      </w:r>
      <w:r>
        <w:t xml:space="preserve"> </w:t>
      </w:r>
      <w:r>
        <w:rPr>
          <w:bCs/>
          <w:b/>
        </w:rPr>
        <w:t xml:space="preserve">Western scholars do not accept this view.</w:t>
      </w:r>
      <w:r>
        <w:t xml:space="preserve"> </w:t>
      </w:r>
      <w:r>
        <w:t xml:space="preserve">They hold that the Ṛgveda is older than the other Vedas, and so there is no reason for the later Vedas — Yajur and Sāma — to be indicated within it.</w:t>
      </w:r>
    </w:p>
    <w:p>
      <w:pPr>
        <w:pStyle w:val="BodyText"/>
      </w:pPr>
      <w:r>
        <w:t xml:space="preserve">Though this argument cannot be dismissed outright, the Ṛgveda’s own</w:t>
      </w:r>
      <w:r>
        <w:t xml:space="preserve"> </w:t>
      </w:r>
      <w:r>
        <w:rPr>
          <w:bCs/>
          <w:b/>
        </w:rPr>
        <w:t xml:space="preserve">Puruṣa-sūkta (Ṛgveda Saṃhitā 10-90-9)</w:t>
      </w:r>
      <w:r>
        <w:t xml:space="preserve"> </w:t>
      </w:r>
      <w:r>
        <w:t xml:space="preserve">states the words</w:t>
      </w:r>
      <w:r>
        <w:t xml:space="preserve"> </w:t>
      </w:r>
      <w:r>
        <w:rPr>
          <w:iCs/>
          <w:i/>
        </w:rPr>
        <w:t xml:space="preserve">yajus</w:t>
      </w:r>
      <w:r>
        <w:t xml:space="preserve"> </w:t>
      </w:r>
      <w:r>
        <w:t xml:space="preserve">and</w:t>
      </w:r>
      <w:r>
        <w:t xml:space="preserve"> </w:t>
      </w:r>
      <w:r>
        <w:rPr>
          <w:iCs/>
          <w:i/>
        </w:rPr>
        <w:t xml:space="preserve">sāman</w:t>
      </w:r>
      <w:r>
        <w:t xml:space="preserve"> </w:t>
      </w:r>
      <w:r>
        <w:t xml:space="preserve">explicitly. Moreover:</w:t>
      </w:r>
    </w:p>
    <w:p>
      <w:pPr>
        <w:numPr>
          <w:ilvl w:val="0"/>
          <w:numId w:val="1037"/>
        </w:numPr>
        <w:pStyle w:val="Compact"/>
      </w:pPr>
      <w:r>
        <w:t xml:space="preserve">Most of the Sāma Veda’s mantras are themselves Ṛgveda mantras, and even in the Ṛgveda’s own period it was the custom to recite many Ṛgveda riks in sung form; so there is nothing impossible in a Sāman-mantra being indicated here.</w:t>
      </w:r>
    </w:p>
    <w:p>
      <w:pPr>
        <w:numPr>
          <w:ilvl w:val="0"/>
          <w:numId w:val="1037"/>
        </w:numPr>
        <w:pStyle w:val="Compact"/>
      </w:pPr>
      <w:r>
        <w:t xml:space="preserve">It is something everyone must grant that the</w:t>
      </w:r>
      <w:r>
        <w:t xml:space="preserve"> </w:t>
      </w:r>
      <w:r>
        <w:rPr>
          <w:bCs/>
          <w:b/>
        </w:rPr>
        <w:t xml:space="preserve">Yajurveda is later</w:t>
      </w:r>
      <w:r>
        <w:t xml:space="preserve"> </w:t>
      </w:r>
      <w:r>
        <w:t xml:space="preserve">than the Ṛgveda and Sāma Veda. But although it did not then exist in its present, systematized form, one may confidently say that many Yajur-mantras — chiefly, the sentences used in the sacrifice — were then in special use. Many such sentences, together with the procedures and rules of sacrificing, may have been gathered together to form the Yajurveda as it now stands.</w:t>
      </w:r>
    </w:p>
    <w:p>
      <w:pPr>
        <w:numPr>
          <w:ilvl w:val="0"/>
          <w:numId w:val="1037"/>
        </w:numPr>
        <w:pStyle w:val="Compact"/>
      </w:pPr>
      <w:r>
        <w:t xml:space="preserve">Further, the Ṛgveda in many places names the Yajurveda’s chief priest, the</w:t>
      </w:r>
      <w:r>
        <w:t xml:space="preserve"> </w:t>
      </w:r>
      <w:r>
        <w:rPr>
          <w:bCs/>
          <w:b/>
        </w:rPr>
        <w:t xml:space="preserve">Adhvaryu</w:t>
      </w:r>
      <w:r>
        <w:t xml:space="preserve">, explicitly.</w:t>
      </w:r>
    </w:p>
    <w:p>
      <w:pPr>
        <w:numPr>
          <w:ilvl w:val="0"/>
          <w:numId w:val="1037"/>
        </w:numPr>
        <w:pStyle w:val="Compact"/>
      </w:pPr>
      <w:r>
        <w:t xml:space="preserve">And since the word</w:t>
      </w:r>
      <w:r>
        <w:t xml:space="preserve"> </w:t>
      </w:r>
      <w:r>
        <w:rPr>
          <w:bCs/>
          <w:b/>
        </w:rPr>
        <w:t xml:space="preserve">वाणीः (</w:t>
      </w:r>
      <w:r>
        <w:rPr>
          <w:iCs/>
          <w:i/>
          <w:bCs/>
          <w:b/>
        </w:rPr>
        <w:t xml:space="preserve">vāṇīḥ</w:t>
      </w:r>
      <w:r>
        <w:rPr>
          <w:bCs/>
          <w:b/>
        </w:rPr>
        <w:t xml:space="preserve">)</w:t>
      </w:r>
      <w:r>
        <w:t xml:space="preserve"> </w:t>
      </w:r>
      <w:r>
        <w:t xml:space="preserve">is used in this rik, there is ample room to suppose that it refers to Yajus-sentences that are</w:t>
      </w:r>
      <w:r>
        <w:t xml:space="preserve"> </w:t>
      </w:r>
      <w:r>
        <w:rPr>
          <w:iCs/>
          <w:i/>
        </w:rPr>
        <w:t xml:space="preserve">not</w:t>
      </w:r>
      <w:r>
        <w:t xml:space="preserve"> </w:t>
      </w:r>
      <w:r>
        <w:t xml:space="preserve">bound in meter.</w:t>
      </w:r>
    </w:p>
    <w:p>
      <w:pPr>
        <w:pStyle w:val="FirstParagraph"/>
      </w:pPr>
      <w:r>
        <w:t xml:space="preserve">For these reasons, the Bhāṣyakāra’s explanation of the words as the Ṛk-Yajus-Sāman mantras of the three Vedas</w:t>
      </w:r>
      <w:r>
        <w:t xml:space="preserve"> </w:t>
      </w:r>
      <w:r>
        <w:rPr>
          <w:bCs/>
          <w:b/>
        </w:rPr>
        <w:t xml:space="preserve">cannot be set aside.</w:t>
      </w:r>
    </w:p>
    <w:p>
      <w:r>
        <w:pict>
          <v:rect style="width:0;height:1.5pt" o:hralign="center" o:hrstd="t" o:hr="t"/>
        </w:pict>
      </w:r>
    </w:p>
    <w:p>
      <w:pPr>
        <w:pStyle w:val="FirstParagraph"/>
      </w:pPr>
      <w:r>
        <w:rPr>
          <w:bCs/>
          <w:b/>
        </w:rPr>
        <w:t xml:space="preserve">“</w:t>
      </w:r>
      <w:r>
        <w:rPr>
          <w:bCs/>
          <w:b/>
        </w:rPr>
        <w:t xml:space="preserve">Gāthinaḥ</w:t>
      </w:r>
      <w:r>
        <w:rPr>
          <w:bCs/>
          <w:b/>
        </w:rPr>
        <w:t xml:space="preserve">”</w:t>
      </w:r>
      <w:r>
        <w:t xml:space="preserve"> </w:t>
      </w:r>
      <w:r>
        <w:t xml:space="preserve">—</w:t>
      </w:r>
      <w:r>
        <w:t xml:space="preserve"> </w:t>
      </w:r>
      <w:r>
        <w:rPr>
          <w:iCs/>
          <w:i/>
        </w:rPr>
        <w:t xml:space="preserve">gāthā eṣāṃ santīti gāthinaḥ</w:t>
      </w:r>
      <w:r>
        <w:t xml:space="preserve"> </w:t>
      </w:r>
      <w:r>
        <w:t xml:space="preserve">(</w:t>
      </w:r>
      <w:r>
        <w:t xml:space="preserve">“</w:t>
      </w:r>
      <w:r>
        <w:t xml:space="preserve">those who have gāthās</w:t>
      </w:r>
      <w:r>
        <w:t xml:space="preserve">”</w:t>
      </w:r>
      <w:r>
        <w:t xml:space="preserve">).</w:t>
      </w:r>
      <w:r>
        <w:t xml:space="preserve"> </w:t>
      </w:r>
      <w:r>
        <w:rPr>
          <w:iCs/>
          <w:i/>
        </w:rPr>
        <w:t xml:space="preserve">Gāthā</w:t>
      </w:r>
      <w:r>
        <w:t xml:space="preserve"> </w:t>
      </w:r>
      <w:r>
        <w:t xml:space="preserve">is also a name for Sāma-Veda mantras; those who</w:t>
      </w:r>
      <w:r>
        <w:t xml:space="preserve"> </w:t>
      </w:r>
      <w:r>
        <w:rPr>
          <w:bCs/>
          <w:b/>
        </w:rPr>
        <w:t xml:space="preserve">sing</w:t>
      </w:r>
      <w:r>
        <w:t xml:space="preserve"> </w:t>
      </w:r>
      <w:r>
        <w:t xml:space="preserve">these gāthās — that is, the Sāman-mantras — are called</w:t>
      </w:r>
      <w:r>
        <w:t xml:space="preserve"> </w:t>
      </w:r>
      <w:r>
        <w:rPr>
          <w:iCs/>
          <w:i/>
        </w:rPr>
        <w:t xml:space="preserve">gāthinaḥ</w:t>
      </w:r>
      <w:r>
        <w:t xml:space="preserve">.</w:t>
      </w:r>
    </w:p>
    <w:bookmarkEnd w:id="294"/>
    <w:bookmarkStart w:id="295" w:name="page-261"/>
    <w:p>
      <w:pPr>
        <w:pStyle w:val="Heading3"/>
      </w:pPr>
      <w:r>
        <w:t xml:space="preserve">Page 261</w:t>
      </w:r>
    </w:p>
    <w:p>
      <w:pPr>
        <w:pStyle w:val="FirstParagraph"/>
      </w:pPr>
      <w:r>
        <w:rPr>
          <w:bCs/>
          <w:b/>
        </w:rPr>
        <w:t xml:space="preserve">“</w:t>
      </w:r>
      <w:r>
        <w:rPr>
          <w:bCs/>
          <w:b/>
        </w:rPr>
        <w:t xml:space="preserve">Bṛhat</w:t>
      </w:r>
      <w:r>
        <w:rPr>
          <w:bCs/>
          <w:b/>
        </w:rPr>
        <w:t xml:space="preserve">”</w:t>
      </w:r>
      <w:r>
        <w:t xml:space="preserve"> </w:t>
      </w:r>
      <w:r>
        <w:t xml:space="preserve">— the ordinary sense of</w:t>
      </w:r>
      <w:r>
        <w:t xml:space="preserve"> </w:t>
      </w:r>
      <w:r>
        <w:rPr>
          <w:iCs/>
          <w:i/>
        </w:rPr>
        <w:t xml:space="preserve">bṛhat</w:t>
      </w:r>
      <w:r>
        <w:t xml:space="preserve"> </w:t>
      </w:r>
      <w:r>
        <w:t xml:space="preserve">is</w:t>
      </w:r>
      <w:r>
        <w:t xml:space="preserve"> </w:t>
      </w:r>
      <w:r>
        <w:t xml:space="preserve">“</w:t>
      </w:r>
      <w:r>
        <w:t xml:space="preserve">great.</w:t>
      </w:r>
      <w:r>
        <w:t xml:space="preserve">”</w:t>
      </w:r>
      <w:r>
        <w:t xml:space="preserve"> </w:t>
      </w:r>
      <w:r>
        <w:t xml:space="preserve">But in the Sāma Veda there is the principal Sāman-mantra, sung in sacrifices, called</w:t>
      </w:r>
      <w:r>
        <w:t xml:space="preserve"> </w:t>
      </w:r>
      <w:r>
        <w:rPr>
          <w:bCs/>
          <w:b/>
        </w:rPr>
        <w:t xml:space="preserve">Bṛhat-sāman</w:t>
      </w:r>
      <w:r>
        <w:t xml:space="preserve">; and in the Ṛgveda it is this rik:</w:t>
      </w:r>
    </w:p>
    <w:p>
      <w:pPr>
        <w:pStyle w:val="BlockText"/>
      </w:pPr>
      <w:r>
        <w:t xml:space="preserve">त्वामिद्धि हवामहे सातौ वाजस्य कारवः ।</w:t>
      </w:r>
      <w:r>
        <w:t xml:space="preserve"> </w:t>
      </w:r>
      <w:r>
        <w:t xml:space="preserve">त्वां वृत्रेष्विन्द्र सत्पतिं नरस्त्वां काष्ठास्वर्वतः ॥</w:t>
      </w:r>
    </w:p>
    <w:p>
      <w:pPr>
        <w:pStyle w:val="BlockText"/>
      </w:pPr>
      <w:r>
        <w:rPr>
          <w:iCs/>
          <w:i/>
        </w:rPr>
        <w:t xml:space="preserve">tvām id dhi havāmahe sātā vājasya kāravaḥ |</w:t>
      </w:r>
      <w:r>
        <w:t xml:space="preserve"> </w:t>
      </w:r>
      <w:r>
        <w:rPr>
          <w:iCs/>
          <w:i/>
        </w:rPr>
        <w:t xml:space="preserve">tvāṃ vṛtreṣv indra satpatiṃ naras tvāṃ kāṣṭhāsv arvataḥ ||</w:t>
      </w:r>
    </w:p>
    <w:p>
      <w:pPr>
        <w:pStyle w:val="BlockText"/>
      </w:pPr>
      <w:r>
        <w:t xml:space="preserve">(Ṛgveda Saṃhitā 6-46-1)</w:t>
      </w:r>
    </w:p>
    <w:p>
      <w:pPr>
        <w:pStyle w:val="FirstParagraph"/>
      </w:pPr>
      <w:r>
        <w:rPr>
          <w:bCs/>
          <w:b/>
        </w:rPr>
        <w:t xml:space="preserve">Translation (of the rik as cited here):</w:t>
      </w:r>
      <w:r>
        <w:t xml:space="preserve"> </w:t>
      </w:r>
      <w:r>
        <w:t xml:space="preserve">“</w:t>
      </w:r>
      <w:r>
        <w:t xml:space="preserve">Indeed we call upon you, O Indra — we the singers — for the winning of strength [or: in the winning of spoil]; you, O Indra, the lord of the good, in battles with Vṛtra [or: against Vṛtras]; the men [call upon] you in the races of the horse.</w:t>
      </w:r>
      <w:r>
        <w:t xml:space="preserve">”</w:t>
      </w:r>
      <w:r>
        <w:t xml:space="preserve"> </w:t>
      </w:r>
      <w:r>
        <w:rPr>
          <w:iCs/>
          <w:i/>
        </w:rPr>
        <w:t xml:space="preserve">(Gloss mine and tentative; the source gives no translation of it here.</w:t>
      </w:r>
      <w:r>
        <w:rPr>
          <w:iCs/>
          <w:i/>
        </w:rPr>
        <w:t xml:space="preserve"> </w:t>
      </w:r>
      <w:r>
        <w:rPr>
          <w:iCs/>
          <w:i/>
        </w:rPr>
        <w:t xml:space="preserve">“</w:t>
      </w:r>
      <w:r>
        <w:rPr>
          <w:iCs/>
          <w:i/>
        </w:rPr>
        <w:t xml:space="preserve">sātā</w:t>
      </w:r>
      <w:r>
        <w:rPr>
          <w:iCs/>
          <w:i/>
        </w:rPr>
        <w:t xml:space="preserve">”</w:t>
      </w:r>
      <w:r>
        <w:rPr>
          <w:iCs/>
          <w:i/>
        </w:rPr>
        <w:t xml:space="preserve"> </w:t>
      </w:r>
      <w:r>
        <w:rPr>
          <w:iCs/>
          <w:i/>
        </w:rPr>
        <w:t xml:space="preserve">as printed.)</w:t>
      </w:r>
    </w:p>
    <w:p>
      <w:pPr>
        <w:pStyle w:val="BodyText"/>
      </w:pPr>
      <w:r>
        <w:t xml:space="preserve">The source adds: this mantra is found in the Sāma Veda at</w:t>
      </w:r>
      <w:r>
        <w:t xml:space="preserve"> </w:t>
      </w:r>
      <w:r>
        <w:rPr>
          <w:bCs/>
          <w:b/>
        </w:rPr>
        <w:t xml:space="preserve">234; 809</w:t>
      </w:r>
      <w:r>
        <w:t xml:space="preserve">; in the Atharvaveda</w:t>
      </w:r>
      <w:r>
        <w:t xml:space="preserve"> </w:t>
      </w:r>
      <w:r>
        <w:rPr>
          <w:bCs/>
          <w:b/>
        </w:rPr>
        <w:t xml:space="preserve">20-98-1</w:t>
      </w:r>
      <w:r>
        <w:t xml:space="preserve">; in the Vājasaneyi Saṃhitā (Śukla Yajurveda)</w:t>
      </w:r>
      <w:r>
        <w:t xml:space="preserve"> </w:t>
      </w:r>
      <w:r>
        <w:rPr>
          <w:bCs/>
          <w:b/>
        </w:rPr>
        <w:t xml:space="preserve">27-37</w:t>
      </w:r>
      <w:r>
        <w:t xml:space="preserve">; the Taittirīya Saṃhitā (Kṛṣṇa Yajurveda)</w:t>
      </w:r>
      <w:r>
        <w:t xml:space="preserve"> </w:t>
      </w:r>
      <w:r>
        <w:rPr>
          <w:bCs/>
          <w:b/>
        </w:rPr>
        <w:t xml:space="preserve">2-4-14-3</w:t>
      </w:r>
      <w:r>
        <w:t xml:space="preserve">; the Maitrāyaṇīya Saṃhitā</w:t>
      </w:r>
      <w:r>
        <w:t xml:space="preserve"> </w:t>
      </w:r>
      <w:r>
        <w:rPr>
          <w:bCs/>
          <w:b/>
        </w:rPr>
        <w:t xml:space="preserve">7-2-6 [?]</w:t>
      </w:r>
      <w:r>
        <w:t xml:space="preserve"> </w:t>
      </w:r>
      <w:r>
        <w:t xml:space="preserve">(the first digit unclear), and other places.</w:t>
      </w:r>
      <w:r>
        <w:t xml:space="preserve"> </w:t>
      </w:r>
      <w:r>
        <w:rPr>
          <w:bCs/>
          <w:b/>
        </w:rPr>
        <w:t xml:space="preserve">This Bṛhat-sāman is one principal mantra of the Sāma Veda; the Yajurveda explains it in many places.</w:t>
      </w:r>
    </w:p>
    <w:p>
      <w:pPr>
        <w:pStyle w:val="BodyText"/>
      </w:pPr>
      <w:r>
        <w:rPr>
          <w:bCs/>
          <w:b/>
        </w:rPr>
        <w:t xml:space="preserve">“</w:t>
      </w:r>
      <w:r>
        <w:rPr>
          <w:bCs/>
          <w:b/>
        </w:rPr>
        <w:t xml:space="preserve">Arkebhiḥ</w:t>
      </w:r>
      <w:r>
        <w:rPr>
          <w:bCs/>
          <w:b/>
        </w:rPr>
        <w:t xml:space="preserve">”</w:t>
      </w:r>
      <w:r>
        <w:t xml:space="preserve"> </w:t>
      </w:r>
      <w:r>
        <w:t xml:space="preserve">— Yāska, in the Nirukta, gives the sense of the word</w:t>
      </w:r>
      <w:r>
        <w:t xml:space="preserve"> </w:t>
      </w:r>
      <w:r>
        <w:rPr>
          <w:iCs/>
          <w:i/>
        </w:rPr>
        <w:t xml:space="preserve">arka</w:t>
      </w:r>
      <w:r>
        <w:t xml:space="preserve">:</w:t>
      </w:r>
      <w:r>
        <w:t xml:space="preserve"> </w:t>
      </w:r>
      <w:r>
        <w:rPr>
          <w:bCs/>
          <w:b/>
        </w:rPr>
        <w:t xml:space="preserve">अर्को मन्त्रो भवति यदेनेनार्चन्ति</w:t>
      </w:r>
      <w:r>
        <w:t xml:space="preserve"> </w:t>
      </w:r>
      <w:r>
        <w:t xml:space="preserve">(</w:t>
      </w:r>
      <w:r>
        <w:rPr>
          <w:iCs/>
          <w:i/>
        </w:rPr>
        <w:t xml:space="preserve">arko mantro bhavati yad anenārcanti</w:t>
      </w:r>
      <w:r>
        <w:t xml:space="preserve">) —</w:t>
      </w:r>
      <w:r>
        <w:t xml:space="preserve"> </w:t>
      </w:r>
      <w:r>
        <w:t xml:space="preserve">“</w:t>
      </w:r>
      <w:r>
        <w:t xml:space="preserve">an</w:t>
      </w:r>
      <w:r>
        <w:t xml:space="preserve"> </w:t>
      </w:r>
      <w:r>
        <w:rPr>
          <w:iCs/>
          <w:i/>
        </w:rPr>
        <w:t xml:space="preserve">arka</w:t>
      </w:r>
      <w:r>
        <w:t xml:space="preserve"> </w:t>
      </w:r>
      <w:r>
        <w:t xml:space="preserve">is a mantra, because with it they worship</w:t>
      </w:r>
      <w:r>
        <w:t xml:space="preserve">”</w:t>
      </w:r>
      <w:r>
        <w:t xml:space="preserve"> </w:t>
      </w:r>
      <w:r>
        <w:t xml:space="preserve">(Nirukta 5-4). The root</w:t>
      </w:r>
      <w:r>
        <w:t xml:space="preserve"> </w:t>
      </w:r>
      <w:r>
        <w:rPr>
          <w:iCs/>
          <w:i/>
        </w:rPr>
        <w:t xml:space="preserve">arc</w:t>
      </w:r>
      <w:r>
        <w:t xml:space="preserve"> </w:t>
      </w:r>
      <w:r>
        <w:t xml:space="preserve">means</w:t>
      </w:r>
      <w:r>
        <w:t xml:space="preserve"> </w:t>
      </w:r>
      <w:r>
        <w:t xml:space="preserve">“</w:t>
      </w:r>
      <w:r>
        <w:t xml:space="preserve">to worship</w:t>
      </w:r>
      <w:r>
        <w:t xml:space="preserve">”</w:t>
      </w:r>
      <w:r>
        <w:t xml:space="preserve"> </w:t>
      </w:r>
      <w:r>
        <w:t xml:space="preserve">(</w:t>
      </w:r>
      <w:r>
        <w:rPr>
          <w:iCs/>
          <w:i/>
        </w:rPr>
        <w:t xml:space="preserve">pūjāyām</w:t>
      </w:r>
      <w:r>
        <w:t xml:space="preserve">); because worship is done with it, the mantra is called</w:t>
      </w:r>
      <w:r>
        <w:t xml:space="preserve"> </w:t>
      </w:r>
      <w:r>
        <w:rPr>
          <w:iCs/>
          <w:i/>
        </w:rPr>
        <w:t xml:space="preserve">arka</w:t>
      </w:r>
      <w:r>
        <w:t xml:space="preserve">.</w:t>
      </w:r>
    </w:p>
    <w:p>
      <w:pPr>
        <w:pStyle w:val="BodyText"/>
      </w:pPr>
      <w:r>
        <w:rPr>
          <w:bCs/>
          <w:b/>
        </w:rPr>
        <w:t xml:space="preserve">“</w:t>
      </w:r>
      <w:r>
        <w:rPr>
          <w:bCs/>
          <w:b/>
        </w:rPr>
        <w:t xml:space="preserve">Arkiṇaḥ</w:t>
      </w:r>
      <w:r>
        <w:rPr>
          <w:bCs/>
          <w:b/>
        </w:rPr>
        <w:t xml:space="preserve">”</w:t>
      </w:r>
      <w:r>
        <w:t xml:space="preserve"> </w:t>
      </w:r>
      <w:r>
        <w:t xml:space="preserve">—</w:t>
      </w:r>
      <w:r>
        <w:t xml:space="preserve"> </w:t>
      </w:r>
      <w:r>
        <w:rPr>
          <w:bCs/>
          <w:b/>
        </w:rPr>
        <w:t xml:space="preserve">अर्काः स्तुतिसाधनभूता मन्त्रा येषां सन्तीत्यर्किणः</w:t>
      </w:r>
      <w:r>
        <w:t xml:space="preserve"> </w:t>
      </w:r>
      <w:r>
        <w:t xml:space="preserve">(</w:t>
      </w:r>
      <w:r>
        <w:rPr>
          <w:iCs/>
          <w:i/>
        </w:rPr>
        <w:t xml:space="preserve">arkāḥ stuti-sādhana-bhūtā mantrā yeṣāṃ santīty arkiṇaḥ</w:t>
      </w:r>
      <w:r>
        <w:t xml:space="preserve">) —</w:t>
      </w:r>
      <w:r>
        <w:t xml:space="preserve"> </w:t>
      </w:r>
      <w:r>
        <w:t xml:space="preserve">“</w:t>
      </w:r>
      <w:r>
        <w:t xml:space="preserve">those who have</w:t>
      </w:r>
      <w:r>
        <w:t xml:space="preserve"> </w:t>
      </w:r>
      <w:r>
        <w:rPr>
          <w:iCs/>
          <w:i/>
        </w:rPr>
        <w:t xml:space="preserve">arkas</w:t>
      </w:r>
      <w:r>
        <w:t xml:space="preserve">, mantras that are the instruments of praise</w:t>
      </w:r>
      <w:r>
        <w:t xml:space="preserve">”</w:t>
      </w:r>
      <w:r>
        <w:t xml:space="preserve"> </w:t>
      </w:r>
      <w:r>
        <w:t xml:space="preserve">— that is, those who praise with mantras (</w:t>
      </w:r>
      <w:r>
        <w:rPr>
          <w:iCs/>
          <w:i/>
        </w:rPr>
        <w:t xml:space="preserve">arkas</w:t>
      </w:r>
      <w:r>
        <w:t xml:space="preserve">) that are the means of praise.</w:t>
      </w:r>
    </w:p>
    <w:p>
      <w:pPr>
        <w:pStyle w:val="BodyText"/>
      </w:pPr>
      <w:r>
        <w:rPr>
          <w:bCs/>
          <w:b/>
        </w:rPr>
        <w:t xml:space="preserve">“</w:t>
      </w:r>
      <w:r>
        <w:rPr>
          <w:bCs/>
          <w:b/>
        </w:rPr>
        <w:t xml:space="preserve">Vāṇīḥ</w:t>
      </w:r>
      <w:r>
        <w:rPr>
          <w:bCs/>
          <w:b/>
        </w:rPr>
        <w:t xml:space="preserve">”</w:t>
      </w:r>
      <w:r>
        <w:t xml:space="preserve"> </w:t>
      </w:r>
      <w:r>
        <w:t xml:space="preserve">—</w:t>
      </w:r>
      <w:r>
        <w:t xml:space="preserve"> </w:t>
      </w:r>
      <w:r>
        <w:rPr>
          <w:iCs/>
          <w:i/>
        </w:rPr>
        <w:t xml:space="preserve">vāṇī</w:t>
      </w:r>
      <w:r>
        <w:t xml:space="preserve"> </w:t>
      </w:r>
      <w:r>
        <w:t xml:space="preserve">is listed among the</w:t>
      </w:r>
      <w:r>
        <w:t xml:space="preserve"> </w:t>
      </w:r>
      <w:r>
        <w:rPr>
          <w:bCs/>
          <w:b/>
        </w:rPr>
        <w:t xml:space="preserve">fifty-seven</w:t>
      </w:r>
      <w:r>
        <w:t xml:space="preserve"> </w:t>
      </w:r>
      <w:r>
        <w:t xml:space="preserve">speech-words beginning with</w:t>
      </w:r>
      <w:r>
        <w:t xml:space="preserve"> </w:t>
      </w:r>
      <w:r>
        <w:rPr>
          <w:iCs/>
          <w:i/>
        </w:rPr>
        <w:t xml:space="preserve">śloka</w:t>
      </w:r>
      <w:r>
        <w:t xml:space="preserve"> </w:t>
      </w:r>
      <w:r>
        <w:t xml:space="preserve">and</w:t>
      </w:r>
      <w:r>
        <w:t xml:space="preserve"> </w:t>
      </w:r>
      <w:r>
        <w:rPr>
          <w:iCs/>
          <w:i/>
        </w:rPr>
        <w:t xml:space="preserve">dhārā</w:t>
      </w:r>
      <w:r>
        <w:t xml:space="preserve"> </w:t>
      </w:r>
      <w:r>
        <w:t xml:space="preserve">(Ni. 2-23 [?], the numerals unclear). Here the Bhāṣyakāra explains</w:t>
      </w:r>
      <w:r>
        <w:t xml:space="preserve"> </w:t>
      </w:r>
      <w:r>
        <w:rPr>
          <w:iCs/>
          <w:i/>
        </w:rPr>
        <w:t xml:space="preserve">vāṇīḥ</w:t>
      </w:r>
      <w:r>
        <w:t xml:space="preserve"> </w:t>
      </w:r>
      <w:r>
        <w:t xml:space="preserve">as</w:t>
      </w:r>
      <w:r>
        <w:t xml:space="preserve"> </w:t>
      </w:r>
      <w:r>
        <w:rPr>
          <w:bCs/>
          <w:b/>
        </w:rPr>
        <w:t xml:space="preserve">Yajurveda sentences</w:t>
      </w:r>
      <w:r>
        <w:t xml:space="preserve">. Since the Yajurveda has few mantras bound in meter, it is the custom to call its mantras</w:t>
      </w:r>
      <w:r>
        <w:t xml:space="preserve"> </w:t>
      </w:r>
      <w:r>
        <w:t xml:space="preserve">“</w:t>
      </w:r>
      <w:r>
        <w:t xml:space="preserve">sentences</w:t>
      </w:r>
      <w:r>
        <w:t xml:space="preserve">”</w:t>
      </w:r>
      <w:r>
        <w:t xml:space="preserve"> </w:t>
      </w:r>
      <w:r>
        <w:t xml:space="preserve">(</w:t>
      </w:r>
      <w:r>
        <w:rPr>
          <w:iCs/>
          <w:i/>
        </w:rPr>
        <w:t xml:space="preserve">vākya</w:t>
      </w:r>
      <w:r>
        <w:t xml:space="preserve">). In this rik the nominative-case word</w:t>
      </w:r>
      <w:r>
        <w:t xml:space="preserve"> </w:t>
      </w:r>
      <w:r>
        <w:rPr>
          <w:iCs/>
          <w:i/>
        </w:rPr>
        <w:t xml:space="preserve">vāṇīḥ</w:t>
      </w:r>
      <w:r>
        <w:t xml:space="preserve"> </w:t>
      </w:r>
      <w:r>
        <w:t xml:space="preserve">is used in the sense of the instrumental.</w:t>
      </w:r>
    </w:p>
    <w:p>
      <w:pPr>
        <w:pStyle w:val="BodyText"/>
      </w:pPr>
      <w:r>
        <w:rPr>
          <w:bCs/>
          <w:b/>
        </w:rPr>
        <w:t xml:space="preserve">“</w:t>
      </w:r>
      <w:r>
        <w:rPr>
          <w:bCs/>
          <w:b/>
        </w:rPr>
        <w:t xml:space="preserve">Anūṣata</w:t>
      </w:r>
      <w:r>
        <w:rPr>
          <w:bCs/>
          <w:b/>
        </w:rPr>
        <w:t xml:space="preserve">”</w:t>
      </w:r>
      <w:r>
        <w:t xml:space="preserve"> </w:t>
      </w:r>
      <w:r>
        <w:t xml:space="preserve">— the aorist (</w:t>
      </w:r>
      <w:r>
        <w:rPr>
          <w:iCs/>
          <w:i/>
        </w:rPr>
        <w:t xml:space="preserve">luṅ</w:t>
      </w:r>
      <w:r>
        <w:t xml:space="preserve">) form of the root</w:t>
      </w:r>
      <w:r>
        <w:t xml:space="preserve"> </w:t>
      </w:r>
      <w:r>
        <w:rPr>
          <w:bCs/>
          <w:b/>
        </w:rPr>
        <w:t xml:space="preserve">ṇu stutau</w:t>
      </w:r>
      <w:r>
        <w:t xml:space="preserve"> </w:t>
      </w:r>
      <w:r>
        <w:t xml:space="preserve">(</w:t>
      </w:r>
      <w:r>
        <w:t xml:space="preserve">“</w:t>
      </w:r>
      <w:r>
        <w:t xml:space="preserve">to praise</w:t>
      </w:r>
      <w:r>
        <w:t xml:space="preserve">”</w:t>
      </w:r>
      <w:r>
        <w:t xml:space="preserve">). Although the root takes parasmaipada, here, by a Vedic inversion (</w:t>
      </w:r>
      <w:r>
        <w:rPr>
          <w:iCs/>
          <w:i/>
        </w:rPr>
        <w:t xml:space="preserve">vyatyaya</w:t>
      </w:r>
      <w:r>
        <w:t xml:space="preserve">), it is used as if it were ātmanepada.</w:t>
      </w:r>
    </w:p>
    <w:p>
      <w:pPr>
        <w:pStyle w:val="BodyText"/>
      </w:pPr>
      <w:r>
        <w:rPr>
          <w:bCs/>
          <w:b/>
        </w:rPr>
        <w:t xml:space="preserve">॥ Vyākaraṇa-prakriyā ॥</w:t>
      </w:r>
    </w:p>
    <w:p>
      <w:pPr>
        <w:pStyle w:val="BodyText"/>
      </w:pPr>
      <w:r>
        <w:rPr>
          <w:iCs/>
          <w:i/>
        </w:rPr>
        <w:t xml:space="preserve">Characterized, not transcribed. This section (pp. 261–263) works through the derivation and accent of each word; sūtra numbers as printed, re-read from the better scan.</w:t>
      </w:r>
    </w:p>
    <w:p>
      <w:pPr>
        <w:numPr>
          <w:ilvl w:val="0"/>
          <w:numId w:val="1038"/>
        </w:numPr>
        <w:pStyle w:val="Compact"/>
      </w:pPr>
      <w:r>
        <w:rPr>
          <w:bCs/>
          <w:b/>
        </w:rPr>
        <w:t xml:space="preserve">गाथिनः (</w:t>
      </w:r>
      <w:r>
        <w:rPr>
          <w:iCs/>
          <w:i/>
          <w:bCs/>
          <w:b/>
        </w:rPr>
        <w:t xml:space="preserve">gāthinaḥ</w:t>
      </w:r>
      <w:r>
        <w:rPr>
          <w:bCs/>
          <w:b/>
        </w:rPr>
        <w:t xml:space="preserve">)</w:t>
      </w:r>
      <w:r>
        <w:t xml:space="preserve"> </w:t>
      </w:r>
      <w:r>
        <w:t xml:space="preserve">— from the root</w:t>
      </w:r>
      <w:r>
        <w:t xml:space="preserve"> </w:t>
      </w:r>
      <w:r>
        <w:rPr>
          <w:iCs/>
          <w:i/>
        </w:rPr>
        <w:t xml:space="preserve">gai</w:t>
      </w:r>
      <w:r>
        <w:t xml:space="preserve"> </w:t>
      </w:r>
      <w:r>
        <w:t xml:space="preserve">(</w:t>
      </w:r>
      <w:r>
        <w:t xml:space="preserve">“</w:t>
      </w:r>
      <w:r>
        <w:t xml:space="preserve">to sing</w:t>
      </w:r>
      <w:r>
        <w:t xml:space="preserve">”</w:t>
      </w:r>
      <w:r>
        <w:t xml:space="preserve">) + the</w:t>
      </w:r>
      <w:r>
        <w:t xml:space="preserve"> </w:t>
      </w:r>
      <w:r>
        <w:rPr>
          <w:iCs/>
          <w:i/>
        </w:rPr>
        <w:t xml:space="preserve">than</w:t>
      </w:r>
      <w:r>
        <w:t xml:space="preserve"> </w:t>
      </w:r>
      <w:r>
        <w:t xml:space="preserve">suffix by</w:t>
      </w:r>
      <w:r>
        <w:t xml:space="preserve"> </w:t>
      </w:r>
      <w:r>
        <w:rPr>
          <w:bCs/>
          <w:b/>
        </w:rPr>
        <w:t xml:space="preserve">उषिकुषिगार्तिभ्यस्थन्</w:t>
      </w:r>
      <w:r>
        <w:t xml:space="preserve"> </w:t>
      </w:r>
      <w:r>
        <w:t xml:space="preserve">(उ. सू. २-१६१, so printed here; the Bhāṣya gave</w:t>
      </w:r>
      <w:r>
        <w:t xml:space="preserve"> </w:t>
      </w:r>
      <w:r>
        <w:t xml:space="preserve">“</w:t>
      </w:r>
      <w:r>
        <w:t xml:space="preserve">उ. २-४</w:t>
      </w:r>
      <w:r>
        <w:t xml:space="preserve">”</w:t>
      </w:r>
      <w:r>
        <w:t xml:space="preserve">) — after</w:t>
      </w:r>
      <w:r>
        <w:t xml:space="preserve"> </w:t>
      </w:r>
      <w:r>
        <w:t xml:space="preserve">“</w:t>
      </w:r>
      <w:r>
        <w:t xml:space="preserve">uṣa dāhe,</w:t>
      </w:r>
      <w:r>
        <w:t xml:space="preserve">”</w:t>
      </w:r>
      <w:r>
        <w:t xml:space="preserve"> </w:t>
      </w:r>
      <w:r>
        <w:t xml:space="preserve">“</w:t>
      </w:r>
      <w:r>
        <w:t xml:space="preserve">kuṣa niṣkarṣe,</w:t>
      </w:r>
      <w:r>
        <w:t xml:space="preserve">”</w:t>
      </w:r>
      <w:r>
        <w:t xml:space="preserve"> </w:t>
      </w:r>
      <w:r>
        <w:t xml:space="preserve">“</w:t>
      </w:r>
      <w:r>
        <w:t xml:space="preserve">gai śabde,</w:t>
      </w:r>
      <w:r>
        <w:t xml:space="preserve">”</w:t>
      </w:r>
      <w:r>
        <w:t xml:space="preserve"> </w:t>
      </w:r>
      <w:r>
        <w:t xml:space="preserve">“</w:t>
      </w:r>
      <w:r>
        <w:t xml:space="preserve">ṛ gatau</w:t>
      </w:r>
      <w:r>
        <w:t xml:space="preserve">”</w:t>
      </w:r>
      <w:r>
        <w:t xml:space="preserve"> </w:t>
      </w:r>
      <w:r>
        <w:t xml:space="preserve">— with</w:t>
      </w:r>
      <w:r>
        <w:t xml:space="preserve"> </w:t>
      </w:r>
      <w:r>
        <w:t xml:space="preserve">“</w:t>
      </w:r>
      <w:r>
        <w:t xml:space="preserve">ā</w:t>
      </w:r>
      <w:r>
        <w:t xml:space="preserve">”</w:t>
      </w:r>
      <w:r>
        <w:t xml:space="preserve"> </w:t>
      </w:r>
      <w:r>
        <w:t xml:space="preserve">for the</w:t>
      </w:r>
      <w:r>
        <w:t xml:space="preserve"> </w:t>
      </w:r>
      <w:r>
        <w:t xml:space="preserve">“</w:t>
      </w:r>
      <w:r>
        <w:t xml:space="preserve">ai</w:t>
      </w:r>
      <w:r>
        <w:t xml:space="preserve">”</w:t>
      </w:r>
      <w:r>
        <w:t xml:space="preserve"> </w:t>
      </w:r>
      <w:r>
        <w:t xml:space="preserve">by</w:t>
      </w:r>
      <w:r>
        <w:t xml:space="preserve"> </w:t>
      </w:r>
      <w:r>
        <w:rPr>
          <w:bCs/>
          <w:b/>
        </w:rPr>
        <w:t xml:space="preserve">आदेच उपदेशेऽशिति</w:t>
      </w:r>
      <w:r>
        <w:t xml:space="preserve"> </w:t>
      </w:r>
      <w:r>
        <w:t xml:space="preserve">(पा. सू. ६-१-४५),</w:t>
      </w:r>
      <w:r>
        <w:t xml:space="preserve"> </w:t>
      </w:r>
      <w:r>
        <w:t xml:space="preserve">“</w:t>
      </w:r>
      <w:r>
        <w:t xml:space="preserve">gātha,</w:t>
      </w:r>
      <w:r>
        <w:t xml:space="preserve">”</w:t>
      </w:r>
      <w:r>
        <w:t xml:space="preserve"> </w:t>
      </w:r>
      <w:r>
        <w:t xml:space="preserve">first-syllable acute by the</w:t>
      </w:r>
      <w:r>
        <w:t xml:space="preserve"> </w:t>
      </w:r>
      <w:r>
        <w:t xml:space="preserve">“</w:t>
      </w:r>
      <w:r>
        <w:t xml:space="preserve">n</w:t>
      </w:r>
      <w:r>
        <w:t xml:space="preserve">”</w:t>
      </w:r>
      <w:r>
        <w:t xml:space="preserve">-mark; then,</w:t>
      </w:r>
      <w:r>
        <w:t xml:space="preserve"> </w:t>
      </w:r>
      <w:r>
        <w:t xml:space="preserve">“</w:t>
      </w:r>
      <w:r>
        <w:t xml:space="preserve">gāthā eṣāṃ santi,</w:t>
      </w:r>
      <w:r>
        <w:t xml:space="preserve">”</w:t>
      </w:r>
      <w:r>
        <w:t xml:space="preserve"> </w:t>
      </w:r>
      <w:r>
        <w:rPr>
          <w:bCs/>
          <w:b/>
        </w:rPr>
        <w:t xml:space="preserve">व्रीह्यादिभ्यश्च</w:t>
      </w:r>
      <w:r>
        <w:t xml:space="preserve"> </w:t>
      </w:r>
      <w:r>
        <w:t xml:space="preserve">(पा. सू. ५-२-११६) gives</w:t>
      </w:r>
      <w:r>
        <w:t xml:space="preserve"> </w:t>
      </w:r>
      <w:r>
        <w:t xml:space="preserve">“</w:t>
      </w:r>
      <w:r>
        <w:t xml:space="preserve">ini</w:t>
      </w:r>
      <w:r>
        <w:t xml:space="preserve">”</w:t>
      </w:r>
      <w:r>
        <w:t xml:space="preserve"> </w:t>
      </w:r>
      <w:r>
        <w:t xml:space="preserve">or</w:t>
      </w:r>
      <w:r>
        <w:t xml:space="preserve"> </w:t>
      </w:r>
      <w:r>
        <w:t xml:space="preserve">“</w:t>
      </w:r>
      <w:r>
        <w:t xml:space="preserve">than</w:t>
      </w:r>
      <w:r>
        <w:t xml:space="preserve">”</w:t>
      </w:r>
      <w:r>
        <w:t xml:space="preserve"> </w:t>
      </w:r>
      <w:r>
        <w:t xml:space="preserve">in the possessive sense after the</w:t>
      </w:r>
      <w:r>
        <w:t xml:space="preserve"> </w:t>
      </w:r>
      <w:r>
        <w:t xml:space="preserve">“</w:t>
      </w:r>
      <w:r>
        <w:t xml:space="preserve">vrīhi</w:t>
      </w:r>
      <w:r>
        <w:t xml:space="preserve">”</w:t>
      </w:r>
      <w:r>
        <w:t xml:space="preserve">-class words, here</w:t>
      </w:r>
      <w:r>
        <w:t xml:space="preserve"> </w:t>
      </w:r>
      <w:r>
        <w:t xml:space="preserve">“</w:t>
      </w:r>
      <w:r>
        <w:t xml:space="preserve">ini</w:t>
      </w:r>
      <w:r>
        <w:t xml:space="preserve">”</w:t>
      </w:r>
      <w:r>
        <w:t xml:space="preserve">;</w:t>
      </w:r>
      <w:r>
        <w:t xml:space="preserve"> </w:t>
      </w:r>
      <w:r>
        <w:rPr>
          <w:bCs/>
          <w:b/>
        </w:rPr>
        <w:t xml:space="preserve">यस्येति च</w:t>
      </w:r>
      <w:r>
        <w:t xml:space="preserve"> </w:t>
      </w:r>
      <w:r>
        <w:t xml:space="preserve">(पा. सू.</w:t>
      </w:r>
      <w:r>
        <w:t xml:space="preserve"> </w:t>
      </w:r>
      <w:r>
        <w:t xml:space="preserve">“</w:t>
      </w:r>
      <w:r>
        <w:t xml:space="preserve">६-४-</w:t>
      </w:r>
      <w:r>
        <w:t xml:space="preserve">”</w:t>
      </w:r>
      <w:r>
        <w:t xml:space="preserve"> </w:t>
      </w:r>
      <w:r>
        <w:t xml:space="preserve">as printed, the last number missing) drops the</w:t>
      </w:r>
      <w:r>
        <w:t xml:space="preserve"> </w:t>
      </w:r>
      <w:r>
        <w:t xml:space="preserve">“</w:t>
      </w:r>
      <w:r>
        <w:t xml:space="preserve">ā</w:t>
      </w:r>
      <w:r>
        <w:t xml:space="preserve">”</w:t>
      </w:r>
      <w:r>
        <w:t xml:space="preserve">; the</w:t>
      </w:r>
      <w:r>
        <w:t xml:space="preserve"> </w:t>
      </w:r>
      <w:r>
        <w:t xml:space="preserve">“</w:t>
      </w:r>
      <w:r>
        <w:t xml:space="preserve">i</w:t>
      </w:r>
      <w:r>
        <w:t xml:space="preserve">”</w:t>
      </w:r>
      <w:r>
        <w:t xml:space="preserve"> </w:t>
      </w:r>
      <w:r>
        <w:t xml:space="preserve">acute by the affix accent, the</w:t>
      </w:r>
      <w:r>
        <w:t xml:space="preserve"> </w:t>
      </w:r>
      <w:r>
        <w:t xml:space="preserve">“</w:t>
      </w:r>
      <w:r>
        <w:t xml:space="preserve">ā</w:t>
      </w:r>
      <w:r>
        <w:t xml:space="preserve">”</w:t>
      </w:r>
      <w:r>
        <w:t xml:space="preserve"> </w:t>
      </w:r>
      <w:r>
        <w:t xml:space="preserve">unaccented by</w:t>
      </w:r>
      <w:r>
        <w:t xml:space="preserve"> </w:t>
      </w:r>
      <w:r>
        <w:t xml:space="preserve">“</w:t>
      </w:r>
      <w:r>
        <w:t xml:space="preserve">satiśiṣṭa</w:t>
      </w:r>
      <w:r>
        <w:t xml:space="preserve">”</w:t>
      </w:r>
      <w:r>
        <w:t xml:space="preserve">; the unaccented</w:t>
      </w:r>
      <w:r>
        <w:t xml:space="preserve"> </w:t>
      </w:r>
      <w:r>
        <w:t xml:space="preserve">“</w:t>
      </w:r>
      <w:r>
        <w:t xml:space="preserve">a</w:t>
      </w:r>
      <w:r>
        <w:t xml:space="preserve">”</w:t>
      </w:r>
      <w:r>
        <w:t xml:space="preserve"> </w:t>
      </w:r>
      <w:r>
        <w:t xml:space="preserve">of</w:t>
      </w:r>
      <w:r>
        <w:t xml:space="preserve"> </w:t>
      </w:r>
      <w:r>
        <w:t xml:space="preserve">“</w:t>
      </w:r>
      <w:r>
        <w:t xml:space="preserve">jas</w:t>
      </w:r>
      <w:r>
        <w:t xml:space="preserve">”</w:t>
      </w:r>
      <w:r>
        <w:t xml:space="preserve"> </w:t>
      </w:r>
      <w:r>
        <w:t xml:space="preserve">becomes svarita by</w:t>
      </w:r>
      <w:r>
        <w:t xml:space="preserve"> </w:t>
      </w:r>
      <w:r>
        <w:rPr>
          <w:bCs/>
          <w:b/>
        </w:rPr>
        <w:t xml:space="preserve">उदात्तादनुदात्तस्य स्वरितः</w:t>
      </w:r>
      <w:r>
        <w:t xml:space="preserve"> </w:t>
      </w:r>
      <w:r>
        <w:t xml:space="preserve">(पा. सू. ८-४-६६).</w:t>
      </w:r>
    </w:p>
    <w:p>
      <w:pPr>
        <w:numPr>
          <w:ilvl w:val="0"/>
          <w:numId w:val="1038"/>
        </w:numPr>
        <w:pStyle w:val="Compact"/>
      </w:pPr>
      <w:r>
        <w:rPr>
          <w:bCs/>
          <w:b/>
        </w:rPr>
        <w:t xml:space="preserve">बृहत् (</w:t>
      </w:r>
      <w:r>
        <w:rPr>
          <w:iCs/>
          <w:i/>
          <w:bCs/>
          <w:b/>
        </w:rPr>
        <w:t xml:space="preserve">bṛhat</w:t>
      </w:r>
      <w:r>
        <w:rPr>
          <w:bCs/>
          <w:b/>
        </w:rPr>
        <w:t xml:space="preserve">)</w:t>
      </w:r>
      <w:r>
        <w:t xml:space="preserve"> </w:t>
      </w:r>
      <w:r>
        <w:t xml:space="preserve">— for</w:t>
      </w:r>
      <w:r>
        <w:t xml:space="preserve"> </w:t>
      </w:r>
      <w:r>
        <w:t xml:space="preserve">“</w:t>
      </w:r>
      <w:r>
        <w:t xml:space="preserve">bṛhatā</w:t>
      </w:r>
      <w:r>
        <w:t xml:space="preserve">”</w:t>
      </w:r>
      <w:r>
        <w:t xml:space="preserve">:</w:t>
      </w:r>
      <w:r>
        <w:t xml:space="preserve"> </w:t>
      </w:r>
      <w:r>
        <w:rPr>
          <w:bCs/>
          <w:b/>
        </w:rPr>
        <w:t xml:space="preserve">सुपां सुलुक्…</w:t>
      </w:r>
      <w:r>
        <w:t xml:space="preserve"> </w:t>
      </w:r>
      <w:r>
        <w:t xml:space="preserve">(पा. सू. ७-१-३९) elides the instrumental ending;</w:t>
      </w:r>
      <w:r>
        <w:t xml:space="preserve"> </w:t>
      </w:r>
      <w:r>
        <w:rPr>
          <w:bCs/>
          <w:b/>
        </w:rPr>
        <w:t xml:space="preserve">वर्तमाने पृषद्बृहन्महज्जगच्छतृवच्च</w:t>
      </w:r>
      <w:r>
        <w:t xml:space="preserve"> </w:t>
      </w:r>
      <w:r>
        <w:t xml:space="preserve">(उ. सू. २-२४१ [?], the bhāṣya gave</w:t>
      </w:r>
      <w:r>
        <w:t xml:space="preserve"> </w:t>
      </w:r>
      <w:r>
        <w:t xml:space="preserve">“</w:t>
      </w:r>
      <w:r>
        <w:t xml:space="preserve">उ. २-८४</w:t>
      </w:r>
      <w:r>
        <w:t xml:space="preserve">”</w:t>
      </w:r>
      <w:r>
        <w:t xml:space="preserve">) forms these words with the affix</w:t>
      </w:r>
      <w:r>
        <w:t xml:space="preserve"> </w:t>
      </w:r>
      <w:r>
        <w:t xml:space="preserve">“</w:t>
      </w:r>
      <w:r>
        <w:t xml:space="preserve">ati</w:t>
      </w:r>
      <w:r>
        <w:t xml:space="preserve">”</w:t>
      </w:r>
      <w:r>
        <w:t xml:space="preserve"> </w:t>
      </w:r>
      <w:r>
        <w:t xml:space="preserve">in the present sense, with all the operations of</w:t>
      </w:r>
      <w:r>
        <w:t xml:space="preserve"> </w:t>
      </w:r>
      <w:r>
        <w:t xml:space="preserve">“</w:t>
      </w:r>
      <w:r>
        <w:t xml:space="preserve">śatṛ</w:t>
      </w:r>
      <w:r>
        <w:t xml:space="preserve">”</w:t>
      </w:r>
      <w:r>
        <w:t xml:space="preserve">; end-acute by the affix accent.</w:t>
      </w:r>
    </w:p>
    <w:p>
      <w:pPr>
        <w:numPr>
          <w:ilvl w:val="0"/>
          <w:numId w:val="1038"/>
        </w:numPr>
        <w:pStyle w:val="Compact"/>
      </w:pPr>
      <w:r>
        <w:rPr>
          <w:bCs/>
          <w:b/>
        </w:rPr>
        <w:t xml:space="preserve">अर्केभिः (</w:t>
      </w:r>
      <w:r>
        <w:rPr>
          <w:iCs/>
          <w:i/>
          <w:bCs/>
          <w:b/>
        </w:rPr>
        <w:t xml:space="preserve">arkebhiḥ</w:t>
      </w:r>
      <w:r>
        <w:rPr>
          <w:bCs/>
          <w:b/>
        </w:rPr>
        <w:t xml:space="preserve">)</w:t>
      </w:r>
      <w:r>
        <w:t xml:space="preserve"> </w:t>
      </w:r>
      <w:r>
        <w:t xml:space="preserve">—</w:t>
      </w:r>
      <w:r>
        <w:t xml:space="preserve"> </w:t>
      </w:r>
      <w:r>
        <w:t xml:space="preserve">“</w:t>
      </w:r>
      <w:r>
        <w:t xml:space="preserve">arca pūjāyām,</w:t>
      </w:r>
      <w:r>
        <w:t xml:space="preserve">”</w:t>
      </w:r>
      <w:r>
        <w:t xml:space="preserve"> </w:t>
      </w:r>
      <w:r>
        <w:t xml:space="preserve">“</w:t>
      </w:r>
      <w:r>
        <w:t xml:space="preserve">arcyante ebhir iti arkāḥ</w:t>
      </w:r>
      <w:r>
        <w:t xml:space="preserve">”</w:t>
      </w:r>
      <w:r>
        <w:t xml:space="preserve"> </w:t>
      </w:r>
      <w:r>
        <w:t xml:space="preserve">(mantras);</w:t>
      </w:r>
      <w:r>
        <w:t xml:space="preserve"> </w:t>
      </w:r>
      <w:r>
        <w:rPr>
          <w:bCs/>
          <w:b/>
        </w:rPr>
        <w:t xml:space="preserve">पुंसि संज्ञायां घः प्रायेण</w:t>
      </w:r>
      <w:r>
        <w:t xml:space="preserve"> </w:t>
      </w:r>
      <w:r>
        <w:t xml:space="preserve">(पा. सू. ३-३-११८)</w:t>
      </w:r>
      <w:r>
        <w:t xml:space="preserve"> </w:t>
      </w:r>
      <w:r>
        <w:t xml:space="preserve">“</w:t>
      </w:r>
      <w:r>
        <w:t xml:space="preserve">gha</w:t>
      </w:r>
      <w:r>
        <w:t xml:space="preserve">”</w:t>
      </w:r>
      <w:r>
        <w:t xml:space="preserve"> </w:t>
      </w:r>
      <w:r>
        <w:t xml:space="preserve">in the instrumental or locative sense; its</w:t>
      </w:r>
      <w:r>
        <w:t xml:space="preserve"> </w:t>
      </w:r>
      <w:r>
        <w:t xml:space="preserve">“</w:t>
      </w:r>
      <w:r>
        <w:t xml:space="preserve">gh</w:t>
      </w:r>
      <w:r>
        <w:t xml:space="preserve">”</w:t>
      </w:r>
      <w:r>
        <w:t xml:space="preserve"> </w:t>
      </w:r>
      <w:r>
        <w:t xml:space="preserve">is</w:t>
      </w:r>
      <w:r>
        <w:t xml:space="preserve"> </w:t>
      </w:r>
      <w:r>
        <w:t xml:space="preserve">“</w:t>
      </w:r>
      <w:r>
        <w:t xml:space="preserve">it</w:t>
      </w:r>
      <w:r>
        <w:t xml:space="preserve">”</w:t>
      </w:r>
      <w:r>
        <w:t xml:space="preserve"> </w:t>
      </w:r>
      <w:r>
        <w:t xml:space="preserve">by</w:t>
      </w:r>
      <w:r>
        <w:t xml:space="preserve"> </w:t>
      </w:r>
      <w:r>
        <w:rPr>
          <w:bCs/>
          <w:b/>
        </w:rPr>
        <w:t xml:space="preserve">लशक्वतद्धिते</w:t>
      </w:r>
      <w:r>
        <w:t xml:space="preserve"> </w:t>
      </w:r>
      <w:r>
        <w:t xml:space="preserve">(पा. सू. १-३-८) and dropped by</w:t>
      </w:r>
      <w:r>
        <w:t xml:space="preserve"> </w:t>
      </w:r>
      <w:r>
        <w:rPr>
          <w:bCs/>
          <w:b/>
        </w:rPr>
        <w:t xml:space="preserve">तस्य लोपः</w:t>
      </w:r>
      <w:r>
        <w:t xml:space="preserve"> </w:t>
      </w:r>
      <w:r>
        <w:t xml:space="preserve">(पा. सू. १-३-९);</w:t>
      </w:r>
      <w:r>
        <w:t xml:space="preserve"> </w:t>
      </w:r>
      <w:r>
        <w:rPr>
          <w:bCs/>
          <w:b/>
        </w:rPr>
        <w:t xml:space="preserve">चजोः कु घिण्ण्यतोः</w:t>
      </w:r>
      <w:r>
        <w:t xml:space="preserve"> </w:t>
      </w:r>
      <w:r>
        <w:t xml:space="preserve">(पा. सू. ७-३-५२)</w:t>
      </w:r>
      <w:r>
        <w:t xml:space="preserve"> </w:t>
      </w:r>
      <w:r>
        <w:t xml:space="preserve">“</w:t>
      </w:r>
      <w:r>
        <w:t xml:space="preserve">k</w:t>
      </w:r>
      <w:r>
        <w:t xml:space="preserve">”</w:t>
      </w:r>
      <w:r>
        <w:t xml:space="preserve"> </w:t>
      </w:r>
      <w:r>
        <w:t xml:space="preserve">for</w:t>
      </w:r>
      <w:r>
        <w:t xml:space="preserve"> </w:t>
      </w:r>
      <w:r>
        <w:t xml:space="preserve">“</w:t>
      </w:r>
      <w:r>
        <w:t xml:space="preserve">c</w:t>
      </w:r>
      <w:r>
        <w:t xml:space="preserve">”</w:t>
      </w:r>
      <w:r>
        <w:t xml:space="preserve">:</w:t>
      </w:r>
      <w:r>
        <w:t xml:space="preserve"> </w:t>
      </w:r>
      <w:r>
        <w:t xml:space="preserve">“</w:t>
      </w:r>
      <w:r>
        <w:t xml:space="preserve">arka</w:t>
      </w:r>
      <w:r>
        <w:t xml:space="preserve">”</w:t>
      </w:r>
      <w:r>
        <w:t xml:space="preserve">; the</w:t>
      </w:r>
      <w:r>
        <w:t xml:space="preserve"> </w:t>
      </w:r>
      <w:r>
        <w:t xml:space="preserve">“</w:t>
      </w:r>
      <w:r>
        <w:t xml:space="preserve">ais</w:t>
      </w:r>
      <w:r>
        <w:t xml:space="preserve">”</w:t>
      </w:r>
      <w:r>
        <w:t xml:space="preserve"> </w:t>
      </w:r>
      <w:r>
        <w:t xml:space="preserve">of</w:t>
      </w:r>
      <w:r>
        <w:t xml:space="preserve"> </w:t>
      </w:r>
      <w:r>
        <w:rPr>
          <w:bCs/>
          <w:b/>
        </w:rPr>
        <w:t xml:space="preserve">अतो भिस ऐस्</w:t>
      </w:r>
      <w:r>
        <w:t xml:space="preserve"> </w:t>
      </w:r>
      <w:r>
        <w:t xml:space="preserve">(पा. सू. ७-१-९) is barred by</w:t>
      </w:r>
      <w:r>
        <w:t xml:space="preserve"> </w:t>
      </w:r>
      <w:r>
        <w:rPr>
          <w:bCs/>
          <w:b/>
        </w:rPr>
        <w:t xml:space="preserve">बहुलं छन्दसि</w:t>
      </w:r>
      <w:r>
        <w:t xml:space="preserve"> </w:t>
      </w:r>
      <w:r>
        <w:t xml:space="preserve">(पा. सू. ७-१-१०);</w:t>
      </w:r>
      <w:r>
        <w:t xml:space="preserve"> </w:t>
      </w:r>
      <w:r>
        <w:rPr>
          <w:bCs/>
          <w:b/>
        </w:rPr>
        <w:t xml:space="preserve">बहुवचने झल्येत्</w:t>
      </w:r>
      <w:r>
        <w:t xml:space="preserve"> </w:t>
      </w:r>
      <w:r>
        <w:t xml:space="preserve">(पा. सू. ७-३-१०३)</w:t>
      </w:r>
      <w:r>
        <w:t xml:space="preserve"> </w:t>
      </w:r>
      <w:r>
        <w:t xml:space="preserve">“</w:t>
      </w:r>
      <w:r>
        <w:t xml:space="preserve">e</w:t>
      </w:r>
      <w:r>
        <w:t xml:space="preserve">”</w:t>
      </w:r>
      <w:r>
        <w:t xml:space="preserve">:</w:t>
      </w:r>
      <w:r>
        <w:t xml:space="preserve"> </w:t>
      </w:r>
      <w:r>
        <w:t xml:space="preserve">“</w:t>
      </w:r>
      <w:r>
        <w:t xml:space="preserve">arkebhiḥ.</w:t>
      </w:r>
      <w:r>
        <w:t xml:space="preserve">”</w:t>
      </w:r>
    </w:p>
    <w:p>
      <w:pPr>
        <w:numPr>
          <w:ilvl w:val="0"/>
          <w:numId w:val="1038"/>
        </w:numPr>
        <w:pStyle w:val="Compact"/>
      </w:pPr>
      <w:r>
        <w:rPr>
          <w:bCs/>
          <w:b/>
        </w:rPr>
        <w:t xml:space="preserve">अर्किणः (</w:t>
      </w:r>
      <w:r>
        <w:rPr>
          <w:iCs/>
          <w:i/>
          <w:bCs/>
          <w:b/>
        </w:rPr>
        <w:t xml:space="preserve">arkiṇaḥ</w:t>
      </w:r>
      <w:r>
        <w:rPr>
          <w:bCs/>
          <w:b/>
        </w:rPr>
        <w:t xml:space="preserve">)</w:t>
      </w:r>
      <w:r>
        <w:t xml:space="preserve"> </w:t>
      </w:r>
      <w:r>
        <w:t xml:space="preserve">—</w:t>
      </w:r>
      <w:r>
        <w:t xml:space="preserve"> </w:t>
      </w:r>
      <w:r>
        <w:t xml:space="preserve">“</w:t>
      </w:r>
      <w:r>
        <w:t xml:space="preserve">arkāḥ … eṣāṃ santi</w:t>
      </w:r>
      <w:r>
        <w:t xml:space="preserve">”</w:t>
      </w:r>
      <w:r>
        <w:t xml:space="preserve">:</w:t>
      </w:r>
      <w:r>
        <w:t xml:space="preserve"> </w:t>
      </w:r>
      <w:r>
        <w:rPr>
          <w:bCs/>
          <w:b/>
        </w:rPr>
        <w:t xml:space="preserve">अत इनिठनौ</w:t>
      </w:r>
      <w:r>
        <w:t xml:space="preserve"> </w:t>
      </w:r>
      <w:r>
        <w:t xml:space="preserve">(पा. सू. ५-२-११५)</w:t>
      </w:r>
      <w:r>
        <w:t xml:space="preserve"> </w:t>
      </w:r>
      <w:r>
        <w:t xml:space="preserve">“</w:t>
      </w:r>
      <w:r>
        <w:t xml:space="preserve">ini</w:t>
      </w:r>
      <w:r>
        <w:t xml:space="preserve">”</w:t>
      </w:r>
      <w:r>
        <w:t xml:space="preserve">; nominative plural.</w:t>
      </w:r>
    </w:p>
    <w:p>
      <w:pPr>
        <w:numPr>
          <w:ilvl w:val="0"/>
          <w:numId w:val="1038"/>
        </w:numPr>
        <w:pStyle w:val="Compact"/>
      </w:pPr>
      <w:r>
        <w:rPr>
          <w:bCs/>
          <w:b/>
        </w:rPr>
        <w:t xml:space="preserve">वाणीः (</w:t>
      </w:r>
      <w:r>
        <w:rPr>
          <w:iCs/>
          <w:i/>
          <w:bCs/>
          <w:b/>
        </w:rPr>
        <w:t xml:space="preserve">vāṇīḥ</w:t>
      </w:r>
      <w:r>
        <w:rPr>
          <w:bCs/>
          <w:b/>
        </w:rPr>
        <w:t xml:space="preserve">)</w:t>
      </w:r>
      <w:r>
        <w:t xml:space="preserve"> </w:t>
      </w:r>
      <w:r>
        <w:t xml:space="preserve">—</w:t>
      </w:r>
      <w:r>
        <w:t xml:space="preserve"> </w:t>
      </w:r>
      <w:r>
        <w:rPr>
          <w:bCs/>
          <w:b/>
        </w:rPr>
        <w:t xml:space="preserve">वृषादीनां च</w:t>
      </w:r>
      <w:r>
        <w:t xml:space="preserve"> </w:t>
      </w:r>
      <w:r>
        <w:t xml:space="preserve">(पा. सू. ६-१-२०३) first-syllable acute;</w:t>
      </w:r>
      <w:r>
        <w:t xml:space="preserve"> </w:t>
      </w:r>
      <w:r>
        <w:t xml:space="preserve">“</w:t>
      </w:r>
      <w:r>
        <w:t xml:space="preserve">vāṇī + as</w:t>
      </w:r>
      <w:r>
        <w:t xml:space="preserve">”</w:t>
      </w:r>
      <w:r>
        <w:t xml:space="preserve">: the long vowel of</w:t>
      </w:r>
      <w:r>
        <w:t xml:space="preserve"> </w:t>
      </w:r>
      <w:r>
        <w:rPr>
          <w:bCs/>
          <w:b/>
        </w:rPr>
        <w:t xml:space="preserve">प्रथमयोः पूर्वसवर्णः</w:t>
      </w:r>
      <w:r>
        <w:t xml:space="preserve"> </w:t>
      </w:r>
      <w:r>
        <w:t xml:space="preserve">(पा. सू. ६-१-१०२) is forbidden by</w:t>
      </w:r>
      <w:r>
        <w:t xml:space="preserve"> </w:t>
      </w:r>
      <w:r>
        <w:rPr>
          <w:bCs/>
          <w:b/>
        </w:rPr>
        <w:t xml:space="preserve">दीर्घाज्जसि च</w:t>
      </w:r>
      <w:r>
        <w:t xml:space="preserve"> </w:t>
      </w:r>
      <w:r>
        <w:t xml:space="preserve">(पा. सू. ६-१-१०५), but</w:t>
      </w:r>
      <w:r>
        <w:t xml:space="preserve"> </w:t>
      </w:r>
      <w:r>
        <w:rPr>
          <w:bCs/>
          <w:b/>
        </w:rPr>
        <w:t xml:space="preserve">वा छन्दसि</w:t>
      </w:r>
      <w:r>
        <w:t xml:space="preserve"> </w:t>
      </w:r>
      <w:r>
        <w:t xml:space="preserve">(पा. सू. ६-१-१०६) makes the prohibition optional in the Veda …</w:t>
      </w:r>
    </w:p>
    <w:p>
      <w:pPr>
        <w:numPr>
          <w:ilvl w:val="0"/>
          <w:numId w:val="1038"/>
        </w:numPr>
        <w:pStyle w:val="Compact"/>
      </w:pPr>
      <w:r>
        <w:rPr>
          <w:bCs/>
          <w:b/>
        </w:rPr>
        <w:t xml:space="preserve">अनूषत (</w:t>
      </w:r>
      <w:r>
        <w:rPr>
          <w:iCs/>
          <w:i/>
          <w:bCs/>
          <w:b/>
        </w:rPr>
        <w:t xml:space="preserve">anūṣata</w:t>
      </w:r>
      <w:r>
        <w:rPr>
          <w:bCs/>
          <w:b/>
        </w:rPr>
        <w:t xml:space="preserve">)</w:t>
      </w:r>
      <w:r>
        <w:t xml:space="preserve"> </w:t>
      </w:r>
      <w:r>
        <w:t xml:space="preserve">— root</w:t>
      </w:r>
      <w:r>
        <w:t xml:space="preserve"> </w:t>
      </w:r>
      <w:r>
        <w:rPr>
          <w:iCs/>
          <w:i/>
        </w:rPr>
        <w:t xml:space="preserve">ṇu</w:t>
      </w:r>
      <w:r>
        <w:t xml:space="preserve"> </w:t>
      </w:r>
      <w:r>
        <w:t xml:space="preserve">with</w:t>
      </w:r>
      <w:r>
        <w:t xml:space="preserve"> </w:t>
      </w:r>
      <w:r>
        <w:rPr>
          <w:iCs/>
          <w:i/>
        </w:rPr>
        <w:t xml:space="preserve">n</w:t>
      </w:r>
      <w:r>
        <w:t xml:space="preserve"> </w:t>
      </w:r>
      <w:r>
        <w:t xml:space="preserve">for</w:t>
      </w:r>
      <w:r>
        <w:t xml:space="preserve"> </w:t>
      </w:r>
      <w:r>
        <w:rPr>
          <w:iCs/>
          <w:i/>
        </w:rPr>
        <w:t xml:space="preserve">ṇ</w:t>
      </w:r>
      <w:r>
        <w:t xml:space="preserve">; aorist with</w:t>
      </w:r>
      <w:r>
        <w:t xml:space="preserve"> </w:t>
      </w:r>
      <w:r>
        <w:rPr>
          <w:iCs/>
          <w:i/>
        </w:rPr>
        <w:t xml:space="preserve">sic</w:t>
      </w:r>
      <w:r>
        <w:t xml:space="preserve">; the augment</w:t>
      </w:r>
      <w:r>
        <w:t xml:space="preserve"> </w:t>
      </w:r>
      <w:r>
        <w:rPr>
          <w:iCs/>
          <w:i/>
        </w:rPr>
        <w:t xml:space="preserve">iṭ</w:t>
      </w:r>
      <w:r>
        <w:t xml:space="preserve"> </w:t>
      </w:r>
      <w:r>
        <w:t xml:space="preserve">absent and the vowel lengthened as Vedic features;</w:t>
      </w:r>
      <w:r>
        <w:t xml:space="preserve"> </w:t>
      </w:r>
      <w:r>
        <w:rPr>
          <w:iCs/>
          <w:i/>
        </w:rPr>
        <w:t xml:space="preserve">guṇa</w:t>
      </w:r>
      <w:r>
        <w:t xml:space="preserve"> </w:t>
      </w:r>
      <w:r>
        <w:t xml:space="preserve">is blocked.</w:t>
      </w:r>
    </w:p>
    <w:bookmarkEnd w:id="295"/>
    <w:bookmarkStart w:id="296" w:name="page-262-grammar-continued"/>
    <w:p>
      <w:pPr>
        <w:pStyle w:val="Heading3"/>
      </w:pPr>
      <w:r>
        <w:t xml:space="preserve">Page 262 — (grammar continued)</w:t>
      </w:r>
    </w:p>
    <w:p>
      <w:pPr>
        <w:pStyle w:val="FirstParagraph"/>
      </w:pPr>
      <w:r>
        <w:rPr>
          <w:iCs/>
          <w:i/>
        </w:rPr>
        <w:t xml:space="preserve">(Continues the Vyākaraṇa-prakriyā of Rik 1 in the same register — the optional-lengthening discussion for</w:t>
      </w:r>
      <w:r>
        <w:t xml:space="preserve"> </w:t>
      </w:r>
      <w:r>
        <w:t xml:space="preserve">vāṇīḥ</w:t>
      </w:r>
      <w:r>
        <w:t xml:space="preserve"> </w:t>
      </w:r>
      <w:r>
        <w:rPr>
          <w:iCs/>
          <w:i/>
        </w:rPr>
        <w:t xml:space="preserve">and the finite-verb analysis of</w:t>
      </w:r>
      <w:r>
        <w:t xml:space="preserve"> </w:t>
      </w:r>
      <w:r>
        <w:t xml:space="preserve">anūṣata</w:t>
      </w:r>
      <w:r>
        <w:rPr>
          <w:iCs/>
          <w:i/>
        </w:rPr>
        <w:t xml:space="preserve">, completed on the next page. Characterized as above; not transcribed.)</w:t>
      </w:r>
    </w:p>
    <w:bookmarkEnd w:id="296"/>
    <w:bookmarkStart w:id="297" w:name="page-263-rik-1-grammar-closes-rik-2"/>
    <w:p>
      <w:pPr>
        <w:pStyle w:val="Heading3"/>
      </w:pPr>
      <w:r>
        <w:t xml:space="preserve">Page 263 — Rik 1 grammar closes; Rik 2</w:t>
      </w:r>
    </w:p>
    <w:p>
      <w:pPr>
        <w:pStyle w:val="FirstParagraph"/>
      </w:pPr>
      <w:r>
        <w:rPr>
          <w:iCs/>
          <w:i/>
        </w:rPr>
        <w:t xml:space="preserve">(Page header:</w:t>
      </w:r>
      <w:r>
        <w:rPr>
          <w:iCs/>
          <w:i/>
        </w:rPr>
        <w:t xml:space="preserve"> </w:t>
      </w:r>
      <w:r>
        <w:rPr>
          <w:iCs/>
          <w:i/>
        </w:rPr>
        <w:t xml:space="preserve">“</w:t>
      </w:r>
      <w:r>
        <w:rPr>
          <w:iCs/>
          <w:i/>
        </w:rPr>
        <w:t xml:space="preserve">A. 1, A. 1, Va. 13.</w:t>
      </w:r>
      <w:r>
        <w:rPr>
          <w:iCs/>
          <w:i/>
        </w:rPr>
        <w:t xml:space="preserve">”</w:t>
      </w:r>
      <w:r>
        <w:rPr>
          <w:iCs/>
          <w:i/>
        </w:rPr>
        <w:t xml:space="preserve"> </w:t>
      </w:r>
      <w:r>
        <w:rPr>
          <w:iCs/>
          <w:i/>
        </w:rPr>
        <w:t xml:space="preserve">The first lines end the Kannada grammar of Rik 1; characterized, numbers as printed.)</w:t>
      </w:r>
    </w:p>
    <w:p>
      <w:pPr>
        <w:pStyle w:val="BodyText"/>
      </w:pPr>
      <w:r>
        <w:rPr>
          <w:bCs/>
          <w:b/>
        </w:rPr>
        <w:t xml:space="preserve">“</w:t>
      </w:r>
      <w:r>
        <w:rPr>
          <w:bCs/>
          <w:b/>
        </w:rPr>
        <w:t xml:space="preserve">Vāṇīḥ</w:t>
      </w:r>
      <w:r>
        <w:rPr>
          <w:bCs/>
          <w:b/>
        </w:rPr>
        <w:t xml:space="preserve">”</w:t>
      </w:r>
      <w:r>
        <w:rPr>
          <w:bCs/>
          <w:b/>
        </w:rPr>
        <w:t xml:space="preserve"> </w:t>
      </w:r>
      <w:r>
        <w:rPr>
          <w:bCs/>
          <w:b/>
        </w:rPr>
        <w:t xml:space="preserve">(concluded)</w:t>
      </w:r>
      <w:r>
        <w:t xml:space="preserve"> </w:t>
      </w:r>
      <w:r>
        <w:t xml:space="preserve">— where the prohibition does not apply,</w:t>
      </w:r>
      <w:r>
        <w:t xml:space="preserve"> </w:t>
      </w:r>
      <w:r>
        <w:rPr>
          <w:bCs/>
          <w:b/>
        </w:rPr>
        <w:t xml:space="preserve">प्रथमयोः पूर्वसवर्णः</w:t>
      </w:r>
      <w:r>
        <w:t xml:space="preserve"> </w:t>
      </w:r>
      <w:r>
        <w:t xml:space="preserve">(पा. सू. ६-१-१०२) gives the long vowel:</w:t>
      </w:r>
      <w:r>
        <w:t xml:space="preserve"> </w:t>
      </w:r>
      <w:r>
        <w:t xml:space="preserve">“</w:t>
      </w:r>
      <w:r>
        <w:t xml:space="preserve">vāṇīḥ,</w:t>
      </w:r>
      <w:r>
        <w:t xml:space="preserve">”</w:t>
      </w:r>
      <w:r>
        <w:t xml:space="preserve"> </w:t>
      </w:r>
      <w:r>
        <w:t xml:space="preserve">a nominative in the sense of the instrumental.</w:t>
      </w:r>
      <w:r>
        <w:t xml:space="preserve"> </w:t>
      </w:r>
      <w:r>
        <w:rPr>
          <w:bCs/>
          <w:b/>
        </w:rPr>
        <w:t xml:space="preserve">“</w:t>
      </w:r>
      <w:r>
        <w:rPr>
          <w:bCs/>
          <w:b/>
        </w:rPr>
        <w:t xml:space="preserve">Anūṣata</w:t>
      </w:r>
      <w:r>
        <w:rPr>
          <w:bCs/>
          <w:b/>
        </w:rPr>
        <w:t xml:space="preserve">”</w:t>
      </w:r>
      <w:r>
        <w:t xml:space="preserve"> </w:t>
      </w:r>
      <w:r>
        <w:t xml:space="preserve">—</w:t>
      </w:r>
      <w:r>
        <w:t xml:space="preserve"> </w:t>
      </w:r>
      <w:r>
        <w:t xml:space="preserve">“</w:t>
      </w:r>
      <w:r>
        <w:t xml:space="preserve">ṇu stutau</w:t>
      </w:r>
      <w:r>
        <w:t xml:space="preserve">”</w:t>
      </w:r>
      <w:r>
        <w:t xml:space="preserve">:</w:t>
      </w:r>
      <w:r>
        <w:t xml:space="preserve"> </w:t>
      </w:r>
      <w:r>
        <w:rPr>
          <w:bCs/>
          <w:b/>
        </w:rPr>
        <w:t xml:space="preserve">णो नः</w:t>
      </w:r>
      <w:r>
        <w:t xml:space="preserve"> </w:t>
      </w:r>
      <w:r>
        <w:t xml:space="preserve">(पा. सू. ६-१-६५)</w:t>
      </w:r>
      <w:r>
        <w:t xml:space="preserve"> </w:t>
      </w:r>
      <w:r>
        <w:t xml:space="preserve">“</w:t>
      </w:r>
      <w:r>
        <w:t xml:space="preserve">n</w:t>
      </w:r>
      <w:r>
        <w:t xml:space="preserve">”</w:t>
      </w:r>
      <w:r>
        <w:t xml:space="preserve"> </w:t>
      </w:r>
      <w:r>
        <w:t xml:space="preserve">for the initial</w:t>
      </w:r>
      <w:r>
        <w:t xml:space="preserve"> </w:t>
      </w:r>
      <w:r>
        <w:t xml:space="preserve">“</w:t>
      </w:r>
      <w:r>
        <w:t xml:space="preserve">ṇ</w:t>
      </w:r>
      <w:r>
        <w:t xml:space="preserve">”</w:t>
      </w:r>
      <w:r>
        <w:t xml:space="preserve">;</w:t>
      </w:r>
      <w:r>
        <w:t xml:space="preserve"> </w:t>
      </w:r>
      <w:r>
        <w:t xml:space="preserve">“</w:t>
      </w:r>
      <w:r>
        <w:t xml:space="preserve">luṅ,</w:t>
      </w:r>
      <w:r>
        <w:t xml:space="preserve">”</w:t>
      </w:r>
      <w:r>
        <w:t xml:space="preserve"> </w:t>
      </w:r>
      <w:r>
        <w:t xml:space="preserve">ātmanepada by vyatyaya; third plural</w:t>
      </w:r>
      <w:r>
        <w:t xml:space="preserve"> </w:t>
      </w:r>
      <w:r>
        <w:t xml:space="preserve">“</w:t>
      </w:r>
      <w:r>
        <w:t xml:space="preserve">jha,</w:t>
      </w:r>
      <w:r>
        <w:t xml:space="preserve">”</w:t>
      </w:r>
      <w:r>
        <w:t xml:space="preserve"> </w:t>
      </w:r>
      <w:r>
        <w:t xml:space="preserve">replaced by</w:t>
      </w:r>
      <w:r>
        <w:t xml:space="preserve"> </w:t>
      </w:r>
      <w:r>
        <w:t xml:space="preserve">“</w:t>
      </w:r>
      <w:r>
        <w:t xml:space="preserve">at</w:t>
      </w:r>
      <w:r>
        <w:t xml:space="preserve">”</w:t>
      </w:r>
      <w:r>
        <w:t xml:space="preserve"> </w:t>
      </w:r>
      <w:r>
        <w:t xml:space="preserve">by</w:t>
      </w:r>
      <w:r>
        <w:t xml:space="preserve"> </w:t>
      </w:r>
      <w:r>
        <w:rPr>
          <w:bCs/>
          <w:b/>
        </w:rPr>
        <w:t xml:space="preserve">आत्मनेपदेष्वनतः</w:t>
      </w:r>
      <w:r>
        <w:t xml:space="preserve"> </w:t>
      </w:r>
      <w:r>
        <w:t xml:space="preserve">(पा. सू.</w:t>
      </w:r>
      <w:r>
        <w:t xml:space="preserve"> </w:t>
      </w:r>
      <w:r>
        <w:t xml:space="preserve">“</w:t>
      </w:r>
      <w:r>
        <w:t xml:space="preserve">६-१-५</w:t>
      </w:r>
      <w:r>
        <w:t xml:space="preserve">”</w:t>
      </w:r>
      <w:r>
        <w:t xml:space="preserve"> </w:t>
      </w:r>
      <w:r>
        <w:t xml:space="preserve">as printed);</w:t>
      </w:r>
      <w:r>
        <w:t xml:space="preserve"> </w:t>
      </w:r>
      <w:r>
        <w:rPr>
          <w:bCs/>
          <w:b/>
        </w:rPr>
        <w:t xml:space="preserve">च्लि लुङि</w:t>
      </w:r>
      <w:r>
        <w:t xml:space="preserve"> </w:t>
      </w:r>
      <w:r>
        <w:t xml:space="preserve">(पा. सू. ३-१-४३) and</w:t>
      </w:r>
      <w:r>
        <w:t xml:space="preserve"> </w:t>
      </w:r>
      <w:r>
        <w:rPr>
          <w:bCs/>
          <w:b/>
        </w:rPr>
        <w:t xml:space="preserve">च्लेः सिच्</w:t>
      </w:r>
      <w:r>
        <w:t xml:space="preserve"> </w:t>
      </w:r>
      <w:r>
        <w:t xml:space="preserve">(पा. सू. ३-१-४४)</w:t>
      </w:r>
      <w:r>
        <w:t xml:space="preserve"> </w:t>
      </w:r>
      <w:r>
        <w:t xml:space="preserve">“</w:t>
      </w:r>
      <w:r>
        <w:t xml:space="preserve">sic</w:t>
      </w:r>
      <w:r>
        <w:t xml:space="preserve">”</w:t>
      </w:r>
      <w:r>
        <w:t xml:space="preserve">; the absence of the</w:t>
      </w:r>
      <w:r>
        <w:t xml:space="preserve"> </w:t>
      </w:r>
      <w:r>
        <w:t xml:space="preserve">“</w:t>
      </w:r>
      <w:r>
        <w:t xml:space="preserve">iṭ</w:t>
      </w:r>
      <w:r>
        <w:t xml:space="preserve">”</w:t>
      </w:r>
      <w:r>
        <w:t xml:space="preserve"> </w:t>
      </w:r>
      <w:r>
        <w:t xml:space="preserve">of</w:t>
      </w:r>
      <w:r>
        <w:t xml:space="preserve"> </w:t>
      </w:r>
      <w:r>
        <w:rPr>
          <w:bCs/>
          <w:b/>
        </w:rPr>
        <w:t xml:space="preserve">आर्धधातुकस्येड्वलादेः</w:t>
      </w:r>
      <w:r>
        <w:t xml:space="preserve"> </w:t>
      </w:r>
      <w:r>
        <w:t xml:space="preserve">(पा. सू. ७-२-३५) and the long</w:t>
      </w:r>
      <w:r>
        <w:t xml:space="preserve"> </w:t>
      </w:r>
      <w:r>
        <w:t xml:space="preserve">“</w:t>
      </w:r>
      <w:r>
        <w:t xml:space="preserve">ū</w:t>
      </w:r>
      <w:r>
        <w:t xml:space="preserve">”</w:t>
      </w:r>
      <w:r>
        <w:t xml:space="preserve"> </w:t>
      </w:r>
      <w:r>
        <w:t xml:space="preserve">are Vedic;</w:t>
      </w:r>
      <w:r>
        <w:t xml:space="preserve"> </w:t>
      </w:r>
      <w:r>
        <w:t xml:space="preserve">“</w:t>
      </w:r>
      <w:r>
        <w:t xml:space="preserve">ṇu</w:t>
      </w:r>
      <w:r>
        <w:t xml:space="preserve">”</w:t>
      </w:r>
      <w:r>
        <w:t xml:space="preserve"> </w:t>
      </w:r>
      <w:r>
        <w:t xml:space="preserve">being in the kuṭādi class,</w:t>
      </w:r>
      <w:r>
        <w:t xml:space="preserve"> </w:t>
      </w:r>
      <w:r>
        <w:t xml:space="preserve">“</w:t>
      </w:r>
      <w:r>
        <w:t xml:space="preserve">sic</w:t>
      </w:r>
      <w:r>
        <w:t xml:space="preserve">”</w:t>
      </w:r>
      <w:r>
        <w:t xml:space="preserve"> </w:t>
      </w:r>
      <w:r>
        <w:t xml:space="preserve">is</w:t>
      </w:r>
      <w:r>
        <w:t xml:space="preserve"> </w:t>
      </w:r>
      <w:r>
        <w:t xml:space="preserve">“</w:t>
      </w:r>
      <w:r>
        <w:t xml:space="preserve">ṅit</w:t>
      </w:r>
      <w:r>
        <w:t xml:space="preserve">”</w:t>
      </w:r>
      <w:r>
        <w:t xml:space="preserve"> </w:t>
      </w:r>
      <w:r>
        <w:t xml:space="preserve">by</w:t>
      </w:r>
      <w:r>
        <w:t xml:space="preserve"> </w:t>
      </w:r>
      <w:r>
        <w:rPr>
          <w:bCs/>
          <w:b/>
        </w:rPr>
        <w:t xml:space="preserve">गाङ्कुटादिभ्योऽञ्णिन्ङित्</w:t>
      </w:r>
      <w:r>
        <w:t xml:space="preserve"> </w:t>
      </w:r>
      <w:r>
        <w:t xml:space="preserve">(पा. सू. १-२-१), so</w:t>
      </w:r>
      <w:r>
        <w:t xml:space="preserve"> </w:t>
      </w:r>
      <w:r>
        <w:rPr>
          <w:bCs/>
          <w:b/>
        </w:rPr>
        <w:t xml:space="preserve">क्ङिति च</w:t>
      </w:r>
      <w:r>
        <w:t xml:space="preserve"> </w:t>
      </w:r>
      <w:r>
        <w:t xml:space="preserve">(पा. सू. १-१-५) blocks the guṇa of</w:t>
      </w:r>
      <w:r>
        <w:t xml:space="preserve"> </w:t>
      </w:r>
      <w:r>
        <w:rPr>
          <w:bCs/>
          <w:b/>
        </w:rPr>
        <w:t xml:space="preserve">सार्वधातुकार्धधातुकयोः</w:t>
      </w:r>
      <w:r>
        <w:t xml:space="preserve"> </w:t>
      </w:r>
      <w:r>
        <w:t xml:space="preserve">(पा. सू. ७-३-८४).</w:t>
      </w:r>
    </w:p>
    <w:p>
      <w:pPr>
        <w:pStyle w:val="BodyText"/>
      </w:pPr>
      <w:r>
        <w:rPr>
          <w:bCs/>
          <w:b/>
        </w:rPr>
        <w:t xml:space="preserve">॥१॥</w:t>
      </w:r>
    </w:p>
    <w:p>
      <w:r>
        <w:pict>
          <v:rect style="width:0;height:1.5pt" o:hralign="center" o:hrstd="t" o:hr="t"/>
        </w:pict>
      </w:r>
    </w:p>
    <w:bookmarkEnd w:id="297"/>
    <w:bookmarkStart w:id="298" w:name="sūkta-7-rik-2"/>
    <w:p>
      <w:pPr>
        <w:pStyle w:val="Heading3"/>
      </w:pPr>
      <w:r>
        <w:t xml:space="preserve">Sūkta 7, Rik 2</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इन्द्र॒ इद्धर्योः॒ सचा॒ संमि॑श्ल॒ आ व॑चो॒युजा॑ ।</w:t>
      </w:r>
      <w:r>
        <w:t xml:space="preserve"> </w:t>
      </w:r>
      <w:r>
        <w:t xml:space="preserve">इन्द्रो॑ व॒ज्री हि॑र॒ण्ययः॑ ॥२॥</w:t>
      </w:r>
    </w:p>
    <w:p>
      <w:pPr>
        <w:pStyle w:val="BlockText"/>
      </w:pPr>
      <w:r>
        <w:rPr>
          <w:iCs/>
          <w:i/>
        </w:rPr>
        <w:t xml:space="preserve">índra íd dháryoḥ sácā sáṃmiśla ā́ vacoyújā |</w:t>
      </w:r>
      <w:r>
        <w:t xml:space="preserve"> </w:t>
      </w:r>
      <w:r>
        <w:rPr>
          <w:iCs/>
          <w:i/>
        </w:rPr>
        <w:t xml:space="preserve">índro vajrī́ hiraṇyáyaḥ ||2||</w:t>
      </w:r>
    </w:p>
    <w:p>
      <w:pPr>
        <w:pStyle w:val="FirstParagraph"/>
      </w:pPr>
      <w:r>
        <w:rPr>
          <w:bCs/>
          <w:b/>
        </w:rPr>
        <w:t xml:space="preserve">॥ Pada-pāṭhaḥ ॥</w:t>
      </w:r>
    </w:p>
    <w:p>
      <w:pPr>
        <w:pStyle w:val="BlockText"/>
      </w:pPr>
      <w:r>
        <w:t xml:space="preserve">इन्द्रः । इत् । हर्योः । सचा । सम्ऽमिश्लः । आ । वचःऽयुजा ॥</w:t>
      </w:r>
      <w:r>
        <w:t xml:space="preserve"> </w:t>
      </w:r>
      <w:r>
        <w:t xml:space="preserve">इन्द्रः । वज्री । हिरण्ययः ॥२॥</w:t>
      </w:r>
    </w:p>
    <w:p>
      <w:pPr>
        <w:pStyle w:val="BlockText"/>
      </w:pPr>
      <w:r>
        <w:rPr>
          <w:iCs/>
          <w:i/>
        </w:rPr>
        <w:t xml:space="preserve">indraḥ | it | haryoḥ | sacā | sam-miślaḥ | ā | vacaḥ-yujā ||</w:t>
      </w:r>
      <w:r>
        <w:t xml:space="preserve"> </w:t>
      </w:r>
      <w:r>
        <w:rPr>
          <w:iCs/>
          <w:i/>
        </w:rPr>
        <w:t xml:space="preserve">indraḥ | vajrī | hiraṇyayaḥ ||2||</w:t>
      </w:r>
    </w:p>
    <w:p>
      <w:pPr>
        <w:pStyle w:val="FirstParagraph"/>
      </w:pPr>
      <w:r>
        <w:rPr>
          <w:bCs/>
          <w:b/>
        </w:rPr>
        <w:t xml:space="preserve">॥ Sāyaṇa-bhāṣyam ॥</w:t>
      </w:r>
    </w:p>
    <w:p>
      <w:pPr>
        <w:pStyle w:val="BlockText"/>
      </w:pPr>
      <w:r>
        <w:t xml:space="preserve">इन्द्र इदिन्द्र एव हर्योर्हरिनामकयोरश्वयोः सचा सह युगपदा सम्मिश्लः सर्वतः सम्यग्मिश्रयिता । कीदृशयोर्हर्योः । वचोयुजा । इन्द्रस्य वचनमात्रेण रथे युज्यमानयोः सुशिक्षितयोरित्यर्थः । अयमिन्द्रो वज्री वज्रयुक्तो हिरण्ययो हिरण्मयः । सर्वाभरणभूषित इत्यर्थः ॥</w:t>
      </w:r>
    </w:p>
    <w:p>
      <w:pPr>
        <w:pStyle w:val="BlockText"/>
      </w:pPr>
      <w:r>
        <w:rPr>
          <w:iCs/>
          <w:i/>
        </w:rPr>
        <w:t xml:space="preserve">indra id indra eva haryor hari-nāmakayor aśvayoḥ sacā saha yugapad ā sammiślaḥ sarvataḥ samyag-miśrayitā | kīdṛśayor haryoḥ | vacoyujā | indrasya vacana-mātreṇa rathe yujyamānayoḥ suśikṣitayor ity arthaḥ | ayam indro vajrī vajra-yukto hiraṇyayo hiraṇmayaḥ | sarvābharaṇa-bhūṣita ity arthaḥ ||</w:t>
      </w:r>
    </w:p>
    <w:p>
      <w:pPr>
        <w:pStyle w:val="FirstParagraph"/>
      </w:pPr>
      <w:r>
        <w:rPr>
          <w:bCs/>
          <w:b/>
        </w:rPr>
        <w:t xml:space="preserve">Translation:</w:t>
      </w:r>
      <w:r>
        <w:t xml:space="preserve"> </w:t>
      </w:r>
      <w:r>
        <w:t xml:space="preserve">“</w:t>
      </w:r>
      <w:r>
        <w:t xml:space="preserve">Indra himself, together with (</w:t>
      </w:r>
      <w:r>
        <w:rPr>
          <w:iCs/>
          <w:i/>
        </w:rPr>
        <w:t xml:space="preserve">sacā</w:t>
      </w:r>
      <w:r>
        <w:t xml:space="preserve">) — simultaneously with — his two horses named Hari, comes, being the all-round good mixer/combiner (</w:t>
      </w:r>
      <w:r>
        <w:rPr>
          <w:iCs/>
          <w:i/>
        </w:rPr>
        <w:t xml:space="preserve">sammiślaḥ</w:t>
      </w:r>
      <w:r>
        <w:t xml:space="preserve">). What kind of horses?</w:t>
      </w:r>
      <w:r>
        <w:t xml:space="preserve"> </w:t>
      </w:r>
      <w:r>
        <w:rPr>
          <w:iCs/>
          <w:i/>
        </w:rPr>
        <w:t xml:space="preserve">Vacoyujā</w:t>
      </w:r>
      <w:r>
        <w:t xml:space="preserve">: yoked to the chariot at Indra’s mere word — that is, well-trained. This Indra, the wielder of the thunderbolt (</w:t>
      </w:r>
      <w:r>
        <w:rPr>
          <w:iCs/>
          <w:i/>
        </w:rPr>
        <w:t xml:space="preserve">vajrī</w:t>
      </w:r>
      <w:r>
        <w:t xml:space="preserve">), is golden (</w:t>
      </w:r>
      <w:r>
        <w:rPr>
          <w:iCs/>
          <w:i/>
        </w:rPr>
        <w:t xml:space="preserve">hiraṇyayaḥ</w:t>
      </w:r>
      <w:r>
        <w:t xml:space="preserve">, =</w:t>
      </w:r>
      <w:r>
        <w:t xml:space="preserve"> </w:t>
      </w:r>
      <w:r>
        <w:rPr>
          <w:iCs/>
          <w:i/>
        </w:rPr>
        <w:t xml:space="preserve">hiraṇmayaḥ</w:t>
      </w:r>
      <w:r>
        <w:t xml:space="preserve">) — adorned with all ornaments.</w:t>
      </w:r>
      <w:r>
        <w:t xml:space="preserve">”</w:t>
      </w:r>
    </w:p>
    <w:p>
      <w:pPr>
        <w:pStyle w:val="BodyText"/>
      </w:pPr>
      <w:r>
        <w:rPr>
          <w:iCs/>
          <w:i/>
        </w:rPr>
        <w:t xml:space="preserve">(Sāyaṇa’s grammatical notes follow on page 264 — in the Sanskrit itself — and are characterized there.)</w:t>
      </w:r>
    </w:p>
    <w:bookmarkEnd w:id="298"/>
    <w:bookmarkStart w:id="299" w:name="page-264"/>
    <w:p>
      <w:pPr>
        <w:pStyle w:val="Heading3"/>
      </w:pPr>
      <w:r>
        <w:t xml:space="preserve">Page 264</w:t>
      </w:r>
    </w:p>
    <w:p>
      <w:pPr>
        <w:pStyle w:val="FirstParagraph"/>
      </w:pPr>
      <w:r>
        <w:rPr>
          <w:iCs/>
          <w:i/>
        </w:rPr>
        <w:t xml:space="preserve">(The first part of this page is the Sanskrit grammar of Rik 2 inside the bhāṣya itself. Characterized, not transcribed. Points of substance:</w:t>
      </w:r>
      <w:r>
        <w:rPr>
          <w:iCs/>
          <w:i/>
        </w:rPr>
        <w:t xml:space="preserve"> </w:t>
      </w:r>
      <w:r>
        <w:rPr>
          <w:bCs/>
          <w:b/>
          <w:iCs/>
          <w:i/>
        </w:rPr>
        <w:t xml:space="preserve">हर्योः (</w:t>
      </w:r>
      <w:r>
        <w:rPr>
          <w:iCs/>
          <w:i/>
          <w:bCs/>
          <w:b/>
          <w:iCs/>
          <w:i/>
        </w:rPr>
        <w:t xml:space="preserve">haryoḥ</w:t>
      </w:r>
      <w:r>
        <w:rPr>
          <w:bCs/>
          <w:b/>
          <w:iCs/>
          <w:i/>
        </w:rPr>
        <w:t xml:space="preserve">)</w:t>
      </w:r>
      <w:r>
        <w:rPr>
          <w:iCs/>
          <w:i/>
        </w:rPr>
        <w:t xml:space="preserve"> </w:t>
      </w:r>
      <w:r>
        <w:rPr>
          <w:iCs/>
          <w:i/>
        </w:rPr>
        <w:t xml:space="preserve">—</w:t>
      </w:r>
      <w:r>
        <w:rPr>
          <w:iCs/>
          <w:i/>
        </w:rPr>
        <w:t xml:space="preserve"> </w:t>
      </w:r>
      <w:r>
        <w:rPr>
          <w:iCs/>
          <w:i/>
        </w:rPr>
        <w:t xml:space="preserve">“</w:t>
      </w:r>
      <w:r>
        <w:rPr>
          <w:iCs/>
          <w:i/>
        </w:rPr>
        <w:t xml:space="preserve">harata iti harī,</w:t>
      </w:r>
      <w:r>
        <w:rPr>
          <w:iCs/>
          <w:i/>
        </w:rPr>
        <w:t xml:space="preserve">”</w:t>
      </w:r>
      <w:r>
        <w:rPr>
          <w:iCs/>
          <w:i/>
        </w:rPr>
        <w:t xml:space="preserve"> </w:t>
      </w:r>
      <w:r>
        <w:rPr>
          <w:iCs/>
          <w:i/>
        </w:rPr>
        <w:t xml:space="preserve">from</w:t>
      </w:r>
      <w:r>
        <w:rPr>
          <w:iCs/>
          <w:i/>
        </w:rPr>
        <w:t xml:space="preserve"> </w:t>
      </w:r>
      <w:r>
        <w:t xml:space="preserve">hṛ* with the suffix</w:t>
      </w:r>
      <w:r>
        <w:t xml:space="preserve"> </w:t>
      </w:r>
      <w:r>
        <w:rPr>
          <w:iCs/>
          <w:i/>
        </w:rPr>
        <w:t xml:space="preserve">in</w:t>
      </w:r>
      <w:r>
        <w:t xml:space="preserve">,</w:t>
      </w:r>
      <w:r>
        <w:t xml:space="preserve"> </w:t>
      </w:r>
      <w:r>
        <w:t xml:space="preserve">“</w:t>
      </w:r>
      <w:r>
        <w:t xml:space="preserve">n</w:t>
      </w:r>
      <w:r>
        <w:t xml:space="preserve">”</w:t>
      </w:r>
      <w:r>
        <w:t xml:space="preserve">-marked, so initial-udātta.</w:t>
      </w:r>
      <w:r>
        <w:t xml:space="preserve"> </w:t>
      </w:r>
      <w:r>
        <w:rPr>
          <w:bCs/>
          <w:b/>
        </w:rPr>
        <w:t xml:space="preserve">सचा (</w:t>
      </w:r>
      <w:r>
        <w:rPr>
          <w:iCs/>
          <w:i/>
          <w:bCs/>
          <w:b/>
        </w:rPr>
        <w:t xml:space="preserve">sacā</w:t>
      </w:r>
      <w:r>
        <w:rPr>
          <w:bCs/>
          <w:b/>
        </w:rPr>
        <w:t xml:space="preserve">)</w:t>
      </w:r>
      <w:r>
        <w:t xml:space="preserve"> </w:t>
      </w:r>
      <w:r>
        <w:t xml:space="preserve">— glossed</w:t>
      </w:r>
      <w:r>
        <w:t xml:space="preserve"> </w:t>
      </w:r>
      <w:r>
        <w:t xml:space="preserve">“</w:t>
      </w:r>
      <w:r>
        <w:t xml:space="preserve">with</w:t>
      </w:r>
      <w:r>
        <w:t xml:space="preserve">”</w:t>
      </w:r>
      <w:r>
        <w:t xml:space="preserve"> </w:t>
      </w:r>
      <w:r>
        <w:t xml:space="preserve">(Nirukta 5-5,</w:t>
      </w:r>
      <w:r>
        <w:t xml:space="preserve"> </w:t>
      </w:r>
      <w:r>
        <w:t xml:space="preserve">“</w:t>
      </w:r>
      <w:r>
        <w:t xml:space="preserve">sacā saheti</w:t>
      </w:r>
      <w:r>
        <w:t xml:space="preserve">”</w:t>
      </w:r>
      <w:r>
        <w:t xml:space="preserve">).</w:t>
      </w:r>
      <w:r>
        <w:t xml:space="preserve"> </w:t>
      </w:r>
      <w:r>
        <w:rPr>
          <w:bCs/>
          <w:b/>
        </w:rPr>
        <w:t xml:space="preserve">सम्मिश्लः (</w:t>
      </w:r>
      <w:r>
        <w:rPr>
          <w:iCs/>
          <w:i/>
          <w:bCs/>
          <w:b/>
        </w:rPr>
        <w:t xml:space="preserve">sammiślaḥ</w:t>
      </w:r>
      <w:r>
        <w:rPr>
          <w:bCs/>
          <w:b/>
        </w:rPr>
        <w:t xml:space="preserve">)</w:t>
      </w:r>
      <w:r>
        <w:t xml:space="preserve"> </w:t>
      </w:r>
      <w:r>
        <w:t xml:space="preserve">—</w:t>
      </w:r>
      <w:r>
        <w:t xml:space="preserve"> </w:t>
      </w:r>
      <w:r>
        <w:t xml:space="preserve">“</w:t>
      </w:r>
      <w:r>
        <w:t xml:space="preserve">mixing</w:t>
      </w:r>
      <w:r>
        <w:t xml:space="preserve">”</w:t>
      </w:r>
      <w:r>
        <w:t xml:space="preserve"> </w:t>
      </w:r>
      <w:r>
        <w:t xml:space="preserve">from</w:t>
      </w:r>
      <w:r>
        <w:t xml:space="preserve"> </w:t>
      </w:r>
      <w:r>
        <w:rPr>
          <w:iCs/>
          <w:i/>
        </w:rPr>
        <w:t xml:space="preserve">miśra</w:t>
      </w:r>
      <w:r>
        <w:t xml:space="preserve"> </w:t>
      </w:r>
      <w:r>
        <w:t xml:space="preserve">+</w:t>
      </w:r>
      <w:r>
        <w:t xml:space="preserve"> </w:t>
      </w:r>
      <w:r>
        <w:rPr>
          <w:iCs/>
          <w:i/>
        </w:rPr>
        <w:t xml:space="preserve">ghañ</w:t>
      </w:r>
      <w:r>
        <w:t xml:space="preserve"> </w:t>
      </w:r>
      <w:r>
        <w:t xml:space="preserve">(Pā. 3-3-18) with a Vedic</w:t>
      </w:r>
      <w:r>
        <w:t xml:space="preserve"> </w:t>
      </w:r>
      <w:r>
        <w:rPr>
          <w:iCs/>
          <w:i/>
        </w:rPr>
        <w:t xml:space="preserve">l</w:t>
      </w:r>
      <w:r>
        <w:t xml:space="preserve"> </w:t>
      </w:r>
      <w:r>
        <w:t xml:space="preserve">for</w:t>
      </w:r>
      <w:r>
        <w:t xml:space="preserve"> </w:t>
      </w:r>
      <w:r>
        <w:rPr>
          <w:iCs/>
          <w:i/>
        </w:rPr>
        <w:t xml:space="preserve">r</w:t>
      </w:r>
      <w:r>
        <w:t xml:space="preserve">, so</w:t>
      </w:r>
      <w:r>
        <w:t xml:space="preserve"> </w:t>
      </w:r>
      <w:r>
        <w:t xml:space="preserve">“</w:t>
      </w:r>
      <w:r>
        <w:t xml:space="preserve">one who mixes thoroughly</w:t>
      </w:r>
      <w:r>
        <w:t xml:space="preserve">”</w:t>
      </w:r>
      <w:r>
        <w:t xml:space="preserve">; accent of the first member retained in the bahuvrīhi.</w:t>
      </w:r>
      <w:r>
        <w:t xml:space="preserve"> </w:t>
      </w:r>
      <w:r>
        <w:rPr>
          <w:bCs/>
          <w:b/>
        </w:rPr>
        <w:t xml:space="preserve">वचोयुजा (</w:t>
      </w:r>
      <w:r>
        <w:rPr>
          <w:iCs/>
          <w:i/>
          <w:bCs/>
          <w:b/>
        </w:rPr>
        <w:t xml:space="preserve">vacoyujā</w:t>
      </w:r>
      <w:r>
        <w:rPr>
          <w:bCs/>
          <w:b/>
        </w:rPr>
        <w:t xml:space="preserve">)</w:t>
      </w:r>
      <w:r>
        <w:t xml:space="preserve"> </w:t>
      </w:r>
      <w:r>
        <w:t xml:space="preserve">—</w:t>
      </w:r>
      <w:r>
        <w:t xml:space="preserve"> </w:t>
      </w:r>
      <w:r>
        <w:t xml:space="preserve">“</w:t>
      </w:r>
      <w:r>
        <w:t xml:space="preserve">yoked with a word</w:t>
      </w:r>
      <w:r>
        <w:t xml:space="preserve">”</w:t>
      </w:r>
      <w:r>
        <w:t xml:space="preserve">; the dual case-ending replaced by</w:t>
      </w:r>
      <w:r>
        <w:t xml:space="preserve"> </w:t>
      </w:r>
      <w:r>
        <w:rPr>
          <w:iCs/>
          <w:i/>
        </w:rPr>
        <w:t xml:space="preserve">ā</w:t>
      </w:r>
      <w:r>
        <w:t xml:space="preserve">; the second member</w:t>
      </w:r>
      <w:r>
        <w:t xml:space="preserve"> </w:t>
      </w:r>
      <w:r>
        <w:rPr>
          <w:iCs/>
          <w:i/>
        </w:rPr>
        <w:t xml:space="preserve">yuj</w:t>
      </w:r>
      <w:r>
        <w:t xml:space="preserve"> </w:t>
      </w:r>
      <w:r>
        <w:t xml:space="preserve">has the final accent.</w:t>
      </w:r>
      <w:r>
        <w:t xml:space="preserve"> </w:t>
      </w:r>
      <w:r>
        <w:rPr>
          <w:bCs/>
          <w:b/>
        </w:rPr>
        <w:t xml:space="preserve">वज्री (</w:t>
      </w:r>
      <w:r>
        <w:rPr>
          <w:iCs/>
          <w:i/>
          <w:bCs/>
          <w:b/>
        </w:rPr>
        <w:t xml:space="preserve">vajrī</w:t>
      </w:r>
      <w:r>
        <w:rPr>
          <w:bCs/>
          <w:b/>
        </w:rPr>
        <w:t xml:space="preserve">)</w:t>
      </w:r>
      <w:r>
        <w:t xml:space="preserve"> </w:t>
      </w:r>
      <w:r>
        <w:t xml:space="preserve">—</w:t>
      </w:r>
      <w:r>
        <w:t xml:space="preserve"> </w:t>
      </w:r>
      <w:r>
        <w:t xml:space="preserve">“</w:t>
      </w:r>
      <w:r>
        <w:t xml:space="preserve">having a vajra</w:t>
      </w:r>
      <w:r>
        <w:t xml:space="preserve">”</w:t>
      </w:r>
      <w:r>
        <w:t xml:space="preserve">, suffix</w:t>
      </w:r>
      <w:r>
        <w:t xml:space="preserve"> </w:t>
      </w:r>
      <w:r>
        <w:rPr>
          <w:iCs/>
          <w:i/>
        </w:rPr>
        <w:t xml:space="preserve">ini</w:t>
      </w:r>
      <w:r>
        <w:t xml:space="preserve"> </w:t>
      </w:r>
      <w:r>
        <w:t xml:space="preserve">(Pā. 5-2-115).</w:t>
      </w:r>
      <w:r>
        <w:t xml:space="preserve"> </w:t>
      </w:r>
      <w:r>
        <w:rPr>
          <w:bCs/>
          <w:b/>
        </w:rPr>
        <w:t xml:space="preserve">हिरण्ययः (</w:t>
      </w:r>
      <w:r>
        <w:rPr>
          <w:iCs/>
          <w:i/>
          <w:bCs/>
          <w:b/>
        </w:rPr>
        <w:t xml:space="preserve">hiraṇyayaḥ</w:t>
      </w:r>
      <w:r>
        <w:rPr>
          <w:bCs/>
          <w:b/>
        </w:rPr>
        <w:t xml:space="preserve">)</w:t>
      </w:r>
      <w:r>
        <w:t xml:space="preserve"> </w:t>
      </w:r>
      <w:r>
        <w:t xml:space="preserve">— by</w:t>
      </w:r>
      <w:r>
        <w:t xml:space="preserve"> </w:t>
      </w:r>
      <w:r>
        <w:rPr>
          <w:bCs/>
          <w:b/>
        </w:rPr>
        <w:t xml:space="preserve">ऋत्व्यवास्त्व्यवास्त्वमाध्वीहिरण्ययानि छन्दसि</w:t>
      </w:r>
      <w:r>
        <w:t xml:space="preserve"> </w:t>
      </w:r>
      <w:r>
        <w:t xml:space="preserve">(Pāṇini 6-4-175), the</w:t>
      </w:r>
      <w:r>
        <w:t xml:space="preserve"> </w:t>
      </w:r>
      <w:r>
        <w:rPr>
          <w:iCs/>
          <w:i/>
        </w:rPr>
        <w:t xml:space="preserve">m</w:t>
      </w:r>
      <w:r>
        <w:t xml:space="preserve"> </w:t>
      </w:r>
      <w:r>
        <w:t xml:space="preserve">of</w:t>
      </w:r>
      <w:r>
        <w:t xml:space="preserve"> </w:t>
      </w:r>
      <w:r>
        <w:rPr>
          <w:iCs/>
          <w:i/>
        </w:rPr>
        <w:t xml:space="preserve">hiraṇmaya</w:t>
      </w:r>
      <w:r>
        <w:t xml:space="preserve"> </w:t>
      </w:r>
      <w:r>
        <w:t xml:space="preserve">is dropped irregularly in the Veda, so</w:t>
      </w:r>
      <w:r>
        <w:t xml:space="preserve"> </w:t>
      </w:r>
      <w:r>
        <w:rPr>
          <w:iCs/>
          <w:i/>
        </w:rPr>
        <w:t xml:space="preserve">hiraṇyaya</w:t>
      </w:r>
      <w:r>
        <w:t xml:space="preserve"> </w:t>
      </w:r>
      <w:r>
        <w:t xml:space="preserve">is the form; it is udātta on the</w:t>
      </w:r>
      <w:r>
        <w:t xml:space="preserve"> </w:t>
      </w:r>
      <w:r>
        <w:rPr>
          <w:iCs/>
          <w:i/>
        </w:rPr>
        <w:t xml:space="preserve">ā</w:t>
      </w:r>
      <w:r>
        <w:t xml:space="preserve"> </w:t>
      </w:r>
      <w:r>
        <w:t xml:space="preserve">by the suffix-accent.)*</w:t>
      </w:r>
    </w:p>
    <w:p>
      <w:pPr>
        <w:pStyle w:val="BodyText"/>
      </w:pPr>
      <w:r>
        <w:rPr>
          <w:bCs/>
          <w:b/>
        </w:rPr>
        <w:t xml:space="preserve">॥ Prati-padārthaḥ ॥</w:t>
      </w:r>
    </w:p>
    <w:p>
      <w:pPr>
        <w:pStyle w:val="BodyText"/>
      </w:pPr>
      <w:r>
        <w:rPr>
          <w:bCs/>
          <w:b/>
        </w:rPr>
        <w:t xml:space="preserve">सम्मिश्लः (sammiślaḥ)</w:t>
      </w:r>
      <w:r>
        <w:t xml:space="preserve"> </w:t>
      </w:r>
      <w:r>
        <w:t xml:space="preserve">— the one who thoroughly mixes everything |</w:t>
      </w:r>
      <w:r>
        <w:t xml:space="preserve"> </w:t>
      </w:r>
      <w:r>
        <w:rPr>
          <w:bCs/>
          <w:b/>
        </w:rPr>
        <w:t xml:space="preserve">इन्द्र इत् (indra it)</w:t>
      </w:r>
      <w:r>
        <w:t xml:space="preserve"> </w:t>
      </w:r>
      <w:r>
        <w:t xml:space="preserve">— Indra himself |</w:t>
      </w:r>
      <w:r>
        <w:t xml:space="preserve"> </w:t>
      </w:r>
      <w:r>
        <w:rPr>
          <w:bCs/>
          <w:b/>
        </w:rPr>
        <w:t xml:space="preserve">वचोयुजा (vacoyujā)</w:t>
      </w:r>
      <w:r>
        <w:t xml:space="preserve"> </w:t>
      </w:r>
      <w:r>
        <w:t xml:space="preserve">— yoked to the chariot at Indra’s mere word |</w:t>
      </w:r>
      <w:r>
        <w:t xml:space="preserve"> </w:t>
      </w:r>
      <w:r>
        <w:rPr>
          <w:bCs/>
          <w:b/>
        </w:rPr>
        <w:t xml:space="preserve">हर्योः (haryoḥ)</w:t>
      </w:r>
      <w:r>
        <w:t xml:space="preserve"> </w:t>
      </w:r>
      <w:r>
        <w:t xml:space="preserve">— with the horses called Hari (of Indra) |</w:t>
      </w:r>
      <w:r>
        <w:t xml:space="preserve"> </w:t>
      </w:r>
      <w:r>
        <w:rPr>
          <w:bCs/>
          <w:b/>
        </w:rPr>
        <w:t xml:space="preserve">सचा (sacā)</w:t>
      </w:r>
      <w:r>
        <w:t xml:space="preserve"> </w:t>
      </w:r>
      <w:r>
        <w:t xml:space="preserve">— together with |</w:t>
      </w:r>
      <w:r>
        <w:t xml:space="preserve"> </w:t>
      </w:r>
      <w:r>
        <w:rPr>
          <w:bCs/>
          <w:b/>
        </w:rPr>
        <w:t xml:space="preserve">आ (yāti)</w:t>
      </w:r>
      <w:r>
        <w:t xml:space="preserve"> </w:t>
      </w:r>
      <w:r>
        <w:t xml:space="preserve">— comes hither |</w:t>
      </w:r>
      <w:r>
        <w:t xml:space="preserve"> </w:t>
      </w:r>
      <w:r>
        <w:rPr>
          <w:bCs/>
          <w:b/>
        </w:rPr>
        <w:t xml:space="preserve">इन्द्रः (indraḥ)</w:t>
      </w:r>
      <w:r>
        <w:t xml:space="preserve"> </w:t>
      </w:r>
      <w:r>
        <w:t xml:space="preserve">— Indra |</w:t>
      </w:r>
      <w:r>
        <w:t xml:space="preserve"> </w:t>
      </w:r>
      <w:r>
        <w:rPr>
          <w:bCs/>
          <w:b/>
        </w:rPr>
        <w:t xml:space="preserve">वज्री (vajrī)</w:t>
      </w:r>
      <w:r>
        <w:t xml:space="preserve"> </w:t>
      </w:r>
      <w:r>
        <w:t xml:space="preserve">— the wielder of the thunderbolt |</w:t>
      </w:r>
      <w:r>
        <w:t xml:space="preserve"> </w:t>
      </w:r>
      <w:r>
        <w:rPr>
          <w:bCs/>
          <w:b/>
        </w:rPr>
        <w:t xml:space="preserve">हिरण्ययः (hiraṇyayaḥ)</w:t>
      </w:r>
      <w:r>
        <w:t xml:space="preserve"> </w:t>
      </w:r>
      <w:r>
        <w:t xml:space="preserve">— the golden one, that is, adorned with golden ornaments.</w:t>
      </w:r>
    </w:p>
    <w:p>
      <w:pPr>
        <w:pStyle w:val="BodyText"/>
      </w:pPr>
      <w:r>
        <w:rPr>
          <w:bCs/>
          <w:b/>
        </w:rPr>
        <w:t xml:space="preserve">॥ Bhāvārthaḥ ॥</w:t>
      </w:r>
    </w:p>
    <w:p>
      <w:pPr>
        <w:pStyle w:val="BodyText"/>
      </w:pPr>
      <w:r>
        <w:t xml:space="preserve">Indra, who mixes [combines with] everything, is coming here. At his mere word, his horses are yoked to the chariot. Seated in the chariot to which such horses are yoked, he comes here. That Indra, adorned with ornaments of gold, bears the thunderbolt.</w:t>
      </w:r>
    </w:p>
    <w:p>
      <w:pPr>
        <w:pStyle w:val="BodyText"/>
      </w:pPr>
      <w:r>
        <w:rPr>
          <w:bCs/>
          <w:b/>
        </w:rPr>
        <w:t xml:space="preserve">॥ English Translation ॥</w:t>
      </w:r>
      <w:r>
        <w:t xml:space="preserve"> </w:t>
      </w:r>
      <w:r>
        <w:rPr>
          <w:iCs/>
          <w:i/>
        </w:rPr>
        <w:t xml:space="preserve">(as printed in the source)</w:t>
      </w:r>
    </w:p>
    <w:p>
      <w:pPr>
        <w:pStyle w:val="BlockText"/>
      </w:pPr>
      <w:r>
        <w:t xml:space="preserve">Indra, the good mixer of all things comes verily with his horses that are harnessed at his word; Indra, the richly-decorated (with gold), the weilder [sic] of the thundorbolt [sic].</w:t>
      </w:r>
    </w:p>
    <w:p>
      <w:pPr>
        <w:pStyle w:val="FirstParagraph"/>
      </w:pPr>
      <w:r>
        <w:rPr>
          <w:bCs/>
          <w:b/>
        </w:rPr>
        <w:t xml:space="preserve">॥ Viśeṣa-viṣayagaḷu (Special Topics) ॥</w:t>
      </w:r>
    </w:p>
    <w:p>
      <w:pPr>
        <w:pStyle w:val="BodyText"/>
      </w:pPr>
      <w:r>
        <w:rPr>
          <w:bCs/>
          <w:b/>
        </w:rPr>
        <w:t xml:space="preserve">“</w:t>
      </w:r>
      <w:r>
        <w:rPr>
          <w:bCs/>
          <w:b/>
        </w:rPr>
        <w:t xml:space="preserve">Sacā</w:t>
      </w:r>
      <w:r>
        <w:rPr>
          <w:bCs/>
          <w:b/>
        </w:rPr>
        <w:t xml:space="preserve">”</w:t>
      </w:r>
      <w:r>
        <w:t xml:space="preserve"> </w:t>
      </w:r>
      <w:r>
        <w:t xml:space="preserve">—</w:t>
      </w:r>
      <w:r>
        <w:t xml:space="preserve"> </w:t>
      </w:r>
      <w:r>
        <w:rPr>
          <w:iCs/>
          <w:i/>
        </w:rPr>
        <w:t xml:space="preserve">saha</w:t>
      </w:r>
      <w:r>
        <w:t xml:space="preserve">: with, together, in company.</w:t>
      </w:r>
    </w:p>
    <w:p>
      <w:pPr>
        <w:pStyle w:val="BodyText"/>
      </w:pPr>
      <w:r>
        <w:rPr>
          <w:bCs/>
          <w:b/>
        </w:rPr>
        <w:t xml:space="preserve">“</w:t>
      </w:r>
      <w:r>
        <w:rPr>
          <w:bCs/>
          <w:b/>
        </w:rPr>
        <w:t xml:space="preserve">Sammiślaḥ</w:t>
      </w:r>
      <w:r>
        <w:rPr>
          <w:bCs/>
          <w:b/>
        </w:rPr>
        <w:t xml:space="preserve">”</w:t>
      </w:r>
      <w:r>
        <w:t xml:space="preserve"> </w:t>
      </w:r>
      <w:r>
        <w:t xml:space="preserve">— The Bhāṣyakāra explains this word as</w:t>
      </w:r>
      <w:r>
        <w:t xml:space="preserve"> </w:t>
      </w:r>
      <w:r>
        <w:rPr>
          <w:bCs/>
          <w:b/>
        </w:rPr>
        <w:t xml:space="preserve">सम्मिश्लः सर्वतः सम्यग्मिश्रयिता</w:t>
      </w:r>
      <w:r>
        <w:t xml:space="preserve"> </w:t>
      </w:r>
      <w:r>
        <w:t xml:space="preserve">(</w:t>
      </w:r>
      <w:r>
        <w:rPr>
          <w:iCs/>
          <w:i/>
        </w:rPr>
        <w:t xml:space="preserve">sammiślaḥ sarvataḥ samyag miśrayitā</w:t>
      </w:r>
      <w:r>
        <w:t xml:space="preserve">) —</w:t>
      </w:r>
      <w:r>
        <w:t xml:space="preserve"> </w:t>
      </w:r>
      <w:r>
        <w:t xml:space="preserve">“</w:t>
      </w:r>
      <w:r>
        <w:t xml:space="preserve">one who mixes well, in every way.</w:t>
      </w:r>
      <w:r>
        <w:t xml:space="preserve">”</w:t>
      </w:r>
      <w:r>
        <w:t xml:space="preserve"> </w:t>
      </w:r>
      <w:r>
        <w:t xml:space="preserve">Following him, Western scholars such as Wilson …</w:t>
      </w:r>
      <w:r>
        <w:t xml:space="preserve"> </w:t>
      </w:r>
      <w:r>
        <w:rPr>
          <w:iCs/>
          <w:i/>
        </w:rPr>
        <w:t xml:space="preserve">(continues on p. 265)</w:t>
      </w:r>
    </w:p>
    <w:bookmarkEnd w:id="299"/>
    <w:bookmarkStart w:id="300" w:name="page-265"/>
    <w:p>
      <w:pPr>
        <w:pStyle w:val="Heading3"/>
      </w:pPr>
      <w:r>
        <w:t xml:space="preserve">Page 265</w:t>
      </w:r>
    </w:p>
    <w:p>
      <w:pPr>
        <w:pStyle w:val="FirstParagraph"/>
      </w:pPr>
      <w:r>
        <w:rPr>
          <w:iCs/>
          <w:i/>
        </w:rPr>
        <w:t xml:space="preserve">(Page header:</w:t>
      </w:r>
      <w:r>
        <w:rPr>
          <w:iCs/>
          <w:i/>
        </w:rPr>
        <w:t xml:space="preserve"> </w:t>
      </w:r>
      <w:r>
        <w:rPr>
          <w:iCs/>
          <w:i/>
        </w:rPr>
        <w:t xml:space="preserve">“</w:t>
      </w:r>
      <w:r>
        <w:rPr>
          <w:iCs/>
          <w:i/>
        </w:rPr>
        <w:t xml:space="preserve">A. 1, A. 1, Va. 13.</w:t>
      </w:r>
      <w:r>
        <w:rPr>
          <w:iCs/>
          <w:i/>
        </w:rPr>
        <w:t xml:space="preserve">”</w:t>
      </w:r>
      <w:r>
        <w:rPr>
          <w:iCs/>
          <w:i/>
        </w:rPr>
        <w:t xml:space="preserve"> </w:t>
      </w:r>
      <w:r>
        <w:rPr>
          <w:iCs/>
          <w:i/>
        </w:rPr>
        <w:t xml:space="preserve">Re-read from the better scan; the Ṛks and their references as printed.)</w:t>
      </w:r>
    </w:p>
    <w:p>
      <w:pPr>
        <w:pStyle w:val="BodyText"/>
      </w:pPr>
      <w:r>
        <w:t xml:space="preserve">…Western scholars such as Wilson have given the meanings</w:t>
      </w:r>
      <w:r>
        <w:t xml:space="preserve"> </w:t>
      </w:r>
      <w:r>
        <w:t xml:space="preserve">“</w:t>
      </w:r>
      <w:r>
        <w:t xml:space="preserve">Blender, mixer, mixing oneself very much with, attached to</w:t>
      </w:r>
      <w:r>
        <w:t xml:space="preserve">”</w:t>
      </w:r>
      <w:r>
        <w:t xml:space="preserve"> </w:t>
      </w:r>
      <w:r>
        <w:t xml:space="preserve">(English in the source). The component sense of the word is:</w:t>
      </w:r>
    </w:p>
    <w:p>
      <w:pPr>
        <w:pStyle w:val="BlockText"/>
      </w:pPr>
      <w:r>
        <w:t xml:space="preserve">सम्मिश्लः । मिश्रणं मिश्रः । मिश्रयतेर्घञ् । पा. सू. ३-३-१८ । सम्यक् मिश्रो यस्यासौ सम्मिश्रः । लत्वं छान्दसम् । सम्यक् मिश्रयितेत्यर्थः ।</w:t>
      </w:r>
      <w:r>
        <w:t xml:space="preserve"> </w:t>
      </w:r>
      <w:r>
        <w:rPr>
          <w:iCs/>
          <w:i/>
        </w:rPr>
        <w:t xml:space="preserve">sammiślaḥ | miśraṇaṃ miśraḥ | miśrayater ghañ | pā. sū. 3-3-18 | samyak miśro yasyāsau sammiśraḥ | latvaṃ chāndasam | samyak miśrayitety arthaḥ |</w:t>
      </w:r>
      <w:r>
        <w:t xml:space="preserve"> </w:t>
      </w:r>
      <w:r>
        <w:t xml:space="preserve">“</w:t>
      </w:r>
      <w:r>
        <w:rPr>
          <w:iCs/>
          <w:i/>
        </w:rPr>
        <w:t xml:space="preserve">Sammiślaḥ</w:t>
      </w:r>
      <w:r>
        <w:t xml:space="preserve">:</w:t>
      </w:r>
      <w:r>
        <w:t xml:space="preserve"> </w:t>
      </w:r>
      <w:r>
        <w:t xml:space="preserve">‘</w:t>
      </w:r>
      <w:r>
        <w:t xml:space="preserve">mixing</w:t>
      </w:r>
      <w:r>
        <w:t xml:space="preserve">’</w:t>
      </w:r>
      <w:r>
        <w:t xml:space="preserve"> </w:t>
      </w:r>
      <w:r>
        <w:t xml:space="preserve">is</w:t>
      </w:r>
      <w:r>
        <w:t xml:space="preserve"> </w:t>
      </w:r>
      <w:r>
        <w:rPr>
          <w:iCs/>
          <w:i/>
        </w:rPr>
        <w:t xml:space="preserve">miśra</w:t>
      </w:r>
      <w:r>
        <w:t xml:space="preserve">; [formed from]</w:t>
      </w:r>
      <w:r>
        <w:t xml:space="preserve"> </w:t>
      </w:r>
      <w:r>
        <w:rPr>
          <w:iCs/>
          <w:i/>
        </w:rPr>
        <w:t xml:space="preserve">miśrayati</w:t>
      </w:r>
      <w:r>
        <w:t xml:space="preserve"> </w:t>
      </w:r>
      <w:r>
        <w:t xml:space="preserve">with</w:t>
      </w:r>
      <w:r>
        <w:t xml:space="preserve"> </w:t>
      </w:r>
      <w:r>
        <w:rPr>
          <w:iCs/>
          <w:i/>
        </w:rPr>
        <w:t xml:space="preserve">ghañ</w:t>
      </w:r>
      <w:r>
        <w:t xml:space="preserve"> </w:t>
      </w:r>
      <w:r>
        <w:t xml:space="preserve">(Pāṇini 3-3-18).</w:t>
      </w:r>
      <w:r>
        <w:t xml:space="preserve"> </w:t>
      </w:r>
      <w:r>
        <w:t xml:space="preserve">‘</w:t>
      </w:r>
      <w:r>
        <w:t xml:space="preserve">He of whom the mixing is thorough</w:t>
      </w:r>
      <w:r>
        <w:t xml:space="preserve">’</w:t>
      </w:r>
      <w:r>
        <w:t xml:space="preserve"> </w:t>
      </w:r>
      <w:r>
        <w:t xml:space="preserve">is</w:t>
      </w:r>
      <w:r>
        <w:t xml:space="preserve"> </w:t>
      </w:r>
      <w:r>
        <w:rPr>
          <w:iCs/>
          <w:i/>
        </w:rPr>
        <w:t xml:space="preserve">sammiśra</w:t>
      </w:r>
      <w:r>
        <w:t xml:space="preserve">; the</w:t>
      </w:r>
      <w:r>
        <w:t xml:space="preserve"> </w:t>
      </w:r>
      <w:r>
        <w:rPr>
          <w:iCs/>
          <w:i/>
        </w:rPr>
        <w:t xml:space="preserve">l</w:t>
      </w:r>
      <w:r>
        <w:t xml:space="preserve"> </w:t>
      </w:r>
      <w:r>
        <w:t xml:space="preserve">[for</w:t>
      </w:r>
      <w:r>
        <w:t xml:space="preserve"> </w:t>
      </w:r>
      <w:r>
        <w:rPr>
          <w:iCs/>
          <w:i/>
        </w:rPr>
        <w:t xml:space="preserve">r</w:t>
      </w:r>
      <w:r>
        <w:t xml:space="preserve">] is Vedic. The sense: one who mixes thoroughly.</w:t>
      </w:r>
      <w:r>
        <w:t xml:space="preserve">”</w:t>
      </w:r>
    </w:p>
    <w:p>
      <w:pPr>
        <w:pStyle w:val="FirstParagraph"/>
      </w:pPr>
      <w:r>
        <w:rPr>
          <w:bCs/>
          <w:b/>
        </w:rPr>
        <w:t xml:space="preserve">Though this sense is right for the word, it does not fit</w:t>
      </w:r>
      <w:r>
        <w:rPr>
          <w:bCs/>
          <w:b/>
        </w:rPr>
        <w:t xml:space="preserve"> </w:t>
      </w:r>
      <w:r>
        <w:rPr>
          <w:bCs/>
          <w:b/>
        </w:rPr>
        <w:t xml:space="preserve">“</w:t>
      </w:r>
      <w:r>
        <w:rPr>
          <w:bCs/>
          <w:b/>
        </w:rPr>
        <w:t xml:space="preserve">sammiśla</w:t>
      </w:r>
      <w:r>
        <w:rPr>
          <w:bCs/>
          <w:b/>
        </w:rPr>
        <w:t xml:space="preserve">”</w:t>
      </w:r>
      <w:r>
        <w:rPr>
          <w:bCs/>
          <w:b/>
        </w:rPr>
        <w:t xml:space="preserve"> </w:t>
      </w:r>
      <w:r>
        <w:rPr>
          <w:bCs/>
          <w:b/>
        </w:rPr>
        <w:t xml:space="preserve">in this Ṛk.</w:t>
      </w:r>
      <w:r>
        <w:t xml:space="preserve"> </w:t>
      </w:r>
      <w:r>
        <w:t xml:space="preserve">If</w:t>
      </w:r>
      <w:r>
        <w:t xml:space="preserve"> </w:t>
      </w:r>
      <w:r>
        <w:t xml:space="preserve">“</w:t>
      </w:r>
      <w:r>
        <w:t xml:space="preserve">sammiślaḥ</w:t>
      </w:r>
      <w:r>
        <w:t xml:space="preserve">”</w:t>
      </w:r>
      <w:r>
        <w:t xml:space="preserve"> </w:t>
      </w:r>
      <w:r>
        <w:t xml:space="preserve">is taken to mean</w:t>
      </w:r>
      <w:r>
        <w:t xml:space="preserve"> </w:t>
      </w:r>
      <w:r>
        <w:t xml:space="preserve">“</w:t>
      </w:r>
      <w:r>
        <w:t xml:space="preserve">saṃyuktaḥ</w:t>
      </w:r>
      <w:r>
        <w:t xml:space="preserve">”</w:t>
      </w:r>
      <w:r>
        <w:t xml:space="preserve"> </w:t>
      </w:r>
      <w:r>
        <w:t xml:space="preserve">(joined) or</w:t>
      </w:r>
      <w:r>
        <w:t xml:space="preserve"> </w:t>
      </w:r>
      <w:r>
        <w:t xml:space="preserve">“</w:t>
      </w:r>
      <w:r>
        <w:t xml:space="preserve">sahitaḥ</w:t>
      </w:r>
      <w:r>
        <w:t xml:space="preserve">”</w:t>
      </w:r>
      <w:r>
        <w:t xml:space="preserve"> </w:t>
      </w:r>
      <w:r>
        <w:t xml:space="preserve">(accompanied), the sense runs right. The Bhāṣyakāra too, on the word</w:t>
      </w:r>
      <w:r>
        <w:t xml:space="preserve"> </w:t>
      </w:r>
      <w:r>
        <w:t xml:space="preserve">“</w:t>
      </w:r>
      <w:r>
        <w:t xml:space="preserve">sammiślāsaḥ</w:t>
      </w:r>
      <w:r>
        <w:t xml:space="preserve">”</w:t>
      </w:r>
      <w:r>
        <w:t xml:space="preserve"> </w:t>
      </w:r>
      <w:r>
        <w:t xml:space="preserve">in the Ṛk</w:t>
      </w:r>
    </w:p>
    <w:p>
      <w:pPr>
        <w:pStyle w:val="BlockText"/>
      </w:pPr>
      <w:r>
        <w:t xml:space="preserve">विश्वे देवासो रयिभिः समोकसः संमिश्लासस्तविषीभिर्विरप्शिनः ॥</w:t>
      </w:r>
      <w:r>
        <w:t xml:space="preserve"> </w:t>
      </w:r>
      <w:r>
        <w:rPr>
          <w:iCs/>
          <w:i/>
        </w:rPr>
        <w:t xml:space="preserve">viśve devāso rayibhiḥ samokasaḥ saṃmiślāsas taviṣībhir virapśinaḥ ||</w:t>
      </w:r>
      <w:r>
        <w:t xml:space="preserve"> </w:t>
      </w:r>
      <w:r>
        <w:t xml:space="preserve">— (Ṛ. Saṃ. 1-64-10)</w:t>
      </w:r>
    </w:p>
    <w:p>
      <w:pPr>
        <w:pStyle w:val="FirstParagraph"/>
      </w:pPr>
      <w:r>
        <w:t xml:space="preserve">explains it as</w:t>
      </w:r>
      <w:r>
        <w:t xml:space="preserve"> </w:t>
      </w:r>
      <w:r>
        <w:t xml:space="preserve">“</w:t>
      </w:r>
      <w:r>
        <w:rPr>
          <w:iCs/>
          <w:i/>
        </w:rPr>
        <w:t xml:space="preserve">sammiśrāḥ saṃyuktā ity arthaḥ</w:t>
      </w:r>
      <w:r>
        <w:t xml:space="preserve">”</w:t>
      </w:r>
      <w:r>
        <w:t xml:space="preserve"> </w:t>
      </w:r>
      <w:r>
        <w:t xml:space="preserve">(mixed, that is, joined). Ṛks containing the word are given here for illustration:</w:t>
      </w:r>
    </w:p>
    <w:p>
      <w:pPr>
        <w:pStyle w:val="BlockText"/>
      </w:pPr>
      <w:r>
        <w:t xml:space="preserve">यः संमिश्लो हर्योर्यः सुते सचा वज्री रथो हिरण्ययः ॥</w:t>
      </w:r>
      <w:r>
        <w:t xml:space="preserve"> </w:t>
      </w:r>
      <w:r>
        <w:rPr>
          <w:iCs/>
          <w:i/>
        </w:rPr>
        <w:t xml:space="preserve">yaḥ saṃmiślo haryor yaḥ sute sacā vajrī ratho hiraṇyayaḥ ||</w:t>
      </w:r>
      <w:r>
        <w:t xml:space="preserve"> </w:t>
      </w:r>
      <w:r>
        <w:t xml:space="preserve">— (Ṛ. Saṃ. 8-33-4)</w:t>
      </w:r>
    </w:p>
    <w:p>
      <w:pPr>
        <w:pStyle w:val="FirstParagraph"/>
      </w:pPr>
      <w:r>
        <w:t xml:space="preserve">In this Ṛk too the words and sense of the present Ṛk recur with no great difference.</w:t>
      </w:r>
    </w:p>
    <w:p>
      <w:pPr>
        <w:pStyle w:val="BlockText"/>
      </w:pPr>
      <w:r>
        <w:t xml:space="preserve">प्रभंगी शूरो मघवा तुवीमघः संमिश्लो वीर्याय कम् ॥</w:t>
      </w:r>
      <w:r>
        <w:t xml:space="preserve"> </w:t>
      </w:r>
      <w:r>
        <w:rPr>
          <w:iCs/>
          <w:i/>
        </w:rPr>
        <w:t xml:space="preserve">prabhaṃgī śūro maghavā tuvīmaghaḥ saṃmiślo vīryāya kam ||</w:t>
      </w:r>
      <w:r>
        <w:t xml:space="preserve"> </w:t>
      </w:r>
      <w:r>
        <w:t xml:space="preserve">— (Ṛ. Saṃ. 8-61-18)</w:t>
      </w:r>
    </w:p>
    <w:p>
      <w:pPr>
        <w:pStyle w:val="BlockText"/>
      </w:pPr>
      <w:r>
        <w:t xml:space="preserve">संमिश्लो अरुषो भव सूपस्थाभिर्न धेनुभिः ॥</w:t>
      </w:r>
      <w:r>
        <w:t xml:space="preserve"> </w:t>
      </w:r>
      <w:r>
        <w:rPr>
          <w:iCs/>
          <w:i/>
        </w:rPr>
        <w:t xml:space="preserve">saṃmiślo aruṣo bhava sūpasthābhir na dhenubhiḥ ||</w:t>
      </w:r>
      <w:r>
        <w:t xml:space="preserve"> </w:t>
      </w:r>
      <w:r>
        <w:t xml:space="preserve">— (Ṛ. Saṃ. 9-61-21)</w:t>
      </w:r>
    </w:p>
    <w:p>
      <w:pPr>
        <w:pStyle w:val="BlockText"/>
      </w:pPr>
      <w:r>
        <w:t xml:space="preserve">मन्द्रो होता स जुह्वा यजिष्ठः संमिश्लो अग्निरा जिघर्ति देवान् ॥</w:t>
      </w:r>
      <w:r>
        <w:t xml:space="preserve"> </w:t>
      </w:r>
      <w:r>
        <w:rPr>
          <w:iCs/>
          <w:i/>
        </w:rPr>
        <w:t xml:space="preserve">mandro hotā sa juhvā yajiṣṭhaḥ saṃmiślo agnir ā jigharti devān ||</w:t>
      </w:r>
      <w:r>
        <w:t xml:space="preserve"> </w:t>
      </w:r>
      <w:r>
        <w:t xml:space="preserve">— (Ṛ. Saṃ. 10-6-4)</w:t>
      </w:r>
    </w:p>
    <w:p>
      <w:pPr>
        <w:pStyle w:val="BlockText"/>
      </w:pPr>
      <w:r>
        <w:t xml:space="preserve">मन्द्राः सुजिह्वाः स्वरितार आसभिः संमिश्ला इन्द्रे मरुतः परिष्टुभः ॥</w:t>
      </w:r>
      <w:r>
        <w:t xml:space="preserve"> </w:t>
      </w:r>
      <w:r>
        <w:rPr>
          <w:iCs/>
          <w:i/>
        </w:rPr>
        <w:t xml:space="preserve">mandrāḥ sujihvāḥ svaritāra āsabhiḥ saṃmiślā indre marutaḥ pariṣṭubhaḥ ||</w:t>
      </w:r>
      <w:r>
        <w:t xml:space="preserve"> </w:t>
      </w:r>
      <w:r>
        <w:t xml:space="preserve">— (Ṛ. Saṃ. 1-166-11)</w:t>
      </w:r>
    </w:p>
    <w:p>
      <w:pPr>
        <w:pStyle w:val="BlockText"/>
      </w:pPr>
      <w:r>
        <w:t xml:space="preserve">यज्ञैः संमिश्लाः पृषतीभिरृष्टिभिर्यामञ्छुभ्रासो अञ्जिषु प्रिया उत ॥</w:t>
      </w:r>
      <w:r>
        <w:t xml:space="preserve"> </w:t>
      </w:r>
      <w:r>
        <w:rPr>
          <w:iCs/>
          <w:i/>
        </w:rPr>
        <w:t xml:space="preserve">yajñaiḥ saṃmiślāḥ pṛṣatībhir ṛṣṭibhir yāmañ chubhrāso añjiṣu priyā uta ||</w:t>
      </w:r>
      <w:r>
        <w:t xml:space="preserve"> </w:t>
      </w:r>
      <w:r>
        <w:t xml:space="preserve">— (Ṛ. Saṃ. 2-36-2)</w:t>
      </w:r>
    </w:p>
    <w:p>
      <w:pPr>
        <w:pStyle w:val="BlockText"/>
      </w:pPr>
      <w:r>
        <w:t xml:space="preserve">प्र यन्तु वाजास्तविषीभिरग्नयः शुभे संमिश्लाः पृषतीरयुक्षत ॥</w:t>
      </w:r>
      <w:r>
        <w:t xml:space="preserve"> </w:t>
      </w:r>
      <w:r>
        <w:rPr>
          <w:iCs/>
          <w:i/>
        </w:rPr>
        <w:t xml:space="preserve">pra yantu vājās taviṣībhir agnayaḥ śubhe saṃmiślāḥ pṛṣatīr ayukṣata ||</w:t>
      </w:r>
      <w:r>
        <w:t xml:space="preserve"> </w:t>
      </w:r>
      <w:r>
        <w:t xml:space="preserve">— (Ṛ. Saṃ. 3-26-4)</w:t>
      </w:r>
    </w:p>
    <w:p>
      <w:pPr>
        <w:pStyle w:val="BlockText"/>
      </w:pPr>
      <w:r>
        <w:t xml:space="preserve">यामं येष्ठाः शुभा शोभिष्ठाः श्रिया संमिश्ला ओजोभिरुग्राः ॥</w:t>
      </w:r>
      <w:r>
        <w:t xml:space="preserve"> </w:t>
      </w:r>
      <w:r>
        <w:rPr>
          <w:iCs/>
          <w:i/>
        </w:rPr>
        <w:t xml:space="preserve">yāmaṃ yeṣṭhāḥ śubhā śobhiṣṭhāḥ śriyā saṃmiślā ojobhir ugrāḥ ||</w:t>
      </w:r>
      <w:r>
        <w:t xml:space="preserve"> </w:t>
      </w:r>
      <w:r>
        <w:t xml:space="preserve">— (Ṛ. Saṃ. 7-56-6 (3))</w:t>
      </w:r>
    </w:p>
    <w:p>
      <w:pPr>
        <w:pStyle w:val="FirstParagraph"/>
      </w:pPr>
      <w:r>
        <w:t xml:space="preserve">In all these riks, the sense</w:t>
      </w:r>
      <w:r>
        <w:t xml:space="preserve"> </w:t>
      </w:r>
      <w:r>
        <w:t xml:space="preserve">“</w:t>
      </w:r>
      <w:r>
        <w:t xml:space="preserve">joined, accompanied</w:t>
      </w:r>
      <w:r>
        <w:t xml:space="preserve">”</w:t>
      </w:r>
      <w:r>
        <w:t xml:space="preserve"> </w:t>
      </w:r>
      <w:r>
        <w:t xml:space="preserve">is the one that fits the word</w:t>
      </w:r>
      <w:r>
        <w:t xml:space="preserve"> </w:t>
      </w:r>
      <w:r>
        <w:rPr>
          <w:iCs/>
          <w:i/>
        </w:rPr>
        <w:t xml:space="preserve">sammiśla</w:t>
      </w:r>
      <w:r>
        <w:t xml:space="preserve">.</w:t>
      </w:r>
      <w:r>
        <w:t xml:space="preserve"> </w:t>
      </w:r>
      <w:r>
        <w:rPr>
          <w:bCs/>
          <w:b/>
        </w:rPr>
        <w:t xml:space="preserve">The word occurs nowhere in the Ṛgveda other than the riks listed above.</w:t>
      </w:r>
    </w:p>
    <w:p>
      <w:pPr>
        <w:pStyle w:val="BodyText"/>
      </w:pPr>
      <w:r>
        <w:rPr>
          <w:bCs/>
          <w:b/>
        </w:rPr>
        <w:t xml:space="preserve">“</w:t>
      </w:r>
      <w:r>
        <w:rPr>
          <w:bCs/>
          <w:b/>
        </w:rPr>
        <w:t xml:space="preserve">Vacoyujā</w:t>
      </w:r>
      <w:r>
        <w:rPr>
          <w:bCs/>
          <w:b/>
        </w:rPr>
        <w:t xml:space="preserve">”</w:t>
      </w:r>
      <w:r>
        <w:t xml:space="preserve"> </w:t>
      </w:r>
      <w:r>
        <w:t xml:space="preserve">— the Bhāṣyakāra:</w:t>
      </w:r>
      <w:r>
        <w:t xml:space="preserve"> </w:t>
      </w:r>
      <w:r>
        <w:rPr>
          <w:bCs/>
          <w:b/>
        </w:rPr>
        <w:t xml:space="preserve">इन्द्रस्य वचनमात्रेण रथे युज्यमानयोः सुशिक्षितयोरित्यर्थः</w:t>
      </w:r>
      <w:r>
        <w:t xml:space="preserve"> </w:t>
      </w:r>
      <w:r>
        <w:t xml:space="preserve">(</w:t>
      </w:r>
      <w:r>
        <w:rPr>
          <w:iCs/>
          <w:i/>
        </w:rPr>
        <w:t xml:space="preserve">indrasya vacana-mātreṇa rathe yujyamānayoḥ suśikṣitayor ity arthaḥ</w:t>
      </w:r>
      <w:r>
        <w:t xml:space="preserve">) —</w:t>
      </w:r>
      <w:r>
        <w:t xml:space="preserve"> </w:t>
      </w:r>
      <w:r>
        <w:t xml:space="preserve">“</w:t>
      </w:r>
      <w:r>
        <w:t xml:space="preserve">of the two [horses] being yoked to the chariot at Indra’s mere word, i.e., well-trained.</w:t>
      </w:r>
      <w:r>
        <w:t xml:space="preserve">”</w:t>
      </w:r>
      <w:r>
        <w:t xml:space="preserve"> </w:t>
      </w:r>
      <w:r>
        <w:t xml:space="preserve">That is: at the mere word of Indra they come ready to be yoked to the chariot; the sense is of</w:t>
      </w:r>
      <w:r>
        <w:t xml:space="preserve"> </w:t>
      </w:r>
      <w:r>
        <w:rPr>
          <w:bCs/>
          <w:b/>
        </w:rPr>
        <w:t xml:space="preserve">well-trained horses</w:t>
      </w:r>
      <w:r>
        <w:t xml:space="preserve">.</w:t>
      </w:r>
    </w:p>
    <w:bookmarkEnd w:id="300"/>
    <w:bookmarkStart w:id="301" w:name="page-266"/>
    <w:p>
      <w:pPr>
        <w:pStyle w:val="Heading3"/>
      </w:pPr>
      <w:r>
        <w:t xml:space="preserve">Page 266</w:t>
      </w:r>
    </w:p>
    <w:p>
      <w:pPr>
        <w:pStyle w:val="FirstParagraph"/>
      </w:pPr>
      <w:r>
        <w:t xml:space="preserve">Some Western scholars have rendered this word</w:t>
      </w:r>
      <w:r>
        <w:t xml:space="preserve"> </w:t>
      </w:r>
      <w:r>
        <w:rPr>
          <w:bCs/>
          <w:b/>
        </w:rPr>
        <w:t xml:space="preserve">“</w:t>
      </w:r>
      <w:r>
        <w:rPr>
          <w:bCs/>
          <w:b/>
        </w:rPr>
        <w:t xml:space="preserve">horses which harness themselves.</w:t>
      </w:r>
      <w:r>
        <w:rPr>
          <w:bCs/>
          <w:b/>
        </w:rPr>
        <w:t xml:space="preserve">”</w:t>
      </w:r>
      <w:r>
        <w:t xml:space="preserve"> </w:t>
      </w:r>
      <w:r>
        <w:t xml:space="preserve">But how could horses harness themselves to a chariot without the help of a charioteer and others?</w:t>
      </w:r>
      <w:r>
        <w:t xml:space="preserve"> </w:t>
      </w:r>
      <w:r>
        <w:rPr>
          <w:iCs/>
          <w:i/>
        </w:rPr>
        <w:t xml:space="preserve">They have not considered whether this is possible.</w:t>
      </w:r>
      <w:r>
        <w:t xml:space="preserve"> </w:t>
      </w:r>
      <w:r>
        <w:t xml:space="preserve">The Bhāṣyakāra’s sense —</w:t>
      </w:r>
      <w:r>
        <w:t xml:space="preserve"> </w:t>
      </w:r>
      <w:r>
        <w:t xml:space="preserve">“</w:t>
      </w:r>
      <w:r>
        <w:t xml:space="preserve">yoked at Indra’s word, or at his command</w:t>
      </w:r>
      <w:r>
        <w:t xml:space="preserve">”</w:t>
      </w:r>
      <w:r>
        <w:t xml:space="preserve"> </w:t>
      </w:r>
      <w:r>
        <w:t xml:space="preserve">— is therefore the fitting one.</w:t>
      </w:r>
    </w:p>
    <w:p>
      <w:pPr>
        <w:pStyle w:val="BodyText"/>
      </w:pPr>
      <w:r>
        <w:rPr>
          <w:bCs/>
          <w:b/>
        </w:rPr>
        <w:t xml:space="preserve">“</w:t>
      </w:r>
      <w:r>
        <w:rPr>
          <w:bCs/>
          <w:b/>
        </w:rPr>
        <w:t xml:space="preserve">Vajrī</w:t>
      </w:r>
      <w:r>
        <w:rPr>
          <w:bCs/>
          <w:b/>
        </w:rPr>
        <w:t xml:space="preserve">”</w:t>
      </w:r>
      <w:r>
        <w:t xml:space="preserve"> </w:t>
      </w:r>
      <w:r>
        <w:t xml:space="preserve">—</w:t>
      </w:r>
      <w:r>
        <w:t xml:space="preserve"> </w:t>
      </w:r>
      <w:r>
        <w:rPr>
          <w:bCs/>
          <w:b/>
        </w:rPr>
        <w:t xml:space="preserve">वज्रमस्यास्तीति वज्री</w:t>
      </w:r>
      <w:r>
        <w:t xml:space="preserve"> </w:t>
      </w:r>
      <w:r>
        <w:t xml:space="preserve">(</w:t>
      </w:r>
      <w:r>
        <w:rPr>
          <w:iCs/>
          <w:i/>
        </w:rPr>
        <w:t xml:space="preserve">vajram asyāstīti vajrī</w:t>
      </w:r>
      <w:r>
        <w:t xml:space="preserve">) —</w:t>
      </w:r>
      <w:r>
        <w:t xml:space="preserve"> </w:t>
      </w:r>
      <w:r>
        <w:t xml:space="preserve">“</w:t>
      </w:r>
      <w:r>
        <w:t xml:space="preserve">he who has the vajra</w:t>
      </w:r>
      <w:r>
        <w:t xml:space="preserve">”</w:t>
      </w:r>
      <w:r>
        <w:t xml:space="preserve"> </w:t>
      </w:r>
      <w:r>
        <w:t xml:space="preserve">— the wielder of the thunderbolt. Indra’s weapon is famous as the vajra (</w:t>
      </w:r>
      <w:r>
        <w:rPr>
          <w:bCs/>
          <w:b/>
        </w:rPr>
        <w:t xml:space="preserve">Thunderbolt</w:t>
      </w:r>
      <w:r>
        <w:t xml:space="preserve">). The Ṛgveda mentions it in many places. For example, Indra himself says:</w:t>
      </w:r>
    </w:p>
    <w:p>
      <w:pPr>
        <w:pStyle w:val="BlockText"/>
      </w:pPr>
      <w:r>
        <w:t xml:space="preserve">मह्यं त्वष्टा वज्रमतक्षदायसं मयि देवासो ऽवृजन्नपि क्रतुम् ॥</w:t>
      </w:r>
      <w:r>
        <w:t xml:space="preserve"> </w:t>
      </w:r>
      <w:r>
        <w:rPr>
          <w:iCs/>
          <w:i/>
        </w:rPr>
        <w:t xml:space="preserve">mahyaṃ tvaṣṭā vajram atakṣad āyasaṃ mayi devāso ’vṛjann api kratum ||</w:t>
      </w:r>
      <w:r>
        <w:t xml:space="preserve"> </w:t>
      </w:r>
      <w:r>
        <w:t xml:space="preserve">— (Ṛgveda Saṃhitā 10-48-3)</w:t>
      </w:r>
    </w:p>
    <w:p>
      <w:pPr>
        <w:pStyle w:val="BlockText"/>
      </w:pPr>
      <w:r>
        <w:t xml:space="preserve">“</w:t>
      </w:r>
      <w:r>
        <w:t xml:space="preserve">For me Tvaṣṭṛ fashioned the iron thunderbolt; in me the gods have set [wisdom/resolve].</w:t>
      </w:r>
      <w:r>
        <w:t xml:space="preserve">”</w:t>
      </w:r>
      <w:r>
        <w:t xml:space="preserve"> </w:t>
      </w:r>
      <w:r>
        <w:rPr>
          <w:iCs/>
          <w:i/>
        </w:rPr>
        <w:t xml:space="preserve">(The Kannada gloss in the source reads:</w:t>
      </w:r>
      <w:r>
        <w:rPr>
          <w:iCs/>
          <w:i/>
        </w:rPr>
        <w:t xml:space="preserve"> </w:t>
      </w:r>
      <w:r>
        <w:rPr>
          <w:iCs/>
          <w:i/>
        </w:rPr>
        <w:t xml:space="preserve">“</w:t>
      </w:r>
      <w:r>
        <w:rPr>
          <w:iCs/>
          <w:i/>
        </w:rPr>
        <w:t xml:space="preserve">the divine craftsman Tvaṣṭṛ made me a thunderbolt of iron.</w:t>
      </w:r>
      <w:r>
        <w:rPr>
          <w:iCs/>
          <w:i/>
        </w:rPr>
        <w:t xml:space="preserve">”</w:t>
      </w:r>
      <w:r>
        <w:rPr>
          <w:iCs/>
          <w:i/>
        </w:rPr>
        <w:t xml:space="preserve">)</w:t>
      </w:r>
    </w:p>
    <w:p>
      <w:pPr>
        <w:pStyle w:val="FirstParagraph"/>
      </w:pPr>
      <w:r>
        <w:rPr>
          <w:bCs/>
          <w:b/>
        </w:rPr>
        <w:t xml:space="preserve">“</w:t>
      </w:r>
      <w:r>
        <w:rPr>
          <w:bCs/>
          <w:b/>
        </w:rPr>
        <w:t xml:space="preserve">Hiraṇyayaḥ</w:t>
      </w:r>
      <w:r>
        <w:rPr>
          <w:bCs/>
          <w:b/>
        </w:rPr>
        <w:t xml:space="preserve">”</w:t>
      </w:r>
      <w:r>
        <w:t xml:space="preserve"> </w:t>
      </w:r>
      <w:r>
        <w:t xml:space="preserve">—</w:t>
      </w:r>
      <w:r>
        <w:t xml:space="preserve"> </w:t>
      </w:r>
      <w:r>
        <w:rPr>
          <w:iCs/>
          <w:i/>
        </w:rPr>
        <w:t xml:space="preserve">hiraṇmayaḥ</w:t>
      </w:r>
      <w:r>
        <w:t xml:space="preserve"> </w:t>
      </w:r>
      <w:r>
        <w:t xml:space="preserve">—</w:t>
      </w:r>
      <w:r>
        <w:t xml:space="preserve"> </w:t>
      </w:r>
      <w:r>
        <w:t xml:space="preserve">“</w:t>
      </w:r>
      <w:r>
        <w:t xml:space="preserve">made of gold,</w:t>
      </w:r>
      <w:r>
        <w:t xml:space="preserve">”</w:t>
      </w:r>
      <w:r>
        <w:t xml:space="preserve"> </w:t>
      </w:r>
      <w:r>
        <w:t xml:space="preserve">that is, adorned with golden ornaments. One may say that in place of</w:t>
      </w:r>
      <w:r>
        <w:t xml:space="preserve"> </w:t>
      </w:r>
      <w:r>
        <w:rPr>
          <w:iCs/>
          <w:i/>
        </w:rPr>
        <w:t xml:space="preserve">hiraṇmaya</w:t>
      </w:r>
      <w:r>
        <w:t xml:space="preserve"> </w:t>
      </w:r>
      <w:r>
        <w:t xml:space="preserve">the form</w:t>
      </w:r>
      <w:r>
        <w:t xml:space="preserve"> </w:t>
      </w:r>
      <w:r>
        <w:rPr>
          <w:iCs/>
          <w:i/>
        </w:rPr>
        <w:t xml:space="preserve">hiraṇyaya</w:t>
      </w:r>
      <w:r>
        <w:t xml:space="preserve"> </w:t>
      </w:r>
      <w:r>
        <w:t xml:space="preserve">was then current. Riks containing</w:t>
      </w:r>
      <w:r>
        <w:t xml:space="preserve"> </w:t>
      </w:r>
      <w:r>
        <w:rPr>
          <w:iCs/>
          <w:i/>
        </w:rPr>
        <w:t xml:space="preserve">hiraṇyaya</w:t>
      </w:r>
      <w:r>
        <w:t xml:space="preserve">-type words — such as</w:t>
      </w:r>
      <w:r>
        <w:t xml:space="preserve"> </w:t>
      </w:r>
      <w:r>
        <w:rPr>
          <w:bCs/>
          <w:b/>
        </w:rPr>
        <w:t xml:space="preserve">हिरण्ययेन सविता रथेन</w:t>
      </w:r>
      <w:r>
        <w:t xml:space="preserve"> </w:t>
      </w:r>
      <w:r>
        <w:t xml:space="preserve">(</w:t>
      </w:r>
      <w:r>
        <w:rPr>
          <w:iCs/>
          <w:i/>
        </w:rPr>
        <w:t xml:space="preserve">hiraṇyayena savitā rathena</w:t>
      </w:r>
      <w:r>
        <w:t xml:space="preserve">,</w:t>
      </w:r>
      <w:r>
        <w:t xml:space="preserve"> </w:t>
      </w:r>
      <w:r>
        <w:t xml:space="preserve">“</w:t>
      </w:r>
      <w:r>
        <w:t xml:space="preserve">Savitṛ, with a golden chariot</w:t>
      </w:r>
      <w:r>
        <w:t xml:space="preserve">”</w:t>
      </w:r>
      <w:r>
        <w:t xml:space="preserve">) — are plentiful.</w:t>
      </w:r>
    </w:p>
    <w:p>
      <w:pPr>
        <w:pStyle w:val="BodyText"/>
      </w:pPr>
      <w:r>
        <w:rPr>
          <w:bCs/>
          <w:b/>
        </w:rPr>
        <w:t xml:space="preserve">॥ Vyākaraṇa-prakriyā ॥</w:t>
      </w:r>
    </w:p>
    <w:p>
      <w:pPr>
        <w:pStyle w:val="BodyText"/>
      </w:pPr>
      <w:r>
        <w:rPr>
          <w:iCs/>
          <w:i/>
        </w:rPr>
        <w:t xml:space="preserve">(Pages 266–268: the Kannada grammar of Rik 2 — characterized, numbers as printed.)</w:t>
      </w:r>
    </w:p>
    <w:p>
      <w:pPr>
        <w:numPr>
          <w:ilvl w:val="0"/>
          <w:numId w:val="1039"/>
        </w:numPr>
        <w:pStyle w:val="Compact"/>
      </w:pPr>
      <w:r>
        <w:rPr>
          <w:bCs/>
          <w:b/>
        </w:rPr>
        <w:t xml:space="preserve">हर्योः (</w:t>
      </w:r>
      <w:r>
        <w:rPr>
          <w:iCs/>
          <w:i/>
          <w:bCs/>
          <w:b/>
        </w:rPr>
        <w:t xml:space="preserve">haryoḥ</w:t>
      </w:r>
      <w:r>
        <w:rPr>
          <w:bCs/>
          <w:b/>
        </w:rPr>
        <w:t xml:space="preserve">)</w:t>
      </w:r>
      <w:r>
        <w:t xml:space="preserve"> </w:t>
      </w:r>
      <w:r>
        <w:t xml:space="preserve">—</w:t>
      </w:r>
      <w:r>
        <w:t xml:space="preserve"> </w:t>
      </w:r>
      <w:r>
        <w:rPr>
          <w:iCs/>
          <w:i/>
        </w:rPr>
        <w:t xml:space="preserve">harataḥ rathaṃ iti harī</w:t>
      </w:r>
      <w:r>
        <w:t xml:space="preserve"> </w:t>
      </w:r>
      <w:r>
        <w:t xml:space="preserve">(</w:t>
      </w:r>
      <w:r>
        <w:t xml:space="preserve">“</w:t>
      </w:r>
      <w:r>
        <w:t xml:space="preserve">the two that draw the chariot are the</w:t>
      </w:r>
      <w:r>
        <w:t xml:space="preserve"> </w:t>
      </w:r>
      <w:r>
        <w:rPr>
          <w:iCs/>
          <w:i/>
        </w:rPr>
        <w:t xml:space="preserve">harī</w:t>
      </w:r>
      <w:r>
        <w:t xml:space="preserve">”</w:t>
      </w:r>
      <w:r>
        <w:t xml:space="preserve">) — from</w:t>
      </w:r>
      <w:r>
        <w:t xml:space="preserve"> </w:t>
      </w:r>
      <w:r>
        <w:rPr>
          <w:iCs/>
          <w:i/>
        </w:rPr>
        <w:t xml:space="preserve">hṛ</w:t>
      </w:r>
      <w:r>
        <w:t xml:space="preserve"> </w:t>
      </w:r>
      <w:r>
        <w:t xml:space="preserve">with the suffix</w:t>
      </w:r>
      <w:r>
        <w:t xml:space="preserve"> </w:t>
      </w:r>
      <w:r>
        <w:rPr>
          <w:iCs/>
          <w:i/>
        </w:rPr>
        <w:t xml:space="preserve">in</w:t>
      </w:r>
      <w:r>
        <w:t xml:space="preserve"> </w:t>
      </w:r>
      <w:r>
        <w:t xml:space="preserve">by</w:t>
      </w:r>
      <w:r>
        <w:t xml:space="preserve"> </w:t>
      </w:r>
      <w:r>
        <w:rPr>
          <w:bCs/>
          <w:b/>
        </w:rPr>
        <w:t xml:space="preserve">हृपिषिरुहिवृतिविदिछिदिकीर्तिभ्यश्च</w:t>
      </w:r>
      <w:r>
        <w:t xml:space="preserve"> </w:t>
      </w:r>
      <w:r>
        <w:t xml:space="preserve">(उ. सू. ४-[?], the printed figures look like</w:t>
      </w:r>
      <w:r>
        <w:t xml:space="preserve"> </w:t>
      </w:r>
      <w:r>
        <w:t xml:space="preserve">“</w:t>
      </w:r>
      <w:r>
        <w:t xml:space="preserve">५५८</w:t>
      </w:r>
      <w:r>
        <w:t xml:space="preserve">”</w:t>
      </w:r>
      <w:r>
        <w:t xml:space="preserve">); the guṇa by</w:t>
      </w:r>
      <w:r>
        <w:t xml:space="preserve"> </w:t>
      </w:r>
      <w:r>
        <w:t xml:space="preserve">“</w:t>
      </w:r>
      <w:r>
        <w:t xml:space="preserve">sārvadhātukārdhadhātukayoḥ</w:t>
      </w:r>
      <w:r>
        <w:t xml:space="preserve">”</w:t>
      </w:r>
      <w:r>
        <w:t xml:space="preserve"> </w:t>
      </w:r>
      <w:r>
        <w:t xml:space="preserve">(पा. सू. ७-३-८४), with</w:t>
      </w:r>
      <w:r>
        <w:t xml:space="preserve"> </w:t>
      </w:r>
      <w:r>
        <w:t xml:space="preserve">“</w:t>
      </w:r>
      <w:r>
        <w:t xml:space="preserve">r</w:t>
      </w:r>
      <w:r>
        <w:t xml:space="preserve">”</w:t>
      </w:r>
      <w:r>
        <w:t xml:space="preserve"> </w:t>
      </w:r>
      <w:r>
        <w:t xml:space="preserve">after it by</w:t>
      </w:r>
      <w:r>
        <w:t xml:space="preserve"> </w:t>
      </w:r>
      <w:r>
        <w:rPr>
          <w:bCs/>
          <w:b/>
        </w:rPr>
        <w:t xml:space="preserve">उरण् रपरः</w:t>
      </w:r>
      <w:r>
        <w:t xml:space="preserve"> </w:t>
      </w:r>
      <w:r>
        <w:t xml:space="preserve">(पा. सू. १-१-५१).</w:t>
      </w:r>
    </w:p>
    <w:p>
      <w:pPr>
        <w:numPr>
          <w:ilvl w:val="0"/>
          <w:numId w:val="1039"/>
        </w:numPr>
        <w:pStyle w:val="Compact"/>
      </w:pPr>
      <w:r>
        <w:rPr>
          <w:bCs/>
          <w:b/>
        </w:rPr>
        <w:t xml:space="preserve">सचा (</w:t>
      </w:r>
      <w:r>
        <w:rPr>
          <w:iCs/>
          <w:i/>
          <w:bCs/>
          <w:b/>
        </w:rPr>
        <w:t xml:space="preserve">sacā</w:t>
      </w:r>
      <w:r>
        <w:rPr>
          <w:bCs/>
          <w:b/>
        </w:rPr>
        <w:t xml:space="preserve">)</w:t>
      </w:r>
      <w:r>
        <w:t xml:space="preserve"> </w:t>
      </w:r>
      <w:r>
        <w:t xml:space="preserve">— Yāska (Nirukta 5-5) glosses it</w:t>
      </w:r>
      <w:r>
        <w:t xml:space="preserve"> </w:t>
      </w:r>
      <w:r>
        <w:t xml:space="preserve">“</w:t>
      </w:r>
      <w:r>
        <w:t xml:space="preserve">saha</w:t>
      </w:r>
      <w:r>
        <w:t xml:space="preserve">”</w:t>
      </w:r>
      <w:r>
        <w:t xml:space="preserve"> </w:t>
      </w:r>
      <w:r>
        <w:t xml:space="preserve">— hence</w:t>
      </w:r>
      <w:r>
        <w:t xml:space="preserve"> </w:t>
      </w:r>
      <w:r>
        <w:t xml:space="preserve">“</w:t>
      </w:r>
      <w:r>
        <w:t xml:space="preserve">at the same time.</w:t>
      </w:r>
      <w:r>
        <w:t xml:space="preserve">”</w:t>
      </w:r>
    </w:p>
    <w:p>
      <w:pPr>
        <w:numPr>
          <w:ilvl w:val="0"/>
          <w:numId w:val="1039"/>
        </w:numPr>
        <w:pStyle w:val="Compact"/>
      </w:pPr>
      <w:r>
        <w:rPr>
          <w:bCs/>
          <w:b/>
        </w:rPr>
        <w:t xml:space="preserve">सम्मिश्लः (</w:t>
      </w:r>
      <w:r>
        <w:rPr>
          <w:iCs/>
          <w:i/>
          <w:bCs/>
          <w:b/>
        </w:rPr>
        <w:t xml:space="preserve">sammiślaḥ</w:t>
      </w:r>
      <w:r>
        <w:rPr>
          <w:bCs/>
          <w:b/>
        </w:rPr>
        <w:t xml:space="preserve">)</w:t>
      </w:r>
      <w:r>
        <w:t xml:space="preserve"> </w:t>
      </w:r>
      <w:r>
        <w:t xml:space="preserve">—</w:t>
      </w:r>
      <w:r>
        <w:t xml:space="preserve"> </w:t>
      </w:r>
      <w:r>
        <w:t xml:space="preserve">“</w:t>
      </w:r>
      <w:r>
        <w:t xml:space="preserve">miśra saṃparke</w:t>
      </w:r>
      <w:r>
        <w:t xml:space="preserve">”</w:t>
      </w:r>
      <w:r>
        <w:t xml:space="preserve"> </w:t>
      </w:r>
      <w:r>
        <w:t xml:space="preserve">is a root of the curādi (tenth) class, so</w:t>
      </w:r>
      <w:r>
        <w:t xml:space="preserve"> </w:t>
      </w:r>
      <w:r>
        <w:rPr>
          <w:bCs/>
          <w:b/>
        </w:rPr>
        <w:t xml:space="preserve">चुरादिभ्यो णिच्</w:t>
      </w:r>
      <w:r>
        <w:t xml:space="preserve"> </w:t>
      </w:r>
      <w:r>
        <w:t xml:space="preserve">(पा. सू. ३-१-२५)</w:t>
      </w:r>
      <w:r>
        <w:t xml:space="preserve"> </w:t>
      </w:r>
      <w:r>
        <w:t xml:space="preserve">“</w:t>
      </w:r>
      <w:r>
        <w:t xml:space="preserve">ṇic</w:t>
      </w:r>
      <w:r>
        <w:t xml:space="preserve">”</w:t>
      </w:r>
      <w:r>
        <w:t xml:space="preserve">; then by</w:t>
      </w:r>
      <w:r>
        <w:t xml:space="preserve"> </w:t>
      </w:r>
      <w:r>
        <w:rPr>
          <w:bCs/>
          <w:b/>
        </w:rPr>
        <w:t xml:space="preserve">भावे</w:t>
      </w:r>
      <w:r>
        <w:t xml:space="preserve"> </w:t>
      </w:r>
      <w:r>
        <w:t xml:space="preserve">(पा. सू. ३-३-१८) — the verbal sense, in its</w:t>
      </w:r>
      <w:r>
        <w:t xml:space="preserve"> </w:t>
      </w:r>
      <w:r>
        <w:t xml:space="preserve">“</w:t>
      </w:r>
      <w:r>
        <w:t xml:space="preserve">accomplished</w:t>
      </w:r>
      <w:r>
        <w:t xml:space="preserve">”</w:t>
      </w:r>
      <w:r>
        <w:t xml:space="preserve"> </w:t>
      </w:r>
      <w:r>
        <w:t xml:space="preserve">(siddha) aspect, as against the</w:t>
      </w:r>
      <w:r>
        <w:t xml:space="preserve"> </w:t>
      </w:r>
      <w:r>
        <w:t xml:space="preserve">“</w:t>
      </w:r>
      <w:r>
        <w:t xml:space="preserve">to-be-accomplished</w:t>
      </w:r>
      <w:r>
        <w:t xml:space="preserve">”</w:t>
      </w:r>
      <w:r>
        <w:t xml:space="preserve"> </w:t>
      </w:r>
      <w:r>
        <w:t xml:space="preserve">(sādhya) aspect seen in</w:t>
      </w:r>
      <w:r>
        <w:t xml:space="preserve"> </w:t>
      </w:r>
      <w:r>
        <w:t xml:space="preserve">“</w:t>
      </w:r>
      <w:r>
        <w:t xml:space="preserve">pacati,</w:t>
      </w:r>
      <w:r>
        <w:t xml:space="preserve">”</w:t>
      </w:r>
      <w:r>
        <w:t xml:space="preserve"> </w:t>
      </w:r>
      <w:r>
        <w:t xml:space="preserve">is called</w:t>
      </w:r>
      <w:r>
        <w:t xml:space="preserve"> </w:t>
      </w:r>
      <w:r>
        <w:t xml:space="preserve">“</w:t>
      </w:r>
      <w:r>
        <w:t xml:space="preserve">bhāva</w:t>
      </w:r>
      <w:r>
        <w:t xml:space="preserve">”</w:t>
      </w:r>
      <w:r>
        <w:t xml:space="preserve"> </w:t>
      </w:r>
      <w:r>
        <w:t xml:space="preserve">—</w:t>
      </w:r>
      <w:r>
        <w:t xml:space="preserve"> </w:t>
      </w:r>
      <w:r>
        <w:t xml:space="preserve">“</w:t>
      </w:r>
      <w:r>
        <w:t xml:space="preserve">ghañ</w:t>
      </w:r>
      <w:r>
        <w:t xml:space="preserve">”</w:t>
      </w:r>
      <w:r>
        <w:t xml:space="preserve">;</w:t>
      </w:r>
      <w:r>
        <w:t xml:space="preserve"> </w:t>
      </w:r>
      <w:r>
        <w:rPr>
          <w:bCs/>
          <w:b/>
        </w:rPr>
        <w:t xml:space="preserve">णेरनिटि</w:t>
      </w:r>
      <w:r>
        <w:t xml:space="preserve"> </w:t>
      </w:r>
      <w:r>
        <w:t xml:space="preserve">(पा. सू. ६-४-५१) drops</w:t>
      </w:r>
      <w:r>
        <w:t xml:space="preserve"> </w:t>
      </w:r>
      <w:r>
        <w:t xml:space="preserve">“</w:t>
      </w:r>
      <w:r>
        <w:t xml:space="preserve">ṇi</w:t>
      </w:r>
      <w:r>
        <w:t xml:space="preserve">”</w:t>
      </w:r>
      <w:r>
        <w:t xml:space="preserve">:</w:t>
      </w:r>
      <w:r>
        <w:t xml:space="preserve"> </w:t>
      </w:r>
      <w:r>
        <w:t xml:space="preserve">“</w:t>
      </w:r>
      <w:r>
        <w:t xml:space="preserve">miśra</w:t>
      </w:r>
      <w:r>
        <w:t xml:space="preserve">”</w:t>
      </w:r>
      <w:r>
        <w:t xml:space="preserve">;</w:t>
      </w:r>
      <w:r>
        <w:t xml:space="preserve"> </w:t>
      </w:r>
      <w:r>
        <w:rPr>
          <w:iCs/>
          <w:i/>
        </w:rPr>
        <w:t xml:space="preserve">sam</w:t>
      </w:r>
      <w:r>
        <w:t xml:space="preserve"> </w:t>
      </w:r>
      <w:r>
        <w:t xml:space="preserve">+</w:t>
      </w:r>
      <w:r>
        <w:t xml:space="preserve"> </w:t>
      </w:r>
      <w:r>
        <w:rPr>
          <w:iCs/>
          <w:i/>
        </w:rPr>
        <w:t xml:space="preserve">miśra</w:t>
      </w:r>
      <w:r>
        <w:t xml:space="preserve"> </w:t>
      </w:r>
      <w:r>
        <w:t xml:space="preserve">as bahuvrīhi, with the Vedic</w:t>
      </w:r>
      <w:r>
        <w:t xml:space="preserve"> </w:t>
      </w:r>
      <w:r>
        <w:rPr>
          <w:iCs/>
          <w:i/>
        </w:rPr>
        <w:t xml:space="preserve">l</w:t>
      </w:r>
      <w:r>
        <w:t xml:space="preserve"> </w:t>
      </w:r>
      <w:r>
        <w:t xml:space="preserve">for</w:t>
      </w:r>
      <w:r>
        <w:t xml:space="preserve"> </w:t>
      </w:r>
      <w:r>
        <w:rPr>
          <w:iCs/>
          <w:i/>
        </w:rPr>
        <w:t xml:space="preserve">r</w:t>
      </w:r>
      <w:r>
        <w:t xml:space="preserve">; the first member’s accent retained by Pā. 6-2-1.</w:t>
      </w:r>
    </w:p>
    <w:p>
      <w:pPr>
        <w:numPr>
          <w:ilvl w:val="0"/>
          <w:numId w:val="1039"/>
        </w:numPr>
        <w:pStyle w:val="Compact"/>
      </w:pPr>
      <w:r>
        <w:rPr>
          <w:bCs/>
          <w:b/>
        </w:rPr>
        <w:t xml:space="preserve">वचोयुजा (</w:t>
      </w:r>
      <w:r>
        <w:rPr>
          <w:iCs/>
          <w:i/>
          <w:bCs/>
          <w:b/>
        </w:rPr>
        <w:t xml:space="preserve">vacoyujā</w:t>
      </w:r>
      <w:r>
        <w:rPr>
          <w:bCs/>
          <w:b/>
        </w:rPr>
        <w:t xml:space="preserve">)</w:t>
      </w:r>
      <w:r>
        <w:t xml:space="preserve"> </w:t>
      </w:r>
      <w:r>
        <w:t xml:space="preserve">—</w:t>
      </w:r>
      <w:r>
        <w:t xml:space="preserve"> </w:t>
      </w:r>
      <w:r>
        <w:t xml:space="preserve">“</w:t>
      </w:r>
      <w:r>
        <w:t xml:space="preserve">vacasā yujyete iti vacoyujau, tayoḥ</w:t>
      </w:r>
      <w:r>
        <w:t xml:space="preserve">”</w:t>
      </w:r>
      <w:r>
        <w:t xml:space="preserve"> </w:t>
      </w:r>
      <w:r>
        <w:t xml:space="preserve">(horses that join the chariot of themselves at Indra’s mere word); the genitive dual becomes</w:t>
      </w:r>
      <w:r>
        <w:t xml:space="preserve"> </w:t>
      </w:r>
      <w:r>
        <w:t xml:space="preserve">“</w:t>
      </w:r>
      <w:r>
        <w:t xml:space="preserve">ā</w:t>
      </w:r>
      <w:r>
        <w:t xml:space="preserve">”</w:t>
      </w:r>
      <w:r>
        <w:t xml:space="preserve"> </w:t>
      </w:r>
      <w:r>
        <w:t xml:space="preserve">by</w:t>
      </w:r>
      <w:r>
        <w:t xml:space="preserve"> </w:t>
      </w:r>
      <w:r>
        <w:rPr>
          <w:bCs/>
          <w:b/>
        </w:rPr>
        <w:t xml:space="preserve">सुपां सुलुक्…</w:t>
      </w:r>
      <w:r>
        <w:t xml:space="preserve"> </w:t>
      </w:r>
      <w:r>
        <w:t xml:space="preserve">(पा. सू. ७-१-३९);</w:t>
      </w:r>
      <w:r>
        <w:t xml:space="preserve"> </w:t>
      </w:r>
      <w:r>
        <w:t xml:space="preserve">“</w:t>
      </w:r>
      <w:r>
        <w:t xml:space="preserve">yuj</w:t>
      </w:r>
      <w:r>
        <w:t xml:space="preserve">”</w:t>
      </w:r>
      <w:r>
        <w:t xml:space="preserve"> </w:t>
      </w:r>
      <w:r>
        <w:t xml:space="preserve">is acute on its final by</w:t>
      </w:r>
      <w:r>
        <w:t xml:space="preserve"> </w:t>
      </w:r>
      <w:r>
        <w:rPr>
          <w:bCs/>
          <w:b/>
        </w:rPr>
        <w:t xml:space="preserve">धातोः</w:t>
      </w:r>
      <w:r>
        <w:t xml:space="preserve"> </w:t>
      </w:r>
      <w:r>
        <w:t xml:space="preserve">(पा. सू. ६-१-१६२); after compounding, the kṛt-final second member keeps that accent by</w:t>
      </w:r>
      <w:r>
        <w:t xml:space="preserve"> </w:t>
      </w:r>
      <w:r>
        <w:rPr>
          <w:bCs/>
          <w:b/>
        </w:rPr>
        <w:t xml:space="preserve">गतिकारकोपपदात्कृत्</w:t>
      </w:r>
      <w:r>
        <w:t xml:space="preserve"> </w:t>
      </w:r>
      <w:r>
        <w:t xml:space="preserve">(पा. सू. ६-२-१३९).</w:t>
      </w:r>
    </w:p>
    <w:p>
      <w:pPr>
        <w:numPr>
          <w:ilvl w:val="0"/>
          <w:numId w:val="1039"/>
        </w:numPr>
        <w:pStyle w:val="Compact"/>
      </w:pPr>
      <w:r>
        <w:rPr>
          <w:bCs/>
          <w:b/>
        </w:rPr>
        <w:t xml:space="preserve">वज्री (</w:t>
      </w:r>
      <w:r>
        <w:rPr>
          <w:iCs/>
          <w:i/>
          <w:bCs/>
          <w:b/>
        </w:rPr>
        <w:t xml:space="preserve">vajrī</w:t>
      </w:r>
      <w:r>
        <w:rPr>
          <w:bCs/>
          <w:b/>
        </w:rPr>
        <w:t xml:space="preserve">)</w:t>
      </w:r>
      <w:r>
        <w:t xml:space="preserve"> </w:t>
      </w:r>
      <w:r>
        <w:t xml:space="preserve">—</w:t>
      </w:r>
      <w:r>
        <w:t xml:space="preserve"> </w:t>
      </w:r>
      <w:r>
        <w:t xml:space="preserve">“</w:t>
      </w:r>
      <w:r>
        <w:t xml:space="preserve">vajram asyāsti</w:t>
      </w:r>
      <w:r>
        <w:t xml:space="preserve">”</w:t>
      </w:r>
      <w:r>
        <w:t xml:space="preserve">:</w:t>
      </w:r>
      <w:r>
        <w:t xml:space="preserve"> </w:t>
      </w:r>
      <w:r>
        <w:rPr>
          <w:bCs/>
          <w:b/>
        </w:rPr>
        <w:t xml:space="preserve">अत इनिठनौ</w:t>
      </w:r>
      <w:r>
        <w:t xml:space="preserve"> </w:t>
      </w:r>
      <w:r>
        <w:t xml:space="preserve">(पा. सू. ५-२-११५)</w:t>
      </w:r>
      <w:r>
        <w:t xml:space="preserve"> </w:t>
      </w:r>
      <w:r>
        <w:t xml:space="preserve">“</w:t>
      </w:r>
      <w:r>
        <w:t xml:space="preserve">ini</w:t>
      </w:r>
      <w:r>
        <w:t xml:space="preserve">”</w:t>
      </w:r>
      <w:r>
        <w:t xml:space="preserve">;</w:t>
      </w:r>
      <w:r>
        <w:t xml:space="preserve"> </w:t>
      </w:r>
      <w:r>
        <w:rPr>
          <w:bCs/>
          <w:b/>
        </w:rPr>
        <w:t xml:space="preserve">यस्येति च</w:t>
      </w:r>
      <w:r>
        <w:t xml:space="preserve"> </w:t>
      </w:r>
      <w:r>
        <w:t xml:space="preserve">(पा. सू. ६-४-१४८) drops the</w:t>
      </w:r>
      <w:r>
        <w:t xml:space="preserve"> </w:t>
      </w:r>
      <w:r>
        <w:t xml:space="preserve">“</w:t>
      </w:r>
      <w:r>
        <w:t xml:space="preserve">a</w:t>
      </w:r>
      <w:r>
        <w:t xml:space="preserve">”</w:t>
      </w:r>
      <w:r>
        <w:t xml:space="preserve">; in the nominative singular</w:t>
      </w:r>
      <w:r>
        <w:t xml:space="preserve"> </w:t>
      </w:r>
      <w:r>
        <w:rPr>
          <w:bCs/>
          <w:b/>
        </w:rPr>
        <w:t xml:space="preserve">सर्वनामस्थाने चासम्बुद्धौ</w:t>
      </w:r>
      <w:r>
        <w:t xml:space="preserve"> </w:t>
      </w:r>
      <w:r>
        <w:t xml:space="preserve">(पा. सू. ६-४-८) lengthens the penultimate;</w:t>
      </w:r>
      <w:r>
        <w:t xml:space="preserve"> </w:t>
      </w:r>
      <w:r>
        <w:rPr>
          <w:bCs/>
          <w:b/>
        </w:rPr>
        <w:t xml:space="preserve">हल्ङ्याब्भ्यो दीर्घात्सुतिस्यपृक्तं हल्</w:t>
      </w:r>
      <w:r>
        <w:t xml:space="preserve"> </w:t>
      </w:r>
      <w:r>
        <w:t xml:space="preserve">(पा. सू. ६-१-६८) drops the</w:t>
      </w:r>
      <w:r>
        <w:t xml:space="preserve"> </w:t>
      </w:r>
      <w:r>
        <w:t xml:space="preserve">“</w:t>
      </w:r>
      <w:r>
        <w:t xml:space="preserve">s,</w:t>
      </w:r>
      <w:r>
        <w:t xml:space="preserve">”</w:t>
      </w:r>
      <w:r>
        <w:t xml:space="preserve"> </w:t>
      </w:r>
      <w:r>
        <w:t xml:space="preserve">which is</w:t>
      </w:r>
      <w:r>
        <w:t xml:space="preserve"> </w:t>
      </w:r>
      <w:r>
        <w:t xml:space="preserve">“</w:t>
      </w:r>
      <w:r>
        <w:t xml:space="preserve">apṛkta</w:t>
      </w:r>
      <w:r>
        <w:t xml:space="preserve">”</w:t>
      </w:r>
      <w:r>
        <w:t xml:space="preserve"> </w:t>
      </w:r>
      <w:r>
        <w:t xml:space="preserve">by</w:t>
      </w:r>
      <w:r>
        <w:t xml:space="preserve"> </w:t>
      </w:r>
      <w:r>
        <w:rPr>
          <w:bCs/>
          <w:b/>
        </w:rPr>
        <w:t xml:space="preserve">अपृक्त एकाल्प्रत्ययः</w:t>
      </w:r>
      <w:r>
        <w:t xml:space="preserve"> </w:t>
      </w:r>
      <w:r>
        <w:t xml:space="preserve">(पा. सू. १-२-४१);</w:t>
      </w:r>
      <w:r>
        <w:t xml:space="preserve"> </w:t>
      </w:r>
      <w:r>
        <w:rPr>
          <w:bCs/>
          <w:b/>
        </w:rPr>
        <w:t xml:space="preserve">नलोपः प्रातिपदिकान्तस्य</w:t>
      </w:r>
      <w:r>
        <w:t xml:space="preserve"> </w:t>
      </w:r>
      <w:r>
        <w:t xml:space="preserve">(पा. सू. ८-२-७) drops the</w:t>
      </w:r>
      <w:r>
        <w:t xml:space="preserve"> </w:t>
      </w:r>
      <w:r>
        <w:t xml:space="preserve">“</w:t>
      </w:r>
      <w:r>
        <w:t xml:space="preserve">n</w:t>
      </w:r>
      <w:r>
        <w:t xml:space="preserve">”</w:t>
      </w:r>
      <w:r>
        <w:t xml:space="preserve">:</w:t>
      </w:r>
      <w:r>
        <w:t xml:space="preserve"> </w:t>
      </w:r>
      <w:r>
        <w:t xml:space="preserve">“</w:t>
      </w:r>
      <w:r>
        <w:t xml:space="preserve">vajrī,</w:t>
      </w:r>
      <w:r>
        <w:t xml:space="preserve">”</w:t>
      </w:r>
      <w:r>
        <w:t xml:space="preserve"> </w:t>
      </w:r>
      <w:r>
        <w:t xml:space="preserve">with the affix accent.</w:t>
      </w:r>
    </w:p>
    <w:p>
      <w:pPr>
        <w:numPr>
          <w:ilvl w:val="0"/>
          <w:numId w:val="1039"/>
        </w:numPr>
        <w:pStyle w:val="Compact"/>
      </w:pPr>
      <w:r>
        <w:rPr>
          <w:bCs/>
          <w:b/>
        </w:rPr>
        <w:t xml:space="preserve">हिरण्ययः (</w:t>
      </w:r>
      <w:r>
        <w:rPr>
          <w:iCs/>
          <w:i/>
          <w:bCs/>
          <w:b/>
        </w:rPr>
        <w:t xml:space="preserve">hiraṇyayaḥ</w:t>
      </w:r>
      <w:r>
        <w:rPr>
          <w:bCs/>
          <w:b/>
        </w:rPr>
        <w:t xml:space="preserve">)</w:t>
      </w:r>
      <w:r>
        <w:t xml:space="preserve"> </w:t>
      </w:r>
      <w:r>
        <w:t xml:space="preserve">—</w:t>
      </w:r>
      <w:r>
        <w:t xml:space="preserve"> </w:t>
      </w:r>
      <w:r>
        <w:t xml:space="preserve">“</w:t>
      </w:r>
      <w:r>
        <w:t xml:space="preserve">harya gati-kāntyoḥ</w:t>
      </w:r>
      <w:r>
        <w:t xml:space="preserve">”</w:t>
      </w:r>
      <w:r>
        <w:t xml:space="preserve">:</w:t>
      </w:r>
      <w:r>
        <w:t xml:space="preserve"> </w:t>
      </w:r>
      <w:r>
        <w:rPr>
          <w:bCs/>
          <w:b/>
        </w:rPr>
        <w:t xml:space="preserve">हर्यतेः कन्यन् हिरच्</w:t>
      </w:r>
      <w:r>
        <w:t xml:space="preserve"> </w:t>
      </w:r>
      <w:r>
        <w:t xml:space="preserve">(उ. सू. ५-[?], the figures unclear)</w:t>
      </w:r>
      <w:r>
        <w:t xml:space="preserve"> </w:t>
      </w:r>
      <w:r>
        <w:t xml:space="preserve">“</w:t>
      </w:r>
      <w:r>
        <w:t xml:space="preserve">kanyan,</w:t>
      </w:r>
      <w:r>
        <w:t xml:space="preserve">”</w:t>
      </w:r>
      <w:r>
        <w:t xml:space="preserve"> </w:t>
      </w:r>
      <w:r>
        <w:t xml:space="preserve">with</w:t>
      </w:r>
      <w:r>
        <w:t xml:space="preserve"> </w:t>
      </w:r>
      <w:r>
        <w:t xml:space="preserve">“</w:t>
      </w:r>
      <w:r>
        <w:t xml:space="preserve">hir</w:t>
      </w:r>
      <w:r>
        <w:t xml:space="preserve">”</w:t>
      </w:r>
      <w:r>
        <w:t xml:space="preserve"> </w:t>
      </w:r>
      <w:r>
        <w:t xml:space="preserve">for</w:t>
      </w:r>
      <w:r>
        <w:t xml:space="preserve"> </w:t>
      </w:r>
      <w:r>
        <w:t xml:space="preserve">“</w:t>
      </w:r>
      <w:r>
        <w:t xml:space="preserve">harya</w:t>
      </w:r>
      <w:r>
        <w:t xml:space="preserve">”</w:t>
      </w:r>
      <w:r>
        <w:t xml:space="preserve">;</w:t>
      </w:r>
      <w:r>
        <w:t xml:space="preserve"> </w:t>
      </w:r>
      <w:r>
        <w:t xml:space="preserve">“</w:t>
      </w:r>
      <w:r>
        <w:t xml:space="preserve">n</w:t>
      </w:r>
      <w:r>
        <w:t xml:space="preserve">”</w:t>
      </w:r>
      <w:r>
        <w:t xml:space="preserve">-marked, so first-syllable acute, the two final</w:t>
      </w:r>
      <w:r>
        <w:t xml:space="preserve"> </w:t>
      </w:r>
      <w:r>
        <w:t xml:space="preserve">“</w:t>
      </w:r>
      <w:r>
        <w:t xml:space="preserve">a</w:t>
      </w:r>
      <w:r>
        <w:t xml:space="preserve">”</w:t>
      </w:r>
      <w:r>
        <w:t xml:space="preserve">s unaccented by śeṣanighāta; in</w:t>
      </w:r>
      <w:r>
        <w:t xml:space="preserve"> </w:t>
      </w:r>
      <w:r>
        <w:t xml:space="preserve">“</w:t>
      </w:r>
      <w:r>
        <w:t xml:space="preserve">hiraṇyapāṇim ūtaye</w:t>
      </w:r>
      <w:r>
        <w:t xml:space="preserve">”</w:t>
      </w:r>
      <w:r>
        <w:t xml:space="preserve"> </w:t>
      </w:r>
      <w:r>
        <w:t xml:space="preserve">(ऋ. सं. १-२२-५)</w:t>
      </w:r>
      <w:r>
        <w:t xml:space="preserve"> </w:t>
      </w:r>
      <w:r>
        <w:t xml:space="preserve">“</w:t>
      </w:r>
      <w:r>
        <w:t xml:space="preserve">hiraṇya</w:t>
      </w:r>
      <w:r>
        <w:t xml:space="preserve">”</w:t>
      </w:r>
      <w:r>
        <w:t xml:space="preserve"> </w:t>
      </w:r>
      <w:r>
        <w:t xml:space="preserve">is shown first-syllable acute by</w:t>
      </w:r>
      <w:r>
        <w:t xml:space="preserve"> </w:t>
      </w:r>
      <w:r>
        <w:rPr>
          <w:bCs/>
          <w:b/>
        </w:rPr>
        <w:t xml:space="preserve">नब्विषयस्यानिसन्तस्य</w:t>
      </w:r>
      <w:r>
        <w:t xml:space="preserve"> </w:t>
      </w:r>
      <w:r>
        <w:t xml:space="preserve">(फि. सू.). In the sense</w:t>
      </w:r>
      <w:r>
        <w:t xml:space="preserve"> </w:t>
      </w:r>
      <w:r>
        <w:t xml:space="preserve">“</w:t>
      </w:r>
      <w:r>
        <w:t xml:space="preserve">hiraṇyasya vikāraḥ,</w:t>
      </w:r>
      <w:r>
        <w:t xml:space="preserve">”</w:t>
      </w:r>
      <w:r>
        <w:t xml:space="preserve"> </w:t>
      </w:r>
      <w:r>
        <w:rPr>
          <w:bCs/>
          <w:b/>
        </w:rPr>
        <w:t xml:space="preserve">मयड्वैतयोर्भाषायामभक्ष्याच्छादनयोः</w:t>
      </w:r>
      <w:r>
        <w:t xml:space="preserve"> </w:t>
      </w:r>
      <w:r>
        <w:t xml:space="preserve">(पा. सू. ४-३-१४३)</w:t>
      </w:r>
      <w:r>
        <w:t xml:space="preserve"> </w:t>
      </w:r>
      <w:r>
        <w:t xml:space="preserve">“</w:t>
      </w:r>
      <w:r>
        <w:t xml:space="preserve">mayaṭ</w:t>
      </w:r>
      <w:r>
        <w:t xml:space="preserve">”</w:t>
      </w:r>
      <w:r>
        <w:t xml:space="preserve">:</w:t>
      </w:r>
      <w:r>
        <w:t xml:space="preserve"> </w:t>
      </w:r>
      <w:r>
        <w:t xml:space="preserve">“</w:t>
      </w:r>
      <w:r>
        <w:t xml:space="preserve">hiraṇmaya</w:t>
      </w:r>
      <w:r>
        <w:t xml:space="preserve">”</w:t>
      </w:r>
      <w:r>
        <w:t xml:space="preserve">;</w:t>
      </w:r>
      <w:r>
        <w:t xml:space="preserve"> </w:t>
      </w:r>
      <w:r>
        <w:rPr>
          <w:bCs/>
          <w:b/>
        </w:rPr>
        <w:t xml:space="preserve">ऋत्व्यवास्त्व्यवास्त्वमाध्वीहिरण्ययानि छन्दसि</w:t>
      </w:r>
      <w:r>
        <w:t xml:space="preserve"> </w:t>
      </w:r>
      <w:r>
        <w:t xml:space="preserve">(पा. सू. ६-४-१७५) …</w:t>
      </w:r>
      <w:r>
        <w:t xml:space="preserve"> </w:t>
      </w:r>
      <w:r>
        <w:rPr>
          <w:iCs/>
          <w:i/>
        </w:rPr>
        <w:t xml:space="preserve">(continues on p. 268)</w:t>
      </w:r>
    </w:p>
    <w:bookmarkEnd w:id="301"/>
    <w:bookmarkStart w:id="302" w:name="page-267-268-grammar-of-rik-2-continued"/>
    <w:p>
      <w:pPr>
        <w:pStyle w:val="Heading3"/>
      </w:pPr>
      <w:r>
        <w:t xml:space="preserve">Page 267, 268 (grammar of Rik 2, continued)</w:t>
      </w:r>
    </w:p>
    <w:p>
      <w:pPr>
        <w:pStyle w:val="FirstParagraph"/>
      </w:pPr>
      <w:r>
        <w:rPr>
          <w:iCs/>
          <w:i/>
        </w:rPr>
        <w:t xml:space="preserve">(Page 267 header:</w:t>
      </w:r>
      <w:r>
        <w:rPr>
          <w:iCs/>
          <w:i/>
        </w:rPr>
        <w:t xml:space="preserve"> </w:t>
      </w:r>
      <w:r>
        <w:rPr>
          <w:iCs/>
          <w:i/>
        </w:rPr>
        <w:t xml:space="preserve">“</w:t>
      </w:r>
      <w:r>
        <w:rPr>
          <w:iCs/>
          <w:i/>
        </w:rPr>
        <w:t xml:space="preserve">A. 1, A. 1, Va. 13.</w:t>
      </w:r>
      <w:r>
        <w:rPr>
          <w:iCs/>
          <w:i/>
        </w:rPr>
        <w:t xml:space="preserve">”</w:t>
      </w:r>
      <w:r>
        <w:rPr>
          <w:iCs/>
          <w:i/>
        </w:rPr>
        <w:t xml:space="preserve"> </w:t>
      </w:r>
      <w:r>
        <w:rPr>
          <w:iCs/>
          <w:i/>
        </w:rPr>
        <w:t xml:space="preserve">The Rik 2 grammar of</w:t>
      </w:r>
      <w:r>
        <w:rPr>
          <w:iCs/>
          <w:i/>
        </w:rPr>
        <w:t xml:space="preserve"> </w:t>
      </w:r>
      <w:r>
        <w:rPr>
          <w:iCs/>
          <w:i/>
        </w:rPr>
        <w:t xml:space="preserve">“</w:t>
      </w:r>
      <w:r>
        <w:rPr>
          <w:iCs/>
          <w:i/>
        </w:rPr>
        <w:t xml:space="preserve">hiraṇyayaḥ</w:t>
      </w:r>
      <w:r>
        <w:rPr>
          <w:iCs/>
          <w:i/>
        </w:rPr>
        <w:t xml:space="preserve">”</w:t>
      </w:r>
      <w:r>
        <w:rPr>
          <w:iCs/>
          <w:i/>
        </w:rPr>
        <w:t xml:space="preserve"> </w:t>
      </w:r>
      <w:r>
        <w:rPr>
          <w:iCs/>
          <w:i/>
        </w:rPr>
        <w:t xml:space="preserve">is given above under p. 266; p. 268 closes it.)</w:t>
      </w:r>
      <w:r>
        <w:t xml:space="preserve"> </w:t>
      </w:r>
      <w:r>
        <w:t xml:space="preserve">“</w:t>
      </w:r>
      <w:r>
        <w:t xml:space="preserve">Hiraṇyaya</w:t>
      </w:r>
      <w:r>
        <w:t xml:space="preserve">”</w:t>
      </w:r>
      <w:r>
        <w:t xml:space="preserve"> </w:t>
      </w:r>
      <w:r>
        <w:t xml:space="preserve">is formed by nipātana (6-4-175:</w:t>
      </w:r>
      <w:r>
        <w:t xml:space="preserve"> </w:t>
      </w:r>
      <w:r>
        <w:t xml:space="preserve">“</w:t>
      </w:r>
      <w:r>
        <w:t xml:space="preserve">y</w:t>
      </w:r>
      <w:r>
        <w:t xml:space="preserve">”</w:t>
      </w:r>
      <w:r>
        <w:t xml:space="preserve"> </w:t>
      </w:r>
      <w:r>
        <w:t xml:space="preserve">for</w:t>
      </w:r>
      <w:r>
        <w:t xml:space="preserve"> </w:t>
      </w:r>
      <w:r>
        <w:t xml:space="preserve">“</w:t>
      </w:r>
      <w:r>
        <w:t xml:space="preserve">ṛtu</w:t>
      </w:r>
      <w:r>
        <w:t xml:space="preserve">”</w:t>
      </w:r>
      <w:r>
        <w:t xml:space="preserve"> </w:t>
      </w:r>
      <w:r>
        <w:t xml:space="preserve">and</w:t>
      </w:r>
      <w:r>
        <w:t xml:space="preserve"> </w:t>
      </w:r>
      <w:r>
        <w:t xml:space="preserve">“</w:t>
      </w:r>
      <w:r>
        <w:t xml:space="preserve">vāstu</w:t>
      </w:r>
      <w:r>
        <w:t xml:space="preserve">”</w:t>
      </w:r>
      <w:r>
        <w:t xml:space="preserve"> </w:t>
      </w:r>
      <w:r>
        <w:t xml:space="preserve">before</w:t>
      </w:r>
      <w:r>
        <w:t xml:space="preserve"> </w:t>
      </w:r>
      <w:r>
        <w:t xml:space="preserve">“</w:t>
      </w:r>
      <w:r>
        <w:t xml:space="preserve">yat,</w:t>
      </w:r>
      <w:r>
        <w:t xml:space="preserve">”</w:t>
      </w:r>
      <w:r>
        <w:t xml:space="preserve"> </w:t>
      </w:r>
      <w:r>
        <w:t xml:space="preserve">and before</w:t>
      </w:r>
      <w:r>
        <w:t xml:space="preserve"> </w:t>
      </w:r>
      <w:r>
        <w:t xml:space="preserve">“</w:t>
      </w:r>
      <w:r>
        <w:t xml:space="preserve">aṇ</w:t>
      </w:r>
      <w:r>
        <w:t xml:space="preserve">”</w:t>
      </w:r>
      <w:r>
        <w:t xml:space="preserve"> </w:t>
      </w:r>
      <w:r>
        <w:t xml:space="preserve">for</w:t>
      </w:r>
      <w:r>
        <w:t xml:space="preserve"> </w:t>
      </w:r>
      <w:r>
        <w:t xml:space="preserve">“</w:t>
      </w:r>
      <w:r>
        <w:t xml:space="preserve">madhu</w:t>
      </w:r>
      <w:r>
        <w:t xml:space="preserve">”</w:t>
      </w:r>
      <w:r>
        <w:t xml:space="preserve"> </w:t>
      </w:r>
      <w:r>
        <w:t xml:space="preserve">in the feminine, and the loss of the</w:t>
      </w:r>
      <w:r>
        <w:t xml:space="preserve"> </w:t>
      </w:r>
      <w:r>
        <w:t xml:space="preserve">“</w:t>
      </w:r>
      <w:r>
        <w:t xml:space="preserve">m</w:t>
      </w:r>
      <w:r>
        <w:t xml:space="preserve">”</w:t>
      </w:r>
      <w:r>
        <w:t xml:space="preserve"> </w:t>
      </w:r>
      <w:r>
        <w:t xml:space="preserve">of</w:t>
      </w:r>
      <w:r>
        <w:t xml:space="preserve"> </w:t>
      </w:r>
      <w:r>
        <w:t xml:space="preserve">“</w:t>
      </w:r>
      <w:r>
        <w:t xml:space="preserve">mayaṭ</w:t>
      </w:r>
      <w:r>
        <w:t xml:space="preserve">”</w:t>
      </w:r>
      <w:r>
        <w:t xml:space="preserve"> </w:t>
      </w:r>
      <w:r>
        <w:t xml:space="preserve">after</w:t>
      </w:r>
      <w:r>
        <w:t xml:space="preserve"> </w:t>
      </w:r>
      <w:r>
        <w:t xml:space="preserve">“</w:t>
      </w:r>
      <w:r>
        <w:t xml:space="preserve">hiraṇya</w:t>
      </w:r>
      <w:r>
        <w:t xml:space="preserve">”</w:t>
      </w:r>
      <w:r>
        <w:t xml:space="preserve">). If the loss of</w:t>
      </w:r>
      <w:r>
        <w:t xml:space="preserve"> </w:t>
      </w:r>
      <w:r>
        <w:t xml:space="preserve">“</w:t>
      </w:r>
      <w:r>
        <w:t xml:space="preserve">m</w:t>
      </w:r>
      <w:r>
        <w:t xml:space="preserve">”</w:t>
      </w:r>
      <w:r>
        <w:t xml:space="preserve"> </w:t>
      </w:r>
      <w:r>
        <w:t xml:space="preserve">is so explained that the affix accent must hold,</w:t>
      </w:r>
      <w:r>
        <w:t xml:space="preserve"> </w:t>
      </w:r>
      <w:r>
        <w:t xml:space="preserve">“</w:t>
      </w:r>
      <w:r>
        <w:t xml:space="preserve">hiraṇya + aya</w:t>
      </w:r>
      <w:r>
        <w:t xml:space="preserve">”</w:t>
      </w:r>
      <w:r>
        <w:t xml:space="preserve"> </w:t>
      </w:r>
      <w:r>
        <w:t xml:space="preserve">gives one substitute by</w:t>
      </w:r>
      <w:r>
        <w:t xml:space="preserve"> </w:t>
      </w:r>
      <w:r>
        <w:rPr>
          <w:bCs/>
          <w:b/>
        </w:rPr>
        <w:t xml:space="preserve">अतो गुणे</w:t>
      </w:r>
      <w:r>
        <w:t xml:space="preserve"> </w:t>
      </w:r>
      <w:r>
        <w:t xml:space="preserve">(पा. सू. ६-१-९७); the</w:t>
      </w:r>
      <w:r>
        <w:t xml:space="preserve"> </w:t>
      </w:r>
      <w:r>
        <w:t xml:space="preserve">“</w:t>
      </w:r>
      <w:r>
        <w:t xml:space="preserve">a</w:t>
      </w:r>
      <w:r>
        <w:t xml:space="preserve">”</w:t>
      </w:r>
      <w:r>
        <w:t xml:space="preserve"> </w:t>
      </w:r>
      <w:r>
        <w:t xml:space="preserve">of</w:t>
      </w:r>
      <w:r>
        <w:t xml:space="preserve"> </w:t>
      </w:r>
      <w:r>
        <w:t xml:space="preserve">“</w:t>
      </w:r>
      <w:r>
        <w:t xml:space="preserve">aya</w:t>
      </w:r>
      <w:r>
        <w:t xml:space="preserve">”</w:t>
      </w:r>
      <w:r>
        <w:t xml:space="preserve"> </w:t>
      </w:r>
      <w:r>
        <w:t xml:space="preserve">is acute by the affix accent, the final</w:t>
      </w:r>
      <w:r>
        <w:t xml:space="preserve"> </w:t>
      </w:r>
      <w:r>
        <w:t xml:space="preserve">“</w:t>
      </w:r>
      <w:r>
        <w:t xml:space="preserve">a</w:t>
      </w:r>
      <w:r>
        <w:t xml:space="preserve">”</w:t>
      </w:r>
      <w:r>
        <w:t xml:space="preserve"> </w:t>
      </w:r>
      <w:r>
        <w:t xml:space="preserve">of</w:t>
      </w:r>
      <w:r>
        <w:t xml:space="preserve"> </w:t>
      </w:r>
      <w:r>
        <w:t xml:space="preserve">“</w:t>
      </w:r>
      <w:r>
        <w:t xml:space="preserve">hiraṇya</w:t>
      </w:r>
      <w:r>
        <w:t xml:space="preserve">”</w:t>
      </w:r>
      <w:r>
        <w:t xml:space="preserve"> </w:t>
      </w:r>
      <w:r>
        <w:t xml:space="preserve">unaccented by śeṣanighāta, and the single substitute acute by</w:t>
      </w:r>
      <w:r>
        <w:t xml:space="preserve"> </w:t>
      </w:r>
      <w:r>
        <w:rPr>
          <w:bCs/>
          <w:b/>
        </w:rPr>
        <w:t xml:space="preserve">एकादेश उदात्तेनोदात्तः</w:t>
      </w:r>
      <w:r>
        <w:t xml:space="preserve"> </w:t>
      </w:r>
      <w:r>
        <w:t xml:space="preserve">(पा. सू. ८-२-५); so</w:t>
      </w:r>
      <w:r>
        <w:t xml:space="preserve"> </w:t>
      </w:r>
      <w:r>
        <w:t xml:space="preserve">“</w:t>
      </w:r>
      <w:r>
        <w:t xml:space="preserve">hi</w:t>
      </w:r>
      <w:r>
        <w:t xml:space="preserve">”</w:t>
      </w:r>
      <w:r>
        <w:t xml:space="preserve"> </w:t>
      </w:r>
      <w:r>
        <w:t xml:space="preserve">and</w:t>
      </w:r>
      <w:r>
        <w:t xml:space="preserve"> </w:t>
      </w:r>
      <w:r>
        <w:t xml:space="preserve">“</w:t>
      </w:r>
      <w:r>
        <w:t xml:space="preserve">ra</w:t>
      </w:r>
      <w:r>
        <w:t xml:space="preserve">”</w:t>
      </w:r>
      <w:r>
        <w:t xml:space="preserve"> </w:t>
      </w:r>
      <w:r>
        <w:t xml:space="preserve">are unaccented,</w:t>
      </w:r>
      <w:r>
        <w:t xml:space="preserve"> </w:t>
      </w:r>
      <w:r>
        <w:t xml:space="preserve">“</w:t>
      </w:r>
      <w:r>
        <w:t xml:space="preserve">ṇya</w:t>
      </w:r>
      <w:r>
        <w:t xml:space="preserve">”</w:t>
      </w:r>
      <w:r>
        <w:t xml:space="preserve"> </w:t>
      </w:r>
      <w:r>
        <w:t xml:space="preserve">acute, and</w:t>
      </w:r>
      <w:r>
        <w:t xml:space="preserve"> </w:t>
      </w:r>
      <w:r>
        <w:t xml:space="preserve">“</w:t>
      </w:r>
      <w:r>
        <w:t xml:space="preserve">yaḥ</w:t>
      </w:r>
      <w:r>
        <w:t xml:space="preserve">”</w:t>
      </w:r>
      <w:r>
        <w:t xml:space="preserve"> </w:t>
      </w:r>
      <w:r>
        <w:t xml:space="preserve">svarita by</w:t>
      </w:r>
      <w:r>
        <w:t xml:space="preserve"> </w:t>
      </w:r>
      <w:r>
        <w:rPr>
          <w:bCs/>
          <w:b/>
        </w:rPr>
        <w:t xml:space="preserve">उदात्तादनुदात्तस्य स्वरितः</w:t>
      </w:r>
      <w:r>
        <w:t xml:space="preserve"> </w:t>
      </w:r>
      <w:r>
        <w:t xml:space="preserve">(पा. सू. ८-४-६६) — so Mādhavācārya. Some hold that, with the loss of</w:t>
      </w:r>
      <w:r>
        <w:t xml:space="preserve"> </w:t>
      </w:r>
      <w:r>
        <w:t xml:space="preserve">“</w:t>
      </w:r>
      <w:r>
        <w:t xml:space="preserve">m,</w:t>
      </w:r>
      <w:r>
        <w:t xml:space="preserve">”</w:t>
      </w:r>
      <w:r>
        <w:t xml:space="preserve"> </w:t>
      </w:r>
      <w:r>
        <w:rPr>
          <w:bCs/>
          <w:b/>
        </w:rPr>
        <w:t xml:space="preserve">यस्येति च</w:t>
      </w:r>
      <w:r>
        <w:t xml:space="preserve"> </w:t>
      </w:r>
      <w:r>
        <w:t xml:space="preserve">(पा. सू. ६-४-१४८) drops the</w:t>
      </w:r>
      <w:r>
        <w:t xml:space="preserve"> </w:t>
      </w:r>
      <w:r>
        <w:t xml:space="preserve">“</w:t>
      </w:r>
      <w:r>
        <w:t xml:space="preserve">a</w:t>
      </w:r>
      <w:r>
        <w:t xml:space="preserve">”</w:t>
      </w:r>
      <w:r>
        <w:t xml:space="preserve"> </w:t>
      </w:r>
      <w:r>
        <w:t xml:space="preserve">of</w:t>
      </w:r>
      <w:r>
        <w:t xml:space="preserve"> </w:t>
      </w:r>
      <w:r>
        <w:t xml:space="preserve">“</w:t>
      </w:r>
      <w:r>
        <w:t xml:space="preserve">hiraṇya,</w:t>
      </w:r>
      <w:r>
        <w:t xml:space="preserve">”</w:t>
      </w:r>
      <w:r>
        <w:t xml:space="preserve"> </w:t>
      </w:r>
      <w:r>
        <w:t xml:space="preserve">so that the affix’s</w:t>
      </w:r>
      <w:r>
        <w:t xml:space="preserve"> </w:t>
      </w:r>
      <w:r>
        <w:t xml:space="preserve">“</w:t>
      </w:r>
      <w:r>
        <w:t xml:space="preserve">a</w:t>
      </w:r>
      <w:r>
        <w:t xml:space="preserve">”</w:t>
      </w:r>
      <w:r>
        <w:t xml:space="preserve"> </w:t>
      </w:r>
      <w:r>
        <w:t xml:space="preserve">is heard and the intended accent results. But with the loss of</w:t>
      </w:r>
      <w:r>
        <w:t xml:space="preserve"> </w:t>
      </w:r>
      <w:r>
        <w:t xml:space="preserve">“</w:t>
      </w:r>
      <w:r>
        <w:t xml:space="preserve">m</w:t>
      </w:r>
      <w:r>
        <w:t xml:space="preserve">”</w:t>
      </w:r>
      <w:r>
        <w:t xml:space="preserve"> </w:t>
      </w:r>
      <w:r>
        <w:t xml:space="preserve">treated as not effected by</w:t>
      </w:r>
      <w:r>
        <w:t xml:space="preserve"> </w:t>
      </w:r>
      <w:r>
        <w:rPr>
          <w:bCs/>
          <w:b/>
        </w:rPr>
        <w:t xml:space="preserve">असिद्धवदत्राभात्</w:t>
      </w:r>
      <w:r>
        <w:t xml:space="preserve"> </w:t>
      </w:r>
      <w:r>
        <w:t xml:space="preserve">(पा. सू. ६-४-२२), there is no</w:t>
      </w:r>
      <w:r>
        <w:t xml:space="preserve"> </w:t>
      </w:r>
      <w:r>
        <w:t xml:space="preserve">“</w:t>
      </w:r>
      <w:r>
        <w:t xml:space="preserve">bha</w:t>
      </w:r>
      <w:r>
        <w:t xml:space="preserve">”</w:t>
      </w:r>
      <w:r>
        <w:t xml:space="preserve"> </w:t>
      </w:r>
      <w:r>
        <w:t xml:space="preserve">designation (no</w:t>
      </w:r>
      <w:r>
        <w:t xml:space="preserve"> </w:t>
      </w:r>
      <w:r>
        <w:t xml:space="preserve">“</w:t>
      </w:r>
      <w:r>
        <w:t xml:space="preserve">y</w:t>
      </w:r>
      <w:r>
        <w:t xml:space="preserve">”</w:t>
      </w:r>
      <w:r>
        <w:t xml:space="preserve">-initial affix follows), so</w:t>
      </w:r>
      <w:r>
        <w:t xml:space="preserve"> </w:t>
      </w:r>
      <w:r>
        <w:t xml:space="preserve">“</w:t>
      </w:r>
      <w:r>
        <w:t xml:space="preserve">yasyeti ca</w:t>
      </w:r>
      <w:r>
        <w:t xml:space="preserve">”</w:t>
      </w:r>
      <w:r>
        <w:t xml:space="preserve"> </w:t>
      </w:r>
      <w:r>
        <w:t xml:space="preserve">cannot apply; and</w:t>
      </w:r>
      <w:r>
        <w:t xml:space="preserve"> </w:t>
      </w:r>
      <w:r>
        <w:rPr>
          <w:bCs/>
          <w:b/>
        </w:rPr>
        <w:t xml:space="preserve">अकृत्सार्वधातुकयोर्दीर्घः</w:t>
      </w:r>
      <w:r>
        <w:t xml:space="preserve"> </w:t>
      </w:r>
      <w:r>
        <w:t xml:space="preserve">(पा. सू. ७-४-२५) would lengthen, not being in the</w:t>
      </w:r>
      <w:r>
        <w:t xml:space="preserve"> </w:t>
      </w:r>
      <w:r>
        <w:t xml:space="preserve">“</w:t>
      </w:r>
      <w:r>
        <w:t xml:space="preserve">bha</w:t>
      </w:r>
      <w:r>
        <w:t xml:space="preserve">”</w:t>
      </w:r>
      <w:r>
        <w:t xml:space="preserve"> </w:t>
      </w:r>
      <w:r>
        <w:t xml:space="preserve">section; the lengthening is barred by</w:t>
      </w:r>
      <w:r>
        <w:t xml:space="preserve"> </w:t>
      </w:r>
      <w:r>
        <w:rPr>
          <w:bCs/>
          <w:b/>
        </w:rPr>
        <w:t xml:space="preserve">अङ्गवृत्ते पुनर्वृत्तावविधिः</w:t>
      </w:r>
      <w:r>
        <w:t xml:space="preserve"> </w:t>
      </w:r>
      <w:r>
        <w:t xml:space="preserve">(परिभा. ९३), but the intended accent still fails; and with the</w:t>
      </w:r>
      <w:r>
        <w:t xml:space="preserve"> </w:t>
      </w:r>
      <w:r>
        <w:t xml:space="preserve">“</w:t>
      </w:r>
      <w:r>
        <w:t xml:space="preserve">m</w:t>
      </w:r>
      <w:r>
        <w:t xml:space="preserve">”</w:t>
      </w:r>
      <w:r>
        <w:t xml:space="preserve"> </w:t>
      </w:r>
      <w:r>
        <w:t xml:space="preserve">loss taken as asiddha,</w:t>
      </w:r>
      <w:r>
        <w:t xml:space="preserve"> </w:t>
      </w:r>
      <w:r>
        <w:t xml:space="preserve">“</w:t>
      </w:r>
      <w:r>
        <w:t xml:space="preserve">yasyeti ca</w:t>
      </w:r>
      <w:r>
        <w:t xml:space="preserve">”</w:t>
      </w:r>
      <w:r>
        <w:t xml:space="preserve"> </w:t>
      </w:r>
      <w:r>
        <w:t xml:space="preserve">cannot drop the</w:t>
      </w:r>
      <w:r>
        <w:t xml:space="preserve"> </w:t>
      </w:r>
      <w:r>
        <w:t xml:space="preserve">“</w:t>
      </w:r>
      <w:r>
        <w:t xml:space="preserve">a.</w:t>
      </w:r>
      <w:r>
        <w:t xml:space="preserve">”</w:t>
      </w:r>
      <w:r>
        <w:t xml:space="preserve"> </w:t>
      </w:r>
      <w:r>
        <w:t xml:space="preserve">If the whole word (</w:t>
      </w:r>
      <w:r>
        <w:t xml:space="preserve">“</w:t>
      </w:r>
      <w:r>
        <w:t xml:space="preserve">maya</w:t>
      </w:r>
      <w:r>
        <w:t xml:space="preserve">”</w:t>
      </w:r>
      <w:r>
        <w:t xml:space="preserve">) is lost,</w:t>
      </w:r>
      <w:r>
        <w:t xml:space="preserve"> </w:t>
      </w:r>
      <w:r>
        <w:t xml:space="preserve">“</w:t>
      </w:r>
      <w:r>
        <w:t xml:space="preserve">hiraṇya</w:t>
      </w:r>
      <w:r>
        <w:t xml:space="preserve">”</w:t>
      </w:r>
      <w:r>
        <w:t xml:space="preserve"> </w:t>
      </w:r>
      <w:r>
        <w:t xml:space="preserve">would be end-acute. So it is proper, as in the Veda-bhāṣya, to accept the loss of the letter, give the later form, and make the single substitute acute by 8-2-5. ॥२॥</w:t>
      </w:r>
      <w:r>
        <w:t xml:space="preserve"> </w:t>
      </w:r>
      <w:r>
        <w:t xml:space="preserve">### Sūkta 7, Rik 3</w:t>
      </w:r>
    </w:p>
    <w:p>
      <w:pPr>
        <w:pStyle w:val="BodyText"/>
      </w:pPr>
      <w:r>
        <w:rPr>
          <w:iCs/>
          <w:i/>
        </w:rPr>
        <w:t xml:space="preserve">(Saṃhitā accents as printed; Pada unaccented. The print sets the svarita stroke over</w:t>
      </w:r>
      <w:r>
        <w:rPr>
          <w:iCs/>
          <w:i/>
        </w:rPr>
        <w:t xml:space="preserve"> </w:t>
      </w:r>
      <w:r>
        <w:rPr>
          <w:iCs/>
          <w:i/>
        </w:rPr>
        <w:t xml:space="preserve">“</w:t>
      </w:r>
      <w:r>
        <w:rPr>
          <w:iCs/>
          <w:i/>
        </w:rPr>
        <w:t xml:space="preserve">sū</w:t>
      </w:r>
      <w:r>
        <w:rPr>
          <w:iCs/>
          <w:i/>
        </w:rPr>
        <w:t xml:space="preserve">”</w:t>
      </w:r>
      <w:r>
        <w:rPr>
          <w:iCs/>
          <w:i/>
        </w:rPr>
        <w:t xml:space="preserve"> </w:t>
      </w:r>
      <w:r>
        <w:rPr>
          <w:iCs/>
          <w:i/>
        </w:rPr>
        <w:t xml:space="preserve">(not over</w:t>
      </w:r>
      <w:r>
        <w:rPr>
          <w:iCs/>
          <w:i/>
        </w:rPr>
        <w:t xml:space="preserve"> </w:t>
      </w:r>
      <w:r>
        <w:rPr>
          <w:iCs/>
          <w:i/>
        </w:rPr>
        <w:t xml:space="preserve">“</w:t>
      </w:r>
      <w:r>
        <w:rPr>
          <w:iCs/>
          <w:i/>
        </w:rPr>
        <w:t xml:space="preserve">ryaṃ</w:t>
      </w:r>
      <w:r>
        <w:rPr>
          <w:iCs/>
          <w:i/>
        </w:rPr>
        <w:t xml:space="preserve">”</w:t>
      </w:r>
      <w:r>
        <w:rPr>
          <w:iCs/>
          <w:i/>
        </w:rPr>
        <w:t xml:space="preserve">), and over</w:t>
      </w:r>
      <w:r>
        <w:rPr>
          <w:iCs/>
          <w:i/>
        </w:rPr>
        <w:t xml:space="preserve"> </w:t>
      </w:r>
      <w:r>
        <w:rPr>
          <w:iCs/>
          <w:i/>
        </w:rPr>
        <w:t xml:space="preserve">“</w:t>
      </w:r>
      <w:r>
        <w:rPr>
          <w:iCs/>
          <w:i/>
        </w:rPr>
        <w:t xml:space="preserve">bhi</w:t>
      </w:r>
      <w:r>
        <w:rPr>
          <w:iCs/>
          <w:i/>
        </w:rPr>
        <w:t xml:space="preserve">”</w:t>
      </w:r>
      <w:r>
        <w:rPr>
          <w:iCs/>
          <w:i/>
        </w:rPr>
        <w:t xml:space="preserve"> </w:t>
      </w:r>
      <w:r>
        <w:rPr>
          <w:iCs/>
          <w:i/>
        </w:rPr>
        <w:t xml:space="preserve">of</w:t>
      </w:r>
      <w:r>
        <w:rPr>
          <w:iCs/>
          <w:i/>
        </w:rPr>
        <w:t xml:space="preserve"> </w:t>
      </w:r>
      <w:r>
        <w:rPr>
          <w:iCs/>
          <w:i/>
        </w:rPr>
        <w:t xml:space="preserve">“</w:t>
      </w:r>
      <w:r>
        <w:rPr>
          <w:iCs/>
          <w:i/>
        </w:rPr>
        <w:t xml:space="preserve">gobhir</w:t>
      </w:r>
      <w:r>
        <w:rPr>
          <w:iCs/>
          <w:i/>
        </w:rPr>
        <w:t xml:space="preserve">”</w:t>
      </w:r>
      <w:r>
        <w:rPr>
          <w:iCs/>
          <w:i/>
        </w:rPr>
        <w:t xml:space="preserve"> </w:t>
      </w:r>
      <w:r>
        <w:rPr>
          <w:iCs/>
          <w:i/>
        </w:rPr>
        <w:t xml:space="preserve">both a stroke and a bar (only the bar is given); hence [accent ?].)</w:t>
      </w:r>
    </w:p>
    <w:p>
      <w:pPr>
        <w:pStyle w:val="BodyText"/>
      </w:pPr>
      <w:r>
        <w:rPr>
          <w:bCs/>
          <w:b/>
        </w:rPr>
        <w:t xml:space="preserve">॥ Saṃhitā-pāṭhaḥ ॥</w:t>
      </w:r>
    </w:p>
    <w:p>
      <w:pPr>
        <w:pStyle w:val="BlockText"/>
      </w:pPr>
      <w:r>
        <w:t xml:space="preserve">इन्द्रो॑ दी॒र्घाय॒ चक्ष॑स॒ आ सू॑र्यं रोहयद्दि॒वि । [accent ?]</w:t>
      </w:r>
      <w:r>
        <w:t xml:space="preserve"> </w:t>
      </w:r>
      <w:r>
        <w:t xml:space="preserve">वि गोभि॒रद्रिमैरयत् ॥३॥ [accent ?]</w:t>
      </w:r>
    </w:p>
    <w:p>
      <w:pPr>
        <w:pStyle w:val="BlockText"/>
      </w:pPr>
      <w:r>
        <w:rPr>
          <w:iCs/>
          <w:i/>
        </w:rPr>
        <w:t xml:space="preserve">índro dīrghā́ya cákṣasa ā́ sūryaṃ rohayad diví |</w:t>
      </w:r>
      <w:r>
        <w:t xml:space="preserve"> </w:t>
      </w:r>
      <w:r>
        <w:t xml:space="preserve">[accent ?]</w:t>
      </w:r>
      <w:r>
        <w:t xml:space="preserve"> </w:t>
      </w:r>
      <w:r>
        <w:rPr>
          <w:iCs/>
          <w:i/>
        </w:rPr>
        <w:t xml:space="preserve">ví góbhir ádrim airayat ||3||</w:t>
      </w:r>
      <w:r>
        <w:t xml:space="preserve"> </w:t>
      </w:r>
      <w:r>
        <w:t xml:space="preserve">[accent ?]</w:t>
      </w:r>
    </w:p>
    <w:p>
      <w:pPr>
        <w:pStyle w:val="FirstParagraph"/>
      </w:pPr>
      <w:r>
        <w:rPr>
          <w:bCs/>
          <w:b/>
        </w:rPr>
        <w:t xml:space="preserve">॥ Pada-pāṭhaḥ ॥</w:t>
      </w:r>
    </w:p>
    <w:p>
      <w:pPr>
        <w:pStyle w:val="BlockText"/>
      </w:pPr>
      <w:r>
        <w:t xml:space="preserve">इन्द्रः । दीर्घाय । चक्षसे । आ । सूर्यम् । रोहयत् । दिवि ॥</w:t>
      </w:r>
      <w:r>
        <w:t xml:space="preserve"> </w:t>
      </w:r>
      <w:r>
        <w:t xml:space="preserve">वि । गोभिः । अद्रिम् । ऐरयत् ॥३॥</w:t>
      </w:r>
    </w:p>
    <w:p>
      <w:pPr>
        <w:pStyle w:val="BlockText"/>
      </w:pPr>
      <w:r>
        <w:rPr>
          <w:iCs/>
          <w:i/>
        </w:rPr>
        <w:t xml:space="preserve">indraḥ | dīrghāya | cakṣase | ā | sūryam | rohayat | divi ||</w:t>
      </w:r>
      <w:r>
        <w:t xml:space="preserve"> </w:t>
      </w:r>
      <w:r>
        <w:rPr>
          <w:iCs/>
          <w:i/>
        </w:rPr>
        <w:t xml:space="preserve">vi | gobhiḥ | adrim | airayat ||3||</w:t>
      </w:r>
    </w:p>
    <w:p>
      <w:pPr>
        <w:pStyle w:val="FirstParagraph"/>
      </w:pPr>
      <w:r>
        <w:rPr>
          <w:iCs/>
          <w:i/>
        </w:rPr>
        <w:t xml:space="preserve">(Pada as printed on p. 269, re-read from the better scan.)</w:t>
      </w:r>
    </w:p>
    <w:p>
      <w:pPr>
        <w:pStyle w:val="BodyText"/>
      </w:pPr>
      <w:r>
        <w:rPr>
          <w:bCs/>
          <w:b/>
        </w:rPr>
        <w:t xml:space="preserve">॥ Sāyaṇa-bhāṣyam ॥</w:t>
      </w:r>
    </w:p>
    <w:p>
      <w:pPr>
        <w:pStyle w:val="BlockText"/>
      </w:pPr>
      <w:r>
        <w:t xml:space="preserve">अयमिन्द्रो दीर्घाय प्रौढाय निरन्तराय चक्षसे दर्शनाय दिवि द्युलोके सूर्यमा रोहयत् । पुरा वृत्रासुरेण जगति यदाप्रातं तमस्तन्निवारणेन प्राणिनां वृष्टिसिद्ध्यर्थमादित्यं द्युलोके स्थापितवानित्यर्थः । स च सूर्यो गोभिः स्वकीयै रश्मिभिरद्रिं पर्वतप्रमुखं सर्वं जगद्व्यैरयत् । विशेषेण दर्शनार्थं प्रेरितवान् । प्रकाशितवानित्यर्थः । अथवा इन्द्र एव गोभिर्जलैर्वृष्टिनिमित्तभूतैरद्रिं मेघं व्यैरयत् । विशेषेण प्रेरितवान् । पञ्चदशसंख्याकेषु रश्मिनामसु खेदयः किरणा गाव इति पठितम् । त्रिंशत्संख्याकेषु मेघनामस्वद्रिग्रावेति पठितम् ॥</w:t>
      </w:r>
    </w:p>
    <w:p>
      <w:pPr>
        <w:pStyle w:val="BlockText"/>
      </w:pPr>
      <w:r>
        <w:rPr>
          <w:iCs/>
          <w:i/>
        </w:rPr>
        <w:t xml:space="preserve">ayam indro dīrghāya prauḍhāya nirantarāya cakṣase darśanāya divi dyuloke sūryam ā rohayat | purā vṛtrāsureṇa jagati yad āprātaṃ tamas tan-nivāraṇena prāṇināṃ vṛṣṭi-siddhy-artham ādityaṃ dyuloke sthāpitavān ity arthaḥ | sa ca sūryo gobhiḥ svakīyai raśmibhir adriṃ parvata-pramukhaṃ sarvaṃ jagad vyairayat | viśeṣeṇa darśanārthaṃ preritavān | prakāśitavān ity arthaḥ | athavā indra eva gobhir jalair vṛṣṭi-nimitta-bhūtair adriṃ megham vyairayat | viśeṣeṇa preritavān | pañcadaśa-saṃkhyākeṣu raśmi-nāmasu khedayaḥ kiraṇā gāva iti paṭhitam | triṃśat-saṃkhyākeṣu megha-nāmasv adri-grāvety paṭhitam ||</w:t>
      </w:r>
    </w:p>
    <w:p>
      <w:pPr>
        <w:pStyle w:val="FirstParagraph"/>
      </w:pPr>
      <w:r>
        <w:rPr>
          <w:bCs/>
          <w:b/>
        </w:rPr>
        <w:t xml:space="preserve">Translation:</w:t>
      </w:r>
      <w:r>
        <w:t xml:space="preserve"> </w:t>
      </w:r>
      <w:r>
        <w:t xml:space="preserve">“</w:t>
      </w:r>
      <w:r>
        <w:t xml:space="preserve">This Indra caused the sun to ascend in heaven, the world of light,</w:t>
      </w:r>
      <w:r>
        <w:t xml:space="preserve"> </w:t>
      </w:r>
      <w:r>
        <w:rPr>
          <w:bCs/>
          <w:b/>
        </w:rPr>
        <w:t xml:space="preserve">for long (</w:t>
      </w:r>
      <w:r>
        <w:rPr>
          <w:iCs/>
          <w:i/>
          <w:bCs/>
          <w:b/>
        </w:rPr>
        <w:t xml:space="preserve">dīrghāya</w:t>
      </w:r>
      <w:r>
        <w:rPr>
          <w:bCs/>
          <w:b/>
        </w:rPr>
        <w:t xml:space="preserve">) — for vast, uninterrupted — seeing (</w:t>
      </w:r>
      <w:r>
        <w:rPr>
          <w:iCs/>
          <w:i/>
          <w:bCs/>
          <w:b/>
        </w:rPr>
        <w:t xml:space="preserve">cakṣase</w:t>
      </w:r>
      <w:r>
        <w:rPr>
          <w:bCs/>
          <w:b/>
        </w:rPr>
        <w:t xml:space="preserve">)</w:t>
      </w:r>
      <w:r>
        <w:t xml:space="preserve">; that is: formerly, when darkness had enveloped the world by the demon Vṛtra, Indra, to remove that darkness and to bring about rain for living beings, established the sun in the heavenly world. And that sun, with his own rays (</w:t>
      </w:r>
      <w:r>
        <w:rPr>
          <w:iCs/>
          <w:i/>
        </w:rPr>
        <w:t xml:space="preserve">gobhiḥ</w:t>
      </w:r>
      <w:r>
        <w:t xml:space="preserve">), set in motion (</w:t>
      </w:r>
      <w:r>
        <w:rPr>
          <w:iCs/>
          <w:i/>
        </w:rPr>
        <w:t xml:space="preserve">vyairayat</w:t>
      </w:r>
      <w:r>
        <w:t xml:space="preserve">) all the world headed by the mountain (</w:t>
      </w:r>
      <w:r>
        <w:rPr>
          <w:iCs/>
          <w:i/>
        </w:rPr>
        <w:t xml:space="preserve">adri</w:t>
      </w:r>
      <w:r>
        <w:t xml:space="preserve">) — especially,</w:t>
      </w:r>
      <w:r>
        <w:t xml:space="preserve"> </w:t>
      </w:r>
      <w:r>
        <w:rPr>
          <w:iCs/>
          <w:i/>
        </w:rPr>
        <w:t xml:space="preserve">sent out</w:t>
      </w:r>
      <w:r>
        <w:t xml:space="preserve"> </w:t>
      </w:r>
      <w:r>
        <w:t xml:space="preserve">[his light] for sight; that is, illuminated it.</w:t>
      </w:r>
      <w:r>
        <w:t xml:space="preserve"> </w:t>
      </w:r>
      <w:r>
        <w:rPr>
          <w:bCs/>
          <w:b/>
        </w:rPr>
        <w:t xml:space="preserve">Or else:</w:t>
      </w:r>
      <w:r>
        <w:t xml:space="preserve"> </w:t>
      </w:r>
      <w:r>
        <w:t xml:space="preserve">Indra himself, with the waters (</w:t>
      </w:r>
      <w:r>
        <w:rPr>
          <w:iCs/>
          <w:i/>
        </w:rPr>
        <w:t xml:space="preserve">gobhiḥ</w:t>
      </w:r>
      <w:r>
        <w:t xml:space="preserve">) that serve as the cause of rain, set the</w:t>
      </w:r>
      <w:r>
        <w:t xml:space="preserve"> </w:t>
      </w:r>
      <w:r>
        <w:rPr>
          <w:iCs/>
          <w:i/>
        </w:rPr>
        <w:t xml:space="preserve">adri</w:t>
      </w:r>
      <w:r>
        <w:t xml:space="preserve"> </w:t>
      </w:r>
      <w:r>
        <w:t xml:space="preserve">— the cloud — in motion in particular. Among the fifteen names for</w:t>
      </w:r>
      <w:r>
        <w:t xml:space="preserve"> </w:t>
      </w:r>
      <w:r>
        <w:t xml:space="preserve">‘</w:t>
      </w:r>
      <w:r>
        <w:t xml:space="preserve">ray</w:t>
      </w:r>
      <w:r>
        <w:t xml:space="preserve">’</w:t>
      </w:r>
      <w:r>
        <w:t xml:space="preserve"> </w:t>
      </w:r>
      <w:r>
        <w:rPr>
          <w:iCs/>
          <w:i/>
        </w:rPr>
        <w:t xml:space="preserve">khedayaḥ</w:t>
      </w:r>
      <w:r>
        <w:t xml:space="preserve">,</w:t>
      </w:r>
      <w:r>
        <w:t xml:space="preserve"> </w:t>
      </w:r>
      <w:r>
        <w:rPr>
          <w:iCs/>
          <w:i/>
        </w:rPr>
        <w:t xml:space="preserve">kiraṇāḥ</w:t>
      </w:r>
      <w:r>
        <w:t xml:space="preserve"> </w:t>
      </w:r>
      <w:r>
        <w:t xml:space="preserve">and</w:t>
      </w:r>
      <w:r>
        <w:t xml:space="preserve"> </w:t>
      </w:r>
      <w:r>
        <w:rPr>
          <w:iCs/>
          <w:i/>
        </w:rPr>
        <w:t xml:space="preserve">gāvaḥ</w:t>
      </w:r>
      <w:r>
        <w:t xml:space="preserve"> </w:t>
      </w:r>
      <w:r>
        <w:t xml:space="preserve">are listed. Among the thirty names for</w:t>
      </w:r>
      <w:r>
        <w:t xml:space="preserve"> </w:t>
      </w:r>
      <w:r>
        <w:t xml:space="preserve">‘</w:t>
      </w:r>
      <w:r>
        <w:t xml:space="preserve">cloud</w:t>
      </w:r>
      <w:r>
        <w:t xml:space="preserve">’</w:t>
      </w:r>
      <w:r>
        <w:t xml:space="preserve"> </w:t>
      </w:r>
      <w:r>
        <w:t xml:space="preserve">—</w:t>
      </w:r>
      <w:r>
        <w:t xml:space="preserve"> </w:t>
      </w:r>
      <w:r>
        <w:rPr>
          <w:iCs/>
          <w:i/>
        </w:rPr>
        <w:t xml:space="preserve">adri</w:t>
      </w:r>
      <w:r>
        <w:t xml:space="preserve"> </w:t>
      </w:r>
      <w:r>
        <w:t xml:space="preserve">and</w:t>
      </w:r>
      <w:r>
        <w:t xml:space="preserve"> </w:t>
      </w:r>
      <w:r>
        <w:rPr>
          <w:iCs/>
          <w:i/>
        </w:rPr>
        <w:t xml:space="preserve">grāvā</w:t>
      </w:r>
      <w:r>
        <w:t xml:space="preserve"> </w:t>
      </w:r>
      <w:r>
        <w:t xml:space="preserve">are listed.</w:t>
      </w:r>
      <w:r>
        <w:t xml:space="preserve">”</w:t>
      </w:r>
    </w:p>
    <w:p>
      <w:pPr>
        <w:pStyle w:val="BodyText"/>
      </w:pPr>
      <w:r>
        <w:rPr>
          <w:bCs/>
          <w:b/>
        </w:rPr>
        <w:t xml:space="preserve">Grammar of the Bhāṣya (characterized, references as printed):</w:t>
      </w:r>
      <w:r>
        <w:t xml:space="preserve"> </w:t>
      </w:r>
      <w:r>
        <w:t xml:space="preserve">“</w:t>
      </w:r>
      <w:r>
        <w:t xml:space="preserve">Dīrghāya</w:t>
      </w:r>
      <w:r>
        <w:t xml:space="preserve">”</w:t>
      </w:r>
      <w:r>
        <w:t xml:space="preserve"> </w:t>
      </w:r>
      <w:r>
        <w:t xml:space="preserve">— end-acute by the stem accent.</w:t>
      </w:r>
      <w:r>
        <w:t xml:space="preserve"> </w:t>
      </w:r>
      <w:r>
        <w:t xml:space="preserve">“</w:t>
      </w:r>
      <w:r>
        <w:t xml:space="preserve">Cakṣase</w:t>
      </w:r>
      <w:r>
        <w:t xml:space="preserve">”</w:t>
      </w:r>
      <w:r>
        <w:t xml:space="preserve"> </w:t>
      </w:r>
      <w:r>
        <w:t xml:space="preserve">—</w:t>
      </w:r>
      <w:r>
        <w:t xml:space="preserve"> </w:t>
      </w:r>
      <w:r>
        <w:rPr>
          <w:bCs/>
          <w:b/>
        </w:rPr>
        <w:t xml:space="preserve">चक्षेः सर्वधातुभ्योऽसुन्</w:t>
      </w:r>
      <w:r>
        <w:t xml:space="preserve"> </w:t>
      </w:r>
      <w:r>
        <w:t xml:space="preserve">(उ. ४-१८८)</w:t>
      </w:r>
      <w:r>
        <w:t xml:space="preserve"> </w:t>
      </w:r>
      <w:r>
        <w:t xml:space="preserve">“</w:t>
      </w:r>
      <w:r>
        <w:t xml:space="preserve">asun</w:t>
      </w:r>
      <w:r>
        <w:t xml:space="preserve">”</w:t>
      </w:r>
      <w:r>
        <w:t xml:space="preserve">; by the word</w:t>
      </w:r>
      <w:r>
        <w:t xml:space="preserve"> </w:t>
      </w:r>
      <w:r>
        <w:t xml:space="preserve">“</w:t>
      </w:r>
      <w:r>
        <w:t xml:space="preserve">bahula</w:t>
      </w:r>
      <w:r>
        <w:t xml:space="preserve">”</w:t>
      </w:r>
      <w:r>
        <w:t xml:space="preserve"> </w:t>
      </w:r>
      <w:r>
        <w:t xml:space="preserve">no</w:t>
      </w:r>
      <w:r>
        <w:t xml:space="preserve"> </w:t>
      </w:r>
      <w:r>
        <w:t xml:space="preserve">“</w:t>
      </w:r>
      <w:r>
        <w:t xml:space="preserve">khyāñ</w:t>
      </w:r>
      <w:r>
        <w:t xml:space="preserve">”</w:t>
      </w:r>
      <w:r>
        <w:t xml:space="preserve"> </w:t>
      </w:r>
      <w:r>
        <w:t xml:space="preserve">substitute;</w:t>
      </w:r>
      <w:r>
        <w:t xml:space="preserve"> </w:t>
      </w:r>
      <w:r>
        <w:t xml:space="preserve">“</w:t>
      </w:r>
      <w:r>
        <w:t xml:space="preserve">n</w:t>
      </w:r>
      <w:r>
        <w:t xml:space="preserve">”</w:t>
      </w:r>
      <w:r>
        <w:t xml:space="preserve">-marked, first-syllable acute.</w:t>
      </w:r>
      <w:r>
        <w:t xml:space="preserve"> </w:t>
      </w:r>
      <w:r>
        <w:t xml:space="preserve">“</w:t>
      </w:r>
      <w:r>
        <w:t xml:space="preserve">Sūryam</w:t>
      </w:r>
      <w:r>
        <w:t xml:space="preserve">”</w:t>
      </w:r>
      <w:r>
        <w:t xml:space="preserve"> </w:t>
      </w:r>
      <w:r>
        <w:t xml:space="preserve">—</w:t>
      </w:r>
      <w:r>
        <w:t xml:space="preserve"> </w:t>
      </w:r>
      <w:r>
        <w:t xml:space="preserve">“</w:t>
      </w:r>
      <w:r>
        <w:t xml:space="preserve">suvati prerayatīti sūryaḥ,</w:t>
      </w:r>
      <w:r>
        <w:t xml:space="preserve">”</w:t>
      </w:r>
      <w:r>
        <w:t xml:space="preserve"> </w:t>
      </w:r>
      <w:r>
        <w:t xml:space="preserve">“</w:t>
      </w:r>
      <w:r>
        <w:t xml:space="preserve">ṣū preraṇe,</w:t>
      </w:r>
      <w:r>
        <w:t xml:space="preserve">”</w:t>
      </w:r>
      <w:r>
        <w:t xml:space="preserve"> </w:t>
      </w:r>
      <w:r>
        <w:t xml:space="preserve">“</w:t>
      </w:r>
      <w:r>
        <w:t xml:space="preserve">dhātvādeḥ ṣaḥ saḥ</w:t>
      </w:r>
      <w:r>
        <w:t xml:space="preserve">”</w:t>
      </w:r>
      <w:r>
        <w:t xml:space="preserve">;</w:t>
      </w:r>
      <w:r>
        <w:t xml:space="preserve"> </w:t>
      </w:r>
      <w:r>
        <w:rPr>
          <w:bCs/>
          <w:b/>
        </w:rPr>
        <w:t xml:space="preserve">राजसूयसूर्य…</w:t>
      </w:r>
      <w:r>
        <w:t xml:space="preserve"> </w:t>
      </w:r>
      <w:r>
        <w:t xml:space="preserve">(पा. ३-१-११४)</w:t>
      </w:r>
      <w:r>
        <w:t xml:space="preserve"> </w:t>
      </w:r>
      <w:r>
        <w:t xml:space="preserve">“</w:t>
      </w:r>
      <w:r>
        <w:t xml:space="preserve">kyap</w:t>
      </w:r>
      <w:r>
        <w:t xml:space="preserve">”</w:t>
      </w:r>
      <w:r>
        <w:t xml:space="preserve"> </w:t>
      </w:r>
      <w:r>
        <w:t xml:space="preserve">with the augment</w:t>
      </w:r>
      <w:r>
        <w:t xml:space="preserve"> </w:t>
      </w:r>
      <w:r>
        <w:t xml:space="preserve">“</w:t>
      </w:r>
      <w:r>
        <w:t xml:space="preserve">ruṭ</w:t>
      </w:r>
      <w:r>
        <w:t xml:space="preserve">”</w:t>
      </w:r>
      <w:r>
        <w:t xml:space="preserve"> </w:t>
      </w:r>
      <w:r>
        <w:t xml:space="preserve">by nipātana;</w:t>
      </w:r>
      <w:r>
        <w:t xml:space="preserve"> </w:t>
      </w:r>
      <w:r>
        <w:t xml:space="preserve">“</w:t>
      </w:r>
      <w:r>
        <w:t xml:space="preserve">kyap,</w:t>
      </w:r>
      <w:r>
        <w:t xml:space="preserve">”</w:t>
      </w:r>
      <w:r>
        <w:t xml:space="preserve"> </w:t>
      </w:r>
      <w:r>
        <w:t xml:space="preserve">“</w:t>
      </w:r>
      <w:r>
        <w:t xml:space="preserve">k</w:t>
      </w:r>
      <w:r>
        <w:t xml:space="preserve">”</w:t>
      </w:r>
      <w:r>
        <w:t xml:space="preserve">-marked, so no guṇa, and</w:t>
      </w:r>
      <w:r>
        <w:t xml:space="preserve"> </w:t>
      </w:r>
      <w:r>
        <w:t xml:space="preserve">“</w:t>
      </w:r>
      <w:r>
        <w:t xml:space="preserve">p</w:t>
      </w:r>
      <w:r>
        <w:t xml:space="preserve">”</w:t>
      </w:r>
      <w:r>
        <w:t xml:space="preserve">-marked, so unaccented; the root accent remains.</w:t>
      </w:r>
      <w:r>
        <w:t xml:space="preserve"> </w:t>
      </w:r>
      <w:r>
        <w:t xml:space="preserve">“</w:t>
      </w:r>
      <w:r>
        <w:t xml:space="preserve">Rohayat</w:t>
      </w:r>
      <w:r>
        <w:t xml:space="preserve">”</w:t>
      </w:r>
      <w:r>
        <w:t xml:space="preserve"> </w:t>
      </w:r>
      <w:r>
        <w:t xml:space="preserve">—</w:t>
      </w:r>
      <w:r>
        <w:t xml:space="preserve"> </w:t>
      </w:r>
      <w:r>
        <w:t xml:space="preserve">“</w:t>
      </w:r>
      <w:r>
        <w:t xml:space="preserve">ruh</w:t>
      </w:r>
      <w:r>
        <w:t xml:space="preserve">”</w:t>
      </w:r>
      <w:r>
        <w:t xml:space="preserve"> </w:t>
      </w:r>
      <w:r>
        <w:t xml:space="preserve">with</w:t>
      </w:r>
      <w:r>
        <w:t xml:space="preserve"> </w:t>
      </w:r>
      <w:r>
        <w:t xml:space="preserve">“</w:t>
      </w:r>
      <w:r>
        <w:t xml:space="preserve">ṇic,</w:t>
      </w:r>
      <w:r>
        <w:t xml:space="preserve">”</w:t>
      </w:r>
      <w:r>
        <w:t xml:space="preserve"> </w:t>
      </w:r>
      <w:r>
        <w:t xml:space="preserve">“</w:t>
      </w:r>
      <w:r>
        <w:t xml:space="preserve">laṅ</w:t>
      </w:r>
      <w:r>
        <w:t xml:space="preserve">”</w:t>
      </w:r>
      <w:r>
        <w:t xml:space="preserve">;</w:t>
      </w:r>
      <w:r>
        <w:t xml:space="preserve"> </w:t>
      </w:r>
      <w:r>
        <w:rPr>
          <w:bCs/>
          <w:b/>
        </w:rPr>
        <w:t xml:space="preserve">बहुलं छन्दस्यमाङ्योगेऽपि</w:t>
      </w:r>
      <w:r>
        <w:t xml:space="preserve"> </w:t>
      </w:r>
      <w:r>
        <w:t xml:space="preserve">(पा. ६-४-७५) no augment</w:t>
      </w:r>
      <w:r>
        <w:t xml:space="preserve"> </w:t>
      </w:r>
      <w:r>
        <w:t xml:space="preserve">“</w:t>
      </w:r>
      <w:r>
        <w:t xml:space="preserve">aṭ</w:t>
      </w:r>
      <w:r>
        <w:t xml:space="preserve">”</w:t>
      </w:r>
      <w:r>
        <w:t xml:space="preserve">; nighāta.</w:t>
      </w:r>
      <w:r>
        <w:t xml:space="preserve"> </w:t>
      </w:r>
      <w:r>
        <w:t xml:space="preserve">“</w:t>
      </w:r>
      <w:r>
        <w:t xml:space="preserve">Divi</w:t>
      </w:r>
      <w:r>
        <w:t xml:space="preserve">”</w:t>
      </w:r>
      <w:r>
        <w:t xml:space="preserve"> </w:t>
      </w:r>
      <w:r>
        <w:t xml:space="preserve">— the case-ending acute by</w:t>
      </w:r>
      <w:r>
        <w:t xml:space="preserve"> </w:t>
      </w:r>
      <w:r>
        <w:t xml:space="preserve">“</w:t>
      </w:r>
      <w:r>
        <w:t xml:space="preserve">ūḍidam…</w:t>
      </w:r>
      <w:r>
        <w:t xml:space="preserve">”</w:t>
      </w:r>
      <w:r>
        <w:t xml:space="preserve">.</w:t>
      </w:r>
      <w:r>
        <w:t xml:space="preserve"> </w:t>
      </w:r>
      <w:r>
        <w:t xml:space="preserve">“</w:t>
      </w:r>
      <w:r>
        <w:t xml:space="preserve">Adrim</w:t>
      </w:r>
      <w:r>
        <w:t xml:space="preserve">”</w:t>
      </w:r>
      <w:r>
        <w:t xml:space="preserve"> </w:t>
      </w:r>
      <w:r>
        <w:t xml:space="preserve">—</w:t>
      </w:r>
      <w:r>
        <w:t xml:space="preserve"> </w:t>
      </w:r>
      <w:r>
        <w:rPr>
          <w:bCs/>
          <w:b/>
        </w:rPr>
        <w:t xml:space="preserve">अदिशदिभूशुभिभ्यः क्रिन्</w:t>
      </w:r>
      <w:r>
        <w:t xml:space="preserve"> </w:t>
      </w:r>
      <w:r>
        <w:t xml:space="preserve">(उ. ४-६५)</w:t>
      </w:r>
      <w:r>
        <w:t xml:space="preserve"> </w:t>
      </w:r>
      <w:r>
        <w:t xml:space="preserve">“</w:t>
      </w:r>
      <w:r>
        <w:t xml:space="preserve">krin</w:t>
      </w:r>
      <w:r>
        <w:t xml:space="preserve">”</w:t>
      </w:r>
      <w:r>
        <w:t xml:space="preserve">:</w:t>
      </w:r>
      <w:r>
        <w:t xml:space="preserve"> </w:t>
      </w:r>
      <w:r>
        <w:t xml:space="preserve">“</w:t>
      </w:r>
      <w:r>
        <w:t xml:space="preserve">atti patavas tṛṇādikam ity adriḥ</w:t>
      </w:r>
      <w:r>
        <w:t xml:space="preserve">”</w:t>
      </w:r>
      <w:r>
        <w:t xml:space="preserve">;</w:t>
      </w:r>
      <w:r>
        <w:t xml:space="preserve"> </w:t>
      </w:r>
      <w:r>
        <w:t xml:space="preserve">“</w:t>
      </w:r>
      <w:r>
        <w:t xml:space="preserve">n</w:t>
      </w:r>
      <w:r>
        <w:t xml:space="preserve">”</w:t>
      </w:r>
      <w:r>
        <w:t xml:space="preserve">-marked, first-syllable acute.</w:t>
      </w:r>
      <w:r>
        <w:t xml:space="preserve"> </w:t>
      </w:r>
      <w:r>
        <w:t xml:space="preserve">“</w:t>
      </w:r>
      <w:r>
        <w:t xml:space="preserve">Airayat</w:t>
      </w:r>
      <w:r>
        <w:t xml:space="preserve">”</w:t>
      </w:r>
      <w:r>
        <w:t xml:space="preserve"> </w:t>
      </w:r>
      <w:r>
        <w:t xml:space="preserve">—</w:t>
      </w:r>
      <w:r>
        <w:t xml:space="preserve"> </w:t>
      </w:r>
      <w:r>
        <w:t xml:space="preserve">“</w:t>
      </w:r>
      <w:r>
        <w:t xml:space="preserve">īra gatau</w:t>
      </w:r>
      <w:r>
        <w:t xml:space="preserve">”</w:t>
      </w:r>
      <w:r>
        <w:t xml:space="preserve"> </w:t>
      </w:r>
      <w:r>
        <w:t xml:space="preserve">with</w:t>
      </w:r>
      <w:r>
        <w:t xml:space="preserve"> </w:t>
      </w:r>
      <w:r>
        <w:t xml:space="preserve">“</w:t>
      </w:r>
      <w:r>
        <w:t xml:space="preserve">ṇic,</w:t>
      </w:r>
      <w:r>
        <w:t xml:space="preserve">”</w:t>
      </w:r>
      <w:r>
        <w:t xml:space="preserve"> </w:t>
      </w:r>
      <w:r>
        <w:t xml:space="preserve">“</w:t>
      </w:r>
      <w:r>
        <w:t xml:space="preserve">laṅ</w:t>
      </w:r>
      <w:r>
        <w:t xml:space="preserve">”</w:t>
      </w:r>
      <w:r>
        <w:t xml:space="preserve">; nighāta.</w:t>
      </w:r>
    </w:p>
    <w:bookmarkEnd w:id="302"/>
    <w:bookmarkStart w:id="303" w:name="page-269-rik-3-continued"/>
    <w:p>
      <w:pPr>
        <w:pStyle w:val="Heading3"/>
      </w:pPr>
      <w:r>
        <w:t xml:space="preserve">Page 269 — Rik 3 continued</w:t>
      </w:r>
    </w:p>
    <w:p>
      <w:pPr>
        <w:pStyle w:val="FirstParagraph"/>
      </w:pPr>
      <w:r>
        <w:rPr>
          <w:bCs/>
          <w:b/>
        </w:rPr>
        <w:t xml:space="preserve">॥ Prati-padārthaḥ ॥</w:t>
      </w:r>
    </w:p>
    <w:p>
      <w:pPr>
        <w:pStyle w:val="BodyText"/>
      </w:pPr>
      <w:r>
        <w:rPr>
          <w:bCs/>
          <w:b/>
        </w:rPr>
        <w:t xml:space="preserve">इन्द्रः (indraḥ)</w:t>
      </w:r>
      <w:r>
        <w:t xml:space="preserve"> </w:t>
      </w:r>
      <w:r>
        <w:t xml:space="preserve">— Indra |</w:t>
      </w:r>
      <w:r>
        <w:t xml:space="preserve"> </w:t>
      </w:r>
      <w:r>
        <w:rPr>
          <w:bCs/>
          <w:b/>
        </w:rPr>
        <w:t xml:space="preserve">दीर्घाय चक्षसे (dīrghāya cakṣase)</w:t>
      </w:r>
      <w:r>
        <w:t xml:space="preserve"> </w:t>
      </w:r>
      <w:r>
        <w:t xml:space="preserve">— continuously, that is, so that [beings] may see always (for the sake of seeing, for light) |</w:t>
      </w:r>
      <w:r>
        <w:t xml:space="preserve"> </w:t>
      </w:r>
      <w:r>
        <w:rPr>
          <w:bCs/>
          <w:b/>
        </w:rPr>
        <w:t xml:space="preserve">सूर्यम् (sūryam)</w:t>
      </w:r>
      <w:r>
        <w:t xml:space="preserve"> </w:t>
      </w:r>
      <w:r>
        <w:t xml:space="preserve">— the sun |</w:t>
      </w:r>
      <w:r>
        <w:t xml:space="preserve"> </w:t>
      </w:r>
      <w:r>
        <w:rPr>
          <w:bCs/>
          <w:b/>
        </w:rPr>
        <w:t xml:space="preserve">दिवि (divi)</w:t>
      </w:r>
      <w:r>
        <w:t xml:space="preserve"> </w:t>
      </w:r>
      <w:r>
        <w:t xml:space="preserve">— in the heavenly world (in the sky) |</w:t>
      </w:r>
      <w:r>
        <w:t xml:space="preserve"> </w:t>
      </w:r>
      <w:r>
        <w:rPr>
          <w:bCs/>
          <w:b/>
        </w:rPr>
        <w:t xml:space="preserve">आ रोहयत् (ā rohayat)</w:t>
      </w:r>
      <w:r>
        <w:t xml:space="preserve"> </w:t>
      </w:r>
      <w:r>
        <w:t xml:space="preserve">— set up (caused to climb) | (that sun)</w:t>
      </w:r>
      <w:r>
        <w:t xml:space="preserve"> </w:t>
      </w:r>
      <w:r>
        <w:rPr>
          <w:bCs/>
          <w:b/>
        </w:rPr>
        <w:t xml:space="preserve">गोभिः (gobhiḥ)</w:t>
      </w:r>
      <w:r>
        <w:t xml:space="preserve"> </w:t>
      </w:r>
      <w:r>
        <w:t xml:space="preserve">— with his rays |</w:t>
      </w:r>
      <w:r>
        <w:t xml:space="preserve"> </w:t>
      </w:r>
      <w:r>
        <w:rPr>
          <w:bCs/>
          <w:b/>
        </w:rPr>
        <w:t xml:space="preserve">अद्रिम् (adrim)</w:t>
      </w:r>
      <w:r>
        <w:t xml:space="preserve"> </w:t>
      </w:r>
      <w:r>
        <w:t xml:space="preserve">— the mountain (that is, the whole world, mountains and the rest) |</w:t>
      </w:r>
      <w:r>
        <w:t xml:space="preserve"> </w:t>
      </w:r>
      <w:r>
        <w:rPr>
          <w:bCs/>
          <w:b/>
        </w:rPr>
        <w:t xml:space="preserve">वि ऐरयत् (vi airayat)</w:t>
      </w:r>
      <w:r>
        <w:t xml:space="preserve"> </w:t>
      </w:r>
      <w:r>
        <w:t xml:space="preserve">— impelled specially, that is, illuminated.</w:t>
      </w:r>
    </w:p>
    <w:p>
      <w:pPr>
        <w:pStyle w:val="BodyText"/>
      </w:pPr>
      <w:r>
        <w:rPr>
          <w:bCs/>
          <w:b/>
        </w:rPr>
        <w:t xml:space="preserve">Or:</w:t>
      </w:r>
    </w:p>
    <w:bookmarkEnd w:id="303"/>
    <w:bookmarkStart w:id="304" w:name="page-270"/>
    <w:p>
      <w:pPr>
        <w:pStyle w:val="Heading3"/>
      </w:pPr>
      <w:r>
        <w:t xml:space="preserve">Page 270</w:t>
      </w:r>
    </w:p>
    <w:p>
      <w:pPr>
        <w:pStyle w:val="FirstParagraph"/>
      </w:pPr>
      <w:r>
        <w:rPr>
          <w:bCs/>
          <w:b/>
        </w:rPr>
        <w:t xml:space="preserve">इन्द्रः (indraḥ)</w:t>
      </w:r>
      <w:r>
        <w:t xml:space="preserve"> </w:t>
      </w:r>
      <w:r>
        <w:t xml:space="preserve">— Indra |</w:t>
      </w:r>
      <w:r>
        <w:t xml:space="preserve"> </w:t>
      </w:r>
      <w:r>
        <w:rPr>
          <w:bCs/>
          <w:b/>
        </w:rPr>
        <w:t xml:space="preserve">गोभिः (gobhiḥ)</w:t>
      </w:r>
      <w:r>
        <w:t xml:space="preserve"> </w:t>
      </w:r>
      <w:r>
        <w:t xml:space="preserve">— with the</w:t>
      </w:r>
      <w:r>
        <w:t xml:space="preserve"> </w:t>
      </w:r>
      <w:r>
        <w:rPr>
          <w:iCs/>
          <w:i/>
        </w:rPr>
        <w:t xml:space="preserve">gāvaḥ</w:t>
      </w:r>
      <w:r>
        <w:t xml:space="preserve"> </w:t>
      </w:r>
      <w:r>
        <w:t xml:space="preserve">(waters) that serve as the cause of rain |</w:t>
      </w:r>
      <w:r>
        <w:t xml:space="preserve"> </w:t>
      </w:r>
      <w:r>
        <w:rPr>
          <w:bCs/>
          <w:b/>
        </w:rPr>
        <w:t xml:space="preserve">अद्रिम् (adrim)</w:t>
      </w:r>
      <w:r>
        <w:t xml:space="preserve"> </w:t>
      </w:r>
      <w:r>
        <w:t xml:space="preserve">— the cloud |</w:t>
      </w:r>
      <w:r>
        <w:t xml:space="preserve"> </w:t>
      </w:r>
      <w:r>
        <w:rPr>
          <w:bCs/>
          <w:b/>
        </w:rPr>
        <w:t xml:space="preserve">वि ऐरयत् (vi airayat)</w:t>
      </w:r>
      <w:r>
        <w:t xml:space="preserve"> </w:t>
      </w:r>
      <w:r>
        <w:t xml:space="preserve">— impelled specially.</w:t>
      </w:r>
    </w:p>
    <w:p>
      <w:pPr>
        <w:pStyle w:val="BodyText"/>
      </w:pPr>
      <w:r>
        <w:rPr>
          <w:bCs/>
          <w:b/>
        </w:rPr>
        <w:t xml:space="preserve">॥ Bhāvārthaḥ ॥</w:t>
      </w:r>
    </w:p>
    <w:p>
      <w:pPr>
        <w:pStyle w:val="BodyText"/>
      </w:pPr>
      <w:r>
        <w:t xml:space="preserve">In ancient times the demon Vṛtra made the world a mass of darkness. Indra slew Vṛtra and — so that there should be light in the world until the time of dissolution — set the sun in the heavens (the</w:t>
      </w:r>
      <w:r>
        <w:t xml:space="preserve"> </w:t>
      </w:r>
      <w:r>
        <w:rPr>
          <w:iCs/>
          <w:i/>
        </w:rPr>
        <w:t xml:space="preserve">antarikṣa</w:t>
      </w:r>
      <w:r>
        <w:t xml:space="preserve">). The sun, too, illuminated the whole world — mountains, and so on — with his rays, and made all beings, who had been unable to do any work on account of the darkness, take up their several tasks.</w:t>
      </w:r>
      <w:r>
        <w:t xml:space="preserve"> </w:t>
      </w:r>
      <w:r>
        <w:rPr>
          <w:bCs/>
          <w:b/>
        </w:rPr>
        <w:t xml:space="preserve">Or:</w:t>
      </w:r>
      <w:r>
        <w:t xml:space="preserve"> </w:t>
      </w:r>
      <w:r>
        <w:t xml:space="preserve">after setting the sun in the sky, Indra sent the cloud to rain upon the people (or living beings), so that grain, which is food, might grow.</w:t>
      </w:r>
    </w:p>
    <w:p>
      <w:pPr>
        <w:pStyle w:val="BodyText"/>
      </w:pPr>
      <w:r>
        <w:rPr>
          <w:bCs/>
          <w:b/>
        </w:rPr>
        <w:t xml:space="preserve">॥ English Translation ॥</w:t>
      </w:r>
      <w:r>
        <w:t xml:space="preserve"> </w:t>
      </w:r>
      <w:r>
        <w:rPr>
          <w:iCs/>
          <w:i/>
        </w:rPr>
        <w:t xml:space="preserve">(as printed in the source)</w:t>
      </w:r>
    </w:p>
    <w:p>
      <w:pPr>
        <w:pStyle w:val="BlockText"/>
      </w:pPr>
      <w:r>
        <w:t xml:space="preserve">Indra established the sun in the heaven to render all things visible. He illuminated the mountain (i.e. the world) with his rays or Indra charged the clouds with water.</w:t>
      </w:r>
    </w:p>
    <w:p>
      <w:pPr>
        <w:pStyle w:val="FirstParagraph"/>
      </w:pPr>
      <w:r>
        <w:rPr>
          <w:bCs/>
          <w:b/>
        </w:rPr>
        <w:t xml:space="preserve">॥ Viśeṣa-viṣayagaḷu (Special Topics) ॥</w:t>
      </w:r>
    </w:p>
    <w:p>
      <w:pPr>
        <w:pStyle w:val="BodyText"/>
      </w:pPr>
      <w:r>
        <w:rPr>
          <w:bCs/>
          <w:b/>
        </w:rPr>
        <w:t xml:space="preserve">An earlier legend.</w:t>
      </w:r>
      <w:r>
        <w:t xml:space="preserve"> </w:t>
      </w:r>
      <w:r>
        <w:t xml:space="preserve">The Bhāṣyakāra and</w:t>
      </w:r>
      <w:r>
        <w:t xml:space="preserve"> </w:t>
      </w:r>
      <w:r>
        <w:rPr>
          <w:bCs/>
          <w:b/>
        </w:rPr>
        <w:t xml:space="preserve">Skandasvāmī</w:t>
      </w:r>
      <w:r>
        <w:t xml:space="preserve"> </w:t>
      </w:r>
      <w:r>
        <w:t xml:space="preserve">both mention an ancient story here. In former days the demon Vṛtra made the whole world dark. People and living creatures, having no light, were unable to do their work. Seeing this, Indra slew Vṛtra and established the sun in the sky so that there would be light in the world. In accord with this, this rik says that Indra established the sun in the sky.</w:t>
      </w:r>
    </w:p>
    <w:p>
      <w:pPr>
        <w:pStyle w:val="BodyText"/>
      </w:pPr>
      <w:r>
        <w:rPr>
          <w:bCs/>
          <w:b/>
        </w:rPr>
        <w:t xml:space="preserve">“</w:t>
      </w:r>
      <w:r>
        <w:rPr>
          <w:bCs/>
          <w:b/>
        </w:rPr>
        <w:t xml:space="preserve">Dīrghāya</w:t>
      </w:r>
      <w:r>
        <w:rPr>
          <w:bCs/>
          <w:b/>
        </w:rPr>
        <w:t xml:space="preserve">”</w:t>
      </w:r>
      <w:r>
        <w:t xml:space="preserve"> </w:t>
      </w:r>
      <w:r>
        <w:t xml:space="preserve">—</w:t>
      </w:r>
      <w:r>
        <w:t xml:space="preserve"> </w:t>
      </w:r>
      <w:r>
        <w:rPr>
          <w:iCs/>
          <w:i/>
        </w:rPr>
        <w:t xml:space="preserve">nirantarāya</w:t>
      </w:r>
      <w:r>
        <w:t xml:space="preserve">,</w:t>
      </w:r>
      <w:r>
        <w:t xml:space="preserve"> </w:t>
      </w:r>
      <w:r>
        <w:t xml:space="preserve">“</w:t>
      </w:r>
      <w:r>
        <w:t xml:space="preserve">uninterrupted</w:t>
      </w:r>
      <w:r>
        <w:t xml:space="preserve">”</w:t>
      </w:r>
      <w:r>
        <w:t xml:space="preserve"> </w:t>
      </w:r>
      <w:r>
        <w:t xml:space="preserve">—</w:t>
      </w:r>
      <w:r>
        <w:t xml:space="preserve"> </w:t>
      </w:r>
      <w:r>
        <w:rPr>
          <w:iCs/>
          <w:i/>
        </w:rPr>
        <w:t xml:space="preserve">pralaya-paryantam</w:t>
      </w:r>
      <w:r>
        <w:t xml:space="preserve">:</w:t>
      </w:r>
      <w:r>
        <w:t xml:space="preserve"> </w:t>
      </w:r>
      <w:r>
        <w:t xml:space="preserve">“</w:t>
      </w:r>
      <w:r>
        <w:t xml:space="preserve">until dissolution</w:t>
      </w:r>
      <w:r>
        <w:t xml:space="preserve">”</w:t>
      </w:r>
      <w:r>
        <w:t xml:space="preserve"> </w:t>
      </w:r>
      <w:r>
        <w:t xml:space="preserve">—</w:t>
      </w:r>
      <w:r>
        <w:t xml:space="preserve"> </w:t>
      </w:r>
      <w:r>
        <w:t xml:space="preserve">“</w:t>
      </w:r>
      <w:r>
        <w:t xml:space="preserve">always, as long as the world lasts.</w:t>
      </w:r>
      <w:r>
        <w:t xml:space="preserve">”</w:t>
      </w:r>
    </w:p>
    <w:p>
      <w:pPr>
        <w:pStyle w:val="BodyText"/>
      </w:pPr>
      <w:r>
        <w:rPr>
          <w:bCs/>
          <w:b/>
        </w:rPr>
        <w:t xml:space="preserve">“</w:t>
      </w:r>
      <w:r>
        <w:rPr>
          <w:bCs/>
          <w:b/>
        </w:rPr>
        <w:t xml:space="preserve">Cakṣase</w:t>
      </w:r>
      <w:r>
        <w:rPr>
          <w:bCs/>
          <w:b/>
        </w:rPr>
        <w:t xml:space="preserve">”</w:t>
      </w:r>
      <w:r>
        <w:t xml:space="preserve"> </w:t>
      </w:r>
      <w:r>
        <w:t xml:space="preserve">— sight, light, brilliance, etc. Without the sun, neither light nor strength nor capacity would belong to living beings; the business of the world would not go on. That is why it is said:</w:t>
      </w:r>
      <w:r>
        <w:t xml:space="preserve"> </w:t>
      </w:r>
      <w:r>
        <w:rPr>
          <w:bCs/>
          <w:b/>
        </w:rPr>
        <w:t xml:space="preserve">सूर्य आत्मा जगतस्तस्थुषश्च</w:t>
      </w:r>
      <w:r>
        <w:t xml:space="preserve"> </w:t>
      </w:r>
      <w:r>
        <w:t xml:space="preserve">(</w:t>
      </w:r>
      <w:r>
        <w:rPr>
          <w:iCs/>
          <w:i/>
        </w:rPr>
        <w:t xml:space="preserve">sūrya ātmā jagatas tasthuṣaś ca</w:t>
      </w:r>
      <w:r>
        <w:t xml:space="preserve">) —</w:t>
      </w:r>
      <w:r>
        <w:t xml:space="preserve"> </w:t>
      </w:r>
      <w:r>
        <w:t xml:space="preserve">“</w:t>
      </w:r>
      <w:r>
        <w:t xml:space="preserve">the sun is the self of the moving and the unmoving world</w:t>
      </w:r>
      <w:r>
        <w:t xml:space="preserve">”</w:t>
      </w:r>
      <w:r>
        <w:t xml:space="preserve"> </w:t>
      </w:r>
      <w:r>
        <w:t xml:space="preserve">(Ṛgveda Saṃhitā 1-115-1) — the sun is the very self (as life is chief to the body) of all the world, animate and inanimate.</w:t>
      </w:r>
    </w:p>
    <w:bookmarkEnd w:id="304"/>
    <w:bookmarkStart w:id="305" w:name="page-271"/>
    <w:p>
      <w:pPr>
        <w:pStyle w:val="Heading3"/>
      </w:pPr>
      <w:r>
        <w:t xml:space="preserve">Page 271</w:t>
      </w:r>
    </w:p>
    <w:p>
      <w:pPr>
        <w:pStyle w:val="FirstParagraph"/>
      </w:pPr>
      <w:r>
        <w:rPr>
          <w:bCs/>
          <w:b/>
        </w:rPr>
        <w:t xml:space="preserve">“</w:t>
      </w:r>
      <w:r>
        <w:rPr>
          <w:bCs/>
          <w:b/>
        </w:rPr>
        <w:t xml:space="preserve">Vi gobhir adrim airayat</w:t>
      </w:r>
      <w:r>
        <w:rPr>
          <w:bCs/>
          <w:b/>
        </w:rPr>
        <w:t xml:space="preserve">”</w:t>
      </w:r>
      <w:r>
        <w:t xml:space="preserve"> </w:t>
      </w:r>
      <w:r>
        <w:t xml:space="preserve">—</w:t>
      </w:r>
      <w:r>
        <w:t xml:space="preserve"> </w:t>
      </w:r>
      <w:r>
        <w:rPr>
          <w:bCs/>
          <w:b/>
        </w:rPr>
        <w:t xml:space="preserve">The meaning of this sentence is not clear.</w:t>
      </w:r>
      <w:r>
        <w:t xml:space="preserve"> </w:t>
      </w:r>
      <w:r>
        <w:t xml:space="preserve">The poet may have so described it because, when the sun rises, his rays first fall upon the lofty mountains. The other sense — that Indra impelled the cloud for water, that is, for the work of rain — is also fitting.</w:t>
      </w:r>
    </w:p>
    <w:p>
      <w:pPr>
        <w:pStyle w:val="BodyText"/>
      </w:pPr>
      <w:r>
        <w:rPr>
          <w:bCs/>
          <w:b/>
        </w:rPr>
        <w:t xml:space="preserve">“</w:t>
      </w:r>
      <w:r>
        <w:rPr>
          <w:bCs/>
          <w:b/>
        </w:rPr>
        <w:t xml:space="preserve">Gobhiḥ</w:t>
      </w:r>
      <w:r>
        <w:rPr>
          <w:bCs/>
          <w:b/>
        </w:rPr>
        <w:t xml:space="preserve">”</w:t>
      </w:r>
      <w:r>
        <w:t xml:space="preserve"> </w:t>
      </w:r>
      <w:r>
        <w:t xml:space="preserve">— with rays; with water. Among the fifteen words for</w:t>
      </w:r>
      <w:r>
        <w:t xml:space="preserve"> </w:t>
      </w:r>
      <w:r>
        <w:t xml:space="preserve">“</w:t>
      </w:r>
      <w:r>
        <w:t xml:space="preserve">ray,</w:t>
      </w:r>
      <w:r>
        <w:t xml:space="preserve">”</w:t>
      </w:r>
      <w:r>
        <w:t xml:space="preserve"> </w:t>
      </w:r>
      <w:r>
        <w:t xml:space="preserve">beginning with</w:t>
      </w:r>
      <w:r>
        <w:t xml:space="preserve"> </w:t>
      </w:r>
      <w:r>
        <w:rPr>
          <w:iCs/>
          <w:i/>
        </w:rPr>
        <w:t xml:space="preserve">khedayaḥ</w:t>
      </w:r>
      <w:r>
        <w:t xml:space="preserve">, the words</w:t>
      </w:r>
      <w:r>
        <w:t xml:space="preserve"> </w:t>
      </w:r>
      <w:r>
        <w:rPr>
          <w:bCs/>
          <w:b/>
        </w:rPr>
        <w:t xml:space="preserve">किरणाः</w:t>
      </w:r>
      <w:r>
        <w:t xml:space="preserve"> </w:t>
      </w:r>
      <w:r>
        <w:t xml:space="preserve">(</w:t>
      </w:r>
      <w:r>
        <w:rPr>
          <w:iCs/>
          <w:i/>
        </w:rPr>
        <w:t xml:space="preserve">kiraṇāḥ</w:t>
      </w:r>
      <w:r>
        <w:t xml:space="preserve">) and</w:t>
      </w:r>
      <w:r>
        <w:t xml:space="preserve"> </w:t>
      </w:r>
      <w:r>
        <w:rPr>
          <w:bCs/>
          <w:b/>
        </w:rPr>
        <w:t xml:space="preserve">गावः</w:t>
      </w:r>
      <w:r>
        <w:t xml:space="preserve"> </w:t>
      </w:r>
      <w:r>
        <w:t xml:space="preserve">(</w:t>
      </w:r>
      <w:r>
        <w:rPr>
          <w:iCs/>
          <w:i/>
        </w:rPr>
        <w:t xml:space="preserve">gāvaḥ</w:t>
      </w:r>
      <w:r>
        <w:t xml:space="preserve">) are listed.</w:t>
      </w:r>
    </w:p>
    <w:p>
      <w:pPr>
        <w:pStyle w:val="BodyText"/>
      </w:pPr>
      <w:r>
        <w:rPr>
          <w:bCs/>
          <w:b/>
        </w:rPr>
        <w:t xml:space="preserve">“</w:t>
      </w:r>
      <w:r>
        <w:rPr>
          <w:bCs/>
          <w:b/>
        </w:rPr>
        <w:t xml:space="preserve">Adrim</w:t>
      </w:r>
      <w:r>
        <w:rPr>
          <w:bCs/>
          <w:b/>
        </w:rPr>
        <w:t xml:space="preserve">”</w:t>
      </w:r>
      <w:r>
        <w:t xml:space="preserve"> </w:t>
      </w:r>
      <w:r>
        <w:t xml:space="preserve">— mountain, cloud. Among the thirty words for</w:t>
      </w:r>
      <w:r>
        <w:t xml:space="preserve"> </w:t>
      </w:r>
      <w:r>
        <w:t xml:space="preserve">“</w:t>
      </w:r>
      <w:r>
        <w:t xml:space="preserve">cloud,</w:t>
      </w:r>
      <w:r>
        <w:t xml:space="preserve">”</w:t>
      </w:r>
      <w:r>
        <w:t xml:space="preserve"> </w:t>
      </w:r>
      <w:r>
        <w:t xml:space="preserve">beginning with</w:t>
      </w:r>
      <w:r>
        <w:t xml:space="preserve"> </w:t>
      </w:r>
      <w:r>
        <w:rPr>
          <w:iCs/>
          <w:i/>
        </w:rPr>
        <w:t xml:space="preserve">adriḥ grāvā</w:t>
      </w:r>
      <w:r>
        <w:t xml:space="preserve">, the word</w:t>
      </w:r>
      <w:r>
        <w:t xml:space="preserve"> </w:t>
      </w:r>
      <w:r>
        <w:rPr>
          <w:iCs/>
          <w:i/>
        </w:rPr>
        <w:t xml:space="preserve">adri</w:t>
      </w:r>
      <w:r>
        <w:t xml:space="preserve"> </w:t>
      </w:r>
      <w:r>
        <w:t xml:space="preserve">is listed.</w:t>
      </w:r>
    </w:p>
    <w:p>
      <w:pPr>
        <w:pStyle w:val="BodyText"/>
      </w:pPr>
      <w:r>
        <w:rPr>
          <w:bCs/>
          <w:b/>
        </w:rPr>
        <w:t xml:space="preserve">॥ Vyākaraṇa-prakriyā ॥</w:t>
      </w:r>
    </w:p>
    <w:p>
      <w:pPr>
        <w:pStyle w:val="BodyText"/>
      </w:pPr>
      <w:r>
        <w:rPr>
          <w:iCs/>
          <w:i/>
        </w:rPr>
        <w:t xml:space="preserve">(Pages 271–272. Characterized; numbers as printed.)</w:t>
      </w:r>
    </w:p>
    <w:p>
      <w:pPr>
        <w:numPr>
          <w:ilvl w:val="0"/>
          <w:numId w:val="1040"/>
        </w:numPr>
        <w:pStyle w:val="Compact"/>
      </w:pPr>
      <w:r>
        <w:rPr>
          <w:bCs/>
          <w:b/>
        </w:rPr>
        <w:t xml:space="preserve">दीर्घाय (</w:t>
      </w:r>
      <w:r>
        <w:rPr>
          <w:iCs/>
          <w:i/>
          <w:bCs/>
          <w:b/>
        </w:rPr>
        <w:t xml:space="preserve">dīrghāya</w:t>
      </w:r>
      <w:r>
        <w:rPr>
          <w:bCs/>
          <w:b/>
        </w:rPr>
        <w:t xml:space="preserve">)</w:t>
      </w:r>
      <w:r>
        <w:t xml:space="preserve"> </w:t>
      </w:r>
      <w:r>
        <w:t xml:space="preserve">— by the prātipadika accent,</w:t>
      </w:r>
      <w:r>
        <w:t xml:space="preserve"> </w:t>
      </w:r>
      <w:r>
        <w:rPr>
          <w:iCs/>
          <w:i/>
        </w:rPr>
        <w:t xml:space="preserve">dīrgha</w:t>
      </w:r>
      <w:r>
        <w:t xml:space="preserve"> </w:t>
      </w:r>
      <w:r>
        <w:t xml:space="preserve">is final-udātta.</w:t>
      </w:r>
    </w:p>
    <w:p>
      <w:pPr>
        <w:numPr>
          <w:ilvl w:val="0"/>
          <w:numId w:val="1040"/>
        </w:numPr>
        <w:pStyle w:val="Compact"/>
      </w:pPr>
      <w:r>
        <w:rPr>
          <w:bCs/>
          <w:b/>
        </w:rPr>
        <w:t xml:space="preserve">चक्षसे (</w:t>
      </w:r>
      <w:r>
        <w:rPr>
          <w:iCs/>
          <w:i/>
          <w:bCs/>
          <w:b/>
        </w:rPr>
        <w:t xml:space="preserve">cakṣase</w:t>
      </w:r>
      <w:r>
        <w:rPr>
          <w:bCs/>
          <w:b/>
        </w:rPr>
        <w:t xml:space="preserve">)</w:t>
      </w:r>
      <w:r>
        <w:t xml:space="preserve"> </w:t>
      </w:r>
      <w:r>
        <w:t xml:space="preserve">—</w:t>
      </w:r>
      <w:r>
        <w:t xml:space="preserve"> </w:t>
      </w:r>
      <w:r>
        <w:t xml:space="preserve">“</w:t>
      </w:r>
      <w:r>
        <w:t xml:space="preserve">cakṣiṅ vyaktāyāṃ vāci</w:t>
      </w:r>
      <w:r>
        <w:t xml:space="preserve">”</w:t>
      </w:r>
      <w:r>
        <w:t xml:space="preserve">:</w:t>
      </w:r>
      <w:r>
        <w:t xml:space="preserve"> </w:t>
      </w:r>
      <w:r>
        <w:t xml:space="preserve">“</w:t>
      </w:r>
      <w:r>
        <w:t xml:space="preserve">asun</w:t>
      </w:r>
      <w:r>
        <w:t xml:space="preserve">”</w:t>
      </w:r>
      <w:r>
        <w:t xml:space="preserve"> </w:t>
      </w:r>
      <w:r>
        <w:t xml:space="preserve">carried from</w:t>
      </w:r>
      <w:r>
        <w:t xml:space="preserve"> </w:t>
      </w:r>
      <w:r>
        <w:rPr>
          <w:bCs/>
          <w:b/>
        </w:rPr>
        <w:t xml:space="preserve">सर्वधातुभ्योऽसुन्</w:t>
      </w:r>
      <w:r>
        <w:t xml:space="preserve"> </w:t>
      </w:r>
      <w:r>
        <w:t xml:space="preserve">(उ. सू. ४-६७ [?]) by</w:t>
      </w:r>
      <w:r>
        <w:t xml:space="preserve"> </w:t>
      </w:r>
      <w:r>
        <w:rPr>
          <w:bCs/>
          <w:b/>
        </w:rPr>
        <w:t xml:space="preserve">चक्षेर्बहुलं शिच्च</w:t>
      </w:r>
      <w:r>
        <w:t xml:space="preserve"> </w:t>
      </w:r>
      <w:r>
        <w:t xml:space="preserve">(उ. सू. ४-६८ [?]);</w:t>
      </w:r>
      <w:r>
        <w:t xml:space="preserve"> </w:t>
      </w:r>
      <w:r>
        <w:t xml:space="preserve">“</w:t>
      </w:r>
      <w:r>
        <w:t xml:space="preserve">asun</w:t>
      </w:r>
      <w:r>
        <w:t xml:space="preserve">”</w:t>
      </w:r>
      <w:r>
        <w:t xml:space="preserve"> </w:t>
      </w:r>
      <w:r>
        <w:t xml:space="preserve">is optionally</w:t>
      </w:r>
      <w:r>
        <w:t xml:space="preserve"> </w:t>
      </w:r>
      <w:r>
        <w:t xml:space="preserve">“</w:t>
      </w:r>
      <w:r>
        <w:t xml:space="preserve">ś</w:t>
      </w:r>
      <w:r>
        <w:t xml:space="preserve">”</w:t>
      </w:r>
      <w:r>
        <w:t xml:space="preserve">-marked, so here, being</w:t>
      </w:r>
      <w:r>
        <w:t xml:space="preserve"> </w:t>
      </w:r>
      <w:r>
        <w:t xml:space="preserve">“</w:t>
      </w:r>
      <w:r>
        <w:t xml:space="preserve">śit,</w:t>
      </w:r>
      <w:r>
        <w:t xml:space="preserve">”</w:t>
      </w:r>
      <w:r>
        <w:t xml:space="preserve"> </w:t>
      </w:r>
      <w:r>
        <w:t xml:space="preserve">it is sārvadhātuka by</w:t>
      </w:r>
      <w:r>
        <w:t xml:space="preserve"> </w:t>
      </w:r>
      <w:r>
        <w:rPr>
          <w:bCs/>
          <w:b/>
        </w:rPr>
        <w:t xml:space="preserve">तिङ्शित्सार्वधातुकम्</w:t>
      </w:r>
      <w:r>
        <w:t xml:space="preserve">, not ārdhadhātuka, and the</w:t>
      </w:r>
      <w:r>
        <w:t xml:space="preserve"> </w:t>
      </w:r>
      <w:r>
        <w:t xml:space="preserve">“</w:t>
      </w:r>
      <w:r>
        <w:t xml:space="preserve">khyāñ</w:t>
      </w:r>
      <w:r>
        <w:t xml:space="preserve">”</w:t>
      </w:r>
      <w:r>
        <w:t xml:space="preserve"> </w:t>
      </w:r>
      <w:r>
        <w:t xml:space="preserve">of</w:t>
      </w:r>
      <w:r>
        <w:t xml:space="preserve"> </w:t>
      </w:r>
      <w:r>
        <w:rPr>
          <w:bCs/>
          <w:b/>
        </w:rPr>
        <w:t xml:space="preserve">चक्षिङः ख्याञ्</w:t>
      </w:r>
      <w:r>
        <w:t xml:space="preserve"> </w:t>
      </w:r>
      <w:r>
        <w:t xml:space="preserve">(पा. सू. २-४-५४) does not come;</w:t>
      </w:r>
      <w:r>
        <w:t xml:space="preserve"> </w:t>
      </w:r>
      <w:r>
        <w:t xml:space="preserve">“</w:t>
      </w:r>
      <w:r>
        <w:t xml:space="preserve">n</w:t>
      </w:r>
      <w:r>
        <w:t xml:space="preserve">”</w:t>
      </w:r>
      <w:r>
        <w:t xml:space="preserve">-marked, so first-syllable acute.</w:t>
      </w:r>
    </w:p>
    <w:p>
      <w:pPr>
        <w:numPr>
          <w:ilvl w:val="0"/>
          <w:numId w:val="1040"/>
        </w:numPr>
        <w:pStyle w:val="Compact"/>
      </w:pPr>
      <w:r>
        <w:rPr>
          <w:bCs/>
          <w:b/>
        </w:rPr>
        <w:t xml:space="preserve">सूर्यम् (</w:t>
      </w:r>
      <w:r>
        <w:rPr>
          <w:iCs/>
          <w:i/>
          <w:bCs/>
          <w:b/>
        </w:rPr>
        <w:t xml:space="preserve">sūryam</w:t>
      </w:r>
      <w:r>
        <w:rPr>
          <w:bCs/>
          <w:b/>
        </w:rPr>
        <w:t xml:space="preserve">)</w:t>
      </w:r>
      <w:r>
        <w:t xml:space="preserve"> </w:t>
      </w:r>
      <w:r>
        <w:t xml:space="preserve">— from</w:t>
      </w:r>
      <w:r>
        <w:t xml:space="preserve"> </w:t>
      </w:r>
      <w:r>
        <w:rPr>
          <w:iCs/>
          <w:i/>
        </w:rPr>
        <w:t xml:space="preserve">sū</w:t>
      </w:r>
      <w:r>
        <w:t xml:space="preserve"> </w:t>
      </w:r>
      <w:r>
        <w:t xml:space="preserve">(</w:t>
      </w:r>
      <w:r>
        <w:t xml:space="preserve">“</w:t>
      </w:r>
      <w:r>
        <w:t xml:space="preserve">to impel</w:t>
      </w:r>
      <w:r>
        <w:t xml:space="preserve">”</w:t>
      </w:r>
      <w:r>
        <w:t xml:space="preserve">) —</w:t>
      </w:r>
      <w:r>
        <w:t xml:space="preserve"> </w:t>
      </w:r>
      <w:r>
        <w:t xml:space="preserve">“</w:t>
      </w:r>
      <w:r>
        <w:t xml:space="preserve">he who impels (the world)</w:t>
      </w:r>
      <w:r>
        <w:t xml:space="preserve">”</w:t>
      </w:r>
      <w:r>
        <w:t xml:space="preserve">;</w:t>
      </w:r>
      <w:r>
        <w:t xml:space="preserve"> </w:t>
      </w:r>
      <w:r>
        <w:rPr>
          <w:iCs/>
          <w:i/>
        </w:rPr>
        <w:t xml:space="preserve">ṣa→sa</w:t>
      </w:r>
      <w:r>
        <w:t xml:space="preserve"> </w:t>
      </w:r>
      <w:r>
        <w:t xml:space="preserve">for the initial by Pā. 6-1-64; and the</w:t>
      </w:r>
      <w:r>
        <w:t xml:space="preserve"> </w:t>
      </w:r>
      <w:r>
        <w:rPr>
          <w:iCs/>
          <w:i/>
        </w:rPr>
        <w:t xml:space="preserve">kyap</w:t>
      </w:r>
      <w:r>
        <w:t xml:space="preserve"> </w:t>
      </w:r>
      <w:r>
        <w:t xml:space="preserve">suffix by the sūtra</w:t>
      </w:r>
      <w:r>
        <w:t xml:space="preserve"> </w:t>
      </w:r>
      <w:r>
        <w:rPr>
          <w:iCs/>
          <w:i/>
        </w:rPr>
        <w:t xml:space="preserve">rājasūya-sūrya-mṛṣodya-rucya-kupya-kṛṣṭapacya-avyathyāḥ</w:t>
      </w:r>
      <w:r>
        <w:t xml:space="preserve"> </w:t>
      </w:r>
      <w:r>
        <w:t xml:space="preserve">(Pā. 3-1-114): these seven words are formed by nipātana with</w:t>
      </w:r>
      <w:r>
        <w:t xml:space="preserve"> </w:t>
      </w:r>
      <w:r>
        <w:rPr>
          <w:iCs/>
          <w:i/>
        </w:rPr>
        <w:t xml:space="preserve">kyap</w:t>
      </w:r>
      <w:r>
        <w:t xml:space="preserve">, and in</w:t>
      </w:r>
      <w:r>
        <w:t xml:space="preserve"> </w:t>
      </w:r>
      <w:r>
        <w:t xml:space="preserve">“</w:t>
      </w:r>
      <w:r>
        <w:t xml:space="preserve">sūrya</w:t>
      </w:r>
      <w:r>
        <w:t xml:space="preserve">”</w:t>
      </w:r>
      <w:r>
        <w:t xml:space="preserve"> </w:t>
      </w:r>
      <w:r>
        <w:t xml:space="preserve">the</w:t>
      </w:r>
      <w:r>
        <w:t xml:space="preserve"> </w:t>
      </w:r>
      <w:r>
        <w:rPr>
          <w:iCs/>
          <w:i/>
        </w:rPr>
        <w:t xml:space="preserve">ruṭ</w:t>
      </w:r>
      <w:r>
        <w:t xml:space="preserve"> </w:t>
      </w:r>
      <w:r>
        <w:t xml:space="preserve">augment is by nipātana; or from</w:t>
      </w:r>
      <w:r>
        <w:t xml:space="preserve"> </w:t>
      </w:r>
      <w:r>
        <w:rPr>
          <w:iCs/>
          <w:i/>
        </w:rPr>
        <w:t xml:space="preserve">sṛ gatau</w:t>
      </w:r>
      <w:r>
        <w:t xml:space="preserve"> </w:t>
      </w:r>
      <w:r>
        <w:t xml:space="preserve">(</w:t>
      </w:r>
      <w:r>
        <w:t xml:space="preserve">“</w:t>
      </w:r>
      <w:r>
        <w:t xml:space="preserve">sarati gacchati ākāśe</w:t>
      </w:r>
      <w:r>
        <w:t xml:space="preserve">”</w:t>
      </w:r>
      <w:r>
        <w:t xml:space="preserve">), with</w:t>
      </w:r>
      <w:r>
        <w:t xml:space="preserve"> </w:t>
      </w:r>
      <w:r>
        <w:t xml:space="preserve">“</w:t>
      </w:r>
      <w:r>
        <w:t xml:space="preserve">u</w:t>
      </w:r>
      <w:r>
        <w:t xml:space="preserve">”</w:t>
      </w:r>
      <w:r>
        <w:t xml:space="preserve"> </w:t>
      </w:r>
      <w:r>
        <w:t xml:space="preserve">by nipātana,</w:t>
      </w:r>
      <w:r>
        <w:t xml:space="preserve"> </w:t>
      </w:r>
      <w:r>
        <w:t xml:space="preserve">“</w:t>
      </w:r>
      <w:r>
        <w:t xml:space="preserve">r</w:t>
      </w:r>
      <w:r>
        <w:t xml:space="preserve">”</w:t>
      </w:r>
      <w:r>
        <w:t xml:space="preserve"> </w:t>
      </w:r>
      <w:r>
        <w:t xml:space="preserve">by</w:t>
      </w:r>
      <w:r>
        <w:t xml:space="preserve"> </w:t>
      </w:r>
      <w:r>
        <w:rPr>
          <w:bCs/>
          <w:b/>
        </w:rPr>
        <w:t xml:space="preserve">उरण् रपरः</w:t>
      </w:r>
      <w:r>
        <w:t xml:space="preserve"> </w:t>
      </w:r>
      <w:r>
        <w:t xml:space="preserve">(पा. सू. १-१-५१), and the long vowel by</w:t>
      </w:r>
      <w:r>
        <w:t xml:space="preserve"> </w:t>
      </w:r>
      <w:r>
        <w:rPr>
          <w:bCs/>
          <w:b/>
        </w:rPr>
        <w:t xml:space="preserve">हलि च</w:t>
      </w:r>
      <w:r>
        <w:t xml:space="preserve"> </w:t>
      </w:r>
      <w:r>
        <w:t xml:space="preserve">(पा. सू. ८-२-७७); on the first view</w:t>
      </w:r>
      <w:r>
        <w:t xml:space="preserve"> </w:t>
      </w:r>
      <w:r>
        <w:t xml:space="preserve">“</w:t>
      </w:r>
      <w:r>
        <w:t xml:space="preserve">kyap,</w:t>
      </w:r>
      <w:r>
        <w:t xml:space="preserve">”</w:t>
      </w:r>
      <w:r>
        <w:t xml:space="preserve"> </w:t>
      </w:r>
      <w:r>
        <w:t xml:space="preserve">“</w:t>
      </w:r>
      <w:r>
        <w:t xml:space="preserve">k</w:t>
      </w:r>
      <w:r>
        <w:t xml:space="preserve">”</w:t>
      </w:r>
      <w:r>
        <w:t xml:space="preserve">-marked, gives no guṇa, and</w:t>
      </w:r>
      <w:r>
        <w:t xml:space="preserve"> </w:t>
      </w:r>
      <w:r>
        <w:t xml:space="preserve">“</w:t>
      </w:r>
      <w:r>
        <w:t xml:space="preserve">p</w:t>
      </w:r>
      <w:r>
        <w:t xml:space="preserve">”</w:t>
      </w:r>
      <w:r>
        <w:t xml:space="preserve">-marked is unaccented by</w:t>
      </w:r>
      <w:r>
        <w:t xml:space="preserve"> </w:t>
      </w:r>
      <w:r>
        <w:rPr>
          <w:bCs/>
          <w:b/>
        </w:rPr>
        <w:t xml:space="preserve">अनुदात्तौ सुप्पितौ</w:t>
      </w:r>
      <w:r>
        <w:t xml:space="preserve"> </w:t>
      </w:r>
      <w:r>
        <w:t xml:space="preserve">(</w:t>
      </w:r>
      <w:r>
        <w:t xml:space="preserve">“</w:t>
      </w:r>
      <w:r>
        <w:t xml:space="preserve">३-१-४</w:t>
      </w:r>
      <w:r>
        <w:t xml:space="preserve">”</w:t>
      </w:r>
      <w:r>
        <w:t xml:space="preserve">), so the root accent stays.</w:t>
      </w:r>
    </w:p>
    <w:p>
      <w:pPr>
        <w:numPr>
          <w:ilvl w:val="0"/>
          <w:numId w:val="1040"/>
        </w:numPr>
        <w:pStyle w:val="Compact"/>
      </w:pPr>
      <w:r>
        <w:rPr>
          <w:bCs/>
          <w:b/>
        </w:rPr>
        <w:t xml:space="preserve">रोहयत् (</w:t>
      </w:r>
      <w:r>
        <w:rPr>
          <w:iCs/>
          <w:i/>
          <w:bCs/>
          <w:b/>
        </w:rPr>
        <w:t xml:space="preserve">rohayat</w:t>
      </w:r>
      <w:r>
        <w:rPr>
          <w:bCs/>
          <w:b/>
        </w:rPr>
        <w:t xml:space="preserve">)</w:t>
      </w:r>
      <w:r>
        <w:t xml:space="preserve"> </w:t>
      </w:r>
      <w:r>
        <w:t xml:space="preserve">—</w:t>
      </w:r>
      <w:r>
        <w:t xml:space="preserve"> </w:t>
      </w:r>
      <w:r>
        <w:t xml:space="preserve">“</w:t>
      </w:r>
      <w:r>
        <w:t xml:space="preserve">ruha bījajanmani prādurbhāve ca</w:t>
      </w:r>
      <w:r>
        <w:t xml:space="preserve">”</w:t>
      </w:r>
      <w:r>
        <w:t xml:space="preserve"> </w:t>
      </w:r>
      <w:r>
        <w:t xml:space="preserve">with</w:t>
      </w:r>
      <w:r>
        <w:t xml:space="preserve"> </w:t>
      </w:r>
      <w:r>
        <w:rPr>
          <w:iCs/>
          <w:i/>
        </w:rPr>
        <w:t xml:space="preserve">ṇic</w:t>
      </w:r>
      <w:r>
        <w:t xml:space="preserve">,</w:t>
      </w:r>
      <w:r>
        <w:t xml:space="preserve"> </w:t>
      </w:r>
      <w:r>
        <w:t xml:space="preserve">“</w:t>
      </w:r>
      <w:r>
        <w:t xml:space="preserve">laṅ</w:t>
      </w:r>
      <w:r>
        <w:t xml:space="preserve">”</w:t>
      </w:r>
      <w:r>
        <w:t xml:space="preserve">; by</w:t>
      </w:r>
      <w:r>
        <w:t xml:space="preserve"> </w:t>
      </w:r>
      <w:r>
        <w:rPr>
          <w:bCs/>
          <w:b/>
        </w:rPr>
        <w:t xml:space="preserve">बहुलं छन्दस्यमाङ्योगेऽपि</w:t>
      </w:r>
      <w:r>
        <w:t xml:space="preserve"> </w:t>
      </w:r>
      <w:r>
        <w:t xml:space="preserve">(पा. सू. ६-४-७५) no augment</w:t>
      </w:r>
      <w:r>
        <w:t xml:space="preserve"> </w:t>
      </w:r>
      <w:r>
        <w:t xml:space="preserve">“</w:t>
      </w:r>
      <w:r>
        <w:t xml:space="preserve">aṭ</w:t>
      </w:r>
      <w:r>
        <w:t xml:space="preserve">”</w:t>
      </w:r>
      <w:r>
        <w:t xml:space="preserve">; unaccented by</w:t>
      </w:r>
      <w:r>
        <w:t xml:space="preserve"> </w:t>
      </w:r>
      <w:r>
        <w:rPr>
          <w:bCs/>
          <w:b/>
        </w:rPr>
        <w:t xml:space="preserve">तिङ्ङतिङः</w:t>
      </w:r>
      <w:r>
        <w:t xml:space="preserve"> </w:t>
      </w:r>
      <w:r>
        <w:t xml:space="preserve">(पा. सू. ८-१-२८).</w:t>
      </w:r>
    </w:p>
    <w:p>
      <w:pPr>
        <w:numPr>
          <w:ilvl w:val="0"/>
          <w:numId w:val="1040"/>
        </w:numPr>
        <w:pStyle w:val="Compact"/>
      </w:pPr>
      <w:r>
        <w:rPr>
          <w:bCs/>
          <w:b/>
        </w:rPr>
        <w:t xml:space="preserve">दिवि (</w:t>
      </w:r>
      <w:r>
        <w:rPr>
          <w:iCs/>
          <w:i/>
          <w:bCs/>
          <w:b/>
        </w:rPr>
        <w:t xml:space="preserve">divi</w:t>
      </w:r>
      <w:r>
        <w:rPr>
          <w:bCs/>
          <w:b/>
        </w:rPr>
        <w:t xml:space="preserve">)</w:t>
      </w:r>
      <w:r>
        <w:t xml:space="preserve"> </w:t>
      </w:r>
      <w:r>
        <w:t xml:space="preserve">— the case-ending is udātta by the</w:t>
      </w:r>
      <w:r>
        <w:t xml:space="preserve"> </w:t>
      </w:r>
      <w:r>
        <w:rPr>
          <w:iCs/>
          <w:i/>
        </w:rPr>
        <w:t xml:space="preserve">ūḍidam-padādy-appum-raidyubhyaḥ</w:t>
      </w:r>
      <w:r>
        <w:t xml:space="preserve"> </w:t>
      </w:r>
      <w:r>
        <w:t xml:space="preserve">rule (Pā. 6-1-171).</w:t>
      </w:r>
    </w:p>
    <w:p>
      <w:pPr>
        <w:numPr>
          <w:ilvl w:val="0"/>
          <w:numId w:val="1040"/>
        </w:numPr>
        <w:pStyle w:val="Compact"/>
      </w:pPr>
      <w:r>
        <w:rPr>
          <w:bCs/>
          <w:b/>
        </w:rPr>
        <w:t xml:space="preserve">अद्रिम् (</w:t>
      </w:r>
      <w:r>
        <w:rPr>
          <w:iCs/>
          <w:i/>
          <w:bCs/>
          <w:b/>
        </w:rPr>
        <w:t xml:space="preserve">adrim</w:t>
      </w:r>
      <w:r>
        <w:rPr>
          <w:bCs/>
          <w:b/>
        </w:rPr>
        <w:t xml:space="preserve">)</w:t>
      </w:r>
      <w:r>
        <w:t xml:space="preserve"> </w:t>
      </w:r>
      <w:r>
        <w:t xml:space="preserve">—</w:t>
      </w:r>
      <w:r>
        <w:t xml:space="preserve"> </w:t>
      </w:r>
      <w:r>
        <w:rPr>
          <w:bCs/>
          <w:b/>
        </w:rPr>
        <w:t xml:space="preserve">अदिशदिभूशुभिभ्यः क्रिन्</w:t>
      </w:r>
      <w:r>
        <w:t xml:space="preserve"> </w:t>
      </w:r>
      <w:r>
        <w:t xml:space="preserve">(उ. सू. ४-५०३ as printed [?])</w:t>
      </w:r>
      <w:r>
        <w:t xml:space="preserve"> </w:t>
      </w:r>
      <w:r>
        <w:t xml:space="preserve">“</w:t>
      </w:r>
      <w:r>
        <w:t xml:space="preserve">krin</w:t>
      </w:r>
      <w:r>
        <w:t xml:space="preserve">”</w:t>
      </w:r>
      <w:r>
        <w:t xml:space="preserve"> </w:t>
      </w:r>
      <w:r>
        <w:t xml:space="preserve">after</w:t>
      </w:r>
      <w:r>
        <w:t xml:space="preserve"> </w:t>
      </w:r>
      <w:r>
        <w:t xml:space="preserve">“</w:t>
      </w:r>
      <w:r>
        <w:t xml:space="preserve">ad bhakṣaṇe</w:t>
      </w:r>
      <w:r>
        <w:t xml:space="preserve">”</w:t>
      </w:r>
      <w:r>
        <w:t xml:space="preserve"> </w:t>
      </w:r>
      <w:r>
        <w:t xml:space="preserve">(</w:t>
      </w:r>
      <w:r>
        <w:t xml:space="preserve">“</w:t>
      </w:r>
      <w:r>
        <w:t xml:space="preserve">adanti paśavas tṛṇādikam atra,</w:t>
      </w:r>
      <w:r>
        <w:t xml:space="preserve">”</w:t>
      </w:r>
      <w:r>
        <w:t xml:space="preserve"> </w:t>
      </w:r>
      <w:r>
        <w:t xml:space="preserve">where beasts eat grass):</w:t>
      </w:r>
      <w:r>
        <w:t xml:space="preserve"> </w:t>
      </w:r>
      <w:r>
        <w:t xml:space="preserve">“</w:t>
      </w:r>
      <w:r>
        <w:t xml:space="preserve">adri</w:t>
      </w:r>
      <w:r>
        <w:t xml:space="preserve">”</w:t>
      </w:r>
      <w:r>
        <w:t xml:space="preserve">;</w:t>
      </w:r>
      <w:r>
        <w:t xml:space="preserve"> </w:t>
      </w:r>
      <w:r>
        <w:t xml:space="preserve">“</w:t>
      </w:r>
      <w:r>
        <w:t xml:space="preserve">n</w:t>
      </w:r>
      <w:r>
        <w:t xml:space="preserve">”</w:t>
      </w:r>
      <w:r>
        <w:t xml:space="preserve">-marked, first-syllable acute.</w:t>
      </w:r>
    </w:p>
    <w:p>
      <w:pPr>
        <w:numPr>
          <w:ilvl w:val="0"/>
          <w:numId w:val="1040"/>
        </w:numPr>
        <w:pStyle w:val="Compact"/>
      </w:pPr>
      <w:r>
        <w:rPr>
          <w:bCs/>
          <w:b/>
        </w:rPr>
        <w:t xml:space="preserve">ऐरयत् (</w:t>
      </w:r>
      <w:r>
        <w:rPr>
          <w:iCs/>
          <w:i/>
          <w:bCs/>
          <w:b/>
        </w:rPr>
        <w:t xml:space="preserve">airayat</w:t>
      </w:r>
      <w:r>
        <w:rPr>
          <w:bCs/>
          <w:b/>
        </w:rPr>
        <w:t xml:space="preserve">)</w:t>
      </w:r>
      <w:r>
        <w:t xml:space="preserve"> </w:t>
      </w:r>
      <w:r>
        <w:t xml:space="preserve">—</w:t>
      </w:r>
      <w:r>
        <w:t xml:space="preserve"> </w:t>
      </w:r>
      <w:r>
        <w:t xml:space="preserve">“</w:t>
      </w:r>
      <w:r>
        <w:t xml:space="preserve">īra gatau</w:t>
      </w:r>
      <w:r>
        <w:t xml:space="preserve">”</w:t>
      </w:r>
      <w:r>
        <w:t xml:space="preserve"> </w:t>
      </w:r>
      <w:r>
        <w:t xml:space="preserve">with</w:t>
      </w:r>
      <w:r>
        <w:t xml:space="preserve"> </w:t>
      </w:r>
      <w:r>
        <w:rPr>
          <w:iCs/>
          <w:i/>
        </w:rPr>
        <w:t xml:space="preserve">ṇic</w:t>
      </w:r>
      <w:r>
        <w:t xml:space="preserve"> </w:t>
      </w:r>
      <w:r>
        <w:t xml:space="preserve">+</w:t>
      </w:r>
      <w:r>
        <w:t xml:space="preserve"> </w:t>
      </w:r>
      <w:r>
        <w:rPr>
          <w:iCs/>
          <w:i/>
        </w:rPr>
        <w:t xml:space="preserve">laṅ</w:t>
      </w:r>
      <w:r>
        <w:t xml:space="preserve">, third singular parasmaipada; unaccented by</w:t>
      </w:r>
      <w:r>
        <w:t xml:space="preserve"> </w:t>
      </w:r>
      <w:r>
        <w:t xml:space="preserve">“</w:t>
      </w:r>
      <w:r>
        <w:t xml:space="preserve">tiṅṅatiṅaḥ.</w:t>
      </w:r>
      <w:r>
        <w:t xml:space="preserve">”</w:t>
      </w:r>
    </w:p>
    <w:p>
      <w:pPr>
        <w:pStyle w:val="FirstParagraph"/>
      </w:pPr>
      <w:r>
        <w:rPr>
          <w:bCs/>
          <w:b/>
        </w:rPr>
        <w:t xml:space="preserve">॥३॥</w:t>
      </w:r>
    </w:p>
    <w:p>
      <w:pPr>
        <w:pStyle w:val="BodyText"/>
      </w:pPr>
      <w:r>
        <w:rPr>
          <w:iCs/>
          <w:i/>
        </w:rPr>
        <w:t xml:space="preserve">(These last items are on p. 272.)</w:t>
      </w:r>
    </w:p>
    <w:bookmarkEnd w:id="305"/>
    <w:bookmarkStart w:id="306" w:name="page-272-sūkta-7-rik-4"/>
    <w:p>
      <w:pPr>
        <w:pStyle w:val="Heading3"/>
      </w:pPr>
      <w:r>
        <w:t xml:space="preserve">Page 272 — Sūkta 7, Rik 4</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इन्द्र॒ वाजे॑षु नो ऽव स॒हस्र॑प्रधनेषु च ।</w:t>
      </w:r>
      <w:r>
        <w:t xml:space="preserve"> </w:t>
      </w:r>
      <w:r>
        <w:t xml:space="preserve">उ॒ग्र उ॒ग्राभि॑रू॒तिभिः॑ ॥४॥</w:t>
      </w:r>
    </w:p>
    <w:p>
      <w:pPr>
        <w:pStyle w:val="BlockText"/>
      </w:pPr>
      <w:r>
        <w:rPr>
          <w:iCs/>
          <w:i/>
        </w:rPr>
        <w:t xml:space="preserve">índra vā́jeṣu no ’va sahásrapradhaneṣu ca |</w:t>
      </w:r>
      <w:r>
        <w:t xml:space="preserve"> </w:t>
      </w:r>
      <w:r>
        <w:rPr>
          <w:iCs/>
          <w:i/>
        </w:rPr>
        <w:t xml:space="preserve">ugrá ugrā́bhir ūtíbhiḥ ||4||</w:t>
      </w:r>
    </w:p>
    <w:p>
      <w:pPr>
        <w:pStyle w:val="FirstParagraph"/>
      </w:pPr>
      <w:r>
        <w:rPr>
          <w:bCs/>
          <w:b/>
        </w:rPr>
        <w:t xml:space="preserve">॥ Pada-pāṭhaḥ ॥</w:t>
      </w:r>
    </w:p>
    <w:p>
      <w:pPr>
        <w:pStyle w:val="BlockText"/>
      </w:pPr>
      <w:r>
        <w:t xml:space="preserve">इन्द्र । वाजेषु । नः । अव । सहस्रऽप्रधनेषु । च ॥</w:t>
      </w:r>
      <w:r>
        <w:t xml:space="preserve"> </w:t>
      </w:r>
      <w:r>
        <w:t xml:space="preserve">उग्रः । उग्राभिः । ऊतिऽभिः ॥४॥</w:t>
      </w:r>
    </w:p>
    <w:p>
      <w:pPr>
        <w:pStyle w:val="BlockText"/>
      </w:pPr>
      <w:r>
        <w:rPr>
          <w:iCs/>
          <w:i/>
        </w:rPr>
        <w:t xml:space="preserve">indra | vājeṣu | naḥ | ava | sahasra-pradhaneṣu | ca ||</w:t>
      </w:r>
      <w:r>
        <w:t xml:space="preserve"> </w:t>
      </w:r>
      <w:r>
        <w:rPr>
          <w:iCs/>
          <w:i/>
        </w:rPr>
        <w:t xml:space="preserve">ugraḥ | ugrābhiḥ | ūti-bhiḥ ||4||</w:t>
      </w:r>
    </w:p>
    <w:p>
      <w:pPr>
        <w:pStyle w:val="FirstParagraph"/>
      </w:pPr>
      <w:r>
        <w:rPr>
          <w:bCs/>
          <w:b/>
        </w:rPr>
        <w:t xml:space="preserve">॥ Sāyaṇa-bhāṣyam ॥</w:t>
      </w:r>
    </w:p>
    <w:p>
      <w:pPr>
        <w:pStyle w:val="BlockText"/>
      </w:pPr>
      <w:r>
        <w:t xml:space="preserve">हे इन्द्र उग्रः शत्रुभिरप्रधृष्यस्त्वमुग्राभिरप्रधृष्याभिरूतिभिरस्मद्विषयरक्षाभिर्वाजेषु युद्धेषु नो ऽस्मानव रक्ष । तथा सहस्रप्रधनेषु च । सहस्रसंख्याकगजाश्वादिलाभयुक्तेषु महायुद्धेष्वपि रक्ष ॥</w:t>
      </w:r>
    </w:p>
    <w:p>
      <w:pPr>
        <w:pStyle w:val="BlockText"/>
      </w:pPr>
      <w:r>
        <w:rPr>
          <w:iCs/>
          <w:i/>
        </w:rPr>
        <w:t xml:space="preserve">he indra ugraḥ śatrubhir apradhṛṣyas tvam ugrābhir apradhṛṣyābhir ūtibhir asmad-viṣaya-rakṣābhir vājeṣu yuddheṣu no ’smān ava rakṣa | tathā sahasra-pradhaneṣu ca | sahasra-saṃkhyāka-gajāśvādi-lābha-yukteṣu mahā-yuddheṣv api rakṣa ||</w:t>
      </w:r>
    </w:p>
    <w:p>
      <w:pPr>
        <w:pStyle w:val="FirstParagraph"/>
      </w:pPr>
      <w:r>
        <w:rPr>
          <w:bCs/>
          <w:b/>
        </w:rPr>
        <w:t xml:space="preserve">Translation:</w:t>
      </w:r>
      <w:r>
        <w:t xml:space="preserve"> </w:t>
      </w:r>
      <w:r>
        <w:t xml:space="preserve">“</w:t>
      </w:r>
      <w:r>
        <w:t xml:space="preserve">O Indra! You —</w:t>
      </w:r>
      <w:r>
        <w:t xml:space="preserve"> </w:t>
      </w:r>
      <w:r>
        <w:rPr>
          <w:iCs/>
          <w:i/>
        </w:rPr>
        <w:t xml:space="preserve">ugra</w:t>
      </w:r>
      <w:r>
        <w:t xml:space="preserve">, unassailable to enemies — with your</w:t>
      </w:r>
      <w:r>
        <w:t xml:space="preserve"> </w:t>
      </w:r>
      <w:r>
        <w:rPr>
          <w:iCs/>
          <w:i/>
        </w:rPr>
        <w:t xml:space="preserve">ugra</w:t>
      </w:r>
      <w:r>
        <w:t xml:space="preserve"> </w:t>
      </w:r>
      <w:r>
        <w:t xml:space="preserve">protections (</w:t>
      </w:r>
      <w:r>
        <w:rPr>
          <w:iCs/>
          <w:i/>
        </w:rPr>
        <w:t xml:space="preserve">ūtibhiḥ</w:t>
      </w:r>
      <w:r>
        <w:t xml:space="preserve">), unassailable, directed to our concerns, protect us (</w:t>
      </w:r>
      <w:r>
        <w:rPr>
          <w:iCs/>
          <w:i/>
        </w:rPr>
        <w:t xml:space="preserve">naḥ ava</w:t>
      </w:r>
      <w:r>
        <w:t xml:space="preserve">) in battles (</w:t>
      </w:r>
      <w:r>
        <w:rPr>
          <w:iCs/>
          <w:i/>
        </w:rPr>
        <w:t xml:space="preserve">vājeṣu</w:t>
      </w:r>
      <w:r>
        <w:t xml:space="preserve">) — and likewise in the</w:t>
      </w:r>
      <w:r>
        <w:t xml:space="preserve"> </w:t>
      </w:r>
      <w:r>
        <w:rPr>
          <w:iCs/>
          <w:i/>
        </w:rPr>
        <w:t xml:space="preserve">sahasra-pradhanas</w:t>
      </w:r>
      <w:r>
        <w:t xml:space="preserve">, that is, even in great battles that bring the winning of thousands of elephants, horses and the like, protect us.</w:t>
      </w:r>
      <w:r>
        <w:t xml:space="preserve">”</w:t>
      </w:r>
    </w:p>
    <w:p>
      <w:pPr>
        <w:pStyle w:val="BodyText"/>
      </w:pPr>
      <w:r>
        <w:rPr>
          <w:bCs/>
          <w:b/>
        </w:rPr>
        <w:t xml:space="preserve">Grammar of the Bhāṣya (pp. 272–273; characterized, references as printed):</w:t>
      </w:r>
      <w:r>
        <w:t xml:space="preserve"> </w:t>
      </w:r>
      <w:r>
        <w:t xml:space="preserve">“</w:t>
      </w:r>
      <w:r>
        <w:t xml:space="preserve">Vājeṣu</w:t>
      </w:r>
      <w:r>
        <w:t xml:space="preserve">”</w:t>
      </w:r>
      <w:r>
        <w:t xml:space="preserve"> </w:t>
      </w:r>
      <w:r>
        <w:t xml:space="preserve">— first-syllable acute by</w:t>
      </w:r>
      <w:r>
        <w:t xml:space="preserve"> </w:t>
      </w:r>
      <w:r>
        <w:rPr>
          <w:bCs/>
          <w:b/>
        </w:rPr>
        <w:t xml:space="preserve">वृषादीनां च</w:t>
      </w:r>
      <w:r>
        <w:t xml:space="preserve"> </w:t>
      </w:r>
      <w:r>
        <w:t xml:space="preserve">(पा. ६-१-२०३).</w:t>
      </w:r>
      <w:r>
        <w:t xml:space="preserve"> </w:t>
      </w:r>
      <w:r>
        <w:t xml:space="preserve">“</w:t>
      </w:r>
      <w:r>
        <w:t xml:space="preserve">No ’va</w:t>
      </w:r>
      <w:r>
        <w:t xml:space="preserve">”</w:t>
      </w:r>
      <w:r>
        <w:t xml:space="preserve"> </w:t>
      </w:r>
      <w:r>
        <w:t xml:space="preserve">— the</w:t>
      </w:r>
      <w:r>
        <w:t xml:space="preserve"> </w:t>
      </w:r>
      <w:r>
        <w:t xml:space="preserve">“</w:t>
      </w:r>
      <w:r>
        <w:t xml:space="preserve">o</w:t>
      </w:r>
      <w:r>
        <w:t xml:space="preserve">”</w:t>
      </w:r>
      <w:r>
        <w:t xml:space="preserve"> </w:t>
      </w:r>
      <w:r>
        <w:t xml:space="preserve">from</w:t>
      </w:r>
      <w:r>
        <w:t xml:space="preserve"> </w:t>
      </w:r>
      <w:r>
        <w:t xml:space="preserve">“</w:t>
      </w:r>
      <w:r>
        <w:t xml:space="preserve">nas</w:t>
      </w:r>
      <w:r>
        <w:t xml:space="preserve">”</w:t>
      </w:r>
      <w:r>
        <w:t xml:space="preserve"> </w:t>
      </w:r>
      <w:r>
        <w:t xml:space="preserve">stays unchanged by</w:t>
      </w:r>
      <w:r>
        <w:t xml:space="preserve"> </w:t>
      </w:r>
      <w:r>
        <w:t xml:space="preserve">“</w:t>
      </w:r>
      <w:r>
        <w:t xml:space="preserve">prakṛtyāntaḥpādam…</w:t>
      </w:r>
      <w:r>
        <w:t xml:space="preserve">”</w:t>
      </w:r>
      <w:r>
        <w:t xml:space="preserve"> </w:t>
      </w:r>
      <w:r>
        <w:t xml:space="preserve">is not applicable, because of the prohibition</w:t>
      </w:r>
      <w:r>
        <w:t xml:space="preserve"> </w:t>
      </w:r>
      <w:r>
        <w:t xml:space="preserve">“</w:t>
      </w:r>
      <w:r>
        <w:t xml:space="preserve">avyapare</w:t>
      </w:r>
      <w:r>
        <w:t xml:space="preserve">”</w:t>
      </w:r>
      <w:r>
        <w:t xml:space="preserve"> </w:t>
      </w:r>
      <w:r>
        <w:t xml:space="preserve">(पा. ६-१-११५).</w:t>
      </w:r>
      <w:r>
        <w:t xml:space="preserve"> </w:t>
      </w:r>
      <w:r>
        <w:t xml:space="preserve">“</w:t>
      </w:r>
      <w:r>
        <w:t xml:space="preserve">Ava</w:t>
      </w:r>
      <w:r>
        <w:t xml:space="preserve">”</w:t>
      </w:r>
      <w:r>
        <w:t xml:space="preserve"> </w:t>
      </w:r>
      <w:r>
        <w:t xml:space="preserve">—</w:t>
      </w:r>
      <w:r>
        <w:t xml:space="preserve"> </w:t>
      </w:r>
      <w:r>
        <w:t xml:space="preserve">“</w:t>
      </w:r>
      <w:r>
        <w:t xml:space="preserve">ava rakṣaṇe</w:t>
      </w:r>
      <w:r>
        <w:t xml:space="preserve">”</w:t>
      </w:r>
      <w:r>
        <w:t xml:space="preserve">; nighāta by</w:t>
      </w:r>
      <w:r>
        <w:t xml:space="preserve"> </w:t>
      </w:r>
      <w:r>
        <w:t xml:space="preserve">“</w:t>
      </w:r>
      <w:r>
        <w:t xml:space="preserve">tiṅṅatiṅaḥ.</w:t>
      </w:r>
      <w:r>
        <w:t xml:space="preserve">”</w:t>
      </w:r>
      <w:r>
        <w:t xml:space="preserve"> </w:t>
      </w:r>
      <w:r>
        <w:t xml:space="preserve">Although, in relation to the verb to be supplied with</w:t>
      </w:r>
      <w:r>
        <w:t xml:space="preserve"> </w:t>
      </w:r>
      <w:r>
        <w:t xml:space="preserve">“</w:t>
      </w:r>
      <w:r>
        <w:t xml:space="preserve">sahasrapradhaneṣu ca,</w:t>
      </w:r>
      <w:r>
        <w:t xml:space="preserve">”</w:t>
      </w:r>
      <w:r>
        <w:t xml:space="preserve"> </w:t>
      </w:r>
      <w:r>
        <w:t xml:space="preserve">“</w:t>
      </w:r>
      <w:r>
        <w:t xml:space="preserve">ava</w:t>
      </w:r>
      <w:r>
        <w:t xml:space="preserve">”</w:t>
      </w:r>
      <w:r>
        <w:t xml:space="preserve"> </w:t>
      </w:r>
      <w:r>
        <w:t xml:space="preserve">is the first verb, and</w:t>
      </w:r>
      <w:r>
        <w:t xml:space="preserve"> </w:t>
      </w:r>
      <w:r>
        <w:rPr>
          <w:bCs/>
          <w:b/>
        </w:rPr>
        <w:t xml:space="preserve">चवायोगे प्रथमा</w:t>
      </w:r>
      <w:r>
        <w:t xml:space="preserve"> </w:t>
      </w:r>
      <w:r>
        <w:t xml:space="preserve">(पा. ८-१-५९) would forbid the nighāta, here in</w:t>
      </w:r>
      <w:r>
        <w:t xml:space="preserve"> </w:t>
      </w:r>
      <w:r>
        <w:t xml:space="preserve">“</w:t>
      </w:r>
      <w:r>
        <w:t xml:space="preserve">vājeṣu</w:t>
      </w:r>
      <w:r>
        <w:t xml:space="preserve">”</w:t>
      </w:r>
      <w:r>
        <w:t xml:space="preserve"> </w:t>
      </w:r>
      <w:r>
        <w:t xml:space="preserve">the</w:t>
      </w:r>
      <w:r>
        <w:t xml:space="preserve"> </w:t>
      </w:r>
      <w:r>
        <w:t xml:space="preserve">“</w:t>
      </w:r>
      <w:r>
        <w:t xml:space="preserve">ca</w:t>
      </w:r>
      <w:r>
        <w:t xml:space="preserve">”</w:t>
      </w:r>
      <w:r>
        <w:t xml:space="preserve"> </w:t>
      </w:r>
      <w:r>
        <w:t xml:space="preserve">is elided, and by</w:t>
      </w:r>
      <w:r>
        <w:t xml:space="preserve"> </w:t>
      </w:r>
      <w:r>
        <w:rPr>
          <w:bCs/>
          <w:b/>
        </w:rPr>
        <w:t xml:space="preserve">चादिलोपे विभाषा</w:t>
      </w:r>
      <w:r>
        <w:t xml:space="preserve"> </w:t>
      </w:r>
      <w:r>
        <w:t xml:space="preserve">(पा. ८-१-६३) the prohibition is optional, so the nighāta applies.</w:t>
      </w:r>
      <w:r>
        <w:t xml:space="preserve"> </w:t>
      </w:r>
      <w:r>
        <w:t xml:space="preserve">“</w:t>
      </w:r>
      <w:r>
        <w:t xml:space="preserve">Sahasra</w:t>
      </w:r>
      <w:r>
        <w:t xml:space="preserve">”</w:t>
      </w:r>
      <w:r>
        <w:t xml:space="preserve"> </w:t>
      </w:r>
      <w:r>
        <w:t xml:space="preserve">—</w:t>
      </w:r>
      <w:r>
        <w:t xml:space="preserve"> </w:t>
      </w:r>
      <w:r>
        <w:rPr>
          <w:bCs/>
          <w:b/>
        </w:rPr>
        <w:t xml:space="preserve">कर्दमादीनां च</w:t>
      </w:r>
      <w:r>
        <w:t xml:space="preserve"> </w:t>
      </w:r>
      <w:r>
        <w:t xml:space="preserve">(फि. ३-१०) middle-acute; in the bahuvrīhi the first member’s accent stays.</w:t>
      </w:r>
      <w:r>
        <w:t xml:space="preserve"> </w:t>
      </w:r>
      <w:r>
        <w:t xml:space="preserve">“</w:t>
      </w:r>
      <w:r>
        <w:t xml:space="preserve">Ugraḥ</w:t>
      </w:r>
      <w:r>
        <w:t xml:space="preserve">”</w:t>
      </w:r>
      <w:r>
        <w:t xml:space="preserve"> </w:t>
      </w:r>
      <w:r>
        <w:t xml:space="preserve">—</w:t>
      </w:r>
      <w:r>
        <w:t xml:space="preserve"> </w:t>
      </w:r>
      <w:r>
        <w:t xml:space="preserve">“</w:t>
      </w:r>
      <w:r>
        <w:t xml:space="preserve">uca samavāye,</w:t>
      </w:r>
      <w:r>
        <w:t xml:space="preserve">”</w:t>
      </w:r>
      <w:r>
        <w:t xml:space="preserve"> </w:t>
      </w:r>
      <w:r>
        <w:t xml:space="preserve">“</w:t>
      </w:r>
      <w:r>
        <w:t xml:space="preserve">c</w:t>
      </w:r>
      <w:r>
        <w:t xml:space="preserve">”</w:t>
      </w:r>
      <w:r>
        <w:t xml:space="preserve"> </w:t>
      </w:r>
      <w:r>
        <w:t xml:space="preserve">→</w:t>
      </w:r>
      <w:r>
        <w:t xml:space="preserve"> </w:t>
      </w:r>
      <w:r>
        <w:t xml:space="preserve">“</w:t>
      </w:r>
      <w:r>
        <w:t xml:space="preserve">g,</w:t>
      </w:r>
      <w:r>
        <w:t xml:space="preserve">”</w:t>
      </w:r>
      <w:r>
        <w:t xml:space="preserve"> </w:t>
      </w:r>
      <w:r>
        <w:t xml:space="preserve">“</w:t>
      </w:r>
      <w:r>
        <w:t xml:space="preserve">ran</w:t>
      </w:r>
      <w:r>
        <w:t xml:space="preserve">”</w:t>
      </w:r>
      <w:r>
        <w:t xml:space="preserve"> </w:t>
      </w:r>
      <w:r>
        <w:t xml:space="preserve">by</w:t>
      </w:r>
      <w:r>
        <w:t xml:space="preserve"> </w:t>
      </w:r>
      <w:r>
        <w:t xml:space="preserve">“</w:t>
      </w:r>
      <w:r>
        <w:t xml:space="preserve">ṛjrendra…</w:t>
      </w:r>
      <w:r>
        <w:t xml:space="preserve">”</w:t>
      </w:r>
      <w:r>
        <w:t xml:space="preserve">; end-acute by vyatyaya.</w:t>
      </w:r>
      <w:r>
        <w:t xml:space="preserve"> </w:t>
      </w:r>
      <w:r>
        <w:t xml:space="preserve">“</w:t>
      </w:r>
      <w:r>
        <w:t xml:space="preserve">Ūtibhiḥ</w:t>
      </w:r>
      <w:r>
        <w:t xml:space="preserve">”</w:t>
      </w:r>
      <w:r>
        <w:t xml:space="preserve"> </w:t>
      </w:r>
      <w:r>
        <w:t xml:space="preserve">—</w:t>
      </w:r>
      <w:r>
        <w:t xml:space="preserve"> </w:t>
      </w:r>
      <w:r>
        <w:t xml:space="preserve">“</w:t>
      </w:r>
      <w:r>
        <w:t xml:space="preserve">ktin</w:t>
      </w:r>
      <w:r>
        <w:t xml:space="preserve">”</w:t>
      </w:r>
      <w:r>
        <w:t xml:space="preserve"> </w:t>
      </w:r>
      <w:r>
        <w:t xml:space="preserve">acute by</w:t>
      </w:r>
      <w:r>
        <w:t xml:space="preserve"> </w:t>
      </w:r>
      <w:r>
        <w:t xml:space="preserve">“</w:t>
      </w:r>
      <w:r>
        <w:t xml:space="preserve">ūtiyūti…</w:t>
      </w:r>
      <w:r>
        <w:t xml:space="preserve">”</w:t>
      </w:r>
      <w:r>
        <w:t xml:space="preserve">.</w:t>
      </w:r>
    </w:p>
    <w:bookmarkEnd w:id="306"/>
    <w:bookmarkStart w:id="307" w:name="page-273"/>
    <w:p>
      <w:pPr>
        <w:pStyle w:val="Heading3"/>
      </w:pPr>
      <w:r>
        <w:t xml:space="preserve">Page 273</w:t>
      </w:r>
    </w:p>
    <w:p>
      <w:pPr>
        <w:pStyle w:val="FirstParagraph"/>
      </w:pPr>
      <w:r>
        <w:rPr>
          <w:bCs/>
          <w:b/>
        </w:rPr>
        <w:t xml:space="preserve">॥ Prati-padārthaḥ ॥</w:t>
      </w:r>
    </w:p>
    <w:p>
      <w:pPr>
        <w:pStyle w:val="BodyText"/>
      </w:pPr>
      <w:r>
        <w:rPr>
          <w:bCs/>
          <w:b/>
        </w:rPr>
        <w:t xml:space="preserve">(हे) इन्द्र ((he) indra)</w:t>
      </w:r>
      <w:r>
        <w:t xml:space="preserve"> </w:t>
      </w:r>
      <w:r>
        <w:t xml:space="preserve">— O Indra |</w:t>
      </w:r>
      <w:r>
        <w:t xml:space="preserve"> </w:t>
      </w:r>
      <w:r>
        <w:rPr>
          <w:bCs/>
          <w:b/>
        </w:rPr>
        <w:t xml:space="preserve">(त्वम्)</w:t>
      </w:r>
      <w:r>
        <w:t xml:space="preserve"> </w:t>
      </w:r>
      <w:r>
        <w:t xml:space="preserve">— you |</w:t>
      </w:r>
      <w:r>
        <w:t xml:space="preserve"> </w:t>
      </w:r>
      <w:r>
        <w:rPr>
          <w:bCs/>
          <w:b/>
        </w:rPr>
        <w:t xml:space="preserve">उग्रः (ugraḥ)</w:t>
      </w:r>
      <w:r>
        <w:t xml:space="preserve"> </w:t>
      </w:r>
      <w:r>
        <w:t xml:space="preserve">— one who cannot be conquered by enemies | (such you)</w:t>
      </w:r>
      <w:r>
        <w:t xml:space="preserve"> </w:t>
      </w:r>
      <w:r>
        <w:rPr>
          <w:bCs/>
          <w:b/>
        </w:rPr>
        <w:t xml:space="preserve">उग्राभिः (ugrābhiḥ)</w:t>
      </w:r>
      <w:r>
        <w:t xml:space="preserve"> </w:t>
      </w:r>
      <w:r>
        <w:t xml:space="preserve">— with those that cannot be overcome by enemies |</w:t>
      </w:r>
      <w:r>
        <w:t xml:space="preserve"> </w:t>
      </w:r>
      <w:r>
        <w:rPr>
          <w:bCs/>
          <w:b/>
        </w:rPr>
        <w:t xml:space="preserve">ऊतिभिः (ūtibhiḥ)</w:t>
      </w:r>
      <w:r>
        <w:t xml:space="preserve"> </w:t>
      </w:r>
      <w:r>
        <w:t xml:space="preserve">— with protections |</w:t>
      </w:r>
      <w:r>
        <w:t xml:space="preserve"> </w:t>
      </w:r>
      <w:r>
        <w:rPr>
          <w:bCs/>
          <w:b/>
        </w:rPr>
        <w:t xml:space="preserve">नः (naḥ)</w:t>
      </w:r>
      <w:r>
        <w:t xml:space="preserve"> </w:t>
      </w:r>
      <w:r>
        <w:t xml:space="preserve">— us |</w:t>
      </w:r>
      <w:r>
        <w:t xml:space="preserve"> </w:t>
      </w:r>
      <w:r>
        <w:rPr>
          <w:bCs/>
          <w:b/>
        </w:rPr>
        <w:t xml:space="preserve">वाजेषु (vājeṣu)</w:t>
      </w:r>
      <w:r>
        <w:t xml:space="preserve"> </w:t>
      </w:r>
      <w:r>
        <w:t xml:space="preserve">— in battles |</w:t>
      </w:r>
      <w:r>
        <w:t xml:space="preserve"> </w:t>
      </w:r>
      <w:r>
        <w:rPr>
          <w:bCs/>
          <w:b/>
        </w:rPr>
        <w:t xml:space="preserve">सहस्रप्रधनेषु (sahasrapradhaneṣu)</w:t>
      </w:r>
      <w:r>
        <w:t xml:space="preserve"> </w:t>
      </w:r>
      <w:r>
        <w:t xml:space="preserve">— in great battles in which unlimited spoil of elephants, horses, chariots and the like is obtained |</w:t>
      </w:r>
      <w:r>
        <w:t xml:space="preserve"> </w:t>
      </w:r>
      <w:r>
        <w:rPr>
          <w:bCs/>
          <w:b/>
        </w:rPr>
        <w:t xml:space="preserve">अव (ava)</w:t>
      </w:r>
      <w:r>
        <w:t xml:space="preserve"> </w:t>
      </w:r>
      <w:r>
        <w:t xml:space="preserve">— protect.</w:t>
      </w:r>
    </w:p>
    <w:p>
      <w:pPr>
        <w:pStyle w:val="BodyText"/>
      </w:pPr>
      <w:r>
        <w:rPr>
          <w:bCs/>
          <w:b/>
        </w:rPr>
        <w:t xml:space="preserve">॥ Bhāvārthaḥ ॥</w:t>
      </w:r>
    </w:p>
    <w:p>
      <w:pPr>
        <w:pStyle w:val="BodyText"/>
      </w:pPr>
      <w:r>
        <w:t xml:space="preserve">O Indra! You are</w:t>
      </w:r>
      <w:r>
        <w:t xml:space="preserve"> </w:t>
      </w:r>
      <w:r>
        <w:rPr>
          <w:iCs/>
          <w:i/>
        </w:rPr>
        <w:t xml:space="preserve">apradhṛṣya</w:t>
      </w:r>
      <w:r>
        <w:t xml:space="preserve"> </w:t>
      </w:r>
      <w:r>
        <w:t xml:space="preserve">— that is, enemies cannot conquer you. Such as you are: with your invincible protections (that is, helps), protect us in the great battles which we wage with our enemies for the gain of elephants, horses, chariots and the like.</w:t>
      </w:r>
    </w:p>
    <w:p>
      <w:pPr>
        <w:pStyle w:val="BodyText"/>
      </w:pPr>
      <w:r>
        <w:rPr>
          <w:bCs/>
          <w:b/>
        </w:rPr>
        <w:t xml:space="preserve">॥ English Translation ॥</w:t>
      </w:r>
      <w:r>
        <w:t xml:space="preserve"> </w:t>
      </w:r>
      <w:r>
        <w:rPr>
          <w:iCs/>
          <w:i/>
        </w:rPr>
        <w:t xml:space="preserve">(as printed in the source)</w:t>
      </w:r>
    </w:p>
    <w:p>
      <w:pPr>
        <w:pStyle w:val="BlockText"/>
      </w:pPr>
      <w:r>
        <w:t xml:space="preserve">O Indra, You are invincible; protect us with insuperable aids in battles where thousand-fold spoils are gained.</w:t>
      </w:r>
    </w:p>
    <w:p>
      <w:pPr>
        <w:pStyle w:val="FirstParagraph"/>
      </w:pPr>
      <w:r>
        <w:rPr>
          <w:bCs/>
          <w:b/>
        </w:rPr>
        <w:t xml:space="preserve">॥ Viśeṣa-viṣayagaḷu (Special Topics) ॥</w:t>
      </w:r>
    </w:p>
    <w:bookmarkEnd w:id="307"/>
    <w:bookmarkStart w:id="308" w:name="page-274"/>
    <w:p>
      <w:pPr>
        <w:pStyle w:val="Heading3"/>
      </w:pPr>
      <w:r>
        <w:t xml:space="preserve">Page 274</w:t>
      </w:r>
    </w:p>
    <w:p>
      <w:pPr>
        <w:pStyle w:val="FirstParagraph"/>
      </w:pPr>
      <w:r>
        <w:rPr>
          <w:iCs/>
          <w:i/>
        </w:rPr>
        <w:t xml:space="preserve">(The Special Topics begin at the foot of p. 273.)</w:t>
      </w:r>
    </w:p>
    <w:p>
      <w:pPr>
        <w:pStyle w:val="BodyText"/>
      </w:pPr>
      <w:r>
        <w:rPr>
          <w:bCs/>
          <w:b/>
        </w:rPr>
        <w:t xml:space="preserve">“</w:t>
      </w:r>
      <w:r>
        <w:rPr>
          <w:bCs/>
          <w:b/>
        </w:rPr>
        <w:t xml:space="preserve">Sahasrapradhaneṣu</w:t>
      </w:r>
      <w:r>
        <w:rPr>
          <w:bCs/>
          <w:b/>
        </w:rPr>
        <w:t xml:space="preserve">”</w:t>
      </w:r>
      <w:r>
        <w:t xml:space="preserve"> </w:t>
      </w:r>
      <w:r>
        <w:t xml:space="preserve">—</w:t>
      </w:r>
      <w:r>
        <w:t xml:space="preserve"> </w:t>
      </w:r>
      <w:r>
        <w:rPr>
          <w:iCs/>
          <w:i/>
        </w:rPr>
        <w:t xml:space="preserve">pradhana</w:t>
      </w:r>
      <w:r>
        <w:t xml:space="preserve"> </w:t>
      </w:r>
      <w:r>
        <w:t xml:space="preserve">or</w:t>
      </w:r>
      <w:r>
        <w:t xml:space="preserve"> </w:t>
      </w:r>
      <w:r>
        <w:rPr>
          <w:iCs/>
          <w:i/>
        </w:rPr>
        <w:t xml:space="preserve">mahādhana</w:t>
      </w:r>
      <w:r>
        <w:t xml:space="preserve"> </w:t>
      </w:r>
      <w:r>
        <w:t xml:space="preserve">means battle. (The word</w:t>
      </w:r>
      <w:r>
        <w:t xml:space="preserve"> </w:t>
      </w:r>
      <w:r>
        <w:rPr>
          <w:iCs/>
          <w:i/>
        </w:rPr>
        <w:t xml:space="preserve">mahādhana</w:t>
      </w:r>
      <w:r>
        <w:t xml:space="preserve"> </w:t>
      </w:r>
      <w:r>
        <w:t xml:space="preserve">is read among the</w:t>
      </w:r>
      <w:r>
        <w:t xml:space="preserve"> </w:t>
      </w:r>
      <w:r>
        <w:rPr>
          <w:bCs/>
          <w:b/>
        </w:rPr>
        <w:t xml:space="preserve">forty-six</w:t>
      </w:r>
      <w:r>
        <w:t xml:space="preserve"> </w:t>
      </w:r>
      <w:r>
        <w:t xml:space="preserve">words for</w:t>
      </w:r>
      <w:r>
        <w:t xml:space="preserve"> </w:t>
      </w:r>
      <w:r>
        <w:t xml:space="preserve">“</w:t>
      </w:r>
      <w:r>
        <w:t xml:space="preserve">battle,</w:t>
      </w:r>
      <w:r>
        <w:t xml:space="preserve">”</w:t>
      </w:r>
      <w:r>
        <w:t xml:space="preserve"> </w:t>
      </w:r>
      <w:r>
        <w:t xml:space="preserve">beginning with</w:t>
      </w:r>
      <w:r>
        <w:t xml:space="preserve"> </w:t>
      </w:r>
      <w:r>
        <w:rPr>
          <w:iCs/>
          <w:i/>
        </w:rPr>
        <w:t xml:space="preserve">raṇa</w:t>
      </w:r>
      <w:r>
        <w:t xml:space="preserve"> </w:t>
      </w:r>
      <w:r>
        <w:t xml:space="preserve">—</w:t>
      </w:r>
      <w:r>
        <w:t xml:space="preserve"> </w:t>
      </w:r>
      <w:r>
        <w:t xml:space="preserve">“</w:t>
      </w:r>
      <w:r>
        <w:t xml:space="preserve">Ni. 3-9</w:t>
      </w:r>
      <w:r>
        <w:t xml:space="preserve">”</w:t>
      </w:r>
      <w:r>
        <w:t xml:space="preserve"> </w:t>
      </w:r>
      <w:r>
        <w:t xml:space="preserve">as printed [?]; the usual place is Nighaṇṭu 2-17.) Since this rik already contains</w:t>
      </w:r>
      <w:r>
        <w:t xml:space="preserve"> </w:t>
      </w:r>
      <w:r>
        <w:rPr>
          <w:bCs/>
          <w:b/>
        </w:rPr>
        <w:t xml:space="preserve">another</w:t>
      </w:r>
      <w:r>
        <w:t xml:space="preserve"> </w:t>
      </w:r>
      <w:r>
        <w:t xml:space="preserve">word for battle,</w:t>
      </w:r>
      <w:r>
        <w:t xml:space="preserve"> </w:t>
      </w:r>
      <w:r>
        <w:rPr>
          <w:iCs/>
          <w:i/>
        </w:rPr>
        <w:t xml:space="preserve">vājeṣu</w:t>
      </w:r>
      <w:r>
        <w:t xml:space="preserve">, to take</w:t>
      </w:r>
      <w:r>
        <w:t xml:space="preserve"> </w:t>
      </w:r>
      <w:r>
        <w:rPr>
          <w:iCs/>
          <w:i/>
        </w:rPr>
        <w:t xml:space="preserve">pradhaneṣu</w:t>
      </w:r>
      <w:r>
        <w:t xml:space="preserve"> </w:t>
      </w:r>
      <w:r>
        <w:t xml:space="preserve">in</w:t>
      </w:r>
      <w:r>
        <w:t xml:space="preserve"> </w:t>
      </w:r>
      <w:r>
        <w:rPr>
          <w:iCs/>
          <w:i/>
        </w:rPr>
        <w:t xml:space="preserve">sahasrapradhaneṣu</w:t>
      </w:r>
      <w:r>
        <w:t xml:space="preserve"> </w:t>
      </w:r>
      <w:r>
        <w:t xml:space="preserve">as</w:t>
      </w:r>
      <w:r>
        <w:t xml:space="preserve"> </w:t>
      </w:r>
      <w:r>
        <w:t xml:space="preserve">“</w:t>
      </w:r>
      <w:r>
        <w:t xml:space="preserve">battle</w:t>
      </w:r>
      <w:r>
        <w:t xml:space="preserve">”</w:t>
      </w:r>
      <w:r>
        <w:t xml:space="preserve"> </w:t>
      </w:r>
      <w:r>
        <w:t xml:space="preserve">would bring about the fault of repetition (</w:t>
      </w:r>
      <w:r>
        <w:rPr>
          <w:iCs/>
          <w:i/>
        </w:rPr>
        <w:t xml:space="preserve">dviruktidoṣa</w:t>
      </w:r>
      <w:r>
        <w:t xml:space="preserve">) and the sense would not fit well.</w:t>
      </w:r>
      <w:r>
        <w:t xml:space="preserve"> </w:t>
      </w:r>
      <w:r>
        <w:rPr>
          <w:bCs/>
          <w:b/>
        </w:rPr>
        <w:t xml:space="preserve">The Bhāṣyakāra’s component-sense is therefore the right one</w:t>
      </w:r>
      <w:r>
        <w:t xml:space="preserve">: when one fights and conquers enemies, the elephants, horses, weapons, wealth, gold, vehicles and all other possessions that were with those enemies naturally come under the power of the victors. Thus Indra is prayed to give us suitable help in thousands of battles, so that we may conquer our enemies and take all their wealth, and that, at the same time, we may be protected, with no danger to our lives from the enemy.</w:t>
      </w:r>
    </w:p>
    <w:p>
      <w:pPr>
        <w:pStyle w:val="BodyText"/>
      </w:pPr>
      <w:r>
        <w:rPr>
          <w:bCs/>
          <w:b/>
        </w:rPr>
        <w:t xml:space="preserve">“</w:t>
      </w:r>
      <w:r>
        <w:rPr>
          <w:bCs/>
          <w:b/>
        </w:rPr>
        <w:t xml:space="preserve">Ugraḥ</w:t>
      </w:r>
      <w:r>
        <w:rPr>
          <w:bCs/>
          <w:b/>
        </w:rPr>
        <w:t xml:space="preserve">”</w:t>
      </w:r>
      <w:r>
        <w:t xml:space="preserve"> </w:t>
      </w:r>
      <w:r>
        <w:t xml:space="preserve">— may be taken in the senses</w:t>
      </w:r>
      <w:r>
        <w:t xml:space="preserve"> </w:t>
      </w:r>
      <w:r>
        <w:rPr>
          <w:iCs/>
          <w:i/>
        </w:rPr>
        <w:t xml:space="preserve">apradhṛṣya</w:t>
      </w:r>
      <w:r>
        <w:t xml:space="preserve"> </w:t>
      </w:r>
      <w:r>
        <w:t xml:space="preserve">(unassailable),</w:t>
      </w:r>
      <w:r>
        <w:t xml:space="preserve"> </w:t>
      </w:r>
      <w:r>
        <w:rPr>
          <w:iCs/>
          <w:i/>
        </w:rPr>
        <w:t xml:space="preserve">ajeya</w:t>
      </w:r>
      <w:r>
        <w:t xml:space="preserve"> </w:t>
      </w:r>
      <w:r>
        <w:t xml:space="preserve">(unconquerable),</w:t>
      </w:r>
      <w:r>
        <w:t xml:space="preserve"> </w:t>
      </w:r>
      <w:r>
        <w:rPr>
          <w:iCs/>
          <w:i/>
        </w:rPr>
        <w:t xml:space="preserve">sahisalaśakya</w:t>
      </w:r>
      <w:r>
        <w:t xml:space="preserve"> </w:t>
      </w:r>
      <w:r>
        <w:t xml:space="preserve">(not to be borne, i.e. irresistible),</w:t>
      </w:r>
      <w:r>
        <w:t xml:space="preserve"> </w:t>
      </w:r>
      <w:r>
        <w:rPr>
          <w:iCs/>
          <w:i/>
        </w:rPr>
        <w:t xml:space="preserve">parākramī</w:t>
      </w:r>
      <w:r>
        <w:t xml:space="preserve"> </w:t>
      </w:r>
      <w:r>
        <w:t xml:space="preserve">(valiant),</w:t>
      </w:r>
      <w:r>
        <w:t xml:space="preserve"> </w:t>
      </w:r>
      <w:r>
        <w:rPr>
          <w:iCs/>
          <w:i/>
        </w:rPr>
        <w:t xml:space="preserve">krūra</w:t>
      </w:r>
      <w:r>
        <w:t xml:space="preserve"> </w:t>
      </w:r>
      <w:r>
        <w:t xml:space="preserve">(fierce), etc.</w:t>
      </w:r>
    </w:p>
    <w:p>
      <w:pPr>
        <w:pStyle w:val="BodyText"/>
      </w:pPr>
      <w:r>
        <w:rPr>
          <w:bCs/>
          <w:b/>
        </w:rPr>
        <w:t xml:space="preserve">॥ Vyākaraṇa-prakriyā ॥</w:t>
      </w:r>
    </w:p>
    <w:p>
      <w:pPr>
        <w:pStyle w:val="BodyText"/>
      </w:pPr>
      <w:r>
        <w:rPr>
          <w:iCs/>
          <w:i/>
        </w:rPr>
        <w:t xml:space="preserve">(Pages 274–275. Characterized; numbers as printed.)</w:t>
      </w:r>
    </w:p>
    <w:p>
      <w:pPr>
        <w:numPr>
          <w:ilvl w:val="0"/>
          <w:numId w:val="1041"/>
        </w:numPr>
        <w:pStyle w:val="Compact"/>
      </w:pPr>
      <w:r>
        <w:rPr>
          <w:bCs/>
          <w:b/>
        </w:rPr>
        <w:t xml:space="preserve">वाजे (</w:t>
      </w:r>
      <w:r>
        <w:rPr>
          <w:iCs/>
          <w:i/>
          <w:bCs/>
          <w:b/>
        </w:rPr>
        <w:t xml:space="preserve">vāje</w:t>
      </w:r>
      <w:r>
        <w:rPr>
          <w:bCs/>
          <w:b/>
        </w:rPr>
        <w:t xml:space="preserve">)</w:t>
      </w:r>
      <w:r>
        <w:t xml:space="preserve"> </w:t>
      </w:r>
      <w:r>
        <w:t xml:space="preserve">— initial-udātta by</w:t>
      </w:r>
      <w:r>
        <w:t xml:space="preserve"> </w:t>
      </w:r>
      <w:r>
        <w:t xml:space="preserve">“</w:t>
      </w:r>
      <w:r>
        <w:t xml:space="preserve">vṛṣādīnāṃ ca</w:t>
      </w:r>
      <w:r>
        <w:t xml:space="preserve">”</w:t>
      </w:r>
      <w:r>
        <w:t xml:space="preserve"> </w:t>
      </w:r>
      <w:r>
        <w:t xml:space="preserve">(Pā. 6-1-203);</w:t>
      </w:r>
      <w:r>
        <w:t xml:space="preserve"> </w:t>
      </w:r>
      <w:r>
        <w:rPr>
          <w:iCs/>
          <w:i/>
        </w:rPr>
        <w:t xml:space="preserve">vāja</w:t>
      </w:r>
      <w:r>
        <w:t xml:space="preserve"> </w:t>
      </w:r>
      <w:r>
        <w:t xml:space="preserve">is to be reckoned among the</w:t>
      </w:r>
      <w:r>
        <w:t xml:space="preserve"> </w:t>
      </w:r>
      <w:r>
        <w:rPr>
          <w:iCs/>
          <w:i/>
        </w:rPr>
        <w:t xml:space="preserve">vṛṣādi</w:t>
      </w:r>
      <w:r>
        <w:t xml:space="preserve"> </w:t>
      </w:r>
      <w:r>
        <w:t xml:space="preserve">words because that group is an</w:t>
      </w:r>
      <w:r>
        <w:t xml:space="preserve"> </w:t>
      </w:r>
      <w:r>
        <w:rPr>
          <w:iCs/>
          <w:i/>
        </w:rPr>
        <w:t xml:space="preserve">ākṛti-gaṇa</w:t>
      </w:r>
      <w:r>
        <w:t xml:space="preserve">.</w:t>
      </w:r>
    </w:p>
    <w:p>
      <w:pPr>
        <w:numPr>
          <w:ilvl w:val="0"/>
          <w:numId w:val="1041"/>
        </w:numPr>
        <w:pStyle w:val="Compact"/>
      </w:pPr>
      <w:r>
        <w:rPr>
          <w:bCs/>
          <w:b/>
        </w:rPr>
        <w:t xml:space="preserve">नो ऽव (</w:t>
      </w:r>
      <w:r>
        <w:rPr>
          <w:iCs/>
          <w:i/>
          <w:bCs/>
          <w:b/>
        </w:rPr>
        <w:t xml:space="preserve">no ’va</w:t>
      </w:r>
      <w:r>
        <w:rPr>
          <w:bCs/>
          <w:b/>
        </w:rPr>
        <w:t xml:space="preserve">)</w:t>
      </w:r>
      <w:r>
        <w:t xml:space="preserve"> </w:t>
      </w:r>
      <w:r>
        <w:t xml:space="preserve">—</w:t>
      </w:r>
      <w:r>
        <w:t xml:space="preserve"> </w:t>
      </w:r>
      <w:r>
        <w:rPr>
          <w:bCs/>
          <w:b/>
        </w:rPr>
        <w:t xml:space="preserve">बहुवचनस्य वस्नसौ</w:t>
      </w:r>
      <w:r>
        <w:t xml:space="preserve"> </w:t>
      </w:r>
      <w:r>
        <w:t xml:space="preserve">(पा. सू. ८-१-२१): after a word, not at the start of a pāda, the plural genitive, dative and accusative of</w:t>
      </w:r>
      <w:r>
        <w:t xml:space="preserve"> </w:t>
      </w:r>
      <w:r>
        <w:t xml:space="preserve">“</w:t>
      </w:r>
      <w:r>
        <w:t xml:space="preserve">yuṣmad, asmad</w:t>
      </w:r>
      <w:r>
        <w:t xml:space="preserve">”</w:t>
      </w:r>
      <w:r>
        <w:t xml:space="preserve"> </w:t>
      </w:r>
      <w:r>
        <w:t xml:space="preserve">become the unaccented</w:t>
      </w:r>
      <w:r>
        <w:t xml:space="preserve"> </w:t>
      </w:r>
      <w:r>
        <w:t xml:space="preserve">“</w:t>
      </w:r>
      <w:r>
        <w:t xml:space="preserve">vas, nas</w:t>
      </w:r>
      <w:r>
        <w:t xml:space="preserve">”</w:t>
      </w:r>
      <w:r>
        <w:t xml:space="preserve">; so</w:t>
      </w:r>
      <w:r>
        <w:t xml:space="preserve"> </w:t>
      </w:r>
      <w:r>
        <w:t xml:space="preserve">“</w:t>
      </w:r>
      <w:r>
        <w:t xml:space="preserve">asmān</w:t>
      </w:r>
      <w:r>
        <w:t xml:space="preserve">”</w:t>
      </w:r>
      <w:r>
        <w:t xml:space="preserve"> </w:t>
      </w:r>
      <w:r>
        <w:t xml:space="preserve">→</w:t>
      </w:r>
      <w:r>
        <w:t xml:space="preserve"> </w:t>
      </w:r>
      <w:r>
        <w:t xml:space="preserve">“</w:t>
      </w:r>
      <w:r>
        <w:t xml:space="preserve">nas</w:t>
      </w:r>
      <w:r>
        <w:t xml:space="preserve">”</w:t>
      </w:r>
      <w:r>
        <w:t xml:space="preserve">;</w:t>
      </w:r>
      <w:r>
        <w:t xml:space="preserve"> </w:t>
      </w:r>
      <w:r>
        <w:rPr>
          <w:bCs/>
          <w:b/>
        </w:rPr>
        <w:t xml:space="preserve">ससजुषो रुः</w:t>
      </w:r>
      <w:r>
        <w:t xml:space="preserve"> </w:t>
      </w:r>
      <w:r>
        <w:t xml:space="preserve">(पा. सू.</w:t>
      </w:r>
      <w:r>
        <w:t xml:space="preserve"> </w:t>
      </w:r>
      <w:r>
        <w:t xml:space="preserve">“</w:t>
      </w:r>
      <w:r>
        <w:t xml:space="preserve">९-२-६६</w:t>
      </w:r>
      <w:r>
        <w:t xml:space="preserve">”</w:t>
      </w:r>
      <w:r>
        <w:t xml:space="preserve"> </w:t>
      </w:r>
      <w:r>
        <w:t xml:space="preserve">as printed, i.e. 8-2-66)</w:t>
      </w:r>
      <w:r>
        <w:t xml:space="preserve"> </w:t>
      </w:r>
      <w:r>
        <w:t xml:space="preserve">“</w:t>
      </w:r>
      <w:r>
        <w:t xml:space="preserve">ru</w:t>
      </w:r>
      <w:r>
        <w:t xml:space="preserve">”</w:t>
      </w:r>
      <w:r>
        <w:t xml:space="preserve">;</w:t>
      </w:r>
      <w:r>
        <w:t xml:space="preserve"> </w:t>
      </w:r>
      <w:r>
        <w:rPr>
          <w:bCs/>
          <w:b/>
        </w:rPr>
        <w:t xml:space="preserve">अतो रोरप्लुतादप्लुते</w:t>
      </w:r>
      <w:r>
        <w:t xml:space="preserve"> </w:t>
      </w:r>
      <w:r>
        <w:t xml:space="preserve">(पा. सू. ६-१-११३)</w:t>
      </w:r>
      <w:r>
        <w:t xml:space="preserve"> </w:t>
      </w:r>
      <w:r>
        <w:t xml:space="preserve">“</w:t>
      </w:r>
      <w:r>
        <w:t xml:space="preserve">u</w:t>
      </w:r>
      <w:r>
        <w:t xml:space="preserve">”</w:t>
      </w:r>
      <w:r>
        <w:t xml:space="preserve">;</w:t>
      </w:r>
      <w:r>
        <w:t xml:space="preserve"> </w:t>
      </w:r>
      <w:r>
        <w:rPr>
          <w:bCs/>
          <w:b/>
        </w:rPr>
        <w:t xml:space="preserve">आद्गुणः</w:t>
      </w:r>
      <w:r>
        <w:t xml:space="preserve"> </w:t>
      </w:r>
      <w:r>
        <w:t xml:space="preserve">(पा. सू. ६-१-८७)</w:t>
      </w:r>
      <w:r>
        <w:t xml:space="preserve"> </w:t>
      </w:r>
      <w:r>
        <w:t xml:space="preserve">“</w:t>
      </w:r>
      <w:r>
        <w:t xml:space="preserve">no + ava.</w:t>
      </w:r>
      <w:r>
        <w:t xml:space="preserve">”</w:t>
      </w:r>
      <w:r>
        <w:t xml:space="preserve"> </w:t>
      </w:r>
      <w:r>
        <w:rPr>
          <w:bCs/>
          <w:b/>
        </w:rPr>
        <w:t xml:space="preserve">प्रकृत्यान्तःपादमव्यपरे</w:t>
      </w:r>
      <w:r>
        <w:t xml:space="preserve"> </w:t>
      </w:r>
      <w:r>
        <w:t xml:space="preserve">(पा. सू. ६-१-११५) would keep</w:t>
      </w:r>
      <w:r>
        <w:t xml:space="preserve"> </w:t>
      </w:r>
      <w:r>
        <w:t xml:space="preserve">“</w:t>
      </w:r>
      <w:r>
        <w:t xml:space="preserve">e, o</w:t>
      </w:r>
      <w:r>
        <w:t xml:space="preserve">”</w:t>
      </w:r>
      <w:r>
        <w:t xml:space="preserve"> </w:t>
      </w:r>
      <w:r>
        <w:t xml:space="preserve">unchanged inside a pāda before a short</w:t>
      </w:r>
      <w:r>
        <w:t xml:space="preserve"> </w:t>
      </w:r>
      <w:r>
        <w:t xml:space="preserve">“</w:t>
      </w:r>
      <w:r>
        <w:t xml:space="preserve">a,</w:t>
      </w:r>
      <w:r>
        <w:t xml:space="preserve">”</w:t>
      </w:r>
      <w:r>
        <w:t xml:space="preserve"> </w:t>
      </w:r>
      <w:r>
        <w:t xml:space="preserve">but not before an</w:t>
      </w:r>
      <w:r>
        <w:t xml:space="preserve"> </w:t>
      </w:r>
      <w:r>
        <w:t xml:space="preserve">“</w:t>
      </w:r>
      <w:r>
        <w:t xml:space="preserve">a</w:t>
      </w:r>
      <w:r>
        <w:t xml:space="preserve">”</w:t>
      </w:r>
      <w:r>
        <w:t xml:space="preserve"> </w:t>
      </w:r>
      <w:r>
        <w:t xml:space="preserve">followed by</w:t>
      </w:r>
      <w:r>
        <w:t xml:space="preserve"> </w:t>
      </w:r>
      <w:r>
        <w:t xml:space="preserve">“</w:t>
      </w:r>
      <w:r>
        <w:t xml:space="preserve">v</w:t>
      </w:r>
      <w:r>
        <w:t xml:space="preserve">”</w:t>
      </w:r>
      <w:r>
        <w:t xml:space="preserve"> </w:t>
      </w:r>
      <w:r>
        <w:t xml:space="preserve">or</w:t>
      </w:r>
      <w:r>
        <w:t xml:space="preserve"> </w:t>
      </w:r>
      <w:r>
        <w:t xml:space="preserve">“</w:t>
      </w:r>
      <w:r>
        <w:t xml:space="preserve">y</w:t>
      </w:r>
      <w:r>
        <w:t xml:space="preserve">”</w:t>
      </w:r>
      <w:r>
        <w:t xml:space="preserve"> </w:t>
      </w:r>
      <w:r>
        <w:t xml:space="preserve">(</w:t>
      </w:r>
      <w:r>
        <w:t xml:space="preserve">“</w:t>
      </w:r>
      <w:r>
        <w:t xml:space="preserve">avyapare</w:t>
      </w:r>
      <w:r>
        <w:t xml:space="preserve">”</w:t>
      </w:r>
      <w:r>
        <w:t xml:space="preserve">); here the</w:t>
      </w:r>
      <w:r>
        <w:t xml:space="preserve"> </w:t>
      </w:r>
      <w:r>
        <w:t xml:space="preserve">“</w:t>
      </w:r>
      <w:r>
        <w:t xml:space="preserve">a</w:t>
      </w:r>
      <w:r>
        <w:t xml:space="preserve">”</w:t>
      </w:r>
      <w:r>
        <w:t xml:space="preserve"> </w:t>
      </w:r>
      <w:r>
        <w:t xml:space="preserve">is followed by</w:t>
      </w:r>
      <w:r>
        <w:t xml:space="preserve"> </w:t>
      </w:r>
      <w:r>
        <w:t xml:space="preserve">“</w:t>
      </w:r>
      <w:r>
        <w:t xml:space="preserve">v,</w:t>
      </w:r>
      <w:r>
        <w:t xml:space="preserve">”</w:t>
      </w:r>
      <w:r>
        <w:t xml:space="preserve"> </w:t>
      </w:r>
      <w:r>
        <w:t xml:space="preserve">so</w:t>
      </w:r>
      <w:r>
        <w:t xml:space="preserve"> </w:t>
      </w:r>
      <w:r>
        <w:rPr>
          <w:bCs/>
          <w:b/>
        </w:rPr>
        <w:t xml:space="preserve">एङः पदान्तादति</w:t>
      </w:r>
      <w:r>
        <w:t xml:space="preserve"> </w:t>
      </w:r>
      <w:r>
        <w:t xml:space="preserve">(पा. सू. ६-१-१०९) gives the prior form:</w:t>
      </w:r>
      <w:r>
        <w:t xml:space="preserve"> </w:t>
      </w:r>
      <w:r>
        <w:t xml:space="preserve">“</w:t>
      </w:r>
      <w:r>
        <w:t xml:space="preserve">no ’va.</w:t>
      </w:r>
      <w:r>
        <w:t xml:space="preserve">”</w:t>
      </w:r>
    </w:p>
    <w:p>
      <w:pPr>
        <w:numPr>
          <w:ilvl w:val="0"/>
          <w:numId w:val="1041"/>
        </w:numPr>
        <w:pStyle w:val="Compact"/>
      </w:pPr>
      <w:r>
        <w:rPr>
          <w:bCs/>
          <w:b/>
        </w:rPr>
        <w:t xml:space="preserve">अव (</w:t>
      </w:r>
      <w:r>
        <w:rPr>
          <w:iCs/>
          <w:i/>
          <w:bCs/>
          <w:b/>
        </w:rPr>
        <w:t xml:space="preserve">ava</w:t>
      </w:r>
      <w:r>
        <w:rPr>
          <w:bCs/>
          <w:b/>
        </w:rPr>
        <w:t xml:space="preserve">)</w:t>
      </w:r>
      <w:r>
        <w:t xml:space="preserve"> </w:t>
      </w:r>
      <w:r>
        <w:t xml:space="preserve">—</w:t>
      </w:r>
      <w:r>
        <w:t xml:space="preserve"> </w:t>
      </w:r>
      <w:r>
        <w:t xml:space="preserve">“</w:t>
      </w:r>
      <w:r>
        <w:t xml:space="preserve">ava rakṣaṇe,</w:t>
      </w:r>
      <w:r>
        <w:t xml:space="preserve">”</w:t>
      </w:r>
      <w:r>
        <w:t xml:space="preserve"> </w:t>
      </w:r>
      <w:r>
        <w:t xml:space="preserve">unaccented by</w:t>
      </w:r>
      <w:r>
        <w:t xml:space="preserve"> </w:t>
      </w:r>
      <w:r>
        <w:rPr>
          <w:bCs/>
          <w:b/>
        </w:rPr>
        <w:t xml:space="preserve">तिङ्ङतिङः</w:t>
      </w:r>
      <w:r>
        <w:t xml:space="preserve"> </w:t>
      </w:r>
      <w:r>
        <w:t xml:space="preserve">(पा. सू. ८-१-२८). There are two sentences (</w:t>
      </w:r>
      <w:r>
        <w:t xml:space="preserve">“</w:t>
      </w:r>
      <w:r>
        <w:t xml:space="preserve">indra vājeṣu no ’va</w:t>
      </w:r>
      <w:r>
        <w:t xml:space="preserve">”</w:t>
      </w:r>
      <w:r>
        <w:t xml:space="preserve"> </w:t>
      </w:r>
      <w:r>
        <w:t xml:space="preserve">and</w:t>
      </w:r>
      <w:r>
        <w:t xml:space="preserve"> </w:t>
      </w:r>
      <w:r>
        <w:t xml:space="preserve">“</w:t>
      </w:r>
      <w:r>
        <w:t xml:space="preserve">sahasrapradhaneṣu ca no ’va</w:t>
      </w:r>
      <w:r>
        <w:t xml:space="preserve">”</w:t>
      </w:r>
      <w:r>
        <w:t xml:space="preserve">); the</w:t>
      </w:r>
      <w:r>
        <w:t xml:space="preserve"> </w:t>
      </w:r>
      <w:r>
        <w:t xml:space="preserve">“</w:t>
      </w:r>
      <w:r>
        <w:t xml:space="preserve">ava</w:t>
      </w:r>
      <w:r>
        <w:t xml:space="preserve">”</w:t>
      </w:r>
      <w:r>
        <w:t xml:space="preserve"> </w:t>
      </w:r>
      <w:r>
        <w:t xml:space="preserve">of the first is</w:t>
      </w:r>
      <w:r>
        <w:t xml:space="preserve"> </w:t>
      </w:r>
      <w:r>
        <w:t xml:space="preserve">“</w:t>
      </w:r>
      <w:r>
        <w:t xml:space="preserve">first-uttered</w:t>
      </w:r>
      <w:r>
        <w:t xml:space="preserve">”</w:t>
      </w:r>
      <w:r>
        <w:t xml:space="preserve"> </w:t>
      </w:r>
      <w:r>
        <w:t xml:space="preserve">with respect to the one supplied in the second, so</w:t>
      </w:r>
      <w:r>
        <w:t xml:space="preserve"> </w:t>
      </w:r>
      <w:r>
        <w:rPr>
          <w:bCs/>
          <w:b/>
        </w:rPr>
        <w:t xml:space="preserve">चवायोगे प्रथमा</w:t>
      </w:r>
      <w:r>
        <w:t xml:space="preserve"> </w:t>
      </w:r>
      <w:r>
        <w:t xml:space="preserve">(पा. सू. ८-१-५९) would forbid its nighāta; but</w:t>
      </w:r>
      <w:r>
        <w:t xml:space="preserve"> </w:t>
      </w:r>
      <w:r>
        <w:rPr>
          <w:bCs/>
          <w:b/>
        </w:rPr>
        <w:t xml:space="preserve">चादिलोपे विभाषा</w:t>
      </w:r>
      <w:r>
        <w:t xml:space="preserve"> </w:t>
      </w:r>
      <w:r>
        <w:t xml:space="preserve">(पा. सू. ८-१-६३) makes the prohibition optional when</w:t>
      </w:r>
      <w:r>
        <w:t xml:space="preserve"> </w:t>
      </w:r>
      <w:r>
        <w:t xml:space="preserve">“</w:t>
      </w:r>
      <w:r>
        <w:t xml:space="preserve">ca, vā, ha, aha, eva</w:t>
      </w:r>
      <w:r>
        <w:t xml:space="preserve">”</w:t>
      </w:r>
      <w:r>
        <w:t xml:space="preserve"> </w:t>
      </w:r>
      <w:r>
        <w:t xml:space="preserve">are</w:t>
      </w:r>
      <w:r>
        <w:t xml:space="preserve"> </w:t>
      </w:r>
      <w:r>
        <w:t xml:space="preserve">“</w:t>
      </w:r>
      <w:r>
        <w:t xml:space="preserve">lost,</w:t>
      </w:r>
      <w:r>
        <w:t xml:space="preserve">”</w:t>
      </w:r>
      <w:r>
        <w:t xml:space="preserve"> </w:t>
      </w:r>
      <w:r>
        <w:t xml:space="preserve">that is, not uttered — here no</w:t>
      </w:r>
      <w:r>
        <w:t xml:space="preserve"> </w:t>
      </w:r>
      <w:r>
        <w:t xml:space="preserve">“</w:t>
      </w:r>
      <w:r>
        <w:t xml:space="preserve">ca</w:t>
      </w:r>
      <w:r>
        <w:t xml:space="preserve">”</w:t>
      </w:r>
      <w:r>
        <w:t xml:space="preserve"> </w:t>
      </w:r>
      <w:r>
        <w:t xml:space="preserve">is uttered in the first sentence — so where the prohibition does not apply the verb is unaccented.</w:t>
      </w:r>
    </w:p>
    <w:p>
      <w:pPr>
        <w:numPr>
          <w:ilvl w:val="0"/>
          <w:numId w:val="1041"/>
        </w:numPr>
        <w:pStyle w:val="Compact"/>
      </w:pPr>
      <w:r>
        <w:rPr>
          <w:bCs/>
          <w:b/>
        </w:rPr>
        <w:t xml:space="preserve">सहस्रप्रधनेषु (</w:t>
      </w:r>
      <w:r>
        <w:rPr>
          <w:iCs/>
          <w:i/>
          <w:bCs/>
          <w:b/>
        </w:rPr>
        <w:t xml:space="preserve">sahasrapradhaneṣu</w:t>
      </w:r>
      <w:r>
        <w:rPr>
          <w:bCs/>
          <w:b/>
        </w:rPr>
        <w:t xml:space="preserve">)</w:t>
      </w:r>
      <w:r>
        <w:t xml:space="preserve"> </w:t>
      </w:r>
      <w:r>
        <w:t xml:space="preserve">— by</w:t>
      </w:r>
      <w:r>
        <w:t xml:space="preserve"> </w:t>
      </w:r>
      <w:r>
        <w:rPr>
          <w:bCs/>
          <w:b/>
        </w:rPr>
        <w:t xml:space="preserve">कर्दमादीनां च</w:t>
      </w:r>
      <w:r>
        <w:t xml:space="preserve"> </w:t>
      </w:r>
      <w:r>
        <w:t xml:space="preserve">(फि. सू. ५९ [?]) the words of this list are acute on the first or the second syllable, so</w:t>
      </w:r>
      <w:r>
        <w:t xml:space="preserve"> </w:t>
      </w:r>
      <w:r>
        <w:t xml:space="preserve">“</w:t>
      </w:r>
      <w:r>
        <w:t xml:space="preserve">sahasra</w:t>
      </w:r>
      <w:r>
        <w:t xml:space="preserve">”</w:t>
      </w:r>
      <w:r>
        <w:t xml:space="preserve"> </w:t>
      </w:r>
      <w:r>
        <w:t xml:space="preserve">has the acute on</w:t>
      </w:r>
      <w:r>
        <w:t xml:space="preserve"> </w:t>
      </w:r>
      <w:r>
        <w:t xml:space="preserve">“</w:t>
      </w:r>
      <w:r>
        <w:t xml:space="preserve">ha</w:t>
      </w:r>
      <w:r>
        <w:t xml:space="preserve">”</w:t>
      </w:r>
      <w:r>
        <w:t xml:space="preserve">: middle-acute; as a bahuvrīhi it retains the first member’s accent (Pā. 6-2-1).</w:t>
      </w:r>
    </w:p>
    <w:p>
      <w:pPr>
        <w:numPr>
          <w:ilvl w:val="0"/>
          <w:numId w:val="1041"/>
        </w:numPr>
        <w:pStyle w:val="Compact"/>
      </w:pPr>
      <w:r>
        <w:rPr>
          <w:bCs/>
          <w:b/>
        </w:rPr>
        <w:t xml:space="preserve">उग्रः (</w:t>
      </w:r>
      <w:r>
        <w:rPr>
          <w:iCs/>
          <w:i/>
          <w:bCs/>
          <w:b/>
        </w:rPr>
        <w:t xml:space="preserve">ugraḥ</w:t>
      </w:r>
      <w:r>
        <w:rPr>
          <w:bCs/>
          <w:b/>
        </w:rPr>
        <w:t xml:space="preserve">)</w:t>
      </w:r>
      <w:r>
        <w:t xml:space="preserve"> </w:t>
      </w:r>
      <w:r>
        <w:t xml:space="preserve">— from</w:t>
      </w:r>
      <w:r>
        <w:t xml:space="preserve"> </w:t>
      </w:r>
      <w:r>
        <w:rPr>
          <w:iCs/>
          <w:i/>
        </w:rPr>
        <w:t xml:space="preserve">uc</w:t>
      </w:r>
      <w:r>
        <w:t xml:space="preserve"> </w:t>
      </w:r>
      <w:r>
        <w:t xml:space="preserve">(</w:t>
      </w:r>
      <w:r>
        <w:t xml:space="preserve">“</w:t>
      </w:r>
      <w:r>
        <w:t xml:space="preserve">to be pleased, to gather</w:t>
      </w:r>
      <w:r>
        <w:t xml:space="preserve">”</w:t>
      </w:r>
      <w:r>
        <w:t xml:space="preserve">) with the</w:t>
      </w:r>
      <w:r>
        <w:t xml:space="preserve"> </w:t>
      </w:r>
      <w:r>
        <w:rPr>
          <w:iCs/>
          <w:i/>
        </w:rPr>
        <w:t xml:space="preserve">ran</w:t>
      </w:r>
      <w:r>
        <w:t xml:space="preserve"> </w:t>
      </w:r>
      <w:r>
        <w:t xml:space="preserve">suffix of the Uṇādi-sūtra (</w:t>
      </w:r>
      <w:r>
        <w:rPr>
          <w:bCs/>
          <w:b/>
        </w:rPr>
        <w:t xml:space="preserve">ऋज्रेन्द्राग्रवज्रविप्रकुब्रचुब्रक्षुरखुरभद्रोग्रभेरभेलशुक्रशुक्लगौरवन्नेरमालाः</w:t>
      </w:r>
      <w:r>
        <w:t xml:space="preserve">, उ. सू. २-१८६), which forms these nineteen words with</w:t>
      </w:r>
      <w:r>
        <w:t xml:space="preserve"> </w:t>
      </w:r>
      <w:r>
        <w:t xml:space="preserve">“</w:t>
      </w:r>
      <w:r>
        <w:t xml:space="preserve">ran</w:t>
      </w:r>
      <w:r>
        <w:t xml:space="preserve">”</w:t>
      </w:r>
      <w:r>
        <w:t xml:space="preserve">;</w:t>
      </w:r>
      <w:r>
        <w:t xml:space="preserve"> </w:t>
      </w:r>
      <w:r>
        <w:t xml:space="preserve">“</w:t>
      </w:r>
      <w:r>
        <w:t xml:space="preserve">c</w:t>
      </w:r>
      <w:r>
        <w:t xml:space="preserve">”</w:t>
      </w:r>
      <w:r>
        <w:t xml:space="preserve"> </w:t>
      </w:r>
      <w:r>
        <w:t xml:space="preserve">→</w:t>
      </w:r>
      <w:r>
        <w:t xml:space="preserve"> </w:t>
      </w:r>
      <w:r>
        <w:t xml:space="preserve">“</w:t>
      </w:r>
      <w:r>
        <w:t xml:space="preserve">g</w:t>
      </w:r>
      <w:r>
        <w:t xml:space="preserve">”</w:t>
      </w:r>
      <w:r>
        <w:t xml:space="preserve"> </w:t>
      </w:r>
      <w:r>
        <w:t xml:space="preserve">by the nipātana of</w:t>
      </w:r>
      <w:r>
        <w:t xml:space="preserve"> </w:t>
      </w:r>
      <w:r>
        <w:t xml:space="preserve">“</w:t>
      </w:r>
      <w:r>
        <w:t xml:space="preserve">ugra</w:t>
      </w:r>
      <w:r>
        <w:t xml:space="preserve">”</w:t>
      </w:r>
      <w:r>
        <w:t xml:space="preserve">; though the affix is</w:t>
      </w:r>
      <w:r>
        <w:t xml:space="preserve"> </w:t>
      </w:r>
      <w:r>
        <w:t xml:space="preserve">“</w:t>
      </w:r>
      <w:r>
        <w:t xml:space="preserve">n</w:t>
      </w:r>
      <w:r>
        <w:t xml:space="preserve">”</w:t>
      </w:r>
      <w:r>
        <w:t xml:space="preserve">-marked, by vyatyaya end-acute.</w:t>
      </w:r>
    </w:p>
    <w:p>
      <w:pPr>
        <w:numPr>
          <w:ilvl w:val="0"/>
          <w:numId w:val="1041"/>
        </w:numPr>
        <w:pStyle w:val="Compact"/>
      </w:pPr>
      <w:r>
        <w:rPr>
          <w:bCs/>
          <w:b/>
        </w:rPr>
        <w:t xml:space="preserve">ऊतिभिः (</w:t>
      </w:r>
      <w:r>
        <w:rPr>
          <w:iCs/>
          <w:i/>
          <w:bCs/>
          <w:b/>
        </w:rPr>
        <w:t xml:space="preserve">ūtibhiḥ</w:t>
      </w:r>
      <w:r>
        <w:rPr>
          <w:bCs/>
          <w:b/>
        </w:rPr>
        <w:t xml:space="preserve">)</w:t>
      </w:r>
      <w:r>
        <w:t xml:space="preserve"> </w:t>
      </w:r>
      <w:r>
        <w:t xml:space="preserve">—</w:t>
      </w:r>
      <w:r>
        <w:t xml:space="preserve"> </w:t>
      </w:r>
      <w:r>
        <w:rPr>
          <w:iCs/>
          <w:i/>
        </w:rPr>
        <w:t xml:space="preserve">ūtiyūtijūti-sātihetikīrtayaś ca</w:t>
      </w:r>
      <w:r>
        <w:t xml:space="preserve"> </w:t>
      </w:r>
      <w:r>
        <w:t xml:space="preserve">(Pā. 3-3-97):</w:t>
      </w:r>
      <w:r>
        <w:t xml:space="preserve"> </w:t>
      </w:r>
      <w:r>
        <w:rPr>
          <w:iCs/>
          <w:i/>
        </w:rPr>
        <w:t xml:space="preserve">ūti</w:t>
      </w:r>
      <w:r>
        <w:t xml:space="preserve">, etc., are irregularly formed</w:t>
      </w:r>
      <w:r>
        <w:t xml:space="preserve"> </w:t>
      </w:r>
      <w:r>
        <w:rPr>
          <w:iCs/>
          <w:i/>
        </w:rPr>
        <w:t xml:space="preserve">ktin</w:t>
      </w:r>
      <w:r>
        <w:t xml:space="preserve"> </w:t>
      </w:r>
      <w:r>
        <w:t xml:space="preserve">words, final-udātta; and thus</w:t>
      </w:r>
      <w:r>
        <w:t xml:space="preserve"> </w:t>
      </w:r>
      <w:r>
        <w:rPr>
          <w:iCs/>
          <w:i/>
        </w:rPr>
        <w:t xml:space="preserve">ūti</w:t>
      </w:r>
      <w:r>
        <w:t xml:space="preserve"> </w:t>
      </w:r>
      <w:r>
        <w:t xml:space="preserve">has the udātta</w:t>
      </w:r>
      <w:r>
        <w:t xml:space="preserve"> </w:t>
      </w:r>
      <w:r>
        <w:rPr>
          <w:iCs/>
          <w:i/>
        </w:rPr>
        <w:t xml:space="preserve">ktin</w:t>
      </w:r>
      <w:r>
        <w:t xml:space="preserve"> </w:t>
      </w:r>
      <w:r>
        <w:t xml:space="preserve">suffix.</w:t>
      </w:r>
    </w:p>
    <w:p>
      <w:pPr>
        <w:pStyle w:val="FirstParagraph"/>
      </w:pPr>
      <w:r>
        <w:rPr>
          <w:bCs/>
          <w:b/>
        </w:rPr>
        <w:t xml:space="preserve">॥४॥</w:t>
      </w:r>
    </w:p>
    <w:bookmarkEnd w:id="308"/>
    <w:bookmarkStart w:id="309" w:name="page-275-sūkta-7-rik-5"/>
    <w:p>
      <w:pPr>
        <w:pStyle w:val="Heading3"/>
      </w:pPr>
      <w:r>
        <w:t xml:space="preserve">Page 275 — Sūkta 7, Rik 5</w:t>
      </w:r>
    </w:p>
    <w:p>
      <w:pPr>
        <w:pStyle w:val="FirstParagraph"/>
      </w:pPr>
      <w:r>
        <w:rPr>
          <w:iCs/>
          <w:i/>
        </w:rPr>
        <w:t xml:space="preserve">(Saṃhitā accents as printed; Pada unaccented. The bar under the last syllable of</w:t>
      </w:r>
      <w:r>
        <w:rPr>
          <w:iCs/>
          <w:i/>
        </w:rPr>
        <w:t xml:space="preserve"> </w:t>
      </w:r>
      <w:r>
        <w:rPr>
          <w:iCs/>
          <w:i/>
        </w:rPr>
        <w:t xml:space="preserve">“</w:t>
      </w:r>
      <w:r>
        <w:rPr>
          <w:iCs/>
          <w:i/>
        </w:rPr>
        <w:t xml:space="preserve">havāmahe</w:t>
      </w:r>
      <w:r>
        <w:rPr>
          <w:iCs/>
          <w:i/>
        </w:rPr>
        <w:t xml:space="preserve">”</w:t>
      </w:r>
      <w:r>
        <w:rPr>
          <w:iCs/>
          <w:i/>
        </w:rPr>
        <w:t xml:space="preserve"> </w:t>
      </w:r>
      <w:r>
        <w:rPr>
          <w:iCs/>
          <w:i/>
        </w:rPr>
        <w:t xml:space="preserve">stands before</w:t>
      </w:r>
      <w:r>
        <w:rPr>
          <w:iCs/>
          <w:i/>
        </w:rPr>
        <w:t xml:space="preserve"> </w:t>
      </w:r>
      <w:r>
        <w:rPr>
          <w:iCs/>
          <w:i/>
        </w:rPr>
        <w:t xml:space="preserve">“</w:t>
      </w:r>
      <w:r>
        <w:rPr>
          <w:iCs/>
          <w:i/>
        </w:rPr>
        <w:t xml:space="preserve">yújam</w:t>
      </w:r>
      <w:r>
        <w:rPr>
          <w:iCs/>
          <w:i/>
        </w:rPr>
        <w:t xml:space="preserve">”</w:t>
      </w:r>
      <w:r>
        <w:rPr>
          <w:iCs/>
          <w:i/>
        </w:rPr>
        <w:t xml:space="preserve"> </w:t>
      </w:r>
      <w:r>
        <w:rPr>
          <w:iCs/>
          <w:i/>
        </w:rPr>
        <w:t xml:space="preserve">of the next line.)</w:t>
      </w:r>
    </w:p>
    <w:p>
      <w:pPr>
        <w:pStyle w:val="BodyText"/>
      </w:pPr>
      <w:r>
        <w:rPr>
          <w:bCs/>
          <w:b/>
        </w:rPr>
        <w:t xml:space="preserve">॥ Saṃhitā-pāṭhaḥ ॥</w:t>
      </w:r>
    </w:p>
    <w:p>
      <w:pPr>
        <w:pStyle w:val="BlockText"/>
      </w:pPr>
      <w:r>
        <w:t xml:space="preserve">इन्द्रं॑ व॒यं म॑हाध॒न इन्द्र॒मर्भे॑ हवामहे॒ ।</w:t>
      </w:r>
      <w:r>
        <w:t xml:space="preserve"> </w:t>
      </w:r>
      <w:r>
        <w:t xml:space="preserve">युजं॑ वृ॒त्रेषु॑ व॒ज्रिण॑म् ॥५॥</w:t>
      </w:r>
    </w:p>
    <w:p>
      <w:pPr>
        <w:pStyle w:val="BlockText"/>
      </w:pPr>
      <w:r>
        <w:rPr>
          <w:iCs/>
          <w:i/>
        </w:rPr>
        <w:t xml:space="preserve">índraṃ vayám mahādhaná índram árbhe havāmahe |</w:t>
      </w:r>
      <w:r>
        <w:t xml:space="preserve"> </w:t>
      </w:r>
      <w:r>
        <w:rPr>
          <w:iCs/>
          <w:i/>
        </w:rPr>
        <w:t xml:space="preserve">yújaṃ vṛtréṣu vajríṇam ||5||</w:t>
      </w:r>
    </w:p>
    <w:p>
      <w:pPr>
        <w:pStyle w:val="FirstParagraph"/>
      </w:pPr>
      <w:r>
        <w:rPr>
          <w:bCs/>
          <w:b/>
        </w:rPr>
        <w:t xml:space="preserve">॥ Pada-pāṭhaḥ ॥</w:t>
      </w:r>
    </w:p>
    <w:p>
      <w:pPr>
        <w:pStyle w:val="BlockText"/>
      </w:pPr>
      <w:r>
        <w:t xml:space="preserve">इन्द्रम् । वयम् । महाऽधने । इन्द्रम् । अर्भे । हवामहे ॥</w:t>
      </w:r>
      <w:r>
        <w:t xml:space="preserve"> </w:t>
      </w:r>
      <w:r>
        <w:t xml:space="preserve">युजम् । वृत्रेषु । वज्रिणम् ॥५॥</w:t>
      </w:r>
    </w:p>
    <w:p>
      <w:pPr>
        <w:pStyle w:val="BlockText"/>
      </w:pPr>
      <w:r>
        <w:rPr>
          <w:iCs/>
          <w:i/>
        </w:rPr>
        <w:t xml:space="preserve">indram | vayam | mahā-dhane | indram | arbhe | havāmahe ||</w:t>
      </w:r>
      <w:r>
        <w:t xml:space="preserve"> </w:t>
      </w:r>
      <w:r>
        <w:rPr>
          <w:iCs/>
          <w:i/>
        </w:rPr>
        <w:t xml:space="preserve">yujam | vṛtreṣu | vajriṇam ||5||</w:t>
      </w:r>
    </w:p>
    <w:p>
      <w:r>
        <w:pict>
          <v:rect style="width:0;height:1.5pt" o:hralign="center" o:hrstd="t" o:hr="t"/>
        </w:pict>
      </w:r>
    </w:p>
    <w:bookmarkEnd w:id="309"/>
    <w:bookmarkStart w:id="310" w:name="page-276-rik-5-sāyaṇa-bhāṣya"/>
    <w:p>
      <w:pPr>
        <w:pStyle w:val="Heading3"/>
      </w:pPr>
      <w:r>
        <w:t xml:space="preserve">Page 276 — Rik 5: Sāyaṇa-bhāṣya</w:t>
      </w:r>
    </w:p>
    <w:p>
      <w:pPr>
        <w:pStyle w:val="FirstParagraph"/>
      </w:pPr>
      <w:r>
        <w:rPr>
          <w:bCs/>
          <w:b/>
        </w:rPr>
        <w:t xml:space="preserve">॥ Sāyaṇa-bhāṣyam ॥</w:t>
      </w:r>
    </w:p>
    <w:p>
      <w:pPr>
        <w:pStyle w:val="BlockText"/>
      </w:pPr>
      <w:r>
        <w:t xml:space="preserve">वयमनुष्ठातारो महाधने प्रभूतधननिमित्तमिन्द्रं हवामहे । आह्वयामः । अर्भे ऽर्भके स्वल्पे ऽपि धने निमित्तभूते सतीन्द्रं हवामहे । कीदृशमिन्द्रम् । युजं सहकारिणं समाहितं वा । वृत्रेषु शत्रुषु धनलाभविरोधिषु प्राप्तेषु तन्निवारणाय वज्रिणं वज्रोपेतम् ॥ महाधनशब्दो यद्यपि संग्रामनामसु पठितस्तथापि महद्धनमत्र संग्राम इति बहुव्रीहित्वे सत्यन्तोदात्तत्वासिद्धेर्नात्र तद्गृहीतम् । महाधने महच्च तद्धनं चेति समासस्येत्यन्तोदात्तः ।</w:t>
      </w:r>
    </w:p>
    <w:p>
      <w:pPr>
        <w:pStyle w:val="BlockText"/>
      </w:pPr>
      <w:r>
        <w:rPr>
          <w:iCs/>
          <w:i/>
        </w:rPr>
        <w:t xml:space="preserve">vayam anuṣṭhātāro mahādhane prabhūta-dhana-nimittam indraṃ havāmahe | āhvayāmaḥ | arbhe ’rbhake svalpe ’pi dhane nimitta-bhūte satīndraṃ havāmahe | kīdṛśam indram | yujaṃ saha-kāriṇaṃ samāhitaṃ vā | vṛtreṣu śatruṣu dhana-lābha-virodhiṣu prāpteṣu tan-nivāraṇāya vajriṇaṃ vajropetam || mahādhana-śabdo yadyapi saṃgrāma-nāmasu paṭhitas tathāpi mahad dhanam atra saṃgrāma iti bahuvrīhitve saty antodāttatvāsiddher nātra tad gṛhītam | mahādhane mahac ca tad dhanaṃ ceti samāsasyety antodāttaḥ |</w:t>
      </w:r>
    </w:p>
    <w:p>
      <w:pPr>
        <w:pStyle w:val="FirstParagraph"/>
      </w:pPr>
      <w:r>
        <w:rPr>
          <w:bCs/>
          <w:b/>
        </w:rPr>
        <w:t xml:space="preserve">Translation:</w:t>
      </w:r>
      <w:r>
        <w:t xml:space="preserve"> </w:t>
      </w:r>
      <w:r>
        <w:t xml:space="preserve">“</w:t>
      </w:r>
      <w:r>
        <w:t xml:space="preserve">We, the performers [of the rite], call upon Indra</w:t>
      </w:r>
      <w:r>
        <w:t xml:space="preserve"> </w:t>
      </w:r>
      <w:r>
        <w:rPr>
          <w:iCs/>
          <w:i/>
        </w:rPr>
        <w:t xml:space="preserve">in the mahādhana</w:t>
      </w:r>
      <w:r>
        <w:t xml:space="preserve"> </w:t>
      </w:r>
      <w:r>
        <w:t xml:space="preserve">— on account of abundant wealth; we summon him.</w:t>
      </w:r>
      <w:r>
        <w:t xml:space="preserve"> </w:t>
      </w:r>
      <w:r>
        <w:rPr>
          <w:iCs/>
          <w:i/>
        </w:rPr>
        <w:t xml:space="preserve">In the arbha</w:t>
      </w:r>
      <w:r>
        <w:t xml:space="preserve"> </w:t>
      </w:r>
      <w:r>
        <w:t xml:space="preserve">— when even a small, slight wealth is the occasion — we call Indra. What kind of Indra?</w:t>
      </w:r>
      <w:r>
        <w:t xml:space="preserve"> </w:t>
      </w:r>
      <w:r>
        <w:rPr>
          <w:iCs/>
          <w:i/>
        </w:rPr>
        <w:t xml:space="preserve">Yujam</w:t>
      </w:r>
      <w:r>
        <w:t xml:space="preserve"> </w:t>
      </w:r>
      <w:r>
        <w:t xml:space="preserve">— the helper, the co-operator, or [alternatively] the composed one.</w:t>
      </w:r>
      <w:r>
        <w:t xml:space="preserve"> </w:t>
      </w:r>
      <w:r>
        <w:rPr>
          <w:iCs/>
          <w:i/>
        </w:rPr>
        <w:t xml:space="preserve">In the vṛtras</w:t>
      </w:r>
      <w:r>
        <w:t xml:space="preserve"> </w:t>
      </w:r>
      <w:r>
        <w:t xml:space="preserve">— when enemies, who obstruct the gain of wealth, have arrived, to ward them off, [we call] the</w:t>
      </w:r>
      <w:r>
        <w:t xml:space="preserve"> </w:t>
      </w:r>
      <w:r>
        <w:rPr>
          <w:iCs/>
          <w:i/>
        </w:rPr>
        <w:t xml:space="preserve">vajriṇam</w:t>
      </w:r>
      <w:r>
        <w:t xml:space="preserve"> </w:t>
      </w:r>
      <w:r>
        <w:t xml:space="preserve">— the one equipped with the thunderbolt. Although the word</w:t>
      </w:r>
      <w:r>
        <w:t xml:space="preserve"> </w:t>
      </w:r>
      <w:r>
        <w:rPr>
          <w:iCs/>
          <w:i/>
        </w:rPr>
        <w:t xml:space="preserve">mahādhana</w:t>
      </w:r>
      <w:r>
        <w:t xml:space="preserve"> </w:t>
      </w:r>
      <w:r>
        <w:t xml:space="preserve">is read among the names for</w:t>
      </w:r>
      <w:r>
        <w:t xml:space="preserve"> </w:t>
      </w:r>
      <w:r>
        <w:t xml:space="preserve">‘</w:t>
      </w:r>
      <w:r>
        <w:t xml:space="preserve">battle,</w:t>
      </w:r>
      <w:r>
        <w:t xml:space="preserve">’</w:t>
      </w:r>
      <w:r>
        <w:t xml:space="preserve"> </w:t>
      </w:r>
      <w:r>
        <w:t xml:space="preserve">it is</w:t>
      </w:r>
      <w:r>
        <w:t xml:space="preserve"> </w:t>
      </w:r>
      <w:r>
        <w:rPr>
          <w:iCs/>
          <w:i/>
        </w:rPr>
        <w:t xml:space="preserve">not</w:t>
      </w:r>
      <w:r>
        <w:t xml:space="preserve"> </w:t>
      </w:r>
      <w:r>
        <w:t xml:space="preserve">so taken here: if it were analysed as a bahuvrīhi (</w:t>
      </w:r>
      <w:r>
        <w:t xml:space="preserve">‘</w:t>
      </w:r>
      <w:r>
        <w:t xml:space="preserve">that in which there is great wealth, i.e., battle</w:t>
      </w:r>
      <w:r>
        <w:t xml:space="preserve">’</w:t>
      </w:r>
      <w:r>
        <w:t xml:space="preserve">), final-udātta accent would not be established [for the word as it stands in the rik]. [Hence]</w:t>
      </w:r>
      <w:r>
        <w:t xml:space="preserve"> </w:t>
      </w:r>
      <w:r>
        <w:rPr>
          <w:iCs/>
          <w:i/>
        </w:rPr>
        <w:t xml:space="preserve">mahādhane</w:t>
      </w:r>
      <w:r>
        <w:t xml:space="preserve"> </w:t>
      </w:r>
      <w:r>
        <w:t xml:space="preserve">=</w:t>
      </w:r>
      <w:r>
        <w:t xml:space="preserve"> </w:t>
      </w:r>
      <w:r>
        <w:t xml:space="preserve">‘</w:t>
      </w:r>
      <w:r>
        <w:t xml:space="preserve">great and that wealth</w:t>
      </w:r>
      <w:r>
        <w:t xml:space="preserve">’</w:t>
      </w:r>
      <w:r>
        <w:t xml:space="preserve"> </w:t>
      </w:r>
      <w:r>
        <w:t xml:space="preserve">(</w:t>
      </w:r>
      <w:r>
        <w:rPr>
          <w:iCs/>
          <w:i/>
        </w:rPr>
        <w:t xml:space="preserve">mahac ca tad dhanaṃ ca</w:t>
      </w:r>
      <w:r>
        <w:t xml:space="preserve">), a karmadhāraya compound, final-udātta by the sūtra on compounds.</w:t>
      </w:r>
      <w:r>
        <w:t xml:space="preserve">”</w:t>
      </w:r>
    </w:p>
    <w:p>
      <w:pPr>
        <w:pStyle w:val="BodyText"/>
      </w:pPr>
      <w:r>
        <w:rPr>
          <w:bCs/>
          <w:b/>
        </w:rPr>
        <w:t xml:space="preserve">Grammar of the Bhāṣya (characterized, references as printed):</w:t>
      </w:r>
      <w:r>
        <w:t xml:space="preserve"> </w:t>
      </w:r>
      <w:r>
        <w:t xml:space="preserve">“</w:t>
      </w:r>
      <w:r>
        <w:t xml:space="preserve">Arbhe</w:t>
      </w:r>
      <w:r>
        <w:t xml:space="preserve">”</w:t>
      </w:r>
      <w:r>
        <w:t xml:space="preserve"> </w:t>
      </w:r>
      <w:r>
        <w:t xml:space="preserve">—</w:t>
      </w:r>
      <w:r>
        <w:t xml:space="preserve"> </w:t>
      </w:r>
      <w:r>
        <w:rPr>
          <w:bCs/>
          <w:b/>
        </w:rPr>
        <w:t xml:space="preserve">अर्तिगृभ्यां भन्</w:t>
      </w:r>
      <w:r>
        <w:t xml:space="preserve"> </w:t>
      </w:r>
      <w:r>
        <w:t xml:space="preserve">(उ. ३-१५२ [?])</w:t>
      </w:r>
      <w:r>
        <w:t xml:space="preserve"> </w:t>
      </w:r>
      <w:r>
        <w:t xml:space="preserve">“</w:t>
      </w:r>
      <w:r>
        <w:t xml:space="preserve">bhan</w:t>
      </w:r>
      <w:r>
        <w:t xml:space="preserve">”</w:t>
      </w:r>
      <w:r>
        <w:t xml:space="preserve">;</w:t>
      </w:r>
      <w:r>
        <w:t xml:space="preserve"> </w:t>
      </w:r>
      <w:r>
        <w:t xml:space="preserve">“</w:t>
      </w:r>
      <w:r>
        <w:t xml:space="preserve">n</w:t>
      </w:r>
      <w:r>
        <w:t xml:space="preserve">”</w:t>
      </w:r>
      <w:r>
        <w:t xml:space="preserve">-marked, first-syllable acute.</w:t>
      </w:r>
      <w:r>
        <w:t xml:space="preserve"> </w:t>
      </w:r>
      <w:r>
        <w:t xml:space="preserve">“</w:t>
      </w:r>
      <w:r>
        <w:t xml:space="preserve">Havāmahe</w:t>
      </w:r>
      <w:r>
        <w:t xml:space="preserve">”</w:t>
      </w:r>
      <w:r>
        <w:t xml:space="preserve"> </w:t>
      </w:r>
      <w:r>
        <w:t xml:space="preserve">—</w:t>
      </w:r>
      <w:r>
        <w:t xml:space="preserve"> </w:t>
      </w:r>
      <w:r>
        <w:t xml:space="preserve">“</w:t>
      </w:r>
      <w:r>
        <w:t xml:space="preserve">hveñ spardhāyāṃ śabde ca</w:t>
      </w:r>
      <w:r>
        <w:t xml:space="preserve">”</w:t>
      </w:r>
      <w:r>
        <w:t xml:space="preserve">;</w:t>
      </w:r>
      <w:r>
        <w:t xml:space="preserve"> </w:t>
      </w:r>
      <w:r>
        <w:rPr>
          <w:bCs/>
          <w:b/>
        </w:rPr>
        <w:t xml:space="preserve">स्वरितञितः कर्त्रभिप्राये क्रियाफले</w:t>
      </w:r>
      <w:r>
        <w:t xml:space="preserve"> </w:t>
      </w:r>
      <w:r>
        <w:t xml:space="preserve">(पा. १-३-७२) the ātmanepada;</w:t>
      </w:r>
      <w:r>
        <w:t xml:space="preserve"> </w:t>
      </w:r>
      <w:r>
        <w:t xml:space="preserve">“</w:t>
      </w:r>
      <w:r>
        <w:t xml:space="preserve">laṭ,</w:t>
      </w:r>
      <w:r>
        <w:t xml:space="preserve">”</w:t>
      </w:r>
      <w:r>
        <w:t xml:space="preserve"> </w:t>
      </w:r>
      <w:r>
        <w:t xml:space="preserve">“</w:t>
      </w:r>
      <w:r>
        <w:t xml:space="preserve">mahiṅ</w:t>
      </w:r>
      <w:r>
        <w:t xml:space="preserve">”</w:t>
      </w:r>
      <w:r>
        <w:t xml:space="preserve"> </w:t>
      </w:r>
      <w:r>
        <w:t xml:space="preserve">(पा. ३-४-७८);</w:t>
      </w:r>
      <w:r>
        <w:t xml:space="preserve"> </w:t>
      </w:r>
      <w:r>
        <w:rPr>
          <w:bCs/>
          <w:b/>
        </w:rPr>
        <w:t xml:space="preserve">टित आत्मनेपदानां टेरे</w:t>
      </w:r>
      <w:r>
        <w:t xml:space="preserve"> </w:t>
      </w:r>
      <w:r>
        <w:t xml:space="preserve">(पा. ३-४-७९)</w:t>
      </w:r>
      <w:r>
        <w:t xml:space="preserve"> </w:t>
      </w:r>
      <w:r>
        <w:t xml:space="preserve">“</w:t>
      </w:r>
      <w:r>
        <w:t xml:space="preserve">e</w:t>
      </w:r>
      <w:r>
        <w:t xml:space="preserve">”</w:t>
      </w:r>
      <w:r>
        <w:t xml:space="preserve">;</w:t>
      </w:r>
      <w:r>
        <w:t xml:space="preserve"> </w:t>
      </w:r>
      <w:r>
        <w:rPr>
          <w:bCs/>
          <w:b/>
        </w:rPr>
        <w:t xml:space="preserve">कर्तरि शप्</w:t>
      </w:r>
      <w:r>
        <w:t xml:space="preserve"> </w:t>
      </w:r>
      <w:r>
        <w:t xml:space="preserve">(पा. ३-१-६८);</w:t>
      </w:r>
      <w:r>
        <w:t xml:space="preserve"> </w:t>
      </w:r>
      <w:r>
        <w:rPr>
          <w:bCs/>
          <w:b/>
        </w:rPr>
        <w:t xml:space="preserve">ह्वः संप्रसारणम्</w:t>
      </w:r>
      <w:r>
        <w:t xml:space="preserve"> </w:t>
      </w:r>
      <w:r>
        <w:t xml:space="preserve">(पा. ६-१-३२) carried on with</w:t>
      </w:r>
      <w:r>
        <w:t xml:space="preserve"> </w:t>
      </w:r>
      <w:r>
        <w:rPr>
          <w:bCs/>
          <w:b/>
        </w:rPr>
        <w:t xml:space="preserve">बहुलं छन्दसि</w:t>
      </w:r>
      <w:r>
        <w:t xml:space="preserve"> </w:t>
      </w:r>
      <w:r>
        <w:t xml:space="preserve">(पा. ६-१-३४): samprasāraṇa,</w:t>
      </w:r>
      <w:r>
        <w:t xml:space="preserve"> </w:t>
      </w:r>
      <w:r>
        <w:t xml:space="preserve">“</w:t>
      </w:r>
      <w:r>
        <w:t xml:space="preserve">u</w:t>
      </w:r>
      <w:r>
        <w:t xml:space="preserve">”</w:t>
      </w:r>
      <w:r>
        <w:t xml:space="preserve"> </w:t>
      </w:r>
      <w:r>
        <w:t xml:space="preserve">for</w:t>
      </w:r>
      <w:r>
        <w:t xml:space="preserve"> </w:t>
      </w:r>
      <w:r>
        <w:t xml:space="preserve">“</w:t>
      </w:r>
      <w:r>
        <w:t xml:space="preserve">v,</w:t>
      </w:r>
      <w:r>
        <w:t xml:space="preserve">”</w:t>
      </w:r>
      <w:r>
        <w:t xml:space="preserve"> </w:t>
      </w:r>
      <w:r>
        <w:t xml:space="preserve">the prior form, guṇa and</w:t>
      </w:r>
      <w:r>
        <w:t xml:space="preserve"> </w:t>
      </w:r>
      <w:r>
        <w:t xml:space="preserve">“</w:t>
      </w:r>
      <w:r>
        <w:t xml:space="preserve">av</w:t>
      </w:r>
      <w:r>
        <w:t xml:space="preserve">”</w:t>
      </w:r>
      <w:r>
        <w:t xml:space="preserve">;</w:t>
      </w:r>
      <w:r>
        <w:t xml:space="preserve"> </w:t>
      </w:r>
      <w:r>
        <w:rPr>
          <w:bCs/>
          <w:b/>
        </w:rPr>
        <w:t xml:space="preserve">अतो दीर्घो यञि</w:t>
      </w:r>
      <w:r>
        <w:t xml:space="preserve"> </w:t>
      </w:r>
      <w:r>
        <w:t xml:space="preserve">(पा. ७-३-१०१) the long vowel; nighāta by</w:t>
      </w:r>
      <w:r>
        <w:t xml:space="preserve"> </w:t>
      </w:r>
      <w:r>
        <w:t xml:space="preserve">“</w:t>
      </w:r>
      <w:r>
        <w:t xml:space="preserve">tiṅṅatiṅaḥ.</w:t>
      </w:r>
      <w:r>
        <w:t xml:space="preserve">”</w:t>
      </w:r>
      <w:r>
        <w:t xml:space="preserve"> </w:t>
      </w:r>
      <w:r>
        <w:t xml:space="preserve">“</w:t>
      </w:r>
      <w:r>
        <w:t xml:space="preserve">Yujam</w:t>
      </w:r>
      <w:r>
        <w:t xml:space="preserve">”</w:t>
      </w:r>
      <w:r>
        <w:t xml:space="preserve"> </w:t>
      </w:r>
      <w:r>
        <w:t xml:space="preserve">—</w:t>
      </w:r>
      <w:r>
        <w:t xml:space="preserve"> </w:t>
      </w:r>
      <w:r>
        <w:t xml:space="preserve">“</w:t>
      </w:r>
      <w:r>
        <w:t xml:space="preserve">yuja samādhau,</w:t>
      </w:r>
      <w:r>
        <w:t xml:space="preserve">”</w:t>
      </w:r>
      <w:r>
        <w:t xml:space="preserve"> </w:t>
      </w:r>
      <w:r>
        <w:t xml:space="preserve">“</w:t>
      </w:r>
      <w:r>
        <w:t xml:space="preserve">kvip</w:t>
      </w:r>
      <w:r>
        <w:t xml:space="preserve">”</w:t>
      </w:r>
      <w:r>
        <w:t xml:space="preserve">;</w:t>
      </w:r>
      <w:r>
        <w:t xml:space="preserve"> </w:t>
      </w:r>
      <w:r>
        <w:rPr>
          <w:bCs/>
          <w:b/>
        </w:rPr>
        <w:t xml:space="preserve">युजेरसमासे</w:t>
      </w:r>
      <w:r>
        <w:t xml:space="preserve"> </w:t>
      </w:r>
      <w:r>
        <w:t xml:space="preserve">(पा. ७-१-७१) would give</w:t>
      </w:r>
      <w:r>
        <w:t xml:space="preserve"> </w:t>
      </w:r>
      <w:r>
        <w:t xml:space="preserve">“</w:t>
      </w:r>
      <w:r>
        <w:t xml:space="preserve">num,</w:t>
      </w:r>
      <w:r>
        <w:t xml:space="preserve">”</w:t>
      </w:r>
      <w:r>
        <w:t xml:space="preserve"> </w:t>
      </w:r>
      <w:r>
        <w:t xml:space="preserve">but not here: the sūtra names</w:t>
      </w:r>
      <w:r>
        <w:t xml:space="preserve"> </w:t>
      </w:r>
      <w:r>
        <w:t xml:space="preserve">“</w:t>
      </w:r>
      <w:r>
        <w:t xml:space="preserve">yuji</w:t>
      </w:r>
      <w:r>
        <w:t xml:space="preserve">”</w:t>
      </w:r>
      <w:r>
        <w:t xml:space="preserve"> </w:t>
      </w:r>
      <w:r>
        <w:t xml:space="preserve">with</w:t>
      </w:r>
      <w:r>
        <w:t xml:space="preserve"> </w:t>
      </w:r>
      <w:r>
        <w:t xml:space="preserve">“</w:t>
      </w:r>
      <w:r>
        <w:t xml:space="preserve">i,</w:t>
      </w:r>
      <w:r>
        <w:t xml:space="preserve">”</w:t>
      </w:r>
      <w:r>
        <w:t xml:space="preserve"> </w:t>
      </w:r>
      <w:r>
        <w:t xml:space="preserve">so it does not apply to the root without</w:t>
      </w:r>
      <w:r>
        <w:t xml:space="preserve"> </w:t>
      </w:r>
      <w:r>
        <w:t xml:space="preserve">“</w:t>
      </w:r>
      <w:r>
        <w:t xml:space="preserve">i</w:t>
      </w:r>
      <w:r>
        <w:t xml:space="preserve">”</w:t>
      </w:r>
      <w:r>
        <w:t xml:space="preserve"> </w:t>
      </w:r>
      <w:r>
        <w:t xml:space="preserve">(</w:t>
      </w:r>
      <w:r>
        <w:t xml:space="preserve">“</w:t>
      </w:r>
      <w:r>
        <w:t xml:space="preserve">yuja samādhau</w:t>
      </w:r>
      <w:r>
        <w:t xml:space="preserve">”</w:t>
      </w:r>
      <w:r>
        <w:t xml:space="preserve">); or the augment is anitya.</w:t>
      </w:r>
      <w:r>
        <w:t xml:space="preserve"> </w:t>
      </w:r>
      <w:r>
        <w:t xml:space="preserve">“</w:t>
      </w:r>
      <w:r>
        <w:t xml:space="preserve">Vṛtreṣu</w:t>
      </w:r>
      <w:r>
        <w:t xml:space="preserve">”</w:t>
      </w:r>
      <w:r>
        <w:t xml:space="preserve"> </w:t>
      </w:r>
      <w:r>
        <w:t xml:space="preserve">—</w:t>
      </w:r>
      <w:r>
        <w:t xml:space="preserve"> </w:t>
      </w:r>
      <w:r>
        <w:t xml:space="preserve">“</w:t>
      </w:r>
      <w:r>
        <w:t xml:space="preserve">vṛtu vartane,</w:t>
      </w:r>
      <w:r>
        <w:t xml:space="preserve">”</w:t>
      </w:r>
      <w:r>
        <w:t xml:space="preserve"> </w:t>
      </w:r>
      <w:r>
        <w:t xml:space="preserve">“</w:t>
      </w:r>
      <w:r>
        <w:t xml:space="preserve">pratikūlatayā vartanta iti vṛtrāṇi śatrukulāni</w:t>
      </w:r>
      <w:r>
        <w:t xml:space="preserve">”</w:t>
      </w:r>
      <w:r>
        <w:t xml:space="preserve">;</w:t>
      </w:r>
      <w:r>
        <w:t xml:space="preserve"> </w:t>
      </w:r>
      <w:r>
        <w:rPr>
          <w:bCs/>
          <w:b/>
        </w:rPr>
        <w:t xml:space="preserve">स्फायितञ्चि…</w:t>
      </w:r>
      <w:r>
        <w:t xml:space="preserve"> </w:t>
      </w:r>
      <w:r>
        <w:t xml:space="preserve">(उ. २-१३)</w:t>
      </w:r>
      <w:r>
        <w:t xml:space="preserve"> </w:t>
      </w:r>
      <w:r>
        <w:t xml:space="preserve">“</w:t>
      </w:r>
      <w:r>
        <w:t xml:space="preserve">rak</w:t>
      </w:r>
      <w:r>
        <w:t xml:space="preserve">”</w:t>
      </w:r>
      <w:r>
        <w:t xml:space="preserve">;</w:t>
      </w:r>
      <w:r>
        <w:t xml:space="preserve"> </w:t>
      </w:r>
      <w:r>
        <w:t xml:space="preserve">“</w:t>
      </w:r>
      <w:r>
        <w:t xml:space="preserve">k</w:t>
      </w:r>
      <w:r>
        <w:t xml:space="preserve">”</w:t>
      </w:r>
      <w:r>
        <w:t xml:space="preserve">-marked, no guṇa; the affix accent.</w:t>
      </w:r>
      <w:r>
        <w:t xml:space="preserve"> </w:t>
      </w:r>
      <w:r>
        <w:t xml:space="preserve">“</w:t>
      </w:r>
      <w:r>
        <w:t xml:space="preserve">Vajriṇam</w:t>
      </w:r>
      <w:r>
        <w:t xml:space="preserve">”</w:t>
      </w:r>
      <w:r>
        <w:t xml:space="preserve"> </w:t>
      </w:r>
      <w:r>
        <w:t xml:space="preserve">—</w:t>
      </w:r>
      <w:r>
        <w:t xml:space="preserve"> </w:t>
      </w:r>
      <w:r>
        <w:t xml:space="preserve">“</w:t>
      </w:r>
      <w:r>
        <w:t xml:space="preserve">ata iniṭhanau</w:t>
      </w:r>
      <w:r>
        <w:t xml:space="preserve">”</w:t>
      </w:r>
      <w:r>
        <w:t xml:space="preserve">:</w:t>
      </w:r>
      <w:r>
        <w:t xml:space="preserve"> </w:t>
      </w:r>
      <w:r>
        <w:t xml:space="preserve">“</w:t>
      </w:r>
      <w:r>
        <w:t xml:space="preserve">ini</w:t>
      </w:r>
      <w:r>
        <w:t xml:space="preserve">”</w:t>
      </w:r>
      <w:r>
        <w:t xml:space="preserve">; the affix accent. ॥५॥</w:t>
      </w:r>
    </w:p>
    <w:p>
      <w:pPr>
        <w:pStyle w:val="BodyText"/>
      </w:pPr>
      <w:r>
        <w:rPr>
          <w:bCs/>
          <w:b/>
        </w:rPr>
        <w:t xml:space="preserve">॥ Prati-padārthaḥ ॥</w:t>
      </w:r>
    </w:p>
    <w:p>
      <w:pPr>
        <w:pStyle w:val="BodyText"/>
      </w:pPr>
      <w:r>
        <w:rPr>
          <w:bCs/>
          <w:b/>
        </w:rPr>
        <w:t xml:space="preserve">वयम् (vayam)</w:t>
      </w:r>
      <w:r>
        <w:t xml:space="preserve"> </w:t>
      </w:r>
      <w:r>
        <w:t xml:space="preserve">— we |</w:t>
      </w:r>
      <w:r>
        <w:t xml:space="preserve"> </w:t>
      </w:r>
      <w:r>
        <w:rPr>
          <w:bCs/>
          <w:b/>
        </w:rPr>
        <w:t xml:space="preserve">इन्द्रम् (indram)</w:t>
      </w:r>
      <w:r>
        <w:t xml:space="preserve"> </w:t>
      </w:r>
      <w:r>
        <w:t xml:space="preserve">— Indra |</w:t>
      </w:r>
      <w:r>
        <w:t xml:space="preserve"> </w:t>
      </w:r>
      <w:r>
        <w:rPr>
          <w:bCs/>
          <w:b/>
        </w:rPr>
        <w:t xml:space="preserve">महाधने (mahādhane)</w:t>
      </w:r>
      <w:r>
        <w:t xml:space="preserve"> </w:t>
      </w:r>
      <w:r>
        <w:t xml:space="preserve">— for the gaining of vast wealth |</w:t>
      </w:r>
      <w:r>
        <w:t xml:space="preserve"> </w:t>
      </w:r>
      <w:r>
        <w:rPr>
          <w:bCs/>
          <w:b/>
        </w:rPr>
        <w:t xml:space="preserve">हवामहे (havāmahe)</w:t>
      </w:r>
      <w:r>
        <w:t xml:space="preserve"> </w:t>
      </w:r>
      <w:r>
        <w:t xml:space="preserve">— we invoke (call) |</w:t>
      </w:r>
      <w:r>
        <w:t xml:space="preserve"> </w:t>
      </w:r>
      <w:r>
        <w:rPr>
          <w:bCs/>
          <w:b/>
        </w:rPr>
        <w:t xml:space="preserve">अर्भके (arbhake)</w:t>
      </w:r>
      <w:r>
        <w:t xml:space="preserve"> </w:t>
      </w:r>
      <w:r>
        <w:t xml:space="preserve">— even for the gaining of small wealth |</w:t>
      </w:r>
      <w:r>
        <w:t xml:space="preserve"> </w:t>
      </w:r>
      <w:r>
        <w:rPr>
          <w:bCs/>
          <w:b/>
        </w:rPr>
        <w:t xml:space="preserve">इन्द्रम् (indram)</w:t>
      </w:r>
      <w:r>
        <w:t xml:space="preserve"> </w:t>
      </w:r>
      <w:r>
        <w:t xml:space="preserve">— Indra (we invoke) |</w:t>
      </w:r>
      <w:r>
        <w:t xml:space="preserve"> </w:t>
      </w:r>
      <w:r>
        <w:rPr>
          <w:bCs/>
          <w:b/>
        </w:rPr>
        <w:t xml:space="preserve">युजम् (yujam)</w:t>
      </w:r>
      <w:r>
        <w:t xml:space="preserve"> </w:t>
      </w:r>
      <w:r>
        <w:t xml:space="preserve">— who is our helper (and) |</w:t>
      </w:r>
      <w:r>
        <w:t xml:space="preserve"> </w:t>
      </w:r>
      <w:r>
        <w:rPr>
          <w:bCs/>
          <w:b/>
        </w:rPr>
        <w:t xml:space="preserve">वृत्रेषु (vṛtreṣu)</w:t>
      </w:r>
      <w:r>
        <w:t xml:space="preserve"> </w:t>
      </w:r>
      <w:r>
        <w:t xml:space="preserve">— when enemies (opponents to our gain of wealth) come, for their subjugation |</w:t>
      </w:r>
      <w:r>
        <w:t xml:space="preserve"> </w:t>
      </w:r>
      <w:r>
        <w:rPr>
          <w:bCs/>
          <w:b/>
        </w:rPr>
        <w:t xml:space="preserve">वज्रिणम् (vajriṇam)</w:t>
      </w:r>
      <w:r>
        <w:t xml:space="preserve"> </w:t>
      </w:r>
      <w:r>
        <w:t xml:space="preserve">— who holds the thunderbolt | (</w:t>
      </w:r>
      <w:r>
        <w:rPr>
          <w:bCs/>
          <w:b/>
        </w:rPr>
        <w:t xml:space="preserve">इन्द्रम्</w:t>
      </w:r>
      <w:r>
        <w:t xml:space="preserve"> </w:t>
      </w:r>
      <w:r>
        <w:t xml:space="preserve">— Indra —</w:t>
      </w:r>
      <w:r>
        <w:t xml:space="preserve"> </w:t>
      </w:r>
      <w:r>
        <w:rPr>
          <w:bCs/>
          <w:b/>
        </w:rPr>
        <w:t xml:space="preserve">हवामहे</w:t>
      </w:r>
      <w:r>
        <w:t xml:space="preserve"> </w:t>
      </w:r>
      <w:r>
        <w:t xml:space="preserve">— we invoke).</w:t>
      </w:r>
    </w:p>
    <w:p>
      <w:pPr>
        <w:pStyle w:val="BodyText"/>
      </w:pPr>
      <w:r>
        <w:rPr>
          <w:bCs/>
          <w:b/>
        </w:rPr>
        <w:t xml:space="preserve">॥ Bhāvārthaḥ ॥</w:t>
      </w:r>
    </w:p>
    <w:p>
      <w:pPr>
        <w:pStyle w:val="BodyText"/>
      </w:pPr>
      <w:r>
        <w:t xml:space="preserve">Whether we need a little wealth or much, for obtaining that wealth we invoke Indra himself. Further, that Indra not only helps us in our undertakings, but, when enemies who oppose us come, he stands ready to use his thunderbolt to subdue them. Such an Indra we invoke.</w:t>
      </w:r>
    </w:p>
    <w:p>
      <w:pPr>
        <w:pStyle w:val="BodyText"/>
      </w:pPr>
      <w:r>
        <w:rPr>
          <w:bCs/>
          <w:b/>
        </w:rPr>
        <w:t xml:space="preserve">॥ English Translation ॥</w:t>
      </w:r>
      <w:r>
        <w:t xml:space="preserve"> </w:t>
      </w:r>
      <w:r>
        <w:rPr>
          <w:iCs/>
          <w:i/>
        </w:rPr>
        <w:t xml:space="preserve">(as printed in the source)</w:t>
      </w:r>
    </w:p>
    <w:p>
      <w:pPr>
        <w:pStyle w:val="BlockText"/>
      </w:pPr>
      <w:r>
        <w:t xml:space="preserve">We invoke Indra for great wealth ; Indra for (even) little weath [sic] ; Indra [is] our ally and weilder [sic] of the thunderbolt against enemies</w:t>
      </w:r>
    </w:p>
    <w:bookmarkEnd w:id="310"/>
    <w:bookmarkStart w:id="311" w:name="page-277-rik-5-special-topics"/>
    <w:p>
      <w:pPr>
        <w:pStyle w:val="Heading3"/>
      </w:pPr>
      <w:r>
        <w:t xml:space="preserve">Page 277 — Rik 5: Special Topics</w:t>
      </w:r>
    </w:p>
    <w:p>
      <w:pPr>
        <w:pStyle w:val="FirstParagraph"/>
      </w:pPr>
      <w:r>
        <w:rPr>
          <w:bCs/>
          <w:b/>
        </w:rPr>
        <w:t xml:space="preserve">॥ Viśeṣa-viṣayagaḷu (Special Topics) ॥</w:t>
      </w:r>
    </w:p>
    <w:p>
      <w:pPr>
        <w:pStyle w:val="BodyText"/>
      </w:pPr>
      <w:r>
        <w:rPr>
          <w:bCs/>
          <w:b/>
        </w:rPr>
        <w:t xml:space="preserve">A divergence from the Bhāṣyakāra.</w:t>
      </w:r>
      <w:r>
        <w:t xml:space="preserve"> </w:t>
      </w:r>
      <w:r>
        <w:t xml:space="preserve">In fixing the sense of this rik,</w:t>
      </w:r>
      <w:r>
        <w:t xml:space="preserve"> </w:t>
      </w:r>
      <w:r>
        <w:rPr>
          <w:bCs/>
          <w:b/>
        </w:rPr>
        <w:t xml:space="preserve">Skandasvāmī’s explanation is more acceptable than the one the Bhāṣyakāra gives</w:t>
      </w:r>
      <w:r>
        <w:t xml:space="preserve">, and it is given below.</w:t>
      </w:r>
    </w:p>
    <w:p>
      <w:pPr>
        <w:pStyle w:val="BodyText"/>
      </w:pPr>
      <w:r>
        <w:rPr>
          <w:bCs/>
          <w:b/>
        </w:rPr>
        <w:t xml:space="preserve">Skandasvāmi-bhāṣyam</w:t>
      </w:r>
      <w:r>
        <w:t xml:space="preserve"> </w:t>
      </w:r>
      <w:r>
        <w:t xml:space="preserve">(as quoted in the Kannada script of the source):</w:t>
      </w:r>
    </w:p>
    <w:p>
      <w:pPr>
        <w:pStyle w:val="BlockText"/>
      </w:pPr>
      <w:r>
        <w:t xml:space="preserve">महाधने । संग्रामनामैतत् । महति संग्रामे । इन्द्रमेव अर्भे । अल्पनामैतत् । अल्पे । क्व । पूर्वत्र निर्देशात् संग्राम एव । हवामहे आह्वयामः । युजं युज्यतेऽसाविति युक् सहायः तम् । वृत्रेषु संग्रामव्यतिरिक्तेष्वपि च शत्रुषु इन्द्रमेव समाह्वयामः वज्रिणम् ॥</w:t>
      </w:r>
    </w:p>
    <w:p>
      <w:pPr>
        <w:pStyle w:val="BlockText"/>
      </w:pPr>
      <w:r>
        <w:rPr>
          <w:iCs/>
          <w:i/>
        </w:rPr>
        <w:t xml:space="preserve">mahādhane | saṃgrāma-nāmaitat | mahati saṃgrāme | indram eva | arbhe | alpa-nāmaitat | alpe | kva | pūrvatra nirdeśāt saṃgrāma eva | havāmahe āhvayāmaḥ | yujaṃ yujyate ’sāv iti yuk sahāyaḥ tam | vṛtreṣu saṃgrāma-vyatirikteṣv api ca śatruṣu indram eva samāhvayāmaḥ vajriṇam ||</w:t>
      </w:r>
    </w:p>
    <w:p>
      <w:pPr>
        <w:pStyle w:val="BlockText"/>
      </w:pPr>
      <w:r>
        <w:rPr>
          <w:bCs/>
          <w:b/>
        </w:rPr>
        <w:t xml:space="preserve">Translation:</w:t>
      </w:r>
      <w:r>
        <w:t xml:space="preserve"> </w:t>
      </w:r>
      <w:r>
        <w:t xml:space="preserve">“</w:t>
      </w:r>
      <w:r>
        <w:rPr>
          <w:iCs/>
          <w:i/>
        </w:rPr>
        <w:t xml:space="preserve">Mahādhane</w:t>
      </w:r>
      <w:r>
        <w:t xml:space="preserve"> </w:t>
      </w:r>
      <w:r>
        <w:t xml:space="preserve">— this is a name for battle: in a great battle. [We call] Indra alone.</w:t>
      </w:r>
      <w:r>
        <w:t xml:space="preserve"> </w:t>
      </w:r>
      <w:r>
        <w:rPr>
          <w:iCs/>
          <w:i/>
        </w:rPr>
        <w:t xml:space="preserve">Arbhe</w:t>
      </w:r>
      <w:r>
        <w:t xml:space="preserve"> </w:t>
      </w:r>
      <w:r>
        <w:t xml:space="preserve">— this is a name for</w:t>
      </w:r>
      <w:r>
        <w:t xml:space="preserve"> </w:t>
      </w:r>
      <w:r>
        <w:t xml:space="preserve">‘</w:t>
      </w:r>
      <w:r>
        <w:t xml:space="preserve">small</w:t>
      </w:r>
      <w:r>
        <w:t xml:space="preserve">’</w:t>
      </w:r>
      <w:r>
        <w:t xml:space="preserve">: in a small [battle]. In what? Because of the earlier mention, [it must be] in battle only.</w:t>
      </w:r>
      <w:r>
        <w:t xml:space="preserve"> </w:t>
      </w:r>
      <w:r>
        <w:rPr>
          <w:iCs/>
          <w:i/>
        </w:rPr>
        <w:t xml:space="preserve">Havāmahe</w:t>
      </w:r>
      <w:r>
        <w:t xml:space="preserve"> </w:t>
      </w:r>
      <w:r>
        <w:t xml:space="preserve">— we summon.</w:t>
      </w:r>
      <w:r>
        <w:t xml:space="preserve"> </w:t>
      </w:r>
      <w:r>
        <w:rPr>
          <w:iCs/>
          <w:i/>
        </w:rPr>
        <w:t xml:space="preserve">Yujam</w:t>
      </w:r>
      <w:r>
        <w:t xml:space="preserve"> </w:t>
      </w:r>
      <w:r>
        <w:t xml:space="preserve">—</w:t>
      </w:r>
      <w:r>
        <w:t xml:space="preserve">”</w:t>
      </w:r>
      <w:r>
        <w:t xml:space="preserve">he is joined” (</w:t>
      </w:r>
      <w:r>
        <w:rPr>
          <w:iCs/>
          <w:i/>
        </w:rPr>
        <w:t xml:space="preserve">yujyate ’sau</w:t>
      </w:r>
      <w:r>
        <w:t xml:space="preserve">), so</w:t>
      </w:r>
      <w:r>
        <w:t xml:space="preserve"> </w:t>
      </w:r>
      <w:r>
        <w:rPr>
          <w:iCs/>
          <w:i/>
        </w:rPr>
        <w:t xml:space="preserve">yuk</w:t>
      </w:r>
      <w:r>
        <w:t xml:space="preserve">, a helper — him.</w:t>
      </w:r>
      <w:r>
        <w:t xml:space="preserve"> </w:t>
      </w:r>
      <w:r>
        <w:rPr>
          <w:iCs/>
          <w:i/>
        </w:rPr>
        <w:t xml:space="preserve">Vṛtreṣu</w:t>
      </w:r>
      <w:r>
        <w:t xml:space="preserve"> </w:t>
      </w:r>
      <w:r>
        <w:t xml:space="preserve">— in the enemies apart from [formal] battle as well, we call Indra alone — him, the wielder of the thunderbolt.”</w:t>
      </w:r>
    </w:p>
    <w:p>
      <w:pPr>
        <w:pStyle w:val="FirstParagraph"/>
      </w:pPr>
      <w:r>
        <w:rPr>
          <w:bCs/>
          <w:b/>
        </w:rPr>
        <w:t xml:space="preserve">Anuvāda (the Kannada rendering of Skandasvāmī, as printed):</w:t>
      </w:r>
      <w:r>
        <w:t xml:space="preserve"> </w:t>
      </w:r>
      <w:r>
        <w:rPr>
          <w:iCs/>
          <w:i/>
        </w:rPr>
        <w:t xml:space="preserve">Mahādhana</w:t>
      </w:r>
      <w:r>
        <w:t xml:space="preserve"> </w:t>
      </w:r>
      <w:r>
        <w:t xml:space="preserve">means battle — a great battle.</w:t>
      </w:r>
      <w:r>
        <w:t xml:space="preserve"> </w:t>
      </w:r>
      <w:r>
        <w:rPr>
          <w:iCs/>
          <w:i/>
        </w:rPr>
        <w:t xml:space="preserve">Arbhe</w:t>
      </w:r>
      <w:r>
        <w:t xml:space="preserve"> </w:t>
      </w:r>
      <w:r>
        <w:t xml:space="preserve">means a small battle. So, whether the battle is small or great, we call upon Indra alone for our help. And not only in matters of battle but in other matters too, for the removal of our enemies, we call upon Indra alone, the thunderbolt-bearer.</w:t>
      </w:r>
    </w:p>
    <w:p>
      <w:pPr>
        <w:pStyle w:val="BodyText"/>
      </w:pPr>
      <w:r>
        <w:rPr>
          <w:bCs/>
          <w:b/>
        </w:rPr>
        <w:t xml:space="preserve">The translator’s judgment.</w:t>
      </w:r>
      <w:r>
        <w:t xml:space="preserve"> </w:t>
      </w:r>
      <w:r>
        <w:t xml:space="preserve">Since the</w:t>
      </w:r>
      <w:r>
        <w:t xml:space="preserve"> </w:t>
      </w:r>
      <w:r>
        <w:rPr>
          <w:bCs/>
          <w:b/>
        </w:rPr>
        <w:t xml:space="preserve">previous rik</w:t>
      </w:r>
      <w:r>
        <w:t xml:space="preserve"> </w:t>
      </w:r>
      <w:r>
        <w:t xml:space="preserve">treats the subject of battle, the sense</w:t>
      </w:r>
      <w:r>
        <w:t xml:space="preserve"> </w:t>
      </w:r>
      <w:r>
        <w:t xml:space="preserve">“</w:t>
      </w:r>
      <w:r>
        <w:t xml:space="preserve">in both the small and the great battles mentioned in this rik we seek Indra’s help alone</w:t>
      </w:r>
      <w:r>
        <w:t xml:space="preserve">”</w:t>
      </w:r>
      <w:r>
        <w:t xml:space="preserve"> </w:t>
      </w:r>
      <w:r>
        <w:t xml:space="preserve">is coherent. It is therefore</w:t>
      </w:r>
      <w:r>
        <w:t xml:space="preserve"> </w:t>
      </w:r>
      <w:r>
        <w:rPr>
          <w:bCs/>
          <w:b/>
        </w:rPr>
        <w:t xml:space="preserve">more fitting to take</w:t>
      </w:r>
      <w:r>
        <w:rPr>
          <w:bCs/>
          <w:b/>
        </w:rPr>
        <w:t xml:space="preserve"> </w:t>
      </w:r>
      <w:r>
        <w:rPr>
          <w:iCs/>
          <w:i/>
          <w:bCs/>
          <w:b/>
        </w:rPr>
        <w:t xml:space="preserve">mahādhane</w:t>
      </w:r>
      <w:r>
        <w:rPr>
          <w:bCs/>
          <w:b/>
        </w:rPr>
        <w:t xml:space="preserve"> </w:t>
      </w:r>
      <w:r>
        <w:rPr>
          <w:bCs/>
          <w:b/>
        </w:rPr>
        <w:t xml:space="preserve">as</w:t>
      </w:r>
      <w:r>
        <w:rPr>
          <w:bCs/>
          <w:b/>
        </w:rPr>
        <w:t xml:space="preserve"> </w:t>
      </w:r>
      <w:r>
        <w:rPr>
          <w:bCs/>
          <w:b/>
        </w:rPr>
        <w:t xml:space="preserve">“</w:t>
      </w:r>
      <w:r>
        <w:rPr>
          <w:bCs/>
          <w:b/>
        </w:rPr>
        <w:t xml:space="preserve">in a great battle</w:t>
      </w:r>
      <w:r>
        <w:rPr>
          <w:bCs/>
          <w:b/>
        </w:rPr>
        <w:t xml:space="preserve">”</w:t>
      </w:r>
      <w:r>
        <w:t xml:space="preserve"> </w:t>
      </w:r>
      <w:r>
        <w:t xml:space="preserve">than as</w:t>
      </w:r>
      <w:r>
        <w:t xml:space="preserve"> </w:t>
      </w:r>
      <w:r>
        <w:t xml:space="preserve">“</w:t>
      </w:r>
      <w:r>
        <w:t xml:space="preserve">for obtaining much wealth.</w:t>
      </w:r>
      <w:r>
        <w:t xml:space="preserve">”</w:t>
      </w:r>
      <w:r>
        <w:t xml:space="preserve"> </w:t>
      </w:r>
      <w:r>
        <w:t xml:space="preserve">Moreover, the word</w:t>
      </w:r>
      <w:r>
        <w:t xml:space="preserve"> </w:t>
      </w:r>
      <w:r>
        <w:rPr>
          <w:iCs/>
          <w:i/>
        </w:rPr>
        <w:t xml:space="preserve">ūtaye</w:t>
      </w:r>
      <w:r>
        <w:t xml:space="preserve"> </w:t>
      </w:r>
      <w:r>
        <w:t xml:space="preserve">(</w:t>
      </w:r>
      <w:r>
        <w:t xml:space="preserve">“</w:t>
      </w:r>
      <w:r>
        <w:t xml:space="preserve">for our protection</w:t>
      </w:r>
      <w:r>
        <w:t xml:space="preserve">”</w:t>
      </w:r>
      <w:r>
        <w:t xml:space="preserve">) in the previous rik</w:t>
      </w:r>
      <w:r>
        <w:t xml:space="preserve"> </w:t>
      </w:r>
      <w:r>
        <w:rPr>
          <w:iCs/>
          <w:i/>
        </w:rPr>
        <w:t xml:space="preserve">(as the source quotes it)</w:t>
      </w:r>
      <w:r>
        <w:t xml:space="preserve">, and the word</w:t>
      </w:r>
      <w:r>
        <w:t xml:space="preserve"> </w:t>
      </w:r>
      <w:r>
        <w:rPr>
          <w:iCs/>
          <w:i/>
        </w:rPr>
        <w:t xml:space="preserve">vajriṇam</w:t>
      </w:r>
      <w:r>
        <w:t xml:space="preserve"> </w:t>
      </w:r>
      <w:r>
        <w:t xml:space="preserve">(</w:t>
      </w:r>
      <w:r>
        <w:t xml:space="preserve">“</w:t>
      </w:r>
      <w:r>
        <w:t xml:space="preserve">endowed with the thunderbolt</w:t>
      </w:r>
      <w:r>
        <w:t xml:space="preserve">”</w:t>
      </w:r>
      <w:r>
        <w:t xml:space="preserve">) in this rik, both point to protection and to the subduing of enemies — matters pertaining to battle. For these reasons,</w:t>
      </w:r>
      <w:r>
        <w:t xml:space="preserve"> </w:t>
      </w:r>
      <w:r>
        <w:rPr>
          <w:bCs/>
          <w:b/>
        </w:rPr>
        <w:t xml:space="preserve">Skandasvāmī’s explanation is the one to be accepted here.</w:t>
      </w:r>
    </w:p>
    <w:p>
      <w:pPr>
        <w:pStyle w:val="BodyText"/>
      </w:pPr>
      <w:r>
        <w:rPr>
          <w:bCs/>
          <w:b/>
        </w:rPr>
        <w:t xml:space="preserve">॥ Vyākaraṇa-prakriyā ॥</w:t>
      </w:r>
    </w:p>
    <w:p>
      <w:pPr>
        <w:pStyle w:val="BodyText"/>
      </w:pPr>
      <w:r>
        <w:rPr>
          <w:iCs/>
          <w:i/>
        </w:rPr>
        <w:t xml:space="preserve">(Pp. 277–279. Characterized; numbers as printed.)</w:t>
      </w:r>
    </w:p>
    <w:p>
      <w:pPr>
        <w:numPr>
          <w:ilvl w:val="0"/>
          <w:numId w:val="1042"/>
        </w:numPr>
        <w:pStyle w:val="Compact"/>
      </w:pPr>
      <w:r>
        <w:rPr>
          <w:bCs/>
          <w:b/>
        </w:rPr>
        <w:t xml:space="preserve">महाधने (</w:t>
      </w:r>
      <w:r>
        <w:rPr>
          <w:iCs/>
          <w:i/>
          <w:bCs/>
          <w:b/>
        </w:rPr>
        <w:t xml:space="preserve">mahādhane</w:t>
      </w:r>
      <w:r>
        <w:rPr>
          <w:bCs/>
          <w:b/>
        </w:rPr>
        <w:t xml:space="preserve">)</w:t>
      </w:r>
      <w:r>
        <w:t xml:space="preserve"> </w:t>
      </w:r>
      <w:r>
        <w:t xml:space="preserve">— Yāska does list</w:t>
      </w:r>
      <w:r>
        <w:t xml:space="preserve"> </w:t>
      </w:r>
      <w:r>
        <w:rPr>
          <w:iCs/>
          <w:i/>
        </w:rPr>
        <w:t xml:space="preserve">mahādhana</w:t>
      </w:r>
      <w:r>
        <w:t xml:space="preserve"> </w:t>
      </w:r>
      <w:r>
        <w:t xml:space="preserve">among the names for battle; but if taken that way here it would be a bahuvrīhi (</w:t>
      </w:r>
      <w:r>
        <w:rPr>
          <w:iCs/>
          <w:i/>
        </w:rPr>
        <w:t xml:space="preserve">mahat dhanam atra saṃgrāme</w:t>
      </w:r>
      <w:r>
        <w:t xml:space="preserve">,</w:t>
      </w:r>
      <w:r>
        <w:t xml:space="preserve"> </w:t>
      </w:r>
      <w:r>
        <w:t xml:space="preserve">“</w:t>
      </w:r>
      <w:r>
        <w:t xml:space="preserve">in which there is great wealth</w:t>
      </w:r>
      <w:r>
        <w:t xml:space="preserve">”</w:t>
      </w:r>
      <w:r>
        <w:t xml:space="preserve">) and would then take the accent of its first member (</w:t>
      </w:r>
      <w:r>
        <w:rPr>
          <w:iCs/>
          <w:i/>
        </w:rPr>
        <w:t xml:space="preserve">pūrvapada-prakṛti-svara</w:t>
      </w:r>
      <w:r>
        <w:t xml:space="preserve">), so final-udātta could not be explained. Hence it is taken as a karmadhāraya</w:t>
      </w:r>
      <w:r>
        <w:t xml:space="preserve"> </w:t>
      </w:r>
      <w:r>
        <w:rPr>
          <w:iCs/>
          <w:i/>
        </w:rPr>
        <w:t xml:space="preserve">mahac ca tad dhanaṃ ca</w:t>
      </w:r>
      <w:r>
        <w:t xml:space="preserve"> </w:t>
      </w:r>
      <w:r>
        <w:t xml:space="preserve">(</w:t>
      </w:r>
      <w:r>
        <w:t xml:space="preserve">“</w:t>
      </w:r>
      <w:r>
        <w:t xml:space="preserve">great, and that wealth</w:t>
      </w:r>
      <w:r>
        <w:t xml:space="preserve">”</w:t>
      </w:r>
      <w:r>
        <w:t xml:space="preserve">), which is final-udātta by</w:t>
      </w:r>
      <w:r>
        <w:t xml:space="preserve"> </w:t>
      </w:r>
      <w:r>
        <w:rPr>
          <w:bCs/>
          <w:b/>
        </w:rPr>
        <w:t xml:space="preserve">समासस्य</w:t>
      </w:r>
      <w:r>
        <w:t xml:space="preserve"> </w:t>
      </w:r>
      <w:r>
        <w:t xml:space="preserve">(पा. सू. ६-१-२२३);</w:t>
      </w:r>
      <w:r>
        <w:t xml:space="preserve"> </w:t>
      </w:r>
      <w:r>
        <w:rPr>
          <w:iCs/>
          <w:i/>
        </w:rPr>
        <w:t xml:space="preserve">mahat</w:t>
      </w:r>
      <w:r>
        <w:t xml:space="preserve"> </w:t>
      </w:r>
      <w:r>
        <w:t xml:space="preserve">→</w:t>
      </w:r>
      <w:r>
        <w:t xml:space="preserve"> </w:t>
      </w:r>
      <w:r>
        <w:rPr>
          <w:iCs/>
          <w:i/>
        </w:rPr>
        <w:t xml:space="preserve">mahā</w:t>
      </w:r>
      <w:r>
        <w:t xml:space="preserve"> </w:t>
      </w:r>
      <w:r>
        <w:t xml:space="preserve">by</w:t>
      </w:r>
      <w:r>
        <w:t xml:space="preserve"> </w:t>
      </w:r>
      <w:r>
        <w:rPr>
          <w:bCs/>
          <w:b/>
        </w:rPr>
        <w:t xml:space="preserve">आन्महतः समानाधिकरणजातीययोः</w:t>
      </w:r>
      <w:r>
        <w:t xml:space="preserve"> </w:t>
      </w:r>
      <w:r>
        <w:t xml:space="preserve">(पा. सू. ६-३-४६).</w:t>
      </w:r>
    </w:p>
    <w:p>
      <w:pPr>
        <w:numPr>
          <w:ilvl w:val="0"/>
          <w:numId w:val="1042"/>
        </w:numPr>
        <w:pStyle w:val="Compact"/>
      </w:pPr>
      <w:r>
        <w:rPr>
          <w:bCs/>
          <w:b/>
        </w:rPr>
        <w:t xml:space="preserve">अर्भे (</w:t>
      </w:r>
      <w:r>
        <w:rPr>
          <w:iCs/>
          <w:i/>
          <w:bCs/>
          <w:b/>
        </w:rPr>
        <w:t xml:space="preserve">arbhe</w:t>
      </w:r>
      <w:r>
        <w:rPr>
          <w:bCs/>
          <w:b/>
        </w:rPr>
        <w:t xml:space="preserve">)</w:t>
      </w:r>
      <w:r>
        <w:t xml:space="preserve"> </w:t>
      </w:r>
      <w:r>
        <w:t xml:space="preserve">— root</w:t>
      </w:r>
      <w:r>
        <w:t xml:space="preserve"> </w:t>
      </w:r>
      <w:r>
        <w:rPr>
          <w:iCs/>
          <w:i/>
        </w:rPr>
        <w:t xml:space="preserve">ṛ</w:t>
      </w:r>
      <w:r>
        <w:t xml:space="preserve"> </w:t>
      </w:r>
      <w:r>
        <w:t xml:space="preserve">+</w:t>
      </w:r>
      <w:r>
        <w:t xml:space="preserve"> </w:t>
      </w:r>
      <w:r>
        <w:rPr>
          <w:iCs/>
          <w:i/>
        </w:rPr>
        <w:t xml:space="preserve">bhan</w:t>
      </w:r>
      <w:r>
        <w:t xml:space="preserve"> </w:t>
      </w:r>
      <w:r>
        <w:t xml:space="preserve">by</w:t>
      </w:r>
      <w:r>
        <w:t xml:space="preserve"> </w:t>
      </w:r>
      <w:r>
        <w:rPr>
          <w:bCs/>
          <w:b/>
        </w:rPr>
        <w:t xml:space="preserve">अर्तिगृभ्यां भन्</w:t>
      </w:r>
      <w:r>
        <w:t xml:space="preserve"> </w:t>
      </w:r>
      <w:r>
        <w:t xml:space="preserve">(उ. सू. ३-४०२ [?], as printed; the bhāṣya gives</w:t>
      </w:r>
      <w:r>
        <w:t xml:space="preserve"> </w:t>
      </w:r>
      <w:r>
        <w:t xml:space="preserve">“</w:t>
      </w:r>
      <w:r>
        <w:t xml:space="preserve">उ. ३-१५२</w:t>
      </w:r>
      <w:r>
        <w:t xml:space="preserve">”</w:t>
      </w:r>
      <w:r>
        <w:t xml:space="preserve">), with</w:t>
      </w:r>
      <w:r>
        <w:t xml:space="preserve"> </w:t>
      </w:r>
      <w:r>
        <w:rPr>
          <w:iCs/>
          <w:i/>
        </w:rPr>
        <w:t xml:space="preserve">guṇa</w:t>
      </w:r>
      <w:r>
        <w:t xml:space="preserve">; locative singular;</w:t>
      </w:r>
      <w:r>
        <w:t xml:space="preserve"> </w:t>
      </w:r>
      <w:r>
        <w:rPr>
          <w:iCs/>
          <w:i/>
        </w:rPr>
        <w:t xml:space="preserve">nit</w:t>
      </w:r>
      <w:r>
        <w:t xml:space="preserve"> </w:t>
      </w:r>
      <w:r>
        <w:t xml:space="preserve">so initial-udātta.</w:t>
      </w:r>
    </w:p>
    <w:p>
      <w:pPr>
        <w:numPr>
          <w:ilvl w:val="0"/>
          <w:numId w:val="1042"/>
        </w:numPr>
        <w:pStyle w:val="Compact"/>
      </w:pPr>
      <w:r>
        <w:rPr>
          <w:bCs/>
          <w:b/>
        </w:rPr>
        <w:t xml:space="preserve">हवामहे (</w:t>
      </w:r>
      <w:r>
        <w:rPr>
          <w:iCs/>
          <w:i/>
          <w:bCs/>
          <w:b/>
        </w:rPr>
        <w:t xml:space="preserve">havāmahe</w:t>
      </w:r>
      <w:r>
        <w:rPr>
          <w:bCs/>
          <w:b/>
        </w:rPr>
        <w:t xml:space="preserve">)</w:t>
      </w:r>
      <w:r>
        <w:t xml:space="preserve"> </w:t>
      </w:r>
      <w:r>
        <w:t xml:space="preserve">— root</w:t>
      </w:r>
      <w:r>
        <w:t xml:space="preserve"> </w:t>
      </w:r>
      <w:r>
        <w:rPr>
          <w:iCs/>
          <w:i/>
        </w:rPr>
        <w:t xml:space="preserve">hve ñ</w:t>
      </w:r>
      <w:r>
        <w:t xml:space="preserve"> </w:t>
      </w:r>
      <w:r>
        <w:t xml:space="preserve">(</w:t>
      </w:r>
      <w:r>
        <w:t xml:space="preserve">“</w:t>
      </w:r>
      <w:r>
        <w:t xml:space="preserve">to call; to vie; to sound</w:t>
      </w:r>
      <w:r>
        <w:t xml:space="preserve">”</w:t>
      </w:r>
      <w:r>
        <w:t xml:space="preserve">); ātmanepada by Pā. 1-3-72 (the fruit of the act accrues to the agent);</w:t>
      </w:r>
      <w:r>
        <w:t xml:space="preserve"> </w:t>
      </w:r>
      <w:r>
        <w:rPr>
          <w:iCs/>
          <w:i/>
        </w:rPr>
        <w:t xml:space="preserve">laṭ</w:t>
      </w:r>
      <w:r>
        <w:t xml:space="preserve">, first-person plural</w:t>
      </w:r>
      <w:r>
        <w:t xml:space="preserve"> </w:t>
      </w:r>
      <w:r>
        <w:rPr>
          <w:iCs/>
          <w:i/>
        </w:rPr>
        <w:t xml:space="preserve">mahiṅ</w:t>
      </w:r>
      <w:r>
        <w:t xml:space="preserve">, with</w:t>
      </w:r>
      <w:r>
        <w:t xml:space="preserve"> </w:t>
      </w:r>
      <w:r>
        <w:rPr>
          <w:iCs/>
          <w:i/>
        </w:rPr>
        <w:t xml:space="preserve">e</w:t>
      </w:r>
      <w:r>
        <w:t xml:space="preserve"> </w:t>
      </w:r>
      <w:r>
        <w:t xml:space="preserve">by</w:t>
      </w:r>
      <w:r>
        <w:t xml:space="preserve"> </w:t>
      </w:r>
      <w:r>
        <w:t xml:space="preserve">“</w:t>
      </w:r>
      <w:r>
        <w:t xml:space="preserve">ṭita ātmanepadānāṃ ṭer e</w:t>
      </w:r>
      <w:r>
        <w:t xml:space="preserve">”</w:t>
      </w:r>
      <w:r>
        <w:t xml:space="preserve">;</w:t>
      </w:r>
      <w:r>
        <w:t xml:space="preserve"> </w:t>
      </w:r>
      <w:r>
        <w:rPr>
          <w:iCs/>
          <w:i/>
        </w:rPr>
        <w:t xml:space="preserve">śap</w:t>
      </w:r>
      <w:r>
        <w:t xml:space="preserve">; Vedic</w:t>
      </w:r>
      <w:r>
        <w:t xml:space="preserve"> </w:t>
      </w:r>
      <w:r>
        <w:rPr>
          <w:iCs/>
          <w:i/>
        </w:rPr>
        <w:t xml:space="preserve">saṃprasāraṇa</w:t>
      </w:r>
      <w:r>
        <w:t xml:space="preserve"> </w:t>
      </w:r>
      <w:r>
        <w:t xml:space="preserve">of</w:t>
      </w:r>
      <w:r>
        <w:t xml:space="preserve"> </w:t>
      </w:r>
      <w:r>
        <w:rPr>
          <w:iCs/>
          <w:i/>
        </w:rPr>
        <w:t xml:space="preserve">hve</w:t>
      </w:r>
      <w:r>
        <w:t xml:space="preserve"> </w:t>
      </w:r>
      <w:r>
        <w:t xml:space="preserve">(</w:t>
      </w:r>
      <w:r>
        <w:rPr>
          <w:iCs/>
          <w:i/>
        </w:rPr>
        <w:t xml:space="preserve">hu+a+mahe</w:t>
      </w:r>
      <w:r>
        <w:t xml:space="preserve">), then</w:t>
      </w:r>
      <w:r>
        <w:t xml:space="preserve"> </w:t>
      </w:r>
      <w:r>
        <w:rPr>
          <w:iCs/>
          <w:i/>
        </w:rPr>
        <w:t xml:space="preserve">guṇa</w:t>
      </w:r>
      <w:r>
        <w:t xml:space="preserve"> </w:t>
      </w:r>
      <w:r>
        <w:t xml:space="preserve">and lengthening, giving</w:t>
      </w:r>
      <w:r>
        <w:t xml:space="preserve"> </w:t>
      </w:r>
      <w:r>
        <w:rPr>
          <w:iCs/>
          <w:i/>
        </w:rPr>
        <w:t xml:space="preserve">havāmahe</w:t>
      </w:r>
      <w:r>
        <w:t xml:space="preserve">; unaccented as a finite verb.</w:t>
      </w:r>
    </w:p>
    <w:p>
      <w:pPr>
        <w:numPr>
          <w:ilvl w:val="0"/>
          <w:numId w:val="1042"/>
        </w:numPr>
        <w:pStyle w:val="Compact"/>
      </w:pPr>
      <w:r>
        <w:rPr>
          <w:bCs/>
          <w:b/>
        </w:rPr>
        <w:t xml:space="preserve">युजम् (</w:t>
      </w:r>
      <w:r>
        <w:rPr>
          <w:iCs/>
          <w:i/>
          <w:bCs/>
          <w:b/>
        </w:rPr>
        <w:t xml:space="preserve">yujam</w:t>
      </w:r>
      <w:r>
        <w:rPr>
          <w:bCs/>
          <w:b/>
        </w:rPr>
        <w:t xml:space="preserve">)</w:t>
      </w:r>
      <w:r>
        <w:t xml:space="preserve"> </w:t>
      </w:r>
      <w:r>
        <w:t xml:space="preserve">— root</w:t>
      </w:r>
      <w:r>
        <w:t xml:space="preserve"> </w:t>
      </w:r>
      <w:r>
        <w:rPr>
          <w:iCs/>
          <w:i/>
        </w:rPr>
        <w:t xml:space="preserve">yuja samādhau</w:t>
      </w:r>
      <w:r>
        <w:t xml:space="preserve"> </w:t>
      </w:r>
      <w:r>
        <w:t xml:space="preserve">+</w:t>
      </w:r>
      <w:r>
        <w:t xml:space="preserve"> </w:t>
      </w:r>
      <w:r>
        <w:rPr>
          <w:iCs/>
          <w:i/>
        </w:rPr>
        <w:t xml:space="preserve">kvip</w:t>
      </w:r>
      <w:r>
        <w:t xml:space="preserve"> </w:t>
      </w:r>
      <w:r>
        <w:t xml:space="preserve">with total loss of the suffix; the question whether the augment</w:t>
      </w:r>
      <w:r>
        <w:t xml:space="preserve"> </w:t>
      </w:r>
      <w:r>
        <w:rPr>
          <w:iCs/>
          <w:i/>
        </w:rPr>
        <w:t xml:space="preserve">num</w:t>
      </w:r>
      <w:r>
        <w:t xml:space="preserve"> </w:t>
      </w:r>
      <w:r>
        <w:t xml:space="preserve">arises (by</w:t>
      </w:r>
      <w:r>
        <w:t xml:space="preserve"> </w:t>
      </w:r>
      <w:r>
        <w:t xml:space="preserve">“</w:t>
      </w:r>
      <w:r>
        <w:t xml:space="preserve">yujer asamāse,</w:t>
      </w:r>
      <w:r>
        <w:t xml:space="preserve">”</w:t>
      </w:r>
      <w:r>
        <w:t xml:space="preserve"> </w:t>
      </w:r>
      <w:r>
        <w:t xml:space="preserve">Pā. 7-1-71) is argued and answered in the negative here.</w:t>
      </w:r>
    </w:p>
    <w:p>
      <w:pPr>
        <w:numPr>
          <w:ilvl w:val="0"/>
          <w:numId w:val="1042"/>
        </w:numPr>
        <w:pStyle w:val="Compact"/>
      </w:pPr>
      <w:r>
        <w:rPr>
          <w:bCs/>
          <w:b/>
        </w:rPr>
        <w:t xml:space="preserve">वृत्रेषु (</w:t>
      </w:r>
      <w:r>
        <w:rPr>
          <w:iCs/>
          <w:i/>
          <w:bCs/>
          <w:b/>
        </w:rPr>
        <w:t xml:space="preserve">vṛtreṣu</w:t>
      </w:r>
      <w:r>
        <w:rPr>
          <w:bCs/>
          <w:b/>
        </w:rPr>
        <w:t xml:space="preserve">)</w:t>
      </w:r>
      <w:r>
        <w:t xml:space="preserve"> </w:t>
      </w:r>
      <w:r>
        <w:t xml:space="preserve">— root</w:t>
      </w:r>
      <w:r>
        <w:t xml:space="preserve"> </w:t>
      </w:r>
      <w:r>
        <w:rPr>
          <w:iCs/>
          <w:i/>
        </w:rPr>
        <w:t xml:space="preserve">vṛtu vartane</w:t>
      </w:r>
      <w:r>
        <w:t xml:space="preserve"> </w:t>
      </w:r>
      <w:r>
        <w:t xml:space="preserve">(</w:t>
      </w:r>
      <w:r>
        <w:t xml:space="preserve">“</w:t>
      </w:r>
      <w:r>
        <w:t xml:space="preserve">to be; to stand</w:t>
      </w:r>
      <w:r>
        <w:t xml:space="preserve">”</w:t>
      </w:r>
      <w:r>
        <w:t xml:space="preserve">),</w:t>
      </w:r>
      <w:r>
        <w:t xml:space="preserve"> </w:t>
      </w:r>
      <w:r>
        <w:t xml:space="preserve">“</w:t>
      </w:r>
      <w:r>
        <w:t xml:space="preserve">those that stand in opposition</w:t>
      </w:r>
      <w:r>
        <w:t xml:space="preserve">”</w:t>
      </w:r>
      <w:r>
        <w:t xml:space="preserve">; a</w:t>
      </w:r>
      <w:r>
        <w:t xml:space="preserve"> </w:t>
      </w:r>
      <w:r>
        <w:rPr>
          <w:iCs/>
          <w:i/>
        </w:rPr>
        <w:t xml:space="preserve">rak</w:t>
      </w:r>
      <w:r>
        <w:t xml:space="preserve"> </w:t>
      </w:r>
      <w:r>
        <w:t xml:space="preserve">suffix,</w:t>
      </w:r>
      <w:r>
        <w:t xml:space="preserve"> </w:t>
      </w:r>
      <w:r>
        <w:rPr>
          <w:iCs/>
          <w:i/>
        </w:rPr>
        <w:t xml:space="preserve">kit</w:t>
      </w:r>
      <w:r>
        <w:t xml:space="preserve">, so no</w:t>
      </w:r>
      <w:r>
        <w:t xml:space="preserve"> </w:t>
      </w:r>
      <w:r>
        <w:rPr>
          <w:iCs/>
          <w:i/>
        </w:rPr>
        <w:t xml:space="preserve">guṇa</w:t>
      </w:r>
      <w:r>
        <w:t xml:space="preserve">; final-udātta by the suffix.</w:t>
      </w:r>
      <w:r>
        <w:t xml:space="preserve"> </w:t>
      </w:r>
      <w:r>
        <w:rPr>
          <w:iCs/>
          <w:i/>
        </w:rPr>
        <w:t xml:space="preserve">(Page 279’s first lines list the thirty-odd roots after which</w:t>
      </w:r>
      <w:r>
        <w:t xml:space="preserve"> </w:t>
      </w:r>
      <w:r>
        <w:t xml:space="preserve">rak</w:t>
      </w:r>
      <w:r>
        <w:t xml:space="preserve"> </w:t>
      </w:r>
      <w:r>
        <w:rPr>
          <w:iCs/>
          <w:i/>
        </w:rPr>
        <w:t xml:space="preserve">comes, including this one.)</w:t>
      </w:r>
    </w:p>
    <w:p>
      <w:pPr>
        <w:numPr>
          <w:ilvl w:val="0"/>
          <w:numId w:val="1042"/>
        </w:numPr>
        <w:pStyle w:val="Compact"/>
      </w:pPr>
      <w:r>
        <w:rPr>
          <w:bCs/>
          <w:b/>
        </w:rPr>
        <w:t xml:space="preserve">वज्रिणम् (</w:t>
      </w:r>
      <w:r>
        <w:rPr>
          <w:iCs/>
          <w:i/>
          <w:bCs/>
          <w:b/>
        </w:rPr>
        <w:t xml:space="preserve">vajriṇam</w:t>
      </w:r>
      <w:r>
        <w:rPr>
          <w:bCs/>
          <w:b/>
        </w:rPr>
        <w:t xml:space="preserve">)</w:t>
      </w:r>
      <w:r>
        <w:t xml:space="preserve"> </w:t>
      </w:r>
      <w:r>
        <w:t xml:space="preserve">—</w:t>
      </w:r>
      <w:r>
        <w:t xml:space="preserve"> </w:t>
      </w:r>
      <w:r>
        <w:rPr>
          <w:iCs/>
          <w:i/>
        </w:rPr>
        <w:t xml:space="preserve">vajra</w:t>
      </w:r>
      <w:r>
        <w:t xml:space="preserve"> </w:t>
      </w:r>
      <w:r>
        <w:t xml:space="preserve">+</w:t>
      </w:r>
      <w:r>
        <w:t xml:space="preserve"> </w:t>
      </w:r>
      <w:r>
        <w:rPr>
          <w:iCs/>
          <w:i/>
        </w:rPr>
        <w:t xml:space="preserve">ini</w:t>
      </w:r>
      <w:r>
        <w:t xml:space="preserve"> </w:t>
      </w:r>
      <w:r>
        <w:t xml:space="preserve">(Pā. 5-2-115); accent by the suffix.</w:t>
      </w:r>
    </w:p>
    <w:bookmarkEnd w:id="311"/>
    <w:bookmarkStart w:id="312" w:name="page-278"/>
    <w:p>
      <w:pPr>
        <w:pStyle w:val="Heading3"/>
      </w:pPr>
      <w:r>
        <w:t xml:space="preserve">Page 278</w:t>
      </w:r>
    </w:p>
    <w:p>
      <w:pPr>
        <w:pStyle w:val="FirstParagraph"/>
      </w:pPr>
      <w:r>
        <w:rPr>
          <w:iCs/>
          <w:i/>
        </w:rPr>
        <w:t xml:space="preserve">(Rik 5 grammar, continued; Kannada; numbers as printed.)</w:t>
      </w:r>
      <w:r>
        <w:t xml:space="preserve"> </w:t>
      </w:r>
      <w:r>
        <w:rPr>
          <w:bCs/>
          <w:b/>
        </w:rPr>
        <w:t xml:space="preserve">“</w:t>
      </w:r>
      <w:r>
        <w:rPr>
          <w:bCs/>
          <w:b/>
        </w:rPr>
        <w:t xml:space="preserve">Havāmahe</w:t>
      </w:r>
      <w:r>
        <w:rPr>
          <w:bCs/>
          <w:b/>
        </w:rPr>
        <w:t xml:space="preserve">”</w:t>
      </w:r>
      <w:r>
        <w:t xml:space="preserve"> </w:t>
      </w:r>
      <w:r>
        <w:t xml:space="preserve">—</w:t>
      </w:r>
      <w:r>
        <w:t xml:space="preserve"> </w:t>
      </w:r>
      <w:r>
        <w:rPr>
          <w:bCs/>
          <w:b/>
        </w:rPr>
        <w:t xml:space="preserve">स्वरितञितः कर्त्रभिप्राये क्रियाफले</w:t>
      </w:r>
      <w:r>
        <w:t xml:space="preserve"> </w:t>
      </w:r>
      <w:r>
        <w:t xml:space="preserve">(पा. सू. १-३-७२) the ātmanepada;</w:t>
      </w:r>
      <w:r>
        <w:t xml:space="preserve"> </w:t>
      </w:r>
      <w:r>
        <w:t xml:space="preserve">“</w:t>
      </w:r>
      <w:r>
        <w:t xml:space="preserve">mahiṅ</w:t>
      </w:r>
      <w:r>
        <w:t xml:space="preserve">”</w:t>
      </w:r>
      <w:r>
        <w:t xml:space="preserve"> </w:t>
      </w:r>
      <w:r>
        <w:t xml:space="preserve">by</w:t>
      </w:r>
      <w:r>
        <w:t xml:space="preserve"> </w:t>
      </w:r>
      <w:r>
        <w:rPr>
          <w:bCs/>
          <w:b/>
        </w:rPr>
        <w:t xml:space="preserve">तिप्तस्झि…</w:t>
      </w:r>
      <w:r>
        <w:t xml:space="preserve"> </w:t>
      </w:r>
      <w:r>
        <w:t xml:space="preserve">(पा. सू. ३-४-७८);</w:t>
      </w:r>
      <w:r>
        <w:t xml:space="preserve"> </w:t>
      </w:r>
      <w:r>
        <w:rPr>
          <w:bCs/>
          <w:b/>
        </w:rPr>
        <w:t xml:space="preserve">टित आत्मनेपदानां टेरे</w:t>
      </w:r>
      <w:r>
        <w:t xml:space="preserve"> </w:t>
      </w:r>
      <w:r>
        <w:t xml:space="preserve">(पा. सू. ३-४-७९)</w:t>
      </w:r>
      <w:r>
        <w:t xml:space="preserve"> </w:t>
      </w:r>
      <w:r>
        <w:t xml:space="preserve">“</w:t>
      </w:r>
      <w:r>
        <w:t xml:space="preserve">mahe</w:t>
      </w:r>
      <w:r>
        <w:t xml:space="preserve">”</w:t>
      </w:r>
      <w:r>
        <w:t xml:space="preserve">;</w:t>
      </w:r>
      <w:r>
        <w:t xml:space="preserve"> </w:t>
      </w:r>
      <w:r>
        <w:rPr>
          <w:bCs/>
          <w:b/>
        </w:rPr>
        <w:t xml:space="preserve">कर्तरि शप्</w:t>
      </w:r>
      <w:r>
        <w:t xml:space="preserve"> </w:t>
      </w:r>
      <w:r>
        <w:t xml:space="preserve">(पा. सू. ३-१-६८);</w:t>
      </w:r>
      <w:r>
        <w:t xml:space="preserve"> </w:t>
      </w:r>
      <w:r>
        <w:rPr>
          <w:bCs/>
          <w:b/>
        </w:rPr>
        <w:t xml:space="preserve">बहुलं छन्दसि</w:t>
      </w:r>
      <w:r>
        <w:t xml:space="preserve"> </w:t>
      </w:r>
      <w:r>
        <w:t xml:space="preserve">(पा. सू. ६-१-३४), with</w:t>
      </w:r>
      <w:r>
        <w:t xml:space="preserve"> </w:t>
      </w:r>
      <w:r>
        <w:rPr>
          <w:bCs/>
          <w:b/>
        </w:rPr>
        <w:t xml:space="preserve">ह्वः संप्रसारणम्</w:t>
      </w:r>
      <w:r>
        <w:t xml:space="preserve"> </w:t>
      </w:r>
      <w:r>
        <w:t xml:space="preserve">(पा. सू. ६-१-३२) carried on:</w:t>
      </w:r>
      <w:r>
        <w:t xml:space="preserve"> </w:t>
      </w:r>
      <w:r>
        <w:t xml:space="preserve">“</w:t>
      </w:r>
      <w:r>
        <w:t xml:space="preserve">hu + a + a + mahe</w:t>
      </w:r>
      <w:r>
        <w:t xml:space="preserve">”</w:t>
      </w:r>
      <w:r>
        <w:t xml:space="preserve">;</w:t>
      </w:r>
      <w:r>
        <w:t xml:space="preserve"> </w:t>
      </w:r>
      <w:r>
        <w:rPr>
          <w:bCs/>
          <w:b/>
        </w:rPr>
        <w:t xml:space="preserve">संप्रसारणाच्च</w:t>
      </w:r>
      <w:r>
        <w:t xml:space="preserve"> </w:t>
      </w:r>
      <w:r>
        <w:t xml:space="preserve">(पा. सू. ६-१-१०८) the prior form; guṇa by</w:t>
      </w:r>
      <w:r>
        <w:t xml:space="preserve"> </w:t>
      </w:r>
      <w:r>
        <w:rPr>
          <w:bCs/>
          <w:b/>
        </w:rPr>
        <w:t xml:space="preserve">सार्वधातुकार्धधातुकयोः</w:t>
      </w:r>
      <w:r>
        <w:t xml:space="preserve"> </w:t>
      </w:r>
      <w:r>
        <w:t xml:space="preserve">(पा. सू. ७-३-८४);</w:t>
      </w:r>
      <w:r>
        <w:t xml:space="preserve"> </w:t>
      </w:r>
      <w:r>
        <w:rPr>
          <w:bCs/>
          <w:b/>
        </w:rPr>
        <w:t xml:space="preserve">एचोऽयवायावः</w:t>
      </w:r>
      <w:r>
        <w:t xml:space="preserve"> </w:t>
      </w:r>
      <w:r>
        <w:t xml:space="preserve">(पा. सू. ६-१-७८)</w:t>
      </w:r>
      <w:r>
        <w:t xml:space="preserve"> </w:t>
      </w:r>
      <w:r>
        <w:t xml:space="preserve">“</w:t>
      </w:r>
      <w:r>
        <w:t xml:space="preserve">av</w:t>
      </w:r>
      <w:r>
        <w:t xml:space="preserve">”</w:t>
      </w:r>
      <w:r>
        <w:t xml:space="preserve">;</w:t>
      </w:r>
      <w:r>
        <w:t xml:space="preserve"> </w:t>
      </w:r>
      <w:r>
        <w:rPr>
          <w:bCs/>
          <w:b/>
        </w:rPr>
        <w:t xml:space="preserve">अतो दीर्घो यञि</w:t>
      </w:r>
      <w:r>
        <w:t xml:space="preserve"> </w:t>
      </w:r>
      <w:r>
        <w:t xml:space="preserve">(पा. सू. ७-३-१०१) the long</w:t>
      </w:r>
      <w:r>
        <w:t xml:space="preserve"> </w:t>
      </w:r>
      <w:r>
        <w:t xml:space="preserve">“</w:t>
      </w:r>
      <w:r>
        <w:t xml:space="preserve">ā</w:t>
      </w:r>
      <w:r>
        <w:t xml:space="preserve">”</w:t>
      </w:r>
      <w:r>
        <w:t xml:space="preserve">:</w:t>
      </w:r>
      <w:r>
        <w:t xml:space="preserve"> </w:t>
      </w:r>
      <w:r>
        <w:t xml:space="preserve">“</w:t>
      </w:r>
      <w:r>
        <w:t xml:space="preserve">havāmahe</w:t>
      </w:r>
      <w:r>
        <w:t xml:space="preserve">”</w:t>
      </w:r>
      <w:r>
        <w:t xml:space="preserve">; unaccented by</w:t>
      </w:r>
      <w:r>
        <w:t xml:space="preserve"> </w:t>
      </w:r>
      <w:r>
        <w:rPr>
          <w:bCs/>
          <w:b/>
        </w:rPr>
        <w:t xml:space="preserve">तिङ्ङतिङः</w:t>
      </w:r>
      <w:r>
        <w:t xml:space="preserve"> </w:t>
      </w:r>
      <w:r>
        <w:t xml:space="preserve">(पा. सू. ८-१-२८).</w:t>
      </w:r>
      <w:r>
        <w:t xml:space="preserve"> </w:t>
      </w:r>
      <w:r>
        <w:rPr>
          <w:bCs/>
          <w:b/>
        </w:rPr>
        <w:t xml:space="preserve">“</w:t>
      </w:r>
      <w:r>
        <w:rPr>
          <w:bCs/>
          <w:b/>
        </w:rPr>
        <w:t xml:space="preserve">Yujam</w:t>
      </w:r>
      <w:r>
        <w:rPr>
          <w:bCs/>
          <w:b/>
        </w:rPr>
        <w:t xml:space="preserve">”</w:t>
      </w:r>
      <w:r>
        <w:t xml:space="preserve"> </w:t>
      </w:r>
      <w:r>
        <w:t xml:space="preserve">—</w:t>
      </w:r>
      <w:r>
        <w:t xml:space="preserve"> </w:t>
      </w:r>
      <w:r>
        <w:t xml:space="preserve">“</w:t>
      </w:r>
      <w:r>
        <w:t xml:space="preserve">yuja samādhau</w:t>
      </w:r>
      <w:r>
        <w:t xml:space="preserve">”</w:t>
      </w:r>
      <w:r>
        <w:t xml:space="preserve"> </w:t>
      </w:r>
      <w:r>
        <w:t xml:space="preserve">+</w:t>
      </w:r>
      <w:r>
        <w:t xml:space="preserve"> </w:t>
      </w:r>
      <w:r>
        <w:t xml:space="preserve">“</w:t>
      </w:r>
      <w:r>
        <w:t xml:space="preserve">kvip</w:t>
      </w:r>
      <w:r>
        <w:t xml:space="preserve">”</w:t>
      </w:r>
      <w:r>
        <w:t xml:space="preserve">: its</w:t>
      </w:r>
      <w:r>
        <w:t xml:space="preserve"> </w:t>
      </w:r>
      <w:r>
        <w:t xml:space="preserve">“</w:t>
      </w:r>
      <w:r>
        <w:t xml:space="preserve">p</w:t>
      </w:r>
      <w:r>
        <w:t xml:space="preserve">”</w:t>
      </w:r>
      <w:r>
        <w:t xml:space="preserve"> </w:t>
      </w:r>
      <w:r>
        <w:t xml:space="preserve">is</w:t>
      </w:r>
      <w:r>
        <w:t xml:space="preserve"> </w:t>
      </w:r>
      <w:r>
        <w:t xml:space="preserve">“</w:t>
      </w:r>
      <w:r>
        <w:t xml:space="preserve">it</w:t>
      </w:r>
      <w:r>
        <w:t xml:space="preserve">”</w:t>
      </w:r>
      <w:r>
        <w:t xml:space="preserve"> </w:t>
      </w:r>
      <w:r>
        <w:t xml:space="preserve">by</w:t>
      </w:r>
      <w:r>
        <w:t xml:space="preserve"> </w:t>
      </w:r>
      <w:r>
        <w:rPr>
          <w:bCs/>
          <w:b/>
        </w:rPr>
        <w:t xml:space="preserve">हलन्त्यम्</w:t>
      </w:r>
      <w:r>
        <w:t xml:space="preserve"> </w:t>
      </w:r>
      <w:r>
        <w:t xml:space="preserve">(पा. सू. १-३-३), the</w:t>
      </w:r>
      <w:r>
        <w:t xml:space="preserve"> </w:t>
      </w:r>
      <w:r>
        <w:t xml:space="preserve">“</w:t>
      </w:r>
      <w:r>
        <w:t xml:space="preserve">i</w:t>
      </w:r>
      <w:r>
        <w:t xml:space="preserve">”</w:t>
      </w:r>
      <w:r>
        <w:t xml:space="preserve"> </w:t>
      </w:r>
      <w:r>
        <w:t xml:space="preserve">by</w:t>
      </w:r>
      <w:r>
        <w:t xml:space="preserve"> </w:t>
      </w:r>
      <w:r>
        <w:rPr>
          <w:bCs/>
          <w:b/>
        </w:rPr>
        <w:t xml:space="preserve">उपदेशेऽजनुनासिक इत्</w:t>
      </w:r>
      <w:r>
        <w:t xml:space="preserve"> </w:t>
      </w:r>
      <w:r>
        <w:t xml:space="preserve">(पा. सू. १-३-२), the</w:t>
      </w:r>
      <w:r>
        <w:t xml:space="preserve"> </w:t>
      </w:r>
      <w:r>
        <w:t xml:space="preserve">“</w:t>
      </w:r>
      <w:r>
        <w:t xml:space="preserve">k</w:t>
      </w:r>
      <w:r>
        <w:t xml:space="preserve">”</w:t>
      </w:r>
      <w:r>
        <w:t xml:space="preserve"> </w:t>
      </w:r>
      <w:r>
        <w:t xml:space="preserve">by</w:t>
      </w:r>
      <w:r>
        <w:t xml:space="preserve"> </w:t>
      </w:r>
      <w:r>
        <w:rPr>
          <w:bCs/>
          <w:b/>
        </w:rPr>
        <w:t xml:space="preserve">लशक्वतद्धिते</w:t>
      </w:r>
      <w:r>
        <w:t xml:space="preserve"> </w:t>
      </w:r>
      <w:r>
        <w:t xml:space="preserve">(पा. सू. १-३-८), all dropped by</w:t>
      </w:r>
      <w:r>
        <w:t xml:space="preserve"> </w:t>
      </w:r>
      <w:r>
        <w:rPr>
          <w:bCs/>
          <w:b/>
        </w:rPr>
        <w:t xml:space="preserve">तस्य लोपः</w:t>
      </w:r>
      <w:r>
        <w:t xml:space="preserve"> </w:t>
      </w:r>
      <w:r>
        <w:t xml:space="preserve">(पा. सू. १-३-९); the apṛkta</w:t>
      </w:r>
      <w:r>
        <w:t xml:space="preserve"> </w:t>
      </w:r>
      <w:r>
        <w:t xml:space="preserve">“</w:t>
      </w:r>
      <w:r>
        <w:t xml:space="preserve">v</w:t>
      </w:r>
      <w:r>
        <w:t xml:space="preserve">”</w:t>
      </w:r>
      <w:r>
        <w:t xml:space="preserve"> </w:t>
      </w:r>
      <w:r>
        <w:t xml:space="preserve">by</w:t>
      </w:r>
      <w:r>
        <w:t xml:space="preserve"> </w:t>
      </w:r>
      <w:r>
        <w:rPr>
          <w:bCs/>
          <w:b/>
        </w:rPr>
        <w:t xml:space="preserve">वेरपृक्तस्य</w:t>
      </w:r>
      <w:r>
        <w:t xml:space="preserve"> </w:t>
      </w:r>
      <w:r>
        <w:t xml:space="preserve">(पा. सू. ६-१-६७): the whole affix is lost. In the accusative</w:t>
      </w:r>
      <w:r>
        <w:t xml:space="preserve"> </w:t>
      </w:r>
      <w:r>
        <w:t xml:space="preserve">“</w:t>
      </w:r>
      <w:r>
        <w:t xml:space="preserve">yuj + am,</w:t>
      </w:r>
      <w:r>
        <w:t xml:space="preserve">”</w:t>
      </w:r>
      <w:r>
        <w:t xml:space="preserve"> </w:t>
      </w:r>
      <w:r>
        <w:rPr>
          <w:bCs/>
          <w:b/>
        </w:rPr>
        <w:t xml:space="preserve">युजेरसमासे</w:t>
      </w:r>
      <w:r>
        <w:t xml:space="preserve"> </w:t>
      </w:r>
      <w:r>
        <w:t xml:space="preserve">(पा. सू. ७-१-७१) would give</w:t>
      </w:r>
      <w:r>
        <w:t xml:space="preserve"> </w:t>
      </w:r>
      <w:r>
        <w:t xml:space="preserve">“</w:t>
      </w:r>
      <w:r>
        <w:t xml:space="preserve">num</w:t>
      </w:r>
      <w:r>
        <w:t xml:space="preserve">”</w:t>
      </w:r>
      <w:r>
        <w:t xml:space="preserve"> </w:t>
      </w:r>
      <w:r>
        <w:t xml:space="preserve">before a sarvanāmasthāna; but the sūtra names</w:t>
      </w:r>
      <w:r>
        <w:t xml:space="preserve"> </w:t>
      </w:r>
      <w:r>
        <w:t xml:space="preserve">“</w:t>
      </w:r>
      <w:r>
        <w:t xml:space="preserve">yuji</w:t>
      </w:r>
      <w:r>
        <w:t xml:space="preserve">”</w:t>
      </w:r>
      <w:r>
        <w:t xml:space="preserve"> </w:t>
      </w:r>
      <w:r>
        <w:t xml:space="preserve">(with</w:t>
      </w:r>
      <w:r>
        <w:t xml:space="preserve"> </w:t>
      </w:r>
      <w:r>
        <w:t xml:space="preserve">“</w:t>
      </w:r>
      <w:r>
        <w:t xml:space="preserve">i</w:t>
      </w:r>
      <w:r>
        <w:t xml:space="preserve">”</w:t>
      </w:r>
      <w:r>
        <w:t xml:space="preserve">), i.e. </w:t>
      </w:r>
      <w:r>
        <w:t xml:space="preserve">“</w:t>
      </w:r>
      <w:r>
        <w:t xml:space="preserve">yujir yoge,</w:t>
      </w:r>
      <w:r>
        <w:t xml:space="preserve">”</w:t>
      </w:r>
      <w:r>
        <w:t xml:space="preserve"> </w:t>
      </w:r>
      <w:r>
        <w:t xml:space="preserve">not</w:t>
      </w:r>
      <w:r>
        <w:t xml:space="preserve"> </w:t>
      </w:r>
      <w:r>
        <w:t xml:space="preserve">“</w:t>
      </w:r>
      <w:r>
        <w:t xml:space="preserve">yuja samādhau,</w:t>
      </w:r>
      <w:r>
        <w:t xml:space="preserve">”</w:t>
      </w:r>
      <w:r>
        <w:t xml:space="preserve"> </w:t>
      </w:r>
      <w:r>
        <w:t xml:space="preserve">so no</w:t>
      </w:r>
      <w:r>
        <w:t xml:space="preserve"> </w:t>
      </w:r>
      <w:r>
        <w:t xml:space="preserve">“</w:t>
      </w:r>
      <w:r>
        <w:t xml:space="preserve">num</w:t>
      </w:r>
      <w:r>
        <w:t xml:space="preserve">”</w:t>
      </w:r>
      <w:r>
        <w:t xml:space="preserve">; and even if</w:t>
      </w:r>
      <w:r>
        <w:t xml:space="preserve"> </w:t>
      </w:r>
      <w:r>
        <w:t xml:space="preserve">“</w:t>
      </w:r>
      <w:r>
        <w:t xml:space="preserve">yujir yoge</w:t>
      </w:r>
      <w:r>
        <w:t xml:space="preserve">”</w:t>
      </w:r>
      <w:r>
        <w:t xml:space="preserve"> </w:t>
      </w:r>
      <w:r>
        <w:t xml:space="preserve">is taken, by</w:t>
      </w:r>
      <w:r>
        <w:t xml:space="preserve"> </w:t>
      </w:r>
      <w:r>
        <w:rPr>
          <w:bCs/>
          <w:b/>
        </w:rPr>
        <w:t xml:space="preserve">अनित्यमागमशासनम्</w:t>
      </w:r>
      <w:r>
        <w:t xml:space="preserve"> </w:t>
      </w:r>
      <w:r>
        <w:t xml:space="preserve">(परिभा. ९३-२) the augment rule is anitya, so</w:t>
      </w:r>
      <w:r>
        <w:t xml:space="preserve"> </w:t>
      </w:r>
      <w:r>
        <w:t xml:space="preserve">“</w:t>
      </w:r>
      <w:r>
        <w:t xml:space="preserve">num</w:t>
      </w:r>
      <w:r>
        <w:t xml:space="preserve">”</w:t>
      </w:r>
      <w:r>
        <w:t xml:space="preserve"> </w:t>
      </w:r>
      <w:r>
        <w:t xml:space="preserve">is to be withheld.</w:t>
      </w:r>
      <w:r>
        <w:t xml:space="preserve"> </w:t>
      </w:r>
      <w:r>
        <w:rPr>
          <w:bCs/>
          <w:b/>
        </w:rPr>
        <w:t xml:space="preserve">“</w:t>
      </w:r>
      <w:r>
        <w:rPr>
          <w:bCs/>
          <w:b/>
        </w:rPr>
        <w:t xml:space="preserve">Vṛtreṣu</w:t>
      </w:r>
      <w:r>
        <w:rPr>
          <w:bCs/>
          <w:b/>
        </w:rPr>
        <w:t xml:space="preserve">”</w:t>
      </w:r>
      <w:r>
        <w:t xml:space="preserve"> </w:t>
      </w:r>
      <w:r>
        <w:t xml:space="preserve">—</w:t>
      </w:r>
      <w:r>
        <w:t xml:space="preserve"> </w:t>
      </w:r>
      <w:r>
        <w:t xml:space="preserve">“</w:t>
      </w:r>
      <w:r>
        <w:t xml:space="preserve">vṛtu vartane</w:t>
      </w:r>
      <w:r>
        <w:t xml:space="preserve">”</w:t>
      </w:r>
      <w:r>
        <w:t xml:space="preserve">:</w:t>
      </w:r>
      <w:r>
        <w:t xml:space="preserve"> </w:t>
      </w:r>
      <w:r>
        <w:t xml:space="preserve">“</w:t>
      </w:r>
      <w:r>
        <w:t xml:space="preserve">pratikūlatayā vartanta iti</w:t>
      </w:r>
      <w:r>
        <w:t xml:space="preserve">”</w:t>
      </w:r>
      <w:r>
        <w:t xml:space="preserve"> </w:t>
      </w:r>
      <w:r>
        <w:t xml:space="preserve">(those standing in opposition),</w:t>
      </w:r>
      <w:r>
        <w:t xml:space="preserve"> </w:t>
      </w:r>
      <w:r>
        <w:t xml:space="preserve">“</w:t>
      </w:r>
      <w:r>
        <w:t xml:space="preserve">vṛtrāṇi,</w:t>
      </w:r>
      <w:r>
        <w:t xml:space="preserve">”</w:t>
      </w:r>
      <w:r>
        <w:t xml:space="preserve"> </w:t>
      </w:r>
      <w:r>
        <w:t xml:space="preserve">hosts of enemies;</w:t>
      </w:r>
      <w:r>
        <w:t xml:space="preserve"> </w:t>
      </w:r>
      <w:r>
        <w:rPr>
          <w:bCs/>
          <w:b/>
        </w:rPr>
        <w:t xml:space="preserve">स्फायितञ्चिवञ्चिशकिक्षिपिक्षुदिसृपितृपिदृपिवन्द्युन्दिश्वितिवृत्य…</w:t>
      </w:r>
      <w:r>
        <w:t xml:space="preserve"> </w:t>
      </w:r>
      <w:r>
        <w:rPr>
          <w:iCs/>
          <w:i/>
        </w:rPr>
        <w:t xml:space="preserve">(continues on p. 279)</w:t>
      </w:r>
      <w:r>
        <w:t xml:space="preserve"> </w:t>
      </w:r>
      <w:r>
        <w:t xml:space="preserve">### Page 279 — Rik 5 closes; Rik 6</w:t>
      </w:r>
    </w:p>
    <w:p>
      <w:pPr>
        <w:pStyle w:val="BodyText"/>
      </w:pPr>
      <w:r>
        <w:rPr>
          <w:iCs/>
          <w:i/>
        </w:rPr>
        <w:t xml:space="preserve">(Page header:</w:t>
      </w:r>
      <w:r>
        <w:rPr>
          <w:iCs/>
          <w:i/>
        </w:rPr>
        <w:t xml:space="preserve"> </w:t>
      </w:r>
      <w:r>
        <w:rPr>
          <w:iCs/>
          <w:i/>
        </w:rPr>
        <w:t xml:space="preserve">“</w:t>
      </w:r>
      <w:r>
        <w:rPr>
          <w:iCs/>
          <w:i/>
        </w:rPr>
        <w:t xml:space="preserve">A. 1, A. 1, Va. 14.</w:t>
      </w:r>
      <w:r>
        <w:rPr>
          <w:iCs/>
          <w:i/>
        </w:rPr>
        <w:t xml:space="preserve">”</w:t>
      </w:r>
      <w:r>
        <w:rPr>
          <w:iCs/>
          <w:i/>
        </w:rPr>
        <w:t xml:space="preserve">)</w:t>
      </w:r>
      <w:r>
        <w:t xml:space="preserve"> </w:t>
      </w:r>
      <w:r>
        <w:t xml:space="preserve">(Continuing</w:t>
      </w:r>
      <w:r>
        <w:t xml:space="preserve"> </w:t>
      </w:r>
      <w:r>
        <w:t xml:space="preserve">“</w:t>
      </w:r>
      <w:r>
        <w:t xml:space="preserve">vṛtreṣu</w:t>
      </w:r>
      <w:r>
        <w:t xml:space="preserve">”</w:t>
      </w:r>
      <w:r>
        <w:t xml:space="preserve">:) …the list of roots in</w:t>
      </w:r>
      <w:r>
        <w:t xml:space="preserve"> </w:t>
      </w:r>
      <w:r>
        <w:rPr>
          <w:bCs/>
          <w:b/>
        </w:rPr>
        <w:t xml:space="preserve">स्फायितञ्चि…</w:t>
      </w:r>
      <w:r>
        <w:t xml:space="preserve"> </w:t>
      </w:r>
      <w:r>
        <w:t xml:space="preserve">(उ. सू. २-१७० [?], as printed; the bhāṣya gave</w:t>
      </w:r>
      <w:r>
        <w:t xml:space="preserve"> </w:t>
      </w:r>
      <w:r>
        <w:t xml:space="preserve">“</w:t>
      </w:r>
      <w:r>
        <w:t xml:space="preserve">उ. २-१३</w:t>
      </w:r>
      <w:r>
        <w:t xml:space="preserve">”</w:t>
      </w:r>
      <w:r>
        <w:t xml:space="preserve">) is glossed root by root (sphāyī vṛddhau, tañcu saṃkocane, vañcu pralambhane, śakḷ śaktau, kṣipa preraṇe, kṣudir saṃpeṣaṇe, sṛplṛ gatau, tṛpa prīṇane, dṛpa harṣamocanayoḥ, vadi abhivādanastutyoḥ, undī kledane, śvitā varṇe, vṛtu vartane, aja gatikṣepaṇayoḥ, ṇīñ prāpaṇe, pada gatau, madī harṣe, muda harṣe, khidi dainye, chidir dvaidhīkaraṇe, bhidir vidāraṇe, madi stutau, cadi āhlādane, daha bhasmīkaraṇe, dasu upakṣaye, dambhu dambhane, vasa nivāse, vāśṛ śabde, śīṅ svapne, hasi hasane, ṣidha gatyām, śubha dīptau); after these 32 roots</w:t>
      </w:r>
      <w:r>
        <w:t xml:space="preserve"> </w:t>
      </w:r>
      <w:r>
        <w:t xml:space="preserve">“</w:t>
      </w:r>
      <w:r>
        <w:t xml:space="preserve">rak</w:t>
      </w:r>
      <w:r>
        <w:t xml:space="preserve">”</w:t>
      </w:r>
      <w:r>
        <w:t xml:space="preserve"> </w:t>
      </w:r>
      <w:r>
        <w:t xml:space="preserve">comes:</w:t>
      </w:r>
      <w:r>
        <w:t xml:space="preserve"> </w:t>
      </w:r>
      <w:r>
        <w:t xml:space="preserve">“</w:t>
      </w:r>
      <w:r>
        <w:t xml:space="preserve">vṛt + ra</w:t>
      </w:r>
      <w:r>
        <w:t xml:space="preserve">”</w:t>
      </w:r>
      <w:r>
        <w:t xml:space="preserve">;</w:t>
      </w:r>
      <w:r>
        <w:t xml:space="preserve"> </w:t>
      </w:r>
      <w:r>
        <w:t xml:space="preserve">“</w:t>
      </w:r>
      <w:r>
        <w:t xml:space="preserve">k</w:t>
      </w:r>
      <w:r>
        <w:t xml:space="preserve">”</w:t>
      </w:r>
      <w:r>
        <w:t xml:space="preserve">-marked, so no guṇa; locative plural</w:t>
      </w:r>
      <w:r>
        <w:t xml:space="preserve"> </w:t>
      </w:r>
      <w:r>
        <w:t xml:space="preserve">“</w:t>
      </w:r>
      <w:r>
        <w:t xml:space="preserve">vṛtreṣu,</w:t>
      </w:r>
      <w:r>
        <w:t xml:space="preserve">”</w:t>
      </w:r>
      <w:r>
        <w:t xml:space="preserve"> </w:t>
      </w:r>
      <w:r>
        <w:t xml:space="preserve">end-acute by the affix accent.</w:t>
      </w:r>
      <w:r>
        <w:t xml:space="preserve"> </w:t>
      </w:r>
      <w:r>
        <w:rPr>
          <w:bCs/>
          <w:b/>
        </w:rPr>
        <w:t xml:space="preserve">“</w:t>
      </w:r>
      <w:r>
        <w:rPr>
          <w:bCs/>
          <w:b/>
        </w:rPr>
        <w:t xml:space="preserve">Vajriṇam</w:t>
      </w:r>
      <w:r>
        <w:rPr>
          <w:bCs/>
          <w:b/>
        </w:rPr>
        <w:t xml:space="preserve">”</w:t>
      </w:r>
      <w:r>
        <w:t xml:space="preserve"> </w:t>
      </w:r>
      <w:r>
        <w:t xml:space="preserve">—</w:t>
      </w:r>
      <w:r>
        <w:t xml:space="preserve"> </w:t>
      </w:r>
      <w:r>
        <w:rPr>
          <w:bCs/>
          <w:b/>
        </w:rPr>
        <w:t xml:space="preserve">अत इनिठनौ</w:t>
      </w:r>
      <w:r>
        <w:t xml:space="preserve"> </w:t>
      </w:r>
      <w:r>
        <w:t xml:space="preserve">(पा. सू. ५-२-११५)</w:t>
      </w:r>
      <w:r>
        <w:t xml:space="preserve"> </w:t>
      </w:r>
      <w:r>
        <w:t xml:space="preserve">“</w:t>
      </w:r>
      <w:r>
        <w:t xml:space="preserve">ini</w:t>
      </w:r>
      <w:r>
        <w:t xml:space="preserve">”</w:t>
      </w:r>
      <w:r>
        <w:t xml:space="preserve">; the affix accent. ॥५॥</w:t>
      </w:r>
    </w:p>
    <w:p>
      <w:r>
        <w:pict>
          <v:rect style="width:0;height:1.5pt" o:hralign="center" o:hrstd="t" o:hr="t"/>
        </w:pict>
      </w:r>
    </w:p>
    <w:bookmarkEnd w:id="312"/>
    <w:bookmarkStart w:id="313" w:name="sūkta-7-rik-6"/>
    <w:p>
      <w:pPr>
        <w:pStyle w:val="Heading3"/>
      </w:pPr>
      <w:r>
        <w:t xml:space="preserve">Sūkta 7, Rik 6</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स नो॑ वृषन्न॒मुं च॒रुं सत्रा॑दाव॒न्नपा॑ वृधि ।</w:t>
      </w:r>
      <w:r>
        <w:t xml:space="preserve"> </w:t>
      </w:r>
      <w:r>
        <w:t xml:space="preserve">अ॒स्मभ्य॒मप्र॑तिष्कुतः ॥६॥</w:t>
      </w:r>
    </w:p>
    <w:p>
      <w:pPr>
        <w:pStyle w:val="BlockText"/>
      </w:pPr>
      <w:r>
        <w:rPr>
          <w:iCs/>
          <w:i/>
        </w:rPr>
        <w:t xml:space="preserve">sá no vṛṣann amúṃ carúṃ sátrādāvann ápā vṛdhi |</w:t>
      </w:r>
      <w:r>
        <w:t xml:space="preserve"> </w:t>
      </w:r>
      <w:r>
        <w:rPr>
          <w:iCs/>
          <w:i/>
        </w:rPr>
        <w:t xml:space="preserve">asmábhyam ápratiṣkutaḥ ||6||</w:t>
      </w:r>
    </w:p>
    <w:p>
      <w:pPr>
        <w:pStyle w:val="FirstParagraph"/>
      </w:pPr>
      <w:r>
        <w:rPr>
          <w:bCs/>
          <w:b/>
        </w:rPr>
        <w:t xml:space="preserve">॥ Pada-pāṭhaḥ ॥</w:t>
      </w:r>
    </w:p>
    <w:p>
      <w:pPr>
        <w:pStyle w:val="BlockText"/>
      </w:pPr>
      <w:r>
        <w:t xml:space="preserve">सः । नः । वृषन् । अमुम् । चरुम् । सत्राऽदावन् । अप । वृधि ॥</w:t>
      </w:r>
      <w:r>
        <w:t xml:space="preserve"> </w:t>
      </w:r>
      <w:r>
        <w:t xml:space="preserve">अस्मभ्यम् । अप्रतिऽस्कुतः ॥६॥</w:t>
      </w:r>
    </w:p>
    <w:p>
      <w:pPr>
        <w:pStyle w:val="BlockText"/>
      </w:pPr>
      <w:r>
        <w:rPr>
          <w:iCs/>
          <w:i/>
        </w:rPr>
        <w:t xml:space="preserve">saḥ | naḥ | vṛṣan | amum | carum | satrā-dāvan | apa | vṛdhi ||</w:t>
      </w:r>
      <w:r>
        <w:t xml:space="preserve"> </w:t>
      </w:r>
      <w:r>
        <w:rPr>
          <w:iCs/>
          <w:i/>
        </w:rPr>
        <w:t xml:space="preserve">asmabhyam | aprati-ṣkutaḥ ||6||</w:t>
      </w:r>
    </w:p>
    <w:p>
      <w:pPr>
        <w:pStyle w:val="FirstParagraph"/>
      </w:pPr>
      <w:r>
        <w:rPr>
          <w:bCs/>
          <w:b/>
        </w:rPr>
        <w:t xml:space="preserve">॥ Sāyaṇa-bhāṣyam ॥</w:t>
      </w:r>
    </w:p>
    <w:p>
      <w:pPr>
        <w:pStyle w:val="BlockText"/>
      </w:pPr>
      <w:r>
        <w:t xml:space="preserve">हे सत्रादावन् अस्मदभीष्टानां सर्वेषां फलानां सह प्रदातः । अतो व्रीह्यादिनिष्पत्त्यर्थं हे वृषन् वृष्टिप्रदेन्द्र नो ऽस्मदर्थममुं दृश्यमानं चरुं मेघमपा वृधि । उद्घाटय । तथैवास्मभ्यमस्मदर्थमप्रतिष्कुतः । प्रतिशब्दरहितः । यद्यस्माभिर्याच्यते तत्र सर्वत्र नेति प्रतिशब्दं नोच्चारयसि । अतो ऽस्मद्विषये कदाचिदप्यप्रतिस्खलितः । एतदेवाभिप्रेत्य यास्क आह । अप्रतिष्कुतो ऽप्रतिष्कृतो ऽप्रतिस्खलितो वा । नि. ६-१६ । इति ॥</w:t>
      </w:r>
    </w:p>
    <w:p>
      <w:pPr>
        <w:pStyle w:val="BlockText"/>
      </w:pPr>
      <w:r>
        <w:rPr>
          <w:iCs/>
          <w:i/>
        </w:rPr>
        <w:t xml:space="preserve">he satrādāvan asmad-abhīṣṭānāṃ sarveṣāṃ phalānāṃ saha pradātaḥ | ato vrīhy-ādi-niṣpatty-arthaṃ he vṛṣan vṛṣṭi-pradendra no ’smad-artham amuṃ dṛśyamānaṃ caruṃ megham apā vṛdhi | udghāṭaya | tathaivāsmabhyam asmad-artham apratiṣkutaḥ | prati-śabda-rahitaḥ | yad yasmābhir yācyate tatra sarvatra neti prati-śabdaṃ noccārayasi | ato ’smad-viṣaye kadācid apy apratiskhalitaḥ | etad evābhipretya yāska āha | apratiṣkuto ’pratiṣkṛto ’pratiskhalito vā | ni. 6-16 | iti ||</w:t>
      </w:r>
    </w:p>
    <w:p>
      <w:pPr>
        <w:pStyle w:val="FirstParagraph"/>
      </w:pPr>
      <w:r>
        <w:rPr>
          <w:bCs/>
          <w:b/>
        </w:rPr>
        <w:t xml:space="preserve">Translation:</w:t>
      </w:r>
      <w:r>
        <w:t xml:space="preserve"> </w:t>
      </w:r>
      <w:r>
        <w:t xml:space="preserve">“</w:t>
      </w:r>
      <w:r>
        <w:t xml:space="preserve">O</w:t>
      </w:r>
      <w:r>
        <w:t xml:space="preserve"> </w:t>
      </w:r>
      <w:r>
        <w:rPr>
          <w:iCs/>
          <w:i/>
        </w:rPr>
        <w:t xml:space="preserve">Satrādāvan</w:t>
      </w:r>
      <w:r>
        <w:t xml:space="preserve">, together-giver of all the fruits we desire! Therefore, for the growing of rice, barley and the like, O</w:t>
      </w:r>
      <w:r>
        <w:t xml:space="preserve"> </w:t>
      </w:r>
      <w:r>
        <w:rPr>
          <w:iCs/>
          <w:i/>
        </w:rPr>
        <w:t xml:space="preserve">Vṛṣan</w:t>
      </w:r>
      <w:r>
        <w:t xml:space="preserve"> </w:t>
      </w:r>
      <w:r>
        <w:t xml:space="preserve">— O Indra, giver of rain —</w:t>
      </w:r>
      <w:r>
        <w:t xml:space="preserve"> </w:t>
      </w:r>
      <w:r>
        <w:rPr>
          <w:bCs/>
          <w:b/>
        </w:rPr>
        <w:t xml:space="preserve">open</w:t>
      </w:r>
      <w:r>
        <w:t xml:space="preserve"> </w:t>
      </w:r>
      <w:r>
        <w:t xml:space="preserve">(</w:t>
      </w:r>
      <w:r>
        <w:rPr>
          <w:iCs/>
          <w:i/>
        </w:rPr>
        <w:t xml:space="preserve">apā vṛdhi</w:t>
      </w:r>
      <w:r>
        <w:t xml:space="preserve">) for our sake</w:t>
      </w:r>
      <w:r>
        <w:t xml:space="preserve"> </w:t>
      </w:r>
      <w:r>
        <w:rPr>
          <w:bCs/>
          <w:b/>
        </w:rPr>
        <w:t xml:space="preserve">this cloud</w:t>
      </w:r>
      <w:r>
        <w:t xml:space="preserve"> </w:t>
      </w:r>
      <w:r>
        <w:t xml:space="preserve">(</w:t>
      </w:r>
      <w:r>
        <w:rPr>
          <w:iCs/>
          <w:i/>
        </w:rPr>
        <w:t xml:space="preserve">caruṃ</w:t>
      </w:r>
      <w:r>
        <w:t xml:space="preserve">) that is seen — unclose it. And likewise be</w:t>
      </w:r>
      <w:r>
        <w:t xml:space="preserve"> </w:t>
      </w:r>
      <w:r>
        <w:rPr>
          <w:iCs/>
          <w:i/>
        </w:rPr>
        <w:t xml:space="preserve">apratiṣkuta</w:t>
      </w:r>
      <w:r>
        <w:t xml:space="preserve"> </w:t>
      </w:r>
      <w:r>
        <w:t xml:space="preserve">toward us, for our sake: without a</w:t>
      </w:r>
      <w:r>
        <w:t xml:space="preserve"> </w:t>
      </w:r>
      <w:r>
        <w:rPr>
          <w:iCs/>
          <w:i/>
        </w:rPr>
        <w:t xml:space="preserve">prati-śabda</w:t>
      </w:r>
      <w:r>
        <w:t xml:space="preserve"> </w:t>
      </w:r>
      <w:r>
        <w:t xml:space="preserve">(a counter-word); that is, in whatever is asked of us you never utter a</w:t>
      </w:r>
      <w:r>
        <w:t xml:space="preserve"> </w:t>
      </w:r>
      <w:r>
        <w:t xml:space="preserve">‘</w:t>
      </w:r>
      <w:r>
        <w:t xml:space="preserve">no</w:t>
      </w:r>
      <w:r>
        <w:t xml:space="preserve">’</w:t>
      </w:r>
      <w:r>
        <w:t xml:space="preserve">; hence in our matter you are at no time obstructed. With just this in mind, Yāska says:</w:t>
      </w:r>
      <w:r>
        <w:t xml:space="preserve"> </w:t>
      </w:r>
      <w:r>
        <w:t xml:space="preserve">‘</w:t>
      </w:r>
      <w:r>
        <w:rPr>
          <w:iCs/>
          <w:i/>
        </w:rPr>
        <w:t xml:space="preserve">apratiṣkuta</w:t>
      </w:r>
      <w:r>
        <w:t xml:space="preserve"> </w:t>
      </w:r>
      <w:r>
        <w:t xml:space="preserve">is</w:t>
      </w:r>
      <w:r>
        <w:t xml:space="preserve"> </w:t>
      </w:r>
      <w:r>
        <w:rPr>
          <w:iCs/>
          <w:i/>
        </w:rPr>
        <w:t xml:space="preserve">apratiṣkṛta</w:t>
      </w:r>
      <w:r>
        <w:t xml:space="preserve">, or</w:t>
      </w:r>
      <w:r>
        <w:t xml:space="preserve"> </w:t>
      </w:r>
      <w:r>
        <w:rPr>
          <w:iCs/>
          <w:i/>
        </w:rPr>
        <w:t xml:space="preserve">apratiskhalita</w:t>
      </w:r>
      <w:r>
        <w:t xml:space="preserve">’</w:t>
      </w:r>
      <w:r>
        <w:t xml:space="preserve"> </w:t>
      </w:r>
      <w:r>
        <w:t xml:space="preserve">(Nirukta 6-16).</w:t>
      </w:r>
      <w:r>
        <w:t xml:space="preserve">”</w:t>
      </w:r>
    </w:p>
    <w:p>
      <w:pPr>
        <w:pStyle w:val="BodyText"/>
      </w:pPr>
      <w:r>
        <w:rPr>
          <w:bCs/>
          <w:b/>
        </w:rPr>
        <w:t xml:space="preserve">Grammar of the Bhāṣya (p. 280; characterized, references as printed):</w:t>
      </w:r>
      <w:r>
        <w:t xml:space="preserve"> </w:t>
      </w:r>
      <w:r>
        <w:t xml:space="preserve">“</w:t>
      </w:r>
      <w:r>
        <w:t xml:space="preserve">Vṛṣan</w:t>
      </w:r>
      <w:r>
        <w:t xml:space="preserve">”</w:t>
      </w:r>
      <w:r>
        <w:t xml:space="preserve"> </w:t>
      </w:r>
      <w:r>
        <w:t xml:space="preserve">— vocative nighāta.</w:t>
      </w:r>
      <w:r>
        <w:t xml:space="preserve"> </w:t>
      </w:r>
      <w:r>
        <w:t xml:space="preserve">“</w:t>
      </w:r>
      <w:r>
        <w:t xml:space="preserve">Amum</w:t>
      </w:r>
      <w:r>
        <w:t xml:space="preserve">”</w:t>
      </w:r>
      <w:r>
        <w:t xml:space="preserve"> </w:t>
      </w:r>
      <w:r>
        <w:t xml:space="preserve">— end-acute by the stem accent.</w:t>
      </w:r>
      <w:r>
        <w:t xml:space="preserve"> </w:t>
      </w:r>
      <w:r>
        <w:t xml:space="preserve">“</w:t>
      </w:r>
      <w:r>
        <w:t xml:space="preserve">Carum</w:t>
      </w:r>
      <w:r>
        <w:t xml:space="preserve">”</w:t>
      </w:r>
      <w:r>
        <w:t xml:space="preserve"> </w:t>
      </w:r>
      <w:r>
        <w:t xml:space="preserve">—</w:t>
      </w:r>
      <w:r>
        <w:t xml:space="preserve"> </w:t>
      </w:r>
      <w:r>
        <w:t xml:space="preserve">“</w:t>
      </w:r>
      <w:r>
        <w:t xml:space="preserve">caratīti caruḥ</w:t>
      </w:r>
      <w:r>
        <w:t xml:space="preserve">”</w:t>
      </w:r>
      <w:r>
        <w:t xml:space="preserve">:</w:t>
      </w:r>
      <w:r>
        <w:t xml:space="preserve"> </w:t>
      </w:r>
      <w:r>
        <w:rPr>
          <w:bCs/>
          <w:b/>
        </w:rPr>
        <w:t xml:space="preserve">भृमृशीतृचरित्सरितनिधनिमिमस्जिभ्य उः</w:t>
      </w:r>
      <w:r>
        <w:t xml:space="preserve"> </w:t>
      </w:r>
      <w:r>
        <w:t xml:space="preserve">(उ. १-७)</w:t>
      </w:r>
      <w:r>
        <w:t xml:space="preserve"> </w:t>
      </w:r>
      <w:r>
        <w:t xml:space="preserve">“</w:t>
      </w:r>
      <w:r>
        <w:t xml:space="preserve">u</w:t>
      </w:r>
      <w:r>
        <w:t xml:space="preserve">”</w:t>
      </w:r>
      <w:r>
        <w:t xml:space="preserve">; end-acute by the affix accent.</w:t>
      </w:r>
      <w:r>
        <w:t xml:space="preserve"> </w:t>
      </w:r>
      <w:r>
        <w:t xml:space="preserve">“</w:t>
      </w:r>
      <w:r>
        <w:t xml:space="preserve">Satrādāvan</w:t>
      </w:r>
      <w:r>
        <w:t xml:space="preserve">”</w:t>
      </w:r>
      <w:r>
        <w:t xml:space="preserve"> </w:t>
      </w:r>
      <w:r>
        <w:t xml:space="preserve">—</w:t>
      </w:r>
      <w:r>
        <w:t xml:space="preserve"> </w:t>
      </w:r>
      <w:r>
        <w:t xml:space="preserve">“</w:t>
      </w:r>
      <w:r>
        <w:t xml:space="preserve">satrā</w:t>
      </w:r>
      <w:r>
        <w:t xml:space="preserve">”</w:t>
      </w:r>
      <w:r>
        <w:t xml:space="preserve"> </w:t>
      </w:r>
      <w:r>
        <w:t xml:space="preserve">in the sense</w:t>
      </w:r>
      <w:r>
        <w:t xml:space="preserve"> </w:t>
      </w:r>
      <w:r>
        <w:t xml:space="preserve">“</w:t>
      </w:r>
      <w:r>
        <w:t xml:space="preserve">together</w:t>
      </w:r>
      <w:r>
        <w:t xml:space="preserve">”</w:t>
      </w:r>
      <w:r>
        <w:t xml:space="preserve">;</w:t>
      </w:r>
      <w:r>
        <w:t xml:space="preserve"> </w:t>
      </w:r>
      <w:r>
        <w:t xml:space="preserve">“</w:t>
      </w:r>
      <w:r>
        <w:t xml:space="preserve">abhimata-phala-jātaṃ sakalaṃ saha dadātīti satrādāvā</w:t>
      </w:r>
      <w:r>
        <w:t xml:space="preserve">”</w:t>
      </w:r>
      <w:r>
        <w:t xml:space="preserve">;</w:t>
      </w:r>
      <w:r>
        <w:t xml:space="preserve"> </w:t>
      </w:r>
      <w:r>
        <w:rPr>
          <w:bCs/>
          <w:b/>
        </w:rPr>
        <w:t xml:space="preserve">आतो मनिन्क्वनिब्वनिपश्च</w:t>
      </w:r>
      <w:r>
        <w:t xml:space="preserve"> </w:t>
      </w:r>
      <w:r>
        <w:t xml:space="preserve">(पा. ३-२-७४)</w:t>
      </w:r>
      <w:r>
        <w:t xml:space="preserve"> </w:t>
      </w:r>
      <w:r>
        <w:t xml:space="preserve">“</w:t>
      </w:r>
      <w:r>
        <w:t xml:space="preserve">vanip</w:t>
      </w:r>
      <w:r>
        <w:t xml:space="preserve">”</w:t>
      </w:r>
      <w:r>
        <w:t xml:space="preserve">; vocative first-syllable acute by</w:t>
      </w:r>
      <w:r>
        <w:t xml:space="preserve"> </w:t>
      </w:r>
      <w:r>
        <w:t xml:space="preserve">“</w:t>
      </w:r>
      <w:r>
        <w:t xml:space="preserve">āmantritasya ca</w:t>
      </w:r>
      <w:r>
        <w:t xml:space="preserve">”</w:t>
      </w:r>
      <w:r>
        <w:t xml:space="preserve">; being pāda-initial, no nighāta.</w:t>
      </w:r>
      <w:r>
        <w:t xml:space="preserve"> </w:t>
      </w:r>
      <w:r>
        <w:t xml:space="preserve">“</w:t>
      </w:r>
      <w:r>
        <w:t xml:space="preserve">Apa</w:t>
      </w:r>
      <w:r>
        <w:t xml:space="preserve">”</w:t>
      </w:r>
      <w:r>
        <w:t xml:space="preserve"> </w:t>
      </w:r>
      <w:r>
        <w:t xml:space="preserve">—</w:t>
      </w:r>
      <w:r>
        <w:t xml:space="preserve"> </w:t>
      </w:r>
      <w:r>
        <w:rPr>
          <w:bCs/>
          <w:b/>
        </w:rPr>
        <w:t xml:space="preserve">निपातस्य च</w:t>
      </w:r>
      <w:r>
        <w:t xml:space="preserve"> </w:t>
      </w:r>
      <w:r>
        <w:t xml:space="preserve">(पा. ६-३-१३६) lengthening; first-syllable acute as a particle.</w:t>
      </w:r>
      <w:r>
        <w:t xml:space="preserve"> </w:t>
      </w:r>
      <w:r>
        <w:t xml:space="preserve">“</w:t>
      </w:r>
      <w:r>
        <w:t xml:space="preserve">Vṛdhi</w:t>
      </w:r>
      <w:r>
        <w:t xml:space="preserve">”</w:t>
      </w:r>
      <w:r>
        <w:t xml:space="preserve"> </w:t>
      </w:r>
      <w:r>
        <w:t xml:space="preserve">—</w:t>
      </w:r>
      <w:r>
        <w:t xml:space="preserve"> </w:t>
      </w:r>
      <w:r>
        <w:t xml:space="preserve">“</w:t>
      </w:r>
      <w:r>
        <w:t xml:space="preserve">vṛñ varaṇe,</w:t>
      </w:r>
      <w:r>
        <w:t xml:space="preserve">”</w:t>
      </w:r>
      <w:r>
        <w:t xml:space="preserve"> </w:t>
      </w:r>
      <w:r>
        <w:t xml:space="preserve">“</w:t>
      </w:r>
      <w:r>
        <w:t xml:space="preserve">loṭ,</w:t>
      </w:r>
      <w:r>
        <w:t xml:space="preserve">”</w:t>
      </w:r>
      <w:r>
        <w:t xml:space="preserve"> </w:t>
      </w:r>
      <w:r>
        <w:t xml:space="preserve">“</w:t>
      </w:r>
      <w:r>
        <w:t xml:space="preserve">sip,</w:t>
      </w:r>
      <w:r>
        <w:t xml:space="preserve">”</w:t>
      </w:r>
      <w:r>
        <w:t xml:space="preserve"> </w:t>
      </w:r>
      <w:r>
        <w:t xml:space="preserve">“</w:t>
      </w:r>
      <w:r>
        <w:t xml:space="preserve">hi</w:t>
      </w:r>
      <w:r>
        <w:t xml:space="preserve">”</w:t>
      </w:r>
      <w:r>
        <w:t xml:space="preserve"> </w:t>
      </w:r>
      <w:r>
        <w:t xml:space="preserve">by</w:t>
      </w:r>
      <w:r>
        <w:t xml:space="preserve"> </w:t>
      </w:r>
      <w:r>
        <w:rPr>
          <w:bCs/>
          <w:b/>
        </w:rPr>
        <w:t xml:space="preserve">सेर्ह्यपिच्च</w:t>
      </w:r>
      <w:r>
        <w:t xml:space="preserve"> </w:t>
      </w:r>
      <w:r>
        <w:t xml:space="preserve">(पा. ३-४-८७);</w:t>
      </w:r>
      <w:r>
        <w:t xml:space="preserve"> </w:t>
      </w:r>
      <w:r>
        <w:rPr>
          <w:bCs/>
          <w:b/>
        </w:rPr>
        <w:t xml:space="preserve">स्वादिभ्यः श्नुः</w:t>
      </w:r>
      <w:r>
        <w:t xml:space="preserve"> </w:t>
      </w:r>
      <w:r>
        <w:t xml:space="preserve">(पा. ३-१-७३)</w:t>
      </w:r>
      <w:r>
        <w:t xml:space="preserve"> </w:t>
      </w:r>
      <w:r>
        <w:t xml:space="preserve">“</w:t>
      </w:r>
      <w:r>
        <w:t xml:space="preserve">śnu,</w:t>
      </w:r>
      <w:r>
        <w:t xml:space="preserve">”</w:t>
      </w:r>
      <w:r>
        <w:t xml:space="preserve"> </w:t>
      </w:r>
      <w:r>
        <w:t xml:space="preserve">elided by</w:t>
      </w:r>
      <w:r>
        <w:t xml:space="preserve"> </w:t>
      </w:r>
      <w:r>
        <w:t xml:space="preserve">“</w:t>
      </w:r>
      <w:r>
        <w:t xml:space="preserve">bahulaṃ chandasi</w:t>
      </w:r>
      <w:r>
        <w:t xml:space="preserve">”</w:t>
      </w:r>
      <w:r>
        <w:t xml:space="preserve">;</w:t>
      </w:r>
      <w:r>
        <w:t xml:space="preserve"> </w:t>
      </w:r>
      <w:r>
        <w:rPr>
          <w:bCs/>
          <w:b/>
        </w:rPr>
        <w:t xml:space="preserve">श्रुशृणुपृकृवृभ्यश्छन्दसि</w:t>
      </w:r>
      <w:r>
        <w:t xml:space="preserve"> </w:t>
      </w:r>
      <w:r>
        <w:t xml:space="preserve">(पा. ६-४-१०२)</w:t>
      </w:r>
      <w:r>
        <w:t xml:space="preserve"> </w:t>
      </w:r>
      <w:r>
        <w:t xml:space="preserve">“</w:t>
      </w:r>
      <w:r>
        <w:t xml:space="preserve">dhi</w:t>
      </w:r>
      <w:r>
        <w:t xml:space="preserve">”</w:t>
      </w:r>
      <w:r>
        <w:t xml:space="preserve"> </w:t>
      </w:r>
      <w:r>
        <w:t xml:space="preserve">for</w:t>
      </w:r>
      <w:r>
        <w:t xml:space="preserve"> </w:t>
      </w:r>
      <w:r>
        <w:t xml:space="preserve">“</w:t>
      </w:r>
      <w:r>
        <w:t xml:space="preserve">hi</w:t>
      </w:r>
      <w:r>
        <w:t xml:space="preserve">”</w:t>
      </w:r>
      <w:r>
        <w:t xml:space="preserve">;</w:t>
      </w:r>
      <w:r>
        <w:t xml:space="preserve"> </w:t>
      </w:r>
      <w:r>
        <w:t xml:space="preserve">“</w:t>
      </w:r>
      <w:r>
        <w:t xml:space="preserve">ṅit,</w:t>
      </w:r>
      <w:r>
        <w:t xml:space="preserve">”</w:t>
      </w:r>
      <w:r>
        <w:t xml:space="preserve"> </w:t>
      </w:r>
      <w:r>
        <w:t xml:space="preserve">so no guṇa of the preceding vowel; nighāta.</w:t>
      </w:r>
      <w:r>
        <w:t xml:space="preserve"> </w:t>
      </w:r>
      <w:r>
        <w:t xml:space="preserve">“</w:t>
      </w:r>
      <w:r>
        <w:t xml:space="preserve">Asmabhyam</w:t>
      </w:r>
      <w:r>
        <w:t xml:space="preserve">”</w:t>
      </w:r>
      <w:r>
        <w:t xml:space="preserve"> </w:t>
      </w:r>
      <w:r>
        <w:t xml:space="preserve">—</w:t>
      </w:r>
      <w:r>
        <w:t xml:space="preserve"> </w:t>
      </w:r>
      <w:r>
        <w:rPr>
          <w:bCs/>
          <w:b/>
        </w:rPr>
        <w:t xml:space="preserve">भ्यसो भ्यम्</w:t>
      </w:r>
      <w:r>
        <w:t xml:space="preserve"> </w:t>
      </w:r>
      <w:r>
        <w:t xml:space="preserve">(पा. ७-१-३०);</w:t>
      </w:r>
      <w:r>
        <w:t xml:space="preserve"> </w:t>
      </w:r>
      <w:r>
        <w:rPr>
          <w:bCs/>
          <w:b/>
        </w:rPr>
        <w:t xml:space="preserve">शेषे लोपः</w:t>
      </w:r>
      <w:r>
        <w:t xml:space="preserve"> </w:t>
      </w:r>
      <w:r>
        <w:t xml:space="preserve">(पा. ७-२-९०) loss of</w:t>
      </w:r>
      <w:r>
        <w:t xml:space="preserve"> </w:t>
      </w:r>
      <w:r>
        <w:t xml:space="preserve">“</w:t>
      </w:r>
      <w:r>
        <w:t xml:space="preserve">d</w:t>
      </w:r>
      <w:r>
        <w:t xml:space="preserve">”</w:t>
      </w:r>
      <w:r>
        <w:t xml:space="preserve">;</w:t>
      </w:r>
      <w:r>
        <w:t xml:space="preserve"> </w:t>
      </w:r>
      <w:r>
        <w:rPr>
          <w:bCs/>
          <w:b/>
        </w:rPr>
        <w:t xml:space="preserve">बहुवचने झल्येत्</w:t>
      </w:r>
      <w:r>
        <w:t xml:space="preserve"> </w:t>
      </w:r>
      <w:r>
        <w:t xml:space="preserve">(पा. ७-३-१०३) does not apply, by</w:t>
      </w:r>
      <w:r>
        <w:t xml:space="preserve"> </w:t>
      </w:r>
      <w:r>
        <w:t xml:space="preserve">“</w:t>
      </w:r>
      <w:r>
        <w:t xml:space="preserve">aṅgavṛtte punarvṛttāv avidhir niṣṭhitasya</w:t>
      </w:r>
      <w:r>
        <w:t xml:space="preserve">”</w:t>
      </w:r>
      <w:r>
        <w:t xml:space="preserve"> </w:t>
      </w:r>
      <w:r>
        <w:t xml:space="preserve">(म. ७-१-३०); the</w:t>
      </w:r>
      <w:r>
        <w:t xml:space="preserve"> </w:t>
      </w:r>
      <w:r>
        <w:t xml:space="preserve">“</w:t>
      </w:r>
      <w:r>
        <w:t xml:space="preserve">a</w:t>
      </w:r>
      <w:r>
        <w:t xml:space="preserve">”</w:t>
      </w:r>
      <w:r>
        <w:t xml:space="preserve"> </w:t>
      </w:r>
      <w:r>
        <w:t xml:space="preserve">acute by the stem accent; on the view that</w:t>
      </w:r>
      <w:r>
        <w:t xml:space="preserve"> </w:t>
      </w:r>
      <w:r>
        <w:t xml:space="preserve">“</w:t>
      </w:r>
      <w:r>
        <w:t xml:space="preserve">bhyam</w:t>
      </w:r>
      <w:r>
        <w:t xml:space="preserve">”</w:t>
      </w:r>
      <w:r>
        <w:t xml:space="preserve"> </w:t>
      </w:r>
      <w:r>
        <w:t xml:space="preserve">replaces</w:t>
      </w:r>
      <w:r>
        <w:t xml:space="preserve"> </w:t>
      </w:r>
      <w:r>
        <w:t xml:space="preserve">“</w:t>
      </w:r>
      <w:r>
        <w:t xml:space="preserve">bhyas,</w:t>
      </w:r>
      <w:r>
        <w:t xml:space="preserve">”</w:t>
      </w:r>
      <w:r>
        <w:t xml:space="preserve"> </w:t>
      </w:r>
      <w:r>
        <w:t xml:space="preserve">the</w:t>
      </w:r>
      <w:r>
        <w:t xml:space="preserve"> </w:t>
      </w:r>
      <w:r>
        <w:t xml:space="preserve">“</w:t>
      </w:r>
      <w:r>
        <w:t xml:space="preserve">ad</w:t>
      </w:r>
      <w:r>
        <w:t xml:space="preserve">”</w:t>
      </w:r>
      <w:r>
        <w:t xml:space="preserve"> </w:t>
      </w:r>
      <w:r>
        <w:t xml:space="preserve">of</w:t>
      </w:r>
      <w:r>
        <w:t xml:space="preserve"> </w:t>
      </w:r>
      <w:r>
        <w:t xml:space="preserve">“</w:t>
      </w:r>
      <w:r>
        <w:t xml:space="preserve">asmad</w:t>
      </w:r>
      <w:r>
        <w:t xml:space="preserve">”</w:t>
      </w:r>
      <w:r>
        <w:t xml:space="preserve"> </w:t>
      </w:r>
      <w:r>
        <w:t xml:space="preserve">up to</w:t>
      </w:r>
      <w:r>
        <w:t xml:space="preserve"> </w:t>
      </w:r>
      <w:r>
        <w:t xml:space="preserve">“</w:t>
      </w:r>
      <w:r>
        <w:t xml:space="preserve">ma</w:t>
      </w:r>
      <w:r>
        <w:t xml:space="preserve">”</w:t>
      </w:r>
      <w:r>
        <w:t xml:space="preserve"> </w:t>
      </w:r>
      <w:r>
        <w:t xml:space="preserve">is lost by</w:t>
      </w:r>
      <w:r>
        <w:t xml:space="preserve"> </w:t>
      </w:r>
      <w:r>
        <w:t xml:space="preserve">“</w:t>
      </w:r>
      <w:r>
        <w:t xml:space="preserve">śeṣe lopaḥ,</w:t>
      </w:r>
      <w:r>
        <w:t xml:space="preserve">”</w:t>
      </w:r>
      <w:r>
        <w:t xml:space="preserve"> </w:t>
      </w:r>
      <w:r>
        <w:t xml:space="preserve">and by the accent of the removed acute (</w:t>
      </w:r>
      <w:r>
        <w:rPr>
          <w:bCs/>
          <w:b/>
        </w:rPr>
        <w:t xml:space="preserve">…उदात्तनिवृत्तिस्वर…</w:t>
      </w:r>
      <w:r>
        <w:t xml:space="preserve">, पा. ६-१-१६१) the</w:t>
      </w:r>
      <w:r>
        <w:t xml:space="preserve"> </w:t>
      </w:r>
      <w:r>
        <w:t xml:space="preserve">“</w:t>
      </w:r>
      <w:r>
        <w:t xml:space="preserve">a</w:t>
      </w:r>
      <w:r>
        <w:t xml:space="preserve">”</w:t>
      </w:r>
      <w:r>
        <w:t xml:space="preserve"> </w:t>
      </w:r>
      <w:r>
        <w:t xml:space="preserve">of</w:t>
      </w:r>
      <w:r>
        <w:t xml:space="preserve"> </w:t>
      </w:r>
      <w:r>
        <w:t xml:space="preserve">“</w:t>
      </w:r>
      <w:r>
        <w:t xml:space="preserve">bhyam</w:t>
      </w:r>
      <w:r>
        <w:t xml:space="preserve">”</w:t>
      </w:r>
      <w:r>
        <w:t xml:space="preserve"> </w:t>
      </w:r>
      <w:r>
        <w:t xml:space="preserve">is acute.</w:t>
      </w:r>
      <w:r>
        <w:t xml:space="preserve"> </w:t>
      </w:r>
      <w:r>
        <w:t xml:space="preserve">“</w:t>
      </w:r>
      <w:r>
        <w:t xml:space="preserve">Apratiṣkutaḥ</w:t>
      </w:r>
      <w:r>
        <w:t xml:space="preserve">”</w:t>
      </w:r>
      <w:r>
        <w:t xml:space="preserve"> </w:t>
      </w:r>
      <w:r>
        <w:t xml:space="preserve">—</w:t>
      </w:r>
      <w:r>
        <w:t xml:space="preserve"> </w:t>
      </w:r>
      <w:r>
        <w:t xml:space="preserve">“</w:t>
      </w:r>
      <w:r>
        <w:t xml:space="preserve">kenacid apratiśabditaḥ</w:t>
      </w:r>
      <w:r>
        <w:t xml:space="preserve">”</w:t>
      </w:r>
      <w:r>
        <w:t xml:space="preserve">:</w:t>
      </w:r>
      <w:r>
        <w:t xml:space="preserve"> </w:t>
      </w:r>
      <w:r>
        <w:t xml:space="preserve">“</w:t>
      </w:r>
      <w:r>
        <w:t xml:space="preserve">kuṅ śabde,</w:t>
      </w:r>
      <w:r>
        <w:t xml:space="preserve">”</w:t>
      </w:r>
      <w:r>
        <w:t xml:space="preserve"> </w:t>
      </w:r>
      <w:r>
        <w:t xml:space="preserve">niṣṭhā</w:t>
      </w:r>
      <w:r>
        <w:t xml:space="preserve"> </w:t>
      </w:r>
      <w:r>
        <w:t xml:space="preserve">“</w:t>
      </w:r>
      <w:r>
        <w:t xml:space="preserve">kta</w:t>
      </w:r>
      <w:r>
        <w:t xml:space="preserve">”</w:t>
      </w:r>
      <w:r>
        <w:t xml:space="preserve"> </w:t>
      </w:r>
      <w:r>
        <w:t xml:space="preserve">in the passive (पा. ३-२-१०२); after</w:t>
      </w:r>
      <w:r>
        <w:t xml:space="preserve"> </w:t>
      </w:r>
      <w:r>
        <w:t xml:space="preserve">“</w:t>
      </w:r>
      <w:r>
        <w:t xml:space="preserve">prati</w:t>
      </w:r>
      <w:r>
        <w:t xml:space="preserve">”</w:t>
      </w:r>
      <w:r>
        <w:t xml:space="preserve"> </w:t>
      </w:r>
      <w:r>
        <w:t xml:space="preserve">the augment</w:t>
      </w:r>
      <w:r>
        <w:t xml:space="preserve"> </w:t>
      </w:r>
      <w:r>
        <w:t xml:space="preserve">“</w:t>
      </w:r>
      <w:r>
        <w:t xml:space="preserve">suṭ</w:t>
      </w:r>
      <w:r>
        <w:t xml:space="preserve">”</w:t>
      </w:r>
      <w:r>
        <w:t xml:space="preserve"> </w:t>
      </w:r>
      <w:r>
        <w:t xml:space="preserve">by the</w:t>
      </w:r>
      <w:r>
        <w:t xml:space="preserve"> </w:t>
      </w:r>
      <w:r>
        <w:t xml:space="preserve">“</w:t>
      </w:r>
      <w:r>
        <w:t xml:space="preserve">pāraskarādi</w:t>
      </w:r>
      <w:r>
        <w:t xml:space="preserve">”</w:t>
      </w:r>
      <w:r>
        <w:t xml:space="preserve"> </w:t>
      </w:r>
      <w:r>
        <w:t xml:space="preserve">class, an ākṛtigaṇa (पा. ६-१-१५७);</w:t>
      </w:r>
      <w:r>
        <w:t xml:space="preserve"> </w:t>
      </w:r>
      <w:r>
        <w:t xml:space="preserve">“</w:t>
      </w:r>
      <w:r>
        <w:t xml:space="preserve">ṣ</w:t>
      </w:r>
      <w:r>
        <w:t xml:space="preserve">”</w:t>
      </w:r>
      <w:r>
        <w:t xml:space="preserve"> </w:t>
      </w:r>
      <w:r>
        <w:t xml:space="preserve">by the</w:t>
      </w:r>
      <w:r>
        <w:t xml:space="preserve"> </w:t>
      </w:r>
      <w:r>
        <w:t xml:space="preserve">“</w:t>
      </w:r>
      <w:r>
        <w:t xml:space="preserve">suṣāmādi</w:t>
      </w:r>
      <w:r>
        <w:t xml:space="preserve">”</w:t>
      </w:r>
      <w:r>
        <w:t xml:space="preserve"> </w:t>
      </w:r>
      <w:r>
        <w:t xml:space="preserve">class, an ākṛtigaṇa (पा. ८-३-९८); in the nañ-compound the indeclinable first member keeps its accent.</w:t>
      </w:r>
    </w:p>
    <w:bookmarkEnd w:id="313"/>
    <w:bookmarkStart w:id="314" w:name="page-280-rik-6-continued"/>
    <w:p>
      <w:pPr>
        <w:pStyle w:val="Heading3"/>
      </w:pPr>
      <w:r>
        <w:t xml:space="preserve">Page 280 — Rik 6 continued</w:t>
      </w:r>
    </w:p>
    <w:p>
      <w:pPr>
        <w:pStyle w:val="FirstParagraph"/>
      </w:pPr>
      <w:r>
        <w:rPr>
          <w:bCs/>
          <w:b/>
        </w:rPr>
        <w:t xml:space="preserve">॥ Prati-padārthaḥ ॥</w:t>
      </w:r>
    </w:p>
    <w:p>
      <w:pPr>
        <w:pStyle w:val="BodyText"/>
      </w:pPr>
      <w:r>
        <w:rPr>
          <w:bCs/>
          <w:b/>
        </w:rPr>
        <w:t xml:space="preserve">सत्रादावन् (satrādāvan)</w:t>
      </w:r>
      <w:r>
        <w:t xml:space="preserve"> </w:t>
      </w:r>
      <w:r>
        <w:t xml:space="preserve">— O giver of all our desired things! (for that very reason) |</w:t>
      </w:r>
      <w:r>
        <w:t xml:space="preserve"> </w:t>
      </w:r>
      <w:r>
        <w:rPr>
          <w:bCs/>
          <w:b/>
        </w:rPr>
        <w:t xml:space="preserve">वृषन् (vṛṣan)</w:t>
      </w:r>
      <w:r>
        <w:t xml:space="preserve"> </w:t>
      </w:r>
      <w:r>
        <w:t xml:space="preserve">— O Indra, giver of rain! |</w:t>
      </w:r>
      <w:r>
        <w:t xml:space="preserve"> </w:t>
      </w:r>
      <w:r>
        <w:rPr>
          <w:bCs/>
          <w:b/>
        </w:rPr>
        <w:t xml:space="preserve">सः (त्वम्) (saḥ [tvam])</w:t>
      </w:r>
      <w:r>
        <w:t xml:space="preserve"> </w:t>
      </w:r>
      <w:r>
        <w:t xml:space="preserve">— such as you are |</w:t>
      </w:r>
      <w:r>
        <w:t xml:space="preserve"> </w:t>
      </w:r>
      <w:r>
        <w:rPr>
          <w:bCs/>
          <w:b/>
        </w:rPr>
        <w:t xml:space="preserve">नः (naḥ)</w:t>
      </w:r>
      <w:r>
        <w:t xml:space="preserve"> </w:t>
      </w:r>
      <w:r>
        <w:t xml:space="preserve">— for us |</w:t>
      </w:r>
      <w:r>
        <w:t xml:space="preserve"> </w:t>
      </w:r>
      <w:r>
        <w:rPr>
          <w:bCs/>
          <w:b/>
        </w:rPr>
        <w:t xml:space="preserve">अमुम् (amum)</w:t>
      </w:r>
      <w:r>
        <w:t xml:space="preserve"> </w:t>
      </w:r>
      <w:r>
        <w:t xml:space="preserve">— this, which is visible to our eyes |</w:t>
      </w:r>
      <w:r>
        <w:t xml:space="preserve"> </w:t>
      </w:r>
      <w:r>
        <w:rPr>
          <w:bCs/>
          <w:b/>
        </w:rPr>
        <w:t xml:space="preserve">चरुम् (carum)</w:t>
      </w:r>
      <w:r>
        <w:t xml:space="preserve"> </w:t>
      </w:r>
      <w:r>
        <w:t xml:space="preserve">— the cloud |</w:t>
      </w:r>
      <w:r>
        <w:t xml:space="preserve"> </w:t>
      </w:r>
      <w:r>
        <w:rPr>
          <w:bCs/>
          <w:b/>
        </w:rPr>
        <w:t xml:space="preserve">अपा वृधि (apā vṛdhi)</w:t>
      </w:r>
      <w:r>
        <w:t xml:space="preserve"> </w:t>
      </w:r>
      <w:r>
        <w:t xml:space="preserve">— cause it to rain | (because you)</w:t>
      </w:r>
      <w:r>
        <w:t xml:space="preserve"> </w:t>
      </w:r>
      <w:r>
        <w:rPr>
          <w:bCs/>
          <w:b/>
        </w:rPr>
        <w:t xml:space="preserve">अस्मभ्यम् (asmabhyam)</w:t>
      </w:r>
      <w:r>
        <w:t xml:space="preserve"> </w:t>
      </w:r>
      <w:r>
        <w:t xml:space="preserve">— for us, or in our regard |</w:t>
      </w:r>
      <w:r>
        <w:t xml:space="preserve"> </w:t>
      </w:r>
      <w:r>
        <w:rPr>
          <w:bCs/>
          <w:b/>
        </w:rPr>
        <w:t xml:space="preserve">अप्रतिष्कुतः (apratiṣkutaḥ)</w:t>
      </w:r>
      <w:r>
        <w:t xml:space="preserve"> </w:t>
      </w:r>
      <w:r>
        <w:t xml:space="preserve">— have not turned away.</w:t>
      </w:r>
    </w:p>
    <w:p>
      <w:pPr>
        <w:pStyle w:val="BodyText"/>
      </w:pPr>
      <w:r>
        <w:rPr>
          <w:bCs/>
          <w:b/>
        </w:rPr>
        <w:t xml:space="preserve">॥ Bhāvārthaḥ ॥</w:t>
      </w:r>
    </w:p>
    <w:p>
      <w:pPr>
        <w:pStyle w:val="BodyText"/>
      </w:pPr>
      <w:r>
        <w:t xml:space="preserve">O Indra! You are the one who fulfils all our desires. For that very reason, make the cloud that is now visible to our eyes in the sky pour down rain. You have never been one to refuse our prayer.</w:t>
      </w:r>
    </w:p>
    <w:p>
      <w:pPr>
        <w:pStyle w:val="BodyText"/>
      </w:pPr>
      <w:r>
        <w:rPr>
          <w:iCs/>
          <w:i/>
        </w:rPr>
        <w:t xml:space="preserve">(The printed page carries no separate</w:t>
      </w:r>
      <w:r>
        <w:rPr>
          <w:iCs/>
          <w:i/>
        </w:rPr>
        <w:t xml:space="preserve"> </w:t>
      </w:r>
      <w:r>
        <w:rPr>
          <w:iCs/>
          <w:i/>
        </w:rPr>
        <w:t xml:space="preserve">“</w:t>
      </w:r>
      <w:r>
        <w:rPr>
          <w:iCs/>
          <w:i/>
        </w:rPr>
        <w:t xml:space="preserve">English Translation</w:t>
      </w:r>
      <w:r>
        <w:rPr>
          <w:iCs/>
          <w:i/>
        </w:rPr>
        <w:t xml:space="preserve">”</w:t>
      </w:r>
      <w:r>
        <w:rPr>
          <w:iCs/>
          <w:i/>
        </w:rPr>
        <w:t xml:space="preserve"> </w:t>
      </w:r>
      <w:r>
        <w:rPr>
          <w:iCs/>
          <w:i/>
        </w:rPr>
        <w:t xml:space="preserve">block for this rik; none is supplied here.)</w:t>
      </w:r>
    </w:p>
    <w:p>
      <w:pPr>
        <w:pStyle w:val="BodyText"/>
      </w:pPr>
      <w:r>
        <w:rPr>
          <w:bCs/>
          <w:b/>
        </w:rPr>
        <w:t xml:space="preserve">॥ Viśeṣa-viṣayagaḷu (Special Topics) ॥</w:t>
      </w:r>
    </w:p>
    <w:p>
      <w:pPr>
        <w:pStyle w:val="BodyText"/>
      </w:pPr>
      <w:r>
        <w:rPr>
          <w:bCs/>
          <w:b/>
        </w:rPr>
        <w:t xml:space="preserve">“</w:t>
      </w:r>
      <w:r>
        <w:rPr>
          <w:bCs/>
          <w:b/>
        </w:rPr>
        <w:t xml:space="preserve">Vṛṣan</w:t>
      </w:r>
      <w:r>
        <w:rPr>
          <w:bCs/>
          <w:b/>
        </w:rPr>
        <w:t xml:space="preserve">”</w:t>
      </w:r>
      <w:r>
        <w:t xml:space="preserve"> </w:t>
      </w:r>
      <w:r>
        <w:t xml:space="preserve">— the giver of rain, the one who causes rain. In modern Sanskrit the word</w:t>
      </w:r>
      <w:r>
        <w:t xml:space="preserve"> </w:t>
      </w:r>
      <w:r>
        <w:rPr>
          <w:iCs/>
          <w:i/>
        </w:rPr>
        <w:t xml:space="preserve">vṛṣa</w:t>
      </w:r>
      <w:r>
        <w:t xml:space="preserve"> </w:t>
      </w:r>
      <w:r>
        <w:t xml:space="preserve">has several senses — bull, ox,</w:t>
      </w:r>
      <w:r>
        <w:t xml:space="preserve"> </w:t>
      </w:r>
      <w:r>
        <w:t xml:space="preserve">“</w:t>
      </w:r>
      <w:r>
        <w:t xml:space="preserve">excellent,</w:t>
      </w:r>
      <w:r>
        <w:t xml:space="preserve">”</w:t>
      </w:r>
      <w:r>
        <w:t xml:space="preserve"> </w:t>
      </w:r>
      <w:r>
        <w:t xml:space="preserve">“</w:t>
      </w:r>
      <w:r>
        <w:t xml:space="preserve">full of manliness.</w:t>
      </w:r>
      <w:r>
        <w:t xml:space="preserve">”</w:t>
      </w:r>
      <w:r>
        <w:t xml:space="preserve"> </w:t>
      </w:r>
      <w:r>
        <w:t xml:space="preserve">In the Ṛgveda this word is used of Indra in many places.</w:t>
      </w:r>
    </w:p>
    <w:bookmarkEnd w:id="314"/>
    <w:bookmarkStart w:id="315" w:name="page-281"/>
    <w:p>
      <w:pPr>
        <w:pStyle w:val="Heading3"/>
      </w:pPr>
      <w:r>
        <w:t xml:space="preserve">Page 281</w:t>
      </w:r>
    </w:p>
    <w:p>
      <w:pPr>
        <w:pStyle w:val="FirstParagraph"/>
      </w:pPr>
      <w:r>
        <w:rPr>
          <w:bCs/>
          <w:b/>
        </w:rPr>
        <w:t xml:space="preserve">“</w:t>
      </w:r>
      <w:r>
        <w:rPr>
          <w:bCs/>
          <w:b/>
        </w:rPr>
        <w:t xml:space="preserve">Carum</w:t>
      </w:r>
      <w:r>
        <w:rPr>
          <w:bCs/>
          <w:b/>
        </w:rPr>
        <w:t xml:space="preserve">”</w:t>
      </w:r>
      <w:r>
        <w:t xml:space="preserve"> </w:t>
      </w:r>
      <w:r>
        <w:t xml:space="preserve">—</w:t>
      </w:r>
      <w:r>
        <w:t xml:space="preserve"> </w:t>
      </w:r>
      <w:r>
        <w:rPr>
          <w:bCs/>
          <w:b/>
        </w:rPr>
        <w:t xml:space="preserve">अन्तरिक्षे चरतीति चरुः</w:t>
      </w:r>
      <w:r>
        <w:t xml:space="preserve"> </w:t>
      </w:r>
      <w:r>
        <w:t xml:space="preserve">(</w:t>
      </w:r>
      <w:r>
        <w:rPr>
          <w:iCs/>
          <w:i/>
        </w:rPr>
        <w:t xml:space="preserve">antarikṣe caratīti caruḥ</w:t>
      </w:r>
      <w:r>
        <w:t xml:space="preserve">) —</w:t>
      </w:r>
      <w:r>
        <w:t xml:space="preserve"> </w:t>
      </w:r>
      <w:r>
        <w:t xml:space="preserve">“</w:t>
      </w:r>
      <w:r>
        <w:t xml:space="preserve">that which moves in the atmosphere is</w:t>
      </w:r>
      <w:r>
        <w:t xml:space="preserve"> </w:t>
      </w:r>
      <w:r>
        <w:rPr>
          <w:iCs/>
          <w:i/>
        </w:rPr>
        <w:t xml:space="preserve">caru</w:t>
      </w:r>
      <w:r>
        <w:t xml:space="preserve">”</w:t>
      </w:r>
      <w:r>
        <w:t xml:space="preserve">: the cloud is called</w:t>
      </w:r>
      <w:r>
        <w:t xml:space="preserve"> </w:t>
      </w:r>
      <w:r>
        <w:rPr>
          <w:iCs/>
          <w:i/>
        </w:rPr>
        <w:t xml:space="preserve">caru</w:t>
      </w:r>
      <w:r>
        <w:t xml:space="preserve"> </w:t>
      </w:r>
      <w:r>
        <w:t xml:space="preserve">because it travels in the sky. Among the thirty names for</w:t>
      </w:r>
      <w:r>
        <w:t xml:space="preserve"> </w:t>
      </w:r>
      <w:r>
        <w:t xml:space="preserve">‘</w:t>
      </w:r>
      <w:r>
        <w:t xml:space="preserve">cloud</w:t>
      </w:r>
      <w:r>
        <w:t xml:space="preserve">’</w:t>
      </w:r>
      <w:r>
        <w:t xml:space="preserve">, beginning with</w:t>
      </w:r>
      <w:r>
        <w:t xml:space="preserve"> </w:t>
      </w:r>
      <w:r>
        <w:rPr>
          <w:iCs/>
          <w:i/>
        </w:rPr>
        <w:t xml:space="preserve">adriḥ</w:t>
      </w:r>
      <w:r>
        <w:t xml:space="preserve">, the word</w:t>
      </w:r>
      <w:r>
        <w:t xml:space="preserve"> </w:t>
      </w:r>
      <w:r>
        <w:rPr>
          <w:iCs/>
          <w:i/>
        </w:rPr>
        <w:t xml:space="preserve">caruḥ</w:t>
      </w:r>
      <w:r>
        <w:t xml:space="preserve"> </w:t>
      </w:r>
      <w:r>
        <w:t xml:space="preserve">is listed (Ni. 2-21 [?], the first digit unclear).</w:t>
      </w:r>
    </w:p>
    <w:p>
      <w:pPr>
        <w:pStyle w:val="BodyText"/>
      </w:pPr>
      <w:r>
        <w:rPr>
          <w:bCs/>
          <w:b/>
        </w:rPr>
        <w:t xml:space="preserve">“</w:t>
      </w:r>
      <w:r>
        <w:rPr>
          <w:bCs/>
          <w:b/>
        </w:rPr>
        <w:t xml:space="preserve">Satrādāvan</w:t>
      </w:r>
      <w:r>
        <w:rPr>
          <w:bCs/>
          <w:b/>
        </w:rPr>
        <w:t xml:space="preserve">”</w:t>
      </w:r>
      <w:r>
        <w:t xml:space="preserve"> </w:t>
      </w:r>
      <w:r>
        <w:t xml:space="preserve">— the Bhāṣyakāra explains</w:t>
      </w:r>
      <w:r>
        <w:t xml:space="preserve"> </w:t>
      </w:r>
      <w:r>
        <w:rPr>
          <w:iCs/>
          <w:i/>
        </w:rPr>
        <w:t xml:space="preserve">satrā</w:t>
      </w:r>
      <w:r>
        <w:t xml:space="preserve"> </w:t>
      </w:r>
      <w:r>
        <w:t xml:space="preserve">as</w:t>
      </w:r>
      <w:r>
        <w:t xml:space="preserve"> </w:t>
      </w:r>
      <w:r>
        <w:t xml:space="preserve">“</w:t>
      </w:r>
      <w:r>
        <w:t xml:space="preserve">together</w:t>
      </w:r>
      <w:r>
        <w:t xml:space="preserve">”</w:t>
      </w:r>
      <w:r>
        <w:t xml:space="preserve"> </w:t>
      </w:r>
      <w:r>
        <w:t xml:space="preserve">(</w:t>
      </w:r>
      <w:r>
        <w:rPr>
          <w:iCs/>
          <w:i/>
        </w:rPr>
        <w:t xml:space="preserve">saha</w:t>
      </w:r>
      <w:r>
        <w:t xml:space="preserve">); thus</w:t>
      </w:r>
      <w:r>
        <w:t xml:space="preserve"> </w:t>
      </w:r>
      <w:r>
        <w:t xml:space="preserve">“</w:t>
      </w:r>
      <w:r>
        <w:t xml:space="preserve">one who gives everything together.</w:t>
      </w:r>
      <w:r>
        <w:t xml:space="preserve">”</w:t>
      </w:r>
      <w:r>
        <w:t xml:space="preserve"> </w:t>
      </w:r>
      <w:r>
        <w:t xml:space="preserve">In the Nirukta, however,</w:t>
      </w:r>
      <w:r>
        <w:t xml:space="preserve"> </w:t>
      </w:r>
      <w:r>
        <w:rPr>
          <w:iCs/>
          <w:i/>
        </w:rPr>
        <w:t xml:space="preserve">satrā</w:t>
      </w:r>
      <w:r>
        <w:t xml:space="preserve"> </w:t>
      </w:r>
      <w:r>
        <w:t xml:space="preserve">is read among the six words for</w:t>
      </w:r>
      <w:r>
        <w:t xml:space="preserve"> </w:t>
      </w:r>
      <w:r>
        <w:t xml:space="preserve">“</w:t>
      </w:r>
      <w:r>
        <w:t xml:space="preserve">truth</w:t>
      </w:r>
      <w:r>
        <w:t xml:space="preserve">”</w:t>
      </w:r>
      <w:r>
        <w:t xml:space="preserve"> </w:t>
      </w:r>
      <w:r>
        <w:t xml:space="preserve">beginning with</w:t>
      </w:r>
      <w:r>
        <w:t xml:space="preserve"> </w:t>
      </w:r>
      <w:r>
        <w:rPr>
          <w:iCs/>
          <w:i/>
        </w:rPr>
        <w:t xml:space="preserve">bāṭ</w:t>
      </w:r>
      <w:r>
        <w:t xml:space="preserve"> </w:t>
      </w:r>
      <w:r>
        <w:t xml:space="preserve">(Ni. 3-10). Therefore</w:t>
      </w:r>
      <w:r>
        <w:t xml:space="preserve"> </w:t>
      </w:r>
      <w:r>
        <w:rPr>
          <w:iCs/>
          <w:i/>
        </w:rPr>
        <w:t xml:space="preserve">satrādāvan</w:t>
      </w:r>
      <w:r>
        <w:t xml:space="preserve"> </w:t>
      </w:r>
      <w:r>
        <w:t xml:space="preserve">may also be understood as</w:t>
      </w:r>
      <w:r>
        <w:t xml:space="preserve"> </w:t>
      </w:r>
      <w:r>
        <w:t xml:space="preserve">“</w:t>
      </w:r>
      <w:r>
        <w:t xml:space="preserve">one who</w:t>
      </w:r>
      <w:r>
        <w:t xml:space="preserve"> </w:t>
      </w:r>
      <w:r>
        <w:rPr>
          <w:iCs/>
          <w:i/>
        </w:rPr>
        <w:t xml:space="preserve">truly</w:t>
      </w:r>
      <w:r>
        <w:t xml:space="preserve"> </w:t>
      </w:r>
      <w:r>
        <w:t xml:space="preserve">gives (what we desire).</w:t>
      </w:r>
      <w:r>
        <w:t xml:space="preserve">”</w:t>
      </w:r>
    </w:p>
    <w:p>
      <w:pPr>
        <w:pStyle w:val="BodyText"/>
      </w:pPr>
      <w:r>
        <w:rPr>
          <w:bCs/>
          <w:b/>
        </w:rPr>
        <w:t xml:space="preserve">“</w:t>
      </w:r>
      <w:r>
        <w:rPr>
          <w:bCs/>
          <w:b/>
        </w:rPr>
        <w:t xml:space="preserve">Apa</w:t>
      </w:r>
      <w:r>
        <w:rPr>
          <w:bCs/>
          <w:b/>
        </w:rPr>
        <w:t xml:space="preserve">”</w:t>
      </w:r>
      <w:r>
        <w:t xml:space="preserve"> </w:t>
      </w:r>
      <w:r>
        <w:t xml:space="preserve">— for the convenience of the meter, the</w:t>
      </w:r>
      <w:r>
        <w:t xml:space="preserve"> </w:t>
      </w:r>
      <w:r>
        <w:rPr>
          <w:iCs/>
          <w:i/>
        </w:rPr>
        <w:t xml:space="preserve">p-a</w:t>
      </w:r>
      <w:r>
        <w:t xml:space="preserve"> </w:t>
      </w:r>
      <w:r>
        <w:t xml:space="preserve">of this word is lengthened in the Saṃhitā-pāṭha</w:t>
      </w:r>
      <w:r>
        <w:t xml:space="preserve"> </w:t>
      </w:r>
      <w:r>
        <w:rPr>
          <w:iCs/>
          <w:i/>
        </w:rPr>
        <w:t xml:space="preserve">(i.e., the Saṃhitā reads</w:t>
      </w:r>
      <w:r>
        <w:t xml:space="preserve"> </w:t>
      </w:r>
      <w:r>
        <w:t xml:space="preserve">apā</w:t>
      </w:r>
      <w:r>
        <w:rPr>
          <w:iCs/>
          <w:i/>
        </w:rPr>
        <w:t xml:space="preserve">)</w:t>
      </w:r>
      <w:r>
        <w:t xml:space="preserve">.</w:t>
      </w:r>
    </w:p>
    <w:p>
      <w:pPr>
        <w:pStyle w:val="BodyText"/>
      </w:pPr>
      <w:r>
        <w:rPr>
          <w:bCs/>
          <w:b/>
        </w:rPr>
        <w:t xml:space="preserve">“</w:t>
      </w:r>
      <w:r>
        <w:rPr>
          <w:bCs/>
          <w:b/>
        </w:rPr>
        <w:t xml:space="preserve">Apratiṣkutaḥ</w:t>
      </w:r>
      <w:r>
        <w:rPr>
          <w:bCs/>
          <w:b/>
        </w:rPr>
        <w:t xml:space="preserve">”</w:t>
      </w:r>
      <w:r>
        <w:t xml:space="preserve"> </w:t>
      </w:r>
      <w:r>
        <w:t xml:space="preserve">— Yāska explains this in his Nirukta:</w:t>
      </w:r>
      <w:r>
        <w:t xml:space="preserve"> </w:t>
      </w:r>
      <w:r>
        <w:rPr>
          <w:iCs/>
          <w:i/>
        </w:rPr>
        <w:t xml:space="preserve">apratiṣkuto ’pratiṣkṛto ’pratiskhalito vā</w:t>
      </w:r>
      <w:r>
        <w:t xml:space="preserve"> </w:t>
      </w:r>
      <w:r>
        <w:t xml:space="preserve">— that is, one who does not reject [our prayer], who does not fail [to keep] his word.</w:t>
      </w:r>
    </w:p>
    <w:p>
      <w:pPr>
        <w:pStyle w:val="BodyText"/>
      </w:pPr>
      <w:r>
        <w:rPr>
          <w:bCs/>
          <w:b/>
        </w:rPr>
        <w:t xml:space="preserve">॥ Vyākaraṇa-prakriyā ॥</w:t>
      </w:r>
    </w:p>
    <w:p>
      <w:pPr>
        <w:pStyle w:val="BodyText"/>
      </w:pPr>
      <w:r>
        <w:rPr>
          <w:iCs/>
          <w:i/>
        </w:rPr>
        <w:t xml:space="preserve">(Pp. 281–283. Characterized; numbers as printed.)</w:t>
      </w:r>
    </w:p>
    <w:p>
      <w:pPr>
        <w:numPr>
          <w:ilvl w:val="0"/>
          <w:numId w:val="1043"/>
        </w:numPr>
        <w:pStyle w:val="Compact"/>
      </w:pPr>
      <w:r>
        <w:rPr>
          <w:bCs/>
          <w:b/>
        </w:rPr>
        <w:t xml:space="preserve">वृषन् (</w:t>
      </w:r>
      <w:r>
        <w:rPr>
          <w:iCs/>
          <w:i/>
          <w:bCs/>
          <w:b/>
        </w:rPr>
        <w:t xml:space="preserve">vṛṣan</w:t>
      </w:r>
      <w:r>
        <w:rPr>
          <w:bCs/>
          <w:b/>
        </w:rPr>
        <w:t xml:space="preserve">)</w:t>
      </w:r>
      <w:r>
        <w:t xml:space="preserve"> </w:t>
      </w:r>
      <w:r>
        <w:t xml:space="preserve">— a vocative, hence unaccented (anudātta) by</w:t>
      </w:r>
      <w:r>
        <w:t xml:space="preserve"> </w:t>
      </w:r>
      <w:r>
        <w:t xml:space="preserve">“</w:t>
      </w:r>
      <w:r>
        <w:t xml:space="preserve">āmantritasya ca</w:t>
      </w:r>
      <w:r>
        <w:t xml:space="preserve">”</w:t>
      </w:r>
      <w:r>
        <w:t xml:space="preserve"> </w:t>
      </w:r>
      <w:r>
        <w:t xml:space="preserve">(पा. सू. ८-१-१९).</w:t>
      </w:r>
    </w:p>
    <w:p>
      <w:pPr>
        <w:numPr>
          <w:ilvl w:val="0"/>
          <w:numId w:val="1043"/>
        </w:numPr>
        <w:pStyle w:val="Compact"/>
      </w:pPr>
      <w:r>
        <w:rPr>
          <w:bCs/>
          <w:b/>
        </w:rPr>
        <w:t xml:space="preserve">अमुम् (</w:t>
      </w:r>
      <w:r>
        <w:rPr>
          <w:iCs/>
          <w:i/>
          <w:bCs/>
          <w:b/>
        </w:rPr>
        <w:t xml:space="preserve">amum</w:t>
      </w:r>
      <w:r>
        <w:rPr>
          <w:bCs/>
          <w:b/>
        </w:rPr>
        <w:t xml:space="preserve">)</w:t>
      </w:r>
      <w:r>
        <w:t xml:space="preserve"> </w:t>
      </w:r>
      <w:r>
        <w:t xml:space="preserve">— the demonstrative</w:t>
      </w:r>
      <w:r>
        <w:t xml:space="preserve"> </w:t>
      </w:r>
      <w:r>
        <w:rPr>
          <w:iCs/>
          <w:i/>
        </w:rPr>
        <w:t xml:space="preserve">adas</w:t>
      </w:r>
      <w:r>
        <w:t xml:space="preserve"> </w:t>
      </w:r>
      <w:r>
        <w:t xml:space="preserve">in the accusative singular; final-udātta by its base (</w:t>
      </w:r>
      <w:r>
        <w:rPr>
          <w:iCs/>
          <w:i/>
        </w:rPr>
        <w:t xml:space="preserve">prātipadika</w:t>
      </w:r>
      <w:r>
        <w:t xml:space="preserve">) accent.</w:t>
      </w:r>
    </w:p>
    <w:p>
      <w:pPr>
        <w:numPr>
          <w:ilvl w:val="0"/>
          <w:numId w:val="1043"/>
        </w:numPr>
        <w:pStyle w:val="Compact"/>
      </w:pPr>
      <w:r>
        <w:rPr>
          <w:bCs/>
          <w:b/>
        </w:rPr>
        <w:t xml:space="preserve">चरुम् (</w:t>
      </w:r>
      <w:r>
        <w:rPr>
          <w:iCs/>
          <w:i/>
          <w:bCs/>
          <w:b/>
        </w:rPr>
        <w:t xml:space="preserve">carum</w:t>
      </w:r>
      <w:r>
        <w:rPr>
          <w:bCs/>
          <w:b/>
        </w:rPr>
        <w:t xml:space="preserve">)</w:t>
      </w:r>
      <w:r>
        <w:t xml:space="preserve"> </w:t>
      </w:r>
      <w:r>
        <w:t xml:space="preserve">—</w:t>
      </w:r>
      <w:r>
        <w:t xml:space="preserve"> </w:t>
      </w:r>
      <w:r>
        <w:rPr>
          <w:iCs/>
          <w:i/>
        </w:rPr>
        <w:t xml:space="preserve">carati iti caruḥ</w:t>
      </w:r>
      <w:r>
        <w:t xml:space="preserve">; from root</w:t>
      </w:r>
      <w:r>
        <w:t xml:space="preserve"> </w:t>
      </w:r>
      <w:r>
        <w:rPr>
          <w:iCs/>
          <w:i/>
        </w:rPr>
        <w:t xml:space="preserve">car</w:t>
      </w:r>
      <w:r>
        <w:t xml:space="preserve"> </w:t>
      </w:r>
      <w:r>
        <w:t xml:space="preserve">(</w:t>
      </w:r>
      <w:r>
        <w:t xml:space="preserve">“</w:t>
      </w:r>
      <w:r>
        <w:t xml:space="preserve">to move; to eat</w:t>
      </w:r>
      <w:r>
        <w:t xml:space="preserve">”</w:t>
      </w:r>
      <w:r>
        <w:t xml:space="preserve">) with the Uṇādi</w:t>
      </w:r>
      <w:r>
        <w:t xml:space="preserve"> </w:t>
      </w:r>
      <w:r>
        <w:rPr>
          <w:iCs/>
          <w:i/>
        </w:rPr>
        <w:t xml:space="preserve">u</w:t>
      </w:r>
      <w:r>
        <w:t xml:space="preserve"> </w:t>
      </w:r>
      <w:r>
        <w:t xml:space="preserve">suffix by</w:t>
      </w:r>
      <w:r>
        <w:t xml:space="preserve"> </w:t>
      </w:r>
      <w:r>
        <w:rPr>
          <w:bCs/>
          <w:b/>
        </w:rPr>
        <w:t xml:space="preserve">भृमृशीतृचरित्सरितनिधनिमिमस्जिभ्य उः</w:t>
      </w:r>
      <w:r>
        <w:t xml:space="preserve"> </w:t>
      </w:r>
      <w:r>
        <w:t xml:space="preserve">(उ. सू. १-७; the roots glossed one by one); final-udātta by the suffix; accusative singular</w:t>
      </w:r>
      <w:r>
        <w:t xml:space="preserve"> </w:t>
      </w:r>
      <w:r>
        <w:rPr>
          <w:iCs/>
          <w:i/>
        </w:rPr>
        <w:t xml:space="preserve">carum</w:t>
      </w:r>
      <w:r>
        <w:t xml:space="preserve">.</w:t>
      </w:r>
    </w:p>
    <w:p>
      <w:pPr>
        <w:numPr>
          <w:ilvl w:val="0"/>
          <w:numId w:val="1043"/>
        </w:numPr>
        <w:pStyle w:val="Compact"/>
      </w:pPr>
      <w:r>
        <w:rPr>
          <w:bCs/>
          <w:b/>
        </w:rPr>
        <w:t xml:space="preserve">सत्रादावन् (</w:t>
      </w:r>
      <w:r>
        <w:rPr>
          <w:iCs/>
          <w:i/>
          <w:bCs/>
          <w:b/>
        </w:rPr>
        <w:t xml:space="preserve">satrādāvan</w:t>
      </w:r>
      <w:r>
        <w:rPr>
          <w:bCs/>
          <w:b/>
        </w:rPr>
        <w:t xml:space="preserve">)</w:t>
      </w:r>
      <w:r>
        <w:t xml:space="preserve"> </w:t>
      </w:r>
      <w:r>
        <w:t xml:space="preserve">—</w:t>
      </w:r>
      <w:r>
        <w:t xml:space="preserve"> </w:t>
      </w:r>
      <w:r>
        <w:rPr>
          <w:iCs/>
          <w:i/>
        </w:rPr>
        <w:t xml:space="preserve">satrā</w:t>
      </w:r>
      <w:r>
        <w:t xml:space="preserve"> </w:t>
      </w:r>
      <w:r>
        <w:t xml:space="preserve">(</w:t>
      </w:r>
      <w:r>
        <w:t xml:space="preserve">“</w:t>
      </w:r>
      <w:r>
        <w:t xml:space="preserve">together</w:t>
      </w:r>
      <w:r>
        <w:t xml:space="preserve">”</w:t>
      </w:r>
      <w:r>
        <w:t xml:space="preserve">),</w:t>
      </w:r>
      <w:r>
        <w:t xml:space="preserve"> </w:t>
      </w:r>
      <w:r>
        <w:rPr>
          <w:iCs/>
          <w:i/>
        </w:rPr>
        <w:t xml:space="preserve">dā</w:t>
      </w:r>
      <w:r>
        <w:t xml:space="preserve"> </w:t>
      </w:r>
      <w:r>
        <w:t xml:space="preserve">(</w:t>
      </w:r>
      <w:r>
        <w:t xml:space="preserve">“</w:t>
      </w:r>
      <w:r>
        <w:t xml:space="preserve">to give</w:t>
      </w:r>
      <w:r>
        <w:t xml:space="preserve">”</w:t>
      </w:r>
      <w:r>
        <w:t xml:space="preserve">), with</w:t>
      </w:r>
      <w:r>
        <w:t xml:space="preserve"> </w:t>
      </w:r>
      <w:r>
        <w:rPr>
          <w:iCs/>
          <w:i/>
        </w:rPr>
        <w:t xml:space="preserve">vanip</w:t>
      </w:r>
      <w:r>
        <w:t xml:space="preserve"> </w:t>
      </w:r>
      <w:r>
        <w:t xml:space="preserve">(Pā. 3-2-74); as the word begins the second pāda, the Aṣṭamādhyāyī rule that unaccents a vocative does not apply, and it is initial-udātta by</w:t>
      </w:r>
      <w:r>
        <w:t xml:space="preserve"> </w:t>
      </w:r>
      <w:r>
        <w:t xml:space="preserve">“</w:t>
      </w:r>
      <w:r>
        <w:t xml:space="preserve">āmantritasya ca</w:t>
      </w:r>
      <w:r>
        <w:t xml:space="preserve">”</w:t>
      </w:r>
      <w:r>
        <w:t xml:space="preserve"> </w:t>
      </w:r>
      <w:r>
        <w:t xml:space="preserve">(Pā. 6-1-198).</w:t>
      </w:r>
    </w:p>
    <w:p>
      <w:pPr>
        <w:numPr>
          <w:ilvl w:val="0"/>
          <w:numId w:val="1043"/>
        </w:numPr>
        <w:pStyle w:val="Compact"/>
      </w:pPr>
      <w:r>
        <w:rPr>
          <w:bCs/>
          <w:b/>
        </w:rPr>
        <w:t xml:space="preserve">अप (</w:t>
      </w:r>
      <w:r>
        <w:rPr>
          <w:iCs/>
          <w:i/>
          <w:bCs/>
          <w:b/>
        </w:rPr>
        <w:t xml:space="preserve">apa</w:t>
      </w:r>
      <w:r>
        <w:rPr>
          <w:bCs/>
          <w:b/>
        </w:rPr>
        <w:t xml:space="preserve">)</w:t>
      </w:r>
      <w:r>
        <w:t xml:space="preserve"> </w:t>
      </w:r>
      <w:r>
        <w:t xml:space="preserve">— a nipāta (particle), initial-udātta (फि. सू. ८०); lengthened in the mantra by</w:t>
      </w:r>
      <w:r>
        <w:t xml:space="preserve"> </w:t>
      </w:r>
      <w:r>
        <w:rPr>
          <w:bCs/>
          <w:b/>
        </w:rPr>
        <w:t xml:space="preserve">निपातस्य च</w:t>
      </w:r>
      <w:r>
        <w:t xml:space="preserve"> </w:t>
      </w:r>
      <w:r>
        <w:t xml:space="preserve">(पा. सू. ६-३-१३६) to</w:t>
      </w:r>
      <w:r>
        <w:t xml:space="preserve"> </w:t>
      </w:r>
      <w:r>
        <w:rPr>
          <w:iCs/>
          <w:i/>
        </w:rPr>
        <w:t xml:space="preserve">apā</w:t>
      </w:r>
      <w:r>
        <w:t xml:space="preserve">.</w:t>
      </w:r>
    </w:p>
    <w:p>
      <w:pPr>
        <w:numPr>
          <w:ilvl w:val="0"/>
          <w:numId w:val="1043"/>
        </w:numPr>
        <w:pStyle w:val="Compact"/>
      </w:pPr>
      <w:r>
        <w:rPr>
          <w:bCs/>
          <w:b/>
        </w:rPr>
        <w:t xml:space="preserve">वृधि (</w:t>
      </w:r>
      <w:r>
        <w:rPr>
          <w:iCs/>
          <w:i/>
          <w:bCs/>
          <w:b/>
        </w:rPr>
        <w:t xml:space="preserve">vṛdhi</w:t>
      </w:r>
      <w:r>
        <w:rPr>
          <w:bCs/>
          <w:b/>
        </w:rPr>
        <w:t xml:space="preserve">)</w:t>
      </w:r>
      <w:r>
        <w:t xml:space="preserve"> </w:t>
      </w:r>
      <w:r>
        <w:t xml:space="preserve">—</w:t>
      </w:r>
      <w:r>
        <w:t xml:space="preserve"> </w:t>
      </w:r>
      <w:r>
        <w:t xml:space="preserve">“</w:t>
      </w:r>
      <w:r>
        <w:t xml:space="preserve">vṛñ varaṇe,</w:t>
      </w:r>
      <w:r>
        <w:t xml:space="preserve">”</w:t>
      </w:r>
      <w:r>
        <w:t xml:space="preserve"> </w:t>
      </w:r>
      <w:r>
        <w:t xml:space="preserve">“</w:t>
      </w:r>
      <w:r>
        <w:t xml:space="preserve">loṭ,</w:t>
      </w:r>
      <w:r>
        <w:t xml:space="preserve">”</w:t>
      </w:r>
      <w:r>
        <w:t xml:space="preserve"> </w:t>
      </w:r>
      <w:r>
        <w:t xml:space="preserve">second singular</w:t>
      </w:r>
      <w:r>
        <w:t xml:space="preserve"> </w:t>
      </w:r>
      <w:r>
        <w:t xml:space="preserve">“</w:t>
      </w:r>
      <w:r>
        <w:t xml:space="preserve">sip,</w:t>
      </w:r>
      <w:r>
        <w:t xml:space="preserve">”</w:t>
      </w:r>
      <w:r>
        <w:t xml:space="preserve"> </w:t>
      </w:r>
      <w:r>
        <w:t xml:space="preserve">“</w:t>
      </w:r>
      <w:r>
        <w:t xml:space="preserve">hi</w:t>
      </w:r>
      <w:r>
        <w:t xml:space="preserve">”</w:t>
      </w:r>
      <w:r>
        <w:t xml:space="preserve"> </w:t>
      </w:r>
      <w:r>
        <w:t xml:space="preserve">by</w:t>
      </w:r>
      <w:r>
        <w:t xml:space="preserve"> </w:t>
      </w:r>
      <w:r>
        <w:rPr>
          <w:bCs/>
          <w:b/>
        </w:rPr>
        <w:t xml:space="preserve">सेर्ह्यपिच्च</w:t>
      </w:r>
      <w:r>
        <w:t xml:space="preserve"> </w:t>
      </w:r>
      <w:r>
        <w:t xml:space="preserve">(पा. सू. ३-४-८७);</w:t>
      </w:r>
      <w:r>
        <w:t xml:space="preserve"> </w:t>
      </w:r>
      <w:r>
        <w:rPr>
          <w:bCs/>
          <w:b/>
        </w:rPr>
        <w:t xml:space="preserve">स्वादिभ्यः श्नुः</w:t>
      </w:r>
      <w:r>
        <w:t xml:space="preserve"> </w:t>
      </w:r>
      <w:r>
        <w:t xml:space="preserve">(पा. सू. ३-१-७३), whose</w:t>
      </w:r>
      <w:r>
        <w:t xml:space="preserve"> </w:t>
      </w:r>
      <w:r>
        <w:t xml:space="preserve">“</w:t>
      </w:r>
      <w:r>
        <w:t xml:space="preserve">śnu</w:t>
      </w:r>
      <w:r>
        <w:t xml:space="preserve">”</w:t>
      </w:r>
      <w:r>
        <w:t xml:space="preserve"> </w:t>
      </w:r>
      <w:r>
        <w:t xml:space="preserve">is sometimes elided by</w:t>
      </w:r>
      <w:r>
        <w:t xml:space="preserve"> </w:t>
      </w:r>
      <w:r>
        <w:t xml:space="preserve">“</w:t>
      </w:r>
      <w:r>
        <w:t xml:space="preserve">bahula</w:t>
      </w:r>
      <w:r>
        <w:t xml:space="preserve">”</w:t>
      </w:r>
      <w:r>
        <w:t xml:space="preserve"> </w:t>
      </w:r>
      <w:r>
        <w:t xml:space="preserve">in</w:t>
      </w:r>
      <w:r>
        <w:t xml:space="preserve"> </w:t>
      </w:r>
      <w:r>
        <w:rPr>
          <w:bCs/>
          <w:b/>
        </w:rPr>
        <w:t xml:space="preserve">बहुलं छन्दसि</w:t>
      </w:r>
      <w:r>
        <w:t xml:space="preserve"> </w:t>
      </w:r>
      <w:r>
        <w:t xml:space="preserve">(पा. सू. २-४-७३);</w:t>
      </w:r>
      <w:r>
        <w:t xml:space="preserve"> </w:t>
      </w:r>
      <w:r>
        <w:rPr>
          <w:bCs/>
          <w:b/>
        </w:rPr>
        <w:t xml:space="preserve">श्रुशृणुपृकृवृभ्यश्छन्दसि</w:t>
      </w:r>
      <w:r>
        <w:t xml:space="preserve"> </w:t>
      </w:r>
      <w:r>
        <w:t xml:space="preserve">(पा. सू. ६-४-१०२)</w:t>
      </w:r>
      <w:r>
        <w:t xml:space="preserve"> </w:t>
      </w:r>
      <w:r>
        <w:t xml:space="preserve">“</w:t>
      </w:r>
      <w:r>
        <w:t xml:space="preserve">dhi</w:t>
      </w:r>
      <w:r>
        <w:t xml:space="preserve">”</w:t>
      </w:r>
      <w:r>
        <w:t xml:space="preserve"> </w:t>
      </w:r>
      <w:r>
        <w:t xml:space="preserve">for</w:t>
      </w:r>
      <w:r>
        <w:t xml:space="preserve"> </w:t>
      </w:r>
      <w:r>
        <w:t xml:space="preserve">“</w:t>
      </w:r>
      <w:r>
        <w:t xml:space="preserve">hi</w:t>
      </w:r>
      <w:r>
        <w:t xml:space="preserve">”</w:t>
      </w:r>
      <w:r>
        <w:t xml:space="preserve">;</w:t>
      </w:r>
      <w:r>
        <w:t xml:space="preserve"> </w:t>
      </w:r>
      <w:r>
        <w:t xml:space="preserve">“</w:t>
      </w:r>
      <w:r>
        <w:t xml:space="preserve">hi</w:t>
      </w:r>
      <w:r>
        <w:t xml:space="preserve">”</w:t>
      </w:r>
      <w:r>
        <w:t xml:space="preserve"> </w:t>
      </w:r>
      <w:r>
        <w:t xml:space="preserve">being</w:t>
      </w:r>
      <w:r>
        <w:t xml:space="preserve"> </w:t>
      </w:r>
      <w:r>
        <w:t xml:space="preserve">“</w:t>
      </w:r>
      <w:r>
        <w:t xml:space="preserve">apit</w:t>
      </w:r>
      <w:r>
        <w:t xml:space="preserve">”</w:t>
      </w:r>
      <w:r>
        <w:t xml:space="preserve"> </w:t>
      </w:r>
      <w:r>
        <w:t xml:space="preserve">is</w:t>
      </w:r>
      <w:r>
        <w:t xml:space="preserve"> </w:t>
      </w:r>
      <w:r>
        <w:t xml:space="preserve">“</w:t>
      </w:r>
      <w:r>
        <w:t xml:space="preserve">ṅit</w:t>
      </w:r>
      <w:r>
        <w:t xml:space="preserve">”</w:t>
      </w:r>
      <w:r>
        <w:t xml:space="preserve"> </w:t>
      </w:r>
      <w:r>
        <w:t xml:space="preserve">by</w:t>
      </w:r>
      <w:r>
        <w:t xml:space="preserve"> </w:t>
      </w:r>
      <w:r>
        <w:rPr>
          <w:bCs/>
          <w:b/>
        </w:rPr>
        <w:t xml:space="preserve">सार्वधातुकमपित्</w:t>
      </w:r>
      <w:r>
        <w:t xml:space="preserve"> </w:t>
      </w:r>
      <w:r>
        <w:t xml:space="preserve">(पा. सू. १-२-४), so</w:t>
      </w:r>
      <w:r>
        <w:t xml:space="preserve"> </w:t>
      </w:r>
      <w:r>
        <w:rPr>
          <w:bCs/>
          <w:b/>
        </w:rPr>
        <w:t xml:space="preserve">क्ङिति च</w:t>
      </w:r>
      <w:r>
        <w:t xml:space="preserve"> </w:t>
      </w:r>
      <w:r>
        <w:t xml:space="preserve">(पा. सू. १-१-५) blocks the guṇa of</w:t>
      </w:r>
      <w:r>
        <w:t xml:space="preserve"> </w:t>
      </w:r>
      <w:r>
        <w:rPr>
          <w:bCs/>
          <w:b/>
        </w:rPr>
        <w:t xml:space="preserve">सार्वधातुकार्धधातुकयोः</w:t>
      </w:r>
      <w:r>
        <w:t xml:space="preserve"> </w:t>
      </w:r>
      <w:r>
        <w:t xml:space="preserve">(पा. सू. ७-३-८४); unaccented by</w:t>
      </w:r>
      <w:r>
        <w:t xml:space="preserve"> </w:t>
      </w:r>
      <w:r>
        <w:rPr>
          <w:bCs/>
          <w:b/>
        </w:rPr>
        <w:t xml:space="preserve">तिङ्ङतिङः</w:t>
      </w:r>
      <w:r>
        <w:t xml:space="preserve"> </w:t>
      </w:r>
      <w:r>
        <w:t xml:space="preserve">(printed</w:t>
      </w:r>
      <w:r>
        <w:t xml:space="preserve"> </w:t>
      </w:r>
      <w:r>
        <w:t xml:space="preserve">“</w:t>
      </w:r>
      <w:r>
        <w:t xml:space="preserve">१८-१-२८,</w:t>
      </w:r>
      <w:r>
        <w:t xml:space="preserve">”</w:t>
      </w:r>
      <w:r>
        <w:t xml:space="preserve"> </w:t>
      </w:r>
      <w:r>
        <w:t xml:space="preserve">i.e. 8-1-28).</w:t>
      </w:r>
    </w:p>
    <w:p>
      <w:pPr>
        <w:numPr>
          <w:ilvl w:val="0"/>
          <w:numId w:val="1043"/>
        </w:numPr>
        <w:pStyle w:val="Compact"/>
      </w:pPr>
      <w:r>
        <w:rPr>
          <w:bCs/>
          <w:b/>
        </w:rPr>
        <w:t xml:space="preserve">अस्मभ्यम् (</w:t>
      </w:r>
      <w:r>
        <w:rPr>
          <w:iCs/>
          <w:i/>
          <w:bCs/>
          <w:b/>
        </w:rPr>
        <w:t xml:space="preserve">asmabhyam</w:t>
      </w:r>
      <w:r>
        <w:rPr>
          <w:bCs/>
          <w:b/>
        </w:rPr>
        <w:t xml:space="preserve">)</w:t>
      </w:r>
      <w:r>
        <w:t xml:space="preserve"> </w:t>
      </w:r>
      <w:r>
        <w:t xml:space="preserve">— the dative plural</w:t>
      </w:r>
      <w:r>
        <w:t xml:space="preserve"> </w:t>
      </w:r>
      <w:r>
        <w:t xml:space="preserve">“</w:t>
      </w:r>
      <w:r>
        <w:t xml:space="preserve">bhyas</w:t>
      </w:r>
      <w:r>
        <w:t xml:space="preserve">”</w:t>
      </w:r>
      <w:r>
        <w:t xml:space="preserve"> </w:t>
      </w:r>
      <w:r>
        <w:t xml:space="preserve">becomes</w:t>
      </w:r>
      <w:r>
        <w:t xml:space="preserve"> </w:t>
      </w:r>
      <w:r>
        <w:t xml:space="preserve">“</w:t>
      </w:r>
      <w:r>
        <w:t xml:space="preserve">bhyam</w:t>
      </w:r>
      <w:r>
        <w:t xml:space="preserve">”</w:t>
      </w:r>
      <w:r>
        <w:t xml:space="preserve"> </w:t>
      </w:r>
      <w:r>
        <w:t xml:space="preserve">by</w:t>
      </w:r>
      <w:r>
        <w:t xml:space="preserve"> </w:t>
      </w:r>
      <w:r>
        <w:rPr>
          <w:bCs/>
          <w:b/>
        </w:rPr>
        <w:t xml:space="preserve">भ्यसो भ्यम्</w:t>
      </w:r>
      <w:r>
        <w:t xml:space="preserve"> </w:t>
      </w:r>
      <w:r>
        <w:t xml:space="preserve">(पा. सू. ७-१-३०);</w:t>
      </w:r>
      <w:r>
        <w:t xml:space="preserve"> </w:t>
      </w:r>
      <w:r>
        <w:rPr>
          <w:bCs/>
          <w:b/>
        </w:rPr>
        <w:t xml:space="preserve">शेषे लोपः</w:t>
      </w:r>
      <w:r>
        <w:t xml:space="preserve"> </w:t>
      </w:r>
      <w:r>
        <w:t xml:space="preserve">(पा. सू. ७-२-९०), with</w:t>
      </w:r>
      <w:r>
        <w:t xml:space="preserve"> </w:t>
      </w:r>
      <w:r>
        <w:t xml:space="preserve">“</w:t>
      </w:r>
      <w:r>
        <w:t xml:space="preserve">vibhaktau</w:t>
      </w:r>
      <w:r>
        <w:t xml:space="preserve">”</w:t>
      </w:r>
      <w:r>
        <w:t xml:space="preserve"> </w:t>
      </w:r>
      <w:r>
        <w:t xml:space="preserve">carried from</w:t>
      </w:r>
      <w:r>
        <w:t xml:space="preserve"> </w:t>
      </w:r>
      <w:r>
        <w:rPr>
          <w:bCs/>
          <w:b/>
        </w:rPr>
        <w:t xml:space="preserve">अष्टन आ विभक्तौ</w:t>
      </w:r>
      <w:r>
        <w:t xml:space="preserve"> </w:t>
      </w:r>
      <w:r>
        <w:t xml:space="preserve">(पा. सू. ७-२-८४), drops the final</w:t>
      </w:r>
      <w:r>
        <w:t xml:space="preserve"> </w:t>
      </w:r>
      <w:r>
        <w:t xml:space="preserve">“</w:t>
      </w:r>
      <w:r>
        <w:t xml:space="preserve">d</w:t>
      </w:r>
      <w:r>
        <w:t xml:space="preserve">”</w:t>
      </w:r>
      <w:r>
        <w:t xml:space="preserve"> </w:t>
      </w:r>
      <w:r>
        <w:t xml:space="preserve">before an ending that conditions neither</w:t>
      </w:r>
      <w:r>
        <w:t xml:space="preserve"> </w:t>
      </w:r>
      <w:r>
        <w:t xml:space="preserve">“</w:t>
      </w:r>
      <w:r>
        <w:t xml:space="preserve">ā</w:t>
      </w:r>
      <w:r>
        <w:t xml:space="preserve">”</w:t>
      </w:r>
      <w:r>
        <w:t xml:space="preserve"> </w:t>
      </w:r>
      <w:r>
        <w:t xml:space="preserve">nor</w:t>
      </w:r>
      <w:r>
        <w:t xml:space="preserve"> </w:t>
      </w:r>
      <w:r>
        <w:t xml:space="preserve">“</w:t>
      </w:r>
      <w:r>
        <w:t xml:space="preserve">y</w:t>
      </w:r>
      <w:r>
        <w:t xml:space="preserve">”</w:t>
      </w:r>
      <w:r>
        <w:t xml:space="preserve">:</w:t>
      </w:r>
      <w:r>
        <w:t xml:space="preserve"> </w:t>
      </w:r>
      <w:r>
        <w:t xml:space="preserve">“</w:t>
      </w:r>
      <w:r>
        <w:t xml:space="preserve">asma + bhyam</w:t>
      </w:r>
      <w:r>
        <w:t xml:space="preserve">”</w:t>
      </w:r>
      <w:r>
        <w:t xml:space="preserve">;</w:t>
      </w:r>
      <w:r>
        <w:t xml:space="preserve"> </w:t>
      </w:r>
      <w:r>
        <w:rPr>
          <w:bCs/>
          <w:b/>
        </w:rPr>
        <w:t xml:space="preserve">बहुवचने झल्येत्</w:t>
      </w:r>
      <w:r>
        <w:t xml:space="preserve"> </w:t>
      </w:r>
      <w:r>
        <w:t xml:space="preserve">(पा. सू. ७-३-१०३) would give</w:t>
      </w:r>
      <w:r>
        <w:t xml:space="preserve"> </w:t>
      </w:r>
      <w:r>
        <w:t xml:space="preserve">“</w:t>
      </w:r>
      <w:r>
        <w:t xml:space="preserve">e,</w:t>
      </w:r>
      <w:r>
        <w:t xml:space="preserve">”</w:t>
      </w:r>
      <w:r>
        <w:t xml:space="preserve"> </w:t>
      </w:r>
      <w:r>
        <w:t xml:space="preserve">but by</w:t>
      </w:r>
      <w:r>
        <w:t xml:space="preserve"> </w:t>
      </w:r>
      <w:r>
        <w:rPr>
          <w:bCs/>
          <w:b/>
        </w:rPr>
        <w:t xml:space="preserve">अङ्गवृत्ते पुनर्वृत्तावविधिर्निष्ठितस्य</w:t>
      </w:r>
      <w:r>
        <w:t xml:space="preserve"> </w:t>
      </w:r>
      <w:r>
        <w:t xml:space="preserve">(पा. म. ७-१-३०) once one aṅga-rule (</w:t>
      </w:r>
      <w:r>
        <w:t xml:space="preserve">“</w:t>
      </w:r>
      <w:r>
        <w:t xml:space="preserve">śeṣe lopaḥ</w:t>
      </w:r>
      <w:r>
        <w:t xml:space="preserve">”</w:t>
      </w:r>
      <w:r>
        <w:t xml:space="preserve">) has applied and the form is settled, another aṅga-rule does not apply; so too no lengthening by</w:t>
      </w:r>
      <w:r>
        <w:t xml:space="preserve"> </w:t>
      </w:r>
      <w:r>
        <w:rPr>
          <w:bCs/>
          <w:b/>
        </w:rPr>
        <w:t xml:space="preserve">सुपि च</w:t>
      </w:r>
      <w:r>
        <w:t xml:space="preserve"> </w:t>
      </w:r>
      <w:r>
        <w:t xml:space="preserve">(पा. सू. ७-३-१०२). In</w:t>
      </w:r>
      <w:r>
        <w:t xml:space="preserve"> </w:t>
      </w:r>
      <w:r>
        <w:t xml:space="preserve">“</w:t>
      </w:r>
      <w:r>
        <w:t xml:space="preserve">asma,</w:t>
      </w:r>
      <w:r>
        <w:t xml:space="preserve">”</w:t>
      </w:r>
      <w:r>
        <w:t xml:space="preserve"> </w:t>
      </w:r>
      <w:r>
        <w:t xml:space="preserve">“</w:t>
      </w:r>
      <w:r>
        <w:t xml:space="preserve">sma</w:t>
      </w:r>
      <w:r>
        <w:t xml:space="preserve">”</w:t>
      </w:r>
      <w:r>
        <w:t xml:space="preserve"> </w:t>
      </w:r>
      <w:r>
        <w:t xml:space="preserve">is acute by</w:t>
      </w:r>
      <w:r>
        <w:t xml:space="preserve"> </w:t>
      </w:r>
      <w:r>
        <w:rPr>
          <w:bCs/>
          <w:b/>
        </w:rPr>
        <w:t xml:space="preserve">फिषोऽन्त उदात्तः</w:t>
      </w:r>
      <w:r>
        <w:t xml:space="preserve"> </w:t>
      </w:r>
      <w:r>
        <w:t xml:space="preserve">(फि. सू. १),</w:t>
      </w:r>
      <w:r>
        <w:t xml:space="preserve"> </w:t>
      </w:r>
      <w:r>
        <w:t xml:space="preserve">“</w:t>
      </w:r>
      <w:r>
        <w:t xml:space="preserve">bhyam</w:t>
      </w:r>
      <w:r>
        <w:t xml:space="preserve">”</w:t>
      </w:r>
      <w:r>
        <w:t xml:space="preserve"> </w:t>
      </w:r>
      <w:r>
        <w:t xml:space="preserve">unaccented by</w:t>
      </w:r>
      <w:r>
        <w:t xml:space="preserve"> </w:t>
      </w:r>
      <w:r>
        <w:rPr>
          <w:bCs/>
          <w:b/>
        </w:rPr>
        <w:t xml:space="preserve">अनुदात्तौ सुप्पितौ</w:t>
      </w:r>
      <w:r>
        <w:t xml:space="preserve"> </w:t>
      </w:r>
      <w:r>
        <w:t xml:space="preserve">(</w:t>
      </w:r>
      <w:r>
        <w:t xml:space="preserve">“</w:t>
      </w:r>
      <w:r>
        <w:t xml:space="preserve">३-१-४</w:t>
      </w:r>
      <w:r>
        <w:t xml:space="preserve">”</w:t>
      </w:r>
      <w:r>
        <w:t xml:space="preserve">) and svarita by</w:t>
      </w:r>
      <w:r>
        <w:t xml:space="preserve"> </w:t>
      </w:r>
      <w:r>
        <w:t xml:space="preserve">“</w:t>
      </w:r>
      <w:r>
        <w:t xml:space="preserve">udāttād anudāttasya svaritaḥ,</w:t>
      </w:r>
      <w:r>
        <w:t xml:space="preserve">”</w:t>
      </w:r>
      <w:r>
        <w:t xml:space="preserve"> </w:t>
      </w:r>
      <w:r>
        <w:t xml:space="preserve">the first</w:t>
      </w:r>
      <w:r>
        <w:t xml:space="preserve"> </w:t>
      </w:r>
      <w:r>
        <w:t xml:space="preserve">“</w:t>
      </w:r>
      <w:r>
        <w:t xml:space="preserve">a</w:t>
      </w:r>
      <w:r>
        <w:t xml:space="preserve">”</w:t>
      </w:r>
      <w:r>
        <w:t xml:space="preserve"> </w:t>
      </w:r>
      <w:r>
        <w:t xml:space="preserve">unaccented by śeṣanighāta. Or, dividing</w:t>
      </w:r>
      <w:r>
        <w:t xml:space="preserve"> </w:t>
      </w:r>
      <w:r>
        <w:rPr>
          <w:bCs/>
          <w:b/>
        </w:rPr>
        <w:t xml:space="preserve">भ्यसोऽभ्यम्</w:t>
      </w:r>
      <w:r>
        <w:t xml:space="preserve"> </w:t>
      </w:r>
      <w:r>
        <w:t xml:space="preserve">(पा. सू. ७-१-३०) as</w:t>
      </w:r>
      <w:r>
        <w:t xml:space="preserve"> </w:t>
      </w:r>
      <w:r>
        <w:t xml:space="preserve">“</w:t>
      </w:r>
      <w:r>
        <w:t xml:space="preserve">abhyam</w:t>
      </w:r>
      <w:r>
        <w:t xml:space="preserve">”</w:t>
      </w:r>
      <w:r>
        <w:t xml:space="preserve">:</w:t>
      </w:r>
      <w:r>
        <w:t xml:space="preserve"> </w:t>
      </w:r>
      <w:r>
        <w:t xml:space="preserve">“</w:t>
      </w:r>
      <w:r>
        <w:t xml:space="preserve">asmad + abhyam,</w:t>
      </w:r>
      <w:r>
        <w:t xml:space="preserve">”</w:t>
      </w:r>
      <w:r>
        <w:t xml:space="preserve"> </w:t>
      </w:r>
      <w:r>
        <w:t xml:space="preserve">“</w:t>
      </w:r>
      <w:r>
        <w:t xml:space="preserve">śeṣe lopaḥ</w:t>
      </w:r>
      <w:r>
        <w:t xml:space="preserve">”</w:t>
      </w:r>
      <w:r>
        <w:t xml:space="preserve"> </w:t>
      </w:r>
      <w:r>
        <w:t xml:space="preserve">drops the</w:t>
      </w:r>
      <w:r>
        <w:t xml:space="preserve"> </w:t>
      </w:r>
      <w:r>
        <w:t xml:space="preserve">“</w:t>
      </w:r>
      <w:r>
        <w:t xml:space="preserve">ad</w:t>
      </w:r>
      <w:r>
        <w:t xml:space="preserve">”</w:t>
      </w:r>
      <w:r>
        <w:t xml:space="preserve"> </w:t>
      </w:r>
      <w:r>
        <w:t xml:space="preserve">after</w:t>
      </w:r>
      <w:r>
        <w:t xml:space="preserve"> </w:t>
      </w:r>
      <w:r>
        <w:t xml:space="preserve">“</w:t>
      </w:r>
      <w:r>
        <w:t xml:space="preserve">ma</w:t>
      </w:r>
      <w:r>
        <w:t xml:space="preserve">”</w:t>
      </w:r>
      <w:r>
        <w:t xml:space="preserve"> </w:t>
      </w:r>
      <w:r>
        <w:t xml:space="preserve">(the locative</w:t>
      </w:r>
      <w:r>
        <w:t xml:space="preserve"> </w:t>
      </w:r>
      <w:r>
        <w:t xml:space="preserve">“</w:t>
      </w:r>
      <w:r>
        <w:t xml:space="preserve">śeṣe</w:t>
      </w:r>
      <w:r>
        <w:t xml:space="preserve">”</w:t>
      </w:r>
      <w:r>
        <w:t xml:space="preserve"> </w:t>
      </w:r>
      <w:r>
        <w:t xml:space="preserve">standing for the substituend):</w:t>
      </w:r>
      <w:r>
        <w:t xml:space="preserve"> </w:t>
      </w:r>
      <w:r>
        <w:t xml:space="preserve">“</w:t>
      </w:r>
      <w:r>
        <w:t xml:space="preserve">asm + abhyam,</w:t>
      </w:r>
      <w:r>
        <w:t xml:space="preserve">”</w:t>
      </w:r>
      <w:r>
        <w:t xml:space="preserve"> </w:t>
      </w:r>
      <w:r>
        <w:t xml:space="preserve">with no</w:t>
      </w:r>
      <w:r>
        <w:t xml:space="preserve"> </w:t>
      </w:r>
      <w:r>
        <w:t xml:space="preserve">“</w:t>
      </w:r>
      <w:r>
        <w:t xml:space="preserve">e</w:t>
      </w:r>
      <w:r>
        <w:t xml:space="preserve">”</w:t>
      </w:r>
      <w:r>
        <w:t xml:space="preserve"> </w:t>
      </w:r>
      <w:r>
        <w:t xml:space="preserve">or lengthening; since the acute</w:t>
      </w:r>
      <w:r>
        <w:t xml:space="preserve"> </w:t>
      </w:r>
      <w:r>
        <w:t xml:space="preserve">“</w:t>
      </w:r>
      <w:r>
        <w:t xml:space="preserve">a</w:t>
      </w:r>
      <w:r>
        <w:t xml:space="preserve">”</w:t>
      </w:r>
      <w:r>
        <w:t xml:space="preserve"> </w:t>
      </w:r>
      <w:r>
        <w:t xml:space="preserve">of</w:t>
      </w:r>
      <w:r>
        <w:t xml:space="preserve"> </w:t>
      </w:r>
      <w:r>
        <w:t xml:space="preserve">“</w:t>
      </w:r>
      <w:r>
        <w:t xml:space="preserve">asmad</w:t>
      </w:r>
      <w:r>
        <w:t xml:space="preserve">”</w:t>
      </w:r>
      <w:r>
        <w:t xml:space="preserve"> </w:t>
      </w:r>
      <w:r>
        <w:t xml:space="preserve">is lost before the unaccented</w:t>
      </w:r>
      <w:r>
        <w:t xml:space="preserve"> </w:t>
      </w:r>
      <w:r>
        <w:t xml:space="preserve">“</w:t>
      </w:r>
      <w:r>
        <w:t xml:space="preserve">a,</w:t>
      </w:r>
      <w:r>
        <w:t xml:space="preserve">”</w:t>
      </w:r>
      <w:r>
        <w:t xml:space="preserve"> </w:t>
      </w:r>
      <w:r>
        <w:rPr>
          <w:bCs/>
          <w:b/>
        </w:rPr>
        <w:t xml:space="preserve">अनुदात्तस्य च यत्रोदात्तलोपः</w:t>
      </w:r>
      <w:r>
        <w:t xml:space="preserve"> </w:t>
      </w:r>
      <w:r>
        <w:t xml:space="preserve">(पा. सू. ६-१-१६१) makes that unaccented vowel acute…</w:t>
      </w:r>
    </w:p>
    <w:p>
      <w:pPr>
        <w:numPr>
          <w:ilvl w:val="0"/>
          <w:numId w:val="1043"/>
        </w:numPr>
        <w:pStyle w:val="Compact"/>
      </w:pPr>
      <w:r>
        <w:rPr>
          <w:bCs/>
          <w:b/>
        </w:rPr>
        <w:t xml:space="preserve">अप्रतिष्कुतः (</w:t>
      </w:r>
      <w:r>
        <w:rPr>
          <w:iCs/>
          <w:i/>
          <w:bCs/>
          <w:b/>
        </w:rPr>
        <w:t xml:space="preserve">apratiṣkutaḥ</w:t>
      </w:r>
      <w:r>
        <w:rPr>
          <w:bCs/>
          <w:b/>
        </w:rPr>
        <w:t xml:space="preserve">)</w:t>
      </w:r>
      <w:r>
        <w:t xml:space="preserve"> </w:t>
      </w:r>
      <w:r>
        <w:t xml:space="preserve">— see p. 283 above (Rik 6 grammar concluded there).</w:t>
      </w:r>
    </w:p>
    <w:bookmarkEnd w:id="315"/>
    <w:bookmarkStart w:id="316" w:name="page-282-283"/>
    <w:p>
      <w:pPr>
        <w:pStyle w:val="Heading3"/>
      </w:pPr>
      <w:r>
        <w:t xml:space="preserve">Page 282, 283</w:t>
      </w:r>
    </w:p>
    <w:p>
      <w:pPr>
        <w:pStyle w:val="FirstParagraph"/>
      </w:pPr>
      <w:r>
        <w:rPr>
          <w:iCs/>
          <w:i/>
        </w:rPr>
        <w:t xml:space="preserve">(Page 283 header:</w:t>
      </w:r>
      <w:r>
        <w:rPr>
          <w:iCs/>
          <w:i/>
        </w:rPr>
        <w:t xml:space="preserve"> </w:t>
      </w:r>
      <w:r>
        <w:rPr>
          <w:iCs/>
          <w:i/>
        </w:rPr>
        <w:t xml:space="preserve">“</w:t>
      </w:r>
      <w:r>
        <w:rPr>
          <w:iCs/>
          <w:i/>
        </w:rPr>
        <w:t xml:space="preserve">A. 1, A. 1, Va. 14.</w:t>
      </w:r>
      <w:r>
        <w:rPr>
          <w:iCs/>
          <w:i/>
        </w:rPr>
        <w:t xml:space="preserve">”</w:t>
      </w:r>
      <w:r>
        <w:rPr>
          <w:iCs/>
          <w:i/>
        </w:rPr>
        <w:t xml:space="preserve"> </w:t>
      </w:r>
      <w:r>
        <w:rPr>
          <w:iCs/>
          <w:i/>
        </w:rPr>
        <w:t xml:space="preserve">The grammar of</w:t>
      </w:r>
      <w:r>
        <w:rPr>
          <w:iCs/>
          <w:i/>
        </w:rPr>
        <w:t xml:space="preserve"> </w:t>
      </w:r>
      <w:r>
        <w:rPr>
          <w:iCs/>
          <w:i/>
        </w:rPr>
        <w:t xml:space="preserve">“</w:t>
      </w:r>
      <w:r>
        <w:rPr>
          <w:iCs/>
          <w:i/>
        </w:rPr>
        <w:t xml:space="preserve">asmabhyam</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apratiṣkutaḥ</w:t>
      </w:r>
      <w:r>
        <w:rPr>
          <w:iCs/>
          <w:i/>
        </w:rPr>
        <w:t xml:space="preserve">”</w:t>
      </w:r>
      <w:r>
        <w:rPr>
          <w:iCs/>
          <w:i/>
        </w:rPr>
        <w:t xml:space="preserve"> </w:t>
      </w:r>
      <w:r>
        <w:rPr>
          <w:iCs/>
          <w:i/>
        </w:rPr>
        <w:t xml:space="preserve">is characterized above under p. 281.)</w:t>
      </w:r>
      <w:r>
        <w:t xml:space="preserve"> </w:t>
      </w:r>
      <w:r>
        <w:t xml:space="preserve">On the</w:t>
      </w:r>
      <w:r>
        <w:t xml:space="preserve"> </w:t>
      </w:r>
      <w:r>
        <w:t xml:space="preserve">“</w:t>
      </w:r>
      <w:r>
        <w:t xml:space="preserve">abhyam</w:t>
      </w:r>
      <w:r>
        <w:t xml:space="preserve">”</w:t>
      </w:r>
      <w:r>
        <w:t xml:space="preserve"> </w:t>
      </w:r>
      <w:r>
        <w:t xml:space="preserve">view (p. 283),</w:t>
      </w:r>
      <w:r>
        <w:t xml:space="preserve"> </w:t>
      </w:r>
      <w:r>
        <w:t xml:space="preserve">“</w:t>
      </w:r>
      <w:r>
        <w:t xml:space="preserve">asma + abhyam</w:t>
      </w:r>
      <w:r>
        <w:t xml:space="preserve">”</w:t>
      </w:r>
      <w:r>
        <w:t xml:space="preserve"> </w:t>
      </w:r>
      <w:r>
        <w:t xml:space="preserve">gives no</w:t>
      </w:r>
      <w:r>
        <w:t xml:space="preserve"> </w:t>
      </w:r>
      <w:r>
        <w:t xml:space="preserve">“</w:t>
      </w:r>
      <w:r>
        <w:t xml:space="preserve">e</w:t>
      </w:r>
      <w:r>
        <w:t xml:space="preserve">”</w:t>
      </w:r>
      <w:r>
        <w:t xml:space="preserve"> </w:t>
      </w:r>
      <w:r>
        <w:t xml:space="preserve">or lengthening; by</w:t>
      </w:r>
      <w:r>
        <w:t xml:space="preserve"> </w:t>
      </w:r>
      <w:r>
        <w:rPr>
          <w:bCs/>
          <w:b/>
        </w:rPr>
        <w:t xml:space="preserve">अतो गुणे</w:t>
      </w:r>
      <w:r>
        <w:t xml:space="preserve"> </w:t>
      </w:r>
      <w:r>
        <w:t xml:space="preserve">(पा. सू. ६-१-९७) the later form, and by</w:t>
      </w:r>
      <w:r>
        <w:t xml:space="preserve"> </w:t>
      </w:r>
      <w:r>
        <w:t xml:space="preserve">“</w:t>
      </w:r>
      <w:r>
        <w:t xml:space="preserve">ekādeśa udāttenodāttaḥ</w:t>
      </w:r>
      <w:r>
        <w:t xml:space="preserve">”</w:t>
      </w:r>
      <w:r>
        <w:t xml:space="preserve"> </w:t>
      </w:r>
      <w:r>
        <w:t xml:space="preserve">“</w:t>
      </w:r>
      <w:r>
        <w:t xml:space="preserve">sma</w:t>
      </w:r>
      <w:r>
        <w:t xml:space="preserve">”</w:t>
      </w:r>
      <w:r>
        <w:t xml:space="preserve"> </w:t>
      </w:r>
      <w:r>
        <w:t xml:space="preserve">is acute.</w:t>
      </w:r>
      <w:r>
        <w:t xml:space="preserve"> </w:t>
      </w:r>
      <w:r>
        <w:rPr>
          <w:bCs/>
          <w:b/>
        </w:rPr>
        <w:t xml:space="preserve">“</w:t>
      </w:r>
      <w:r>
        <w:rPr>
          <w:bCs/>
          <w:b/>
        </w:rPr>
        <w:t xml:space="preserve">Apratiṣkutaḥ</w:t>
      </w:r>
      <w:r>
        <w:rPr>
          <w:bCs/>
          <w:b/>
        </w:rPr>
        <w:t xml:space="preserve">”</w:t>
      </w:r>
      <w:r>
        <w:t xml:space="preserve"> </w:t>
      </w:r>
      <w:r>
        <w:t xml:space="preserve">—</w:t>
      </w:r>
      <w:r>
        <w:t xml:space="preserve"> </w:t>
      </w:r>
      <w:r>
        <w:t xml:space="preserve">“</w:t>
      </w:r>
      <w:r>
        <w:t xml:space="preserve">kenacid apratiśabditaḥ</w:t>
      </w:r>
      <w:r>
        <w:t xml:space="preserve">”</w:t>
      </w:r>
      <w:r>
        <w:t xml:space="preserve"> </w:t>
      </w:r>
      <w:r>
        <w:t xml:space="preserve">(one who does not utter</w:t>
      </w:r>
      <w:r>
        <w:t xml:space="preserve"> </w:t>
      </w:r>
      <w:r>
        <w:t xml:space="preserve">“</w:t>
      </w:r>
      <w:r>
        <w:t xml:space="preserve">no</w:t>
      </w:r>
      <w:r>
        <w:t xml:space="preserve">”</w:t>
      </w:r>
      <w:r>
        <w:t xml:space="preserve"> </w:t>
      </w:r>
      <w:r>
        <w:t xml:space="preserve">for any reason):</w:t>
      </w:r>
      <w:r>
        <w:t xml:space="preserve"> </w:t>
      </w:r>
      <w:r>
        <w:t xml:space="preserve">“</w:t>
      </w:r>
      <w:r>
        <w:t xml:space="preserve">kuṅ śabde,</w:t>
      </w:r>
      <w:r>
        <w:t xml:space="preserve">”</w:t>
      </w:r>
      <w:r>
        <w:t xml:space="preserve"> </w:t>
      </w:r>
      <w:r>
        <w:rPr>
          <w:bCs/>
          <w:b/>
        </w:rPr>
        <w:t xml:space="preserve">निष्ठा</w:t>
      </w:r>
      <w:r>
        <w:t xml:space="preserve"> </w:t>
      </w:r>
      <w:r>
        <w:t xml:space="preserve">(पा. सू. ३-२-१०२)</w:t>
      </w:r>
      <w:r>
        <w:t xml:space="preserve"> </w:t>
      </w:r>
      <w:r>
        <w:t xml:space="preserve">“</w:t>
      </w:r>
      <w:r>
        <w:t xml:space="preserve">kta</w:t>
      </w:r>
      <w:r>
        <w:t xml:space="preserve">”</w:t>
      </w:r>
      <w:r>
        <w:t xml:space="preserve"> </w:t>
      </w:r>
      <w:r>
        <w:t xml:space="preserve">in the past sense;</w:t>
      </w:r>
      <w:r>
        <w:t xml:space="preserve"> </w:t>
      </w:r>
      <w:r>
        <w:t xml:space="preserve">“</w:t>
      </w:r>
      <w:r>
        <w:t xml:space="preserve">prati</w:t>
      </w:r>
      <w:r>
        <w:t xml:space="preserve">”</w:t>
      </w:r>
      <w:r>
        <w:t xml:space="preserve"> </w:t>
      </w:r>
      <w:r>
        <w:t xml:space="preserve">before it;</w:t>
      </w:r>
      <w:r>
        <w:t xml:space="preserve"> </w:t>
      </w:r>
      <w:r>
        <w:rPr>
          <w:bCs/>
          <w:b/>
        </w:rPr>
        <w:t xml:space="preserve">पारस्करप्रभृतीनि च संज्ञायाम्</w:t>
      </w:r>
      <w:r>
        <w:t xml:space="preserve"> </w:t>
      </w:r>
      <w:r>
        <w:t xml:space="preserve">(पा. सू. ६-१-१५७) — the</w:t>
      </w:r>
      <w:r>
        <w:t xml:space="preserve"> </w:t>
      </w:r>
      <w:r>
        <w:t xml:space="preserve">“</w:t>
      </w:r>
      <w:r>
        <w:t xml:space="preserve">pāraskarādi</w:t>
      </w:r>
      <w:r>
        <w:t xml:space="preserve">”</w:t>
      </w:r>
      <w:r>
        <w:t xml:space="preserve"> </w:t>
      </w:r>
      <w:r>
        <w:t xml:space="preserve">class, an ākṛtigaṇa, takes</w:t>
      </w:r>
      <w:r>
        <w:t xml:space="preserve"> </w:t>
      </w:r>
      <w:r>
        <w:t xml:space="preserve">“</w:t>
      </w:r>
      <w:r>
        <w:t xml:space="preserve">suṭ</w:t>
      </w:r>
      <w:r>
        <w:t xml:space="preserve">”</w:t>
      </w:r>
      <w:r>
        <w:t xml:space="preserve">:</w:t>
      </w:r>
      <w:r>
        <w:t xml:space="preserve"> </w:t>
      </w:r>
      <w:r>
        <w:t xml:space="preserve">“</w:t>
      </w:r>
      <w:r>
        <w:t xml:space="preserve">prati + skuta</w:t>
      </w:r>
      <w:r>
        <w:t xml:space="preserve">”</w:t>
      </w:r>
      <w:r>
        <w:t xml:space="preserve">;</w:t>
      </w:r>
      <w:r>
        <w:t xml:space="preserve"> </w:t>
      </w:r>
      <w:r>
        <w:rPr>
          <w:bCs/>
          <w:b/>
        </w:rPr>
        <w:t xml:space="preserve">सुषामादिषु च</w:t>
      </w:r>
      <w:r>
        <w:t xml:space="preserve"> </w:t>
      </w:r>
      <w:r>
        <w:t xml:space="preserve">(पा. सू. ८-३-९८), also an ākṛtigaṇa,</w:t>
      </w:r>
      <w:r>
        <w:t xml:space="preserve"> </w:t>
      </w:r>
      <w:r>
        <w:t xml:space="preserve">“</w:t>
      </w:r>
      <w:r>
        <w:t xml:space="preserve">ṣ</w:t>
      </w:r>
      <w:r>
        <w:t xml:space="preserve">”</w:t>
      </w:r>
      <w:r>
        <w:t xml:space="preserve">:</w:t>
      </w:r>
      <w:r>
        <w:t xml:space="preserve"> </w:t>
      </w:r>
      <w:r>
        <w:t xml:space="preserve">“</w:t>
      </w:r>
      <w:r>
        <w:t xml:space="preserve">pratiṣkutaḥ</w:t>
      </w:r>
      <w:r>
        <w:t xml:space="preserve">”</w:t>
      </w:r>
      <w:r>
        <w:t xml:space="preserve">; in the nañ-compound</w:t>
      </w:r>
      <w:r>
        <w:t xml:space="preserve"> </w:t>
      </w:r>
      <w:r>
        <w:rPr>
          <w:bCs/>
          <w:b/>
        </w:rPr>
        <w:t xml:space="preserve">तत्पुरुषे तुल्यार्थ…</w:t>
      </w:r>
      <w:r>
        <w:t xml:space="preserve"> </w:t>
      </w:r>
      <w:r>
        <w:t xml:space="preserve">(पा. सू. ६-२-२) keeps the accent of the indeclinable first member. ॥६॥</w:t>
      </w:r>
    </w:p>
    <w:p>
      <w:r>
        <w:pict>
          <v:rect style="width:0;height:1.5pt" o:hralign="center" o:hrstd="t" o:hr="t"/>
        </w:pict>
      </w:r>
    </w:p>
    <w:bookmarkEnd w:id="316"/>
    <w:bookmarkStart w:id="317" w:name="sūkta-7-rik-7"/>
    <w:p>
      <w:pPr>
        <w:pStyle w:val="Heading3"/>
      </w:pPr>
      <w:r>
        <w:t xml:space="preserve">Sūkta 7, Rik 7</w:t>
      </w:r>
    </w:p>
    <w:p>
      <w:pPr>
        <w:pStyle w:val="FirstParagraph"/>
      </w:pPr>
      <w:r>
        <w:rPr>
          <w:iCs/>
          <w:i/>
        </w:rPr>
        <w:t xml:space="preserve">(Saṃhitā accents as printed (print anusvāra kept in</w:t>
      </w:r>
      <w:r>
        <w:rPr>
          <w:iCs/>
          <w:i/>
        </w:rPr>
        <w:t xml:space="preserve"> </w:t>
      </w:r>
      <w:r>
        <w:rPr>
          <w:iCs/>
          <w:i/>
        </w:rPr>
        <w:t xml:space="preserve">“</w:t>
      </w:r>
      <w:r>
        <w:rPr>
          <w:iCs/>
          <w:i/>
        </w:rPr>
        <w:t xml:space="preserve">तुंजे</w:t>
      </w:r>
      <w:r>
        <w:rPr>
          <w:iCs/>
          <w:i/>
        </w:rPr>
        <w:t xml:space="preserve">”</w:t>
      </w:r>
      <w:r>
        <w:rPr>
          <w:iCs/>
          <w:i/>
        </w:rPr>
        <w:t xml:space="preserve">); Pada unaccented.)</w:t>
      </w:r>
    </w:p>
    <w:p>
      <w:pPr>
        <w:pStyle w:val="BodyText"/>
      </w:pPr>
      <w:r>
        <w:rPr>
          <w:bCs/>
          <w:b/>
        </w:rPr>
        <w:t xml:space="preserve">॥ Saṃhitā-pāṭhaḥ ॥</w:t>
      </w:r>
    </w:p>
    <w:p>
      <w:pPr>
        <w:pStyle w:val="BlockText"/>
      </w:pPr>
      <w:r>
        <w:t xml:space="preserve">तुं॒जेतुं॑जे॒ य उत्त॑रे॒ स्तोमा॒ इन्द्र॑स्य व॒ज्रिणः॑ ।</w:t>
      </w:r>
      <w:r>
        <w:t xml:space="preserve"> </w:t>
      </w:r>
      <w:r>
        <w:t xml:space="preserve">न वि॑न्धे अस्य सुष्टु॒तिम् ॥७॥</w:t>
      </w:r>
    </w:p>
    <w:p>
      <w:pPr>
        <w:pStyle w:val="BlockText"/>
      </w:pPr>
      <w:r>
        <w:rPr>
          <w:iCs/>
          <w:i/>
        </w:rPr>
        <w:t xml:space="preserve">tuñjé-tuñje yá úttare stómā índrasya vajríṇaḥ |</w:t>
      </w:r>
      <w:r>
        <w:t xml:space="preserve"> </w:t>
      </w:r>
      <w:r>
        <w:rPr>
          <w:iCs/>
          <w:i/>
        </w:rPr>
        <w:t xml:space="preserve">ná vindhe asya suṣṭutím ||7||</w:t>
      </w:r>
    </w:p>
    <w:p>
      <w:pPr>
        <w:pStyle w:val="FirstParagraph"/>
      </w:pPr>
      <w:r>
        <w:rPr>
          <w:bCs/>
          <w:b/>
        </w:rPr>
        <w:t xml:space="preserve">॥ Pada-pāṭhaḥ ॥</w:t>
      </w:r>
    </w:p>
    <w:p>
      <w:pPr>
        <w:pStyle w:val="BlockText"/>
      </w:pPr>
      <w:r>
        <w:t xml:space="preserve">तुञ्जेऽतुञ्जे । ये । उत्ऽतरे । स्तोमाः । इन्द्रस्य । वज्रिणः ॥</w:t>
      </w:r>
      <w:r>
        <w:t xml:space="preserve"> </w:t>
      </w:r>
      <w:r>
        <w:t xml:space="preserve">न । विन्धे । अस्य । सुऽस्तुतिम् ॥७॥</w:t>
      </w:r>
    </w:p>
    <w:p>
      <w:pPr>
        <w:pStyle w:val="BlockText"/>
      </w:pPr>
      <w:r>
        <w:rPr>
          <w:iCs/>
          <w:i/>
        </w:rPr>
        <w:t xml:space="preserve">tuñje-tuñje | ye | ut-tare | stomāḥ | indrasya | vajriṇaḥ ||</w:t>
      </w:r>
      <w:r>
        <w:t xml:space="preserve"> </w:t>
      </w:r>
      <w:r>
        <w:rPr>
          <w:iCs/>
          <w:i/>
        </w:rPr>
        <w:t xml:space="preserve">na | vindhe | asya | su-stutim ||7||</w:t>
      </w:r>
    </w:p>
    <w:p>
      <w:pPr>
        <w:pStyle w:val="FirstParagraph"/>
      </w:pPr>
      <w:r>
        <w:rPr>
          <w:iCs/>
          <w:i/>
        </w:rPr>
        <w:t xml:space="preserve">(The pada line prints</w:t>
      </w:r>
      <w:r>
        <w:t xml:space="preserve"> </w:t>
      </w:r>
      <w:r>
        <w:t xml:space="preserve">तुञ्जेतुञ्जे</w:t>
      </w:r>
      <w:r>
        <w:t xml:space="preserve"> </w:t>
      </w:r>
      <w:r>
        <w:rPr>
          <w:iCs/>
          <w:i/>
        </w:rPr>
        <w:t xml:space="preserve">with an avagraha between the two halves, i.e. as a single repeated word.)</w:t>
      </w:r>
    </w:p>
    <w:p>
      <w:pPr>
        <w:pStyle w:val="BodyText"/>
      </w:pPr>
      <w:r>
        <w:rPr>
          <w:bCs/>
          <w:b/>
        </w:rPr>
        <w:t xml:space="preserve">॥ Sāyaṇa-bhāṣyam ॥</w:t>
      </w:r>
    </w:p>
    <w:p>
      <w:pPr>
        <w:pStyle w:val="BlockText"/>
      </w:pPr>
      <w:r>
        <w:t xml:space="preserve">तुञ्जे तुञ्जे तस्मिन्स्तस्मिन्फलदातरि देवान्तरे ये सोमाः स्तोत्रविशेषा उत्तरे उत्कृष्टाः सन्ति तैः स्तोमैः सर्वैरपि वज्रिणो वज्रयुक्तस्यास्येन्द्रस्य सुष्टुतिं योग्यां शोभनस्तुतिं न विन्धे । न विन्दामि । इन्द्रस्यात्यन्तगुणबाहुल्येन देवान्तरेषूत्तमत्वेन प्रसिद्धान्यपि स्तोत्राणि न पर्याप्तानीत्यर्थः । एतामृचं यास्क एवं व्याचष्टे । तुञ्जस्तुञ्जतेर्दानकर्मणः । दाने दाने य उत्तरे स्तोमा इन्द्रस्य वज्रिणो नास्य तैर्विन्दामि समाप्तिं स्तुतेः । नि. ६-१८ । इति ॥</w:t>
      </w:r>
    </w:p>
    <w:p>
      <w:pPr>
        <w:pStyle w:val="BlockText"/>
      </w:pPr>
      <w:r>
        <w:rPr>
          <w:iCs/>
          <w:i/>
        </w:rPr>
        <w:t xml:space="preserve">tuñje tuñje tasmin tasmin phala-dātari devāntare ye somāḥ stotra-viśeṣā uttare utkṛṣṭāḥ santi taiḥ stomaiḥ sarvair api vajriṇo vajra-yuktasyāsyendrasya suṣṭutiṃ yogyāṃ śobhana-stutiṃ na vindhe | na vindāmi | indrasyātyanta-guṇa-bāhulyena devāntareṣūttamatvena prasiddhāny api stotrāṇi na paryāptānīty arthaḥ | etām ṛcaṃ yāska evaṃ vyācaṣṭe | tuñjas tuñjater dāna-karmaṇaḥ | dāne dāne ya uttare stomā indrasya vajriṇo nāsya tair vindāmi samāptiṃ stuteḥ | ni. 6-18 | iti ||</w:t>
      </w:r>
    </w:p>
    <w:p>
      <w:pPr>
        <w:pStyle w:val="FirstParagraph"/>
      </w:pPr>
      <w:r>
        <w:rPr>
          <w:bCs/>
          <w:b/>
        </w:rPr>
        <w:t xml:space="preserve">Translation:</w:t>
      </w:r>
      <w:r>
        <w:t xml:space="preserve"> </w:t>
      </w:r>
      <w:r>
        <w:t xml:space="preserve">“</w:t>
      </w:r>
      <w:r>
        <w:rPr>
          <w:iCs/>
          <w:i/>
        </w:rPr>
        <w:t xml:space="preserve">Tuñje tuñje</w:t>
      </w:r>
      <w:r>
        <w:t xml:space="preserve">: in each and every other deity, a giver of fruits, whatever</w:t>
      </w:r>
      <w:r>
        <w:t xml:space="preserve"> </w:t>
      </w:r>
      <w:r>
        <w:rPr>
          <w:iCs/>
          <w:i/>
        </w:rPr>
        <w:t xml:space="preserve">stomas</w:t>
      </w:r>
      <w:r>
        <w:t xml:space="preserve"> </w:t>
      </w:r>
      <w:r>
        <w:t xml:space="preserve">(</w:t>
      </w:r>
      <w:r>
        <w:t xml:space="preserve">”</w:t>
      </w:r>
      <w:r>
        <w:t xml:space="preserve">somāḥ” as printed) — special hymns of praise — are superior and excellent; with all those stomas I do not find (</w:t>
      </w:r>
      <w:r>
        <w:rPr>
          <w:iCs/>
          <w:i/>
        </w:rPr>
        <w:t xml:space="preserve">na vindhe</w:t>
      </w:r>
      <w:r>
        <w:t xml:space="preserve">, I do not obtain) a proper, fine praise (</w:t>
      </w:r>
      <w:r>
        <w:rPr>
          <w:iCs/>
          <w:i/>
        </w:rPr>
        <w:t xml:space="preserve">suṣṭuti</w:t>
      </w:r>
      <w:r>
        <w:t xml:space="preserve">) of this thunderbolt-bearing Indra. The sense: because of the extreme abundance of Indra’s qualities, even those hymns famed as the best addressed to other gods are not sufficient. Yāska explains this rik thus:</w:t>
      </w:r>
      <w:r>
        <w:t xml:space="preserve"> </w:t>
      </w:r>
      <w:r>
        <w:t xml:space="preserve">‘</w:t>
      </w:r>
      <w:r>
        <w:rPr>
          <w:iCs/>
          <w:i/>
        </w:rPr>
        <w:t xml:space="preserve">tuñja</w:t>
      </w:r>
      <w:r>
        <w:t xml:space="preserve"> </w:t>
      </w:r>
      <w:r>
        <w:t xml:space="preserve">is from</w:t>
      </w:r>
      <w:r>
        <w:t xml:space="preserve"> </w:t>
      </w:r>
      <w:r>
        <w:rPr>
          <w:iCs/>
          <w:i/>
        </w:rPr>
        <w:t xml:space="preserve">tuñjati</w:t>
      </w:r>
      <w:r>
        <w:t xml:space="preserve">, a verb of giving. In each giving, whatever superior stomas there are of Indra the vajrin — with them I do not find the completion of his praise</w:t>
      </w:r>
      <w:r>
        <w:t xml:space="preserve">’</w:t>
      </w:r>
      <w:r>
        <w:t xml:space="preserve"> </w:t>
      </w:r>
      <w:r>
        <w:t xml:space="preserve">(Nirukta 6-18).”</w:t>
      </w:r>
    </w:p>
    <w:p>
      <w:pPr>
        <w:pStyle w:val="BodyText"/>
      </w:pPr>
      <w:r>
        <w:rPr>
          <w:iCs/>
          <w:i/>
        </w:rPr>
        <w:t xml:space="preserve">(The rest of the Sanskrit on pp. 284–285 is Sāyaṇa’s grammar of</w:t>
      </w:r>
      <w:r>
        <w:t xml:space="preserve"> </w:t>
      </w:r>
      <w:r>
        <w:t xml:space="preserve">तुञ्जे</w:t>
      </w:r>
      <w:r>
        <w:rPr>
          <w:iCs/>
          <w:i/>
        </w:rPr>
        <w:t xml:space="preserve">,</w:t>
      </w:r>
      <w:r>
        <w:t xml:space="preserve"> </w:t>
      </w:r>
      <w:r>
        <w:t xml:space="preserve">उत्तरे</w:t>
      </w:r>
      <w:r>
        <w:rPr>
          <w:iCs/>
          <w:i/>
        </w:rPr>
        <w:t xml:space="preserve">,</w:t>
      </w:r>
      <w:r>
        <w:t xml:space="preserve"> </w:t>
      </w:r>
      <w:r>
        <w:t xml:space="preserve">स्तोमाः</w:t>
      </w:r>
      <w:r>
        <w:rPr>
          <w:iCs/>
          <w:i/>
        </w:rPr>
        <w:t xml:space="preserve">,</w:t>
      </w:r>
      <w:r>
        <w:t xml:space="preserve"> </w:t>
      </w:r>
      <w:r>
        <w:t xml:space="preserve">विन्धे</w:t>
      </w:r>
      <w:r>
        <w:rPr>
          <w:iCs/>
          <w:i/>
        </w:rPr>
        <w:t xml:space="preserve">,</w:t>
      </w:r>
      <w:r>
        <w:t xml:space="preserve"> </w:t>
      </w:r>
      <w:r>
        <w:t xml:space="preserve">अस्य</w:t>
      </w:r>
      <w:r>
        <w:rPr>
          <w:iCs/>
          <w:i/>
        </w:rPr>
        <w:t xml:space="preserve">,</w:t>
      </w:r>
      <w:r>
        <w:t xml:space="preserve"> </w:t>
      </w:r>
      <w:r>
        <w:t xml:space="preserve">सुष्टुतिम्</w:t>
      </w:r>
      <w:r>
        <w:rPr>
          <w:iCs/>
          <w:i/>
        </w:rPr>
        <w:t xml:space="preserve">,</w:t>
      </w:r>
      <w:r>
        <w:rPr>
          <w:iCs/>
          <w:i/>
        </w:rPr>
        <w:t xml:space="preserve"> </w:t>
      </w:r>
      <w:r>
        <w:rPr>
          <w:bCs/>
          <w:b/>
          <w:iCs/>
          <w:i/>
        </w:rPr>
        <w:t xml:space="preserve">dominated by a long scholastic argument</w:t>
      </w:r>
      <w:r>
        <w:rPr>
          <w:iCs/>
          <w:i/>
        </w:rPr>
        <w:t xml:space="preserve"> </w:t>
      </w:r>
      <w:r>
        <w:rPr>
          <w:iCs/>
          <w:i/>
        </w:rPr>
        <w:t xml:space="preserve">(an objection and replies) on whether the prefix</w:t>
      </w:r>
      <w:r>
        <w:t xml:space="preserve"> </w:t>
      </w:r>
      <w:r>
        <w:t xml:space="preserve">su</w:t>
      </w:r>
      <w:r>
        <w:t xml:space="preserve"> </w:t>
      </w:r>
      <w:r>
        <w:rPr>
          <w:iCs/>
          <w:i/>
        </w:rPr>
        <w:t xml:space="preserve">in</w:t>
      </w:r>
      <w:r>
        <w:t xml:space="preserve"> </w:t>
      </w:r>
      <w:r>
        <w:t xml:space="preserve">suṣṭutim</w:t>
      </w:r>
      <w:r>
        <w:t xml:space="preserve"> </w:t>
      </w:r>
      <w:r>
        <w:rPr>
          <w:iCs/>
          <w:i/>
        </w:rPr>
        <w:t xml:space="preserve">is an</w:t>
      </w:r>
      <w:r>
        <w:t xml:space="preserve"> </w:t>
      </w:r>
      <w:r>
        <w:t xml:space="preserve">upasarga</w:t>
      </w:r>
      <w:r>
        <w:t xml:space="preserve"> </w:t>
      </w:r>
      <w:r>
        <w:rPr>
          <w:iCs/>
          <w:i/>
        </w:rPr>
        <w:t xml:space="preserve">whose presence causes</w:t>
      </w:r>
      <w:r>
        <w:t xml:space="preserve"> </w:t>
      </w:r>
      <w:r>
        <w:t xml:space="preserve">s</w:t>
      </w:r>
      <w:r>
        <w:t xml:space="preserve"> </w:t>
      </w:r>
      <w:r>
        <w:rPr>
          <w:iCs/>
          <w:i/>
        </w:rPr>
        <w:t xml:space="preserve">to become</w:t>
      </w:r>
      <w:r>
        <w:t xml:space="preserve"> </w:t>
      </w:r>
      <w:r>
        <w:t xml:space="preserve">ṣ</w:t>
      </w:r>
      <w:r>
        <w:t xml:space="preserve"> </w:t>
      </w:r>
      <w:r>
        <w:rPr>
          <w:iCs/>
          <w:i/>
        </w:rPr>
        <w:t xml:space="preserve">and fixes the accent, or whether it qualifies the instrument of praise rather than the act of praising. Characterized, not transcribed (Convention 5); the conclusion that bears on the sense is given at the end of p. 285 and translated there.)</w:t>
      </w:r>
    </w:p>
    <w:bookmarkEnd w:id="317"/>
    <w:bookmarkStart w:id="318" w:name="page-284"/>
    <w:p>
      <w:pPr>
        <w:pStyle w:val="Heading3"/>
      </w:pPr>
      <w:r>
        <w:t xml:space="preserve">Page 284</w:t>
      </w:r>
    </w:p>
    <w:p>
      <w:pPr>
        <w:pStyle w:val="FirstParagraph"/>
      </w:pPr>
      <w:r>
        <w:rPr>
          <w:iCs/>
          <w:i/>
        </w:rPr>
        <w:t xml:space="preserve">(Sāyaṇa’s grammar of Rik 7, characterized; references as printed.)</w:t>
      </w:r>
      <w:r>
        <w:t xml:space="preserve"> </w:t>
      </w:r>
      <w:r>
        <w:t xml:space="preserve">“</w:t>
      </w:r>
      <w:r>
        <w:t xml:space="preserve">Tuñje tuñje</w:t>
      </w:r>
      <w:r>
        <w:t xml:space="preserve">”</w:t>
      </w:r>
      <w:r>
        <w:t xml:space="preserve"> </w:t>
      </w:r>
      <w:r>
        <w:t xml:space="preserve">—</w:t>
      </w:r>
      <w:r>
        <w:t xml:space="preserve"> </w:t>
      </w:r>
      <w:r>
        <w:t xml:space="preserve">“</w:t>
      </w:r>
      <w:r>
        <w:t xml:space="preserve">tuñjatir dānakarmā</w:t>
      </w:r>
      <w:r>
        <w:t xml:space="preserve">”</w:t>
      </w:r>
      <w:r>
        <w:t xml:space="preserve">:</w:t>
      </w:r>
      <w:r>
        <w:t xml:space="preserve"> </w:t>
      </w:r>
      <w:r>
        <w:rPr>
          <w:bCs/>
          <w:b/>
        </w:rPr>
        <w:t xml:space="preserve">कर्तरि पचाद्यच्</w:t>
      </w:r>
      <w:r>
        <w:t xml:space="preserve"> </w:t>
      </w:r>
      <w:r>
        <w:t xml:space="preserve">(as printed; पा. ३-१-१३४)</w:t>
      </w:r>
      <w:r>
        <w:t xml:space="preserve"> </w:t>
      </w:r>
      <w:r>
        <w:t xml:space="preserve">“</w:t>
      </w:r>
      <w:r>
        <w:t xml:space="preserve">ac,</w:t>
      </w:r>
      <w:r>
        <w:t xml:space="preserve">”</w:t>
      </w:r>
      <w:r>
        <w:t xml:space="preserve"> </w:t>
      </w:r>
      <w:r>
        <w:t xml:space="preserve">“</w:t>
      </w:r>
      <w:r>
        <w:t xml:space="preserve">c</w:t>
      </w:r>
      <w:r>
        <w:t xml:space="preserve">”</w:t>
      </w:r>
      <w:r>
        <w:t xml:space="preserve">-marked, end-acute; doubled by</w:t>
      </w:r>
      <w:r>
        <w:t xml:space="preserve"> </w:t>
      </w:r>
      <w:r>
        <w:rPr>
          <w:bCs/>
          <w:b/>
        </w:rPr>
        <w:t xml:space="preserve">नित्यवीप्सयोः</w:t>
      </w:r>
      <w:r>
        <w:t xml:space="preserve"> </w:t>
      </w:r>
      <w:r>
        <w:t xml:space="preserve">(पा. ८-१-४); the second is</w:t>
      </w:r>
      <w:r>
        <w:t xml:space="preserve"> </w:t>
      </w:r>
      <w:r>
        <w:t xml:space="preserve">“</w:t>
      </w:r>
      <w:r>
        <w:t xml:space="preserve">āmreḍita</w:t>
      </w:r>
      <w:r>
        <w:t xml:space="preserve">”</w:t>
      </w:r>
      <w:r>
        <w:t xml:space="preserve"> </w:t>
      </w:r>
      <w:r>
        <w:t xml:space="preserve">(पा. ८-१-२) and unaccented (पा. ८-१-३);</w:t>
      </w:r>
      <w:r>
        <w:t xml:space="preserve"> </w:t>
      </w:r>
      <w:r>
        <w:t xml:space="preserve">“</w:t>
      </w:r>
      <w:r>
        <w:t xml:space="preserve">dātari dātari</w:t>
      </w:r>
      <w:r>
        <w:t xml:space="preserve">”</w:t>
      </w:r>
      <w:r>
        <w:t xml:space="preserve"> </w:t>
      </w:r>
      <w:r>
        <w:t xml:space="preserve">— the Nirukta’s</w:t>
      </w:r>
      <w:r>
        <w:t xml:space="preserve"> </w:t>
      </w:r>
      <w:r>
        <w:t xml:space="preserve">“</w:t>
      </w:r>
      <w:r>
        <w:t xml:space="preserve">dāne dāne</w:t>
      </w:r>
      <w:r>
        <w:t xml:space="preserve">”</w:t>
      </w:r>
      <w:r>
        <w:t xml:space="preserve"> </w:t>
      </w:r>
      <w:r>
        <w:t xml:space="preserve">explains the sense.</w:t>
      </w:r>
      <w:r>
        <w:t xml:space="preserve"> </w:t>
      </w:r>
      <w:r>
        <w:t xml:space="preserve">“</w:t>
      </w:r>
      <w:r>
        <w:t xml:space="preserve">Uttare</w:t>
      </w:r>
      <w:r>
        <w:t xml:space="preserve">”</w:t>
      </w:r>
      <w:r>
        <w:t xml:space="preserve"> </w:t>
      </w:r>
      <w:r>
        <w:t xml:space="preserve">—</w:t>
      </w:r>
      <w:r>
        <w:t xml:space="preserve"> </w:t>
      </w:r>
      <w:r>
        <w:t xml:space="preserve">“</w:t>
      </w:r>
      <w:r>
        <w:t xml:space="preserve">tṝ plavanataraṇayoḥ,</w:t>
      </w:r>
      <w:r>
        <w:t xml:space="preserve">”</w:t>
      </w:r>
      <w:r>
        <w:t xml:space="preserve"> </w:t>
      </w:r>
      <w:r>
        <w:rPr>
          <w:bCs/>
          <w:b/>
        </w:rPr>
        <w:t xml:space="preserve">भावे ऋदोरप्</w:t>
      </w:r>
      <w:r>
        <w:t xml:space="preserve"> </w:t>
      </w:r>
      <w:r>
        <w:t xml:space="preserve">(as printed; पा. ३-३-५७);</w:t>
      </w:r>
      <w:r>
        <w:t xml:space="preserve"> </w:t>
      </w:r>
      <w:r>
        <w:t xml:space="preserve">“</w:t>
      </w:r>
      <w:r>
        <w:t xml:space="preserve">ut</w:t>
      </w:r>
      <w:r>
        <w:t xml:space="preserve">”</w:t>
      </w:r>
      <w:r>
        <w:t xml:space="preserve"> </w:t>
      </w:r>
      <w:r>
        <w:t xml:space="preserve">in the sense of excellence;</w:t>
      </w:r>
      <w:r>
        <w:t xml:space="preserve"> </w:t>
      </w:r>
      <w:r>
        <w:t xml:space="preserve">“</w:t>
      </w:r>
      <w:r>
        <w:t xml:space="preserve">utkṛṣṭas taro yasya,</w:t>
      </w:r>
      <w:r>
        <w:t xml:space="preserve">”</w:t>
      </w:r>
      <w:r>
        <w:t xml:space="preserve"> </w:t>
      </w:r>
      <w:r>
        <w:t xml:space="preserve">a bahuvrīhi;</w:t>
      </w:r>
      <w:r>
        <w:t xml:space="preserve"> </w:t>
      </w:r>
      <w:r>
        <w:t xml:space="preserve">“</w:t>
      </w:r>
      <w:r>
        <w:t xml:space="preserve">ut</w:t>
      </w:r>
      <w:r>
        <w:t xml:space="preserve">”</w:t>
      </w:r>
      <w:r>
        <w:t xml:space="preserve"> </w:t>
      </w:r>
      <w:r>
        <w:t xml:space="preserve">first-syllable acute as a nipāta, kept by the bahuvrīhi rule.</w:t>
      </w:r>
      <w:r>
        <w:t xml:space="preserve"> </w:t>
      </w:r>
      <w:r>
        <w:t xml:space="preserve">“</w:t>
      </w:r>
      <w:r>
        <w:t xml:space="preserve">Stomāḥ</w:t>
      </w:r>
      <w:r>
        <w:t xml:space="preserve">”</w:t>
      </w:r>
      <w:r>
        <w:t xml:space="preserve"> </w:t>
      </w:r>
      <w:r>
        <w:t xml:space="preserve">—</w:t>
      </w:r>
      <w:r>
        <w:t xml:space="preserve"> </w:t>
      </w:r>
      <w:r>
        <w:t xml:space="preserve">“</w:t>
      </w:r>
      <w:r>
        <w:t xml:space="preserve">artistusu…</w:t>
      </w:r>
      <w:r>
        <w:t xml:space="preserve">”</w:t>
      </w:r>
      <w:r>
        <w:t xml:space="preserve"> </w:t>
      </w:r>
      <w:r>
        <w:t xml:space="preserve">(उ. १-१३९),</w:t>
      </w:r>
      <w:r>
        <w:t xml:space="preserve"> </w:t>
      </w:r>
      <w:r>
        <w:t xml:space="preserve">“</w:t>
      </w:r>
      <w:r>
        <w:t xml:space="preserve">man</w:t>
      </w:r>
      <w:r>
        <w:t xml:space="preserve">”</w:t>
      </w:r>
      <w:r>
        <w:t xml:space="preserve">;</w:t>
      </w:r>
      <w:r>
        <w:t xml:space="preserve"> </w:t>
      </w:r>
      <w:r>
        <w:t xml:space="preserve">“</w:t>
      </w:r>
      <w:r>
        <w:t xml:space="preserve">n</w:t>
      </w:r>
      <w:r>
        <w:t xml:space="preserve">”</w:t>
      </w:r>
      <w:r>
        <w:t xml:space="preserve">-marked, first-syllable acute.</w:t>
      </w:r>
      <w:r>
        <w:t xml:space="preserve"> </w:t>
      </w:r>
      <w:r>
        <w:t xml:space="preserve">“</w:t>
      </w:r>
      <w:r>
        <w:t xml:space="preserve">Vindhe</w:t>
      </w:r>
      <w:r>
        <w:t xml:space="preserve">”</w:t>
      </w:r>
      <w:r>
        <w:t xml:space="preserve"> </w:t>
      </w:r>
      <w:r>
        <w:t xml:space="preserve">—</w:t>
      </w:r>
      <w:r>
        <w:t xml:space="preserve"> </w:t>
      </w:r>
      <w:r>
        <w:t xml:space="preserve">“</w:t>
      </w:r>
      <w:r>
        <w:t xml:space="preserve">vidḷ lābhe,</w:t>
      </w:r>
      <w:r>
        <w:t xml:space="preserve">”</w:t>
      </w:r>
      <w:r>
        <w:t xml:space="preserve"> </w:t>
      </w:r>
      <w:r>
        <w:t xml:space="preserve">“</w:t>
      </w:r>
      <w:r>
        <w:t xml:space="preserve">laṭ,</w:t>
      </w:r>
      <w:r>
        <w:t xml:space="preserve">”</w:t>
      </w:r>
      <w:r>
        <w:t xml:space="preserve"> </w:t>
      </w:r>
      <w:r>
        <w:t xml:space="preserve">ātmanepada as</w:t>
      </w:r>
      <w:r>
        <w:t xml:space="preserve"> </w:t>
      </w:r>
      <w:r>
        <w:t xml:space="preserve">“</w:t>
      </w:r>
      <w:r>
        <w:t xml:space="preserve">svaritet</w:t>
      </w:r>
      <w:r>
        <w:t xml:space="preserve">”</w:t>
      </w:r>
      <w:r>
        <w:t xml:space="preserve">; first singular</w:t>
      </w:r>
      <w:r>
        <w:t xml:space="preserve"> </w:t>
      </w:r>
      <w:r>
        <w:t xml:space="preserve">“</w:t>
      </w:r>
      <w:r>
        <w:t xml:space="preserve">iṭ</w:t>
      </w:r>
      <w:r>
        <w:t xml:space="preserve">”</w:t>
      </w:r>
      <w:r>
        <w:t xml:space="preserve"> </w:t>
      </w:r>
      <w:r>
        <w:t xml:space="preserve">(पा. ३-४-७८);</w:t>
      </w:r>
      <w:r>
        <w:t xml:space="preserve"> </w:t>
      </w:r>
      <w:r>
        <w:rPr>
          <w:bCs/>
          <w:b/>
        </w:rPr>
        <w:t xml:space="preserve">तुदादिभ्यः शः</w:t>
      </w:r>
      <w:r>
        <w:t xml:space="preserve"> </w:t>
      </w:r>
      <w:r>
        <w:t xml:space="preserve">(पा. ३-१-७७);</w:t>
      </w:r>
      <w:r>
        <w:t xml:space="preserve"> </w:t>
      </w:r>
      <w:r>
        <w:t xml:space="preserve">“</w:t>
      </w:r>
      <w:r>
        <w:t xml:space="preserve">num</w:t>
      </w:r>
      <w:r>
        <w:t xml:space="preserve">”</w:t>
      </w:r>
      <w:r>
        <w:t xml:space="preserve"> </w:t>
      </w:r>
      <w:r>
        <w:t xml:space="preserve">by</w:t>
      </w:r>
      <w:r>
        <w:t xml:space="preserve"> </w:t>
      </w:r>
      <w:r>
        <w:rPr>
          <w:bCs/>
          <w:b/>
        </w:rPr>
        <w:t xml:space="preserve">शे मुचादीनाम्</w:t>
      </w:r>
      <w:r>
        <w:t xml:space="preserve"> </w:t>
      </w:r>
      <w:r>
        <w:t xml:space="preserve">(पा. ७-१-५९);</w:t>
      </w:r>
      <w:r>
        <w:t xml:space="preserve"> </w:t>
      </w:r>
      <w:r>
        <w:t xml:space="preserve">“</w:t>
      </w:r>
      <w:r>
        <w:t xml:space="preserve">dh</w:t>
      </w:r>
      <w:r>
        <w:t xml:space="preserve">”</w:t>
      </w:r>
      <w:r>
        <w:t xml:space="preserve"> </w:t>
      </w:r>
      <w:r>
        <w:t xml:space="preserve">for</w:t>
      </w:r>
      <w:r>
        <w:t xml:space="preserve"> </w:t>
      </w:r>
      <w:r>
        <w:t xml:space="preserve">“</w:t>
      </w:r>
      <w:r>
        <w:t xml:space="preserve">d</w:t>
      </w:r>
      <w:r>
        <w:t xml:space="preserve">”</w:t>
      </w:r>
      <w:r>
        <w:t xml:space="preserve"> </w:t>
      </w:r>
      <w:r>
        <w:t xml:space="preserve">by vyatyaya.</w:t>
      </w:r>
      <w:r>
        <w:t xml:space="preserve"> </w:t>
      </w:r>
      <w:r>
        <w:t xml:space="preserve">“</w:t>
      </w:r>
      <w:r>
        <w:t xml:space="preserve">Asya</w:t>
      </w:r>
      <w:r>
        <w:t xml:space="preserve">”</w:t>
      </w:r>
      <w:r>
        <w:t xml:space="preserve"> </w:t>
      </w:r>
      <w:r>
        <w:t xml:space="preserve">— of Indra, the subject at hand:</w:t>
      </w:r>
      <w:r>
        <w:t xml:space="preserve"> </w:t>
      </w:r>
      <w:r>
        <w:t xml:space="preserve">“</w:t>
      </w:r>
      <w:r>
        <w:t xml:space="preserve">idam</w:t>
      </w:r>
      <w:r>
        <w:t xml:space="preserve">”</w:t>
      </w:r>
      <w:r>
        <w:t xml:space="preserve"> </w:t>
      </w:r>
      <w:r>
        <w:t xml:space="preserve">→</w:t>
      </w:r>
      <w:r>
        <w:t xml:space="preserve"> </w:t>
      </w:r>
      <w:r>
        <w:t xml:space="preserve">“</w:t>
      </w:r>
      <w:r>
        <w:t xml:space="preserve">aś</w:t>
      </w:r>
      <w:r>
        <w:t xml:space="preserve">”</w:t>
      </w:r>
      <w:r>
        <w:t xml:space="preserve"> </w:t>
      </w:r>
      <w:r>
        <w:t xml:space="preserve">by</w:t>
      </w:r>
      <w:r>
        <w:t xml:space="preserve"> </w:t>
      </w:r>
      <w:r>
        <w:rPr>
          <w:bCs/>
          <w:b/>
        </w:rPr>
        <w:t xml:space="preserve">इदमोऽश्</w:t>
      </w:r>
      <w:r>
        <w:t xml:space="preserve"> </w:t>
      </w:r>
      <w:r>
        <w:t xml:space="preserve">(as printed; पा. २-४-३२),</w:t>
      </w:r>
      <w:r>
        <w:t xml:space="preserve"> </w:t>
      </w:r>
      <w:r>
        <w:t xml:space="preserve">“</w:t>
      </w:r>
      <w:r>
        <w:t xml:space="preserve">ś</w:t>
      </w:r>
      <w:r>
        <w:t xml:space="preserve">”</w:t>
      </w:r>
      <w:r>
        <w:t xml:space="preserve">-marked, replacing the whole, unaccented.</w:t>
      </w:r>
      <w:r>
        <w:t xml:space="preserve"> </w:t>
      </w:r>
      <w:r>
        <w:t xml:space="preserve">“</w:t>
      </w:r>
      <w:r>
        <w:t xml:space="preserve">Suṣṭutim</w:t>
      </w:r>
      <w:r>
        <w:t xml:space="preserve">”</w:t>
      </w:r>
      <w:r>
        <w:t xml:space="preserve"> </w:t>
      </w:r>
      <w:r>
        <w:t xml:space="preserve">—</w:t>
      </w:r>
      <w:r>
        <w:t xml:space="preserve"> </w:t>
      </w:r>
      <w:r>
        <w:t xml:space="preserve">“</w:t>
      </w:r>
      <w:r>
        <w:t xml:space="preserve">ṣṭuñ stutau,</w:t>
      </w:r>
      <w:r>
        <w:t xml:space="preserve">”</w:t>
      </w:r>
      <w:r>
        <w:t xml:space="preserve"> </w:t>
      </w:r>
      <w:r>
        <w:t xml:space="preserve">“</w:t>
      </w:r>
      <w:r>
        <w:t xml:space="preserve">dhātvādeḥ ṣaḥ saḥ</w:t>
      </w:r>
      <w:r>
        <w:t xml:space="preserve">”</w:t>
      </w:r>
      <w:r>
        <w:t xml:space="preserve"> </w:t>
      </w:r>
      <w:r>
        <w:t xml:space="preserve">(पा. ६-१-६४);</w:t>
      </w:r>
      <w:r>
        <w:t xml:space="preserve"> </w:t>
      </w:r>
      <w:r>
        <w:rPr>
          <w:bCs/>
          <w:b/>
        </w:rPr>
        <w:t xml:space="preserve">स्त्रियां क्तिन्</w:t>
      </w:r>
      <w:r>
        <w:t xml:space="preserve"> </w:t>
      </w:r>
      <w:r>
        <w:t xml:space="preserve">(पा. ३-३-९४)</w:t>
      </w:r>
      <w:r>
        <w:t xml:space="preserve"> </w:t>
      </w:r>
      <w:r>
        <w:t xml:space="preserve">“</w:t>
      </w:r>
      <w:r>
        <w:t xml:space="preserve">ktin</w:t>
      </w:r>
      <w:r>
        <w:t xml:space="preserve">”</w:t>
      </w:r>
      <w:r>
        <w:t xml:space="preserve"> </w:t>
      </w:r>
      <w:r>
        <w:t xml:space="preserve">in the action sense; acute by</w:t>
      </w:r>
      <w:r>
        <w:t xml:space="preserve"> </w:t>
      </w:r>
      <w:r>
        <w:t xml:space="preserve">“</w:t>
      </w:r>
      <w:r>
        <w:t xml:space="preserve">ūtiyūti…</w:t>
      </w:r>
      <w:r>
        <w:t xml:space="preserve">”</w:t>
      </w:r>
      <w:r>
        <w:t xml:space="preserve">; compounded with</w:t>
      </w:r>
      <w:r>
        <w:t xml:space="preserve"> </w:t>
      </w:r>
      <w:r>
        <w:t xml:space="preserve">“</w:t>
      </w:r>
      <w:r>
        <w:t xml:space="preserve">su</w:t>
      </w:r>
      <w:r>
        <w:t xml:space="preserve">”</w:t>
      </w:r>
      <w:r>
        <w:t xml:space="preserve"> </w:t>
      </w:r>
      <w:r>
        <w:t xml:space="preserve">by</w:t>
      </w:r>
      <w:r>
        <w:t xml:space="preserve"> </w:t>
      </w:r>
      <w:r>
        <w:t xml:space="preserve">“</w:t>
      </w:r>
      <w:r>
        <w:t xml:space="preserve">kugatiprādayaḥ</w:t>
      </w:r>
      <w:r>
        <w:t xml:space="preserve">”</w:t>
      </w:r>
      <w:r>
        <w:t xml:space="preserve"> </w:t>
      </w:r>
      <w:r>
        <w:t xml:space="preserve">(पा. २-२-१८);</w:t>
      </w:r>
      <w:r>
        <w:t xml:space="preserve"> </w:t>
      </w:r>
      <w:r>
        <w:t xml:space="preserve">“</w:t>
      </w:r>
      <w:r>
        <w:t xml:space="preserve">ṣ</w:t>
      </w:r>
      <w:r>
        <w:t xml:space="preserve">”</w:t>
      </w:r>
      <w:r>
        <w:t xml:space="preserve"> </w:t>
      </w:r>
      <w:r>
        <w:t xml:space="preserve">by</w:t>
      </w:r>
      <w:r>
        <w:t xml:space="preserve"> </w:t>
      </w:r>
      <w:r>
        <w:rPr>
          <w:bCs/>
          <w:b/>
        </w:rPr>
        <w:t xml:space="preserve">उपसर्गात्सुनोति…</w:t>
      </w:r>
      <w:r>
        <w:t xml:space="preserve"> </w:t>
      </w:r>
      <w:r>
        <w:t xml:space="preserve">(पा. ८-३-६५). The accent of the indeclinable first member would hold, but is set aside by</w:t>
      </w:r>
      <w:r>
        <w:t xml:space="preserve"> </w:t>
      </w:r>
      <w:r>
        <w:t xml:space="preserve">“</w:t>
      </w:r>
      <w:r>
        <w:t xml:space="preserve">gatikārakopapadāt kṛt</w:t>
      </w:r>
      <w:r>
        <w:t xml:space="preserve">”</w:t>
      </w:r>
      <w:r>
        <w:t xml:space="preserve"> </w:t>
      </w:r>
      <w:r>
        <w:t xml:space="preserve">(पा. ६-२-१३९), and that in turn by</w:t>
      </w:r>
      <w:r>
        <w:t xml:space="preserve"> </w:t>
      </w:r>
      <w:r>
        <w:rPr>
          <w:bCs/>
          <w:b/>
        </w:rPr>
        <w:t xml:space="preserve">तादौ च निति कृत्यतौ</w:t>
      </w:r>
      <w:r>
        <w:t xml:space="preserve"> </w:t>
      </w:r>
      <w:r>
        <w:t xml:space="preserve">(पा. ६-२-५०), so the gati</w:t>
      </w:r>
      <w:r>
        <w:t xml:space="preserve"> </w:t>
      </w:r>
      <w:r>
        <w:t xml:space="preserve">“</w:t>
      </w:r>
      <w:r>
        <w:t xml:space="preserve">su</w:t>
      </w:r>
      <w:r>
        <w:t xml:space="preserve">”</w:t>
      </w:r>
      <w:r>
        <w:t xml:space="preserve"> </w:t>
      </w:r>
      <w:r>
        <w:t xml:space="preserve">would be acute; that too is set aside by</w:t>
      </w:r>
      <w:r>
        <w:t xml:space="preserve"> </w:t>
      </w:r>
      <w:r>
        <w:rPr>
          <w:bCs/>
          <w:b/>
        </w:rPr>
        <w:t xml:space="preserve">मन्क्तिन्व्याख्यान…</w:t>
      </w:r>
      <w:r>
        <w:t xml:space="preserve"> </w:t>
      </w:r>
      <w:r>
        <w:t xml:space="preserve">(पा. ६-२-१५१), giving the end-acute of the second member, as in</w:t>
      </w:r>
      <w:r>
        <w:t xml:space="preserve"> </w:t>
      </w:r>
      <w:r>
        <w:t xml:space="preserve">“</w:t>
      </w:r>
      <w:r>
        <w:t xml:space="preserve">suhavāṃ suṣṭutī huve</w:t>
      </w:r>
      <w:r>
        <w:t xml:space="preserve">”</w:t>
      </w:r>
      <w:r>
        <w:t xml:space="preserve"> </w:t>
      </w:r>
      <w:r>
        <w:t xml:space="preserve">(ऋग्वे. २-३२-४),</w:t>
      </w:r>
      <w:r>
        <w:t xml:space="preserve"> </w:t>
      </w:r>
      <w:r>
        <w:t xml:space="preserve">“</w:t>
      </w:r>
      <w:r>
        <w:t xml:space="preserve">vṛṣṇe codasva suṣṭutim</w:t>
      </w:r>
      <w:r>
        <w:t xml:space="preserve">”</w:t>
      </w:r>
      <w:r>
        <w:t xml:space="preserve"> </w:t>
      </w:r>
      <w:r>
        <w:t xml:space="preserve">(ऋग्वे. ८-६४-६ [?]),</w:t>
      </w:r>
      <w:r>
        <w:t xml:space="preserve"> </w:t>
      </w:r>
      <w:r>
        <w:t xml:space="preserve">“</w:t>
      </w:r>
      <w:r>
        <w:t xml:space="preserve">yās te rāke sumatayaḥ</w:t>
      </w:r>
      <w:r>
        <w:t xml:space="preserve">”</w:t>
      </w:r>
      <w:r>
        <w:t xml:space="preserve"> </w:t>
      </w:r>
      <w:r>
        <w:t xml:space="preserve">(ऋग्वे. २-३२-५). But</w:t>
      </w:r>
      <w:r>
        <w:t xml:space="preserve"> </w:t>
      </w:r>
      <w:r>
        <w:t xml:space="preserve">“</w:t>
      </w:r>
      <w:r>
        <w:t xml:space="preserve">kārakād dattaśrutayor evāśiṣi</w:t>
      </w:r>
      <w:r>
        <w:t xml:space="preserve">”</w:t>
      </w:r>
      <w:r>
        <w:t xml:space="preserve"> </w:t>
      </w:r>
      <w:r>
        <w:t xml:space="preserve">(पा. ६-२-१४८) shows that</w:t>
      </w:r>
      <w:r>
        <w:t xml:space="preserve"> </w:t>
      </w:r>
      <w:r>
        <w:t xml:space="preserve">“</w:t>
      </w:r>
      <w:r>
        <w:t xml:space="preserve">kāraka</w:t>
      </w:r>
      <w:r>
        <w:t xml:space="preserve">”</w:t>
      </w:r>
      <w:r>
        <w:t xml:space="preserve"> </w:t>
      </w:r>
      <w:r>
        <w:t xml:space="preserve">carries on, so</w:t>
      </w:r>
      <w:r>
        <w:t xml:space="preserve"> </w:t>
      </w:r>
      <w:r>
        <w:t xml:space="preserve">“</w:t>
      </w:r>
      <w:r>
        <w:t xml:space="preserve">manktin…</w:t>
      </w:r>
      <w:r>
        <w:t xml:space="preserve">”</w:t>
      </w:r>
      <w:r>
        <w:t xml:space="preserve"> </w:t>
      </w:r>
      <w:r>
        <w:t xml:space="preserve">applies only after a kāraka, as with</w:t>
      </w:r>
      <w:r>
        <w:t xml:space="preserve"> </w:t>
      </w:r>
      <w:r>
        <w:t xml:space="preserve">“</w:t>
      </w:r>
      <w:r>
        <w:t xml:space="preserve">prakṛtiḥ, prahṛtiḥ</w:t>
      </w:r>
      <w:r>
        <w:t xml:space="preserve">”</w:t>
      </w:r>
      <w:r>
        <w:t xml:space="preserve">; to this the reply is that</w:t>
      </w:r>
      <w:r>
        <w:t xml:space="preserve"> </w:t>
      </w:r>
      <w:r>
        <w:t xml:space="preserve">“</w:t>
      </w:r>
      <w:r>
        <w:t xml:space="preserve">stūyate ’nayeti stutiḥ</w:t>
      </w:r>
      <w:r>
        <w:t xml:space="preserve">”</w:t>
      </w:r>
      <w:r>
        <w:t xml:space="preserve"> </w:t>
      </w:r>
      <w:r>
        <w:t xml:space="preserve">—</w:t>
      </w:r>
      <w:r>
        <w:t xml:space="preserve"> </w:t>
      </w:r>
      <w:r>
        <w:t xml:space="preserve">“</w:t>
      </w:r>
      <w:r>
        <w:t xml:space="preserve">ktin</w:t>
      </w:r>
      <w:r>
        <w:t xml:space="preserve">”</w:t>
      </w:r>
      <w:r>
        <w:t xml:space="preserve"> </w:t>
      </w:r>
      <w:r>
        <w:t xml:space="preserve">in the instrument sense — and</w:t>
      </w:r>
      <w:r>
        <w:t xml:space="preserve"> </w:t>
      </w:r>
      <w:r>
        <w:t xml:space="preserve">“</w:t>
      </w:r>
      <w:r>
        <w:t xml:space="preserve">su</w:t>
      </w:r>
      <w:r>
        <w:t xml:space="preserve">”</w:t>
      </w:r>
      <w:r>
        <w:t xml:space="preserve"> </w:t>
      </w:r>
      <w:r>
        <w:t xml:space="preserve">qualifies the instrument, so it is a kāraka … An objection follows: then</w:t>
      </w:r>
      <w:r>
        <w:t xml:space="preserve"> </w:t>
      </w:r>
      <w:r>
        <w:t xml:space="preserve">“</w:t>
      </w:r>
      <w:r>
        <w:t xml:space="preserve">su,</w:t>
      </w:r>
      <w:r>
        <w:t xml:space="preserve">”</w:t>
      </w:r>
      <w:r>
        <w:t xml:space="preserve"> </w:t>
      </w:r>
      <w:r>
        <w:t xml:space="preserve">not joined to the action, is no upasarga by</w:t>
      </w:r>
      <w:r>
        <w:t xml:space="preserve"> </w:t>
      </w:r>
      <w:r>
        <w:rPr>
          <w:bCs/>
          <w:b/>
        </w:rPr>
        <w:t xml:space="preserve">उपसर्गाः क्रियायोगे</w:t>
      </w:r>
      <w:r>
        <w:t xml:space="preserve"> </w:t>
      </w:r>
      <w:r>
        <w:t xml:space="preserve">(पा. १-४-५९), and no</w:t>
      </w:r>
      <w:r>
        <w:t xml:space="preserve"> </w:t>
      </w:r>
      <w:r>
        <w:t xml:space="preserve">“</w:t>
      </w:r>
      <w:r>
        <w:t xml:space="preserve">ṣ</w:t>
      </w:r>
      <w:r>
        <w:t xml:space="preserve">”</w:t>
      </w:r>
      <w:r>
        <w:t xml:space="preserve"> </w:t>
      </w:r>
      <w:r>
        <w:t xml:space="preserve">…</w:t>
      </w:r>
      <w:r>
        <w:t xml:space="preserve"> </w:t>
      </w:r>
      <w:r>
        <w:rPr>
          <w:iCs/>
          <w:i/>
        </w:rPr>
        <w:t xml:space="preserve">(the argument continues on p. 285).</w:t>
      </w:r>
      <w:r>
        <w:t xml:space="preserve"> </w:t>
      </w:r>
      <w:r>
        <w:t xml:space="preserve">### Page 285 — Rik 7</w:t>
      </w:r>
    </w:p>
    <w:p>
      <w:pPr>
        <w:pStyle w:val="BodyText"/>
      </w:pPr>
      <w:r>
        <w:rPr>
          <w:iCs/>
          <w:i/>
        </w:rPr>
        <w:t xml:space="preserve">(Page header:</w:t>
      </w:r>
      <w:r>
        <w:rPr>
          <w:iCs/>
          <w:i/>
        </w:rPr>
        <w:t xml:space="preserve"> </w:t>
      </w:r>
      <w:r>
        <w:rPr>
          <w:iCs/>
          <w:i/>
        </w:rPr>
        <w:t xml:space="preserve">“</w:t>
      </w:r>
      <w:r>
        <w:rPr>
          <w:iCs/>
          <w:i/>
        </w:rPr>
        <w:t xml:space="preserve">A. 1, A. 1, Va. 14.</w:t>
      </w:r>
      <w:r>
        <w:rPr>
          <w:iCs/>
          <w:i/>
        </w:rPr>
        <w:t xml:space="preserve">”</w:t>
      </w:r>
      <w:r>
        <w:rPr>
          <w:iCs/>
          <w:i/>
        </w:rPr>
        <w:t xml:space="preserve"> </w:t>
      </w:r>
      <w:r>
        <w:rPr>
          <w:iCs/>
          <w:i/>
        </w:rPr>
        <w:t xml:space="preserve">The upper part ends the</w:t>
      </w:r>
      <w:r>
        <w:rPr>
          <w:iCs/>
          <w:i/>
        </w:rPr>
        <w:t xml:space="preserve"> </w:t>
      </w:r>
      <w:r>
        <w:rPr>
          <w:iCs/>
          <w:i/>
        </w:rPr>
        <w:t xml:space="preserve">“</w:t>
      </w:r>
      <w:r>
        <w:rPr>
          <w:iCs/>
          <w:i/>
        </w:rPr>
        <w:t xml:space="preserve">suṣṭutim</w:t>
      </w:r>
      <w:r>
        <w:rPr>
          <w:iCs/>
          <w:i/>
        </w:rPr>
        <w:t xml:space="preserve">”</w:t>
      </w:r>
      <w:r>
        <w:rPr>
          <w:iCs/>
          <w:i/>
        </w:rPr>
        <w:t xml:space="preserve"> </w:t>
      </w:r>
      <w:r>
        <w:rPr>
          <w:iCs/>
          <w:i/>
        </w:rPr>
        <w:t xml:space="preserve">debate:</w:t>
      </w:r>
      <w:r>
        <w:rPr>
          <w:iCs/>
          <w:i/>
        </w:rPr>
        <w:t xml:space="preserve"> </w:t>
      </w:r>
      <w:r>
        <w:rPr>
          <w:iCs/>
          <w:i/>
        </w:rPr>
        <w:t xml:space="preserve">“</w:t>
      </w:r>
      <w:r>
        <w:rPr>
          <w:iCs/>
          <w:i/>
        </w:rPr>
        <w:t xml:space="preserve">su</w:t>
      </w:r>
      <w:r>
        <w:rPr>
          <w:iCs/>
          <w:i/>
        </w:rPr>
        <w:t xml:space="preserve">”</w:t>
      </w:r>
      <w:r>
        <w:rPr>
          <w:iCs/>
          <w:i/>
        </w:rPr>
        <w:t xml:space="preserve"> </w:t>
      </w:r>
      <w:r>
        <w:rPr>
          <w:iCs/>
          <w:i/>
        </w:rPr>
        <w:t xml:space="preserve">connects with the act through the instrument, so it is an upasarga by implication and the</w:t>
      </w:r>
      <w:r>
        <w:rPr>
          <w:iCs/>
          <w:i/>
        </w:rPr>
        <w:t xml:space="preserve"> </w:t>
      </w:r>
      <w:r>
        <w:rPr>
          <w:iCs/>
          <w:i/>
        </w:rPr>
        <w:t xml:space="preserve">“</w:t>
      </w:r>
      <w:r>
        <w:rPr>
          <w:iCs/>
          <w:i/>
        </w:rPr>
        <w:t xml:space="preserve">ṣ</w:t>
      </w:r>
      <w:r>
        <w:rPr>
          <w:iCs/>
          <w:i/>
        </w:rPr>
        <w:t xml:space="preserve">”</w:t>
      </w:r>
      <w:r>
        <w:rPr>
          <w:iCs/>
          <w:i/>
        </w:rPr>
        <w:t xml:space="preserve"> </w:t>
      </w:r>
      <w:r>
        <w:rPr>
          <w:iCs/>
          <w:i/>
        </w:rPr>
        <w:t xml:space="preserve">holds; or, since the accent is settled by taking the two affixes’ sense, the</w:t>
      </w:r>
      <w:r>
        <w:rPr>
          <w:iCs/>
          <w:i/>
        </w:rPr>
        <w:t xml:space="preserve"> </w:t>
      </w:r>
      <w:r>
        <w:rPr>
          <w:iCs/>
          <w:i/>
        </w:rPr>
        <w:t xml:space="preserve">“</w:t>
      </w:r>
      <w:r>
        <w:rPr>
          <w:iCs/>
          <w:i/>
        </w:rPr>
        <w:t xml:space="preserve">ṣ</w:t>
      </w:r>
      <w:r>
        <w:rPr>
          <w:iCs/>
          <w:i/>
        </w:rPr>
        <w:t xml:space="preserve">”</w:t>
      </w:r>
      <w:r>
        <w:rPr>
          <w:iCs/>
          <w:i/>
        </w:rPr>
        <w:t xml:space="preserve"> </w:t>
      </w:r>
      <w:r>
        <w:rPr>
          <w:iCs/>
          <w:i/>
        </w:rPr>
        <w:t xml:space="preserve">may be taken as Vedic; or, as a bahuvrīhi</w:t>
      </w:r>
      <w:r>
        <w:rPr>
          <w:iCs/>
          <w:i/>
        </w:rPr>
        <w:t xml:space="preserve"> </w:t>
      </w:r>
      <w:r>
        <w:rPr>
          <w:iCs/>
          <w:i/>
        </w:rPr>
        <w:t xml:space="preserve">“</w:t>
      </w:r>
      <w:r>
        <w:rPr>
          <w:iCs/>
          <w:i/>
        </w:rPr>
        <w:t xml:space="preserve">śobhanā stutir yasya,</w:t>
      </w:r>
      <w:r>
        <w:rPr>
          <w:iCs/>
          <w:i/>
        </w:rPr>
        <w:t xml:space="preserve">”</w:t>
      </w:r>
      <w:r>
        <w:rPr>
          <w:iCs/>
          <w:i/>
        </w:rPr>
        <w:t xml:space="preserve"> </w:t>
      </w:r>
      <w:r>
        <w:rPr>
          <w:iCs/>
          <w:i/>
        </w:rPr>
        <w:t xml:space="preserve">the end-acute comes by</w:t>
      </w:r>
      <w:r>
        <w:rPr>
          <w:iCs/>
          <w:i/>
        </w:rPr>
        <w:t xml:space="preserve"> </w:t>
      </w:r>
      <w:r>
        <w:rPr>
          <w:bCs/>
          <w:b/>
          <w:iCs/>
          <w:i/>
        </w:rPr>
        <w:t xml:space="preserve">नञ्सुभ्याम्</w:t>
      </w:r>
      <w:r>
        <w:rPr>
          <w:iCs/>
          <w:i/>
        </w:rPr>
        <w:t xml:space="preserve"> </w:t>
      </w:r>
      <w:r>
        <w:rPr>
          <w:iCs/>
          <w:i/>
        </w:rPr>
        <w:t xml:space="preserve">(पा. ६-२-१७२). The Sanskrit tail is translated here.)</w:t>
      </w:r>
    </w:p>
    <w:p>
      <w:pPr>
        <w:pStyle w:val="BlockText"/>
      </w:pPr>
      <w:r>
        <w:t xml:space="preserve">अथवा सुष्ठु स्तुवन्तीति सुष्टुतय इति करणभूता ऋचः स्तुतिशब्देनोच्यन्ते । क्तिच्क्तौ च संज्ञायाम् । पा. ३- -१७४ । इति क्तिच्प्रत्यये सति चित्त्वादन्तोदात्तता भविष्यति । न च करणीभूतानामृचां कर्तृप्रत्ययेन क्रिया कथमभिधानमिति वाच्यम् । काष्ठानि पचन्तीतिवत्तासामपि स्वव्यापारप्राधान्यविवक्षया करणत्वोपपत्तेरिति ॥</w:t>
      </w:r>
    </w:p>
    <w:p>
      <w:pPr>
        <w:pStyle w:val="BlockText"/>
      </w:pPr>
      <w:r>
        <w:rPr>
          <w:iCs/>
          <w:i/>
        </w:rPr>
        <w:t xml:space="preserve">athavā suṣṭhu stuvantīti suṣṭutaya iti karaṇa-bhūtā ṛcaḥ stuti-śabdenocyante | ktic-ktau ca saṃjñāyām | pā. 3- -174 | iti ktic-pratyaye sati cittvād antodāttatā bhaviṣyati | na ca karaṇībhūtānām ṛcāṃ kartṛ-pratyayena kriyā katham abhidhānam iti vācyam | kāṣṭhāni pacantīti-vat tāsām api sva-vyāpāra-prādhānya-vivakṣayā karaṇatvopapatter iti ||</w:t>
      </w:r>
    </w:p>
    <w:p>
      <w:pPr>
        <w:pStyle w:val="FirstParagraph"/>
      </w:pPr>
      <w:r>
        <w:rPr>
          <w:bCs/>
          <w:b/>
        </w:rPr>
        <w:t xml:space="preserve">Translation:</w:t>
      </w:r>
      <w:r>
        <w:t xml:space="preserve"> </w:t>
      </w:r>
      <w:r>
        <w:t xml:space="preserve">“</w:t>
      </w:r>
      <w:r>
        <w:t xml:space="preserve">Or else, in the analysis</w:t>
      </w:r>
      <w:r>
        <w:t xml:space="preserve"> </w:t>
      </w:r>
      <w:r>
        <w:t xml:space="preserve">‘</w:t>
      </w:r>
      <w:r>
        <w:rPr>
          <w:iCs/>
          <w:i/>
        </w:rPr>
        <w:t xml:space="preserve">those which praise well</w:t>
      </w:r>
      <w:r>
        <w:t xml:space="preserve"> </w:t>
      </w:r>
      <w:r>
        <w:t xml:space="preserve">—</w:t>
      </w:r>
      <w:r>
        <w:t xml:space="preserve"> </w:t>
      </w:r>
      <w:r>
        <w:rPr>
          <w:iCs/>
          <w:i/>
        </w:rPr>
        <w:t xml:space="preserve">suṣṭutayaḥ</w:t>
      </w:r>
      <w:r>
        <w:t xml:space="preserve">’</w:t>
      </w:r>
      <w:r>
        <w:t xml:space="preserve">, the ṛks that are the instruments [of praise] are called by the word</w:t>
      </w:r>
      <w:r>
        <w:t xml:space="preserve"> </w:t>
      </w:r>
      <w:r>
        <w:rPr>
          <w:iCs/>
          <w:i/>
        </w:rPr>
        <w:t xml:space="preserve">stuti</w:t>
      </w:r>
      <w:r>
        <w:t xml:space="preserve">. By the sūtra</w:t>
      </w:r>
      <w:r>
        <w:t xml:space="preserve"> </w:t>
      </w:r>
      <w:r>
        <w:t xml:space="preserve">‘</w:t>
      </w:r>
      <w:r>
        <w:rPr>
          <w:iCs/>
          <w:i/>
        </w:rPr>
        <w:t xml:space="preserve">ktic-ktau ca saṃjñāyām</w:t>
      </w:r>
      <w:r>
        <w:t xml:space="preserve">’</w:t>
      </w:r>
      <w:r>
        <w:t xml:space="preserve"> </w:t>
      </w:r>
      <w:r>
        <w:t xml:space="preserve">(printed</w:t>
      </w:r>
      <w:r>
        <w:t xml:space="preserve">”</w:t>
      </w:r>
      <w:r>
        <w:t xml:space="preserve">Pā. 3- -174,” the middle number missing; 3-3-174), when the suffix</w:t>
      </w:r>
      <w:r>
        <w:t xml:space="preserve"> </w:t>
      </w:r>
      <w:r>
        <w:rPr>
          <w:iCs/>
          <w:i/>
        </w:rPr>
        <w:t xml:space="preserve">ktic</w:t>
      </w:r>
      <w:r>
        <w:t xml:space="preserve"> </w:t>
      </w:r>
      <w:r>
        <w:t xml:space="preserve">is added, final-udātta accent results, because of the marker</w:t>
      </w:r>
      <w:r>
        <w:t xml:space="preserve"> </w:t>
      </w:r>
      <w:r>
        <w:rPr>
          <w:iCs/>
          <w:i/>
        </w:rPr>
        <w:t xml:space="preserve">c</w:t>
      </w:r>
      <w:r>
        <w:t xml:space="preserve">. Nor should it be objected:</w:t>
      </w:r>
      <w:r>
        <w:t xml:space="preserve"> </w:t>
      </w:r>
      <w:r>
        <w:t xml:space="preserve">‘</w:t>
      </w:r>
      <w:r>
        <w:t xml:space="preserve">how can ṛks that are mere instruments be spoken of by an agent-suffix, as doing the act?</w:t>
      </w:r>
      <w:r>
        <w:t xml:space="preserve">’</w:t>
      </w:r>
      <w:r>
        <w:t xml:space="preserve"> </w:t>
      </w:r>
      <w:r>
        <w:t xml:space="preserve">— for, as in</w:t>
      </w:r>
      <w:r>
        <w:t xml:space="preserve"> </w:t>
      </w:r>
      <w:r>
        <w:t xml:space="preserve">‘</w:t>
      </w:r>
      <w:r>
        <w:rPr>
          <w:iCs/>
          <w:i/>
        </w:rPr>
        <w:t xml:space="preserve">kāṣṭhāni pacanti</w:t>
      </w:r>
      <w:r>
        <w:t xml:space="preserve">’</w:t>
      </w:r>
      <w:r>
        <w:t xml:space="preserve"> </w:t>
      </w:r>
      <w:r>
        <w:t xml:space="preserve">(</w:t>
      </w:r>
      <w:r>
        <w:t xml:space="preserve">‘</w:t>
      </w:r>
      <w:r>
        <w:t xml:space="preserve">the logs cook</w:t>
      </w:r>
      <w:r>
        <w:t xml:space="preserve">’</w:t>
      </w:r>
      <w:r>
        <w:t xml:space="preserve">), where the log, though instrumental to cooking, is given independence in its own function (</w:t>
      </w:r>
      <w:r>
        <w:rPr>
          <w:iCs/>
          <w:i/>
        </w:rPr>
        <w:t xml:space="preserve">svatantraḥ kartā</w:t>
      </w:r>
      <w:r>
        <w:t xml:space="preserve">, Pā. 1-4-54), in the same way, taking the activity of the ṛks as principal, their instrumentality is perfectly consistent even though an agent-suffix is used.”</w:t>
      </w:r>
    </w:p>
    <w:p>
      <w:pPr>
        <w:pStyle w:val="BodyText"/>
      </w:pPr>
      <w:r>
        <w:rPr>
          <w:bCs/>
          <w:b/>
        </w:rPr>
        <w:t xml:space="preserve">॥ Prati-padārthaḥ ॥</w:t>
      </w:r>
    </w:p>
    <w:p>
      <w:pPr>
        <w:pStyle w:val="BodyText"/>
      </w:pPr>
      <w:r>
        <w:rPr>
          <w:bCs/>
          <w:b/>
        </w:rPr>
        <w:t xml:space="preserve">तुञ्जे तुञ्जे (tuñje tuñje)</w:t>
      </w:r>
      <w:r>
        <w:t xml:space="preserve"> </w:t>
      </w:r>
      <w:r>
        <w:t xml:space="preserve">— in (the other deities who bestow the fruit of) [each] |</w:t>
      </w:r>
      <w:r>
        <w:t xml:space="preserve"> </w:t>
      </w:r>
      <w:r>
        <w:rPr>
          <w:bCs/>
          <w:b/>
        </w:rPr>
        <w:t xml:space="preserve">उत्तरे (uttare)</w:t>
      </w:r>
      <w:r>
        <w:t xml:space="preserve"> </w:t>
      </w:r>
      <w:r>
        <w:t xml:space="preserve">— excellent |</w:t>
      </w:r>
      <w:r>
        <w:t xml:space="preserve"> </w:t>
      </w:r>
      <w:r>
        <w:rPr>
          <w:bCs/>
          <w:b/>
        </w:rPr>
        <w:t xml:space="preserve">ये स्तोमाः (ye stomāḥ)</w:t>
      </w:r>
      <w:r>
        <w:t xml:space="preserve"> </w:t>
      </w:r>
      <w:r>
        <w:t xml:space="preserve">— whatever hymns (there are) [those, with them] |</w:t>
      </w:r>
      <w:r>
        <w:t xml:space="preserve"> </w:t>
      </w:r>
      <w:r>
        <w:rPr>
          <w:bCs/>
          <w:b/>
        </w:rPr>
        <w:t xml:space="preserve">वज्रिणः (vajriṇaḥ)</w:t>
      </w:r>
      <w:r>
        <w:t xml:space="preserve"> </w:t>
      </w:r>
      <w:r>
        <w:t xml:space="preserve">— [of him] who holds the thunderbolt |</w:t>
      </w:r>
      <w:r>
        <w:t xml:space="preserve"> </w:t>
      </w:r>
      <w:r>
        <w:rPr>
          <w:bCs/>
          <w:b/>
        </w:rPr>
        <w:t xml:space="preserve">अस्य इन्द्रस्य (asya indrasya)</w:t>
      </w:r>
      <w:r>
        <w:t xml:space="preserve"> </w:t>
      </w:r>
      <w:r>
        <w:t xml:space="preserve">— of this Indra (in regard to) |</w:t>
      </w:r>
      <w:r>
        <w:t xml:space="preserve"> </w:t>
      </w:r>
      <w:r>
        <w:rPr>
          <w:bCs/>
          <w:b/>
        </w:rPr>
        <w:t xml:space="preserve">सुष्टुतिम् (suṣṭutim)</w:t>
      </w:r>
      <w:r>
        <w:t xml:space="preserve"> </w:t>
      </w:r>
      <w:r>
        <w:t xml:space="preserve">— the excellent hymn |</w:t>
      </w:r>
      <w:r>
        <w:t xml:space="preserve"> </w:t>
      </w:r>
      <w:r>
        <w:rPr>
          <w:bCs/>
          <w:b/>
        </w:rPr>
        <w:t xml:space="preserve">न विन्धे (na vindhe)</w:t>
      </w:r>
      <w:r>
        <w:t xml:space="preserve"> </w:t>
      </w:r>
      <w:r>
        <w:t xml:space="preserve">— it is not possible to obtain (to compose).</w:t>
      </w:r>
    </w:p>
    <w:p>
      <w:pPr>
        <w:pStyle w:val="BodyText"/>
      </w:pPr>
      <w:r>
        <w:rPr>
          <w:bCs/>
          <w:b/>
        </w:rPr>
        <w:t xml:space="preserve">॥ Bhāvārthaḥ ॥</w:t>
      </w:r>
    </w:p>
    <w:p>
      <w:pPr>
        <w:pStyle w:val="BodyText"/>
      </w:pPr>
      <w:r>
        <w:t xml:space="preserve">However excellent the hymns we make to the other deities, who bestow many fruits on me, those hymns do not amount to a good praise of the thunderbolt-bearing Indra. That is: the hymns we make toward other deities may be very excellent; but in the case of Indra, since those hymns are incapable of describing the excess of Indra’s qualities, they do not count as excellent. The sense is that to praise Indra, hymns far more excellent than those of other deities are required.</w:t>
      </w:r>
    </w:p>
    <w:bookmarkEnd w:id="318"/>
    <w:bookmarkStart w:id="319" w:name="page-286"/>
    <w:p>
      <w:pPr>
        <w:pStyle w:val="Heading3"/>
      </w:pPr>
      <w:r>
        <w:t xml:space="preserve">Page 286</w:t>
      </w:r>
    </w:p>
    <w:p>
      <w:pPr>
        <w:pStyle w:val="FirstParagraph"/>
      </w:pPr>
      <w:r>
        <w:rPr>
          <w:bCs/>
          <w:b/>
        </w:rPr>
        <w:t xml:space="preserve">॥ English Translation ॥</w:t>
      </w:r>
      <w:r>
        <w:t xml:space="preserve"> </w:t>
      </w:r>
      <w:r>
        <w:rPr>
          <w:iCs/>
          <w:i/>
        </w:rPr>
        <w:t xml:space="preserve">(as printed in the source)</w:t>
      </w:r>
    </w:p>
    <w:p>
      <w:pPr>
        <w:pStyle w:val="BlockText"/>
      </w:pPr>
      <w:r>
        <w:t xml:space="preserve">Whatever praise-hymns are excellent for rewarding (other deity) I cannot find (even with these hymns) a hymn good enough to Lard [sic] Indra, the weilder [sic] of thunderbolt.</w:t>
      </w:r>
    </w:p>
    <w:p>
      <w:pPr>
        <w:pStyle w:val="FirstParagraph"/>
      </w:pPr>
      <w:r>
        <w:rPr>
          <w:bCs/>
          <w:b/>
        </w:rPr>
        <w:t xml:space="preserve">॥ Viśeṣa-viṣayagaḷu (Special Topics) ॥</w:t>
      </w:r>
    </w:p>
    <w:p>
      <w:pPr>
        <w:pStyle w:val="BodyText"/>
      </w:pPr>
      <w:r>
        <w:rPr>
          <w:bCs/>
          <w:b/>
        </w:rPr>
        <w:t xml:space="preserve">“</w:t>
      </w:r>
      <w:r>
        <w:rPr>
          <w:bCs/>
          <w:b/>
        </w:rPr>
        <w:t xml:space="preserve">Tuñje-tuñje</w:t>
      </w:r>
      <w:r>
        <w:rPr>
          <w:bCs/>
          <w:b/>
        </w:rPr>
        <w:t xml:space="preserve">”</w:t>
      </w:r>
      <w:r>
        <w:t xml:space="preserve"> </w:t>
      </w:r>
      <w:r>
        <w:t xml:space="preserve">— Yāska in the Nirukta explains this rik as follows:</w:t>
      </w:r>
    </w:p>
    <w:p>
      <w:pPr>
        <w:pStyle w:val="BlockText"/>
      </w:pPr>
      <w:r>
        <w:t xml:space="preserve">तुञ्जस्तुञ्जतेर्दानकर्मणः । दाने दाने य उत्तरे स्तोमा इन्द्रस्य वज्रिणो नास्य तैर्विन्दामि समाप्तिं स्तुतेः ।</w:t>
      </w:r>
      <w:r>
        <w:t xml:space="preserve"> </w:t>
      </w:r>
      <w:r>
        <w:rPr>
          <w:iCs/>
          <w:i/>
        </w:rPr>
        <w:t xml:space="preserve">tuñjas tuñjater dāna-karmaṇaḥ | dāne dāne ya uttare stomā indrasya vajriṇo nāsya tair vindāmi samāptiṃ stuteḥ |</w:t>
      </w:r>
      <w:r>
        <w:t xml:space="preserve"> </w:t>
      </w:r>
      <w:r>
        <w:t xml:space="preserve">“</w:t>
      </w:r>
      <w:r>
        <w:rPr>
          <w:iCs/>
          <w:i/>
        </w:rPr>
        <w:t xml:space="preserve">Tuñja</w:t>
      </w:r>
      <w:r>
        <w:t xml:space="preserve"> </w:t>
      </w:r>
      <w:r>
        <w:t xml:space="preserve">is from</w:t>
      </w:r>
      <w:r>
        <w:t xml:space="preserve"> </w:t>
      </w:r>
      <w:r>
        <w:rPr>
          <w:iCs/>
          <w:i/>
        </w:rPr>
        <w:t xml:space="preserve">tuñjati</w:t>
      </w:r>
      <w:r>
        <w:t xml:space="preserve">, a verb of giving. In each giving, whatever superior stomas there are of Indra the vajrin — with them I do not find the end of the praise of him.</w:t>
      </w:r>
      <w:r>
        <w:t xml:space="preserve">”</w:t>
      </w:r>
    </w:p>
    <w:p>
      <w:pPr>
        <w:pStyle w:val="FirstParagraph"/>
      </w:pPr>
      <w:r>
        <w:t xml:space="preserve">That is, the word</w:t>
      </w:r>
      <w:r>
        <w:t xml:space="preserve"> </w:t>
      </w:r>
      <w:r>
        <w:rPr>
          <w:iCs/>
          <w:i/>
        </w:rPr>
        <w:t xml:space="preserve">tuñja</w:t>
      </w:r>
      <w:r>
        <w:t xml:space="preserve"> </w:t>
      </w:r>
      <w:r>
        <w:t xml:space="preserve">means giving, bestowing. The word</w:t>
      </w:r>
      <w:r>
        <w:t xml:space="preserve"> </w:t>
      </w:r>
      <w:r>
        <w:rPr>
          <w:iCs/>
          <w:i/>
        </w:rPr>
        <w:t xml:space="preserve">tuñje-tuñje</w:t>
      </w:r>
      <w:r>
        <w:t xml:space="preserve"> </w:t>
      </w:r>
      <w:r>
        <w:t xml:space="preserve">in this rik means</w:t>
      </w:r>
      <w:r>
        <w:t xml:space="preserve"> </w:t>
      </w:r>
      <w:r>
        <w:t xml:space="preserve">“</w:t>
      </w:r>
      <w:r>
        <w:t xml:space="preserve">in regard to the deity who gives fruits.</w:t>
      </w:r>
      <w:r>
        <w:t xml:space="preserve">”</w:t>
      </w:r>
      <w:r>
        <w:t xml:space="preserve"> </w:t>
      </w:r>
      <w:r>
        <w:t xml:space="preserve">Since the word</w:t>
      </w:r>
      <w:r>
        <w:t xml:space="preserve"> </w:t>
      </w:r>
      <w:r>
        <w:rPr>
          <w:iCs/>
          <w:i/>
        </w:rPr>
        <w:t xml:space="preserve">tuñje</w:t>
      </w:r>
      <w:r>
        <w:t xml:space="preserve"> </w:t>
      </w:r>
      <w:r>
        <w:t xml:space="preserve">is printed twice, it means</w:t>
      </w:r>
      <w:r>
        <w:t xml:space="preserve"> </w:t>
      </w:r>
      <w:r>
        <w:t xml:space="preserve">“</w:t>
      </w:r>
      <w:r>
        <w:t xml:space="preserve">in regard to every deity</w:t>
      </w:r>
      <w:r>
        <w:t xml:space="preserve">”</w:t>
      </w:r>
      <w:r>
        <w:t xml:space="preserve"> </w:t>
      </w:r>
      <w:r>
        <w:t xml:space="preserve">— that is, all the deities. However excellent the hymns used for other deities (other than Indra), they are not enough for Indra; more are needed. As one says,</w:t>
      </w:r>
      <w:r>
        <w:t xml:space="preserve"> </w:t>
      </w:r>
      <w:r>
        <w:t xml:space="preserve">“</w:t>
      </w:r>
      <w:r>
        <w:t xml:space="preserve">enough of this praise of Indra; it has come to its end,</w:t>
      </w:r>
      <w:r>
        <w:t xml:space="preserve">”</w:t>
      </w:r>
      <w:r>
        <w:t xml:space="preserve"> </w:t>
      </w:r>
      <w:r>
        <w:t xml:space="preserve">— however much one praises, the qualities of Indra remain more; there is no end to them.</w:t>
      </w:r>
    </w:p>
    <w:p>
      <w:pPr>
        <w:pStyle w:val="BodyText"/>
      </w:pPr>
      <w:r>
        <w:rPr>
          <w:bCs/>
          <w:b/>
        </w:rPr>
        <w:t xml:space="preserve">“</w:t>
      </w:r>
      <w:r>
        <w:rPr>
          <w:bCs/>
          <w:b/>
        </w:rPr>
        <w:t xml:space="preserve">Uttare</w:t>
      </w:r>
      <w:r>
        <w:rPr>
          <w:bCs/>
          <w:b/>
        </w:rPr>
        <w:t xml:space="preserve">”</w:t>
      </w:r>
      <w:r>
        <w:t xml:space="preserve"> </w:t>
      </w:r>
      <w:r>
        <w:t xml:space="preserve">— this word has two separate parts,</w:t>
      </w:r>
      <w:r>
        <w:t xml:space="preserve"> </w:t>
      </w:r>
      <w:r>
        <w:rPr>
          <w:iCs/>
          <w:i/>
        </w:rPr>
        <w:t xml:space="preserve">ut</w:t>
      </w:r>
      <w:r>
        <w:t xml:space="preserve"> </w:t>
      </w:r>
      <w:r>
        <w:t xml:space="preserve">+</w:t>
      </w:r>
      <w:r>
        <w:t xml:space="preserve"> </w:t>
      </w:r>
      <w:r>
        <w:rPr>
          <w:iCs/>
          <w:i/>
        </w:rPr>
        <w:t xml:space="preserve">tare</w:t>
      </w:r>
      <w:r>
        <w:t xml:space="preserve">. The Bhāṣyakāra explains it thus:</w:t>
      </w:r>
      <w:r>
        <w:t xml:space="preserve"> </w:t>
      </w:r>
      <w:r>
        <w:rPr>
          <w:iCs/>
          <w:i/>
        </w:rPr>
        <w:t xml:space="preserve">uttare — tvaplavana-taraṇayoḥ</w:t>
      </w:r>
      <w:r>
        <w:t xml:space="preserve"> </w:t>
      </w:r>
      <w:r>
        <w:t xml:space="preserve">(the root</w:t>
      </w:r>
      <w:r>
        <w:t xml:space="preserve"> </w:t>
      </w:r>
      <w:r>
        <w:rPr>
          <w:iCs/>
          <w:i/>
        </w:rPr>
        <w:t xml:space="preserve">tṝ</w:t>
      </w:r>
      <w:r>
        <w:t xml:space="preserve">,</w:t>
      </w:r>
      <w:r>
        <w:t xml:space="preserve"> </w:t>
      </w:r>
      <w:r>
        <w:t xml:space="preserve">“</w:t>
      </w:r>
      <w:r>
        <w:t xml:space="preserve">to cross/swim</w:t>
      </w:r>
      <w:r>
        <w:t xml:space="preserve">”</w:t>
      </w:r>
      <w:r>
        <w:t xml:space="preserve">) —</w:t>
      </w:r>
      <w:r>
        <w:t xml:space="preserve"> </w:t>
      </w:r>
      <w:r>
        <w:rPr>
          <w:iCs/>
          <w:i/>
        </w:rPr>
        <w:t xml:space="preserve">bhāve ṛdor ap</w:t>
      </w:r>
      <w:r>
        <w:t xml:space="preserve"> </w:t>
      </w:r>
      <w:r>
        <w:t xml:space="preserve">(Pā. 3-3-57) —</w:t>
      </w:r>
      <w:r>
        <w:t xml:space="preserve"> </w:t>
      </w:r>
      <w:r>
        <w:rPr>
          <w:iCs/>
          <w:i/>
        </w:rPr>
        <w:t xml:space="preserve">ut</w:t>
      </w:r>
      <w:r>
        <w:t xml:space="preserve"> </w:t>
      </w:r>
      <w:r>
        <w:t xml:space="preserve">means</w:t>
      </w:r>
      <w:r>
        <w:t xml:space="preserve"> </w:t>
      </w:r>
      <w:r>
        <w:t xml:space="preserve">“</w:t>
      </w:r>
      <w:r>
        <w:t xml:space="preserve">excellent</w:t>
      </w:r>
      <w:r>
        <w:t xml:space="preserve">”</w:t>
      </w:r>
      <w:r>
        <w:t xml:space="preserve">;</w:t>
      </w:r>
      <w:r>
        <w:t xml:space="preserve"> </w:t>
      </w:r>
      <w:r>
        <w:rPr>
          <w:iCs/>
          <w:i/>
        </w:rPr>
        <w:t xml:space="preserve">utkṛṣṭas taro yasya</w:t>
      </w:r>
      <w:r>
        <w:t xml:space="preserve"> </w:t>
      </w:r>
      <w:r>
        <w:t xml:space="preserve">— a bahuvrīhi:</w:t>
      </w:r>
      <w:r>
        <w:t xml:space="preserve"> </w:t>
      </w:r>
      <w:r>
        <w:t xml:space="preserve">“</w:t>
      </w:r>
      <w:r>
        <w:t xml:space="preserve">one whose crossing is excellent.</w:t>
      </w:r>
      <w:r>
        <w:t xml:space="preserve">”</w:t>
      </w:r>
      <w:r>
        <w:t xml:space="preserve"> </w:t>
      </w:r>
      <w:r>
        <w:t xml:space="preserve">The word</w:t>
      </w:r>
      <w:r>
        <w:t xml:space="preserve"> </w:t>
      </w:r>
      <w:r>
        <w:rPr>
          <w:iCs/>
          <w:i/>
        </w:rPr>
        <w:t xml:space="preserve">tara</w:t>
      </w:r>
      <w:r>
        <w:t xml:space="preserve"> </w:t>
      </w:r>
      <w:r>
        <w:t xml:space="preserve">is formed from the root</w:t>
      </w:r>
      <w:r>
        <w:t xml:space="preserve"> </w:t>
      </w:r>
      <w:r>
        <w:rPr>
          <w:iCs/>
          <w:i/>
        </w:rPr>
        <w:t xml:space="preserve">tṝ</w:t>
      </w:r>
      <w:r>
        <w:t xml:space="preserve">.</w:t>
      </w:r>
      <w:r>
        <w:t xml:space="preserve"> </w:t>
      </w:r>
      <w:r>
        <w:rPr>
          <w:iCs/>
          <w:i/>
        </w:rPr>
        <w:t xml:space="preserve">Ut</w:t>
      </w:r>
      <w:r>
        <w:t xml:space="preserve"> </w:t>
      </w:r>
      <w:r>
        <w:t xml:space="preserve">means</w:t>
      </w:r>
      <w:r>
        <w:t xml:space="preserve"> </w:t>
      </w:r>
      <w:r>
        <w:t xml:space="preserve">“</w:t>
      </w:r>
      <w:r>
        <w:t xml:space="preserve">excellent.</w:t>
      </w:r>
      <w:r>
        <w:t xml:space="preserve">”</w:t>
      </w:r>
      <w:r>
        <w:t xml:space="preserve"> </w:t>
      </w:r>
      <w:r>
        <w:t xml:space="preserve">Hence the word</w:t>
      </w:r>
      <w:r>
        <w:t xml:space="preserve"> </w:t>
      </w:r>
      <w:r>
        <w:rPr>
          <w:iCs/>
          <w:i/>
        </w:rPr>
        <w:t xml:space="preserve">ut-tara</w:t>
      </w:r>
      <w:r>
        <w:t xml:space="preserve"> </w:t>
      </w:r>
      <w:r>
        <w:t xml:space="preserve">=</w:t>
      </w:r>
      <w:r>
        <w:t xml:space="preserve"> </w:t>
      </w:r>
      <w:r>
        <w:rPr>
          <w:iCs/>
          <w:i/>
        </w:rPr>
        <w:t xml:space="preserve">uttara</w:t>
      </w:r>
      <w:r>
        <w:t xml:space="preserve"> </w:t>
      </w:r>
      <w:r>
        <w:t xml:space="preserve">means</w:t>
      </w:r>
      <w:r>
        <w:t xml:space="preserve"> </w:t>
      </w:r>
      <w:r>
        <w:t xml:space="preserve">“</w:t>
      </w:r>
      <w:r>
        <w:t xml:space="preserve">more excellent.</w:t>
      </w:r>
      <w:r>
        <w:t xml:space="preserve">”</w:t>
      </w:r>
    </w:p>
    <w:p>
      <w:pPr>
        <w:pStyle w:val="BodyText"/>
      </w:pPr>
      <w:r>
        <w:rPr>
          <w:bCs/>
          <w:b/>
        </w:rPr>
        <w:t xml:space="preserve">“</w:t>
      </w:r>
      <w:r>
        <w:rPr>
          <w:bCs/>
          <w:b/>
        </w:rPr>
        <w:t xml:space="preserve">Suṣṭutim</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Sustutim</w:t>
      </w:r>
      <w:r>
        <w:rPr>
          <w:bCs/>
          <w:b/>
        </w:rPr>
        <w:t xml:space="preserve">”</w:t>
      </w:r>
      <w:r>
        <w:t xml:space="preserve"> </w:t>
      </w:r>
      <w:r>
        <w:t xml:space="preserve">—</w:t>
      </w:r>
      <w:r>
        <w:t xml:space="preserve"> </w:t>
      </w:r>
      <w:r>
        <w:rPr>
          <w:iCs/>
          <w:i/>
        </w:rPr>
        <w:t xml:space="preserve">stūyate ’nayeti stutiḥ</w:t>
      </w:r>
      <w:r>
        <w:t xml:space="preserve"> </w:t>
      </w:r>
      <w:r>
        <w:t xml:space="preserve">—</w:t>
      </w:r>
      <w:r>
        <w:t xml:space="preserve"> </w:t>
      </w:r>
      <w:r>
        <w:t xml:space="preserve">“</w:t>
      </w:r>
      <w:r>
        <w:t xml:space="preserve">that by which one praises is a</w:t>
      </w:r>
      <w:r>
        <w:t xml:space="preserve"> </w:t>
      </w:r>
      <w:r>
        <w:rPr>
          <w:iCs/>
          <w:i/>
        </w:rPr>
        <w:t xml:space="preserve">stuti</w:t>
      </w:r>
      <w:r>
        <w:t xml:space="preserve">.</w:t>
      </w:r>
      <w:r>
        <w:t xml:space="preserve">”</w:t>
      </w:r>
      <w:r>
        <w:t xml:space="preserve"> </w:t>
      </w:r>
      <w:r>
        <w:t xml:space="preserve">By the word</w:t>
      </w:r>
      <w:r>
        <w:t xml:space="preserve"> </w:t>
      </w:r>
      <w:r>
        <w:rPr>
          <w:iCs/>
          <w:i/>
        </w:rPr>
        <w:t xml:space="preserve">su</w:t>
      </w:r>
      <w:r>
        <w:t xml:space="preserve"> </w:t>
      </w:r>
      <w:r>
        <w:t xml:space="preserve">the</w:t>
      </w:r>
      <w:r>
        <w:t xml:space="preserve"> </w:t>
      </w:r>
      <w:r>
        <w:rPr>
          <w:iCs/>
          <w:i/>
        </w:rPr>
        <w:t xml:space="preserve">instrument</w:t>
      </w:r>
      <w:r>
        <w:t xml:space="preserve"> </w:t>
      </w:r>
      <w:r>
        <w:t xml:space="preserve">is qualified, not the meaning of the root.</w:t>
      </w:r>
      <w:r>
        <w:t xml:space="preserve"> </w:t>
      </w:r>
      <w:r>
        <w:rPr>
          <w:bCs/>
          <w:b/>
        </w:rPr>
        <w:t xml:space="preserve">Or:</w:t>
      </w:r>
      <w:r>
        <w:t xml:space="preserve"> </w:t>
      </w:r>
      <w:r>
        <w:rPr>
          <w:iCs/>
          <w:i/>
        </w:rPr>
        <w:t xml:space="preserve">suṣṭhu stuvantīti suṣṭutayaḥ</w:t>
      </w:r>
      <w:r>
        <w:t xml:space="preserve"> </w:t>
      </w:r>
      <w:r>
        <w:t xml:space="preserve">—</w:t>
      </w:r>
      <w:r>
        <w:t xml:space="preserve"> </w:t>
      </w:r>
      <w:r>
        <w:t xml:space="preserve">“</w:t>
      </w:r>
      <w:r>
        <w:t xml:space="preserve">the ṛks that are the instruments are called by the word</w:t>
      </w:r>
      <w:r>
        <w:t xml:space="preserve"> </w:t>
      </w:r>
      <w:r>
        <w:rPr>
          <w:iCs/>
          <w:i/>
        </w:rPr>
        <w:t xml:space="preserve">stuti</w:t>
      </w:r>
      <w:r>
        <w:t xml:space="preserve">.</w:t>
      </w:r>
      <w:r>
        <w:t xml:space="preserve">”</w:t>
      </w:r>
      <w:r>
        <w:t xml:space="preserve"> </w:t>
      </w:r>
      <w:r>
        <w:t xml:space="preserve">That is,</w:t>
      </w:r>
      <w:r>
        <w:t xml:space="preserve"> </w:t>
      </w:r>
      <w:r>
        <w:rPr>
          <w:iCs/>
          <w:i/>
        </w:rPr>
        <w:t xml:space="preserve">stuti</w:t>
      </w:r>
      <w:r>
        <w:t xml:space="preserve"> </w:t>
      </w:r>
      <w:r>
        <w:t xml:space="preserve">is the name for praising;</w:t>
      </w:r>
      <w:r>
        <w:t xml:space="preserve"> </w:t>
      </w:r>
      <w:r>
        <w:rPr>
          <w:iCs/>
          <w:i/>
        </w:rPr>
        <w:t xml:space="preserve">suṣṭuti</w:t>
      </w:r>
      <w:r>
        <w:t xml:space="preserve"> </w:t>
      </w:r>
      <w:r>
        <w:t xml:space="preserve">means</w:t>
      </w:r>
      <w:r>
        <w:t xml:space="preserve"> </w:t>
      </w:r>
      <w:r>
        <w:t xml:space="preserve">“</w:t>
      </w:r>
      <w:r>
        <w:t xml:space="preserve">praising well,</w:t>
      </w:r>
      <w:r>
        <w:t xml:space="preserve">”</w:t>
      </w:r>
      <w:r>
        <w:t xml:space="preserve"> </w:t>
      </w:r>
      <w:r>
        <w:t xml:space="preserve">or, because the ṛks praise well, such mantras or ṛks are customarily called</w:t>
      </w:r>
      <w:r>
        <w:t xml:space="preserve"> </w:t>
      </w:r>
      <w:r>
        <w:rPr>
          <w:iCs/>
          <w:i/>
        </w:rPr>
        <w:t xml:space="preserve">stuti</w:t>
      </w:r>
      <w:r>
        <w:t xml:space="preserve">.</w:t>
      </w:r>
    </w:p>
    <w:bookmarkEnd w:id="319"/>
    <w:bookmarkStart w:id="320" w:name="page-287-rik-7-grammar"/>
    <w:p>
      <w:pPr>
        <w:pStyle w:val="Heading3"/>
      </w:pPr>
      <w:r>
        <w:t xml:space="preserve">Page 287 — Rik 7: grammar</w:t>
      </w:r>
    </w:p>
    <w:p>
      <w:pPr>
        <w:pStyle w:val="FirstParagraph"/>
      </w:pPr>
      <w:r>
        <w:rPr>
          <w:bCs/>
          <w:b/>
        </w:rPr>
        <w:t xml:space="preserve">॥ Vyākaraṇa-prakriyā ॥</w:t>
      </w:r>
    </w:p>
    <w:p>
      <w:pPr>
        <w:pStyle w:val="BodyText"/>
      </w:pPr>
      <w:r>
        <w:rPr>
          <w:iCs/>
          <w:i/>
        </w:rPr>
        <w:t xml:space="preserve">(Pp. 287–290. Page header p. 287:</w:t>
      </w:r>
      <w:r>
        <w:rPr>
          <w:iCs/>
          <w:i/>
        </w:rPr>
        <w:t xml:space="preserve"> </w:t>
      </w:r>
      <w:r>
        <w:rPr>
          <w:iCs/>
          <w:i/>
        </w:rPr>
        <w:t xml:space="preserve">“</w:t>
      </w:r>
      <w:r>
        <w:rPr>
          <w:iCs/>
          <w:i/>
        </w:rPr>
        <w:t xml:space="preserve">A. 1, A. 1, Va. 14.</w:t>
      </w:r>
      <w:r>
        <w:rPr>
          <w:iCs/>
          <w:i/>
        </w:rPr>
        <w:t xml:space="preserve">”</w:t>
      </w:r>
      <w:r>
        <w:rPr>
          <w:iCs/>
          <w:i/>
        </w:rPr>
        <w:t xml:space="preserve"> </w:t>
      </w:r>
      <w:r>
        <w:rPr>
          <w:iCs/>
          <w:i/>
        </w:rPr>
        <w:t xml:space="preserve">Characterized; numbers as printed.)</w:t>
      </w:r>
    </w:p>
    <w:p>
      <w:pPr>
        <w:numPr>
          <w:ilvl w:val="0"/>
          <w:numId w:val="1044"/>
        </w:numPr>
        <w:pStyle w:val="Compact"/>
      </w:pPr>
      <w:r>
        <w:rPr>
          <w:bCs/>
          <w:b/>
        </w:rPr>
        <w:t xml:space="preserve">तुञ्जेतुञ्जे (</w:t>
      </w:r>
      <w:r>
        <w:rPr>
          <w:iCs/>
          <w:i/>
          <w:bCs/>
          <w:b/>
        </w:rPr>
        <w:t xml:space="preserve">tuñje-tuñje</w:t>
      </w:r>
      <w:r>
        <w:rPr>
          <w:bCs/>
          <w:b/>
        </w:rPr>
        <w:t xml:space="preserve">)</w:t>
      </w:r>
      <w:r>
        <w:t xml:space="preserve"> </w:t>
      </w:r>
      <w:r>
        <w:t xml:space="preserve">—</w:t>
      </w:r>
      <w:r>
        <w:t xml:space="preserve"> </w:t>
      </w:r>
      <w:r>
        <w:t xml:space="preserve">“</w:t>
      </w:r>
      <w:r>
        <w:t xml:space="preserve">tuñjas tuñjater dānakarmaṇaḥ</w:t>
      </w:r>
      <w:r>
        <w:t xml:space="preserve">”</w:t>
      </w:r>
      <w:r>
        <w:t xml:space="preserve"> </w:t>
      </w:r>
      <w:r>
        <w:t xml:space="preserve">(निरु.</w:t>
      </w:r>
      <w:r>
        <w:t xml:space="preserve"> </w:t>
      </w:r>
      <w:r>
        <w:t xml:space="preserve">“</w:t>
      </w:r>
      <w:r>
        <w:t xml:space="preserve">६-१७-१८</w:t>
      </w:r>
      <w:r>
        <w:t xml:space="preserve">”</w:t>
      </w:r>
      <w:r>
        <w:t xml:space="preserve"> </w:t>
      </w:r>
      <w:r>
        <w:t xml:space="preserve">as printed): Yāska takes</w:t>
      </w:r>
      <w:r>
        <w:t xml:space="preserve"> </w:t>
      </w:r>
      <w:r>
        <w:t xml:space="preserve">“</w:t>
      </w:r>
      <w:r>
        <w:t xml:space="preserve">tuñj</w:t>
      </w:r>
      <w:r>
        <w:t xml:space="preserve">”</w:t>
      </w:r>
      <w:r>
        <w:t xml:space="preserve"> </w:t>
      </w:r>
      <w:r>
        <w:t xml:space="preserve">as a verb of giving.</w:t>
      </w:r>
      <w:r>
        <w:t xml:space="preserve"> </w:t>
      </w:r>
      <w:r>
        <w:t xml:space="preserve">“</w:t>
      </w:r>
      <w:r>
        <w:t xml:space="preserve">Tuñj,</w:t>
      </w:r>
      <w:r>
        <w:t xml:space="preserve">”</w:t>
      </w:r>
      <w:r>
        <w:t xml:space="preserve"> </w:t>
      </w:r>
      <w:r>
        <w:t xml:space="preserve">of the pacādi class, takes</w:t>
      </w:r>
      <w:r>
        <w:t xml:space="preserve"> </w:t>
      </w:r>
      <w:r>
        <w:t xml:space="preserve">“</w:t>
      </w:r>
      <w:r>
        <w:t xml:space="preserve">ac</w:t>
      </w:r>
      <w:r>
        <w:t xml:space="preserve">”</w:t>
      </w:r>
      <w:r>
        <w:t xml:space="preserve"> </w:t>
      </w:r>
      <w:r>
        <w:t xml:space="preserve">in the agent sense by</w:t>
      </w:r>
      <w:r>
        <w:t xml:space="preserve"> </w:t>
      </w:r>
      <w:r>
        <w:rPr>
          <w:bCs/>
          <w:b/>
        </w:rPr>
        <w:t xml:space="preserve">नन्दिग्रहिपचादिभ्यो ल्युणिन्यचः</w:t>
      </w:r>
      <w:r>
        <w:t xml:space="preserve"> </w:t>
      </w:r>
      <w:r>
        <w:t xml:space="preserve">(पा. सू. ३-१-१३४);</w:t>
      </w:r>
      <w:r>
        <w:t xml:space="preserve"> </w:t>
      </w:r>
      <w:r>
        <w:t xml:space="preserve">“</w:t>
      </w:r>
      <w:r>
        <w:t xml:space="preserve">c</w:t>
      </w:r>
      <w:r>
        <w:t xml:space="preserve">”</w:t>
      </w:r>
      <w:r>
        <w:t xml:space="preserve">-marked, end-acute by</w:t>
      </w:r>
      <w:r>
        <w:t xml:space="preserve"> </w:t>
      </w:r>
      <w:r>
        <w:rPr>
          <w:bCs/>
          <w:b/>
        </w:rPr>
        <w:t xml:space="preserve">चितः</w:t>
      </w:r>
      <w:r>
        <w:t xml:space="preserve"> </w:t>
      </w:r>
      <w:r>
        <w:t xml:space="preserve">(पा. सू. ६-१-१६३); locative singular</w:t>
      </w:r>
      <w:r>
        <w:t xml:space="preserve"> </w:t>
      </w:r>
      <w:r>
        <w:t xml:space="preserve">“</w:t>
      </w:r>
      <w:r>
        <w:t xml:space="preserve">tuñje</w:t>
      </w:r>
      <w:r>
        <w:t xml:space="preserve">”</w:t>
      </w:r>
      <w:r>
        <w:t xml:space="preserve">; doubled by</w:t>
      </w:r>
      <w:r>
        <w:t xml:space="preserve"> </w:t>
      </w:r>
      <w:r>
        <w:rPr>
          <w:bCs/>
          <w:b/>
        </w:rPr>
        <w:t xml:space="preserve">नित्यवीप्सयोः</w:t>
      </w:r>
      <w:r>
        <w:t xml:space="preserve"> </w:t>
      </w:r>
      <w:r>
        <w:t xml:space="preserve">(पा. सू. ८-१-४); the second is</w:t>
      </w:r>
      <w:r>
        <w:t xml:space="preserve"> </w:t>
      </w:r>
      <w:r>
        <w:t xml:space="preserve">“</w:t>
      </w:r>
      <w:r>
        <w:t xml:space="preserve">āmreḍita</w:t>
      </w:r>
      <w:r>
        <w:t xml:space="preserve">”</w:t>
      </w:r>
      <w:r>
        <w:t xml:space="preserve"> </w:t>
      </w:r>
      <w:r>
        <w:t xml:space="preserve">by</w:t>
      </w:r>
      <w:r>
        <w:t xml:space="preserve"> </w:t>
      </w:r>
      <w:r>
        <w:rPr>
          <w:bCs/>
          <w:b/>
        </w:rPr>
        <w:t xml:space="preserve">तस्य परमाम्रेडितम्</w:t>
      </w:r>
      <w:r>
        <w:t xml:space="preserve"> </w:t>
      </w:r>
      <w:r>
        <w:t xml:space="preserve">(पा. सू. ८-१-२) and unaccented by</w:t>
      </w:r>
      <w:r>
        <w:t xml:space="preserve"> </w:t>
      </w:r>
      <w:r>
        <w:rPr>
          <w:bCs/>
          <w:b/>
        </w:rPr>
        <w:t xml:space="preserve">अनुदात्तं च</w:t>
      </w:r>
      <w:r>
        <w:t xml:space="preserve"> </w:t>
      </w:r>
      <w:r>
        <w:t xml:space="preserve">(पा. सू. ८-१-३).</w:t>
      </w:r>
      <w:r>
        <w:t xml:space="preserve"> </w:t>
      </w:r>
      <w:r>
        <w:t xml:space="preserve">“</w:t>
      </w:r>
      <w:r>
        <w:t xml:space="preserve">Dātari dātari</w:t>
      </w:r>
      <w:r>
        <w:t xml:space="preserve">”</w:t>
      </w:r>
      <w:r>
        <w:t xml:space="preserve"> </w:t>
      </w:r>
      <w:r>
        <w:t xml:space="preserve">—</w:t>
      </w:r>
      <w:r>
        <w:t xml:space="preserve"> </w:t>
      </w:r>
      <w:r>
        <w:t xml:space="preserve">“</w:t>
      </w:r>
      <w:r>
        <w:t xml:space="preserve">in each giver</w:t>
      </w:r>
      <w:r>
        <w:t xml:space="preserve">”</w:t>
      </w:r>
      <w:r>
        <w:t xml:space="preserve">; the Nirukta’s</w:t>
      </w:r>
      <w:r>
        <w:t xml:space="preserve"> </w:t>
      </w:r>
      <w:r>
        <w:t xml:space="preserve">“</w:t>
      </w:r>
      <w:r>
        <w:t xml:space="preserve">dāne dāne</w:t>
      </w:r>
      <w:r>
        <w:t xml:space="preserve">”</w:t>
      </w:r>
      <w:r>
        <w:t xml:space="preserve"> </w:t>
      </w:r>
      <w:r>
        <w:t xml:space="preserve">explains the root sense, setting aside the affix sense.</w:t>
      </w:r>
    </w:p>
    <w:p>
      <w:pPr>
        <w:numPr>
          <w:ilvl w:val="0"/>
          <w:numId w:val="1044"/>
        </w:numPr>
        <w:pStyle w:val="Compact"/>
      </w:pPr>
      <w:r>
        <w:rPr>
          <w:bCs/>
          <w:b/>
        </w:rPr>
        <w:t xml:space="preserve">उत्तरे (</w:t>
      </w:r>
      <w:r>
        <w:rPr>
          <w:iCs/>
          <w:i/>
          <w:bCs/>
          <w:b/>
        </w:rPr>
        <w:t xml:space="preserve">uttare</w:t>
      </w:r>
      <w:r>
        <w:rPr>
          <w:bCs/>
          <w:b/>
        </w:rPr>
        <w:t xml:space="preserve">)</w:t>
      </w:r>
      <w:r>
        <w:t xml:space="preserve"> </w:t>
      </w:r>
      <w:r>
        <w:t xml:space="preserve">—</w:t>
      </w:r>
      <w:r>
        <w:t xml:space="preserve"> </w:t>
      </w:r>
      <w:r>
        <w:t xml:space="preserve">“</w:t>
      </w:r>
      <w:r>
        <w:t xml:space="preserve">tṝ plavanataraṇayoḥ</w:t>
      </w:r>
      <w:r>
        <w:t xml:space="preserve">”</w:t>
      </w:r>
      <w:r>
        <w:t xml:space="preserve">:</w:t>
      </w:r>
      <w:r>
        <w:t xml:space="preserve"> </w:t>
      </w:r>
      <w:r>
        <w:rPr>
          <w:bCs/>
          <w:b/>
        </w:rPr>
        <w:t xml:space="preserve">ऋदोरप्</w:t>
      </w:r>
      <w:r>
        <w:t xml:space="preserve"> </w:t>
      </w:r>
      <w:r>
        <w:t xml:space="preserve">(पा. सू. ३-३-५७)</w:t>
      </w:r>
      <w:r>
        <w:t xml:space="preserve"> </w:t>
      </w:r>
      <w:r>
        <w:t xml:space="preserve">“</w:t>
      </w:r>
      <w:r>
        <w:t xml:space="preserve">ap</w:t>
      </w:r>
      <w:r>
        <w:t xml:space="preserve">”</w:t>
      </w:r>
      <w:r>
        <w:t xml:space="preserve"> </w:t>
      </w:r>
      <w:r>
        <w:t xml:space="preserve">in the action sense;</w:t>
      </w:r>
      <w:r>
        <w:t xml:space="preserve"> </w:t>
      </w:r>
      <w:r>
        <w:t xml:space="preserve">“</w:t>
      </w:r>
      <w:r>
        <w:t xml:space="preserve">ut</w:t>
      </w:r>
      <w:r>
        <w:t xml:space="preserve">”</w:t>
      </w:r>
      <w:r>
        <w:t xml:space="preserve"> </w:t>
      </w:r>
      <w:r>
        <w:t xml:space="preserve">means</w:t>
      </w:r>
      <w:r>
        <w:t xml:space="preserve"> </w:t>
      </w:r>
      <w:r>
        <w:t xml:space="preserve">“</w:t>
      </w:r>
      <w:r>
        <w:t xml:space="preserve">excellent</w:t>
      </w:r>
      <w:r>
        <w:t xml:space="preserve">”</w:t>
      </w:r>
      <w:r>
        <w:t xml:space="preserve">;</w:t>
      </w:r>
      <w:r>
        <w:t xml:space="preserve"> </w:t>
      </w:r>
      <w:r>
        <w:t xml:space="preserve">“</w:t>
      </w:r>
      <w:r>
        <w:t xml:space="preserve">utkṛṣṭas taro yasya,</w:t>
      </w:r>
      <w:r>
        <w:t xml:space="preserve">”</w:t>
      </w:r>
      <w:r>
        <w:t xml:space="preserve"> </w:t>
      </w:r>
      <w:r>
        <w:t xml:space="preserve">a bahuvrīhi;</w:t>
      </w:r>
      <w:r>
        <w:t xml:space="preserve"> </w:t>
      </w:r>
      <w:r>
        <w:t xml:space="preserve">“</w:t>
      </w:r>
      <w:r>
        <w:t xml:space="preserve">ut,</w:t>
      </w:r>
      <w:r>
        <w:t xml:space="preserve">”</w:t>
      </w:r>
      <w:r>
        <w:t xml:space="preserve"> </w:t>
      </w:r>
      <w:r>
        <w:t xml:space="preserve">a nipāta, first-syllable acute by</w:t>
      </w:r>
      <w:r>
        <w:t xml:space="preserve"> </w:t>
      </w:r>
      <w:r>
        <w:rPr>
          <w:bCs/>
          <w:b/>
        </w:rPr>
        <w:t xml:space="preserve">निपाता आद्युदात्ताः</w:t>
      </w:r>
      <w:r>
        <w:t xml:space="preserve"> </w:t>
      </w:r>
      <w:r>
        <w:t xml:space="preserve">(फि. सू. ८०), kept by</w:t>
      </w:r>
      <w:r>
        <w:t xml:space="preserve"> </w:t>
      </w:r>
      <w:r>
        <w:rPr>
          <w:bCs/>
          <w:b/>
        </w:rPr>
        <w:t xml:space="preserve">बहुव्रीहौ प्रकृत्या पूर्वपदम्</w:t>
      </w:r>
      <w:r>
        <w:t xml:space="preserve"> </w:t>
      </w:r>
      <w:r>
        <w:t xml:space="preserve">(पा. सू. ६-२-१).</w:t>
      </w:r>
    </w:p>
    <w:p>
      <w:pPr>
        <w:numPr>
          <w:ilvl w:val="0"/>
          <w:numId w:val="1044"/>
        </w:numPr>
        <w:pStyle w:val="Compact"/>
      </w:pPr>
      <w:r>
        <w:rPr>
          <w:bCs/>
          <w:b/>
        </w:rPr>
        <w:t xml:space="preserve">स्तोमाः (</w:t>
      </w:r>
      <w:r>
        <w:rPr>
          <w:iCs/>
          <w:i/>
          <w:bCs/>
          <w:b/>
        </w:rPr>
        <w:t xml:space="preserve">stomāḥ</w:t>
      </w:r>
      <w:r>
        <w:rPr>
          <w:bCs/>
          <w:b/>
        </w:rPr>
        <w:t xml:space="preserve">)</w:t>
      </w:r>
      <w:r>
        <w:t xml:space="preserve"> </w:t>
      </w:r>
      <w:r>
        <w:t xml:space="preserve">—</w:t>
      </w:r>
      <w:r>
        <w:t xml:space="preserve"> </w:t>
      </w:r>
      <w:r>
        <w:rPr>
          <w:bCs/>
          <w:b/>
        </w:rPr>
        <w:t xml:space="preserve">अर्तिस्तुसु…</w:t>
      </w:r>
      <w:r>
        <w:t xml:space="preserve"> </w:t>
      </w:r>
      <w:r>
        <w:t xml:space="preserve">(उ. सू. १-१४२ [?], the figures unclear)</w:t>
      </w:r>
      <w:r>
        <w:t xml:space="preserve"> </w:t>
      </w:r>
      <w:r>
        <w:t xml:space="preserve">“</w:t>
      </w:r>
      <w:r>
        <w:t xml:space="preserve">man</w:t>
      </w:r>
      <w:r>
        <w:t xml:space="preserve">”</w:t>
      </w:r>
      <w:r>
        <w:t xml:space="preserve">;</w:t>
      </w:r>
      <w:r>
        <w:t xml:space="preserve"> </w:t>
      </w:r>
      <w:r>
        <w:t xml:space="preserve">“</w:t>
      </w:r>
      <w:r>
        <w:t xml:space="preserve">n</w:t>
      </w:r>
      <w:r>
        <w:t xml:space="preserve">”</w:t>
      </w:r>
      <w:r>
        <w:t xml:space="preserve">-marked, first-syllable acute.</w:t>
      </w:r>
    </w:p>
    <w:p>
      <w:pPr>
        <w:numPr>
          <w:ilvl w:val="0"/>
          <w:numId w:val="1044"/>
        </w:numPr>
        <w:pStyle w:val="Compact"/>
      </w:pPr>
      <w:r>
        <w:rPr>
          <w:bCs/>
          <w:b/>
        </w:rPr>
        <w:t xml:space="preserve">विन्धे (</w:t>
      </w:r>
      <w:r>
        <w:rPr>
          <w:iCs/>
          <w:i/>
          <w:bCs/>
          <w:b/>
        </w:rPr>
        <w:t xml:space="preserve">vindhe</w:t>
      </w:r>
      <w:r>
        <w:rPr>
          <w:bCs/>
          <w:b/>
        </w:rPr>
        <w:t xml:space="preserve">)</w:t>
      </w:r>
      <w:r>
        <w:t xml:space="preserve"> </w:t>
      </w:r>
      <w:r>
        <w:t xml:space="preserve">—</w:t>
      </w:r>
      <w:r>
        <w:t xml:space="preserve"> </w:t>
      </w:r>
      <w:r>
        <w:t xml:space="preserve">“</w:t>
      </w:r>
      <w:r>
        <w:t xml:space="preserve">vidḷ lābhe,</w:t>
      </w:r>
      <w:r>
        <w:t xml:space="preserve">”</w:t>
      </w:r>
      <w:r>
        <w:t xml:space="preserve"> </w:t>
      </w:r>
      <w:r>
        <w:t xml:space="preserve">“</w:t>
      </w:r>
      <w:r>
        <w:t xml:space="preserve">laṭ</w:t>
      </w:r>
      <w:r>
        <w:t xml:space="preserve">”</w:t>
      </w:r>
      <w:r>
        <w:t xml:space="preserve">; the root being</w:t>
      </w:r>
      <w:r>
        <w:t xml:space="preserve"> </w:t>
      </w:r>
      <w:r>
        <w:t xml:space="preserve">“</w:t>
      </w:r>
      <w:r>
        <w:t xml:space="preserve">svaritet,</w:t>
      </w:r>
      <w:r>
        <w:t xml:space="preserve">”</w:t>
      </w:r>
      <w:r>
        <w:t xml:space="preserve"> </w:t>
      </w:r>
      <w:r>
        <w:t xml:space="preserve">the ātmanepada by</w:t>
      </w:r>
      <w:r>
        <w:t xml:space="preserve"> </w:t>
      </w:r>
      <w:r>
        <w:rPr>
          <w:bCs/>
          <w:b/>
        </w:rPr>
        <w:t xml:space="preserve">स्वरितञितः कर्त्रभिप्राये क्रियाफले</w:t>
      </w:r>
      <w:r>
        <w:t xml:space="preserve"> </w:t>
      </w:r>
      <w:r>
        <w:t xml:space="preserve">(पा. सू. १-३-७२); first singular</w:t>
      </w:r>
      <w:r>
        <w:t xml:space="preserve"> </w:t>
      </w:r>
      <w:r>
        <w:t xml:space="preserve">“</w:t>
      </w:r>
      <w:r>
        <w:t xml:space="preserve">iṭ</w:t>
      </w:r>
      <w:r>
        <w:t xml:space="preserve">”</w:t>
      </w:r>
      <w:r>
        <w:t xml:space="preserve"> </w:t>
      </w:r>
      <w:r>
        <w:t xml:space="preserve">by</w:t>
      </w:r>
      <w:r>
        <w:t xml:space="preserve"> </w:t>
      </w:r>
      <w:r>
        <w:rPr>
          <w:bCs/>
          <w:b/>
        </w:rPr>
        <w:t xml:space="preserve">तिप्तस्झि…</w:t>
      </w:r>
      <w:r>
        <w:t xml:space="preserve"> </w:t>
      </w:r>
      <w:r>
        <w:t xml:space="preserve">(पा. सू. ३-४-७८):</w:t>
      </w:r>
      <w:r>
        <w:t xml:space="preserve"> </w:t>
      </w:r>
      <w:r>
        <w:t xml:space="preserve">“</w:t>
      </w:r>
      <w:r>
        <w:t xml:space="preserve">vid + i</w:t>
      </w:r>
      <w:r>
        <w:t xml:space="preserve">”</w:t>
      </w:r>
      <w:r>
        <w:t xml:space="preserve">;</w:t>
      </w:r>
      <w:r>
        <w:t xml:space="preserve"> </w:t>
      </w:r>
      <w:r>
        <w:rPr>
          <w:bCs/>
          <w:b/>
        </w:rPr>
        <w:t xml:space="preserve">तुदादिभ्यः शः</w:t>
      </w:r>
      <w:r>
        <w:t xml:space="preserve"> </w:t>
      </w:r>
      <w:r>
        <w:t xml:space="preserve">(पा. सू. ३-१-७७);</w:t>
      </w:r>
      <w:r>
        <w:t xml:space="preserve"> </w:t>
      </w:r>
      <w:r>
        <w:rPr>
          <w:bCs/>
          <w:b/>
        </w:rPr>
        <w:t xml:space="preserve">शे मुचादीनाम्</w:t>
      </w:r>
      <w:r>
        <w:t xml:space="preserve"> </w:t>
      </w:r>
      <w:r>
        <w:t xml:space="preserve">(पा. सू. ७-१-५९)</w:t>
      </w:r>
      <w:r>
        <w:t xml:space="preserve"> </w:t>
      </w:r>
      <w:r>
        <w:t xml:space="preserve">“</w:t>
      </w:r>
      <w:r>
        <w:t xml:space="preserve">num</w:t>
      </w:r>
      <w:r>
        <w:t xml:space="preserve">”</w:t>
      </w:r>
      <w:r>
        <w:t xml:space="preserve">;</w:t>
      </w:r>
      <w:r>
        <w:t xml:space="preserve"> </w:t>
      </w:r>
      <w:r>
        <w:t xml:space="preserve">“</w:t>
      </w:r>
      <w:r>
        <w:t xml:space="preserve">dh</w:t>
      </w:r>
      <w:r>
        <w:t xml:space="preserve">”</w:t>
      </w:r>
      <w:r>
        <w:t xml:space="preserve"> </w:t>
      </w:r>
      <w:r>
        <w:t xml:space="preserve">for</w:t>
      </w:r>
      <w:r>
        <w:t xml:space="preserve"> </w:t>
      </w:r>
      <w:r>
        <w:t xml:space="preserve">“</w:t>
      </w:r>
      <w:r>
        <w:t xml:space="preserve">d</w:t>
      </w:r>
      <w:r>
        <w:t xml:space="preserve">”</w:t>
      </w:r>
      <w:r>
        <w:t xml:space="preserve"> </w:t>
      </w:r>
      <w:r>
        <w:t xml:space="preserve">by vyatyaya;</w:t>
      </w:r>
      <w:r>
        <w:t xml:space="preserve"> </w:t>
      </w:r>
      <w:r>
        <w:rPr>
          <w:bCs/>
          <w:b/>
        </w:rPr>
        <w:t xml:space="preserve">आद्गुणः</w:t>
      </w:r>
      <w:r>
        <w:t xml:space="preserve"> </w:t>
      </w:r>
      <w:r>
        <w:t xml:space="preserve">(पा. सू. ६-१-८७):</w:t>
      </w:r>
      <w:r>
        <w:t xml:space="preserve"> </w:t>
      </w:r>
      <w:r>
        <w:t xml:space="preserve">“</w:t>
      </w:r>
      <w:r>
        <w:t xml:space="preserve">vindhe.</w:t>
      </w:r>
      <w:r>
        <w:t xml:space="preserve">”</w:t>
      </w:r>
    </w:p>
    <w:p>
      <w:pPr>
        <w:numPr>
          <w:ilvl w:val="0"/>
          <w:numId w:val="1044"/>
        </w:numPr>
        <w:pStyle w:val="Compact"/>
      </w:pPr>
      <w:r>
        <w:rPr>
          <w:bCs/>
          <w:b/>
        </w:rPr>
        <w:t xml:space="preserve">अस्य (</w:t>
      </w:r>
      <w:r>
        <w:rPr>
          <w:iCs/>
          <w:i/>
          <w:bCs/>
          <w:b/>
        </w:rPr>
        <w:t xml:space="preserve">asya</w:t>
      </w:r>
      <w:r>
        <w:rPr>
          <w:bCs/>
          <w:b/>
        </w:rPr>
        <w:t xml:space="preserve">)</w:t>
      </w:r>
      <w:r>
        <w:t xml:space="preserve"> </w:t>
      </w:r>
      <w:r>
        <w:t xml:space="preserve">— refers back to Indra, the subject in hand, so anvādeśa:</w:t>
      </w:r>
      <w:r>
        <w:t xml:space="preserve"> </w:t>
      </w:r>
      <w:r>
        <w:rPr>
          <w:bCs/>
          <w:b/>
        </w:rPr>
        <w:t xml:space="preserve">इदमोऽन्वादेशेऽशनुदात्तस्तृतीयादौ</w:t>
      </w:r>
      <w:r>
        <w:t xml:space="preserve"> </w:t>
      </w:r>
      <w:r>
        <w:t xml:space="preserve">“</w:t>
      </w:r>
      <w:r>
        <w:t xml:space="preserve">aś</w:t>
      </w:r>
      <w:r>
        <w:t xml:space="preserve">”</w:t>
      </w:r>
      <w:r>
        <w:t xml:space="preserve"> </w:t>
      </w:r>
      <w:r>
        <w:t xml:space="preserve">for</w:t>
      </w:r>
      <w:r>
        <w:t xml:space="preserve"> </w:t>
      </w:r>
      <w:r>
        <w:t xml:space="preserve">“</w:t>
      </w:r>
      <w:r>
        <w:t xml:space="preserve">idam</w:t>
      </w:r>
      <w:r>
        <w:t xml:space="preserve">”</w:t>
      </w:r>
      <w:r>
        <w:t xml:space="preserve">;</w:t>
      </w:r>
      <w:r>
        <w:t xml:space="preserve"> </w:t>
      </w:r>
      <w:r>
        <w:t xml:space="preserve">“</w:t>
      </w:r>
      <w:r>
        <w:t xml:space="preserve">ś</w:t>
      </w:r>
      <w:r>
        <w:t xml:space="preserve">”</w:t>
      </w:r>
      <w:r>
        <w:t xml:space="preserve">-marked, it replaces the whole by</w:t>
      </w:r>
      <w:r>
        <w:t xml:space="preserve"> </w:t>
      </w:r>
      <w:r>
        <w:rPr>
          <w:bCs/>
          <w:b/>
        </w:rPr>
        <w:t xml:space="preserve">अनेकाल्शित्सर्वस्य</w:t>
      </w:r>
      <w:r>
        <w:t xml:space="preserve"> </w:t>
      </w:r>
      <w:r>
        <w:t xml:space="preserve">(पा. सू. १-१-५५).</w:t>
      </w:r>
      <w:r>
        <w:t xml:space="preserve"> </w:t>
      </w:r>
      <w:r>
        <w:t xml:space="preserve">### Pages 288–290 — Rik 7: the</w:t>
      </w:r>
      <w:r>
        <w:t xml:space="preserve"> </w:t>
      </w:r>
      <w:r>
        <w:rPr>
          <w:iCs/>
          <w:i/>
        </w:rPr>
        <w:t xml:space="preserve">suṣṭutim</w:t>
      </w:r>
      <w:r>
        <w:t xml:space="preserve"> </w:t>
      </w:r>
      <w:r>
        <w:t xml:space="preserve">debate (grammar)</w:t>
      </w:r>
    </w:p>
    <w:p>
      <w:pPr>
        <w:pStyle w:val="FirstParagraph"/>
      </w:pPr>
      <w:r>
        <w:rPr>
          <w:iCs/>
          <w:i/>
        </w:rPr>
        <w:t xml:space="preserve">(Characterized, not transcribed. The argument, in outline, as the Kannada commentary gives it:)</w:t>
      </w:r>
    </w:p>
    <w:p>
      <w:pPr>
        <w:pStyle w:val="BodyText"/>
      </w:pPr>
      <w:r>
        <w:rPr>
          <w:bCs/>
          <w:b/>
        </w:rPr>
        <w:t xml:space="preserve">Page 288.</w:t>
      </w:r>
      <w:r>
        <w:t xml:space="preserve"> </w:t>
      </w:r>
      <w:r>
        <w:rPr>
          <w:bCs/>
          <w:b/>
        </w:rPr>
        <w:t xml:space="preserve">सुष्टुतिम् (</w:t>
      </w:r>
      <w:r>
        <w:rPr>
          <w:iCs/>
          <w:i/>
          <w:bCs/>
          <w:b/>
        </w:rPr>
        <w:t xml:space="preserve">suṣṭutim</w:t>
      </w:r>
      <w:r>
        <w:rPr>
          <w:bCs/>
          <w:b/>
        </w:rPr>
        <w:t xml:space="preserve">)</w:t>
      </w:r>
      <w:r>
        <w:t xml:space="preserve"> </w:t>
      </w:r>
      <w:r>
        <w:t xml:space="preserve">—</w:t>
      </w:r>
      <w:r>
        <w:t xml:space="preserve"> </w:t>
      </w:r>
      <w:r>
        <w:t xml:space="preserve">“</w:t>
      </w:r>
      <w:r>
        <w:t xml:space="preserve">ṣṭuñ stutau</w:t>
      </w:r>
      <w:r>
        <w:t xml:space="preserve">”</w:t>
      </w:r>
      <w:r>
        <w:t xml:space="preserve">:</w:t>
      </w:r>
      <w:r>
        <w:t xml:space="preserve"> </w:t>
      </w:r>
      <w:r>
        <w:rPr>
          <w:bCs/>
          <w:b/>
        </w:rPr>
        <w:t xml:space="preserve">धात्वादेः षः सः</w:t>
      </w:r>
      <w:r>
        <w:t xml:space="preserve"> </w:t>
      </w:r>
      <w:r>
        <w:t xml:space="preserve">(पा. सू. ६-१-६४)</w:t>
      </w:r>
      <w:r>
        <w:t xml:space="preserve"> </w:t>
      </w:r>
      <w:r>
        <w:t xml:space="preserve">“</w:t>
      </w:r>
      <w:r>
        <w:t xml:space="preserve">s</w:t>
      </w:r>
      <w:r>
        <w:t xml:space="preserve">”</w:t>
      </w:r>
      <w:r>
        <w:t xml:space="preserve"> </w:t>
      </w:r>
      <w:r>
        <w:t xml:space="preserve">for</w:t>
      </w:r>
      <w:r>
        <w:t xml:space="preserve"> </w:t>
      </w:r>
      <w:r>
        <w:t xml:space="preserve">“</w:t>
      </w:r>
      <w:r>
        <w:t xml:space="preserve">ṣ,</w:t>
      </w:r>
      <w:r>
        <w:t xml:space="preserve">”</w:t>
      </w:r>
      <w:r>
        <w:t xml:space="preserve"> </w:t>
      </w:r>
      <w:r>
        <w:t xml:space="preserve">and the</w:t>
      </w:r>
      <w:r>
        <w:t xml:space="preserve"> </w:t>
      </w:r>
      <w:r>
        <w:t xml:space="preserve">“</w:t>
      </w:r>
      <w:r>
        <w:t xml:space="preserve">ṭ</w:t>
      </w:r>
      <w:r>
        <w:t xml:space="preserve">”</w:t>
      </w:r>
      <w:r>
        <w:t xml:space="preserve"> </w:t>
      </w:r>
      <w:r>
        <w:t xml:space="preserve">it caused reverts:</w:t>
      </w:r>
      <w:r>
        <w:t xml:space="preserve"> </w:t>
      </w:r>
      <w:r>
        <w:t xml:space="preserve">“</w:t>
      </w:r>
      <w:r>
        <w:t xml:space="preserve">stu</w:t>
      </w:r>
      <w:r>
        <w:t xml:space="preserve">”</w:t>
      </w:r>
      <w:r>
        <w:t xml:space="preserve">;</w:t>
      </w:r>
      <w:r>
        <w:t xml:space="preserve"> </w:t>
      </w:r>
      <w:r>
        <w:rPr>
          <w:bCs/>
          <w:b/>
        </w:rPr>
        <w:t xml:space="preserve">स्त्रियां क्तिन्</w:t>
      </w:r>
      <w:r>
        <w:t xml:space="preserve"> </w:t>
      </w:r>
      <w:r>
        <w:t xml:space="preserve">(पा. सू. ३-३-९४)</w:t>
      </w:r>
      <w:r>
        <w:t xml:space="preserve"> </w:t>
      </w:r>
      <w:r>
        <w:t xml:space="preserve">“</w:t>
      </w:r>
      <w:r>
        <w:t xml:space="preserve">ktin</w:t>
      </w:r>
      <w:r>
        <w:t xml:space="preserve">”</w:t>
      </w:r>
      <w:r>
        <w:t xml:space="preserve"> </w:t>
      </w:r>
      <w:r>
        <w:t xml:space="preserve">in the action sense; with the acute upasarga</w:t>
      </w:r>
      <w:r>
        <w:t xml:space="preserve"> </w:t>
      </w:r>
      <w:r>
        <w:t xml:space="preserve">“</w:t>
      </w:r>
      <w:r>
        <w:t xml:space="preserve">su,</w:t>
      </w:r>
      <w:r>
        <w:t xml:space="preserve">”</w:t>
      </w:r>
      <w:r>
        <w:t xml:space="preserve"> </w:t>
      </w:r>
      <w:r>
        <w:t xml:space="preserve">the prādi compound by</w:t>
      </w:r>
      <w:r>
        <w:t xml:space="preserve"> </w:t>
      </w:r>
      <w:r>
        <w:rPr>
          <w:bCs/>
          <w:b/>
        </w:rPr>
        <w:t xml:space="preserve">कुगतिप्रादयः</w:t>
      </w:r>
      <w:r>
        <w:t xml:space="preserve"> </w:t>
      </w:r>
      <w:r>
        <w:t xml:space="preserve">(पा. सू. २-२-१८);</w:t>
      </w:r>
      <w:r>
        <w:t xml:space="preserve"> </w:t>
      </w:r>
      <w:r>
        <w:t xml:space="preserve">“</w:t>
      </w:r>
      <w:r>
        <w:t xml:space="preserve">ṣ</w:t>
      </w:r>
      <w:r>
        <w:t xml:space="preserve">”</w:t>
      </w:r>
      <w:r>
        <w:t xml:space="preserve"> </w:t>
      </w:r>
      <w:r>
        <w:t xml:space="preserve">by</w:t>
      </w:r>
      <w:r>
        <w:t xml:space="preserve"> </w:t>
      </w:r>
      <w:r>
        <w:rPr>
          <w:bCs/>
          <w:b/>
        </w:rPr>
        <w:t xml:space="preserve">उपसर्गात्सुनोतिसुवतिस्यतिस्तौतिस्तोभतिस्थासेनयसेधसिचसञ्जस्वञ्जाम्</w:t>
      </w:r>
      <w:r>
        <w:t xml:space="preserve"> </w:t>
      </w:r>
      <w:r>
        <w:t xml:space="preserve">(पा. सू. ८-३-६५) and</w:t>
      </w:r>
      <w:r>
        <w:t xml:space="preserve"> </w:t>
      </w:r>
      <w:r>
        <w:t xml:space="preserve">“</w:t>
      </w:r>
      <w:r>
        <w:t xml:space="preserve">ṭ</w:t>
      </w:r>
      <w:r>
        <w:t xml:space="preserve">”</w:t>
      </w:r>
      <w:r>
        <w:t xml:space="preserve"> </w:t>
      </w:r>
      <w:r>
        <w:t xml:space="preserve">by</w:t>
      </w:r>
      <w:r>
        <w:t xml:space="preserve"> </w:t>
      </w:r>
      <w:r>
        <w:rPr>
          <w:bCs/>
          <w:b/>
        </w:rPr>
        <w:t xml:space="preserve">ष्टुना ष्टुः</w:t>
      </w:r>
      <w:r>
        <w:t xml:space="preserve"> </w:t>
      </w:r>
      <w:r>
        <w:t xml:space="preserve">(पा. सू. ८-४-४१): accusative</w:t>
      </w:r>
      <w:r>
        <w:t xml:space="preserve"> </w:t>
      </w:r>
      <w:r>
        <w:t xml:space="preserve">“</w:t>
      </w:r>
      <w:r>
        <w:t xml:space="preserve">suṣṭutim.</w:t>
      </w:r>
      <w:r>
        <w:t xml:space="preserve">”</w:t>
      </w:r>
      <w:r>
        <w:t xml:space="preserve"> </w:t>
      </w:r>
      <w:r>
        <w:t xml:space="preserve">The accent of the indeclinable first member (</w:t>
      </w:r>
      <w:r>
        <w:rPr>
          <w:bCs/>
          <w:b/>
        </w:rPr>
        <w:t xml:space="preserve">तत्पुरुषे तुल्यार्थ…</w:t>
      </w:r>
      <w:r>
        <w:t xml:space="preserve">, पा. सू. ६-२-२) is set aside by</w:t>
      </w:r>
      <w:r>
        <w:t xml:space="preserve"> </w:t>
      </w:r>
      <w:r>
        <w:rPr>
          <w:bCs/>
          <w:b/>
        </w:rPr>
        <w:t xml:space="preserve">गतिकारकोपपदात्कृत्</w:t>
      </w:r>
      <w:r>
        <w:t xml:space="preserve"> </w:t>
      </w:r>
      <w:r>
        <w:t xml:space="preserve">(पा. सू. ६-२-१३९), which in turn gives way to</w:t>
      </w:r>
      <w:r>
        <w:t xml:space="preserve"> </w:t>
      </w:r>
      <w:r>
        <w:rPr>
          <w:bCs/>
          <w:b/>
        </w:rPr>
        <w:t xml:space="preserve">तादौ च निति कृत्यतौ</w:t>
      </w:r>
      <w:r>
        <w:t xml:space="preserve"> </w:t>
      </w:r>
      <w:r>
        <w:t xml:space="preserve">(पा. सू. ६-२-५०) — before a kṛt beginning with</w:t>
      </w:r>
      <w:r>
        <w:t xml:space="preserve"> </w:t>
      </w:r>
      <w:r>
        <w:t xml:space="preserve">“</w:t>
      </w:r>
      <w:r>
        <w:t xml:space="preserve">t</w:t>
      </w:r>
      <w:r>
        <w:t xml:space="preserve">”</w:t>
      </w:r>
      <w:r>
        <w:t xml:space="preserve"> </w:t>
      </w:r>
      <w:r>
        <w:t xml:space="preserve">and</w:t>
      </w:r>
      <w:r>
        <w:t xml:space="preserve"> </w:t>
      </w:r>
      <w:r>
        <w:t xml:space="preserve">“</w:t>
      </w:r>
      <w:r>
        <w:t xml:space="preserve">n</w:t>
      </w:r>
      <w:r>
        <w:t xml:space="preserve">”</w:t>
      </w:r>
      <w:r>
        <w:t xml:space="preserve">-marked, other than</w:t>
      </w:r>
      <w:r>
        <w:t xml:space="preserve"> </w:t>
      </w:r>
      <w:r>
        <w:t xml:space="preserve">“</w:t>
      </w:r>
      <w:r>
        <w:t xml:space="preserve">tu,</w:t>
      </w:r>
      <w:r>
        <w:t xml:space="preserve">”</w:t>
      </w:r>
      <w:r>
        <w:t xml:space="preserve"> </w:t>
      </w:r>
      <w:r>
        <w:t xml:space="preserve">the gati keeps its accent, so</w:t>
      </w:r>
      <w:r>
        <w:t xml:space="preserve"> </w:t>
      </w:r>
      <w:r>
        <w:t xml:space="preserve">“</w:t>
      </w:r>
      <w:r>
        <w:t xml:space="preserve">su</w:t>
      </w:r>
      <w:r>
        <w:t xml:space="preserve">”</w:t>
      </w:r>
      <w:r>
        <w:t xml:space="preserve"> </w:t>
      </w:r>
      <w:r>
        <w:t xml:space="preserve">would be acute; but</w:t>
      </w:r>
      <w:r>
        <w:t xml:space="preserve"> </w:t>
      </w:r>
      <w:r>
        <w:rPr>
          <w:bCs/>
          <w:b/>
        </w:rPr>
        <w:t xml:space="preserve">मन्क्तिन्व्याख्यानशयनासनस्थानयाजकादिक्रीताः</w:t>
      </w:r>
      <w:r>
        <w:t xml:space="preserve"> </w:t>
      </w:r>
      <w:r>
        <w:t xml:space="preserve">(पा. सू. ६-२-१५१) makes these second members end-acute, setting</w:t>
      </w:r>
      <w:r>
        <w:t xml:space="preserve"> </w:t>
      </w:r>
      <w:r>
        <w:t xml:space="preserve">“</w:t>
      </w:r>
      <w:r>
        <w:t xml:space="preserve">tādau ca</w:t>
      </w:r>
      <w:r>
        <w:t xml:space="preserve">”</w:t>
      </w:r>
      <w:r>
        <w:t xml:space="preserve"> </w:t>
      </w:r>
      <w:r>
        <w:t xml:space="preserve">aside: so</w:t>
      </w:r>
      <w:r>
        <w:t xml:space="preserve"> </w:t>
      </w:r>
      <w:r>
        <w:t xml:space="preserve">“</w:t>
      </w:r>
      <w:r>
        <w:t xml:space="preserve">suṣṭutim</w:t>
      </w:r>
      <w:r>
        <w:t xml:space="preserve">”</w:t>
      </w:r>
      <w:r>
        <w:t xml:space="preserve"> </w:t>
      </w:r>
      <w:r>
        <w:t xml:space="preserve">is end-acute, as also</w:t>
      </w:r>
      <w:r>
        <w:t xml:space="preserve"> </w:t>
      </w:r>
      <w:r>
        <w:t xml:space="preserve">“</w:t>
      </w:r>
      <w:r>
        <w:t xml:space="preserve">suhavāṃ suṣṭutī huve</w:t>
      </w:r>
      <w:r>
        <w:t xml:space="preserve">”</w:t>
      </w:r>
      <w:r>
        <w:t xml:space="preserve"> </w:t>
      </w:r>
      <w:r>
        <w:t xml:space="preserve">(ऋ. सं. २-३२-४),</w:t>
      </w:r>
      <w:r>
        <w:t xml:space="preserve"> </w:t>
      </w:r>
      <w:r>
        <w:t xml:space="preserve">“</w:t>
      </w:r>
      <w:r>
        <w:t xml:space="preserve">vṛṣṇe codasva suṣṭutim</w:t>
      </w:r>
      <w:r>
        <w:t xml:space="preserve">”</w:t>
      </w:r>
      <w:r>
        <w:t xml:space="preserve"> </w:t>
      </w:r>
      <w:r>
        <w:t xml:space="preserve">(ऋ. सं. ८-६४-६ [?], the middle figures unclear),</w:t>
      </w:r>
      <w:r>
        <w:t xml:space="preserve"> </w:t>
      </w:r>
      <w:r>
        <w:t xml:space="preserve">“</w:t>
      </w:r>
      <w:r>
        <w:t xml:space="preserve">yās te rāke sumatayaḥ</w:t>
      </w:r>
      <w:r>
        <w:t xml:space="preserve">”</w:t>
      </w:r>
      <w:r>
        <w:t xml:space="preserve"> </w:t>
      </w:r>
      <w:r>
        <w:t xml:space="preserve">(ऋ. सं. २-३२-५), say those who know. The Kāśikā takes</w:t>
      </w:r>
      <w:r>
        <w:t xml:space="preserve"> </w:t>
      </w:r>
      <w:r>
        <w:t xml:space="preserve">“</w:t>
      </w:r>
      <w:r>
        <w:t xml:space="preserve">kārakāt</w:t>
      </w:r>
      <w:r>
        <w:t xml:space="preserve">”</w:t>
      </w:r>
      <w:r>
        <w:t xml:space="preserve"> </w:t>
      </w:r>
      <w:r>
        <w:t xml:space="preserve">as carried into</w:t>
      </w:r>
      <w:r>
        <w:t xml:space="preserve"> </w:t>
      </w:r>
      <w:r>
        <w:t xml:space="preserve">“</w:t>
      </w:r>
      <w:r>
        <w:t xml:space="preserve">manktin…</w:t>
      </w:r>
      <w:r>
        <w:t xml:space="preserve">”</w:t>
      </w:r>
      <w:r>
        <w:t xml:space="preserve"> </w:t>
      </w:r>
      <w:r>
        <w:t xml:space="preserve">from</w:t>
      </w:r>
      <w:r>
        <w:t xml:space="preserve"> </w:t>
      </w:r>
      <w:r>
        <w:rPr>
          <w:bCs/>
          <w:b/>
        </w:rPr>
        <w:t xml:space="preserve">कारकाद्दत्तश्रुतयोरेवाशिषि</w:t>
      </w:r>
      <w:r>
        <w:t xml:space="preserve"> </w:t>
      </w:r>
      <w:r>
        <w:t xml:space="preserve">(पा. सू. ६-२-१४८), so that only after a kāraka are</w:t>
      </w:r>
      <w:r>
        <w:t xml:space="preserve"> </w:t>
      </w:r>
      <w:r>
        <w:t xml:space="preserve">“</w:t>
      </w:r>
      <w:r>
        <w:t xml:space="preserve">man</w:t>
      </w:r>
      <w:r>
        <w:t xml:space="preserve">”</w:t>
      </w:r>
      <w:r>
        <w:t xml:space="preserve">-ending etc. second members end-acute (</w:t>
      </w:r>
      <w:r>
        <w:t xml:space="preserve">“</w:t>
      </w:r>
      <w:r>
        <w:t xml:space="preserve">pāṇinikṛtiḥ</w:t>
      </w:r>
      <w:r>
        <w:t xml:space="preserve">”</w:t>
      </w:r>
      <w:r>
        <w:t xml:space="preserve"> </w:t>
      </w:r>
      <w:r>
        <w:t xml:space="preserve">the example,</w:t>
      </w:r>
      <w:r>
        <w:t xml:space="preserve"> </w:t>
      </w:r>
      <w:r>
        <w:t xml:space="preserve">“</w:t>
      </w:r>
      <w:r>
        <w:t xml:space="preserve">prakṛtiḥ, prahṛtiḥ</w:t>
      </w:r>
      <w:r>
        <w:t xml:space="preserve">”</w:t>
      </w:r>
      <w:r>
        <w:t xml:space="preserve"> </w:t>
      </w:r>
      <w:r>
        <w:t xml:space="preserve">the counter-examples,</w:t>
      </w:r>
      <w:r>
        <w:t xml:space="preserve"> </w:t>
      </w:r>
      <w:r>
        <w:t xml:space="preserve">“</w:t>
      </w:r>
      <w:r>
        <w:t xml:space="preserve">kārakād ity eva</w:t>
      </w:r>
      <w:r>
        <w:t xml:space="preserve">”</w:t>
      </w:r>
      <w:r>
        <w:t xml:space="preserve"> </w:t>
      </w:r>
      <w:r>
        <w:t xml:space="preserve">— Kā. ६-२-१५१); on that view</w:t>
      </w:r>
      <w:r>
        <w:t xml:space="preserve"> </w:t>
      </w:r>
      <w:r>
        <w:t xml:space="preserve">“</w:t>
      </w:r>
      <w:r>
        <w:t xml:space="preserve">su,</w:t>
      </w:r>
      <w:r>
        <w:t xml:space="preserve">”</w:t>
      </w:r>
      <w:r>
        <w:t xml:space="preserve"> </w:t>
      </w:r>
      <w:r>
        <w:t xml:space="preserve">a gati, is no kāraka, and</w:t>
      </w:r>
      <w:r>
        <w:t xml:space="preserve"> </w:t>
      </w:r>
      <w:r>
        <w:t xml:space="preserve">“</w:t>
      </w:r>
      <w:r>
        <w:t xml:space="preserve">manktin</w:t>
      </w:r>
      <w:r>
        <w:t xml:space="preserve">”</w:t>
      </w:r>
      <w:r>
        <w:t xml:space="preserve"> </w:t>
      </w:r>
      <w:r>
        <w:t xml:space="preserve">would not give the end-acute. Whether that can be met is considered next:</w:t>
      </w:r>
      <w:r>
        <w:t xml:space="preserve"> </w:t>
      </w:r>
      <w:r>
        <w:t xml:space="preserve">“</w:t>
      </w:r>
      <w:r>
        <w:t xml:space="preserve">stūyate anayā iti stutiḥ</w:t>
      </w:r>
      <w:r>
        <w:t xml:space="preserve">”</w:t>
      </w:r>
      <w:r>
        <w:t xml:space="preserve"> </w:t>
      </w:r>
      <w:r>
        <w:t xml:space="preserve">(praise as the instrument, the ṛk…)</w:t>
      </w:r>
      <w:r>
        <w:t xml:space="preserve"> </w:t>
      </w:r>
      <w:r>
        <w:rPr>
          <w:iCs/>
          <w:i/>
        </w:rPr>
        <w:t xml:space="preserve">(continues on p. 289)</w:t>
      </w:r>
      <w:r>
        <w:t xml:space="preserve">.</w:t>
      </w:r>
    </w:p>
    <w:p>
      <w:pPr>
        <w:pStyle w:val="BodyText"/>
      </w:pPr>
      <w:r>
        <w:rPr>
          <w:bCs/>
          <w:b/>
        </w:rPr>
        <w:t xml:space="preserve">Page 289.</w:t>
      </w:r>
      <w:r>
        <w:t xml:space="preserve"> </w:t>
      </w:r>
      <w:r>
        <w:t xml:space="preserve">The discussion pursues whether</w:t>
      </w:r>
      <w:r>
        <w:t xml:space="preserve"> </w:t>
      </w:r>
      <w:r>
        <w:rPr>
          <w:iCs/>
          <w:i/>
        </w:rPr>
        <w:t xml:space="preserve">su</w:t>
      </w:r>
      <w:r>
        <w:t xml:space="preserve"> </w:t>
      </w:r>
      <w:r>
        <w:t xml:space="preserve">here is an upasarga (and so induces</w:t>
      </w:r>
      <w:r>
        <w:t xml:space="preserve"> </w:t>
      </w:r>
      <w:r>
        <w:rPr>
          <w:iCs/>
          <w:i/>
        </w:rPr>
        <w:t xml:space="preserve">ṣatva</w:t>
      </w:r>
      <w:r>
        <w:t xml:space="preserve">) at all.</w:t>
      </w:r>
      <w:r>
        <w:t xml:space="preserve"> </w:t>
      </w:r>
      <w:r>
        <w:rPr>
          <w:iCs/>
          <w:i/>
        </w:rPr>
        <w:t xml:space="preserve">(Page header:</w:t>
      </w:r>
      <w:r>
        <w:rPr>
          <w:iCs/>
          <w:i/>
        </w:rPr>
        <w:t xml:space="preserve"> </w:t>
      </w:r>
      <w:r>
        <w:rPr>
          <w:iCs/>
          <w:i/>
        </w:rPr>
        <w:t xml:space="preserve">“</w:t>
      </w:r>
      <w:r>
        <w:rPr>
          <w:iCs/>
          <w:i/>
        </w:rPr>
        <w:t xml:space="preserve">A. 1, A. 1, Va. 14.</w:t>
      </w:r>
      <w:r>
        <w:rPr>
          <w:iCs/>
          <w:i/>
        </w:rPr>
        <w:t xml:space="preserve">”</w:t>
      </w:r>
      <w:r>
        <w:rPr>
          <w:iCs/>
          <w:i/>
        </w:rPr>
        <w:t xml:space="preserve">)</w:t>
      </w:r>
      <w:r>
        <w:t xml:space="preserve"> </w:t>
      </w:r>
      <w:r>
        <w:t xml:space="preserve">The argument runs: by</w:t>
      </w:r>
      <w:r>
        <w:t xml:space="preserve"> </w:t>
      </w:r>
      <w:r>
        <w:rPr>
          <w:bCs/>
          <w:b/>
        </w:rPr>
        <w:t xml:space="preserve">उपसर्गाः क्रियायोगे</w:t>
      </w:r>
      <w:r>
        <w:t xml:space="preserve"> </w:t>
      </w:r>
      <w:r>
        <w:t xml:space="preserve">(पा. सू. १-४-५९) an upasarga must be connected to a</w:t>
      </w:r>
      <w:r>
        <w:t xml:space="preserve"> </w:t>
      </w:r>
      <w:r>
        <w:rPr>
          <w:iCs/>
          <w:i/>
        </w:rPr>
        <w:t xml:space="preserve">verbal action</w:t>
      </w:r>
      <w:r>
        <w:t xml:space="preserve">;</w:t>
      </w:r>
      <w:r>
        <w:t xml:space="preserve"> </w:t>
      </w:r>
      <w:r>
        <w:rPr>
          <w:iCs/>
          <w:i/>
        </w:rPr>
        <w:t xml:space="preserve">su</w:t>
      </w:r>
      <w:r>
        <w:t xml:space="preserve"> </w:t>
      </w:r>
      <w:r>
        <w:t xml:space="preserve">here qualifies the</w:t>
      </w:r>
      <w:r>
        <w:t xml:space="preserve"> </w:t>
      </w:r>
      <w:r>
        <w:rPr>
          <w:iCs/>
          <w:i/>
        </w:rPr>
        <w:t xml:space="preserve">karaṇa</w:t>
      </w:r>
      <w:r>
        <w:t xml:space="preserve"> </w:t>
      </w:r>
      <w:r>
        <w:t xml:space="preserve">(instrument — the</w:t>
      </w:r>
      <w:r>
        <w:t xml:space="preserve"> </w:t>
      </w:r>
      <w:r>
        <w:rPr>
          <w:iCs/>
          <w:i/>
        </w:rPr>
        <w:t xml:space="preserve">stuti</w:t>
      </w:r>
      <w:r>
        <w:t xml:space="preserve">), and therefore, in this view, is not connected to the verbal meaning; the</w:t>
      </w:r>
      <w:r>
        <w:t xml:space="preserve"> </w:t>
      </w:r>
      <w:r>
        <w:rPr>
          <w:iCs/>
          <w:i/>
        </w:rPr>
        <w:t xml:space="preserve">ṣatva</w:t>
      </w:r>
      <w:r>
        <w:t xml:space="preserve"> </w:t>
      </w:r>
      <w:r>
        <w:t xml:space="preserve">would then be unjustified. The reply is that</w:t>
      </w:r>
      <w:r>
        <w:t xml:space="preserve"> </w:t>
      </w:r>
      <w:r>
        <w:rPr>
          <w:iCs/>
          <w:i/>
        </w:rPr>
        <w:t xml:space="preserve">su</w:t>
      </w:r>
      <w:r>
        <w:t xml:space="preserve"> </w:t>
      </w:r>
      <w:r>
        <w:t xml:space="preserve">qualifies the instrument</w:t>
      </w:r>
      <w:r>
        <w:t xml:space="preserve"> </w:t>
      </w:r>
      <w:r>
        <w:rPr>
          <w:iCs/>
          <w:i/>
        </w:rPr>
        <w:t xml:space="preserve">by way of</w:t>
      </w:r>
      <w:r>
        <w:t xml:space="preserve"> </w:t>
      </w:r>
      <w:r>
        <w:t xml:space="preserve">the verbal meaning of</w:t>
      </w:r>
      <w:r>
        <w:t xml:space="preserve"> </w:t>
      </w:r>
      <w:r>
        <w:rPr>
          <w:iCs/>
          <w:i/>
        </w:rPr>
        <w:t xml:space="preserve">stu</w:t>
      </w:r>
      <w:r>
        <w:t xml:space="preserve">, and so is an upasarga after all. The Bhāṣyakāra’s analysis is shown consistent with the Vṛttikāra’s example of</w:t>
      </w:r>
      <w:r>
        <w:t xml:space="preserve"> </w:t>
      </w:r>
      <w:r>
        <w:rPr>
          <w:iCs/>
          <w:i/>
        </w:rPr>
        <w:t xml:space="preserve">su</w:t>
      </w:r>
      <w:r>
        <w:t xml:space="preserve"> </w:t>
      </w:r>
      <w:r>
        <w:t xml:space="preserve">in</w:t>
      </w:r>
      <w:r>
        <w:t xml:space="preserve"> </w:t>
      </w:r>
      <w:r>
        <w:rPr>
          <w:iCs/>
          <w:i/>
        </w:rPr>
        <w:t xml:space="preserve">su-ṣṭutim</w:t>
      </w:r>
      <w:r>
        <w:t xml:space="preserve">. The page ends in a sub-argument about whether the double qualification (of the root and of the suffix-sense) operates simultaneously, successively, or by repetition (</w:t>
      </w:r>
      <w:r>
        <w:rPr>
          <w:iCs/>
          <w:i/>
        </w:rPr>
        <w:t xml:space="preserve">āvṛtti</w:t>
      </w:r>
      <w:r>
        <w:t xml:space="preserve">) —</w:t>
      </w:r>
      <w:r>
        <w:t xml:space="preserve"> </w:t>
      </w:r>
      <w:r>
        <w:t xml:space="preserve">“</w:t>
      </w:r>
      <w:r>
        <w:t xml:space="preserve">whether</w:t>
      </w:r>
      <w:r>
        <w:t xml:space="preserve"> </w:t>
      </w:r>
      <w:r>
        <w:rPr>
          <w:iCs/>
          <w:i/>
        </w:rPr>
        <w:t xml:space="preserve">su</w:t>
      </w:r>
      <w:r>
        <w:t xml:space="preserve"> </w:t>
      </w:r>
      <w:r>
        <w:t xml:space="preserve">qualifies both, together or in sequence.</w:t>
      </w:r>
      <w:r>
        <w:t xml:space="preserve">”</w:t>
      </w:r>
    </w:p>
    <w:p>
      <w:pPr>
        <w:pStyle w:val="BodyText"/>
      </w:pPr>
      <w:r>
        <w:rPr>
          <w:bCs/>
          <w:b/>
        </w:rPr>
        <w:t xml:space="preserve">Page 290.</w:t>
      </w:r>
      <w:r>
        <w:t xml:space="preserve"> </w:t>
      </w:r>
      <w:r>
        <w:t xml:space="preserve">If</w:t>
      </w:r>
      <w:r>
        <w:t xml:space="preserve"> </w:t>
      </w:r>
      <w:r>
        <w:t xml:space="preserve">“</w:t>
      </w:r>
      <w:r>
        <w:t xml:space="preserve">su</w:t>
      </w:r>
      <w:r>
        <w:t xml:space="preserve">”</w:t>
      </w:r>
      <w:r>
        <w:t xml:space="preserve"> </w:t>
      </w:r>
      <w:r>
        <w:t xml:space="preserve">is taken with the root sense and the affix sense in sequence, the operation stops and resumes (</w:t>
      </w:r>
      <w:r>
        <w:t xml:space="preserve">“</w:t>
      </w:r>
      <w:r>
        <w:t xml:space="preserve">viramya vyāpāra</w:t>
      </w:r>
      <w:r>
        <w:t xml:space="preserve">”</w:t>
      </w:r>
      <w:r>
        <w:t xml:space="preserve">), which nobody accepts for words; so</w:t>
      </w:r>
      <w:r>
        <w:t xml:space="preserve"> </w:t>
      </w:r>
      <w:r>
        <w:t xml:space="preserve">“</w:t>
      </w:r>
      <w:r>
        <w:t xml:space="preserve">su</w:t>
      </w:r>
      <w:r>
        <w:t xml:space="preserve">”</w:t>
      </w:r>
      <w:r>
        <w:t xml:space="preserve"> </w:t>
      </w:r>
      <w:r>
        <w:t xml:space="preserve">cannot be construed with both by the power of the word alone. If with one verbally and the other by implication: taken with the root sense by implication, the</w:t>
      </w:r>
      <w:r>
        <w:t xml:space="preserve"> </w:t>
      </w:r>
      <w:r>
        <w:t xml:space="preserve">“</w:t>
      </w:r>
      <w:r>
        <w:t xml:space="preserve">ṣ</w:t>
      </w:r>
      <w:r>
        <w:t xml:space="preserve">”</w:t>
      </w:r>
      <w:r>
        <w:t xml:space="preserve"> </w:t>
      </w:r>
      <w:r>
        <w:t xml:space="preserve">is not obtained; with the affix sense by implication, the</w:t>
      </w:r>
      <w:r>
        <w:t xml:space="preserve"> </w:t>
      </w:r>
      <w:r>
        <w:t xml:space="preserve">“</w:t>
      </w:r>
      <w:r>
        <w:t xml:space="preserve">manktin</w:t>
      </w:r>
      <w:r>
        <w:t xml:space="preserve">”</w:t>
      </w:r>
      <w:r>
        <w:t xml:space="preserve"> </w:t>
      </w:r>
      <w:r>
        <w:t xml:space="preserve">accent is not obtained. And even a merely implied kāraka relation makes</w:t>
      </w:r>
      <w:r>
        <w:t xml:space="preserve"> </w:t>
      </w:r>
      <w:r>
        <w:t xml:space="preserve">“</w:t>
      </w:r>
      <w:r>
        <w:t xml:space="preserve">suṣṭuti</w:t>
      </w:r>
      <w:r>
        <w:t xml:space="preserve">”</w:t>
      </w:r>
      <w:r>
        <w:t xml:space="preserve"> </w:t>
      </w:r>
      <w:r>
        <w:t xml:space="preserve">an example of</w:t>
      </w:r>
      <w:r>
        <w:t xml:space="preserve"> </w:t>
      </w:r>
      <w:r>
        <w:t xml:space="preserve">“</w:t>
      </w:r>
      <w:r>
        <w:t xml:space="preserve">manktin,</w:t>
      </w:r>
      <w:r>
        <w:t xml:space="preserve">”</w:t>
      </w:r>
      <w:r>
        <w:t xml:space="preserve"> </w:t>
      </w:r>
      <w:r>
        <w:t xml:space="preserve">so</w:t>
      </w:r>
      <w:r>
        <w:t xml:space="preserve"> </w:t>
      </w:r>
      <w:r>
        <w:t xml:space="preserve">“</w:t>
      </w:r>
      <w:r>
        <w:t xml:space="preserve">prakṛtiḥ, prahṛtiḥ</w:t>
      </w:r>
      <w:r>
        <w:t xml:space="preserve">”</w:t>
      </w:r>
      <w:r>
        <w:t xml:space="preserve"> </w:t>
      </w:r>
      <w:r>
        <w:t xml:space="preserve">cannot be counter-examples — who could stop an implied relation of</w:t>
      </w:r>
      <w:r>
        <w:t xml:space="preserve"> </w:t>
      </w:r>
      <w:r>
        <w:t xml:space="preserve">“</w:t>
      </w:r>
      <w:r>
        <w:t xml:space="preserve">pra</w:t>
      </w:r>
      <w:r>
        <w:t xml:space="preserve">”</w:t>
      </w:r>
      <w:r>
        <w:t xml:space="preserve"> </w:t>
      </w:r>
      <w:r>
        <w:t xml:space="preserve">with the instrument contained in the root sense? So the accent is not obtained from an implied kāraka relation. Hence on this view</w:t>
      </w:r>
      <w:r>
        <w:t xml:space="preserve"> </w:t>
      </w:r>
      <w:r>
        <w:t xml:space="preserve">“</w:t>
      </w:r>
      <w:r>
        <w:t xml:space="preserve">su</w:t>
      </w:r>
      <w:r>
        <w:t xml:space="preserve">”</w:t>
      </w:r>
      <w:r>
        <w:t xml:space="preserve"> </w:t>
      </w:r>
      <w:r>
        <w:t xml:space="preserve">is construed only with the affix sense, the</w:t>
      </w:r>
      <w:r>
        <w:t xml:space="preserve"> </w:t>
      </w:r>
      <w:r>
        <w:t xml:space="preserve">“</w:t>
      </w:r>
      <w:r>
        <w:t xml:space="preserve">manktin</w:t>
      </w:r>
      <w:r>
        <w:t xml:space="preserve">”</w:t>
      </w:r>
      <w:r>
        <w:t xml:space="preserve"> </w:t>
      </w:r>
      <w:r>
        <w:t xml:space="preserve">accent holds, and the</w:t>
      </w:r>
      <w:r>
        <w:t xml:space="preserve"> </w:t>
      </w:r>
      <w:r>
        <w:t xml:space="preserve">“</w:t>
      </w:r>
      <w:r>
        <w:t xml:space="preserve">ṣ</w:t>
      </w:r>
      <w:r>
        <w:t xml:space="preserve">”</w:t>
      </w:r>
      <w:r>
        <w:t xml:space="preserve"> </w:t>
      </w:r>
      <w:r>
        <w:t xml:space="preserve">is Vedic. Or, taken as a bahuvrīhi</w:t>
      </w:r>
      <w:r>
        <w:t xml:space="preserve"> </w:t>
      </w:r>
      <w:r>
        <w:t xml:space="preserve">“</w:t>
      </w:r>
      <w:r>
        <w:t xml:space="preserve">śobhanā matir yasyāḥ,</w:t>
      </w:r>
      <w:r>
        <w:t xml:space="preserve">”</w:t>
      </w:r>
      <w:r>
        <w:t xml:space="preserve"> </w:t>
      </w:r>
      <w:r>
        <w:t xml:space="preserve">the end-acute comes by</w:t>
      </w:r>
      <w:r>
        <w:t xml:space="preserve"> </w:t>
      </w:r>
      <w:r>
        <w:rPr>
          <w:bCs/>
          <w:b/>
        </w:rPr>
        <w:t xml:space="preserve">नञ्सुभ्याम्</w:t>
      </w:r>
      <w:r>
        <w:t xml:space="preserve"> </w:t>
      </w:r>
      <w:r>
        <w:t xml:space="preserve">(पा. सू. ६-२-१७२). Or,</w:t>
      </w:r>
      <w:r>
        <w:t xml:space="preserve"> </w:t>
      </w:r>
      <w:r>
        <w:t xml:space="preserve">“</w:t>
      </w:r>
      <w:r>
        <w:t xml:space="preserve">suṣṭhu stuvantīti suṣṭutayaḥ</w:t>
      </w:r>
      <w:r>
        <w:t xml:space="preserve">”</w:t>
      </w:r>
      <w:r>
        <w:t xml:space="preserve">: the ṛks, the instruments of praise, are called</w:t>
      </w:r>
      <w:r>
        <w:t xml:space="preserve"> </w:t>
      </w:r>
      <w:r>
        <w:t xml:space="preserve">“</w:t>
      </w:r>
      <w:r>
        <w:t xml:space="preserve">stuti</w:t>
      </w:r>
      <w:r>
        <w:t xml:space="preserve">”</w:t>
      </w:r>
      <w:r>
        <w:t xml:space="preserve">;</w:t>
      </w:r>
      <w:r>
        <w:t xml:space="preserve"> </w:t>
      </w:r>
      <w:r>
        <w:rPr>
          <w:bCs/>
          <w:b/>
        </w:rPr>
        <w:t xml:space="preserve">क्तिच्क्तौ च संज्ञायाम्</w:t>
      </w:r>
      <w:r>
        <w:t xml:space="preserve"> </w:t>
      </w:r>
      <w:r>
        <w:t xml:space="preserve">(पा. सू.</w:t>
      </w:r>
      <w:r>
        <w:t xml:space="preserve"> </w:t>
      </w:r>
      <w:r>
        <w:t xml:space="preserve">“</w:t>
      </w:r>
      <w:r>
        <w:t xml:space="preserve">१३-३-१७४</w:t>
      </w:r>
      <w:r>
        <w:t xml:space="preserve">”</w:t>
      </w:r>
      <w:r>
        <w:t xml:space="preserve"> </w:t>
      </w:r>
      <w:r>
        <w:t xml:space="preserve">as printed, i.e. 3-3-174)</w:t>
      </w:r>
      <w:r>
        <w:t xml:space="preserve"> </w:t>
      </w:r>
      <w:r>
        <w:t xml:space="preserve">“</w:t>
      </w:r>
      <w:r>
        <w:t xml:space="preserve">ktic</w:t>
      </w:r>
      <w:r>
        <w:t xml:space="preserve">”</w:t>
      </w:r>
      <w:r>
        <w:t xml:space="preserve"> </w:t>
      </w:r>
      <w:r>
        <w:t xml:space="preserve">in the agent sense;</w:t>
      </w:r>
      <w:r>
        <w:t xml:space="preserve"> </w:t>
      </w:r>
      <w:r>
        <w:t xml:space="preserve">“</w:t>
      </w:r>
      <w:r>
        <w:t xml:space="preserve">c</w:t>
      </w:r>
      <w:r>
        <w:t xml:space="preserve">”</w:t>
      </w:r>
      <w:r>
        <w:t xml:space="preserve">-marked, end-acute by</w:t>
      </w:r>
      <w:r>
        <w:t xml:space="preserve"> </w:t>
      </w:r>
      <w:r>
        <w:rPr>
          <w:bCs/>
          <w:b/>
        </w:rPr>
        <w:t xml:space="preserve">चितः</w:t>
      </w:r>
      <w:r>
        <w:t xml:space="preserve"> </w:t>
      </w:r>
      <w:r>
        <w:t xml:space="preserve">(पा. सू. ६-१-१६३). To the objection how an agent affix can denote ṛks that are instruments: as in</w:t>
      </w:r>
      <w:r>
        <w:t xml:space="preserve"> </w:t>
      </w:r>
      <w:r>
        <w:t xml:space="preserve">“</w:t>
      </w:r>
      <w:r>
        <w:t xml:space="preserve">kāṣṭhāni pacanti</w:t>
      </w:r>
      <w:r>
        <w:t xml:space="preserve">”</w:t>
      </w:r>
      <w:r>
        <w:t xml:space="preserve"> </w:t>
      </w:r>
      <w:r>
        <w:t xml:space="preserve">(the logs cook), where the logs, an instrument of cooking, are given independence in their own activity and so are agents by</w:t>
      </w:r>
      <w:r>
        <w:t xml:space="preserve"> </w:t>
      </w:r>
      <w:r>
        <w:rPr>
          <w:bCs/>
          <w:b/>
        </w:rPr>
        <w:t xml:space="preserve">स्वतन्त्रः कर्ता</w:t>
      </w:r>
      <w:r>
        <w:t xml:space="preserve"> </w:t>
      </w:r>
      <w:r>
        <w:t xml:space="preserve">(पा. सू. १-४-५४), so too the ṛks, their activity taken as principal, are rightly instruments though an agent affix is used. ॥७॥</w:t>
      </w:r>
    </w:p>
    <w:p>
      <w:r>
        <w:pict>
          <v:rect style="width:0;height:1.5pt" o:hralign="center" o:hrstd="t" o:hr="t"/>
        </w:pict>
      </w:r>
    </w:p>
    <w:bookmarkEnd w:id="320"/>
    <w:bookmarkStart w:id="321" w:name="sūkta-7-rik-8"/>
    <w:p>
      <w:pPr>
        <w:pStyle w:val="Heading3"/>
      </w:pPr>
      <w:r>
        <w:t xml:space="preserve">Sūkta 7, Rik 8</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वृषा॑ यू॒थेव॒ वंस॑गः कृष्टीरि॑य॒र्त्योज॑सा ।</w:t>
      </w:r>
      <w:r>
        <w:t xml:space="preserve"> </w:t>
      </w:r>
      <w:r>
        <w:t xml:space="preserve">ईशा॑नो॒ अप्र॑तिष्कुतः ॥८॥</w:t>
      </w:r>
    </w:p>
    <w:p>
      <w:pPr>
        <w:pStyle w:val="BlockText"/>
      </w:pPr>
      <w:r>
        <w:rPr>
          <w:iCs/>
          <w:i/>
        </w:rPr>
        <w:t xml:space="preserve">vṛ́ṣā yūthéva váṃsagaḥ kṛṣṭī́r iyarty ójasā |</w:t>
      </w:r>
      <w:r>
        <w:t xml:space="preserve"> </w:t>
      </w:r>
      <w:r>
        <w:rPr>
          <w:iCs/>
          <w:i/>
        </w:rPr>
        <w:t xml:space="preserve">ī́śāno ápratiṣkutaḥ ||8||</w:t>
      </w:r>
    </w:p>
    <w:p>
      <w:pPr>
        <w:pStyle w:val="FirstParagraph"/>
      </w:pPr>
      <w:r>
        <w:rPr>
          <w:bCs/>
          <w:b/>
        </w:rPr>
        <w:t xml:space="preserve">॥ Pada-pāṭhaḥ ॥</w:t>
      </w:r>
    </w:p>
    <w:p>
      <w:pPr>
        <w:pStyle w:val="BlockText"/>
      </w:pPr>
      <w:r>
        <w:t xml:space="preserve">वृषा । यूथाऽइव । वंसगः । कृष्टीः । इयर्ति । ओजसा ॥</w:t>
      </w:r>
      <w:r>
        <w:t xml:space="preserve"> </w:t>
      </w:r>
      <w:r>
        <w:t xml:space="preserve">ईशानः । अप्रतिऽस्कुतः ॥८॥</w:t>
      </w:r>
    </w:p>
    <w:p>
      <w:pPr>
        <w:pStyle w:val="BlockText"/>
      </w:pPr>
      <w:r>
        <w:rPr>
          <w:iCs/>
          <w:i/>
        </w:rPr>
        <w:t xml:space="preserve">vṛṣā | yūthā-iva | vaṃsagaḥ | kṛṣṭīḥ | iyarti | ojasā ||</w:t>
      </w:r>
      <w:r>
        <w:t xml:space="preserve"> </w:t>
      </w:r>
      <w:r>
        <w:rPr>
          <w:iCs/>
          <w:i/>
        </w:rPr>
        <w:t xml:space="preserve">īśānaḥ | aprati-skutaḥ ||8||</w:t>
      </w:r>
    </w:p>
    <w:p>
      <w:pPr>
        <w:pStyle w:val="FirstParagraph"/>
      </w:pPr>
      <w:r>
        <w:rPr>
          <w:iCs/>
          <w:i/>
        </w:rPr>
        <w:t xml:space="preserve">(Pada printed on p. 291.)</w:t>
      </w:r>
    </w:p>
    <w:bookmarkEnd w:id="321"/>
    <w:bookmarkStart w:id="322" w:name="page-291-rik-8-sāyaṇa-bhāṣya"/>
    <w:p>
      <w:pPr>
        <w:pStyle w:val="Heading3"/>
      </w:pPr>
      <w:r>
        <w:t xml:space="preserve">Page 291 — Rik 8: Sāyaṇa-bhāṣya</w:t>
      </w:r>
    </w:p>
    <w:p>
      <w:pPr>
        <w:pStyle w:val="FirstParagraph"/>
      </w:pPr>
      <w:r>
        <w:rPr>
          <w:bCs/>
          <w:b/>
        </w:rPr>
        <w:t xml:space="preserve">॥ Sāyaṇa-bhāṣyam ॥</w:t>
      </w:r>
    </w:p>
    <w:p>
      <w:pPr>
        <w:pStyle w:val="BlockText"/>
      </w:pPr>
      <w:r>
        <w:t xml:space="preserve">वृषा कामानां वर्षितेन्द्र ओजसा स्वकीयबलेनानुग्रहीतुं कृष्टीर्मनुष्यानियर्ति । प्राप्नोति । कीदृश इन्द्रः । ईशानः समर्थो ऽप्रतिष्कुतः प्रतिशब्दरहितः । याच्यमानं न परिहरतीत्यर्थः । इन्द्रस्य दृष्टान्तः । वंसगो वननीयगतिर्वृषभो यूथेव गोयूथानि यथा प्राप्नोति तद्वत् ॥</w:t>
      </w:r>
    </w:p>
    <w:p>
      <w:pPr>
        <w:pStyle w:val="BlockText"/>
      </w:pPr>
      <w:r>
        <w:rPr>
          <w:iCs/>
          <w:i/>
        </w:rPr>
        <w:t xml:space="preserve">vṛṣā kāmānāṃ varṣitendra ojasā svakīya-balenānugrahītuṃ kṛṣṭīr manuṣyān iyarti | prāpnoti | kīdṛśa indraḥ | īśānaḥ samartho ’pratiṣkutaḥ prati-śabda-rahitaḥ | yācyamānaṃ na pariharatīty arthaḥ | indrasya dṛṣṭāntaḥ | vaṃsago vananīya-gatir vṛṣabho yūtheva go-yūthāni yathā prāpnoti tadvat ||</w:t>
      </w:r>
    </w:p>
    <w:p>
      <w:pPr>
        <w:pStyle w:val="FirstParagraph"/>
      </w:pPr>
      <w:r>
        <w:rPr>
          <w:bCs/>
          <w:b/>
        </w:rPr>
        <w:t xml:space="preserve">Translation:</w:t>
      </w:r>
      <w:r>
        <w:t xml:space="preserve"> </w:t>
      </w:r>
      <w:r>
        <w:t xml:space="preserve">“</w:t>
      </w:r>
      <w:r>
        <w:t xml:space="preserve">Indra, the showerer (</w:t>
      </w:r>
      <w:r>
        <w:rPr>
          <w:iCs/>
          <w:i/>
        </w:rPr>
        <w:t xml:space="preserve">varṣitā</w:t>
      </w:r>
      <w:r>
        <w:t xml:space="preserve">) of desires, with his own strength (</w:t>
      </w:r>
      <w:r>
        <w:rPr>
          <w:iCs/>
          <w:i/>
        </w:rPr>
        <w:t xml:space="preserve">ojasā</w:t>
      </w:r>
      <w:r>
        <w:t xml:space="preserve">), in order to favour them, approaches (</w:t>
      </w:r>
      <w:r>
        <w:rPr>
          <w:iCs/>
          <w:i/>
        </w:rPr>
        <w:t xml:space="preserve">iyarti</w:t>
      </w:r>
      <w:r>
        <w:t xml:space="preserve"> </w:t>
      </w:r>
      <w:r>
        <w:t xml:space="preserve">— reaches) the</w:t>
      </w:r>
      <w:r>
        <w:t xml:space="preserve"> </w:t>
      </w:r>
      <w:r>
        <w:rPr>
          <w:iCs/>
          <w:i/>
        </w:rPr>
        <w:t xml:space="preserve">kṛṣṭīḥ</w:t>
      </w:r>
      <w:r>
        <w:t xml:space="preserve">, the people. What kind of Indra?</w:t>
      </w:r>
      <w:r>
        <w:t xml:space="preserve"> </w:t>
      </w:r>
      <w:r>
        <w:rPr>
          <w:iCs/>
          <w:i/>
        </w:rPr>
        <w:t xml:space="preserve">Īśānaḥ</w:t>
      </w:r>
      <w:r>
        <w:t xml:space="preserve"> </w:t>
      </w:r>
      <w:r>
        <w:t xml:space="preserve">— the capable, the lord;</w:t>
      </w:r>
      <w:r>
        <w:t xml:space="preserve"> </w:t>
      </w:r>
      <w:r>
        <w:rPr>
          <w:iCs/>
          <w:i/>
        </w:rPr>
        <w:t xml:space="preserve">apratiṣkutaḥ</w:t>
      </w:r>
      <w:r>
        <w:t xml:space="preserve"> </w:t>
      </w:r>
      <w:r>
        <w:t xml:space="preserve">— without a counter-word; that is, he who does not turn away from what is asked of him. An illustration for Indra: the</w:t>
      </w:r>
      <w:r>
        <w:t xml:space="preserve"> </w:t>
      </w:r>
      <w:r>
        <w:rPr>
          <w:iCs/>
          <w:i/>
        </w:rPr>
        <w:t xml:space="preserve">vaṃsaga</w:t>
      </w:r>
      <w:r>
        <w:t xml:space="preserve"> </w:t>
      </w:r>
      <w:r>
        <w:t xml:space="preserve">— the bull of lovely gait — as [a bull] goes to its herds, the herds of cows, so [Indra goes to people].</w:t>
      </w:r>
      <w:r>
        <w:t xml:space="preserve">”</w:t>
      </w:r>
    </w:p>
    <w:p>
      <w:pPr>
        <w:pStyle w:val="BodyText"/>
      </w:pPr>
      <w:r>
        <w:rPr>
          <w:bCs/>
          <w:b/>
        </w:rPr>
        <w:t xml:space="preserve">Grammar of the Bhāṣya (characterized, references as printed; page header</w:t>
      </w:r>
      <w:r>
        <w:rPr>
          <w:bCs/>
          <w:b/>
        </w:rPr>
        <w:t xml:space="preserve"> </w:t>
      </w:r>
      <w:r>
        <w:rPr>
          <w:bCs/>
          <w:b/>
        </w:rPr>
        <w:t xml:space="preserve">“</w:t>
      </w:r>
      <w:r>
        <w:rPr>
          <w:bCs/>
          <w:b/>
        </w:rPr>
        <w:t xml:space="preserve">A. 1, A. 1, Va. 14</w:t>
      </w:r>
      <w:r>
        <w:rPr>
          <w:bCs/>
          <w:b/>
        </w:rPr>
        <w:t xml:space="preserve">”</w:t>
      </w:r>
      <w:r>
        <w:rPr>
          <w:bCs/>
          <w:b/>
        </w:rPr>
        <w:t xml:space="preserve">):</w:t>
      </w:r>
      <w:r>
        <w:t xml:space="preserve"> </w:t>
      </w:r>
      <w:r>
        <w:t xml:space="preserve">“</w:t>
      </w:r>
      <w:r>
        <w:t xml:space="preserve">Vṛṣā</w:t>
      </w:r>
      <w:r>
        <w:t xml:space="preserve">”</w:t>
      </w:r>
      <w:r>
        <w:t xml:space="preserve"> </w:t>
      </w:r>
      <w:r>
        <w:t xml:space="preserve">—</w:t>
      </w:r>
      <w:r>
        <w:t xml:space="preserve"> </w:t>
      </w:r>
      <w:r>
        <w:rPr>
          <w:bCs/>
          <w:b/>
        </w:rPr>
        <w:t xml:space="preserve">कनिन्युवृषितक्षिराजिधन्विद्युप्रतिदिवः</w:t>
      </w:r>
      <w:r>
        <w:t xml:space="preserve"> </w:t>
      </w:r>
      <w:r>
        <w:t xml:space="preserve">(उ. १-१५६)</w:t>
      </w:r>
      <w:r>
        <w:t xml:space="preserve"> </w:t>
      </w:r>
      <w:r>
        <w:t xml:space="preserve">“</w:t>
      </w:r>
      <w:r>
        <w:t xml:space="preserve">kanin</w:t>
      </w:r>
      <w:r>
        <w:t xml:space="preserve">”</w:t>
      </w:r>
      <w:r>
        <w:t xml:space="preserve"> </w:t>
      </w:r>
      <w:r>
        <w:t xml:space="preserve">after</w:t>
      </w:r>
      <w:r>
        <w:t xml:space="preserve"> </w:t>
      </w:r>
      <w:r>
        <w:t xml:space="preserve">“</w:t>
      </w:r>
      <w:r>
        <w:t xml:space="preserve">vṛṣ</w:t>
      </w:r>
      <w:r>
        <w:t xml:space="preserve">”</w:t>
      </w:r>
      <w:r>
        <w:t xml:space="preserve">;</w:t>
      </w:r>
      <w:r>
        <w:t xml:space="preserve"> </w:t>
      </w:r>
      <w:r>
        <w:t xml:space="preserve">“</w:t>
      </w:r>
      <w:r>
        <w:t xml:space="preserve">k</w:t>
      </w:r>
      <w:r>
        <w:t xml:space="preserve">”</w:t>
      </w:r>
      <w:r>
        <w:t xml:space="preserve">-marked, no guṇa;</w:t>
      </w:r>
      <w:r>
        <w:t xml:space="preserve"> </w:t>
      </w:r>
      <w:r>
        <w:t xml:space="preserve">“</w:t>
      </w:r>
      <w:r>
        <w:t xml:space="preserve">n</w:t>
      </w:r>
      <w:r>
        <w:t xml:space="preserve">”</w:t>
      </w:r>
      <w:r>
        <w:t xml:space="preserve">-marked, first-syllable acute.</w:t>
      </w:r>
      <w:r>
        <w:t xml:space="preserve"> </w:t>
      </w:r>
      <w:r>
        <w:t xml:space="preserve">“</w:t>
      </w:r>
      <w:r>
        <w:t xml:space="preserve">Yūthā iva</w:t>
      </w:r>
      <w:r>
        <w:t xml:space="preserve">”</w:t>
      </w:r>
      <w:r>
        <w:t xml:space="preserve"> </w:t>
      </w:r>
      <w:r>
        <w:t xml:space="preserve">—</w:t>
      </w:r>
      <w:r>
        <w:t xml:space="preserve"> </w:t>
      </w:r>
      <w:r>
        <w:t xml:space="preserve">“</w:t>
      </w:r>
      <w:r>
        <w:t xml:space="preserve">yuvanti miśrībhavantīti yūthāni,</w:t>
      </w:r>
      <w:r>
        <w:t xml:space="preserve">”</w:t>
      </w:r>
      <w:r>
        <w:t xml:space="preserve"> </w:t>
      </w:r>
      <w:r>
        <w:t xml:space="preserve">“</w:t>
      </w:r>
      <w:r>
        <w:t xml:space="preserve">yu miśraṇāmiśraṇayoḥ</w:t>
      </w:r>
      <w:r>
        <w:t xml:space="preserve">”</w:t>
      </w:r>
      <w:r>
        <w:t xml:space="preserve">:</w:t>
      </w:r>
      <w:r>
        <w:t xml:space="preserve"> </w:t>
      </w:r>
      <w:r>
        <w:rPr>
          <w:bCs/>
          <w:b/>
        </w:rPr>
        <w:t xml:space="preserve">तिथपृष्ठगूथयूथप्रोथाः</w:t>
      </w:r>
      <w:r>
        <w:t xml:space="preserve"> </w:t>
      </w:r>
      <w:r>
        <w:t xml:space="preserve">(उ. २-१२)</w:t>
      </w:r>
      <w:r>
        <w:t xml:space="preserve"> </w:t>
      </w:r>
      <w:r>
        <w:t xml:space="preserve">“</w:t>
      </w:r>
      <w:r>
        <w:t xml:space="preserve">thak,</w:t>
      </w:r>
      <w:r>
        <w:t xml:space="preserve">”</w:t>
      </w:r>
      <w:r>
        <w:t xml:space="preserve"> </w:t>
      </w:r>
      <w:r>
        <w:t xml:space="preserve">end-acute by nipātana; the long vowel by nipātana; the</w:t>
      </w:r>
      <w:r>
        <w:t xml:space="preserve"> </w:t>
      </w:r>
      <w:r>
        <w:t xml:space="preserve">“</w:t>
      </w:r>
      <w:r>
        <w:t xml:space="preserve">ā</w:t>
      </w:r>
      <w:r>
        <w:t xml:space="preserve">”</w:t>
      </w:r>
      <w:r>
        <w:t xml:space="preserve"> </w:t>
      </w:r>
      <w:r>
        <w:t xml:space="preserve">acute by the affix accent;</w:t>
      </w:r>
      <w:r>
        <w:t xml:space="preserve"> </w:t>
      </w:r>
      <w:r>
        <w:rPr>
          <w:bCs/>
          <w:b/>
        </w:rPr>
        <w:t xml:space="preserve">शेश्छन्दसि बहुलम्</w:t>
      </w:r>
      <w:r>
        <w:t xml:space="preserve"> </w:t>
      </w:r>
      <w:r>
        <w:t xml:space="preserve">(पा. ६-१-७०)</w:t>
      </w:r>
      <w:r>
        <w:t xml:space="preserve"> </w:t>
      </w:r>
      <w:r>
        <w:t xml:space="preserve">“</w:t>
      </w:r>
      <w:r>
        <w:t xml:space="preserve">luk</w:t>
      </w:r>
      <w:r>
        <w:t xml:space="preserve">”</w:t>
      </w:r>
      <w:r>
        <w:t xml:space="preserve">;</w:t>
      </w:r>
      <w:r>
        <w:t xml:space="preserve"> </w:t>
      </w:r>
      <w:r>
        <w:t xml:space="preserve">“</w:t>
      </w:r>
      <w:r>
        <w:t xml:space="preserve">iva</w:t>
      </w:r>
      <w:r>
        <w:t xml:space="preserve">”</w:t>
      </w:r>
      <w:r>
        <w:t xml:space="preserve"> </w:t>
      </w:r>
      <w:r>
        <w:t xml:space="preserve">— no loss of case-ending; with</w:t>
      </w:r>
      <w:r>
        <w:t xml:space="preserve"> </w:t>
      </w:r>
      <w:r>
        <w:t xml:space="preserve">“</w:t>
      </w:r>
      <w:r>
        <w:t xml:space="preserve">iva,</w:t>
      </w:r>
      <w:r>
        <w:t xml:space="preserve">”</w:t>
      </w:r>
      <w:r>
        <w:t xml:space="preserve"> </w:t>
      </w:r>
      <w:r>
        <w:t xml:space="preserve">compounding and the first member’s accent by the vārttika (पा. २-१-४-२).</w:t>
      </w:r>
      <w:r>
        <w:t xml:space="preserve"> </w:t>
      </w:r>
      <w:r>
        <w:t xml:space="preserve">“</w:t>
      </w:r>
      <w:r>
        <w:t xml:space="preserve">Vaṃsagaḥ</w:t>
      </w:r>
      <w:r>
        <w:t xml:space="preserve">”</w:t>
      </w:r>
      <w:r>
        <w:t xml:space="preserve"> </w:t>
      </w:r>
      <w:r>
        <w:t xml:space="preserve">— the intended accent by the</w:t>
      </w:r>
      <w:r>
        <w:t xml:space="preserve"> </w:t>
      </w:r>
      <w:r>
        <w:t xml:space="preserve">“</w:t>
      </w:r>
      <w:r>
        <w:t xml:space="preserve">pṛṣodarādi</w:t>
      </w:r>
      <w:r>
        <w:t xml:space="preserve">”</w:t>
      </w:r>
      <w:r>
        <w:t xml:space="preserve"> </w:t>
      </w:r>
      <w:r>
        <w:t xml:space="preserve">class (पा. ६-३-१०९).</w:t>
      </w:r>
      <w:r>
        <w:t xml:space="preserve"> </w:t>
      </w:r>
      <w:r>
        <w:t xml:space="preserve">“</w:t>
      </w:r>
      <w:r>
        <w:t xml:space="preserve">Kṛṣṭīḥ</w:t>
      </w:r>
      <w:r>
        <w:t xml:space="preserve">”</w:t>
      </w:r>
      <w:r>
        <w:t xml:space="preserve"> </w:t>
      </w:r>
      <w:r>
        <w:t xml:space="preserve">—</w:t>
      </w:r>
      <w:r>
        <w:t xml:space="preserve"> </w:t>
      </w:r>
      <w:r>
        <w:t xml:space="preserve">“</w:t>
      </w:r>
      <w:r>
        <w:t xml:space="preserve">karṣantīti kṛṣṭayaḥ,</w:t>
      </w:r>
      <w:r>
        <w:t xml:space="preserve">”</w:t>
      </w:r>
      <w:r>
        <w:t xml:space="preserve"> </w:t>
      </w:r>
      <w:r>
        <w:t xml:space="preserve">“</w:t>
      </w:r>
      <w:r>
        <w:t xml:space="preserve">ktic</w:t>
      </w:r>
      <w:r>
        <w:t xml:space="preserve">”</w:t>
      </w:r>
      <w:r>
        <w:t xml:space="preserve"> </w:t>
      </w:r>
      <w:r>
        <w:t xml:space="preserve">by</w:t>
      </w:r>
      <w:r>
        <w:t xml:space="preserve"> </w:t>
      </w:r>
      <w:r>
        <w:t xml:space="preserve">“</w:t>
      </w:r>
      <w:r>
        <w:t xml:space="preserve">ktic ktau ca saṃjñāyām</w:t>
      </w:r>
      <w:r>
        <w:t xml:space="preserve">”</w:t>
      </w:r>
      <w:r>
        <w:t xml:space="preserve">;</w:t>
      </w:r>
      <w:r>
        <w:t xml:space="preserve"> </w:t>
      </w:r>
      <w:r>
        <w:t xml:space="preserve">“</w:t>
      </w:r>
      <w:r>
        <w:t xml:space="preserve">c</w:t>
      </w:r>
      <w:r>
        <w:t xml:space="preserve">”</w:t>
      </w:r>
      <w:r>
        <w:t xml:space="preserve">-marked, end-acute.</w:t>
      </w:r>
      <w:r>
        <w:t xml:space="preserve"> </w:t>
      </w:r>
      <w:r>
        <w:t xml:space="preserve">“</w:t>
      </w:r>
      <w:r>
        <w:t xml:space="preserve">Iyarti</w:t>
      </w:r>
      <w:r>
        <w:t xml:space="preserve">”</w:t>
      </w:r>
      <w:r>
        <w:t xml:space="preserve"> </w:t>
      </w:r>
      <w:r>
        <w:t xml:space="preserve">—</w:t>
      </w:r>
      <w:r>
        <w:t xml:space="preserve"> </w:t>
      </w:r>
      <w:r>
        <w:t xml:space="preserve">“</w:t>
      </w:r>
      <w:r>
        <w:t xml:space="preserve">ṛ sṛ gatau,</w:t>
      </w:r>
      <w:r>
        <w:t xml:space="preserve">”</w:t>
      </w:r>
      <w:r>
        <w:t xml:space="preserve"> </w:t>
      </w:r>
      <w:r>
        <w:t xml:space="preserve">“</w:t>
      </w:r>
      <w:r>
        <w:t xml:space="preserve">tip,</w:t>
      </w:r>
      <w:r>
        <w:t xml:space="preserve">”</w:t>
      </w:r>
      <w:r>
        <w:t xml:space="preserve"> </w:t>
      </w:r>
      <w:r>
        <w:t xml:space="preserve">“</w:t>
      </w:r>
      <w:r>
        <w:t xml:space="preserve">śap</w:t>
      </w:r>
      <w:r>
        <w:t xml:space="preserve">”</w:t>
      </w:r>
      <w:r>
        <w:t xml:space="preserve"> </w:t>
      </w:r>
      <w:r>
        <w:t xml:space="preserve">→</w:t>
      </w:r>
      <w:r>
        <w:t xml:space="preserve"> </w:t>
      </w:r>
      <w:r>
        <w:t xml:space="preserve">“</w:t>
      </w:r>
      <w:r>
        <w:t xml:space="preserve">ślu,</w:t>
      </w:r>
      <w:r>
        <w:t xml:space="preserve">”</w:t>
      </w:r>
      <w:r>
        <w:t xml:space="preserve"> </w:t>
      </w:r>
      <w:r>
        <w:t xml:space="preserve">doubling (पा. ६-१-१०);</w:t>
      </w:r>
      <w:r>
        <w:t xml:space="preserve"> </w:t>
      </w:r>
      <w:r>
        <w:rPr>
          <w:bCs/>
          <w:b/>
        </w:rPr>
        <w:t xml:space="preserve">अभ्यासस्यासवर्णे</w:t>
      </w:r>
      <w:r>
        <w:t xml:space="preserve"> </w:t>
      </w:r>
      <w:r>
        <w:t xml:space="preserve">…</w:t>
      </w:r>
      <w:r>
        <w:t xml:space="preserve"> </w:t>
      </w:r>
      <w:r>
        <w:t xml:space="preserve">“</w:t>
      </w:r>
      <w:r>
        <w:t xml:space="preserve">i</w:t>
      </w:r>
      <w:r>
        <w:t xml:space="preserve">”</w:t>
      </w:r>
      <w:r>
        <w:t xml:space="preserve"> </w:t>
      </w:r>
      <w:r>
        <w:t xml:space="preserve">for the reduplicate</w:t>
      </w:r>
      <w:r>
        <w:t xml:space="preserve"> </w:t>
      </w:r>
      <w:r>
        <w:t xml:space="preserve">“</w:t>
      </w:r>
      <w:r>
        <w:t xml:space="preserve">a</w:t>
      </w:r>
      <w:r>
        <w:t xml:space="preserve">”</w:t>
      </w:r>
      <w:r>
        <w:t xml:space="preserve"> </w:t>
      </w:r>
      <w:r>
        <w:t xml:space="preserve">by</w:t>
      </w:r>
      <w:r>
        <w:t xml:space="preserve"> </w:t>
      </w:r>
      <w:r>
        <w:rPr>
          <w:bCs/>
          <w:b/>
        </w:rPr>
        <w:t xml:space="preserve">अर्तिपिपर्त्योश्च</w:t>
      </w:r>
      <w:r>
        <w:t xml:space="preserve"> </w:t>
      </w:r>
      <w:r>
        <w:t xml:space="preserve">(पा. ७-४-७७);</w:t>
      </w:r>
      <w:r>
        <w:t xml:space="preserve"> </w:t>
      </w:r>
      <w:r>
        <w:t xml:space="preserve">“</w:t>
      </w:r>
      <w:r>
        <w:t xml:space="preserve">iy</w:t>
      </w:r>
      <w:r>
        <w:t xml:space="preserve">”</w:t>
      </w:r>
      <w:r>
        <w:t xml:space="preserve"> </w:t>
      </w:r>
      <w:r>
        <w:t xml:space="preserve">by</w:t>
      </w:r>
      <w:r>
        <w:t xml:space="preserve"> </w:t>
      </w:r>
      <w:r>
        <w:t xml:space="preserve">“</w:t>
      </w:r>
      <w:r>
        <w:t xml:space="preserve">abhyāsasyāsavarṇe</w:t>
      </w:r>
      <w:r>
        <w:t xml:space="preserve">”</w:t>
      </w:r>
      <w:r>
        <w:t xml:space="preserve"> </w:t>
      </w:r>
      <w:r>
        <w:t xml:space="preserve">(पा. ६-४-७८); guṇa of the aṅga, with</w:t>
      </w:r>
      <w:r>
        <w:t xml:space="preserve"> </w:t>
      </w:r>
      <w:r>
        <w:t xml:space="preserve">“</w:t>
      </w:r>
      <w:r>
        <w:t xml:space="preserve">r.</w:t>
      </w:r>
      <w:r>
        <w:t xml:space="preserve">”</w:t>
      </w:r>
      <w:r>
        <w:t xml:space="preserve"> </w:t>
      </w:r>
      <w:r>
        <w:t xml:space="preserve">“</w:t>
      </w:r>
      <w:r>
        <w:t xml:space="preserve">Ojasā</w:t>
      </w:r>
      <w:r>
        <w:t xml:space="preserve">”</w:t>
      </w:r>
      <w:r>
        <w:t xml:space="preserve"> </w:t>
      </w:r>
      <w:r>
        <w:t xml:space="preserve">—</w:t>
      </w:r>
      <w:r>
        <w:t xml:space="preserve"> </w:t>
      </w:r>
      <w:r>
        <w:rPr>
          <w:bCs/>
          <w:b/>
        </w:rPr>
        <w:t xml:space="preserve">उब्जेर्बलोपश्च</w:t>
      </w:r>
      <w:r>
        <w:t xml:space="preserve"> </w:t>
      </w:r>
      <w:r>
        <w:t xml:space="preserve">(उ. ४-१९१)</w:t>
      </w:r>
      <w:r>
        <w:t xml:space="preserve"> </w:t>
      </w:r>
      <w:r>
        <w:t xml:space="preserve">“</w:t>
      </w:r>
      <w:r>
        <w:t xml:space="preserve">asun,</w:t>
      </w:r>
      <w:r>
        <w:t xml:space="preserve">”</w:t>
      </w:r>
      <w:r>
        <w:t xml:space="preserve"> </w:t>
      </w:r>
      <w:r>
        <w:t xml:space="preserve">with loss of</w:t>
      </w:r>
      <w:r>
        <w:t xml:space="preserve"> </w:t>
      </w:r>
      <w:r>
        <w:t xml:space="preserve">“</w:t>
      </w:r>
      <w:r>
        <w:t xml:space="preserve">b</w:t>
      </w:r>
      <w:r>
        <w:t xml:space="preserve">”</w:t>
      </w:r>
      <w:r>
        <w:t xml:space="preserve">; guṇa of the light penultimate (पा. ७-३-८६);</w:t>
      </w:r>
      <w:r>
        <w:t xml:space="preserve"> </w:t>
      </w:r>
      <w:r>
        <w:t xml:space="preserve">“</w:t>
      </w:r>
      <w:r>
        <w:t xml:space="preserve">n</w:t>
      </w:r>
      <w:r>
        <w:t xml:space="preserve">”</w:t>
      </w:r>
      <w:r>
        <w:t xml:space="preserve">-marked, first-syllable acute.</w:t>
      </w:r>
      <w:r>
        <w:t xml:space="preserve"> </w:t>
      </w:r>
      <w:r>
        <w:t xml:space="preserve">“</w:t>
      </w:r>
      <w:r>
        <w:t xml:space="preserve">Īśānaḥ</w:t>
      </w:r>
      <w:r>
        <w:t xml:space="preserve">”</w:t>
      </w:r>
      <w:r>
        <w:t xml:space="preserve"> </w:t>
      </w:r>
      <w:r>
        <w:t xml:space="preserve">—</w:t>
      </w:r>
      <w:r>
        <w:t xml:space="preserve"> </w:t>
      </w:r>
      <w:r>
        <w:t xml:space="preserve">“</w:t>
      </w:r>
      <w:r>
        <w:t xml:space="preserve">īśa aiśvarye,</w:t>
      </w:r>
      <w:r>
        <w:t xml:space="preserve">”</w:t>
      </w:r>
      <w:r>
        <w:t xml:space="preserve"> </w:t>
      </w:r>
      <w:r>
        <w:t xml:space="preserve">“</w:t>
      </w:r>
      <w:r>
        <w:t xml:space="preserve">laṭ,</w:t>
      </w:r>
      <w:r>
        <w:t xml:space="preserve">”</w:t>
      </w:r>
      <w:r>
        <w:t xml:space="preserve"> </w:t>
      </w:r>
      <w:r>
        <w:t xml:space="preserve">“</w:t>
      </w:r>
      <w:r>
        <w:t xml:space="preserve">śānac</w:t>
      </w:r>
      <w:r>
        <w:t xml:space="preserve">”</w:t>
      </w:r>
      <w:r>
        <w:t xml:space="preserve">;</w:t>
      </w:r>
      <w:r>
        <w:t xml:space="preserve"> </w:t>
      </w:r>
      <w:r>
        <w:t xml:space="preserve">“</w:t>
      </w:r>
      <w:r>
        <w:t xml:space="preserve">śap</w:t>
      </w:r>
      <w:r>
        <w:t xml:space="preserve">”</w:t>
      </w:r>
      <w:r>
        <w:t xml:space="preserve"> </w:t>
      </w:r>
      <w:r>
        <w:t xml:space="preserve">elided by</w:t>
      </w:r>
      <w:r>
        <w:t xml:space="preserve"> </w:t>
      </w:r>
      <w:r>
        <w:t xml:space="preserve">“</w:t>
      </w:r>
      <w:r>
        <w:t xml:space="preserve">adiprabhṛtibhyaḥ śapaḥ</w:t>
      </w:r>
      <w:r>
        <w:t xml:space="preserve">”</w:t>
      </w:r>
      <w:r>
        <w:t xml:space="preserve">; the</w:t>
      </w:r>
      <w:r>
        <w:t xml:space="preserve"> </w:t>
      </w:r>
      <w:r>
        <w:t xml:space="preserve">“</w:t>
      </w:r>
      <w:r>
        <w:t xml:space="preserve">c</w:t>
      </w:r>
      <w:r>
        <w:t xml:space="preserve">”</w:t>
      </w:r>
      <w:r>
        <w:t xml:space="preserve">-accent set aside, the lasārvadhātuka is unaccented after an anudāttet root, so the root accent remains.</w:t>
      </w:r>
      <w:r>
        <w:t xml:space="preserve"> </w:t>
      </w:r>
      <w:r>
        <w:t xml:space="preserve">“</w:t>
      </w:r>
      <w:r>
        <w:t xml:space="preserve">Apratiṣkutaḥ</w:t>
      </w:r>
      <w:r>
        <w:t xml:space="preserve">”</w:t>
      </w:r>
      <w:r>
        <w:t xml:space="preserve"> </w:t>
      </w:r>
      <w:r>
        <w:t xml:space="preserve">—</w:t>
      </w:r>
      <w:r>
        <w:t xml:space="preserve"> </w:t>
      </w:r>
      <w:r>
        <w:t xml:space="preserve">“</w:t>
      </w:r>
      <w:r>
        <w:t xml:space="preserve">apratiśabditaḥ,</w:t>
      </w:r>
      <w:r>
        <w:t xml:space="preserve">”</w:t>
      </w:r>
      <w:r>
        <w:t xml:space="preserve"> </w:t>
      </w:r>
      <w:r>
        <w:t xml:space="preserve">“</w:t>
      </w:r>
      <w:r>
        <w:t xml:space="preserve">ku śabde,</w:t>
      </w:r>
      <w:r>
        <w:t xml:space="preserve">”</w:t>
      </w:r>
      <w:r>
        <w:t xml:space="preserve"> </w:t>
      </w:r>
      <w:r>
        <w:t xml:space="preserve">“</w:t>
      </w:r>
      <w:r>
        <w:t xml:space="preserve">kta</w:t>
      </w:r>
      <w:r>
        <w:t xml:space="preserve">”</w:t>
      </w:r>
      <w:r>
        <w:t xml:space="preserve"> </w:t>
      </w:r>
      <w:r>
        <w:t xml:space="preserve">in the passive;</w:t>
      </w:r>
      <w:r>
        <w:t xml:space="preserve"> </w:t>
      </w:r>
      <w:r>
        <w:t xml:space="preserve">“</w:t>
      </w:r>
      <w:r>
        <w:t xml:space="preserve">suṭ</w:t>
      </w:r>
      <w:r>
        <w:t xml:space="preserve">”</w:t>
      </w:r>
      <w:r>
        <w:t xml:space="preserve"> </w:t>
      </w:r>
      <w:r>
        <w:t xml:space="preserve">(pāraskarādi),</w:t>
      </w:r>
      <w:r>
        <w:t xml:space="preserve"> </w:t>
      </w:r>
      <w:r>
        <w:t xml:space="preserve">“</w:t>
      </w:r>
      <w:r>
        <w:t xml:space="preserve">ṣ</w:t>
      </w:r>
      <w:r>
        <w:t xml:space="preserve">”</w:t>
      </w:r>
      <w:r>
        <w:t xml:space="preserve"> </w:t>
      </w:r>
      <w:r>
        <w:t xml:space="preserve">(suṣāmādi); nañ-compound, the indeclinable first member’s accent.</w:t>
      </w:r>
    </w:p>
    <w:p>
      <w:pPr>
        <w:pStyle w:val="BodyText"/>
      </w:pPr>
      <w:r>
        <w:rPr>
          <w:bCs/>
          <w:b/>
        </w:rPr>
        <w:t xml:space="preserve">॥ Prati-padārthaḥ ॥</w:t>
      </w:r>
    </w:p>
    <w:p>
      <w:pPr>
        <w:pStyle w:val="BodyText"/>
      </w:pPr>
      <w:r>
        <w:rPr>
          <w:bCs/>
          <w:b/>
        </w:rPr>
        <w:t xml:space="preserve">वृषा (vṛṣā)</w:t>
      </w:r>
      <w:r>
        <w:t xml:space="preserve"> </w:t>
      </w:r>
      <w:r>
        <w:t xml:space="preserve">— the bestower of what is desired |</w:t>
      </w:r>
      <w:r>
        <w:t xml:space="preserve"> </w:t>
      </w:r>
      <w:r>
        <w:rPr>
          <w:bCs/>
          <w:b/>
        </w:rPr>
        <w:t xml:space="preserve">ईशानः (īśānaḥ)</w:t>
      </w:r>
      <w:r>
        <w:t xml:space="preserve"> </w:t>
      </w:r>
      <w:r>
        <w:t xml:space="preserve">— the capable one |</w:t>
      </w:r>
      <w:r>
        <w:t xml:space="preserve"> </w:t>
      </w:r>
      <w:r>
        <w:rPr>
          <w:bCs/>
          <w:b/>
        </w:rPr>
        <w:t xml:space="preserve">अप्रतिष्कुतः (apratiṣkutaḥ)</w:t>
      </w:r>
      <w:r>
        <w:t xml:space="preserve"> </w:t>
      </w:r>
      <w:r>
        <w:t xml:space="preserve">— (Indra) who has no opponent |</w:t>
      </w:r>
      <w:r>
        <w:t xml:space="preserve"> </w:t>
      </w:r>
      <w:r>
        <w:rPr>
          <w:bCs/>
          <w:b/>
        </w:rPr>
        <w:t xml:space="preserve">वंसगः (vaṃsagaḥ)</w:t>
      </w:r>
      <w:r>
        <w:t xml:space="preserve"> </w:t>
      </w:r>
      <w:r>
        <w:t xml:space="preserve">— a bull (the leader of a herd of cows) |</w:t>
      </w:r>
      <w:r>
        <w:t xml:space="preserve"> </w:t>
      </w:r>
      <w:r>
        <w:rPr>
          <w:bCs/>
          <w:b/>
        </w:rPr>
        <w:t xml:space="preserve">यूथा इव (yūthā iva)</w:t>
      </w:r>
      <w:r>
        <w:t xml:space="preserve"> </w:t>
      </w:r>
      <w:r>
        <w:t xml:space="preserve">— as it goes toward its herd (of cows) |</w:t>
      </w:r>
      <w:r>
        <w:t xml:space="preserve"> </w:t>
      </w:r>
      <w:r>
        <w:rPr>
          <w:bCs/>
          <w:b/>
        </w:rPr>
        <w:t xml:space="preserve">कृष्टीः (kṛṣṭīḥ)</w:t>
      </w:r>
      <w:r>
        <w:t xml:space="preserve"> </w:t>
      </w:r>
      <w:r>
        <w:t xml:space="preserve">— to human beings |</w:t>
      </w:r>
      <w:r>
        <w:t xml:space="preserve"> </w:t>
      </w:r>
      <w:r>
        <w:rPr>
          <w:bCs/>
          <w:b/>
        </w:rPr>
        <w:t xml:space="preserve">ओजसा (ojasā)</w:t>
      </w:r>
      <w:r>
        <w:t xml:space="preserve"> </w:t>
      </w:r>
      <w:r>
        <w:t xml:space="preserve">— with his strength and might |</w:t>
      </w:r>
      <w:r>
        <w:t xml:space="preserve"> </w:t>
      </w:r>
      <w:r>
        <w:rPr>
          <w:bCs/>
          <w:b/>
        </w:rPr>
        <w:t xml:space="preserve">इयर्ति (iyarti)</w:t>
      </w:r>
      <w:r>
        <w:t xml:space="preserve"> </w:t>
      </w:r>
      <w:r>
        <w:t xml:space="preserve">— reaches (that is, comes near to men).</w:t>
      </w:r>
    </w:p>
    <w:bookmarkEnd w:id="322"/>
    <w:bookmarkStart w:id="323" w:name="page-292"/>
    <w:p>
      <w:pPr>
        <w:pStyle w:val="Heading3"/>
      </w:pPr>
      <w:r>
        <w:t xml:space="preserve">Page 292</w:t>
      </w:r>
    </w:p>
    <w:p>
      <w:pPr>
        <w:pStyle w:val="FirstParagraph"/>
      </w:pPr>
      <w:r>
        <w:rPr>
          <w:bCs/>
          <w:b/>
        </w:rPr>
        <w:t xml:space="preserve">॥ Bhāvārthaḥ ॥</w:t>
      </w:r>
    </w:p>
    <w:p>
      <w:pPr>
        <w:pStyle w:val="BodyText"/>
      </w:pPr>
      <w:r>
        <w:t xml:space="preserve">Indra is the one who fulfils the desires of men; he is all-capable; he has no rival — he is</w:t>
      </w:r>
      <w:r>
        <w:t xml:space="preserve"> </w:t>
      </w:r>
      <w:r>
        <w:rPr>
          <w:iCs/>
          <w:i/>
        </w:rPr>
        <w:t xml:space="preserve">apratiṣkuta</w:t>
      </w:r>
      <w:r>
        <w:t xml:space="preserve">. Such an Indra goes near men as a bull, the leader of a herd of cattle, goes toward its herd.</w:t>
      </w:r>
    </w:p>
    <w:p>
      <w:pPr>
        <w:pStyle w:val="BodyText"/>
      </w:pPr>
      <w:r>
        <w:rPr>
          <w:bCs/>
          <w:b/>
        </w:rPr>
        <w:t xml:space="preserve">॥ English Translation ॥</w:t>
      </w:r>
      <w:r>
        <w:t xml:space="preserve"> </w:t>
      </w:r>
      <w:r>
        <w:rPr>
          <w:iCs/>
          <w:i/>
        </w:rPr>
        <w:t xml:space="preserve">(as printed in the source)</w:t>
      </w:r>
    </w:p>
    <w:p>
      <w:pPr>
        <w:pStyle w:val="BlockText"/>
      </w:pPr>
      <w:r>
        <w:t xml:space="preserve">Indra, granter of all desires, the lord unopposed and the mighty approaches men with his strength like a bull walking towards his herds.</w:t>
      </w:r>
    </w:p>
    <w:p>
      <w:pPr>
        <w:pStyle w:val="FirstParagraph"/>
      </w:pPr>
      <w:r>
        <w:rPr>
          <w:bCs/>
          <w:b/>
        </w:rPr>
        <w:t xml:space="preserve">॥ Viśeṣa-viṣayagaḷu (Special Topics) ॥</w:t>
      </w:r>
    </w:p>
    <w:p>
      <w:pPr>
        <w:pStyle w:val="BodyText"/>
      </w:pPr>
      <w:r>
        <w:rPr>
          <w:bCs/>
          <w:b/>
        </w:rPr>
        <w:t xml:space="preserve">The main sense:</w:t>
      </w:r>
      <w:r>
        <w:t xml:space="preserve"> </w:t>
      </w:r>
      <w:r>
        <w:t xml:space="preserve">Indra is the lord, all-capable, and none can oppose his word. Such an Indra, by the might he has, comes near men in order to grant people’s desired ends. As a bull that is attached to the welfare of its herd goes near the herd to protect it, so Indra, being attached to our welfare, will come near us. That is the sense.</w:t>
      </w:r>
    </w:p>
    <w:p>
      <w:pPr>
        <w:pStyle w:val="BodyText"/>
      </w:pPr>
      <w:r>
        <w:rPr>
          <w:bCs/>
          <w:b/>
        </w:rPr>
        <w:t xml:space="preserve">“</w:t>
      </w:r>
      <w:r>
        <w:rPr>
          <w:bCs/>
          <w:b/>
        </w:rPr>
        <w:t xml:space="preserve">Vṛṣā</w:t>
      </w:r>
      <w:r>
        <w:rPr>
          <w:bCs/>
          <w:b/>
        </w:rPr>
        <w:t xml:space="preserve">”</w:t>
      </w:r>
      <w:r>
        <w:t xml:space="preserve"> </w:t>
      </w:r>
      <w:r>
        <w:t xml:space="preserve">—</w:t>
      </w:r>
      <w:r>
        <w:t xml:space="preserve"> </w:t>
      </w:r>
      <w:r>
        <w:rPr>
          <w:iCs/>
          <w:i/>
        </w:rPr>
        <w:t xml:space="preserve">kāmānāṃ varṣitā</w:t>
      </w:r>
      <w:r>
        <w:t xml:space="preserve">:</w:t>
      </w:r>
      <w:r>
        <w:t xml:space="preserve"> </w:t>
      </w:r>
      <w:r>
        <w:t xml:space="preserve">“</w:t>
      </w:r>
      <w:r>
        <w:t xml:space="preserve">the one who showers desires.</w:t>
      </w:r>
      <w:r>
        <w:t xml:space="preserve">”</w:t>
      </w:r>
      <w:r>
        <w:t xml:space="preserve"> </w:t>
      </w:r>
      <w:r>
        <w:rPr>
          <w:iCs/>
          <w:i/>
        </w:rPr>
        <w:t xml:space="preserve">Varṣitā</w:t>
      </w:r>
      <w:r>
        <w:t xml:space="preserve"> </w:t>
      </w:r>
      <w:r>
        <w:t xml:space="preserve">means</w:t>
      </w:r>
      <w:r>
        <w:t xml:space="preserve"> </w:t>
      </w:r>
      <w:r>
        <w:t xml:space="preserve">“</w:t>
      </w:r>
      <w:r>
        <w:t xml:space="preserve">one who causes rain to fall</w:t>
      </w:r>
      <w:r>
        <w:t xml:space="preserve">”</w:t>
      </w:r>
      <w:r>
        <w:t xml:space="preserve">; that is, the one who rains down the desires of the people — the granter of what is wished.</w:t>
      </w:r>
    </w:p>
    <w:p>
      <w:pPr>
        <w:pStyle w:val="BodyText"/>
      </w:pPr>
      <w:r>
        <w:rPr>
          <w:bCs/>
          <w:b/>
        </w:rPr>
        <w:t xml:space="preserve">“</w:t>
      </w:r>
      <w:r>
        <w:rPr>
          <w:bCs/>
          <w:b/>
        </w:rPr>
        <w:t xml:space="preserve">Yūtheva</w:t>
      </w:r>
      <w:r>
        <w:rPr>
          <w:bCs/>
          <w:b/>
        </w:rPr>
        <w:t xml:space="preserve">”</w:t>
      </w:r>
      <w:r>
        <w:t xml:space="preserve"> </w:t>
      </w:r>
      <w:r>
        <w:t xml:space="preserve">— here the word-division is</w:t>
      </w:r>
      <w:r>
        <w:t xml:space="preserve"> </w:t>
      </w:r>
      <w:r>
        <w:rPr>
          <w:iCs/>
          <w:i/>
        </w:rPr>
        <w:t xml:space="preserve">yūthā iva</w:t>
      </w:r>
      <w:r>
        <w:t xml:space="preserve">. In the Ṛgveda the word</w:t>
      </w:r>
      <w:r>
        <w:t xml:space="preserve"> </w:t>
      </w:r>
      <w:r>
        <w:rPr>
          <w:iCs/>
          <w:i/>
        </w:rPr>
        <w:t xml:space="preserve">iva</w:t>
      </w:r>
      <w:r>
        <w:t xml:space="preserve"> </w:t>
      </w:r>
      <w:r>
        <w:t xml:space="preserve">is not counted as a separate word but is customarily read together with the word it belongs to. By this, as the Bhāṣyakāra says (</w:t>
      </w:r>
      <w:r>
        <w:rPr>
          <w:iCs/>
          <w:i/>
        </w:rPr>
        <w:t xml:space="preserve">vibhakter lopaḥ</w:t>
      </w:r>
      <w:r>
        <w:t xml:space="preserve">), the case-ending of the principal word suffers no obstruction of any kind; that is, if the two words</w:t>
      </w:r>
      <w:r>
        <w:t xml:space="preserve"> </w:t>
      </w:r>
      <w:r>
        <w:rPr>
          <w:iCs/>
          <w:i/>
        </w:rPr>
        <w:t xml:space="preserve">yūthā</w:t>
      </w:r>
      <w:r>
        <w:t xml:space="preserve"> </w:t>
      </w:r>
      <w:r>
        <w:t xml:space="preserve">and</w:t>
      </w:r>
      <w:r>
        <w:t xml:space="preserve"> </w:t>
      </w:r>
      <w:r>
        <w:rPr>
          <w:iCs/>
          <w:i/>
        </w:rPr>
        <w:t xml:space="preserve">iva</w:t>
      </w:r>
      <w:r>
        <w:t xml:space="preserve"> </w:t>
      </w:r>
      <w:r>
        <w:t xml:space="preserve">are present, the meaning that belongs to them is the same for the single combined word. Examples:</w:t>
      </w:r>
      <w:r>
        <w:t xml:space="preserve"> </w:t>
      </w:r>
      <w:r>
        <w:rPr>
          <w:bCs/>
          <w:b/>
        </w:rPr>
        <w:t xml:space="preserve">अग्नेरिव</w:t>
      </w:r>
      <w:r>
        <w:t xml:space="preserve"> </w:t>
      </w:r>
      <w:r>
        <w:t xml:space="preserve">(</w:t>
      </w:r>
      <w:r>
        <w:rPr>
          <w:iCs/>
          <w:i/>
        </w:rPr>
        <w:t xml:space="preserve">agner iva</w:t>
      </w:r>
      <w:r>
        <w:t xml:space="preserve">, =</w:t>
      </w:r>
      <w:r>
        <w:t xml:space="preserve"> </w:t>
      </w:r>
      <w:r>
        <w:rPr>
          <w:iCs/>
          <w:i/>
        </w:rPr>
        <w:t xml:space="preserve">agneḥ iva</w:t>
      </w:r>
      <w:r>
        <w:t xml:space="preserve">);</w:t>
      </w:r>
      <w:r>
        <w:t xml:space="preserve"> </w:t>
      </w:r>
      <w:r>
        <w:rPr>
          <w:bCs/>
          <w:b/>
        </w:rPr>
        <w:t xml:space="preserve">अजेव</w:t>
      </w:r>
      <w:r>
        <w:t xml:space="preserve"> </w:t>
      </w:r>
      <w:r>
        <w:t xml:space="preserve">(</w:t>
      </w:r>
      <w:r>
        <w:rPr>
          <w:iCs/>
          <w:i/>
        </w:rPr>
        <w:t xml:space="preserve">ajeva</w:t>
      </w:r>
      <w:r>
        <w:t xml:space="preserve">, =</w:t>
      </w:r>
      <w:r>
        <w:t xml:space="preserve"> </w:t>
      </w:r>
      <w:r>
        <w:rPr>
          <w:iCs/>
          <w:i/>
        </w:rPr>
        <w:t xml:space="preserve">ajā iva</w:t>
      </w:r>
      <w:r>
        <w:t xml:space="preserve">);</w:t>
      </w:r>
      <w:r>
        <w:t xml:space="preserve"> </w:t>
      </w:r>
      <w:r>
        <w:rPr>
          <w:bCs/>
          <w:b/>
        </w:rPr>
        <w:t xml:space="preserve">अञ्जसेव</w:t>
      </w:r>
      <w:r>
        <w:t xml:space="preserve"> </w:t>
      </w:r>
      <w:r>
        <w:t xml:space="preserve">(</w:t>
      </w:r>
      <w:r>
        <w:rPr>
          <w:iCs/>
          <w:i/>
        </w:rPr>
        <w:t xml:space="preserve">añjaseva</w:t>
      </w:r>
      <w:r>
        <w:t xml:space="preserve">, =</w:t>
      </w:r>
      <w:r>
        <w:t xml:space="preserve"> </w:t>
      </w:r>
      <w:r>
        <w:rPr>
          <w:iCs/>
          <w:i/>
        </w:rPr>
        <w:t xml:space="preserve">añjasā iva</w:t>
      </w:r>
      <w:r>
        <w:t xml:space="preserve">);</w:t>
      </w:r>
      <w:r>
        <w:t xml:space="preserve"> </w:t>
      </w:r>
      <w:r>
        <w:rPr>
          <w:bCs/>
          <w:b/>
        </w:rPr>
        <w:t xml:space="preserve">अप्रशस्ता इव</w:t>
      </w:r>
      <w:r>
        <w:t xml:space="preserve"> </w:t>
      </w:r>
      <w:r>
        <w:t xml:space="preserve">(</w:t>
      </w:r>
      <w:r>
        <w:rPr>
          <w:iCs/>
          <w:i/>
        </w:rPr>
        <w:t xml:space="preserve">apraśastā iva</w:t>
      </w:r>
      <w:r>
        <w:t xml:space="preserve">, =</w:t>
      </w:r>
      <w:r>
        <w:t xml:space="preserve"> </w:t>
      </w:r>
      <w:r>
        <w:rPr>
          <w:iCs/>
          <w:i/>
        </w:rPr>
        <w:t xml:space="preserve">apraśastāḥ iva</w:t>
      </w:r>
      <w:r>
        <w:t xml:space="preserve">);</w:t>
      </w:r>
      <w:r>
        <w:t xml:space="preserve"> </w:t>
      </w:r>
      <w:r>
        <w:rPr>
          <w:bCs/>
          <w:b/>
        </w:rPr>
        <w:t xml:space="preserve">अभ्रमिव</w:t>
      </w:r>
      <w:r>
        <w:t xml:space="preserve"> </w:t>
      </w:r>
      <w:r>
        <w:t xml:space="preserve">(</w:t>
      </w:r>
      <w:r>
        <w:rPr>
          <w:iCs/>
          <w:i/>
        </w:rPr>
        <w:t xml:space="preserve">abhram iva</w:t>
      </w:r>
      <w:r>
        <w:t xml:space="preserve">, =</w:t>
      </w:r>
      <w:r>
        <w:t xml:space="preserve"> </w:t>
      </w:r>
      <w:r>
        <w:rPr>
          <w:iCs/>
          <w:i/>
        </w:rPr>
        <w:t xml:space="preserve">abhraṃ iva</w:t>
      </w:r>
      <w:r>
        <w:t xml:space="preserve">);</w:t>
      </w:r>
      <w:r>
        <w:t xml:space="preserve"> </w:t>
      </w:r>
      <w:r>
        <w:rPr>
          <w:bCs/>
          <w:b/>
        </w:rPr>
        <w:t xml:space="preserve">अमृतादिव</w:t>
      </w:r>
      <w:r>
        <w:t xml:space="preserve"> </w:t>
      </w:r>
      <w:r>
        <w:t xml:space="preserve">(</w:t>
      </w:r>
      <w:r>
        <w:rPr>
          <w:iCs/>
          <w:i/>
        </w:rPr>
        <w:t xml:space="preserve">amṛtād iva</w:t>
      </w:r>
      <w:r>
        <w:t xml:space="preserve">, =</w:t>
      </w:r>
      <w:r>
        <w:t xml:space="preserve"> </w:t>
      </w:r>
      <w:r>
        <w:rPr>
          <w:iCs/>
          <w:i/>
        </w:rPr>
        <w:t xml:space="preserve">amṛtāt iva</w:t>
      </w:r>
      <w:r>
        <w:t xml:space="preserve">), and so on. The word</w:t>
      </w:r>
      <w:r>
        <w:t xml:space="preserve"> </w:t>
      </w:r>
      <w:r>
        <w:rPr>
          <w:iCs/>
          <w:i/>
        </w:rPr>
        <w:t xml:space="preserve">yūthā</w:t>
      </w:r>
      <w:r>
        <w:t xml:space="preserve"> </w:t>
      </w:r>
      <w:r>
        <w:t xml:space="preserve">is derived from the root</w:t>
      </w:r>
      <w:r>
        <w:t xml:space="preserve"> </w:t>
      </w:r>
      <w:r>
        <w:rPr>
          <w:iCs/>
          <w:i/>
        </w:rPr>
        <w:t xml:space="preserve">yu</w:t>
      </w:r>
      <w:r>
        <w:t xml:space="preserve"> </w:t>
      </w:r>
      <w:r>
        <w:t xml:space="preserve">“</w:t>
      </w:r>
      <w:r>
        <w:t xml:space="preserve">to join, to mix</w:t>
      </w:r>
      <w:r>
        <w:t xml:space="preserve">”</w:t>
      </w:r>
      <w:r>
        <w:t xml:space="preserve">;</w:t>
      </w:r>
      <w:r>
        <w:t xml:space="preserve"> </w:t>
      </w:r>
      <w:r>
        <w:rPr>
          <w:iCs/>
          <w:i/>
        </w:rPr>
        <w:t xml:space="preserve">yuvanti miśrībhavantīti yūthāni</w:t>
      </w:r>
      <w:r>
        <w:t xml:space="preserve"> </w:t>
      </w:r>
      <w:r>
        <w:t xml:space="preserve">—</w:t>
      </w:r>
      <w:r>
        <w:t xml:space="preserve"> </w:t>
      </w:r>
      <w:r>
        <w:t xml:space="preserve">“</w:t>
      </w:r>
      <w:r>
        <w:t xml:space="preserve">those that join, that mix together, are</w:t>
      </w:r>
      <w:r>
        <w:t xml:space="preserve"> </w:t>
      </w:r>
      <w:r>
        <w:rPr>
          <w:iCs/>
          <w:i/>
        </w:rPr>
        <w:t xml:space="preserve">yūthas</w:t>
      </w:r>
      <w:r>
        <w:t xml:space="preserve">.</w:t>
      </w:r>
      <w:r>
        <w:t xml:space="preserve">”</w:t>
      </w:r>
      <w:r>
        <w:t xml:space="preserve"> </w:t>
      </w:r>
      <w:r>
        <w:t xml:space="preserve">In the Veda the final syllable</w:t>
      </w:r>
      <w:r>
        <w:t xml:space="preserve"> </w:t>
      </w:r>
      <w:r>
        <w:rPr>
          <w:iCs/>
          <w:i/>
        </w:rPr>
        <w:t xml:space="preserve">ni</w:t>
      </w:r>
      <w:r>
        <w:t xml:space="preserve"> </w:t>
      </w:r>
      <w:r>
        <w:t xml:space="preserve">is dropped, so</w:t>
      </w:r>
      <w:r>
        <w:t xml:space="preserve"> </w:t>
      </w:r>
      <w:r>
        <w:rPr>
          <w:iCs/>
          <w:i/>
        </w:rPr>
        <w:t xml:space="preserve">yūthā</w:t>
      </w:r>
      <w:r>
        <w:t xml:space="preserve"> </w:t>
      </w:r>
      <w:r>
        <w:t xml:space="preserve">appears.</w:t>
      </w:r>
    </w:p>
    <w:p>
      <w:pPr>
        <w:pStyle w:val="BodyText"/>
      </w:pPr>
      <w:r>
        <w:rPr>
          <w:bCs/>
          <w:b/>
        </w:rPr>
        <w:t xml:space="preserve">“</w:t>
      </w:r>
      <w:r>
        <w:rPr>
          <w:bCs/>
          <w:b/>
        </w:rPr>
        <w:t xml:space="preserve">Vaṃsagaḥ</w:t>
      </w:r>
      <w:r>
        <w:rPr>
          <w:bCs/>
          <w:b/>
        </w:rPr>
        <w:t xml:space="preserve">”</w:t>
      </w:r>
      <w:r>
        <w:t xml:space="preserve"> </w:t>
      </w:r>
      <w:r>
        <w:t xml:space="preserve">—</w:t>
      </w:r>
      <w:r>
        <w:t xml:space="preserve"> </w:t>
      </w:r>
      <w:r>
        <w:rPr>
          <w:bCs/>
          <w:b/>
        </w:rPr>
        <w:t xml:space="preserve">वननीयगतिर्वृषभः</w:t>
      </w:r>
      <w:r>
        <w:t xml:space="preserve"> </w:t>
      </w:r>
      <w:r>
        <w:t xml:space="preserve">(</w:t>
      </w:r>
      <w:r>
        <w:rPr>
          <w:iCs/>
          <w:i/>
        </w:rPr>
        <w:t xml:space="preserve">vananīya-gatir vṛṣabhaḥ</w:t>
      </w:r>
      <w:r>
        <w:t xml:space="preserve">) —</w:t>
      </w:r>
      <w:r>
        <w:t xml:space="preserve"> </w:t>
      </w:r>
      <w:r>
        <w:t xml:space="preserve">“</w:t>
      </w:r>
      <w:r>
        <w:t xml:space="preserve">the bull of lovely gait,</w:t>
      </w:r>
      <w:r>
        <w:t xml:space="preserve">”</w:t>
      </w:r>
      <w:r>
        <w:t xml:space="preserve"> </w:t>
      </w:r>
      <w:r>
        <w:t xml:space="preserve">the leader of the herd, the chief;</w:t>
      </w:r>
      <w:r>
        <w:t xml:space="preserve"> </w:t>
      </w:r>
      <w:r>
        <w:rPr>
          <w:iCs/>
          <w:i/>
        </w:rPr>
        <w:t xml:space="preserve">leader, protector.</w:t>
      </w:r>
    </w:p>
    <w:p>
      <w:pPr>
        <w:pStyle w:val="BodyText"/>
      </w:pPr>
      <w:r>
        <w:rPr>
          <w:bCs/>
          <w:b/>
        </w:rPr>
        <w:t xml:space="preserve">“</w:t>
      </w:r>
      <w:r>
        <w:rPr>
          <w:bCs/>
          <w:b/>
        </w:rPr>
        <w:t xml:space="preserve">Kṛṣṭīḥ</w:t>
      </w:r>
      <w:r>
        <w:rPr>
          <w:bCs/>
          <w:b/>
        </w:rPr>
        <w:t xml:space="preserve">”</w:t>
      </w:r>
      <w:r>
        <w:t xml:space="preserve"> </w:t>
      </w:r>
      <w:r>
        <w:t xml:space="preserve">—</w:t>
      </w:r>
      <w:r>
        <w:t xml:space="preserve"> </w:t>
      </w:r>
      <w:r>
        <w:rPr>
          <w:bCs/>
          <w:b/>
        </w:rPr>
        <w:t xml:space="preserve">कर्षन्तीति कृष्टयः</w:t>
      </w:r>
      <w:r>
        <w:t xml:space="preserve"> </w:t>
      </w:r>
      <w:r>
        <w:t xml:space="preserve">(</w:t>
      </w:r>
      <w:r>
        <w:rPr>
          <w:iCs/>
          <w:i/>
        </w:rPr>
        <w:t xml:space="preserve">karṣantīti kṛṣṭayaḥ</w:t>
      </w:r>
      <w:r>
        <w:t xml:space="preserve">) —</w:t>
      </w:r>
      <w:r>
        <w:t xml:space="preserve"> </w:t>
      </w:r>
      <w:r>
        <w:t xml:space="preserve">“</w:t>
      </w:r>
      <w:r>
        <w:t xml:space="preserve">those who plough</w:t>
      </w:r>
      <w:r>
        <w:t xml:space="preserve">”</w:t>
      </w:r>
      <w:r>
        <w:t xml:space="preserve"> </w:t>
      </w:r>
      <w:r>
        <w:t xml:space="preserve">— those who till, who cultivate (by ploughing the earth). This word is accusative plural.</w:t>
      </w:r>
    </w:p>
    <w:p>
      <w:pPr>
        <w:pStyle w:val="BodyText"/>
      </w:pPr>
      <w:r>
        <w:rPr>
          <w:bCs/>
          <w:b/>
        </w:rPr>
        <w:t xml:space="preserve">“</w:t>
      </w:r>
      <w:r>
        <w:rPr>
          <w:bCs/>
          <w:b/>
        </w:rPr>
        <w:t xml:space="preserve">Īśānaḥ</w:t>
      </w:r>
      <w:r>
        <w:rPr>
          <w:bCs/>
          <w:b/>
        </w:rPr>
        <w:t xml:space="preserve">”</w:t>
      </w:r>
      <w:r>
        <w:t xml:space="preserve"> </w:t>
      </w:r>
      <w:r>
        <w:t xml:space="preserve">— a form of the root</w:t>
      </w:r>
      <w:r>
        <w:t xml:space="preserve"> </w:t>
      </w:r>
      <w:r>
        <w:rPr>
          <w:iCs/>
          <w:i/>
        </w:rPr>
        <w:t xml:space="preserve">īśa aiśvarye</w:t>
      </w:r>
      <w:r>
        <w:t xml:space="preserve"> </w:t>
      </w:r>
      <w:r>
        <w:t xml:space="preserve">(</w:t>
      </w:r>
      <w:r>
        <w:t xml:space="preserve">“</w:t>
      </w:r>
      <w:r>
        <w:t xml:space="preserve">to be master</w:t>
      </w:r>
      <w:r>
        <w:t xml:space="preserve">”</w:t>
      </w:r>
      <w:r>
        <w:t xml:space="preserve">); the lord; the all-capable.</w:t>
      </w:r>
    </w:p>
    <w:bookmarkEnd w:id="323"/>
    <w:bookmarkStart w:id="324" w:name="page-293"/>
    <w:p>
      <w:pPr>
        <w:pStyle w:val="Heading3"/>
      </w:pPr>
      <w:r>
        <w:t xml:space="preserve">Page 293</w:t>
      </w:r>
    </w:p>
    <w:p>
      <w:pPr>
        <w:pStyle w:val="FirstParagraph"/>
      </w:pPr>
      <w:r>
        <w:rPr>
          <w:bCs/>
          <w:b/>
        </w:rPr>
        <w:t xml:space="preserve">“</w:t>
      </w:r>
      <w:r>
        <w:rPr>
          <w:bCs/>
          <w:b/>
        </w:rPr>
        <w:t xml:space="preserve">Apratiṣkutaḥ</w:t>
      </w:r>
      <w:r>
        <w:rPr>
          <w:bCs/>
          <w:b/>
        </w:rPr>
        <w:t xml:space="preserve">”</w:t>
      </w:r>
      <w:r>
        <w:t xml:space="preserve"> </w:t>
      </w:r>
      <w:r>
        <w:t xml:space="preserve">— Sāyaṇa’s gloss:</w:t>
      </w:r>
      <w:r>
        <w:t xml:space="preserve"> </w:t>
      </w:r>
      <w:r>
        <w:rPr>
          <w:bCs/>
          <w:b/>
        </w:rPr>
        <w:t xml:space="preserve">अप्रतिशब्दितः । कु शब्दे । कर्मणि क्तः ॥</w:t>
      </w:r>
      <w:r>
        <w:t xml:space="preserve"> </w:t>
      </w:r>
      <w:r>
        <w:t xml:space="preserve">(</w:t>
      </w:r>
      <w:r>
        <w:rPr>
          <w:iCs/>
          <w:i/>
        </w:rPr>
        <w:t xml:space="preserve">apratiśabditaḥ | ku śabde | karmaṇi ktaḥ ||</w:t>
      </w:r>
      <w:r>
        <w:t xml:space="preserve">) —</w:t>
      </w:r>
      <w:r>
        <w:t xml:space="preserve"> </w:t>
      </w:r>
      <w:r>
        <w:t xml:space="preserve">“</w:t>
      </w:r>
      <w:r>
        <w:t xml:space="preserve">one to whom no counter-word is spoken; [root]</w:t>
      </w:r>
      <w:r>
        <w:t xml:space="preserve"> </w:t>
      </w:r>
      <w:r>
        <w:rPr>
          <w:iCs/>
          <w:i/>
        </w:rPr>
        <w:t xml:space="preserve">ku</w:t>
      </w:r>
      <w:r>
        <w:t xml:space="preserve"> </w:t>
      </w:r>
      <w:r>
        <w:t xml:space="preserve">in the sense of sound;</w:t>
      </w:r>
      <w:r>
        <w:t xml:space="preserve"> </w:t>
      </w:r>
      <w:r>
        <w:rPr>
          <w:iCs/>
          <w:i/>
        </w:rPr>
        <w:t xml:space="preserve">kta</w:t>
      </w:r>
      <w:r>
        <w:t xml:space="preserve"> </w:t>
      </w:r>
      <w:r>
        <w:t xml:space="preserve">in the passive.</w:t>
      </w:r>
      <w:r>
        <w:t xml:space="preserve">”</w:t>
      </w:r>
      <w:r>
        <w:t xml:space="preserve"> </w:t>
      </w:r>
      <w:r>
        <w:t xml:space="preserve">That is, the root</w:t>
      </w:r>
      <w:r>
        <w:t xml:space="preserve"> </w:t>
      </w:r>
      <w:r>
        <w:rPr>
          <w:iCs/>
          <w:i/>
        </w:rPr>
        <w:t xml:space="preserve">ku</w:t>
      </w:r>
      <w:r>
        <w:t xml:space="preserve"> </w:t>
      </w:r>
      <w:r>
        <w:t xml:space="preserve">means</w:t>
      </w:r>
      <w:r>
        <w:t xml:space="preserve"> </w:t>
      </w:r>
      <w:r>
        <w:t xml:space="preserve">“</w:t>
      </w:r>
      <w:r>
        <w:t xml:space="preserve">to make a sound.</w:t>
      </w:r>
      <w:r>
        <w:t xml:space="preserve">”</w:t>
      </w:r>
      <w:r>
        <w:t xml:space="preserve"> </w:t>
      </w:r>
      <w:r>
        <w:t xml:space="preserve">The word</w:t>
      </w:r>
      <w:r>
        <w:t xml:space="preserve"> </w:t>
      </w:r>
      <w:r>
        <w:rPr>
          <w:iCs/>
          <w:i/>
        </w:rPr>
        <w:t xml:space="preserve">apratiṣkutaḥ</w:t>
      </w:r>
      <w:r>
        <w:t xml:space="preserve">, formed from this root, means</w:t>
      </w:r>
      <w:r>
        <w:t xml:space="preserve"> </w:t>
      </w:r>
      <w:r>
        <w:rPr>
          <w:iCs/>
          <w:i/>
        </w:rPr>
        <w:t xml:space="preserve">apratiśabditaḥ</w:t>
      </w:r>
      <w:r>
        <w:t xml:space="preserve"> </w:t>
      </w:r>
      <w:r>
        <w:t xml:space="preserve">— one whose word has no opposition, no equal, who is unobstructed.</w:t>
      </w:r>
    </w:p>
    <w:p>
      <w:pPr>
        <w:pStyle w:val="BodyText"/>
      </w:pPr>
      <w:r>
        <w:rPr>
          <w:bCs/>
          <w:b/>
        </w:rPr>
        <w:t xml:space="preserve">॥ Vyākaraṇa-prakriyā ॥</w:t>
      </w:r>
    </w:p>
    <w:p>
      <w:pPr>
        <w:pStyle w:val="BodyText"/>
      </w:pPr>
      <w:r>
        <w:rPr>
          <w:iCs/>
          <w:i/>
        </w:rPr>
        <w:t xml:space="preserve">(Pp. 293–294. Page header p. 293:</w:t>
      </w:r>
      <w:r>
        <w:rPr>
          <w:iCs/>
          <w:i/>
        </w:rPr>
        <w:t xml:space="preserve"> </w:t>
      </w:r>
      <w:r>
        <w:rPr>
          <w:iCs/>
          <w:i/>
        </w:rPr>
        <w:t xml:space="preserve">“</w:t>
      </w:r>
      <w:r>
        <w:rPr>
          <w:iCs/>
          <w:i/>
        </w:rPr>
        <w:t xml:space="preserve">A. 1, A. 1, Va. 14.</w:t>
      </w:r>
      <w:r>
        <w:rPr>
          <w:iCs/>
          <w:i/>
        </w:rPr>
        <w:t xml:space="preserve">”</w:t>
      </w:r>
      <w:r>
        <w:rPr>
          <w:iCs/>
          <w:i/>
        </w:rPr>
        <w:t xml:space="preserve"> </w:t>
      </w:r>
      <w:r>
        <w:rPr>
          <w:iCs/>
          <w:i/>
        </w:rPr>
        <w:t xml:space="preserve">Characterized; numbers as printed.)</w:t>
      </w:r>
    </w:p>
    <w:p>
      <w:pPr>
        <w:numPr>
          <w:ilvl w:val="0"/>
          <w:numId w:val="1045"/>
        </w:numPr>
        <w:pStyle w:val="Compact"/>
      </w:pPr>
      <w:r>
        <w:rPr>
          <w:bCs/>
          <w:b/>
        </w:rPr>
        <w:t xml:space="preserve">वृषा (</w:t>
      </w:r>
      <w:r>
        <w:rPr>
          <w:iCs/>
          <w:i/>
          <w:bCs/>
          <w:b/>
        </w:rPr>
        <w:t xml:space="preserve">vṛṣā</w:t>
      </w:r>
      <w:r>
        <w:rPr>
          <w:bCs/>
          <w:b/>
        </w:rPr>
        <w:t xml:space="preserve">)</w:t>
      </w:r>
      <w:r>
        <w:t xml:space="preserve"> </w:t>
      </w:r>
      <w:r>
        <w:t xml:space="preserve">— from root</w:t>
      </w:r>
      <w:r>
        <w:t xml:space="preserve"> </w:t>
      </w:r>
      <w:r>
        <w:rPr>
          <w:iCs/>
          <w:i/>
        </w:rPr>
        <w:t xml:space="preserve">vṛṣu secane</w:t>
      </w:r>
      <w:r>
        <w:t xml:space="preserve"> </w:t>
      </w:r>
      <w:r>
        <w:t xml:space="preserve">(</w:t>
      </w:r>
      <w:r>
        <w:t xml:space="preserve">“</w:t>
      </w:r>
      <w:r>
        <w:t xml:space="preserve">to sprinkle, shower</w:t>
      </w:r>
      <w:r>
        <w:t xml:space="preserve">”</w:t>
      </w:r>
      <w:r>
        <w:t xml:space="preserve">) with</w:t>
      </w:r>
      <w:r>
        <w:t xml:space="preserve"> </w:t>
      </w:r>
      <w:r>
        <w:t xml:space="preserve">“</w:t>
      </w:r>
      <w:r>
        <w:t xml:space="preserve">kanin</w:t>
      </w:r>
      <w:r>
        <w:t xml:space="preserve">”</w:t>
      </w:r>
      <w:r>
        <w:t xml:space="preserve"> </w:t>
      </w:r>
      <w:r>
        <w:t xml:space="preserve">by</w:t>
      </w:r>
      <w:r>
        <w:t xml:space="preserve"> </w:t>
      </w:r>
      <w:r>
        <w:rPr>
          <w:bCs/>
          <w:b/>
        </w:rPr>
        <w:t xml:space="preserve">कनिन्युवृषितक्षिराजिधन्विद्युप्रतिदिवः</w:t>
      </w:r>
      <w:r>
        <w:t xml:space="preserve"> </w:t>
      </w:r>
      <w:r>
        <w:t xml:space="preserve">(उ. सू. १-१५४ [?], the last digit unclear; the bhāṣya gave</w:t>
      </w:r>
      <w:r>
        <w:t xml:space="preserve"> </w:t>
      </w:r>
      <w:r>
        <w:t xml:space="preserve">“</w:t>
      </w:r>
      <w:r>
        <w:t xml:space="preserve">१-१५६</w:t>
      </w:r>
      <w:r>
        <w:t xml:space="preserve">”</w:t>
      </w:r>
      <w:r>
        <w:t xml:space="preserve">), the roots glossed one by one;</w:t>
      </w:r>
      <w:r>
        <w:t xml:space="preserve"> </w:t>
      </w:r>
      <w:r>
        <w:t xml:space="preserve">“</w:t>
      </w:r>
      <w:r>
        <w:t xml:space="preserve">kit,</w:t>
      </w:r>
      <w:r>
        <w:t xml:space="preserve">”</w:t>
      </w:r>
      <w:r>
        <w:t xml:space="preserve"> </w:t>
      </w:r>
      <w:r>
        <w:t xml:space="preserve">so no guṇa of the light penultimate;</w:t>
      </w:r>
      <w:r>
        <w:t xml:space="preserve"> </w:t>
      </w:r>
      <w:r>
        <w:t xml:space="preserve">“</w:t>
      </w:r>
      <w:r>
        <w:t xml:space="preserve">n</w:t>
      </w:r>
      <w:r>
        <w:t xml:space="preserve">”</w:t>
      </w:r>
      <w:r>
        <w:t xml:space="preserve">-marked, first-syllable acute.</w:t>
      </w:r>
    </w:p>
    <w:p>
      <w:pPr>
        <w:numPr>
          <w:ilvl w:val="0"/>
          <w:numId w:val="1045"/>
        </w:numPr>
        <w:pStyle w:val="Compact"/>
      </w:pPr>
      <w:r>
        <w:rPr>
          <w:bCs/>
          <w:b/>
        </w:rPr>
        <w:t xml:space="preserve">यूथा इव (</w:t>
      </w:r>
      <w:r>
        <w:rPr>
          <w:iCs/>
          <w:i/>
          <w:bCs/>
          <w:b/>
        </w:rPr>
        <w:t xml:space="preserve">yūthā iva</w:t>
      </w:r>
      <w:r>
        <w:rPr>
          <w:bCs/>
          <w:b/>
        </w:rPr>
        <w:t xml:space="preserve">)</w:t>
      </w:r>
      <w:r>
        <w:t xml:space="preserve"> </w:t>
      </w:r>
      <w:r>
        <w:t xml:space="preserve">— root</w:t>
      </w:r>
      <w:r>
        <w:t xml:space="preserve"> </w:t>
      </w:r>
      <w:r>
        <w:rPr>
          <w:iCs/>
          <w:i/>
        </w:rPr>
        <w:t xml:space="preserve">yu miśraṇāmiśraṇayoḥ</w:t>
      </w:r>
      <w:r>
        <w:t xml:space="preserve"> </w:t>
      </w:r>
      <w:r>
        <w:t xml:space="preserve">(</w:t>
      </w:r>
      <w:r>
        <w:t xml:space="preserve">“</w:t>
      </w:r>
      <w:r>
        <w:t xml:space="preserve">to join, to separate</w:t>
      </w:r>
      <w:r>
        <w:t xml:space="preserve">”</w:t>
      </w:r>
      <w:r>
        <w:t xml:space="preserve">) with</w:t>
      </w:r>
      <w:r>
        <w:t xml:space="preserve"> </w:t>
      </w:r>
      <w:r>
        <w:rPr>
          <w:iCs/>
          <w:i/>
        </w:rPr>
        <w:t xml:space="preserve">thak</w:t>
      </w:r>
      <w:r>
        <w:t xml:space="preserve">, formed irregularly (</w:t>
      </w:r>
      <w:r>
        <w:rPr>
          <w:iCs/>
          <w:i/>
        </w:rPr>
        <w:t xml:space="preserve">nipātita</w:t>
      </w:r>
      <w:r>
        <w:t xml:space="preserve">) by</w:t>
      </w:r>
      <w:r>
        <w:t xml:space="preserve"> </w:t>
      </w:r>
      <w:r>
        <w:rPr>
          <w:bCs/>
          <w:b/>
        </w:rPr>
        <w:t xml:space="preserve">तिथपृष्ठगूथयूथप्रोथाः</w:t>
      </w:r>
      <w:r>
        <w:t xml:space="preserve"> </w:t>
      </w:r>
      <w:r>
        <w:t xml:space="preserve">(उ. सू. २-१२); the long vowel arises from that irregularity;</w:t>
      </w:r>
      <w:r>
        <w:t xml:space="preserve"> </w:t>
      </w:r>
      <w:r>
        <w:rPr>
          <w:iCs/>
          <w:i/>
        </w:rPr>
        <w:t xml:space="preserve">ā</w:t>
      </w:r>
      <w:r>
        <w:t xml:space="preserve"> </w:t>
      </w:r>
      <w:r>
        <w:t xml:space="preserve">is udātta by the suffix;</w:t>
      </w:r>
      <w:r>
        <w:t xml:space="preserve"> </w:t>
      </w:r>
      <w:r>
        <w:t xml:space="preserve">“</w:t>
      </w:r>
      <w:r>
        <w:t xml:space="preserve">śi</w:t>
      </w:r>
      <w:r>
        <w:t xml:space="preserve">”</w:t>
      </w:r>
      <w:r>
        <w:t xml:space="preserve"> </w:t>
      </w:r>
      <w:r>
        <w:t xml:space="preserve">for</w:t>
      </w:r>
      <w:r>
        <w:t xml:space="preserve"> </w:t>
      </w:r>
      <w:r>
        <w:t xml:space="preserve">“</w:t>
      </w:r>
      <w:r>
        <w:t xml:space="preserve">jas</w:t>
      </w:r>
      <w:r>
        <w:t xml:space="preserve">”</w:t>
      </w:r>
      <w:r>
        <w:t xml:space="preserve"> </w:t>
      </w:r>
      <w:r>
        <w:t xml:space="preserve">by</w:t>
      </w:r>
      <w:r>
        <w:t xml:space="preserve"> </w:t>
      </w:r>
      <w:r>
        <w:rPr>
          <w:bCs/>
          <w:b/>
        </w:rPr>
        <w:t xml:space="preserve">जश्शसोः शिः</w:t>
      </w:r>
      <w:r>
        <w:t xml:space="preserve"> </w:t>
      </w:r>
      <w:r>
        <w:t xml:space="preserve">(पा. सू. ७-१-२०), elided by</w:t>
      </w:r>
      <w:r>
        <w:t xml:space="preserve"> </w:t>
      </w:r>
      <w:r>
        <w:rPr>
          <w:bCs/>
          <w:b/>
        </w:rPr>
        <w:t xml:space="preserve">शेश्छन्दसि बहुलम्</w:t>
      </w:r>
      <w:r>
        <w:t xml:space="preserve"> </w:t>
      </w:r>
      <w:r>
        <w:t xml:space="preserve">(पा. सू. ६-१-७०) — since</w:t>
      </w:r>
      <w:r>
        <w:t xml:space="preserve"> </w:t>
      </w:r>
      <w:r>
        <w:t xml:space="preserve">“</w:t>
      </w:r>
      <w:r>
        <w:t xml:space="preserve">lopaḥ</w:t>
      </w:r>
      <w:r>
        <w:t xml:space="preserve">”</w:t>
      </w:r>
      <w:r>
        <w:t xml:space="preserve"> </w:t>
      </w:r>
      <w:r>
        <w:t xml:space="preserve">carries on from</w:t>
      </w:r>
      <w:r>
        <w:t xml:space="preserve"> </w:t>
      </w:r>
      <w:r>
        <w:rPr>
          <w:bCs/>
          <w:b/>
        </w:rPr>
        <w:t xml:space="preserve">लोपो व्योर्वलि</w:t>
      </w:r>
      <w:r>
        <w:t xml:space="preserve"> </w:t>
      </w:r>
      <w:r>
        <w:t xml:space="preserve">(पा. सू. ६-१-६६) and</w:t>
      </w:r>
      <w:r>
        <w:t xml:space="preserve"> </w:t>
      </w:r>
      <w:r>
        <w:t xml:space="preserve">“</w:t>
      </w:r>
      <w:r>
        <w:t xml:space="preserve">luk</w:t>
      </w:r>
      <w:r>
        <w:t xml:space="preserve">”</w:t>
      </w:r>
      <w:r>
        <w:t xml:space="preserve"> </w:t>
      </w:r>
      <w:r>
        <w:t xml:space="preserve">does not, it is wrong to explain it as</w:t>
      </w:r>
      <w:r>
        <w:t xml:space="preserve"> </w:t>
      </w:r>
      <w:r>
        <w:t xml:space="preserve">“</w:t>
      </w:r>
      <w:r>
        <w:t xml:space="preserve">luk</w:t>
      </w:r>
      <w:r>
        <w:t xml:space="preserve">”</w:t>
      </w:r>
      <w:r>
        <w:t xml:space="preserve">; the compound with</w:t>
      </w:r>
      <w:r>
        <w:t xml:space="preserve"> </w:t>
      </w:r>
      <w:r>
        <w:rPr>
          <w:iCs/>
          <w:i/>
        </w:rPr>
        <w:t xml:space="preserve">iva</w:t>
      </w:r>
      <w:r>
        <w:t xml:space="preserve"> </w:t>
      </w:r>
      <w:r>
        <w:t xml:space="preserve">(</w:t>
      </w:r>
      <w:r>
        <w:rPr>
          <w:iCs/>
          <w:i/>
        </w:rPr>
        <w:t xml:space="preserve">ivena samāsaḥ vibhakty-alopaḥ pūrvapadaprakṛtisvaratvaṃ ca vaktavyam</w:t>
      </w:r>
      <w:r>
        <w:t xml:space="preserve">, Pā. 2-1-4</w:t>
      </w:r>
      <w:r>
        <w:t xml:space="preserve"> </w:t>
      </w:r>
      <w:r>
        <w:rPr>
          <w:iCs/>
          <w:i/>
        </w:rPr>
        <w:t xml:space="preserve">vārttika</w:t>
      </w:r>
      <w:r>
        <w:t xml:space="preserve"> </w:t>
      </w:r>
      <w:r>
        <w:t xml:space="preserve">2) keeps the first member’s accent.</w:t>
      </w:r>
    </w:p>
    <w:p>
      <w:pPr>
        <w:numPr>
          <w:ilvl w:val="0"/>
          <w:numId w:val="1045"/>
        </w:numPr>
        <w:pStyle w:val="Compact"/>
      </w:pPr>
      <w:r>
        <w:rPr>
          <w:bCs/>
          <w:b/>
        </w:rPr>
        <w:t xml:space="preserve">वंसगः (</w:t>
      </w:r>
      <w:r>
        <w:rPr>
          <w:iCs/>
          <w:i/>
          <w:bCs/>
          <w:b/>
        </w:rPr>
        <w:t xml:space="preserve">vaṃsagaḥ</w:t>
      </w:r>
      <w:r>
        <w:rPr>
          <w:bCs/>
          <w:b/>
        </w:rPr>
        <w:t xml:space="preserve">)</w:t>
      </w:r>
      <w:r>
        <w:t xml:space="preserve"> </w:t>
      </w:r>
      <w:r>
        <w:t xml:space="preserve">— a</w:t>
      </w:r>
      <w:r>
        <w:t xml:space="preserve"> </w:t>
      </w:r>
      <w:r>
        <w:rPr>
          <w:iCs/>
          <w:i/>
        </w:rPr>
        <w:t xml:space="preserve">pṛṣodarādi</w:t>
      </w:r>
      <w:r>
        <w:t xml:space="preserve"> </w:t>
      </w:r>
      <w:r>
        <w:t xml:space="preserve">form (Pā. 6-3-109): the desired shape and accent are established.</w:t>
      </w:r>
    </w:p>
    <w:p>
      <w:pPr>
        <w:numPr>
          <w:ilvl w:val="0"/>
          <w:numId w:val="1045"/>
        </w:numPr>
        <w:pStyle w:val="Compact"/>
      </w:pPr>
      <w:r>
        <w:rPr>
          <w:bCs/>
          <w:b/>
        </w:rPr>
        <w:t xml:space="preserve">कृष्टीः (</w:t>
      </w:r>
      <w:r>
        <w:rPr>
          <w:iCs/>
          <w:i/>
          <w:bCs/>
          <w:b/>
        </w:rPr>
        <w:t xml:space="preserve">kṛṣṭīḥ</w:t>
      </w:r>
      <w:r>
        <w:rPr>
          <w:bCs/>
          <w:b/>
        </w:rPr>
        <w:t xml:space="preserve">)</w:t>
      </w:r>
      <w:r>
        <w:t xml:space="preserve"> </w:t>
      </w:r>
      <w:r>
        <w:t xml:space="preserve">—</w:t>
      </w:r>
      <w:r>
        <w:t xml:space="preserve"> </w:t>
      </w:r>
      <w:r>
        <w:rPr>
          <w:iCs/>
          <w:i/>
        </w:rPr>
        <w:t xml:space="preserve">karṣanti iti kṛṣṭayaḥ</w:t>
      </w:r>
      <w:r>
        <w:t xml:space="preserve">;</w:t>
      </w:r>
      <w:r>
        <w:t xml:space="preserve"> </w:t>
      </w:r>
      <w:r>
        <w:rPr>
          <w:iCs/>
          <w:i/>
        </w:rPr>
        <w:t xml:space="preserve">ktic</w:t>
      </w:r>
      <w:r>
        <w:t xml:space="preserve"> </w:t>
      </w:r>
      <w:r>
        <w:t xml:space="preserve">suffix by</w:t>
      </w:r>
      <w:r>
        <w:t xml:space="preserve"> </w:t>
      </w:r>
      <w:r>
        <w:t xml:space="preserve">“</w:t>
      </w:r>
      <w:r>
        <w:t xml:space="preserve">ktic-ktau ca saṃjñāyām</w:t>
      </w:r>
      <w:r>
        <w:t xml:space="preserve">”</w:t>
      </w:r>
      <w:r>
        <w:t xml:space="preserve"> </w:t>
      </w:r>
      <w:r>
        <w:t xml:space="preserve">(Pā. 3-3-174); final-udātta by</w:t>
      </w:r>
      <w:r>
        <w:t xml:space="preserve"> </w:t>
      </w:r>
      <w:r>
        <w:rPr>
          <w:iCs/>
          <w:i/>
        </w:rPr>
        <w:t xml:space="preserve">cit</w:t>
      </w:r>
      <w:r>
        <w:t xml:space="preserve"> </w:t>
      </w:r>
      <w:r>
        <w:t xml:space="preserve">(Pā. 6-1-163).</w:t>
      </w:r>
    </w:p>
    <w:p>
      <w:pPr>
        <w:numPr>
          <w:ilvl w:val="0"/>
          <w:numId w:val="1045"/>
        </w:numPr>
        <w:pStyle w:val="Compact"/>
      </w:pPr>
      <w:r>
        <w:rPr>
          <w:bCs/>
          <w:b/>
        </w:rPr>
        <w:t xml:space="preserve">इयर्ति (</w:t>
      </w:r>
      <w:r>
        <w:rPr>
          <w:iCs/>
          <w:i/>
          <w:bCs/>
          <w:b/>
        </w:rPr>
        <w:t xml:space="preserve">iyarti</w:t>
      </w:r>
      <w:r>
        <w:rPr>
          <w:bCs/>
          <w:b/>
        </w:rPr>
        <w:t xml:space="preserve">)</w:t>
      </w:r>
      <w:r>
        <w:t xml:space="preserve"> </w:t>
      </w:r>
      <w:r>
        <w:t xml:space="preserve">— root</w:t>
      </w:r>
      <w:r>
        <w:t xml:space="preserve"> </w:t>
      </w:r>
      <w:r>
        <w:rPr>
          <w:iCs/>
          <w:i/>
        </w:rPr>
        <w:t xml:space="preserve">ṛ</w:t>
      </w:r>
      <w:r>
        <w:t xml:space="preserve"> </w:t>
      </w:r>
      <w:r>
        <w:t xml:space="preserve">(</w:t>
      </w:r>
      <w:r>
        <w:t xml:space="preserve">“</w:t>
      </w:r>
      <w:r>
        <w:t xml:space="preserve">to go</w:t>
      </w:r>
      <w:r>
        <w:t xml:space="preserve">”</w:t>
      </w:r>
      <w:r>
        <w:t xml:space="preserve">) +</w:t>
      </w:r>
      <w:r>
        <w:t xml:space="preserve"> </w:t>
      </w:r>
      <w:r>
        <w:rPr>
          <w:iCs/>
          <w:i/>
        </w:rPr>
        <w:t xml:space="preserve">laṭ</w:t>
      </w:r>
      <w:r>
        <w:t xml:space="preserve">, third singular</w:t>
      </w:r>
      <w:r>
        <w:t xml:space="preserve"> </w:t>
      </w:r>
      <w:r>
        <w:rPr>
          <w:iCs/>
          <w:i/>
        </w:rPr>
        <w:t xml:space="preserve">tip</w:t>
      </w:r>
      <w:r>
        <w:t xml:space="preserve">;</w:t>
      </w:r>
      <w:r>
        <w:t xml:space="preserve"> </w:t>
      </w:r>
      <w:r>
        <w:rPr>
          <w:iCs/>
          <w:i/>
        </w:rPr>
        <w:t xml:space="preserve">śap</w:t>
      </w:r>
      <w:r>
        <w:t xml:space="preserve"> </w:t>
      </w:r>
      <w:r>
        <w:t xml:space="preserve">then</w:t>
      </w:r>
      <w:r>
        <w:t xml:space="preserve"> </w:t>
      </w:r>
      <w:r>
        <w:rPr>
          <w:iCs/>
          <w:i/>
        </w:rPr>
        <w:t xml:space="preserve">śluḥ</w:t>
      </w:r>
      <w:r>
        <w:t xml:space="preserve"> </w:t>
      </w:r>
      <w:r>
        <w:t xml:space="preserve">by</w:t>
      </w:r>
      <w:r>
        <w:t xml:space="preserve"> </w:t>
      </w:r>
      <w:r>
        <w:t xml:space="preserve">“</w:t>
      </w:r>
      <w:r>
        <w:t xml:space="preserve">juhotyādibhyaḥ śluḥ</w:t>
      </w:r>
      <w:r>
        <w:t xml:space="preserve">”</w:t>
      </w:r>
      <w:r>
        <w:t xml:space="preserve"> </w:t>
      </w:r>
      <w:r>
        <w:t xml:space="preserve">(Pā. 2-4-75); doubling by</w:t>
      </w:r>
      <w:r>
        <w:t xml:space="preserve"> </w:t>
      </w:r>
      <w:r>
        <w:rPr>
          <w:bCs/>
          <w:b/>
        </w:rPr>
        <w:t xml:space="preserve">श्लौ</w:t>
      </w:r>
      <w:r>
        <w:t xml:space="preserve"> </w:t>
      </w:r>
      <w:r>
        <w:t xml:space="preserve">(पा. सू. ६-१-१०);</w:t>
      </w:r>
      <w:r>
        <w:t xml:space="preserve"> </w:t>
      </w:r>
      <w:r>
        <w:rPr>
          <w:bCs/>
          <w:b/>
        </w:rPr>
        <w:t xml:space="preserve">उरत्</w:t>
      </w:r>
      <w:r>
        <w:t xml:space="preserve"> </w:t>
      </w:r>
      <w:r>
        <w:t xml:space="preserve">(पा. सू. ७-४-६६)</w:t>
      </w:r>
      <w:r>
        <w:t xml:space="preserve"> </w:t>
      </w:r>
      <w:r>
        <w:t xml:space="preserve">“</w:t>
      </w:r>
      <w:r>
        <w:t xml:space="preserve">a</w:t>
      </w:r>
      <w:r>
        <w:t xml:space="preserve">”</w:t>
      </w:r>
      <w:r>
        <w:t xml:space="preserve"> </w:t>
      </w:r>
      <w:r>
        <w:t xml:space="preserve">for the reduplicate</w:t>
      </w:r>
      <w:r>
        <w:t xml:space="preserve"> </w:t>
      </w:r>
      <w:r>
        <w:t xml:space="preserve">“</w:t>
      </w:r>
      <w:r>
        <w:t xml:space="preserve">ṛ,</w:t>
      </w:r>
      <w:r>
        <w:t xml:space="preserve">”</w:t>
      </w:r>
      <w:r>
        <w:t xml:space="preserve"> </w:t>
      </w:r>
      <w:r>
        <w:t xml:space="preserve">with</w:t>
      </w:r>
      <w:r>
        <w:t xml:space="preserve"> </w:t>
      </w:r>
      <w:r>
        <w:t xml:space="preserve">“</w:t>
      </w:r>
      <w:r>
        <w:t xml:space="preserve">r</w:t>
      </w:r>
      <w:r>
        <w:t xml:space="preserve">”</w:t>
      </w:r>
      <w:r>
        <w:t xml:space="preserve"> </w:t>
      </w:r>
      <w:r>
        <w:t xml:space="preserve">by</w:t>
      </w:r>
      <w:r>
        <w:t xml:space="preserve"> </w:t>
      </w:r>
      <w:r>
        <w:rPr>
          <w:bCs/>
          <w:b/>
        </w:rPr>
        <w:t xml:space="preserve">उरण् रपरः</w:t>
      </w:r>
      <w:r>
        <w:t xml:space="preserve"> </w:t>
      </w:r>
      <w:r>
        <w:t xml:space="preserve">(पा. सू. १-१-५१); in</w:t>
      </w:r>
      <w:r>
        <w:t xml:space="preserve"> </w:t>
      </w:r>
      <w:r>
        <w:t xml:space="preserve">“</w:t>
      </w:r>
      <w:r>
        <w:t xml:space="preserve">ar-ṛ-ti</w:t>
      </w:r>
      <w:r>
        <w:t xml:space="preserve">”</w:t>
      </w:r>
      <w:r>
        <w:t xml:space="preserve"> </w:t>
      </w:r>
      <w:r>
        <w:rPr>
          <w:bCs/>
          <w:b/>
        </w:rPr>
        <w:t xml:space="preserve">हलादिः शेषः</w:t>
      </w:r>
      <w:r>
        <w:t xml:space="preserve"> </w:t>
      </w:r>
      <w:r>
        <w:t xml:space="preserve">(पा. सू. ७-४-६०) keeps only the first consonant (by the class view of</w:t>
      </w:r>
      <w:r>
        <w:t xml:space="preserve"> </w:t>
      </w:r>
      <w:r>
        <w:t xml:space="preserve">“</w:t>
      </w:r>
      <w:r>
        <w:t xml:space="preserve">abhyāsa</w:t>
      </w:r>
      <w:r>
        <w:t xml:space="preserve">”</w:t>
      </w:r>
      <w:r>
        <w:t xml:space="preserve">), so</w:t>
      </w:r>
      <w:r>
        <w:t xml:space="preserve"> </w:t>
      </w:r>
      <w:r>
        <w:t xml:space="preserve">“</w:t>
      </w:r>
      <w:r>
        <w:t xml:space="preserve">r</w:t>
      </w:r>
      <w:r>
        <w:t xml:space="preserve">”</w:t>
      </w:r>
      <w:r>
        <w:t xml:space="preserve"> </w:t>
      </w:r>
      <w:r>
        <w:t xml:space="preserve">is lost; or, in the Aṣṭādhyāyī as recited in saṃhitā,</w:t>
      </w:r>
      <w:r>
        <w:t xml:space="preserve"> </w:t>
      </w:r>
      <w:r>
        <w:t xml:space="preserve">“</w:t>
      </w:r>
      <w:r>
        <w:t xml:space="preserve">hrasvo ’halādiḥ śeṣaḥ</w:t>
      </w:r>
      <w:r>
        <w:t xml:space="preserve">”</w:t>
      </w:r>
      <w:r>
        <w:t xml:space="preserve"> </w:t>
      </w:r>
      <w:r>
        <w:t xml:space="preserve">is divided as</w:t>
      </w:r>
      <w:r>
        <w:t xml:space="preserve"> </w:t>
      </w:r>
      <w:r>
        <w:rPr>
          <w:bCs/>
          <w:b/>
        </w:rPr>
        <w:t xml:space="preserve">ह्रस्वः</w:t>
      </w:r>
      <w:r>
        <w:t xml:space="preserve"> </w:t>
      </w:r>
      <w:r>
        <w:t xml:space="preserve">(पा. सू. ७-४-५९),</w:t>
      </w:r>
      <w:r>
        <w:t xml:space="preserve"> </w:t>
      </w:r>
      <w:r>
        <w:t xml:space="preserve">“</w:t>
      </w:r>
      <w:r>
        <w:t xml:space="preserve">ahal,</w:t>
      </w:r>
      <w:r>
        <w:t xml:space="preserve">”</w:t>
      </w:r>
      <w:r>
        <w:t xml:space="preserve"> </w:t>
      </w:r>
      <w:r>
        <w:t xml:space="preserve">“</w:t>
      </w:r>
      <w:r>
        <w:t xml:space="preserve">ādiḥ śeṣaḥ</w:t>
      </w:r>
      <w:r>
        <w:t xml:space="preserve">”</w:t>
      </w:r>
      <w:r>
        <w:t xml:space="preserve"> </w:t>
      </w:r>
      <w:r>
        <w:t xml:space="preserve">(७-४-६०)… (p. 294:)</w:t>
      </w:r>
      <w:r>
        <w:t xml:space="preserve"> </w:t>
      </w:r>
      <w:r>
        <w:t xml:space="preserve">“</w:t>
      </w:r>
      <w:r>
        <w:t xml:space="preserve">ahal</w:t>
      </w:r>
      <w:r>
        <w:t xml:space="preserve">”</w:t>
      </w:r>
      <w:r>
        <w:t xml:space="preserve"> </w:t>
      </w:r>
      <w:r>
        <w:t xml:space="preserve">removes the</w:t>
      </w:r>
      <w:r>
        <w:t xml:space="preserve"> </w:t>
      </w:r>
      <w:r>
        <w:t xml:space="preserve">“</w:t>
      </w:r>
      <w:r>
        <w:t xml:space="preserve">r</w:t>
      </w:r>
      <w:r>
        <w:t xml:space="preserve">”</w:t>
      </w:r>
      <w:r>
        <w:t xml:space="preserve">;</w:t>
      </w:r>
      <w:r>
        <w:t xml:space="preserve"> </w:t>
      </w:r>
      <w:r>
        <w:rPr>
          <w:bCs/>
          <w:b/>
        </w:rPr>
        <w:t xml:space="preserve">अर्तिपिपर्त्योश्च</w:t>
      </w:r>
      <w:r>
        <w:t xml:space="preserve"> </w:t>
      </w:r>
      <w:r>
        <w:t xml:space="preserve">(पा. सू. ७-४-७७)</w:t>
      </w:r>
      <w:r>
        <w:t xml:space="preserve"> </w:t>
      </w:r>
      <w:r>
        <w:t xml:space="preserve">“</w:t>
      </w:r>
      <w:r>
        <w:t xml:space="preserve">i</w:t>
      </w:r>
      <w:r>
        <w:t xml:space="preserve">”</w:t>
      </w:r>
      <w:r>
        <w:t xml:space="preserve"> </w:t>
      </w:r>
      <w:r>
        <w:t xml:space="preserve">for the reduplicate of</w:t>
      </w:r>
      <w:r>
        <w:t xml:space="preserve"> </w:t>
      </w:r>
      <w:r>
        <w:t xml:space="preserve">“</w:t>
      </w:r>
      <w:r>
        <w:t xml:space="preserve">ṛ</w:t>
      </w:r>
      <w:r>
        <w:t xml:space="preserve">”</w:t>
      </w:r>
      <w:r>
        <w:t xml:space="preserve"> </w:t>
      </w:r>
      <w:r>
        <w:t xml:space="preserve">and</w:t>
      </w:r>
      <w:r>
        <w:t xml:space="preserve"> </w:t>
      </w:r>
      <w:r>
        <w:t xml:space="preserve">“</w:t>
      </w:r>
      <w:r>
        <w:t xml:space="preserve">pṝ</w:t>
      </w:r>
      <w:r>
        <w:t xml:space="preserve">”</w:t>
      </w:r>
      <w:r>
        <w:t xml:space="preserve"> </w:t>
      </w:r>
      <w:r>
        <w:t xml:space="preserve">before</w:t>
      </w:r>
      <w:r>
        <w:t xml:space="preserve"> </w:t>
      </w:r>
      <w:r>
        <w:t xml:space="preserve">“</w:t>
      </w:r>
      <w:r>
        <w:t xml:space="preserve">ślu</w:t>
      </w:r>
      <w:r>
        <w:t xml:space="preserve">”</w:t>
      </w:r>
      <w:r>
        <w:t xml:space="preserve">;</w:t>
      </w:r>
      <w:r>
        <w:t xml:space="preserve"> </w:t>
      </w:r>
      <w:r>
        <w:t xml:space="preserve">“</w:t>
      </w:r>
      <w:r>
        <w:t xml:space="preserve">iyaṅ</w:t>
      </w:r>
      <w:r>
        <w:t xml:space="preserve">”</w:t>
      </w:r>
      <w:r>
        <w:t xml:space="preserve"> </w:t>
      </w:r>
      <w:r>
        <w:t xml:space="preserve">by</w:t>
      </w:r>
      <w:r>
        <w:t xml:space="preserve"> </w:t>
      </w:r>
      <w:r>
        <w:rPr>
          <w:bCs/>
          <w:b/>
        </w:rPr>
        <w:t xml:space="preserve">अभ्यासस्यासवर्णे</w:t>
      </w:r>
      <w:r>
        <w:t xml:space="preserve"> </w:t>
      </w:r>
      <w:r>
        <w:t xml:space="preserve">(पा. सू. ६-४-७८); guṇa with</w:t>
      </w:r>
      <w:r>
        <w:t xml:space="preserve"> </w:t>
      </w:r>
      <w:r>
        <w:t xml:space="preserve">“</w:t>
      </w:r>
      <w:r>
        <w:t xml:space="preserve">r</w:t>
      </w:r>
      <w:r>
        <w:t xml:space="preserve">”</w:t>
      </w:r>
      <w:r>
        <w:t xml:space="preserve"> </w:t>
      </w:r>
      <w:r>
        <w:t xml:space="preserve">(पा. सू. ७-३-८४):</w:t>
      </w:r>
      <w:r>
        <w:t xml:space="preserve"> </w:t>
      </w:r>
      <w:r>
        <w:t xml:space="preserve">“</w:t>
      </w:r>
      <w:r>
        <w:t xml:space="preserve">iyarti.</w:t>
      </w:r>
      <w:r>
        <w:t xml:space="preserve">”</w:t>
      </w:r>
      <w:r>
        <w:t xml:space="preserve"> </w:t>
      </w:r>
      <w:r>
        <w:t xml:space="preserve">The Bālamanoramā holds that</w:t>
      </w:r>
      <w:r>
        <w:t xml:space="preserve"> </w:t>
      </w:r>
      <w:r>
        <w:t xml:space="preserve">“</w:t>
      </w:r>
      <w:r>
        <w:t xml:space="preserve">arti-pipartyoś ca</w:t>
      </w:r>
      <w:r>
        <w:t xml:space="preserve">”</w:t>
      </w:r>
      <w:r>
        <w:t xml:space="preserve"> </w:t>
      </w:r>
      <w:r>
        <w:t xml:space="preserve">should set aside</w:t>
      </w:r>
      <w:r>
        <w:t xml:space="preserve"> </w:t>
      </w:r>
      <w:r>
        <w:t xml:space="preserve">“</w:t>
      </w:r>
      <w:r>
        <w:t xml:space="preserve">urat</w:t>
      </w:r>
      <w:r>
        <w:t xml:space="preserve">”</w:t>
      </w:r>
      <w:r>
        <w:t xml:space="preserve"> </w:t>
      </w:r>
      <w:r>
        <w:t xml:space="preserve">from the start; but by the paribhāṣā</w:t>
      </w:r>
      <w:r>
        <w:t xml:space="preserve"> </w:t>
      </w:r>
      <w:r>
        <w:rPr>
          <w:bCs/>
          <w:b/>
        </w:rPr>
        <w:t xml:space="preserve">अभ्यासविकारेषु बाध्यबाधकभावो नास्ति</w:t>
      </w:r>
      <w:r>
        <w:t xml:space="preserve"> </w:t>
      </w:r>
      <w:r>
        <w:t xml:space="preserve">(परिभा. ६४), and since Kaiyaṭa, on 7-4-77, gives the order</w:t>
      </w:r>
      <w:r>
        <w:t xml:space="preserve"> </w:t>
      </w:r>
      <w:r>
        <w:t xml:space="preserve">“</w:t>
      </w:r>
      <w:r>
        <w:t xml:space="preserve">tip, śap, ślu, doubling, urat, it, iyaṅ, guṇa with r,</w:t>
      </w:r>
      <w:r>
        <w:t xml:space="preserve">”</w:t>
      </w:r>
      <w:r>
        <w:t xml:space="preserve"> </w:t>
      </w:r>
      <w:r>
        <w:t xml:space="preserve">the process first given, following the Veda-bhāṣya, is right.</w:t>
      </w:r>
    </w:p>
    <w:p>
      <w:pPr>
        <w:numPr>
          <w:ilvl w:val="0"/>
          <w:numId w:val="1045"/>
        </w:numPr>
        <w:pStyle w:val="Compact"/>
      </w:pPr>
      <w:r>
        <w:rPr>
          <w:bCs/>
          <w:b/>
        </w:rPr>
        <w:t xml:space="preserve">ओजसा (</w:t>
      </w:r>
      <w:r>
        <w:rPr>
          <w:iCs/>
          <w:i/>
          <w:bCs/>
          <w:b/>
        </w:rPr>
        <w:t xml:space="preserve">ojasā</w:t>
      </w:r>
      <w:r>
        <w:rPr>
          <w:bCs/>
          <w:b/>
        </w:rPr>
        <w:t xml:space="preserve">)</w:t>
      </w:r>
      <w:r>
        <w:t xml:space="preserve"> </w:t>
      </w:r>
      <w:r>
        <w:t xml:space="preserve">— root</w:t>
      </w:r>
      <w:r>
        <w:t xml:space="preserve"> </w:t>
      </w:r>
      <w:r>
        <w:rPr>
          <w:iCs/>
          <w:i/>
        </w:rPr>
        <w:t xml:space="preserve">ubja ārjave</w:t>
      </w:r>
      <w:r>
        <w:t xml:space="preserve"> </w:t>
      </w:r>
      <w:r>
        <w:t xml:space="preserve">(</w:t>
      </w:r>
      <w:r>
        <w:t xml:space="preserve">“</w:t>
      </w:r>
      <w:r>
        <w:t xml:space="preserve">to be straight/strong</w:t>
      </w:r>
      <w:r>
        <w:t xml:space="preserve">”</w:t>
      </w:r>
      <w:r>
        <w:t xml:space="preserve">);</w:t>
      </w:r>
      <w:r>
        <w:t xml:space="preserve"> </w:t>
      </w:r>
      <w:r>
        <w:rPr>
          <w:iCs/>
          <w:i/>
        </w:rPr>
        <w:t xml:space="preserve">asun</w:t>
      </w:r>
      <w:r>
        <w:t xml:space="preserve"> </w:t>
      </w:r>
      <w:r>
        <w:t xml:space="preserve">with loss of</w:t>
      </w:r>
      <w:r>
        <w:t xml:space="preserve"> </w:t>
      </w:r>
      <w:r>
        <w:rPr>
          <w:iCs/>
          <w:i/>
        </w:rPr>
        <w:t xml:space="preserve">b</w:t>
      </w:r>
      <w:r>
        <w:t xml:space="preserve"> </w:t>
      </w:r>
      <w:r>
        <w:t xml:space="preserve">by</w:t>
      </w:r>
      <w:r>
        <w:t xml:space="preserve"> </w:t>
      </w:r>
      <w:r>
        <w:rPr>
          <w:bCs/>
          <w:b/>
        </w:rPr>
        <w:t xml:space="preserve">उब्जेर्बले बलोपश्च</w:t>
      </w:r>
      <w:r>
        <w:t xml:space="preserve"> </w:t>
      </w:r>
      <w:r>
        <w:t xml:space="preserve">(उ. सू. ४-६९१ [?], as printed; the bhāṣya gave</w:t>
      </w:r>
      <w:r>
        <w:t xml:space="preserve"> </w:t>
      </w:r>
      <w:r>
        <w:t xml:space="preserve">“</w:t>
      </w:r>
      <w:r>
        <w:t xml:space="preserve">४-१९१</w:t>
      </w:r>
      <w:r>
        <w:t xml:space="preserve">”</w:t>
      </w:r>
      <w:r>
        <w:t xml:space="preserve">) in the sense of strength; guṇa of the light penultimate by</w:t>
      </w:r>
      <w:r>
        <w:t xml:space="preserve"> </w:t>
      </w:r>
      <w:r>
        <w:rPr>
          <w:bCs/>
          <w:b/>
        </w:rPr>
        <w:t xml:space="preserve">पुगन्तलघूपधस्य च</w:t>
      </w:r>
      <w:r>
        <w:t xml:space="preserve"> </w:t>
      </w:r>
      <w:r>
        <w:t xml:space="preserve">(पा. सू. ७-३-८६);</w:t>
      </w:r>
      <w:r>
        <w:t xml:space="preserve"> </w:t>
      </w:r>
      <w:r>
        <w:t xml:space="preserve">“</w:t>
      </w:r>
      <w:r>
        <w:t xml:space="preserve">n</w:t>
      </w:r>
      <w:r>
        <w:t xml:space="preserve">”</w:t>
      </w:r>
      <w:r>
        <w:t xml:space="preserve">-marked, first-syllable acute.</w:t>
      </w:r>
    </w:p>
    <w:p>
      <w:pPr>
        <w:numPr>
          <w:ilvl w:val="0"/>
          <w:numId w:val="1045"/>
        </w:numPr>
        <w:pStyle w:val="Compact"/>
      </w:pPr>
      <w:r>
        <w:rPr>
          <w:bCs/>
          <w:b/>
        </w:rPr>
        <w:t xml:space="preserve">ईशानः (</w:t>
      </w:r>
      <w:r>
        <w:rPr>
          <w:iCs/>
          <w:i/>
          <w:bCs/>
          <w:b/>
        </w:rPr>
        <w:t xml:space="preserve">īśānaḥ</w:t>
      </w:r>
      <w:r>
        <w:rPr>
          <w:bCs/>
          <w:b/>
        </w:rPr>
        <w:t xml:space="preserve">)</w:t>
      </w:r>
      <w:r>
        <w:t xml:space="preserve"> </w:t>
      </w:r>
      <w:r>
        <w:t xml:space="preserve">— root</w:t>
      </w:r>
      <w:r>
        <w:t xml:space="preserve"> </w:t>
      </w:r>
      <w:r>
        <w:rPr>
          <w:iCs/>
          <w:i/>
        </w:rPr>
        <w:t xml:space="preserve">īśa aiśvarye</w:t>
      </w:r>
      <w:r>
        <w:t xml:space="preserve"> </w:t>
      </w:r>
      <w:r>
        <w:t xml:space="preserve">+</w:t>
      </w:r>
      <w:r>
        <w:t xml:space="preserve"> </w:t>
      </w:r>
      <w:r>
        <w:rPr>
          <w:iCs/>
          <w:i/>
        </w:rPr>
        <w:t xml:space="preserve">śānac</w:t>
      </w:r>
      <w:r>
        <w:t xml:space="preserve"> </w:t>
      </w:r>
      <w:r>
        <w:t xml:space="preserve">in place of</w:t>
      </w:r>
      <w:r>
        <w:t xml:space="preserve"> </w:t>
      </w:r>
      <w:r>
        <w:rPr>
          <w:iCs/>
          <w:i/>
        </w:rPr>
        <w:t xml:space="preserve">laṭ</w:t>
      </w:r>
      <w:r>
        <w:t xml:space="preserve"> </w:t>
      </w:r>
      <w:r>
        <w:t xml:space="preserve">by</w:t>
      </w:r>
      <w:r>
        <w:t xml:space="preserve"> </w:t>
      </w:r>
      <w:r>
        <w:t xml:space="preserve">“</w:t>
      </w:r>
      <w:r>
        <w:t xml:space="preserve">laṭaḥ śatṛśānacau</w:t>
      </w:r>
      <w:r>
        <w:t xml:space="preserve">”</w:t>
      </w:r>
      <w:r>
        <w:t xml:space="preserve">;</w:t>
      </w:r>
      <w:r>
        <w:t xml:space="preserve"> </w:t>
      </w:r>
      <w:r>
        <w:rPr>
          <w:iCs/>
          <w:i/>
        </w:rPr>
        <w:t xml:space="preserve">śap</w:t>
      </w:r>
      <w:r>
        <w:t xml:space="preserve"> </w:t>
      </w:r>
      <w:r>
        <w:t xml:space="preserve">dropped by</w:t>
      </w:r>
      <w:r>
        <w:t xml:space="preserve"> </w:t>
      </w:r>
      <w:r>
        <w:t xml:space="preserve">“</w:t>
      </w:r>
      <w:r>
        <w:t xml:space="preserve">ādiprabhṛtibhyaḥ śapaḥ</w:t>
      </w:r>
      <w:r>
        <w:t xml:space="preserve">”</w:t>
      </w:r>
      <w:r>
        <w:t xml:space="preserve">; the</w:t>
      </w:r>
      <w:r>
        <w:t xml:space="preserve"> </w:t>
      </w:r>
      <w:r>
        <w:rPr>
          <w:iCs/>
          <w:i/>
        </w:rPr>
        <w:t xml:space="preserve">cit</w:t>
      </w:r>
      <w:r>
        <w:t xml:space="preserve"> </w:t>
      </w:r>
      <w:r>
        <w:t xml:space="preserve">suffix would give final-udātta (Pā. 6-1-163), but the root is</w:t>
      </w:r>
      <w:r>
        <w:t xml:space="preserve"> </w:t>
      </w:r>
      <w:r>
        <w:rPr>
          <w:iCs/>
          <w:i/>
        </w:rPr>
        <w:t xml:space="preserve">anudātteṭ</w:t>
      </w:r>
      <w:r>
        <w:t xml:space="preserve"> </w:t>
      </w:r>
      <w:r>
        <w:t xml:space="preserve">so the following</w:t>
      </w:r>
      <w:r>
        <w:t xml:space="preserve"> </w:t>
      </w:r>
      <w:r>
        <w:rPr>
          <w:iCs/>
          <w:i/>
        </w:rPr>
        <w:t xml:space="preserve">sārvadhātuka</w:t>
      </w:r>
      <w:r>
        <w:t xml:space="preserve"> </w:t>
      </w:r>
      <w:r>
        <w:t xml:space="preserve">ending</w:t>
      </w:r>
      <w:r>
        <w:t xml:space="preserve"> </w:t>
      </w:r>
      <w:r>
        <w:rPr>
          <w:iCs/>
          <w:i/>
        </w:rPr>
        <w:t xml:space="preserve">śānac</w:t>
      </w:r>
      <w:r>
        <w:t xml:space="preserve"> </w:t>
      </w:r>
      <w:r>
        <w:t xml:space="preserve">is unaccented, and the</w:t>
      </w:r>
      <w:r>
        <w:t xml:space="preserve"> </w:t>
      </w:r>
      <w:r>
        <w:rPr>
          <w:iCs/>
          <w:i/>
        </w:rPr>
        <w:t xml:space="preserve">dhātu</w:t>
      </w:r>
      <w:r>
        <w:t xml:space="preserve">-accent remains (Pā. 6-1-186).</w:t>
      </w:r>
    </w:p>
    <w:p>
      <w:pPr>
        <w:numPr>
          <w:ilvl w:val="0"/>
          <w:numId w:val="1045"/>
        </w:numPr>
        <w:pStyle w:val="Compact"/>
      </w:pPr>
      <w:r>
        <w:rPr>
          <w:bCs/>
          <w:b/>
        </w:rPr>
        <w:t xml:space="preserve">अप्रतिष्कुतः (</w:t>
      </w:r>
      <w:r>
        <w:rPr>
          <w:iCs/>
          <w:i/>
          <w:bCs/>
          <w:b/>
        </w:rPr>
        <w:t xml:space="preserve">apratiṣkutaḥ</w:t>
      </w:r>
      <w:r>
        <w:rPr>
          <w:bCs/>
          <w:b/>
        </w:rPr>
        <w:t xml:space="preserve">)</w:t>
      </w:r>
      <w:r>
        <w:t xml:space="preserve"> </w:t>
      </w:r>
      <w:r>
        <w:t xml:space="preserve">—</w:t>
      </w:r>
      <w:r>
        <w:t xml:space="preserve"> </w:t>
      </w:r>
      <w:r>
        <w:t xml:space="preserve">“</w:t>
      </w:r>
      <w:r>
        <w:t xml:space="preserve">one who has nothing answering</w:t>
      </w:r>
      <w:r>
        <w:t xml:space="preserve">”</w:t>
      </w:r>
      <w:r>
        <w:t xml:space="preserve">; root</w:t>
      </w:r>
      <w:r>
        <w:t xml:space="preserve"> </w:t>
      </w:r>
      <w:r>
        <w:rPr>
          <w:iCs/>
          <w:i/>
        </w:rPr>
        <w:t xml:space="preserve">ku śabde</w:t>
      </w:r>
      <w:r>
        <w:t xml:space="preserve"> </w:t>
      </w:r>
      <w:r>
        <w:t xml:space="preserve">+</w:t>
      </w:r>
      <w:r>
        <w:t xml:space="preserve"> </w:t>
      </w:r>
      <w:r>
        <w:rPr>
          <w:iCs/>
          <w:i/>
        </w:rPr>
        <w:t xml:space="preserve">kta</w:t>
      </w:r>
      <w:r>
        <w:t xml:space="preserve"> </w:t>
      </w:r>
      <w:r>
        <w:t xml:space="preserve">in the passive sense with</w:t>
      </w:r>
      <w:r>
        <w:t xml:space="preserve"> </w:t>
      </w:r>
      <w:r>
        <w:rPr>
          <w:iCs/>
          <w:i/>
        </w:rPr>
        <w:t xml:space="preserve">prati</w:t>
      </w:r>
      <w:r>
        <w:t xml:space="preserve"> </w:t>
      </w:r>
      <w:r>
        <w:t xml:space="preserve">before;</w:t>
      </w:r>
      <w:r>
        <w:t xml:space="preserve"> </w:t>
      </w:r>
      <w:r>
        <w:rPr>
          <w:iCs/>
          <w:i/>
        </w:rPr>
        <w:t xml:space="preserve">suṭ</w:t>
      </w:r>
      <w:r>
        <w:t xml:space="preserve"> </w:t>
      </w:r>
      <w:r>
        <w:t xml:space="preserve">by</w:t>
      </w:r>
      <w:r>
        <w:t xml:space="preserve"> </w:t>
      </w:r>
      <w:r>
        <w:t xml:space="preserve">“</w:t>
      </w:r>
      <w:r>
        <w:t xml:space="preserve">pāraskarādīni ca saṃjñāyām</w:t>
      </w:r>
      <w:r>
        <w:t xml:space="preserve">”</w:t>
      </w:r>
      <w:r>
        <w:t xml:space="preserve"> </w:t>
      </w:r>
      <w:r>
        <w:t xml:space="preserve">(पा. सू. ६-१-१५७) — the</w:t>
      </w:r>
      <w:r>
        <w:t xml:space="preserve"> </w:t>
      </w:r>
      <w:r>
        <w:rPr>
          <w:iCs/>
          <w:i/>
        </w:rPr>
        <w:t xml:space="preserve">pāraskarādi</w:t>
      </w:r>
      <w:r>
        <w:t xml:space="preserve"> </w:t>
      </w:r>
      <w:r>
        <w:t xml:space="preserve">group is an</w:t>
      </w:r>
      <w:r>
        <w:t xml:space="preserve"> </w:t>
      </w:r>
      <w:r>
        <w:rPr>
          <w:iCs/>
          <w:i/>
        </w:rPr>
        <w:t xml:space="preserve">ākṛti-gaṇa</w:t>
      </w:r>
      <w:r>
        <w:t xml:space="preserve"> </w:t>
      </w:r>
      <w:r>
        <w:t xml:space="preserve">(a class identified by its character), the word is to be counted in it;</w:t>
      </w:r>
      <w:r>
        <w:t xml:space="preserve"> </w:t>
      </w:r>
      <w:r>
        <w:rPr>
          <w:iCs/>
          <w:i/>
        </w:rPr>
        <w:t xml:space="preserve">s→ṣ</w:t>
      </w:r>
      <w:r>
        <w:t xml:space="preserve"> </w:t>
      </w:r>
      <w:r>
        <w:t xml:space="preserve">by</w:t>
      </w:r>
      <w:r>
        <w:t xml:space="preserve"> </w:t>
      </w:r>
      <w:r>
        <w:t xml:space="preserve">“</w:t>
      </w:r>
      <w:r>
        <w:t xml:space="preserve">suṣāmādiṣu ca</w:t>
      </w:r>
      <w:r>
        <w:t xml:space="preserve">”</w:t>
      </w:r>
      <w:r>
        <w:t xml:space="preserve"> </w:t>
      </w:r>
      <w:r>
        <w:t xml:space="preserve">(Pā. 8-3-98), also an</w:t>
      </w:r>
      <w:r>
        <w:t xml:space="preserve"> </w:t>
      </w:r>
      <w:r>
        <w:rPr>
          <w:iCs/>
          <w:i/>
        </w:rPr>
        <w:t xml:space="preserve">ākṛti-gaṇa</w:t>
      </w:r>
      <w:r>
        <w:t xml:space="preserve">;</w:t>
      </w:r>
      <w:r>
        <w:t xml:space="preserve"> </w:t>
      </w:r>
      <w:r>
        <w:rPr>
          <w:iCs/>
          <w:i/>
        </w:rPr>
        <w:t xml:space="preserve">prati-ṣkuta</w:t>
      </w:r>
      <w:r>
        <w:t xml:space="preserve">, then the</w:t>
      </w:r>
      <w:r>
        <w:t xml:space="preserve"> </w:t>
      </w:r>
      <w:r>
        <w:rPr>
          <w:iCs/>
          <w:i/>
        </w:rPr>
        <w:t xml:space="preserve">naṅ</w:t>
      </w:r>
      <w:r>
        <w:t xml:space="preserve"> </w:t>
      </w:r>
      <w:r>
        <w:t xml:space="preserve">compound</w:t>
      </w:r>
      <w:r>
        <w:t xml:space="preserve"> </w:t>
      </w:r>
      <w:r>
        <w:rPr>
          <w:iCs/>
          <w:i/>
        </w:rPr>
        <w:t xml:space="preserve">a-pratiṣkuta</w:t>
      </w:r>
      <w:r>
        <w:t xml:space="preserve">; accent of the first member by</w:t>
      </w:r>
      <w:r>
        <w:t xml:space="preserve"> </w:t>
      </w:r>
      <w:r>
        <w:t xml:space="preserve">“</w:t>
      </w:r>
      <w:r>
        <w:t xml:space="preserve">tatpuruṣe tulyārtha…</w:t>
      </w:r>
      <w:r>
        <w:t xml:space="preserve">”</w:t>
      </w:r>
      <w:r>
        <w:t xml:space="preserve"> </w:t>
      </w:r>
      <w:r>
        <w:t xml:space="preserve">(Pā. 6-2-2).</w:t>
      </w:r>
    </w:p>
    <w:bookmarkEnd w:id="324"/>
    <w:bookmarkStart w:id="325" w:name="page-294"/>
    <w:p>
      <w:pPr>
        <w:pStyle w:val="Heading3"/>
      </w:pPr>
      <w:r>
        <w:t xml:space="preserve">Page 294</w:t>
      </w:r>
    </w:p>
    <w:p>
      <w:pPr>
        <w:pStyle w:val="FirstParagraph"/>
      </w:pPr>
      <w:r>
        <w:rPr>
          <w:iCs/>
          <w:i/>
        </w:rPr>
        <w:t xml:space="preserve">(Completes the grammar above (characterized there), ending with the accent of</w:t>
      </w:r>
      <w:r>
        <w:t xml:space="preserve"> </w:t>
      </w:r>
      <w:r>
        <w:t xml:space="preserve">apratiṣkutaḥ</w:t>
      </w:r>
      <w:r>
        <w:t xml:space="preserve"> </w:t>
      </w:r>
      <w:r>
        <w:rPr>
          <w:iCs/>
          <w:i/>
        </w:rPr>
        <w:t xml:space="preserve">by</w:t>
      </w:r>
      <w:r>
        <w:rPr>
          <w:iCs/>
          <w:i/>
        </w:rPr>
        <w:t xml:space="preserve"> </w:t>
      </w:r>
      <w:r>
        <w:rPr>
          <w:iCs/>
          <w:i/>
        </w:rPr>
        <w:t xml:space="preserve">“</w:t>
      </w:r>
      <w:r>
        <w:rPr>
          <w:iCs/>
          <w:i/>
        </w:rPr>
        <w:t xml:space="preserve">tatpuruṣe tulyārtha…</w:t>
      </w:r>
      <w:r>
        <w:rPr>
          <w:iCs/>
          <w:i/>
        </w:rPr>
        <w:t xml:space="preserve">”</w:t>
      </w:r>
      <w:r>
        <w:rPr>
          <w:iCs/>
          <w:i/>
        </w:rPr>
        <w:t xml:space="preserve"> </w:t>
      </w:r>
      <w:r>
        <w:rPr>
          <w:iCs/>
          <w:i/>
        </w:rPr>
        <w:t xml:space="preserve">(पा. सू. ६-२-२) and the number</w:t>
      </w:r>
      <w:r>
        <w:t xml:space="preserve"> </w:t>
      </w:r>
      <w:r>
        <w:t xml:space="preserve">॥८॥</w:t>
      </w:r>
      <w:r>
        <w:rPr>
          <w:iCs/>
          <w:i/>
        </w:rPr>
        <w:t xml:space="preserve">.)</w:t>
      </w:r>
    </w:p>
    <w:p>
      <w:pPr>
        <w:pStyle w:val="BodyText"/>
      </w:pPr>
      <w:r>
        <w:rPr>
          <w:bCs/>
          <w:b/>
        </w:rPr>
        <w:t xml:space="preserve">॥८॥</w:t>
      </w:r>
    </w:p>
    <w:p>
      <w:r>
        <w:pict>
          <v:rect style="width:0;height:1.5pt" o:hralign="center" o:hrstd="t" o:hr="t"/>
        </w:pict>
      </w:r>
    </w:p>
    <w:bookmarkEnd w:id="325"/>
    <w:bookmarkStart w:id="326" w:name="sūkta-7-rik-9"/>
    <w:p>
      <w:pPr>
        <w:pStyle w:val="Heading3"/>
      </w:pPr>
      <w:r>
        <w:t xml:space="preserve">Sūkta 7, Rik 9</w:t>
      </w:r>
    </w:p>
    <w:p>
      <w:pPr>
        <w:pStyle w:val="FirstParagraph"/>
      </w:pPr>
      <w:r>
        <w:rPr>
          <w:iCs/>
          <w:i/>
        </w:rPr>
        <w:t xml:space="preserve">(Saṃhitā accents as printed (p. 295); Pada unaccented. In</w:t>
      </w:r>
      <w:r>
        <w:rPr>
          <w:iCs/>
          <w:i/>
        </w:rPr>
        <w:t xml:space="preserve"> </w:t>
      </w:r>
      <w:r>
        <w:rPr>
          <w:iCs/>
          <w:i/>
        </w:rPr>
        <w:t xml:space="preserve">“</w:t>
      </w:r>
      <w:r>
        <w:rPr>
          <w:iCs/>
          <w:i/>
        </w:rPr>
        <w:t xml:space="preserve">kṣitīnām</w:t>
      </w:r>
      <w:r>
        <w:rPr>
          <w:iCs/>
          <w:i/>
        </w:rPr>
        <w:t xml:space="preserve">”</w:t>
      </w:r>
      <w:r>
        <w:rPr>
          <w:iCs/>
          <w:i/>
        </w:rPr>
        <w:t xml:space="preserve"> </w:t>
      </w:r>
      <w:r>
        <w:rPr>
          <w:iCs/>
          <w:i/>
        </w:rPr>
        <w:t xml:space="preserve">only the bar under</w:t>
      </w:r>
      <w:r>
        <w:rPr>
          <w:iCs/>
          <w:i/>
        </w:rPr>
        <w:t xml:space="preserve"> </w:t>
      </w:r>
      <w:r>
        <w:rPr>
          <w:iCs/>
          <w:i/>
        </w:rPr>
        <w:t xml:space="preserve">“</w:t>
      </w:r>
      <w:r>
        <w:rPr>
          <w:iCs/>
          <w:i/>
        </w:rPr>
        <w:t xml:space="preserve">kṣi</w:t>
      </w:r>
      <w:r>
        <w:rPr>
          <w:iCs/>
          <w:i/>
        </w:rPr>
        <w:t xml:space="preserve">”</w:t>
      </w:r>
      <w:r>
        <w:rPr>
          <w:iCs/>
          <w:i/>
        </w:rPr>
        <w:t xml:space="preserve"> </w:t>
      </w:r>
      <w:r>
        <w:rPr>
          <w:iCs/>
          <w:i/>
        </w:rPr>
        <w:t xml:space="preserve">is printed; the next mark (a svarita stroke after the acute) is missing, hence [accent ?].)</w:t>
      </w:r>
    </w:p>
    <w:p>
      <w:pPr>
        <w:pStyle w:val="BodyText"/>
      </w:pPr>
      <w:r>
        <w:rPr>
          <w:bCs/>
          <w:b/>
        </w:rPr>
        <w:t xml:space="preserve">॥ Saṃhitā-pāṭhaḥ ॥</w:t>
      </w:r>
    </w:p>
    <w:p>
      <w:pPr>
        <w:pStyle w:val="BlockText"/>
      </w:pPr>
      <w:r>
        <w:t xml:space="preserve">य एक॑श्चर्षणी॒नां वसू॑नामिर॒ज्यति॑ ।</w:t>
      </w:r>
      <w:r>
        <w:t xml:space="preserve"> </w:t>
      </w:r>
      <w:r>
        <w:t xml:space="preserve">इन्द्रः॒ पञ्च॑ क्षि॒तीनाम् ॥९॥ [accent ?]</w:t>
      </w:r>
    </w:p>
    <w:p>
      <w:pPr>
        <w:pStyle w:val="BlockText"/>
      </w:pPr>
      <w:r>
        <w:rPr>
          <w:iCs/>
          <w:i/>
        </w:rPr>
        <w:t xml:space="preserve">ya ékaś carṣaṇīnā́ṃ vásūnām irajyáti |</w:t>
      </w:r>
      <w:r>
        <w:t xml:space="preserve"> </w:t>
      </w:r>
      <w:r>
        <w:rPr>
          <w:iCs/>
          <w:i/>
        </w:rPr>
        <w:t xml:space="preserve">índraḥ páñca kṣitī́nām ||9||</w:t>
      </w:r>
      <w:r>
        <w:t xml:space="preserve"> </w:t>
      </w:r>
      <w:r>
        <w:t xml:space="preserve">[accent ?]</w:t>
      </w:r>
    </w:p>
    <w:p>
      <w:pPr>
        <w:pStyle w:val="FirstParagraph"/>
      </w:pPr>
      <w:r>
        <w:rPr>
          <w:bCs/>
          <w:b/>
        </w:rPr>
        <w:t xml:space="preserve">॥ Pada-pāṭhaḥ ॥</w:t>
      </w:r>
    </w:p>
    <w:p>
      <w:pPr>
        <w:pStyle w:val="BlockText"/>
      </w:pPr>
      <w:r>
        <w:t xml:space="preserve">यः । एकः । चर्षणीनाम् । वसूनाम् । इरज्यति ॥</w:t>
      </w:r>
      <w:r>
        <w:t xml:space="preserve"> </w:t>
      </w:r>
      <w:r>
        <w:t xml:space="preserve">इन्द्रः । पञ्च । क्षितीनाम् ॥९॥</w:t>
      </w:r>
    </w:p>
    <w:p>
      <w:pPr>
        <w:pStyle w:val="BlockText"/>
      </w:pPr>
      <w:r>
        <w:rPr>
          <w:iCs/>
          <w:i/>
        </w:rPr>
        <w:t xml:space="preserve">yaḥ | ekaḥ | carṣaṇīnām | vasūnām | irajyati ||</w:t>
      </w:r>
      <w:r>
        <w:t xml:space="preserve"> </w:t>
      </w:r>
      <w:r>
        <w:rPr>
          <w:iCs/>
          <w:i/>
        </w:rPr>
        <w:t xml:space="preserve">indraḥ | pañca | kṣitīnām ||9||</w:t>
      </w:r>
    </w:p>
    <w:bookmarkEnd w:id="326"/>
    <w:bookmarkStart w:id="327" w:name="page-295-rik-9-sāyaṇa-bhāṣya"/>
    <w:p>
      <w:pPr>
        <w:pStyle w:val="Heading3"/>
      </w:pPr>
      <w:r>
        <w:t xml:space="preserve">Page 295 — Rik 9: Sāyaṇa-bhāṣya</w:t>
      </w:r>
    </w:p>
    <w:p>
      <w:pPr>
        <w:pStyle w:val="FirstParagraph"/>
      </w:pPr>
      <w:r>
        <w:rPr>
          <w:bCs/>
          <w:b/>
        </w:rPr>
        <w:t xml:space="preserve">॥ Sāyaṇa-bhāṣyam ॥</w:t>
      </w:r>
    </w:p>
    <w:p>
      <w:pPr>
        <w:pStyle w:val="BlockText"/>
      </w:pPr>
      <w:r>
        <w:t xml:space="preserve">य इन्द्रः स्वयमेक एव चर्षणीनां मनुष्याणामिरज्यति ईष्टे । तथा वसूनां धनानामिरज्यति स इन्द्रः पञ्च निषादपञ्चमानां क्षितीनां निवासार्हाणां वर्णानामनुग्रहीतेति शेषः ॥</w:t>
      </w:r>
    </w:p>
    <w:p>
      <w:pPr>
        <w:pStyle w:val="BlockText"/>
      </w:pPr>
      <w:r>
        <w:rPr>
          <w:iCs/>
          <w:i/>
        </w:rPr>
        <w:t xml:space="preserve">ya indraḥ svayam eka eva carṣaṇīnāṃ manuṣyāṇām irajyati īṣṭe | tathā vasūnāṃ dhanānām irajyati sa indraḥ pañca niṣāda-pañcamānāṃ kṣitīnāṃ nivāsārhāṇāṃ varṇānām anugrahīteti śeṣaḥ ||</w:t>
      </w:r>
    </w:p>
    <w:p>
      <w:pPr>
        <w:pStyle w:val="FirstParagraph"/>
      </w:pPr>
      <w:r>
        <w:rPr>
          <w:bCs/>
          <w:b/>
        </w:rPr>
        <w:t xml:space="preserve">Translation:</w:t>
      </w:r>
      <w:r>
        <w:t xml:space="preserve"> </w:t>
      </w:r>
      <w:r>
        <w:t xml:space="preserve">“</w:t>
      </w:r>
      <w:r>
        <w:t xml:space="preserve">That Indra who is, by himself alone, the ruler (</w:t>
      </w:r>
      <w:r>
        <w:rPr>
          <w:iCs/>
          <w:i/>
        </w:rPr>
        <w:t xml:space="preserve">irajyati</w:t>
      </w:r>
      <w:r>
        <w:t xml:space="preserve">,</w:t>
      </w:r>
      <w:r>
        <w:t xml:space="preserve"> </w:t>
      </w:r>
      <w:r>
        <w:rPr>
          <w:iCs/>
          <w:i/>
        </w:rPr>
        <w:t xml:space="preserve">īṣṭe</w:t>
      </w:r>
      <w:r>
        <w:t xml:space="preserve">) of the</w:t>
      </w:r>
      <w:r>
        <w:t xml:space="preserve"> </w:t>
      </w:r>
      <w:r>
        <w:rPr>
          <w:iCs/>
          <w:i/>
        </w:rPr>
        <w:t xml:space="preserve">carṣaṇīs</w:t>
      </w:r>
      <w:r>
        <w:t xml:space="preserve"> </w:t>
      </w:r>
      <w:r>
        <w:t xml:space="preserve">— of human beings — and likewise the ruler of the</w:t>
      </w:r>
      <w:r>
        <w:t xml:space="preserve"> </w:t>
      </w:r>
      <w:r>
        <w:rPr>
          <w:iCs/>
          <w:i/>
        </w:rPr>
        <w:t xml:space="preserve">vasus</w:t>
      </w:r>
      <w:r>
        <w:t xml:space="preserve"> </w:t>
      </w:r>
      <w:r>
        <w:t xml:space="preserve">— of riches: that Indra is the bestower of favour (</w:t>
      </w:r>
      <w:r>
        <w:rPr>
          <w:iCs/>
          <w:i/>
        </w:rPr>
        <w:t xml:space="preserve">anugrahītā</w:t>
      </w:r>
      <w:r>
        <w:t xml:space="preserve"> </w:t>
      </w:r>
      <w:r>
        <w:t xml:space="preserve">— this is the word to be supplied to complete the sentence) on the five</w:t>
      </w:r>
      <w:r>
        <w:t xml:space="preserve"> </w:t>
      </w:r>
      <w:r>
        <w:rPr>
          <w:iCs/>
          <w:i/>
        </w:rPr>
        <w:t xml:space="preserve">kṣitis</w:t>
      </w:r>
      <w:r>
        <w:t xml:space="preserve"> </w:t>
      </w:r>
      <w:r>
        <w:t xml:space="preserve">— the five classes of those fit to dwell [on earth], of which the fifth is the</w:t>
      </w:r>
      <w:r>
        <w:t xml:space="preserve"> </w:t>
      </w:r>
      <w:r>
        <w:rPr>
          <w:iCs/>
          <w:i/>
        </w:rPr>
        <w:t xml:space="preserve">Niṣādas</w:t>
      </w:r>
      <w:r>
        <w:t xml:space="preserve">.</w:t>
      </w:r>
      <w:r>
        <w:t xml:space="preserve">”</w:t>
      </w:r>
    </w:p>
    <w:p>
      <w:pPr>
        <w:pStyle w:val="BodyText"/>
      </w:pPr>
      <w:r>
        <w:rPr>
          <w:bCs/>
          <w:b/>
        </w:rPr>
        <w:t xml:space="preserve">Grammar of the Bhāṣya (characterized, references as printed; page header</w:t>
      </w:r>
      <w:r>
        <w:rPr>
          <w:bCs/>
          <w:b/>
        </w:rPr>
        <w:t xml:space="preserve"> </w:t>
      </w:r>
      <w:r>
        <w:rPr>
          <w:bCs/>
          <w:b/>
        </w:rPr>
        <w:t xml:space="preserve">“</w:t>
      </w:r>
      <w:r>
        <w:rPr>
          <w:bCs/>
          <w:b/>
        </w:rPr>
        <w:t xml:space="preserve">A. 1, A. 1, Va. 14</w:t>
      </w:r>
      <w:r>
        <w:rPr>
          <w:bCs/>
          <w:b/>
        </w:rPr>
        <w:t xml:space="preserve">”</w:t>
      </w:r>
      <w:r>
        <w:rPr>
          <w:bCs/>
          <w:b/>
        </w:rPr>
        <w:t xml:space="preserve">):</w:t>
      </w:r>
      <w:r>
        <w:t xml:space="preserve"> </w:t>
      </w:r>
      <w:r>
        <w:t xml:space="preserve">“</w:t>
      </w:r>
      <w:r>
        <w:t xml:space="preserve">Ekaḥ</w:t>
      </w:r>
      <w:r>
        <w:t xml:space="preserve">”</w:t>
      </w:r>
      <w:r>
        <w:t xml:space="preserve"> </w:t>
      </w:r>
      <w:r>
        <w:t xml:space="preserve">—</w:t>
      </w:r>
      <w:r>
        <w:t xml:space="preserve"> </w:t>
      </w:r>
      <w:r>
        <w:t xml:space="preserve">“</w:t>
      </w:r>
      <w:r>
        <w:t xml:space="preserve">iṇ gatau</w:t>
      </w:r>
      <w:r>
        <w:t xml:space="preserve">”</w:t>
      </w:r>
      <w:r>
        <w:t xml:space="preserve">:</w:t>
      </w:r>
      <w:r>
        <w:t xml:space="preserve"> </w:t>
      </w:r>
      <w:r>
        <w:rPr>
          <w:bCs/>
          <w:b/>
        </w:rPr>
        <w:t xml:space="preserve">इण्भीकापाशल्यतिमर्चिभ्यः कन्</w:t>
      </w:r>
      <w:r>
        <w:t xml:space="preserve"> </w:t>
      </w:r>
      <w:r>
        <w:t xml:space="preserve">(उ. ३-४३)</w:t>
      </w:r>
      <w:r>
        <w:t xml:space="preserve"> </w:t>
      </w:r>
      <w:r>
        <w:t xml:space="preserve">“</w:t>
      </w:r>
      <w:r>
        <w:t xml:space="preserve">kan</w:t>
      </w:r>
      <w:r>
        <w:t xml:space="preserve">”</w:t>
      </w:r>
      <w:r>
        <w:t xml:space="preserve">; by</w:t>
      </w:r>
      <w:r>
        <w:t xml:space="preserve"> </w:t>
      </w:r>
      <w:r>
        <w:t xml:space="preserve">“</w:t>
      </w:r>
      <w:r>
        <w:t xml:space="preserve">bāhulaka</w:t>
      </w:r>
      <w:r>
        <w:t xml:space="preserve">”</w:t>
      </w:r>
      <w:r>
        <w:t xml:space="preserve"> </w:t>
      </w:r>
      <w:r>
        <w:t xml:space="preserve">no loss;</w:t>
      </w:r>
      <w:r>
        <w:t xml:space="preserve"> </w:t>
      </w:r>
      <w:r>
        <w:t xml:space="preserve">“</w:t>
      </w:r>
      <w:r>
        <w:t xml:space="preserve">n</w:t>
      </w:r>
      <w:r>
        <w:t xml:space="preserve">”</w:t>
      </w:r>
      <w:r>
        <w:t xml:space="preserve">-marked, first-syllable acute.</w:t>
      </w:r>
      <w:r>
        <w:t xml:space="preserve"> </w:t>
      </w:r>
      <w:r>
        <w:t xml:space="preserve">“</w:t>
      </w:r>
      <w:r>
        <w:t xml:space="preserve">Carṣaṇīnām</w:t>
      </w:r>
      <w:r>
        <w:t xml:space="preserve">”</w:t>
      </w:r>
      <w:r>
        <w:t xml:space="preserve"> </w:t>
      </w:r>
      <w:r>
        <w:t xml:space="preserve">— end-acute by the stem accent; with</w:t>
      </w:r>
      <w:r>
        <w:t xml:space="preserve"> </w:t>
      </w:r>
      <w:r>
        <w:t xml:space="preserve">“</w:t>
      </w:r>
      <w:r>
        <w:t xml:space="preserve">antodāttāt</w:t>
      </w:r>
      <w:r>
        <w:t xml:space="preserve">”</w:t>
      </w:r>
      <w:r>
        <w:t xml:space="preserve"> </w:t>
      </w:r>
      <w:r>
        <w:t xml:space="preserve">carried on, the case-ending is acute by</w:t>
      </w:r>
      <w:r>
        <w:t xml:space="preserve"> </w:t>
      </w:r>
      <w:r>
        <w:rPr>
          <w:bCs/>
          <w:b/>
        </w:rPr>
        <w:t xml:space="preserve">नामन्यतरस्याम्</w:t>
      </w:r>
      <w:r>
        <w:t xml:space="preserve">.</w:t>
      </w:r>
      <w:r>
        <w:t xml:space="preserve"> </w:t>
      </w:r>
      <w:r>
        <w:t xml:space="preserve">“</w:t>
      </w:r>
      <w:r>
        <w:t xml:space="preserve">Vasūnām</w:t>
      </w:r>
      <w:r>
        <w:t xml:space="preserve">”</w:t>
      </w:r>
      <w:r>
        <w:t xml:space="preserve"> </w:t>
      </w:r>
      <w:r>
        <w:t xml:space="preserve">— with</w:t>
      </w:r>
      <w:r>
        <w:t xml:space="preserve"> </w:t>
      </w:r>
      <w:r>
        <w:t xml:space="preserve">“</w:t>
      </w:r>
      <w:r>
        <w:t xml:space="preserve">nit</w:t>
      </w:r>
      <w:r>
        <w:t xml:space="preserve">”</w:t>
      </w:r>
      <w:r>
        <w:t xml:space="preserve"> </w:t>
      </w:r>
      <w:r>
        <w:t xml:space="preserve">carried on,</w:t>
      </w:r>
      <w:r>
        <w:t xml:space="preserve"> </w:t>
      </w:r>
      <w:r>
        <w:rPr>
          <w:bCs/>
          <w:b/>
        </w:rPr>
        <w:t xml:space="preserve">शॄस्वृस्निहित्रप्यसिवसिहनिक्लिदिबन्धिमनिभ्यश्च</w:t>
      </w:r>
      <w:r>
        <w:t xml:space="preserve"> </w:t>
      </w:r>
      <w:r>
        <w:t xml:space="preserve">(उ. १-११)</w:t>
      </w:r>
      <w:r>
        <w:t xml:space="preserve"> </w:t>
      </w:r>
      <w:r>
        <w:t xml:space="preserve">“</w:t>
      </w:r>
      <w:r>
        <w:t xml:space="preserve">u</w:t>
      </w:r>
      <w:r>
        <w:t xml:space="preserve">”</w:t>
      </w:r>
      <w:r>
        <w:t xml:space="preserve">;</w:t>
      </w:r>
      <w:r>
        <w:t xml:space="preserve"> </w:t>
      </w:r>
      <w:r>
        <w:t xml:space="preserve">“</w:t>
      </w:r>
      <w:r>
        <w:t xml:space="preserve">n</w:t>
      </w:r>
      <w:r>
        <w:t xml:space="preserve">”</w:t>
      </w:r>
      <w:r>
        <w:t xml:space="preserve">-marked, first-syllable acute.</w:t>
      </w:r>
      <w:r>
        <w:t xml:space="preserve"> </w:t>
      </w:r>
      <w:r>
        <w:t xml:space="preserve">“</w:t>
      </w:r>
      <w:r>
        <w:t xml:space="preserve">Irajyati</w:t>
      </w:r>
      <w:r>
        <w:t xml:space="preserve">”</w:t>
      </w:r>
      <w:r>
        <w:t xml:space="preserve"> </w:t>
      </w:r>
      <w:r>
        <w:t xml:space="preserve">—</w:t>
      </w:r>
      <w:r>
        <w:t xml:space="preserve"> </w:t>
      </w:r>
      <w:r>
        <w:t xml:space="preserve">“</w:t>
      </w:r>
      <w:r>
        <w:t xml:space="preserve">irajya</w:t>
      </w:r>
      <w:r>
        <w:t xml:space="preserve">”</w:t>
      </w:r>
      <w:r>
        <w:t xml:space="preserve"> </w:t>
      </w:r>
      <w:r>
        <w:t xml:space="preserve">in the kaṇḍvādi class, in the sense of</w:t>
      </w:r>
      <w:r>
        <w:t xml:space="preserve"> </w:t>
      </w:r>
      <w:r>
        <w:t xml:space="preserve">“</w:t>
      </w:r>
      <w:r>
        <w:t xml:space="preserve">īrṣyā,</w:t>
      </w:r>
      <w:r>
        <w:t xml:space="preserve">”</w:t>
      </w:r>
      <w:r>
        <w:t xml:space="preserve"> </w:t>
      </w:r>
      <w:r>
        <w:t xml:space="preserve">here</w:t>
      </w:r>
      <w:r>
        <w:t xml:space="preserve"> </w:t>
      </w:r>
      <w:r>
        <w:t xml:space="preserve">“</w:t>
      </w:r>
      <w:r>
        <w:t xml:space="preserve">aiśvarya</w:t>
      </w:r>
      <w:r>
        <w:t xml:space="preserve">”</w:t>
      </w:r>
      <w:r>
        <w:t xml:space="preserve">:</w:t>
      </w:r>
      <w:r>
        <w:t xml:space="preserve"> </w:t>
      </w:r>
      <w:r>
        <w:rPr>
          <w:bCs/>
          <w:b/>
        </w:rPr>
        <w:t xml:space="preserve">कण्ड्वादिभ्यो यक्</w:t>
      </w:r>
      <w:r>
        <w:t xml:space="preserve"> </w:t>
      </w:r>
      <w:r>
        <w:t xml:space="preserve">(पा. ३-१-२७)</w:t>
      </w:r>
      <w:r>
        <w:t xml:space="preserve"> </w:t>
      </w:r>
      <w:r>
        <w:t xml:space="preserve">“</w:t>
      </w:r>
      <w:r>
        <w:t xml:space="preserve">yak,</w:t>
      </w:r>
      <w:r>
        <w:t xml:space="preserve">”</w:t>
      </w:r>
      <w:r>
        <w:t xml:space="preserve"> </w:t>
      </w:r>
      <w:r>
        <w:t xml:space="preserve">acute by the affix accent.</w:t>
      </w:r>
      <w:r>
        <w:t xml:space="preserve"> </w:t>
      </w:r>
      <w:r>
        <w:t xml:space="preserve">“</w:t>
      </w:r>
      <w:r>
        <w:t xml:space="preserve">Pañca</w:t>
      </w:r>
      <w:r>
        <w:t xml:space="preserve">”</w:t>
      </w:r>
      <w:r>
        <w:t xml:space="preserve"> </w:t>
      </w:r>
      <w:r>
        <w:t xml:space="preserve">—</w:t>
      </w:r>
      <w:r>
        <w:t xml:space="preserve"> </w:t>
      </w:r>
      <w:r>
        <w:t xml:space="preserve">“</w:t>
      </w:r>
      <w:r>
        <w:t xml:space="preserve">paci vyaktīkaraṇe,</w:t>
      </w:r>
      <w:r>
        <w:t xml:space="preserve">”</w:t>
      </w:r>
      <w:r>
        <w:t xml:space="preserve"> </w:t>
      </w:r>
      <w:r>
        <w:t xml:space="preserve">“</w:t>
      </w:r>
      <w:r>
        <w:t xml:space="preserve">kanin</w:t>
      </w:r>
      <w:r>
        <w:t xml:space="preserve">”</w:t>
      </w:r>
      <w:r>
        <w:t xml:space="preserve"> </w:t>
      </w:r>
      <w:r>
        <w:t xml:space="preserve">by</w:t>
      </w:r>
      <w:r>
        <w:t xml:space="preserve"> </w:t>
      </w:r>
      <w:r>
        <w:rPr>
          <w:bCs/>
          <w:b/>
        </w:rPr>
        <w:t xml:space="preserve">पञ्चेः</w:t>
      </w:r>
      <w:r>
        <w:t xml:space="preserve"> </w:t>
      </w:r>
      <w:r>
        <w:t xml:space="preserve">…; first-syllable acute.</w:t>
      </w:r>
      <w:r>
        <w:t xml:space="preserve"> </w:t>
      </w:r>
      <w:r>
        <w:t xml:space="preserve">“</w:t>
      </w:r>
      <w:r>
        <w:t xml:space="preserve">Kṣitīnām</w:t>
      </w:r>
      <w:r>
        <w:t xml:space="preserve">”</w:t>
      </w:r>
      <w:r>
        <w:t xml:space="preserve"> </w:t>
      </w:r>
      <w:r>
        <w:t xml:space="preserve">— end-acute by the stem accent; the case-ending acute by</w:t>
      </w:r>
      <w:r>
        <w:t xml:space="preserve"> </w:t>
      </w:r>
      <w:r>
        <w:t xml:space="preserve">“</w:t>
      </w:r>
      <w:r>
        <w:t xml:space="preserve">nām anyatarasyām.</w:t>
      </w:r>
      <w:r>
        <w:t xml:space="preserve">”</w:t>
      </w:r>
    </w:p>
    <w:p>
      <w:pPr>
        <w:pStyle w:val="BodyText"/>
      </w:pPr>
      <w:r>
        <w:rPr>
          <w:bCs/>
          <w:b/>
        </w:rPr>
        <w:t xml:space="preserve">॥ Prati-padārthaḥ ॥</w:t>
      </w:r>
    </w:p>
    <w:p>
      <w:pPr>
        <w:pStyle w:val="BodyText"/>
      </w:pPr>
      <w:r>
        <w:rPr>
          <w:bCs/>
          <w:b/>
        </w:rPr>
        <w:t xml:space="preserve">यः इन्द्रः (yaḥ indraḥ)</w:t>
      </w:r>
      <w:r>
        <w:t xml:space="preserve"> </w:t>
      </w:r>
      <w:r>
        <w:t xml:space="preserve">— which Indra |</w:t>
      </w:r>
      <w:r>
        <w:t xml:space="preserve"> </w:t>
      </w:r>
      <w:r>
        <w:rPr>
          <w:bCs/>
          <w:b/>
        </w:rPr>
        <w:t xml:space="preserve">चर्षणीनाम् (carṣaṇīnām)</w:t>
      </w:r>
      <w:r>
        <w:t xml:space="preserve"> </w:t>
      </w:r>
      <w:r>
        <w:t xml:space="preserve">— of men also |</w:t>
      </w:r>
      <w:r>
        <w:t xml:space="preserve"> </w:t>
      </w:r>
      <w:r>
        <w:rPr>
          <w:bCs/>
          <w:b/>
        </w:rPr>
        <w:t xml:space="preserve">वसूनाम् (vasūnām)</w:t>
      </w:r>
      <w:r>
        <w:t xml:space="preserve"> </w:t>
      </w:r>
      <w:r>
        <w:t xml:space="preserve">— of riches also |</w:t>
      </w:r>
      <w:r>
        <w:t xml:space="preserve"> </w:t>
      </w:r>
      <w:r>
        <w:rPr>
          <w:bCs/>
          <w:b/>
        </w:rPr>
        <w:t xml:space="preserve">इरज्यति (irajyati)</w:t>
      </w:r>
      <w:r>
        <w:t xml:space="preserve"> </w:t>
      </w:r>
      <w:r>
        <w:t xml:space="preserve">— is the lord of |</w:t>
      </w:r>
      <w:r>
        <w:t xml:space="preserve"> </w:t>
      </w:r>
      <w:r>
        <w:rPr>
          <w:bCs/>
          <w:b/>
        </w:rPr>
        <w:t xml:space="preserve">(सः) इन्द्रः एकः ((saḥ) indraḥ ekaḥ)</w:t>
      </w:r>
      <w:r>
        <w:t xml:space="preserve"> </w:t>
      </w:r>
      <w:r>
        <w:t xml:space="preserve">— that Indra alone |</w:t>
      </w:r>
      <w:r>
        <w:t xml:space="preserve"> </w:t>
      </w:r>
      <w:r>
        <w:rPr>
          <w:bCs/>
          <w:b/>
        </w:rPr>
        <w:t xml:space="preserve">पञ्च क्षितीनाम् (pañca kṣitīnām)</w:t>
      </w:r>
      <w:r>
        <w:t xml:space="preserve"> </w:t>
      </w:r>
      <w:r>
        <w:t xml:space="preserve">— of the five classes of people (called Brāhmaṇa, Kṣatriya, Vaiśya, Śūdra, Niṣāda) [the bestower of favour].</w:t>
      </w:r>
    </w:p>
    <w:bookmarkEnd w:id="327"/>
    <w:bookmarkStart w:id="328" w:name="page-296"/>
    <w:p>
      <w:pPr>
        <w:pStyle w:val="Heading3"/>
      </w:pPr>
      <w:r>
        <w:t xml:space="preserve">Page 296</w:t>
      </w:r>
    </w:p>
    <w:p>
      <w:pPr>
        <w:pStyle w:val="FirstParagraph"/>
      </w:pPr>
      <w:r>
        <w:rPr>
          <w:bCs/>
          <w:b/>
        </w:rPr>
        <w:t xml:space="preserve">॥ Bhāvārthaḥ ॥</w:t>
      </w:r>
    </w:p>
    <w:p>
      <w:pPr>
        <w:pStyle w:val="BodyText"/>
      </w:pPr>
      <w:r>
        <w:t xml:space="preserve">Indra is not only the lord of all men and of riches and other wealth, but is also the bestower of favour on the five classes of people who dwell among men.</w:t>
      </w:r>
    </w:p>
    <w:p>
      <w:pPr>
        <w:pStyle w:val="BodyText"/>
      </w:pPr>
      <w:r>
        <w:rPr>
          <w:bCs/>
          <w:b/>
        </w:rPr>
        <w:t xml:space="preserve">॥ English Translation ॥</w:t>
      </w:r>
      <w:r>
        <w:t xml:space="preserve"> </w:t>
      </w:r>
      <w:r>
        <w:rPr>
          <w:iCs/>
          <w:i/>
        </w:rPr>
        <w:t xml:space="preserve">(as printed in the source)</w:t>
      </w:r>
    </w:p>
    <w:p>
      <w:pPr>
        <w:pStyle w:val="BlockText"/>
      </w:pPr>
      <w:r>
        <w:t xml:space="preserve">That Indra who alone rules over men, over riches (favours) the five classes of men (tribes).</w:t>
      </w:r>
    </w:p>
    <w:p>
      <w:pPr>
        <w:pStyle w:val="FirstParagraph"/>
      </w:pPr>
      <w:r>
        <w:rPr>
          <w:bCs/>
          <w:b/>
        </w:rPr>
        <w:t xml:space="preserve">॥ Viśeṣa-viṣayagaḷu (Special Topics) ॥</w:t>
      </w:r>
    </w:p>
    <w:p>
      <w:pPr>
        <w:pStyle w:val="BodyText"/>
      </w:pPr>
      <w:r>
        <w:rPr>
          <w:bCs/>
          <w:b/>
        </w:rPr>
        <w:t xml:space="preserve">A supplied word.</w:t>
      </w:r>
      <w:r>
        <w:t xml:space="preserve"> </w:t>
      </w:r>
      <w:r>
        <w:t xml:space="preserve">Since this rik has no verb for its principal sentence, the Bhāṣyakāra supplies the word</w:t>
      </w:r>
      <w:r>
        <w:t xml:space="preserve"> </w:t>
      </w:r>
      <w:r>
        <w:rPr>
          <w:iCs/>
          <w:i/>
        </w:rPr>
        <w:t xml:space="preserve">anugrahītā</w:t>
      </w:r>
      <w:r>
        <w:t xml:space="preserve"> </w:t>
      </w:r>
      <w:r>
        <w:t xml:space="preserve">—</w:t>
      </w:r>
      <w:r>
        <w:t xml:space="preserve"> </w:t>
      </w:r>
      <w:r>
        <w:t xml:space="preserve">“</w:t>
      </w:r>
      <w:r>
        <w:t xml:space="preserve">one who bestows favour.</w:t>
      </w:r>
      <w:r>
        <w:t xml:space="preserve">”</w:t>
      </w:r>
      <w:r>
        <w:t xml:space="preserve"> </w:t>
      </w:r>
      <w:r>
        <w:t xml:space="preserve">But the matters stated in this rik continue into the next rik, so if the two riks are read together the sense fits. It is clear that the intent is:</w:t>
      </w:r>
      <w:r>
        <w:t xml:space="preserve"> </w:t>
      </w:r>
      <w:r>
        <w:t xml:space="preserve">“</w:t>
      </w:r>
      <w:r>
        <w:t xml:space="preserve">we invoke Indra, who is endowed with the qualities stated in this rik.</w:t>
      </w:r>
      <w:r>
        <w:t xml:space="preserve">”</w:t>
      </w:r>
      <w:r>
        <w:t xml:space="preserve"> </w:t>
      </w:r>
      <w:r>
        <w:t xml:space="preserve">There is no difficulty in supplying the word</w:t>
      </w:r>
      <w:r>
        <w:t xml:space="preserve"> </w:t>
      </w:r>
      <w:r>
        <w:rPr>
          <w:iCs/>
          <w:i/>
        </w:rPr>
        <w:t xml:space="preserve">anugrahītā</w:t>
      </w:r>
      <w:r>
        <w:t xml:space="preserve"> </w:t>
      </w:r>
      <w:r>
        <w:t xml:space="preserve">as the Bhāṣyakāra does.</w:t>
      </w:r>
    </w:p>
    <w:p>
      <w:pPr>
        <w:pStyle w:val="BodyText"/>
      </w:pPr>
      <w:r>
        <w:rPr>
          <w:bCs/>
          <w:b/>
        </w:rPr>
        <w:t xml:space="preserve">“</w:t>
      </w:r>
      <w:r>
        <w:rPr>
          <w:bCs/>
          <w:b/>
        </w:rPr>
        <w:t xml:space="preserve">Ekaḥ</w:t>
      </w:r>
      <w:r>
        <w:rPr>
          <w:bCs/>
          <w:b/>
        </w:rPr>
        <w:t xml:space="preserve">”</w:t>
      </w:r>
      <w:r>
        <w:t xml:space="preserve"> </w:t>
      </w:r>
      <w:r>
        <w:t xml:space="preserve">— one alone; only one; the sense that others do not have that capacity.</w:t>
      </w:r>
    </w:p>
    <w:p>
      <w:pPr>
        <w:pStyle w:val="BodyText"/>
      </w:pPr>
      <w:r>
        <w:rPr>
          <w:bCs/>
          <w:b/>
        </w:rPr>
        <w:t xml:space="preserve">“</w:t>
      </w:r>
      <w:r>
        <w:rPr>
          <w:bCs/>
          <w:b/>
        </w:rPr>
        <w:t xml:space="preserve">Carṣaṇīnām</w:t>
      </w:r>
      <w:r>
        <w:rPr>
          <w:bCs/>
          <w:b/>
        </w:rPr>
        <w:t xml:space="preserve">”</w:t>
      </w:r>
      <w:r>
        <w:t xml:space="preserve"> </w:t>
      </w:r>
      <w:r>
        <w:t xml:space="preserve">— to men, to people;</w:t>
      </w:r>
      <w:r>
        <w:t xml:space="preserve"> </w:t>
      </w:r>
      <w:r>
        <w:rPr>
          <w:iCs/>
          <w:i/>
        </w:rPr>
        <w:t xml:space="preserve">Folk, people, race</w:t>
      </w:r>
      <w:r>
        <w:t xml:space="preserve">, etc.</w:t>
      </w:r>
    </w:p>
    <w:p>
      <w:pPr>
        <w:pStyle w:val="BodyText"/>
      </w:pPr>
      <w:r>
        <w:rPr>
          <w:bCs/>
          <w:b/>
        </w:rPr>
        <w:t xml:space="preserve">“</w:t>
      </w:r>
      <w:r>
        <w:rPr>
          <w:bCs/>
          <w:b/>
        </w:rPr>
        <w:t xml:space="preserve">Vasūnām</w:t>
      </w:r>
      <w:r>
        <w:rPr>
          <w:bCs/>
          <w:b/>
        </w:rPr>
        <w:t xml:space="preserve">”</w:t>
      </w:r>
      <w:r>
        <w:t xml:space="preserve"> </w:t>
      </w:r>
      <w:r>
        <w:t xml:space="preserve">— to riches, to wealth.</w:t>
      </w:r>
    </w:p>
    <w:p>
      <w:pPr>
        <w:pStyle w:val="BodyText"/>
      </w:pPr>
      <w:r>
        <w:rPr>
          <w:bCs/>
          <w:b/>
        </w:rPr>
        <w:t xml:space="preserve">“</w:t>
      </w:r>
      <w:r>
        <w:rPr>
          <w:bCs/>
          <w:b/>
        </w:rPr>
        <w:t xml:space="preserve">Irajyati</w:t>
      </w:r>
      <w:r>
        <w:rPr>
          <w:bCs/>
          <w:b/>
        </w:rPr>
        <w:t xml:space="preserve">”</w:t>
      </w:r>
      <w:r>
        <w:t xml:space="preserve"> </w:t>
      </w:r>
      <w:r>
        <w:t xml:space="preserve">— is the authority, is the lord. At Ṛgveda Saṃhitā 8-46-16 it is said,</w:t>
      </w:r>
      <w:r>
        <w:t xml:space="preserve"> </w:t>
      </w:r>
      <w:r>
        <w:rPr>
          <w:iCs/>
          <w:i/>
        </w:rPr>
        <w:t xml:space="preserve">viśveṣām irajyantaṃ vasūnām</w:t>
      </w:r>
      <w:r>
        <w:t xml:space="preserve"> </w:t>
      </w:r>
      <w:r>
        <w:t xml:space="preserve">—</w:t>
      </w:r>
      <w:r>
        <w:t xml:space="preserve"> </w:t>
      </w:r>
      <w:r>
        <w:t xml:space="preserve">“</w:t>
      </w:r>
      <w:r>
        <w:t xml:space="preserve">the ruler of all riches.</w:t>
      </w:r>
      <w:r>
        <w:t xml:space="preserve">”</w:t>
      </w:r>
      <w:r>
        <w:t xml:space="preserve"> </w:t>
      </w:r>
      <w:r>
        <w:t xml:space="preserve">There too the sense is</w:t>
      </w:r>
      <w:r>
        <w:t xml:space="preserve"> </w:t>
      </w:r>
      <w:r>
        <w:t xml:space="preserve">“</w:t>
      </w:r>
      <w:r>
        <w:t xml:space="preserve">lord of all wealth and the like</w:t>
      </w:r>
      <w:r>
        <w:t xml:space="preserve">”</w:t>
      </w:r>
      <w:r>
        <w:t xml:space="preserve">; so the word</w:t>
      </w:r>
      <w:r>
        <w:t xml:space="preserve"> </w:t>
      </w:r>
      <w:r>
        <w:rPr>
          <w:iCs/>
          <w:i/>
        </w:rPr>
        <w:t xml:space="preserve">irajyati</w:t>
      </w:r>
      <w:r>
        <w:t xml:space="preserve"> </w:t>
      </w:r>
      <w:r>
        <w:t xml:space="preserve">means</w:t>
      </w:r>
      <w:r>
        <w:t xml:space="preserve"> </w:t>
      </w:r>
      <w:r>
        <w:t xml:space="preserve">“</w:t>
      </w:r>
      <w:r>
        <w:t xml:space="preserve">is the lord</w:t>
      </w:r>
      <w:r>
        <w:t xml:space="preserve">”</w:t>
      </w:r>
      <w:r>
        <w:t xml:space="preserve"> </w:t>
      </w:r>
      <w:r>
        <w:t xml:space="preserve">—</w:t>
      </w:r>
      <w:r>
        <w:t xml:space="preserve"> </w:t>
      </w:r>
      <w:r>
        <w:rPr>
          <w:iCs/>
          <w:i/>
        </w:rPr>
        <w:t xml:space="preserve">to order, to rule over</w:t>
      </w:r>
      <w:r>
        <w:t xml:space="preserve">.</w:t>
      </w:r>
    </w:p>
    <w:p>
      <w:pPr>
        <w:pStyle w:val="BodyText"/>
      </w:pPr>
      <w:r>
        <w:rPr>
          <w:bCs/>
          <w:b/>
        </w:rPr>
        <w:t xml:space="preserve">“</w:t>
      </w:r>
      <w:r>
        <w:rPr>
          <w:bCs/>
          <w:b/>
        </w:rPr>
        <w:t xml:space="preserve">Pañca kṣitīnām</w:t>
      </w:r>
      <w:r>
        <w:rPr>
          <w:bCs/>
          <w:b/>
        </w:rPr>
        <w:t xml:space="preserve">”</w:t>
      </w:r>
      <w:r>
        <w:t xml:space="preserve"> </w:t>
      </w:r>
      <w:r>
        <w:t xml:space="preserve">— the word</w:t>
      </w:r>
      <w:r>
        <w:t xml:space="preserve"> </w:t>
      </w:r>
      <w:r>
        <w:rPr>
          <w:iCs/>
          <w:i/>
        </w:rPr>
        <w:t xml:space="preserve">kṣitayaḥ</w:t>
      </w:r>
      <w:r>
        <w:t xml:space="preserve"> </w:t>
      </w:r>
      <w:r>
        <w:t xml:space="preserve">is read among the</w:t>
      </w:r>
      <w:r>
        <w:t xml:space="preserve"> </w:t>
      </w:r>
      <w:r>
        <w:rPr>
          <w:bCs/>
          <w:b/>
        </w:rPr>
        <w:t xml:space="preserve">twenty-five</w:t>
      </w:r>
      <w:r>
        <w:t xml:space="preserve"> </w:t>
      </w:r>
      <w:r>
        <w:t xml:space="preserve">names for human beings beginning with</w:t>
      </w:r>
      <w:r>
        <w:t xml:space="preserve"> </w:t>
      </w:r>
      <w:r>
        <w:rPr>
          <w:iCs/>
          <w:i/>
        </w:rPr>
        <w:t xml:space="preserve">manuṣyāḥ, narāḥ</w:t>
      </w:r>
      <w:r>
        <w:t xml:space="preserve"> </w:t>
      </w:r>
      <w:r>
        <w:t xml:space="preserve">(Ni.</w:t>
      </w:r>
      <w:r>
        <w:t xml:space="preserve"> </w:t>
      </w:r>
      <w:r>
        <w:t xml:space="preserve">“</w:t>
      </w:r>
      <w:r>
        <w:t xml:space="preserve">3-7</w:t>
      </w:r>
      <w:r>
        <w:t xml:space="preserve">”</w:t>
      </w:r>
      <w:r>
        <w:t xml:space="preserve"> </w:t>
      </w:r>
      <w:r>
        <w:t xml:space="preserve">as read [?], the digits small).</w:t>
      </w:r>
      <w:r>
        <w:t xml:space="preserve"> </w:t>
      </w:r>
      <w:r>
        <w:rPr>
          <w:iCs/>
          <w:i/>
        </w:rPr>
        <w:t xml:space="preserve">Pañca kṣitīnām</w:t>
      </w:r>
      <w:r>
        <w:t xml:space="preserve"> </w:t>
      </w:r>
      <w:r>
        <w:t xml:space="preserve">means</w:t>
      </w:r>
      <w:r>
        <w:t xml:space="preserve"> </w:t>
      </w:r>
      <w:r>
        <w:rPr>
          <w:iCs/>
          <w:i/>
        </w:rPr>
        <w:t xml:space="preserve">pañca janānām</w:t>
      </w:r>
      <w:r>
        <w:t xml:space="preserve"> </w:t>
      </w:r>
      <w:r>
        <w:t xml:space="preserve">—</w:t>
      </w:r>
      <w:r>
        <w:t xml:space="preserve"> </w:t>
      </w:r>
      <w:r>
        <w:t xml:space="preserve">“</w:t>
      </w:r>
      <w:r>
        <w:t xml:space="preserve">of the five peoples.</w:t>
      </w:r>
      <w:r>
        <w:t xml:space="preserve">”</w:t>
      </w:r>
      <w:r>
        <w:t xml:space="preserve"> </w:t>
      </w:r>
      <w:r>
        <w:t xml:space="preserve">For this phrase:</w:t>
      </w:r>
    </w:p>
    <w:p>
      <w:pPr>
        <w:numPr>
          <w:ilvl w:val="0"/>
          <w:numId w:val="1046"/>
        </w:numPr>
        <w:pStyle w:val="Compact"/>
      </w:pPr>
      <w:r>
        <w:t xml:space="preserve">the</w:t>
      </w:r>
      <w:r>
        <w:t xml:space="preserve"> </w:t>
      </w:r>
      <w:r>
        <w:rPr>
          <w:bCs/>
          <w:b/>
        </w:rPr>
        <w:t xml:space="preserve">Bhāṣyakāra</w:t>
      </w:r>
      <w:r>
        <w:t xml:space="preserve"> </w:t>
      </w:r>
      <w:r>
        <w:t xml:space="preserve">says:</w:t>
      </w:r>
      <w:r>
        <w:t xml:space="preserve"> </w:t>
      </w:r>
      <w:r>
        <w:rPr>
          <w:bCs/>
          <w:b/>
        </w:rPr>
        <w:t xml:space="preserve">निषादपञ्चमानाम्</w:t>
      </w:r>
      <w:r>
        <w:t xml:space="preserve"> </w:t>
      </w:r>
      <w:r>
        <w:t xml:space="preserve">(</w:t>
      </w:r>
      <w:r>
        <w:rPr>
          <w:iCs/>
          <w:i/>
        </w:rPr>
        <w:t xml:space="preserve">niṣāda-pañcamānām</w:t>
      </w:r>
      <w:r>
        <w:t xml:space="preserve">) —</w:t>
      </w:r>
      <w:r>
        <w:t xml:space="preserve"> </w:t>
      </w:r>
      <w:r>
        <w:t xml:space="preserve">“</w:t>
      </w:r>
      <w:r>
        <w:t xml:space="preserve">of those of whom the Niṣādas are the fifth</w:t>
      </w:r>
      <w:r>
        <w:t xml:space="preserve">”</w:t>
      </w:r>
      <w:r>
        <w:t xml:space="preserve">;</w:t>
      </w:r>
    </w:p>
    <w:p>
      <w:pPr>
        <w:numPr>
          <w:ilvl w:val="0"/>
          <w:numId w:val="1046"/>
        </w:numPr>
        <w:pStyle w:val="Compact"/>
      </w:pPr>
      <w:r>
        <w:rPr>
          <w:bCs/>
          <w:b/>
        </w:rPr>
        <w:t xml:space="preserve">Skandasvāmī</w:t>
      </w:r>
      <w:r>
        <w:t xml:space="preserve"> </w:t>
      </w:r>
      <w:r>
        <w:t xml:space="preserve">says:</w:t>
      </w:r>
      <w:r>
        <w:t xml:space="preserve"> </w:t>
      </w:r>
      <w:r>
        <w:rPr>
          <w:iCs/>
          <w:i/>
        </w:rPr>
        <w:t xml:space="preserve">kṣitīnāṃ manuṣya-jātīnāṃ gandharvāḥ pitaro devā ity etāsām</w:t>
      </w:r>
      <w:r>
        <w:t xml:space="preserve"> </w:t>
      </w:r>
      <w:r>
        <w:t xml:space="preserve">—</w:t>
      </w:r>
      <w:r>
        <w:t xml:space="preserve"> </w:t>
      </w:r>
      <w:r>
        <w:t xml:space="preserve">“</w:t>
      </w:r>
      <w:r>
        <w:t xml:space="preserve">of the</w:t>
      </w:r>
      <w:r>
        <w:t xml:space="preserve"> </w:t>
      </w:r>
      <w:r>
        <w:rPr>
          <w:iCs/>
          <w:i/>
        </w:rPr>
        <w:t xml:space="preserve">kṣitis</w:t>
      </w:r>
      <w:r>
        <w:t xml:space="preserve">, the human kinds: the Gandharvas, the Fathers, the gods, of these</w:t>
      </w:r>
      <w:r>
        <w:t xml:space="preserve">”</w:t>
      </w:r>
      <w:r>
        <w:t xml:space="preserve"> </w:t>
      </w:r>
      <w:r>
        <w:t xml:space="preserve">(so printed);</w:t>
      </w:r>
    </w:p>
    <w:p>
      <w:pPr>
        <w:numPr>
          <w:ilvl w:val="0"/>
          <w:numId w:val="1046"/>
        </w:numPr>
        <w:pStyle w:val="Compact"/>
      </w:pPr>
      <w:r>
        <w:rPr>
          <w:bCs/>
          <w:b/>
        </w:rPr>
        <w:t xml:space="preserve">Veṅkaṭamādhava</w:t>
      </w:r>
      <w:r>
        <w:t xml:space="preserve"> </w:t>
      </w:r>
      <w:r>
        <w:t xml:space="preserve">gives:</w:t>
      </w:r>
      <w:r>
        <w:t xml:space="preserve"> </w:t>
      </w:r>
      <w:r>
        <w:rPr>
          <w:bCs/>
          <w:b/>
        </w:rPr>
        <w:t xml:space="preserve">मनुष्याणां पञ्चानां क्षितीनां निवसतां गन्धर्वाः पितरो देवा असुरा रक्षांसीति पञ्चत्वम्</w:t>
      </w:r>
      <w:r>
        <w:t xml:space="preserve"> </w:t>
      </w:r>
      <w:r>
        <w:t xml:space="preserve">(</w:t>
      </w:r>
      <w:r>
        <w:rPr>
          <w:iCs/>
          <w:i/>
        </w:rPr>
        <w:t xml:space="preserve">manuṣyāṇāṃ pañcānāṃ kṣitīnāṃ nivasatāṃ gandharvāḥ pitaro devā asurā rakṣāṃsīti pañcatvam</w:t>
      </w:r>
      <w:r>
        <w:t xml:space="preserve">) —</w:t>
      </w:r>
      <w:r>
        <w:t xml:space="preserve"> </w:t>
      </w:r>
      <w:r>
        <w:t xml:space="preserve">“</w:t>
      </w:r>
      <w:r>
        <w:t xml:space="preserve">of the five peoples dwelling [among] men — the fivefold being: Gandharvas, Fathers, gods, Asuras, Rākṣasas.</w:t>
      </w:r>
      <w:r>
        <w:t xml:space="preserve">”</w:t>
      </w:r>
    </w:p>
    <w:p>
      <w:pPr>
        <w:pStyle w:val="FirstParagraph"/>
      </w:pPr>
      <w:r>
        <w:t xml:space="preserve">In Sāyaṇa’s view, then,</w:t>
      </w:r>
      <w:r>
        <w:t xml:space="preserve"> </w:t>
      </w:r>
      <w:r>
        <w:rPr>
          <w:iCs/>
          <w:i/>
        </w:rPr>
        <w:t xml:space="preserve">kṣitīnām</w:t>
      </w:r>
      <w:r>
        <w:t xml:space="preserve"> </w:t>
      </w:r>
      <w:r>
        <w:t xml:space="preserve">means the people of the</w:t>
      </w:r>
      <w:r>
        <w:t xml:space="preserve"> </w:t>
      </w:r>
      <w:r>
        <w:rPr>
          <w:bCs/>
          <w:b/>
        </w:rPr>
        <w:t xml:space="preserve">five castes fit to dwell on the earth — Brāhmaṇa, Kṣatriya, Vaiśya, Śūdra, Niṣāda</w:t>
      </w:r>
      <w:r>
        <w:t xml:space="preserve">.</w:t>
      </w:r>
      <w:r>
        <w:t xml:space="preserve"> </w:t>
      </w:r>
      <w:r>
        <w:rPr>
          <w:iCs/>
          <w:i/>
        </w:rPr>
        <w:t xml:space="preserve">Niṣādas</w:t>
      </w:r>
      <w:r>
        <w:t xml:space="preserve"> </w:t>
      </w:r>
      <w:r>
        <w:t xml:space="preserve">means those who are not counted among the four varṇas beginning with the Brāhmaṇas, and who live by hunting animals. The Gonds, Kolas, Bhillas and others — early inhabitants of this land —</w:t>
      </w:r>
    </w:p>
    <w:bookmarkEnd w:id="328"/>
    <w:bookmarkStart w:id="329" w:name="page-297"/>
    <w:p>
      <w:pPr>
        <w:pStyle w:val="Heading3"/>
      </w:pPr>
      <w:r>
        <w:t xml:space="preserve">Page 297</w:t>
      </w:r>
    </w:p>
    <w:p>
      <w:pPr>
        <w:pStyle w:val="FirstParagraph"/>
      </w:pPr>
      <w:r>
        <w:t xml:space="preserve">— belong to this group. Even today they dwell, in very small numbers, in only some places such as the Central Provinces</w:t>
      </w:r>
      <w:r>
        <w:t xml:space="preserve"> </w:t>
      </w:r>
      <w:r>
        <w:rPr>
          <w:iCs/>
          <w:i/>
        </w:rPr>
        <w:t xml:space="preserve">(as the source says)</w:t>
      </w:r>
      <w:r>
        <w:t xml:space="preserve">. The words</w:t>
      </w:r>
      <w:r>
        <w:t xml:space="preserve"> </w:t>
      </w:r>
      <w:r>
        <w:rPr>
          <w:iCs/>
          <w:i/>
        </w:rPr>
        <w:t xml:space="preserve">pañca janāḥ</w:t>
      </w:r>
      <w:r>
        <w:t xml:space="preserve"> </w:t>
      </w:r>
      <w:r>
        <w:t xml:space="preserve">and</w:t>
      </w:r>
      <w:r>
        <w:t xml:space="preserve"> </w:t>
      </w:r>
      <w:r>
        <w:rPr>
          <w:iCs/>
          <w:i/>
        </w:rPr>
        <w:t xml:space="preserve">pañcakṛṣṭīḥ</w:t>
      </w:r>
      <w:r>
        <w:t xml:space="preserve"> </w:t>
      </w:r>
      <w:r>
        <w:t xml:space="preserve">occur in many places in the Ṛgveda:</w:t>
      </w:r>
    </w:p>
    <w:p>
      <w:pPr>
        <w:pStyle w:val="BlockText"/>
      </w:pPr>
      <w:r>
        <w:t xml:space="preserve">तदद्य वाचः प्रथमं मसीय येनासुराँ अभि देवा असाम ।</w:t>
      </w:r>
      <w:r>
        <w:t xml:space="preserve"> </w:t>
      </w:r>
      <w:r>
        <w:t xml:space="preserve">ऊर्जाद उत यज्ञियासः पञ्च जना मम होत्रं जुषध्वम् ॥</w:t>
      </w:r>
    </w:p>
    <w:p>
      <w:pPr>
        <w:pStyle w:val="BlockText"/>
      </w:pPr>
      <w:r>
        <w:rPr>
          <w:iCs/>
          <w:i/>
        </w:rPr>
        <w:t xml:space="preserve">tad adya vācaḥ prathamaṃ masīya yenāsurāṁ abhi devā asāma |</w:t>
      </w:r>
      <w:r>
        <w:t xml:space="preserve"> </w:t>
      </w:r>
      <w:r>
        <w:rPr>
          <w:iCs/>
          <w:i/>
        </w:rPr>
        <w:t xml:space="preserve">ūrjāda uta yajñiyāsaḥ pañca janā mama hotraṃ juṣadhvam ||</w:t>
      </w:r>
    </w:p>
    <w:p>
      <w:pPr>
        <w:pStyle w:val="BlockText"/>
      </w:pPr>
      <w:r>
        <w:t xml:space="preserve">(Ṛgveda Saṃhitā 10-53-4)</w:t>
      </w:r>
      <w:r>
        <w:t xml:space="preserve"> </w:t>
      </w:r>
      <w:r>
        <w:rPr>
          <w:iCs/>
          <w:i/>
        </w:rPr>
        <w:t xml:space="preserve">(</w:t>
      </w:r>
      <w:r>
        <w:rPr>
          <w:iCs/>
          <w:i/>
        </w:rPr>
        <w:t xml:space="preserve">“</w:t>
      </w:r>
      <w:r>
        <w:rPr>
          <w:iCs/>
          <w:i/>
        </w:rPr>
        <w:t xml:space="preserve">That first [word] of speech may I think out today, by which we gods may overcome the Asuras; O strength-eaters and you worthy of sacrifice, five peoples, take pleasure in my offering</w:t>
      </w:r>
      <w:r>
        <w:rPr>
          <w:iCs/>
          <w:i/>
        </w:rPr>
        <w:t xml:space="preserve">”</w:t>
      </w:r>
      <w:r>
        <w:rPr>
          <w:iCs/>
          <w:i/>
        </w:rPr>
        <w:t xml:space="preserve"> </w:t>
      </w:r>
      <w:r>
        <w:rPr>
          <w:iCs/>
          <w:i/>
        </w:rPr>
        <w:t xml:space="preserve">— gloss mine and tentative.)</w:t>
      </w:r>
    </w:p>
    <w:p>
      <w:pPr>
        <w:pStyle w:val="BlockText"/>
      </w:pPr>
      <w:r>
        <w:t xml:space="preserve">पञ्च जना मम होत्रं जुषन्तां गोजाता उत ये यज्ञियासः ॥</w:t>
      </w:r>
      <w:r>
        <w:t xml:space="preserve"> </w:t>
      </w:r>
      <w:r>
        <w:rPr>
          <w:iCs/>
          <w:i/>
        </w:rPr>
        <w:t xml:space="preserve">pañca janā mama hotraṃ juṣantāṃ gojātā uta ye yajñiyāsaḥ ||</w:t>
      </w:r>
      <w:r>
        <w:t xml:space="preserve"> </w:t>
      </w:r>
      <w:r>
        <w:t xml:space="preserve">(Ṛgveda Saṃhitā 10-53-5)</w:t>
      </w:r>
      <w:r>
        <w:t xml:space="preserve"> </w:t>
      </w:r>
      <w:r>
        <w:rPr>
          <w:iCs/>
          <w:i/>
        </w:rPr>
        <w:t xml:space="preserve">(gloss mine and tentative:</w:t>
      </w:r>
      <w:r>
        <w:rPr>
          <w:iCs/>
          <w:i/>
        </w:rPr>
        <w:t xml:space="preserve"> </w:t>
      </w:r>
      <w:r>
        <w:rPr>
          <w:iCs/>
          <w:i/>
        </w:rPr>
        <w:t xml:space="preserve">“</w:t>
      </w:r>
      <w:r>
        <w:rPr>
          <w:iCs/>
          <w:i/>
        </w:rPr>
        <w:t xml:space="preserve">Let the five peoples take pleasure in my offering — the cow-born, and those worthy of sacrifice.</w:t>
      </w:r>
      <w:r>
        <w:rPr>
          <w:iCs/>
          <w:i/>
        </w:rPr>
        <w:t xml:space="preserve">”</w:t>
      </w:r>
      <w:r>
        <w:rPr>
          <w:iCs/>
          <w:i/>
        </w:rPr>
        <w:t xml:space="preserve">)</w:t>
      </w:r>
    </w:p>
    <w:p>
      <w:pPr>
        <w:pStyle w:val="BlockText"/>
      </w:pPr>
      <w:r>
        <w:t xml:space="preserve">सद्यश्चिद्यः शवसा पञ्च कृष्टीः सूर्य इव ज्योतिषापस्ततान ॥</w:t>
      </w:r>
      <w:r>
        <w:t xml:space="preserve"> </w:t>
      </w:r>
      <w:r>
        <w:rPr>
          <w:iCs/>
          <w:i/>
        </w:rPr>
        <w:t xml:space="preserve">sadyaś cid yaḥ śavasā pañca kṛṣṭīḥ sūrya iva jyotiṣāpas tatāna ||</w:t>
      </w:r>
      <w:r>
        <w:t xml:space="preserve"> </w:t>
      </w:r>
      <w:r>
        <w:t xml:space="preserve">(Ṛgveda Saṃhitā 10-178-3)</w:t>
      </w:r>
      <w:r>
        <w:t xml:space="preserve"> </w:t>
      </w:r>
      <w:r>
        <w:rPr>
          <w:iCs/>
          <w:i/>
        </w:rPr>
        <w:t xml:space="preserve">(gloss mine and tentative:</w:t>
      </w:r>
      <w:r>
        <w:rPr>
          <w:iCs/>
          <w:i/>
        </w:rPr>
        <w:t xml:space="preserve"> </w:t>
      </w:r>
      <w:r>
        <w:rPr>
          <w:iCs/>
          <w:i/>
        </w:rPr>
        <w:t xml:space="preserve">“</w:t>
      </w:r>
      <w:r>
        <w:rPr>
          <w:iCs/>
          <w:i/>
        </w:rPr>
        <w:t xml:space="preserve">He who at once, with might, [spread over] the five peoples, as the sun spreads the waters with his light.</w:t>
      </w:r>
      <w:r>
        <w:rPr>
          <w:iCs/>
          <w:i/>
        </w:rPr>
        <w:t xml:space="preserve">”</w:t>
      </w:r>
      <w:r>
        <w:rPr>
          <w:iCs/>
          <w:i/>
        </w:rPr>
        <w:t xml:space="preserve">)</w:t>
      </w:r>
    </w:p>
    <w:p>
      <w:pPr>
        <w:pStyle w:val="FirstParagraph"/>
      </w:pPr>
      <w:r>
        <w:rPr>
          <w:bCs/>
          <w:b/>
        </w:rPr>
        <w:t xml:space="preserve">Yāska’s explanation of the words</w:t>
      </w:r>
      <w:r>
        <w:rPr>
          <w:bCs/>
          <w:b/>
        </w:rPr>
        <w:t xml:space="preserve"> </w:t>
      </w:r>
      <w:r>
        <w:rPr>
          <w:iCs/>
          <w:i/>
          <w:bCs/>
          <w:b/>
        </w:rPr>
        <w:t xml:space="preserve">pañca janāḥ</w:t>
      </w:r>
      <w:r>
        <w:rPr>
          <w:bCs/>
          <w:b/>
        </w:rPr>
        <w:t xml:space="preserve"> </w:t>
      </w:r>
      <w:r>
        <w:rPr>
          <w:bCs/>
          <w:b/>
        </w:rPr>
        <w:t xml:space="preserve">and</w:t>
      </w:r>
      <w:r>
        <w:rPr>
          <w:bCs/>
          <w:b/>
        </w:rPr>
        <w:t xml:space="preserve"> </w:t>
      </w:r>
      <w:r>
        <w:rPr>
          <w:iCs/>
          <w:i/>
          <w:bCs/>
          <w:b/>
        </w:rPr>
        <w:t xml:space="preserve">pañca kṛṣṭayaḥ</w:t>
      </w:r>
      <w:r>
        <w:rPr>
          <w:bCs/>
          <w:b/>
        </w:rPr>
        <w:t xml:space="preserve">, in his Nirukta (as printed in the source in Kannada script):</w:t>
      </w:r>
    </w:p>
    <w:p>
      <w:pPr>
        <w:pStyle w:val="BlockText"/>
      </w:pPr>
      <w:r>
        <w:t xml:space="preserve">पञ्च जना मम होत्रं जुषध्वं गन्धर्वाः पितरो देवा असुरा रक्षांसीत्येके । चत्वारो वर्णा निषादः पञ्चम इत्यौपमन्यवः । निषादः कस्मान्निषदनो भवति निषण्णमस्मिन् पापकमिति नैरुक्ताः ॥ इति ॥</w:t>
      </w:r>
    </w:p>
    <w:p>
      <w:pPr>
        <w:pStyle w:val="BlockText"/>
      </w:pPr>
      <w:r>
        <w:rPr>
          <w:iCs/>
          <w:i/>
        </w:rPr>
        <w:t xml:space="preserve">pañca janā mama hotraṃ juṣadhvaṃ gandharvāḥ pitaro devā asurā rakṣāṃsīty eke | catvāro varṇā niṣādaḥ pañcama ity aupamanyavaḥ | niṣādaḥ kasmān niṣadano bhavati niṣaṇṇam asmin pāpakam iti nairuktāḥ || iti ||</w:t>
      </w:r>
    </w:p>
    <w:p>
      <w:pPr>
        <w:pStyle w:val="FirstParagraph"/>
      </w:pPr>
      <w:r>
        <w:rPr>
          <w:bCs/>
          <w:b/>
        </w:rPr>
        <w:t xml:space="preserve">Translation:</w:t>
      </w:r>
      <w:r>
        <w:t xml:space="preserve"> </w:t>
      </w:r>
      <w:r>
        <w:t xml:space="preserve">“</w:t>
      </w:r>
      <w:r>
        <w:t xml:space="preserve">‘</w:t>
      </w:r>
      <w:r>
        <w:t xml:space="preserve">Five peoples, take pleasure in my offering</w:t>
      </w:r>
      <w:r>
        <w:t xml:space="preserve">’</w:t>
      </w:r>
      <w:r>
        <w:t xml:space="preserve">: some say [these are] the Gandharvas, the Fathers, the gods, the Asuras, the Rākṣasas.</w:t>
      </w:r>
      <w:r>
        <w:t xml:space="preserve"> </w:t>
      </w:r>
      <w:r>
        <w:t xml:space="preserve">‘</w:t>
      </w:r>
      <w:r>
        <w:t xml:space="preserve">The four varṇas, with the Niṣāda as the fifth,</w:t>
      </w:r>
      <w:r>
        <w:t xml:space="preserve">’</w:t>
      </w:r>
      <w:r>
        <w:t xml:space="preserve"> </w:t>
      </w:r>
      <w:r>
        <w:t xml:space="preserve">say the followers of Aupamanyava. Why is the Niṣāda so called? Because he is a</w:t>
      </w:r>
      <w:r>
        <w:t xml:space="preserve"> </w:t>
      </w:r>
      <w:r>
        <w:rPr>
          <w:iCs/>
          <w:i/>
        </w:rPr>
        <w:t xml:space="preserve">niṣadana</w:t>
      </w:r>
      <w:r>
        <w:t xml:space="preserve"> </w:t>
      </w:r>
      <w:r>
        <w:t xml:space="preserve">—</w:t>
      </w:r>
      <w:r>
        <w:t xml:space="preserve"> </w:t>
      </w:r>
      <w:r>
        <w:t xml:space="preserve">‘</w:t>
      </w:r>
      <w:r>
        <w:t xml:space="preserve">in him evil is settled</w:t>
      </w:r>
      <w:r>
        <w:t xml:space="preserve">’</w:t>
      </w:r>
      <w:r>
        <w:t xml:space="preserve"> </w:t>
      </w:r>
      <w:r>
        <w:t xml:space="preserve">— say the etymologists (</w:t>
      </w:r>
      <w:r>
        <w:rPr>
          <w:iCs/>
          <w:i/>
        </w:rPr>
        <w:t xml:space="preserve">nairuktāḥ</w:t>
      </w:r>
      <w:r>
        <w:t xml:space="preserve">).</w:t>
      </w:r>
      <w:r>
        <w:t xml:space="preserve">”</w:t>
      </w:r>
    </w:p>
    <w:p>
      <w:pPr>
        <w:pStyle w:val="BodyText"/>
      </w:pPr>
      <w:r>
        <w:rPr>
          <w:bCs/>
          <w:b/>
        </w:rPr>
        <w:t xml:space="preserve">The Kannada commentary on this:</w:t>
      </w:r>
      <w:r>
        <w:t xml:space="preserve"> </w:t>
      </w:r>
      <w:r>
        <w:t xml:space="preserve">Some say the</w:t>
      </w:r>
      <w:r>
        <w:t xml:space="preserve"> </w:t>
      </w:r>
      <w:r>
        <w:t xml:space="preserve">“</w:t>
      </w:r>
      <w:r>
        <w:t xml:space="preserve">five peoples</w:t>
      </w:r>
      <w:r>
        <w:t xml:space="preserve">”</w:t>
      </w:r>
      <w:r>
        <w:t xml:space="preserve"> </w:t>
      </w:r>
      <w:r>
        <w:t xml:space="preserve">are the Gandharvas, the Fathers, the gods, the Asuras and the Rākṣasas. The view of Aupamanyava and others is that the five are the four varṇas beginning with the Brāhmaṇas, plus the people of the hunter caste called Niṣāda</w:t>
      </w:r>
      <w:r>
        <w:t xml:space="preserve"> </w:t>
      </w:r>
      <w:r>
        <w:rPr>
          <w:iCs/>
          <w:i/>
        </w:rPr>
        <w:t xml:space="preserve">(Sāyaṇa has approved just this)</w:t>
      </w:r>
      <w:r>
        <w:t xml:space="preserve">.</w:t>
      </w:r>
      <w:r>
        <w:t xml:space="preserve"> </w:t>
      </w:r>
      <w:r>
        <w:rPr>
          <w:iCs/>
          <w:i/>
        </w:rPr>
        <w:t xml:space="preserve">Niṣāda</w:t>
      </w:r>
      <w:r>
        <w:t xml:space="preserve"> </w:t>
      </w:r>
      <w:r>
        <w:t xml:space="preserve">means those who kill animals, or — because evil is said to be full in them — it is for this reason the etymologists call them Niṣādas. Besides, there may have been five principal tribes at that time; the poet may have said</w:t>
      </w:r>
      <w:r>
        <w:t xml:space="preserve"> </w:t>
      </w:r>
      <w:r>
        <w:rPr>
          <w:iCs/>
          <w:i/>
        </w:rPr>
        <w:t xml:space="preserve">pañca kṣitīnām</w:t>
      </w:r>
      <w:r>
        <w:t xml:space="preserve"> </w:t>
      </w:r>
      <w:r>
        <w:t xml:space="preserve">with just this idea in mind. In any case,</w:t>
      </w:r>
      <w:r>
        <w:t xml:space="preserve"> </w:t>
      </w:r>
      <w:r>
        <w:rPr>
          <w:bCs/>
          <w:b/>
        </w:rPr>
        <w:t xml:space="preserve">it is clear that even in the time of Yāska, the author of the Nirukta, there was a difference of opinion on this matter.</w:t>
      </w:r>
    </w:p>
    <w:p>
      <w:pPr>
        <w:pStyle w:val="BodyText"/>
      </w:pPr>
      <w:r>
        <w:rPr>
          <w:iCs/>
          <w:i/>
        </w:rPr>
        <w:t xml:space="preserve">(A note for the Volume 2 table of contents: the printed contents list the explanation of</w:t>
      </w:r>
      <w:r>
        <w:rPr>
          <w:iCs/>
          <w:i/>
        </w:rPr>
        <w:t xml:space="preserve"> </w:t>
      </w:r>
      <w:r>
        <w:rPr>
          <w:iCs/>
          <w:i/>
        </w:rPr>
        <w:t xml:space="preserve">“</w:t>
      </w:r>
      <w:r>
        <w:rPr>
          <w:iCs/>
          <w:i/>
        </w:rPr>
        <w:t xml:space="preserve">Pañcakṣiti</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Pañcajana</w:t>
      </w:r>
      <w:r>
        <w:rPr>
          <w:iCs/>
          <w:i/>
        </w:rPr>
        <w:t xml:space="preserve">”</w:t>
      </w:r>
      <w:r>
        <w:rPr>
          <w:iCs/>
          <w:i/>
        </w:rPr>
        <w:t xml:space="preserve"> </w:t>
      </w:r>
      <w:r>
        <w:rPr>
          <w:iCs/>
          <w:i/>
        </w:rPr>
        <w:t xml:space="preserve">at p. 296; it begins there and runs to this page.)</w:t>
      </w:r>
    </w:p>
    <w:p>
      <w:pPr>
        <w:pStyle w:val="BodyText"/>
      </w:pPr>
      <w:r>
        <w:rPr>
          <w:bCs/>
          <w:b/>
        </w:rPr>
        <w:t xml:space="preserve">॥ Vyākaraṇa-prakriyā ॥</w:t>
      </w:r>
    </w:p>
    <w:p>
      <w:pPr>
        <w:pStyle w:val="BodyText"/>
      </w:pPr>
      <w:r>
        <w:rPr>
          <w:iCs/>
          <w:i/>
        </w:rPr>
        <w:t xml:space="preserve">(Pp. 297–298. Page header p. 297:</w:t>
      </w:r>
      <w:r>
        <w:rPr>
          <w:iCs/>
          <w:i/>
        </w:rPr>
        <w:t xml:space="preserve"> </w:t>
      </w:r>
      <w:r>
        <w:rPr>
          <w:iCs/>
          <w:i/>
        </w:rPr>
        <w:t xml:space="preserve">“</w:t>
      </w:r>
      <w:r>
        <w:rPr>
          <w:iCs/>
          <w:i/>
        </w:rPr>
        <w:t xml:space="preserve">A. 1, A. 1, Va. 14.</w:t>
      </w:r>
      <w:r>
        <w:rPr>
          <w:iCs/>
          <w:i/>
        </w:rPr>
        <w:t xml:space="preserve">”</w:t>
      </w:r>
      <w:r>
        <w:rPr>
          <w:iCs/>
          <w:i/>
        </w:rPr>
        <w:t xml:space="preserve"> </w:t>
      </w:r>
      <w:r>
        <w:rPr>
          <w:iCs/>
          <w:i/>
        </w:rPr>
        <w:t xml:space="preserve">Characterized; numbers as printed.)</w:t>
      </w:r>
    </w:p>
    <w:p>
      <w:pPr>
        <w:numPr>
          <w:ilvl w:val="0"/>
          <w:numId w:val="1047"/>
        </w:numPr>
        <w:pStyle w:val="Compact"/>
      </w:pPr>
      <w:r>
        <w:rPr>
          <w:bCs/>
          <w:b/>
        </w:rPr>
        <w:t xml:space="preserve">एकः (</w:t>
      </w:r>
      <w:r>
        <w:rPr>
          <w:iCs/>
          <w:i/>
          <w:bCs/>
          <w:b/>
        </w:rPr>
        <w:t xml:space="preserve">ekaḥ</w:t>
      </w:r>
      <w:r>
        <w:rPr>
          <w:bCs/>
          <w:b/>
        </w:rPr>
        <w:t xml:space="preserve">)</w:t>
      </w:r>
      <w:r>
        <w:t xml:space="preserve"> </w:t>
      </w:r>
      <w:r>
        <w:t xml:space="preserve">— from root</w:t>
      </w:r>
      <w:r>
        <w:t xml:space="preserve"> </w:t>
      </w:r>
      <w:r>
        <w:rPr>
          <w:iCs/>
          <w:i/>
        </w:rPr>
        <w:t xml:space="preserve">iṇ gatau</w:t>
      </w:r>
      <w:r>
        <w:t xml:space="preserve"> </w:t>
      </w:r>
      <w:r>
        <w:t xml:space="preserve">(</w:t>
      </w:r>
      <w:r>
        <w:t xml:space="preserve">“</w:t>
      </w:r>
      <w:r>
        <w:t xml:space="preserve">to go</w:t>
      </w:r>
      <w:r>
        <w:t xml:space="preserve">”</w:t>
      </w:r>
      <w:r>
        <w:t xml:space="preserve">) with the suffix</w:t>
      </w:r>
      <w:r>
        <w:t xml:space="preserve"> </w:t>
      </w:r>
      <w:r>
        <w:rPr>
          <w:iCs/>
          <w:i/>
        </w:rPr>
        <w:t xml:space="preserve">kan</w:t>
      </w:r>
      <w:r>
        <w:t xml:space="preserve"> </w:t>
      </w:r>
      <w:r>
        <w:t xml:space="preserve">by</w:t>
      </w:r>
      <w:r>
        <w:t xml:space="preserve"> </w:t>
      </w:r>
      <w:r>
        <w:rPr>
          <w:bCs/>
          <w:b/>
        </w:rPr>
        <w:t xml:space="preserve">इण्भीकापाशल्यतिमर्चिभ्यः कन्</w:t>
      </w:r>
      <w:r>
        <w:t xml:space="preserve"> </w:t>
      </w:r>
      <w:r>
        <w:t xml:space="preserve">(उ. सू. ३-४३; the roots glossed one by one), giving</w:t>
      </w:r>
      <w:r>
        <w:t xml:space="preserve"> </w:t>
      </w:r>
      <w:r>
        <w:rPr>
          <w:iCs/>
          <w:i/>
        </w:rPr>
        <w:t xml:space="preserve">i</w:t>
      </w:r>
      <w:r>
        <w:t xml:space="preserve"> </w:t>
      </w:r>
      <w:r>
        <w:t xml:space="preserve">+</w:t>
      </w:r>
      <w:r>
        <w:t xml:space="preserve"> </w:t>
      </w:r>
      <w:r>
        <w:rPr>
          <w:iCs/>
          <w:i/>
        </w:rPr>
        <w:t xml:space="preserve">ka</w:t>
      </w:r>
      <w:r>
        <w:t xml:space="preserve">; because of the Uṇādi</w:t>
      </w:r>
      <w:r>
        <w:t xml:space="preserve"> </w:t>
      </w:r>
      <w:r>
        <w:rPr>
          <w:iCs/>
          <w:i/>
        </w:rPr>
        <w:t xml:space="preserve">bahulam</w:t>
      </w:r>
      <w:r>
        <w:t xml:space="preserve"> </w:t>
      </w:r>
      <w:r>
        <w:t xml:space="preserve">provision, the</w:t>
      </w:r>
      <w:r>
        <w:t xml:space="preserve"> </w:t>
      </w:r>
      <w:r>
        <w:rPr>
          <w:iCs/>
          <w:i/>
        </w:rPr>
        <w:t xml:space="preserve">k</w:t>
      </w:r>
      <w:r>
        <w:t xml:space="preserve"> </w:t>
      </w:r>
      <w:r>
        <w:t xml:space="preserve">of</w:t>
      </w:r>
      <w:r>
        <w:t xml:space="preserve"> </w:t>
      </w:r>
      <w:r>
        <w:rPr>
          <w:iCs/>
          <w:i/>
        </w:rPr>
        <w:t xml:space="preserve">kan</w:t>
      </w:r>
      <w:r>
        <w:t xml:space="preserve"> </w:t>
      </w:r>
      <w:r>
        <w:t xml:space="preserve">is not given</w:t>
      </w:r>
      <w:r>
        <w:t xml:space="preserve"> </w:t>
      </w:r>
      <w:r>
        <w:rPr>
          <w:iCs/>
          <w:i/>
        </w:rPr>
        <w:t xml:space="preserve">it</w:t>
      </w:r>
      <w:r>
        <w:t xml:space="preserve">-status (despite Pā. 1-3-8);</w:t>
      </w:r>
      <w:r>
        <w:t xml:space="preserve"> </w:t>
      </w:r>
      <w:r>
        <w:rPr>
          <w:iCs/>
          <w:i/>
        </w:rPr>
        <w:t xml:space="preserve">guṇa</w:t>
      </w:r>
      <w:r>
        <w:t xml:space="preserve"> </w:t>
      </w:r>
      <w:r>
        <w:t xml:space="preserve">then yields</w:t>
      </w:r>
      <w:r>
        <w:t xml:space="preserve"> </w:t>
      </w:r>
      <w:r>
        <w:rPr>
          <w:iCs/>
          <w:i/>
        </w:rPr>
        <w:t xml:space="preserve">eka</w:t>
      </w:r>
      <w:r>
        <w:t xml:space="preserve">; the suffix is</w:t>
      </w:r>
      <w:r>
        <w:t xml:space="preserve"> </w:t>
      </w:r>
      <w:r>
        <w:rPr>
          <w:iCs/>
          <w:i/>
        </w:rPr>
        <w:t xml:space="preserve">nit</w:t>
      </w:r>
      <w:r>
        <w:t xml:space="preserve">, so the word is initial-udātta.</w:t>
      </w:r>
    </w:p>
    <w:p>
      <w:pPr>
        <w:numPr>
          <w:ilvl w:val="0"/>
          <w:numId w:val="1047"/>
        </w:numPr>
        <w:pStyle w:val="Compact"/>
      </w:pPr>
      <w:r>
        <w:rPr>
          <w:bCs/>
          <w:b/>
        </w:rPr>
        <w:t xml:space="preserve">चर्षणीनाम् (</w:t>
      </w:r>
      <w:r>
        <w:rPr>
          <w:iCs/>
          <w:i/>
          <w:bCs/>
          <w:b/>
        </w:rPr>
        <w:t xml:space="preserve">carṣaṇīnām</w:t>
      </w:r>
      <w:r>
        <w:rPr>
          <w:bCs/>
          <w:b/>
        </w:rPr>
        <w:t xml:space="preserve">)</w:t>
      </w:r>
      <w:r>
        <w:t xml:space="preserve"> </w:t>
      </w:r>
      <w:r>
        <w:t xml:space="preserve">—</w:t>
      </w:r>
      <w:r>
        <w:t xml:space="preserve"> </w:t>
      </w:r>
      <w:r>
        <w:t xml:space="preserve">“</w:t>
      </w:r>
      <w:r>
        <w:t xml:space="preserve">carṣaṇi,</w:t>
      </w:r>
      <w:r>
        <w:t xml:space="preserve">”</w:t>
      </w:r>
      <w:r>
        <w:t xml:space="preserve"> </w:t>
      </w:r>
      <w:r>
        <w:t xml:space="preserve">a stem meaning</w:t>
      </w:r>
      <w:r>
        <w:t xml:space="preserve"> </w:t>
      </w:r>
      <w:r>
        <w:t xml:space="preserve">“</w:t>
      </w:r>
      <w:r>
        <w:t xml:space="preserve">man,</w:t>
      </w:r>
      <w:r>
        <w:t xml:space="preserve">”</w:t>
      </w:r>
      <w:r>
        <w:t xml:space="preserve"> </w:t>
      </w:r>
      <w:r>
        <w:t xml:space="preserve">end-acute by</w:t>
      </w:r>
      <w:r>
        <w:t xml:space="preserve"> </w:t>
      </w:r>
      <w:r>
        <w:rPr>
          <w:bCs/>
          <w:b/>
        </w:rPr>
        <w:t xml:space="preserve">फिषः</w:t>
      </w:r>
      <w:r>
        <w:t xml:space="preserve"> </w:t>
      </w:r>
      <w:r>
        <w:t xml:space="preserve">(फि. सू. १); in the genitive plural</w:t>
      </w:r>
      <w:r>
        <w:t xml:space="preserve"> </w:t>
      </w:r>
      <w:r>
        <w:rPr>
          <w:bCs/>
          <w:b/>
        </w:rPr>
        <w:t xml:space="preserve">ह्रस्वनद्यापो नुट्</w:t>
      </w:r>
      <w:r>
        <w:t xml:space="preserve"> </w:t>
      </w:r>
      <w:r>
        <w:t xml:space="preserve">(पा. सू. ७-१-५४)</w:t>
      </w:r>
      <w:r>
        <w:t xml:space="preserve"> </w:t>
      </w:r>
      <w:r>
        <w:t xml:space="preserve">“</w:t>
      </w:r>
      <w:r>
        <w:t xml:space="preserve">nuṭ</w:t>
      </w:r>
      <w:r>
        <w:t xml:space="preserve">”</w:t>
      </w:r>
      <w:r>
        <w:t xml:space="preserve">;</w:t>
      </w:r>
      <w:r>
        <w:t xml:space="preserve"> </w:t>
      </w:r>
      <w:r>
        <w:rPr>
          <w:bCs/>
          <w:b/>
        </w:rPr>
        <w:t xml:space="preserve">नामि</w:t>
      </w:r>
      <w:r>
        <w:t xml:space="preserve"> </w:t>
      </w:r>
      <w:r>
        <w:t xml:space="preserve">(पा. सू. ६-४-३) the long vowel;</w:t>
      </w:r>
      <w:r>
        <w:t xml:space="preserve"> </w:t>
      </w:r>
      <w:r>
        <w:rPr>
          <w:bCs/>
          <w:b/>
        </w:rPr>
        <w:t xml:space="preserve">नामन्यतरस्याम्</w:t>
      </w:r>
      <w:r>
        <w:t xml:space="preserve"> </w:t>
      </w:r>
      <w:r>
        <w:t xml:space="preserve">(पा. सू. ६-१-१७७) — after a stem ending in a short vowel before</w:t>
      </w:r>
      <w:r>
        <w:t xml:space="preserve"> </w:t>
      </w:r>
      <w:r>
        <w:t xml:space="preserve">“</w:t>
      </w:r>
      <w:r>
        <w:t xml:space="preserve">matup,</w:t>
      </w:r>
      <w:r>
        <w:t xml:space="preserve">”</w:t>
      </w:r>
      <w:r>
        <w:t xml:space="preserve"> </w:t>
      </w:r>
      <w:r>
        <w:t xml:space="preserve">and end-acute,</w:t>
      </w:r>
      <w:r>
        <w:t xml:space="preserve"> </w:t>
      </w:r>
      <w:r>
        <w:t xml:space="preserve">“</w:t>
      </w:r>
      <w:r>
        <w:t xml:space="preserve">nām</w:t>
      </w:r>
      <w:r>
        <w:t xml:space="preserve">”</w:t>
      </w:r>
      <w:r>
        <w:t xml:space="preserve"> </w:t>
      </w:r>
      <w:r>
        <w:t xml:space="preserve">is optionally acute — so the ending is acute.</w:t>
      </w:r>
    </w:p>
    <w:p>
      <w:pPr>
        <w:numPr>
          <w:ilvl w:val="0"/>
          <w:numId w:val="1047"/>
        </w:numPr>
        <w:pStyle w:val="Compact"/>
      </w:pPr>
      <w:r>
        <w:rPr>
          <w:bCs/>
          <w:b/>
        </w:rPr>
        <w:t xml:space="preserve">वसूनाम् (</w:t>
      </w:r>
      <w:r>
        <w:rPr>
          <w:iCs/>
          <w:i/>
          <w:bCs/>
          <w:b/>
        </w:rPr>
        <w:t xml:space="preserve">vasūnām</w:t>
      </w:r>
      <w:r>
        <w:rPr>
          <w:bCs/>
          <w:b/>
        </w:rPr>
        <w:t xml:space="preserve">)</w:t>
      </w:r>
      <w:r>
        <w:t xml:space="preserve"> </w:t>
      </w:r>
      <w:r>
        <w:t xml:space="preserve">—</w:t>
      </w:r>
      <w:r>
        <w:t xml:space="preserve"> </w:t>
      </w:r>
      <w:r>
        <w:rPr>
          <w:bCs/>
          <w:b/>
        </w:rPr>
        <w:t xml:space="preserve">शॄस्वृस्निहित्रप्यसिवसिहनिक्लिदिबन्धिमनिभ्यश्च</w:t>
      </w:r>
      <w:r>
        <w:t xml:space="preserve"> </w:t>
      </w:r>
      <w:r>
        <w:t xml:space="preserve">(उ. सू. १-१०; the roots glossed one by one)</w:t>
      </w:r>
      <w:r>
        <w:t xml:space="preserve"> </w:t>
      </w:r>
      <w:r>
        <w:t xml:space="preserve">“</w:t>
      </w:r>
      <w:r>
        <w:t xml:space="preserve">u,</w:t>
      </w:r>
      <w:r>
        <w:t xml:space="preserve">”</w:t>
      </w:r>
      <w:r>
        <w:t xml:space="preserve"> </w:t>
      </w:r>
      <w:r>
        <w:t xml:space="preserve">“</w:t>
      </w:r>
      <w:r>
        <w:t xml:space="preserve">n</w:t>
      </w:r>
      <w:r>
        <w:t xml:space="preserve">”</w:t>
      </w:r>
      <w:r>
        <w:t xml:space="preserve">-marked, so first-syllable acute.</w:t>
      </w:r>
    </w:p>
    <w:p>
      <w:pPr>
        <w:numPr>
          <w:ilvl w:val="0"/>
          <w:numId w:val="1047"/>
        </w:numPr>
        <w:pStyle w:val="Compact"/>
      </w:pPr>
      <w:r>
        <w:rPr>
          <w:bCs/>
          <w:b/>
        </w:rPr>
        <w:t xml:space="preserve">इरज्यति (</w:t>
      </w:r>
      <w:r>
        <w:rPr>
          <w:iCs/>
          <w:i/>
          <w:bCs/>
          <w:b/>
        </w:rPr>
        <w:t xml:space="preserve">irajyati</w:t>
      </w:r>
      <w:r>
        <w:rPr>
          <w:bCs/>
          <w:b/>
        </w:rPr>
        <w:t xml:space="preserve">)</w:t>
      </w:r>
      <w:r>
        <w:t xml:space="preserve"> </w:t>
      </w:r>
      <w:r>
        <w:t xml:space="preserve">—</w:t>
      </w:r>
      <w:r>
        <w:t xml:space="preserve"> </w:t>
      </w:r>
      <w:r>
        <w:t xml:space="preserve">“</w:t>
      </w:r>
      <w:r>
        <w:t xml:space="preserve">irajya īrṣyāyām</w:t>
      </w:r>
      <w:r>
        <w:t xml:space="preserve">”</w:t>
      </w:r>
      <w:r>
        <w:t xml:space="preserve"> </w:t>
      </w:r>
      <w:r>
        <w:t xml:space="preserve">in the kaṇḍvādi list; since roots have many senses, here</w:t>
      </w:r>
      <w:r>
        <w:t xml:space="preserve"> </w:t>
      </w:r>
      <w:r>
        <w:t xml:space="preserve">“</w:t>
      </w:r>
      <w:r>
        <w:t xml:space="preserve">lordship</w:t>
      </w:r>
      <w:r>
        <w:t xml:space="preserve">”</w:t>
      </w:r>
      <w:r>
        <w:t xml:space="preserve">;</w:t>
      </w:r>
      <w:r>
        <w:t xml:space="preserve"> </w:t>
      </w:r>
      <w:r>
        <w:rPr>
          <w:bCs/>
          <w:b/>
        </w:rPr>
        <w:t xml:space="preserve">कण्ड्वादिभ्यो यक्</w:t>
      </w:r>
      <w:r>
        <w:t xml:space="preserve"> </w:t>
      </w:r>
      <w:r>
        <w:t xml:space="preserve">(पा. सू. ३-१-२७)</w:t>
      </w:r>
      <w:r>
        <w:t xml:space="preserve"> </w:t>
      </w:r>
      <w:r>
        <w:t xml:space="preserve">“</w:t>
      </w:r>
      <w:r>
        <w:t xml:space="preserve">yak</w:t>
      </w:r>
      <w:r>
        <w:t xml:space="preserve">”</w:t>
      </w:r>
      <w:r>
        <w:t xml:space="preserve"> </w:t>
      </w:r>
      <w:r>
        <w:t xml:space="preserve">in its own sense;</w:t>
      </w:r>
      <w:r>
        <w:t xml:space="preserve"> </w:t>
      </w:r>
      <w:r>
        <w:rPr>
          <w:bCs/>
          <w:b/>
        </w:rPr>
        <w:t xml:space="preserve">सनाद्यन्ता धातवः</w:t>
      </w:r>
      <w:r>
        <w:t xml:space="preserve"> </w:t>
      </w:r>
      <w:r>
        <w:t xml:space="preserve">(पा. सू. ३-१-३२) the root designation;</w:t>
      </w:r>
      <w:r>
        <w:t xml:space="preserve"> </w:t>
      </w:r>
      <w:r>
        <w:t xml:space="preserve">“</w:t>
      </w:r>
      <w:r>
        <w:t xml:space="preserve">laṭ,</w:t>
      </w:r>
      <w:r>
        <w:t xml:space="preserve">”</w:t>
      </w:r>
      <w:r>
        <w:t xml:space="preserve"> </w:t>
      </w:r>
      <w:r>
        <w:t xml:space="preserve">“</w:t>
      </w:r>
      <w:r>
        <w:t xml:space="preserve">tip</w:t>
      </w:r>
      <w:r>
        <w:t xml:space="preserve">”</w:t>
      </w:r>
      <w:r>
        <w:t xml:space="preserve">; end-acute by the affix accent.</w:t>
      </w:r>
    </w:p>
    <w:p>
      <w:pPr>
        <w:numPr>
          <w:ilvl w:val="0"/>
          <w:numId w:val="1047"/>
        </w:numPr>
        <w:pStyle w:val="Compact"/>
      </w:pPr>
      <w:r>
        <w:rPr>
          <w:bCs/>
          <w:b/>
        </w:rPr>
        <w:t xml:space="preserve">पञ्च (</w:t>
      </w:r>
      <w:r>
        <w:rPr>
          <w:iCs/>
          <w:i/>
          <w:bCs/>
          <w:b/>
        </w:rPr>
        <w:t xml:space="preserve">pañca</w:t>
      </w:r>
      <w:r>
        <w:rPr>
          <w:bCs/>
          <w:b/>
        </w:rPr>
        <w:t xml:space="preserve">)</w:t>
      </w:r>
      <w:r>
        <w:t xml:space="preserve"> </w:t>
      </w:r>
      <w:r>
        <w:t xml:space="preserve">—</w:t>
      </w:r>
      <w:r>
        <w:t xml:space="preserve"> </w:t>
      </w:r>
      <w:r>
        <w:t xml:space="preserve">“</w:t>
      </w:r>
      <w:r>
        <w:t xml:space="preserve">paci vyaktīkaraṇe,</w:t>
      </w:r>
      <w:r>
        <w:t xml:space="preserve">”</w:t>
      </w:r>
      <w:r>
        <w:t xml:space="preserve"> </w:t>
      </w:r>
      <w:r>
        <w:t xml:space="preserve">“</w:t>
      </w:r>
      <w:r>
        <w:t xml:space="preserve">i</w:t>
      </w:r>
      <w:r>
        <w:t xml:space="preserve">”</w:t>
      </w:r>
      <w:r>
        <w:t xml:space="preserve">-marked, so</w:t>
      </w:r>
      <w:r>
        <w:t xml:space="preserve"> </w:t>
      </w:r>
      <w:r>
        <w:rPr>
          <w:bCs/>
          <w:b/>
        </w:rPr>
        <w:t xml:space="preserve">इदितो नुम् धातोः</w:t>
      </w:r>
      <w:r>
        <w:t xml:space="preserve"> </w:t>
      </w:r>
      <w:r>
        <w:t xml:space="preserve">(पा. सू. ७-१-५८)</w:t>
      </w:r>
      <w:r>
        <w:t xml:space="preserve"> </w:t>
      </w:r>
      <w:r>
        <w:t xml:space="preserve">“</w:t>
      </w:r>
      <w:r>
        <w:t xml:space="preserve">num</w:t>
      </w:r>
      <w:r>
        <w:t xml:space="preserve">”</w:t>
      </w:r>
      <w:r>
        <w:t xml:space="preserve">; anusvāra and parasavarṇa:</w:t>
      </w:r>
      <w:r>
        <w:t xml:space="preserve"> </w:t>
      </w:r>
      <w:r>
        <w:t xml:space="preserve">“</w:t>
      </w:r>
      <w:r>
        <w:t xml:space="preserve">pañc</w:t>
      </w:r>
      <w:r>
        <w:t xml:space="preserve">”</w:t>
      </w:r>
      <w:r>
        <w:t xml:space="preserve">;</w:t>
      </w:r>
      <w:r>
        <w:t xml:space="preserve"> </w:t>
      </w:r>
      <w:r>
        <w:rPr>
          <w:bCs/>
          <w:b/>
        </w:rPr>
        <w:t xml:space="preserve">पचेश्च</w:t>
      </w:r>
      <w:r>
        <w:t xml:space="preserve"> </w:t>
      </w:r>
      <w:r>
        <w:t xml:space="preserve">(as printed)</w:t>
      </w:r>
      <w:r>
        <w:t xml:space="preserve"> </w:t>
      </w:r>
      <w:r>
        <w:t xml:space="preserve">“</w:t>
      </w:r>
      <w:r>
        <w:t xml:space="preserve">kanin</w:t>
      </w:r>
      <w:r>
        <w:t xml:space="preserve">”</w:t>
      </w:r>
      <w:r>
        <w:t xml:space="preserve">:</w:t>
      </w:r>
      <w:r>
        <w:t xml:space="preserve"> </w:t>
      </w:r>
      <w:r>
        <w:t xml:space="preserve">“</w:t>
      </w:r>
      <w:r>
        <w:t xml:space="preserve">pañcan,</w:t>
      </w:r>
      <w:r>
        <w:t xml:space="preserve">”</w:t>
      </w:r>
      <w:r>
        <w:t xml:space="preserve"> </w:t>
      </w:r>
      <w:r>
        <w:t xml:space="preserve">first-syllable acute;</w:t>
      </w:r>
      <w:r>
        <w:t xml:space="preserve"> </w:t>
      </w:r>
      <w:r>
        <w:rPr>
          <w:bCs/>
          <w:b/>
        </w:rPr>
        <w:t xml:space="preserve">षड्भ्यो लुक्</w:t>
      </w:r>
      <w:r>
        <w:t xml:space="preserve"> </w:t>
      </w:r>
      <w:r>
        <w:t xml:space="preserve">(पा. सू. ७-१-२२)</w:t>
      </w:r>
      <w:r>
        <w:t xml:space="preserve"> </w:t>
      </w:r>
      <w:r>
        <w:t xml:space="preserve">“</w:t>
      </w:r>
      <w:r>
        <w:t xml:space="preserve">luk</w:t>
      </w:r>
      <w:r>
        <w:t xml:space="preserve">”</w:t>
      </w:r>
      <w:r>
        <w:t xml:space="preserve"> </w:t>
      </w:r>
      <w:r>
        <w:t xml:space="preserve">of</w:t>
      </w:r>
      <w:r>
        <w:t xml:space="preserve"> </w:t>
      </w:r>
      <w:r>
        <w:t xml:space="preserve">“</w:t>
      </w:r>
      <w:r>
        <w:t xml:space="preserve">jas</w:t>
      </w:r>
      <w:r>
        <w:t xml:space="preserve">”</w:t>
      </w:r>
      <w:r>
        <w:t xml:space="preserve">;</w:t>
      </w:r>
      <w:r>
        <w:t xml:space="preserve"> </w:t>
      </w:r>
      <w:r>
        <w:rPr>
          <w:bCs/>
          <w:b/>
        </w:rPr>
        <w:t xml:space="preserve">नलोपः प्रातिपदिकान्तस्य</w:t>
      </w:r>
      <w:r>
        <w:t xml:space="preserve"> </w:t>
      </w:r>
      <w:r>
        <w:t xml:space="preserve">(पा. सू. ८-२-७):</w:t>
      </w:r>
      <w:r>
        <w:t xml:space="preserve"> </w:t>
      </w:r>
      <w:r>
        <w:t xml:space="preserve">“</w:t>
      </w:r>
      <w:r>
        <w:t xml:space="preserve">pañca.</w:t>
      </w:r>
      <w:r>
        <w:t xml:space="preserve">”</w:t>
      </w:r>
    </w:p>
    <w:p>
      <w:pPr>
        <w:numPr>
          <w:ilvl w:val="0"/>
          <w:numId w:val="1047"/>
        </w:numPr>
        <w:pStyle w:val="Compact"/>
      </w:pPr>
      <w:r>
        <w:rPr>
          <w:bCs/>
          <w:b/>
        </w:rPr>
        <w:t xml:space="preserve">क्षितीनाम् (</w:t>
      </w:r>
      <w:r>
        <w:rPr>
          <w:iCs/>
          <w:i/>
          <w:bCs/>
          <w:b/>
        </w:rPr>
        <w:t xml:space="preserve">kṣitīnām</w:t>
      </w:r>
      <w:r>
        <w:rPr>
          <w:bCs/>
          <w:b/>
        </w:rPr>
        <w:t xml:space="preserve">)</w:t>
      </w:r>
      <w:r>
        <w:t xml:space="preserve"> </w:t>
      </w:r>
      <w:r>
        <w:t xml:space="preserve">— end-acute by</w:t>
      </w:r>
      <w:r>
        <w:t xml:space="preserve"> </w:t>
      </w:r>
      <w:r>
        <w:rPr>
          <w:bCs/>
          <w:b/>
        </w:rPr>
        <w:t xml:space="preserve">फिषः</w:t>
      </w:r>
      <w:r>
        <w:t xml:space="preserve"> </w:t>
      </w:r>
      <w:r>
        <w:t xml:space="preserve">(फि. सू. १); the ending acute by</w:t>
      </w:r>
      <w:r>
        <w:t xml:space="preserve"> </w:t>
      </w:r>
      <w:r>
        <w:t xml:space="preserve">“</w:t>
      </w:r>
      <w:r>
        <w:t xml:space="preserve">nām anyatarasyām</w:t>
      </w:r>
      <w:r>
        <w:t xml:space="preserve">”</w:t>
      </w:r>
      <w:r>
        <w:t xml:space="preserve"> </w:t>
      </w:r>
      <w:r>
        <w:t xml:space="preserve">(पा. सू. ६-१-१७७). ॥९॥</w:t>
      </w:r>
    </w:p>
    <w:bookmarkEnd w:id="329"/>
    <w:bookmarkStart w:id="330" w:name="page-298"/>
    <w:p>
      <w:pPr>
        <w:pStyle w:val="Heading3"/>
      </w:pPr>
      <w:r>
        <w:t xml:space="preserve">Page 298</w:t>
      </w:r>
    </w:p>
    <w:p>
      <w:pPr>
        <w:pStyle w:val="FirstParagraph"/>
      </w:pPr>
      <w:r>
        <w:rPr>
          <w:iCs/>
          <w:i/>
        </w:rPr>
        <w:t xml:space="preserve">(Grammar of Rik 9, concluded; characterized under p. 297.)</w:t>
      </w:r>
    </w:p>
    <w:p>
      <w:r>
        <w:pict>
          <v:rect style="width:0;height:1.5pt" o:hralign="center" o:hrstd="t" o:hr="t"/>
        </w:pict>
      </w:r>
    </w:p>
    <w:bookmarkEnd w:id="330"/>
    <w:bookmarkStart w:id="331" w:name="sūkta-7-rik-10-the-last"/>
    <w:p>
      <w:pPr>
        <w:pStyle w:val="Heading3"/>
      </w:pPr>
      <w:r>
        <w:t xml:space="preserve">Sūkta 7, Rik 10 (the last)</w:t>
      </w:r>
    </w:p>
    <w:bookmarkEnd w:id="331"/>
    <w:bookmarkStart w:id="332" w:name="page-299"/>
    <w:p>
      <w:pPr>
        <w:pStyle w:val="Heading3"/>
      </w:pPr>
      <w:r>
        <w:t xml:space="preserve">Page 299</w:t>
      </w:r>
    </w:p>
    <w:p>
      <w:pPr>
        <w:pStyle w:val="FirstParagraph"/>
      </w:pPr>
      <w:r>
        <w:rPr>
          <w:iCs/>
          <w:i/>
        </w:rPr>
        <w:t xml:space="preserve">(Page header:</w:t>
      </w:r>
      <w:r>
        <w:rPr>
          <w:iCs/>
          <w:i/>
        </w:rPr>
        <w:t xml:space="preserve"> </w:t>
      </w:r>
      <w:r>
        <w:rPr>
          <w:iCs/>
          <w:i/>
        </w:rPr>
        <w:t xml:space="preserve">“</w:t>
      </w:r>
      <w:r>
        <w:rPr>
          <w:iCs/>
          <w:i/>
        </w:rPr>
        <w:t xml:space="preserve">A. 1, A. 1, Va. 14.</w:t>
      </w:r>
      <w:r>
        <w:rPr>
          <w:iCs/>
          <w:i/>
        </w:rPr>
        <w:t xml:space="preserve">”</w:t>
      </w:r>
      <w:r>
        <w:rPr>
          <w:iCs/>
          <w:i/>
        </w:rPr>
        <w:t xml:space="preserve"> </w:t>
      </w:r>
      <w:r>
        <w:rPr>
          <w:iCs/>
          <w:i/>
        </w:rPr>
        <w:t xml:space="preserve">Saṃhitā accents as printed; Pada unaccented.)</w:t>
      </w:r>
    </w:p>
    <w:p>
      <w:pPr>
        <w:pStyle w:val="BodyText"/>
      </w:pPr>
      <w:r>
        <w:rPr>
          <w:bCs/>
          <w:b/>
        </w:rPr>
        <w:t xml:space="preserve">॥ Saṃhitā-pāṭhaḥ ॥</w:t>
      </w:r>
    </w:p>
    <w:p>
      <w:pPr>
        <w:pStyle w:val="BlockText"/>
      </w:pPr>
      <w:r>
        <w:t xml:space="preserve">इन्द्रं॑ वो वि॒श्वत॒स्परि॒ हवा॑महे॒ जने॑भ्यः ।</w:t>
      </w:r>
      <w:r>
        <w:t xml:space="preserve"> </w:t>
      </w:r>
      <w:r>
        <w:t xml:space="preserve">अ॒स्माक॑मस्तु केव॑लः ॥१०॥</w:t>
      </w:r>
    </w:p>
    <w:p>
      <w:pPr>
        <w:pStyle w:val="BlockText"/>
      </w:pPr>
      <w:r>
        <w:rPr>
          <w:iCs/>
          <w:i/>
        </w:rPr>
        <w:t xml:space="preserve">índraṃ vo viśvátas pári hávāmahe jánebhyaḥ |</w:t>
      </w:r>
      <w:r>
        <w:t xml:space="preserve"> </w:t>
      </w:r>
      <w:r>
        <w:rPr>
          <w:iCs/>
          <w:i/>
        </w:rPr>
        <w:t xml:space="preserve">asmā́kam astu kévalaḥ ||10||</w:t>
      </w:r>
    </w:p>
    <w:p>
      <w:pPr>
        <w:pStyle w:val="FirstParagraph"/>
      </w:pPr>
      <w:r>
        <w:rPr>
          <w:bCs/>
          <w:b/>
        </w:rPr>
        <w:t xml:space="preserve">॥ Pada-pāṭhaḥ ॥</w:t>
      </w:r>
    </w:p>
    <w:p>
      <w:pPr>
        <w:pStyle w:val="BlockText"/>
      </w:pPr>
      <w:r>
        <w:t xml:space="preserve">इन्द्रम् । वः । विश्वतः । परि । हवामहे । जनेभ्यः ॥</w:t>
      </w:r>
      <w:r>
        <w:t xml:space="preserve"> </w:t>
      </w:r>
      <w:r>
        <w:t xml:space="preserve">अस्माकम् । अस्तु । केवलः ॥१०॥</w:t>
      </w:r>
    </w:p>
    <w:p>
      <w:pPr>
        <w:pStyle w:val="BlockText"/>
      </w:pPr>
      <w:r>
        <w:rPr>
          <w:iCs/>
          <w:i/>
        </w:rPr>
        <w:t xml:space="preserve">indram | vaḥ | viśvataḥ | pari | havāmahe | janebhyaḥ ||</w:t>
      </w:r>
      <w:r>
        <w:t xml:space="preserve"> </w:t>
      </w:r>
      <w:r>
        <w:rPr>
          <w:iCs/>
          <w:i/>
        </w:rPr>
        <w:t xml:space="preserve">asmākam | astu | kevalaḥ ||10||</w:t>
      </w:r>
    </w:p>
    <w:p>
      <w:pPr>
        <w:pStyle w:val="FirstParagraph"/>
      </w:pPr>
      <w:r>
        <w:rPr>
          <w:bCs/>
          <w:b/>
        </w:rPr>
        <w:t xml:space="preserve">॥ Sāyaṇa-bhāṣyam ॥</w:t>
      </w:r>
    </w:p>
    <w:p>
      <w:pPr>
        <w:pStyle w:val="BodyText"/>
      </w:pPr>
      <w:r>
        <w:rPr>
          <w:bCs/>
          <w:b/>
        </w:rPr>
        <w:t xml:space="preserve">(Application of the rik.)</w:t>
      </w:r>
    </w:p>
    <w:p>
      <w:pPr>
        <w:pStyle w:val="BlockText"/>
      </w:pPr>
      <w:r>
        <w:t xml:space="preserve">आश्विनं शंसिष्यन्निन्द्रं वो विश्वतस्परीति जुहुयात् । संस्थितेष्वाश्विनाय स्तुवत इति खण्डे बण्महाँ असि सूर्येति द्वाभ्यामिन्द्रं वो विश्वतस्परि । आ. ६-५ । इति सूत्रितम् ॥ चतुर्विंशे ऽहनि प्रातःसवने ब्राह्मणाच्छंसिन इन्द्रं वो विश्वतस्परीत्यारम्भणीया । चतुर्विंश इत्युपक्रम्य ऋजुनीती नो वरुण इन्द्रं वो विश्वतस्परि । आ. ७-२ । इति सूत्रितम् ॥</w:t>
      </w:r>
    </w:p>
    <w:p>
      <w:pPr>
        <w:pStyle w:val="BlockText"/>
      </w:pPr>
      <w:r>
        <w:rPr>
          <w:iCs/>
          <w:i/>
        </w:rPr>
        <w:t xml:space="preserve">āśvinaṃ śaṃsiṣyann indraṃ vo viśvatas parīti juhuyāt | saṃsthiteṣv āśvināya stuvata iti khaṇḍe baṇ mahāṁ asi sūryeti dvābhyām indraṃ vo viśvatas pari | ā. 6-5 | iti sūtritam || caturviṃśe ’hani prātaḥsavane brāhmaṇācchaṃsina indraṃ vo viśvatas parity ārambhaṇīyā | caturviṃśa ity upakramya ṛjunītī no varuṇa indraṃ vo viśvatas pari | ā. 7-2 | iti sūtritam ||</w:t>
      </w:r>
    </w:p>
    <w:p>
      <w:pPr>
        <w:pStyle w:val="FirstParagraph"/>
      </w:pPr>
      <w:r>
        <w:rPr>
          <w:bCs/>
          <w:b/>
        </w:rPr>
        <w:t xml:space="preserve">Translation:</w:t>
      </w:r>
      <w:r>
        <w:t xml:space="preserve"> </w:t>
      </w:r>
      <w:r>
        <w:t xml:space="preserve">“</w:t>
      </w:r>
      <w:r>
        <w:t xml:space="preserve">One who is about to recite the Āśvina[-śastra] should make the offering with</w:t>
      </w:r>
      <w:r>
        <w:t xml:space="preserve"> </w:t>
      </w:r>
      <w:r>
        <w:t xml:space="preserve">‘</w:t>
      </w:r>
      <w:r>
        <w:rPr>
          <w:iCs/>
          <w:i/>
        </w:rPr>
        <w:t xml:space="preserve">indraṃ vo viśvatas pari</w:t>
      </w:r>
      <w:r>
        <w:t xml:space="preserve">’</w:t>
      </w:r>
      <w:r>
        <w:t xml:space="preserve">. In the section [beginning]</w:t>
      </w:r>
      <w:r>
        <w:t xml:space="preserve"> </w:t>
      </w:r>
      <w:r>
        <w:t xml:space="preserve">‘</w:t>
      </w:r>
      <w:r>
        <w:rPr>
          <w:iCs/>
          <w:i/>
        </w:rPr>
        <w:t xml:space="preserve">saṃsthiteṣv āśvināya stuvate</w:t>
      </w:r>
      <w:r>
        <w:t xml:space="preserve">,</w:t>
      </w:r>
      <w:r>
        <w:t xml:space="preserve">’</w:t>
      </w:r>
      <w:r>
        <w:t xml:space="preserve"> </w:t>
      </w:r>
      <w:r>
        <w:t xml:space="preserve">with the two [riks]</w:t>
      </w:r>
      <w:r>
        <w:t xml:space="preserve"> </w:t>
      </w:r>
      <w:r>
        <w:t xml:space="preserve">‘</w:t>
      </w:r>
      <w:r>
        <w:rPr>
          <w:iCs/>
          <w:i/>
        </w:rPr>
        <w:t xml:space="preserve">baṇ mahāṁ asi sūrya</w:t>
      </w:r>
      <w:r>
        <w:t xml:space="preserve">’</w:t>
      </w:r>
      <w:r>
        <w:t xml:space="preserve"> </w:t>
      </w:r>
      <w:r>
        <w:t xml:space="preserve">[and]</w:t>
      </w:r>
      <w:r>
        <w:t xml:space="preserve"> </w:t>
      </w:r>
      <w:r>
        <w:t xml:space="preserve">‘</w:t>
      </w:r>
      <w:r>
        <w:rPr>
          <w:iCs/>
          <w:i/>
        </w:rPr>
        <w:t xml:space="preserve">indraṃ vo viśvatas pari</w:t>
      </w:r>
      <w:r>
        <w:t xml:space="preserve">’</w:t>
      </w:r>
      <w:r>
        <w:t xml:space="preserve"> </w:t>
      </w:r>
      <w:r>
        <w:t xml:space="preserve">— so it is laid down (Āśvalāyana 6-5). On the twenty-fourth day, at the morning pressing,</w:t>
      </w:r>
      <w:r>
        <w:t xml:space="preserve"> </w:t>
      </w:r>
      <w:r>
        <w:t xml:space="preserve">‘</w:t>
      </w:r>
      <w:r>
        <w:rPr>
          <w:iCs/>
          <w:i/>
        </w:rPr>
        <w:t xml:space="preserve">indraṃ vo viśvatas pari</w:t>
      </w:r>
      <w:r>
        <w:t xml:space="preserve">’</w:t>
      </w:r>
      <w:r>
        <w:t xml:space="preserve"> </w:t>
      </w:r>
      <w:r>
        <w:t xml:space="preserve">is the opening [rik] for the Brāhmaṇācchaṃsin; beginning from</w:t>
      </w:r>
      <w:r>
        <w:t xml:space="preserve"> </w:t>
      </w:r>
      <w:r>
        <w:t xml:space="preserve">‘</w:t>
      </w:r>
      <w:r>
        <w:t xml:space="preserve">on the twenty-fourth,</w:t>
      </w:r>
      <w:r>
        <w:t xml:space="preserve">’</w:t>
      </w:r>
      <w:r>
        <w:t xml:space="preserve"> </w:t>
      </w:r>
      <w:r>
        <w:t xml:space="preserve">it is so laid down:</w:t>
      </w:r>
      <w:r>
        <w:t xml:space="preserve"> </w:t>
      </w:r>
      <w:r>
        <w:t xml:space="preserve">‘</w:t>
      </w:r>
      <w:r>
        <w:rPr>
          <w:iCs/>
          <w:i/>
        </w:rPr>
        <w:t xml:space="preserve">ṛjunītī no varuṇa</w:t>
      </w:r>
      <w:r>
        <w:t xml:space="preserve">,</w:t>
      </w:r>
      <w:r>
        <w:t xml:space="preserve"> </w:t>
      </w:r>
      <w:r>
        <w:rPr>
          <w:iCs/>
          <w:i/>
        </w:rPr>
        <w:t xml:space="preserve">indraṃ vo viśvatas pari</w:t>
      </w:r>
      <w:r>
        <w:t xml:space="preserve">’</w:t>
      </w:r>
      <w:r>
        <w:t xml:space="preserve"> </w:t>
      </w:r>
      <w:r>
        <w:t xml:space="preserve">(Āśvalāyana 7-2).</w:t>
      </w:r>
      <w:r>
        <w:t xml:space="preserve">”</w:t>
      </w:r>
    </w:p>
    <w:p>
      <w:pPr>
        <w:pStyle w:val="BlockText"/>
      </w:pPr>
      <w:r>
        <w:t xml:space="preserve">हे ऋत्विग्यजमाना विश्वतः सर्वेभ्यो जनेभ्यः परि उपर्यवस्थितमिन्द्रं वो युष्मदर्थं हवामहे । आह्वयामः । अतः स इन्द्रो ऽस्माकं केवलो ऽसाधारणो ऽस्तु । इतरेभ्यो ऽप्यधिकमनुग्रहमस्मासु करोत्वित्यर्थः ॥</w:t>
      </w:r>
    </w:p>
    <w:p>
      <w:pPr>
        <w:pStyle w:val="BlockText"/>
      </w:pPr>
      <w:r>
        <w:rPr>
          <w:iCs/>
          <w:i/>
        </w:rPr>
        <w:t xml:space="preserve">he ṛtvig-yajamānā viśvataḥ sarvebhyo janebhyaḥ pari uparyavasthitam indraṃ vo yuṣmad-arthaṃ havāmahe | āhvayāmaḥ | ataḥ sa indro ’smākaṃ kevalo ’sādhāraṇo ’stu | itarebhyo ’py adhikam anugraham asmāsu karotv ity arthaḥ ||</w:t>
      </w:r>
    </w:p>
    <w:p>
      <w:pPr>
        <w:pStyle w:val="FirstParagraph"/>
      </w:pPr>
      <w:r>
        <w:rPr>
          <w:bCs/>
          <w:b/>
        </w:rPr>
        <w:t xml:space="preserve">Translation:</w:t>
      </w:r>
      <w:r>
        <w:t xml:space="preserve"> </w:t>
      </w:r>
      <w:r>
        <w:t xml:space="preserve">“</w:t>
      </w:r>
      <w:r>
        <w:t xml:space="preserve">O priests and sacrificers! [From]</w:t>
      </w:r>
      <w:r>
        <w:t xml:space="preserve"> </w:t>
      </w:r>
      <w:r>
        <w:rPr>
          <w:iCs/>
          <w:i/>
        </w:rPr>
        <w:t xml:space="preserve">viśvataḥ</w:t>
      </w:r>
      <w:r>
        <w:t xml:space="preserve"> </w:t>
      </w:r>
      <w:r>
        <w:t xml:space="preserve">— above all men,</w:t>
      </w:r>
      <w:r>
        <w:t xml:space="preserve"> </w:t>
      </w:r>
      <w:r>
        <w:rPr>
          <w:iCs/>
          <w:i/>
        </w:rPr>
        <w:t xml:space="preserve">pari</w:t>
      </w:r>
      <w:r>
        <w:t xml:space="preserve"> </w:t>
      </w:r>
      <w:r>
        <w:t xml:space="preserve">— standing above — we call Indra for you (</w:t>
      </w:r>
      <w:r>
        <w:rPr>
          <w:iCs/>
          <w:i/>
        </w:rPr>
        <w:t xml:space="preserve">vaḥ</w:t>
      </w:r>
      <w:r>
        <w:t xml:space="preserve">, on your behalf); we summon him. Therefore, let that Indra be ours alone (</w:t>
      </w:r>
      <w:r>
        <w:rPr>
          <w:iCs/>
          <w:i/>
        </w:rPr>
        <w:t xml:space="preserve">kevalaḥ</w:t>
      </w:r>
      <w:r>
        <w:t xml:space="preserve">), unshared; the sense is:</w:t>
      </w:r>
      <w:r>
        <w:t xml:space="preserve"> </w:t>
      </w:r>
      <w:r>
        <w:t xml:space="preserve">‘</w:t>
      </w:r>
      <w:r>
        <w:t xml:space="preserve">Let him grant us favour even more than to others.</w:t>
      </w:r>
      <w:r>
        <w:t xml:space="preserve">’</w:t>
      </w:r>
      <w:r>
        <w:t xml:space="preserve">”</w:t>
      </w:r>
    </w:p>
    <w:p>
      <w:pPr>
        <w:pStyle w:val="BodyText"/>
      </w:pPr>
      <w:r>
        <w:rPr>
          <w:bCs/>
          <w:b/>
        </w:rPr>
        <w:t xml:space="preserve">Grammar of the Bhāṣya (characterized, references as printed):</w:t>
      </w:r>
      <w:r>
        <w:t xml:space="preserve"> </w:t>
      </w:r>
      <w:r>
        <w:t xml:space="preserve">“</w:t>
      </w:r>
      <w:r>
        <w:t xml:space="preserve">Indram</w:t>
      </w:r>
      <w:r>
        <w:t xml:space="preserve">”</w:t>
      </w:r>
      <w:r>
        <w:t xml:space="preserve"> </w:t>
      </w:r>
      <w:r>
        <w:t xml:space="preserve">— ending in</w:t>
      </w:r>
      <w:r>
        <w:t xml:space="preserve"> </w:t>
      </w:r>
      <w:r>
        <w:t xml:space="preserve">“</w:t>
      </w:r>
      <w:r>
        <w:t xml:space="preserve">ran,</w:t>
      </w:r>
      <w:r>
        <w:t xml:space="preserve">”</w:t>
      </w:r>
      <w:r>
        <w:t xml:space="preserve"> </w:t>
      </w:r>
      <w:r>
        <w:t xml:space="preserve">“</w:t>
      </w:r>
      <w:r>
        <w:t xml:space="preserve">n</w:t>
      </w:r>
      <w:r>
        <w:t xml:space="preserve">”</w:t>
      </w:r>
      <w:r>
        <w:t xml:space="preserve">-marked, first-syllable acute.</w:t>
      </w:r>
      <w:r>
        <w:t xml:space="preserve"> </w:t>
      </w:r>
      <w:r>
        <w:t xml:space="preserve">“</w:t>
      </w:r>
      <w:r>
        <w:t xml:space="preserve">Vaḥ</w:t>
      </w:r>
      <w:r>
        <w:t xml:space="preserve">”</w:t>
      </w:r>
      <w:r>
        <w:t xml:space="preserve"> </w:t>
      </w:r>
      <w:r>
        <w:t xml:space="preserve">— with</w:t>
      </w:r>
      <w:r>
        <w:t xml:space="preserve"> </w:t>
      </w:r>
      <w:r>
        <w:t xml:space="preserve">“</w:t>
      </w:r>
      <w:r>
        <w:t xml:space="preserve">anudāttaṃ sarvam</w:t>
      </w:r>
      <w:r>
        <w:t xml:space="preserve">”</w:t>
      </w:r>
      <w:r>
        <w:t xml:space="preserve"> </w:t>
      </w:r>
      <w:r>
        <w:t xml:space="preserve">carried on,</w:t>
      </w:r>
      <w:r>
        <w:t xml:space="preserve"> </w:t>
      </w:r>
      <w:r>
        <w:rPr>
          <w:bCs/>
          <w:b/>
        </w:rPr>
        <w:t xml:space="preserve">बहुवचनस्य वस्नसौ</w:t>
      </w:r>
      <w:r>
        <w:t xml:space="preserve"> </w:t>
      </w:r>
      <w:r>
        <w:t xml:space="preserve">(पा. ८-१-२१)</w:t>
      </w:r>
      <w:r>
        <w:t xml:space="preserve"> </w:t>
      </w:r>
      <w:r>
        <w:t xml:space="preserve">“</w:t>
      </w:r>
      <w:r>
        <w:t xml:space="preserve">vas.</w:t>
      </w:r>
      <w:r>
        <w:t xml:space="preserve">”</w:t>
      </w:r>
      <w:r>
        <w:t xml:space="preserve"> </w:t>
      </w:r>
      <w:r>
        <w:t xml:space="preserve">“</w:t>
      </w:r>
      <w:r>
        <w:t xml:space="preserve">Viśvataḥ</w:t>
      </w:r>
      <w:r>
        <w:t xml:space="preserve">”</w:t>
      </w:r>
      <w:r>
        <w:t xml:space="preserve"> </w:t>
      </w:r>
      <w:r>
        <w:t xml:space="preserve">—</w:t>
      </w:r>
      <w:r>
        <w:t xml:space="preserve"> </w:t>
      </w:r>
      <w:r>
        <w:t xml:space="preserve">“</w:t>
      </w:r>
      <w:r>
        <w:t xml:space="preserve">liti</w:t>
      </w:r>
      <w:r>
        <w:t xml:space="preserve">”</w:t>
      </w:r>
      <w:r>
        <w:t xml:space="preserve">: the syllable before the affix acute.</w:t>
      </w:r>
      <w:r>
        <w:t xml:space="preserve"> </w:t>
      </w:r>
      <w:r>
        <w:t xml:space="preserve">“</w:t>
      </w:r>
      <w:r>
        <w:t xml:space="preserve">Pari</w:t>
      </w:r>
      <w:r>
        <w:t xml:space="preserve">”</w:t>
      </w:r>
      <w:r>
        <w:t xml:space="preserve"> </w:t>
      </w:r>
      <w:r>
        <w:t xml:space="preserve">— first-syllable acute as a nipāta; in the saṃhitā</w:t>
      </w:r>
      <w:r>
        <w:t xml:space="preserve"> </w:t>
      </w:r>
      <w:r>
        <w:rPr>
          <w:bCs/>
          <w:b/>
        </w:rPr>
        <w:t xml:space="preserve">पञ्चम्याः परावध्यर्थे</w:t>
      </w:r>
      <w:r>
        <w:t xml:space="preserve"> </w:t>
      </w:r>
      <w:r>
        <w:t xml:space="preserve">(पा. ८-३-५१)</w:t>
      </w:r>
      <w:r>
        <w:t xml:space="preserve"> </w:t>
      </w:r>
      <w:r>
        <w:t xml:space="preserve">“</w:t>
      </w:r>
      <w:r>
        <w:t xml:space="preserve">s</w:t>
      </w:r>
      <w:r>
        <w:t xml:space="preserve">”</w:t>
      </w:r>
      <w:r>
        <w:t xml:space="preserve"> </w:t>
      </w:r>
      <w:r>
        <w:t xml:space="preserve">for the visarga.</w:t>
      </w:r>
      <w:r>
        <w:t xml:space="preserve"> </w:t>
      </w:r>
      <w:r>
        <w:t xml:space="preserve">“</w:t>
      </w:r>
      <w:r>
        <w:t xml:space="preserve">Havāmahe</w:t>
      </w:r>
      <w:r>
        <w:t xml:space="preserve">”</w:t>
      </w:r>
      <w:r>
        <w:t xml:space="preserve"> </w:t>
      </w:r>
      <w:r>
        <w:t xml:space="preserve">—</w:t>
      </w:r>
      <w:r>
        <w:t xml:space="preserve"> </w:t>
      </w:r>
      <w:r>
        <w:t xml:space="preserve">“</w:t>
      </w:r>
      <w:r>
        <w:t xml:space="preserve">hveñ,</w:t>
      </w:r>
      <w:r>
        <w:t xml:space="preserve">”</w:t>
      </w:r>
      <w:r>
        <w:t xml:space="preserve"> </w:t>
      </w:r>
      <w:r>
        <w:t xml:space="preserve">“</w:t>
      </w:r>
      <w:r>
        <w:t xml:space="preserve">śap,</w:t>
      </w:r>
      <w:r>
        <w:t xml:space="preserve">”</w:t>
      </w:r>
      <w:r>
        <w:t xml:space="preserve"> </w:t>
      </w:r>
      <w:r>
        <w:t xml:space="preserve">samprasāraṇa by</w:t>
      </w:r>
      <w:r>
        <w:t xml:space="preserve"> </w:t>
      </w:r>
      <w:r>
        <w:t xml:space="preserve">“</w:t>
      </w:r>
      <w:r>
        <w:t xml:space="preserve">bahulaṃ chandasi,</w:t>
      </w:r>
      <w:r>
        <w:t xml:space="preserve">”</w:t>
      </w:r>
      <w:r>
        <w:t xml:space="preserve"> </w:t>
      </w:r>
      <w:r>
        <w:t xml:space="preserve">the prior form, guṇa and</w:t>
      </w:r>
      <w:r>
        <w:t xml:space="preserve"> </w:t>
      </w:r>
      <w:r>
        <w:t xml:space="preserve">“</w:t>
      </w:r>
      <w:r>
        <w:t xml:space="preserve">av.</w:t>
      </w:r>
      <w:r>
        <w:t xml:space="preserve">”</w:t>
      </w:r>
      <w:r>
        <w:t xml:space="preserve"> </w:t>
      </w:r>
      <w:r>
        <w:t xml:space="preserve">“</w:t>
      </w:r>
      <w:r>
        <w:t xml:space="preserve">Janebhyaḥ</w:t>
      </w:r>
      <w:r>
        <w:t xml:space="preserve">”</w:t>
      </w:r>
      <w:r>
        <w:t xml:space="preserve"> </w:t>
      </w:r>
      <w:r>
        <w:t xml:space="preserve">—</w:t>
      </w:r>
      <w:r>
        <w:t xml:space="preserve"> </w:t>
      </w:r>
      <w:r>
        <w:t xml:space="preserve">“</w:t>
      </w:r>
      <w:r>
        <w:t xml:space="preserve">jāyanta iti janāḥ,</w:t>
      </w:r>
      <w:r>
        <w:t xml:space="preserve">”</w:t>
      </w:r>
      <w:r>
        <w:t xml:space="preserve"> </w:t>
      </w:r>
      <w:r>
        <w:t xml:space="preserve">“</w:t>
      </w:r>
      <w:r>
        <w:t xml:space="preserve">jani</w:t>
      </w:r>
      <w:r>
        <w:t xml:space="preserve">”</w:t>
      </w:r>
      <w:r>
        <w:t xml:space="preserve"> </w:t>
      </w:r>
      <w:r>
        <w:t xml:space="preserve">with</w:t>
      </w:r>
      <w:r>
        <w:t xml:space="preserve"> </w:t>
      </w:r>
      <w:r>
        <w:t xml:space="preserve">“</w:t>
      </w:r>
      <w:r>
        <w:t xml:space="preserve">ghañ</w:t>
      </w:r>
      <w:r>
        <w:t xml:space="preserve">”</w:t>
      </w:r>
      <w:r>
        <w:t xml:space="preserve"> </w:t>
      </w:r>
      <w:r>
        <w:t xml:space="preserve">in the object sense;</w:t>
      </w:r>
      <w:r>
        <w:t xml:space="preserve"> </w:t>
      </w:r>
      <w:r>
        <w:rPr>
          <w:bCs/>
          <w:b/>
        </w:rPr>
        <w:t xml:space="preserve">जनिवध्योश्च</w:t>
      </w:r>
      <w:r>
        <w:t xml:space="preserve"> </w:t>
      </w:r>
      <w:r>
        <w:t xml:space="preserve">(पा. ७-३-३५) no vṛddhi of the penultimate;</w:t>
      </w:r>
      <w:r>
        <w:t xml:space="preserve"> </w:t>
      </w:r>
      <w:r>
        <w:t xml:space="preserve">“</w:t>
      </w:r>
      <w:r>
        <w:t xml:space="preserve">ñ</w:t>
      </w:r>
      <w:r>
        <w:t xml:space="preserve">”</w:t>
      </w:r>
      <w:r>
        <w:t xml:space="preserve">-marked, first-syllable acute.</w:t>
      </w:r>
      <w:r>
        <w:t xml:space="preserve"> </w:t>
      </w:r>
      <w:r>
        <w:t xml:space="preserve">“</w:t>
      </w:r>
      <w:r>
        <w:t xml:space="preserve">Asmākam</w:t>
      </w:r>
      <w:r>
        <w:t xml:space="preserve">”</w:t>
      </w:r>
      <w:r>
        <w:t xml:space="preserve"> </w:t>
      </w:r>
      <w:r>
        <w:t xml:space="preserve">—</w:t>
      </w:r>
      <w:r>
        <w:t xml:space="preserve"> </w:t>
      </w:r>
      <w:r>
        <w:t xml:space="preserve">“</w:t>
      </w:r>
      <w:r>
        <w:t xml:space="preserve">asmad</w:t>
      </w:r>
      <w:r>
        <w:t xml:space="preserve">”</w:t>
      </w:r>
      <w:r>
        <w:t xml:space="preserve"> </w:t>
      </w:r>
      <w:r>
        <w:t xml:space="preserve">end-acute by the stem;</w:t>
      </w:r>
      <w:r>
        <w:t xml:space="preserve"> </w:t>
      </w:r>
      <w:r>
        <w:t xml:space="preserve">“</w:t>
      </w:r>
      <w:r>
        <w:t xml:space="preserve">śeṣe lopaḥ</w:t>
      </w:r>
      <w:r>
        <w:t xml:space="preserve">”</w:t>
      </w:r>
      <w:r>
        <w:t xml:space="preserve"> </w:t>
      </w:r>
      <w:r>
        <w:t xml:space="preserve">(पा. ७-२-९०) loss of the final; on the view of loss of the</w:t>
      </w:r>
      <w:r>
        <w:t xml:space="preserve"> </w:t>
      </w:r>
      <w:r>
        <w:t xml:space="preserve">“</w:t>
      </w:r>
      <w:r>
        <w:t xml:space="preserve">ṭi,</w:t>
      </w:r>
      <w:r>
        <w:t xml:space="preserve">”</w:t>
      </w:r>
      <w:r>
        <w:t xml:space="preserve"> </w:t>
      </w:r>
      <w:r>
        <w:rPr>
          <w:bCs/>
          <w:b/>
        </w:rPr>
        <w:t xml:space="preserve">साम आकम्</w:t>
      </w:r>
      <w:r>
        <w:t xml:space="preserve"> </w:t>
      </w:r>
      <w:r>
        <w:t xml:space="preserve">(पा. ७-१-३३)</w:t>
      </w:r>
      <w:r>
        <w:t xml:space="preserve"> </w:t>
      </w:r>
      <w:r>
        <w:t xml:space="preserve">“</w:t>
      </w:r>
      <w:r>
        <w:t xml:space="preserve">ākam,</w:t>
      </w:r>
      <w:r>
        <w:t xml:space="preserve">”</w:t>
      </w:r>
      <w:r>
        <w:t xml:space="preserve"> </w:t>
      </w:r>
      <w:r>
        <w:t xml:space="preserve">the single substitute acute; on the other view, the</w:t>
      </w:r>
      <w:r>
        <w:t xml:space="preserve"> </w:t>
      </w:r>
      <w:r>
        <w:t xml:space="preserve">“</w:t>
      </w:r>
      <w:r>
        <w:t xml:space="preserve">ā</w:t>
      </w:r>
      <w:r>
        <w:t xml:space="preserve">”</w:t>
      </w:r>
      <w:r>
        <w:t xml:space="preserve"> </w:t>
      </w:r>
      <w:r>
        <w:t xml:space="preserve">acute by the accent of the removed acute.</w:t>
      </w:r>
      <w:r>
        <w:t xml:space="preserve"> </w:t>
      </w:r>
      <w:r>
        <w:t xml:space="preserve">“</w:t>
      </w:r>
      <w:r>
        <w:t xml:space="preserve">Kevalaḥ</w:t>
      </w:r>
      <w:r>
        <w:t xml:space="preserve">”</w:t>
      </w:r>
      <w:r>
        <w:t xml:space="preserve"> </w:t>
      </w:r>
      <w:r>
        <w:t xml:space="preserve">— first-syllable acute, the vṛṣādi class being an ākṛtigaṇa. ॥१४॥ ॥२॥</w:t>
      </w:r>
    </w:p>
    <w:p>
      <w:pPr>
        <w:pStyle w:val="BodyText"/>
      </w:pPr>
      <w:r>
        <w:rPr>
          <w:iCs/>
          <w:i/>
        </w:rPr>
        <w:t xml:space="preserve">(The Sanskrit ends</w:t>
      </w:r>
      <w:r>
        <w:rPr>
          <w:iCs/>
          <w:i/>
        </w:rPr>
        <w:t xml:space="preserve"> </w:t>
      </w:r>
      <w:r>
        <w:rPr>
          <w:iCs/>
          <w:i/>
        </w:rPr>
        <w:t xml:space="preserve">“</w:t>
      </w:r>
      <w:r>
        <w:rPr>
          <w:iCs/>
          <w:i/>
        </w:rPr>
        <w:t xml:space="preserve">॥ १४ ॥ ॥ २ ॥</w:t>
      </w:r>
      <w:r>
        <w:rPr>
          <w:iCs/>
          <w:i/>
        </w:rPr>
        <w:t xml:space="preserve">”</w:t>
      </w:r>
      <w:r>
        <w:rPr>
          <w:iCs/>
          <w:i/>
        </w:rPr>
        <w:t xml:space="preserve">: the end of the fourteenth varga and of the second anuvāka, of which this sūkta is the last.)</w:t>
      </w:r>
    </w:p>
    <w:bookmarkEnd w:id="332"/>
    <w:bookmarkStart w:id="333" w:name="page-300"/>
    <w:p>
      <w:pPr>
        <w:pStyle w:val="Heading3"/>
      </w:pPr>
      <w:r>
        <w:t xml:space="preserve">Page 300</w:t>
      </w:r>
    </w:p>
    <w:p>
      <w:pPr>
        <w:pStyle w:val="FirstParagraph"/>
      </w:pPr>
      <w:r>
        <w:rPr>
          <w:bCs/>
          <w:b/>
        </w:rPr>
        <w:t xml:space="preserve">॥ Prati-padārthaḥ ॥</w:t>
      </w:r>
    </w:p>
    <w:p>
      <w:pPr>
        <w:pStyle w:val="BodyText"/>
      </w:pPr>
      <w:r>
        <w:t xml:space="preserve">(O priests and sacrificers, you people!)</w:t>
      </w:r>
      <w:r>
        <w:t xml:space="preserve"> </w:t>
      </w:r>
      <w:r>
        <w:rPr>
          <w:bCs/>
          <w:b/>
        </w:rPr>
        <w:t xml:space="preserve">विश्वतः जनेभ्यः (viśvataḥ janebhyaḥ)</w:t>
      </w:r>
      <w:r>
        <w:t xml:space="preserve"> </w:t>
      </w:r>
      <w:r>
        <w:t xml:space="preserve">— than all people |</w:t>
      </w:r>
      <w:r>
        <w:t xml:space="preserve"> </w:t>
      </w:r>
      <w:r>
        <w:rPr>
          <w:bCs/>
          <w:b/>
        </w:rPr>
        <w:t xml:space="preserve">परि (pari)</w:t>
      </w:r>
      <w:r>
        <w:t xml:space="preserve"> </w:t>
      </w:r>
      <w:r>
        <w:t xml:space="preserve">— greater |</w:t>
      </w:r>
      <w:r>
        <w:t xml:space="preserve"> </w:t>
      </w:r>
      <w:r>
        <w:rPr>
          <w:bCs/>
          <w:b/>
        </w:rPr>
        <w:t xml:space="preserve">इन्द्रम् (indram)</w:t>
      </w:r>
      <w:r>
        <w:t xml:space="preserve"> </w:t>
      </w:r>
      <w:r>
        <w:t xml:space="preserve">— Indra |</w:t>
      </w:r>
      <w:r>
        <w:t xml:space="preserve"> </w:t>
      </w:r>
      <w:r>
        <w:rPr>
          <w:bCs/>
          <w:b/>
        </w:rPr>
        <w:t xml:space="preserve">वः (vaḥ)</w:t>
      </w:r>
      <w:r>
        <w:t xml:space="preserve"> </w:t>
      </w:r>
      <w:r>
        <w:t xml:space="preserve">— for you (on your behalf) |</w:t>
      </w:r>
      <w:r>
        <w:t xml:space="preserve"> </w:t>
      </w:r>
      <w:r>
        <w:rPr>
          <w:bCs/>
          <w:b/>
        </w:rPr>
        <w:t xml:space="preserve">हवामहे (havāmahe)</w:t>
      </w:r>
      <w:r>
        <w:t xml:space="preserve"> </w:t>
      </w:r>
      <w:r>
        <w:t xml:space="preserve">— we invoke | (that Indra)</w:t>
      </w:r>
      <w:r>
        <w:t xml:space="preserve"> </w:t>
      </w:r>
      <w:r>
        <w:rPr>
          <w:bCs/>
          <w:b/>
        </w:rPr>
        <w:t xml:space="preserve">अस्माकम् (asmākam)</w:t>
      </w:r>
      <w:r>
        <w:t xml:space="preserve"> </w:t>
      </w:r>
      <w:r>
        <w:t xml:space="preserve">— to us |</w:t>
      </w:r>
      <w:r>
        <w:t xml:space="preserve"> </w:t>
      </w:r>
      <w:r>
        <w:rPr>
          <w:bCs/>
          <w:b/>
        </w:rPr>
        <w:t xml:space="preserve">केवलः (kevalaḥ)</w:t>
      </w:r>
      <w:r>
        <w:t xml:space="preserve"> </w:t>
      </w:r>
      <w:r>
        <w:t xml:space="preserve">— as the bestower of greater favour (as the chief beloved) |</w:t>
      </w:r>
      <w:r>
        <w:t xml:space="preserve"> </w:t>
      </w:r>
      <w:r>
        <w:rPr>
          <w:bCs/>
          <w:b/>
        </w:rPr>
        <w:t xml:space="preserve">अस्तु (astu)</w:t>
      </w:r>
      <w:r>
        <w:t xml:space="preserve"> </w:t>
      </w:r>
      <w:r>
        <w:t xml:space="preserve">— may he be.</w:t>
      </w:r>
    </w:p>
    <w:p>
      <w:pPr>
        <w:pStyle w:val="BodyText"/>
      </w:pPr>
      <w:r>
        <w:rPr>
          <w:bCs/>
          <w:b/>
        </w:rPr>
        <w:t xml:space="preserve">॥ Bhāvārthaḥ ॥</w:t>
      </w:r>
    </w:p>
    <w:p>
      <w:pPr>
        <w:pStyle w:val="BodyText"/>
      </w:pPr>
      <w:r>
        <w:t xml:space="preserve">O people — priests, sacrificers and the rest! Indra is greater than all people, or is [present] everywhere. We invoke such an Indra on your behalf (here, i.e., to this sacrificial ground). May that Indra be to us the chief bestower of favour, or the one we need.</w:t>
      </w:r>
    </w:p>
    <w:p>
      <w:pPr>
        <w:pStyle w:val="BodyText"/>
      </w:pPr>
      <w:r>
        <w:rPr>
          <w:bCs/>
          <w:b/>
        </w:rPr>
        <w:t xml:space="preserve">॥ English Translation ॥</w:t>
      </w:r>
      <w:r>
        <w:t xml:space="preserve"> </w:t>
      </w:r>
      <w:r>
        <w:rPr>
          <w:iCs/>
          <w:i/>
        </w:rPr>
        <w:t xml:space="preserve">(as printed in the source)</w:t>
      </w:r>
    </w:p>
    <w:p>
      <w:pPr>
        <w:pStyle w:val="BlockText"/>
      </w:pPr>
      <w:r>
        <w:t xml:space="preserve">We imoke [sic] for you Indra (who is) above all men. May he be exclusively onr [sic] own.</w:t>
      </w:r>
    </w:p>
    <w:p>
      <w:pPr>
        <w:pStyle w:val="FirstParagraph"/>
      </w:pPr>
      <w:r>
        <w:rPr>
          <w:bCs/>
          <w:b/>
        </w:rPr>
        <w:t xml:space="preserve">॥ Viśeṣa-viṣayagaḷu (Special Topics) ॥</w:t>
      </w:r>
    </w:p>
    <w:p>
      <w:pPr>
        <w:pStyle w:val="BodyText"/>
      </w:pPr>
      <w:r>
        <w:t xml:space="preserve">This rik is found in the Sāma Veda</w:t>
      </w:r>
      <w:r>
        <w:t xml:space="preserve"> </w:t>
      </w:r>
      <w:r>
        <w:rPr>
          <w:bCs/>
          <w:b/>
        </w:rPr>
        <w:t xml:space="preserve">1620</w:t>
      </w:r>
      <w:r>
        <w:t xml:space="preserve">; Atharvaveda</w:t>
      </w:r>
      <w:r>
        <w:t xml:space="preserve"> </w:t>
      </w:r>
      <w:r>
        <w:rPr>
          <w:bCs/>
          <w:b/>
        </w:rPr>
        <w:t xml:space="preserve">20-39-1</w:t>
      </w:r>
      <w:r>
        <w:t xml:space="preserve">,</w:t>
      </w:r>
      <w:r>
        <w:t xml:space="preserve"> </w:t>
      </w:r>
      <w:r>
        <w:rPr>
          <w:bCs/>
          <w:b/>
        </w:rPr>
        <w:t xml:space="preserve">20-70-16</w:t>
      </w:r>
      <w:r>
        <w:t xml:space="preserve">; Taittirīya Saṃhitā</w:t>
      </w:r>
      <w:r>
        <w:t xml:space="preserve"> </w:t>
      </w:r>
      <w:r>
        <w:rPr>
          <w:bCs/>
          <w:b/>
        </w:rPr>
        <w:t xml:space="preserve">1-6-12-1</w:t>
      </w:r>
      <w:r>
        <w:t xml:space="preserve">; Maitrāyaṇīya Saṃhitā</w:t>
      </w:r>
      <w:r>
        <w:t xml:space="preserve"> </w:t>
      </w:r>
      <w:r>
        <w:rPr>
          <w:bCs/>
          <w:b/>
        </w:rPr>
        <w:t xml:space="preserve">4-11-4</w:t>
      </w:r>
      <w:r>
        <w:t xml:space="preserve">. If read together with the previous rik, the sense fits correctly. This mantra is used for invoking Indra — in the invocation of the eight guardians of the directions (</w:t>
      </w:r>
      <w:r>
        <w:rPr>
          <w:iCs/>
          <w:i/>
        </w:rPr>
        <w:t xml:space="preserve">aṣṭadikpālakas</w:t>
      </w:r>
      <w:r>
        <w:t xml:space="preserve">) in rites such as the worship of the nine planets (</w:t>
      </w:r>
      <w:r>
        <w:rPr>
          <w:iCs/>
          <w:i/>
        </w:rPr>
        <w:t xml:space="preserve">navagrahārādhanā</w:t>
      </w:r>
      <w:r>
        <w:t xml:space="preserve">) prescribed in the household-rite texts (</w:t>
      </w:r>
      <w:r>
        <w:rPr>
          <w:iCs/>
          <w:i/>
        </w:rPr>
        <w:t xml:space="preserve">gṛhya</w:t>
      </w:r>
      <w:r>
        <w:t xml:space="preserve">), and in other occasions.</w:t>
      </w:r>
    </w:p>
    <w:p>
      <w:pPr>
        <w:pStyle w:val="BodyText"/>
      </w:pPr>
      <w:r>
        <w:rPr>
          <w:bCs/>
          <w:b/>
        </w:rPr>
        <w:t xml:space="preserve">॥ Vyākaraṇa-prakriyā ॥</w:t>
      </w:r>
    </w:p>
    <w:p>
      <w:pPr>
        <w:pStyle w:val="BodyText"/>
      </w:pPr>
      <w:r>
        <w:rPr>
          <w:iCs/>
          <w:i/>
        </w:rPr>
        <w:t xml:space="preserve">(Pp. 300–301. Characterized; numbers as printed.)</w:t>
      </w:r>
    </w:p>
    <w:p>
      <w:pPr>
        <w:numPr>
          <w:ilvl w:val="0"/>
          <w:numId w:val="1048"/>
        </w:numPr>
        <w:pStyle w:val="Compact"/>
      </w:pPr>
      <w:r>
        <w:rPr>
          <w:bCs/>
          <w:b/>
        </w:rPr>
        <w:t xml:space="preserve">इन्द्रम् (</w:t>
      </w:r>
      <w:r>
        <w:rPr>
          <w:iCs/>
          <w:i/>
          <w:bCs/>
          <w:b/>
        </w:rPr>
        <w:t xml:space="preserve">indram</w:t>
      </w:r>
      <w:r>
        <w:rPr>
          <w:bCs/>
          <w:b/>
        </w:rPr>
        <w:t xml:space="preserve">)</w:t>
      </w:r>
      <w:r>
        <w:t xml:space="preserve"> </w:t>
      </w:r>
      <w:r>
        <w:t xml:space="preserve">— from root</w:t>
      </w:r>
      <w:r>
        <w:t xml:space="preserve"> </w:t>
      </w:r>
      <w:r>
        <w:rPr>
          <w:iCs/>
          <w:i/>
        </w:rPr>
        <w:t xml:space="preserve">idi paramaiśvarye</w:t>
      </w:r>
      <w:r>
        <w:t xml:space="preserve"> </w:t>
      </w:r>
      <w:r>
        <w:t xml:space="preserve">(</w:t>
      </w:r>
      <w:r>
        <w:t xml:space="preserve">“</w:t>
      </w:r>
      <w:r>
        <w:t xml:space="preserve">to be supremely lordly</w:t>
      </w:r>
      <w:r>
        <w:t xml:space="preserve">”</w:t>
      </w:r>
      <w:r>
        <w:t xml:space="preserve">) with the</w:t>
      </w:r>
      <w:r>
        <w:t xml:space="preserve"> </w:t>
      </w:r>
      <w:r>
        <w:rPr>
          <w:iCs/>
          <w:i/>
        </w:rPr>
        <w:t xml:space="preserve">ran</w:t>
      </w:r>
      <w:r>
        <w:t xml:space="preserve"> </w:t>
      </w:r>
      <w:r>
        <w:t xml:space="preserve">suffix by the Uṇādi sūtra</w:t>
      </w:r>
      <w:r>
        <w:t xml:space="preserve"> </w:t>
      </w:r>
      <w:r>
        <w:rPr>
          <w:iCs/>
          <w:i/>
        </w:rPr>
        <w:t xml:space="preserve">ṛjrendrāgra…</w:t>
      </w:r>
      <w:r>
        <w:t xml:space="preserve"> </w:t>
      </w:r>
      <w:r>
        <w:t xml:space="preserve">(उ. सू. २-१८६); initial-udātta by the</w:t>
      </w:r>
      <w:r>
        <w:t xml:space="preserve"> </w:t>
      </w:r>
      <w:r>
        <w:rPr>
          <w:iCs/>
          <w:i/>
        </w:rPr>
        <w:t xml:space="preserve">nit</w:t>
      </w:r>
      <w:r>
        <w:t xml:space="preserve"> </w:t>
      </w:r>
      <w:r>
        <w:t xml:space="preserve">suffix.</w:t>
      </w:r>
    </w:p>
    <w:p>
      <w:pPr>
        <w:numPr>
          <w:ilvl w:val="0"/>
          <w:numId w:val="1048"/>
        </w:numPr>
        <w:pStyle w:val="Compact"/>
      </w:pPr>
      <w:r>
        <w:rPr>
          <w:bCs/>
          <w:b/>
        </w:rPr>
        <w:t xml:space="preserve">वः (</w:t>
      </w:r>
      <w:r>
        <w:rPr>
          <w:iCs/>
          <w:i/>
          <w:bCs/>
          <w:b/>
        </w:rPr>
        <w:t xml:space="preserve">vaḥ</w:t>
      </w:r>
      <w:r>
        <w:rPr>
          <w:bCs/>
          <w:b/>
        </w:rPr>
        <w:t xml:space="preserve">)</w:t>
      </w:r>
      <w:r>
        <w:t xml:space="preserve"> </w:t>
      </w:r>
      <w:r>
        <w:t xml:space="preserve">— unaccented by the rule on the</w:t>
      </w:r>
      <w:r>
        <w:t xml:space="preserve"> </w:t>
      </w:r>
      <w:r>
        <w:t xml:space="preserve">“</w:t>
      </w:r>
      <w:r>
        <w:t xml:space="preserve">unaccented, in the middle of a pāda</w:t>
      </w:r>
      <w:r>
        <w:t xml:space="preserve">”</w:t>
      </w:r>
      <w:r>
        <w:t xml:space="preserve"> </w:t>
      </w:r>
      <w:r>
        <w:t xml:space="preserve">(</w:t>
      </w:r>
      <w:r>
        <w:rPr>
          <w:bCs/>
          <w:b/>
        </w:rPr>
        <w:t xml:space="preserve">अनुदात्तं सर्वमपादादौ</w:t>
      </w:r>
      <w:r>
        <w:t xml:space="preserve">, पा. सू. ८-१-१८);</w:t>
      </w:r>
      <w:r>
        <w:t xml:space="preserve"> </w:t>
      </w:r>
      <w:r>
        <w:rPr>
          <w:iCs/>
          <w:i/>
        </w:rPr>
        <w:t xml:space="preserve">vas</w:t>
      </w:r>
      <w:r>
        <w:t xml:space="preserve"> </w:t>
      </w:r>
      <w:r>
        <w:t xml:space="preserve">substituted for</w:t>
      </w:r>
      <w:r>
        <w:t xml:space="preserve"> </w:t>
      </w:r>
      <w:r>
        <w:rPr>
          <w:iCs/>
          <w:i/>
        </w:rPr>
        <w:t xml:space="preserve">yuṣmān/yuṣmabhyam/yuṣmākam</w:t>
      </w:r>
      <w:r>
        <w:t xml:space="preserve"> </w:t>
      </w:r>
      <w:r>
        <w:t xml:space="preserve">(Pā. 8-1-21); the second/fourth/sixth plural forms of</w:t>
      </w:r>
      <w:r>
        <w:t xml:space="preserve"> </w:t>
      </w:r>
      <w:r>
        <w:rPr>
          <w:iCs/>
          <w:i/>
        </w:rPr>
        <w:t xml:space="preserve">yuṣmad</w:t>
      </w:r>
      <w:r>
        <w:t xml:space="preserve"> </w:t>
      </w:r>
      <w:r>
        <w:t xml:space="preserve">and</w:t>
      </w:r>
      <w:r>
        <w:t xml:space="preserve"> </w:t>
      </w:r>
      <w:r>
        <w:rPr>
          <w:iCs/>
          <w:i/>
        </w:rPr>
        <w:t xml:space="preserve">asmad</w:t>
      </w:r>
      <w:r>
        <w:t xml:space="preserve"> </w:t>
      </w:r>
      <w:r>
        <w:t xml:space="preserve">take</w:t>
      </w:r>
      <w:r>
        <w:t xml:space="preserve"> </w:t>
      </w:r>
      <w:r>
        <w:rPr>
          <w:iCs/>
          <w:i/>
        </w:rPr>
        <w:t xml:space="preserve">vas</w:t>
      </w:r>
      <w:r>
        <w:t xml:space="preserve"> </w:t>
      </w:r>
      <w:r>
        <w:t xml:space="preserve">and</w:t>
      </w:r>
      <w:r>
        <w:t xml:space="preserve"> </w:t>
      </w:r>
      <w:r>
        <w:rPr>
          <w:iCs/>
          <w:i/>
        </w:rPr>
        <w:t xml:space="preserve">nas</w:t>
      </w:r>
      <w:r>
        <w:t xml:space="preserve"> </w:t>
      </w:r>
      <w:r>
        <w:t xml:space="preserve">in turn, these being unaccented. The source’s example: for</w:t>
      </w:r>
      <w:r>
        <w:t xml:space="preserve"> </w:t>
      </w:r>
      <w:r>
        <w:rPr>
          <w:iCs/>
          <w:i/>
        </w:rPr>
        <w:t xml:space="preserve">yuṣmabhyam</w:t>
      </w:r>
      <w:r>
        <w:t xml:space="preserve"> </w:t>
      </w:r>
      <w:r>
        <w:t xml:space="preserve">an unaccented</w:t>
      </w:r>
      <w:r>
        <w:t xml:space="preserve"> </w:t>
      </w:r>
      <w:r>
        <w:rPr>
          <w:iCs/>
          <w:i/>
        </w:rPr>
        <w:t xml:space="preserve">vas</w:t>
      </w:r>
      <w:r>
        <w:t xml:space="preserve"> </w:t>
      </w:r>
      <w:r>
        <w:t xml:space="preserve">is substituted.</w:t>
      </w:r>
    </w:p>
    <w:p>
      <w:pPr>
        <w:numPr>
          <w:ilvl w:val="0"/>
          <w:numId w:val="1048"/>
        </w:numPr>
        <w:pStyle w:val="Compact"/>
      </w:pPr>
      <w:r>
        <w:rPr>
          <w:bCs/>
          <w:b/>
        </w:rPr>
        <w:t xml:space="preserve">विश्वतः (</w:t>
      </w:r>
      <w:r>
        <w:rPr>
          <w:iCs/>
          <w:i/>
          <w:bCs/>
          <w:b/>
        </w:rPr>
        <w:t xml:space="preserve">viśvataḥ</w:t>
      </w:r>
      <w:r>
        <w:rPr>
          <w:bCs/>
          <w:b/>
        </w:rPr>
        <w:t xml:space="preserve">)</w:t>
      </w:r>
      <w:r>
        <w:t xml:space="preserve"> </w:t>
      </w:r>
      <w:r>
        <w:t xml:space="preserve">—</w:t>
      </w:r>
      <w:r>
        <w:t xml:space="preserve"> </w:t>
      </w:r>
      <w:r>
        <w:t xml:space="preserve">“</w:t>
      </w:r>
      <w:r>
        <w:t xml:space="preserve">tasil</w:t>
      </w:r>
      <w:r>
        <w:t xml:space="preserve">”</w:t>
      </w:r>
      <w:r>
        <w:t xml:space="preserve"> </w:t>
      </w:r>
      <w:r>
        <w:t xml:space="preserve">by</w:t>
      </w:r>
      <w:r>
        <w:t xml:space="preserve"> </w:t>
      </w:r>
      <w:r>
        <w:rPr>
          <w:bCs/>
          <w:b/>
        </w:rPr>
        <w:t xml:space="preserve">पञ्चम्यास्तसिल्</w:t>
      </w:r>
      <w:r>
        <w:t xml:space="preserve"> </w:t>
      </w:r>
      <w:r>
        <w:t xml:space="preserve">(पा. सू. ५-३-७);</w:t>
      </w:r>
      <w:r>
        <w:t xml:space="preserve"> </w:t>
      </w:r>
      <w:r>
        <w:rPr>
          <w:bCs/>
          <w:b/>
        </w:rPr>
        <w:t xml:space="preserve">लिति</w:t>
      </w:r>
      <w:r>
        <w:t xml:space="preserve"> </w:t>
      </w:r>
      <w:r>
        <w:t xml:space="preserve">(पा. सू. ६-१-१९३) makes the syllable before</w:t>
      </w:r>
      <w:r>
        <w:t xml:space="preserve"> </w:t>
      </w:r>
      <w:r>
        <w:t xml:space="preserve">“</w:t>
      </w:r>
      <w:r>
        <w:t xml:space="preserve">tasil</w:t>
      </w:r>
      <w:r>
        <w:t xml:space="preserve">”</w:t>
      </w:r>
      <w:r>
        <w:t xml:space="preserve"> </w:t>
      </w:r>
      <w:r>
        <w:t xml:space="preserve">acute.</w:t>
      </w:r>
    </w:p>
    <w:p>
      <w:pPr>
        <w:numPr>
          <w:ilvl w:val="0"/>
          <w:numId w:val="1048"/>
        </w:numPr>
        <w:pStyle w:val="Compact"/>
      </w:pPr>
      <w:r>
        <w:rPr>
          <w:bCs/>
          <w:b/>
        </w:rPr>
        <w:t xml:space="preserve">परि (</w:t>
      </w:r>
      <w:r>
        <w:rPr>
          <w:iCs/>
          <w:i/>
          <w:bCs/>
          <w:b/>
        </w:rPr>
        <w:t xml:space="preserve">pari</w:t>
      </w:r>
      <w:r>
        <w:rPr>
          <w:bCs/>
          <w:b/>
        </w:rPr>
        <w:t xml:space="preserve">)</w:t>
      </w:r>
      <w:r>
        <w:t xml:space="preserve"> </w:t>
      </w:r>
      <w:r>
        <w:t xml:space="preserve">— a nipāta, first-syllable acute. In the saṃhitā, before</w:t>
      </w:r>
      <w:r>
        <w:t xml:space="preserve"> </w:t>
      </w:r>
      <w:r>
        <w:t xml:space="preserve">“</w:t>
      </w:r>
      <w:r>
        <w:t xml:space="preserve">pari</w:t>
      </w:r>
      <w:r>
        <w:t xml:space="preserve">”</w:t>
      </w:r>
      <w:r>
        <w:t xml:space="preserve"> </w:t>
      </w:r>
      <w:r>
        <w:t xml:space="preserve">in the sense</w:t>
      </w:r>
      <w:r>
        <w:t xml:space="preserve"> </w:t>
      </w:r>
      <w:r>
        <w:t xml:space="preserve">“</w:t>
      </w:r>
      <w:r>
        <w:t xml:space="preserve">above,</w:t>
      </w:r>
      <w:r>
        <w:t xml:space="preserve">”</w:t>
      </w:r>
      <w:r>
        <w:t xml:space="preserve"> </w:t>
      </w:r>
      <w:r>
        <w:t xml:space="preserve">the visarga of a fifth-case form becomes</w:t>
      </w:r>
      <w:r>
        <w:t xml:space="preserve"> </w:t>
      </w:r>
      <w:r>
        <w:t xml:space="preserve">“</w:t>
      </w:r>
      <w:r>
        <w:t xml:space="preserve">s</w:t>
      </w:r>
      <w:r>
        <w:t xml:space="preserve">”</w:t>
      </w:r>
      <w:r>
        <w:t xml:space="preserve"> </w:t>
      </w:r>
      <w:r>
        <w:t xml:space="preserve">by</w:t>
      </w:r>
      <w:r>
        <w:t xml:space="preserve"> </w:t>
      </w:r>
      <w:r>
        <w:rPr>
          <w:bCs/>
          <w:b/>
        </w:rPr>
        <w:t xml:space="preserve">पञ्चम्याः परावध्यर्थे</w:t>
      </w:r>
      <w:r>
        <w:t xml:space="preserve"> </w:t>
      </w:r>
      <w:r>
        <w:t xml:space="preserve">(पा. सू. ८-३-५१):</w:t>
      </w:r>
      <w:r>
        <w:t xml:space="preserve"> </w:t>
      </w:r>
      <w:r>
        <w:t xml:space="preserve">“</w:t>
      </w:r>
      <w:r>
        <w:t xml:space="preserve">viśvatas pari.</w:t>
      </w:r>
      <w:r>
        <w:t xml:space="preserve">”</w:t>
      </w:r>
    </w:p>
    <w:p>
      <w:pPr>
        <w:numPr>
          <w:ilvl w:val="0"/>
          <w:numId w:val="1048"/>
        </w:numPr>
        <w:pStyle w:val="Compact"/>
      </w:pPr>
      <w:r>
        <w:rPr>
          <w:bCs/>
          <w:b/>
        </w:rPr>
        <w:t xml:space="preserve">हवामहे (</w:t>
      </w:r>
      <w:r>
        <w:rPr>
          <w:iCs/>
          <w:i/>
          <w:bCs/>
          <w:b/>
        </w:rPr>
        <w:t xml:space="preserve">havāmahe</w:t>
      </w:r>
      <w:r>
        <w:rPr>
          <w:bCs/>
          <w:b/>
        </w:rPr>
        <w:t xml:space="preserve">)</w:t>
      </w:r>
      <w:r>
        <w:t xml:space="preserve"> </w:t>
      </w:r>
      <w:r>
        <w:t xml:space="preserve">—</w:t>
      </w:r>
      <w:r>
        <w:t xml:space="preserve"> </w:t>
      </w:r>
      <w:r>
        <w:t xml:space="preserve">“</w:t>
      </w:r>
      <w:r>
        <w:t xml:space="preserve">hveñ,</w:t>
      </w:r>
      <w:r>
        <w:t xml:space="preserve">”</w:t>
      </w:r>
      <w:r>
        <w:t xml:space="preserve"> </w:t>
      </w:r>
      <w:r>
        <w:t xml:space="preserve">“</w:t>
      </w:r>
      <w:r>
        <w:t xml:space="preserve">laṭ,</w:t>
      </w:r>
      <w:r>
        <w:t xml:space="preserve">”</w:t>
      </w:r>
      <w:r>
        <w:t xml:space="preserve"> </w:t>
      </w:r>
      <w:r>
        <w:t xml:space="preserve">first plural</w:t>
      </w:r>
      <w:r>
        <w:t xml:space="preserve"> </w:t>
      </w:r>
      <w:r>
        <w:t xml:space="preserve">“</w:t>
      </w:r>
      <w:r>
        <w:t xml:space="preserve">mahiṅ,</w:t>
      </w:r>
      <w:r>
        <w:t xml:space="preserve">”</w:t>
      </w:r>
      <w:r>
        <w:t xml:space="preserve"> </w:t>
      </w:r>
      <w:r>
        <w:t xml:space="preserve">“</w:t>
      </w:r>
      <w:r>
        <w:t xml:space="preserve">śap</w:t>
      </w:r>
      <w:r>
        <w:t xml:space="preserve">”</w:t>
      </w:r>
      <w:r>
        <w:t xml:space="preserve">; samprasāraṇa by</w:t>
      </w:r>
      <w:r>
        <w:t xml:space="preserve"> </w:t>
      </w:r>
      <w:r>
        <w:rPr>
          <w:bCs/>
          <w:b/>
        </w:rPr>
        <w:t xml:space="preserve">बहुलं छन्दसि</w:t>
      </w:r>
      <w:r>
        <w:t xml:space="preserve"> </w:t>
      </w:r>
      <w:r>
        <w:t xml:space="preserve">(पा. सू. ६-१-३४), the prior form by</w:t>
      </w:r>
      <w:r>
        <w:t xml:space="preserve"> </w:t>
      </w:r>
      <w:r>
        <w:rPr>
          <w:bCs/>
          <w:b/>
        </w:rPr>
        <w:t xml:space="preserve">संप्रसारणाच्च</w:t>
      </w:r>
      <w:r>
        <w:t xml:space="preserve"> </w:t>
      </w:r>
      <w:r>
        <w:t xml:space="preserve">(पा. सू. ६-१-१०८), guṇa,</w:t>
      </w:r>
      <w:r>
        <w:t xml:space="preserve"> </w:t>
      </w:r>
      <w:r>
        <w:t xml:space="preserve">“</w:t>
      </w:r>
      <w:r>
        <w:t xml:space="preserve">av</w:t>
      </w:r>
      <w:r>
        <w:t xml:space="preserve">”</w:t>
      </w:r>
      <w:r>
        <w:t xml:space="preserve"> </w:t>
      </w:r>
      <w:r>
        <w:t xml:space="preserve">and the long vowel;</w:t>
      </w:r>
      <w:r>
        <w:t xml:space="preserve"> </w:t>
      </w:r>
      <w:r>
        <w:t xml:space="preserve">“</w:t>
      </w:r>
      <w:r>
        <w:t xml:space="preserve">e</w:t>
      </w:r>
      <w:r>
        <w:t xml:space="preserve">”</w:t>
      </w:r>
      <w:r>
        <w:t xml:space="preserve"> </w:t>
      </w:r>
      <w:r>
        <w:t xml:space="preserve">for the</w:t>
      </w:r>
      <w:r>
        <w:t xml:space="preserve"> </w:t>
      </w:r>
      <w:r>
        <w:t xml:space="preserve">“</w:t>
      </w:r>
      <w:r>
        <w:t xml:space="preserve">ṭi</w:t>
      </w:r>
      <w:r>
        <w:t xml:space="preserve">”</w:t>
      </w:r>
      <w:r>
        <w:t xml:space="preserve">:</w:t>
      </w:r>
      <w:r>
        <w:t xml:space="preserve"> </w:t>
      </w:r>
      <w:r>
        <w:t xml:space="preserve">“</w:t>
      </w:r>
      <w:r>
        <w:t xml:space="preserve">havāmahe.</w:t>
      </w:r>
      <w:r>
        <w:t xml:space="preserve">”</w:t>
      </w:r>
    </w:p>
    <w:p>
      <w:pPr>
        <w:numPr>
          <w:ilvl w:val="0"/>
          <w:numId w:val="1048"/>
        </w:numPr>
        <w:pStyle w:val="Compact"/>
      </w:pPr>
      <w:r>
        <w:rPr>
          <w:bCs/>
          <w:b/>
        </w:rPr>
        <w:t xml:space="preserve">जनेभ्यः (</w:t>
      </w:r>
      <w:r>
        <w:rPr>
          <w:iCs/>
          <w:i/>
          <w:bCs/>
          <w:b/>
        </w:rPr>
        <w:t xml:space="preserve">janebhyaḥ</w:t>
      </w:r>
      <w:r>
        <w:rPr>
          <w:bCs/>
          <w:b/>
        </w:rPr>
        <w:t xml:space="preserve">)</w:t>
      </w:r>
      <w:r>
        <w:t xml:space="preserve"> </w:t>
      </w:r>
      <w:r>
        <w:t xml:space="preserve">—</w:t>
      </w:r>
      <w:r>
        <w:t xml:space="preserve"> </w:t>
      </w:r>
      <w:r>
        <w:t xml:space="preserve">“</w:t>
      </w:r>
      <w:r>
        <w:t xml:space="preserve">janyante (are born) iti janāḥ</w:t>
      </w:r>
      <w:r>
        <w:t xml:space="preserve">”</w:t>
      </w:r>
      <w:r>
        <w:t xml:space="preserve">:</w:t>
      </w:r>
      <w:r>
        <w:t xml:space="preserve"> </w:t>
      </w:r>
      <w:r>
        <w:t xml:space="preserve">“</w:t>
      </w:r>
      <w:r>
        <w:t xml:space="preserve">jana</w:t>
      </w:r>
      <w:r>
        <w:t xml:space="preserve">”</w:t>
      </w:r>
      <w:r>
        <w:t xml:space="preserve"> </w:t>
      </w:r>
      <w:r>
        <w:t xml:space="preserve">with</w:t>
      </w:r>
      <w:r>
        <w:t xml:space="preserve"> </w:t>
      </w:r>
      <w:r>
        <w:t xml:space="preserve">“</w:t>
      </w:r>
      <w:r>
        <w:t xml:space="preserve">ṇic,</w:t>
      </w:r>
      <w:r>
        <w:t xml:space="preserve">”</w:t>
      </w:r>
      <w:r>
        <w:t xml:space="preserve"> </w:t>
      </w:r>
      <w:r>
        <w:t xml:space="preserve">then</w:t>
      </w:r>
      <w:r>
        <w:t xml:space="preserve"> </w:t>
      </w:r>
      <w:r>
        <w:t xml:space="preserve">“</w:t>
      </w:r>
      <w:r>
        <w:t xml:space="preserve">ghañ</w:t>
      </w:r>
      <w:r>
        <w:t xml:space="preserve">”</w:t>
      </w:r>
      <w:r>
        <w:t xml:space="preserve"> </w:t>
      </w:r>
      <w:r>
        <w:t xml:space="preserve">in the object sense;</w:t>
      </w:r>
      <w:r>
        <w:t xml:space="preserve"> </w:t>
      </w:r>
      <w:r>
        <w:rPr>
          <w:bCs/>
          <w:b/>
        </w:rPr>
        <w:t xml:space="preserve">णेरनिटि</w:t>
      </w:r>
      <w:r>
        <w:t xml:space="preserve"> </w:t>
      </w:r>
      <w:r>
        <w:t xml:space="preserve">(पा. सू. ६-४-५१) drops</w:t>
      </w:r>
      <w:r>
        <w:t xml:space="preserve"> </w:t>
      </w:r>
      <w:r>
        <w:t xml:space="preserve">“</w:t>
      </w:r>
      <w:r>
        <w:t xml:space="preserve">ṇi</w:t>
      </w:r>
      <w:r>
        <w:t xml:space="preserve">”</w:t>
      </w:r>
      <w:r>
        <w:t xml:space="preserve">;</w:t>
      </w:r>
      <w:r>
        <w:t xml:space="preserve"> </w:t>
      </w:r>
      <w:r>
        <w:rPr>
          <w:bCs/>
          <w:b/>
        </w:rPr>
        <w:t xml:space="preserve">अत उपधायाः</w:t>
      </w:r>
      <w:r>
        <w:t xml:space="preserve"> </w:t>
      </w:r>
      <w:r>
        <w:t xml:space="preserve">(पा. सू. ७-२-११६) would give vṛddhi, but</w:t>
      </w:r>
      <w:r>
        <w:t xml:space="preserve"> </w:t>
      </w:r>
      <w:r>
        <w:rPr>
          <w:bCs/>
          <w:b/>
        </w:rPr>
        <w:t xml:space="preserve">जनिवध्योश्च</w:t>
      </w:r>
      <w:r>
        <w:t xml:space="preserve"> </w:t>
      </w:r>
      <w:r>
        <w:t xml:space="preserve">(पा. सू. ७-३-३५) forbids it for</w:t>
      </w:r>
      <w:r>
        <w:t xml:space="preserve"> </w:t>
      </w:r>
      <w:r>
        <w:t xml:space="preserve">“</w:t>
      </w:r>
      <w:r>
        <w:t xml:space="preserve">jan</w:t>
      </w:r>
      <w:r>
        <w:t xml:space="preserve">”</w:t>
      </w:r>
      <w:r>
        <w:t xml:space="preserve"> </w:t>
      </w:r>
      <w:r>
        <w:t xml:space="preserve">and</w:t>
      </w:r>
      <w:r>
        <w:t xml:space="preserve"> </w:t>
      </w:r>
      <w:r>
        <w:t xml:space="preserve">“</w:t>
      </w:r>
      <w:r>
        <w:t xml:space="preserve">vadh</w:t>
      </w:r>
      <w:r>
        <w:t xml:space="preserve">”</w:t>
      </w:r>
      <w:r>
        <w:t xml:space="preserve"> </w:t>
      </w:r>
      <w:r>
        <w:t xml:space="preserve">before</w:t>
      </w:r>
      <w:r>
        <w:t xml:space="preserve"> </w:t>
      </w:r>
      <w:r>
        <w:t xml:space="preserve">“</w:t>
      </w:r>
      <w:r>
        <w:t xml:space="preserve">ciṇ</w:t>
      </w:r>
      <w:r>
        <w:t xml:space="preserve">”</w:t>
      </w:r>
      <w:r>
        <w:t xml:space="preserve"> </w:t>
      </w:r>
      <w:r>
        <w:t xml:space="preserve">and</w:t>
      </w:r>
      <w:r>
        <w:t xml:space="preserve"> </w:t>
      </w:r>
      <w:r>
        <w:t xml:space="preserve">“</w:t>
      </w:r>
      <w:r>
        <w:t xml:space="preserve">ñit/ṇit</w:t>
      </w:r>
      <w:r>
        <w:t xml:space="preserve">”</w:t>
      </w:r>
      <w:r>
        <w:t xml:space="preserve"> </w:t>
      </w:r>
      <w:r>
        <w:t xml:space="preserve">kṛt affixes; first-syllable acute by</w:t>
      </w:r>
      <w:r>
        <w:t xml:space="preserve"> </w:t>
      </w:r>
      <w:r>
        <w:rPr>
          <w:bCs/>
          <w:b/>
        </w:rPr>
        <w:t xml:space="preserve">ञ्नित्यादिर्नित्यम्</w:t>
      </w:r>
      <w:r>
        <w:t xml:space="preserve"> </w:t>
      </w:r>
      <w:r>
        <w:t xml:space="preserve">(पा. सू. ६-१-१९७).</w:t>
      </w:r>
    </w:p>
    <w:p>
      <w:pPr>
        <w:numPr>
          <w:ilvl w:val="0"/>
          <w:numId w:val="1048"/>
        </w:numPr>
        <w:pStyle w:val="Compact"/>
      </w:pPr>
      <w:r>
        <w:rPr>
          <w:bCs/>
          <w:b/>
        </w:rPr>
        <w:t xml:space="preserve">अस्माकम् (</w:t>
      </w:r>
      <w:r>
        <w:rPr>
          <w:iCs/>
          <w:i/>
          <w:bCs/>
          <w:b/>
        </w:rPr>
        <w:t xml:space="preserve">asmākam</w:t>
      </w:r>
      <w:r>
        <w:rPr>
          <w:bCs/>
          <w:b/>
        </w:rPr>
        <w:t xml:space="preserve">)</w:t>
      </w:r>
      <w:r>
        <w:t xml:space="preserve"> </w:t>
      </w:r>
      <w:r>
        <w:t xml:space="preserve">—</w:t>
      </w:r>
      <w:r>
        <w:t xml:space="preserve"> </w:t>
      </w:r>
      <w:r>
        <w:t xml:space="preserve">“</w:t>
      </w:r>
      <w:r>
        <w:t xml:space="preserve">asmad + ām</w:t>
      </w:r>
      <w:r>
        <w:t xml:space="preserve">”</w:t>
      </w:r>
      <w:r>
        <w:t xml:space="preserve">:</w:t>
      </w:r>
      <w:r>
        <w:t xml:space="preserve"> </w:t>
      </w:r>
      <w:r>
        <w:rPr>
          <w:bCs/>
          <w:b/>
        </w:rPr>
        <w:t xml:space="preserve">साम आकम्</w:t>
      </w:r>
      <w:r>
        <w:t xml:space="preserve"> </w:t>
      </w:r>
      <w:r>
        <w:t xml:space="preserve">(पा. सू. ७-१-३३) —</w:t>
      </w:r>
      <w:r>
        <w:t xml:space="preserve"> </w:t>
      </w:r>
      <w:r>
        <w:t xml:space="preserve">“</w:t>
      </w:r>
      <w:r>
        <w:t xml:space="preserve">ākam</w:t>
      </w:r>
      <w:r>
        <w:t xml:space="preserve">”</w:t>
      </w:r>
      <w:r>
        <w:t xml:space="preserve"> </w:t>
      </w:r>
      <w:r>
        <w:t xml:space="preserve">replaces</w:t>
      </w:r>
      <w:r>
        <w:t xml:space="preserve"> </w:t>
      </w:r>
      <w:r>
        <w:t xml:space="preserve">“</w:t>
      </w:r>
      <w:r>
        <w:t xml:space="preserve">sām</w:t>
      </w:r>
      <w:r>
        <w:t xml:space="preserve">”</w:t>
      </w:r>
      <w:r>
        <w:t xml:space="preserve"> </w:t>
      </w:r>
      <w:r>
        <w:t xml:space="preserve">after</w:t>
      </w:r>
      <w:r>
        <w:t xml:space="preserve"> </w:t>
      </w:r>
      <w:r>
        <w:t xml:space="preserve">“</w:t>
      </w:r>
      <w:r>
        <w:t xml:space="preserve">yuṣmad, asmad,</w:t>
      </w:r>
      <w:r>
        <w:t xml:space="preserve">”</w:t>
      </w:r>
      <w:r>
        <w:t xml:space="preserve"> </w:t>
      </w:r>
      <w:r>
        <w:t xml:space="preserve">the ending being treated as</w:t>
      </w:r>
      <w:r>
        <w:t xml:space="preserve"> </w:t>
      </w:r>
      <w:r>
        <w:t xml:space="preserve">“</w:t>
      </w:r>
      <w:r>
        <w:t xml:space="preserve">sām</w:t>
      </w:r>
      <w:r>
        <w:t xml:space="preserve">”</w:t>
      </w:r>
      <w:r>
        <w:t xml:space="preserve">;</w:t>
      </w:r>
      <w:r>
        <w:t xml:space="preserve"> </w:t>
      </w:r>
      <w:r>
        <w:t xml:space="preserve">“</w:t>
      </w:r>
      <w:r>
        <w:t xml:space="preserve">asmad</w:t>
      </w:r>
      <w:r>
        <w:t xml:space="preserve">”</w:t>
      </w:r>
      <w:r>
        <w:t xml:space="preserve"> </w:t>
      </w:r>
      <w:r>
        <w:t xml:space="preserve">end-acute;</w:t>
      </w:r>
      <w:r>
        <w:t xml:space="preserve"> </w:t>
      </w:r>
      <w:r>
        <w:rPr>
          <w:bCs/>
          <w:b/>
        </w:rPr>
        <w:t xml:space="preserve">शेषे लोपः</w:t>
      </w:r>
      <w:r>
        <w:t xml:space="preserve"> </w:t>
      </w:r>
      <w:r>
        <w:t xml:space="preserve">(पा. सू. ७-२-९०) drops the final letter:</w:t>
      </w:r>
      <w:r>
        <w:t xml:space="preserve"> </w:t>
      </w:r>
      <w:r>
        <w:t xml:space="preserve">“</w:t>
      </w:r>
      <w:r>
        <w:t xml:space="preserve">asma + ākam,</w:t>
      </w:r>
      <w:r>
        <w:t xml:space="preserve">”</w:t>
      </w:r>
      <w:r>
        <w:t xml:space="preserve"> </w:t>
      </w:r>
      <w:r>
        <w:t xml:space="preserve">the long vowel, and the single substitute acute by</w:t>
      </w:r>
      <w:r>
        <w:t xml:space="preserve"> </w:t>
      </w:r>
      <w:r>
        <w:rPr>
          <w:bCs/>
          <w:b/>
        </w:rPr>
        <w:t xml:space="preserve">एकादेश उदात्तेनोदात्तः</w:t>
      </w:r>
      <w:r>
        <w:t xml:space="preserve"> </w:t>
      </w:r>
      <w:r>
        <w:t xml:space="preserve">(पा. सू. ८-२-५); on the view that</w:t>
      </w:r>
      <w:r>
        <w:t xml:space="preserve"> </w:t>
      </w:r>
      <w:r>
        <w:t xml:space="preserve">“</w:t>
      </w:r>
      <w:r>
        <w:t xml:space="preserve">śeṣe lopaḥ</w:t>
      </w:r>
      <w:r>
        <w:t xml:space="preserve">”</w:t>
      </w:r>
      <w:r>
        <w:t xml:space="preserve"> </w:t>
      </w:r>
      <w:r>
        <w:t xml:space="preserve">drops the</w:t>
      </w:r>
      <w:r>
        <w:t xml:space="preserve"> </w:t>
      </w:r>
      <w:r>
        <w:t xml:space="preserve">“</w:t>
      </w:r>
      <w:r>
        <w:t xml:space="preserve">ṭi,</w:t>
      </w:r>
      <w:r>
        <w:t xml:space="preserve">”</w:t>
      </w:r>
      <w:r>
        <w:t xml:space="preserve"> </w:t>
      </w:r>
      <w:r>
        <w:t xml:space="preserve">the</w:t>
      </w:r>
      <w:r>
        <w:t xml:space="preserve"> </w:t>
      </w:r>
      <w:r>
        <w:t xml:space="preserve">“</w:t>
      </w:r>
      <w:r>
        <w:t xml:space="preserve">ā</w:t>
      </w:r>
      <w:r>
        <w:t xml:space="preserve">”</w:t>
      </w:r>
      <w:r>
        <w:t xml:space="preserve"> </w:t>
      </w:r>
      <w:r>
        <w:t xml:space="preserve">is acute by</w:t>
      </w:r>
      <w:r>
        <w:t xml:space="preserve"> </w:t>
      </w:r>
      <w:r>
        <w:rPr>
          <w:bCs/>
          <w:b/>
        </w:rPr>
        <w:t xml:space="preserve">अनुदात्तस्य च यत्रोदात्तलोपः</w:t>
      </w:r>
      <w:r>
        <w:t xml:space="preserve"> </w:t>
      </w:r>
      <w:r>
        <w:t xml:space="preserve">(पा. सू. ६-१-१६१). ॥१०॥</w:t>
      </w:r>
    </w:p>
    <w:p>
      <w:pPr>
        <w:numPr>
          <w:ilvl w:val="0"/>
          <w:numId w:val="1048"/>
        </w:numPr>
        <w:pStyle w:val="Compact"/>
      </w:pPr>
      <w:r>
        <w:rPr>
          <w:bCs/>
          <w:b/>
        </w:rPr>
        <w:t xml:space="preserve">केवलः (</w:t>
      </w:r>
      <w:r>
        <w:rPr>
          <w:iCs/>
          <w:i/>
          <w:bCs/>
          <w:b/>
        </w:rPr>
        <w:t xml:space="preserve">kevalaḥ</w:t>
      </w:r>
      <w:r>
        <w:rPr>
          <w:bCs/>
          <w:b/>
        </w:rPr>
        <w:t xml:space="preserve">)</w:t>
      </w:r>
      <w:r>
        <w:t xml:space="preserve"> </w:t>
      </w:r>
      <w:r>
        <w:t xml:space="preserve">— initial-udātta by being counted in the</w:t>
      </w:r>
      <w:r>
        <w:t xml:space="preserve"> </w:t>
      </w:r>
      <w:r>
        <w:rPr>
          <w:iCs/>
          <w:i/>
        </w:rPr>
        <w:t xml:space="preserve">vṛṣādi</w:t>
      </w:r>
      <w:r>
        <w:t xml:space="preserve"> </w:t>
      </w:r>
      <w:r>
        <w:t xml:space="preserve">class, which is an</w:t>
      </w:r>
      <w:r>
        <w:t xml:space="preserve"> </w:t>
      </w:r>
      <w:r>
        <w:rPr>
          <w:iCs/>
          <w:i/>
        </w:rPr>
        <w:t xml:space="preserve">ākṛti-gaṇa</w:t>
      </w:r>
      <w:r>
        <w:t xml:space="preserve"> </w:t>
      </w:r>
      <w:r>
        <w:t xml:space="preserve">(a class identified by its character).</w:t>
      </w:r>
    </w:p>
    <w:bookmarkEnd w:id="333"/>
    <w:bookmarkStart w:id="334" w:name="page-301-sūkta-7-ends"/>
    <w:p>
      <w:pPr>
        <w:pStyle w:val="Heading3"/>
      </w:pPr>
      <w:r>
        <w:t xml:space="preserve">Page 301 — Sūkta 7 ends</w:t>
      </w:r>
    </w:p>
    <w:p>
      <w:pPr>
        <w:pStyle w:val="FirstParagraph"/>
      </w:pPr>
      <w:r>
        <w:rPr>
          <w:iCs/>
          <w:i/>
        </w:rPr>
        <w:t xml:space="preserve">(Page header:</w:t>
      </w:r>
      <w:r>
        <w:rPr>
          <w:iCs/>
          <w:i/>
        </w:rPr>
        <w:t xml:space="preserve"> </w:t>
      </w:r>
      <w:r>
        <w:rPr>
          <w:iCs/>
          <w:i/>
        </w:rPr>
        <w:t xml:space="preserve">“</w:t>
      </w:r>
      <w:r>
        <w:rPr>
          <w:iCs/>
          <w:i/>
        </w:rPr>
        <w:t xml:space="preserve">A. 1, A. 1, Va. 14.</w:t>
      </w:r>
      <w:r>
        <w:rPr>
          <w:iCs/>
          <w:i/>
        </w:rPr>
        <w:t xml:space="preserve">”</w:t>
      </w:r>
      <w:r>
        <w:rPr>
          <w:iCs/>
          <w:i/>
        </w:rPr>
        <w:t xml:space="preserve"> </w:t>
      </w:r>
      <w:r>
        <w:rPr>
          <w:iCs/>
          <w:i/>
        </w:rPr>
        <w:t xml:space="preserve">This page carries the Rik 10 grammar from</w:t>
      </w:r>
      <w:r>
        <w:rPr>
          <w:iCs/>
          <w:i/>
        </w:rPr>
        <w:t xml:space="preserve"> </w:t>
      </w:r>
      <w:r>
        <w:rPr>
          <w:iCs/>
          <w:i/>
        </w:rPr>
        <w:t xml:space="preserve">“</w:t>
      </w:r>
      <w:r>
        <w:rPr>
          <w:iCs/>
          <w:i/>
        </w:rPr>
        <w:t xml:space="preserve">viśvataḥ</w:t>
      </w:r>
      <w:r>
        <w:rPr>
          <w:iCs/>
          <w:i/>
        </w:rPr>
        <w:t xml:space="preserve">”</w:t>
      </w:r>
      <w:r>
        <w:rPr>
          <w:iCs/>
          <w:i/>
        </w:rPr>
        <w:t xml:space="preserve"> </w:t>
      </w:r>
      <w:r>
        <w:rPr>
          <w:iCs/>
          <w:i/>
        </w:rPr>
        <w:t xml:space="preserve">to</w:t>
      </w:r>
      <w:r>
        <w:rPr>
          <w:iCs/>
          <w:i/>
        </w:rPr>
        <w:t xml:space="preserve"> </w:t>
      </w:r>
      <w:r>
        <w:rPr>
          <w:iCs/>
          <w:i/>
        </w:rPr>
        <w:t xml:space="preserve">“</w:t>
      </w:r>
      <w:r>
        <w:rPr>
          <w:iCs/>
          <w:i/>
        </w:rPr>
        <w:t xml:space="preserve">asmākam</w:t>
      </w:r>
      <w:r>
        <w:rPr>
          <w:iCs/>
          <w:i/>
        </w:rPr>
        <w:t xml:space="preserve">”</w:t>
      </w:r>
      <w:r>
        <w:rPr>
          <w:iCs/>
          <w:i/>
        </w:rPr>
        <w:t xml:space="preserve"> </w:t>
      </w:r>
      <w:r>
        <w:rPr>
          <w:iCs/>
          <w:i/>
        </w:rPr>
        <w:t xml:space="preserve">(characterized under p. 300), ending ॥१०॥, then a printed ornament marking the end of the sūkta.)</w:t>
      </w:r>
    </w:p>
    <w:p>
      <w:pPr>
        <w:pStyle w:val="BodyText"/>
      </w:pPr>
      <w:r>
        <w:rPr>
          <w:bCs/>
          <w:b/>
        </w:rPr>
        <w:t xml:space="preserve">॥१०॥</w:t>
      </w:r>
    </w:p>
    <w:p>
      <w:pPr>
        <w:pStyle w:val="BodyText"/>
      </w:pPr>
      <w:r>
        <w:rPr>
          <w:bCs/>
          <w:b/>
        </w:rPr>
        <w:t xml:space="preserve">End of Sūkta 7.</w:t>
      </w:r>
    </w:p>
    <w:p>
      <w:r>
        <w:pict>
          <v:rect style="width:0;height:1.5pt" o:hralign="center" o:hrstd="t" o:hr="t"/>
        </w:pict>
      </w:r>
    </w:p>
    <w:bookmarkEnd w:id="334"/>
    <w:bookmarkStart w:id="335" w:name="Xd317f0b235f8161f2bff6b9c42e88ee25671bee"/>
    <w:p>
      <w:pPr>
        <w:pStyle w:val="Heading3"/>
      </w:pPr>
      <w:r>
        <w:t xml:space="preserve">Page 302 — opening of Sūkta 8 (third anuvāka)</w:t>
      </w:r>
    </w:p>
    <w:p>
      <w:pPr>
        <w:pStyle w:val="FirstParagraph"/>
      </w:pPr>
      <w:r>
        <w:rPr>
          <w:bCs/>
          <w:b/>
        </w:rPr>
        <w:t xml:space="preserve">॥ ಎಂಟನೆಯ ಸೂಕ್ತವು ॥ — Sūkta 8 —</w:t>
      </w:r>
      <w:r>
        <w:rPr>
          <w:bCs/>
          <w:b/>
        </w:rPr>
        <w:t xml:space="preserve"> </w:t>
      </w:r>
      <w:r>
        <w:rPr>
          <w:iCs/>
          <w:i/>
          <w:bCs/>
          <w:b/>
        </w:rPr>
        <w:t xml:space="preserve">“</w:t>
      </w:r>
      <w:r>
        <w:rPr>
          <w:iCs/>
          <w:i/>
          <w:bCs/>
          <w:b/>
        </w:rPr>
        <w:t xml:space="preserve">ā indra sānasiṃ rayim</w:t>
      </w:r>
      <w:r>
        <w:rPr>
          <w:iCs/>
          <w:i/>
          <w:bCs/>
          <w:b/>
        </w:rPr>
        <w:t xml:space="preserve">”</w:t>
      </w:r>
      <w:r>
        <w:rPr>
          <w:bCs/>
          <w:b/>
        </w:rPr>
        <w:t xml:space="preserve"> </w:t>
      </w:r>
      <w:r>
        <w:rPr>
          <w:bCs/>
          <w:b/>
        </w:rPr>
        <w:t xml:space="preserve">(</w:t>
      </w:r>
      <w:r>
        <w:rPr>
          <w:bCs/>
          <w:b/>
        </w:rPr>
        <w:t xml:space="preserve">“</w:t>
      </w:r>
      <w:r>
        <w:rPr>
          <w:bCs/>
          <w:b/>
        </w:rPr>
        <w:t xml:space="preserve">The Eighth Sūkta</w:t>
      </w:r>
      <w:r>
        <w:rPr>
          <w:bCs/>
          <w:b/>
        </w:rPr>
        <w:t xml:space="preserve">”</w:t>
      </w:r>
      <w:r>
        <w:rPr>
          <w:bCs/>
          <w:b/>
        </w:rPr>
        <w:t xml:space="preserve">)</w:t>
      </w:r>
    </w:p>
    <w:p>
      <w:pPr>
        <w:pStyle w:val="BodyText"/>
      </w:pPr>
      <w:r>
        <w:rPr>
          <w:bCs/>
          <w:b/>
        </w:rPr>
        <w:t xml:space="preserve">॥ Sāyaṇa-bhāṣyam ॥ (introductory note on the application of the sūkta)</w:t>
      </w:r>
    </w:p>
    <w:p>
      <w:pPr>
        <w:pStyle w:val="BlockText"/>
      </w:pPr>
      <w:r>
        <w:t xml:space="preserve">तृतीये ऽनुवाके चत्वारि सूक्तानि । तत्रेन्द्र सानसिमित्यादिकं प्रथमं दशर्चं सूक्तं सुरूपकृत्नुमित्यादिषु षट्सु पञ्चमम् । ऋष्यादयस्तु पूर्ववत् । विशेषविनियोगस्तु । महाव्रते निष्केवल्य औष्णिहतृचाशीतावेन्द्र सानसिं रयिमित्यादिके द्वे सूक्ते । पञ्चमारण्यक औष्णिहे तृचाशीतिरिति खण्डे शौनकेन सूत्रितम् । सुरूपकृत्नुमूतय इति त्रीण्येन्द्र सानसिं रयिमिति सूक्ते । ऐ. आ. ५-२-५ ॥ इति ॥ अतिरात्रे प्रथमपर्याये ऽच्छावाकशस्त्र इन्द्र सानसिमिति सूक्तम् । सूत्रितं च । इन्द्रमिद्गाथिनो बृहदेन्द्र सानसिम् । आ. ६-४ । इति ॥ दर्शयागे इन्द्रयाजिनः सान्नाय्यस्यानुवाक्यैन्द्र सानसिं रयिमिति । उक्ता देवता इत्यस्मिन्खण्ड एन्द्र सानसिं रयिं प्रसाहिषे पुरुहूत शत्रून् । आ. १-६ । इति सूत्रितम् ॥</w:t>
      </w:r>
    </w:p>
    <w:p>
      <w:pPr>
        <w:pStyle w:val="BlockText"/>
      </w:pPr>
      <w:r>
        <w:rPr>
          <w:iCs/>
          <w:i/>
        </w:rPr>
        <w:t xml:space="preserve">tṛtīye ’nuvāke catvāri sūktāni | tatrendra sānasim ity-ādikaṃ prathamaṃ daśarcaṃ sūktaṃ surūpakṛtnum ity-ādiṣu ṣaṭsu pañcamam | ṛṣy-ādayas tu pūrvavat | viśeṣa-viniyogas tu | mahāvrate niṣkevalya auṣṇiha-tṛcāśītāv endra sānasiṃ rayim ity-ādike dve sūkte | pañcamāraṇyaka auṣṇihe tṛcāśītir iti khaṇḍe śaunakena sūtritam | surūpakṛtnum ūtaya iti trīṇy endra sānasiṃ rayim iti sūkte | ai. ā. 5-2-5 || iti || atirātre prathama-paryāye ’cchāvāka-śastra indra sānasim iti sūktam | sūtritaṃ ca | indram id gāthino bṛhad endra sānasim | ā. 6-4 | iti || darśayāge indrayājinaḥ sānnāyyasyānuvākyaindra sānasiṃ rayim iti | uktā devatā ity asmin khaṇḍa endra sānasiṃ rayiṃ prasāhiṣe puruhūta śatrūn | ā. 1-6 | iti sūtritam ||</w:t>
      </w:r>
    </w:p>
    <w:p>
      <w:pPr>
        <w:pStyle w:val="FirstParagraph"/>
      </w:pPr>
      <w:r>
        <w:rPr>
          <w:bCs/>
          <w:b/>
        </w:rPr>
        <w:t xml:space="preserve">Translation:</w:t>
      </w:r>
      <w:r>
        <w:t xml:space="preserve"> </w:t>
      </w:r>
      <w:r>
        <w:t xml:space="preserve">“</w:t>
      </w:r>
      <w:r>
        <w:t xml:space="preserve">In the third anuvāka there are four sūktas. Of these, the first, the ten-rik sūkta beginning</w:t>
      </w:r>
      <w:r>
        <w:t xml:space="preserve"> </w:t>
      </w:r>
      <w:r>
        <w:rPr>
          <w:iCs/>
          <w:i/>
        </w:rPr>
        <w:t xml:space="preserve">indra sānasim</w:t>
      </w:r>
      <w:r>
        <w:t xml:space="preserve">, is the fifth among the six beginning with</w:t>
      </w:r>
      <w:r>
        <w:t xml:space="preserve"> </w:t>
      </w:r>
      <w:r>
        <w:rPr>
          <w:iCs/>
          <w:i/>
        </w:rPr>
        <w:t xml:space="preserve">surūpakṛtnum</w:t>
      </w:r>
      <w:r>
        <w:t xml:space="preserve">. Ṛṣi and the rest are as before. Its</w:t>
      </w:r>
      <w:r>
        <w:t xml:space="preserve"> </w:t>
      </w:r>
      <w:r>
        <w:rPr>
          <w:bCs/>
          <w:b/>
        </w:rPr>
        <w:t xml:space="preserve">special application:</w:t>
      </w:r>
      <w:r>
        <w:t xml:space="preserve"> </w:t>
      </w:r>
      <w:r>
        <w:t xml:space="preserve">in the</w:t>
      </w:r>
      <w:r>
        <w:t xml:space="preserve"> </w:t>
      </w:r>
      <w:r>
        <w:rPr>
          <w:bCs/>
          <w:b/>
        </w:rPr>
        <w:t xml:space="preserve">Mahāvrata</w:t>
      </w:r>
      <w:r>
        <w:t xml:space="preserve">, in the</w:t>
      </w:r>
      <w:r>
        <w:t xml:space="preserve"> </w:t>
      </w:r>
      <w:r>
        <w:rPr>
          <w:iCs/>
          <w:i/>
        </w:rPr>
        <w:t xml:space="preserve">niṣkevalya</w:t>
      </w:r>
      <w:r>
        <w:t xml:space="preserve"> </w:t>
      </w:r>
      <w:r>
        <w:t xml:space="preserve">[śastra], among the eighty uṣṇih triplets, the two sūktas beginning</w:t>
      </w:r>
      <w:r>
        <w:t xml:space="preserve"> </w:t>
      </w:r>
      <w:r>
        <w:rPr>
          <w:iCs/>
          <w:i/>
        </w:rPr>
        <w:t xml:space="preserve">ā indra sānasiṃ rayim</w:t>
      </w:r>
      <w:r>
        <w:t xml:space="preserve"> </w:t>
      </w:r>
      <w:r>
        <w:t xml:space="preserve">[are used]; in the Fifth Āraṇyaka, in the section</w:t>
      </w:r>
      <w:r>
        <w:t xml:space="preserve">”</w:t>
      </w:r>
      <w:r>
        <w:rPr>
          <w:iCs/>
          <w:i/>
        </w:rPr>
        <w:t xml:space="preserve">auṣṇihe tṛcāśītiḥ</w:t>
      </w:r>
      <w:r>
        <w:t xml:space="preserve">,” Śaunaka lays down:</w:t>
      </w:r>
      <w:r>
        <w:t xml:space="preserve"> </w:t>
      </w:r>
      <w:r>
        <w:t xml:space="preserve">‘</w:t>
      </w:r>
      <w:r>
        <w:t xml:space="preserve">the three beginning</w:t>
      </w:r>
      <w:r>
        <w:t xml:space="preserve"> </w:t>
      </w:r>
      <w:r>
        <w:rPr>
          <w:iCs/>
          <w:i/>
        </w:rPr>
        <w:t xml:space="preserve">surūpakṛtnum ūtaye</w:t>
      </w:r>
      <w:r>
        <w:t xml:space="preserve">, and the two sūktas</w:t>
      </w:r>
      <w:r>
        <w:t xml:space="preserve"> </w:t>
      </w:r>
      <w:r>
        <w:rPr>
          <w:iCs/>
          <w:i/>
        </w:rPr>
        <w:t xml:space="preserve">ā indra sānasiṃ rayim</w:t>
      </w:r>
      <w:r>
        <w:t xml:space="preserve">’</w:t>
      </w:r>
      <w:r>
        <w:t xml:space="preserve"> </w:t>
      </w:r>
      <w:r>
        <w:t xml:space="preserve">(Aitareya Āraṇyaka 5-2-5). In the</w:t>
      </w:r>
      <w:r>
        <w:t xml:space="preserve"> </w:t>
      </w:r>
      <w:r>
        <w:rPr>
          <w:bCs/>
          <w:b/>
        </w:rPr>
        <w:t xml:space="preserve">Atirātra</w:t>
      </w:r>
      <w:r>
        <w:t xml:space="preserve">, in the first paryāya, in the Acchāvāka’s śastra, the sūkta</w:t>
      </w:r>
      <w:r>
        <w:t xml:space="preserve"> </w:t>
      </w:r>
      <w:r>
        <w:rPr>
          <w:iCs/>
          <w:i/>
        </w:rPr>
        <w:t xml:space="preserve">ā indra sānasim</w:t>
      </w:r>
      <w:r>
        <w:t xml:space="preserve"> </w:t>
      </w:r>
      <w:r>
        <w:t xml:space="preserve">is used; so it is laid down:</w:t>
      </w:r>
      <w:r>
        <w:t xml:space="preserve"> </w:t>
      </w:r>
      <w:r>
        <w:t xml:space="preserve">‘</w:t>
      </w:r>
      <w:r>
        <w:rPr>
          <w:iCs/>
          <w:i/>
        </w:rPr>
        <w:t xml:space="preserve">indram id gāthino bṛhad, ā indra sānasim</w:t>
      </w:r>
      <w:r>
        <w:t xml:space="preserve">’</w:t>
      </w:r>
      <w:r>
        <w:t xml:space="preserve"> </w:t>
      </w:r>
      <w:r>
        <w:t xml:space="preserve">(Āśvalāyana 6-4). In the</w:t>
      </w:r>
      <w:r>
        <w:t xml:space="preserve"> </w:t>
      </w:r>
      <w:r>
        <w:rPr>
          <w:bCs/>
          <w:b/>
        </w:rPr>
        <w:t xml:space="preserve">Darśa sacrifice</w:t>
      </w:r>
      <w:r>
        <w:t xml:space="preserve"> </w:t>
      </w:r>
      <w:r>
        <w:t xml:space="preserve">the</w:t>
      </w:r>
      <w:r>
        <w:t xml:space="preserve"> </w:t>
      </w:r>
      <w:r>
        <w:rPr>
          <w:iCs/>
          <w:i/>
        </w:rPr>
        <w:t xml:space="preserve">anuvākyā</w:t>
      </w:r>
      <w:r>
        <w:t xml:space="preserve"> </w:t>
      </w:r>
      <w:r>
        <w:t xml:space="preserve">of the</w:t>
      </w:r>
      <w:r>
        <w:t xml:space="preserve"> </w:t>
      </w:r>
      <w:r>
        <w:rPr>
          <w:iCs/>
          <w:i/>
        </w:rPr>
        <w:t xml:space="preserve">sānnāyya</w:t>
      </w:r>
      <w:r>
        <w:t xml:space="preserve"> </w:t>
      </w:r>
      <w:r>
        <w:t xml:space="preserve">for one who sacrifices to Indra is</w:t>
      </w:r>
      <w:r>
        <w:t xml:space="preserve"> </w:t>
      </w:r>
      <w:r>
        <w:rPr>
          <w:iCs/>
          <w:i/>
        </w:rPr>
        <w:t xml:space="preserve">ā indra sānasiṃ rayim</w:t>
      </w:r>
      <w:r>
        <w:t xml:space="preserve">; in the section</w:t>
      </w:r>
      <w:r>
        <w:t xml:space="preserve"> </w:t>
      </w:r>
      <w:r>
        <w:t xml:space="preserve">‘</w:t>
      </w:r>
      <w:r>
        <w:rPr>
          <w:iCs/>
          <w:i/>
        </w:rPr>
        <w:t xml:space="preserve">uktā devatāḥ</w:t>
      </w:r>
      <w:r>
        <w:t xml:space="preserve">’</w:t>
      </w:r>
      <w:r>
        <w:t xml:space="preserve"> </w:t>
      </w:r>
      <w:r>
        <w:t xml:space="preserve">it is laid down:</w:t>
      </w:r>
      <w:r>
        <w:t xml:space="preserve"> </w:t>
      </w:r>
      <w:r>
        <w:t xml:space="preserve">‘</w:t>
      </w:r>
      <w:r>
        <w:rPr>
          <w:iCs/>
          <w:i/>
        </w:rPr>
        <w:t xml:space="preserve">ā indra sānasiṃ rayiṃ, prasāhiṣe puruhūta śatrūn</w:t>
      </w:r>
      <w:r>
        <w:t xml:space="preserve">’</w:t>
      </w:r>
      <w:r>
        <w:t xml:space="preserve"> </w:t>
      </w:r>
      <w:r>
        <w:t xml:space="preserve">(Āśvalāyana 1-6).”</w:t>
      </w:r>
    </w:p>
    <w:p>
      <w:pPr>
        <w:pStyle w:val="BodyText"/>
      </w:pPr>
      <w:r>
        <w:rPr>
          <w:bCs/>
          <w:b/>
        </w:rPr>
        <w:t xml:space="preserve">॥ Anuvāda (Kannada rendering) ॥</w:t>
      </w:r>
      <w:r>
        <w:t xml:space="preserve"> </w:t>
      </w:r>
      <w:r>
        <w:t xml:space="preserve">The sūkta</w:t>
      </w:r>
      <w:r>
        <w:t xml:space="preserve"> </w:t>
      </w:r>
      <w:r>
        <w:rPr>
          <w:iCs/>
          <w:i/>
        </w:rPr>
        <w:t xml:space="preserve">ā indra sānasim</w:t>
      </w:r>
      <w:r>
        <w:t xml:space="preserve"> </w:t>
      </w:r>
      <w:r>
        <w:t xml:space="preserve">begins the</w:t>
      </w:r>
      <w:r>
        <w:t xml:space="preserve"> </w:t>
      </w:r>
      <w:r>
        <w:rPr>
          <w:bCs/>
          <w:b/>
        </w:rPr>
        <w:t xml:space="preserve">third anuvāka</w:t>
      </w:r>
      <w:r>
        <w:t xml:space="preserve">. This anuvāka has four sūktas. The first of them,</w:t>
      </w:r>
      <w:r>
        <w:t xml:space="preserve"> </w:t>
      </w:r>
      <w:r>
        <w:rPr>
          <w:iCs/>
          <w:i/>
        </w:rPr>
        <w:t xml:space="preserve">ā indra sānasim</w:t>
      </w:r>
      <w:r>
        <w:t xml:space="preserve">, has ten riks; among the sūktas beginning</w:t>
      </w:r>
      <w:r>
        <w:t xml:space="preserve"> </w:t>
      </w:r>
      <w:r>
        <w:rPr>
          <w:iCs/>
          <w:i/>
        </w:rPr>
        <w:t xml:space="preserve">surūpakṛtnum</w:t>
      </w:r>
      <w:r>
        <w:t xml:space="preserve"> </w:t>
      </w:r>
      <w:r>
        <w:t xml:space="preserve">it is the fifth. Ṛṣi, deity and meter are as before. Special application: in the</w:t>
      </w:r>
      <w:r>
        <w:t xml:space="preserve"> </w:t>
      </w:r>
      <w:r>
        <w:rPr>
          <w:bCs/>
          <w:b/>
        </w:rPr>
        <w:t xml:space="preserve">Mahāvrata</w:t>
      </w:r>
      <w:r>
        <w:t xml:space="preserve">, when reciting the</w:t>
      </w:r>
      <w:r>
        <w:t xml:space="preserve"> </w:t>
      </w:r>
      <w:r>
        <w:rPr>
          <w:iCs/>
          <w:i/>
        </w:rPr>
        <w:t xml:space="preserve">niṣkevalya-śastra</w:t>
      </w:r>
      <w:r>
        <w:t xml:space="preserve"> </w:t>
      </w:r>
      <w:r>
        <w:t xml:space="preserve">mantras, the two sūktas beginning</w:t>
      </w:r>
      <w:r>
        <w:t xml:space="preserve"> </w:t>
      </w:r>
      <w:r>
        <w:rPr>
          <w:iCs/>
          <w:i/>
        </w:rPr>
        <w:t xml:space="preserve">ā indra sānasiṃ rayim</w:t>
      </w:r>
      <w:r>
        <w:t xml:space="preserve"> </w:t>
      </w:r>
      <w:r>
        <w:t xml:space="preserve">are recited among the</w:t>
      </w:r>
      <w:r>
        <w:t xml:space="preserve"> </w:t>
      </w:r>
      <w:r>
        <w:rPr>
          <w:bCs/>
          <w:b/>
        </w:rPr>
        <w:t xml:space="preserve">eighty uṣṇih triplets</w:t>
      </w:r>
      <w:r>
        <w:t xml:space="preserve">; Śaunaka states in his Sūktānukramaṇī that this is stated in the Aitareya Āraṇyaka (the fifth āraṇyaka; Aitareya Āraṇyaka 5) in the section</w:t>
      </w:r>
      <w:r>
        <w:t xml:space="preserve"> </w:t>
      </w:r>
      <w:r>
        <w:rPr>
          <w:iCs/>
          <w:i/>
        </w:rPr>
        <w:t xml:space="preserve">auṣṇihe tṛcāśītiḥ</w:t>
      </w:r>
      <w:r>
        <w:t xml:space="preserve">. The Aitareya Brāhmaṇa also says that the three sūktas beginning</w:t>
      </w:r>
      <w:r>
        <w:t xml:space="preserve"> </w:t>
      </w:r>
      <w:r>
        <w:rPr>
          <w:iCs/>
          <w:i/>
        </w:rPr>
        <w:t xml:space="preserve">surūpakṛtnum ūtaye</w:t>
      </w:r>
      <w:r>
        <w:t xml:space="preserve"> </w:t>
      </w:r>
      <w:r>
        <w:t xml:space="preserve">and the two beginning</w:t>
      </w:r>
      <w:r>
        <w:t xml:space="preserve"> </w:t>
      </w:r>
      <w:r>
        <w:rPr>
          <w:iCs/>
          <w:i/>
        </w:rPr>
        <w:t xml:space="preserve">ā indra sānasiṃ rayim</w:t>
      </w:r>
      <w:r>
        <w:t xml:space="preserve"> </w:t>
      </w:r>
      <w:r>
        <w:t xml:space="preserve">are included in the uṣṇih triplets (Ai. Ā. 5-2-5). Further, in the</w:t>
      </w:r>
      <w:r>
        <w:t xml:space="preserve"> </w:t>
      </w:r>
      <w:r>
        <w:rPr>
          <w:bCs/>
          <w:b/>
        </w:rPr>
        <w:t xml:space="preserve">Atirātra</w:t>
      </w:r>
      <w:r>
        <w:t xml:space="preserve"> </w:t>
      </w:r>
      <w:r>
        <w:t xml:space="preserve">rite, in the first paryāya, when the priest called</w:t>
      </w:r>
      <w:r>
        <w:t xml:space="preserve"> </w:t>
      </w:r>
      <w:r>
        <w:rPr>
          <w:bCs/>
          <w:b/>
        </w:rPr>
        <w:t xml:space="preserve">Acchāvāka</w:t>
      </w:r>
      <w:r>
        <w:t xml:space="preserve"> </w:t>
      </w:r>
      <w:r>
        <w:t xml:space="preserve">recites the śastra mantras, the sūkta</w:t>
      </w:r>
      <w:r>
        <w:t xml:space="preserve"> </w:t>
      </w:r>
      <w:r>
        <w:rPr>
          <w:iCs/>
          <w:i/>
        </w:rPr>
        <w:t xml:space="preserve">ā indra sānasim</w:t>
      </w:r>
      <w:r>
        <w:t xml:space="preserve"> </w:t>
      </w:r>
      <w:r>
        <w:t xml:space="preserve">is to be recited, as Āśvalāyana says in his Śrauta-sūtra (6-4) in the sūtra</w:t>
      </w:r>
      <w:r>
        <w:t xml:space="preserve"> </w:t>
      </w:r>
      <w:r>
        <w:rPr>
          <w:iCs/>
          <w:i/>
        </w:rPr>
        <w:t xml:space="preserve">indram id gāthino bṛhad, ā indra sānasim</w:t>
      </w:r>
      <w:r>
        <w:t xml:space="preserve">; and in the</w:t>
      </w:r>
      <w:r>
        <w:t xml:space="preserve"> </w:t>
      </w:r>
      <w:r>
        <w:rPr>
          <w:bCs/>
          <w:b/>
        </w:rPr>
        <w:t xml:space="preserve">Darśa-yāga</w:t>
      </w:r>
      <w:r>
        <w:t xml:space="preserve"> </w:t>
      </w:r>
      <w:r>
        <w:t xml:space="preserve">the sacrificer of Indra recites the sūkta</w:t>
      </w:r>
      <w:r>
        <w:t xml:space="preserve"> </w:t>
      </w:r>
      <w:r>
        <w:rPr>
          <w:iCs/>
          <w:i/>
        </w:rPr>
        <w:t xml:space="preserve">ā indra sānasiṃ rayim</w:t>
      </w:r>
      <w:r>
        <w:t xml:space="preserve"> </w:t>
      </w:r>
      <w:r>
        <w:t xml:space="preserve">for the</w:t>
      </w:r>
      <w:r>
        <w:t xml:space="preserve"> </w:t>
      </w:r>
      <w:r>
        <w:rPr>
          <w:iCs/>
          <w:i/>
        </w:rPr>
        <w:t xml:space="preserve">sāmnāyya-anuvākyā</w:t>
      </w:r>
      <w:r>
        <w:t xml:space="preserve">. Āśvalāyana says this in the section</w:t>
      </w:r>
      <w:r>
        <w:t xml:space="preserve"> </w:t>
      </w:r>
      <w:r>
        <w:rPr>
          <w:iCs/>
          <w:i/>
        </w:rPr>
        <w:t xml:space="preserve">uktā devatāḥ</w:t>
      </w:r>
      <w:r>
        <w:t xml:space="preserve"> </w:t>
      </w:r>
      <w:r>
        <w:t xml:space="preserve">(1-6), where the sūktas</w:t>
      </w:r>
      <w:r>
        <w:t xml:space="preserve"> </w:t>
      </w:r>
      <w:r>
        <w:rPr>
          <w:iCs/>
          <w:i/>
        </w:rPr>
        <w:t xml:space="preserve">ā indra sānasi rayiṃ</w:t>
      </w:r>
      <w:r>
        <w:t xml:space="preserve"> </w:t>
      </w:r>
      <w:r>
        <w:t xml:space="preserve">and</w:t>
      </w:r>
      <w:r>
        <w:t xml:space="preserve"> </w:t>
      </w:r>
      <w:r>
        <w:rPr>
          <w:iCs/>
          <w:i/>
        </w:rPr>
        <w:t xml:space="preserve">prasāhiṣe puruhūta śatrūn</w:t>
      </w:r>
      <w:r>
        <w:t xml:space="preserve"> </w:t>
      </w:r>
      <w:r>
        <w:t xml:space="preserve">are to be recited. This is the order of application of this sūkta.</w:t>
      </w:r>
    </w:p>
    <w:bookmarkEnd w:id="335"/>
    <w:bookmarkStart w:id="336" w:name="page-303-sūkta-8-rik-1"/>
    <w:p>
      <w:pPr>
        <w:pStyle w:val="Heading3"/>
      </w:pPr>
      <w:r>
        <w:t xml:space="preserve">Page 303 — Sūkta 8, Rik 1</w:t>
      </w:r>
    </w:p>
    <w:p>
      <w:pPr>
        <w:pStyle w:val="FirstParagraph"/>
      </w:pPr>
      <w:r>
        <w:rPr>
          <w:bCs/>
          <w:b/>
        </w:rPr>
        <w:t xml:space="preserve">॥ ॐ ॥</w:t>
      </w:r>
    </w:p>
    <w:p>
      <w:pPr>
        <w:pStyle w:val="BodyText"/>
      </w:pPr>
      <w:r>
        <w:rPr>
          <w:bCs/>
          <w:b/>
        </w:rPr>
        <w:t xml:space="preserve">॥ Sūkta — 8 ॥</w:t>
      </w:r>
      <w:r>
        <w:t xml:space="preserve"> </w:t>
      </w:r>
      <w:r>
        <w:rPr>
          <w:bCs/>
          <w:b/>
        </w:rPr>
        <w:t xml:space="preserve">॥ Maṇḍala — 1 ॥ Anuvāka — 3 ॥ Sūkta — 8 ॥</w:t>
      </w:r>
      <w:r>
        <w:t xml:space="preserve"> </w:t>
      </w:r>
      <w:r>
        <w:rPr>
          <w:bCs/>
          <w:b/>
        </w:rPr>
        <w:t xml:space="preserve">॥ Aṣṭaka — 1 ॥ Adhyāya — 1 ॥ Varga — 15, 16 ॥</w:t>
      </w:r>
      <w:r>
        <w:t xml:space="preserve"> </w:t>
      </w:r>
      <w:r>
        <w:rPr>
          <w:iCs/>
          <w:i/>
        </w:rPr>
        <w:t xml:space="preserve">(page header</w:t>
      </w:r>
      <w:r>
        <w:rPr>
          <w:iCs/>
          <w:i/>
        </w:rPr>
        <w:t xml:space="preserve"> </w:t>
      </w:r>
      <w:r>
        <w:rPr>
          <w:iCs/>
          <w:i/>
        </w:rPr>
        <w:t xml:space="preserve">“</w:t>
      </w:r>
      <w:r>
        <w:rPr>
          <w:iCs/>
          <w:i/>
        </w:rPr>
        <w:t xml:space="preserve">A. 1, A. 1, Va. 15</w:t>
      </w:r>
      <w:r>
        <w:rPr>
          <w:iCs/>
          <w:i/>
        </w:rPr>
        <w:t xml:space="preserve">”</w:t>
      </w:r>
      <w:r>
        <w:rPr>
          <w:iCs/>
          <w:i/>
        </w:rPr>
        <w:t xml:space="preserve">)</w:t>
      </w:r>
      <w:r>
        <w:t xml:space="preserve"> </w:t>
      </w:r>
      <w:r>
        <w:rPr>
          <w:bCs/>
          <w:b/>
        </w:rPr>
        <w:t xml:space="preserve">॥ Mantras contained in this sūkta: 1–10 ॥</w:t>
      </w:r>
      <w:r>
        <w:t xml:space="preserve"> </w:t>
      </w:r>
      <w:r>
        <w:rPr>
          <w:bCs/>
          <w:b/>
        </w:rPr>
        <w:t xml:space="preserve">॥ Ṛṣi — Madhucchandā Vaiśvāmitra ॥</w:t>
      </w:r>
      <w:r>
        <w:t xml:space="preserve"> </w:t>
      </w:r>
      <w:r>
        <w:rPr>
          <w:bCs/>
          <w:b/>
        </w:rPr>
        <w:t xml:space="preserve">॥ Devatā — Indra ॥</w:t>
      </w:r>
      <w:r>
        <w:t xml:space="preserve"> </w:t>
      </w:r>
      <w:r>
        <w:rPr>
          <w:bCs/>
          <w:b/>
        </w:rPr>
        <w:t xml:space="preserve">॥ Chandaḥ — Gāyatrī ॥</w:t>
      </w:r>
    </w:p>
    <w:p>
      <w:pPr>
        <w:pStyle w:val="BodyText"/>
      </w:pPr>
      <w:r>
        <w:rPr>
          <w:iCs/>
          <w:i/>
        </w:rPr>
        <w:t xml:space="preserve">(Saṃhitā accents as printed; Pada unaccented. In the second line the print sets a svarita stroke over</w:t>
      </w:r>
      <w:r>
        <w:rPr>
          <w:iCs/>
          <w:i/>
        </w:rPr>
        <w:t xml:space="preserve"> </w:t>
      </w:r>
      <w:r>
        <w:rPr>
          <w:iCs/>
          <w:i/>
        </w:rPr>
        <w:t xml:space="preserve">“</w:t>
      </w:r>
      <w:r>
        <w:rPr>
          <w:iCs/>
          <w:i/>
        </w:rPr>
        <w:t xml:space="preserve">va</w:t>
      </w:r>
      <w:r>
        <w:rPr>
          <w:iCs/>
          <w:i/>
        </w:rPr>
        <w:t xml:space="preserve">”</w:t>
      </w:r>
      <w:r>
        <w:rPr>
          <w:iCs/>
          <w:i/>
        </w:rPr>
        <w:t xml:space="preserve"> </w:t>
      </w:r>
      <w:r>
        <w:rPr>
          <w:iCs/>
          <w:i/>
        </w:rPr>
        <w:t xml:space="preserve">of</w:t>
      </w:r>
      <w:r>
        <w:rPr>
          <w:iCs/>
          <w:i/>
        </w:rPr>
        <w:t xml:space="preserve"> </w:t>
      </w:r>
      <w:r>
        <w:rPr>
          <w:iCs/>
          <w:i/>
        </w:rPr>
        <w:t xml:space="preserve">“</w:t>
      </w:r>
      <w:r>
        <w:rPr>
          <w:iCs/>
          <w:i/>
        </w:rPr>
        <w:t xml:space="preserve">varṣiṣṭham</w:t>
      </w:r>
      <w:r>
        <w:rPr>
          <w:iCs/>
          <w:i/>
        </w:rPr>
        <w:t xml:space="preserve">”</w:t>
      </w:r>
      <w:r>
        <w:rPr>
          <w:iCs/>
          <w:i/>
        </w:rPr>
        <w:t xml:space="preserve"> </w:t>
      </w:r>
      <w:r>
        <w:rPr>
          <w:iCs/>
          <w:i/>
        </w:rPr>
        <w:t xml:space="preserve">(not expected after</w:t>
      </w:r>
      <w:r>
        <w:rPr>
          <w:iCs/>
          <w:i/>
        </w:rPr>
        <w:t xml:space="preserve"> </w:t>
      </w:r>
      <w:r>
        <w:rPr>
          <w:iCs/>
          <w:i/>
        </w:rPr>
        <w:t xml:space="preserve">“</w:t>
      </w:r>
      <w:r>
        <w:rPr>
          <w:iCs/>
          <w:i/>
        </w:rPr>
        <w:t xml:space="preserve">saham</w:t>
      </w:r>
      <w:r>
        <w:rPr>
          <w:iCs/>
          <w:i/>
        </w:rPr>
        <w:t xml:space="preserve">”</w:t>
      </w:r>
      <w:r>
        <w:rPr>
          <w:iCs/>
          <w:i/>
        </w:rPr>
        <w:t xml:space="preserve">), hence [accent ?]; the IAST leaves</w:t>
      </w:r>
      <w:r>
        <w:rPr>
          <w:iCs/>
          <w:i/>
        </w:rPr>
        <w:t xml:space="preserve"> </w:t>
      </w:r>
      <w:r>
        <w:rPr>
          <w:iCs/>
          <w:i/>
        </w:rPr>
        <w:t xml:space="preserve">“</w:t>
      </w:r>
      <w:r>
        <w:rPr>
          <w:iCs/>
          <w:i/>
        </w:rPr>
        <w:t xml:space="preserve">varṣiṣṭham</w:t>
      </w:r>
      <w:r>
        <w:rPr>
          <w:iCs/>
          <w:i/>
        </w:rPr>
        <w:t xml:space="preserve">”</w:t>
      </w:r>
      <w:r>
        <w:rPr>
          <w:iCs/>
          <w:i/>
        </w:rPr>
        <w:t xml:space="preserve"> </w:t>
      </w:r>
      <w:r>
        <w:rPr>
          <w:iCs/>
          <w:i/>
        </w:rPr>
        <w:t xml:space="preserve">unmarked.)</w:t>
      </w:r>
    </w:p>
    <w:p>
      <w:pPr>
        <w:pStyle w:val="BodyText"/>
      </w:pPr>
      <w:r>
        <w:rPr>
          <w:bCs/>
          <w:b/>
        </w:rPr>
        <w:t xml:space="preserve">॥ Saṃhitā-pāṭhaḥ ॥</w:t>
      </w:r>
    </w:p>
    <w:p>
      <w:pPr>
        <w:pStyle w:val="BlockText"/>
      </w:pPr>
      <w:r>
        <w:t xml:space="preserve">एन्द्र॑ सान॒सिं र॒यिं स॒जित्वा॑नं सदा॒सहं॑ ।</w:t>
      </w:r>
      <w:r>
        <w:t xml:space="preserve"> </w:t>
      </w:r>
      <w:r>
        <w:t xml:space="preserve">व॑र्षिष्ठमू॒तये॑ भर ॥१॥ [accent ?]</w:t>
      </w:r>
    </w:p>
    <w:p>
      <w:pPr>
        <w:pStyle w:val="BlockText"/>
      </w:pPr>
      <w:r>
        <w:rPr>
          <w:iCs/>
          <w:i/>
        </w:rPr>
        <w:t xml:space="preserve">éndra sānasíṃ rayíṃ sajítvānaṃ sadāsáhaṃ |</w:t>
      </w:r>
      <w:r>
        <w:t xml:space="preserve"> </w:t>
      </w:r>
      <w:r>
        <w:rPr>
          <w:iCs/>
          <w:i/>
        </w:rPr>
        <w:t xml:space="preserve">varṣiṣṭham ūtáye bhara ||1||</w:t>
      </w:r>
      <w:r>
        <w:t xml:space="preserve"> </w:t>
      </w:r>
      <w:r>
        <w:t xml:space="preserve">[accent ?]</w:t>
      </w:r>
    </w:p>
    <w:p>
      <w:pPr>
        <w:pStyle w:val="FirstParagraph"/>
      </w:pPr>
      <w:r>
        <w:rPr>
          <w:bCs/>
          <w:b/>
        </w:rPr>
        <w:t xml:space="preserve">॥ Pada-pāṭhaḥ ॥</w:t>
      </w:r>
    </w:p>
    <w:p>
      <w:pPr>
        <w:pStyle w:val="BlockText"/>
      </w:pPr>
      <w:r>
        <w:t xml:space="preserve">आ । इन्द्र । सानसिम् । रयिम् । सऽजित्वानम् । सदाऽसहम् ॥</w:t>
      </w:r>
      <w:r>
        <w:t xml:space="preserve"> </w:t>
      </w:r>
      <w:r>
        <w:t xml:space="preserve">वर्षिष्ठम् । ऊतये । भर ॥१॥</w:t>
      </w:r>
    </w:p>
    <w:p>
      <w:pPr>
        <w:pStyle w:val="BlockText"/>
      </w:pPr>
      <w:r>
        <w:rPr>
          <w:iCs/>
          <w:i/>
        </w:rPr>
        <w:t xml:space="preserve">ā | indra | sānasim | rayim | sa-jitvānam | sadā-saham ||</w:t>
      </w:r>
      <w:r>
        <w:t xml:space="preserve"> </w:t>
      </w:r>
      <w:r>
        <w:rPr>
          <w:iCs/>
          <w:i/>
        </w:rPr>
        <w:t xml:space="preserve">varṣiṣṭham | ūtaye | bhara ||1||</w:t>
      </w:r>
    </w:p>
    <w:p>
      <w:pPr>
        <w:pStyle w:val="FirstParagraph"/>
      </w:pPr>
      <w:r>
        <w:rPr>
          <w:bCs/>
          <w:b/>
        </w:rPr>
        <w:t xml:space="preserve">॥ Sāyaṇa-bhāṣyam ॥</w:t>
      </w:r>
    </w:p>
    <w:p>
      <w:pPr>
        <w:pStyle w:val="BlockText"/>
      </w:pPr>
      <w:r>
        <w:t xml:space="preserve">हे इन्द्र ऊतये ऽस्मद्रक्षणार्थं रयिं धनमा भर । आहर । कीदृशं रयिम् । सानसिं संभजनीयं सजित्वानं समानशत्रुजयशीलम् । धनेन हि शूरान्भृत्यान्संपाद्य शत्रवो जीयन्ते । सदासहं सर्वदा शत्रूणामभिभवहेतुं वर्षिष्ठम् अतिशयेन वृद्धं प्रभूतमित्यर्थः ॥</w:t>
      </w:r>
    </w:p>
    <w:p>
      <w:pPr>
        <w:pStyle w:val="BlockText"/>
      </w:pPr>
      <w:r>
        <w:rPr>
          <w:iCs/>
          <w:i/>
        </w:rPr>
        <w:t xml:space="preserve">he indra ūtaye ’smad-rakṣaṇārthaṃ rayiṃ dhanam ā bhara | āhara | kīdṛśaṃ rayim | sānasiṃ saṃbhajanīyaṃ sajitvānaṃ samāna-śatru-jaya-śīlam | dhanena hi śūrān bhṛtyān saṃpādya śatravo jīyante | sadāsahaṃ sarvadā śatrūṇām abhibhava-hetuṃ varṣiṣṭham atiśayena vṛddhaṃ prabhūtam ity arthaḥ ||</w:t>
      </w:r>
    </w:p>
    <w:p>
      <w:pPr>
        <w:pStyle w:val="FirstParagraph"/>
      </w:pPr>
      <w:r>
        <w:rPr>
          <w:bCs/>
          <w:b/>
        </w:rPr>
        <w:t xml:space="preserve">Translation:</w:t>
      </w:r>
      <w:r>
        <w:t xml:space="preserve"> </w:t>
      </w:r>
      <w:r>
        <w:t xml:space="preserve">“</w:t>
      </w:r>
      <w:r>
        <w:t xml:space="preserve">O Indra! For our protection, bring (</w:t>
      </w:r>
      <w:r>
        <w:rPr>
          <w:iCs/>
          <w:i/>
        </w:rPr>
        <w:t xml:space="preserve">ā bhara</w:t>
      </w:r>
      <w:r>
        <w:t xml:space="preserve"> </w:t>
      </w:r>
      <w:r>
        <w:t xml:space="preserve">— fetch) wealth (</w:t>
      </w:r>
      <w:r>
        <w:rPr>
          <w:iCs/>
          <w:i/>
        </w:rPr>
        <w:t xml:space="preserve">rayim</w:t>
      </w:r>
      <w:r>
        <w:t xml:space="preserve">). What kind of wealth?</w:t>
      </w:r>
      <w:r>
        <w:t xml:space="preserve"> </w:t>
      </w:r>
      <w:r>
        <w:rPr>
          <w:iCs/>
          <w:i/>
        </w:rPr>
        <w:t xml:space="preserve">Sānasim</w:t>
      </w:r>
      <w:r>
        <w:t xml:space="preserve"> </w:t>
      </w:r>
      <w:r>
        <w:t xml:space="preserve">— worth enjoying;</w:t>
      </w:r>
      <w:r>
        <w:t xml:space="preserve"> </w:t>
      </w:r>
      <w:r>
        <w:rPr>
          <w:iCs/>
          <w:i/>
        </w:rPr>
        <w:t xml:space="preserve">sajitvānam</w:t>
      </w:r>
      <w:r>
        <w:t xml:space="preserve"> </w:t>
      </w:r>
      <w:r>
        <w:t xml:space="preserve">— of a nature to conquer enemies equally (</w:t>
      </w:r>
      <w:r>
        <w:rPr>
          <w:iCs/>
          <w:i/>
        </w:rPr>
        <w:t xml:space="preserve">samāna-śatru-jaya-śīla</w:t>
      </w:r>
      <w:r>
        <w:t xml:space="preserve">): for with wealth one gathers brave soldiers and servants, and so enemies are conquered;</w:t>
      </w:r>
      <w:r>
        <w:t xml:space="preserve"> </w:t>
      </w:r>
      <w:r>
        <w:rPr>
          <w:iCs/>
          <w:i/>
        </w:rPr>
        <w:t xml:space="preserve">sadāsaham</w:t>
      </w:r>
      <w:r>
        <w:t xml:space="preserve"> </w:t>
      </w:r>
      <w:r>
        <w:t xml:space="preserve">— at all times the cause of overpowering enemies;</w:t>
      </w:r>
      <w:r>
        <w:t xml:space="preserve"> </w:t>
      </w:r>
      <w:r>
        <w:rPr>
          <w:iCs/>
          <w:i/>
        </w:rPr>
        <w:t xml:space="preserve">varṣiṣṭham</w:t>
      </w:r>
      <w:r>
        <w:t xml:space="preserve"> </w:t>
      </w:r>
      <w:r>
        <w:t xml:space="preserve">— exceedingly grown, abundant.</w:t>
      </w:r>
      <w:r>
        <w:t xml:space="preserve">”</w:t>
      </w:r>
    </w:p>
    <w:p>
      <w:pPr>
        <w:pStyle w:val="BodyText"/>
      </w:pPr>
      <w:r>
        <w:rPr>
          <w:bCs/>
          <w:b/>
        </w:rPr>
        <w:t xml:space="preserve">Grammar of the Bhāṣya (pp. 303–304; characterized, references as printed):</w:t>
      </w:r>
      <w:r>
        <w:t xml:space="preserve"> </w:t>
      </w:r>
      <w:r>
        <w:t xml:space="preserve">“</w:t>
      </w:r>
      <w:r>
        <w:t xml:space="preserve">Sānasim</w:t>
      </w:r>
      <w:r>
        <w:t xml:space="preserve">”</w:t>
      </w:r>
      <w:r>
        <w:t xml:space="preserve"> </w:t>
      </w:r>
      <w:r>
        <w:t xml:space="preserve">—</w:t>
      </w:r>
      <w:r>
        <w:t xml:space="preserve"> </w:t>
      </w:r>
      <w:r>
        <w:t xml:space="preserve">“</w:t>
      </w:r>
      <w:r>
        <w:t xml:space="preserve">vana, ṣaṇa saṃbhaktau</w:t>
      </w:r>
      <w:r>
        <w:t xml:space="preserve">”</w:t>
      </w:r>
      <w:r>
        <w:t xml:space="preserve">: the affix</w:t>
      </w:r>
      <w:r>
        <w:t xml:space="preserve"> </w:t>
      </w:r>
      <w:r>
        <w:t xml:space="preserve">“</w:t>
      </w:r>
      <w:r>
        <w:t xml:space="preserve">asi,</w:t>
      </w:r>
      <w:r>
        <w:t xml:space="preserve">”</w:t>
      </w:r>
      <w:r>
        <w:t xml:space="preserve"> </w:t>
      </w:r>
      <w:r>
        <w:t xml:space="preserve">the vṛddhi and the end-acute by nipātana in</w:t>
      </w:r>
      <w:r>
        <w:t xml:space="preserve"> </w:t>
      </w:r>
      <w:r>
        <w:rPr>
          <w:bCs/>
          <w:b/>
        </w:rPr>
        <w:t xml:space="preserve">सानसिधर्णसि…</w:t>
      </w:r>
      <w:r>
        <w:t xml:space="preserve"> </w:t>
      </w:r>
      <w:r>
        <w:t xml:space="preserve">(उ. ४-१०७).</w:t>
      </w:r>
      <w:r>
        <w:t xml:space="preserve"> </w:t>
      </w:r>
      <w:r>
        <w:t xml:space="preserve">“</w:t>
      </w:r>
      <w:r>
        <w:t xml:space="preserve">Rayim</w:t>
      </w:r>
      <w:r>
        <w:t xml:space="preserve">”</w:t>
      </w:r>
      <w:r>
        <w:t xml:space="preserve"> </w:t>
      </w:r>
      <w:r>
        <w:t xml:space="preserve">— end-acute by the stem accent.</w:t>
      </w:r>
      <w:r>
        <w:t xml:space="preserve"> </w:t>
      </w:r>
      <w:r>
        <w:t xml:space="preserve">“</w:t>
      </w:r>
      <w:r>
        <w:t xml:space="preserve">Sajitvānam</w:t>
      </w:r>
      <w:r>
        <w:t xml:space="preserve">”</w:t>
      </w:r>
      <w:r>
        <w:t xml:space="preserve"> </w:t>
      </w:r>
      <w:r>
        <w:t xml:space="preserve">—</w:t>
      </w:r>
      <w:r>
        <w:t xml:space="preserve"> </w:t>
      </w:r>
      <w:r>
        <w:t xml:space="preserve">“</w:t>
      </w:r>
      <w:r>
        <w:t xml:space="preserve">samānān arīn jetuṃ śīlam asya</w:t>
      </w:r>
      <w:r>
        <w:t xml:space="preserve">”</w:t>
      </w:r>
      <w:r>
        <w:t xml:space="preserve">:</w:t>
      </w:r>
      <w:r>
        <w:t xml:space="preserve"> </w:t>
      </w:r>
      <w:r>
        <w:rPr>
          <w:bCs/>
          <w:b/>
        </w:rPr>
        <w:t xml:space="preserve">अन्येभ्योऽपि दृश्यन्ते</w:t>
      </w:r>
      <w:r>
        <w:t xml:space="preserve"> </w:t>
      </w:r>
      <w:r>
        <w:t xml:space="preserve">(पा. ३-२-७५)</w:t>
      </w:r>
      <w:r>
        <w:t xml:space="preserve"> </w:t>
      </w:r>
      <w:r>
        <w:t xml:space="preserve">“</w:t>
      </w:r>
      <w:r>
        <w:t xml:space="preserve">kvanip</w:t>
      </w:r>
      <w:r>
        <w:t xml:space="preserve">”</w:t>
      </w:r>
      <w:r>
        <w:t xml:space="preserve">; an upapada compound;</w:t>
      </w:r>
      <w:r>
        <w:t xml:space="preserve"> </w:t>
      </w:r>
      <w:r>
        <w:t xml:space="preserve">“</w:t>
      </w:r>
      <w:r>
        <w:t xml:space="preserve">sa</w:t>
      </w:r>
      <w:r>
        <w:t xml:space="preserve">”</w:t>
      </w:r>
      <w:r>
        <w:t xml:space="preserve"> </w:t>
      </w:r>
      <w:r>
        <w:t xml:space="preserve">for</w:t>
      </w:r>
      <w:r>
        <w:t xml:space="preserve"> </w:t>
      </w:r>
      <w:r>
        <w:t xml:space="preserve">“</w:t>
      </w:r>
      <w:r>
        <w:t xml:space="preserve">samāna</w:t>
      </w:r>
      <w:r>
        <w:t xml:space="preserve">”</w:t>
      </w:r>
      <w:r>
        <w:t xml:space="preserve"> </w:t>
      </w:r>
      <w:r>
        <w:t xml:space="preserve">by</w:t>
      </w:r>
      <w:r>
        <w:t xml:space="preserve"> </w:t>
      </w:r>
      <w:r>
        <w:rPr>
          <w:bCs/>
          <w:b/>
        </w:rPr>
        <w:t xml:space="preserve">समानस्य छन्दस्यमूर्धप्रभृत्युदर्केषु</w:t>
      </w:r>
      <w:r>
        <w:t xml:space="preserve"> </w:t>
      </w:r>
      <w:r>
        <w:t xml:space="preserve">(पा. ६-३-८४); the kṛt-final second member’s accent, so the root accent remains.</w:t>
      </w:r>
      <w:r>
        <w:t xml:space="preserve"> </w:t>
      </w:r>
      <w:r>
        <w:t xml:space="preserve">“</w:t>
      </w:r>
      <w:r>
        <w:t xml:space="preserve">Varṣiṣṭham</w:t>
      </w:r>
      <w:r>
        <w:t xml:space="preserve">”</w:t>
      </w:r>
      <w:r>
        <w:t xml:space="preserve"> </w:t>
      </w:r>
      <w:r>
        <w:t xml:space="preserve">—</w:t>
      </w:r>
      <w:r>
        <w:t xml:space="preserve"> </w:t>
      </w:r>
      <w:r>
        <w:t xml:space="preserve">“</w:t>
      </w:r>
      <w:r>
        <w:t xml:space="preserve">vṛddha</w:t>
      </w:r>
      <w:r>
        <w:t xml:space="preserve">”</w:t>
      </w:r>
      <w:r>
        <w:t xml:space="preserve"> </w:t>
      </w:r>
      <w:r>
        <w:t xml:space="preserve">+</w:t>
      </w:r>
      <w:r>
        <w:t xml:space="preserve"> </w:t>
      </w:r>
      <w:r>
        <w:t xml:space="preserve">“</w:t>
      </w:r>
      <w:r>
        <w:t xml:space="preserve">iṣṭhan</w:t>
      </w:r>
      <w:r>
        <w:t xml:space="preserve">”</w:t>
      </w:r>
      <w:r>
        <w:t xml:space="preserve"> </w:t>
      </w:r>
      <w:r>
        <w:t xml:space="preserve">by</w:t>
      </w:r>
      <w:r>
        <w:t xml:space="preserve"> </w:t>
      </w:r>
      <w:r>
        <w:rPr>
          <w:bCs/>
          <w:b/>
        </w:rPr>
        <w:t xml:space="preserve">अतिशायने तमबिष्ठनौ</w:t>
      </w:r>
      <w:r>
        <w:t xml:space="preserve"> </w:t>
      </w:r>
      <w:r>
        <w:t xml:space="preserve">(पा. ५-३-५५);</w:t>
      </w:r>
      <w:r>
        <w:t xml:space="preserve"> </w:t>
      </w:r>
      <w:r>
        <w:t xml:space="preserve">“</w:t>
      </w:r>
      <w:r>
        <w:t xml:space="preserve">varṣ</w:t>
      </w:r>
      <w:r>
        <w:t xml:space="preserve">”</w:t>
      </w:r>
      <w:r>
        <w:t xml:space="preserve"> </w:t>
      </w:r>
      <w:r>
        <w:t xml:space="preserve">for</w:t>
      </w:r>
      <w:r>
        <w:t xml:space="preserve"> </w:t>
      </w:r>
      <w:r>
        <w:t xml:space="preserve">“</w:t>
      </w:r>
      <w:r>
        <w:t xml:space="preserve">vṛddha</w:t>
      </w:r>
      <w:r>
        <w:t xml:space="preserve">”</w:t>
      </w:r>
      <w:r>
        <w:t xml:space="preserve"> </w:t>
      </w:r>
      <w:r>
        <w:t xml:space="preserve">by</w:t>
      </w:r>
      <w:r>
        <w:t xml:space="preserve"> </w:t>
      </w:r>
      <w:r>
        <w:rPr>
          <w:bCs/>
          <w:b/>
        </w:rPr>
        <w:t xml:space="preserve">प्रियस्थिर…</w:t>
      </w:r>
      <w:r>
        <w:t xml:space="preserve"> </w:t>
      </w:r>
      <w:r>
        <w:t xml:space="preserve">(पा. ६-४-१५७);</w:t>
      </w:r>
      <w:r>
        <w:t xml:space="preserve"> </w:t>
      </w:r>
      <w:r>
        <w:t xml:space="preserve">“</w:t>
      </w:r>
      <w:r>
        <w:t xml:space="preserve">n</w:t>
      </w:r>
      <w:r>
        <w:t xml:space="preserve">”</w:t>
      </w:r>
      <w:r>
        <w:t xml:space="preserve">-marked, first-syllable acute.</w:t>
      </w:r>
      <w:r>
        <w:t xml:space="preserve"> </w:t>
      </w:r>
      <w:r>
        <w:t xml:space="preserve">“</w:t>
      </w:r>
      <w:r>
        <w:t xml:space="preserve">Ūtaye</w:t>
      </w:r>
      <w:r>
        <w:t xml:space="preserve">”</w:t>
      </w:r>
      <w:r>
        <w:t xml:space="preserve"> </w:t>
      </w:r>
      <w:r>
        <w:t xml:space="preserve">— with</w:t>
      </w:r>
      <w:r>
        <w:t xml:space="preserve"> </w:t>
      </w:r>
      <w:r>
        <w:t xml:space="preserve">“</w:t>
      </w:r>
      <w:r>
        <w:t xml:space="preserve">udāttaḥ</w:t>
      </w:r>
      <w:r>
        <w:t xml:space="preserve">”</w:t>
      </w:r>
      <w:r>
        <w:t xml:space="preserve"> </w:t>
      </w:r>
      <w:r>
        <w:t xml:space="preserve">carried on,</w:t>
      </w:r>
      <w:r>
        <w:t xml:space="preserve"> </w:t>
      </w:r>
      <w:r>
        <w:t xml:space="preserve">“</w:t>
      </w:r>
      <w:r>
        <w:t xml:space="preserve">ūtiyūti…</w:t>
      </w:r>
      <w:r>
        <w:t xml:space="preserve">”</w:t>
      </w:r>
      <w:r>
        <w:t xml:space="preserve"> </w:t>
      </w:r>
      <w:r>
        <w:t xml:space="preserve">forms</w:t>
      </w:r>
      <w:r>
        <w:t xml:space="preserve"> </w:t>
      </w:r>
      <w:r>
        <w:t xml:space="preserve">“</w:t>
      </w:r>
      <w:r>
        <w:t xml:space="preserve">ktin</w:t>
      </w:r>
      <w:r>
        <w:t xml:space="preserve">”</w:t>
      </w:r>
      <w:r>
        <w:t xml:space="preserve"> </w:t>
      </w:r>
      <w:r>
        <w:t xml:space="preserve">as acute by nipātana.</w:t>
      </w:r>
      <w:r>
        <w:t xml:space="preserve"> </w:t>
      </w:r>
      <w:r>
        <w:t xml:space="preserve">“</w:t>
      </w:r>
      <w:r>
        <w:t xml:space="preserve">Bhara</w:t>
      </w:r>
      <w:r>
        <w:t xml:space="preserve">”</w:t>
      </w:r>
      <w:r>
        <w:t xml:space="preserve"> </w:t>
      </w:r>
      <w:r>
        <w:t xml:space="preserve">—</w:t>
      </w:r>
      <w:r>
        <w:t xml:space="preserve"> </w:t>
      </w:r>
      <w:r>
        <w:rPr>
          <w:bCs/>
          <w:b/>
        </w:rPr>
        <w:t xml:space="preserve">हृग्रहोर्भश्छन्दसि</w:t>
      </w:r>
      <w:r>
        <w:t xml:space="preserve"> </w:t>
      </w:r>
      <w:r>
        <w:t xml:space="preserve">(पा. ८-२-३२-१, a vārttika)</w:t>
      </w:r>
      <w:r>
        <w:t xml:space="preserve"> </w:t>
      </w:r>
      <w:r>
        <w:t xml:space="preserve">“</w:t>
      </w:r>
      <w:r>
        <w:t xml:space="preserve">bh</w:t>
      </w:r>
      <w:r>
        <w:t xml:space="preserve">”</w:t>
      </w:r>
      <w:r>
        <w:t xml:space="preserve"> </w:t>
      </w:r>
      <w:r>
        <w:t xml:space="preserve">for</w:t>
      </w:r>
      <w:r>
        <w:t xml:space="preserve"> </w:t>
      </w:r>
      <w:r>
        <w:t xml:space="preserve">“</w:t>
      </w:r>
      <w:r>
        <w:t xml:space="preserve">h</w:t>
      </w:r>
      <w:r>
        <w:t xml:space="preserve">”</w:t>
      </w:r>
      <w:r>
        <w:t xml:space="preserve">; by</w:t>
      </w:r>
      <w:r>
        <w:t xml:space="preserve"> </w:t>
      </w:r>
      <w:r>
        <w:rPr>
          <w:bCs/>
          <w:b/>
        </w:rPr>
        <w:t xml:space="preserve">ते प्राग्धातोः</w:t>
      </w:r>
      <w:r>
        <w:t xml:space="preserve"> </w:t>
      </w:r>
      <w:r>
        <w:t xml:space="preserve">(पा. १-४-८०) the upasarga should precede the root, but</w:t>
      </w:r>
      <w:r>
        <w:t xml:space="preserve"> </w:t>
      </w:r>
      <w:r>
        <w:rPr>
          <w:bCs/>
          <w:b/>
        </w:rPr>
        <w:t xml:space="preserve">व्यवहिताश्च</w:t>
      </w:r>
      <w:r>
        <w:t xml:space="preserve"> </w:t>
      </w:r>
      <w:r>
        <w:t xml:space="preserve">(पा. १-४-८२) allows separation in the Veda.</w:t>
      </w:r>
    </w:p>
    <w:bookmarkEnd w:id="336"/>
    <w:bookmarkStart w:id="337" w:name="page-304"/>
    <w:p>
      <w:pPr>
        <w:pStyle w:val="Heading3"/>
      </w:pPr>
      <w:r>
        <w:t xml:space="preserve">Page 304</w:t>
      </w:r>
    </w:p>
    <w:p>
      <w:pPr>
        <w:pStyle w:val="FirstParagraph"/>
      </w:pPr>
      <w:r>
        <w:rPr>
          <w:iCs/>
          <w:i/>
        </w:rPr>
        <w:t xml:space="preserve">(The top of the page ends the Bhāṣya’s grammar, characterized under p. 303.)</w:t>
      </w:r>
    </w:p>
    <w:p>
      <w:pPr>
        <w:pStyle w:val="BodyText"/>
      </w:pPr>
      <w:r>
        <w:rPr>
          <w:bCs/>
          <w:b/>
        </w:rPr>
        <w:t xml:space="preserve">॥ Prati-padārthaḥ ॥</w:t>
      </w:r>
    </w:p>
    <w:p>
      <w:pPr>
        <w:pStyle w:val="BodyText"/>
      </w:pPr>
      <w:r>
        <w:rPr>
          <w:bCs/>
          <w:b/>
        </w:rPr>
        <w:t xml:space="preserve">(हे) इन्द्र ((he) indra)</w:t>
      </w:r>
      <w:r>
        <w:t xml:space="preserve"> </w:t>
      </w:r>
      <w:r>
        <w:t xml:space="preserve">— O Indra |</w:t>
      </w:r>
      <w:r>
        <w:t xml:space="preserve"> </w:t>
      </w:r>
      <w:r>
        <w:rPr>
          <w:bCs/>
          <w:b/>
        </w:rPr>
        <w:t xml:space="preserve">ऊतये (ūtaye)</w:t>
      </w:r>
      <w:r>
        <w:t xml:space="preserve"> </w:t>
      </w:r>
      <w:r>
        <w:t xml:space="preserve">— for our protection |</w:t>
      </w:r>
      <w:r>
        <w:t xml:space="preserve"> </w:t>
      </w:r>
      <w:r>
        <w:rPr>
          <w:bCs/>
          <w:b/>
        </w:rPr>
        <w:t xml:space="preserve">सानसिम् (sānasim)</w:t>
      </w:r>
      <w:r>
        <w:t xml:space="preserve"> </w:t>
      </w:r>
      <w:r>
        <w:t xml:space="preserve">— fit to be enjoyed |</w:t>
      </w:r>
      <w:r>
        <w:t xml:space="preserve"> </w:t>
      </w:r>
      <w:r>
        <w:rPr>
          <w:bCs/>
          <w:b/>
        </w:rPr>
        <w:t xml:space="preserve">सजित्वानम् (sajitvānam)</w:t>
      </w:r>
      <w:r>
        <w:t xml:space="preserve"> </w:t>
      </w:r>
      <w:r>
        <w:t xml:space="preserve">— helping to conquer enemies |</w:t>
      </w:r>
      <w:r>
        <w:t xml:space="preserve"> </w:t>
      </w:r>
      <w:r>
        <w:rPr>
          <w:bCs/>
          <w:b/>
        </w:rPr>
        <w:t xml:space="preserve">सदासहम् (sadāsaham)</w:t>
      </w:r>
      <w:r>
        <w:t xml:space="preserve"> </w:t>
      </w:r>
      <w:r>
        <w:t xml:space="preserve">— the cause of the enemies’ defeat |</w:t>
      </w:r>
      <w:r>
        <w:t xml:space="preserve"> </w:t>
      </w:r>
      <w:r>
        <w:rPr>
          <w:bCs/>
          <w:b/>
        </w:rPr>
        <w:t xml:space="preserve">वर्षिष्ठम् (varṣiṣṭham)</w:t>
      </w:r>
      <w:r>
        <w:t xml:space="preserve"> </w:t>
      </w:r>
      <w:r>
        <w:t xml:space="preserve">— vast |</w:t>
      </w:r>
      <w:r>
        <w:t xml:space="preserve"> </w:t>
      </w:r>
      <w:r>
        <w:rPr>
          <w:bCs/>
          <w:b/>
        </w:rPr>
        <w:t xml:space="preserve">रयिम् (rayim)</w:t>
      </w:r>
      <w:r>
        <w:t xml:space="preserve"> </w:t>
      </w:r>
      <w:r>
        <w:t xml:space="preserve">— wealth |</w:t>
      </w:r>
      <w:r>
        <w:t xml:space="preserve"> </w:t>
      </w:r>
      <w:r>
        <w:rPr>
          <w:bCs/>
          <w:b/>
        </w:rPr>
        <w:t xml:space="preserve">आ भर (ā bhara)</w:t>
      </w:r>
      <w:r>
        <w:t xml:space="preserve"> </w:t>
      </w:r>
      <w:r>
        <w:t xml:space="preserve">— bring.</w:t>
      </w:r>
    </w:p>
    <w:p>
      <w:pPr>
        <w:pStyle w:val="BodyText"/>
      </w:pPr>
      <w:r>
        <w:rPr>
          <w:bCs/>
          <w:b/>
        </w:rPr>
        <w:t xml:space="preserve">॥ Bhāvārthaḥ ॥</w:t>
      </w:r>
    </w:p>
    <w:p>
      <w:pPr>
        <w:pStyle w:val="BodyText"/>
      </w:pPr>
      <w:r>
        <w:t xml:space="preserve">O Indra! For our protection, bring abundant wealth. With that wealth we can enjoy comfort; with the help of wealth we can gather brave warriors and conquer our enemies in battle; if we have wealth we can defeat enemies easily. For these purposes bring us abundant wealth, and protect us.</w:t>
      </w:r>
    </w:p>
    <w:p>
      <w:pPr>
        <w:pStyle w:val="BodyText"/>
      </w:pPr>
      <w:r>
        <w:rPr>
          <w:bCs/>
          <w:b/>
        </w:rPr>
        <w:t xml:space="preserve">॥ English Translation ॥</w:t>
      </w:r>
      <w:r>
        <w:t xml:space="preserve"> </w:t>
      </w:r>
      <w:r>
        <w:rPr>
          <w:iCs/>
          <w:i/>
        </w:rPr>
        <w:t xml:space="preserve">(as printed in the source)</w:t>
      </w:r>
    </w:p>
    <w:p>
      <w:pPr>
        <w:pStyle w:val="BlockText"/>
      </w:pPr>
      <w:r>
        <w:t xml:space="preserve">O Indra, bring for our protection riches, most abundent [sic], enjoyable, the source of victory and ever defeating our foes.</w:t>
      </w:r>
    </w:p>
    <w:p>
      <w:pPr>
        <w:pStyle w:val="FirstParagraph"/>
      </w:pPr>
      <w:r>
        <w:rPr>
          <w:bCs/>
          <w:b/>
        </w:rPr>
        <w:t xml:space="preserve">॥ Viśeṣa-viṣayagaḷu (Special Topics) ॥</w:t>
      </w:r>
    </w:p>
    <w:p>
      <w:pPr>
        <w:pStyle w:val="BodyText"/>
      </w:pPr>
      <w:r>
        <w:rPr>
          <w:bCs/>
          <w:b/>
        </w:rPr>
        <w:t xml:space="preserve">“</w:t>
      </w:r>
      <w:r>
        <w:rPr>
          <w:bCs/>
          <w:b/>
        </w:rPr>
        <w:t xml:space="preserve">Sānasim</w:t>
      </w:r>
      <w:r>
        <w:rPr>
          <w:bCs/>
          <w:b/>
        </w:rPr>
        <w:t xml:space="preserve">”</w:t>
      </w:r>
      <w:r>
        <w:t xml:space="preserve"> </w:t>
      </w:r>
      <w:r>
        <w:t xml:space="preserve">—</w:t>
      </w:r>
      <w:r>
        <w:t xml:space="preserve"> </w:t>
      </w:r>
      <w:r>
        <w:rPr>
          <w:iCs/>
          <w:i/>
        </w:rPr>
        <w:t xml:space="preserve">saṃbhajanīyam</w:t>
      </w:r>
      <w:r>
        <w:t xml:space="preserve"> </w:t>
      </w:r>
      <w:r>
        <w:t xml:space="preserve">— a means of enjoying happiness;</w:t>
      </w:r>
      <w:r>
        <w:t xml:space="preserve"> </w:t>
      </w:r>
      <w:r>
        <w:rPr>
          <w:iCs/>
          <w:i/>
        </w:rPr>
        <w:t xml:space="preserve">enjoyable.</w:t>
      </w:r>
    </w:p>
    <w:p>
      <w:pPr>
        <w:pStyle w:val="BodyText"/>
      </w:pPr>
      <w:r>
        <w:rPr>
          <w:bCs/>
          <w:b/>
        </w:rPr>
        <w:t xml:space="preserve">“</w:t>
      </w:r>
      <w:r>
        <w:rPr>
          <w:bCs/>
          <w:b/>
        </w:rPr>
        <w:t xml:space="preserve">Sajitvānam</w:t>
      </w:r>
      <w:r>
        <w:rPr>
          <w:bCs/>
          <w:b/>
        </w:rPr>
        <w:t xml:space="preserve">”</w:t>
      </w:r>
      <w:r>
        <w:t xml:space="preserve"> </w:t>
      </w:r>
      <w:r>
        <w:t xml:space="preserve">—</w:t>
      </w:r>
      <w:r>
        <w:t xml:space="preserve"> </w:t>
      </w:r>
      <w:r>
        <w:rPr>
          <w:bCs/>
          <w:b/>
        </w:rPr>
        <w:t xml:space="preserve">धनेन हि शूरान् भृत्यान् संपाद्य शत्रवो जीयन्ते</w:t>
      </w:r>
      <w:r>
        <w:t xml:space="preserve"> </w:t>
      </w:r>
      <w:r>
        <w:t xml:space="preserve">(</w:t>
      </w:r>
      <w:r>
        <w:rPr>
          <w:iCs/>
          <w:i/>
        </w:rPr>
        <w:t xml:space="preserve">dhanena hi śūrān bhṛtyān saṃpādya śatravo jīyante</w:t>
      </w:r>
      <w:r>
        <w:t xml:space="preserve">) —</w:t>
      </w:r>
      <w:r>
        <w:t xml:space="preserve"> </w:t>
      </w:r>
      <w:r>
        <w:t xml:space="preserve">“</w:t>
      </w:r>
      <w:r>
        <w:t xml:space="preserve">by wealth, having secured brave men as servants, enemies are conquered.</w:t>
      </w:r>
      <w:r>
        <w:t xml:space="preserve">”</w:t>
      </w:r>
      <w:r>
        <w:t xml:space="preserve"> </w:t>
      </w:r>
      <w:r>
        <w:t xml:space="preserve">That is, with the help of wealth one gathers heroic warriors and wins over enemies; so the Bhāṣyakāra explains.</w:t>
      </w:r>
    </w:p>
    <w:bookmarkEnd w:id="337"/>
    <w:bookmarkStart w:id="338" w:name="page-305"/>
    <w:p>
      <w:pPr>
        <w:pStyle w:val="Heading3"/>
      </w:pPr>
      <w:r>
        <w:t xml:space="preserve">Page 305</w:t>
      </w:r>
    </w:p>
    <w:p>
      <w:pPr>
        <w:pStyle w:val="FirstParagraph"/>
      </w:pPr>
      <w:r>
        <w:rPr>
          <w:bCs/>
          <w:b/>
        </w:rPr>
        <w:t xml:space="preserve">“</w:t>
      </w:r>
      <w:r>
        <w:rPr>
          <w:bCs/>
          <w:b/>
        </w:rPr>
        <w:t xml:space="preserve">Rayim</w:t>
      </w:r>
      <w:r>
        <w:rPr>
          <w:bCs/>
          <w:b/>
        </w:rPr>
        <w:t xml:space="preserve">”</w:t>
      </w:r>
      <w:r>
        <w:t xml:space="preserve"> </w:t>
      </w:r>
      <w:r>
        <w:t xml:space="preserve">— wealth (</w:t>
      </w:r>
      <w:r>
        <w:rPr>
          <w:iCs/>
          <w:i/>
        </w:rPr>
        <w:t xml:space="preserve">dhana</w:t>
      </w:r>
      <w:r>
        <w:t xml:space="preserve">).</w:t>
      </w:r>
      <w:r>
        <w:t xml:space="preserve"> </w:t>
      </w:r>
      <w:r>
        <w:t xml:space="preserve">“</w:t>
      </w:r>
      <w:r>
        <w:t xml:space="preserve">Wealth</w:t>
      </w:r>
      <w:r>
        <w:t xml:space="preserve">”</w:t>
      </w:r>
      <w:r>
        <w:t xml:space="preserve"> </w:t>
      </w:r>
      <w:r>
        <w:t xml:space="preserve">does not mean only material goods; it includes the things needed for achieving happiness — sons and grandsons, servants and the like, cattle such as cows, houses, and so on.</w:t>
      </w:r>
    </w:p>
    <w:p>
      <w:pPr>
        <w:pStyle w:val="BodyText"/>
      </w:pPr>
      <w:r>
        <w:rPr>
          <w:bCs/>
          <w:b/>
        </w:rPr>
        <w:t xml:space="preserve">॥ Vyākaraṇa-prakriyā ॥</w:t>
      </w:r>
      <w:r>
        <w:t xml:space="preserve"> </w:t>
      </w:r>
      <w:r>
        <w:rPr>
          <w:iCs/>
          <w:i/>
        </w:rPr>
        <w:t xml:space="preserve">(Kannada; page header</w:t>
      </w:r>
      <w:r>
        <w:rPr>
          <w:iCs/>
          <w:i/>
        </w:rPr>
        <w:t xml:space="preserve"> </w:t>
      </w:r>
      <w:r>
        <w:rPr>
          <w:iCs/>
          <w:i/>
        </w:rPr>
        <w:t xml:space="preserve">“</w:t>
      </w:r>
      <w:r>
        <w:rPr>
          <w:iCs/>
          <w:i/>
        </w:rPr>
        <w:t xml:space="preserve">A. 1, A. 1, Va. 15</w:t>
      </w:r>
      <w:r>
        <w:rPr>
          <w:iCs/>
          <w:i/>
        </w:rPr>
        <w:t xml:space="preserve">”</w:t>
      </w:r>
      <w:r>
        <w:rPr>
          <w:iCs/>
          <w:i/>
        </w:rPr>
        <w:t xml:space="preserve">; characterized, numbers as printed)</w:t>
      </w:r>
    </w:p>
    <w:p>
      <w:pPr>
        <w:pStyle w:val="BodyText"/>
      </w:pPr>
      <w:r>
        <w:rPr>
          <w:bCs/>
          <w:b/>
        </w:rPr>
        <w:t xml:space="preserve">सानसिम् (</w:t>
      </w:r>
      <w:r>
        <w:rPr>
          <w:iCs/>
          <w:i/>
          <w:bCs/>
          <w:b/>
        </w:rPr>
        <w:t xml:space="preserve">sānasim</w:t>
      </w:r>
      <w:r>
        <w:rPr>
          <w:bCs/>
          <w:b/>
        </w:rPr>
        <w:t xml:space="preserve">)</w:t>
      </w:r>
      <w:r>
        <w:t xml:space="preserve"> </w:t>
      </w:r>
      <w:r>
        <w:t xml:space="preserve">—</w:t>
      </w:r>
      <w:r>
        <w:t xml:space="preserve"> </w:t>
      </w:r>
      <w:r>
        <w:t xml:space="preserve">“</w:t>
      </w:r>
      <w:r>
        <w:t xml:space="preserve">vana, ṣaṇa saṃbhaktau,</w:t>
      </w:r>
      <w:r>
        <w:t xml:space="preserve">”</w:t>
      </w:r>
      <w:r>
        <w:t xml:space="preserve"> </w:t>
      </w:r>
      <w:r>
        <w:t xml:space="preserve">the root</w:t>
      </w:r>
      <w:r>
        <w:t xml:space="preserve"> </w:t>
      </w:r>
      <w:r>
        <w:t xml:space="preserve">“</w:t>
      </w:r>
      <w:r>
        <w:t xml:space="preserve">san</w:t>
      </w:r>
      <w:r>
        <w:t xml:space="preserve">”</w:t>
      </w:r>
      <w:r>
        <w:t xml:space="preserve">:</w:t>
      </w:r>
      <w:r>
        <w:t xml:space="preserve"> </w:t>
      </w:r>
      <w:r>
        <w:rPr>
          <w:bCs/>
          <w:b/>
        </w:rPr>
        <w:t xml:space="preserve">सानसिधर्णसिपर्णसितण्डुलाङ्कुशचषालइल्वलपल्वलधिष्ण्यशल्याः</w:t>
      </w:r>
      <w:r>
        <w:t xml:space="preserve"> </w:t>
      </w:r>
      <w:r>
        <w:t xml:space="preserve">(उ. सू. ४-५४७ [?], as printed; the Bhāṣya gave</w:t>
      </w:r>
      <w:r>
        <w:t xml:space="preserve"> </w:t>
      </w:r>
      <w:r>
        <w:t xml:space="preserve">“</w:t>
      </w:r>
      <w:r>
        <w:t xml:space="preserve">४-१०७</w:t>
      </w:r>
      <w:r>
        <w:t xml:space="preserve">”</w:t>
      </w:r>
      <w:r>
        <w:t xml:space="preserve">) forms by nipātana the affix</w:t>
      </w:r>
      <w:r>
        <w:t xml:space="preserve"> </w:t>
      </w:r>
      <w:r>
        <w:t xml:space="preserve">“</w:t>
      </w:r>
      <w:r>
        <w:t xml:space="preserve">asi,</w:t>
      </w:r>
      <w:r>
        <w:t xml:space="preserve">”</w:t>
      </w:r>
      <w:r>
        <w:t xml:space="preserve"> </w:t>
      </w:r>
      <w:r>
        <w:t xml:space="preserve">the vṛddhi of the penultimate, and the end-acute.</w:t>
      </w:r>
      <w:r>
        <w:t xml:space="preserve"> </w:t>
      </w:r>
      <w:r>
        <w:t xml:space="preserve">“</w:t>
      </w:r>
      <w:r>
        <w:t xml:space="preserve">Dharṇasi</w:t>
      </w:r>
      <w:r>
        <w:t xml:space="preserve">”</w:t>
      </w:r>
      <w:r>
        <w:t xml:space="preserve"> </w:t>
      </w:r>
      <w:r>
        <w:t xml:space="preserve">is not seen in the present Kaumudī text, but following the Daśapādī reading the Veda-bhāṣya has it.</w:t>
      </w:r>
      <w:r>
        <w:t xml:space="preserve"> </w:t>
      </w:r>
      <w:r>
        <w:rPr>
          <w:bCs/>
          <w:b/>
        </w:rPr>
        <w:t xml:space="preserve">रयिम्</w:t>
      </w:r>
      <w:r>
        <w:t xml:space="preserve"> </w:t>
      </w:r>
      <w:r>
        <w:t xml:space="preserve">— end-acute by the stem accent.</w:t>
      </w:r>
      <w:r>
        <w:t xml:space="preserve"> </w:t>
      </w:r>
      <w:r>
        <w:rPr>
          <w:bCs/>
          <w:b/>
        </w:rPr>
        <w:t xml:space="preserve">सजित्वानम्</w:t>
      </w:r>
      <w:r>
        <w:t xml:space="preserve"> </w:t>
      </w:r>
      <w:r>
        <w:t xml:space="preserve">—</w:t>
      </w:r>
      <w:r>
        <w:t xml:space="preserve"> </w:t>
      </w:r>
      <w:r>
        <w:t xml:space="preserve">“</w:t>
      </w:r>
      <w:r>
        <w:t xml:space="preserve">samānān arīn jetuṃ śīlam asya</w:t>
      </w:r>
      <w:r>
        <w:t xml:space="preserve">”</w:t>
      </w:r>
      <w:r>
        <w:t xml:space="preserve">:</w:t>
      </w:r>
      <w:r>
        <w:t xml:space="preserve"> </w:t>
      </w:r>
      <w:r>
        <w:rPr>
          <w:bCs/>
          <w:b/>
        </w:rPr>
        <w:t xml:space="preserve">अन्येभ्योऽपि दृश्यन्ते</w:t>
      </w:r>
      <w:r>
        <w:t xml:space="preserve"> </w:t>
      </w:r>
      <w:r>
        <w:t xml:space="preserve">(printed</w:t>
      </w:r>
      <w:r>
        <w:t xml:space="preserve"> </w:t>
      </w:r>
      <w:r>
        <w:t xml:space="preserve">“</w:t>
      </w:r>
      <w:r>
        <w:t xml:space="preserve">पा. सू. ३-४-७५,</w:t>
      </w:r>
      <w:r>
        <w:t xml:space="preserve">”</w:t>
      </w:r>
      <w:r>
        <w:t xml:space="preserve"> </w:t>
      </w:r>
      <w:r>
        <w:t xml:space="preserve">i.e. 3-2-75)</w:t>
      </w:r>
      <w:r>
        <w:t xml:space="preserve"> </w:t>
      </w:r>
      <w:r>
        <w:t xml:space="preserve">“</w:t>
      </w:r>
      <w:r>
        <w:t xml:space="preserve">kvanip</w:t>
      </w:r>
      <w:r>
        <w:t xml:space="preserve">”</w:t>
      </w:r>
      <w:r>
        <w:t xml:space="preserve"> </w:t>
      </w:r>
      <w:r>
        <w:t xml:space="preserve">after</w:t>
      </w:r>
      <w:r>
        <w:t xml:space="preserve"> </w:t>
      </w:r>
      <w:r>
        <w:t xml:space="preserve">“</w:t>
      </w:r>
      <w:r>
        <w:t xml:space="preserve">ji</w:t>
      </w:r>
      <w:r>
        <w:t xml:space="preserve">”</w:t>
      </w:r>
      <w:r>
        <w:t xml:space="preserve"> </w:t>
      </w:r>
      <w:r>
        <w:t xml:space="preserve">with the upapada</w:t>
      </w:r>
      <w:r>
        <w:t xml:space="preserve"> </w:t>
      </w:r>
      <w:r>
        <w:t xml:space="preserve">“</w:t>
      </w:r>
      <w:r>
        <w:t xml:space="preserve">samāna</w:t>
      </w:r>
      <w:r>
        <w:t xml:space="preserve">”</w:t>
      </w:r>
      <w:r>
        <w:t xml:space="preserve">;</w:t>
      </w:r>
      <w:r>
        <w:t xml:space="preserve"> </w:t>
      </w:r>
      <w:r>
        <w:rPr>
          <w:bCs/>
          <w:b/>
        </w:rPr>
        <w:t xml:space="preserve">ह्रस्वस्य पिति कृति तुक्</w:t>
      </w:r>
      <w:r>
        <w:t xml:space="preserve"> </w:t>
      </w:r>
      <w:r>
        <w:t xml:space="preserve">(पा. सू. ६-१-७१)</w:t>
      </w:r>
      <w:r>
        <w:t xml:space="preserve"> </w:t>
      </w:r>
      <w:r>
        <w:t xml:space="preserve">“</w:t>
      </w:r>
      <w:r>
        <w:t xml:space="preserve">tuk</w:t>
      </w:r>
      <w:r>
        <w:t xml:space="preserve">”</w:t>
      </w:r>
      <w:r>
        <w:t xml:space="preserve">; the upapada compound;</w:t>
      </w:r>
      <w:r>
        <w:t xml:space="preserve"> </w:t>
      </w:r>
      <w:r>
        <w:t xml:space="preserve">“</w:t>
      </w:r>
      <w:r>
        <w:t xml:space="preserve">sa</w:t>
      </w:r>
      <w:r>
        <w:t xml:space="preserve">”</w:t>
      </w:r>
      <w:r>
        <w:t xml:space="preserve"> </w:t>
      </w:r>
      <w:r>
        <w:t xml:space="preserve">for</w:t>
      </w:r>
      <w:r>
        <w:t xml:space="preserve"> </w:t>
      </w:r>
      <w:r>
        <w:t xml:space="preserve">“</w:t>
      </w:r>
      <w:r>
        <w:t xml:space="preserve">samāna</w:t>
      </w:r>
      <w:r>
        <w:t xml:space="preserve">”</w:t>
      </w:r>
      <w:r>
        <w:t xml:space="preserve"> </w:t>
      </w:r>
      <w:r>
        <w:t xml:space="preserve">by</w:t>
      </w:r>
      <w:r>
        <w:t xml:space="preserve"> </w:t>
      </w:r>
      <w:r>
        <w:rPr>
          <w:bCs/>
          <w:b/>
        </w:rPr>
        <w:t xml:space="preserve">समानस्य छन्दस्यमूर्धप्रभृत्युदर्केषु</w:t>
      </w:r>
      <w:r>
        <w:t xml:space="preserve"> </w:t>
      </w:r>
      <w:r>
        <w:t xml:space="preserve">(पा. सू. ६-३-८४); the kṛt-final second member keeps its accent by</w:t>
      </w:r>
      <w:r>
        <w:t xml:space="preserve"> </w:t>
      </w:r>
      <w:r>
        <w:rPr>
          <w:bCs/>
          <w:b/>
        </w:rPr>
        <w:t xml:space="preserve">गतिकारकोपपदात्कृत्</w:t>
      </w:r>
      <w:r>
        <w:t xml:space="preserve"> </w:t>
      </w:r>
      <w:r>
        <w:t xml:space="preserve">(पा. सू. ६-२-१३९), so the root accent remains.</w:t>
      </w:r>
      <w:r>
        <w:t xml:space="preserve"> </w:t>
      </w:r>
      <w:r>
        <w:rPr>
          <w:bCs/>
          <w:b/>
        </w:rPr>
        <w:t xml:space="preserve">वर्षिष्ठम्</w:t>
      </w:r>
      <w:r>
        <w:t xml:space="preserve"> </w:t>
      </w:r>
      <w:r>
        <w:t xml:space="preserve">—</w:t>
      </w:r>
      <w:r>
        <w:t xml:space="preserve"> </w:t>
      </w:r>
      <w:r>
        <w:rPr>
          <w:bCs/>
          <w:b/>
        </w:rPr>
        <w:t xml:space="preserve">अतिशायने तमबिष्ठनौ</w:t>
      </w:r>
      <w:r>
        <w:t xml:space="preserve"> </w:t>
      </w:r>
      <w:r>
        <w:t xml:space="preserve">(पा. सू. ५-३-५५)</w:t>
      </w:r>
      <w:r>
        <w:t xml:space="preserve"> </w:t>
      </w:r>
      <w:r>
        <w:t xml:space="preserve">“</w:t>
      </w:r>
      <w:r>
        <w:t xml:space="preserve">iṣṭhan</w:t>
      </w:r>
      <w:r>
        <w:t xml:space="preserve">”</w:t>
      </w:r>
      <w:r>
        <w:t xml:space="preserve"> </w:t>
      </w:r>
      <w:r>
        <w:t xml:space="preserve">after</w:t>
      </w:r>
      <w:r>
        <w:t xml:space="preserve"> </w:t>
      </w:r>
      <w:r>
        <w:t xml:space="preserve">“</w:t>
      </w:r>
      <w:r>
        <w:t xml:space="preserve">vṛddha</w:t>
      </w:r>
      <w:r>
        <w:t xml:space="preserve">”</w:t>
      </w:r>
      <w:r>
        <w:t xml:space="preserve">;</w:t>
      </w:r>
      <w:r>
        <w:t xml:space="preserve"> </w:t>
      </w:r>
      <w:r>
        <w:rPr>
          <w:bCs/>
          <w:b/>
        </w:rPr>
        <w:t xml:space="preserve">प्रियस्थिरस्फिरोरुबहुलगुरुवृद्धतृप्रदीर्घवृन्दारकाणां प्रस्थस्फवर्बंहिगर्वर्षित्रप्द्राघिवृन्दाः</w:t>
      </w:r>
      <w:r>
        <w:t xml:space="preserve"> </w:t>
      </w:r>
      <w:r>
        <w:t xml:space="preserve">(पा. सू. ६-४-१५७)</w:t>
      </w:r>
      <w:r>
        <w:t xml:space="preserve"> </w:t>
      </w:r>
      <w:r>
        <w:t xml:space="preserve">“</w:t>
      </w:r>
      <w:r>
        <w:t xml:space="preserve">varṣ</w:t>
      </w:r>
      <w:r>
        <w:t xml:space="preserve">”</w:t>
      </w:r>
      <w:r>
        <w:t xml:space="preserve"> </w:t>
      </w:r>
      <w:r>
        <w:t xml:space="preserve">for</w:t>
      </w:r>
      <w:r>
        <w:t xml:space="preserve"> </w:t>
      </w:r>
      <w:r>
        <w:t xml:space="preserve">“</w:t>
      </w:r>
      <w:r>
        <w:t xml:space="preserve">vṛddha</w:t>
      </w:r>
      <w:r>
        <w:t xml:space="preserve">”</w:t>
      </w:r>
      <w:r>
        <w:t xml:space="preserve">;</w:t>
      </w:r>
      <w:r>
        <w:t xml:space="preserve"> </w:t>
      </w:r>
      <w:r>
        <w:t xml:space="preserve">“</w:t>
      </w:r>
      <w:r>
        <w:t xml:space="preserve">n</w:t>
      </w:r>
      <w:r>
        <w:t xml:space="preserve">”</w:t>
      </w:r>
      <w:r>
        <w:t xml:space="preserve">-marked, first-syllable acute.</w:t>
      </w:r>
      <w:r>
        <w:t xml:space="preserve"> </w:t>
      </w:r>
      <w:r>
        <w:rPr>
          <w:bCs/>
          <w:b/>
        </w:rPr>
        <w:t xml:space="preserve">ऊतये</w:t>
      </w:r>
      <w:r>
        <w:t xml:space="preserve"> </w:t>
      </w:r>
      <w:r>
        <w:t xml:space="preserve">—</w:t>
      </w:r>
      <w:r>
        <w:t xml:space="preserve"> </w:t>
      </w:r>
      <w:r>
        <w:t xml:space="preserve">“</w:t>
      </w:r>
      <w:r>
        <w:t xml:space="preserve">ūtiyūti…</w:t>
      </w:r>
      <w:r>
        <w:t xml:space="preserve">”</w:t>
      </w:r>
      <w:r>
        <w:t xml:space="preserve"> </w:t>
      </w:r>
      <w:r>
        <w:t xml:space="preserve">(पा. सू. ३-३-९७) forms</w:t>
      </w:r>
      <w:r>
        <w:t xml:space="preserve"> </w:t>
      </w:r>
      <w:r>
        <w:t xml:space="preserve">“</w:t>
      </w:r>
      <w:r>
        <w:t xml:space="preserve">ktin</w:t>
      </w:r>
      <w:r>
        <w:t xml:space="preserve">”</w:t>
      </w:r>
      <w:r>
        <w:t xml:space="preserve"> </w:t>
      </w:r>
      <w:r>
        <w:t xml:space="preserve">as acute by nipātana.</w:t>
      </w:r>
      <w:r>
        <w:t xml:space="preserve"> </w:t>
      </w:r>
      <w:r>
        <w:rPr>
          <w:bCs/>
          <w:b/>
        </w:rPr>
        <w:t xml:space="preserve">भर</w:t>
      </w:r>
      <w:r>
        <w:t xml:space="preserve"> </w:t>
      </w:r>
      <w:r>
        <w:t xml:space="preserve">—</w:t>
      </w:r>
      <w:r>
        <w:t xml:space="preserve"> </w:t>
      </w:r>
      <w:r>
        <w:t xml:space="preserve">“</w:t>
      </w:r>
      <w:r>
        <w:t xml:space="preserve">hṛñ haraṇe,</w:t>
      </w:r>
      <w:r>
        <w:t xml:space="preserve">”</w:t>
      </w:r>
      <w:r>
        <w:t xml:space="preserve"> </w:t>
      </w:r>
      <w:r>
        <w:t xml:space="preserve">“</w:t>
      </w:r>
      <w:r>
        <w:t xml:space="preserve">loṭ,</w:t>
      </w:r>
      <w:r>
        <w:t xml:space="preserve">”</w:t>
      </w:r>
      <w:r>
        <w:t xml:space="preserve"> </w:t>
      </w:r>
      <w:r>
        <w:t xml:space="preserve">second singular:</w:t>
      </w:r>
      <w:r>
        <w:t xml:space="preserve"> </w:t>
      </w:r>
      <w:r>
        <w:t xml:space="preserve">“</w:t>
      </w:r>
      <w:r>
        <w:t xml:space="preserve">hara</w:t>
      </w:r>
      <w:r>
        <w:t xml:space="preserve">”</w:t>
      </w:r>
      <w:r>
        <w:t xml:space="preserve">;</w:t>
      </w:r>
      <w:r>
        <w:t xml:space="preserve"> </w:t>
      </w:r>
      <w:r>
        <w:rPr>
          <w:bCs/>
          <w:b/>
        </w:rPr>
        <w:t xml:space="preserve">हृग्रहोर्भश्छन्दसि</w:t>
      </w:r>
      <w:r>
        <w:t xml:space="preserve"> </w:t>
      </w:r>
      <w:r>
        <w:t xml:space="preserve">(पा. सू. ८-२-३२ वा. २)</w:t>
      </w:r>
      <w:r>
        <w:t xml:space="preserve"> </w:t>
      </w:r>
      <w:r>
        <w:t xml:space="preserve">“</w:t>
      </w:r>
      <w:r>
        <w:t xml:space="preserve">bh</w:t>
      </w:r>
      <w:r>
        <w:t xml:space="preserve">”</w:t>
      </w:r>
      <w:r>
        <w:t xml:space="preserve"> </w:t>
      </w:r>
      <w:r>
        <w:t xml:space="preserve">for</w:t>
      </w:r>
      <w:r>
        <w:t xml:space="preserve"> </w:t>
      </w:r>
      <w:r>
        <w:t xml:space="preserve">“</w:t>
      </w:r>
      <w:r>
        <w:t xml:space="preserve">h</w:t>
      </w:r>
      <w:r>
        <w:t xml:space="preserve">”</w:t>
      </w:r>
      <w:r>
        <w:t xml:space="preserve">:</w:t>
      </w:r>
      <w:r>
        <w:t xml:space="preserve"> </w:t>
      </w:r>
      <w:r>
        <w:t xml:space="preserve">“</w:t>
      </w:r>
      <w:r>
        <w:t xml:space="preserve">bhara</w:t>
      </w:r>
      <w:r>
        <w:t xml:space="preserve">”</w:t>
      </w:r>
      <w:r>
        <w:t xml:space="preserve">;</w:t>
      </w:r>
      <w:r>
        <w:t xml:space="preserve"> </w:t>
      </w:r>
      <w:r>
        <w:rPr>
          <w:bCs/>
          <w:b/>
        </w:rPr>
        <w:t xml:space="preserve">ते प्राग्धातोः</w:t>
      </w:r>
      <w:r>
        <w:t xml:space="preserve"> </w:t>
      </w:r>
      <w:r>
        <w:t xml:space="preserve">(पा. सू. १-४-८०) would require the upasarga directly before the root, but</w:t>
      </w:r>
      <w:r>
        <w:t xml:space="preserve"> </w:t>
      </w:r>
      <w:r>
        <w:rPr>
          <w:bCs/>
          <w:b/>
        </w:rPr>
        <w:t xml:space="preserve">व्यवहिताश्च</w:t>
      </w:r>
      <w:r>
        <w:t xml:space="preserve"> </w:t>
      </w:r>
      <w:r>
        <w:t xml:space="preserve">(पा. सू. १-४-८२) allows</w:t>
      </w:r>
      <w:r>
        <w:t xml:space="preserve"> </w:t>
      </w:r>
      <w:r>
        <w:t xml:space="preserve">“</w:t>
      </w:r>
      <w:r>
        <w:t xml:space="preserve">ā</w:t>
      </w:r>
      <w:r>
        <w:t xml:space="preserve">”</w:t>
      </w:r>
      <w:r>
        <w:t xml:space="preserve"> </w:t>
      </w:r>
      <w:r>
        <w:t xml:space="preserve">to stand apart in the Veda.</w:t>
      </w:r>
    </w:p>
    <w:p>
      <w:pPr>
        <w:pStyle w:val="BodyText"/>
      </w:pPr>
      <w:r>
        <w:rPr>
          <w:bCs/>
          <w:b/>
        </w:rPr>
        <w:t xml:space="preserve">॥१॥</w:t>
      </w:r>
    </w:p>
    <w:p>
      <w:r>
        <w:pict>
          <v:rect style="width:0;height:1.5pt" o:hralign="center" o:hrstd="t" o:hr="t"/>
        </w:pict>
      </w:r>
    </w:p>
    <w:bookmarkEnd w:id="338"/>
    <w:bookmarkStart w:id="339" w:name="page-306-sūkta-8-rik-2"/>
    <w:p>
      <w:pPr>
        <w:pStyle w:val="Heading3"/>
      </w:pPr>
      <w:r>
        <w:t xml:space="preserve">Page 306 — Sūkta 8, Rik 2</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नि येन॑ मुष्टिह॒त्यया॒ नि वृ॒त्रा रु॒णधा॑महै ।</w:t>
      </w:r>
      <w:r>
        <w:t xml:space="preserve"> </w:t>
      </w:r>
      <w:r>
        <w:t xml:space="preserve">त्वोता॑सो॒ न्यर्व॑ता ॥२॥</w:t>
      </w:r>
    </w:p>
    <w:p>
      <w:pPr>
        <w:pStyle w:val="BlockText"/>
      </w:pPr>
      <w:r>
        <w:rPr>
          <w:iCs/>
          <w:i/>
        </w:rPr>
        <w:t xml:space="preserve">ní yéna muṣṭihatyáyā ní vṛtrā́ ruṇádhāmahai |</w:t>
      </w:r>
      <w:r>
        <w:t xml:space="preserve"> </w:t>
      </w:r>
      <w:r>
        <w:rPr>
          <w:iCs/>
          <w:i/>
        </w:rPr>
        <w:t xml:space="preserve">tvótāso ny árvatā ||2||</w:t>
      </w:r>
    </w:p>
    <w:p>
      <w:pPr>
        <w:pStyle w:val="FirstParagraph"/>
      </w:pPr>
      <w:r>
        <w:rPr>
          <w:bCs/>
          <w:b/>
        </w:rPr>
        <w:t xml:space="preserve">॥ Pada-pāṭhaḥ ॥</w:t>
      </w:r>
    </w:p>
    <w:p>
      <w:pPr>
        <w:pStyle w:val="BlockText"/>
      </w:pPr>
      <w:r>
        <w:t xml:space="preserve">नि । येन । मुष्टिऽहत्यया । नि । वृत्रा । रुणधामहै ॥</w:t>
      </w:r>
      <w:r>
        <w:t xml:space="preserve"> </w:t>
      </w:r>
      <w:r>
        <w:t xml:space="preserve">त्वाऽऊतासः । नि । अर्वता ॥२॥</w:t>
      </w:r>
    </w:p>
    <w:p>
      <w:pPr>
        <w:pStyle w:val="BlockText"/>
      </w:pPr>
      <w:r>
        <w:rPr>
          <w:iCs/>
          <w:i/>
        </w:rPr>
        <w:t xml:space="preserve">ni | yena | muṣṭi-hatyayā | ni | vṛtrā | ruṇadhāmahai ||</w:t>
      </w:r>
      <w:r>
        <w:t xml:space="preserve"> </w:t>
      </w:r>
      <w:r>
        <w:rPr>
          <w:iCs/>
          <w:i/>
        </w:rPr>
        <w:t xml:space="preserve">tvā-ūtāsaḥ | ni | arvatā ||2||</w:t>
      </w:r>
    </w:p>
    <w:p>
      <w:pPr>
        <w:pStyle w:val="FirstParagraph"/>
      </w:pPr>
      <w:r>
        <w:rPr>
          <w:bCs/>
          <w:b/>
        </w:rPr>
        <w:t xml:space="preserve">॥ Sāyaṇa-bhāṣyam ॥</w:t>
      </w:r>
    </w:p>
    <w:p>
      <w:pPr>
        <w:pStyle w:val="BlockText"/>
      </w:pPr>
      <w:r>
        <w:t xml:space="preserve">येन धनेन संपादितानां भटानां नि मुष्टिहत्यया नितरां मुष्टिप्रहारेण वृत्रा शत्रून् नि रुणधामहै निरुद्धान् करवाम तादृशं धनमाहरेत्यर्थः । त्वोतासस्त्वया रक्षिता वयमर्वताश्वेन नि रुणधामहा इत्यनुषङ्गः । पदातियुद्धेनाश्वयुद्धेन च शत्रून्विनाशयामेत्यर्थः ॥</w:t>
      </w:r>
    </w:p>
    <w:p>
      <w:pPr>
        <w:pStyle w:val="BlockText"/>
      </w:pPr>
      <w:r>
        <w:rPr>
          <w:iCs/>
          <w:i/>
        </w:rPr>
        <w:t xml:space="preserve">yena dhanena saṃpāditānāṃ bhaṭānāṃ ni muṣṭihatyayā nitarāṃ muṣṭi-prahāreṇa vṛtrā śatrūn ni ruṇadhāmahai niruddhān karavāma tādṛśaṃ dhanam āhara ity arthaḥ | tvotāsas tvayā rakṣitā vayam arvatāśvena ni ruṇadhāmahā ity anuṣaṅgaḥ | padāti-yuddhenāśva-yuddhena ca śatrūn vināśayāmety arthaḥ ||</w:t>
      </w:r>
    </w:p>
    <w:p>
      <w:pPr>
        <w:pStyle w:val="FirstParagraph"/>
      </w:pPr>
      <w:r>
        <w:rPr>
          <w:bCs/>
          <w:b/>
        </w:rPr>
        <w:t xml:space="preserve">Translation:</w:t>
      </w:r>
      <w:r>
        <w:t xml:space="preserve"> </w:t>
      </w:r>
      <w:r>
        <w:t xml:space="preserve">“</w:t>
      </w:r>
      <w:r>
        <w:t xml:space="preserve">With which wealth — by [the strength of] soldiers secured with it — by</w:t>
      </w:r>
      <w:r>
        <w:t xml:space="preserve"> </w:t>
      </w:r>
      <w:r>
        <w:rPr>
          <w:iCs/>
          <w:i/>
        </w:rPr>
        <w:t xml:space="preserve">muṣṭihatyā</w:t>
      </w:r>
      <w:r>
        <w:t xml:space="preserve">, i.e., by thorough fist-blows, we may</w:t>
      </w:r>
      <w:r>
        <w:t xml:space="preserve"> </w:t>
      </w:r>
      <w:r>
        <w:rPr>
          <w:iCs/>
          <w:i/>
        </w:rPr>
        <w:t xml:space="preserve">restrain</w:t>
      </w:r>
      <w:r>
        <w:t xml:space="preserve"> </w:t>
      </w:r>
      <w:r>
        <w:t xml:space="preserve">(</w:t>
      </w:r>
      <w:r>
        <w:rPr>
          <w:iCs/>
          <w:i/>
        </w:rPr>
        <w:t xml:space="preserve">ni ruṇadhāmahai</w:t>
      </w:r>
      <w:r>
        <w:t xml:space="preserve">) the</w:t>
      </w:r>
      <w:r>
        <w:t xml:space="preserve"> </w:t>
      </w:r>
      <w:r>
        <w:rPr>
          <w:iCs/>
          <w:i/>
        </w:rPr>
        <w:t xml:space="preserve">vṛtras</w:t>
      </w:r>
      <w:r>
        <w:t xml:space="preserve">, the enemies, we may make them obstructed: bring such wealth — this is the sense.</w:t>
      </w:r>
      <w:r>
        <w:t xml:space="preserve"> </w:t>
      </w:r>
      <w:r>
        <w:rPr>
          <w:iCs/>
          <w:i/>
        </w:rPr>
        <w:t xml:space="preserve">Tvotāsaḥ</w:t>
      </w:r>
      <w:r>
        <w:t xml:space="preserve"> </w:t>
      </w:r>
      <w:r>
        <w:t xml:space="preserve">— we, protected by you —</w:t>
      </w:r>
      <w:r>
        <w:t xml:space="preserve"> </w:t>
      </w:r>
      <w:r>
        <w:rPr>
          <w:iCs/>
          <w:i/>
        </w:rPr>
        <w:t xml:space="preserve">arvatā</w:t>
      </w:r>
      <w:r>
        <w:t xml:space="preserve">, with a horse, may restrain [them]: so the sentence is completed by carrying over [the verb]. The sense: let us destroy enemies by infantry fighting and by cavalry fighting.</w:t>
      </w:r>
      <w:r>
        <w:t xml:space="preserve">”</w:t>
      </w:r>
    </w:p>
    <w:p>
      <w:pPr>
        <w:pStyle w:val="BodyText"/>
      </w:pPr>
      <w:r>
        <w:rPr>
          <w:bCs/>
          <w:b/>
        </w:rPr>
        <w:t xml:space="preserve">Grammar of the Bhāṣya (pp. 306–307; characterized, references as printed):</w:t>
      </w:r>
      <w:r>
        <w:t xml:space="preserve"> </w:t>
      </w:r>
      <w:r>
        <w:t xml:space="preserve">“</w:t>
      </w:r>
      <w:r>
        <w:t xml:space="preserve">Muṣṭihatyayā</w:t>
      </w:r>
      <w:r>
        <w:t xml:space="preserve">”</w:t>
      </w:r>
      <w:r>
        <w:t xml:space="preserve"> </w:t>
      </w:r>
      <w:r>
        <w:t xml:space="preserve">—</w:t>
      </w:r>
      <w:r>
        <w:t xml:space="preserve"> </w:t>
      </w:r>
      <w:r>
        <w:rPr>
          <w:bCs/>
          <w:b/>
        </w:rPr>
        <w:t xml:space="preserve">हनस्त च</w:t>
      </w:r>
      <w:r>
        <w:t xml:space="preserve"> </w:t>
      </w:r>
      <w:r>
        <w:t xml:space="preserve">(पा. ३-१-१०८)</w:t>
      </w:r>
      <w:r>
        <w:t xml:space="preserve"> </w:t>
      </w:r>
      <w:r>
        <w:t xml:space="preserve">“</w:t>
      </w:r>
      <w:r>
        <w:t xml:space="preserve">kyap</w:t>
      </w:r>
      <w:r>
        <w:t xml:space="preserve">”</w:t>
      </w:r>
      <w:r>
        <w:t xml:space="preserve"> </w:t>
      </w:r>
      <w:r>
        <w:t xml:space="preserve">after</w:t>
      </w:r>
      <w:r>
        <w:t xml:space="preserve"> </w:t>
      </w:r>
      <w:r>
        <w:t xml:space="preserve">“</w:t>
      </w:r>
      <w:r>
        <w:t xml:space="preserve">han</w:t>
      </w:r>
      <w:r>
        <w:t xml:space="preserve">”</w:t>
      </w:r>
      <w:r>
        <w:t xml:space="preserve"> </w:t>
      </w:r>
      <w:r>
        <w:t xml:space="preserve">with a subanta upapada,</w:t>
      </w:r>
      <w:r>
        <w:t xml:space="preserve"> </w:t>
      </w:r>
      <w:r>
        <w:t xml:space="preserve">“</w:t>
      </w:r>
      <w:r>
        <w:t xml:space="preserve">t</w:t>
      </w:r>
      <w:r>
        <w:t xml:space="preserve">”</w:t>
      </w:r>
      <w:r>
        <w:t xml:space="preserve"> </w:t>
      </w:r>
      <w:r>
        <w:t xml:space="preserve">for</w:t>
      </w:r>
      <w:r>
        <w:t xml:space="preserve"> </w:t>
      </w:r>
      <w:r>
        <w:t xml:space="preserve">“</w:t>
      </w:r>
      <w:r>
        <w:t xml:space="preserve">n</w:t>
      </w:r>
      <w:r>
        <w:t xml:space="preserve">”</w:t>
      </w:r>
      <w:r>
        <w:t xml:space="preserve">; the kṛt-final second member’s accent would hold, but by</w:t>
      </w:r>
      <w:r>
        <w:t xml:space="preserve"> </w:t>
      </w:r>
      <w:r>
        <w:rPr>
          <w:bCs/>
          <w:b/>
        </w:rPr>
        <w:t xml:space="preserve">परादिश्छन्दसि बहुलम्</w:t>
      </w:r>
      <w:r>
        <w:t xml:space="preserve"> </w:t>
      </w:r>
      <w:r>
        <w:t xml:space="preserve">(पा. ६-२-१९९) — with</w:t>
      </w:r>
      <w:r>
        <w:t xml:space="preserve"> </w:t>
      </w:r>
      <w:r>
        <w:t xml:space="preserve">“</w:t>
      </w:r>
      <w:r>
        <w:t xml:space="preserve">bahula,</w:t>
      </w:r>
      <w:r>
        <w:t xml:space="preserve">”</w:t>
      </w:r>
      <w:r>
        <w:t xml:space="preserve"> </w:t>
      </w:r>
      <w:r>
        <w:t xml:space="preserve">as in</w:t>
      </w:r>
      <w:r>
        <w:t xml:space="preserve"> </w:t>
      </w:r>
      <w:r>
        <w:t xml:space="preserve">“</w:t>
      </w:r>
      <w:r>
        <w:t xml:space="preserve">tricakra</w:t>
      </w:r>
      <w:r>
        <w:t xml:space="preserve">”</w:t>
      </w:r>
      <w:r>
        <w:t xml:space="preserve"> </w:t>
      </w:r>
      <w:r>
        <w:t xml:space="preserve">etc., the Veda has end-acute (पा. ६-२-१९९-१) — it is end-acute.</w:t>
      </w:r>
      <w:r>
        <w:t xml:space="preserve"> </w:t>
      </w:r>
      <w:r>
        <w:t xml:space="preserve">“</w:t>
      </w:r>
      <w:r>
        <w:t xml:space="preserve">Ni</w:t>
      </w:r>
      <w:r>
        <w:t xml:space="preserve">”</w:t>
      </w:r>
      <w:r>
        <w:t xml:space="preserve"> </w:t>
      </w:r>
      <w:r>
        <w:t xml:space="preserve">— though connected with the verb, the upasarga stands apart by</w:t>
      </w:r>
      <w:r>
        <w:t xml:space="preserve"> </w:t>
      </w:r>
      <w:r>
        <w:t xml:space="preserve">“</w:t>
      </w:r>
      <w:r>
        <w:t xml:space="preserve">vyavahitāś ca.</w:t>
      </w:r>
      <w:r>
        <w:t xml:space="preserve">”</w:t>
      </w:r>
      <w:r>
        <w:t xml:space="preserve"> </w:t>
      </w:r>
      <w:r>
        <w:t xml:space="preserve">“</w:t>
      </w:r>
      <w:r>
        <w:t xml:space="preserve">Vṛtrā</w:t>
      </w:r>
      <w:r>
        <w:t xml:space="preserve">”</w:t>
      </w:r>
      <w:r>
        <w:t xml:space="preserve"> </w:t>
      </w:r>
      <w:r>
        <w:t xml:space="preserve">—</w:t>
      </w:r>
      <w:r>
        <w:t xml:space="preserve"> </w:t>
      </w:r>
      <w:r>
        <w:rPr>
          <w:bCs/>
          <w:b/>
        </w:rPr>
        <w:t xml:space="preserve">शेश्छन्दसि बहुलम्</w:t>
      </w:r>
      <w:r>
        <w:t xml:space="preserve"> </w:t>
      </w:r>
      <w:r>
        <w:t xml:space="preserve">(पा. ६-१-७०) loss of</w:t>
      </w:r>
      <w:r>
        <w:t xml:space="preserve"> </w:t>
      </w:r>
      <w:r>
        <w:t xml:space="preserve">“</w:t>
      </w:r>
      <w:r>
        <w:t xml:space="preserve">śi</w:t>
      </w:r>
      <w:r>
        <w:t xml:space="preserve">”</w:t>
      </w:r>
      <w:r>
        <w:t xml:space="preserve">; loss of</w:t>
      </w:r>
      <w:r>
        <w:t xml:space="preserve"> </w:t>
      </w:r>
      <w:r>
        <w:t xml:space="preserve">“</w:t>
      </w:r>
      <w:r>
        <w:t xml:space="preserve">n.</w:t>
      </w:r>
      <w:r>
        <w:t xml:space="preserve">”</w:t>
      </w:r>
      <w:r>
        <w:t xml:space="preserve"> </w:t>
      </w:r>
      <w:r>
        <w:t xml:space="preserve">“</w:t>
      </w:r>
      <w:r>
        <w:t xml:space="preserve">Ruṇadhāmahai</w:t>
      </w:r>
      <w:r>
        <w:t xml:space="preserve">”</w:t>
      </w:r>
      <w:r>
        <w:t xml:space="preserve"> </w:t>
      </w:r>
      <w:r>
        <w:t xml:space="preserve">—</w:t>
      </w:r>
      <w:r>
        <w:t xml:space="preserve"> </w:t>
      </w:r>
      <w:r>
        <w:t xml:space="preserve">“</w:t>
      </w:r>
      <w:r>
        <w:t xml:space="preserve">āṭ</w:t>
      </w:r>
      <w:r>
        <w:t xml:space="preserve">”</w:t>
      </w:r>
      <w:r>
        <w:t xml:space="preserve"> </w:t>
      </w:r>
      <w:r>
        <w:t xml:space="preserve">with</w:t>
      </w:r>
      <w:r>
        <w:t xml:space="preserve"> </w:t>
      </w:r>
      <w:r>
        <w:t xml:space="preserve">“</w:t>
      </w:r>
      <w:r>
        <w:t xml:space="preserve">loṭ,</w:t>
      </w:r>
      <w:r>
        <w:t xml:space="preserve">”</w:t>
      </w:r>
      <w:r>
        <w:t xml:space="preserve"> </w:t>
      </w:r>
      <w:r>
        <w:t xml:space="preserve">“</w:t>
      </w:r>
      <w:r>
        <w:t xml:space="preserve">p</w:t>
      </w:r>
      <w:r>
        <w:t xml:space="preserve">”</w:t>
      </w:r>
      <w:r>
        <w:t xml:space="preserve">-marked (पा. ३-४-९२);</w:t>
      </w:r>
      <w:r>
        <w:t xml:space="preserve"> </w:t>
      </w:r>
      <w:r>
        <w:rPr>
          <w:bCs/>
          <w:b/>
        </w:rPr>
        <w:t xml:space="preserve">श्नसोरल्लोपः</w:t>
      </w:r>
      <w:r>
        <w:t xml:space="preserve"> </w:t>
      </w:r>
      <w:r>
        <w:t xml:space="preserve">(पा. ६-४-१११) does not drop the</w:t>
      </w:r>
      <w:r>
        <w:t xml:space="preserve"> </w:t>
      </w:r>
      <w:r>
        <w:t xml:space="preserve">“</w:t>
      </w:r>
      <w:r>
        <w:t xml:space="preserve">a</w:t>
      </w:r>
      <w:r>
        <w:t xml:space="preserve">”</w:t>
      </w:r>
      <w:r>
        <w:t xml:space="preserve">; the vikaraṇa</w:t>
      </w:r>
      <w:r>
        <w:t xml:space="preserve"> </w:t>
      </w:r>
      <w:r>
        <w:t xml:space="preserve">“</w:t>
      </w:r>
      <w:r>
        <w:t xml:space="preserve">śnam,</w:t>
      </w:r>
      <w:r>
        <w:t xml:space="preserve">”</w:t>
      </w:r>
      <w:r>
        <w:t xml:space="preserve"> </w:t>
      </w:r>
      <w:r>
        <w:t xml:space="preserve">being acute, alone keeps its accent since the</w:t>
      </w:r>
      <w:r>
        <w:t xml:space="preserve"> </w:t>
      </w:r>
      <w:r>
        <w:t xml:space="preserve">“</w:t>
      </w:r>
      <w:r>
        <w:t xml:space="preserve">p</w:t>
      </w:r>
      <w:r>
        <w:t xml:space="preserve">”</w:t>
      </w:r>
      <w:r>
        <w:t xml:space="preserve">-marked ending is unaccented. Objection:</w:t>
      </w:r>
      <w:r>
        <w:t xml:space="preserve"> </w:t>
      </w:r>
      <w:r>
        <w:t xml:space="preserve">“</w:t>
      </w:r>
      <w:r>
        <w:t xml:space="preserve">tiṅṅatiṅaḥ</w:t>
      </w:r>
      <w:r>
        <w:t xml:space="preserve">”</w:t>
      </w:r>
      <w:r>
        <w:t xml:space="preserve"> </w:t>
      </w:r>
      <w:r>
        <w:t xml:space="preserve">should make it unaccented. No: there are two verbs here —</w:t>
      </w:r>
      <w:r>
        <w:t xml:space="preserve"> </w:t>
      </w:r>
      <w:r>
        <w:t xml:space="preserve">“</w:t>
      </w:r>
      <w:r>
        <w:t xml:space="preserve">ni muṣṭyā niruṇadhāmahai</w:t>
      </w:r>
      <w:r>
        <w:t xml:space="preserve">”</w:t>
      </w:r>
      <w:r>
        <w:t xml:space="preserve"> </w:t>
      </w:r>
      <w:r>
        <w:t xml:space="preserve">is uttered, and in</w:t>
      </w:r>
      <w:r>
        <w:t xml:space="preserve"> </w:t>
      </w:r>
      <w:r>
        <w:t xml:space="preserve">“</w:t>
      </w:r>
      <w:r>
        <w:t xml:space="preserve">arvatā ni ruṇadhāmahai</w:t>
      </w:r>
      <w:r>
        <w:t xml:space="preserve">”</w:t>
      </w:r>
      <w:r>
        <w:t xml:space="preserve"> </w:t>
      </w:r>
      <w:r>
        <w:t xml:space="preserve">it is carried over (anuṣaṅga); the</w:t>
      </w:r>
      <w:r>
        <w:t xml:space="preserve"> </w:t>
      </w:r>
      <w:r>
        <w:t xml:space="preserve">“</w:t>
      </w:r>
      <w:r>
        <w:t xml:space="preserve">ca</w:t>
      </w:r>
      <w:r>
        <w:t xml:space="preserve">”</w:t>
      </w:r>
      <w:r>
        <w:t xml:space="preserve"> </w:t>
      </w:r>
      <w:r>
        <w:t xml:space="preserve">of their conjunction is elided, so by</w:t>
      </w:r>
      <w:r>
        <w:t xml:space="preserve"> </w:t>
      </w:r>
      <w:r>
        <w:rPr>
          <w:bCs/>
          <w:b/>
        </w:rPr>
        <w:t xml:space="preserve">चादिलोपे विभाषा</w:t>
      </w:r>
      <w:r>
        <w:t xml:space="preserve"> </w:t>
      </w:r>
      <w:r>
        <w:t xml:space="preserve">(पा. ८-१-६३) the first verb is optionally not unaccented — as in</w:t>
      </w:r>
      <w:r>
        <w:t xml:space="preserve"> </w:t>
      </w:r>
      <w:r>
        <w:t xml:space="preserve">“</w:t>
      </w:r>
      <w:r>
        <w:t xml:space="preserve">yathā nātmanā tṛpyati nānyasmai dadāti</w:t>
      </w:r>
      <w:r>
        <w:t xml:space="preserve">”</w:t>
      </w:r>
      <w:r>
        <w:t xml:space="preserve"> </w:t>
      </w:r>
      <w:r>
        <w:t xml:space="preserve">(तै. सं. २-५-४-३), where,</w:t>
      </w:r>
      <w:r>
        <w:t xml:space="preserve"> </w:t>
      </w:r>
      <w:r>
        <w:t xml:space="preserve">“</w:t>
      </w:r>
      <w:r>
        <w:t xml:space="preserve">ca</w:t>
      </w:r>
      <w:r>
        <w:t xml:space="preserve">”</w:t>
      </w:r>
      <w:r>
        <w:t xml:space="preserve"> </w:t>
      </w:r>
      <w:r>
        <w:t xml:space="preserve">being elided, the first verb</w:t>
      </w:r>
      <w:r>
        <w:t xml:space="preserve"> </w:t>
      </w:r>
      <w:r>
        <w:t xml:space="preserve">“</w:t>
      </w:r>
      <w:r>
        <w:t xml:space="preserve">tṛpyati</w:t>
      </w:r>
      <w:r>
        <w:t xml:space="preserve">”</w:t>
      </w:r>
      <w:r>
        <w:t xml:space="preserve"> </w:t>
      </w:r>
      <w:r>
        <w:t xml:space="preserve">is not unaccented while the second,</w:t>
      </w:r>
      <w:r>
        <w:t xml:space="preserve"> </w:t>
      </w:r>
      <w:r>
        <w:t xml:space="preserve">“</w:t>
      </w:r>
      <w:r>
        <w:t xml:space="preserve">dadāti,</w:t>
      </w:r>
      <w:r>
        <w:t xml:space="preserve">”</w:t>
      </w:r>
      <w:r>
        <w:t xml:space="preserve"> </w:t>
      </w:r>
      <w:r>
        <w:t xml:space="preserve">is. Objection: there both verbs are heard, here only one; the second is only carried over, so how is this one</w:t>
      </w:r>
      <w:r>
        <w:t xml:space="preserve"> </w:t>
      </w:r>
      <w:r>
        <w:t xml:space="preserve">“</w:t>
      </w:r>
      <w:r>
        <w:t xml:space="preserve">first</w:t>
      </w:r>
      <w:r>
        <w:t xml:space="preserve">”</w:t>
      </w:r>
      <w:r>
        <w:t xml:space="preserve">? Reply: anuṣaṅga …</w:t>
      </w:r>
      <w:r>
        <w:t xml:space="preserve"> </w:t>
      </w:r>
      <w:r>
        <w:rPr>
          <w:iCs/>
          <w:i/>
        </w:rPr>
        <w:t xml:space="preserve">(continues on p. 307)</w:t>
      </w:r>
    </w:p>
    <w:bookmarkEnd w:id="339"/>
    <w:bookmarkStart w:id="340" w:name="page-307-rik-2-continued"/>
    <w:p>
      <w:pPr>
        <w:pStyle w:val="Heading3"/>
      </w:pPr>
      <w:r>
        <w:t xml:space="preserve">Page 307 — Rik 2 continued</w:t>
      </w:r>
    </w:p>
    <w:p>
      <w:pPr>
        <w:pStyle w:val="FirstParagraph"/>
      </w:pPr>
      <w:r>
        <w:rPr>
          <w:iCs/>
          <w:i/>
        </w:rPr>
        <w:t xml:space="preserve">(Page header:</w:t>
      </w:r>
      <w:r>
        <w:rPr>
          <w:iCs/>
          <w:i/>
        </w:rPr>
        <w:t xml:space="preserve"> </w:t>
      </w:r>
      <w:r>
        <w:rPr>
          <w:iCs/>
          <w:i/>
        </w:rPr>
        <w:t xml:space="preserve">“</w:t>
      </w:r>
      <w:r>
        <w:rPr>
          <w:iCs/>
          <w:i/>
        </w:rPr>
        <w:t xml:space="preserve">A. 1, A. 1, Va. 15.</w:t>
      </w:r>
      <w:r>
        <w:rPr>
          <w:iCs/>
          <w:i/>
        </w:rPr>
        <w:t xml:space="preserve">”</w:t>
      </w:r>
      <w:r>
        <w:rPr>
          <w:iCs/>
          <w:i/>
        </w:rPr>
        <w:t xml:space="preserve"> </w:t>
      </w:r>
      <w:r>
        <w:rPr>
          <w:iCs/>
          <w:i/>
        </w:rPr>
        <w:t xml:space="preserve">The first lines end Sāyaṇa’s Sanskrit on Rik 2, characterized; references as printed.)</w:t>
      </w:r>
      <w:r>
        <w:t xml:space="preserve"> </w:t>
      </w:r>
      <w:r>
        <w:t xml:space="preserve">…even what is supplied is</w:t>
      </w:r>
      <w:r>
        <w:t xml:space="preserve"> </w:t>
      </w:r>
      <w:r>
        <w:t xml:space="preserve">“</w:t>
      </w:r>
      <w:r>
        <w:t xml:space="preserve">first</w:t>
      </w:r>
      <w:r>
        <w:t xml:space="preserve">”</w:t>
      </w:r>
      <w:r>
        <w:t xml:space="preserve"> </w:t>
      </w:r>
      <w:r>
        <w:t xml:space="preserve">with respect to a second that depends on it; for the prohibition of nighāta is seen in</w:t>
      </w:r>
      <w:r>
        <w:t xml:space="preserve"> </w:t>
      </w:r>
      <w:r>
        <w:t xml:space="preserve">“</w:t>
      </w:r>
      <w:r>
        <w:t xml:space="preserve">puroḍāśaṃ cādhiśrayati</w:t>
      </w:r>
      <w:r>
        <w:t xml:space="preserve">”</w:t>
      </w:r>
      <w:r>
        <w:t xml:space="preserve"> </w:t>
      </w:r>
      <w:r>
        <w:t xml:space="preserve">(तै. सं. १-६-९-३) and</w:t>
      </w:r>
      <w:r>
        <w:t xml:space="preserve"> </w:t>
      </w:r>
      <w:r>
        <w:t xml:space="preserve">“</w:t>
      </w:r>
      <w:r>
        <w:t xml:space="preserve">prokṣaṇīś cāsādayati</w:t>
      </w:r>
      <w:r>
        <w:t xml:space="preserve">”</w:t>
      </w:r>
      <w:r>
        <w:t xml:space="preserve"> </w:t>
      </w:r>
      <w:r>
        <w:t xml:space="preserve">(तै. सं. १-६-९-४), where, of the two sentences with</w:t>
      </w:r>
      <w:r>
        <w:t xml:space="preserve"> </w:t>
      </w:r>
      <w:r>
        <w:t xml:space="preserve">“</w:t>
      </w:r>
      <w:r>
        <w:t xml:space="preserve">adhiśrayati</w:t>
      </w:r>
      <w:r>
        <w:t xml:space="preserve">”</w:t>
      </w:r>
      <w:r>
        <w:t xml:space="preserve"> </w:t>
      </w:r>
      <w:r>
        <w:t xml:space="preserve">and</w:t>
      </w:r>
      <w:r>
        <w:t xml:space="preserve"> </w:t>
      </w:r>
      <w:r>
        <w:t xml:space="preserve">“</w:t>
      </w:r>
      <w:r>
        <w:t xml:space="preserve">āsādayati,</w:t>
      </w:r>
      <w:r>
        <w:t xml:space="preserve">”</w:t>
      </w:r>
      <w:r>
        <w:t xml:space="preserve"> </w:t>
      </w:r>
      <w:r>
        <w:t xml:space="preserve">the first with respect to the later one, through anuṣaṅga, is accepted as</w:t>
      </w:r>
      <w:r>
        <w:t xml:space="preserve"> </w:t>
      </w:r>
      <w:r>
        <w:t xml:space="preserve">“</w:t>
      </w:r>
      <w:r>
        <w:t xml:space="preserve">first</w:t>
      </w:r>
      <w:r>
        <w:t xml:space="preserve">”</w:t>
      </w:r>
      <w:r>
        <w:t xml:space="preserve"> </w:t>
      </w:r>
      <w:r>
        <w:t xml:space="preserve">for</w:t>
      </w:r>
      <w:r>
        <w:t xml:space="preserve"> </w:t>
      </w:r>
      <w:r>
        <w:rPr>
          <w:bCs/>
          <w:b/>
        </w:rPr>
        <w:t xml:space="preserve">चवायोगे प्रथमा</w:t>
      </w:r>
      <w:r>
        <w:t xml:space="preserve"> </w:t>
      </w:r>
      <w:r>
        <w:t xml:space="preserve">(पा. ८-१-५९).</w:t>
      </w:r>
      <w:r>
        <w:t xml:space="preserve"> </w:t>
      </w:r>
      <w:r>
        <w:t xml:space="preserve">“</w:t>
      </w:r>
      <w:r>
        <w:t xml:space="preserve">Tvotāḥ</w:t>
      </w:r>
      <w:r>
        <w:t xml:space="preserve">”</w:t>
      </w:r>
      <w:r>
        <w:t xml:space="preserve"> </w:t>
      </w:r>
      <w:r>
        <w:t xml:space="preserve">—</w:t>
      </w:r>
      <w:r>
        <w:t xml:space="preserve"> </w:t>
      </w:r>
      <w:r>
        <w:t xml:space="preserve">“</w:t>
      </w:r>
      <w:r>
        <w:t xml:space="preserve">tvayā rakṣitāḥ,</w:t>
      </w:r>
      <w:r>
        <w:t xml:space="preserve">”</w:t>
      </w:r>
      <w:r>
        <w:t xml:space="preserve"> </w:t>
      </w:r>
      <w:r>
        <w:t xml:space="preserve">“</w:t>
      </w:r>
      <w:r>
        <w:t xml:space="preserve">tvotāsaḥ</w:t>
      </w:r>
      <w:r>
        <w:t xml:space="preserve">”</w:t>
      </w:r>
      <w:r>
        <w:t xml:space="preserve">:</w:t>
      </w:r>
      <w:r>
        <w:t xml:space="preserve"> </w:t>
      </w:r>
      <w:r>
        <w:rPr>
          <w:bCs/>
          <w:b/>
        </w:rPr>
        <w:t xml:space="preserve">प्रत्ययोत्तरपदयोश्च</w:t>
      </w:r>
      <w:r>
        <w:t xml:space="preserve"> </w:t>
      </w:r>
      <w:r>
        <w:t xml:space="preserve">(पा. ७-२-९८)</w:t>
      </w:r>
      <w:r>
        <w:t xml:space="preserve"> </w:t>
      </w:r>
      <w:r>
        <w:t xml:space="preserve">“</w:t>
      </w:r>
      <w:r>
        <w:t xml:space="preserve">tva</w:t>
      </w:r>
      <w:r>
        <w:t xml:space="preserve">”</w:t>
      </w:r>
      <w:r>
        <w:t xml:space="preserve"> </w:t>
      </w:r>
      <w:r>
        <w:t xml:space="preserve">for the part up to</w:t>
      </w:r>
      <w:r>
        <w:t xml:space="preserve"> </w:t>
      </w:r>
      <w:r>
        <w:t xml:space="preserve">“</w:t>
      </w:r>
      <w:r>
        <w:t xml:space="preserve">ma,</w:t>
      </w:r>
      <w:r>
        <w:t xml:space="preserve">”</w:t>
      </w:r>
      <w:r>
        <w:t xml:space="preserve"> </w:t>
      </w:r>
      <w:r>
        <w:t xml:space="preserve">the loss of</w:t>
      </w:r>
      <w:r>
        <w:t xml:space="preserve"> </w:t>
      </w:r>
      <w:r>
        <w:t xml:space="preserve">“</w:t>
      </w:r>
      <w:r>
        <w:t xml:space="preserve">d</w:t>
      </w:r>
      <w:r>
        <w:t xml:space="preserve">”</w:t>
      </w:r>
      <w:r>
        <w:t xml:space="preserve"> </w:t>
      </w:r>
      <w:r>
        <w:t xml:space="preserve">Vedic;</w:t>
      </w:r>
      <w:r>
        <w:t xml:space="preserve"> </w:t>
      </w:r>
      <w:r>
        <w:t xml:space="preserve">“</w:t>
      </w:r>
      <w:r>
        <w:t xml:space="preserve">ava</w:t>
      </w:r>
      <w:r>
        <w:t xml:space="preserve">”</w:t>
      </w:r>
      <w:r>
        <w:t xml:space="preserve"> </w:t>
      </w:r>
      <w:r>
        <w:t xml:space="preserve">with</w:t>
      </w:r>
      <w:r>
        <w:t xml:space="preserve"> </w:t>
      </w:r>
      <w:r>
        <w:t xml:space="preserve">“</w:t>
      </w:r>
      <w:r>
        <w:t xml:space="preserve">kta,</w:t>
      </w:r>
      <w:r>
        <w:t xml:space="preserve">”</w:t>
      </w:r>
      <w:r>
        <w:t xml:space="preserve"> </w:t>
      </w:r>
      <w:r>
        <w:t xml:space="preserve">no</w:t>
      </w:r>
      <w:r>
        <w:t xml:space="preserve"> </w:t>
      </w:r>
      <w:r>
        <w:t xml:space="preserve">“</w:t>
      </w:r>
      <w:r>
        <w:t xml:space="preserve">iṭ,</w:t>
      </w:r>
      <w:r>
        <w:t xml:space="preserve">”</w:t>
      </w:r>
      <w:r>
        <w:t xml:space="preserve"> </w:t>
      </w:r>
      <w:r>
        <w:rPr>
          <w:bCs/>
          <w:b/>
        </w:rPr>
        <w:t xml:space="preserve">ज्वरत्वरस्रिव्यविमवामुपधायाश्च</w:t>
      </w:r>
      <w:r>
        <w:t xml:space="preserve"> </w:t>
      </w:r>
      <w:r>
        <w:t xml:space="preserve">(पा. ६-४-२०)</w:t>
      </w:r>
      <w:r>
        <w:t xml:space="preserve"> </w:t>
      </w:r>
      <w:r>
        <w:t xml:space="preserve">“</w:t>
      </w:r>
      <w:r>
        <w:t xml:space="preserve">ūṭh</w:t>
      </w:r>
      <w:r>
        <w:t xml:space="preserve">”</w:t>
      </w:r>
      <w:r>
        <w:t xml:space="preserve">;</w:t>
      </w:r>
      <w:r>
        <w:t xml:space="preserve"> </w:t>
      </w:r>
      <w:r>
        <w:rPr>
          <w:bCs/>
          <w:b/>
        </w:rPr>
        <w:t xml:space="preserve">एत्येधत्यूठ्सु</w:t>
      </w:r>
      <w:r>
        <w:t xml:space="preserve"> </w:t>
      </w:r>
      <w:r>
        <w:t xml:space="preserve">(पा. ६-१-८९) the vṛddhi is withheld as Vedic;</w:t>
      </w:r>
      <w:r>
        <w:t xml:space="preserve"> </w:t>
      </w:r>
      <w:r>
        <w:rPr>
          <w:bCs/>
          <w:b/>
        </w:rPr>
        <w:t xml:space="preserve">तृतीया कर्मणि</w:t>
      </w:r>
      <w:r>
        <w:t xml:space="preserve"> </w:t>
      </w:r>
      <w:r>
        <w:t xml:space="preserve">(पा. ६-२-४८) the first member’s accent, the</w:t>
      </w:r>
      <w:r>
        <w:t xml:space="preserve"> </w:t>
      </w:r>
      <w:r>
        <w:t xml:space="preserve">“</w:t>
      </w:r>
      <w:r>
        <w:t xml:space="preserve">ā</w:t>
      </w:r>
      <w:r>
        <w:t xml:space="preserve">”</w:t>
      </w:r>
      <w:r>
        <w:t xml:space="preserve"> </w:t>
      </w:r>
      <w:r>
        <w:t xml:space="preserve">acute; the single substitute</w:t>
      </w:r>
      <w:r>
        <w:t xml:space="preserve"> </w:t>
      </w:r>
      <w:r>
        <w:t xml:space="preserve">“</w:t>
      </w:r>
      <w:r>
        <w:t xml:space="preserve">o</w:t>
      </w:r>
      <w:r>
        <w:t xml:space="preserve">”</w:t>
      </w:r>
      <w:r>
        <w:t xml:space="preserve"> </w:t>
      </w:r>
      <w:r>
        <w:t xml:space="preserve">acute.</w:t>
      </w:r>
      <w:r>
        <w:t xml:space="preserve"> </w:t>
      </w:r>
      <w:r>
        <w:t xml:space="preserve">“</w:t>
      </w:r>
      <w:r>
        <w:t xml:space="preserve">Arvatā</w:t>
      </w:r>
      <w:r>
        <w:t xml:space="preserve">”</w:t>
      </w:r>
      <w:r>
        <w:t xml:space="preserve"> </w:t>
      </w:r>
      <w:r>
        <w:t xml:space="preserve">—</w:t>
      </w:r>
      <w:r>
        <w:t xml:space="preserve"> </w:t>
      </w:r>
      <w:r>
        <w:t xml:space="preserve">“</w:t>
      </w:r>
      <w:r>
        <w:t xml:space="preserve">arvati gacchatīty arvā,</w:t>
      </w:r>
      <w:r>
        <w:t xml:space="preserve">”</w:t>
      </w:r>
      <w:r>
        <w:t xml:space="preserve"> </w:t>
      </w:r>
      <w:r>
        <w:t xml:space="preserve">“</w:t>
      </w:r>
      <w:r>
        <w:t xml:space="preserve">arva gatau,</w:t>
      </w:r>
      <w:r>
        <w:t xml:space="preserve">”</w:t>
      </w:r>
      <w:r>
        <w:t xml:space="preserve"> </w:t>
      </w:r>
      <w:r>
        <w:t xml:space="preserve">“</w:t>
      </w:r>
      <w:r>
        <w:t xml:space="preserve">vanip</w:t>
      </w:r>
      <w:r>
        <w:t xml:space="preserve">”</w:t>
      </w:r>
      <w:r>
        <w:t xml:space="preserve"> </w:t>
      </w:r>
      <w:r>
        <w:t xml:space="preserve">by</w:t>
      </w:r>
      <w:r>
        <w:t xml:space="preserve"> </w:t>
      </w:r>
      <w:r>
        <w:t xml:space="preserve">“</w:t>
      </w:r>
      <w:r>
        <w:t xml:space="preserve">anyebhyo ’pi dṛśyante</w:t>
      </w:r>
      <w:r>
        <w:t xml:space="preserve">”</w:t>
      </w:r>
      <w:r>
        <w:t xml:space="preserve">;</w:t>
      </w:r>
      <w:r>
        <w:t xml:space="preserve"> </w:t>
      </w:r>
      <w:r>
        <w:rPr>
          <w:bCs/>
          <w:b/>
        </w:rPr>
        <w:t xml:space="preserve">नेड्वशि कृति</w:t>
      </w:r>
      <w:r>
        <w:t xml:space="preserve"> </w:t>
      </w:r>
      <w:r>
        <w:t xml:space="preserve">(पा. ७-२-८) no</w:t>
      </w:r>
      <w:r>
        <w:t xml:space="preserve"> </w:t>
      </w:r>
      <w:r>
        <w:t xml:space="preserve">“</w:t>
      </w:r>
      <w:r>
        <w:t xml:space="preserve">iṭ</w:t>
      </w:r>
      <w:r>
        <w:t xml:space="preserve">”</w:t>
      </w:r>
      <w:r>
        <w:t xml:space="preserve">;</w:t>
      </w:r>
      <w:r>
        <w:t xml:space="preserve"> </w:t>
      </w:r>
      <w:r>
        <w:rPr>
          <w:bCs/>
          <w:b/>
        </w:rPr>
        <w:t xml:space="preserve">लोपो व्योर्वलि</w:t>
      </w:r>
      <w:r>
        <w:t xml:space="preserve"> </w:t>
      </w:r>
      <w:r>
        <w:t xml:space="preserve">(पा. ६-१-६६) loss of</w:t>
      </w:r>
      <w:r>
        <w:t xml:space="preserve"> </w:t>
      </w:r>
      <w:r>
        <w:t xml:space="preserve">“</w:t>
      </w:r>
      <w:r>
        <w:t xml:space="preserve">v</w:t>
      </w:r>
      <w:r>
        <w:t xml:space="preserve">”</w:t>
      </w:r>
      <w:r>
        <w:t xml:space="preserve">;</w:t>
      </w:r>
      <w:r>
        <w:t xml:space="preserve"> </w:t>
      </w:r>
      <w:r>
        <w:rPr>
          <w:bCs/>
          <w:b/>
        </w:rPr>
        <w:t xml:space="preserve">अर्वणस्त्रसावनञः</w:t>
      </w:r>
      <w:r>
        <w:t xml:space="preserve"> </w:t>
      </w:r>
      <w:r>
        <w:t xml:space="preserve">(पा. ६-४-१२७)</w:t>
      </w:r>
      <w:r>
        <w:t xml:space="preserve"> </w:t>
      </w:r>
      <w:r>
        <w:t xml:space="preserve">“</w:t>
      </w:r>
      <w:r>
        <w:t xml:space="preserve">tṛ</w:t>
      </w:r>
      <w:r>
        <w:t xml:space="preserve">”</w:t>
      </w:r>
      <w:r>
        <w:t xml:space="preserve">;</w:t>
      </w:r>
      <w:r>
        <w:t xml:space="preserve"> </w:t>
      </w:r>
      <w:r>
        <w:t xml:space="preserve">“</w:t>
      </w:r>
      <w:r>
        <w:t xml:space="preserve">vanip,</w:t>
      </w:r>
      <w:r>
        <w:t xml:space="preserve">”</w:t>
      </w:r>
      <w:r>
        <w:t xml:space="preserve"> </w:t>
      </w:r>
      <w:r>
        <w:t xml:space="preserve">“</w:t>
      </w:r>
      <w:r>
        <w:t xml:space="preserve">p</w:t>
      </w:r>
      <w:r>
        <w:t xml:space="preserve">”</w:t>
      </w:r>
      <w:r>
        <w:t xml:space="preserve">-marked, so the root accent.</w:t>
      </w:r>
    </w:p>
    <w:p>
      <w:pPr>
        <w:pStyle w:val="BodyText"/>
      </w:pPr>
      <w:r>
        <w:rPr>
          <w:bCs/>
          <w:b/>
        </w:rPr>
        <w:t xml:space="preserve">॥ Prati-padārthaḥ ॥</w:t>
      </w:r>
    </w:p>
    <w:p>
      <w:pPr>
        <w:pStyle w:val="BodyText"/>
      </w:pPr>
      <w:r>
        <w:rPr>
          <w:bCs/>
          <w:b/>
        </w:rPr>
        <w:t xml:space="preserve">येन (yena)</w:t>
      </w:r>
      <w:r>
        <w:t xml:space="preserve"> </w:t>
      </w:r>
      <w:r>
        <w:t xml:space="preserve">— by which wealth-help, the warriors acquired [through it] |</w:t>
      </w:r>
      <w:r>
        <w:t xml:space="preserve"> </w:t>
      </w:r>
      <w:r>
        <w:rPr>
          <w:bCs/>
          <w:b/>
        </w:rPr>
        <w:t xml:space="preserve">नि मुष्टिहत्यया (ni muṣṭihatyayā)</w:t>
      </w:r>
      <w:r>
        <w:t xml:space="preserve"> </w:t>
      </w:r>
      <w:r>
        <w:t xml:space="preserve">— by a special blow of the fist |</w:t>
      </w:r>
      <w:r>
        <w:t xml:space="preserve"> </w:t>
      </w:r>
      <w:r>
        <w:rPr>
          <w:bCs/>
          <w:b/>
        </w:rPr>
        <w:t xml:space="preserve">वृत्रा (vṛtrā)</w:t>
      </w:r>
      <w:r>
        <w:t xml:space="preserve"> </w:t>
      </w:r>
      <w:r>
        <w:t xml:space="preserve">— the enemies |</w:t>
      </w:r>
      <w:r>
        <w:t xml:space="preserve"> </w:t>
      </w:r>
      <w:r>
        <w:rPr>
          <w:bCs/>
          <w:b/>
        </w:rPr>
        <w:t xml:space="preserve">नि रुणधामहै (ni ruṇadhāmahai)</w:t>
      </w:r>
      <w:r>
        <w:t xml:space="preserve"> </w:t>
      </w:r>
      <w:r>
        <w:t xml:space="preserve">— we shall hold back, stop (so that they cannot press forward) |</w:t>
      </w:r>
      <w:r>
        <w:t xml:space="preserve"> </w:t>
      </w:r>
      <w:r>
        <w:rPr>
          <w:bCs/>
          <w:b/>
        </w:rPr>
        <w:t xml:space="preserve">त्वोतासः (tvotāsaḥ)</w:t>
      </w:r>
      <w:r>
        <w:t xml:space="preserve"> </w:t>
      </w:r>
      <w:r>
        <w:t xml:space="preserve">— we, protected by you (Indra) |</w:t>
      </w:r>
      <w:r>
        <w:t xml:space="preserve"> </w:t>
      </w:r>
      <w:r>
        <w:rPr>
          <w:bCs/>
          <w:b/>
        </w:rPr>
        <w:t xml:space="preserve">अर्वता (arvatā)</w:t>
      </w:r>
      <w:r>
        <w:t xml:space="preserve"> </w:t>
      </w:r>
      <w:r>
        <w:t xml:space="preserve">— also with horses |</w:t>
      </w:r>
      <w:r>
        <w:t xml:space="preserve"> </w:t>
      </w:r>
      <w:r>
        <w:rPr>
          <w:bCs/>
          <w:b/>
        </w:rPr>
        <w:t xml:space="preserve">नि (ruṇadhāmahai)</w:t>
      </w:r>
      <w:r>
        <w:t xml:space="preserve"> </w:t>
      </w:r>
      <w:r>
        <w:t xml:space="preserve">— we shall hold back the enemies (give us such wealth).</w:t>
      </w:r>
    </w:p>
    <w:p>
      <w:pPr>
        <w:pStyle w:val="BodyText"/>
      </w:pPr>
      <w:r>
        <w:rPr>
          <w:bCs/>
          <w:b/>
        </w:rPr>
        <w:t xml:space="preserve">॥ Bhāvārthaḥ ॥</w:t>
      </w:r>
    </w:p>
    <w:p>
      <w:pPr>
        <w:pStyle w:val="BodyText"/>
      </w:pPr>
      <w:r>
        <w:t xml:space="preserve">O Indra! By the warriors gathered through the wealth-help you give, with their fist-blows — that is, from the hand-to-hand fighting of warriors, and with the help of horses — we shall stop our enemies so that they cannot press forward. For your protection is indeed with us.</w:t>
      </w:r>
    </w:p>
    <w:p>
      <w:pPr>
        <w:pStyle w:val="BodyText"/>
      </w:pPr>
      <w:r>
        <w:rPr>
          <w:bCs/>
          <w:b/>
        </w:rPr>
        <w:t xml:space="preserve">॥ English Translation ॥</w:t>
      </w:r>
      <w:r>
        <w:t xml:space="preserve"> </w:t>
      </w:r>
      <w:r>
        <w:rPr>
          <w:iCs/>
          <w:i/>
        </w:rPr>
        <w:t xml:space="preserve">(as printed in the source)</w:t>
      </w:r>
    </w:p>
    <w:p>
      <w:pPr>
        <w:pStyle w:val="BlockText"/>
      </w:pPr>
      <w:r>
        <w:t xml:space="preserve">By which we repel our enemies crushing them down with our fists or with our horses.</w:t>
      </w:r>
    </w:p>
    <w:p>
      <w:pPr>
        <w:pStyle w:val="FirstParagraph"/>
      </w:pPr>
      <w:r>
        <w:rPr>
          <w:bCs/>
          <w:b/>
        </w:rPr>
        <w:t xml:space="preserve">॥ Viśeṣa-viṣayagaḷu (Special Topics) ॥</w:t>
      </w:r>
    </w:p>
    <w:p>
      <w:pPr>
        <w:pStyle w:val="BodyText"/>
      </w:pPr>
      <w:r>
        <w:t xml:space="preserve">Because this rik contains the relative word</w:t>
      </w:r>
      <w:r>
        <w:t xml:space="preserve"> </w:t>
      </w:r>
      <w:r>
        <w:rPr>
          <w:bCs/>
          <w:b/>
        </w:rPr>
        <w:t xml:space="preserve">येन</w:t>
      </w:r>
      <w:r>
        <w:t xml:space="preserve"> </w:t>
      </w:r>
      <w:r>
        <w:t xml:space="preserve">(</w:t>
      </w:r>
      <w:r>
        <w:rPr>
          <w:iCs/>
          <w:i/>
        </w:rPr>
        <w:t xml:space="preserve">yena</w:t>
      </w:r>
      <w:r>
        <w:t xml:space="preserve">,</w:t>
      </w:r>
      <w:r>
        <w:t xml:space="preserve"> </w:t>
      </w:r>
      <w:r>
        <w:t xml:space="preserve">“</w:t>
      </w:r>
      <w:r>
        <w:t xml:space="preserve">by which</w:t>
      </w:r>
      <w:r>
        <w:t xml:space="preserve">”</w:t>
      </w:r>
      <w:r>
        <w:t xml:space="preserve">), its sense must be linked with the words of the previous rik. That is: in the previous rik Indra was asked for wealth-help; therefore the words</w:t>
      </w:r>
      <w:r>
        <w:t xml:space="preserve"> </w:t>
      </w:r>
      <w:r>
        <w:rPr>
          <w:iCs/>
          <w:i/>
        </w:rPr>
        <w:t xml:space="preserve">yena muṣṭihatyayā</w:t>
      </w:r>
      <w:r>
        <w:t xml:space="preserve"> </w:t>
      </w:r>
      <w:r>
        <w:t xml:space="preserve">here mean</w:t>
      </w:r>
      <w:r>
        <w:t xml:space="preserve"> </w:t>
      </w:r>
      <w:r>
        <w:t xml:space="preserve">“</w:t>
      </w:r>
      <w:r>
        <w:t xml:space="preserve">by the fist-blows of warriors gained with whatever wealth-help [was asked].</w:t>
      </w:r>
      <w:r>
        <w:t xml:space="preserve">”</w:t>
      </w:r>
      <w:r>
        <w:t xml:space="preserve"> </w:t>
      </w:r>
      <w:r>
        <w:t xml:space="preserve">In fighting, warriors by nature close with each other hand to hand; so</w:t>
      </w:r>
      <w:r>
        <w:t xml:space="preserve"> </w:t>
      </w:r>
      <w:r>
        <w:rPr>
          <w:iCs/>
          <w:i/>
        </w:rPr>
        <w:t xml:space="preserve">muṣṭihatyā</w:t>
      </w:r>
      <w:r>
        <w:t xml:space="preserve"> </w:t>
      </w:r>
      <w:r>
        <w:t xml:space="preserve">here means</w:t>
      </w:r>
      <w:r>
        <w:t xml:space="preserve"> </w:t>
      </w:r>
      <w:r>
        <w:t xml:space="preserve">“</w:t>
      </w:r>
      <w:r>
        <w:t xml:space="preserve">blows of the fist.</w:t>
      </w:r>
      <w:r>
        <w:t xml:space="preserve">”</w:t>
      </w:r>
      <w:r>
        <w:t xml:space="preserve"> </w:t>
      </w:r>
      <w:r>
        <w:t xml:space="preserve">Fighting seated on horses has also been customary from of old. Hence the sense:</w:t>
      </w:r>
      <w:r>
        <w:t xml:space="preserve"> </w:t>
      </w:r>
      <w:r>
        <w:t xml:space="preserve">“</w:t>
      </w:r>
      <w:r>
        <w:t xml:space="preserve">by both these methods of fighting, with your help, we shall stop the enemies from advancing.</w:t>
      </w:r>
      <w:r>
        <w:t xml:space="preserve">”</w:t>
      </w:r>
    </w:p>
    <w:bookmarkEnd w:id="340"/>
    <w:bookmarkStart w:id="341" w:name="pages-308310-rik-2-grammar-rik-3-text"/>
    <w:p>
      <w:pPr>
        <w:pStyle w:val="Heading3"/>
      </w:pPr>
      <w:r>
        <w:t xml:space="preserve">Pages 308–310 — Rik 2 grammar; Rik 3 text</w:t>
      </w:r>
    </w:p>
    <w:p>
      <w:pPr>
        <w:pStyle w:val="FirstParagraph"/>
      </w:pPr>
      <w:r>
        <w:rPr>
          <w:iCs/>
          <w:i/>
        </w:rPr>
        <w:t xml:space="preserve">(Page headers: p. 308</w:t>
      </w:r>
      <w:r>
        <w:rPr>
          <w:iCs/>
          <w:i/>
        </w:rPr>
        <w:t xml:space="preserve"> </w:t>
      </w:r>
      <w:r>
        <w:rPr>
          <w:iCs/>
          <w:i/>
        </w:rPr>
        <w:t xml:space="preserve">“</w:t>
      </w:r>
      <w:r>
        <w:rPr>
          <w:iCs/>
          <w:i/>
        </w:rPr>
        <w:t xml:space="preserve">Maṃ. 1, A. 3, Sū. 8</w:t>
      </w:r>
      <w:r>
        <w:rPr>
          <w:iCs/>
          <w:i/>
        </w:rPr>
        <w:t xml:space="preserve">”</w:t>
      </w:r>
      <w:r>
        <w:rPr>
          <w:iCs/>
          <w:i/>
        </w:rPr>
        <w:t xml:space="preserve">; p. 309</w:t>
      </w:r>
      <w:r>
        <w:rPr>
          <w:iCs/>
          <w:i/>
        </w:rPr>
        <w:t xml:space="preserve"> </w:t>
      </w:r>
      <w:r>
        <w:rPr>
          <w:iCs/>
          <w:i/>
        </w:rPr>
        <w:t xml:space="preserve">“</w:t>
      </w:r>
      <w:r>
        <w:rPr>
          <w:iCs/>
          <w:i/>
        </w:rPr>
        <w:t xml:space="preserve">A. 1, A. 1, Va. 15.</w:t>
      </w:r>
      <w:r>
        <w:rPr>
          <w:iCs/>
          <w:i/>
        </w:rPr>
        <w:t xml:space="preserve">”</w:t>
      </w:r>
      <w:r>
        <w:rPr>
          <w:iCs/>
          <w:i/>
        </w:rPr>
        <w:t xml:space="preserve"> </w:t>
      </w:r>
      <w:r>
        <w:rPr>
          <w:iCs/>
          <w:i/>
        </w:rPr>
        <w:t xml:space="preserve">The top of p. 308 ends the Special Topics (given under p. 307).)</w:t>
      </w:r>
    </w:p>
    <w:p>
      <w:pPr>
        <w:pStyle w:val="BodyText"/>
      </w:pPr>
      <w:r>
        <w:rPr>
          <w:bCs/>
          <w:b/>
        </w:rPr>
        <w:t xml:space="preserve">॥ Vyākaraṇa-prakriyā ॥</w:t>
      </w:r>
      <w:r>
        <w:t xml:space="preserve"> </w:t>
      </w:r>
      <w:r>
        <w:rPr>
          <w:iCs/>
          <w:i/>
        </w:rPr>
        <w:t xml:space="preserve">(Kannada; characterized, numbers as printed)</w:t>
      </w:r>
    </w:p>
    <w:p>
      <w:pPr>
        <w:pStyle w:val="BodyText"/>
      </w:pPr>
      <w:r>
        <w:rPr>
          <w:bCs/>
          <w:b/>
        </w:rPr>
        <w:t xml:space="preserve">मुष्टिहत्यया</w:t>
      </w:r>
      <w:r>
        <w:t xml:space="preserve"> </w:t>
      </w:r>
      <w:r>
        <w:t xml:space="preserve">—</w:t>
      </w:r>
      <w:r>
        <w:t xml:space="preserve"> </w:t>
      </w:r>
      <w:r>
        <w:rPr>
          <w:bCs/>
          <w:b/>
        </w:rPr>
        <w:t xml:space="preserve">हनस्त च</w:t>
      </w:r>
      <w:r>
        <w:t xml:space="preserve"> </w:t>
      </w:r>
      <w:r>
        <w:t xml:space="preserve">(पा. सू. ३-१-१०८): after</w:t>
      </w:r>
      <w:r>
        <w:t xml:space="preserve"> </w:t>
      </w:r>
      <w:r>
        <w:t xml:space="preserve">“</w:t>
      </w:r>
      <w:r>
        <w:t xml:space="preserve">han</w:t>
      </w:r>
      <w:r>
        <w:t xml:space="preserve">”</w:t>
      </w:r>
      <w:r>
        <w:t xml:space="preserve"> </w:t>
      </w:r>
      <w:r>
        <w:t xml:space="preserve">with a subanta upapada other than an upasarga,</w:t>
      </w:r>
      <w:r>
        <w:t xml:space="preserve"> </w:t>
      </w:r>
      <w:r>
        <w:t xml:space="preserve">“</w:t>
      </w:r>
      <w:r>
        <w:t xml:space="preserve">kyap</w:t>
      </w:r>
      <w:r>
        <w:t xml:space="preserve">”</w:t>
      </w:r>
      <w:r>
        <w:t xml:space="preserve"> </w:t>
      </w:r>
      <w:r>
        <w:t xml:space="preserve">in the action sense, with</w:t>
      </w:r>
      <w:r>
        <w:t xml:space="preserve"> </w:t>
      </w:r>
      <w:r>
        <w:t xml:space="preserve">“</w:t>
      </w:r>
      <w:r>
        <w:t xml:space="preserve">t</w:t>
      </w:r>
      <w:r>
        <w:t xml:space="preserve">”</w:t>
      </w:r>
      <w:r>
        <w:t xml:space="preserve"> </w:t>
      </w:r>
      <w:r>
        <w:t xml:space="preserve">for</w:t>
      </w:r>
      <w:r>
        <w:t xml:space="preserve"> </w:t>
      </w:r>
      <w:r>
        <w:t xml:space="preserve">“</w:t>
      </w:r>
      <w:r>
        <w:t xml:space="preserve">n</w:t>
      </w:r>
      <w:r>
        <w:t xml:space="preserve">”</w:t>
      </w:r>
      <w:r>
        <w:t xml:space="preserve">:</w:t>
      </w:r>
      <w:r>
        <w:t xml:space="preserve"> </w:t>
      </w:r>
      <w:r>
        <w:t xml:space="preserve">“</w:t>
      </w:r>
      <w:r>
        <w:t xml:space="preserve">hat + ya,</w:t>
      </w:r>
      <w:r>
        <w:t xml:space="preserve">”</w:t>
      </w:r>
      <w:r>
        <w:t xml:space="preserve"> </w:t>
      </w:r>
      <w:r>
        <w:t xml:space="preserve">“</w:t>
      </w:r>
      <w:r>
        <w:t xml:space="preserve">muṣṭyā hananam,</w:t>
      </w:r>
      <w:r>
        <w:t xml:space="preserve">”</w:t>
      </w:r>
      <w:r>
        <w:t xml:space="preserve"> </w:t>
      </w:r>
      <w:r>
        <w:t xml:space="preserve">“</w:t>
      </w:r>
      <w:r>
        <w:t xml:space="preserve">muṣṭihatyā.</w:t>
      </w:r>
      <w:r>
        <w:t xml:space="preserve">”</w:t>
      </w:r>
      <w:r>
        <w:t xml:space="preserve"> </w:t>
      </w:r>
      <w:r>
        <w:t xml:space="preserve">The kṛt-final second member’s accent of</w:t>
      </w:r>
      <w:r>
        <w:t xml:space="preserve"> </w:t>
      </w:r>
      <w:r>
        <w:rPr>
          <w:bCs/>
          <w:b/>
        </w:rPr>
        <w:t xml:space="preserve">गतिकारकोपपदात्कृत्</w:t>
      </w:r>
      <w:r>
        <w:t xml:space="preserve"> </w:t>
      </w:r>
      <w:r>
        <w:t xml:space="preserve">(पा. सू. ६-२-१३९) would hold, but</w:t>
      </w:r>
      <w:r>
        <w:t xml:space="preserve"> </w:t>
      </w:r>
      <w:r>
        <w:rPr>
          <w:bCs/>
          <w:b/>
        </w:rPr>
        <w:t xml:space="preserve">परादिश्छन्दसि बहुलम्</w:t>
      </w:r>
      <w:r>
        <w:t xml:space="preserve"> </w:t>
      </w:r>
      <w:r>
        <w:t xml:space="preserve">(पा. सू. ६-२-१९९), with its</w:t>
      </w:r>
      <w:r>
        <w:t xml:space="preserve"> </w:t>
      </w:r>
      <w:r>
        <w:t xml:space="preserve">“</w:t>
      </w:r>
      <w:r>
        <w:t xml:space="preserve">bahula,</w:t>
      </w:r>
      <w:r>
        <w:t xml:space="preserve">”</w:t>
      </w:r>
      <w:r>
        <w:t xml:space="preserve"> </w:t>
      </w:r>
      <w:r>
        <w:t xml:space="preserve">and the vārttika</w:t>
      </w:r>
      <w:r>
        <w:t xml:space="preserve"> </w:t>
      </w:r>
      <w:r>
        <w:rPr>
          <w:bCs/>
          <w:b/>
        </w:rPr>
        <w:t xml:space="preserve">अन्तोदात्तप्रकरणे त्रिचक्रादीनां छन्दस्युपसंख्यानम्</w:t>
      </w:r>
      <w:r>
        <w:t xml:space="preserve"> </w:t>
      </w:r>
      <w:r>
        <w:t xml:space="preserve">(printed</w:t>
      </w:r>
      <w:r>
        <w:t xml:space="preserve"> </w:t>
      </w:r>
      <w:r>
        <w:t xml:space="preserve">“</w:t>
      </w:r>
      <w:r>
        <w:t xml:space="preserve">पा. सू. ९-२-१९९-वा. १,</w:t>
      </w:r>
      <w:r>
        <w:t xml:space="preserve">”</w:t>
      </w:r>
      <w:r>
        <w:t xml:space="preserve"> </w:t>
      </w:r>
      <w:r>
        <w:t xml:space="preserve">i.e. 6-2-199 vā. 1) give the end-acute.</w:t>
      </w:r>
      <w:r>
        <w:t xml:space="preserve"> </w:t>
      </w:r>
      <w:r>
        <w:rPr>
          <w:bCs/>
          <w:b/>
        </w:rPr>
        <w:t xml:space="preserve">नि</w:t>
      </w:r>
      <w:r>
        <w:t xml:space="preserve"> </w:t>
      </w:r>
      <w:r>
        <w:t xml:space="preserve">— joined with the verb, but by</w:t>
      </w:r>
      <w:r>
        <w:t xml:space="preserve"> </w:t>
      </w:r>
      <w:r>
        <w:rPr>
          <w:bCs/>
          <w:b/>
        </w:rPr>
        <w:t xml:space="preserve">व्यवहिताश्च</w:t>
      </w:r>
      <w:r>
        <w:t xml:space="preserve"> </w:t>
      </w:r>
      <w:r>
        <w:t xml:space="preserve">(पा. सू. १-४-८२) used apart.</w:t>
      </w:r>
      <w:r>
        <w:t xml:space="preserve"> </w:t>
      </w:r>
      <w:r>
        <w:rPr>
          <w:bCs/>
          <w:b/>
        </w:rPr>
        <w:t xml:space="preserve">वृत्रा</w:t>
      </w:r>
      <w:r>
        <w:t xml:space="preserve"> </w:t>
      </w:r>
      <w:r>
        <w:t xml:space="preserve">—</w:t>
      </w:r>
      <w:r>
        <w:t xml:space="preserve"> </w:t>
      </w:r>
      <w:r>
        <w:t xml:space="preserve">“</w:t>
      </w:r>
      <w:r>
        <w:t xml:space="preserve">śi</w:t>
      </w:r>
      <w:r>
        <w:t xml:space="preserve">”</w:t>
      </w:r>
      <w:r>
        <w:t xml:space="preserve"> </w:t>
      </w:r>
      <w:r>
        <w:t xml:space="preserve">for</w:t>
      </w:r>
      <w:r>
        <w:t xml:space="preserve"> </w:t>
      </w:r>
      <w:r>
        <w:t xml:space="preserve">“</w:t>
      </w:r>
      <w:r>
        <w:t xml:space="preserve">jas</w:t>
      </w:r>
      <w:r>
        <w:t xml:space="preserve">”</w:t>
      </w:r>
      <w:r>
        <w:t xml:space="preserve">;</w:t>
      </w:r>
      <w:r>
        <w:t xml:space="preserve"> </w:t>
      </w:r>
      <w:r>
        <w:rPr>
          <w:bCs/>
          <w:b/>
        </w:rPr>
        <w:t xml:space="preserve">शेश्छन्दसि बहुलम्</w:t>
      </w:r>
      <w:r>
        <w:t xml:space="preserve"> </w:t>
      </w:r>
      <w:r>
        <w:t xml:space="preserve">(पा. सू. ६-१-७०) elides it;</w:t>
      </w:r>
      <w:r>
        <w:t xml:space="preserve"> </w:t>
      </w:r>
      <w:r>
        <w:rPr>
          <w:bCs/>
          <w:b/>
        </w:rPr>
        <w:t xml:space="preserve">नपुंसकस्य झलचः</w:t>
      </w:r>
      <w:r>
        <w:t xml:space="preserve"> </w:t>
      </w:r>
      <w:r>
        <w:t xml:space="preserve">(पा. सू. ७-१-७२)</w:t>
      </w:r>
      <w:r>
        <w:t xml:space="preserve"> </w:t>
      </w:r>
      <w:r>
        <w:t xml:space="preserve">“</w:t>
      </w:r>
      <w:r>
        <w:t xml:space="preserve">num,</w:t>
      </w:r>
      <w:r>
        <w:t xml:space="preserve">”</w:t>
      </w:r>
      <w:r>
        <w:t xml:space="preserve"> </w:t>
      </w:r>
      <w:r>
        <w:t xml:space="preserve">and its</w:t>
      </w:r>
      <w:r>
        <w:t xml:space="preserve"> </w:t>
      </w:r>
      <w:r>
        <w:t xml:space="preserve">“</w:t>
      </w:r>
      <w:r>
        <w:t xml:space="preserve">n</w:t>
      </w:r>
      <w:r>
        <w:t xml:space="preserve">”</w:t>
      </w:r>
      <w:r>
        <w:t xml:space="preserve"> </w:t>
      </w:r>
      <w:r>
        <w:t xml:space="preserve">dropped by</w:t>
      </w:r>
      <w:r>
        <w:t xml:space="preserve"> </w:t>
      </w:r>
      <w:r>
        <w:rPr>
          <w:bCs/>
          <w:b/>
        </w:rPr>
        <w:t xml:space="preserve">नलोपः प्रातिपदिकान्तस्य</w:t>
      </w:r>
      <w:r>
        <w:t xml:space="preserve"> </w:t>
      </w:r>
      <w:r>
        <w:t xml:space="preserve">(पा. सू. ८-२-७).</w:t>
      </w:r>
      <w:r>
        <w:t xml:space="preserve"> </w:t>
      </w:r>
      <w:r>
        <w:rPr>
          <w:bCs/>
          <w:b/>
        </w:rPr>
        <w:t xml:space="preserve">रुणधामहै</w:t>
      </w:r>
      <w:r>
        <w:t xml:space="preserve"> </w:t>
      </w:r>
      <w:r>
        <w:t xml:space="preserve">—</w:t>
      </w:r>
      <w:r>
        <w:t xml:space="preserve"> </w:t>
      </w:r>
      <w:r>
        <w:t xml:space="preserve">“</w:t>
      </w:r>
      <w:r>
        <w:t xml:space="preserve">rudhir āvaraṇe,</w:t>
      </w:r>
      <w:r>
        <w:t xml:space="preserve">”</w:t>
      </w:r>
      <w:r>
        <w:t xml:space="preserve"> </w:t>
      </w:r>
      <w:r>
        <w:t xml:space="preserve">“</w:t>
      </w:r>
      <w:r>
        <w:t xml:space="preserve">loṭ,</w:t>
      </w:r>
      <w:r>
        <w:t xml:space="preserve">”</w:t>
      </w:r>
      <w:r>
        <w:t xml:space="preserve"> </w:t>
      </w:r>
      <w:r>
        <w:t xml:space="preserve">ātmanepada first plural</w:t>
      </w:r>
      <w:r>
        <w:t xml:space="preserve"> </w:t>
      </w:r>
      <w:r>
        <w:t xml:space="preserve">“</w:t>
      </w:r>
      <w:r>
        <w:t xml:space="preserve">mahiṅ</w:t>
      </w:r>
      <w:r>
        <w:t xml:space="preserve">”</w:t>
      </w:r>
      <w:r>
        <w:t xml:space="preserve">;</w:t>
      </w:r>
      <w:r>
        <w:t xml:space="preserve"> </w:t>
      </w:r>
      <w:r>
        <w:rPr>
          <w:bCs/>
          <w:b/>
        </w:rPr>
        <w:t xml:space="preserve">टित आत्मनेपदानां टेरे</w:t>
      </w:r>
      <w:r>
        <w:t xml:space="preserve"> </w:t>
      </w:r>
      <w:r>
        <w:t xml:space="preserve">(पा. सू. ३-४-७९)</w:t>
      </w:r>
      <w:r>
        <w:t xml:space="preserve"> </w:t>
      </w:r>
      <w:r>
        <w:t xml:space="preserve">“</w:t>
      </w:r>
      <w:r>
        <w:t xml:space="preserve">e</w:t>
      </w:r>
      <w:r>
        <w:t xml:space="preserve">”</w:t>
      </w:r>
      <w:r>
        <w:t xml:space="preserve">;</w:t>
      </w:r>
      <w:r>
        <w:t xml:space="preserve"> </w:t>
      </w:r>
      <w:r>
        <w:rPr>
          <w:bCs/>
          <w:b/>
        </w:rPr>
        <w:t xml:space="preserve">एत ऐ</w:t>
      </w:r>
      <w:r>
        <w:t xml:space="preserve"> </w:t>
      </w:r>
      <w:r>
        <w:t xml:space="preserve">(पा. सू. ३-४-९३)</w:t>
      </w:r>
      <w:r>
        <w:t xml:space="preserve"> </w:t>
      </w:r>
      <w:r>
        <w:t xml:space="preserve">“</w:t>
      </w:r>
      <w:r>
        <w:t xml:space="preserve">ai</w:t>
      </w:r>
      <w:r>
        <w:t xml:space="preserve">”</w:t>
      </w:r>
      <w:r>
        <w:t xml:space="preserve">;</w:t>
      </w:r>
      <w:r>
        <w:t xml:space="preserve"> </w:t>
      </w:r>
      <w:r>
        <w:rPr>
          <w:bCs/>
          <w:b/>
        </w:rPr>
        <w:t xml:space="preserve">रुधादिभ्यः श्नम्</w:t>
      </w:r>
      <w:r>
        <w:t xml:space="preserve"> </w:t>
      </w:r>
      <w:r>
        <w:t xml:space="preserve">(पा. सू. ३-१-७८)</w:t>
      </w:r>
      <w:r>
        <w:t xml:space="preserve"> </w:t>
      </w:r>
      <w:r>
        <w:t xml:space="preserve">“</w:t>
      </w:r>
      <w:r>
        <w:t xml:space="preserve">śnam</w:t>
      </w:r>
      <w:r>
        <w:t xml:space="preserve">”</w:t>
      </w:r>
      <w:r>
        <w:t xml:space="preserve"> </w:t>
      </w:r>
      <w:r>
        <w:t xml:space="preserve">after</w:t>
      </w:r>
      <w:r>
        <w:t xml:space="preserve"> </w:t>
      </w:r>
      <w:r>
        <w:t xml:space="preserve">“</w:t>
      </w:r>
      <w:r>
        <w:t xml:space="preserve">u</w:t>
      </w:r>
      <w:r>
        <w:t xml:space="preserve">”</w:t>
      </w:r>
      <w:r>
        <w:t xml:space="preserve">;</w:t>
      </w:r>
      <w:r>
        <w:t xml:space="preserve"> </w:t>
      </w:r>
      <w:r>
        <w:rPr>
          <w:bCs/>
          <w:b/>
        </w:rPr>
        <w:t xml:space="preserve">आडुत्तमस्य पिच्च</w:t>
      </w:r>
      <w:r>
        <w:t xml:space="preserve"> </w:t>
      </w:r>
      <w:r>
        <w:t xml:space="preserve">(पा. सू. ३-४-९२)</w:t>
      </w:r>
      <w:r>
        <w:t xml:space="preserve"> </w:t>
      </w:r>
      <w:r>
        <w:t xml:space="preserve">“</w:t>
      </w:r>
      <w:r>
        <w:t xml:space="preserve">āṭ,</w:t>
      </w:r>
      <w:r>
        <w:t xml:space="preserve">”</w:t>
      </w:r>
      <w:r>
        <w:t xml:space="preserve"> </w:t>
      </w:r>
      <w:r>
        <w:t xml:space="preserve">“</w:t>
      </w:r>
      <w:r>
        <w:t xml:space="preserve">p</w:t>
      </w:r>
      <w:r>
        <w:t xml:space="preserve">”</w:t>
      </w:r>
      <w:r>
        <w:t xml:space="preserve">-marked;</w:t>
      </w:r>
      <w:r>
        <w:t xml:space="preserve"> </w:t>
      </w:r>
      <w:r>
        <w:rPr>
          <w:bCs/>
          <w:b/>
        </w:rPr>
        <w:t xml:space="preserve">श्नसोरल्लोपः</w:t>
      </w:r>
      <w:r>
        <w:t xml:space="preserve"> </w:t>
      </w:r>
      <w:r>
        <w:t xml:space="preserve">(पा. सू. ६-४-१११) — the</w:t>
      </w:r>
      <w:r>
        <w:t xml:space="preserve"> </w:t>
      </w:r>
      <w:r>
        <w:t xml:space="preserve">“</w:t>
      </w:r>
      <w:r>
        <w:t xml:space="preserve">a</w:t>
      </w:r>
      <w:r>
        <w:t xml:space="preserve">”</w:t>
      </w:r>
      <w:r>
        <w:t xml:space="preserve"> </w:t>
      </w:r>
      <w:r>
        <w:t xml:space="preserve">of</w:t>
      </w:r>
      <w:r>
        <w:t xml:space="preserve"> </w:t>
      </w:r>
      <w:r>
        <w:t xml:space="preserve">“</w:t>
      </w:r>
      <w:r>
        <w:t xml:space="preserve">śnam</w:t>
      </w:r>
      <w:r>
        <w:t xml:space="preserve">”</w:t>
      </w:r>
      <w:r>
        <w:t xml:space="preserve"> </w:t>
      </w:r>
      <w:r>
        <w:t xml:space="preserve">and</w:t>
      </w:r>
      <w:r>
        <w:t xml:space="preserve"> </w:t>
      </w:r>
      <w:r>
        <w:t xml:space="preserve">“</w:t>
      </w:r>
      <w:r>
        <w:t xml:space="preserve">as</w:t>
      </w:r>
      <w:r>
        <w:t xml:space="preserve">”</w:t>
      </w:r>
      <w:r>
        <w:t xml:space="preserve"> </w:t>
      </w:r>
      <w:r>
        <w:t xml:space="preserve">is lost before a</w:t>
      </w:r>
      <w:r>
        <w:t xml:space="preserve"> </w:t>
      </w:r>
      <w:r>
        <w:t xml:space="preserve">“</w:t>
      </w:r>
      <w:r>
        <w:t xml:space="preserve">kit/ṅit</w:t>
      </w:r>
      <w:r>
        <w:t xml:space="preserve">”</w:t>
      </w:r>
      <w:r>
        <w:t xml:space="preserve"> </w:t>
      </w:r>
      <w:r>
        <w:t xml:space="preserve">sārvadhātuka — does not apply,</w:t>
      </w:r>
      <w:r>
        <w:t xml:space="preserve"> </w:t>
      </w:r>
      <w:r>
        <w:t xml:space="preserve">“</w:t>
      </w:r>
      <w:r>
        <w:t xml:space="preserve">āmahai</w:t>
      </w:r>
      <w:r>
        <w:t xml:space="preserve">”</w:t>
      </w:r>
      <w:r>
        <w:t xml:space="preserve"> </w:t>
      </w:r>
      <w:r>
        <w:t xml:space="preserve">being</w:t>
      </w:r>
      <w:r>
        <w:t xml:space="preserve"> </w:t>
      </w:r>
      <w:r>
        <w:t xml:space="preserve">“</w:t>
      </w:r>
      <w:r>
        <w:t xml:space="preserve">p</w:t>
      </w:r>
      <w:r>
        <w:t xml:space="preserve">”</w:t>
      </w:r>
      <w:r>
        <w:t xml:space="preserve">-marked and so not</w:t>
      </w:r>
      <w:r>
        <w:t xml:space="preserve"> </w:t>
      </w:r>
      <w:r>
        <w:t xml:space="preserve">“</w:t>
      </w:r>
      <w:r>
        <w:t xml:space="preserve">ṅit</w:t>
      </w:r>
      <w:r>
        <w:t xml:space="preserve">”</w:t>
      </w:r>
      <w:r>
        <w:t xml:space="preserve"> </w:t>
      </w:r>
      <w:r>
        <w:t xml:space="preserve">(p. 309); with</w:t>
      </w:r>
      <w:r>
        <w:t xml:space="preserve"> </w:t>
      </w:r>
      <w:r>
        <w:t xml:space="preserve">“</w:t>
      </w:r>
      <w:r>
        <w:t xml:space="preserve">raṣābhyām</w:t>
      </w:r>
      <w:r>
        <w:t xml:space="preserve">”</w:t>
      </w:r>
      <w:r>
        <w:t xml:space="preserve"> </w:t>
      </w:r>
      <w:r>
        <w:t xml:space="preserve">(पा. सू. ८-४-१) carried on,</w:t>
      </w:r>
      <w:r>
        <w:t xml:space="preserve"> </w:t>
      </w:r>
      <w:r>
        <w:rPr>
          <w:bCs/>
          <w:b/>
        </w:rPr>
        <w:t xml:space="preserve">अट्कुप्वाङ्नुम्व्यवायेऽपि</w:t>
      </w:r>
      <w:r>
        <w:t xml:space="preserve"> </w:t>
      </w:r>
      <w:r>
        <w:t xml:space="preserve">(पा. सू. ८-४-२)</w:t>
      </w:r>
      <w:r>
        <w:t xml:space="preserve"> </w:t>
      </w:r>
      <w:r>
        <w:t xml:space="preserve">“</w:t>
      </w:r>
      <w:r>
        <w:t xml:space="preserve">ṇ</w:t>
      </w:r>
      <w:r>
        <w:t xml:space="preserve">”</w:t>
      </w:r>
      <w:r>
        <w:t xml:space="preserve"> </w:t>
      </w:r>
      <w:r>
        <w:t xml:space="preserve">for</w:t>
      </w:r>
      <w:r>
        <w:t xml:space="preserve"> </w:t>
      </w:r>
      <w:r>
        <w:t xml:space="preserve">“</w:t>
      </w:r>
      <w:r>
        <w:t xml:space="preserve">n</w:t>
      </w:r>
      <w:r>
        <w:t xml:space="preserve">”</w:t>
      </w:r>
      <w:r>
        <w:t xml:space="preserve">;</w:t>
      </w:r>
      <w:r>
        <w:t xml:space="preserve"> </w:t>
      </w:r>
      <w:r>
        <w:t xml:space="preserve">“</w:t>
      </w:r>
      <w:r>
        <w:t xml:space="preserve">āmahai</w:t>
      </w:r>
      <w:r>
        <w:t xml:space="preserve">”</w:t>
      </w:r>
      <w:r>
        <w:t xml:space="preserve"> </w:t>
      </w:r>
      <w:r>
        <w:t xml:space="preserve">unaccented by</w:t>
      </w:r>
      <w:r>
        <w:t xml:space="preserve"> </w:t>
      </w:r>
      <w:r>
        <w:rPr>
          <w:bCs/>
          <w:b/>
        </w:rPr>
        <w:t xml:space="preserve">अनुदात्तौ सुप्पितौ</w:t>
      </w:r>
      <w:r>
        <w:t xml:space="preserve"> </w:t>
      </w:r>
      <w:r>
        <w:t xml:space="preserve">(पा. सू. ३-१-४), the acute of</w:t>
      </w:r>
      <w:r>
        <w:t xml:space="preserve"> </w:t>
      </w:r>
      <w:r>
        <w:t xml:space="preserve">“</w:t>
      </w:r>
      <w:r>
        <w:t xml:space="preserve">śnam</w:t>
      </w:r>
      <w:r>
        <w:t xml:space="preserve">”</w:t>
      </w:r>
      <w:r>
        <w:t xml:space="preserve"> </w:t>
      </w:r>
      <w:r>
        <w:t xml:space="preserve">remaining. Objection:</w:t>
      </w:r>
      <w:r>
        <w:t xml:space="preserve"> </w:t>
      </w:r>
      <w:r>
        <w:t xml:space="preserve">“</w:t>
      </w:r>
      <w:r>
        <w:t xml:space="preserve">tiṅṅatiṅaḥ</w:t>
      </w:r>
      <w:r>
        <w:t xml:space="preserve">”</w:t>
      </w:r>
      <w:r>
        <w:t xml:space="preserve"> </w:t>
      </w:r>
      <w:r>
        <w:t xml:space="preserve">(पा. सू. ८-१-२८) should make the whole unaccented. No: there are two verbs, the one heard in</w:t>
      </w:r>
      <w:r>
        <w:t xml:space="preserve"> </w:t>
      </w:r>
      <w:r>
        <w:t xml:space="preserve">“</w:t>
      </w:r>
      <w:r>
        <w:t xml:space="preserve">yena ni muṣṭihatyayā vṛtrā niruṇadhāmahai</w:t>
      </w:r>
      <w:r>
        <w:t xml:space="preserve">”</w:t>
      </w:r>
      <w:r>
        <w:t xml:space="preserve"> </w:t>
      </w:r>
      <w:r>
        <w:t xml:space="preserve">and the one carried over in</w:t>
      </w:r>
      <w:r>
        <w:t xml:space="preserve"> </w:t>
      </w:r>
      <w:r>
        <w:t xml:space="preserve">“</w:t>
      </w:r>
      <w:r>
        <w:t xml:space="preserve">tvotāso ’rvatā niruṇadhāmahai</w:t>
      </w:r>
      <w:r>
        <w:t xml:space="preserve">”</w:t>
      </w:r>
      <w:r>
        <w:t xml:space="preserve">; the</w:t>
      </w:r>
      <w:r>
        <w:t xml:space="preserve"> </w:t>
      </w:r>
      <w:r>
        <w:t xml:space="preserve">“</w:t>
      </w:r>
      <w:r>
        <w:t xml:space="preserve">ca</w:t>
      </w:r>
      <w:r>
        <w:t xml:space="preserve">”</w:t>
      </w:r>
      <w:r>
        <w:t xml:space="preserve"> </w:t>
      </w:r>
      <w:r>
        <w:t xml:space="preserve">joining them is not used, and by</w:t>
      </w:r>
      <w:r>
        <w:t xml:space="preserve"> </w:t>
      </w:r>
      <w:r>
        <w:rPr>
          <w:bCs/>
          <w:b/>
        </w:rPr>
        <w:t xml:space="preserve">चादिलोपे विभाषा</w:t>
      </w:r>
      <w:r>
        <w:t xml:space="preserve"> </w:t>
      </w:r>
      <w:r>
        <w:t xml:space="preserve">(पा. सू. ८-१-६३) the prohibition is optional — as in</w:t>
      </w:r>
      <w:r>
        <w:t xml:space="preserve"> </w:t>
      </w:r>
      <w:r>
        <w:t xml:space="preserve">“</w:t>
      </w:r>
      <w:r>
        <w:t xml:space="preserve">nātmanā tṛpyati nānyasmai dadāti</w:t>
      </w:r>
      <w:r>
        <w:t xml:space="preserve">”</w:t>
      </w:r>
      <w:r>
        <w:t xml:space="preserve"> </w:t>
      </w:r>
      <w:r>
        <w:t xml:space="preserve">(तै. सं. २-५-४-३), where</w:t>
      </w:r>
      <w:r>
        <w:t xml:space="preserve"> </w:t>
      </w:r>
      <w:r>
        <w:t xml:space="preserve">“</w:t>
      </w:r>
      <w:r>
        <w:t xml:space="preserve">tṛpyati</w:t>
      </w:r>
      <w:r>
        <w:t xml:space="preserve">”</w:t>
      </w:r>
      <w:r>
        <w:t xml:space="preserve"> </w:t>
      </w:r>
      <w:r>
        <w:t xml:space="preserve">is not unaccented,</w:t>
      </w:r>
      <w:r>
        <w:t xml:space="preserve"> </w:t>
      </w:r>
      <w:r>
        <w:t xml:space="preserve">“</w:t>
      </w:r>
      <w:r>
        <w:t xml:space="preserve">dadāti</w:t>
      </w:r>
      <w:r>
        <w:t xml:space="preserve">”</w:t>
      </w:r>
      <w:r>
        <w:t xml:space="preserve"> </w:t>
      </w:r>
      <w:r>
        <w:t xml:space="preserve">is. Objection: there two verbs are stated, here one. Reply: for</w:t>
      </w:r>
      <w:r>
        <w:t xml:space="preserve"> </w:t>
      </w:r>
      <w:r>
        <w:t xml:space="preserve">“</w:t>
      </w:r>
      <w:r>
        <w:t xml:space="preserve">cavāyoge prathamā</w:t>
      </w:r>
      <w:r>
        <w:t xml:space="preserve">”</w:t>
      </w:r>
      <w:r>
        <w:t xml:space="preserve"> </w:t>
      </w:r>
      <w:r>
        <w:t xml:space="preserve">it is not required that two verbs be stated; one stated verb, also connected (by anuṣaṅga) with the later sentence, is</w:t>
      </w:r>
      <w:r>
        <w:t xml:space="preserve"> </w:t>
      </w:r>
      <w:r>
        <w:t xml:space="preserve">“</w:t>
      </w:r>
      <w:r>
        <w:t xml:space="preserve">first</w:t>
      </w:r>
      <w:r>
        <w:t xml:space="preserve">”</w:t>
      </w:r>
      <w:r>
        <w:t xml:space="preserve"> </w:t>
      </w:r>
      <w:r>
        <w:t xml:space="preserve">in relation to the one supplied, as in</w:t>
      </w:r>
      <w:r>
        <w:t xml:space="preserve"> </w:t>
      </w:r>
      <w:r>
        <w:t xml:space="preserve">“</w:t>
      </w:r>
      <w:r>
        <w:t xml:space="preserve">puroḍāśaṃ cādhiśrayaty ājyaṃ ca</w:t>
      </w:r>
      <w:r>
        <w:t xml:space="preserve">”</w:t>
      </w:r>
      <w:r>
        <w:t xml:space="preserve"> </w:t>
      </w:r>
      <w:r>
        <w:t xml:space="preserve">(तै. सं. १-६-९-३-४) and</w:t>
      </w:r>
      <w:r>
        <w:t xml:space="preserve"> </w:t>
      </w:r>
      <w:r>
        <w:t xml:space="preserve">“</w:t>
      </w:r>
      <w:r>
        <w:t xml:space="preserve">prokṣaṇīś cāsādayaty ājyaṃ ca</w:t>
      </w:r>
      <w:r>
        <w:t xml:space="preserve">”</w:t>
      </w:r>
      <w:r>
        <w:t xml:space="preserve"> </w:t>
      </w:r>
      <w:r>
        <w:t xml:space="preserve">(तै. सं. १-६-९-४), where by</w:t>
      </w:r>
      <w:r>
        <w:t xml:space="preserve"> </w:t>
      </w:r>
      <w:r>
        <w:rPr>
          <w:bCs/>
          <w:b/>
        </w:rPr>
        <w:t xml:space="preserve">चवायोगे प्रथमा</w:t>
      </w:r>
      <w:r>
        <w:t xml:space="preserve"> </w:t>
      </w:r>
      <w:r>
        <w:t xml:space="preserve">(पा. सू. ८-१-५९) the nighāta is withheld.</w:t>
      </w:r>
      <w:r>
        <w:t xml:space="preserve"> </w:t>
      </w:r>
      <w:r>
        <w:rPr>
          <w:bCs/>
          <w:b/>
        </w:rPr>
        <w:t xml:space="preserve">त्वोतासः</w:t>
      </w:r>
      <w:r>
        <w:t xml:space="preserve"> </w:t>
      </w:r>
      <w:r>
        <w:t xml:space="preserve">—</w:t>
      </w:r>
      <w:r>
        <w:t xml:space="preserve"> </w:t>
      </w:r>
      <w:r>
        <w:t xml:space="preserve">“</w:t>
      </w:r>
      <w:r>
        <w:t xml:space="preserve">tvayā ūtāḥ,</w:t>
      </w:r>
      <w:r>
        <w:t xml:space="preserve">”</w:t>
      </w:r>
      <w:r>
        <w:t xml:space="preserve"> </w:t>
      </w:r>
      <w:r>
        <w:t xml:space="preserve">a third-case tatpuruṣa; the case-ending lost by</w:t>
      </w:r>
      <w:r>
        <w:t xml:space="preserve"> </w:t>
      </w:r>
      <w:r>
        <w:rPr>
          <w:bCs/>
          <w:b/>
        </w:rPr>
        <w:t xml:space="preserve">सुपो धातुप्रातिपदिकयोः</w:t>
      </w:r>
      <w:r>
        <w:t xml:space="preserve">;</w:t>
      </w:r>
      <w:r>
        <w:t xml:space="preserve"> </w:t>
      </w:r>
      <w:r>
        <w:rPr>
          <w:bCs/>
          <w:b/>
        </w:rPr>
        <w:t xml:space="preserve">प्रत्ययोत्तरपदयोश्च</w:t>
      </w:r>
      <w:r>
        <w:t xml:space="preserve"> </w:t>
      </w:r>
      <w:r>
        <w:t xml:space="preserve">(पा. सू. ७-२-९८)</w:t>
      </w:r>
      <w:r>
        <w:t xml:space="preserve"> </w:t>
      </w:r>
      <w:r>
        <w:t xml:space="preserve">“</w:t>
      </w:r>
      <w:r>
        <w:t xml:space="preserve">tva</w:t>
      </w:r>
      <w:r>
        <w:t xml:space="preserve">”</w:t>
      </w:r>
      <w:r>
        <w:t xml:space="preserve"> </w:t>
      </w:r>
      <w:r>
        <w:t xml:space="preserve">for the part up to</w:t>
      </w:r>
      <w:r>
        <w:t xml:space="preserve"> </w:t>
      </w:r>
      <w:r>
        <w:t xml:space="preserve">“</w:t>
      </w:r>
      <w:r>
        <w:t xml:space="preserve">ma</w:t>
      </w:r>
      <w:r>
        <w:t xml:space="preserve">”</w:t>
      </w:r>
      <w:r>
        <w:t xml:space="preserve">; the</w:t>
      </w:r>
      <w:r>
        <w:t xml:space="preserve"> </w:t>
      </w:r>
      <w:r>
        <w:t xml:space="preserve">“</w:t>
      </w:r>
      <w:r>
        <w:t xml:space="preserve">d</w:t>
      </w:r>
      <w:r>
        <w:t xml:space="preserve">”</w:t>
      </w:r>
      <w:r>
        <w:t xml:space="preserve"> </w:t>
      </w:r>
      <w:r>
        <w:t xml:space="preserve">lost as Vedic;</w:t>
      </w:r>
      <w:r>
        <w:t xml:space="preserve"> </w:t>
      </w:r>
      <w:r>
        <w:t xml:space="preserve">“</w:t>
      </w:r>
      <w:r>
        <w:t xml:space="preserve">ava</w:t>
      </w:r>
      <w:r>
        <w:t xml:space="preserve">”</w:t>
      </w:r>
      <w:r>
        <w:t xml:space="preserve"> </w:t>
      </w:r>
      <w:r>
        <w:t xml:space="preserve">+</w:t>
      </w:r>
      <w:r>
        <w:t xml:space="preserve"> </w:t>
      </w:r>
      <w:r>
        <w:t xml:space="preserve">“</w:t>
      </w:r>
      <w:r>
        <w:t xml:space="preserve">kta,</w:t>
      </w:r>
      <w:r>
        <w:t xml:space="preserve">”</w:t>
      </w:r>
      <w:r>
        <w:t xml:space="preserve"> </w:t>
      </w:r>
      <w:r>
        <w:t xml:space="preserve">no</w:t>
      </w:r>
      <w:r>
        <w:t xml:space="preserve"> </w:t>
      </w:r>
      <w:r>
        <w:t xml:space="preserve">“</w:t>
      </w:r>
      <w:r>
        <w:t xml:space="preserve">iṭ</w:t>
      </w:r>
      <w:r>
        <w:t xml:space="preserve">”</w:t>
      </w:r>
      <w:r>
        <w:t xml:space="preserve"> </w:t>
      </w:r>
      <w:r>
        <w:t xml:space="preserve">(Vedic);</w:t>
      </w:r>
      <w:r>
        <w:t xml:space="preserve"> </w:t>
      </w:r>
      <w:r>
        <w:rPr>
          <w:bCs/>
          <w:b/>
        </w:rPr>
        <w:t xml:space="preserve">ज्वरत्वरस्रिव्यविमवामुपधायाश्च</w:t>
      </w:r>
      <w:r>
        <w:t xml:space="preserve"> </w:t>
      </w:r>
      <w:r>
        <w:t xml:space="preserve">(पा. सू. ६-४-२०)</w:t>
      </w:r>
      <w:r>
        <w:t xml:space="preserve"> </w:t>
      </w:r>
      <w:r>
        <w:t xml:space="preserve">“</w:t>
      </w:r>
      <w:r>
        <w:t xml:space="preserve">ūṭh</w:t>
      </w:r>
      <w:r>
        <w:t xml:space="preserve">”</w:t>
      </w:r>
      <w:r>
        <w:t xml:space="preserve"> </w:t>
      </w:r>
      <w:r>
        <w:t xml:space="preserve">for the</w:t>
      </w:r>
      <w:r>
        <w:t xml:space="preserve"> </w:t>
      </w:r>
      <w:r>
        <w:t xml:space="preserve">“</w:t>
      </w:r>
      <w:r>
        <w:t xml:space="preserve">a</w:t>
      </w:r>
      <w:r>
        <w:t xml:space="preserve">”</w:t>
      </w:r>
      <w:r>
        <w:t xml:space="preserve"> </w:t>
      </w:r>
      <w:r>
        <w:t xml:space="preserve">and</w:t>
      </w:r>
      <w:r>
        <w:t xml:space="preserve"> </w:t>
      </w:r>
      <w:r>
        <w:t xml:space="preserve">“</w:t>
      </w:r>
      <w:r>
        <w:t xml:space="preserve">v</w:t>
      </w:r>
      <w:r>
        <w:t xml:space="preserve">”</w:t>
      </w:r>
      <w:r>
        <w:t xml:space="preserve"> </w:t>
      </w:r>
      <w:r>
        <w:t xml:space="preserve">(p. 310); the vṛddhi of</w:t>
      </w:r>
      <w:r>
        <w:t xml:space="preserve"> </w:t>
      </w:r>
      <w:r>
        <w:rPr>
          <w:bCs/>
          <w:b/>
        </w:rPr>
        <w:t xml:space="preserve">एत्येधत्यूठ्सु</w:t>
      </w:r>
      <w:r>
        <w:t xml:space="preserve"> </w:t>
      </w:r>
      <w:r>
        <w:t xml:space="preserve">(पा. सू. ६-१-८९) does not arise (Vedic);</w:t>
      </w:r>
      <w:r>
        <w:t xml:space="preserve"> </w:t>
      </w:r>
      <w:r>
        <w:rPr>
          <w:bCs/>
          <w:b/>
        </w:rPr>
        <w:t xml:space="preserve">तृतीया कर्मणि</w:t>
      </w:r>
      <w:r>
        <w:t xml:space="preserve"> </w:t>
      </w:r>
      <w:r>
        <w:t xml:space="preserve">(पा. सू. ६-२-४८) — the first member’s accent, the</w:t>
      </w:r>
      <w:r>
        <w:t xml:space="preserve"> </w:t>
      </w:r>
      <w:r>
        <w:t xml:space="preserve">“</w:t>
      </w:r>
      <w:r>
        <w:t xml:space="preserve">a</w:t>
      </w:r>
      <w:r>
        <w:t xml:space="preserve">”</w:t>
      </w:r>
      <w:r>
        <w:t xml:space="preserve"> </w:t>
      </w:r>
      <w:r>
        <w:t xml:space="preserve">of</w:t>
      </w:r>
      <w:r>
        <w:t xml:space="preserve"> </w:t>
      </w:r>
      <w:r>
        <w:t xml:space="preserve">“</w:t>
      </w:r>
      <w:r>
        <w:t xml:space="preserve">tva</w:t>
      </w:r>
      <w:r>
        <w:t xml:space="preserve">”</w:t>
      </w:r>
      <w:r>
        <w:t xml:space="preserve"> </w:t>
      </w:r>
      <w:r>
        <w:t xml:space="preserve">acute;</w:t>
      </w:r>
      <w:r>
        <w:t xml:space="preserve"> </w:t>
      </w:r>
      <w:r>
        <w:rPr>
          <w:bCs/>
          <w:b/>
        </w:rPr>
        <w:t xml:space="preserve">आद्गुणः</w:t>
      </w:r>
      <w:r>
        <w:t xml:space="preserve"> </w:t>
      </w:r>
      <w:r>
        <w:t xml:space="preserve">(पा. सू. ६-१-८७) the single</w:t>
      </w:r>
      <w:r>
        <w:t xml:space="preserve"> </w:t>
      </w:r>
      <w:r>
        <w:t xml:space="preserve">“</w:t>
      </w:r>
      <w:r>
        <w:t xml:space="preserve">o,</w:t>
      </w:r>
      <w:r>
        <w:t xml:space="preserve">”</w:t>
      </w:r>
      <w:r>
        <w:t xml:space="preserve"> </w:t>
      </w:r>
      <w:r>
        <w:t xml:space="preserve">acute by</w:t>
      </w:r>
      <w:r>
        <w:t xml:space="preserve"> </w:t>
      </w:r>
      <w:r>
        <w:rPr>
          <w:bCs/>
          <w:b/>
        </w:rPr>
        <w:t xml:space="preserve">एकादेश उदात्तेनोदात्तः</w:t>
      </w:r>
      <w:r>
        <w:t xml:space="preserve"> </w:t>
      </w:r>
      <w:r>
        <w:t xml:space="preserve">(पा. सू. ८-२-५).</w:t>
      </w:r>
      <w:r>
        <w:t xml:space="preserve"> </w:t>
      </w:r>
      <w:r>
        <w:rPr>
          <w:bCs/>
          <w:b/>
        </w:rPr>
        <w:t xml:space="preserve">अर्वता</w:t>
      </w:r>
      <w:r>
        <w:t xml:space="preserve"> </w:t>
      </w:r>
      <w:r>
        <w:t xml:space="preserve">—</w:t>
      </w:r>
      <w:r>
        <w:t xml:space="preserve"> </w:t>
      </w:r>
      <w:r>
        <w:t xml:space="preserve">“</w:t>
      </w:r>
      <w:r>
        <w:t xml:space="preserve">arva gatau,</w:t>
      </w:r>
      <w:r>
        <w:t xml:space="preserve">”</w:t>
      </w:r>
      <w:r>
        <w:t xml:space="preserve"> </w:t>
      </w:r>
      <w:r>
        <w:t xml:space="preserve">“</w:t>
      </w:r>
      <w:r>
        <w:t xml:space="preserve">vanip</w:t>
      </w:r>
      <w:r>
        <w:t xml:space="preserve">”</w:t>
      </w:r>
      <w:r>
        <w:t xml:space="preserve"> </w:t>
      </w:r>
      <w:r>
        <w:t xml:space="preserve">by</w:t>
      </w:r>
      <w:r>
        <w:t xml:space="preserve"> </w:t>
      </w:r>
      <w:r>
        <w:rPr>
          <w:bCs/>
          <w:b/>
        </w:rPr>
        <w:t xml:space="preserve">अन्येभ्योऽपि दृश्यन्ते</w:t>
      </w:r>
      <w:r>
        <w:t xml:space="preserve"> </w:t>
      </w:r>
      <w:r>
        <w:t xml:space="preserve">(पा. सू. ३-२-७५); the</w:t>
      </w:r>
      <w:r>
        <w:t xml:space="preserve"> </w:t>
      </w:r>
      <w:r>
        <w:t xml:space="preserve">“</w:t>
      </w:r>
      <w:r>
        <w:t xml:space="preserve">iṭ</w:t>
      </w:r>
      <w:r>
        <w:t xml:space="preserve">”</w:t>
      </w:r>
      <w:r>
        <w:t xml:space="preserve"> </w:t>
      </w:r>
      <w:r>
        <w:t xml:space="preserve">of</w:t>
      </w:r>
      <w:r>
        <w:t xml:space="preserve"> </w:t>
      </w:r>
      <w:r>
        <w:rPr>
          <w:bCs/>
          <w:b/>
        </w:rPr>
        <w:t xml:space="preserve">आर्धधातुकस्येड्वलादेः</w:t>
      </w:r>
      <w:r>
        <w:t xml:space="preserve"> </w:t>
      </w:r>
      <w:r>
        <w:t xml:space="preserve">(पा. सू. ७-२-३५) barred by</w:t>
      </w:r>
      <w:r>
        <w:t xml:space="preserve"> </w:t>
      </w:r>
      <w:r>
        <w:rPr>
          <w:bCs/>
          <w:b/>
        </w:rPr>
        <w:t xml:space="preserve">नेड्वशि कृति</w:t>
      </w:r>
      <w:r>
        <w:t xml:space="preserve"> </w:t>
      </w:r>
      <w:r>
        <w:t xml:space="preserve">(पा. सू. ७-२-८);</w:t>
      </w:r>
      <w:r>
        <w:t xml:space="preserve"> </w:t>
      </w:r>
      <w:r>
        <w:rPr>
          <w:bCs/>
          <w:b/>
        </w:rPr>
        <w:t xml:space="preserve">लोपो व्योर्वलि</w:t>
      </w:r>
      <w:r>
        <w:t xml:space="preserve"> </w:t>
      </w:r>
      <w:r>
        <w:t xml:space="preserve">(पा. सू. ६-१-६६) loss of</w:t>
      </w:r>
      <w:r>
        <w:t xml:space="preserve"> </w:t>
      </w:r>
      <w:r>
        <w:t xml:space="preserve">“</w:t>
      </w:r>
      <w:r>
        <w:t xml:space="preserve">v</w:t>
      </w:r>
      <w:r>
        <w:t xml:space="preserve">”</w:t>
      </w:r>
      <w:r>
        <w:t xml:space="preserve">:</w:t>
      </w:r>
      <w:r>
        <w:t xml:space="preserve"> </w:t>
      </w:r>
      <w:r>
        <w:t xml:space="preserve">“</w:t>
      </w:r>
      <w:r>
        <w:t xml:space="preserve">arvan</w:t>
      </w:r>
      <w:r>
        <w:t xml:space="preserve">”</w:t>
      </w:r>
      <w:r>
        <w:t xml:space="preserve">; instrumental singular:</w:t>
      </w:r>
      <w:r>
        <w:t xml:space="preserve"> </w:t>
      </w:r>
      <w:r>
        <w:rPr>
          <w:bCs/>
          <w:b/>
        </w:rPr>
        <w:t xml:space="preserve">अर्वणस्त्रसावनञः</w:t>
      </w:r>
      <w:r>
        <w:t xml:space="preserve"> </w:t>
      </w:r>
      <w:r>
        <w:t xml:space="preserve">(पा. सू. ६-४-१२७)</w:t>
      </w:r>
      <w:r>
        <w:t xml:space="preserve"> </w:t>
      </w:r>
      <w:r>
        <w:t xml:space="preserve">“</w:t>
      </w:r>
      <w:r>
        <w:t xml:space="preserve">tṛ</w:t>
      </w:r>
      <w:r>
        <w:t xml:space="preserve">”</w:t>
      </w:r>
      <w:r>
        <w:t xml:space="preserve"> </w:t>
      </w:r>
      <w:r>
        <w:t xml:space="preserve">for the</w:t>
      </w:r>
      <w:r>
        <w:t xml:space="preserve"> </w:t>
      </w:r>
      <w:r>
        <w:t xml:space="preserve">“</w:t>
      </w:r>
      <w:r>
        <w:t xml:space="preserve">n</w:t>
      </w:r>
      <w:r>
        <w:t xml:space="preserve">”</w:t>
      </w:r>
      <w:r>
        <w:t xml:space="preserve">:</w:t>
      </w:r>
      <w:r>
        <w:t xml:space="preserve"> </w:t>
      </w:r>
      <w:r>
        <w:t xml:space="preserve">“</w:t>
      </w:r>
      <w:r>
        <w:t xml:space="preserve">arvatā</w:t>
      </w:r>
      <w:r>
        <w:t xml:space="preserve">”</w:t>
      </w:r>
      <w:r>
        <w:t xml:space="preserve">;</w:t>
      </w:r>
      <w:r>
        <w:t xml:space="preserve"> </w:t>
      </w:r>
      <w:r>
        <w:t xml:space="preserve">“</w:t>
      </w:r>
      <w:r>
        <w:t xml:space="preserve">vanip,</w:t>
      </w:r>
      <w:r>
        <w:t xml:space="preserve">”</w:t>
      </w:r>
      <w:r>
        <w:t xml:space="preserve"> </w:t>
      </w:r>
      <w:r>
        <w:t xml:space="preserve">“</w:t>
      </w:r>
      <w:r>
        <w:t xml:space="preserve">p</w:t>
      </w:r>
      <w:r>
        <w:t xml:space="preserve">”</w:t>
      </w:r>
      <w:r>
        <w:t xml:space="preserve">-marked, unaccented, and the first</w:t>
      </w:r>
      <w:r>
        <w:t xml:space="preserve"> </w:t>
      </w:r>
      <w:r>
        <w:t xml:space="preserve">“</w:t>
      </w:r>
      <w:r>
        <w:t xml:space="preserve">a</w:t>
      </w:r>
      <w:r>
        <w:t xml:space="preserve">”</w:t>
      </w:r>
      <w:r>
        <w:t xml:space="preserve"> </w:t>
      </w:r>
      <w:r>
        <w:t xml:space="preserve">acute by</w:t>
      </w:r>
      <w:r>
        <w:t xml:space="preserve"> </w:t>
      </w:r>
      <w:r>
        <w:rPr>
          <w:bCs/>
          <w:b/>
        </w:rPr>
        <w:t xml:space="preserve">धातोः</w:t>
      </w:r>
      <w:r>
        <w:t xml:space="preserve"> </w:t>
      </w:r>
      <w:r>
        <w:t xml:space="preserve">(पा. सू. ६-१-१६२). ॥२॥</w:t>
      </w:r>
    </w:p>
    <w:p>
      <w:r>
        <w:pict>
          <v:rect style="width:0;height:1.5pt" o:hralign="center" o:hrstd="t" o:hr="t"/>
        </w:pict>
      </w:r>
    </w:p>
    <w:bookmarkEnd w:id="341"/>
    <w:bookmarkStart w:id="342" w:name="page-310-sūkta-8-rik-3"/>
    <w:p>
      <w:pPr>
        <w:pStyle w:val="Heading3"/>
      </w:pPr>
      <w:r>
        <w:t xml:space="preserve">Page 310 — Sūkta 8, Rik 3</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इन्द्र॒ त्वोता॑स॒ आ व॒यं वज्रं॑ घ॒ना द॑दीमहि ।</w:t>
      </w:r>
      <w:r>
        <w:t xml:space="preserve"> </w:t>
      </w:r>
      <w:r>
        <w:t xml:space="preserve">जये॑म॒ सं यु॒धि स्पृधः॑ ॥३॥</w:t>
      </w:r>
    </w:p>
    <w:p>
      <w:pPr>
        <w:pStyle w:val="BlockText"/>
      </w:pPr>
      <w:r>
        <w:rPr>
          <w:iCs/>
          <w:i/>
        </w:rPr>
        <w:t xml:space="preserve">índra tvótāsa ā́ vayáṃ vájraṃ ghanā́ dadīmahi |</w:t>
      </w:r>
      <w:r>
        <w:t xml:space="preserve"> </w:t>
      </w:r>
      <w:r>
        <w:rPr>
          <w:iCs/>
          <w:i/>
        </w:rPr>
        <w:t xml:space="preserve">jáyema sáṃ yudhí spṛ́dhaḥ ||3||</w:t>
      </w:r>
    </w:p>
    <w:p>
      <w:pPr>
        <w:pStyle w:val="FirstParagraph"/>
      </w:pPr>
      <w:r>
        <w:rPr>
          <w:bCs/>
          <w:b/>
        </w:rPr>
        <w:t xml:space="preserve">॥ Pada-pāṭhaḥ ॥</w:t>
      </w:r>
    </w:p>
    <w:p>
      <w:pPr>
        <w:pStyle w:val="BlockText"/>
      </w:pPr>
      <w:r>
        <w:t xml:space="preserve">इन्द्र । त्वाऽऊतासः । आ । वयम् । वज्रम् । घना । ददीमहि ॥</w:t>
      </w:r>
      <w:r>
        <w:t xml:space="preserve"> </w:t>
      </w:r>
      <w:r>
        <w:t xml:space="preserve">जयेम । सम् । युधि । स्पृधः ॥३॥</w:t>
      </w:r>
    </w:p>
    <w:p>
      <w:pPr>
        <w:pStyle w:val="BlockText"/>
      </w:pPr>
      <w:r>
        <w:rPr>
          <w:iCs/>
          <w:i/>
        </w:rPr>
        <w:t xml:space="preserve">indra | tvā-ūtāsaḥ | ā | vayam | vajram | ghanā | dadīmahi ||</w:t>
      </w:r>
      <w:r>
        <w:t xml:space="preserve"> </w:t>
      </w:r>
      <w:r>
        <w:rPr>
          <w:iCs/>
          <w:i/>
        </w:rPr>
        <w:t xml:space="preserve">jayema | sam | yudhi | spṛdhaḥ ||3||</w:t>
      </w:r>
    </w:p>
    <w:bookmarkEnd w:id="342"/>
    <w:bookmarkStart w:id="343" w:name="page-311-rik-3-sāyaṇa-bhāṣya"/>
    <w:p>
      <w:pPr>
        <w:pStyle w:val="Heading3"/>
      </w:pPr>
      <w:r>
        <w:t xml:space="preserve">Page 311 — Rik 3: Sāyaṇa-bhāṣya</w:t>
      </w:r>
    </w:p>
    <w:p>
      <w:pPr>
        <w:pStyle w:val="FirstParagraph"/>
      </w:pPr>
      <w:r>
        <w:rPr>
          <w:bCs/>
          <w:b/>
        </w:rPr>
        <w:t xml:space="preserve">॥ Sāyaṇa-bhāṣyam ॥</w:t>
      </w:r>
    </w:p>
    <w:p>
      <w:pPr>
        <w:pStyle w:val="BlockText"/>
      </w:pPr>
      <w:r>
        <w:t xml:space="preserve">हे इन्द्र त्वोतासस्त्वया पालिता वयं घना घनं शत्रुप्रहरणायात्यन्तं दृढं वज्रमायुधमा ददीमहि । स्वीकुर्मः । तेन च वज्रेण युधि युद्धे स्पृधः स्पर्धमानान् शत्रून्सं जयेम ॥</w:t>
      </w:r>
    </w:p>
    <w:p>
      <w:pPr>
        <w:pStyle w:val="BlockText"/>
      </w:pPr>
      <w:r>
        <w:rPr>
          <w:iCs/>
          <w:i/>
        </w:rPr>
        <w:t xml:space="preserve">he indra tvotāsas tvayā pālitā vayaṃ ghanā ghanaṃ śatru-praharaṇāyātyantaṃ dṛḍhaṃ vajram āyudham ā dadīmahi | svīkurmaḥ | tena ca vajreṇa yudhi yuddhe spṛdhaḥ spardhamānān śatrūn saṃ jayema ||</w:t>
      </w:r>
    </w:p>
    <w:p>
      <w:pPr>
        <w:pStyle w:val="FirstParagraph"/>
      </w:pPr>
      <w:r>
        <w:rPr>
          <w:bCs/>
          <w:b/>
        </w:rPr>
        <w:t xml:space="preserve">Translation:</w:t>
      </w:r>
      <w:r>
        <w:t xml:space="preserve"> </w:t>
      </w:r>
      <w:r>
        <w:t xml:space="preserve">“</w:t>
      </w:r>
      <w:r>
        <w:t xml:space="preserve">O Indra! We, protected by you (</w:t>
      </w:r>
      <w:r>
        <w:rPr>
          <w:iCs/>
          <w:i/>
        </w:rPr>
        <w:t xml:space="preserve">tvotāsaḥ</w:t>
      </w:r>
      <w:r>
        <w:t xml:space="preserve">), take up (</w:t>
      </w:r>
      <w:r>
        <w:rPr>
          <w:iCs/>
          <w:i/>
        </w:rPr>
        <w:t xml:space="preserve">ā dadīmahi</w:t>
      </w:r>
      <w:r>
        <w:t xml:space="preserve"> </w:t>
      </w:r>
      <w:r>
        <w:t xml:space="preserve">— accept) the thunderbolt-weapon (</w:t>
      </w:r>
      <w:r>
        <w:rPr>
          <w:iCs/>
          <w:i/>
        </w:rPr>
        <w:t xml:space="preserve">ghanā</w:t>
      </w:r>
      <w:r>
        <w:t xml:space="preserve"> </w:t>
      </w:r>
      <w:r>
        <w:t xml:space="preserve">=</w:t>
      </w:r>
      <w:r>
        <w:t xml:space="preserve"> </w:t>
      </w:r>
      <w:r>
        <w:rPr>
          <w:iCs/>
          <w:i/>
        </w:rPr>
        <w:t xml:space="preserve">ghanam</w:t>
      </w:r>
      <w:r>
        <w:t xml:space="preserve">), exceedingly firm for striking enemies; and with that thunderbolt in battle (</w:t>
      </w:r>
      <w:r>
        <w:rPr>
          <w:iCs/>
          <w:i/>
        </w:rPr>
        <w:t xml:space="preserve">yudhi</w:t>
      </w:r>
      <w:r>
        <w:t xml:space="preserve">) may we conquer (</w:t>
      </w:r>
      <w:r>
        <w:rPr>
          <w:iCs/>
          <w:i/>
        </w:rPr>
        <w:t xml:space="preserve">saṃ jayema</w:t>
      </w:r>
      <w:r>
        <w:t xml:space="preserve">) the enemies who contend (</w:t>
      </w:r>
      <w:r>
        <w:rPr>
          <w:iCs/>
          <w:i/>
        </w:rPr>
        <w:t xml:space="preserve">spṛdhaḥ</w:t>
      </w:r>
      <w:r>
        <w:t xml:space="preserve">).</w:t>
      </w:r>
      <w:r>
        <w:t xml:space="preserve">”</w:t>
      </w:r>
    </w:p>
    <w:p>
      <w:pPr>
        <w:pStyle w:val="BodyText"/>
      </w:pPr>
      <w:r>
        <w:rPr>
          <w:bCs/>
          <w:b/>
        </w:rPr>
        <w:t xml:space="preserve">Grammar of the Bhāṣya (characterized, references as printed; page header</w:t>
      </w:r>
      <w:r>
        <w:rPr>
          <w:bCs/>
          <w:b/>
        </w:rPr>
        <w:t xml:space="preserve"> </w:t>
      </w:r>
      <w:r>
        <w:rPr>
          <w:bCs/>
          <w:b/>
        </w:rPr>
        <w:t xml:space="preserve">“</w:t>
      </w:r>
      <w:r>
        <w:rPr>
          <w:bCs/>
          <w:b/>
        </w:rPr>
        <w:t xml:space="preserve">A. 1, A. 1, Va. 15</w:t>
      </w:r>
      <w:r>
        <w:rPr>
          <w:bCs/>
          <w:b/>
        </w:rPr>
        <w:t xml:space="preserve">”</w:t>
      </w:r>
      <w:r>
        <w:rPr>
          <w:bCs/>
          <w:b/>
        </w:rPr>
        <w:t xml:space="preserve">):</w:t>
      </w:r>
      <w:r>
        <w:t xml:space="preserve"> </w:t>
      </w:r>
      <w:r>
        <w:t xml:space="preserve">“</w:t>
      </w:r>
      <w:r>
        <w:t xml:space="preserve">Tvotāsaḥ</w:t>
      </w:r>
      <w:r>
        <w:t xml:space="preserve">”</w:t>
      </w:r>
      <w:r>
        <w:t xml:space="preserve"> </w:t>
      </w:r>
      <w:r>
        <w:t xml:space="preserve">— as before.</w:t>
      </w:r>
      <w:r>
        <w:t xml:space="preserve"> </w:t>
      </w:r>
      <w:r>
        <w:t xml:space="preserve">“</w:t>
      </w:r>
      <w:r>
        <w:t xml:space="preserve">Vajram</w:t>
      </w:r>
      <w:r>
        <w:t xml:space="preserve">”</w:t>
      </w:r>
      <w:r>
        <w:t xml:space="preserve"> </w:t>
      </w:r>
      <w:r>
        <w:t xml:space="preserve">—</w:t>
      </w:r>
      <w:r>
        <w:t xml:space="preserve"> </w:t>
      </w:r>
      <w:r>
        <w:t xml:space="preserve">“</w:t>
      </w:r>
      <w:r>
        <w:t xml:space="preserve">vaja vraja gatau,</w:t>
      </w:r>
      <w:r>
        <w:t xml:space="preserve">”</w:t>
      </w:r>
      <w:r>
        <w:t xml:space="preserve"> </w:t>
      </w:r>
      <w:r>
        <w:t xml:space="preserve">“</w:t>
      </w:r>
      <w:r>
        <w:t xml:space="preserve">ran</w:t>
      </w:r>
      <w:r>
        <w:t xml:space="preserve">”</w:t>
      </w:r>
      <w:r>
        <w:t xml:space="preserve"> </w:t>
      </w:r>
      <w:r>
        <w:t xml:space="preserve">by</w:t>
      </w:r>
      <w:r>
        <w:t xml:space="preserve"> </w:t>
      </w:r>
      <w:r>
        <w:t xml:space="preserve">“</w:t>
      </w:r>
      <w:r>
        <w:t xml:space="preserve">ṛjrendrāgra…,</w:t>
      </w:r>
      <w:r>
        <w:t xml:space="preserve">”</w:t>
      </w:r>
      <w:r>
        <w:t xml:space="preserve"> </w:t>
      </w:r>
      <w:r>
        <w:t xml:space="preserve">end-acute by nipātana.</w:t>
      </w:r>
      <w:r>
        <w:t xml:space="preserve"> </w:t>
      </w:r>
      <w:r>
        <w:t xml:space="preserve">“</w:t>
      </w:r>
      <w:r>
        <w:t xml:space="preserve">Ghanā</w:t>
      </w:r>
      <w:r>
        <w:t xml:space="preserve">”</w:t>
      </w:r>
      <w:r>
        <w:t xml:space="preserve"> </w:t>
      </w:r>
      <w:r>
        <w:t xml:space="preserve">—</w:t>
      </w:r>
      <w:r>
        <w:t xml:space="preserve"> </w:t>
      </w:r>
      <w:r>
        <w:t xml:space="preserve">“</w:t>
      </w:r>
      <w:r>
        <w:t xml:space="preserve">ghanaḥ kāṭhinyam, tad asyāstīti</w:t>
      </w:r>
      <w:r>
        <w:t xml:space="preserve">”</w:t>
      </w:r>
      <w:r>
        <w:t xml:space="preserve">:</w:t>
      </w:r>
      <w:r>
        <w:t xml:space="preserve"> </w:t>
      </w:r>
      <w:r>
        <w:rPr>
          <w:bCs/>
          <w:b/>
        </w:rPr>
        <w:t xml:space="preserve">अर्शआदिभ्योऽच्</w:t>
      </w:r>
      <w:r>
        <w:t xml:space="preserve"> </w:t>
      </w:r>
      <w:r>
        <w:t xml:space="preserve">(पा. ५-२-१२७)</w:t>
      </w:r>
      <w:r>
        <w:t xml:space="preserve"> </w:t>
      </w:r>
      <w:r>
        <w:t xml:space="preserve">“</w:t>
      </w:r>
      <w:r>
        <w:t xml:space="preserve">ac</w:t>
      </w:r>
      <w:r>
        <w:t xml:space="preserve">”</w:t>
      </w:r>
      <w:r>
        <w:t xml:space="preserve">;</w:t>
      </w:r>
      <w:r>
        <w:t xml:space="preserve"> </w:t>
      </w:r>
      <w:r>
        <w:t xml:space="preserve">“</w:t>
      </w:r>
      <w:r>
        <w:t xml:space="preserve">c</w:t>
      </w:r>
      <w:r>
        <w:t xml:space="preserve">”</w:t>
      </w:r>
      <w:r>
        <w:t xml:space="preserve">-marked, end-acute;</w:t>
      </w:r>
      <w:r>
        <w:t xml:space="preserve"> </w:t>
      </w:r>
      <w:r>
        <w:t xml:space="preserve">“</w:t>
      </w:r>
      <w:r>
        <w:t xml:space="preserve">ā</w:t>
      </w:r>
      <w:r>
        <w:t xml:space="preserve">”</w:t>
      </w:r>
      <w:r>
        <w:t xml:space="preserve"> </w:t>
      </w:r>
      <w:r>
        <w:t xml:space="preserve">for the case-ending by</w:t>
      </w:r>
      <w:r>
        <w:t xml:space="preserve"> </w:t>
      </w:r>
      <w:r>
        <w:t xml:space="preserve">“</w:t>
      </w:r>
      <w:r>
        <w:t xml:space="preserve">supāṃ suluk…</w:t>
      </w:r>
      <w:r>
        <w:t xml:space="preserve">”</w:t>
      </w:r>
      <w:r>
        <w:t xml:space="preserve">.</w:t>
      </w:r>
      <w:r>
        <w:t xml:space="preserve"> </w:t>
      </w:r>
      <w:r>
        <w:t xml:space="preserve">“</w:t>
      </w:r>
      <w:r>
        <w:t xml:space="preserve">Dadīmahi</w:t>
      </w:r>
      <w:r>
        <w:t xml:space="preserve">”</w:t>
      </w:r>
      <w:r>
        <w:t xml:space="preserve"> </w:t>
      </w:r>
      <w:r>
        <w:t xml:space="preserve">—</w:t>
      </w:r>
      <w:r>
        <w:t xml:space="preserve"> </w:t>
      </w:r>
      <w:r>
        <w:t xml:space="preserve">“</w:t>
      </w:r>
      <w:r>
        <w:t xml:space="preserve">ḍudāñ dāne,</w:t>
      </w:r>
      <w:r>
        <w:t xml:space="preserve">”</w:t>
      </w:r>
      <w:r>
        <w:t xml:space="preserve"> </w:t>
      </w:r>
      <w:r>
        <w:t xml:space="preserve">“</w:t>
      </w:r>
      <w:r>
        <w:t xml:space="preserve">liṅ</w:t>
      </w:r>
      <w:r>
        <w:t xml:space="preserve">”</w:t>
      </w:r>
      <w:r>
        <w:t xml:space="preserve"> </w:t>
      </w:r>
      <w:r>
        <w:t xml:space="preserve">in the sense of prayer; ātmanepada by</w:t>
      </w:r>
      <w:r>
        <w:t xml:space="preserve"> </w:t>
      </w:r>
      <w:r>
        <w:rPr>
          <w:bCs/>
          <w:b/>
        </w:rPr>
        <w:t xml:space="preserve">स्वरितञितः कर्त्रभिप्राये क्रियाफले</w:t>
      </w:r>
      <w:r>
        <w:t xml:space="preserve"> </w:t>
      </w:r>
      <w:r>
        <w:t xml:space="preserve">(पा. १-३-७२); first plural</w:t>
      </w:r>
      <w:r>
        <w:t xml:space="preserve"> </w:t>
      </w:r>
      <w:r>
        <w:t xml:space="preserve">“</w:t>
      </w:r>
      <w:r>
        <w:t xml:space="preserve">mahiṅ</w:t>
      </w:r>
      <w:r>
        <w:t xml:space="preserve">”</w:t>
      </w:r>
      <w:r>
        <w:t xml:space="preserve">;</w:t>
      </w:r>
      <w:r>
        <w:t xml:space="preserve"> </w:t>
      </w:r>
      <w:r>
        <w:t xml:space="preserve">“</w:t>
      </w:r>
      <w:r>
        <w:t xml:space="preserve">śap</w:t>
      </w:r>
      <w:r>
        <w:t xml:space="preserve">”</w:t>
      </w:r>
      <w:r>
        <w:t xml:space="preserve"> </w:t>
      </w:r>
      <w:r>
        <w:t xml:space="preserve">→</w:t>
      </w:r>
      <w:r>
        <w:t xml:space="preserve"> </w:t>
      </w:r>
      <w:r>
        <w:t xml:space="preserve">“</w:t>
      </w:r>
      <w:r>
        <w:t xml:space="preserve">ślu</w:t>
      </w:r>
      <w:r>
        <w:t xml:space="preserve">”</w:t>
      </w:r>
      <w:r>
        <w:t xml:space="preserve"> </w:t>
      </w:r>
      <w:r>
        <w:t xml:space="preserve">by</w:t>
      </w:r>
      <w:r>
        <w:t xml:space="preserve"> </w:t>
      </w:r>
      <w:r>
        <w:rPr>
          <w:bCs/>
          <w:b/>
        </w:rPr>
        <w:t xml:space="preserve">जुहोत्यादिभ्यः श्लुः</w:t>
      </w:r>
      <w:r>
        <w:t xml:space="preserve"> </w:t>
      </w:r>
      <w:r>
        <w:t xml:space="preserve">(पा. २-४-७५); doubling by</w:t>
      </w:r>
      <w:r>
        <w:t xml:space="preserve"> </w:t>
      </w:r>
      <w:r>
        <w:rPr>
          <w:bCs/>
          <w:b/>
        </w:rPr>
        <w:t xml:space="preserve">श्लौ</w:t>
      </w:r>
      <w:r>
        <w:t xml:space="preserve"> </w:t>
      </w:r>
      <w:r>
        <w:t xml:space="preserve">(पा. ६-१-१०);</w:t>
      </w:r>
      <w:r>
        <w:t xml:space="preserve"> </w:t>
      </w:r>
      <w:r>
        <w:rPr>
          <w:bCs/>
          <w:b/>
        </w:rPr>
        <w:t xml:space="preserve">लिङः सलोपोऽनन्त्यस्य</w:t>
      </w:r>
      <w:r>
        <w:t xml:space="preserve"> </w:t>
      </w:r>
      <w:r>
        <w:t xml:space="preserve">(पा. ७-२-७९);</w:t>
      </w:r>
      <w:r>
        <w:t xml:space="preserve"> </w:t>
      </w:r>
      <w:r>
        <w:rPr>
          <w:bCs/>
          <w:b/>
        </w:rPr>
        <w:t xml:space="preserve">श्नाभ्यस्तयोरातः</w:t>
      </w:r>
      <w:r>
        <w:t xml:space="preserve"> </w:t>
      </w:r>
      <w:r>
        <w:t xml:space="preserve">(पा. ६-४-११२) loss of</w:t>
      </w:r>
      <w:r>
        <w:t xml:space="preserve"> </w:t>
      </w:r>
      <w:r>
        <w:t xml:space="preserve">“</w:t>
      </w:r>
      <w:r>
        <w:t xml:space="preserve">ā.</w:t>
      </w:r>
      <w:r>
        <w:t xml:space="preserve">”</w:t>
      </w:r>
      <w:r>
        <w:t xml:space="preserve"> </w:t>
      </w:r>
      <w:r>
        <w:t xml:space="preserve">“</w:t>
      </w:r>
      <w:r>
        <w:t xml:space="preserve">Jayema</w:t>
      </w:r>
      <w:r>
        <w:t xml:space="preserve">”</w:t>
      </w:r>
      <w:r>
        <w:t xml:space="preserve"> </w:t>
      </w:r>
      <w:r>
        <w:t xml:space="preserve">—</w:t>
      </w:r>
      <w:r>
        <w:t xml:space="preserve"> </w:t>
      </w:r>
      <w:r>
        <w:t xml:space="preserve">“</w:t>
      </w:r>
      <w:r>
        <w:t xml:space="preserve">śap,</w:t>
      </w:r>
      <w:r>
        <w:t xml:space="preserve">”</w:t>
      </w:r>
      <w:r>
        <w:t xml:space="preserve"> </w:t>
      </w:r>
      <w:r>
        <w:t xml:space="preserve">“</w:t>
      </w:r>
      <w:r>
        <w:t xml:space="preserve">p</w:t>
      </w:r>
      <w:r>
        <w:t xml:space="preserve">”</w:t>
      </w:r>
      <w:r>
        <w:t xml:space="preserve">-marked, unaccented; the lasārvadhātuka accent leaves the root accent;</w:t>
      </w:r>
      <w:r>
        <w:t xml:space="preserve"> </w:t>
      </w:r>
      <w:r>
        <w:rPr>
          <w:bCs/>
          <w:b/>
        </w:rPr>
        <w:t xml:space="preserve">छन्दसि परेऽपि</w:t>
      </w:r>
      <w:r>
        <w:t xml:space="preserve"> </w:t>
      </w:r>
      <w:r>
        <w:t xml:space="preserve">(पा. १-४-८१)</w:t>
      </w:r>
      <w:r>
        <w:t xml:space="preserve"> </w:t>
      </w:r>
      <w:r>
        <w:t xml:space="preserve">“</w:t>
      </w:r>
      <w:r>
        <w:t xml:space="preserve">sam</w:t>
      </w:r>
      <w:r>
        <w:t xml:space="preserve">”</w:t>
      </w:r>
      <w:r>
        <w:t xml:space="preserve"> </w:t>
      </w:r>
      <w:r>
        <w:t xml:space="preserve">after the verb.</w:t>
      </w:r>
      <w:r>
        <w:t xml:space="preserve"> </w:t>
      </w:r>
      <w:r>
        <w:t xml:space="preserve">“</w:t>
      </w:r>
      <w:r>
        <w:t xml:space="preserve">Yudhi</w:t>
      </w:r>
      <w:r>
        <w:t xml:space="preserve">”</w:t>
      </w:r>
      <w:r>
        <w:t xml:space="preserve"> </w:t>
      </w:r>
      <w:r>
        <w:t xml:space="preserve">—</w:t>
      </w:r>
      <w:r>
        <w:t xml:space="preserve"> </w:t>
      </w:r>
      <w:r>
        <w:t xml:space="preserve">“</w:t>
      </w:r>
      <w:r>
        <w:t xml:space="preserve">yudha samprahāre,</w:t>
      </w:r>
      <w:r>
        <w:t xml:space="preserve">”</w:t>
      </w:r>
      <w:r>
        <w:t xml:space="preserve"> </w:t>
      </w:r>
      <w:r>
        <w:rPr>
          <w:bCs/>
          <w:b/>
        </w:rPr>
        <w:t xml:space="preserve">संपदादिभ्यो भावे क्विप्</w:t>
      </w:r>
      <w:r>
        <w:t xml:space="preserve"> </w:t>
      </w:r>
      <w:r>
        <w:t xml:space="preserve">(पा. ३-३-१०८-९, a vārttika);</w:t>
      </w:r>
      <w:r>
        <w:t xml:space="preserve"> </w:t>
      </w:r>
      <w:r>
        <w:t xml:space="preserve">“</w:t>
      </w:r>
      <w:r>
        <w:t xml:space="preserve">sāv ekācaḥ…</w:t>
      </w:r>
      <w:r>
        <w:t xml:space="preserve">”</w:t>
      </w:r>
      <w:r>
        <w:t xml:space="preserve"> </w:t>
      </w:r>
      <w:r>
        <w:t xml:space="preserve">the case-ending acute.</w:t>
      </w:r>
      <w:r>
        <w:t xml:space="preserve"> </w:t>
      </w:r>
      <w:r>
        <w:t xml:space="preserve">“</w:t>
      </w:r>
      <w:r>
        <w:t xml:space="preserve">Spṛdhaḥ</w:t>
      </w:r>
      <w:r>
        <w:t xml:space="preserve">”</w:t>
      </w:r>
      <w:r>
        <w:t xml:space="preserve"> </w:t>
      </w:r>
      <w:r>
        <w:t xml:space="preserve">—</w:t>
      </w:r>
      <w:r>
        <w:t xml:space="preserve"> </w:t>
      </w:r>
      <w:r>
        <w:t xml:space="preserve">“</w:t>
      </w:r>
      <w:r>
        <w:t xml:space="preserve">spardhanta iti,</w:t>
      </w:r>
      <w:r>
        <w:t xml:space="preserve">”</w:t>
      </w:r>
      <w:r>
        <w:t xml:space="preserve"> </w:t>
      </w:r>
      <w:r>
        <w:t xml:space="preserve">“</w:t>
      </w:r>
      <w:r>
        <w:t xml:space="preserve">spardha saṃgharṣe,</w:t>
      </w:r>
      <w:r>
        <w:t xml:space="preserve">”</w:t>
      </w:r>
      <w:r>
        <w:t xml:space="preserve"> </w:t>
      </w:r>
      <w:r>
        <w:rPr>
          <w:bCs/>
          <w:b/>
        </w:rPr>
        <w:t xml:space="preserve">क्विप् च</w:t>
      </w:r>
      <w:r>
        <w:t xml:space="preserve"> </w:t>
      </w:r>
      <w:r>
        <w:t xml:space="preserve">(पा. ३-२-७६); samprasāraṇa</w:t>
      </w:r>
      <w:r>
        <w:t xml:space="preserve"> </w:t>
      </w:r>
      <w:r>
        <w:t xml:space="preserve">“</w:t>
      </w:r>
      <w:r>
        <w:t xml:space="preserve">ṛ</w:t>
      </w:r>
      <w:r>
        <w:t xml:space="preserve">”</w:t>
      </w:r>
      <w:r>
        <w:t xml:space="preserve"> </w:t>
      </w:r>
      <w:r>
        <w:t xml:space="preserve">of the</w:t>
      </w:r>
      <w:r>
        <w:t xml:space="preserve"> </w:t>
      </w:r>
      <w:r>
        <w:t xml:space="preserve">“</w:t>
      </w:r>
      <w:r>
        <w:t xml:space="preserve">r</w:t>
      </w:r>
      <w:r>
        <w:t xml:space="preserve">”</w:t>
      </w:r>
      <w:r>
        <w:t xml:space="preserve"> </w:t>
      </w:r>
      <w:r>
        <w:t xml:space="preserve">by</w:t>
      </w:r>
      <w:r>
        <w:t xml:space="preserve"> </w:t>
      </w:r>
      <w:r>
        <w:t xml:space="preserve">“</w:t>
      </w:r>
      <w:r>
        <w:t xml:space="preserve">bahulaṃ chandasi,</w:t>
      </w:r>
      <w:r>
        <w:t xml:space="preserve">”</w:t>
      </w:r>
      <w:r>
        <w:t xml:space="preserve"> </w:t>
      </w:r>
      <w:r>
        <w:t xml:space="preserve">and loss of</w:t>
      </w:r>
      <w:r>
        <w:t xml:space="preserve"> </w:t>
      </w:r>
      <w:r>
        <w:t xml:space="preserve">“</w:t>
      </w:r>
      <w:r>
        <w:t xml:space="preserve">a.</w:t>
      </w:r>
      <w:r>
        <w:t xml:space="preserve">”</w:t>
      </w:r>
    </w:p>
    <w:p>
      <w:pPr>
        <w:pStyle w:val="BodyText"/>
      </w:pPr>
      <w:r>
        <w:rPr>
          <w:bCs/>
          <w:b/>
        </w:rPr>
        <w:t xml:space="preserve">॥ Prati-padārthaḥ ॥</w:t>
      </w:r>
    </w:p>
    <w:p>
      <w:pPr>
        <w:pStyle w:val="BodyText"/>
      </w:pPr>
      <w:r>
        <w:rPr>
          <w:bCs/>
          <w:b/>
        </w:rPr>
        <w:t xml:space="preserve">(हे) इन्द्र ((he) indra)</w:t>
      </w:r>
      <w:r>
        <w:t xml:space="preserve"> </w:t>
      </w:r>
      <w:r>
        <w:t xml:space="preserve">— O Indra |</w:t>
      </w:r>
      <w:r>
        <w:t xml:space="preserve"> </w:t>
      </w:r>
      <w:r>
        <w:rPr>
          <w:bCs/>
          <w:b/>
        </w:rPr>
        <w:t xml:space="preserve">त्वोतासः (tvotāsaḥ)</w:t>
      </w:r>
      <w:r>
        <w:t xml:space="preserve"> </w:t>
      </w:r>
      <w:r>
        <w:t xml:space="preserve">— we, protected by you |</w:t>
      </w:r>
      <w:r>
        <w:t xml:space="preserve"> </w:t>
      </w:r>
      <w:r>
        <w:rPr>
          <w:bCs/>
          <w:b/>
        </w:rPr>
        <w:t xml:space="preserve">घना (ghanā)</w:t>
      </w:r>
      <w:r>
        <w:t xml:space="preserve"> </w:t>
      </w:r>
      <w:r>
        <w:t xml:space="preserve">— very firm (in striking enemies) |</w:t>
      </w:r>
      <w:r>
        <w:t xml:space="preserve"> </w:t>
      </w:r>
      <w:r>
        <w:rPr>
          <w:bCs/>
          <w:b/>
        </w:rPr>
        <w:t xml:space="preserve">वज्रम् (vajram)</w:t>
      </w:r>
      <w:r>
        <w:t xml:space="preserve"> </w:t>
      </w:r>
      <w:r>
        <w:t xml:space="preserve">— the weapon |</w:t>
      </w:r>
      <w:r>
        <w:t xml:space="preserve"> </w:t>
      </w:r>
      <w:r>
        <w:rPr>
          <w:bCs/>
          <w:b/>
        </w:rPr>
        <w:t xml:space="preserve">आ ददीमहि (ā dadīmahi)</w:t>
      </w:r>
      <w:r>
        <w:t xml:space="preserve"> </w:t>
      </w:r>
      <w:r>
        <w:t xml:space="preserve">— we shall take up | (with that thunderbolt)</w:t>
      </w:r>
      <w:r>
        <w:t xml:space="preserve"> </w:t>
      </w:r>
      <w:r>
        <w:rPr>
          <w:bCs/>
          <w:b/>
        </w:rPr>
        <w:t xml:space="preserve">युधि (yudhi)</w:t>
      </w:r>
      <w:r>
        <w:t xml:space="preserve"> </w:t>
      </w:r>
      <w:r>
        <w:t xml:space="preserve">— in battle |</w:t>
      </w:r>
      <w:r>
        <w:t xml:space="preserve"> </w:t>
      </w:r>
      <w:r>
        <w:rPr>
          <w:bCs/>
          <w:b/>
        </w:rPr>
        <w:t xml:space="preserve">स्पृधः (spṛdhaḥ)</w:t>
      </w:r>
      <w:r>
        <w:t xml:space="preserve"> </w:t>
      </w:r>
      <w:r>
        <w:t xml:space="preserve">— the enemies who fight against us |</w:t>
      </w:r>
      <w:r>
        <w:t xml:space="preserve"> </w:t>
      </w:r>
      <w:r>
        <w:rPr>
          <w:bCs/>
          <w:b/>
        </w:rPr>
        <w:t xml:space="preserve">सं जयेम (saṃ jayema)</w:t>
      </w:r>
      <w:r>
        <w:t xml:space="preserve"> </w:t>
      </w:r>
      <w:r>
        <w:t xml:space="preserve">— we shall conquer.</w:t>
      </w:r>
    </w:p>
    <w:p>
      <w:pPr>
        <w:pStyle w:val="BodyText"/>
      </w:pPr>
      <w:r>
        <w:rPr>
          <w:bCs/>
          <w:b/>
        </w:rPr>
        <w:t xml:space="preserve">॥ Bhāvārthaḥ ॥</w:t>
      </w:r>
    </w:p>
    <w:p>
      <w:pPr>
        <w:pStyle w:val="BodyText"/>
      </w:pPr>
      <w:r>
        <w:t xml:space="preserve">O Indra! We, protected by you, will take the thunderbolt-weapon, very firm for destroying enemies, and conquer the enemies who fight against us in battle.</w:t>
      </w:r>
    </w:p>
    <w:p>
      <w:pPr>
        <w:pStyle w:val="BodyText"/>
      </w:pPr>
      <w:r>
        <w:rPr>
          <w:bCs/>
          <w:b/>
        </w:rPr>
        <w:t xml:space="preserve">॥ English Translation ॥</w:t>
      </w:r>
      <w:r>
        <w:t xml:space="preserve"> </w:t>
      </w:r>
      <w:r>
        <w:rPr>
          <w:iCs/>
          <w:i/>
        </w:rPr>
        <w:t xml:space="preserve">(as printed in the source)</w:t>
      </w:r>
    </w:p>
    <w:p>
      <w:pPr>
        <w:pStyle w:val="BlockText"/>
      </w:pPr>
      <w:r>
        <w:t xml:space="preserve">Protected by you, O Indra, we posses [sic] a ponderous weapon (thunderbolt) wherewith we may entirely conquer our enemies in a battle.</w:t>
      </w:r>
    </w:p>
    <w:bookmarkEnd w:id="343"/>
    <w:bookmarkStart w:id="344" w:name="page-312-rik-3-special-topics-grammar"/>
    <w:p>
      <w:pPr>
        <w:pStyle w:val="Heading3"/>
      </w:pPr>
      <w:r>
        <w:t xml:space="preserve">Page 312 — Rik 3: Special Topics; grammar</w:t>
      </w:r>
    </w:p>
    <w:p>
      <w:pPr>
        <w:pStyle w:val="FirstParagraph"/>
      </w:pPr>
      <w:r>
        <w:rPr>
          <w:bCs/>
          <w:b/>
        </w:rPr>
        <w:t xml:space="preserve">॥ Viśeṣa-viṣayagaḷu (Special Topics) ॥</w:t>
      </w:r>
    </w:p>
    <w:p>
      <w:pPr>
        <w:pStyle w:val="BodyText"/>
      </w:pPr>
      <w:r>
        <w:rPr>
          <w:bCs/>
          <w:b/>
        </w:rPr>
        <w:t xml:space="preserve">“</w:t>
      </w:r>
      <w:r>
        <w:rPr>
          <w:bCs/>
          <w:b/>
        </w:rPr>
        <w:t xml:space="preserve">Vajram</w:t>
      </w:r>
      <w:r>
        <w:rPr>
          <w:bCs/>
          <w:b/>
        </w:rPr>
        <w:t xml:space="preserve">”</w:t>
      </w:r>
      <w:r>
        <w:t xml:space="preserve"> </w:t>
      </w:r>
      <w:r>
        <w:t xml:space="preserve">— rather than taking</w:t>
      </w:r>
      <w:r>
        <w:t xml:space="preserve"> </w:t>
      </w:r>
      <w:r>
        <w:rPr>
          <w:iCs/>
          <w:i/>
        </w:rPr>
        <w:t xml:space="preserve">vajram</w:t>
      </w:r>
      <w:r>
        <w:t xml:space="preserve"> </w:t>
      </w:r>
      <w:r>
        <w:t xml:space="preserve">here as</w:t>
      </w:r>
      <w:r>
        <w:t xml:space="preserve"> </w:t>
      </w:r>
      <w:r>
        <w:t xml:space="preserve">“</w:t>
      </w:r>
      <w:r>
        <w:t xml:space="preserve">the thunderbolt-weapon,</w:t>
      </w:r>
      <w:r>
        <w:t xml:space="preserve">”</w:t>
      </w:r>
      <w:r>
        <w:t xml:space="preserve"> </w:t>
      </w:r>
      <w:r>
        <w:t xml:space="preserve">the sense</w:t>
      </w:r>
      <w:r>
        <w:t xml:space="preserve"> </w:t>
      </w:r>
      <w:r>
        <w:t xml:space="preserve">“</w:t>
      </w:r>
      <w:r>
        <w:t xml:space="preserve">extremely hard, like the thunderbolt</w:t>
      </w:r>
      <w:r>
        <w:t xml:space="preserve">”</w:t>
      </w:r>
      <w:r>
        <w:t xml:space="preserve"> </w:t>
      </w:r>
      <w:r>
        <w:t xml:space="preserve">is more fitting. For it is impossible for us humans to use the thunderbolt that Indra uses.</w:t>
      </w:r>
      <w:r>
        <w:t xml:space="preserve"> </w:t>
      </w:r>
      <w:r>
        <w:rPr>
          <w:iCs/>
          <w:i/>
        </w:rPr>
        <w:t xml:space="preserve">Or:</w:t>
      </w:r>
      <w:r>
        <w:t xml:space="preserve"> </w:t>
      </w:r>
      <w:r>
        <w:t xml:space="preserve">“</w:t>
      </w:r>
      <w:r>
        <w:rPr>
          <w:iCs/>
          <w:i/>
        </w:rPr>
        <w:t xml:space="preserve">vajram ā dadīmahe</w:t>
      </w:r>
      <w:r>
        <w:t xml:space="preserve">”</w:t>
      </w:r>
      <w:r>
        <w:t xml:space="preserve"> </w:t>
      </w:r>
      <w:r>
        <w:t xml:space="preserve">may mean</w:t>
      </w:r>
      <w:r>
        <w:t xml:space="preserve"> </w:t>
      </w:r>
      <w:r>
        <w:t xml:space="preserve">“</w:t>
      </w:r>
      <w:r>
        <w:t xml:space="preserve">obtaining the help of Indra’s thunderbolt,</w:t>
      </w:r>
      <w:r>
        <w:t xml:space="preserve"> </w:t>
      </w:r>
      <w:r>
        <w:rPr>
          <w:iCs/>
          <w:i/>
        </w:rPr>
        <w:t xml:space="preserve">saṃ jayema</w:t>
      </w:r>
      <w:r>
        <w:t xml:space="preserve"> </w:t>
      </w:r>
      <w:r>
        <w:t xml:space="preserve">— we shall conquer enemies.</w:t>
      </w:r>
      <w:r>
        <w:t xml:space="preserve">”</w:t>
      </w:r>
    </w:p>
    <w:p>
      <w:pPr>
        <w:pStyle w:val="BodyText"/>
      </w:pPr>
      <w:r>
        <w:rPr>
          <w:bCs/>
          <w:b/>
        </w:rPr>
        <w:t xml:space="preserve">“</w:t>
      </w:r>
      <w:r>
        <w:rPr>
          <w:bCs/>
          <w:b/>
        </w:rPr>
        <w:t xml:space="preserve">Ghanā</w:t>
      </w:r>
      <w:r>
        <w:rPr>
          <w:bCs/>
          <w:b/>
        </w:rPr>
        <w:t xml:space="preserve">”</w:t>
      </w:r>
      <w:r>
        <w:t xml:space="preserve"> </w:t>
      </w:r>
      <w:r>
        <w:t xml:space="preserve">—</w:t>
      </w:r>
      <w:r>
        <w:t xml:space="preserve"> </w:t>
      </w:r>
      <w:r>
        <w:rPr>
          <w:iCs/>
          <w:i/>
        </w:rPr>
        <w:t xml:space="preserve">ghanam</w:t>
      </w:r>
      <w:r>
        <w:t xml:space="preserve"> </w:t>
      </w:r>
      <w:r>
        <w:t xml:space="preserve">means hard, very heavy;</w:t>
      </w:r>
      <w:r>
        <w:t xml:space="preserve"> </w:t>
      </w:r>
      <w:r>
        <w:rPr>
          <w:iCs/>
          <w:i/>
        </w:rPr>
        <w:t xml:space="preserve">hard, firm</w:t>
      </w:r>
      <w:r>
        <w:t xml:space="preserve">, etc.</w:t>
      </w:r>
    </w:p>
    <w:p>
      <w:pPr>
        <w:pStyle w:val="BodyText"/>
      </w:pPr>
      <w:r>
        <w:rPr>
          <w:bCs/>
          <w:b/>
        </w:rPr>
        <w:t xml:space="preserve">॥ Vyākaraṇa-prakriyā ॥</w:t>
      </w:r>
      <w:r>
        <w:t xml:space="preserve"> </w:t>
      </w:r>
      <w:r>
        <w:rPr>
          <w:iCs/>
          <w:i/>
        </w:rPr>
        <w:t xml:space="preserve">(pp. 312–314, Kannada; page headers p. 312</w:t>
      </w:r>
      <w:r>
        <w:rPr>
          <w:iCs/>
          <w:i/>
        </w:rPr>
        <w:t xml:space="preserve"> </w:t>
      </w:r>
      <w:r>
        <w:rPr>
          <w:iCs/>
          <w:i/>
        </w:rPr>
        <w:t xml:space="preserve">“</w:t>
      </w:r>
      <w:r>
        <w:rPr>
          <w:iCs/>
          <w:i/>
        </w:rPr>
        <w:t xml:space="preserve">Maṃ. 1, A. 3, Sū. 8,</w:t>
      </w:r>
      <w:r>
        <w:rPr>
          <w:iCs/>
          <w:i/>
        </w:rPr>
        <w:t xml:space="preserve">”</w:t>
      </w:r>
      <w:r>
        <w:rPr>
          <w:iCs/>
          <w:i/>
        </w:rPr>
        <w:t xml:space="preserve"> </w:t>
      </w:r>
      <w:r>
        <w:rPr>
          <w:iCs/>
          <w:i/>
        </w:rPr>
        <w:t xml:space="preserve">p. 313</w:t>
      </w:r>
      <w:r>
        <w:rPr>
          <w:iCs/>
          <w:i/>
        </w:rPr>
        <w:t xml:space="preserve"> </w:t>
      </w:r>
      <w:r>
        <w:rPr>
          <w:iCs/>
          <w:i/>
        </w:rPr>
        <w:t xml:space="preserve">“</w:t>
      </w:r>
      <w:r>
        <w:rPr>
          <w:iCs/>
          <w:i/>
        </w:rPr>
        <w:t xml:space="preserve">A. 1, A. 1, Va. 15</w:t>
      </w:r>
      <w:r>
        <w:rPr>
          <w:iCs/>
          <w:i/>
        </w:rPr>
        <w:t xml:space="preserve">”</w:t>
      </w:r>
      <w:r>
        <w:rPr>
          <w:iCs/>
          <w:i/>
        </w:rPr>
        <w:t xml:space="preserve">; characterized, numbers as printed)</w:t>
      </w:r>
    </w:p>
    <w:p>
      <w:pPr>
        <w:pStyle w:val="BodyText"/>
      </w:pPr>
      <w:r>
        <w:rPr>
          <w:bCs/>
          <w:b/>
        </w:rPr>
        <w:t xml:space="preserve">त्वोतासः</w:t>
      </w:r>
      <w:r>
        <w:t xml:space="preserve"> </w:t>
      </w:r>
      <w:r>
        <w:t xml:space="preserve">— given in the previous Ṛk.</w:t>
      </w:r>
      <w:r>
        <w:t xml:space="preserve"> </w:t>
      </w:r>
      <w:r>
        <w:rPr>
          <w:bCs/>
          <w:b/>
        </w:rPr>
        <w:t xml:space="preserve">वज्रम्</w:t>
      </w:r>
      <w:r>
        <w:t xml:space="preserve"> </w:t>
      </w:r>
      <w:r>
        <w:t xml:space="preserve">—</w:t>
      </w:r>
      <w:r>
        <w:t xml:space="preserve"> </w:t>
      </w:r>
      <w:r>
        <w:t xml:space="preserve">“</w:t>
      </w:r>
      <w:r>
        <w:t xml:space="preserve">vaja vraja gatau,</w:t>
      </w:r>
      <w:r>
        <w:t xml:space="preserve">”</w:t>
      </w:r>
      <w:r>
        <w:t xml:space="preserve"> </w:t>
      </w:r>
      <w:r>
        <w:t xml:space="preserve">“</w:t>
      </w:r>
      <w:r>
        <w:t xml:space="preserve">ran</w:t>
      </w:r>
      <w:r>
        <w:t xml:space="preserve">”</w:t>
      </w:r>
      <w:r>
        <w:t xml:space="preserve"> </w:t>
      </w:r>
      <w:r>
        <w:t xml:space="preserve">by nipātana in</w:t>
      </w:r>
      <w:r>
        <w:t xml:space="preserve"> </w:t>
      </w:r>
      <w:r>
        <w:rPr>
          <w:bCs/>
          <w:b/>
        </w:rPr>
        <w:t xml:space="preserve">ऋज्रेन्द्राग्रवज्र…</w:t>
      </w:r>
      <w:r>
        <w:t xml:space="preserve"> </w:t>
      </w:r>
      <w:r>
        <w:t xml:space="preserve">(उ. सू. २-१८६).</w:t>
      </w:r>
      <w:r>
        <w:t xml:space="preserve"> </w:t>
      </w:r>
      <w:r>
        <w:rPr>
          <w:bCs/>
          <w:b/>
        </w:rPr>
        <w:t xml:space="preserve">घना</w:t>
      </w:r>
      <w:r>
        <w:t xml:space="preserve"> </w:t>
      </w:r>
      <w:r>
        <w:t xml:space="preserve">—</w:t>
      </w:r>
      <w:r>
        <w:t xml:space="preserve"> </w:t>
      </w:r>
      <w:r>
        <w:t xml:space="preserve">“</w:t>
      </w:r>
      <w:r>
        <w:t xml:space="preserve">ghanaḥ kāṭhinyam,</w:t>
      </w:r>
      <w:r>
        <w:t xml:space="preserve">”</w:t>
      </w:r>
      <w:r>
        <w:t xml:space="preserve"> </w:t>
      </w:r>
      <w:r>
        <w:t xml:space="preserve">“</w:t>
      </w:r>
      <w:r>
        <w:t xml:space="preserve">ghano ’syāsti</w:t>
      </w:r>
      <w:r>
        <w:t xml:space="preserve">”</w:t>
      </w:r>
      <w:r>
        <w:t xml:space="preserve">:</w:t>
      </w:r>
      <w:r>
        <w:t xml:space="preserve"> </w:t>
      </w:r>
      <w:r>
        <w:rPr>
          <w:bCs/>
          <w:b/>
        </w:rPr>
        <w:t xml:space="preserve">नन्दिग्रहिपचादिभ्यो ल्युणिन्यचः</w:t>
      </w:r>
      <w:r>
        <w:t xml:space="preserve"> </w:t>
      </w:r>
      <w:r>
        <w:t xml:space="preserve">(पा. सू. ३-१-१३४), being of the pacādi class,</w:t>
      </w:r>
      <w:r>
        <w:t xml:space="preserve"> </w:t>
      </w:r>
      <w:r>
        <w:t xml:space="preserve">“</w:t>
      </w:r>
      <w:r>
        <w:t xml:space="preserve">ac</w:t>
      </w:r>
      <w:r>
        <w:t xml:space="preserve">”</w:t>
      </w:r>
      <w:r>
        <w:t xml:space="preserve">;</w:t>
      </w:r>
      <w:r>
        <w:t xml:space="preserve"> </w:t>
      </w:r>
      <w:r>
        <w:t xml:space="preserve">“</w:t>
      </w:r>
      <w:r>
        <w:t xml:space="preserve">c</w:t>
      </w:r>
      <w:r>
        <w:t xml:space="preserve">”</w:t>
      </w:r>
      <w:r>
        <w:t xml:space="preserve">-marked, end-acute;</w:t>
      </w:r>
      <w:r>
        <w:t xml:space="preserve"> </w:t>
      </w:r>
      <w:r>
        <w:t xml:space="preserve">“</w:t>
      </w:r>
      <w:r>
        <w:t xml:space="preserve">ā</w:t>
      </w:r>
      <w:r>
        <w:t xml:space="preserve">”</w:t>
      </w:r>
      <w:r>
        <w:t xml:space="preserve"> </w:t>
      </w:r>
      <w:r>
        <w:t xml:space="preserve">for</w:t>
      </w:r>
      <w:r>
        <w:t xml:space="preserve"> </w:t>
      </w:r>
      <w:r>
        <w:t xml:space="preserve">“</w:t>
      </w:r>
      <w:r>
        <w:t xml:space="preserve">am</w:t>
      </w:r>
      <w:r>
        <w:t xml:space="preserve">”</w:t>
      </w:r>
      <w:r>
        <w:t xml:space="preserve"> </w:t>
      </w:r>
      <w:r>
        <w:t xml:space="preserve">by</w:t>
      </w:r>
      <w:r>
        <w:t xml:space="preserve"> </w:t>
      </w:r>
      <w:r>
        <w:rPr>
          <w:bCs/>
          <w:b/>
        </w:rPr>
        <w:t xml:space="preserve">सुपां सुलुक्…</w:t>
      </w:r>
      <w:r>
        <w:t xml:space="preserve"> </w:t>
      </w:r>
      <w:r>
        <w:t xml:space="preserve">(पा. सू. ७-१-३९).</w:t>
      </w:r>
      <w:r>
        <w:t xml:space="preserve"> </w:t>
      </w:r>
      <w:r>
        <w:rPr>
          <w:bCs/>
          <w:b/>
        </w:rPr>
        <w:t xml:space="preserve">ददीमहि</w:t>
      </w:r>
      <w:r>
        <w:t xml:space="preserve"> </w:t>
      </w:r>
      <w:r>
        <w:t xml:space="preserve">—</w:t>
      </w:r>
      <w:r>
        <w:t xml:space="preserve"> </w:t>
      </w:r>
      <w:r>
        <w:t xml:space="preserve">“</w:t>
      </w:r>
      <w:r>
        <w:t xml:space="preserve">ḍudāñ dāne,</w:t>
      </w:r>
      <w:r>
        <w:t xml:space="preserve">”</w:t>
      </w:r>
      <w:r>
        <w:t xml:space="preserve"> </w:t>
      </w:r>
      <w:r>
        <w:t xml:space="preserve">juhotyādi:</w:t>
      </w:r>
      <w:r>
        <w:t xml:space="preserve"> </w:t>
      </w:r>
      <w:r>
        <w:rPr>
          <w:bCs/>
          <w:b/>
        </w:rPr>
        <w:t xml:space="preserve">विधिनिमन्त्रणामन्त्रणाधीष्टसंप्रश्नप्रार्थनेषु लिङ्</w:t>
      </w:r>
      <w:r>
        <w:t xml:space="preserve"> </w:t>
      </w:r>
      <w:r>
        <w:t xml:space="preserve">(पा. सू. ३-३-१६१)</w:t>
      </w:r>
      <w:r>
        <w:t xml:space="preserve"> </w:t>
      </w:r>
      <w:r>
        <w:t xml:space="preserve">“</w:t>
      </w:r>
      <w:r>
        <w:t xml:space="preserve">liṅ</w:t>
      </w:r>
      <w:r>
        <w:t xml:space="preserve">”</w:t>
      </w:r>
      <w:r>
        <w:t xml:space="preserve"> </w:t>
      </w:r>
      <w:r>
        <w:t xml:space="preserve">in the sense of prayer; of the eighteen endings for</w:t>
      </w:r>
      <w:r>
        <w:t xml:space="preserve"> </w:t>
      </w:r>
      <w:r>
        <w:t xml:space="preserve">“</w:t>
      </w:r>
      <w:r>
        <w:t xml:space="preserve">liṅ</w:t>
      </w:r>
      <w:r>
        <w:t xml:space="preserve">”</w:t>
      </w:r>
      <w:r>
        <w:t xml:space="preserve"> </w:t>
      </w:r>
      <w:r>
        <w:t xml:space="preserve">(by</w:t>
      </w:r>
      <w:r>
        <w:t xml:space="preserve"> </w:t>
      </w:r>
      <w:r>
        <w:rPr>
          <w:bCs/>
          <w:b/>
        </w:rPr>
        <w:t xml:space="preserve">तिप्तस्झि…</w:t>
      </w:r>
      <w:r>
        <w:t xml:space="preserve">, पा. सू. ३-४-७८, as the maxim of the pigeons settling together goes), the root being</w:t>
      </w:r>
      <w:r>
        <w:t xml:space="preserve"> </w:t>
      </w:r>
      <w:r>
        <w:t xml:space="preserve">“</w:t>
      </w:r>
      <w:r>
        <w:t xml:space="preserve">ñit,</w:t>
      </w:r>
      <w:r>
        <w:t xml:space="preserve">”</w:t>
      </w:r>
      <w:r>
        <w:t xml:space="preserve"> </w:t>
      </w:r>
      <w:r>
        <w:rPr>
          <w:bCs/>
          <w:b/>
        </w:rPr>
        <w:t xml:space="preserve">स्वरितञितः कर्त्रभिप्राये क्रियाफले</w:t>
      </w:r>
      <w:r>
        <w:t xml:space="preserve"> </w:t>
      </w:r>
      <w:r>
        <w:t xml:space="preserve">(पा. सू. १-३-७२) the ātmanepada, the nine of</w:t>
      </w:r>
      <w:r>
        <w:t xml:space="preserve"> </w:t>
      </w:r>
      <w:r>
        <w:rPr>
          <w:bCs/>
          <w:b/>
        </w:rPr>
        <w:t xml:space="preserve">तङानावात्मनेपदम्</w:t>
      </w:r>
      <w:r>
        <w:t xml:space="preserve"> </w:t>
      </w:r>
      <w:r>
        <w:t xml:space="preserve">(पा. सू. १-४-१००);</w:t>
      </w:r>
      <w:r>
        <w:t xml:space="preserve"> </w:t>
      </w:r>
      <w:r>
        <w:rPr>
          <w:bCs/>
          <w:b/>
        </w:rPr>
        <w:t xml:space="preserve">अस्मद्युत्तमः</w:t>
      </w:r>
      <w:r>
        <w:t xml:space="preserve"> </w:t>
      </w:r>
      <w:r>
        <w:t xml:space="preserve">(पा. सू. १-४-१०७) the first person, and</w:t>
      </w:r>
      <w:r>
        <w:t xml:space="preserve"> </w:t>
      </w:r>
      <w:r>
        <w:rPr>
          <w:bCs/>
          <w:b/>
        </w:rPr>
        <w:t xml:space="preserve">बहुषु बहुवचनम्</w:t>
      </w:r>
      <w:r>
        <w:t xml:space="preserve"> </w:t>
      </w:r>
      <w:r>
        <w:t xml:space="preserve">(पा. सू. १-४-२१) the plural:</w:t>
      </w:r>
      <w:r>
        <w:t xml:space="preserve"> </w:t>
      </w:r>
      <w:r>
        <w:t xml:space="preserve">“</w:t>
      </w:r>
      <w:r>
        <w:t xml:space="preserve">mahiṅ</w:t>
      </w:r>
      <w:r>
        <w:t xml:space="preserve">”</w:t>
      </w:r>
      <w:r>
        <w:t xml:space="preserve">;</w:t>
      </w:r>
      <w:r>
        <w:t xml:space="preserve"> </w:t>
      </w:r>
      <w:r>
        <w:rPr>
          <w:bCs/>
          <w:b/>
        </w:rPr>
        <w:t xml:space="preserve">कर्तरि शप्</w:t>
      </w:r>
      <w:r>
        <w:t xml:space="preserve"> </w:t>
      </w:r>
      <w:r>
        <w:t xml:space="preserve">(पा. सू. ३-१-६८); (p. 313)</w:t>
      </w:r>
      <w:r>
        <w:t xml:space="preserve"> </w:t>
      </w:r>
      <w:r>
        <w:rPr>
          <w:bCs/>
          <w:b/>
        </w:rPr>
        <w:t xml:space="preserve">जुहोत्यादिभ्यः श्लुः</w:t>
      </w:r>
      <w:r>
        <w:t xml:space="preserve"> </w:t>
      </w:r>
      <w:r>
        <w:t xml:space="preserve">(पा. सू. २-४-७५);</w:t>
      </w:r>
      <w:r>
        <w:t xml:space="preserve"> </w:t>
      </w:r>
      <w:r>
        <w:rPr>
          <w:bCs/>
          <w:b/>
        </w:rPr>
        <w:t xml:space="preserve">श्लौ</w:t>
      </w:r>
      <w:r>
        <w:t xml:space="preserve"> </w:t>
      </w:r>
      <w:r>
        <w:t xml:space="preserve">(पा. सू. ६-१-१०) doubling;</w:t>
      </w:r>
      <w:r>
        <w:t xml:space="preserve"> </w:t>
      </w:r>
      <w:r>
        <w:rPr>
          <w:bCs/>
          <w:b/>
        </w:rPr>
        <w:t xml:space="preserve">ह्रस्वः</w:t>
      </w:r>
      <w:r>
        <w:t xml:space="preserve"> </w:t>
      </w:r>
      <w:r>
        <w:t xml:space="preserve">(पा. सू. ७-४-५९):</w:t>
      </w:r>
      <w:r>
        <w:t xml:space="preserve"> </w:t>
      </w:r>
      <w:r>
        <w:t xml:space="preserve">“</w:t>
      </w:r>
      <w:r>
        <w:t xml:space="preserve">dadā + mahi</w:t>
      </w:r>
      <w:r>
        <w:t xml:space="preserve">”</w:t>
      </w:r>
      <w:r>
        <w:t xml:space="preserve">;</w:t>
      </w:r>
      <w:r>
        <w:t xml:space="preserve"> </w:t>
      </w:r>
      <w:r>
        <w:rPr>
          <w:bCs/>
          <w:b/>
        </w:rPr>
        <w:t xml:space="preserve">लिङः सीयुट्</w:t>
      </w:r>
      <w:r>
        <w:t xml:space="preserve"> </w:t>
      </w:r>
      <w:r>
        <w:t xml:space="preserve">(पा. सू. ३-४-१०२)</w:t>
      </w:r>
      <w:r>
        <w:t xml:space="preserve"> </w:t>
      </w:r>
      <w:r>
        <w:t xml:space="preserve">“</w:t>
      </w:r>
      <w:r>
        <w:t xml:space="preserve">sīyuṭ</w:t>
      </w:r>
      <w:r>
        <w:t xml:space="preserve">”</w:t>
      </w:r>
      <w:r>
        <w:t xml:space="preserve">;</w:t>
      </w:r>
      <w:r>
        <w:t xml:space="preserve"> </w:t>
      </w:r>
      <w:r>
        <w:rPr>
          <w:bCs/>
          <w:b/>
        </w:rPr>
        <w:t xml:space="preserve">लिङः सलोपोऽनन्त्यस्य</w:t>
      </w:r>
      <w:r>
        <w:t xml:space="preserve"> </w:t>
      </w:r>
      <w:r>
        <w:t xml:space="preserve">(पा. सू. ७-२-७९);</w:t>
      </w:r>
      <w:r>
        <w:t xml:space="preserve"> </w:t>
      </w:r>
      <w:r>
        <w:rPr>
          <w:bCs/>
          <w:b/>
        </w:rPr>
        <w:t xml:space="preserve">लोपो व्योर्वलि</w:t>
      </w:r>
      <w:r>
        <w:t xml:space="preserve"> </w:t>
      </w:r>
      <w:r>
        <w:t xml:space="preserve">(पा. सू. ६-१-६६);</w:t>
      </w:r>
      <w:r>
        <w:t xml:space="preserve"> </w:t>
      </w:r>
      <w:r>
        <w:rPr>
          <w:bCs/>
          <w:b/>
        </w:rPr>
        <w:t xml:space="preserve">श्नाभ्यस्तयोरातः</w:t>
      </w:r>
      <w:r>
        <w:t xml:space="preserve"> </w:t>
      </w:r>
      <w:r>
        <w:t xml:space="preserve">(पा. सू. ६-४-११२), the root being</w:t>
      </w:r>
      <w:r>
        <w:t xml:space="preserve"> </w:t>
      </w:r>
      <w:r>
        <w:t xml:space="preserve">“</w:t>
      </w:r>
      <w:r>
        <w:t xml:space="preserve">abhyasta</w:t>
      </w:r>
      <w:r>
        <w:t xml:space="preserve">”</w:t>
      </w:r>
      <w:r>
        <w:t xml:space="preserve"> </w:t>
      </w:r>
      <w:r>
        <w:t xml:space="preserve">by</w:t>
      </w:r>
      <w:r>
        <w:t xml:space="preserve"> </w:t>
      </w:r>
      <w:r>
        <w:rPr>
          <w:bCs/>
          <w:b/>
        </w:rPr>
        <w:t xml:space="preserve">उभे अभ्यस्तम्</w:t>
      </w:r>
      <w:r>
        <w:t xml:space="preserve"> </w:t>
      </w:r>
      <w:r>
        <w:t xml:space="preserve">(पा. सू. ६-१-५):</w:t>
      </w:r>
      <w:r>
        <w:t xml:space="preserve"> </w:t>
      </w:r>
      <w:r>
        <w:t xml:space="preserve">“</w:t>
      </w:r>
      <w:r>
        <w:t xml:space="preserve">dadīmahi</w:t>
      </w:r>
      <w:r>
        <w:t xml:space="preserve">”</w:t>
      </w:r>
      <w:r>
        <w:t xml:space="preserve">; wholly unaccented by</w:t>
      </w:r>
      <w:r>
        <w:t xml:space="preserve"> </w:t>
      </w:r>
      <w:r>
        <w:rPr>
          <w:bCs/>
          <w:b/>
        </w:rPr>
        <w:t xml:space="preserve">तिङ्ङतिङः</w:t>
      </w:r>
      <w:r>
        <w:t xml:space="preserve"> </w:t>
      </w:r>
      <w:r>
        <w:t xml:space="preserve">(पा. सू. ८-१-२८).</w:t>
      </w:r>
      <w:r>
        <w:t xml:space="preserve"> </w:t>
      </w:r>
      <w:r>
        <w:rPr>
          <w:bCs/>
          <w:b/>
        </w:rPr>
        <w:t xml:space="preserve">जयेम</w:t>
      </w:r>
      <w:r>
        <w:t xml:space="preserve"> </w:t>
      </w:r>
      <w:r>
        <w:t xml:space="preserve">—</w:t>
      </w:r>
      <w:r>
        <w:t xml:space="preserve"> </w:t>
      </w:r>
      <w:r>
        <w:t xml:space="preserve">“</w:t>
      </w:r>
      <w:r>
        <w:t xml:space="preserve">ji jaye,</w:t>
      </w:r>
      <w:r>
        <w:t xml:space="preserve">”</w:t>
      </w:r>
      <w:r>
        <w:t xml:space="preserve"> </w:t>
      </w:r>
      <w:r>
        <w:t xml:space="preserve">“</w:t>
      </w:r>
      <w:r>
        <w:t xml:space="preserve">vidhiliṅ,</w:t>
      </w:r>
      <w:r>
        <w:t xml:space="preserve">”</w:t>
      </w:r>
      <w:r>
        <w:t xml:space="preserve"> </w:t>
      </w:r>
      <w:r>
        <w:t xml:space="preserve">parasmaipada first plural</w:t>
      </w:r>
      <w:r>
        <w:t xml:space="preserve"> </w:t>
      </w:r>
      <w:r>
        <w:t xml:space="preserve">“</w:t>
      </w:r>
      <w:r>
        <w:t xml:space="preserve">mas</w:t>
      </w:r>
      <w:r>
        <w:t xml:space="preserve">”</w:t>
      </w:r>
      <w:r>
        <w:t xml:space="preserve">;</w:t>
      </w:r>
      <w:r>
        <w:t xml:space="preserve"> </w:t>
      </w:r>
      <w:r>
        <w:rPr>
          <w:bCs/>
          <w:b/>
        </w:rPr>
        <w:t xml:space="preserve">नित्यं ङितः</w:t>
      </w:r>
      <w:r>
        <w:t xml:space="preserve"> </w:t>
      </w:r>
      <w:r>
        <w:t xml:space="preserve">(पा. सू. ३-४-९९) loss of</w:t>
      </w:r>
      <w:r>
        <w:t xml:space="preserve"> </w:t>
      </w:r>
      <w:r>
        <w:t xml:space="preserve">“</w:t>
      </w:r>
      <w:r>
        <w:t xml:space="preserve">s</w:t>
      </w:r>
      <w:r>
        <w:t xml:space="preserve">”</w:t>
      </w:r>
      <w:r>
        <w:t xml:space="preserve">;</w:t>
      </w:r>
      <w:r>
        <w:t xml:space="preserve"> </w:t>
      </w:r>
      <w:r>
        <w:t xml:space="preserve">“</w:t>
      </w:r>
      <w:r>
        <w:t xml:space="preserve">śap</w:t>
      </w:r>
      <w:r>
        <w:t xml:space="preserve">”</w:t>
      </w:r>
      <w:r>
        <w:t xml:space="preserve"> </w:t>
      </w:r>
      <w:r>
        <w:t xml:space="preserve">(पा. सू. ३-१-६८); guṇa (पा. सू. ७-३-८४) and</w:t>
      </w:r>
      <w:r>
        <w:t xml:space="preserve"> </w:t>
      </w:r>
      <w:r>
        <w:t xml:space="preserve">“</w:t>
      </w:r>
      <w:r>
        <w:t xml:space="preserve">ay</w:t>
      </w:r>
      <w:r>
        <w:t xml:space="preserve">”</w:t>
      </w:r>
      <w:r>
        <w:t xml:space="preserve"> </w:t>
      </w:r>
      <w:r>
        <w:t xml:space="preserve">(पा. सू. ६-१-७८);</w:t>
      </w:r>
      <w:r>
        <w:t xml:space="preserve"> </w:t>
      </w:r>
      <w:r>
        <w:rPr>
          <w:bCs/>
          <w:b/>
        </w:rPr>
        <w:t xml:space="preserve">यासुट् परस्मैपदेषूदात्तो ङिच्च</w:t>
      </w:r>
      <w:r>
        <w:t xml:space="preserve"> </w:t>
      </w:r>
      <w:r>
        <w:t xml:space="preserve">(पा. सू. ३-४-१०३)</w:t>
      </w:r>
      <w:r>
        <w:t xml:space="preserve"> </w:t>
      </w:r>
      <w:r>
        <w:t xml:space="preserve">“</w:t>
      </w:r>
      <w:r>
        <w:t xml:space="preserve">yāsuṭ</w:t>
      </w:r>
      <w:r>
        <w:t xml:space="preserve">”</w:t>
      </w:r>
      <w:r>
        <w:t xml:space="preserve">; loss of</w:t>
      </w:r>
      <w:r>
        <w:t xml:space="preserve"> </w:t>
      </w:r>
      <w:r>
        <w:t xml:space="preserve">“</w:t>
      </w:r>
      <w:r>
        <w:t xml:space="preserve">s</w:t>
      </w:r>
      <w:r>
        <w:t xml:space="preserve">”</w:t>
      </w:r>
      <w:r>
        <w:t xml:space="preserve"> </w:t>
      </w:r>
      <w:r>
        <w:t xml:space="preserve">(पा. सू. ७-२-७९);</w:t>
      </w:r>
      <w:r>
        <w:t xml:space="preserve"> </w:t>
      </w:r>
      <w:r>
        <w:rPr>
          <w:bCs/>
          <w:b/>
        </w:rPr>
        <w:t xml:space="preserve">अतो येयः</w:t>
      </w:r>
      <w:r>
        <w:t xml:space="preserve"> </w:t>
      </w:r>
      <w:r>
        <w:t xml:space="preserve">(पा. सू. ७-२-८०)</w:t>
      </w:r>
      <w:r>
        <w:t xml:space="preserve"> </w:t>
      </w:r>
      <w:r>
        <w:t xml:space="preserve">“</w:t>
      </w:r>
      <w:r>
        <w:t xml:space="preserve">iy</w:t>
      </w:r>
      <w:r>
        <w:t xml:space="preserve">”</w:t>
      </w:r>
      <w:r>
        <w:t xml:space="preserve">; loss of</w:t>
      </w:r>
      <w:r>
        <w:t xml:space="preserve"> </w:t>
      </w:r>
      <w:r>
        <w:t xml:space="preserve">“</w:t>
      </w:r>
      <w:r>
        <w:t xml:space="preserve">y</w:t>
      </w:r>
      <w:r>
        <w:t xml:space="preserve">”</w:t>
      </w:r>
      <w:r>
        <w:t xml:space="preserve"> </w:t>
      </w:r>
      <w:r>
        <w:t xml:space="preserve">(पा. सू. ६-१-६६);</w:t>
      </w:r>
      <w:r>
        <w:t xml:space="preserve"> </w:t>
      </w:r>
      <w:r>
        <w:rPr>
          <w:bCs/>
          <w:b/>
        </w:rPr>
        <w:t xml:space="preserve">आद्गुणः</w:t>
      </w:r>
      <w:r>
        <w:t xml:space="preserve"> </w:t>
      </w:r>
      <w:r>
        <w:t xml:space="preserve">(पा. सू. ६-१-८७):</w:t>
      </w:r>
      <w:r>
        <w:t xml:space="preserve"> </w:t>
      </w:r>
      <w:r>
        <w:t xml:space="preserve">“</w:t>
      </w:r>
      <w:r>
        <w:t xml:space="preserve">jayema.</w:t>
      </w:r>
      <w:r>
        <w:t xml:space="preserve">”</w:t>
      </w:r>
      <w:r>
        <w:t xml:space="preserve"> </w:t>
      </w:r>
      <w:r>
        <w:t xml:space="preserve">“</w:t>
      </w:r>
      <w:r>
        <w:t xml:space="preserve">Śap,</w:t>
      </w:r>
      <w:r>
        <w:t xml:space="preserve">”</w:t>
      </w:r>
      <w:r>
        <w:t xml:space="preserve"> </w:t>
      </w:r>
      <w:r>
        <w:t xml:space="preserve">“</w:t>
      </w:r>
      <w:r>
        <w:t xml:space="preserve">p</w:t>
      </w:r>
      <w:r>
        <w:t xml:space="preserve">”</w:t>
      </w:r>
      <w:r>
        <w:t xml:space="preserve">-marked, is unaccented;</w:t>
      </w:r>
      <w:r>
        <w:t xml:space="preserve"> </w:t>
      </w:r>
      <w:r>
        <w:t xml:space="preserve">“</w:t>
      </w:r>
      <w:r>
        <w:t xml:space="preserve">i-ma</w:t>
      </w:r>
      <w:r>
        <w:t xml:space="preserve">”</w:t>
      </w:r>
      <w:r>
        <w:t xml:space="preserve"> </w:t>
      </w:r>
      <w:r>
        <w:t xml:space="preserve">unaccented by</w:t>
      </w:r>
      <w:r>
        <w:t xml:space="preserve"> </w:t>
      </w:r>
      <w:r>
        <w:rPr>
          <w:bCs/>
          <w:b/>
        </w:rPr>
        <w:t xml:space="preserve">तास्यनुदात्तेत्…</w:t>
      </w:r>
      <w:r>
        <w:t xml:space="preserve"> </w:t>
      </w:r>
      <w:r>
        <w:t xml:space="preserve">(पा. सू. ६-१-१८६); the</w:t>
      </w:r>
      <w:r>
        <w:t xml:space="preserve"> </w:t>
      </w:r>
      <w:r>
        <w:t xml:space="preserve">“</w:t>
      </w:r>
      <w:r>
        <w:t xml:space="preserve">e</w:t>
      </w:r>
      <w:r>
        <w:t xml:space="preserve">”</w:t>
      </w:r>
      <w:r>
        <w:t xml:space="preserve"> </w:t>
      </w:r>
      <w:r>
        <w:t xml:space="preserve">from two unaccented vowels is unaccented;</w:t>
      </w:r>
      <w:r>
        <w:t xml:space="preserve"> </w:t>
      </w:r>
      <w:r>
        <w:t xml:space="preserve">“</w:t>
      </w:r>
      <w:r>
        <w:t xml:space="preserve">ja</w:t>
      </w:r>
      <w:r>
        <w:t xml:space="preserve">”</w:t>
      </w:r>
      <w:r>
        <w:t xml:space="preserve"> </w:t>
      </w:r>
      <w:r>
        <w:t xml:space="preserve">acute by the root accent; the</w:t>
      </w:r>
      <w:r>
        <w:t xml:space="preserve"> </w:t>
      </w:r>
      <w:r>
        <w:t xml:space="preserve">“</w:t>
      </w:r>
      <w:r>
        <w:t xml:space="preserve">e</w:t>
      </w:r>
      <w:r>
        <w:t xml:space="preserve">”</w:t>
      </w:r>
      <w:r>
        <w:t xml:space="preserve"> </w:t>
      </w:r>
      <w:r>
        <w:t xml:space="preserve">after it svarita by</w:t>
      </w:r>
      <w:r>
        <w:t xml:space="preserve"> </w:t>
      </w:r>
      <w:r>
        <w:rPr>
          <w:bCs/>
          <w:b/>
        </w:rPr>
        <w:t xml:space="preserve">उदात्तादनुदात्तस्य स्वरितः</w:t>
      </w:r>
      <w:r>
        <w:t xml:space="preserve"> </w:t>
      </w:r>
      <w:r>
        <w:t xml:space="preserve">(पा. सू. ८-४-६६);</w:t>
      </w:r>
      <w:r>
        <w:t xml:space="preserve"> </w:t>
      </w:r>
      <w:r>
        <w:t xml:space="preserve">“</w:t>
      </w:r>
      <w:r>
        <w:t xml:space="preserve">ma</w:t>
      </w:r>
      <w:r>
        <w:t xml:space="preserve">”</w:t>
      </w:r>
      <w:r>
        <w:t xml:space="preserve"> </w:t>
      </w:r>
      <w:r>
        <w:t xml:space="preserve">after the svarita would be pracaya by</w:t>
      </w:r>
      <w:r>
        <w:t xml:space="preserve"> </w:t>
      </w:r>
      <w:r>
        <w:rPr>
          <w:bCs/>
          <w:b/>
        </w:rPr>
        <w:t xml:space="preserve">स्वरितात्संहितायामनुदात्तानाम्</w:t>
      </w:r>
      <w:r>
        <w:t xml:space="preserve"> </w:t>
      </w:r>
      <w:r>
        <w:t xml:space="preserve">(पा. सू. १-२-३९), but before the acute</w:t>
      </w:r>
      <w:r>
        <w:t xml:space="preserve"> </w:t>
      </w:r>
      <w:r>
        <w:t xml:space="preserve">“</w:t>
      </w:r>
      <w:r>
        <w:t xml:space="preserve">sam</w:t>
      </w:r>
      <w:r>
        <w:t xml:space="preserve">”</w:t>
      </w:r>
      <w:r>
        <w:t xml:space="preserve"> </w:t>
      </w:r>
      <w:r>
        <w:t xml:space="preserve">in the saṃhitā it is</w:t>
      </w:r>
      <w:r>
        <w:t xml:space="preserve"> </w:t>
      </w:r>
      <w:r>
        <w:t xml:space="preserve">“</w:t>
      </w:r>
      <w:r>
        <w:t xml:space="preserve">sannatara</w:t>
      </w:r>
      <w:r>
        <w:t xml:space="preserve">”</w:t>
      </w:r>
      <w:r>
        <w:t xml:space="preserve"> </w:t>
      </w:r>
      <w:r>
        <w:t xml:space="preserve">by</w:t>
      </w:r>
      <w:r>
        <w:t xml:space="preserve"> </w:t>
      </w:r>
      <w:r>
        <w:rPr>
          <w:bCs/>
          <w:b/>
        </w:rPr>
        <w:t xml:space="preserve">उदात्तस्वरितपरस्य सन्नतरः</w:t>
      </w:r>
      <w:r>
        <w:t xml:space="preserve"> </w:t>
      </w:r>
      <w:r>
        <w:t xml:space="preserve">(पा. सू. १-२-४०).</w:t>
      </w:r>
      <w:r>
        <w:t xml:space="preserve"> </w:t>
      </w:r>
      <w:r>
        <w:t xml:space="preserve">“</w:t>
      </w:r>
      <w:r>
        <w:t xml:space="preserve">Sam</w:t>
      </w:r>
      <w:r>
        <w:t xml:space="preserve">”</w:t>
      </w:r>
      <w:r>
        <w:t xml:space="preserve"> </w:t>
      </w:r>
      <w:r>
        <w:t xml:space="preserve">should precede the verb, but by</w:t>
      </w:r>
      <w:r>
        <w:t xml:space="preserve"> </w:t>
      </w:r>
      <w:r>
        <w:rPr>
          <w:bCs/>
          <w:b/>
        </w:rPr>
        <w:t xml:space="preserve">छन्दसि परेऽपि</w:t>
      </w:r>
      <w:r>
        <w:t xml:space="preserve"> </w:t>
      </w:r>
      <w:r>
        <w:t xml:space="preserve">(पा. सू. १-४-८१) follows it.</w:t>
      </w:r>
      <w:r>
        <w:t xml:space="preserve"> </w:t>
      </w:r>
      <w:r>
        <w:rPr>
          <w:bCs/>
          <w:b/>
        </w:rPr>
        <w:t xml:space="preserve">युधि</w:t>
      </w:r>
      <w:r>
        <w:t xml:space="preserve"> </w:t>
      </w:r>
      <w:r>
        <w:t xml:space="preserve">(p. 314) —</w:t>
      </w:r>
      <w:r>
        <w:t xml:space="preserve"> </w:t>
      </w:r>
      <w:r>
        <w:t xml:space="preserve">“</w:t>
      </w:r>
      <w:r>
        <w:t xml:space="preserve">yudha samprahāre,</w:t>
      </w:r>
      <w:r>
        <w:t xml:space="preserve">”</w:t>
      </w:r>
      <w:r>
        <w:t xml:space="preserve"> </w:t>
      </w:r>
      <w:r>
        <w:t xml:space="preserve">“</w:t>
      </w:r>
      <w:r>
        <w:t xml:space="preserve">kvip</w:t>
      </w:r>
      <w:r>
        <w:t xml:space="preserve">”</w:t>
      </w:r>
      <w:r>
        <w:t xml:space="preserve"> </w:t>
      </w:r>
      <w:r>
        <w:t xml:space="preserve">in the action sense by</w:t>
      </w:r>
      <w:r>
        <w:t xml:space="preserve"> </w:t>
      </w:r>
      <w:r>
        <w:rPr>
          <w:bCs/>
          <w:b/>
        </w:rPr>
        <w:t xml:space="preserve">संपदादिभ्यः क्विप्</w:t>
      </w:r>
      <w:r>
        <w:t xml:space="preserve"> </w:t>
      </w:r>
      <w:r>
        <w:t xml:space="preserve">(पा. सू. ३-३-१०८-९, a vārttika), wholly lost; the locative singular acute by</w:t>
      </w:r>
      <w:r>
        <w:t xml:space="preserve"> </w:t>
      </w:r>
      <w:r>
        <w:rPr>
          <w:bCs/>
          <w:b/>
        </w:rPr>
        <w:t xml:space="preserve">सावेकाचस्तृतीयादिर्विभक्तिः</w:t>
      </w:r>
      <w:r>
        <w:t xml:space="preserve"> </w:t>
      </w:r>
      <w:r>
        <w:t xml:space="preserve">(पा. सू. ६-१-१६८).</w:t>
      </w:r>
      <w:r>
        <w:t xml:space="preserve"> </w:t>
      </w:r>
      <w:r>
        <w:rPr>
          <w:bCs/>
          <w:b/>
        </w:rPr>
        <w:t xml:space="preserve">स्पृधः</w:t>
      </w:r>
      <w:r>
        <w:t xml:space="preserve"> </w:t>
      </w:r>
      <w:r>
        <w:t xml:space="preserve">—</w:t>
      </w:r>
      <w:r>
        <w:t xml:space="preserve"> </w:t>
      </w:r>
      <w:r>
        <w:t xml:space="preserve">“</w:t>
      </w:r>
      <w:r>
        <w:t xml:space="preserve">spardhanta iti spṛdhaḥ,</w:t>
      </w:r>
      <w:r>
        <w:t xml:space="preserve">”</w:t>
      </w:r>
      <w:r>
        <w:t xml:space="preserve"> </w:t>
      </w:r>
      <w:r>
        <w:t xml:space="preserve">“</w:t>
      </w:r>
      <w:r>
        <w:t xml:space="preserve">spardha saṃgharṣe,</w:t>
      </w:r>
      <w:r>
        <w:t xml:space="preserve">”</w:t>
      </w:r>
      <w:r>
        <w:t xml:space="preserve"> </w:t>
      </w:r>
      <w:r>
        <w:rPr>
          <w:bCs/>
          <w:b/>
        </w:rPr>
        <w:t xml:space="preserve">क्विप् च</w:t>
      </w:r>
      <w:r>
        <w:t xml:space="preserve"> </w:t>
      </w:r>
      <w:r>
        <w:t xml:space="preserve">(पा. सू. ३-२-७६); samprasāraṇa</w:t>
      </w:r>
      <w:r>
        <w:t xml:space="preserve"> </w:t>
      </w:r>
      <w:r>
        <w:t xml:space="preserve">“</w:t>
      </w:r>
      <w:r>
        <w:t xml:space="preserve">ṛ</w:t>
      </w:r>
      <w:r>
        <w:t xml:space="preserve">”</w:t>
      </w:r>
      <w:r>
        <w:t xml:space="preserve"> </w:t>
      </w:r>
      <w:r>
        <w:t xml:space="preserve">for the</w:t>
      </w:r>
      <w:r>
        <w:t xml:space="preserve"> </w:t>
      </w:r>
      <w:r>
        <w:t xml:space="preserve">“</w:t>
      </w:r>
      <w:r>
        <w:t xml:space="preserve">r</w:t>
      </w:r>
      <w:r>
        <w:t xml:space="preserve">”</w:t>
      </w:r>
      <w:r>
        <w:t xml:space="preserve"> </w:t>
      </w:r>
      <w:r>
        <w:t xml:space="preserve">and loss of the</w:t>
      </w:r>
      <w:r>
        <w:t xml:space="preserve"> </w:t>
      </w:r>
      <w:r>
        <w:t xml:space="preserve">“</w:t>
      </w:r>
      <w:r>
        <w:t xml:space="preserve">a</w:t>
      </w:r>
      <w:r>
        <w:t xml:space="preserve">”</w:t>
      </w:r>
      <w:r>
        <w:t xml:space="preserve"> </w:t>
      </w:r>
      <w:r>
        <w:t xml:space="preserve">by</w:t>
      </w:r>
      <w:r>
        <w:t xml:space="preserve"> </w:t>
      </w:r>
      <w:r>
        <w:t xml:space="preserve">“</w:t>
      </w:r>
      <w:r>
        <w:t xml:space="preserve">bahulaṃ chandasi</w:t>
      </w:r>
      <w:r>
        <w:t xml:space="preserve">”</w:t>
      </w:r>
      <w:r>
        <w:t xml:space="preserve">; accusative plural. ॥३॥</w:t>
      </w:r>
    </w:p>
    <w:p>
      <w:r>
        <w:pict>
          <v:rect style="width:0;height:1.5pt" o:hralign="center" o:hrstd="t" o:hr="t"/>
        </w:pict>
      </w:r>
    </w:p>
    <w:bookmarkEnd w:id="344"/>
    <w:bookmarkStart w:id="345" w:name="page-314-sūkta-8-rik-4"/>
    <w:p>
      <w:pPr>
        <w:pStyle w:val="Heading3"/>
      </w:pPr>
      <w:r>
        <w:t xml:space="preserve">Page 314 — Sūkta 8, Rik 4</w:t>
      </w:r>
    </w:p>
    <w:p>
      <w:pPr>
        <w:pStyle w:val="FirstParagraph"/>
      </w:pPr>
      <w:r>
        <w:rPr>
          <w:iCs/>
          <w:i/>
        </w:rPr>
        <w:t xml:space="preserve">(Saṃhitā accents as printed; Pada unaccented. No svarita stroke is printed over</w:t>
      </w:r>
      <w:r>
        <w:rPr>
          <w:iCs/>
          <w:i/>
        </w:rPr>
        <w:t xml:space="preserve"> </w:t>
      </w:r>
      <w:r>
        <w:rPr>
          <w:iCs/>
          <w:i/>
        </w:rPr>
        <w:t xml:space="preserve">“</w:t>
      </w:r>
      <w:r>
        <w:rPr>
          <w:iCs/>
          <w:i/>
        </w:rPr>
        <w:t xml:space="preserve">re</w:t>
      </w:r>
      <w:r>
        <w:rPr>
          <w:iCs/>
          <w:i/>
        </w:rPr>
        <w:t xml:space="preserve">”</w:t>
      </w:r>
      <w:r>
        <w:rPr>
          <w:iCs/>
          <w:i/>
        </w:rPr>
        <w:t xml:space="preserve"> </w:t>
      </w:r>
      <w:r>
        <w:rPr>
          <w:iCs/>
          <w:i/>
        </w:rPr>
        <w:t xml:space="preserve">of</w:t>
      </w:r>
      <w:r>
        <w:rPr>
          <w:iCs/>
          <w:i/>
        </w:rPr>
        <w:t xml:space="preserve"> </w:t>
      </w:r>
      <w:r>
        <w:rPr>
          <w:iCs/>
          <w:i/>
        </w:rPr>
        <w:t xml:space="preserve">“</w:t>
      </w:r>
      <w:r>
        <w:rPr>
          <w:iCs/>
          <w:i/>
        </w:rPr>
        <w:t xml:space="preserve">śūrebhiḥ</w:t>
      </w:r>
      <w:r>
        <w:rPr>
          <w:iCs/>
          <w:i/>
        </w:rPr>
        <w:t xml:space="preserve">”</w:t>
      </w:r>
      <w:r>
        <w:rPr>
          <w:iCs/>
          <w:i/>
        </w:rPr>
        <w:t xml:space="preserve"> </w:t>
      </w:r>
      <w:r>
        <w:rPr>
          <w:iCs/>
          <w:i/>
        </w:rPr>
        <w:t xml:space="preserve">(the Pada has one there).)</w:t>
      </w:r>
    </w:p>
    <w:p>
      <w:pPr>
        <w:pStyle w:val="BodyText"/>
      </w:pPr>
      <w:r>
        <w:rPr>
          <w:bCs/>
          <w:b/>
        </w:rPr>
        <w:t xml:space="preserve">॥ Saṃhitā-pāṭhaḥ ॥</w:t>
      </w:r>
    </w:p>
    <w:p>
      <w:pPr>
        <w:pStyle w:val="BlockText"/>
      </w:pPr>
      <w:r>
        <w:t xml:space="preserve">व॒यं शूरेभि॒रस्तृ॑भि॒रिन्द्र॒ त्वया॑ यु॒जा व॒यं ।</w:t>
      </w:r>
      <w:r>
        <w:t xml:space="preserve"> </w:t>
      </w:r>
      <w:r>
        <w:t xml:space="preserve">सा॒स॒ह्या॑म पृत॒न्यतः ॥४॥</w:t>
      </w:r>
    </w:p>
    <w:p>
      <w:pPr>
        <w:pStyle w:val="BlockText"/>
      </w:pPr>
      <w:r>
        <w:rPr>
          <w:iCs/>
          <w:i/>
        </w:rPr>
        <w:t xml:space="preserve">vayáṃ śūrebhir ástṛbhir índra tváyā yujā́ vayáṃ |</w:t>
      </w:r>
      <w:r>
        <w:t xml:space="preserve"> </w:t>
      </w:r>
      <w:r>
        <w:rPr>
          <w:iCs/>
          <w:i/>
        </w:rPr>
        <w:t xml:space="preserve">sāsahyāma pṛtanyátaḥ ||4||</w:t>
      </w:r>
    </w:p>
    <w:p>
      <w:pPr>
        <w:pStyle w:val="FirstParagraph"/>
      </w:pPr>
      <w:r>
        <w:rPr>
          <w:bCs/>
          <w:b/>
        </w:rPr>
        <w:t xml:space="preserve">॥ Pada-pāṭhaḥ ॥</w:t>
      </w:r>
    </w:p>
    <w:p>
      <w:pPr>
        <w:pStyle w:val="BlockText"/>
      </w:pPr>
      <w:r>
        <w:t xml:space="preserve">वयम् । शूरेभिः । अस्तृऽभिः । इन्द्र । त्वया । युजा । वयम् ॥</w:t>
      </w:r>
      <w:r>
        <w:t xml:space="preserve"> </w:t>
      </w:r>
      <w:r>
        <w:t xml:space="preserve">ससह्याम । पृतन्यतः ॥४॥</w:t>
      </w:r>
    </w:p>
    <w:p>
      <w:pPr>
        <w:pStyle w:val="BlockText"/>
      </w:pPr>
      <w:r>
        <w:rPr>
          <w:iCs/>
          <w:i/>
        </w:rPr>
        <w:t xml:space="preserve">vayam | śūrebhiḥ | astṛ-bhiḥ | indra | tvayā | yujā | vayam ||</w:t>
      </w:r>
      <w:r>
        <w:t xml:space="preserve"> </w:t>
      </w:r>
      <w:r>
        <w:rPr>
          <w:iCs/>
          <w:i/>
        </w:rPr>
        <w:t xml:space="preserve">sasahyāma | pṛtanyataḥ ||4||</w:t>
      </w:r>
    </w:p>
    <w:p>
      <w:pPr>
        <w:pStyle w:val="FirstParagraph"/>
      </w:pPr>
      <w:r>
        <w:rPr>
          <w:iCs/>
          <w:i/>
        </w:rPr>
        <w:t xml:space="preserve">(The pada text prints the first vowel of this word short; the Saṃhitā lengthens it — see the Special Topics below, where the commentary says the</w:t>
      </w:r>
      <w:r>
        <w:t xml:space="preserve"> </w:t>
      </w:r>
      <w:r>
        <w:t xml:space="preserve">sa</w:t>
      </w:r>
      <w:r>
        <w:t xml:space="preserve"> </w:t>
      </w:r>
      <w:r>
        <w:rPr>
          <w:iCs/>
          <w:i/>
        </w:rPr>
        <w:t xml:space="preserve">is long in the Saṃhitā-pāṭha for the sake of the meter.)</w:t>
      </w:r>
    </w:p>
    <w:p>
      <w:pPr>
        <w:pStyle w:val="BodyText"/>
      </w:pPr>
      <w:r>
        <w:rPr>
          <w:bCs/>
          <w:b/>
        </w:rPr>
        <w:t xml:space="preserve">॥ Sāyaṇa-bhāṣyam ॥</w:t>
      </w:r>
    </w:p>
    <w:p>
      <w:pPr>
        <w:pStyle w:val="BlockText"/>
      </w:pPr>
      <w:r>
        <w:t xml:space="preserve">वयं कर्मानुष्ठातारः शूरेभिः शौर्ययुक्तैरस्तृभिरायुधानां प्रक्षेप्तृभिर्भटैः संयुज्येमहीति शेषः । हे इन्द्र ताद्दृशा भटसहिता वयं युजा सहायभूतेन त्वया पृतन्यतः सेनामिच्छतः शत्रून्सासह्याम । अतिशयेनाभिभवेम ॥</w:t>
      </w:r>
    </w:p>
    <w:p>
      <w:pPr>
        <w:pStyle w:val="BlockText"/>
      </w:pPr>
      <w:r>
        <w:rPr>
          <w:iCs/>
          <w:i/>
        </w:rPr>
        <w:t xml:space="preserve">vayaṃ karmānuṣṭhātāraḥ śūrebhiḥ śaurya-yuktair astṛbhir āyudhānāṃ prakṣeptṛbhir bhaṭaiḥ saṃyujyemahīti śeṣaḥ | he indra tādṛśā bhaṭa-sahitā vayaṃ yujā sahāya-bhūtena tvayā pṛtanyataḥ senām icchataḥ śatrūn sāsahyāma | atiśayenābhibhavema ||</w:t>
      </w:r>
    </w:p>
    <w:p>
      <w:pPr>
        <w:pStyle w:val="FirstParagraph"/>
      </w:pPr>
      <w:r>
        <w:rPr>
          <w:bCs/>
          <w:b/>
        </w:rPr>
        <w:t xml:space="preserve">Translation:</w:t>
      </w:r>
      <w:r>
        <w:t xml:space="preserve"> </w:t>
      </w:r>
      <w:r>
        <w:t xml:space="preserve">“</w:t>
      </w:r>
      <w:r>
        <w:t xml:space="preserve">We, the performers of the rites — with the</w:t>
      </w:r>
      <w:r>
        <w:t xml:space="preserve"> </w:t>
      </w:r>
      <w:r>
        <w:rPr>
          <w:iCs/>
          <w:i/>
        </w:rPr>
        <w:t xml:space="preserve">śūras</w:t>
      </w:r>
      <w:r>
        <w:t xml:space="preserve">, the heroes, the</w:t>
      </w:r>
      <w:r>
        <w:t xml:space="preserve"> </w:t>
      </w:r>
      <w:r>
        <w:rPr>
          <w:iCs/>
          <w:i/>
        </w:rPr>
        <w:t xml:space="preserve">astṛs</w:t>
      </w:r>
      <w:r>
        <w:t xml:space="preserve">, the throwers of weapons, the warriors — may we be united (</w:t>
      </w:r>
      <w:r>
        <w:rPr>
          <w:iCs/>
          <w:i/>
        </w:rPr>
        <w:t xml:space="preserve">saṃyujyemahi</w:t>
      </w:r>
      <w:r>
        <w:t xml:space="preserve">: the word to complete the sentence). O Indra! We, so accompanied by warriors, with you as our helper (</w:t>
      </w:r>
      <w:r>
        <w:rPr>
          <w:iCs/>
          <w:i/>
        </w:rPr>
        <w:t xml:space="preserve">yujā</w:t>
      </w:r>
      <w:r>
        <w:t xml:space="preserve">), may overpower (</w:t>
      </w:r>
      <w:r>
        <w:rPr>
          <w:iCs/>
          <w:i/>
        </w:rPr>
        <w:t xml:space="preserve">sāsahyāma</w:t>
      </w:r>
      <w:r>
        <w:t xml:space="preserve">) the enemies who</w:t>
      </w:r>
      <w:r>
        <w:t xml:space="preserve"> </w:t>
      </w:r>
      <w:r>
        <w:rPr>
          <w:iCs/>
          <w:i/>
        </w:rPr>
        <w:t xml:space="preserve">pṛtanyatah</w:t>
      </w:r>
      <w:r>
        <w:t xml:space="preserve"> </w:t>
      </w:r>
      <w:r>
        <w:t xml:space="preserve">— who desire an army, i.e., who come to fight; may we overcome them completely.</w:t>
      </w:r>
      <w:r>
        <w:t xml:space="preserve">”</w:t>
      </w:r>
    </w:p>
    <w:bookmarkEnd w:id="345"/>
    <w:bookmarkStart w:id="346" w:name="X9c4b093ed9b0af84adfb7af98354f152dcc94ea"/>
    <w:p>
      <w:pPr>
        <w:pStyle w:val="Heading3"/>
      </w:pPr>
      <w:r>
        <w:t xml:space="preserve">Page 315 — Rik 4: Sāyaṇa’s grammar closes; word-meanings</w:t>
      </w:r>
    </w:p>
    <w:p>
      <w:pPr>
        <w:pStyle w:val="FirstParagraph"/>
      </w:pPr>
      <w:r>
        <w:rPr>
          <w:iCs/>
          <w:i/>
        </w:rPr>
        <w:t xml:space="preserve">(Page header:</w:t>
      </w:r>
      <w:r>
        <w:rPr>
          <w:iCs/>
          <w:i/>
        </w:rPr>
        <w:t xml:space="preserve"> </w:t>
      </w:r>
      <w:r>
        <w:rPr>
          <w:iCs/>
          <w:i/>
        </w:rPr>
        <w:t xml:space="preserve">“</w:t>
      </w:r>
      <w:r>
        <w:rPr>
          <w:iCs/>
          <w:i/>
        </w:rPr>
        <w:t xml:space="preserve">A. 1, A. 1, Va. 15.</w:t>
      </w:r>
      <w:r>
        <w:rPr>
          <w:iCs/>
          <w:i/>
        </w:rPr>
        <w:t xml:space="preserve">”</w:t>
      </w:r>
      <w:r>
        <w:rPr>
          <w:iCs/>
          <w:i/>
        </w:rPr>
        <w:t xml:space="preserve"> </w:t>
      </w:r>
      <w:r>
        <w:rPr>
          <w:iCs/>
          <w:i/>
        </w:rPr>
        <w:t xml:space="preserve">Sāyaṇa’s grammar of Rik 4, from the foot of p. 314 to the top of p. 315, characterized; references as printed.)</w:t>
      </w:r>
      <w:r>
        <w:t xml:space="preserve"> </w:t>
      </w:r>
      <w:r>
        <w:t xml:space="preserve">“</w:t>
      </w:r>
      <w:r>
        <w:t xml:space="preserve">Śūrebhiḥ</w:t>
      </w:r>
      <w:r>
        <w:t xml:space="preserve">”</w:t>
      </w:r>
      <w:r>
        <w:t xml:space="preserve"> </w:t>
      </w:r>
      <w:r>
        <w:t xml:space="preserve">—</w:t>
      </w:r>
      <w:r>
        <w:t xml:space="preserve"> </w:t>
      </w:r>
      <w:r>
        <w:t xml:space="preserve">“</w:t>
      </w:r>
      <w:r>
        <w:t xml:space="preserve">śu śru gatau,</w:t>
      </w:r>
      <w:r>
        <w:t xml:space="preserve">”</w:t>
      </w:r>
      <w:r>
        <w:t xml:space="preserve"> </w:t>
      </w:r>
      <w:r>
        <w:t xml:space="preserve">“</w:t>
      </w:r>
      <w:r>
        <w:t xml:space="preserve">kran</w:t>
      </w:r>
      <w:r>
        <w:t xml:space="preserve">”</w:t>
      </w:r>
      <w:r>
        <w:t xml:space="preserve"> </w:t>
      </w:r>
      <w:r>
        <w:t xml:space="preserve">with</w:t>
      </w:r>
      <w:r>
        <w:t xml:space="preserve"> </w:t>
      </w:r>
      <w:r>
        <w:t xml:space="preserve">“</w:t>
      </w:r>
      <w:r>
        <w:t xml:space="preserve">nit</w:t>
      </w:r>
      <w:r>
        <w:t xml:space="preserve">”</w:t>
      </w:r>
      <w:r>
        <w:t xml:space="preserve"> </w:t>
      </w:r>
      <w:r>
        <w:t xml:space="preserve">carried on, by</w:t>
      </w:r>
      <w:r>
        <w:t xml:space="preserve"> </w:t>
      </w:r>
      <w:r>
        <w:rPr>
          <w:bCs/>
          <w:b/>
        </w:rPr>
        <w:t xml:space="preserve">शुसिचिमीनां दीर्घश्च</w:t>
      </w:r>
      <w:r>
        <w:t xml:space="preserve"> </w:t>
      </w:r>
      <w:r>
        <w:t xml:space="preserve">(उ. २-२५), the long vowel;</w:t>
      </w:r>
      <w:r>
        <w:t xml:space="preserve"> </w:t>
      </w:r>
      <w:r>
        <w:t xml:space="preserve">“</w:t>
      </w:r>
      <w:r>
        <w:t xml:space="preserve">k</w:t>
      </w:r>
      <w:r>
        <w:t xml:space="preserve">”</w:t>
      </w:r>
      <w:r>
        <w:t xml:space="preserve">-marked, no guṇa;</w:t>
      </w:r>
      <w:r>
        <w:t xml:space="preserve"> </w:t>
      </w:r>
      <w:r>
        <w:t xml:space="preserve">“</w:t>
      </w:r>
      <w:r>
        <w:t xml:space="preserve">n</w:t>
      </w:r>
      <w:r>
        <w:t xml:space="preserve">”</w:t>
      </w:r>
      <w:r>
        <w:t xml:space="preserve">-marked, first-syllable acute; by</w:t>
      </w:r>
      <w:r>
        <w:t xml:space="preserve"> </w:t>
      </w:r>
      <w:r>
        <w:t xml:space="preserve">“</w:t>
      </w:r>
      <w:r>
        <w:t xml:space="preserve">bahulaṃ chandasi</w:t>
      </w:r>
      <w:r>
        <w:t xml:space="preserve">”</w:t>
      </w:r>
      <w:r>
        <w:t xml:space="preserve"> </w:t>
      </w:r>
      <w:r>
        <w:t xml:space="preserve">the</w:t>
      </w:r>
      <w:r>
        <w:t xml:space="preserve"> </w:t>
      </w:r>
      <w:r>
        <w:t xml:space="preserve">“</w:t>
      </w:r>
      <w:r>
        <w:t xml:space="preserve">ais</w:t>
      </w:r>
      <w:r>
        <w:t xml:space="preserve">”</w:t>
      </w:r>
      <w:r>
        <w:t xml:space="preserve"> </w:t>
      </w:r>
      <w:r>
        <w:t xml:space="preserve">is withheld, so</w:t>
      </w:r>
      <w:r>
        <w:t xml:space="preserve"> </w:t>
      </w:r>
      <w:r>
        <w:t xml:space="preserve">“</w:t>
      </w:r>
      <w:r>
        <w:t xml:space="preserve">ebhiḥ</w:t>
      </w:r>
      <w:r>
        <w:t xml:space="preserve">”</w:t>
      </w:r>
      <w:r>
        <w:t xml:space="preserve"> </w:t>
      </w:r>
      <w:r>
        <w:t xml:space="preserve">by</w:t>
      </w:r>
      <w:r>
        <w:t xml:space="preserve"> </w:t>
      </w:r>
      <w:r>
        <w:t xml:space="preserve">“</w:t>
      </w:r>
      <w:r>
        <w:t xml:space="preserve">bahuvacane jhaly et.</w:t>
      </w:r>
      <w:r>
        <w:t xml:space="preserve">”</w:t>
      </w:r>
      <w:r>
        <w:t xml:space="preserve"> </w:t>
      </w:r>
      <w:r>
        <w:t xml:space="preserve">“</w:t>
      </w:r>
      <w:r>
        <w:t xml:space="preserve">Sahayoge tṛtīyā</w:t>
      </w:r>
      <w:r>
        <w:t xml:space="preserve">”</w:t>
      </w:r>
      <w:r>
        <w:t xml:space="preserve">: the instrumental of accompaniment is understood from the sense, so</w:t>
      </w:r>
      <w:r>
        <w:t xml:space="preserve"> </w:t>
      </w:r>
      <w:r>
        <w:t xml:space="preserve">“</w:t>
      </w:r>
      <w:r>
        <w:t xml:space="preserve">vayaṃ saṃyujyemahi</w:t>
      </w:r>
      <w:r>
        <w:t xml:space="preserve">”</w:t>
      </w:r>
      <w:r>
        <w:t xml:space="preserve"> </w:t>
      </w:r>
      <w:r>
        <w:t xml:space="preserve">is supplied;</w:t>
      </w:r>
      <w:r>
        <w:t xml:space="preserve"> </w:t>
      </w:r>
      <w:r>
        <w:rPr>
          <w:bCs/>
          <w:b/>
        </w:rPr>
        <w:t xml:space="preserve">विनापि सहशब्देन वृद्धो यूना</w:t>
      </w:r>
      <w:r>
        <w:t xml:space="preserve"> </w:t>
      </w:r>
      <w:r>
        <w:t xml:space="preserve">(पा. १-२-६५) shows by nipātana that this is said even without</w:t>
      </w:r>
      <w:r>
        <w:t xml:space="preserve"> </w:t>
      </w:r>
      <w:r>
        <w:t xml:space="preserve">“</w:t>
      </w:r>
      <w:r>
        <w:t xml:space="preserve">saha</w:t>
      </w:r>
      <w:r>
        <w:t xml:space="preserve">”</w:t>
      </w:r>
      <w:r>
        <w:t xml:space="preserve"> </w:t>
      </w:r>
      <w:r>
        <w:t xml:space="preserve">(पा. २-३-१९).</w:t>
      </w:r>
      <w:r>
        <w:t xml:space="preserve"> </w:t>
      </w:r>
      <w:r>
        <w:t xml:space="preserve">“</w:t>
      </w:r>
      <w:r>
        <w:t xml:space="preserve">Astṛbhiḥ</w:t>
      </w:r>
      <w:r>
        <w:t xml:space="preserve">”</w:t>
      </w:r>
      <w:r>
        <w:t xml:space="preserve"> </w:t>
      </w:r>
      <w:r>
        <w:t xml:space="preserve">—</w:t>
      </w:r>
      <w:r>
        <w:t xml:space="preserve"> </w:t>
      </w:r>
      <w:r>
        <w:t xml:space="preserve">“</w:t>
      </w:r>
      <w:r>
        <w:t xml:space="preserve">śastrāstraprakṣepaṇaśīlaiḥ, taddharmabhis tatsādhukāribhir vā</w:t>
      </w:r>
      <w:r>
        <w:t xml:space="preserve">”</w:t>
      </w:r>
      <w:r>
        <w:t xml:space="preserve">:</w:t>
      </w:r>
      <w:r>
        <w:t xml:space="preserve"> </w:t>
      </w:r>
      <w:r>
        <w:t xml:space="preserve">“</w:t>
      </w:r>
      <w:r>
        <w:t xml:space="preserve">asu kṣepaṇe,</w:t>
      </w:r>
      <w:r>
        <w:t xml:space="preserve">”</w:t>
      </w:r>
      <w:r>
        <w:t xml:space="preserve"> </w:t>
      </w:r>
      <w:r>
        <w:rPr>
          <w:bCs/>
          <w:b/>
        </w:rPr>
        <w:t xml:space="preserve">तृन्</w:t>
      </w:r>
      <w:r>
        <w:t xml:space="preserve"> </w:t>
      </w:r>
      <w:r>
        <w:t xml:space="preserve">(पा. ३-२-१३५) in the</w:t>
      </w:r>
      <w:r>
        <w:t xml:space="preserve"> </w:t>
      </w:r>
      <w:r>
        <w:t xml:space="preserve">“</w:t>
      </w:r>
      <w:r>
        <w:t xml:space="preserve">tācchīlya</w:t>
      </w:r>
      <w:r>
        <w:t xml:space="preserve">”</w:t>
      </w:r>
      <w:r>
        <w:t xml:space="preserve"> </w:t>
      </w:r>
      <w:r>
        <w:t xml:space="preserve">sense;</w:t>
      </w:r>
      <w:r>
        <w:t xml:space="preserve"> </w:t>
      </w:r>
      <w:r>
        <w:t xml:space="preserve">“</w:t>
      </w:r>
      <w:r>
        <w:t xml:space="preserve">n</w:t>
      </w:r>
      <w:r>
        <w:t xml:space="preserve">”</w:t>
      </w:r>
      <w:r>
        <w:t xml:space="preserve">-marked, first-syllable acute; by</w:t>
      </w:r>
      <w:r>
        <w:t xml:space="preserve"> </w:t>
      </w:r>
      <w:r>
        <w:rPr>
          <w:bCs/>
          <w:b/>
        </w:rPr>
        <w:t xml:space="preserve">रधादिभ्यश्च</w:t>
      </w:r>
      <w:r>
        <w:t xml:space="preserve"> </w:t>
      </w:r>
      <w:r>
        <w:t xml:space="preserve">(पा. ७-२-४५)</w:t>
      </w:r>
      <w:r>
        <w:t xml:space="preserve"> </w:t>
      </w:r>
      <w:r>
        <w:t xml:space="preserve">“</w:t>
      </w:r>
      <w:r>
        <w:t xml:space="preserve">iṭ</w:t>
      </w:r>
      <w:r>
        <w:t xml:space="preserve">”</w:t>
      </w:r>
      <w:r>
        <w:t xml:space="preserve"> </w:t>
      </w:r>
      <w:r>
        <w:t xml:space="preserve">being optional, here it is absent.</w:t>
      </w:r>
      <w:r>
        <w:t xml:space="preserve"> </w:t>
      </w:r>
      <w:r>
        <w:t xml:space="preserve">“</w:t>
      </w:r>
      <w:r>
        <w:t xml:space="preserve">Tvayā</w:t>
      </w:r>
      <w:r>
        <w:t xml:space="preserve">”</w:t>
      </w:r>
      <w:r>
        <w:t xml:space="preserve"> </w:t>
      </w:r>
      <w:r>
        <w:t xml:space="preserve">—</w:t>
      </w:r>
      <w:r>
        <w:t xml:space="preserve"> </w:t>
      </w:r>
      <w:r>
        <w:rPr>
          <w:bCs/>
          <w:b/>
        </w:rPr>
        <w:t xml:space="preserve">युष्यसिभ्यां मदिक्</w:t>
      </w:r>
      <w:r>
        <w:t xml:space="preserve"> </w:t>
      </w:r>
      <w:r>
        <w:t xml:space="preserve">(उ. १-१३८)</w:t>
      </w:r>
      <w:r>
        <w:t xml:space="preserve"> </w:t>
      </w:r>
      <w:r>
        <w:t xml:space="preserve">“</w:t>
      </w:r>
      <w:r>
        <w:t xml:space="preserve">madik</w:t>
      </w:r>
      <w:r>
        <w:t xml:space="preserve">”</w:t>
      </w:r>
      <w:r>
        <w:t xml:space="preserve">;</w:t>
      </w:r>
      <w:r>
        <w:t xml:space="preserve"> </w:t>
      </w:r>
      <w:r>
        <w:t xml:space="preserve">“</w:t>
      </w:r>
      <w:r>
        <w:t xml:space="preserve">k</w:t>
      </w:r>
      <w:r>
        <w:t xml:space="preserve">”</w:t>
      </w:r>
      <w:r>
        <w:t xml:space="preserve">-marked, no guṇa;</w:t>
      </w:r>
      <w:r>
        <w:t xml:space="preserve"> </w:t>
      </w:r>
      <w:r>
        <w:t xml:space="preserve">“</w:t>
      </w:r>
      <w:r>
        <w:t xml:space="preserve">yuṣmad</w:t>
      </w:r>
      <w:r>
        <w:t xml:space="preserve">”</w:t>
      </w:r>
      <w:r>
        <w:t xml:space="preserve"> </w:t>
      </w:r>
      <w:r>
        <w:t xml:space="preserve">with the</w:t>
      </w:r>
      <w:r>
        <w:t xml:space="preserve"> </w:t>
      </w:r>
      <w:r>
        <w:t xml:space="preserve">“</w:t>
      </w:r>
      <w:r>
        <w:t xml:space="preserve">a</w:t>
      </w:r>
      <w:r>
        <w:t xml:space="preserve">”</w:t>
      </w:r>
      <w:r>
        <w:t xml:space="preserve"> </w:t>
      </w:r>
      <w:r>
        <w:t xml:space="preserve">acute by the affix accent; instrumental</w:t>
      </w:r>
      <w:r>
        <w:t xml:space="preserve"> </w:t>
      </w:r>
      <w:r>
        <w:t xml:space="preserve">“</w:t>
      </w:r>
      <w:r>
        <w:t xml:space="preserve">ṭā</w:t>
      </w:r>
      <w:r>
        <w:t xml:space="preserve">”</w:t>
      </w:r>
      <w:r>
        <w:t xml:space="preserve"> </w:t>
      </w:r>
      <w:r>
        <w:t xml:space="preserve">(पा. ४-१-२);</w:t>
      </w:r>
      <w:r>
        <w:t xml:space="preserve"> </w:t>
      </w:r>
      <w:r>
        <w:rPr>
          <w:bCs/>
          <w:b/>
        </w:rPr>
        <w:t xml:space="preserve">त्वमावेकवचने</w:t>
      </w:r>
      <w:r>
        <w:t xml:space="preserve"> </w:t>
      </w:r>
      <w:r>
        <w:t xml:space="preserve">(पा. ७-२-९७)</w:t>
      </w:r>
      <w:r>
        <w:t xml:space="preserve"> </w:t>
      </w:r>
      <w:r>
        <w:t xml:space="preserve">“</w:t>
      </w:r>
      <w:r>
        <w:t xml:space="preserve">tva</w:t>
      </w:r>
      <w:r>
        <w:t xml:space="preserve">”</w:t>
      </w:r>
      <w:r>
        <w:t xml:space="preserve"> </w:t>
      </w:r>
      <w:r>
        <w:t xml:space="preserve">for the part up to</w:t>
      </w:r>
      <w:r>
        <w:t xml:space="preserve"> </w:t>
      </w:r>
      <w:r>
        <w:t xml:space="preserve">“</w:t>
      </w:r>
      <w:r>
        <w:t xml:space="preserve">ma</w:t>
      </w:r>
      <w:r>
        <w:t xml:space="preserve">”</w:t>
      </w:r>
      <w:r>
        <w:t xml:space="preserve">;</w:t>
      </w:r>
      <w:r>
        <w:t xml:space="preserve"> </w:t>
      </w:r>
      <w:r>
        <w:rPr>
          <w:bCs/>
          <w:b/>
        </w:rPr>
        <w:t xml:space="preserve">अतो गुणे</w:t>
      </w:r>
      <w:r>
        <w:t xml:space="preserve"> </w:t>
      </w:r>
      <w:r>
        <w:t xml:space="preserve">(पा. ६-१-९७) the later form; the single substitute acute.</w:t>
      </w:r>
      <w:r>
        <w:t xml:space="preserve"> </w:t>
      </w:r>
      <w:r>
        <w:t xml:space="preserve">“</w:t>
      </w:r>
      <w:r>
        <w:t xml:space="preserve">Yujā</w:t>
      </w:r>
      <w:r>
        <w:t xml:space="preserve">”</w:t>
      </w:r>
      <w:r>
        <w:t xml:space="preserve"> </w:t>
      </w:r>
      <w:r>
        <w:t xml:space="preserve">—</w:t>
      </w:r>
      <w:r>
        <w:t xml:space="preserve"> </w:t>
      </w:r>
      <w:r>
        <w:rPr>
          <w:bCs/>
          <w:b/>
        </w:rPr>
        <w:t xml:space="preserve">अञ्चुयुजिक्रुञ्चां च</w:t>
      </w:r>
      <w:r>
        <w:t xml:space="preserve"> </w:t>
      </w:r>
      <w:r>
        <w:t xml:space="preserve">(पा. ३-२-५९)</w:t>
      </w:r>
      <w:r>
        <w:t xml:space="preserve"> </w:t>
      </w:r>
      <w:r>
        <w:t xml:space="preserve">“</w:t>
      </w:r>
      <w:r>
        <w:t xml:space="preserve">kvin</w:t>
      </w:r>
      <w:r>
        <w:t xml:space="preserve">”</w:t>
      </w:r>
      <w:r>
        <w:t xml:space="preserve">; the case-ending acute by</w:t>
      </w:r>
      <w:r>
        <w:t xml:space="preserve"> </w:t>
      </w:r>
      <w:r>
        <w:t xml:space="preserve">“</w:t>
      </w:r>
      <w:r>
        <w:t xml:space="preserve">sāv ekācaḥ…</w:t>
      </w:r>
      <w:r>
        <w:t xml:space="preserve">”</w:t>
      </w:r>
      <w:r>
        <w:t xml:space="preserve">.</w:t>
      </w:r>
      <w:r>
        <w:t xml:space="preserve"> </w:t>
      </w:r>
      <w:r>
        <w:t xml:space="preserve">“</w:t>
      </w:r>
      <w:r>
        <w:t xml:space="preserve">Sāsahyāma</w:t>
      </w:r>
      <w:r>
        <w:t xml:space="preserve">”</w:t>
      </w:r>
      <w:r>
        <w:t xml:space="preserve"> </w:t>
      </w:r>
      <w:r>
        <w:t xml:space="preserve">—</w:t>
      </w:r>
      <w:r>
        <w:t xml:space="preserve"> </w:t>
      </w:r>
      <w:r>
        <w:t xml:space="preserve">“</w:t>
      </w:r>
      <w:r>
        <w:t xml:space="preserve">bhṛśaṃ punaḥ punaḥ sahemahi</w:t>
      </w:r>
      <w:r>
        <w:t xml:space="preserve">”</w:t>
      </w:r>
      <w:r>
        <w:t xml:space="preserve"> </w:t>
      </w:r>
      <w:r>
        <w:t xml:space="preserve">(may we overcome greatly, again and again):</w:t>
      </w:r>
      <w:r>
        <w:t xml:space="preserve"> </w:t>
      </w:r>
      <w:r>
        <w:t xml:space="preserve">“</w:t>
      </w:r>
      <w:r>
        <w:t xml:space="preserve">ṣaha marṣaṇe,</w:t>
      </w:r>
      <w:r>
        <w:t xml:space="preserve">”</w:t>
      </w:r>
      <w:r>
        <w:t xml:space="preserve"> </w:t>
      </w:r>
      <w:r>
        <w:t xml:space="preserve">“</w:t>
      </w:r>
      <w:r>
        <w:t xml:space="preserve">s</w:t>
      </w:r>
      <w:r>
        <w:t xml:space="preserve">”</w:t>
      </w:r>
      <w:r>
        <w:t xml:space="preserve"> </w:t>
      </w:r>
      <w:r>
        <w:t xml:space="preserve">for</w:t>
      </w:r>
      <w:r>
        <w:t xml:space="preserve"> </w:t>
      </w:r>
      <w:r>
        <w:t xml:space="preserve">“</w:t>
      </w:r>
      <w:r>
        <w:t xml:space="preserve">ṣ</w:t>
      </w:r>
      <w:r>
        <w:t xml:space="preserve">”</w:t>
      </w:r>
      <w:r>
        <w:t xml:space="preserve"> </w:t>
      </w:r>
      <w:r>
        <w:t xml:space="preserve">(पा. ६-१-६४);</w:t>
      </w:r>
      <w:r>
        <w:t xml:space="preserve"> </w:t>
      </w:r>
      <w:r>
        <w:rPr>
          <w:bCs/>
          <w:b/>
        </w:rPr>
        <w:t xml:space="preserve">धातोरेकाचो हलादेः क्रियासमभिहारे यङ्</w:t>
      </w:r>
      <w:r>
        <w:t xml:space="preserve"> </w:t>
      </w:r>
      <w:r>
        <w:t xml:space="preserve">(पा. ३-१-२२)</w:t>
      </w:r>
      <w:r>
        <w:t xml:space="preserve"> </w:t>
      </w:r>
      <w:r>
        <w:t xml:space="preserve">“</w:t>
      </w:r>
      <w:r>
        <w:t xml:space="preserve">yaṅ</w:t>
      </w:r>
      <w:r>
        <w:t xml:space="preserve">”</w:t>
      </w:r>
      <w:r>
        <w:t xml:space="preserve">;</w:t>
      </w:r>
      <w:r>
        <w:t xml:space="preserve"> </w:t>
      </w:r>
      <w:r>
        <w:rPr>
          <w:bCs/>
          <w:b/>
        </w:rPr>
        <w:t xml:space="preserve">यङोऽचि च</w:t>
      </w:r>
      <w:r>
        <w:t xml:space="preserve"> </w:t>
      </w:r>
      <w:r>
        <w:t xml:space="preserve">(पा. २-४-७४)</w:t>
      </w:r>
      <w:r>
        <w:t xml:space="preserve"> </w:t>
      </w:r>
      <w:r>
        <w:t xml:space="preserve">“</w:t>
      </w:r>
      <w:r>
        <w:t xml:space="preserve">luk</w:t>
      </w:r>
      <w:r>
        <w:t xml:space="preserve">”</w:t>
      </w:r>
      <w:r>
        <w:t xml:space="preserve">;</w:t>
      </w:r>
      <w:r>
        <w:t xml:space="preserve"> </w:t>
      </w:r>
      <w:r>
        <w:rPr>
          <w:bCs/>
          <w:b/>
        </w:rPr>
        <w:t xml:space="preserve">सन्यङोः</w:t>
      </w:r>
      <w:r>
        <w:t xml:space="preserve"> </w:t>
      </w:r>
      <w:r>
        <w:t xml:space="preserve">(पा. ६-१-९) doubling;</w:t>
      </w:r>
      <w:r>
        <w:t xml:space="preserve"> </w:t>
      </w:r>
      <w:r>
        <w:rPr>
          <w:bCs/>
          <w:b/>
        </w:rPr>
        <w:t xml:space="preserve">हलादिः शेषः</w:t>
      </w:r>
      <w:r>
        <w:t xml:space="preserve"> </w:t>
      </w:r>
      <w:r>
        <w:t xml:space="preserve">(पा. ७-४-६०);</w:t>
      </w:r>
      <w:r>
        <w:t xml:space="preserve"> </w:t>
      </w:r>
      <w:r>
        <w:rPr>
          <w:bCs/>
          <w:b/>
        </w:rPr>
        <w:t xml:space="preserve">दीर्घोऽकितः</w:t>
      </w:r>
      <w:r>
        <w:t xml:space="preserve"> </w:t>
      </w:r>
      <w:r>
        <w:t xml:space="preserve">(पा. ७-४-८३) the long vowel;</w:t>
      </w:r>
      <w:r>
        <w:t xml:space="preserve"> </w:t>
      </w:r>
      <w:r>
        <w:t xml:space="preserve">“</w:t>
      </w:r>
      <w:r>
        <w:t xml:space="preserve">liṅ</w:t>
      </w:r>
      <w:r>
        <w:t xml:space="preserve">”</w:t>
      </w:r>
      <w:r>
        <w:t xml:space="preserve"> </w:t>
      </w:r>
      <w:r>
        <w:t xml:space="preserve">of prayer; though</w:t>
      </w:r>
      <w:r>
        <w:t xml:space="preserve"> </w:t>
      </w:r>
      <w:r>
        <w:t xml:space="preserve">“</w:t>
      </w:r>
      <w:r>
        <w:t xml:space="preserve">carkarītaṃ ca</w:t>
      </w:r>
      <w:r>
        <w:t xml:space="preserve">”</w:t>
      </w:r>
      <w:r>
        <w:t xml:space="preserve"> </w:t>
      </w:r>
      <w:r>
        <w:t xml:space="preserve">(in the adādi class), it is parasmaipada and treated as adādi, so</w:t>
      </w:r>
      <w:r>
        <w:t xml:space="preserve"> </w:t>
      </w:r>
      <w:r>
        <w:t xml:space="preserve">“</w:t>
      </w:r>
      <w:r>
        <w:t xml:space="preserve">śap</w:t>
      </w:r>
      <w:r>
        <w:t xml:space="preserve">”</w:t>
      </w:r>
      <w:r>
        <w:t xml:space="preserve"> </w:t>
      </w:r>
      <w:r>
        <w:t xml:space="preserve">is elided; first plural</w:t>
      </w:r>
      <w:r>
        <w:t xml:space="preserve"> </w:t>
      </w:r>
      <w:r>
        <w:t xml:space="preserve">“</w:t>
      </w:r>
      <w:r>
        <w:t xml:space="preserve">mas,</w:t>
      </w:r>
      <w:r>
        <w:t xml:space="preserve">”</w:t>
      </w:r>
      <w:r>
        <w:t xml:space="preserve"> </w:t>
      </w:r>
      <w:r>
        <w:rPr>
          <w:bCs/>
          <w:b/>
        </w:rPr>
        <w:t xml:space="preserve">नित्यं ङितः</w:t>
      </w:r>
      <w:r>
        <w:t xml:space="preserve"> </w:t>
      </w:r>
      <w:r>
        <w:t xml:space="preserve">(पा. ३-४-९९) loss of</w:t>
      </w:r>
      <w:r>
        <w:t xml:space="preserve"> </w:t>
      </w:r>
      <w:r>
        <w:t xml:space="preserve">“</w:t>
      </w:r>
      <w:r>
        <w:t xml:space="preserve">s</w:t>
      </w:r>
      <w:r>
        <w:t xml:space="preserve">”</w:t>
      </w:r>
      <w:r>
        <w:t xml:space="preserve">;</w:t>
      </w:r>
      <w:r>
        <w:t xml:space="preserve"> </w:t>
      </w:r>
      <w:r>
        <w:rPr>
          <w:bCs/>
          <w:b/>
        </w:rPr>
        <w:t xml:space="preserve">यासुट् परस्मैपदेषूदात्तो ङिच्च</w:t>
      </w:r>
      <w:r>
        <w:t xml:space="preserve"> </w:t>
      </w:r>
      <w:r>
        <w:t xml:space="preserve">(पा. ३-४-१०३)</w:t>
      </w:r>
      <w:r>
        <w:t xml:space="preserve"> </w:t>
      </w:r>
      <w:r>
        <w:t xml:space="preserve">“</w:t>
      </w:r>
      <w:r>
        <w:t xml:space="preserve">yāsuṭ</w:t>
      </w:r>
      <w:r>
        <w:t xml:space="preserve">”</w:t>
      </w:r>
      <w:r>
        <w:t xml:space="preserve">; loss of</w:t>
      </w:r>
      <w:r>
        <w:t xml:space="preserve"> </w:t>
      </w:r>
      <w:r>
        <w:t xml:space="preserve">“</w:t>
      </w:r>
      <w:r>
        <w:t xml:space="preserve">s</w:t>
      </w:r>
      <w:r>
        <w:t xml:space="preserve">”</w:t>
      </w:r>
      <w:r>
        <w:t xml:space="preserve"> </w:t>
      </w:r>
      <w:r>
        <w:t xml:space="preserve">(पा. ७-२-७९); the acute of</w:t>
      </w:r>
      <w:r>
        <w:t xml:space="preserve"> </w:t>
      </w:r>
      <w:r>
        <w:t xml:space="preserve">“</w:t>
      </w:r>
      <w:r>
        <w:t xml:space="preserve">yāsuṭ</w:t>
      </w:r>
      <w:r>
        <w:t xml:space="preserve">”</w:t>
      </w:r>
      <w:r>
        <w:t xml:space="preserve"> </w:t>
      </w:r>
      <w:r>
        <w:t xml:space="preserve">remaining, and no nighāta at the start of a pāda.</w:t>
      </w:r>
      <w:r>
        <w:t xml:space="preserve"> </w:t>
      </w:r>
      <w:r>
        <w:t xml:space="preserve">“</w:t>
      </w:r>
      <w:r>
        <w:t xml:space="preserve">Pṛtanyataḥ</w:t>
      </w:r>
      <w:r>
        <w:t xml:space="preserve">”</w:t>
      </w:r>
      <w:r>
        <w:t xml:space="preserve"> </w:t>
      </w:r>
      <w:r>
        <w:t xml:space="preserve">—</w:t>
      </w:r>
      <w:r>
        <w:t xml:space="preserve"> </w:t>
      </w:r>
      <w:r>
        <w:t xml:space="preserve">“</w:t>
      </w:r>
      <w:r>
        <w:t xml:space="preserve">yoddhuṃ pṛtanām ātmana icchataḥ</w:t>
      </w:r>
      <w:r>
        <w:t xml:space="preserve">”</w:t>
      </w:r>
      <w:r>
        <w:t xml:space="preserve">:</w:t>
      </w:r>
      <w:r>
        <w:t xml:space="preserve"> </w:t>
      </w:r>
      <w:r>
        <w:rPr>
          <w:bCs/>
          <w:b/>
        </w:rPr>
        <w:t xml:space="preserve">सुप आत्मनः क्यच्</w:t>
      </w:r>
      <w:r>
        <w:t xml:space="preserve"> </w:t>
      </w:r>
      <w:r>
        <w:t xml:space="preserve">“</w:t>
      </w:r>
      <w:r>
        <w:t xml:space="preserve">kyac</w:t>
      </w:r>
      <w:r>
        <w:t xml:space="preserve">”</w:t>
      </w:r>
      <w:r>
        <w:t xml:space="preserve">;</w:t>
      </w:r>
      <w:r>
        <w:t xml:space="preserve"> </w:t>
      </w:r>
      <w:r>
        <w:rPr>
          <w:bCs/>
          <w:b/>
        </w:rPr>
        <w:t xml:space="preserve">सनाद्यन्ता धातवः</w:t>
      </w:r>
      <w:r>
        <w:t xml:space="preserve"> </w:t>
      </w:r>
      <w:r>
        <w:t xml:space="preserve">(पा. ३-१-३२) the root designation;</w:t>
      </w:r>
      <w:r>
        <w:t xml:space="preserve"> </w:t>
      </w:r>
      <w:r>
        <w:rPr>
          <w:bCs/>
          <w:b/>
        </w:rPr>
        <w:t xml:space="preserve">सुपो धातुप्रातिपदिकयोः</w:t>
      </w:r>
      <w:r>
        <w:t xml:space="preserve"> </w:t>
      </w:r>
      <w:r>
        <w:t xml:space="preserve">(पा. २-४-७१)</w:t>
      </w:r>
      <w:r>
        <w:t xml:space="preserve"> </w:t>
      </w:r>
      <w:r>
        <w:t xml:space="preserve">“</w:t>
      </w:r>
      <w:r>
        <w:t xml:space="preserve">luk</w:t>
      </w:r>
      <w:r>
        <w:t xml:space="preserve">”</w:t>
      </w:r>
      <w:r>
        <w:t xml:space="preserve">; with</w:t>
      </w:r>
      <w:r>
        <w:t xml:space="preserve"> </w:t>
      </w:r>
      <w:r>
        <w:t xml:space="preserve">“</w:t>
      </w:r>
      <w:r>
        <w:t xml:space="preserve">kyaci ca</w:t>
      </w:r>
      <w:r>
        <w:t xml:space="preserve">”</w:t>
      </w:r>
      <w:r>
        <w:t xml:space="preserve"> </w:t>
      </w:r>
      <w:r>
        <w:t xml:space="preserve">(पा. ७-४-३३) carried on,</w:t>
      </w:r>
      <w:r>
        <w:t xml:space="preserve"> </w:t>
      </w:r>
      <w:r>
        <w:rPr>
          <w:bCs/>
          <w:b/>
        </w:rPr>
        <w:t xml:space="preserve">कव्यध्वरपृतनस्यर्चि लोपः</w:t>
      </w:r>
      <w:r>
        <w:t xml:space="preserve"> </w:t>
      </w:r>
      <w:r>
        <w:t xml:space="preserve">(पा. ७-४-३९) loss of the</w:t>
      </w:r>
      <w:r>
        <w:t xml:space="preserve"> </w:t>
      </w:r>
      <w:r>
        <w:t xml:space="preserve">“</w:t>
      </w:r>
      <w:r>
        <w:t xml:space="preserve">a</w:t>
      </w:r>
      <w:r>
        <w:t xml:space="preserve">”</w:t>
      </w:r>
      <w:r>
        <w:t xml:space="preserve">; the</w:t>
      </w:r>
      <w:r>
        <w:t xml:space="preserve"> </w:t>
      </w:r>
      <w:r>
        <w:t xml:space="preserve">“</w:t>
      </w:r>
      <w:r>
        <w:t xml:space="preserve">kyac</w:t>
      </w:r>
      <w:r>
        <w:t xml:space="preserve">”</w:t>
      </w:r>
      <w:r>
        <w:t xml:space="preserve">-ended root end-acute as</w:t>
      </w:r>
      <w:r>
        <w:t xml:space="preserve"> </w:t>
      </w:r>
      <w:r>
        <w:t xml:space="preserve">“</w:t>
      </w:r>
      <w:r>
        <w:t xml:space="preserve">c</w:t>
      </w:r>
      <w:r>
        <w:t xml:space="preserve">”</w:t>
      </w:r>
      <w:r>
        <w:t xml:space="preserve">-marked;</w:t>
      </w:r>
      <w:r>
        <w:t xml:space="preserve"> </w:t>
      </w:r>
      <w:r>
        <w:t xml:space="preserve">“</w:t>
      </w:r>
      <w:r>
        <w:t xml:space="preserve">śatṛ</w:t>
      </w:r>
      <w:r>
        <w:t xml:space="preserve">”</w:t>
      </w:r>
      <w:r>
        <w:t xml:space="preserve"> </w:t>
      </w:r>
      <w:r>
        <w:t xml:space="preserve">for</w:t>
      </w:r>
      <w:r>
        <w:t xml:space="preserve"> </w:t>
      </w:r>
      <w:r>
        <w:t xml:space="preserve">“</w:t>
      </w:r>
      <w:r>
        <w:t xml:space="preserve">laṭ,</w:t>
      </w:r>
      <w:r>
        <w:t xml:space="preserve">”</w:t>
      </w:r>
      <w:r>
        <w:t xml:space="preserve"> </w:t>
      </w:r>
      <w:r>
        <w:t xml:space="preserve">“</w:t>
      </w:r>
      <w:r>
        <w:t xml:space="preserve">śap,</w:t>
      </w:r>
      <w:r>
        <w:t xml:space="preserve">”</w:t>
      </w:r>
      <w:r>
        <w:t xml:space="preserve"> </w:t>
      </w:r>
      <w:r>
        <w:t xml:space="preserve">“</w:t>
      </w:r>
      <w:r>
        <w:t xml:space="preserve">p</w:t>
      </w:r>
      <w:r>
        <w:t xml:space="preserve">”</w:t>
      </w:r>
      <w:r>
        <w:t xml:space="preserve">-marked, unaccented;</w:t>
      </w:r>
      <w:r>
        <w:t xml:space="preserve"> </w:t>
      </w:r>
      <w:r>
        <w:t xml:space="preserve">“</w:t>
      </w:r>
      <w:r>
        <w:t xml:space="preserve">śatṛ</w:t>
      </w:r>
      <w:r>
        <w:t xml:space="preserve">”</w:t>
      </w:r>
      <w:r>
        <w:t xml:space="preserve"> </w:t>
      </w:r>
      <w:r>
        <w:t xml:space="preserve">unaccented as a lasārvadhātuka; the single substitute acute, so</w:t>
      </w:r>
      <w:r>
        <w:t xml:space="preserve"> </w:t>
      </w:r>
      <w:r>
        <w:t xml:space="preserve">“</w:t>
      </w:r>
      <w:r>
        <w:t xml:space="preserve">pṛtanyat</w:t>
      </w:r>
      <w:r>
        <w:t xml:space="preserve">”</w:t>
      </w:r>
      <w:r>
        <w:t xml:space="preserve"> </w:t>
      </w:r>
      <w:r>
        <w:t xml:space="preserve">end-acute; in</w:t>
      </w:r>
      <w:r>
        <w:t xml:space="preserve"> </w:t>
      </w:r>
      <w:r>
        <w:t xml:space="preserve">“</w:t>
      </w:r>
      <w:r>
        <w:t xml:space="preserve">śas,</w:t>
      </w:r>
      <w:r>
        <w:t xml:space="preserve">”</w:t>
      </w:r>
      <w:r>
        <w:t xml:space="preserve"> </w:t>
      </w:r>
      <w:r>
        <w:t xml:space="preserve">the ending would be unaccented by the affix accent, but with</w:t>
      </w:r>
      <w:r>
        <w:t xml:space="preserve"> </w:t>
      </w:r>
      <w:r>
        <w:t xml:space="preserve">“</w:t>
      </w:r>
      <w:r>
        <w:t xml:space="preserve">antodāttāt</w:t>
      </w:r>
      <w:r>
        <w:t xml:space="preserve">”</w:t>
      </w:r>
      <w:r>
        <w:t xml:space="preserve"> </w:t>
      </w:r>
      <w:r>
        <w:t xml:space="preserve">carried on,</w:t>
      </w:r>
      <w:r>
        <w:t xml:space="preserve"> </w:t>
      </w:r>
      <w:r>
        <w:rPr>
          <w:bCs/>
          <w:b/>
        </w:rPr>
        <w:t xml:space="preserve">शतुरनुमो नद्यजादी</w:t>
      </w:r>
      <w:r>
        <w:t xml:space="preserve"> </w:t>
      </w:r>
      <w:r>
        <w:t xml:space="preserve">(पा. ६-१-१७३) makes it acute.</w:t>
      </w:r>
    </w:p>
    <w:p>
      <w:pPr>
        <w:pStyle w:val="BodyText"/>
      </w:pPr>
      <w:r>
        <w:rPr>
          <w:bCs/>
          <w:b/>
        </w:rPr>
        <w:t xml:space="preserve">॥ Prati-padārthaḥ ॥</w:t>
      </w:r>
    </w:p>
    <w:p>
      <w:pPr>
        <w:pStyle w:val="BodyText"/>
      </w:pPr>
      <w:r>
        <w:rPr>
          <w:bCs/>
          <w:b/>
        </w:rPr>
        <w:t xml:space="preserve">वयम् (vayam)</w:t>
      </w:r>
      <w:r>
        <w:t xml:space="preserve"> </w:t>
      </w:r>
      <w:r>
        <w:t xml:space="preserve">— we |</w:t>
      </w:r>
      <w:r>
        <w:t xml:space="preserve"> </w:t>
      </w:r>
      <w:r>
        <w:rPr>
          <w:bCs/>
          <w:b/>
        </w:rPr>
        <w:t xml:space="preserve">शूरेभिः (śūrebhiḥ)</w:t>
      </w:r>
      <w:r>
        <w:t xml:space="preserve"> </w:t>
      </w:r>
      <w:r>
        <w:t xml:space="preserve">— endowed with valour |</w:t>
      </w:r>
      <w:r>
        <w:t xml:space="preserve"> </w:t>
      </w:r>
      <w:r>
        <w:rPr>
          <w:bCs/>
          <w:b/>
        </w:rPr>
        <w:t xml:space="preserve">अस्तृभिः (astṛbhiḥ)</w:t>
      </w:r>
      <w:r>
        <w:t xml:space="preserve"> </w:t>
      </w:r>
      <w:r>
        <w:t xml:space="preserve">— [we shall be associated] with warriors who fight with weapons |</w:t>
      </w:r>
      <w:r>
        <w:t xml:space="preserve"> </w:t>
      </w:r>
      <w:r>
        <w:rPr>
          <w:bCs/>
          <w:b/>
        </w:rPr>
        <w:t xml:space="preserve">हे इन्द्र (he indra)</w:t>
      </w:r>
      <w:r>
        <w:t xml:space="preserve"> </w:t>
      </w:r>
      <w:r>
        <w:t xml:space="preserve">— O Indra |</w:t>
      </w:r>
      <w:r>
        <w:t xml:space="preserve"> </w:t>
      </w:r>
      <w:r>
        <w:rPr>
          <w:bCs/>
          <w:b/>
        </w:rPr>
        <w:t xml:space="preserve">वयम् (vayam)</w:t>
      </w:r>
      <w:r>
        <w:t xml:space="preserve"> </w:t>
      </w:r>
      <w:r>
        <w:t xml:space="preserve">— we |</w:t>
      </w:r>
      <w:r>
        <w:t xml:space="preserve"> </w:t>
      </w:r>
      <w:r>
        <w:rPr>
          <w:bCs/>
          <w:b/>
        </w:rPr>
        <w:t xml:space="preserve">युजा (yujā)</w:t>
      </w:r>
      <w:r>
        <w:t xml:space="preserve"> </w:t>
      </w:r>
      <w:r>
        <w:t xml:space="preserve">— who are our helper |</w:t>
      </w:r>
      <w:r>
        <w:t xml:space="preserve"> </w:t>
      </w:r>
      <w:r>
        <w:rPr>
          <w:bCs/>
          <w:b/>
        </w:rPr>
        <w:t xml:space="preserve">त्वया (tvayā)</w:t>
      </w:r>
      <w:r>
        <w:t xml:space="preserve"> </w:t>
      </w:r>
      <w:r>
        <w:t xml:space="preserve">— together with you |</w:t>
      </w:r>
      <w:r>
        <w:t xml:space="preserve"> </w:t>
      </w:r>
      <w:r>
        <w:rPr>
          <w:bCs/>
          <w:b/>
        </w:rPr>
        <w:t xml:space="preserve">पृतन्यतः (pṛtanyataḥ)</w:t>
      </w:r>
      <w:r>
        <w:t xml:space="preserve"> </w:t>
      </w:r>
      <w:r>
        <w:t xml:space="preserve">— the enemies who have armies |</w:t>
      </w:r>
      <w:r>
        <w:t xml:space="preserve"> </w:t>
      </w:r>
      <w:r>
        <w:rPr>
          <w:bCs/>
          <w:b/>
        </w:rPr>
        <w:t xml:space="preserve">सासह्याम (sāsahyāma)</w:t>
      </w:r>
      <w:r>
        <w:t xml:space="preserve"> </w:t>
      </w:r>
      <w:r>
        <w:t xml:space="preserve">— we shall conquer.</w:t>
      </w:r>
    </w:p>
    <w:p>
      <w:pPr>
        <w:pStyle w:val="BodyText"/>
      </w:pPr>
      <w:r>
        <w:rPr>
          <w:bCs/>
          <w:b/>
        </w:rPr>
        <w:t xml:space="preserve">॥ Bhāvārthaḥ ॥</w:t>
      </w:r>
    </w:p>
    <w:p>
      <w:pPr>
        <w:pStyle w:val="BodyText"/>
      </w:pPr>
      <w:r>
        <w:t xml:space="preserve">O Indra! Since we have the help of skilled and valiant warriors who are expert in using weapons, and your help as well, we shall conquer our enemies even though they come with armies.</w:t>
      </w:r>
    </w:p>
    <w:bookmarkEnd w:id="346"/>
    <w:bookmarkStart w:id="347" w:name="page-316-rik-4-english-special-topics"/>
    <w:p>
      <w:pPr>
        <w:pStyle w:val="Heading3"/>
      </w:pPr>
      <w:r>
        <w:t xml:space="preserve">Page 316 — Rik 4: English, Special Topics</w:t>
      </w:r>
    </w:p>
    <w:p>
      <w:pPr>
        <w:pStyle w:val="FirstParagraph"/>
      </w:pPr>
      <w:r>
        <w:rPr>
          <w:bCs/>
          <w:b/>
        </w:rPr>
        <w:t xml:space="preserve">॥ English Translation ॥</w:t>
      </w:r>
      <w:r>
        <w:t xml:space="preserve"> </w:t>
      </w:r>
      <w:r>
        <w:rPr>
          <w:iCs/>
          <w:i/>
        </w:rPr>
        <w:t xml:space="preserve">(as printed in the source)</w:t>
      </w:r>
    </w:p>
    <w:p>
      <w:pPr>
        <w:pStyle w:val="BlockText"/>
      </w:pPr>
      <w:r>
        <w:t xml:space="preserve">With the help of the brave missile throwing heroes and with you as our comrade we will overcome our assailants.</w:t>
      </w:r>
    </w:p>
    <w:p>
      <w:pPr>
        <w:pStyle w:val="FirstParagraph"/>
      </w:pPr>
      <w:r>
        <w:rPr>
          <w:bCs/>
          <w:b/>
        </w:rPr>
        <w:t xml:space="preserve">॥ Viśeṣa-viṣayagaḷu (Special Topics) ॥</w:t>
      </w:r>
    </w:p>
    <w:p>
      <w:pPr>
        <w:pStyle w:val="BodyText"/>
      </w:pPr>
      <w:r>
        <w:rPr>
          <w:bCs/>
          <w:b/>
        </w:rPr>
        <w:t xml:space="preserve">“</w:t>
      </w:r>
      <w:r>
        <w:rPr>
          <w:bCs/>
          <w:b/>
        </w:rPr>
        <w:t xml:space="preserve">Astṛbhiḥ</w:t>
      </w:r>
      <w:r>
        <w:rPr>
          <w:bCs/>
          <w:b/>
        </w:rPr>
        <w:t xml:space="preserve">”</w:t>
      </w:r>
      <w:r>
        <w:t xml:space="preserve"> </w:t>
      </w:r>
      <w:r>
        <w:t xml:space="preserve">— a form of the root</w:t>
      </w:r>
      <w:r>
        <w:t xml:space="preserve"> </w:t>
      </w:r>
      <w:r>
        <w:rPr>
          <w:iCs/>
          <w:i/>
        </w:rPr>
        <w:t xml:space="preserve">asu kṣepaṇe</w:t>
      </w:r>
      <w:r>
        <w:t xml:space="preserve"> </w:t>
      </w:r>
      <w:r>
        <w:t xml:space="preserve">(</w:t>
      </w:r>
      <w:r>
        <w:t xml:space="preserve">“</w:t>
      </w:r>
      <w:r>
        <w:t xml:space="preserve">to throw</w:t>
      </w:r>
      <w:r>
        <w:t xml:space="preserve">”</w:t>
      </w:r>
      <w:r>
        <w:t xml:space="preserve">).</w:t>
      </w:r>
      <w:r>
        <w:t xml:space="preserve"> </w:t>
      </w:r>
      <w:r>
        <w:rPr>
          <w:bCs/>
          <w:b/>
        </w:rPr>
        <w:t xml:space="preserve">शस्त्रास्त्रप्रक्षेपणशीलैः</w:t>
      </w:r>
      <w:r>
        <w:t xml:space="preserve"> </w:t>
      </w:r>
      <w:r>
        <w:t xml:space="preserve">(</w:t>
      </w:r>
      <w:r>
        <w:rPr>
          <w:iCs/>
          <w:i/>
        </w:rPr>
        <w:t xml:space="preserve">śastrāstra-prakṣepaṇa-śīlaiḥ</w:t>
      </w:r>
      <w:r>
        <w:t xml:space="preserve">) —</w:t>
      </w:r>
      <w:r>
        <w:t xml:space="preserve"> </w:t>
      </w:r>
      <w:r>
        <w:t xml:space="preserve">“</w:t>
      </w:r>
      <w:r>
        <w:t xml:space="preserve">those whose habit is to hurl weapons and missiles</w:t>
      </w:r>
      <w:r>
        <w:t xml:space="preserve">”</w:t>
      </w:r>
      <w:r>
        <w:t xml:space="preserve"> </w:t>
      </w:r>
      <w:r>
        <w:t xml:space="preserve">— those who hurl weapons or arms at enemies.</w:t>
      </w:r>
    </w:p>
    <w:p>
      <w:pPr>
        <w:pStyle w:val="BodyText"/>
      </w:pPr>
      <w:r>
        <w:rPr>
          <w:bCs/>
          <w:b/>
        </w:rPr>
        <w:t xml:space="preserve">“</w:t>
      </w:r>
      <w:r>
        <w:rPr>
          <w:bCs/>
          <w:b/>
        </w:rPr>
        <w:t xml:space="preserve">Sāsahyāma</w:t>
      </w:r>
      <w:r>
        <w:rPr>
          <w:bCs/>
          <w:b/>
        </w:rPr>
        <w:t xml:space="preserve">”</w:t>
      </w:r>
      <w:r>
        <w:t xml:space="preserve"> </w:t>
      </w:r>
      <w:r>
        <w:t xml:space="preserve">—</w:t>
      </w:r>
      <w:r>
        <w:t xml:space="preserve"> </w:t>
      </w:r>
      <w:r>
        <w:t xml:space="preserve">“</w:t>
      </w:r>
      <w:r>
        <w:t xml:space="preserve">we shall conquer again and again</w:t>
      </w:r>
      <w:r>
        <w:t xml:space="preserve">”</w:t>
      </w:r>
      <w:r>
        <w:t xml:space="preserve">: that is, even if there are many obstacles in battle, we shall conquer them, taking no notice of them, with certainty. For the convenience of the meter the</w:t>
      </w:r>
      <w:r>
        <w:t xml:space="preserve"> </w:t>
      </w:r>
      <w:r>
        <w:rPr>
          <w:iCs/>
          <w:i/>
        </w:rPr>
        <w:t xml:space="preserve">sa</w:t>
      </w:r>
      <w:r>
        <w:t xml:space="preserve"> </w:t>
      </w:r>
      <w:r>
        <w:t xml:space="preserve">is long in the Saṃhitā-pāṭha.</w:t>
      </w:r>
    </w:p>
    <w:p>
      <w:pPr>
        <w:pStyle w:val="BodyText"/>
      </w:pPr>
      <w:r>
        <w:rPr>
          <w:bCs/>
          <w:b/>
        </w:rPr>
        <w:t xml:space="preserve">“</w:t>
      </w:r>
      <w:r>
        <w:rPr>
          <w:bCs/>
          <w:b/>
        </w:rPr>
        <w:t xml:space="preserve">Pṛtanyataḥ</w:t>
      </w:r>
      <w:r>
        <w:rPr>
          <w:bCs/>
          <w:b/>
        </w:rPr>
        <w:t xml:space="preserve">”</w:t>
      </w:r>
      <w:r>
        <w:t xml:space="preserve"> </w:t>
      </w:r>
      <w:r>
        <w:t xml:space="preserve">—</w:t>
      </w:r>
      <w:r>
        <w:t xml:space="preserve"> </w:t>
      </w:r>
      <w:r>
        <w:rPr>
          <w:iCs/>
          <w:i/>
        </w:rPr>
        <w:t xml:space="preserve">pṛtanā</w:t>
      </w:r>
      <w:r>
        <w:t xml:space="preserve"> </w:t>
      </w:r>
      <w:r>
        <w:t xml:space="preserve">means an army.</w:t>
      </w:r>
      <w:r>
        <w:t xml:space="preserve"> </w:t>
      </w:r>
      <w:r>
        <w:rPr>
          <w:bCs/>
          <w:b/>
        </w:rPr>
        <w:t xml:space="preserve">पृतनामात्मन इच्छन्तः</w:t>
      </w:r>
      <w:r>
        <w:t xml:space="preserve"> </w:t>
      </w:r>
      <w:r>
        <w:t xml:space="preserve">(</w:t>
      </w:r>
      <w:r>
        <w:rPr>
          <w:iCs/>
          <w:i/>
        </w:rPr>
        <w:t xml:space="preserve">pṛtanām ātmana icchantaḥ</w:t>
      </w:r>
      <w:r>
        <w:t xml:space="preserve">) —</w:t>
      </w:r>
      <w:r>
        <w:t xml:space="preserve"> </w:t>
      </w:r>
      <w:r>
        <w:t xml:space="preserve">“</w:t>
      </w:r>
      <w:r>
        <w:t xml:space="preserve">those who desire an army for themselves</w:t>
      </w:r>
      <w:r>
        <w:t xml:space="preserve">”</w:t>
      </w:r>
      <w:r>
        <w:t xml:space="preserve">: that is, enemies who seek the help of an army, or who come with an army.</w:t>
      </w:r>
    </w:p>
    <w:p>
      <w:pPr>
        <w:pStyle w:val="BodyText"/>
      </w:pPr>
      <w:r>
        <w:rPr>
          <w:bCs/>
          <w:b/>
        </w:rPr>
        <w:t xml:space="preserve">॥ Vyākaraṇa-prakriyā ॥</w:t>
      </w:r>
      <w:r>
        <w:t xml:space="preserve"> </w:t>
      </w:r>
      <w:r>
        <w:rPr>
          <w:iCs/>
          <w:i/>
        </w:rPr>
        <w:t xml:space="preserve">(pp. 316–319, Kannada; page header p. 317</w:t>
      </w:r>
      <w:r>
        <w:rPr>
          <w:iCs/>
          <w:i/>
        </w:rPr>
        <w:t xml:space="preserve"> </w:t>
      </w:r>
      <w:r>
        <w:rPr>
          <w:iCs/>
          <w:i/>
        </w:rPr>
        <w:t xml:space="preserve">“</w:t>
      </w:r>
      <w:r>
        <w:rPr>
          <w:iCs/>
          <w:i/>
        </w:rPr>
        <w:t xml:space="preserve">A. 1, A. 1, Va. 15</w:t>
      </w:r>
      <w:r>
        <w:rPr>
          <w:iCs/>
          <w:i/>
        </w:rPr>
        <w:t xml:space="preserve">”</w:t>
      </w:r>
      <w:r>
        <w:rPr>
          <w:iCs/>
          <w:i/>
        </w:rPr>
        <w:t xml:space="preserve">; characterized, numbers as printed)</w:t>
      </w:r>
    </w:p>
    <w:p>
      <w:pPr>
        <w:pStyle w:val="BodyText"/>
      </w:pPr>
      <w:r>
        <w:rPr>
          <w:bCs/>
          <w:b/>
        </w:rPr>
        <w:t xml:space="preserve">शूरेभिः</w:t>
      </w:r>
      <w:r>
        <w:t xml:space="preserve"> </w:t>
      </w:r>
      <w:r>
        <w:t xml:space="preserve">—</w:t>
      </w:r>
      <w:r>
        <w:t xml:space="preserve"> </w:t>
      </w:r>
      <w:r>
        <w:t xml:space="preserve">“</w:t>
      </w:r>
      <w:r>
        <w:t xml:space="preserve">śu śru gatau</w:t>
      </w:r>
      <w:r>
        <w:t xml:space="preserve">”</w:t>
      </w:r>
      <w:r>
        <w:t xml:space="preserve">:</w:t>
      </w:r>
      <w:r>
        <w:t xml:space="preserve"> </w:t>
      </w:r>
      <w:r>
        <w:rPr>
          <w:bCs/>
          <w:b/>
        </w:rPr>
        <w:t xml:space="preserve">शुसिचिमीनां दीर्घश्च</w:t>
      </w:r>
      <w:r>
        <w:t xml:space="preserve"> </w:t>
      </w:r>
      <w:r>
        <w:t xml:space="preserve">(उ. सू. २-१२[?], the last digit unclear; the Bhāṣya gave</w:t>
      </w:r>
      <w:r>
        <w:t xml:space="preserve"> </w:t>
      </w:r>
      <w:r>
        <w:t xml:space="preserve">“</w:t>
      </w:r>
      <w:r>
        <w:t xml:space="preserve">उ. २-२५</w:t>
      </w:r>
      <w:r>
        <w:t xml:space="preserve">”</w:t>
      </w:r>
      <w:r>
        <w:t xml:space="preserve">) — after</w:t>
      </w:r>
      <w:r>
        <w:t xml:space="preserve"> </w:t>
      </w:r>
      <w:r>
        <w:t xml:space="preserve">“</w:t>
      </w:r>
      <w:r>
        <w:t xml:space="preserve">śu,</w:t>
      </w:r>
      <w:r>
        <w:t xml:space="preserve">”</w:t>
      </w:r>
      <w:r>
        <w:t xml:space="preserve"> </w:t>
      </w:r>
      <w:r>
        <w:t xml:space="preserve">“</w:t>
      </w:r>
      <w:r>
        <w:t xml:space="preserve">ṣiñ bandhane,</w:t>
      </w:r>
      <w:r>
        <w:t xml:space="preserve">”</w:t>
      </w:r>
      <w:r>
        <w:t xml:space="preserve"> </w:t>
      </w:r>
      <w:r>
        <w:t xml:space="preserve">“</w:t>
      </w:r>
      <w:r>
        <w:t xml:space="preserve">ciñ cayane,</w:t>
      </w:r>
      <w:r>
        <w:t xml:space="preserve">”</w:t>
      </w:r>
      <w:r>
        <w:t xml:space="preserve"> </w:t>
      </w:r>
      <w:r>
        <w:t xml:space="preserve">“</w:t>
      </w:r>
      <w:r>
        <w:t xml:space="preserve">ḍumiñ prakṣepaṇe,</w:t>
      </w:r>
      <w:r>
        <w:t xml:space="preserve">”</w:t>
      </w:r>
      <w:r>
        <w:t xml:space="preserve"> </w:t>
      </w:r>
      <w:r>
        <w:t xml:space="preserve">“</w:t>
      </w:r>
      <w:r>
        <w:t xml:space="preserve">kran</w:t>
      </w:r>
      <w:r>
        <w:t xml:space="preserve">”</w:t>
      </w:r>
      <w:r>
        <w:t xml:space="preserve"> </w:t>
      </w:r>
      <w:r>
        <w:t xml:space="preserve">with a long vowel:</w:t>
      </w:r>
      <w:r>
        <w:t xml:space="preserve"> </w:t>
      </w:r>
      <w:r>
        <w:t xml:space="preserve">“</w:t>
      </w:r>
      <w:r>
        <w:t xml:space="preserve">śūra</w:t>
      </w:r>
      <w:r>
        <w:t xml:space="preserve">”</w:t>
      </w:r>
      <w:r>
        <w:t xml:space="preserve">;</w:t>
      </w:r>
      <w:r>
        <w:t xml:space="preserve"> </w:t>
      </w:r>
      <w:r>
        <w:t xml:space="preserve">“</w:t>
      </w:r>
      <w:r>
        <w:t xml:space="preserve">k</w:t>
      </w:r>
      <w:r>
        <w:t xml:space="preserve">”</w:t>
      </w:r>
      <w:r>
        <w:t xml:space="preserve">-marked, no guṇa;</w:t>
      </w:r>
      <w:r>
        <w:t xml:space="preserve"> </w:t>
      </w:r>
      <w:r>
        <w:t xml:space="preserve">“</w:t>
      </w:r>
      <w:r>
        <w:t xml:space="preserve">n</w:t>
      </w:r>
      <w:r>
        <w:t xml:space="preserve">”</w:t>
      </w:r>
      <w:r>
        <w:t xml:space="preserve">-marked, first-syllable acute. Before</w:t>
      </w:r>
      <w:r>
        <w:t xml:space="preserve"> </w:t>
      </w:r>
      <w:r>
        <w:t xml:space="preserve">“</w:t>
      </w:r>
      <w:r>
        <w:t xml:space="preserve">bhis,</w:t>
      </w:r>
      <w:r>
        <w:t xml:space="preserve">”</w:t>
      </w:r>
      <w:r>
        <w:t xml:space="preserve"> </w:t>
      </w:r>
      <w:r>
        <w:rPr>
          <w:bCs/>
          <w:b/>
        </w:rPr>
        <w:t xml:space="preserve">अतो भिस ऐस्</w:t>
      </w:r>
      <w:r>
        <w:t xml:space="preserve"> </w:t>
      </w:r>
      <w:r>
        <w:t xml:space="preserve">(पा. सू. ७-१-९) would give</w:t>
      </w:r>
      <w:r>
        <w:t xml:space="preserve"> </w:t>
      </w:r>
      <w:r>
        <w:t xml:space="preserve">“</w:t>
      </w:r>
      <w:r>
        <w:t xml:space="preserve">ais,</w:t>
      </w:r>
      <w:r>
        <w:t xml:space="preserve">”</w:t>
      </w:r>
      <w:r>
        <w:t xml:space="preserve"> </w:t>
      </w:r>
      <w:r>
        <w:t xml:space="preserve">but</w:t>
      </w:r>
      <w:r>
        <w:t xml:space="preserve"> </w:t>
      </w:r>
      <w:r>
        <w:rPr>
          <w:bCs/>
          <w:b/>
        </w:rPr>
        <w:t xml:space="preserve">बहुलं छन्दसि</w:t>
      </w:r>
      <w:r>
        <w:t xml:space="preserve"> </w:t>
      </w:r>
      <w:r>
        <w:t xml:space="preserve">(पा. सू. ७-१-१०) withholds it;</w:t>
      </w:r>
      <w:r>
        <w:t xml:space="preserve"> </w:t>
      </w:r>
      <w:r>
        <w:rPr>
          <w:bCs/>
          <w:b/>
        </w:rPr>
        <w:t xml:space="preserve">बहुवचने झल्येत्</w:t>
      </w:r>
      <w:r>
        <w:t xml:space="preserve"> </w:t>
      </w:r>
      <w:r>
        <w:t xml:space="preserve">(पा. सू. ७-३-१०३)</w:t>
      </w:r>
      <w:r>
        <w:t xml:space="preserve"> </w:t>
      </w:r>
      <w:r>
        <w:t xml:space="preserve">“</w:t>
      </w:r>
      <w:r>
        <w:t xml:space="preserve">e</w:t>
      </w:r>
      <w:r>
        <w:t xml:space="preserve">”</w:t>
      </w:r>
      <w:r>
        <w:t xml:space="preserve">:</w:t>
      </w:r>
      <w:r>
        <w:t xml:space="preserve"> </w:t>
      </w:r>
      <w:r>
        <w:t xml:space="preserve">“</w:t>
      </w:r>
      <w:r>
        <w:t xml:space="preserve">śūrebhiḥ.</w:t>
      </w:r>
      <w:r>
        <w:t xml:space="preserve">”</w:t>
      </w:r>
      <w:r>
        <w:t xml:space="preserve"> </w:t>
      </w:r>
      <w:r>
        <w:rPr>
          <w:bCs/>
          <w:b/>
        </w:rPr>
        <w:t xml:space="preserve">सहयुक्तेऽप्रधाने</w:t>
      </w:r>
      <w:r>
        <w:t xml:space="preserve"> </w:t>
      </w:r>
      <w:r>
        <w:t xml:space="preserve">(पा. सू. २-३-१९) gives the third case to the subordinate member when a word meaning</w:t>
      </w:r>
      <w:r>
        <w:t xml:space="preserve"> </w:t>
      </w:r>
      <w:r>
        <w:t xml:space="preserve">“</w:t>
      </w:r>
      <w:r>
        <w:t xml:space="preserve">with</w:t>
      </w:r>
      <w:r>
        <w:t xml:space="preserve">”</w:t>
      </w:r>
      <w:r>
        <w:t xml:space="preserve"> </w:t>
      </w:r>
      <w:r>
        <w:t xml:space="preserve">is used; none is used here, but Pāṇini himself uses the third case without</w:t>
      </w:r>
      <w:r>
        <w:t xml:space="preserve"> </w:t>
      </w:r>
      <w:r>
        <w:t xml:space="preserve">“</w:t>
      </w:r>
      <w:r>
        <w:t xml:space="preserve">saha</w:t>
      </w:r>
      <w:r>
        <w:t xml:space="preserve">”</w:t>
      </w:r>
      <w:r>
        <w:t xml:space="preserve"> </w:t>
      </w:r>
      <w:r>
        <w:t xml:space="preserve">in</w:t>
      </w:r>
      <w:r>
        <w:t xml:space="preserve"> </w:t>
      </w:r>
      <w:r>
        <w:rPr>
          <w:bCs/>
          <w:b/>
        </w:rPr>
        <w:t xml:space="preserve">वृद्धो यूना तल्लक्षणश्चेदेव विशेषः</w:t>
      </w:r>
      <w:r>
        <w:t xml:space="preserve"> </w:t>
      </w:r>
      <w:r>
        <w:t xml:space="preserve">(पा. सू. १-२-६५), which shows (jñāpaka) that 2-3-19 applies even without a word for</w:t>
      </w:r>
      <w:r>
        <w:t xml:space="preserve"> </w:t>
      </w:r>
      <w:r>
        <w:t xml:space="preserve">“</w:t>
      </w:r>
      <w:r>
        <w:t xml:space="preserve">with</w:t>
      </w:r>
      <w:r>
        <w:t xml:space="preserve">”</w:t>
      </w:r>
      <w:r>
        <w:t xml:space="preserve">; so the third case is unobstructed here, and from this instrumental of accompaniment and the context of</w:t>
      </w:r>
      <w:r>
        <w:t xml:space="preserve"> </w:t>
      </w:r>
      <w:r>
        <w:t xml:space="preserve">“</w:t>
      </w:r>
      <w:r>
        <w:t xml:space="preserve">vayam,</w:t>
      </w:r>
      <w:r>
        <w:t xml:space="preserve">”</w:t>
      </w:r>
      <w:r>
        <w:t xml:space="preserve"> </w:t>
      </w:r>
      <w:r>
        <w:t xml:space="preserve">the verb</w:t>
      </w:r>
      <w:r>
        <w:t xml:space="preserve"> </w:t>
      </w:r>
      <w:r>
        <w:t xml:space="preserve">“</w:t>
      </w:r>
      <w:r>
        <w:t xml:space="preserve">saṃyujyemahi</w:t>
      </w:r>
      <w:r>
        <w:t xml:space="preserve">”</w:t>
      </w:r>
      <w:r>
        <w:t xml:space="preserve"> </w:t>
      </w:r>
      <w:r>
        <w:t xml:space="preserve">is understood (p. 317):</w:t>
      </w:r>
      <w:r>
        <w:t xml:space="preserve"> </w:t>
      </w:r>
      <w:r>
        <w:t xml:space="preserve">“</w:t>
      </w:r>
      <w:r>
        <w:t xml:space="preserve">vayaṃ śūrebhiḥ</w:t>
      </w:r>
      <w:r>
        <w:t xml:space="preserve">”</w:t>
      </w:r>
      <w:r>
        <w:t xml:space="preserve"> </w:t>
      </w:r>
      <w:r>
        <w:t xml:space="preserve">alone does not give a full sense,</w:t>
      </w:r>
      <w:r>
        <w:t xml:space="preserve"> </w:t>
      </w:r>
      <w:r>
        <w:t xml:space="preserve">“</w:t>
      </w:r>
      <w:r>
        <w:t xml:space="preserve">vayaṃ śūrebhiḥ saṃyujyemahi</w:t>
      </w:r>
      <w:r>
        <w:t xml:space="preserve">”</w:t>
      </w:r>
      <w:r>
        <w:t xml:space="preserve"> </w:t>
      </w:r>
      <w:r>
        <w:t xml:space="preserve">does.</w:t>
      </w:r>
    </w:p>
    <w:p>
      <w:pPr>
        <w:pStyle w:val="BodyText"/>
      </w:pPr>
      <w:r>
        <w:rPr>
          <w:bCs/>
          <w:b/>
        </w:rPr>
        <w:t xml:space="preserve">अस्तृभिः</w:t>
      </w:r>
      <w:r>
        <w:t xml:space="preserve"> </w:t>
      </w:r>
      <w:r>
        <w:t xml:space="preserve">—</w:t>
      </w:r>
      <w:r>
        <w:t xml:space="preserve"> </w:t>
      </w:r>
      <w:r>
        <w:t xml:space="preserve">“</w:t>
      </w:r>
      <w:r>
        <w:t xml:space="preserve">asu kṣepaṇe</w:t>
      </w:r>
      <w:r>
        <w:t xml:space="preserve">”</w:t>
      </w:r>
      <w:r>
        <w:t xml:space="preserve">:</w:t>
      </w:r>
      <w:r>
        <w:t xml:space="preserve"> </w:t>
      </w:r>
      <w:r>
        <w:rPr>
          <w:bCs/>
          <w:b/>
        </w:rPr>
        <w:t xml:space="preserve">तृन्</w:t>
      </w:r>
      <w:r>
        <w:t xml:space="preserve"> </w:t>
      </w:r>
      <w:r>
        <w:t xml:space="preserve">(पा. सू. ३-२-१३५) after roots whose agent has that habit, duty or skill:</w:t>
      </w:r>
      <w:r>
        <w:t xml:space="preserve"> </w:t>
      </w:r>
      <w:r>
        <w:t xml:space="preserve">“</w:t>
      </w:r>
      <w:r>
        <w:t xml:space="preserve">astṛn</w:t>
      </w:r>
      <w:r>
        <w:t xml:space="preserve">”</w:t>
      </w:r>
      <w:r>
        <w:t xml:space="preserve">; with</w:t>
      </w:r>
      <w:r>
        <w:t xml:space="preserve"> </w:t>
      </w:r>
      <w:r>
        <w:t xml:space="preserve">“</w:t>
      </w:r>
      <w:r>
        <w:t xml:space="preserve">bhis,</w:t>
      </w:r>
      <w:r>
        <w:t xml:space="preserve">”</w:t>
      </w:r>
      <w:r>
        <w:t xml:space="preserve"> </w:t>
      </w:r>
      <w:r>
        <w:t xml:space="preserve">the loss of</w:t>
      </w:r>
      <w:r>
        <w:t xml:space="preserve"> </w:t>
      </w:r>
      <w:r>
        <w:t xml:space="preserve">“</w:t>
      </w:r>
      <w:r>
        <w:t xml:space="preserve">n</w:t>
      </w:r>
      <w:r>
        <w:t xml:space="preserve">”</w:t>
      </w:r>
      <w:r>
        <w:t xml:space="preserve"> </w:t>
      </w:r>
      <w:r>
        <w:t xml:space="preserve">etc.:</w:t>
      </w:r>
      <w:r>
        <w:t xml:space="preserve"> </w:t>
      </w:r>
      <w:r>
        <w:t xml:space="preserve">“</w:t>
      </w:r>
      <w:r>
        <w:t xml:space="preserve">astṛbhiḥ</w:t>
      </w:r>
      <w:r>
        <w:t xml:space="preserve">”</w:t>
      </w:r>
      <w:r>
        <w:t xml:space="preserve"> </w:t>
      </w:r>
      <w:r>
        <w:t xml:space="preserve">(the Bhāṣya’s</w:t>
      </w:r>
      <w:r>
        <w:t xml:space="preserve"> </w:t>
      </w:r>
      <w:r>
        <w:t xml:space="preserve">“</w:t>
      </w:r>
      <w:r>
        <w:t xml:space="preserve">śastrāstraprakṣepaṇaśīlaiḥ taddharmabhis tatsādhukāribhir vā</w:t>
      </w:r>
      <w:r>
        <w:t xml:space="preserve">”</w:t>
      </w:r>
      <w:r>
        <w:t xml:space="preserve">);</w:t>
      </w:r>
      <w:r>
        <w:t xml:space="preserve"> </w:t>
      </w:r>
      <w:r>
        <w:t xml:space="preserve">“</w:t>
      </w:r>
      <w:r>
        <w:t xml:space="preserve">n</w:t>
      </w:r>
      <w:r>
        <w:t xml:space="preserve">”</w:t>
      </w:r>
      <w:r>
        <w:t xml:space="preserve">-marked, first-syllable acute.</w:t>
      </w:r>
      <w:r>
        <w:t xml:space="preserve"> </w:t>
      </w:r>
      <w:r>
        <w:rPr>
          <w:bCs/>
          <w:b/>
        </w:rPr>
        <w:t xml:space="preserve">रधादिभ्यश्च</w:t>
      </w:r>
      <w:r>
        <w:t xml:space="preserve"> </w:t>
      </w:r>
      <w:r>
        <w:t xml:space="preserve">(पा. सू. ७-२-४५) — after</w:t>
      </w:r>
      <w:r>
        <w:t xml:space="preserve"> </w:t>
      </w:r>
      <w:r>
        <w:t xml:space="preserve">“</w:t>
      </w:r>
      <w:r>
        <w:t xml:space="preserve">radh, naś, tṛp, druh, muh, snuh, snih,</w:t>
      </w:r>
      <w:r>
        <w:t xml:space="preserve">”</w:t>
      </w:r>
      <w:r>
        <w:t xml:space="preserve"> </w:t>
      </w:r>
      <w:r>
        <w:t xml:space="preserve">“</w:t>
      </w:r>
      <w:r>
        <w:t xml:space="preserve">iṭ</w:t>
      </w:r>
      <w:r>
        <w:t xml:space="preserve">”</w:t>
      </w:r>
      <w:r>
        <w:t xml:space="preserve"> </w:t>
      </w:r>
      <w:r>
        <w:t xml:space="preserve">is optional before a</w:t>
      </w:r>
      <w:r>
        <w:t xml:space="preserve"> </w:t>
      </w:r>
      <w:r>
        <w:t xml:space="preserve">“</w:t>
      </w:r>
      <w:r>
        <w:t xml:space="preserve">val</w:t>
      </w:r>
      <w:r>
        <w:t xml:space="preserve">”</w:t>
      </w:r>
      <w:r>
        <w:t xml:space="preserve">-initial ārdhadhātuka; after</w:t>
      </w:r>
      <w:r>
        <w:t xml:space="preserve"> </w:t>
      </w:r>
      <w:r>
        <w:t xml:space="preserve">“</w:t>
      </w:r>
      <w:r>
        <w:t xml:space="preserve">snih</w:t>
      </w:r>
      <w:r>
        <w:t xml:space="preserve">”</w:t>
      </w:r>
      <w:r>
        <w:t xml:space="preserve"> </w:t>
      </w:r>
      <w:r>
        <w:t xml:space="preserve">comes</w:t>
      </w:r>
      <w:r>
        <w:t xml:space="preserve"> </w:t>
      </w:r>
      <w:r>
        <w:t xml:space="preserve">“</w:t>
      </w:r>
      <w:r>
        <w:t xml:space="preserve">vṛt,</w:t>
      </w:r>
      <w:r>
        <w:t xml:space="preserve">”</w:t>
      </w:r>
      <w:r>
        <w:t xml:space="preserve"> </w:t>
      </w:r>
      <w:r>
        <w:t xml:space="preserve">so the radhādi group ends there; then the eight</w:t>
      </w:r>
      <w:r>
        <w:t xml:space="preserve"> </w:t>
      </w:r>
      <w:r>
        <w:t xml:space="preserve">“</w:t>
      </w:r>
      <w:r>
        <w:t xml:space="preserve">śamādi</w:t>
      </w:r>
      <w:r>
        <w:t xml:space="preserve">”</w:t>
      </w:r>
      <w:r>
        <w:t xml:space="preserve"> </w:t>
      </w:r>
      <w:r>
        <w:t xml:space="preserve">roots begin with</w:t>
      </w:r>
      <w:r>
        <w:t xml:space="preserve"> </w:t>
      </w:r>
      <w:r>
        <w:t xml:space="preserve">“</w:t>
      </w:r>
      <w:r>
        <w:t xml:space="preserve">śamu upaśame,</w:t>
      </w:r>
      <w:r>
        <w:t xml:space="preserve">”</w:t>
      </w:r>
      <w:r>
        <w:t xml:space="preserve"> </w:t>
      </w:r>
      <w:r>
        <w:t xml:space="preserve">and</w:t>
      </w:r>
      <w:r>
        <w:t xml:space="preserve"> </w:t>
      </w:r>
      <w:r>
        <w:t xml:space="preserve">“</w:t>
      </w:r>
      <w:r>
        <w:t xml:space="preserve">asu kṣepaṇe</w:t>
      </w:r>
      <w:r>
        <w:t xml:space="preserve">”</w:t>
      </w:r>
      <w:r>
        <w:t xml:space="preserve"> </w:t>
      </w:r>
      <w:r>
        <w:t xml:space="preserve">comes after them, so</w:t>
      </w:r>
      <w:r>
        <w:t xml:space="preserve"> </w:t>
      </w:r>
      <w:r>
        <w:t xml:space="preserve">“</w:t>
      </w:r>
      <w:r>
        <w:t xml:space="preserve">as</w:t>
      </w:r>
      <w:r>
        <w:t xml:space="preserve">”</w:t>
      </w:r>
      <w:r>
        <w:t xml:space="preserve"> </w:t>
      </w:r>
      <w:r>
        <w:t xml:space="preserve">is not in the radhādi list and 7-2-45 does not apply here.</w:t>
      </w:r>
      <w:r>
        <w:t xml:space="preserve"> </w:t>
      </w:r>
      <w:r>
        <w:rPr>
          <w:bCs/>
          <w:b/>
        </w:rPr>
        <w:t xml:space="preserve">तृन्तृचौ शंसिक्षदादिभ्यः संज्ञायां चानिटौ</w:t>
      </w:r>
      <w:r>
        <w:t xml:space="preserve"> </w:t>
      </w:r>
      <w:r>
        <w:t xml:space="preserve">(उ. सू. २-३३[?], as printed) — in a name,</w:t>
      </w:r>
      <w:r>
        <w:t xml:space="preserve"> </w:t>
      </w:r>
      <w:r>
        <w:t xml:space="preserve">“</w:t>
      </w:r>
      <w:r>
        <w:t xml:space="preserve">tṛn</w:t>
      </w:r>
      <w:r>
        <w:t xml:space="preserve">”</w:t>
      </w:r>
      <w:r>
        <w:t xml:space="preserve"> </w:t>
      </w:r>
      <w:r>
        <w:t xml:space="preserve">after</w:t>
      </w:r>
      <w:r>
        <w:t xml:space="preserve"> </w:t>
      </w:r>
      <w:r>
        <w:t xml:space="preserve">“</w:t>
      </w:r>
      <w:r>
        <w:t xml:space="preserve">śaṃs</w:t>
      </w:r>
      <w:r>
        <w:t xml:space="preserve">”</w:t>
      </w:r>
      <w:r>
        <w:t xml:space="preserve"> </w:t>
      </w:r>
      <w:r>
        <w:t xml:space="preserve">and</w:t>
      </w:r>
      <w:r>
        <w:t xml:space="preserve"> </w:t>
      </w:r>
      <w:r>
        <w:t xml:space="preserve">“</w:t>
      </w:r>
      <w:r>
        <w:t xml:space="preserve">tṛc</w:t>
      </w:r>
      <w:r>
        <w:t xml:space="preserve">”</w:t>
      </w:r>
      <w:r>
        <w:t xml:space="preserve"> </w:t>
      </w:r>
      <w:r>
        <w:t xml:space="preserve">after</w:t>
      </w:r>
      <w:r>
        <w:t xml:space="preserve"> </w:t>
      </w:r>
      <w:r>
        <w:t xml:space="preserve">“</w:t>
      </w:r>
      <w:r>
        <w:t xml:space="preserve">kṣad</w:t>
      </w:r>
      <w:r>
        <w:t xml:space="preserve">”</w:t>
      </w:r>
      <w:r>
        <w:t xml:space="preserve"> </w:t>
      </w:r>
      <w:r>
        <w:t xml:space="preserve">etc., both without</w:t>
      </w:r>
      <w:r>
        <w:t xml:space="preserve"> </w:t>
      </w:r>
      <w:r>
        <w:t xml:space="preserve">“</w:t>
      </w:r>
      <w:r>
        <w:t xml:space="preserve">iṭ</w:t>
      </w:r>
      <w:r>
        <w:t xml:space="preserve">”</w:t>
      </w:r>
      <w:r>
        <w:t xml:space="preserve"> </w:t>
      </w:r>
      <w:r>
        <w:t xml:space="preserve">(</w:t>
      </w:r>
      <w:r>
        <w:t xml:space="preserve">“</w:t>
      </w:r>
      <w:r>
        <w:t xml:space="preserve">śaṃsu stutau</w:t>
      </w:r>
      <w:r>
        <w:t xml:space="preserve">”</w:t>
      </w:r>
      <w:r>
        <w:t xml:space="preserve">;</w:t>
      </w:r>
      <w:r>
        <w:t xml:space="preserve"> </w:t>
      </w:r>
      <w:r>
        <w:t xml:space="preserve">“</w:t>
      </w:r>
      <w:r>
        <w:t xml:space="preserve">kṣada śakalīkaraṇe bhakṣaṇe ca,</w:t>
      </w:r>
      <w:r>
        <w:t xml:space="preserve">”</w:t>
      </w:r>
      <w:r>
        <w:t xml:space="preserve"> </w:t>
      </w:r>
      <w:r>
        <w:t xml:space="preserve">a sautra root); some hold that this sūtra gives</w:t>
      </w:r>
      <w:r>
        <w:t xml:space="preserve"> </w:t>
      </w:r>
      <w:r>
        <w:t xml:space="preserve">“</w:t>
      </w:r>
      <w:r>
        <w:t xml:space="preserve">tṛn</w:t>
      </w:r>
      <w:r>
        <w:t xml:space="preserve">”</w:t>
      </w:r>
      <w:r>
        <w:t xml:space="preserve"> </w:t>
      </w:r>
      <w:r>
        <w:t xml:space="preserve">without</w:t>
      </w:r>
      <w:r>
        <w:t xml:space="preserve"> </w:t>
      </w:r>
      <w:r>
        <w:t xml:space="preserve">“</w:t>
      </w:r>
      <w:r>
        <w:t xml:space="preserve">iṭ</w:t>
      </w:r>
      <w:r>
        <w:t xml:space="preserve">”</w:t>
      </w:r>
      <w:r>
        <w:t xml:space="preserve"> </w:t>
      </w:r>
      <w:r>
        <w:t xml:space="preserve">here, but then the</w:t>
      </w:r>
      <w:r>
        <w:t xml:space="preserve"> </w:t>
      </w:r>
      <w:r>
        <w:t xml:space="preserve">“</w:t>
      </w:r>
      <w:r>
        <w:t xml:space="preserve">tācchīlya</w:t>
      </w:r>
      <w:r>
        <w:t xml:space="preserve">”</w:t>
      </w:r>
      <w:r>
        <w:t xml:space="preserve"> </w:t>
      </w:r>
      <w:r>
        <w:t xml:space="preserve">senses would not appear; if those are required, the absence of</w:t>
      </w:r>
      <w:r>
        <w:t xml:space="preserve"> </w:t>
      </w:r>
      <w:r>
        <w:t xml:space="preserve">“</w:t>
      </w:r>
      <w:r>
        <w:t xml:space="preserve">iṭ</w:t>
      </w:r>
      <w:r>
        <w:t xml:space="preserve">”</w:t>
      </w:r>
      <w:r>
        <w:t xml:space="preserve"> </w:t>
      </w:r>
      <w:r>
        <w:t xml:space="preserve">is better taken as Vedic, since by</w:t>
      </w:r>
      <w:r>
        <w:t xml:space="preserve"> </w:t>
      </w:r>
      <w:r>
        <w:t xml:space="preserve">“</w:t>
      </w:r>
      <w:r>
        <w:t xml:space="preserve">sarve vidhayaś chandasi vikalpyante</w:t>
      </w:r>
      <w:r>
        <w:t xml:space="preserve">”</w:t>
      </w:r>
      <w:r>
        <w:t xml:space="preserve"> </w:t>
      </w:r>
      <w:r>
        <w:t xml:space="preserve">the</w:t>
      </w:r>
      <w:r>
        <w:t xml:space="preserve"> </w:t>
      </w:r>
      <w:r>
        <w:t xml:space="preserve">“</w:t>
      </w:r>
      <w:r>
        <w:t xml:space="preserve">iṭ</w:t>
      </w:r>
      <w:r>
        <w:t xml:space="preserve">”</w:t>
      </w:r>
      <w:r>
        <w:t xml:space="preserve"> </w:t>
      </w:r>
      <w:r>
        <w:t xml:space="preserve">rule too is optional in the Veda.</w:t>
      </w:r>
    </w:p>
    <w:p>
      <w:pPr>
        <w:pStyle w:val="BodyText"/>
      </w:pPr>
      <w:r>
        <w:rPr>
          <w:bCs/>
          <w:b/>
        </w:rPr>
        <w:t xml:space="preserve">त्वया</w:t>
      </w:r>
      <w:r>
        <w:t xml:space="preserve"> </w:t>
      </w:r>
      <w:r>
        <w:t xml:space="preserve">—</w:t>
      </w:r>
      <w:r>
        <w:t xml:space="preserve"> </w:t>
      </w:r>
      <w:r>
        <w:rPr>
          <w:bCs/>
          <w:b/>
        </w:rPr>
        <w:t xml:space="preserve">युष्यसिभ्यां मदिक्</w:t>
      </w:r>
      <w:r>
        <w:t xml:space="preserve"> </w:t>
      </w:r>
      <w:r>
        <w:t xml:space="preserve">(उ. सू. १-१३६[?], the figures unclear; the Bhāṣya gave</w:t>
      </w:r>
      <w:r>
        <w:t xml:space="preserve"> </w:t>
      </w:r>
      <w:r>
        <w:t xml:space="preserve">“</w:t>
      </w:r>
      <w:r>
        <w:t xml:space="preserve">उ. १-१३८</w:t>
      </w:r>
      <w:r>
        <w:t xml:space="preserve">”</w:t>
      </w:r>
      <w:r>
        <w:t xml:space="preserve">) —</w:t>
      </w:r>
      <w:r>
        <w:t xml:space="preserve"> </w:t>
      </w:r>
      <w:r>
        <w:t xml:space="preserve">“</w:t>
      </w:r>
      <w:r>
        <w:t xml:space="preserve">yuṣ,</w:t>
      </w:r>
      <w:r>
        <w:t xml:space="preserve">”</w:t>
      </w:r>
      <w:r>
        <w:t xml:space="preserve"> </w:t>
      </w:r>
      <w:r>
        <w:t xml:space="preserve">a sautra root, and</w:t>
      </w:r>
      <w:r>
        <w:t xml:space="preserve"> </w:t>
      </w:r>
      <w:r>
        <w:t xml:space="preserve">“</w:t>
      </w:r>
      <w:r>
        <w:t xml:space="preserve">asu kṣepaṇe</w:t>
      </w:r>
      <w:r>
        <w:t xml:space="preserve">”</w:t>
      </w:r>
      <w:r>
        <w:t xml:space="preserve"> </w:t>
      </w:r>
      <w:r>
        <w:t xml:space="preserve">take</w:t>
      </w:r>
      <w:r>
        <w:t xml:space="preserve"> </w:t>
      </w:r>
      <w:r>
        <w:t xml:space="preserve">“</w:t>
      </w:r>
      <w:r>
        <w:t xml:space="preserve">madik</w:t>
      </w:r>
      <w:r>
        <w:t xml:space="preserve">”</w:t>
      </w:r>
      <w:r>
        <w:t xml:space="preserve">:</w:t>
      </w:r>
      <w:r>
        <w:t xml:space="preserve"> </w:t>
      </w:r>
      <w:r>
        <w:t xml:space="preserve">“</w:t>
      </w:r>
      <w:r>
        <w:t xml:space="preserve">yuṣmad</w:t>
      </w:r>
      <w:r>
        <w:t xml:space="preserve">”</w:t>
      </w:r>
      <w:r>
        <w:t xml:space="preserve">;</w:t>
      </w:r>
      <w:r>
        <w:t xml:space="preserve"> </w:t>
      </w:r>
      <w:r>
        <w:t xml:space="preserve">“</w:t>
      </w:r>
      <w:r>
        <w:t xml:space="preserve">k</w:t>
      </w:r>
      <w:r>
        <w:t xml:space="preserve">”</w:t>
      </w:r>
      <w:r>
        <w:t xml:space="preserve">-marked, no guṇa; the</w:t>
      </w:r>
      <w:r>
        <w:t xml:space="preserve"> </w:t>
      </w:r>
      <w:r>
        <w:t xml:space="preserve">“</w:t>
      </w:r>
      <w:r>
        <w:t xml:space="preserve">a</w:t>
      </w:r>
      <w:r>
        <w:t xml:space="preserve">”</w:t>
      </w:r>
      <w:r>
        <w:t xml:space="preserve"> </w:t>
      </w:r>
      <w:r>
        <w:t xml:space="preserve">acute by the affix accent;</w:t>
      </w:r>
      <w:r>
        <w:t xml:space="preserve"> </w:t>
      </w:r>
      <w:r>
        <w:rPr>
          <w:bCs/>
          <w:b/>
        </w:rPr>
        <w:t xml:space="preserve">स्वौजसमौट्…</w:t>
      </w:r>
      <w:r>
        <w:t xml:space="preserve"> </w:t>
      </w:r>
      <w:r>
        <w:t xml:space="preserve">(पा. सू. ४-१-२) instrumental</w:t>
      </w:r>
      <w:r>
        <w:t xml:space="preserve"> </w:t>
      </w:r>
      <w:r>
        <w:t xml:space="preserve">“</w:t>
      </w:r>
      <w:r>
        <w:t xml:space="preserve">ṭā</w:t>
      </w:r>
      <w:r>
        <w:t xml:space="preserve">”</w:t>
      </w:r>
      <w:r>
        <w:t xml:space="preserve">;</w:t>
      </w:r>
      <w:r>
        <w:t xml:space="preserve"> </w:t>
      </w:r>
      <w:r>
        <w:rPr>
          <w:bCs/>
          <w:b/>
        </w:rPr>
        <w:t xml:space="preserve">त्वमावेकवचने</w:t>
      </w:r>
      <w:r>
        <w:t xml:space="preserve"> </w:t>
      </w:r>
      <w:r>
        <w:t xml:space="preserve">(पा. सू. ७-२-९७)</w:t>
      </w:r>
      <w:r>
        <w:t xml:space="preserve"> </w:t>
      </w:r>
      <w:r>
        <w:t xml:space="preserve">“</w:t>
      </w:r>
      <w:r>
        <w:t xml:space="preserve">tva</w:t>
      </w:r>
      <w:r>
        <w:t xml:space="preserve">”</w:t>
      </w:r>
      <w:r>
        <w:t xml:space="preserve"> </w:t>
      </w:r>
      <w:r>
        <w:t xml:space="preserve">for the part up to</w:t>
      </w:r>
      <w:r>
        <w:t xml:space="preserve"> </w:t>
      </w:r>
      <w:r>
        <w:t xml:space="preserve">“</w:t>
      </w:r>
      <w:r>
        <w:t xml:space="preserve">ma</w:t>
      </w:r>
      <w:r>
        <w:t xml:space="preserve">”</w:t>
      </w:r>
      <w:r>
        <w:t xml:space="preserve">;</w:t>
      </w:r>
      <w:r>
        <w:t xml:space="preserve"> </w:t>
      </w:r>
      <w:r>
        <w:rPr>
          <w:bCs/>
          <w:b/>
        </w:rPr>
        <w:t xml:space="preserve">अतो गुणे</w:t>
      </w:r>
      <w:r>
        <w:t xml:space="preserve"> </w:t>
      </w:r>
      <w:r>
        <w:t xml:space="preserve">(पा. सू. ६-१-९७) the later form:</w:t>
      </w:r>
      <w:r>
        <w:t xml:space="preserve"> </w:t>
      </w:r>
      <w:r>
        <w:t xml:space="preserve">“</w:t>
      </w:r>
      <w:r>
        <w:t xml:space="preserve">tvad + ā</w:t>
      </w:r>
      <w:r>
        <w:t xml:space="preserve">”</w:t>
      </w:r>
      <w:r>
        <w:t xml:space="preserve">; the</w:t>
      </w:r>
      <w:r>
        <w:t xml:space="preserve"> </w:t>
      </w:r>
      <w:r>
        <w:t xml:space="preserve">“</w:t>
      </w:r>
      <w:r>
        <w:t xml:space="preserve">a</w:t>
      </w:r>
      <w:r>
        <w:t xml:space="preserve">”</w:t>
      </w:r>
      <w:r>
        <w:t xml:space="preserve"> </w:t>
      </w:r>
      <w:r>
        <w:t xml:space="preserve">from this single substitute acute by</w:t>
      </w:r>
      <w:r>
        <w:t xml:space="preserve"> </w:t>
      </w:r>
      <w:r>
        <w:rPr>
          <w:bCs/>
          <w:b/>
        </w:rPr>
        <w:t xml:space="preserve">एकादेश उदात्तेनोदात्तः</w:t>
      </w:r>
      <w:r>
        <w:t xml:space="preserve"> </w:t>
      </w:r>
      <w:r>
        <w:t xml:space="preserve">(पा. सू. ८-२-५) (p. 318);</w:t>
      </w:r>
      <w:r>
        <w:t xml:space="preserve"> </w:t>
      </w:r>
      <w:r>
        <w:rPr>
          <w:bCs/>
          <w:b/>
        </w:rPr>
        <w:t xml:space="preserve">योऽचि</w:t>
      </w:r>
      <w:r>
        <w:t xml:space="preserve"> </w:t>
      </w:r>
      <w:r>
        <w:t xml:space="preserve">(पा. सू. ७-२-८९)</w:t>
      </w:r>
      <w:r>
        <w:t xml:space="preserve"> </w:t>
      </w:r>
      <w:r>
        <w:t xml:space="preserve">“</w:t>
      </w:r>
      <w:r>
        <w:t xml:space="preserve">y</w:t>
      </w:r>
      <w:r>
        <w:t xml:space="preserve">”</w:t>
      </w:r>
      <w:r>
        <w:t xml:space="preserve"> </w:t>
      </w:r>
      <w:r>
        <w:t xml:space="preserve">for the final</w:t>
      </w:r>
      <w:r>
        <w:t xml:space="preserve"> </w:t>
      </w:r>
      <w:r>
        <w:t xml:space="preserve">“</w:t>
      </w:r>
      <w:r>
        <w:t xml:space="preserve">d</w:t>
      </w:r>
      <w:r>
        <w:t xml:space="preserve">”</w:t>
      </w:r>
      <w:r>
        <w:t xml:space="preserve"> </w:t>
      </w:r>
      <w:r>
        <w:t xml:space="preserve">before a vowel-initial ending not given another substitute:</w:t>
      </w:r>
      <w:r>
        <w:t xml:space="preserve"> </w:t>
      </w:r>
      <w:r>
        <w:t xml:space="preserve">“</w:t>
      </w:r>
      <w:r>
        <w:t xml:space="preserve">tvayā.</w:t>
      </w:r>
      <w:r>
        <w:t xml:space="preserve">”</w:t>
      </w:r>
    </w:p>
    <w:p>
      <w:pPr>
        <w:pStyle w:val="BodyText"/>
      </w:pPr>
      <w:r>
        <w:rPr>
          <w:bCs/>
          <w:b/>
        </w:rPr>
        <w:t xml:space="preserve">युजा</w:t>
      </w:r>
      <w:r>
        <w:t xml:space="preserve"> </w:t>
      </w:r>
      <w:r>
        <w:t xml:space="preserve">—</w:t>
      </w:r>
      <w:r>
        <w:t xml:space="preserve"> </w:t>
      </w:r>
      <w:r>
        <w:rPr>
          <w:bCs/>
          <w:b/>
        </w:rPr>
        <w:t xml:space="preserve">ऋत्विग्दधृक्स्रग्दिगुष्णिगञ्चुयुजिक्रुञ्चां च</w:t>
      </w:r>
      <w:r>
        <w:t xml:space="preserve"> </w:t>
      </w:r>
      <w:r>
        <w:t xml:space="preserve">(पा. सू. ३-२-५९)</w:t>
      </w:r>
      <w:r>
        <w:t xml:space="preserve"> </w:t>
      </w:r>
      <w:r>
        <w:t xml:space="preserve">“</w:t>
      </w:r>
      <w:r>
        <w:t xml:space="preserve">kvin</w:t>
      </w:r>
      <w:r>
        <w:t xml:space="preserve">”</w:t>
      </w:r>
      <w:r>
        <w:t xml:space="preserve">; the ending acute by</w:t>
      </w:r>
      <w:r>
        <w:t xml:space="preserve"> </w:t>
      </w:r>
      <w:r>
        <w:rPr>
          <w:bCs/>
          <w:b/>
        </w:rPr>
        <w:t xml:space="preserve">सावेकाचस्तृतीयादिर्विभक्तिः</w:t>
      </w:r>
      <w:r>
        <w:t xml:space="preserve"> </w:t>
      </w:r>
      <w:r>
        <w:t xml:space="preserve">(पा. सू. ६-१-१६८).</w:t>
      </w:r>
    </w:p>
    <w:p>
      <w:pPr>
        <w:pStyle w:val="BodyText"/>
      </w:pPr>
      <w:r>
        <w:rPr>
          <w:bCs/>
          <w:b/>
        </w:rPr>
        <w:t xml:space="preserve">सासह्याम</w:t>
      </w:r>
      <w:r>
        <w:t xml:space="preserve"> </w:t>
      </w:r>
      <w:r>
        <w:t xml:space="preserve">—</w:t>
      </w:r>
      <w:r>
        <w:t xml:space="preserve"> </w:t>
      </w:r>
      <w:r>
        <w:t xml:space="preserve">“</w:t>
      </w:r>
      <w:r>
        <w:t xml:space="preserve">we shall overcome greatly, again and again</w:t>
      </w:r>
      <w:r>
        <w:t xml:space="preserve">”</w:t>
      </w:r>
      <w:r>
        <w:t xml:space="preserve">:</w:t>
      </w:r>
      <w:r>
        <w:t xml:space="preserve"> </w:t>
      </w:r>
      <w:r>
        <w:t xml:space="preserve">“</w:t>
      </w:r>
      <w:r>
        <w:t xml:space="preserve">ṣaha marṣaṇe,</w:t>
      </w:r>
      <w:r>
        <w:t xml:space="preserve">”</w:t>
      </w:r>
      <w:r>
        <w:t xml:space="preserve"> </w:t>
      </w:r>
      <w:r>
        <w:rPr>
          <w:bCs/>
          <w:b/>
        </w:rPr>
        <w:t xml:space="preserve">धात्वादेः षः सः</w:t>
      </w:r>
      <w:r>
        <w:t xml:space="preserve"> </w:t>
      </w:r>
      <w:r>
        <w:t xml:space="preserve">(पा. सू. ६-१-६४);</w:t>
      </w:r>
      <w:r>
        <w:t xml:space="preserve"> </w:t>
      </w:r>
      <w:r>
        <w:rPr>
          <w:bCs/>
          <w:b/>
        </w:rPr>
        <w:t xml:space="preserve">धातोरेकाचो हलादेः क्रियासमभिहारे यङ्</w:t>
      </w:r>
      <w:r>
        <w:t xml:space="preserve"> </w:t>
      </w:r>
      <w:r>
        <w:t xml:space="preserve">(पा. सू. ३-१-२२)</w:t>
      </w:r>
      <w:r>
        <w:t xml:space="preserve"> </w:t>
      </w:r>
      <w:r>
        <w:t xml:space="preserve">“</w:t>
      </w:r>
      <w:r>
        <w:t xml:space="preserve">yaṅ</w:t>
      </w:r>
      <w:r>
        <w:t xml:space="preserve">”</w:t>
      </w:r>
      <w:r>
        <w:t xml:space="preserve"> </w:t>
      </w:r>
      <w:r>
        <w:t xml:space="preserve">in the sense of repetition or intensity;</w:t>
      </w:r>
      <w:r>
        <w:t xml:space="preserve"> </w:t>
      </w:r>
      <w:r>
        <w:rPr>
          <w:bCs/>
          <w:b/>
        </w:rPr>
        <w:t xml:space="preserve">यङोऽचि च</w:t>
      </w:r>
      <w:r>
        <w:t xml:space="preserve"> </w:t>
      </w:r>
      <w:r>
        <w:t xml:space="preserve">(पा. सू. २-४-७४)</w:t>
      </w:r>
      <w:r>
        <w:t xml:space="preserve"> </w:t>
      </w:r>
      <w:r>
        <w:t xml:space="preserve">“</w:t>
      </w:r>
      <w:r>
        <w:t xml:space="preserve">luk</w:t>
      </w:r>
      <w:r>
        <w:t xml:space="preserve">”</w:t>
      </w:r>
      <w:r>
        <w:t xml:space="preserve">;</w:t>
      </w:r>
      <w:r>
        <w:t xml:space="preserve"> </w:t>
      </w:r>
      <w:r>
        <w:rPr>
          <w:bCs/>
          <w:b/>
        </w:rPr>
        <w:t xml:space="preserve">सन्यङोः</w:t>
      </w:r>
      <w:r>
        <w:t xml:space="preserve"> </w:t>
      </w:r>
      <w:r>
        <w:t xml:space="preserve">(पा. सू. ६-१-९) doubling:</w:t>
      </w:r>
      <w:r>
        <w:t xml:space="preserve"> </w:t>
      </w:r>
      <w:r>
        <w:t xml:space="preserve">“</w:t>
      </w:r>
      <w:r>
        <w:t xml:space="preserve">sah sah</w:t>
      </w:r>
      <w:r>
        <w:t xml:space="preserve">”</w:t>
      </w:r>
      <w:r>
        <w:t xml:space="preserve">;</w:t>
      </w:r>
      <w:r>
        <w:t xml:space="preserve"> </w:t>
      </w:r>
      <w:r>
        <w:rPr>
          <w:bCs/>
          <w:b/>
        </w:rPr>
        <w:t xml:space="preserve">हलादिः शेषः</w:t>
      </w:r>
      <w:r>
        <w:t xml:space="preserve"> </w:t>
      </w:r>
      <w:r>
        <w:t xml:space="preserve">(पा. सू. ७-४-६०):</w:t>
      </w:r>
      <w:r>
        <w:t xml:space="preserve"> </w:t>
      </w:r>
      <w:r>
        <w:t xml:space="preserve">“</w:t>
      </w:r>
      <w:r>
        <w:t xml:space="preserve">sasah</w:t>
      </w:r>
      <w:r>
        <w:t xml:space="preserve">”</w:t>
      </w:r>
      <w:r>
        <w:t xml:space="preserve">;</w:t>
      </w:r>
      <w:r>
        <w:t xml:space="preserve"> </w:t>
      </w:r>
      <w:r>
        <w:rPr>
          <w:bCs/>
          <w:b/>
        </w:rPr>
        <w:t xml:space="preserve">दीर्घोऽकितः</w:t>
      </w:r>
      <w:r>
        <w:t xml:space="preserve"> </w:t>
      </w:r>
      <w:r>
        <w:t xml:space="preserve">(पा. सू. ७-४-८३) the long reduplicate:</w:t>
      </w:r>
      <w:r>
        <w:t xml:space="preserve"> </w:t>
      </w:r>
      <w:r>
        <w:t xml:space="preserve">“</w:t>
      </w:r>
      <w:r>
        <w:t xml:space="preserve">sāsah</w:t>
      </w:r>
      <w:r>
        <w:t xml:space="preserve">”</w:t>
      </w:r>
      <w:r>
        <w:t xml:space="preserve">;</w:t>
      </w:r>
      <w:r>
        <w:t xml:space="preserve"> </w:t>
      </w:r>
      <w:r>
        <w:t xml:space="preserve">“</w:t>
      </w:r>
      <w:r>
        <w:t xml:space="preserve">liṅ</w:t>
      </w:r>
      <w:r>
        <w:t xml:space="preserve">”</w:t>
      </w:r>
      <w:r>
        <w:t xml:space="preserve"> </w:t>
      </w:r>
      <w:r>
        <w:t xml:space="preserve">of prayer; by</w:t>
      </w:r>
      <w:r>
        <w:t xml:space="preserve"> </w:t>
      </w:r>
      <w:r>
        <w:t xml:space="preserve">“</w:t>
      </w:r>
      <w:r>
        <w:t xml:space="preserve">carkarītaṃ parasmaipadam adādivac ca</w:t>
      </w:r>
      <w:r>
        <w:t xml:space="preserve">”</w:t>
      </w:r>
      <w:r>
        <w:t xml:space="preserve"> </w:t>
      </w:r>
      <w:r>
        <w:t xml:space="preserve">the yaṅluk form is parasmaipada and treated as adādi; first plural</w:t>
      </w:r>
      <w:r>
        <w:t xml:space="preserve"> </w:t>
      </w:r>
      <w:r>
        <w:t xml:space="preserve">“</w:t>
      </w:r>
      <w:r>
        <w:t xml:space="preserve">mas</w:t>
      </w:r>
      <w:r>
        <w:t xml:space="preserve">”</w:t>
      </w:r>
      <w:r>
        <w:t xml:space="preserve">;</w:t>
      </w:r>
      <w:r>
        <w:t xml:space="preserve"> </w:t>
      </w:r>
      <w:r>
        <w:rPr>
          <w:bCs/>
          <w:b/>
        </w:rPr>
        <w:t xml:space="preserve">कर्तरि शप्</w:t>
      </w:r>
      <w:r>
        <w:t xml:space="preserve"> </w:t>
      </w:r>
      <w:r>
        <w:t xml:space="preserve">(पा. सू. ३-१-६८), elided by</w:t>
      </w:r>
      <w:r>
        <w:t xml:space="preserve"> </w:t>
      </w:r>
      <w:r>
        <w:rPr>
          <w:bCs/>
          <w:b/>
        </w:rPr>
        <w:t xml:space="preserve">अदिप्रभृतिभ्यः शपः</w:t>
      </w:r>
      <w:r>
        <w:t xml:space="preserve"> </w:t>
      </w:r>
      <w:r>
        <w:t xml:space="preserve">(पा. सू. २-४-७२);</w:t>
      </w:r>
      <w:r>
        <w:t xml:space="preserve"> </w:t>
      </w:r>
      <w:r>
        <w:rPr>
          <w:bCs/>
          <w:b/>
        </w:rPr>
        <w:t xml:space="preserve">नित्यं ङितः</w:t>
      </w:r>
      <w:r>
        <w:t xml:space="preserve"> </w:t>
      </w:r>
      <w:r>
        <w:t xml:space="preserve">(पा. सू. ३-४-९९) loss of</w:t>
      </w:r>
      <w:r>
        <w:t xml:space="preserve"> </w:t>
      </w:r>
      <w:r>
        <w:t xml:space="preserve">“</w:t>
      </w:r>
      <w:r>
        <w:t xml:space="preserve">s</w:t>
      </w:r>
      <w:r>
        <w:t xml:space="preserve">”</w:t>
      </w:r>
      <w:r>
        <w:t xml:space="preserve">;</w:t>
      </w:r>
      <w:r>
        <w:t xml:space="preserve"> </w:t>
      </w:r>
      <w:r>
        <w:rPr>
          <w:bCs/>
          <w:b/>
        </w:rPr>
        <w:t xml:space="preserve">यासुट् परस्मैपदेषूदात्तो ङिच्च</w:t>
      </w:r>
      <w:r>
        <w:t xml:space="preserve"> </w:t>
      </w:r>
      <w:r>
        <w:t xml:space="preserve">(पा. सू. ३-४-१०३)</w:t>
      </w:r>
      <w:r>
        <w:t xml:space="preserve"> </w:t>
      </w:r>
      <w:r>
        <w:t xml:space="preserve">“</w:t>
      </w:r>
      <w:r>
        <w:t xml:space="preserve">yāsuṭ</w:t>
      </w:r>
      <w:r>
        <w:t xml:space="preserve">”</w:t>
      </w:r>
      <w:r>
        <w:t xml:space="preserve">;</w:t>
      </w:r>
      <w:r>
        <w:t xml:space="preserve"> </w:t>
      </w:r>
      <w:r>
        <w:rPr>
          <w:bCs/>
          <w:b/>
        </w:rPr>
        <w:t xml:space="preserve">लिङः सलोपोऽनन्त्यस्य</w:t>
      </w:r>
      <w:r>
        <w:t xml:space="preserve"> </w:t>
      </w:r>
      <w:r>
        <w:t xml:space="preserve">(पा. सू. ७-२-७९):</w:t>
      </w:r>
      <w:r>
        <w:t xml:space="preserve"> </w:t>
      </w:r>
      <w:r>
        <w:t xml:space="preserve">“</w:t>
      </w:r>
      <w:r>
        <w:t xml:space="preserve">sāsahyāma</w:t>
      </w:r>
      <w:r>
        <w:t xml:space="preserve">”</w:t>
      </w:r>
      <w:r>
        <w:t xml:space="preserve">; the acute of</w:t>
      </w:r>
      <w:r>
        <w:t xml:space="preserve"> </w:t>
      </w:r>
      <w:r>
        <w:t xml:space="preserve">“</w:t>
      </w:r>
      <w:r>
        <w:t xml:space="preserve">yāsuṭ,</w:t>
      </w:r>
      <w:r>
        <w:t xml:space="preserve">”</w:t>
      </w:r>
      <w:r>
        <w:t xml:space="preserve"> </w:t>
      </w:r>
      <w:r>
        <w:t xml:space="preserve">taught later, remains; at the start of a pāda no nighāta by</w:t>
      </w:r>
      <w:r>
        <w:t xml:space="preserve"> </w:t>
      </w:r>
      <w:r>
        <w:rPr>
          <w:bCs/>
          <w:b/>
        </w:rPr>
        <w:t xml:space="preserve">तिङ्ङतिङः</w:t>
      </w:r>
      <w:r>
        <w:t xml:space="preserve"> </w:t>
      </w:r>
      <w:r>
        <w:t xml:space="preserve">(पा. सू. ८-१-२८).</w:t>
      </w:r>
    </w:p>
    <w:p>
      <w:pPr>
        <w:pStyle w:val="BodyText"/>
      </w:pPr>
      <w:r>
        <w:rPr>
          <w:bCs/>
          <w:b/>
        </w:rPr>
        <w:t xml:space="preserve">पृतन्यतः</w:t>
      </w:r>
      <w:r>
        <w:t xml:space="preserve"> </w:t>
      </w:r>
      <w:r>
        <w:t xml:space="preserve">—</w:t>
      </w:r>
      <w:r>
        <w:t xml:space="preserve"> </w:t>
      </w:r>
      <w:r>
        <w:t xml:space="preserve">“</w:t>
      </w:r>
      <w:r>
        <w:t xml:space="preserve">yoddhuṃ pṛtanām ātmana icchataḥ</w:t>
      </w:r>
      <w:r>
        <w:t xml:space="preserve">”</w:t>
      </w:r>
      <w:r>
        <w:t xml:space="preserve">:</w:t>
      </w:r>
      <w:r>
        <w:t xml:space="preserve"> </w:t>
      </w:r>
      <w:r>
        <w:rPr>
          <w:bCs/>
          <w:b/>
        </w:rPr>
        <w:t xml:space="preserve">सुप आत्मनः क्यच्</w:t>
      </w:r>
      <w:r>
        <w:t xml:space="preserve"> </w:t>
      </w:r>
      <w:r>
        <w:t xml:space="preserve">(पा. सू. ३-१-८)</w:t>
      </w:r>
      <w:r>
        <w:t xml:space="preserve"> </w:t>
      </w:r>
      <w:r>
        <w:t xml:space="preserve">“</w:t>
      </w:r>
      <w:r>
        <w:t xml:space="preserve">kyac</w:t>
      </w:r>
      <w:r>
        <w:t xml:space="preserve">”</w:t>
      </w:r>
      <w:r>
        <w:t xml:space="preserve"> </w:t>
      </w:r>
      <w:r>
        <w:t xml:space="preserve">after</w:t>
      </w:r>
      <w:r>
        <w:t xml:space="preserve"> </w:t>
      </w:r>
      <w:r>
        <w:t xml:space="preserve">“</w:t>
      </w:r>
      <w:r>
        <w:t xml:space="preserve">pṛtanām</w:t>
      </w:r>
      <w:r>
        <w:t xml:space="preserve">”</w:t>
      </w:r>
      <w:r>
        <w:t xml:space="preserve"> </w:t>
      </w:r>
      <w:r>
        <w:t xml:space="preserve">…</w:t>
      </w:r>
      <w:r>
        <w:t xml:space="preserve"> </w:t>
      </w:r>
      <w:r>
        <w:rPr>
          <w:iCs/>
          <w:i/>
        </w:rPr>
        <w:t xml:space="preserve">(continues on p. 319)</w:t>
      </w:r>
      <w:r>
        <w:t xml:space="preserve"> </w:t>
      </w:r>
      <w:r>
        <w:t xml:space="preserve">### Page 319 — Rik 4 closes; Sūkta 8, Rik 5</w:t>
      </w:r>
    </w:p>
    <w:p>
      <w:pPr>
        <w:pStyle w:val="BodyText"/>
      </w:pPr>
      <w:r>
        <w:rPr>
          <w:iCs/>
          <w:i/>
        </w:rPr>
        <w:t xml:space="preserve">(Page header:</w:t>
      </w:r>
      <w:r>
        <w:rPr>
          <w:iCs/>
          <w:i/>
        </w:rPr>
        <w:t xml:space="preserve"> </w:t>
      </w:r>
      <w:r>
        <w:rPr>
          <w:iCs/>
          <w:i/>
        </w:rPr>
        <w:t xml:space="preserve">“</w:t>
      </w:r>
      <w:r>
        <w:rPr>
          <w:iCs/>
          <w:i/>
        </w:rPr>
        <w:t xml:space="preserve">A. 1, A. 1, Va. 15.</w:t>
      </w:r>
      <w:r>
        <w:rPr>
          <w:iCs/>
          <w:i/>
        </w:rPr>
        <w:t xml:space="preserve">”</w:t>
      </w:r>
      <w:r>
        <w:rPr>
          <w:iCs/>
          <w:i/>
        </w:rPr>
        <w:t xml:space="preserve"> </w:t>
      </w:r>
      <w:r>
        <w:rPr>
          <w:iCs/>
          <w:i/>
        </w:rPr>
        <w:t xml:space="preserve">“</w:t>
      </w:r>
      <w:r>
        <w:rPr>
          <w:iCs/>
          <w:i/>
        </w:rPr>
        <w:t xml:space="preserve">Pṛtanyataḥ,</w:t>
      </w:r>
      <w:r>
        <w:rPr>
          <w:iCs/>
          <w:i/>
        </w:rPr>
        <w:t xml:space="preserve">”</w:t>
      </w:r>
      <w:r>
        <w:rPr>
          <w:iCs/>
          <w:i/>
        </w:rPr>
        <w:t xml:space="preserve"> </w:t>
      </w:r>
      <w:r>
        <w:rPr>
          <w:iCs/>
          <w:i/>
        </w:rPr>
        <w:t xml:space="preserve">concluded:)</w:t>
      </w:r>
      <w:r>
        <w:t xml:space="preserve"> </w:t>
      </w:r>
      <w:r>
        <w:rPr>
          <w:bCs/>
          <w:b/>
        </w:rPr>
        <w:t xml:space="preserve">सनाद्यन्ता धातवः</w:t>
      </w:r>
      <w:r>
        <w:t xml:space="preserve"> </w:t>
      </w:r>
      <w:r>
        <w:t xml:space="preserve">(पा. सू. ३-१-३२) the root designation;</w:t>
      </w:r>
      <w:r>
        <w:t xml:space="preserve"> </w:t>
      </w:r>
      <w:r>
        <w:rPr>
          <w:bCs/>
          <w:b/>
        </w:rPr>
        <w:t xml:space="preserve">सुपो धातुप्रातिपदिकयोः</w:t>
      </w:r>
      <w:r>
        <w:t xml:space="preserve"> </w:t>
      </w:r>
      <w:r>
        <w:t xml:space="preserve">(पा. सू. २-४-७१)</w:t>
      </w:r>
      <w:r>
        <w:t xml:space="preserve"> </w:t>
      </w:r>
      <w:r>
        <w:t xml:space="preserve">“</w:t>
      </w:r>
      <w:r>
        <w:t xml:space="preserve">luk</w:t>
      </w:r>
      <w:r>
        <w:t xml:space="preserve">”</w:t>
      </w:r>
      <w:r>
        <w:t xml:space="preserve"> </w:t>
      </w:r>
      <w:r>
        <w:t xml:space="preserve">of</w:t>
      </w:r>
      <w:r>
        <w:t xml:space="preserve"> </w:t>
      </w:r>
      <w:r>
        <w:t xml:space="preserve">“</w:t>
      </w:r>
      <w:r>
        <w:t xml:space="preserve">am</w:t>
      </w:r>
      <w:r>
        <w:t xml:space="preserve">”</w:t>
      </w:r>
      <w:r>
        <w:t xml:space="preserve">:</w:t>
      </w:r>
      <w:r>
        <w:t xml:space="preserve"> </w:t>
      </w:r>
      <w:r>
        <w:t xml:space="preserve">“</w:t>
      </w:r>
      <w:r>
        <w:t xml:space="preserve">pṛtanā + ya</w:t>
      </w:r>
      <w:r>
        <w:t xml:space="preserve">”</w:t>
      </w:r>
      <w:r>
        <w:t xml:space="preserve">;</w:t>
      </w:r>
      <w:r>
        <w:t xml:space="preserve"> </w:t>
      </w:r>
      <w:r>
        <w:rPr>
          <w:bCs/>
          <w:b/>
        </w:rPr>
        <w:t xml:space="preserve">कव्यध्वरपृतनस्यर्चि लोपः</w:t>
      </w:r>
      <w:r>
        <w:t xml:space="preserve"> </w:t>
      </w:r>
      <w:r>
        <w:t xml:space="preserve">(पा. सू. ७-४-३९), with</w:t>
      </w:r>
      <w:r>
        <w:t xml:space="preserve"> </w:t>
      </w:r>
      <w:r>
        <w:rPr>
          <w:bCs/>
          <w:b/>
        </w:rPr>
        <w:t xml:space="preserve">क्यचि च</w:t>
      </w:r>
      <w:r>
        <w:t xml:space="preserve"> </w:t>
      </w:r>
      <w:r>
        <w:t xml:space="preserve">(पा. सू. ७-४-३३) carried on: before</w:t>
      </w:r>
      <w:r>
        <w:t xml:space="preserve"> </w:t>
      </w:r>
      <w:r>
        <w:t xml:space="preserve">“</w:t>
      </w:r>
      <w:r>
        <w:t xml:space="preserve">kyac</w:t>
      </w:r>
      <w:r>
        <w:t xml:space="preserve">”</w:t>
      </w:r>
      <w:r>
        <w:t xml:space="preserve"> </w:t>
      </w:r>
      <w:r>
        <w:t xml:space="preserve">in a Ṛk the final of</w:t>
      </w:r>
      <w:r>
        <w:t xml:space="preserve"> </w:t>
      </w:r>
      <w:r>
        <w:t xml:space="preserve">“</w:t>
      </w:r>
      <w:r>
        <w:t xml:space="preserve">kavi, adhvara, pṛtanā</w:t>
      </w:r>
      <w:r>
        <w:t xml:space="preserve">”</w:t>
      </w:r>
      <w:r>
        <w:t xml:space="preserve"> </w:t>
      </w:r>
      <w:r>
        <w:t xml:space="preserve">is lost:</w:t>
      </w:r>
      <w:r>
        <w:t xml:space="preserve"> </w:t>
      </w:r>
      <w:r>
        <w:t xml:space="preserve">“</w:t>
      </w:r>
      <w:r>
        <w:t xml:space="preserve">pṛtanya,</w:t>
      </w:r>
      <w:r>
        <w:t xml:space="preserve">”</w:t>
      </w:r>
      <w:r>
        <w:t xml:space="preserve"> </w:t>
      </w:r>
      <w:r>
        <w:t xml:space="preserve">end-acute by</w:t>
      </w:r>
      <w:r>
        <w:t xml:space="preserve"> </w:t>
      </w:r>
      <w:r>
        <w:t xml:space="preserve">“</w:t>
      </w:r>
      <w:r>
        <w:t xml:space="preserve">citaḥ</w:t>
      </w:r>
      <w:r>
        <w:t xml:space="preserve">”</w:t>
      </w:r>
      <w:r>
        <w:t xml:space="preserve">;</w:t>
      </w:r>
      <w:r>
        <w:t xml:space="preserve"> </w:t>
      </w:r>
      <w:r>
        <w:rPr>
          <w:bCs/>
          <w:b/>
        </w:rPr>
        <w:t xml:space="preserve">लटः शतृशानचौ</w:t>
      </w:r>
      <w:r>
        <w:t xml:space="preserve"> </w:t>
      </w:r>
      <w:r>
        <w:t xml:space="preserve">(पा. सू. ३-२-१२४)</w:t>
      </w:r>
      <w:r>
        <w:t xml:space="preserve"> </w:t>
      </w:r>
      <w:r>
        <w:t xml:space="preserve">“</w:t>
      </w:r>
      <w:r>
        <w:t xml:space="preserve">śatṛ</w:t>
      </w:r>
      <w:r>
        <w:t xml:space="preserve">”</w:t>
      </w:r>
      <w:r>
        <w:t xml:space="preserve">;</w:t>
      </w:r>
      <w:r>
        <w:t xml:space="preserve"> </w:t>
      </w:r>
      <w:r>
        <w:rPr>
          <w:bCs/>
          <w:b/>
        </w:rPr>
        <w:t xml:space="preserve">कर्तरि शप्</w:t>
      </w:r>
      <w:r>
        <w:t xml:space="preserve"> </w:t>
      </w:r>
      <w:r>
        <w:t xml:space="preserve">(पा. सू. ३-१-६८),</w:t>
      </w:r>
      <w:r>
        <w:t xml:space="preserve"> </w:t>
      </w:r>
      <w:r>
        <w:t xml:space="preserve">“</w:t>
      </w:r>
      <w:r>
        <w:t xml:space="preserve">p</w:t>
      </w:r>
      <w:r>
        <w:t xml:space="preserve">”</w:t>
      </w:r>
      <w:r>
        <w:t xml:space="preserve">-marked, unaccented;</w:t>
      </w:r>
      <w:r>
        <w:t xml:space="preserve"> </w:t>
      </w:r>
      <w:r>
        <w:t xml:space="preserve">“</w:t>
      </w:r>
      <w:r>
        <w:t xml:space="preserve">śatṛ</w:t>
      </w:r>
      <w:r>
        <w:t xml:space="preserve">”</w:t>
      </w:r>
      <w:r>
        <w:t xml:space="preserve"> </w:t>
      </w:r>
      <w:r>
        <w:t xml:space="preserve">unaccented by</w:t>
      </w:r>
      <w:r>
        <w:t xml:space="preserve"> </w:t>
      </w:r>
      <w:r>
        <w:rPr>
          <w:bCs/>
          <w:b/>
        </w:rPr>
        <w:t xml:space="preserve">तास्यनुदात्तेत्…</w:t>
      </w:r>
      <w:r>
        <w:t xml:space="preserve"> </w:t>
      </w:r>
      <w:r>
        <w:t xml:space="preserve">(पा. सू. ६-१-१८६);</w:t>
      </w:r>
      <w:r>
        <w:t xml:space="preserve"> </w:t>
      </w:r>
      <w:r>
        <w:rPr>
          <w:bCs/>
          <w:b/>
        </w:rPr>
        <w:t xml:space="preserve">अतो गुणे</w:t>
      </w:r>
      <w:r>
        <w:t xml:space="preserve"> </w:t>
      </w:r>
      <w:r>
        <w:t xml:space="preserve">(पा. सू. ६-१-९७) twice the later form; the single substitute acute by</w:t>
      </w:r>
      <w:r>
        <w:t xml:space="preserve"> </w:t>
      </w:r>
      <w:r>
        <w:rPr>
          <w:bCs/>
          <w:b/>
        </w:rPr>
        <w:t xml:space="preserve">एकादेश उदात्तेनोदात्तः</w:t>
      </w:r>
      <w:r>
        <w:t xml:space="preserve"> </w:t>
      </w:r>
      <w:r>
        <w:t xml:space="preserve">(पा. सू. ८-२-५):</w:t>
      </w:r>
      <w:r>
        <w:t xml:space="preserve"> </w:t>
      </w:r>
      <w:r>
        <w:t xml:space="preserve">“</w:t>
      </w:r>
      <w:r>
        <w:t xml:space="preserve">pṛtanyat,</w:t>
      </w:r>
      <w:r>
        <w:t xml:space="preserve">”</w:t>
      </w:r>
      <w:r>
        <w:t xml:space="preserve"> </w:t>
      </w:r>
      <w:r>
        <w:t xml:space="preserve">end-acute; the accusative plural</w:t>
      </w:r>
      <w:r>
        <w:t xml:space="preserve"> </w:t>
      </w:r>
      <w:r>
        <w:t xml:space="preserve">“</w:t>
      </w:r>
      <w:r>
        <w:t xml:space="preserve">śas,</w:t>
      </w:r>
      <w:r>
        <w:t xml:space="preserve">”</w:t>
      </w:r>
      <w:r>
        <w:t xml:space="preserve"> </w:t>
      </w:r>
      <w:r>
        <w:t xml:space="preserve">unaccented by</w:t>
      </w:r>
      <w:r>
        <w:t xml:space="preserve"> </w:t>
      </w:r>
      <w:r>
        <w:rPr>
          <w:bCs/>
          <w:b/>
        </w:rPr>
        <w:t xml:space="preserve">अनुदात्तौ सुप्पितौ</w:t>
      </w:r>
      <w:r>
        <w:t xml:space="preserve"> </w:t>
      </w:r>
      <w:r>
        <w:t xml:space="preserve">(पा. सू. ३-१-४), is made acute by</w:t>
      </w:r>
      <w:r>
        <w:t xml:space="preserve"> </w:t>
      </w:r>
      <w:r>
        <w:rPr>
          <w:bCs/>
          <w:b/>
        </w:rPr>
        <w:t xml:space="preserve">शतुरनुमो नद्यजादी</w:t>
      </w:r>
      <w:r>
        <w:t xml:space="preserve"> </w:t>
      </w:r>
      <w:r>
        <w:t xml:space="preserve">(पा. सू. ६-१-१७३), with</w:t>
      </w:r>
      <w:r>
        <w:t xml:space="preserve"> </w:t>
      </w:r>
      <w:r>
        <w:t xml:space="preserve">“</w:t>
      </w:r>
      <w:r>
        <w:t xml:space="preserve">antodāttāt</w:t>
      </w:r>
      <w:r>
        <w:t xml:space="preserve">”</w:t>
      </w:r>
      <w:r>
        <w:t xml:space="preserve"> </w:t>
      </w:r>
      <w:r>
        <w:t xml:space="preserve">carried from</w:t>
      </w:r>
      <w:r>
        <w:t xml:space="preserve"> </w:t>
      </w:r>
      <w:r>
        <w:rPr>
          <w:bCs/>
          <w:b/>
        </w:rPr>
        <w:t xml:space="preserve">अन्तोदात्तादुत्तरपदादन्यतरस्यामनित्यसमासे</w:t>
      </w:r>
      <w:r>
        <w:t xml:space="preserve"> </w:t>
      </w:r>
      <w:r>
        <w:t xml:space="preserve">(पा. सू. ६-१-१६९). ॥४॥</w:t>
      </w:r>
    </w:p>
    <w:p>
      <w:r>
        <w:pict>
          <v:rect style="width:0;height:1.5pt" o:hralign="center" o:hrstd="t" o:hr="t"/>
        </w:pict>
      </w:r>
    </w:p>
    <w:p>
      <w:pPr>
        <w:pStyle w:val="FirstParagraph"/>
      </w:pPr>
      <w:r>
        <w:rPr>
          <w:iCs/>
          <w:i/>
        </w:rPr>
        <w:t xml:space="preserve">(Saṃhitā accents as printed; Pada unaccented. Line 1: the strokes stand over</w:t>
      </w:r>
      <w:r>
        <w:rPr>
          <w:iCs/>
          <w:i/>
        </w:rPr>
        <w:t xml:space="preserve"> </w:t>
      </w:r>
      <w:r>
        <w:rPr>
          <w:iCs/>
          <w:i/>
        </w:rPr>
        <w:t xml:space="preserve">“</w:t>
      </w:r>
      <w:r>
        <w:rPr>
          <w:iCs/>
          <w:i/>
        </w:rPr>
        <w:t xml:space="preserve">ma</w:t>
      </w:r>
      <w:r>
        <w:rPr>
          <w:iCs/>
          <w:i/>
        </w:rPr>
        <w:t xml:space="preserve">”</w:t>
      </w:r>
      <w:r>
        <w:rPr>
          <w:iCs/>
          <w:i/>
        </w:rPr>
        <w:t xml:space="preserve"> </w:t>
      </w:r>
      <w:r>
        <w:rPr>
          <w:iCs/>
          <w:i/>
        </w:rPr>
        <w:t xml:space="preserve">of</w:t>
      </w:r>
      <w:r>
        <w:rPr>
          <w:iCs/>
          <w:i/>
        </w:rPr>
        <w:t xml:space="preserve"> </w:t>
      </w:r>
      <w:r>
        <w:rPr>
          <w:iCs/>
          <w:i/>
        </w:rPr>
        <w:t xml:space="preserve">“</w:t>
      </w:r>
      <w:r>
        <w:rPr>
          <w:iCs/>
          <w:i/>
        </w:rPr>
        <w:t xml:space="preserve">mahitvam</w:t>
      </w:r>
      <w:r>
        <w:rPr>
          <w:iCs/>
          <w:i/>
        </w:rPr>
        <w:t xml:space="preserve">”</w:t>
      </w:r>
      <w:r>
        <w:rPr>
          <w:iCs/>
          <w:i/>
        </w:rPr>
        <w:t xml:space="preserve"> </w:t>
      </w:r>
      <w:r>
        <w:rPr>
          <w:iCs/>
          <w:i/>
        </w:rPr>
        <w:t xml:space="preserve">and over</w:t>
      </w:r>
      <w:r>
        <w:rPr>
          <w:iCs/>
          <w:i/>
        </w:rPr>
        <w:t xml:space="preserve"> </w:t>
      </w:r>
      <w:r>
        <w:rPr>
          <w:iCs/>
          <w:i/>
        </w:rPr>
        <w:t xml:space="preserve">“</w:t>
      </w:r>
      <w:r>
        <w:rPr>
          <w:iCs/>
          <w:i/>
        </w:rPr>
        <w:t xml:space="preserve">tva…</w:t>
      </w:r>
      <w:r>
        <w:rPr>
          <w:iCs/>
          <w:i/>
        </w:rPr>
        <w:t xml:space="preserve">”</w:t>
      </w:r>
      <w:r>
        <w:rPr>
          <w:iCs/>
          <w:i/>
        </w:rPr>
        <w:t xml:space="preserve">; line 2: a stroke over</w:t>
      </w:r>
      <w:r>
        <w:rPr>
          <w:iCs/>
          <w:i/>
        </w:rPr>
        <w:t xml:space="preserve"> </w:t>
      </w:r>
      <w:r>
        <w:rPr>
          <w:iCs/>
          <w:i/>
        </w:rPr>
        <w:t xml:space="preserve">“</w:t>
      </w:r>
      <w:r>
        <w:rPr>
          <w:iCs/>
          <w:i/>
        </w:rPr>
        <w:t xml:space="preserve">dyau,</w:t>
      </w:r>
      <w:r>
        <w:rPr>
          <w:iCs/>
          <w:i/>
        </w:rPr>
        <w:t xml:space="preserve">”</w:t>
      </w:r>
      <w:r>
        <w:rPr>
          <w:iCs/>
          <w:i/>
        </w:rPr>
        <w:t xml:space="preserve"> </w:t>
      </w:r>
      <w:r>
        <w:rPr>
          <w:iCs/>
          <w:i/>
        </w:rPr>
        <w:t xml:space="preserve">and over</w:t>
      </w:r>
      <w:r>
        <w:rPr>
          <w:iCs/>
          <w:i/>
        </w:rPr>
        <w:t xml:space="preserve"> </w:t>
      </w:r>
      <w:r>
        <w:rPr>
          <w:iCs/>
          <w:i/>
        </w:rPr>
        <w:t xml:space="preserve">“</w:t>
      </w:r>
      <w:r>
        <w:rPr>
          <w:iCs/>
          <w:i/>
        </w:rPr>
        <w:t xml:space="preserve">śavaḥ</w:t>
      </w:r>
      <w:r>
        <w:rPr>
          <w:iCs/>
          <w:i/>
        </w:rPr>
        <w:t xml:space="preserve">”</w:t>
      </w:r>
      <w:r>
        <w:rPr>
          <w:iCs/>
          <w:i/>
        </w:rPr>
        <w:t xml:space="preserve"> </w:t>
      </w:r>
      <w:r>
        <w:rPr>
          <w:iCs/>
          <w:i/>
        </w:rPr>
        <w:t xml:space="preserve">a stroke joined to a bar; placement doubtful, hence [accent ?].)</w:t>
      </w:r>
    </w:p>
    <w:p>
      <w:pPr>
        <w:pStyle w:val="BodyText"/>
      </w:pPr>
      <w:r>
        <w:rPr>
          <w:bCs/>
          <w:b/>
        </w:rPr>
        <w:t xml:space="preserve">॥ Saṃhitā-pāṭhaḥ ॥</w:t>
      </w:r>
    </w:p>
    <w:p>
      <w:pPr>
        <w:pStyle w:val="BlockText"/>
      </w:pPr>
      <w:r>
        <w:t xml:space="preserve">म॒हाँ इन्द्रः॑ प॒रश्च नु म॑हि॒त्वम॑स्तु व॒ज्रिणे॑ । [accent ?]</w:t>
      </w:r>
      <w:r>
        <w:t xml:space="preserve"> </w:t>
      </w:r>
      <w:r>
        <w:t xml:space="preserve">द्यौ॑र्न प्र॑थि॒ना शवः॑ ॥५॥ [accent ?]</w:t>
      </w:r>
    </w:p>
    <w:p>
      <w:pPr>
        <w:pStyle w:val="BlockText"/>
      </w:pPr>
      <w:r>
        <w:rPr>
          <w:iCs/>
          <w:i/>
        </w:rPr>
        <w:t xml:space="preserve">mahā́ṁ índraḥ paráś ca nú mahitvám astu vajríṇe |</w:t>
      </w:r>
      <w:r>
        <w:t xml:space="preserve"> </w:t>
      </w:r>
      <w:r>
        <w:t xml:space="preserve">[accent ?]</w:t>
      </w:r>
      <w:r>
        <w:t xml:space="preserve"> </w:t>
      </w:r>
      <w:r>
        <w:rPr>
          <w:iCs/>
          <w:i/>
        </w:rPr>
        <w:t xml:space="preserve">dyaúr ná prathinā́ śávaḥ ||5||</w:t>
      </w:r>
      <w:r>
        <w:t xml:space="preserve"> </w:t>
      </w:r>
      <w:r>
        <w:t xml:space="preserve">[accent ?]</w:t>
      </w:r>
    </w:p>
    <w:p>
      <w:pPr>
        <w:pStyle w:val="FirstParagraph"/>
      </w:pPr>
      <w:r>
        <w:rPr>
          <w:bCs/>
          <w:b/>
        </w:rPr>
        <w:t xml:space="preserve">॥ Pada-pāṭhaḥ ॥</w:t>
      </w:r>
    </w:p>
    <w:p>
      <w:pPr>
        <w:pStyle w:val="BlockText"/>
      </w:pPr>
      <w:r>
        <w:t xml:space="preserve">महान् । इन्द्रः । परः । च । नु । महित्वम् । अस्तु । वज्रिणे ॥</w:t>
      </w:r>
      <w:r>
        <w:t xml:space="preserve"> </w:t>
      </w:r>
      <w:r>
        <w:t xml:space="preserve">द्यौः । न । प्रथिना । शवः ॥५॥</w:t>
      </w:r>
    </w:p>
    <w:p>
      <w:pPr>
        <w:pStyle w:val="BlockText"/>
      </w:pPr>
      <w:r>
        <w:rPr>
          <w:iCs/>
          <w:i/>
        </w:rPr>
        <w:t xml:space="preserve">mahān | indraḥ | paraḥ | ca | nu | mahitvam | astu | vajriṇe ||</w:t>
      </w:r>
      <w:r>
        <w:t xml:space="preserve"> </w:t>
      </w:r>
      <w:r>
        <w:rPr>
          <w:iCs/>
          <w:i/>
        </w:rPr>
        <w:t xml:space="preserve">dyauḥ | na | prathinā | śavaḥ ||5||</w:t>
      </w:r>
    </w:p>
    <w:bookmarkEnd w:id="347"/>
    <w:bookmarkStart w:id="348" w:name="page-320-rik-5-sāyaṇa-bhāṣya"/>
    <w:p>
      <w:pPr>
        <w:pStyle w:val="Heading3"/>
      </w:pPr>
      <w:r>
        <w:t xml:space="preserve">Page 320 — Rik 5: Sāyaṇa-bhāṣya</w:t>
      </w:r>
    </w:p>
    <w:p>
      <w:pPr>
        <w:pStyle w:val="FirstParagraph"/>
      </w:pPr>
      <w:r>
        <w:rPr>
          <w:bCs/>
          <w:b/>
        </w:rPr>
        <w:t xml:space="preserve">॥ Sāyaṇa-bhāṣyam ॥</w:t>
      </w:r>
    </w:p>
    <w:p>
      <w:pPr>
        <w:pStyle w:val="BlockText"/>
      </w:pPr>
      <w:r>
        <w:t xml:space="preserve">अयमिन्द्रो महान् शरीरेण प्रौढः परश्च गुणैरुत्कृष्टो ऽपि । नु किंच वज्रिणे वज्रयुक्तायेन्द्राय महित्वं पूर्वोक्तं द्विविधमाधिक्यं सर्वदास्तु । स्वभावसिद्धस्यापि भक्त्या प्रार्थनमेतत् । किंच द्यौर्न द्युलोक इव शवो बलमिन्द्रस्य सेनारूपं प्रथिना प्रथिम्ना पृथुत्वेन युज्यतामिति शेषः । यथा द्युलोकः प्रभूत एवमस्य सेना प्रभूता ॥ नुशब्दो यद्यपि क्षिप्रनामसु नु मुक्षु इति पठितस्तथाप्यत्र तस्यान्वयाभावात्निपातत्वेनानेकार्थत्वसंभवाच्च समुच्चयार्थो ऽत्र गृहीतः । नुशब्दो लोके प्रतिषेधार्थ एव । स्वाध्याये तु प्रतिषेधार्थ उपमानार्थश्चेति द्विविधः । येन पदेनान्वीयते तस्मात्पूर्वं प्रयुज्यमानः प्रतिषेधार्थ उपरिष्टात्प्रयुज्यमान उपमानार्थः । तथा च यास्क उदाहरति । उभयमन्वध्यायं नेन्द्रं देवममंसतेति प्रतिषेधार्थीयः पुरस्तादुपाचारस्तस्य यत्प्रतिषेधति । दुर्मर्दासो न सुरायामित्युपमार्थीय उपरिष्टादुपाचारस्तस्य येनोपमिमीते । नि. १-४ । इति । अत्रोपमेयवाचिनो द्यौश्शब्दस्यापि प्रयुक्तत्वादुपमार्थः स्वीकृतः । अष्टाविंशतिसंख्याकेषु बलनामसु ओजः पाजः शव इति पठितम् ॥</w:t>
      </w:r>
    </w:p>
    <w:p>
      <w:pPr>
        <w:pStyle w:val="BlockText"/>
      </w:pPr>
      <w:r>
        <w:rPr>
          <w:iCs/>
          <w:i/>
        </w:rPr>
        <w:t xml:space="preserve">ayam indro mahān śarīreṇa prauḍhaḥ paraś ca guṇair utkṛṣṭo ’pi | nu kiṃca vajriṇe vajra-yuktāyendrāya mahitvaṃ pūrvoktaṃ dvividham ādhikyaṃ sarvadāstu | svabhāva-siddhasyāpi bhaktyā prārthanam etat | kiṃca dyaur na dyuloka iva śavo balam indrasya senā-rūpaṃ prathinā prathimnā pṛthutvena yujyatām iti śeṣaḥ | yathā dyulokaḥ prabhūta evam asya senā prabhūtā || nu-śabdo yadyapi kṣipra-nāmasu nu mukṣu iti paṭhitas tathāpy atra tasyānvayābhāvāt nipātatvenānekārthatva-saṃbhavāc ca samuccayārtho ’tra gṛhītaḥ | nu-śabdo loke pratiṣedhārtha eva | svādhyāye tu pratiṣedhārtha upamānārthaś ceti dvividhaḥ | yena padenānvīyate tasmāt pūrvaṃ prayujyamānaḥ pratiṣedhārtha upariṣṭāt prayujyamāna upamānārthaḥ | tathā ca yāska udāharati | ubhayam anvadhyāyaṃ nendraṃ devam amaṃsateti pratiṣedhārthīyaḥ purastād upācāras tasya yat pratiṣedhati | durmardāso na surāyām ity upamārthīya upariṣṭād upācāras tasya yenopamimīte | ni. 1-4 | iti | atropameya-vācino dyauś-śabdasyāpi prayuktatvād upamārthaḥ svīkṛtaḥ | aṣṭāviṃśati-saṃkhyākeṣu bala-nāmasu ojaḥ pājaḥ śava iti paṭhitam ||</w:t>
      </w:r>
    </w:p>
    <w:p>
      <w:pPr>
        <w:pStyle w:val="FirstParagraph"/>
      </w:pPr>
      <w:r>
        <w:rPr>
          <w:bCs/>
          <w:b/>
        </w:rPr>
        <w:t xml:space="preserve">Translation:</w:t>
      </w:r>
      <w:r>
        <w:t xml:space="preserve"> </w:t>
      </w:r>
      <w:r>
        <w:t xml:space="preserve">“</w:t>
      </w:r>
      <w:r>
        <w:t xml:space="preserve">This Indra is great (</w:t>
      </w:r>
      <w:r>
        <w:rPr>
          <w:iCs/>
          <w:i/>
        </w:rPr>
        <w:t xml:space="preserve">mahān</w:t>
      </w:r>
      <w:r>
        <w:t xml:space="preserve">) in body, mature, and supreme (</w:t>
      </w:r>
      <w:r>
        <w:rPr>
          <w:iCs/>
          <w:i/>
        </w:rPr>
        <w:t xml:space="preserve">paraḥ</w:t>
      </w:r>
      <w:r>
        <w:t xml:space="preserve">) — excellent in qualities as well. And may this twofold pre-eminence stated above,</w:t>
      </w:r>
      <w:r>
        <w:t xml:space="preserve"> </w:t>
      </w:r>
      <w:r>
        <w:rPr>
          <w:iCs/>
          <w:i/>
        </w:rPr>
        <w:t xml:space="preserve">mahitvam</w:t>
      </w:r>
      <w:r>
        <w:t xml:space="preserve">, be always for the vajra-bearing Indra (</w:t>
      </w:r>
      <w:r>
        <w:rPr>
          <w:iCs/>
          <w:i/>
        </w:rPr>
        <w:t xml:space="preserve">vajriṇe</w:t>
      </w:r>
      <w:r>
        <w:t xml:space="preserve">): this is a prayer offered in devotion, though [that greatness is] naturally established. Moreover,</w:t>
      </w:r>
      <w:r>
        <w:t xml:space="preserve"> </w:t>
      </w:r>
      <w:r>
        <w:rPr>
          <w:iCs/>
          <w:i/>
        </w:rPr>
        <w:t xml:space="preserve">dyaur na</w:t>
      </w:r>
      <w:r>
        <w:t xml:space="preserve"> </w:t>
      </w:r>
      <w:r>
        <w:t xml:space="preserve">— like the heaven-world — let Indra’s</w:t>
      </w:r>
      <w:r>
        <w:t xml:space="preserve"> </w:t>
      </w:r>
      <w:r>
        <w:rPr>
          <w:iCs/>
          <w:i/>
        </w:rPr>
        <w:t xml:space="preserve">śavaḥ</w:t>
      </w:r>
      <w:r>
        <w:t xml:space="preserve">, his strength in the form of an army, be joined with</w:t>
      </w:r>
      <w:r>
        <w:t xml:space="preserve"> </w:t>
      </w:r>
      <w:r>
        <w:rPr>
          <w:iCs/>
          <w:i/>
        </w:rPr>
        <w:t xml:space="preserve">prathinā</w:t>
      </w:r>
      <w:r>
        <w:t xml:space="preserve">, with breadth (</w:t>
      </w:r>
      <w:r>
        <w:rPr>
          <w:iCs/>
          <w:i/>
        </w:rPr>
        <w:t xml:space="preserve">prathimnā</w:t>
      </w:r>
      <w:r>
        <w:t xml:space="preserve">), vastness [this is the word to be supplied]: as the heavenly world is vast, so may his army be vast. The word</w:t>
      </w:r>
      <w:r>
        <w:t xml:space="preserve"> </w:t>
      </w:r>
      <w:r>
        <w:rPr>
          <w:iCs/>
          <w:i/>
        </w:rPr>
        <w:t xml:space="preserve">nu</w:t>
      </w:r>
      <w:r>
        <w:t xml:space="preserve"> </w:t>
      </w:r>
      <w:r>
        <w:t xml:space="preserve">— although read among the names for</w:t>
      </w:r>
      <w:r>
        <w:t xml:space="preserve"> </w:t>
      </w:r>
      <w:r>
        <w:t xml:space="preserve">‘</w:t>
      </w:r>
      <w:r>
        <w:t xml:space="preserve">quickly</w:t>
      </w:r>
      <w:r>
        <w:t xml:space="preserve">’</w:t>
      </w:r>
      <w:r>
        <w:t xml:space="preserve"> </w:t>
      </w:r>
      <w:r>
        <w:t xml:space="preserve">(</w:t>
      </w:r>
      <w:r>
        <w:rPr>
          <w:iCs/>
          <w:i/>
        </w:rPr>
        <w:t xml:space="preserve">nu</w:t>
      </w:r>
      <w:r>
        <w:t xml:space="preserve">,</w:t>
      </w:r>
      <w:r>
        <w:t xml:space="preserve"> </w:t>
      </w:r>
      <w:r>
        <w:rPr>
          <w:iCs/>
          <w:i/>
        </w:rPr>
        <w:t xml:space="preserve">mukṣu</w:t>
      </w:r>
      <w:r>
        <w:t xml:space="preserve">) — here, since it has no construction in that sense and since, being a particle, it can have more than one meaning, is taken in the sense of</w:t>
      </w:r>
      <w:r>
        <w:t xml:space="preserve"> </w:t>
      </w:r>
      <w:r>
        <w:t xml:space="preserve">‘</w:t>
      </w:r>
      <w:r>
        <w:t xml:space="preserve">and</w:t>
      </w:r>
      <w:r>
        <w:t xml:space="preserve">’</w:t>
      </w:r>
      <w:r>
        <w:t xml:space="preserve"> </w:t>
      </w:r>
      <w:r>
        <w:t xml:space="preserve">(</w:t>
      </w:r>
      <w:r>
        <w:rPr>
          <w:iCs/>
          <w:i/>
        </w:rPr>
        <w:t xml:space="preserve">samuccaya</w:t>
      </w:r>
      <w:r>
        <w:t xml:space="preserve">). In ordinary speech</w:t>
      </w:r>
      <w:r>
        <w:t xml:space="preserve"> </w:t>
      </w:r>
      <w:r>
        <w:rPr>
          <w:iCs/>
          <w:i/>
        </w:rPr>
        <w:t xml:space="preserve">na</w:t>
      </w:r>
      <w:r>
        <w:t xml:space="preserve"> </w:t>
      </w:r>
      <w:r>
        <w:t xml:space="preserve">is only a negative; in the Veda it is twofold, negative and a particle of comparison: when placed</w:t>
      </w:r>
      <w:r>
        <w:t xml:space="preserve"> </w:t>
      </w:r>
      <w:r>
        <w:rPr>
          <w:iCs/>
          <w:i/>
        </w:rPr>
        <w:t xml:space="preserve">before</w:t>
      </w:r>
      <w:r>
        <w:t xml:space="preserve"> </w:t>
      </w:r>
      <w:r>
        <w:t xml:space="preserve">the word with which it is construed it is negative; when placed</w:t>
      </w:r>
      <w:r>
        <w:t xml:space="preserve"> </w:t>
      </w:r>
      <w:r>
        <w:rPr>
          <w:iCs/>
          <w:i/>
        </w:rPr>
        <w:t xml:space="preserve">after</w:t>
      </w:r>
      <w:r>
        <w:t xml:space="preserve">, it means</w:t>
      </w:r>
      <w:r>
        <w:t xml:space="preserve"> </w:t>
      </w:r>
      <w:r>
        <w:t xml:space="preserve">‘</w:t>
      </w:r>
      <w:r>
        <w:t xml:space="preserve">like.</w:t>
      </w:r>
      <w:r>
        <w:t xml:space="preserve">’</w:t>
      </w:r>
      <w:r>
        <w:t xml:space="preserve"> </w:t>
      </w:r>
      <w:r>
        <w:t xml:space="preserve">So Yāska gives examples:</w:t>
      </w:r>
      <w:r>
        <w:t xml:space="preserve"> </w:t>
      </w:r>
      <w:r>
        <w:t xml:space="preserve">‘</w:t>
      </w:r>
      <w:r>
        <w:rPr>
          <w:iCs/>
          <w:i/>
        </w:rPr>
        <w:t xml:space="preserve">ubhayam anvadhyāyaṃ nendraṃ devam amaṃsata</w:t>
      </w:r>
      <w:r>
        <w:t xml:space="preserve">’</w:t>
      </w:r>
      <w:r>
        <w:t xml:space="preserve"> </w:t>
      </w:r>
      <w:r>
        <w:t xml:space="preserve">— the negative use is placed before what it negates;</w:t>
      </w:r>
      <w:r>
        <w:t xml:space="preserve"> </w:t>
      </w:r>
      <w:r>
        <w:t xml:space="preserve">‘</w:t>
      </w:r>
      <w:r>
        <w:rPr>
          <w:iCs/>
          <w:i/>
        </w:rPr>
        <w:t xml:space="preserve">durmardāso na surāyām</w:t>
      </w:r>
      <w:r>
        <w:t xml:space="preserve">’</w:t>
      </w:r>
      <w:r>
        <w:t xml:space="preserve"> </w:t>
      </w:r>
      <w:r>
        <w:t xml:space="preserve">— the comparative use is placed after the word with which it makes the comparison (Nirukta 1-4). Therefore, since the word</w:t>
      </w:r>
      <w:r>
        <w:t xml:space="preserve"> </w:t>
      </w:r>
      <w:r>
        <w:rPr>
          <w:iCs/>
          <w:i/>
        </w:rPr>
        <w:t xml:space="preserve">dyauḥ</w:t>
      </w:r>
      <w:r>
        <w:t xml:space="preserve">, expressing the thing compared, is also used here, the comparative sense is accepted. Among the twenty-eight words for</w:t>
      </w:r>
      <w:r>
        <w:t xml:space="preserve"> </w:t>
      </w:r>
      <w:r>
        <w:t xml:space="preserve">‘</w:t>
      </w:r>
      <w:r>
        <w:t xml:space="preserve">strength,</w:t>
      </w:r>
      <w:r>
        <w:t xml:space="preserve">’</w:t>
      </w:r>
      <w:r>
        <w:t xml:space="preserve"> </w:t>
      </w:r>
      <w:r>
        <w:rPr>
          <w:iCs/>
          <w:i/>
        </w:rPr>
        <w:t xml:space="preserve">ojaḥ</w:t>
      </w:r>
      <w:r>
        <w:t xml:space="preserve">,</w:t>
      </w:r>
      <w:r>
        <w:t xml:space="preserve"> </w:t>
      </w:r>
      <w:r>
        <w:rPr>
          <w:iCs/>
          <w:i/>
        </w:rPr>
        <w:t xml:space="preserve">pājaḥ</w:t>
      </w:r>
      <w:r>
        <w:t xml:space="preserve">,</w:t>
      </w:r>
      <w:r>
        <w:t xml:space="preserve"> </w:t>
      </w:r>
      <w:r>
        <w:rPr>
          <w:iCs/>
          <w:i/>
        </w:rPr>
        <w:t xml:space="preserve">śavaḥ</w:t>
      </w:r>
      <w:r>
        <w:t xml:space="preserve"> </w:t>
      </w:r>
      <w:r>
        <w:t xml:space="preserve">are read.</w:t>
      </w:r>
      <w:r>
        <w:t xml:space="preserve">”</w:t>
      </w:r>
    </w:p>
    <w:p>
      <w:pPr>
        <w:pStyle w:val="BodyText"/>
      </w:pPr>
      <w:r>
        <w:rPr>
          <w:bCs/>
          <w:b/>
        </w:rPr>
        <w:t xml:space="preserve">Grammar of the Bhāṣya (characterized, references as printed):</w:t>
      </w:r>
      <w:r>
        <w:t xml:space="preserve"> </w:t>
      </w:r>
      <w:r>
        <w:t xml:space="preserve">“</w:t>
      </w:r>
      <w:r>
        <w:t xml:space="preserve">Mahān</w:t>
      </w:r>
      <w:r>
        <w:t xml:space="preserve">”</w:t>
      </w:r>
      <w:r>
        <w:t xml:space="preserve"> </w:t>
      </w:r>
      <w:r>
        <w:t xml:space="preserve">— in the saṃhitā,</w:t>
      </w:r>
      <w:r>
        <w:t xml:space="preserve"> </w:t>
      </w:r>
      <w:r>
        <w:rPr>
          <w:bCs/>
          <w:b/>
        </w:rPr>
        <w:t xml:space="preserve">दीर्घादटि समानपादे</w:t>
      </w:r>
      <w:r>
        <w:t xml:space="preserve"> </w:t>
      </w:r>
      <w:r>
        <w:t xml:space="preserve">(पा. ८-३-९)</w:t>
      </w:r>
      <w:r>
        <w:t xml:space="preserve"> </w:t>
      </w:r>
      <w:r>
        <w:t xml:space="preserve">“</w:t>
      </w:r>
      <w:r>
        <w:t xml:space="preserve">ru</w:t>
      </w:r>
      <w:r>
        <w:t xml:space="preserve">”</w:t>
      </w:r>
      <w:r>
        <w:t xml:space="preserve"> </w:t>
      </w:r>
      <w:r>
        <w:t xml:space="preserve">for the</w:t>
      </w:r>
      <w:r>
        <w:t xml:space="preserve"> </w:t>
      </w:r>
      <w:r>
        <w:t xml:space="preserve">“</w:t>
      </w:r>
      <w:r>
        <w:t xml:space="preserve">n</w:t>
      </w:r>
      <w:r>
        <w:t xml:space="preserve">”</w:t>
      </w:r>
      <w:r>
        <w:t xml:space="preserve">;</w:t>
      </w:r>
      <w:r>
        <w:t xml:space="preserve"> </w:t>
      </w:r>
      <w:r>
        <w:rPr>
          <w:bCs/>
          <w:b/>
        </w:rPr>
        <w:t xml:space="preserve">आतोऽटि नित्यम्</w:t>
      </w:r>
      <w:r>
        <w:t xml:space="preserve"> </w:t>
      </w:r>
      <w:r>
        <w:t xml:space="preserve">(पा. ८-३-३) nasalization of the preceding</w:t>
      </w:r>
      <w:r>
        <w:t xml:space="preserve"> </w:t>
      </w:r>
      <w:r>
        <w:t xml:space="preserve">“</w:t>
      </w:r>
      <w:r>
        <w:t xml:space="preserve">ā</w:t>
      </w:r>
      <w:r>
        <w:t xml:space="preserve">”</w:t>
      </w:r>
      <w:r>
        <w:t xml:space="preserve">;</w:t>
      </w:r>
      <w:r>
        <w:t xml:space="preserve"> </w:t>
      </w:r>
      <w:r>
        <w:rPr>
          <w:bCs/>
          <w:b/>
        </w:rPr>
        <w:t xml:space="preserve">भोभगोअघोअपूर्वस्य योऽशि</w:t>
      </w:r>
      <w:r>
        <w:t xml:space="preserve"> </w:t>
      </w:r>
      <w:r>
        <w:t xml:space="preserve">(पा. ८- -१७, the middle number missing)</w:t>
      </w:r>
      <w:r>
        <w:t xml:space="preserve"> </w:t>
      </w:r>
      <w:r>
        <w:t xml:space="preserve">“</w:t>
      </w:r>
      <w:r>
        <w:t xml:space="preserve">y</w:t>
      </w:r>
      <w:r>
        <w:t xml:space="preserve">”</w:t>
      </w:r>
      <w:r>
        <w:t xml:space="preserve">; its loss by</w:t>
      </w:r>
      <w:r>
        <w:t xml:space="preserve"> </w:t>
      </w:r>
      <w:r>
        <w:rPr>
          <w:bCs/>
          <w:b/>
        </w:rPr>
        <w:t xml:space="preserve">लोपः शाकल्यस्य</w:t>
      </w:r>
      <w:r>
        <w:t xml:space="preserve"> </w:t>
      </w:r>
      <w:r>
        <w:t xml:space="preserve">(पा. ८-३-१९), which being asiddha (पा. ८-२-१) no vowel sandhi follows.</w:t>
      </w:r>
      <w:r>
        <w:t xml:space="preserve"> </w:t>
      </w:r>
      <w:r>
        <w:t xml:space="preserve">“</w:t>
      </w:r>
      <w:r>
        <w:t xml:space="preserve">Mahitvam</w:t>
      </w:r>
      <w:r>
        <w:t xml:space="preserve">”</w:t>
      </w:r>
      <w:r>
        <w:t xml:space="preserve"> </w:t>
      </w:r>
      <w:r>
        <w:t xml:space="preserve">—</w:t>
      </w:r>
      <w:r>
        <w:t xml:space="preserve"> </w:t>
      </w:r>
      <w:r>
        <w:rPr>
          <w:bCs/>
          <w:b/>
        </w:rPr>
        <w:t xml:space="preserve">महेरिनण्</w:t>
      </w:r>
      <w:r>
        <w:t xml:space="preserve"> </w:t>
      </w:r>
      <w:r>
        <w:t xml:space="preserve">(as printed; उ. ४-११८)</w:t>
      </w:r>
      <w:r>
        <w:t xml:space="preserve"> </w:t>
      </w:r>
      <w:r>
        <w:t xml:space="preserve">“</w:t>
      </w:r>
      <w:r>
        <w:t xml:space="preserve">in</w:t>
      </w:r>
      <w:r>
        <w:t xml:space="preserve">”</w:t>
      </w:r>
      <w:r>
        <w:t xml:space="preserve">:</w:t>
      </w:r>
      <w:r>
        <w:t xml:space="preserve"> </w:t>
      </w:r>
      <w:r>
        <w:t xml:space="preserve">“</w:t>
      </w:r>
      <w:r>
        <w:t xml:space="preserve">mahi</w:t>
      </w:r>
      <w:r>
        <w:t xml:space="preserve">”</w:t>
      </w:r>
      <w:r>
        <w:t xml:space="preserve">;</w:t>
      </w:r>
      <w:r>
        <w:t xml:space="preserve"> </w:t>
      </w:r>
      <w:r>
        <w:t xml:space="preserve">“</w:t>
      </w:r>
      <w:r>
        <w:t xml:space="preserve">tva,</w:t>
      </w:r>
      <w:r>
        <w:t xml:space="preserve">”</w:t>
      </w:r>
      <w:r>
        <w:t xml:space="preserve"> </w:t>
      </w:r>
      <w:r>
        <w:t xml:space="preserve">acute by the affix accent.</w:t>
      </w:r>
      <w:r>
        <w:t xml:space="preserve"> </w:t>
      </w:r>
      <w:r>
        <w:t xml:space="preserve">“</w:t>
      </w:r>
      <w:r>
        <w:t xml:space="preserve">Vajriṇe</w:t>
      </w:r>
      <w:r>
        <w:t xml:space="preserve">”</w:t>
      </w:r>
      <w:r>
        <w:t xml:space="preserve"> </w:t>
      </w:r>
      <w:r>
        <w:t xml:space="preserve">— the</w:t>
      </w:r>
      <w:r>
        <w:t xml:space="preserve"> </w:t>
      </w:r>
      <w:r>
        <w:t xml:space="preserve">“</w:t>
      </w:r>
      <w:r>
        <w:t xml:space="preserve">i</w:t>
      </w:r>
      <w:r>
        <w:t xml:space="preserve">”</w:t>
      </w:r>
      <w:r>
        <w:t xml:space="preserve"> </w:t>
      </w:r>
      <w:r>
        <w:t xml:space="preserve">acute by the affix accent.</w:t>
      </w:r>
      <w:r>
        <w:t xml:space="preserve"> </w:t>
      </w:r>
      <w:r>
        <w:t xml:space="preserve">“</w:t>
      </w:r>
      <w:r>
        <w:t xml:space="preserve">Dyauḥ</w:t>
      </w:r>
      <w:r>
        <w:t xml:space="preserve">”</w:t>
      </w:r>
      <w:r>
        <w:t xml:space="preserve"> </w:t>
      </w:r>
      <w:r>
        <w:t xml:space="preserve">— end-acute by the stem;</w:t>
      </w:r>
      <w:r>
        <w:t xml:space="preserve"> </w:t>
      </w:r>
      <w:r>
        <w:rPr>
          <w:bCs/>
          <w:b/>
        </w:rPr>
        <w:t xml:space="preserve">गोतो णित्</w:t>
      </w:r>
      <w:r>
        <w:t xml:space="preserve"> </w:t>
      </w:r>
      <w:r>
        <w:t xml:space="preserve">(पा. ७-१-९०) the ending</w:t>
      </w:r>
      <w:r>
        <w:t xml:space="preserve"> </w:t>
      </w:r>
      <w:r>
        <w:t xml:space="preserve">“</w:t>
      </w:r>
      <w:r>
        <w:t xml:space="preserve">ṇit,</w:t>
      </w:r>
      <w:r>
        <w:t xml:space="preserve">”</w:t>
      </w:r>
      <w:r>
        <w:t xml:space="preserve"> </w:t>
      </w:r>
      <w:r>
        <w:t xml:space="preserve">so</w:t>
      </w:r>
      <w:r>
        <w:t xml:space="preserve"> </w:t>
      </w:r>
      <w:r>
        <w:rPr>
          <w:bCs/>
          <w:b/>
        </w:rPr>
        <w:t xml:space="preserve">अचो ञ्णिति</w:t>
      </w:r>
      <w:r>
        <w:t xml:space="preserve"> </w:t>
      </w:r>
      <w:r>
        <w:t xml:space="preserve">(पा. ७-२-११५) vṛddhi; end-acute.</w:t>
      </w:r>
      <w:r>
        <w:t xml:space="preserve"> </w:t>
      </w:r>
      <w:r>
        <w:t xml:space="preserve">“</w:t>
      </w:r>
      <w:r>
        <w:t xml:space="preserve">Prathinā</w:t>
      </w:r>
      <w:r>
        <w:t xml:space="preserve">”</w:t>
      </w:r>
      <w:r>
        <w:t xml:space="preserve"> </w:t>
      </w:r>
      <w:r>
        <w:t xml:space="preserve">—</w:t>
      </w:r>
      <w:r>
        <w:t xml:space="preserve"> </w:t>
      </w:r>
      <w:r>
        <w:t xml:space="preserve">“</w:t>
      </w:r>
      <w:r>
        <w:t xml:space="preserve">prathimnā</w:t>
      </w:r>
      <w:r>
        <w:t xml:space="preserve">”</w:t>
      </w:r>
      <w:r>
        <w:t xml:space="preserve">:</w:t>
      </w:r>
      <w:r>
        <w:t xml:space="preserve"> </w:t>
      </w:r>
      <w:r>
        <w:rPr>
          <w:bCs/>
          <w:b/>
        </w:rPr>
        <w:t xml:space="preserve">पृथ्वादिभ्य इमनिज्वा</w:t>
      </w:r>
      <w:r>
        <w:t xml:space="preserve"> </w:t>
      </w:r>
      <w:r>
        <w:t xml:space="preserve">(पा. ५-१-१२२)</w:t>
      </w:r>
      <w:r>
        <w:t xml:space="preserve"> </w:t>
      </w:r>
      <w:r>
        <w:t xml:space="preserve">“</w:t>
      </w:r>
      <w:r>
        <w:t xml:space="preserve">imanic</w:t>
      </w:r>
      <w:r>
        <w:t xml:space="preserve">”</w:t>
      </w:r>
      <w:r>
        <w:t xml:space="preserve">;</w:t>
      </w:r>
      <w:r>
        <w:t xml:space="preserve"> </w:t>
      </w:r>
      <w:r>
        <w:rPr>
          <w:bCs/>
          <w:b/>
        </w:rPr>
        <w:t xml:space="preserve">र ऋतो हलादेर्लघोः</w:t>
      </w:r>
      <w:r>
        <w:t xml:space="preserve"> </w:t>
      </w:r>
      <w:r>
        <w:t xml:space="preserve">(पा. ६-४-१६१)</w:t>
      </w:r>
      <w:r>
        <w:t xml:space="preserve"> </w:t>
      </w:r>
      <w:r>
        <w:t xml:space="preserve">“</w:t>
      </w:r>
      <w:r>
        <w:t xml:space="preserve">ra</w:t>
      </w:r>
      <w:r>
        <w:t xml:space="preserve">”</w:t>
      </w:r>
      <w:r>
        <w:t xml:space="preserve"> </w:t>
      </w:r>
      <w:r>
        <w:t xml:space="preserve">for the</w:t>
      </w:r>
      <w:r>
        <w:t xml:space="preserve"> </w:t>
      </w:r>
      <w:r>
        <w:t xml:space="preserve">“</w:t>
      </w:r>
      <w:r>
        <w:t xml:space="preserve">ṛ</w:t>
      </w:r>
      <w:r>
        <w:t xml:space="preserve">”</w:t>
      </w:r>
      <w:r>
        <w:t xml:space="preserve">; with</w:t>
      </w:r>
      <w:r>
        <w:t xml:space="preserve"> </w:t>
      </w:r>
      <w:r>
        <w:t xml:space="preserve">“</w:t>
      </w:r>
      <w:r>
        <w:t xml:space="preserve">ṭeḥ</w:t>
      </w:r>
      <w:r>
        <w:t xml:space="preserve">”</w:t>
      </w:r>
      <w:r>
        <w:t xml:space="preserve"> </w:t>
      </w:r>
      <w:r>
        <w:t xml:space="preserve">(पा. ६-४-१५५) carried from</w:t>
      </w:r>
      <w:r>
        <w:t xml:space="preserve"> </w:t>
      </w:r>
      <w:r>
        <w:rPr>
          <w:bCs/>
          <w:b/>
        </w:rPr>
        <w:t xml:space="preserve">तुरिष्ठेमेयःसु</w:t>
      </w:r>
      <w:r>
        <w:t xml:space="preserve"> </w:t>
      </w:r>
      <w:r>
        <w:t xml:space="preserve">(पा. ६-४-१५४), loss of the</w:t>
      </w:r>
      <w:r>
        <w:t xml:space="preserve"> </w:t>
      </w:r>
      <w:r>
        <w:t xml:space="preserve">“</w:t>
      </w:r>
      <w:r>
        <w:t xml:space="preserve">ṭi</w:t>
      </w:r>
      <w:r>
        <w:t xml:space="preserve">”</w:t>
      </w:r>
      <w:r>
        <w:t xml:space="preserve">;</w:t>
      </w:r>
      <w:r>
        <w:t xml:space="preserve"> </w:t>
      </w:r>
      <w:r>
        <w:t xml:space="preserve">“</w:t>
      </w:r>
      <w:r>
        <w:t xml:space="preserve">c</w:t>
      </w:r>
      <w:r>
        <w:t xml:space="preserve">”</w:t>
      </w:r>
      <w:r>
        <w:t xml:space="preserve">-marked, end-acute; instrumental:</w:t>
      </w:r>
      <w:r>
        <w:t xml:space="preserve"> </w:t>
      </w:r>
      <w:r>
        <w:rPr>
          <w:bCs/>
          <w:b/>
        </w:rPr>
        <w:t xml:space="preserve">अल्लोपोऽनः</w:t>
      </w:r>
      <w:r>
        <w:t xml:space="preserve"> </w:t>
      </w:r>
      <w:r>
        <w:t xml:space="preserve">(पा. ६-४-१३४); the loss of</w:t>
      </w:r>
      <w:r>
        <w:t xml:space="preserve"> </w:t>
      </w:r>
      <w:r>
        <w:t xml:space="preserve">“</w:t>
      </w:r>
      <w:r>
        <w:t xml:space="preserve">m</w:t>
      </w:r>
      <w:r>
        <w:t xml:space="preserve">”</w:t>
      </w:r>
      <w:r>
        <w:t xml:space="preserve"> </w:t>
      </w:r>
      <w:r>
        <w:t xml:space="preserve">Vedic; the ending acute by</w:t>
      </w:r>
      <w:r>
        <w:t xml:space="preserve"> </w:t>
      </w:r>
      <w:r>
        <w:rPr>
          <w:bCs/>
          <w:b/>
        </w:rPr>
        <w:t xml:space="preserve">अनुदात्तस्य च यत्रोदात्तलोपः</w:t>
      </w:r>
      <w:r>
        <w:t xml:space="preserve">.</w:t>
      </w:r>
      <w:r>
        <w:t xml:space="preserve"> </w:t>
      </w:r>
      <w:r>
        <w:t xml:space="preserve">“</w:t>
      </w:r>
      <w:r>
        <w:t xml:space="preserve">Śavaḥ</w:t>
      </w:r>
      <w:r>
        <w:t xml:space="preserve">”</w:t>
      </w:r>
      <w:r>
        <w:t xml:space="preserve"> </w:t>
      </w:r>
      <w:r>
        <w:t xml:space="preserve">— first-syllable acute by</w:t>
      </w:r>
      <w:r>
        <w:t xml:space="preserve"> </w:t>
      </w:r>
      <w:r>
        <w:rPr>
          <w:bCs/>
          <w:b/>
        </w:rPr>
        <w:t xml:space="preserve">नब्विषयस्यानिसन्तस्य</w:t>
      </w:r>
      <w:r>
        <w:t xml:space="preserve">. ॥१५॥</w:t>
      </w:r>
      <w:r>
        <w:t xml:space="preserve"> </w:t>
      </w:r>
      <w:r>
        <w:rPr>
          <w:iCs/>
          <w:i/>
        </w:rPr>
        <w:t xml:space="preserve">(the end of the fifteenth varga)</w:t>
      </w:r>
    </w:p>
    <w:p>
      <w:pPr>
        <w:pStyle w:val="BodyText"/>
      </w:pPr>
      <w:r>
        <w:rPr>
          <w:bCs/>
          <w:b/>
        </w:rPr>
        <w:t xml:space="preserve">॥ Prati-padārthaḥ ॥</w:t>
      </w:r>
    </w:p>
    <w:p>
      <w:pPr>
        <w:pStyle w:val="BodyText"/>
      </w:pPr>
      <w:r>
        <w:rPr>
          <w:bCs/>
          <w:b/>
        </w:rPr>
        <w:t xml:space="preserve">इन्द्रः (indraḥ)</w:t>
      </w:r>
      <w:r>
        <w:t xml:space="preserve"> </w:t>
      </w:r>
      <w:r>
        <w:t xml:space="preserve">— Indra |</w:t>
      </w:r>
      <w:r>
        <w:t xml:space="preserve"> </w:t>
      </w:r>
      <w:r>
        <w:rPr>
          <w:bCs/>
          <w:b/>
        </w:rPr>
        <w:t xml:space="preserve">महान् (mahān)</w:t>
      </w:r>
      <w:r>
        <w:t xml:space="preserve"> </w:t>
      </w:r>
      <w:r>
        <w:t xml:space="preserve">— great |</w:t>
      </w:r>
      <w:r>
        <w:t xml:space="preserve"> </w:t>
      </w:r>
      <w:r>
        <w:rPr>
          <w:bCs/>
          <w:b/>
        </w:rPr>
        <w:t xml:space="preserve">परः च (paraś ca)</w:t>
      </w:r>
      <w:r>
        <w:t xml:space="preserve"> </w:t>
      </w:r>
      <w:r>
        <w:t xml:space="preserve">— and supreme in qualities |</w:t>
      </w:r>
      <w:r>
        <w:t xml:space="preserve"> </w:t>
      </w:r>
      <w:r>
        <w:rPr>
          <w:bCs/>
          <w:b/>
        </w:rPr>
        <w:t xml:space="preserve">नु (nu)</w:t>
      </w:r>
      <w:r>
        <w:t xml:space="preserve"> </w:t>
      </w:r>
      <w:r>
        <w:t xml:space="preserve">— and |</w:t>
      </w:r>
      <w:r>
        <w:t xml:space="preserve"> </w:t>
      </w:r>
      <w:r>
        <w:rPr>
          <w:bCs/>
          <w:b/>
        </w:rPr>
        <w:t xml:space="preserve">वज्रिणे (vajriṇe)</w:t>
      </w:r>
      <w:r>
        <w:t xml:space="preserve"> </w:t>
      </w:r>
      <w:r>
        <w:t xml:space="preserve">— to Indra, who bears the thunderbolt |</w:t>
      </w:r>
      <w:r>
        <w:t xml:space="preserve"> </w:t>
      </w:r>
      <w:r>
        <w:rPr>
          <w:bCs/>
          <w:b/>
        </w:rPr>
        <w:t xml:space="preserve">महित्वम् (mahitvam)</w:t>
      </w:r>
      <w:r>
        <w:t xml:space="preserve"> </w:t>
      </w:r>
      <w:r>
        <w:t xml:space="preserve">— [this twofold] pre-eminence |</w:t>
      </w:r>
      <w:r>
        <w:t xml:space="preserve"> </w:t>
      </w:r>
      <w:r>
        <w:rPr>
          <w:bCs/>
          <w:b/>
        </w:rPr>
        <w:t xml:space="preserve">अस्तु (astu)</w:t>
      </w:r>
      <w:r>
        <w:t xml:space="preserve"> </w:t>
      </w:r>
      <w:r>
        <w:t xml:space="preserve">— may it be | (for)</w:t>
      </w:r>
      <w:r>
        <w:t xml:space="preserve"> </w:t>
      </w:r>
      <w:r>
        <w:rPr>
          <w:bCs/>
          <w:b/>
        </w:rPr>
        <w:t xml:space="preserve">शवः (śavaḥ)</w:t>
      </w:r>
      <w:r>
        <w:t xml:space="preserve"> </w:t>
      </w:r>
      <w:r>
        <w:t xml:space="preserve">— Indra’s strength (in the form of an army) |</w:t>
      </w:r>
      <w:r>
        <w:t xml:space="preserve"> </w:t>
      </w:r>
      <w:r>
        <w:rPr>
          <w:bCs/>
          <w:b/>
        </w:rPr>
        <w:t xml:space="preserve">द्यौः न (dyaur na)</w:t>
      </w:r>
      <w:r>
        <w:t xml:space="preserve"> </w:t>
      </w:r>
      <w:r>
        <w:t xml:space="preserve">— like the heavenly world |</w:t>
      </w:r>
      <w:r>
        <w:t xml:space="preserve"> </w:t>
      </w:r>
      <w:r>
        <w:rPr>
          <w:bCs/>
          <w:b/>
        </w:rPr>
        <w:t xml:space="preserve">प्रथिना (prathinā)</w:t>
      </w:r>
      <w:r>
        <w:t xml:space="preserve"> </w:t>
      </w:r>
      <w:r>
        <w:t xml:space="preserve">— is exceedingly vast (very great).</w:t>
      </w:r>
    </w:p>
    <w:bookmarkEnd w:id="348"/>
    <w:bookmarkStart w:id="349" w:name="page-321-rik-5-continued"/>
    <w:p>
      <w:pPr>
        <w:pStyle w:val="Heading3"/>
      </w:pPr>
      <w:r>
        <w:t xml:space="preserve">Page 321 — Rik 5 continued</w:t>
      </w:r>
    </w:p>
    <w:p>
      <w:pPr>
        <w:pStyle w:val="FirstParagraph"/>
      </w:pPr>
      <w:r>
        <w:rPr>
          <w:bCs/>
          <w:b/>
        </w:rPr>
        <w:t xml:space="preserve">॥ Bhāvārthaḥ ॥</w:t>
      </w:r>
    </w:p>
    <w:p>
      <w:pPr>
        <w:pStyle w:val="BodyText"/>
      </w:pPr>
      <w:r>
        <w:t xml:space="preserve">Indra is not great in body alone; he is also supreme in quality. Such pre-eminence in qualities is naturally fitting for the vajra-bearing Indra; for Indra’s strength — in the form of an army, or his capacity — is, like the heaven-world, that is, like the vast firmament (the sky), very great.</w:t>
      </w:r>
    </w:p>
    <w:p>
      <w:pPr>
        <w:pStyle w:val="BodyText"/>
      </w:pPr>
      <w:r>
        <w:rPr>
          <w:bCs/>
          <w:b/>
        </w:rPr>
        <w:t xml:space="preserve">॥ English Translation ॥</w:t>
      </w:r>
      <w:r>
        <w:t xml:space="preserve"> </w:t>
      </w:r>
      <w:r>
        <w:rPr>
          <w:iCs/>
          <w:i/>
        </w:rPr>
        <w:t xml:space="preserve">(as printed in the source)</w:t>
      </w:r>
    </w:p>
    <w:p>
      <w:pPr>
        <w:pStyle w:val="BlockText"/>
      </w:pPr>
      <w:r>
        <w:t xml:space="preserve">Great is Indra and Supreme. May greatness be ever for the weilder [sic] of the thunderbolt ; May his strength (of the army) be ever vast as the heavens.</w:t>
      </w:r>
    </w:p>
    <w:p>
      <w:pPr>
        <w:pStyle w:val="FirstParagraph"/>
      </w:pPr>
      <w:r>
        <w:rPr>
          <w:bCs/>
          <w:b/>
        </w:rPr>
        <w:t xml:space="preserve">॥ Viśeṣa-viṣayagaḷu (Special Topics) ॥</w:t>
      </w:r>
    </w:p>
    <w:p>
      <w:pPr>
        <w:pStyle w:val="BodyText"/>
      </w:pPr>
      <w:r>
        <w:rPr>
          <w:bCs/>
          <w:b/>
        </w:rPr>
        <w:t xml:space="preserve">“</w:t>
      </w:r>
      <w:r>
        <w:rPr>
          <w:bCs/>
          <w:b/>
        </w:rPr>
        <w:t xml:space="preserve">Nu</w:t>
      </w:r>
      <w:r>
        <w:rPr>
          <w:bCs/>
          <w:b/>
        </w:rPr>
        <w:t xml:space="preserve">”</w:t>
      </w:r>
      <w:r>
        <w:t xml:space="preserve"> </w:t>
      </w:r>
      <w:r>
        <w:t xml:space="preserve">— although the word</w:t>
      </w:r>
      <w:r>
        <w:t xml:space="preserve"> </w:t>
      </w:r>
      <w:r>
        <w:rPr>
          <w:iCs/>
          <w:i/>
        </w:rPr>
        <w:t xml:space="preserve">nu</w:t>
      </w:r>
      <w:r>
        <w:t xml:space="preserve"> </w:t>
      </w:r>
      <w:r>
        <w:t xml:space="preserve">is read among the words for</w:t>
      </w:r>
      <w:r>
        <w:t xml:space="preserve"> </w:t>
      </w:r>
      <w:r>
        <w:t xml:space="preserve">“</w:t>
      </w:r>
      <w:r>
        <w:t xml:space="preserve">quickly</w:t>
      </w:r>
      <w:r>
        <w:t xml:space="preserve">”</w:t>
      </w:r>
      <w:r>
        <w:t xml:space="preserve"> </w:t>
      </w:r>
      <w:r>
        <w:t xml:space="preserve">(</w:t>
      </w:r>
      <w:r>
        <w:rPr>
          <w:iCs/>
          <w:i/>
        </w:rPr>
        <w:t xml:space="preserve">kṣipra</w:t>
      </w:r>
      <w:r>
        <w:t xml:space="preserve">) such as</w:t>
      </w:r>
      <w:r>
        <w:t xml:space="preserve"> </w:t>
      </w:r>
      <w:r>
        <w:rPr>
          <w:iCs/>
          <w:i/>
        </w:rPr>
        <w:t xml:space="preserve">nu</w:t>
      </w:r>
      <w:r>
        <w:t xml:space="preserve"> </w:t>
      </w:r>
      <w:r>
        <w:t xml:space="preserve">and</w:t>
      </w:r>
      <w:r>
        <w:t xml:space="preserve"> </w:t>
      </w:r>
      <w:r>
        <w:rPr>
          <w:iCs/>
          <w:i/>
        </w:rPr>
        <w:t xml:space="preserve">mukṣu</w:t>
      </w:r>
      <w:r>
        <w:t xml:space="preserve">, that sense does not fit here, and since indeclinables have many senses, the Bhāṣyakāra takes it here in the sense of</w:t>
      </w:r>
      <w:r>
        <w:t xml:space="preserve"> </w:t>
      </w:r>
      <w:r>
        <w:t xml:space="preserve">“</w:t>
      </w:r>
      <w:r>
        <w:t xml:space="preserve">and</w:t>
      </w:r>
      <w:r>
        <w:t xml:space="preserve">”</w:t>
      </w:r>
      <w:r>
        <w:t xml:space="preserve"> </w:t>
      </w:r>
      <w:r>
        <w:t xml:space="preserve">(</w:t>
      </w:r>
      <w:r>
        <w:rPr>
          <w:iCs/>
          <w:i/>
        </w:rPr>
        <w:t xml:space="preserve">samuccaya</w:t>
      </w:r>
      <w:r>
        <w:t xml:space="preserve">:</w:t>
      </w:r>
      <w:r>
        <w:t xml:space="preserve"> </w:t>
      </w:r>
      <w:r>
        <w:rPr>
          <w:iCs/>
          <w:i/>
        </w:rPr>
        <w:t xml:space="preserve">muttu</w:t>
      </w:r>
      <w:r>
        <w:t xml:space="preserve">).</w:t>
      </w:r>
    </w:p>
    <w:p>
      <w:pPr>
        <w:pStyle w:val="BodyText"/>
      </w:pPr>
      <w:r>
        <w:rPr>
          <w:bCs/>
          <w:b/>
        </w:rPr>
        <w:t xml:space="preserve">“</w:t>
      </w:r>
      <w:r>
        <w:rPr>
          <w:bCs/>
          <w:b/>
        </w:rPr>
        <w:t xml:space="preserve">Mahitvam astu vajriṇe</w:t>
      </w:r>
      <w:r>
        <w:rPr>
          <w:bCs/>
          <w:b/>
        </w:rPr>
        <w:t xml:space="preserve">”</w:t>
      </w:r>
      <w:r>
        <w:t xml:space="preserve"> </w:t>
      </w:r>
      <w:r>
        <w:t xml:space="preserve">— although Indra’s qualities are by nature supreme, that the poet says</w:t>
      </w:r>
      <w:r>
        <w:t xml:space="preserve"> </w:t>
      </w:r>
      <w:r>
        <w:t xml:space="preserve">“</w:t>
      </w:r>
      <w:r>
        <w:t xml:space="preserve">let his qualities shine with still greater glory</w:t>
      </w:r>
      <w:r>
        <w:t xml:space="preserve">”</w:t>
      </w:r>
      <w:r>
        <w:t xml:space="preserve"> </w:t>
      </w:r>
      <w:r>
        <w:t xml:space="preserve">is a prayer made out of devotion.</w:t>
      </w:r>
    </w:p>
    <w:p>
      <w:pPr>
        <w:pStyle w:val="BodyText"/>
      </w:pPr>
      <w:r>
        <w:rPr>
          <w:bCs/>
          <w:b/>
        </w:rPr>
        <w:t xml:space="preserve">“</w:t>
      </w:r>
      <w:r>
        <w:rPr>
          <w:bCs/>
          <w:b/>
        </w:rPr>
        <w:t xml:space="preserve">Dyauḥ</w:t>
      </w:r>
      <w:r>
        <w:rPr>
          <w:bCs/>
          <w:b/>
        </w:rPr>
        <w:t xml:space="preserve">”</w:t>
      </w:r>
      <w:r>
        <w:t xml:space="preserve"> </w:t>
      </w:r>
      <w:r>
        <w:t xml:space="preserve">—</w:t>
      </w:r>
      <w:r>
        <w:t xml:space="preserve"> </w:t>
      </w:r>
      <w:r>
        <w:rPr>
          <w:iCs/>
          <w:i/>
        </w:rPr>
        <w:t xml:space="preserve">dyauḥ</w:t>
      </w:r>
      <w:r>
        <w:t xml:space="preserve"> </w:t>
      </w:r>
      <w:r>
        <w:t xml:space="preserve">means heaven, the sphere of the sky (</w:t>
      </w:r>
      <w:r>
        <w:rPr>
          <w:iCs/>
          <w:i/>
        </w:rPr>
        <w:t xml:space="preserve">antarikṣa</w:t>
      </w:r>
      <w:r>
        <w:t xml:space="preserve">). Everyone knows that the sky extends very widely, as far as our eyes see and beyond. That is why the poet, when comparing with something very large, offers the simile of the sky.</w:t>
      </w:r>
    </w:p>
    <w:p>
      <w:pPr>
        <w:pStyle w:val="BodyText"/>
      </w:pPr>
      <w:r>
        <w:rPr>
          <w:bCs/>
          <w:b/>
        </w:rPr>
        <w:t xml:space="preserve">“</w:t>
      </w:r>
      <w:r>
        <w:rPr>
          <w:bCs/>
          <w:b/>
        </w:rPr>
        <w:t xml:space="preserve">Na</w:t>
      </w:r>
      <w:r>
        <w:rPr>
          <w:bCs/>
          <w:b/>
        </w:rPr>
        <w:t xml:space="preserve">”</w:t>
      </w:r>
      <w:r>
        <w:t xml:space="preserve"> </w:t>
      </w:r>
      <w:r>
        <w:t xml:space="preserve">— in modern Sanskrit</w:t>
      </w:r>
      <w:r>
        <w:t xml:space="preserve"> </w:t>
      </w:r>
      <w:r>
        <w:rPr>
          <w:iCs/>
          <w:i/>
        </w:rPr>
        <w:t xml:space="preserve">na</w:t>
      </w:r>
      <w:r>
        <w:t xml:space="preserve"> </w:t>
      </w:r>
      <w:r>
        <w:t xml:space="preserve">is a word of negation (</w:t>
      </w:r>
      <w:r>
        <w:rPr>
          <w:iCs/>
          <w:i/>
        </w:rPr>
        <w:t xml:space="preserve">na</w:t>
      </w:r>
      <w:r>
        <w:t xml:space="preserve"> </w:t>
      </w:r>
      <w:r>
        <w:t xml:space="preserve">=</w:t>
      </w:r>
      <w:r>
        <w:t xml:space="preserve"> </w:t>
      </w:r>
      <w:r>
        <w:t xml:space="preserve">“</w:t>
      </w:r>
      <w:r>
        <w:t xml:space="preserve">not</w:t>
      </w:r>
      <w:r>
        <w:t xml:space="preserve">”</w:t>
      </w:r>
      <w:r>
        <w:t xml:space="preserve">); in the Ṛgveda it is twofold — negative and comparative (</w:t>
      </w:r>
      <w:r>
        <w:rPr>
          <w:iCs/>
          <w:i/>
        </w:rPr>
        <w:t xml:space="preserve">pratiṣedhārtha</w:t>
      </w:r>
      <w:r>
        <w:t xml:space="preserve"> </w:t>
      </w:r>
      <w:r>
        <w:t xml:space="preserve">and</w:t>
      </w:r>
      <w:r>
        <w:t xml:space="preserve"> </w:t>
      </w:r>
      <w:r>
        <w:rPr>
          <w:iCs/>
          <w:i/>
        </w:rPr>
        <w:t xml:space="preserve">upamānārtha</w:t>
      </w:r>
      <w:r>
        <w:t xml:space="preserve">);</w:t>
      </w:r>
      <w:r>
        <w:t xml:space="preserve"> </w:t>
      </w:r>
      <w:r>
        <w:rPr>
          <w:iCs/>
          <w:i/>
        </w:rPr>
        <w:t xml:space="preserve">na</w:t>
      </w:r>
      <w:r>
        <w:t xml:space="preserve"> </w:t>
      </w:r>
      <w:r>
        <w:t xml:space="preserve">means</w:t>
      </w:r>
      <w:r>
        <w:t xml:space="preserve"> </w:t>
      </w:r>
      <w:r>
        <w:t xml:space="preserve">“</w:t>
      </w:r>
      <w:r>
        <w:t xml:space="preserve">like</w:t>
      </w:r>
      <w:r>
        <w:t xml:space="preserve">”</w:t>
      </w:r>
      <w:r>
        <w:t xml:space="preserve"> </w:t>
      </w:r>
      <w:r>
        <w:t xml:space="preserve">(</w:t>
      </w:r>
      <w:r>
        <w:rPr>
          <w:iCs/>
          <w:i/>
        </w:rPr>
        <w:t xml:space="preserve">iva</w:t>
      </w:r>
      <w:r>
        <w:t xml:space="preserve">):</w:t>
      </w:r>
      <w:r>
        <w:t xml:space="preserve"> </w:t>
      </w:r>
      <w:r>
        <w:rPr>
          <w:iCs/>
          <w:i/>
        </w:rPr>
        <w:t xml:space="preserve">dyaur na</w:t>
      </w:r>
      <w:r>
        <w:t xml:space="preserve"> </w:t>
      </w:r>
      <w:r>
        <w:t xml:space="preserve">=</w:t>
      </w:r>
      <w:r>
        <w:t xml:space="preserve"> </w:t>
      </w:r>
      <w:r>
        <w:t xml:space="preserve">“</w:t>
      </w:r>
      <w:r>
        <w:t xml:space="preserve">like the sky.</w:t>
      </w:r>
      <w:r>
        <w:t xml:space="preserve">”</w:t>
      </w:r>
      <w:r>
        <w:t xml:space="preserve"> </w:t>
      </w:r>
      <w:r>
        <w:t xml:space="preserve">Such usages are plentiful in the Ṛgveda. There is a special point in this usage. As the Bhāṣyakāra says,</w:t>
      </w:r>
      <w:r>
        <w:t xml:space="preserve"> </w:t>
      </w:r>
      <w:r>
        <w:rPr>
          <w:bCs/>
          <w:b/>
        </w:rPr>
        <w:t xml:space="preserve">येन पदेनान्वीयते तस्मात्पूर्वं प्रयुज्यमानः प्रतिषेधार्थ उपरिष्टात्प्रयुज्यमान उपमार्थः</w:t>
      </w:r>
      <w:r>
        <w:t xml:space="preserve"> </w:t>
      </w:r>
      <w:r>
        <w:t xml:space="preserve">(</w:t>
      </w:r>
      <w:r>
        <w:rPr>
          <w:iCs/>
          <w:i/>
        </w:rPr>
        <w:t xml:space="preserve">yena padenānvīyate tasmāt pūrvaṃ prayujyamānaḥ pratiṣedhārtha upariṣṭāt prayujyamāna upamārthaḥ</w:t>
      </w:r>
      <w:r>
        <w:t xml:space="preserve">) — if</w:t>
      </w:r>
      <w:r>
        <w:t xml:space="preserve"> </w:t>
      </w:r>
      <w:r>
        <w:rPr>
          <w:iCs/>
          <w:i/>
        </w:rPr>
        <w:t xml:space="preserve">na</w:t>
      </w:r>
      <w:r>
        <w:t xml:space="preserve"> </w:t>
      </w:r>
      <w:r>
        <w:t xml:space="preserve">is used</w:t>
      </w:r>
      <w:r>
        <w:t xml:space="preserve"> </w:t>
      </w:r>
      <w:r>
        <w:rPr>
          <w:iCs/>
          <w:i/>
        </w:rPr>
        <w:t xml:space="preserve">before</w:t>
      </w:r>
      <w:r>
        <w:t xml:space="preserve"> </w:t>
      </w:r>
      <w:r>
        <w:t xml:space="preserve">the word to which it relates, it is negative; if it comes</w:t>
      </w:r>
      <w:r>
        <w:t xml:space="preserve"> </w:t>
      </w:r>
      <w:r>
        <w:rPr>
          <w:iCs/>
          <w:i/>
        </w:rPr>
        <w:t xml:space="preserve">after</w:t>
      </w:r>
      <w:r>
        <w:t xml:space="preserve"> </w:t>
      </w:r>
      <w:r>
        <w:t xml:space="preserve">the related word, it is a comparison. For example:</w:t>
      </w:r>
    </w:p>
    <w:bookmarkEnd w:id="349"/>
    <w:bookmarkStart w:id="350" w:name="Xf109742a8d444ec5d7fe38fd0094304c202f953"/>
    <w:p>
      <w:pPr>
        <w:pStyle w:val="Heading3"/>
      </w:pPr>
      <w:r>
        <w:t xml:space="preserve">Page 322 — Rik 5: Special Topics (continued) and grammar begins</w:t>
      </w:r>
    </w:p>
    <w:p>
      <w:pPr>
        <w:pStyle w:val="BlockText"/>
      </w:pPr>
      <w:r>
        <w:t xml:space="preserve">न यस्य द्यावापृथिवी अनु व्यचो न सिन्धवो रजसो अन्तमानशुः ।</w:t>
      </w:r>
      <w:r>
        <w:t xml:space="preserve"> </w:t>
      </w:r>
      <w:r>
        <w:rPr>
          <w:iCs/>
          <w:i/>
        </w:rPr>
        <w:t xml:space="preserve">na yasya dyāvāpṛthivī anu vyaco na sindhavo rajaso antam ānaśuḥ |</w:t>
      </w:r>
      <w:r>
        <w:t xml:space="preserve"> </w:t>
      </w:r>
      <w:r>
        <w:t xml:space="preserve">(Ṛgveda Saṃhitā 1-52-14)</w:t>
      </w:r>
      <w:r>
        <w:t xml:space="preserve"> </w:t>
      </w:r>
      <w:r>
        <w:rPr>
          <w:iCs/>
          <w:i/>
        </w:rPr>
        <w:t xml:space="preserve">(gloss mine and tentative:</w:t>
      </w:r>
      <w:r>
        <w:rPr>
          <w:iCs/>
          <w:i/>
        </w:rPr>
        <w:t xml:space="preserve"> </w:t>
      </w:r>
      <w:r>
        <w:rPr>
          <w:iCs/>
          <w:i/>
        </w:rPr>
        <w:t xml:space="preserve">“</w:t>
      </w:r>
      <w:r>
        <w:rPr>
          <w:iCs/>
          <w:i/>
        </w:rPr>
        <w:t xml:space="preserve">He whose breadth neither heaven and earth [match], nor the rivers reach the limit of the space.</w:t>
      </w:r>
      <w:r>
        <w:rPr>
          <w:iCs/>
          <w:i/>
        </w:rPr>
        <w:t xml:space="preserve">”</w:t>
      </w:r>
      <w:r>
        <w:rPr>
          <w:iCs/>
          <w:i/>
        </w:rPr>
        <w:t xml:space="preserve">)</w:t>
      </w:r>
    </w:p>
    <w:p>
      <w:pPr>
        <w:pStyle w:val="FirstParagraph"/>
      </w:pPr>
      <w:r>
        <w:t xml:space="preserve">In this rik the word</w:t>
      </w:r>
      <w:r>
        <w:t xml:space="preserve"> </w:t>
      </w:r>
      <w:r>
        <w:rPr>
          <w:iCs/>
          <w:i/>
        </w:rPr>
        <w:t xml:space="preserve">na</w:t>
      </w:r>
      <w:r>
        <w:t xml:space="preserve"> </w:t>
      </w:r>
      <w:r>
        <w:t xml:space="preserve">stands before the related words</w:t>
      </w:r>
      <w:r>
        <w:t xml:space="preserve"> </w:t>
      </w:r>
      <w:r>
        <w:rPr>
          <w:iCs/>
          <w:i/>
        </w:rPr>
        <w:t xml:space="preserve">dyāvāpṛthivī</w:t>
      </w:r>
      <w:r>
        <w:t xml:space="preserve"> </w:t>
      </w:r>
      <w:r>
        <w:t xml:space="preserve">and</w:t>
      </w:r>
      <w:r>
        <w:t xml:space="preserve"> </w:t>
      </w:r>
      <w:r>
        <w:rPr>
          <w:iCs/>
          <w:i/>
        </w:rPr>
        <w:t xml:space="preserve">sindhavaḥ</w:t>
      </w:r>
      <w:r>
        <w:t xml:space="preserve">, so</w:t>
      </w:r>
      <w:r>
        <w:t xml:space="preserve"> </w:t>
      </w:r>
      <w:r>
        <w:rPr>
          <w:iCs/>
          <w:i/>
        </w:rPr>
        <w:t xml:space="preserve">na</w:t>
      </w:r>
      <w:r>
        <w:t xml:space="preserve"> </w:t>
      </w:r>
      <w:r>
        <w:t xml:space="preserve">is negative.</w:t>
      </w:r>
    </w:p>
    <w:p>
      <w:pPr>
        <w:pStyle w:val="BlockText"/>
      </w:pPr>
      <w:r>
        <w:t xml:space="preserve">न स सखा यो न ददाति सख्ये सचाभुवे सचमानाय पित्वः ॥</w:t>
      </w:r>
      <w:r>
        <w:t xml:space="preserve"> </w:t>
      </w:r>
      <w:r>
        <w:rPr>
          <w:iCs/>
          <w:i/>
        </w:rPr>
        <w:t xml:space="preserve">na sa sakhā yo na dadāti sakhye sacābhuve sacamānāya pitvaḥ ||</w:t>
      </w:r>
      <w:r>
        <w:t xml:space="preserve"> </w:t>
      </w:r>
      <w:r>
        <w:t xml:space="preserve">(Ṛgveda Saṃhitā 10-117-4)</w:t>
      </w:r>
      <w:r>
        <w:t xml:space="preserve"> </w:t>
      </w:r>
      <w:r>
        <w:rPr>
          <w:iCs/>
          <w:i/>
        </w:rPr>
        <w:t xml:space="preserve">(gloss mine and tentative:</w:t>
      </w:r>
      <w:r>
        <w:rPr>
          <w:iCs/>
          <w:i/>
        </w:rPr>
        <w:t xml:space="preserve"> </w:t>
      </w:r>
      <w:r>
        <w:rPr>
          <w:iCs/>
          <w:i/>
        </w:rPr>
        <w:t xml:space="preserve">“</w:t>
      </w:r>
      <w:r>
        <w:rPr>
          <w:iCs/>
          <w:i/>
        </w:rPr>
        <w:t xml:space="preserve">He is no friend who gives not to a friend, to a companion who attends, of his food.</w:t>
      </w:r>
      <w:r>
        <w:rPr>
          <w:iCs/>
          <w:i/>
        </w:rPr>
        <w:t xml:space="preserve">”</w:t>
      </w:r>
      <w:r>
        <w:rPr>
          <w:iCs/>
          <w:i/>
        </w:rPr>
        <w:t xml:space="preserve">)</w:t>
      </w:r>
    </w:p>
    <w:p>
      <w:pPr>
        <w:pStyle w:val="FirstParagraph"/>
      </w:pPr>
      <w:r>
        <w:t xml:space="preserve">Here the</w:t>
      </w:r>
      <w:r>
        <w:t xml:space="preserve"> </w:t>
      </w:r>
      <w:r>
        <w:rPr>
          <w:iCs/>
          <w:i/>
        </w:rPr>
        <w:t xml:space="preserve">na</w:t>
      </w:r>
      <w:r>
        <w:t xml:space="preserve"> </w:t>
      </w:r>
      <w:r>
        <w:t xml:space="preserve">stands before the related words</w:t>
      </w:r>
      <w:r>
        <w:t xml:space="preserve"> </w:t>
      </w:r>
      <w:r>
        <w:rPr>
          <w:iCs/>
          <w:i/>
        </w:rPr>
        <w:t xml:space="preserve">sakhā</w:t>
      </w:r>
      <w:r>
        <w:t xml:space="preserve"> </w:t>
      </w:r>
      <w:r>
        <w:t xml:space="preserve">and</w:t>
      </w:r>
      <w:r>
        <w:t xml:space="preserve"> </w:t>
      </w:r>
      <w:r>
        <w:rPr>
          <w:iCs/>
          <w:i/>
        </w:rPr>
        <w:t xml:space="preserve">dadāti</w:t>
      </w:r>
      <w:r>
        <w:t xml:space="preserve">; so</w:t>
      </w:r>
      <w:r>
        <w:t xml:space="preserve"> </w:t>
      </w:r>
      <w:r>
        <w:rPr>
          <w:iCs/>
          <w:i/>
        </w:rPr>
        <w:t xml:space="preserve">na</w:t>
      </w:r>
      <w:r>
        <w:t xml:space="preserve"> </w:t>
      </w:r>
      <w:r>
        <w:t xml:space="preserve">is negative.</w:t>
      </w:r>
    </w:p>
    <w:p>
      <w:pPr>
        <w:pStyle w:val="BlockText"/>
      </w:pPr>
      <w:r>
        <w:t xml:space="preserve">मा वो मृगो न यवसे जरिता भूदजोष्यः ॥</w:t>
      </w:r>
      <w:r>
        <w:t xml:space="preserve"> </w:t>
      </w:r>
      <w:r>
        <w:rPr>
          <w:iCs/>
          <w:i/>
        </w:rPr>
        <w:t xml:space="preserve">mā vo mṛgo na yavase jaritā bhūd ajoṣyaḥ ||</w:t>
      </w:r>
      <w:r>
        <w:t xml:space="preserve"> </w:t>
      </w:r>
      <w:r>
        <w:t xml:space="preserve">(Ṛgveda Saṃhitā 1-38-5)</w:t>
      </w:r>
      <w:r>
        <w:t xml:space="preserve"> </w:t>
      </w:r>
      <w:r>
        <w:rPr>
          <w:iCs/>
          <w:i/>
        </w:rPr>
        <w:t xml:space="preserve">(gloss mine and tentative:</w:t>
      </w:r>
      <w:r>
        <w:rPr>
          <w:iCs/>
          <w:i/>
        </w:rPr>
        <w:t xml:space="preserve"> </w:t>
      </w:r>
      <w:r>
        <w:rPr>
          <w:iCs/>
          <w:i/>
        </w:rPr>
        <w:t xml:space="preserve">“</w:t>
      </w:r>
      <w:r>
        <w:rPr>
          <w:iCs/>
          <w:i/>
        </w:rPr>
        <w:t xml:space="preserve">Let not your singer be unwelcome, like a deer in the pasture.</w:t>
      </w:r>
      <w:r>
        <w:rPr>
          <w:iCs/>
          <w:i/>
        </w:rPr>
        <w:t xml:space="preserve">”</w:t>
      </w:r>
      <w:r>
        <w:rPr>
          <w:iCs/>
          <w:i/>
        </w:rPr>
        <w:t xml:space="preserve">)</w:t>
      </w:r>
    </w:p>
    <w:p>
      <w:pPr>
        <w:pStyle w:val="BlockText"/>
      </w:pPr>
      <w:r>
        <w:t xml:space="preserve">वाश्रेव विद्युन्मिमाति वत्सं न माता सिषक्ति ॥</w:t>
      </w:r>
      <w:r>
        <w:t xml:space="preserve"> </w:t>
      </w:r>
      <w:r>
        <w:rPr>
          <w:iCs/>
          <w:i/>
        </w:rPr>
        <w:t xml:space="preserve">vāśreva vidyun mimāti vatsaṃ na mātā siṣakti ||</w:t>
      </w:r>
      <w:r>
        <w:t xml:space="preserve"> </w:t>
      </w:r>
      <w:r>
        <w:t xml:space="preserve">(Ṛgveda Saṃhitā 1-38-8)</w:t>
      </w:r>
      <w:r>
        <w:t xml:space="preserve"> </w:t>
      </w:r>
      <w:r>
        <w:rPr>
          <w:iCs/>
          <w:i/>
        </w:rPr>
        <w:t xml:space="preserve">(gloss mine and tentative:</w:t>
      </w:r>
      <w:r>
        <w:rPr>
          <w:iCs/>
          <w:i/>
        </w:rPr>
        <w:t xml:space="preserve"> </w:t>
      </w:r>
      <w:r>
        <w:rPr>
          <w:iCs/>
          <w:i/>
        </w:rPr>
        <w:t xml:space="preserve">“</w:t>
      </w:r>
      <w:r>
        <w:rPr>
          <w:iCs/>
          <w:i/>
        </w:rPr>
        <w:t xml:space="preserve">Like a lowing cow, the lightning bellows; as a mother follows her calf.</w:t>
      </w:r>
      <w:r>
        <w:rPr>
          <w:iCs/>
          <w:i/>
        </w:rPr>
        <w:t xml:space="preserve">”</w:t>
      </w:r>
      <w:r>
        <w:rPr>
          <w:iCs/>
          <w:i/>
        </w:rPr>
        <w:t xml:space="preserve">)</w:t>
      </w:r>
    </w:p>
    <w:p>
      <w:pPr>
        <w:pStyle w:val="FirstParagraph"/>
      </w:pPr>
      <w:r>
        <w:t xml:space="preserve">In these riks the</w:t>
      </w:r>
      <w:r>
        <w:t xml:space="preserve"> </w:t>
      </w:r>
      <w:r>
        <w:rPr>
          <w:iCs/>
          <w:i/>
        </w:rPr>
        <w:t xml:space="preserve">na</w:t>
      </w:r>
      <w:r>
        <w:t xml:space="preserve"> </w:t>
      </w:r>
      <w:r>
        <w:t xml:space="preserve">comes after the related words</w:t>
      </w:r>
      <w:r>
        <w:t xml:space="preserve"> </w:t>
      </w:r>
      <w:r>
        <w:rPr>
          <w:iCs/>
          <w:i/>
        </w:rPr>
        <w:t xml:space="preserve">mṛgaḥ</w:t>
      </w:r>
      <w:r>
        <w:t xml:space="preserve"> </w:t>
      </w:r>
      <w:r>
        <w:t xml:space="preserve">and</w:t>
      </w:r>
      <w:r>
        <w:t xml:space="preserve"> </w:t>
      </w:r>
      <w:r>
        <w:rPr>
          <w:iCs/>
          <w:i/>
        </w:rPr>
        <w:t xml:space="preserve">vatsam</w:t>
      </w:r>
      <w:r>
        <w:t xml:space="preserve">, so it has the comparative sense here.</w:t>
      </w:r>
    </w:p>
    <w:p>
      <w:pPr>
        <w:pStyle w:val="BodyText"/>
      </w:pPr>
      <w:r>
        <w:rPr>
          <w:bCs/>
          <w:b/>
        </w:rPr>
        <w:t xml:space="preserve">“</w:t>
      </w:r>
      <w:r>
        <w:rPr>
          <w:bCs/>
          <w:b/>
        </w:rPr>
        <w:t xml:space="preserve">Śavaḥ</w:t>
      </w:r>
      <w:r>
        <w:rPr>
          <w:bCs/>
          <w:b/>
        </w:rPr>
        <w:t xml:space="preserve">”</w:t>
      </w:r>
      <w:r>
        <w:t xml:space="preserve"> </w:t>
      </w:r>
      <w:r>
        <w:t xml:space="preserve">— although this word is read among the words for water (</w:t>
      </w:r>
      <w:r>
        <w:rPr>
          <w:iCs/>
          <w:i/>
        </w:rPr>
        <w:t xml:space="preserve">udaka</w:t>
      </w:r>
      <w:r>
        <w:t xml:space="preserve">) such as</w:t>
      </w:r>
      <w:r>
        <w:t xml:space="preserve"> </w:t>
      </w:r>
      <w:r>
        <w:rPr>
          <w:iCs/>
          <w:i/>
        </w:rPr>
        <w:t xml:space="preserve">āṇaḥ</w:t>
      </w:r>
      <w:r>
        <w:t xml:space="preserve">,</w:t>
      </w:r>
      <w:r>
        <w:t xml:space="preserve"> </w:t>
      </w:r>
      <w:r>
        <w:rPr>
          <w:iCs/>
          <w:i/>
        </w:rPr>
        <w:t xml:space="preserve">kṣodaḥ</w:t>
      </w:r>
      <w:r>
        <w:t xml:space="preserve"> </w:t>
      </w:r>
      <w:r>
        <w:t xml:space="preserve">(Ni.</w:t>
      </w:r>
      <w:r>
        <w:t xml:space="preserve"> </w:t>
      </w:r>
      <w:r>
        <w:t xml:space="preserve">“</w:t>
      </w:r>
      <w:r>
        <w:t xml:space="preserve">2-24</w:t>
      </w:r>
      <w:r>
        <w:t xml:space="preserve">”</w:t>
      </w:r>
      <w:r>
        <w:t xml:space="preserve"> </w:t>
      </w:r>
      <w:r>
        <w:t xml:space="preserve">as read [?]), it is read among the twenty-eight words for</w:t>
      </w:r>
      <w:r>
        <w:t xml:space="preserve"> </w:t>
      </w:r>
      <w:r>
        <w:t xml:space="preserve">“</w:t>
      </w:r>
      <w:r>
        <w:t xml:space="preserve">strength,</w:t>
      </w:r>
      <w:r>
        <w:t xml:space="preserve">”</w:t>
      </w:r>
      <w:r>
        <w:t xml:space="preserve"> </w:t>
      </w:r>
      <w:r>
        <w:rPr>
          <w:iCs/>
          <w:i/>
        </w:rPr>
        <w:t xml:space="preserve">ojaḥ</w:t>
      </w:r>
      <w:r>
        <w:t xml:space="preserve">,</w:t>
      </w:r>
      <w:r>
        <w:t xml:space="preserve"> </w:t>
      </w:r>
      <w:r>
        <w:rPr>
          <w:iCs/>
          <w:i/>
        </w:rPr>
        <w:t xml:space="preserve">pājaḥ</w:t>
      </w:r>
      <w:r>
        <w:t xml:space="preserve"> </w:t>
      </w:r>
      <w:r>
        <w:t xml:space="preserve">and so on (Ni.</w:t>
      </w:r>
      <w:r>
        <w:t xml:space="preserve"> </w:t>
      </w:r>
      <w:r>
        <w:t xml:space="preserve">“</w:t>
      </w:r>
      <w:r>
        <w:t xml:space="preserve">3-9</w:t>
      </w:r>
      <w:r>
        <w:t xml:space="preserve">”</w:t>
      </w:r>
      <w:r>
        <w:t xml:space="preserve"> </w:t>
      </w:r>
      <w:r>
        <w:t xml:space="preserve">as read [?]); hence in this rik this sense must be taken.</w:t>
      </w:r>
    </w:p>
    <w:p>
      <w:pPr>
        <w:pStyle w:val="BodyText"/>
      </w:pPr>
      <w:r>
        <w:rPr>
          <w:bCs/>
          <w:b/>
        </w:rPr>
        <w:t xml:space="preserve">॥ Vyākaraṇa-prakriyā ॥</w:t>
      </w:r>
      <w:r>
        <w:t xml:space="preserve"> </w:t>
      </w:r>
      <w:r>
        <w:rPr>
          <w:iCs/>
          <w:i/>
        </w:rPr>
        <w:t xml:space="preserve">(grammar pages 322–323, noted briefly)</w:t>
      </w:r>
    </w:p>
    <w:p>
      <w:pPr>
        <w:pStyle w:val="BodyText"/>
      </w:pPr>
      <w:r>
        <w:rPr>
          <w:bCs/>
          <w:b/>
        </w:rPr>
        <w:t xml:space="preserve">महान् (</w:t>
      </w:r>
      <w:r>
        <w:rPr>
          <w:iCs/>
          <w:i/>
          <w:bCs/>
          <w:b/>
        </w:rPr>
        <w:t xml:space="preserve">mahān</w:t>
      </w:r>
      <w:r>
        <w:rPr>
          <w:bCs/>
          <w:b/>
        </w:rPr>
        <w:t xml:space="preserve">)</w:t>
      </w:r>
      <w:r>
        <w:t xml:space="preserve"> </w:t>
      </w:r>
      <w:r>
        <w:t xml:space="preserve">— in the saṃhitā,</w:t>
      </w:r>
      <w:r>
        <w:t xml:space="preserve"> </w:t>
      </w:r>
      <w:r>
        <w:rPr>
          <w:bCs/>
          <w:b/>
        </w:rPr>
        <w:t xml:space="preserve">दीर्घादटि समानपादे</w:t>
      </w:r>
      <w:r>
        <w:t xml:space="preserve"> </w:t>
      </w:r>
      <w:r>
        <w:t xml:space="preserve">(पा. सू. ८-३-९): a final</w:t>
      </w:r>
      <w:r>
        <w:t xml:space="preserve"> </w:t>
      </w:r>
      <w:r>
        <w:t xml:space="preserve">“</w:t>
      </w:r>
      <w:r>
        <w:t xml:space="preserve">n</w:t>
      </w:r>
      <w:r>
        <w:t xml:space="preserve">”</w:t>
      </w:r>
      <w:r>
        <w:t xml:space="preserve"> </w:t>
      </w:r>
      <w:r>
        <w:t xml:space="preserve">after a long vowel, before an</w:t>
      </w:r>
      <w:r>
        <w:t xml:space="preserve"> </w:t>
      </w:r>
      <w:r>
        <w:t xml:space="preserve">“</w:t>
      </w:r>
      <w:r>
        <w:t xml:space="preserve">aṭ</w:t>
      </w:r>
      <w:r>
        <w:t xml:space="preserve">”</w:t>
      </w:r>
      <w:r>
        <w:t xml:space="preserve"> </w:t>
      </w:r>
      <w:r>
        <w:t xml:space="preserve">letter in the same pāda, becomes</w:t>
      </w:r>
      <w:r>
        <w:t xml:space="preserve"> </w:t>
      </w:r>
      <w:r>
        <w:t xml:space="preserve">“</w:t>
      </w:r>
      <w:r>
        <w:t xml:space="preserve">ru</w:t>
      </w:r>
      <w:r>
        <w:t xml:space="preserve">”</w:t>
      </w:r>
      <w:r>
        <w:t xml:space="preserve">:</w:t>
      </w:r>
      <w:r>
        <w:t xml:space="preserve"> </w:t>
      </w:r>
      <w:r>
        <w:t xml:space="preserve">“</w:t>
      </w:r>
      <w:r>
        <w:t xml:space="preserve">mahā + ru + indra</w:t>
      </w:r>
      <w:r>
        <w:t xml:space="preserve">”</w:t>
      </w:r>
      <w:r>
        <w:t xml:space="preserve">;</w:t>
      </w:r>
      <w:r>
        <w:t xml:space="preserve"> </w:t>
      </w:r>
      <w:r>
        <w:rPr>
          <w:bCs/>
          <w:b/>
        </w:rPr>
        <w:t xml:space="preserve">आतोऽटि नित्यम्</w:t>
      </w:r>
      <w:r>
        <w:t xml:space="preserve"> </w:t>
      </w:r>
      <w:r>
        <w:t xml:space="preserve">(पा. सू. ८-३-३) — the</w:t>
      </w:r>
      <w:r>
        <w:t xml:space="preserve"> </w:t>
      </w:r>
      <w:r>
        <w:t xml:space="preserve">“</w:t>
      </w:r>
      <w:r>
        <w:t xml:space="preserve">ā</w:t>
      </w:r>
      <w:r>
        <w:t xml:space="preserve">”</w:t>
      </w:r>
      <w:r>
        <w:t xml:space="preserve"> </w:t>
      </w:r>
      <w:r>
        <w:t xml:space="preserve">before</w:t>
      </w:r>
      <w:r>
        <w:t xml:space="preserve"> </w:t>
      </w:r>
      <w:r>
        <w:t xml:space="preserve">“</w:t>
      </w:r>
      <w:r>
        <w:t xml:space="preserve">ru</w:t>
      </w:r>
      <w:r>
        <w:t xml:space="preserve">”</w:t>
      </w:r>
      <w:r>
        <w:t xml:space="preserve"> </w:t>
      </w:r>
      <w:r>
        <w:t xml:space="preserve">before an</w:t>
      </w:r>
      <w:r>
        <w:t xml:space="preserve"> </w:t>
      </w:r>
      <w:r>
        <w:t xml:space="preserve">“</w:t>
      </w:r>
      <w:r>
        <w:t xml:space="preserve">aṭ</w:t>
      </w:r>
      <w:r>
        <w:t xml:space="preserve">”</w:t>
      </w:r>
      <w:r>
        <w:t xml:space="preserve"> </w:t>
      </w:r>
      <w:r>
        <w:t xml:space="preserve">is always nasalized:</w:t>
      </w:r>
      <w:r>
        <w:t xml:space="preserve"> </w:t>
      </w:r>
      <w:r>
        <w:t xml:space="preserve">“</w:t>
      </w:r>
      <w:r>
        <w:t xml:space="preserve">mahā̐</w:t>
      </w:r>
      <w:r>
        <w:t xml:space="preserve">”</w:t>
      </w:r>
      <w:r>
        <w:t xml:space="preserve">;</w:t>
      </w:r>
      <w:r>
        <w:t xml:space="preserve"> </w:t>
      </w:r>
      <w:r>
        <w:rPr>
          <w:bCs/>
          <w:b/>
        </w:rPr>
        <w:t xml:space="preserve">भोभगोअघोअपूर्वस्य योऽशि</w:t>
      </w:r>
      <w:r>
        <w:t xml:space="preserve"> </w:t>
      </w:r>
      <w:r>
        <w:t xml:space="preserve">(पा. सू. ८-३-१७)</w:t>
      </w:r>
      <w:r>
        <w:t xml:space="preserve"> </w:t>
      </w:r>
      <w:r>
        <w:t xml:space="preserve">“</w:t>
      </w:r>
      <w:r>
        <w:t xml:space="preserve">y</w:t>
      </w:r>
      <w:r>
        <w:t xml:space="preserve">”</w:t>
      </w:r>
      <w:r>
        <w:t xml:space="preserve"> </w:t>
      </w:r>
      <w:r>
        <w:t xml:space="preserve">for the</w:t>
      </w:r>
      <w:r>
        <w:t xml:space="preserve"> </w:t>
      </w:r>
      <w:r>
        <w:t xml:space="preserve">“</w:t>
      </w:r>
      <w:r>
        <w:t xml:space="preserve">ru</w:t>
      </w:r>
      <w:r>
        <w:t xml:space="preserve">”</w:t>
      </w:r>
      <w:r>
        <w:t xml:space="preserve"> </w:t>
      </w:r>
      <w:r>
        <w:t xml:space="preserve">after</w:t>
      </w:r>
      <w:r>
        <w:t xml:space="preserve"> </w:t>
      </w:r>
      <w:r>
        <w:t xml:space="preserve">“</w:t>
      </w:r>
      <w:r>
        <w:t xml:space="preserve">bho, bhago, agho</w:t>
      </w:r>
      <w:r>
        <w:t xml:space="preserve">”</w:t>
      </w:r>
      <w:r>
        <w:t xml:space="preserve"> </w:t>
      </w:r>
      <w:r>
        <w:t xml:space="preserve">and</w:t>
      </w:r>
      <w:r>
        <w:t xml:space="preserve"> </w:t>
      </w:r>
      <w:r>
        <w:t xml:space="preserve">“</w:t>
      </w:r>
      <w:r>
        <w:t xml:space="preserve">a/ā</w:t>
      </w:r>
      <w:r>
        <w:t xml:space="preserve">”</w:t>
      </w:r>
      <w:r>
        <w:t xml:space="preserve"> </w:t>
      </w:r>
      <w:r>
        <w:t xml:space="preserve">before an</w:t>
      </w:r>
      <w:r>
        <w:t xml:space="preserve"> </w:t>
      </w:r>
      <w:r>
        <w:t xml:space="preserve">“</w:t>
      </w:r>
      <w:r>
        <w:t xml:space="preserve">aś</w:t>
      </w:r>
      <w:r>
        <w:t xml:space="preserve">”</w:t>
      </w:r>
      <w:r>
        <w:t xml:space="preserve"> </w:t>
      </w:r>
      <w:r>
        <w:t xml:space="preserve">letter:</w:t>
      </w:r>
      <w:r>
        <w:t xml:space="preserve"> </w:t>
      </w:r>
      <w:r>
        <w:t xml:space="preserve">“</w:t>
      </w:r>
      <w:r>
        <w:t xml:space="preserve">mahāy indraḥ</w:t>
      </w:r>
      <w:r>
        <w:t xml:space="preserve">”</w:t>
      </w:r>
      <w:r>
        <w:t xml:space="preserve">;</w:t>
      </w:r>
      <w:r>
        <w:t xml:space="preserve"> </w:t>
      </w:r>
      <w:r>
        <w:rPr>
          <w:bCs/>
          <w:b/>
        </w:rPr>
        <w:t xml:space="preserve">लोपः शाकल्यस्य</w:t>
      </w:r>
      <w:r>
        <w:t xml:space="preserve"> </w:t>
      </w:r>
      <w:r>
        <w:t xml:space="preserve">(पा. सू. ८-३-१९) — the final</w:t>
      </w:r>
      <w:r>
        <w:t xml:space="preserve"> </w:t>
      </w:r>
      <w:r>
        <w:t xml:space="preserve">“</w:t>
      </w:r>
      <w:r>
        <w:t xml:space="preserve">y, v</w:t>
      </w:r>
      <w:r>
        <w:t xml:space="preserve">”</w:t>
      </w:r>
      <w:r>
        <w:t xml:space="preserve"> </w:t>
      </w:r>
      <w:r>
        <w:t xml:space="preserve">of a word after</w:t>
      </w:r>
      <w:r>
        <w:t xml:space="preserve"> </w:t>
      </w:r>
      <w:r>
        <w:t xml:space="preserve">“</w:t>
      </w:r>
      <w:r>
        <w:t xml:space="preserve">a/ā</w:t>
      </w:r>
      <w:r>
        <w:t xml:space="preserve">”</w:t>
      </w:r>
      <w:r>
        <w:t xml:space="preserve"> </w:t>
      </w:r>
      <w:r>
        <w:t xml:space="preserve">is optionally lost before an</w:t>
      </w:r>
      <w:r>
        <w:t xml:space="preserve"> </w:t>
      </w:r>
      <w:r>
        <w:t xml:space="preserve">“</w:t>
      </w:r>
      <w:r>
        <w:t xml:space="preserve">aś</w:t>
      </w:r>
      <w:r>
        <w:t xml:space="preserve">”</w:t>
      </w:r>
      <w:r>
        <w:t xml:space="preserve"> </w:t>
      </w:r>
      <w:r>
        <w:t xml:space="preserve">…</w:t>
      </w:r>
      <w:r>
        <w:t xml:space="preserve"> </w:t>
      </w:r>
      <w:r>
        <w:rPr>
          <w:iCs/>
          <w:i/>
        </w:rPr>
        <w:t xml:space="preserve">(continues on p. 323)</w:t>
      </w:r>
      <w:r>
        <w:t xml:space="preserve"> </w:t>
      </w:r>
      <w:r>
        <w:t xml:space="preserve">### Page 323 — Rik 5 grammar closes</w:t>
      </w:r>
    </w:p>
    <w:p>
      <w:pPr>
        <w:pStyle w:val="BodyText"/>
      </w:pPr>
      <w:r>
        <w:rPr>
          <w:bCs/>
          <w:b/>
        </w:rPr>
        <w:t xml:space="preserve">॥ Vyākaraṇa-prakriyā ॥</w:t>
      </w:r>
      <w:r>
        <w:t xml:space="preserve"> </w:t>
      </w:r>
      <w:r>
        <w:rPr>
          <w:iCs/>
          <w:i/>
        </w:rPr>
        <w:t xml:space="preserve">(pp. 323–324, Kannada; page header p. 323</w:t>
      </w:r>
      <w:r>
        <w:rPr>
          <w:iCs/>
          <w:i/>
        </w:rPr>
        <w:t xml:space="preserve"> </w:t>
      </w:r>
      <w:r>
        <w:rPr>
          <w:iCs/>
          <w:i/>
        </w:rPr>
        <w:t xml:space="preserve">“</w:t>
      </w:r>
      <w:r>
        <w:rPr>
          <w:iCs/>
          <w:i/>
        </w:rPr>
        <w:t xml:space="preserve">A. 1, A. 1, Va. 15</w:t>
      </w:r>
      <w:r>
        <w:rPr>
          <w:iCs/>
          <w:i/>
        </w:rPr>
        <w:t xml:space="preserve">”</w:t>
      </w:r>
      <w:r>
        <w:rPr>
          <w:iCs/>
          <w:i/>
        </w:rPr>
        <w:t xml:space="preserve">; characterized, numbers as printed)</w:t>
      </w:r>
    </w:p>
    <w:p>
      <w:pPr>
        <w:pStyle w:val="BodyText"/>
      </w:pPr>
      <w:r>
        <w:t xml:space="preserve">(Continuing</w:t>
      </w:r>
      <w:r>
        <w:t xml:space="preserve"> </w:t>
      </w:r>
      <w:r>
        <w:t xml:space="preserve">“</w:t>
      </w:r>
      <w:r>
        <w:t xml:space="preserve">mahān</w:t>
      </w:r>
      <w:r>
        <w:t xml:space="preserve">”</w:t>
      </w:r>
      <w:r>
        <w:t xml:space="preserve">:) the</w:t>
      </w:r>
      <w:r>
        <w:t xml:space="preserve"> </w:t>
      </w:r>
      <w:r>
        <w:t xml:space="preserve">“</w:t>
      </w:r>
      <w:r>
        <w:t xml:space="preserve">y</w:t>
      </w:r>
      <w:r>
        <w:t xml:space="preserve">”</w:t>
      </w:r>
      <w:r>
        <w:t xml:space="preserve"> </w:t>
      </w:r>
      <w:r>
        <w:t xml:space="preserve">lost:</w:t>
      </w:r>
      <w:r>
        <w:t xml:space="preserve"> </w:t>
      </w:r>
      <w:r>
        <w:t xml:space="preserve">“</w:t>
      </w:r>
      <w:r>
        <w:t xml:space="preserve">mahā̐ indraḥ.</w:t>
      </w:r>
      <w:r>
        <w:t xml:space="preserve">”</w:t>
      </w:r>
      <w:r>
        <w:t xml:space="preserve"> </w:t>
      </w:r>
      <w:r>
        <w:t xml:space="preserve">Now</w:t>
      </w:r>
      <w:r>
        <w:t xml:space="preserve"> </w:t>
      </w:r>
      <w:r>
        <w:rPr>
          <w:bCs/>
          <w:b/>
        </w:rPr>
        <w:t xml:space="preserve">आद्गुणः</w:t>
      </w:r>
      <w:r>
        <w:t xml:space="preserve"> </w:t>
      </w:r>
      <w:r>
        <w:t xml:space="preserve">(पा. सू. ६-१-८७) would give guṇa of</w:t>
      </w:r>
      <w:r>
        <w:t xml:space="preserve"> </w:t>
      </w:r>
      <w:r>
        <w:t xml:space="preserve">“</w:t>
      </w:r>
      <w:r>
        <w:t xml:space="preserve">a</w:t>
      </w:r>
      <w:r>
        <w:t xml:space="preserve">”</w:t>
      </w:r>
      <w:r>
        <w:t xml:space="preserve"> </w:t>
      </w:r>
      <w:r>
        <w:t xml:space="preserve">with a following</w:t>
      </w:r>
      <w:r>
        <w:t xml:space="preserve"> </w:t>
      </w:r>
      <w:r>
        <w:t xml:space="preserve">“</w:t>
      </w:r>
      <w:r>
        <w:t xml:space="preserve">i, u, ṛ, ḷ</w:t>
      </w:r>
      <w:r>
        <w:t xml:space="preserve">”</w:t>
      </w:r>
      <w:r>
        <w:t xml:space="preserve">; but by</w:t>
      </w:r>
      <w:r>
        <w:t xml:space="preserve"> </w:t>
      </w:r>
      <w:r>
        <w:rPr>
          <w:bCs/>
          <w:b/>
        </w:rPr>
        <w:t xml:space="preserve">पूर्वत्रासिद्धम्</w:t>
      </w:r>
      <w:r>
        <w:t xml:space="preserve"> </w:t>
      </w:r>
      <w:r>
        <w:t xml:space="preserve">(पा. सू. ८-२-१) what is taught in the last three pādas (the</w:t>
      </w:r>
      <w:r>
        <w:t xml:space="preserve"> </w:t>
      </w:r>
      <w:r>
        <w:t xml:space="preserve">“</w:t>
      </w:r>
      <w:r>
        <w:t xml:space="preserve">tripādī,</w:t>
      </w:r>
      <w:r>
        <w:t xml:space="preserve">”</w:t>
      </w:r>
      <w:r>
        <w:t xml:space="preserve"> </w:t>
      </w:r>
      <w:r>
        <w:t xml:space="preserve">from 8-2-1) is asiddha for the operations of the first seven and a quarter chapters, so for</w:t>
      </w:r>
      <w:r>
        <w:t xml:space="preserve"> </w:t>
      </w:r>
      <w:r>
        <w:t xml:space="preserve">“</w:t>
      </w:r>
      <w:r>
        <w:t xml:space="preserve">ād guṇaḥ</w:t>
      </w:r>
      <w:r>
        <w:t xml:space="preserve">”</w:t>
      </w:r>
      <w:r>
        <w:t xml:space="preserve"> </w:t>
      </w:r>
      <w:r>
        <w:t xml:space="preserve">(6-1-87) the loss of</w:t>
      </w:r>
      <w:r>
        <w:t xml:space="preserve"> </w:t>
      </w:r>
      <w:r>
        <w:t xml:space="preserve">“</w:t>
      </w:r>
      <w:r>
        <w:t xml:space="preserve">y</w:t>
      </w:r>
      <w:r>
        <w:t xml:space="preserve">”</w:t>
      </w:r>
      <w:r>
        <w:t xml:space="preserve"> </w:t>
      </w:r>
      <w:r>
        <w:t xml:space="preserve">by</w:t>
      </w:r>
      <w:r>
        <w:t xml:space="preserve"> </w:t>
      </w:r>
      <w:r>
        <w:rPr>
          <w:bCs/>
          <w:b/>
        </w:rPr>
        <w:t xml:space="preserve">लोपः शाकल्यस्य</w:t>
      </w:r>
      <w:r>
        <w:t xml:space="preserve"> </w:t>
      </w:r>
      <w:r>
        <w:t xml:space="preserve">(पा. सू. ८-३-१९) is not effected, the</w:t>
      </w:r>
      <w:r>
        <w:t xml:space="preserve"> </w:t>
      </w:r>
      <w:r>
        <w:t xml:space="preserve">“</w:t>
      </w:r>
      <w:r>
        <w:t xml:space="preserve">y</w:t>
      </w:r>
      <w:r>
        <w:t xml:space="preserve">”</w:t>
      </w:r>
      <w:r>
        <w:t xml:space="preserve"> </w:t>
      </w:r>
      <w:r>
        <w:t xml:space="preserve">intervenes, and no guṇa sandhi takes place.</w:t>
      </w:r>
      <w:r>
        <w:t xml:space="preserve"> </w:t>
      </w:r>
      <w:r>
        <w:rPr>
          <w:bCs/>
          <w:b/>
        </w:rPr>
        <w:t xml:space="preserve">महित्वम्</w:t>
      </w:r>
      <w:r>
        <w:t xml:space="preserve"> </w:t>
      </w:r>
      <w:r>
        <w:t xml:space="preserve">—</w:t>
      </w:r>
      <w:r>
        <w:t xml:space="preserve"> </w:t>
      </w:r>
      <w:r>
        <w:t xml:space="preserve">“</w:t>
      </w:r>
      <w:r>
        <w:t xml:space="preserve">maha pūjāyām</w:t>
      </w:r>
      <w:r>
        <w:t xml:space="preserve">”</w:t>
      </w:r>
      <w:r>
        <w:t xml:space="preserve"> </w:t>
      </w:r>
      <w:r>
        <w:t xml:space="preserve">with</w:t>
      </w:r>
      <w:r>
        <w:t xml:space="preserve"> </w:t>
      </w:r>
      <w:r>
        <w:rPr>
          <w:bCs/>
          <w:b/>
        </w:rPr>
        <w:t xml:space="preserve">इन्</w:t>
      </w:r>
      <w:r>
        <w:t xml:space="preserve"> </w:t>
      </w:r>
      <w:r>
        <w:t xml:space="preserve">(उ. सू. ४-५५८ [?], as printed; the Bhāṣya gave</w:t>
      </w:r>
      <w:r>
        <w:t xml:space="preserve"> </w:t>
      </w:r>
      <w:r>
        <w:t xml:space="preserve">“</w:t>
      </w:r>
      <w:r>
        <w:t xml:space="preserve">उ. ४-११८</w:t>
      </w:r>
      <w:r>
        <w:t xml:space="preserve">”</w:t>
      </w:r>
      <w:r>
        <w:t xml:space="preserve">)</w:t>
      </w:r>
      <w:r>
        <w:t xml:space="preserve"> </w:t>
      </w:r>
      <w:r>
        <w:t xml:space="preserve">“</w:t>
      </w:r>
      <w:r>
        <w:t xml:space="preserve">in</w:t>
      </w:r>
      <w:r>
        <w:t xml:space="preserve">”</w:t>
      </w:r>
      <w:r>
        <w:t xml:space="preserve">;</w:t>
      </w:r>
      <w:r>
        <w:t xml:space="preserve"> </w:t>
      </w:r>
      <w:r>
        <w:rPr>
          <w:bCs/>
          <w:b/>
        </w:rPr>
        <w:t xml:space="preserve">तस्य भावस्त्वतलौ</w:t>
      </w:r>
      <w:r>
        <w:t xml:space="preserve"> </w:t>
      </w:r>
      <w:r>
        <w:t xml:space="preserve">(पा. सू. ५-१-११९)</w:t>
      </w:r>
      <w:r>
        <w:t xml:space="preserve"> </w:t>
      </w:r>
      <w:r>
        <w:t xml:space="preserve">“</w:t>
      </w:r>
      <w:r>
        <w:t xml:space="preserve">tva</w:t>
      </w:r>
      <w:r>
        <w:t xml:space="preserve">”</w:t>
      </w:r>
      <w:r>
        <w:t xml:space="preserve">:</w:t>
      </w:r>
      <w:r>
        <w:t xml:space="preserve"> </w:t>
      </w:r>
      <w:r>
        <w:t xml:space="preserve">“</w:t>
      </w:r>
      <w:r>
        <w:t xml:space="preserve">mahitvam</w:t>
      </w:r>
      <w:r>
        <w:t xml:space="preserve">”</w:t>
      </w:r>
      <w:r>
        <w:t xml:space="preserve">;</w:t>
      </w:r>
      <w:r>
        <w:t xml:space="preserve"> </w:t>
      </w:r>
      <w:r>
        <w:t xml:space="preserve">“</w:t>
      </w:r>
      <w:r>
        <w:t xml:space="preserve">tva</w:t>
      </w:r>
      <w:r>
        <w:t xml:space="preserve">”</w:t>
      </w:r>
      <w:r>
        <w:t xml:space="preserve"> </w:t>
      </w:r>
      <w:r>
        <w:t xml:space="preserve">end-acute by the affix accent, which remains.</w:t>
      </w:r>
      <w:r>
        <w:t xml:space="preserve"> </w:t>
      </w:r>
      <w:r>
        <w:rPr>
          <w:bCs/>
          <w:b/>
        </w:rPr>
        <w:t xml:space="preserve">वज्रिणे</w:t>
      </w:r>
      <w:r>
        <w:t xml:space="preserve"> </w:t>
      </w:r>
      <w:r>
        <w:t xml:space="preserve">—</w:t>
      </w:r>
      <w:r>
        <w:t xml:space="preserve"> </w:t>
      </w:r>
      <w:r>
        <w:t xml:space="preserve">“</w:t>
      </w:r>
      <w:r>
        <w:t xml:space="preserve">vajram asyāsti iti vajrī, tasmai</w:t>
      </w:r>
      <w:r>
        <w:t xml:space="preserve">”</w:t>
      </w:r>
      <w:r>
        <w:t xml:space="preserve">:</w:t>
      </w:r>
      <w:r>
        <w:t xml:space="preserve"> </w:t>
      </w:r>
      <w:r>
        <w:rPr>
          <w:bCs/>
          <w:b/>
        </w:rPr>
        <w:t xml:space="preserve">अत इनिठनौ</w:t>
      </w:r>
      <w:r>
        <w:t xml:space="preserve"> </w:t>
      </w:r>
      <w:r>
        <w:t xml:space="preserve">(पा. सू. ५-२-११५)</w:t>
      </w:r>
      <w:r>
        <w:t xml:space="preserve"> </w:t>
      </w:r>
      <w:r>
        <w:t xml:space="preserve">“</w:t>
      </w:r>
      <w:r>
        <w:t xml:space="preserve">ini</w:t>
      </w:r>
      <w:r>
        <w:t xml:space="preserve">”</w:t>
      </w:r>
      <w:r>
        <w:t xml:space="preserve">; the</w:t>
      </w:r>
      <w:r>
        <w:t xml:space="preserve"> </w:t>
      </w:r>
      <w:r>
        <w:t xml:space="preserve">“</w:t>
      </w:r>
      <w:r>
        <w:t xml:space="preserve">i</w:t>
      </w:r>
      <w:r>
        <w:t xml:space="preserve">”</w:t>
      </w:r>
      <w:r>
        <w:t xml:space="preserve"> </w:t>
      </w:r>
      <w:r>
        <w:t xml:space="preserve">acute by the affix accent.</w:t>
      </w:r>
      <w:r>
        <w:t xml:space="preserve"> </w:t>
      </w:r>
      <w:r>
        <w:rPr>
          <w:bCs/>
          <w:b/>
        </w:rPr>
        <w:t xml:space="preserve">द्यौः</w:t>
      </w:r>
      <w:r>
        <w:t xml:space="preserve"> </w:t>
      </w:r>
      <w:r>
        <w:t xml:space="preserve">—</w:t>
      </w:r>
      <w:r>
        <w:t xml:space="preserve"> </w:t>
      </w:r>
      <w:r>
        <w:t xml:space="preserve">“</w:t>
      </w:r>
      <w:r>
        <w:t xml:space="preserve">dyo,</w:t>
      </w:r>
      <w:r>
        <w:t xml:space="preserve">”</w:t>
      </w:r>
      <w:r>
        <w:t xml:space="preserve"> </w:t>
      </w:r>
      <w:r>
        <w:t xml:space="preserve">end-acute by</w:t>
      </w:r>
      <w:r>
        <w:t xml:space="preserve"> </w:t>
      </w:r>
      <w:r>
        <w:rPr>
          <w:bCs/>
          <w:b/>
        </w:rPr>
        <w:t xml:space="preserve">फिषः</w:t>
      </w:r>
      <w:r>
        <w:t xml:space="preserve"> </w:t>
      </w:r>
      <w:r>
        <w:t xml:space="preserve">(फि. सू. १); nominative</w:t>
      </w:r>
      <w:r>
        <w:t xml:space="preserve"> </w:t>
      </w:r>
      <w:r>
        <w:t xml:space="preserve">“</w:t>
      </w:r>
      <w:r>
        <w:t xml:space="preserve">su</w:t>
      </w:r>
      <w:r>
        <w:t xml:space="preserve">”</w:t>
      </w:r>
      <w:r>
        <w:t xml:space="preserve">;</w:t>
      </w:r>
      <w:r>
        <w:t xml:space="preserve"> </w:t>
      </w:r>
      <w:r>
        <w:rPr>
          <w:bCs/>
          <w:b/>
        </w:rPr>
        <w:t xml:space="preserve">गोतो णित्</w:t>
      </w:r>
      <w:r>
        <w:t xml:space="preserve"> </w:t>
      </w:r>
      <w:r>
        <w:t xml:space="preserve">(पा. सू. ७-१-९०) — a sarvanāmasthāna after</w:t>
      </w:r>
      <w:r>
        <w:t xml:space="preserve"> </w:t>
      </w:r>
      <w:r>
        <w:t xml:space="preserve">“</w:t>
      </w:r>
      <w:r>
        <w:t xml:space="preserve">go</w:t>
      </w:r>
      <w:r>
        <w:t xml:space="preserve">”</w:t>
      </w:r>
      <w:r>
        <w:t xml:space="preserve"> </w:t>
      </w:r>
      <w:r>
        <w:t xml:space="preserve">is</w:t>
      </w:r>
      <w:r>
        <w:t xml:space="preserve"> </w:t>
      </w:r>
      <w:r>
        <w:t xml:space="preserve">“</w:t>
      </w:r>
      <w:r>
        <w:t xml:space="preserve">ṇit</w:t>
      </w:r>
      <w:r>
        <w:t xml:space="preserve">”</w:t>
      </w:r>
      <w:r>
        <w:t xml:space="preserve">; by the vārttika</w:t>
      </w:r>
      <w:r>
        <w:t xml:space="preserve"> </w:t>
      </w:r>
      <w:r>
        <w:rPr>
          <w:bCs/>
          <w:b/>
        </w:rPr>
        <w:t xml:space="preserve">ओतो णिदिति वाच्यम्</w:t>
      </w:r>
      <w:r>
        <w:t xml:space="preserve">, read</w:t>
      </w:r>
      <w:r>
        <w:t xml:space="preserve"> </w:t>
      </w:r>
      <w:r>
        <w:t xml:space="preserve">“</w:t>
      </w:r>
      <w:r>
        <w:t xml:space="preserve">otaḥ</w:t>
      </w:r>
      <w:r>
        <w:t xml:space="preserve">”</w:t>
      </w:r>
      <w:r>
        <w:t xml:space="preserve"> </w:t>
      </w:r>
      <w:r>
        <w:t xml:space="preserve">for</w:t>
      </w:r>
      <w:r>
        <w:t xml:space="preserve"> </w:t>
      </w:r>
      <w:r>
        <w:t xml:space="preserve">“</w:t>
      </w:r>
      <w:r>
        <w:t xml:space="preserve">gotaḥ,</w:t>
      </w:r>
      <w:r>
        <w:t xml:space="preserve">”</w:t>
      </w:r>
      <w:r>
        <w:t xml:space="preserve"> </w:t>
      </w:r>
      <w:r>
        <w:t xml:space="preserve">it applies to any</w:t>
      </w:r>
      <w:r>
        <w:t xml:space="preserve"> </w:t>
      </w:r>
      <w:r>
        <w:t xml:space="preserve">“</w:t>
      </w:r>
      <w:r>
        <w:t xml:space="preserve">o</w:t>
      </w:r>
      <w:r>
        <w:t xml:space="preserve">”</w:t>
      </w:r>
      <w:r>
        <w:t xml:space="preserve">-ending stem, so after</w:t>
      </w:r>
      <w:r>
        <w:t xml:space="preserve"> </w:t>
      </w:r>
      <w:r>
        <w:t xml:space="preserve">“</w:t>
      </w:r>
      <w:r>
        <w:t xml:space="preserve">dyo</w:t>
      </w:r>
      <w:r>
        <w:t xml:space="preserve">”</w:t>
      </w:r>
      <w:r>
        <w:t xml:space="preserve"> </w:t>
      </w:r>
      <w:r>
        <w:t xml:space="preserve">too</w:t>
      </w:r>
      <w:r>
        <w:t xml:space="preserve"> </w:t>
      </w:r>
      <w:r>
        <w:t xml:space="preserve">“</w:t>
      </w:r>
      <w:r>
        <w:t xml:space="preserve">su</w:t>
      </w:r>
      <w:r>
        <w:t xml:space="preserve">”</w:t>
      </w:r>
      <w:r>
        <w:t xml:space="preserve"> </w:t>
      </w:r>
      <w:r>
        <w:t xml:space="preserve">is</w:t>
      </w:r>
      <w:r>
        <w:t xml:space="preserve"> </w:t>
      </w:r>
      <w:r>
        <w:t xml:space="preserve">“</w:t>
      </w:r>
      <w:r>
        <w:t xml:space="preserve">ṇit</w:t>
      </w:r>
      <w:r>
        <w:t xml:space="preserve">”</w:t>
      </w:r>
      <w:r>
        <w:t xml:space="preserve">;</w:t>
      </w:r>
      <w:r>
        <w:t xml:space="preserve"> </w:t>
      </w:r>
      <w:r>
        <w:rPr>
          <w:bCs/>
          <w:b/>
        </w:rPr>
        <w:t xml:space="preserve">अचो ञ्णिति</w:t>
      </w:r>
      <w:r>
        <w:t xml:space="preserve"> </w:t>
      </w:r>
      <w:r>
        <w:t xml:space="preserve">(पा. सू. ७-२-११५) vṛddhi; by</w:t>
      </w:r>
      <w:r>
        <w:t xml:space="preserve"> </w:t>
      </w:r>
      <w:r>
        <w:rPr>
          <w:bCs/>
          <w:b/>
        </w:rPr>
        <w:t xml:space="preserve">स्थानेऽन्तरतमः</w:t>
      </w:r>
      <w:r>
        <w:t xml:space="preserve"> </w:t>
      </w:r>
      <w:r>
        <w:t xml:space="preserve">(पा. सू. १-१-५०), the nearest substitute in quality — the acute</w:t>
      </w:r>
      <w:r>
        <w:t xml:space="preserve"> </w:t>
      </w:r>
      <w:r>
        <w:t xml:space="preserve">“</w:t>
      </w:r>
      <w:r>
        <w:t xml:space="preserve">o</w:t>
      </w:r>
      <w:r>
        <w:t xml:space="preserve">”</w:t>
      </w:r>
      <w:r>
        <w:t xml:space="preserve"> </w:t>
      </w:r>
      <w:r>
        <w:t xml:space="preserve">becomes the acute</w:t>
      </w:r>
      <w:r>
        <w:t xml:space="preserve"> </w:t>
      </w:r>
      <w:r>
        <w:t xml:space="preserve">“</w:t>
      </w:r>
      <w:r>
        <w:t xml:space="preserve">au</w:t>
      </w:r>
      <w:r>
        <w:t xml:space="preserve">”</w:t>
      </w:r>
      <w:r>
        <w:t xml:space="preserve">:</w:t>
      </w:r>
      <w:r>
        <w:t xml:space="preserve"> </w:t>
      </w:r>
      <w:r>
        <w:t xml:space="preserve">“</w:t>
      </w:r>
      <w:r>
        <w:t xml:space="preserve">dyauḥ.</w:t>
      </w:r>
      <w:r>
        <w:t xml:space="preserve">”</w:t>
      </w:r>
      <w:r>
        <w:t xml:space="preserve"> </w:t>
      </w:r>
      <w:r>
        <w:rPr>
          <w:bCs/>
          <w:b/>
        </w:rPr>
        <w:t xml:space="preserve">प्रथिना</w:t>
      </w:r>
      <w:r>
        <w:t xml:space="preserve"> </w:t>
      </w:r>
      <w:r>
        <w:t xml:space="preserve">—</w:t>
      </w:r>
      <w:r>
        <w:t xml:space="preserve"> </w:t>
      </w:r>
      <w:r>
        <w:t xml:space="preserve">“</w:t>
      </w:r>
      <w:r>
        <w:t xml:space="preserve">prathimnā</w:t>
      </w:r>
      <w:r>
        <w:t xml:space="preserve">”</w:t>
      </w:r>
      <w:r>
        <w:t xml:space="preserve">: in the sense</w:t>
      </w:r>
      <w:r>
        <w:t xml:space="preserve"> </w:t>
      </w:r>
      <w:r>
        <w:t xml:space="preserve">“</w:t>
      </w:r>
      <w:r>
        <w:t xml:space="preserve">pṛthor bhāvaḥ,</w:t>
      </w:r>
      <w:r>
        <w:t xml:space="preserve">”</w:t>
      </w:r>
      <w:r>
        <w:t xml:space="preserve"> </w:t>
      </w:r>
      <w:r>
        <w:rPr>
          <w:bCs/>
          <w:b/>
        </w:rPr>
        <w:t xml:space="preserve">पृथ्वादिभ्य इमनिज्वा</w:t>
      </w:r>
      <w:r>
        <w:t xml:space="preserve"> </w:t>
      </w:r>
      <w:r>
        <w:t xml:space="preserve">(पा. सू. ५-१-१२२)</w:t>
      </w:r>
      <w:r>
        <w:t xml:space="preserve"> </w:t>
      </w:r>
      <w:r>
        <w:t xml:space="preserve">“</w:t>
      </w:r>
      <w:r>
        <w:t xml:space="preserve">imanic</w:t>
      </w:r>
      <w:r>
        <w:t xml:space="preserve">”</w:t>
      </w:r>
      <w:r>
        <w:t xml:space="preserve"> </w:t>
      </w:r>
      <w:r>
        <w:t xml:space="preserve">after a genitive of a word of the</w:t>
      </w:r>
      <w:r>
        <w:t xml:space="preserve"> </w:t>
      </w:r>
      <w:r>
        <w:t xml:space="preserve">“</w:t>
      </w:r>
      <w:r>
        <w:t xml:space="preserve">pṛthu</w:t>
      </w:r>
      <w:r>
        <w:t xml:space="preserve">”</w:t>
      </w:r>
      <w:r>
        <w:t xml:space="preserve"> </w:t>
      </w:r>
      <w:r>
        <w:t xml:space="preserve">class;</w:t>
      </w:r>
      <w:r>
        <w:t xml:space="preserve"> </w:t>
      </w:r>
      <w:r>
        <w:rPr>
          <w:bCs/>
          <w:b/>
        </w:rPr>
        <w:t xml:space="preserve">र ऋतो हलादेर्लघोः</w:t>
      </w:r>
      <w:r>
        <w:t xml:space="preserve"> </w:t>
      </w:r>
      <w:r>
        <w:t xml:space="preserve">(पा. सू. ६-४-१६१)</w:t>
      </w:r>
      <w:r>
        <w:t xml:space="preserve"> </w:t>
      </w:r>
      <w:r>
        <w:t xml:space="preserve">“</w:t>
      </w:r>
      <w:r>
        <w:t xml:space="preserve">ra</w:t>
      </w:r>
      <w:r>
        <w:t xml:space="preserve">”</w:t>
      </w:r>
      <w:r>
        <w:t xml:space="preserve"> </w:t>
      </w:r>
      <w:r>
        <w:t xml:space="preserve">for a light</w:t>
      </w:r>
      <w:r>
        <w:t xml:space="preserve"> </w:t>
      </w:r>
      <w:r>
        <w:t xml:space="preserve">“</w:t>
      </w:r>
      <w:r>
        <w:t xml:space="preserve">ṛ</w:t>
      </w:r>
      <w:r>
        <w:t xml:space="preserve">”</w:t>
      </w:r>
      <w:r>
        <w:t xml:space="preserve"> </w:t>
      </w:r>
      <w:r>
        <w:t xml:space="preserve">after a consonant before</w:t>
      </w:r>
      <w:r>
        <w:t xml:space="preserve"> </w:t>
      </w:r>
      <w:r>
        <w:t xml:space="preserve">“</w:t>
      </w:r>
      <w:r>
        <w:t xml:space="preserve">iṣṭhan, imanic, īyasun</w:t>
      </w:r>
      <w:r>
        <w:t xml:space="preserve">”</w:t>
      </w:r>
      <w:r>
        <w:t xml:space="preserve">:</w:t>
      </w:r>
      <w:r>
        <w:t xml:space="preserve"> </w:t>
      </w:r>
      <w:r>
        <w:t xml:space="preserve">“</w:t>
      </w:r>
      <w:r>
        <w:t xml:space="preserve">prathu + iman</w:t>
      </w:r>
      <w:r>
        <w:t xml:space="preserve">”</w:t>
      </w:r>
      <w:r>
        <w:t xml:space="preserve">;</w:t>
      </w:r>
      <w:r>
        <w:t xml:space="preserve"> </w:t>
      </w:r>
      <w:r>
        <w:rPr>
          <w:bCs/>
          <w:b/>
        </w:rPr>
        <w:t xml:space="preserve">टेः</w:t>
      </w:r>
      <w:r>
        <w:t xml:space="preserve"> </w:t>
      </w:r>
      <w:r>
        <w:t xml:space="preserve">(पा. सू. ६-४-१५५) (p. 324) the</w:t>
      </w:r>
      <w:r>
        <w:t xml:space="preserve"> </w:t>
      </w:r>
      <w:r>
        <w:t xml:space="preserve">“</w:t>
      </w:r>
      <w:r>
        <w:t xml:space="preserve">ṭi</w:t>
      </w:r>
      <w:r>
        <w:t xml:space="preserve">”</w:t>
      </w:r>
      <w:r>
        <w:t xml:space="preserve"> </w:t>
      </w:r>
      <w:r>
        <w:t xml:space="preserve">of a</w:t>
      </w:r>
      <w:r>
        <w:t xml:space="preserve"> </w:t>
      </w:r>
      <w:r>
        <w:t xml:space="preserve">“</w:t>
      </w:r>
      <w:r>
        <w:t xml:space="preserve">bha</w:t>
      </w:r>
      <w:r>
        <w:t xml:space="preserve">”</w:t>
      </w:r>
      <w:r>
        <w:t xml:space="preserve"> </w:t>
      </w:r>
      <w:r>
        <w:t xml:space="preserve">stem lost:</w:t>
      </w:r>
      <w:r>
        <w:t xml:space="preserve"> </w:t>
      </w:r>
      <w:r>
        <w:t xml:space="preserve">“</w:t>
      </w:r>
      <w:r>
        <w:t xml:space="preserve">prathiman</w:t>
      </w:r>
      <w:r>
        <w:t xml:space="preserve">”</w:t>
      </w:r>
      <w:r>
        <w:t xml:space="preserve">; instrumental</w:t>
      </w:r>
      <w:r>
        <w:t xml:space="preserve"> </w:t>
      </w:r>
      <w:r>
        <w:t xml:space="preserve">“</w:t>
      </w:r>
      <w:r>
        <w:t xml:space="preserve">ṭā</w:t>
      </w:r>
      <w:r>
        <w:t xml:space="preserve">”</w:t>
      </w:r>
      <w:r>
        <w:t xml:space="preserve">; by</w:t>
      </w:r>
      <w:r>
        <w:t xml:space="preserve"> </w:t>
      </w:r>
      <w:r>
        <w:rPr>
          <w:bCs/>
          <w:b/>
        </w:rPr>
        <w:t xml:space="preserve">यचि भम्</w:t>
      </w:r>
      <w:r>
        <w:t xml:space="preserve"> </w:t>
      </w:r>
      <w:r>
        <w:t xml:space="preserve">(पा. सू. १-४-१८)</w:t>
      </w:r>
      <w:r>
        <w:t xml:space="preserve"> </w:t>
      </w:r>
      <w:r>
        <w:t xml:space="preserve">“</w:t>
      </w:r>
      <w:r>
        <w:t xml:space="preserve">bha,</w:t>
      </w:r>
      <w:r>
        <w:t xml:space="preserve">”</w:t>
      </w:r>
      <w:r>
        <w:t xml:space="preserve"> </w:t>
      </w:r>
      <w:r>
        <w:t xml:space="preserve">so</w:t>
      </w:r>
      <w:r>
        <w:t xml:space="preserve"> </w:t>
      </w:r>
      <w:r>
        <w:rPr>
          <w:bCs/>
          <w:b/>
        </w:rPr>
        <w:t xml:space="preserve">अल्लोपोऽनः</w:t>
      </w:r>
      <w:r>
        <w:t xml:space="preserve"> </w:t>
      </w:r>
      <w:r>
        <w:t xml:space="preserve">(पा. सू. ६-४-१३४) loss of the</w:t>
      </w:r>
      <w:r>
        <w:t xml:space="preserve"> </w:t>
      </w:r>
      <w:r>
        <w:t xml:space="preserve">“</w:t>
      </w:r>
      <w:r>
        <w:t xml:space="preserve">a</w:t>
      </w:r>
      <w:r>
        <w:t xml:space="preserve">”</w:t>
      </w:r>
      <w:r>
        <w:t xml:space="preserve"> </w:t>
      </w:r>
      <w:r>
        <w:t xml:space="preserve">of</w:t>
      </w:r>
      <w:r>
        <w:t xml:space="preserve"> </w:t>
      </w:r>
      <w:r>
        <w:t xml:space="preserve">“</w:t>
      </w:r>
      <w:r>
        <w:t xml:space="preserve">an</w:t>
      </w:r>
      <w:r>
        <w:t xml:space="preserve">”</w:t>
      </w:r>
      <w:r>
        <w:t xml:space="preserve">; the loss of</w:t>
      </w:r>
      <w:r>
        <w:t xml:space="preserve"> </w:t>
      </w:r>
      <w:r>
        <w:t xml:space="preserve">“</w:t>
      </w:r>
      <w:r>
        <w:t xml:space="preserve">m</w:t>
      </w:r>
      <w:r>
        <w:t xml:space="preserve">”</w:t>
      </w:r>
      <w:r>
        <w:t xml:space="preserve"> </w:t>
      </w:r>
      <w:r>
        <w:t xml:space="preserve">Vedic:</w:t>
      </w:r>
      <w:r>
        <w:t xml:space="preserve"> </w:t>
      </w:r>
      <w:r>
        <w:t xml:space="preserve">“</w:t>
      </w:r>
      <w:r>
        <w:t xml:space="preserve">prathinā.</w:t>
      </w:r>
      <w:r>
        <w:t xml:space="preserve">”</w:t>
      </w:r>
      <w:r>
        <w:t xml:space="preserve"> </w:t>
      </w:r>
      <w:r>
        <w:t xml:space="preserve">“</w:t>
      </w:r>
      <w:r>
        <w:t xml:space="preserve">Imanic,</w:t>
      </w:r>
      <w:r>
        <w:t xml:space="preserve">”</w:t>
      </w:r>
      <w:r>
        <w:t xml:space="preserve"> </w:t>
      </w:r>
      <w:r>
        <w:t xml:space="preserve">“</w:t>
      </w:r>
      <w:r>
        <w:t xml:space="preserve">c</w:t>
      </w:r>
      <w:r>
        <w:t xml:space="preserve">”</w:t>
      </w:r>
      <w:r>
        <w:t xml:space="preserve">-marked, so</w:t>
      </w:r>
      <w:r>
        <w:t xml:space="preserve"> </w:t>
      </w:r>
      <w:r>
        <w:t xml:space="preserve">“</w:t>
      </w:r>
      <w:r>
        <w:t xml:space="preserve">prathiman</w:t>
      </w:r>
      <w:r>
        <w:t xml:space="preserve">”</w:t>
      </w:r>
      <w:r>
        <w:t xml:space="preserve"> </w:t>
      </w:r>
      <w:r>
        <w:t xml:space="preserve">is end-acute by</w:t>
      </w:r>
      <w:r>
        <w:t xml:space="preserve"> </w:t>
      </w:r>
      <w:r>
        <w:rPr>
          <w:bCs/>
          <w:b/>
        </w:rPr>
        <w:t xml:space="preserve">चितः</w:t>
      </w:r>
      <w:r>
        <w:t xml:space="preserve"> </w:t>
      </w:r>
      <w:r>
        <w:t xml:space="preserve">(पा. सू. ६-१-१६३); before the unaccented</w:t>
      </w:r>
      <w:r>
        <w:t xml:space="preserve"> </w:t>
      </w:r>
      <w:r>
        <w:t xml:space="preserve">“</w:t>
      </w:r>
      <w:r>
        <w:t xml:space="preserve">ā</w:t>
      </w:r>
      <w:r>
        <w:t xml:space="preserve">”</w:t>
      </w:r>
      <w:r>
        <w:t xml:space="preserve"> </w:t>
      </w:r>
      <w:r>
        <w:t xml:space="preserve">of</w:t>
      </w:r>
      <w:r>
        <w:t xml:space="preserve"> </w:t>
      </w:r>
      <w:r>
        <w:t xml:space="preserve">“</w:t>
      </w:r>
      <w:r>
        <w:t xml:space="preserve">ṭā</w:t>
      </w:r>
      <w:r>
        <w:t xml:space="preserve">”</w:t>
      </w:r>
      <w:r>
        <w:t xml:space="preserve"> </w:t>
      </w:r>
      <w:r>
        <w:t xml:space="preserve">the acute</w:t>
      </w:r>
      <w:r>
        <w:t xml:space="preserve"> </w:t>
      </w:r>
      <w:r>
        <w:t xml:space="preserve">“</w:t>
      </w:r>
      <w:r>
        <w:t xml:space="preserve">a</w:t>
      </w:r>
      <w:r>
        <w:t xml:space="preserve">”</w:t>
      </w:r>
      <w:r>
        <w:t xml:space="preserve"> </w:t>
      </w:r>
      <w:r>
        <w:t xml:space="preserve">is lost, so by</w:t>
      </w:r>
      <w:r>
        <w:t xml:space="preserve"> </w:t>
      </w:r>
      <w:r>
        <w:rPr>
          <w:bCs/>
          <w:b/>
        </w:rPr>
        <w:t xml:space="preserve">अनुदात्तस्य च यत्रोदात्तलोपः</w:t>
      </w:r>
      <w:r>
        <w:t xml:space="preserve"> </w:t>
      </w:r>
      <w:r>
        <w:t xml:space="preserve">(पा. सू. ६-१-१६१) the</w:t>
      </w:r>
      <w:r>
        <w:t xml:space="preserve"> </w:t>
      </w:r>
      <w:r>
        <w:t xml:space="preserve">“</w:t>
      </w:r>
      <w:r>
        <w:t xml:space="preserve">ā</w:t>
      </w:r>
      <w:r>
        <w:t xml:space="preserve">”</w:t>
      </w:r>
      <w:r>
        <w:t xml:space="preserve"> </w:t>
      </w:r>
      <w:r>
        <w:t xml:space="preserve">becomes acute.</w:t>
      </w:r>
      <w:r>
        <w:t xml:space="preserve"> </w:t>
      </w:r>
      <w:r>
        <w:rPr>
          <w:bCs/>
          <w:b/>
        </w:rPr>
        <w:t xml:space="preserve">शवः</w:t>
      </w:r>
      <w:r>
        <w:t xml:space="preserve"> </w:t>
      </w:r>
      <w:r>
        <w:t xml:space="preserve">—</w:t>
      </w:r>
      <w:r>
        <w:t xml:space="preserve"> </w:t>
      </w:r>
      <w:r>
        <w:rPr>
          <w:bCs/>
          <w:b/>
        </w:rPr>
        <w:t xml:space="preserve">नब्विषयस्यानिसन्तस्य</w:t>
      </w:r>
      <w:r>
        <w:t xml:space="preserve"> </w:t>
      </w:r>
      <w:r>
        <w:t xml:space="preserve">(फि. सू. २६): a word always neuter, not ending in</w:t>
      </w:r>
      <w:r>
        <w:t xml:space="preserve"> </w:t>
      </w:r>
      <w:r>
        <w:t xml:space="preserve">“</w:t>
      </w:r>
      <w:r>
        <w:t xml:space="preserve">is</w:t>
      </w:r>
      <w:r>
        <w:t xml:space="preserve">”</w:t>
      </w:r>
      <w:r>
        <w:t xml:space="preserve"> </w:t>
      </w:r>
      <w:r>
        <w:t xml:space="preserve">or</w:t>
      </w:r>
      <w:r>
        <w:t xml:space="preserve"> </w:t>
      </w:r>
      <w:r>
        <w:t xml:space="preserve">“</w:t>
      </w:r>
      <w:r>
        <w:t xml:space="preserve">as</w:t>
      </w:r>
      <w:r>
        <w:t xml:space="preserve">”</w:t>
      </w:r>
      <w:r>
        <w:t xml:space="preserve">… (so printed), first-syllable acute. ॥५॥</w:t>
      </w:r>
    </w:p>
    <w:p>
      <w:r>
        <w:pict>
          <v:rect style="width:0;height:1.5pt" o:hralign="center" o:hrstd="t" o:hr="t"/>
        </w:pict>
      </w:r>
    </w:p>
    <w:bookmarkEnd w:id="350"/>
    <w:bookmarkStart w:id="351" w:name="page-324-sūkta-8-rik-6"/>
    <w:p>
      <w:pPr>
        <w:pStyle w:val="Heading3"/>
      </w:pPr>
      <w:r>
        <w:t xml:space="preserve">Page 324 — Sūkta 8, Rik 6</w:t>
      </w:r>
    </w:p>
    <w:p>
      <w:pPr>
        <w:pStyle w:val="FirstParagraph"/>
      </w:pPr>
      <w:r>
        <w:rPr>
          <w:iCs/>
          <w:i/>
        </w:rPr>
        <w:t xml:space="preserve">(Saṃhitā accents as printed; Pada unaccented. The bar under</w:t>
      </w:r>
      <w:r>
        <w:rPr>
          <w:iCs/>
          <w:i/>
        </w:rPr>
        <w:t xml:space="preserve"> </w:t>
      </w:r>
      <w:r>
        <w:rPr>
          <w:iCs/>
          <w:i/>
        </w:rPr>
        <w:t xml:space="preserve">“</w:t>
      </w:r>
      <w:r>
        <w:rPr>
          <w:iCs/>
          <w:i/>
        </w:rPr>
        <w:t xml:space="preserve">sya</w:t>
      </w:r>
      <w:r>
        <w:rPr>
          <w:iCs/>
          <w:i/>
        </w:rPr>
        <w:t xml:space="preserve">”</w:t>
      </w:r>
      <w:r>
        <w:rPr>
          <w:iCs/>
          <w:i/>
        </w:rPr>
        <w:t xml:space="preserve"> </w:t>
      </w:r>
      <w:r>
        <w:rPr>
          <w:iCs/>
          <w:i/>
        </w:rPr>
        <w:t xml:space="preserve">of</w:t>
      </w:r>
      <w:r>
        <w:rPr>
          <w:iCs/>
          <w:i/>
        </w:rPr>
        <w:t xml:space="preserve"> </w:t>
      </w:r>
      <w:r>
        <w:rPr>
          <w:iCs/>
          <w:i/>
        </w:rPr>
        <w:t xml:space="preserve">“</w:t>
      </w:r>
      <w:r>
        <w:rPr>
          <w:iCs/>
          <w:i/>
        </w:rPr>
        <w:t xml:space="preserve">tokasya</w:t>
      </w:r>
      <w:r>
        <w:rPr>
          <w:iCs/>
          <w:i/>
        </w:rPr>
        <w:t xml:space="preserve">”</w:t>
      </w:r>
      <w:r>
        <w:rPr>
          <w:iCs/>
          <w:i/>
        </w:rPr>
        <w:t xml:space="preserve"> </w:t>
      </w:r>
      <w:r>
        <w:rPr>
          <w:iCs/>
          <w:i/>
        </w:rPr>
        <w:t xml:space="preserve">is faint, hence [accent ?].)</w:t>
      </w:r>
    </w:p>
    <w:p>
      <w:pPr>
        <w:pStyle w:val="BodyText"/>
      </w:pPr>
      <w:r>
        <w:rPr>
          <w:bCs/>
          <w:b/>
        </w:rPr>
        <w:t xml:space="preserve">॥ Saṃhitā-pāṭhaḥ ॥</w:t>
      </w:r>
    </w:p>
    <w:p>
      <w:pPr>
        <w:pStyle w:val="BlockText"/>
      </w:pPr>
      <w:r>
        <w:t xml:space="preserve">स॒मो॒हे वा॒ य आश॑त॒ नर॑स्तो॒कस्य॒ सनि॑तौ । [accent ?]</w:t>
      </w:r>
      <w:r>
        <w:t xml:space="preserve"> </w:t>
      </w:r>
      <w:r>
        <w:t xml:space="preserve">विप्रा॑सो वा धिया॒यवः॑ ॥६॥</w:t>
      </w:r>
    </w:p>
    <w:p>
      <w:pPr>
        <w:pStyle w:val="BlockText"/>
      </w:pPr>
      <w:r>
        <w:rPr>
          <w:iCs/>
          <w:i/>
        </w:rPr>
        <w:t xml:space="preserve">samohé vā yá ā́śata náras tokásya sánitau |</w:t>
      </w:r>
      <w:r>
        <w:t xml:space="preserve"> </w:t>
      </w:r>
      <w:r>
        <w:t xml:space="preserve">[accent ?]</w:t>
      </w:r>
      <w:r>
        <w:t xml:space="preserve"> </w:t>
      </w:r>
      <w:r>
        <w:rPr>
          <w:iCs/>
          <w:i/>
        </w:rPr>
        <w:t xml:space="preserve">víprāso vā dhiyāyávaḥ ||6||</w:t>
      </w:r>
    </w:p>
    <w:p>
      <w:pPr>
        <w:pStyle w:val="FirstParagraph"/>
      </w:pPr>
      <w:r>
        <w:rPr>
          <w:bCs/>
          <w:b/>
        </w:rPr>
        <w:t xml:space="preserve">॥ Pada-pāṭhaḥ ॥</w:t>
      </w:r>
    </w:p>
    <w:p>
      <w:pPr>
        <w:pStyle w:val="BlockText"/>
      </w:pPr>
      <w:r>
        <w:t xml:space="preserve">सम्ऽओहे । वा । ये । आशत । नरः । तोकस्य । सनितौ ॥</w:t>
      </w:r>
      <w:r>
        <w:t xml:space="preserve"> </w:t>
      </w:r>
      <w:r>
        <w:t xml:space="preserve">विप्रासः । वा । धियाऽयवः ॥६॥</w:t>
      </w:r>
    </w:p>
    <w:p>
      <w:pPr>
        <w:pStyle w:val="BlockText"/>
      </w:pPr>
      <w:r>
        <w:rPr>
          <w:iCs/>
          <w:i/>
        </w:rPr>
        <w:t xml:space="preserve">sam-ohe | vā | ye | āśata | naraḥ | tokasya | sanitau ||</w:t>
      </w:r>
      <w:r>
        <w:t xml:space="preserve"> </w:t>
      </w:r>
      <w:r>
        <w:rPr>
          <w:iCs/>
          <w:i/>
        </w:rPr>
        <w:t xml:space="preserve">viprāsaḥ | vā | dhiyā-yavaḥ ||6||</w:t>
      </w:r>
    </w:p>
    <w:p>
      <w:pPr>
        <w:pStyle w:val="FirstParagraph"/>
      </w:pPr>
      <w:r>
        <w:rPr>
          <w:bCs/>
          <w:b/>
        </w:rPr>
        <w:t xml:space="preserve">॥ Sāyaṇa-bhāṣyam ॥</w:t>
      </w:r>
    </w:p>
    <w:p>
      <w:pPr>
        <w:pStyle w:val="BlockText"/>
      </w:pPr>
      <w:r>
        <w:t xml:space="preserve">ये नरः पुरुषाः समोहे संग्रामे तोकस्यापत्यस्य सनितौ वा लाभे वाशत । व्याप्तवन्तः । इन्द्रं स्तुत्वेति शेषः । वा अथवा विप्रासो मेधाविनो धियायवः प्रज्ञाकामाः सन्त आशत ते सर्वे लभन्त इत्यध्याहारः । रण इत्यादिषु षट्चत्वारिंशत्संग्रामनामसु समोहे समिथ इति पठितम् । पञ्चदशस्वपत्यनामसु तुक् तोकमिति पठितम् ॥</w:t>
      </w:r>
    </w:p>
    <w:p>
      <w:pPr>
        <w:pStyle w:val="BlockText"/>
      </w:pPr>
      <w:r>
        <w:rPr>
          <w:iCs/>
          <w:i/>
        </w:rPr>
        <w:t xml:space="preserve">ye naraḥ puruṣāḥ samohe saṃgrāme tokasyāpatyasya sanitau vā lābhe vāśata | vyāptavantaḥ | indraṃ stutveti śeṣaḥ | vā athavā viprāso medhāvino dhiyāyavaḥ prajñā-kāmāḥ santa āśata te sarve labhanta ity adhyāhāraḥ | raṇa ity-ādiṣu ṣaṭcatvāriṃśat-saṃgrāma-nāmasu samohe samitha iti paṭhitam | pañcadaśasv apatya-nāmasu tuk tokam iti paṭhitam ||</w:t>
      </w:r>
    </w:p>
    <w:p>
      <w:pPr>
        <w:pStyle w:val="FirstParagraph"/>
      </w:pPr>
      <w:r>
        <w:rPr>
          <w:bCs/>
          <w:b/>
        </w:rPr>
        <w:t xml:space="preserve">Translation:</w:t>
      </w:r>
      <w:r>
        <w:t xml:space="preserve"> </w:t>
      </w:r>
      <w:r>
        <w:t xml:space="preserve">“</w:t>
      </w:r>
      <w:r>
        <w:t xml:space="preserve">Those</w:t>
      </w:r>
      <w:r>
        <w:t xml:space="preserve"> </w:t>
      </w:r>
      <w:r>
        <w:rPr>
          <w:iCs/>
          <w:i/>
        </w:rPr>
        <w:t xml:space="preserve">narāḥ</w:t>
      </w:r>
      <w:r>
        <w:t xml:space="preserve">, men, who in the</w:t>
      </w:r>
      <w:r>
        <w:t xml:space="preserve"> </w:t>
      </w:r>
      <w:r>
        <w:rPr>
          <w:iCs/>
          <w:i/>
        </w:rPr>
        <w:t xml:space="preserve">samoha</w:t>
      </w:r>
      <w:r>
        <w:t xml:space="preserve"> </w:t>
      </w:r>
      <w:r>
        <w:t xml:space="preserve">— the battle — or in the winning (</w:t>
      </w:r>
      <w:r>
        <w:rPr>
          <w:iCs/>
          <w:i/>
        </w:rPr>
        <w:t xml:space="preserve">sanitau</w:t>
      </w:r>
      <w:r>
        <w:t xml:space="preserve">) of offspring (</w:t>
      </w:r>
      <w:r>
        <w:rPr>
          <w:iCs/>
          <w:i/>
        </w:rPr>
        <w:t xml:space="preserve">tokasya</w:t>
      </w:r>
      <w:r>
        <w:t xml:space="preserve">), have</w:t>
      </w:r>
      <w:r>
        <w:t xml:space="preserve"> </w:t>
      </w:r>
      <w:r>
        <w:rPr>
          <w:iCs/>
          <w:i/>
        </w:rPr>
        <w:t xml:space="preserve">āśata</w:t>
      </w:r>
      <w:r>
        <w:t xml:space="preserve"> </w:t>
      </w:r>
      <w:r>
        <w:t xml:space="preserve">— have attained [Indra’s favour; the words</w:t>
      </w:r>
      <w:r>
        <w:t xml:space="preserve"> </w:t>
      </w:r>
      <w:r>
        <w:t xml:space="preserve">‘</w:t>
      </w:r>
      <w:r>
        <w:t xml:space="preserve">having praised Indra</w:t>
      </w:r>
      <w:r>
        <w:t xml:space="preserve">’</w:t>
      </w:r>
      <w:r>
        <w:t xml:space="preserve"> </w:t>
      </w:r>
      <w:r>
        <w:t xml:space="preserve">are to be supplied];</w:t>
      </w:r>
      <w:r>
        <w:t xml:space="preserve"> </w:t>
      </w:r>
      <w:r>
        <w:rPr>
          <w:iCs/>
          <w:i/>
        </w:rPr>
        <w:t xml:space="preserve">or</w:t>
      </w:r>
      <w:r>
        <w:t xml:space="preserve"> </w:t>
      </w:r>
      <w:r>
        <w:t xml:space="preserve">the</w:t>
      </w:r>
      <w:r>
        <w:t xml:space="preserve"> </w:t>
      </w:r>
      <w:r>
        <w:rPr>
          <w:iCs/>
          <w:i/>
        </w:rPr>
        <w:t xml:space="preserve">viprāsaḥ</w:t>
      </w:r>
      <w:r>
        <w:t xml:space="preserve"> </w:t>
      </w:r>
      <w:r>
        <w:t xml:space="preserve">— the wise — who, being</w:t>
      </w:r>
      <w:r>
        <w:t xml:space="preserve"> </w:t>
      </w:r>
      <w:r>
        <w:rPr>
          <w:iCs/>
          <w:i/>
        </w:rPr>
        <w:t xml:space="preserve">dhiyāyavaḥ</w:t>
      </w:r>
      <w:r>
        <w:t xml:space="preserve"> </w:t>
      </w:r>
      <w:r>
        <w:t xml:space="preserve">— desirous of understanding — have attained: all these obtain [what they seek]: this is the supply of the sentence. Among the forty-six words for</w:t>
      </w:r>
      <w:r>
        <w:t xml:space="preserve"> </w:t>
      </w:r>
      <w:r>
        <w:t xml:space="preserve">‘</w:t>
      </w:r>
      <w:r>
        <w:t xml:space="preserve">battle</w:t>
      </w:r>
      <w:r>
        <w:t xml:space="preserve">’</w:t>
      </w:r>
      <w:r>
        <w:t xml:space="preserve"> </w:t>
      </w:r>
      <w:r>
        <w:t xml:space="preserve">beginning with</w:t>
      </w:r>
      <w:r>
        <w:t xml:space="preserve"> </w:t>
      </w:r>
      <w:r>
        <w:rPr>
          <w:iCs/>
          <w:i/>
        </w:rPr>
        <w:t xml:space="preserve">raṇa</w:t>
      </w:r>
      <w:r>
        <w:t xml:space="preserve">,</w:t>
      </w:r>
      <w:r>
        <w:t xml:space="preserve"> </w:t>
      </w:r>
      <w:r>
        <w:rPr>
          <w:iCs/>
          <w:i/>
        </w:rPr>
        <w:t xml:space="preserve">samohe</w:t>
      </w:r>
      <w:r>
        <w:t xml:space="preserve"> </w:t>
      </w:r>
      <w:r>
        <w:t xml:space="preserve">and</w:t>
      </w:r>
      <w:r>
        <w:t xml:space="preserve"> </w:t>
      </w:r>
      <w:r>
        <w:rPr>
          <w:iCs/>
          <w:i/>
        </w:rPr>
        <w:t xml:space="preserve">samitha</w:t>
      </w:r>
      <w:r>
        <w:t xml:space="preserve"> </w:t>
      </w:r>
      <w:r>
        <w:t xml:space="preserve">are read. Among the fifteen words for</w:t>
      </w:r>
      <w:r>
        <w:t xml:space="preserve"> </w:t>
      </w:r>
      <w:r>
        <w:t xml:space="preserve">‘</w:t>
      </w:r>
      <w:r>
        <w:t xml:space="preserve">offspring,</w:t>
      </w:r>
      <w:r>
        <w:t xml:space="preserve">’</w:t>
      </w:r>
      <w:r>
        <w:t xml:space="preserve"> </w:t>
      </w:r>
      <w:r>
        <w:rPr>
          <w:iCs/>
          <w:i/>
        </w:rPr>
        <w:t xml:space="preserve">tuk</w:t>
      </w:r>
      <w:r>
        <w:t xml:space="preserve"> </w:t>
      </w:r>
      <w:r>
        <w:t xml:space="preserve">and</w:t>
      </w:r>
      <w:r>
        <w:t xml:space="preserve"> </w:t>
      </w:r>
      <w:r>
        <w:rPr>
          <w:iCs/>
          <w:i/>
        </w:rPr>
        <w:t xml:space="preserve">toka</w:t>
      </w:r>
      <w:r>
        <w:t xml:space="preserve"> </w:t>
      </w:r>
      <w:r>
        <w:t xml:space="preserve">are read.</w:t>
      </w:r>
      <w:r>
        <w:t xml:space="preserve">”</w:t>
      </w:r>
    </w:p>
    <w:p>
      <w:pPr>
        <w:pStyle w:val="BodyText"/>
      </w:pPr>
      <w:r>
        <w:rPr>
          <w:bCs/>
          <w:b/>
        </w:rPr>
        <w:t xml:space="preserve">Grammar of the Bhāṣya (p. 325; characterized, references as printed; page header</w:t>
      </w:r>
      <w:r>
        <w:rPr>
          <w:bCs/>
          <w:b/>
        </w:rPr>
        <w:t xml:space="preserve"> </w:t>
      </w:r>
      <w:r>
        <w:rPr>
          <w:bCs/>
          <w:b/>
        </w:rPr>
        <w:t xml:space="preserve">“</w:t>
      </w:r>
      <w:r>
        <w:rPr>
          <w:bCs/>
          <w:b/>
        </w:rPr>
        <w:t xml:space="preserve">A. 1, A. 1, Va. 16</w:t>
      </w:r>
      <w:r>
        <w:rPr>
          <w:bCs/>
          <w:b/>
        </w:rPr>
        <w:t xml:space="preserve">”</w:t>
      </w:r>
      <w:r>
        <w:rPr>
          <w:bCs/>
          <w:b/>
        </w:rPr>
        <w:t xml:space="preserve">):</w:t>
      </w:r>
      <w:r>
        <w:t xml:space="preserve"> </w:t>
      </w:r>
      <w:r>
        <w:t xml:space="preserve">“</w:t>
      </w:r>
      <w:r>
        <w:t xml:space="preserve">Samohe</w:t>
      </w:r>
      <w:r>
        <w:t xml:space="preserve">”</w:t>
      </w:r>
      <w:r>
        <w:t xml:space="preserve"> </w:t>
      </w:r>
      <w:r>
        <w:t xml:space="preserve">— end-acute by the stem accent.</w:t>
      </w:r>
      <w:r>
        <w:t xml:space="preserve"> </w:t>
      </w:r>
      <w:r>
        <w:t xml:space="preserve">“</w:t>
      </w:r>
      <w:r>
        <w:t xml:space="preserve">Vā</w:t>
      </w:r>
      <w:r>
        <w:t xml:space="preserve">”</w:t>
      </w:r>
      <w:r>
        <w:t xml:space="preserve"> </w:t>
      </w:r>
      <w:r>
        <w:t xml:space="preserve">— unaccented by</w:t>
      </w:r>
      <w:r>
        <w:t xml:space="preserve"> </w:t>
      </w:r>
      <w:r>
        <w:t xml:space="preserve">“</w:t>
      </w:r>
      <w:r>
        <w:t xml:space="preserve">cādayo ’nudāttāḥ.</w:t>
      </w:r>
      <w:r>
        <w:t xml:space="preserve">”</w:t>
      </w:r>
      <w:r>
        <w:t xml:space="preserve"> </w:t>
      </w:r>
      <w:r>
        <w:t xml:space="preserve">“</w:t>
      </w:r>
      <w:r>
        <w:t xml:space="preserve">Āśata</w:t>
      </w:r>
      <w:r>
        <w:t xml:space="preserve">”</w:t>
      </w:r>
      <w:r>
        <w:t xml:space="preserve"> </w:t>
      </w:r>
      <w:r>
        <w:t xml:space="preserve">—</w:t>
      </w:r>
      <w:r>
        <w:t xml:space="preserve"> </w:t>
      </w:r>
      <w:r>
        <w:t xml:space="preserve">“</w:t>
      </w:r>
      <w:r>
        <w:t xml:space="preserve">aśū vyāptau,</w:t>
      </w:r>
      <w:r>
        <w:t xml:space="preserve">”</w:t>
      </w:r>
      <w:r>
        <w:t xml:space="preserve"> </w:t>
      </w:r>
      <w:r>
        <w:t xml:space="preserve">“</w:t>
      </w:r>
      <w:r>
        <w:t xml:space="preserve">luṅ</w:t>
      </w:r>
      <w:r>
        <w:t xml:space="preserve">”</w:t>
      </w:r>
      <w:r>
        <w:t xml:space="preserve">; loss of</w:t>
      </w:r>
      <w:r>
        <w:t xml:space="preserve"> </w:t>
      </w:r>
      <w:r>
        <w:t xml:space="preserve">“</w:t>
      </w:r>
      <w:r>
        <w:t xml:space="preserve">cli</w:t>
      </w:r>
      <w:r>
        <w:t xml:space="preserve">”</w:t>
      </w:r>
      <w:r>
        <w:t xml:space="preserve"> </w:t>
      </w:r>
      <w:r>
        <w:t xml:space="preserve">as Vedic; the augment</w:t>
      </w:r>
      <w:r>
        <w:t xml:space="preserve"> </w:t>
      </w:r>
      <w:r>
        <w:t xml:space="preserve">“</w:t>
      </w:r>
      <w:r>
        <w:t xml:space="preserve">āṭ,</w:t>
      </w:r>
      <w:r>
        <w:t xml:space="preserve">”</w:t>
      </w:r>
      <w:r>
        <w:t xml:space="preserve"> </w:t>
      </w:r>
      <w:r>
        <w:t xml:space="preserve">acute by</w:t>
      </w:r>
      <w:r>
        <w:t xml:space="preserve"> </w:t>
      </w:r>
      <w:r>
        <w:rPr>
          <w:bCs/>
          <w:b/>
        </w:rPr>
        <w:t xml:space="preserve">आडजादीनाम्</w:t>
      </w:r>
      <w:r>
        <w:t xml:space="preserve"> </w:t>
      </w:r>
      <w:r>
        <w:t xml:space="preserve">(पा. ६-४-७२), which, taught later, remains.</w:t>
      </w:r>
      <w:r>
        <w:t xml:space="preserve"> </w:t>
      </w:r>
      <w:r>
        <w:t xml:space="preserve">“</w:t>
      </w:r>
      <w:r>
        <w:t xml:space="preserve">Naraḥ</w:t>
      </w:r>
      <w:r>
        <w:t xml:space="preserve">”</w:t>
      </w:r>
      <w:r>
        <w:t xml:space="preserve"> </w:t>
      </w:r>
      <w:r>
        <w:t xml:space="preserve">— the stem accent.</w:t>
      </w:r>
      <w:r>
        <w:t xml:space="preserve"> </w:t>
      </w:r>
      <w:r>
        <w:t xml:space="preserve">“</w:t>
      </w:r>
      <w:r>
        <w:t xml:space="preserve">Sanitau</w:t>
      </w:r>
      <w:r>
        <w:t xml:space="preserve">”</w:t>
      </w:r>
      <w:r>
        <w:t xml:space="preserve"> </w:t>
      </w:r>
      <w:r>
        <w:t xml:space="preserve">—</w:t>
      </w:r>
      <w:r>
        <w:t xml:space="preserve"> </w:t>
      </w:r>
      <w:r>
        <w:rPr>
          <w:bCs/>
          <w:b/>
        </w:rPr>
        <w:t xml:space="preserve">स्त्रियां क्तिन्</w:t>
      </w:r>
      <w:r>
        <w:t xml:space="preserve">; by the vārttika</w:t>
      </w:r>
      <w:r>
        <w:t xml:space="preserve"> </w:t>
      </w:r>
      <w:r>
        <w:t xml:space="preserve">“</w:t>
      </w:r>
      <w:r>
        <w:t xml:space="preserve">tituträ… grahādīnām iti vaktavyam</w:t>
      </w:r>
      <w:r>
        <w:t xml:space="preserve">”</w:t>
      </w:r>
      <w:r>
        <w:t xml:space="preserve"> </w:t>
      </w:r>
      <w:r>
        <w:t xml:space="preserve">(पा. ७-२-९-१) the</w:t>
      </w:r>
      <w:r>
        <w:t xml:space="preserve"> </w:t>
      </w:r>
      <w:r>
        <w:t xml:space="preserve">“</w:t>
      </w:r>
      <w:r>
        <w:t xml:space="preserve">iṭ</w:t>
      </w:r>
      <w:r>
        <w:t xml:space="preserve">”</w:t>
      </w:r>
      <w:r>
        <w:t xml:space="preserve"> </w:t>
      </w:r>
      <w:r>
        <w:t xml:space="preserve">of</w:t>
      </w:r>
      <w:r>
        <w:t xml:space="preserve"> </w:t>
      </w:r>
      <w:r>
        <w:t xml:space="preserve">“</w:t>
      </w:r>
      <w:r>
        <w:t xml:space="preserve">grahādi</w:t>
      </w:r>
      <w:r>
        <w:t xml:space="preserve">”</w:t>
      </w:r>
      <w:r>
        <w:t xml:space="preserve"> </w:t>
      </w:r>
      <w:r>
        <w:t xml:space="preserve">roots, and so</w:t>
      </w:r>
      <w:r>
        <w:t xml:space="preserve"> </w:t>
      </w:r>
      <w:r>
        <w:t xml:space="preserve">“</w:t>
      </w:r>
      <w:r>
        <w:t xml:space="preserve">iṭ</w:t>
      </w:r>
      <w:r>
        <w:t xml:space="preserve">”</w:t>
      </w:r>
      <w:r>
        <w:t xml:space="preserve"> </w:t>
      </w:r>
      <w:r>
        <w:t xml:space="preserve">here.</w:t>
      </w:r>
      <w:r>
        <w:t xml:space="preserve"> </w:t>
      </w:r>
      <w:r>
        <w:t xml:space="preserve">“</w:t>
      </w:r>
      <w:r>
        <w:t xml:space="preserve">Viprāsaḥ</w:t>
      </w:r>
      <w:r>
        <w:t xml:space="preserve">”</w:t>
      </w:r>
      <w:r>
        <w:t xml:space="preserve"> </w:t>
      </w:r>
      <w:r>
        <w:t xml:space="preserve">—</w:t>
      </w:r>
      <w:r>
        <w:t xml:space="preserve"> </w:t>
      </w:r>
      <w:r>
        <w:t xml:space="preserve">“</w:t>
      </w:r>
      <w:r>
        <w:t xml:space="preserve">vipra</w:t>
      </w:r>
      <w:r>
        <w:t xml:space="preserve">”</w:t>
      </w:r>
      <w:r>
        <w:t xml:space="preserve"> </w:t>
      </w:r>
      <w:r>
        <w:t xml:space="preserve">formed with</w:t>
      </w:r>
      <w:r>
        <w:t xml:space="preserve"> </w:t>
      </w:r>
      <w:r>
        <w:t xml:space="preserve">“</w:t>
      </w:r>
      <w:r>
        <w:t xml:space="preserve">ran</w:t>
      </w:r>
      <w:r>
        <w:t xml:space="preserve">”</w:t>
      </w:r>
      <w:r>
        <w:t xml:space="preserve"> </w:t>
      </w:r>
      <w:r>
        <w:t xml:space="preserve">by nipātana in</w:t>
      </w:r>
      <w:r>
        <w:t xml:space="preserve"> </w:t>
      </w:r>
      <w:r>
        <w:t xml:space="preserve">“</w:t>
      </w:r>
      <w:r>
        <w:t xml:space="preserve">ṛjrendra…,</w:t>
      </w:r>
      <w:r>
        <w:t xml:space="preserve">”</w:t>
      </w:r>
      <w:r>
        <w:t xml:space="preserve"> </w:t>
      </w:r>
      <w:r>
        <w:t xml:space="preserve">end-acute.</w:t>
      </w:r>
      <w:r>
        <w:t xml:space="preserve"> </w:t>
      </w:r>
      <w:r>
        <w:t xml:space="preserve">“</w:t>
      </w:r>
      <w:r>
        <w:t xml:space="preserve">Dhiyāyavaḥ</w:t>
      </w:r>
      <w:r>
        <w:t xml:space="preserve">”</w:t>
      </w:r>
      <w:r>
        <w:t xml:space="preserve"> </w:t>
      </w:r>
      <w:r>
        <w:t xml:space="preserve">—</w:t>
      </w:r>
      <w:r>
        <w:t xml:space="preserve"> </w:t>
      </w:r>
      <w:r>
        <w:t xml:space="preserve">“</w:t>
      </w:r>
      <w:r>
        <w:t xml:space="preserve">dhi dhāraṇe</w:t>
      </w:r>
      <w:r>
        <w:t xml:space="preserve">”</w:t>
      </w:r>
      <w:r>
        <w:t xml:space="preserve">:</w:t>
      </w:r>
      <w:r>
        <w:t xml:space="preserve"> </w:t>
      </w:r>
      <w:r>
        <w:t xml:space="preserve">“</w:t>
      </w:r>
      <w:r>
        <w:t xml:space="preserve">dhīyate dhāryate ’vabudhyate śrutam artha-jātam anayeti dhīḥ prajñā; tām ātmana icchantīti</w:t>
      </w:r>
      <w:r>
        <w:t xml:space="preserve">”</w:t>
      </w:r>
      <w:r>
        <w:t xml:space="preserve"> </w:t>
      </w:r>
      <w:r>
        <w:t xml:space="preserve">—</w:t>
      </w:r>
      <w:r>
        <w:t xml:space="preserve"> </w:t>
      </w:r>
      <w:r>
        <w:t xml:space="preserve">“</w:t>
      </w:r>
      <w:r>
        <w:t xml:space="preserve">kyac,</w:t>
      </w:r>
      <w:r>
        <w:t xml:space="preserve">”</w:t>
      </w:r>
      <w:r>
        <w:t xml:space="preserve"> </w:t>
      </w:r>
      <w:r>
        <w:rPr>
          <w:bCs/>
          <w:b/>
        </w:rPr>
        <w:t xml:space="preserve">क्याच्छन्दसि</w:t>
      </w:r>
      <w:r>
        <w:t xml:space="preserve"> </w:t>
      </w:r>
      <w:r>
        <w:t xml:space="preserve">(पा. ३-२-१७०) the affix</w:t>
      </w:r>
      <w:r>
        <w:t xml:space="preserve"> </w:t>
      </w:r>
      <w:r>
        <w:t xml:space="preserve">“</w:t>
      </w:r>
      <w:r>
        <w:t xml:space="preserve">u</w:t>
      </w:r>
      <w:r>
        <w:t xml:space="preserve">”</w:t>
      </w:r>
      <w:r>
        <w:t xml:space="preserve">;</w:t>
      </w:r>
      <w:r>
        <w:t xml:space="preserve"> </w:t>
      </w:r>
      <w:r>
        <w:rPr>
          <w:bCs/>
          <w:b/>
        </w:rPr>
        <w:t xml:space="preserve">अतो लोपः</w:t>
      </w:r>
      <w:r>
        <w:t xml:space="preserve">; end-acute by the affix accent.</w:t>
      </w:r>
    </w:p>
    <w:bookmarkEnd w:id="351"/>
    <w:bookmarkStart w:id="352" w:name="page-325-rik-6-continued"/>
    <w:p>
      <w:pPr>
        <w:pStyle w:val="Heading3"/>
      </w:pPr>
      <w:r>
        <w:t xml:space="preserve">Page 325 — Rik 6 continued</w:t>
      </w:r>
    </w:p>
    <w:p>
      <w:pPr>
        <w:pStyle w:val="FirstParagraph"/>
      </w:pPr>
      <w:r>
        <w:rPr>
          <w:bCs/>
          <w:b/>
        </w:rPr>
        <w:t xml:space="preserve">॥ Prati-padārthaḥ ॥</w:t>
      </w:r>
    </w:p>
    <w:p>
      <w:pPr>
        <w:pStyle w:val="BodyText"/>
      </w:pPr>
      <w:r>
        <w:rPr>
          <w:bCs/>
          <w:b/>
        </w:rPr>
        <w:t xml:space="preserve">ये नरः (ye naraḥ)</w:t>
      </w:r>
      <w:r>
        <w:t xml:space="preserve"> </w:t>
      </w:r>
      <w:r>
        <w:t xml:space="preserve">— those men (who praise Indra) |</w:t>
      </w:r>
      <w:r>
        <w:t xml:space="preserve"> </w:t>
      </w:r>
      <w:r>
        <w:rPr>
          <w:bCs/>
          <w:b/>
        </w:rPr>
        <w:t xml:space="preserve">समोहे (samohe)</w:t>
      </w:r>
      <w:r>
        <w:t xml:space="preserve"> </w:t>
      </w:r>
      <w:r>
        <w:t xml:space="preserve">— in battle (also for obtaining victory) |</w:t>
      </w:r>
      <w:r>
        <w:t xml:space="preserve"> </w:t>
      </w:r>
      <w:r>
        <w:rPr>
          <w:bCs/>
          <w:b/>
        </w:rPr>
        <w:t xml:space="preserve">वा (vā)</w:t>
      </w:r>
      <w:r>
        <w:t xml:space="preserve"> </w:t>
      </w:r>
      <w:r>
        <w:t xml:space="preserve">— or (and) |</w:t>
      </w:r>
      <w:r>
        <w:t xml:space="preserve"> </w:t>
      </w:r>
      <w:r>
        <w:rPr>
          <w:bCs/>
          <w:b/>
        </w:rPr>
        <w:t xml:space="preserve">तोकस्य (tokasya)</w:t>
      </w:r>
      <w:r>
        <w:t xml:space="preserve"> </w:t>
      </w:r>
      <w:r>
        <w:t xml:space="preserve">— of offspring, sons and so on |</w:t>
      </w:r>
      <w:r>
        <w:t xml:space="preserve"> </w:t>
      </w:r>
      <w:r>
        <w:rPr>
          <w:bCs/>
          <w:b/>
        </w:rPr>
        <w:t xml:space="preserve">सनितौ (sanitau)</w:t>
      </w:r>
      <w:r>
        <w:t xml:space="preserve"> </w:t>
      </w:r>
      <w:r>
        <w:t xml:space="preserve">— also for the gaining |</w:t>
      </w:r>
      <w:r>
        <w:t xml:space="preserve"> </w:t>
      </w:r>
      <w:r>
        <w:rPr>
          <w:bCs/>
          <w:b/>
        </w:rPr>
        <w:t xml:space="preserve">आशत (āśata)</w:t>
      </w:r>
      <w:r>
        <w:t xml:space="preserve"> </w:t>
      </w:r>
      <w:r>
        <w:t xml:space="preserve">— attain Indra |</w:t>
      </w:r>
      <w:r>
        <w:t xml:space="preserve"> </w:t>
      </w:r>
      <w:r>
        <w:rPr>
          <w:bCs/>
          <w:b/>
        </w:rPr>
        <w:t xml:space="preserve">वा (vā)</w:t>
      </w:r>
      <w:r>
        <w:t xml:space="preserve"> </w:t>
      </w:r>
      <w:r>
        <w:t xml:space="preserve">— or |</w:t>
      </w:r>
      <w:r>
        <w:t xml:space="preserve"> </w:t>
      </w:r>
      <w:r>
        <w:rPr>
          <w:bCs/>
          <w:b/>
        </w:rPr>
        <w:t xml:space="preserve">विप्रासः (viprāsaḥ)</w:t>
      </w:r>
      <w:r>
        <w:t xml:space="preserve"> </w:t>
      </w:r>
      <w:r>
        <w:t xml:space="preserve">— wise people |</w:t>
      </w:r>
      <w:r>
        <w:t xml:space="preserve"> </w:t>
      </w:r>
      <w:r>
        <w:rPr>
          <w:bCs/>
          <w:b/>
        </w:rPr>
        <w:t xml:space="preserve">धियायवः (dhiyāyavaḥ)</w:t>
      </w:r>
      <w:r>
        <w:t xml:space="preserve"> </w:t>
      </w:r>
      <w:r>
        <w:t xml:space="preserve">— those desiring understanding or knowledge (too) |</w:t>
      </w:r>
      <w:r>
        <w:t xml:space="preserve"> </w:t>
      </w:r>
      <w:r>
        <w:rPr>
          <w:bCs/>
          <w:b/>
        </w:rPr>
        <w:t xml:space="preserve">आशत (āśata)</w:t>
      </w:r>
      <w:r>
        <w:t xml:space="preserve"> </w:t>
      </w:r>
      <w:r>
        <w:t xml:space="preserve">— attain Indra himself.</w:t>
      </w:r>
    </w:p>
    <w:p>
      <w:pPr>
        <w:pStyle w:val="BodyText"/>
      </w:pPr>
      <w:r>
        <w:rPr>
          <w:bCs/>
          <w:b/>
        </w:rPr>
        <w:t xml:space="preserve">॥ Bhāvārthaḥ ॥</w:t>
      </w:r>
    </w:p>
    <w:p>
      <w:pPr>
        <w:pStyle w:val="BodyText"/>
      </w:pPr>
      <w:r>
        <w:t xml:space="preserve">Those men who desire victory in battle, and offspring such as sons and grandsons, obtain their desires by praising Indra. And the wise, and those who desire understanding, obtain their desires from Indra himself.</w:t>
      </w:r>
    </w:p>
    <w:p>
      <w:pPr>
        <w:pStyle w:val="BodyText"/>
      </w:pPr>
      <w:r>
        <w:rPr>
          <w:bCs/>
          <w:b/>
        </w:rPr>
        <w:t xml:space="preserve">॥ English Translation ॥</w:t>
      </w:r>
      <w:r>
        <w:t xml:space="preserve"> </w:t>
      </w:r>
      <w:r>
        <w:rPr>
          <w:iCs/>
          <w:i/>
        </w:rPr>
        <w:t xml:space="preserve">(as printed in the source)</w:t>
      </w:r>
    </w:p>
    <w:p>
      <w:pPr>
        <w:pStyle w:val="BlockText"/>
      </w:pPr>
      <w:r>
        <w:t xml:space="preserve">Whatever men have recourse to Indra, in battle or for the acquirement of offspring, and the wise who are desirous of understanding (obtain their desires).</w:t>
      </w:r>
    </w:p>
    <w:p>
      <w:pPr>
        <w:pStyle w:val="FirstParagraph"/>
      </w:pPr>
      <w:r>
        <w:rPr>
          <w:bCs/>
          <w:b/>
        </w:rPr>
        <w:t xml:space="preserve">॥ Viśeṣa-viṣayagaḷu (Special Topics) ॥</w:t>
      </w:r>
    </w:p>
    <w:p>
      <w:pPr>
        <w:pStyle w:val="BodyText"/>
      </w:pPr>
      <w:r>
        <w:rPr>
          <w:bCs/>
          <w:b/>
        </w:rPr>
        <w:t xml:space="preserve">Words to be supplied.</w:t>
      </w:r>
      <w:r>
        <w:t xml:space="preserve"> </w:t>
      </w:r>
      <w:r>
        <w:t xml:space="preserve">The sense of this rik can be guessed correctly, but some principal words must be supplied. Since the previous rik declares that Indra’s greatness or powers are boundless, in keeping with that purport this rik says that people take refuge in Indra for victory in battle that they desire, for the winning of offspring, and for knowledge, and that, praising him with hymns and the like, they obtain their desires. That is the main sense.</w:t>
      </w:r>
    </w:p>
    <w:bookmarkEnd w:id="352"/>
    <w:bookmarkStart w:id="353" w:name="X0d356869ed8747121297cf7811bdb01a860c90d"/>
    <w:p>
      <w:pPr>
        <w:pStyle w:val="Heading3"/>
      </w:pPr>
      <w:r>
        <w:t xml:space="preserve">Page 326 — Rik 6: Special Topics (continued); grammar</w:t>
      </w:r>
    </w:p>
    <w:p>
      <w:pPr>
        <w:pStyle w:val="FirstParagraph"/>
      </w:pPr>
      <w:r>
        <w:rPr>
          <w:bCs/>
          <w:b/>
        </w:rPr>
        <w:t xml:space="preserve">“</w:t>
      </w:r>
      <w:r>
        <w:rPr>
          <w:bCs/>
          <w:b/>
        </w:rPr>
        <w:t xml:space="preserve">Samohe</w:t>
      </w:r>
      <w:r>
        <w:rPr>
          <w:bCs/>
          <w:b/>
        </w:rPr>
        <w:t xml:space="preserve">”</w:t>
      </w:r>
      <w:r>
        <w:t xml:space="preserve"> </w:t>
      </w:r>
      <w:r>
        <w:t xml:space="preserve">— the word</w:t>
      </w:r>
      <w:r>
        <w:t xml:space="preserve"> </w:t>
      </w:r>
      <w:r>
        <w:rPr>
          <w:iCs/>
          <w:i/>
        </w:rPr>
        <w:t xml:space="preserve">samohe</w:t>
      </w:r>
      <w:r>
        <w:t xml:space="preserve"> </w:t>
      </w:r>
      <w:r>
        <w:t xml:space="preserve">is read among the forty-six battle-names beginning with</w:t>
      </w:r>
      <w:r>
        <w:t xml:space="preserve"> </w:t>
      </w:r>
      <w:r>
        <w:rPr>
          <w:iCs/>
          <w:i/>
        </w:rPr>
        <w:t xml:space="preserve">raṇa</w:t>
      </w:r>
      <w:r>
        <w:t xml:space="preserve"> </w:t>
      </w:r>
      <w:r>
        <w:t xml:space="preserve">(Ni. 3-9).</w:t>
      </w:r>
    </w:p>
    <w:p>
      <w:pPr>
        <w:pStyle w:val="BodyText"/>
      </w:pPr>
      <w:r>
        <w:rPr>
          <w:bCs/>
          <w:b/>
        </w:rPr>
        <w:t xml:space="preserve">“</w:t>
      </w:r>
      <w:r>
        <w:rPr>
          <w:bCs/>
          <w:b/>
        </w:rPr>
        <w:t xml:space="preserve">Tokasya</w:t>
      </w:r>
      <w:r>
        <w:rPr>
          <w:bCs/>
          <w:b/>
        </w:rPr>
        <w:t xml:space="preserve">”</w:t>
      </w:r>
      <w:r>
        <w:t xml:space="preserve"> </w:t>
      </w:r>
      <w:r>
        <w:t xml:space="preserve">— the word</w:t>
      </w:r>
      <w:r>
        <w:t xml:space="preserve"> </w:t>
      </w:r>
      <w:r>
        <w:rPr>
          <w:iCs/>
          <w:i/>
        </w:rPr>
        <w:t xml:space="preserve">tokam</w:t>
      </w:r>
      <w:r>
        <w:t xml:space="preserve"> </w:t>
      </w:r>
      <w:r>
        <w:t xml:space="preserve">is read among the fifteen words for</w:t>
      </w:r>
      <w:r>
        <w:t xml:space="preserve"> </w:t>
      </w:r>
      <w:r>
        <w:t xml:space="preserve">“</w:t>
      </w:r>
      <w:r>
        <w:t xml:space="preserve">offspring</w:t>
      </w:r>
      <w:r>
        <w:t xml:space="preserve">”</w:t>
      </w:r>
      <w:r>
        <w:t xml:space="preserve"> </w:t>
      </w:r>
      <w:r>
        <w:t xml:space="preserve">beginning with</w:t>
      </w:r>
      <w:r>
        <w:t xml:space="preserve"> </w:t>
      </w:r>
      <w:r>
        <w:rPr>
          <w:iCs/>
          <w:i/>
        </w:rPr>
        <w:t xml:space="preserve">tuk</w:t>
      </w:r>
      <w:r>
        <w:t xml:space="preserve"> </w:t>
      </w:r>
      <w:r>
        <w:t xml:space="preserve">(Ni. 3-2).</w:t>
      </w:r>
    </w:p>
    <w:p>
      <w:pPr>
        <w:pStyle w:val="BodyText"/>
      </w:pPr>
      <w:r>
        <w:rPr>
          <w:bCs/>
          <w:b/>
        </w:rPr>
        <w:t xml:space="preserve">“</w:t>
      </w:r>
      <w:r>
        <w:rPr>
          <w:bCs/>
          <w:b/>
        </w:rPr>
        <w:t xml:space="preserve">Āśata</w:t>
      </w:r>
      <w:r>
        <w:rPr>
          <w:bCs/>
          <w:b/>
        </w:rPr>
        <w:t xml:space="preserve">”</w:t>
      </w:r>
      <w:r>
        <w:t xml:space="preserve"> </w:t>
      </w:r>
      <w:r>
        <w:t xml:space="preserve">— a form of the root</w:t>
      </w:r>
      <w:r>
        <w:t xml:space="preserve"> </w:t>
      </w:r>
      <w:r>
        <w:rPr>
          <w:iCs/>
          <w:i/>
        </w:rPr>
        <w:t xml:space="preserve">aśū vyāptau</w:t>
      </w:r>
      <w:r>
        <w:t xml:space="preserve"> </w:t>
      </w:r>
      <w:r>
        <w:t xml:space="preserve">(</w:t>
      </w:r>
      <w:r>
        <w:t xml:space="preserve">“</w:t>
      </w:r>
      <w:r>
        <w:t xml:space="preserve">to pervade, attain</w:t>
      </w:r>
      <w:r>
        <w:t xml:space="preserve">”</w:t>
      </w:r>
      <w:r>
        <w:t xml:space="preserve">).</w:t>
      </w:r>
      <w:r>
        <w:t xml:space="preserve"> </w:t>
      </w:r>
      <w:r>
        <w:t xml:space="preserve">“</w:t>
      </w:r>
      <w:r>
        <w:t xml:space="preserve">To attain Indra</w:t>
      </w:r>
      <w:r>
        <w:t xml:space="preserve">”</w:t>
      </w:r>
      <w:r>
        <w:t xml:space="preserve"> </w:t>
      </w:r>
      <w:r>
        <w:t xml:space="preserve">means to entreat Indra with praises and the like.</w:t>
      </w:r>
    </w:p>
    <w:p>
      <w:pPr>
        <w:pStyle w:val="BodyText"/>
      </w:pPr>
      <w:r>
        <w:rPr>
          <w:bCs/>
          <w:b/>
        </w:rPr>
        <w:t xml:space="preserve">“</w:t>
      </w:r>
      <w:r>
        <w:rPr>
          <w:bCs/>
          <w:b/>
        </w:rPr>
        <w:t xml:space="preserve">Naraḥ</w:t>
      </w:r>
      <w:r>
        <w:rPr>
          <w:bCs/>
          <w:b/>
        </w:rPr>
        <w:t xml:space="preserve">”</w:t>
      </w:r>
      <w:r>
        <w:t xml:space="preserve"> </w:t>
      </w:r>
      <w:r>
        <w:t xml:space="preserve">— the nominative plural of the</w:t>
      </w:r>
      <w:r>
        <w:t xml:space="preserve"> </w:t>
      </w:r>
      <w:r>
        <w:rPr>
          <w:iCs/>
          <w:i/>
        </w:rPr>
        <w:t xml:space="preserve">ṛ</w:t>
      </w:r>
      <w:r>
        <w:t xml:space="preserve">-ending word</w:t>
      </w:r>
      <w:r>
        <w:t xml:space="preserve"> </w:t>
      </w:r>
      <w:r>
        <w:rPr>
          <w:iCs/>
          <w:i/>
        </w:rPr>
        <w:t xml:space="preserve">nṛ</w:t>
      </w:r>
      <w:r>
        <w:t xml:space="preserve">. This word is also used as an</w:t>
      </w:r>
      <w:r>
        <w:t xml:space="preserve"> </w:t>
      </w:r>
      <w:r>
        <w:rPr>
          <w:iCs/>
          <w:i/>
        </w:rPr>
        <w:t xml:space="preserve">a</w:t>
      </w:r>
      <w:r>
        <w:t xml:space="preserve">-stem; in that case</w:t>
      </w:r>
      <w:r>
        <w:t xml:space="preserve"> </w:t>
      </w:r>
      <w:r>
        <w:rPr>
          <w:iCs/>
          <w:i/>
        </w:rPr>
        <w:t xml:space="preserve">naraḥ</w:t>
      </w:r>
      <w:r>
        <w:t xml:space="preserve"> </w:t>
      </w:r>
      <w:r>
        <w:t xml:space="preserve">is a nominative singular.</w:t>
      </w:r>
    </w:p>
    <w:p>
      <w:pPr>
        <w:pStyle w:val="BodyText"/>
      </w:pPr>
      <w:r>
        <w:rPr>
          <w:bCs/>
          <w:b/>
        </w:rPr>
        <w:t xml:space="preserve">“</w:t>
      </w:r>
      <w:r>
        <w:rPr>
          <w:bCs/>
          <w:b/>
        </w:rPr>
        <w:t xml:space="preserve">Viprāsaḥ</w:t>
      </w:r>
      <w:r>
        <w:rPr>
          <w:bCs/>
          <w:b/>
        </w:rPr>
        <w:t xml:space="preserve">”</w:t>
      </w:r>
      <w:r>
        <w:t xml:space="preserve"> </w:t>
      </w:r>
      <w:r>
        <w:t xml:space="preserve">—</w:t>
      </w:r>
      <w:r>
        <w:t xml:space="preserve"> </w:t>
      </w:r>
      <w:r>
        <w:rPr>
          <w:iCs/>
          <w:i/>
        </w:rPr>
        <w:t xml:space="preserve">viprāḥ</w:t>
      </w:r>
      <w:r>
        <w:t xml:space="preserve"> </w:t>
      </w:r>
      <w:r>
        <w:t xml:space="preserve">is the ancient form of usage.</w:t>
      </w:r>
    </w:p>
    <w:p>
      <w:pPr>
        <w:pStyle w:val="BodyText"/>
      </w:pPr>
      <w:r>
        <w:rPr>
          <w:bCs/>
          <w:b/>
        </w:rPr>
        <w:t xml:space="preserve">“</w:t>
      </w:r>
      <w:r>
        <w:rPr>
          <w:bCs/>
          <w:b/>
        </w:rPr>
        <w:t xml:space="preserve">Dhiyāyavaḥ</w:t>
      </w:r>
      <w:r>
        <w:rPr>
          <w:bCs/>
          <w:b/>
        </w:rPr>
        <w:t xml:space="preserve">”</w:t>
      </w:r>
      <w:r>
        <w:t xml:space="preserve"> </w:t>
      </w:r>
      <w:r>
        <w:t xml:space="preserve">—</w:t>
      </w:r>
      <w:r>
        <w:t xml:space="preserve"> </w:t>
      </w:r>
      <w:r>
        <w:rPr>
          <w:bCs/>
          <w:b/>
        </w:rPr>
        <w:t xml:space="preserve">धि धारणे । धीयते धार्यत्वेनावबुध्यते श्रुतमर्थजातमनयेति धिया प्रज्ञा । तामात्मन इच्छन्तीति धियायवः</w:t>
      </w:r>
      <w:r>
        <w:t xml:space="preserve"> </w:t>
      </w:r>
      <w:r>
        <w:t xml:space="preserve">(</w:t>
      </w:r>
      <w:r>
        <w:rPr>
          <w:iCs/>
          <w:i/>
        </w:rPr>
        <w:t xml:space="preserve">dhi dhāraṇe | dhīyate dhāryatvenāvabudhyate śrutam artha-jātam anayeti dhiyā prajñā | tām ātmana icchantīti dhiyāyavaḥ</w:t>
      </w:r>
      <w:r>
        <w:t xml:space="preserve">) —</w:t>
      </w:r>
      <w:r>
        <w:t xml:space="preserve"> </w:t>
      </w:r>
      <w:r>
        <w:t xml:space="preserve">“</w:t>
      </w:r>
      <w:r>
        <w:rPr>
          <w:iCs/>
          <w:i/>
        </w:rPr>
        <w:t xml:space="preserve">dhi</w:t>
      </w:r>
      <w:r>
        <w:t xml:space="preserve"> </w:t>
      </w:r>
      <w:r>
        <w:t xml:space="preserve">in the sense of holding; that by which heard matters are held in the mind and understood is</w:t>
      </w:r>
      <w:r>
        <w:t xml:space="preserve"> </w:t>
      </w:r>
      <w:r>
        <w:rPr>
          <w:iCs/>
          <w:i/>
        </w:rPr>
        <w:t xml:space="preserve">dhiyā</w:t>
      </w:r>
      <w:r>
        <w:t xml:space="preserve"> </w:t>
      </w:r>
      <w:r>
        <w:t xml:space="preserve">— insight; those who desire that for themselves are</w:t>
      </w:r>
      <w:r>
        <w:t xml:space="preserve"> </w:t>
      </w:r>
      <w:r>
        <w:rPr>
          <w:iCs/>
          <w:i/>
        </w:rPr>
        <w:t xml:space="preserve">dhiyāyavaḥ</w:t>
      </w:r>
      <w:r>
        <w:t xml:space="preserve">.</w:t>
      </w:r>
      <w:r>
        <w:t xml:space="preserve">”</w:t>
      </w:r>
      <w:r>
        <w:t xml:space="preserve"> </w:t>
      </w:r>
      <w:r>
        <w:t xml:space="preserve">The root</w:t>
      </w:r>
      <w:r>
        <w:t xml:space="preserve"> </w:t>
      </w:r>
      <w:r>
        <w:rPr>
          <w:iCs/>
          <w:i/>
        </w:rPr>
        <w:t xml:space="preserve">dhi</w:t>
      </w:r>
      <w:r>
        <w:t xml:space="preserve"> </w:t>
      </w:r>
      <w:r>
        <w:t xml:space="preserve">means</w:t>
      </w:r>
      <w:r>
        <w:t xml:space="preserve"> </w:t>
      </w:r>
      <w:r>
        <w:t xml:space="preserve">“</w:t>
      </w:r>
      <w:r>
        <w:t xml:space="preserve">to hold</w:t>
      </w:r>
      <w:r>
        <w:t xml:space="preserve">”</w:t>
      </w:r>
      <w:r>
        <w:t xml:space="preserve"> </w:t>
      </w:r>
      <w:r>
        <w:t xml:space="preserve">or</w:t>
      </w:r>
      <w:r>
        <w:t xml:space="preserve"> </w:t>
      </w:r>
      <w:r>
        <w:t xml:space="preserve">“</w:t>
      </w:r>
      <w:r>
        <w:t xml:space="preserve">to know.</w:t>
      </w:r>
      <w:r>
        <w:t xml:space="preserve">”</w:t>
      </w:r>
      <w:r>
        <w:t xml:space="preserve"> </w:t>
      </w:r>
      <w:r>
        <w:t xml:space="preserve">Because by it one understands matters one has heard or seen, the word</w:t>
      </w:r>
      <w:r>
        <w:t xml:space="preserve"> </w:t>
      </w:r>
      <w:r>
        <w:rPr>
          <w:iCs/>
          <w:i/>
        </w:rPr>
        <w:t xml:space="preserve">dhiyā</w:t>
      </w:r>
      <w:r>
        <w:t xml:space="preserve"> </w:t>
      </w:r>
      <w:r>
        <w:t xml:space="preserve">arises. Those who desire insight or wisdom are called</w:t>
      </w:r>
      <w:r>
        <w:t xml:space="preserve"> </w:t>
      </w:r>
      <w:r>
        <w:rPr>
          <w:iCs/>
          <w:i/>
        </w:rPr>
        <w:t xml:space="preserve">dhiyāyavaḥ</w:t>
      </w:r>
      <w:r>
        <w:t xml:space="preserve">.</w:t>
      </w:r>
    </w:p>
    <w:p>
      <w:pPr>
        <w:pStyle w:val="BodyText"/>
      </w:pPr>
      <w:r>
        <w:rPr>
          <w:bCs/>
          <w:b/>
        </w:rPr>
        <w:t xml:space="preserve">॥ Vyākaraṇa-prakriyā ॥</w:t>
      </w:r>
      <w:r>
        <w:t xml:space="preserve"> </w:t>
      </w:r>
      <w:r>
        <w:rPr>
          <w:iCs/>
          <w:i/>
        </w:rPr>
        <w:t xml:space="preserve">(grammar page, noted briefly)</w:t>
      </w:r>
    </w:p>
    <w:p>
      <w:pPr>
        <w:pStyle w:val="BodyText"/>
      </w:pPr>
      <w:r>
        <w:rPr>
          <w:bCs/>
          <w:b/>
        </w:rPr>
        <w:t xml:space="preserve">समोहे (</w:t>
      </w:r>
      <w:r>
        <w:rPr>
          <w:iCs/>
          <w:i/>
          <w:bCs/>
          <w:b/>
        </w:rPr>
        <w:t xml:space="preserve">samohe</w:t>
      </w:r>
      <w:r>
        <w:rPr>
          <w:bCs/>
          <w:b/>
        </w:rPr>
        <w:t xml:space="preserve">)</w:t>
      </w:r>
      <w:r>
        <w:t xml:space="preserve"> </w:t>
      </w:r>
      <w:r>
        <w:t xml:space="preserve">— by the Phiṭ sūtra</w:t>
      </w:r>
      <w:r>
        <w:t xml:space="preserve"> </w:t>
      </w:r>
      <w:r>
        <w:t xml:space="preserve">“</w:t>
      </w:r>
      <w:r>
        <w:t xml:space="preserve">phiṣaḥ</w:t>
      </w:r>
      <w:r>
        <w:t xml:space="preserve">”</w:t>
      </w:r>
      <w:r>
        <w:t xml:space="preserve"> </w:t>
      </w:r>
      <w:r>
        <w:t xml:space="preserve">(फि. सू. १) it takes the final accent of the base;</w:t>
      </w:r>
      <w:r>
        <w:t xml:space="preserve"> </w:t>
      </w:r>
      <w:r>
        <w:rPr>
          <w:bCs/>
          <w:b/>
        </w:rPr>
        <w:t xml:space="preserve">वा</w:t>
      </w:r>
      <w:r>
        <w:t xml:space="preserve"> </w:t>
      </w:r>
      <w:r>
        <w:t xml:space="preserve">— unaccented by</w:t>
      </w:r>
      <w:r>
        <w:t xml:space="preserve"> </w:t>
      </w:r>
      <w:r>
        <w:rPr>
          <w:bCs/>
          <w:b/>
        </w:rPr>
        <w:t xml:space="preserve">चादयोऽनुदात्ताः</w:t>
      </w:r>
      <w:r>
        <w:t xml:space="preserve"> </w:t>
      </w:r>
      <w:r>
        <w:t xml:space="preserve">(फि. सू. १४४).</w:t>
      </w:r>
      <w:r>
        <w:t xml:space="preserve"> </w:t>
      </w:r>
      <w:r>
        <w:rPr>
          <w:bCs/>
          <w:b/>
        </w:rPr>
        <w:t xml:space="preserve">आशत (</w:t>
      </w:r>
      <w:r>
        <w:rPr>
          <w:iCs/>
          <w:i/>
          <w:bCs/>
          <w:b/>
        </w:rPr>
        <w:t xml:space="preserve">āśata</w:t>
      </w:r>
      <w:r>
        <w:rPr>
          <w:bCs/>
          <w:b/>
        </w:rPr>
        <w:t xml:space="preserve">)</w:t>
      </w:r>
      <w:r>
        <w:t xml:space="preserve"> </w:t>
      </w:r>
      <w:r>
        <w:t xml:space="preserve">— root</w:t>
      </w:r>
      <w:r>
        <w:t xml:space="preserve"> </w:t>
      </w:r>
      <w:r>
        <w:rPr>
          <w:iCs/>
          <w:i/>
        </w:rPr>
        <w:t xml:space="preserve">aśū vyāptau</w:t>
      </w:r>
      <w:r>
        <w:t xml:space="preserve"> </w:t>
      </w:r>
      <w:r>
        <w:t xml:space="preserve">with</w:t>
      </w:r>
      <w:r>
        <w:t xml:space="preserve"> </w:t>
      </w:r>
      <w:r>
        <w:rPr>
          <w:iCs/>
          <w:i/>
        </w:rPr>
        <w:t xml:space="preserve">luṅ</w:t>
      </w:r>
      <w:r>
        <w:t xml:space="preserve">;</w:t>
      </w:r>
      <w:r>
        <w:t xml:space="preserve"> </w:t>
      </w:r>
      <w:r>
        <w:rPr>
          <w:iCs/>
          <w:i/>
        </w:rPr>
        <w:t xml:space="preserve">cli</w:t>
      </w:r>
      <w:r>
        <w:t xml:space="preserve"> </w:t>
      </w:r>
      <w:r>
        <w:t xml:space="preserve">before</w:t>
      </w:r>
      <w:r>
        <w:t xml:space="preserve"> </w:t>
      </w:r>
      <w:r>
        <w:rPr>
          <w:iCs/>
          <w:i/>
        </w:rPr>
        <w:t xml:space="preserve">luṅ</w:t>
      </w:r>
      <w:r>
        <w:t xml:space="preserve"> </w:t>
      </w:r>
      <w:r>
        <w:t xml:space="preserve">(पा. सू. ३-१-४३); Vedic loss of</w:t>
      </w:r>
      <w:r>
        <w:t xml:space="preserve"> </w:t>
      </w:r>
      <w:r>
        <w:rPr>
          <w:iCs/>
          <w:i/>
        </w:rPr>
        <w:t xml:space="preserve">cli</w:t>
      </w:r>
      <w:r>
        <w:t xml:space="preserve">;</w:t>
      </w:r>
      <w:r>
        <w:t xml:space="preserve"> </w:t>
      </w:r>
      <w:r>
        <w:rPr>
          <w:iCs/>
          <w:i/>
        </w:rPr>
        <w:t xml:space="preserve">āṭ</w:t>
      </w:r>
      <w:r>
        <w:t xml:space="preserve"> </w:t>
      </w:r>
      <w:r>
        <w:t xml:space="preserve">augment for</w:t>
      </w:r>
      <w:r>
        <w:t xml:space="preserve"> </w:t>
      </w:r>
      <w:r>
        <w:rPr>
          <w:iCs/>
          <w:i/>
        </w:rPr>
        <w:t xml:space="preserve">luṅ/laṅ/lṛṅ</w:t>
      </w:r>
      <w:r>
        <w:t xml:space="preserve"> </w:t>
      </w:r>
      <w:r>
        <w:t xml:space="preserve">before a root with initial vowel (</w:t>
      </w:r>
      <w:r>
        <w:rPr>
          <w:bCs/>
          <w:b/>
        </w:rPr>
        <w:t xml:space="preserve">आडजादीनाम्</w:t>
      </w:r>
      <w:r>
        <w:t xml:space="preserve">, पा. सू. ६-४-७२), which is udātta;</w:t>
      </w:r>
      <w:r>
        <w:t xml:space="preserve"> </w:t>
      </w:r>
      <w:r>
        <w:rPr>
          <w:iCs/>
          <w:i/>
        </w:rPr>
        <w:t xml:space="preserve">saty</w:t>
      </w:r>
      <w:r>
        <w:t xml:space="preserve"> </w:t>
      </w:r>
      <w:r>
        <w:rPr>
          <w:iCs/>
          <w:i/>
        </w:rPr>
        <w:t xml:space="preserve">śiṣṭa-svara</w:t>
      </w:r>
      <w:r>
        <w:t xml:space="preserve"> </w:t>
      </w:r>
      <w:r>
        <w:t xml:space="preserve">keeps the accent;</w:t>
      </w:r>
      <w:r>
        <w:t xml:space="preserve"> </w:t>
      </w:r>
      <w:r>
        <w:rPr>
          <w:iCs/>
          <w:i/>
        </w:rPr>
        <w:t xml:space="preserve">vṛddhi</w:t>
      </w:r>
      <w:r>
        <w:t xml:space="preserve"> </w:t>
      </w:r>
      <w:r>
        <w:t xml:space="preserve">of</w:t>
      </w:r>
      <w:r>
        <w:t xml:space="preserve"> </w:t>
      </w:r>
      <w:r>
        <w:rPr>
          <w:iCs/>
          <w:i/>
        </w:rPr>
        <w:t xml:space="preserve">a+a</w:t>
      </w:r>
      <w:r>
        <w:t xml:space="preserve"> </w:t>
      </w:r>
      <w:r>
        <w:t xml:space="preserve">by</w:t>
      </w:r>
      <w:r>
        <w:t xml:space="preserve"> </w:t>
      </w:r>
      <w:r>
        <w:rPr>
          <w:iCs/>
          <w:i/>
        </w:rPr>
        <w:t xml:space="preserve">āṭaś ca</w:t>
      </w:r>
      <w:r>
        <w:t xml:space="preserve"> </w:t>
      </w:r>
      <w:r>
        <w:t xml:space="preserve">(पा. सू. ६-१-९०) as a single substitute;</w:t>
      </w:r>
      <w:r>
        <w:t xml:space="preserve"> </w:t>
      </w:r>
      <w:r>
        <w:rPr>
          <w:iCs/>
          <w:i/>
        </w:rPr>
        <w:t xml:space="preserve">ā</w:t>
      </w:r>
      <w:r>
        <w:t xml:space="preserve"> </w:t>
      </w:r>
      <w:r>
        <w:t xml:space="preserve">is udātta; in the third plural ātmanepada</w:t>
      </w:r>
      <w:r>
        <w:t xml:space="preserve"> </w:t>
      </w:r>
      <w:r>
        <w:rPr>
          <w:iCs/>
          <w:i/>
        </w:rPr>
        <w:t xml:space="preserve">jha</w:t>
      </w:r>
      <w:r>
        <w:t xml:space="preserve"> </w:t>
      </w:r>
      <w:r>
        <w:t xml:space="preserve">→</w:t>
      </w:r>
      <w:r>
        <w:t xml:space="preserve"> </w:t>
      </w:r>
      <w:r>
        <w:rPr>
          <w:iCs/>
          <w:i/>
        </w:rPr>
        <w:t xml:space="preserve">at</w:t>
      </w:r>
      <w:r>
        <w:t xml:space="preserve"> </w:t>
      </w:r>
      <w:r>
        <w:t xml:space="preserve">(पा. सू. ७-१-५), giving</w:t>
      </w:r>
      <w:r>
        <w:t xml:space="preserve"> </w:t>
      </w:r>
      <w:r>
        <w:rPr>
          <w:iCs/>
          <w:i/>
        </w:rPr>
        <w:t xml:space="preserve">āśata</w:t>
      </w:r>
      <w:r>
        <w:t xml:space="preserve">.</w:t>
      </w:r>
      <w:r>
        <w:t xml:space="preserve"> </w:t>
      </w:r>
      <w:r>
        <w:rPr>
          <w:bCs/>
          <w:b/>
        </w:rPr>
        <w:t xml:space="preserve">नरः (</w:t>
      </w:r>
      <w:r>
        <w:rPr>
          <w:iCs/>
          <w:i/>
          <w:bCs/>
          <w:b/>
        </w:rPr>
        <w:t xml:space="preserve">naraḥ</w:t>
      </w:r>
      <w:r>
        <w:rPr>
          <w:bCs/>
          <w:b/>
        </w:rPr>
        <w:t xml:space="preserve">)</w:t>
      </w:r>
      <w:r>
        <w:t xml:space="preserve"> </w:t>
      </w:r>
      <w:r>
        <w:t xml:space="preserve">— final-udātta by base accent.</w:t>
      </w:r>
      <w:r>
        <w:t xml:space="preserve"> </w:t>
      </w:r>
      <w:r>
        <w:rPr>
          <w:bCs/>
          <w:b/>
        </w:rPr>
        <w:t xml:space="preserve">सनितौ (</w:t>
      </w:r>
      <w:r>
        <w:rPr>
          <w:iCs/>
          <w:i/>
          <w:bCs/>
          <w:b/>
        </w:rPr>
        <w:t xml:space="preserve">sanitau</w:t>
      </w:r>
      <w:r>
        <w:rPr>
          <w:bCs/>
          <w:b/>
        </w:rPr>
        <w:t xml:space="preserve">)</w:t>
      </w:r>
      <w:r>
        <w:t xml:space="preserve"> </w:t>
      </w:r>
      <w:r>
        <w:t xml:space="preserve">— root</w:t>
      </w:r>
      <w:r>
        <w:t xml:space="preserve"> </w:t>
      </w:r>
      <w:r>
        <w:rPr>
          <w:iCs/>
          <w:i/>
        </w:rPr>
        <w:t xml:space="preserve">sana</w:t>
      </w:r>
      <w:r>
        <w:t xml:space="preserve"> </w:t>
      </w:r>
      <w:r>
        <w:t xml:space="preserve">with</w:t>
      </w:r>
      <w:r>
        <w:t xml:space="preserve"> </w:t>
      </w:r>
      <w:r>
        <w:rPr>
          <w:iCs/>
          <w:i/>
        </w:rPr>
        <w:t xml:space="preserve">ktin</w:t>
      </w:r>
      <w:r>
        <w:t xml:space="preserve"> </w:t>
      </w:r>
      <w:r>
        <w:t xml:space="preserve">by</w:t>
      </w:r>
      <w:r>
        <w:t xml:space="preserve"> </w:t>
      </w:r>
      <w:r>
        <w:t xml:space="preserve">“</w:t>
      </w:r>
      <w:r>
        <w:t xml:space="preserve">striyāṃ ktin</w:t>
      </w:r>
      <w:r>
        <w:t xml:space="preserve">”</w:t>
      </w:r>
      <w:r>
        <w:t xml:space="preserve"> </w:t>
      </w:r>
      <w:r>
        <w:t xml:space="preserve">(पा. सू. ३-३-९४); though</w:t>
      </w:r>
      <w:r>
        <w:t xml:space="preserve"> </w:t>
      </w:r>
      <w:r>
        <w:rPr>
          <w:bCs/>
          <w:b/>
        </w:rPr>
        <w:t xml:space="preserve">तितुत्रतथसिसुसरकसेषु च</w:t>
      </w:r>
      <w:r>
        <w:t xml:space="preserve"> </w:t>
      </w:r>
      <w:r>
        <w:t xml:space="preserve">(पा. सू. ७-२-९) …</w:t>
      </w:r>
      <w:r>
        <w:t xml:space="preserve"> </w:t>
      </w:r>
      <w:r>
        <w:rPr>
          <w:iCs/>
          <w:i/>
        </w:rPr>
        <w:t xml:space="preserve">(continues on p. 327)</w:t>
      </w:r>
    </w:p>
    <w:bookmarkEnd w:id="353"/>
    <w:bookmarkStart w:id="354" w:name="Xc130e7ed8efdab5ab8380d1f9a6168ac23812e5"/>
    <w:p>
      <w:pPr>
        <w:pStyle w:val="Heading3"/>
      </w:pPr>
      <w:r>
        <w:t xml:space="preserve">Page 327 — Rik 6 grammar closes; Sūkta 8, Rik 7</w:t>
      </w:r>
    </w:p>
    <w:p>
      <w:pPr>
        <w:pStyle w:val="FirstParagraph"/>
      </w:pPr>
      <w:r>
        <w:rPr>
          <w:bCs/>
          <w:b/>
        </w:rPr>
        <w:t xml:space="preserve">॥ Vyākaraṇa-prakriyā ॥</w:t>
      </w:r>
      <w:r>
        <w:t xml:space="preserve"> </w:t>
      </w:r>
      <w:r>
        <w:rPr>
          <w:iCs/>
          <w:i/>
        </w:rPr>
        <w:t xml:space="preserve">(grammar page, noted briefly)</w:t>
      </w:r>
    </w:p>
    <w:p>
      <w:pPr>
        <w:pStyle w:val="BodyText"/>
      </w:pPr>
      <w:r>
        <w:rPr>
          <w:iCs/>
          <w:i/>
        </w:rPr>
        <w:t xml:space="preserve">(Page header:</w:t>
      </w:r>
      <w:r>
        <w:rPr>
          <w:iCs/>
          <w:i/>
        </w:rPr>
        <w:t xml:space="preserve"> </w:t>
      </w:r>
      <w:r>
        <w:rPr>
          <w:iCs/>
          <w:i/>
        </w:rPr>
        <w:t xml:space="preserve">“</w:t>
      </w:r>
      <w:r>
        <w:rPr>
          <w:iCs/>
          <w:i/>
        </w:rPr>
        <w:t xml:space="preserve">A. 1, A. 1, Va. 16.</w:t>
      </w:r>
      <w:r>
        <w:rPr>
          <w:iCs/>
          <w:i/>
        </w:rPr>
        <w:t xml:space="preserve">”</w:t>
      </w:r>
      <w:r>
        <w:rPr>
          <w:iCs/>
          <w:i/>
        </w:rPr>
        <w:t xml:space="preserve"> </w:t>
      </w:r>
      <w:r>
        <w:rPr>
          <w:iCs/>
          <w:i/>
        </w:rPr>
        <w:t xml:space="preserve">Numbers as printed.)</w:t>
      </w:r>
      <w:r>
        <w:t xml:space="preserve"> </w:t>
      </w:r>
      <w:r>
        <w:t xml:space="preserve">Continuing</w:t>
      </w:r>
      <w:r>
        <w:t xml:space="preserve"> </w:t>
      </w:r>
      <w:r>
        <w:rPr>
          <w:bCs/>
          <w:b/>
        </w:rPr>
        <w:t xml:space="preserve">सनितौ</w:t>
      </w:r>
      <w:r>
        <w:t xml:space="preserve">: … here the</w:t>
      </w:r>
      <w:r>
        <w:t xml:space="preserve"> </w:t>
      </w:r>
      <w:r>
        <w:t xml:space="preserve">“</w:t>
      </w:r>
      <w:r>
        <w:t xml:space="preserve">iṭ</w:t>
      </w:r>
      <w:r>
        <w:t xml:space="preserve">”</w:t>
      </w:r>
      <w:r>
        <w:t xml:space="preserve"> </w:t>
      </w:r>
      <w:r>
        <w:t xml:space="preserve">would be forbidden; but by the vārttika</w:t>
      </w:r>
      <w:r>
        <w:t xml:space="preserve"> </w:t>
      </w:r>
      <w:r>
        <w:rPr>
          <w:bCs/>
          <w:b/>
        </w:rPr>
        <w:t xml:space="preserve">तितुत्रेष्वग्रहादीनाम्</w:t>
      </w:r>
      <w:r>
        <w:t xml:space="preserve"> </w:t>
      </w:r>
      <w:r>
        <w:t xml:space="preserve">(पा. सू. ७-२-९, भा. वा. १) the prohibition does not apply to</w:t>
      </w:r>
      <w:r>
        <w:t xml:space="preserve"> </w:t>
      </w:r>
      <w:r>
        <w:t xml:space="preserve">“</w:t>
      </w:r>
      <w:r>
        <w:t xml:space="preserve">ti, tu, tra</w:t>
      </w:r>
      <w:r>
        <w:t xml:space="preserve">”</w:t>
      </w:r>
      <w:r>
        <w:t xml:space="preserve"> </w:t>
      </w:r>
      <w:r>
        <w:t xml:space="preserve">after the</w:t>
      </w:r>
      <w:r>
        <w:t xml:space="preserve"> </w:t>
      </w:r>
      <w:r>
        <w:t xml:space="preserve">“</w:t>
      </w:r>
      <w:r>
        <w:t xml:space="preserve">grahādi</w:t>
      </w:r>
      <w:r>
        <w:t xml:space="preserve">”</w:t>
      </w:r>
      <w:r>
        <w:t xml:space="preserve"> </w:t>
      </w:r>
      <w:r>
        <w:t xml:space="preserve">roots; the</w:t>
      </w:r>
      <w:r>
        <w:t xml:space="preserve"> </w:t>
      </w:r>
      <w:r>
        <w:t xml:space="preserve">“</w:t>
      </w:r>
      <w:r>
        <w:t xml:space="preserve">grahādi</w:t>
      </w:r>
      <w:r>
        <w:t xml:space="preserve">”</w:t>
      </w:r>
      <w:r>
        <w:t xml:space="preserve"> </w:t>
      </w:r>
      <w:r>
        <w:t xml:space="preserve">list is an ākṛtigaṇa, so here too the prohibition does not apply, as in</w:t>
      </w:r>
      <w:r>
        <w:t xml:space="preserve"> </w:t>
      </w:r>
      <w:r>
        <w:t xml:space="preserve">“</w:t>
      </w:r>
      <w:r>
        <w:t xml:space="preserve">nigṛhītiḥ, nipaṭhitiḥ.</w:t>
      </w:r>
      <w:r>
        <w:t xml:space="preserve">”</w:t>
      </w:r>
      <w:r>
        <w:t xml:space="preserve"> </w:t>
      </w:r>
      <w:r>
        <w:rPr>
          <w:bCs/>
          <w:b/>
        </w:rPr>
        <w:t xml:space="preserve">विप्रासः</w:t>
      </w:r>
      <w:r>
        <w:t xml:space="preserve"> </w:t>
      </w:r>
      <w:r>
        <w:t xml:space="preserve">—</w:t>
      </w:r>
      <w:r>
        <w:t xml:space="preserve"> </w:t>
      </w:r>
      <w:r>
        <w:t xml:space="preserve">“</w:t>
      </w:r>
      <w:r>
        <w:t xml:space="preserve">ṛjrendrāgravipra…</w:t>
      </w:r>
      <w:r>
        <w:t xml:space="preserve">”</w:t>
      </w:r>
      <w:r>
        <w:t xml:space="preserve"> </w:t>
      </w:r>
      <w:r>
        <w:t xml:space="preserve">(उ. सू. २-१८६) forms</w:t>
      </w:r>
      <w:r>
        <w:t xml:space="preserve"> </w:t>
      </w:r>
      <w:r>
        <w:t xml:space="preserve">“</w:t>
      </w:r>
      <w:r>
        <w:t xml:space="preserve">vipra</w:t>
      </w:r>
      <w:r>
        <w:t xml:space="preserve">”</w:t>
      </w:r>
      <w:r>
        <w:t xml:space="preserve"> </w:t>
      </w:r>
      <w:r>
        <w:t xml:space="preserve">with</w:t>
      </w:r>
      <w:r>
        <w:t xml:space="preserve"> </w:t>
      </w:r>
      <w:r>
        <w:t xml:space="preserve">“</w:t>
      </w:r>
      <w:r>
        <w:t xml:space="preserve">ran</w:t>
      </w:r>
      <w:r>
        <w:t xml:space="preserve">”</w:t>
      </w:r>
      <w:r>
        <w:t xml:space="preserve"> </w:t>
      </w:r>
      <w:r>
        <w:t xml:space="preserve">by nipātana, so first-syllable acute by the</w:t>
      </w:r>
      <w:r>
        <w:t xml:space="preserve"> </w:t>
      </w:r>
      <w:r>
        <w:t xml:space="preserve">“</w:t>
      </w:r>
      <w:r>
        <w:t xml:space="preserve">n</w:t>
      </w:r>
      <w:r>
        <w:t xml:space="preserve">”</w:t>
      </w:r>
      <w:r>
        <w:t xml:space="preserve">-mark; in the nominative plural</w:t>
      </w:r>
      <w:r>
        <w:t xml:space="preserve"> </w:t>
      </w:r>
      <w:r>
        <w:rPr>
          <w:bCs/>
          <w:b/>
        </w:rPr>
        <w:t xml:space="preserve">आज्जसेरसुक्</w:t>
      </w:r>
      <w:r>
        <w:t xml:space="preserve"> </w:t>
      </w:r>
      <w:r>
        <w:t xml:space="preserve">(पा. सू. ७-१-५०)</w:t>
      </w:r>
      <w:r>
        <w:t xml:space="preserve"> </w:t>
      </w:r>
      <w:r>
        <w:t xml:space="preserve">“</w:t>
      </w:r>
      <w:r>
        <w:t xml:space="preserve">asuk.</w:t>
      </w:r>
      <w:r>
        <w:t xml:space="preserve">”</w:t>
      </w:r>
      <w:r>
        <w:t xml:space="preserve"> </w:t>
      </w:r>
      <w:r>
        <w:rPr>
          <w:bCs/>
          <w:b/>
        </w:rPr>
        <w:t xml:space="preserve">धियायवः</w:t>
      </w:r>
      <w:r>
        <w:t xml:space="preserve"> </w:t>
      </w:r>
      <w:r>
        <w:t xml:space="preserve">—</w:t>
      </w:r>
      <w:r>
        <w:t xml:space="preserve"> </w:t>
      </w:r>
      <w:r>
        <w:t xml:space="preserve">“</w:t>
      </w:r>
      <w:r>
        <w:t xml:space="preserve">dhi dhāraṇe</w:t>
      </w:r>
      <w:r>
        <w:t xml:space="preserve">”</w:t>
      </w:r>
      <w:r>
        <w:t xml:space="preserve">:</w:t>
      </w:r>
      <w:r>
        <w:t xml:space="preserve"> </w:t>
      </w:r>
      <w:r>
        <w:t xml:space="preserve">“</w:t>
      </w:r>
      <w:r>
        <w:t xml:space="preserve">dhīyate dhāryate ’vabudhyate śrutam arthajātaṃ sarvam anayā iti dhiyā prajñā</w:t>
      </w:r>
      <w:r>
        <w:t xml:space="preserve">”</w:t>
      </w:r>
      <w:r>
        <w:t xml:space="preserve">;</w:t>
      </w:r>
      <w:r>
        <w:t xml:space="preserve"> </w:t>
      </w:r>
      <w:r>
        <w:t xml:space="preserve">“</w:t>
      </w:r>
      <w:r>
        <w:t xml:space="preserve">dhiyam ātmana icchati</w:t>
      </w:r>
      <w:r>
        <w:t xml:space="preserve">”</w:t>
      </w:r>
      <w:r>
        <w:t xml:space="preserve">:</w:t>
      </w:r>
      <w:r>
        <w:t xml:space="preserve"> </w:t>
      </w:r>
      <w:r>
        <w:rPr>
          <w:bCs/>
          <w:b/>
        </w:rPr>
        <w:t xml:space="preserve">सुप आत्मनः क्यच्</w:t>
      </w:r>
      <w:r>
        <w:t xml:space="preserve"> </w:t>
      </w:r>
      <w:r>
        <w:t xml:space="preserve">(पा. सू. ३-१-८)</w:t>
      </w:r>
      <w:r>
        <w:t xml:space="preserve"> </w:t>
      </w:r>
      <w:r>
        <w:t xml:space="preserve">“</w:t>
      </w:r>
      <w:r>
        <w:t xml:space="preserve">kyac</w:t>
      </w:r>
      <w:r>
        <w:t xml:space="preserve">”</w:t>
      </w:r>
      <w:r>
        <w:t xml:space="preserve">;</w:t>
      </w:r>
      <w:r>
        <w:t xml:space="preserve"> </w:t>
      </w:r>
      <w:r>
        <w:rPr>
          <w:bCs/>
          <w:b/>
        </w:rPr>
        <w:t xml:space="preserve">क्याच्छन्दसि</w:t>
      </w:r>
      <w:r>
        <w:t xml:space="preserve"> </w:t>
      </w:r>
      <w:r>
        <w:t xml:space="preserve">(पा. सू. ३-२-१७०)</w:t>
      </w:r>
      <w:r>
        <w:t xml:space="preserve"> </w:t>
      </w:r>
      <w:r>
        <w:t xml:space="preserve">“</w:t>
      </w:r>
      <w:r>
        <w:t xml:space="preserve">u</w:t>
      </w:r>
      <w:r>
        <w:t xml:space="preserve">”</w:t>
      </w:r>
      <w:r>
        <w:t xml:space="preserve"> </w:t>
      </w:r>
      <w:r>
        <w:t xml:space="preserve">in the</w:t>
      </w:r>
      <w:r>
        <w:t xml:space="preserve"> </w:t>
      </w:r>
      <w:r>
        <w:t xml:space="preserve">“</w:t>
      </w:r>
      <w:r>
        <w:t xml:space="preserve">tācchīlya</w:t>
      </w:r>
      <w:r>
        <w:t xml:space="preserve">”</w:t>
      </w:r>
      <w:r>
        <w:t xml:space="preserve"> </w:t>
      </w:r>
      <w:r>
        <w:t xml:space="preserve">senses after roots ending in</w:t>
      </w:r>
      <w:r>
        <w:t xml:space="preserve"> </w:t>
      </w:r>
      <w:r>
        <w:t xml:space="preserve">“</w:t>
      </w:r>
      <w:r>
        <w:t xml:space="preserve">kyac, kyaṣ, kyaṅ</w:t>
      </w:r>
      <w:r>
        <w:t xml:space="preserve">”</w:t>
      </w:r>
      <w:r>
        <w:t xml:space="preserve"> </w:t>
      </w:r>
      <w:r>
        <w:t xml:space="preserve">and the kaṇḍvādi</w:t>
      </w:r>
      <w:r>
        <w:t xml:space="preserve"> </w:t>
      </w:r>
      <w:r>
        <w:t xml:space="preserve">“</w:t>
      </w:r>
      <w:r>
        <w:t xml:space="preserve">yak</w:t>
      </w:r>
      <w:r>
        <w:t xml:space="preserve">”</w:t>
      </w:r>
      <w:r>
        <w:t xml:space="preserve">;</w:t>
      </w:r>
      <w:r>
        <w:t xml:space="preserve"> </w:t>
      </w:r>
      <w:r>
        <w:rPr>
          <w:bCs/>
          <w:b/>
        </w:rPr>
        <w:t xml:space="preserve">अतो लोपः</w:t>
      </w:r>
      <w:r>
        <w:t xml:space="preserve"> </w:t>
      </w:r>
      <w:r>
        <w:t xml:space="preserve">(पा. सू. ६-४-४८) the loss of</w:t>
      </w:r>
      <w:r>
        <w:t xml:space="preserve"> </w:t>
      </w:r>
      <w:r>
        <w:t xml:space="preserve">“</w:t>
      </w:r>
      <w:r>
        <w:t xml:space="preserve">a</w:t>
      </w:r>
      <w:r>
        <w:t xml:space="preserve">”</w:t>
      </w:r>
      <w:r>
        <w:t xml:space="preserve"> </w:t>
      </w:r>
      <w:r>
        <w:t xml:space="preserve">before an ārdhadhātuka:</w:t>
      </w:r>
      <w:r>
        <w:t xml:space="preserve"> </w:t>
      </w:r>
      <w:r>
        <w:t xml:space="preserve">“</w:t>
      </w:r>
      <w:r>
        <w:t xml:space="preserve">dhiyāyu,</w:t>
      </w:r>
      <w:r>
        <w:t xml:space="preserve">”</w:t>
      </w:r>
      <w:r>
        <w:t xml:space="preserve"> </w:t>
      </w:r>
      <w:r>
        <w:t xml:space="preserve">end-acute by the affix accent; nominative plural</w:t>
      </w:r>
      <w:r>
        <w:t xml:space="preserve"> </w:t>
      </w:r>
      <w:r>
        <w:t xml:space="preserve">“</w:t>
      </w:r>
      <w:r>
        <w:t xml:space="preserve">dhiyāyavaḥ.</w:t>
      </w:r>
      <w:r>
        <w:t xml:space="preserve">”</w:t>
      </w:r>
      <w:r>
        <w:t xml:space="preserve"> </w:t>
      </w:r>
      <w:r>
        <w:rPr>
          <w:bCs/>
          <w:b/>
        </w:rPr>
        <w:t xml:space="preserve">॥६॥</w:t>
      </w:r>
    </w:p>
    <w:p>
      <w:r>
        <w:pict>
          <v:rect style="width:0;height:1.5pt" o:hralign="center" o:hrstd="t" o:hr="t"/>
        </w:pict>
      </w:r>
    </w:p>
    <w:bookmarkEnd w:id="354"/>
    <w:bookmarkStart w:id="355" w:name="page-327-sūkta-8-rik-7"/>
    <w:p>
      <w:pPr>
        <w:pStyle w:val="Heading3"/>
      </w:pPr>
      <w:r>
        <w:t xml:space="preserve">Page 327 — Sūkta 8, Rik 7</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यः कु॒क्षिः सो॑म॒पात॑मः समु॒द्र इ॑व॒ पिन्व॑ते ।</w:t>
      </w:r>
      <w:r>
        <w:t xml:space="preserve"> </w:t>
      </w:r>
      <w:r>
        <w:t xml:space="preserve">उ॒र्वीरापो॒ न का॒कुदः॑ ॥७॥</w:t>
      </w:r>
    </w:p>
    <w:p>
      <w:pPr>
        <w:pStyle w:val="BlockText"/>
      </w:pPr>
      <w:r>
        <w:rPr>
          <w:iCs/>
          <w:i/>
        </w:rPr>
        <w:t xml:space="preserve">yáḥ kukṣíḥ somapā́tamaḥ samudrá iva pínvate |</w:t>
      </w:r>
      <w:r>
        <w:t xml:space="preserve"> </w:t>
      </w:r>
      <w:r>
        <w:rPr>
          <w:iCs/>
          <w:i/>
        </w:rPr>
        <w:t xml:space="preserve">urvī́r ā́po ná kākúdaḥ ||7||</w:t>
      </w:r>
    </w:p>
    <w:p>
      <w:pPr>
        <w:pStyle w:val="FirstParagraph"/>
      </w:pPr>
      <w:r>
        <w:rPr>
          <w:bCs/>
          <w:b/>
        </w:rPr>
        <w:t xml:space="preserve">॥ Pada-pāṭhaḥ ॥</w:t>
      </w:r>
    </w:p>
    <w:p>
      <w:pPr>
        <w:pStyle w:val="BlockText"/>
      </w:pPr>
      <w:r>
        <w:t xml:space="preserve">यः । कुक्षिः । सोमऽपातमः । समुद्रः । इव । पिन्वते ॥</w:t>
      </w:r>
      <w:r>
        <w:t xml:space="preserve"> </w:t>
      </w:r>
      <w:r>
        <w:t xml:space="preserve">उर्वीः । आपः । न । काकुदः ॥७॥</w:t>
      </w:r>
    </w:p>
    <w:p>
      <w:pPr>
        <w:pStyle w:val="BlockText"/>
      </w:pPr>
      <w:r>
        <w:rPr>
          <w:iCs/>
          <w:i/>
        </w:rPr>
        <w:t xml:space="preserve">yaḥ | kukṣiḥ | soma-pātamaḥ | samudraḥ | iva | pinvate ||</w:t>
      </w:r>
      <w:r>
        <w:t xml:space="preserve"> </w:t>
      </w:r>
      <w:r>
        <w:rPr>
          <w:iCs/>
          <w:i/>
        </w:rPr>
        <w:t xml:space="preserve">urvīḥ | āpaḥ | na | kākudaḥ ||7||</w:t>
      </w:r>
    </w:p>
    <w:bookmarkEnd w:id="355"/>
    <w:bookmarkStart w:id="356" w:name="page-328-rik-7-sāyaṇa-bhāṣya"/>
    <w:p>
      <w:pPr>
        <w:pStyle w:val="Heading3"/>
      </w:pPr>
      <w:r>
        <w:t xml:space="preserve">Page 328 — Rik 7: Sāyaṇa-bhāṣya</w:t>
      </w:r>
    </w:p>
    <w:p>
      <w:pPr>
        <w:pStyle w:val="FirstParagraph"/>
      </w:pPr>
      <w:r>
        <w:rPr>
          <w:bCs/>
          <w:b/>
        </w:rPr>
        <w:t xml:space="preserve">॥ Sāyaṇa-bhāṣyam ॥</w:t>
      </w:r>
    </w:p>
    <w:p>
      <w:pPr>
        <w:pStyle w:val="BlockText"/>
      </w:pPr>
      <w:r>
        <w:t xml:space="preserve">यः कुक्षिरस्येन्द्रस्योदरप्रदेशः सोमपातमो ऽतिशयेन सोमस्य पाता स कुक्षिः समुद्र इव पिन्वते । वर्धते । सेचनार्थो धातुरौचित्येन वृद्धिं लक्षयति । काकुदो मुखसंबन्धिन्य उर्वीर्बह्व्य आपो न जलानीव । जिह्वासंबन्धमास्योदकं यथा कदाचिदपि न शुष्यति तथेन्द्रस्य कुक्षिः सोमपूरितो न शुष्यतीत्यर्थः । यद्यपि श्लोक इत्यादिषु सप्तपञ्चाशत्सु वाङ्नामसु काकुज्जिह्वेति पठितं तथाप्युदकसंबन्धसिद्ध्यर्थमत्र काकुच्छब्देन मुखमुपलक्ष्यते । संबन्धवाचिनस्तद्धितस्यात्र छान्दसो लोपो द्रष्टव्यः ॥</w:t>
      </w:r>
    </w:p>
    <w:p>
      <w:pPr>
        <w:pStyle w:val="BlockText"/>
      </w:pPr>
      <w:r>
        <w:rPr>
          <w:iCs/>
          <w:i/>
        </w:rPr>
        <w:t xml:space="preserve">yaḥ kukṣir asyendrasyodara-pradeśaḥ somapātamo ’tiśayena somasya pātā sa kukṣiḥ samudra iva pinvate | vardhate | secanārtho dhātur aucityena vṛddhiṃ lakṣayati | kākudo mukha-saṃbandhinya urvīr bahvya āpo na jalānīva | jihvā-saṃbandham āsyodakaṃ yathā kadācid api na śuṣyati tathendrasya kukṣiḥ soma-pūrito na śuṣyatīty arthaḥ | yadyapi śloka ity-ādiṣu saptapañcāśatsu vāṅ-nāmasu kākuj jihveti paṭhitaṃ tathāpy udaka-saṃbandha-siddhy-artham atra kākuc-chabdena mukham upalakṣyate | saṃbandha-vācinas taddhitasyātra chāndaso lopo draṣṭavyaḥ ||</w:t>
      </w:r>
    </w:p>
    <w:p>
      <w:pPr>
        <w:pStyle w:val="FirstParagraph"/>
      </w:pPr>
      <w:r>
        <w:rPr>
          <w:bCs/>
          <w:b/>
        </w:rPr>
        <w:t xml:space="preserve">Translation:</w:t>
      </w:r>
      <w:r>
        <w:t xml:space="preserve"> </w:t>
      </w:r>
      <w:r>
        <w:t xml:space="preserve">“</w:t>
      </w:r>
      <w:r>
        <w:t xml:space="preserve">That belly (</w:t>
      </w:r>
      <w:r>
        <w:rPr>
          <w:iCs/>
          <w:i/>
        </w:rPr>
        <w:t xml:space="preserve">kukṣiḥ</w:t>
      </w:r>
      <w:r>
        <w:t xml:space="preserve">) — the region of the stomach — of Indra,</w:t>
      </w:r>
      <w:r>
        <w:t xml:space="preserve"> </w:t>
      </w:r>
      <w:r>
        <w:rPr>
          <w:iCs/>
          <w:i/>
        </w:rPr>
        <w:t xml:space="preserve">somapātamaḥ</w:t>
      </w:r>
      <w:r>
        <w:t xml:space="preserve"> </w:t>
      </w:r>
      <w:r>
        <w:t xml:space="preserve">— which drinks Soma to the utmost — that belly swells (</w:t>
      </w:r>
      <w:r>
        <w:rPr>
          <w:iCs/>
          <w:i/>
        </w:rPr>
        <w:t xml:space="preserve">pinvate</w:t>
      </w:r>
      <w:r>
        <w:t xml:space="preserve">, grows) like the ocean. The root [</w:t>
      </w:r>
      <w:r>
        <w:rPr>
          <w:iCs/>
          <w:i/>
        </w:rPr>
        <w:t xml:space="preserve">pinv</w:t>
      </w:r>
      <w:r>
        <w:t xml:space="preserve">] has the sense of sprinkling; by propriety it here indicates growth.</w:t>
      </w:r>
      <w:r>
        <w:t xml:space="preserve"> </w:t>
      </w:r>
      <w:r>
        <w:rPr>
          <w:iCs/>
          <w:i/>
        </w:rPr>
        <w:t xml:space="preserve">Kākudaḥ</w:t>
      </w:r>
      <w:r>
        <w:t xml:space="preserve"> </w:t>
      </w:r>
      <w:r>
        <w:t xml:space="preserve">— [the waters] connected with the mouth:</w:t>
      </w:r>
      <w:r>
        <w:t xml:space="preserve"> </w:t>
      </w:r>
      <w:r>
        <w:rPr>
          <w:iCs/>
          <w:i/>
        </w:rPr>
        <w:t xml:space="preserve">urvīḥ</w:t>
      </w:r>
      <w:r>
        <w:t xml:space="preserve">, many</w:t>
      </w:r>
      <w:r>
        <w:t xml:space="preserve"> </w:t>
      </w:r>
      <w:r>
        <w:rPr>
          <w:iCs/>
          <w:i/>
        </w:rPr>
        <w:t xml:space="preserve">āpaḥ</w:t>
      </w:r>
      <w:r>
        <w:t xml:space="preserve">, like waters. As the water in the mouth, connected with the tongue, never at any time dries up, so Indra’s belly, filled with Soma, does not dry — this is the sense. Although</w:t>
      </w:r>
      <w:r>
        <w:t xml:space="preserve"> </w:t>
      </w:r>
      <w:r>
        <w:rPr>
          <w:iCs/>
          <w:i/>
        </w:rPr>
        <w:t xml:space="preserve">kākut</w:t>
      </w:r>
      <w:r>
        <w:t xml:space="preserve"> </w:t>
      </w:r>
      <w:r>
        <w:t xml:space="preserve">and</w:t>
      </w:r>
      <w:r>
        <w:t xml:space="preserve"> </w:t>
      </w:r>
      <w:r>
        <w:rPr>
          <w:iCs/>
          <w:i/>
        </w:rPr>
        <w:t xml:space="preserve">jihvā</w:t>
      </w:r>
      <w:r>
        <w:t xml:space="preserve"> </w:t>
      </w:r>
      <w:r>
        <w:t xml:space="preserve">are read among the fifty-seven words for speech beginning with</w:t>
      </w:r>
      <w:r>
        <w:t xml:space="preserve"> </w:t>
      </w:r>
      <w:r>
        <w:rPr>
          <w:iCs/>
          <w:i/>
        </w:rPr>
        <w:t xml:space="preserve">śloka</w:t>
      </w:r>
      <w:r>
        <w:t xml:space="preserve">, still here, to establish the connection with water, the mouth is indicated by the word</w:t>
      </w:r>
      <w:r>
        <w:t xml:space="preserve"> </w:t>
      </w:r>
      <w:r>
        <w:rPr>
          <w:iCs/>
          <w:i/>
        </w:rPr>
        <w:t xml:space="preserve">kākut</w:t>
      </w:r>
      <w:r>
        <w:t xml:space="preserve">. The</w:t>
      </w:r>
      <w:r>
        <w:t xml:space="preserve"> </w:t>
      </w:r>
      <w:r>
        <w:rPr>
          <w:iCs/>
          <w:i/>
        </w:rPr>
        <w:t xml:space="preserve">taddhita</w:t>
      </w:r>
      <w:r>
        <w:t xml:space="preserve"> </w:t>
      </w:r>
      <w:r>
        <w:t xml:space="preserve">suffix of relation has been dropped here by Vedic license.</w:t>
      </w:r>
      <w:r>
        <w:t xml:space="preserve">”</w:t>
      </w:r>
    </w:p>
    <w:p>
      <w:pPr>
        <w:pStyle w:val="BodyText"/>
      </w:pPr>
      <w:r>
        <w:rPr>
          <w:bCs/>
          <w:b/>
        </w:rPr>
        <w:t xml:space="preserve">Grammar of the Bhāṣya (characterized, references as printed):</w:t>
      </w:r>
      <w:r>
        <w:t xml:space="preserve"> </w:t>
      </w:r>
      <w:r>
        <w:t xml:space="preserve">“</w:t>
      </w:r>
      <w:r>
        <w:t xml:space="preserve">Somapātamaḥ</w:t>
      </w:r>
      <w:r>
        <w:t xml:space="preserve">”</w:t>
      </w:r>
      <w:r>
        <w:t xml:space="preserve"> </w:t>
      </w:r>
      <w:r>
        <w:t xml:space="preserve">—</w:t>
      </w:r>
      <w:r>
        <w:t xml:space="preserve"> </w:t>
      </w:r>
      <w:r>
        <w:t xml:space="preserve">“</w:t>
      </w:r>
      <w:r>
        <w:t xml:space="preserve">somaṃ pibatīti somapāḥ</w:t>
      </w:r>
      <w:r>
        <w:t xml:space="preserve">”</w:t>
      </w:r>
      <w:r>
        <w:t xml:space="preserve">; the</w:t>
      </w:r>
      <w:r>
        <w:t xml:space="preserve"> </w:t>
      </w:r>
      <w:r>
        <w:t xml:space="preserve">“</w:t>
      </w:r>
      <w:r>
        <w:t xml:space="preserve">ā</w:t>
      </w:r>
      <w:r>
        <w:t xml:space="preserve">”</w:t>
      </w:r>
      <w:r>
        <w:t xml:space="preserve"> </w:t>
      </w:r>
      <w:r>
        <w:t xml:space="preserve">acute by the root accent, kept by the kṛt-final second member’s accent;</w:t>
      </w:r>
      <w:r>
        <w:t xml:space="preserve"> </w:t>
      </w:r>
      <w:r>
        <w:t xml:space="preserve">“</w:t>
      </w:r>
      <w:r>
        <w:t xml:space="preserve">tamap,</w:t>
      </w:r>
      <w:r>
        <w:t xml:space="preserve">”</w:t>
      </w:r>
      <w:r>
        <w:t xml:space="preserve"> </w:t>
      </w:r>
      <w:r>
        <w:t xml:space="preserve">“</w:t>
      </w:r>
      <w:r>
        <w:t xml:space="preserve">p</w:t>
      </w:r>
      <w:r>
        <w:t xml:space="preserve">”</w:t>
      </w:r>
      <w:r>
        <w:t xml:space="preserve">-marked, unaccented.</w:t>
      </w:r>
      <w:r>
        <w:t xml:space="preserve"> </w:t>
      </w:r>
      <w:r>
        <w:t xml:space="preserve">“</w:t>
      </w:r>
      <w:r>
        <w:t xml:space="preserve">Samudraḥ</w:t>
      </w:r>
      <w:r>
        <w:t xml:space="preserve">”</w:t>
      </w:r>
      <w:r>
        <w:t xml:space="preserve"> </w:t>
      </w:r>
      <w:r>
        <w:t xml:space="preserve">— end-acute as a stem.</w:t>
      </w:r>
      <w:r>
        <w:t xml:space="preserve"> </w:t>
      </w:r>
      <w:r>
        <w:t xml:space="preserve">“</w:t>
      </w:r>
      <w:r>
        <w:t xml:space="preserve">Iva</w:t>
      </w:r>
      <w:r>
        <w:t xml:space="preserve">”</w:t>
      </w:r>
      <w:r>
        <w:t xml:space="preserve"> </w:t>
      </w:r>
      <w:r>
        <w:t xml:space="preserve">— with</w:t>
      </w:r>
      <w:r>
        <w:t xml:space="preserve"> </w:t>
      </w:r>
      <w:r>
        <w:t xml:space="preserve">“</w:t>
      </w:r>
      <w:r>
        <w:t xml:space="preserve">iva,</w:t>
      </w:r>
      <w:r>
        <w:t xml:space="preserve">”</w:t>
      </w:r>
      <w:r>
        <w:t xml:space="preserve"> </w:t>
      </w:r>
      <w:r>
        <w:t xml:space="preserve">no loss of the case-ending and the first member’s accent, by the vārttika (पा. २-१-४-२).</w:t>
      </w:r>
      <w:r>
        <w:t xml:space="preserve"> </w:t>
      </w:r>
      <w:r>
        <w:t xml:space="preserve">“</w:t>
      </w:r>
      <w:r>
        <w:t xml:space="preserve">Pinvate</w:t>
      </w:r>
      <w:r>
        <w:t xml:space="preserve">”</w:t>
      </w:r>
      <w:r>
        <w:t xml:space="preserve"> </w:t>
      </w:r>
      <w:r>
        <w:t xml:space="preserve">—</w:t>
      </w:r>
      <w:r>
        <w:t xml:space="preserve"> </w:t>
      </w:r>
      <w:r>
        <w:t xml:space="preserve">“</w:t>
      </w:r>
      <w:r>
        <w:t xml:space="preserve">pivi secane,</w:t>
      </w:r>
      <w:r>
        <w:t xml:space="preserve">”</w:t>
      </w:r>
      <w:r>
        <w:t xml:space="preserve"> </w:t>
      </w:r>
      <w:r>
        <w:t xml:space="preserve">“</w:t>
      </w:r>
      <w:r>
        <w:t xml:space="preserve">i</w:t>
      </w:r>
      <w:r>
        <w:t xml:space="preserve">”</w:t>
      </w:r>
      <w:r>
        <w:t xml:space="preserve">-marked, so</w:t>
      </w:r>
      <w:r>
        <w:t xml:space="preserve"> </w:t>
      </w:r>
      <w:r>
        <w:t xml:space="preserve">“</w:t>
      </w:r>
      <w:r>
        <w:t xml:space="preserve">num</w:t>
      </w:r>
      <w:r>
        <w:t xml:space="preserve">”</w:t>
      </w:r>
      <w:r>
        <w:t xml:space="preserve"> </w:t>
      </w:r>
      <w:r>
        <w:t xml:space="preserve">by</w:t>
      </w:r>
      <w:r>
        <w:t xml:space="preserve"> </w:t>
      </w:r>
      <w:r>
        <w:t xml:space="preserve">“</w:t>
      </w:r>
      <w:r>
        <w:t xml:space="preserve">idito num dhātoḥ</w:t>
      </w:r>
      <w:r>
        <w:t xml:space="preserve">”</w:t>
      </w:r>
      <w:r>
        <w:t xml:space="preserve">;</w:t>
      </w:r>
      <w:r>
        <w:t xml:space="preserve"> </w:t>
      </w:r>
      <w:r>
        <w:t xml:space="preserve">“</w:t>
      </w:r>
      <w:r>
        <w:t xml:space="preserve">śap,</w:t>
      </w:r>
      <w:r>
        <w:t xml:space="preserve">”</w:t>
      </w:r>
      <w:r>
        <w:t xml:space="preserve"> </w:t>
      </w:r>
      <w:r>
        <w:t xml:space="preserve">“</w:t>
      </w:r>
      <w:r>
        <w:t xml:space="preserve">p</w:t>
      </w:r>
      <w:r>
        <w:t xml:space="preserve">”</w:t>
      </w:r>
      <w:r>
        <w:t xml:space="preserve">-marked, unaccented, and the lasārvadhātuka, so the root accent remains.</w:t>
      </w:r>
      <w:r>
        <w:t xml:space="preserve"> </w:t>
      </w:r>
      <w:r>
        <w:t xml:space="preserve">“</w:t>
      </w:r>
      <w:r>
        <w:t xml:space="preserve">Urvīḥ</w:t>
      </w:r>
      <w:r>
        <w:t xml:space="preserve">”</w:t>
      </w:r>
      <w:r>
        <w:t xml:space="preserve"> </w:t>
      </w:r>
      <w:r>
        <w:t xml:space="preserve">—</w:t>
      </w:r>
      <w:r>
        <w:t xml:space="preserve"> </w:t>
      </w:r>
      <w:r>
        <w:t xml:space="preserve">“</w:t>
      </w:r>
      <w:r>
        <w:t xml:space="preserve">uru,</w:t>
      </w:r>
      <w:r>
        <w:t xml:space="preserve">”</w:t>
      </w:r>
      <w:r>
        <w:t xml:space="preserve"> </w:t>
      </w:r>
      <w:r>
        <w:t xml:space="preserve">end-acute;</w:t>
      </w:r>
      <w:r>
        <w:t xml:space="preserve"> </w:t>
      </w:r>
      <w:r>
        <w:rPr>
          <w:bCs/>
          <w:b/>
        </w:rPr>
        <w:t xml:space="preserve">वोतो गुणवचनात्</w:t>
      </w:r>
      <w:r>
        <w:t xml:space="preserve"> </w:t>
      </w:r>
      <w:r>
        <w:t xml:space="preserve">(पा. ४-१-४४)</w:t>
      </w:r>
      <w:r>
        <w:t xml:space="preserve"> </w:t>
      </w:r>
      <w:r>
        <w:t xml:space="preserve">“</w:t>
      </w:r>
      <w:r>
        <w:t xml:space="preserve">ṅīṣ</w:t>
      </w:r>
      <w:r>
        <w:t xml:space="preserve">”</w:t>
      </w:r>
      <w:r>
        <w:t xml:space="preserve">;</w:t>
      </w:r>
      <w:r>
        <w:t xml:space="preserve"> </w:t>
      </w:r>
      <w:r>
        <w:t xml:space="preserve">“</w:t>
      </w:r>
      <w:r>
        <w:t xml:space="preserve">y</w:t>
      </w:r>
      <w:r>
        <w:t xml:space="preserve">”</w:t>
      </w:r>
      <w:r>
        <w:t xml:space="preserve"> </w:t>
      </w:r>
      <w:r>
        <w:t xml:space="preserve">substitute;</w:t>
      </w:r>
      <w:r>
        <w:t xml:space="preserve"> </w:t>
      </w:r>
      <w:r>
        <w:rPr>
          <w:bCs/>
          <w:b/>
        </w:rPr>
        <w:t xml:space="preserve">उदात्तयणो हल्पूर्वात्</w:t>
      </w:r>
      <w:r>
        <w:t xml:space="preserve"> </w:t>
      </w:r>
      <w:r>
        <w:t xml:space="preserve">(पा. ६-१-१७४) the</w:t>
      </w:r>
      <w:r>
        <w:t xml:space="preserve"> </w:t>
      </w:r>
      <w:r>
        <w:t xml:space="preserve">“</w:t>
      </w:r>
      <w:r>
        <w:t xml:space="preserve">ī</w:t>
      </w:r>
      <w:r>
        <w:t xml:space="preserve">”</w:t>
      </w:r>
      <w:r>
        <w:t xml:space="preserve"> </w:t>
      </w:r>
      <w:r>
        <w:t xml:space="preserve">acute; with</w:t>
      </w:r>
      <w:r>
        <w:t xml:space="preserve"> </w:t>
      </w:r>
      <w:r>
        <w:t xml:space="preserve">“</w:t>
      </w:r>
      <w:r>
        <w:t xml:space="preserve">jas,</w:t>
      </w:r>
      <w:r>
        <w:t xml:space="preserve">”</w:t>
      </w:r>
      <w:r>
        <w:t xml:space="preserve"> </w:t>
      </w:r>
      <w:r>
        <w:t xml:space="preserve">the single substitute acute.</w:t>
      </w:r>
      <w:r>
        <w:t xml:space="preserve"> </w:t>
      </w:r>
      <w:r>
        <w:t xml:space="preserve">“</w:t>
      </w:r>
      <w:r>
        <w:t xml:space="preserve">Āpaḥ</w:t>
      </w:r>
      <w:r>
        <w:t xml:space="preserve">”</w:t>
      </w:r>
      <w:r>
        <w:t xml:space="preserve"> </w:t>
      </w:r>
      <w:r>
        <w:t xml:space="preserve">— the stem accent.</w:t>
      </w:r>
      <w:r>
        <w:t xml:space="preserve"> </w:t>
      </w:r>
      <w:r>
        <w:t xml:space="preserve">“</w:t>
      </w:r>
      <w:r>
        <w:t xml:space="preserve">Kākudaḥ</w:t>
      </w:r>
      <w:r>
        <w:t xml:space="preserve">”</w:t>
      </w:r>
      <w:r>
        <w:t xml:space="preserve"> </w:t>
      </w:r>
      <w:r>
        <w:t xml:space="preserve">— end-acute by the stem accent.</w:t>
      </w:r>
    </w:p>
    <w:p>
      <w:pPr>
        <w:pStyle w:val="BodyText"/>
      </w:pPr>
      <w:r>
        <w:rPr>
          <w:bCs/>
          <w:b/>
        </w:rPr>
        <w:t xml:space="preserve">॥ Prati-padārthaḥ ॥</w:t>
      </w:r>
    </w:p>
    <w:p>
      <w:pPr>
        <w:pStyle w:val="BodyText"/>
      </w:pPr>
      <w:r>
        <w:rPr>
          <w:bCs/>
          <w:b/>
        </w:rPr>
        <w:t xml:space="preserve">यः कुक्षिः (yaḥ kukṣiḥ)</w:t>
      </w:r>
      <w:r>
        <w:t xml:space="preserve"> </w:t>
      </w:r>
      <w:r>
        <w:t xml:space="preserve">— which belly of Indra |</w:t>
      </w:r>
      <w:r>
        <w:t xml:space="preserve"> </w:t>
      </w:r>
      <w:r>
        <w:rPr>
          <w:bCs/>
          <w:b/>
        </w:rPr>
        <w:t xml:space="preserve">सोमपातमः (somapātamaḥ)</w:t>
      </w:r>
      <w:r>
        <w:t xml:space="preserve"> </w:t>
      </w:r>
      <w:r>
        <w:t xml:space="preserve">— which drinks Soma (that belly) |</w:t>
      </w:r>
      <w:r>
        <w:t xml:space="preserve"> </w:t>
      </w:r>
      <w:r>
        <w:rPr>
          <w:bCs/>
          <w:b/>
        </w:rPr>
        <w:t xml:space="preserve">समुद्रः इव (samudra iva)</w:t>
      </w:r>
      <w:r>
        <w:t xml:space="preserve"> </w:t>
      </w:r>
      <w:r>
        <w:t xml:space="preserve">— like the ocean |</w:t>
      </w:r>
      <w:r>
        <w:t xml:space="preserve"> </w:t>
      </w:r>
      <w:r>
        <w:rPr>
          <w:bCs/>
          <w:b/>
        </w:rPr>
        <w:t xml:space="preserve">पिन्वते (pinvate)</w:t>
      </w:r>
      <w:r>
        <w:t xml:space="preserve"> </w:t>
      </w:r>
      <w:r>
        <w:t xml:space="preserve">— swells, grows big | (and)</w:t>
      </w:r>
      <w:r>
        <w:t xml:space="preserve"> </w:t>
      </w:r>
      <w:r>
        <w:rPr>
          <w:bCs/>
          <w:b/>
        </w:rPr>
        <w:t xml:space="preserve">काकुदः (kākudaḥ)</w:t>
      </w:r>
      <w:r>
        <w:t xml:space="preserve"> </w:t>
      </w:r>
      <w:r>
        <w:t xml:space="preserve">— [of the tongue] connected with the mouth (that is, within the mouth) |</w:t>
      </w:r>
      <w:r>
        <w:t xml:space="preserve"> </w:t>
      </w:r>
      <w:r>
        <w:rPr>
          <w:bCs/>
          <w:b/>
        </w:rPr>
        <w:t xml:space="preserve">उर्वीः (urvīḥ)</w:t>
      </w:r>
      <w:r>
        <w:t xml:space="preserve"> </w:t>
      </w:r>
      <w:r>
        <w:t xml:space="preserve">— abundant |</w:t>
      </w:r>
      <w:r>
        <w:t xml:space="preserve"> </w:t>
      </w:r>
      <w:r>
        <w:rPr>
          <w:bCs/>
          <w:b/>
        </w:rPr>
        <w:t xml:space="preserve">आपः न (āpo na)</w:t>
      </w:r>
      <w:r>
        <w:t xml:space="preserve"> </w:t>
      </w:r>
      <w:r>
        <w:t xml:space="preserve">— like water (is always moist and not dry).</w:t>
      </w:r>
    </w:p>
    <w:p>
      <w:pPr>
        <w:pStyle w:val="BodyText"/>
      </w:pPr>
      <w:r>
        <w:rPr>
          <w:bCs/>
          <w:b/>
        </w:rPr>
        <w:t xml:space="preserve">॥ Bhāvārthaḥ ॥</w:t>
      </w:r>
    </w:p>
    <w:p>
      <w:pPr>
        <w:pStyle w:val="BodyText"/>
      </w:pPr>
      <w:r>
        <w:t xml:space="preserve">Because he drinks Soma to excess, Indra’s belly swells large like the ocean, and the tongue in his mouth is always moist, as if wetted with water.</w:t>
      </w:r>
    </w:p>
    <w:p>
      <w:pPr>
        <w:pStyle w:val="BodyText"/>
      </w:pPr>
      <w:r>
        <w:rPr>
          <w:bCs/>
          <w:b/>
        </w:rPr>
        <w:t xml:space="preserve">॥ English Translation ॥</w:t>
      </w:r>
      <w:r>
        <w:t xml:space="preserve"> </w:t>
      </w:r>
      <w:r>
        <w:rPr>
          <w:iCs/>
          <w:i/>
        </w:rPr>
        <w:t xml:space="preserve">(as printed in the source)</w:t>
      </w:r>
    </w:p>
    <w:p>
      <w:pPr>
        <w:pStyle w:val="BlockText"/>
      </w:pPr>
      <w:r>
        <w:t xml:space="preserve">The belly of Indra which drinks soma-juice most abundantly swells like ocean and like the ample fluids of the palate.</w:t>
      </w:r>
    </w:p>
    <w:bookmarkEnd w:id="356"/>
    <w:bookmarkStart w:id="357" w:name="X3cca29e9ccf13345fc4e1aacda84db850e4d08c"/>
    <w:p>
      <w:pPr>
        <w:pStyle w:val="Heading3"/>
      </w:pPr>
      <w:r>
        <w:t xml:space="preserve">Page 329 — Rik 7: Special Topics and grammar</w:t>
      </w:r>
    </w:p>
    <w:p>
      <w:pPr>
        <w:pStyle w:val="FirstParagraph"/>
      </w:pPr>
      <w:r>
        <w:rPr>
          <w:bCs/>
          <w:b/>
        </w:rPr>
        <w:t xml:space="preserve">॥ Viśeṣa-viṣayagaḷu (Special Topics) ॥</w:t>
      </w:r>
    </w:p>
    <w:p>
      <w:pPr>
        <w:pStyle w:val="BodyText"/>
      </w:pPr>
      <w:r>
        <w:t xml:space="preserve">Here Indra’s drinking of Soma is described by hyperbole (</w:t>
      </w:r>
      <w:r>
        <w:rPr>
          <w:iCs/>
          <w:i/>
        </w:rPr>
        <w:t xml:space="preserve">utprekṣā</w:t>
      </w:r>
      <w:r>
        <w:t xml:space="preserve">): Indra drinks abundant Soma-juice (offered by us), and therefore his belly swells like the ocean; and because he drinks Soma again and again, his palate is always moist with Soma. As the saliva that flows constantly in the human mouth keeps the palate always moist, so Indra’s stomach also is always wet with Soma-drinking and never dries. That is the idea.</w:t>
      </w:r>
    </w:p>
    <w:p>
      <w:pPr>
        <w:pStyle w:val="BodyText"/>
      </w:pPr>
      <w:r>
        <w:rPr>
          <w:bCs/>
          <w:b/>
        </w:rPr>
        <w:t xml:space="preserve">“</w:t>
      </w:r>
      <w:r>
        <w:rPr>
          <w:bCs/>
          <w:b/>
        </w:rPr>
        <w:t xml:space="preserve">Kākudaḥ</w:t>
      </w:r>
      <w:r>
        <w:rPr>
          <w:bCs/>
          <w:b/>
        </w:rPr>
        <w:t xml:space="preserve">”</w:t>
      </w:r>
      <w:r>
        <w:t xml:space="preserve"> </w:t>
      </w:r>
      <w:r>
        <w:t xml:space="preserve">—</w:t>
      </w:r>
      <w:r>
        <w:t xml:space="preserve"> </w:t>
      </w:r>
      <w:r>
        <w:rPr>
          <w:iCs/>
          <w:i/>
        </w:rPr>
        <w:t xml:space="preserve">kakut</w:t>
      </w:r>
      <w:r>
        <w:t xml:space="preserve"> </w:t>
      </w:r>
      <w:r>
        <w:t xml:space="preserve">means the palate (English</w:t>
      </w:r>
      <w:r>
        <w:t xml:space="preserve"> </w:t>
      </w:r>
      <w:r>
        <w:t xml:space="preserve">“</w:t>
      </w:r>
      <w:r>
        <w:t xml:space="preserve">palate</w:t>
      </w:r>
      <w:r>
        <w:t xml:space="preserve">”</w:t>
      </w:r>
      <w:r>
        <w:t xml:space="preserve"> </w:t>
      </w:r>
      <w:r>
        <w:t xml:space="preserve">in the source);</w:t>
      </w:r>
      <w:r>
        <w:t xml:space="preserve"> </w:t>
      </w:r>
      <w:r>
        <w:rPr>
          <w:iCs/>
          <w:i/>
        </w:rPr>
        <w:t xml:space="preserve">kākuda</w:t>
      </w:r>
      <w:r>
        <w:t xml:space="preserve"> </w:t>
      </w:r>
      <w:r>
        <w:t xml:space="preserve">= connected with it. Or, since</w:t>
      </w:r>
      <w:r>
        <w:t xml:space="preserve"> </w:t>
      </w:r>
      <w:r>
        <w:rPr>
          <w:iCs/>
          <w:i/>
        </w:rPr>
        <w:t xml:space="preserve">kākut</w:t>
      </w:r>
      <w:r>
        <w:t xml:space="preserve"> </w:t>
      </w:r>
      <w:r>
        <w:t xml:space="preserve">and</w:t>
      </w:r>
      <w:r>
        <w:t xml:space="preserve"> </w:t>
      </w:r>
      <w:r>
        <w:rPr>
          <w:iCs/>
          <w:i/>
        </w:rPr>
        <w:t xml:space="preserve">jihvā</w:t>
      </w:r>
      <w:r>
        <w:t xml:space="preserve"> </w:t>
      </w:r>
      <w:r>
        <w:t xml:space="preserve">are read among the fifty-seven words for speech beginning with</w:t>
      </w:r>
      <w:r>
        <w:t xml:space="preserve"> </w:t>
      </w:r>
      <w:r>
        <w:rPr>
          <w:iCs/>
          <w:i/>
        </w:rPr>
        <w:t xml:space="preserve">śloka</w:t>
      </w:r>
      <w:r>
        <w:t xml:space="preserve"> </w:t>
      </w:r>
      <w:r>
        <w:t xml:space="preserve">(Ni. 2-23), it is understood to mean</w:t>
      </w:r>
      <w:r>
        <w:t xml:space="preserve"> </w:t>
      </w:r>
      <w:r>
        <w:t xml:space="preserve">“</w:t>
      </w:r>
      <w:r>
        <w:t xml:space="preserve">tongue.</w:t>
      </w:r>
      <w:r>
        <w:t xml:space="preserve">”</w:t>
      </w:r>
      <w:r>
        <w:t xml:space="preserve"> </w:t>
      </w:r>
      <w:r>
        <w:t xml:space="preserve">Everyone knows that the tongue, the mouth, are always moist; that is the comparison the poet draws here. Besides, in the Nirukta there is the statement</w:t>
      </w:r>
      <w:r>
        <w:t xml:space="preserve"> </w:t>
      </w:r>
      <w:r>
        <w:rPr>
          <w:bCs/>
          <w:b/>
        </w:rPr>
        <w:t xml:space="preserve">काकुदं तालु इत्याचक्षते</w:t>
      </w:r>
      <w:r>
        <w:t xml:space="preserve"> </w:t>
      </w:r>
      <w:r>
        <w:t xml:space="preserve">(</w:t>
      </w:r>
      <w:r>
        <w:rPr>
          <w:iCs/>
          <w:i/>
        </w:rPr>
        <w:t xml:space="preserve">kākudaṃ tālv ity ācakṣate</w:t>
      </w:r>
      <w:r>
        <w:t xml:space="preserve">,</w:t>
      </w:r>
      <w:r>
        <w:t xml:space="preserve"> </w:t>
      </w:r>
      <w:r>
        <w:t xml:space="preserve">“</w:t>
      </w:r>
      <w:r>
        <w:t xml:space="preserve">they call the</w:t>
      </w:r>
      <w:r>
        <w:t xml:space="preserve"> </w:t>
      </w:r>
      <w:r>
        <w:rPr>
          <w:iCs/>
          <w:i/>
        </w:rPr>
        <w:t xml:space="preserve">kākuda</w:t>
      </w:r>
      <w:r>
        <w:t xml:space="preserve"> </w:t>
      </w:r>
      <w:r>
        <w:t xml:space="preserve">the palate,</w:t>
      </w:r>
      <w:r>
        <w:t xml:space="preserve">”</w:t>
      </w:r>
      <w:r>
        <w:t xml:space="preserve"> </w:t>
      </w:r>
      <w:r>
        <w:t xml:space="preserve">Ni. 5-26); and this word also means</w:t>
      </w:r>
      <w:r>
        <w:t xml:space="preserve"> </w:t>
      </w:r>
      <w:r>
        <w:t xml:space="preserve">“</w:t>
      </w:r>
      <w:r>
        <w:t xml:space="preserve">mountain peak.</w:t>
      </w:r>
      <w:r>
        <w:t xml:space="preserve">”</w:t>
      </w:r>
      <w:r>
        <w:t xml:space="preserve"> </w:t>
      </w:r>
      <w:r>
        <w:t xml:space="preserve">On that reading the sense is that streams that flow down from the top of a mountain keep the mountain always wet;</w:t>
      </w:r>
      <w:r>
        <w:t xml:space="preserve"> </w:t>
      </w:r>
      <w:r>
        <w:t xml:space="preserve">“</w:t>
      </w:r>
      <w:r>
        <w:t xml:space="preserve">like that</w:t>
      </w:r>
      <w:r>
        <w:t xml:space="preserve">”</w:t>
      </w:r>
      <w:r>
        <w:t xml:space="preserve"> </w:t>
      </w:r>
      <w:r>
        <w:t xml:space="preserve">the sense may also be taken.</w:t>
      </w:r>
    </w:p>
    <w:p>
      <w:pPr>
        <w:pStyle w:val="BodyText"/>
      </w:pPr>
      <w:r>
        <w:rPr>
          <w:bCs/>
          <w:b/>
        </w:rPr>
        <w:t xml:space="preserve">॥ Vyākaraṇa-prakriyā ॥</w:t>
      </w:r>
      <w:r>
        <w:t xml:space="preserve"> </w:t>
      </w:r>
      <w:r>
        <w:rPr>
          <w:iCs/>
          <w:i/>
        </w:rPr>
        <w:t xml:space="preserve">(pp. 329–330, Kannada; page header p. 329</w:t>
      </w:r>
      <w:r>
        <w:rPr>
          <w:iCs/>
          <w:i/>
        </w:rPr>
        <w:t xml:space="preserve"> </w:t>
      </w:r>
      <w:r>
        <w:rPr>
          <w:iCs/>
          <w:i/>
        </w:rPr>
        <w:t xml:space="preserve">“</w:t>
      </w:r>
      <w:r>
        <w:rPr>
          <w:iCs/>
          <w:i/>
        </w:rPr>
        <w:t xml:space="preserve">A. 1, A. 1, Va. 16</w:t>
      </w:r>
      <w:r>
        <w:rPr>
          <w:iCs/>
          <w:i/>
        </w:rPr>
        <w:t xml:space="preserve">”</w:t>
      </w:r>
      <w:r>
        <w:rPr>
          <w:iCs/>
          <w:i/>
        </w:rPr>
        <w:t xml:space="preserve">; numbers as printed)</w:t>
      </w:r>
    </w:p>
    <w:p>
      <w:pPr>
        <w:pStyle w:val="BodyText"/>
      </w:pPr>
      <w:r>
        <w:rPr>
          <w:bCs/>
          <w:b/>
        </w:rPr>
        <w:t xml:space="preserve">सोमपातमः (</w:t>
      </w:r>
      <w:r>
        <w:rPr>
          <w:iCs/>
          <w:i/>
          <w:bCs/>
          <w:b/>
        </w:rPr>
        <w:t xml:space="preserve">somapātamaḥ</w:t>
      </w:r>
      <w:r>
        <w:rPr>
          <w:bCs/>
          <w:b/>
        </w:rPr>
        <w:t xml:space="preserve">)</w:t>
      </w:r>
      <w:r>
        <w:t xml:space="preserve"> </w:t>
      </w:r>
      <w:r>
        <w:t xml:space="preserve">—</w:t>
      </w:r>
      <w:r>
        <w:t xml:space="preserve"> </w:t>
      </w:r>
      <w:r>
        <w:rPr>
          <w:iCs/>
          <w:i/>
        </w:rPr>
        <w:t xml:space="preserve">somaṃ pibati iti somapāḥ</w:t>
      </w:r>
      <w:r>
        <w:t xml:space="preserve">: the</w:t>
      </w:r>
      <w:r>
        <w:t xml:space="preserve"> </w:t>
      </w:r>
      <w:r>
        <w:t xml:space="preserve">“</w:t>
      </w:r>
      <w:r>
        <w:t xml:space="preserve">ka</w:t>
      </w:r>
      <w:r>
        <w:t xml:space="preserve">”</w:t>
      </w:r>
      <w:r>
        <w:t xml:space="preserve"> </w:t>
      </w:r>
      <w:r>
        <w:t xml:space="preserve">of</w:t>
      </w:r>
      <w:r>
        <w:t xml:space="preserve"> </w:t>
      </w:r>
      <w:r>
        <w:rPr>
          <w:bCs/>
          <w:b/>
        </w:rPr>
        <w:t xml:space="preserve">आतोऽनुपसर्गे कः</w:t>
      </w:r>
      <w:r>
        <w:t xml:space="preserve"> </w:t>
      </w:r>
      <w:r>
        <w:t xml:space="preserve">(पा. सू. ३-२-३) is set aside by</w:t>
      </w:r>
      <w:r>
        <w:t xml:space="preserve"> </w:t>
      </w:r>
      <w:r>
        <w:rPr>
          <w:bCs/>
          <w:b/>
        </w:rPr>
        <w:t xml:space="preserve">आतो मनिन्क्वनिब्वनिपश्च</w:t>
      </w:r>
      <w:r>
        <w:t xml:space="preserve"> </w:t>
      </w:r>
      <w:r>
        <w:t xml:space="preserve">(पा. सू. ३-२-७४), whose</w:t>
      </w:r>
      <w:r>
        <w:t xml:space="preserve"> </w:t>
      </w:r>
      <w:r>
        <w:t xml:space="preserve">“</w:t>
      </w:r>
      <w:r>
        <w:t xml:space="preserve">ca</w:t>
      </w:r>
      <w:r>
        <w:t xml:space="preserve">”</w:t>
      </w:r>
      <w:r>
        <w:t xml:space="preserve"> </w:t>
      </w:r>
      <w:r>
        <w:t xml:space="preserve">brings</w:t>
      </w:r>
      <w:r>
        <w:t xml:space="preserve"> </w:t>
      </w:r>
      <w:r>
        <w:t xml:space="preserve">“</w:t>
      </w:r>
      <w:r>
        <w:t xml:space="preserve">vic</w:t>
      </w:r>
      <w:r>
        <w:t xml:space="preserve">”</w:t>
      </w:r>
      <w:r>
        <w:t xml:space="preserve">;</w:t>
      </w:r>
      <w:r>
        <w:t xml:space="preserve"> </w:t>
      </w:r>
      <w:r>
        <w:t xml:space="preserve">“</w:t>
      </w:r>
      <w:r>
        <w:t xml:space="preserve">pā</w:t>
      </w:r>
      <w:r>
        <w:t xml:space="preserve">”</w:t>
      </w:r>
      <w:r>
        <w:t xml:space="preserve"> </w:t>
      </w:r>
      <w:r>
        <w:t xml:space="preserve">end-acute by</w:t>
      </w:r>
      <w:r>
        <w:t xml:space="preserve"> </w:t>
      </w:r>
      <w:r>
        <w:rPr>
          <w:bCs/>
          <w:b/>
        </w:rPr>
        <w:t xml:space="preserve">धातोः</w:t>
      </w:r>
      <w:r>
        <w:t xml:space="preserve"> </w:t>
      </w:r>
      <w:r>
        <w:t xml:space="preserve">(पा. सू. ६-१-१६२), kept by</w:t>
      </w:r>
      <w:r>
        <w:t xml:space="preserve"> </w:t>
      </w:r>
      <w:r>
        <w:rPr>
          <w:bCs/>
          <w:b/>
        </w:rPr>
        <w:t xml:space="preserve">गतिकारकोपपदात्कृत्</w:t>
      </w:r>
      <w:r>
        <w:t xml:space="preserve"> </w:t>
      </w:r>
      <w:r>
        <w:t xml:space="preserve">(पा. सू. ६-२-१३९); then</w:t>
      </w:r>
      <w:r>
        <w:t xml:space="preserve"> </w:t>
      </w:r>
      <w:r>
        <w:rPr>
          <w:bCs/>
          <w:b/>
        </w:rPr>
        <w:t xml:space="preserve">अतिशायने तमबिष्ठनौ</w:t>
      </w:r>
      <w:r>
        <w:t xml:space="preserve"> </w:t>
      </w:r>
      <w:r>
        <w:t xml:space="preserve">(पा. सू. ५-३-५५)</w:t>
      </w:r>
      <w:r>
        <w:t xml:space="preserve"> </w:t>
      </w:r>
      <w:r>
        <w:t xml:space="preserve">“</w:t>
      </w:r>
      <w:r>
        <w:t xml:space="preserve">tamap,</w:t>
      </w:r>
      <w:r>
        <w:t xml:space="preserve">”</w:t>
      </w:r>
      <w:r>
        <w:t xml:space="preserve"> </w:t>
      </w:r>
      <w:r>
        <w:t xml:space="preserve">“</w:t>
      </w:r>
      <w:r>
        <w:t xml:space="preserve">p</w:t>
      </w:r>
      <w:r>
        <w:t xml:space="preserve">”</w:t>
      </w:r>
      <w:r>
        <w:t xml:space="preserve">-marked, unaccented by</w:t>
      </w:r>
      <w:r>
        <w:t xml:space="preserve"> </w:t>
      </w:r>
      <w:r>
        <w:rPr>
          <w:bCs/>
          <w:b/>
        </w:rPr>
        <w:t xml:space="preserve">अनुदात्तौ सुप्पितौ</w:t>
      </w:r>
      <w:r>
        <w:t xml:space="preserve"> </w:t>
      </w:r>
      <w:r>
        <w:t xml:space="preserve">(पा. सू. ३-१-४).</w:t>
      </w:r>
      <w:r>
        <w:t xml:space="preserve"> </w:t>
      </w:r>
      <w:r>
        <w:rPr>
          <w:bCs/>
          <w:b/>
        </w:rPr>
        <w:t xml:space="preserve">समुद्रः (</w:t>
      </w:r>
      <w:r>
        <w:rPr>
          <w:iCs/>
          <w:i/>
          <w:bCs/>
          <w:b/>
        </w:rPr>
        <w:t xml:space="preserve">samudraḥ</w:t>
      </w:r>
      <w:r>
        <w:rPr>
          <w:bCs/>
          <w:b/>
        </w:rPr>
        <w:t xml:space="preserve">)</w:t>
      </w:r>
      <w:r>
        <w:t xml:space="preserve"> </w:t>
      </w:r>
      <w:r>
        <w:t xml:space="preserve">— final-udātta by base accent; with</w:t>
      </w:r>
      <w:r>
        <w:t xml:space="preserve"> </w:t>
      </w:r>
      <w:r>
        <w:rPr>
          <w:iCs/>
          <w:i/>
        </w:rPr>
        <w:t xml:space="preserve">iva</w:t>
      </w:r>
      <w:r>
        <w:t xml:space="preserve"> </w:t>
      </w:r>
      <w:r>
        <w:t xml:space="preserve">the case-ending is dropped and the first member’s accent kept (</w:t>
      </w:r>
      <w:r>
        <w:t xml:space="preserve">“</w:t>
      </w:r>
      <w:r>
        <w:t xml:space="preserve">ivena vibhaktyalopaḥ pūrvapadaprakṛtisvaratvaṃ ca,</w:t>
      </w:r>
      <w:r>
        <w:t xml:space="preserve">”</w:t>
      </w:r>
      <w:r>
        <w:t xml:space="preserve"> </w:t>
      </w:r>
      <w:r>
        <w:t xml:space="preserve">पा. सू. २-१-४, म. २).</w:t>
      </w:r>
      <w:r>
        <w:t xml:space="preserve"> </w:t>
      </w:r>
      <w:r>
        <w:rPr>
          <w:bCs/>
          <w:b/>
        </w:rPr>
        <w:t xml:space="preserve">पिन्वते (</w:t>
      </w:r>
      <w:r>
        <w:rPr>
          <w:iCs/>
          <w:i/>
          <w:bCs/>
          <w:b/>
        </w:rPr>
        <w:t xml:space="preserve">pinvate</w:t>
      </w:r>
      <w:r>
        <w:rPr>
          <w:bCs/>
          <w:b/>
        </w:rPr>
        <w:t xml:space="preserve">)</w:t>
      </w:r>
      <w:r>
        <w:t xml:space="preserve"> </w:t>
      </w:r>
      <w:r>
        <w:t xml:space="preserve">— root</w:t>
      </w:r>
      <w:r>
        <w:t xml:space="preserve"> </w:t>
      </w:r>
      <w:r>
        <w:rPr>
          <w:iCs/>
          <w:i/>
        </w:rPr>
        <w:t xml:space="preserve">pivi secane</w:t>
      </w:r>
      <w:r>
        <w:t xml:space="preserve">;</w:t>
      </w:r>
      <w:r>
        <w:t xml:space="preserve"> </w:t>
      </w:r>
      <w:r>
        <w:rPr>
          <w:iCs/>
          <w:i/>
        </w:rPr>
        <w:t xml:space="preserve">num</w:t>
      </w:r>
      <w:r>
        <w:t xml:space="preserve"> </w:t>
      </w:r>
      <w:r>
        <w:t xml:space="preserve">by</w:t>
      </w:r>
      <w:r>
        <w:t xml:space="preserve"> </w:t>
      </w:r>
      <w:r>
        <w:t xml:space="preserve">“</w:t>
      </w:r>
      <w:r>
        <w:t xml:space="preserve">idito num dhātoḥ</w:t>
      </w:r>
      <w:r>
        <w:t xml:space="preserve">”</w:t>
      </w:r>
      <w:r>
        <w:t xml:space="preserve"> </w:t>
      </w:r>
      <w:r>
        <w:t xml:space="preserve">(पा. सू. ७-१-५८); ātmanepada</w:t>
      </w:r>
      <w:r>
        <w:t xml:space="preserve"> </w:t>
      </w:r>
      <w:r>
        <w:rPr>
          <w:iCs/>
          <w:i/>
        </w:rPr>
        <w:t xml:space="preserve">laṭ</w:t>
      </w:r>
      <w:r>
        <w:t xml:space="preserve">, third singular</w:t>
      </w:r>
      <w:r>
        <w:t xml:space="preserve"> </w:t>
      </w:r>
      <w:r>
        <w:rPr>
          <w:iCs/>
          <w:i/>
        </w:rPr>
        <w:t xml:space="preserve">ta</w:t>
      </w:r>
      <w:r>
        <w:t xml:space="preserve">;</w:t>
      </w:r>
      <w:r>
        <w:t xml:space="preserve"> </w:t>
      </w:r>
      <w:r>
        <w:rPr>
          <w:iCs/>
          <w:i/>
        </w:rPr>
        <w:t xml:space="preserve">ṭita ātmanepadānāṃ ṭere</w:t>
      </w:r>
      <w:r>
        <w:t xml:space="preserve"> </w:t>
      </w:r>
      <w:r>
        <w:t xml:space="preserve">(पा. सू. ३-४-७९) gives</w:t>
      </w:r>
      <w:r>
        <w:t xml:space="preserve"> </w:t>
      </w:r>
      <w:r>
        <w:rPr>
          <w:iCs/>
          <w:i/>
        </w:rPr>
        <w:t xml:space="preserve">te</w:t>
      </w:r>
      <w:r>
        <w:t xml:space="preserve">;</w:t>
      </w:r>
      <w:r>
        <w:t xml:space="preserve"> </w:t>
      </w:r>
      <w:r>
        <w:rPr>
          <w:iCs/>
          <w:i/>
        </w:rPr>
        <w:t xml:space="preserve">śap</w:t>
      </w:r>
      <w:r>
        <w:t xml:space="preserve">;</w:t>
      </w:r>
      <w:r>
        <w:t xml:space="preserve"> </w:t>
      </w:r>
      <w:r>
        <w:rPr>
          <w:iCs/>
          <w:i/>
        </w:rPr>
        <w:t xml:space="preserve">śap</w:t>
      </w:r>
      <w:r>
        <w:t xml:space="preserve"> </w:t>
      </w:r>
      <w:r>
        <w:t xml:space="preserve">is</w:t>
      </w:r>
      <w:r>
        <w:t xml:space="preserve"> </w:t>
      </w:r>
      <w:r>
        <w:rPr>
          <w:iCs/>
          <w:i/>
        </w:rPr>
        <w:t xml:space="preserve">pit</w:t>
      </w:r>
      <w:r>
        <w:t xml:space="preserve"> </w:t>
      </w:r>
      <w:r>
        <w:t xml:space="preserve">so unaccented; the root keeps its accent.</w:t>
      </w:r>
    </w:p>
    <w:bookmarkEnd w:id="357"/>
    <w:bookmarkStart w:id="358" w:name="page-330-rik-7-grammar-closes"/>
    <w:p>
      <w:pPr>
        <w:pStyle w:val="Heading3"/>
      </w:pPr>
      <w:r>
        <w:t xml:space="preserve">Page 330 — Rik 7 grammar closes</w:t>
      </w:r>
    </w:p>
    <w:p>
      <w:pPr>
        <w:pStyle w:val="FirstParagraph"/>
      </w:pPr>
      <w:r>
        <w:rPr>
          <w:iCs/>
          <w:i/>
        </w:rPr>
        <w:t xml:space="preserve">(Kannada, continued; numbers as printed.)</w:t>
      </w:r>
      <w:r>
        <w:t xml:space="preserve"> </w:t>
      </w:r>
      <w:r>
        <w:t xml:space="preserve">“</w:t>
      </w:r>
      <w:r>
        <w:t xml:space="preserve">Pinvate</w:t>
      </w:r>
      <w:r>
        <w:t xml:space="preserve">”</w:t>
      </w:r>
      <w:r>
        <w:t xml:space="preserve"> </w:t>
      </w:r>
      <w:r>
        <w:t xml:space="preserve">(concluded):</w:t>
      </w:r>
      <w:r>
        <w:t xml:space="preserve"> </w:t>
      </w:r>
      <w:r>
        <w:t xml:space="preserve">“</w:t>
      </w:r>
      <w:r>
        <w:t xml:space="preserve">te,</w:t>
      </w:r>
      <w:r>
        <w:t xml:space="preserve">”</w:t>
      </w:r>
      <w:r>
        <w:t xml:space="preserve"> </w:t>
      </w:r>
      <w:r>
        <w:t xml:space="preserve">after an anudāttet root, is unaccented by</w:t>
      </w:r>
      <w:r>
        <w:t xml:space="preserve"> </w:t>
      </w:r>
      <w:r>
        <w:rPr>
          <w:bCs/>
          <w:b/>
        </w:rPr>
        <w:t xml:space="preserve">तास्यनुदात्तेत्…</w:t>
      </w:r>
      <w:r>
        <w:t xml:space="preserve"> </w:t>
      </w:r>
      <w:r>
        <w:t xml:space="preserve">(पा. सू. ६-१-१८६); but</w:t>
      </w:r>
      <w:r>
        <w:t xml:space="preserve"> </w:t>
      </w:r>
      <w:r>
        <w:rPr>
          <w:bCs/>
          <w:b/>
        </w:rPr>
        <w:t xml:space="preserve">यद्वृत्तान्नित्यम्</w:t>
      </w:r>
      <w:r>
        <w:t xml:space="preserve"> </w:t>
      </w:r>
      <w:r>
        <w:t xml:space="preserve">(पा. सू. ८-१-६६) — a verb in a clause with the relative</w:t>
      </w:r>
      <w:r>
        <w:t xml:space="preserve"> </w:t>
      </w:r>
      <w:r>
        <w:t xml:space="preserve">“</w:t>
      </w:r>
      <w:r>
        <w:t xml:space="preserve">yat</w:t>
      </w:r>
      <w:r>
        <w:t xml:space="preserve">”</w:t>
      </w:r>
      <w:r>
        <w:t xml:space="preserve"> </w:t>
      </w:r>
      <w:r>
        <w:t xml:space="preserve">is never unaccented — so</w:t>
      </w:r>
      <w:r>
        <w:t xml:space="preserve"> </w:t>
      </w:r>
      <w:r>
        <w:t xml:space="preserve">“</w:t>
      </w:r>
      <w:r>
        <w:t xml:space="preserve">tiṅṅatiṅaḥ</w:t>
      </w:r>
      <w:r>
        <w:t xml:space="preserve">”</w:t>
      </w:r>
      <w:r>
        <w:t xml:space="preserve"> </w:t>
      </w:r>
      <w:r>
        <w:t xml:space="preserve">does not apply.</w:t>
      </w:r>
    </w:p>
    <w:p>
      <w:pPr>
        <w:pStyle w:val="BodyText"/>
      </w:pPr>
      <w:r>
        <w:rPr>
          <w:bCs/>
          <w:b/>
        </w:rPr>
        <w:t xml:space="preserve">उर्वीः</w:t>
      </w:r>
      <w:r>
        <w:t xml:space="preserve"> </w:t>
      </w:r>
      <w:r>
        <w:t xml:space="preserve">—</w:t>
      </w:r>
      <w:r>
        <w:t xml:space="preserve"> </w:t>
      </w:r>
      <w:r>
        <w:t xml:space="preserve">“</w:t>
      </w:r>
      <w:r>
        <w:t xml:space="preserve">uru,</w:t>
      </w:r>
      <w:r>
        <w:t xml:space="preserve">”</w:t>
      </w:r>
      <w:r>
        <w:t xml:space="preserve"> </w:t>
      </w:r>
      <w:r>
        <w:t xml:space="preserve">end-acute;</w:t>
      </w:r>
      <w:r>
        <w:t xml:space="preserve"> </w:t>
      </w:r>
      <w:r>
        <w:rPr>
          <w:bCs/>
          <w:b/>
        </w:rPr>
        <w:t xml:space="preserve">वोतो गुणवचनात्</w:t>
      </w:r>
      <w:r>
        <w:t xml:space="preserve"> </w:t>
      </w:r>
      <w:r>
        <w:t xml:space="preserve">(पा. सू. ४-१-४४) — after a quality-word ending in short</w:t>
      </w:r>
      <w:r>
        <w:t xml:space="preserve"> </w:t>
      </w:r>
      <w:r>
        <w:t xml:space="preserve">“</w:t>
      </w:r>
      <w:r>
        <w:t xml:space="preserve">u,</w:t>
      </w:r>
      <w:r>
        <w:t xml:space="preserve">”</w:t>
      </w:r>
      <w:r>
        <w:t xml:space="preserve"> </w:t>
      </w:r>
      <w:r>
        <w:t xml:space="preserve">“</w:t>
      </w:r>
      <w:r>
        <w:t xml:space="preserve">ṅīṣ</w:t>
      </w:r>
      <w:r>
        <w:t xml:space="preserve">”</w:t>
      </w:r>
      <w:r>
        <w:t xml:space="preserve"> </w:t>
      </w:r>
      <w:r>
        <w:t xml:space="preserve">optionally in the feminine;</w:t>
      </w:r>
      <w:r>
        <w:t xml:space="preserve"> </w:t>
      </w:r>
      <w:r>
        <w:t xml:space="preserve">“</w:t>
      </w:r>
      <w:r>
        <w:t xml:space="preserve">y</w:t>
      </w:r>
      <w:r>
        <w:t xml:space="preserve">”</w:t>
      </w:r>
      <w:r>
        <w:t xml:space="preserve"> </w:t>
      </w:r>
      <w:r>
        <w:t xml:space="preserve">substitute:</w:t>
      </w:r>
      <w:r>
        <w:t xml:space="preserve"> </w:t>
      </w:r>
      <w:r>
        <w:t xml:space="preserve">“</w:t>
      </w:r>
      <w:r>
        <w:t xml:space="preserve">urvī</w:t>
      </w:r>
      <w:r>
        <w:t xml:space="preserve">”</w:t>
      </w:r>
      <w:r>
        <w:t xml:space="preserve">;</w:t>
      </w:r>
      <w:r>
        <w:t xml:space="preserve"> </w:t>
      </w:r>
      <w:r>
        <w:rPr>
          <w:bCs/>
          <w:b/>
        </w:rPr>
        <w:t xml:space="preserve">उदात्तयणो हल्पूर्वात्</w:t>
      </w:r>
      <w:r>
        <w:t xml:space="preserve"> </w:t>
      </w:r>
      <w:r>
        <w:t xml:space="preserve">(पा. सू. ६-१-१७४) — after an acute replaced by</w:t>
      </w:r>
      <w:r>
        <w:t xml:space="preserve"> </w:t>
      </w:r>
      <w:r>
        <w:t xml:space="preserve">“</w:t>
      </w:r>
      <w:r>
        <w:t xml:space="preserve">y, v, r, l</w:t>
      </w:r>
      <w:r>
        <w:t xml:space="preserve">”</w:t>
      </w:r>
      <w:r>
        <w:t xml:space="preserve"> </w:t>
      </w:r>
      <w:r>
        <w:t xml:space="preserve">preceded by a consonant, the nadī vowel and a</w:t>
      </w:r>
      <w:r>
        <w:t xml:space="preserve"> </w:t>
      </w:r>
      <w:r>
        <w:t xml:space="preserve">“</w:t>
      </w:r>
      <w:r>
        <w:t xml:space="preserve">śas</w:t>
      </w:r>
      <w:r>
        <w:t xml:space="preserve">”</w:t>
      </w:r>
      <w:r>
        <w:t xml:space="preserve">-etc. ending are acute — so the</w:t>
      </w:r>
      <w:r>
        <w:t xml:space="preserve"> </w:t>
      </w:r>
      <w:r>
        <w:t xml:space="preserve">“</w:t>
      </w:r>
      <w:r>
        <w:t xml:space="preserve">ī</w:t>
      </w:r>
      <w:r>
        <w:t xml:space="preserve">”</w:t>
      </w:r>
      <w:r>
        <w:t xml:space="preserve"> </w:t>
      </w:r>
      <w:r>
        <w:t xml:space="preserve">is acute;</w:t>
      </w:r>
      <w:r>
        <w:t xml:space="preserve"> </w:t>
      </w:r>
      <w:r>
        <w:t xml:space="preserve">“</w:t>
      </w:r>
      <w:r>
        <w:t xml:space="preserve">urvī + as</w:t>
      </w:r>
      <w:r>
        <w:t xml:space="preserve">”</w:t>
      </w:r>
      <w:r>
        <w:t xml:space="preserve">:</w:t>
      </w:r>
      <w:r>
        <w:t xml:space="preserve"> </w:t>
      </w:r>
      <w:r>
        <w:rPr>
          <w:bCs/>
          <w:b/>
        </w:rPr>
        <w:t xml:space="preserve">प्रथमयोः पूर्वसवर्णः</w:t>
      </w:r>
      <w:r>
        <w:t xml:space="preserve"> </w:t>
      </w:r>
      <w:r>
        <w:t xml:space="preserve">(पा. सू. ६-१-१०२) the long vowel, acute by</w:t>
      </w:r>
      <w:r>
        <w:t xml:space="preserve"> </w:t>
      </w:r>
      <w:r>
        <w:rPr>
          <w:bCs/>
          <w:b/>
        </w:rPr>
        <w:t xml:space="preserve">एकादेश उदात्तेनोदात्तः</w:t>
      </w:r>
      <w:r>
        <w:t xml:space="preserve"> </w:t>
      </w:r>
      <w:r>
        <w:t xml:space="preserve">(पा. सू. ८-२-५).</w:t>
      </w:r>
      <w:r>
        <w:t xml:space="preserve"> </w:t>
      </w:r>
      <w:r>
        <w:rPr>
          <w:bCs/>
          <w:b/>
        </w:rPr>
        <w:t xml:space="preserve">आपः</w:t>
      </w:r>
      <w:r>
        <w:t xml:space="preserve"> </w:t>
      </w:r>
      <w:r>
        <w:t xml:space="preserve">— the stem accent.</w:t>
      </w:r>
      <w:r>
        <w:t xml:space="preserve"> </w:t>
      </w:r>
      <w:r>
        <w:rPr>
          <w:bCs/>
          <w:b/>
        </w:rPr>
        <w:t xml:space="preserve">काकुदः</w:t>
      </w:r>
      <w:r>
        <w:t xml:space="preserve"> </w:t>
      </w:r>
      <w:r>
        <w:t xml:space="preserve">—</w:t>
      </w:r>
      <w:r>
        <w:t xml:space="preserve"> </w:t>
      </w:r>
      <w:r>
        <w:t xml:space="preserve">“</w:t>
      </w:r>
      <w:r>
        <w:t xml:space="preserve">kākuj jihvā</w:t>
      </w:r>
      <w:r>
        <w:t xml:space="preserve">”</w:t>
      </w:r>
      <w:r>
        <w:t xml:space="preserve"> </w:t>
      </w:r>
      <w:r>
        <w:t xml:space="preserve">(निरु.</w:t>
      </w:r>
      <w:r>
        <w:t xml:space="preserve"> </w:t>
      </w:r>
      <w:r>
        <w:t xml:space="preserve">“</w:t>
      </w:r>
      <w:r>
        <w:t xml:space="preserve">१-११-३८</w:t>
      </w:r>
      <w:r>
        <w:t xml:space="preserve">”</w:t>
      </w:r>
      <w:r>
        <w:t xml:space="preserve"> </w:t>
      </w:r>
      <w:r>
        <w:t xml:space="preserve">as printed [?]): Yāska lists</w:t>
      </w:r>
      <w:r>
        <w:t xml:space="preserve"> </w:t>
      </w:r>
      <w:r>
        <w:t xml:space="preserve">“</w:t>
      </w:r>
      <w:r>
        <w:t xml:space="preserve">kākut</w:t>
      </w:r>
      <w:r>
        <w:t xml:space="preserve">”</w:t>
      </w:r>
      <w:r>
        <w:t xml:space="preserve"> </w:t>
      </w:r>
      <w:r>
        <w:t xml:space="preserve">among the fifty-seven speech-words beginning</w:t>
      </w:r>
      <w:r>
        <w:t xml:space="preserve"> </w:t>
      </w:r>
      <w:r>
        <w:t xml:space="preserve">“</w:t>
      </w:r>
      <w:r>
        <w:t xml:space="preserve">ślokaḥ</w:t>
      </w:r>
      <w:r>
        <w:t xml:space="preserve">”</w:t>
      </w:r>
      <w:r>
        <w:t xml:space="preserve">; taken so, it does not construe with the water of</w:t>
      </w:r>
      <w:r>
        <w:t xml:space="preserve"> </w:t>
      </w:r>
      <w:r>
        <w:t xml:space="preserve">“</w:t>
      </w:r>
      <w:r>
        <w:t xml:space="preserve">āpaḥ,</w:t>
      </w:r>
      <w:r>
        <w:t xml:space="preserve">”</w:t>
      </w:r>
      <w:r>
        <w:t xml:space="preserve"> </w:t>
      </w:r>
      <w:r>
        <w:t xml:space="preserve">so here the mouth is indicated by</w:t>
      </w:r>
      <w:r>
        <w:t xml:space="preserve"> </w:t>
      </w:r>
      <w:r>
        <w:t xml:space="preserve">“</w:t>
      </w:r>
      <w:r>
        <w:t xml:space="preserve">kākut</w:t>
      </w:r>
      <w:r>
        <w:t xml:space="preserve">”</w:t>
      </w:r>
      <w:r>
        <w:t xml:space="preserve">; by the Mahābhāṣya’s</w:t>
      </w:r>
      <w:r>
        <w:t xml:space="preserve"> </w:t>
      </w:r>
      <w:r>
        <w:rPr>
          <w:bCs/>
          <w:b/>
        </w:rPr>
        <w:t xml:space="preserve">भूमनिन्दाप्रशंसासु नित्ययोगेऽतिशायने । संबन्धेऽस्तिविवक्षायां भवन्ति मतुबादयः</w:t>
      </w:r>
      <w:r>
        <w:t xml:space="preserve"> </w:t>
      </w:r>
      <w:r>
        <w:t xml:space="preserve">(पा. सू. ५-२-९४ म. भा.)</w:t>
      </w:r>
      <w:r>
        <w:t xml:space="preserve"> </w:t>
      </w:r>
      <w:r>
        <w:t xml:space="preserve">“</w:t>
      </w:r>
      <w:r>
        <w:t xml:space="preserve">matup</w:t>
      </w:r>
      <w:r>
        <w:t xml:space="preserve">”</w:t>
      </w:r>
      <w:r>
        <w:t xml:space="preserve"> </w:t>
      </w:r>
      <w:r>
        <w:t xml:space="preserve">in the sense of relation, dropped as Vedic:</w:t>
      </w:r>
      <w:r>
        <w:t xml:space="preserve"> </w:t>
      </w:r>
      <w:r>
        <w:t xml:space="preserve">“</w:t>
      </w:r>
      <w:r>
        <w:t xml:space="preserve">kākudaḥ,</w:t>
      </w:r>
      <w:r>
        <w:t xml:space="preserve">”</w:t>
      </w:r>
      <w:r>
        <w:t xml:space="preserve"> </w:t>
      </w:r>
      <w:r>
        <w:t xml:space="preserve">“</w:t>
      </w:r>
      <w:r>
        <w:t xml:space="preserve">connected with the mouth</w:t>
      </w:r>
      <w:r>
        <w:t xml:space="preserve">”</w:t>
      </w:r>
      <w:r>
        <w:t xml:space="preserve">; end-acute by the stem accent.</w:t>
      </w:r>
      <w:r>
        <w:t xml:space="preserve"> </w:t>
      </w:r>
      <w:r>
        <w:rPr>
          <w:bCs/>
          <w:b/>
        </w:rPr>
        <w:t xml:space="preserve">॥७॥</w:t>
      </w:r>
    </w:p>
    <w:p>
      <w:r>
        <w:pict>
          <v:rect style="width:0;height:1.5pt" o:hralign="center" o:hrstd="t" o:hr="t"/>
        </w:pict>
      </w:r>
    </w:p>
    <w:bookmarkEnd w:id="358"/>
    <w:bookmarkStart w:id="359" w:name="page-330-sūkta-8-rik-8"/>
    <w:p>
      <w:pPr>
        <w:pStyle w:val="Heading3"/>
      </w:pPr>
      <w:r>
        <w:t xml:space="preserve">Page 330 — Sūkta 8, Rik 8</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ए॒वा ह्य॑स्य सू॒नृता॑ विर॒प्शी गोम॑ती म॒ही ।</w:t>
      </w:r>
      <w:r>
        <w:t xml:space="preserve"> </w:t>
      </w:r>
      <w:r>
        <w:t xml:space="preserve">प॒क्वा शाखा॒ न दा॒शुषे॑ ॥८॥</w:t>
      </w:r>
    </w:p>
    <w:p>
      <w:pPr>
        <w:pStyle w:val="BlockText"/>
      </w:pPr>
      <w:r>
        <w:rPr>
          <w:iCs/>
          <w:i/>
        </w:rPr>
        <w:t xml:space="preserve">evā́ hy asya sūnṛ́tā virapśī́ gómatī mahī́ |</w:t>
      </w:r>
      <w:r>
        <w:t xml:space="preserve"> </w:t>
      </w:r>
      <w:r>
        <w:rPr>
          <w:iCs/>
          <w:i/>
        </w:rPr>
        <w:t xml:space="preserve">pakvā́ śākhā ná dāśúṣe ||8||</w:t>
      </w:r>
    </w:p>
    <w:p>
      <w:pPr>
        <w:pStyle w:val="FirstParagraph"/>
      </w:pPr>
      <w:r>
        <w:rPr>
          <w:bCs/>
          <w:b/>
        </w:rPr>
        <w:t xml:space="preserve">॥ Pada-pāṭhaḥ ॥</w:t>
      </w:r>
    </w:p>
    <w:p>
      <w:pPr>
        <w:pStyle w:val="BlockText"/>
      </w:pPr>
      <w:r>
        <w:t xml:space="preserve">एव । हि । अस्य । सूनृता । विऽरप्शी । गोऽमती । मही ॥</w:t>
      </w:r>
      <w:r>
        <w:t xml:space="preserve"> </w:t>
      </w:r>
      <w:r>
        <w:t xml:space="preserve">पक्वा । शाखा । न । दाशुषे ॥८॥</w:t>
      </w:r>
    </w:p>
    <w:p>
      <w:pPr>
        <w:pStyle w:val="BlockText"/>
      </w:pPr>
      <w:r>
        <w:rPr>
          <w:iCs/>
          <w:i/>
        </w:rPr>
        <w:t xml:space="preserve">eva | hi | asya | sūnṛtā | vi-rapśī | go-matī | mahī ||</w:t>
      </w:r>
      <w:r>
        <w:t xml:space="preserve"> </w:t>
      </w:r>
      <w:r>
        <w:rPr>
          <w:iCs/>
          <w:i/>
        </w:rPr>
        <w:t xml:space="preserve">pakvā | śākhā | na | dāśuṣe ||8||</w:t>
      </w:r>
    </w:p>
    <w:bookmarkEnd w:id="359"/>
    <w:bookmarkStart w:id="360" w:name="page-331-rik-8-sāyaṇa-bhāṣya"/>
    <w:p>
      <w:pPr>
        <w:pStyle w:val="Heading3"/>
      </w:pPr>
      <w:r>
        <w:t xml:space="preserve">Page 331 — Rik 8: Sāyaṇa-bhāṣya</w:t>
      </w:r>
    </w:p>
    <w:p>
      <w:pPr>
        <w:pStyle w:val="FirstParagraph"/>
      </w:pPr>
      <w:r>
        <w:rPr>
          <w:bCs/>
          <w:b/>
        </w:rPr>
        <w:t xml:space="preserve">॥ Sāyaṇa-bhāṣyam ॥</w:t>
      </w:r>
    </w:p>
    <w:p>
      <w:pPr>
        <w:pStyle w:val="BlockText"/>
      </w:pPr>
      <w:r>
        <w:t xml:space="preserve">अभिप्लवषडहगतेषूक्थ्येषु तृतीयसवने ब्राह्मणाच्छंसिन एवा ह्यस्य सूनृतेत्यनुरूपस्तृचः । एह्यू षु ब्रवाणि ते इति खण्डे अथ ब्राह्मणाच्छंसिन इत्युपक्रम्य एवा ह्यसि वीरयुरेवा ह्यस्य सूनृता । आ. ६-८ । इति सूत्रितम् ॥ अस्येन्द्रस्य सूनृता प्रियसत्यरूपा वाग्दाशुषे हविर्दत्तवते यजमानाय तदर्थमेवा हि एवं खलु । अनन्तरपदवक्ष्यमाणगुणोपेता भवतीत्यर्थः । कीदृशी । विरप्शी विविधरपणोपेतवाक्ययुक्ता । बहुविधोपचारवादिनीत्यर्थः । गोमती बह्वीभिर्गोभिरुपेता । गोप्रदेत्यर्थः । अत एव मही महती पूज्या । यथोक्तवाचो दृष्टान्तः । पक्वा शाखा न । यथा बहुभिः पक्वैः फलैरुपेता पनसवृक्षादिशाखा प्रीतिहेतुस्तद्वत् । यद्यपि महन्नामसु व्राधन्विरप्शीति पठितं तथाप्यत्र महीत्यनेन पुनरुक्तिप्रसङ्गादेवमर्थो गृहीतः ॥</w:t>
      </w:r>
    </w:p>
    <w:p>
      <w:pPr>
        <w:pStyle w:val="BlockText"/>
      </w:pPr>
      <w:r>
        <w:rPr>
          <w:iCs/>
          <w:i/>
        </w:rPr>
        <w:t xml:space="preserve">abhiplava-ṣaḍaha-gateṣūkthyeṣu tṛtīya-savane brāhmaṇācchaṃsina evā hy asya sūnṛtety anurūpas tṛcaḥ | ehy ū ṣu bravāṇi te iti khaṇḍe atha brāhmaṇācchaṃsina ity upakramya evā hy asi vīrayur evā hy asya sūnṛtā | ā. 6-8 | iti sūtritam || asyendrasya sūnṛtā priya-satya-rūpā vāg dāśuṣe havir dattavate yajamānāya tad-artham evā hi evaṃ khalu | anantara-pada-vakṣyamāṇa-guṇopetā bhavatīty arthaḥ | kīdṛśī | virapśī vividha-rapaṇopeta-vākya-yuktā | bahu-vidhopacāra-vādinīty arthaḥ | gomatī bahvībhir gobhir upetā | go-pradety arthaḥ | ata eva mahī mahatī pūjyā | yathokta-vāco dṛṣṭāntaḥ | pakvā śākhā na | yathā bahubhiḥ pakvaiḥ phalair upetā panasa-vṛkṣādi-śākhā prīti-hetus tadvat | yadyapi mahan-nāmasu vrādhan virapśīti paṭhitaṃ tathāpy atra mahīty anena punarukti-prasaṅgād evam artho gṛhītaḥ ||</w:t>
      </w:r>
    </w:p>
    <w:p>
      <w:pPr>
        <w:pStyle w:val="FirstParagraph"/>
      </w:pPr>
      <w:r>
        <w:rPr>
          <w:bCs/>
          <w:b/>
        </w:rPr>
        <w:t xml:space="preserve">Translation:</w:t>
      </w:r>
      <w:r>
        <w:t xml:space="preserve"> </w:t>
      </w:r>
      <w:r>
        <w:t xml:space="preserve">“</w:t>
      </w:r>
      <w:r>
        <w:t xml:space="preserve">In the</w:t>
      </w:r>
      <w:r>
        <w:t xml:space="preserve"> </w:t>
      </w:r>
      <w:r>
        <w:rPr>
          <w:iCs/>
          <w:i/>
        </w:rPr>
        <w:t xml:space="preserve">ukthya</w:t>
      </w:r>
      <w:r>
        <w:t xml:space="preserve"> </w:t>
      </w:r>
      <w:r>
        <w:t xml:space="preserve">[rites] of the Abhiplava Ṣaḍaha, at the third pressing, for the Brāhmaṇācchaṃsin, the triplet beginning</w:t>
      </w:r>
      <w:r>
        <w:t xml:space="preserve"> </w:t>
      </w:r>
      <w:r>
        <w:rPr>
          <w:iCs/>
          <w:i/>
        </w:rPr>
        <w:t xml:space="preserve">evā hy asya sūnṛtā</w:t>
      </w:r>
      <w:r>
        <w:t xml:space="preserve"> </w:t>
      </w:r>
      <w:r>
        <w:t xml:space="preserve">is the</w:t>
      </w:r>
      <w:r>
        <w:t xml:space="preserve"> </w:t>
      </w:r>
      <w:r>
        <w:rPr>
          <w:iCs/>
          <w:i/>
        </w:rPr>
        <w:t xml:space="preserve">anurūpa</w:t>
      </w:r>
      <w:r>
        <w:t xml:space="preserve">. So it is laid down in the section</w:t>
      </w:r>
      <w:r>
        <w:t xml:space="preserve"> </w:t>
      </w:r>
      <w:r>
        <w:rPr>
          <w:iCs/>
          <w:i/>
        </w:rPr>
        <w:t xml:space="preserve">ehy ū ṣu bravāṇi te</w:t>
      </w:r>
      <w:r>
        <w:t xml:space="preserve">, beginning</w:t>
      </w:r>
      <w:r>
        <w:t xml:space="preserve"> </w:t>
      </w:r>
      <w:r>
        <w:t xml:space="preserve">‘</w:t>
      </w:r>
      <w:r>
        <w:rPr>
          <w:iCs/>
          <w:i/>
        </w:rPr>
        <w:t xml:space="preserve">atha brāhmaṇācchaṃsinaḥ</w:t>
      </w:r>
      <w:r>
        <w:t xml:space="preserve">’</w:t>
      </w:r>
      <w:r>
        <w:t xml:space="preserve">:</w:t>
      </w:r>
      <w:r>
        <w:t xml:space="preserve"> </w:t>
      </w:r>
      <w:r>
        <w:t xml:space="preserve">‘</w:t>
      </w:r>
      <w:r>
        <w:rPr>
          <w:iCs/>
          <w:i/>
        </w:rPr>
        <w:t xml:space="preserve">evā hy asi vīrayuḥ</w:t>
      </w:r>
      <w:r>
        <w:t xml:space="preserve">,</w:t>
      </w:r>
      <w:r>
        <w:t xml:space="preserve"> </w:t>
      </w:r>
      <w:r>
        <w:rPr>
          <w:iCs/>
          <w:i/>
        </w:rPr>
        <w:t xml:space="preserve">evā hy asya sūnṛtā</w:t>
      </w:r>
      <w:r>
        <w:t xml:space="preserve">’</w:t>
      </w:r>
      <w:r>
        <w:t xml:space="preserve"> </w:t>
      </w:r>
      <w:r>
        <w:t xml:space="preserve">(Āśvalāyana 6-8).</w:t>
      </w:r>
      <w:r>
        <w:t xml:space="preserve"> </w:t>
      </w:r>
      <w:r>
        <w:rPr>
          <w:iCs/>
          <w:i/>
        </w:rPr>
        <w:t xml:space="preserve">Asya</w:t>
      </w:r>
      <w:r>
        <w:t xml:space="preserve"> </w:t>
      </w:r>
      <w:r>
        <w:t xml:space="preserve">— of this Indra, the</w:t>
      </w:r>
      <w:r>
        <w:t xml:space="preserve"> </w:t>
      </w:r>
      <w:r>
        <w:rPr>
          <w:iCs/>
          <w:i/>
        </w:rPr>
        <w:t xml:space="preserve">sūnṛtā</w:t>
      </w:r>
      <w:r>
        <w:t xml:space="preserve"> </w:t>
      </w:r>
      <w:r>
        <w:t xml:space="preserve">— speech of the nature of the pleasant and the true — is, to the</w:t>
      </w:r>
      <w:r>
        <w:t xml:space="preserve"> </w:t>
      </w:r>
      <w:r>
        <w:rPr>
          <w:iCs/>
          <w:i/>
        </w:rPr>
        <w:t xml:space="preserve">dāśuṣe</w:t>
      </w:r>
      <w:r>
        <w:t xml:space="preserve">, the sacrificer who has given the oblation, [given] for that very purpose; thus [</w:t>
      </w:r>
      <w:r>
        <w:rPr>
          <w:iCs/>
          <w:i/>
        </w:rPr>
        <w:t xml:space="preserve">evā hi</w:t>
      </w:r>
      <w:r>
        <w:t xml:space="preserve">]: it is endowed with the qualities stated in the next words. What kind?</w:t>
      </w:r>
      <w:r>
        <w:t xml:space="preserve"> </w:t>
      </w:r>
      <w:r>
        <w:rPr>
          <w:iCs/>
          <w:i/>
        </w:rPr>
        <w:t xml:space="preserve">Virapśī</w:t>
      </w:r>
      <w:r>
        <w:t xml:space="preserve"> </w:t>
      </w:r>
      <w:r>
        <w:t xml:space="preserve">— equipped with speech having various utterings; that is, speaking many kinds of courtesies.</w:t>
      </w:r>
      <w:r>
        <w:t xml:space="preserve"> </w:t>
      </w:r>
      <w:r>
        <w:rPr>
          <w:iCs/>
          <w:i/>
        </w:rPr>
        <w:t xml:space="preserve">Gomatī</w:t>
      </w:r>
      <w:r>
        <w:t xml:space="preserve"> </w:t>
      </w:r>
      <w:r>
        <w:t xml:space="preserve">— furnished with many cows; that is, giving cows. Therefore</w:t>
      </w:r>
      <w:r>
        <w:t xml:space="preserve"> </w:t>
      </w:r>
      <w:r>
        <w:rPr>
          <w:iCs/>
          <w:i/>
        </w:rPr>
        <w:t xml:space="preserve">mahī</w:t>
      </w:r>
      <w:r>
        <w:t xml:space="preserve"> </w:t>
      </w:r>
      <w:r>
        <w:t xml:space="preserve">— great, honourable. An illustration of speech so described:</w:t>
      </w:r>
      <w:r>
        <w:t xml:space="preserve"> </w:t>
      </w:r>
      <w:r>
        <w:rPr>
          <w:iCs/>
          <w:i/>
        </w:rPr>
        <w:t xml:space="preserve">Pakvā śākhā na</w:t>
      </w:r>
      <w:r>
        <w:t xml:space="preserve"> </w:t>
      </w:r>
      <w:r>
        <w:t xml:space="preserve">— as a branch of a jackfruit tree or the like, laden with many ripe fruits, is a cause of delight, so [is his speech]. Although</w:t>
      </w:r>
      <w:r>
        <w:t xml:space="preserve"> </w:t>
      </w:r>
      <w:r>
        <w:rPr>
          <w:iCs/>
          <w:i/>
        </w:rPr>
        <w:t xml:space="preserve">vrādhan</w:t>
      </w:r>
      <w:r>
        <w:t xml:space="preserve"> </w:t>
      </w:r>
      <w:r>
        <w:t xml:space="preserve">and</w:t>
      </w:r>
      <w:r>
        <w:t xml:space="preserve"> </w:t>
      </w:r>
      <w:r>
        <w:rPr>
          <w:iCs/>
          <w:i/>
        </w:rPr>
        <w:t xml:space="preserve">virapśī</w:t>
      </w:r>
      <w:r>
        <w:t xml:space="preserve"> </w:t>
      </w:r>
      <w:r>
        <w:t xml:space="preserve">are read among the words for</w:t>
      </w:r>
      <w:r>
        <w:t xml:space="preserve"> </w:t>
      </w:r>
      <w:r>
        <w:t xml:space="preserve">‘</w:t>
      </w:r>
      <w:r>
        <w:t xml:space="preserve">great,</w:t>
      </w:r>
      <w:r>
        <w:t xml:space="preserve">’</w:t>
      </w:r>
      <w:r>
        <w:t xml:space="preserve"> </w:t>
      </w:r>
      <w:r>
        <w:t xml:space="preserve">here, since</w:t>
      </w:r>
      <w:r>
        <w:t xml:space="preserve"> </w:t>
      </w:r>
      <w:r>
        <w:rPr>
          <w:iCs/>
          <w:i/>
        </w:rPr>
        <w:t xml:space="preserve">mahī</w:t>
      </w:r>
      <w:r>
        <w:t xml:space="preserve"> </w:t>
      </w:r>
      <w:r>
        <w:t xml:space="preserve">would then repeat it, this sense is taken.</w:t>
      </w:r>
      <w:r>
        <w:t xml:space="preserve">”</w:t>
      </w:r>
    </w:p>
    <w:p>
      <w:pPr>
        <w:pStyle w:val="BodyText"/>
      </w:pPr>
      <w:r>
        <w:rPr>
          <w:bCs/>
          <w:b/>
        </w:rPr>
        <w:t xml:space="preserve">Grammar of the Bhāṣya (characterized, references as printed; page header</w:t>
      </w:r>
      <w:r>
        <w:rPr>
          <w:bCs/>
          <w:b/>
        </w:rPr>
        <w:t xml:space="preserve"> </w:t>
      </w:r>
      <w:r>
        <w:rPr>
          <w:bCs/>
          <w:b/>
        </w:rPr>
        <w:t xml:space="preserve">“</w:t>
      </w:r>
      <w:r>
        <w:rPr>
          <w:bCs/>
          <w:b/>
        </w:rPr>
        <w:t xml:space="preserve">A. 1, A. 1, Va. 16</w:t>
      </w:r>
      <w:r>
        <w:rPr>
          <w:bCs/>
          <w:b/>
        </w:rPr>
        <w:t xml:space="preserve">”</w:t>
      </w:r>
      <w:r>
        <w:rPr>
          <w:bCs/>
          <w:b/>
        </w:rPr>
        <w:t xml:space="preserve">):</w:t>
      </w:r>
      <w:r>
        <w:t xml:space="preserve"> </w:t>
      </w:r>
      <w:r>
        <w:t xml:space="preserve">“</w:t>
      </w:r>
      <w:r>
        <w:t xml:space="preserve">Evā</w:t>
      </w:r>
      <w:r>
        <w:t xml:space="preserve">”</w:t>
      </w:r>
      <w:r>
        <w:t xml:space="preserve"> </w:t>
      </w:r>
      <w:r>
        <w:t xml:space="preserve">— end-acute by</w:t>
      </w:r>
      <w:r>
        <w:t xml:space="preserve"> </w:t>
      </w:r>
      <w:r>
        <w:t xml:space="preserve">“</w:t>
      </w:r>
      <w:r>
        <w:t xml:space="preserve">evādīnām ante</w:t>
      </w:r>
      <w:r>
        <w:t xml:space="preserve">”</w:t>
      </w:r>
      <w:r>
        <w:t xml:space="preserve">; long by</w:t>
      </w:r>
      <w:r>
        <w:t xml:space="preserve"> </w:t>
      </w:r>
      <w:r>
        <w:t xml:space="preserve">“</w:t>
      </w:r>
      <w:r>
        <w:t xml:space="preserve">nipātasya ca</w:t>
      </w:r>
      <w:r>
        <w:t xml:space="preserve">”</w:t>
      </w:r>
      <w:r>
        <w:t xml:space="preserve"> </w:t>
      </w:r>
      <w:r>
        <w:t xml:space="preserve">in the saṃhitā.</w:t>
      </w:r>
      <w:r>
        <w:t xml:space="preserve"> </w:t>
      </w:r>
      <w:r>
        <w:t xml:space="preserve">“</w:t>
      </w:r>
      <w:r>
        <w:t xml:space="preserve">Hi</w:t>
      </w:r>
      <w:r>
        <w:t xml:space="preserve">”</w:t>
      </w:r>
      <w:r>
        <w:t xml:space="preserve"> </w:t>
      </w:r>
      <w:r>
        <w:t xml:space="preserve">— a nipāta, first-syllable acute.</w:t>
      </w:r>
      <w:r>
        <w:t xml:space="preserve"> </w:t>
      </w:r>
      <w:r>
        <w:t xml:space="preserve">“</w:t>
      </w:r>
      <w:r>
        <w:t xml:space="preserve">Asya</w:t>
      </w:r>
      <w:r>
        <w:t xml:space="preserve">”</w:t>
      </w:r>
      <w:r>
        <w:t xml:space="preserve"> </w:t>
      </w:r>
      <w:r>
        <w:t xml:space="preserve">— referring back to Indra,</w:t>
      </w:r>
      <w:r>
        <w:t xml:space="preserve"> </w:t>
      </w:r>
      <w:r>
        <w:t xml:space="preserve">“</w:t>
      </w:r>
      <w:r>
        <w:t xml:space="preserve">aś</w:t>
      </w:r>
      <w:r>
        <w:t xml:space="preserve">”</w:t>
      </w:r>
      <w:r>
        <w:t xml:space="preserve"> </w:t>
      </w:r>
      <w:r>
        <w:t xml:space="preserve">by</w:t>
      </w:r>
      <w:r>
        <w:t xml:space="preserve"> </w:t>
      </w:r>
      <w:r>
        <w:t xml:space="preserve">“</w:t>
      </w:r>
      <w:r>
        <w:t xml:space="preserve">idamo ’nvādeśe…,</w:t>
      </w:r>
      <w:r>
        <w:t xml:space="preserve">”</w:t>
      </w:r>
      <w:r>
        <w:t xml:space="preserve"> </w:t>
      </w:r>
      <w:r>
        <w:t xml:space="preserve">wholly unaccented.</w:t>
      </w:r>
      <w:r>
        <w:t xml:space="preserve"> </w:t>
      </w:r>
      <w:r>
        <w:t xml:space="preserve">“</w:t>
      </w:r>
      <w:r>
        <w:t xml:space="preserve">Sūnṛtā</w:t>
      </w:r>
      <w:r>
        <w:t xml:space="preserve">”</w:t>
      </w:r>
      <w:r>
        <w:t xml:space="preserve"> </w:t>
      </w:r>
      <w:r>
        <w:t xml:space="preserve">—</w:t>
      </w:r>
      <w:r>
        <w:t xml:space="preserve"> </w:t>
      </w:r>
      <w:r>
        <w:t xml:space="preserve">“</w:t>
      </w:r>
      <w:r>
        <w:t xml:space="preserve">ūna parihāṇe</w:t>
      </w:r>
      <w:r>
        <w:t xml:space="preserve">”</w:t>
      </w:r>
      <w:r>
        <w:t xml:space="preserve">:</w:t>
      </w:r>
      <w:r>
        <w:t xml:space="preserve"> </w:t>
      </w:r>
      <w:r>
        <w:t xml:space="preserve">“</w:t>
      </w:r>
      <w:r>
        <w:t xml:space="preserve">suṭarām ūnayati apriyam iti sūn</w:t>
      </w:r>
      <w:r>
        <w:t xml:space="preserve">”</w:t>
      </w:r>
      <w:r>
        <w:t xml:space="preserve">;</w:t>
      </w:r>
      <w:r>
        <w:t xml:space="preserve"> </w:t>
      </w:r>
      <w:r>
        <w:t xml:space="preserve">“</w:t>
      </w:r>
      <w:r>
        <w:t xml:space="preserve">sā cāsāv ṛtā satyā ceti sūnṛtā priyasatyā vāk</w:t>
      </w:r>
      <w:r>
        <w:t xml:space="preserve">”</w:t>
      </w:r>
      <w:r>
        <w:t xml:space="preserve">; the</w:t>
      </w:r>
      <w:r>
        <w:t xml:space="preserve"> </w:t>
      </w:r>
      <w:r>
        <w:t xml:space="preserve">“</w:t>
      </w:r>
      <w:r>
        <w:t xml:space="preserve">ṛ</w:t>
      </w:r>
      <w:r>
        <w:t xml:space="preserve">”</w:t>
      </w:r>
      <w:r>
        <w:t xml:space="preserve"> </w:t>
      </w:r>
      <w:r>
        <w:t xml:space="preserve">acute by</w:t>
      </w:r>
      <w:r>
        <w:t xml:space="preserve"> </w:t>
      </w:r>
      <w:r>
        <w:t xml:space="preserve">“</w:t>
      </w:r>
      <w:r>
        <w:t xml:space="preserve">parādiś chandasi bahulam.</w:t>
      </w:r>
      <w:r>
        <w:t xml:space="preserve">”</w:t>
      </w:r>
      <w:r>
        <w:t xml:space="preserve"> </w:t>
      </w:r>
      <w:r>
        <w:t xml:space="preserve">“</w:t>
      </w:r>
      <w:r>
        <w:t xml:space="preserve">Virapśī</w:t>
      </w:r>
      <w:r>
        <w:t xml:space="preserve">”</w:t>
      </w:r>
      <w:r>
        <w:t xml:space="preserve"> </w:t>
      </w:r>
      <w:r>
        <w:t xml:space="preserve">—</w:t>
      </w:r>
      <w:r>
        <w:t xml:space="preserve"> </w:t>
      </w:r>
      <w:r>
        <w:t xml:space="preserve">“</w:t>
      </w:r>
      <w:r>
        <w:t xml:space="preserve">vicitraṃ rapaṇaṃ virap,</w:t>
      </w:r>
      <w:r>
        <w:t xml:space="preserve">”</w:t>
      </w:r>
      <w:r>
        <w:t xml:space="preserve"> </w:t>
      </w:r>
      <w:r>
        <w:t xml:space="preserve">“</w:t>
      </w:r>
      <w:r>
        <w:t xml:space="preserve">rapa lapa vyaktāyāṃ vāci,</w:t>
      </w:r>
      <w:r>
        <w:t xml:space="preserve">”</w:t>
      </w:r>
      <w:r>
        <w:t xml:space="preserve"> </w:t>
      </w:r>
      <w:r>
        <w:t xml:space="preserve">“</w:t>
      </w:r>
      <w:r>
        <w:t xml:space="preserve">kvip</w:t>
      </w:r>
      <w:r>
        <w:t xml:space="preserve">”</w:t>
      </w:r>
      <w:r>
        <w:t xml:space="preserve"> </w:t>
      </w:r>
      <w:r>
        <w:t xml:space="preserve">by</w:t>
      </w:r>
      <w:r>
        <w:t xml:space="preserve"> </w:t>
      </w:r>
      <w:r>
        <w:t xml:space="preserve">“</w:t>
      </w:r>
      <w:r>
        <w:t xml:space="preserve">sampadādi</w:t>
      </w:r>
      <w:r>
        <w:t xml:space="preserve">”</w:t>
      </w:r>
      <w:r>
        <w:t xml:space="preserve">;</w:t>
      </w:r>
      <w:r>
        <w:t xml:space="preserve"> </w:t>
      </w:r>
      <w:r>
        <w:t xml:space="preserve">“</w:t>
      </w:r>
      <w:r>
        <w:t xml:space="preserve">tad eṣām astīti virapśāni vākyāni</w:t>
      </w:r>
      <w:r>
        <w:t xml:space="preserve">”</w:t>
      </w:r>
      <w:r>
        <w:t xml:space="preserve">;</w:t>
      </w:r>
      <w:r>
        <w:t xml:space="preserve"> </w:t>
      </w:r>
      <w:r>
        <w:t xml:space="preserve">“</w:t>
      </w:r>
      <w:r>
        <w:t xml:space="preserve">ini</w:t>
      </w:r>
      <w:r>
        <w:t xml:space="preserve">”</w:t>
      </w:r>
      <w:r>
        <w:t xml:space="preserve">;</w:t>
      </w:r>
      <w:r>
        <w:t xml:space="preserve"> </w:t>
      </w:r>
      <w:r>
        <w:rPr>
          <w:bCs/>
          <w:b/>
        </w:rPr>
        <w:t xml:space="preserve">यस्येति च</w:t>
      </w:r>
      <w:r>
        <w:t xml:space="preserve"> </w:t>
      </w:r>
      <w:r>
        <w:t xml:space="preserve">(पा. ६-४-१४८) loss of</w:t>
      </w:r>
      <w:r>
        <w:t xml:space="preserve"> </w:t>
      </w:r>
      <w:r>
        <w:t xml:space="preserve">“</w:t>
      </w:r>
      <w:r>
        <w:t xml:space="preserve">a</w:t>
      </w:r>
      <w:r>
        <w:t xml:space="preserve">”</w:t>
      </w:r>
      <w:r>
        <w:t xml:space="preserve">;</w:t>
      </w:r>
      <w:r>
        <w:t xml:space="preserve"> </w:t>
      </w:r>
      <w:r>
        <w:rPr>
          <w:bCs/>
          <w:b/>
        </w:rPr>
        <w:t xml:space="preserve">अन्येभ्योऽपि दृश्यते</w:t>
      </w:r>
      <w:r>
        <w:t xml:space="preserve"> </w:t>
      </w:r>
      <w:r>
        <w:t xml:space="preserve">“</w:t>
      </w:r>
      <w:r>
        <w:t xml:space="preserve">ṅīp</w:t>
      </w:r>
      <w:r>
        <w:t xml:space="preserve">”</w:t>
      </w:r>
      <w:r>
        <w:t xml:space="preserve"> </w:t>
      </w:r>
      <w:r>
        <w:t xml:space="preserve">(पा. ४-१-५); the</w:t>
      </w:r>
      <w:r>
        <w:t xml:space="preserve"> </w:t>
      </w:r>
      <w:r>
        <w:t xml:space="preserve">“</w:t>
      </w:r>
      <w:r>
        <w:t xml:space="preserve">i</w:t>
      </w:r>
      <w:r>
        <w:t xml:space="preserve">”</w:t>
      </w:r>
      <w:r>
        <w:t xml:space="preserve"> </w:t>
      </w:r>
      <w:r>
        <w:t xml:space="preserve">acute by the affix accent; the loss of</w:t>
      </w:r>
      <w:r>
        <w:t xml:space="preserve"> </w:t>
      </w:r>
      <w:r>
        <w:t xml:space="preserve">“</w:t>
      </w:r>
      <w:r>
        <w:t xml:space="preserve">n</w:t>
      </w:r>
      <w:r>
        <w:t xml:space="preserve">”</w:t>
      </w:r>
      <w:r>
        <w:t xml:space="preserve"> </w:t>
      </w:r>
      <w:r>
        <w:t xml:space="preserve">Vedic; the single long vowel acute.</w:t>
      </w:r>
      <w:r>
        <w:t xml:space="preserve"> </w:t>
      </w:r>
      <w:r>
        <w:t xml:space="preserve">“</w:t>
      </w:r>
      <w:r>
        <w:t xml:space="preserve">Gomatī</w:t>
      </w:r>
      <w:r>
        <w:t xml:space="preserve">”</w:t>
      </w:r>
      <w:r>
        <w:t xml:space="preserve"> </w:t>
      </w:r>
      <w:r>
        <w:t xml:space="preserve">—</w:t>
      </w:r>
      <w:r>
        <w:t xml:space="preserve"> </w:t>
      </w:r>
      <w:r>
        <w:t xml:space="preserve">“</w:t>
      </w:r>
      <w:r>
        <w:t xml:space="preserve">gāvo ’syāṃ santīti,</w:t>
      </w:r>
      <w:r>
        <w:t xml:space="preserve">”</w:t>
      </w:r>
      <w:r>
        <w:t xml:space="preserve"> </w:t>
      </w:r>
      <w:r>
        <w:t xml:space="preserve">“</w:t>
      </w:r>
      <w:r>
        <w:t xml:space="preserve">matup</w:t>
      </w:r>
      <w:r>
        <w:t xml:space="preserve">”</w:t>
      </w:r>
      <w:r>
        <w:t xml:space="preserve"> </w:t>
      </w:r>
      <w:r>
        <w:t xml:space="preserve">and</w:t>
      </w:r>
      <w:r>
        <w:t xml:space="preserve"> </w:t>
      </w:r>
      <w:r>
        <w:t xml:space="preserve">“</w:t>
      </w:r>
      <w:r>
        <w:t xml:space="preserve">ṅīp</w:t>
      </w:r>
      <w:r>
        <w:t xml:space="preserve">”</w:t>
      </w:r>
      <w:r>
        <w:t xml:space="preserve"> </w:t>
      </w:r>
      <w:r>
        <w:t xml:space="preserve">unaccented, so the stem accent.</w:t>
      </w:r>
      <w:r>
        <w:t xml:space="preserve"> </w:t>
      </w:r>
      <w:r>
        <w:t xml:space="preserve">“</w:t>
      </w:r>
      <w:r>
        <w:t xml:space="preserve">Mahī</w:t>
      </w:r>
      <w:r>
        <w:t xml:space="preserve">”</w:t>
      </w:r>
      <w:r>
        <w:t xml:space="preserve"> </w:t>
      </w:r>
      <w:r>
        <w:t xml:space="preserve">—</w:t>
      </w:r>
      <w:r>
        <w:t xml:space="preserve"> </w:t>
      </w:r>
      <w:r>
        <w:t xml:space="preserve">“</w:t>
      </w:r>
      <w:r>
        <w:t xml:space="preserve">mahatī</w:t>
      </w:r>
      <w:r>
        <w:t xml:space="preserve">”</w:t>
      </w:r>
      <w:r>
        <w:t xml:space="preserve">:</w:t>
      </w:r>
      <w:r>
        <w:t xml:space="preserve"> </w:t>
      </w:r>
      <w:r>
        <w:rPr>
          <w:bCs/>
          <w:b/>
        </w:rPr>
        <w:t xml:space="preserve">उगितश्च</w:t>
      </w:r>
      <w:r>
        <w:t xml:space="preserve"> </w:t>
      </w:r>
      <w:r>
        <w:t xml:space="preserve">(पा. ४-१-६)</w:t>
      </w:r>
      <w:r>
        <w:t xml:space="preserve"> </w:t>
      </w:r>
      <w:r>
        <w:t xml:space="preserve">“</w:t>
      </w:r>
      <w:r>
        <w:t xml:space="preserve">ṅīp</w:t>
      </w:r>
      <w:r>
        <w:t xml:space="preserve">”</w:t>
      </w:r>
      <w:r>
        <w:t xml:space="preserve">; the vārttika</w:t>
      </w:r>
      <w:r>
        <w:t xml:space="preserve"> </w:t>
      </w:r>
      <w:r>
        <w:t xml:space="preserve">“</w:t>
      </w:r>
      <w:r>
        <w:t xml:space="preserve">bṛhanmahatorupasaṃkhyānam</w:t>
      </w:r>
      <w:r>
        <w:t xml:space="preserve">”</w:t>
      </w:r>
      <w:r>
        <w:t xml:space="preserve"> </w:t>
      </w:r>
      <w:r>
        <w:t xml:space="preserve">(पा. ६-१-१७३-१) makes it acute; the loss of</w:t>
      </w:r>
      <w:r>
        <w:t xml:space="preserve"> </w:t>
      </w:r>
      <w:r>
        <w:t xml:space="preserve">“</w:t>
      </w:r>
      <w:r>
        <w:t xml:space="preserve">at</w:t>
      </w:r>
      <w:r>
        <w:t xml:space="preserve">”</w:t>
      </w:r>
      <w:r>
        <w:t xml:space="preserve"> </w:t>
      </w:r>
      <w:r>
        <w:t xml:space="preserve">Vedic.</w:t>
      </w:r>
      <w:r>
        <w:t xml:space="preserve"> </w:t>
      </w:r>
      <w:r>
        <w:t xml:space="preserve">“</w:t>
      </w:r>
      <w:r>
        <w:t xml:space="preserve">Pakvā</w:t>
      </w:r>
      <w:r>
        <w:t xml:space="preserve">”</w:t>
      </w:r>
      <w:r>
        <w:t xml:space="preserve"> </w:t>
      </w:r>
      <w:r>
        <w:t xml:space="preserve">—</w:t>
      </w:r>
      <w:r>
        <w:t xml:space="preserve"> </w:t>
      </w:r>
      <w:r>
        <w:t xml:space="preserve">“</w:t>
      </w:r>
      <w:r>
        <w:t xml:space="preserve">ḍupacaṣ pāke,</w:t>
      </w:r>
      <w:r>
        <w:t xml:space="preserve">”</w:t>
      </w:r>
      <w:r>
        <w:t xml:space="preserve"> </w:t>
      </w:r>
      <w:r>
        <w:rPr>
          <w:bCs/>
          <w:b/>
        </w:rPr>
        <w:t xml:space="preserve">निष्ठा</w:t>
      </w:r>
      <w:r>
        <w:t xml:space="preserve"> </w:t>
      </w:r>
      <w:r>
        <w:t xml:space="preserve">(पा. ३-२-१०२)</w:t>
      </w:r>
      <w:r>
        <w:t xml:space="preserve"> </w:t>
      </w:r>
      <w:r>
        <w:t xml:space="preserve">“</w:t>
      </w:r>
      <w:r>
        <w:t xml:space="preserve">kta</w:t>
      </w:r>
      <w:r>
        <w:t xml:space="preserve">”</w:t>
      </w:r>
      <w:r>
        <w:t xml:space="preserve">;</w:t>
      </w:r>
      <w:r>
        <w:t xml:space="preserve"> </w:t>
      </w:r>
      <w:r>
        <w:rPr>
          <w:bCs/>
          <w:b/>
        </w:rPr>
        <w:t xml:space="preserve">पचो वः</w:t>
      </w:r>
      <w:r>
        <w:t xml:space="preserve"> </w:t>
      </w:r>
      <w:r>
        <w:t xml:space="preserve">(पा. ८-२-५२)</w:t>
      </w:r>
      <w:r>
        <w:t xml:space="preserve"> </w:t>
      </w:r>
      <w:r>
        <w:t xml:space="preserve">“</w:t>
      </w:r>
      <w:r>
        <w:t xml:space="preserve">v</w:t>
      </w:r>
      <w:r>
        <w:t xml:space="preserve">”</w:t>
      </w:r>
      <w:r>
        <w:t xml:space="preserve">;</w:t>
      </w:r>
      <w:r>
        <w:t xml:space="preserve"> </w:t>
      </w:r>
      <w:r>
        <w:rPr>
          <w:bCs/>
          <w:b/>
        </w:rPr>
        <w:t xml:space="preserve">चोः कुः</w:t>
      </w:r>
      <w:r>
        <w:t xml:space="preserve"> </w:t>
      </w:r>
      <w:r>
        <w:t xml:space="preserve">(पा. ८-२-३०)</w:t>
      </w:r>
      <w:r>
        <w:t xml:space="preserve"> </w:t>
      </w:r>
      <w:r>
        <w:t xml:space="preserve">“</w:t>
      </w:r>
      <w:r>
        <w:t xml:space="preserve">k</w:t>
      </w:r>
      <w:r>
        <w:t xml:space="preserve">”</w:t>
      </w:r>
      <w:r>
        <w:t xml:space="preserve">; end-acute; with</w:t>
      </w:r>
      <w:r>
        <w:t xml:space="preserve"> </w:t>
      </w:r>
      <w:r>
        <w:t xml:space="preserve">“</w:t>
      </w:r>
      <w:r>
        <w:t xml:space="preserve">ṭāp,</w:t>
      </w:r>
      <w:r>
        <w:t xml:space="preserve">”</w:t>
      </w:r>
      <w:r>
        <w:t xml:space="preserve"> </w:t>
      </w:r>
      <w:r>
        <w:t xml:space="preserve">the long single vowel acute.</w:t>
      </w:r>
      <w:r>
        <w:t xml:space="preserve"> </w:t>
      </w:r>
      <w:r>
        <w:t xml:space="preserve">“</w:t>
      </w:r>
      <w:r>
        <w:t xml:space="preserve">Śākhā</w:t>
      </w:r>
      <w:r>
        <w:t xml:space="preserve">”</w:t>
      </w:r>
      <w:r>
        <w:t xml:space="preserve"> </w:t>
      </w:r>
      <w:r>
        <w:t xml:space="preserve">—</w:t>
      </w:r>
      <w:r>
        <w:t xml:space="preserve"> </w:t>
      </w:r>
      <w:r>
        <w:t xml:space="preserve">“</w:t>
      </w:r>
      <w:r>
        <w:t xml:space="preserve">śākhṛ ślākhṛ vyāptau,</w:t>
      </w:r>
      <w:r>
        <w:t xml:space="preserve">”</w:t>
      </w:r>
      <w:r>
        <w:t xml:space="preserve"> </w:t>
      </w:r>
      <w:r>
        <w:t xml:space="preserve">“</w:t>
      </w:r>
      <w:r>
        <w:t xml:space="preserve">ac</w:t>
      </w:r>
      <w:r>
        <w:t xml:space="preserve">”</w:t>
      </w:r>
      <w:r>
        <w:t xml:space="preserve"> </w:t>
      </w:r>
      <w:r>
        <w:t xml:space="preserve">(pacādi), end-acute expected, but as of the vṛṣādi ākṛtigaṇa first-syllable acute.</w:t>
      </w:r>
      <w:r>
        <w:t xml:space="preserve"> </w:t>
      </w:r>
      <w:r>
        <w:t xml:space="preserve">“</w:t>
      </w:r>
      <w:r>
        <w:t xml:space="preserve">Dāśuṣe</w:t>
      </w:r>
      <w:r>
        <w:t xml:space="preserve">”</w:t>
      </w:r>
      <w:r>
        <w:t xml:space="preserve"> </w:t>
      </w:r>
      <w:r>
        <w:t xml:space="preserve">—</w:t>
      </w:r>
      <w:r>
        <w:t xml:space="preserve"> </w:t>
      </w:r>
      <w:r>
        <w:t xml:space="preserve">“</w:t>
      </w:r>
      <w:r>
        <w:t xml:space="preserve">dāśṛ dāne,</w:t>
      </w:r>
      <w:r>
        <w:t xml:space="preserve">”</w:t>
      </w:r>
      <w:r>
        <w:t xml:space="preserve"> </w:t>
      </w:r>
      <w:r>
        <w:rPr>
          <w:bCs/>
          <w:b/>
        </w:rPr>
        <w:t xml:space="preserve">दाश्वान्साह्वान्मीढ्वांश्च</w:t>
      </w:r>
      <w:r>
        <w:t xml:space="preserve"> </w:t>
      </w:r>
      <w:r>
        <w:t xml:space="preserve">(पा. ६-१-१२) by nipātana no</w:t>
      </w:r>
      <w:r>
        <w:t xml:space="preserve"> </w:t>
      </w:r>
      <w:r>
        <w:t xml:space="preserve">“</w:t>
      </w:r>
      <w:r>
        <w:t xml:space="preserve">iṭ</w:t>
      </w:r>
      <w:r>
        <w:t xml:space="preserve">”</w:t>
      </w:r>
      <w:r>
        <w:t xml:space="preserve"> </w:t>
      </w:r>
      <w:r>
        <w:t xml:space="preserve">and no doubling;</w:t>
      </w:r>
      <w:r>
        <w:t xml:space="preserve"> </w:t>
      </w:r>
      <w:r>
        <w:rPr>
          <w:bCs/>
          <w:b/>
        </w:rPr>
        <w:t xml:space="preserve">यचि भम्</w:t>
      </w:r>
      <w:r>
        <w:t xml:space="preserve"> </w:t>
      </w:r>
      <w:r>
        <w:t xml:space="preserve">(पा. १-४-१८)</w:t>
      </w:r>
      <w:r>
        <w:t xml:space="preserve"> </w:t>
      </w:r>
      <w:r>
        <w:t xml:space="preserve">“</w:t>
      </w:r>
      <w:r>
        <w:t xml:space="preserve">bha</w:t>
      </w:r>
      <w:r>
        <w:t xml:space="preserve">”</w:t>
      </w:r>
      <w:r>
        <w:t xml:space="preserve">;</w:t>
      </w:r>
      <w:r>
        <w:t xml:space="preserve"> </w:t>
      </w:r>
      <w:r>
        <w:rPr>
          <w:bCs/>
          <w:b/>
        </w:rPr>
        <w:t xml:space="preserve">वसोः संप्रसारणम्</w:t>
      </w:r>
      <w:r>
        <w:t xml:space="preserve"> </w:t>
      </w:r>
      <w:r>
        <w:t xml:space="preserve">(पा. ६-४-१३१); the prior form;</w:t>
      </w:r>
      <w:r>
        <w:t xml:space="preserve"> </w:t>
      </w:r>
      <w:r>
        <w:rPr>
          <w:bCs/>
          <w:b/>
        </w:rPr>
        <w:t xml:space="preserve">शासिवसिघसीनां च</w:t>
      </w:r>
      <w:r>
        <w:t xml:space="preserve"> </w:t>
      </w:r>
      <w:r>
        <w:t xml:space="preserve">(पा. ८-३-६०)</w:t>
      </w:r>
      <w:r>
        <w:t xml:space="preserve"> </w:t>
      </w:r>
      <w:r>
        <w:t xml:space="preserve">“</w:t>
      </w:r>
      <w:r>
        <w:t xml:space="preserve">ṣ</w:t>
      </w:r>
      <w:r>
        <w:t xml:space="preserve">”</w:t>
      </w:r>
      <w:r>
        <w:t xml:space="preserve">; the</w:t>
      </w:r>
      <w:r>
        <w:t xml:space="preserve"> </w:t>
      </w:r>
      <w:r>
        <w:t xml:space="preserve">“</w:t>
      </w:r>
      <w:r>
        <w:t xml:space="preserve">u</w:t>
      </w:r>
      <w:r>
        <w:t xml:space="preserve">”</w:t>
      </w:r>
      <w:r>
        <w:t xml:space="preserve"> </w:t>
      </w:r>
      <w:r>
        <w:t xml:space="preserve">acute by the affix accent.</w:t>
      </w:r>
    </w:p>
    <w:bookmarkEnd w:id="360"/>
    <w:bookmarkStart w:id="361" w:name="Xc0bb25251cad18d923d5eef6e5f2af478cbaae1"/>
    <w:p>
      <w:pPr>
        <w:pStyle w:val="Heading3"/>
      </w:pPr>
      <w:r>
        <w:t xml:space="preserve">Page 332 — Rik 8: word-meanings, overall sense, Special Topics</w:t>
      </w:r>
    </w:p>
    <w:p>
      <w:pPr>
        <w:pStyle w:val="FirstParagraph"/>
      </w:pPr>
      <w:r>
        <w:rPr>
          <w:bCs/>
          <w:b/>
        </w:rPr>
        <w:t xml:space="preserve">॥ Prati-padārthaḥ ॥</w:t>
      </w:r>
    </w:p>
    <w:p>
      <w:pPr>
        <w:pStyle w:val="BodyText"/>
      </w:pPr>
      <w:r>
        <w:rPr>
          <w:bCs/>
          <w:b/>
        </w:rPr>
        <w:t xml:space="preserve">अस्य (asya)</w:t>
      </w:r>
      <w:r>
        <w:t xml:space="preserve"> </w:t>
      </w:r>
      <w:r>
        <w:t xml:space="preserve">— of Indra |</w:t>
      </w:r>
      <w:r>
        <w:t xml:space="preserve"> </w:t>
      </w:r>
      <w:r>
        <w:rPr>
          <w:bCs/>
          <w:b/>
        </w:rPr>
        <w:t xml:space="preserve">सूनृता (sūnṛtā)</w:t>
      </w:r>
      <w:r>
        <w:t xml:space="preserve"> </w:t>
      </w:r>
      <w:r>
        <w:t xml:space="preserve">— the pleasant and true (speech) |</w:t>
      </w:r>
      <w:r>
        <w:t xml:space="preserve"> </w:t>
      </w:r>
      <w:r>
        <w:rPr>
          <w:bCs/>
          <w:b/>
        </w:rPr>
        <w:t xml:space="preserve">दाशुषे (dāśuṣe)</w:t>
      </w:r>
      <w:r>
        <w:t xml:space="preserve"> </w:t>
      </w:r>
      <w:r>
        <w:t xml:space="preserve">— to the sacrificer who offers the oblation |</w:t>
      </w:r>
      <w:r>
        <w:t xml:space="preserve"> </w:t>
      </w:r>
      <w:r>
        <w:rPr>
          <w:bCs/>
          <w:b/>
        </w:rPr>
        <w:t xml:space="preserve">पक्वा शाखा न (pakvā śākhā na)</w:t>
      </w:r>
      <w:r>
        <w:t xml:space="preserve"> </w:t>
      </w:r>
      <w:r>
        <w:t xml:space="preserve">— like a branch laden with ripe fruit |</w:t>
      </w:r>
      <w:r>
        <w:t xml:space="preserve"> </w:t>
      </w:r>
      <w:r>
        <w:rPr>
          <w:bCs/>
          <w:b/>
        </w:rPr>
        <w:t xml:space="preserve">विरप्शी (virapśī)</w:t>
      </w:r>
      <w:r>
        <w:t xml:space="preserve"> </w:t>
      </w:r>
      <w:r>
        <w:t xml:space="preserve">— of many kinds (granting what is wished) |</w:t>
      </w:r>
      <w:r>
        <w:t xml:space="preserve"> </w:t>
      </w:r>
      <w:r>
        <w:rPr>
          <w:bCs/>
          <w:b/>
        </w:rPr>
        <w:t xml:space="preserve">गोमती (gomatī)</w:t>
      </w:r>
      <w:r>
        <w:t xml:space="preserve"> </w:t>
      </w:r>
      <w:r>
        <w:t xml:space="preserve">— giving cows |</w:t>
      </w:r>
      <w:r>
        <w:t xml:space="preserve"> </w:t>
      </w:r>
      <w:r>
        <w:rPr>
          <w:bCs/>
          <w:b/>
        </w:rPr>
        <w:t xml:space="preserve">मही (mahī)</w:t>
      </w:r>
      <w:r>
        <w:t xml:space="preserve"> </w:t>
      </w:r>
      <w:r>
        <w:t xml:space="preserve">— worthy of honour |</w:t>
      </w:r>
      <w:r>
        <w:t xml:space="preserve"> </w:t>
      </w:r>
      <w:r>
        <w:rPr>
          <w:bCs/>
          <w:b/>
        </w:rPr>
        <w:t xml:space="preserve">एवा हि (evā hi)</w:t>
      </w:r>
      <w:r>
        <w:t xml:space="preserve"> </w:t>
      </w:r>
      <w:r>
        <w:t xml:space="preserve">— [is] indeed (always so).</w:t>
      </w:r>
    </w:p>
    <w:p>
      <w:pPr>
        <w:pStyle w:val="BodyText"/>
      </w:pPr>
      <w:r>
        <w:rPr>
          <w:bCs/>
          <w:b/>
        </w:rPr>
        <w:t xml:space="preserve">॥ Bhāvārthaḥ ॥</w:t>
      </w:r>
    </w:p>
    <w:p>
      <w:pPr>
        <w:pStyle w:val="BodyText"/>
      </w:pPr>
      <w:r>
        <w:t xml:space="preserve">Toward the sacrificer who gives the oblation, Indra’s word is true and grants many desires. Moreover that word of Indra, like a branch full of ripe fruits, gives the sacrificer his many kinds of desired things, and gives cows as well. Because Indra’s word is always worshipful it is deserving of respect; it never turns out false.</w:t>
      </w:r>
    </w:p>
    <w:p>
      <w:pPr>
        <w:pStyle w:val="BodyText"/>
      </w:pPr>
      <w:r>
        <w:rPr>
          <w:iCs/>
          <w:i/>
        </w:rPr>
        <w:t xml:space="preserve">(No</w:t>
      </w:r>
      <w:r>
        <w:rPr>
          <w:iCs/>
          <w:i/>
        </w:rPr>
        <w:t xml:space="preserve"> </w:t>
      </w:r>
      <w:r>
        <w:rPr>
          <w:iCs/>
          <w:i/>
        </w:rPr>
        <w:t xml:space="preserve">“</w:t>
      </w:r>
      <w:r>
        <w:rPr>
          <w:iCs/>
          <w:i/>
        </w:rPr>
        <w:t xml:space="preserve">English Translation</w:t>
      </w:r>
      <w:r>
        <w:rPr>
          <w:iCs/>
          <w:i/>
        </w:rPr>
        <w:t xml:space="preserve">”</w:t>
      </w:r>
      <w:r>
        <w:rPr>
          <w:iCs/>
          <w:i/>
        </w:rPr>
        <w:t xml:space="preserve"> </w:t>
      </w:r>
      <w:r>
        <w:rPr>
          <w:iCs/>
          <w:i/>
        </w:rPr>
        <w:t xml:space="preserve">block is printed for this rik in the source, as also for Rik 7.6; none is supplied here.)</w:t>
      </w:r>
    </w:p>
    <w:p>
      <w:pPr>
        <w:pStyle w:val="BodyText"/>
      </w:pPr>
      <w:r>
        <w:rPr>
          <w:bCs/>
          <w:b/>
        </w:rPr>
        <w:t xml:space="preserve">॥ Viśeṣa-viṣayagaḷu (Special Topics) ॥</w:t>
      </w:r>
    </w:p>
    <w:p>
      <w:pPr>
        <w:pStyle w:val="BodyText"/>
      </w:pPr>
      <w:r>
        <w:rPr>
          <w:bCs/>
          <w:b/>
        </w:rPr>
        <w:t xml:space="preserve">The application.</w:t>
      </w:r>
      <w:r>
        <w:t xml:space="preserve"> </w:t>
      </w:r>
      <w:r>
        <w:t xml:space="preserve">At the time of reciting the mantras in the rite called Abhiplava-ṣaḍaha, in the third pressing, the priest called Brāhmaṇācchaṃsin is to recite the triplet</w:t>
      </w:r>
      <w:r>
        <w:t xml:space="preserve"> </w:t>
      </w:r>
      <w:r>
        <w:rPr>
          <w:iCs/>
          <w:i/>
        </w:rPr>
        <w:t xml:space="preserve">evā hy asya sūnṛtā</w:t>
      </w:r>
      <w:r>
        <w:t xml:space="preserve">. Āśvalāyana says this in his Śrauta-sūtra (Ā. 6-8) in the section</w:t>
      </w:r>
      <w:r>
        <w:t xml:space="preserve"> </w:t>
      </w:r>
      <w:r>
        <w:rPr>
          <w:iCs/>
          <w:i/>
        </w:rPr>
        <w:t xml:space="preserve">ehy ū ṣu bravāṇi te</w:t>
      </w:r>
      <w:r>
        <w:t xml:space="preserve">, beginning</w:t>
      </w:r>
      <w:r>
        <w:t xml:space="preserve"> </w:t>
      </w:r>
      <w:r>
        <w:rPr>
          <w:iCs/>
          <w:i/>
        </w:rPr>
        <w:t xml:space="preserve">atha brāhmaṇācchaṃsinaḥ</w:t>
      </w:r>
      <w:r>
        <w:t xml:space="preserve">, directing that the riks</w:t>
      </w:r>
      <w:r>
        <w:t xml:space="preserve"> </w:t>
      </w:r>
      <w:r>
        <w:rPr>
          <w:iCs/>
          <w:i/>
        </w:rPr>
        <w:t xml:space="preserve">evā hy asi vīrayuḥ</w:t>
      </w:r>
      <w:r>
        <w:t xml:space="preserve"> </w:t>
      </w:r>
      <w:r>
        <w:t xml:space="preserve">(Ṛgveda Saṃhitā 8-92-2[?], the last digit unclear) and</w:t>
      </w:r>
      <w:r>
        <w:t xml:space="preserve"> </w:t>
      </w:r>
      <w:r>
        <w:rPr>
          <w:iCs/>
          <w:i/>
        </w:rPr>
        <w:t xml:space="preserve">evā hy asya sūnṛtā</w:t>
      </w:r>
      <w:r>
        <w:t xml:space="preserve"> </w:t>
      </w:r>
      <w:r>
        <w:t xml:space="preserve">(Ṛgveda Saṃhitā 1-8-8) be recited.</w:t>
      </w:r>
    </w:p>
    <w:p>
      <w:pPr>
        <w:pStyle w:val="BodyText"/>
      </w:pPr>
      <w:r>
        <w:t xml:space="preserve">The sense of the rik is somewhat involved. Indra always gives each person what they desire when they worship him. His word is pleasant and true; it does not become false. And as a branch of a jackfruit tree laden with fine ripe fruit gives joy to people, so Indra’s word is pleasing to people. For Indra gives to the sacrificer who gives him the oblation, and to others like him, cows and many other desired things. Therefore his word is worshipful and deserving of honour. The main idea is that it can never turn out false.</w:t>
      </w:r>
    </w:p>
    <w:p>
      <w:pPr>
        <w:pStyle w:val="BodyText"/>
      </w:pPr>
      <w:r>
        <w:rPr>
          <w:bCs/>
          <w:b/>
        </w:rPr>
        <w:t xml:space="preserve">“</w:t>
      </w:r>
      <w:r>
        <w:rPr>
          <w:bCs/>
          <w:b/>
        </w:rPr>
        <w:t xml:space="preserve">Sūnṛtā</w:t>
      </w:r>
      <w:r>
        <w:rPr>
          <w:bCs/>
          <w:b/>
        </w:rPr>
        <w:t xml:space="preserve">”</w:t>
      </w:r>
      <w:r>
        <w:t xml:space="preserve"> </w:t>
      </w:r>
      <w:r>
        <w:t xml:space="preserve">—</w:t>
      </w:r>
      <w:r>
        <w:t xml:space="preserve"> </w:t>
      </w:r>
      <w:r>
        <w:rPr>
          <w:bCs/>
          <w:b/>
        </w:rPr>
        <w:t xml:space="preserve">ऊन परिहाणे । सुतरामूनयत्यप्रियमिति सून् । सा चासावृता सत्या चेति सूनृता प्रियसत्या वाक्</w:t>
      </w:r>
      <w:r>
        <w:t xml:space="preserve"> </w:t>
      </w:r>
      <w:r>
        <w:t xml:space="preserve">(</w:t>
      </w:r>
      <w:r>
        <w:rPr>
          <w:iCs/>
          <w:i/>
        </w:rPr>
        <w:t xml:space="preserve">ūna parihāṇe | sutarām ūnayaty apriyam iti sūn | sā cāsāv ṛtā satyā ceti sūnṛtā priya-satyā vāk</w:t>
      </w:r>
      <w:r>
        <w:t xml:space="preserve">) —</w:t>
      </w:r>
      <w:r>
        <w:t xml:space="preserve"> </w:t>
      </w:r>
      <w:r>
        <w:t xml:space="preserve">“</w:t>
      </w:r>
      <w:r>
        <w:t xml:space="preserve">[root]</w:t>
      </w:r>
      <w:r>
        <w:t xml:space="preserve"> </w:t>
      </w:r>
      <w:r>
        <w:rPr>
          <w:iCs/>
          <w:i/>
        </w:rPr>
        <w:t xml:space="preserve">ūna</w:t>
      </w:r>
      <w:r>
        <w:t xml:space="preserve">,</w:t>
      </w:r>
      <w:r>
        <w:t xml:space="preserve"> </w:t>
      </w:r>
      <w:r>
        <w:t xml:space="preserve">‘</w:t>
      </w:r>
      <w:r>
        <w:t xml:space="preserve">to diminish</w:t>
      </w:r>
      <w:r>
        <w:t xml:space="preserve">’</w:t>
      </w:r>
      <w:r>
        <w:t xml:space="preserve">; that which thoroughly removes the unpleasant is</w:t>
      </w:r>
      <w:r>
        <w:t xml:space="preserve"> </w:t>
      </w:r>
      <w:r>
        <w:rPr>
          <w:iCs/>
          <w:i/>
        </w:rPr>
        <w:t xml:space="preserve">sūn</w:t>
      </w:r>
      <w:r>
        <w:t xml:space="preserve">; that, and also</w:t>
      </w:r>
      <w:r>
        <w:t xml:space="preserve"> </w:t>
      </w:r>
      <w:r>
        <w:rPr>
          <w:iCs/>
          <w:i/>
        </w:rPr>
        <w:t xml:space="preserve">ṛtā</w:t>
      </w:r>
      <w:r>
        <w:t xml:space="preserve"> </w:t>
      </w:r>
      <w:r>
        <w:t xml:space="preserve">— true — is</w:t>
      </w:r>
      <w:r>
        <w:t xml:space="preserve"> </w:t>
      </w:r>
      <w:r>
        <w:rPr>
          <w:iCs/>
          <w:i/>
        </w:rPr>
        <w:t xml:space="preserve">sūnṛtā</w:t>
      </w:r>
      <w:r>
        <w:t xml:space="preserve">: pleasant and true speech.</w:t>
      </w:r>
      <w:r>
        <w:t xml:space="preserve">”</w:t>
      </w:r>
      <w:r>
        <w:t xml:space="preserve"> </w:t>
      </w:r>
      <w:r>
        <w:t xml:space="preserve">That is, the root</w:t>
      </w:r>
      <w:r>
        <w:t xml:space="preserve"> </w:t>
      </w:r>
      <w:r>
        <w:rPr>
          <w:iCs/>
          <w:i/>
        </w:rPr>
        <w:t xml:space="preserve">ūna</w:t>
      </w:r>
      <w:r>
        <w:t xml:space="preserve"> </w:t>
      </w:r>
      <w:r>
        <w:t xml:space="preserve">means to remove; because it removes the unpleasant, evil, so well, it is called</w:t>
      </w:r>
      <w:r>
        <w:t xml:space="preserve"> </w:t>
      </w:r>
      <w:r>
        <w:rPr>
          <w:iCs/>
          <w:i/>
        </w:rPr>
        <w:t xml:space="preserve">sūn</w:t>
      </w:r>
      <w:r>
        <w:t xml:space="preserve">;</w:t>
      </w:r>
      <w:r>
        <w:t xml:space="preserve"> </w:t>
      </w:r>
      <w:r>
        <w:rPr>
          <w:iCs/>
          <w:i/>
        </w:rPr>
        <w:t xml:space="preserve">ṛta</w:t>
      </w:r>
      <w:r>
        <w:t xml:space="preserve"> </w:t>
      </w:r>
      <w:r>
        <w:t xml:space="preserve">means truth; so the word</w:t>
      </w:r>
      <w:r>
        <w:t xml:space="preserve"> </w:t>
      </w:r>
      <w:r>
        <w:rPr>
          <w:iCs/>
          <w:i/>
        </w:rPr>
        <w:t xml:space="preserve">sūnṛtā</w:t>
      </w:r>
      <w:r>
        <w:t xml:space="preserve"> </w:t>
      </w:r>
      <w:r>
        <w:t xml:space="preserve">means speech that is not unpleasant — that is, pleasant and true.</w:t>
      </w:r>
      <w:r>
        <w:t xml:space="preserve"> </w:t>
      </w:r>
      <w:r>
        <w:rPr>
          <w:bCs/>
          <w:b/>
        </w:rPr>
        <w:t xml:space="preserve">Skandasvāmī</w:t>
      </w:r>
      <w:r>
        <w:t xml:space="preserve">, for the word</w:t>
      </w:r>
      <w:r>
        <w:t xml:space="preserve"> </w:t>
      </w:r>
      <w:r>
        <w:rPr>
          <w:iCs/>
          <w:i/>
        </w:rPr>
        <w:t xml:space="preserve">virapśī</w:t>
      </w:r>
      <w:r>
        <w:t xml:space="preserve">, gives besides the sense</w:t>
      </w:r>
      <w:r>
        <w:t xml:space="preserve"> </w:t>
      </w:r>
      <w:r>
        <w:rPr>
          <w:bCs/>
          <w:b/>
        </w:rPr>
        <w:t xml:space="preserve">सर्वकामधुक्</w:t>
      </w:r>
      <w:r>
        <w:t xml:space="preserve"> </w:t>
      </w:r>
      <w:r>
        <w:t xml:space="preserve">(</w:t>
      </w:r>
      <w:r>
        <w:rPr>
          <w:iCs/>
          <w:i/>
        </w:rPr>
        <w:t xml:space="preserve">sarvakāma-dhuk</w:t>
      </w:r>
      <w:r>
        <w:t xml:space="preserve">,</w:t>
      </w:r>
      <w:r>
        <w:t xml:space="preserve"> </w:t>
      </w:r>
      <w:r>
        <w:t xml:space="preserve">“</w:t>
      </w:r>
      <w:r>
        <w:t xml:space="preserve">milking all desires</w:t>
      </w:r>
      <w:r>
        <w:t xml:space="preserve">”</w:t>
      </w:r>
      <w:r>
        <w:t xml:space="preserve">: that gives all wished-for things) another:</w:t>
      </w:r>
      <w:r>
        <w:t xml:space="preserve"> </w:t>
      </w:r>
      <w:r>
        <w:rPr>
          <w:bCs/>
          <w:b/>
        </w:rPr>
        <w:t xml:space="preserve">सूनृता गर्जितलक्षणा वाक् । गोमती आपोऽत्र गाव उच्यन्ते</w:t>
      </w:r>
      <w:r>
        <w:t xml:space="preserve"> </w:t>
      </w:r>
      <w:r>
        <w:t xml:space="preserve">(</w:t>
      </w:r>
      <w:r>
        <w:rPr>
          <w:iCs/>
          <w:i/>
        </w:rPr>
        <w:t xml:space="preserve">sūnṛtā garjita-lakṣaṇā vāk | gomatī āpo ’tra gāva ucyante</w:t>
      </w:r>
      <w:r>
        <w:t xml:space="preserve">) —</w:t>
      </w:r>
      <w:r>
        <w:t xml:space="preserve"> </w:t>
      </w:r>
      <w:r>
        <w:t xml:space="preserve">“</w:t>
      </w:r>
      <w:r>
        <w:rPr>
          <w:iCs/>
          <w:i/>
        </w:rPr>
        <w:t xml:space="preserve">sūnṛtā</w:t>
      </w:r>
      <w:r>
        <w:t xml:space="preserve"> </w:t>
      </w:r>
      <w:r>
        <w:t xml:space="preserve">is speech characterized by thundering;</w:t>
      </w:r>
      <w:r>
        <w:t xml:space="preserve"> </w:t>
      </w:r>
      <w:r>
        <w:rPr>
          <w:iCs/>
          <w:i/>
        </w:rPr>
        <w:t xml:space="preserve">gomatī</w:t>
      </w:r>
      <w:r>
        <w:t xml:space="preserve">: here the waters are called</w:t>
      </w:r>
      <w:r>
        <w:t xml:space="preserve"> </w:t>
      </w:r>
      <w:r>
        <w:rPr>
          <w:iCs/>
          <w:i/>
        </w:rPr>
        <w:t xml:space="preserve">gāvaḥ</w:t>
      </w:r>
      <w:r>
        <w:t xml:space="preserve"> </w:t>
      </w:r>
      <w:r>
        <w:t xml:space="preserve">[cows].</w:t>
      </w:r>
      <w:r>
        <w:t xml:space="preserve">”</w:t>
      </w:r>
      <w:r>
        <w:t xml:space="preserve"> </w:t>
      </w:r>
      <w:r>
        <w:t xml:space="preserve">That is, here the word</w:t>
      </w:r>
      <w:r>
        <w:t xml:space="preserve"> </w:t>
      </w:r>
      <w:r>
        <w:rPr>
          <w:iCs/>
          <w:i/>
        </w:rPr>
        <w:t xml:space="preserve">go</w:t>
      </w:r>
      <w:r>
        <w:t xml:space="preserve"> </w:t>
      </w:r>
      <w:r>
        <w:t xml:space="preserve">is to be taken as</w:t>
      </w:r>
      <w:r>
        <w:t xml:space="preserve"> </w:t>
      </w:r>
      <w:r>
        <w:t xml:space="preserve">“</w:t>
      </w:r>
      <w:r>
        <w:t xml:space="preserve">water.</w:t>
      </w:r>
      <w:r>
        <w:t xml:space="preserve">”</w:t>
      </w:r>
      <w:r>
        <w:t xml:space="preserve"> </w:t>
      </w:r>
      <w:r>
        <w:rPr>
          <w:iCs/>
          <w:i/>
        </w:rPr>
        <w:t xml:space="preserve">Sūnṛtā</w:t>
      </w:r>
      <w:r>
        <w:t xml:space="preserve"> </w:t>
      </w:r>
      <w:r>
        <w:t xml:space="preserve">means a rumbling speech or sound; so the words</w:t>
      </w:r>
      <w:r>
        <w:t xml:space="preserve"> </w:t>
      </w:r>
      <w:r>
        <w:rPr>
          <w:iCs/>
          <w:i/>
        </w:rPr>
        <w:t xml:space="preserve">sūnṛtā gomatī</w:t>
      </w:r>
      <w:r>
        <w:t xml:space="preserve"> </w:t>
      </w:r>
      <w:r>
        <w:t xml:space="preserve">are taken to mean</w:t>
      </w:r>
      <w:r>
        <w:t xml:space="preserve"> </w:t>
      </w:r>
      <w:r>
        <w:t xml:space="preserve">“</w:t>
      </w:r>
      <w:r>
        <w:t xml:space="preserve">waters with sound,</w:t>
      </w:r>
      <w:r>
        <w:t xml:space="preserve">”</w:t>
      </w:r>
      <w:r>
        <w:t xml:space="preserve"> </w:t>
      </w:r>
      <w:r>
        <w:t xml:space="preserve">that is, rain accompanied by the thunder of clouds.</w:t>
      </w:r>
    </w:p>
    <w:bookmarkEnd w:id="361"/>
    <w:bookmarkStart w:id="362" w:name="page-333-rik-8-special-topics-continued"/>
    <w:p>
      <w:pPr>
        <w:pStyle w:val="Heading3"/>
      </w:pPr>
      <w:r>
        <w:t xml:space="preserve">Page 333 — Rik 8: Special Topics (continued)</w:t>
      </w:r>
    </w:p>
    <w:p>
      <w:pPr>
        <w:pStyle w:val="FirstParagraph"/>
      </w:pPr>
      <w:r>
        <w:rPr>
          <w:iCs/>
          <w:i/>
        </w:rPr>
        <w:t xml:space="preserve">(Page header:</w:t>
      </w:r>
      <w:r>
        <w:rPr>
          <w:iCs/>
          <w:i/>
        </w:rPr>
        <w:t xml:space="preserve"> </w:t>
      </w:r>
      <w:r>
        <w:rPr>
          <w:iCs/>
          <w:i/>
        </w:rPr>
        <w:t xml:space="preserve">“</w:t>
      </w:r>
      <w:r>
        <w:rPr>
          <w:iCs/>
          <w:i/>
        </w:rPr>
        <w:t xml:space="preserve">A. 1, A. 1, Va. 16.</w:t>
      </w:r>
      <w:r>
        <w:rPr>
          <w:iCs/>
          <w:i/>
        </w:rPr>
        <w:t xml:space="preserve">”</w:t>
      </w:r>
      <w:r>
        <w:rPr>
          <w:iCs/>
          <w:i/>
        </w:rPr>
        <w:t xml:space="preserve"> </w:t>
      </w:r>
      <w:r>
        <w:rPr>
          <w:iCs/>
          <w:i/>
        </w:rPr>
        <w:t xml:space="preserve">The top of the page ends Skandasvāmī’s gloss:</w:t>
      </w:r>
      <w:r>
        <w:rPr>
          <w:iCs/>
          <w:i/>
        </w:rPr>
        <w:t xml:space="preserve"> </w:t>
      </w:r>
      <w:r>
        <w:rPr>
          <w:iCs/>
          <w:i/>
        </w:rPr>
        <w:t xml:space="preserve">“</w:t>
      </w:r>
      <w:r>
        <w:rPr>
          <w:iCs/>
          <w:i/>
        </w:rPr>
        <w:t xml:space="preserve">…āpo ’tra gāva ucyante</w:t>
      </w:r>
      <w:r>
        <w:rPr>
          <w:iCs/>
          <w:i/>
        </w:rPr>
        <w:t xml:space="preserve">”</w:t>
      </w:r>
      <w:r>
        <w:rPr>
          <w:iCs/>
          <w:i/>
        </w:rPr>
        <w:t xml:space="preserve"> </w:t>
      </w:r>
      <w:r>
        <w:rPr>
          <w:iCs/>
          <w:i/>
        </w:rPr>
        <w:t xml:space="preserve">— here</w:t>
      </w:r>
      <w:r>
        <w:rPr>
          <w:iCs/>
          <w:i/>
        </w:rPr>
        <w:t xml:space="preserve"> </w:t>
      </w:r>
      <w:r>
        <w:rPr>
          <w:iCs/>
          <w:i/>
        </w:rPr>
        <w:t xml:space="preserve">“</w:t>
      </w:r>
      <w:r>
        <w:rPr>
          <w:iCs/>
          <w:i/>
        </w:rPr>
        <w:t xml:space="preserve">go</w:t>
      </w:r>
      <w:r>
        <w:rPr>
          <w:iCs/>
          <w:i/>
        </w:rPr>
        <w:t xml:space="preserve">”</w:t>
      </w:r>
      <w:r>
        <w:rPr>
          <w:iCs/>
          <w:i/>
        </w:rPr>
        <w:t xml:space="preserve"> </w:t>
      </w:r>
      <w:r>
        <w:rPr>
          <w:iCs/>
          <w:i/>
        </w:rPr>
        <w:t xml:space="preserve">is to be taken as water;</w:t>
      </w:r>
      <w:r>
        <w:rPr>
          <w:iCs/>
          <w:i/>
        </w:rPr>
        <w:t xml:space="preserve"> </w:t>
      </w:r>
      <w:r>
        <w:rPr>
          <w:iCs/>
          <w:i/>
        </w:rPr>
        <w:t xml:space="preserve">“</w:t>
      </w:r>
      <w:r>
        <w:rPr>
          <w:iCs/>
          <w:i/>
        </w:rPr>
        <w:t xml:space="preserve">sūnṛtā</w:t>
      </w:r>
      <w:r>
        <w:rPr>
          <w:iCs/>
          <w:i/>
        </w:rPr>
        <w:t xml:space="preserve">”</w:t>
      </w:r>
      <w:r>
        <w:rPr>
          <w:iCs/>
          <w:i/>
        </w:rPr>
        <w:t xml:space="preserve"> </w:t>
      </w:r>
      <w:r>
        <w:rPr>
          <w:iCs/>
          <w:i/>
        </w:rPr>
        <w:t xml:space="preserve">means speech accompanied by thunder, or sound; so</w:t>
      </w:r>
      <w:r>
        <w:rPr>
          <w:iCs/>
          <w:i/>
        </w:rPr>
        <w:t xml:space="preserve"> </w:t>
      </w:r>
      <w:r>
        <w:rPr>
          <w:iCs/>
          <w:i/>
        </w:rPr>
        <w:t xml:space="preserve">“</w:t>
      </w:r>
      <w:r>
        <w:rPr>
          <w:iCs/>
          <w:i/>
        </w:rPr>
        <w:t xml:space="preserve">sūnṛtā gomatī</w:t>
      </w:r>
      <w:r>
        <w:rPr>
          <w:iCs/>
          <w:i/>
        </w:rPr>
        <w:t xml:space="preserve">”</w:t>
      </w:r>
      <w:r>
        <w:rPr>
          <w:iCs/>
          <w:i/>
        </w:rPr>
        <w:t xml:space="preserve"> </w:t>
      </w:r>
      <w:r>
        <w:rPr>
          <w:iCs/>
          <w:i/>
        </w:rPr>
        <w:t xml:space="preserve">means waters with sound, that is, rain with the thunder of clouds.)</w:t>
      </w:r>
    </w:p>
    <w:p>
      <w:pPr>
        <w:pStyle w:val="BodyText"/>
      </w:pPr>
      <w:r>
        <w:rPr>
          <w:bCs/>
          <w:b/>
        </w:rPr>
        <w:t xml:space="preserve">“</w:t>
      </w:r>
      <w:r>
        <w:rPr>
          <w:bCs/>
          <w:b/>
        </w:rPr>
        <w:t xml:space="preserve">Virapśī</w:t>
      </w:r>
      <w:r>
        <w:rPr>
          <w:bCs/>
          <w:b/>
        </w:rPr>
        <w:t xml:space="preserve">”</w:t>
      </w:r>
      <w:r>
        <w:t xml:space="preserve"> </w:t>
      </w:r>
      <w:r>
        <w:t xml:space="preserve">—</w:t>
      </w:r>
      <w:r>
        <w:t xml:space="preserve"> </w:t>
      </w:r>
      <w:r>
        <w:rPr>
          <w:bCs/>
          <w:b/>
        </w:rPr>
        <w:t xml:space="preserve">विविधरपणोपेतवाक्ययुता । बहुविधोपचारवादिनी । रप लप व्यक्तायां वाचि । विचित्रं रपणं यस्यां वाचि अस्तीति सा विरप्शी</w:t>
      </w:r>
      <w:r>
        <w:t xml:space="preserve"> </w:t>
      </w:r>
      <w:r>
        <w:t xml:space="preserve">(</w:t>
      </w:r>
      <w:r>
        <w:rPr>
          <w:iCs/>
          <w:i/>
        </w:rPr>
        <w:t xml:space="preserve">vividha-rapaṇopeta-vākya-yutā | bahu-vidhopacāra-vādinī | rapa lapa vyaktāyāṃ vāci | vicitraṃ rapaṇaṃ yasyāṃ vāci astīti sā virapśī</w:t>
      </w:r>
      <w:r>
        <w:t xml:space="preserve">) —</w:t>
      </w:r>
      <w:r>
        <w:t xml:space="preserve"> </w:t>
      </w:r>
      <w:r>
        <w:t xml:space="preserve">“</w:t>
      </w:r>
      <w:r>
        <w:t xml:space="preserve">speech joined with various utterings; speaking many kinds of courtesies. [Roots]</w:t>
      </w:r>
      <w:r>
        <w:t xml:space="preserve"> </w:t>
      </w:r>
      <w:r>
        <w:rPr>
          <w:iCs/>
          <w:i/>
        </w:rPr>
        <w:t xml:space="preserve">rapa</w:t>
      </w:r>
      <w:r>
        <w:t xml:space="preserve">,</w:t>
      </w:r>
      <w:r>
        <w:t xml:space="preserve"> </w:t>
      </w:r>
      <w:r>
        <w:rPr>
          <w:iCs/>
          <w:i/>
        </w:rPr>
        <w:t xml:space="preserve">lapa</w:t>
      </w:r>
      <w:r>
        <w:t xml:space="preserve"> </w:t>
      </w:r>
      <w:r>
        <w:t xml:space="preserve">in the sense of clear speech. That speech in which there is varied speaking is</w:t>
      </w:r>
      <w:r>
        <w:t xml:space="preserve"> </w:t>
      </w:r>
      <w:r>
        <w:rPr>
          <w:iCs/>
          <w:i/>
        </w:rPr>
        <w:t xml:space="preserve">virapśī</w:t>
      </w:r>
      <w:r>
        <w:t xml:space="preserve">.</w:t>
      </w:r>
      <w:r>
        <w:t xml:space="preserve">”</w:t>
      </w:r>
      <w:r>
        <w:t xml:space="preserve"> </w:t>
      </w:r>
      <w:r>
        <w:t xml:space="preserve">The root</w:t>
      </w:r>
      <w:r>
        <w:t xml:space="preserve"> </w:t>
      </w:r>
      <w:r>
        <w:rPr>
          <w:iCs/>
          <w:i/>
        </w:rPr>
        <w:t xml:space="preserve">rap</w:t>
      </w:r>
      <w:r>
        <w:t xml:space="preserve"> </w:t>
      </w:r>
      <w:r>
        <w:t xml:space="preserve">means to speak, to talk;</w:t>
      </w:r>
      <w:r>
        <w:t xml:space="preserve"> </w:t>
      </w:r>
      <w:r>
        <w:rPr>
          <w:iCs/>
          <w:i/>
        </w:rPr>
        <w:t xml:space="preserve">vi-rapaṇa</w:t>
      </w:r>
      <w:r>
        <w:t xml:space="preserve"> </w:t>
      </w:r>
      <w:r>
        <w:t xml:space="preserve">means speaking specially, or in a manifold or varied way. A speech having such words is</w:t>
      </w:r>
      <w:r>
        <w:t xml:space="preserve"> </w:t>
      </w:r>
      <w:r>
        <w:rPr>
          <w:iCs/>
          <w:i/>
        </w:rPr>
        <w:t xml:space="preserve">virapśī</w:t>
      </w:r>
      <w:r>
        <w:t xml:space="preserve">: speech that embraces many kinds of courtesies. That is: Indra’s word gives many kinds of desired things. Although the word</w:t>
      </w:r>
      <w:r>
        <w:t xml:space="preserve"> </w:t>
      </w:r>
      <w:r>
        <w:rPr>
          <w:iCs/>
          <w:i/>
        </w:rPr>
        <w:t xml:space="preserve">virapśī</w:t>
      </w:r>
      <w:r>
        <w:t xml:space="preserve"> </w:t>
      </w:r>
      <w:r>
        <w:t xml:space="preserve">is customarily taken in the sense</w:t>
      </w:r>
      <w:r>
        <w:t xml:space="preserve"> </w:t>
      </w:r>
      <w:r>
        <w:t xml:space="preserve">“</w:t>
      </w:r>
      <w:r>
        <w:t xml:space="preserve">great</w:t>
      </w:r>
      <w:r>
        <w:t xml:space="preserve">”</w:t>
      </w:r>
      <w:r>
        <w:t xml:space="preserve"> </w:t>
      </w:r>
      <w:r>
        <w:t xml:space="preserve">(</w:t>
      </w:r>
      <w:r>
        <w:rPr>
          <w:iCs/>
          <w:i/>
        </w:rPr>
        <w:t xml:space="preserve">mahat</w:t>
      </w:r>
      <w:r>
        <w:t xml:space="preserve">), here the word</w:t>
      </w:r>
      <w:r>
        <w:t xml:space="preserve"> </w:t>
      </w:r>
      <w:r>
        <w:rPr>
          <w:iCs/>
          <w:i/>
        </w:rPr>
        <w:t xml:space="preserve">mahī</w:t>
      </w:r>
      <w:r>
        <w:t xml:space="preserve"> </w:t>
      </w:r>
      <w:r>
        <w:t xml:space="preserve">(</w:t>
      </w:r>
      <w:r>
        <w:t xml:space="preserve">“</w:t>
      </w:r>
      <w:r>
        <w:t xml:space="preserve">great</w:t>
      </w:r>
      <w:r>
        <w:t xml:space="preserve">”</w:t>
      </w:r>
      <w:r>
        <w:t xml:space="preserve">) is also present in the rik, and so it would be a fault of repetition; therefore the Bhāṣyakāra supposes the component-sense for this word.</w:t>
      </w:r>
    </w:p>
    <w:p>
      <w:pPr>
        <w:pStyle w:val="BodyText"/>
      </w:pPr>
      <w:r>
        <w:rPr>
          <w:bCs/>
          <w:b/>
        </w:rPr>
        <w:t xml:space="preserve">“</w:t>
      </w:r>
      <w:r>
        <w:rPr>
          <w:bCs/>
          <w:b/>
        </w:rPr>
        <w:t xml:space="preserve">Evā</w:t>
      </w:r>
      <w:r>
        <w:rPr>
          <w:bCs/>
          <w:b/>
        </w:rPr>
        <w:t xml:space="preserve">”</w:t>
      </w:r>
      <w:r>
        <w:t xml:space="preserve"> </w:t>
      </w:r>
      <w:r>
        <w:t xml:space="preserve">— the vowel</w:t>
      </w:r>
      <w:r>
        <w:t xml:space="preserve"> </w:t>
      </w:r>
      <w:r>
        <w:rPr>
          <w:iCs/>
          <w:i/>
        </w:rPr>
        <w:t xml:space="preserve">ā</w:t>
      </w:r>
      <w:r>
        <w:t xml:space="preserve"> </w:t>
      </w:r>
      <w:r>
        <w:t xml:space="preserve">is lengthened here for the convenience of the meter.</w:t>
      </w:r>
    </w:p>
    <w:p>
      <w:pPr>
        <w:pStyle w:val="BodyText"/>
      </w:pPr>
      <w:r>
        <w:rPr>
          <w:bCs/>
          <w:b/>
        </w:rPr>
        <w:t xml:space="preserve">“</w:t>
      </w:r>
      <w:r>
        <w:rPr>
          <w:bCs/>
          <w:b/>
        </w:rPr>
        <w:t xml:space="preserve">Gomatī</w:t>
      </w:r>
      <w:r>
        <w:rPr>
          <w:bCs/>
          <w:b/>
        </w:rPr>
        <w:t xml:space="preserve">”</w:t>
      </w:r>
      <w:r>
        <w:t xml:space="preserve"> </w:t>
      </w:r>
      <w:r>
        <w:t xml:space="preserve">—</w:t>
      </w:r>
      <w:r>
        <w:t xml:space="preserve"> </w:t>
      </w:r>
      <w:r>
        <w:rPr>
          <w:bCs/>
          <w:b/>
        </w:rPr>
        <w:t xml:space="preserve">बह्वीभिर्गोभिरुपेता । गोप्रदेत्यर्थः</w:t>
      </w:r>
      <w:r>
        <w:t xml:space="preserve"> </w:t>
      </w:r>
      <w:r>
        <w:t xml:space="preserve">(</w:t>
      </w:r>
      <w:r>
        <w:rPr>
          <w:iCs/>
          <w:i/>
        </w:rPr>
        <w:t xml:space="preserve">bahvībhir gobhir upetā | go-pradety arthaḥ</w:t>
      </w:r>
      <w:r>
        <w:t xml:space="preserve">) —</w:t>
      </w:r>
      <w:r>
        <w:t xml:space="preserve"> </w:t>
      </w:r>
      <w:r>
        <w:t xml:space="preserve">“</w:t>
      </w:r>
      <w:r>
        <w:t xml:space="preserve">furnished with many cows</w:t>
      </w:r>
      <w:r>
        <w:t xml:space="preserve">”</w:t>
      </w:r>
      <w:r>
        <w:t xml:space="preserve">; i.e., giving cows.</w:t>
      </w:r>
    </w:p>
    <w:p>
      <w:pPr>
        <w:pStyle w:val="BodyText"/>
      </w:pPr>
      <w:r>
        <w:rPr>
          <w:bCs/>
          <w:b/>
        </w:rPr>
        <w:t xml:space="preserve">“</w:t>
      </w:r>
      <w:r>
        <w:rPr>
          <w:bCs/>
          <w:b/>
        </w:rPr>
        <w:t xml:space="preserve">Pakvā śākhā</w:t>
      </w:r>
      <w:r>
        <w:rPr>
          <w:bCs/>
          <w:b/>
        </w:rPr>
        <w:t xml:space="preserve">”</w:t>
      </w:r>
      <w:r>
        <w:t xml:space="preserve"> </w:t>
      </w:r>
      <w:r>
        <w:t xml:space="preserve">—</w:t>
      </w:r>
      <w:r>
        <w:t xml:space="preserve"> </w:t>
      </w:r>
      <w:r>
        <w:t xml:space="preserve">“</w:t>
      </w:r>
      <w:r>
        <w:rPr>
          <w:iCs/>
          <w:i/>
        </w:rPr>
        <w:t xml:space="preserve">pakvā śākhā</w:t>
      </w:r>
      <w:r>
        <w:t xml:space="preserve">”</w:t>
      </w:r>
      <w:r>
        <w:t xml:space="preserve"> </w:t>
      </w:r>
      <w:r>
        <w:t xml:space="preserve">does not here mean a branch that is itself ripe, but a branch laden with ripe fruits. Since such fruits are wanted by everyone, the poet gives this comparison. Here</w:t>
      </w:r>
      <w:r>
        <w:t xml:space="preserve"> </w:t>
      </w:r>
      <w:r>
        <w:rPr>
          <w:iCs/>
          <w:i/>
        </w:rPr>
        <w:t xml:space="preserve">na</w:t>
      </w:r>
      <w:r>
        <w:t xml:space="preserve"> </w:t>
      </w:r>
      <w:r>
        <w:t xml:space="preserve">means</w:t>
      </w:r>
      <w:r>
        <w:t xml:space="preserve"> </w:t>
      </w:r>
      <w:r>
        <w:t xml:space="preserve">“</w:t>
      </w:r>
      <w:r>
        <w:t xml:space="preserve">like</w:t>
      </w:r>
      <w:r>
        <w:t xml:space="preserve">”</w:t>
      </w:r>
      <w:r>
        <w:t xml:space="preserve"> </w:t>
      </w:r>
      <w:r>
        <w:t xml:space="preserve">(</w:t>
      </w:r>
      <w:r>
        <w:rPr>
          <w:iCs/>
          <w:i/>
        </w:rPr>
        <w:t xml:space="preserve">iva</w:t>
      </w:r>
      <w:r>
        <w:t xml:space="preserve">).</w:t>
      </w:r>
    </w:p>
    <w:p>
      <w:pPr>
        <w:pStyle w:val="BodyText"/>
      </w:pPr>
      <w:r>
        <w:rPr>
          <w:bCs/>
          <w:b/>
        </w:rPr>
        <w:t xml:space="preserve">॥ Vyākaraṇa-prakriyā ॥</w:t>
      </w:r>
      <w:r>
        <w:t xml:space="preserve"> </w:t>
      </w:r>
      <w:r>
        <w:rPr>
          <w:iCs/>
          <w:i/>
        </w:rPr>
        <w:t xml:space="preserve">(pp. 333–335, Kannada; characterized, numbers as printed)</w:t>
      </w:r>
    </w:p>
    <w:p>
      <w:pPr>
        <w:pStyle w:val="BodyText"/>
      </w:pPr>
      <w:r>
        <w:rPr>
          <w:bCs/>
          <w:b/>
        </w:rPr>
        <w:t xml:space="preserve">एव</w:t>
      </w:r>
      <w:r>
        <w:t xml:space="preserve"> </w:t>
      </w:r>
      <w:r>
        <w:t xml:space="preserve">—</w:t>
      </w:r>
      <w:r>
        <w:t xml:space="preserve"> </w:t>
      </w:r>
      <w:r>
        <w:rPr>
          <w:bCs/>
          <w:b/>
        </w:rPr>
        <w:t xml:space="preserve">एवादीनामन्तः</w:t>
      </w:r>
      <w:r>
        <w:t xml:space="preserve"> </w:t>
      </w:r>
      <w:r>
        <w:t xml:space="preserve">(फि. सू. ८२): the final of</w:t>
      </w:r>
      <w:r>
        <w:t xml:space="preserve"> </w:t>
      </w:r>
      <w:r>
        <w:t xml:space="preserve">“</w:t>
      </w:r>
      <w:r>
        <w:t xml:space="preserve">eva</w:t>
      </w:r>
      <w:r>
        <w:t xml:space="preserve">”</w:t>
      </w:r>
      <w:r>
        <w:t xml:space="preserve"> </w:t>
      </w:r>
      <w:r>
        <w:t xml:space="preserve">etc. is acute; in the saṃhitā</w:t>
      </w:r>
      <w:r>
        <w:t xml:space="preserve"> </w:t>
      </w:r>
      <w:r>
        <w:rPr>
          <w:bCs/>
          <w:b/>
        </w:rPr>
        <w:t xml:space="preserve">निपातस्य च</w:t>
      </w:r>
      <w:r>
        <w:t xml:space="preserve"> </w:t>
      </w:r>
      <w:r>
        <w:t xml:space="preserve">(पा. सू.</w:t>
      </w:r>
      <w:r>
        <w:t xml:space="preserve"> </w:t>
      </w:r>
      <w:r>
        <w:t xml:space="preserve">“</w:t>
      </w:r>
      <w:r>
        <w:t xml:space="preserve">६-३-१-३६</w:t>
      </w:r>
      <w:r>
        <w:t xml:space="preserve">”</w:t>
      </w:r>
      <w:r>
        <w:t xml:space="preserve"> </w:t>
      </w:r>
      <w:r>
        <w:t xml:space="preserve">as printed, i.e. 6-3-136) lengthens a particle in a mantra.</w:t>
      </w:r>
      <w:r>
        <w:t xml:space="preserve"> </w:t>
      </w:r>
      <w:r>
        <w:rPr>
          <w:bCs/>
          <w:b/>
        </w:rPr>
        <w:t xml:space="preserve">हि</w:t>
      </w:r>
      <w:r>
        <w:t xml:space="preserve"> </w:t>
      </w:r>
      <w:r>
        <w:t xml:space="preserve">—</w:t>
      </w:r>
      <w:r>
        <w:t xml:space="preserve"> </w:t>
      </w:r>
      <w:r>
        <w:rPr>
          <w:bCs/>
          <w:b/>
        </w:rPr>
        <w:t xml:space="preserve">निपाता आद्युदात्ताः</w:t>
      </w:r>
      <w:r>
        <w:t xml:space="preserve"> </w:t>
      </w:r>
      <w:r>
        <w:t xml:space="preserve">(फि. सू. ८०), first-syllable acute.</w:t>
      </w:r>
      <w:r>
        <w:t xml:space="preserve"> </w:t>
      </w:r>
      <w:r>
        <w:rPr>
          <w:bCs/>
          <w:b/>
        </w:rPr>
        <w:t xml:space="preserve">अस्य</w:t>
      </w:r>
      <w:r>
        <w:t xml:space="preserve"> </w:t>
      </w:r>
      <w:r>
        <w:t xml:space="preserve">— refers back to Indra, already mentioned, so by</w:t>
      </w:r>
      <w:r>
        <w:t xml:space="preserve"> </w:t>
      </w:r>
      <w:r>
        <w:rPr>
          <w:bCs/>
          <w:b/>
        </w:rPr>
        <w:t xml:space="preserve">इदमोऽन्वादेशेऽशनुदात्तस्तृतीयादौ</w:t>
      </w:r>
      <w:r>
        <w:t xml:space="preserve"> </w:t>
      </w:r>
      <w:r>
        <w:t xml:space="preserve">(पा. सू. २-४-३२) the unaccented</w:t>
      </w:r>
      <w:r>
        <w:t xml:space="preserve"> </w:t>
      </w:r>
      <w:r>
        <w:t xml:space="preserve">“</w:t>
      </w:r>
      <w:r>
        <w:t xml:space="preserve">aś</w:t>
      </w:r>
      <w:r>
        <w:t xml:space="preserve">”</w:t>
      </w:r>
      <w:r>
        <w:t xml:space="preserve"> </w:t>
      </w:r>
      <w:r>
        <w:t xml:space="preserve">replaces</w:t>
      </w:r>
      <w:r>
        <w:t xml:space="preserve"> </w:t>
      </w:r>
      <w:r>
        <w:t xml:space="preserve">“</w:t>
      </w:r>
      <w:r>
        <w:t xml:space="preserve">idam</w:t>
      </w:r>
      <w:r>
        <w:t xml:space="preserve">”</w:t>
      </w:r>
      <w:r>
        <w:t xml:space="preserve"> </w:t>
      </w:r>
      <w:r>
        <w:t xml:space="preserve">(</w:t>
      </w:r>
      <w:r>
        <w:t xml:space="preserve">“</w:t>
      </w:r>
      <w:r>
        <w:t xml:space="preserve">ś</w:t>
      </w:r>
      <w:r>
        <w:t xml:space="preserve">”</w:t>
      </w:r>
      <w:r>
        <w:t xml:space="preserve">-marked, the whole);</w:t>
      </w:r>
      <w:r>
        <w:t xml:space="preserve"> </w:t>
      </w:r>
      <w:r>
        <w:t xml:space="preserve">“</w:t>
      </w:r>
      <w:r>
        <w:t xml:space="preserve">a</w:t>
      </w:r>
      <w:r>
        <w:t xml:space="preserve">”</w:t>
      </w:r>
      <w:r>
        <w:t xml:space="preserve"> </w:t>
      </w:r>
      <w:r>
        <w:t xml:space="preserve">unaccented, and</w:t>
      </w:r>
      <w:r>
        <w:t xml:space="preserve"> </w:t>
      </w:r>
      <w:r>
        <w:t xml:space="preserve">“</w:t>
      </w:r>
      <w:r>
        <w:t xml:space="preserve">sya</w:t>
      </w:r>
      <w:r>
        <w:t xml:space="preserve">”</w:t>
      </w:r>
      <w:r>
        <w:t xml:space="preserve"> </w:t>
      </w:r>
      <w:r>
        <w:t xml:space="preserve">unaccented by</w:t>
      </w:r>
      <w:r>
        <w:t xml:space="preserve"> </w:t>
      </w:r>
      <w:r>
        <w:rPr>
          <w:bCs/>
          <w:b/>
        </w:rPr>
        <w:t xml:space="preserve">अनुदात्तौ सुप्पितौ</w:t>
      </w:r>
      <w:r>
        <w:t xml:space="preserve"> </w:t>
      </w:r>
      <w:r>
        <w:t xml:space="preserve">(पा. सू.</w:t>
      </w:r>
      <w:r>
        <w:t xml:space="preserve"> </w:t>
      </w:r>
      <w:r>
        <w:t xml:space="preserve">“</w:t>
      </w:r>
      <w:r>
        <w:t xml:space="preserve">३२१-४</w:t>
      </w:r>
      <w:r>
        <w:t xml:space="preserve">”</w:t>
      </w:r>
      <w:r>
        <w:t xml:space="preserve"> </w:t>
      </w:r>
      <w:r>
        <w:t xml:space="preserve">as printed, i.e. 3-1-4): wholly unaccented.</w:t>
      </w:r>
    </w:p>
    <w:p>
      <w:pPr>
        <w:pStyle w:val="BodyText"/>
      </w:pPr>
      <w:r>
        <w:rPr>
          <w:bCs/>
          <w:b/>
        </w:rPr>
        <w:t xml:space="preserve">सूनृता</w:t>
      </w:r>
      <w:r>
        <w:t xml:space="preserve"> </w:t>
      </w:r>
      <w:r>
        <w:t xml:space="preserve">(p. 334) —</w:t>
      </w:r>
      <w:r>
        <w:t xml:space="preserve"> </w:t>
      </w:r>
      <w:r>
        <w:t xml:space="preserve">“</w:t>
      </w:r>
      <w:r>
        <w:t xml:space="preserve">ūna parihāṇe</w:t>
      </w:r>
      <w:r>
        <w:t xml:space="preserve">”</w:t>
      </w:r>
      <w:r>
        <w:t xml:space="preserve">:</w:t>
      </w:r>
      <w:r>
        <w:t xml:space="preserve"> </w:t>
      </w:r>
      <w:r>
        <w:t xml:space="preserve">“</w:t>
      </w:r>
      <w:r>
        <w:t xml:space="preserve">sutarām ūnayati apriyam</w:t>
      </w:r>
      <w:r>
        <w:t xml:space="preserve">”</w:t>
      </w:r>
      <w:r>
        <w:t xml:space="preserve"> </w:t>
      </w:r>
      <w:r>
        <w:t xml:space="preserve">—</w:t>
      </w:r>
      <w:r>
        <w:t xml:space="preserve"> </w:t>
      </w:r>
      <w:r>
        <w:t xml:space="preserve">“</w:t>
      </w:r>
      <w:r>
        <w:t xml:space="preserve">sūn,</w:t>
      </w:r>
      <w:r>
        <w:t xml:space="preserve">”</w:t>
      </w:r>
      <w:r>
        <w:t xml:space="preserve"> </w:t>
      </w:r>
      <w:r>
        <w:t xml:space="preserve">that which thoroughly removes the unpleasant;</w:t>
      </w:r>
      <w:r>
        <w:t xml:space="preserve"> </w:t>
      </w:r>
      <w:r>
        <w:t xml:space="preserve">“</w:t>
      </w:r>
      <w:r>
        <w:t xml:space="preserve">ṛtā,</w:t>
      </w:r>
      <w:r>
        <w:t xml:space="preserve">”</w:t>
      </w:r>
      <w:r>
        <w:t xml:space="preserve"> </w:t>
      </w:r>
      <w:r>
        <w:t xml:space="preserve">the true;</w:t>
      </w:r>
      <w:r>
        <w:t xml:space="preserve"> </w:t>
      </w:r>
      <w:r>
        <w:t xml:space="preserve">“</w:t>
      </w:r>
      <w:r>
        <w:t xml:space="preserve">sūn ca sā ṛtā ca</w:t>
      </w:r>
      <w:r>
        <w:t xml:space="preserve">”</w:t>
      </w:r>
      <w:r>
        <w:t xml:space="preserve"> </w:t>
      </w:r>
      <w:r>
        <w:t xml:space="preserve">— pleasant and true speech. In</w:t>
      </w:r>
      <w:r>
        <w:t xml:space="preserve"> </w:t>
      </w:r>
      <w:r>
        <w:rPr>
          <w:bCs/>
          <w:b/>
        </w:rPr>
        <w:t xml:space="preserve">परादिश्छन्दसि बहुलम्</w:t>
      </w:r>
      <w:r>
        <w:t xml:space="preserve"> </w:t>
      </w:r>
      <w:r>
        <w:t xml:space="preserve">(पा. सू. ६-२-१९९),</w:t>
      </w:r>
      <w:r>
        <w:t xml:space="preserve"> </w:t>
      </w:r>
      <w:r>
        <w:t xml:space="preserve">“</w:t>
      </w:r>
      <w:r>
        <w:t xml:space="preserve">sakthaṃ</w:t>
      </w:r>
      <w:r>
        <w:t xml:space="preserve">”</w:t>
      </w:r>
      <w:r>
        <w:t xml:space="preserve"> </w:t>
      </w:r>
      <w:r>
        <w:t xml:space="preserve">is carried from</w:t>
      </w:r>
      <w:r>
        <w:t xml:space="preserve"> </w:t>
      </w:r>
      <w:r>
        <w:rPr>
          <w:bCs/>
          <w:b/>
        </w:rPr>
        <w:t xml:space="preserve">सक्थं चाक्रान्तात्</w:t>
      </w:r>
      <w:r>
        <w:t xml:space="preserve"> </w:t>
      </w:r>
      <w:r>
        <w:t xml:space="preserve">(पा. सू. ६-२-१९८), so the sense would be that in the Veda the first syllable of</w:t>
      </w:r>
      <w:r>
        <w:t xml:space="preserve"> </w:t>
      </w:r>
      <w:r>
        <w:t xml:space="preserve">“</w:t>
      </w:r>
      <w:r>
        <w:t xml:space="preserve">sakthi</w:t>
      </w:r>
      <w:r>
        <w:t xml:space="preserve">”</w:t>
      </w:r>
      <w:r>
        <w:t xml:space="preserve"> </w:t>
      </w:r>
      <w:r>
        <w:t xml:space="preserve">as second member is often acute;</w:t>
      </w:r>
      <w:r>
        <w:t xml:space="preserve"> </w:t>
      </w:r>
      <w:r>
        <w:t xml:space="preserve">“</w:t>
      </w:r>
      <w:r>
        <w:t xml:space="preserve">vibhāṣā</w:t>
      </w:r>
      <w:r>
        <w:t xml:space="preserve">”</w:t>
      </w:r>
      <w:r>
        <w:t xml:space="preserve"> </w:t>
      </w:r>
      <w:r>
        <w:t xml:space="preserve">is carried from</w:t>
      </w:r>
      <w:r>
        <w:t xml:space="preserve"> </w:t>
      </w:r>
      <w:r>
        <w:rPr>
          <w:bCs/>
          <w:b/>
        </w:rPr>
        <w:t xml:space="preserve">विभाषोत्पुच्छे</w:t>
      </w:r>
      <w:r>
        <w:t xml:space="preserve"> </w:t>
      </w:r>
      <w:r>
        <w:t xml:space="preserve">(पा. सू. ६-२-१९६), so</w:t>
      </w:r>
      <w:r>
        <w:t xml:space="preserve"> </w:t>
      </w:r>
      <w:r>
        <w:t xml:space="preserve">“</w:t>
      </w:r>
      <w:r>
        <w:t xml:space="preserve">bahula</w:t>
      </w:r>
      <w:r>
        <w:t xml:space="preserve">”</w:t>
      </w:r>
      <w:r>
        <w:t xml:space="preserve"> </w:t>
      </w:r>
      <w:r>
        <w:t xml:space="preserve">is not used merely for optionality: by</w:t>
      </w:r>
      <w:r>
        <w:t xml:space="preserve"> </w:t>
      </w:r>
      <w:r>
        <w:t xml:space="preserve">“</w:t>
      </w:r>
      <w:r>
        <w:t xml:space="preserve">bahūn arthān lāti iti bahulam</w:t>
      </w:r>
      <w:r>
        <w:t xml:space="preserve">”</w:t>
      </w:r>
      <w:r>
        <w:t xml:space="preserve"> </w:t>
      </w:r>
      <w:r>
        <w:t xml:space="preserve">it conveys many senses, as the vārttika says:</w:t>
      </w:r>
      <w:r>
        <w:t xml:space="preserve"> </w:t>
      </w:r>
      <w:r>
        <w:rPr>
          <w:bCs/>
          <w:b/>
        </w:rPr>
        <w:t xml:space="preserve">परादिश्च परान्तश्च पूर्वान्तश्चापि दृश्यते । पूर्वादयश्च दृश्यन्ते व्यत्ययो बहुलं ततः ॥</w:t>
      </w:r>
      <w:r>
        <w:t xml:space="preserve"> </w:t>
      </w:r>
      <w:r>
        <w:t xml:space="preserve">— so the accent comes even without</w:t>
      </w:r>
      <w:r>
        <w:t xml:space="preserve"> </w:t>
      </w:r>
      <w:r>
        <w:t xml:space="preserve">“</w:t>
      </w:r>
      <w:r>
        <w:t xml:space="preserve">sakthi,</w:t>
      </w:r>
      <w:r>
        <w:t xml:space="preserve">”</w:t>
      </w:r>
      <w:r>
        <w:t xml:space="preserve"> </w:t>
      </w:r>
      <w:r>
        <w:t xml:space="preserve">and in</w:t>
      </w:r>
      <w:r>
        <w:t xml:space="preserve"> </w:t>
      </w:r>
      <w:r>
        <w:t xml:space="preserve">“</w:t>
      </w:r>
      <w:r>
        <w:t xml:space="preserve">sūnṛtā</w:t>
      </w:r>
      <w:r>
        <w:t xml:space="preserve">”</w:t>
      </w:r>
      <w:r>
        <w:t xml:space="preserve"> </w:t>
      </w:r>
      <w:r>
        <w:t xml:space="preserve">the</w:t>
      </w:r>
      <w:r>
        <w:t xml:space="preserve"> </w:t>
      </w:r>
      <w:r>
        <w:t xml:space="preserve">“</w:t>
      </w:r>
      <w:r>
        <w:t xml:space="preserve">ṛ</w:t>
      </w:r>
      <w:r>
        <w:t xml:space="preserve">”</w:t>
      </w:r>
      <w:r>
        <w:t xml:space="preserve"> </w:t>
      </w:r>
      <w:r>
        <w:t xml:space="preserve">is acute.</w:t>
      </w:r>
    </w:p>
    <w:p>
      <w:pPr>
        <w:pStyle w:val="BodyText"/>
      </w:pPr>
      <w:r>
        <w:rPr>
          <w:bCs/>
          <w:b/>
        </w:rPr>
        <w:t xml:space="preserve">विरप्शी</w:t>
      </w:r>
      <w:r>
        <w:t xml:space="preserve"> </w:t>
      </w:r>
      <w:r>
        <w:t xml:space="preserve">—</w:t>
      </w:r>
      <w:r>
        <w:t xml:space="preserve"> </w:t>
      </w:r>
      <w:r>
        <w:t xml:space="preserve">“</w:t>
      </w:r>
      <w:r>
        <w:t xml:space="preserve">vicitraṃ rapaṇaṃ virap,</w:t>
      </w:r>
      <w:r>
        <w:t xml:space="preserve">”</w:t>
      </w:r>
      <w:r>
        <w:t xml:space="preserve"> </w:t>
      </w:r>
      <w:r>
        <w:t xml:space="preserve">“</w:t>
      </w:r>
      <w:r>
        <w:t xml:space="preserve">rapa lapa vyaktāyāṃ vāci,</w:t>
      </w:r>
      <w:r>
        <w:t xml:space="preserve">”</w:t>
      </w:r>
      <w:r>
        <w:t xml:space="preserve"> </w:t>
      </w:r>
      <w:r>
        <w:t xml:space="preserve">with</w:t>
      </w:r>
      <w:r>
        <w:t xml:space="preserve"> </w:t>
      </w:r>
      <w:r>
        <w:t xml:space="preserve">“</w:t>
      </w:r>
      <w:r>
        <w:t xml:space="preserve">vi</w:t>
      </w:r>
      <w:r>
        <w:t xml:space="preserve">”</w:t>
      </w:r>
      <w:r>
        <w:t xml:space="preserve">:</w:t>
      </w:r>
      <w:r>
        <w:t xml:space="preserve"> </w:t>
      </w:r>
      <w:r>
        <w:rPr>
          <w:bCs/>
          <w:b/>
        </w:rPr>
        <w:t xml:space="preserve">संपदादिभ्यः क्विप्</w:t>
      </w:r>
      <w:r>
        <w:t xml:space="preserve"> </w:t>
      </w:r>
      <w:r>
        <w:t xml:space="preserve">(पा. सू. ३-३-१०८ वा. ९)</w:t>
      </w:r>
      <w:r>
        <w:t xml:space="preserve"> </w:t>
      </w:r>
      <w:r>
        <w:t xml:space="preserve">“</w:t>
      </w:r>
      <w:r>
        <w:t xml:space="preserve">kvip,</w:t>
      </w:r>
      <w:r>
        <w:t xml:space="preserve">”</w:t>
      </w:r>
      <w:r>
        <w:t xml:space="preserve"> </w:t>
      </w:r>
      <w:r>
        <w:t xml:space="preserve">wholly lost;</w:t>
      </w:r>
      <w:r>
        <w:t xml:space="preserve"> </w:t>
      </w:r>
      <w:r>
        <w:t xml:space="preserve">“</w:t>
      </w:r>
      <w:r>
        <w:t xml:space="preserve">virap</w:t>
      </w:r>
      <w:r>
        <w:t xml:space="preserve">”</w:t>
      </w:r>
      <w:r>
        <w:t xml:space="preserve"> </w:t>
      </w:r>
      <w:r>
        <w:t xml:space="preserve">= varied speech;</w:t>
      </w:r>
      <w:r>
        <w:t xml:space="preserve"> </w:t>
      </w:r>
      <w:r>
        <w:t xml:space="preserve">“</w:t>
      </w:r>
      <w:r>
        <w:t xml:space="preserve">virapa eṣāṃ vākyānām asti iti virapśāni</w:t>
      </w:r>
      <w:r>
        <w:t xml:space="preserve">”</w:t>
      </w:r>
      <w:r>
        <w:t xml:space="preserve"> </w:t>
      </w:r>
      <w:r>
        <w:t xml:space="preserve">— sentences with varied words; speech in which such sentences are,</w:t>
      </w:r>
      <w:r>
        <w:t xml:space="preserve"> </w:t>
      </w:r>
      <w:r>
        <w:t xml:space="preserve">“</w:t>
      </w:r>
      <w:r>
        <w:t xml:space="preserve">virapśinī</w:t>
      </w:r>
      <w:r>
        <w:t xml:space="preserve">”</w:t>
      </w:r>
      <w:r>
        <w:t xml:space="preserve">;</w:t>
      </w:r>
      <w:r>
        <w:t xml:space="preserve"> </w:t>
      </w:r>
      <w:r>
        <w:t xml:space="preserve">“</w:t>
      </w:r>
      <w:r>
        <w:t xml:space="preserve">virapśāni asyāṃ santi</w:t>
      </w:r>
      <w:r>
        <w:t xml:space="preserve">”</w:t>
      </w:r>
      <w:r>
        <w:t xml:space="preserve">:</w:t>
      </w:r>
      <w:r>
        <w:t xml:space="preserve"> </w:t>
      </w:r>
      <w:r>
        <w:rPr>
          <w:bCs/>
          <w:b/>
        </w:rPr>
        <w:t xml:space="preserve">अत इनिठनौ</w:t>
      </w:r>
      <w:r>
        <w:t xml:space="preserve"> </w:t>
      </w:r>
      <w:r>
        <w:t xml:space="preserve">(पा. सू. ५-२-११५)</w:t>
      </w:r>
      <w:r>
        <w:t xml:space="preserve"> </w:t>
      </w:r>
      <w:r>
        <w:t xml:space="preserve">“</w:t>
      </w:r>
      <w:r>
        <w:t xml:space="preserve">ini</w:t>
      </w:r>
      <w:r>
        <w:t xml:space="preserve">”</w:t>
      </w:r>
      <w:r>
        <w:t xml:space="preserve"> </w:t>
      </w:r>
      <w:r>
        <w:t xml:space="preserve">in the possessive sense after a short-</w:t>
      </w:r>
      <w:r>
        <w:t xml:space="preserve">“</w:t>
      </w:r>
      <w:r>
        <w:t xml:space="preserve">a</w:t>
      </w:r>
      <w:r>
        <w:t xml:space="preserve">”</w:t>
      </w:r>
      <w:r>
        <w:t xml:space="preserve"> </w:t>
      </w:r>
      <w:r>
        <w:t xml:space="preserve">stem in the first case:</w:t>
      </w:r>
      <w:r>
        <w:t xml:space="preserve"> </w:t>
      </w:r>
      <w:r>
        <w:t xml:space="preserve">“</w:t>
      </w:r>
      <w:r>
        <w:t xml:space="preserve">virapśa + in</w:t>
      </w:r>
      <w:r>
        <w:t xml:space="preserve">”</w:t>
      </w:r>
      <w:r>
        <w:t xml:space="preserve">;</w:t>
      </w:r>
      <w:r>
        <w:t xml:space="preserve"> </w:t>
      </w:r>
      <w:r>
        <w:rPr>
          <w:bCs/>
          <w:b/>
        </w:rPr>
        <w:t xml:space="preserve">यस्येति च</w:t>
      </w:r>
      <w:r>
        <w:t xml:space="preserve"> </w:t>
      </w:r>
      <w:r>
        <w:t xml:space="preserve">(पा. सू. ६-४-१४८) loss of</w:t>
      </w:r>
      <w:r>
        <w:t xml:space="preserve"> </w:t>
      </w:r>
      <w:r>
        <w:t xml:space="preserve">“</w:t>
      </w:r>
      <w:r>
        <w:t xml:space="preserve">a</w:t>
      </w:r>
      <w:r>
        <w:t xml:space="preserve">”</w:t>
      </w:r>
      <w:r>
        <w:t xml:space="preserve">:</w:t>
      </w:r>
      <w:r>
        <w:t xml:space="preserve"> </w:t>
      </w:r>
      <w:r>
        <w:t xml:space="preserve">“</w:t>
      </w:r>
      <w:r>
        <w:t xml:space="preserve">virapśin</w:t>
      </w:r>
      <w:r>
        <w:t xml:space="preserve">”</w:t>
      </w:r>
      <w:r>
        <w:t xml:space="preserve">;</w:t>
      </w:r>
      <w:r>
        <w:t xml:space="preserve"> </w:t>
      </w:r>
      <w:r>
        <w:rPr>
          <w:bCs/>
          <w:b/>
        </w:rPr>
        <w:t xml:space="preserve">ऋन्नेभ्यो ङीप्</w:t>
      </w:r>
      <w:r>
        <w:t xml:space="preserve"> </w:t>
      </w:r>
      <w:r>
        <w:t xml:space="preserve">(पा. सू. ४-१-५)</w:t>
      </w:r>
      <w:r>
        <w:t xml:space="preserve"> </w:t>
      </w:r>
      <w:r>
        <w:t xml:space="preserve">“</w:t>
      </w:r>
      <w:r>
        <w:t xml:space="preserve">ṅīp</w:t>
      </w:r>
      <w:r>
        <w:t xml:space="preserve">”</w:t>
      </w:r>
      <w:r>
        <w:t xml:space="preserve"> </w:t>
      </w:r>
      <w:r>
        <w:t xml:space="preserve">after</w:t>
      </w:r>
      <w:r>
        <w:t xml:space="preserve"> </w:t>
      </w:r>
      <w:r>
        <w:t xml:space="preserve">“</w:t>
      </w:r>
      <w:r>
        <w:t xml:space="preserve">ṛ</w:t>
      </w:r>
      <w:r>
        <w:t xml:space="preserve">”</w:t>
      </w:r>
      <w:r>
        <w:t xml:space="preserve">- and</w:t>
      </w:r>
      <w:r>
        <w:t xml:space="preserve"> </w:t>
      </w:r>
      <w:r>
        <w:t xml:space="preserve">“</w:t>
      </w:r>
      <w:r>
        <w:t xml:space="preserve">n</w:t>
      </w:r>
      <w:r>
        <w:t xml:space="preserve">”</w:t>
      </w:r>
      <w:r>
        <w:t xml:space="preserve">-ending stems:</w:t>
      </w:r>
      <w:r>
        <w:t xml:space="preserve"> </w:t>
      </w:r>
      <w:r>
        <w:t xml:space="preserve">“</w:t>
      </w:r>
      <w:r>
        <w:t xml:space="preserve">virapśin + ī</w:t>
      </w:r>
      <w:r>
        <w:t xml:space="preserve">”</w:t>
      </w:r>
      <w:r>
        <w:t xml:space="preserve">; the</w:t>
      </w:r>
      <w:r>
        <w:t xml:space="preserve"> </w:t>
      </w:r>
      <w:r>
        <w:t xml:space="preserve">“</w:t>
      </w:r>
      <w:r>
        <w:t xml:space="preserve">i</w:t>
      </w:r>
      <w:r>
        <w:t xml:space="preserve">”</w:t>
      </w:r>
      <w:r>
        <w:t xml:space="preserve"> </w:t>
      </w:r>
      <w:r>
        <w:t xml:space="preserve">acute by the affix accent; the</w:t>
      </w:r>
      <w:r>
        <w:t xml:space="preserve"> </w:t>
      </w:r>
      <w:r>
        <w:t xml:space="preserve">“</w:t>
      </w:r>
      <w:r>
        <w:t xml:space="preserve">n</w:t>
      </w:r>
      <w:r>
        <w:t xml:space="preserve">”</w:t>
      </w:r>
      <w:r>
        <w:t xml:space="preserve"> </w:t>
      </w:r>
      <w:r>
        <w:t xml:space="preserve">lost as Vedic;</w:t>
      </w:r>
      <w:r>
        <w:t xml:space="preserve"> </w:t>
      </w:r>
      <w:r>
        <w:rPr>
          <w:bCs/>
          <w:b/>
        </w:rPr>
        <w:t xml:space="preserve">अकः सवर्णे दीर्घः</w:t>
      </w:r>
      <w:r>
        <w:t xml:space="preserve"> </w:t>
      </w:r>
      <w:r>
        <w:t xml:space="preserve">(पा. सू.</w:t>
      </w:r>
      <w:r>
        <w:t xml:space="preserve"> </w:t>
      </w:r>
      <w:r>
        <w:t xml:space="preserve">“</w:t>
      </w:r>
      <w:r>
        <w:t xml:space="preserve">६-१-६-१-१०१</w:t>
      </w:r>
      <w:r>
        <w:t xml:space="preserve">”</w:t>
      </w:r>
      <w:r>
        <w:t xml:space="preserve"> </w:t>
      </w:r>
      <w:r>
        <w:t xml:space="preserve">as printed, i.e. 6-1-101) the long vowel:</w:t>
      </w:r>
      <w:r>
        <w:t xml:space="preserve"> </w:t>
      </w:r>
      <w:r>
        <w:t xml:space="preserve">“</w:t>
      </w:r>
      <w:r>
        <w:t xml:space="preserve">virapśī</w:t>
      </w:r>
      <w:r>
        <w:t xml:space="preserve">”</w:t>
      </w:r>
      <w:r>
        <w:t xml:space="preserve">; the single substitute of the acute</w:t>
      </w:r>
      <w:r>
        <w:t xml:space="preserve"> </w:t>
      </w:r>
      <w:r>
        <w:t xml:space="preserve">“</w:t>
      </w:r>
      <w:r>
        <w:t xml:space="preserve">i</w:t>
      </w:r>
      <w:r>
        <w:t xml:space="preserve">”</w:t>
      </w:r>
      <w:r>
        <w:t xml:space="preserve"> </w:t>
      </w:r>
      <w:r>
        <w:t xml:space="preserve">and unaccented</w:t>
      </w:r>
      <w:r>
        <w:t xml:space="preserve"> </w:t>
      </w:r>
      <w:r>
        <w:t xml:space="preserve">“</w:t>
      </w:r>
      <w:r>
        <w:t xml:space="preserve">ī</w:t>
      </w:r>
      <w:r>
        <w:t xml:space="preserve">”</w:t>
      </w:r>
      <w:r>
        <w:t xml:space="preserve"> </w:t>
      </w:r>
      <w:r>
        <w:t xml:space="preserve">acute by</w:t>
      </w:r>
      <w:r>
        <w:t xml:space="preserve"> </w:t>
      </w:r>
      <w:r>
        <w:rPr>
          <w:bCs/>
          <w:b/>
        </w:rPr>
        <w:t xml:space="preserve">एकादेश उदात्तेनोदात्तः</w:t>
      </w:r>
      <w:r>
        <w:t xml:space="preserve"> </w:t>
      </w:r>
      <w:r>
        <w:t xml:space="preserve">(पा. सू. ८-२-५).</w:t>
      </w:r>
    </w:p>
    <w:p>
      <w:pPr>
        <w:pStyle w:val="BodyText"/>
      </w:pPr>
      <w:r>
        <w:rPr>
          <w:bCs/>
          <w:b/>
        </w:rPr>
        <w:t xml:space="preserve">गोमती</w:t>
      </w:r>
      <w:r>
        <w:t xml:space="preserve"> </w:t>
      </w:r>
      <w:r>
        <w:t xml:space="preserve">—</w:t>
      </w:r>
      <w:r>
        <w:t xml:space="preserve"> </w:t>
      </w:r>
      <w:r>
        <w:t xml:space="preserve">“</w:t>
      </w:r>
      <w:r>
        <w:t xml:space="preserve">gāvaḥ asyāṃ santi</w:t>
      </w:r>
      <w:r>
        <w:t xml:space="preserve">”</w:t>
      </w:r>
      <w:r>
        <w:t xml:space="preserve">:</w:t>
      </w:r>
      <w:r>
        <w:t xml:space="preserve"> </w:t>
      </w:r>
      <w:r>
        <w:rPr>
          <w:bCs/>
          <w:b/>
        </w:rPr>
        <w:t xml:space="preserve">तदस्यास्त्यस्मिन्निति मतुप्</w:t>
      </w:r>
      <w:r>
        <w:t xml:space="preserve"> </w:t>
      </w:r>
      <w:r>
        <w:t xml:space="preserve">(पा. सू. ५-२-९४)</w:t>
      </w:r>
      <w:r>
        <w:t xml:space="preserve"> </w:t>
      </w:r>
      <w:r>
        <w:t xml:space="preserve">“</w:t>
      </w:r>
      <w:r>
        <w:t xml:space="preserve">matup</w:t>
      </w:r>
      <w:r>
        <w:t xml:space="preserve">”</w:t>
      </w:r>
      <w:r>
        <w:t xml:space="preserve">;</w:t>
      </w:r>
      <w:r>
        <w:t xml:space="preserve"> </w:t>
      </w:r>
      <w:r>
        <w:rPr>
          <w:bCs/>
          <w:b/>
        </w:rPr>
        <w:t xml:space="preserve">उगितश्च</w:t>
      </w:r>
      <w:r>
        <w:t xml:space="preserve"> </w:t>
      </w:r>
      <w:r>
        <w:t xml:space="preserve">(पा. सू. ४-१-६)</w:t>
      </w:r>
      <w:r>
        <w:t xml:space="preserve"> </w:t>
      </w:r>
      <w:r>
        <w:t xml:space="preserve">“</w:t>
      </w:r>
      <w:r>
        <w:t xml:space="preserve">ṅīp</w:t>
      </w:r>
      <w:r>
        <w:t xml:space="preserve">”</w:t>
      </w:r>
      <w:r>
        <w:t xml:space="preserve">; both</w:t>
      </w:r>
      <w:r>
        <w:t xml:space="preserve"> </w:t>
      </w:r>
      <w:r>
        <w:t xml:space="preserve">“</w:t>
      </w:r>
      <w:r>
        <w:t xml:space="preserve">p</w:t>
      </w:r>
      <w:r>
        <w:t xml:space="preserve">”</w:t>
      </w:r>
      <w:r>
        <w:t xml:space="preserve">-marked, unaccented; the stem accent of</w:t>
      </w:r>
      <w:r>
        <w:t xml:space="preserve"> </w:t>
      </w:r>
      <w:r>
        <w:t xml:space="preserve">“</w:t>
      </w:r>
      <w:r>
        <w:t xml:space="preserve">go</w:t>
      </w:r>
      <w:r>
        <w:t xml:space="preserve">”</w:t>
      </w:r>
      <w:r>
        <w:t xml:space="preserve"> </w:t>
      </w:r>
      <w:r>
        <w:t xml:space="preserve">remains.</w:t>
      </w:r>
      <w:r>
        <w:t xml:space="preserve"> </w:t>
      </w:r>
      <w:r>
        <w:rPr>
          <w:iCs/>
          <w:i/>
        </w:rPr>
        <w:t xml:space="preserve">(continues on p. 335)</w:t>
      </w:r>
      <w:r>
        <w:t xml:space="preserve"> </w:t>
      </w:r>
      <w:r>
        <w:t xml:space="preserve">### Page 334</w:t>
      </w:r>
    </w:p>
    <w:p>
      <w:pPr>
        <w:pStyle w:val="BodyText"/>
      </w:pPr>
      <w:r>
        <w:rPr>
          <w:iCs/>
          <w:i/>
        </w:rPr>
        <w:t xml:space="preserve">(Page 334 carries the Kannada grammar of</w:t>
      </w:r>
      <w:r>
        <w:t xml:space="preserve"> </w:t>
      </w:r>
      <w:r>
        <w:t xml:space="preserve">सूनृता</w:t>
      </w:r>
      <w:r>
        <w:t xml:space="preserve"> </w:t>
      </w:r>
      <w:r>
        <w:rPr>
          <w:iCs/>
          <w:i/>
        </w:rPr>
        <w:t xml:space="preserve">and</w:t>
      </w:r>
      <w:r>
        <w:t xml:space="preserve"> </w:t>
      </w:r>
      <w:r>
        <w:t xml:space="preserve">विरप्शी</w:t>
      </w:r>
      <w:r>
        <w:rPr>
          <w:iCs/>
          <w:i/>
        </w:rPr>
        <w:t xml:space="preserve">,</w:t>
      </w:r>
      <w:r>
        <w:t xml:space="preserve"> </w:t>
      </w:r>
      <w:r>
        <w:t xml:space="preserve">गोमती</w:t>
      </w:r>
      <w:r>
        <w:t xml:space="preserve"> </w:t>
      </w:r>
      <w:r>
        <w:rPr>
          <w:iCs/>
          <w:i/>
        </w:rPr>
        <w:t xml:space="preserve">as summarized above; its closing lines, continuing on p. 335, treat</w:t>
      </w:r>
      <w:r>
        <w:t xml:space="preserve"> </w:t>
      </w:r>
      <w:r>
        <w:t xml:space="preserve">मही</w:t>
      </w:r>
      <w:r>
        <w:rPr>
          <w:iCs/>
          <w:i/>
        </w:rPr>
        <w:t xml:space="preserve">,</w:t>
      </w:r>
      <w:r>
        <w:t xml:space="preserve"> </w:t>
      </w:r>
      <w:r>
        <w:t xml:space="preserve">पक्वा</w:t>
      </w:r>
      <w:r>
        <w:rPr>
          <w:iCs/>
          <w:i/>
        </w:rPr>
        <w:t xml:space="preserve">,</w:t>
      </w:r>
      <w:r>
        <w:t xml:space="preserve"> </w:t>
      </w:r>
      <w:r>
        <w:t xml:space="preserve">शाखा</w:t>
      </w:r>
      <w:r>
        <w:t xml:space="preserve"> </w:t>
      </w:r>
      <w:r>
        <w:rPr>
          <w:iCs/>
          <w:i/>
        </w:rPr>
        <w:t xml:space="preserve">and</w:t>
      </w:r>
      <w:r>
        <w:t xml:space="preserve"> </w:t>
      </w:r>
      <w:r>
        <w:t xml:space="preserve">दाशुषे</w:t>
      </w:r>
      <w:r>
        <w:rPr>
          <w:iCs/>
          <w:i/>
        </w:rPr>
        <w:t xml:space="preserve">.)</w:t>
      </w:r>
    </w:p>
    <w:bookmarkEnd w:id="362"/>
    <w:bookmarkStart w:id="363" w:name="page-335-rik-8-grammar-continued"/>
    <w:p>
      <w:pPr>
        <w:pStyle w:val="Heading3"/>
      </w:pPr>
      <w:r>
        <w:t xml:space="preserve">Page 335 — Rik 8 grammar (continued)</w:t>
      </w:r>
    </w:p>
    <w:p>
      <w:pPr>
        <w:pStyle w:val="FirstParagraph"/>
      </w:pPr>
      <w:r>
        <w:rPr>
          <w:iCs/>
          <w:i/>
        </w:rPr>
        <w:t xml:space="preserve">(Kannada; page header</w:t>
      </w:r>
      <w:r>
        <w:rPr>
          <w:iCs/>
          <w:i/>
        </w:rPr>
        <w:t xml:space="preserve"> </w:t>
      </w:r>
      <w:r>
        <w:rPr>
          <w:iCs/>
          <w:i/>
        </w:rPr>
        <w:t xml:space="preserve">“</w:t>
      </w:r>
      <w:r>
        <w:rPr>
          <w:iCs/>
          <w:i/>
        </w:rPr>
        <w:t xml:space="preserve">A. 1, A. 1, Va. 16</w:t>
      </w:r>
      <w:r>
        <w:rPr>
          <w:iCs/>
          <w:i/>
        </w:rPr>
        <w:t xml:space="preserve">”</w:t>
      </w:r>
      <w:r>
        <w:rPr>
          <w:iCs/>
          <w:i/>
        </w:rPr>
        <w:t xml:space="preserve">; numbers as printed.)</w:t>
      </w:r>
    </w:p>
    <w:p>
      <w:pPr>
        <w:pStyle w:val="BodyText"/>
      </w:pPr>
      <w:r>
        <w:rPr>
          <w:bCs/>
          <w:b/>
        </w:rPr>
        <w:t xml:space="preserve">मही</w:t>
      </w:r>
      <w:r>
        <w:t xml:space="preserve"> </w:t>
      </w:r>
      <w:r>
        <w:t xml:space="preserve">—</w:t>
      </w:r>
      <w:r>
        <w:t xml:space="preserve"> </w:t>
      </w:r>
      <w:r>
        <w:t xml:space="preserve">“</w:t>
      </w:r>
      <w:r>
        <w:t xml:space="preserve">mahatī</w:t>
      </w:r>
      <w:r>
        <w:t xml:space="preserve">”</w:t>
      </w:r>
      <w:r>
        <w:t xml:space="preserve">: after</w:t>
      </w:r>
      <w:r>
        <w:t xml:space="preserve"> </w:t>
      </w:r>
      <w:r>
        <w:t xml:space="preserve">“</w:t>
      </w:r>
      <w:r>
        <w:t xml:space="preserve">mahat,</w:t>
      </w:r>
      <w:r>
        <w:t xml:space="preserve">”</w:t>
      </w:r>
      <w:r>
        <w:t xml:space="preserve"> </w:t>
      </w:r>
      <w:r>
        <w:rPr>
          <w:bCs/>
          <w:b/>
        </w:rPr>
        <w:t xml:space="preserve">उगितश्च</w:t>
      </w:r>
      <w:r>
        <w:t xml:space="preserve"> </w:t>
      </w:r>
      <w:r>
        <w:t xml:space="preserve">(पा. सू. ४-१-६)</w:t>
      </w:r>
      <w:r>
        <w:t xml:space="preserve"> </w:t>
      </w:r>
      <w:r>
        <w:t xml:space="preserve">“</w:t>
      </w:r>
      <w:r>
        <w:t xml:space="preserve">ṅīp</w:t>
      </w:r>
      <w:r>
        <w:t xml:space="preserve">”</w:t>
      </w:r>
      <w:r>
        <w:t xml:space="preserve"> </w:t>
      </w:r>
      <w:r>
        <w:t xml:space="preserve">after an</w:t>
      </w:r>
      <w:r>
        <w:t xml:space="preserve"> </w:t>
      </w:r>
      <w:r>
        <w:t xml:space="preserve">“</w:t>
      </w:r>
      <w:r>
        <w:t xml:space="preserve">ugit</w:t>
      </w:r>
      <w:r>
        <w:t xml:space="preserve">”</w:t>
      </w:r>
      <w:r>
        <w:t xml:space="preserve"> </w:t>
      </w:r>
      <w:r>
        <w:t xml:space="preserve">stem in the feminine;</w:t>
      </w:r>
      <w:r>
        <w:t xml:space="preserve"> </w:t>
      </w:r>
      <w:r>
        <w:t xml:space="preserve">“</w:t>
      </w:r>
      <w:r>
        <w:t xml:space="preserve">ṅīp,</w:t>
      </w:r>
      <w:r>
        <w:t xml:space="preserve">”</w:t>
      </w:r>
      <w:r>
        <w:t xml:space="preserve"> </w:t>
      </w:r>
      <w:r>
        <w:t xml:space="preserve">“</w:t>
      </w:r>
      <w:r>
        <w:t xml:space="preserve">p</w:t>
      </w:r>
      <w:r>
        <w:t xml:space="preserve">”</w:t>
      </w:r>
      <w:r>
        <w:t xml:space="preserve">-marked, would be unaccented, but the vārttika</w:t>
      </w:r>
      <w:r>
        <w:t xml:space="preserve"> </w:t>
      </w:r>
      <w:r>
        <w:rPr>
          <w:bCs/>
          <w:b/>
        </w:rPr>
        <w:t xml:space="preserve">बृहन्महतोरुपसंख्यानम्</w:t>
      </w:r>
      <w:r>
        <w:t xml:space="preserve"> </w:t>
      </w:r>
      <w:r>
        <w:t xml:space="preserve">(पा. सू. ६-१-१७३-१), under</w:t>
      </w:r>
      <w:r>
        <w:t xml:space="preserve"> </w:t>
      </w:r>
      <w:r>
        <w:rPr>
          <w:bCs/>
          <w:b/>
        </w:rPr>
        <w:t xml:space="preserve">शतुरनुमो नद्यजादी</w:t>
      </w:r>
      <w:r>
        <w:t xml:space="preserve"> </w:t>
      </w:r>
      <w:r>
        <w:t xml:space="preserve">(पा. सू. ६-१-१७३), makes the nadī affix and the</w:t>
      </w:r>
      <w:r>
        <w:t xml:space="preserve"> </w:t>
      </w:r>
      <w:r>
        <w:t xml:space="preserve">“</w:t>
      </w:r>
      <w:r>
        <w:t xml:space="preserve">śas</w:t>
      </w:r>
      <w:r>
        <w:t xml:space="preserve">”</w:t>
      </w:r>
      <w:r>
        <w:t xml:space="preserve">-etc. endings after</w:t>
      </w:r>
      <w:r>
        <w:t xml:space="preserve"> </w:t>
      </w:r>
      <w:r>
        <w:t xml:space="preserve">“</w:t>
      </w:r>
      <w:r>
        <w:t xml:space="preserve">bṛhat, mahat</w:t>
      </w:r>
      <w:r>
        <w:t xml:space="preserve">”</w:t>
      </w:r>
      <w:r>
        <w:t xml:space="preserve"> </w:t>
      </w:r>
      <w:r>
        <w:t xml:space="preserve">acute; the</w:t>
      </w:r>
      <w:r>
        <w:t xml:space="preserve"> </w:t>
      </w:r>
      <w:r>
        <w:t xml:space="preserve">“</w:t>
      </w:r>
      <w:r>
        <w:t xml:space="preserve">at</w:t>
      </w:r>
      <w:r>
        <w:t xml:space="preserve">”</w:t>
      </w:r>
      <w:r>
        <w:t xml:space="preserve"> </w:t>
      </w:r>
      <w:r>
        <w:t xml:space="preserve">of</w:t>
      </w:r>
      <w:r>
        <w:t xml:space="preserve"> </w:t>
      </w:r>
      <w:r>
        <w:t xml:space="preserve">“</w:t>
      </w:r>
      <w:r>
        <w:t xml:space="preserve">mahat</w:t>
      </w:r>
      <w:r>
        <w:t xml:space="preserve">”</w:t>
      </w:r>
      <w:r>
        <w:t xml:space="preserve"> </w:t>
      </w:r>
      <w:r>
        <w:t xml:space="preserve">lost as Vedic.</w:t>
      </w:r>
    </w:p>
    <w:p>
      <w:pPr>
        <w:pStyle w:val="BodyText"/>
      </w:pPr>
      <w:r>
        <w:rPr>
          <w:bCs/>
          <w:b/>
        </w:rPr>
        <w:t xml:space="preserve">पक्वा</w:t>
      </w:r>
      <w:r>
        <w:t xml:space="preserve"> </w:t>
      </w:r>
      <w:r>
        <w:t xml:space="preserve">—</w:t>
      </w:r>
      <w:r>
        <w:t xml:space="preserve"> </w:t>
      </w:r>
      <w:r>
        <w:t xml:space="preserve">“</w:t>
      </w:r>
      <w:r>
        <w:t xml:space="preserve">ḍupacaṣ pāke</w:t>
      </w:r>
      <w:r>
        <w:t xml:space="preserve">”</w:t>
      </w:r>
      <w:r>
        <w:t xml:space="preserve">:</w:t>
      </w:r>
      <w:r>
        <w:t xml:space="preserve"> </w:t>
      </w:r>
      <w:r>
        <w:rPr>
          <w:bCs/>
          <w:b/>
        </w:rPr>
        <w:t xml:space="preserve">निष्ठा</w:t>
      </w:r>
      <w:r>
        <w:t xml:space="preserve"> </w:t>
      </w:r>
      <w:r>
        <w:t xml:space="preserve">(पा. सू. ३-२-१०२)</w:t>
      </w:r>
      <w:r>
        <w:t xml:space="preserve"> </w:t>
      </w:r>
      <w:r>
        <w:t xml:space="preserve">“</w:t>
      </w:r>
      <w:r>
        <w:t xml:space="preserve">kta</w:t>
      </w:r>
      <w:r>
        <w:t xml:space="preserve">”</w:t>
      </w:r>
      <w:r>
        <w:t xml:space="preserve"> </w:t>
      </w:r>
      <w:r>
        <w:t xml:space="preserve">in the past sense;</w:t>
      </w:r>
      <w:r>
        <w:t xml:space="preserve"> </w:t>
      </w:r>
      <w:r>
        <w:rPr>
          <w:bCs/>
          <w:b/>
        </w:rPr>
        <w:t xml:space="preserve">पचो वः</w:t>
      </w:r>
      <w:r>
        <w:t xml:space="preserve"> </w:t>
      </w:r>
      <w:r>
        <w:t xml:space="preserve">(पा. सू. ८-२-५२)</w:t>
      </w:r>
      <w:r>
        <w:t xml:space="preserve"> </w:t>
      </w:r>
      <w:r>
        <w:t xml:space="preserve">“</w:t>
      </w:r>
      <w:r>
        <w:t xml:space="preserve">v</w:t>
      </w:r>
      <w:r>
        <w:t xml:space="preserve">”</w:t>
      </w:r>
      <w:r>
        <w:t xml:space="preserve"> </w:t>
      </w:r>
      <w:r>
        <w:t xml:space="preserve">for the</w:t>
      </w:r>
      <w:r>
        <w:t xml:space="preserve"> </w:t>
      </w:r>
      <w:r>
        <w:t xml:space="preserve">“</w:t>
      </w:r>
      <w:r>
        <w:t xml:space="preserve">t</w:t>
      </w:r>
      <w:r>
        <w:t xml:space="preserve">”</w:t>
      </w:r>
      <w:r>
        <w:t xml:space="preserve">;</w:t>
      </w:r>
      <w:r>
        <w:t xml:space="preserve"> </w:t>
      </w:r>
      <w:r>
        <w:rPr>
          <w:bCs/>
          <w:b/>
        </w:rPr>
        <w:t xml:space="preserve">चोः कुः</w:t>
      </w:r>
      <w:r>
        <w:t xml:space="preserve"> </w:t>
      </w:r>
      <w:r>
        <w:t xml:space="preserve">(पा. सू. ८-२-३०)</w:t>
      </w:r>
      <w:r>
        <w:t xml:space="preserve"> </w:t>
      </w:r>
      <w:r>
        <w:t xml:space="preserve">“</w:t>
      </w:r>
      <w:r>
        <w:t xml:space="preserve">k</w:t>
      </w:r>
      <w:r>
        <w:t xml:space="preserve">”</w:t>
      </w:r>
      <w:r>
        <w:t xml:space="preserve"> </w:t>
      </w:r>
      <w:r>
        <w:t xml:space="preserve">for</w:t>
      </w:r>
      <w:r>
        <w:t xml:space="preserve"> </w:t>
      </w:r>
      <w:r>
        <w:t xml:space="preserve">“</w:t>
      </w:r>
      <w:r>
        <w:t xml:space="preserve">c</w:t>
      </w:r>
      <w:r>
        <w:t xml:space="preserve">”</w:t>
      </w:r>
      <w:r>
        <w:t xml:space="preserve">; end-acute by the affix accent;</w:t>
      </w:r>
      <w:r>
        <w:t xml:space="preserve"> </w:t>
      </w:r>
      <w:r>
        <w:rPr>
          <w:bCs/>
          <w:b/>
        </w:rPr>
        <w:t xml:space="preserve">अजाद्यतष्टाप्</w:t>
      </w:r>
      <w:r>
        <w:t xml:space="preserve"> </w:t>
      </w:r>
      <w:r>
        <w:t xml:space="preserve">(पा. सू. ४-१-४)</w:t>
      </w:r>
      <w:r>
        <w:t xml:space="preserve"> </w:t>
      </w:r>
      <w:r>
        <w:t xml:space="preserve">“</w:t>
      </w:r>
      <w:r>
        <w:t xml:space="preserve">ṭāp</w:t>
      </w:r>
      <w:r>
        <w:t xml:space="preserve">”</w:t>
      </w:r>
      <w:r>
        <w:t xml:space="preserve">;</w:t>
      </w:r>
      <w:r>
        <w:t xml:space="preserve"> </w:t>
      </w:r>
      <w:r>
        <w:rPr>
          <w:bCs/>
          <w:b/>
        </w:rPr>
        <w:t xml:space="preserve">अकः सवर्णे दीर्घः</w:t>
      </w:r>
      <w:r>
        <w:t xml:space="preserve"> </w:t>
      </w:r>
      <w:r>
        <w:t xml:space="preserve">(पा. सू. ६-१-१०१):</w:t>
      </w:r>
      <w:r>
        <w:t xml:space="preserve"> </w:t>
      </w:r>
      <w:r>
        <w:t xml:space="preserve">“</w:t>
      </w:r>
      <w:r>
        <w:t xml:space="preserve">pakvā</w:t>
      </w:r>
      <w:r>
        <w:t xml:space="preserve">”</w:t>
      </w:r>
      <w:r>
        <w:t xml:space="preserve">;</w:t>
      </w:r>
      <w:r>
        <w:t xml:space="preserve"> </w:t>
      </w:r>
      <w:r>
        <w:t xml:space="preserve">“</w:t>
      </w:r>
      <w:r>
        <w:t xml:space="preserve">ṭāp,</w:t>
      </w:r>
      <w:r>
        <w:t xml:space="preserve">”</w:t>
      </w:r>
      <w:r>
        <w:t xml:space="preserve"> </w:t>
      </w:r>
      <w:r>
        <w:t xml:space="preserve">“</w:t>
      </w:r>
      <w:r>
        <w:t xml:space="preserve">p</w:t>
      </w:r>
      <w:r>
        <w:t xml:space="preserve">”</w:t>
      </w:r>
      <w:r>
        <w:t xml:space="preserve">-marked, unaccented; the single long</w:t>
      </w:r>
      <w:r>
        <w:t xml:space="preserve"> </w:t>
      </w:r>
      <w:r>
        <w:t xml:space="preserve">“</w:t>
      </w:r>
      <w:r>
        <w:t xml:space="preserve">ā</w:t>
      </w:r>
      <w:r>
        <w:t xml:space="preserve">”</w:t>
      </w:r>
      <w:r>
        <w:t xml:space="preserve"> </w:t>
      </w:r>
      <w:r>
        <w:t xml:space="preserve">acute by</w:t>
      </w:r>
      <w:r>
        <w:t xml:space="preserve"> </w:t>
      </w:r>
      <w:r>
        <w:rPr>
          <w:bCs/>
          <w:b/>
        </w:rPr>
        <w:t xml:space="preserve">एकादेश उदात्तेनोदात्तः</w:t>
      </w:r>
      <w:r>
        <w:t xml:space="preserve"> </w:t>
      </w:r>
      <w:r>
        <w:t xml:space="preserve">(पा. सू. ८-२-५).</w:t>
      </w:r>
    </w:p>
    <w:p>
      <w:pPr>
        <w:pStyle w:val="BodyText"/>
      </w:pPr>
      <w:r>
        <w:rPr>
          <w:bCs/>
          <w:b/>
        </w:rPr>
        <w:t xml:space="preserve">शाखा</w:t>
      </w:r>
      <w:r>
        <w:t xml:space="preserve"> </w:t>
      </w:r>
      <w:r>
        <w:t xml:space="preserve">—</w:t>
      </w:r>
      <w:r>
        <w:t xml:space="preserve"> </w:t>
      </w:r>
      <w:r>
        <w:t xml:space="preserve">“</w:t>
      </w:r>
      <w:r>
        <w:t xml:space="preserve">śākhṛ ślākhṛ vyāptau,</w:t>
      </w:r>
      <w:r>
        <w:t xml:space="preserve">”</w:t>
      </w:r>
      <w:r>
        <w:t xml:space="preserve"> </w:t>
      </w:r>
      <w:r>
        <w:t xml:space="preserve">of the pacādi class:</w:t>
      </w:r>
      <w:r>
        <w:t xml:space="preserve"> </w:t>
      </w:r>
      <w:r>
        <w:rPr>
          <w:bCs/>
          <w:b/>
        </w:rPr>
        <w:t xml:space="preserve">नन्दिग्रहिपचादिभ्यो ल्युणिन्यचः</w:t>
      </w:r>
      <w:r>
        <w:t xml:space="preserve"> </w:t>
      </w:r>
      <w:r>
        <w:t xml:space="preserve">(पा. सू. ३-१-१३४)</w:t>
      </w:r>
      <w:r>
        <w:t xml:space="preserve"> </w:t>
      </w:r>
      <w:r>
        <w:t xml:space="preserve">“</w:t>
      </w:r>
      <w:r>
        <w:t xml:space="preserve">ac</w:t>
      </w:r>
      <w:r>
        <w:t xml:space="preserve">”</w:t>
      </w:r>
      <w:r>
        <w:t xml:space="preserve">; end-acute by</w:t>
      </w:r>
      <w:r>
        <w:t xml:space="preserve"> </w:t>
      </w:r>
      <w:r>
        <w:rPr>
          <w:bCs/>
          <w:b/>
        </w:rPr>
        <w:t xml:space="preserve">चितः</w:t>
      </w:r>
      <w:r>
        <w:t xml:space="preserve"> </w:t>
      </w:r>
      <w:r>
        <w:t xml:space="preserve">(पा. सू. ६-१-१६३) would apply, but the vṛṣādi class being an ākṛtigaṇa,</w:t>
      </w:r>
      <w:r>
        <w:t xml:space="preserve"> </w:t>
      </w:r>
      <w:r>
        <w:t xml:space="preserve">“</w:t>
      </w:r>
      <w:r>
        <w:t xml:space="preserve">śākha</w:t>
      </w:r>
      <w:r>
        <w:t xml:space="preserve">”</w:t>
      </w:r>
      <w:r>
        <w:t xml:space="preserve"> </w:t>
      </w:r>
      <w:r>
        <w:t xml:space="preserve">in it is first-syllable acute by</w:t>
      </w:r>
      <w:r>
        <w:t xml:space="preserve"> </w:t>
      </w:r>
      <w:r>
        <w:rPr>
          <w:bCs/>
          <w:b/>
        </w:rPr>
        <w:t xml:space="preserve">वृषादीनां च</w:t>
      </w:r>
      <w:r>
        <w:t xml:space="preserve"> </w:t>
      </w:r>
      <w:r>
        <w:t xml:space="preserve">(पा. सू. ६-१-२०३); with</w:t>
      </w:r>
      <w:r>
        <w:t xml:space="preserve"> </w:t>
      </w:r>
      <w:r>
        <w:t xml:space="preserve">“</w:t>
      </w:r>
      <w:r>
        <w:t xml:space="preserve">ṭāp</w:t>
      </w:r>
      <w:r>
        <w:t xml:space="preserve">”</w:t>
      </w:r>
      <w:r>
        <w:t xml:space="preserve"> </w:t>
      </w:r>
      <w:r>
        <w:t xml:space="preserve">and the long vowel, the</w:t>
      </w:r>
      <w:r>
        <w:t xml:space="preserve"> </w:t>
      </w:r>
      <w:r>
        <w:t xml:space="preserve">“</w:t>
      </w:r>
      <w:r>
        <w:t xml:space="preserve">ā</w:t>
      </w:r>
      <w:r>
        <w:t xml:space="preserve">”</w:t>
      </w:r>
      <w:r>
        <w:t xml:space="preserve"> </w:t>
      </w:r>
      <w:r>
        <w:t xml:space="preserve">is unaccented by</w:t>
      </w:r>
      <w:r>
        <w:t xml:space="preserve"> </w:t>
      </w:r>
      <w:r>
        <w:rPr>
          <w:bCs/>
          <w:b/>
        </w:rPr>
        <w:t xml:space="preserve">स्थानेऽन्तरतमः</w:t>
      </w:r>
      <w:r>
        <w:t xml:space="preserve"> </w:t>
      </w:r>
      <w:r>
        <w:t xml:space="preserve">(पा. सू. १-१-५०), then svarita by</w:t>
      </w:r>
      <w:r>
        <w:t xml:space="preserve"> </w:t>
      </w:r>
      <w:r>
        <w:rPr>
          <w:bCs/>
          <w:b/>
        </w:rPr>
        <w:t xml:space="preserve">उदात्तादनुदात्तस्य स्वरितः</w:t>
      </w:r>
      <w:r>
        <w:t xml:space="preserve"> </w:t>
      </w:r>
      <w:r>
        <w:t xml:space="preserve">(पा. सू. ८-४-६६).</w:t>
      </w:r>
    </w:p>
    <w:p>
      <w:pPr>
        <w:pStyle w:val="BodyText"/>
      </w:pPr>
      <w:r>
        <w:rPr>
          <w:bCs/>
          <w:b/>
        </w:rPr>
        <w:t xml:space="preserve">दाशुषे</w:t>
      </w:r>
      <w:r>
        <w:t xml:space="preserve"> </w:t>
      </w:r>
      <w:r>
        <w:t xml:space="preserve">— by nipātana in</w:t>
      </w:r>
      <w:r>
        <w:t xml:space="preserve"> </w:t>
      </w:r>
      <w:r>
        <w:rPr>
          <w:bCs/>
          <w:b/>
        </w:rPr>
        <w:t xml:space="preserve">दाश्वान्साह्वान्मीढ्वांश्च</w:t>
      </w:r>
      <w:r>
        <w:t xml:space="preserve"> </w:t>
      </w:r>
      <w:r>
        <w:t xml:space="preserve">(पा. सू. ६-१-१२),</w:t>
      </w:r>
      <w:r>
        <w:t xml:space="preserve"> </w:t>
      </w:r>
      <w:r>
        <w:t xml:space="preserve">“</w:t>
      </w:r>
      <w:r>
        <w:t xml:space="preserve">dāśṛ dāne</w:t>
      </w:r>
      <w:r>
        <w:t xml:space="preserve">”</w:t>
      </w:r>
      <w:r>
        <w:t xml:space="preserve"> </w:t>
      </w:r>
      <w:r>
        <w:t xml:space="preserve">with</w:t>
      </w:r>
      <w:r>
        <w:t xml:space="preserve"> </w:t>
      </w:r>
      <w:r>
        <w:t xml:space="preserve">“</w:t>
      </w:r>
      <w:r>
        <w:t xml:space="preserve">kvasu</w:t>
      </w:r>
      <w:r>
        <w:t xml:space="preserve">”</w:t>
      </w:r>
      <w:r>
        <w:t xml:space="preserve"> </w:t>
      </w:r>
      <w:r>
        <w:t xml:space="preserve">takes neither</w:t>
      </w:r>
      <w:r>
        <w:t xml:space="preserve"> </w:t>
      </w:r>
      <w:r>
        <w:t xml:space="preserve">“</w:t>
      </w:r>
      <w:r>
        <w:t xml:space="preserve">iṭ</w:t>
      </w:r>
      <w:r>
        <w:t xml:space="preserve">”</w:t>
      </w:r>
      <w:r>
        <w:t xml:space="preserve"> </w:t>
      </w:r>
      <w:r>
        <w:t xml:space="preserve">nor doubling; dative</w:t>
      </w:r>
      <w:r>
        <w:t xml:space="preserve"> </w:t>
      </w:r>
      <w:r>
        <w:t xml:space="preserve">“</w:t>
      </w:r>
      <w:r>
        <w:t xml:space="preserve">ṅe</w:t>
      </w:r>
      <w:r>
        <w:t xml:space="preserve">”</w:t>
      </w:r>
      <w:r>
        <w:t xml:space="preserve">:</w:t>
      </w:r>
      <w:r>
        <w:t xml:space="preserve"> </w:t>
      </w:r>
      <w:r>
        <w:t xml:space="preserve">“</w:t>
      </w:r>
      <w:r>
        <w:t xml:space="preserve">dāśvas + e</w:t>
      </w:r>
      <w:r>
        <w:t xml:space="preserve">”</w:t>
      </w:r>
      <w:r>
        <w:t xml:space="preserve">;</w:t>
      </w:r>
      <w:r>
        <w:t xml:space="preserve"> </w:t>
      </w:r>
      <w:r>
        <w:rPr>
          <w:bCs/>
          <w:b/>
        </w:rPr>
        <w:t xml:space="preserve">यचि भम्</w:t>
      </w:r>
      <w:r>
        <w:t xml:space="preserve"> </w:t>
      </w:r>
      <w:r>
        <w:t xml:space="preserve">(पा. सू. १-४-१८)</w:t>
      </w:r>
      <w:r>
        <w:t xml:space="preserve"> </w:t>
      </w:r>
      <w:r>
        <w:t xml:space="preserve">“</w:t>
      </w:r>
      <w:r>
        <w:t xml:space="preserve">bha</w:t>
      </w:r>
      <w:r>
        <w:t xml:space="preserve">”</w:t>
      </w:r>
      <w:r>
        <w:t xml:space="preserve">;</w:t>
      </w:r>
      <w:r>
        <w:t xml:space="preserve"> </w:t>
      </w:r>
      <w:r>
        <w:rPr>
          <w:bCs/>
          <w:b/>
        </w:rPr>
        <w:t xml:space="preserve">वसोः संप्रसारणम्</w:t>
      </w:r>
      <w:r>
        <w:t xml:space="preserve"> </w:t>
      </w:r>
      <w:r>
        <w:t xml:space="preserve">(पा. सू. ६-४-१३१)</w:t>
      </w:r>
      <w:r>
        <w:t xml:space="preserve"> </w:t>
      </w:r>
      <w:r>
        <w:t xml:space="preserve">“</w:t>
      </w:r>
      <w:r>
        <w:t xml:space="preserve">u</w:t>
      </w:r>
      <w:r>
        <w:t xml:space="preserve">”</w:t>
      </w:r>
      <w:r>
        <w:t xml:space="preserve"> </w:t>
      </w:r>
      <w:r>
        <w:t xml:space="preserve">for</w:t>
      </w:r>
      <w:r>
        <w:t xml:space="preserve"> </w:t>
      </w:r>
      <w:r>
        <w:t xml:space="preserve">“</w:t>
      </w:r>
      <w:r>
        <w:t xml:space="preserve">v</w:t>
      </w:r>
      <w:r>
        <w:t xml:space="preserve">”</w:t>
      </w:r>
      <w:r>
        <w:t xml:space="preserve">; (p. 336)</w:t>
      </w:r>
      <w:r>
        <w:t xml:space="preserve"> </w:t>
      </w:r>
      <w:r>
        <w:rPr>
          <w:bCs/>
          <w:b/>
        </w:rPr>
        <w:t xml:space="preserve">संप्रसारणाच्च</w:t>
      </w:r>
      <w:r>
        <w:t xml:space="preserve"> </w:t>
      </w:r>
      <w:r>
        <w:t xml:space="preserve">(पा. सू. ६-१-१०८) the prior form:</w:t>
      </w:r>
      <w:r>
        <w:t xml:space="preserve"> </w:t>
      </w:r>
      <w:r>
        <w:t xml:space="preserve">“</w:t>
      </w:r>
      <w:r>
        <w:t xml:space="preserve">dāśus + e</w:t>
      </w:r>
      <w:r>
        <w:t xml:space="preserve">”</w:t>
      </w:r>
      <w:r>
        <w:t xml:space="preserve">;</w:t>
      </w:r>
      <w:r>
        <w:t xml:space="preserve"> </w:t>
      </w:r>
      <w:r>
        <w:rPr>
          <w:bCs/>
          <w:b/>
        </w:rPr>
        <w:t xml:space="preserve">आदेशप्रत्यययोः</w:t>
      </w:r>
      <w:r>
        <w:t xml:space="preserve"> </w:t>
      </w:r>
      <w:r>
        <w:t xml:space="preserve">(पा. सू. ८-३-५९)</w:t>
      </w:r>
      <w:r>
        <w:t xml:space="preserve"> </w:t>
      </w:r>
      <w:r>
        <w:t xml:space="preserve">“</w:t>
      </w:r>
      <w:r>
        <w:t xml:space="preserve">ṣ</w:t>
      </w:r>
      <w:r>
        <w:t xml:space="preserve">”</w:t>
      </w:r>
      <w:r>
        <w:t xml:space="preserve"> </w:t>
      </w:r>
      <w:r>
        <w:t xml:space="preserve">for the</w:t>
      </w:r>
      <w:r>
        <w:t xml:space="preserve"> </w:t>
      </w:r>
      <w:r>
        <w:t xml:space="preserve">“</w:t>
      </w:r>
      <w:r>
        <w:t xml:space="preserve">s</w:t>
      </w:r>
      <w:r>
        <w:t xml:space="preserve">”</w:t>
      </w:r>
      <w:r>
        <w:t xml:space="preserve"> </w:t>
      </w:r>
      <w:r>
        <w:t xml:space="preserve">belonging to the affix</w:t>
      </w:r>
      <w:r>
        <w:t xml:space="preserve"> </w:t>
      </w:r>
      <w:r>
        <w:t xml:space="preserve">“</w:t>
      </w:r>
      <w:r>
        <w:t xml:space="preserve">vasu</w:t>
      </w:r>
      <w:r>
        <w:t xml:space="preserve">”</w:t>
      </w:r>
      <w:r>
        <w:t xml:space="preserve">:</w:t>
      </w:r>
      <w:r>
        <w:t xml:space="preserve"> </w:t>
      </w:r>
      <w:r>
        <w:t xml:space="preserve">“</w:t>
      </w:r>
      <w:r>
        <w:t xml:space="preserve">dāśuṣe.</w:t>
      </w:r>
      <w:r>
        <w:t xml:space="preserve">”</w:t>
      </w:r>
      <w:r>
        <w:t xml:space="preserve"> </w:t>
      </w:r>
      <w:r>
        <w:rPr>
          <w:bCs/>
          <w:b/>
        </w:rPr>
        <w:t xml:space="preserve">शासिवसिघसीनां च</w:t>
      </w:r>
      <w:r>
        <w:t xml:space="preserve"> </w:t>
      </w:r>
      <w:r>
        <w:t xml:space="preserve">(पा. सू. ८-३-६०) names</w:t>
      </w:r>
      <w:r>
        <w:t xml:space="preserve"> </w:t>
      </w:r>
      <w:r>
        <w:t xml:space="preserve">“</w:t>
      </w:r>
      <w:r>
        <w:t xml:space="preserve">vas</w:t>
      </w:r>
      <w:r>
        <w:t xml:space="preserve">”</w:t>
      </w:r>
      <w:r>
        <w:t xml:space="preserve"> </w:t>
      </w:r>
      <w:r>
        <w:t xml:space="preserve">— the root</w:t>
      </w:r>
      <w:r>
        <w:t xml:space="preserve"> </w:t>
      </w:r>
      <w:r>
        <w:t xml:space="preserve">“</w:t>
      </w:r>
      <w:r>
        <w:t xml:space="preserve">vasa nivāse,</w:t>
      </w:r>
      <w:r>
        <w:t xml:space="preserve">”</w:t>
      </w:r>
      <w:r>
        <w:t xml:space="preserve"> </w:t>
      </w:r>
      <w:r>
        <w:t xml:space="preserve">not the affix</w:t>
      </w:r>
      <w:r>
        <w:t xml:space="preserve"> </w:t>
      </w:r>
      <w:r>
        <w:t xml:space="preserve">“</w:t>
      </w:r>
      <w:r>
        <w:t xml:space="preserve">vasu</w:t>
      </w:r>
      <w:r>
        <w:t xml:space="preserve">”</w:t>
      </w:r>
      <w:r>
        <w:t xml:space="preserve"> </w:t>
      </w:r>
      <w:r>
        <w:t xml:space="preserve">— so the</w:t>
      </w:r>
      <w:r>
        <w:t xml:space="preserve"> </w:t>
      </w:r>
      <w:r>
        <w:t xml:space="preserve">“</w:t>
      </w:r>
      <w:r>
        <w:t xml:space="preserve">ṣ</w:t>
      </w:r>
      <w:r>
        <w:t xml:space="preserve">”</w:t>
      </w:r>
      <w:r>
        <w:t xml:space="preserve"> </w:t>
      </w:r>
      <w:r>
        <w:t xml:space="preserve">does not come from that sūtra here; this was explained before (ऋ. सं. १-६-८). The</w:t>
      </w:r>
      <w:r>
        <w:t xml:space="preserve"> </w:t>
      </w:r>
      <w:r>
        <w:t xml:space="preserve">“</w:t>
      </w:r>
      <w:r>
        <w:t xml:space="preserve">u</w:t>
      </w:r>
      <w:r>
        <w:t xml:space="preserve">”</w:t>
      </w:r>
      <w:r>
        <w:t xml:space="preserve"> </w:t>
      </w:r>
      <w:r>
        <w:t xml:space="preserve">acute by the affix accent.</w:t>
      </w:r>
      <w:r>
        <w:t xml:space="preserve"> </w:t>
      </w:r>
      <w:r>
        <w:rPr>
          <w:bCs/>
          <w:b/>
        </w:rPr>
        <w:t xml:space="preserve">॥८॥</w:t>
      </w:r>
    </w:p>
    <w:p>
      <w:r>
        <w:pict>
          <v:rect style="width:0;height:1.5pt" o:hralign="center" o:hrstd="t" o:hr="t"/>
        </w:pict>
      </w:r>
    </w:p>
    <w:bookmarkEnd w:id="363"/>
    <w:bookmarkStart w:id="364" w:name="page-336-sūkta-8-rik-9"/>
    <w:p>
      <w:pPr>
        <w:pStyle w:val="Heading3"/>
      </w:pPr>
      <w:r>
        <w:t xml:space="preserve">Page 336 — Sūkta 8, Rik 9</w:t>
      </w:r>
    </w:p>
    <w:p>
      <w:pPr>
        <w:pStyle w:val="FirstParagraph"/>
      </w:pPr>
      <w:r>
        <w:rPr>
          <w:iCs/>
          <w:i/>
        </w:rPr>
        <w:t xml:space="preserve">(Saṃhitā marks as read from the print; Pada unaccented. On this page several strokes seem to stand one syllable early over closely set letters (</w:t>
      </w:r>
      <w:r>
        <w:rPr>
          <w:iCs/>
          <w:i/>
        </w:rPr>
        <w:t xml:space="preserve">“</w:t>
      </w:r>
      <w:r>
        <w:rPr>
          <w:iCs/>
          <w:i/>
        </w:rPr>
        <w:t xml:space="preserve">ta</w:t>
      </w:r>
      <w:r>
        <w:rPr>
          <w:iCs/>
          <w:i/>
        </w:rPr>
        <w:t xml:space="preserve">”</w:t>
      </w:r>
      <w:r>
        <w:rPr>
          <w:iCs/>
          <w:i/>
        </w:rPr>
        <w:t xml:space="preserve"> </w:t>
      </w:r>
      <w:r>
        <w:rPr>
          <w:iCs/>
          <w:i/>
        </w:rPr>
        <w:t xml:space="preserve">of</w:t>
      </w:r>
      <w:r>
        <w:rPr>
          <w:iCs/>
          <w:i/>
        </w:rPr>
        <w:t xml:space="preserve"> </w:t>
      </w:r>
      <w:r>
        <w:rPr>
          <w:iCs/>
          <w:i/>
        </w:rPr>
        <w:t xml:space="preserve">“</w:t>
      </w:r>
      <w:r>
        <w:rPr>
          <w:iCs/>
          <w:i/>
        </w:rPr>
        <w:t xml:space="preserve">ūtaya,</w:t>
      </w:r>
      <w:r>
        <w:rPr>
          <w:iCs/>
          <w:i/>
        </w:rPr>
        <w:t xml:space="preserve">”</w:t>
      </w:r>
      <w:r>
        <w:rPr>
          <w:iCs/>
          <w:i/>
        </w:rPr>
        <w:t xml:space="preserve"> </w:t>
      </w:r>
      <w:r>
        <w:rPr>
          <w:iCs/>
          <w:i/>
        </w:rPr>
        <w:t xml:space="preserve">“</w:t>
      </w:r>
      <w:r>
        <w:rPr>
          <w:iCs/>
          <w:i/>
        </w:rPr>
        <w:t xml:space="preserve">dya,</w:t>
      </w:r>
      <w:r>
        <w:rPr>
          <w:iCs/>
          <w:i/>
        </w:rPr>
        <w:t xml:space="preserve">”</w:t>
      </w:r>
      <w:r>
        <w:rPr>
          <w:iCs/>
          <w:i/>
        </w:rPr>
        <w:t xml:space="preserve"> </w:t>
      </w:r>
      <w:r>
        <w:rPr>
          <w:iCs/>
          <w:i/>
        </w:rPr>
        <w:t xml:space="preserve">“</w:t>
      </w:r>
      <w:r>
        <w:rPr>
          <w:iCs/>
          <w:i/>
        </w:rPr>
        <w:t xml:space="preserve">san,</w:t>
      </w:r>
      <w:r>
        <w:rPr>
          <w:iCs/>
          <w:i/>
        </w:rPr>
        <w:t xml:space="preserve">”</w:t>
      </w:r>
      <w:r>
        <w:rPr>
          <w:iCs/>
          <w:i/>
        </w:rPr>
        <w:t xml:space="preserve"> </w:t>
      </w:r>
      <w:r>
        <w:rPr>
          <w:iCs/>
          <w:i/>
        </w:rPr>
        <w:t xml:space="preserve">“</w:t>
      </w:r>
      <w:r>
        <w:rPr>
          <w:iCs/>
          <w:i/>
        </w:rPr>
        <w:t xml:space="preserve">śu</w:t>
      </w:r>
      <w:r>
        <w:rPr>
          <w:iCs/>
          <w:i/>
        </w:rPr>
        <w:t xml:space="preserve">”</w:t>
      </w:r>
      <w:r>
        <w:rPr>
          <w:iCs/>
          <w:i/>
        </w:rPr>
        <w:t xml:space="preserve">), so the placement is doubtful: [accent ?].)</w:t>
      </w:r>
    </w:p>
    <w:p>
      <w:pPr>
        <w:pStyle w:val="BodyText"/>
      </w:pPr>
      <w:r>
        <w:rPr>
          <w:bCs/>
          <w:b/>
        </w:rPr>
        <w:t xml:space="preserve">॥ Saṃhitā-pāṭhaḥ ॥</w:t>
      </w:r>
    </w:p>
    <w:p>
      <w:pPr>
        <w:pStyle w:val="BlockText"/>
      </w:pPr>
      <w:r>
        <w:t xml:space="preserve">ए॒वा हि ते॒ विभू॑तय ऊ॒त॑य इन्द्र॒ माव॑ते । [accent ?]</w:t>
      </w:r>
      <w:r>
        <w:t xml:space="preserve"> </w:t>
      </w:r>
      <w:r>
        <w:t xml:space="preserve">स॒द्य॑श्चित्स॑न्ति दा॒शु॑षे ॥९॥ [accent ?]</w:t>
      </w:r>
    </w:p>
    <w:p>
      <w:pPr>
        <w:pStyle w:val="BlockText"/>
      </w:pPr>
      <w:r>
        <w:rPr>
          <w:iCs/>
          <w:i/>
        </w:rPr>
        <w:t xml:space="preserve">evā́ hi te víbhūtaya ūtaya indra mā́vate |</w:t>
      </w:r>
      <w:r>
        <w:t xml:space="preserve"> </w:t>
      </w:r>
      <w:r>
        <w:t xml:space="preserve">[accent ?]</w:t>
      </w:r>
      <w:r>
        <w:t xml:space="preserve"> </w:t>
      </w:r>
      <w:r>
        <w:rPr>
          <w:iCs/>
          <w:i/>
        </w:rPr>
        <w:t xml:space="preserve">sadyaś cít santi dāśuṣe ||9||</w:t>
      </w:r>
      <w:r>
        <w:t xml:space="preserve"> </w:t>
      </w:r>
      <w:r>
        <w:t xml:space="preserve">[accent ?]</w:t>
      </w:r>
    </w:p>
    <w:p>
      <w:pPr>
        <w:pStyle w:val="FirstParagraph"/>
      </w:pPr>
      <w:r>
        <w:rPr>
          <w:bCs/>
          <w:b/>
        </w:rPr>
        <w:t xml:space="preserve">॥ Pada-pāṭhaḥ ॥</w:t>
      </w:r>
    </w:p>
    <w:p>
      <w:pPr>
        <w:pStyle w:val="BlockText"/>
      </w:pPr>
      <w:r>
        <w:t xml:space="preserve">एव । हि । ते । विऽभूतयः । ऊतयः । इन्द्र । मावते ॥</w:t>
      </w:r>
      <w:r>
        <w:t xml:space="preserve"> </w:t>
      </w:r>
      <w:r>
        <w:t xml:space="preserve">सद्यः । चित् । सन्ति । दाशुषे ॥९॥</w:t>
      </w:r>
    </w:p>
    <w:p>
      <w:pPr>
        <w:pStyle w:val="BlockText"/>
      </w:pPr>
      <w:r>
        <w:rPr>
          <w:iCs/>
          <w:i/>
        </w:rPr>
        <w:t xml:space="preserve">eva | hi | te | vi-bhūtayaḥ | ūtayaḥ | indra | māvate ||</w:t>
      </w:r>
      <w:r>
        <w:t xml:space="preserve"> </w:t>
      </w:r>
      <w:r>
        <w:rPr>
          <w:iCs/>
          <w:i/>
        </w:rPr>
        <w:t xml:space="preserve">sadyaḥ | cit | santi | dāśuṣe ||9||</w:t>
      </w:r>
    </w:p>
    <w:p>
      <w:pPr>
        <w:pStyle w:val="FirstParagraph"/>
      </w:pPr>
      <w:r>
        <w:rPr>
          <w:bCs/>
          <w:b/>
        </w:rPr>
        <w:t xml:space="preserve">॥ Sāyaṇa-bhāṣyam ॥</w:t>
      </w:r>
    </w:p>
    <w:p>
      <w:pPr>
        <w:pStyle w:val="BlockText"/>
      </w:pPr>
      <w:r>
        <w:t xml:space="preserve">हे इन्द्र ते तव विभूतय ऐश्वर्यविशेषा एवा हि एवंविधाः खलु । किंविधा इति तदुच्यते । मावते मत्सदृशाय दाशुषे हविर्दत्तवते यजमानायोतयस्त्वदीयरक्षारूपाः सद्यश्चित्सन्ति । यदा कर्मानुष्ठितं तदैव भवन्ति ॥ मावते । मत्सदृशाय । वतुप्करणे युष्मदस्मद्भ्यां छन्दसि सादृश्य उपसंख्यानम् । पा. ५-२-३९-१ । इत्यस्मच्छब्दाद्वतुप् । मपर्यन्तस्य प्रत्ययोत्तरपदयोश्च । पा. ७-२-९८ । इति मादेशः । अद्शब्देन सहातो गुणे । पा. ६-१-९७ । इति पररूपत्वम् । दृग्दृशवतुषु । पा. ६-३-८९ । इत्यनुवृत्तावा सर्वनाम्नः । पा. ६-३-९१ । इति दकारस्याकारः । सवर्णदीर्घत्वम् । वतुपः पित्त्वात्प्रातिपदिकस्वर एव शिष्यते । सद्यः । समाने द्यवीत्यर्थे । सद्यः परुत्परार्यैषमः । पा. ५-३-२२ । इत्यादिना निपातितम् । प्रत्ययस्वरेणान्तोदात्तत्वम् । चित् । चादयो ऽनुदात्ताः ॥ सन्ति । अस भुवि । लटः स्थाने झि । झो ऽन्तः । पा. ७-१-३ । आदिप्रभृतिभ्यः शपः । पा. २-४-७२ । इति शपो लुक् । तिङः प्रत्ययाद्युदात्तत्वम् । प्रत्ययलोपे प्रत्ययलक्षणम् । पा. १-१-६२ । इति शबकारमाश्रित्य लसार्वधातुकानुदात्तत्वं न भवति । वर्णाश्रयविधौ प्रत्ययलक्षणं नास्ति । परि. २१ । इति निषेधात् । दाशुषे । गतमन्त्रे गतम् ॥</w:t>
      </w:r>
    </w:p>
    <w:p>
      <w:pPr>
        <w:pStyle w:val="BlockText"/>
      </w:pPr>
      <w:r>
        <w:rPr>
          <w:iCs/>
          <w:i/>
        </w:rPr>
        <w:t xml:space="preserve">he indra te tava vibhūtaya aiśvarya-viśeṣā evā hi evaṃvidhāḥ khalu | kiṃvidhā iti tad ucyate | māvate mat-sadṛśāya dāśuṣe havir dattavate yajamānāyotayas tvadīya-rakṣā-rūpāḥ sadyaś cit santi | yadā karmānuṣṭhitaṃ tadaiva bhavanti || māvate | mat-sadṛśāya | vatup-karaṇe yuṣmad-asmadbhyāṃ chandasi sādṛśya upasaṃkhyānam | pā. 5-2-39-1 | ity asmac-chabdād vatup | mapary-antasya pratyayottarapadayoś ca | pā. 7-2-98 | iti mādeśaḥ | ad-śabdena sahāto guṇe | pā. 6-1-97 | iti pararūpatvam | dṛg-dṛśa-vatuṣu | pā. 6-3-89 | ity anuvṛttāv ā sarvanāmnaḥ | pā. 6-3-91 | iti dakārasyākāraḥ | savarṇa-dīrghatvam | vatupaḥ pittvāt prātipadika-svara eva śiṣyate | sadyaḥ | samāne dyavīty arthe | sadyaḥ parut-parāry-aiṣamaḥ | pā. 5-3-22 | ity-ādinā nipātitam | pratyaya-svareṇāntodāttatvam | cit | cādayo ’nudāttāḥ || santi | asa bhuvi | laṭaḥ sthāne jhi | jho ’ntaḥ | pā. 7-1-3 | ādiprabhṛtibhyaḥ śapaḥ | pā. 2-4-72 | iti śapo luk | tiṅaḥ pratyayādyudāttatvam | pratyaya-lope pratyaya-lakṣaṇam | pā. 1-1-62 | iti śabakāram āśritya lasārvadhātukānudāttatvaṃ na bhavati | varṇāśraya-vidhau pratyaya-lakṣaṇaṃ nāsti | pari. 21 | iti niṣedhāt | dāśuṣe | gatamantre gatam ||</w:t>
      </w:r>
    </w:p>
    <w:p>
      <w:pPr>
        <w:pStyle w:val="FirstParagraph"/>
      </w:pPr>
      <w:r>
        <w:rPr>
          <w:bCs/>
          <w:b/>
        </w:rPr>
        <w:t xml:space="preserve">Translation:</w:t>
      </w:r>
      <w:r>
        <w:t xml:space="preserve"> </w:t>
      </w:r>
      <w:r>
        <w:t xml:space="preserve">“</w:t>
      </w:r>
      <w:r>
        <w:t xml:space="preserve">O Indra! Your</w:t>
      </w:r>
      <w:r>
        <w:t xml:space="preserve"> </w:t>
      </w:r>
      <w:r>
        <w:rPr>
          <w:iCs/>
          <w:i/>
        </w:rPr>
        <w:t xml:space="preserve">vibhūtayaḥ</w:t>
      </w:r>
      <w:r>
        <w:t xml:space="preserve"> </w:t>
      </w:r>
      <w:r>
        <w:t xml:space="preserve">— special powers — are indeed (</w:t>
      </w:r>
      <w:r>
        <w:rPr>
          <w:iCs/>
          <w:i/>
        </w:rPr>
        <w:t xml:space="preserve">evā hi</w:t>
      </w:r>
      <w:r>
        <w:t xml:space="preserve">) of this kind. Of what kind? It is said:</w:t>
      </w:r>
      <w:r>
        <w:t xml:space="preserve"> </w:t>
      </w:r>
      <w:r>
        <w:rPr>
          <w:iCs/>
          <w:i/>
        </w:rPr>
        <w:t xml:space="preserve">māvate</w:t>
      </w:r>
      <w:r>
        <w:t xml:space="preserve"> </w:t>
      </w:r>
      <w:r>
        <w:t xml:space="preserve">— to one like me —</w:t>
      </w:r>
      <w:r>
        <w:t xml:space="preserve"> </w:t>
      </w:r>
      <w:r>
        <w:rPr>
          <w:iCs/>
          <w:i/>
        </w:rPr>
        <w:t xml:space="preserve">dāśuṣe</w:t>
      </w:r>
      <w:r>
        <w:t xml:space="preserve">, the sacrificer who has given the oblation — your</w:t>
      </w:r>
      <w:r>
        <w:t xml:space="preserve"> </w:t>
      </w:r>
      <w:r>
        <w:rPr>
          <w:iCs/>
          <w:i/>
        </w:rPr>
        <w:t xml:space="preserve">ūtayaḥ</w:t>
      </w:r>
      <w:r>
        <w:t xml:space="preserve">, protections —</w:t>
      </w:r>
      <w:r>
        <w:t xml:space="preserve"> </w:t>
      </w:r>
      <w:r>
        <w:rPr>
          <w:iCs/>
          <w:i/>
        </w:rPr>
        <w:t xml:space="preserve">santi</w:t>
      </w:r>
      <w:r>
        <w:t xml:space="preserve"> </w:t>
      </w:r>
      <w:r>
        <w:t xml:space="preserve">exist</w:t>
      </w:r>
      <w:r>
        <w:t xml:space="preserve"> </w:t>
      </w:r>
      <w:r>
        <w:rPr>
          <w:iCs/>
          <w:i/>
        </w:rPr>
        <w:t xml:space="preserve">sadyaś cit</w:t>
      </w:r>
      <w:r>
        <w:t xml:space="preserve">, at once: they exist at the very moment the rite is performed.</w:t>
      </w:r>
      <w:r>
        <w:t xml:space="preserve">”</w:t>
      </w:r>
      <w:r>
        <w:t xml:space="preserve"> </w:t>
      </w:r>
      <w:r>
        <w:t xml:space="preserve">The grammatical remainder of the Sanskrit explains:</w:t>
      </w:r>
      <w:r>
        <w:t xml:space="preserve"> </w:t>
      </w:r>
      <w:r>
        <w:rPr>
          <w:iCs/>
          <w:i/>
        </w:rPr>
        <w:t xml:space="preserve">māvate</w:t>
      </w:r>
      <w:r>
        <w:t xml:space="preserve"> </w:t>
      </w:r>
      <w:r>
        <w:t xml:space="preserve">— by the</w:t>
      </w:r>
      <w:r>
        <w:t xml:space="preserve"> </w:t>
      </w:r>
      <w:r>
        <w:rPr>
          <w:iCs/>
          <w:i/>
        </w:rPr>
        <w:t xml:space="preserve">vārttika</w:t>
      </w:r>
      <w:r>
        <w:t xml:space="preserve"> </w:t>
      </w:r>
      <w:r>
        <w:t xml:space="preserve">on</w:t>
      </w:r>
      <w:r>
        <w:t xml:space="preserve"> </w:t>
      </w:r>
      <w:r>
        <w:rPr>
          <w:iCs/>
          <w:i/>
        </w:rPr>
        <w:t xml:space="preserve">vatup</w:t>
      </w:r>
      <w:r>
        <w:t xml:space="preserve"> </w:t>
      </w:r>
      <w:r>
        <w:t xml:space="preserve">after</w:t>
      </w:r>
      <w:r>
        <w:t xml:space="preserve"> </w:t>
      </w:r>
      <w:r>
        <w:rPr>
          <w:iCs/>
          <w:i/>
        </w:rPr>
        <w:t xml:space="preserve">yuṣmad</w:t>
      </w:r>
      <w:r>
        <w:t xml:space="preserve"> </w:t>
      </w:r>
      <w:r>
        <w:t xml:space="preserve">/</w:t>
      </w:r>
      <w:r>
        <w:t xml:space="preserve"> </w:t>
      </w:r>
      <w:r>
        <w:rPr>
          <w:iCs/>
          <w:i/>
        </w:rPr>
        <w:t xml:space="preserve">asmad</w:t>
      </w:r>
      <w:r>
        <w:t xml:space="preserve"> </w:t>
      </w:r>
      <w:r>
        <w:t xml:space="preserve">in the Veda in the sense of resemblance (Pā. 5-2-39 vā. 1), the suffix</w:t>
      </w:r>
      <w:r>
        <w:t xml:space="preserve"> </w:t>
      </w:r>
      <w:r>
        <w:rPr>
          <w:iCs/>
          <w:i/>
        </w:rPr>
        <w:t xml:space="preserve">vatup</w:t>
      </w:r>
      <w:r>
        <w:t xml:space="preserve"> </w:t>
      </w:r>
      <w:r>
        <w:t xml:space="preserve">comes after</w:t>
      </w:r>
      <w:r>
        <w:t xml:space="preserve"> </w:t>
      </w:r>
      <w:r>
        <w:rPr>
          <w:iCs/>
          <w:i/>
        </w:rPr>
        <w:t xml:space="preserve">asmad</w:t>
      </w:r>
      <w:r>
        <w:t xml:space="preserve">;</w:t>
      </w:r>
      <w:r>
        <w:t xml:space="preserve"> </w:t>
      </w:r>
      <w:r>
        <w:rPr>
          <w:iCs/>
          <w:i/>
        </w:rPr>
        <w:t xml:space="preserve">ma</w:t>
      </w:r>
      <w:r>
        <w:t xml:space="preserve"> </w:t>
      </w:r>
      <w:r>
        <w:t xml:space="preserve">replaces the end of the stem (Pā. 7-2-98);</w:t>
      </w:r>
      <w:r>
        <w:t xml:space="preserve"> </w:t>
      </w:r>
      <w:r>
        <w:rPr>
          <w:iCs/>
          <w:i/>
        </w:rPr>
        <w:t xml:space="preserve">pararūpa</w:t>
      </w:r>
      <w:r>
        <w:t xml:space="preserve"> </w:t>
      </w:r>
      <w:r>
        <w:t xml:space="preserve">of the</w:t>
      </w:r>
      <w:r>
        <w:t xml:space="preserve"> </w:t>
      </w:r>
      <w:r>
        <w:t xml:space="preserve">“</w:t>
      </w:r>
      <w:r>
        <w:t xml:space="preserve">a</w:t>
      </w:r>
      <w:r>
        <w:t xml:space="preserve">”</w:t>
      </w:r>
      <w:r>
        <w:t xml:space="preserve"> </w:t>
      </w:r>
      <w:r>
        <w:t xml:space="preserve">with</w:t>
      </w:r>
      <w:r>
        <w:t xml:space="preserve"> </w:t>
      </w:r>
      <w:r>
        <w:t xml:space="preserve">“</w:t>
      </w:r>
      <w:r>
        <w:t xml:space="preserve">ad</w:t>
      </w:r>
      <w:r>
        <w:t xml:space="preserve">”</w:t>
      </w:r>
      <w:r>
        <w:t xml:space="preserve"> </w:t>
      </w:r>
      <w:r>
        <w:t xml:space="preserve">(Pā. 6-1-97); the</w:t>
      </w:r>
      <w:r>
        <w:t xml:space="preserve"> </w:t>
      </w:r>
      <w:r>
        <w:rPr>
          <w:iCs/>
          <w:i/>
        </w:rPr>
        <w:t xml:space="preserve">d</w:t>
      </w:r>
      <w:r>
        <w:t xml:space="preserve"> </w:t>
      </w:r>
      <w:r>
        <w:t xml:space="preserve">becomes</w:t>
      </w:r>
      <w:r>
        <w:t xml:space="preserve"> </w:t>
      </w:r>
      <w:r>
        <w:rPr>
          <w:iCs/>
          <w:i/>
        </w:rPr>
        <w:t xml:space="preserve">ā</w:t>
      </w:r>
      <w:r>
        <w:t xml:space="preserve"> </w:t>
      </w:r>
      <w:r>
        <w:t xml:space="preserve">by</w:t>
      </w:r>
      <w:r>
        <w:t xml:space="preserve"> </w:t>
      </w:r>
      <w:r>
        <w:t xml:space="preserve">“</w:t>
      </w:r>
      <w:r>
        <w:t xml:space="preserve">ā sarvanāmnaḥ</w:t>
      </w:r>
      <w:r>
        <w:t xml:space="preserve">”</w:t>
      </w:r>
      <w:r>
        <w:t xml:space="preserve"> </w:t>
      </w:r>
      <w:r>
        <w:t xml:space="preserve">(Pā. 6-3-91);</w:t>
      </w:r>
      <w:r>
        <w:t xml:space="preserve"> </w:t>
      </w:r>
      <w:r>
        <w:rPr>
          <w:iCs/>
          <w:i/>
        </w:rPr>
        <w:t xml:space="preserve">savarṇa-dīrgha</w:t>
      </w:r>
      <w:r>
        <w:t xml:space="preserve">;</w:t>
      </w:r>
      <w:r>
        <w:t xml:space="preserve"> </w:t>
      </w:r>
      <w:r>
        <w:rPr>
          <w:iCs/>
          <w:i/>
        </w:rPr>
        <w:t xml:space="preserve">vatup</w:t>
      </w:r>
      <w:r>
        <w:t xml:space="preserve"> </w:t>
      </w:r>
      <w:r>
        <w:t xml:space="preserve">is</w:t>
      </w:r>
      <w:r>
        <w:t xml:space="preserve"> </w:t>
      </w:r>
      <w:r>
        <w:rPr>
          <w:iCs/>
          <w:i/>
        </w:rPr>
        <w:t xml:space="preserve">pit</w:t>
      </w:r>
      <w:r>
        <w:t xml:space="preserve">, so the base accent stands.</w:t>
      </w:r>
      <w:r>
        <w:t xml:space="preserve"> </w:t>
      </w:r>
      <w:r>
        <w:rPr>
          <w:iCs/>
          <w:i/>
        </w:rPr>
        <w:t xml:space="preserve">Sadyaḥ</w:t>
      </w:r>
      <w:r>
        <w:t xml:space="preserve"> </w:t>
      </w:r>
      <w:r>
        <w:t xml:space="preserve">— formed irregularly (</w:t>
      </w:r>
      <w:r>
        <w:rPr>
          <w:iCs/>
          <w:i/>
        </w:rPr>
        <w:t xml:space="preserve">nipātita</w:t>
      </w:r>
      <w:r>
        <w:t xml:space="preserve">) in the sense</w:t>
      </w:r>
      <w:r>
        <w:t xml:space="preserve"> </w:t>
      </w:r>
      <w:r>
        <w:rPr>
          <w:iCs/>
          <w:i/>
        </w:rPr>
        <w:t xml:space="preserve">samāne dyavi</w:t>
      </w:r>
      <w:r>
        <w:t xml:space="preserve"> </w:t>
      </w:r>
      <w:r>
        <w:t xml:space="preserve">(</w:t>
      </w:r>
      <w:r>
        <w:t xml:space="preserve">“</w:t>
      </w:r>
      <w:r>
        <w:t xml:space="preserve">on the same day</w:t>
      </w:r>
      <w:r>
        <w:t xml:space="preserve">”</w:t>
      </w:r>
      <w:r>
        <w:t xml:space="preserve">) by Pā. 5-3-22 and its class; final-udātta by the suffix;</w:t>
      </w:r>
      <w:r>
        <w:t xml:space="preserve"> </w:t>
      </w:r>
      <w:r>
        <w:rPr>
          <w:iCs/>
          <w:i/>
        </w:rPr>
        <w:t xml:space="preserve">cit</w:t>
      </w:r>
      <w:r>
        <w:t xml:space="preserve"> </w:t>
      </w:r>
      <w:r>
        <w:t xml:space="preserve">is unaccented (</w:t>
      </w:r>
      <w:r>
        <w:rPr>
          <w:iCs/>
          <w:i/>
        </w:rPr>
        <w:t xml:space="preserve">cādayo ’nudāttāḥ</w:t>
      </w:r>
      <w:r>
        <w:t xml:space="preserve">).</w:t>
      </w:r>
      <w:r>
        <w:t xml:space="preserve"> </w:t>
      </w:r>
      <w:r>
        <w:rPr>
          <w:iCs/>
          <w:i/>
        </w:rPr>
        <w:t xml:space="preserve">Santi</w:t>
      </w:r>
      <w:r>
        <w:t xml:space="preserve"> </w:t>
      </w:r>
      <w:r>
        <w:t xml:space="preserve">— root</w:t>
      </w:r>
      <w:r>
        <w:t xml:space="preserve"> </w:t>
      </w:r>
      <w:r>
        <w:rPr>
          <w:iCs/>
          <w:i/>
        </w:rPr>
        <w:t xml:space="preserve">as bhuvi</w:t>
      </w:r>
      <w:r>
        <w:t xml:space="preserve">,</w:t>
      </w:r>
      <w:r>
        <w:t xml:space="preserve"> </w:t>
      </w:r>
      <w:r>
        <w:rPr>
          <w:iCs/>
          <w:i/>
        </w:rPr>
        <w:t xml:space="preserve">jhi</w:t>
      </w:r>
      <w:r>
        <w:t xml:space="preserve"> </w:t>
      </w:r>
      <w:r>
        <w:t xml:space="preserve">for</w:t>
      </w:r>
      <w:r>
        <w:t xml:space="preserve"> </w:t>
      </w:r>
      <w:r>
        <w:rPr>
          <w:iCs/>
          <w:i/>
        </w:rPr>
        <w:t xml:space="preserve">laṭ</w:t>
      </w:r>
      <w:r>
        <w:t xml:space="preserve">,</w:t>
      </w:r>
      <w:r>
        <w:t xml:space="preserve"> </w:t>
      </w:r>
      <w:r>
        <w:rPr>
          <w:iCs/>
          <w:i/>
        </w:rPr>
        <w:t xml:space="preserve">jh</w:t>
      </w:r>
      <w:r>
        <w:t xml:space="preserve"> </w:t>
      </w:r>
      <w:r>
        <w:t xml:space="preserve">→</w:t>
      </w:r>
      <w:r>
        <w:t xml:space="preserve"> </w:t>
      </w:r>
      <w:r>
        <w:rPr>
          <w:iCs/>
          <w:i/>
        </w:rPr>
        <w:t xml:space="preserve">ant</w:t>
      </w:r>
      <w:r>
        <w:t xml:space="preserve"> </w:t>
      </w:r>
      <w:r>
        <w:t xml:space="preserve">(Pā. 7-1-3),</w:t>
      </w:r>
      <w:r>
        <w:t xml:space="preserve"> </w:t>
      </w:r>
      <w:r>
        <w:rPr>
          <w:iCs/>
          <w:i/>
        </w:rPr>
        <w:t xml:space="preserve">śap</w:t>
      </w:r>
      <w:r>
        <w:t xml:space="preserve"> </w:t>
      </w:r>
      <w:r>
        <w:t xml:space="preserve">dropped (Pā. 2-4-72); the</w:t>
      </w:r>
      <w:r>
        <w:t xml:space="preserve"> </w:t>
      </w:r>
      <w:r>
        <w:t xml:space="preserve">“</w:t>
      </w:r>
      <w:r>
        <w:t xml:space="preserve">tiṅ</w:t>
      </w:r>
      <w:r>
        <w:t xml:space="preserve">”</w:t>
      </w:r>
      <w:r>
        <w:t xml:space="preserve"> </w:t>
      </w:r>
      <w:r>
        <w:t xml:space="preserve">is first-syllable acute by the affix accent; the lasārvadhātuka unaccentedness, which would come by</w:t>
      </w:r>
      <w:r>
        <w:t xml:space="preserve"> </w:t>
      </w:r>
      <w:r>
        <w:rPr>
          <w:iCs/>
          <w:i/>
        </w:rPr>
        <w:t xml:space="preserve">pratyaya-lakṣaṇa</w:t>
      </w:r>
      <w:r>
        <w:t xml:space="preserve"> </w:t>
      </w:r>
      <w:r>
        <w:t xml:space="preserve">(Pā. 1-1-62) through the</w:t>
      </w:r>
      <w:r>
        <w:t xml:space="preserve"> </w:t>
      </w:r>
      <w:r>
        <w:t xml:space="preserve">“</w:t>
      </w:r>
      <w:r>
        <w:t xml:space="preserve">a</w:t>
      </w:r>
      <w:r>
        <w:t xml:space="preserve">”</w:t>
      </w:r>
      <w:r>
        <w:t xml:space="preserve"> </w:t>
      </w:r>
      <w:r>
        <w:t xml:space="preserve">of the elided</w:t>
      </w:r>
      <w:r>
        <w:t xml:space="preserve"> </w:t>
      </w:r>
      <w:r>
        <w:t xml:space="preserve">“</w:t>
      </w:r>
      <w:r>
        <w:t xml:space="preserve">śap,</w:t>
      </w:r>
      <w:r>
        <w:t xml:space="preserve">”</w:t>
      </w:r>
      <w:r>
        <w:t xml:space="preserve"> </w:t>
      </w:r>
      <w:r>
        <w:t xml:space="preserve">does not, by the paribhāṣā (pari. 21) that it does not govern a rule based on letters (</w:t>
      </w:r>
      <w:r>
        <w:rPr>
          <w:iCs/>
          <w:i/>
        </w:rPr>
        <w:t xml:space="preserve">varṇāśraya</w:t>
      </w:r>
      <w:r>
        <w:t xml:space="preserve">);</w:t>
      </w:r>
      <w:r>
        <w:t xml:space="preserve"> </w:t>
      </w:r>
      <w:r>
        <w:rPr>
          <w:iCs/>
          <w:i/>
        </w:rPr>
        <w:t xml:space="preserve">dāśuṣe</w:t>
      </w:r>
      <w:r>
        <w:t xml:space="preserve"> </w:t>
      </w:r>
      <w:r>
        <w:t xml:space="preserve">—</w:t>
      </w:r>
      <w:r>
        <w:t xml:space="preserve"> </w:t>
      </w:r>
      <w:r>
        <w:t xml:space="preserve">“</w:t>
      </w:r>
      <w:r>
        <w:t xml:space="preserve">gone [explained] under the earlier mantra.</w:t>
      </w:r>
      <w:r>
        <w:t xml:space="preserve">”</w:t>
      </w:r>
    </w:p>
    <w:bookmarkEnd w:id="364"/>
    <w:bookmarkStart w:id="365" w:name="X82856fcd65f301707bad6883f09b35a7675ddcd"/>
    <w:p>
      <w:pPr>
        <w:pStyle w:val="Heading3"/>
      </w:pPr>
      <w:r>
        <w:t xml:space="preserve">Page 337 — Rik 9: word-meanings, overall sense, English, Special Topics</w:t>
      </w:r>
    </w:p>
    <w:p>
      <w:pPr>
        <w:pStyle w:val="FirstParagraph"/>
      </w:pPr>
      <w:r>
        <w:rPr>
          <w:iCs/>
          <w:i/>
        </w:rPr>
        <w:t xml:space="preserve">(Page header:</w:t>
      </w:r>
      <w:r>
        <w:rPr>
          <w:iCs/>
          <w:i/>
        </w:rPr>
        <w:t xml:space="preserve"> </w:t>
      </w:r>
      <w:r>
        <w:rPr>
          <w:iCs/>
          <w:i/>
        </w:rPr>
        <w:t xml:space="preserve">“</w:t>
      </w:r>
      <w:r>
        <w:rPr>
          <w:iCs/>
          <w:i/>
        </w:rPr>
        <w:t xml:space="preserve">A. 1, A. 1, Va. 16.</w:t>
      </w:r>
      <w:r>
        <w:rPr>
          <w:iCs/>
          <w:i/>
        </w:rPr>
        <w:t xml:space="preserve">”</w:t>
      </w:r>
      <w:r>
        <w:rPr>
          <w:iCs/>
          <w:i/>
        </w:rPr>
        <w:t xml:space="preserve"> </w:t>
      </w:r>
      <w:r>
        <w:rPr>
          <w:iCs/>
          <w:i/>
        </w:rPr>
        <w:t xml:space="preserve">The top of the page ends the Bhāṣya’s grammar, given under p. 336.)</w:t>
      </w:r>
    </w:p>
    <w:p>
      <w:pPr>
        <w:pStyle w:val="BodyText"/>
      </w:pPr>
      <w:r>
        <w:rPr>
          <w:bCs/>
          <w:b/>
        </w:rPr>
        <w:t xml:space="preserve">॥ Prati-padārthaḥ ॥</w:t>
      </w:r>
    </w:p>
    <w:p>
      <w:pPr>
        <w:pStyle w:val="BodyText"/>
      </w:pPr>
      <w:r>
        <w:rPr>
          <w:bCs/>
          <w:b/>
        </w:rPr>
        <w:t xml:space="preserve">(हे) इन्द्र ((he) indra)</w:t>
      </w:r>
      <w:r>
        <w:t xml:space="preserve"> </w:t>
      </w:r>
      <w:r>
        <w:t xml:space="preserve">— O Indra |</w:t>
      </w:r>
      <w:r>
        <w:t xml:space="preserve"> </w:t>
      </w:r>
      <w:r>
        <w:rPr>
          <w:bCs/>
          <w:b/>
        </w:rPr>
        <w:t xml:space="preserve">ते (te)</w:t>
      </w:r>
      <w:r>
        <w:t xml:space="preserve"> </w:t>
      </w:r>
      <w:r>
        <w:t xml:space="preserve">— your |</w:t>
      </w:r>
      <w:r>
        <w:t xml:space="preserve"> </w:t>
      </w:r>
      <w:r>
        <w:rPr>
          <w:bCs/>
          <w:b/>
        </w:rPr>
        <w:t xml:space="preserve">विभूतयः (vibhūtayaḥ)</w:t>
      </w:r>
      <w:r>
        <w:t xml:space="preserve"> </w:t>
      </w:r>
      <w:r>
        <w:t xml:space="preserve">— special glories |</w:t>
      </w:r>
      <w:r>
        <w:t xml:space="preserve"> </w:t>
      </w:r>
      <w:r>
        <w:rPr>
          <w:bCs/>
          <w:b/>
        </w:rPr>
        <w:t xml:space="preserve">एवा हि (evā hi)</w:t>
      </w:r>
      <w:r>
        <w:t xml:space="preserve"> </w:t>
      </w:r>
      <w:r>
        <w:t xml:space="preserve">— are of this kind (that is) |</w:t>
      </w:r>
      <w:r>
        <w:t xml:space="preserve"> </w:t>
      </w:r>
      <w:r>
        <w:rPr>
          <w:bCs/>
          <w:b/>
        </w:rPr>
        <w:t xml:space="preserve">मावते (māvate)</w:t>
      </w:r>
      <w:r>
        <w:t xml:space="preserve"> </w:t>
      </w:r>
      <w:r>
        <w:t xml:space="preserve">— to one like me |</w:t>
      </w:r>
      <w:r>
        <w:t xml:space="preserve"> </w:t>
      </w:r>
      <w:r>
        <w:rPr>
          <w:bCs/>
          <w:b/>
        </w:rPr>
        <w:t xml:space="preserve">दाशुषे (dāśuṣe)</w:t>
      </w:r>
      <w:r>
        <w:t xml:space="preserve"> </w:t>
      </w:r>
      <w:r>
        <w:t xml:space="preserve">— to the sacrificer who offers the oblation | (your glories are)</w:t>
      </w:r>
      <w:r>
        <w:t xml:space="preserve"> </w:t>
      </w:r>
      <w:r>
        <w:rPr>
          <w:bCs/>
          <w:b/>
        </w:rPr>
        <w:t xml:space="preserve">ऊतयः (ūtayaḥ)</w:t>
      </w:r>
      <w:r>
        <w:t xml:space="preserve"> </w:t>
      </w:r>
      <w:r>
        <w:t xml:space="preserve">— in the form of protections |</w:t>
      </w:r>
      <w:r>
        <w:t xml:space="preserve"> </w:t>
      </w:r>
      <w:r>
        <w:rPr>
          <w:bCs/>
          <w:b/>
        </w:rPr>
        <w:t xml:space="preserve">सद्यश्चित् सन्ति (sadyaś cit santi)</w:t>
      </w:r>
      <w:r>
        <w:t xml:space="preserve"> </w:t>
      </w:r>
      <w:r>
        <w:t xml:space="preserve">— they are at once present.</w:t>
      </w:r>
    </w:p>
    <w:p>
      <w:pPr>
        <w:pStyle w:val="BodyText"/>
      </w:pPr>
      <w:r>
        <w:rPr>
          <w:bCs/>
          <w:b/>
        </w:rPr>
        <w:t xml:space="preserve">॥ Bhāvārthaḥ ॥</w:t>
      </w:r>
    </w:p>
    <w:p>
      <w:pPr>
        <w:pStyle w:val="BodyText"/>
      </w:pPr>
      <w:r>
        <w:t xml:space="preserve">O Indra! The protections you give to a sacrificer like me who offers the oblation are endowed with this kind of greatness: they arrive at the very time we are performing the rite. This very greatness is your special glory.</w:t>
      </w:r>
    </w:p>
    <w:p>
      <w:pPr>
        <w:pStyle w:val="BodyText"/>
      </w:pPr>
      <w:r>
        <w:rPr>
          <w:bCs/>
          <w:b/>
        </w:rPr>
        <w:t xml:space="preserve">॥ English Translation ॥</w:t>
      </w:r>
      <w:r>
        <w:t xml:space="preserve"> </w:t>
      </w:r>
      <w:r>
        <w:rPr>
          <w:iCs/>
          <w:i/>
        </w:rPr>
        <w:t xml:space="preserve">(as printed in the source)</w:t>
      </w:r>
    </w:p>
    <w:p>
      <w:pPr>
        <w:pStyle w:val="BlockText"/>
      </w:pPr>
      <w:r>
        <w:t xml:space="preserve">Verily, Indra, your glories are at all times (at once) the protectors of every such worshipper as I am.</w:t>
      </w:r>
    </w:p>
    <w:p>
      <w:pPr>
        <w:pStyle w:val="FirstParagraph"/>
      </w:pPr>
      <w:r>
        <w:rPr>
          <w:bCs/>
          <w:b/>
        </w:rPr>
        <w:t xml:space="preserve">॥ Viśeṣa-viṣayagaḷu (Special Topics) ॥</w:t>
      </w:r>
    </w:p>
    <w:p>
      <w:pPr>
        <w:pStyle w:val="BodyText"/>
      </w:pPr>
      <w:r>
        <w:t xml:space="preserve">O Indra! You always protect people like us. And in particular, to the sacrificer who offers the oblation, your protection comes at once, while the sacrifice is being performed. Is not this your glory? That is the chief idea.</w:t>
      </w:r>
    </w:p>
    <w:p>
      <w:pPr>
        <w:pStyle w:val="BodyText"/>
      </w:pPr>
      <w:r>
        <w:rPr>
          <w:bCs/>
          <w:b/>
        </w:rPr>
        <w:t xml:space="preserve">“</w:t>
      </w:r>
      <w:r>
        <w:rPr>
          <w:bCs/>
          <w:b/>
        </w:rPr>
        <w:t xml:space="preserve">Evā</w:t>
      </w:r>
      <w:r>
        <w:rPr>
          <w:bCs/>
          <w:b/>
        </w:rPr>
        <w:t xml:space="preserve">”</w:t>
      </w:r>
      <w:r>
        <w:t xml:space="preserve"> </w:t>
      </w:r>
      <w:r>
        <w:t xml:space="preserve">— for the convenience of the meter, the syllable</w:t>
      </w:r>
      <w:r>
        <w:t xml:space="preserve"> </w:t>
      </w:r>
      <w:r>
        <w:rPr>
          <w:iCs/>
          <w:i/>
        </w:rPr>
        <w:t xml:space="preserve">va</w:t>
      </w:r>
      <w:r>
        <w:t xml:space="preserve"> </w:t>
      </w:r>
      <w:r>
        <w:t xml:space="preserve">is lengthened (</w:t>
      </w:r>
      <w:r>
        <w:rPr>
          <w:iCs/>
          <w:i/>
        </w:rPr>
        <w:t xml:space="preserve">evā</w:t>
      </w:r>
      <w:r>
        <w:t xml:space="preserve">).</w:t>
      </w:r>
    </w:p>
    <w:p>
      <w:pPr>
        <w:pStyle w:val="BodyText"/>
      </w:pPr>
      <w:r>
        <w:rPr>
          <w:bCs/>
          <w:b/>
        </w:rPr>
        <w:t xml:space="preserve">“</w:t>
      </w:r>
      <w:r>
        <w:rPr>
          <w:bCs/>
          <w:b/>
        </w:rPr>
        <w:t xml:space="preserve">Māvate</w:t>
      </w:r>
      <w:r>
        <w:rPr>
          <w:bCs/>
          <w:b/>
        </w:rPr>
        <w:t xml:space="preserve">”</w:t>
      </w:r>
      <w:r>
        <w:t xml:space="preserve"> </w:t>
      </w:r>
      <w:r>
        <w:t xml:space="preserve">—</w:t>
      </w:r>
      <w:r>
        <w:t xml:space="preserve"> </w:t>
      </w:r>
      <w:r>
        <w:rPr>
          <w:bCs/>
          <w:b/>
        </w:rPr>
        <w:t xml:space="preserve">मत्सदृशाय</w:t>
      </w:r>
      <w:r>
        <w:t xml:space="preserve"> </w:t>
      </w:r>
      <w:r>
        <w:t xml:space="preserve">(</w:t>
      </w:r>
      <w:r>
        <w:rPr>
          <w:iCs/>
          <w:i/>
        </w:rPr>
        <w:t xml:space="preserve">mat-sadṛśāya</w:t>
      </w:r>
      <w:r>
        <w:t xml:space="preserve">) —</w:t>
      </w:r>
      <w:r>
        <w:t xml:space="preserve"> </w:t>
      </w:r>
      <w:r>
        <w:t xml:space="preserve">“</w:t>
      </w:r>
      <w:r>
        <w:t xml:space="preserve">like me; one equal to me.</w:t>
      </w:r>
      <w:r>
        <w:t xml:space="preserve">”</w:t>
      </w:r>
    </w:p>
    <w:p>
      <w:pPr>
        <w:pStyle w:val="BodyText"/>
      </w:pPr>
      <w:r>
        <w:rPr>
          <w:bCs/>
          <w:b/>
        </w:rPr>
        <w:t xml:space="preserve">“</w:t>
      </w:r>
      <w:r>
        <w:rPr>
          <w:bCs/>
          <w:b/>
        </w:rPr>
        <w:t xml:space="preserve">Sadyaścit</w:t>
      </w:r>
      <w:r>
        <w:rPr>
          <w:bCs/>
          <w:b/>
        </w:rPr>
        <w:t xml:space="preserve">”</w:t>
      </w:r>
      <w:r>
        <w:t xml:space="preserve"> </w:t>
      </w:r>
      <w:r>
        <w:t xml:space="preserve">— immediately, at once, on the spot, without delay.</w:t>
      </w:r>
    </w:p>
    <w:bookmarkEnd w:id="365"/>
    <w:bookmarkStart w:id="366" w:name="page-338-rik-9-grammar"/>
    <w:p>
      <w:pPr>
        <w:pStyle w:val="Heading3"/>
      </w:pPr>
      <w:r>
        <w:t xml:space="preserve">Page 338 — Rik 9: grammar</w:t>
      </w:r>
    </w:p>
    <w:p>
      <w:pPr>
        <w:pStyle w:val="FirstParagraph"/>
      </w:pPr>
      <w:r>
        <w:rPr>
          <w:bCs/>
          <w:b/>
        </w:rPr>
        <w:t xml:space="preserve">॥ Vyākaraṇa-prakriyā ॥</w:t>
      </w:r>
      <w:r>
        <w:t xml:space="preserve"> </w:t>
      </w:r>
      <w:r>
        <w:rPr>
          <w:iCs/>
          <w:i/>
        </w:rPr>
        <w:t xml:space="preserve">(pp. 338–339, Kannada; characterized, numbers as printed)</w:t>
      </w:r>
    </w:p>
    <w:p>
      <w:pPr>
        <w:pStyle w:val="BodyText"/>
      </w:pPr>
      <w:r>
        <w:rPr>
          <w:bCs/>
          <w:b/>
        </w:rPr>
        <w:t xml:space="preserve">मावते</w:t>
      </w:r>
      <w:r>
        <w:t xml:space="preserve"> </w:t>
      </w:r>
      <w:r>
        <w:t xml:space="preserve">—</w:t>
      </w:r>
      <w:r>
        <w:t xml:space="preserve"> </w:t>
      </w:r>
      <w:r>
        <w:t xml:space="preserve">“</w:t>
      </w:r>
      <w:r>
        <w:t xml:space="preserve">mat-sadṛśāya,</w:t>
      </w:r>
      <w:r>
        <w:t xml:space="preserve">”</w:t>
      </w:r>
      <w:r>
        <w:t xml:space="preserve"> </w:t>
      </w:r>
      <w:r>
        <w:t xml:space="preserve">like me. Under</w:t>
      </w:r>
      <w:r>
        <w:t xml:space="preserve"> </w:t>
      </w:r>
      <w:r>
        <w:rPr>
          <w:bCs/>
          <w:b/>
        </w:rPr>
        <w:t xml:space="preserve">यत्तदेतेभ्यः परिमाणे वतुप्</w:t>
      </w:r>
      <w:r>
        <w:t xml:space="preserve"> </w:t>
      </w:r>
      <w:r>
        <w:t xml:space="preserve">(पा. सू.</w:t>
      </w:r>
      <w:r>
        <w:t xml:space="preserve"> </w:t>
      </w:r>
      <w:r>
        <w:t xml:space="preserve">“</w:t>
      </w:r>
      <w:r>
        <w:t xml:space="preserve">५-२-९</w:t>
      </w:r>
      <w:r>
        <w:t xml:space="preserve">”</w:t>
      </w:r>
      <w:r>
        <w:t xml:space="preserve"> </w:t>
      </w:r>
      <w:r>
        <w:t xml:space="preserve">as printed, i.e. 5-2-39) the vārttika</w:t>
      </w:r>
      <w:r>
        <w:t xml:space="preserve"> </w:t>
      </w:r>
      <w:r>
        <w:rPr>
          <w:bCs/>
          <w:b/>
        </w:rPr>
        <w:t xml:space="preserve">वतुप्प्रकरणे युष्मदस्मद्भ्यां छन्दसि सादृश्य उपसंख्यानम्</w:t>
      </w:r>
      <w:r>
        <w:t xml:space="preserve"> </w:t>
      </w:r>
      <w:r>
        <w:t xml:space="preserve">(पा. सू. ५-२-३९-१): in the</w:t>
      </w:r>
      <w:r>
        <w:t xml:space="preserve"> </w:t>
      </w:r>
      <w:r>
        <w:t xml:space="preserve">“</w:t>
      </w:r>
      <w:r>
        <w:t xml:space="preserve">vatup</w:t>
      </w:r>
      <w:r>
        <w:t xml:space="preserve">”</w:t>
      </w:r>
      <w:r>
        <w:t xml:space="preserve"> </w:t>
      </w:r>
      <w:r>
        <w:t xml:space="preserve">section, after</w:t>
      </w:r>
      <w:r>
        <w:t xml:space="preserve"> </w:t>
      </w:r>
      <w:r>
        <w:t xml:space="preserve">“</w:t>
      </w:r>
      <w:r>
        <w:t xml:space="preserve">yuṣmad, asmad</w:t>
      </w:r>
      <w:r>
        <w:t xml:space="preserve">”</w:t>
      </w:r>
      <w:r>
        <w:t xml:space="preserve"> </w:t>
      </w:r>
      <w:r>
        <w:t xml:space="preserve">in the Veda</w:t>
      </w:r>
      <w:r>
        <w:t xml:space="preserve"> </w:t>
      </w:r>
      <w:r>
        <w:t xml:space="preserve">“</w:t>
      </w:r>
      <w:r>
        <w:t xml:space="preserve">vatup</w:t>
      </w:r>
      <w:r>
        <w:t xml:space="preserve">”</w:t>
      </w:r>
      <w:r>
        <w:t xml:space="preserve"> </w:t>
      </w:r>
      <w:r>
        <w:t xml:space="preserve">in the sense of likeness:</w:t>
      </w:r>
      <w:r>
        <w:t xml:space="preserve"> </w:t>
      </w:r>
      <w:r>
        <w:t xml:space="preserve">“</w:t>
      </w:r>
      <w:r>
        <w:t xml:space="preserve">asmad + vatup</w:t>
      </w:r>
      <w:r>
        <w:t xml:space="preserve">”</w:t>
      </w:r>
      <w:r>
        <w:t xml:space="preserve">;</w:t>
      </w:r>
      <w:r>
        <w:t xml:space="preserve"> </w:t>
      </w:r>
      <w:r>
        <w:rPr>
          <w:bCs/>
          <w:b/>
        </w:rPr>
        <w:t xml:space="preserve">प्रत्ययोत्तरपदयोश्च</w:t>
      </w:r>
      <w:r>
        <w:t xml:space="preserve"> </w:t>
      </w:r>
      <w:r>
        <w:t xml:space="preserve">(पा. सू. ७-२-९८)</w:t>
      </w:r>
      <w:r>
        <w:t xml:space="preserve"> </w:t>
      </w:r>
      <w:r>
        <w:t xml:space="preserve">“</w:t>
      </w:r>
      <w:r>
        <w:t xml:space="preserve">ma</w:t>
      </w:r>
      <w:r>
        <w:t xml:space="preserve">”</w:t>
      </w:r>
      <w:r>
        <w:t xml:space="preserve"> </w:t>
      </w:r>
      <w:r>
        <w:t xml:space="preserve">for</w:t>
      </w:r>
      <w:r>
        <w:t xml:space="preserve"> </w:t>
      </w:r>
      <w:r>
        <w:t xml:space="preserve">“</w:t>
      </w:r>
      <w:r>
        <w:t xml:space="preserve">asma</w:t>
      </w:r>
      <w:r>
        <w:t xml:space="preserve">”</w:t>
      </w:r>
      <w:r>
        <w:t xml:space="preserve">:</w:t>
      </w:r>
      <w:r>
        <w:t xml:space="preserve"> </w:t>
      </w:r>
      <w:r>
        <w:t xml:space="preserve">“</w:t>
      </w:r>
      <w:r>
        <w:t xml:space="preserve">ma + ad + vatup</w:t>
      </w:r>
      <w:r>
        <w:t xml:space="preserve">”</w:t>
      </w:r>
      <w:r>
        <w:t xml:space="preserve">;</w:t>
      </w:r>
      <w:r>
        <w:t xml:space="preserve"> </w:t>
      </w:r>
      <w:r>
        <w:rPr>
          <w:bCs/>
          <w:b/>
        </w:rPr>
        <w:t xml:space="preserve">अतो गुणे</w:t>
      </w:r>
      <w:r>
        <w:t xml:space="preserve"> </w:t>
      </w:r>
      <w:r>
        <w:t xml:space="preserve">(पा. सू. ६-१-९७) the later form:</w:t>
      </w:r>
      <w:r>
        <w:t xml:space="preserve"> </w:t>
      </w:r>
      <w:r>
        <w:t xml:space="preserve">“</w:t>
      </w:r>
      <w:r>
        <w:t xml:space="preserve">mad + vatup</w:t>
      </w:r>
      <w:r>
        <w:t xml:space="preserve">”</w:t>
      </w:r>
      <w:r>
        <w:t xml:space="preserve">;</w:t>
      </w:r>
      <w:r>
        <w:t xml:space="preserve"> </w:t>
      </w:r>
      <w:r>
        <w:rPr>
          <w:bCs/>
          <w:b/>
        </w:rPr>
        <w:t xml:space="preserve">आ सर्वनाम्नः</w:t>
      </w:r>
      <w:r>
        <w:t xml:space="preserve"> </w:t>
      </w:r>
      <w:r>
        <w:t xml:space="preserve">(पा. सू. ६-३-९१), with</w:t>
      </w:r>
      <w:r>
        <w:t xml:space="preserve"> </w:t>
      </w:r>
      <w:r>
        <w:rPr>
          <w:bCs/>
          <w:b/>
        </w:rPr>
        <w:t xml:space="preserve">दृग्दृशवतुषु</w:t>
      </w:r>
      <w:r>
        <w:t xml:space="preserve"> </w:t>
      </w:r>
      <w:r>
        <w:t xml:space="preserve">(पा. सू. ६-३-८९) carried on,</w:t>
      </w:r>
      <w:r>
        <w:t xml:space="preserve"> </w:t>
      </w:r>
      <w:r>
        <w:t xml:space="preserve">“</w:t>
      </w:r>
      <w:r>
        <w:t xml:space="preserve">ā</w:t>
      </w:r>
      <w:r>
        <w:t xml:space="preserve">”</w:t>
      </w:r>
      <w:r>
        <w:t xml:space="preserve"> </w:t>
      </w:r>
      <w:r>
        <w:t xml:space="preserve">for the final of a pronoun before</w:t>
      </w:r>
      <w:r>
        <w:t xml:space="preserve"> </w:t>
      </w:r>
      <w:r>
        <w:t xml:space="preserve">“</w:t>
      </w:r>
      <w:r>
        <w:t xml:space="preserve">dṛk, dṛś, vatu</w:t>
      </w:r>
      <w:r>
        <w:t xml:space="preserve">”</w:t>
      </w:r>
      <w:r>
        <w:t xml:space="preserve">:</w:t>
      </w:r>
      <w:r>
        <w:t xml:space="preserve"> </w:t>
      </w:r>
      <w:r>
        <w:t xml:space="preserve">“</w:t>
      </w:r>
      <w:r>
        <w:t xml:space="preserve">ma + ā + vat</w:t>
      </w:r>
      <w:r>
        <w:t xml:space="preserve">”</w:t>
      </w:r>
      <w:r>
        <w:t xml:space="preserve">;</w:t>
      </w:r>
      <w:r>
        <w:t xml:space="preserve"> </w:t>
      </w:r>
      <w:r>
        <w:rPr>
          <w:bCs/>
          <w:b/>
        </w:rPr>
        <w:t xml:space="preserve">अकः सवर्णे दीर्घः</w:t>
      </w:r>
      <w:r>
        <w:t xml:space="preserve"> </w:t>
      </w:r>
      <w:r>
        <w:t xml:space="preserve">(पा. सू. ६-१-१०१):</w:t>
      </w:r>
      <w:r>
        <w:t xml:space="preserve"> </w:t>
      </w:r>
      <w:r>
        <w:t xml:space="preserve">“</w:t>
      </w:r>
      <w:r>
        <w:t xml:space="preserve">māvat</w:t>
      </w:r>
      <w:r>
        <w:t xml:space="preserve">”</w:t>
      </w:r>
      <w:r>
        <w:t xml:space="preserve">; dative</w:t>
      </w:r>
      <w:r>
        <w:t xml:space="preserve"> </w:t>
      </w:r>
      <w:r>
        <w:t xml:space="preserve">“</w:t>
      </w:r>
      <w:r>
        <w:t xml:space="preserve">ṅe</w:t>
      </w:r>
      <w:r>
        <w:t xml:space="preserve">”</w:t>
      </w:r>
      <w:r>
        <w:t xml:space="preserve">:</w:t>
      </w:r>
      <w:r>
        <w:t xml:space="preserve"> </w:t>
      </w:r>
      <w:r>
        <w:t xml:space="preserve">“</w:t>
      </w:r>
      <w:r>
        <w:t xml:space="preserve">māvate</w:t>
      </w:r>
      <w:r>
        <w:t xml:space="preserve">”</w:t>
      </w:r>
      <w:r>
        <w:t xml:space="preserve">;</w:t>
      </w:r>
      <w:r>
        <w:t xml:space="preserve"> </w:t>
      </w:r>
      <w:r>
        <w:t xml:space="preserve">“</w:t>
      </w:r>
      <w:r>
        <w:t xml:space="preserve">vatup,</w:t>
      </w:r>
      <w:r>
        <w:t xml:space="preserve">”</w:t>
      </w:r>
      <w:r>
        <w:t xml:space="preserve"> </w:t>
      </w:r>
      <w:r>
        <w:t xml:space="preserve">“</w:t>
      </w:r>
      <w:r>
        <w:t xml:space="preserve">p</w:t>
      </w:r>
      <w:r>
        <w:t xml:space="preserve">”</w:t>
      </w:r>
      <w:r>
        <w:t xml:space="preserve">-marked, and</w:t>
      </w:r>
      <w:r>
        <w:t xml:space="preserve"> </w:t>
      </w:r>
      <w:r>
        <w:t xml:space="preserve">“</w:t>
      </w:r>
      <w:r>
        <w:t xml:space="preserve">ṅe,</w:t>
      </w:r>
      <w:r>
        <w:t xml:space="preserve">”</w:t>
      </w:r>
      <w:r>
        <w:t xml:space="preserve"> </w:t>
      </w:r>
      <w:r>
        <w:t xml:space="preserve">a sup, are unaccented by</w:t>
      </w:r>
      <w:r>
        <w:t xml:space="preserve"> </w:t>
      </w:r>
      <w:r>
        <w:rPr>
          <w:bCs/>
          <w:b/>
        </w:rPr>
        <w:t xml:space="preserve">अनुदात्तौ सुप्पितौ</w:t>
      </w:r>
      <w:r>
        <w:t xml:space="preserve"> </w:t>
      </w:r>
      <w:r>
        <w:t xml:space="preserve">(पा. सू. ३-१-४);</w:t>
      </w:r>
      <w:r>
        <w:t xml:space="preserve"> </w:t>
      </w:r>
      <w:r>
        <w:t xml:space="preserve">“</w:t>
      </w:r>
      <w:r>
        <w:t xml:space="preserve">mā</w:t>
      </w:r>
      <w:r>
        <w:t xml:space="preserve">”</w:t>
      </w:r>
      <w:r>
        <w:t xml:space="preserve"> </w:t>
      </w:r>
      <w:r>
        <w:t xml:space="preserve">end-acute by the stem accent.</w:t>
      </w:r>
    </w:p>
    <w:p>
      <w:pPr>
        <w:pStyle w:val="BodyText"/>
      </w:pPr>
      <w:r>
        <w:rPr>
          <w:bCs/>
          <w:b/>
        </w:rPr>
        <w:t xml:space="preserve">सद्यः</w:t>
      </w:r>
      <w:r>
        <w:t xml:space="preserve"> </w:t>
      </w:r>
      <w:r>
        <w:t xml:space="preserve">—</w:t>
      </w:r>
      <w:r>
        <w:t xml:space="preserve"> </w:t>
      </w:r>
      <w:r>
        <w:t xml:space="preserve">“</w:t>
      </w:r>
      <w:r>
        <w:t xml:space="preserve">samāne ahani</w:t>
      </w:r>
      <w:r>
        <w:t xml:space="preserve">”</w:t>
      </w:r>
      <w:r>
        <w:t xml:space="preserve">:</w:t>
      </w:r>
      <w:r>
        <w:t xml:space="preserve"> </w:t>
      </w:r>
      <w:r>
        <w:rPr>
          <w:bCs/>
          <w:b/>
        </w:rPr>
        <w:t xml:space="preserve">सद्यःपरुत्परार्यैषमः…</w:t>
      </w:r>
      <w:r>
        <w:t xml:space="preserve"> </w:t>
      </w:r>
      <w:r>
        <w:t xml:space="preserve">(पा. सू. ५-३-२२) forms by nipātana</w:t>
      </w:r>
      <w:r>
        <w:t xml:space="preserve"> </w:t>
      </w:r>
      <w:r>
        <w:t xml:space="preserve">“</w:t>
      </w:r>
      <w:r>
        <w:t xml:space="preserve">sa</w:t>
      </w:r>
      <w:r>
        <w:t xml:space="preserve">”</w:t>
      </w:r>
      <w:r>
        <w:t xml:space="preserve"> </w:t>
      </w:r>
      <w:r>
        <w:t xml:space="preserve">for</w:t>
      </w:r>
      <w:r>
        <w:t xml:space="preserve"> </w:t>
      </w:r>
      <w:r>
        <w:t xml:space="preserve">“</w:t>
      </w:r>
      <w:r>
        <w:t xml:space="preserve">samāna</w:t>
      </w:r>
      <w:r>
        <w:t xml:space="preserve">”</w:t>
      </w:r>
      <w:r>
        <w:t xml:space="preserve"> </w:t>
      </w:r>
      <w:r>
        <w:t xml:space="preserve">and the affix</w:t>
      </w:r>
      <w:r>
        <w:t xml:space="preserve"> </w:t>
      </w:r>
      <w:r>
        <w:t xml:space="preserve">“</w:t>
      </w:r>
      <w:r>
        <w:t xml:space="preserve">dyas</w:t>
      </w:r>
      <w:r>
        <w:t xml:space="preserve">”</w:t>
      </w:r>
      <w:r>
        <w:t xml:space="preserve"> </w:t>
      </w:r>
      <w:r>
        <w:t xml:space="preserve">in the sense</w:t>
      </w:r>
      <w:r>
        <w:t xml:space="preserve"> </w:t>
      </w:r>
      <w:r>
        <w:t xml:space="preserve">“</w:t>
      </w:r>
      <w:r>
        <w:t xml:space="preserve">day</w:t>
      </w:r>
      <w:r>
        <w:t xml:space="preserve">”</w:t>
      </w:r>
      <w:r>
        <w:t xml:space="preserve">; the Mahābhāṣya makes this plain with</w:t>
      </w:r>
      <w:r>
        <w:t xml:space="preserve"> </w:t>
      </w:r>
      <w:r>
        <w:t xml:space="preserve">“</w:t>
      </w:r>
      <w:r>
        <w:t xml:space="preserve">samānasya sabhāvo dyaś cāhani</w:t>
      </w:r>
      <w:r>
        <w:t xml:space="preserve">”</w:t>
      </w:r>
      <w:r>
        <w:t xml:space="preserve">; end-acute by the affix accent.</w:t>
      </w:r>
    </w:p>
    <w:p>
      <w:pPr>
        <w:pStyle w:val="BodyText"/>
      </w:pPr>
      <w:r>
        <w:rPr>
          <w:bCs/>
          <w:b/>
        </w:rPr>
        <w:t xml:space="preserve">चित्</w:t>
      </w:r>
      <w:r>
        <w:t xml:space="preserve"> </w:t>
      </w:r>
      <w:r>
        <w:t xml:space="preserve">—</w:t>
      </w:r>
      <w:r>
        <w:t xml:space="preserve"> </w:t>
      </w:r>
      <w:r>
        <w:rPr>
          <w:bCs/>
          <w:b/>
        </w:rPr>
        <w:t xml:space="preserve">चादयोऽनुदात्ताः</w:t>
      </w:r>
      <w:r>
        <w:t xml:space="preserve"> </w:t>
      </w:r>
      <w:r>
        <w:t xml:space="preserve">(फि. सू.</w:t>
      </w:r>
      <w:r>
        <w:t xml:space="preserve"> </w:t>
      </w:r>
      <w:r>
        <w:t xml:space="preserve">“</w:t>
      </w:r>
      <w:r>
        <w:t xml:space="preserve">८-४</w:t>
      </w:r>
      <w:r>
        <w:t xml:space="preserve">”</w:t>
      </w:r>
      <w:r>
        <w:t xml:space="preserve"> </w:t>
      </w:r>
      <w:r>
        <w:t xml:space="preserve">as printed), unaccented.</w:t>
      </w:r>
    </w:p>
    <w:p>
      <w:pPr>
        <w:pStyle w:val="BodyText"/>
      </w:pPr>
      <w:r>
        <w:rPr>
          <w:bCs/>
          <w:b/>
        </w:rPr>
        <w:t xml:space="preserve">सन्ति</w:t>
      </w:r>
      <w:r>
        <w:t xml:space="preserve"> </w:t>
      </w:r>
      <w:r>
        <w:t xml:space="preserve">—</w:t>
      </w:r>
      <w:r>
        <w:t xml:space="preserve"> </w:t>
      </w:r>
      <w:r>
        <w:t xml:space="preserve">“</w:t>
      </w:r>
      <w:r>
        <w:t xml:space="preserve">as,</w:t>
      </w:r>
      <w:r>
        <w:t xml:space="preserve">”</w:t>
      </w:r>
      <w:r>
        <w:t xml:space="preserve"> </w:t>
      </w:r>
      <w:r>
        <w:t xml:space="preserve">“</w:t>
      </w:r>
      <w:r>
        <w:t xml:space="preserve">laṭ,</w:t>
      </w:r>
      <w:r>
        <w:t xml:space="preserve">”</w:t>
      </w:r>
      <w:r>
        <w:t xml:space="preserve"> </w:t>
      </w:r>
      <w:r>
        <w:t xml:space="preserve">third plural</w:t>
      </w:r>
      <w:r>
        <w:t xml:space="preserve"> </w:t>
      </w:r>
      <w:r>
        <w:t xml:space="preserve">“</w:t>
      </w:r>
      <w:r>
        <w:t xml:space="preserve">jhi</w:t>
      </w:r>
      <w:r>
        <w:t xml:space="preserve">”</w:t>
      </w:r>
      <w:r>
        <w:t xml:space="preserve">;</w:t>
      </w:r>
      <w:r>
        <w:t xml:space="preserve"> </w:t>
      </w:r>
      <w:r>
        <w:rPr>
          <w:bCs/>
          <w:b/>
        </w:rPr>
        <w:t xml:space="preserve">झोऽन्तः</w:t>
      </w:r>
      <w:r>
        <w:t xml:space="preserve"> </w:t>
      </w:r>
      <w:r>
        <w:t xml:space="preserve">(पा. सू.</w:t>
      </w:r>
      <w:r>
        <w:t xml:space="preserve"> </w:t>
      </w:r>
      <w:r>
        <w:t xml:space="preserve">“</w:t>
      </w:r>
      <w:r>
        <w:t xml:space="preserve">७-२-३</w:t>
      </w:r>
      <w:r>
        <w:t xml:space="preserve">”</w:t>
      </w:r>
      <w:r>
        <w:t xml:space="preserve"> </w:t>
      </w:r>
      <w:r>
        <w:t xml:space="preserve">as printed, i.e. 7-1-3)</w:t>
      </w:r>
      <w:r>
        <w:t xml:space="preserve"> </w:t>
      </w:r>
      <w:r>
        <w:t xml:space="preserve">“</w:t>
      </w:r>
      <w:r>
        <w:t xml:space="preserve">ant</w:t>
      </w:r>
      <w:r>
        <w:t xml:space="preserve">”</w:t>
      </w:r>
      <w:r>
        <w:t xml:space="preserve">:</w:t>
      </w:r>
      <w:r>
        <w:t xml:space="preserve"> </w:t>
      </w:r>
      <w:r>
        <w:t xml:space="preserve">“</w:t>
      </w:r>
      <w:r>
        <w:t xml:space="preserve">as + anti</w:t>
      </w:r>
      <w:r>
        <w:t xml:space="preserve">”</w:t>
      </w:r>
      <w:r>
        <w:t xml:space="preserve">;</w:t>
      </w:r>
      <w:r>
        <w:t xml:space="preserve"> </w:t>
      </w:r>
      <w:r>
        <w:rPr>
          <w:bCs/>
          <w:b/>
        </w:rPr>
        <w:t xml:space="preserve">कर्तरि शप्</w:t>
      </w:r>
      <w:r>
        <w:t xml:space="preserve"> </w:t>
      </w:r>
      <w:r>
        <w:t xml:space="preserve">(पा. सू. ३-१-६८), elided by</w:t>
      </w:r>
      <w:r>
        <w:t xml:space="preserve"> </w:t>
      </w:r>
      <w:r>
        <w:rPr>
          <w:bCs/>
          <w:b/>
        </w:rPr>
        <w:t xml:space="preserve">अदिप्रभृतिभ्यः शपः</w:t>
      </w:r>
      <w:r>
        <w:t xml:space="preserve"> </w:t>
      </w:r>
      <w:r>
        <w:t xml:space="preserve">(पा. सू. २-४-७२);</w:t>
      </w:r>
      <w:r>
        <w:t xml:space="preserve"> </w:t>
      </w:r>
      <w:r>
        <w:rPr>
          <w:bCs/>
          <w:b/>
        </w:rPr>
        <w:t xml:space="preserve">श्नसोरल्लोपः</w:t>
      </w:r>
      <w:r>
        <w:t xml:space="preserve"> </w:t>
      </w:r>
      <w:r>
        <w:t xml:space="preserve">(पा. सू. ६-४-१११) loss of the</w:t>
      </w:r>
      <w:r>
        <w:t xml:space="preserve"> </w:t>
      </w:r>
      <w:r>
        <w:t xml:space="preserve">“</w:t>
      </w:r>
      <w:r>
        <w:t xml:space="preserve">a</w:t>
      </w:r>
      <w:r>
        <w:t xml:space="preserve">”</w:t>
      </w:r>
      <w:r>
        <w:t xml:space="preserve"> </w:t>
      </w:r>
      <w:r>
        <w:t xml:space="preserve">of</w:t>
      </w:r>
      <w:r>
        <w:t xml:space="preserve"> </w:t>
      </w:r>
      <w:r>
        <w:t xml:space="preserve">“</w:t>
      </w:r>
      <w:r>
        <w:t xml:space="preserve">as</w:t>
      </w:r>
      <w:r>
        <w:t xml:space="preserve">”</w:t>
      </w:r>
      <w:r>
        <w:t xml:space="preserve"> </w:t>
      </w:r>
      <w:r>
        <w:t xml:space="preserve">before a</w:t>
      </w:r>
      <w:r>
        <w:t xml:space="preserve"> </w:t>
      </w:r>
      <w:r>
        <w:t xml:space="preserve">“</w:t>
      </w:r>
      <w:r>
        <w:t xml:space="preserve">kit/ṅit</w:t>
      </w:r>
      <w:r>
        <w:t xml:space="preserve">”</w:t>
      </w:r>
      <w:r>
        <w:t xml:space="preserve"> </w:t>
      </w:r>
      <w:r>
        <w:t xml:space="preserve">sārvadhātuka:</w:t>
      </w:r>
      <w:r>
        <w:t xml:space="preserve"> </w:t>
      </w:r>
      <w:r>
        <w:t xml:space="preserve">“</w:t>
      </w:r>
      <w:r>
        <w:t xml:space="preserve">santi.</w:t>
      </w:r>
      <w:r>
        <w:t xml:space="preserve">”</w:t>
      </w:r>
      <w:r>
        <w:t xml:space="preserve"> </w:t>
      </w:r>
      <w:r>
        <w:t xml:space="preserve">Here the</w:t>
      </w:r>
      <w:r>
        <w:t xml:space="preserve"> </w:t>
      </w:r>
      <w:r>
        <w:t xml:space="preserve">“</w:t>
      </w:r>
      <w:r>
        <w:t xml:space="preserve">tiṅ</w:t>
      </w:r>
      <w:r>
        <w:t xml:space="preserve">”</w:t>
      </w:r>
      <w:r>
        <w:t xml:space="preserve"> </w:t>
      </w:r>
      <w:r>
        <w:t xml:space="preserve">“</w:t>
      </w:r>
      <w:r>
        <w:t xml:space="preserve">anti</w:t>
      </w:r>
      <w:r>
        <w:t xml:space="preserve">”</w:t>
      </w:r>
      <w:r>
        <w:t xml:space="preserve"> </w:t>
      </w:r>
      <w:r>
        <w:t xml:space="preserve">is first-syllable acute by</w:t>
      </w:r>
      <w:r>
        <w:t xml:space="preserve"> </w:t>
      </w:r>
      <w:r>
        <w:rPr>
          <w:bCs/>
          <w:b/>
        </w:rPr>
        <w:t xml:space="preserve">आद्युदात्तश्च</w:t>
      </w:r>
      <w:r>
        <w:t xml:space="preserve"> </w:t>
      </w:r>
      <w:r>
        <w:t xml:space="preserve">(पा. सू. ३-१-३) …</w:t>
      </w:r>
      <w:r>
        <w:t xml:space="preserve"> </w:t>
      </w:r>
      <w:r>
        <w:rPr>
          <w:iCs/>
          <w:i/>
        </w:rPr>
        <w:t xml:space="preserve">(continues on p. 339)</w:t>
      </w:r>
      <w:r>
        <w:t xml:space="preserve"> </w:t>
      </w:r>
      <w:r>
        <w:t xml:space="preserve">### Page 339 — Rik 9 grammar closes; Sūkta 8, Rik 10</w:t>
      </w:r>
    </w:p>
    <w:p>
      <w:pPr>
        <w:pStyle w:val="BodyText"/>
      </w:pPr>
      <w:r>
        <w:rPr>
          <w:iCs/>
          <w:i/>
        </w:rPr>
        <w:t xml:space="preserve">(Page header:</w:t>
      </w:r>
      <w:r>
        <w:rPr>
          <w:iCs/>
          <w:i/>
        </w:rPr>
        <w:t xml:space="preserve"> </w:t>
      </w:r>
      <w:r>
        <w:rPr>
          <w:iCs/>
          <w:i/>
        </w:rPr>
        <w:t xml:space="preserve">“</w:t>
      </w:r>
      <w:r>
        <w:rPr>
          <w:iCs/>
          <w:i/>
        </w:rPr>
        <w:t xml:space="preserve">A. 1, A. 1, Va. 16.</w:t>
      </w:r>
      <w:r>
        <w:rPr>
          <w:iCs/>
          <w:i/>
        </w:rPr>
        <w:t xml:space="preserve">”</w:t>
      </w:r>
      <w:r>
        <w:rPr>
          <w:iCs/>
          <w:i/>
        </w:rPr>
        <w:t xml:space="preserve">)</w:t>
      </w:r>
      <w:r>
        <w:t xml:space="preserve"> </w:t>
      </w:r>
      <w:r>
        <w:rPr>
          <w:bCs/>
          <w:b/>
        </w:rPr>
        <w:t xml:space="preserve">सन्ति</w:t>
      </w:r>
      <w:r>
        <w:t xml:space="preserve"> </w:t>
      </w:r>
      <w:r>
        <w:t xml:space="preserve">(concluded): … first-syllable acute. Since</w:t>
      </w:r>
      <w:r>
        <w:t xml:space="preserve"> </w:t>
      </w:r>
      <w:r>
        <w:t xml:space="preserve">“</w:t>
      </w:r>
      <w:r>
        <w:t xml:space="preserve">śap</w:t>
      </w:r>
      <w:r>
        <w:t xml:space="preserve">”</w:t>
      </w:r>
      <w:r>
        <w:t xml:space="preserve"> </w:t>
      </w:r>
      <w:r>
        <w:t xml:space="preserve">is elided by</w:t>
      </w:r>
      <w:r>
        <w:t xml:space="preserve"> </w:t>
      </w:r>
      <w:r>
        <w:t xml:space="preserve">“</w:t>
      </w:r>
      <w:r>
        <w:t xml:space="preserve">luk,</w:t>
      </w:r>
      <w:r>
        <w:t xml:space="preserve">”</w:t>
      </w:r>
      <w:r>
        <w:t xml:space="preserve"> </w:t>
      </w:r>
      <w:r>
        <w:t xml:space="preserve">the</w:t>
      </w:r>
      <w:r>
        <w:t xml:space="preserve"> </w:t>
      </w:r>
      <w:r>
        <w:t xml:space="preserve">“</w:t>
      </w:r>
      <w:r>
        <w:t xml:space="preserve">anti</w:t>
      </w:r>
      <w:r>
        <w:t xml:space="preserve">”</w:t>
      </w:r>
      <w:r>
        <w:t xml:space="preserve"> </w:t>
      </w:r>
      <w:r>
        <w:t xml:space="preserve">does not follow an</w:t>
      </w:r>
      <w:r>
        <w:t xml:space="preserve"> </w:t>
      </w:r>
      <w:r>
        <w:t xml:space="preserve">“</w:t>
      </w:r>
      <w:r>
        <w:t xml:space="preserve">a</w:t>
      </w:r>
      <w:r>
        <w:t xml:space="preserve">”</w:t>
      </w:r>
      <w:r>
        <w:t xml:space="preserve">-taught base, so</w:t>
      </w:r>
      <w:r>
        <w:t xml:space="preserve"> </w:t>
      </w:r>
      <w:r>
        <w:rPr>
          <w:bCs/>
          <w:b/>
        </w:rPr>
        <w:t xml:space="preserve">तास्यनुदात्तेन्ङिददुपदेशात्…</w:t>
      </w:r>
      <w:r>
        <w:t xml:space="preserve"> </w:t>
      </w:r>
      <w:r>
        <w:t xml:space="preserve">(पा. सू. ६-१-१८६) does not make the lasārvadhātuka</w:t>
      </w:r>
      <w:r>
        <w:t xml:space="preserve"> </w:t>
      </w:r>
      <w:r>
        <w:t xml:space="preserve">“</w:t>
      </w:r>
      <w:r>
        <w:t xml:space="preserve">anti</w:t>
      </w:r>
      <w:r>
        <w:t xml:space="preserve">”</w:t>
      </w:r>
      <w:r>
        <w:t xml:space="preserve"> </w:t>
      </w:r>
      <w:r>
        <w:t xml:space="preserve">unaccented. Though</w:t>
      </w:r>
      <w:r>
        <w:t xml:space="preserve"> </w:t>
      </w:r>
      <w:r>
        <w:t xml:space="preserve">“</w:t>
      </w:r>
      <w:r>
        <w:t xml:space="preserve">śap</w:t>
      </w:r>
      <w:r>
        <w:t xml:space="preserve">”</w:t>
      </w:r>
      <w:r>
        <w:t xml:space="preserve"> </w:t>
      </w:r>
      <w:r>
        <w:t xml:space="preserve">is elided, by</w:t>
      </w:r>
      <w:r>
        <w:t xml:space="preserve"> </w:t>
      </w:r>
      <w:r>
        <w:rPr>
          <w:bCs/>
          <w:b/>
        </w:rPr>
        <w:t xml:space="preserve">प्रत्ययलोपे प्रत्ययलक्षणम्</w:t>
      </w:r>
      <w:r>
        <w:t xml:space="preserve"> </w:t>
      </w:r>
      <w:r>
        <w:t xml:space="preserve">(पा. सू. १-१-६२) the effect of the affix would still hold; and</w:t>
      </w:r>
      <w:r>
        <w:t xml:space="preserve"> </w:t>
      </w:r>
      <w:r>
        <w:rPr>
          <w:bCs/>
          <w:b/>
        </w:rPr>
        <w:t xml:space="preserve">न लुमताङ्गस्य</w:t>
      </w:r>
      <w:r>
        <w:t xml:space="preserve"> </w:t>
      </w:r>
      <w:r>
        <w:t xml:space="preserve">(पा. सू. १-१-६३) — after a</w:t>
      </w:r>
      <w:r>
        <w:t xml:space="preserve"> </w:t>
      </w:r>
      <w:r>
        <w:t xml:space="preserve">“</w:t>
      </w:r>
      <w:r>
        <w:t xml:space="preserve">luk, ślu, lup</w:t>
      </w:r>
      <w:r>
        <w:t xml:space="preserve">”</w:t>
      </w:r>
      <w:r>
        <w:t xml:space="preserve"> </w:t>
      </w:r>
      <w:r>
        <w:t xml:space="preserve">loss, operations on the aṅga conditioned by the lost affix do not occur — does not stop it, since the accent rule concerns the lasārvadhātuka, not the aṅga. So one might say the unaccentedness conditioned by</w:t>
      </w:r>
      <w:r>
        <w:t xml:space="preserve"> </w:t>
      </w:r>
      <w:r>
        <w:t xml:space="preserve">“</w:t>
      </w:r>
      <w:r>
        <w:t xml:space="preserve">adupadeśa</w:t>
      </w:r>
      <w:r>
        <w:t xml:space="preserve">”</w:t>
      </w:r>
      <w:r>
        <w:t xml:space="preserve"> </w:t>
      </w:r>
      <w:r>
        <w:t xml:space="preserve">follows by pratyayalakṣaṇa. That is not right:</w:t>
      </w:r>
      <w:r>
        <w:t xml:space="preserve"> </w:t>
      </w:r>
      <w:r>
        <w:t xml:space="preserve">“</w:t>
      </w:r>
      <w:r>
        <w:t xml:space="preserve">adupadeśa</w:t>
      </w:r>
      <w:r>
        <w:t xml:space="preserve">”</w:t>
      </w:r>
      <w:r>
        <w:t xml:space="preserve"> </w:t>
      </w:r>
      <w:r>
        <w:t xml:space="preserve">means having a short</w:t>
      </w:r>
      <w:r>
        <w:t xml:space="preserve"> </w:t>
      </w:r>
      <w:r>
        <w:t xml:space="preserve">“</w:t>
      </w:r>
      <w:r>
        <w:t xml:space="preserve">a</w:t>
      </w:r>
      <w:r>
        <w:t xml:space="preserve">”</w:t>
      </w:r>
      <w:r>
        <w:t xml:space="preserve"> </w:t>
      </w:r>
      <w:r>
        <w:t xml:space="preserve">at the time of teaching — that is</w:t>
      </w:r>
      <w:r>
        <w:t xml:space="preserve"> </w:t>
      </w:r>
      <w:r>
        <w:t xml:space="preserve">“</w:t>
      </w:r>
      <w:r>
        <w:t xml:space="preserve">śap</w:t>
      </w:r>
      <w:r>
        <w:t xml:space="preserve">”</w:t>
      </w:r>
      <w:r>
        <w:t xml:space="preserve">; the unaccentedness would rest on the letter</w:t>
      </w:r>
      <w:r>
        <w:t xml:space="preserve"> </w:t>
      </w:r>
      <w:r>
        <w:t xml:space="preserve">“</w:t>
      </w:r>
      <w:r>
        <w:t xml:space="preserve">a</w:t>
      </w:r>
      <w:r>
        <w:t xml:space="preserve">”</w:t>
      </w:r>
      <w:r>
        <w:t xml:space="preserve"> </w:t>
      </w:r>
      <w:r>
        <w:t xml:space="preserve">of</w:t>
      </w:r>
      <w:r>
        <w:t xml:space="preserve"> </w:t>
      </w:r>
      <w:r>
        <w:t xml:space="preserve">“</w:t>
      </w:r>
      <w:r>
        <w:t xml:space="preserve">śap,</w:t>
      </w:r>
      <w:r>
        <w:t xml:space="preserve">”</w:t>
      </w:r>
      <w:r>
        <w:t xml:space="preserve"> </w:t>
      </w:r>
      <w:r>
        <w:t xml:space="preserve">and by</w:t>
      </w:r>
      <w:r>
        <w:t xml:space="preserve"> </w:t>
      </w:r>
      <w:r>
        <w:rPr>
          <w:bCs/>
          <w:b/>
        </w:rPr>
        <w:t xml:space="preserve">वर्णाश्रये नास्ति प्रत्ययलक्षणम्</w:t>
      </w:r>
      <w:r>
        <w:t xml:space="preserve"> </w:t>
      </w:r>
      <w:r>
        <w:t xml:space="preserve">(परि. भा. २१) pratyayalakṣaṇa does not apply to an operation resting on a letter; so the sārvadhātuka is not after an</w:t>
      </w:r>
      <w:r>
        <w:t xml:space="preserve"> </w:t>
      </w:r>
      <w:r>
        <w:t xml:space="preserve">“</w:t>
      </w:r>
      <w:r>
        <w:t xml:space="preserve">a</w:t>
      </w:r>
      <w:r>
        <w:t xml:space="preserve">”</w:t>
      </w:r>
      <w:r>
        <w:t xml:space="preserve">-taught base, and no unaccentedness arises.</w:t>
      </w:r>
      <w:r>
        <w:t xml:space="preserve"> </w:t>
      </w:r>
      <w:r>
        <w:rPr>
          <w:bCs/>
          <w:b/>
        </w:rPr>
        <w:t xml:space="preserve">दाशुषे</w:t>
      </w:r>
      <w:r>
        <w:t xml:space="preserve"> </w:t>
      </w:r>
      <w:r>
        <w:t xml:space="preserve">— explained under the earlier mantra.</w:t>
      </w:r>
      <w:r>
        <w:t xml:space="preserve"> </w:t>
      </w:r>
      <w:r>
        <w:rPr>
          <w:bCs/>
          <w:b/>
        </w:rPr>
        <w:t xml:space="preserve">॥९॥</w:t>
      </w:r>
    </w:p>
    <w:p>
      <w:r>
        <w:pict>
          <v:rect style="width:0;height:1.5pt" o:hralign="center" o:hrstd="t" o:hr="t"/>
        </w:pict>
      </w:r>
    </w:p>
    <w:bookmarkEnd w:id="366"/>
    <w:bookmarkStart w:id="367" w:name="page-339-sūkta-8-rik-10-the-last"/>
    <w:p>
      <w:pPr>
        <w:pStyle w:val="Heading3"/>
      </w:pPr>
      <w:r>
        <w:t xml:space="preserve">Page 339 — Sūkta 8, Rik 10 (the last)</w:t>
      </w:r>
    </w:p>
    <w:p>
      <w:pPr>
        <w:pStyle w:val="FirstParagraph"/>
      </w:pPr>
      <w:r>
        <w:rPr>
          <w:iCs/>
          <w:i/>
        </w:rPr>
        <w:t xml:space="preserve">(Saṃhitā accents as printed; Pada unaccented. In the second line strokes stand over</w:t>
      </w:r>
      <w:r>
        <w:rPr>
          <w:iCs/>
          <w:i/>
        </w:rPr>
        <w:t xml:space="preserve"> </w:t>
      </w:r>
      <w:r>
        <w:rPr>
          <w:iCs/>
          <w:i/>
        </w:rPr>
        <w:t xml:space="preserve">“</w:t>
      </w:r>
      <w:r>
        <w:rPr>
          <w:iCs/>
          <w:i/>
        </w:rPr>
        <w:t xml:space="preserve">drā,</w:t>
      </w:r>
      <w:r>
        <w:rPr>
          <w:iCs/>
          <w:i/>
        </w:rPr>
        <w:t xml:space="preserve">”</w:t>
      </w:r>
      <w:r>
        <w:rPr>
          <w:iCs/>
          <w:i/>
        </w:rPr>
        <w:t xml:space="preserve"> </w:t>
      </w:r>
      <w:r>
        <w:rPr>
          <w:iCs/>
          <w:i/>
        </w:rPr>
        <w:t xml:space="preserve">“</w:t>
      </w:r>
      <w:r>
        <w:rPr>
          <w:iCs/>
          <w:i/>
        </w:rPr>
        <w:t xml:space="preserve">ma</w:t>
      </w:r>
      <w:r>
        <w:rPr>
          <w:iCs/>
          <w:i/>
        </w:rPr>
        <w:t xml:space="preserve">”</w:t>
      </w:r>
      <w:r>
        <w:rPr>
          <w:iCs/>
          <w:i/>
        </w:rPr>
        <w:t xml:space="preserve"> </w:t>
      </w:r>
      <w:r>
        <w:rPr>
          <w:iCs/>
          <w:i/>
        </w:rPr>
        <w:t xml:space="preserve">and the final</w:t>
      </w:r>
      <w:r>
        <w:rPr>
          <w:iCs/>
          <w:i/>
        </w:rPr>
        <w:t xml:space="preserve"> </w:t>
      </w:r>
      <w:r>
        <w:rPr>
          <w:iCs/>
          <w:i/>
        </w:rPr>
        <w:t xml:space="preserve">“</w:t>
      </w:r>
      <w:r>
        <w:rPr>
          <w:iCs/>
          <w:i/>
        </w:rPr>
        <w:t xml:space="preserve">ye</w:t>
      </w:r>
      <w:r>
        <w:rPr>
          <w:iCs/>
          <w:i/>
        </w:rPr>
        <w:t xml:space="preserve">”</w:t>
      </w:r>
      <w:r>
        <w:rPr>
          <w:iCs/>
          <w:i/>
        </w:rPr>
        <w:t xml:space="preserve">; placement doubtful, hence [accent ?].)</w:t>
      </w:r>
    </w:p>
    <w:p>
      <w:pPr>
        <w:pStyle w:val="BodyText"/>
      </w:pPr>
      <w:r>
        <w:rPr>
          <w:bCs/>
          <w:b/>
        </w:rPr>
        <w:t xml:space="preserve">॥ Saṃhitā-pāṭhaḥ ॥</w:t>
      </w:r>
    </w:p>
    <w:p>
      <w:pPr>
        <w:pStyle w:val="BlockText"/>
      </w:pPr>
      <w:r>
        <w:t xml:space="preserve">ए॒वा ह्य॑स्य॒ काम्या॒ स्तोम॑ उ॒क्थं च॒ शंस्या॑ ।</w:t>
      </w:r>
      <w:r>
        <w:t xml:space="preserve"> </w:t>
      </w:r>
      <w:r>
        <w:t xml:space="preserve">इन्द्रा॑य॒ सोम॑पीतये॑ ॥१०॥ [accent ?]</w:t>
      </w:r>
    </w:p>
    <w:p>
      <w:pPr>
        <w:pStyle w:val="BlockText"/>
      </w:pPr>
      <w:r>
        <w:rPr>
          <w:iCs/>
          <w:i/>
        </w:rPr>
        <w:t xml:space="preserve">evā́ hy asya kā́myā stóma uktháṃ ca śáṃsyā |</w:t>
      </w:r>
      <w:r>
        <w:t xml:space="preserve"> </w:t>
      </w:r>
      <w:r>
        <w:rPr>
          <w:iCs/>
          <w:i/>
        </w:rPr>
        <w:t xml:space="preserve">índrāya sómapītáye ||10||</w:t>
      </w:r>
      <w:r>
        <w:t xml:space="preserve"> </w:t>
      </w:r>
      <w:r>
        <w:t xml:space="preserve">[accent ?]</w:t>
      </w:r>
    </w:p>
    <w:p>
      <w:pPr>
        <w:pStyle w:val="FirstParagraph"/>
      </w:pPr>
      <w:r>
        <w:rPr>
          <w:bCs/>
          <w:b/>
        </w:rPr>
        <w:t xml:space="preserve">॥ Pada-pāṭhaḥ ॥</w:t>
      </w:r>
    </w:p>
    <w:p>
      <w:pPr>
        <w:pStyle w:val="BlockText"/>
      </w:pPr>
      <w:r>
        <w:t xml:space="preserve">एव । हि । अस्य । काम्या । स्तोमः । उक्थम् । च । शंस्या ॥</w:t>
      </w:r>
      <w:r>
        <w:t xml:space="preserve"> </w:t>
      </w:r>
      <w:r>
        <w:t xml:space="preserve">इन्द्राय । सोमऽपीतये ॥१०॥</w:t>
      </w:r>
    </w:p>
    <w:p>
      <w:pPr>
        <w:pStyle w:val="BlockText"/>
      </w:pPr>
      <w:r>
        <w:rPr>
          <w:iCs/>
          <w:i/>
        </w:rPr>
        <w:t xml:space="preserve">eva | hi | asya | kāmyā | stomaḥ | uktham | ca | śaṃsyā ||</w:t>
      </w:r>
      <w:r>
        <w:t xml:space="preserve"> </w:t>
      </w:r>
      <w:r>
        <w:rPr>
          <w:iCs/>
          <w:i/>
        </w:rPr>
        <w:t xml:space="preserve">indrāya | soma-pītaye ||10||</w:t>
      </w:r>
    </w:p>
    <w:p>
      <w:pPr>
        <w:pStyle w:val="FirstParagraph"/>
      </w:pPr>
      <w:r>
        <w:rPr>
          <w:bCs/>
          <w:b/>
        </w:rPr>
        <w:t xml:space="preserve">॥ Sāyaṇa-bhāṣyam ॥</w:t>
      </w:r>
    </w:p>
    <w:p>
      <w:pPr>
        <w:pStyle w:val="BlockText"/>
      </w:pPr>
      <w:r>
        <w:t xml:space="preserve">अस्येन्द्रस्य स्तोमः सामसाध्यं स्तोत्रमुक्थं चर्क्साध्यं शस्त्रमुभे एवा ह्येते उभे एवंविधे खलु । किंविधे इति तदुच्यते । काम्या कामयितव्ये शंस्या ऋत्विग्भिः शंसनीये । किमर्थं शंसनमिति तदुच्यते । इन्द्राय सोमपीतये । इन्द्रस्य सोमपानार्थम् ॥ एवा ह्यस्य । व्यवहितमन्त्रे गतम् । काम्या । कमेर्णिङन्तादचो यत् । पा. ३-१-९७ । णेरनिटि । पा. ६-४-५१ । इति णिलोपः । तित्स्वरितमिति स्वरिते प्राप्ते यतोऽनाव इत्याद्युदात्तत्वम् । सुपो डादेशः । स्तोमः । अर्तिस्तुसु… इत्यादिना । उ. १-१४० । मन्प्रत्ययः । उक्थम् । वच परिभाषणे । पातॄतुदिवचिरिचिसिचिभ्यस्थक् । उ. २-७ । इति थक् । कित्त्वात्संप्रसारणम् । परपूर्वत्वगुणाभावौ । शंस्या । शंसु स्तुतौ । ण्यन्तादचो यत् । यतोऽनाव इत्याद्युदात्तत्वम् । सुपो डादेशः । सोमस्य पीतिः सोमपीतिः । कृदुत्तरपदप्रकृतिस्वरे प्राप्ते व्यत्ययेनाद्युदात्तत्वम् । अथवा सोमस्य पीतिर्यस्येन्द्रस्येति सोमपीतिरिन्द्रः । बहुव्रीहौ प्रकृत्या पूर्वपदम् । पा. ६-२-१ । इति पूर्वपदप्रकृतिस्वरत्वम् ॥</w:t>
      </w:r>
    </w:p>
    <w:p>
      <w:pPr>
        <w:pStyle w:val="BlockText"/>
      </w:pPr>
      <w:r>
        <w:rPr>
          <w:iCs/>
          <w:i/>
        </w:rPr>
        <w:t xml:space="preserve">asyendrasya stomaḥ sāma-sādhyaṃ stotram uktham ca ṛk-sādhyaṃ śastram ubhe evā hy ete ubhe evaṃvidhe khalu | kiṃvidhe iti tad ucyate | kāmyā kāmayitavye śaṃsyā ṛtvigbhiḥ śaṃsanīye | kim-arthaṃ śaṃsanam iti tad ucyate | indrāya somapītaye | indrasya soma-pānārtham || evā hy asya | vyavahita-mantre gatam | kāmyā | kamer ṇijantād aco yat | pā. 3-1-97 | ṇer aniṭi | pā. 6-4-51 | iti ṇi-lopaḥ | titsvaritam iti svarite prāpte yato ’nāva ity ādyudāttatvam | supo ḍādeśaḥ | stomaḥ | artistusu… ity-ādinā | u. 1-140 | man-pratyayaḥ | uktham | vaca paribhāṣaṇe | pātṝtudivacirici-sicibhyas thak | u. 2-7 | iti thak | kittvāt saṃprasāraṇam | parapūrvatva-guṇābhāvau | śaṃsyā | śaṃsu stutau | ṇyantād aco yat | yato ’nāva ity ādyudāttatvam | supo ḍādeśaḥ | somasya pītiḥ somapītiḥ | kṛd-uttarapada-prakṛti-svare prāpte vyatyayenādyudāttatvam | athavā somasya pītir yasyendrasyeti somapītir indraḥ | bahuvrīhau prakṛtyā pūrvapadam | pā. 6-2-1 | iti pūrvapada-prakṛti-svaratvam ||</w:t>
      </w:r>
    </w:p>
    <w:p>
      <w:pPr>
        <w:pStyle w:val="FirstParagraph"/>
      </w:pPr>
      <w:r>
        <w:rPr>
          <w:bCs/>
          <w:b/>
        </w:rPr>
        <w:t xml:space="preserve">Translation:</w:t>
      </w:r>
      <w:r>
        <w:t xml:space="preserve"> </w:t>
      </w:r>
      <w:r>
        <w:t xml:space="preserve">“</w:t>
      </w:r>
      <w:r>
        <w:rPr>
          <w:iCs/>
          <w:i/>
        </w:rPr>
        <w:t xml:space="preserve">Stoma</w:t>
      </w:r>
      <w:r>
        <w:t xml:space="preserve"> </w:t>
      </w:r>
      <w:r>
        <w:t xml:space="preserve">— the praise sung, achieved through the Sāman — and</w:t>
      </w:r>
      <w:r>
        <w:t xml:space="preserve"> </w:t>
      </w:r>
      <w:r>
        <w:rPr>
          <w:iCs/>
          <w:i/>
        </w:rPr>
        <w:t xml:space="preserve">uktha</w:t>
      </w:r>
      <w:r>
        <w:t xml:space="preserve"> </w:t>
      </w:r>
      <w:r>
        <w:t xml:space="preserve">— the</w:t>
      </w:r>
      <w:r>
        <w:t xml:space="preserve"> </w:t>
      </w:r>
      <w:r>
        <w:rPr>
          <w:iCs/>
          <w:i/>
        </w:rPr>
        <w:t xml:space="preserve">śastra</w:t>
      </w:r>
      <w:r>
        <w:t xml:space="preserve"> </w:t>
      </w:r>
      <w:r>
        <w:t xml:space="preserve">recited, achieved through ṛks — these two are indeed of this kind (</w:t>
      </w:r>
      <w:r>
        <w:rPr>
          <w:iCs/>
          <w:i/>
        </w:rPr>
        <w:t xml:space="preserve">evā hi</w:t>
      </w:r>
      <w:r>
        <w:t xml:space="preserve">). Of what kind?</w:t>
      </w:r>
      <w:r>
        <w:t xml:space="preserve"> </w:t>
      </w:r>
      <w:r>
        <w:rPr>
          <w:iCs/>
          <w:i/>
        </w:rPr>
        <w:t xml:space="preserve">Kāmyā</w:t>
      </w:r>
      <w:r>
        <w:t xml:space="preserve"> </w:t>
      </w:r>
      <w:r>
        <w:t xml:space="preserve">— to be desired;</w:t>
      </w:r>
      <w:r>
        <w:t xml:space="preserve"> </w:t>
      </w:r>
      <w:r>
        <w:rPr>
          <w:iCs/>
          <w:i/>
        </w:rPr>
        <w:t xml:space="preserve">śaṃsyā</w:t>
      </w:r>
      <w:r>
        <w:t xml:space="preserve"> </w:t>
      </w:r>
      <w:r>
        <w:t xml:space="preserve">— to be recited by the ṛtvijs. For what purpose is the recitation?</w:t>
      </w:r>
      <w:r>
        <w:t xml:space="preserve"> </w:t>
      </w:r>
      <w:r>
        <w:rPr>
          <w:iCs/>
          <w:i/>
        </w:rPr>
        <w:t xml:space="preserve">Indrāya somapītaye</w:t>
      </w:r>
      <w:r>
        <w:t xml:space="preserve"> </w:t>
      </w:r>
      <w:r>
        <w:t xml:space="preserve">— for Indra’s drinking of Soma. [The phrase</w:t>
      </w:r>
      <w:r>
        <w:t xml:space="preserve"> </w:t>
      </w:r>
      <w:r>
        <w:rPr>
          <w:iCs/>
          <w:i/>
        </w:rPr>
        <w:t xml:space="preserve">evā hy asya</w:t>
      </w:r>
      <w:r>
        <w:t xml:space="preserve"> </w:t>
      </w:r>
      <w:r>
        <w:t xml:space="preserve">was explained in the earlier mantra, Rik 8.]</w:t>
      </w:r>
      <w:r>
        <w:t xml:space="preserve">”</w:t>
      </w:r>
      <w:r>
        <w:t xml:space="preserve"> </w:t>
      </w:r>
      <w:r>
        <w:t xml:space="preserve">The grammar (characterized):</w:t>
      </w:r>
      <w:r>
        <w:t xml:space="preserve"> </w:t>
      </w:r>
      <w:r>
        <w:t xml:space="preserve">“</w:t>
      </w:r>
      <w:r>
        <w:t xml:space="preserve">kāmyā</w:t>
      </w:r>
      <w:r>
        <w:t xml:space="preserve">”</w:t>
      </w:r>
      <w:r>
        <w:t xml:space="preserve"> </w:t>
      </w:r>
      <w:r>
        <w:t xml:space="preserve">—</w:t>
      </w:r>
      <w:r>
        <w:t xml:space="preserve"> </w:t>
      </w:r>
      <w:r>
        <w:t xml:space="preserve">“</w:t>
      </w:r>
      <w:r>
        <w:t xml:space="preserve">yat</w:t>
      </w:r>
      <w:r>
        <w:t xml:space="preserve">”</w:t>
      </w:r>
      <w:r>
        <w:t xml:space="preserve"> </w:t>
      </w:r>
      <w:r>
        <w:t xml:space="preserve">after the</w:t>
      </w:r>
      <w:r>
        <w:t xml:space="preserve"> </w:t>
      </w:r>
      <w:r>
        <w:t xml:space="preserve">“</w:t>
      </w:r>
      <w:r>
        <w:t xml:space="preserve">ṇiṅ</w:t>
      </w:r>
      <w:r>
        <w:t xml:space="preserve">”</w:t>
      </w:r>
      <w:r>
        <w:t xml:space="preserve">-ended</w:t>
      </w:r>
      <w:r>
        <w:t xml:space="preserve"> </w:t>
      </w:r>
      <w:r>
        <w:t xml:space="preserve">“</w:t>
      </w:r>
      <w:r>
        <w:t xml:space="preserve">kam</w:t>
      </w:r>
      <w:r>
        <w:t xml:space="preserve">”</w:t>
      </w:r>
      <w:r>
        <w:t xml:space="preserve"> </w:t>
      </w:r>
      <w:r>
        <w:t xml:space="preserve">(3-1-97), loss of</w:t>
      </w:r>
      <w:r>
        <w:t xml:space="preserve"> </w:t>
      </w:r>
      <w:r>
        <w:t xml:space="preserve">“</w:t>
      </w:r>
      <w:r>
        <w:t xml:space="preserve">ṇi</w:t>
      </w:r>
      <w:r>
        <w:t xml:space="preserve">”</w:t>
      </w:r>
      <w:r>
        <w:t xml:space="preserve"> </w:t>
      </w:r>
      <w:r>
        <w:t xml:space="preserve">(6-4-51), first-syllable acute by</w:t>
      </w:r>
      <w:r>
        <w:t xml:space="preserve"> </w:t>
      </w:r>
      <w:r>
        <w:t xml:space="preserve">“</w:t>
      </w:r>
      <w:r>
        <w:t xml:space="preserve">yato ’nāvaḥ</w:t>
      </w:r>
      <w:r>
        <w:t xml:space="preserve">”</w:t>
      </w:r>
      <w:r>
        <w:t xml:space="preserve">;</w:t>
      </w:r>
      <w:r>
        <w:t xml:space="preserve"> </w:t>
      </w:r>
      <w:r>
        <w:t xml:space="preserve">“</w:t>
      </w:r>
      <w:r>
        <w:t xml:space="preserve">stomaḥ</w:t>
      </w:r>
      <w:r>
        <w:t xml:space="preserve">”</w:t>
      </w:r>
      <w:r>
        <w:t xml:space="preserve"> </w:t>
      </w:r>
      <w:r>
        <w:t xml:space="preserve">—</w:t>
      </w:r>
      <w:r>
        <w:t xml:space="preserve"> </w:t>
      </w:r>
      <w:r>
        <w:t xml:space="preserve">“</w:t>
      </w:r>
      <w:r>
        <w:t xml:space="preserve">man</w:t>
      </w:r>
      <w:r>
        <w:t xml:space="preserve">”</w:t>
      </w:r>
      <w:r>
        <w:t xml:space="preserve"> </w:t>
      </w:r>
      <w:r>
        <w:t xml:space="preserve">(Uṇ. 1-140);</w:t>
      </w:r>
      <w:r>
        <w:t xml:space="preserve"> </w:t>
      </w:r>
      <w:r>
        <w:t xml:space="preserve">“</w:t>
      </w:r>
      <w:r>
        <w:t xml:space="preserve">uktham</w:t>
      </w:r>
      <w:r>
        <w:t xml:space="preserve">”</w:t>
      </w:r>
      <w:r>
        <w:t xml:space="preserve"> </w:t>
      </w:r>
      <w:r>
        <w:t xml:space="preserve">—</w:t>
      </w:r>
      <w:r>
        <w:t xml:space="preserve"> </w:t>
      </w:r>
      <w:r>
        <w:t xml:space="preserve">“</w:t>
      </w:r>
      <w:r>
        <w:t xml:space="preserve">vac</w:t>
      </w:r>
      <w:r>
        <w:t xml:space="preserve">”</w:t>
      </w:r>
      <w:r>
        <w:t xml:space="preserve"> </w:t>
      </w:r>
      <w:r>
        <w:t xml:space="preserve">with</w:t>
      </w:r>
      <w:r>
        <w:t xml:space="preserve"> </w:t>
      </w:r>
      <w:r>
        <w:t xml:space="preserve">“</w:t>
      </w:r>
      <w:r>
        <w:t xml:space="preserve">thak</w:t>
      </w:r>
      <w:r>
        <w:t xml:space="preserve">”</w:t>
      </w:r>
      <w:r>
        <w:t xml:space="preserve"> </w:t>
      </w:r>
      <w:r>
        <w:t xml:space="preserve">(Uṇ. 2-7), samprasāraṇa;</w:t>
      </w:r>
      <w:r>
        <w:t xml:space="preserve"> </w:t>
      </w:r>
      <w:r>
        <w:t xml:space="preserve">“</w:t>
      </w:r>
      <w:r>
        <w:t xml:space="preserve">śaṃsyā</w:t>
      </w:r>
      <w:r>
        <w:t xml:space="preserve">”</w:t>
      </w:r>
      <w:r>
        <w:t xml:space="preserve"> </w:t>
      </w:r>
      <w:r>
        <w:t xml:space="preserve">—</w:t>
      </w:r>
      <w:r>
        <w:t xml:space="preserve"> </w:t>
      </w:r>
      <w:r>
        <w:t xml:space="preserve">“</w:t>
      </w:r>
      <w:r>
        <w:t xml:space="preserve">yat,</w:t>
      </w:r>
      <w:r>
        <w:t xml:space="preserve">”</w:t>
      </w:r>
      <w:r>
        <w:t xml:space="preserve"> </w:t>
      </w:r>
      <w:r>
        <w:t xml:space="preserve">first-syllable acute;</w:t>
      </w:r>
      <w:r>
        <w:t xml:space="preserve"> </w:t>
      </w:r>
      <w:r>
        <w:t xml:space="preserve">“</w:t>
      </w:r>
      <w:r>
        <w:t xml:space="preserve">somapītaye</w:t>
      </w:r>
      <w:r>
        <w:t xml:space="preserve">”</w:t>
      </w:r>
      <w:r>
        <w:t xml:space="preserve"> </w:t>
      </w:r>
      <w:r>
        <w:t xml:space="preserve">— first-syllable acute by vyatyaya, or as a bahuvrīhi with the first member’s accent (6-2-1).</w:t>
      </w:r>
    </w:p>
    <w:bookmarkEnd w:id="367"/>
    <w:bookmarkStart w:id="368" w:name="Xda7bcff577d18d3a91061fc4579d3899a79b7bb"/>
    <w:p>
      <w:pPr>
        <w:pStyle w:val="Heading3"/>
      </w:pPr>
      <w:r>
        <w:t xml:space="preserve">Page 340 — Rik 10: word-meanings, English, Special Topics</w:t>
      </w:r>
    </w:p>
    <w:p>
      <w:pPr>
        <w:pStyle w:val="FirstParagraph"/>
      </w:pPr>
      <w:r>
        <w:rPr>
          <w:bCs/>
          <w:b/>
        </w:rPr>
        <w:t xml:space="preserve">॥ Prati-padārthaḥ ॥</w:t>
      </w:r>
    </w:p>
    <w:p>
      <w:pPr>
        <w:pStyle w:val="BodyText"/>
      </w:pPr>
      <w:r>
        <w:rPr>
          <w:bCs/>
          <w:b/>
        </w:rPr>
        <w:t xml:space="preserve">अस्य (asya)</w:t>
      </w:r>
      <w:r>
        <w:t xml:space="preserve"> </w:t>
      </w:r>
      <w:r>
        <w:t xml:space="preserve">— of this Indra (made in regard to Indra) |</w:t>
      </w:r>
      <w:r>
        <w:t xml:space="preserve"> </w:t>
      </w:r>
      <w:r>
        <w:rPr>
          <w:bCs/>
          <w:b/>
        </w:rPr>
        <w:t xml:space="preserve">स्तोमः (stomaḥ)</w:t>
      </w:r>
      <w:r>
        <w:t xml:space="preserve"> </w:t>
      </w:r>
      <w:r>
        <w:t xml:space="preserve">— the praise in the form of Sāman singing |</w:t>
      </w:r>
      <w:r>
        <w:t xml:space="preserve"> </w:t>
      </w:r>
      <w:r>
        <w:rPr>
          <w:bCs/>
          <w:b/>
        </w:rPr>
        <w:t xml:space="preserve">उक्थं च (uktham ca)</w:t>
      </w:r>
      <w:r>
        <w:t xml:space="preserve"> </w:t>
      </w:r>
      <w:r>
        <w:t xml:space="preserve">— and the praise recited as a śastra from the ṛks (both these two kinds) |</w:t>
      </w:r>
      <w:r>
        <w:t xml:space="preserve"> </w:t>
      </w:r>
      <w:r>
        <w:rPr>
          <w:bCs/>
          <w:b/>
        </w:rPr>
        <w:t xml:space="preserve">काम्या एव हि (kāmyā eva hi)</w:t>
      </w:r>
      <w:r>
        <w:t xml:space="preserve"> </w:t>
      </w:r>
      <w:r>
        <w:t xml:space="preserve">— are indeed granting what is wished | these praises</w:t>
      </w:r>
      <w:r>
        <w:t xml:space="preserve"> </w:t>
      </w:r>
      <w:r>
        <w:rPr>
          <w:bCs/>
          <w:b/>
        </w:rPr>
        <w:t xml:space="preserve">इन्द्राय सोमपीतये (indrāya somapītaye)</w:t>
      </w:r>
      <w:r>
        <w:t xml:space="preserve"> </w:t>
      </w:r>
      <w:r>
        <w:t xml:space="preserve">— for Indra’s drinking of Soma |</w:t>
      </w:r>
      <w:r>
        <w:t xml:space="preserve"> </w:t>
      </w:r>
      <w:r>
        <w:rPr>
          <w:bCs/>
          <w:b/>
        </w:rPr>
        <w:t xml:space="preserve">शंस्या (śaṃsyā)</w:t>
      </w:r>
      <w:r>
        <w:t xml:space="preserve"> </w:t>
      </w:r>
      <w:r>
        <w:t xml:space="preserve">— are praised by the ṛtvijs.</w:t>
      </w:r>
    </w:p>
    <w:p>
      <w:pPr>
        <w:pStyle w:val="BodyText"/>
      </w:pPr>
      <w:r>
        <w:rPr>
          <w:bCs/>
          <w:b/>
        </w:rPr>
        <w:t xml:space="preserve">॥ Bhāvārthaḥ ॥</w:t>
      </w:r>
    </w:p>
    <w:p>
      <w:pPr>
        <w:pStyle w:val="BodyText"/>
      </w:pPr>
      <w:r>
        <w:t xml:space="preserve">The praises in the form of Sāman chants with which the ṛtvijs invite Indra to drink Soma, and the ṛks recited as</w:t>
      </w:r>
      <w:r>
        <w:t xml:space="preserve"> </w:t>
      </w:r>
      <w:r>
        <w:rPr>
          <w:iCs/>
          <w:i/>
        </w:rPr>
        <w:t xml:space="preserve">śastra</w:t>
      </w:r>
      <w:r>
        <w:t xml:space="preserve"> </w:t>
      </w:r>
      <w:r>
        <w:t xml:space="preserve">with ṛk-mantras — both of these kinds of praise are indeed welcome to those people, sacrificers and others, who worship Indra.</w:t>
      </w:r>
    </w:p>
    <w:p>
      <w:pPr>
        <w:pStyle w:val="BodyText"/>
      </w:pPr>
      <w:r>
        <w:rPr>
          <w:bCs/>
          <w:b/>
        </w:rPr>
        <w:t xml:space="preserve">॥ English Translation ॥</w:t>
      </w:r>
      <w:r>
        <w:t xml:space="preserve"> </w:t>
      </w:r>
      <w:r>
        <w:rPr>
          <w:iCs/>
          <w:i/>
        </w:rPr>
        <w:t xml:space="preserve">(as printed in the source)</w:t>
      </w:r>
    </w:p>
    <w:p>
      <w:pPr>
        <w:pStyle w:val="BlockText"/>
      </w:pPr>
      <w:r>
        <w:t xml:space="preserve">Verily his chanted and recited praises are to be desired and repeated to Indra, that he may drink the Soma-juice.</w:t>
      </w:r>
    </w:p>
    <w:p>
      <w:pPr>
        <w:pStyle w:val="FirstParagraph"/>
      </w:pPr>
      <w:r>
        <w:rPr>
          <w:bCs/>
          <w:b/>
        </w:rPr>
        <w:t xml:space="preserve">॥ Viśeṣa-viṣayagaḷu (Special Topics) ॥</w:t>
      </w:r>
    </w:p>
    <w:p>
      <w:pPr>
        <w:pStyle w:val="BodyText"/>
      </w:pPr>
      <w:r>
        <w:rPr>
          <w:bCs/>
          <w:b/>
        </w:rPr>
        <w:t xml:space="preserve">“</w:t>
      </w:r>
      <w:r>
        <w:rPr>
          <w:bCs/>
          <w:b/>
        </w:rPr>
        <w:t xml:space="preserve">Stomaḥ</w:t>
      </w:r>
      <w:r>
        <w:rPr>
          <w:bCs/>
          <w:b/>
        </w:rPr>
        <w:t xml:space="preserve">”</w:t>
      </w:r>
      <w:r>
        <w:rPr>
          <w:bCs/>
          <w:b/>
        </w:rPr>
        <w:t xml:space="preserve">;</w:t>
      </w:r>
      <w:r>
        <w:rPr>
          <w:bCs/>
          <w:b/>
        </w:rPr>
        <w:t xml:space="preserve"> </w:t>
      </w:r>
      <w:r>
        <w:rPr>
          <w:bCs/>
          <w:b/>
        </w:rPr>
        <w:t xml:space="preserve">“</w:t>
      </w:r>
      <w:r>
        <w:rPr>
          <w:bCs/>
          <w:b/>
        </w:rPr>
        <w:t xml:space="preserve">Uktham</w:t>
      </w:r>
      <w:r>
        <w:rPr>
          <w:bCs/>
          <w:b/>
        </w:rPr>
        <w:t xml:space="preserve">”</w:t>
      </w:r>
      <w:r>
        <w:t xml:space="preserve"> </w:t>
      </w:r>
      <w:r>
        <w:t xml:space="preserve">—</w:t>
      </w:r>
      <w:r>
        <w:t xml:space="preserve"> </w:t>
      </w:r>
      <w:r>
        <w:rPr>
          <w:iCs/>
          <w:i/>
        </w:rPr>
        <w:t xml:space="preserve">stoma</w:t>
      </w:r>
      <w:r>
        <w:t xml:space="preserve"> </w:t>
      </w:r>
      <w:r>
        <w:t xml:space="preserve">means the Sāma-Veda mantras sung as chant;</w:t>
      </w:r>
      <w:r>
        <w:t xml:space="preserve"> </w:t>
      </w:r>
      <w:r>
        <w:rPr>
          <w:iCs/>
          <w:i/>
        </w:rPr>
        <w:t xml:space="preserve">uktha</w:t>
      </w:r>
      <w:r>
        <w:t xml:space="preserve"> </w:t>
      </w:r>
      <w:r>
        <w:t xml:space="preserve">means recitation as</w:t>
      </w:r>
      <w:r>
        <w:t xml:space="preserve"> </w:t>
      </w:r>
      <w:r>
        <w:rPr>
          <w:iCs/>
          <w:i/>
        </w:rPr>
        <w:t xml:space="preserve">śastra</w:t>
      </w:r>
      <w:r>
        <w:t xml:space="preserve">, that is, reciting Ṛgveda mantras plainly, without melody, unlike chanting. We have already explained this matter earlier.</w:t>
      </w:r>
    </w:p>
    <w:p>
      <w:pPr>
        <w:pStyle w:val="BodyText"/>
      </w:pPr>
      <w:r>
        <w:rPr>
          <w:bCs/>
          <w:b/>
        </w:rPr>
        <w:t xml:space="preserve">॥ Vyākaraṇa-prakriyā ॥</w:t>
      </w:r>
      <w:r>
        <w:t xml:space="preserve"> </w:t>
      </w:r>
      <w:r>
        <w:rPr>
          <w:iCs/>
          <w:i/>
        </w:rPr>
        <w:t xml:space="preserve">(grammar page, noted briefly)</w:t>
      </w:r>
    </w:p>
    <w:p>
      <w:pPr>
        <w:pStyle w:val="BodyText"/>
      </w:pPr>
      <w:r>
        <w:t xml:space="preserve">The words</w:t>
      </w:r>
      <w:r>
        <w:t xml:space="preserve"> </w:t>
      </w:r>
      <w:r>
        <w:rPr>
          <w:bCs/>
          <w:b/>
        </w:rPr>
        <w:t xml:space="preserve">एवा (</w:t>
      </w:r>
      <w:r>
        <w:rPr>
          <w:iCs/>
          <w:i/>
          <w:bCs/>
          <w:b/>
        </w:rPr>
        <w:t xml:space="preserve">evā</w:t>
      </w:r>
      <w:r>
        <w:rPr>
          <w:bCs/>
          <w:b/>
        </w:rPr>
        <w:t xml:space="preserve">), हि (</w:t>
      </w:r>
      <w:r>
        <w:rPr>
          <w:iCs/>
          <w:i/>
          <w:bCs/>
          <w:b/>
        </w:rPr>
        <w:t xml:space="preserve">hi</w:t>
      </w:r>
      <w:r>
        <w:rPr>
          <w:bCs/>
          <w:b/>
        </w:rPr>
        <w:t xml:space="preserve">), अस्य (</w:t>
      </w:r>
      <w:r>
        <w:rPr>
          <w:iCs/>
          <w:i/>
          <w:bCs/>
          <w:b/>
        </w:rPr>
        <w:t xml:space="preserve">asya</w:t>
      </w:r>
      <w:r>
        <w:rPr>
          <w:bCs/>
          <w:b/>
        </w:rPr>
        <w:t xml:space="preserve">)</w:t>
      </w:r>
      <w:r>
        <w:t xml:space="preserve"> </w:t>
      </w:r>
      <w:r>
        <w:t xml:space="preserve">have been treated in the eighth mantra of this same sūkta.</w:t>
      </w:r>
    </w:p>
    <w:bookmarkEnd w:id="368"/>
    <w:bookmarkStart w:id="369" w:name="page-341-rik-10-grammar-close-of-sūkta-8"/>
    <w:p>
      <w:pPr>
        <w:pStyle w:val="Heading3"/>
      </w:pPr>
      <w:r>
        <w:t xml:space="preserve">Page 341 — Rik 10 grammar; close of Sūkta 8</w:t>
      </w:r>
    </w:p>
    <w:p>
      <w:pPr>
        <w:pStyle w:val="FirstParagraph"/>
      </w:pPr>
      <w:r>
        <w:rPr>
          <w:bCs/>
          <w:b/>
        </w:rPr>
        <w:t xml:space="preserve">॥ Vyākaraṇa-prakriyā ॥</w:t>
      </w:r>
      <w:r>
        <w:t xml:space="preserve"> </w:t>
      </w:r>
      <w:r>
        <w:rPr>
          <w:iCs/>
          <w:i/>
        </w:rPr>
        <w:t xml:space="preserve">(Kannada; page header</w:t>
      </w:r>
      <w:r>
        <w:rPr>
          <w:iCs/>
          <w:i/>
        </w:rPr>
        <w:t xml:space="preserve"> </w:t>
      </w:r>
      <w:r>
        <w:rPr>
          <w:iCs/>
          <w:i/>
        </w:rPr>
        <w:t xml:space="preserve">“</w:t>
      </w:r>
      <w:r>
        <w:rPr>
          <w:iCs/>
          <w:i/>
        </w:rPr>
        <w:t xml:space="preserve">A. 1, A. 1, Va. 16</w:t>
      </w:r>
      <w:r>
        <w:rPr>
          <w:iCs/>
          <w:i/>
        </w:rPr>
        <w:t xml:space="preserve">”</w:t>
      </w:r>
      <w:r>
        <w:rPr>
          <w:iCs/>
          <w:i/>
        </w:rPr>
        <w:t xml:space="preserve">; numbers as printed)</w:t>
      </w:r>
    </w:p>
    <w:p>
      <w:pPr>
        <w:pStyle w:val="BodyText"/>
      </w:pPr>
      <w:r>
        <w:rPr>
          <w:bCs/>
          <w:b/>
        </w:rPr>
        <w:t xml:space="preserve">काम्या (</w:t>
      </w:r>
      <w:r>
        <w:rPr>
          <w:iCs/>
          <w:i/>
          <w:bCs/>
          <w:b/>
        </w:rPr>
        <w:t xml:space="preserve">kāmyā</w:t>
      </w:r>
      <w:r>
        <w:rPr>
          <w:bCs/>
          <w:b/>
        </w:rPr>
        <w:t xml:space="preserve">)</w:t>
      </w:r>
      <w:r>
        <w:t xml:space="preserve"> </w:t>
      </w:r>
      <w:r>
        <w:t xml:space="preserve">— root</w:t>
      </w:r>
      <w:r>
        <w:t xml:space="preserve"> </w:t>
      </w:r>
      <w:r>
        <w:rPr>
          <w:iCs/>
          <w:i/>
        </w:rPr>
        <w:t xml:space="preserve">kamu kāntau</w:t>
      </w:r>
      <w:r>
        <w:t xml:space="preserve"> </w:t>
      </w:r>
      <w:r>
        <w:t xml:space="preserve">(</w:t>
      </w:r>
      <w:r>
        <w:t xml:space="preserve">“</w:t>
      </w:r>
      <w:r>
        <w:t xml:space="preserve">to desire</w:t>
      </w:r>
      <w:r>
        <w:t xml:space="preserve">”</w:t>
      </w:r>
      <w:r>
        <w:t xml:space="preserve">);</w:t>
      </w:r>
      <w:r>
        <w:t xml:space="preserve"> </w:t>
      </w:r>
      <w:r>
        <w:rPr>
          <w:iCs/>
          <w:i/>
        </w:rPr>
        <w:t xml:space="preserve">ṇic</w:t>
      </w:r>
      <w:r>
        <w:t xml:space="preserve"> </w:t>
      </w:r>
      <w:r>
        <w:t xml:space="preserve">in its own sense by</w:t>
      </w:r>
      <w:r>
        <w:t xml:space="preserve"> </w:t>
      </w:r>
      <w:r>
        <w:t xml:space="preserve">“</w:t>
      </w:r>
      <w:r>
        <w:t xml:space="preserve">kameṇiṅ</w:t>
      </w:r>
      <w:r>
        <w:t xml:space="preserve">”</w:t>
      </w:r>
      <w:r>
        <w:t xml:space="preserve"> </w:t>
      </w:r>
      <w:r>
        <w:t xml:space="preserve">(पा. सू. ३-१-३०); the penultimate vowel strengthened by</w:t>
      </w:r>
      <w:r>
        <w:t xml:space="preserve"> </w:t>
      </w:r>
      <w:r>
        <w:t xml:space="preserve">“</w:t>
      </w:r>
      <w:r>
        <w:t xml:space="preserve">ata upadhāyāḥ</w:t>
      </w:r>
      <w:r>
        <w:t xml:space="preserve">”</w:t>
      </w:r>
      <w:r>
        <w:t xml:space="preserve"> </w:t>
      </w:r>
      <w:r>
        <w:t xml:space="preserve">(पा. सू. ७-२-११६); then</w:t>
      </w:r>
      <w:r>
        <w:t xml:space="preserve"> </w:t>
      </w:r>
      <w:r>
        <w:rPr>
          <w:iCs/>
          <w:i/>
        </w:rPr>
        <w:t xml:space="preserve">yat</w:t>
      </w:r>
      <w:r>
        <w:t xml:space="preserve"> </w:t>
      </w:r>
      <w:r>
        <w:t xml:space="preserve">after a vowel-ending root by</w:t>
      </w:r>
      <w:r>
        <w:t xml:space="preserve"> </w:t>
      </w:r>
      <w:r>
        <w:t xml:space="preserve">“</w:t>
      </w:r>
      <w:r>
        <w:t xml:space="preserve">ac-o yat</w:t>
      </w:r>
      <w:r>
        <w:t xml:space="preserve">”</w:t>
      </w:r>
      <w:r>
        <w:t xml:space="preserve"> </w:t>
      </w:r>
      <w:r>
        <w:t xml:space="preserve">(पा. सू. ३-१-९७); the</w:t>
      </w:r>
      <w:r>
        <w:t xml:space="preserve"> </w:t>
      </w:r>
      <w:r>
        <w:rPr>
          <w:iCs/>
          <w:i/>
        </w:rPr>
        <w:t xml:space="preserve">ṇi</w:t>
      </w:r>
      <w:r>
        <w:t xml:space="preserve"> </w:t>
      </w:r>
      <w:r>
        <w:t xml:space="preserve">dropped by</w:t>
      </w:r>
      <w:r>
        <w:t xml:space="preserve"> </w:t>
      </w:r>
      <w:r>
        <w:t xml:space="preserve">“</w:t>
      </w:r>
      <w:r>
        <w:t xml:space="preserve">ṇeraniṭi</w:t>
      </w:r>
      <w:r>
        <w:t xml:space="preserve">”</w:t>
      </w:r>
      <w:r>
        <w:t xml:space="preserve"> </w:t>
      </w:r>
      <w:r>
        <w:t xml:space="preserve">(पा. सू. ६-४-५१);</w:t>
      </w:r>
      <w:r>
        <w:t xml:space="preserve"> </w:t>
      </w:r>
      <w:r>
        <w:rPr>
          <w:iCs/>
          <w:i/>
        </w:rPr>
        <w:t xml:space="preserve">yat</w:t>
      </w:r>
      <w:r>
        <w:t xml:space="preserve"> </w:t>
      </w:r>
      <w:r>
        <w:t xml:space="preserve">is</w:t>
      </w:r>
      <w:r>
        <w:t xml:space="preserve"> </w:t>
      </w:r>
      <w:r>
        <w:rPr>
          <w:iCs/>
          <w:i/>
        </w:rPr>
        <w:t xml:space="preserve">t</w:t>
      </w:r>
      <w:r>
        <w:t xml:space="preserve">-marked, so</w:t>
      </w:r>
      <w:r>
        <w:t xml:space="preserve"> </w:t>
      </w:r>
      <w:r>
        <w:rPr>
          <w:iCs/>
          <w:i/>
        </w:rPr>
        <w:t xml:space="preserve">svarita</w:t>
      </w:r>
      <w:r>
        <w:t xml:space="preserve"> </w:t>
      </w:r>
      <w:r>
        <w:t xml:space="preserve">would be expected (पा. सू. ६-१-१८५), but by</w:t>
      </w:r>
      <w:r>
        <w:t xml:space="preserve"> </w:t>
      </w:r>
      <w:r>
        <w:t xml:space="preserve">“</w:t>
      </w:r>
      <w:r>
        <w:t xml:space="preserve">yato ’nāvaḥ</w:t>
      </w:r>
      <w:r>
        <w:t xml:space="preserve">”</w:t>
      </w:r>
      <w:r>
        <w:t xml:space="preserve"> </w:t>
      </w:r>
      <w:r>
        <w:t xml:space="preserve">(पा. सू. ६-१-२१३), with</w:t>
      </w:r>
      <w:r>
        <w:t xml:space="preserve"> </w:t>
      </w:r>
      <w:r>
        <w:t xml:space="preserve">“</w:t>
      </w:r>
      <w:r>
        <w:t xml:space="preserve">dvyac</w:t>
      </w:r>
      <w:r>
        <w:t xml:space="preserve">”</w:t>
      </w:r>
      <w:r>
        <w:t xml:space="preserve"> </w:t>
      </w:r>
      <w:r>
        <w:t xml:space="preserve">carried from</w:t>
      </w:r>
      <w:r>
        <w:t xml:space="preserve"> </w:t>
      </w:r>
      <w:r>
        <w:rPr>
          <w:bCs/>
          <w:b/>
        </w:rPr>
        <w:t xml:space="preserve">निष्ठा च द्व्यजनात्</w:t>
      </w:r>
      <w:r>
        <w:t xml:space="preserve"> </w:t>
      </w:r>
      <w:r>
        <w:t xml:space="preserve">(पा. सू. ६-१-२०५), a two-vowel word ending in</w:t>
      </w:r>
      <w:r>
        <w:t xml:space="preserve"> </w:t>
      </w:r>
      <w:r>
        <w:t xml:space="preserve">“</w:t>
      </w:r>
      <w:r>
        <w:t xml:space="preserve">yat</w:t>
      </w:r>
      <w:r>
        <w:t xml:space="preserve">”</w:t>
      </w:r>
      <w:r>
        <w:t xml:space="preserve"> </w:t>
      </w:r>
      <w:r>
        <w:t xml:space="preserve">after a stem other than</w:t>
      </w:r>
      <w:r>
        <w:t xml:space="preserve"> </w:t>
      </w:r>
      <w:r>
        <w:t xml:space="preserve">“</w:t>
      </w:r>
      <w:r>
        <w:t xml:space="preserve">nau</w:t>
      </w:r>
      <w:r>
        <w:t xml:space="preserve">”</w:t>
      </w:r>
      <w:r>
        <w:t xml:space="preserve"> </w:t>
      </w:r>
      <w:r>
        <w:t xml:space="preserve">is first-syllable acute; the dual</w:t>
      </w:r>
      <w:r>
        <w:t xml:space="preserve"> </w:t>
      </w:r>
      <w:r>
        <w:rPr>
          <w:iCs/>
          <w:i/>
        </w:rPr>
        <w:t xml:space="preserve">au</w:t>
      </w:r>
      <w:r>
        <w:t xml:space="preserve"> </w:t>
      </w:r>
      <w:r>
        <w:t xml:space="preserve">replaced by</w:t>
      </w:r>
      <w:r>
        <w:t xml:space="preserve"> </w:t>
      </w:r>
      <w:r>
        <w:rPr>
          <w:iCs/>
          <w:i/>
        </w:rPr>
        <w:t xml:space="preserve">ḍā</w:t>
      </w:r>
      <w:r>
        <w:t xml:space="preserve"> </w:t>
      </w:r>
      <w:r>
        <w:t xml:space="preserve">(पा. सू. ७-१-३९).</w:t>
      </w:r>
      <w:r>
        <w:t xml:space="preserve"> </w:t>
      </w:r>
      <w:r>
        <w:rPr>
          <w:bCs/>
          <w:b/>
        </w:rPr>
        <w:t xml:space="preserve">स्तोमः (</w:t>
      </w:r>
      <w:r>
        <w:rPr>
          <w:iCs/>
          <w:i/>
          <w:bCs/>
          <w:b/>
        </w:rPr>
        <w:t xml:space="preserve">stomaḥ</w:t>
      </w:r>
      <w:r>
        <w:rPr>
          <w:bCs/>
          <w:b/>
        </w:rPr>
        <w:t xml:space="preserve">)</w:t>
      </w:r>
      <w:r>
        <w:t xml:space="preserve"> </w:t>
      </w:r>
      <w:r>
        <w:t xml:space="preserve">— root</w:t>
      </w:r>
      <w:r>
        <w:t xml:space="preserve"> </w:t>
      </w:r>
      <w:r>
        <w:rPr>
          <w:iCs/>
          <w:i/>
        </w:rPr>
        <w:t xml:space="preserve">ṣṭuñ stutau</w:t>
      </w:r>
      <w:r>
        <w:t xml:space="preserve"> </w:t>
      </w:r>
      <w:r>
        <w:t xml:space="preserve">with</w:t>
      </w:r>
      <w:r>
        <w:t xml:space="preserve"> </w:t>
      </w:r>
      <w:r>
        <w:rPr>
          <w:iCs/>
          <w:i/>
        </w:rPr>
        <w:t xml:space="preserve">man</w:t>
      </w:r>
      <w:r>
        <w:t xml:space="preserve"> </w:t>
      </w:r>
      <w:r>
        <w:t xml:space="preserve">by</w:t>
      </w:r>
      <w:r>
        <w:t xml:space="preserve"> </w:t>
      </w:r>
      <w:r>
        <w:rPr>
          <w:bCs/>
          <w:b/>
        </w:rPr>
        <w:t xml:space="preserve">अर्तिस्तुसुहुसृधृक्षिक्षुभायावापदियक्षिनीभ्यो मन्</w:t>
      </w:r>
      <w:r>
        <w:t xml:space="preserve"> </w:t>
      </w:r>
      <w:r>
        <w:t xml:space="preserve">(उ. सू. १-१४२ [?], the figures unclear); guṇa by</w:t>
      </w:r>
      <w:r>
        <w:t xml:space="preserve"> </w:t>
      </w:r>
      <w:r>
        <w:t xml:space="preserve">“</w:t>
      </w:r>
      <w:r>
        <w:t xml:space="preserve">sārvadhātukārdhadhātukayoḥ</w:t>
      </w:r>
      <w:r>
        <w:t xml:space="preserve">”</w:t>
      </w:r>
      <w:r>
        <w:t xml:space="preserve"> </w:t>
      </w:r>
      <w:r>
        <w:t xml:space="preserve">(पा. सू. ७-३-८४).</w:t>
      </w:r>
      <w:r>
        <w:t xml:space="preserve"> </w:t>
      </w:r>
      <w:r>
        <w:rPr>
          <w:bCs/>
          <w:b/>
        </w:rPr>
        <w:t xml:space="preserve">उक्थम् (</w:t>
      </w:r>
      <w:r>
        <w:rPr>
          <w:iCs/>
          <w:i/>
          <w:bCs/>
          <w:b/>
        </w:rPr>
        <w:t xml:space="preserve">uktham</w:t>
      </w:r>
      <w:r>
        <w:rPr>
          <w:bCs/>
          <w:b/>
        </w:rPr>
        <w:t xml:space="preserve">)</w:t>
      </w:r>
      <w:r>
        <w:t xml:space="preserve"> </w:t>
      </w:r>
      <w:r>
        <w:t xml:space="preserve">— root</w:t>
      </w:r>
      <w:r>
        <w:t xml:space="preserve"> </w:t>
      </w:r>
      <w:r>
        <w:rPr>
          <w:iCs/>
          <w:i/>
        </w:rPr>
        <w:t xml:space="preserve">vaca paribhāṣaṇe</w:t>
      </w:r>
      <w:r>
        <w:t xml:space="preserve"> </w:t>
      </w:r>
      <w:r>
        <w:t xml:space="preserve">(</w:t>
      </w:r>
      <w:r>
        <w:t xml:space="preserve">“</w:t>
      </w:r>
      <w:r>
        <w:t xml:space="preserve">to speak</w:t>
      </w:r>
      <w:r>
        <w:t xml:space="preserve">”</w:t>
      </w:r>
      <w:r>
        <w:t xml:space="preserve">) with</w:t>
      </w:r>
      <w:r>
        <w:t xml:space="preserve"> </w:t>
      </w:r>
      <w:r>
        <w:rPr>
          <w:iCs/>
          <w:i/>
        </w:rPr>
        <w:t xml:space="preserve">thak</w:t>
      </w:r>
      <w:r>
        <w:t xml:space="preserve"> </w:t>
      </w:r>
      <w:r>
        <w:t xml:space="preserve">by</w:t>
      </w:r>
      <w:r>
        <w:t xml:space="preserve"> </w:t>
      </w:r>
      <w:r>
        <w:rPr>
          <w:bCs/>
          <w:b/>
        </w:rPr>
        <w:t xml:space="preserve">पातॄतुदिवचिरिचिसिचिभ्यस्थक्</w:t>
      </w:r>
      <w:r>
        <w:t xml:space="preserve"> </w:t>
      </w:r>
      <w:r>
        <w:t xml:space="preserve">(उ. सू. २-१६४ [?], as printed; the Bhāṣya gave</w:t>
      </w:r>
      <w:r>
        <w:t xml:space="preserve"> </w:t>
      </w:r>
      <w:r>
        <w:t xml:space="preserve">“</w:t>
      </w:r>
      <w:r>
        <w:t xml:space="preserve">उ. २-७</w:t>
      </w:r>
      <w:r>
        <w:t xml:space="preserve">”</w:t>
      </w:r>
      <w:r>
        <w:t xml:space="preserve">); the suffix is</w:t>
      </w:r>
      <w:r>
        <w:t xml:space="preserve"> </w:t>
      </w:r>
      <w:r>
        <w:rPr>
          <w:iCs/>
          <w:i/>
        </w:rPr>
        <w:t xml:space="preserve">kit</w:t>
      </w:r>
      <w:r>
        <w:t xml:space="preserve">, so</w:t>
      </w:r>
      <w:r>
        <w:t xml:space="preserve"> </w:t>
      </w:r>
      <w:r>
        <w:rPr>
          <w:iCs/>
          <w:i/>
        </w:rPr>
        <w:t xml:space="preserve">saṃprasāraṇa</w:t>
      </w:r>
      <w:r>
        <w:t xml:space="preserve"> </w:t>
      </w:r>
      <w:r>
        <w:t xml:space="preserve">by</w:t>
      </w:r>
      <w:r>
        <w:t xml:space="preserve"> </w:t>
      </w:r>
      <w:r>
        <w:rPr>
          <w:bCs/>
          <w:b/>
        </w:rPr>
        <w:t xml:space="preserve">वचिस्वपियजादीनां किति</w:t>
      </w:r>
      <w:r>
        <w:t xml:space="preserve"> </w:t>
      </w:r>
      <w:r>
        <w:t xml:space="preserve">(पा. सू. ६-१-१५), the prior form by</w:t>
      </w:r>
      <w:r>
        <w:t xml:space="preserve"> </w:t>
      </w:r>
      <w:r>
        <w:rPr>
          <w:bCs/>
          <w:b/>
        </w:rPr>
        <w:t xml:space="preserve">संप्रसारणाच्च</w:t>
      </w:r>
      <w:r>
        <w:t xml:space="preserve"> </w:t>
      </w:r>
      <w:r>
        <w:t xml:space="preserve">(पा. सू. ६-१-१०८);</w:t>
      </w:r>
      <w:r>
        <w:t xml:space="preserve"> </w:t>
      </w:r>
      <w:r>
        <w:rPr>
          <w:iCs/>
          <w:i/>
        </w:rPr>
        <w:t xml:space="preserve">c</w:t>
      </w:r>
      <w:r>
        <w:t xml:space="preserve"> </w:t>
      </w:r>
      <w:r>
        <w:t xml:space="preserve">→</w:t>
      </w:r>
      <w:r>
        <w:t xml:space="preserve"> </w:t>
      </w:r>
      <w:r>
        <w:rPr>
          <w:iCs/>
          <w:i/>
        </w:rPr>
        <w:t xml:space="preserve">k</w:t>
      </w:r>
      <w:r>
        <w:t xml:space="preserve"> </w:t>
      </w:r>
      <w:r>
        <w:t xml:space="preserve">(पा. सू. ८-२-३०); no</w:t>
      </w:r>
      <w:r>
        <w:t xml:space="preserve"> </w:t>
      </w:r>
      <w:r>
        <w:rPr>
          <w:iCs/>
          <w:i/>
        </w:rPr>
        <w:t xml:space="preserve">laghūpadha-guṇa</w:t>
      </w:r>
      <w:r>
        <w:t xml:space="preserve"> </w:t>
      </w:r>
      <w:r>
        <w:t xml:space="preserve">since the suffix is</w:t>
      </w:r>
      <w:r>
        <w:t xml:space="preserve"> </w:t>
      </w:r>
      <w:r>
        <w:rPr>
          <w:iCs/>
          <w:i/>
        </w:rPr>
        <w:t xml:space="preserve">kit</w:t>
      </w:r>
      <w:r>
        <w:t xml:space="preserve">.</w:t>
      </w:r>
      <w:r>
        <w:t xml:space="preserve"> </w:t>
      </w:r>
      <w:r>
        <w:rPr>
          <w:bCs/>
          <w:b/>
        </w:rPr>
        <w:t xml:space="preserve">शंस्या (</w:t>
      </w:r>
      <w:r>
        <w:rPr>
          <w:iCs/>
          <w:i/>
          <w:bCs/>
          <w:b/>
        </w:rPr>
        <w:t xml:space="preserve">śaṃsyā</w:t>
      </w:r>
      <w:r>
        <w:rPr>
          <w:bCs/>
          <w:b/>
        </w:rPr>
        <w:t xml:space="preserve">)</w:t>
      </w:r>
      <w:r>
        <w:t xml:space="preserve"> </w:t>
      </w:r>
      <w:r>
        <w:t xml:space="preserve">— root</w:t>
      </w:r>
      <w:r>
        <w:t xml:space="preserve"> </w:t>
      </w:r>
      <w:r>
        <w:rPr>
          <w:iCs/>
          <w:i/>
        </w:rPr>
        <w:t xml:space="preserve">śaṃsu stutau</w:t>
      </w:r>
      <w:r>
        <w:t xml:space="preserve"> </w:t>
      </w:r>
      <w:r>
        <w:t xml:space="preserve">with</w:t>
      </w:r>
      <w:r>
        <w:t xml:space="preserve"> </w:t>
      </w:r>
      <w:r>
        <w:rPr>
          <w:iCs/>
          <w:i/>
        </w:rPr>
        <w:t xml:space="preserve">ṇic</w:t>
      </w:r>
      <w:r>
        <w:t xml:space="preserve">;</w:t>
      </w:r>
      <w:r>
        <w:t xml:space="preserve"> </w:t>
      </w:r>
      <w:r>
        <w:rPr>
          <w:iCs/>
          <w:i/>
        </w:rPr>
        <w:t xml:space="preserve">yat</w:t>
      </w:r>
      <w:r>
        <w:t xml:space="preserve"> </w:t>
      </w:r>
      <w:r>
        <w:t xml:space="preserve">after a</w:t>
      </w:r>
      <w:r>
        <w:t xml:space="preserve"> </w:t>
      </w:r>
      <w:r>
        <w:rPr>
          <w:iCs/>
          <w:i/>
        </w:rPr>
        <w:t xml:space="preserve">ṇic</w:t>
      </w:r>
      <w:r>
        <w:t xml:space="preserve">-ending root;</w:t>
      </w:r>
      <w:r>
        <w:t xml:space="preserve"> </w:t>
      </w:r>
      <w:r>
        <w:rPr>
          <w:iCs/>
          <w:i/>
        </w:rPr>
        <w:t xml:space="preserve">ṇi</w:t>
      </w:r>
      <w:r>
        <w:t xml:space="preserve"> </w:t>
      </w:r>
      <w:r>
        <w:t xml:space="preserve">dropped;</w:t>
      </w:r>
      <w:r>
        <w:t xml:space="preserve"> </w:t>
      </w:r>
      <w:r>
        <w:rPr>
          <w:iCs/>
          <w:i/>
        </w:rPr>
        <w:t xml:space="preserve">yato ’nāvaḥ</w:t>
      </w:r>
      <w:r>
        <w:t xml:space="preserve"> </w:t>
      </w:r>
      <w:r>
        <w:t xml:space="preserve">gives initial-udātta; the dual ending by</w:t>
      </w:r>
      <w:r>
        <w:t xml:space="preserve"> </w:t>
      </w:r>
      <w:r>
        <w:rPr>
          <w:iCs/>
          <w:i/>
        </w:rPr>
        <w:t xml:space="preserve">ḍā</w:t>
      </w:r>
      <w:r>
        <w:t xml:space="preserve">.</w:t>
      </w:r>
      <w:r>
        <w:t xml:space="preserve"> </w:t>
      </w:r>
      <w:r>
        <w:rPr>
          <w:bCs/>
          <w:b/>
        </w:rPr>
        <w:t xml:space="preserve">सोमपीतये (</w:t>
      </w:r>
      <w:r>
        <w:rPr>
          <w:iCs/>
          <w:i/>
          <w:bCs/>
          <w:b/>
        </w:rPr>
        <w:t xml:space="preserve">somapītaye</w:t>
      </w:r>
      <w:r>
        <w:rPr>
          <w:bCs/>
          <w:b/>
        </w:rPr>
        <w:t xml:space="preserve">)</w:t>
      </w:r>
      <w:r>
        <w:t xml:space="preserve"> </w:t>
      </w:r>
      <w:r>
        <w:t xml:space="preserve">—</w:t>
      </w:r>
      <w:r>
        <w:t xml:space="preserve"> </w:t>
      </w:r>
      <w:r>
        <w:rPr>
          <w:iCs/>
          <w:i/>
        </w:rPr>
        <w:t xml:space="preserve">somasya pītiḥ</w:t>
      </w:r>
      <w:r>
        <w:t xml:space="preserve"> </w:t>
      </w:r>
      <w:r>
        <w:t xml:space="preserve">(</w:t>
      </w:r>
      <w:r>
        <w:t xml:space="preserve">“</w:t>
      </w:r>
      <w:r>
        <w:t xml:space="preserve">drinking of Soma</w:t>
      </w:r>
      <w:r>
        <w:t xml:space="preserve">”</w:t>
      </w:r>
      <w:r>
        <w:t xml:space="preserve">); the compound would take the final-udātta of the second member (</w:t>
      </w:r>
      <w:r>
        <w:rPr>
          <w:iCs/>
          <w:i/>
        </w:rPr>
        <w:t xml:space="preserve">kṛd-uttarapada-prakṛti-svara</w:t>
      </w:r>
      <w:r>
        <w:t xml:space="preserve">) by</w:t>
      </w:r>
      <w:r>
        <w:t xml:space="preserve"> </w:t>
      </w:r>
      <w:r>
        <w:rPr>
          <w:bCs/>
          <w:b/>
        </w:rPr>
        <w:t xml:space="preserve">गतिकारकोपपदात्कृत्</w:t>
      </w:r>
      <w:r>
        <w:t xml:space="preserve"> </w:t>
      </w:r>
      <w:r>
        <w:t xml:space="preserve">(पा. सू. ६-२-१३९), but by</w:t>
      </w:r>
      <w:r>
        <w:t xml:space="preserve"> </w:t>
      </w:r>
      <w:r>
        <w:rPr>
          <w:iCs/>
          <w:i/>
        </w:rPr>
        <w:t xml:space="preserve">vyatyaya</w:t>
      </w:r>
      <w:r>
        <w:t xml:space="preserve"> </w:t>
      </w:r>
      <w:r>
        <w:t xml:space="preserve">it takes the initial udātta; or, alternatively,</w:t>
      </w:r>
      <w:r>
        <w:t xml:space="preserve"> </w:t>
      </w:r>
      <w:r>
        <w:rPr>
          <w:iCs/>
          <w:i/>
        </w:rPr>
        <w:t xml:space="preserve">somasya pītir yasya indrasya</w:t>
      </w:r>
      <w:r>
        <w:t xml:space="preserve"> </w:t>
      </w:r>
      <w:r>
        <w:t xml:space="preserve">—</w:t>
      </w:r>
      <w:r>
        <w:t xml:space="preserve"> </w:t>
      </w:r>
      <w:r>
        <w:t xml:space="preserve">“</w:t>
      </w:r>
      <w:r>
        <w:t xml:space="preserve">Indra, whose is the drinking of Soma</w:t>
      </w:r>
      <w:r>
        <w:t xml:space="preserve">”</w:t>
      </w:r>
      <w:r>
        <w:t xml:space="preserve"> </w:t>
      </w:r>
      <w:r>
        <w:t xml:space="preserve">as a bahuvrīhi, in which the first member keeps its natural accent (Pā. 6-2-1).</w:t>
      </w:r>
    </w:p>
    <w:p>
      <w:pPr>
        <w:pStyle w:val="BodyText"/>
      </w:pPr>
      <w:r>
        <w:rPr>
          <w:bCs/>
          <w:b/>
        </w:rPr>
        <w:t xml:space="preserve">॥१०॥</w:t>
      </w:r>
    </w:p>
    <w:p>
      <w:pPr>
        <w:pStyle w:val="BodyText"/>
      </w:pPr>
      <w:r>
        <w:rPr>
          <w:bCs/>
          <w:b/>
        </w:rPr>
        <w:t xml:space="preserve">End of Sūkta 8.</w:t>
      </w:r>
    </w:p>
    <w:p>
      <w:r>
        <w:pict>
          <v:rect style="width:0;height:1.5pt" o:hralign="center" o:hrstd="t" o:hr="t"/>
        </w:pict>
      </w:r>
    </w:p>
    <w:bookmarkEnd w:id="369"/>
    <w:bookmarkStart w:id="370" w:name="Xa4051115422302b9ae36ec5f4be3ed027ad8c5a"/>
    <w:p>
      <w:pPr>
        <w:pStyle w:val="Heading3"/>
      </w:pPr>
      <w:r>
        <w:t xml:space="preserve">Page 342 — opening of Sūkta 9 (third anuvāka)</w:t>
      </w:r>
    </w:p>
    <w:p>
      <w:pPr>
        <w:pStyle w:val="FirstParagraph"/>
      </w:pPr>
      <w:r>
        <w:rPr>
          <w:bCs/>
          <w:b/>
        </w:rPr>
        <w:t xml:space="preserve">॥ ಒಂಭತ್ತನೆಯ ಸೂಕ್ತವು ॥ — Sūkta 9 —</w:t>
      </w:r>
      <w:r>
        <w:rPr>
          <w:bCs/>
          <w:b/>
        </w:rPr>
        <w:t xml:space="preserve"> </w:t>
      </w:r>
      <w:r>
        <w:rPr>
          <w:iCs/>
          <w:i/>
          <w:bCs/>
          <w:b/>
        </w:rPr>
        <w:t xml:space="preserve">“</w:t>
      </w:r>
      <w:r>
        <w:rPr>
          <w:iCs/>
          <w:i/>
          <w:bCs/>
          <w:b/>
        </w:rPr>
        <w:t xml:space="preserve">indrehi matsy andhasaḥ</w:t>
      </w:r>
      <w:r>
        <w:rPr>
          <w:iCs/>
          <w:i/>
          <w:bCs/>
          <w:b/>
        </w:rPr>
        <w:t xml:space="preserve">”</w:t>
      </w:r>
      <w:r>
        <w:rPr>
          <w:bCs/>
          <w:b/>
        </w:rPr>
        <w:t xml:space="preserve"> </w:t>
      </w:r>
      <w:r>
        <w:rPr>
          <w:bCs/>
          <w:b/>
        </w:rPr>
        <w:t xml:space="preserve">(</w:t>
      </w:r>
      <w:r>
        <w:rPr>
          <w:bCs/>
          <w:b/>
        </w:rPr>
        <w:t xml:space="preserve">“</w:t>
      </w:r>
      <w:r>
        <w:rPr>
          <w:bCs/>
          <w:b/>
        </w:rPr>
        <w:t xml:space="preserve">The Ninth Sūkta</w:t>
      </w:r>
      <w:r>
        <w:rPr>
          <w:bCs/>
          <w:b/>
        </w:rPr>
        <w:t xml:space="preserve">”</w:t>
      </w:r>
      <w:r>
        <w:rPr>
          <w:bCs/>
          <w:b/>
        </w:rPr>
        <w:t xml:space="preserve">)</w:t>
      </w:r>
    </w:p>
    <w:p>
      <w:pPr>
        <w:pStyle w:val="BodyText"/>
      </w:pPr>
      <w:r>
        <w:rPr>
          <w:bCs/>
          <w:b/>
        </w:rPr>
        <w:t xml:space="preserve">॥ Sāyaṇa-bhāṣyam ॥ (introductory note on the application of the sūkta)</w:t>
      </w:r>
    </w:p>
    <w:p>
      <w:pPr>
        <w:pStyle w:val="BlockText"/>
      </w:pPr>
      <w:r>
        <w:t xml:space="preserve">इन्द्रेहीत्यादिकं दशर्चं सूक्तं सुरूपकृत्नुमित्यादिषु षष्ठम् । ऋष्यादयस्तु पूर्ववत् । विशेषस्त्वतिरात्रे द्वितीयपर्याये ऽच्छावाकशस्त्र इन्द्रेहीत्यनुरूपस्तृचः । अतिरात्रे पर्यायाणामिति खण्डे इदं वसो सुतमन्धः इन्द्रेहि मत्स्यन्धसः । आ. ६-४ । इति सूत्रितम् ॥</w:t>
      </w:r>
    </w:p>
    <w:p>
      <w:pPr>
        <w:pStyle w:val="BlockText"/>
      </w:pPr>
      <w:r>
        <w:rPr>
          <w:iCs/>
          <w:i/>
        </w:rPr>
        <w:t xml:space="preserve">indrehity-ādikaṃ daśarcaṃ sūktaṃ surūpakṛtnum ity-ādiṣu ṣaṣṭham | ṛṣy-ādayas tu pūrvavat | viśeṣas tv atirātre dvitīya-paryāye ’cchāvāka-śastra indrehity anurūpas tṛcaḥ | atirātre paryāyāṇām iti khaṇḍe idaṃ vaso sutam andhaḥ indrehi matsy andhasaḥ | ā. 6-4 | iti sūtritam ||</w:t>
      </w:r>
    </w:p>
    <w:p>
      <w:pPr>
        <w:pStyle w:val="FirstParagraph"/>
      </w:pPr>
      <w:r>
        <w:rPr>
          <w:bCs/>
          <w:b/>
        </w:rPr>
        <w:t xml:space="preserve">Translation:</w:t>
      </w:r>
      <w:r>
        <w:t xml:space="preserve"> </w:t>
      </w:r>
      <w:r>
        <w:t xml:space="preserve">“</w:t>
      </w:r>
      <w:r>
        <w:t xml:space="preserve">The ten-rik sūkta beginning</w:t>
      </w:r>
      <w:r>
        <w:t xml:space="preserve"> </w:t>
      </w:r>
      <w:r>
        <w:rPr>
          <w:iCs/>
          <w:i/>
        </w:rPr>
        <w:t xml:space="preserve">indrehi</w:t>
      </w:r>
      <w:r>
        <w:t xml:space="preserve"> </w:t>
      </w:r>
      <w:r>
        <w:t xml:space="preserve">is the sixth among those beginning with</w:t>
      </w:r>
      <w:r>
        <w:t xml:space="preserve"> </w:t>
      </w:r>
      <w:r>
        <w:rPr>
          <w:iCs/>
          <w:i/>
        </w:rPr>
        <w:t xml:space="preserve">surūpakṛtnum</w:t>
      </w:r>
      <w:r>
        <w:t xml:space="preserve">. Ṛṣi and the rest are as before. Its special application: in the</w:t>
      </w:r>
      <w:r>
        <w:t xml:space="preserve"> </w:t>
      </w:r>
      <w:r>
        <w:rPr>
          <w:bCs/>
          <w:b/>
        </w:rPr>
        <w:t xml:space="preserve">Atirātra</w:t>
      </w:r>
      <w:r>
        <w:t xml:space="preserve">, in the second paryāya, in the Acchāvāka’s śastra, the triplet beginning</w:t>
      </w:r>
      <w:r>
        <w:t xml:space="preserve"> </w:t>
      </w:r>
      <w:r>
        <w:rPr>
          <w:iCs/>
          <w:i/>
        </w:rPr>
        <w:t xml:space="preserve">indrehi</w:t>
      </w:r>
      <w:r>
        <w:t xml:space="preserve"> </w:t>
      </w:r>
      <w:r>
        <w:t xml:space="preserve">is the</w:t>
      </w:r>
      <w:r>
        <w:t xml:space="preserve"> </w:t>
      </w:r>
      <w:r>
        <w:rPr>
          <w:iCs/>
          <w:i/>
        </w:rPr>
        <w:t xml:space="preserve">anurūpa</w:t>
      </w:r>
      <w:r>
        <w:t xml:space="preserve">. It is laid down in the section</w:t>
      </w:r>
      <w:r>
        <w:t xml:space="preserve"> </w:t>
      </w:r>
      <w:r>
        <w:t xml:space="preserve">‘</w:t>
      </w:r>
      <w:r>
        <w:t xml:space="preserve">of the paryāyas in the Atirātra</w:t>
      </w:r>
      <w:r>
        <w:t xml:space="preserve">’</w:t>
      </w:r>
      <w:r>
        <w:t xml:space="preserve">:</w:t>
      </w:r>
      <w:r>
        <w:t xml:space="preserve"> </w:t>
      </w:r>
      <w:r>
        <w:t xml:space="preserve">‘</w:t>
      </w:r>
      <w:r>
        <w:rPr>
          <w:iCs/>
          <w:i/>
        </w:rPr>
        <w:t xml:space="preserve">idaṃ vaso sutam andhaḥ</w:t>
      </w:r>
      <w:r>
        <w:t xml:space="preserve">,</w:t>
      </w:r>
      <w:r>
        <w:t xml:space="preserve"> </w:t>
      </w:r>
      <w:r>
        <w:rPr>
          <w:iCs/>
          <w:i/>
        </w:rPr>
        <w:t xml:space="preserve">indrehi matsy andhasaḥ</w:t>
      </w:r>
      <w:r>
        <w:t xml:space="preserve">’</w:t>
      </w:r>
      <w:r>
        <w:t xml:space="preserve"> </w:t>
      </w:r>
      <w:r>
        <w:t xml:space="preserve">(Āśvalāyana 6-4).</w:t>
      </w:r>
      <w:r>
        <w:t xml:space="preserve">”</w:t>
      </w:r>
    </w:p>
    <w:p>
      <w:pPr>
        <w:pStyle w:val="BodyText"/>
      </w:pPr>
      <w:r>
        <w:rPr>
          <w:bCs/>
          <w:b/>
        </w:rPr>
        <w:t xml:space="preserve">॥ Anuvāda (Kannada rendering) ॥</w:t>
      </w:r>
      <w:r>
        <w:t xml:space="preserve"> </w:t>
      </w:r>
      <w:r>
        <w:t xml:space="preserve">The sūkta</w:t>
      </w:r>
      <w:r>
        <w:t xml:space="preserve"> </w:t>
      </w:r>
      <w:r>
        <w:rPr>
          <w:iCs/>
          <w:i/>
        </w:rPr>
        <w:t xml:space="preserve">indrehi</w:t>
      </w:r>
      <w:r>
        <w:t xml:space="preserve"> </w:t>
      </w:r>
      <w:r>
        <w:t xml:space="preserve">has ten riks; among the sūktas beginning</w:t>
      </w:r>
      <w:r>
        <w:t xml:space="preserve"> </w:t>
      </w:r>
      <w:r>
        <w:rPr>
          <w:iCs/>
          <w:i/>
        </w:rPr>
        <w:t xml:space="preserve">surūpakṛtnum</w:t>
      </w:r>
      <w:r>
        <w:t xml:space="preserve"> </w:t>
      </w:r>
      <w:r>
        <w:t xml:space="preserve">it is the sixth. Ṛṣi, deity and meter are as in the preceding sūktas. Special application: in the</w:t>
      </w:r>
      <w:r>
        <w:t xml:space="preserve"> </w:t>
      </w:r>
      <w:r>
        <w:rPr>
          <w:bCs/>
          <w:b/>
        </w:rPr>
        <w:t xml:space="preserve">Atirātra</w:t>
      </w:r>
      <w:r>
        <w:t xml:space="preserve"> </w:t>
      </w:r>
      <w:r>
        <w:t xml:space="preserve">rite, in the second paryāya, the Acchāvāka — a priest of the hotṛ group — recites the triplet</w:t>
      </w:r>
      <w:r>
        <w:t xml:space="preserve"> </w:t>
      </w:r>
      <w:r>
        <w:rPr>
          <w:iCs/>
          <w:i/>
        </w:rPr>
        <w:t xml:space="preserve">indrehi</w:t>
      </w:r>
      <w:r>
        <w:t xml:space="preserve">. In the section on the paryāyas of the Atirātra, the riks</w:t>
      </w:r>
      <w:r>
        <w:t xml:space="preserve"> </w:t>
      </w:r>
      <w:r>
        <w:rPr>
          <w:iCs/>
          <w:i/>
        </w:rPr>
        <w:t xml:space="preserve">idaṃ vaso sutam andhaḥ</w:t>
      </w:r>
      <w:r>
        <w:t xml:space="preserve"> </w:t>
      </w:r>
      <w:r>
        <w:t xml:space="preserve">(Ṛgveda Saṃhitā 8-2-1) and</w:t>
      </w:r>
      <w:r>
        <w:t xml:space="preserve"> </w:t>
      </w:r>
      <w:r>
        <w:rPr>
          <w:iCs/>
          <w:i/>
        </w:rPr>
        <w:t xml:space="preserve">indrehi matsy andhasaḥ</w:t>
      </w:r>
      <w:r>
        <w:t xml:space="preserve"> </w:t>
      </w:r>
      <w:r>
        <w:t xml:space="preserve">(Ṛgveda Saṃhitā 1-9-1) are to be recited in the (first and second) paryāyas of the Atirātra rite, as Āśvalāyana says in his Śrauta-sūtra (Āś. Sū. 6-4).</w:t>
      </w:r>
    </w:p>
    <w:p>
      <w:pPr>
        <w:pStyle w:val="BodyText"/>
      </w:pPr>
      <w:r>
        <w:rPr>
          <w:bCs/>
          <w:b/>
        </w:rPr>
        <w:t xml:space="preserve">॥ ॐ ॥</w:t>
      </w:r>
    </w:p>
    <w:bookmarkEnd w:id="370"/>
    <w:bookmarkStart w:id="371" w:name="page-342-lower-half-sūkta-9-rik-1"/>
    <w:p>
      <w:pPr>
        <w:pStyle w:val="Heading3"/>
      </w:pPr>
      <w:r>
        <w:t xml:space="preserve">Page 342 (lower half) — Sūkta 9, Rik 1</w:t>
      </w:r>
    </w:p>
    <w:p>
      <w:pPr>
        <w:pStyle w:val="FirstParagraph"/>
      </w:pPr>
      <w:r>
        <w:rPr>
          <w:bCs/>
          <w:b/>
        </w:rPr>
        <w:t xml:space="preserve">॥ Sūkta — 9 ॥</w:t>
      </w:r>
      <w:r>
        <w:t xml:space="preserve"> </w:t>
      </w:r>
      <w:r>
        <w:rPr>
          <w:bCs/>
          <w:b/>
        </w:rPr>
        <w:t xml:space="preserve">॥ Maṇḍala — 1 ॥ Anuvāka — 3 ॥ Sūkta — 9 ॥</w:t>
      </w:r>
      <w:r>
        <w:t xml:space="preserve"> </w:t>
      </w:r>
      <w:r>
        <w:rPr>
          <w:bCs/>
          <w:b/>
        </w:rPr>
        <w:t xml:space="preserve">॥ Aṣṭaka — 1 ॥ Adhyāya — 1 ॥ Varga — 17, 18 ॥</w:t>
      </w:r>
      <w:r>
        <w:t xml:space="preserve"> </w:t>
      </w:r>
      <w:r>
        <w:rPr>
          <w:bCs/>
          <w:b/>
        </w:rPr>
        <w:t xml:space="preserve">॥ Mantras contained in this sūkta: 1–10 ॥</w:t>
      </w:r>
      <w:r>
        <w:t xml:space="preserve"> </w:t>
      </w:r>
      <w:r>
        <w:rPr>
          <w:bCs/>
          <w:b/>
        </w:rPr>
        <w:t xml:space="preserve">॥ Ṛṣi — Madhucchandā Vaiśvāmitra ॥</w:t>
      </w:r>
      <w:r>
        <w:t xml:space="preserve"> </w:t>
      </w:r>
      <w:r>
        <w:rPr>
          <w:bCs/>
          <w:b/>
        </w:rPr>
        <w:t xml:space="preserve">॥ Devatā — Indra ॥</w:t>
      </w:r>
      <w:r>
        <w:t xml:space="preserve"> </w:t>
      </w:r>
      <w:r>
        <w:rPr>
          <w:bCs/>
          <w:b/>
        </w:rPr>
        <w:t xml:space="preserve">॥ Chandaḥ — Gāyatrī ॥</w:t>
      </w:r>
    </w:p>
    <w:p>
      <w:pPr>
        <w:pStyle w:val="BodyText"/>
      </w:pPr>
      <w:r>
        <w:rPr>
          <w:iCs/>
          <w:i/>
        </w:rPr>
        <w:t xml:space="preserve">(Saṃhitā accents as printed; Pada unaccented.)</w:t>
      </w:r>
    </w:p>
    <w:p>
      <w:pPr>
        <w:pStyle w:val="BodyText"/>
      </w:pPr>
      <w:r>
        <w:rPr>
          <w:bCs/>
          <w:b/>
        </w:rPr>
        <w:t xml:space="preserve">॥ Saṃhitā-pāṭhaḥ ॥</w:t>
      </w:r>
    </w:p>
    <w:p>
      <w:pPr>
        <w:pStyle w:val="BlockText"/>
      </w:pPr>
      <w:r>
        <w:t xml:space="preserve">इन्द्रेहि॒ मत्स्य॑न्धसो॒ विश्वे॑भिः सोम॒पर्व॑भिः ।</w:t>
      </w:r>
      <w:r>
        <w:t xml:space="preserve"> </w:t>
      </w:r>
      <w:r>
        <w:t xml:space="preserve">म॒हाँ अ॑भि॒ष्टिरोज॑सा ॥१॥</w:t>
      </w:r>
    </w:p>
    <w:p>
      <w:pPr>
        <w:pStyle w:val="BlockText"/>
      </w:pPr>
      <w:r>
        <w:rPr>
          <w:iCs/>
          <w:i/>
        </w:rPr>
        <w:t xml:space="preserve">indrehi mátsy andhaso víśvebhiḥ somapárvabhiḥ |</w:t>
      </w:r>
      <w:r>
        <w:t xml:space="preserve"> </w:t>
      </w:r>
      <w:r>
        <w:rPr>
          <w:iCs/>
          <w:i/>
        </w:rPr>
        <w:t xml:space="preserve">mahā́ṁ abhiṣṭír ójasā ||1||</w:t>
      </w:r>
    </w:p>
    <w:p>
      <w:pPr>
        <w:pStyle w:val="FirstParagraph"/>
      </w:pPr>
      <w:r>
        <w:rPr>
          <w:bCs/>
          <w:b/>
        </w:rPr>
        <w:t xml:space="preserve">॥ Pada-pāṭhaḥ ॥</w:t>
      </w:r>
    </w:p>
    <w:p>
      <w:pPr>
        <w:pStyle w:val="BlockText"/>
      </w:pPr>
      <w:r>
        <w:t xml:space="preserve">इन्द्र । आ । इहि । मत्सि । अन्धसः । विश्वेभिः । सोमऽपर्वऽभिः ॥</w:t>
      </w:r>
      <w:r>
        <w:t xml:space="preserve"> </w:t>
      </w:r>
      <w:r>
        <w:t xml:space="preserve">महान् । अभिष्टिः । ओजसा ॥१॥</w:t>
      </w:r>
    </w:p>
    <w:p>
      <w:pPr>
        <w:pStyle w:val="BlockText"/>
      </w:pPr>
      <w:r>
        <w:rPr>
          <w:iCs/>
          <w:i/>
        </w:rPr>
        <w:t xml:space="preserve">indra | ā | ihi | matsi | andhasaḥ | viśvebhiḥ | soma-parva-bhiḥ ||</w:t>
      </w:r>
      <w:r>
        <w:t xml:space="preserve"> </w:t>
      </w:r>
      <w:r>
        <w:rPr>
          <w:iCs/>
          <w:i/>
        </w:rPr>
        <w:t xml:space="preserve">mahān | abhiṣṭiḥ | ojasā ||1||</w:t>
      </w:r>
    </w:p>
    <w:bookmarkEnd w:id="371"/>
    <w:bookmarkStart w:id="372" w:name="page-343-rik-1-sāyaṇa-bhāṣya"/>
    <w:p>
      <w:pPr>
        <w:pStyle w:val="Heading3"/>
      </w:pPr>
      <w:r>
        <w:t xml:space="preserve">Page 343 — Rik 1: Sāyaṇa-bhāṣya</w:t>
      </w:r>
    </w:p>
    <w:p>
      <w:pPr>
        <w:pStyle w:val="FirstParagraph"/>
      </w:pPr>
      <w:r>
        <w:rPr>
          <w:bCs/>
          <w:b/>
        </w:rPr>
        <w:t xml:space="preserve">॥ Sāyaṇa-bhāṣyam ॥</w:t>
      </w:r>
    </w:p>
    <w:p>
      <w:pPr>
        <w:pStyle w:val="BlockText"/>
      </w:pPr>
      <w:r>
        <w:t xml:space="preserve">हे इन्द्र एहि । अस्मिन्कर्मण्यागच्छ । आगत्य च विश्वेभिः सर्वैः सोमपर्वभिः सोमरसरूपैरन्धसोऽन्धोभिरन्नैर्मत्सि । माद्य । हृष्टो भव । तत ऊर्ध्वमोजसा बलेन महान्भूत्वाभिष्टिः शत्रूणामभिभविता भवेति शेषः । अष्टाविंशतिसंख्याकेषु बलनामस्वोजः पाज इति पठितम् ॥</w:t>
      </w:r>
    </w:p>
    <w:p>
      <w:pPr>
        <w:pStyle w:val="BlockText"/>
      </w:pPr>
      <w:r>
        <w:rPr>
          <w:iCs/>
          <w:i/>
        </w:rPr>
        <w:t xml:space="preserve">he indra ehi | asmin karmaṇy āgaccha | āgatya ca viśvebhiḥ sarvaiḥ somaparvabhiḥ soma-rasa-rūpair andhaso ’ndhobhir annair matsi | mādya | hṛṣṭo bhava | tata ūrdhvam ojasā balena mahān bhūtvābhiṣṭiḥ śatrūṇām abhibhavitā bhaveti śeṣaḥ | aṣṭāviṃśati-saṃkhyākeṣu bala-nāmasv ojaḥ pāja iti paṭhitam ||</w:t>
      </w:r>
    </w:p>
    <w:p>
      <w:pPr>
        <w:pStyle w:val="FirstParagraph"/>
      </w:pPr>
      <w:r>
        <w:rPr>
          <w:bCs/>
          <w:b/>
        </w:rPr>
        <w:t xml:space="preserve">Translation:</w:t>
      </w:r>
      <w:r>
        <w:t xml:space="preserve"> </w:t>
      </w:r>
      <w:r>
        <w:t xml:space="preserve">“</w:t>
      </w:r>
      <w:r>
        <w:t xml:space="preserve">O Indra, come (</w:t>
      </w:r>
      <w:r>
        <w:rPr>
          <w:iCs/>
          <w:i/>
        </w:rPr>
        <w:t xml:space="preserve">ehi</w:t>
      </w:r>
      <w:r>
        <w:t xml:space="preserve">) to this rite. Having come, rejoice (</w:t>
      </w:r>
      <w:r>
        <w:rPr>
          <w:iCs/>
          <w:i/>
        </w:rPr>
        <w:t xml:space="preserve">matsi</w:t>
      </w:r>
      <w:r>
        <w:t xml:space="preserve"> </w:t>
      </w:r>
      <w:r>
        <w:t xml:space="preserve">—</w:t>
      </w:r>
      <w:r>
        <w:t xml:space="preserve"> </w:t>
      </w:r>
      <w:r>
        <w:rPr>
          <w:iCs/>
          <w:i/>
        </w:rPr>
        <w:t xml:space="preserve">mādya</w:t>
      </w:r>
      <w:r>
        <w:t xml:space="preserve">, be glad) with all (</w:t>
      </w:r>
      <w:r>
        <w:rPr>
          <w:iCs/>
          <w:i/>
        </w:rPr>
        <w:t xml:space="preserve">viśvebhiḥ</w:t>
      </w:r>
      <w:r>
        <w:t xml:space="preserve">) the</w:t>
      </w:r>
      <w:r>
        <w:t xml:space="preserve"> </w:t>
      </w:r>
      <w:r>
        <w:rPr>
          <w:iCs/>
          <w:i/>
        </w:rPr>
        <w:t xml:space="preserve">somaparvas</w:t>
      </w:r>
      <w:r>
        <w:t xml:space="preserve">, the foods (</w:t>
      </w:r>
      <w:r>
        <w:rPr>
          <w:iCs/>
          <w:i/>
        </w:rPr>
        <w:t xml:space="preserve">andhasaḥ</w:t>
      </w:r>
      <w:r>
        <w:t xml:space="preserve"> </w:t>
      </w:r>
      <w:r>
        <w:t xml:space="preserve">=</w:t>
      </w:r>
      <w:r>
        <w:t xml:space="preserve"> </w:t>
      </w:r>
      <w:r>
        <w:rPr>
          <w:iCs/>
          <w:i/>
        </w:rPr>
        <w:t xml:space="preserve">andhobhiḥ</w:t>
      </w:r>
      <w:r>
        <w:t xml:space="preserve">) in the form of Soma-juice. After that, becoming great (</w:t>
      </w:r>
      <w:r>
        <w:rPr>
          <w:iCs/>
          <w:i/>
        </w:rPr>
        <w:t xml:space="preserve">mahān</w:t>
      </w:r>
      <w:r>
        <w:t xml:space="preserve">) by your</w:t>
      </w:r>
      <w:r>
        <w:t xml:space="preserve"> </w:t>
      </w:r>
      <w:r>
        <w:rPr>
          <w:iCs/>
          <w:i/>
        </w:rPr>
        <w:t xml:space="preserve">ojas</w:t>
      </w:r>
      <w:r>
        <w:t xml:space="preserve">, your strength, be the</w:t>
      </w:r>
      <w:r>
        <w:t xml:space="preserve"> </w:t>
      </w:r>
      <w:r>
        <w:rPr>
          <w:iCs/>
          <w:i/>
        </w:rPr>
        <w:t xml:space="preserve">abhiṣṭi</w:t>
      </w:r>
      <w:r>
        <w:t xml:space="preserve">, the overcomer of enemies — this is the sentence to be completed. Among the twenty-eight words for</w:t>
      </w:r>
      <w:r>
        <w:t xml:space="preserve"> </w:t>
      </w:r>
      <w:r>
        <w:t xml:space="preserve">‘</w:t>
      </w:r>
      <w:r>
        <w:t xml:space="preserve">strength,</w:t>
      </w:r>
      <w:r>
        <w:t xml:space="preserve">’</w:t>
      </w:r>
      <w:r>
        <w:t xml:space="preserve"> </w:t>
      </w:r>
      <w:r>
        <w:rPr>
          <w:iCs/>
          <w:i/>
        </w:rPr>
        <w:t xml:space="preserve">ojaḥ</w:t>
      </w:r>
      <w:r>
        <w:t xml:space="preserve"> </w:t>
      </w:r>
      <w:r>
        <w:t xml:space="preserve">and</w:t>
      </w:r>
      <w:r>
        <w:t xml:space="preserve"> </w:t>
      </w:r>
      <w:r>
        <w:rPr>
          <w:iCs/>
          <w:i/>
        </w:rPr>
        <w:t xml:space="preserve">pājaḥ</w:t>
      </w:r>
      <w:r>
        <w:t xml:space="preserve"> </w:t>
      </w:r>
      <w:r>
        <w:t xml:space="preserve">are read.</w:t>
      </w:r>
      <w:r>
        <w:t xml:space="preserve">”</w:t>
      </w:r>
    </w:p>
    <w:p>
      <w:pPr>
        <w:pStyle w:val="BodyText"/>
      </w:pPr>
      <w:r>
        <w:rPr>
          <w:bCs/>
          <w:b/>
        </w:rPr>
        <w:t xml:space="preserve">Grammar of the Bhāṣya (characterized, references as printed; page header</w:t>
      </w:r>
      <w:r>
        <w:rPr>
          <w:bCs/>
          <w:b/>
        </w:rPr>
        <w:t xml:space="preserve"> </w:t>
      </w:r>
      <w:r>
        <w:rPr>
          <w:bCs/>
          <w:b/>
        </w:rPr>
        <w:t xml:space="preserve">“</w:t>
      </w:r>
      <w:r>
        <w:rPr>
          <w:bCs/>
          <w:b/>
        </w:rPr>
        <w:t xml:space="preserve">A. 1, A. 1, Va. 17</w:t>
      </w:r>
      <w:r>
        <w:rPr>
          <w:bCs/>
          <w:b/>
        </w:rPr>
        <w:t xml:space="preserve">”</w:t>
      </w:r>
      <w:r>
        <w:rPr>
          <w:bCs/>
          <w:b/>
        </w:rPr>
        <w:t xml:space="preserve">):</w:t>
      </w:r>
      <w:r>
        <w:t xml:space="preserve"> </w:t>
      </w:r>
      <w:r>
        <w:t xml:space="preserve">“</w:t>
      </w:r>
      <w:r>
        <w:t xml:space="preserve">Ā ihi</w:t>
      </w:r>
      <w:r>
        <w:t xml:space="preserve">”</w:t>
      </w:r>
      <w:r>
        <w:t xml:space="preserve"> </w:t>
      </w:r>
      <w:r>
        <w:t xml:space="preserve">—</w:t>
      </w:r>
      <w:r>
        <w:t xml:space="preserve"> </w:t>
      </w:r>
      <w:r>
        <w:rPr>
          <w:bCs/>
          <w:b/>
        </w:rPr>
        <w:t xml:space="preserve">आद्गुणः</w:t>
      </w:r>
      <w:r>
        <w:t xml:space="preserve"> </w:t>
      </w:r>
      <w:r>
        <w:t xml:space="preserve">(पा. ६-१-८७);</w:t>
      </w:r>
      <w:r>
        <w:t xml:space="preserve"> </w:t>
      </w:r>
      <w:r>
        <w:t xml:space="preserve">“</w:t>
      </w:r>
      <w:r>
        <w:t xml:space="preserve">indra ehi</w:t>
      </w:r>
      <w:r>
        <w:t xml:space="preserve">”</w:t>
      </w:r>
      <w:r>
        <w:t xml:space="preserve">:</w:t>
      </w:r>
      <w:r>
        <w:t xml:space="preserve"> </w:t>
      </w:r>
      <w:r>
        <w:rPr>
          <w:bCs/>
          <w:b/>
        </w:rPr>
        <w:t xml:space="preserve">ओमाङोश्च</w:t>
      </w:r>
      <w:r>
        <w:t xml:space="preserve"> </w:t>
      </w:r>
      <w:r>
        <w:t xml:space="preserve">(पा. ६-१-९५) the later form, since the single substitute counts as</w:t>
      </w:r>
      <w:r>
        <w:t xml:space="preserve"> </w:t>
      </w:r>
      <w:r>
        <w:t xml:space="preserve">“</w:t>
      </w:r>
      <w:r>
        <w:t xml:space="preserve">āṅ</w:t>
      </w:r>
      <w:r>
        <w:t xml:space="preserve">”</w:t>
      </w:r>
      <w:r>
        <w:t xml:space="preserve"> </w:t>
      </w:r>
      <w:r>
        <w:t xml:space="preserve">(by</w:t>
      </w:r>
      <w:r>
        <w:t xml:space="preserve"> </w:t>
      </w:r>
      <w:r>
        <w:t xml:space="preserve">“</w:t>
      </w:r>
      <w:r>
        <w:t xml:space="preserve">antādivac ca,</w:t>
      </w:r>
      <w:r>
        <w:t xml:space="preserve">”</w:t>
      </w:r>
      <w:r>
        <w:t xml:space="preserve"> </w:t>
      </w:r>
      <w:r>
        <w:t xml:space="preserve">it is treated as the beginning of the next), and the vocative is not</w:t>
      </w:r>
      <w:r>
        <w:t xml:space="preserve"> </w:t>
      </w:r>
      <w:r>
        <w:t xml:space="preserve">“</w:t>
      </w:r>
      <w:r>
        <w:t xml:space="preserve">pragṛhya.</w:t>
      </w:r>
      <w:r>
        <w:t xml:space="preserve">”</w:t>
      </w:r>
      <w:r>
        <w:t xml:space="preserve"> </w:t>
      </w:r>
      <w:r>
        <w:t xml:space="preserve">“</w:t>
      </w:r>
      <w:r>
        <w:t xml:space="preserve">Matsi</w:t>
      </w:r>
      <w:r>
        <w:t xml:space="preserve">”</w:t>
      </w:r>
      <w:r>
        <w:t xml:space="preserve"> </w:t>
      </w:r>
      <w:r>
        <w:t xml:space="preserve">—</w:t>
      </w:r>
      <w:r>
        <w:t xml:space="preserve"> </w:t>
      </w:r>
      <w:r>
        <w:t xml:space="preserve">“</w:t>
      </w:r>
      <w:r>
        <w:t xml:space="preserve">madī harṣaglapanayoḥ,</w:t>
      </w:r>
      <w:r>
        <w:t xml:space="preserve">”</w:t>
      </w:r>
      <w:r>
        <w:t xml:space="preserve"> </w:t>
      </w:r>
      <w:r>
        <w:t xml:space="preserve">“</w:t>
      </w:r>
      <w:r>
        <w:t xml:space="preserve">loṭ,</w:t>
      </w:r>
      <w:r>
        <w:t xml:space="preserve">”</w:t>
      </w:r>
      <w:r>
        <w:t xml:space="preserve"> </w:t>
      </w:r>
      <w:r>
        <w:t xml:space="preserve">“</w:t>
      </w:r>
      <w:r>
        <w:t xml:space="preserve">sip</w:t>
      </w:r>
      <w:r>
        <w:t xml:space="preserve">”</w:t>
      </w:r>
      <w:r>
        <w:t xml:space="preserve">; by</w:t>
      </w:r>
      <w:r>
        <w:t xml:space="preserve"> </w:t>
      </w:r>
      <w:r>
        <w:t xml:space="preserve">“</w:t>
      </w:r>
      <w:r>
        <w:t xml:space="preserve">sarve vidhayaś chandasi vikalpyante</w:t>
      </w:r>
      <w:r>
        <w:t xml:space="preserve">”</w:t>
      </w:r>
      <w:r>
        <w:t xml:space="preserve"> </w:t>
      </w:r>
      <w:r>
        <w:t xml:space="preserve">the</w:t>
      </w:r>
      <w:r>
        <w:t xml:space="preserve"> </w:t>
      </w:r>
      <w:r>
        <w:t xml:space="preserve">“</w:t>
      </w:r>
      <w:r>
        <w:t xml:space="preserve">hi</w:t>
      </w:r>
      <w:r>
        <w:t xml:space="preserve">”</w:t>
      </w:r>
      <w:r>
        <w:t xml:space="preserve"> </w:t>
      </w:r>
      <w:r>
        <w:t xml:space="preserve">of</w:t>
      </w:r>
      <w:r>
        <w:t xml:space="preserve"> </w:t>
      </w:r>
      <w:r>
        <w:rPr>
          <w:bCs/>
          <w:b/>
        </w:rPr>
        <w:t xml:space="preserve">सेर्ह्यपिच्च</w:t>
      </w:r>
      <w:r>
        <w:t xml:space="preserve"> </w:t>
      </w:r>
      <w:r>
        <w:t xml:space="preserve">(पा. ३-४-८७) does not come;</w:t>
      </w:r>
      <w:r>
        <w:t xml:space="preserve"> </w:t>
      </w:r>
      <w:r>
        <w:rPr>
          <w:bCs/>
          <w:b/>
        </w:rPr>
        <w:t xml:space="preserve">दिवादिभ्यः श्यन्</w:t>
      </w:r>
      <w:r>
        <w:t xml:space="preserve"> </w:t>
      </w:r>
      <w:r>
        <w:t xml:space="preserve">(पा. ३-१-६९), elided by</w:t>
      </w:r>
      <w:r>
        <w:t xml:space="preserve"> </w:t>
      </w:r>
      <w:r>
        <w:t xml:space="preserve">“</w:t>
      </w:r>
      <w:r>
        <w:t xml:space="preserve">bahulaṃ chandasi</w:t>
      </w:r>
      <w:r>
        <w:t xml:space="preserve">”</w:t>
      </w:r>
      <w:r>
        <w:t xml:space="preserve">; by</w:t>
      </w:r>
      <w:r>
        <w:t xml:space="preserve"> </w:t>
      </w:r>
      <w:r>
        <w:rPr>
          <w:bCs/>
          <w:b/>
        </w:rPr>
        <w:t xml:space="preserve">न लुमताङ्गस्य</w:t>
      </w:r>
      <w:r>
        <w:t xml:space="preserve"> </w:t>
      </w:r>
      <w:r>
        <w:t xml:space="preserve">(पा. १-१-६३) the long vowel of</w:t>
      </w:r>
      <w:r>
        <w:t xml:space="preserve"> </w:t>
      </w:r>
      <w:r>
        <w:rPr>
          <w:bCs/>
          <w:b/>
        </w:rPr>
        <w:t xml:space="preserve">शमामष्टानां दीर्घः श्यनि</w:t>
      </w:r>
      <w:r>
        <w:t xml:space="preserve"> </w:t>
      </w:r>
      <w:r>
        <w:t xml:space="preserve">(पा. ७-३-७४) does not arise;</w:t>
      </w:r>
      <w:r>
        <w:t xml:space="preserve"> </w:t>
      </w:r>
      <w:r>
        <w:t xml:space="preserve">“</w:t>
      </w:r>
      <w:r>
        <w:t xml:space="preserve">sip,</w:t>
      </w:r>
      <w:r>
        <w:t xml:space="preserve">”</w:t>
      </w:r>
      <w:r>
        <w:t xml:space="preserve"> </w:t>
      </w:r>
      <w:r>
        <w:t xml:space="preserve">“</w:t>
      </w:r>
      <w:r>
        <w:t xml:space="preserve">p</w:t>
      </w:r>
      <w:r>
        <w:t xml:space="preserve">”</w:t>
      </w:r>
      <w:r>
        <w:t xml:space="preserve">-marked, so the root accent.</w:t>
      </w:r>
      <w:r>
        <w:t xml:space="preserve"> </w:t>
      </w:r>
      <w:r>
        <w:t xml:space="preserve">“</w:t>
      </w:r>
      <w:r>
        <w:t xml:space="preserve">Andhasaḥ</w:t>
      </w:r>
      <w:r>
        <w:t xml:space="preserve">”</w:t>
      </w:r>
      <w:r>
        <w:t xml:space="preserve"> </w:t>
      </w:r>
      <w:r>
        <w:t xml:space="preserve">—</w:t>
      </w:r>
      <w:r>
        <w:t xml:space="preserve"> </w:t>
      </w:r>
      <w:r>
        <w:rPr>
          <w:bCs/>
          <w:b/>
        </w:rPr>
        <w:t xml:space="preserve">अदेर्नुम्धौ च</w:t>
      </w:r>
      <w:r>
        <w:t xml:space="preserve"> </w:t>
      </w:r>
      <w:r>
        <w:t xml:space="preserve">(उ. ४-२०४)</w:t>
      </w:r>
      <w:r>
        <w:t xml:space="preserve"> </w:t>
      </w:r>
      <w:r>
        <w:t xml:space="preserve">“</w:t>
      </w:r>
      <w:r>
        <w:t xml:space="preserve">asun</w:t>
      </w:r>
      <w:r>
        <w:t xml:space="preserve">”</w:t>
      </w:r>
      <w:r>
        <w:t xml:space="preserve">; the instrumental plural sense by vyatyaya;</w:t>
      </w:r>
      <w:r>
        <w:t xml:space="preserve"> </w:t>
      </w:r>
      <w:r>
        <w:t xml:space="preserve">“</w:t>
      </w:r>
      <w:r>
        <w:t xml:space="preserve">n</w:t>
      </w:r>
      <w:r>
        <w:t xml:space="preserve">”</w:t>
      </w:r>
      <w:r>
        <w:t xml:space="preserve">-marked, first-syllable acute.</w:t>
      </w:r>
      <w:r>
        <w:t xml:space="preserve"> </w:t>
      </w:r>
      <w:r>
        <w:t xml:space="preserve">“</w:t>
      </w:r>
      <w:r>
        <w:t xml:space="preserve">Viśvebhiḥ</w:t>
      </w:r>
      <w:r>
        <w:t xml:space="preserve">”</w:t>
      </w:r>
      <w:r>
        <w:t xml:space="preserve"> </w:t>
      </w:r>
      <w:r>
        <w:t xml:space="preserve">—</w:t>
      </w:r>
      <w:r>
        <w:t xml:space="preserve"> </w:t>
      </w:r>
      <w:r>
        <w:rPr>
          <w:bCs/>
          <w:b/>
        </w:rPr>
        <w:t xml:space="preserve">अशिप्रुषि…</w:t>
      </w:r>
      <w:r>
        <w:t xml:space="preserve"> </w:t>
      </w:r>
      <w:r>
        <w:t xml:space="preserve">(उ. १-१५१)</w:t>
      </w:r>
      <w:r>
        <w:t xml:space="preserve"> </w:t>
      </w:r>
      <w:r>
        <w:t xml:space="preserve">“</w:t>
      </w:r>
      <w:r>
        <w:t xml:space="preserve">kvan,</w:t>
      </w:r>
      <w:r>
        <w:t xml:space="preserve">”</w:t>
      </w:r>
      <w:r>
        <w:t xml:space="preserve"> </w:t>
      </w:r>
      <w:r>
        <w:t xml:space="preserve">first-syllable acute;</w:t>
      </w:r>
      <w:r>
        <w:t xml:space="preserve"> </w:t>
      </w:r>
      <w:r>
        <w:t xml:space="preserve">“</w:t>
      </w:r>
      <w:r>
        <w:t xml:space="preserve">ais</w:t>
      </w:r>
      <w:r>
        <w:t xml:space="preserve">”</w:t>
      </w:r>
      <w:r>
        <w:t xml:space="preserve"> </w:t>
      </w:r>
      <w:r>
        <w:t xml:space="preserve">withheld by</w:t>
      </w:r>
      <w:r>
        <w:t xml:space="preserve"> </w:t>
      </w:r>
      <w:r>
        <w:t xml:space="preserve">“</w:t>
      </w:r>
      <w:r>
        <w:t xml:space="preserve">bahulaṃ chandasi.</w:t>
      </w:r>
      <w:r>
        <w:t xml:space="preserve">”</w:t>
      </w:r>
      <w:r>
        <w:t xml:space="preserve"> </w:t>
      </w:r>
      <w:r>
        <w:t xml:space="preserve">“</w:t>
      </w:r>
      <w:r>
        <w:t xml:space="preserve">Somaparvabhiḥ</w:t>
      </w:r>
      <w:r>
        <w:t xml:space="preserve">”</w:t>
      </w:r>
      <w:r>
        <w:t xml:space="preserve"> </w:t>
      </w:r>
      <w:r>
        <w:t xml:space="preserve">—</w:t>
      </w:r>
      <w:r>
        <w:t xml:space="preserve"> </w:t>
      </w:r>
      <w:r>
        <w:t xml:space="preserve">“</w:t>
      </w:r>
      <w:r>
        <w:t xml:space="preserve">latārūpaṃ somaṃ pṛṇanti pūrayantīti somaparvāṇaḥ somarasāḥ</w:t>
      </w:r>
      <w:r>
        <w:t xml:space="preserve">”</w:t>
      </w:r>
      <w:r>
        <w:t xml:space="preserve">:</w:t>
      </w:r>
      <w:r>
        <w:t xml:space="preserve"> </w:t>
      </w:r>
      <w:r>
        <w:t xml:space="preserve">“</w:t>
      </w:r>
      <w:r>
        <w:t xml:space="preserve">pṝ pālanapūraṇayoḥ,</w:t>
      </w:r>
      <w:r>
        <w:t xml:space="preserve">”</w:t>
      </w:r>
      <w:r>
        <w:t xml:space="preserve"> </w:t>
      </w:r>
      <w:r>
        <w:t xml:space="preserve">“</w:t>
      </w:r>
      <w:r>
        <w:t xml:space="preserve">vanip</w:t>
      </w:r>
      <w:r>
        <w:t xml:space="preserve">”</w:t>
      </w:r>
      <w:r>
        <w:t xml:space="preserve"> </w:t>
      </w:r>
      <w:r>
        <w:t xml:space="preserve">by</w:t>
      </w:r>
      <w:r>
        <w:t xml:space="preserve"> </w:t>
      </w:r>
      <w:r>
        <w:t xml:space="preserve">“</w:t>
      </w:r>
      <w:r>
        <w:t xml:space="preserve">anyebhyo ’pi dṛśyante,</w:t>
      </w:r>
      <w:r>
        <w:t xml:space="preserve">”</w:t>
      </w:r>
      <w:r>
        <w:t xml:space="preserve"> </w:t>
      </w:r>
      <w:r>
        <w:t xml:space="preserve">guṇa and</w:t>
      </w:r>
      <w:r>
        <w:t xml:space="preserve"> </w:t>
      </w:r>
      <w:r>
        <w:t xml:space="preserve">“</w:t>
      </w:r>
      <w:r>
        <w:t xml:space="preserve">r</w:t>
      </w:r>
      <w:r>
        <w:t xml:space="preserve">”</w:t>
      </w:r>
      <w:r>
        <w:t xml:space="preserve">;</w:t>
      </w:r>
      <w:r>
        <w:t xml:space="preserve"> </w:t>
      </w:r>
      <w:r>
        <w:t xml:space="preserve">“</w:t>
      </w:r>
      <w:r>
        <w:t xml:space="preserve">vanip,</w:t>
      </w:r>
      <w:r>
        <w:t xml:space="preserve">”</w:t>
      </w:r>
      <w:r>
        <w:t xml:space="preserve"> </w:t>
      </w:r>
      <w:r>
        <w:t xml:space="preserve">“</w:t>
      </w:r>
      <w:r>
        <w:t xml:space="preserve">p</w:t>
      </w:r>
      <w:r>
        <w:t xml:space="preserve">”</w:t>
      </w:r>
      <w:r>
        <w:t xml:space="preserve">-marked, so the root accent, kept by the upapada-compound accent.</w:t>
      </w:r>
      <w:r>
        <w:t xml:space="preserve"> </w:t>
      </w:r>
      <w:r>
        <w:t xml:space="preserve">“</w:t>
      </w:r>
      <w:r>
        <w:t xml:space="preserve">Abhiṣṭiḥ</w:t>
      </w:r>
      <w:r>
        <w:t xml:space="preserve">”</w:t>
      </w:r>
      <w:r>
        <w:t xml:space="preserve"> </w:t>
      </w:r>
      <w:r>
        <w:t xml:space="preserve">—</w:t>
      </w:r>
      <w:r>
        <w:t xml:space="preserve"> </w:t>
      </w:r>
      <w:r>
        <w:t xml:space="preserve">“</w:t>
      </w:r>
      <w:r>
        <w:t xml:space="preserve">abhigantā</w:t>
      </w:r>
      <w:r>
        <w:t xml:space="preserve">”</w:t>
      </w:r>
      <w:r>
        <w:t xml:space="preserve">:</w:t>
      </w:r>
      <w:r>
        <w:t xml:space="preserve"> </w:t>
      </w:r>
      <w:r>
        <w:t xml:space="preserve">“</w:t>
      </w:r>
      <w:r>
        <w:t xml:space="preserve">iṣa gatau,</w:t>
      </w:r>
      <w:r>
        <w:t xml:space="preserve">”</w:t>
      </w:r>
      <w:r>
        <w:t xml:space="preserve"> </w:t>
      </w:r>
      <w:r>
        <w:rPr>
          <w:bCs/>
          <w:b/>
        </w:rPr>
        <w:t xml:space="preserve">मन्त्रे वृषेष…</w:t>
      </w:r>
      <w:r>
        <w:t xml:space="preserve"> </w:t>
      </w:r>
      <w:r>
        <w:t xml:space="preserve">(पा. ३-३-९६)</w:t>
      </w:r>
      <w:r>
        <w:t xml:space="preserve"> </w:t>
      </w:r>
      <w:r>
        <w:t xml:space="preserve">“</w:t>
      </w:r>
      <w:r>
        <w:t xml:space="preserve">ktin,</w:t>
      </w:r>
      <w:r>
        <w:t xml:space="preserve">”</w:t>
      </w:r>
      <w:r>
        <w:t xml:space="preserve"> </w:t>
      </w:r>
      <w:r>
        <w:t xml:space="preserve">acute; though in the action sense it denotes the agent;</w:t>
      </w:r>
      <w:r>
        <w:t xml:space="preserve"> </w:t>
      </w:r>
      <w:r>
        <w:t xml:space="preserve">“</w:t>
      </w:r>
      <w:r>
        <w:t xml:space="preserve">k</w:t>
      </w:r>
      <w:r>
        <w:t xml:space="preserve">”</w:t>
      </w:r>
      <w:r>
        <w:t xml:space="preserve">-marked, no guṇa;</w:t>
      </w:r>
      <w:r>
        <w:t xml:space="preserve"> </w:t>
      </w:r>
      <w:r>
        <w:t xml:space="preserve">“</w:t>
      </w:r>
      <w:r>
        <w:t xml:space="preserve">iṭ</w:t>
      </w:r>
      <w:r>
        <w:t xml:space="preserve">”</w:t>
      </w:r>
      <w:r>
        <w:t xml:space="preserve"> </w:t>
      </w:r>
      <w:r>
        <w:t xml:space="preserve">barred by</w:t>
      </w:r>
      <w:r>
        <w:t xml:space="preserve"> </w:t>
      </w:r>
      <w:r>
        <w:t xml:space="preserve">“</w:t>
      </w:r>
      <w:r>
        <w:t xml:space="preserve">titutratatha…</w:t>
      </w:r>
      <w:r>
        <w:t xml:space="preserve">”</w:t>
      </w:r>
      <w:r>
        <w:t xml:space="preserve"> </w:t>
      </w:r>
      <w:r>
        <w:t xml:space="preserve">(पा. ७-२-९);</w:t>
      </w:r>
      <w:r>
        <w:t xml:space="preserve"> </w:t>
      </w:r>
      <w:r>
        <w:t xml:space="preserve">“</w:t>
      </w:r>
      <w:r>
        <w:t xml:space="preserve">śakandhvādiṣu pararūpaṃ vaktavyam</w:t>
      </w:r>
      <w:r>
        <w:t xml:space="preserve">”</w:t>
      </w:r>
      <w:r>
        <w:t xml:space="preserve"> </w:t>
      </w:r>
      <w:r>
        <w:t xml:space="preserve">(पा. ६-१-९४-६) the later form; in the prādi compound the kṛt-final second member’s accent.</w:t>
      </w:r>
      <w:r>
        <w:t xml:space="preserve"> </w:t>
      </w:r>
      <w:r>
        <w:t xml:space="preserve">“</w:t>
      </w:r>
      <w:r>
        <w:t xml:space="preserve">Ojasā</w:t>
      </w:r>
      <w:r>
        <w:t xml:space="preserve">”</w:t>
      </w:r>
      <w:r>
        <w:t xml:space="preserve"> </w:t>
      </w:r>
      <w:r>
        <w:t xml:space="preserve">—</w:t>
      </w:r>
      <w:r>
        <w:t xml:space="preserve"> </w:t>
      </w:r>
      <w:r>
        <w:rPr>
          <w:bCs/>
          <w:b/>
        </w:rPr>
        <w:t xml:space="preserve">उब्जेर्बले बलोपश्च</w:t>
      </w:r>
      <w:r>
        <w:t xml:space="preserve"> </w:t>
      </w:r>
      <w:r>
        <w:t xml:space="preserve">(उ. ४-१९१)</w:t>
      </w:r>
      <w:r>
        <w:t xml:space="preserve"> </w:t>
      </w:r>
      <w:r>
        <w:t xml:space="preserve">“</w:t>
      </w:r>
      <w:r>
        <w:t xml:space="preserve">asun</w:t>
      </w:r>
      <w:r>
        <w:t xml:space="preserve">”</w:t>
      </w:r>
      <w:r>
        <w:t xml:space="preserve">; first-syllable acute.</w:t>
      </w:r>
    </w:p>
    <w:p>
      <w:pPr>
        <w:pStyle w:val="BodyText"/>
      </w:pPr>
      <w:r>
        <w:rPr>
          <w:bCs/>
          <w:b/>
        </w:rPr>
        <w:t xml:space="preserve">॥ Prati-padārthaḥ ॥</w:t>
      </w:r>
    </w:p>
    <w:p>
      <w:pPr>
        <w:pStyle w:val="BodyText"/>
      </w:pPr>
      <w:r>
        <w:rPr>
          <w:bCs/>
          <w:b/>
        </w:rPr>
        <w:t xml:space="preserve">(हे) इन्द्र ((he) indra)</w:t>
      </w:r>
      <w:r>
        <w:t xml:space="preserve"> </w:t>
      </w:r>
      <w:r>
        <w:t xml:space="preserve">— O Indra |</w:t>
      </w:r>
      <w:r>
        <w:t xml:space="preserve"> </w:t>
      </w:r>
      <w:r>
        <w:rPr>
          <w:bCs/>
          <w:b/>
        </w:rPr>
        <w:t xml:space="preserve">एहि (ehi)</w:t>
      </w:r>
      <w:r>
        <w:t xml:space="preserve"> </w:t>
      </w:r>
      <w:r>
        <w:t xml:space="preserve">— come (to this sacrificial ground where we perform) |</w:t>
      </w:r>
      <w:r>
        <w:t xml:space="preserve"> </w:t>
      </w:r>
      <w:r>
        <w:rPr>
          <w:bCs/>
          <w:b/>
        </w:rPr>
        <w:t xml:space="preserve">विश्वेभिः (viśvebhiḥ)</w:t>
      </w:r>
      <w:r>
        <w:t xml:space="preserve"> </w:t>
      </w:r>
      <w:r>
        <w:t xml:space="preserve">— all |</w:t>
      </w:r>
      <w:r>
        <w:t xml:space="preserve"> </w:t>
      </w:r>
      <w:r>
        <w:rPr>
          <w:bCs/>
          <w:b/>
        </w:rPr>
        <w:t xml:space="preserve">सोमपर्वभिः (somaparvabhiḥ)</w:t>
      </w:r>
      <w:r>
        <w:t xml:space="preserve"> </w:t>
      </w:r>
      <w:r>
        <w:t xml:space="preserve">— in the form of Soma-juice |</w:t>
      </w:r>
      <w:r>
        <w:t xml:space="preserve"> </w:t>
      </w:r>
      <w:r>
        <w:rPr>
          <w:bCs/>
          <w:b/>
        </w:rPr>
        <w:t xml:space="preserve">अन्धसः (andhasaḥ)</w:t>
      </w:r>
      <w:r>
        <w:t xml:space="preserve"> </w:t>
      </w:r>
      <w:r>
        <w:t xml:space="preserve">— with foods |</w:t>
      </w:r>
      <w:r>
        <w:t xml:space="preserve"> </w:t>
      </w:r>
      <w:r>
        <w:rPr>
          <w:bCs/>
          <w:b/>
        </w:rPr>
        <w:t xml:space="preserve">मत्सि (matsi)</w:t>
      </w:r>
      <w:r>
        <w:t xml:space="preserve"> </w:t>
      </w:r>
      <w:r>
        <w:t xml:space="preserve">— be satisfied | (after that)</w:t>
      </w:r>
      <w:r>
        <w:t xml:space="preserve"> </w:t>
      </w:r>
      <w:r>
        <w:rPr>
          <w:bCs/>
          <w:b/>
        </w:rPr>
        <w:t xml:space="preserve">ओजसा (ojasā)</w:t>
      </w:r>
      <w:r>
        <w:t xml:space="preserve"> </w:t>
      </w:r>
      <w:r>
        <w:t xml:space="preserve">— by strength |</w:t>
      </w:r>
      <w:r>
        <w:t xml:space="preserve"> </w:t>
      </w:r>
      <w:r>
        <w:rPr>
          <w:bCs/>
          <w:b/>
        </w:rPr>
        <w:t xml:space="preserve">महान् (mahān)</w:t>
      </w:r>
      <w:r>
        <w:t xml:space="preserve"> </w:t>
      </w:r>
      <w:r>
        <w:t xml:space="preserve">— greater |</w:t>
      </w:r>
      <w:r>
        <w:t xml:space="preserve"> </w:t>
      </w:r>
      <w:r>
        <w:rPr>
          <w:bCs/>
          <w:b/>
        </w:rPr>
        <w:t xml:space="preserve">अभिष्टिः (abhiṣṭiḥ)</w:t>
      </w:r>
      <w:r>
        <w:t xml:space="preserve"> </w:t>
      </w:r>
      <w:r>
        <w:t xml:space="preserve">— one who brings defeat to (enemies).</w:t>
      </w:r>
    </w:p>
    <w:bookmarkEnd w:id="372"/>
    <w:bookmarkStart w:id="373" w:name="page-344-rik-1-continued"/>
    <w:p>
      <w:pPr>
        <w:pStyle w:val="Heading3"/>
      </w:pPr>
      <w:r>
        <w:t xml:space="preserve">Page 344 — Rik 1 continued</w:t>
      </w:r>
    </w:p>
    <w:p>
      <w:pPr>
        <w:pStyle w:val="FirstParagraph"/>
      </w:pPr>
      <w:r>
        <w:rPr>
          <w:bCs/>
          <w:b/>
        </w:rPr>
        <w:t xml:space="preserve">॥ Bhāvārthaḥ ॥</w:t>
      </w:r>
    </w:p>
    <w:p>
      <w:pPr>
        <w:pStyle w:val="BodyText"/>
      </w:pPr>
      <w:r>
        <w:t xml:space="preserve">O Indra! Come here, and, being satisfied with the food in the form of Soma that we have prepared — that is, by drinking Soma — become greater, strengthened by it, and defeat the enemies.</w:t>
      </w:r>
    </w:p>
    <w:p>
      <w:pPr>
        <w:pStyle w:val="BodyText"/>
      </w:pPr>
      <w:r>
        <w:rPr>
          <w:bCs/>
          <w:b/>
        </w:rPr>
        <w:t xml:space="preserve">॥ English Translation ॥</w:t>
      </w:r>
      <w:r>
        <w:t xml:space="preserve"> </w:t>
      </w:r>
      <w:r>
        <w:rPr>
          <w:iCs/>
          <w:i/>
        </w:rPr>
        <w:t xml:space="preserve">(as printed in the source)</w:t>
      </w:r>
    </w:p>
    <w:p>
      <w:pPr>
        <w:pStyle w:val="BlockText"/>
      </w:pPr>
      <w:r>
        <w:t xml:space="preserve">Come, O Indra, and regale yourself with Soma-libations and with all viands and mighty in strength be victorious (over your enemies).</w:t>
      </w:r>
    </w:p>
    <w:p>
      <w:pPr>
        <w:pStyle w:val="FirstParagraph"/>
      </w:pPr>
      <w:r>
        <w:rPr>
          <w:bCs/>
          <w:b/>
        </w:rPr>
        <w:t xml:space="preserve">॥ Viśeṣa-viṣayagaḷu (Special Topics) ॥</w:t>
      </w:r>
    </w:p>
    <w:p>
      <w:pPr>
        <w:pStyle w:val="BodyText"/>
      </w:pPr>
      <w:r>
        <w:rPr>
          <w:bCs/>
          <w:b/>
        </w:rPr>
        <w:t xml:space="preserve">“</w:t>
      </w:r>
      <w:r>
        <w:rPr>
          <w:bCs/>
          <w:b/>
        </w:rPr>
        <w:t xml:space="preserve">Matsi</w:t>
      </w:r>
      <w:r>
        <w:rPr>
          <w:bCs/>
          <w:b/>
        </w:rPr>
        <w:t xml:space="preserve">”</w:t>
      </w:r>
      <w:r>
        <w:t xml:space="preserve"> </w:t>
      </w:r>
      <w:r>
        <w:t xml:space="preserve">— the second-person singular</w:t>
      </w:r>
      <w:r>
        <w:t xml:space="preserve"> </w:t>
      </w:r>
      <w:r>
        <w:rPr>
          <w:iCs/>
          <w:i/>
        </w:rPr>
        <w:t xml:space="preserve">loṭ</w:t>
      </w:r>
      <w:r>
        <w:t xml:space="preserve"> </w:t>
      </w:r>
      <w:r>
        <w:t xml:space="preserve">form of the root</w:t>
      </w:r>
      <w:r>
        <w:t xml:space="preserve"> </w:t>
      </w:r>
      <w:r>
        <w:rPr>
          <w:iCs/>
          <w:i/>
        </w:rPr>
        <w:t xml:space="preserve">madī harṣaglapanayoḥ</w:t>
      </w:r>
      <w:r>
        <w:t xml:space="preserve"> </w:t>
      </w:r>
      <w:r>
        <w:t xml:space="preserve">(</w:t>
      </w:r>
      <w:r>
        <w:t xml:space="preserve">“</w:t>
      </w:r>
      <w:r>
        <w:t xml:space="preserve">to rejoice; to be glad</w:t>
      </w:r>
      <w:r>
        <w:t xml:space="preserve">”</w:t>
      </w:r>
      <w:r>
        <w:t xml:space="preserve">). The sense: be gratified, attain satisfaction.</w:t>
      </w:r>
    </w:p>
    <w:p>
      <w:pPr>
        <w:pStyle w:val="BodyText"/>
      </w:pPr>
      <w:r>
        <w:rPr>
          <w:bCs/>
          <w:b/>
        </w:rPr>
        <w:t xml:space="preserve">“</w:t>
      </w:r>
      <w:r>
        <w:rPr>
          <w:bCs/>
          <w:b/>
        </w:rPr>
        <w:t xml:space="preserve">Andhasaḥ</w:t>
      </w:r>
      <w:r>
        <w:rPr>
          <w:bCs/>
          <w:b/>
        </w:rPr>
        <w:t xml:space="preserve">”</w:t>
      </w:r>
      <w:r>
        <w:t xml:space="preserve"> </w:t>
      </w:r>
      <w:r>
        <w:t xml:space="preserve">— the word</w:t>
      </w:r>
      <w:r>
        <w:t xml:space="preserve"> </w:t>
      </w:r>
      <w:r>
        <w:rPr>
          <w:iCs/>
          <w:i/>
        </w:rPr>
        <w:t xml:space="preserve">andhaḥ</w:t>
      </w:r>
      <w:r>
        <w:t xml:space="preserve"> </w:t>
      </w:r>
      <w:r>
        <w:t xml:space="preserve">is read among the twenty-eight words for</w:t>
      </w:r>
      <w:r>
        <w:t xml:space="preserve"> </w:t>
      </w:r>
      <w:r>
        <w:t xml:space="preserve">“</w:t>
      </w:r>
      <w:r>
        <w:t xml:space="preserve">food</w:t>
      </w:r>
      <w:r>
        <w:t xml:space="preserve">”</w:t>
      </w:r>
      <w:r>
        <w:t xml:space="preserve"> </w:t>
      </w:r>
      <w:r>
        <w:t xml:space="preserve">beginning with</w:t>
      </w:r>
      <w:r>
        <w:t xml:space="preserve"> </w:t>
      </w:r>
      <w:r>
        <w:rPr>
          <w:iCs/>
          <w:i/>
        </w:rPr>
        <w:t xml:space="preserve">andhaḥ</w:t>
      </w:r>
      <w:r>
        <w:t xml:space="preserve">,</w:t>
      </w:r>
      <w:r>
        <w:t xml:space="preserve"> </w:t>
      </w:r>
      <w:r>
        <w:rPr>
          <w:iCs/>
          <w:i/>
        </w:rPr>
        <w:t xml:space="preserve">vājaḥ</w:t>
      </w:r>
      <w:r>
        <w:t xml:space="preserve"> </w:t>
      </w:r>
      <w:r>
        <w:t xml:space="preserve">(Ni.</w:t>
      </w:r>
      <w:r>
        <w:t xml:space="preserve"> </w:t>
      </w:r>
      <w:r>
        <w:t xml:space="preserve">“</w:t>
      </w:r>
      <w:r>
        <w:t xml:space="preserve">3-9</w:t>
      </w:r>
      <w:r>
        <w:t xml:space="preserve">”</w:t>
      </w:r>
      <w:r>
        <w:t xml:space="preserve"> </w:t>
      </w:r>
      <w:r>
        <w:t xml:space="preserve">as printed [?]); so</w:t>
      </w:r>
      <w:r>
        <w:t xml:space="preserve"> </w:t>
      </w:r>
      <w:r>
        <w:rPr>
          <w:iCs/>
          <w:i/>
        </w:rPr>
        <w:t xml:space="preserve">andhasaḥ</w:t>
      </w:r>
      <w:r>
        <w:t xml:space="preserve"> </w:t>
      </w:r>
      <w:r>
        <w:t xml:space="preserve">means</w:t>
      </w:r>
      <w:r>
        <w:t xml:space="preserve"> </w:t>
      </w:r>
      <w:r>
        <w:t xml:space="preserve">“</w:t>
      </w:r>
      <w:r>
        <w:t xml:space="preserve">with food.</w:t>
      </w:r>
      <w:r>
        <w:t xml:space="preserve">”</w:t>
      </w:r>
    </w:p>
    <w:p>
      <w:pPr>
        <w:pStyle w:val="BodyText"/>
      </w:pPr>
      <w:r>
        <w:rPr>
          <w:bCs/>
          <w:b/>
        </w:rPr>
        <w:t xml:space="preserve">“</w:t>
      </w:r>
      <w:r>
        <w:rPr>
          <w:bCs/>
          <w:b/>
        </w:rPr>
        <w:t xml:space="preserve">Somaparvabhiḥ</w:t>
      </w:r>
      <w:r>
        <w:rPr>
          <w:bCs/>
          <w:b/>
        </w:rPr>
        <w:t xml:space="preserve">”</w:t>
      </w:r>
      <w:r>
        <w:t xml:space="preserve"> </w:t>
      </w:r>
      <w:r>
        <w:t xml:space="preserve">—</w:t>
      </w:r>
      <w:r>
        <w:t xml:space="preserve"> </w:t>
      </w:r>
      <w:r>
        <w:rPr>
          <w:bCs/>
          <w:b/>
        </w:rPr>
        <w:t xml:space="preserve">लताऽरूपं सोमं पृणन्ति पूरयन्तीति सोमपर्वाणः</w:t>
      </w:r>
      <w:r>
        <w:t xml:space="preserve"> </w:t>
      </w:r>
      <w:r>
        <w:t xml:space="preserve">(</w:t>
      </w:r>
      <w:r>
        <w:rPr>
          <w:iCs/>
          <w:i/>
        </w:rPr>
        <w:t xml:space="preserve">latā-rūpaṃ somaṃ pṛṇanti pūrayantīti somaparvāṇaḥ</w:t>
      </w:r>
      <w:r>
        <w:t xml:space="preserve">) —</w:t>
      </w:r>
      <w:r>
        <w:t xml:space="preserve"> </w:t>
      </w:r>
      <w:r>
        <w:t xml:space="preserve">“</w:t>
      </w:r>
      <w:r>
        <w:t xml:space="preserve">[those that] fill the Soma that is of the form of the creeper are</w:t>
      </w:r>
      <w:r>
        <w:t xml:space="preserve"> </w:t>
      </w:r>
      <w:r>
        <w:rPr>
          <w:iCs/>
          <w:i/>
        </w:rPr>
        <w:t xml:space="preserve">somaparvāṇaḥ</w:t>
      </w:r>
      <w:r>
        <w:t xml:space="preserve">”</w:t>
      </w:r>
      <w:r>
        <w:t xml:space="preserve">: that is, because they fill the vessel after pressing the Soma creeper, they are called</w:t>
      </w:r>
      <w:r>
        <w:t xml:space="preserve"> </w:t>
      </w:r>
      <w:r>
        <w:rPr>
          <w:iCs/>
          <w:i/>
        </w:rPr>
        <w:t xml:space="preserve">somarasa</w:t>
      </w:r>
      <w:r>
        <w:t xml:space="preserve"> </w:t>
      </w:r>
      <w:r>
        <w:t xml:space="preserve">(</w:t>
      </w:r>
      <w:r>
        <w:t xml:space="preserve">“</w:t>
      </w:r>
      <w:r>
        <w:t xml:space="preserve">Soma-juices</w:t>
      </w:r>
      <w:r>
        <w:t xml:space="preserve">”</w:t>
      </w:r>
      <w:r>
        <w:t xml:space="preserve">).</w:t>
      </w:r>
      <w:r>
        <w:t xml:space="preserve"> </w:t>
      </w:r>
      <w:r>
        <w:rPr>
          <w:bCs/>
          <w:b/>
        </w:rPr>
        <w:t xml:space="preserve">Skandasvāmī</w:t>
      </w:r>
      <w:r>
        <w:t xml:space="preserve"> </w:t>
      </w:r>
      <w:r>
        <w:t xml:space="preserve">gives for this word the above sense and also another,</w:t>
      </w:r>
      <w:r>
        <w:t xml:space="preserve"> </w:t>
      </w:r>
      <w:r>
        <w:t xml:space="preserve">“</w:t>
      </w:r>
      <w:r>
        <w:t xml:space="preserve">gods</w:t>
      </w:r>
      <w:r>
        <w:t xml:space="preserve">”</w:t>
      </w:r>
      <w:r>
        <w:t xml:space="preserve">:</w:t>
      </w:r>
      <w:r>
        <w:t xml:space="preserve"> </w:t>
      </w:r>
      <w:r>
        <w:rPr>
          <w:bCs/>
          <w:b/>
        </w:rPr>
        <w:t xml:space="preserve">सोममयानि पर्वाणि येषां ते सोमपर्वाणो देवाः । यो हि यदाहारो भवति तस्य तन्मयानि पर्वाणि भवन्ति । सोमाहाराश्च देवाः</w:t>
      </w:r>
      <w:r>
        <w:t xml:space="preserve"> </w:t>
      </w:r>
      <w:r>
        <w:t xml:space="preserve">(</w:t>
      </w:r>
      <w:r>
        <w:rPr>
          <w:iCs/>
          <w:i/>
        </w:rPr>
        <w:t xml:space="preserve">somamayāni parvāṇi yeṣāṃ te somaparvāṇo devāḥ | yo hi yad-āhāro bhavati tasya tanmayāni parvāṇi bhavanti | somāhārāś ca devāḥ</w:t>
      </w:r>
      <w:r>
        <w:t xml:space="preserve">) —</w:t>
      </w:r>
      <w:r>
        <w:t xml:space="preserve"> </w:t>
      </w:r>
      <w:r>
        <w:t xml:space="preserve">“</w:t>
      </w:r>
      <w:r>
        <w:t xml:space="preserve">those whose joints are made of Soma are the</w:t>
      </w:r>
      <w:r>
        <w:t xml:space="preserve"> </w:t>
      </w:r>
      <w:r>
        <w:rPr>
          <w:iCs/>
          <w:i/>
        </w:rPr>
        <w:t xml:space="preserve">somaparvāṇas</w:t>
      </w:r>
      <w:r>
        <w:t xml:space="preserve">, the gods; for whatever one’s food is, one’s joints are made of that; and the gods have Soma for their food.</w:t>
      </w:r>
      <w:r>
        <w:t xml:space="preserve">”</w:t>
      </w:r>
      <w:r>
        <w:t xml:space="preserve"> </w:t>
      </w:r>
      <w:r>
        <w:t xml:space="preserve">The gods too take Soma-juice as their food, so they are called</w:t>
      </w:r>
      <w:r>
        <w:t xml:space="preserve"> </w:t>
      </w:r>
      <w:r>
        <w:rPr>
          <w:iCs/>
          <w:i/>
        </w:rPr>
        <w:t xml:space="preserve">somaparvāṇaḥ</w:t>
      </w:r>
      <w:r>
        <w:t xml:space="preserve">. Therefore the sentence</w:t>
      </w:r>
      <w:r>
        <w:t xml:space="preserve"> </w:t>
      </w:r>
      <w:r>
        <w:rPr>
          <w:iCs/>
          <w:i/>
        </w:rPr>
        <w:t xml:space="preserve">indra viśvebhiḥ somaparvabhiḥ ehi</w:t>
      </w:r>
      <w:r>
        <w:t xml:space="preserve"> </w:t>
      </w:r>
      <w:r>
        <w:t xml:space="preserve">in this rik should be understood:</w:t>
      </w:r>
      <w:r>
        <w:t xml:space="preserve"> </w:t>
      </w:r>
      <w:r>
        <w:t xml:space="preserve">“</w:t>
      </w:r>
      <w:r>
        <w:t xml:space="preserve">O Indra, come here together with all the gods.</w:t>
      </w:r>
      <w:r>
        <w:t xml:space="preserve">”</w:t>
      </w:r>
    </w:p>
    <w:p>
      <w:pPr>
        <w:pStyle w:val="BodyText"/>
      </w:pPr>
      <w:r>
        <w:rPr>
          <w:bCs/>
          <w:b/>
        </w:rPr>
        <w:t xml:space="preserve">“</w:t>
      </w:r>
      <w:r>
        <w:rPr>
          <w:bCs/>
          <w:b/>
        </w:rPr>
        <w:t xml:space="preserve">Abhiṣṭiḥ</w:t>
      </w:r>
      <w:r>
        <w:rPr>
          <w:bCs/>
          <w:b/>
        </w:rPr>
        <w:t xml:space="preserve">”</w:t>
      </w:r>
      <w:r>
        <w:t xml:space="preserve"> </w:t>
      </w:r>
      <w:r>
        <w:t xml:space="preserve">—</w:t>
      </w:r>
      <w:r>
        <w:t xml:space="preserve"> </w:t>
      </w:r>
      <w:r>
        <w:rPr>
          <w:bCs/>
          <w:b/>
        </w:rPr>
        <w:t xml:space="preserve">अभिगन्ता</w:t>
      </w:r>
      <w:r>
        <w:t xml:space="preserve"> </w:t>
      </w:r>
      <w:r>
        <w:t xml:space="preserve">(</w:t>
      </w:r>
      <w:r>
        <w:rPr>
          <w:iCs/>
          <w:i/>
        </w:rPr>
        <w:t xml:space="preserve">abhigantā</w:t>
      </w:r>
      <w:r>
        <w:t xml:space="preserve">) — one who approaches [to defeat] enemies: one who brings defeat on enemies, who conquers enemies.</w:t>
      </w:r>
    </w:p>
    <w:p>
      <w:pPr>
        <w:pStyle w:val="BodyText"/>
      </w:pPr>
      <w:r>
        <w:rPr>
          <w:bCs/>
          <w:b/>
        </w:rPr>
        <w:t xml:space="preserve">“</w:t>
      </w:r>
      <w:r>
        <w:rPr>
          <w:bCs/>
          <w:b/>
        </w:rPr>
        <w:t xml:space="preserve">Ojasā</w:t>
      </w:r>
      <w:r>
        <w:rPr>
          <w:bCs/>
          <w:b/>
        </w:rPr>
        <w:t xml:space="preserve">”</w:t>
      </w:r>
      <w:r>
        <w:t xml:space="preserve"> </w:t>
      </w:r>
      <w:r>
        <w:t xml:space="preserve">— by strength, by capacity. Among the twenty-eight words for strength beginning with</w:t>
      </w:r>
      <w:r>
        <w:t xml:space="preserve"> </w:t>
      </w:r>
      <w:r>
        <w:rPr>
          <w:iCs/>
          <w:i/>
        </w:rPr>
        <w:t xml:space="preserve">ojaḥ</w:t>
      </w:r>
      <w:r>
        <w:t xml:space="preserve">,</w:t>
      </w:r>
      <w:r>
        <w:t xml:space="preserve"> </w:t>
      </w:r>
      <w:r>
        <w:rPr>
          <w:iCs/>
          <w:i/>
        </w:rPr>
        <w:t xml:space="preserve">pājaḥ</w:t>
      </w:r>
      <w:r>
        <w:t xml:space="preserve">, the word</w:t>
      </w:r>
      <w:r>
        <w:t xml:space="preserve"> </w:t>
      </w:r>
      <w:r>
        <w:rPr>
          <w:iCs/>
          <w:i/>
        </w:rPr>
        <w:t xml:space="preserve">ojaḥ</w:t>
      </w:r>
      <w:r>
        <w:t xml:space="preserve"> </w:t>
      </w:r>
      <w:r>
        <w:t xml:space="preserve">is read (Ni.</w:t>
      </w:r>
      <w:r>
        <w:t xml:space="preserve"> </w:t>
      </w:r>
      <w:r>
        <w:t xml:space="preserve">“</w:t>
      </w:r>
      <w:r>
        <w:t xml:space="preserve">3-9</w:t>
      </w:r>
      <w:r>
        <w:t xml:space="preserve">”</w:t>
      </w:r>
      <w:r>
        <w:t xml:space="preserve"> </w:t>
      </w:r>
      <w:r>
        <w:t xml:space="preserve">as printed [?]).</w:t>
      </w:r>
    </w:p>
    <w:bookmarkEnd w:id="373"/>
    <w:bookmarkStart w:id="374" w:name="page-345-rik-1-grammar"/>
    <w:p>
      <w:pPr>
        <w:pStyle w:val="Heading3"/>
      </w:pPr>
      <w:r>
        <w:t xml:space="preserve">Page 345 — Rik 1: grammar</w:t>
      </w:r>
    </w:p>
    <w:p>
      <w:pPr>
        <w:pStyle w:val="FirstParagraph"/>
      </w:pPr>
      <w:r>
        <w:rPr>
          <w:bCs/>
          <w:b/>
        </w:rPr>
        <w:t xml:space="preserve">॥ Vyākaraṇa-prakriyā ॥</w:t>
      </w:r>
      <w:r>
        <w:t xml:space="preserve"> </w:t>
      </w:r>
      <w:r>
        <w:rPr>
          <w:iCs/>
          <w:i/>
        </w:rPr>
        <w:t xml:space="preserve">(Kannada; page header</w:t>
      </w:r>
      <w:r>
        <w:rPr>
          <w:iCs/>
          <w:i/>
        </w:rPr>
        <w:t xml:space="preserve"> </w:t>
      </w:r>
      <w:r>
        <w:rPr>
          <w:iCs/>
          <w:i/>
        </w:rPr>
        <w:t xml:space="preserve">“</w:t>
      </w:r>
      <w:r>
        <w:rPr>
          <w:iCs/>
          <w:i/>
        </w:rPr>
        <w:t xml:space="preserve">A. 1, A. 1, Va. 17</w:t>
      </w:r>
      <w:r>
        <w:rPr>
          <w:iCs/>
          <w:i/>
        </w:rPr>
        <w:t xml:space="preserve">”</w:t>
      </w:r>
      <w:r>
        <w:rPr>
          <w:iCs/>
          <w:i/>
        </w:rPr>
        <w:t xml:space="preserve">; numbers as printed)</w:t>
      </w:r>
    </w:p>
    <w:p>
      <w:pPr>
        <w:pStyle w:val="BodyText"/>
      </w:pPr>
      <w:r>
        <w:rPr>
          <w:bCs/>
          <w:b/>
        </w:rPr>
        <w:t xml:space="preserve">एहि (</w:t>
      </w:r>
      <w:r>
        <w:rPr>
          <w:iCs/>
          <w:i/>
          <w:bCs/>
          <w:b/>
        </w:rPr>
        <w:t xml:space="preserve">ehi</w:t>
      </w:r>
      <w:r>
        <w:rPr>
          <w:bCs/>
          <w:b/>
        </w:rPr>
        <w:t xml:space="preserve">)</w:t>
      </w:r>
      <w:r>
        <w:t xml:space="preserve"> </w:t>
      </w:r>
      <w:r>
        <w:t xml:space="preserve">—</w:t>
      </w:r>
      <w:r>
        <w:t xml:space="preserve"> </w:t>
      </w:r>
      <w:r>
        <w:rPr>
          <w:iCs/>
          <w:i/>
        </w:rPr>
        <w:t xml:space="preserve">ā</w:t>
      </w:r>
      <w:r>
        <w:t xml:space="preserve"> </w:t>
      </w:r>
      <w:r>
        <w:t xml:space="preserve">+</w:t>
      </w:r>
      <w:r>
        <w:t xml:space="preserve"> </w:t>
      </w:r>
      <w:r>
        <w:rPr>
          <w:iCs/>
          <w:i/>
        </w:rPr>
        <w:t xml:space="preserve">ihi</w:t>
      </w:r>
      <w:r>
        <w:t xml:space="preserve">: by</w:t>
      </w:r>
      <w:r>
        <w:t xml:space="preserve"> </w:t>
      </w:r>
      <w:r>
        <w:t xml:space="preserve">“</w:t>
      </w:r>
      <w:r>
        <w:t xml:space="preserve">ād guṇaḥ</w:t>
      </w:r>
      <w:r>
        <w:t xml:space="preserve">”</w:t>
      </w:r>
      <w:r>
        <w:t xml:space="preserve"> </w:t>
      </w:r>
      <w:r>
        <w:t xml:space="preserve">(पा. सू. ६-१-८७)</w:t>
      </w:r>
      <w:r>
        <w:t xml:space="preserve"> </w:t>
      </w:r>
      <w:r>
        <w:rPr>
          <w:iCs/>
          <w:i/>
        </w:rPr>
        <w:t xml:space="preserve">guṇa</w:t>
      </w:r>
      <w:r>
        <w:t xml:space="preserve"> </w:t>
      </w:r>
      <w:r>
        <w:t xml:space="preserve">arises as a single substitute; the sūtra</w:t>
      </w:r>
      <w:r>
        <w:t xml:space="preserve"> </w:t>
      </w:r>
      <w:r>
        <w:t xml:space="preserve">“</w:t>
      </w:r>
      <w:r>
        <w:t xml:space="preserve">antādivac ca</w:t>
      </w:r>
      <w:r>
        <w:t xml:space="preserve">”</w:t>
      </w:r>
      <w:r>
        <w:t xml:space="preserve"> </w:t>
      </w:r>
      <w:r>
        <w:t xml:space="preserve">(पा. सू. ६-१-८५) carried over from</w:t>
      </w:r>
      <w:r>
        <w:t xml:space="preserve"> </w:t>
      </w:r>
      <w:r>
        <w:t xml:space="preserve">“</w:t>
      </w:r>
      <w:r>
        <w:t xml:space="preserve">ekaḥ pūrvaparayoḥ</w:t>
      </w:r>
      <w:r>
        <w:t xml:space="preserve">”</w:t>
      </w:r>
      <w:r>
        <w:t xml:space="preserve"> </w:t>
      </w:r>
      <w:r>
        <w:t xml:space="preserve">makes the substitute count as both the final of the earlier and the initial of the later item, so that both</w:t>
      </w:r>
      <w:r>
        <w:t xml:space="preserve"> </w:t>
      </w:r>
      <w:r>
        <w:rPr>
          <w:iCs/>
          <w:i/>
        </w:rPr>
        <w:t xml:space="preserve">ā</w:t>
      </w:r>
      <w:r>
        <w:t xml:space="preserve"> </w:t>
      </w:r>
      <w:r>
        <w:t xml:space="preserve">(as an upasarga) and the</w:t>
      </w:r>
      <w:r>
        <w:t xml:space="preserve"> </w:t>
      </w:r>
      <w:r>
        <w:rPr>
          <w:iCs/>
          <w:i/>
        </w:rPr>
        <w:t xml:space="preserve">āṅ</w:t>
      </w:r>
      <w:r>
        <w:t xml:space="preserve">-status remain — the source cites the Bhāṣya line</w:t>
      </w:r>
      <w:r>
        <w:t xml:space="preserve"> </w:t>
      </w:r>
      <w:r>
        <w:t xml:space="preserve">“</w:t>
      </w:r>
      <w:r>
        <w:t xml:space="preserve">yo ’py ubhayoḥ sthāne labhete ’sāv anyatarato vyapadeśam</w:t>
      </w:r>
      <w:r>
        <w:t xml:space="preserve">”</w:t>
      </w:r>
      <w:r>
        <w:t xml:space="preserve"> </w:t>
      </w:r>
      <w:r>
        <w:t xml:space="preserve">to this effect; and</w:t>
      </w:r>
      <w:r>
        <w:t xml:space="preserve"> </w:t>
      </w:r>
      <w:r>
        <w:t xml:space="preserve">“</w:t>
      </w:r>
      <w:r>
        <w:t xml:space="preserve">omāṅoś ca</w:t>
      </w:r>
      <w:r>
        <w:t xml:space="preserve">”</w:t>
      </w:r>
      <w:r>
        <w:t xml:space="preserve"> </w:t>
      </w:r>
      <w:r>
        <w:t xml:space="preserve">(पा. सू. ६-१-९५) — the rule that</w:t>
      </w:r>
      <w:r>
        <w:t xml:space="preserve"> </w:t>
      </w:r>
      <w:r>
        <w:rPr>
          <w:iCs/>
          <w:i/>
        </w:rPr>
        <w:t xml:space="preserve">pararūpa</w:t>
      </w:r>
      <w:r>
        <w:t xml:space="preserve"> </w:t>
      </w:r>
      <w:r>
        <w:t xml:space="preserve">arises when</w:t>
      </w:r>
      <w:r>
        <w:t xml:space="preserve"> </w:t>
      </w:r>
      <w:r>
        <w:rPr>
          <w:iCs/>
          <w:i/>
        </w:rPr>
        <w:t xml:space="preserve">om</w:t>
      </w:r>
      <w:r>
        <w:t xml:space="preserve"> </w:t>
      </w:r>
      <w:r>
        <w:t xml:space="preserve">or</w:t>
      </w:r>
      <w:r>
        <w:t xml:space="preserve"> </w:t>
      </w:r>
      <w:r>
        <w:rPr>
          <w:iCs/>
          <w:i/>
        </w:rPr>
        <w:t xml:space="preserve">āṅ</w:t>
      </w:r>
      <w:r>
        <w:t xml:space="preserve"> </w:t>
      </w:r>
      <w:r>
        <w:t xml:space="preserve">is followed by a vowel — would give</w:t>
      </w:r>
      <w:r>
        <w:t xml:space="preserve"> </w:t>
      </w:r>
      <w:r>
        <w:rPr>
          <w:iCs/>
          <w:i/>
        </w:rPr>
        <w:t xml:space="preserve">indra</w:t>
      </w:r>
      <w:r>
        <w:t xml:space="preserve"> </w:t>
      </w:r>
      <w:r>
        <w:t xml:space="preserve">+</w:t>
      </w:r>
      <w:r>
        <w:t xml:space="preserve"> </w:t>
      </w:r>
      <w:r>
        <w:rPr>
          <w:iCs/>
          <w:i/>
        </w:rPr>
        <w:t xml:space="preserve">ehi</w:t>
      </w:r>
      <w:r>
        <w:t xml:space="preserve"> </w:t>
      </w:r>
      <w:r>
        <w:t xml:space="preserve">→</w:t>
      </w:r>
      <w:r>
        <w:t xml:space="preserve"> </w:t>
      </w:r>
      <w:r>
        <w:rPr>
          <w:iCs/>
          <w:i/>
        </w:rPr>
        <w:t xml:space="preserve">indrehi</w:t>
      </w:r>
      <w:r>
        <w:t xml:space="preserve">.</w:t>
      </w:r>
      <w:r>
        <w:t xml:space="preserve"> </w:t>
      </w:r>
      <w:r>
        <w:rPr>
          <w:bCs/>
          <w:b/>
        </w:rPr>
        <w:t xml:space="preserve">मत्सि (</w:t>
      </w:r>
      <w:r>
        <w:rPr>
          <w:iCs/>
          <w:i/>
          <w:bCs/>
          <w:b/>
        </w:rPr>
        <w:t xml:space="preserve">matsi</w:t>
      </w:r>
      <w:r>
        <w:rPr>
          <w:bCs/>
          <w:b/>
        </w:rPr>
        <w:t xml:space="preserve">)</w:t>
      </w:r>
      <w:r>
        <w:t xml:space="preserve"> </w:t>
      </w:r>
      <w:r>
        <w:t xml:space="preserve">—</w:t>
      </w:r>
      <w:r>
        <w:t xml:space="preserve"> </w:t>
      </w:r>
      <w:r>
        <w:rPr>
          <w:iCs/>
          <w:i/>
        </w:rPr>
        <w:t xml:space="preserve">madī harṣaglapanayoḥ</w:t>
      </w:r>
      <w:r>
        <w:t xml:space="preserve">,</w:t>
      </w:r>
      <w:r>
        <w:t xml:space="preserve"> </w:t>
      </w:r>
      <w:r>
        <w:rPr>
          <w:iCs/>
          <w:i/>
        </w:rPr>
        <w:t xml:space="preserve">loṭ</w:t>
      </w:r>
      <w:r>
        <w:t xml:space="preserve"> </w:t>
      </w:r>
      <w:r>
        <w:t xml:space="preserve">second singular</w:t>
      </w:r>
      <w:r>
        <w:t xml:space="preserve"> </w:t>
      </w:r>
      <w:r>
        <w:rPr>
          <w:iCs/>
          <w:i/>
        </w:rPr>
        <w:t xml:space="preserve">sip</w:t>
      </w:r>
      <w:r>
        <w:t xml:space="preserve">;</w:t>
      </w:r>
      <w:r>
        <w:t xml:space="preserve"> </w:t>
      </w:r>
      <w:r>
        <w:rPr>
          <w:iCs/>
          <w:i/>
        </w:rPr>
        <w:t xml:space="preserve">sip</w:t>
      </w:r>
      <w:r>
        <w:t xml:space="preserve"> </w:t>
      </w:r>
      <w:r>
        <w:t xml:space="preserve">→</w:t>
      </w:r>
      <w:r>
        <w:t xml:space="preserve"> </w:t>
      </w:r>
      <w:r>
        <w:rPr>
          <w:iCs/>
          <w:i/>
        </w:rPr>
        <w:t xml:space="preserve">hi</w:t>
      </w:r>
      <w:r>
        <w:t xml:space="preserve"> </w:t>
      </w:r>
      <w:r>
        <w:t xml:space="preserve">by</w:t>
      </w:r>
      <w:r>
        <w:t xml:space="preserve"> </w:t>
      </w:r>
      <w:r>
        <w:rPr>
          <w:bCs/>
          <w:b/>
        </w:rPr>
        <w:t xml:space="preserve">सेर्ह्यपिच्च</w:t>
      </w:r>
      <w:r>
        <w:t xml:space="preserve"> </w:t>
      </w:r>
      <w:r>
        <w:t xml:space="preserve">(पा. सू. ३-४-८७) would come, but by</w:t>
      </w:r>
      <w:r>
        <w:t xml:space="preserve"> </w:t>
      </w:r>
      <w:r>
        <w:t xml:space="preserve">“</w:t>
      </w:r>
      <w:r>
        <w:t xml:space="preserve">sarve vidhayaś chandasi vikalpyante</w:t>
      </w:r>
      <w:r>
        <w:t xml:space="preserve">”</w:t>
      </w:r>
      <w:r>
        <w:t xml:space="preserve"> </w:t>
      </w:r>
      <w:r>
        <w:t xml:space="preserve">(परिभा. ३५) it is optional and does not come here;</w:t>
      </w:r>
      <w:r>
        <w:t xml:space="preserve"> </w:t>
      </w:r>
      <w:r>
        <w:rPr>
          <w:iCs/>
          <w:i/>
        </w:rPr>
        <w:t xml:space="preserve">śyan</w:t>
      </w:r>
      <w:r>
        <w:t xml:space="preserve"> </w:t>
      </w:r>
      <w:r>
        <w:t xml:space="preserve">by</w:t>
      </w:r>
      <w:r>
        <w:t xml:space="preserve"> </w:t>
      </w:r>
      <w:r>
        <w:t xml:space="preserve">“</w:t>
      </w:r>
      <w:r>
        <w:t xml:space="preserve">divādibhyaḥ śyan</w:t>
      </w:r>
      <w:r>
        <w:t xml:space="preserve">”</w:t>
      </w:r>
      <w:r>
        <w:t xml:space="preserve"> </w:t>
      </w:r>
      <w:r>
        <w:t xml:space="preserve">(पा. सू. ३-१-६९), dropped by Vedic</w:t>
      </w:r>
      <w:r>
        <w:t xml:space="preserve"> </w:t>
      </w:r>
      <w:r>
        <w:rPr>
          <w:iCs/>
          <w:i/>
        </w:rPr>
        <w:t xml:space="preserve">bahulam</w:t>
      </w:r>
      <w:r>
        <w:t xml:space="preserve"> </w:t>
      </w:r>
      <w:r>
        <w:t xml:space="preserve">(पा. सू. २-४-७३); by</w:t>
      </w:r>
      <w:r>
        <w:t xml:space="preserve"> </w:t>
      </w:r>
      <w:r>
        <w:rPr>
          <w:bCs/>
          <w:b/>
        </w:rPr>
        <w:t xml:space="preserve">प्रत्ययलोपे प्रत्ययलक्षणम्</w:t>
      </w:r>
      <w:r>
        <w:t xml:space="preserve"> </w:t>
      </w:r>
      <w:r>
        <w:t xml:space="preserve">(पा. सू. १-१-६२) the long vowel of</w:t>
      </w:r>
      <w:r>
        <w:t xml:space="preserve"> </w:t>
      </w:r>
      <w:r>
        <w:rPr>
          <w:bCs/>
          <w:b/>
        </w:rPr>
        <w:t xml:space="preserve">शमामष्टानां दीर्घः श्यनि</w:t>
      </w:r>
      <w:r>
        <w:t xml:space="preserve"> </w:t>
      </w:r>
      <w:r>
        <w:t xml:space="preserve">(पा. सू. ७-३-७४) would come, but</w:t>
      </w:r>
      <w:r>
        <w:t xml:space="preserve"> </w:t>
      </w:r>
      <w:r>
        <w:rPr>
          <w:bCs/>
          <w:b/>
        </w:rPr>
        <w:t xml:space="preserve">न लुमताङ्गस्य</w:t>
      </w:r>
      <w:r>
        <w:t xml:space="preserve"> </w:t>
      </w:r>
      <w:r>
        <w:t xml:space="preserve">(पा. सू. १-१-६३) blocks pratyayalakṣaṇa for an aṅga-operation after a</w:t>
      </w:r>
      <w:r>
        <w:t xml:space="preserve"> </w:t>
      </w:r>
      <w:r>
        <w:t xml:space="preserve">“</w:t>
      </w:r>
      <w:r>
        <w:t xml:space="preserve">luk</w:t>
      </w:r>
      <w:r>
        <w:t xml:space="preserve">”</w:t>
      </w:r>
      <w:r>
        <w:t xml:space="preserve"> </w:t>
      </w:r>
      <w:r>
        <w:t xml:space="preserve">loss, so no lengthening;</w:t>
      </w:r>
      <w:r>
        <w:t xml:space="preserve"> </w:t>
      </w:r>
      <w:r>
        <w:t xml:space="preserve">“</w:t>
      </w:r>
      <w:r>
        <w:t xml:space="preserve">sip,</w:t>
      </w:r>
      <w:r>
        <w:t xml:space="preserve">”</w:t>
      </w:r>
      <w:r>
        <w:t xml:space="preserve"> </w:t>
      </w:r>
      <w:r>
        <w:t xml:space="preserve">“</w:t>
      </w:r>
      <w:r>
        <w:t xml:space="preserve">p</w:t>
      </w:r>
      <w:r>
        <w:t xml:space="preserve">”</w:t>
      </w:r>
      <w:r>
        <w:t xml:space="preserve">-marked, unaccented, the root accent stays;</w:t>
      </w:r>
      <w:r>
        <w:t xml:space="preserve"> </w:t>
      </w:r>
      <w:r>
        <w:rPr>
          <w:iCs/>
          <w:i/>
        </w:rPr>
        <w:t xml:space="preserve">d</w:t>
      </w:r>
      <w:r>
        <w:t xml:space="preserve"> </w:t>
      </w:r>
      <w:r>
        <w:t xml:space="preserve">→</w:t>
      </w:r>
      <w:r>
        <w:t xml:space="preserve"> </w:t>
      </w:r>
      <w:r>
        <w:rPr>
          <w:iCs/>
          <w:i/>
        </w:rPr>
        <w:t xml:space="preserve">t</w:t>
      </w:r>
      <w:r>
        <w:t xml:space="preserve"> </w:t>
      </w:r>
      <w:r>
        <w:t xml:space="preserve">by</w:t>
      </w:r>
      <w:r>
        <w:t xml:space="preserve"> </w:t>
      </w:r>
      <w:r>
        <w:t xml:space="preserve">“</w:t>
      </w:r>
      <w:r>
        <w:t xml:space="preserve">khari ca</w:t>
      </w:r>
      <w:r>
        <w:t xml:space="preserve">”</w:t>
      </w:r>
      <w:r>
        <w:t xml:space="preserve"> </w:t>
      </w:r>
      <w:r>
        <w:t xml:space="preserve">(पा. सू. ८-४-५५), giving</w:t>
      </w:r>
      <w:r>
        <w:t xml:space="preserve"> </w:t>
      </w:r>
      <w:r>
        <w:rPr>
          <w:iCs/>
          <w:i/>
        </w:rPr>
        <w:t xml:space="preserve">matsi</w:t>
      </w:r>
      <w:r>
        <w:t xml:space="preserve">.</w:t>
      </w:r>
      <w:r>
        <w:t xml:space="preserve"> </w:t>
      </w:r>
      <w:r>
        <w:rPr>
          <w:bCs/>
          <w:b/>
        </w:rPr>
        <w:t xml:space="preserve">अन्धसः (</w:t>
      </w:r>
      <w:r>
        <w:rPr>
          <w:iCs/>
          <w:i/>
          <w:bCs/>
          <w:b/>
        </w:rPr>
        <w:t xml:space="preserve">andhasaḥ</w:t>
      </w:r>
      <w:r>
        <w:rPr>
          <w:bCs/>
          <w:b/>
        </w:rPr>
        <w:t xml:space="preserve">)</w:t>
      </w:r>
      <w:r>
        <w:t xml:space="preserve"> </w:t>
      </w:r>
      <w:r>
        <w:t xml:space="preserve">—</w:t>
      </w:r>
      <w:r>
        <w:t xml:space="preserve"> </w:t>
      </w:r>
      <w:r>
        <w:rPr>
          <w:bCs/>
          <w:b/>
        </w:rPr>
        <w:t xml:space="preserve">अदेर्नुम्धौ च</w:t>
      </w:r>
      <w:r>
        <w:t xml:space="preserve"> </w:t>
      </w:r>
      <w:r>
        <w:t xml:space="preserve">(उ. सू. ४-६४५ [?], as printed; the Bhāṣya gave</w:t>
      </w:r>
      <w:r>
        <w:t xml:space="preserve"> </w:t>
      </w:r>
      <w:r>
        <w:t xml:space="preserve">“</w:t>
      </w:r>
      <w:r>
        <w:t xml:space="preserve">उ. ४-२०४</w:t>
      </w:r>
      <w:r>
        <w:t xml:space="preserve">”</w:t>
      </w:r>
      <w:r>
        <w:t xml:space="preserve">): after</w:t>
      </w:r>
      <w:r>
        <w:t xml:space="preserve"> </w:t>
      </w:r>
      <w:r>
        <w:t xml:space="preserve">“</w:t>
      </w:r>
      <w:r>
        <w:t xml:space="preserve">ada bhakṣaṇe,</w:t>
      </w:r>
      <w:r>
        <w:t xml:space="preserve">”</w:t>
      </w:r>
      <w:r>
        <w:t xml:space="preserve"> </w:t>
      </w:r>
      <w:r>
        <w:t xml:space="preserve">“</w:t>
      </w:r>
      <w:r>
        <w:t xml:space="preserve">asun,</w:t>
      </w:r>
      <w:r>
        <w:t xml:space="preserve">”</w:t>
      </w:r>
      <w:r>
        <w:t xml:space="preserve"> </w:t>
      </w:r>
      <w:r>
        <w:t xml:space="preserve">the augment</w:t>
      </w:r>
      <w:r>
        <w:t xml:space="preserve"> </w:t>
      </w:r>
      <w:r>
        <w:t xml:space="preserve">“</w:t>
      </w:r>
      <w:r>
        <w:t xml:space="preserve">num</w:t>
      </w:r>
      <w:r>
        <w:t xml:space="preserve">”</w:t>
      </w:r>
      <w:r>
        <w:t xml:space="preserve"> </w:t>
      </w:r>
      <w:r>
        <w:t xml:space="preserve">and</w:t>
      </w:r>
      <w:r>
        <w:t xml:space="preserve"> </w:t>
      </w:r>
      <w:r>
        <w:t xml:space="preserve">“</w:t>
      </w:r>
      <w:r>
        <w:t xml:space="preserve">dh</w:t>
      </w:r>
      <w:r>
        <w:t xml:space="preserve">”</w:t>
      </w:r>
      <w:r>
        <w:t xml:space="preserve"> </w:t>
      </w:r>
      <w:r>
        <w:t xml:space="preserve">for</w:t>
      </w:r>
      <w:r>
        <w:t xml:space="preserve"> </w:t>
      </w:r>
      <w:r>
        <w:t xml:space="preserve">“</w:t>
      </w:r>
      <w:r>
        <w:t xml:space="preserve">d</w:t>
      </w:r>
      <w:r>
        <w:t xml:space="preserve">”</w:t>
      </w:r>
      <w:r>
        <w:t xml:space="preserve"> </w:t>
      </w:r>
      <w:r>
        <w:t xml:space="preserve">…</w:t>
      </w:r>
      <w:r>
        <w:t xml:space="preserve"> </w:t>
      </w:r>
      <w:r>
        <w:rPr>
          <w:iCs/>
          <w:i/>
        </w:rPr>
        <w:t xml:space="preserve">(continues on p. 346)</w:t>
      </w:r>
    </w:p>
    <w:bookmarkEnd w:id="374"/>
    <w:bookmarkStart w:id="375" w:name="pages-346347-rik-1-grammar-closes-rik-2"/>
    <w:p>
      <w:pPr>
        <w:pStyle w:val="Heading3"/>
      </w:pPr>
      <w:r>
        <w:t xml:space="preserve">Pages 346–347 — Rik 1 grammar closes; Rik 2</w:t>
      </w:r>
    </w:p>
    <w:p>
      <w:pPr>
        <w:pStyle w:val="FirstParagraph"/>
      </w:pPr>
      <w:r>
        <w:rPr>
          <w:bCs/>
          <w:b/>
        </w:rPr>
        <w:t xml:space="preserve">॥ Vyākaraṇa-prakriyā ॥</w:t>
      </w:r>
      <w:r>
        <w:t xml:space="preserve"> </w:t>
      </w:r>
      <w:r>
        <w:rPr>
          <w:iCs/>
          <w:i/>
        </w:rPr>
        <w:t xml:space="preserve">(pp. 346–347, Kannada; page header p. 347</w:t>
      </w:r>
      <w:r>
        <w:rPr>
          <w:iCs/>
          <w:i/>
        </w:rPr>
        <w:t xml:space="preserve"> </w:t>
      </w:r>
      <w:r>
        <w:rPr>
          <w:iCs/>
          <w:i/>
        </w:rPr>
        <w:t xml:space="preserve">“</w:t>
      </w:r>
      <w:r>
        <w:rPr>
          <w:iCs/>
          <w:i/>
        </w:rPr>
        <w:t xml:space="preserve">A. 1, A. 1, Va. 17</w:t>
      </w:r>
      <w:r>
        <w:rPr>
          <w:iCs/>
          <w:i/>
        </w:rPr>
        <w:t xml:space="preserve">”</w:t>
      </w:r>
      <w:r>
        <w:rPr>
          <w:iCs/>
          <w:i/>
        </w:rPr>
        <w:t xml:space="preserve">; numbers as printed)</w:t>
      </w:r>
    </w:p>
    <w:p>
      <w:pPr>
        <w:pStyle w:val="BodyText"/>
      </w:pPr>
      <w:r>
        <w:rPr>
          <w:bCs/>
          <w:b/>
        </w:rPr>
        <w:t xml:space="preserve">अन्धसः</w:t>
      </w:r>
      <w:r>
        <w:t xml:space="preserve"> </w:t>
      </w:r>
      <w:r>
        <w:t xml:space="preserve">(concluded) —</w:t>
      </w:r>
      <w:r>
        <w:t xml:space="preserve"> </w:t>
      </w:r>
      <w:r>
        <w:t xml:space="preserve">“</w:t>
      </w:r>
      <w:r>
        <w:t xml:space="preserve">ada bhakṣaṇe</w:t>
      </w:r>
      <w:r>
        <w:t xml:space="preserve">”</w:t>
      </w:r>
      <w:r>
        <w:t xml:space="preserve"> </w:t>
      </w:r>
      <w:r>
        <w:t xml:space="preserve">+</w:t>
      </w:r>
      <w:r>
        <w:t xml:space="preserve"> </w:t>
      </w:r>
      <w:r>
        <w:t xml:space="preserve">“</w:t>
      </w:r>
      <w:r>
        <w:t xml:space="preserve">asun</w:t>
      </w:r>
      <w:r>
        <w:t xml:space="preserve">”</w:t>
      </w:r>
      <w:r>
        <w:t xml:space="preserve"> </w:t>
      </w:r>
      <w:r>
        <w:t xml:space="preserve">etc.:</w:t>
      </w:r>
      <w:r>
        <w:t xml:space="preserve"> </w:t>
      </w:r>
      <w:r>
        <w:t xml:space="preserve">“</w:t>
      </w:r>
      <w:r>
        <w:t xml:space="preserve">andhas</w:t>
      </w:r>
      <w:r>
        <w:t xml:space="preserve">”</w:t>
      </w:r>
      <w:r>
        <w:t xml:space="preserve">; nominative plural</w:t>
      </w:r>
      <w:r>
        <w:t xml:space="preserve"> </w:t>
      </w:r>
      <w:r>
        <w:t xml:space="preserve">“</w:t>
      </w:r>
      <w:r>
        <w:t xml:space="preserve">andhasaḥ,</w:t>
      </w:r>
      <w:r>
        <w:t xml:space="preserve">”</w:t>
      </w:r>
      <w:r>
        <w:t xml:space="preserve"> </w:t>
      </w:r>
      <w:r>
        <w:t xml:space="preserve">to be taken in the sense of the instrumental plural;</w:t>
      </w:r>
      <w:r>
        <w:t xml:space="preserve"> </w:t>
      </w:r>
      <w:r>
        <w:t xml:space="preserve">“</w:t>
      </w:r>
      <w:r>
        <w:t xml:space="preserve">n</w:t>
      </w:r>
      <w:r>
        <w:t xml:space="preserve">”</w:t>
      </w:r>
      <w:r>
        <w:t xml:space="preserve">-marked, first-syllable acute.</w:t>
      </w:r>
      <w:r>
        <w:t xml:space="preserve"> </w:t>
      </w:r>
      <w:r>
        <w:rPr>
          <w:bCs/>
          <w:b/>
        </w:rPr>
        <w:t xml:space="preserve">विश्वेभिः</w:t>
      </w:r>
      <w:r>
        <w:t xml:space="preserve"> </w:t>
      </w:r>
      <w:r>
        <w:t xml:space="preserve">—</w:t>
      </w:r>
      <w:r>
        <w:t xml:space="preserve"> </w:t>
      </w:r>
      <w:r>
        <w:rPr>
          <w:bCs/>
          <w:b/>
        </w:rPr>
        <w:t xml:space="preserve">अशूप्रुषिलटिकणिखटिविशिभ्यः क्वन्</w:t>
      </w:r>
      <w:r>
        <w:t xml:space="preserve"> </w:t>
      </w:r>
      <w:r>
        <w:t xml:space="preserve">(उ. सू. १-१४९ [?], the roots glossed one by one)</w:t>
      </w:r>
      <w:r>
        <w:t xml:space="preserve"> </w:t>
      </w:r>
      <w:r>
        <w:t xml:space="preserve">“</w:t>
      </w:r>
      <w:r>
        <w:t xml:space="preserve">kvan</w:t>
      </w:r>
      <w:r>
        <w:t xml:space="preserve">”</w:t>
      </w:r>
      <w:r>
        <w:t xml:space="preserve"> </w:t>
      </w:r>
      <w:r>
        <w:t xml:space="preserve">after</w:t>
      </w:r>
      <w:r>
        <w:t xml:space="preserve"> </w:t>
      </w:r>
      <w:r>
        <w:t xml:space="preserve">“</w:t>
      </w:r>
      <w:r>
        <w:t xml:space="preserve">viś</w:t>
      </w:r>
      <w:r>
        <w:t xml:space="preserve">”</w:t>
      </w:r>
      <w:r>
        <w:t xml:space="preserve">:</w:t>
      </w:r>
      <w:r>
        <w:t xml:space="preserve"> </w:t>
      </w:r>
      <w:r>
        <w:t xml:space="preserve">“</w:t>
      </w:r>
      <w:r>
        <w:t xml:space="preserve">viśva,</w:t>
      </w:r>
      <w:r>
        <w:t xml:space="preserve">”</w:t>
      </w:r>
      <w:r>
        <w:t xml:space="preserve"> </w:t>
      </w:r>
      <w:r>
        <w:t xml:space="preserve">first-syllable acute; with</w:t>
      </w:r>
      <w:r>
        <w:t xml:space="preserve"> </w:t>
      </w:r>
      <w:r>
        <w:t xml:space="preserve">“</w:t>
      </w:r>
      <w:r>
        <w:t xml:space="preserve">bhis,</w:t>
      </w:r>
      <w:r>
        <w:t xml:space="preserve">”</w:t>
      </w:r>
      <w:r>
        <w:t xml:space="preserve"> </w:t>
      </w:r>
      <w:r>
        <w:rPr>
          <w:bCs/>
          <w:b/>
        </w:rPr>
        <w:t xml:space="preserve">बहुलं छन्दसि</w:t>
      </w:r>
      <w:r>
        <w:t xml:space="preserve"> </w:t>
      </w:r>
      <w:r>
        <w:t xml:space="preserve">(पा. सू.</w:t>
      </w:r>
      <w:r>
        <w:t xml:space="preserve"> </w:t>
      </w:r>
      <w:r>
        <w:t xml:space="preserve">“</w:t>
      </w:r>
      <w:r>
        <w:t xml:space="preserve">७-१-१०,</w:t>
      </w:r>
      <w:r>
        <w:t xml:space="preserve">”</w:t>
      </w:r>
      <w:r>
        <w:t xml:space="preserve"> </w:t>
      </w:r>
      <w:r>
        <w:t xml:space="preserve">printed</w:t>
      </w:r>
      <w:r>
        <w:t xml:space="preserve"> </w:t>
      </w:r>
      <w:r>
        <w:t xml:space="preserve">“</w:t>
      </w:r>
      <w:r>
        <w:t xml:space="preserve">२-१-१०</w:t>
      </w:r>
      <w:r>
        <w:t xml:space="preserve">”</w:t>
      </w:r>
      <w:r>
        <w:t xml:space="preserve">) withholds</w:t>
      </w:r>
      <w:r>
        <w:t xml:space="preserve"> </w:t>
      </w:r>
      <w:r>
        <w:t xml:space="preserve">“</w:t>
      </w:r>
      <w:r>
        <w:t xml:space="preserve">ais.</w:t>
      </w:r>
      <w:r>
        <w:t xml:space="preserve">”</w:t>
      </w:r>
      <w:r>
        <w:t xml:space="preserve"> </w:t>
      </w:r>
      <w:r>
        <w:rPr>
          <w:bCs/>
          <w:b/>
        </w:rPr>
        <w:t xml:space="preserve">सोमपर्वभिः</w:t>
      </w:r>
      <w:r>
        <w:t xml:space="preserve"> </w:t>
      </w:r>
      <w:r>
        <w:t xml:space="preserve">—</w:t>
      </w:r>
      <w:r>
        <w:t xml:space="preserve"> </w:t>
      </w:r>
      <w:r>
        <w:t xml:space="preserve">“</w:t>
      </w:r>
      <w:r>
        <w:t xml:space="preserve">latārūpaṃ somaṃ pṛṇanti pūrayanti iti somaparvāṇaḥ somarasāḥ</w:t>
      </w:r>
      <w:r>
        <w:t xml:space="preserve">”</w:t>
      </w:r>
      <w:r>
        <w:t xml:space="preserve">:</w:t>
      </w:r>
      <w:r>
        <w:t xml:space="preserve"> </w:t>
      </w:r>
      <w:r>
        <w:t xml:space="preserve">“</w:t>
      </w:r>
      <w:r>
        <w:t xml:space="preserve">pṝ pālanapūraṇayoḥ,</w:t>
      </w:r>
      <w:r>
        <w:t xml:space="preserve">”</w:t>
      </w:r>
      <w:r>
        <w:t xml:space="preserve"> </w:t>
      </w:r>
      <w:r>
        <w:rPr>
          <w:bCs/>
          <w:b/>
        </w:rPr>
        <w:t xml:space="preserve">अन्येभ्योऽपि दृश्यन्ते</w:t>
      </w:r>
      <w:r>
        <w:t xml:space="preserve"> </w:t>
      </w:r>
      <w:r>
        <w:t xml:space="preserve">(पा. सू. ३-२-७५)</w:t>
      </w:r>
      <w:r>
        <w:t xml:space="preserve"> </w:t>
      </w:r>
      <w:r>
        <w:t xml:space="preserve">“</w:t>
      </w:r>
      <w:r>
        <w:t xml:space="preserve">vanip</w:t>
      </w:r>
      <w:r>
        <w:t xml:space="preserve">”</w:t>
      </w:r>
      <w:r>
        <w:t xml:space="preserve">; guṇa by</w:t>
      </w:r>
      <w:r>
        <w:t xml:space="preserve"> </w:t>
      </w:r>
      <w:r>
        <w:rPr>
          <w:bCs/>
          <w:b/>
        </w:rPr>
        <w:t xml:space="preserve">सार्वधातुकार्धधातुकयोः</w:t>
      </w:r>
      <w:r>
        <w:t xml:space="preserve"> </w:t>
      </w:r>
      <w:r>
        <w:t xml:space="preserve">(पा. सू. ७-३-८४) with</w:t>
      </w:r>
      <w:r>
        <w:t xml:space="preserve"> </w:t>
      </w:r>
      <w:r>
        <w:t xml:space="preserve">“</w:t>
      </w:r>
      <w:r>
        <w:t xml:space="preserve">r</w:t>
      </w:r>
      <w:r>
        <w:t xml:space="preserve">”</w:t>
      </w:r>
      <w:r>
        <w:t xml:space="preserve"> </w:t>
      </w:r>
      <w:r>
        <w:t xml:space="preserve">by</w:t>
      </w:r>
      <w:r>
        <w:t xml:space="preserve"> </w:t>
      </w:r>
      <w:r>
        <w:rPr>
          <w:bCs/>
          <w:b/>
        </w:rPr>
        <w:t xml:space="preserve">उरण् रपरः</w:t>
      </w:r>
      <w:r>
        <w:t xml:space="preserve"> </w:t>
      </w:r>
      <w:r>
        <w:t xml:space="preserve">(पा. सू. १-१-५१):</w:t>
      </w:r>
      <w:r>
        <w:t xml:space="preserve"> </w:t>
      </w:r>
      <w:r>
        <w:t xml:space="preserve">“</w:t>
      </w:r>
      <w:r>
        <w:t xml:space="preserve">parvan</w:t>
      </w:r>
      <w:r>
        <w:t xml:space="preserve">”</w:t>
      </w:r>
      <w:r>
        <w:t xml:space="preserve">;</w:t>
      </w:r>
      <w:r>
        <w:t xml:space="preserve"> </w:t>
      </w:r>
      <w:r>
        <w:t xml:space="preserve">“</w:t>
      </w:r>
      <w:r>
        <w:t xml:space="preserve">vanip,</w:t>
      </w:r>
      <w:r>
        <w:t xml:space="preserve">”</w:t>
      </w:r>
      <w:r>
        <w:t xml:space="preserve"> </w:t>
      </w:r>
      <w:r>
        <w:t xml:space="preserve">“</w:t>
      </w:r>
      <w:r>
        <w:t xml:space="preserve">p</w:t>
      </w:r>
      <w:r>
        <w:t xml:space="preserve">”</w:t>
      </w:r>
      <w:r>
        <w:t xml:space="preserve">-marked, unaccented, the root accent remains; with</w:t>
      </w:r>
      <w:r>
        <w:t xml:space="preserve"> </w:t>
      </w:r>
      <w:r>
        <w:t xml:space="preserve">“</w:t>
      </w:r>
      <w:r>
        <w:t xml:space="preserve">soma,</w:t>
      </w:r>
      <w:r>
        <w:t xml:space="preserve">”</w:t>
      </w:r>
      <w:r>
        <w:t xml:space="preserve"> </w:t>
      </w:r>
      <w:r>
        <w:rPr>
          <w:bCs/>
          <w:b/>
        </w:rPr>
        <w:t xml:space="preserve">उपपदमतिङ्</w:t>
      </w:r>
      <w:r>
        <w:t xml:space="preserve"> </w:t>
      </w:r>
      <w:r>
        <w:t xml:space="preserve">(पा. सू. २-२-१९) the upapada compound, and</w:t>
      </w:r>
      <w:r>
        <w:t xml:space="preserve"> </w:t>
      </w:r>
      <w:r>
        <w:rPr>
          <w:bCs/>
          <w:b/>
        </w:rPr>
        <w:t xml:space="preserve">गतिकारकोपपदात्कृत्</w:t>
      </w:r>
      <w:r>
        <w:t xml:space="preserve"> </w:t>
      </w:r>
      <w:r>
        <w:t xml:space="preserve">(पा. सू. ६-२-१३९) keeps that accent; instrumental plural:</w:t>
      </w:r>
      <w:r>
        <w:t xml:space="preserve"> </w:t>
      </w:r>
      <w:r>
        <w:rPr>
          <w:bCs/>
          <w:b/>
        </w:rPr>
        <w:t xml:space="preserve">नलोपः प्रातिपदिकान्तस्य</w:t>
      </w:r>
      <w:r>
        <w:t xml:space="preserve"> </w:t>
      </w:r>
      <w:r>
        <w:t xml:space="preserve">(पा. सू. ८-२-७),</w:t>
      </w:r>
      <w:r>
        <w:t xml:space="preserve"> </w:t>
      </w:r>
      <w:r>
        <w:t xml:space="preserve">“</w:t>
      </w:r>
      <w:r>
        <w:t xml:space="preserve">ru</w:t>
      </w:r>
      <w:r>
        <w:t xml:space="preserve">”</w:t>
      </w:r>
      <w:r>
        <w:t xml:space="preserve"> </w:t>
      </w:r>
      <w:r>
        <w:t xml:space="preserve">and visarga:</w:t>
      </w:r>
      <w:r>
        <w:t xml:space="preserve"> </w:t>
      </w:r>
      <w:r>
        <w:t xml:space="preserve">“</w:t>
      </w:r>
      <w:r>
        <w:t xml:space="preserve">somaparvabhiḥ.</w:t>
      </w:r>
      <w:r>
        <w:t xml:space="preserve">”</w:t>
      </w:r>
      <w:r>
        <w:t xml:space="preserve"> </w:t>
      </w:r>
      <w:r>
        <w:rPr>
          <w:bCs/>
          <w:b/>
        </w:rPr>
        <w:t xml:space="preserve">अभिष्टिः</w:t>
      </w:r>
      <w:r>
        <w:t xml:space="preserve"> </w:t>
      </w:r>
      <w:r>
        <w:t xml:space="preserve">—</w:t>
      </w:r>
      <w:r>
        <w:t xml:space="preserve"> </w:t>
      </w:r>
      <w:r>
        <w:t xml:space="preserve">“</w:t>
      </w:r>
      <w:r>
        <w:t xml:space="preserve">abhigantā</w:t>
      </w:r>
      <w:r>
        <w:t xml:space="preserve">”</w:t>
      </w:r>
      <w:r>
        <w:t xml:space="preserve">:</w:t>
      </w:r>
      <w:r>
        <w:t xml:space="preserve"> </w:t>
      </w:r>
      <w:r>
        <w:t xml:space="preserve">“</w:t>
      </w:r>
      <w:r>
        <w:t xml:space="preserve">iṣa gatau</w:t>
      </w:r>
      <w:r>
        <w:t xml:space="preserve">”</w:t>
      </w:r>
      <w:r>
        <w:t xml:space="preserve"> </w:t>
      </w:r>
      <w:r>
        <w:t xml:space="preserve">with</w:t>
      </w:r>
      <w:r>
        <w:t xml:space="preserve"> </w:t>
      </w:r>
      <w:r>
        <w:rPr>
          <w:bCs/>
          <w:b/>
        </w:rPr>
        <w:t xml:space="preserve">मन्त्रे वृषेषपचमनविदभूवीरा उदात्तः</w:t>
      </w:r>
      <w:r>
        <w:t xml:space="preserve"> </w:t>
      </w:r>
      <w:r>
        <w:t xml:space="preserve">(पा. सू. ३-३-९६)</w:t>
      </w:r>
      <w:r>
        <w:t xml:space="preserve"> </w:t>
      </w:r>
      <w:r>
        <w:t xml:space="preserve">“</w:t>
      </w:r>
      <w:r>
        <w:t xml:space="preserve">ktin,</w:t>
      </w:r>
      <w:r>
        <w:t xml:space="preserve">”</w:t>
      </w:r>
      <w:r>
        <w:t xml:space="preserve"> </w:t>
      </w:r>
      <w:r>
        <w:t xml:space="preserve">acute; though in the action sense, it denotes the agent by implication; the</w:t>
      </w:r>
      <w:r>
        <w:t xml:space="preserve"> </w:t>
      </w:r>
      <w:r>
        <w:t xml:space="preserve">“</w:t>
      </w:r>
      <w:r>
        <w:t xml:space="preserve">iṭ</w:t>
      </w:r>
      <w:r>
        <w:t xml:space="preserve">”</w:t>
      </w:r>
      <w:r>
        <w:t xml:space="preserve"> </w:t>
      </w:r>
      <w:r>
        <w:t xml:space="preserve">of</w:t>
      </w:r>
      <w:r>
        <w:t xml:space="preserve"> </w:t>
      </w:r>
      <w:r>
        <w:rPr>
          <w:bCs/>
          <w:b/>
        </w:rPr>
        <w:t xml:space="preserve">आर्धधातुकस्येड्वलादेः</w:t>
      </w:r>
      <w:r>
        <w:t xml:space="preserve"> </w:t>
      </w:r>
      <w:r>
        <w:t xml:space="preserve">(पा. सू. ७-२-३५) is barred by</w:t>
      </w:r>
      <w:r>
        <w:t xml:space="preserve"> </w:t>
      </w:r>
      <w:r>
        <w:rPr>
          <w:bCs/>
          <w:b/>
        </w:rPr>
        <w:t xml:space="preserve">तितुत्रतथसिसुसरकसेषु च</w:t>
      </w:r>
      <w:r>
        <w:t xml:space="preserve"> </w:t>
      </w:r>
      <w:r>
        <w:t xml:space="preserve">(पा. सू. ७-२-९);</w:t>
      </w:r>
      <w:r>
        <w:t xml:space="preserve"> </w:t>
      </w:r>
      <w:r>
        <w:t xml:space="preserve">“</w:t>
      </w:r>
      <w:r>
        <w:t xml:space="preserve">abhi + iṣ + ti</w:t>
      </w:r>
      <w:r>
        <w:t xml:space="preserve">”</w:t>
      </w:r>
      <w:r>
        <w:t xml:space="preserve">: the vārttika</w:t>
      </w:r>
      <w:r>
        <w:t xml:space="preserve"> </w:t>
      </w:r>
      <w:r>
        <w:rPr>
          <w:bCs/>
          <w:b/>
        </w:rPr>
        <w:t xml:space="preserve">एमन्नादिषु पररूपं वक्तव्यम्</w:t>
      </w:r>
      <w:r>
        <w:t xml:space="preserve"> </w:t>
      </w:r>
      <w:r>
        <w:t xml:space="preserve">(पा. सू. ६-१-९४-६) gives the later form instead of the long vowel;</w:t>
      </w:r>
      <w:r>
        <w:t xml:space="preserve"> </w:t>
      </w:r>
      <w:r>
        <w:rPr>
          <w:bCs/>
          <w:b/>
        </w:rPr>
        <w:t xml:space="preserve">ष्टुना ष्टुः</w:t>
      </w:r>
      <w:r>
        <w:t xml:space="preserve"> </w:t>
      </w:r>
      <w:r>
        <w:t xml:space="preserve">(पा. सू. ८-४-४१)</w:t>
      </w:r>
      <w:r>
        <w:t xml:space="preserve"> </w:t>
      </w:r>
      <w:r>
        <w:t xml:space="preserve">“</w:t>
      </w:r>
      <w:r>
        <w:t xml:space="preserve">ṭ</w:t>
      </w:r>
      <w:r>
        <w:t xml:space="preserve">”</w:t>
      </w:r>
      <w:r>
        <w:t xml:space="preserve">:</w:t>
      </w:r>
      <w:r>
        <w:t xml:space="preserve"> </w:t>
      </w:r>
      <w:r>
        <w:t xml:space="preserve">“</w:t>
      </w:r>
      <w:r>
        <w:t xml:space="preserve">abhiṣṭi</w:t>
      </w:r>
      <w:r>
        <w:t xml:space="preserve">”</w:t>
      </w:r>
      <w:r>
        <w:t xml:space="preserve">; with</w:t>
      </w:r>
      <w:r>
        <w:t xml:space="preserve"> </w:t>
      </w:r>
      <w:r>
        <w:t xml:space="preserve">“</w:t>
      </w:r>
      <w:r>
        <w:t xml:space="preserve">abhi,</w:t>
      </w:r>
      <w:r>
        <w:t xml:space="preserve">”</w:t>
      </w:r>
      <w:r>
        <w:t xml:space="preserve"> </w:t>
      </w:r>
      <w:r>
        <w:rPr>
          <w:bCs/>
          <w:b/>
        </w:rPr>
        <w:t xml:space="preserve">कुगतिप्रादयः</w:t>
      </w:r>
      <w:r>
        <w:t xml:space="preserve"> </w:t>
      </w:r>
      <w:r>
        <w:t xml:space="preserve">(पा. सू. २-२-१८) the prādi compound, with the kṛt-final second member’s accent.</w:t>
      </w:r>
      <w:r>
        <w:t xml:space="preserve"> </w:t>
      </w:r>
      <w:r>
        <w:rPr>
          <w:bCs/>
          <w:b/>
        </w:rPr>
        <w:t xml:space="preserve">ओजसा</w:t>
      </w:r>
      <w:r>
        <w:t xml:space="preserve"> </w:t>
      </w:r>
      <w:r>
        <w:t xml:space="preserve">(p. 347) —</w:t>
      </w:r>
      <w:r>
        <w:t xml:space="preserve"> </w:t>
      </w:r>
      <w:r>
        <w:rPr>
          <w:bCs/>
          <w:b/>
        </w:rPr>
        <w:t xml:space="preserve">उब्जेर्बले बलोपश्च</w:t>
      </w:r>
      <w:r>
        <w:t xml:space="preserve"> </w:t>
      </w:r>
      <w:r>
        <w:t xml:space="preserve">(उ. सू. ४-६३१ [?], as printed) — after</w:t>
      </w:r>
      <w:r>
        <w:t xml:space="preserve"> </w:t>
      </w:r>
      <w:r>
        <w:t xml:space="preserve">“</w:t>
      </w:r>
      <w:r>
        <w:t xml:space="preserve">ubja ārjave,</w:t>
      </w:r>
      <w:r>
        <w:t xml:space="preserve">”</w:t>
      </w:r>
      <w:r>
        <w:t xml:space="preserve"> </w:t>
      </w:r>
      <w:r>
        <w:t xml:space="preserve">“</w:t>
      </w:r>
      <w:r>
        <w:t xml:space="preserve">asun</w:t>
      </w:r>
      <w:r>
        <w:t xml:space="preserve">”</w:t>
      </w:r>
      <w:r>
        <w:t xml:space="preserve"> </w:t>
      </w:r>
      <w:r>
        <w:t xml:space="preserve">and loss of</w:t>
      </w:r>
      <w:r>
        <w:t xml:space="preserve"> </w:t>
      </w:r>
      <w:r>
        <w:t xml:space="preserve">“</w:t>
      </w:r>
      <w:r>
        <w:t xml:space="preserve">b</w:t>
      </w:r>
      <w:r>
        <w:t xml:space="preserve">”</w:t>
      </w:r>
      <w:r>
        <w:t xml:space="preserve">; guṇa of the light penultimate:</w:t>
      </w:r>
      <w:r>
        <w:t xml:space="preserve"> </w:t>
      </w:r>
      <w:r>
        <w:t xml:space="preserve">“</w:t>
      </w:r>
      <w:r>
        <w:t xml:space="preserve">ojas</w:t>
      </w:r>
      <w:r>
        <w:t xml:space="preserve">”</w:t>
      </w:r>
      <w:r>
        <w:t xml:space="preserve">; instrumental</w:t>
      </w:r>
      <w:r>
        <w:t xml:space="preserve"> </w:t>
      </w:r>
      <w:r>
        <w:t xml:space="preserve">“</w:t>
      </w:r>
      <w:r>
        <w:t xml:space="preserve">ojasā,</w:t>
      </w:r>
      <w:r>
        <w:t xml:space="preserve">”</w:t>
      </w:r>
      <w:r>
        <w:t xml:space="preserve"> </w:t>
      </w:r>
      <w:r>
        <w:t xml:space="preserve">first-syllable acute (</w:t>
      </w:r>
      <w:r>
        <w:t xml:space="preserve">“</w:t>
      </w:r>
      <w:r>
        <w:t xml:space="preserve">n</w:t>
      </w:r>
      <w:r>
        <w:t xml:space="preserve">”</w:t>
      </w:r>
      <w:r>
        <w:t xml:space="preserve">-marked).</w:t>
      </w:r>
      <w:r>
        <w:t xml:space="preserve"> </w:t>
      </w:r>
      <w:r>
        <w:rPr>
          <w:bCs/>
          <w:b/>
        </w:rPr>
        <w:t xml:space="preserve">॥१॥</w:t>
      </w:r>
    </w:p>
    <w:p>
      <w:r>
        <w:pict>
          <v:rect style="width:0;height:1.5pt" o:hralign="center" o:hrstd="t" o:hr="t"/>
        </w:pict>
      </w:r>
    </w:p>
    <w:bookmarkEnd w:id="375"/>
    <w:bookmarkStart w:id="376" w:name="page-347-sūkta-9-rik-2"/>
    <w:p>
      <w:pPr>
        <w:pStyle w:val="Heading3"/>
      </w:pPr>
      <w:r>
        <w:t xml:space="preserve">Page 347 — Sūkta 9, Rik 2</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एमे॑नं सृजता सु॒ते म॒न्दिमिन्द्रा॑य म॒न्दिने॑ ।</w:t>
      </w:r>
      <w:r>
        <w:t xml:space="preserve"> </w:t>
      </w:r>
      <w:r>
        <w:t xml:space="preserve">च॒क्रिं विश्वा॑नि॒ चक्र॑ये ॥२॥</w:t>
      </w:r>
    </w:p>
    <w:p>
      <w:pPr>
        <w:pStyle w:val="BlockText"/>
      </w:pPr>
      <w:r>
        <w:rPr>
          <w:iCs/>
          <w:i/>
        </w:rPr>
        <w:t xml:space="preserve">ém enaṃ sṛjatā suté mandím índrāya mandíne |</w:t>
      </w:r>
      <w:r>
        <w:t xml:space="preserve"> </w:t>
      </w:r>
      <w:r>
        <w:rPr>
          <w:iCs/>
          <w:i/>
        </w:rPr>
        <w:t xml:space="preserve">cakríṃ víśvāni cákraye ||2||</w:t>
      </w:r>
    </w:p>
    <w:p>
      <w:pPr>
        <w:pStyle w:val="FirstParagraph"/>
      </w:pPr>
      <w:r>
        <w:rPr>
          <w:bCs/>
          <w:b/>
        </w:rPr>
        <w:t xml:space="preserve">॥ Pada-pāṭhaḥ ॥</w:t>
      </w:r>
    </w:p>
    <w:p>
      <w:pPr>
        <w:pStyle w:val="BlockText"/>
      </w:pPr>
      <w:r>
        <w:t xml:space="preserve">आ । ईम् । एनम् । सृजत । सुते । मन्दिम् । इन्द्राय । मन्दिने ॥</w:t>
      </w:r>
      <w:r>
        <w:t xml:space="preserve"> </w:t>
      </w:r>
      <w:r>
        <w:t xml:space="preserve">चक्रिम् । विश्वानि । चक्रये ॥२॥</w:t>
      </w:r>
    </w:p>
    <w:p>
      <w:pPr>
        <w:pStyle w:val="BlockText"/>
      </w:pPr>
      <w:r>
        <w:rPr>
          <w:iCs/>
          <w:i/>
        </w:rPr>
        <w:t xml:space="preserve">ā | īm | enam | sṛjata | sute | mandim | indrāya | mandine ||</w:t>
      </w:r>
      <w:r>
        <w:t xml:space="preserve"> </w:t>
      </w:r>
      <w:r>
        <w:rPr>
          <w:iCs/>
          <w:i/>
        </w:rPr>
        <w:t xml:space="preserve">cakrim | viśvāni | cakraye ||2||</w:t>
      </w:r>
    </w:p>
    <w:p>
      <w:pPr>
        <w:pStyle w:val="FirstParagraph"/>
      </w:pPr>
      <w:r>
        <w:rPr>
          <w:bCs/>
          <w:b/>
        </w:rPr>
        <w:t xml:space="preserve">॥ Sāyaṇa-bhāṣyam ॥</w:t>
      </w:r>
    </w:p>
    <w:p>
      <w:pPr>
        <w:pStyle w:val="BlockText"/>
      </w:pPr>
      <w:r>
        <w:t xml:space="preserve">ईमित्यनर्थकः पादपूरणाय प्रयुक्तः । हे अध्वर्यवः सुते ऽभिषुते चमसस्थे सोमे एनं सोममिन्द्रायेन्द्रार्थमा सृजत । पुनरभ्युन्नयत । शुक्रामन्थिचमसगणे पुनरभ्युन्नयनमापस्तम्बेनोक्तम् । होत्रकाणां चमसाध्वर्यवः सकृत्सकृद्धुत्वा शुक्रस्याभ्युन्नीयोपावर्तध्वमिति । आप. १२-२३-४ । इति । कीदृशमेनं मन्दिं हर्षहेतुं चक्रिं साधुकरणशीलम् । कीदृशायेन्द्राय । मन्दिने हर्षयुक्ताय विश्वानि सर्वाणि कर्माणि चक्रये कृतवते । सर्वकर्मनिष्पादनशीलायेत्यर्थः । ईमित्यस्य पादपूरणार्थत्वं यास्क आह । अथ ये प्रवृत्ते ऽर्थे ऽमिताक्षरेषु ग्रन्थेषु वाक्यपूरणा आगच्छन्ति पदपूरणास्ते मिताक्षरेष्वनर्थकाः कमिमामिद्धीति । नि. १-९ । इति । अस्यायमर्थः । अन्यैरेव पदैर्विवक्षिते ऽर्थे समाप्ते सति ये शब्दा ईमित्यादयः प्रयुक्तास्ते शब्दा अमिताक्षरेषु छन्दोराहित्येन परिमिताक्षररहितेषु ब्राह्मणादिवाक्येषु वाक्यपूरणार्था द्रष्टव्याः । मिताक्षरेषु छन्दोयुक्तेषु ग्रन्थेषु पादपूरणार्थाः । के च कमिमामित्यादय इति । ईमित्यस्य शब्दस्यानर्थक्यैतामृचमुदाजहार । एमेनं सृजता सुते । आसृजतैनं सुते इति ॥</w:t>
      </w:r>
    </w:p>
    <w:p>
      <w:pPr>
        <w:pStyle w:val="BlockText"/>
      </w:pPr>
      <w:r>
        <w:rPr>
          <w:iCs/>
          <w:i/>
        </w:rPr>
        <w:t xml:space="preserve">īm ity anarthakaḥ pāda-pūraṇāya prayuktaḥ | he adhvaryavaḥ sute ’bhiṣute camasasthe some enaṃ somam indrāyendrārtham ā sṛjata | punar abhyunnayata | śukrāmanthi-camasa-gaṇe punar abhyunnayanam āpastambenoktam | hotrakāṇāṃ camasādhvaryavaḥ sakṛt sakṛd dhutvā śukrasyābhyunnīyopāvartadhvam iti | āpa. 12-23-4 | iti | kīdṛśam enaṃ mandiṃ harṣa-hetuṃ cakriṃ sādhu-karaṇa-śīlam | kīdṛśāyendrāya | mandine harṣa-yuktāya viśvāni sarvāṇi karmāṇi cakraye kṛtavate | sarva-karma-niṣpādana-śīlāyety arthaḥ | īm ity asya pāda-pūraṇārthatvaṃ yāska āha | atha ye pravṛtte ’rthe ’mitākṣareṣu grantheṣu vākya-pūraṇā āgacchanti pada-pūraṇās te mitākṣareṣv anarthakāḥ kam im ām id dhīti | ni. 1-9 | iti | asyāyam arthaḥ | anyair eva padair vivakṣite ’rthe samāpte sati ye śabdā īm ity-ādayaḥ prayuktās te śabdā amitākṣareṣu chando-rāhityena parimitākṣara-rahiteṣu brāhmaṇādi-vākyeṣu vākya-pūraṇārthā draṣṭavyāḥ | mitākṣareṣu chando-yukteṣu grantheṣu pāda-pūraṇārthāḥ | ke ca kam im ām ity-ādaya iti | īm ity asya śabdasyānarthakyaitām ṛcam udājahāra | emenaṃ sṛjatā sute | āsṛjatainaṃ sute iti ||</w:t>
      </w:r>
    </w:p>
    <w:p>
      <w:pPr>
        <w:pStyle w:val="FirstParagraph"/>
      </w:pPr>
      <w:r>
        <w:rPr>
          <w:bCs/>
          <w:b/>
        </w:rPr>
        <w:t xml:space="preserve">Translation:</w:t>
      </w:r>
      <w:r>
        <w:t xml:space="preserve"> </w:t>
      </w:r>
      <w:r>
        <w:t xml:space="preserve">“</w:t>
      </w:r>
      <w:r>
        <w:rPr>
          <w:iCs/>
          <w:i/>
        </w:rPr>
        <w:t xml:space="preserve">Īm</w:t>
      </w:r>
      <w:r>
        <w:t xml:space="preserve"> </w:t>
      </w:r>
      <w:r>
        <w:t xml:space="preserve">is a particle used merely to fill out the foot (</w:t>
      </w:r>
      <w:r>
        <w:rPr>
          <w:iCs/>
          <w:i/>
        </w:rPr>
        <w:t xml:space="preserve">pāda</w:t>
      </w:r>
      <w:r>
        <w:t xml:space="preserve">); it has no meaning. O</w:t>
      </w:r>
      <w:r>
        <w:t xml:space="preserve"> </w:t>
      </w:r>
      <w:r>
        <w:rPr>
          <w:iCs/>
          <w:i/>
        </w:rPr>
        <w:t xml:space="preserve">adhvaryus</w:t>
      </w:r>
      <w:r>
        <w:t xml:space="preserve">! In the pressed (</w:t>
      </w:r>
      <w:r>
        <w:rPr>
          <w:iCs/>
          <w:i/>
        </w:rPr>
        <w:t xml:space="preserve">sute</w:t>
      </w:r>
      <w:r>
        <w:t xml:space="preserve">) Soma that stands in the</w:t>
      </w:r>
      <w:r>
        <w:t xml:space="preserve"> </w:t>
      </w:r>
      <w:r>
        <w:rPr>
          <w:iCs/>
          <w:i/>
        </w:rPr>
        <w:t xml:space="preserve">camasa</w:t>
      </w:r>
      <w:r>
        <w:t xml:space="preserve"> </w:t>
      </w:r>
      <w:r>
        <w:t xml:space="preserve">cup,</w:t>
      </w:r>
      <w:r>
        <w:t xml:space="preserve"> </w:t>
      </w:r>
      <w:r>
        <w:rPr>
          <w:iCs/>
          <w:i/>
        </w:rPr>
        <w:t xml:space="preserve">ā sṛjata</w:t>
      </w:r>
      <w:r>
        <w:t xml:space="preserve"> </w:t>
      </w:r>
      <w:r>
        <w:t xml:space="preserve">— pour out again, draw up again — this Soma (</w:t>
      </w:r>
      <w:r>
        <w:rPr>
          <w:iCs/>
          <w:i/>
        </w:rPr>
        <w:t xml:space="preserve">enam</w:t>
      </w:r>
      <w:r>
        <w:t xml:space="preserve">) for Indra, for his sake. For the group of the</w:t>
      </w:r>
      <w:r>
        <w:t xml:space="preserve"> </w:t>
      </w:r>
      <w:r>
        <w:rPr>
          <w:iCs/>
          <w:i/>
        </w:rPr>
        <w:t xml:space="preserve">śukra</w:t>
      </w:r>
      <w:r>
        <w:t xml:space="preserve">-,</w:t>
      </w:r>
      <w:r>
        <w:t xml:space="preserve"> </w:t>
      </w:r>
      <w:r>
        <w:rPr>
          <w:iCs/>
          <w:i/>
        </w:rPr>
        <w:t xml:space="preserve">manthi</w:t>
      </w:r>
      <w:r>
        <w:t xml:space="preserve">- and</w:t>
      </w:r>
      <w:r>
        <w:t xml:space="preserve"> </w:t>
      </w:r>
      <w:r>
        <w:rPr>
          <w:iCs/>
          <w:i/>
        </w:rPr>
        <w:t xml:space="preserve">camasa</w:t>
      </w:r>
      <w:r>
        <w:t xml:space="preserve">-cups, the drawing up again is stated by Āpastamba:</w:t>
      </w:r>
      <w:r>
        <w:t xml:space="preserve"> </w:t>
      </w:r>
      <w:r>
        <w:t xml:space="preserve">‘</w:t>
      </w:r>
      <w:r>
        <w:t xml:space="preserve">The</w:t>
      </w:r>
      <w:r>
        <w:t xml:space="preserve"> </w:t>
      </w:r>
      <w:r>
        <w:rPr>
          <w:iCs/>
          <w:i/>
        </w:rPr>
        <w:t xml:space="preserve">camasa</w:t>
      </w:r>
      <w:r>
        <w:t xml:space="preserve">-adhvaryus of the hotrakas, having offered each time, having drawn up [Soma] onto the Śukra, should return</w:t>
      </w:r>
      <w:r>
        <w:t xml:space="preserve">’</w:t>
      </w:r>
      <w:r>
        <w:t xml:space="preserve"> </w:t>
      </w:r>
      <w:r>
        <w:t xml:space="preserve">(Āpastamba 12-23-4). What is this Soma like?</w:t>
      </w:r>
      <w:r>
        <w:t xml:space="preserve"> </w:t>
      </w:r>
      <w:r>
        <w:rPr>
          <w:iCs/>
          <w:i/>
        </w:rPr>
        <w:t xml:space="preserve">Mandim</w:t>
      </w:r>
      <w:r>
        <w:t xml:space="preserve"> </w:t>
      </w:r>
      <w:r>
        <w:t xml:space="preserve">— the cause of gladness;</w:t>
      </w:r>
      <w:r>
        <w:t xml:space="preserve"> </w:t>
      </w:r>
      <w:r>
        <w:rPr>
          <w:iCs/>
          <w:i/>
        </w:rPr>
        <w:t xml:space="preserve">cakrim</w:t>
      </w:r>
      <w:r>
        <w:t xml:space="preserve"> </w:t>
      </w:r>
      <w:r>
        <w:t xml:space="preserve">— good at making [bringing about]. And what kind of Indra?</w:t>
      </w:r>
      <w:r>
        <w:t xml:space="preserve"> </w:t>
      </w:r>
      <w:r>
        <w:rPr>
          <w:iCs/>
          <w:i/>
        </w:rPr>
        <w:t xml:space="preserve">Mandine</w:t>
      </w:r>
      <w:r>
        <w:t xml:space="preserve"> </w:t>
      </w:r>
      <w:r>
        <w:t xml:space="preserve">— glad;</w:t>
      </w:r>
      <w:r>
        <w:t xml:space="preserve"> </w:t>
      </w:r>
      <w:r>
        <w:rPr>
          <w:iCs/>
          <w:i/>
        </w:rPr>
        <w:t xml:space="preserve">cakraye</w:t>
      </w:r>
      <w:r>
        <w:t xml:space="preserve"> </w:t>
      </w:r>
      <w:r>
        <w:t xml:space="preserve">— he who has done all (</w:t>
      </w:r>
      <w:r>
        <w:rPr>
          <w:iCs/>
          <w:i/>
        </w:rPr>
        <w:t xml:space="preserve">viśvāni</w:t>
      </w:r>
      <w:r>
        <w:t xml:space="preserve">) deeds: a doer of all works. That</w:t>
      </w:r>
      <w:r>
        <w:t xml:space="preserve"> </w:t>
      </w:r>
      <w:r>
        <w:rPr>
          <w:iCs/>
          <w:i/>
        </w:rPr>
        <w:t xml:space="preserve">īm</w:t>
      </w:r>
      <w:r>
        <w:t xml:space="preserve"> </w:t>
      </w:r>
      <w:r>
        <w:t xml:space="preserve">is a mere pāda-filler Yāska says:</w:t>
      </w:r>
      <w:r>
        <w:t xml:space="preserve"> </w:t>
      </w:r>
      <w:r>
        <w:t xml:space="preserve">‘</w:t>
      </w:r>
      <w:r>
        <w:t xml:space="preserve">Now those [particles] which, where the sense is already in motion, come in works of unmeasured syllables as sentence-fillers, are pāda-fillers in works of measured syllables and meaningless —</w:t>
      </w:r>
      <w:r>
        <w:t xml:space="preserve"> </w:t>
      </w:r>
      <w:r>
        <w:rPr>
          <w:iCs/>
          <w:i/>
        </w:rPr>
        <w:t xml:space="preserve">kam, īm, ām, id, hi</w:t>
      </w:r>
      <w:r>
        <w:t xml:space="preserve">’</w:t>
      </w:r>
      <w:r>
        <w:t xml:space="preserve"> </w:t>
      </w:r>
      <w:r>
        <w:t xml:space="preserve">(Nirukta 1-9). The sense of this: when the intended meaning has been completed by other words, those words,</w:t>
      </w:r>
      <w:r>
        <w:t xml:space="preserve"> </w:t>
      </w:r>
      <w:r>
        <w:rPr>
          <w:iCs/>
          <w:i/>
        </w:rPr>
        <w:t xml:space="preserve">īm</w:t>
      </w:r>
      <w:r>
        <w:t xml:space="preserve"> </w:t>
      </w:r>
      <w:r>
        <w:t xml:space="preserve">and the rest, which are used, should be understood as sentence-fillers in unmetrical texts such as the Brāhmaṇas, with no fixed number of syllables, and as pāda-fillers in metrical texts; and what are they?</w:t>
      </w:r>
      <w:r>
        <w:t xml:space="preserve"> </w:t>
      </w:r>
      <w:r>
        <w:rPr>
          <w:iCs/>
          <w:i/>
        </w:rPr>
        <w:t xml:space="preserve">kam, īm, ām</w:t>
      </w:r>
      <w:r>
        <w:t xml:space="preserve"> </w:t>
      </w:r>
      <w:r>
        <w:t xml:space="preserve">and others. For the meaninglessness of the word</w:t>
      </w:r>
      <w:r>
        <w:t xml:space="preserve"> </w:t>
      </w:r>
      <w:r>
        <w:rPr>
          <w:iCs/>
          <w:i/>
        </w:rPr>
        <w:t xml:space="preserve">īm</w:t>
      </w:r>
      <w:r>
        <w:t xml:space="preserve">, he quoted this rik:</w:t>
      </w:r>
      <w:r>
        <w:t xml:space="preserve"> </w:t>
      </w:r>
      <w:r>
        <w:rPr>
          <w:iCs/>
          <w:i/>
        </w:rPr>
        <w:t xml:space="preserve">emenaṃ sṛjatā sute</w:t>
      </w:r>
      <w:r>
        <w:t xml:space="preserve"> </w:t>
      </w:r>
      <w:r>
        <w:t xml:space="preserve">—</w:t>
      </w:r>
      <w:r>
        <w:t xml:space="preserve"> </w:t>
      </w:r>
      <w:r>
        <w:rPr>
          <w:iCs/>
          <w:i/>
        </w:rPr>
        <w:t xml:space="preserve">āsṛjatainaṃ sute</w:t>
      </w:r>
      <w:r>
        <w:t xml:space="preserve">.</w:t>
      </w:r>
      <w:r>
        <w:t xml:space="preserve">”</w:t>
      </w:r>
    </w:p>
    <w:p>
      <w:pPr>
        <w:pStyle w:val="BodyText"/>
      </w:pPr>
      <w:r>
        <w:rPr>
          <w:bCs/>
          <w:b/>
        </w:rPr>
        <w:t xml:space="preserve">Grammar of the Bhāṣya (pp. 347–348; characterized, references as printed):</w:t>
      </w:r>
      <w:r>
        <w:t xml:space="preserve"> </w:t>
      </w:r>
      <w:r>
        <w:t xml:space="preserve">“</w:t>
      </w:r>
      <w:r>
        <w:t xml:space="preserve">Enam</w:t>
      </w:r>
      <w:r>
        <w:t xml:space="preserve">”</w:t>
      </w:r>
      <w:r>
        <w:t xml:space="preserve"> </w:t>
      </w:r>
      <w:r>
        <w:t xml:space="preserve">—</w:t>
      </w:r>
      <w:r>
        <w:t xml:space="preserve"> </w:t>
      </w:r>
      <w:r>
        <w:rPr>
          <w:bCs/>
          <w:b/>
        </w:rPr>
        <w:t xml:space="preserve">द्वितीयाटौस्स्वेनः</w:t>
      </w:r>
      <w:r>
        <w:t xml:space="preserve"> </w:t>
      </w:r>
      <w:r>
        <w:t xml:space="preserve">(पा. २-४-३४)</w:t>
      </w:r>
      <w:r>
        <w:t xml:space="preserve"> </w:t>
      </w:r>
      <w:r>
        <w:t xml:space="preserve">“</w:t>
      </w:r>
      <w:r>
        <w:t xml:space="preserve">ena</w:t>
      </w:r>
      <w:r>
        <w:t xml:space="preserve">”</w:t>
      </w:r>
      <w:r>
        <w:t xml:space="preserve"> </w:t>
      </w:r>
      <w:r>
        <w:t xml:space="preserve">for</w:t>
      </w:r>
      <w:r>
        <w:t xml:space="preserve"> </w:t>
      </w:r>
      <w:r>
        <w:t xml:space="preserve">“</w:t>
      </w:r>
      <w:r>
        <w:t xml:space="preserve">idam,</w:t>
      </w:r>
      <w:r>
        <w:t xml:space="preserve">”</w:t>
      </w:r>
      <w:r>
        <w:t xml:space="preserve"> </w:t>
      </w:r>
      <w:r>
        <w:t xml:space="preserve">and with</w:t>
      </w:r>
      <w:r>
        <w:t xml:space="preserve"> </w:t>
      </w:r>
      <w:r>
        <w:t xml:space="preserve">“</w:t>
      </w:r>
      <w:r>
        <w:t xml:space="preserve">anudāttaḥ</w:t>
      </w:r>
      <w:r>
        <w:t xml:space="preserve">”</w:t>
      </w:r>
      <w:r>
        <w:t xml:space="preserve"> </w:t>
      </w:r>
      <w:r>
        <w:t xml:space="preserve">carried on, wholly unaccented.</w:t>
      </w:r>
      <w:r>
        <w:t xml:space="preserve"> </w:t>
      </w:r>
      <w:r>
        <w:t xml:space="preserve">“</w:t>
      </w:r>
      <w:r>
        <w:t xml:space="preserve">Sṛjata</w:t>
      </w:r>
      <w:r>
        <w:t xml:space="preserve">”</w:t>
      </w:r>
      <w:r>
        <w:t xml:space="preserve"> </w:t>
      </w:r>
      <w:r>
        <w:t xml:space="preserve">—</w:t>
      </w:r>
      <w:r>
        <w:t xml:space="preserve"> </w:t>
      </w:r>
      <w:r>
        <w:rPr>
          <w:bCs/>
          <w:b/>
        </w:rPr>
        <w:t xml:space="preserve">अन्येषामपि दृश्यते</w:t>
      </w:r>
      <w:r>
        <w:t xml:space="preserve"> </w:t>
      </w:r>
      <w:r>
        <w:t xml:space="preserve">(पा. ६-३-१३७) the long vowel in the saṃhitā.</w:t>
      </w:r>
      <w:r>
        <w:t xml:space="preserve"> </w:t>
      </w:r>
      <w:r>
        <w:t xml:space="preserve">“</w:t>
      </w:r>
      <w:r>
        <w:t xml:space="preserve">Mandim</w:t>
      </w:r>
      <w:r>
        <w:t xml:space="preserve">”</w:t>
      </w:r>
      <w:r>
        <w:t xml:space="preserve"> </w:t>
      </w:r>
      <w:r>
        <w:t xml:space="preserve">—</w:t>
      </w:r>
      <w:r>
        <w:t xml:space="preserve"> </w:t>
      </w:r>
      <w:r>
        <w:t xml:space="preserve">“</w:t>
      </w:r>
      <w:r>
        <w:t xml:space="preserve">pramodahetum</w:t>
      </w:r>
      <w:r>
        <w:t xml:space="preserve">”</w:t>
      </w:r>
      <w:r>
        <w:t xml:space="preserve">:</w:t>
      </w:r>
      <w:r>
        <w:t xml:space="preserve"> </w:t>
      </w:r>
      <w:r>
        <w:t xml:space="preserve">“</w:t>
      </w:r>
      <w:r>
        <w:t xml:space="preserve">madi stuti-moda-mada-svapna-kānti-gatiṣu,</w:t>
      </w:r>
      <w:r>
        <w:t xml:space="preserve">”</w:t>
      </w:r>
      <w:r>
        <w:t xml:space="preserve"> </w:t>
      </w:r>
      <w:r>
        <w:t xml:space="preserve">“</w:t>
      </w:r>
      <w:r>
        <w:t xml:space="preserve">num</w:t>
      </w:r>
      <w:r>
        <w:t xml:space="preserve">”</w:t>
      </w:r>
      <w:r>
        <w:t xml:space="preserve"> </w:t>
      </w:r>
      <w:r>
        <w:t xml:space="preserve">by</w:t>
      </w:r>
      <w:r>
        <w:t xml:space="preserve"> </w:t>
      </w:r>
      <w:r>
        <w:t xml:space="preserve">“</w:t>
      </w:r>
      <w:r>
        <w:t xml:space="preserve">idito num dhātoḥ</w:t>
      </w:r>
      <w:r>
        <w:t xml:space="preserve">”</w:t>
      </w:r>
      <w:r>
        <w:t xml:space="preserve">;</w:t>
      </w:r>
      <w:r>
        <w:t xml:space="preserve"> </w:t>
      </w:r>
      <w:r>
        <w:t xml:space="preserve">“</w:t>
      </w:r>
      <w:r>
        <w:t xml:space="preserve">mandamānaṃ prayuṅkte</w:t>
      </w:r>
      <w:r>
        <w:t xml:space="preserve">”</w:t>
      </w:r>
      <w:r>
        <w:t xml:space="preserve"> </w:t>
      </w:r>
      <w:r>
        <w:t xml:space="preserve">—</w:t>
      </w:r>
      <w:r>
        <w:t xml:space="preserve"> </w:t>
      </w:r>
      <w:r>
        <w:rPr>
          <w:bCs/>
          <w:b/>
        </w:rPr>
        <w:t xml:space="preserve">हेतुमति च</w:t>
      </w:r>
      <w:r>
        <w:t xml:space="preserve"> </w:t>
      </w:r>
      <w:r>
        <w:t xml:space="preserve">(पा. ३-१-२६)</w:t>
      </w:r>
      <w:r>
        <w:t xml:space="preserve"> </w:t>
      </w:r>
      <w:r>
        <w:t xml:space="preserve">“</w:t>
      </w:r>
      <w:r>
        <w:t xml:space="preserve">ṇic</w:t>
      </w:r>
      <w:r>
        <w:t xml:space="preserve">”</w:t>
      </w:r>
      <w:r>
        <w:t xml:space="preserve">;</w:t>
      </w:r>
      <w:r>
        <w:t xml:space="preserve"> </w:t>
      </w:r>
      <w:r>
        <w:rPr>
          <w:bCs/>
          <w:b/>
        </w:rPr>
        <w:t xml:space="preserve">अच इः</w:t>
      </w:r>
      <w:r>
        <w:t xml:space="preserve"> </w:t>
      </w:r>
      <w:r>
        <w:t xml:space="preserve">(उ. ४-१३८)</w:t>
      </w:r>
      <w:r>
        <w:t xml:space="preserve"> </w:t>
      </w:r>
      <w:r>
        <w:t xml:space="preserve">“</w:t>
      </w:r>
      <w:r>
        <w:t xml:space="preserve">i</w:t>
      </w:r>
      <w:r>
        <w:t xml:space="preserve">”</w:t>
      </w:r>
      <w:r>
        <w:t xml:space="preserve">;</w:t>
      </w:r>
      <w:r>
        <w:t xml:space="preserve"> </w:t>
      </w:r>
      <w:r>
        <w:t xml:space="preserve">“</w:t>
      </w:r>
      <w:r>
        <w:t xml:space="preserve">ṇer aniṭi,</w:t>
      </w:r>
      <w:r>
        <w:t xml:space="preserve">”</w:t>
      </w:r>
      <w:r>
        <w:t xml:space="preserve"> </w:t>
      </w:r>
      <w:r>
        <w:t xml:space="preserve">loss of</w:t>
      </w:r>
      <w:r>
        <w:t xml:space="preserve"> </w:t>
      </w:r>
      <w:r>
        <w:t xml:space="preserve">“</w:t>
      </w:r>
      <w:r>
        <w:t xml:space="preserve">ṇi</w:t>
      </w:r>
      <w:r>
        <w:t xml:space="preserve">”</w:t>
      </w:r>
      <w:r>
        <w:t xml:space="preserve">; end-acute by the affix accent.</w:t>
      </w:r>
      <w:r>
        <w:t xml:space="preserve"> </w:t>
      </w:r>
      <w:r>
        <w:t xml:space="preserve">“</w:t>
      </w:r>
      <w:r>
        <w:t xml:space="preserve">Mandine</w:t>
      </w:r>
      <w:r>
        <w:t xml:space="preserve">”</w:t>
      </w:r>
      <w:r>
        <w:t xml:space="preserve"> </w:t>
      </w:r>
      <w:r>
        <w:t xml:space="preserve">— as before; the</w:t>
      </w:r>
      <w:r>
        <w:t xml:space="preserve"> </w:t>
      </w:r>
      <w:r>
        <w:t xml:space="preserve">“</w:t>
      </w:r>
      <w:r>
        <w:t xml:space="preserve">num</w:t>
      </w:r>
      <w:r>
        <w:t xml:space="preserve">”</w:t>
      </w:r>
      <w:r>
        <w:t xml:space="preserve"> </w:t>
      </w:r>
      <w:r>
        <w:t xml:space="preserve">of</w:t>
      </w:r>
      <w:r>
        <w:t xml:space="preserve"> </w:t>
      </w:r>
      <w:r>
        <w:rPr>
          <w:bCs/>
          <w:b/>
        </w:rPr>
        <w:t xml:space="preserve">आङो नाऽस्त्रियाम्</w:t>
      </w:r>
      <w:r>
        <w:t xml:space="preserve">-type, by vyatyaya, as if neuter (पा. ७-१-७३).</w:t>
      </w:r>
      <w:r>
        <w:t xml:space="preserve"> </w:t>
      </w:r>
      <w:r>
        <w:t xml:space="preserve">“</w:t>
      </w:r>
      <w:r>
        <w:t xml:space="preserve">Cakrim</w:t>
      </w:r>
      <w:r>
        <w:t xml:space="preserve">”</w:t>
      </w:r>
      <w:r>
        <w:t xml:space="preserve"> </w:t>
      </w:r>
      <w:r>
        <w:t xml:space="preserve">—</w:t>
      </w:r>
      <w:r>
        <w:t xml:space="preserve"> </w:t>
      </w:r>
      <w:r>
        <w:t xml:space="preserve">“</w:t>
      </w:r>
      <w:r>
        <w:t xml:space="preserve">ḍukṛñ karaṇe</w:t>
      </w:r>
      <w:r>
        <w:t xml:space="preserve">”</w:t>
      </w:r>
      <w:r>
        <w:t xml:space="preserve">:</w:t>
      </w:r>
      <w:r>
        <w:t xml:space="preserve"> </w:t>
      </w:r>
      <w:r>
        <w:rPr>
          <w:bCs/>
          <w:b/>
        </w:rPr>
        <w:t xml:space="preserve">आदृगमहनजनः किकिनौ लिट् च</w:t>
      </w:r>
      <w:r>
        <w:t xml:space="preserve"> </w:t>
      </w:r>
      <w:r>
        <w:t xml:space="preserve">(पा. ३-२-१७१)</w:t>
      </w:r>
      <w:r>
        <w:t xml:space="preserve"> </w:t>
      </w:r>
      <w:r>
        <w:t xml:space="preserve">“</w:t>
      </w:r>
      <w:r>
        <w:t xml:space="preserve">kin</w:t>
      </w:r>
      <w:r>
        <w:t xml:space="preserve">”</w:t>
      </w:r>
      <w:r>
        <w:t xml:space="preserve"> </w:t>
      </w:r>
      <w:r>
        <w:t xml:space="preserve">in the</w:t>
      </w:r>
      <w:r>
        <w:t xml:space="preserve"> </w:t>
      </w:r>
      <w:r>
        <w:t xml:space="preserve">“</w:t>
      </w:r>
      <w:r>
        <w:t xml:space="preserve">tācchīlya</w:t>
      </w:r>
      <w:r>
        <w:t xml:space="preserve">”</w:t>
      </w:r>
      <w:r>
        <w:t xml:space="preserve"> </w:t>
      </w:r>
      <w:r>
        <w:t xml:space="preserve">senses;</w:t>
      </w:r>
      <w:r>
        <w:t xml:space="preserve"> </w:t>
      </w:r>
      <w:r>
        <w:t xml:space="preserve">“</w:t>
      </w:r>
      <w:r>
        <w:t xml:space="preserve">k</w:t>
      </w:r>
      <w:r>
        <w:t xml:space="preserve">”</w:t>
      </w:r>
      <w:r>
        <w:t xml:space="preserve">-marked, no guṇa;</w:t>
      </w:r>
      <w:r>
        <w:t xml:space="preserve"> </w:t>
      </w:r>
      <w:r>
        <w:t xml:space="preserve">“</w:t>
      </w:r>
      <w:r>
        <w:t xml:space="preserve">y</w:t>
      </w:r>
      <w:r>
        <w:t xml:space="preserve">”</w:t>
      </w:r>
      <w:r>
        <w:t xml:space="preserve"> </w:t>
      </w:r>
      <w:r>
        <w:t xml:space="preserve">substitute; doubling as for</w:t>
      </w:r>
      <w:r>
        <w:t xml:space="preserve"> </w:t>
      </w:r>
      <w:r>
        <w:t xml:space="preserve">“</w:t>
      </w:r>
      <w:r>
        <w:t xml:space="preserve">liṭ</w:t>
      </w:r>
      <w:r>
        <w:t xml:space="preserve">”</w:t>
      </w:r>
      <w:r>
        <w:t xml:space="preserve">; by</w:t>
      </w:r>
      <w:r>
        <w:t xml:space="preserve"> </w:t>
      </w:r>
      <w:r>
        <w:rPr>
          <w:bCs/>
          <w:b/>
        </w:rPr>
        <w:t xml:space="preserve">द्विर्वचनेऽचि</w:t>
      </w:r>
      <w:r>
        <w:t xml:space="preserve"> </w:t>
      </w:r>
      <w:r>
        <w:t xml:space="preserve">(पा. १-१-५९) the substitute counts as the original, so</w:t>
      </w:r>
      <w:r>
        <w:t xml:space="preserve"> </w:t>
      </w:r>
      <w:r>
        <w:t xml:space="preserve">“</w:t>
      </w:r>
      <w:r>
        <w:t xml:space="preserve">kṛ</w:t>
      </w:r>
      <w:r>
        <w:t xml:space="preserve">”</w:t>
      </w:r>
      <w:r>
        <w:t xml:space="preserve"> </w:t>
      </w:r>
      <w:r>
        <w:t xml:space="preserve">is doubled; for the reduplicate,</w:t>
      </w:r>
      <w:r>
        <w:t xml:space="preserve"> </w:t>
      </w:r>
      <w:r>
        <w:t xml:space="preserve">“</w:t>
      </w:r>
      <w:r>
        <w:t xml:space="preserve">a,</w:t>
      </w:r>
      <w:r>
        <w:t xml:space="preserve">”</w:t>
      </w:r>
      <w:r>
        <w:t xml:space="preserve"> </w:t>
      </w:r>
      <w:r>
        <w:t xml:space="preserve">“</w:t>
      </w:r>
      <w:r>
        <w:t xml:space="preserve">r,</w:t>
      </w:r>
      <w:r>
        <w:t xml:space="preserve">”</w:t>
      </w:r>
      <w:r>
        <w:t xml:space="preserve"> </w:t>
      </w:r>
      <w:r>
        <w:t xml:space="preserve">the velar-to-palatal change and</w:t>
      </w:r>
      <w:r>
        <w:t xml:space="preserve"> </w:t>
      </w:r>
      <w:r>
        <w:t xml:space="preserve">“</w:t>
      </w:r>
      <w:r>
        <w:t xml:space="preserve">halādiḥ śeṣaḥ</w:t>
      </w:r>
      <w:r>
        <w:t xml:space="preserve">”</w:t>
      </w:r>
      <w:r>
        <w:t xml:space="preserve">;</w:t>
      </w:r>
      <w:r>
        <w:t xml:space="preserve"> </w:t>
      </w:r>
      <w:r>
        <w:t xml:space="preserve">“</w:t>
      </w:r>
      <w:r>
        <w:t xml:space="preserve">n</w:t>
      </w:r>
      <w:r>
        <w:t xml:space="preserve">”</w:t>
      </w:r>
      <w:r>
        <w:t xml:space="preserve">-marked, first-syllable acute.</w:t>
      </w:r>
      <w:r>
        <w:t xml:space="preserve"> </w:t>
      </w:r>
      <w:r>
        <w:t xml:space="preserve">“</w:t>
      </w:r>
      <w:r>
        <w:t xml:space="preserve">Viśvāni</w:t>
      </w:r>
      <w:r>
        <w:t xml:space="preserve">”</w:t>
      </w:r>
      <w:r>
        <w:t xml:space="preserve"> </w:t>
      </w:r>
      <w:r>
        <w:t xml:space="preserve">—</w:t>
      </w:r>
      <w:r>
        <w:t xml:space="preserve"> </w:t>
      </w:r>
      <w:r>
        <w:t xml:space="preserve">“</w:t>
      </w:r>
      <w:r>
        <w:t xml:space="preserve">viśeḥ kvan,</w:t>
      </w:r>
      <w:r>
        <w:t xml:space="preserve">”</w:t>
      </w:r>
      <w:r>
        <w:t xml:space="preserve"> </w:t>
      </w:r>
      <w:r>
        <w:t xml:space="preserve">first-syllable acute.</w:t>
      </w:r>
      <w:r>
        <w:t xml:space="preserve"> </w:t>
      </w:r>
      <w:r>
        <w:t xml:space="preserve">“</w:t>
      </w:r>
      <w:r>
        <w:t xml:space="preserve">Asya … cakraye</w:t>
      </w:r>
      <w:r>
        <w:t xml:space="preserve">”</w:t>
      </w:r>
      <w:r>
        <w:t xml:space="preserve"> </w:t>
      </w:r>
      <w:r>
        <w:t xml:space="preserve">— though joined with a kṛt word, the genitive of</w:t>
      </w:r>
      <w:r>
        <w:t xml:space="preserve"> </w:t>
      </w:r>
      <w:r>
        <w:rPr>
          <w:bCs/>
          <w:b/>
        </w:rPr>
        <w:t xml:space="preserve">कर्तृकर्मणोः कृति</w:t>
      </w:r>
      <w:r>
        <w:t xml:space="preserve"> </w:t>
      </w:r>
      <w:r>
        <w:t xml:space="preserve">(पा. २-३-६५) does not come, since</w:t>
      </w:r>
      <w:r>
        <w:t xml:space="preserve"> </w:t>
      </w:r>
      <w:r>
        <w:t xml:space="preserve">“</w:t>
      </w:r>
      <w:r>
        <w:t xml:space="preserve">kin,</w:t>
      </w:r>
      <w:r>
        <w:t xml:space="preserve">”</w:t>
      </w:r>
      <w:r>
        <w:t xml:space="preserve"> </w:t>
      </w:r>
      <w:r>
        <w:t xml:space="preserve">being treated like</w:t>
      </w:r>
      <w:r>
        <w:t xml:space="preserve"> </w:t>
      </w:r>
      <w:r>
        <w:t xml:space="preserve">“</w:t>
      </w:r>
      <w:r>
        <w:t xml:space="preserve">liṭ,</w:t>
      </w:r>
      <w:r>
        <w:t xml:space="preserve">”</w:t>
      </w:r>
      <w:r>
        <w:t xml:space="preserve"> </w:t>
      </w:r>
      <w:r>
        <w:t xml:space="preserve">falls under the prohibition</w:t>
      </w:r>
      <w:r>
        <w:t xml:space="preserve"> </w:t>
      </w:r>
      <w:r>
        <w:rPr>
          <w:bCs/>
          <w:b/>
        </w:rPr>
        <w:t xml:space="preserve">न लोकाव्ययनिष्ठाखलर्थतृनाम्</w:t>
      </w:r>
      <w:r>
        <w:t xml:space="preserve"> </w:t>
      </w:r>
      <w:r>
        <w:t xml:space="preserve">(पा. २-३-६९).</w:t>
      </w:r>
    </w:p>
    <w:bookmarkEnd w:id="376"/>
    <w:bookmarkStart w:id="377" w:name="X18fdf77145f83b4a269d891c8222b94df1365c2"/>
    <w:p>
      <w:pPr>
        <w:pStyle w:val="Heading3"/>
      </w:pPr>
      <w:r>
        <w:t xml:space="preserve">Page 348 — Rik 2: word-meanings, overall sense, English</w:t>
      </w:r>
    </w:p>
    <w:p>
      <w:pPr>
        <w:pStyle w:val="FirstParagraph"/>
      </w:pPr>
      <w:r>
        <w:rPr>
          <w:iCs/>
          <w:i/>
        </w:rPr>
        <w:t xml:space="preserve">(The top of the page ends the Bhāṣya’s grammar, characterized under p. 347.)</w:t>
      </w:r>
    </w:p>
    <w:p>
      <w:pPr>
        <w:pStyle w:val="BodyText"/>
      </w:pPr>
      <w:r>
        <w:rPr>
          <w:bCs/>
          <w:b/>
        </w:rPr>
        <w:t xml:space="preserve">॥ Prati-padārthaḥ ॥</w:t>
      </w:r>
    </w:p>
    <w:p>
      <w:pPr>
        <w:pStyle w:val="BodyText"/>
      </w:pPr>
      <w:r>
        <w:rPr>
          <w:bCs/>
          <w:b/>
        </w:rPr>
        <w:t xml:space="preserve">(हे अध्वर्यवः) ((he adhvaryavaḥ))</w:t>
      </w:r>
      <w:r>
        <w:t xml:space="preserve"> </w:t>
      </w:r>
      <w:r>
        <w:t xml:space="preserve">— O Adhvaryu and other priests |</w:t>
      </w:r>
      <w:r>
        <w:t xml:space="preserve"> </w:t>
      </w:r>
      <w:r>
        <w:rPr>
          <w:bCs/>
          <w:b/>
        </w:rPr>
        <w:t xml:space="preserve">सुते (sute)</w:t>
      </w:r>
      <w:r>
        <w:t xml:space="preserve"> </w:t>
      </w:r>
      <w:r>
        <w:t xml:space="preserve">— the Soma-juice having been pressed and prepared |</w:t>
      </w:r>
      <w:r>
        <w:t xml:space="preserve"> </w:t>
      </w:r>
      <w:r>
        <w:rPr>
          <w:bCs/>
          <w:b/>
        </w:rPr>
        <w:t xml:space="preserve">मन्दिने (mandine)</w:t>
      </w:r>
      <w:r>
        <w:t xml:space="preserve"> </w:t>
      </w:r>
      <w:r>
        <w:t xml:space="preserve">— to the glad one |</w:t>
      </w:r>
      <w:r>
        <w:t xml:space="preserve"> </w:t>
      </w:r>
      <w:r>
        <w:rPr>
          <w:bCs/>
          <w:b/>
        </w:rPr>
        <w:t xml:space="preserve">विश्वानि (viśvāni)</w:t>
      </w:r>
      <w:r>
        <w:t xml:space="preserve"> </w:t>
      </w:r>
      <w:r>
        <w:t xml:space="preserve">— all deeds |</w:t>
      </w:r>
      <w:r>
        <w:t xml:space="preserve"> </w:t>
      </w:r>
      <w:r>
        <w:rPr>
          <w:bCs/>
          <w:b/>
        </w:rPr>
        <w:t xml:space="preserve">चक्रये (cakraye)</w:t>
      </w:r>
      <w:r>
        <w:t xml:space="preserve"> </w:t>
      </w:r>
      <w:r>
        <w:t xml:space="preserve">— to the doer |</w:t>
      </w:r>
      <w:r>
        <w:t xml:space="preserve"> </w:t>
      </w:r>
      <w:r>
        <w:rPr>
          <w:bCs/>
          <w:b/>
        </w:rPr>
        <w:t xml:space="preserve">इन्द्राय (indrāya)</w:t>
      </w:r>
      <w:r>
        <w:t xml:space="preserve"> </w:t>
      </w:r>
      <w:r>
        <w:t xml:space="preserve">— for Indra |</w:t>
      </w:r>
      <w:r>
        <w:t xml:space="preserve"> </w:t>
      </w:r>
      <w:r>
        <w:rPr>
          <w:bCs/>
          <w:b/>
        </w:rPr>
        <w:t xml:space="preserve">मन्दिम् (mandim)</w:t>
      </w:r>
      <w:r>
        <w:t xml:space="preserve"> </w:t>
      </w:r>
      <w:r>
        <w:t xml:space="preserve">— producing joy |</w:t>
      </w:r>
      <w:r>
        <w:t xml:space="preserve"> </w:t>
      </w:r>
      <w:r>
        <w:rPr>
          <w:bCs/>
          <w:b/>
        </w:rPr>
        <w:t xml:space="preserve">चक्रिम् (cakrim)</w:t>
      </w:r>
      <w:r>
        <w:t xml:space="preserve"> </w:t>
      </w:r>
      <w:r>
        <w:t xml:space="preserve">— the instrument for performing good deeds |</w:t>
      </w:r>
      <w:r>
        <w:t xml:space="preserve"> </w:t>
      </w:r>
      <w:r>
        <w:rPr>
          <w:bCs/>
          <w:b/>
        </w:rPr>
        <w:t xml:space="preserve">एनम् (enam)</w:t>
      </w:r>
      <w:r>
        <w:t xml:space="preserve"> </w:t>
      </w:r>
      <w:r>
        <w:t xml:space="preserve">— this Soma-juice |</w:t>
      </w:r>
      <w:r>
        <w:t xml:space="preserve"> </w:t>
      </w:r>
      <w:r>
        <w:rPr>
          <w:bCs/>
          <w:b/>
        </w:rPr>
        <w:t xml:space="preserve">आ सृजत (ā sṛjata)</w:t>
      </w:r>
      <w:r>
        <w:t xml:space="preserve"> </w:t>
      </w:r>
      <w:r>
        <w:t xml:space="preserve">— offer (give).</w:t>
      </w:r>
    </w:p>
    <w:p>
      <w:pPr>
        <w:pStyle w:val="BodyText"/>
      </w:pPr>
      <w:r>
        <w:rPr>
          <w:bCs/>
          <w:b/>
        </w:rPr>
        <w:t xml:space="preserve">॥ Bhāvārthaḥ ॥</w:t>
      </w:r>
    </w:p>
    <w:p>
      <w:pPr>
        <w:pStyle w:val="BodyText"/>
      </w:pPr>
      <w:r>
        <w:t xml:space="preserve">O ṛtvijs, Adhvaryu and the rest! The Soma-juice has now been pressed from the creeper and prepared fit for drinking. This Soma-juice produces gladness in the one who drinks it; it is the cause of performing good deeds. Offer this Soma-juice to Indra, who is glad and who accomplishes all deeds.</w:t>
      </w:r>
    </w:p>
    <w:p>
      <w:pPr>
        <w:pStyle w:val="BodyText"/>
      </w:pPr>
      <w:r>
        <w:rPr>
          <w:bCs/>
          <w:b/>
        </w:rPr>
        <w:t xml:space="preserve">॥ English Translation ॥</w:t>
      </w:r>
      <w:r>
        <w:t xml:space="preserve"> </w:t>
      </w:r>
      <w:r>
        <w:rPr>
          <w:iCs/>
          <w:i/>
        </w:rPr>
        <w:t xml:space="preserve">(as printed in the source)</w:t>
      </w:r>
    </w:p>
    <w:p>
      <w:pPr>
        <w:pStyle w:val="BlockText"/>
      </w:pPr>
      <w:r>
        <w:t xml:space="preserve">The soma being extracted, present this exhilarating and efficacious draught to the rejoicing Indra, the accomplisher of all things.</w:t>
      </w:r>
    </w:p>
    <w:p>
      <w:pPr>
        <w:pStyle w:val="FirstParagraph"/>
      </w:pPr>
      <w:r>
        <w:rPr>
          <w:iCs/>
          <w:i/>
        </w:rPr>
        <w:t xml:space="preserve">(The Kannada Vyākaraṇa-prakriyā of Rik 2 follows on pp. 349–352.)</w:t>
      </w:r>
    </w:p>
    <w:bookmarkEnd w:id="377"/>
    <w:bookmarkStart w:id="378" w:name="page-349-rik-2-special-topics"/>
    <w:p>
      <w:pPr>
        <w:pStyle w:val="Heading3"/>
      </w:pPr>
      <w:r>
        <w:t xml:space="preserve">Page 349 — Rik 2: Special Topics</w:t>
      </w:r>
    </w:p>
    <w:p>
      <w:pPr>
        <w:pStyle w:val="FirstParagraph"/>
      </w:pPr>
      <w:r>
        <w:rPr>
          <w:iCs/>
          <w:i/>
        </w:rPr>
        <w:t xml:space="preserve">(Page header:</w:t>
      </w:r>
      <w:r>
        <w:rPr>
          <w:iCs/>
          <w:i/>
        </w:rPr>
        <w:t xml:space="preserve"> </w:t>
      </w:r>
      <w:r>
        <w:rPr>
          <w:iCs/>
          <w:i/>
        </w:rPr>
        <w:t xml:space="preserve">“</w:t>
      </w:r>
      <w:r>
        <w:rPr>
          <w:iCs/>
          <w:i/>
        </w:rPr>
        <w:t xml:space="preserve">A. 1, A. 1, Va. 17.</w:t>
      </w:r>
      <w:r>
        <w:rPr>
          <w:iCs/>
          <w:i/>
        </w:rPr>
        <w:t xml:space="preserve">”</w:t>
      </w:r>
      <w:r>
        <w:rPr>
          <w:iCs/>
          <w:i/>
        </w:rPr>
        <w:t xml:space="preserve">)</w:t>
      </w:r>
    </w:p>
    <w:p>
      <w:pPr>
        <w:pStyle w:val="BodyText"/>
      </w:pPr>
      <w:r>
        <w:rPr>
          <w:bCs/>
          <w:b/>
        </w:rPr>
        <w:t xml:space="preserve">॥ Viśeṣa-viṣayagaḷu (Special Topics) ॥</w:t>
      </w:r>
    </w:p>
    <w:p>
      <w:pPr>
        <w:pStyle w:val="BodyText"/>
      </w:pPr>
      <w:r>
        <w:rPr>
          <w:bCs/>
          <w:b/>
        </w:rPr>
        <w:t xml:space="preserve">“</w:t>
      </w:r>
      <w:r>
        <w:rPr>
          <w:bCs/>
          <w:b/>
        </w:rPr>
        <w:t xml:space="preserve">Īm</w:t>
      </w:r>
      <w:r>
        <w:rPr>
          <w:bCs/>
          <w:b/>
        </w:rPr>
        <w:t xml:space="preserve">”</w:t>
      </w:r>
      <w:r>
        <w:t xml:space="preserve"> </w:t>
      </w:r>
      <w:r>
        <w:t xml:space="preserve">— the Bhāṣyakāra and Skandasvāmī both state that the word</w:t>
      </w:r>
      <w:r>
        <w:t xml:space="preserve"> </w:t>
      </w:r>
      <w:r>
        <w:rPr>
          <w:iCs/>
          <w:i/>
        </w:rPr>
        <w:t xml:space="preserve">īm</w:t>
      </w:r>
      <w:r>
        <w:t xml:space="preserve"> </w:t>
      </w:r>
      <w:r>
        <w:t xml:space="preserve">has no meaning and is used merely to fill out the pāda. Yāska too, in the Nirukta (1-9), speaks of this matter as follows:</w:t>
      </w:r>
    </w:p>
    <w:p>
      <w:pPr>
        <w:pStyle w:val="BlockText"/>
      </w:pPr>
      <w:r>
        <w:t xml:space="preserve">अथ ये प्रवृत्ते ऽर्थे ऽमिताक्षरेषु ग्रन्थेषु वाक्यपूरणा आगच्छन्ति पदपूरणास्ते मिताक्षरेष्वनर्थकाः कमिमामिद्धीति ॥ (नि. १-९)</w:t>
      </w:r>
      <w:r>
        <w:t xml:space="preserve"> </w:t>
      </w:r>
      <w:r>
        <w:rPr>
          <w:iCs/>
          <w:i/>
        </w:rPr>
        <w:t xml:space="preserve">atha ye pravṛtte ’rthe ’mitākṣareṣu grantheṣu vākya-pūraṇā āgacchanti pada-pūraṇās te mitākṣareṣv anarthakāḥ kam im ām id dhīti || (ni. 1-9)</w:t>
      </w:r>
      <w:r>
        <w:t xml:space="preserve"> </w:t>
      </w:r>
      <w:r>
        <w:t xml:space="preserve">“</w:t>
      </w:r>
      <w:r>
        <w:t xml:space="preserve">Now those that, when the sense has set out, come in works of unmeasured syllables as sentence-fillers, are, in works of measured syllables, meaningless pāda-fillers:</w:t>
      </w:r>
      <w:r>
        <w:t xml:space="preserve"> </w:t>
      </w:r>
      <w:r>
        <w:rPr>
          <w:iCs/>
          <w:i/>
        </w:rPr>
        <w:t xml:space="preserve">kam, īm, ām, id, hi</w:t>
      </w:r>
      <w:r>
        <w:t xml:space="preserve">.</w:t>
      </w:r>
      <w:r>
        <w:t xml:space="preserve">”</w:t>
      </w:r>
    </w:p>
    <w:p>
      <w:pPr>
        <w:pStyle w:val="FirstParagraph"/>
      </w:pPr>
      <w:r>
        <w:t xml:space="preserve">The Bhāṣyakāra explains this thus:</w:t>
      </w:r>
      <w:r>
        <w:t xml:space="preserve"> </w:t>
      </w:r>
      <w:r>
        <w:t xml:space="preserve">“</w:t>
      </w:r>
      <w:r>
        <w:t xml:space="preserve">When the intended meaning has been completed by other words, those words —</w:t>
      </w:r>
      <w:r>
        <w:t xml:space="preserve"> </w:t>
      </w:r>
      <w:r>
        <w:rPr>
          <w:iCs/>
          <w:i/>
        </w:rPr>
        <w:t xml:space="preserve">īm</w:t>
      </w:r>
      <w:r>
        <w:t xml:space="preserve"> </w:t>
      </w:r>
      <w:r>
        <w:t xml:space="preserve">and the like — which are used are to be understood as sentence-fillers in sentences of the Brāhmaṇas and the like, which are not bound by meter and have no fixed number of syllables; in metrical works, with fixed syllables, they serve to fill out the pāda.</w:t>
      </w:r>
      <w:r>
        <w:t xml:space="preserve">”</w:t>
      </w:r>
    </w:p>
    <w:p>
      <w:pPr>
        <w:pStyle w:val="BodyText"/>
      </w:pPr>
      <w:r>
        <w:t xml:space="preserve">That is: the word</w:t>
      </w:r>
      <w:r>
        <w:t xml:space="preserve"> </w:t>
      </w:r>
      <w:r>
        <w:rPr>
          <w:iCs/>
          <w:i/>
        </w:rPr>
        <w:t xml:space="preserve">īm</w:t>
      </w:r>
      <w:r>
        <w:t xml:space="preserve"> </w:t>
      </w:r>
      <w:r>
        <w:t xml:space="preserve">has no meaning; it is used to fill out a pāda. In the Brāhmaṇas and other sentences not bound by meter and with no rule on the number of syllables, words like</w:t>
      </w:r>
      <w:r>
        <w:t xml:space="preserve"> </w:t>
      </w:r>
      <w:r>
        <w:rPr>
          <w:iCs/>
          <w:i/>
        </w:rPr>
        <w:t xml:space="preserve">īm</w:t>
      </w:r>
      <w:r>
        <w:t xml:space="preserve"> </w:t>
      </w:r>
      <w:r>
        <w:t xml:space="preserve">are used to complete sentences. In the same way, in mantras that are metrical and made of syllables of fixed number, these words are used to fill out the pāda. As an example of this, Yāska quotes this very rik,</w:t>
      </w:r>
      <w:r>
        <w:t xml:space="preserve"> </w:t>
      </w:r>
      <w:r>
        <w:rPr>
          <w:iCs/>
          <w:i/>
        </w:rPr>
        <w:t xml:space="preserve">emenaṃ sṛjatā</w:t>
      </w:r>
      <w:r>
        <w:t xml:space="preserve">. In this rik the word</w:t>
      </w:r>
      <w:r>
        <w:t xml:space="preserve"> </w:t>
      </w:r>
      <w:r>
        <w:rPr>
          <w:iCs/>
          <w:i/>
        </w:rPr>
        <w:t xml:space="preserve">īm</w:t>
      </w:r>
      <w:r>
        <w:t xml:space="preserve"> </w:t>
      </w:r>
      <w:r>
        <w:t xml:space="preserve">has no use whatsoever in the sense of the mantra, but is used merely so that the pāda has the eight syllables it needs under the rule of the Gāyatrī meter. And:</w:t>
      </w:r>
    </w:p>
    <w:p>
      <w:pPr>
        <w:pStyle w:val="BlockText"/>
      </w:pPr>
      <w:r>
        <w:t xml:space="preserve">क्रियावाचकमाख्यातमुपसर्गो विशेषकृत् ।</w:t>
      </w:r>
      <w:r>
        <w:t xml:space="preserve"> </w:t>
      </w:r>
      <w:r>
        <w:t xml:space="preserve">सत्त्वाभिधायकं नाम निपातः पादपूरणः ॥ इति ॥</w:t>
      </w:r>
      <w:r>
        <w:t xml:space="preserve"> </w:t>
      </w:r>
      <w:r>
        <w:rPr>
          <w:iCs/>
          <w:i/>
        </w:rPr>
        <w:t xml:space="preserve">kriyā-vācakam ākhyātam upasargo viśeṣa-kṛt |</w:t>
      </w:r>
      <w:r>
        <w:t xml:space="preserve"> </w:t>
      </w:r>
      <w:r>
        <w:rPr>
          <w:iCs/>
          <w:i/>
        </w:rPr>
        <w:t xml:space="preserve">sattvābhidhāyakaṃ nāma nipātaḥ pāda-pūraṇaḥ || iti ||</w:t>
      </w:r>
      <w:r>
        <w:t xml:space="preserve"> </w:t>
      </w:r>
      <w:r>
        <w:t xml:space="preserve">“</w:t>
      </w:r>
      <w:r>
        <w:t xml:space="preserve">The verb denotes action; the prefix makes it specific; the noun denotes substance; the particle fills out the pāda.</w:t>
      </w:r>
      <w:r>
        <w:t xml:space="preserve">”</w:t>
      </w:r>
    </w:p>
    <w:p>
      <w:pPr>
        <w:pStyle w:val="FirstParagraph"/>
      </w:pPr>
      <w:r>
        <w:rPr>
          <w:iCs/>
          <w:i/>
        </w:rPr>
        <w:t xml:space="preserve">“</w:t>
      </w:r>
      <w:r>
        <w:rPr>
          <w:iCs/>
          <w:i/>
        </w:rPr>
        <w:t xml:space="preserve">Kam im ām id dhīti</w:t>
      </w:r>
      <w:r>
        <w:rPr>
          <w:iCs/>
          <w:i/>
        </w:rPr>
        <w:t xml:space="preserve">”</w:t>
      </w:r>
      <w:r>
        <w:t xml:space="preserve"> </w:t>
      </w:r>
      <w:r>
        <w:t xml:space="preserve">—</w:t>
      </w:r>
      <w:r>
        <w:t xml:space="preserve"> </w:t>
      </w:r>
      <w:r>
        <w:t xml:space="preserve">“</w:t>
      </w:r>
      <w:r>
        <w:t xml:space="preserve">ete catvāraḥ kam, īm, it, u iti</w:t>
      </w:r>
      <w:r>
        <w:t xml:space="preserve">”</w:t>
      </w:r>
      <w:r>
        <w:t xml:space="preserve"> </w:t>
      </w:r>
      <w:r>
        <w:t xml:space="preserve">— these four particles,</w:t>
      </w:r>
      <w:r>
        <w:t xml:space="preserve"> </w:t>
      </w:r>
      <w:r>
        <w:rPr>
          <w:iCs/>
          <w:i/>
        </w:rPr>
        <w:t xml:space="preserve">kam, īm, it, u</w:t>
      </w:r>
      <w:r>
        <w:t xml:space="preserve">, are used to fill the deficient number of syllables in a pāda of a metrical rik. They have no fixed sense in such a context. And the words</w:t>
      </w:r>
      <w:r>
        <w:t xml:space="preserve"> </w:t>
      </w:r>
      <w:r>
        <w:rPr>
          <w:iCs/>
          <w:i/>
        </w:rPr>
        <w:t xml:space="preserve">iva, na, cit, nu</w:t>
      </w:r>
      <w:r>
        <w:t xml:space="preserve"> </w:t>
      </w:r>
      <w:r>
        <w:t xml:space="preserve">are likewise used to fill out the pāda, but on some occasions they have a meaning. Hence</w:t>
      </w:r>
      <w:r>
        <w:t xml:space="preserve"> </w:t>
      </w:r>
      <w:r>
        <w:rPr>
          <w:iCs/>
          <w:i/>
        </w:rPr>
        <w:t xml:space="preserve">iva, na, cit, nu</w:t>
      </w:r>
      <w:r>
        <w:t xml:space="preserve"> </w:t>
      </w:r>
      <w:r>
        <w:t xml:space="preserve">are used in two ways: as meaningless and as meaningful.</w:t>
      </w:r>
    </w:p>
    <w:p>
      <w:pPr>
        <w:pStyle w:val="BodyText"/>
      </w:pPr>
      <w:r>
        <w:rPr>
          <w:bCs/>
          <w:b/>
        </w:rPr>
        <w:t xml:space="preserve">“</w:t>
      </w:r>
      <w:r>
        <w:rPr>
          <w:bCs/>
          <w:b/>
        </w:rPr>
        <w:t xml:space="preserve">Sṛjata</w:t>
      </w:r>
      <w:r>
        <w:rPr>
          <w:bCs/>
          <w:b/>
        </w:rPr>
        <w:t xml:space="preserve">”</w:t>
      </w:r>
      <w:r>
        <w:t xml:space="preserve"> </w:t>
      </w:r>
      <w:r>
        <w:t xml:space="preserve">— for the convenience of the meter the</w:t>
      </w:r>
      <w:r>
        <w:t xml:space="preserve"> </w:t>
      </w:r>
      <w:r>
        <w:rPr>
          <w:iCs/>
          <w:i/>
        </w:rPr>
        <w:t xml:space="preserve">ta</w:t>
      </w:r>
      <w:r>
        <w:t xml:space="preserve"> </w:t>
      </w:r>
      <w:r>
        <w:t xml:space="preserve">is lengthened in the Saṃhitā-pāṭha.</w:t>
      </w:r>
    </w:p>
    <w:bookmarkEnd w:id="378"/>
    <w:bookmarkStart w:id="379" w:name="pages-350352-rik-2-grammar-closes-rik-3"/>
    <w:p>
      <w:pPr>
        <w:pStyle w:val="Heading3"/>
      </w:pPr>
      <w:r>
        <w:t xml:space="preserve">Pages 350–352 — Rik 2 grammar closes; Rik 3</w:t>
      </w:r>
    </w:p>
    <w:p>
      <w:pPr>
        <w:pStyle w:val="FirstParagraph"/>
      </w:pPr>
      <w:r>
        <w:rPr>
          <w:bCs/>
          <w:b/>
        </w:rPr>
        <w:t xml:space="preserve">॥ Special Topics (continued, p. 350) ॥</w:t>
      </w:r>
    </w:p>
    <w:p>
      <w:pPr>
        <w:pStyle w:val="BodyText"/>
      </w:pPr>
      <w:r>
        <w:rPr>
          <w:bCs/>
          <w:b/>
        </w:rPr>
        <w:t xml:space="preserve">“</w:t>
      </w:r>
      <w:r>
        <w:rPr>
          <w:bCs/>
          <w:b/>
        </w:rPr>
        <w:t xml:space="preserve">Mandim</w:t>
      </w:r>
      <w:r>
        <w:rPr>
          <w:bCs/>
          <w:b/>
        </w:rPr>
        <w:t xml:space="preserve">”</w:t>
      </w:r>
      <w:r>
        <w:t xml:space="preserve"> </w:t>
      </w:r>
      <w:r>
        <w:t xml:space="preserve">—</w:t>
      </w:r>
      <w:r>
        <w:t xml:space="preserve"> </w:t>
      </w:r>
      <w:r>
        <w:rPr>
          <w:bCs/>
          <w:b/>
        </w:rPr>
        <w:t xml:space="preserve">प्रमोदहेतुम्</w:t>
      </w:r>
      <w:r>
        <w:t xml:space="preserve"> </w:t>
      </w:r>
      <w:r>
        <w:t xml:space="preserve">(</w:t>
      </w:r>
      <w:r>
        <w:rPr>
          <w:iCs/>
          <w:i/>
        </w:rPr>
        <w:t xml:space="preserve">pramoda-hetum</w:t>
      </w:r>
      <w:r>
        <w:t xml:space="preserve">) —</w:t>
      </w:r>
      <w:r>
        <w:t xml:space="preserve"> </w:t>
      </w:r>
      <w:r>
        <w:t xml:space="preserve">“</w:t>
      </w:r>
      <w:r>
        <w:t xml:space="preserve">cause of delight</w:t>
      </w:r>
      <w:r>
        <w:t xml:space="preserve">”</w:t>
      </w:r>
      <w:r>
        <w:t xml:space="preserve">;</w:t>
      </w:r>
      <w:r>
        <w:t xml:space="preserve"> </w:t>
      </w:r>
      <w:r>
        <w:rPr>
          <w:iCs/>
          <w:i/>
        </w:rPr>
        <w:t xml:space="preserve">madi stuti-moda-mada-svapna-kānti-gatiṣu</w:t>
      </w:r>
      <w:r>
        <w:t xml:space="preserve">. This word is another form of the root</w:t>
      </w:r>
      <w:r>
        <w:t xml:space="preserve"> </w:t>
      </w:r>
      <w:r>
        <w:rPr>
          <w:iCs/>
          <w:i/>
        </w:rPr>
        <w:t xml:space="preserve">mad</w:t>
      </w:r>
      <w:r>
        <w:t xml:space="preserve">: one that causes delight, that produces joy.</w:t>
      </w:r>
    </w:p>
    <w:p>
      <w:pPr>
        <w:pStyle w:val="BodyText"/>
      </w:pPr>
      <w:r>
        <w:rPr>
          <w:bCs/>
          <w:b/>
        </w:rPr>
        <w:t xml:space="preserve">“</w:t>
      </w:r>
      <w:r>
        <w:rPr>
          <w:bCs/>
          <w:b/>
        </w:rPr>
        <w:t xml:space="preserve">Mandine</w:t>
      </w:r>
      <w:r>
        <w:rPr>
          <w:bCs/>
          <w:b/>
        </w:rPr>
        <w:t xml:space="preserve">”</w:t>
      </w:r>
      <w:r>
        <w:t xml:space="preserve"> </w:t>
      </w:r>
      <w:r>
        <w:t xml:space="preserve">— the sense is the same as that given for</w:t>
      </w:r>
      <w:r>
        <w:t xml:space="preserve"> </w:t>
      </w:r>
      <w:r>
        <w:rPr>
          <w:iCs/>
          <w:i/>
        </w:rPr>
        <w:t xml:space="preserve">mandim</w:t>
      </w:r>
      <w:r>
        <w:t xml:space="preserve">; this is a dative singular.</w:t>
      </w:r>
    </w:p>
    <w:p>
      <w:pPr>
        <w:pStyle w:val="BodyText"/>
      </w:pPr>
      <w:r>
        <w:rPr>
          <w:bCs/>
          <w:b/>
        </w:rPr>
        <w:t xml:space="preserve">“</w:t>
      </w:r>
      <w:r>
        <w:rPr>
          <w:bCs/>
          <w:b/>
        </w:rPr>
        <w:t xml:space="preserve">Cakrim</w:t>
      </w:r>
      <w:r>
        <w:rPr>
          <w:bCs/>
          <w:b/>
        </w:rPr>
        <w:t xml:space="preserve">”</w:t>
      </w:r>
      <w:r>
        <w:t xml:space="preserve"> </w:t>
      </w:r>
      <w:r>
        <w:t xml:space="preserve">and</w:t>
      </w:r>
      <w:r>
        <w:t xml:space="preserve"> </w:t>
      </w:r>
      <w:r>
        <w:rPr>
          <w:bCs/>
          <w:b/>
        </w:rPr>
        <w:t xml:space="preserve">“</w:t>
      </w:r>
      <w:r>
        <w:rPr>
          <w:bCs/>
          <w:b/>
        </w:rPr>
        <w:t xml:space="preserve">cakraye</w:t>
      </w:r>
      <w:r>
        <w:rPr>
          <w:bCs/>
          <w:b/>
        </w:rPr>
        <w:t xml:space="preserve">”</w:t>
      </w:r>
      <w:r>
        <w:t xml:space="preserve"> </w:t>
      </w:r>
      <w:r>
        <w:t xml:space="preserve">— these words are formed from the root</w:t>
      </w:r>
      <w:r>
        <w:t xml:space="preserve"> </w:t>
      </w:r>
      <w:r>
        <w:rPr>
          <w:iCs/>
          <w:i/>
        </w:rPr>
        <w:t xml:space="preserve">ḍukṛñ karaṇe</w:t>
      </w:r>
      <w:r>
        <w:t xml:space="preserve"> </w:t>
      </w:r>
      <w:r>
        <w:t xml:space="preserve">(</w:t>
      </w:r>
      <w:r>
        <w:t xml:space="preserve">“</w:t>
      </w:r>
      <w:r>
        <w:t xml:space="preserve">to do</w:t>
      </w:r>
      <w:r>
        <w:t xml:space="preserve">”</w:t>
      </w:r>
      <w:r>
        <w:t xml:space="preserve">). For their derivation see the grammar section.</w:t>
      </w:r>
    </w:p>
    <w:p>
      <w:pPr>
        <w:pStyle w:val="BodyText"/>
      </w:pPr>
      <w:r>
        <w:rPr>
          <w:bCs/>
          <w:b/>
        </w:rPr>
        <w:t xml:space="preserve">॥ Vyākaraṇa-prakriyā ॥</w:t>
      </w:r>
      <w:r>
        <w:t xml:space="preserve"> </w:t>
      </w:r>
      <w:r>
        <w:rPr>
          <w:iCs/>
          <w:i/>
        </w:rPr>
        <w:t xml:space="preserve">(pp. 350–352, Kannada; page header p. 351</w:t>
      </w:r>
      <w:r>
        <w:rPr>
          <w:iCs/>
          <w:i/>
        </w:rPr>
        <w:t xml:space="preserve"> </w:t>
      </w:r>
      <w:r>
        <w:rPr>
          <w:iCs/>
          <w:i/>
        </w:rPr>
        <w:t xml:space="preserve">“</w:t>
      </w:r>
      <w:r>
        <w:rPr>
          <w:iCs/>
          <w:i/>
        </w:rPr>
        <w:t xml:space="preserve">A. 1, A. 1, Va. 17</w:t>
      </w:r>
      <w:r>
        <w:rPr>
          <w:iCs/>
          <w:i/>
        </w:rPr>
        <w:t xml:space="preserve">”</w:t>
      </w:r>
      <w:r>
        <w:rPr>
          <w:iCs/>
          <w:i/>
        </w:rPr>
        <w:t xml:space="preserve">; numbers as printed)</w:t>
      </w:r>
    </w:p>
    <w:p>
      <w:pPr>
        <w:pStyle w:val="BodyText"/>
      </w:pPr>
      <w:r>
        <w:rPr>
          <w:bCs/>
          <w:b/>
        </w:rPr>
        <w:t xml:space="preserve">एनम्</w:t>
      </w:r>
      <w:r>
        <w:t xml:space="preserve"> </w:t>
      </w:r>
      <w:r>
        <w:t xml:space="preserve">—</w:t>
      </w:r>
      <w:r>
        <w:t xml:space="preserve"> </w:t>
      </w:r>
      <w:r>
        <w:t xml:space="preserve">“</w:t>
      </w:r>
      <w:r>
        <w:t xml:space="preserve">idam + am</w:t>
      </w:r>
      <w:r>
        <w:t xml:space="preserve">”</w:t>
      </w:r>
      <w:r>
        <w:t xml:space="preserve">:</w:t>
      </w:r>
      <w:r>
        <w:t xml:space="preserve"> </w:t>
      </w:r>
      <w:r>
        <w:rPr>
          <w:bCs/>
          <w:b/>
        </w:rPr>
        <w:t xml:space="preserve">द्वितीयाटौस्स्वेनः</w:t>
      </w:r>
      <w:r>
        <w:t xml:space="preserve"> </w:t>
      </w:r>
      <w:r>
        <w:t xml:space="preserve">(पा. सू. २-४-३४) — in anvādeśa, before the accusative,</w:t>
      </w:r>
      <w:r>
        <w:t xml:space="preserve"> </w:t>
      </w:r>
      <w:r>
        <w:t xml:space="preserve">“</w:t>
      </w:r>
      <w:r>
        <w:t xml:space="preserve">ṭā</w:t>
      </w:r>
      <w:r>
        <w:t xml:space="preserve">”</w:t>
      </w:r>
      <w:r>
        <w:t xml:space="preserve"> </w:t>
      </w:r>
      <w:r>
        <w:t xml:space="preserve">and</w:t>
      </w:r>
      <w:r>
        <w:t xml:space="preserve"> </w:t>
      </w:r>
      <w:r>
        <w:t xml:space="preserve">“</w:t>
      </w:r>
      <w:r>
        <w:t xml:space="preserve">os,</w:t>
      </w:r>
      <w:r>
        <w:t xml:space="preserve">”</w:t>
      </w:r>
      <w:r>
        <w:t xml:space="preserve"> </w:t>
      </w:r>
      <w:r>
        <w:t xml:space="preserve">“</w:t>
      </w:r>
      <w:r>
        <w:t xml:space="preserve">ena</w:t>
      </w:r>
      <w:r>
        <w:t xml:space="preserve">”</w:t>
      </w:r>
      <w:r>
        <w:t xml:space="preserve"> </w:t>
      </w:r>
      <w:r>
        <w:t xml:space="preserve">replaces</w:t>
      </w:r>
      <w:r>
        <w:t xml:space="preserve"> </w:t>
      </w:r>
      <w:r>
        <w:t xml:space="preserve">“</w:t>
      </w:r>
      <w:r>
        <w:t xml:space="preserve">idam</w:t>
      </w:r>
      <w:r>
        <w:t xml:space="preserve">”</w:t>
      </w:r>
      <w:r>
        <w:t xml:space="preserve"> </w:t>
      </w:r>
      <w:r>
        <w:t xml:space="preserve">and</w:t>
      </w:r>
      <w:r>
        <w:t xml:space="preserve"> </w:t>
      </w:r>
      <w:r>
        <w:t xml:space="preserve">“</w:t>
      </w:r>
      <w:r>
        <w:t xml:space="preserve">etad</w:t>
      </w:r>
      <w:r>
        <w:t xml:space="preserve">”</w:t>
      </w:r>
      <w:r>
        <w:t xml:space="preserve">:</w:t>
      </w:r>
      <w:r>
        <w:t xml:space="preserve"> </w:t>
      </w:r>
      <w:r>
        <w:t xml:space="preserve">“</w:t>
      </w:r>
      <w:r>
        <w:t xml:space="preserve">ena + am</w:t>
      </w:r>
      <w:r>
        <w:t xml:space="preserve">”</w:t>
      </w:r>
      <w:r>
        <w:t xml:space="preserve">;</w:t>
      </w:r>
      <w:r>
        <w:t xml:space="preserve"> </w:t>
      </w:r>
      <w:r>
        <w:rPr>
          <w:bCs/>
          <w:b/>
        </w:rPr>
        <w:t xml:space="preserve">अमि पूर्वः</w:t>
      </w:r>
      <w:r>
        <w:t xml:space="preserve"> </w:t>
      </w:r>
      <w:r>
        <w:t xml:space="preserve">(पा. सू. ६-१-१०७) the prior form:</w:t>
      </w:r>
      <w:r>
        <w:t xml:space="preserve"> </w:t>
      </w:r>
      <w:r>
        <w:t xml:space="preserve">“</w:t>
      </w:r>
      <w:r>
        <w:t xml:space="preserve">enam.</w:t>
      </w:r>
      <w:r>
        <w:t xml:space="preserve">”</w:t>
      </w:r>
      <w:r>
        <w:t xml:space="preserve"> </w:t>
      </w:r>
      <w:r>
        <w:t xml:space="preserve">With 2-4-34,</w:t>
      </w:r>
      <w:r>
        <w:t xml:space="preserve"> </w:t>
      </w:r>
      <w:r>
        <w:t xml:space="preserve">“</w:t>
      </w:r>
      <w:r>
        <w:t xml:space="preserve">anudāttaḥ</w:t>
      </w:r>
      <w:r>
        <w:t xml:space="preserve">”</w:t>
      </w:r>
      <w:r>
        <w:t xml:space="preserve"> </w:t>
      </w:r>
      <w:r>
        <w:t xml:space="preserve">is carried from</w:t>
      </w:r>
      <w:r>
        <w:t xml:space="preserve"> </w:t>
      </w:r>
      <w:r>
        <w:rPr>
          <w:bCs/>
          <w:b/>
        </w:rPr>
        <w:t xml:space="preserve">इदमोऽन्वादेशेऽशनुदात्तस्तृतीयादौ</w:t>
      </w:r>
      <w:r>
        <w:t xml:space="preserve"> </w:t>
      </w:r>
      <w:r>
        <w:t xml:space="preserve">(पा. सू. २-४-३२), so the substitute</w:t>
      </w:r>
      <w:r>
        <w:t xml:space="preserve"> </w:t>
      </w:r>
      <w:r>
        <w:t xml:space="preserve">“</w:t>
      </w:r>
      <w:r>
        <w:t xml:space="preserve">ena</w:t>
      </w:r>
      <w:r>
        <w:t xml:space="preserve">”</w:t>
      </w:r>
      <w:r>
        <w:t xml:space="preserve"> </w:t>
      </w:r>
      <w:r>
        <w:t xml:space="preserve">is unaccented, and</w:t>
      </w:r>
      <w:r>
        <w:t xml:space="preserve"> </w:t>
      </w:r>
      <w:r>
        <w:t xml:space="preserve">“</w:t>
      </w:r>
      <w:r>
        <w:t xml:space="preserve">enam</w:t>
      </w:r>
      <w:r>
        <w:t xml:space="preserve">”</w:t>
      </w:r>
      <w:r>
        <w:t xml:space="preserve"> </w:t>
      </w:r>
      <w:r>
        <w:t xml:space="preserve">wholly unaccented.</w:t>
      </w:r>
    </w:p>
    <w:p>
      <w:pPr>
        <w:pStyle w:val="BodyText"/>
      </w:pPr>
      <w:r>
        <w:rPr>
          <w:bCs/>
          <w:b/>
        </w:rPr>
        <w:t xml:space="preserve">सृजत</w:t>
      </w:r>
      <w:r>
        <w:t xml:space="preserve"> </w:t>
      </w:r>
      <w:r>
        <w:t xml:space="preserve">—</w:t>
      </w:r>
      <w:r>
        <w:t xml:space="preserve"> </w:t>
      </w:r>
      <w:r>
        <w:rPr>
          <w:bCs/>
          <w:b/>
        </w:rPr>
        <w:t xml:space="preserve">अन्येषामपि दृश्यते</w:t>
      </w:r>
      <w:r>
        <w:t xml:space="preserve"> </w:t>
      </w:r>
      <w:r>
        <w:t xml:space="preserve">(पा. सू. ६-३-१३७) the long vowel in the saṃhitā:</w:t>
      </w:r>
      <w:r>
        <w:t xml:space="preserve"> </w:t>
      </w:r>
      <w:r>
        <w:t xml:space="preserve">“</w:t>
      </w:r>
      <w:r>
        <w:t xml:space="preserve">sṛjatā.</w:t>
      </w:r>
      <w:r>
        <w:t xml:space="preserve">”</w:t>
      </w:r>
    </w:p>
    <w:p>
      <w:pPr>
        <w:pStyle w:val="BodyText"/>
      </w:pPr>
      <w:r>
        <w:rPr>
          <w:bCs/>
          <w:b/>
        </w:rPr>
        <w:t xml:space="preserve">मन्दिम्</w:t>
      </w:r>
      <w:r>
        <w:t xml:space="preserve"> </w:t>
      </w:r>
      <w:r>
        <w:t xml:space="preserve">—</w:t>
      </w:r>
      <w:r>
        <w:t xml:space="preserve"> </w:t>
      </w:r>
      <w:r>
        <w:t xml:space="preserve">“</w:t>
      </w:r>
      <w:r>
        <w:t xml:space="preserve">cause of joy</w:t>
      </w:r>
      <w:r>
        <w:t xml:space="preserve">”</w:t>
      </w:r>
      <w:r>
        <w:t xml:space="preserve">:</w:t>
      </w:r>
      <w:r>
        <w:t xml:space="preserve"> </w:t>
      </w:r>
      <w:r>
        <w:t xml:space="preserve">“</w:t>
      </w:r>
      <w:r>
        <w:t xml:space="preserve">madi stuti-moda-mada-svapna-kānti-gatiṣu,</w:t>
      </w:r>
      <w:r>
        <w:t xml:space="preserve">”</w:t>
      </w:r>
      <w:r>
        <w:t xml:space="preserve"> </w:t>
      </w:r>
      <w:r>
        <w:t xml:space="preserve">“</w:t>
      </w:r>
      <w:r>
        <w:t xml:space="preserve">i</w:t>
      </w:r>
      <w:r>
        <w:t xml:space="preserve">”</w:t>
      </w:r>
      <w:r>
        <w:t xml:space="preserve">-marked, so</w:t>
      </w:r>
      <w:r>
        <w:t xml:space="preserve"> </w:t>
      </w:r>
      <w:r>
        <w:rPr>
          <w:bCs/>
          <w:b/>
        </w:rPr>
        <w:t xml:space="preserve">इदितो नुम् धातोः</w:t>
      </w:r>
      <w:r>
        <w:t xml:space="preserve"> </w:t>
      </w:r>
      <w:r>
        <w:t xml:space="preserve">(पा. सू. ७-१-५८)</w:t>
      </w:r>
      <w:r>
        <w:t xml:space="preserve"> </w:t>
      </w:r>
      <w:r>
        <w:t xml:space="preserve">“</w:t>
      </w:r>
      <w:r>
        <w:t xml:space="preserve">num</w:t>
      </w:r>
      <w:r>
        <w:t xml:space="preserve">”</w:t>
      </w:r>
      <w:r>
        <w:t xml:space="preserve">:</w:t>
      </w:r>
      <w:r>
        <w:t xml:space="preserve"> </w:t>
      </w:r>
      <w:r>
        <w:t xml:space="preserve">“</w:t>
      </w:r>
      <w:r>
        <w:t xml:space="preserve">mand</w:t>
      </w:r>
      <w:r>
        <w:t xml:space="preserve">”</w:t>
      </w:r>
      <w:r>
        <w:t xml:space="preserve">; in the sense</w:t>
      </w:r>
      <w:r>
        <w:t xml:space="preserve"> </w:t>
      </w:r>
      <w:r>
        <w:t xml:space="preserve">“</w:t>
      </w:r>
      <w:r>
        <w:t xml:space="preserve">mandamānaṃ prayuṅkte,</w:t>
      </w:r>
      <w:r>
        <w:t xml:space="preserve">”</w:t>
      </w:r>
      <w:r>
        <w:t xml:space="preserve"> </w:t>
      </w:r>
      <w:r>
        <w:rPr>
          <w:bCs/>
          <w:b/>
        </w:rPr>
        <w:t xml:space="preserve">हेतुमति च</w:t>
      </w:r>
      <w:r>
        <w:t xml:space="preserve"> </w:t>
      </w:r>
      <w:r>
        <w:t xml:space="preserve">(पा. सू. ३-१-२६)</w:t>
      </w:r>
      <w:r>
        <w:t xml:space="preserve"> </w:t>
      </w:r>
      <w:r>
        <w:t xml:space="preserve">“</w:t>
      </w:r>
      <w:r>
        <w:t xml:space="preserve">ṇic</w:t>
      </w:r>
      <w:r>
        <w:t xml:space="preserve">”</w:t>
      </w:r>
      <w:r>
        <w:t xml:space="preserve">: by</w:t>
      </w:r>
      <w:r>
        <w:t xml:space="preserve"> </w:t>
      </w:r>
      <w:r>
        <w:rPr>
          <w:bCs/>
          <w:b/>
        </w:rPr>
        <w:t xml:space="preserve">तत्प्रयोजको हेतुश्च</w:t>
      </w:r>
      <w:r>
        <w:t xml:space="preserve"> </w:t>
      </w:r>
      <w:r>
        <w:t xml:space="preserve">(पा. सू. १-४-५५) the instigator of the agent is</w:t>
      </w:r>
      <w:r>
        <w:t xml:space="preserve"> </w:t>
      </w:r>
      <w:r>
        <w:t xml:space="preserve">“</w:t>
      </w:r>
      <w:r>
        <w:t xml:space="preserve">hetu</w:t>
      </w:r>
      <w:r>
        <w:t xml:space="preserve">”</w:t>
      </w:r>
      <w:r>
        <w:t xml:space="preserve"> </w:t>
      </w:r>
      <w:r>
        <w:t xml:space="preserve">and also</w:t>
      </w:r>
      <w:r>
        <w:t xml:space="preserve"> </w:t>
      </w:r>
      <w:r>
        <w:t xml:space="preserve">“</w:t>
      </w:r>
      <w:r>
        <w:t xml:space="preserve">kartṛ</w:t>
      </w:r>
      <w:r>
        <w:t xml:space="preserve">”</w:t>
      </w:r>
      <w:r>
        <w:t xml:space="preserve">; when the activity of such a</w:t>
      </w:r>
      <w:r>
        <w:t xml:space="preserve"> </w:t>
      </w:r>
      <w:r>
        <w:t xml:space="preserve">“</w:t>
      </w:r>
      <w:r>
        <w:t xml:space="preserve">hetu</w:t>
      </w:r>
      <w:r>
        <w:t xml:space="preserve">”</w:t>
      </w:r>
      <w:r>
        <w:t xml:space="preserve"> </w:t>
      </w:r>
      <w:r>
        <w:t xml:space="preserve">—</w:t>
      </w:r>
      <w:r>
        <w:t xml:space="preserve"> </w:t>
      </w:r>
      <w:r>
        <w:t xml:space="preserve">“</w:t>
      </w:r>
      <w:r>
        <w:t xml:space="preserve">preṣaṇa</w:t>
      </w:r>
      <w:r>
        <w:t xml:space="preserve">”</w:t>
      </w:r>
      <w:r>
        <w:t xml:space="preserve"> </w:t>
      </w:r>
      <w:r>
        <w:t xml:space="preserve">(command),</w:t>
      </w:r>
      <w:r>
        <w:t xml:space="preserve"> </w:t>
      </w:r>
      <w:r>
        <w:t xml:space="preserve">“</w:t>
      </w:r>
      <w:r>
        <w:t xml:space="preserve">adhyeṣaṇa</w:t>
      </w:r>
      <w:r>
        <w:t xml:space="preserve">”</w:t>
      </w:r>
      <w:r>
        <w:t xml:space="preserve"> </w:t>
      </w:r>
      <w:r>
        <w:t xml:space="preserve">(request to an equal such as a friend),</w:t>
      </w:r>
      <w:r>
        <w:t xml:space="preserve"> </w:t>
      </w:r>
      <w:r>
        <w:t xml:space="preserve">“</w:t>
      </w:r>
      <w:r>
        <w:t xml:space="preserve">anumati</w:t>
      </w:r>
      <w:r>
        <w:t xml:space="preserve">”</w:t>
      </w:r>
      <w:r>
        <w:t xml:space="preserve"> </w:t>
      </w:r>
      <w:r>
        <w:t xml:space="preserve">(assent, as of a king),</w:t>
      </w:r>
      <w:r>
        <w:t xml:space="preserve"> </w:t>
      </w:r>
      <w:r>
        <w:t xml:space="preserve">“</w:t>
      </w:r>
      <w:r>
        <w:t xml:space="preserve">upadeśa</w:t>
      </w:r>
      <w:r>
        <w:t xml:space="preserve">”</w:t>
      </w:r>
      <w:r>
        <w:t xml:space="preserve"> </w:t>
      </w:r>
      <w:r>
        <w:t xml:space="preserve">(as to a patient) — is meant,</w:t>
      </w:r>
      <w:r>
        <w:t xml:space="preserve"> </w:t>
      </w:r>
      <w:r>
        <w:t xml:space="preserve">“</w:t>
      </w:r>
      <w:r>
        <w:t xml:space="preserve">ṇic</w:t>
      </w:r>
      <w:r>
        <w:t xml:space="preserve">”</w:t>
      </w:r>
      <w:r>
        <w:t xml:space="preserve"> </w:t>
      </w:r>
      <w:r>
        <w:t xml:space="preserve">comes after the root (here in the sense of urging):</w:t>
      </w:r>
      <w:r>
        <w:t xml:space="preserve"> </w:t>
      </w:r>
      <w:r>
        <w:t xml:space="preserve">“</w:t>
      </w:r>
      <w:r>
        <w:t xml:space="preserve">mand + i</w:t>
      </w:r>
      <w:r>
        <w:t xml:space="preserve">”</w:t>
      </w:r>
      <w:r>
        <w:t xml:space="preserve">; being vowel-ending,</w:t>
      </w:r>
      <w:r>
        <w:t xml:space="preserve"> </w:t>
      </w:r>
      <w:r>
        <w:rPr>
          <w:bCs/>
          <w:b/>
        </w:rPr>
        <w:t xml:space="preserve">अच इः</w:t>
      </w:r>
      <w:r>
        <w:t xml:space="preserve"> </w:t>
      </w:r>
      <w:r>
        <w:t xml:space="preserve">(उ. सू. ४-१३८)</w:t>
      </w:r>
      <w:r>
        <w:t xml:space="preserve"> </w:t>
      </w:r>
      <w:r>
        <w:t xml:space="preserve">“</w:t>
      </w:r>
      <w:r>
        <w:t xml:space="preserve">i</w:t>
      </w:r>
      <w:r>
        <w:t xml:space="preserve">”</w:t>
      </w:r>
      <w:r>
        <w:t xml:space="preserve"> </w:t>
      </w:r>
      <w:r>
        <w:t xml:space="preserve">(p. 351):</w:t>
      </w:r>
      <w:r>
        <w:t xml:space="preserve"> </w:t>
      </w:r>
      <w:r>
        <w:t xml:space="preserve">“</w:t>
      </w:r>
      <w:r>
        <w:t xml:space="preserve">mand + i + i</w:t>
      </w:r>
      <w:r>
        <w:t xml:space="preserve">”</w:t>
      </w:r>
      <w:r>
        <w:t xml:space="preserve">;</w:t>
      </w:r>
      <w:r>
        <w:t xml:space="preserve"> </w:t>
      </w:r>
      <w:r>
        <w:rPr>
          <w:bCs/>
          <w:b/>
        </w:rPr>
        <w:t xml:space="preserve">णेरनिटि</w:t>
      </w:r>
      <w:r>
        <w:t xml:space="preserve"> </w:t>
      </w:r>
      <w:r>
        <w:t xml:space="preserve">(पा. सू. ६-४-५१) loss of</w:t>
      </w:r>
      <w:r>
        <w:t xml:space="preserve"> </w:t>
      </w:r>
      <w:r>
        <w:t xml:space="preserve">“</w:t>
      </w:r>
      <w:r>
        <w:t xml:space="preserve">ṇi</w:t>
      </w:r>
      <w:r>
        <w:t xml:space="preserve">”</w:t>
      </w:r>
      <w:r>
        <w:t xml:space="preserve">:</w:t>
      </w:r>
      <w:r>
        <w:t xml:space="preserve"> </w:t>
      </w:r>
      <w:r>
        <w:t xml:space="preserve">“</w:t>
      </w:r>
      <w:r>
        <w:t xml:space="preserve">mandi,</w:t>
      </w:r>
      <w:r>
        <w:t xml:space="preserve">”</w:t>
      </w:r>
      <w:r>
        <w:t xml:space="preserve"> </w:t>
      </w:r>
      <w:r>
        <w:t xml:space="preserve">end-acute by the affix accent; accusative</w:t>
      </w:r>
      <w:r>
        <w:t xml:space="preserve"> </w:t>
      </w:r>
      <w:r>
        <w:t xml:space="preserve">“</w:t>
      </w:r>
      <w:r>
        <w:t xml:space="preserve">mandim.</w:t>
      </w:r>
      <w:r>
        <w:t xml:space="preserve">”</w:t>
      </w:r>
    </w:p>
    <w:p>
      <w:pPr>
        <w:pStyle w:val="BodyText"/>
      </w:pPr>
      <w:r>
        <w:rPr>
          <w:bCs/>
          <w:b/>
        </w:rPr>
        <w:t xml:space="preserve">मन्दिने</w:t>
      </w:r>
      <w:r>
        <w:t xml:space="preserve"> </w:t>
      </w:r>
      <w:r>
        <w:t xml:space="preserve">— as for</w:t>
      </w:r>
      <w:r>
        <w:t xml:space="preserve"> </w:t>
      </w:r>
      <w:r>
        <w:t xml:space="preserve">“</w:t>
      </w:r>
      <w:r>
        <w:t xml:space="preserve">mandi</w:t>
      </w:r>
      <w:r>
        <w:t xml:space="preserve">”</w:t>
      </w:r>
      <w:r>
        <w:t xml:space="preserve">; dative</w:t>
      </w:r>
      <w:r>
        <w:t xml:space="preserve"> </w:t>
      </w:r>
      <w:r>
        <w:t xml:space="preserve">“</w:t>
      </w:r>
      <w:r>
        <w:t xml:space="preserve">ṅe</w:t>
      </w:r>
      <w:r>
        <w:t xml:space="preserve">”</w:t>
      </w:r>
      <w:r>
        <w:t xml:space="preserve">:</w:t>
      </w:r>
      <w:r>
        <w:t xml:space="preserve"> </w:t>
      </w:r>
      <w:r>
        <w:rPr>
          <w:bCs/>
          <w:b/>
        </w:rPr>
        <w:t xml:space="preserve">इकोऽचि विभक्तौ</w:t>
      </w:r>
      <w:r>
        <w:t xml:space="preserve"> </w:t>
      </w:r>
      <w:r>
        <w:t xml:space="preserve">(पा. सू. ७-१-७३)</w:t>
      </w:r>
      <w:r>
        <w:t xml:space="preserve"> </w:t>
      </w:r>
      <w:r>
        <w:t xml:space="preserve">“</w:t>
      </w:r>
      <w:r>
        <w:t xml:space="preserve">num</w:t>
      </w:r>
      <w:r>
        <w:t xml:space="preserve">”</w:t>
      </w:r>
      <w:r>
        <w:t xml:space="preserve"> </w:t>
      </w:r>
      <w:r>
        <w:t xml:space="preserve">for a neuter</w:t>
      </w:r>
      <w:r>
        <w:t xml:space="preserve"> </w:t>
      </w:r>
      <w:r>
        <w:t xml:space="preserve">“</w:t>
      </w:r>
      <w:r>
        <w:t xml:space="preserve">i/u/ṛ</w:t>
      </w:r>
      <w:r>
        <w:t xml:space="preserve">”</w:t>
      </w:r>
      <w:r>
        <w:t xml:space="preserve">-ending stem before a vowel-initial ending:</w:t>
      </w:r>
      <w:r>
        <w:t xml:space="preserve"> </w:t>
      </w:r>
      <w:r>
        <w:t xml:space="preserve">“</w:t>
      </w:r>
      <w:r>
        <w:t xml:space="preserve">mandine</w:t>
      </w:r>
      <w:r>
        <w:t xml:space="preserve">”</w:t>
      </w:r>
      <w:r>
        <w:t xml:space="preserve">; though here it qualifies Indra and is masculine, as Vedic it takes</w:t>
      </w:r>
      <w:r>
        <w:t xml:space="preserve"> </w:t>
      </w:r>
      <w:r>
        <w:t xml:space="preserve">“</w:t>
      </w:r>
      <w:r>
        <w:t xml:space="preserve">num</w:t>
      </w:r>
      <w:r>
        <w:t xml:space="preserve">”</w:t>
      </w:r>
      <w:r>
        <w:t xml:space="preserve"> </w:t>
      </w:r>
      <w:r>
        <w:t xml:space="preserve">by vyatyaya.</w:t>
      </w:r>
    </w:p>
    <w:p>
      <w:pPr>
        <w:pStyle w:val="BodyText"/>
      </w:pPr>
      <w:r>
        <w:rPr>
          <w:bCs/>
          <w:b/>
        </w:rPr>
        <w:t xml:space="preserve">चक्रिम्</w:t>
      </w:r>
      <w:r>
        <w:t xml:space="preserve"> </w:t>
      </w:r>
      <w:r>
        <w:t xml:space="preserve">—</w:t>
      </w:r>
      <w:r>
        <w:t xml:space="preserve"> </w:t>
      </w:r>
      <w:r>
        <w:t xml:space="preserve">“</w:t>
      </w:r>
      <w:r>
        <w:t xml:space="preserve">ḍukṛñ karaṇe</w:t>
      </w:r>
      <w:r>
        <w:t xml:space="preserve">”</w:t>
      </w:r>
      <w:r>
        <w:t xml:space="preserve">:</w:t>
      </w:r>
      <w:r>
        <w:t xml:space="preserve"> </w:t>
      </w:r>
      <w:r>
        <w:rPr>
          <w:bCs/>
          <w:b/>
        </w:rPr>
        <w:t xml:space="preserve">आदृगमहनजनः किकिनौ लिट् च</w:t>
      </w:r>
      <w:r>
        <w:t xml:space="preserve"> </w:t>
      </w:r>
      <w:r>
        <w:t xml:space="preserve">(पा. सू. ३-२-१७१) — after roots in</w:t>
      </w:r>
      <w:r>
        <w:t xml:space="preserve"> </w:t>
      </w:r>
      <w:r>
        <w:t xml:space="preserve">“</w:t>
      </w:r>
      <w:r>
        <w:t xml:space="preserve">ā</w:t>
      </w:r>
      <w:r>
        <w:t xml:space="preserve">”</w:t>
      </w:r>
      <w:r>
        <w:t xml:space="preserve"> </w:t>
      </w:r>
      <w:r>
        <w:t xml:space="preserve">and</w:t>
      </w:r>
      <w:r>
        <w:t xml:space="preserve"> </w:t>
      </w:r>
      <w:r>
        <w:t xml:space="preserve">“</w:t>
      </w:r>
      <w:r>
        <w:t xml:space="preserve">ṛ,</w:t>
      </w:r>
      <w:r>
        <w:t xml:space="preserve">”</w:t>
      </w:r>
      <w:r>
        <w:t xml:space="preserve"> </w:t>
      </w:r>
      <w:r>
        <w:t xml:space="preserve">“</w:t>
      </w:r>
      <w:r>
        <w:t xml:space="preserve">gam, han, jan,</w:t>
      </w:r>
      <w:r>
        <w:t xml:space="preserve">”</w:t>
      </w:r>
      <w:r>
        <w:t xml:space="preserve"> </w:t>
      </w:r>
      <w:r>
        <w:t xml:space="preserve">in the</w:t>
      </w:r>
      <w:r>
        <w:t xml:space="preserve"> </w:t>
      </w:r>
      <w:r>
        <w:t xml:space="preserve">“</w:t>
      </w:r>
      <w:r>
        <w:t xml:space="preserve">tācchīlya</w:t>
      </w:r>
      <w:r>
        <w:t xml:space="preserve">”</w:t>
      </w:r>
      <w:r>
        <w:t xml:space="preserve"> </w:t>
      </w:r>
      <w:r>
        <w:t xml:space="preserve">senses, in the Veda,</w:t>
      </w:r>
      <w:r>
        <w:t xml:space="preserve"> </w:t>
      </w:r>
      <w:r>
        <w:t xml:space="preserve">“</w:t>
      </w:r>
      <w:r>
        <w:t xml:space="preserve">ki</w:t>
      </w:r>
      <w:r>
        <w:t xml:space="preserve">”</w:t>
      </w:r>
      <w:r>
        <w:t xml:space="preserve"> </w:t>
      </w:r>
      <w:r>
        <w:t xml:space="preserve">and</w:t>
      </w:r>
      <w:r>
        <w:t xml:space="preserve"> </w:t>
      </w:r>
      <w:r>
        <w:t xml:space="preserve">“</w:t>
      </w:r>
      <w:r>
        <w:t xml:space="preserve">kin,</w:t>
      </w:r>
      <w:r>
        <w:t xml:space="preserve">”</w:t>
      </w:r>
      <w:r>
        <w:t xml:space="preserve"> </w:t>
      </w:r>
      <w:r>
        <w:t xml:space="preserve">treated like</w:t>
      </w:r>
      <w:r>
        <w:t xml:space="preserve"> </w:t>
      </w:r>
      <w:r>
        <w:t xml:space="preserve">“</w:t>
      </w:r>
      <w:r>
        <w:t xml:space="preserve">liṭ</w:t>
      </w:r>
      <w:r>
        <w:t xml:space="preserve">”</w:t>
      </w:r>
      <w:r>
        <w:t xml:space="preserve">:</w:t>
      </w:r>
      <w:r>
        <w:t xml:space="preserve"> </w:t>
      </w:r>
      <w:r>
        <w:t xml:space="preserve">“</w:t>
      </w:r>
      <w:r>
        <w:t xml:space="preserve">kṛ + i.</w:t>
      </w:r>
      <w:r>
        <w:t xml:space="preserve">”</w:t>
      </w:r>
      <w:r>
        <w:t xml:space="preserve"> </w:t>
      </w:r>
      <w:r>
        <w:rPr>
          <w:bCs/>
          <w:b/>
        </w:rPr>
        <w:t xml:space="preserve">द्विर्वचनेऽचि</w:t>
      </w:r>
      <w:r>
        <w:t xml:space="preserve"> </w:t>
      </w:r>
      <w:r>
        <w:t xml:space="preserve">(पा. सू. १-१-५९): where a vowel conditioning doubling follows, no substitute is made before the doubling;</w:t>
      </w:r>
      <w:r>
        <w:t xml:space="preserve"> </w:t>
      </w:r>
      <w:r>
        <w:t xml:space="preserve">“</w:t>
      </w:r>
      <w:r>
        <w:t xml:space="preserve">i,</w:t>
      </w:r>
      <w:r>
        <w:t xml:space="preserve">”</w:t>
      </w:r>
      <w:r>
        <w:t xml:space="preserve"> </w:t>
      </w:r>
      <w:r>
        <w:t xml:space="preserve">treated as</w:t>
      </w:r>
      <w:r>
        <w:t xml:space="preserve"> </w:t>
      </w:r>
      <w:r>
        <w:t xml:space="preserve">“</w:t>
      </w:r>
      <w:r>
        <w:t xml:space="preserve">liṭ,</w:t>
      </w:r>
      <w:r>
        <w:t xml:space="preserve">”</w:t>
      </w:r>
      <w:r>
        <w:t xml:space="preserve"> </w:t>
      </w:r>
      <w:r>
        <w:t xml:space="preserve">conditions doubling, so by</w:t>
      </w:r>
      <w:r>
        <w:t xml:space="preserve"> </w:t>
      </w:r>
      <w:r>
        <w:rPr>
          <w:bCs/>
          <w:b/>
        </w:rPr>
        <w:t xml:space="preserve">लिटि धातोरनभ्यासस्य</w:t>
      </w:r>
      <w:r>
        <w:t xml:space="preserve"> </w:t>
      </w:r>
      <w:r>
        <w:t xml:space="preserve">(पा. सू. ६-१-८) doubling is done before</w:t>
      </w:r>
      <w:r>
        <w:t xml:space="preserve"> </w:t>
      </w:r>
      <w:r>
        <w:rPr>
          <w:bCs/>
          <w:b/>
        </w:rPr>
        <w:t xml:space="preserve">इको यणचि</w:t>
      </w:r>
      <w:r>
        <w:t xml:space="preserve"> </w:t>
      </w:r>
      <w:r>
        <w:t xml:space="preserve">(पा. सू. ६-१-७७):</w:t>
      </w:r>
      <w:r>
        <w:t xml:space="preserve"> </w:t>
      </w:r>
      <w:r>
        <w:t xml:space="preserve">“</w:t>
      </w:r>
      <w:r>
        <w:t xml:space="preserve">kṛ kṛ + i,</w:t>
      </w:r>
      <w:r>
        <w:t xml:space="preserve">”</w:t>
      </w:r>
      <w:r>
        <w:t xml:space="preserve"> </w:t>
      </w:r>
      <w:r>
        <w:t xml:space="preserve">then</w:t>
      </w:r>
      <w:r>
        <w:t xml:space="preserve"> </w:t>
      </w:r>
      <w:r>
        <w:t xml:space="preserve">“</w:t>
      </w:r>
      <w:r>
        <w:t xml:space="preserve">r</w:t>
      </w:r>
      <w:r>
        <w:t xml:space="preserve">”</w:t>
      </w:r>
      <w:r>
        <w:t xml:space="preserve"> </w:t>
      </w:r>
      <w:r>
        <w:t xml:space="preserve">for the second</w:t>
      </w:r>
      <w:r>
        <w:t xml:space="preserve"> </w:t>
      </w:r>
      <w:r>
        <w:t xml:space="preserve">“</w:t>
      </w:r>
      <w:r>
        <w:t xml:space="preserve">ṛ.</w:t>
      </w:r>
      <w:r>
        <w:t xml:space="preserve">”</w:t>
      </w:r>
      <w:r>
        <w:t xml:space="preserve"> </w:t>
      </w:r>
      <w:r>
        <w:t xml:space="preserve">Or, as the Vṛttikāra and others explain 1-1-59, a substitute made before a doubling-conditioning vowel retains the nature of the original: then</w:t>
      </w:r>
      <w:r>
        <w:t xml:space="preserve"> </w:t>
      </w:r>
      <w:r>
        <w:t xml:space="preserve">“</w:t>
      </w:r>
      <w:r>
        <w:t xml:space="preserve">y</w:t>
      </w:r>
      <w:r>
        <w:t xml:space="preserve">”</w:t>
      </w:r>
      <w:r>
        <w:t xml:space="preserve"> </w:t>
      </w:r>
      <w:r>
        <w:t xml:space="preserve">first:</w:t>
      </w:r>
      <w:r>
        <w:t xml:space="preserve"> </w:t>
      </w:r>
      <w:r>
        <w:t xml:space="preserve">“</w:t>
      </w:r>
      <w:r>
        <w:t xml:space="preserve">kr + i,</w:t>
      </w:r>
      <w:r>
        <w:t xml:space="preserve">”</w:t>
      </w:r>
      <w:r>
        <w:t xml:space="preserve"> </w:t>
      </w:r>
      <w:r>
        <w:t xml:space="preserve">and the</w:t>
      </w:r>
      <w:r>
        <w:t xml:space="preserve"> </w:t>
      </w:r>
      <w:r>
        <w:t xml:space="preserve">“</w:t>
      </w:r>
      <w:r>
        <w:t xml:space="preserve">r,</w:t>
      </w:r>
      <w:r>
        <w:t xml:space="preserve">”</w:t>
      </w:r>
      <w:r>
        <w:t xml:space="preserve"> </w:t>
      </w:r>
      <w:r>
        <w:t xml:space="preserve">standing for</w:t>
      </w:r>
      <w:r>
        <w:t xml:space="preserve"> </w:t>
      </w:r>
      <w:r>
        <w:t xml:space="preserve">“</w:t>
      </w:r>
      <w:r>
        <w:t xml:space="preserve">ṛ,</w:t>
      </w:r>
      <w:r>
        <w:t xml:space="preserve">”</w:t>
      </w:r>
      <w:r>
        <w:t xml:space="preserve"> </w:t>
      </w:r>
      <w:r>
        <w:t xml:space="preserve">takes that form for doubling:</w:t>
      </w:r>
      <w:r>
        <w:t xml:space="preserve"> </w:t>
      </w:r>
      <w:r>
        <w:t xml:space="preserve">“</w:t>
      </w:r>
      <w:r>
        <w:t xml:space="preserve">kṛkr + i.</w:t>
      </w:r>
      <w:r>
        <w:t xml:space="preserve">”</w:t>
      </w:r>
      <w:r>
        <w:t xml:space="preserve"> </w:t>
      </w:r>
      <w:r>
        <w:t xml:space="preserve">Both views give the same result; following the second, the Veda-bhāṣya says</w:t>
      </w:r>
      <w:r>
        <w:t xml:space="preserve"> </w:t>
      </w:r>
      <w:r>
        <w:t xml:space="preserve">“</w:t>
      </w:r>
      <w:r>
        <w:t xml:space="preserve">dvirvacane ’ci iti yaṇādeśasya sthānivadbhāvāt kṛśabdo dvir ucyate.</w:t>
      </w:r>
      <w:r>
        <w:t xml:space="preserve">”</w:t>
      </w:r>
      <w:r>
        <w:t xml:space="preserve"> </w:t>
      </w:r>
      <w:r>
        <w:rPr>
          <w:bCs/>
          <w:b/>
        </w:rPr>
        <w:t xml:space="preserve">उरत्</w:t>
      </w:r>
      <w:r>
        <w:t xml:space="preserve"> </w:t>
      </w:r>
      <w:r>
        <w:t xml:space="preserve">(पा. सू. ७-४-६६)</w:t>
      </w:r>
      <w:r>
        <w:t xml:space="preserve"> </w:t>
      </w:r>
      <w:r>
        <w:t xml:space="preserve">“</w:t>
      </w:r>
      <w:r>
        <w:t xml:space="preserve">a</w:t>
      </w:r>
      <w:r>
        <w:t xml:space="preserve">”</w:t>
      </w:r>
      <w:r>
        <w:t xml:space="preserve"> </w:t>
      </w:r>
      <w:r>
        <w:t xml:space="preserve">for the reduplicate</w:t>
      </w:r>
      <w:r>
        <w:t xml:space="preserve"> </w:t>
      </w:r>
      <w:r>
        <w:t xml:space="preserve">“</w:t>
      </w:r>
      <w:r>
        <w:t xml:space="preserve">ṛ,</w:t>
      </w:r>
      <w:r>
        <w:t xml:space="preserve">”</w:t>
      </w:r>
      <w:r>
        <w:t xml:space="preserve"> </w:t>
      </w:r>
      <w:r>
        <w:t xml:space="preserve">with</w:t>
      </w:r>
      <w:r>
        <w:t xml:space="preserve"> </w:t>
      </w:r>
      <w:r>
        <w:t xml:space="preserve">“</w:t>
      </w:r>
      <w:r>
        <w:t xml:space="preserve">r</w:t>
      </w:r>
      <w:r>
        <w:t xml:space="preserve">”</w:t>
      </w:r>
      <w:r>
        <w:t xml:space="preserve"> </w:t>
      </w:r>
      <w:r>
        <w:t xml:space="preserve">by</w:t>
      </w:r>
      <w:r>
        <w:t xml:space="preserve"> </w:t>
      </w:r>
      <w:r>
        <w:rPr>
          <w:bCs/>
          <w:b/>
        </w:rPr>
        <w:t xml:space="preserve">उरण् रपरः</w:t>
      </w:r>
      <w:r>
        <w:t xml:space="preserve"> </w:t>
      </w:r>
      <w:r>
        <w:t xml:space="preserve">(पा. सू. १-१-५१):</w:t>
      </w:r>
      <w:r>
        <w:t xml:space="preserve"> </w:t>
      </w:r>
      <w:r>
        <w:t xml:space="preserve">“</w:t>
      </w:r>
      <w:r>
        <w:t xml:space="preserve">kar + kr + i</w:t>
      </w:r>
      <w:r>
        <w:t xml:space="preserve">”</w:t>
      </w:r>
      <w:r>
        <w:t xml:space="preserve">;</w:t>
      </w:r>
      <w:r>
        <w:t xml:space="preserve"> </w:t>
      </w:r>
      <w:r>
        <w:rPr>
          <w:bCs/>
          <w:b/>
        </w:rPr>
        <w:t xml:space="preserve">हलादिः शेषः</w:t>
      </w:r>
      <w:r>
        <w:t xml:space="preserve"> </w:t>
      </w:r>
      <w:r>
        <w:t xml:space="preserve">(पा. सू. ७-४-६०) only the first consonant of the reduplicate stays:</w:t>
      </w:r>
      <w:r>
        <w:t xml:space="preserve"> </w:t>
      </w:r>
      <w:r>
        <w:t xml:space="preserve">“</w:t>
      </w:r>
      <w:r>
        <w:t xml:space="preserve">ka + kr + i</w:t>
      </w:r>
      <w:r>
        <w:t xml:space="preserve">”</w:t>
      </w:r>
      <w:r>
        <w:t xml:space="preserve">;</w:t>
      </w:r>
      <w:r>
        <w:t xml:space="preserve"> </w:t>
      </w:r>
      <w:r>
        <w:rPr>
          <w:bCs/>
          <w:b/>
        </w:rPr>
        <w:t xml:space="preserve">कुहोश्चुः</w:t>
      </w:r>
      <w:r>
        <w:t xml:space="preserve"> </w:t>
      </w:r>
      <w:r>
        <w:t xml:space="preserve">(पा. सू. ७-४-६२) (p. 352)</w:t>
      </w:r>
      <w:r>
        <w:t xml:space="preserve"> </w:t>
      </w:r>
      <w:r>
        <w:t xml:space="preserve">“</w:t>
      </w:r>
      <w:r>
        <w:t xml:space="preserve">c</w:t>
      </w:r>
      <w:r>
        <w:t xml:space="preserve">”</w:t>
      </w:r>
      <w:r>
        <w:t xml:space="preserve">:</w:t>
      </w:r>
      <w:r>
        <w:t xml:space="preserve"> </w:t>
      </w:r>
      <w:r>
        <w:t xml:space="preserve">“</w:t>
      </w:r>
      <w:r>
        <w:t xml:space="preserve">cakri</w:t>
      </w:r>
      <w:r>
        <w:t xml:space="preserve">”</w:t>
      </w:r>
      <w:r>
        <w:t xml:space="preserve">;</w:t>
      </w:r>
      <w:r>
        <w:t xml:space="preserve"> </w:t>
      </w:r>
      <w:r>
        <w:t xml:space="preserve">“</w:t>
      </w:r>
      <w:r>
        <w:t xml:space="preserve">kin,</w:t>
      </w:r>
      <w:r>
        <w:t xml:space="preserve">”</w:t>
      </w:r>
      <w:r>
        <w:t xml:space="preserve"> </w:t>
      </w:r>
      <w:r>
        <w:t xml:space="preserve">“</w:t>
      </w:r>
      <w:r>
        <w:t xml:space="preserve">n</w:t>
      </w:r>
      <w:r>
        <w:t xml:space="preserve">”</w:t>
      </w:r>
      <w:r>
        <w:t xml:space="preserve">-marked, so first-syllable acute by</w:t>
      </w:r>
      <w:r>
        <w:t xml:space="preserve"> </w:t>
      </w:r>
      <w:r>
        <w:rPr>
          <w:bCs/>
          <w:b/>
        </w:rPr>
        <w:t xml:space="preserve">ञ्नित्यादिर्नित्यम्</w:t>
      </w:r>
      <w:r>
        <w:t xml:space="preserve"> </w:t>
      </w:r>
      <w:r>
        <w:t xml:space="preserve">(पा. सू.</w:t>
      </w:r>
      <w:r>
        <w:t xml:space="preserve"> </w:t>
      </w:r>
      <w:r>
        <w:t xml:space="preserve">“</w:t>
      </w:r>
      <w:r>
        <w:t xml:space="preserve">५-४-१९७</w:t>
      </w:r>
      <w:r>
        <w:t xml:space="preserve">”</w:t>
      </w:r>
      <w:r>
        <w:t xml:space="preserve"> </w:t>
      </w:r>
      <w:r>
        <w:t xml:space="preserve">as printed, i.e. 6-1-197).</w:t>
      </w:r>
    </w:p>
    <w:p>
      <w:pPr>
        <w:pStyle w:val="BodyText"/>
      </w:pPr>
      <w:r>
        <w:rPr>
          <w:bCs/>
          <w:b/>
        </w:rPr>
        <w:t xml:space="preserve">विश्वानि</w:t>
      </w:r>
      <w:r>
        <w:t xml:space="preserve"> </w:t>
      </w:r>
      <w:r>
        <w:t xml:space="preserve">—</w:t>
      </w:r>
      <w:r>
        <w:t xml:space="preserve"> </w:t>
      </w:r>
      <w:r>
        <w:rPr>
          <w:bCs/>
          <w:b/>
        </w:rPr>
        <w:t xml:space="preserve">अशूप्रुषि…</w:t>
      </w:r>
      <w:r>
        <w:t xml:space="preserve"> </w:t>
      </w:r>
      <w:r>
        <w:t xml:space="preserve">(उ. सू. १-१४९)</w:t>
      </w:r>
      <w:r>
        <w:t xml:space="preserve"> </w:t>
      </w:r>
      <w:r>
        <w:t xml:space="preserve">“</w:t>
      </w:r>
      <w:r>
        <w:t xml:space="preserve">kvan</w:t>
      </w:r>
      <w:r>
        <w:t xml:space="preserve">”</w:t>
      </w:r>
      <w:r>
        <w:t xml:space="preserve"> </w:t>
      </w:r>
      <w:r>
        <w:t xml:space="preserve">after</w:t>
      </w:r>
      <w:r>
        <w:t xml:space="preserve"> </w:t>
      </w:r>
      <w:r>
        <w:t xml:space="preserve">“</w:t>
      </w:r>
      <w:r>
        <w:t xml:space="preserve">viś,</w:t>
      </w:r>
      <w:r>
        <w:t xml:space="preserve">”</w:t>
      </w:r>
      <w:r>
        <w:t xml:space="preserve"> </w:t>
      </w:r>
      <w:r>
        <w:t xml:space="preserve">first-syllable acute; accusative plural</w:t>
      </w:r>
      <w:r>
        <w:t xml:space="preserve"> </w:t>
      </w:r>
      <w:r>
        <w:t xml:space="preserve">“</w:t>
      </w:r>
      <w:r>
        <w:t xml:space="preserve">viśvāni.</w:t>
      </w:r>
      <w:r>
        <w:t xml:space="preserve">”</w:t>
      </w:r>
      <w:r>
        <w:t xml:space="preserve"> </w:t>
      </w:r>
      <w:r>
        <w:t xml:space="preserve">“</w:t>
      </w:r>
      <w:r>
        <w:t xml:space="preserve">Viśvāni</w:t>
      </w:r>
      <w:r>
        <w:t xml:space="preserve">”</w:t>
      </w:r>
      <w:r>
        <w:t xml:space="preserve"> </w:t>
      </w:r>
      <w:r>
        <w:t xml:space="preserve">is construed with the kṛt</w:t>
      </w:r>
      <w:r>
        <w:t xml:space="preserve"> </w:t>
      </w:r>
      <w:r>
        <w:t xml:space="preserve">“</w:t>
      </w:r>
      <w:r>
        <w:t xml:space="preserve">cakraye,</w:t>
      </w:r>
      <w:r>
        <w:t xml:space="preserve">”</w:t>
      </w:r>
      <w:r>
        <w:t xml:space="preserve"> </w:t>
      </w:r>
      <w:r>
        <w:t xml:space="preserve">so</w:t>
      </w:r>
      <w:r>
        <w:t xml:space="preserve"> </w:t>
      </w:r>
      <w:r>
        <w:rPr>
          <w:bCs/>
          <w:b/>
        </w:rPr>
        <w:t xml:space="preserve">कर्तृकर्मणोः कृति</w:t>
      </w:r>
      <w:r>
        <w:t xml:space="preserve"> </w:t>
      </w:r>
      <w:r>
        <w:t xml:space="preserve">(पा. सू. २-३-६५) would give the genitive; but</w:t>
      </w:r>
      <w:r>
        <w:t xml:space="preserve"> </w:t>
      </w:r>
      <w:r>
        <w:t xml:space="preserve">“</w:t>
      </w:r>
      <w:r>
        <w:t xml:space="preserve">kin,</w:t>
      </w:r>
      <w:r>
        <w:t xml:space="preserve">”</w:t>
      </w:r>
      <w:r>
        <w:t xml:space="preserve"> </w:t>
      </w:r>
      <w:r>
        <w:t xml:space="preserve">by</w:t>
      </w:r>
      <w:r>
        <w:t xml:space="preserve"> </w:t>
      </w:r>
      <w:r>
        <w:t xml:space="preserve">“</w:t>
      </w:r>
      <w:r>
        <w:t xml:space="preserve">kikinau liṭ ca,</w:t>
      </w:r>
      <w:r>
        <w:t xml:space="preserve">”</w:t>
      </w:r>
      <w:r>
        <w:t xml:space="preserve"> </w:t>
      </w:r>
      <w:r>
        <w:t xml:space="preserve">is treated as</w:t>
      </w:r>
      <w:r>
        <w:t xml:space="preserve"> </w:t>
      </w:r>
      <w:r>
        <w:t xml:space="preserve">“</w:t>
      </w:r>
      <w:r>
        <w:t xml:space="preserve">liṭ</w:t>
      </w:r>
      <w:r>
        <w:t xml:space="preserve">”</w:t>
      </w:r>
      <w:r>
        <w:t xml:space="preserve"> </w:t>
      </w:r>
      <w:r>
        <w:t xml:space="preserve">(a</w:t>
      </w:r>
      <w:r>
        <w:t xml:space="preserve"> </w:t>
      </w:r>
      <w:r>
        <w:t xml:space="preserve">“</w:t>
      </w:r>
      <w:r>
        <w:t xml:space="preserve">la</w:t>
      </w:r>
      <w:r>
        <w:t xml:space="preserve">”</w:t>
      </w:r>
      <w:r>
        <w:t xml:space="preserve">), so</w:t>
      </w:r>
      <w:r>
        <w:t xml:space="preserve"> </w:t>
      </w:r>
      <w:r>
        <w:rPr>
          <w:bCs/>
          <w:b/>
        </w:rPr>
        <w:t xml:space="preserve">न लोकाव्ययनिष्ठाखलर्थतृनाम्</w:t>
      </w:r>
      <w:r>
        <w:t xml:space="preserve"> </w:t>
      </w:r>
      <w:r>
        <w:t xml:space="preserve">(पा. सू. २-३-६९) — with</w:t>
      </w:r>
      <w:r>
        <w:t xml:space="preserve"> </w:t>
      </w:r>
      <w:r>
        <w:t xml:space="preserve">“</w:t>
      </w:r>
      <w:r>
        <w:t xml:space="preserve">la,</w:t>
      </w:r>
      <w:r>
        <w:t xml:space="preserve">”</w:t>
      </w:r>
      <w:r>
        <w:t xml:space="preserve"> </w:t>
      </w:r>
      <w:r>
        <w:t xml:space="preserve">“</w:t>
      </w:r>
      <w:r>
        <w:t xml:space="preserve">u,</w:t>
      </w:r>
      <w:r>
        <w:t xml:space="preserve">”</w:t>
      </w:r>
      <w:r>
        <w:t xml:space="preserve"> </w:t>
      </w:r>
      <w:r>
        <w:t xml:space="preserve">“</w:t>
      </w:r>
      <w:r>
        <w:t xml:space="preserve">uka,</w:t>
      </w:r>
      <w:r>
        <w:t xml:space="preserve">”</w:t>
      </w:r>
      <w:r>
        <w:t xml:space="preserve"> </w:t>
      </w:r>
      <w:r>
        <w:t xml:space="preserve">indeclinables, niṣṭhā, khal-sense affixes and</w:t>
      </w:r>
      <w:r>
        <w:t xml:space="preserve"> </w:t>
      </w:r>
      <w:r>
        <w:t xml:space="preserve">“</w:t>
      </w:r>
      <w:r>
        <w:t xml:space="preserve">tṛn,</w:t>
      </w:r>
      <w:r>
        <w:t xml:space="preserve">”</w:t>
      </w:r>
      <w:r>
        <w:t xml:space="preserve"> </w:t>
      </w:r>
      <w:r>
        <w:t xml:space="preserve">no genitive — forbids it; so by</w:t>
      </w:r>
      <w:r>
        <w:t xml:space="preserve"> </w:t>
      </w:r>
      <w:r>
        <w:rPr>
          <w:bCs/>
          <w:b/>
        </w:rPr>
        <w:t xml:space="preserve">कर्मणि द्वितीया</w:t>
      </w:r>
      <w:r>
        <w:t xml:space="preserve"> </w:t>
      </w:r>
      <w:r>
        <w:t xml:space="preserve">(पा. सू. २-३-२) the accusative.</w:t>
      </w:r>
      <w:r>
        <w:t xml:space="preserve"> </w:t>
      </w:r>
      <w:r>
        <w:rPr>
          <w:bCs/>
          <w:b/>
        </w:rPr>
        <w:t xml:space="preserve">॥२॥</w:t>
      </w:r>
    </w:p>
    <w:p>
      <w:r>
        <w:pict>
          <v:rect style="width:0;height:1.5pt" o:hralign="center" o:hrstd="t" o:hr="t"/>
        </w:pict>
      </w:r>
    </w:p>
    <w:bookmarkEnd w:id="379"/>
    <w:bookmarkStart w:id="380" w:name="page-352-sūkta-9-rik-3"/>
    <w:p>
      <w:pPr>
        <w:pStyle w:val="Heading3"/>
      </w:pPr>
      <w:r>
        <w:t xml:space="preserve">Page 352 — Sūkta 9, Rik 3</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मत्स्वा॑ सुशिप्र म॒न्दिभिः॒ स्तोमे॑भिर्विश्वचर्षणे ।</w:t>
      </w:r>
      <w:r>
        <w:t xml:space="preserve"> </w:t>
      </w:r>
      <w:r>
        <w:t xml:space="preserve">सचै॒षु सव॑ने॒ष्वा ॥३॥</w:t>
      </w:r>
    </w:p>
    <w:p>
      <w:pPr>
        <w:pStyle w:val="BlockText"/>
      </w:pPr>
      <w:r>
        <w:rPr>
          <w:iCs/>
          <w:i/>
        </w:rPr>
        <w:t xml:space="preserve">mátsvā suśipra mandíbhiḥ stómebhir viśvacarṣaṇe |</w:t>
      </w:r>
      <w:r>
        <w:t xml:space="preserve"> </w:t>
      </w:r>
      <w:r>
        <w:rPr>
          <w:iCs/>
          <w:i/>
        </w:rPr>
        <w:t xml:space="preserve">sacaiṣú sávaneṣv ā́ ||3||</w:t>
      </w:r>
    </w:p>
    <w:p>
      <w:pPr>
        <w:pStyle w:val="FirstParagraph"/>
      </w:pPr>
      <w:r>
        <w:rPr>
          <w:bCs/>
          <w:b/>
        </w:rPr>
        <w:t xml:space="preserve">॥ Pada-pāṭhaḥ ॥</w:t>
      </w:r>
    </w:p>
    <w:p>
      <w:pPr>
        <w:pStyle w:val="BlockText"/>
      </w:pPr>
      <w:r>
        <w:t xml:space="preserve">मत्स्व । सुऽशिप्र । मन्दिऽभिः । स्तोमेभिः । विश्वऽचर्षणे ॥</w:t>
      </w:r>
      <w:r>
        <w:t xml:space="preserve"> </w:t>
      </w:r>
      <w:r>
        <w:t xml:space="preserve">सचा । एषु । सवनेषु । आ ॥३॥</w:t>
      </w:r>
    </w:p>
    <w:p>
      <w:pPr>
        <w:pStyle w:val="BlockText"/>
      </w:pPr>
      <w:r>
        <w:rPr>
          <w:iCs/>
          <w:i/>
        </w:rPr>
        <w:t xml:space="preserve">matsva | su-śipra | mandi-bhiḥ | stomebhiḥ | viśva-carṣaṇe ||</w:t>
      </w:r>
      <w:r>
        <w:t xml:space="preserve"> </w:t>
      </w:r>
      <w:r>
        <w:rPr>
          <w:iCs/>
          <w:i/>
        </w:rPr>
        <w:t xml:space="preserve">sacā | eṣu | savaneṣu | ā ||3||</w:t>
      </w:r>
    </w:p>
    <w:p>
      <w:pPr>
        <w:pStyle w:val="FirstParagraph"/>
      </w:pPr>
      <w:r>
        <w:rPr>
          <w:bCs/>
          <w:b/>
        </w:rPr>
        <w:t xml:space="preserve">॥ Sāyaṇa-bhāṣyam ॥</w:t>
      </w:r>
    </w:p>
    <w:p>
      <w:pPr>
        <w:pStyle w:val="BlockText"/>
      </w:pPr>
      <w:r>
        <w:t xml:space="preserve">हे सुशिप्र हे शोभनहनो शोभननासिक वा । शिप्रे हनू नासिके वा । नि. ६-१७ । इति यास्केनोक्तत्वात् । तादृश हे इन्द्र मन्दिभिर्हर्षहेतुभिः स्तोमेभिः स्तोत्रैर्मत्स्व हृष्यो भव । हे विश्वचर्षणे सर्वमनुष्ययुक्त । सर्वैर्यजमानैः पूज्येत्यर्थः । तादृशेन्द्र त्वमेषु योगागतेषु त्रिषु सवनेषु सचा देवैरन्यैः सह गच्छेति शेषः ॥ मदि स्तुतीत्यस्य लोट्यनित्यमागमशासनमिति कृत्स्वेदितो नुम् धातोरिति नुम् न भवति । अनुदात्तेत्त्वात्तास्यनुदात्तेन्ङिददुपदेशात् । पा. ६-१-१८६ । इति लसार्वधातुकानुदात्तत्वम् । धातुस्वर एव । संहितायां द्व्यचोऽतस्तिङः । पा. ६-३-१३५ । इति दीर्घत्वम् । सुशिप्रेत्यामन्त्रितनिघातः । मन्दिभिः । गतमन्त्रे व्याख्यातम् । स्तोमेभिः । मन्प्रत्ययस्य नित्त्वादाद्युदात्तत्वम् । बहुलं छन्दसीति भिस ऐसादेशो न भवति । विश्वचर्षणे । निघातः । सचा । उक्तम् । एषु । ऊडिदम्-इत्यादिना विभक्तेरुदात्तत्वम् ॥</w:t>
      </w:r>
    </w:p>
    <w:p>
      <w:pPr>
        <w:pStyle w:val="BlockText"/>
      </w:pPr>
      <w:r>
        <w:rPr>
          <w:iCs/>
          <w:i/>
        </w:rPr>
        <w:t xml:space="preserve">he suśipra he śobhana-hano śobhana-nāsika vā | śipre hanū nāsike vā | ni. 6-17 | iti yāskenoktatvāt | tādṛśa he indra mandibhir harṣa-hetubhiḥ stomebhiḥ stotrair matsva hṛṣyo bhava | he viśvacarṣaṇe sarva-manuṣya-yukta | sarvair yajamānaiḥ pūjyety arthaḥ | tādṛśendra tvam eṣu yogāgateṣu triṣu savaneṣu sacā devair anyaiḥ saha gaccheti śeṣaḥ || madi stutīty asya loṭy anitya-āgama-śāsanam iti kṛtsv edito num dhātor iti num na bhavati | anudāttettvāt tāsy-anudātten-ṅid-ad-upadeśāt | pā. 6-1-186 | iti lasārvadhātukānudāttatvam | dhātu-svara eva | saṃhitāyāṃ dvyaco ’tastiṅaḥ | pā. 6-3-135 | iti dīrghatvam | suśipretyāmantrita-nighātaḥ | mandibhiḥ | gatamantre vyākhyātam | stomebhiḥ | man-pratyayasya nittvād ādyudāttatvam | bahulaṃ chandasīti bhisa aisādeśo na bhavati | viśvacarṣaṇe | nighātaḥ | sacā | uktam | eṣu | ūḍidam-ityādinā vibhakter udāttatvam ||</w:t>
      </w:r>
    </w:p>
    <w:p>
      <w:pPr>
        <w:pStyle w:val="FirstParagraph"/>
      </w:pPr>
      <w:r>
        <w:rPr>
          <w:bCs/>
          <w:b/>
        </w:rPr>
        <w:t xml:space="preserve">Translation:</w:t>
      </w:r>
      <w:r>
        <w:t xml:space="preserve"> </w:t>
      </w:r>
      <w:r>
        <w:t xml:space="preserve">“O</w:t>
      </w:r>
      <w:r>
        <w:t xml:space="preserve"> </w:t>
      </w:r>
      <w:r>
        <w:rPr>
          <w:iCs/>
          <w:i/>
        </w:rPr>
        <w:t xml:space="preserve">suśipra</w:t>
      </w:r>
      <w:r>
        <w:t xml:space="preserve"> </w:t>
      </w:r>
      <w:r>
        <w:t xml:space="preserve">—</w:t>
      </w:r>
      <w:r>
        <w:t xml:space="preserve"> </w:t>
      </w:r>
      <w:r>
        <w:t xml:space="preserve">‘</w:t>
      </w:r>
      <w:r>
        <w:t xml:space="preserve">of beautiful jaws</w:t>
      </w:r>
      <w:r>
        <w:t xml:space="preserve">’</w:t>
      </w:r>
      <w:r>
        <w:t xml:space="preserve"> </w:t>
      </w:r>
      <w:r>
        <w:t xml:space="preserve">or</w:t>
      </w:r>
      <w:r>
        <w:t xml:space="preserve"> </w:t>
      </w:r>
      <w:r>
        <w:t xml:space="preserve">‘</w:t>
      </w:r>
      <w:r>
        <w:t xml:space="preserve">of beautiful nose,</w:t>
      </w:r>
      <w:r>
        <w:t xml:space="preserve">’</w:t>
      </w:r>
      <w:r>
        <w:t xml:space="preserve"> </w:t>
      </w:r>
      <w:r>
        <w:t xml:space="preserve">for Yāska says</w:t>
      </w:r>
      <w:r>
        <w:t xml:space="preserve"> </w:t>
      </w:r>
      <w:r>
        <w:t xml:space="preserve">‘</w:t>
      </w:r>
      <w:r>
        <w:rPr>
          <w:iCs/>
          <w:i/>
        </w:rPr>
        <w:t xml:space="preserve">śipre</w:t>
      </w:r>
      <w:r>
        <w:t xml:space="preserve"> </w:t>
      </w:r>
      <w:r>
        <w:t xml:space="preserve">means the two jaws or the nose</w:t>
      </w:r>
      <w:r>
        <w:t xml:space="preserve">’</w:t>
      </w:r>
      <w:r>
        <w:t xml:space="preserve"> </w:t>
      </w:r>
      <w:r>
        <w:t xml:space="preserve">(Nirukta 6-17). O such Indra,</w:t>
      </w:r>
      <w:r>
        <w:t xml:space="preserve"> </w:t>
      </w:r>
      <w:r>
        <w:rPr>
          <w:iCs/>
          <w:i/>
        </w:rPr>
        <w:t xml:space="preserve">matsva</w:t>
      </w:r>
      <w:r>
        <w:t xml:space="preserve"> </w:t>
      </w:r>
      <w:r>
        <w:t xml:space="preserve">— be glad, be pleased — with</w:t>
      </w:r>
      <w:r>
        <w:t xml:space="preserve"> </w:t>
      </w:r>
      <w:r>
        <w:rPr>
          <w:iCs/>
          <w:i/>
        </w:rPr>
        <w:t xml:space="preserve">mandibhiḥ stomebhiḥ</w:t>
      </w:r>
      <w:r>
        <w:t xml:space="preserve">, with praises that cause gladness. O</w:t>
      </w:r>
      <w:r>
        <w:t xml:space="preserve"> </w:t>
      </w:r>
      <w:r>
        <w:rPr>
          <w:iCs/>
          <w:i/>
        </w:rPr>
        <w:t xml:space="preserve">viśvacarṣaṇe</w:t>
      </w:r>
      <w:r>
        <w:t xml:space="preserve"> </w:t>
      </w:r>
      <w:r>
        <w:t xml:space="preserve">— joined with all men: worshipped by all sacrificers. O such Indra, in these three pressings that have come in their turn,</w:t>
      </w:r>
      <w:r>
        <w:t xml:space="preserve"> </w:t>
      </w:r>
      <w:r>
        <w:rPr>
          <w:iCs/>
          <w:i/>
        </w:rPr>
        <w:t xml:space="preserve">sacā</w:t>
      </w:r>
      <w:r>
        <w:t xml:space="preserve"> </w:t>
      </w:r>
      <w:r>
        <w:t xml:space="preserve">— together with the other gods — come (this is the supplied verb).</w:t>
      </w:r>
      <w:r>
        <w:t xml:space="preserve"> </w:t>
      </w:r>
      <w:r>
        <w:rPr>
          <w:iCs/>
          <w:i/>
        </w:rPr>
        <w:t xml:space="preserve">(Grammar:</w:t>
      </w:r>
      <w:r>
        <w:t xml:space="preserve"> </w:t>
      </w:r>
      <w:r>
        <w:t xml:space="preserve">mad</w:t>
      </w:r>
      <w:r>
        <w:t xml:space="preserve"> </w:t>
      </w:r>
      <w:r>
        <w:rPr>
          <w:iCs/>
          <w:i/>
        </w:rPr>
        <w:t xml:space="preserve">in the sense of praise, in the imperative: the augment</w:t>
      </w:r>
      <w:r>
        <w:t xml:space="preserve"> </w:t>
      </w:r>
      <w:r>
        <w:t xml:space="preserve">num</w:t>
      </w:r>
      <w:r>
        <w:t xml:space="preserve"> </w:t>
      </w:r>
      <w:r>
        <w:rPr>
          <w:iCs/>
          <w:i/>
        </w:rPr>
        <w:t xml:space="preserve">does not arise here, since it is optional; the verb</w:t>
      </w:r>
      <w:r>
        <w:t xml:space="preserve"> </w:t>
      </w:r>
      <w:r>
        <w:t xml:space="preserve">matsva</w:t>
      </w:r>
      <w:r>
        <w:t xml:space="preserve"> </w:t>
      </w:r>
      <w:r>
        <w:rPr>
          <w:iCs/>
          <w:i/>
        </w:rPr>
        <w:t xml:space="preserve">is unaccented as a finite verb; its accent remains that of the root; in the Saṃhitā the vowel is lengthened by Pā. 6-3-135 [the</w:t>
      </w:r>
      <w:r>
        <w:rPr>
          <w:iCs/>
          <w:i/>
        </w:rPr>
        <w:t xml:space="preserve"> </w:t>
      </w:r>
      <w:r>
        <w:rPr>
          <w:iCs/>
          <w:i/>
        </w:rPr>
        <w:t xml:space="preserve">“</w:t>
      </w:r>
      <w:r>
        <w:rPr>
          <w:iCs/>
          <w:i/>
        </w:rPr>
        <w:t xml:space="preserve">dvyaco ’ta stiṅaḥ</w:t>
      </w:r>
      <w:r>
        <w:rPr>
          <w:iCs/>
          <w:i/>
        </w:rPr>
        <w:t xml:space="preserve">”</w:t>
      </w:r>
      <w:r>
        <w:rPr>
          <w:iCs/>
          <w:i/>
        </w:rPr>
        <w:t xml:space="preserve"> </w:t>
      </w:r>
      <w:r>
        <w:rPr>
          <w:iCs/>
          <w:i/>
        </w:rPr>
        <w:t xml:space="preserve">rule]; the vocative</w:t>
      </w:r>
      <w:r>
        <w:t xml:space="preserve"> </w:t>
      </w:r>
      <w:r>
        <w:t xml:space="preserve">suśipra</w:t>
      </w:r>
      <w:r>
        <w:t xml:space="preserve"> </w:t>
      </w:r>
      <w:r>
        <w:rPr>
          <w:iCs/>
          <w:i/>
        </w:rPr>
        <w:t xml:space="preserve">is unaccented as a vocative within the sentence; the base accent of the stoma-word is initial by the suffix; the Vedic</w:t>
      </w:r>
      <w:r>
        <w:t xml:space="preserve"> </w:t>
      </w:r>
      <w:r>
        <w:t xml:space="preserve">bahulam</w:t>
      </w:r>
      <w:r>
        <w:t xml:space="preserve"> </w:t>
      </w:r>
      <w:r>
        <w:rPr>
          <w:iCs/>
          <w:i/>
        </w:rPr>
        <w:t xml:space="preserve">prevents the replacement of</w:t>
      </w:r>
      <w:r>
        <w:t xml:space="preserve"> </w:t>
      </w:r>
      <w:r>
        <w:t xml:space="preserve">bhis</w:t>
      </w:r>
      <w:r>
        <w:t xml:space="preserve"> </w:t>
      </w:r>
      <w:r>
        <w:rPr>
          <w:iCs/>
          <w:i/>
        </w:rPr>
        <w:t xml:space="preserve">by</w:t>
      </w:r>
      <w:r>
        <w:t xml:space="preserve"> </w:t>
      </w:r>
      <w:r>
        <w:t xml:space="preserve">ais</w:t>
      </w:r>
      <w:r>
        <w:rPr>
          <w:iCs/>
          <w:i/>
        </w:rPr>
        <w:t xml:space="preserve">; the case-ending of</w:t>
      </w:r>
      <w:r>
        <w:t xml:space="preserve"> </w:t>
      </w:r>
      <w:r>
        <w:t xml:space="preserve">eṣu *is udātta by</w:t>
      </w:r>
      <w:r>
        <w:t xml:space="preserve"> </w:t>
      </w:r>
      <w:r>
        <w:t xml:space="preserve">“</w:t>
      </w:r>
      <w:r>
        <w:t xml:space="preserve">ūḍidam-padādy-appum-raidyubhyaḥ.</w:t>
      </w:r>
      <w:r>
        <w:t xml:space="preserve">”</w:t>
      </w:r>
      <w:r>
        <w:t xml:space="preserve">)”</w:t>
      </w:r>
    </w:p>
    <w:bookmarkEnd w:id="380"/>
    <w:bookmarkStart w:id="381" w:name="X57606d333e7a16e775578241e33bf8b6e392469"/>
    <w:p>
      <w:pPr>
        <w:pStyle w:val="Heading3"/>
      </w:pPr>
      <w:r>
        <w:t xml:space="preserve">Page 353 — Rik 3: word-meanings, overall sense, English, Special Topics</w:t>
      </w:r>
    </w:p>
    <w:p>
      <w:pPr>
        <w:pStyle w:val="FirstParagraph"/>
      </w:pPr>
      <w:r>
        <w:rPr>
          <w:iCs/>
          <w:i/>
        </w:rPr>
        <w:t xml:space="preserve">(Page header:</w:t>
      </w:r>
      <w:r>
        <w:rPr>
          <w:iCs/>
          <w:i/>
        </w:rPr>
        <w:t xml:space="preserve"> </w:t>
      </w:r>
      <w:r>
        <w:rPr>
          <w:iCs/>
          <w:i/>
        </w:rPr>
        <w:t xml:space="preserve">“</w:t>
      </w:r>
      <w:r>
        <w:rPr>
          <w:iCs/>
          <w:i/>
        </w:rPr>
        <w:t xml:space="preserve">A. 1, A. 1, Va. 17.</w:t>
      </w:r>
      <w:r>
        <w:rPr>
          <w:iCs/>
          <w:i/>
        </w:rPr>
        <w:t xml:space="preserve">”</w:t>
      </w:r>
      <w:r>
        <w:rPr>
          <w:iCs/>
          <w:i/>
        </w:rPr>
        <w:t xml:space="preserve"> </w:t>
      </w:r>
      <w:r>
        <w:rPr>
          <w:iCs/>
          <w:i/>
        </w:rPr>
        <w:t xml:space="preserve">The top of the page ends the Bhāṣya’s grammar, given under p. 352.)</w:t>
      </w:r>
    </w:p>
    <w:p>
      <w:pPr>
        <w:pStyle w:val="BodyText"/>
      </w:pPr>
      <w:r>
        <w:rPr>
          <w:bCs/>
          <w:b/>
        </w:rPr>
        <w:t xml:space="preserve">॥ Prati-padārthaḥ ॥</w:t>
      </w:r>
    </w:p>
    <w:p>
      <w:pPr>
        <w:pStyle w:val="BodyText"/>
      </w:pPr>
      <w:r>
        <w:rPr>
          <w:bCs/>
          <w:b/>
        </w:rPr>
        <w:t xml:space="preserve">(हे) सुशिप्र ((he) suśipra)</w:t>
      </w:r>
      <w:r>
        <w:t xml:space="preserve"> </w:t>
      </w:r>
      <w:r>
        <w:t xml:space="preserve">— O Indra of beautiful jaws (or nose) |</w:t>
      </w:r>
      <w:r>
        <w:t xml:space="preserve"> </w:t>
      </w:r>
      <w:r>
        <w:rPr>
          <w:bCs/>
          <w:b/>
        </w:rPr>
        <w:t xml:space="preserve">मन्दिभिः (mandibhiḥ)</w:t>
      </w:r>
      <w:r>
        <w:t xml:space="preserve"> </w:t>
      </w:r>
      <w:r>
        <w:t xml:space="preserve">— which cause delight |</w:t>
      </w:r>
      <w:r>
        <w:t xml:space="preserve"> </w:t>
      </w:r>
      <w:r>
        <w:rPr>
          <w:bCs/>
          <w:b/>
        </w:rPr>
        <w:t xml:space="preserve">स्तोमेभिः (stomebhiḥ)</w:t>
      </w:r>
      <w:r>
        <w:t xml:space="preserve"> </w:t>
      </w:r>
      <w:r>
        <w:t xml:space="preserve">— with the praises (that we make) |</w:t>
      </w:r>
      <w:r>
        <w:t xml:space="preserve"> </w:t>
      </w:r>
      <w:r>
        <w:rPr>
          <w:bCs/>
          <w:b/>
        </w:rPr>
        <w:t xml:space="preserve">मत्स्व (matsva)</w:t>
      </w:r>
      <w:r>
        <w:t xml:space="preserve"> </w:t>
      </w:r>
      <w:r>
        <w:t xml:space="preserve">— be glad (be joyful) |</w:t>
      </w:r>
      <w:r>
        <w:t xml:space="preserve"> </w:t>
      </w:r>
      <w:r>
        <w:rPr>
          <w:bCs/>
          <w:b/>
        </w:rPr>
        <w:t xml:space="preserve">(हे) विश्वचर्षणे ((he) viśvacarṣaṇe)</w:t>
      </w:r>
      <w:r>
        <w:t xml:space="preserve"> </w:t>
      </w:r>
      <w:r>
        <w:t xml:space="preserve">— O Indra, accompanied by all men, or honoured by all sacrificers |</w:t>
      </w:r>
      <w:r>
        <w:t xml:space="preserve"> </w:t>
      </w:r>
      <w:r>
        <w:rPr>
          <w:bCs/>
          <w:b/>
        </w:rPr>
        <w:t xml:space="preserve">(त्वम्)</w:t>
      </w:r>
      <w:r>
        <w:t xml:space="preserve"> </w:t>
      </w:r>
      <w:r>
        <w:t xml:space="preserve">— you |</w:t>
      </w:r>
      <w:r>
        <w:t xml:space="preserve"> </w:t>
      </w:r>
      <w:r>
        <w:rPr>
          <w:bCs/>
          <w:b/>
        </w:rPr>
        <w:t xml:space="preserve">एषु सवनेषु (eṣu savaneṣu)</w:t>
      </w:r>
      <w:r>
        <w:t xml:space="preserve"> </w:t>
      </w:r>
      <w:r>
        <w:t xml:space="preserve">— in these three pressings (the morning, midday and third pressings) |</w:t>
      </w:r>
      <w:r>
        <w:t xml:space="preserve"> </w:t>
      </w:r>
      <w:r>
        <w:rPr>
          <w:bCs/>
          <w:b/>
        </w:rPr>
        <w:t xml:space="preserve">सचा (sacā)</w:t>
      </w:r>
      <w:r>
        <w:t xml:space="preserve"> </w:t>
      </w:r>
      <w:r>
        <w:t xml:space="preserve">— together (with the other gods) |</w:t>
      </w:r>
      <w:r>
        <w:t xml:space="preserve"> </w:t>
      </w:r>
      <w:r>
        <w:rPr>
          <w:bCs/>
          <w:b/>
        </w:rPr>
        <w:t xml:space="preserve">आ (gaccha)</w:t>
      </w:r>
      <w:r>
        <w:t xml:space="preserve"> </w:t>
      </w:r>
      <w:r>
        <w:t xml:space="preserve">— come.</w:t>
      </w:r>
    </w:p>
    <w:p>
      <w:pPr>
        <w:pStyle w:val="BodyText"/>
      </w:pPr>
      <w:r>
        <w:rPr>
          <w:bCs/>
          <w:b/>
        </w:rPr>
        <w:t xml:space="preserve">॥ Bhāvārthaḥ ॥</w:t>
      </w:r>
    </w:p>
    <w:p>
      <w:pPr>
        <w:pStyle w:val="BodyText"/>
      </w:pPr>
      <w:r>
        <w:t xml:space="preserve">O Indra! Your jaws (or nose) are most handsome. Such as you are, be satisfied with the praises we make. O you who are honoured by all men and sacrificers, come together with the other gods to the three pressings of the sacrifice — the morning, midday and third pressings (</w:t>
      </w:r>
      <w:r>
        <w:rPr>
          <w:iCs/>
          <w:i/>
        </w:rPr>
        <w:t xml:space="preserve">savana</w:t>
      </w:r>
      <w:r>
        <w:t xml:space="preserve"> </w:t>
      </w:r>
      <w:r>
        <w:t xml:space="preserve">is the special rite of pressing the Soma-juice and preparing it) — to this sacrificial ground where we are performing the rite.</w:t>
      </w:r>
    </w:p>
    <w:p>
      <w:pPr>
        <w:pStyle w:val="BodyText"/>
      </w:pPr>
      <w:r>
        <w:rPr>
          <w:bCs/>
          <w:b/>
        </w:rPr>
        <w:t xml:space="preserve">॥ English Translation ॥</w:t>
      </w:r>
      <w:r>
        <w:t xml:space="preserve"> </w:t>
      </w:r>
      <w:r>
        <w:rPr>
          <w:iCs/>
          <w:i/>
        </w:rPr>
        <w:t xml:space="preserve">(as printed in the source)</w:t>
      </w:r>
    </w:p>
    <w:p>
      <w:pPr>
        <w:pStyle w:val="BlockText"/>
      </w:pPr>
      <w:r>
        <w:t xml:space="preserve">O Indra, with the handsome chin (or nose) be pleased with these pleasing praises; you who are honoured by all men come to these rites (with the gods).</w:t>
      </w:r>
    </w:p>
    <w:p>
      <w:pPr>
        <w:pStyle w:val="FirstParagraph"/>
      </w:pPr>
      <w:r>
        <w:rPr>
          <w:bCs/>
          <w:b/>
        </w:rPr>
        <w:t xml:space="preserve">॥ Viśeṣa-viṣayagaḷu (Special Topics) ॥</w:t>
      </w:r>
    </w:p>
    <w:p>
      <w:pPr>
        <w:pStyle w:val="BodyText"/>
      </w:pPr>
      <w:r>
        <w:rPr>
          <w:bCs/>
          <w:b/>
        </w:rPr>
        <w:t xml:space="preserve">“</w:t>
      </w:r>
      <w:r>
        <w:rPr>
          <w:bCs/>
          <w:b/>
        </w:rPr>
        <w:t xml:space="preserve">Matsva</w:t>
      </w:r>
      <w:r>
        <w:rPr>
          <w:bCs/>
          <w:b/>
        </w:rPr>
        <w:t xml:space="preserve">”</w:t>
      </w:r>
      <w:r>
        <w:t xml:space="preserve"> </w:t>
      </w:r>
      <w:r>
        <w:t xml:space="preserve">— the syllable</w:t>
      </w:r>
      <w:r>
        <w:t xml:space="preserve"> </w:t>
      </w:r>
      <w:r>
        <w:rPr>
          <w:iCs/>
          <w:i/>
        </w:rPr>
        <w:t xml:space="preserve">tsva</w:t>
      </w:r>
      <w:r>
        <w:t xml:space="preserve"> </w:t>
      </w:r>
      <w:r>
        <w:t xml:space="preserve">is lengthened for the convenience of the meter.</w:t>
      </w:r>
    </w:p>
    <w:p>
      <w:pPr>
        <w:pStyle w:val="BodyText"/>
      </w:pPr>
      <w:r>
        <w:rPr>
          <w:bCs/>
          <w:b/>
        </w:rPr>
        <w:t xml:space="preserve">“</w:t>
      </w:r>
      <w:r>
        <w:rPr>
          <w:bCs/>
          <w:b/>
        </w:rPr>
        <w:t xml:space="preserve">Suśipra</w:t>
      </w:r>
      <w:r>
        <w:rPr>
          <w:bCs/>
          <w:b/>
        </w:rPr>
        <w:t xml:space="preserve">”</w:t>
      </w:r>
      <w:r>
        <w:t xml:space="preserve"> </w:t>
      </w:r>
      <w:r>
        <w:t xml:space="preserve">— Yāska explains this word in the Nirukta:</w:t>
      </w:r>
      <w:r>
        <w:t xml:space="preserve"> </w:t>
      </w:r>
      <w:r>
        <w:rPr>
          <w:iCs/>
          <w:i/>
          <w:bCs/>
          <w:b/>
        </w:rPr>
        <w:t xml:space="preserve">suśiprametena vyākhyātam | vāje suśipra gomat</w:t>
      </w:r>
      <w:r>
        <w:t xml:space="preserve"> </w:t>
      </w:r>
      <w:r>
        <w:t xml:space="preserve">(Ṛgveda Saṃhitā 8-21-8)</w:t>
      </w:r>
      <w:r>
        <w:t xml:space="preserve"> </w:t>
      </w:r>
      <w:r>
        <w:rPr>
          <w:iCs/>
          <w:i/>
        </w:rPr>
        <w:t xml:space="preserve">ity api nigamo bhavati | śipre hanū nāsike vā | hanur hanteḥ</w:t>
      </w:r>
      <w:r>
        <w:t xml:space="preserve"> </w:t>
      </w:r>
      <w:r>
        <w:t xml:space="preserve">—</w:t>
      </w:r>
      <w:r>
        <w:t xml:space="preserve"> </w:t>
      </w:r>
      <w:r>
        <w:t xml:space="preserve">“</w:t>
      </w:r>
      <w:r>
        <w:rPr>
          <w:iCs/>
          <w:i/>
        </w:rPr>
        <w:t xml:space="preserve">suśipra</w:t>
      </w:r>
      <w:r>
        <w:t xml:space="preserve"> </w:t>
      </w:r>
      <w:r>
        <w:t xml:space="preserve">is explained by this [the preceding]: there is also a Vedic passage,</w:t>
      </w:r>
      <w:r>
        <w:t xml:space="preserve"> </w:t>
      </w:r>
      <w:r>
        <w:t xml:space="preserve">‘</w:t>
      </w:r>
      <w:r>
        <w:t xml:space="preserve">in the contest, O suśipra, rich in cows</w:t>
      </w:r>
      <w:r>
        <w:t xml:space="preserve">’</w:t>
      </w:r>
      <w:r>
        <w:t xml:space="preserve">;</w:t>
      </w:r>
      <w:r>
        <w:t xml:space="preserve"> </w:t>
      </w:r>
      <w:r>
        <w:rPr>
          <w:iCs/>
          <w:i/>
        </w:rPr>
        <w:t xml:space="preserve">śipre</w:t>
      </w:r>
      <w:r>
        <w:t xml:space="preserve"> </w:t>
      </w:r>
      <w:r>
        <w:t xml:space="preserve">are the two jaws or the nose; the jaw (</w:t>
      </w:r>
      <w:r>
        <w:rPr>
          <w:iCs/>
          <w:i/>
        </w:rPr>
        <w:t xml:space="preserve">hanu</w:t>
      </w:r>
      <w:r>
        <w:t xml:space="preserve">) is from the root</w:t>
      </w:r>
      <w:r>
        <w:t xml:space="preserve"> </w:t>
      </w:r>
      <w:r>
        <w:rPr>
          <w:iCs/>
          <w:i/>
        </w:rPr>
        <w:t xml:space="preserve">han</w:t>
      </w:r>
      <w:r>
        <w:t xml:space="preserve">…</w:t>
      </w:r>
      <w:r>
        <w:t xml:space="preserve">”</w:t>
      </w:r>
      <w:r>
        <w:t xml:space="preserve"> </w:t>
      </w:r>
      <w:r>
        <w:rPr>
          <w:iCs/>
          <w:i/>
        </w:rPr>
        <w:t xml:space="preserve">(The text breaks off at the page foot; it continues on p. 354.)</w:t>
      </w:r>
    </w:p>
    <w:bookmarkEnd w:id="381"/>
    <w:bookmarkStart w:id="382" w:name="Xd7811a776510a3325bd9427067c8a55fcc04e56"/>
    <w:p>
      <w:pPr>
        <w:pStyle w:val="Heading3"/>
      </w:pPr>
      <w:r>
        <w:t xml:space="preserve">Pages 354–355 — Rik 3 Special Topics and grammar close; Rik 4</w:t>
      </w:r>
    </w:p>
    <w:p>
      <w:pPr>
        <w:pStyle w:val="FirstParagraph"/>
      </w:pPr>
      <w:r>
        <w:rPr>
          <w:bCs/>
          <w:b/>
        </w:rPr>
        <w:t xml:space="preserve">॥ Special Topics (continued, p. 354) ॥</w:t>
      </w:r>
    </w:p>
    <w:p>
      <w:pPr>
        <w:pStyle w:val="BodyText"/>
      </w:pPr>
      <w:r>
        <w:rPr>
          <w:iCs/>
          <w:i/>
        </w:rPr>
        <w:t xml:space="preserve">(Continuing Yāska on</w:t>
      </w:r>
      <w:r>
        <w:t xml:space="preserve"> </w:t>
      </w:r>
      <w:r>
        <w:t xml:space="preserve">suśipra</w:t>
      </w:r>
      <w:r>
        <w:rPr>
          <w:iCs/>
          <w:i/>
        </w:rPr>
        <w:t xml:space="preserve">:)</w:t>
      </w:r>
      <w:r>
        <w:t xml:space="preserve"> </w:t>
      </w:r>
      <w:r>
        <w:rPr>
          <w:bCs/>
          <w:b/>
        </w:rPr>
        <w:t xml:space="preserve">नासिका नसतेः । विष्यस्व शिप्रे विसृजस्व धेने</w:t>
      </w:r>
      <w:r>
        <w:t xml:space="preserve"> </w:t>
      </w:r>
      <w:r>
        <w:t xml:space="preserve">(</w:t>
      </w:r>
      <w:r>
        <w:rPr>
          <w:iCs/>
          <w:i/>
        </w:rPr>
        <w:t xml:space="preserve">nāsikā nasateḥ | viṣyasva śipre visṛjasva dhene</w:t>
      </w:r>
      <w:r>
        <w:t xml:space="preserve">, Ṛ. Saṃ. 1-101-10)</w:t>
      </w:r>
      <w:r>
        <w:t xml:space="preserve"> </w:t>
      </w:r>
      <w:r>
        <w:rPr>
          <w:iCs/>
          <w:i/>
        </w:rPr>
        <w:t xml:space="preserve">ity api nigamo bhavati</w:t>
      </w:r>
      <w:r>
        <w:t xml:space="preserve"> </w:t>
      </w:r>
      <w:r>
        <w:t xml:space="preserve">(Ni. 6-17) —</w:t>
      </w:r>
      <w:r>
        <w:t xml:space="preserve"> </w:t>
      </w:r>
      <w:r>
        <w:t xml:space="preserve">“</w:t>
      </w:r>
      <w:r>
        <w:rPr>
          <w:iCs/>
          <w:i/>
        </w:rPr>
        <w:t xml:space="preserve">nāsikā</w:t>
      </w:r>
      <w:r>
        <w:t xml:space="preserve"> </w:t>
      </w:r>
      <w:r>
        <w:t xml:space="preserve">is from</w:t>
      </w:r>
      <w:r>
        <w:t xml:space="preserve"> </w:t>
      </w:r>
      <w:r>
        <w:rPr>
          <w:iCs/>
          <w:i/>
        </w:rPr>
        <w:t xml:space="preserve">nasate</w:t>
      </w:r>
      <w:r>
        <w:t xml:space="preserve">;</w:t>
      </w:r>
      <w:r>
        <w:t xml:space="preserve"> </w:t>
      </w:r>
      <w:r>
        <w:t xml:space="preserve">‘</w:t>
      </w:r>
      <w:r>
        <w:t xml:space="preserve">loosen, O you of the</w:t>
      </w:r>
      <w:r>
        <w:t xml:space="preserve"> </w:t>
      </w:r>
      <w:r>
        <w:rPr>
          <w:iCs/>
          <w:i/>
        </w:rPr>
        <w:t xml:space="preserve">śipras</w:t>
      </w:r>
      <w:r>
        <w:t xml:space="preserve">, let loose the</w:t>
      </w:r>
      <w:r>
        <w:t xml:space="preserve"> </w:t>
      </w:r>
      <w:r>
        <w:rPr>
          <w:iCs/>
          <w:i/>
        </w:rPr>
        <w:t xml:space="preserve">dhenās</w:t>
      </w:r>
      <w:r>
        <w:t xml:space="preserve">’</w:t>
      </w:r>
      <w:r>
        <w:t xml:space="preserve"> </w:t>
      </w:r>
      <w:r>
        <w:t xml:space="preserve">— this too is a Vedic text.</w:t>
      </w:r>
      <w:r>
        <w:t xml:space="preserve">”</w:t>
      </w:r>
      <w:r>
        <w:t xml:space="preserve"> </w:t>
      </w:r>
      <w:r>
        <w:t xml:space="preserve">So</w:t>
      </w:r>
      <w:r>
        <w:t xml:space="preserve"> </w:t>
      </w:r>
      <w:r>
        <w:rPr>
          <w:iCs/>
          <w:i/>
        </w:rPr>
        <w:t xml:space="preserve">śipra</w:t>
      </w:r>
      <w:r>
        <w:t xml:space="preserve"> </w:t>
      </w:r>
      <w:r>
        <w:t xml:space="preserve">means the jaw (</w:t>
      </w:r>
      <w:r>
        <w:rPr>
          <w:iCs/>
          <w:i/>
        </w:rPr>
        <w:t xml:space="preserve">hanu</w:t>
      </w:r>
      <w:r>
        <w:t xml:space="preserve">) or the nose; Yāska explains it citing two riks of the Ṛgveda. The commentator on the Nirukta too says:</w:t>
      </w:r>
      <w:r>
        <w:t xml:space="preserve"> </w:t>
      </w:r>
      <w:r>
        <w:rPr>
          <w:bCs/>
          <w:b/>
        </w:rPr>
        <w:t xml:space="preserve">शिप्रे हनू नासिके वा । ते यस्य प्रशस्ते स शिप्रः</w:t>
      </w:r>
      <w:r>
        <w:t xml:space="preserve"> </w:t>
      </w:r>
      <w:r>
        <w:t xml:space="preserve">(</w:t>
      </w:r>
      <w:r>
        <w:rPr>
          <w:iCs/>
          <w:i/>
        </w:rPr>
        <w:t xml:space="preserve">śipre hanū nāsike vā | te yasya praśaste sa śipraḥ</w:t>
      </w:r>
      <w:r>
        <w:t xml:space="preserve">) —</w:t>
      </w:r>
      <w:r>
        <w:t xml:space="preserve"> </w:t>
      </w:r>
      <w:r>
        <w:t xml:space="preserve">“</w:t>
      </w:r>
      <w:r>
        <w:rPr>
          <w:iCs/>
          <w:i/>
        </w:rPr>
        <w:t xml:space="preserve">śipre</w:t>
      </w:r>
      <w:r>
        <w:t xml:space="preserve"> </w:t>
      </w:r>
      <w:r>
        <w:t xml:space="preserve">are the two jaws or the nose; he whose [jaws/nose] are praiseworthy is</w:t>
      </w:r>
      <w:r>
        <w:t xml:space="preserve"> </w:t>
      </w:r>
      <w:r>
        <w:rPr>
          <w:iCs/>
          <w:i/>
        </w:rPr>
        <w:t xml:space="preserve">śipra</w:t>
      </w:r>
      <w:r>
        <w:t xml:space="preserve">”</w:t>
      </w:r>
      <w:r>
        <w:t xml:space="preserve">; one who has them is called</w:t>
      </w:r>
      <w:r>
        <w:t xml:space="preserve"> </w:t>
      </w:r>
      <w:r>
        <w:rPr>
          <w:iCs/>
          <w:i/>
        </w:rPr>
        <w:t xml:space="preserve">śiprin</w:t>
      </w:r>
      <w:r>
        <w:t xml:space="preserve">. In the Ṛk Ṛ. Saṃ. 1-29-2 —</w:t>
      </w:r>
    </w:p>
    <w:p>
      <w:pPr>
        <w:pStyle w:val="BlockText"/>
      </w:pPr>
      <w:r>
        <w:t xml:space="preserve">शिप्रिन्वाजानां पते शचीवस्तव दंसना ॥</w:t>
      </w:r>
      <w:r>
        <w:t xml:space="preserve"> </w:t>
      </w:r>
      <w:r>
        <w:rPr>
          <w:iCs/>
          <w:i/>
        </w:rPr>
        <w:t xml:space="preserve">śiprin vājānāṃ pate śacīvas tava daṃsanā ||</w:t>
      </w:r>
      <w:r>
        <w:t xml:space="preserve"> </w:t>
      </w:r>
      <w:r>
        <w:t xml:space="preserve">(Ṛ. Saṃ. 1-29-2)</w:t>
      </w:r>
    </w:p>
    <w:p>
      <w:pPr>
        <w:pStyle w:val="FirstParagraph"/>
      </w:pPr>
      <w:r>
        <w:t xml:space="preserve">— the Bhāṣyakāra gives this same sense. Since Yāska himself has explained the word plainly, there is no room for doubt about its meaning.</w:t>
      </w:r>
    </w:p>
    <w:p>
      <w:pPr>
        <w:pStyle w:val="BodyText"/>
      </w:pPr>
      <w:r>
        <w:rPr>
          <w:bCs/>
          <w:b/>
        </w:rPr>
        <w:t xml:space="preserve">Occurrences.</w:t>
      </w:r>
      <w:r>
        <w:t xml:space="preserve"> </w:t>
      </w:r>
      <w:r>
        <w:t xml:space="preserve">The word</w:t>
      </w:r>
      <w:r>
        <w:t xml:space="preserve"> </w:t>
      </w:r>
      <w:r>
        <w:rPr>
          <w:iCs/>
          <w:i/>
        </w:rPr>
        <w:t xml:space="preserve">suśipra</w:t>
      </w:r>
      <w:r>
        <w:t xml:space="preserve"> </w:t>
      </w:r>
      <w:r>
        <w:t xml:space="preserve">occurs, besides this Ṛk, at Ṛ. Saṃ. 1-101-10; 3-32-3; 3-50-2; 5-22-4; 5-36-5; 6-46-5; 7-24-4; 8-21-8; 8-69-16; 8-93-12; 8-99-7; other case-forms:</w:t>
      </w:r>
      <w:r>
        <w:t xml:space="preserve"> </w:t>
      </w:r>
      <w:r>
        <w:rPr>
          <w:iCs/>
          <w:i/>
        </w:rPr>
        <w:t xml:space="preserve">suśipraḥ</w:t>
      </w:r>
      <w:r>
        <w:t xml:space="preserve"> </w:t>
      </w:r>
      <w:r>
        <w:t xml:space="preserve">at Ṛ. Saṃ. 2-3-5; 3-30-3; 2-12-6; 8-66-4; 10-96-3;</w:t>
      </w:r>
      <w:r>
        <w:t xml:space="preserve"> </w:t>
      </w:r>
      <w:r>
        <w:rPr>
          <w:iCs/>
          <w:i/>
        </w:rPr>
        <w:t xml:space="preserve">suśiprāḥ</w:t>
      </w:r>
      <w:r>
        <w:t xml:space="preserve"> </w:t>
      </w:r>
      <w:r>
        <w:t xml:space="preserve">at Ṛ. Saṃ. 7-37-1;</w:t>
      </w:r>
      <w:r>
        <w:t xml:space="preserve"> </w:t>
      </w:r>
      <w:r>
        <w:rPr>
          <w:iCs/>
          <w:i/>
        </w:rPr>
        <w:t xml:space="preserve">suśipram</w:t>
      </w:r>
      <w:r>
        <w:t xml:space="preserve"> </w:t>
      </w:r>
      <w:r>
        <w:t xml:space="preserve">at Ṛ. Saṃ. 8-32-4; 8-66-2.</w:t>
      </w:r>
    </w:p>
    <w:p>
      <w:pPr>
        <w:pStyle w:val="BodyText"/>
      </w:pPr>
      <w:r>
        <w:rPr>
          <w:bCs/>
          <w:b/>
        </w:rPr>
        <w:t xml:space="preserve">“</w:t>
      </w:r>
      <w:r>
        <w:rPr>
          <w:bCs/>
          <w:b/>
        </w:rPr>
        <w:t xml:space="preserve">Viśvacarṣaṇe</w:t>
      </w:r>
      <w:r>
        <w:rPr>
          <w:bCs/>
          <w:b/>
        </w:rPr>
        <w:t xml:space="preserve">”</w:t>
      </w:r>
      <w:r>
        <w:t xml:space="preserve"> </w:t>
      </w:r>
      <w:r>
        <w:t xml:space="preserve">—</w:t>
      </w:r>
      <w:r>
        <w:t xml:space="preserve"> </w:t>
      </w:r>
      <w:r>
        <w:rPr>
          <w:bCs/>
          <w:b/>
        </w:rPr>
        <w:t xml:space="preserve">सर्वमनुष्ययुक्त । सर्वैर्यजमानैः पूज्येत्यर्थः</w:t>
      </w:r>
      <w:r>
        <w:t xml:space="preserve"> </w:t>
      </w:r>
      <w:r>
        <w:t xml:space="preserve">(</w:t>
      </w:r>
      <w:r>
        <w:rPr>
          <w:iCs/>
          <w:i/>
        </w:rPr>
        <w:t xml:space="preserve">sarva-manuṣya-yukta | sarvair yajamānaiḥ pūjyety arthaḥ</w:t>
      </w:r>
      <w:r>
        <w:t xml:space="preserve">) —</w:t>
      </w:r>
      <w:r>
        <w:t xml:space="preserve"> </w:t>
      </w:r>
      <w:r>
        <w:t xml:space="preserve">“</w:t>
      </w:r>
      <w:r>
        <w:t xml:space="preserve">joined with all men; worshipped by all sacrificers.</w:t>
      </w:r>
      <w:r>
        <w:t xml:space="preserve">”</w:t>
      </w:r>
      <w:r>
        <w:t xml:space="preserve"> </w:t>
      </w:r>
      <w:r>
        <w:t xml:space="preserve">Since</w:t>
      </w:r>
      <w:r>
        <w:t xml:space="preserve"> </w:t>
      </w:r>
      <w:r>
        <w:rPr>
          <w:iCs/>
          <w:i/>
        </w:rPr>
        <w:t xml:space="preserve">carṣaṇi</w:t>
      </w:r>
      <w:r>
        <w:t xml:space="preserve"> </w:t>
      </w:r>
      <w:r>
        <w:t xml:space="preserve">means</w:t>
      </w:r>
      <w:r>
        <w:t xml:space="preserve"> </w:t>
      </w:r>
      <w:r>
        <w:t xml:space="preserve">“</w:t>
      </w:r>
      <w:r>
        <w:t xml:space="preserve">man,</w:t>
      </w:r>
      <w:r>
        <w:t xml:space="preserve">”</w:t>
      </w:r>
      <w:r>
        <w:t xml:space="preserve"> </w:t>
      </w:r>
      <w:r>
        <w:rPr>
          <w:iCs/>
          <w:i/>
        </w:rPr>
        <w:t xml:space="preserve">viśvacarṣaṇe</w:t>
      </w:r>
      <w:r>
        <w:t xml:space="preserve"> </w:t>
      </w:r>
      <w:r>
        <w:t xml:space="preserve">— joined with all men, or worshipped by all men (sacrificers and others) — is the Bhāṣyakāra’s explanation. Skandasvāmī, taking</w:t>
      </w:r>
      <w:r>
        <w:t xml:space="preserve"> </w:t>
      </w:r>
      <w:r>
        <w:rPr>
          <w:iCs/>
          <w:i/>
        </w:rPr>
        <w:t xml:space="preserve">carṣaṇi</w:t>
      </w:r>
      <w:r>
        <w:t xml:space="preserve"> </w:t>
      </w:r>
      <w:r>
        <w:t xml:space="preserve">as a verb of seeing (</w:t>
      </w:r>
      <w:r>
        <w:rPr>
          <w:iCs/>
          <w:i/>
        </w:rPr>
        <w:t xml:space="preserve">paśyatikarma</w:t>
      </w:r>
      <w:r>
        <w:t xml:space="preserve">), explains it as</w:t>
      </w:r>
      <w:r>
        <w:t xml:space="preserve"> </w:t>
      </w:r>
      <w:r>
        <w:t xml:space="preserve">“</w:t>
      </w:r>
      <w:r>
        <w:t xml:space="preserve">one who is looked upon by all men.</w:t>
      </w:r>
      <w:r>
        <w:t xml:space="preserve">”</w:t>
      </w:r>
      <w:r>
        <w:t xml:space="preserve"> </w:t>
      </w:r>
      <w:r>
        <w:t xml:space="preserve">The word</w:t>
      </w:r>
      <w:r>
        <w:t xml:space="preserve"> </w:t>
      </w:r>
      <w:r>
        <w:rPr>
          <w:iCs/>
          <w:i/>
        </w:rPr>
        <w:t xml:space="preserve">viśvacarṣaṇe</w:t>
      </w:r>
      <w:r>
        <w:t xml:space="preserve"> </w:t>
      </w:r>
      <w:r>
        <w:t xml:space="preserve">occurs at Ṛ. Saṃ. 1-9-3; 5-38-1; 8-23-2; 9-66-1; 10-50-4;</w:t>
      </w:r>
      <w:r>
        <w:t xml:space="preserve"> </w:t>
      </w:r>
      <w:r>
        <w:rPr>
          <w:iCs/>
          <w:i/>
        </w:rPr>
        <w:t xml:space="preserve">viśvacarṣaṇi</w:t>
      </w:r>
      <w:r>
        <w:t xml:space="preserve"> </w:t>
      </w:r>
      <w:r>
        <w:t xml:space="preserve">at Ṛ. Saṃ. 10-93-10;</w:t>
      </w:r>
      <w:r>
        <w:t xml:space="preserve"> </w:t>
      </w:r>
      <w:r>
        <w:rPr>
          <w:iCs/>
          <w:i/>
        </w:rPr>
        <w:t xml:space="preserve">viśvacarṣaṇiḥ</w:t>
      </w:r>
      <w:r>
        <w:t xml:space="preserve"> </w:t>
      </w:r>
      <w:r>
        <w:t xml:space="preserve">at Ṛ. Saṃ. 1-27-9 [?]; 2-31-3; 5-6-3; 5-23-4; 6-2-2; 9-1-2; 10-83-4; and</w:t>
      </w:r>
      <w:r>
        <w:t xml:space="preserve"> </w:t>
      </w:r>
      <w:r>
        <w:rPr>
          <w:iCs/>
          <w:i/>
        </w:rPr>
        <w:t xml:space="preserve">viśvacarṣaṇim</w:t>
      </w:r>
      <w:r>
        <w:t xml:space="preserve"> </w:t>
      </w:r>
      <w:r>
        <w:t xml:space="preserve">at Ṛ. Saṃ. 1-64-14; 3-2-15; 5-14-6; 6-44-4; 8-53-6.</w:t>
      </w:r>
    </w:p>
    <w:p>
      <w:pPr>
        <w:pStyle w:val="BodyText"/>
      </w:pPr>
      <w:r>
        <w:rPr>
          <w:bCs/>
          <w:b/>
        </w:rPr>
        <w:t xml:space="preserve">“</w:t>
      </w:r>
      <w:r>
        <w:rPr>
          <w:bCs/>
          <w:b/>
        </w:rPr>
        <w:t xml:space="preserve">Ā</w:t>
      </w:r>
      <w:r>
        <w:rPr>
          <w:bCs/>
          <w:b/>
        </w:rPr>
        <w:t xml:space="preserve">”</w:t>
      </w:r>
      <w:r>
        <w:t xml:space="preserve"> </w:t>
      </w:r>
      <w:r>
        <w:t xml:space="preserve">— in this rik</w:t>
      </w:r>
      <w:r>
        <w:t xml:space="preserve"> </w:t>
      </w:r>
      <w:r>
        <w:rPr>
          <w:iCs/>
          <w:i/>
        </w:rPr>
        <w:t xml:space="preserve">ā</w:t>
      </w:r>
      <w:r>
        <w:t xml:space="preserve"> </w:t>
      </w:r>
      <w:r>
        <w:t xml:space="preserve">is only an upasarga. The Bhāṣyakāra says the verb</w:t>
      </w:r>
      <w:r>
        <w:t xml:space="preserve"> </w:t>
      </w:r>
      <w:r>
        <w:rPr>
          <w:iCs/>
          <w:i/>
        </w:rPr>
        <w:t xml:space="preserve">gaccha</w:t>
      </w:r>
      <w:r>
        <w:t xml:space="preserve"> </w:t>
      </w:r>
      <w:r>
        <w:t xml:space="preserve">(</w:t>
      </w:r>
      <w:r>
        <w:t xml:space="preserve">“</w:t>
      </w:r>
      <w:r>
        <w:t xml:space="preserve">come</w:t>
      </w:r>
      <w:r>
        <w:t xml:space="preserve">”</w:t>
      </w:r>
      <w:r>
        <w:t xml:space="preserve">) is to be supplied with it.</w:t>
      </w:r>
    </w:p>
    <w:p>
      <w:pPr>
        <w:pStyle w:val="BodyText"/>
      </w:pPr>
      <w:r>
        <w:rPr>
          <w:bCs/>
          <w:b/>
        </w:rPr>
        <w:t xml:space="preserve">॥ Vyākaraṇa-prakriyā ॥</w:t>
      </w:r>
      <w:r>
        <w:t xml:space="preserve"> </w:t>
      </w:r>
      <w:r>
        <w:rPr>
          <w:iCs/>
          <w:i/>
        </w:rPr>
        <w:t xml:space="preserve">(pp. 354–355, Kannada; page header p. 355</w:t>
      </w:r>
      <w:r>
        <w:rPr>
          <w:iCs/>
          <w:i/>
        </w:rPr>
        <w:t xml:space="preserve"> </w:t>
      </w:r>
      <w:r>
        <w:rPr>
          <w:iCs/>
          <w:i/>
        </w:rPr>
        <w:t xml:space="preserve">“</w:t>
      </w:r>
      <w:r>
        <w:rPr>
          <w:iCs/>
          <w:i/>
        </w:rPr>
        <w:t xml:space="preserve">A. 1, A. 1, Va. 17</w:t>
      </w:r>
      <w:r>
        <w:rPr>
          <w:iCs/>
          <w:i/>
        </w:rPr>
        <w:t xml:space="preserve">”</w:t>
      </w:r>
      <w:r>
        <w:rPr>
          <w:iCs/>
          <w:i/>
        </w:rPr>
        <w:t xml:space="preserve">; numbers as printed)</w:t>
      </w:r>
    </w:p>
    <w:p>
      <w:pPr>
        <w:pStyle w:val="BodyText"/>
      </w:pPr>
      <w:r>
        <w:rPr>
          <w:bCs/>
          <w:b/>
        </w:rPr>
        <w:t xml:space="preserve">मत्स्व</w:t>
      </w:r>
      <w:r>
        <w:t xml:space="preserve"> </w:t>
      </w:r>
      <w:r>
        <w:t xml:space="preserve">—</w:t>
      </w:r>
      <w:r>
        <w:t xml:space="preserve"> </w:t>
      </w:r>
      <w:r>
        <w:t xml:space="preserve">“</w:t>
      </w:r>
      <w:r>
        <w:t xml:space="preserve">madi stuti-moda-mada-svapna-kānti-gatiṣu,</w:t>
      </w:r>
      <w:r>
        <w:t xml:space="preserve">”</w:t>
      </w:r>
      <w:r>
        <w:t xml:space="preserve"> </w:t>
      </w:r>
      <w:r>
        <w:t xml:space="preserve">“</w:t>
      </w:r>
      <w:r>
        <w:t xml:space="preserve">loṭ,</w:t>
      </w:r>
      <w:r>
        <w:t xml:space="preserve">”</w:t>
      </w:r>
      <w:r>
        <w:t xml:space="preserve"> </w:t>
      </w:r>
      <w:r>
        <w:t xml:space="preserve">ātmanepada second singular</w:t>
      </w:r>
      <w:r>
        <w:t xml:space="preserve"> </w:t>
      </w:r>
      <w:r>
        <w:t xml:space="preserve">“</w:t>
      </w:r>
      <w:r>
        <w:t xml:space="preserve">thās</w:t>
      </w:r>
      <w:r>
        <w:t xml:space="preserve">”</w:t>
      </w:r>
      <w:r>
        <w:t xml:space="preserve">:</w:t>
      </w:r>
      <w:r>
        <w:t xml:space="preserve"> </w:t>
      </w:r>
      <w:r>
        <w:t xml:space="preserve">“</w:t>
      </w:r>
      <w:r>
        <w:t xml:space="preserve">mad + thās</w:t>
      </w:r>
      <w:r>
        <w:t xml:space="preserve">”</w:t>
      </w:r>
      <w:r>
        <w:t xml:space="preserve">; though the root is</w:t>
      </w:r>
      <w:r>
        <w:t xml:space="preserve"> </w:t>
      </w:r>
      <w:r>
        <w:t xml:space="preserve">“</w:t>
      </w:r>
      <w:r>
        <w:t xml:space="preserve">i</w:t>
      </w:r>
      <w:r>
        <w:t xml:space="preserve">”</w:t>
      </w:r>
      <w:r>
        <w:t xml:space="preserve">-marked, by</w:t>
      </w:r>
      <w:r>
        <w:t xml:space="preserve"> </w:t>
      </w:r>
      <w:r>
        <w:rPr>
          <w:bCs/>
          <w:b/>
        </w:rPr>
        <w:t xml:space="preserve">आगमशास्त्रमनित्यम्</w:t>
      </w:r>
      <w:r>
        <w:t xml:space="preserve"> </w:t>
      </w:r>
      <w:r>
        <w:t xml:space="preserve">(अनित्यमागमशासनम्, परि. भा. ९३-२) the augment rule is anitya, so the</w:t>
      </w:r>
      <w:r>
        <w:t xml:space="preserve"> </w:t>
      </w:r>
      <w:r>
        <w:t xml:space="preserve">“</w:t>
      </w:r>
      <w:r>
        <w:t xml:space="preserve">num</w:t>
      </w:r>
      <w:r>
        <w:t xml:space="preserve">”</w:t>
      </w:r>
      <w:r>
        <w:t xml:space="preserve"> </w:t>
      </w:r>
      <w:r>
        <w:t xml:space="preserve">of</w:t>
      </w:r>
      <w:r>
        <w:t xml:space="preserve"> </w:t>
      </w:r>
      <w:r>
        <w:rPr>
          <w:bCs/>
          <w:b/>
        </w:rPr>
        <w:t xml:space="preserve">इदितो नुम् धातोः</w:t>
      </w:r>
      <w:r>
        <w:t xml:space="preserve"> </w:t>
      </w:r>
      <w:r>
        <w:t xml:space="preserve">(पा. सू. ७-१-५८) (p. 355) does not come;</w:t>
      </w:r>
      <w:r>
        <w:t xml:space="preserve"> </w:t>
      </w:r>
      <w:r>
        <w:t xml:space="preserve">“</w:t>
      </w:r>
      <w:r>
        <w:t xml:space="preserve">śap</w:t>
      </w:r>
      <w:r>
        <w:t xml:space="preserve">”</w:t>
      </w:r>
      <w:r>
        <w:t xml:space="preserve"> </w:t>
      </w:r>
      <w:r>
        <w:t xml:space="preserve">elided by</w:t>
      </w:r>
      <w:r>
        <w:t xml:space="preserve"> </w:t>
      </w:r>
      <w:r>
        <w:rPr>
          <w:bCs/>
          <w:b/>
        </w:rPr>
        <w:t xml:space="preserve">बहुलं छन्दसि</w:t>
      </w:r>
      <w:r>
        <w:t xml:space="preserve"> </w:t>
      </w:r>
      <w:r>
        <w:t xml:space="preserve">(पा. सू. २-४-७३);</w:t>
      </w:r>
      <w:r>
        <w:t xml:space="preserve"> </w:t>
      </w:r>
      <w:r>
        <w:rPr>
          <w:bCs/>
          <w:b/>
        </w:rPr>
        <w:t xml:space="preserve">थासः से</w:t>
      </w:r>
      <w:r>
        <w:t xml:space="preserve"> </w:t>
      </w:r>
      <w:r>
        <w:t xml:space="preserve">(पा. सू. ३-४-८०)</w:t>
      </w:r>
      <w:r>
        <w:t xml:space="preserve"> </w:t>
      </w:r>
      <w:r>
        <w:t xml:space="preserve">“</w:t>
      </w:r>
      <w:r>
        <w:t xml:space="preserve">se</w:t>
      </w:r>
      <w:r>
        <w:t xml:space="preserve">”</w:t>
      </w:r>
      <w:r>
        <w:t xml:space="preserve">;</w:t>
      </w:r>
      <w:r>
        <w:t xml:space="preserve"> </w:t>
      </w:r>
      <w:r>
        <w:rPr>
          <w:bCs/>
          <w:b/>
        </w:rPr>
        <w:t xml:space="preserve">सवाभ्यां वामौ</w:t>
      </w:r>
      <w:r>
        <w:t xml:space="preserve"> </w:t>
      </w:r>
      <w:r>
        <w:t xml:space="preserve">(पा. सू. ३-४-९१)</w:t>
      </w:r>
      <w:r>
        <w:t xml:space="preserve"> </w:t>
      </w:r>
      <w:r>
        <w:t xml:space="preserve">“</w:t>
      </w:r>
      <w:r>
        <w:t xml:space="preserve">va</w:t>
      </w:r>
      <w:r>
        <w:t xml:space="preserve">”</w:t>
      </w:r>
      <w:r>
        <w:t xml:space="preserve"> </w:t>
      </w:r>
      <w:r>
        <w:t xml:space="preserve">for the</w:t>
      </w:r>
      <w:r>
        <w:t xml:space="preserve"> </w:t>
      </w:r>
      <w:r>
        <w:t xml:space="preserve">“</w:t>
      </w:r>
      <w:r>
        <w:t xml:space="preserve">e</w:t>
      </w:r>
      <w:r>
        <w:t xml:space="preserve">”</w:t>
      </w:r>
      <w:r>
        <w:t xml:space="preserve"> </w:t>
      </w:r>
      <w:r>
        <w:t xml:space="preserve">of</w:t>
      </w:r>
      <w:r>
        <w:t xml:space="preserve"> </w:t>
      </w:r>
      <w:r>
        <w:t xml:space="preserve">“</w:t>
      </w:r>
      <w:r>
        <w:t xml:space="preserve">loṭ</w:t>
      </w:r>
      <w:r>
        <w:t xml:space="preserve">”</w:t>
      </w:r>
      <w:r>
        <w:t xml:space="preserve"> </w:t>
      </w:r>
      <w:r>
        <w:t xml:space="preserve">after</w:t>
      </w:r>
      <w:r>
        <w:t xml:space="preserve"> </w:t>
      </w:r>
      <w:r>
        <w:t xml:space="preserve">“</w:t>
      </w:r>
      <w:r>
        <w:t xml:space="preserve">s</w:t>
      </w:r>
      <w:r>
        <w:t xml:space="preserve">”</w:t>
      </w:r>
      <w:r>
        <w:t xml:space="preserve">:</w:t>
      </w:r>
      <w:r>
        <w:t xml:space="preserve"> </w:t>
      </w:r>
      <w:r>
        <w:t xml:space="preserve">“</w:t>
      </w:r>
      <w:r>
        <w:t xml:space="preserve">mad + sva</w:t>
      </w:r>
      <w:r>
        <w:t xml:space="preserve">”</w:t>
      </w:r>
      <w:r>
        <w:t xml:space="preserve">;</w:t>
      </w:r>
      <w:r>
        <w:t xml:space="preserve"> </w:t>
      </w:r>
      <w:r>
        <w:rPr>
          <w:bCs/>
          <w:b/>
        </w:rPr>
        <w:t xml:space="preserve">खरि च</w:t>
      </w:r>
      <w:r>
        <w:t xml:space="preserve"> </w:t>
      </w:r>
      <w:r>
        <w:t xml:space="preserve">(पा. सू. ८-४-५५)</w:t>
      </w:r>
      <w:r>
        <w:t xml:space="preserve"> </w:t>
      </w:r>
      <w:r>
        <w:t xml:space="preserve">“</w:t>
      </w:r>
      <w:r>
        <w:t xml:space="preserve">t</w:t>
      </w:r>
      <w:r>
        <w:t xml:space="preserve">”</w:t>
      </w:r>
      <w:r>
        <w:t xml:space="preserve"> </w:t>
      </w:r>
      <w:r>
        <w:t xml:space="preserve">for</w:t>
      </w:r>
      <w:r>
        <w:t xml:space="preserve"> </w:t>
      </w:r>
      <w:r>
        <w:t xml:space="preserve">“</w:t>
      </w:r>
      <w:r>
        <w:t xml:space="preserve">d</w:t>
      </w:r>
      <w:r>
        <w:t xml:space="preserve">”</w:t>
      </w:r>
      <w:r>
        <w:t xml:space="preserve">:</w:t>
      </w:r>
      <w:r>
        <w:t xml:space="preserve"> </w:t>
      </w:r>
      <w:r>
        <w:t xml:space="preserve">“</w:t>
      </w:r>
      <w:r>
        <w:t xml:space="preserve">matsva.</w:t>
      </w:r>
      <w:r>
        <w:t xml:space="preserve">”</w:t>
      </w:r>
      <w:r>
        <w:t xml:space="preserve"> </w:t>
      </w:r>
      <w:r>
        <w:t xml:space="preserve">The root being anudāttet,</w:t>
      </w:r>
      <w:r>
        <w:t xml:space="preserve"> </w:t>
      </w:r>
      <w:r>
        <w:rPr>
          <w:bCs/>
          <w:b/>
        </w:rPr>
        <w:t xml:space="preserve">तास्यनुदात्तेन्ङिददुपदेशात्…</w:t>
      </w:r>
      <w:r>
        <w:t xml:space="preserve"> </w:t>
      </w:r>
      <w:r>
        <w:t xml:space="preserve">(पा. सू. ६-१-१८६) makes</w:t>
      </w:r>
      <w:r>
        <w:t xml:space="preserve"> </w:t>
      </w:r>
      <w:r>
        <w:t xml:space="preserve">“</w:t>
      </w:r>
      <w:r>
        <w:t xml:space="preserve">sva</w:t>
      </w:r>
      <w:r>
        <w:t xml:space="preserve">”</w:t>
      </w:r>
      <w:r>
        <w:t xml:space="preserve"> </w:t>
      </w:r>
      <w:r>
        <w:t xml:space="preserve">unaccented;</w:t>
      </w:r>
      <w:r>
        <w:t xml:space="preserve"> </w:t>
      </w:r>
      <w:r>
        <w:t xml:space="preserve">“</w:t>
      </w:r>
      <w:r>
        <w:t xml:space="preserve">mad</w:t>
      </w:r>
      <w:r>
        <w:t xml:space="preserve">”</w:t>
      </w:r>
      <w:r>
        <w:t xml:space="preserve"> </w:t>
      </w:r>
      <w:r>
        <w:t xml:space="preserve">end-acute by</w:t>
      </w:r>
      <w:r>
        <w:t xml:space="preserve"> </w:t>
      </w:r>
      <w:r>
        <w:rPr>
          <w:bCs/>
          <w:b/>
        </w:rPr>
        <w:t xml:space="preserve">धातोः</w:t>
      </w:r>
      <w:r>
        <w:t xml:space="preserve"> </w:t>
      </w:r>
      <w:r>
        <w:t xml:space="preserve">(पा. सू. ६-१-१६२);</w:t>
      </w:r>
      <w:r>
        <w:t xml:space="preserve"> </w:t>
      </w:r>
      <w:r>
        <w:rPr>
          <w:bCs/>
          <w:b/>
        </w:rPr>
        <w:t xml:space="preserve">उदात्तादनुदात्तस्य स्वरितः</w:t>
      </w:r>
      <w:r>
        <w:t xml:space="preserve"> </w:t>
      </w:r>
      <w:r>
        <w:t xml:space="preserve">(पा. सू. ८-४-६६) makes</w:t>
      </w:r>
      <w:r>
        <w:t xml:space="preserve"> </w:t>
      </w:r>
      <w:r>
        <w:t xml:space="preserve">“</w:t>
      </w:r>
      <w:r>
        <w:t xml:space="preserve">sva</w:t>
      </w:r>
      <w:r>
        <w:t xml:space="preserve">”</w:t>
      </w:r>
      <w:r>
        <w:t xml:space="preserve"> </w:t>
      </w:r>
      <w:r>
        <w:t xml:space="preserve">svarita; in the saṃhitā</w:t>
      </w:r>
      <w:r>
        <w:t xml:space="preserve"> </w:t>
      </w:r>
      <w:r>
        <w:rPr>
          <w:bCs/>
          <w:b/>
        </w:rPr>
        <w:t xml:space="preserve">द्व्यचोऽतस्तिङः</w:t>
      </w:r>
      <w:r>
        <w:t xml:space="preserve"> </w:t>
      </w:r>
      <w:r>
        <w:t xml:space="preserve">(पा. सू. ६-३-१३५) lengthens the final short</w:t>
      </w:r>
      <w:r>
        <w:t xml:space="preserve"> </w:t>
      </w:r>
      <w:r>
        <w:t xml:space="preserve">“</w:t>
      </w:r>
      <w:r>
        <w:t xml:space="preserve">a</w:t>
      </w:r>
      <w:r>
        <w:t xml:space="preserve">”</w:t>
      </w:r>
      <w:r>
        <w:t xml:space="preserve"> </w:t>
      </w:r>
      <w:r>
        <w:t xml:space="preserve">of a two-syllable verb in a mantra:</w:t>
      </w:r>
      <w:r>
        <w:t xml:space="preserve"> </w:t>
      </w:r>
      <w:r>
        <w:t xml:space="preserve">“</w:t>
      </w:r>
      <w:r>
        <w:t xml:space="preserve">matsvā.</w:t>
      </w:r>
      <w:r>
        <w:t xml:space="preserve">”</w:t>
      </w:r>
    </w:p>
    <w:p>
      <w:pPr>
        <w:pStyle w:val="BodyText"/>
      </w:pPr>
      <w:r>
        <w:rPr>
          <w:bCs/>
          <w:b/>
        </w:rPr>
        <w:t xml:space="preserve">सुशिप्र</w:t>
      </w:r>
      <w:r>
        <w:t xml:space="preserve"> </w:t>
      </w:r>
      <w:r>
        <w:t xml:space="preserve">—</w:t>
      </w:r>
      <w:r>
        <w:t xml:space="preserve"> </w:t>
      </w:r>
      <w:r>
        <w:rPr>
          <w:bCs/>
          <w:b/>
        </w:rPr>
        <w:t xml:space="preserve">आमन्त्रितस्य च</w:t>
      </w:r>
      <w:r>
        <w:t xml:space="preserve"> </w:t>
      </w:r>
      <w:r>
        <w:t xml:space="preserve">(पा. सू. ८-१-१९), wholly unaccented.</w:t>
      </w:r>
      <w:r>
        <w:t xml:space="preserve"> </w:t>
      </w:r>
      <w:r>
        <w:rPr>
          <w:bCs/>
          <w:b/>
        </w:rPr>
        <w:t xml:space="preserve">मन्दिभिः</w:t>
      </w:r>
      <w:r>
        <w:t xml:space="preserve"> </w:t>
      </w:r>
      <w:r>
        <w:t xml:space="preserve">— explained under the previous mantra.</w:t>
      </w:r>
      <w:r>
        <w:t xml:space="preserve"> </w:t>
      </w:r>
      <w:r>
        <w:rPr>
          <w:bCs/>
          <w:b/>
        </w:rPr>
        <w:t xml:space="preserve">स्तोमेभिः</w:t>
      </w:r>
      <w:r>
        <w:t xml:space="preserve"> </w:t>
      </w:r>
      <w:r>
        <w:t xml:space="preserve">—</w:t>
      </w:r>
      <w:r>
        <w:t xml:space="preserve"> </w:t>
      </w:r>
      <w:r>
        <w:rPr>
          <w:bCs/>
          <w:b/>
        </w:rPr>
        <w:t xml:space="preserve">अर्तिस्तुसु…</w:t>
      </w:r>
      <w:r>
        <w:t xml:space="preserve"> </w:t>
      </w:r>
      <w:r>
        <w:t xml:space="preserve">(उ. सू. १-१४२)</w:t>
      </w:r>
      <w:r>
        <w:t xml:space="preserve"> </w:t>
      </w:r>
      <w:r>
        <w:t xml:space="preserve">“</w:t>
      </w:r>
      <w:r>
        <w:t xml:space="preserve">man</w:t>
      </w:r>
      <w:r>
        <w:t xml:space="preserve">”</w:t>
      </w:r>
      <w:r>
        <w:t xml:space="preserve"> </w:t>
      </w:r>
      <w:r>
        <w:t xml:space="preserve">after</w:t>
      </w:r>
      <w:r>
        <w:t xml:space="preserve"> </w:t>
      </w:r>
      <w:r>
        <w:t xml:space="preserve">“</w:t>
      </w:r>
      <w:r>
        <w:t xml:space="preserve">stu,</w:t>
      </w:r>
      <w:r>
        <w:t xml:space="preserve">”</w:t>
      </w:r>
      <w:r>
        <w:t xml:space="preserve"> </w:t>
      </w:r>
      <w:r>
        <w:t xml:space="preserve">“</w:t>
      </w:r>
      <w:r>
        <w:t xml:space="preserve">n</w:t>
      </w:r>
      <w:r>
        <w:t xml:space="preserve">”</w:t>
      </w:r>
      <w:r>
        <w:t xml:space="preserve">-marked, first-syllable acute; with</w:t>
      </w:r>
      <w:r>
        <w:t xml:space="preserve"> </w:t>
      </w:r>
      <w:r>
        <w:t xml:space="preserve">“</w:t>
      </w:r>
      <w:r>
        <w:t xml:space="preserve">bhis,</w:t>
      </w:r>
      <w:r>
        <w:t xml:space="preserve">”</w:t>
      </w:r>
      <w:r>
        <w:t xml:space="preserve"> </w:t>
      </w:r>
      <w:r>
        <w:rPr>
          <w:bCs/>
          <w:b/>
        </w:rPr>
        <w:t xml:space="preserve">बहुलं छन्दसि</w:t>
      </w:r>
      <w:r>
        <w:t xml:space="preserve"> </w:t>
      </w:r>
      <w:r>
        <w:t xml:space="preserve">(पा. सू. ७-१-१०) withholds</w:t>
      </w:r>
      <w:r>
        <w:t xml:space="preserve"> </w:t>
      </w:r>
      <w:r>
        <w:t xml:space="preserve">“</w:t>
      </w:r>
      <w:r>
        <w:t xml:space="preserve">ais.</w:t>
      </w:r>
      <w:r>
        <w:t xml:space="preserve">”</w:t>
      </w:r>
      <w:r>
        <w:t xml:space="preserve"> </w:t>
      </w:r>
      <w:r>
        <w:rPr>
          <w:bCs/>
          <w:b/>
        </w:rPr>
        <w:t xml:space="preserve">विश्वचर्षणे</w:t>
      </w:r>
      <w:r>
        <w:t xml:space="preserve"> </w:t>
      </w:r>
      <w:r>
        <w:t xml:space="preserve">— unaccented by the vocative rule of the eighth chapter.</w:t>
      </w:r>
      <w:r>
        <w:t xml:space="preserve"> </w:t>
      </w:r>
      <w:r>
        <w:rPr>
          <w:bCs/>
          <w:b/>
        </w:rPr>
        <w:t xml:space="preserve">सचा</w:t>
      </w:r>
      <w:r>
        <w:t xml:space="preserve"> </w:t>
      </w:r>
      <w:r>
        <w:t xml:space="preserve">— its derivation is set out in the third mantra of the fifth sūkta.</w:t>
      </w:r>
      <w:r>
        <w:t xml:space="preserve"> </w:t>
      </w:r>
      <w:r>
        <w:rPr>
          <w:bCs/>
          <w:b/>
        </w:rPr>
        <w:t xml:space="preserve">एषु</w:t>
      </w:r>
      <w:r>
        <w:t xml:space="preserve"> </w:t>
      </w:r>
      <w:r>
        <w:t xml:space="preserve">— the locative</w:t>
      </w:r>
      <w:r>
        <w:t xml:space="preserve"> </w:t>
      </w:r>
      <w:r>
        <w:t xml:space="preserve">“</w:t>
      </w:r>
      <w:r>
        <w:t xml:space="preserve">su</w:t>
      </w:r>
      <w:r>
        <w:t xml:space="preserve">”</w:t>
      </w:r>
      <w:r>
        <w:t xml:space="preserve"> </w:t>
      </w:r>
      <w:r>
        <w:t xml:space="preserve">after</w:t>
      </w:r>
      <w:r>
        <w:t xml:space="preserve"> </w:t>
      </w:r>
      <w:r>
        <w:t xml:space="preserve">“</w:t>
      </w:r>
      <w:r>
        <w:t xml:space="preserve">idam</w:t>
      </w:r>
      <w:r>
        <w:t xml:space="preserve">”</w:t>
      </w:r>
      <w:r>
        <w:t xml:space="preserve"> </w:t>
      </w:r>
      <w:r>
        <w:t xml:space="preserve">is acute by</w:t>
      </w:r>
      <w:r>
        <w:t xml:space="preserve"> </w:t>
      </w:r>
      <w:r>
        <w:rPr>
          <w:bCs/>
          <w:b/>
        </w:rPr>
        <w:t xml:space="preserve">ऊडिदंपदाद्यप्पुम्रैद्युभ्यः</w:t>
      </w:r>
      <w:r>
        <w:t xml:space="preserve"> </w:t>
      </w:r>
      <w:r>
        <w:t xml:space="preserve">(पा. सू. ६-१-१७१).</w:t>
      </w:r>
      <w:r>
        <w:t xml:space="preserve"> </w:t>
      </w:r>
      <w:r>
        <w:rPr>
          <w:bCs/>
          <w:b/>
        </w:rPr>
        <w:t xml:space="preserve">॥३॥</w:t>
      </w:r>
    </w:p>
    <w:p>
      <w:r>
        <w:pict>
          <v:rect style="width:0;height:1.5pt" o:hralign="center" o:hrstd="t" o:hr="t"/>
        </w:pict>
      </w:r>
    </w:p>
    <w:bookmarkEnd w:id="382"/>
    <w:bookmarkStart w:id="383" w:name="page-355-sūkta-9-rik-4"/>
    <w:p>
      <w:pPr>
        <w:pStyle w:val="Heading3"/>
      </w:pPr>
      <w:r>
        <w:t xml:space="preserve">Page 355 — Sūkta 9, Rik 4</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असृ॑ग्रमिन्द्र ते॒ गिरः॒ प्रति॒ त्वामुद॑हासत ।</w:t>
      </w:r>
      <w:r>
        <w:t xml:space="preserve"> </w:t>
      </w:r>
      <w:r>
        <w:t xml:space="preserve">अजो॑षा वृष॒भं पति॑म् ॥४॥</w:t>
      </w:r>
    </w:p>
    <w:p>
      <w:pPr>
        <w:pStyle w:val="BlockText"/>
      </w:pPr>
      <w:r>
        <w:rPr>
          <w:iCs/>
          <w:i/>
        </w:rPr>
        <w:t xml:space="preserve">ásṛgram indra te gíraḥ práti tvā́m úd ahāsata |</w:t>
      </w:r>
      <w:r>
        <w:t xml:space="preserve"> </w:t>
      </w:r>
      <w:r>
        <w:rPr>
          <w:iCs/>
          <w:i/>
        </w:rPr>
        <w:t xml:space="preserve">ájoṣā vṛṣabháṃ pátim ||4||</w:t>
      </w:r>
    </w:p>
    <w:p>
      <w:pPr>
        <w:pStyle w:val="FirstParagraph"/>
      </w:pPr>
      <w:r>
        <w:rPr>
          <w:bCs/>
          <w:b/>
        </w:rPr>
        <w:t xml:space="preserve">॥ Pada-pāṭhaḥ ॥</w:t>
      </w:r>
    </w:p>
    <w:p>
      <w:pPr>
        <w:pStyle w:val="BlockText"/>
      </w:pPr>
      <w:r>
        <w:t xml:space="preserve">असृग्रम् । इन्द्र । ते । गिरः । प्रति । त्वाम् । उत् । अहासत ॥</w:t>
      </w:r>
      <w:r>
        <w:t xml:space="preserve"> </w:t>
      </w:r>
      <w:r>
        <w:t xml:space="preserve">अजोषाः । वृषभम् । पतिम् ॥४॥</w:t>
      </w:r>
    </w:p>
    <w:p>
      <w:pPr>
        <w:pStyle w:val="BlockText"/>
      </w:pPr>
      <w:r>
        <w:rPr>
          <w:iCs/>
          <w:i/>
        </w:rPr>
        <w:t xml:space="preserve">asṛgram | indra | te | giraḥ | prati | tvām | ut | ahāsata ||</w:t>
      </w:r>
      <w:r>
        <w:t xml:space="preserve"> </w:t>
      </w:r>
      <w:r>
        <w:rPr>
          <w:iCs/>
          <w:i/>
        </w:rPr>
        <w:t xml:space="preserve">ajoṣāḥ | vṛṣabham | patim ||4||</w:t>
      </w:r>
    </w:p>
    <w:bookmarkEnd w:id="383"/>
    <w:bookmarkStart w:id="384" w:name="page-356-rik-4-sāyaṇa-bhāṣya"/>
    <w:p>
      <w:pPr>
        <w:pStyle w:val="Heading3"/>
      </w:pPr>
      <w:r>
        <w:t xml:space="preserve">Page 356 — Rik 4: Sāyaṇa-bhāṣya</w:t>
      </w:r>
    </w:p>
    <w:p>
      <w:pPr>
        <w:pStyle w:val="FirstParagraph"/>
      </w:pPr>
      <w:r>
        <w:rPr>
          <w:bCs/>
          <w:b/>
        </w:rPr>
        <w:t xml:space="preserve">॥ Sāyaṇa-bhāṣyam ॥</w:t>
      </w:r>
    </w:p>
    <w:p>
      <w:pPr>
        <w:pStyle w:val="BlockText"/>
      </w:pPr>
      <w:r>
        <w:t xml:space="preserve">हे इन्द्र ते गिरस्त्वदीयाः स्तुतीरसृग्रम् । सृष्टवानस्मि । ताश्च गिरः स्वर्गेऽवस्थितं त्वां प्रत्युदहासत । उद्गत्य प्राप्नुवन् । तादृशीर्गिरस्त्वमजोषाः । सेवितवानसि । कीदृशं त्वाम् । वृषभं कामानां वर्षितारं पतिं सोमस्य पातारं यजमानानां पालयितारं वा । पाता वा पालयिता वा । नि. ४-२६ । इति यास्केनोक्तत्वात् ॥ असृग्रम् । असृजम् । सृज विसर्गे । लङो मिप् । तुदादिभ्यः शः । पा. ३-१-७७ । बहुलं छन्दसि । पा. ७-१-८ । इत्यत्र विकरणस्य रुडागमः । जकारस्य गकारः । लुङ्लङ्लृङ्क्ष्वडुदात्त इत्यडागम उदात्तः । सति शिष्टत्वात्स एव शिष्यते । गिरः । प्रातिपदिकस्वरः । अहासत । ओहाङ् गतौ । लुङ् । झस्यादादेशः । पा. ७-१-५ । च्लेः सिच् । पा. ३-१-४४ । अडागमो निघातश्च । अजोषाः । जुषी प्रीतिसेवनयोः । लङस्थास् । तुदादिभ्यः शः । तस्य छन्दस्युभयथा । पा. ३-४-११७ । इत्यार्धधातुकत्वेन ङित्त्वाभावाल्लघूपधगुणः । थासस्थकारलोपश्छान्दसः । सवर्णदीर्घः । अडागमः । सति शिष्टत्वादुदात्तः शिष्यते । वृषभम् । ऋषु वृषु मृषु सेचने । अभिरित्यनुवृत्तौ वृषिवृषिभ्यां कित् । उ. ३-१२३ । इत्यभच्प्रत्ययः । कित्त्वाद्गुणाभावः । चित्त्वादन्तोदात्तः । पतिम् । पा रक्षणे । पातेर्डतिः । उ. ४-५७ । डित्त्वाट्टिलोपः । प्रत्ययाद्युदात्तत्वम् ॥</w:t>
      </w:r>
    </w:p>
    <w:p>
      <w:pPr>
        <w:pStyle w:val="BlockText"/>
      </w:pPr>
      <w:r>
        <w:rPr>
          <w:iCs/>
          <w:i/>
        </w:rPr>
        <w:t xml:space="preserve">he indra te giras tvadīyāḥ stutīr asṛgram | sṛṣṭavān asmi | tāś ca giraḥ svarge ’vasthitaṃ tvāṃ praty ud ahāsata | udgatya prāpnuvan | tādṛśīr giras tvam ajoṣāḥ | sevitavān asi | kīdṛśaṃ tvām | vṛṣabhaṃ kāmānāṃ varṣitāraṃ patiṃ somasya pātāraṃ yajamānānāṃ pālayitāraṃ vā | pātā vā pālayitā vā | ni. 4-26 | iti yāskenoktatvāt || asṛgram | asṛjam | sṛja visarge | laṅo mip | tudādibhyaḥ śaḥ | pā. 3-1-77 | bahulaṃ chandasi | pā. 7-1-8 | ity atra vikaraṇasya ruḍ-āgamaḥ | jakārasya gakāraḥ | luṅ-laṅ-lṛṅkṣv aḍ udātta ity aḍāgama udāttaḥ | sati śiṣṭatvāt sa eva śiṣyate | giraḥ | prātipadika-svaraḥ | ahāsata | ohāṅ gatau | luṅ | jhasyād-ādeśaḥ | pā. 7-1-5 | cleḥ sic | pā. 3-1-44 | aḍāgamo nighātaś ca | ajoṣāḥ | juṣī prīti-sevanayoḥ | laṅas thās | tudādibhyaḥ śaḥ | tasya chandasy ubhayathā | pā. 3-4-117 | ity ārdhadhātukatvena ṅittvābhāvāl laghūpadha-guṇaḥ | thāsas thakāra-lopaś chāndasaḥ | savarṇa-dīrghaḥ | aḍāgamaḥ | sati śiṣṭatvād udāttaḥ śiṣyate | vṛṣabham | ṛṣu vṛṣu mṛṣu secane | abhir ity anuvṛttau vṛṣi-vṛṣibhyāṃ kit | u. 3-123 | ity abhac-pratyayaḥ | kittvād guṇābhāvaḥ | cittvād antodāttaḥ | patim | pā rakṣaṇe | pāter ḍatiḥ | u. 4-57 | ḍittvāṭ ṭi-lopaḥ | pratyayādyudāttatvam ||</w:t>
      </w:r>
    </w:p>
    <w:p>
      <w:pPr>
        <w:pStyle w:val="FirstParagraph"/>
      </w:pPr>
      <w:r>
        <w:rPr>
          <w:bCs/>
          <w:b/>
        </w:rPr>
        <w:t xml:space="preserve">Translation:</w:t>
      </w:r>
      <w:r>
        <w:t xml:space="preserve"> </w:t>
      </w:r>
      <w:r>
        <w:t xml:space="preserve">“</w:t>
      </w:r>
      <w:r>
        <w:t xml:space="preserve">O Indra! I have sent forth — created, composed — those speeches,</w:t>
      </w:r>
      <w:r>
        <w:t xml:space="preserve"> </w:t>
      </w:r>
      <w:r>
        <w:rPr>
          <w:iCs/>
          <w:i/>
        </w:rPr>
        <w:t xml:space="preserve">giraḥ</w:t>
      </w:r>
      <w:r>
        <w:t xml:space="preserve">, of yours — your hymns. And those words</w:t>
      </w:r>
      <w:r>
        <w:t xml:space="preserve"> </w:t>
      </w:r>
      <w:r>
        <w:rPr>
          <w:iCs/>
          <w:i/>
        </w:rPr>
        <w:t xml:space="preserve">ud ahāsata</w:t>
      </w:r>
      <w:r>
        <w:t xml:space="preserve"> </w:t>
      </w:r>
      <w:r>
        <w:t xml:space="preserve">— rose up, went up and reached — you</w:t>
      </w:r>
      <w:r>
        <w:t xml:space="preserve"> </w:t>
      </w:r>
      <w:r>
        <w:rPr>
          <w:iCs/>
          <w:i/>
        </w:rPr>
        <w:t xml:space="preserve">prati</w:t>
      </w:r>
      <w:r>
        <w:t xml:space="preserve"> </w:t>
      </w:r>
      <w:r>
        <w:t xml:space="preserve">— you who are stationed in heaven. [You, being such,]</w:t>
      </w:r>
      <w:r>
        <w:t xml:space="preserve"> </w:t>
      </w:r>
      <w:r>
        <w:rPr>
          <w:iCs/>
          <w:i/>
        </w:rPr>
        <w:t xml:space="preserve">ajoṣāḥ</w:t>
      </w:r>
      <w:r>
        <w:t xml:space="preserve">: you have taken pleasure in (</w:t>
      </w:r>
      <w:r>
        <w:rPr>
          <w:iCs/>
          <w:i/>
        </w:rPr>
        <w:t xml:space="preserve">sevitavān asi</w:t>
      </w:r>
      <w:r>
        <w:t xml:space="preserve">, have enjoyed) such speeches (the Kannada word-meaning renders it</w:t>
      </w:r>
      <w:r>
        <w:t xml:space="preserve"> </w:t>
      </w:r>
      <w:r>
        <w:t xml:space="preserve">‘</w:t>
      </w:r>
      <w:r>
        <w:t xml:space="preserve">be pleased</w:t>
      </w:r>
      <w:r>
        <w:t xml:space="preserve">’</w:t>
      </w:r>
      <w:r>
        <w:t xml:space="preserve">). What kind of you?</w:t>
      </w:r>
      <w:r>
        <w:t xml:space="preserve"> </w:t>
      </w:r>
      <w:r>
        <w:rPr>
          <w:iCs/>
          <w:i/>
        </w:rPr>
        <w:t xml:space="preserve">Vṛṣabham</w:t>
      </w:r>
      <w:r>
        <w:t xml:space="preserve"> </w:t>
      </w:r>
      <w:r>
        <w:t xml:space="preserve">— the showerer of desires;</w:t>
      </w:r>
      <w:r>
        <w:t xml:space="preserve"> </w:t>
      </w:r>
      <w:r>
        <w:rPr>
          <w:iCs/>
          <w:i/>
        </w:rPr>
        <w:t xml:space="preserve">patim</w:t>
      </w:r>
      <w:r>
        <w:t xml:space="preserve"> </w:t>
      </w:r>
      <w:r>
        <w:t xml:space="preserve">— the drinker of Soma, or the protector of sacrificers:</w:t>
      </w:r>
      <w:r>
        <w:t xml:space="preserve"> </w:t>
      </w:r>
      <w:r>
        <w:t xml:space="preserve">‘</w:t>
      </w:r>
      <w:r>
        <w:rPr>
          <w:iCs/>
          <w:i/>
        </w:rPr>
        <w:t xml:space="preserve">pātā vā pālayitā vā</w:t>
      </w:r>
      <w:r>
        <w:t xml:space="preserve">’</w:t>
      </w:r>
      <w:r>
        <w:t xml:space="preserve"> </w:t>
      </w:r>
      <w:r>
        <w:t xml:space="preserve">(Ni. 4-26), as Yāska states.</w:t>
      </w:r>
      <w:r>
        <w:t xml:space="preserve"> </w:t>
      </w:r>
      <w:r>
        <w:rPr>
          <w:iCs/>
          <w:i/>
        </w:rPr>
        <w:t xml:space="preserve">Asṛgram</w:t>
      </w:r>
      <w:r>
        <w:t xml:space="preserve"> </w:t>
      </w:r>
      <w:r>
        <w:t xml:space="preserve">— I have made (</w:t>
      </w:r>
      <w:r>
        <w:rPr>
          <w:iCs/>
          <w:i/>
        </w:rPr>
        <w:t xml:space="preserve">asṛjam</w:t>
      </w:r>
      <w:r>
        <w:t xml:space="preserve">), from</w:t>
      </w:r>
      <w:r>
        <w:t xml:space="preserve"> </w:t>
      </w:r>
      <w:r>
        <w:rPr>
          <w:iCs/>
          <w:i/>
        </w:rPr>
        <w:t xml:space="preserve">sṛja visarge</w:t>
      </w:r>
      <w:r>
        <w:t xml:space="preserve">,</w:t>
      </w:r>
      <w:r>
        <w:t xml:space="preserve"> </w:t>
      </w:r>
      <w:r>
        <w:t xml:space="preserve">‘</w:t>
      </w:r>
      <w:r>
        <w:t xml:space="preserve">to let go.</w:t>
      </w:r>
      <w:r>
        <w:t xml:space="preserve">’</w:t>
      </w:r>
      <w:r>
        <w:t xml:space="preserve">”</w:t>
      </w:r>
      <w:r>
        <w:t xml:space="preserve"> </w:t>
      </w:r>
      <w:r>
        <w:t xml:space="preserve">The grammar (characterized):</w:t>
      </w:r>
      <w:r>
        <w:t xml:space="preserve"> </w:t>
      </w:r>
      <w:r>
        <w:t xml:space="preserve">“</w:t>
      </w:r>
      <w:r>
        <w:t xml:space="preserve">asṛgram</w:t>
      </w:r>
      <w:r>
        <w:t xml:space="preserve">”</w:t>
      </w:r>
      <w:r>
        <w:t xml:space="preserve"> </w:t>
      </w:r>
      <w:r>
        <w:t xml:space="preserve">—</w:t>
      </w:r>
      <w:r>
        <w:t xml:space="preserve"> </w:t>
      </w:r>
      <w:r>
        <w:t xml:space="preserve">“</w:t>
      </w:r>
      <w:r>
        <w:t xml:space="preserve">laṅ,</w:t>
      </w:r>
      <w:r>
        <w:t xml:space="preserve">”</w:t>
      </w:r>
      <w:r>
        <w:t xml:space="preserve"> </w:t>
      </w:r>
      <w:r>
        <w:t xml:space="preserve">“</w:t>
      </w:r>
      <w:r>
        <w:t xml:space="preserve">mip,</w:t>
      </w:r>
      <w:r>
        <w:t xml:space="preserve">”</w:t>
      </w:r>
      <w:r>
        <w:t xml:space="preserve"> </w:t>
      </w:r>
      <w:r>
        <w:t xml:space="preserve">“</w:t>
      </w:r>
      <w:r>
        <w:t xml:space="preserve">śa</w:t>
      </w:r>
      <w:r>
        <w:t xml:space="preserve">”</w:t>
      </w:r>
      <w:r>
        <w:t xml:space="preserve"> </w:t>
      </w:r>
      <w:r>
        <w:t xml:space="preserve">(3-1-77), the augment</w:t>
      </w:r>
      <w:r>
        <w:t xml:space="preserve"> </w:t>
      </w:r>
      <w:r>
        <w:t xml:space="preserve">“</w:t>
      </w:r>
      <w:r>
        <w:t xml:space="preserve">ruṭ</w:t>
      </w:r>
      <w:r>
        <w:t xml:space="preserve">”</w:t>
      </w:r>
      <w:r>
        <w:t xml:space="preserve"> </w:t>
      </w:r>
      <w:r>
        <w:t xml:space="preserve">by</w:t>
      </w:r>
      <w:r>
        <w:t xml:space="preserve"> </w:t>
      </w:r>
      <w:r>
        <w:t xml:space="preserve">“</w:t>
      </w:r>
      <w:r>
        <w:t xml:space="preserve">bahulaṃ chandasi</w:t>
      </w:r>
      <w:r>
        <w:t xml:space="preserve">”</w:t>
      </w:r>
      <w:r>
        <w:t xml:space="preserve"> </w:t>
      </w:r>
      <w:r>
        <w:t xml:space="preserve">(7-1-8),</w:t>
      </w:r>
      <w:r>
        <w:t xml:space="preserve"> </w:t>
      </w:r>
      <w:r>
        <w:t xml:space="preserve">“</w:t>
      </w:r>
      <w:r>
        <w:t xml:space="preserve">g</w:t>
      </w:r>
      <w:r>
        <w:t xml:space="preserve">”</w:t>
      </w:r>
      <w:r>
        <w:t xml:space="preserve"> </w:t>
      </w:r>
      <w:r>
        <w:t xml:space="preserve">for</w:t>
      </w:r>
      <w:r>
        <w:t xml:space="preserve"> </w:t>
      </w:r>
      <w:r>
        <w:t xml:space="preserve">“</w:t>
      </w:r>
      <w:r>
        <w:t xml:space="preserve">j</w:t>
      </w:r>
      <w:r>
        <w:t xml:space="preserve">”</w:t>
      </w:r>
      <w:r>
        <w:t xml:space="preserve">; the augment</w:t>
      </w:r>
      <w:r>
        <w:t xml:space="preserve"> </w:t>
      </w:r>
      <w:r>
        <w:t xml:space="preserve">“</w:t>
      </w:r>
      <w:r>
        <w:t xml:space="preserve">aṭ</w:t>
      </w:r>
      <w:r>
        <w:t xml:space="preserve">”</w:t>
      </w:r>
      <w:r>
        <w:t xml:space="preserve"> </w:t>
      </w:r>
      <w:r>
        <w:t xml:space="preserve">acute;</w:t>
      </w:r>
      <w:r>
        <w:t xml:space="preserve"> </w:t>
      </w:r>
      <w:r>
        <w:t xml:space="preserve">“</w:t>
      </w:r>
      <w:r>
        <w:t xml:space="preserve">ahāsata</w:t>
      </w:r>
      <w:r>
        <w:t xml:space="preserve">”</w:t>
      </w:r>
      <w:r>
        <w:t xml:space="preserve"> </w:t>
      </w:r>
      <w:r>
        <w:t xml:space="preserve">—</w:t>
      </w:r>
      <w:r>
        <w:t xml:space="preserve"> </w:t>
      </w:r>
      <w:r>
        <w:t xml:space="preserve">“</w:t>
      </w:r>
      <w:r>
        <w:t xml:space="preserve">ohāṅ gatau,</w:t>
      </w:r>
      <w:r>
        <w:t xml:space="preserve">”</w:t>
      </w:r>
      <w:r>
        <w:t xml:space="preserve"> </w:t>
      </w:r>
      <w:r>
        <w:t xml:space="preserve">“</w:t>
      </w:r>
      <w:r>
        <w:t xml:space="preserve">luṅ,</w:t>
      </w:r>
      <w:r>
        <w:t xml:space="preserve">”</w:t>
      </w:r>
      <w:r>
        <w:t xml:space="preserve"> </w:t>
      </w:r>
      <w:r>
        <w:t xml:space="preserve">“</w:t>
      </w:r>
      <w:r>
        <w:t xml:space="preserve">at</w:t>
      </w:r>
      <w:r>
        <w:t xml:space="preserve">”</w:t>
      </w:r>
      <w:r>
        <w:t xml:space="preserve"> </w:t>
      </w:r>
      <w:r>
        <w:t xml:space="preserve">for</w:t>
      </w:r>
      <w:r>
        <w:t xml:space="preserve"> </w:t>
      </w:r>
      <w:r>
        <w:t xml:space="preserve">“</w:t>
      </w:r>
      <w:r>
        <w:t xml:space="preserve">jha</w:t>
      </w:r>
      <w:r>
        <w:t xml:space="preserve">”</w:t>
      </w:r>
      <w:r>
        <w:t xml:space="preserve"> </w:t>
      </w:r>
      <w:r>
        <w:t xml:space="preserve">(7-1-5),</w:t>
      </w:r>
      <w:r>
        <w:t xml:space="preserve"> </w:t>
      </w:r>
      <w:r>
        <w:t xml:space="preserve">“</w:t>
      </w:r>
      <w:r>
        <w:t xml:space="preserve">sic</w:t>
      </w:r>
      <w:r>
        <w:t xml:space="preserve">”</w:t>
      </w:r>
      <w:r>
        <w:t xml:space="preserve"> </w:t>
      </w:r>
      <w:r>
        <w:t xml:space="preserve">(3-1-44), nighāta;</w:t>
      </w:r>
      <w:r>
        <w:t xml:space="preserve"> </w:t>
      </w:r>
      <w:r>
        <w:t xml:space="preserve">“</w:t>
      </w:r>
      <w:r>
        <w:t xml:space="preserve">ajoṣāḥ</w:t>
      </w:r>
      <w:r>
        <w:t xml:space="preserve">”</w:t>
      </w:r>
      <w:r>
        <w:t xml:space="preserve"> </w:t>
      </w:r>
      <w:r>
        <w:t xml:space="preserve">—</w:t>
      </w:r>
      <w:r>
        <w:t xml:space="preserve"> </w:t>
      </w:r>
      <w:r>
        <w:t xml:space="preserve">“</w:t>
      </w:r>
      <w:r>
        <w:t xml:space="preserve">juṣī,</w:t>
      </w:r>
      <w:r>
        <w:t xml:space="preserve">”</w:t>
      </w:r>
      <w:r>
        <w:t xml:space="preserve"> </w:t>
      </w:r>
      <w:r>
        <w:t xml:space="preserve">“</w:t>
      </w:r>
      <w:r>
        <w:t xml:space="preserve">laṅ,</w:t>
      </w:r>
      <w:r>
        <w:t xml:space="preserve">”</w:t>
      </w:r>
      <w:r>
        <w:t xml:space="preserve"> </w:t>
      </w:r>
      <w:r>
        <w:t xml:space="preserve">“</w:t>
      </w:r>
      <w:r>
        <w:t xml:space="preserve">thās,</w:t>
      </w:r>
      <w:r>
        <w:t xml:space="preserve">”</w:t>
      </w:r>
      <w:r>
        <w:t xml:space="preserve"> </w:t>
      </w:r>
      <w:r>
        <w:t xml:space="preserve">“</w:t>
      </w:r>
      <w:r>
        <w:t xml:space="preserve">śa</w:t>
      </w:r>
      <w:r>
        <w:t xml:space="preserve">”</w:t>
      </w:r>
      <w:r>
        <w:t xml:space="preserve"> </w:t>
      </w:r>
      <w:r>
        <w:t xml:space="preserve">treated as ārdhadhātuka (3-4-117), so guṇa; loss of</w:t>
      </w:r>
      <w:r>
        <w:t xml:space="preserve"> </w:t>
      </w:r>
      <w:r>
        <w:t xml:space="preserve">“</w:t>
      </w:r>
      <w:r>
        <w:t xml:space="preserve">th</w:t>
      </w:r>
      <w:r>
        <w:t xml:space="preserve">”</w:t>
      </w:r>
      <w:r>
        <w:t xml:space="preserve"> </w:t>
      </w:r>
      <w:r>
        <w:t xml:space="preserve">Vedic;</w:t>
      </w:r>
      <w:r>
        <w:t xml:space="preserve"> </w:t>
      </w:r>
      <w:r>
        <w:t xml:space="preserve">“</w:t>
      </w:r>
      <w:r>
        <w:t xml:space="preserve">vṛṣabham</w:t>
      </w:r>
      <w:r>
        <w:t xml:space="preserve">”</w:t>
      </w:r>
      <w:r>
        <w:t xml:space="preserve"> </w:t>
      </w:r>
      <w:r>
        <w:t xml:space="preserve">—</w:t>
      </w:r>
      <w:r>
        <w:t xml:space="preserve"> </w:t>
      </w:r>
      <w:r>
        <w:t xml:space="preserve">“</w:t>
      </w:r>
      <w:r>
        <w:t xml:space="preserve">abhac</w:t>
      </w:r>
      <w:r>
        <w:t xml:space="preserve">”</w:t>
      </w:r>
      <w:r>
        <w:t xml:space="preserve"> </w:t>
      </w:r>
      <w:r>
        <w:t xml:space="preserve">(Uṇ. 3-123), end-acute;</w:t>
      </w:r>
      <w:r>
        <w:t xml:space="preserve"> </w:t>
      </w:r>
      <w:r>
        <w:t xml:space="preserve">“</w:t>
      </w:r>
      <w:r>
        <w:t xml:space="preserve">patim</w:t>
      </w:r>
      <w:r>
        <w:t xml:space="preserve">”</w:t>
      </w:r>
      <w:r>
        <w:t xml:space="preserve"> </w:t>
      </w:r>
      <w:r>
        <w:t xml:space="preserve">—</w:t>
      </w:r>
      <w:r>
        <w:t xml:space="preserve"> </w:t>
      </w:r>
      <w:r>
        <w:t xml:space="preserve">“</w:t>
      </w:r>
      <w:r>
        <w:t xml:space="preserve">ḍati</w:t>
      </w:r>
      <w:r>
        <w:t xml:space="preserve">”</w:t>
      </w:r>
      <w:r>
        <w:t xml:space="preserve"> </w:t>
      </w:r>
      <w:r>
        <w:t xml:space="preserve">(Uṇ. 4-57), first-syllable acute.</w:t>
      </w:r>
    </w:p>
    <w:p>
      <w:pPr>
        <w:pStyle w:val="BodyText"/>
      </w:pPr>
      <w:r>
        <w:rPr>
          <w:bCs/>
          <w:b/>
        </w:rPr>
        <w:t xml:space="preserve">॥ Prati-padārthaḥ ॥</w:t>
      </w:r>
    </w:p>
    <w:p>
      <w:pPr>
        <w:pStyle w:val="BodyText"/>
      </w:pPr>
      <w:r>
        <w:rPr>
          <w:bCs/>
          <w:b/>
        </w:rPr>
        <w:t xml:space="preserve">(हे) इन्द्र ((he) indra)</w:t>
      </w:r>
      <w:r>
        <w:t xml:space="preserve"> </w:t>
      </w:r>
      <w:r>
        <w:t xml:space="preserve">— O Indra |</w:t>
      </w:r>
      <w:r>
        <w:t xml:space="preserve"> </w:t>
      </w:r>
      <w:r>
        <w:rPr>
          <w:bCs/>
          <w:b/>
        </w:rPr>
        <w:t xml:space="preserve">ते (te)</w:t>
      </w:r>
      <w:r>
        <w:t xml:space="preserve"> </w:t>
      </w:r>
      <w:r>
        <w:t xml:space="preserve">— your, or for you (concerning you) |</w:t>
      </w:r>
      <w:r>
        <w:t xml:space="preserve"> </w:t>
      </w:r>
      <w:r>
        <w:rPr>
          <w:bCs/>
          <w:b/>
        </w:rPr>
        <w:t xml:space="preserve">गिरः (giraḥ)</w:t>
      </w:r>
      <w:r>
        <w:t xml:space="preserve"> </w:t>
      </w:r>
      <w:r>
        <w:t xml:space="preserve">— words in the form of praise |</w:t>
      </w:r>
      <w:r>
        <w:t xml:space="preserve"> </w:t>
      </w:r>
      <w:r>
        <w:rPr>
          <w:bCs/>
          <w:b/>
        </w:rPr>
        <w:t xml:space="preserve">असृग्रम् (asṛgram)</w:t>
      </w:r>
      <w:r>
        <w:t xml:space="preserve"> </w:t>
      </w:r>
      <w:r>
        <w:t xml:space="preserve">— I have made (composed) | (those praises)</w:t>
      </w:r>
      <w:r>
        <w:t xml:space="preserve"> </w:t>
      </w:r>
      <w:r>
        <w:rPr>
          <w:bCs/>
          <w:b/>
        </w:rPr>
        <w:t xml:space="preserve">वृषभम् (vṛṣabham)</w:t>
      </w:r>
      <w:r>
        <w:t xml:space="preserve"> </w:t>
      </w:r>
      <w:r>
        <w:t xml:space="preserve">— the one who rains the desires |</w:t>
      </w:r>
      <w:r>
        <w:t xml:space="preserve"> </w:t>
      </w:r>
      <w:r>
        <w:rPr>
          <w:bCs/>
          <w:b/>
        </w:rPr>
        <w:t xml:space="preserve">पतिम् (patim)</w:t>
      </w:r>
      <w:r>
        <w:t xml:space="preserve"> </w:t>
      </w:r>
      <w:r>
        <w:t xml:space="preserve">— who drinks Soma, or who protects the people, the sacrificers and others |</w:t>
      </w:r>
      <w:r>
        <w:t xml:space="preserve"> </w:t>
      </w:r>
      <w:r>
        <w:rPr>
          <w:bCs/>
          <w:b/>
        </w:rPr>
        <w:t xml:space="preserve">त्वां प्रति (tvāṃ prati)</w:t>
      </w:r>
      <w:r>
        <w:t xml:space="preserve"> </w:t>
      </w:r>
      <w:r>
        <w:t xml:space="preserve">— to you (stationed in heaven) |</w:t>
      </w:r>
      <w:r>
        <w:t xml:space="preserve"> </w:t>
      </w:r>
      <w:r>
        <w:rPr>
          <w:bCs/>
          <w:b/>
        </w:rPr>
        <w:t xml:space="preserve">उदहासत (udahāsata)</w:t>
      </w:r>
      <w:r>
        <w:t xml:space="preserve"> </w:t>
      </w:r>
      <w:r>
        <w:t xml:space="preserve">— may they go up and reach (and by those praises) |</w:t>
      </w:r>
      <w:r>
        <w:t xml:space="preserve"> </w:t>
      </w:r>
      <w:r>
        <w:rPr>
          <w:bCs/>
          <w:b/>
        </w:rPr>
        <w:t xml:space="preserve">अजोषाः (ajoṣāḥ)</w:t>
      </w:r>
      <w:r>
        <w:t xml:space="preserve"> </w:t>
      </w:r>
      <w:r>
        <w:t xml:space="preserve">— be pleased.</w:t>
      </w:r>
    </w:p>
    <w:p>
      <w:pPr>
        <w:pStyle w:val="BodyText"/>
      </w:pPr>
      <w:r>
        <w:rPr>
          <w:bCs/>
          <w:b/>
        </w:rPr>
        <w:t xml:space="preserve">॥ Bhāvārthaḥ ॥</w:t>
      </w:r>
    </w:p>
    <w:p>
      <w:pPr>
        <w:pStyle w:val="BodyText"/>
      </w:pPr>
      <w:r>
        <w:t xml:space="preserve">O Indra! I have composed and sung praises in your honour. May those praises, joining you who dwell in heaven, who grant all desired ends and protect all, bring you joy.</w:t>
      </w:r>
    </w:p>
    <w:bookmarkEnd w:id="384"/>
    <w:bookmarkStart w:id="385" w:name="X7e74dcbe308b6b31936bc65a240a8f0ba23a4a3"/>
    <w:p>
      <w:pPr>
        <w:pStyle w:val="Heading3"/>
      </w:pPr>
      <w:r>
        <w:t xml:space="preserve">Page 357 — Rik 4: English, Special Topics, grammar begins</w:t>
      </w:r>
    </w:p>
    <w:p>
      <w:pPr>
        <w:pStyle w:val="FirstParagraph"/>
      </w:pPr>
      <w:r>
        <w:rPr>
          <w:bCs/>
          <w:b/>
        </w:rPr>
        <w:t xml:space="preserve">॥ English Translation ॥</w:t>
      </w:r>
      <w:r>
        <w:t xml:space="preserve"> </w:t>
      </w:r>
      <w:r>
        <w:rPr>
          <w:iCs/>
          <w:i/>
        </w:rPr>
        <w:t xml:space="preserve">(as printed in the source)</w:t>
      </w:r>
    </w:p>
    <w:p>
      <w:pPr>
        <w:pStyle w:val="BlockText"/>
      </w:pPr>
      <w:r>
        <w:t xml:space="preserve">O Indra, I have (composed) praises in your honour; may these praises reach you (in heaven) the showerer of blessings, and the protector of your worshippers and you are pleased with their praises.</w:t>
      </w:r>
    </w:p>
    <w:p>
      <w:pPr>
        <w:pStyle w:val="FirstParagraph"/>
      </w:pPr>
      <w:r>
        <w:rPr>
          <w:bCs/>
          <w:b/>
        </w:rPr>
        <w:t xml:space="preserve">॥ Viśeṣa-viṣayagaḷu (Special Topics) ॥</w:t>
      </w:r>
    </w:p>
    <w:p>
      <w:pPr>
        <w:pStyle w:val="BodyText"/>
      </w:pPr>
      <w:r>
        <w:rPr>
          <w:bCs/>
          <w:b/>
        </w:rPr>
        <w:t xml:space="preserve">“</w:t>
      </w:r>
      <w:r>
        <w:rPr>
          <w:bCs/>
          <w:b/>
        </w:rPr>
        <w:t xml:space="preserve">Asṛgram</w:t>
      </w:r>
      <w:r>
        <w:rPr>
          <w:bCs/>
          <w:b/>
        </w:rPr>
        <w:t xml:space="preserve">”</w:t>
      </w:r>
      <w:r>
        <w:t xml:space="preserve"> </w:t>
      </w:r>
      <w:r>
        <w:t xml:space="preserve">—</w:t>
      </w:r>
      <w:r>
        <w:t xml:space="preserve"> </w:t>
      </w:r>
      <w:r>
        <w:t xml:space="preserve">“</w:t>
      </w:r>
      <w:r>
        <w:t xml:space="preserve">I have created</w:t>
      </w:r>
      <w:r>
        <w:t xml:space="preserve">”</w:t>
      </w:r>
      <w:r>
        <w:t xml:space="preserve"> </w:t>
      </w:r>
      <w:r>
        <w:t xml:space="preserve">— that is,</w:t>
      </w:r>
      <w:r>
        <w:t xml:space="preserve"> </w:t>
      </w:r>
      <w:r>
        <w:t xml:space="preserve">“</w:t>
      </w:r>
      <w:r>
        <w:t xml:space="preserve">I have composed.</w:t>
      </w:r>
      <w:r>
        <w:t xml:space="preserve">”</w:t>
      </w:r>
    </w:p>
    <w:p>
      <w:pPr>
        <w:pStyle w:val="BodyText"/>
      </w:pPr>
      <w:r>
        <w:rPr>
          <w:bCs/>
          <w:b/>
        </w:rPr>
        <w:t xml:space="preserve">“</w:t>
      </w:r>
      <w:r>
        <w:rPr>
          <w:bCs/>
          <w:b/>
        </w:rPr>
        <w:t xml:space="preserve">Ut āhāsata</w:t>
      </w:r>
      <w:r>
        <w:rPr>
          <w:bCs/>
          <w:b/>
        </w:rPr>
        <w:t xml:space="preserve">”</w:t>
      </w:r>
      <w:r>
        <w:t xml:space="preserve"> </w:t>
      </w:r>
      <w:r>
        <w:t xml:space="preserve">—</w:t>
      </w:r>
      <w:r>
        <w:t xml:space="preserve"> </w:t>
      </w:r>
      <w:r>
        <w:rPr>
          <w:iCs/>
          <w:i/>
        </w:rPr>
        <w:t xml:space="preserve">ut</w:t>
      </w:r>
      <w:r>
        <w:t xml:space="preserve"> </w:t>
      </w:r>
      <w:r>
        <w:t xml:space="preserve">means upward. Since Indra’s place is above (in the atmosphere,</w:t>
      </w:r>
      <w:r>
        <w:t xml:space="preserve"> </w:t>
      </w:r>
      <w:r>
        <w:rPr>
          <w:iCs/>
          <w:i/>
        </w:rPr>
        <w:t xml:space="preserve">antarikṣa</w:t>
      </w:r>
      <w:r>
        <w:t xml:space="preserve">, or in heaven), the poet offers praise, saying</w:t>
      </w:r>
      <w:r>
        <w:t xml:space="preserve"> </w:t>
      </w:r>
      <w:r>
        <w:t xml:space="preserve">“</w:t>
      </w:r>
      <w:r>
        <w:t xml:space="preserve">may [the praises] reach you who are above</w:t>
      </w:r>
      <w:r>
        <w:t xml:space="preserve">”</w:t>
      </w:r>
      <w:r>
        <w:t xml:space="preserve"> </w:t>
      </w:r>
      <w:r>
        <w:t xml:space="preserve">(</w:t>
      </w:r>
      <w:r>
        <w:rPr>
          <w:iCs/>
          <w:i/>
        </w:rPr>
        <w:t xml:space="preserve">udahāsata</w:t>
      </w:r>
      <w:r>
        <w:t xml:space="preserve">).</w:t>
      </w:r>
    </w:p>
    <w:p>
      <w:pPr>
        <w:pStyle w:val="BodyText"/>
      </w:pPr>
      <w:r>
        <w:rPr>
          <w:bCs/>
          <w:b/>
        </w:rPr>
        <w:t xml:space="preserve">“</w:t>
      </w:r>
      <w:r>
        <w:rPr>
          <w:bCs/>
          <w:b/>
        </w:rPr>
        <w:t xml:space="preserve">Ajoṣāḥ</w:t>
      </w:r>
      <w:r>
        <w:rPr>
          <w:bCs/>
          <w:b/>
        </w:rPr>
        <w:t xml:space="preserve">”</w:t>
      </w:r>
      <w:r>
        <w:t xml:space="preserve"> </w:t>
      </w:r>
      <w:r>
        <w:t xml:space="preserve">—</w:t>
      </w:r>
      <w:r>
        <w:t xml:space="preserve"> </w:t>
      </w:r>
      <w:r>
        <w:rPr>
          <w:bCs/>
          <w:b/>
        </w:rPr>
        <w:t xml:space="preserve">जुषी प्रीतिसेवनयोः</w:t>
      </w:r>
      <w:r>
        <w:t xml:space="preserve"> </w:t>
      </w:r>
      <w:r>
        <w:t xml:space="preserve">(</w:t>
      </w:r>
      <w:r>
        <w:rPr>
          <w:iCs/>
          <w:i/>
        </w:rPr>
        <w:t xml:space="preserve">juṣī prīti-sevanayoḥ</w:t>
      </w:r>
      <w:r>
        <w:t xml:space="preserve">) —</w:t>
      </w:r>
      <w:r>
        <w:t xml:space="preserve"> </w:t>
      </w:r>
      <w:r>
        <w:t xml:space="preserve">“</w:t>
      </w:r>
      <w:r>
        <w:t xml:space="preserve">may the praises serve you</w:t>
      </w:r>
      <w:r>
        <w:t xml:space="preserve">”</w:t>
      </w:r>
      <w:r>
        <w:t xml:space="preserve">: that is,</w:t>
      </w:r>
      <w:r>
        <w:t xml:space="preserve"> </w:t>
      </w:r>
      <w:r>
        <w:t xml:space="preserve">“</w:t>
      </w:r>
      <w:r>
        <w:t xml:space="preserve">be pleased by the praises.</w:t>
      </w:r>
      <w:r>
        <w:t xml:space="preserve">”</w:t>
      </w:r>
    </w:p>
    <w:p>
      <w:pPr>
        <w:pStyle w:val="BodyText"/>
      </w:pPr>
      <w:r>
        <w:rPr>
          <w:bCs/>
          <w:b/>
        </w:rPr>
        <w:t xml:space="preserve">“</w:t>
      </w:r>
      <w:r>
        <w:rPr>
          <w:bCs/>
          <w:b/>
        </w:rPr>
        <w:t xml:space="preserve">Patim</w:t>
      </w:r>
      <w:r>
        <w:rPr>
          <w:bCs/>
          <w:b/>
        </w:rPr>
        <w:t xml:space="preserve">”</w:t>
      </w:r>
      <w:r>
        <w:t xml:space="preserve"> </w:t>
      </w:r>
      <w:r>
        <w:t xml:space="preserve">—</w:t>
      </w:r>
      <w:r>
        <w:t xml:space="preserve"> </w:t>
      </w:r>
      <w:r>
        <w:rPr>
          <w:bCs/>
          <w:b/>
        </w:rPr>
        <w:t xml:space="preserve">सोमस्य पातारम् । यजमानानां पालयितारं वा</w:t>
      </w:r>
      <w:r>
        <w:t xml:space="preserve"> </w:t>
      </w:r>
      <w:r>
        <w:t xml:space="preserve">(</w:t>
      </w:r>
      <w:r>
        <w:rPr>
          <w:iCs/>
          <w:i/>
        </w:rPr>
        <w:t xml:space="preserve">somasya pātāram | yajamānānāṃ pālayitāraṃ vā</w:t>
      </w:r>
      <w:r>
        <w:t xml:space="preserve">) — since the root</w:t>
      </w:r>
      <w:r>
        <w:t xml:space="preserve"> </w:t>
      </w:r>
      <w:r>
        <w:rPr>
          <w:iCs/>
          <w:i/>
        </w:rPr>
        <w:t xml:space="preserve">pā</w:t>
      </w:r>
      <w:r>
        <w:t xml:space="preserve"> </w:t>
      </w:r>
      <w:r>
        <w:t xml:space="preserve">means to drink or to protect,</w:t>
      </w:r>
      <w:r>
        <w:t xml:space="preserve"> </w:t>
      </w:r>
      <w:r>
        <w:rPr>
          <w:iCs/>
          <w:i/>
        </w:rPr>
        <w:t xml:space="preserve">patim</w:t>
      </w:r>
      <w:r>
        <w:t xml:space="preserve"> </w:t>
      </w:r>
      <w:r>
        <w:t xml:space="preserve">can be explained as</w:t>
      </w:r>
      <w:r>
        <w:t xml:space="preserve"> </w:t>
      </w:r>
      <w:r>
        <w:t xml:space="preserve">“</w:t>
      </w:r>
      <w:r>
        <w:t xml:space="preserve">one who drinks Soma</w:t>
      </w:r>
      <w:r>
        <w:t xml:space="preserve">”</w:t>
      </w:r>
      <w:r>
        <w:t xml:space="preserve"> </w:t>
      </w:r>
      <w:r>
        <w:t xml:space="preserve">or</w:t>
      </w:r>
      <w:r>
        <w:t xml:space="preserve"> </w:t>
      </w:r>
      <w:r>
        <w:t xml:space="preserve">“</w:t>
      </w:r>
      <w:r>
        <w:t xml:space="preserve">one who protects the sacrificers.</w:t>
      </w:r>
      <w:r>
        <w:t xml:space="preserve">”</w:t>
      </w:r>
      <w:r>
        <w:t xml:space="preserve"> </w:t>
      </w:r>
      <w:r>
        <w:t xml:space="preserve">Yāska explains:</w:t>
      </w:r>
      <w:r>
        <w:t xml:space="preserve"> </w:t>
      </w:r>
      <w:r>
        <w:rPr>
          <w:bCs/>
          <w:b/>
        </w:rPr>
        <w:t xml:space="preserve">पाता वा पालयिता वा</w:t>
      </w:r>
      <w:r>
        <w:t xml:space="preserve"> </w:t>
      </w:r>
      <w:r>
        <w:t xml:space="preserve">(</w:t>
      </w:r>
      <w:r>
        <w:rPr>
          <w:iCs/>
          <w:i/>
        </w:rPr>
        <w:t xml:space="preserve">pātā vā pālayitā vā</w:t>
      </w:r>
      <w:r>
        <w:t xml:space="preserve">; Ni.</w:t>
      </w:r>
      <w:r>
        <w:t xml:space="preserve"> </w:t>
      </w:r>
      <w:r>
        <w:t xml:space="preserve">“</w:t>
      </w:r>
      <w:r>
        <w:t xml:space="preserve">4-2-6</w:t>
      </w:r>
      <w:r>
        <w:t xml:space="preserve">”</w:t>
      </w:r>
      <w:r>
        <w:t xml:space="preserve"> </w:t>
      </w:r>
      <w:r>
        <w:t xml:space="preserve">as printed, i.e. 4-26). The</w:t>
      </w:r>
      <w:r>
        <w:t xml:space="preserve"> </w:t>
      </w:r>
      <w:r>
        <w:rPr>
          <w:iCs/>
          <w:i/>
        </w:rPr>
        <w:t xml:space="preserve">Vedārtha-yatna</w:t>
      </w:r>
      <w:r>
        <w:t xml:space="preserve"> </w:t>
      </w:r>
      <w:r>
        <w:t xml:space="preserve">author renders</w:t>
      </w:r>
      <w:r>
        <w:t xml:space="preserve"> </w:t>
      </w:r>
      <w:r>
        <w:rPr>
          <w:iCs/>
          <w:i/>
        </w:rPr>
        <w:t xml:space="preserve">patim</w:t>
      </w:r>
      <w:r>
        <w:t xml:space="preserve"> </w:t>
      </w:r>
      <w:r>
        <w:t xml:space="preserve">as</w:t>
      </w:r>
      <w:r>
        <w:t xml:space="preserve"> </w:t>
      </w:r>
      <w:r>
        <w:t xml:space="preserve">“</w:t>
      </w:r>
      <w:r>
        <w:t xml:space="preserve">husband</w:t>
      </w:r>
      <w:r>
        <w:t xml:space="preserve">”</w:t>
      </w:r>
      <w:r>
        <w:t xml:space="preserve"> </w:t>
      </w:r>
      <w:r>
        <w:t xml:space="preserve">(printed</w:t>
      </w:r>
      <w:r>
        <w:t xml:space="preserve"> </w:t>
      </w:r>
      <w:r>
        <w:t xml:space="preserve">“</w:t>
      </w:r>
      <w:r>
        <w:t xml:space="preserve">hnsband</w:t>
      </w:r>
      <w:r>
        <w:t xml:space="preserve">”</w:t>
      </w:r>
      <w:r>
        <w:t xml:space="preserve"> </w:t>
      </w:r>
      <w:r>
        <w:t xml:space="preserve">[sic]; Kannada</w:t>
      </w:r>
      <w:r>
        <w:t xml:space="preserve"> </w:t>
      </w:r>
      <w:r>
        <w:rPr>
          <w:iCs/>
          <w:i/>
        </w:rPr>
        <w:t xml:space="preserve">gaṇḍa</w:t>
      </w:r>
      <w:r>
        <w:t xml:space="preserve">); this sense does not fit here.</w:t>
      </w:r>
      <w:r>
        <w:t xml:space="preserve"> </w:t>
      </w:r>
      <w:r>
        <w:rPr>
          <w:iCs/>
          <w:i/>
        </w:rPr>
        <w:t xml:space="preserve">Patim</w:t>
      </w:r>
      <w:r>
        <w:t xml:space="preserve"> </w:t>
      </w:r>
      <w:r>
        <w:t xml:space="preserve">may be said to mean</w:t>
      </w:r>
      <w:r>
        <w:t xml:space="preserve"> </w:t>
      </w:r>
      <w:r>
        <w:t xml:space="preserve">“</w:t>
      </w:r>
      <w:r>
        <w:t xml:space="preserve">lord</w:t>
      </w:r>
      <w:r>
        <w:t xml:space="preserve">”</w:t>
      </w:r>
      <w:r>
        <w:t xml:space="preserve"> </w:t>
      </w:r>
      <w:r>
        <w:t xml:space="preserve">(</w:t>
      </w:r>
      <w:r>
        <w:rPr>
          <w:iCs/>
          <w:i/>
        </w:rPr>
        <w:t xml:space="preserve">svāmi</w:t>
      </w:r>
      <w:r>
        <w:t xml:space="preserve">).</w:t>
      </w:r>
    </w:p>
    <w:p>
      <w:pPr>
        <w:pStyle w:val="BodyText"/>
      </w:pPr>
      <w:r>
        <w:rPr>
          <w:bCs/>
          <w:b/>
        </w:rPr>
        <w:t xml:space="preserve">॥ Vyākaraṇa-prakriyā ॥</w:t>
      </w:r>
      <w:r>
        <w:t xml:space="preserve"> </w:t>
      </w:r>
      <w:r>
        <w:rPr>
          <w:iCs/>
          <w:i/>
        </w:rPr>
        <w:t xml:space="preserve">(pp. 357–358, Kannada; page header p. 357</w:t>
      </w:r>
      <w:r>
        <w:rPr>
          <w:iCs/>
          <w:i/>
        </w:rPr>
        <w:t xml:space="preserve"> </w:t>
      </w:r>
      <w:r>
        <w:rPr>
          <w:iCs/>
          <w:i/>
        </w:rPr>
        <w:t xml:space="preserve">“</w:t>
      </w:r>
      <w:r>
        <w:rPr>
          <w:iCs/>
          <w:i/>
        </w:rPr>
        <w:t xml:space="preserve">A. 1, A. 1, Va. 18</w:t>
      </w:r>
      <w:r>
        <w:rPr>
          <w:iCs/>
          <w:i/>
        </w:rPr>
        <w:t xml:space="preserve">”</w:t>
      </w:r>
      <w:r>
        <w:rPr>
          <w:iCs/>
          <w:i/>
        </w:rPr>
        <w:t xml:space="preserve">; numbers as printed)</w:t>
      </w:r>
    </w:p>
    <w:p>
      <w:pPr>
        <w:pStyle w:val="BodyText"/>
      </w:pPr>
      <w:r>
        <w:rPr>
          <w:bCs/>
          <w:b/>
        </w:rPr>
        <w:t xml:space="preserve">असृग्रम् (</w:t>
      </w:r>
      <w:r>
        <w:rPr>
          <w:iCs/>
          <w:i/>
          <w:bCs/>
          <w:b/>
        </w:rPr>
        <w:t xml:space="preserve">asṛgram</w:t>
      </w:r>
      <w:r>
        <w:rPr>
          <w:bCs/>
          <w:b/>
        </w:rPr>
        <w:t xml:space="preserve">)</w:t>
      </w:r>
      <w:r>
        <w:t xml:space="preserve"> </w:t>
      </w:r>
      <w:r>
        <w:t xml:space="preserve">— root</w:t>
      </w:r>
      <w:r>
        <w:t xml:space="preserve"> </w:t>
      </w:r>
      <w:r>
        <w:rPr>
          <w:iCs/>
          <w:i/>
        </w:rPr>
        <w:t xml:space="preserve">sṛja visarge</w:t>
      </w:r>
      <w:r>
        <w:t xml:space="preserve">,</w:t>
      </w:r>
      <w:r>
        <w:t xml:space="preserve"> </w:t>
      </w:r>
      <w:r>
        <w:t xml:space="preserve">“</w:t>
      </w:r>
      <w:r>
        <w:t xml:space="preserve">laṅ</w:t>
      </w:r>
      <w:r>
        <w:t xml:space="preserve">”</w:t>
      </w:r>
      <w:r>
        <w:t xml:space="preserve"> </w:t>
      </w:r>
      <w:r>
        <w:t xml:space="preserve">(printed so) parasmaipada first person</w:t>
      </w:r>
      <w:r>
        <w:t xml:space="preserve"> </w:t>
      </w:r>
      <w:r>
        <w:t xml:space="preserve">“</w:t>
      </w:r>
      <w:r>
        <w:t xml:space="preserve">mip</w:t>
      </w:r>
      <w:r>
        <w:t xml:space="preserve">”</w:t>
      </w:r>
      <w:r>
        <w:t xml:space="preserve">;</w:t>
      </w:r>
      <w:r>
        <w:t xml:space="preserve"> </w:t>
      </w:r>
      <w:r>
        <w:rPr>
          <w:iCs/>
          <w:i/>
        </w:rPr>
        <w:t xml:space="preserve">am</w:t>
      </w:r>
      <w:r>
        <w:t xml:space="preserve"> </w:t>
      </w:r>
      <w:r>
        <w:t xml:space="preserve">in its place by</w:t>
      </w:r>
      <w:r>
        <w:t xml:space="preserve"> </w:t>
      </w:r>
      <w:r>
        <w:t xml:space="preserve">“</w:t>
      </w:r>
      <w:r>
        <w:t xml:space="preserve">tasthasthamipāṃ tāṃtaṃtāmaḥ</w:t>
      </w:r>
      <w:r>
        <w:t xml:space="preserve">”</w:t>
      </w:r>
      <w:r>
        <w:t xml:space="preserve"> </w:t>
      </w:r>
      <w:r>
        <w:t xml:space="preserve">(पा. सू. ३-४-१०१);</w:t>
      </w:r>
      <w:r>
        <w:t xml:space="preserve"> </w:t>
      </w:r>
      <w:r>
        <w:rPr>
          <w:iCs/>
          <w:i/>
        </w:rPr>
        <w:t xml:space="preserve">śa</w:t>
      </w:r>
      <w:r>
        <w:t xml:space="preserve"> </w:t>
      </w:r>
      <w:r>
        <w:t xml:space="preserve">(the</w:t>
      </w:r>
      <w:r>
        <w:t xml:space="preserve"> </w:t>
      </w:r>
      <w:r>
        <w:rPr>
          <w:iCs/>
          <w:i/>
        </w:rPr>
        <w:t xml:space="preserve">śa</w:t>
      </w:r>
      <w:r>
        <w:t xml:space="preserve">-vikaraṇa) of the tudādi class by</w:t>
      </w:r>
      <w:r>
        <w:t xml:space="preserve"> </w:t>
      </w:r>
      <w:r>
        <w:t xml:space="preserve">“</w:t>
      </w:r>
      <w:r>
        <w:t xml:space="preserve">tudādibhyaḥ śaḥ</w:t>
      </w:r>
      <w:r>
        <w:t xml:space="preserve">”</w:t>
      </w:r>
      <w:r>
        <w:t xml:space="preserve"> </w:t>
      </w:r>
      <w:r>
        <w:t xml:space="preserve">(पा. सू. ३-१-७७); the augment</w:t>
      </w:r>
      <w:r>
        <w:t xml:space="preserve"> </w:t>
      </w:r>
      <w:r>
        <w:rPr>
          <w:iCs/>
          <w:i/>
        </w:rPr>
        <w:t xml:space="preserve">ruṭ</w:t>
      </w:r>
      <w:r>
        <w:t xml:space="preserve"> </w:t>
      </w:r>
      <w:r>
        <w:t xml:space="preserve">by</w:t>
      </w:r>
      <w:r>
        <w:t xml:space="preserve"> </w:t>
      </w:r>
      <w:r>
        <w:t xml:space="preserve">“</w:t>
      </w:r>
      <w:r>
        <w:t xml:space="preserve">bahulaṃ chandasy</w:t>
      </w:r>
      <w:r>
        <w:t xml:space="preserve">”</w:t>
      </w:r>
      <w:r>
        <w:t xml:space="preserve"> </w:t>
      </w:r>
      <w:r>
        <w:t xml:space="preserve">(पा. सू. ७-१-८);</w:t>
      </w:r>
      <w:r>
        <w:t xml:space="preserve"> </w:t>
      </w:r>
      <w:r>
        <w:rPr>
          <w:iCs/>
          <w:i/>
        </w:rPr>
        <w:t xml:space="preserve">sṛj + ra + am</w:t>
      </w:r>
      <w:r>
        <w:t xml:space="preserve">;</w:t>
      </w:r>
      <w:r>
        <w:t xml:space="preserve"> </w:t>
      </w:r>
      <w:r>
        <w:rPr>
          <w:iCs/>
          <w:i/>
        </w:rPr>
        <w:t xml:space="preserve">j</w:t>
      </w:r>
      <w:r>
        <w:t xml:space="preserve"> </w:t>
      </w:r>
      <w:r>
        <w:t xml:space="preserve">→</w:t>
      </w:r>
      <w:r>
        <w:t xml:space="preserve"> </w:t>
      </w:r>
      <w:r>
        <w:rPr>
          <w:iCs/>
          <w:i/>
        </w:rPr>
        <w:t xml:space="preserve">g</w:t>
      </w:r>
      <w:r>
        <w:t xml:space="preserve"> </w:t>
      </w:r>
      <w:r>
        <w:t xml:space="preserve">by</w:t>
      </w:r>
      <w:r>
        <w:t xml:space="preserve"> </w:t>
      </w:r>
      <w:r>
        <w:t xml:space="preserve">“</w:t>
      </w:r>
      <w:r>
        <w:t xml:space="preserve">coḥ kuḥ</w:t>
      </w:r>
      <w:r>
        <w:t xml:space="preserve">”</w:t>
      </w:r>
      <w:r>
        <w:t xml:space="preserve"> </w:t>
      </w:r>
      <w:r>
        <w:t xml:space="preserve">(पा. सू. ८-२-३०); the augment</w:t>
      </w:r>
      <w:r>
        <w:t xml:space="preserve"> </w:t>
      </w:r>
      <w:r>
        <w:rPr>
          <w:iCs/>
          <w:i/>
        </w:rPr>
        <w:t xml:space="preserve">aṭ</w:t>
      </w:r>
      <w:r>
        <w:t xml:space="preserve"> </w:t>
      </w:r>
      <w:r>
        <w:t xml:space="preserve">(</w:t>
      </w:r>
      <w:r>
        <w:rPr>
          <w:iCs/>
          <w:i/>
        </w:rPr>
        <w:t xml:space="preserve">luṅ-laṅ-lṛṅkṣv aḍ udāttaḥ</w:t>
      </w:r>
      <w:r>
        <w:t xml:space="preserve">, पा. सू. ६-४-७१) is udātta and attaches to the root;</w:t>
      </w:r>
      <w:r>
        <w:t xml:space="preserve"> </w:t>
      </w:r>
      <w:r>
        <w:rPr>
          <w:iCs/>
          <w:i/>
        </w:rPr>
        <w:t xml:space="preserve">a</w:t>
      </w:r>
      <w:r>
        <w:t xml:space="preserve"> </w:t>
      </w:r>
      <w:r>
        <w:t xml:space="preserve">+</w:t>
      </w:r>
      <w:r>
        <w:t xml:space="preserve"> </w:t>
      </w:r>
      <w:r>
        <w:rPr>
          <w:iCs/>
          <w:i/>
        </w:rPr>
        <w:t xml:space="preserve">sṛg</w:t>
      </w:r>
      <w:r>
        <w:t xml:space="preserve"> </w:t>
      </w:r>
      <w:r>
        <w:t xml:space="preserve">+</w:t>
      </w:r>
      <w:r>
        <w:t xml:space="preserve"> </w:t>
      </w:r>
      <w:r>
        <w:rPr>
          <w:iCs/>
          <w:i/>
        </w:rPr>
        <w:t xml:space="preserve">ra</w:t>
      </w:r>
      <w:r>
        <w:t xml:space="preserve"> </w:t>
      </w:r>
      <w:r>
        <w:t xml:space="preserve">+</w:t>
      </w:r>
      <w:r>
        <w:t xml:space="preserve"> </w:t>
      </w:r>
      <w:r>
        <w:rPr>
          <w:iCs/>
          <w:i/>
        </w:rPr>
        <w:t xml:space="preserve">am</w:t>
      </w:r>
      <w:r>
        <w:t xml:space="preserve"> </w:t>
      </w:r>
      <w:r>
        <w:t xml:space="preserve">with</w:t>
      </w:r>
      <w:r>
        <w:t xml:space="preserve"> </w:t>
      </w:r>
      <w:r>
        <w:rPr>
          <w:iCs/>
          <w:i/>
        </w:rPr>
        <w:t xml:space="preserve">pūrvarūpa</w:t>
      </w:r>
      <w:r>
        <w:t xml:space="preserve"> </w:t>
      </w:r>
      <w:r>
        <w:t xml:space="preserve">→</w:t>
      </w:r>
      <w:r>
        <w:t xml:space="preserve"> </w:t>
      </w:r>
      <w:r>
        <w:rPr>
          <w:iCs/>
          <w:i/>
        </w:rPr>
        <w:t xml:space="preserve">asṛgram</w:t>
      </w:r>
      <w:r>
        <w:t xml:space="preserve">; the acute of the augment</w:t>
      </w:r>
      <w:r>
        <w:t xml:space="preserve"> </w:t>
      </w:r>
      <w:r>
        <w:t xml:space="preserve">“</w:t>
      </w:r>
      <w:r>
        <w:t xml:space="preserve">aṭ,</w:t>
      </w:r>
      <w:r>
        <w:t xml:space="preserve">”</w:t>
      </w:r>
      <w:r>
        <w:t xml:space="preserve"> </w:t>
      </w:r>
      <w:r>
        <w:t xml:space="preserve">taught later, stays.</w:t>
      </w:r>
      <w:r>
        <w:t xml:space="preserve"> </w:t>
      </w:r>
      <w:r>
        <w:rPr>
          <w:bCs/>
          <w:b/>
        </w:rPr>
        <w:t xml:space="preserve">गिरः (</w:t>
      </w:r>
      <w:r>
        <w:rPr>
          <w:iCs/>
          <w:i/>
          <w:bCs/>
          <w:b/>
        </w:rPr>
        <w:t xml:space="preserve">giraḥ</w:t>
      </w:r>
      <w:r>
        <w:rPr>
          <w:bCs/>
          <w:b/>
        </w:rPr>
        <w:t xml:space="preserve">)</w:t>
      </w:r>
      <w:r>
        <w:t xml:space="preserve"> </w:t>
      </w:r>
      <w:r>
        <w:t xml:space="preserve">— base accent.</w:t>
      </w:r>
      <w:r>
        <w:t xml:space="preserve"> </w:t>
      </w:r>
      <w:r>
        <w:rPr>
          <w:bCs/>
          <w:b/>
        </w:rPr>
        <w:t xml:space="preserve">अहासत (</w:t>
      </w:r>
      <w:r>
        <w:rPr>
          <w:iCs/>
          <w:i/>
          <w:bCs/>
          <w:b/>
        </w:rPr>
        <w:t xml:space="preserve">ahāsata</w:t>
      </w:r>
      <w:r>
        <w:rPr>
          <w:bCs/>
          <w:b/>
        </w:rPr>
        <w:t xml:space="preserve">)</w:t>
      </w:r>
      <w:r>
        <w:t xml:space="preserve"> </w:t>
      </w:r>
      <w:r>
        <w:t xml:space="preserve">— root</w:t>
      </w:r>
      <w:r>
        <w:t xml:space="preserve"> </w:t>
      </w:r>
      <w:r>
        <w:rPr>
          <w:iCs/>
          <w:i/>
        </w:rPr>
        <w:t xml:space="preserve">ohāṅ gatau</w:t>
      </w:r>
      <w:r>
        <w:t xml:space="preserve"> </w:t>
      </w:r>
      <w:r>
        <w:t xml:space="preserve">(</w:t>
      </w:r>
      <w:r>
        <w:t xml:space="preserve">“</w:t>
      </w:r>
      <w:r>
        <w:t xml:space="preserve">to go</w:t>
      </w:r>
      <w:r>
        <w:t xml:space="preserve">”</w:t>
      </w:r>
      <w:r>
        <w:t xml:space="preserve">) with</w:t>
      </w:r>
      <w:r>
        <w:t xml:space="preserve"> </w:t>
      </w:r>
      <w:r>
        <w:rPr>
          <w:iCs/>
          <w:i/>
        </w:rPr>
        <w:t xml:space="preserve">luṅ</w:t>
      </w:r>
      <w:r>
        <w:t xml:space="preserve">; the third-person plural ātmanepada</w:t>
      </w:r>
      <w:r>
        <w:t xml:space="preserve"> </w:t>
      </w:r>
      <w:r>
        <w:rPr>
          <w:iCs/>
          <w:i/>
        </w:rPr>
        <w:t xml:space="preserve">jha</w:t>
      </w:r>
      <w:r>
        <w:t xml:space="preserve">;</w:t>
      </w:r>
      <w:r>
        <w:t xml:space="preserve"> </w:t>
      </w:r>
      <w:r>
        <w:rPr>
          <w:bCs/>
          <w:b/>
        </w:rPr>
        <w:t xml:space="preserve">आत्मनेपदेष्वनतः</w:t>
      </w:r>
      <w:r>
        <w:t xml:space="preserve"> </w:t>
      </w:r>
      <w:r>
        <w:t xml:space="preserve">(पा. सू. ७-१-५) …</w:t>
      </w:r>
      <w:r>
        <w:t xml:space="preserve"> </w:t>
      </w:r>
      <w:r>
        <w:rPr>
          <w:iCs/>
          <w:i/>
        </w:rPr>
        <w:t xml:space="preserve">(continues on p. 358)</w:t>
      </w:r>
    </w:p>
    <w:bookmarkEnd w:id="385"/>
    <w:bookmarkStart w:id="386" w:name="X7288bf74aee7b70e8072d3723ccff7cccd4a8bd"/>
    <w:p>
      <w:pPr>
        <w:pStyle w:val="Heading3"/>
      </w:pPr>
      <w:r>
        <w:t xml:space="preserve">Page 358 — Rik 4 grammar closes; Sūkta 9, Rik 5 text</w:t>
      </w:r>
    </w:p>
    <w:p>
      <w:pPr>
        <w:pStyle w:val="FirstParagraph"/>
      </w:pPr>
      <w:r>
        <w:rPr>
          <w:bCs/>
          <w:b/>
        </w:rPr>
        <w:t xml:space="preserve">॥ Vyākaraṇa-prakriyā ॥</w:t>
      </w:r>
      <w:r>
        <w:t xml:space="preserve"> </w:t>
      </w:r>
      <w:r>
        <w:rPr>
          <w:iCs/>
          <w:i/>
        </w:rPr>
        <w:t xml:space="preserve">(Kannada; numbers as printed)</w:t>
      </w:r>
    </w:p>
    <w:p>
      <w:pPr>
        <w:pStyle w:val="BodyText"/>
      </w:pPr>
      <w:r>
        <w:t xml:space="preserve">Closing the grammar of Rik 4:</w:t>
      </w:r>
      <w:r>
        <w:t xml:space="preserve"> </w:t>
      </w:r>
      <w:r>
        <w:rPr>
          <w:bCs/>
          <w:b/>
        </w:rPr>
        <w:t xml:space="preserve">अहासत (</w:t>
      </w:r>
      <w:r>
        <w:rPr>
          <w:iCs/>
          <w:i/>
          <w:bCs/>
          <w:b/>
        </w:rPr>
        <w:t xml:space="preserve">ahāsata</w:t>
      </w:r>
      <w:r>
        <w:rPr>
          <w:bCs/>
          <w:b/>
        </w:rPr>
        <w:t xml:space="preserve">)</w:t>
      </w:r>
      <w:r>
        <w:t xml:space="preserve"> </w:t>
      </w:r>
      <w:r>
        <w:t xml:space="preserve">— the</w:t>
      </w:r>
      <w:r>
        <w:t xml:space="preserve"> </w:t>
      </w:r>
      <w:r>
        <w:rPr>
          <w:iCs/>
          <w:i/>
        </w:rPr>
        <w:t xml:space="preserve">a</w:t>
      </w:r>
      <w:r>
        <w:t xml:space="preserve"> </w:t>
      </w:r>
      <w:r>
        <w:t xml:space="preserve">of the</w:t>
      </w:r>
      <w:r>
        <w:t xml:space="preserve"> </w:t>
      </w:r>
      <w:r>
        <w:rPr>
          <w:iCs/>
          <w:i/>
        </w:rPr>
        <w:t xml:space="preserve">ātmanepada</w:t>
      </w:r>
      <w:r>
        <w:t xml:space="preserve"> </w:t>
      </w:r>
      <w:r>
        <w:t xml:space="preserve">ending</w:t>
      </w:r>
      <w:r>
        <w:t xml:space="preserve"> </w:t>
      </w:r>
      <w:r>
        <w:rPr>
          <w:iCs/>
          <w:i/>
        </w:rPr>
        <w:t xml:space="preserve">jha</w:t>
      </w:r>
      <w:r>
        <w:t xml:space="preserve"> </w:t>
      </w:r>
      <w:r>
        <w:t xml:space="preserve">is replaced by</w:t>
      </w:r>
      <w:r>
        <w:t xml:space="preserve"> </w:t>
      </w:r>
      <w:r>
        <w:rPr>
          <w:iCs/>
          <w:i/>
        </w:rPr>
        <w:t xml:space="preserve">at</w:t>
      </w:r>
      <w:r>
        <w:t xml:space="preserve">; the</w:t>
      </w:r>
      <w:r>
        <w:t xml:space="preserve"> </w:t>
      </w:r>
      <w:r>
        <w:rPr>
          <w:iCs/>
          <w:i/>
        </w:rPr>
        <w:t xml:space="preserve">cli</w:t>
      </w:r>
      <w:r>
        <w:t xml:space="preserve"> </w:t>
      </w:r>
      <w:r>
        <w:t xml:space="preserve">suffix after the root by</w:t>
      </w:r>
      <w:r>
        <w:t xml:space="preserve"> </w:t>
      </w:r>
      <w:r>
        <w:t xml:space="preserve">“</w:t>
      </w:r>
      <w:r>
        <w:t xml:space="preserve">cli luṅi</w:t>
      </w:r>
      <w:r>
        <w:t xml:space="preserve">”</w:t>
      </w:r>
      <w:r>
        <w:t xml:space="preserve"> </w:t>
      </w:r>
      <w:r>
        <w:t xml:space="preserve">(पा. सू. ३-१-४३); in its place</w:t>
      </w:r>
      <w:r>
        <w:t xml:space="preserve"> </w:t>
      </w:r>
      <w:r>
        <w:rPr>
          <w:iCs/>
          <w:i/>
        </w:rPr>
        <w:t xml:space="preserve">sic</w:t>
      </w:r>
      <w:r>
        <w:t xml:space="preserve"> </w:t>
      </w:r>
      <w:r>
        <w:t xml:space="preserve">by</w:t>
      </w:r>
      <w:r>
        <w:t xml:space="preserve"> </w:t>
      </w:r>
      <w:r>
        <w:t xml:space="preserve">“</w:t>
      </w:r>
      <w:r>
        <w:t xml:space="preserve">cleḥ sic</w:t>
      </w:r>
      <w:r>
        <w:t xml:space="preserve">”</w:t>
      </w:r>
      <w:r>
        <w:t xml:space="preserve"> </w:t>
      </w:r>
      <w:r>
        <w:t xml:space="preserve">(पा. सू. ३-१-४४); the augment</w:t>
      </w:r>
      <w:r>
        <w:t xml:space="preserve"> </w:t>
      </w:r>
      <w:r>
        <w:rPr>
          <w:iCs/>
          <w:i/>
        </w:rPr>
        <w:t xml:space="preserve">aṭ</w:t>
      </w:r>
      <w:r>
        <w:t xml:space="preserve">; so</w:t>
      </w:r>
      <w:r>
        <w:t xml:space="preserve"> </w:t>
      </w:r>
      <w:r>
        <w:rPr>
          <w:iCs/>
          <w:i/>
        </w:rPr>
        <w:t xml:space="preserve">ahāsata</w:t>
      </w:r>
      <w:r>
        <w:t xml:space="preserve">; the finite verb is wholly unaccented (पा. सू. ८-१-२८).</w:t>
      </w:r>
      <w:r>
        <w:t xml:space="preserve"> </w:t>
      </w:r>
      <w:r>
        <w:rPr>
          <w:bCs/>
          <w:b/>
        </w:rPr>
        <w:t xml:space="preserve">अजोषाः (</w:t>
      </w:r>
      <w:r>
        <w:rPr>
          <w:iCs/>
          <w:i/>
          <w:bCs/>
          <w:b/>
        </w:rPr>
        <w:t xml:space="preserve">ajoṣāḥ</w:t>
      </w:r>
      <w:r>
        <w:rPr>
          <w:bCs/>
          <w:b/>
        </w:rPr>
        <w:t xml:space="preserve">)</w:t>
      </w:r>
      <w:r>
        <w:t xml:space="preserve"> </w:t>
      </w:r>
      <w:r>
        <w:t xml:space="preserve">— root</w:t>
      </w:r>
      <w:r>
        <w:t xml:space="preserve"> </w:t>
      </w:r>
      <w:r>
        <w:rPr>
          <w:iCs/>
          <w:i/>
        </w:rPr>
        <w:t xml:space="preserve">juṣī prītisevanayoḥ</w:t>
      </w:r>
      <w:r>
        <w:t xml:space="preserve"> </w:t>
      </w:r>
      <w:r>
        <w:t xml:space="preserve">with</w:t>
      </w:r>
      <w:r>
        <w:t xml:space="preserve"> </w:t>
      </w:r>
      <w:r>
        <w:t xml:space="preserve">“</w:t>
      </w:r>
      <w:r>
        <w:t xml:space="preserve">laṅ</w:t>
      </w:r>
      <w:r>
        <w:t xml:space="preserve">”</w:t>
      </w:r>
      <w:r>
        <w:t xml:space="preserve">; the ātmanepada middle-second singular</w:t>
      </w:r>
      <w:r>
        <w:t xml:space="preserve"> </w:t>
      </w:r>
      <w:r>
        <w:rPr>
          <w:iCs/>
          <w:i/>
        </w:rPr>
        <w:t xml:space="preserve">thās</w:t>
      </w:r>
      <w:r>
        <w:t xml:space="preserve">; the</w:t>
      </w:r>
      <w:r>
        <w:t xml:space="preserve"> </w:t>
      </w:r>
      <w:r>
        <w:rPr>
          <w:iCs/>
          <w:i/>
        </w:rPr>
        <w:t xml:space="preserve">śa</w:t>
      </w:r>
      <w:r>
        <w:t xml:space="preserve">-vikaraṇa of the tudādi class (पा. सू. ३-१-७७), which takes the technical status of</w:t>
      </w:r>
      <w:r>
        <w:t xml:space="preserve"> </w:t>
      </w:r>
      <w:r>
        <w:rPr>
          <w:iCs/>
          <w:i/>
        </w:rPr>
        <w:t xml:space="preserve">ārdhadhātuka</w:t>
      </w:r>
      <w:r>
        <w:t xml:space="preserve"> </w:t>
      </w:r>
      <w:r>
        <w:t xml:space="preserve">by</w:t>
      </w:r>
      <w:r>
        <w:t xml:space="preserve"> </w:t>
      </w:r>
      <w:r>
        <w:t xml:space="preserve">“</w:t>
      </w:r>
      <w:r>
        <w:t xml:space="preserve">chandasy ubhayathā</w:t>
      </w:r>
      <w:r>
        <w:t xml:space="preserve">”</w:t>
      </w:r>
      <w:r>
        <w:t xml:space="preserve"> </w:t>
      </w:r>
      <w:r>
        <w:t xml:space="preserve">(पा. सू. ३-४-११७) and so is not</w:t>
      </w:r>
      <w:r>
        <w:t xml:space="preserve"> </w:t>
      </w:r>
      <w:r>
        <w:rPr>
          <w:iCs/>
          <w:i/>
        </w:rPr>
        <w:t xml:space="preserve">ṅit</w:t>
      </w:r>
      <w:r>
        <w:t xml:space="preserve">; hence no guṇa-prohibition by</w:t>
      </w:r>
      <w:r>
        <w:t xml:space="preserve"> </w:t>
      </w:r>
      <w:r>
        <w:t xml:space="preserve">“</w:t>
      </w:r>
      <w:r>
        <w:t xml:space="preserve">kṅiti ca</w:t>
      </w:r>
      <w:r>
        <w:t xml:space="preserve">”</w:t>
      </w:r>
      <w:r>
        <w:t xml:space="preserve"> </w:t>
      </w:r>
      <w:r>
        <w:t xml:space="preserve">(पा. सू. १-१-५);</w:t>
      </w:r>
      <w:r>
        <w:t xml:space="preserve"> </w:t>
      </w:r>
      <w:r>
        <w:rPr>
          <w:iCs/>
          <w:i/>
        </w:rPr>
        <w:t xml:space="preserve">puganta-laghūpadhasya ca</w:t>
      </w:r>
      <w:r>
        <w:t xml:space="preserve"> </w:t>
      </w:r>
      <w:r>
        <w:t xml:space="preserve">(पा. सू. ७-३-८६) gives</w:t>
      </w:r>
      <w:r>
        <w:t xml:space="preserve"> </w:t>
      </w:r>
      <w:r>
        <w:rPr>
          <w:iCs/>
          <w:i/>
        </w:rPr>
        <w:t xml:space="preserve">guṇa</w:t>
      </w:r>
      <w:r>
        <w:t xml:space="preserve">; the</w:t>
      </w:r>
      <w:r>
        <w:t xml:space="preserve"> </w:t>
      </w:r>
      <w:r>
        <w:rPr>
          <w:iCs/>
          <w:i/>
        </w:rPr>
        <w:t xml:space="preserve">th</w:t>
      </w:r>
      <w:r>
        <w:t xml:space="preserve"> </w:t>
      </w:r>
      <w:r>
        <w:t xml:space="preserve">of</w:t>
      </w:r>
      <w:r>
        <w:t xml:space="preserve"> </w:t>
      </w:r>
      <w:r>
        <w:rPr>
          <w:iCs/>
          <w:i/>
        </w:rPr>
        <w:t xml:space="preserve">thās</w:t>
      </w:r>
      <w:r>
        <w:t xml:space="preserve"> </w:t>
      </w:r>
      <w:r>
        <w:t xml:space="preserve">dropped by Vedic license;</w:t>
      </w:r>
      <w:r>
        <w:t xml:space="preserve"> </w:t>
      </w:r>
      <w:r>
        <w:rPr>
          <w:iCs/>
          <w:i/>
        </w:rPr>
        <w:t xml:space="preserve">joṣ</w:t>
      </w:r>
      <w:r>
        <w:t xml:space="preserve"> </w:t>
      </w:r>
      <w:r>
        <w:t xml:space="preserve">+</w:t>
      </w:r>
      <w:r>
        <w:t xml:space="preserve"> </w:t>
      </w:r>
      <w:r>
        <w:rPr>
          <w:iCs/>
          <w:i/>
        </w:rPr>
        <w:t xml:space="preserve">ās</w:t>
      </w:r>
      <w:r>
        <w:t xml:space="preserve"> </w:t>
      </w:r>
      <w:r>
        <w:t xml:space="preserve">gives a</w:t>
      </w:r>
      <w:r>
        <w:t xml:space="preserve"> </w:t>
      </w:r>
      <w:r>
        <w:rPr>
          <w:iCs/>
          <w:i/>
        </w:rPr>
        <w:t xml:space="preserve">savarṇa-dīrgha</w:t>
      </w:r>
      <w:r>
        <w:t xml:space="preserve"> </w:t>
      </w:r>
      <w:r>
        <w:t xml:space="preserve">(पा. सू. ६-१-१०१),</w:t>
      </w:r>
      <w:r>
        <w:t xml:space="preserve"> </w:t>
      </w:r>
      <w:r>
        <w:rPr>
          <w:iCs/>
          <w:i/>
        </w:rPr>
        <w:t xml:space="preserve">joṣās</w:t>
      </w:r>
      <w:r>
        <w:t xml:space="preserve">; the augment</w:t>
      </w:r>
      <w:r>
        <w:t xml:space="preserve"> </w:t>
      </w:r>
      <w:r>
        <w:t xml:space="preserve">“</w:t>
      </w:r>
      <w:r>
        <w:t xml:space="preserve">aṭ</w:t>
      </w:r>
      <w:r>
        <w:t xml:space="preserve">”</w:t>
      </w:r>
      <w:r>
        <w:t xml:space="preserve"> </w:t>
      </w:r>
      <w:r>
        <w:t xml:space="preserve">is acute, and that accent, taught later, stays;</w:t>
      </w:r>
      <w:r>
        <w:t xml:space="preserve"> </w:t>
      </w:r>
      <w:r>
        <w:rPr>
          <w:iCs/>
          <w:i/>
        </w:rPr>
        <w:t xml:space="preserve">ru</w:t>
      </w:r>
      <w:r>
        <w:t xml:space="preserve">-and-visarga give</w:t>
      </w:r>
      <w:r>
        <w:t xml:space="preserve"> </w:t>
      </w:r>
      <w:r>
        <w:rPr>
          <w:iCs/>
          <w:i/>
        </w:rPr>
        <w:t xml:space="preserve">ajoṣāḥ</w:t>
      </w:r>
      <w:r>
        <w:t xml:space="preserve">.</w:t>
      </w:r>
      <w:r>
        <w:t xml:space="preserve"> </w:t>
      </w:r>
      <w:r>
        <w:rPr>
          <w:bCs/>
          <w:b/>
        </w:rPr>
        <w:t xml:space="preserve">वृषभम् (</w:t>
      </w:r>
      <w:r>
        <w:rPr>
          <w:iCs/>
          <w:i/>
          <w:bCs/>
          <w:b/>
        </w:rPr>
        <w:t xml:space="preserve">vṛṣabham</w:t>
      </w:r>
      <w:r>
        <w:rPr>
          <w:bCs/>
          <w:b/>
        </w:rPr>
        <w:t xml:space="preserve">)</w:t>
      </w:r>
      <w:r>
        <w:t xml:space="preserve"> </w:t>
      </w:r>
      <w:r>
        <w:t xml:space="preserve">—</w:t>
      </w:r>
      <w:r>
        <w:t xml:space="preserve"> </w:t>
      </w:r>
      <w:r>
        <w:rPr>
          <w:bCs/>
          <w:b/>
        </w:rPr>
        <w:t xml:space="preserve">ऋषिवृषिभ्यां कित्</w:t>
      </w:r>
      <w:r>
        <w:t xml:space="preserve"> </w:t>
      </w:r>
      <w:r>
        <w:t xml:space="preserve">(उ. सू. ३-४०६ [?], as printed), with</w:t>
      </w:r>
      <w:r>
        <w:t xml:space="preserve"> </w:t>
      </w:r>
      <w:r>
        <w:t xml:space="preserve">“</w:t>
      </w:r>
      <w:r>
        <w:t xml:space="preserve">abhac</w:t>
      </w:r>
      <w:r>
        <w:t xml:space="preserve">”</w:t>
      </w:r>
      <w:r>
        <w:t xml:space="preserve"> </w:t>
      </w:r>
      <w:r>
        <w:t xml:space="preserve">carried from</w:t>
      </w:r>
      <w:r>
        <w:t xml:space="preserve"> </w:t>
      </w:r>
      <w:r>
        <w:rPr>
          <w:bCs/>
          <w:b/>
        </w:rPr>
        <w:t xml:space="preserve">कॄशॄशलिकलिगर्दिभ्योऽभच्</w:t>
      </w:r>
      <w:r>
        <w:t xml:space="preserve"> </w:t>
      </w:r>
      <w:r>
        <w:t xml:space="preserve">(उ. सू. ३-४०५ [?]): after the roots</w:t>
      </w:r>
      <w:r>
        <w:t xml:space="preserve"> </w:t>
      </w:r>
      <w:r>
        <w:rPr>
          <w:iCs/>
          <w:i/>
        </w:rPr>
        <w:t xml:space="preserve">ṛṣi</w:t>
      </w:r>
      <w:r>
        <w:t xml:space="preserve"> </w:t>
      </w:r>
      <w:r>
        <w:t xml:space="preserve">and</w:t>
      </w:r>
      <w:r>
        <w:t xml:space="preserve"> </w:t>
      </w:r>
      <w:r>
        <w:rPr>
          <w:iCs/>
          <w:i/>
        </w:rPr>
        <w:t xml:space="preserve">vṛṣi</w:t>
      </w:r>
      <w:r>
        <w:t xml:space="preserve"> </w:t>
      </w:r>
      <w:r>
        <w:t xml:space="preserve">the suffix</w:t>
      </w:r>
      <w:r>
        <w:t xml:space="preserve"> </w:t>
      </w:r>
      <w:r>
        <w:rPr>
          <w:iCs/>
          <w:i/>
        </w:rPr>
        <w:t xml:space="preserve">abhac</w:t>
      </w:r>
      <w:r>
        <w:t xml:space="preserve"> </w:t>
      </w:r>
      <w:r>
        <w:t xml:space="preserve">arises, with</w:t>
      </w:r>
      <w:r>
        <w:t xml:space="preserve"> </w:t>
      </w:r>
      <w:r>
        <w:rPr>
          <w:iCs/>
          <w:i/>
        </w:rPr>
        <w:t xml:space="preserve">kit</w:t>
      </w:r>
      <w:r>
        <w:t xml:space="preserve"> </w:t>
      </w:r>
      <w:r>
        <w:t xml:space="preserve">force, so no</w:t>
      </w:r>
      <w:r>
        <w:t xml:space="preserve"> </w:t>
      </w:r>
      <w:r>
        <w:rPr>
          <w:iCs/>
          <w:i/>
        </w:rPr>
        <w:t xml:space="preserve">laghūpadha-guṇa</w:t>
      </w:r>
      <w:r>
        <w:t xml:space="preserve">;</w:t>
      </w:r>
      <w:r>
        <w:t xml:space="preserve"> </w:t>
      </w:r>
      <w:r>
        <w:rPr>
          <w:iCs/>
          <w:i/>
        </w:rPr>
        <w:t xml:space="preserve">vṛṣ</w:t>
      </w:r>
      <w:r>
        <w:t xml:space="preserve"> </w:t>
      </w:r>
      <w:r>
        <w:t xml:space="preserve">+</w:t>
      </w:r>
      <w:r>
        <w:t xml:space="preserve"> </w:t>
      </w:r>
      <w:r>
        <w:rPr>
          <w:iCs/>
          <w:i/>
        </w:rPr>
        <w:t xml:space="preserve">abha</w:t>
      </w:r>
      <w:r>
        <w:t xml:space="preserve"> </w:t>
      </w:r>
      <w:r>
        <w:t xml:space="preserve">→</w:t>
      </w:r>
      <w:r>
        <w:t xml:space="preserve"> </w:t>
      </w:r>
      <w:r>
        <w:rPr>
          <w:iCs/>
          <w:i/>
        </w:rPr>
        <w:t xml:space="preserve">vṛṣabha</w:t>
      </w:r>
      <w:r>
        <w:t xml:space="preserve">; the suffix is</w:t>
      </w:r>
      <w:r>
        <w:t xml:space="preserve"> </w:t>
      </w:r>
      <w:r>
        <w:rPr>
          <w:iCs/>
          <w:i/>
        </w:rPr>
        <w:t xml:space="preserve">cit</w:t>
      </w:r>
      <w:r>
        <w:t xml:space="preserve">, so final-udātta (पा. सू. ६-१-१६३).</w:t>
      </w:r>
      <w:r>
        <w:t xml:space="preserve"> </w:t>
      </w:r>
      <w:r>
        <w:rPr>
          <w:bCs/>
          <w:b/>
        </w:rPr>
        <w:t xml:space="preserve">पतिम् (</w:t>
      </w:r>
      <w:r>
        <w:rPr>
          <w:iCs/>
          <w:i/>
          <w:bCs/>
          <w:b/>
        </w:rPr>
        <w:t xml:space="preserve">patim</w:t>
      </w:r>
      <w:r>
        <w:rPr>
          <w:bCs/>
          <w:b/>
        </w:rPr>
        <w:t xml:space="preserve">)</w:t>
      </w:r>
      <w:r>
        <w:t xml:space="preserve"> </w:t>
      </w:r>
      <w:r>
        <w:t xml:space="preserve">— root</w:t>
      </w:r>
      <w:r>
        <w:t xml:space="preserve"> </w:t>
      </w:r>
      <w:r>
        <w:rPr>
          <w:iCs/>
          <w:i/>
        </w:rPr>
        <w:t xml:space="preserve">pā rakṣaṇe</w:t>
      </w:r>
      <w:r>
        <w:t xml:space="preserve">;</w:t>
      </w:r>
      <w:r>
        <w:t xml:space="preserve"> </w:t>
      </w:r>
      <w:r>
        <w:rPr>
          <w:bCs/>
          <w:b/>
        </w:rPr>
        <w:t xml:space="preserve">पातेर्डतिः</w:t>
      </w:r>
      <w:r>
        <w:t xml:space="preserve"> </w:t>
      </w:r>
      <w:r>
        <w:t xml:space="preserve">(उ. सू. ४-४९८ [?], the figures unclear) — after</w:t>
      </w:r>
      <w:r>
        <w:t xml:space="preserve"> </w:t>
      </w:r>
      <w:r>
        <w:rPr>
          <w:iCs/>
          <w:i/>
        </w:rPr>
        <w:t xml:space="preserve">pā</w:t>
      </w:r>
      <w:r>
        <w:t xml:space="preserve"> </w:t>
      </w:r>
      <w:r>
        <w:t xml:space="preserve">in the sense of protecting, the suffix</w:t>
      </w:r>
      <w:r>
        <w:t xml:space="preserve"> </w:t>
      </w:r>
      <w:r>
        <w:rPr>
          <w:iCs/>
          <w:i/>
        </w:rPr>
        <w:t xml:space="preserve">ḍati</w:t>
      </w:r>
      <w:r>
        <w:t xml:space="preserve">;</w:t>
      </w:r>
      <w:r>
        <w:t xml:space="preserve"> </w:t>
      </w:r>
      <w:r>
        <w:rPr>
          <w:iCs/>
          <w:i/>
        </w:rPr>
        <w:t xml:space="preserve">ḍit</w:t>
      </w:r>
      <w:r>
        <w:t xml:space="preserve">, so the</w:t>
      </w:r>
      <w:r>
        <w:t xml:space="preserve"> </w:t>
      </w:r>
      <w:r>
        <w:rPr>
          <w:iCs/>
          <w:i/>
        </w:rPr>
        <w:t xml:space="preserve">ā</w:t>
      </w:r>
      <w:r>
        <w:t xml:space="preserve"> </w:t>
      </w:r>
      <w:r>
        <w:t xml:space="preserve">of</w:t>
      </w:r>
      <w:r>
        <w:t xml:space="preserve"> </w:t>
      </w:r>
      <w:r>
        <w:rPr>
          <w:iCs/>
          <w:i/>
        </w:rPr>
        <w:t xml:space="preserve">pā</w:t>
      </w:r>
      <w:r>
        <w:t xml:space="preserve"> </w:t>
      </w:r>
      <w:r>
        <w:t xml:space="preserve">(the</w:t>
      </w:r>
      <w:r>
        <w:t xml:space="preserve"> </w:t>
      </w:r>
      <w:r>
        <w:rPr>
          <w:iCs/>
          <w:i/>
        </w:rPr>
        <w:t xml:space="preserve">ṭi</w:t>
      </w:r>
      <w:r>
        <w:t xml:space="preserve">) is dropped; initial-udātta by the suffix.</w:t>
      </w:r>
    </w:p>
    <w:p>
      <w:pPr>
        <w:pStyle w:val="BodyText"/>
      </w:pPr>
      <w:r>
        <w:rPr>
          <w:bCs/>
          <w:b/>
        </w:rPr>
        <w:t xml:space="preserve">॥४॥</w:t>
      </w:r>
    </w:p>
    <w:p>
      <w:r>
        <w:pict>
          <v:rect style="width:0;height:1.5pt" o:hralign="center" o:hrstd="t" o:hr="t"/>
        </w:pict>
      </w:r>
    </w:p>
    <w:bookmarkEnd w:id="386"/>
    <w:bookmarkStart w:id="387" w:name="page-358-sūkta-9-rik-5"/>
    <w:p>
      <w:pPr>
        <w:pStyle w:val="Heading3"/>
      </w:pPr>
      <w:r>
        <w:t xml:space="preserve">Page 358 — Sūkta 9, Rik 5</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सं चो॑दय चि॒त्रम॒र्वाग्राध॑ इन्द्र॒ वरे॑ण्यम् ।</w:t>
      </w:r>
      <w:r>
        <w:t xml:space="preserve"> </w:t>
      </w:r>
      <w:r>
        <w:t xml:space="preserve">अस॒दित्ते॑ वि॒भु प्र॒भु ॥५॥</w:t>
      </w:r>
    </w:p>
    <w:p>
      <w:pPr>
        <w:pStyle w:val="BlockText"/>
      </w:pPr>
      <w:r>
        <w:rPr>
          <w:iCs/>
          <w:i/>
        </w:rPr>
        <w:t xml:space="preserve">sáṃ codaya citrám arvā́g rā́dha indra váreṇyam |</w:t>
      </w:r>
      <w:r>
        <w:t xml:space="preserve"> </w:t>
      </w:r>
      <w:r>
        <w:rPr>
          <w:iCs/>
          <w:i/>
        </w:rPr>
        <w:t xml:space="preserve">asad ít te vibhú prabhú ||5||</w:t>
      </w:r>
    </w:p>
    <w:p>
      <w:pPr>
        <w:pStyle w:val="FirstParagraph"/>
      </w:pPr>
      <w:r>
        <w:rPr>
          <w:bCs/>
          <w:b/>
        </w:rPr>
        <w:t xml:space="preserve">॥ Pada-pāṭhaḥ ॥</w:t>
      </w:r>
    </w:p>
    <w:p>
      <w:pPr>
        <w:pStyle w:val="BlockText"/>
      </w:pPr>
      <w:r>
        <w:t xml:space="preserve">सम् । चोदय । चित्रम् । अर्वाक् । राधः । इन्द्र । वरेण्यम् ॥</w:t>
      </w:r>
      <w:r>
        <w:t xml:space="preserve"> </w:t>
      </w:r>
      <w:r>
        <w:t xml:space="preserve">असत् । इत् । ते । विऽभु । प्रऽभु ॥५॥</w:t>
      </w:r>
    </w:p>
    <w:p>
      <w:pPr>
        <w:pStyle w:val="BlockText"/>
      </w:pPr>
      <w:r>
        <w:rPr>
          <w:iCs/>
          <w:i/>
        </w:rPr>
        <w:t xml:space="preserve">sam | codaya | citram | arvāk | rādhaḥ | indra | vareṇyam ||</w:t>
      </w:r>
      <w:r>
        <w:t xml:space="preserve"> </w:t>
      </w:r>
      <w:r>
        <w:rPr>
          <w:iCs/>
          <w:i/>
        </w:rPr>
        <w:t xml:space="preserve">asat | it | te | vi-bhu | pra-bhu ||5||</w:t>
      </w:r>
    </w:p>
    <w:bookmarkEnd w:id="387"/>
    <w:bookmarkStart w:id="388" w:name="page-359-rik-5-sāyaṇa-bhāṣya"/>
    <w:p>
      <w:pPr>
        <w:pStyle w:val="Heading3"/>
      </w:pPr>
      <w:r>
        <w:t xml:space="preserve">Page 359 — Rik 5: Sāyaṇa-bhāṣya</w:t>
      </w:r>
    </w:p>
    <w:p>
      <w:pPr>
        <w:pStyle w:val="FirstParagraph"/>
      </w:pPr>
      <w:r>
        <w:rPr>
          <w:bCs/>
          <w:b/>
        </w:rPr>
        <w:t xml:space="preserve">॥ Sāyaṇa-bhāṣyam ॥</w:t>
      </w:r>
    </w:p>
    <w:p>
      <w:pPr>
        <w:pStyle w:val="BlockText"/>
      </w:pPr>
      <w:r>
        <w:t xml:space="preserve">हे इन्द्र वरेण्यं श्रेष्ठं राधो धनं चित्रं मणिमुक्तादिरूपेण बहुविधमर्वागस्मदभिमुखं यथा भवति तथा संचोदय । सम्यक् प्रेरय । भोगाय यावत्पर्याप्तं तावद्विभुशब्देनोच्यते । ततोऽप्यधिकं प्रभुशब्देन । तादृशं धनं ते तवैवासदित् । अस्त्येव । तस्मादस्मभ्यं प्रयच्छेत्यर्थः । मघमित्यादिष्वष्टाविंशतिधननामसु रायो राध इति पठितम् ॥ चोदय । चुद प्रेरणे । ण्यन्ताल्लोट् । तिङ्ङतिङ इति निघातः । राधः । राध्नुवन्त्यनेनेति राधो धनम् । सर्वधातुभ्योऽसुन् । उ. ४-१८८ । नित्त्वादाद्युदात्तः । वरेण्यम् । वृञ एण्यः । वृषादित्वादाद्युदात्तः । असत् । अस भुवि । लेट् । तिप् । इतश्च लोपः । पा. ३-४-९७ । इतीकारलोपः । लेटोऽडाटावित्यडागमः । अदिप्रभृतिभ्यः शप इति शपो लुक् । आगमा अनुदात्ता इत्यटोऽनुदात्तत्वाद्धातुस्वर एव । विभु । विभवतीति विभु । भुव इत्यनुवृत्तौ विप्रसंभ्यो ड्वसंज्ञायाम् । पा. ३-२-१८० । इति डुप्रत्ययः । डित्त्वाट्टिलोपः । प्रत्ययस्वरेणोकार उदात्तः । कृदुत्तरपदप्रकृतिस्वरेण स एव शिष्यते । एवं प्रभु ॥</w:t>
      </w:r>
    </w:p>
    <w:p>
      <w:pPr>
        <w:pStyle w:val="BlockText"/>
      </w:pPr>
      <w:r>
        <w:rPr>
          <w:iCs/>
          <w:i/>
        </w:rPr>
        <w:t xml:space="preserve">he indra vareṇyaṃ śreṣṭhaṃ rādho dhanaṃ citraṃ maṇi-muktādi-rūpeṇa bahuvidham arvāg asmad-abhimukhaṃ yathā bhavati tathā saṃcodaya | samyak preraya | bhogāya yāvat paryāptaṃ tāvad vibhu-śabdenocyate | tato ’py adhikaṃ prabhu-śabdena | tādṛśaṃ dhanaṃ te tavaivāsad it | asty eva | tasmād asmabhyaṃ prayacchety arthaḥ | magham ity-ādiṣv aṣṭāviṃśati-dhana-nāmasu rāyo rādha iti paṭhitam || codaya | cuda preraṇe | ṇyantāl loṭ | tiṅṅatiṅa iti nighātaḥ | rādhaḥ | rādhnuvanty aneneti rādho dhanam | sarva-dhātubhyo ’sun | u. 4-188 | nittvād ādyudāttaḥ | vareṇyam | vṛña eṇyaḥ | vṛṣāditvād ādyudāttaḥ | asat | asa bhuvi | leṭ | tip | itaś ca lopaḥ | pā. 3-4-97 | itīkāra-lopaḥ | leṭo ’ḍāṭāv ity aḍ-āgamaḥ | adiprabhṛtibhyaḥ śapa iti śapo luk | āgamā anudāttā ity aṭo ’nudāttatvād dhātu-svara eva | vibhu | vibhavatīti vibhu | bhuva ity anuvṛttau vi-pra-saṃbhyo ḍv asaṃjñāyām | pā. 3-2-180 | iti ḍu-pratyayaḥ | ḍittvāṭ ṭi-lopaḥ | pratyaya-svareṇokāra udāttaḥ | kṛd-uttarapada-prakṛti-svareṇa sa eva śiṣyate | evaṃ prabhu ||</w:t>
      </w:r>
    </w:p>
    <w:p>
      <w:pPr>
        <w:pStyle w:val="FirstParagraph"/>
      </w:pPr>
      <w:r>
        <w:rPr>
          <w:bCs/>
          <w:b/>
        </w:rPr>
        <w:t xml:space="preserve">Translation:</w:t>
      </w:r>
      <w:r>
        <w:t xml:space="preserve"> </w:t>
      </w:r>
      <w:r>
        <w:t xml:space="preserve">“</w:t>
      </w:r>
      <w:r>
        <w:t xml:space="preserve">O Indra!</w:t>
      </w:r>
      <w:r>
        <w:t xml:space="preserve"> </w:t>
      </w:r>
      <w:r>
        <w:rPr>
          <w:iCs/>
          <w:i/>
        </w:rPr>
        <w:t xml:space="preserve">Vareṇyam</w:t>
      </w:r>
      <w:r>
        <w:t xml:space="preserve"> </w:t>
      </w:r>
      <w:r>
        <w:t xml:space="preserve">— choicest —</w:t>
      </w:r>
      <w:r>
        <w:t xml:space="preserve"> </w:t>
      </w:r>
      <w:r>
        <w:rPr>
          <w:iCs/>
          <w:i/>
        </w:rPr>
        <w:t xml:space="preserve">rādhaḥ</w:t>
      </w:r>
      <w:r>
        <w:t xml:space="preserve">, wealth,</w:t>
      </w:r>
      <w:r>
        <w:t xml:space="preserve"> </w:t>
      </w:r>
      <w:r>
        <w:rPr>
          <w:iCs/>
          <w:i/>
        </w:rPr>
        <w:t xml:space="preserve">citram</w:t>
      </w:r>
      <w:r>
        <w:t xml:space="preserve"> </w:t>
      </w:r>
      <w:r>
        <w:t xml:space="preserve">— of many kinds, in the form of jewels, pearls and the like — send forth (</w:t>
      </w:r>
      <w:r>
        <w:rPr>
          <w:iCs/>
          <w:i/>
        </w:rPr>
        <w:t xml:space="preserve">saṃ codaya</w:t>
      </w:r>
      <w:r>
        <w:t xml:space="preserve">; urge well) so that it is</w:t>
      </w:r>
      <w:r>
        <w:t xml:space="preserve"> </w:t>
      </w:r>
      <w:r>
        <w:rPr>
          <w:iCs/>
          <w:i/>
        </w:rPr>
        <w:t xml:space="preserve">arvāk</w:t>
      </w:r>
      <w:r>
        <w:t xml:space="preserve"> </w:t>
      </w:r>
      <w:r>
        <w:t xml:space="preserve">— turned towards us. [Wealth] as much as is sufficient for enjoyment is called by the word</w:t>
      </w:r>
      <w:r>
        <w:t xml:space="preserve"> </w:t>
      </w:r>
      <w:r>
        <w:rPr>
          <w:iCs/>
          <w:i/>
        </w:rPr>
        <w:t xml:space="preserve">vibhu</w:t>
      </w:r>
      <w:r>
        <w:t xml:space="preserve">; what is even more than that, by the word</w:t>
      </w:r>
      <w:r>
        <w:t xml:space="preserve"> </w:t>
      </w:r>
      <w:r>
        <w:rPr>
          <w:iCs/>
          <w:i/>
        </w:rPr>
        <w:t xml:space="preserve">prabhu</w:t>
      </w:r>
      <w:r>
        <w:t xml:space="preserve">: such wealth is indeed yours (</w:t>
      </w:r>
      <w:r>
        <w:rPr>
          <w:iCs/>
          <w:i/>
        </w:rPr>
        <w:t xml:space="preserve">asad it</w:t>
      </w:r>
      <w:r>
        <w:t xml:space="preserve">: it exists). Therefore give it to us: this is the sense. Among the twenty-eight words for</w:t>
      </w:r>
      <w:r>
        <w:t xml:space="preserve"> </w:t>
      </w:r>
      <w:r>
        <w:t xml:space="preserve">‘</w:t>
      </w:r>
      <w:r>
        <w:t xml:space="preserve">wealth</w:t>
      </w:r>
      <w:r>
        <w:t xml:space="preserve">’</w:t>
      </w:r>
      <w:r>
        <w:t xml:space="preserve"> </w:t>
      </w:r>
      <w:r>
        <w:t xml:space="preserve">beginning with</w:t>
      </w:r>
      <w:r>
        <w:t xml:space="preserve"> </w:t>
      </w:r>
      <w:r>
        <w:rPr>
          <w:iCs/>
          <w:i/>
        </w:rPr>
        <w:t xml:space="preserve">magham</w:t>
      </w:r>
      <w:r>
        <w:t xml:space="preserve">,</w:t>
      </w:r>
      <w:r>
        <w:t xml:space="preserve"> </w:t>
      </w:r>
      <w:r>
        <w:rPr>
          <w:iCs/>
          <w:i/>
        </w:rPr>
        <w:t xml:space="preserve">rāyaḥ</w:t>
      </w:r>
      <w:r>
        <w:t xml:space="preserve"> </w:t>
      </w:r>
      <w:r>
        <w:t xml:space="preserve">and</w:t>
      </w:r>
      <w:r>
        <w:t xml:space="preserve"> </w:t>
      </w:r>
      <w:r>
        <w:rPr>
          <w:iCs/>
          <w:i/>
        </w:rPr>
        <w:t xml:space="preserve">rādhaḥ</w:t>
      </w:r>
      <w:r>
        <w:t xml:space="preserve"> </w:t>
      </w:r>
      <w:r>
        <w:t xml:space="preserve">are read.</w:t>
      </w:r>
      <w:r>
        <w:t xml:space="preserve"> </w:t>
      </w:r>
      <w:r>
        <w:rPr>
          <w:iCs/>
          <w:i/>
        </w:rPr>
        <w:t xml:space="preserve">(Grammar: ”codaya,” nighāta; ”rādhaḥ,” ”asun” (Uṇ. 4-188), first-syllable acute; ”vareṇyam,” ”eṇya,” first-syllable acute as vṛṣādi; ”asat,” ”leṭ,” loss of ”i” (3-4-97), the augment ”aṭ,” ”śap” elided; the augment being unaccented, the root accent stays; ”vibhu,” ”ḍu” (3-2-180), the ”u” acute, kept in the compound; likewise ”prabhu.”)</w:t>
      </w:r>
      <w:r>
        <w:t xml:space="preserve">”</w:t>
      </w:r>
    </w:p>
    <w:p>
      <w:pPr>
        <w:pStyle w:val="BodyText"/>
      </w:pPr>
      <w:r>
        <w:rPr>
          <w:bCs/>
          <w:b/>
        </w:rPr>
        <w:t xml:space="preserve">॥ Prati-padārthaḥ ॥</w:t>
      </w:r>
    </w:p>
    <w:p>
      <w:pPr>
        <w:pStyle w:val="BodyText"/>
      </w:pPr>
      <w:r>
        <w:rPr>
          <w:bCs/>
          <w:b/>
        </w:rPr>
        <w:t xml:space="preserve">(हे) इन्द्र ((he) indra)</w:t>
      </w:r>
      <w:r>
        <w:t xml:space="preserve"> </w:t>
      </w:r>
      <w:r>
        <w:t xml:space="preserve">— O Indra |</w:t>
      </w:r>
      <w:r>
        <w:t xml:space="preserve"> </w:t>
      </w:r>
      <w:r>
        <w:rPr>
          <w:bCs/>
          <w:b/>
        </w:rPr>
        <w:t xml:space="preserve">वरेण्यम् (vareṇyam)</w:t>
      </w:r>
      <w:r>
        <w:t xml:space="preserve"> </w:t>
      </w:r>
      <w:r>
        <w:t xml:space="preserve">— choicest |</w:t>
      </w:r>
      <w:r>
        <w:t xml:space="preserve"> </w:t>
      </w:r>
      <w:r>
        <w:rPr>
          <w:bCs/>
          <w:b/>
        </w:rPr>
        <w:t xml:space="preserve">चित्रम् (citram)</w:t>
      </w:r>
      <w:r>
        <w:t xml:space="preserve"> </w:t>
      </w:r>
      <w:r>
        <w:t xml:space="preserve">— of many kinds |</w:t>
      </w:r>
      <w:r>
        <w:t xml:space="preserve"> </w:t>
      </w:r>
      <w:r>
        <w:rPr>
          <w:bCs/>
          <w:b/>
        </w:rPr>
        <w:t xml:space="preserve">राधः (rādhaḥ)</w:t>
      </w:r>
      <w:r>
        <w:t xml:space="preserve"> </w:t>
      </w:r>
      <w:r>
        <w:t xml:space="preserve">— wealth |</w:t>
      </w:r>
      <w:r>
        <w:t xml:space="preserve"> </w:t>
      </w:r>
      <w:r>
        <w:rPr>
          <w:bCs/>
          <w:b/>
        </w:rPr>
        <w:t xml:space="preserve">अर्वाक् (arvāk)</w:t>
      </w:r>
      <w:r>
        <w:t xml:space="preserve"> </w:t>
      </w:r>
      <w:r>
        <w:t xml:space="preserve">— (let it be) before us (by us) |</w:t>
      </w:r>
      <w:r>
        <w:t xml:space="preserve"> </w:t>
      </w:r>
      <w:r>
        <w:rPr>
          <w:bCs/>
          <w:b/>
        </w:rPr>
        <w:t xml:space="preserve">सं चोदय (saṃ codaya)</w:t>
      </w:r>
      <w:r>
        <w:t xml:space="preserve"> </w:t>
      </w:r>
      <w:r>
        <w:t xml:space="preserve">— impel — (that is, give) | (for)</w:t>
      </w:r>
      <w:r>
        <w:t xml:space="preserve"> </w:t>
      </w:r>
      <w:r>
        <w:rPr>
          <w:bCs/>
          <w:b/>
        </w:rPr>
        <w:t xml:space="preserve">ते (te)</w:t>
      </w:r>
      <w:r>
        <w:t xml:space="preserve"> </w:t>
      </w:r>
      <w:r>
        <w:t xml:space="preserve">— with you |</w:t>
      </w:r>
      <w:r>
        <w:t xml:space="preserve"> </w:t>
      </w:r>
      <w:r>
        <w:rPr>
          <w:bCs/>
          <w:b/>
        </w:rPr>
        <w:t xml:space="preserve">विभु (vibhu)</w:t>
      </w:r>
      <w:r>
        <w:t xml:space="preserve"> </w:t>
      </w:r>
      <w:r>
        <w:t xml:space="preserve">— [wealth] sufficient for enjoyment | (and)</w:t>
      </w:r>
      <w:r>
        <w:t xml:space="preserve"> </w:t>
      </w:r>
      <w:r>
        <w:rPr>
          <w:bCs/>
          <w:b/>
        </w:rPr>
        <w:t xml:space="preserve">प्रभु (prabhu)</w:t>
      </w:r>
      <w:r>
        <w:t xml:space="preserve"> </w:t>
      </w:r>
      <w:r>
        <w:t xml:space="preserve">— still greater than that |</w:t>
      </w:r>
      <w:r>
        <w:t xml:space="preserve"> </w:t>
      </w:r>
      <w:r>
        <w:rPr>
          <w:bCs/>
          <w:b/>
        </w:rPr>
        <w:t xml:space="preserve">असत् इत् (asat it)</w:t>
      </w:r>
      <w:r>
        <w:t xml:space="preserve"> </w:t>
      </w:r>
      <w:r>
        <w:t xml:space="preserve">— wealth indeed exists.</w:t>
      </w:r>
    </w:p>
    <w:p>
      <w:pPr>
        <w:pStyle w:val="BodyText"/>
      </w:pPr>
      <w:r>
        <w:rPr>
          <w:bCs/>
          <w:b/>
        </w:rPr>
        <w:t xml:space="preserve">॥ Bhāvārthaḥ ॥</w:t>
      </w:r>
    </w:p>
    <w:p>
      <w:pPr>
        <w:pStyle w:val="BodyText"/>
      </w:pPr>
      <w:r>
        <w:t xml:space="preserve">O Indra! Make the choice and varied wealth available to us. For with you there is wealth enough for the enjoyment of everyone, and much more than that.</w:t>
      </w:r>
    </w:p>
    <w:bookmarkEnd w:id="388"/>
    <w:bookmarkStart w:id="389" w:name="X73934ba9280dc4eb0eafbdb5408706d9ba4d82d"/>
    <w:p>
      <w:pPr>
        <w:pStyle w:val="Heading3"/>
      </w:pPr>
      <w:r>
        <w:t xml:space="preserve">Page 360 — Rik 5: English, Special Topics, grammar</w:t>
      </w:r>
    </w:p>
    <w:p>
      <w:pPr>
        <w:pStyle w:val="FirstParagraph"/>
      </w:pPr>
      <w:r>
        <w:rPr>
          <w:bCs/>
          <w:b/>
        </w:rPr>
        <w:t xml:space="preserve">॥ English Translation ॥</w:t>
      </w:r>
      <w:r>
        <w:t xml:space="preserve"> </w:t>
      </w:r>
      <w:r>
        <w:rPr>
          <w:iCs/>
          <w:i/>
        </w:rPr>
        <w:t xml:space="preserve">(as printed in the source)</w:t>
      </w:r>
    </w:p>
    <w:p>
      <w:pPr>
        <w:pStyle w:val="BlockText"/>
      </w:pPr>
      <w:r>
        <w:t xml:space="preserve">Place before us, O Indra, precious and different kinds of riches, for you have riches enough and more than enough.</w:t>
      </w:r>
    </w:p>
    <w:p>
      <w:pPr>
        <w:pStyle w:val="FirstParagraph"/>
      </w:pPr>
      <w:r>
        <w:rPr>
          <w:bCs/>
          <w:b/>
        </w:rPr>
        <w:t xml:space="preserve">॥ Viśeṣa-viṣayagaḷu (Special Topics) ॥</w:t>
      </w:r>
    </w:p>
    <w:p>
      <w:pPr>
        <w:pStyle w:val="BodyText"/>
      </w:pPr>
      <w:r>
        <w:rPr>
          <w:bCs/>
          <w:b/>
        </w:rPr>
        <w:t xml:space="preserve">“</w:t>
      </w:r>
      <w:r>
        <w:rPr>
          <w:bCs/>
          <w:b/>
        </w:rPr>
        <w:t xml:space="preserve">Saṃ codaya</w:t>
      </w:r>
      <w:r>
        <w:rPr>
          <w:bCs/>
          <w:b/>
        </w:rPr>
        <w:t xml:space="preserve">”</w:t>
      </w:r>
      <w:r>
        <w:t xml:space="preserve"> </w:t>
      </w:r>
      <w:r>
        <w:t xml:space="preserve">—</w:t>
      </w:r>
      <w:r>
        <w:t xml:space="preserve"> </w:t>
      </w:r>
      <w:r>
        <w:t xml:space="preserve">“</w:t>
      </w:r>
      <w:r>
        <w:t xml:space="preserve">impel the wealth</w:t>
      </w:r>
      <w:r>
        <w:t xml:space="preserve">”</w:t>
      </w:r>
      <w:r>
        <w:t xml:space="preserve">: that is, bestow it so that it comes to us; give the wealth.</w:t>
      </w:r>
    </w:p>
    <w:p>
      <w:pPr>
        <w:pStyle w:val="BodyText"/>
      </w:pPr>
      <w:r>
        <w:rPr>
          <w:bCs/>
          <w:b/>
        </w:rPr>
        <w:t xml:space="preserve">“</w:t>
      </w:r>
      <w:r>
        <w:rPr>
          <w:bCs/>
          <w:b/>
        </w:rPr>
        <w:t xml:space="preserve">Citram</w:t>
      </w:r>
      <w:r>
        <w:rPr>
          <w:bCs/>
          <w:b/>
        </w:rPr>
        <w:t xml:space="preserve">”</w:t>
      </w:r>
      <w:r>
        <w:t xml:space="preserve"> </w:t>
      </w:r>
      <w:r>
        <w:t xml:space="preserve">—</w:t>
      </w:r>
      <w:r>
        <w:t xml:space="preserve"> </w:t>
      </w:r>
      <w:r>
        <w:t xml:space="preserve">“</w:t>
      </w:r>
      <w:r>
        <w:t xml:space="preserve">of various kinds</w:t>
      </w:r>
      <w:r>
        <w:t xml:space="preserve">”</w:t>
      </w:r>
      <w:r>
        <w:t xml:space="preserve">: that is, wealth consisting of goods, cows, animals, houses, sons and grandsons, and so on, of many kinds.</w:t>
      </w:r>
    </w:p>
    <w:p>
      <w:pPr>
        <w:pStyle w:val="BodyText"/>
      </w:pPr>
      <w:r>
        <w:rPr>
          <w:bCs/>
          <w:b/>
        </w:rPr>
        <w:t xml:space="preserve">“</w:t>
      </w:r>
      <w:r>
        <w:rPr>
          <w:bCs/>
          <w:b/>
        </w:rPr>
        <w:t xml:space="preserve">Arvāk</w:t>
      </w:r>
      <w:r>
        <w:rPr>
          <w:bCs/>
          <w:b/>
        </w:rPr>
        <w:t xml:space="preserve">”</w:t>
      </w:r>
      <w:r>
        <w:t xml:space="preserve"> </w:t>
      </w:r>
      <w:r>
        <w:t xml:space="preserve">—</w:t>
      </w:r>
      <w:r>
        <w:t xml:space="preserve"> </w:t>
      </w:r>
      <w:r>
        <w:t xml:space="preserve">“</w:t>
      </w:r>
      <w:r>
        <w:t xml:space="preserve">facing us</w:t>
      </w:r>
      <w:r>
        <w:t xml:space="preserve">”</w:t>
      </w:r>
      <w:r>
        <w:t xml:space="preserve">: that is, so that it is easily obtained by us, in front of us.</w:t>
      </w:r>
    </w:p>
    <w:p>
      <w:pPr>
        <w:pStyle w:val="BodyText"/>
      </w:pPr>
      <w:r>
        <w:rPr>
          <w:bCs/>
          <w:b/>
        </w:rPr>
        <w:t xml:space="preserve">“</w:t>
      </w:r>
      <w:r>
        <w:rPr>
          <w:bCs/>
          <w:b/>
        </w:rPr>
        <w:t xml:space="preserve">Rādhaḥ</w:t>
      </w:r>
      <w:r>
        <w:rPr>
          <w:bCs/>
          <w:b/>
        </w:rPr>
        <w:t xml:space="preserve">”</w:t>
      </w:r>
      <w:r>
        <w:t xml:space="preserve"> </w:t>
      </w:r>
      <w:r>
        <w:t xml:space="preserve">— among the twenty-eight words for wealth beginning with</w:t>
      </w:r>
      <w:r>
        <w:t xml:space="preserve"> </w:t>
      </w:r>
      <w:r>
        <w:rPr>
          <w:iCs/>
          <w:i/>
        </w:rPr>
        <w:t xml:space="preserve">magham</w:t>
      </w:r>
      <w:r>
        <w:t xml:space="preserve">, the words</w:t>
      </w:r>
      <w:r>
        <w:t xml:space="preserve"> </w:t>
      </w:r>
      <w:r>
        <w:rPr>
          <w:iCs/>
          <w:i/>
        </w:rPr>
        <w:t xml:space="preserve">rāyaḥ</w:t>
      </w:r>
      <w:r>
        <w:t xml:space="preserve"> </w:t>
      </w:r>
      <w:r>
        <w:t xml:space="preserve">and</w:t>
      </w:r>
      <w:r>
        <w:t xml:space="preserve"> </w:t>
      </w:r>
      <w:r>
        <w:rPr>
          <w:iCs/>
          <w:i/>
        </w:rPr>
        <w:t xml:space="preserve">rādhaḥ</w:t>
      </w:r>
      <w:r>
        <w:t xml:space="preserve"> </w:t>
      </w:r>
      <w:r>
        <w:t xml:space="preserve">are read (Ni. 3-9); therefore</w:t>
      </w:r>
      <w:r>
        <w:t xml:space="preserve"> </w:t>
      </w:r>
      <w:r>
        <w:rPr>
          <w:iCs/>
          <w:i/>
        </w:rPr>
        <w:t xml:space="preserve">rādhaḥ</w:t>
      </w:r>
      <w:r>
        <w:t xml:space="preserve"> </w:t>
      </w:r>
      <w:r>
        <w:t xml:space="preserve">means wealth.</w:t>
      </w:r>
    </w:p>
    <w:p>
      <w:pPr>
        <w:pStyle w:val="BodyText"/>
      </w:pPr>
      <w:r>
        <w:rPr>
          <w:bCs/>
          <w:b/>
        </w:rPr>
        <w:t xml:space="preserve">“</w:t>
      </w:r>
      <w:r>
        <w:rPr>
          <w:bCs/>
          <w:b/>
        </w:rPr>
        <w:t xml:space="preserve">Vareṇyam</w:t>
      </w:r>
      <w:r>
        <w:rPr>
          <w:bCs/>
          <w:b/>
        </w:rPr>
        <w:t xml:space="preserve">”</w:t>
      </w:r>
      <w:r>
        <w:t xml:space="preserve"> </w:t>
      </w:r>
      <w:r>
        <w:t xml:space="preserve">— choicest, excellent, of great value.</w:t>
      </w:r>
    </w:p>
    <w:p>
      <w:pPr>
        <w:pStyle w:val="BodyText"/>
      </w:pPr>
      <w:r>
        <w:rPr>
          <w:bCs/>
          <w:b/>
        </w:rPr>
        <w:t xml:space="preserve">“</w:t>
      </w:r>
      <w:r>
        <w:rPr>
          <w:bCs/>
          <w:b/>
        </w:rPr>
        <w:t xml:space="preserve">Asat it</w:t>
      </w:r>
      <w:r>
        <w:rPr>
          <w:bCs/>
          <w:b/>
        </w:rPr>
        <w:t xml:space="preserve">”</w:t>
      </w:r>
      <w:r>
        <w:t xml:space="preserve"> </w:t>
      </w:r>
      <w:r>
        <w:t xml:space="preserve">—</w:t>
      </w:r>
      <w:r>
        <w:t xml:space="preserve"> </w:t>
      </w:r>
      <w:r>
        <w:rPr>
          <w:iCs/>
          <w:i/>
        </w:rPr>
        <w:t xml:space="preserve">it</w:t>
      </w:r>
      <w:r>
        <w:t xml:space="preserve"> </w:t>
      </w:r>
      <w:r>
        <w:t xml:space="preserve">means</w:t>
      </w:r>
      <w:r>
        <w:t xml:space="preserve"> </w:t>
      </w:r>
      <w:r>
        <w:rPr>
          <w:iCs/>
          <w:i/>
        </w:rPr>
        <w:t xml:space="preserve">eva</w:t>
      </w:r>
      <w:r>
        <w:t xml:space="preserve">:</w:t>
      </w:r>
      <w:r>
        <w:t xml:space="preserve"> </w:t>
      </w:r>
      <w:r>
        <w:t xml:space="preserve">“</w:t>
      </w:r>
      <w:r>
        <w:t xml:space="preserve">indeed exists.</w:t>
      </w:r>
      <w:r>
        <w:t xml:space="preserve">”</w:t>
      </w:r>
      <w:r>
        <w:t xml:space="preserve"> </w:t>
      </w:r>
      <w:r>
        <w:t xml:space="preserve">There is no doubt about the existence of the wealth.</w:t>
      </w:r>
    </w:p>
    <w:p>
      <w:pPr>
        <w:pStyle w:val="BodyText"/>
      </w:pPr>
      <w:r>
        <w:rPr>
          <w:bCs/>
          <w:b/>
        </w:rPr>
        <w:t xml:space="preserve">“</w:t>
      </w:r>
      <w:r>
        <w:rPr>
          <w:bCs/>
          <w:b/>
        </w:rPr>
        <w:t xml:space="preserve">Vibhu,</w:t>
      </w:r>
      <w:r>
        <w:rPr>
          <w:bCs/>
          <w:b/>
        </w:rPr>
        <w:t xml:space="preserve">”</w:t>
      </w:r>
      <w:r>
        <w:rPr>
          <w:bCs/>
          <w:b/>
        </w:rPr>
        <w:t xml:space="preserve"> </w:t>
      </w:r>
      <w:r>
        <w:rPr>
          <w:bCs/>
          <w:b/>
        </w:rPr>
        <w:t xml:space="preserve">“</w:t>
      </w:r>
      <w:r>
        <w:rPr>
          <w:bCs/>
          <w:b/>
        </w:rPr>
        <w:t xml:space="preserve">prabhu</w:t>
      </w:r>
      <w:r>
        <w:rPr>
          <w:bCs/>
          <w:b/>
        </w:rPr>
        <w:t xml:space="preserve">”</w:t>
      </w:r>
      <w:r>
        <w:t xml:space="preserve"> </w:t>
      </w:r>
      <w:r>
        <w:t xml:space="preserve">—</w:t>
      </w:r>
      <w:r>
        <w:t xml:space="preserve"> </w:t>
      </w:r>
      <w:r>
        <w:rPr>
          <w:bCs/>
          <w:b/>
        </w:rPr>
        <w:t xml:space="preserve">भोगाय यावत्पर्याप्तं तावद्विभुशब्देनोच्यते</w:t>
      </w:r>
      <w:r>
        <w:t xml:space="preserve"> </w:t>
      </w:r>
      <w:r>
        <w:t xml:space="preserve">(</w:t>
      </w:r>
      <w:r>
        <w:rPr>
          <w:iCs/>
          <w:i/>
        </w:rPr>
        <w:t xml:space="preserve">bhogāya yāvat paryāptaṃ tāvad vibhu-śabdenocyate</w:t>
      </w:r>
      <w:r>
        <w:t xml:space="preserve">) —</w:t>
      </w:r>
      <w:r>
        <w:t xml:space="preserve"> </w:t>
      </w:r>
      <w:r>
        <w:t xml:space="preserve">“</w:t>
      </w:r>
      <w:r>
        <w:t xml:space="preserve">as much as suffices for enjoyment is called by the word</w:t>
      </w:r>
      <w:r>
        <w:t xml:space="preserve"> </w:t>
      </w:r>
      <w:r>
        <w:rPr>
          <w:iCs/>
          <w:i/>
        </w:rPr>
        <w:t xml:space="preserve">vibhu</w:t>
      </w:r>
      <w:r>
        <w:t xml:space="preserve">”</w:t>
      </w:r>
      <w:r>
        <w:t xml:space="preserve">: that is the meaning of</w:t>
      </w:r>
      <w:r>
        <w:t xml:space="preserve"> </w:t>
      </w:r>
      <w:r>
        <w:rPr>
          <w:iCs/>
          <w:i/>
        </w:rPr>
        <w:t xml:space="preserve">vibhu</w:t>
      </w:r>
      <w:r>
        <w:t xml:space="preserve">:</w:t>
      </w:r>
      <w:r>
        <w:t xml:space="preserve"> </w:t>
      </w:r>
      <w:r>
        <w:t xml:space="preserve">“</w:t>
      </w:r>
      <w:r>
        <w:t xml:space="preserve">sufficient.</w:t>
      </w:r>
      <w:r>
        <w:t xml:space="preserve">”</w:t>
      </w:r>
      <w:r>
        <w:t xml:space="preserve"> </w:t>
      </w:r>
      <w:r>
        <w:rPr>
          <w:iCs/>
          <w:i/>
        </w:rPr>
        <w:t xml:space="preserve">Prabhu</w:t>
      </w:r>
      <w:r>
        <w:t xml:space="preserve"> </w:t>
      </w:r>
      <w:r>
        <w:t xml:space="preserve">means</w:t>
      </w:r>
      <w:r>
        <w:t xml:space="preserve"> </w:t>
      </w:r>
      <w:r>
        <w:t xml:space="preserve">“</w:t>
      </w:r>
      <w:r>
        <w:t xml:space="preserve">much more than sufficient for wealth.</w:t>
      </w:r>
      <w:r>
        <w:t xml:space="preserve">”</w:t>
      </w:r>
      <w:r>
        <w:t xml:space="preserve"> </w:t>
      </w:r>
      <w:r>
        <w:t xml:space="preserve">Skandasvāmī explains</w:t>
      </w:r>
      <w:r>
        <w:t xml:space="preserve"> </w:t>
      </w:r>
      <w:r>
        <w:rPr>
          <w:iCs/>
          <w:i/>
        </w:rPr>
        <w:t xml:space="preserve">prabhu</w:t>
      </w:r>
      <w:r>
        <w:t xml:space="preserve"> </w:t>
      </w:r>
      <w:r>
        <w:t xml:space="preserve">as</w:t>
      </w:r>
      <w:r>
        <w:t xml:space="preserve"> </w:t>
      </w:r>
      <w:r>
        <w:rPr>
          <w:iCs/>
          <w:i/>
        </w:rPr>
        <w:t xml:space="preserve">prabhūtam</w:t>
      </w:r>
      <w:r>
        <w:t xml:space="preserve"> </w:t>
      </w:r>
      <w:r>
        <w:t xml:space="preserve">—</w:t>
      </w:r>
      <w:r>
        <w:t xml:space="preserve"> </w:t>
      </w:r>
      <w:r>
        <w:t xml:space="preserve">“</w:t>
      </w:r>
      <w:r>
        <w:t xml:space="preserve">abundant, very much.</w:t>
      </w:r>
      <w:r>
        <w:t xml:space="preserve">”</w:t>
      </w:r>
    </w:p>
    <w:p>
      <w:pPr>
        <w:pStyle w:val="BodyText"/>
      </w:pPr>
      <w:r>
        <w:rPr>
          <w:bCs/>
          <w:b/>
        </w:rPr>
        <w:t xml:space="preserve">॥ Vyākaraṇa-prakriyā ॥</w:t>
      </w:r>
      <w:r>
        <w:t xml:space="preserve"> </w:t>
      </w:r>
      <w:r>
        <w:rPr>
          <w:iCs/>
          <w:i/>
        </w:rPr>
        <w:t xml:space="preserve">(pp. 360–361, Kannada; page header p. 361</w:t>
      </w:r>
      <w:r>
        <w:rPr>
          <w:iCs/>
          <w:i/>
        </w:rPr>
        <w:t xml:space="preserve"> </w:t>
      </w:r>
      <w:r>
        <w:rPr>
          <w:iCs/>
          <w:i/>
        </w:rPr>
        <w:t xml:space="preserve">“</w:t>
      </w:r>
      <w:r>
        <w:rPr>
          <w:iCs/>
          <w:i/>
        </w:rPr>
        <w:t xml:space="preserve">A. 1, A. 1, Va. 18</w:t>
      </w:r>
      <w:r>
        <w:rPr>
          <w:iCs/>
          <w:i/>
        </w:rPr>
        <w:t xml:space="preserve">”</w:t>
      </w:r>
      <w:r>
        <w:rPr>
          <w:iCs/>
          <w:i/>
        </w:rPr>
        <w:t xml:space="preserve">; numbers as printed)</w:t>
      </w:r>
    </w:p>
    <w:p>
      <w:pPr>
        <w:pStyle w:val="BodyText"/>
      </w:pPr>
      <w:r>
        <w:rPr>
          <w:bCs/>
          <w:b/>
        </w:rPr>
        <w:t xml:space="preserve">चोदय</w:t>
      </w:r>
      <w:r>
        <w:t xml:space="preserve"> </w:t>
      </w:r>
      <w:r>
        <w:t xml:space="preserve">—</w:t>
      </w:r>
      <w:r>
        <w:t xml:space="preserve"> </w:t>
      </w:r>
      <w:r>
        <w:t xml:space="preserve">“</w:t>
      </w:r>
      <w:r>
        <w:t xml:space="preserve">cuda preraṇe</w:t>
      </w:r>
      <w:r>
        <w:t xml:space="preserve">”</w:t>
      </w:r>
      <w:r>
        <w:t xml:space="preserve">:</w:t>
      </w:r>
      <w:r>
        <w:t xml:space="preserve"> </w:t>
      </w:r>
      <w:r>
        <w:rPr>
          <w:bCs/>
          <w:b/>
        </w:rPr>
        <w:t xml:space="preserve">हेतुमति च</w:t>
      </w:r>
      <w:r>
        <w:t xml:space="preserve"> </w:t>
      </w:r>
      <w:r>
        <w:t xml:space="preserve">(पा. सू. ३-१-२६)</w:t>
      </w:r>
      <w:r>
        <w:t xml:space="preserve"> </w:t>
      </w:r>
      <w:r>
        <w:t xml:space="preserve">“</w:t>
      </w:r>
      <w:r>
        <w:t xml:space="preserve">ṇic</w:t>
      </w:r>
      <w:r>
        <w:t xml:space="preserve">”</w:t>
      </w:r>
      <w:r>
        <w:t xml:space="preserve">; after the</w:t>
      </w:r>
      <w:r>
        <w:t xml:space="preserve"> </w:t>
      </w:r>
      <w:r>
        <w:t xml:space="preserve">“</w:t>
      </w:r>
      <w:r>
        <w:t xml:space="preserve">ṇic</w:t>
      </w:r>
      <w:r>
        <w:t xml:space="preserve">”</w:t>
      </w:r>
      <w:r>
        <w:t xml:space="preserve">-ended root,</w:t>
      </w:r>
      <w:r>
        <w:t xml:space="preserve"> </w:t>
      </w:r>
      <w:r>
        <w:t xml:space="preserve">“</w:t>
      </w:r>
      <w:r>
        <w:t xml:space="preserve">loṭ,</w:t>
      </w:r>
      <w:r>
        <w:t xml:space="preserve">”</w:t>
      </w:r>
      <w:r>
        <w:t xml:space="preserve"> </w:t>
      </w:r>
      <w:r>
        <w:t xml:space="preserve">parasmaipada second singular</w:t>
      </w:r>
      <w:r>
        <w:t xml:space="preserve"> </w:t>
      </w:r>
      <w:r>
        <w:t xml:space="preserve">“</w:t>
      </w:r>
      <w:r>
        <w:t xml:space="preserve">sip</w:t>
      </w:r>
      <w:r>
        <w:t xml:space="preserve">”</w:t>
      </w:r>
      <w:r>
        <w:t xml:space="preserve">;</w:t>
      </w:r>
      <w:r>
        <w:t xml:space="preserve"> </w:t>
      </w:r>
      <w:r>
        <w:rPr>
          <w:bCs/>
          <w:b/>
        </w:rPr>
        <w:t xml:space="preserve">कर्तरि शप्</w:t>
      </w:r>
      <w:r>
        <w:t xml:space="preserve"> </w:t>
      </w:r>
      <w:r>
        <w:t xml:space="preserve">(पा. सू. ३-१-६८):</w:t>
      </w:r>
      <w:r>
        <w:t xml:space="preserve"> </w:t>
      </w:r>
      <w:r>
        <w:t xml:space="preserve">“</w:t>
      </w:r>
      <w:r>
        <w:t xml:space="preserve">cud + i + a + si</w:t>
      </w:r>
      <w:r>
        <w:t xml:space="preserve">”</w:t>
      </w:r>
      <w:r>
        <w:t xml:space="preserve">; guṇa of the light penultimate before</w:t>
      </w:r>
      <w:r>
        <w:t xml:space="preserve"> </w:t>
      </w:r>
      <w:r>
        <w:t xml:space="preserve">“</w:t>
      </w:r>
      <w:r>
        <w:t xml:space="preserve">ṇic,</w:t>
      </w:r>
      <w:r>
        <w:t xml:space="preserve">”</w:t>
      </w:r>
      <w:r>
        <w:t xml:space="preserve"> </w:t>
      </w:r>
      <w:r>
        <w:t xml:space="preserve">and, before</w:t>
      </w:r>
      <w:r>
        <w:t xml:space="preserve"> </w:t>
      </w:r>
      <w:r>
        <w:t xml:space="preserve">“</w:t>
      </w:r>
      <w:r>
        <w:t xml:space="preserve">śap,</w:t>
      </w:r>
      <w:r>
        <w:t xml:space="preserve">”</w:t>
      </w:r>
      <w:r>
        <w:t xml:space="preserve"> </w:t>
      </w:r>
      <w:r>
        <w:t xml:space="preserve">guṇa by</w:t>
      </w:r>
      <w:r>
        <w:t xml:space="preserve"> </w:t>
      </w:r>
      <w:r>
        <w:rPr>
          <w:bCs/>
          <w:b/>
        </w:rPr>
        <w:t xml:space="preserve">सार्वधातुकार्धधातुकयोः</w:t>
      </w:r>
      <w:r>
        <w:t xml:space="preserve"> </w:t>
      </w:r>
      <w:r>
        <w:t xml:space="preserve">(पा. सू. ७-३-८४):</w:t>
      </w:r>
      <w:r>
        <w:t xml:space="preserve"> </w:t>
      </w:r>
      <w:r>
        <w:t xml:space="preserve">“</w:t>
      </w:r>
      <w:r>
        <w:t xml:space="preserve">code + a + si</w:t>
      </w:r>
      <w:r>
        <w:t xml:space="preserve">”</w:t>
      </w:r>
      <w:r>
        <w:t xml:space="preserve">;</w:t>
      </w:r>
      <w:r>
        <w:t xml:space="preserve"> </w:t>
      </w:r>
      <w:r>
        <w:t xml:space="preserve">“</w:t>
      </w:r>
      <w:r>
        <w:t xml:space="preserve">ay</w:t>
      </w:r>
      <w:r>
        <w:t xml:space="preserve">”</w:t>
      </w:r>
      <w:r>
        <w:t xml:space="preserve"> </w:t>
      </w:r>
      <w:r>
        <w:t xml:space="preserve">for</w:t>
      </w:r>
      <w:r>
        <w:t xml:space="preserve"> </w:t>
      </w:r>
      <w:r>
        <w:t xml:space="preserve">“</w:t>
      </w:r>
      <w:r>
        <w:t xml:space="preserve">e</w:t>
      </w:r>
      <w:r>
        <w:t xml:space="preserve">”</w:t>
      </w:r>
      <w:r>
        <w:t xml:space="preserve">;</w:t>
      </w:r>
      <w:r>
        <w:t xml:space="preserve"> </w:t>
      </w:r>
      <w:r>
        <w:rPr>
          <w:bCs/>
          <w:b/>
        </w:rPr>
        <w:t xml:space="preserve">सेर्ह्यपिच्च</w:t>
      </w:r>
      <w:r>
        <w:t xml:space="preserve"> </w:t>
      </w:r>
      <w:r>
        <w:t xml:space="preserve">(printed</w:t>
      </w:r>
      <w:r>
        <w:t xml:space="preserve"> </w:t>
      </w:r>
      <w:r>
        <w:t xml:space="preserve">“</w:t>
      </w:r>
      <w:r>
        <w:t xml:space="preserve">वा. सू. १-४-८७,</w:t>
      </w:r>
      <w:r>
        <w:t xml:space="preserve">”</w:t>
      </w:r>
      <w:r>
        <w:t xml:space="preserve"> </w:t>
      </w:r>
      <w:r>
        <w:t xml:space="preserve">i.e. 3-4-87)</w:t>
      </w:r>
      <w:r>
        <w:t xml:space="preserve"> </w:t>
      </w:r>
      <w:r>
        <w:t xml:space="preserve">“</w:t>
      </w:r>
      <w:r>
        <w:t xml:space="preserve">hi</w:t>
      </w:r>
      <w:r>
        <w:t xml:space="preserve">”</w:t>
      </w:r>
      <w:r>
        <w:t xml:space="preserve"> </w:t>
      </w:r>
      <w:r>
        <w:t xml:space="preserve">for</w:t>
      </w:r>
      <w:r>
        <w:t xml:space="preserve"> </w:t>
      </w:r>
      <w:r>
        <w:t xml:space="preserve">“</w:t>
      </w:r>
      <w:r>
        <w:t xml:space="preserve">si</w:t>
      </w:r>
      <w:r>
        <w:t xml:space="preserve">”</w:t>
      </w:r>
      <w:r>
        <w:t xml:space="preserve">;</w:t>
      </w:r>
      <w:r>
        <w:t xml:space="preserve"> </w:t>
      </w:r>
      <w:r>
        <w:rPr>
          <w:bCs/>
          <w:b/>
        </w:rPr>
        <w:t xml:space="preserve">अतो हेः</w:t>
      </w:r>
      <w:r>
        <w:t xml:space="preserve"> </w:t>
      </w:r>
      <w:r>
        <w:t xml:space="preserve">(पा. सू. ६-४-१०५)</w:t>
      </w:r>
      <w:r>
        <w:t xml:space="preserve"> </w:t>
      </w:r>
      <w:r>
        <w:t xml:space="preserve">“</w:t>
      </w:r>
      <w:r>
        <w:t xml:space="preserve">luk</w:t>
      </w:r>
      <w:r>
        <w:t xml:space="preserve">”</w:t>
      </w:r>
      <w:r>
        <w:t xml:space="preserve"> </w:t>
      </w:r>
      <w:r>
        <w:t xml:space="preserve">of</w:t>
      </w:r>
      <w:r>
        <w:t xml:space="preserve"> </w:t>
      </w:r>
      <w:r>
        <w:t xml:space="preserve">“</w:t>
      </w:r>
      <w:r>
        <w:t xml:space="preserve">hi</w:t>
      </w:r>
      <w:r>
        <w:t xml:space="preserve">”</w:t>
      </w:r>
      <w:r>
        <w:t xml:space="preserve">; wholly unaccented by</w:t>
      </w:r>
      <w:r>
        <w:t xml:space="preserve"> </w:t>
      </w:r>
      <w:r>
        <w:rPr>
          <w:bCs/>
          <w:b/>
        </w:rPr>
        <w:t xml:space="preserve">तिङ्ङतिङः</w:t>
      </w:r>
      <w:r>
        <w:t xml:space="preserve"> </w:t>
      </w:r>
      <w:r>
        <w:t xml:space="preserve">(पा. सू. ८-१-२८).</w:t>
      </w:r>
    </w:p>
    <w:p>
      <w:pPr>
        <w:pStyle w:val="BodyText"/>
      </w:pPr>
      <w:r>
        <w:rPr>
          <w:bCs/>
          <w:b/>
        </w:rPr>
        <w:t xml:space="preserve">राधः</w:t>
      </w:r>
      <w:r>
        <w:t xml:space="preserve"> </w:t>
      </w:r>
      <w:r>
        <w:t xml:space="preserve">(p. 361) —</w:t>
      </w:r>
      <w:r>
        <w:t xml:space="preserve"> </w:t>
      </w:r>
      <w:r>
        <w:t xml:space="preserve">“</w:t>
      </w:r>
      <w:r>
        <w:t xml:space="preserve">rādhnuvanty anena iti rādhaḥ dhanam</w:t>
      </w:r>
      <w:r>
        <w:t xml:space="preserve">”</w:t>
      </w:r>
      <w:r>
        <w:t xml:space="preserve">:</w:t>
      </w:r>
      <w:r>
        <w:t xml:space="preserve"> </w:t>
      </w:r>
      <w:r>
        <w:rPr>
          <w:bCs/>
          <w:b/>
        </w:rPr>
        <w:t xml:space="preserve">सर्वधातुभ्योऽसुन्</w:t>
      </w:r>
      <w:r>
        <w:t xml:space="preserve"> </w:t>
      </w:r>
      <w:r>
        <w:t xml:space="preserve">(उ. सू. ४-६२८ [?], as printed; the Bhāṣya gave</w:t>
      </w:r>
      <w:r>
        <w:t xml:space="preserve"> </w:t>
      </w:r>
      <w:r>
        <w:t xml:space="preserve">“</w:t>
      </w:r>
      <w:r>
        <w:t xml:space="preserve">उ. ४-१८८</w:t>
      </w:r>
      <w:r>
        <w:t xml:space="preserve">”</w:t>
      </w:r>
      <w:r>
        <w:t xml:space="preserve">)</w:t>
      </w:r>
      <w:r>
        <w:t xml:space="preserve"> </w:t>
      </w:r>
      <w:r>
        <w:t xml:space="preserve">“</w:t>
      </w:r>
      <w:r>
        <w:t xml:space="preserve">asun</w:t>
      </w:r>
      <w:r>
        <w:t xml:space="preserve">”</w:t>
      </w:r>
      <w:r>
        <w:t xml:space="preserve"> </w:t>
      </w:r>
      <w:r>
        <w:t xml:space="preserve">after</w:t>
      </w:r>
      <w:r>
        <w:t xml:space="preserve"> </w:t>
      </w:r>
      <w:r>
        <w:t xml:space="preserve">“</w:t>
      </w:r>
      <w:r>
        <w:t xml:space="preserve">rādh</w:t>
      </w:r>
      <w:r>
        <w:t xml:space="preserve">”</w:t>
      </w:r>
      <w:r>
        <w:t xml:space="preserve">;</w:t>
      </w:r>
      <w:r>
        <w:t xml:space="preserve"> </w:t>
      </w:r>
      <w:r>
        <w:t xml:space="preserve">“</w:t>
      </w:r>
      <w:r>
        <w:t xml:space="preserve">n</w:t>
      </w:r>
      <w:r>
        <w:t xml:space="preserve">”</w:t>
      </w:r>
      <w:r>
        <w:t xml:space="preserve">-marked, first-syllable acute.</w:t>
      </w:r>
      <w:r>
        <w:t xml:space="preserve"> </w:t>
      </w:r>
      <w:r>
        <w:rPr>
          <w:bCs/>
          <w:b/>
        </w:rPr>
        <w:t xml:space="preserve">वरेण्यम्</w:t>
      </w:r>
      <w:r>
        <w:t xml:space="preserve"> </w:t>
      </w:r>
      <w:r>
        <w:t xml:space="preserve">—</w:t>
      </w:r>
      <w:r>
        <w:t xml:space="preserve"> </w:t>
      </w:r>
      <w:r>
        <w:rPr>
          <w:bCs/>
          <w:b/>
        </w:rPr>
        <w:t xml:space="preserve">वृञ एण्यः</w:t>
      </w:r>
      <w:r>
        <w:t xml:space="preserve"> </w:t>
      </w:r>
      <w:r>
        <w:t xml:space="preserve">(उ. सू. ३-३२८ [?], as printed)</w:t>
      </w:r>
      <w:r>
        <w:t xml:space="preserve"> </w:t>
      </w:r>
      <w:r>
        <w:t xml:space="preserve">“</w:t>
      </w:r>
      <w:r>
        <w:t xml:space="preserve">eṇya</w:t>
      </w:r>
      <w:r>
        <w:t xml:space="preserve">”</w:t>
      </w:r>
      <w:r>
        <w:t xml:space="preserve"> </w:t>
      </w:r>
      <w:r>
        <w:t xml:space="preserve">after</w:t>
      </w:r>
      <w:r>
        <w:t xml:space="preserve"> </w:t>
      </w:r>
      <w:r>
        <w:t xml:space="preserve">“</w:t>
      </w:r>
      <w:r>
        <w:t xml:space="preserve">vṛñ varaṇe</w:t>
      </w:r>
      <w:r>
        <w:t xml:space="preserve">”</w:t>
      </w:r>
      <w:r>
        <w:t xml:space="preserve">; guṇa by</w:t>
      </w:r>
      <w:r>
        <w:t xml:space="preserve"> </w:t>
      </w:r>
      <w:r>
        <w:t xml:space="preserve">“</w:t>
      </w:r>
      <w:r>
        <w:t xml:space="preserve">sārvadhātukārdhadhātukayoḥ</w:t>
      </w:r>
      <w:r>
        <w:t xml:space="preserve">”</w:t>
      </w:r>
      <w:r>
        <w:t xml:space="preserve"> </w:t>
      </w:r>
      <w:r>
        <w:t xml:space="preserve">(पा. सू. ७-३-८४):</w:t>
      </w:r>
      <w:r>
        <w:t xml:space="preserve"> </w:t>
      </w:r>
      <w:r>
        <w:t xml:space="preserve">“</w:t>
      </w:r>
      <w:r>
        <w:t xml:space="preserve">vareṇya</w:t>
      </w:r>
      <w:r>
        <w:t xml:space="preserve">”</w:t>
      </w:r>
      <w:r>
        <w:t xml:space="preserve">; as of the vṛṣādi class, first-syllable acute by</w:t>
      </w:r>
      <w:r>
        <w:t xml:space="preserve"> </w:t>
      </w:r>
      <w:r>
        <w:rPr>
          <w:bCs/>
          <w:b/>
        </w:rPr>
        <w:t xml:space="preserve">वृषादीनां च</w:t>
      </w:r>
      <w:r>
        <w:t xml:space="preserve"> </w:t>
      </w:r>
      <w:r>
        <w:t xml:space="preserve">(पा. सू. ६-१-२०३).</w:t>
      </w:r>
      <w:r>
        <w:t xml:space="preserve"> </w:t>
      </w:r>
      <w:r>
        <w:rPr>
          <w:bCs/>
          <w:b/>
        </w:rPr>
        <w:t xml:space="preserve">असत्</w:t>
      </w:r>
      <w:r>
        <w:t xml:space="preserve"> </w:t>
      </w:r>
      <w:r>
        <w:t xml:space="preserve">—</w:t>
      </w:r>
      <w:r>
        <w:t xml:space="preserve"> </w:t>
      </w:r>
      <w:r>
        <w:t xml:space="preserve">“</w:t>
      </w:r>
      <w:r>
        <w:t xml:space="preserve">asa bhuvi,</w:t>
      </w:r>
      <w:r>
        <w:t xml:space="preserve">”</w:t>
      </w:r>
      <w:r>
        <w:t xml:space="preserve"> </w:t>
      </w:r>
      <w:r>
        <w:t xml:space="preserve">“</w:t>
      </w:r>
      <w:r>
        <w:t xml:space="preserve">leṭ,</w:t>
      </w:r>
      <w:r>
        <w:t xml:space="preserve">”</w:t>
      </w:r>
      <w:r>
        <w:t xml:space="preserve"> </w:t>
      </w:r>
      <w:r>
        <w:t xml:space="preserve">“</w:t>
      </w:r>
      <w:r>
        <w:t xml:space="preserve">tip</w:t>
      </w:r>
      <w:r>
        <w:t xml:space="preserve">”</w:t>
      </w:r>
      <w:r>
        <w:t xml:space="preserve">;</w:t>
      </w:r>
      <w:r>
        <w:t xml:space="preserve"> </w:t>
      </w:r>
      <w:r>
        <w:rPr>
          <w:bCs/>
          <w:b/>
        </w:rPr>
        <w:t xml:space="preserve">इतश्च लोपः परस्मैपदेषु</w:t>
      </w:r>
      <w:r>
        <w:t xml:space="preserve"> </w:t>
      </w:r>
      <w:r>
        <w:t xml:space="preserve">(पा. सू. ३-४-९७) loss of the</w:t>
      </w:r>
      <w:r>
        <w:t xml:space="preserve"> </w:t>
      </w:r>
      <w:r>
        <w:t xml:space="preserve">“</w:t>
      </w:r>
      <w:r>
        <w:t xml:space="preserve">i</w:t>
      </w:r>
      <w:r>
        <w:t xml:space="preserve">”</w:t>
      </w:r>
      <w:r>
        <w:t xml:space="preserve">;</w:t>
      </w:r>
      <w:r>
        <w:t xml:space="preserve"> </w:t>
      </w:r>
      <w:r>
        <w:rPr>
          <w:bCs/>
          <w:b/>
        </w:rPr>
        <w:t xml:space="preserve">लेटोऽडाटौ</w:t>
      </w:r>
      <w:r>
        <w:t xml:space="preserve"> </w:t>
      </w:r>
      <w:r>
        <w:t xml:space="preserve">(पा. सू. ३-४-९४) the augment</w:t>
      </w:r>
      <w:r>
        <w:t xml:space="preserve"> </w:t>
      </w:r>
      <w:r>
        <w:t xml:space="preserve">“</w:t>
      </w:r>
      <w:r>
        <w:t xml:space="preserve">aṭ</w:t>
      </w:r>
      <w:r>
        <w:t xml:space="preserve">”</w:t>
      </w:r>
      <w:r>
        <w:t xml:space="preserve">:</w:t>
      </w:r>
      <w:r>
        <w:t xml:space="preserve"> </w:t>
      </w:r>
      <w:r>
        <w:t xml:space="preserve">“</w:t>
      </w:r>
      <w:r>
        <w:t xml:space="preserve">as + at = asat</w:t>
      </w:r>
      <w:r>
        <w:t xml:space="preserve">”</w:t>
      </w:r>
      <w:r>
        <w:t xml:space="preserve">;</w:t>
      </w:r>
      <w:r>
        <w:t xml:space="preserve"> </w:t>
      </w:r>
      <w:r>
        <w:t xml:space="preserve">“</w:t>
      </w:r>
      <w:r>
        <w:t xml:space="preserve">śap</w:t>
      </w:r>
      <w:r>
        <w:t xml:space="preserve">”</w:t>
      </w:r>
      <w:r>
        <w:t xml:space="preserve"> </w:t>
      </w:r>
      <w:r>
        <w:t xml:space="preserve">elided by</w:t>
      </w:r>
      <w:r>
        <w:t xml:space="preserve"> </w:t>
      </w:r>
      <w:r>
        <w:rPr>
          <w:bCs/>
          <w:b/>
        </w:rPr>
        <w:t xml:space="preserve">अदिप्रभृतिभ्यः शपः</w:t>
      </w:r>
      <w:r>
        <w:t xml:space="preserve"> </w:t>
      </w:r>
      <w:r>
        <w:t xml:space="preserve">(पा. सू. २-४-७२);</w:t>
      </w:r>
      <w:r>
        <w:t xml:space="preserve"> </w:t>
      </w:r>
      <w:r>
        <w:rPr>
          <w:bCs/>
          <w:b/>
        </w:rPr>
        <w:t xml:space="preserve">आगमा अनुदात्ताः</w:t>
      </w:r>
      <w:r>
        <w:t xml:space="preserve"> </w:t>
      </w:r>
      <w:r>
        <w:t xml:space="preserve">(printed</w:t>
      </w:r>
      <w:r>
        <w:t xml:space="preserve"> </w:t>
      </w:r>
      <w:r>
        <w:t xml:space="preserve">“</w:t>
      </w:r>
      <w:r>
        <w:t xml:space="preserve">पा. म. ३-१-३-२</w:t>
      </w:r>
      <w:r>
        <w:t xml:space="preserve">”</w:t>
      </w:r>
      <w:r>
        <w:t xml:space="preserve">) — the augment</w:t>
      </w:r>
      <w:r>
        <w:t xml:space="preserve"> </w:t>
      </w:r>
      <w:r>
        <w:t xml:space="preserve">“</w:t>
      </w:r>
      <w:r>
        <w:t xml:space="preserve">aṭ</w:t>
      </w:r>
      <w:r>
        <w:t xml:space="preserve">”</w:t>
      </w:r>
      <w:r>
        <w:t xml:space="preserve"> </w:t>
      </w:r>
      <w:r>
        <w:t xml:space="preserve">unaccented;</w:t>
      </w:r>
      <w:r>
        <w:t xml:space="preserve"> </w:t>
      </w:r>
      <w:r>
        <w:t xml:space="preserve">“</w:t>
      </w:r>
      <w:r>
        <w:t xml:space="preserve">as</w:t>
      </w:r>
      <w:r>
        <w:t xml:space="preserve">”</w:t>
      </w:r>
      <w:r>
        <w:t xml:space="preserve"> </w:t>
      </w:r>
      <w:r>
        <w:t xml:space="preserve">end-acute by</w:t>
      </w:r>
      <w:r>
        <w:t xml:space="preserve"> </w:t>
      </w:r>
      <w:r>
        <w:rPr>
          <w:bCs/>
          <w:b/>
        </w:rPr>
        <w:t xml:space="preserve">धातोः</w:t>
      </w:r>
      <w:r>
        <w:t xml:space="preserve"> </w:t>
      </w:r>
      <w:r>
        <w:t xml:space="preserve">(पा. सू. ६-१-१६२), which stays.</w:t>
      </w:r>
      <w:r>
        <w:t xml:space="preserve"> </w:t>
      </w:r>
      <w:r>
        <w:rPr>
          <w:bCs/>
          <w:b/>
        </w:rPr>
        <w:t xml:space="preserve">विभु</w:t>
      </w:r>
      <w:r>
        <w:t xml:space="preserve"> </w:t>
      </w:r>
      <w:r>
        <w:t xml:space="preserve">—</w:t>
      </w:r>
      <w:r>
        <w:t xml:space="preserve"> </w:t>
      </w:r>
      <w:r>
        <w:t xml:space="preserve">“</w:t>
      </w:r>
      <w:r>
        <w:t xml:space="preserve">vibhavatīti vibhu</w:t>
      </w:r>
      <w:r>
        <w:t xml:space="preserve">”</w:t>
      </w:r>
      <w:r>
        <w:t xml:space="preserve">:</w:t>
      </w:r>
      <w:r>
        <w:t xml:space="preserve"> </w:t>
      </w:r>
      <w:r>
        <w:rPr>
          <w:bCs/>
          <w:b/>
        </w:rPr>
        <w:t xml:space="preserve">विप्रसंभ्यो ड्वसंज्ञायाम्</w:t>
      </w:r>
      <w:r>
        <w:t xml:space="preserve"> </w:t>
      </w:r>
      <w:r>
        <w:t xml:space="preserve">(पा. सू. ३-२-१८०), with</w:t>
      </w:r>
      <w:r>
        <w:t xml:space="preserve"> </w:t>
      </w:r>
      <w:r>
        <w:t xml:space="preserve">“</w:t>
      </w:r>
      <w:r>
        <w:t xml:space="preserve">bhuvaḥ</w:t>
      </w:r>
      <w:r>
        <w:t xml:space="preserve">”</w:t>
      </w:r>
      <w:r>
        <w:t xml:space="preserve"> </w:t>
      </w:r>
      <w:r>
        <w:t xml:space="preserve">carried from</w:t>
      </w:r>
      <w:r>
        <w:t xml:space="preserve"> </w:t>
      </w:r>
      <w:r>
        <w:rPr>
          <w:bCs/>
          <w:b/>
        </w:rPr>
        <w:t xml:space="preserve">भुवः संज्ञान्तरयोः</w:t>
      </w:r>
      <w:r>
        <w:t xml:space="preserve"> </w:t>
      </w:r>
      <w:r>
        <w:t xml:space="preserve">(पा. सू. ३-२-१७९): after</w:t>
      </w:r>
      <w:r>
        <w:t xml:space="preserve"> </w:t>
      </w:r>
      <w:r>
        <w:t xml:space="preserve">“</w:t>
      </w:r>
      <w:r>
        <w:t xml:space="preserve">bhū</w:t>
      </w:r>
      <w:r>
        <w:t xml:space="preserve">”</w:t>
      </w:r>
      <w:r>
        <w:t xml:space="preserve"> </w:t>
      </w:r>
      <w:r>
        <w:t xml:space="preserve">with</w:t>
      </w:r>
      <w:r>
        <w:t xml:space="preserve"> </w:t>
      </w:r>
      <w:r>
        <w:t xml:space="preserve">“</w:t>
      </w:r>
      <w:r>
        <w:t xml:space="preserve">vi, pra, sam,</w:t>
      </w:r>
      <w:r>
        <w:t xml:space="preserve">”</w:t>
      </w:r>
      <w:r>
        <w:t xml:space="preserve"> </w:t>
      </w:r>
      <w:r>
        <w:t xml:space="preserve">when no name is meant,</w:t>
      </w:r>
      <w:r>
        <w:t xml:space="preserve"> </w:t>
      </w:r>
      <w:r>
        <w:t xml:space="preserve">“</w:t>
      </w:r>
      <w:r>
        <w:t xml:space="preserve">ḍu</w:t>
      </w:r>
      <w:r>
        <w:t xml:space="preserve">”</w:t>
      </w:r>
      <w:r>
        <w:t xml:space="preserve">; the</w:t>
      </w:r>
      <w:r>
        <w:t xml:space="preserve"> </w:t>
      </w:r>
      <w:r>
        <w:t xml:space="preserve">“</w:t>
      </w:r>
      <w:r>
        <w:t xml:space="preserve">ḍ</w:t>
      </w:r>
      <w:r>
        <w:t xml:space="preserve">”</w:t>
      </w:r>
      <w:r>
        <w:t xml:space="preserve"> </w:t>
      </w:r>
      <w:r>
        <w:t xml:space="preserve">is</w:t>
      </w:r>
      <w:r>
        <w:t xml:space="preserve"> </w:t>
      </w:r>
      <w:r>
        <w:t xml:space="preserve">“</w:t>
      </w:r>
      <w:r>
        <w:t xml:space="preserve">it</w:t>
      </w:r>
      <w:r>
        <w:t xml:space="preserve">”</w:t>
      </w:r>
      <w:r>
        <w:t xml:space="preserve"> </w:t>
      </w:r>
      <w:r>
        <w:t xml:space="preserve">by</w:t>
      </w:r>
      <w:r>
        <w:t xml:space="preserve"> </w:t>
      </w:r>
      <w:r>
        <w:rPr>
          <w:bCs/>
          <w:b/>
        </w:rPr>
        <w:t xml:space="preserve">चुटू</w:t>
      </w:r>
      <w:r>
        <w:t xml:space="preserve"> </w:t>
      </w:r>
      <w:r>
        <w:t xml:space="preserve">(printed</w:t>
      </w:r>
      <w:r>
        <w:t xml:space="preserve"> </w:t>
      </w:r>
      <w:r>
        <w:t xml:space="preserve">“</w:t>
      </w:r>
      <w:r>
        <w:t xml:space="preserve">पा. सू. १-०-७,</w:t>
      </w:r>
      <w:r>
        <w:t xml:space="preserve">”</w:t>
      </w:r>
      <w:r>
        <w:t xml:space="preserve"> </w:t>
      </w:r>
      <w:r>
        <w:t xml:space="preserve">i.e. 1-3-7), leaving</w:t>
      </w:r>
      <w:r>
        <w:t xml:space="preserve"> </w:t>
      </w:r>
      <w:r>
        <w:t xml:space="preserve">“</w:t>
      </w:r>
      <w:r>
        <w:t xml:space="preserve">u</w:t>
      </w:r>
      <w:r>
        <w:t xml:space="preserve">”</w:t>
      </w:r>
      <w:r>
        <w:t xml:space="preserve">; the</w:t>
      </w:r>
      <w:r>
        <w:t xml:space="preserve"> </w:t>
      </w:r>
      <w:r>
        <w:t xml:space="preserve">“</w:t>
      </w:r>
      <w:r>
        <w:t xml:space="preserve">ḍ</w:t>
      </w:r>
      <w:r>
        <w:t xml:space="preserve">”</w:t>
      </w:r>
      <w:r>
        <w:t xml:space="preserve">-mark causes loss of the</w:t>
      </w:r>
      <w:r>
        <w:t xml:space="preserve"> </w:t>
      </w:r>
      <w:r>
        <w:t xml:space="preserve">“</w:t>
      </w:r>
      <w:r>
        <w:t xml:space="preserve">ṭi</w:t>
      </w:r>
      <w:r>
        <w:t xml:space="preserve">”</w:t>
      </w:r>
      <w:r>
        <w:t xml:space="preserve"> </w:t>
      </w:r>
      <w:r>
        <w:t xml:space="preserve">“</w:t>
      </w:r>
      <w:r>
        <w:t xml:space="preserve">ū</w:t>
      </w:r>
      <w:r>
        <w:t xml:space="preserve">”</w:t>
      </w:r>
      <w:r>
        <w:t xml:space="preserve"> </w:t>
      </w:r>
      <w:r>
        <w:t xml:space="preserve">of</w:t>
      </w:r>
      <w:r>
        <w:t xml:space="preserve"> </w:t>
      </w:r>
      <w:r>
        <w:t xml:space="preserve">“</w:t>
      </w:r>
      <w:r>
        <w:t xml:space="preserve">bhū</w:t>
      </w:r>
      <w:r>
        <w:t xml:space="preserve">”</w:t>
      </w:r>
      <w:r>
        <w:t xml:space="preserve">:</w:t>
      </w:r>
      <w:r>
        <w:t xml:space="preserve"> </w:t>
      </w:r>
      <w:r>
        <w:t xml:space="preserve">“</w:t>
      </w:r>
      <w:r>
        <w:t xml:space="preserve">vibhu</w:t>
      </w:r>
      <w:r>
        <w:t xml:space="preserve">”</w:t>
      </w:r>
      <w:r>
        <w:t xml:space="preserve">; the</w:t>
      </w:r>
      <w:r>
        <w:t xml:space="preserve"> </w:t>
      </w:r>
      <w:r>
        <w:t xml:space="preserve">“</w:t>
      </w:r>
      <w:r>
        <w:t xml:space="preserve">u</w:t>
      </w:r>
      <w:r>
        <w:t xml:space="preserve">”</w:t>
      </w:r>
      <w:r>
        <w:t xml:space="preserve"> </w:t>
      </w:r>
      <w:r>
        <w:t xml:space="preserve">acute by</w:t>
      </w:r>
      <w:r>
        <w:t xml:space="preserve"> </w:t>
      </w:r>
      <w:r>
        <w:rPr>
          <w:bCs/>
          <w:b/>
        </w:rPr>
        <w:t xml:space="preserve">आद्युदात्तश्च</w:t>
      </w:r>
      <w:r>
        <w:t xml:space="preserve"> </w:t>
      </w:r>
      <w:r>
        <w:t xml:space="preserve">(पा. सू. ३-१-३), kept in the compound by</w:t>
      </w:r>
      <w:r>
        <w:t xml:space="preserve"> </w:t>
      </w:r>
      <w:r>
        <w:rPr>
          <w:bCs/>
          <w:b/>
        </w:rPr>
        <w:t xml:space="preserve">गतिकारकोपपदात्कृत्</w:t>
      </w:r>
      <w:r>
        <w:t xml:space="preserve"> </w:t>
      </w:r>
      <w:r>
        <w:t xml:space="preserve">(पा. सू. ६-२-१३९); likewise</w:t>
      </w:r>
      <w:r>
        <w:t xml:space="preserve"> </w:t>
      </w:r>
      <w:r>
        <w:t xml:space="preserve">“</w:t>
      </w:r>
      <w:r>
        <w:t xml:space="preserve">prabhu.</w:t>
      </w:r>
      <w:r>
        <w:t xml:space="preserve">”</w:t>
      </w:r>
      <w:r>
        <w:t xml:space="preserve"> </w:t>
      </w:r>
      <w:r>
        <w:rPr>
          <w:bCs/>
          <w:b/>
        </w:rPr>
        <w:t xml:space="preserve">॥५॥</w:t>
      </w:r>
    </w:p>
    <w:p>
      <w:r>
        <w:pict>
          <v:rect style="width:0;height:1.5pt" o:hralign="center" o:hrstd="t" o:hr="t"/>
        </w:pict>
      </w:r>
    </w:p>
    <w:bookmarkEnd w:id="389"/>
    <w:bookmarkStart w:id="390" w:name="page-361-sūkta-9-rik-6"/>
    <w:p>
      <w:pPr>
        <w:pStyle w:val="Heading3"/>
      </w:pPr>
      <w:r>
        <w:t xml:space="preserve">Page 361 — Sūkta 9, Rik 6</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अ॒स्मान्त्सु तत्र॑ चोद॒येन्द्र॑ रा॒ये रभ॑स्वतः ।</w:t>
      </w:r>
      <w:r>
        <w:t xml:space="preserve"> </w:t>
      </w:r>
      <w:r>
        <w:t xml:space="preserve">तुवि॑द्युम्न॒ यश॑स्वतः ॥६॥</w:t>
      </w:r>
    </w:p>
    <w:p>
      <w:pPr>
        <w:pStyle w:val="BlockText"/>
      </w:pPr>
      <w:r>
        <w:rPr>
          <w:iCs/>
          <w:i/>
        </w:rPr>
        <w:t xml:space="preserve">asmā́nt su tátra codayéndra rāyé rábhasvataḥ |</w:t>
      </w:r>
      <w:r>
        <w:t xml:space="preserve"> </w:t>
      </w:r>
      <w:r>
        <w:rPr>
          <w:iCs/>
          <w:i/>
        </w:rPr>
        <w:t xml:space="preserve">túvidyumna yáśasvataḥ ||6||</w:t>
      </w:r>
    </w:p>
    <w:p>
      <w:pPr>
        <w:pStyle w:val="FirstParagraph"/>
      </w:pPr>
      <w:r>
        <w:rPr>
          <w:iCs/>
          <w:i/>
        </w:rPr>
        <w:t xml:space="preserve">(In the Saṃhitā the words</w:t>
      </w:r>
      <w:r>
        <w:t xml:space="preserve"> </w:t>
      </w:r>
      <w:r>
        <w:t xml:space="preserve">asmān su</w:t>
      </w:r>
      <w:r>
        <w:t xml:space="preserve"> </w:t>
      </w:r>
      <w:r>
        <w:rPr>
          <w:iCs/>
          <w:i/>
        </w:rPr>
        <w:t xml:space="preserve">are joined as</w:t>
      </w:r>
      <w:r>
        <w:t xml:space="preserve"> </w:t>
      </w:r>
      <w:r>
        <w:t xml:space="preserve">asmān tsu</w:t>
      </w:r>
      <w:r>
        <w:rPr>
          <w:iCs/>
          <w:i/>
        </w:rPr>
        <w:t xml:space="preserve">: a</w:t>
      </w:r>
      <w:r>
        <w:t xml:space="preserve"> </w:t>
      </w:r>
      <w:r>
        <w:t xml:space="preserve">t</w:t>
      </w:r>
      <w:r>
        <w:t xml:space="preserve"> </w:t>
      </w:r>
      <w:r>
        <w:rPr>
          <w:iCs/>
          <w:i/>
        </w:rPr>
        <w:t xml:space="preserve">is inserted between the</w:t>
      </w:r>
      <w:r>
        <w:t xml:space="preserve"> </w:t>
      </w:r>
      <w:r>
        <w:t xml:space="preserve">n</w:t>
      </w:r>
      <w:r>
        <w:t xml:space="preserve"> </w:t>
      </w:r>
      <w:r>
        <w:rPr>
          <w:iCs/>
          <w:i/>
        </w:rPr>
        <w:t xml:space="preserve">and the</w:t>
      </w:r>
      <w:r>
        <w:t xml:space="preserve"> </w:t>
      </w:r>
      <w:r>
        <w:t xml:space="preserve">s</w:t>
      </w:r>
      <w:r>
        <w:t xml:space="preserve"> </w:t>
      </w:r>
      <w:r>
        <w:rPr>
          <w:iCs/>
          <w:i/>
        </w:rPr>
        <w:t xml:space="preserve">by the Vedic sandhi rule, as the Special Topics below explain.)</w:t>
      </w:r>
    </w:p>
    <w:bookmarkEnd w:id="390"/>
    <w:bookmarkStart w:id="391" w:name="page-362-rik-6-pada-text-sāyaṇa-bhāṣya"/>
    <w:p>
      <w:pPr>
        <w:pStyle w:val="Heading3"/>
      </w:pPr>
      <w:r>
        <w:t xml:space="preserve">Page 362 — Rik 6: Pada text, Sāyaṇa-bhāṣya</w:t>
      </w:r>
    </w:p>
    <w:p>
      <w:pPr>
        <w:pStyle w:val="FirstParagraph"/>
      </w:pPr>
      <w:r>
        <w:rPr>
          <w:bCs/>
          <w:b/>
        </w:rPr>
        <w:t xml:space="preserve">॥ Pada-pāṭhaḥ ॥</w:t>
      </w:r>
    </w:p>
    <w:p>
      <w:pPr>
        <w:pStyle w:val="BlockText"/>
      </w:pPr>
      <w:r>
        <w:t xml:space="preserve">अस्मान् । सु । तत्र । चोदय । इन्द्र । राये । रभस्वतः ॥</w:t>
      </w:r>
      <w:r>
        <w:t xml:space="preserve"> </w:t>
      </w:r>
      <w:r>
        <w:t xml:space="preserve">तुविऽद्युम्न । यशस्वतः ॥६॥</w:t>
      </w:r>
    </w:p>
    <w:p>
      <w:pPr>
        <w:pStyle w:val="BlockText"/>
      </w:pPr>
      <w:r>
        <w:rPr>
          <w:iCs/>
          <w:i/>
        </w:rPr>
        <w:t xml:space="preserve">asmān | su | tatra | codaya | indra | rāye | rabhasvataḥ ||</w:t>
      </w:r>
      <w:r>
        <w:t xml:space="preserve"> </w:t>
      </w:r>
      <w:r>
        <w:rPr>
          <w:iCs/>
          <w:i/>
        </w:rPr>
        <w:t xml:space="preserve">tuvi-dyumna | yaśasvataḥ ||6||</w:t>
      </w:r>
    </w:p>
    <w:p>
      <w:pPr>
        <w:pStyle w:val="FirstParagraph"/>
      </w:pPr>
      <w:r>
        <w:rPr>
          <w:bCs/>
          <w:b/>
        </w:rPr>
        <w:t xml:space="preserve">॥ Sāyaṇa-bhāṣyam ॥</w:t>
      </w:r>
    </w:p>
    <w:p>
      <w:pPr>
        <w:pStyle w:val="BlockText"/>
      </w:pPr>
      <w:r>
        <w:t xml:space="preserve">हे तुविद्युम्न प्रभूतधनेन्द्र राये धनसिद्ध्यर्थमस्माननुष्ठातॄन् तत्र कर्मणि सु चोदय । सुष्ठु प्रेरय । कीदृशानस्मान् । रभस्वत उद्योगवतो यशस्वतः कीर्तिमतः ॥ तत्र । तच्छब्दात्सप्तम्यास्त्रल् । पा. ५-३-१० । लितीति प्रत्ययात्पूर्वस्योदात्तत्वम् । इन्द्र । आमन्त्रिताद्युदात्तत्वम् । पादादित्वान्न निघातः । राये । ऊडिदमित्यादिना विभक्तेरुदात्तत्वम् । रभस्वतः । रभ राभस्ये । राभस्यं कार्योपक्रमः । सर्वधातुभ्यो ऽसुन् । नित्त्वादाद्युदात्तः । मतुपः पित्त्वादनुदात्तत्वम् । स्वादिष्वसर्वनामस्थाने । पा. १-४-१७ । इति न पदत्वं तसौ मत्वर्थे । पा. १-४-१९ । इति भसंज्ञया बाधितत्वात् । आ कडारादेका संज्ञा । पा. १-४-१ । इति नियमात् तुविद्युम्न । तुवि बहु द्युम्नं धनं यस्य । षाष्ठिकमामन्त्रिताद्युदात्तत्वम् । यशस्वतः । यशो ऽस्यास्तीति मतुप् । अस्मायामेधास्रजो विनिः । पा. ५-२-१२१ । इति विनिना न बाध्यते मतुपः सर्वत्र समुच्चयात् । यशश्शब्दो नब्विषयस्यानिसन्तस्येत्याद्युदात्तः । मतुपः पित्त्वात्तस्य शिष्यते ॥</w:t>
      </w:r>
    </w:p>
    <w:p>
      <w:pPr>
        <w:pStyle w:val="BlockText"/>
      </w:pPr>
      <w:r>
        <w:rPr>
          <w:iCs/>
          <w:i/>
        </w:rPr>
        <w:t xml:space="preserve">he tuvidyumna prabhūtadhanendra rāye dhanasiddhyarthamasmānanuṣṭhātṝn tatra karmaṇi su codaya | suṣṭhu preraya | kīdṛśānasmān | rabhasvata udyogavato yaśasvataḥ kīrtimataḥ || tatra | tacchabdātsaptamyāstral | pā. 5-3-10 | litīti pratyayātpūrvasyodāttatvam | indra | āmantritādyudāttatvam | pādāditvānna nighātaḥ | rāye | ūḍidamityādinā vibhakterudāttatvam | rabhasvataḥ | rabha rābhasye | rābhasyaṃ kāryopakramaḥ | sarvadhātubhyo ’sun | nittvādādyudāttaḥ | matupaḥ pittvādanudāttatvam | svādiṣvasarvanāmasthāne | pā. 1-4-17 | iti na padatvaṃ tasau matvarthe | pā. 1-4-19 | iti bhasaṃjñayā bādhitatvāt | ā kaḍārādekā saṃjñā | pā. 1-4-1 | iti niyamāt tuvidyumna | tuvi bahu dyumnaṃ dhanaṃ yasya | ṣāṣṭhikamāmantritādyudāttatvam | yaśasvataḥ | yaśo ’syāstīti matup | asmāyāmedhāsrajo viniḥ | pā. 5-2-121 | iti vininā na bādhyate matupaḥ sarvatra samuccayāt | yaśaśśabdo nabviṣayasyānisantasyetyādyudāttaḥ | matupaḥ pittvāttasya śiṣyate ||</w:t>
      </w:r>
    </w:p>
    <w:p>
      <w:pPr>
        <w:pStyle w:val="FirstParagraph"/>
      </w:pPr>
      <w:r>
        <w:rPr>
          <w:bCs/>
          <w:b/>
        </w:rPr>
        <w:t xml:space="preserve">Translation:</w:t>
      </w:r>
      <w:r>
        <w:t xml:space="preserve"> </w:t>
      </w:r>
      <w:r>
        <w:t xml:space="preserve">“</w:t>
      </w:r>
      <w:r>
        <w:t xml:space="preserve">O</w:t>
      </w:r>
      <w:r>
        <w:t xml:space="preserve"> </w:t>
      </w:r>
      <w:r>
        <w:rPr>
          <w:iCs/>
          <w:i/>
        </w:rPr>
        <w:t xml:space="preserve">tuvidyumna</w:t>
      </w:r>
      <w:r>
        <w:t xml:space="preserve"> </w:t>
      </w:r>
      <w:r>
        <w:t xml:space="preserve">— Indra of abundant wealth! For</w:t>
      </w:r>
      <w:r>
        <w:t xml:space="preserve"> </w:t>
      </w:r>
      <w:r>
        <w:rPr>
          <w:iCs/>
          <w:i/>
        </w:rPr>
        <w:t xml:space="preserve">rāye</w:t>
      </w:r>
      <w:r>
        <w:t xml:space="preserve">, the achievement of wealth,</w:t>
      </w:r>
      <w:r>
        <w:t xml:space="preserve"> </w:t>
      </w:r>
      <w:r>
        <w:rPr>
          <w:iCs/>
          <w:i/>
        </w:rPr>
        <w:t xml:space="preserve">su codaya</w:t>
      </w:r>
      <w:r>
        <w:t xml:space="preserve"> </w:t>
      </w:r>
      <w:r>
        <w:t xml:space="preserve">— urge well — us, who perform the rites, in that rite. What kind of us?</w:t>
      </w:r>
      <w:r>
        <w:t xml:space="preserve"> </w:t>
      </w:r>
      <w:r>
        <w:rPr>
          <w:iCs/>
          <w:i/>
        </w:rPr>
        <w:t xml:space="preserve">Rabhasvataḥ</w:t>
      </w:r>
      <w:r>
        <w:t xml:space="preserve"> </w:t>
      </w:r>
      <w:r>
        <w:t xml:space="preserve">— enterprising, industrious;</w:t>
      </w:r>
      <w:r>
        <w:t xml:space="preserve"> </w:t>
      </w:r>
      <w:r>
        <w:rPr>
          <w:iCs/>
          <w:i/>
        </w:rPr>
        <w:t xml:space="preserve">yaśasvataḥ</w:t>
      </w:r>
      <w:r>
        <w:t xml:space="preserve"> </w:t>
      </w:r>
      <w:r>
        <w:t xml:space="preserve">— renowned.</w:t>
      </w:r>
      <w:r>
        <w:t xml:space="preserve"> </w:t>
      </w:r>
      <w:r>
        <w:rPr>
          <w:iCs/>
          <w:i/>
        </w:rPr>
        <w:t xml:space="preserve">(Grammar:</w:t>
      </w:r>
      <w:r>
        <w:t xml:space="preserve"> </w:t>
      </w:r>
      <w:r>
        <w:t xml:space="preserve">tatra —</w:t>
      </w:r>
      <w:r>
        <w:t xml:space="preserve"> </w:t>
      </w:r>
      <w:r>
        <w:rPr>
          <w:iCs/>
          <w:i/>
        </w:rPr>
        <w:t xml:space="preserve">formed with</w:t>
      </w:r>
      <w:r>
        <w:t xml:space="preserve"> </w:t>
      </w:r>
      <w:r>
        <w:t xml:space="preserve">tral</w:t>
      </w:r>
      <w:r>
        <w:t xml:space="preserve"> </w:t>
      </w:r>
      <w:r>
        <w:rPr>
          <w:iCs/>
          <w:i/>
        </w:rPr>
        <w:t xml:space="preserve">after the word</w:t>
      </w:r>
      <w:r>
        <w:t xml:space="preserve"> </w:t>
      </w:r>
      <w:r>
        <w:t xml:space="preserve">tad</w:t>
      </w:r>
      <w:r>
        <w:t xml:space="preserve"> </w:t>
      </w:r>
      <w:r>
        <w:rPr>
          <w:iCs/>
          <w:i/>
        </w:rPr>
        <w:t xml:space="preserve">in the seventh case (Pā. 5-3-10), the syllable before the suffix being udātta since</w:t>
      </w:r>
      <w:r>
        <w:t xml:space="preserve"> </w:t>
      </w:r>
      <w:r>
        <w:t xml:space="preserve">tral</w:t>
      </w:r>
      <w:r>
        <w:t xml:space="preserve"> </w:t>
      </w:r>
      <w:r>
        <w:rPr>
          <w:iCs/>
          <w:i/>
        </w:rPr>
        <w:t xml:space="preserve">is</w:t>
      </w:r>
      <w:r>
        <w:t xml:space="preserve"> </w:t>
      </w:r>
      <w:r>
        <w:t xml:space="preserve">l-</w:t>
      </w:r>
      <w:r>
        <w:rPr>
          <w:iCs/>
          <w:i/>
        </w:rPr>
        <w:t xml:space="preserve">marked;</w:t>
      </w:r>
      <w:r>
        <w:t xml:space="preserve"> </w:t>
      </w:r>
      <w:r>
        <w:t xml:space="preserve">indra</w:t>
      </w:r>
      <w:r>
        <w:t xml:space="preserve"> </w:t>
      </w:r>
      <w:r>
        <w:rPr>
          <w:iCs/>
          <w:i/>
        </w:rPr>
        <w:t xml:space="preserve">— the vocative, initially udātta, but as the first word of a pāda not lowered;</w:t>
      </w:r>
      <w:r>
        <w:t xml:space="preserve"> </w:t>
      </w:r>
      <w:r>
        <w:t xml:space="preserve">rāye</w:t>
      </w:r>
      <w:r>
        <w:t xml:space="preserve"> </w:t>
      </w:r>
      <w:r>
        <w:rPr>
          <w:iCs/>
          <w:i/>
        </w:rPr>
        <w:t xml:space="preserve">— the case-ending udātta by ”ūḍidam…”;</w:t>
      </w:r>
      <w:r>
        <w:t xml:space="preserve"> </w:t>
      </w:r>
      <w:r>
        <w:t xml:space="preserve">rabhasvataḥ —</w:t>
      </w:r>
      <w:r>
        <w:t xml:space="preserve"> </w:t>
      </w:r>
      <w:r>
        <w:rPr>
          <w:iCs/>
          <w:i/>
        </w:rPr>
        <w:t xml:space="preserve">root</w:t>
      </w:r>
      <w:r>
        <w:t xml:space="preserve"> </w:t>
      </w:r>
      <w:r>
        <w:t xml:space="preserve">rabha rābhasye</w:t>
      </w:r>
      <w:r>
        <w:rPr>
          <w:iCs/>
          <w:i/>
        </w:rPr>
        <w:t xml:space="preserve">,</w:t>
      </w:r>
      <w:r>
        <w:rPr>
          <w:iCs/>
          <w:i/>
        </w:rPr>
        <w:t xml:space="preserve"> </w:t>
      </w:r>
      <w:r>
        <w:rPr>
          <w:iCs/>
          <w:i/>
        </w:rPr>
        <w:t xml:space="preserve">‘</w:t>
      </w:r>
      <w:r>
        <w:rPr>
          <w:iCs/>
          <w:i/>
        </w:rPr>
        <w:t xml:space="preserve">the beginning of an act</w:t>
      </w:r>
      <w:r>
        <w:rPr>
          <w:iCs/>
          <w:i/>
        </w:rPr>
        <w:t xml:space="preserve">’</w:t>
      </w:r>
      <w:r>
        <w:rPr>
          <w:iCs/>
          <w:i/>
        </w:rPr>
        <w:t xml:space="preserve">; the suffix</w:t>
      </w:r>
      <w:r>
        <w:t xml:space="preserve"> </w:t>
      </w:r>
      <w:r>
        <w:t xml:space="preserve">asun</w:t>
      </w:r>
      <w:r>
        <w:rPr>
          <w:iCs/>
          <w:i/>
        </w:rPr>
        <w:t xml:space="preserve">, initial-udātta since</w:t>
      </w:r>
      <w:r>
        <w:t xml:space="preserve"> </w:t>
      </w:r>
      <w:r>
        <w:t xml:space="preserve">nit</w:t>
      </w:r>
      <w:r>
        <w:rPr>
          <w:iCs/>
          <w:i/>
        </w:rPr>
        <w:t xml:space="preserve">;</w:t>
      </w:r>
      <w:r>
        <w:t xml:space="preserve"> </w:t>
      </w:r>
      <w:r>
        <w:t xml:space="preserve">matup</w:t>
      </w:r>
      <w:r>
        <w:t xml:space="preserve"> </w:t>
      </w:r>
      <w:r>
        <w:rPr>
          <w:iCs/>
          <w:i/>
        </w:rPr>
        <w:t xml:space="preserve">is</w:t>
      </w:r>
      <w:r>
        <w:t xml:space="preserve"> </w:t>
      </w:r>
      <w:r>
        <w:t xml:space="preserve">pit</w:t>
      </w:r>
      <w:r>
        <w:t xml:space="preserve"> </w:t>
      </w:r>
      <w:r>
        <w:rPr>
          <w:iCs/>
          <w:i/>
        </w:rPr>
        <w:t xml:space="preserve">and so unaccented; by Pā. 1-4-17 and 1-4-19 the word is not a</w:t>
      </w:r>
      <w:r>
        <w:t xml:space="preserve"> </w:t>
      </w:r>
      <w:r>
        <w:t xml:space="preserve">pada</w:t>
      </w:r>
      <w:r>
        <w:t xml:space="preserve"> </w:t>
      </w:r>
      <w:r>
        <w:rPr>
          <w:iCs/>
          <w:i/>
        </w:rPr>
        <w:t xml:space="preserve">before</w:t>
      </w:r>
      <w:r>
        <w:t xml:space="preserve"> </w:t>
      </w:r>
      <w:r>
        <w:t xml:space="preserve">matup</w:t>
      </w:r>
      <w:r>
        <w:rPr>
          <w:iCs/>
          <w:i/>
        </w:rPr>
        <w:t xml:space="preserve">, but has the technical</w:t>
      </w:r>
      <w:r>
        <w:t xml:space="preserve"> </w:t>
      </w:r>
      <w:r>
        <w:t xml:space="preserve">bha</w:t>
      </w:r>
      <w:r>
        <w:t xml:space="preserve"> </w:t>
      </w:r>
      <w:r>
        <w:rPr>
          <w:iCs/>
          <w:i/>
        </w:rPr>
        <w:t xml:space="preserve">status, which blocks the</w:t>
      </w:r>
      <w:r>
        <w:t xml:space="preserve"> </w:t>
      </w:r>
      <w:r>
        <w:t xml:space="preserve">pada</w:t>
      </w:r>
      <w:r>
        <w:t xml:space="preserve"> </w:t>
      </w:r>
      <w:r>
        <w:rPr>
          <w:iCs/>
          <w:i/>
        </w:rPr>
        <w:t xml:space="preserve">status;</w:t>
      </w:r>
      <w:r>
        <w:t xml:space="preserve"> </w:t>
      </w:r>
      <w:r>
        <w:t xml:space="preserve">tuvidyumna</w:t>
      </w:r>
      <w:r>
        <w:t xml:space="preserve"> </w:t>
      </w:r>
      <w:r>
        <w:rPr>
          <w:iCs/>
          <w:i/>
        </w:rPr>
        <w:t xml:space="preserve">—</w:t>
      </w:r>
      <w:r>
        <w:rPr>
          <w:iCs/>
          <w:i/>
        </w:rPr>
        <w:t xml:space="preserve"> </w:t>
      </w:r>
      <w:r>
        <w:rPr>
          <w:iCs/>
          <w:i/>
        </w:rPr>
        <w:t xml:space="preserve">‘</w:t>
      </w:r>
      <w:r>
        <w:rPr>
          <w:iCs/>
          <w:i/>
        </w:rPr>
        <w:t xml:space="preserve">he whose wealth (</w:t>
      </w:r>
      <w:r>
        <w:rPr>
          <w:iCs/>
          <w:i/>
          <w:iCs/>
          <w:i/>
        </w:rPr>
        <w:t xml:space="preserve">dyumna</w:t>
      </w:r>
      <w:r>
        <w:rPr>
          <w:iCs/>
          <w:i/>
        </w:rPr>
        <w:t xml:space="preserve">) is much (</w:t>
      </w:r>
      <w:r>
        <w:rPr>
          <w:iCs/>
          <w:i/>
          <w:iCs/>
          <w:i/>
        </w:rPr>
        <w:t xml:space="preserve">tuvi</w:t>
      </w:r>
      <w:r>
        <w:rPr>
          <w:iCs/>
          <w:i/>
        </w:rPr>
        <w:t xml:space="preserve">)</w:t>
      </w:r>
      <w:r>
        <w:rPr>
          <w:iCs/>
          <w:i/>
        </w:rPr>
        <w:t xml:space="preserve">’</w:t>
      </w:r>
      <w:r>
        <w:rPr>
          <w:iCs/>
          <w:i/>
        </w:rPr>
        <w:t xml:space="preserve">, a bahuvrīhi, the vocative initially udātta;</w:t>
      </w:r>
      <w:r>
        <w:t xml:space="preserve"> </w:t>
      </w:r>
      <w:r>
        <w:t xml:space="preserve">yaśasvataḥ</w:t>
      </w:r>
      <w:r>
        <w:t xml:space="preserve"> </w:t>
      </w:r>
      <w:r>
        <w:rPr>
          <w:iCs/>
          <w:i/>
        </w:rPr>
        <w:t xml:space="preserve">—</w:t>
      </w:r>
      <w:r>
        <w:rPr>
          <w:iCs/>
          <w:i/>
        </w:rPr>
        <w:t xml:space="preserve"> </w:t>
      </w:r>
      <w:r>
        <w:rPr>
          <w:iCs/>
          <w:i/>
        </w:rPr>
        <w:t xml:space="preserve">‘</w:t>
      </w:r>
      <w:r>
        <w:rPr>
          <w:iCs/>
          <w:i/>
        </w:rPr>
        <w:t xml:space="preserve">who has fame</w:t>
      </w:r>
      <w:r>
        <w:rPr>
          <w:iCs/>
          <w:i/>
        </w:rPr>
        <w:t xml:space="preserve">’</w:t>
      </w:r>
      <w:r>
        <w:rPr>
          <w:iCs/>
          <w:i/>
        </w:rPr>
        <w:t xml:space="preserve"> </w:t>
      </w:r>
      <w:r>
        <w:rPr>
          <w:iCs/>
          <w:i/>
        </w:rPr>
        <w:t xml:space="preserve">with</w:t>
      </w:r>
      <w:r>
        <w:t xml:space="preserve"> </w:t>
      </w:r>
      <w:r>
        <w:t xml:space="preserve">matup</w:t>
      </w:r>
      <w:r>
        <w:rPr>
          <w:iCs/>
          <w:i/>
        </w:rPr>
        <w:t xml:space="preserve">, not barred by</w:t>
      </w:r>
      <w:r>
        <w:t xml:space="preserve"> </w:t>
      </w:r>
      <w:r>
        <w:t xml:space="preserve">vini</w:t>
      </w:r>
      <w:r>
        <w:t xml:space="preserve"> </w:t>
      </w:r>
      <w:r>
        <w:rPr>
          <w:iCs/>
          <w:i/>
        </w:rPr>
        <w:t xml:space="preserve">(Pā. 5-2-121) since the two are combined everywhere; the word</w:t>
      </w:r>
      <w:r>
        <w:t xml:space="preserve"> </w:t>
      </w:r>
      <w:r>
        <w:t xml:space="preserve">yaśas</w:t>
      </w:r>
      <w:r>
        <w:t xml:space="preserve"> </w:t>
      </w:r>
      <w:r>
        <w:rPr>
          <w:iCs/>
          <w:i/>
        </w:rPr>
        <w:t xml:space="preserve">initial-udātta as a neuter not ending in</w:t>
      </w:r>
      <w:r>
        <w:t xml:space="preserve"> </w:t>
      </w:r>
      <w:r>
        <w:t xml:space="preserve">-isan</w:t>
      </w:r>
      <w:r>
        <w:rPr>
          <w:iCs/>
          <w:i/>
        </w:rPr>
        <w:t xml:space="preserve">.)</w:t>
      </w:r>
      <w:r>
        <w:t xml:space="preserve">”</w:t>
      </w:r>
    </w:p>
    <w:p>
      <w:pPr>
        <w:pStyle w:val="BodyText"/>
      </w:pPr>
      <w:r>
        <w:rPr>
          <w:bCs/>
          <w:b/>
        </w:rPr>
        <w:t xml:space="preserve">॥ Prati-padārthaḥ ॥</w:t>
      </w:r>
    </w:p>
    <w:p>
      <w:pPr>
        <w:pStyle w:val="BodyText"/>
      </w:pPr>
      <w:r>
        <w:rPr>
          <w:bCs/>
          <w:b/>
        </w:rPr>
        <w:t xml:space="preserve">तुविद्युम्न (tuvidyumna)</w:t>
      </w:r>
      <w:r>
        <w:t xml:space="preserve"> </w:t>
      </w:r>
      <w:r>
        <w:t xml:space="preserve">— O Indra, who are endowed with abundant wealth |</w:t>
      </w:r>
      <w:r>
        <w:t xml:space="preserve"> </w:t>
      </w:r>
      <w:r>
        <w:rPr>
          <w:bCs/>
          <w:b/>
        </w:rPr>
        <w:t xml:space="preserve">(हे) इन्द्र ((he) indra)</w:t>
      </w:r>
      <w:r>
        <w:t xml:space="preserve"> </w:t>
      </w:r>
      <w:r>
        <w:t xml:space="preserve">— O Indra |</w:t>
      </w:r>
      <w:r>
        <w:t xml:space="preserve"> </w:t>
      </w:r>
      <w:r>
        <w:rPr>
          <w:bCs/>
          <w:b/>
        </w:rPr>
        <w:t xml:space="preserve">रभस्वतः (rabhasvataḥ)</w:t>
      </w:r>
      <w:r>
        <w:t xml:space="preserve"> </w:t>
      </w:r>
      <w:r>
        <w:t xml:space="preserve">— who are enterprising (engaged in sacrificial and other works) |</w:t>
      </w:r>
      <w:r>
        <w:t xml:space="preserve"> </w:t>
      </w:r>
      <w:r>
        <w:rPr>
          <w:bCs/>
          <w:b/>
        </w:rPr>
        <w:t xml:space="preserve">यशस्वतः (yaśasvataḥ)</w:t>
      </w:r>
      <w:r>
        <w:t xml:space="preserve"> </w:t>
      </w:r>
      <w:r>
        <w:t xml:space="preserve">— who are possessed of fame |</w:t>
      </w:r>
      <w:r>
        <w:t xml:space="preserve"> </w:t>
      </w:r>
      <w:r>
        <w:rPr>
          <w:bCs/>
          <w:b/>
        </w:rPr>
        <w:t xml:space="preserve">अस्मान् (asmān)</w:t>
      </w:r>
      <w:r>
        <w:t xml:space="preserve"> </w:t>
      </w:r>
      <w:r>
        <w:t xml:space="preserve">— us |</w:t>
      </w:r>
      <w:r>
        <w:t xml:space="preserve"> </w:t>
      </w:r>
      <w:r>
        <w:rPr>
          <w:bCs/>
          <w:b/>
        </w:rPr>
        <w:t xml:space="preserve">राये (rāye)</w:t>
      </w:r>
      <w:r>
        <w:t xml:space="preserve"> </w:t>
      </w:r>
      <w:r>
        <w:t xml:space="preserve">— for obtaining wealth |</w:t>
      </w:r>
      <w:r>
        <w:t xml:space="preserve"> </w:t>
      </w:r>
      <w:r>
        <w:rPr>
          <w:bCs/>
          <w:b/>
        </w:rPr>
        <w:t xml:space="preserve">तत्र (tatra)</w:t>
      </w:r>
      <w:r>
        <w:t xml:space="preserve"> </w:t>
      </w:r>
      <w:r>
        <w:t xml:space="preserve">— in that rite |</w:t>
      </w:r>
      <w:r>
        <w:t xml:space="preserve"> </w:t>
      </w:r>
      <w:r>
        <w:rPr>
          <w:bCs/>
          <w:b/>
        </w:rPr>
        <w:t xml:space="preserve">सु चोदय (su codaya)</w:t>
      </w:r>
      <w:r>
        <w:t xml:space="preserve"> </w:t>
      </w:r>
      <w:r>
        <w:t xml:space="preserve">— urge well.</w:t>
      </w:r>
    </w:p>
    <w:p>
      <w:pPr>
        <w:pStyle w:val="BodyText"/>
      </w:pPr>
      <w:r>
        <w:rPr>
          <w:bCs/>
          <w:b/>
        </w:rPr>
        <w:t xml:space="preserve">॥ Bhāvārthaḥ ॥</w:t>
      </w:r>
    </w:p>
    <w:p>
      <w:pPr>
        <w:pStyle w:val="BodyText"/>
      </w:pPr>
      <w:r>
        <w:t xml:space="preserve">O Indra! You are endowed with abundant wealth — that is, you possess great riches. Therefore urge us, who are always engaged in sacrificial and other works and are renowned, to engage ardently in sacrificial and other rites for obtaining wealth.</w:t>
      </w:r>
    </w:p>
    <w:bookmarkEnd w:id="391"/>
    <w:bookmarkStart w:id="392" w:name="X9fba2e04e1e52b4204c72239b3b9d6c55083979"/>
    <w:p>
      <w:pPr>
        <w:pStyle w:val="Heading3"/>
      </w:pPr>
      <w:r>
        <w:t xml:space="preserve">Page 363 — Rik 6: English, Special Topics, grammar</w:t>
      </w:r>
    </w:p>
    <w:p>
      <w:pPr>
        <w:pStyle w:val="FirstParagraph"/>
      </w:pPr>
      <w:r>
        <w:rPr>
          <w:bCs/>
          <w:b/>
        </w:rPr>
        <w:t xml:space="preserve">॥ English Translation ॥</w:t>
      </w:r>
      <w:r>
        <w:t xml:space="preserve"> </w:t>
      </w:r>
      <w:r>
        <w:rPr>
          <w:iCs/>
          <w:i/>
        </w:rPr>
        <w:t xml:space="preserve">(as printed in the source)</w:t>
      </w:r>
    </w:p>
    <w:p>
      <w:pPr>
        <w:pStyle w:val="BlockText"/>
      </w:pPr>
      <w:r>
        <w:t xml:space="preserve">Indra, you are very rich ; encourage us in this rite for the acquirement of wealth, for we are deligent [sic] and renowned.</w:t>
      </w:r>
    </w:p>
    <w:p>
      <w:pPr>
        <w:pStyle w:val="FirstParagraph"/>
      </w:pPr>
      <w:r>
        <w:rPr>
          <w:bCs/>
          <w:b/>
        </w:rPr>
        <w:t xml:space="preserve">॥ Viśeṣa-viṣayagaḷu (Special Topics) ॥</w:t>
      </w:r>
    </w:p>
    <w:p>
      <w:pPr>
        <w:pStyle w:val="BodyText"/>
      </w:pPr>
      <w:r>
        <w:rPr>
          <w:bCs/>
          <w:b/>
        </w:rPr>
        <w:t xml:space="preserve">“</w:t>
      </w:r>
      <w:r>
        <w:rPr>
          <w:bCs/>
          <w:b/>
        </w:rPr>
        <w:t xml:space="preserve">Asmān + su = asmān tsu</w:t>
      </w:r>
      <w:r>
        <w:rPr>
          <w:bCs/>
          <w:b/>
        </w:rPr>
        <w:t xml:space="preserve">”</w:t>
      </w:r>
      <w:r>
        <w:t xml:space="preserve"> </w:t>
      </w:r>
      <w:r>
        <w:t xml:space="preserve">— when</w:t>
      </w:r>
      <w:r>
        <w:t xml:space="preserve"> </w:t>
      </w:r>
      <w:r>
        <w:rPr>
          <w:iCs/>
          <w:i/>
        </w:rPr>
        <w:t xml:space="preserve">s</w:t>
      </w:r>
      <w:r>
        <w:t xml:space="preserve"> </w:t>
      </w:r>
      <w:r>
        <w:t xml:space="preserve">follows the</w:t>
      </w:r>
      <w:r>
        <w:t xml:space="preserve"> </w:t>
      </w:r>
      <w:r>
        <w:rPr>
          <w:iCs/>
          <w:i/>
        </w:rPr>
        <w:t xml:space="preserve">n</w:t>
      </w:r>
      <w:r>
        <w:t xml:space="preserve"> </w:t>
      </w:r>
      <w:r>
        <w:t xml:space="preserve">of a word-ending (here, an accusative-plural</w:t>
      </w:r>
      <w:r>
        <w:t xml:space="preserve"> </w:t>
      </w:r>
      <w:r>
        <w:rPr>
          <w:iCs/>
          <w:i/>
        </w:rPr>
        <w:t xml:space="preserve">n</w:t>
      </w:r>
      <w:r>
        <w:t xml:space="preserve">), in the Saṃhitā-pāṭha the two are combined by sandhi and, in pronouncing, a</w:t>
      </w:r>
      <w:r>
        <w:t xml:space="preserve"> </w:t>
      </w:r>
      <w:r>
        <w:rPr>
          <w:iCs/>
          <w:i/>
        </w:rPr>
        <w:t xml:space="preserve">t</w:t>
      </w:r>
      <w:r>
        <w:t xml:space="preserve"> </w:t>
      </w:r>
      <w:r>
        <w:t xml:space="preserve">is inserted between the</w:t>
      </w:r>
      <w:r>
        <w:t xml:space="preserve"> </w:t>
      </w:r>
      <w:r>
        <w:rPr>
          <w:iCs/>
          <w:i/>
        </w:rPr>
        <w:t xml:space="preserve">n</w:t>
      </w:r>
      <w:r>
        <w:t xml:space="preserve"> </w:t>
      </w:r>
      <w:r>
        <w:t xml:space="preserve">and the</w:t>
      </w:r>
      <w:r>
        <w:t xml:space="preserve"> </w:t>
      </w:r>
      <w:r>
        <w:rPr>
          <w:iCs/>
          <w:i/>
        </w:rPr>
        <w:t xml:space="preserve">s</w:t>
      </w:r>
      <w:r>
        <w:t xml:space="preserve">, giving</w:t>
      </w:r>
      <w:r>
        <w:t xml:space="preserve"> </w:t>
      </w:r>
      <w:r>
        <w:rPr>
          <w:iCs/>
          <w:i/>
        </w:rPr>
        <w:t xml:space="preserve">nts</w:t>
      </w:r>
      <w:r>
        <w:t xml:space="preserve">; this is customary. In this connection:</w:t>
      </w:r>
    </w:p>
    <w:p>
      <w:pPr>
        <w:pStyle w:val="BlockText"/>
      </w:pPr>
      <w:r>
        <w:t xml:space="preserve">स गा अविन्दत्सो अविन्ददश्वान्त्स ओषधीः सो अपः सवनानि ॥ (ऋ. सं. १-१०३-५)</w:t>
      </w:r>
      <w:r>
        <w:t xml:space="preserve"> </w:t>
      </w:r>
      <w:r>
        <w:rPr>
          <w:iCs/>
          <w:i/>
        </w:rPr>
        <w:t xml:space="preserve">sa gā avindat so avindad aśvānt sa oṣadhīḥ so apaḥ savanāni || (Ṛg. Saṃ. 1-103-5)</w:t>
      </w:r>
      <w:r>
        <w:t xml:space="preserve"> </w:t>
      </w:r>
      <w:r>
        <w:rPr>
          <w:iCs/>
          <w:i/>
        </w:rPr>
        <w:t xml:space="preserve">(</w:t>
      </w:r>
      <w:r>
        <w:rPr>
          <w:iCs/>
          <w:i/>
        </w:rPr>
        <w:t xml:space="preserve">“</w:t>
      </w:r>
      <w:r>
        <w:rPr>
          <w:iCs/>
          <w:i/>
        </w:rPr>
        <w:t xml:space="preserve">He found the cows, he found the horses, he the herbs, he the waters, the pressings.</w:t>
      </w:r>
      <w:r>
        <w:rPr>
          <w:iCs/>
          <w:i/>
        </w:rPr>
        <w:t xml:space="preserve">”</w:t>
      </w:r>
      <w:r>
        <w:rPr>
          <w:iCs/>
          <w:i/>
        </w:rPr>
        <w:t xml:space="preserve"> </w:t>
      </w:r>
      <w:r>
        <w:rPr>
          <w:iCs/>
          <w:i/>
        </w:rPr>
        <w:t xml:space="preserve">— mine and tentative; the source gives only the citation.)</w:t>
      </w:r>
    </w:p>
    <w:p>
      <w:pPr>
        <w:pStyle w:val="BlockText"/>
      </w:pPr>
      <w:r>
        <w:t xml:space="preserve">कविर्गीर्भिः काव्येना कविः सन्त्सोमः पवित्रमत्येति रेभन् ॥ (ऋ. सं. ९-९६-१७)</w:t>
      </w:r>
      <w:r>
        <w:t xml:space="preserve"> </w:t>
      </w:r>
      <w:r>
        <w:rPr>
          <w:iCs/>
          <w:i/>
        </w:rPr>
        <w:t xml:space="preserve">kavir gīrbhiḥ kāvyenā kaviḥ san tsomaḥ pavitram aty eti rebhan || (Ṛg. Saṃ. 9-96-17)</w:t>
      </w:r>
      <w:r>
        <w:t xml:space="preserve"> </w:t>
      </w:r>
      <w:r>
        <w:rPr>
          <w:iCs/>
          <w:i/>
        </w:rPr>
        <w:t xml:space="preserve">(</w:t>
      </w:r>
      <w:r>
        <w:rPr>
          <w:iCs/>
          <w:i/>
        </w:rPr>
        <w:t xml:space="preserve">“</w:t>
      </w:r>
      <w:r>
        <w:rPr>
          <w:iCs/>
          <w:i/>
        </w:rPr>
        <w:t xml:space="preserve">The seer [Soma], a seer with his songs and poetic power, being [pressed], passes through the filter, murmuring.</w:t>
      </w:r>
      <w:r>
        <w:rPr>
          <w:iCs/>
          <w:i/>
        </w:rPr>
        <w:t xml:space="preserve">”</w:t>
      </w:r>
      <w:r>
        <w:rPr>
          <w:iCs/>
          <w:i/>
        </w:rPr>
        <w:t xml:space="preserve"> </w:t>
      </w:r>
      <w:r>
        <w:rPr>
          <w:iCs/>
          <w:i/>
        </w:rPr>
        <w:t xml:space="preserve">— mine and tentative.)</w:t>
      </w:r>
    </w:p>
    <w:p>
      <w:pPr>
        <w:pStyle w:val="FirstParagraph"/>
      </w:pPr>
      <w:r>
        <w:t xml:space="preserve">Many more examples could be given.</w:t>
      </w:r>
    </w:p>
    <w:p>
      <w:pPr>
        <w:pStyle w:val="BodyText"/>
      </w:pPr>
      <w:r>
        <w:rPr>
          <w:bCs/>
          <w:b/>
        </w:rPr>
        <w:t xml:space="preserve">“</w:t>
      </w:r>
      <w:r>
        <w:rPr>
          <w:bCs/>
          <w:b/>
        </w:rPr>
        <w:t xml:space="preserve">Rabhasvataḥ</w:t>
      </w:r>
      <w:r>
        <w:rPr>
          <w:bCs/>
          <w:b/>
        </w:rPr>
        <w:t xml:space="preserve">”</w:t>
      </w:r>
      <w:r>
        <w:t xml:space="preserve"> </w:t>
      </w:r>
      <w:r>
        <w:t xml:space="preserve">—</w:t>
      </w:r>
      <w:r>
        <w:t xml:space="preserve"> </w:t>
      </w:r>
      <w:r>
        <w:rPr>
          <w:bCs/>
          <w:b/>
        </w:rPr>
        <w:t xml:space="preserve">रभ राभस्ये । राभस्यं कार्योपक्रमः</w:t>
      </w:r>
      <w:r>
        <w:t xml:space="preserve"> </w:t>
      </w:r>
      <w:r>
        <w:t xml:space="preserve">(</w:t>
      </w:r>
      <w:r>
        <w:rPr>
          <w:iCs/>
          <w:i/>
        </w:rPr>
        <w:t xml:space="preserve">rabha rābhasye | rābhasyaṃ kāryopakramaḥ</w:t>
      </w:r>
      <w:r>
        <w:t xml:space="preserve">) —</w:t>
      </w:r>
      <w:r>
        <w:t xml:space="preserve"> </w:t>
      </w:r>
      <w:r>
        <w:t xml:space="preserve">“</w:t>
      </w:r>
      <w:r>
        <w:t xml:space="preserve">[root]</w:t>
      </w:r>
      <w:r>
        <w:t xml:space="preserve"> </w:t>
      </w:r>
      <w:r>
        <w:rPr>
          <w:iCs/>
          <w:i/>
        </w:rPr>
        <w:t xml:space="preserve">rabha</w:t>
      </w:r>
      <w:r>
        <w:t xml:space="preserve"> </w:t>
      </w:r>
      <w:r>
        <w:t xml:space="preserve">in the sense of</w:t>
      </w:r>
      <w:r>
        <w:t xml:space="preserve"> </w:t>
      </w:r>
      <w:r>
        <w:rPr>
          <w:iCs/>
          <w:i/>
        </w:rPr>
        <w:t xml:space="preserve">rābhasya</w:t>
      </w:r>
      <w:r>
        <w:t xml:space="preserve"> </w:t>
      </w:r>
      <w:r>
        <w:t xml:space="preserve">— the beginning of a work.</w:t>
      </w:r>
      <w:r>
        <w:t xml:space="preserve">”</w:t>
      </w:r>
      <w:r>
        <w:t xml:space="preserve"> </w:t>
      </w:r>
      <w:r>
        <w:rPr>
          <w:iCs/>
          <w:i/>
        </w:rPr>
        <w:t xml:space="preserve">Rābhasya</w:t>
      </w:r>
      <w:r>
        <w:t xml:space="preserve"> </w:t>
      </w:r>
      <w:r>
        <w:t xml:space="preserve">is derived from the root</w:t>
      </w:r>
      <w:r>
        <w:t xml:space="preserve"> </w:t>
      </w:r>
      <w:r>
        <w:rPr>
          <w:iCs/>
          <w:i/>
        </w:rPr>
        <w:t xml:space="preserve">rabh</w:t>
      </w:r>
      <w:r>
        <w:t xml:space="preserve">; it means starting an undertaking; being industrious, enterprising.</w:t>
      </w:r>
      <w:r>
        <w:t xml:space="preserve"> </w:t>
      </w:r>
      <w:r>
        <w:rPr>
          <w:iCs/>
          <w:i/>
        </w:rPr>
        <w:t xml:space="preserve">Rabhasvataḥ</w:t>
      </w:r>
      <w:r>
        <w:t xml:space="preserve"> </w:t>
      </w:r>
      <w:r>
        <w:t xml:space="preserve">is the accusative plural of</w:t>
      </w:r>
      <w:r>
        <w:t xml:space="preserve"> </w:t>
      </w:r>
      <w:r>
        <w:rPr>
          <w:iCs/>
          <w:i/>
        </w:rPr>
        <w:t xml:space="preserve">rabhasvān</w:t>
      </w:r>
      <w:r>
        <w:t xml:space="preserve">.</w:t>
      </w:r>
    </w:p>
    <w:p>
      <w:pPr>
        <w:pStyle w:val="BodyText"/>
      </w:pPr>
      <w:r>
        <w:rPr>
          <w:bCs/>
          <w:b/>
        </w:rPr>
        <w:t xml:space="preserve">“</w:t>
      </w:r>
      <w:r>
        <w:rPr>
          <w:bCs/>
          <w:b/>
        </w:rPr>
        <w:t xml:space="preserve">Tuvidyumna</w:t>
      </w:r>
      <w:r>
        <w:rPr>
          <w:bCs/>
          <w:b/>
        </w:rPr>
        <w:t xml:space="preserve">”</w:t>
      </w:r>
      <w:r>
        <w:t xml:space="preserve"> </w:t>
      </w:r>
      <w:r>
        <w:t xml:space="preserve">—</w:t>
      </w:r>
      <w:r>
        <w:t xml:space="preserve"> </w:t>
      </w:r>
      <w:r>
        <w:t xml:space="preserve">“</w:t>
      </w:r>
      <w:r>
        <w:t xml:space="preserve">of abundant wealth</w:t>
      </w:r>
      <w:r>
        <w:t xml:space="preserve">”</w:t>
      </w:r>
      <w:r>
        <w:t xml:space="preserve">:</w:t>
      </w:r>
      <w:r>
        <w:t xml:space="preserve"> </w:t>
      </w:r>
      <w:r>
        <w:rPr>
          <w:iCs/>
          <w:i/>
        </w:rPr>
        <w:t xml:space="preserve">tuvi</w:t>
      </w:r>
      <w:r>
        <w:t xml:space="preserve"> </w:t>
      </w:r>
      <w:r>
        <w:t xml:space="preserve">is much;</w:t>
      </w:r>
      <w:r>
        <w:t xml:space="preserve"> </w:t>
      </w:r>
      <w:r>
        <w:rPr>
          <w:iCs/>
          <w:i/>
        </w:rPr>
        <w:t xml:space="preserve">dyumna</w:t>
      </w:r>
      <w:r>
        <w:t xml:space="preserve"> </w:t>
      </w:r>
      <w:r>
        <w:t xml:space="preserve">is wealth. So,</w:t>
      </w:r>
      <w:r>
        <w:t xml:space="preserve"> </w:t>
      </w:r>
      <w:r>
        <w:t xml:space="preserve">“</w:t>
      </w:r>
      <w:r>
        <w:t xml:space="preserve">he who has much wealth</w:t>
      </w:r>
      <w:r>
        <w:t xml:space="preserve">”</w:t>
      </w:r>
      <w:r>
        <w:t xml:space="preserve"> </w:t>
      </w:r>
      <w:r>
        <w:t xml:space="preserve">— a bahuvrīhi.</w:t>
      </w:r>
      <w:r>
        <w:t xml:space="preserve"> </w:t>
      </w:r>
      <w:r>
        <w:t xml:space="preserve">“</w:t>
      </w:r>
      <w:r>
        <w:t xml:space="preserve">Of much wealth.</w:t>
      </w:r>
      <w:r>
        <w:t xml:space="preserve">”</w:t>
      </w:r>
    </w:p>
    <w:p>
      <w:pPr>
        <w:pStyle w:val="BodyText"/>
      </w:pPr>
      <w:r>
        <w:rPr>
          <w:bCs/>
          <w:b/>
        </w:rPr>
        <w:t xml:space="preserve">“</w:t>
      </w:r>
      <w:r>
        <w:rPr>
          <w:bCs/>
          <w:b/>
        </w:rPr>
        <w:t xml:space="preserve">Yaśasvataḥ</w:t>
      </w:r>
      <w:r>
        <w:rPr>
          <w:bCs/>
          <w:b/>
        </w:rPr>
        <w:t xml:space="preserve">”</w:t>
      </w:r>
      <w:r>
        <w:t xml:space="preserve"> </w:t>
      </w:r>
      <w:r>
        <w:t xml:space="preserve">—</w:t>
      </w:r>
      <w:r>
        <w:t xml:space="preserve"> </w:t>
      </w:r>
      <w:r>
        <w:rPr>
          <w:iCs/>
          <w:i/>
        </w:rPr>
        <w:t xml:space="preserve">yaśo ’syāstīti yaśasvān</w:t>
      </w:r>
      <w:r>
        <w:t xml:space="preserve">,</w:t>
      </w:r>
      <w:r>
        <w:t xml:space="preserve"> </w:t>
      </w:r>
      <w:r>
        <w:t xml:space="preserve">“</w:t>
      </w:r>
      <w:r>
        <w:t xml:space="preserve">those who have fame</w:t>
      </w:r>
      <w:r>
        <w:t xml:space="preserve">”</w:t>
      </w:r>
      <w:r>
        <w:t xml:space="preserve">; renowned.</w:t>
      </w:r>
      <w:r>
        <w:t xml:space="preserve"> </w:t>
      </w:r>
      <w:r>
        <w:rPr>
          <w:iCs/>
          <w:i/>
        </w:rPr>
        <w:t xml:space="preserve">Rabhasvataḥ</w:t>
      </w:r>
      <w:r>
        <w:t xml:space="preserve"> </w:t>
      </w:r>
      <w:r>
        <w:t xml:space="preserve">and</w:t>
      </w:r>
      <w:r>
        <w:t xml:space="preserve"> </w:t>
      </w:r>
      <w:r>
        <w:rPr>
          <w:iCs/>
          <w:i/>
        </w:rPr>
        <w:t xml:space="preserve">yaśasvataḥ</w:t>
      </w:r>
      <w:r>
        <w:t xml:space="preserve"> </w:t>
      </w:r>
      <w:r>
        <w:t xml:space="preserve">both qualify the word</w:t>
      </w:r>
      <w:r>
        <w:t xml:space="preserve"> </w:t>
      </w:r>
      <w:r>
        <w:rPr>
          <w:iCs/>
          <w:i/>
        </w:rPr>
        <w:t xml:space="preserve">asmān</w:t>
      </w:r>
      <w:r>
        <w:t xml:space="preserve"> </w:t>
      </w:r>
      <w:r>
        <w:t xml:space="preserve">(</w:t>
      </w:r>
      <w:r>
        <w:t xml:space="preserve">“</w:t>
      </w:r>
      <w:r>
        <w:t xml:space="preserve">us</w:t>
      </w:r>
      <w:r>
        <w:t xml:space="preserve">”</w:t>
      </w:r>
      <w:r>
        <w:t xml:space="preserve">).</w:t>
      </w:r>
    </w:p>
    <w:p>
      <w:pPr>
        <w:pStyle w:val="BodyText"/>
      </w:pPr>
      <w:r>
        <w:rPr>
          <w:bCs/>
          <w:b/>
        </w:rPr>
        <w:t xml:space="preserve">॥ Vyākaraṇa-prakriyā ॥</w:t>
      </w:r>
      <w:r>
        <w:t xml:space="preserve"> </w:t>
      </w:r>
      <w:r>
        <w:rPr>
          <w:iCs/>
          <w:i/>
        </w:rPr>
        <w:t xml:space="preserve">(grammar pages 363–365, noted briefly)</w:t>
      </w:r>
    </w:p>
    <w:p>
      <w:pPr>
        <w:pStyle w:val="BodyText"/>
      </w:pPr>
      <w:r>
        <w:rPr>
          <w:bCs/>
          <w:b/>
        </w:rPr>
        <w:t xml:space="preserve">तत्र (</w:t>
      </w:r>
      <w:r>
        <w:rPr>
          <w:iCs/>
          <w:i/>
          <w:bCs/>
          <w:b/>
        </w:rPr>
        <w:t xml:space="preserve">tatra</w:t>
      </w:r>
      <w:r>
        <w:rPr>
          <w:bCs/>
          <w:b/>
        </w:rPr>
        <w:t xml:space="preserve">)</w:t>
      </w:r>
      <w:r>
        <w:t xml:space="preserve"> </w:t>
      </w:r>
      <w:r>
        <w:t xml:space="preserve">—</w:t>
      </w:r>
      <w:r>
        <w:t xml:space="preserve"> </w:t>
      </w:r>
      <w:r>
        <w:t xml:space="preserve">“</w:t>
      </w:r>
      <w:r>
        <w:t xml:space="preserve">in that</w:t>
      </w:r>
      <w:r>
        <w:t xml:space="preserve">”</w:t>
      </w:r>
      <w:r>
        <w:t xml:space="preserve">; the</w:t>
      </w:r>
      <w:r>
        <w:t xml:space="preserve"> </w:t>
      </w:r>
      <w:r>
        <w:rPr>
          <w:iCs/>
          <w:i/>
        </w:rPr>
        <w:t xml:space="preserve">tral</w:t>
      </w:r>
      <w:r>
        <w:t xml:space="preserve"> </w:t>
      </w:r>
      <w:r>
        <w:t xml:space="preserve">suffix after the seventh-case pronouns</w:t>
      </w:r>
      <w:r>
        <w:t xml:space="preserve"> </w:t>
      </w:r>
      <w:r>
        <w:rPr>
          <w:iCs/>
          <w:i/>
        </w:rPr>
        <w:t xml:space="preserve">tad</w:t>
      </w:r>
      <w:r>
        <w:t xml:space="preserve">,</w:t>
      </w:r>
      <w:r>
        <w:t xml:space="preserve"> </w:t>
      </w:r>
      <w:r>
        <w:rPr>
          <w:iCs/>
          <w:i/>
        </w:rPr>
        <w:t xml:space="preserve">kim</w:t>
      </w:r>
      <w:r>
        <w:t xml:space="preserve">,</w:t>
      </w:r>
      <w:r>
        <w:t xml:space="preserve"> </w:t>
      </w:r>
      <w:r>
        <w:rPr>
          <w:iCs/>
          <w:i/>
        </w:rPr>
        <w:t xml:space="preserve">sarva</w:t>
      </w:r>
      <w:r>
        <w:t xml:space="preserve"> </w:t>
      </w:r>
      <w:r>
        <w:t xml:space="preserve">etc. (Pā. 5-3-10,</w:t>
      </w:r>
      <w:r>
        <w:t xml:space="preserve"> </w:t>
      </w:r>
      <w:r>
        <w:t xml:space="preserve">“</w:t>
      </w:r>
      <w:r>
        <w:t xml:space="preserve">saptamyās tral</w:t>
      </w:r>
      <w:r>
        <w:t xml:space="preserve">”</w:t>
      </w:r>
      <w:r>
        <w:t xml:space="preserve">);</w:t>
      </w:r>
      <w:r>
        <w:t xml:space="preserve"> </w:t>
      </w:r>
      <w:r>
        <w:rPr>
          <w:iCs/>
          <w:i/>
        </w:rPr>
        <w:t xml:space="preserve">tral</w:t>
      </w:r>
      <w:r>
        <w:t xml:space="preserve"> </w:t>
      </w:r>
      <w:r>
        <w:t xml:space="preserve">is</w:t>
      </w:r>
      <w:r>
        <w:t xml:space="preserve"> </w:t>
      </w:r>
      <w:r>
        <w:rPr>
          <w:iCs/>
          <w:i/>
        </w:rPr>
        <w:t xml:space="preserve">taddhita</w:t>
      </w:r>
      <w:r>
        <w:t xml:space="preserve">, so the word is a</w:t>
      </w:r>
      <w:r>
        <w:t xml:space="preserve"> </w:t>
      </w:r>
      <w:r>
        <w:rPr>
          <w:iCs/>
          <w:i/>
        </w:rPr>
        <w:t xml:space="preserve">prātipadika</w:t>
      </w:r>
      <w:r>
        <w:t xml:space="preserve">; the</w:t>
      </w:r>
      <w:r>
        <w:t xml:space="preserve"> </w:t>
      </w:r>
      <w:r>
        <w:rPr>
          <w:iCs/>
          <w:i/>
        </w:rPr>
        <w:t xml:space="preserve">sup</w:t>
      </w:r>
      <w:r>
        <w:t xml:space="preserve"> </w:t>
      </w:r>
      <w:r>
        <w:t xml:space="preserve">ending is dropped by</w:t>
      </w:r>
      <w:r>
        <w:t xml:space="preserve"> </w:t>
      </w:r>
      <w:r>
        <w:rPr>
          <w:iCs/>
          <w:i/>
        </w:rPr>
        <w:t xml:space="preserve">supo dhātuprātipadikayoḥ</w:t>
      </w:r>
      <w:r>
        <w:t xml:space="preserve"> </w:t>
      </w:r>
      <w:r>
        <w:t xml:space="preserve">(Pā. 2-4-71);</w:t>
      </w:r>
      <w:r>
        <w:t xml:space="preserve"> </w:t>
      </w:r>
      <w:r>
        <w:rPr>
          <w:iCs/>
          <w:i/>
        </w:rPr>
        <w:t xml:space="preserve">d</w:t>
      </w:r>
      <w:r>
        <w:t xml:space="preserve"> </w:t>
      </w:r>
      <w:r>
        <w:t xml:space="preserve">→</w:t>
      </w:r>
      <w:r>
        <w:t xml:space="preserve"> </w:t>
      </w:r>
      <w:r>
        <w:rPr>
          <w:iCs/>
          <w:i/>
        </w:rPr>
        <w:t xml:space="preserve">a</w:t>
      </w:r>
      <w:r>
        <w:t xml:space="preserve"> </w:t>
      </w:r>
      <w:r>
        <w:t xml:space="preserve">by</w:t>
      </w:r>
      <w:r>
        <w:t xml:space="preserve"> </w:t>
      </w:r>
      <w:r>
        <w:rPr>
          <w:iCs/>
          <w:i/>
        </w:rPr>
        <w:t xml:space="preserve">tyadādīnām aḥ</w:t>
      </w:r>
      <w:r>
        <w:t xml:space="preserve"> </w:t>
      </w:r>
      <w:r>
        <w:t xml:space="preserve">(Pā. 6-2-102 [as printed]);</w:t>
      </w:r>
      <w:r>
        <w:t xml:space="preserve"> </w:t>
      </w:r>
      <w:r>
        <w:rPr>
          <w:iCs/>
          <w:i/>
        </w:rPr>
        <w:t xml:space="preserve">a</w:t>
      </w:r>
      <w:r>
        <w:t xml:space="preserve"> </w:t>
      </w:r>
      <w:r>
        <w:t xml:space="preserve">+</w:t>
      </w:r>
      <w:r>
        <w:t xml:space="preserve"> </w:t>
      </w:r>
      <w:r>
        <w:rPr>
          <w:iCs/>
          <w:i/>
        </w:rPr>
        <w:t xml:space="preserve">a</w:t>
      </w:r>
      <w:r>
        <w:t xml:space="preserve"> </w:t>
      </w:r>
      <w:r>
        <w:t xml:space="preserve">→ pararūpa by</w:t>
      </w:r>
      <w:r>
        <w:t xml:space="preserve"> </w:t>
      </w:r>
      <w:r>
        <w:rPr>
          <w:iCs/>
          <w:i/>
        </w:rPr>
        <w:t xml:space="preserve">ato guṇe</w:t>
      </w:r>
      <w:r>
        <w:t xml:space="preserve"> </w:t>
      </w:r>
      <w:r>
        <w:t xml:space="preserve">(Pā. 6-1-97);</w:t>
      </w:r>
      <w:r>
        <w:t xml:space="preserve"> </w:t>
      </w:r>
      <w:r>
        <w:rPr>
          <w:iCs/>
          <w:i/>
        </w:rPr>
        <w:t xml:space="preserve">tral</w:t>
      </w:r>
      <w:r>
        <w:t xml:space="preserve"> </w:t>
      </w:r>
      <w:r>
        <w:t xml:space="preserve">is</w:t>
      </w:r>
      <w:r>
        <w:t xml:space="preserve"> </w:t>
      </w:r>
      <w:r>
        <w:rPr>
          <w:iCs/>
          <w:i/>
        </w:rPr>
        <w:t xml:space="preserve">l</w:t>
      </w:r>
      <w:r>
        <w:t xml:space="preserve">-marked, so by</w:t>
      </w:r>
      <w:r>
        <w:t xml:space="preserve"> </w:t>
      </w:r>
      <w:r>
        <w:rPr>
          <w:iCs/>
          <w:i/>
        </w:rPr>
        <w:t xml:space="preserve">liti</w:t>
      </w:r>
      <w:r>
        <w:t xml:space="preserve"> </w:t>
      </w:r>
      <w:r>
        <w:t xml:space="preserve">(Pā. 6-1-193) the syllable before the suffix is udātta.</w:t>
      </w:r>
      <w:r>
        <w:t xml:space="preserve"> </w:t>
      </w:r>
      <w:r>
        <w:rPr>
          <w:bCs/>
          <w:b/>
        </w:rPr>
        <w:t xml:space="preserve">इन्द्र (</w:t>
      </w:r>
      <w:r>
        <w:rPr>
          <w:iCs/>
          <w:i/>
          <w:bCs/>
          <w:b/>
        </w:rPr>
        <w:t xml:space="preserve">indra</w:t>
      </w:r>
      <w:r>
        <w:rPr>
          <w:bCs/>
          <w:b/>
        </w:rPr>
        <w:t xml:space="preserve">)</w:t>
      </w:r>
      <w:r>
        <w:t xml:space="preserve"> </w:t>
      </w:r>
      <w:r>
        <w:t xml:space="preserve">— the second pāda’s first syllable; since this is the beginning of the pāda, there is no lowering by</w:t>
      </w:r>
      <w:r>
        <w:t xml:space="preserve"> </w:t>
      </w:r>
      <w:r>
        <w:rPr>
          <w:iCs/>
          <w:i/>
        </w:rPr>
        <w:t xml:space="preserve">apādādau</w:t>
      </w:r>
      <w:r>
        <w:t xml:space="preserve">; as a vocative it is initial-udātta by</w:t>
      </w:r>
      <w:r>
        <w:t xml:space="preserve"> </w:t>
      </w:r>
      <w:r>
        <w:rPr>
          <w:iCs/>
          <w:i/>
        </w:rPr>
        <w:t xml:space="preserve">āmantritasya ca</w:t>
      </w:r>
      <w:r>
        <w:t xml:space="preserve"> </w:t>
      </w:r>
      <w:r>
        <w:t xml:space="preserve">(Pā. 6-1-198).</w:t>
      </w:r>
      <w:r>
        <w:t xml:space="preserve"> </w:t>
      </w:r>
      <w:r>
        <w:rPr>
          <w:bCs/>
          <w:b/>
        </w:rPr>
        <w:t xml:space="preserve">राये (</w:t>
      </w:r>
      <w:r>
        <w:rPr>
          <w:iCs/>
          <w:i/>
          <w:bCs/>
          <w:b/>
        </w:rPr>
        <w:t xml:space="preserve">rāye</w:t>
      </w:r>
      <w:r>
        <w:rPr>
          <w:bCs/>
          <w:b/>
        </w:rPr>
        <w:t xml:space="preserve">)</w:t>
      </w:r>
      <w:r>
        <w:t xml:space="preserve"> </w:t>
      </w:r>
      <w:r>
        <w:t xml:space="preserve">—</w:t>
      </w:r>
      <w:r>
        <w:t xml:space="preserve"> </w:t>
      </w:r>
      <w:r>
        <w:rPr>
          <w:iCs/>
          <w:i/>
        </w:rPr>
        <w:t xml:space="preserve">rai</w:t>
      </w:r>
      <w:r>
        <w:t xml:space="preserve"> </w:t>
      </w:r>
      <w:r>
        <w:t xml:space="preserve">+ the dative ending</w:t>
      </w:r>
      <w:r>
        <w:t xml:space="preserve"> </w:t>
      </w:r>
      <w:r>
        <w:rPr>
          <w:iCs/>
          <w:i/>
        </w:rPr>
        <w:t xml:space="preserve">e</w:t>
      </w:r>
      <w:r>
        <w:t xml:space="preserve">; after the</w:t>
      </w:r>
      <w:r>
        <w:t xml:space="preserve"> </w:t>
      </w:r>
      <w:r>
        <w:rPr>
          <w:iCs/>
          <w:i/>
        </w:rPr>
        <w:t xml:space="preserve">ai</w:t>
      </w:r>
      <w:r>
        <w:t xml:space="preserve">-ending word</w:t>
      </w:r>
      <w:r>
        <w:t xml:space="preserve"> </w:t>
      </w:r>
      <w:r>
        <w:rPr>
          <w:iCs/>
          <w:i/>
        </w:rPr>
        <w:t xml:space="preserve">rai</w:t>
      </w:r>
      <w:r>
        <w:t xml:space="preserve">, the dative ending is udātta (</w:t>
      </w:r>
      <w:r>
        <w:rPr>
          <w:iCs/>
          <w:i/>
        </w:rPr>
        <w:t xml:space="preserve">ūḍidam-pada-ādy-ap-pum-rai-dyubhyaḥ</w:t>
      </w:r>
      <w:r>
        <w:t xml:space="preserve">, Pā. 6-1-171).</w:t>
      </w:r>
      <w:r>
        <w:t xml:space="preserve"> </w:t>
      </w:r>
      <w:r>
        <w:rPr>
          <w:bCs/>
          <w:b/>
        </w:rPr>
        <w:t xml:space="preserve">रभस्वतः (</w:t>
      </w:r>
      <w:r>
        <w:rPr>
          <w:iCs/>
          <w:i/>
          <w:bCs/>
          <w:b/>
        </w:rPr>
        <w:t xml:space="preserve">rabhasvataḥ</w:t>
      </w:r>
      <w:r>
        <w:rPr>
          <w:bCs/>
          <w:b/>
        </w:rPr>
        <w:t xml:space="preserve">)</w:t>
      </w:r>
      <w:r>
        <w:t xml:space="preserve"> </w:t>
      </w:r>
      <w:r>
        <w:t xml:space="preserve">— root</w:t>
      </w:r>
      <w:r>
        <w:t xml:space="preserve"> </w:t>
      </w:r>
      <w:r>
        <w:rPr>
          <w:iCs/>
          <w:i/>
        </w:rPr>
        <w:t xml:space="preserve">rabha rābhasye</w:t>
      </w:r>
      <w:r>
        <w:t xml:space="preserve">;</w:t>
      </w:r>
      <w:r>
        <w:t xml:space="preserve"> </w:t>
      </w:r>
      <w:r>
        <w:rPr>
          <w:iCs/>
          <w:i/>
        </w:rPr>
        <w:t xml:space="preserve">asun</w:t>
      </w:r>
      <w:r>
        <w:t xml:space="preserve"> </w:t>
      </w:r>
      <w:r>
        <w:t xml:space="preserve">by</w:t>
      </w:r>
      <w:r>
        <w:t xml:space="preserve"> </w:t>
      </w:r>
      <w:r>
        <w:rPr>
          <w:iCs/>
          <w:i/>
        </w:rPr>
        <w:t xml:space="preserve">sarvadhātubhyo ’sun</w:t>
      </w:r>
      <w:r>
        <w:t xml:space="preserve"> </w:t>
      </w:r>
      <w:r>
        <w:t xml:space="preserve">(Uṇ. 4-628 [as printed]) gives</w:t>
      </w:r>
      <w:r>
        <w:t xml:space="preserve"> </w:t>
      </w:r>
      <w:r>
        <w:rPr>
          <w:iCs/>
          <w:i/>
        </w:rPr>
        <w:t xml:space="preserve">rabhas</w:t>
      </w:r>
      <w:r>
        <w:t xml:space="preserve">, initial-udātta as</w:t>
      </w:r>
      <w:r>
        <w:t xml:space="preserve"> </w:t>
      </w:r>
      <w:r>
        <w:rPr>
          <w:iCs/>
          <w:i/>
        </w:rPr>
        <w:t xml:space="preserve">nit</w:t>
      </w:r>
      <w:r>
        <w:t xml:space="preserve">;</w:t>
      </w:r>
      <w:r>
        <w:t xml:space="preserve"> </w:t>
      </w:r>
      <w:r>
        <w:rPr>
          <w:iCs/>
          <w:i/>
        </w:rPr>
        <w:t xml:space="preserve">matup</w:t>
      </w:r>
      <w:r>
        <w:t xml:space="preserve"> </w:t>
      </w:r>
      <w:r>
        <w:t xml:space="preserve">after it by</w:t>
      </w:r>
      <w:r>
        <w:t xml:space="preserve"> </w:t>
      </w:r>
      <w:r>
        <w:rPr>
          <w:iCs/>
          <w:i/>
        </w:rPr>
        <w:t xml:space="preserve">tad asyāsty asminn iti matup</w:t>
      </w:r>
      <w:r>
        <w:t xml:space="preserve"> </w:t>
      </w:r>
      <w:r>
        <w:t xml:space="preserve">(Pā. 5-2-94), its</w:t>
      </w:r>
      <w:r>
        <w:t xml:space="preserve"> </w:t>
      </w:r>
      <w:r>
        <w:rPr>
          <w:iCs/>
          <w:i/>
        </w:rPr>
        <w:t xml:space="preserve">m</w:t>
      </w:r>
      <w:r>
        <w:t xml:space="preserve"> </w:t>
      </w:r>
      <w:r>
        <w:t xml:space="preserve">→</w:t>
      </w:r>
      <w:r>
        <w:t xml:space="preserve"> </w:t>
      </w:r>
      <w:r>
        <w:rPr>
          <w:iCs/>
          <w:i/>
        </w:rPr>
        <w:t xml:space="preserve">v</w:t>
      </w:r>
      <w:r>
        <w:t xml:space="preserve"> </w:t>
      </w:r>
      <w:r>
        <w:t xml:space="preserve">by</w:t>
      </w:r>
      <w:r>
        <w:t xml:space="preserve"> </w:t>
      </w:r>
      <w:r>
        <w:rPr>
          <w:iCs/>
          <w:i/>
        </w:rPr>
        <w:t xml:space="preserve">mādupadhāyāś ca mator vo ’yavādibhyaḥ</w:t>
      </w:r>
      <w:r>
        <w:t xml:space="preserve"> </w:t>
      </w:r>
      <w:r>
        <w:t xml:space="preserve">(Pā. 8-2-9); the question of whether</w:t>
      </w:r>
      <w:r>
        <w:t xml:space="preserve"> </w:t>
      </w:r>
      <w:r>
        <w:rPr>
          <w:iCs/>
          <w:i/>
        </w:rPr>
        <w:t xml:space="preserve">rabhas</w:t>
      </w:r>
      <w:r>
        <w:t xml:space="preserve"> </w:t>
      </w:r>
      <w:r>
        <w:t xml:space="preserve">is a</w:t>
      </w:r>
      <w:r>
        <w:t xml:space="preserve"> </w:t>
      </w:r>
      <w:r>
        <w:rPr>
          <w:iCs/>
          <w:i/>
        </w:rPr>
        <w:t xml:space="preserve">pada</w:t>
      </w:r>
      <w:r>
        <w:t xml:space="preserve"> </w:t>
      </w:r>
      <w:r>
        <w:t xml:space="preserve">before</w:t>
      </w:r>
      <w:r>
        <w:t xml:space="preserve"> </w:t>
      </w:r>
      <w:r>
        <w:rPr>
          <w:iCs/>
          <w:i/>
        </w:rPr>
        <w:t xml:space="preserve">matup</w:t>
      </w:r>
      <w:r>
        <w:t xml:space="preserve"> </w:t>
      </w:r>
      <w:r>
        <w:t xml:space="preserve">(which would block</w:t>
      </w:r>
      <w:r>
        <w:t xml:space="preserve"> </w:t>
      </w:r>
      <w:r>
        <w:rPr>
          <w:iCs/>
          <w:i/>
        </w:rPr>
        <w:t xml:space="preserve">ruṭ</w:t>
      </w:r>
      <w:r>
        <w:t xml:space="preserve"> </w:t>
      </w:r>
      <w:r>
        <w:t xml:space="preserve">etc.) (by</w:t>
      </w:r>
      <w:r>
        <w:t xml:space="preserve"> </w:t>
      </w:r>
      <w:r>
        <w:rPr>
          <w:iCs/>
          <w:i/>
        </w:rPr>
        <w:t xml:space="preserve">svādiṣv asarvanāmasthāne</w:t>
      </w:r>
      <w:r>
        <w:t xml:space="preserve">, Pā. 1-4-17) or has</w:t>
      </w:r>
      <w:r>
        <w:t xml:space="preserve"> </w:t>
      </w:r>
      <w:r>
        <w:rPr>
          <w:iCs/>
          <w:i/>
        </w:rPr>
        <w:t xml:space="preserve">bha</w:t>
      </w:r>
      <w:r>
        <w:t xml:space="preserve"> </w:t>
      </w:r>
      <w:r>
        <w:t xml:space="preserve">status (by</w:t>
      </w:r>
      <w:r>
        <w:t xml:space="preserve"> </w:t>
      </w:r>
      <w:r>
        <w:rPr>
          <w:iCs/>
          <w:i/>
        </w:rPr>
        <w:t xml:space="preserve">tasau matvarthe</w:t>
      </w:r>
      <w:r>
        <w:t xml:space="preserve">, Pā. 1-4-19) is argued:</w:t>
      </w:r>
      <w:r>
        <w:t xml:space="preserve"> </w:t>
      </w:r>
      <w:r>
        <w:rPr>
          <w:iCs/>
          <w:i/>
        </w:rPr>
        <w:t xml:space="preserve">pada</w:t>
      </w:r>
      <w:r>
        <w:t xml:space="preserve"> </w:t>
      </w:r>
      <w:r>
        <w:t xml:space="preserve">status and</w:t>
      </w:r>
      <w:r>
        <w:t xml:space="preserve"> </w:t>
      </w:r>
      <w:r>
        <w:rPr>
          <w:iCs/>
          <w:i/>
        </w:rPr>
        <w:t xml:space="preserve">bha</w:t>
      </w:r>
      <w:r>
        <w:t xml:space="preserve"> </w:t>
      </w:r>
      <w:r>
        <w:t xml:space="preserve">status are both prescribed, and the source concludes by the maxim</w:t>
      </w:r>
      <w:r>
        <w:t xml:space="preserve"> </w:t>
      </w:r>
      <w:r>
        <w:t xml:space="preserve">“</w:t>
      </w:r>
      <w:r>
        <w:t xml:space="preserve">ā kaḍārād ekā saṃjñā</w:t>
      </w:r>
      <w:r>
        <w:t xml:space="preserve">”</w:t>
      </w:r>
      <w:r>
        <w:t xml:space="preserve"> </w:t>
      </w:r>
      <w:r>
        <w:t xml:space="preserve">(Pā. 1-4-1) that among the technical names prescribed from there up to</w:t>
      </w:r>
      <w:r>
        <w:t xml:space="preserve"> </w:t>
      </w:r>
      <w:r>
        <w:rPr>
          <w:iCs/>
          <w:i/>
        </w:rPr>
        <w:t xml:space="preserve">kaḍārāḥ karmadhāraye</w:t>
      </w:r>
      <w:r>
        <w:t xml:space="preserve"> </w:t>
      </w:r>
      <w:r>
        <w:t xml:space="preserve">(Pā. 2-2-38) only one applies, the later (</w:t>
      </w:r>
      <w:r>
        <w:rPr>
          <w:iCs/>
          <w:i/>
        </w:rPr>
        <w:t xml:space="preserve">para</w:t>
      </w:r>
      <w:r>
        <w:t xml:space="preserve">) one,</w:t>
      </w:r>
      <w:r>
        <w:t xml:space="preserve"> </w:t>
      </w:r>
      <w:r>
        <w:rPr>
          <w:iCs/>
          <w:i/>
        </w:rPr>
        <w:t xml:space="preserve">bha</w:t>
      </w:r>
      <w:r>
        <w:t xml:space="preserve">; so</w:t>
      </w:r>
      <w:r>
        <w:t xml:space="preserve"> </w:t>
      </w:r>
      <w:r>
        <w:rPr>
          <w:iCs/>
          <w:i/>
        </w:rPr>
        <w:t xml:space="preserve">pada</w:t>
      </w:r>
      <w:r>
        <w:t xml:space="preserve">-status is inapplicable and the rules (such as</w:t>
      </w:r>
      <w:r>
        <w:t xml:space="preserve"> </w:t>
      </w:r>
      <w:r>
        <w:rPr>
          <w:iCs/>
          <w:i/>
        </w:rPr>
        <w:t xml:space="preserve">ruṭv</w:t>
      </w:r>
      <w:r>
        <w:t xml:space="preserve">-rules) that depend on it do not operate.</w:t>
      </w:r>
      <w:r>
        <w:t xml:space="preserve"> </w:t>
      </w:r>
      <w:r>
        <w:rPr>
          <w:bCs/>
          <w:b/>
        </w:rPr>
        <w:t xml:space="preserve">तुविद्युम्न (</w:t>
      </w:r>
      <w:r>
        <w:rPr>
          <w:iCs/>
          <w:i/>
          <w:bCs/>
          <w:b/>
        </w:rPr>
        <w:t xml:space="preserve">tuvidyumna</w:t>
      </w:r>
      <w:r>
        <w:rPr>
          <w:bCs/>
          <w:b/>
        </w:rPr>
        <w:t xml:space="preserve">)</w:t>
      </w:r>
      <w:r>
        <w:t xml:space="preserve"> </w:t>
      </w:r>
      <w:r>
        <w:t xml:space="preserve">—</w:t>
      </w:r>
      <w:r>
        <w:t xml:space="preserve"> </w:t>
      </w:r>
      <w:r>
        <w:rPr>
          <w:iCs/>
          <w:i/>
        </w:rPr>
        <w:t xml:space="preserve">tuvi</w:t>
      </w:r>
      <w:r>
        <w:t xml:space="preserve"> </w:t>
      </w:r>
      <w:r>
        <w:t xml:space="preserve">(much) +</w:t>
      </w:r>
      <w:r>
        <w:t xml:space="preserve"> </w:t>
      </w:r>
      <w:r>
        <w:rPr>
          <w:iCs/>
          <w:i/>
        </w:rPr>
        <w:t xml:space="preserve">dyumna</w:t>
      </w:r>
      <w:r>
        <w:t xml:space="preserve"> </w:t>
      </w:r>
      <w:r>
        <w:t xml:space="preserve">(wealth) as a bahuvrīhi; a vocative, initial-udātta by the vocative rule of the sixth adhyāya (no number printed).</w:t>
      </w:r>
      <w:r>
        <w:t xml:space="preserve"> </w:t>
      </w:r>
      <w:r>
        <w:rPr>
          <w:bCs/>
          <w:b/>
        </w:rPr>
        <w:t xml:space="preserve">यशस्वतः (</w:t>
      </w:r>
      <w:r>
        <w:rPr>
          <w:iCs/>
          <w:i/>
          <w:bCs/>
          <w:b/>
        </w:rPr>
        <w:t xml:space="preserve">yaśasvataḥ</w:t>
      </w:r>
      <w:r>
        <w:rPr>
          <w:bCs/>
          <w:b/>
        </w:rPr>
        <w:t xml:space="preserve">)</w:t>
      </w:r>
      <w:r>
        <w:t xml:space="preserve"> </w:t>
      </w:r>
      <w:r>
        <w:t xml:space="preserve">—</w:t>
      </w:r>
      <w:r>
        <w:t xml:space="preserve"> </w:t>
      </w:r>
      <w:r>
        <w:t xml:space="preserve">“</w:t>
      </w:r>
      <w:r>
        <w:t xml:space="preserve">yaśo ’syāstīti yaśasvān</w:t>
      </w:r>
      <w:r>
        <w:t xml:space="preserve">”</w:t>
      </w:r>
      <w:r>
        <w:t xml:space="preserve">:</w:t>
      </w:r>
      <w:r>
        <w:t xml:space="preserve"> </w:t>
      </w:r>
      <w:r>
        <w:rPr>
          <w:iCs/>
          <w:i/>
        </w:rPr>
        <w:t xml:space="preserve">matup</w:t>
      </w:r>
      <w:r>
        <w:t xml:space="preserve">, with the</w:t>
      </w:r>
      <w:r>
        <w:t xml:space="preserve"> </w:t>
      </w:r>
      <w:r>
        <w:rPr>
          <w:iCs/>
          <w:i/>
        </w:rPr>
        <w:t xml:space="preserve">m</w:t>
      </w:r>
      <w:r>
        <w:t xml:space="preserve"> </w:t>
      </w:r>
      <w:r>
        <w:t xml:space="preserve">→</w:t>
      </w:r>
      <w:r>
        <w:t xml:space="preserve"> </w:t>
      </w:r>
      <w:r>
        <w:rPr>
          <w:iCs/>
          <w:i/>
        </w:rPr>
        <w:t xml:space="preserve">v</w:t>
      </w:r>
      <w:r>
        <w:t xml:space="preserve"> </w:t>
      </w:r>
      <w:r>
        <w:t xml:space="preserve">as in</w:t>
      </w:r>
      <w:r>
        <w:t xml:space="preserve"> </w:t>
      </w:r>
      <w:r>
        <w:rPr>
          <w:iCs/>
          <w:i/>
        </w:rPr>
        <w:t xml:space="preserve">rabhasvataḥ</w:t>
      </w:r>
      <w:r>
        <w:t xml:space="preserve">; the long discussion (pp. 364–365) concerns whether the</w:t>
      </w:r>
      <w:r>
        <w:t xml:space="preserve"> </w:t>
      </w:r>
      <w:r>
        <w:rPr>
          <w:iCs/>
          <w:i/>
        </w:rPr>
        <w:t xml:space="preserve">vini</w:t>
      </w:r>
      <w:r>
        <w:t xml:space="preserve"> </w:t>
      </w:r>
      <w:r>
        <w:t xml:space="preserve">suffix of the sūtra</w:t>
      </w:r>
      <w:r>
        <w:t xml:space="preserve"> </w:t>
      </w:r>
      <w:r>
        <w:t xml:space="preserve">“</w:t>
      </w:r>
      <w:r>
        <w:t xml:space="preserve">asmāyā-medhā-srajo viniḥ</w:t>
      </w:r>
      <w:r>
        <w:t xml:space="preserve">”</w:t>
      </w:r>
      <w:r>
        <w:t xml:space="preserve"> </w:t>
      </w:r>
      <w:r>
        <w:t xml:space="preserve">(Pā. 5-2-121) blocks</w:t>
      </w:r>
      <w:r>
        <w:t xml:space="preserve"> </w:t>
      </w:r>
      <w:r>
        <w:rPr>
          <w:iCs/>
          <w:i/>
        </w:rPr>
        <w:t xml:space="preserve">matup</w:t>
      </w:r>
      <w:r>
        <w:t xml:space="preserve"> </w:t>
      </w:r>
      <w:r>
        <w:t xml:space="preserve">here — answered that, by the carried-over word</w:t>
      </w:r>
      <w:r>
        <w:t xml:space="preserve"> </w:t>
      </w:r>
      <w:r>
        <w:t xml:space="preserve">“</w:t>
      </w:r>
      <w:r>
        <w:t xml:space="preserve">anyatarasyām</w:t>
      </w:r>
      <w:r>
        <w:t xml:space="preserve">”</w:t>
      </w:r>
      <w:r>
        <w:t xml:space="preserve"> </w:t>
      </w:r>
      <w:r>
        <w:t xml:space="preserve">(</w:t>
      </w:r>
      <w:r>
        <w:t xml:space="preserve">“</w:t>
      </w:r>
      <w:r>
        <w:t xml:space="preserve">optionally</w:t>
      </w:r>
      <w:r>
        <w:t xml:space="preserve">”</w:t>
      </w:r>
      <w:r>
        <w:t xml:space="preserve">),</w:t>
      </w:r>
      <w:r>
        <w:t xml:space="preserve"> </w:t>
      </w:r>
      <w:r>
        <w:rPr>
          <w:iCs/>
          <w:i/>
        </w:rPr>
        <w:t xml:space="preserve">vini</w:t>
      </w:r>
      <w:r>
        <w:t xml:space="preserve"> </w:t>
      </w:r>
      <w:r>
        <w:t xml:space="preserve">is only optional — the</w:t>
      </w:r>
      <w:r>
        <w:t xml:space="preserve"> </w:t>
      </w:r>
      <w:r>
        <w:t xml:space="preserve">“</w:t>
      </w:r>
      <w:r>
        <w:t xml:space="preserve">nityam</w:t>
      </w:r>
      <w:r>
        <w:t xml:space="preserve">”</w:t>
      </w:r>
      <w:r>
        <w:t xml:space="preserve"> </w:t>
      </w:r>
      <w:r>
        <w:t xml:space="preserve">of</w:t>
      </w:r>
      <w:r>
        <w:t xml:space="preserve"> </w:t>
      </w:r>
      <w:r>
        <w:rPr>
          <w:iCs/>
          <w:i/>
        </w:rPr>
        <w:t xml:space="preserve">ekago-pūrvāṭ ṭhañ nityam</w:t>
      </w:r>
      <w:r>
        <w:t xml:space="preserve"> </w:t>
      </w:r>
      <w:r>
        <w:t xml:space="preserve">(Pā. 5-2-118) breaks the carrying-over, but it resumes in</w:t>
      </w:r>
      <w:r>
        <w:t xml:space="preserve"> </w:t>
      </w:r>
      <w:r>
        <w:rPr>
          <w:iCs/>
          <w:i/>
        </w:rPr>
        <w:t xml:space="preserve">tasau matvarthe</w:t>
      </w:r>
      <w:r>
        <w:t xml:space="preserve"> </w:t>
      </w:r>
      <w:r>
        <w:t xml:space="preserve">(Pā. 1-4-19), where the Mahābhāṣya gives the examples</w:t>
      </w:r>
      <w:r>
        <w:t xml:space="preserve"> </w:t>
      </w:r>
      <w:r>
        <w:rPr>
          <w:iCs/>
          <w:i/>
        </w:rPr>
        <w:t xml:space="preserve">yaśasvī / yaśasvān</w:t>
      </w:r>
      <w:r>
        <w:t xml:space="preserve">; and by the Vedabhāṣya’s general statement that</w:t>
      </w:r>
      <w:r>
        <w:t xml:space="preserve"> </w:t>
      </w:r>
      <w:r>
        <w:rPr>
          <w:iCs/>
          <w:i/>
        </w:rPr>
        <w:t xml:space="preserve">matup</w:t>
      </w:r>
      <w:r>
        <w:t xml:space="preserve"> </w:t>
      </w:r>
      <w:r>
        <w:t xml:space="preserve">has the sense of inclusion everywhere (</w:t>
      </w:r>
      <w:r>
        <w:rPr>
          <w:iCs/>
          <w:i/>
        </w:rPr>
        <w:t xml:space="preserve">samuccaya</w:t>
      </w:r>
      <w:r>
        <w:t xml:space="preserve">), and by Kaiyaṭa on the Mahābhāṣya on</w:t>
      </w:r>
      <w:r>
        <w:t xml:space="preserve"> </w:t>
      </w:r>
      <w:r>
        <w:t xml:space="preserve">“</w:t>
      </w:r>
      <w:r>
        <w:t xml:space="preserve">keśād vo ’nyatarasyām</w:t>
      </w:r>
      <w:r>
        <w:t xml:space="preserve">”</w:t>
      </w:r>
      <w:r>
        <w:t xml:space="preserve"> </w:t>
      </w:r>
      <w:r>
        <w:t xml:space="preserve">(Pā. 5-2-109; printed 5-3-109 on p. 365 [as printed]);</w:t>
      </w:r>
      <w:r>
        <w:t xml:space="preserve"> </w:t>
      </w:r>
      <w:r>
        <w:rPr>
          <w:iCs/>
          <w:i/>
        </w:rPr>
        <w:t xml:space="preserve">yaśas</w:t>
      </w:r>
      <w:r>
        <w:t xml:space="preserve"> </w:t>
      </w:r>
      <w:r>
        <w:t xml:space="preserve">is initial-udātta as a neuter noun not ending in</w:t>
      </w:r>
      <w:r>
        <w:t xml:space="preserve"> </w:t>
      </w:r>
      <w:r>
        <w:rPr>
          <w:iCs/>
          <w:i/>
        </w:rPr>
        <w:t xml:space="preserve">-isan</w:t>
      </w:r>
      <w:r>
        <w:t xml:space="preserve"> </w:t>
      </w:r>
      <w:r>
        <w:t xml:space="preserve">(Phiṭ-sūtra 26);</w:t>
      </w:r>
      <w:r>
        <w:t xml:space="preserve"> </w:t>
      </w:r>
      <w:r>
        <w:rPr>
          <w:iCs/>
          <w:i/>
        </w:rPr>
        <w:t xml:space="preserve">matup</w:t>
      </w:r>
      <w:r>
        <w:t xml:space="preserve"> </w:t>
      </w:r>
      <w:r>
        <w:t xml:space="preserve">is</w:t>
      </w:r>
      <w:r>
        <w:t xml:space="preserve"> </w:t>
      </w:r>
      <w:r>
        <w:rPr>
          <w:iCs/>
          <w:i/>
        </w:rPr>
        <w:t xml:space="preserve">pit</w:t>
      </w:r>
      <w:r>
        <w:t xml:space="preserve">, hence unaccented; so the initial accent of</w:t>
      </w:r>
      <w:r>
        <w:t xml:space="preserve"> </w:t>
      </w:r>
      <w:r>
        <w:rPr>
          <w:iCs/>
          <w:i/>
        </w:rPr>
        <w:t xml:space="preserve">yaśas</w:t>
      </w:r>
      <w:r>
        <w:t xml:space="preserve"> </w:t>
      </w:r>
      <w:r>
        <w:t xml:space="preserve">stands.</w:t>
      </w:r>
      <w:r>
        <w:t xml:space="preserve"> </w:t>
      </w:r>
      <w:r>
        <w:rPr>
          <w:iCs/>
          <w:i/>
        </w:rPr>
        <w:t xml:space="preserve">(Sūtra numbers read from small print; pointers only.)</w:t>
      </w:r>
    </w:p>
    <w:p>
      <w:pPr>
        <w:pStyle w:val="BodyText"/>
      </w:pPr>
      <w:r>
        <w:rPr>
          <w:bCs/>
          <w:b/>
        </w:rPr>
        <w:t xml:space="preserve">॥६॥</w:t>
      </w:r>
    </w:p>
    <w:p>
      <w:r>
        <w:pict>
          <v:rect style="width:0;height:1.5pt" o:hralign="center" o:hrstd="t" o:hr="t"/>
        </w:pict>
      </w:r>
    </w:p>
    <w:bookmarkEnd w:id="392"/>
    <w:bookmarkStart w:id="393" w:name="page-365-sūkta-9-rik-7"/>
    <w:p>
      <w:pPr>
        <w:pStyle w:val="Heading3"/>
      </w:pPr>
      <w:r>
        <w:t xml:space="preserve">Page 365 — Sūkta 9, Rik 7</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सं गोम॑दिन्द्र॒ वाज॑वद॒स्मे पृ॒थु श्रवो॑ बृ॒हत् ।</w:t>
      </w:r>
      <w:r>
        <w:t xml:space="preserve"> </w:t>
      </w:r>
      <w:r>
        <w:t xml:space="preserve">वि॒श्वायु॑र्धेह्य॑क्षितम् ॥७॥</w:t>
      </w:r>
    </w:p>
    <w:p>
      <w:pPr>
        <w:pStyle w:val="BlockText"/>
      </w:pPr>
      <w:r>
        <w:rPr>
          <w:iCs/>
          <w:i/>
        </w:rPr>
        <w:t xml:space="preserve">saṃ gómad indra vā́javad asmé pṛthú śrávo bṛhát |</w:t>
      </w:r>
      <w:r>
        <w:t xml:space="preserve"> </w:t>
      </w:r>
      <w:r>
        <w:rPr>
          <w:iCs/>
          <w:i/>
        </w:rPr>
        <w:t xml:space="preserve">viśvā́yur dhéhy akṣitam ||7||</w:t>
      </w:r>
    </w:p>
    <w:p>
      <w:pPr>
        <w:pStyle w:val="FirstParagraph"/>
      </w:pPr>
      <w:r>
        <w:rPr>
          <w:bCs/>
          <w:b/>
        </w:rPr>
        <w:t xml:space="preserve">॥ Pada-pāṭhaḥ ॥</w:t>
      </w:r>
    </w:p>
    <w:p>
      <w:pPr>
        <w:pStyle w:val="BlockText"/>
      </w:pPr>
      <w:r>
        <w:t xml:space="preserve">सम् । गोऽमत् । इन्द्र । वाजऽवत् । अस्मे इति । पृथु । श्रवः । बृहत् ॥</w:t>
      </w:r>
      <w:r>
        <w:t xml:space="preserve"> </w:t>
      </w:r>
      <w:r>
        <w:t xml:space="preserve">विश्वऽआयुः । धेहि । अक्षितम् ॥७॥</w:t>
      </w:r>
    </w:p>
    <w:p>
      <w:pPr>
        <w:pStyle w:val="BlockText"/>
      </w:pPr>
      <w:r>
        <w:rPr>
          <w:iCs/>
          <w:i/>
        </w:rPr>
        <w:t xml:space="preserve">sam | go-mat | indra | vāja-vat | asme iti | pṛthu | śravaḥ | bṛhat ||</w:t>
      </w:r>
      <w:r>
        <w:t xml:space="preserve"> </w:t>
      </w:r>
      <w:r>
        <w:rPr>
          <w:iCs/>
          <w:i/>
        </w:rPr>
        <w:t xml:space="preserve">viśva-āyuḥ | dhehi | akṣitam ||7||</w:t>
      </w:r>
    </w:p>
    <w:bookmarkEnd w:id="393"/>
    <w:bookmarkStart w:id="394" w:name="page-366-rik-7-sāyaṇa-bhāṣya"/>
    <w:p>
      <w:pPr>
        <w:pStyle w:val="Heading3"/>
      </w:pPr>
      <w:r>
        <w:t xml:space="preserve">Page 366 — Rik 7: Sāyaṇa-bhāṣya</w:t>
      </w:r>
    </w:p>
    <w:p>
      <w:pPr>
        <w:pStyle w:val="FirstParagraph"/>
      </w:pPr>
      <w:r>
        <w:rPr>
          <w:bCs/>
          <w:b/>
        </w:rPr>
        <w:t xml:space="preserve">॥ Sāyaṇa-bhāṣyam ॥</w:t>
      </w:r>
    </w:p>
    <w:p>
      <w:pPr>
        <w:pStyle w:val="BlockText"/>
      </w:pPr>
      <w:r>
        <w:t xml:space="preserve">हे इन्द्र श्रवो धनमस्मे सं धेहि । अस्मभ्यं सम्यक् प्रयच्छ । कीदृशं श्रवः । गोमत् बह्वीभिर्गोभिरुपेतं वाजवत् प्रभूतेनान्नेनोपेतं पृथु परिमाणेनाधिकं बृहत् गुणैरधिकं विश्वायुः कृत्स्नायुष्यकारणं अक्षितं विनाशरहितम् । गोमत् । वाजवत् । उभयत्र मतुपो ऽनुदात्तत्वात्प्रातिपदिकस्वर एव । वाजशब्दो वृषादिराद्युदात्तः । अस्मे । अस्मच्छब्दाच्चतुर्थीबहुवचनस्य सुपां सुलुगित्यादिना शे आदेशः । शित्त्वात्सर्वादेशः । प्रातिपदिकस्वरेणान्तोदात्तत्वम् । शेषे लोपः । टिलोप इति पक्षे । पा. ७-२-९० । उदात्तनिवृत्तिस्वरेण विभक्तेरुदात्तत्वम् । अन्त्यलोपपक्षे ऽतो गुण इति पररूपे एकादेश उदात्तेनोदात्त इत्युदात्तत्वम् । पृथु । प्रथ प्रख्याने । प्रथिम्रदिभ्रस्जां संप्रसारणं सलोपश्च । उ. १-२९ । इति कुप्रत्ययः । रेफस्य संप्रसारणमृकारः । परपूर्वत्वम् । कोः कित्त्वान्न लघूपधगुणः । श्रूयत इति श्रवो धनम् । असुन्प्रत्ययः । नित्त्वादाद्युदात्तः । बृहत् । प्रातिपदिकस्वरः । विश्वायुः । विश्वमायुर्यस्मिन्धने । विश्वशब्दः क्वन्प्रत्ययान्तः । तस्य बहुव्रीहौ पूर्वपदप्रकृतिस्वरत्वे प्राप्ते परादिश्छन्दसि बहुलमिति पूर्वपदान्तोदात्तत्वम् । एकादेश उदात्तेनोदात्त इत्याद्युदात्तः । अक्षितम् । क्षि क्षये इत्यस्मादन्तर्णीतण्यर्थात्कर्मणि निष्ठा । तेन स्यदर्थत्वान्निष्ठायामण्यदर्थे [? as printed] । पा. ६-४-६० । इति न दीर्घत्वम् । अत एव क्षियो दीर्घात् । पा. ८-२-४६ । इति न निष्ठानत्वम् । नञ्समासे ऽव्ययपूर्वपदप्रकृतिस्वरत्वम् ॥</w:t>
      </w:r>
    </w:p>
    <w:p>
      <w:pPr>
        <w:pStyle w:val="BlockText"/>
      </w:pPr>
      <w:r>
        <w:rPr>
          <w:iCs/>
          <w:i/>
        </w:rPr>
        <w:t xml:space="preserve">he indra śravo dhanamasme saṃ dhehi | asmabhyaṃ samyak prayaccha | kīdṛśaṃ śravaḥ | gomat bahvībhirgobhirupetaṃ vājavat prabhūtenānnenopetaṃ pṛthu parimāṇenādhikaṃ bṛhat guṇairadhikaṃ viśvāyuḥ kṛtsnāyuṣyakāraṇaṃ akṣitaṃ vināśarahitam | gomat | vājavat | ubhayatra matupo ’nudāttatvātprātipadikasvara eva | vājaśabdo vṛṣādirādyudāttaḥ | asme | asmacchabdāccaturthībahuvacanasya supāṃ sulugityādinā śe ādeśaḥ | śittvātsarvādeśaḥ | prātipadikasvareṇāntodāttatvam | śeṣe lopaḥ | ṭilopa iti pakṣe | pā. 7-2-90 | udāttanivṛttisvareṇa vibhakterudāttatvam | antyalopapakṣe ’to guṇa iti pararūpe ekādeśa udāttenodātta ityudāttatvam | pṛthu | pratha prakhyāne | prathimradibhrasjāṃ saṃprasāraṇaṃ salopaśca | u. 1-29 | iti kupratyayaḥ | rephasya saṃprasāraṇamṛkāraḥ | parapūrvatvam | koḥ kittvānna laghūpadhaguṇaḥ | śrūyata iti śravo dhanam | asunpratyayaḥ | nittvādādyudāttaḥ | bṛhat | prātipadikasvaraḥ | viśvāyuḥ | viśvamāyuryasmindhane | viśvaśabdaḥ kvanpratyayāntaḥ | tasya bahuvrīhau pūrvapadaprakṛtisvaratve prāpte parādiśchandasi bahulamiti pūrvapadāntodāttatvam | ekādeśa udāttenodātta ityādyudāttaḥ | akṣitam | kṣi kṣaye ityasmādantarṇītaṇyarthātkarmaṇi niṣṭhā | tena syadarthatvānniṣṭhāyāmaṇyadarthe [? as printed] | pā. 6-4-60 | iti na dīrghatvam | ata eva kṣiyo dīrghāt | pā. 8-2-46 | iti na niṣṭhānatvam | nañsamāse ’vyayapūrvapadaprakṛtisvaratvam ||</w:t>
      </w:r>
    </w:p>
    <w:p>
      <w:pPr>
        <w:pStyle w:val="FirstParagraph"/>
      </w:pPr>
      <w:r>
        <w:rPr>
          <w:bCs/>
          <w:b/>
        </w:rPr>
        <w:t xml:space="preserve">Translation:</w:t>
      </w:r>
      <w:r>
        <w:t xml:space="preserve"> </w:t>
      </w:r>
      <w:r>
        <w:t xml:space="preserve">“</w:t>
      </w:r>
      <w:r>
        <w:t xml:space="preserve">O Indra!</w:t>
      </w:r>
      <w:r>
        <w:t xml:space="preserve"> </w:t>
      </w:r>
      <w:r>
        <w:rPr>
          <w:iCs/>
          <w:i/>
        </w:rPr>
        <w:t xml:space="preserve">Śravaḥ</w:t>
      </w:r>
      <w:r>
        <w:t xml:space="preserve"> </w:t>
      </w:r>
      <w:r>
        <w:t xml:space="preserve">— wealth —</w:t>
      </w:r>
      <w:r>
        <w:t xml:space="preserve"> </w:t>
      </w:r>
      <w:r>
        <w:rPr>
          <w:iCs/>
          <w:i/>
        </w:rPr>
        <w:t xml:space="preserve">asme</w:t>
      </w:r>
      <w:r>
        <w:t xml:space="preserve"> </w:t>
      </w:r>
      <w:r>
        <w:t xml:space="preserve">— to us —</w:t>
      </w:r>
      <w:r>
        <w:t xml:space="preserve"> </w:t>
      </w:r>
      <w:r>
        <w:rPr>
          <w:iCs/>
          <w:i/>
        </w:rPr>
        <w:t xml:space="preserve">saṃ dhehi</w:t>
      </w:r>
      <w:r>
        <w:t xml:space="preserve">: bestow well. What kind of</w:t>
      </w:r>
      <w:r>
        <w:t xml:space="preserve"> </w:t>
      </w:r>
      <w:r>
        <w:rPr>
          <w:iCs/>
          <w:i/>
        </w:rPr>
        <w:t xml:space="preserve">śravaḥ</w:t>
      </w:r>
      <w:r>
        <w:t xml:space="preserve">?</w:t>
      </w:r>
      <w:r>
        <w:t xml:space="preserve"> </w:t>
      </w:r>
      <w:r>
        <w:rPr>
          <w:iCs/>
          <w:i/>
        </w:rPr>
        <w:t xml:space="preserve">Gomat</w:t>
      </w:r>
      <w:r>
        <w:t xml:space="preserve"> </w:t>
      </w:r>
      <w:r>
        <w:t xml:space="preserve">— furnished with many cows;</w:t>
      </w:r>
      <w:r>
        <w:t xml:space="preserve"> </w:t>
      </w:r>
      <w:r>
        <w:rPr>
          <w:iCs/>
          <w:i/>
        </w:rPr>
        <w:t xml:space="preserve">vājavat</w:t>
      </w:r>
      <w:r>
        <w:t xml:space="preserve"> </w:t>
      </w:r>
      <w:r>
        <w:t xml:space="preserve">— furnished with abundant food;</w:t>
      </w:r>
      <w:r>
        <w:t xml:space="preserve"> </w:t>
      </w:r>
      <w:r>
        <w:rPr>
          <w:iCs/>
          <w:i/>
        </w:rPr>
        <w:t xml:space="preserve">pṛthu</w:t>
      </w:r>
      <w:r>
        <w:t xml:space="preserve"> </w:t>
      </w:r>
      <w:r>
        <w:t xml:space="preserve">— larger in measure;</w:t>
      </w:r>
      <w:r>
        <w:t xml:space="preserve"> </w:t>
      </w:r>
      <w:r>
        <w:rPr>
          <w:iCs/>
          <w:i/>
        </w:rPr>
        <w:t xml:space="preserve">bṛhat</w:t>
      </w:r>
      <w:r>
        <w:t xml:space="preserve"> </w:t>
      </w:r>
      <w:r>
        <w:t xml:space="preserve">— superior in qualities;</w:t>
      </w:r>
      <w:r>
        <w:t xml:space="preserve"> </w:t>
      </w:r>
      <w:r>
        <w:rPr>
          <w:iCs/>
          <w:i/>
        </w:rPr>
        <w:t xml:space="preserve">viśvāyuḥ</w:t>
      </w:r>
      <w:r>
        <w:t xml:space="preserve"> </w:t>
      </w:r>
      <w:r>
        <w:t xml:space="preserve">— the cause of a whole lifetime;</w:t>
      </w:r>
      <w:r>
        <w:t xml:space="preserve"> </w:t>
      </w:r>
      <w:r>
        <w:rPr>
          <w:iCs/>
          <w:i/>
        </w:rPr>
        <w:t xml:space="preserve">akṣitam</w:t>
      </w:r>
      <w:r>
        <w:t xml:space="preserve"> </w:t>
      </w:r>
      <w:r>
        <w:t xml:space="preserve">— free of destruction.</w:t>
      </w:r>
      <w:r>
        <w:t xml:space="preserve">”</w:t>
      </w:r>
      <w:r>
        <w:t xml:space="preserve"> </w:t>
      </w:r>
      <w:r>
        <w:rPr>
          <w:iCs/>
          <w:i/>
        </w:rPr>
        <w:t xml:space="preserve">(The accompanying grammar, noted briefly:</w:t>
      </w:r>
      <w:r>
        <w:rPr>
          <w:iCs/>
          <w:i/>
        </w:rPr>
        <w:t xml:space="preserve"> </w:t>
      </w:r>
      <w:r>
        <w:t xml:space="preserve">gomat* and</w:t>
      </w:r>
      <w:r>
        <w:t xml:space="preserve"> </w:t>
      </w:r>
      <w:r>
        <w:rPr>
          <w:iCs/>
          <w:i/>
        </w:rPr>
        <w:t xml:space="preserve">vājavat</w:t>
      </w:r>
      <w:r>
        <w:t xml:space="preserve"> </w:t>
      </w:r>
      <w:r>
        <w:t xml:space="preserve">take their stem accent because* matup</w:t>
      </w:r>
      <w:r>
        <w:t xml:space="preserve"> </w:t>
      </w:r>
      <w:r>
        <w:rPr>
          <w:iCs/>
          <w:i/>
        </w:rPr>
        <w:t xml:space="preserve">is unaccented;</w:t>
      </w:r>
      <w:r>
        <w:rPr>
          <w:iCs/>
          <w:i/>
        </w:rPr>
        <w:t xml:space="preserve"> </w:t>
      </w:r>
      <w:r>
        <w:t xml:space="preserve">vāja* is a* vṛṣādi</w:t>
      </w:r>
      <w:r>
        <w:t xml:space="preserve"> </w:t>
      </w:r>
      <w:r>
        <w:rPr>
          <w:iCs/>
          <w:i/>
        </w:rPr>
        <w:t xml:space="preserve">word, initial-udātta;</w:t>
      </w:r>
      <w:r>
        <w:t xml:space="preserve"> </w:t>
      </w:r>
      <w:r>
        <w:t xml:space="preserve">asme</w:t>
      </w:r>
      <w:r>
        <w:t xml:space="preserve"> </w:t>
      </w:r>
      <w:r>
        <w:rPr>
          <w:iCs/>
          <w:i/>
        </w:rPr>
        <w:t xml:space="preserve">is formed by the substitute</w:t>
      </w:r>
      <w:r>
        <w:t xml:space="preserve"> </w:t>
      </w:r>
      <w:r>
        <w:t xml:space="preserve">śe</w:t>
      </w:r>
      <w:r>
        <w:t xml:space="preserve"> </w:t>
      </w:r>
      <w:r>
        <w:rPr>
          <w:iCs/>
          <w:i/>
        </w:rPr>
        <w:t xml:space="preserve">for the plural dative ending after</w:t>
      </w:r>
      <w:r>
        <w:t xml:space="preserve"> </w:t>
      </w:r>
      <w:r>
        <w:t xml:space="preserve">asmad</w:t>
      </w:r>
      <w:r>
        <w:rPr>
          <w:iCs/>
          <w:i/>
        </w:rPr>
        <w:t xml:space="preserve">, replacing the whole as it is</w:t>
      </w:r>
      <w:r>
        <w:t xml:space="preserve"> </w:t>
      </w:r>
      <w:r>
        <w:t xml:space="preserve">śit</w:t>
      </w:r>
      <w:r>
        <w:rPr>
          <w:iCs/>
          <w:i/>
        </w:rPr>
        <w:t xml:space="preserve">, final-udātta by the stem accent; by</w:t>
      </w:r>
      <w:r>
        <w:t xml:space="preserve"> </w:t>
      </w:r>
      <w:r>
        <w:t xml:space="preserve">śeṣe lopaḥ</w:t>
      </w:r>
      <w:r>
        <w:t xml:space="preserve"> </w:t>
      </w:r>
      <w:r>
        <w:rPr>
          <w:iCs/>
          <w:i/>
        </w:rPr>
        <w:t xml:space="preserve">(Pā. 7-2-90) — on the view that the</w:t>
      </w:r>
      <w:r>
        <w:t xml:space="preserve"> </w:t>
      </w:r>
      <w:r>
        <w:t xml:space="preserve">ṭi</w:t>
      </w:r>
      <w:r>
        <w:t xml:space="preserve"> </w:t>
      </w:r>
      <w:r>
        <w:rPr>
          <w:iCs/>
          <w:i/>
        </w:rPr>
        <w:t xml:space="preserve">is dropped, the case-ending is udātta by the accent of the lost udātta; on the view that the final is dropped, the pararūpa by</w:t>
      </w:r>
      <w:r>
        <w:t xml:space="preserve"> </w:t>
      </w:r>
      <w:r>
        <w:t xml:space="preserve">ato guṇe</w:t>
      </w:r>
      <w:r>
        <w:t xml:space="preserve"> </w:t>
      </w:r>
      <w:r>
        <w:rPr>
          <w:iCs/>
          <w:i/>
        </w:rPr>
        <w:t xml:space="preserve">is a single substitute udātta by</w:t>
      </w:r>
      <w:r>
        <w:t xml:space="preserve"> </w:t>
      </w:r>
      <w:r>
        <w:t xml:space="preserve">ekādeśa udāttenodāttaḥ</w:t>
      </w:r>
      <w:r>
        <w:rPr>
          <w:iCs/>
          <w:i/>
        </w:rPr>
        <w:t xml:space="preserve">;</w:t>
      </w:r>
      <w:r>
        <w:t xml:space="preserve"> </w:t>
      </w:r>
      <w:r>
        <w:t xml:space="preserve">pṛthu</w:t>
      </w:r>
      <w:r>
        <w:t xml:space="preserve"> </w:t>
      </w:r>
      <w:r>
        <w:rPr>
          <w:iCs/>
          <w:i/>
        </w:rPr>
        <w:t xml:space="preserve">— root</w:t>
      </w:r>
      <w:r>
        <w:t xml:space="preserve"> </w:t>
      </w:r>
      <w:r>
        <w:t xml:space="preserve">prtha prakhyāne</w:t>
      </w:r>
      <w:r>
        <w:t xml:space="preserve"> </w:t>
      </w:r>
      <w:r>
        <w:rPr>
          <w:iCs/>
          <w:i/>
        </w:rPr>
        <w:t xml:space="preserve">with the suffix</w:t>
      </w:r>
      <w:r>
        <w:t xml:space="preserve"> </w:t>
      </w:r>
      <w:r>
        <w:t xml:space="preserve">ku</w:t>
      </w:r>
      <w:r>
        <w:t xml:space="preserve"> </w:t>
      </w:r>
      <w:r>
        <w:rPr>
          <w:iCs/>
          <w:i/>
        </w:rPr>
        <w:t xml:space="preserve">and</w:t>
      </w:r>
      <w:r>
        <w:t xml:space="preserve"> </w:t>
      </w:r>
      <w:r>
        <w:t xml:space="preserve">saṃprasāraṇa</w:t>
      </w:r>
      <w:r>
        <w:t xml:space="preserve"> </w:t>
      </w:r>
      <w:r>
        <w:rPr>
          <w:iCs/>
          <w:i/>
        </w:rPr>
        <w:t xml:space="preserve">of</w:t>
      </w:r>
      <w:r>
        <w:t xml:space="preserve"> </w:t>
      </w:r>
      <w:r>
        <w:t xml:space="preserve">r</w:t>
      </w:r>
      <w:r>
        <w:t xml:space="preserve"> </w:t>
      </w:r>
      <w:r>
        <w:rPr>
          <w:iCs/>
          <w:i/>
        </w:rPr>
        <w:t xml:space="preserve">to</w:t>
      </w:r>
      <w:r>
        <w:t xml:space="preserve"> </w:t>
      </w:r>
      <w:r>
        <w:t xml:space="preserve">ṛ</w:t>
      </w:r>
      <w:r>
        <w:t xml:space="preserve"> </w:t>
      </w:r>
      <w:r>
        <w:rPr>
          <w:iCs/>
          <w:i/>
        </w:rPr>
        <w:t xml:space="preserve">(Uṇ. 1-29);</w:t>
      </w:r>
      <w:r>
        <w:t xml:space="preserve"> </w:t>
      </w:r>
      <w:r>
        <w:t xml:space="preserve">śravaḥ</w:t>
      </w:r>
      <w:r>
        <w:t xml:space="preserve"> </w:t>
      </w:r>
      <w:r>
        <w:rPr>
          <w:iCs/>
          <w:i/>
        </w:rPr>
        <w:t xml:space="preserve">—</w:t>
      </w:r>
      <w:r>
        <w:rPr>
          <w:iCs/>
          <w:i/>
        </w:rPr>
        <w:t xml:space="preserve"> </w:t>
      </w:r>
      <w:r>
        <w:rPr>
          <w:iCs/>
          <w:i/>
        </w:rPr>
        <w:t xml:space="preserve">‘</w:t>
      </w:r>
      <w:r>
        <w:rPr>
          <w:iCs/>
          <w:i/>
        </w:rPr>
        <w:t xml:space="preserve">that which is heard</w:t>
      </w:r>
      <w:r>
        <w:rPr>
          <w:iCs/>
          <w:i/>
        </w:rPr>
        <w:t xml:space="preserve">’</w:t>
      </w:r>
      <w:r>
        <w:rPr>
          <w:iCs/>
          <w:i/>
        </w:rPr>
        <w:t xml:space="preserve"> </w:t>
      </w:r>
      <w:r>
        <w:rPr>
          <w:iCs/>
          <w:i/>
        </w:rPr>
        <w:t xml:space="preserve">= wealth, with</w:t>
      </w:r>
      <w:r>
        <w:t xml:space="preserve"> </w:t>
      </w:r>
      <w:r>
        <w:t xml:space="preserve">asun</w:t>
      </w:r>
      <w:r>
        <w:rPr>
          <w:iCs/>
          <w:i/>
        </w:rPr>
        <w:t xml:space="preserve">, initial-udātta;</w:t>
      </w:r>
      <w:r>
        <w:t xml:space="preserve"> </w:t>
      </w:r>
      <w:r>
        <w:t xml:space="preserve">viśvāyuḥ</w:t>
      </w:r>
      <w:r>
        <w:t xml:space="preserve"> </w:t>
      </w:r>
      <w:r>
        <w:rPr>
          <w:iCs/>
          <w:i/>
        </w:rPr>
        <w:t xml:space="preserve">— a bahuvrīhi</w:t>
      </w:r>
      <w:r>
        <w:rPr>
          <w:iCs/>
          <w:i/>
        </w:rPr>
        <w:t xml:space="preserve"> </w:t>
      </w:r>
      <w:r>
        <w:rPr>
          <w:iCs/>
          <w:i/>
        </w:rPr>
        <w:t xml:space="preserve">‘</w:t>
      </w:r>
      <w:r>
        <w:rPr>
          <w:iCs/>
          <w:i/>
        </w:rPr>
        <w:t xml:space="preserve">in which wealth the whole life [is]</w:t>
      </w:r>
      <w:r>
        <w:rPr>
          <w:iCs/>
          <w:i/>
        </w:rPr>
        <w:t xml:space="preserve">’</w:t>
      </w:r>
      <w:r>
        <w:rPr>
          <w:iCs/>
          <w:i/>
        </w:rPr>
        <w:t xml:space="preserve">; the first-member accent of a bahuvrīhi being displaced by</w:t>
      </w:r>
      <w:r>
        <w:t xml:space="preserve"> </w:t>
      </w:r>
      <w:r>
        <w:t xml:space="preserve">parādiś chandasi bahulam</w:t>
      </w:r>
      <w:r>
        <w:t xml:space="preserve"> </w:t>
      </w:r>
      <w:r>
        <w:rPr>
          <w:iCs/>
          <w:i/>
        </w:rPr>
        <w:t xml:space="preserve">to the end of the first member, and the single substitute udātta, so initial-udātta;</w:t>
      </w:r>
      <w:r>
        <w:t xml:space="preserve"> </w:t>
      </w:r>
      <w:r>
        <w:t xml:space="preserve">akṣitam</w:t>
      </w:r>
      <w:r>
        <w:t xml:space="preserve"> </w:t>
      </w:r>
      <w:r>
        <w:rPr>
          <w:iCs/>
          <w:i/>
        </w:rPr>
        <w:t xml:space="preserve">— from</w:t>
      </w:r>
      <w:r>
        <w:t xml:space="preserve"> </w:t>
      </w:r>
      <w:r>
        <w:t xml:space="preserve">kṣi kṣaye</w:t>
      </w:r>
      <w:r>
        <w:t xml:space="preserve"> </w:t>
      </w:r>
      <w:r>
        <w:rPr>
          <w:iCs/>
          <w:i/>
        </w:rPr>
        <w:t xml:space="preserve">with the causative sense inside, the past-participle suffix in the passive; no lengthening by Pā. 6-4-60 and hence no</w:t>
      </w:r>
      <w:r>
        <w:t xml:space="preserve"> </w:t>
      </w:r>
      <w:r>
        <w:t xml:space="preserve">n</w:t>
      </w:r>
      <w:r>
        <w:rPr>
          <w:iCs/>
          <w:i/>
        </w:rPr>
        <w:t xml:space="preserve">-substitution by</w:t>
      </w:r>
      <w:r>
        <w:t xml:space="preserve"> </w:t>
      </w:r>
      <w:r>
        <w:t xml:space="preserve">kṣiyo dīrghāt</w:t>
      </w:r>
      <w:r>
        <w:t xml:space="preserve"> </w:t>
      </w:r>
      <w:r>
        <w:rPr>
          <w:iCs/>
          <w:i/>
        </w:rPr>
        <w:t xml:space="preserve">(Pā. 8-2-46); the</w:t>
      </w:r>
      <w:r>
        <w:t xml:space="preserve"> </w:t>
      </w:r>
      <w:r>
        <w:t xml:space="preserve">nañ</w:t>
      </w:r>
      <w:r>
        <w:t xml:space="preserve"> </w:t>
      </w:r>
      <w:r>
        <w:rPr>
          <w:iCs/>
          <w:i/>
        </w:rPr>
        <w:t xml:space="preserve">compound has the accent of its indeclinable first member. One word, printed</w:t>
      </w:r>
      <w:r>
        <w:t xml:space="preserve"> </w:t>
      </w:r>
      <w:r>
        <w:t xml:space="preserve">syadarthatvāt</w:t>
      </w:r>
      <w:r>
        <w:rPr>
          <w:iCs/>
          <w:i/>
        </w:rPr>
        <w:t xml:space="preserve">, is kept as printed [?].)</w:t>
      </w:r>
      <w:r>
        <w:t xml:space="preserve">”</w:t>
      </w:r>
    </w:p>
    <w:p>
      <w:pPr>
        <w:pStyle w:val="BodyText"/>
      </w:pPr>
      <w:r>
        <w:rPr>
          <w:bCs/>
          <w:b/>
        </w:rPr>
        <w:t xml:space="preserve">॥ Prati-padārthaḥ ॥</w:t>
      </w:r>
    </w:p>
    <w:p>
      <w:pPr>
        <w:pStyle w:val="BodyText"/>
      </w:pPr>
      <w:r>
        <w:rPr>
          <w:bCs/>
          <w:b/>
        </w:rPr>
        <w:t xml:space="preserve">(हे) इन्द्र ((he) indra)</w:t>
      </w:r>
      <w:r>
        <w:t xml:space="preserve"> </w:t>
      </w:r>
      <w:r>
        <w:t xml:space="preserve">— O Indra |</w:t>
      </w:r>
      <w:r>
        <w:t xml:space="preserve"> </w:t>
      </w:r>
      <w:r>
        <w:rPr>
          <w:bCs/>
          <w:b/>
        </w:rPr>
        <w:t xml:space="preserve">अस्मे (asme)</w:t>
      </w:r>
      <w:r>
        <w:t xml:space="preserve"> </w:t>
      </w:r>
      <w:r>
        <w:t xml:space="preserve">— to us |</w:t>
      </w:r>
      <w:r>
        <w:t xml:space="preserve"> </w:t>
      </w:r>
      <w:r>
        <w:rPr>
          <w:bCs/>
          <w:b/>
        </w:rPr>
        <w:t xml:space="preserve">पृथु (pṛthu)</w:t>
      </w:r>
      <w:r>
        <w:t xml:space="preserve"> </w:t>
      </w:r>
      <w:r>
        <w:t xml:space="preserve">— abundant |</w:t>
      </w:r>
      <w:r>
        <w:t xml:space="preserve"> </w:t>
      </w:r>
      <w:r>
        <w:rPr>
          <w:bCs/>
          <w:b/>
        </w:rPr>
        <w:t xml:space="preserve">बृहत् (bṛhat)</w:t>
      </w:r>
      <w:r>
        <w:t xml:space="preserve"> </w:t>
      </w:r>
      <w:r>
        <w:t xml:space="preserve">— superior in qualities |</w:t>
      </w:r>
      <w:r>
        <w:t xml:space="preserve"> </w:t>
      </w:r>
      <w:r>
        <w:rPr>
          <w:bCs/>
          <w:b/>
        </w:rPr>
        <w:t xml:space="preserve">गोमत् (gomat)</w:t>
      </w:r>
      <w:r>
        <w:t xml:space="preserve"> </w:t>
      </w:r>
      <w:r>
        <w:t xml:space="preserve">— endowed with cows (in the form of cattle) |</w:t>
      </w:r>
      <w:r>
        <w:t xml:space="preserve"> </w:t>
      </w:r>
      <w:r>
        <w:rPr>
          <w:bCs/>
          <w:b/>
        </w:rPr>
        <w:t xml:space="preserve">वाजवत् (vājavat)</w:t>
      </w:r>
      <w:r>
        <w:t xml:space="preserve"> </w:t>
      </w:r>
      <w:r>
        <w:t xml:space="preserve">— endowed with food (in the form of food, nourishment) |</w:t>
      </w:r>
      <w:r>
        <w:t xml:space="preserve"> </w:t>
      </w:r>
      <w:r>
        <w:rPr>
          <w:bCs/>
          <w:b/>
        </w:rPr>
        <w:t xml:space="preserve">विश्वायुः (viśvāyuḥ)</w:t>
      </w:r>
      <w:r>
        <w:t xml:space="preserve"> </w:t>
      </w:r>
      <w:r>
        <w:t xml:space="preserve">— the cause of long life |</w:t>
      </w:r>
      <w:r>
        <w:t xml:space="preserve"> </w:t>
      </w:r>
      <w:r>
        <w:rPr>
          <w:bCs/>
          <w:b/>
        </w:rPr>
        <w:t xml:space="preserve">अक्षितम् (akṣitam)</w:t>
      </w:r>
      <w:r>
        <w:t xml:space="preserve"> </w:t>
      </w:r>
      <w:r>
        <w:t xml:space="preserve">— without destruction |</w:t>
      </w:r>
      <w:r>
        <w:t xml:space="preserve"> </w:t>
      </w:r>
      <w:r>
        <w:rPr>
          <w:bCs/>
          <w:b/>
        </w:rPr>
        <w:t xml:space="preserve">श्रवः (śravaḥ)</w:t>
      </w:r>
      <w:r>
        <w:t xml:space="preserve"> </w:t>
      </w:r>
      <w:r>
        <w:t xml:space="preserve">— wealth |</w:t>
      </w:r>
      <w:r>
        <w:t xml:space="preserve"> </w:t>
      </w:r>
      <w:r>
        <w:rPr>
          <w:bCs/>
          <w:b/>
        </w:rPr>
        <w:t xml:space="preserve">धेहि (dhehi)</w:t>
      </w:r>
      <w:r>
        <w:t xml:space="preserve"> </w:t>
      </w:r>
      <w:r>
        <w:t xml:space="preserve">— give.</w:t>
      </w:r>
    </w:p>
    <w:p>
      <w:pPr>
        <w:pStyle w:val="BodyText"/>
      </w:pPr>
      <w:r>
        <w:rPr>
          <w:bCs/>
          <w:b/>
        </w:rPr>
        <w:t xml:space="preserve">॥ Bhāvārthaḥ ॥</w:t>
      </w:r>
    </w:p>
    <w:p>
      <w:pPr>
        <w:pStyle w:val="BodyText"/>
      </w:pPr>
      <w:r>
        <w:t xml:space="preserve">O Indra! Give us abundant wealth: the best, in the form of cattle, horses and other animals and wealth, and in the form of grain and nourishing food — wealth that is the means of living a long life and that is imperishable. Give us such wealth in great abundance.</w:t>
      </w:r>
    </w:p>
    <w:bookmarkEnd w:id="394"/>
    <w:bookmarkStart w:id="395" w:name="page-367-rik-7-english-special-topics"/>
    <w:p>
      <w:pPr>
        <w:pStyle w:val="Heading3"/>
      </w:pPr>
      <w:r>
        <w:t xml:space="preserve">Page 367 — Rik 7: English, Special Topics</w:t>
      </w:r>
    </w:p>
    <w:p>
      <w:pPr>
        <w:pStyle w:val="FirstParagraph"/>
      </w:pPr>
      <w:r>
        <w:rPr>
          <w:bCs/>
          <w:b/>
        </w:rPr>
        <w:t xml:space="preserve">॥ English Translation ॥</w:t>
      </w:r>
      <w:r>
        <w:t xml:space="preserve"> </w:t>
      </w:r>
      <w:r>
        <w:rPr>
          <w:iCs/>
          <w:i/>
        </w:rPr>
        <w:t xml:space="preserve">(as printed in the source)</w:t>
      </w:r>
    </w:p>
    <w:p>
      <w:pPr>
        <w:pStyle w:val="BlockText"/>
      </w:pPr>
      <w:r>
        <w:t xml:space="preserve">Grant us, Indra, wealth beyond measure or calculation, inexhaustible the source of cattle, of food, of all life.</w:t>
      </w:r>
    </w:p>
    <w:p>
      <w:pPr>
        <w:pStyle w:val="FirstParagraph"/>
      </w:pPr>
      <w:r>
        <w:rPr>
          <w:bCs/>
          <w:b/>
        </w:rPr>
        <w:t xml:space="preserve">॥ Viśeṣa-viṣayagaḷu (Special Topics) ॥</w:t>
      </w:r>
    </w:p>
    <w:p>
      <w:pPr>
        <w:pStyle w:val="BodyText"/>
      </w:pPr>
      <w:r>
        <w:rPr>
          <w:bCs/>
          <w:b/>
        </w:rPr>
        <w:t xml:space="preserve">“</w:t>
      </w:r>
      <w:r>
        <w:rPr>
          <w:bCs/>
          <w:b/>
        </w:rPr>
        <w:t xml:space="preserve">Gomat</w:t>
      </w:r>
      <w:r>
        <w:rPr>
          <w:bCs/>
          <w:b/>
        </w:rPr>
        <w:t xml:space="preserve">”</w:t>
      </w:r>
      <w:r>
        <w:t xml:space="preserve"> </w:t>
      </w:r>
      <w:r>
        <w:t xml:space="preserve">—</w:t>
      </w:r>
      <w:r>
        <w:t xml:space="preserve"> </w:t>
      </w:r>
      <w:r>
        <w:rPr>
          <w:bCs/>
          <w:b/>
        </w:rPr>
        <w:t xml:space="preserve">बह्वीभिर्गोभिरुपेतम्</w:t>
      </w:r>
      <w:r>
        <w:t xml:space="preserve"> </w:t>
      </w:r>
      <w:r>
        <w:t xml:space="preserve">(</w:t>
      </w:r>
      <w:r>
        <w:rPr>
          <w:iCs/>
          <w:i/>
        </w:rPr>
        <w:t xml:space="preserve">bahvībhir gobhir upetam</w:t>
      </w:r>
      <w:r>
        <w:t xml:space="preserve">) —</w:t>
      </w:r>
      <w:r>
        <w:t xml:space="preserve"> </w:t>
      </w:r>
      <w:r>
        <w:t xml:space="preserve">“</w:t>
      </w:r>
      <w:r>
        <w:t xml:space="preserve">furnished with many cows.</w:t>
      </w:r>
      <w:r>
        <w:t xml:space="preserve">”</w:t>
      </w:r>
      <w:r>
        <w:t xml:space="preserve"> </w:t>
      </w:r>
      <w:r>
        <w:rPr>
          <w:iCs/>
          <w:i/>
        </w:rPr>
        <w:t xml:space="preserve">Or:</w:t>
      </w:r>
      <w:r>
        <w:t xml:space="preserve"> </w:t>
      </w:r>
      <w:r>
        <w:rPr>
          <w:iCs/>
          <w:i/>
        </w:rPr>
        <w:t xml:space="preserve">gāvo yasmin santi tat gomat</w:t>
      </w:r>
      <w:r>
        <w:t xml:space="preserve"> </w:t>
      </w:r>
      <w:r>
        <w:t xml:space="preserve">—</w:t>
      </w:r>
      <w:r>
        <w:t xml:space="preserve"> </w:t>
      </w:r>
      <w:r>
        <w:t xml:space="preserve">“</w:t>
      </w:r>
      <w:r>
        <w:t xml:space="preserve">that in which there are cows</w:t>
      </w:r>
      <w:r>
        <w:t xml:space="preserve">”</w:t>
      </w:r>
      <w:r>
        <w:t xml:space="preserve">;</w:t>
      </w:r>
      <w:r>
        <w:t xml:space="preserve"> </w:t>
      </w:r>
      <w:r>
        <w:rPr>
          <w:iCs/>
          <w:i/>
        </w:rPr>
        <w:t xml:space="preserve">gomat</w:t>
      </w:r>
      <w:r>
        <w:t xml:space="preserve"> </w:t>
      </w:r>
      <w:r>
        <w:t xml:space="preserve">— wealth in the form of animals, with plenty of cows.</w:t>
      </w:r>
    </w:p>
    <w:p>
      <w:pPr>
        <w:pStyle w:val="BodyText"/>
      </w:pPr>
      <w:r>
        <w:rPr>
          <w:bCs/>
          <w:b/>
        </w:rPr>
        <w:t xml:space="preserve">“</w:t>
      </w:r>
      <w:r>
        <w:rPr>
          <w:bCs/>
          <w:b/>
        </w:rPr>
        <w:t xml:space="preserve">Vājavataḥ</w:t>
      </w:r>
      <w:r>
        <w:rPr>
          <w:bCs/>
          <w:b/>
        </w:rPr>
        <w:t xml:space="preserve">”</w:t>
      </w:r>
      <w:r>
        <w:t xml:space="preserve"> </w:t>
      </w:r>
      <w:r>
        <w:t xml:space="preserve">— wealth consisting of food (</w:t>
      </w:r>
      <w:r>
        <w:rPr>
          <w:iCs/>
          <w:i/>
        </w:rPr>
        <w:t xml:space="preserve">anna</w:t>
      </w:r>
      <w:r>
        <w:t xml:space="preserve">) and the like, of foodstuffs.</w:t>
      </w:r>
    </w:p>
    <w:p>
      <w:pPr>
        <w:pStyle w:val="BodyText"/>
      </w:pPr>
      <w:r>
        <w:rPr>
          <w:bCs/>
          <w:b/>
        </w:rPr>
        <w:t xml:space="preserve">“</w:t>
      </w:r>
      <w:r>
        <w:rPr>
          <w:bCs/>
          <w:b/>
        </w:rPr>
        <w:t xml:space="preserve">Asme</w:t>
      </w:r>
      <w:r>
        <w:rPr>
          <w:bCs/>
          <w:b/>
        </w:rPr>
        <w:t xml:space="preserve">”</w:t>
      </w:r>
      <w:r>
        <w:t xml:space="preserve"> </w:t>
      </w:r>
      <w:r>
        <w:t xml:space="preserve">— means</w:t>
      </w:r>
      <w:r>
        <w:t xml:space="preserve"> </w:t>
      </w:r>
      <w:r>
        <w:rPr>
          <w:iCs/>
          <w:i/>
        </w:rPr>
        <w:t xml:space="preserve">asmabhyam</w:t>
      </w:r>
      <w:r>
        <w:t xml:space="preserve"> </w:t>
      </w:r>
      <w:r>
        <w:t xml:space="preserve">(to us). In the Ṛgveda</w:t>
      </w:r>
      <w:r>
        <w:t xml:space="preserve"> </w:t>
      </w:r>
      <w:r>
        <w:rPr>
          <w:iCs/>
          <w:i/>
        </w:rPr>
        <w:t xml:space="preserve">asme</w:t>
      </w:r>
      <w:r>
        <w:t xml:space="preserve"> </w:t>
      </w:r>
      <w:r>
        <w:t xml:space="preserve">is used in many places in place of</w:t>
      </w:r>
      <w:r>
        <w:t xml:space="preserve"> </w:t>
      </w:r>
      <w:r>
        <w:rPr>
          <w:iCs/>
          <w:i/>
        </w:rPr>
        <w:t xml:space="preserve">asmabhyam</w:t>
      </w:r>
      <w:r>
        <w:t xml:space="preserve">.</w:t>
      </w:r>
    </w:p>
    <w:p>
      <w:pPr>
        <w:pStyle w:val="BodyText"/>
      </w:pPr>
      <w:r>
        <w:rPr>
          <w:bCs/>
          <w:b/>
        </w:rPr>
        <w:t xml:space="preserve">“</w:t>
      </w:r>
      <w:r>
        <w:rPr>
          <w:bCs/>
          <w:b/>
        </w:rPr>
        <w:t xml:space="preserve">Śravaḥ</w:t>
      </w:r>
      <w:r>
        <w:rPr>
          <w:bCs/>
          <w:b/>
        </w:rPr>
        <w:t xml:space="preserve">”</w:t>
      </w:r>
      <w:r>
        <w:t xml:space="preserve"> </w:t>
      </w:r>
      <w:r>
        <w:t xml:space="preserve">— among the twenty-eight words for wealth beginning with</w:t>
      </w:r>
      <w:r>
        <w:t xml:space="preserve"> </w:t>
      </w:r>
      <w:r>
        <w:rPr>
          <w:iCs/>
          <w:i/>
        </w:rPr>
        <w:t xml:space="preserve">magham</w:t>
      </w:r>
      <w:r>
        <w:t xml:space="preserve">, the word</w:t>
      </w:r>
      <w:r>
        <w:t xml:space="preserve"> </w:t>
      </w:r>
      <w:r>
        <w:rPr>
          <w:iCs/>
          <w:i/>
        </w:rPr>
        <w:t xml:space="preserve">śravaḥ</w:t>
      </w:r>
      <w:r>
        <w:t xml:space="preserve"> </w:t>
      </w:r>
      <w:r>
        <w:t xml:space="preserve">is read (Nirukta 3-9).</w:t>
      </w:r>
      <w:r>
        <w:t xml:space="preserve"> </w:t>
      </w:r>
      <w:r>
        <w:rPr>
          <w:bCs/>
          <w:b/>
        </w:rPr>
        <w:t xml:space="preserve">“</w:t>
      </w:r>
      <w:r>
        <w:rPr>
          <w:bCs/>
          <w:b/>
        </w:rPr>
        <w:t xml:space="preserve">Bṛhat</w:t>
      </w:r>
      <w:r>
        <w:rPr>
          <w:bCs/>
          <w:b/>
        </w:rPr>
        <w:t xml:space="preserve">”</w:t>
      </w:r>
      <w:r>
        <w:t xml:space="preserve"> </w:t>
      </w:r>
      <w:r>
        <w:t xml:space="preserve">— excellent, full of substance, excellent in qualities.</w:t>
      </w:r>
    </w:p>
    <w:p>
      <w:pPr>
        <w:pStyle w:val="BodyText"/>
      </w:pPr>
      <w:r>
        <w:rPr>
          <w:bCs/>
          <w:b/>
        </w:rPr>
        <w:t xml:space="preserve">“</w:t>
      </w:r>
      <w:r>
        <w:rPr>
          <w:bCs/>
          <w:b/>
        </w:rPr>
        <w:t xml:space="preserve">Viśvāyuḥ</w:t>
      </w:r>
      <w:r>
        <w:rPr>
          <w:bCs/>
          <w:b/>
        </w:rPr>
        <w:t xml:space="preserve">”</w:t>
      </w:r>
      <w:r>
        <w:t xml:space="preserve"> </w:t>
      </w:r>
      <w:r>
        <w:t xml:space="preserve">—</w:t>
      </w:r>
      <w:r>
        <w:t xml:space="preserve"> </w:t>
      </w:r>
      <w:r>
        <w:rPr>
          <w:bCs/>
          <w:b/>
        </w:rPr>
        <w:t xml:space="preserve">कृत्स्नायुष्यकारणम्</w:t>
      </w:r>
      <w:r>
        <w:t xml:space="preserve"> </w:t>
      </w:r>
      <w:r>
        <w:t xml:space="preserve">(</w:t>
      </w:r>
      <w:r>
        <w:rPr>
          <w:iCs/>
          <w:i/>
        </w:rPr>
        <w:t xml:space="preserve">kṛtsnāyuṣya-kāraṇam</w:t>
      </w:r>
      <w:r>
        <w:t xml:space="preserve">) —</w:t>
      </w:r>
      <w:r>
        <w:t xml:space="preserve"> </w:t>
      </w:r>
      <w:r>
        <w:t xml:space="preserve">“</w:t>
      </w:r>
      <w:r>
        <w:t xml:space="preserve">the cause of a whole lifetime</w:t>
      </w:r>
      <w:r>
        <w:t xml:space="preserve">”</w:t>
      </w:r>
      <w:r>
        <w:t xml:space="preserve">; the Bhāṣyakāra explains it as wealth that serves for living for a long time. To explain it so, it is better to take</w:t>
      </w:r>
      <w:r>
        <w:t xml:space="preserve"> </w:t>
      </w:r>
      <w:r>
        <w:rPr>
          <w:iCs/>
          <w:i/>
        </w:rPr>
        <w:t xml:space="preserve">viśvāyuḥ</w:t>
      </w:r>
      <w:r>
        <w:t xml:space="preserve"> </w:t>
      </w:r>
      <w:r>
        <w:t xml:space="preserve">as a qualifier of</w:t>
      </w:r>
      <w:r>
        <w:t xml:space="preserve"> </w:t>
      </w:r>
      <w:r>
        <w:rPr>
          <w:iCs/>
          <w:i/>
        </w:rPr>
        <w:t xml:space="preserve">śravaḥ</w:t>
      </w:r>
      <w:r>
        <w:t xml:space="preserve"> </w:t>
      </w:r>
      <w:r>
        <w:t xml:space="preserve">(wealth) than as a qualifier in the sense</w:t>
      </w:r>
      <w:r>
        <w:t xml:space="preserve"> </w:t>
      </w:r>
      <w:r>
        <w:t xml:space="preserve">“</w:t>
      </w:r>
      <w:r>
        <w:t xml:space="preserve">one who has a long life</w:t>
      </w:r>
      <w:r>
        <w:t xml:space="preserve">”</w:t>
      </w:r>
      <w:r>
        <w:t xml:space="preserve">: the use of</w:t>
      </w:r>
      <w:r>
        <w:t xml:space="preserve"> </w:t>
      </w:r>
      <w:r>
        <w:rPr>
          <w:iCs/>
          <w:i/>
        </w:rPr>
        <w:t xml:space="preserve">viśvāyuḥ</w:t>
      </w:r>
      <w:r>
        <w:t xml:space="preserve"> </w:t>
      </w:r>
      <w:r>
        <w:t xml:space="preserve">as a</w:t>
      </w:r>
      <w:r>
        <w:t xml:space="preserve"> </w:t>
      </w:r>
      <w:r>
        <w:rPr>
          <w:iCs/>
          <w:i/>
        </w:rPr>
        <w:t xml:space="preserve">viśeṣya</w:t>
      </w:r>
      <w:r>
        <w:t xml:space="preserve"> </w:t>
      </w:r>
      <w:r>
        <w:t xml:space="preserve">word meaning</w:t>
      </w:r>
      <w:r>
        <w:t xml:space="preserve"> </w:t>
      </w:r>
      <w:r>
        <w:t xml:space="preserve">“</w:t>
      </w:r>
      <w:r>
        <w:t xml:space="preserve">one who lives long</w:t>
      </w:r>
      <w:r>
        <w:t xml:space="preserve">”</w:t>
      </w:r>
      <w:r>
        <w:t xml:space="preserve"> </w:t>
      </w:r>
      <w:r>
        <w:t xml:space="preserve">is more fitting. Skandasvāmī’s meaning is likewise.</w:t>
      </w:r>
    </w:p>
    <w:p>
      <w:pPr>
        <w:pStyle w:val="BodyText"/>
      </w:pPr>
      <w:r>
        <w:rPr>
          <w:bCs/>
          <w:b/>
        </w:rPr>
        <w:t xml:space="preserve">“</w:t>
      </w:r>
      <w:r>
        <w:rPr>
          <w:bCs/>
          <w:b/>
        </w:rPr>
        <w:t xml:space="preserve">Akṣitam</w:t>
      </w:r>
      <w:r>
        <w:rPr>
          <w:bCs/>
          <w:b/>
        </w:rPr>
        <w:t xml:space="preserve">”</w:t>
      </w:r>
      <w:r>
        <w:t xml:space="preserve"> </w:t>
      </w:r>
      <w:r>
        <w:t xml:space="preserve">— free from destruction, inexhaustible.</w:t>
      </w:r>
    </w:p>
    <w:p>
      <w:pPr>
        <w:pStyle w:val="BodyText"/>
      </w:pPr>
      <w:r>
        <w:rPr>
          <w:bCs/>
          <w:b/>
        </w:rPr>
        <w:t xml:space="preserve">॥ Vyākaraṇa-prakriyā ॥</w:t>
      </w:r>
      <w:r>
        <w:t xml:space="preserve"> </w:t>
      </w:r>
      <w:r>
        <w:rPr>
          <w:iCs/>
          <w:i/>
        </w:rPr>
        <w:t xml:space="preserve">(grammar pages 367–368, noted briefly)</w:t>
      </w:r>
    </w:p>
    <w:p>
      <w:pPr>
        <w:pStyle w:val="BodyText"/>
      </w:pPr>
      <w:r>
        <w:rPr>
          <w:bCs/>
          <w:b/>
        </w:rPr>
        <w:t xml:space="preserve">गोमत्, वाजवत् (</w:t>
      </w:r>
      <w:r>
        <w:rPr>
          <w:iCs/>
          <w:i/>
          <w:bCs/>
          <w:b/>
        </w:rPr>
        <w:t xml:space="preserve">gomat, vājavat</w:t>
      </w:r>
      <w:r>
        <w:rPr>
          <w:bCs/>
          <w:b/>
        </w:rPr>
        <w:t xml:space="preserve">)</w:t>
      </w:r>
      <w:r>
        <w:t xml:space="preserve"> </w:t>
      </w:r>
      <w:r>
        <w:t xml:space="preserve">—</w:t>
      </w:r>
      <w:r>
        <w:t xml:space="preserve"> </w:t>
      </w:r>
      <w:r>
        <w:t xml:space="preserve">“</w:t>
      </w:r>
      <w:r>
        <w:t xml:space="preserve">gaur asyāsti iti gomat; vājo ’sya asti iti vājavat</w:t>
      </w:r>
      <w:r>
        <w:t xml:space="preserve">”</w:t>
      </w:r>
      <w:r>
        <w:t xml:space="preserve">: in both,</w:t>
      </w:r>
      <w:r>
        <w:t xml:space="preserve"> </w:t>
      </w:r>
      <w:r>
        <w:rPr>
          <w:iCs/>
          <w:i/>
        </w:rPr>
        <w:t xml:space="preserve">matup</w:t>
      </w:r>
      <w:r>
        <w:t xml:space="preserve"> </w:t>
      </w:r>
      <w:r>
        <w:t xml:space="preserve">is</w:t>
      </w:r>
      <w:r>
        <w:t xml:space="preserve"> </w:t>
      </w:r>
      <w:r>
        <w:rPr>
          <w:iCs/>
          <w:i/>
        </w:rPr>
        <w:t xml:space="preserve">pit</w:t>
      </w:r>
      <w:r>
        <w:t xml:space="preserve">, hence unaccented, so the stem accent stands;</w:t>
      </w:r>
      <w:r>
        <w:t xml:space="preserve"> </w:t>
      </w:r>
      <w:r>
        <w:rPr>
          <w:iCs/>
          <w:i/>
        </w:rPr>
        <w:t xml:space="preserve">vāja</w:t>
      </w:r>
      <w:r>
        <w:t xml:space="preserve"> </w:t>
      </w:r>
      <w:r>
        <w:t xml:space="preserve">is a</w:t>
      </w:r>
      <w:r>
        <w:t xml:space="preserve"> </w:t>
      </w:r>
      <w:r>
        <w:rPr>
          <w:iCs/>
          <w:i/>
        </w:rPr>
        <w:t xml:space="preserve">vṛṣādi</w:t>
      </w:r>
      <w:r>
        <w:t xml:space="preserve"> </w:t>
      </w:r>
      <w:r>
        <w:t xml:space="preserve">word, so initial-udātta by</w:t>
      </w:r>
      <w:r>
        <w:t xml:space="preserve"> </w:t>
      </w:r>
      <w:r>
        <w:t xml:space="preserve">“</w:t>
      </w:r>
      <w:r>
        <w:t xml:space="preserve">vṛṣādīnāṃ ca</w:t>
      </w:r>
      <w:r>
        <w:t xml:space="preserve">”</w:t>
      </w:r>
      <w:r>
        <w:t xml:space="preserve"> </w:t>
      </w:r>
      <w:r>
        <w:t xml:space="preserve">(Pā. 6-1-203).</w:t>
      </w:r>
      <w:r>
        <w:t xml:space="preserve"> </w:t>
      </w:r>
      <w:r>
        <w:rPr>
          <w:bCs/>
          <w:b/>
        </w:rPr>
        <w:t xml:space="preserve">अस्मे (</w:t>
      </w:r>
      <w:r>
        <w:rPr>
          <w:iCs/>
          <w:i/>
          <w:bCs/>
          <w:b/>
        </w:rPr>
        <w:t xml:space="preserve">asme</w:t>
      </w:r>
      <w:r>
        <w:rPr>
          <w:bCs/>
          <w:b/>
        </w:rPr>
        <w:t xml:space="preserve">)</w:t>
      </w:r>
      <w:r>
        <w:t xml:space="preserve"> </w:t>
      </w:r>
      <w:r>
        <w:t xml:space="preserve">—</w:t>
      </w:r>
      <w:r>
        <w:t xml:space="preserve"> </w:t>
      </w:r>
      <w:r>
        <w:rPr>
          <w:iCs/>
          <w:i/>
        </w:rPr>
        <w:t xml:space="preserve">asmad</w:t>
      </w:r>
      <w:r>
        <w:t xml:space="preserve"> </w:t>
      </w:r>
      <w:r>
        <w:t xml:space="preserve">+ the dative-plural</w:t>
      </w:r>
      <w:r>
        <w:t xml:space="preserve"> </w:t>
      </w:r>
      <w:r>
        <w:rPr>
          <w:iCs/>
          <w:i/>
        </w:rPr>
        <w:t xml:space="preserve">bhyas</w:t>
      </w:r>
      <w:r>
        <w:t xml:space="preserve">; this is replaced by</w:t>
      </w:r>
      <w:r>
        <w:t xml:space="preserve"> </w:t>
      </w:r>
      <w:r>
        <w:rPr>
          <w:iCs/>
          <w:i/>
        </w:rPr>
        <w:t xml:space="preserve">śe</w:t>
      </w:r>
      <w:r>
        <w:t xml:space="preserve"> </w:t>
      </w:r>
      <w:r>
        <w:t xml:space="preserve">by</w:t>
      </w:r>
      <w:r>
        <w:t xml:space="preserve"> </w:t>
      </w:r>
      <w:r>
        <w:t xml:space="preserve">“</w:t>
      </w:r>
      <w:r>
        <w:t xml:space="preserve">supāṃ suluk…</w:t>
      </w:r>
      <w:r>
        <w:t xml:space="preserve">”</w:t>
      </w:r>
      <w:r>
        <w:t xml:space="preserve"> </w:t>
      </w:r>
      <w:r>
        <w:t xml:space="preserve">(Pā. 7-1-39); the</w:t>
      </w:r>
      <w:r>
        <w:t xml:space="preserve"> </w:t>
      </w:r>
      <w:r>
        <w:rPr>
          <w:iCs/>
          <w:i/>
        </w:rPr>
        <w:t xml:space="preserve">ś</w:t>
      </w:r>
      <w:r>
        <w:t xml:space="preserve"> </w:t>
      </w:r>
      <w:r>
        <w:t xml:space="preserve">of</w:t>
      </w:r>
      <w:r>
        <w:t xml:space="preserve"> </w:t>
      </w:r>
      <w:r>
        <w:rPr>
          <w:iCs/>
          <w:i/>
        </w:rPr>
        <w:t xml:space="preserve">śe</w:t>
      </w:r>
      <w:r>
        <w:t xml:space="preserve"> </w:t>
      </w:r>
      <w:r>
        <w:t xml:space="preserve">is</w:t>
      </w:r>
      <w:r>
        <w:t xml:space="preserve"> </w:t>
      </w:r>
      <w:r>
        <w:rPr>
          <w:iCs/>
          <w:i/>
        </w:rPr>
        <w:t xml:space="preserve">it</w:t>
      </w:r>
      <w:r>
        <w:t xml:space="preserve"> </w:t>
      </w:r>
      <w:r>
        <w:t xml:space="preserve">by</w:t>
      </w:r>
      <w:r>
        <w:t xml:space="preserve"> </w:t>
      </w:r>
      <w:r>
        <w:t xml:space="preserve">“</w:t>
      </w:r>
      <w:r>
        <w:t xml:space="preserve">lasakvataddhite</w:t>
      </w:r>
      <w:r>
        <w:t xml:space="preserve">”</w:t>
      </w:r>
      <w:r>
        <w:t xml:space="preserve"> </w:t>
      </w:r>
      <w:r>
        <w:t xml:space="preserve">(Pā. 1-3-8), the substitute being</w:t>
      </w:r>
      <w:r>
        <w:t xml:space="preserve"> </w:t>
      </w:r>
      <w:r>
        <w:rPr>
          <w:iCs/>
          <w:i/>
        </w:rPr>
        <w:t xml:space="preserve">śit</w:t>
      </w:r>
      <w:r>
        <w:t xml:space="preserve"> </w:t>
      </w:r>
      <w:r>
        <w:t xml:space="preserve">replaces the whole of</w:t>
      </w:r>
      <w:r>
        <w:t xml:space="preserve"> </w:t>
      </w:r>
      <w:r>
        <w:rPr>
          <w:iCs/>
          <w:i/>
        </w:rPr>
        <w:t xml:space="preserve">bhyas</w:t>
      </w:r>
      <w:r>
        <w:t xml:space="preserve"> </w:t>
      </w:r>
      <w:r>
        <w:t xml:space="preserve">by</w:t>
      </w:r>
      <w:r>
        <w:t xml:space="preserve"> </w:t>
      </w:r>
      <w:r>
        <w:t xml:space="preserve">“</w:t>
      </w:r>
      <w:r>
        <w:t xml:space="preserve">anekāl śit sarvasya</w:t>
      </w:r>
      <w:r>
        <w:t xml:space="preserve">”</w:t>
      </w:r>
      <w:r>
        <w:t xml:space="preserve"> </w:t>
      </w:r>
      <w:r>
        <w:t xml:space="preserve">(Pā. 1-1-55);</w:t>
      </w:r>
      <w:r>
        <w:t xml:space="preserve"> </w:t>
      </w:r>
      <w:r>
        <w:rPr>
          <w:iCs/>
          <w:i/>
        </w:rPr>
        <w:t xml:space="preserve">asmad</w:t>
      </w:r>
      <w:r>
        <w:t xml:space="preserve"> </w:t>
      </w:r>
      <w:r>
        <w:t xml:space="preserve">is final-udātta by its stem accent; [on the view that the</w:t>
      </w:r>
      <w:r>
        <w:t xml:space="preserve"> </w:t>
      </w:r>
      <w:r>
        <w:rPr>
          <w:iCs/>
          <w:i/>
        </w:rPr>
        <w:t xml:space="preserve">ṭi</w:t>
      </w:r>
      <w:r>
        <w:t xml:space="preserve"> </w:t>
      </w:r>
      <w:r>
        <w:t xml:space="preserve">is dropped,] the</w:t>
      </w:r>
      <w:r>
        <w:t xml:space="preserve"> </w:t>
      </w:r>
      <w:r>
        <w:rPr>
          <w:iCs/>
          <w:i/>
        </w:rPr>
        <w:t xml:space="preserve">e</w:t>
      </w:r>
      <w:r>
        <w:t xml:space="preserve"> </w:t>
      </w:r>
      <w:r>
        <w:t xml:space="preserve">is udātta by the accent of the lost udātta,</w:t>
      </w:r>
      <w:r>
        <w:t xml:space="preserve"> </w:t>
      </w:r>
      <w:r>
        <w:t xml:space="preserve">“</w:t>
      </w:r>
      <w:r>
        <w:t xml:space="preserve">anudāttasya ca yatrodāttalopaḥ</w:t>
      </w:r>
      <w:r>
        <w:t xml:space="preserve">”</w:t>
      </w:r>
      <w:r>
        <w:t xml:space="preserve"> </w:t>
      </w:r>
      <w:r>
        <w:t xml:space="preserve">(Pā. 6-1-161); [on the other view] the final</w:t>
      </w:r>
      <w:r>
        <w:t xml:space="preserve"> </w:t>
      </w:r>
      <w:r>
        <w:rPr>
          <w:iCs/>
          <w:i/>
        </w:rPr>
        <w:t xml:space="preserve">d</w:t>
      </w:r>
      <w:r>
        <w:t xml:space="preserve"> </w:t>
      </w:r>
      <w:r>
        <w:t xml:space="preserve">of</w:t>
      </w:r>
      <w:r>
        <w:t xml:space="preserve"> </w:t>
      </w:r>
      <w:r>
        <w:rPr>
          <w:iCs/>
          <w:i/>
        </w:rPr>
        <w:t xml:space="preserve">asmad</w:t>
      </w:r>
      <w:r>
        <w:t xml:space="preserve"> </w:t>
      </w:r>
      <w:r>
        <w:t xml:space="preserve">is dropped by</w:t>
      </w:r>
      <w:r>
        <w:t xml:space="preserve"> </w:t>
      </w:r>
      <w:r>
        <w:t xml:space="preserve">“</w:t>
      </w:r>
      <w:r>
        <w:t xml:space="preserve">śeṣe lopaḥ</w:t>
      </w:r>
      <w:r>
        <w:t xml:space="preserve">”</w:t>
      </w:r>
      <w:r>
        <w:t xml:space="preserve"> </w:t>
      </w:r>
      <w:r>
        <w:t xml:space="preserve">(Pā. 7-2-90);</w:t>
      </w:r>
      <w:r>
        <w:t xml:space="preserve"> </w:t>
      </w:r>
      <w:r>
        <w:rPr>
          <w:iCs/>
          <w:i/>
        </w:rPr>
        <w:t xml:space="preserve">asma</w:t>
      </w:r>
      <w:r>
        <w:t xml:space="preserve"> </w:t>
      </w:r>
      <w:r>
        <w:t xml:space="preserve">+</w:t>
      </w:r>
      <w:r>
        <w:t xml:space="preserve"> </w:t>
      </w:r>
      <w:r>
        <w:rPr>
          <w:iCs/>
          <w:i/>
        </w:rPr>
        <w:t xml:space="preserve">e</w:t>
      </w:r>
      <w:r>
        <w:t xml:space="preserve"> </w:t>
      </w:r>
      <w:r>
        <w:t xml:space="preserve">→</w:t>
      </w:r>
      <w:r>
        <w:t xml:space="preserve"> </w:t>
      </w:r>
      <w:r>
        <w:rPr>
          <w:iCs/>
          <w:i/>
        </w:rPr>
        <w:t xml:space="preserve">pararūpa</w:t>
      </w:r>
      <w:r>
        <w:t xml:space="preserve"> </w:t>
      </w:r>
      <w:r>
        <w:t xml:space="preserve">by</w:t>
      </w:r>
      <w:r>
        <w:t xml:space="preserve"> </w:t>
      </w:r>
      <w:r>
        <w:t xml:space="preserve">“</w:t>
      </w:r>
      <w:r>
        <w:t xml:space="preserve">ato guṇe</w:t>
      </w:r>
      <w:r>
        <w:t xml:space="preserve">”</w:t>
      </w:r>
      <w:r>
        <w:t xml:space="preserve"> </w:t>
      </w:r>
      <w:r>
        <w:t xml:space="preserve">(Pā. 6-1-97), a single substitute that takes the udātta by</w:t>
      </w:r>
      <w:r>
        <w:t xml:space="preserve"> </w:t>
      </w:r>
      <w:r>
        <w:t xml:space="preserve">“</w:t>
      </w:r>
      <w:r>
        <w:t xml:space="preserve">ekādeśa udāttenodāttaḥ</w:t>
      </w:r>
      <w:r>
        <w:t xml:space="preserve">”</w:t>
      </w:r>
      <w:r>
        <w:t xml:space="preserve"> </w:t>
      </w:r>
      <w:r>
        <w:t xml:space="preserve">(Pā. 8-2-5).</w:t>
      </w:r>
      <w:r>
        <w:t xml:space="preserve"> </w:t>
      </w:r>
      <w:r>
        <w:rPr>
          <w:bCs/>
          <w:b/>
        </w:rPr>
        <w:t xml:space="preserve">पृथु (</w:t>
      </w:r>
      <w:r>
        <w:rPr>
          <w:iCs/>
          <w:i/>
          <w:bCs/>
          <w:b/>
        </w:rPr>
        <w:t xml:space="preserve">pṛthu</w:t>
      </w:r>
      <w:r>
        <w:rPr>
          <w:bCs/>
          <w:b/>
        </w:rPr>
        <w:t xml:space="preserve">)</w:t>
      </w:r>
      <w:r>
        <w:t xml:space="preserve"> </w:t>
      </w:r>
      <w:r>
        <w:t xml:space="preserve">— root</w:t>
      </w:r>
      <w:r>
        <w:t xml:space="preserve"> </w:t>
      </w:r>
      <w:r>
        <w:rPr>
          <w:iCs/>
          <w:i/>
        </w:rPr>
        <w:t xml:space="preserve">pṛtha prakhyāne</w:t>
      </w:r>
      <w:r>
        <w:t xml:space="preserve"> </w:t>
      </w:r>
      <w:r>
        <w:t xml:space="preserve">(</w:t>
      </w:r>
      <w:r>
        <w:t xml:space="preserve">“</w:t>
      </w:r>
      <w:r>
        <w:t xml:space="preserve">to spread</w:t>
      </w:r>
      <w:r>
        <w:t xml:space="preserve">”</w:t>
      </w:r>
      <w:r>
        <w:t xml:space="preserve">), and the rule</w:t>
      </w:r>
      <w:r>
        <w:t xml:space="preserve"> </w:t>
      </w:r>
      <w:r>
        <w:t xml:space="preserve">“</w:t>
      </w:r>
      <w:r>
        <w:t xml:space="preserve">prathimradibhrasjāṃ saṃprasāraṇaṃ salopaś ca</w:t>
      </w:r>
      <w:r>
        <w:t xml:space="preserve">”</w:t>
      </w:r>
      <w:r>
        <w:t xml:space="preserve"> </w:t>
      </w:r>
      <w:r>
        <w:t xml:space="preserve">(Uṇ. 1-28 [as printed]; the bhāṣya on p. 366 prints 1-29): the suffix</w:t>
      </w:r>
      <w:r>
        <w:t xml:space="preserve"> </w:t>
      </w:r>
      <w:r>
        <w:rPr>
          <w:iCs/>
          <w:i/>
        </w:rPr>
        <w:t xml:space="preserve">ku</w:t>
      </w:r>
      <w:r>
        <w:t xml:space="preserve"> </w:t>
      </w:r>
      <w:r>
        <w:t xml:space="preserve">after</w:t>
      </w:r>
      <w:r>
        <w:t xml:space="preserve"> </w:t>
      </w:r>
      <w:r>
        <w:rPr>
          <w:iCs/>
          <w:i/>
        </w:rPr>
        <w:t xml:space="preserve">prath</w:t>
      </w:r>
      <w:r>
        <w:t xml:space="preserve">,</w:t>
      </w:r>
      <w:r>
        <w:t xml:space="preserve"> </w:t>
      </w:r>
      <w:r>
        <w:rPr>
          <w:iCs/>
          <w:i/>
        </w:rPr>
        <w:t xml:space="preserve">mrad</w:t>
      </w:r>
      <w:r>
        <w:t xml:space="preserve">,</w:t>
      </w:r>
      <w:r>
        <w:t xml:space="preserve"> </w:t>
      </w:r>
      <w:r>
        <w:rPr>
          <w:iCs/>
          <w:i/>
        </w:rPr>
        <w:t xml:space="preserve">bhrasj</w:t>
      </w:r>
      <w:r>
        <w:t xml:space="preserve">, with</w:t>
      </w:r>
      <w:r>
        <w:t xml:space="preserve"> </w:t>
      </w:r>
      <w:r>
        <w:rPr>
          <w:iCs/>
          <w:i/>
        </w:rPr>
        <w:t xml:space="preserve">saṃprasāraṇa</w:t>
      </w:r>
      <w:r>
        <w:t xml:space="preserve"> </w:t>
      </w:r>
      <w:r>
        <w:t xml:space="preserve">of</w:t>
      </w:r>
      <w:r>
        <w:t xml:space="preserve"> </w:t>
      </w:r>
      <w:r>
        <w:rPr>
          <w:iCs/>
          <w:i/>
        </w:rPr>
        <w:t xml:space="preserve">r</w:t>
      </w:r>
      <w:r>
        <w:t xml:space="preserve"> </w:t>
      </w:r>
      <w:r>
        <w:t xml:space="preserve">to</w:t>
      </w:r>
      <w:r>
        <w:t xml:space="preserve"> </w:t>
      </w:r>
      <w:r>
        <w:rPr>
          <w:iCs/>
          <w:i/>
        </w:rPr>
        <w:t xml:space="preserve">ṛ</w:t>
      </w:r>
      <w:r>
        <w:t xml:space="preserve"> </w:t>
      </w:r>
      <w:r>
        <w:t xml:space="preserve">and loss of</w:t>
      </w:r>
      <w:r>
        <w:t xml:space="preserve"> </w:t>
      </w:r>
      <w:r>
        <w:rPr>
          <w:iCs/>
          <w:i/>
        </w:rPr>
        <w:t xml:space="preserve">s</w:t>
      </w:r>
      <w:r>
        <w:t xml:space="preserve"> </w:t>
      </w:r>
      <w:r>
        <w:t xml:space="preserve">in</w:t>
      </w:r>
      <w:r>
        <w:t xml:space="preserve"> </w:t>
      </w:r>
      <w:r>
        <w:rPr>
          <w:iCs/>
          <w:i/>
        </w:rPr>
        <w:t xml:space="preserve">bhrasj</w:t>
      </w:r>
      <w:r>
        <w:t xml:space="preserve">;</w:t>
      </w:r>
      <w:r>
        <w:t xml:space="preserve"> </w:t>
      </w:r>
      <w:r>
        <w:rPr>
          <w:iCs/>
          <w:i/>
        </w:rPr>
        <w:t xml:space="preserve">pṛ</w:t>
      </w:r>
      <w:r>
        <w:t xml:space="preserve"> </w:t>
      </w:r>
      <w:r>
        <w:t xml:space="preserve">+</w:t>
      </w:r>
      <w:r>
        <w:t xml:space="preserve"> </w:t>
      </w:r>
      <w:r>
        <w:rPr>
          <w:iCs/>
          <w:i/>
        </w:rPr>
        <w:t xml:space="preserve">th</w:t>
      </w:r>
      <w:r>
        <w:t xml:space="preserve"> </w:t>
      </w:r>
      <w:r>
        <w:t xml:space="preserve">+</w:t>
      </w:r>
      <w:r>
        <w:t xml:space="preserve"> </w:t>
      </w:r>
      <w:r>
        <w:rPr>
          <w:iCs/>
          <w:i/>
        </w:rPr>
        <w:t xml:space="preserve">u</w:t>
      </w:r>
      <w:r>
        <w:t xml:space="preserve"> </w:t>
      </w:r>
      <w:r>
        <w:t xml:space="preserve">→</w:t>
      </w:r>
      <w:r>
        <w:t xml:space="preserve"> </w:t>
      </w:r>
      <w:r>
        <w:rPr>
          <w:iCs/>
          <w:i/>
        </w:rPr>
        <w:t xml:space="preserve">pṛthu</w:t>
      </w:r>
      <w:r>
        <w:t xml:space="preserve"> </w:t>
      </w:r>
      <w:r>
        <w:t xml:space="preserve">by the pūrvarūpa of</w:t>
      </w:r>
      <w:r>
        <w:t xml:space="preserve"> </w:t>
      </w:r>
      <w:r>
        <w:t xml:space="preserve">“</w:t>
      </w:r>
      <w:r>
        <w:t xml:space="preserve">saṃprasāraṇāc ca</w:t>
      </w:r>
      <w:r>
        <w:t xml:space="preserve">”</w:t>
      </w:r>
      <w:r>
        <w:t xml:space="preserve"> </w:t>
      </w:r>
      <w:r>
        <w:t xml:space="preserve">(Pā. 6-1-108);</w:t>
      </w:r>
      <w:r>
        <w:t xml:space="preserve"> </w:t>
      </w:r>
      <w:r>
        <w:rPr>
          <w:iCs/>
          <w:i/>
        </w:rPr>
        <w:t xml:space="preserve">ku</w:t>
      </w:r>
      <w:r>
        <w:t xml:space="preserve"> </w:t>
      </w:r>
      <w:r>
        <w:t xml:space="preserve">is</w:t>
      </w:r>
      <w:r>
        <w:t xml:space="preserve"> </w:t>
      </w:r>
      <w:r>
        <w:rPr>
          <w:iCs/>
          <w:i/>
        </w:rPr>
        <w:t xml:space="preserve">kit</w:t>
      </w:r>
      <w:r>
        <w:t xml:space="preserve">, so no</w:t>
      </w:r>
      <w:r>
        <w:t xml:space="preserve"> </w:t>
      </w:r>
      <w:r>
        <w:rPr>
          <w:iCs/>
          <w:i/>
        </w:rPr>
        <w:t xml:space="preserve">guṇa</w:t>
      </w:r>
      <w:r>
        <w:t xml:space="preserve"> </w:t>
      </w:r>
      <w:r>
        <w:t xml:space="preserve">by</w:t>
      </w:r>
      <w:r>
        <w:t xml:space="preserve"> </w:t>
      </w:r>
      <w:r>
        <w:t xml:space="preserve">“</w:t>
      </w:r>
      <w:r>
        <w:t xml:space="preserve">pugantalaghūpadhasya ca</w:t>
      </w:r>
      <w:r>
        <w:t xml:space="preserve">”</w:t>
      </w:r>
      <w:r>
        <w:t xml:space="preserve"> </w:t>
      </w:r>
      <w:r>
        <w:t xml:space="preserve">(Pā. 7-3-86).</w:t>
      </w:r>
      <w:r>
        <w:t xml:space="preserve"> </w:t>
      </w:r>
      <w:r>
        <w:rPr>
          <w:bCs/>
          <w:b/>
        </w:rPr>
        <w:t xml:space="preserve">श्रवः (</w:t>
      </w:r>
      <w:r>
        <w:rPr>
          <w:iCs/>
          <w:i/>
          <w:bCs/>
          <w:b/>
        </w:rPr>
        <w:t xml:space="preserve">śravaḥ</w:t>
      </w:r>
      <w:r>
        <w:rPr>
          <w:bCs/>
          <w:b/>
        </w:rPr>
        <w:t xml:space="preserve">)</w:t>
      </w:r>
      <w:r>
        <w:t xml:space="preserve"> </w:t>
      </w:r>
      <w:r>
        <w:t xml:space="preserve">—</w:t>
      </w:r>
      <w:r>
        <w:t xml:space="preserve"> </w:t>
      </w:r>
      <w:r>
        <w:t xml:space="preserve">“</w:t>
      </w:r>
      <w:r>
        <w:t xml:space="preserve">śrūyate iti</w:t>
      </w:r>
      <w:r>
        <w:t xml:space="preserve">”</w:t>
      </w:r>
      <w:r>
        <w:t xml:space="preserve">: root</w:t>
      </w:r>
      <w:r>
        <w:t xml:space="preserve"> </w:t>
      </w:r>
      <w:r>
        <w:rPr>
          <w:iCs/>
          <w:i/>
        </w:rPr>
        <w:t xml:space="preserve">śru</w:t>
      </w:r>
      <w:r>
        <w:t xml:space="preserve"> </w:t>
      </w:r>
      <w:r>
        <w:t xml:space="preserve">+</w:t>
      </w:r>
      <w:r>
        <w:t xml:space="preserve"> </w:t>
      </w:r>
      <w:r>
        <w:rPr>
          <w:iCs/>
          <w:i/>
        </w:rPr>
        <w:t xml:space="preserve">asun</w:t>
      </w:r>
      <w:r>
        <w:t xml:space="preserve"> </w:t>
      </w:r>
      <w:r>
        <w:t xml:space="preserve">(</w:t>
      </w:r>
      <w:r>
        <w:t xml:space="preserve">“</w:t>
      </w:r>
      <w:r>
        <w:t xml:space="preserve">sarvadhātubhyo ’sun,</w:t>
      </w:r>
      <w:r>
        <w:t xml:space="preserve">”</w:t>
      </w:r>
      <w:r>
        <w:t xml:space="preserve"> </w:t>
      </w:r>
      <w:r>
        <w:t xml:space="preserve">no number printed);</w:t>
      </w:r>
      <w:r>
        <w:t xml:space="preserve"> </w:t>
      </w:r>
      <w:r>
        <w:rPr>
          <w:iCs/>
          <w:i/>
        </w:rPr>
        <w:t xml:space="preserve">guṇa</w:t>
      </w:r>
      <w:r>
        <w:t xml:space="preserve"> </w:t>
      </w:r>
      <w:r>
        <w:t xml:space="preserve">of</w:t>
      </w:r>
      <w:r>
        <w:t xml:space="preserve"> </w:t>
      </w:r>
      <w:r>
        <w:rPr>
          <w:iCs/>
          <w:i/>
        </w:rPr>
        <w:t xml:space="preserve">u</w:t>
      </w:r>
      <w:r>
        <w:t xml:space="preserve"> </w:t>
      </w:r>
      <w:r>
        <w:t xml:space="preserve">→</w:t>
      </w:r>
      <w:r>
        <w:t xml:space="preserve"> </w:t>
      </w:r>
      <w:r>
        <w:rPr>
          <w:iCs/>
          <w:i/>
        </w:rPr>
        <w:t xml:space="preserve">o</w:t>
      </w:r>
      <w:r>
        <w:t xml:space="preserve"> </w:t>
      </w:r>
      <w:r>
        <w:t xml:space="preserve">by</w:t>
      </w:r>
      <w:r>
        <w:t xml:space="preserve"> </w:t>
      </w:r>
      <w:r>
        <w:t xml:space="preserve">“</w:t>
      </w:r>
      <w:r>
        <w:t xml:space="preserve">sārvadhātukārdhadhātukayoḥ</w:t>
      </w:r>
      <w:r>
        <w:t xml:space="preserve">”</w:t>
      </w:r>
      <w:r>
        <w:t xml:space="preserve"> </w:t>
      </w:r>
      <w:r>
        <w:t xml:space="preserve">(Pā. 7-3-84);</w:t>
      </w:r>
      <w:r>
        <w:t xml:space="preserve"> </w:t>
      </w:r>
      <w:r>
        <w:rPr>
          <w:iCs/>
          <w:i/>
        </w:rPr>
        <w:t xml:space="preserve">ov</w:t>
      </w:r>
      <w:r>
        <w:t xml:space="preserve"> </w:t>
      </w:r>
      <w:r>
        <w:t xml:space="preserve">→</w:t>
      </w:r>
      <w:r>
        <w:t xml:space="preserve"> </w:t>
      </w:r>
      <w:r>
        <w:rPr>
          <w:iCs/>
          <w:i/>
        </w:rPr>
        <w:t xml:space="preserve">av</w:t>
      </w:r>
      <w:r>
        <w:t xml:space="preserve"> </w:t>
      </w:r>
      <w:r>
        <w:t xml:space="preserve">by</w:t>
      </w:r>
      <w:r>
        <w:t xml:space="preserve"> </w:t>
      </w:r>
      <w:r>
        <w:t xml:space="preserve">“</w:t>
      </w:r>
      <w:r>
        <w:t xml:space="preserve">eco ’yavāyāvaḥ</w:t>
      </w:r>
      <w:r>
        <w:t xml:space="preserve">”</w:t>
      </w:r>
      <w:r>
        <w:t xml:space="preserve"> </w:t>
      </w:r>
      <w:r>
        <w:t xml:space="preserve">(Pā. 6-1-78); the nominative/accusative singular ending</w:t>
      </w:r>
      <w:r>
        <w:t xml:space="preserve"> </w:t>
      </w:r>
      <w:r>
        <w:rPr>
          <w:iCs/>
          <w:i/>
        </w:rPr>
        <w:t xml:space="preserve">am</w:t>
      </w:r>
      <w:r>
        <w:t xml:space="preserve">/</w:t>
      </w:r>
      <w:r>
        <w:rPr>
          <w:iCs/>
          <w:i/>
        </w:rPr>
        <w:t xml:space="preserve">su</w:t>
      </w:r>
      <w:r>
        <w:t xml:space="preserve"> </w:t>
      </w:r>
      <w:r>
        <w:t xml:space="preserve">dropped by</w:t>
      </w:r>
      <w:r>
        <w:t xml:space="preserve"> </w:t>
      </w:r>
      <w:r>
        <w:t xml:space="preserve">“</w:t>
      </w:r>
      <w:r>
        <w:t xml:space="preserve">svamor napuṃsakāt</w:t>
      </w:r>
      <w:r>
        <w:t xml:space="preserve">”</w:t>
      </w:r>
      <w:r>
        <w:t xml:space="preserve"> </w:t>
      </w:r>
      <w:r>
        <w:t xml:space="preserve">(Pā. 7-1-23);</w:t>
      </w:r>
      <w:r>
        <w:t xml:space="preserve"> </w:t>
      </w:r>
      <w:r>
        <w:rPr>
          <w:iCs/>
          <w:i/>
        </w:rPr>
        <w:t xml:space="preserve">ru</w:t>
      </w:r>
      <w:r>
        <w:t xml:space="preserve">-and-visarga; initial-udātta.</w:t>
      </w:r>
      <w:r>
        <w:t xml:space="preserve"> </w:t>
      </w:r>
      <w:r>
        <w:rPr>
          <w:bCs/>
          <w:b/>
        </w:rPr>
        <w:t xml:space="preserve">बृहत् (</w:t>
      </w:r>
      <w:r>
        <w:rPr>
          <w:iCs/>
          <w:i/>
          <w:bCs/>
          <w:b/>
        </w:rPr>
        <w:t xml:space="preserve">bṛhat</w:t>
      </w:r>
      <w:r>
        <w:rPr>
          <w:bCs/>
          <w:b/>
        </w:rPr>
        <w:t xml:space="preserve">)</w:t>
      </w:r>
      <w:r>
        <w:t xml:space="preserve"> </w:t>
      </w:r>
      <w:r>
        <w:t xml:space="preserve">— stem accent.</w:t>
      </w:r>
      <w:r>
        <w:t xml:space="preserve"> </w:t>
      </w:r>
      <w:r>
        <w:rPr>
          <w:bCs/>
          <w:b/>
        </w:rPr>
        <w:t xml:space="preserve">विश्वायुः (</w:t>
      </w:r>
      <w:r>
        <w:rPr>
          <w:iCs/>
          <w:i/>
          <w:bCs/>
          <w:b/>
        </w:rPr>
        <w:t xml:space="preserve">viśvāyuḥ</w:t>
      </w:r>
      <w:r>
        <w:rPr>
          <w:bCs/>
          <w:b/>
        </w:rPr>
        <w:t xml:space="preserve">)</w:t>
      </w:r>
      <w:r>
        <w:t xml:space="preserve"> </w:t>
      </w:r>
      <w:r>
        <w:t xml:space="preserve">— a bahuvrīhi</w:t>
      </w:r>
      <w:r>
        <w:t xml:space="preserve"> </w:t>
      </w:r>
      <w:r>
        <w:t xml:space="preserve">“</w:t>
      </w:r>
      <w:r>
        <w:t xml:space="preserve">viśvam āyur yasmin dhane</w:t>
      </w:r>
      <w:r>
        <w:t xml:space="preserve">”</w:t>
      </w:r>
      <w:r>
        <w:t xml:space="preserve">;</w:t>
      </w:r>
      <w:r>
        <w:t xml:space="preserve"> </w:t>
      </w:r>
      <w:r>
        <w:rPr>
          <w:iCs/>
          <w:i/>
        </w:rPr>
        <w:t xml:space="preserve">viśva</w:t>
      </w:r>
      <w:r>
        <w:t xml:space="preserve"> </w:t>
      </w:r>
      <w:r>
        <w:t xml:space="preserve">is formed with</w:t>
      </w:r>
      <w:r>
        <w:t xml:space="preserve"> </w:t>
      </w:r>
      <w:r>
        <w:rPr>
          <w:iCs/>
          <w:i/>
        </w:rPr>
        <w:t xml:space="preserve">kvan</w:t>
      </w:r>
      <w:r>
        <w:t xml:space="preserve"> </w:t>
      </w:r>
      <w:r>
        <w:t xml:space="preserve">(by</w:t>
      </w:r>
      <w:r>
        <w:t xml:space="preserve"> </w:t>
      </w:r>
      <w:r>
        <w:t xml:space="preserve">“</w:t>
      </w:r>
      <w:r>
        <w:t xml:space="preserve">aśūpruṣi…</w:t>
      </w:r>
      <w:r>
        <w:t xml:space="preserve">”</w:t>
      </w:r>
      <w:r>
        <w:t xml:space="preserve">, Uṇ. 1-149, from</w:t>
      </w:r>
      <w:r>
        <w:t xml:space="preserve"> </w:t>
      </w:r>
      <w:r>
        <w:rPr>
          <w:iCs/>
          <w:i/>
        </w:rPr>
        <w:t xml:space="preserve">aśū vyāptau</w:t>
      </w:r>
      <w:r>
        <w:t xml:space="preserve">) and is</w:t>
      </w:r>
      <w:r>
        <w:t xml:space="preserve"> </w:t>
      </w:r>
      <w:r>
        <w:rPr>
          <w:iCs/>
          <w:i/>
        </w:rPr>
        <w:t xml:space="preserve">nit</w:t>
      </w:r>
      <w:r>
        <w:t xml:space="preserve">, so initial-udātta; the bahuvrīhi rule</w:t>
      </w:r>
      <w:r>
        <w:t xml:space="preserve"> </w:t>
      </w:r>
      <w:r>
        <w:t xml:space="preserve">“</w:t>
      </w:r>
      <w:r>
        <w:t xml:space="preserve">bahuvrīhau prakṛtyā pūrvapadam</w:t>
      </w:r>
      <w:r>
        <w:t xml:space="preserve">”</w:t>
      </w:r>
      <w:r>
        <w:t xml:space="preserve"> </w:t>
      </w:r>
      <w:r>
        <w:t xml:space="preserve">(Pā. 6-2-1) would keep the first-member accent, but with the Vedic</w:t>
      </w:r>
      <w:r>
        <w:t xml:space="preserve"> </w:t>
      </w:r>
      <w:r>
        <w:t xml:space="preserve">“</w:t>
      </w:r>
      <w:r>
        <w:t xml:space="preserve">parādiś chandasi bahulam</w:t>
      </w:r>
      <w:r>
        <w:t xml:space="preserve">”</w:t>
      </w:r>
      <w:r>
        <w:t xml:space="preserve"> </w:t>
      </w:r>
      <w:r>
        <w:t xml:space="preserve">(Pā. 6-2-199) the end of the first member takes the udātta;</w:t>
      </w:r>
      <w:r>
        <w:t xml:space="preserve"> </w:t>
      </w:r>
      <w:r>
        <w:rPr>
          <w:iCs/>
          <w:i/>
        </w:rPr>
        <w:t xml:space="preserve">viśva</w:t>
      </w:r>
      <w:r>
        <w:t xml:space="preserve"> </w:t>
      </w:r>
      <w:r>
        <w:t xml:space="preserve">+</w:t>
      </w:r>
      <w:r>
        <w:t xml:space="preserve"> </w:t>
      </w:r>
      <w:r>
        <w:rPr>
          <w:iCs/>
          <w:i/>
        </w:rPr>
        <w:t xml:space="preserve">āyuḥ</w:t>
      </w:r>
      <w:r>
        <w:t xml:space="preserve"> </w:t>
      </w:r>
      <w:r>
        <w:t xml:space="preserve">→ single substitute</w:t>
      </w:r>
      <w:r>
        <w:t xml:space="preserve"> </w:t>
      </w:r>
      <w:r>
        <w:rPr>
          <w:iCs/>
          <w:i/>
        </w:rPr>
        <w:t xml:space="preserve">ā</w:t>
      </w:r>
      <w:r>
        <w:t xml:space="preserve">, udātta by</w:t>
      </w:r>
      <w:r>
        <w:t xml:space="preserve"> </w:t>
      </w:r>
      <w:r>
        <w:t xml:space="preserve">“</w:t>
      </w:r>
      <w:r>
        <w:t xml:space="preserve">ekādeśa udāttenodāttaḥ</w:t>
      </w:r>
      <w:r>
        <w:t xml:space="preserve">”</w:t>
      </w:r>
      <w:r>
        <w:t xml:space="preserve"> </w:t>
      </w:r>
      <w:r>
        <w:t xml:space="preserve">(Pā. 8-2-5).</w:t>
      </w:r>
      <w:r>
        <w:t xml:space="preserve"> </w:t>
      </w:r>
      <w:r>
        <w:rPr>
          <w:bCs/>
          <w:b/>
        </w:rPr>
        <w:t xml:space="preserve">अक्षितम् (</w:t>
      </w:r>
      <w:r>
        <w:rPr>
          <w:iCs/>
          <w:i/>
          <w:bCs/>
          <w:b/>
        </w:rPr>
        <w:t xml:space="preserve">akṣitam</w:t>
      </w:r>
      <w:r>
        <w:rPr>
          <w:bCs/>
          <w:b/>
        </w:rPr>
        <w:t xml:space="preserve">)</w:t>
      </w:r>
      <w:r>
        <w:t xml:space="preserve"> </w:t>
      </w:r>
      <w:r>
        <w:t xml:space="preserve">— root</w:t>
      </w:r>
      <w:r>
        <w:t xml:space="preserve"> </w:t>
      </w:r>
      <w:r>
        <w:rPr>
          <w:iCs/>
          <w:i/>
        </w:rPr>
        <w:t xml:space="preserve">kṣi kṣaye</w:t>
      </w:r>
      <w:r>
        <w:t xml:space="preserve"> </w:t>
      </w:r>
      <w:r>
        <w:t xml:space="preserve">in the sense including the causative;</w:t>
      </w:r>
      <w:r>
        <w:t xml:space="preserve"> </w:t>
      </w:r>
      <w:r>
        <w:rPr>
          <w:iCs/>
          <w:i/>
        </w:rPr>
        <w:t xml:space="preserve">kta</w:t>
      </w:r>
      <w:r>
        <w:t xml:space="preserve"> </w:t>
      </w:r>
      <w:r>
        <w:t xml:space="preserve">in the passive; by</w:t>
      </w:r>
      <w:r>
        <w:t xml:space="preserve"> </w:t>
      </w:r>
      <w:r>
        <w:t xml:space="preserve">“</w:t>
      </w:r>
      <w:r>
        <w:t xml:space="preserve">niṣṭhā-yoṇya-darthe</w:t>
      </w:r>
      <w:r>
        <w:t xml:space="preserve">”</w:t>
      </w:r>
      <w:r>
        <w:t xml:space="preserve"> </w:t>
      </w:r>
      <w:r>
        <w:t xml:space="preserve">(Pā. 6-4-60) the lengthening is prohibited since the word does not have the sense</w:t>
      </w:r>
      <w:r>
        <w:t xml:space="preserve"> </w:t>
      </w:r>
      <w:r>
        <w:t xml:space="preserve">“</w:t>
      </w:r>
      <w:r>
        <w:t xml:space="preserve">not to be…</w:t>
      </w:r>
      <w:r>
        <w:t xml:space="preserve">”</w:t>
      </w:r>
      <w:r>
        <w:t xml:space="preserve">; and since the lengthening does not arise, the</w:t>
      </w:r>
      <w:r>
        <w:t xml:space="preserve"> </w:t>
      </w:r>
      <w:r>
        <w:rPr>
          <w:iCs/>
          <w:i/>
        </w:rPr>
        <w:t xml:space="preserve">n</w:t>
      </w:r>
      <w:r>
        <w:t xml:space="preserve">-substitution of</w:t>
      </w:r>
      <w:r>
        <w:t xml:space="preserve"> </w:t>
      </w:r>
      <w:r>
        <w:t xml:space="preserve">“</w:t>
      </w:r>
      <w:r>
        <w:t xml:space="preserve">kṣiyo dīrghāt</w:t>
      </w:r>
      <w:r>
        <w:t xml:space="preserve">”</w:t>
      </w:r>
      <w:r>
        <w:t xml:space="preserve"> </w:t>
      </w:r>
      <w:r>
        <w:t xml:space="preserve">(Pā. 8-2-46) does not arise; the</w:t>
      </w:r>
      <w:r>
        <w:t xml:space="preserve"> </w:t>
      </w:r>
      <w:r>
        <w:rPr>
          <w:iCs/>
          <w:i/>
        </w:rPr>
        <w:t xml:space="preserve">nañ</w:t>
      </w:r>
      <w:r>
        <w:t xml:space="preserve"> </w:t>
      </w:r>
      <w:r>
        <w:t xml:space="preserve">compound with the negative takes the first-member accent of</w:t>
      </w:r>
      <w:r>
        <w:t xml:space="preserve"> </w:t>
      </w:r>
      <w:r>
        <w:t xml:space="preserve">“</w:t>
      </w:r>
      <w:r>
        <w:t xml:space="preserve">tatpuruṣe tulyārtha…</w:t>
      </w:r>
      <w:r>
        <w:t xml:space="preserve">”</w:t>
      </w:r>
      <w:r>
        <w:t xml:space="preserve"> </w:t>
      </w:r>
      <w:r>
        <w:t xml:space="preserve">(Pā. 6-2-2) as with indeclinables.</w:t>
      </w:r>
    </w:p>
    <w:p>
      <w:pPr>
        <w:pStyle w:val="BodyText"/>
      </w:pPr>
      <w:r>
        <w:rPr>
          <w:bCs/>
          <w:b/>
        </w:rPr>
        <w:t xml:space="preserve">॥७॥</w:t>
      </w:r>
    </w:p>
    <w:p>
      <w:r>
        <w:pict>
          <v:rect style="width:0;height:1.5pt" o:hralign="center" o:hrstd="t" o:hr="t"/>
        </w:pict>
      </w:r>
    </w:p>
    <w:bookmarkEnd w:id="395"/>
    <w:bookmarkStart w:id="396" w:name="page-369-sūkta-9-rik-8"/>
    <w:p>
      <w:pPr>
        <w:pStyle w:val="Heading3"/>
      </w:pPr>
      <w:r>
        <w:t xml:space="preserve">Page 369 — Sūkta 9, Rik 8</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अ॒स्मे धे॑हि॒ श्रवो॑ बृ॒हद्द्यु॒म्नं स॑हस्र॒सात॑मम् ।</w:t>
      </w:r>
      <w:r>
        <w:t xml:space="preserve"> </w:t>
      </w:r>
      <w:r>
        <w:t xml:space="preserve">इन्द्र॒ ता र॒थिनी॒रिषः॑ ॥८॥</w:t>
      </w:r>
    </w:p>
    <w:p>
      <w:pPr>
        <w:pStyle w:val="BlockText"/>
      </w:pPr>
      <w:r>
        <w:rPr>
          <w:iCs/>
          <w:i/>
        </w:rPr>
        <w:t xml:space="preserve">asmé dhehi śrávo bṛhád dyumnáṃ sahasrasā́tamam |</w:t>
      </w:r>
      <w:r>
        <w:t xml:space="preserve"> </w:t>
      </w:r>
      <w:r>
        <w:rPr>
          <w:iCs/>
          <w:i/>
        </w:rPr>
        <w:t xml:space="preserve">indra tā́ rathínīr íṣaḥ ||8||</w:t>
      </w:r>
    </w:p>
    <w:p>
      <w:pPr>
        <w:pStyle w:val="FirstParagraph"/>
      </w:pPr>
      <w:r>
        <w:rPr>
          <w:bCs/>
          <w:b/>
        </w:rPr>
        <w:t xml:space="preserve">॥ Pada-pāṭhaḥ ॥</w:t>
      </w:r>
    </w:p>
    <w:p>
      <w:pPr>
        <w:pStyle w:val="BlockText"/>
      </w:pPr>
      <w:r>
        <w:t xml:space="preserve">अस्मे इति । धेहि । श्रवः । बृहत् । द्युम्नम् । सहस्रऽसातमम् ॥</w:t>
      </w:r>
      <w:r>
        <w:t xml:space="preserve"> </w:t>
      </w:r>
      <w:r>
        <w:t xml:space="preserve">इन्द्र । ताः । रथिनीः । इषः ॥८॥</w:t>
      </w:r>
    </w:p>
    <w:p>
      <w:pPr>
        <w:pStyle w:val="BlockText"/>
      </w:pPr>
      <w:r>
        <w:rPr>
          <w:iCs/>
          <w:i/>
        </w:rPr>
        <w:t xml:space="preserve">asme iti | dhehi | śravaḥ | bṛhat | dyumnam | sahasra-sātamam ||</w:t>
      </w:r>
      <w:r>
        <w:t xml:space="preserve"> </w:t>
      </w:r>
      <w:r>
        <w:rPr>
          <w:iCs/>
          <w:i/>
        </w:rPr>
        <w:t xml:space="preserve">indra | tāḥ | rathinīḥ | iṣaḥ ||8||</w:t>
      </w:r>
    </w:p>
    <w:p>
      <w:pPr>
        <w:pStyle w:val="FirstParagraph"/>
      </w:pPr>
      <w:r>
        <w:rPr>
          <w:bCs/>
          <w:b/>
        </w:rPr>
        <w:t xml:space="preserve">॥ Sāyaṇa-bhāṣyam ॥</w:t>
      </w:r>
    </w:p>
    <w:p>
      <w:pPr>
        <w:pStyle w:val="BlockText"/>
      </w:pPr>
      <w:r>
        <w:t xml:space="preserve">हे इन्द्र बृहच्छ्रवो महतीं कीर्तिमस्मे धेहि । अस्मभ्यं प्रयच्छ । तथा सहस्रसातममतिशयेन सहस्रसंख्यादानोपेतं द्युम्नं धनमस्मे धेहि । तथा ता व्रीहियवादिरूपेण प्रसिद्धा रथिनीर्बहुरथोपेता इषो ऽन्नान्यस्मे धेहि ॥ अस्मे । सुपां सुलुगित्यादिना शे आदेशः । धेहि । घ्वसोरेद्धावभ्यासलोपश्च । पा. ६-४-११९ । इत्येत्वाभ्यासलोपौ । श्रूयत इति श्रवः । असुनो नित्त्वादाद्युदात्तत्वम् । सहस्रं सुनुते ददातीति सहस्रसाः । षणु दाने । जनसनखनक्रमगमो विट् । पा. ३-२-६७ । विड्वनोरनुनासिकस्यात् । पा. ६-४-४१ । इत्याकारादेशः । धातुस्वरेणान्तोदात्तः । पुनः कृदुत्तरपदप्रकृतिस्वरेण स एव शिष्यते । रथा आसां सन्तीति रथिन्य इति प्रत्ययस्याद्युदात्तत्वम् । ऋन्नेभ्यो ङीप् । पा. ४-१-५ । स च पित्त्वादनुदात्तः । इषो योगिकत्वे धातुस्वरः । रूढत्वे प्रातिपदिकस्वरः ॥</w:t>
      </w:r>
    </w:p>
    <w:p>
      <w:pPr>
        <w:pStyle w:val="BlockText"/>
      </w:pPr>
      <w:r>
        <w:rPr>
          <w:iCs/>
          <w:i/>
        </w:rPr>
        <w:t xml:space="preserve">he indra bṛhacchravo mahatīṃ kīrtimasme dhehi | asmabhyaṃ prayaccha | tathā sahasrasātamamatiśayena sahasrasaṃkhyādānopetaṃ dyumnaṃ dhanamasme dhehi | tathā tā vrīhiyavādirūpeṇa prasiddhā rathinīrbahurathopetā iṣo ’nnānyasme dhehi || asme | supāṃ sulugityādinā śe ādeśaḥ | dhehi | ghvasoreddhāvabhyāsalopaśca | pā. 6-4-119 | ityetvābhyāsalopau | śrūyata iti śravaḥ | asuno nittvādādyudāttatvam | sahasraṃ sunute dadātīti sahasrasāḥ | ṣaṇu dāne | janasanakhanakramagamo viṭ | pā. 3-2-67 | viḍvanoranunāsikasyāt | pā. 6-4-41 | ityākārādeśaḥ | dhātusvareṇāntodāttaḥ | punaḥ kṛduttarapadaprakṛtisvareṇa sa eva śiṣyate | rathā āsāṃ santīti rathinya iti pratyayasyādyudāttatvam | ṛnnebhyo ṅīp | pā. 4-1-5 | sa ca pittvādanudāttaḥ | iṣo yogikatve dhātusvaraḥ | rūḍhatve prātipadikasvaraḥ ||</w:t>
      </w:r>
    </w:p>
    <w:p>
      <w:pPr>
        <w:pStyle w:val="FirstParagraph"/>
      </w:pPr>
      <w:r>
        <w:rPr>
          <w:bCs/>
          <w:b/>
        </w:rPr>
        <w:t xml:space="preserve">Translation:</w:t>
      </w:r>
      <w:r>
        <w:t xml:space="preserve"> </w:t>
      </w:r>
      <w:r>
        <w:t xml:space="preserve">“</w:t>
      </w:r>
      <w:r>
        <w:t xml:space="preserve">O Indra,</w:t>
      </w:r>
      <w:r>
        <w:t xml:space="preserve"> </w:t>
      </w:r>
      <w:r>
        <w:rPr>
          <w:iCs/>
          <w:i/>
        </w:rPr>
        <w:t xml:space="preserve">bṛhac-chravaḥ</w:t>
      </w:r>
      <w:r>
        <w:t xml:space="preserve"> </w:t>
      </w:r>
      <w:r>
        <w:t xml:space="preserve">— O you of great renown: give us (</w:t>
      </w:r>
      <w:r>
        <w:rPr>
          <w:iCs/>
          <w:i/>
        </w:rPr>
        <w:t xml:space="preserve">asme dhehi</w:t>
      </w:r>
      <w:r>
        <w:t xml:space="preserve">) great fame. And likewise bestow on us</w:t>
      </w:r>
      <w:r>
        <w:t xml:space="preserve"> </w:t>
      </w:r>
      <w:r>
        <w:rPr>
          <w:iCs/>
          <w:i/>
        </w:rPr>
        <w:t xml:space="preserve">sahasra-sātamam</w:t>
      </w:r>
      <w:r>
        <w:t xml:space="preserve"> </w:t>
      </w:r>
      <w:r>
        <w:t xml:space="preserve">— in extreme degree accompanied by gifts reckoned in thousands —</w:t>
      </w:r>
      <w:r>
        <w:t xml:space="preserve"> </w:t>
      </w:r>
      <w:r>
        <w:rPr>
          <w:iCs/>
          <w:i/>
        </w:rPr>
        <w:t xml:space="preserve">dyumnam</w:t>
      </w:r>
      <w:r>
        <w:t xml:space="preserve">, wealth. And likewise</w:t>
      </w:r>
      <w:r>
        <w:t xml:space="preserve"> </w:t>
      </w:r>
      <w:r>
        <w:rPr>
          <w:iCs/>
          <w:i/>
        </w:rPr>
        <w:t xml:space="preserve">tāḥ</w:t>
      </w:r>
      <w:r>
        <w:t xml:space="preserve"> </w:t>
      </w:r>
      <w:r>
        <w:t xml:space="preserve">— those famous in the forms of rice, barley and the like —</w:t>
      </w:r>
      <w:r>
        <w:t xml:space="preserve"> </w:t>
      </w:r>
      <w:r>
        <w:rPr>
          <w:iCs/>
          <w:i/>
        </w:rPr>
        <w:t xml:space="preserve">rathinīḥ</w:t>
      </w:r>
      <w:r>
        <w:t xml:space="preserve">, furnished with many chariots —</w:t>
      </w:r>
      <w:r>
        <w:t xml:space="preserve"> </w:t>
      </w:r>
      <w:r>
        <w:rPr>
          <w:iCs/>
          <w:i/>
        </w:rPr>
        <w:t xml:space="preserve">iṣaḥ</w:t>
      </w:r>
      <w:r>
        <w:t xml:space="preserve">: foods; bestow them on us.</w:t>
      </w:r>
      <w:r>
        <w:t xml:space="preserve">”</w:t>
      </w:r>
      <w:r>
        <w:t xml:space="preserve"> </w:t>
      </w:r>
      <w:r>
        <w:rPr>
          <w:iCs/>
          <w:i/>
        </w:rPr>
        <w:t xml:space="preserve">(Grammar noted briefly:</w:t>
      </w:r>
      <w:r>
        <w:t xml:space="preserve"> </w:t>
      </w:r>
      <w:r>
        <w:t xml:space="preserve">asme</w:t>
      </w:r>
      <w:r>
        <w:t xml:space="preserve"> </w:t>
      </w:r>
      <w:r>
        <w:rPr>
          <w:iCs/>
          <w:i/>
        </w:rPr>
        <w:t xml:space="preserve">as in Rik 7;</w:t>
      </w:r>
      <w:r>
        <w:t xml:space="preserve"> </w:t>
      </w:r>
      <w:r>
        <w:t xml:space="preserve">dhehi —</w:t>
      </w:r>
      <w:r>
        <w:t xml:space="preserve"> </w:t>
      </w:r>
      <w:r>
        <w:rPr>
          <w:iCs/>
          <w:i/>
        </w:rPr>
        <w:t xml:space="preserve">the root</w:t>
      </w:r>
      <w:r>
        <w:t xml:space="preserve"> </w:t>
      </w:r>
      <w:r>
        <w:t xml:space="preserve">dhā</w:t>
      </w:r>
      <w:r>
        <w:t xml:space="preserve"> </w:t>
      </w:r>
      <w:r>
        <w:rPr>
          <w:iCs/>
          <w:i/>
        </w:rPr>
        <w:t xml:space="preserve">with</w:t>
      </w:r>
      <w:r>
        <w:t xml:space="preserve"> </w:t>
      </w:r>
      <w:r>
        <w:t xml:space="preserve">hi</w:t>
      </w:r>
      <w:r>
        <w:rPr>
          <w:iCs/>
          <w:i/>
        </w:rPr>
        <w:t xml:space="preserve">, with the substitution of</w:t>
      </w:r>
      <w:r>
        <w:t xml:space="preserve"> </w:t>
      </w:r>
      <w:r>
        <w:t xml:space="preserve">e</w:t>
      </w:r>
      <w:r>
        <w:t xml:space="preserve"> </w:t>
      </w:r>
      <w:r>
        <w:rPr>
          <w:iCs/>
          <w:i/>
        </w:rPr>
        <w:t xml:space="preserve">for</w:t>
      </w:r>
      <w:r>
        <w:t xml:space="preserve"> </w:t>
      </w:r>
      <w:r>
        <w:t xml:space="preserve">ā</w:t>
      </w:r>
      <w:r>
        <w:t xml:space="preserve"> </w:t>
      </w:r>
      <w:r>
        <w:rPr>
          <w:iCs/>
          <w:i/>
        </w:rPr>
        <w:t xml:space="preserve">and loss of the reduplicate (Pā. 6-4-119);</w:t>
      </w:r>
      <w:r>
        <w:t xml:space="preserve"> </w:t>
      </w:r>
      <w:r>
        <w:t xml:space="preserve">śravaḥ</w:t>
      </w:r>
      <w:r>
        <w:t xml:space="preserve"> </w:t>
      </w:r>
      <w:r>
        <w:rPr>
          <w:iCs/>
          <w:i/>
        </w:rPr>
        <w:t xml:space="preserve">with</w:t>
      </w:r>
      <w:r>
        <w:t xml:space="preserve"> </w:t>
      </w:r>
      <w:r>
        <w:t xml:space="preserve">asun</w:t>
      </w:r>
      <w:r>
        <w:rPr>
          <w:iCs/>
          <w:i/>
        </w:rPr>
        <w:t xml:space="preserve">;</w:t>
      </w:r>
      <w:r>
        <w:t xml:space="preserve"> </w:t>
      </w:r>
      <w:r>
        <w:t xml:space="preserve">sahasrasā</w:t>
      </w:r>
      <w:r>
        <w:t xml:space="preserve"> </w:t>
      </w:r>
      <w:r>
        <w:rPr>
          <w:iCs/>
          <w:i/>
        </w:rPr>
        <w:t xml:space="preserve">—</w:t>
      </w:r>
      <w:r>
        <w:rPr>
          <w:iCs/>
          <w:i/>
        </w:rPr>
        <w:t xml:space="preserve"> </w:t>
      </w:r>
      <w:r>
        <w:rPr>
          <w:iCs/>
          <w:i/>
        </w:rPr>
        <w:t xml:space="preserve">‘</w:t>
      </w:r>
      <w:r>
        <w:rPr>
          <w:iCs/>
          <w:i/>
        </w:rPr>
        <w:t xml:space="preserve">one who gives a thousand</w:t>
      </w:r>
      <w:r>
        <w:rPr>
          <w:iCs/>
          <w:i/>
        </w:rPr>
        <w:t xml:space="preserve">’</w:t>
      </w:r>
      <w:r>
        <w:rPr>
          <w:iCs/>
          <w:i/>
        </w:rPr>
        <w:t xml:space="preserve">: root</w:t>
      </w:r>
      <w:r>
        <w:t xml:space="preserve"> </w:t>
      </w:r>
      <w:r>
        <w:t xml:space="preserve">ṣaṇu dāne</w:t>
      </w:r>
      <w:r>
        <w:t xml:space="preserve"> </w:t>
      </w:r>
      <w:r>
        <w:rPr>
          <w:iCs/>
          <w:i/>
        </w:rPr>
        <w:t xml:space="preserve">with</w:t>
      </w:r>
      <w:r>
        <w:t xml:space="preserve"> </w:t>
      </w:r>
      <w:r>
        <w:t xml:space="preserve">viṭ</w:t>
      </w:r>
      <w:r>
        <w:t xml:space="preserve"> </w:t>
      </w:r>
      <w:r>
        <w:rPr>
          <w:iCs/>
          <w:i/>
        </w:rPr>
        <w:t xml:space="preserve">(Pā. 3-2-67),</w:t>
      </w:r>
      <w:r>
        <w:t xml:space="preserve"> </w:t>
      </w:r>
      <w:r>
        <w:t xml:space="preserve">ā</w:t>
      </w:r>
      <w:r>
        <w:t xml:space="preserve"> </w:t>
      </w:r>
      <w:r>
        <w:rPr>
          <w:iCs/>
          <w:i/>
        </w:rPr>
        <w:t xml:space="preserve">for the nasal (Pā. 6-4-41), final-udātta by the root, then the second-member rule;</w:t>
      </w:r>
      <w:r>
        <w:t xml:space="preserve"> </w:t>
      </w:r>
      <w:r>
        <w:t xml:space="preserve">rathinyaḥ</w:t>
      </w:r>
      <w:r>
        <w:t xml:space="preserve"> </w:t>
      </w:r>
      <w:r>
        <w:rPr>
          <w:iCs/>
          <w:i/>
        </w:rPr>
        <w:t xml:space="preserve">—</w:t>
      </w:r>
      <w:r>
        <w:rPr>
          <w:iCs/>
          <w:i/>
        </w:rPr>
        <w:t xml:space="preserve"> </w:t>
      </w:r>
      <w:r>
        <w:rPr>
          <w:iCs/>
          <w:i/>
        </w:rPr>
        <w:t xml:space="preserve">‘</w:t>
      </w:r>
      <w:r>
        <w:rPr>
          <w:iCs/>
          <w:i/>
        </w:rPr>
        <w:t xml:space="preserve">those who have chariots,</w:t>
      </w:r>
      <w:r>
        <w:rPr>
          <w:iCs/>
          <w:i/>
        </w:rPr>
        <w:t xml:space="preserve">’</w:t>
      </w:r>
      <w:r>
        <w:rPr>
          <w:iCs/>
          <w:i/>
        </w:rPr>
        <w:t xml:space="preserve"> </w:t>
      </w:r>
      <w:r>
        <w:rPr>
          <w:iCs/>
          <w:i/>
        </w:rPr>
        <w:t xml:space="preserve">feminine in</w:t>
      </w:r>
      <w:r>
        <w:t xml:space="preserve"> </w:t>
      </w:r>
      <w:r>
        <w:t xml:space="preserve">ṅīp</w:t>
      </w:r>
      <w:r>
        <w:t xml:space="preserve"> </w:t>
      </w:r>
      <w:r>
        <w:rPr>
          <w:iCs/>
          <w:i/>
        </w:rPr>
        <w:t xml:space="preserve">(Pā. 4-1-5), unaccented because</w:t>
      </w:r>
      <w:r>
        <w:t xml:space="preserve"> </w:t>
      </w:r>
      <w:r>
        <w:t xml:space="preserve">pit</w:t>
      </w:r>
      <w:r>
        <w:rPr>
          <w:iCs/>
          <w:i/>
        </w:rPr>
        <w:t xml:space="preserve">;</w:t>
      </w:r>
      <w:r>
        <w:t xml:space="preserve"> </w:t>
      </w:r>
      <w:r>
        <w:t xml:space="preserve">iṣaḥ</w:t>
      </w:r>
      <w:r>
        <w:t xml:space="preserve"> </w:t>
      </w:r>
      <w:r>
        <w:rPr>
          <w:iCs/>
          <w:i/>
        </w:rPr>
        <w:t xml:space="preserve">takes the root accent if taken in its component sense and the stem accent if taken as a settled word.)</w:t>
      </w:r>
    </w:p>
    <w:p>
      <w:pPr>
        <w:pStyle w:val="BodyText"/>
      </w:pPr>
      <w:r>
        <w:rPr>
          <w:bCs/>
          <w:b/>
        </w:rPr>
        <w:t xml:space="preserve">॥ Prati-padārthaḥ ॥</w:t>
      </w:r>
    </w:p>
    <w:p>
      <w:pPr>
        <w:pStyle w:val="BodyText"/>
      </w:pPr>
      <w:r>
        <w:rPr>
          <w:bCs/>
          <w:b/>
        </w:rPr>
        <w:t xml:space="preserve">(हे) इन्द्र ((he) indra)</w:t>
      </w:r>
      <w:r>
        <w:t xml:space="preserve"> </w:t>
      </w:r>
      <w:r>
        <w:t xml:space="preserve">— O Indra |</w:t>
      </w:r>
      <w:r>
        <w:t xml:space="preserve"> </w:t>
      </w:r>
      <w:r>
        <w:rPr>
          <w:bCs/>
          <w:b/>
        </w:rPr>
        <w:t xml:space="preserve">अस्मे (asme)</w:t>
      </w:r>
      <w:r>
        <w:t xml:space="preserve"> </w:t>
      </w:r>
      <w:r>
        <w:t xml:space="preserve">— to us |</w:t>
      </w:r>
      <w:r>
        <w:t xml:space="preserve"> </w:t>
      </w:r>
      <w:r>
        <w:rPr>
          <w:bCs/>
          <w:b/>
        </w:rPr>
        <w:t xml:space="preserve">बृहत् (bṛhat)</w:t>
      </w:r>
      <w:r>
        <w:t xml:space="preserve"> </w:t>
      </w:r>
      <w:r>
        <w:t xml:space="preserve">— great, excellent |</w:t>
      </w:r>
      <w:r>
        <w:t xml:space="preserve"> </w:t>
      </w:r>
      <w:r>
        <w:rPr>
          <w:bCs/>
          <w:b/>
        </w:rPr>
        <w:t xml:space="preserve">श्रवः (śravaḥ)</w:t>
      </w:r>
      <w:r>
        <w:t xml:space="preserve"> </w:t>
      </w:r>
      <w:r>
        <w:t xml:space="preserve">— fame |</w:t>
      </w:r>
      <w:r>
        <w:t xml:space="preserve"> </w:t>
      </w:r>
      <w:r>
        <w:rPr>
          <w:bCs/>
          <w:b/>
        </w:rPr>
        <w:t xml:space="preserve">सहस्रसातमम् (sahasrasātamam)</w:t>
      </w:r>
      <w:r>
        <w:t xml:space="preserve"> </w:t>
      </w:r>
      <w:r>
        <w:t xml:space="preserve">— greatly helpful for giving thousands of different things |</w:t>
      </w:r>
      <w:r>
        <w:t xml:space="preserve"> </w:t>
      </w:r>
      <w:r>
        <w:rPr>
          <w:bCs/>
          <w:b/>
        </w:rPr>
        <w:t xml:space="preserve">द्युम्नम् (dyumnam)</w:t>
      </w:r>
      <w:r>
        <w:t xml:space="preserve"> </w:t>
      </w:r>
      <w:r>
        <w:t xml:space="preserve">— wealth |</w:t>
      </w:r>
      <w:r>
        <w:t xml:space="preserve"> </w:t>
      </w:r>
      <w:r>
        <w:rPr>
          <w:bCs/>
          <w:b/>
        </w:rPr>
        <w:t xml:space="preserve">रथिनीः (rathinīḥ)</w:t>
      </w:r>
      <w:r>
        <w:t xml:space="preserve"> </w:t>
      </w:r>
      <w:r>
        <w:t xml:space="preserve">— brought in chariots or carts |</w:t>
      </w:r>
      <w:r>
        <w:t xml:space="preserve"> </w:t>
      </w:r>
      <w:r>
        <w:rPr>
          <w:bCs/>
          <w:b/>
        </w:rPr>
        <w:t xml:space="preserve">ताः (tāḥ)</w:t>
      </w:r>
      <w:r>
        <w:t xml:space="preserve"> </w:t>
      </w:r>
      <w:r>
        <w:t xml:space="preserve">— those in the form of grains such as rice and barley |</w:t>
      </w:r>
      <w:r>
        <w:t xml:space="preserve"> </w:t>
      </w:r>
      <w:r>
        <w:rPr>
          <w:bCs/>
          <w:b/>
        </w:rPr>
        <w:t xml:space="preserve">इषः (iṣaḥ)</w:t>
      </w:r>
      <w:r>
        <w:t xml:space="preserve"> </w:t>
      </w:r>
      <w:r>
        <w:t xml:space="preserve">— foods |</w:t>
      </w:r>
      <w:r>
        <w:t xml:space="preserve"> </w:t>
      </w:r>
      <w:r>
        <w:rPr>
          <w:bCs/>
          <w:b/>
        </w:rPr>
        <w:t xml:space="preserve">धेहि (dhehi)</w:t>
      </w:r>
      <w:r>
        <w:t xml:space="preserve"> </w:t>
      </w:r>
      <w:r>
        <w:t xml:space="preserve">— give.</w:t>
      </w:r>
    </w:p>
    <w:bookmarkEnd w:id="396"/>
    <w:bookmarkStart w:id="397" w:name="X741b7afc6a910382b0d269903a48575eece57a0"/>
    <w:p>
      <w:pPr>
        <w:pStyle w:val="Heading3"/>
      </w:pPr>
      <w:r>
        <w:t xml:space="preserve">Page 370 — Rik 8: overall sense, English, Special Topics</w:t>
      </w:r>
    </w:p>
    <w:p>
      <w:pPr>
        <w:pStyle w:val="FirstParagraph"/>
      </w:pPr>
      <w:r>
        <w:rPr>
          <w:bCs/>
          <w:b/>
        </w:rPr>
        <w:t xml:space="preserve">॥ Bhāvārthaḥ ॥</w:t>
      </w:r>
    </w:p>
    <w:p>
      <w:pPr>
        <w:pStyle w:val="BodyText"/>
      </w:pPr>
      <w:r>
        <w:t xml:space="preserve">O Indra! Give us exceedingly great fame and thousand-fold wealth, and grain and other food in cartloads (chariot-loads).</w:t>
      </w:r>
    </w:p>
    <w:p>
      <w:pPr>
        <w:pStyle w:val="BodyText"/>
      </w:pPr>
      <w:r>
        <w:rPr>
          <w:bCs/>
          <w:b/>
        </w:rPr>
        <w:t xml:space="preserve">॥ English Translation ॥</w:t>
      </w:r>
      <w:r>
        <w:t xml:space="preserve"> </w:t>
      </w:r>
      <w:r>
        <w:rPr>
          <w:iCs/>
          <w:i/>
        </w:rPr>
        <w:t xml:space="preserve">(as printed in the source)</w:t>
      </w:r>
    </w:p>
    <w:p>
      <w:pPr>
        <w:pStyle w:val="BlockText"/>
      </w:pPr>
      <w:r>
        <w:t xml:space="preserve">O Indra, grant us great fame, and wealth acquired in a thousand ways and those (articles) of food (which are brought from the field) in carts.</w:t>
      </w:r>
    </w:p>
    <w:p>
      <w:pPr>
        <w:pStyle w:val="FirstParagraph"/>
      </w:pPr>
      <w:r>
        <w:rPr>
          <w:bCs/>
          <w:b/>
        </w:rPr>
        <w:t xml:space="preserve">॥ Viśeṣa-viṣayagaḷu (Special Topics) ॥</w:t>
      </w:r>
    </w:p>
    <w:p>
      <w:pPr>
        <w:pStyle w:val="BodyText"/>
      </w:pPr>
      <w:r>
        <w:t xml:space="preserve">The sense of this rik is easy to grasp; there are no special difficulties.</w:t>
      </w:r>
    </w:p>
    <w:p>
      <w:pPr>
        <w:pStyle w:val="BodyText"/>
      </w:pPr>
      <w:r>
        <w:rPr>
          <w:bCs/>
          <w:b/>
        </w:rPr>
        <w:t xml:space="preserve">“</w:t>
      </w:r>
      <w:r>
        <w:rPr>
          <w:bCs/>
          <w:b/>
        </w:rPr>
        <w:t xml:space="preserve">Śravaḥ</w:t>
      </w:r>
      <w:r>
        <w:rPr>
          <w:bCs/>
          <w:b/>
        </w:rPr>
        <w:t xml:space="preserve">”</w:t>
      </w:r>
      <w:r>
        <w:t xml:space="preserve"> </w:t>
      </w:r>
      <w:r>
        <w:t xml:space="preserve">— for this word Yāska, in his Nirukta, gives two or three different senses. Since the word</w:t>
      </w:r>
      <w:r>
        <w:t xml:space="preserve"> </w:t>
      </w:r>
      <w:r>
        <w:rPr>
          <w:iCs/>
          <w:i/>
        </w:rPr>
        <w:t xml:space="preserve">śravaḥ</w:t>
      </w:r>
      <w:r>
        <w:t xml:space="preserve"> </w:t>
      </w:r>
      <w:r>
        <w:t xml:space="preserve">is read among the twenty-eight words for wealth beginning with</w:t>
      </w:r>
      <w:r>
        <w:t xml:space="preserve"> </w:t>
      </w:r>
      <w:r>
        <w:rPr>
          <w:iCs/>
          <w:i/>
        </w:rPr>
        <w:t xml:space="preserve">magham</w:t>
      </w:r>
      <w:r>
        <w:t xml:space="preserve"> </w:t>
      </w:r>
      <w:r>
        <w:t xml:space="preserve">and</w:t>
      </w:r>
      <w:r>
        <w:t xml:space="preserve"> </w:t>
      </w:r>
      <w:r>
        <w:rPr>
          <w:iCs/>
          <w:i/>
        </w:rPr>
        <w:t xml:space="preserve">reknaḥ</w:t>
      </w:r>
      <w:r>
        <w:t xml:space="preserve"> </w:t>
      </w:r>
      <w:r>
        <w:t xml:space="preserve">(Nirukta 3-9), the sense</w:t>
      </w:r>
      <w:r>
        <w:t xml:space="preserve"> </w:t>
      </w:r>
      <w:r>
        <w:t xml:space="preserve">“</w:t>
      </w:r>
      <w:r>
        <w:t xml:space="preserve">wealth</w:t>
      </w:r>
      <w:r>
        <w:t xml:space="preserve">”</w:t>
      </w:r>
      <w:r>
        <w:t xml:space="preserve"> </w:t>
      </w:r>
      <w:r>
        <w:t xml:space="preserve">is also possible. In explaining the rik</w:t>
      </w:r>
      <w:r>
        <w:t xml:space="preserve"> </w:t>
      </w:r>
      <w:r>
        <w:rPr>
          <w:iCs/>
          <w:i/>
        </w:rPr>
        <w:t xml:space="preserve">uta svainaṃ</w:t>
      </w:r>
      <w:r>
        <w:t xml:space="preserve"> </w:t>
      </w:r>
      <w:r>
        <w:t xml:space="preserve">(Ṛgveda Saṃhitā 4-38-5) he says:</w:t>
      </w:r>
      <w:r>
        <w:t xml:space="preserve"> </w:t>
      </w:r>
      <w:r>
        <w:t xml:space="preserve">“</w:t>
      </w:r>
      <w:r>
        <w:rPr>
          <w:iCs/>
          <w:i/>
        </w:rPr>
        <w:t xml:space="preserve">śravaś cāpi paśum ucche yūthaṃ praśaṃsāṃ ca yūthaṃ dhanaṃ ca yūthaṃ ceti vā</w:t>
      </w:r>
      <w:r>
        <w:t xml:space="preserve">”</w:t>
      </w:r>
      <w:r>
        <w:t xml:space="preserve"> </w:t>
      </w:r>
      <w:r>
        <w:t xml:space="preserve">(as printed) — that is,</w:t>
      </w:r>
      <w:r>
        <w:t xml:space="preserve"> </w:t>
      </w:r>
      <w:r>
        <w:rPr>
          <w:iCs/>
          <w:i/>
        </w:rPr>
        <w:t xml:space="preserve">śravaḥ</w:t>
      </w:r>
      <w:r>
        <w:t xml:space="preserve"> </w:t>
      </w:r>
      <w:r>
        <w:t xml:space="preserve">is</w:t>
      </w:r>
      <w:r>
        <w:t xml:space="preserve"> </w:t>
      </w:r>
      <w:r>
        <w:t xml:space="preserve">“</w:t>
      </w:r>
      <w:r>
        <w:t xml:space="preserve">praise (fame)</w:t>
      </w:r>
      <w:r>
        <w:t xml:space="preserve">”</w:t>
      </w:r>
      <w:r>
        <w:t xml:space="preserve"> </w:t>
      </w:r>
      <w:r>
        <w:t xml:space="preserve">or</w:t>
      </w:r>
      <w:r>
        <w:t xml:space="preserve"> </w:t>
      </w:r>
      <w:r>
        <w:t xml:space="preserve">“</w:t>
      </w:r>
      <w:r>
        <w:t xml:space="preserve">wealth</w:t>
      </w:r>
      <w:r>
        <w:t xml:space="preserve">”</w:t>
      </w:r>
      <w:r>
        <w:t xml:space="preserve"> </w:t>
      </w:r>
      <w:r>
        <w:t xml:space="preserve">(Nirukta 4-24); and in the rik</w:t>
      </w:r>
      <w:r>
        <w:t xml:space="preserve"> </w:t>
      </w:r>
      <w:r>
        <w:rPr>
          <w:iCs/>
          <w:i/>
        </w:rPr>
        <w:t xml:space="preserve">amandān stomān</w:t>
      </w:r>
      <w:r>
        <w:t xml:space="preserve"> </w:t>
      </w:r>
      <w:r>
        <w:t xml:space="preserve">(Ṛgveda Saṃhitā 1-126-1; the first digit of the middle number is damaged in the print) he explains the word</w:t>
      </w:r>
      <w:r>
        <w:t xml:space="preserve"> </w:t>
      </w:r>
      <w:r>
        <w:rPr>
          <w:iCs/>
          <w:i/>
        </w:rPr>
        <w:t xml:space="preserve">śrava icchamānāḥ</w:t>
      </w:r>
      <w:r>
        <w:t xml:space="preserve"> </w:t>
      </w:r>
      <w:r>
        <w:t xml:space="preserve">as</w:t>
      </w:r>
      <w:r>
        <w:t xml:space="preserve"> </w:t>
      </w:r>
      <w:r>
        <w:t xml:space="preserve">“</w:t>
      </w:r>
      <w:r>
        <w:t xml:space="preserve">wishing for praise</w:t>
      </w:r>
      <w:r>
        <w:t xml:space="preserve">”</w:t>
      </w:r>
      <w:r>
        <w:t xml:space="preserve"> </w:t>
      </w:r>
      <w:r>
        <w:t xml:space="preserve">(Nirukta 9-11). In the explanation of the rik</w:t>
      </w:r>
      <w:r>
        <w:t xml:space="preserve"> </w:t>
      </w:r>
      <w:r>
        <w:rPr>
          <w:iCs/>
          <w:i/>
        </w:rPr>
        <w:t xml:space="preserve">pra vo mahe mandamānāya</w:t>
      </w:r>
      <w:r>
        <w:t xml:space="preserve"> </w:t>
      </w:r>
      <w:r>
        <w:t xml:space="preserve">(Ṛgveda Saṃhitā 10-50-1) he explains</w:t>
      </w:r>
      <w:r>
        <w:t xml:space="preserve"> </w:t>
      </w:r>
      <w:r>
        <w:rPr>
          <w:iCs/>
          <w:i/>
        </w:rPr>
        <w:t xml:space="preserve">śravaḥ</w:t>
      </w:r>
      <w:r>
        <w:t xml:space="preserve"> </w:t>
      </w:r>
      <w:r>
        <w:t xml:space="preserve">as</w:t>
      </w:r>
      <w:r>
        <w:t xml:space="preserve"> </w:t>
      </w:r>
      <w:r>
        <w:rPr>
          <w:iCs/>
          <w:i/>
        </w:rPr>
        <w:t xml:space="preserve">mahac chravaṇīyaṃ yaśaḥ</w:t>
      </w:r>
      <w:r>
        <w:t xml:space="preserve"> </w:t>
      </w:r>
      <w:r>
        <w:t xml:space="preserve">—</w:t>
      </w:r>
      <w:r>
        <w:t xml:space="preserve"> </w:t>
      </w:r>
      <w:r>
        <w:t xml:space="preserve">“</w:t>
      </w:r>
      <w:r>
        <w:t xml:space="preserve">great, worthy-of-hearing glory</w:t>
      </w:r>
      <w:r>
        <w:t xml:space="preserve">”</w:t>
      </w:r>
      <w:r>
        <w:t xml:space="preserve"> </w:t>
      </w:r>
      <w:r>
        <w:t xml:space="preserve">(Nirukta 11-10). Since in this rik, besides this, the word</w:t>
      </w:r>
      <w:r>
        <w:t xml:space="preserve"> </w:t>
      </w:r>
      <w:r>
        <w:rPr>
          <w:iCs/>
          <w:i/>
        </w:rPr>
        <w:t xml:space="preserve">dyumnam</w:t>
      </w:r>
      <w:r>
        <w:t xml:space="preserve"> </w:t>
      </w:r>
      <w:r>
        <w:t xml:space="preserve">(</w:t>
      </w:r>
      <w:r>
        <w:t xml:space="preserve">“</w:t>
      </w:r>
      <w:r>
        <w:t xml:space="preserve">wealth</w:t>
      </w:r>
      <w:r>
        <w:t xml:space="preserve">”</w:t>
      </w:r>
      <w:r>
        <w:t xml:space="preserve">) also occurs — a word for wealth — to render</w:t>
      </w:r>
      <w:r>
        <w:t xml:space="preserve"> </w:t>
      </w:r>
      <w:r>
        <w:rPr>
          <w:iCs/>
          <w:i/>
        </w:rPr>
        <w:t xml:space="preserve">śravaḥ</w:t>
      </w:r>
      <w:r>
        <w:t xml:space="preserve"> </w:t>
      </w:r>
      <w:r>
        <w:t xml:space="preserve">as</w:t>
      </w:r>
      <w:r>
        <w:t xml:space="preserve"> </w:t>
      </w:r>
      <w:r>
        <w:t xml:space="preserve">“</w:t>
      </w:r>
      <w:r>
        <w:t xml:space="preserve">wealth</w:t>
      </w:r>
      <w:r>
        <w:t xml:space="preserve">”</w:t>
      </w:r>
      <w:r>
        <w:t xml:space="preserve"> </w:t>
      </w:r>
      <w:r>
        <w:t xml:space="preserve">would produce the fault of repetition; so to give it the sense of</w:t>
      </w:r>
      <w:r>
        <w:t xml:space="preserve"> </w:t>
      </w:r>
      <w:r>
        <w:t xml:space="preserve">“</w:t>
      </w:r>
      <w:r>
        <w:t xml:space="preserve">fame</w:t>
      </w:r>
      <w:r>
        <w:t xml:space="preserve">”</w:t>
      </w:r>
      <w:r>
        <w:t xml:space="preserve"> </w:t>
      </w:r>
      <w:r>
        <w:t xml:space="preserve">is quite fitting.</w:t>
      </w:r>
    </w:p>
    <w:p>
      <w:pPr>
        <w:pStyle w:val="BodyText"/>
      </w:pPr>
      <w:r>
        <w:rPr>
          <w:bCs/>
          <w:b/>
        </w:rPr>
        <w:t xml:space="preserve">“</w:t>
      </w:r>
      <w:r>
        <w:rPr>
          <w:bCs/>
          <w:b/>
        </w:rPr>
        <w:t xml:space="preserve">Sahasrasātamam</w:t>
      </w:r>
      <w:r>
        <w:rPr>
          <w:bCs/>
          <w:b/>
        </w:rPr>
        <w:t xml:space="preserve">”</w:t>
      </w:r>
      <w:r>
        <w:t xml:space="preserve"> </w:t>
      </w:r>
      <w:r>
        <w:t xml:space="preserve">—</w:t>
      </w:r>
      <w:r>
        <w:t xml:space="preserve"> </w:t>
      </w:r>
      <w:r>
        <w:rPr>
          <w:bCs/>
          <w:b/>
        </w:rPr>
        <w:t xml:space="preserve">सहस्रं सनुते ददातीति सहस्रसाः । षणु दाने</w:t>
      </w:r>
      <w:r>
        <w:t xml:space="preserve"> </w:t>
      </w:r>
      <w:r>
        <w:t xml:space="preserve">(</w:t>
      </w:r>
      <w:r>
        <w:rPr>
          <w:iCs/>
          <w:i/>
        </w:rPr>
        <w:t xml:space="preserve">sahasraṃ sanute dadātīti sahasrasāḥ | ṣaṇu dāne</w:t>
      </w:r>
      <w:r>
        <w:t xml:space="preserve">) —</w:t>
      </w:r>
      <w:r>
        <w:t xml:space="preserve"> </w:t>
      </w:r>
      <w:r>
        <w:t xml:space="preserve">“</w:t>
      </w:r>
      <w:r>
        <w:t xml:space="preserve">one who gives a thousand; the root</w:t>
      </w:r>
      <w:r>
        <w:t xml:space="preserve"> </w:t>
      </w:r>
      <w:r>
        <w:rPr>
          <w:iCs/>
          <w:i/>
        </w:rPr>
        <w:t xml:space="preserve">ṣaṇu</w:t>
      </w:r>
      <w:r>
        <w:t xml:space="preserve"> </w:t>
      </w:r>
      <w:r>
        <w:t xml:space="preserve">in the sense of giving.</w:t>
      </w:r>
      <w:r>
        <w:t xml:space="preserve">”</w:t>
      </w:r>
      <w:r>
        <w:t xml:space="preserve"> </w:t>
      </w:r>
      <w:r>
        <w:t xml:space="preserve">Therefore</w:t>
      </w:r>
      <w:r>
        <w:t xml:space="preserve"> </w:t>
      </w:r>
      <w:r>
        <w:rPr>
          <w:iCs/>
          <w:i/>
        </w:rPr>
        <w:t xml:space="preserve">sahasrasātamam</w:t>
      </w:r>
      <w:r>
        <w:t xml:space="preserve"> </w:t>
      </w:r>
      <w:r>
        <w:t xml:space="preserve">means</w:t>
      </w:r>
      <w:r>
        <w:t xml:space="preserve"> </w:t>
      </w:r>
      <w:r>
        <w:t xml:space="preserve">“</w:t>
      </w:r>
      <w:r>
        <w:t xml:space="preserve">that which gives thousands, that is, that gives in the greatest abundance.</w:t>
      </w:r>
      <w:r>
        <w:t xml:space="preserve">”</w:t>
      </w:r>
    </w:p>
    <w:p>
      <w:pPr>
        <w:pStyle w:val="BodyText"/>
      </w:pPr>
      <w:r>
        <w:rPr>
          <w:bCs/>
          <w:b/>
        </w:rPr>
        <w:t xml:space="preserve">“</w:t>
      </w:r>
      <w:r>
        <w:rPr>
          <w:bCs/>
          <w:b/>
        </w:rPr>
        <w:t xml:space="preserve">Tāḥ</w:t>
      </w:r>
      <w:r>
        <w:rPr>
          <w:bCs/>
          <w:b/>
        </w:rPr>
        <w:t xml:space="preserve">”</w:t>
      </w:r>
      <w:r>
        <w:t xml:space="preserve"> </w:t>
      </w:r>
      <w:r>
        <w:t xml:space="preserve">— a feminine accusative plural of</w:t>
      </w:r>
      <w:r>
        <w:t xml:space="preserve"> </w:t>
      </w:r>
      <w:r>
        <w:rPr>
          <w:iCs/>
          <w:i/>
        </w:rPr>
        <w:t xml:space="preserve">tad</w:t>
      </w:r>
      <w:r>
        <w:t xml:space="preserve">, and an adjective of the word</w:t>
      </w:r>
      <w:r>
        <w:t xml:space="preserve"> </w:t>
      </w:r>
      <w:r>
        <w:rPr>
          <w:iCs/>
          <w:i/>
        </w:rPr>
        <w:t xml:space="preserve">iṣaḥ</w:t>
      </w:r>
      <w:r>
        <w:t xml:space="preserve">. The necessity of this word is not evident in this rik; probably it is used for filling out the pāda.</w:t>
      </w:r>
    </w:p>
    <w:p>
      <w:pPr>
        <w:pStyle w:val="BodyText"/>
      </w:pPr>
      <w:r>
        <w:rPr>
          <w:bCs/>
          <w:b/>
        </w:rPr>
        <w:t xml:space="preserve">“</w:t>
      </w:r>
      <w:r>
        <w:rPr>
          <w:bCs/>
          <w:b/>
        </w:rPr>
        <w:t xml:space="preserve">Rathinīḥ</w:t>
      </w:r>
      <w:r>
        <w:rPr>
          <w:bCs/>
          <w:b/>
        </w:rPr>
        <w:t xml:space="preserve">”</w:t>
      </w:r>
      <w:r>
        <w:t xml:space="preserve"> </w:t>
      </w:r>
      <w:r>
        <w:t xml:space="preserve">—</w:t>
      </w:r>
      <w:r>
        <w:t xml:space="preserve"> </w:t>
      </w:r>
      <w:r>
        <w:rPr>
          <w:bCs/>
          <w:b/>
        </w:rPr>
        <w:t xml:space="preserve">रथा आसां सन्तीति रथिन्यः</w:t>
      </w:r>
      <w:r>
        <w:t xml:space="preserve"> </w:t>
      </w:r>
      <w:r>
        <w:t xml:space="preserve">(</w:t>
      </w:r>
      <w:r>
        <w:rPr>
          <w:iCs/>
          <w:i/>
        </w:rPr>
        <w:t xml:space="preserve">rathā āsāṃ santīti rathinyaḥ</w:t>
      </w:r>
      <w:r>
        <w:t xml:space="preserve">) —</w:t>
      </w:r>
      <w:r>
        <w:t xml:space="preserve"> </w:t>
      </w:r>
      <w:r>
        <w:t xml:space="preserve">“</w:t>
      </w:r>
      <w:r>
        <w:t xml:space="preserve">those that have chariots</w:t>
      </w:r>
      <w:r>
        <w:t xml:space="preserve">”</w:t>
      </w:r>
      <w:r>
        <w:t xml:space="preserve">: [loads] related to chariots — that is, filling the chariots or carts, in great abundance. The grain that a single man carries on his head is not very much; but in a cart, how much more — as many people can carry. Hence the grain that fills a cart is a very great amount of grain.</w:t>
      </w:r>
    </w:p>
    <w:bookmarkEnd w:id="397"/>
    <w:bookmarkStart w:id="398" w:name="page-371-rik-8-grammar"/>
    <w:p>
      <w:pPr>
        <w:pStyle w:val="Heading3"/>
      </w:pPr>
      <w:r>
        <w:t xml:space="preserve">Page 371 — Rik 8: grammar</w:t>
      </w:r>
    </w:p>
    <w:p>
      <w:pPr>
        <w:pStyle w:val="FirstParagraph"/>
      </w:pPr>
      <w:r>
        <w:rPr>
          <w:bCs/>
          <w:b/>
        </w:rPr>
        <w:t xml:space="preserve">“</w:t>
      </w:r>
      <w:r>
        <w:rPr>
          <w:bCs/>
          <w:b/>
        </w:rPr>
        <w:t xml:space="preserve">Iṣaḥ</w:t>
      </w:r>
      <w:r>
        <w:rPr>
          <w:bCs/>
          <w:b/>
        </w:rPr>
        <w:t xml:space="preserve">”</w:t>
      </w:r>
      <w:r>
        <w:t xml:space="preserve"> </w:t>
      </w:r>
      <w:r>
        <w:t xml:space="preserve">— although the word has the sense</w:t>
      </w:r>
      <w:r>
        <w:t xml:space="preserve"> </w:t>
      </w:r>
      <w:r>
        <w:t xml:space="preserve">“</w:t>
      </w:r>
      <w:r>
        <w:t xml:space="preserve">food,</w:t>
      </w:r>
      <w:r>
        <w:t xml:space="preserve">”</w:t>
      </w:r>
      <w:r>
        <w:t xml:space="preserve"> </w:t>
      </w:r>
      <w:r>
        <w:t xml:space="preserve">here it is used in a general sense,</w:t>
      </w:r>
      <w:r>
        <w:t xml:space="preserve"> </w:t>
      </w:r>
      <w:r>
        <w:t xml:space="preserve">“</w:t>
      </w:r>
      <w:r>
        <w:t xml:space="preserve">food or grain.</w:t>
      </w:r>
      <w:r>
        <w:t xml:space="preserve">”</w:t>
      </w:r>
      <w:r>
        <w:t xml:space="preserve"> </w:t>
      </w:r>
      <w:r>
        <w:t xml:space="preserve">The adjective</w:t>
      </w:r>
      <w:r>
        <w:t xml:space="preserve"> </w:t>
      </w:r>
      <w:r>
        <w:rPr>
          <w:iCs/>
          <w:i/>
        </w:rPr>
        <w:t xml:space="preserve">rathinīḥ</w:t>
      </w:r>
      <w:r>
        <w:t xml:space="preserve"> </w:t>
      </w:r>
      <w:r>
        <w:t xml:space="preserve">supports this sense.</w:t>
      </w:r>
    </w:p>
    <w:p>
      <w:pPr>
        <w:pStyle w:val="BodyText"/>
      </w:pPr>
      <w:r>
        <w:rPr>
          <w:bCs/>
          <w:b/>
        </w:rPr>
        <w:t xml:space="preserve">॥ Vyākaraṇa-prakriyā ॥</w:t>
      </w:r>
      <w:r>
        <w:t xml:space="preserve"> </w:t>
      </w:r>
      <w:r>
        <w:rPr>
          <w:iCs/>
          <w:i/>
        </w:rPr>
        <w:t xml:space="preserve">(grammar page, noted briefly)</w:t>
      </w:r>
    </w:p>
    <w:p>
      <w:pPr>
        <w:pStyle w:val="BodyText"/>
      </w:pPr>
      <w:r>
        <w:rPr>
          <w:bCs/>
          <w:b/>
        </w:rPr>
        <w:t xml:space="preserve">अस्मे (</w:t>
      </w:r>
      <w:r>
        <w:rPr>
          <w:iCs/>
          <w:i/>
          <w:bCs/>
          <w:b/>
        </w:rPr>
        <w:t xml:space="preserve">asme</w:t>
      </w:r>
      <w:r>
        <w:rPr>
          <w:bCs/>
          <w:b/>
        </w:rPr>
        <w:t xml:space="preserve">)</w:t>
      </w:r>
      <w:r>
        <w:t xml:space="preserve"> </w:t>
      </w:r>
      <w:r>
        <w:t xml:space="preserve">— the plural dative ending after</w:t>
      </w:r>
      <w:r>
        <w:t xml:space="preserve"> </w:t>
      </w:r>
      <w:r>
        <w:rPr>
          <w:iCs/>
          <w:i/>
        </w:rPr>
        <w:t xml:space="preserve">asmad</w:t>
      </w:r>
      <w:r>
        <w:t xml:space="preserve"> </w:t>
      </w:r>
      <w:r>
        <w:t xml:space="preserve">is replaced by</w:t>
      </w:r>
      <w:r>
        <w:t xml:space="preserve"> </w:t>
      </w:r>
      <w:r>
        <w:rPr>
          <w:iCs/>
          <w:i/>
        </w:rPr>
        <w:t xml:space="preserve">śe</w:t>
      </w:r>
      <w:r>
        <w:t xml:space="preserve"> </w:t>
      </w:r>
      <w:r>
        <w:t xml:space="preserve">by</w:t>
      </w:r>
      <w:r>
        <w:t xml:space="preserve"> </w:t>
      </w:r>
      <w:r>
        <w:t xml:space="preserve">“</w:t>
      </w:r>
      <w:r>
        <w:t xml:space="preserve">supāṃ suluk…</w:t>
      </w:r>
      <w:r>
        <w:t xml:space="preserve">”</w:t>
      </w:r>
      <w:r>
        <w:t xml:space="preserve"> </w:t>
      </w:r>
      <w:r>
        <w:t xml:space="preserve">(Pā. 7-1-39).</w:t>
      </w:r>
      <w:r>
        <w:t xml:space="preserve"> </w:t>
      </w:r>
      <w:r>
        <w:rPr>
          <w:bCs/>
          <w:b/>
        </w:rPr>
        <w:t xml:space="preserve">धेहि (</w:t>
      </w:r>
      <w:r>
        <w:rPr>
          <w:iCs/>
          <w:i/>
          <w:bCs/>
          <w:b/>
        </w:rPr>
        <w:t xml:space="preserve">dhehi</w:t>
      </w:r>
      <w:r>
        <w:rPr>
          <w:bCs/>
          <w:b/>
        </w:rPr>
        <w:t xml:space="preserve">)</w:t>
      </w:r>
      <w:r>
        <w:t xml:space="preserve"> </w:t>
      </w:r>
      <w:r>
        <w:t xml:space="preserve">— root</w:t>
      </w:r>
      <w:r>
        <w:t xml:space="preserve"> </w:t>
      </w:r>
      <w:r>
        <w:rPr>
          <w:iCs/>
          <w:i/>
        </w:rPr>
        <w:t xml:space="preserve">ḍudhāñ dhāraṇapoṣaṇayoḥ</w:t>
      </w:r>
      <w:r>
        <w:t xml:space="preserve"> </w:t>
      </w:r>
      <w:r>
        <w:t xml:space="preserve">(</w:t>
      </w:r>
      <w:r>
        <w:t xml:space="preserve">“</w:t>
      </w:r>
      <w:r>
        <w:t xml:space="preserve">to hold, to nourish</w:t>
      </w:r>
      <w:r>
        <w:t xml:space="preserve">”</w:t>
      </w:r>
      <w:r>
        <w:t xml:space="preserve">);</w:t>
      </w:r>
      <w:r>
        <w:t xml:space="preserve"> </w:t>
      </w:r>
      <w:r>
        <w:rPr>
          <w:iCs/>
          <w:i/>
        </w:rPr>
        <w:t xml:space="preserve">loṭ</w:t>
      </w:r>
      <w:r>
        <w:t xml:space="preserve"> </w:t>
      </w:r>
      <w:r>
        <w:t xml:space="preserve">parasmaipada second singular</w:t>
      </w:r>
      <w:r>
        <w:t xml:space="preserve"> </w:t>
      </w:r>
      <w:r>
        <w:rPr>
          <w:iCs/>
          <w:i/>
        </w:rPr>
        <w:t xml:space="preserve">sip</w:t>
      </w:r>
      <w:r>
        <w:t xml:space="preserve">;</w:t>
      </w:r>
      <w:r>
        <w:t xml:space="preserve"> </w:t>
      </w:r>
      <w:r>
        <w:rPr>
          <w:iCs/>
          <w:i/>
        </w:rPr>
        <w:t xml:space="preserve">sip</w:t>
      </w:r>
      <w:r>
        <w:t xml:space="preserve"> </w:t>
      </w:r>
      <w:r>
        <w:t xml:space="preserve">→</w:t>
      </w:r>
      <w:r>
        <w:t xml:space="preserve"> </w:t>
      </w:r>
      <w:r>
        <w:rPr>
          <w:iCs/>
          <w:i/>
        </w:rPr>
        <w:t xml:space="preserve">hi</w:t>
      </w:r>
      <w:r>
        <w:t xml:space="preserve"> </w:t>
      </w:r>
      <w:r>
        <w:t xml:space="preserve">by</w:t>
      </w:r>
      <w:r>
        <w:t xml:space="preserve"> </w:t>
      </w:r>
      <w:r>
        <w:t xml:space="preserve">“</w:t>
      </w:r>
      <w:r>
        <w:t xml:space="preserve">seryapicca</w:t>
      </w:r>
      <w:r>
        <w:t xml:space="preserve">”</w:t>
      </w:r>
      <w:r>
        <w:t xml:space="preserve"> </w:t>
      </w:r>
      <w:r>
        <w:t xml:space="preserve">(Pā. 3-4-80 [as printed]); the vikaraṇa</w:t>
      </w:r>
      <w:r>
        <w:t xml:space="preserve"> </w:t>
      </w:r>
      <w:r>
        <w:rPr>
          <w:iCs/>
          <w:i/>
        </w:rPr>
        <w:t xml:space="preserve">śap</w:t>
      </w:r>
      <w:r>
        <w:t xml:space="preserve"> </w:t>
      </w:r>
      <w:r>
        <w:t xml:space="preserve">(no number printed), dropped by</w:t>
      </w:r>
      <w:r>
        <w:t xml:space="preserve"> </w:t>
      </w:r>
      <w:r>
        <w:rPr>
          <w:iCs/>
          <w:i/>
        </w:rPr>
        <w:t xml:space="preserve">ślu</w:t>
      </w:r>
      <w:r>
        <w:t xml:space="preserve"> </w:t>
      </w:r>
      <w:r>
        <w:t xml:space="preserve">after the juhotyādi class,</w:t>
      </w:r>
      <w:r>
        <w:t xml:space="preserve"> </w:t>
      </w:r>
      <w:r>
        <w:t xml:space="preserve">“</w:t>
      </w:r>
      <w:r>
        <w:t xml:space="preserve">juhotyādibhyaḥ śluḥ</w:t>
      </w:r>
      <w:r>
        <w:t xml:space="preserve">”</w:t>
      </w:r>
      <w:r>
        <w:t xml:space="preserve"> </w:t>
      </w:r>
      <w:r>
        <w:t xml:space="preserve">(Pā. 2-4-75); doubling by</w:t>
      </w:r>
      <w:r>
        <w:t xml:space="preserve"> </w:t>
      </w:r>
      <w:r>
        <w:rPr>
          <w:iCs/>
          <w:i/>
        </w:rPr>
        <w:t xml:space="preserve">ślau</w:t>
      </w:r>
      <w:r>
        <w:t xml:space="preserve"> </w:t>
      </w:r>
      <w:r>
        <w:t xml:space="preserve">(Pā. 6-1-10);</w:t>
      </w:r>
      <w:r>
        <w:t xml:space="preserve"> </w:t>
      </w:r>
      <w:r>
        <w:rPr>
          <w:iCs/>
          <w:i/>
        </w:rPr>
        <w:t xml:space="preserve">dhā</w:t>
      </w:r>
      <w:r>
        <w:t xml:space="preserve"> </w:t>
      </w:r>
      <w:r>
        <w:t xml:space="preserve">+</w:t>
      </w:r>
      <w:r>
        <w:t xml:space="preserve"> </w:t>
      </w:r>
      <w:r>
        <w:rPr>
          <w:iCs/>
          <w:i/>
        </w:rPr>
        <w:t xml:space="preserve">hi</w:t>
      </w:r>
      <w:r>
        <w:t xml:space="preserve">: by</w:t>
      </w:r>
      <w:r>
        <w:t xml:space="preserve"> </w:t>
      </w:r>
      <w:r>
        <w:t xml:space="preserve">“</w:t>
      </w:r>
      <w:r>
        <w:t xml:space="preserve">ghvasoreddhāvabhyāsalopaś ca</w:t>
      </w:r>
      <w:r>
        <w:t xml:space="preserve">”</w:t>
      </w:r>
      <w:r>
        <w:t xml:space="preserve"> </w:t>
      </w:r>
      <w:r>
        <w:t xml:space="preserve">(Pā. 6-4-119) the roots called</w:t>
      </w:r>
      <w:r>
        <w:t xml:space="preserve"> </w:t>
      </w:r>
      <w:r>
        <w:rPr>
          <w:iCs/>
          <w:i/>
        </w:rPr>
        <w:t xml:space="preserve">ghu</w:t>
      </w:r>
      <w:r>
        <w:t xml:space="preserve"> </w:t>
      </w:r>
      <w:r>
        <w:t xml:space="preserve">and</w:t>
      </w:r>
      <w:r>
        <w:t xml:space="preserve"> </w:t>
      </w:r>
      <w:r>
        <w:rPr>
          <w:iCs/>
          <w:i/>
        </w:rPr>
        <w:t xml:space="preserve">as</w:t>
      </w:r>
      <w:r>
        <w:t xml:space="preserve">, before</w:t>
      </w:r>
      <w:r>
        <w:t xml:space="preserve"> </w:t>
      </w:r>
      <w:r>
        <w:rPr>
          <w:iCs/>
          <w:i/>
        </w:rPr>
        <w:t xml:space="preserve">hi</w:t>
      </w:r>
      <w:r>
        <w:t xml:space="preserve">, take</w:t>
      </w:r>
      <w:r>
        <w:t xml:space="preserve"> </w:t>
      </w:r>
      <w:r>
        <w:rPr>
          <w:iCs/>
          <w:i/>
        </w:rPr>
        <w:t xml:space="preserve">e</w:t>
      </w:r>
      <w:r>
        <w:t xml:space="preserve"> </w:t>
      </w:r>
      <w:r>
        <w:t xml:space="preserve">in place of the final</w:t>
      </w:r>
      <w:r>
        <w:t xml:space="preserve"> </w:t>
      </w:r>
      <w:r>
        <w:rPr>
          <w:iCs/>
          <w:i/>
        </w:rPr>
        <w:t xml:space="preserve">ā</w:t>
      </w:r>
      <w:r>
        <w:t xml:space="preserve">, and the reduplicate vowel is dropped; so</w:t>
      </w:r>
      <w:r>
        <w:t xml:space="preserve"> </w:t>
      </w:r>
      <w:r>
        <w:rPr>
          <w:iCs/>
          <w:i/>
        </w:rPr>
        <w:t xml:space="preserve">dhehi</w:t>
      </w:r>
      <w:r>
        <w:t xml:space="preserve">; wholly unaccented as a finite verb by</w:t>
      </w:r>
      <w:r>
        <w:t xml:space="preserve"> </w:t>
      </w:r>
      <w:r>
        <w:t xml:space="preserve">“</w:t>
      </w:r>
      <w:r>
        <w:t xml:space="preserve">tiṅṅ atiṅaḥ</w:t>
      </w:r>
      <w:r>
        <w:t xml:space="preserve">”</w:t>
      </w:r>
      <w:r>
        <w:t xml:space="preserve"> </w:t>
      </w:r>
      <w:r>
        <w:t xml:space="preserve">(Pā. 8-1-28).</w:t>
      </w:r>
      <w:r>
        <w:t xml:space="preserve"> </w:t>
      </w:r>
      <w:r>
        <w:rPr>
          <w:bCs/>
          <w:b/>
        </w:rPr>
        <w:t xml:space="preserve">श्रवः (</w:t>
      </w:r>
      <w:r>
        <w:rPr>
          <w:iCs/>
          <w:i/>
          <w:bCs/>
          <w:b/>
        </w:rPr>
        <w:t xml:space="preserve">śravaḥ</w:t>
      </w:r>
      <w:r>
        <w:rPr>
          <w:bCs/>
          <w:b/>
        </w:rPr>
        <w:t xml:space="preserve">)</w:t>
      </w:r>
      <w:r>
        <w:t xml:space="preserve"> </w:t>
      </w:r>
      <w:r>
        <w:t xml:space="preserve">— formed with</w:t>
      </w:r>
      <w:r>
        <w:t xml:space="preserve"> </w:t>
      </w:r>
      <w:r>
        <w:rPr>
          <w:iCs/>
          <w:i/>
        </w:rPr>
        <w:t xml:space="preserve">asun</w:t>
      </w:r>
      <w:r>
        <w:t xml:space="preserve">; initial-udātta by the suffix.</w:t>
      </w:r>
      <w:r>
        <w:t xml:space="preserve"> </w:t>
      </w:r>
      <w:r>
        <w:rPr>
          <w:bCs/>
          <w:b/>
        </w:rPr>
        <w:t xml:space="preserve">सहस्रसातमम् (</w:t>
      </w:r>
      <w:r>
        <w:rPr>
          <w:iCs/>
          <w:i/>
          <w:bCs/>
          <w:b/>
        </w:rPr>
        <w:t xml:space="preserve">sahasrasātamam</w:t>
      </w:r>
      <w:r>
        <w:rPr>
          <w:bCs/>
          <w:b/>
        </w:rPr>
        <w:t xml:space="preserve">)</w:t>
      </w:r>
      <w:r>
        <w:t xml:space="preserve"> </w:t>
      </w:r>
      <w:r>
        <w:t xml:space="preserve">—</w:t>
      </w:r>
      <w:r>
        <w:t xml:space="preserve"> </w:t>
      </w:r>
      <w:r>
        <w:rPr>
          <w:iCs/>
          <w:i/>
        </w:rPr>
        <w:t xml:space="preserve">sahasraṃ sanute dadāti iti sahasrasāḥ</w:t>
      </w:r>
      <w:r>
        <w:t xml:space="preserve">; root</w:t>
      </w:r>
      <w:r>
        <w:t xml:space="preserve"> </w:t>
      </w:r>
      <w:r>
        <w:rPr>
          <w:iCs/>
          <w:i/>
        </w:rPr>
        <w:t xml:space="preserve">ṣaṇu dāne</w:t>
      </w:r>
      <w:r>
        <w:t xml:space="preserve">;</w:t>
      </w:r>
      <w:r>
        <w:t xml:space="preserve"> </w:t>
      </w:r>
      <w:r>
        <w:rPr>
          <w:iCs/>
          <w:i/>
        </w:rPr>
        <w:t xml:space="preserve">ṣ</w:t>
      </w:r>
      <w:r>
        <w:t xml:space="preserve"> </w:t>
      </w:r>
      <w:r>
        <w:t xml:space="preserve">→</w:t>
      </w:r>
      <w:r>
        <w:t xml:space="preserve"> </w:t>
      </w:r>
      <w:r>
        <w:rPr>
          <w:iCs/>
          <w:i/>
        </w:rPr>
        <w:t xml:space="preserve">s</w:t>
      </w:r>
      <w:r>
        <w:t xml:space="preserve"> </w:t>
      </w:r>
      <w:r>
        <w:t xml:space="preserve">by</w:t>
      </w:r>
      <w:r>
        <w:t xml:space="preserve"> </w:t>
      </w:r>
      <w:r>
        <w:t xml:space="preserve">“</w:t>
      </w:r>
      <w:r>
        <w:t xml:space="preserve">dhātvādeḥ ṣaḥ saḥ</w:t>
      </w:r>
      <w:r>
        <w:t xml:space="preserve">”</w:t>
      </w:r>
      <w:r>
        <w:t xml:space="preserve">;</w:t>
      </w:r>
      <w:r>
        <w:t xml:space="preserve"> </w:t>
      </w:r>
      <w:r>
        <w:rPr>
          <w:iCs/>
          <w:i/>
        </w:rPr>
        <w:t xml:space="preserve">viṭ</w:t>
      </w:r>
      <w:r>
        <w:t xml:space="preserve"> </w:t>
      </w:r>
      <w:r>
        <w:t xml:space="preserve">after</w:t>
      </w:r>
      <w:r>
        <w:t xml:space="preserve"> </w:t>
      </w:r>
      <w:r>
        <w:rPr>
          <w:iCs/>
          <w:i/>
        </w:rPr>
        <w:t xml:space="preserve">jana</w:t>
      </w:r>
      <w:r>
        <w:t xml:space="preserve">,</w:t>
      </w:r>
      <w:r>
        <w:t xml:space="preserve"> </w:t>
      </w:r>
      <w:r>
        <w:rPr>
          <w:iCs/>
          <w:i/>
        </w:rPr>
        <w:t xml:space="preserve">sana</w:t>
      </w:r>
      <w:r>
        <w:t xml:space="preserve">,</w:t>
      </w:r>
      <w:r>
        <w:t xml:space="preserve"> </w:t>
      </w:r>
      <w:r>
        <w:rPr>
          <w:iCs/>
          <w:i/>
        </w:rPr>
        <w:t xml:space="preserve">khana</w:t>
      </w:r>
      <w:r>
        <w:t xml:space="preserve">,</w:t>
      </w:r>
      <w:r>
        <w:t xml:space="preserve"> </w:t>
      </w:r>
      <w:r>
        <w:rPr>
          <w:iCs/>
          <w:i/>
        </w:rPr>
        <w:t xml:space="preserve">krama</w:t>
      </w:r>
      <w:r>
        <w:t xml:space="preserve">,</w:t>
      </w:r>
      <w:r>
        <w:t xml:space="preserve"> </w:t>
      </w:r>
      <w:r>
        <w:rPr>
          <w:iCs/>
          <w:i/>
        </w:rPr>
        <w:t xml:space="preserve">gam</w:t>
      </w:r>
      <w:r>
        <w:t xml:space="preserve"> </w:t>
      </w:r>
      <w:r>
        <w:t xml:space="preserve">in the Veda (Pā. 3-2-67); the</w:t>
      </w:r>
      <w:r>
        <w:t xml:space="preserve"> </w:t>
      </w:r>
      <w:r>
        <w:rPr>
          <w:iCs/>
          <w:i/>
        </w:rPr>
        <w:t xml:space="preserve">ā</w:t>
      </w:r>
      <w:r>
        <w:t xml:space="preserve"> </w:t>
      </w:r>
      <w:r>
        <w:t xml:space="preserve">substituted for the nasal (Pā. 6-4-41); the whole</w:t>
      </w:r>
      <w:r>
        <w:t xml:space="preserve"> </w:t>
      </w:r>
      <w:r>
        <w:rPr>
          <w:iCs/>
          <w:i/>
        </w:rPr>
        <w:t xml:space="preserve">viṭ</w:t>
      </w:r>
      <w:r>
        <w:t xml:space="preserve"> </w:t>
      </w:r>
      <w:r>
        <w:t xml:space="preserve">dropped;</w:t>
      </w:r>
      <w:r>
        <w:t xml:space="preserve"> </w:t>
      </w:r>
      <w:r>
        <w:rPr>
          <w:iCs/>
          <w:i/>
        </w:rPr>
        <w:t xml:space="preserve">sahasra</w:t>
      </w:r>
      <w:r>
        <w:t xml:space="preserve"> </w:t>
      </w:r>
      <w:r>
        <w:t xml:space="preserve">+</w:t>
      </w:r>
      <w:r>
        <w:t xml:space="preserve"> </w:t>
      </w:r>
      <w:r>
        <w:rPr>
          <w:iCs/>
          <w:i/>
        </w:rPr>
        <w:t xml:space="preserve">sā</w:t>
      </w:r>
      <w:r>
        <w:t xml:space="preserve">; final-udātta by the root accent, and after compounding the second member’s accent stands by</w:t>
      </w:r>
      <w:r>
        <w:t xml:space="preserve"> </w:t>
      </w:r>
      <w:r>
        <w:t xml:space="preserve">“</w:t>
      </w:r>
      <w:r>
        <w:t xml:space="preserve">gati-kāraka-upapadāt kṛt</w:t>
      </w:r>
      <w:r>
        <w:t xml:space="preserve">”</w:t>
      </w:r>
      <w:r>
        <w:t xml:space="preserve"> </w:t>
      </w:r>
      <w:r>
        <w:t xml:space="preserve">(Pā. 6-2-139); then</w:t>
      </w:r>
      <w:r>
        <w:t xml:space="preserve"> </w:t>
      </w:r>
      <w:r>
        <w:rPr>
          <w:iCs/>
          <w:i/>
        </w:rPr>
        <w:t xml:space="preserve">tamap</w:t>
      </w:r>
      <w:r>
        <w:t xml:space="preserve"> </w:t>
      </w:r>
      <w:r>
        <w:t xml:space="preserve">in the sense of excess by</w:t>
      </w:r>
      <w:r>
        <w:t xml:space="preserve"> </w:t>
      </w:r>
      <w:r>
        <w:t xml:space="preserve">“</w:t>
      </w:r>
      <w:r>
        <w:t xml:space="preserve">atiśāyane tamabiṣṭhanau</w:t>
      </w:r>
      <w:r>
        <w:t xml:space="preserve">”</w:t>
      </w:r>
      <w:r>
        <w:t xml:space="preserve"> </w:t>
      </w:r>
      <w:r>
        <w:t xml:space="preserve">(Pā. 5-3-55),</w:t>
      </w:r>
      <w:r>
        <w:t xml:space="preserve"> </w:t>
      </w:r>
      <w:r>
        <w:rPr>
          <w:iCs/>
          <w:i/>
        </w:rPr>
        <w:t xml:space="preserve">pit</w:t>
      </w:r>
      <w:r>
        <w:t xml:space="preserve"> </w:t>
      </w:r>
      <w:r>
        <w:t xml:space="preserve">and so unaccented.</w:t>
      </w:r>
      <w:r>
        <w:t xml:space="preserve"> </w:t>
      </w:r>
      <w:r>
        <w:rPr>
          <w:bCs/>
          <w:b/>
        </w:rPr>
        <w:t xml:space="preserve">रथिनीः (</w:t>
      </w:r>
      <w:r>
        <w:rPr>
          <w:iCs/>
          <w:i/>
          <w:bCs/>
          <w:b/>
        </w:rPr>
        <w:t xml:space="preserve">rathinīḥ</w:t>
      </w:r>
      <w:r>
        <w:rPr>
          <w:bCs/>
          <w:b/>
        </w:rPr>
        <w:t xml:space="preserve">)</w:t>
      </w:r>
      <w:r>
        <w:t xml:space="preserve"> </w:t>
      </w:r>
      <w:r>
        <w:t xml:space="preserve">—</w:t>
      </w:r>
      <w:r>
        <w:t xml:space="preserve"> </w:t>
      </w:r>
      <w:r>
        <w:rPr>
          <w:iCs/>
          <w:i/>
        </w:rPr>
        <w:t xml:space="preserve">rathāḥ āsāṃ santi</w:t>
      </w:r>
      <w:r>
        <w:t xml:space="preserve">;</w:t>
      </w:r>
      <w:r>
        <w:t xml:space="preserve"> </w:t>
      </w:r>
      <w:r>
        <w:rPr>
          <w:iCs/>
          <w:i/>
        </w:rPr>
        <w:t xml:space="preserve">ini</w:t>
      </w:r>
      <w:r>
        <w:t xml:space="preserve"> </w:t>
      </w:r>
      <w:r>
        <w:t xml:space="preserve">by</w:t>
      </w:r>
      <w:r>
        <w:t xml:space="preserve"> </w:t>
      </w:r>
      <w:r>
        <w:t xml:space="preserve">“</w:t>
      </w:r>
      <w:r>
        <w:t xml:space="preserve">ata ini-ṭhanau</w:t>
      </w:r>
      <w:r>
        <w:t xml:space="preserve">”</w:t>
      </w:r>
      <w:r>
        <w:t xml:space="preserve"> </w:t>
      </w:r>
      <w:r>
        <w:t xml:space="preserve">(Pā. 5-2-115);</w:t>
      </w:r>
      <w:r>
        <w:t xml:space="preserve"> </w:t>
      </w:r>
      <w:r>
        <w:rPr>
          <w:iCs/>
          <w:i/>
        </w:rPr>
        <w:t xml:space="preserve">a</w:t>
      </w:r>
      <w:r>
        <w:t xml:space="preserve"> </w:t>
      </w:r>
      <w:r>
        <w:t xml:space="preserve">of</w:t>
      </w:r>
      <w:r>
        <w:t xml:space="preserve"> </w:t>
      </w:r>
      <w:r>
        <w:rPr>
          <w:iCs/>
          <w:i/>
        </w:rPr>
        <w:t xml:space="preserve">ratha</w:t>
      </w:r>
      <w:r>
        <w:t xml:space="preserve"> </w:t>
      </w:r>
      <w:r>
        <w:t xml:space="preserve">dropped by</w:t>
      </w:r>
      <w:r>
        <w:t xml:space="preserve"> </w:t>
      </w:r>
      <w:r>
        <w:t xml:space="preserve">“</w:t>
      </w:r>
      <w:r>
        <w:t xml:space="preserve">yasyeti ca</w:t>
      </w:r>
      <w:r>
        <w:t xml:space="preserve">”</w:t>
      </w:r>
      <w:r>
        <w:t xml:space="preserve"> </w:t>
      </w:r>
      <w:r>
        <w:t xml:space="preserve">(Pā. 6-4-148);</w:t>
      </w:r>
      <w:r>
        <w:t xml:space="preserve"> </w:t>
      </w:r>
      <w:r>
        <w:rPr>
          <w:iCs/>
          <w:i/>
        </w:rPr>
        <w:t xml:space="preserve">ini</w:t>
      </w:r>
      <w:r>
        <w:t xml:space="preserve"> </w:t>
      </w:r>
      <w:r>
        <w:t xml:space="preserve">is initial-udātta by the suffix accent; the stem</w:t>
      </w:r>
      <w:r>
        <w:t xml:space="preserve"> </w:t>
      </w:r>
      <w:r>
        <w:rPr>
          <w:iCs/>
          <w:i/>
        </w:rPr>
        <w:t xml:space="preserve">rathin</w:t>
      </w:r>
      <w:r>
        <w:t xml:space="preserve"> </w:t>
      </w:r>
      <w:r>
        <w:t xml:space="preserve">ends in</w:t>
      </w:r>
      <w:r>
        <w:t xml:space="preserve"> </w:t>
      </w:r>
      <w:r>
        <w:rPr>
          <w:iCs/>
          <w:i/>
        </w:rPr>
        <w:t xml:space="preserve">n</w:t>
      </w:r>
      <w:r>
        <w:t xml:space="preserve">; the feminine</w:t>
      </w:r>
      <w:r>
        <w:t xml:space="preserve"> </w:t>
      </w:r>
      <w:r>
        <w:rPr>
          <w:iCs/>
          <w:i/>
        </w:rPr>
        <w:t xml:space="preserve">ṅīp</w:t>
      </w:r>
      <w:r>
        <w:t xml:space="preserve"> </w:t>
      </w:r>
      <w:r>
        <w:t xml:space="preserve">after</w:t>
      </w:r>
      <w:r>
        <w:t xml:space="preserve"> </w:t>
      </w:r>
      <w:r>
        <w:rPr>
          <w:iCs/>
          <w:i/>
        </w:rPr>
        <w:t xml:space="preserve">ṛ</w:t>
      </w:r>
      <w:r>
        <w:t xml:space="preserve">- and</w:t>
      </w:r>
      <w:r>
        <w:t xml:space="preserve"> </w:t>
      </w:r>
      <w:r>
        <w:rPr>
          <w:iCs/>
          <w:i/>
        </w:rPr>
        <w:t xml:space="preserve">n</w:t>
      </w:r>
      <w:r>
        <w:t xml:space="preserve">-ending stems (Pā. 4-1-5,</w:t>
      </w:r>
      <w:r>
        <w:t xml:space="preserve"> </w:t>
      </w:r>
      <w:r>
        <w:t xml:space="preserve">“</w:t>
      </w:r>
      <w:r>
        <w:t xml:space="preserve">ṛnnebhyo ṅīp</w:t>
      </w:r>
      <w:r>
        <w:t xml:space="preserve">”</w:t>
      </w:r>
      <w:r>
        <w:t xml:space="preserve">);</w:t>
      </w:r>
      <w:r>
        <w:t xml:space="preserve"> </w:t>
      </w:r>
      <w:r>
        <w:rPr>
          <w:iCs/>
          <w:i/>
        </w:rPr>
        <w:t xml:space="preserve">ṅīp</w:t>
      </w:r>
      <w:r>
        <w:t xml:space="preserve"> </w:t>
      </w:r>
      <w:r>
        <w:t xml:space="preserve">is</w:t>
      </w:r>
      <w:r>
        <w:t xml:space="preserve"> </w:t>
      </w:r>
      <w:r>
        <w:rPr>
          <w:iCs/>
          <w:i/>
        </w:rPr>
        <w:t xml:space="preserve">pit</w:t>
      </w:r>
      <w:r>
        <w:t xml:space="preserve">, so unaccented.</w:t>
      </w:r>
      <w:r>
        <w:t xml:space="preserve"> </w:t>
      </w:r>
      <w:r>
        <w:rPr>
          <w:bCs/>
          <w:b/>
        </w:rPr>
        <w:t xml:space="preserve">इषः (</w:t>
      </w:r>
      <w:r>
        <w:rPr>
          <w:iCs/>
          <w:i/>
          <w:bCs/>
          <w:b/>
        </w:rPr>
        <w:t xml:space="preserve">iṣaḥ</w:t>
      </w:r>
      <w:r>
        <w:rPr>
          <w:bCs/>
          <w:b/>
        </w:rPr>
        <w:t xml:space="preserve">)</w:t>
      </w:r>
      <w:r>
        <w:t xml:space="preserve"> </w:t>
      </w:r>
      <w:r>
        <w:t xml:space="preserve">— if taken in its component sense, the root accent stands (</w:t>
      </w:r>
      <w:r>
        <w:rPr>
          <w:iCs/>
          <w:i/>
        </w:rPr>
        <w:t xml:space="preserve">i</w:t>
      </w:r>
      <w:r>
        <w:t xml:space="preserve"> </w:t>
      </w:r>
      <w:r>
        <w:t xml:space="preserve">udātta); if taken as a settled word, the stem accent applies.</w:t>
      </w:r>
    </w:p>
    <w:p>
      <w:pPr>
        <w:pStyle w:val="BodyText"/>
      </w:pPr>
      <w:r>
        <w:rPr>
          <w:bCs/>
          <w:b/>
        </w:rPr>
        <w:t xml:space="preserve">॥८॥</w:t>
      </w:r>
    </w:p>
    <w:p>
      <w:r>
        <w:pict>
          <v:rect style="width:0;height:1.5pt" o:hralign="center" o:hrstd="t" o:hr="t"/>
        </w:pict>
      </w:r>
    </w:p>
    <w:bookmarkEnd w:id="398"/>
    <w:bookmarkStart w:id="399" w:name="page-372-sūkta-9-rik-9"/>
    <w:p>
      <w:pPr>
        <w:pStyle w:val="Heading3"/>
      </w:pPr>
      <w:r>
        <w:t xml:space="preserve">Page 372 — Sūkta 9, Rik 9</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वसो॒रिन्द्रं॒ वसु॑पतिं गी॒र्भिर्गृ॒णन्त॑ ऋ॒ग्मियं॑ ।</w:t>
      </w:r>
      <w:r>
        <w:t xml:space="preserve"> </w:t>
      </w:r>
      <w:r>
        <w:t xml:space="preserve">होम॒ गन्ता॑रमू॒तये॑ ॥९॥</w:t>
      </w:r>
    </w:p>
    <w:p>
      <w:pPr>
        <w:pStyle w:val="BlockText"/>
      </w:pPr>
      <w:r>
        <w:rPr>
          <w:iCs/>
          <w:i/>
        </w:rPr>
        <w:t xml:space="preserve">vasor índraṃ vásupatiṃ gīrbhír gṛṇánta ṛgmíyaṃ |</w:t>
      </w:r>
      <w:r>
        <w:t xml:space="preserve"> </w:t>
      </w:r>
      <w:r>
        <w:rPr>
          <w:iCs/>
          <w:i/>
        </w:rPr>
        <w:t xml:space="preserve">homa gántāram ūtáye ||9||</w:t>
      </w:r>
    </w:p>
    <w:p>
      <w:pPr>
        <w:pStyle w:val="FirstParagraph"/>
      </w:pPr>
      <w:r>
        <w:rPr>
          <w:bCs/>
          <w:b/>
        </w:rPr>
        <w:t xml:space="preserve">॥ Pada-pāṭhaḥ ॥</w:t>
      </w:r>
    </w:p>
    <w:p>
      <w:pPr>
        <w:pStyle w:val="BlockText"/>
      </w:pPr>
      <w:r>
        <w:t xml:space="preserve">वसोः । इन्द्रम् । वसुऽपतिम् । गीःऽभिः । गृणन्तः । ऋग्मियम् ॥</w:t>
      </w:r>
      <w:r>
        <w:t xml:space="preserve"> </w:t>
      </w:r>
      <w:r>
        <w:t xml:space="preserve">होम । गन्तारम् । ऊतये ॥९॥</w:t>
      </w:r>
    </w:p>
    <w:p>
      <w:pPr>
        <w:pStyle w:val="BlockText"/>
      </w:pPr>
      <w:r>
        <w:rPr>
          <w:iCs/>
          <w:i/>
        </w:rPr>
        <w:t xml:space="preserve">vasoḥ | indram | vasu-patim | gīḥ-bhiḥ | gṛṇantaḥ | ṛgmiyam ||</w:t>
      </w:r>
      <w:r>
        <w:t xml:space="preserve"> </w:t>
      </w:r>
      <w:r>
        <w:rPr>
          <w:iCs/>
          <w:i/>
        </w:rPr>
        <w:t xml:space="preserve">homa | gantāram | ūtaye ||9||</w:t>
      </w:r>
    </w:p>
    <w:p>
      <w:pPr>
        <w:pStyle w:val="FirstParagraph"/>
      </w:pPr>
      <w:r>
        <w:rPr>
          <w:bCs/>
          <w:b/>
        </w:rPr>
        <w:t xml:space="preserve">॥ Sāyaṇa-bhāṣyam ॥</w:t>
      </w:r>
    </w:p>
    <w:p>
      <w:pPr>
        <w:pStyle w:val="BlockText"/>
      </w:pPr>
      <w:r>
        <w:t xml:space="preserve">वसोर्वसुनो ऽस्मदीयस्य धनस्योतये रक्षार्थमिन्द्रं होम । वयमाह्वयामः । किं कुर्वन्तः । गीर्भिः स्तुतिभिर्गृणन्तः स्तुवन्तः । कीदृशमिन्द्रम् । वसुपतिं धनपालकं ऋग्मियं ऋचां मातारं गन्तारं यागदेशे गमनशीलम् ॥ वसोः । वस निवासे । शृस्वृस्निहीत्यादिना । उ १-११ । उप्रत्ययः । निदित्यनुवृत्तेर्नित्त्वादाद्युदात्तः । वसुपतिम् । समासान्तोदात्तत्वे प्राप्ते पत्यावैश्वर्ये । पा. ६-२-१८ । इति पूर्वपदप्रकृतिस्वरत्वम् । गीर्भिः । सावेकाच इति विभक्तेरुदात्तत्वम् । गृणन्तः । गॄ शब्दे । लटः शतृ । क्र्यादिभ्यः श्ना । पा. ३-१-८१ । शतुः सार्वधातुकमपिदिति ङित्त्वात् श्नाभ्यस्तयोरातः । पा. ६-४-११२ । इत्याकारलोपः । शतुरकारस्य प्रत्ययस्वरेणोदात्तत्वम् । ऋग्मियम् । ऋचो मिमित [sic: मिमीते] इत्यृग्मीः । तमृग्मियं । माङ् माने शब्दे च । क्विप्चेति क्विप् । घुमास्थेत्यादिना । पा. ६-४-६६ । ईत्त्वं । चकारस्य चोः कुः । झलां जशो ऽन्ते । पा. ८-२-३९ । इति जश्त्वं । गकारः । द्वितीयैकवचने ऽचि श्नुधात्वित्यादिना । पा. ६-४-७७ । इयङादेशः । एरनेकाच इति यणादेशः । पा. ६-४-८२ । सर्वे विधयश्छन्दसि विकल्प्यन्त इति न भवति । कृदुत्तरपदप्रकृतिस्वरेणेकार उदात्तः । होम । आह्वयामः । ह्वेञ् स्पर्धायां शब्दे च । लट् । तस्यास्मदो बहुत्वे ऽपि व्यत्ययेन मिप् । इकारस्य व्यत्ययेनाकारः । शपो बहुलं छन्दसीति लुक् । बहुलं छन्दसि । पा. ६-१-३४ । इति ह्वः संप्रसारणं परपूर्वत्वं गुणः । धातोः । पा. ६-१-१६२ । इत्योकार उदात्तः । मिपः पित्स्वरेणानुदात्तत्वम् । गन्तारम् । गम्लृ सृप्लृ गतौ । ताच्छील्ये तृन् । नित्त्वादाद्युदात्तः । ऊतये । ऊतियूतीत्यादिना क्तिन्नुदात्तो निपातितः ॥</w:t>
      </w:r>
    </w:p>
    <w:p>
      <w:pPr>
        <w:pStyle w:val="BlockText"/>
      </w:pPr>
      <w:r>
        <w:rPr>
          <w:iCs/>
          <w:i/>
        </w:rPr>
        <w:t xml:space="preserve">vasorvasuno ’smadīyasya dhanasyotaye rakṣārthamindraṃ homa | vayamāhvayāmaḥ | kiṃ kurvantaḥ | gīrbhiḥ stutibhirgṛṇantaḥ stuvantaḥ | kīdṛśamindram | vasupatiṃ dhanapālakaṃ ṛgmiyaṃ ṛcāṃ mātāraṃ gantāraṃ yāgadeśe gamanaśīlam || vasoḥ | vasa nivāse | śṛsvṛsnihītyādinā | u 1-11 | upratyayaḥ | nidityanuvṛtternittvādādyudāttaḥ | vasupatim | samāsāntodāttatve prāpte patyāvaiśvarye | pā. 6-2-18 | iti pūrvapadaprakṛtisvaratvam | gīrbhiḥ | sāvekāca iti vibhakterudāttatvam | gṛṇantaḥ | gṝ śabde | laṭaḥ śatṛ | kryādibhyaḥ śnā | pā. 3-1-81 | śatuḥ sārvadhātukamapiditi ṅittvāt śnābhyastayorātaḥ | pā. 6-4-112 | ityākāralopaḥ | śaturakārasya pratyayasvareṇodāttatvam | ṛgmiyam | ṛco mimita [sic: mimīte] ityṛgmīḥ | tamṛgmiyaṃ | māṅ māne śabde ca | kvipceti kvip | ghumāsthetyādinā | pā. 6-4-66 | īttvaṃ | cakārasya coḥ kuḥ | jhalāṃ jaśo ’nte | pā. 8-2-39 | iti jaśtvaṃ | gakāraḥ | dvitīyaikavacane ’ci śnudhātvityādinā | pā. 6-4-77 | iyaṅādeśaḥ | eranekāca iti yaṇādeśaḥ | pā. 6-4-82 | sarve vidhayaśchandasi vikalpyanta iti na bhavati | kṛduttarapadaprakṛtisvareṇekāra udāttaḥ | homa | āhvayāmaḥ | hveñ spardhāyāṃ śabde ca | laṭ | tasyāsmado bahutve ’pi vyatyayena mip | ikārasya vyatyayenākāraḥ | śapo bahulaṃ chandasīti luk | bahulaṃ chandasi | pā. 6-1-34 | iti hvaḥ saṃprasāraṇaṃ parapūrvatvaṃ guṇaḥ | dhātoḥ | pā. 6-1-162 | ityokāra udāttaḥ | mipaḥ pitsvareṇānudāttatvam | gantāram | gamlṛ sṛplṛ gatau | tācchīlye tṛn | nittvādādyudāttaḥ | ūtaye | ūtiyūtītyādinā ktinnudātto nipātitaḥ ||</w:t>
      </w:r>
    </w:p>
    <w:p>
      <w:pPr>
        <w:pStyle w:val="FirstParagraph"/>
      </w:pPr>
      <w:r>
        <w:rPr>
          <w:bCs/>
          <w:b/>
        </w:rPr>
        <w:t xml:space="preserve">Translation:</w:t>
      </w:r>
      <w:r>
        <w:t xml:space="preserve"> </w:t>
      </w:r>
      <w:r>
        <w:t xml:space="preserve">“</w:t>
      </w:r>
      <w:r>
        <w:t xml:space="preserve">For the</w:t>
      </w:r>
      <w:r>
        <w:t xml:space="preserve"> </w:t>
      </w:r>
      <w:r>
        <w:rPr>
          <w:iCs/>
          <w:i/>
        </w:rPr>
        <w:t xml:space="preserve">ūtaye</w:t>
      </w:r>
      <w:r>
        <w:t xml:space="preserve"> </w:t>
      </w:r>
      <w:r>
        <w:t xml:space="preserve">— the protection — of our</w:t>
      </w:r>
      <w:r>
        <w:t xml:space="preserve"> </w:t>
      </w:r>
      <w:r>
        <w:rPr>
          <w:iCs/>
          <w:i/>
        </w:rPr>
        <w:t xml:space="preserve">vasu</w:t>
      </w:r>
      <w:r>
        <w:t xml:space="preserve">, our wealth, we call (</w:t>
      </w:r>
      <w:r>
        <w:rPr>
          <w:iCs/>
          <w:i/>
        </w:rPr>
        <w:t xml:space="preserve">homa</w:t>
      </w:r>
      <w:r>
        <w:t xml:space="preserve">) Indra. What are we doing?</w:t>
      </w:r>
      <w:r>
        <w:t xml:space="preserve"> </w:t>
      </w:r>
      <w:r>
        <w:rPr>
          <w:iCs/>
          <w:i/>
        </w:rPr>
        <w:t xml:space="preserve">Gīrbhiḥ gṛṇantaḥ</w:t>
      </w:r>
      <w:r>
        <w:t xml:space="preserve"> </w:t>
      </w:r>
      <w:r>
        <w:t xml:space="preserve">— praising with hymns. What kind of Indra?</w:t>
      </w:r>
      <w:r>
        <w:t xml:space="preserve"> </w:t>
      </w:r>
      <w:r>
        <w:rPr>
          <w:iCs/>
          <w:i/>
        </w:rPr>
        <w:t xml:space="preserve">Vasupatim</w:t>
      </w:r>
      <w:r>
        <w:t xml:space="preserve"> </w:t>
      </w:r>
      <w:r>
        <w:t xml:space="preserve">— the guardian of wealth;</w:t>
      </w:r>
      <w:r>
        <w:t xml:space="preserve"> </w:t>
      </w:r>
      <w:r>
        <w:rPr>
          <w:iCs/>
          <w:i/>
        </w:rPr>
        <w:t xml:space="preserve">ṛgmiyam</w:t>
      </w:r>
      <w:r>
        <w:t xml:space="preserve"> </w:t>
      </w:r>
      <w:r>
        <w:t xml:space="preserve">— the measurer (</w:t>
      </w:r>
      <w:r>
        <w:rPr>
          <w:iCs/>
          <w:i/>
        </w:rPr>
        <w:t xml:space="preserve">mātṛ</w:t>
      </w:r>
      <w:r>
        <w:t xml:space="preserve">) of the ṛks;</w:t>
      </w:r>
      <w:r>
        <w:t xml:space="preserve"> </w:t>
      </w:r>
      <w:r>
        <w:rPr>
          <w:iCs/>
          <w:i/>
        </w:rPr>
        <w:t xml:space="preserve">gantāram</w:t>
      </w:r>
      <w:r>
        <w:t xml:space="preserve"> </w:t>
      </w:r>
      <w:r>
        <w:t xml:space="preserve">— the one who is in the habit of going to the place of sacrifice.</w:t>
      </w:r>
      <w:r>
        <w:t xml:space="preserve">”</w:t>
      </w:r>
      <w:r>
        <w:t xml:space="preserve"> </w:t>
      </w:r>
      <w:r>
        <w:rPr>
          <w:iCs/>
          <w:i/>
        </w:rPr>
        <w:t xml:space="preserve">(Grammar, noted briefly:</w:t>
      </w:r>
      <w:r>
        <w:rPr>
          <w:iCs/>
          <w:i/>
        </w:rPr>
        <w:t xml:space="preserve"> </w:t>
      </w:r>
      <w:r>
        <w:t xml:space="preserve">vasoḥ* — root* vasa nivāse</w:t>
      </w:r>
      <w:r>
        <w:t xml:space="preserve"> </w:t>
      </w:r>
      <w:r>
        <w:rPr>
          <w:iCs/>
          <w:i/>
        </w:rPr>
        <w:t xml:space="preserve">with the suffix</w:t>
      </w:r>
      <w:r>
        <w:t xml:space="preserve"> </w:t>
      </w:r>
      <w:r>
        <w:t xml:space="preserve">u</w:t>
      </w:r>
      <w:r>
        <w:t xml:space="preserve"> </w:t>
      </w:r>
      <w:r>
        <w:rPr>
          <w:iCs/>
          <w:i/>
        </w:rPr>
        <w:t xml:space="preserve">(Uṇ. 1-11);</w:t>
      </w:r>
      <w:r>
        <w:t xml:space="preserve"> </w:t>
      </w:r>
      <w:r>
        <w:t xml:space="preserve">vasupatim</w:t>
      </w:r>
      <w:r>
        <w:t xml:space="preserve"> </w:t>
      </w:r>
      <w:r>
        <w:rPr>
          <w:iCs/>
          <w:i/>
        </w:rPr>
        <w:t xml:space="preserve">— the first-member accent by Pā. 6-2-18 when</w:t>
      </w:r>
      <w:r>
        <w:t xml:space="preserve"> </w:t>
      </w:r>
      <w:r>
        <w:t xml:space="preserve">pati</w:t>
      </w:r>
      <w:r>
        <w:t xml:space="preserve"> </w:t>
      </w:r>
      <w:r>
        <w:rPr>
          <w:iCs/>
          <w:i/>
        </w:rPr>
        <w:t xml:space="preserve">means</w:t>
      </w:r>
      <w:r>
        <w:rPr>
          <w:iCs/>
          <w:i/>
        </w:rPr>
        <w:t xml:space="preserve"> </w:t>
      </w:r>
      <w:r>
        <w:rPr>
          <w:iCs/>
          <w:i/>
        </w:rPr>
        <w:t xml:space="preserve">‘</w:t>
      </w:r>
      <w:r>
        <w:rPr>
          <w:iCs/>
          <w:i/>
        </w:rPr>
        <w:t xml:space="preserve">lord</w:t>
      </w:r>
      <w:r>
        <w:rPr>
          <w:iCs/>
          <w:i/>
        </w:rPr>
        <w:t xml:space="preserve">’</w:t>
      </w:r>
      <w:r>
        <w:rPr>
          <w:iCs/>
          <w:i/>
        </w:rPr>
        <w:t xml:space="preserve">;</w:t>
      </w:r>
      <w:r>
        <w:t xml:space="preserve"> </w:t>
      </w:r>
      <w:r>
        <w:t xml:space="preserve">gṛṇantaḥ</w:t>
      </w:r>
      <w:r>
        <w:t xml:space="preserve"> </w:t>
      </w:r>
      <w:r>
        <w:rPr>
          <w:iCs/>
          <w:i/>
        </w:rPr>
        <w:t xml:space="preserve">— root</w:t>
      </w:r>
      <w:r>
        <w:t xml:space="preserve"> </w:t>
      </w:r>
      <w:r>
        <w:t xml:space="preserve">gṝ śabde</w:t>
      </w:r>
      <w:r>
        <w:rPr>
          <w:iCs/>
          <w:i/>
        </w:rPr>
        <w:t xml:space="preserve">,</w:t>
      </w:r>
      <w:r>
        <w:t xml:space="preserve"> </w:t>
      </w:r>
      <w:r>
        <w:t xml:space="preserve">śatṛ</w:t>
      </w:r>
      <w:r>
        <w:t xml:space="preserve"> </w:t>
      </w:r>
      <w:r>
        <w:rPr>
          <w:iCs/>
          <w:i/>
        </w:rPr>
        <w:t xml:space="preserve">with</w:t>
      </w:r>
      <w:r>
        <w:t xml:space="preserve"> </w:t>
      </w:r>
      <w:r>
        <w:t xml:space="preserve">śnā</w:t>
      </w:r>
      <w:r>
        <w:rPr>
          <w:iCs/>
          <w:i/>
        </w:rPr>
        <w:t xml:space="preserve">, the</w:t>
      </w:r>
      <w:r>
        <w:t xml:space="preserve"> </w:t>
      </w:r>
      <w:r>
        <w:t xml:space="preserve">ā</w:t>
      </w:r>
      <w:r>
        <w:t xml:space="preserve"> </w:t>
      </w:r>
      <w:r>
        <w:rPr>
          <w:iCs/>
          <w:i/>
        </w:rPr>
        <w:t xml:space="preserve">of</w:t>
      </w:r>
      <w:r>
        <w:t xml:space="preserve"> </w:t>
      </w:r>
      <w:r>
        <w:t xml:space="preserve">śnā</w:t>
      </w:r>
      <w:r>
        <w:t xml:space="preserve"> </w:t>
      </w:r>
      <w:r>
        <w:rPr>
          <w:iCs/>
          <w:i/>
        </w:rPr>
        <w:t xml:space="preserve">dropped before the</w:t>
      </w:r>
      <w:r>
        <w:t xml:space="preserve"> </w:t>
      </w:r>
      <w:r>
        <w:t xml:space="preserve">śatṛ</w:t>
      </w:r>
      <w:r>
        <w:t xml:space="preserve"> </w:t>
      </w:r>
      <w:r>
        <w:rPr>
          <w:iCs/>
          <w:i/>
        </w:rPr>
        <w:t xml:space="preserve">since it is treated as</w:t>
      </w:r>
      <w:r>
        <w:t xml:space="preserve"> </w:t>
      </w:r>
      <w:r>
        <w:t xml:space="preserve">ṅit</w:t>
      </w:r>
      <w:r>
        <w:rPr>
          <w:iCs/>
          <w:i/>
        </w:rPr>
        <w:t xml:space="preserve">;</w:t>
      </w:r>
      <w:r>
        <w:t xml:space="preserve"> </w:t>
      </w:r>
      <w:r>
        <w:t xml:space="preserve">ṛgmiyam</w:t>
      </w:r>
      <w:r>
        <w:t xml:space="preserve"> </w:t>
      </w:r>
      <w:r>
        <w:rPr>
          <w:iCs/>
          <w:i/>
        </w:rPr>
        <w:t xml:space="preserve">—</w:t>
      </w:r>
      <w:r>
        <w:rPr>
          <w:iCs/>
          <w:i/>
        </w:rPr>
        <w:t xml:space="preserve"> </w:t>
      </w:r>
      <w:r>
        <w:rPr>
          <w:iCs/>
          <w:i/>
        </w:rPr>
        <w:t xml:space="preserve">‘</w:t>
      </w:r>
      <w:r>
        <w:rPr>
          <w:iCs/>
          <w:i/>
        </w:rPr>
        <w:t xml:space="preserve">one who measures the ṛks</w:t>
      </w:r>
      <w:r>
        <w:rPr>
          <w:iCs/>
          <w:i/>
        </w:rPr>
        <w:t xml:space="preserve">’</w:t>
      </w:r>
      <w:r>
        <w:rPr>
          <w:iCs/>
          <w:i/>
        </w:rPr>
        <w:t xml:space="preserve"> </w:t>
      </w:r>
      <w:r>
        <w:rPr>
          <w:iCs/>
          <w:i/>
        </w:rPr>
        <w:t xml:space="preserve">(</w:t>
      </w:r>
      <w:r>
        <w:t xml:space="preserve">ṛco mimīte</w:t>
      </w:r>
      <w:r>
        <w:rPr>
          <w:iCs/>
          <w:i/>
        </w:rPr>
        <w:t xml:space="preserve">): root</w:t>
      </w:r>
      <w:r>
        <w:t xml:space="preserve"> </w:t>
      </w:r>
      <w:r>
        <w:t xml:space="preserve">māṅ māne śabde ca</w:t>
      </w:r>
      <w:r>
        <w:t xml:space="preserve"> </w:t>
      </w:r>
      <w:r>
        <w:rPr>
          <w:iCs/>
          <w:i/>
        </w:rPr>
        <w:t xml:space="preserve">with</w:t>
      </w:r>
      <w:r>
        <w:t xml:space="preserve"> </w:t>
      </w:r>
      <w:r>
        <w:t xml:space="preserve">kvip</w:t>
      </w:r>
      <w:r>
        <w:rPr>
          <w:iCs/>
          <w:i/>
        </w:rPr>
        <w:t xml:space="preserve">, the</w:t>
      </w:r>
      <w:r>
        <w:t xml:space="preserve"> </w:t>
      </w:r>
      <w:r>
        <w:t xml:space="preserve">ī</w:t>
      </w:r>
      <w:r>
        <w:t xml:space="preserve"> </w:t>
      </w:r>
      <w:r>
        <w:rPr>
          <w:iCs/>
          <w:i/>
        </w:rPr>
        <w:t xml:space="preserve">by Pā. 6-4-66, the voicing of the final consonant (Pā. 8-2-39); before the accusative ending the</w:t>
      </w:r>
      <w:r>
        <w:t xml:space="preserve"> </w:t>
      </w:r>
      <w:r>
        <w:t xml:space="preserve">iyaṅ</w:t>
      </w:r>
      <w:r>
        <w:t xml:space="preserve"> </w:t>
      </w:r>
      <w:r>
        <w:rPr>
          <w:iCs/>
          <w:i/>
        </w:rPr>
        <w:t xml:space="preserve">substitute (Pā. 6-4-77), not the</w:t>
      </w:r>
      <w:r>
        <w:t xml:space="preserve"> </w:t>
      </w:r>
      <w:r>
        <w:t xml:space="preserve">yaṇ</w:t>
      </w:r>
      <w:r>
        <w:t xml:space="preserve"> </w:t>
      </w:r>
      <w:r>
        <w:rPr>
          <w:iCs/>
          <w:i/>
        </w:rPr>
        <w:t xml:space="preserve">of Pā. 6-4-82; the</w:t>
      </w:r>
      <w:r>
        <w:t xml:space="preserve"> </w:t>
      </w:r>
      <w:r>
        <w:t xml:space="preserve">i</w:t>
      </w:r>
      <w:r>
        <w:t xml:space="preserve"> </w:t>
      </w:r>
      <w:r>
        <w:rPr>
          <w:iCs/>
          <w:i/>
        </w:rPr>
        <w:t xml:space="preserve">udātta by the second-member accent;</w:t>
      </w:r>
      <w:r>
        <w:t xml:space="preserve"> </w:t>
      </w:r>
      <w:r>
        <w:t xml:space="preserve">homa</w:t>
      </w:r>
      <w:r>
        <w:t xml:space="preserve"> </w:t>
      </w:r>
      <w:r>
        <w:rPr>
          <w:iCs/>
          <w:i/>
        </w:rPr>
        <w:t xml:space="preserve">— root</w:t>
      </w:r>
      <w:r>
        <w:t xml:space="preserve"> </w:t>
      </w:r>
      <w:r>
        <w:t xml:space="preserve">hveñ</w:t>
      </w:r>
      <w:r>
        <w:t xml:space="preserve"> </w:t>
      </w:r>
      <w:r>
        <w:rPr>
          <w:iCs/>
          <w:i/>
        </w:rPr>
        <w:t xml:space="preserve">with the first-person plural</w:t>
      </w:r>
      <w:r>
        <w:t xml:space="preserve"> </w:t>
      </w:r>
      <w:r>
        <w:t xml:space="preserve">mip</w:t>
      </w:r>
      <w:r>
        <w:t xml:space="preserve"> </w:t>
      </w:r>
      <w:r>
        <w:rPr>
          <w:iCs/>
          <w:i/>
        </w:rPr>
        <w:t xml:space="preserve">by Vedic exchange,</w:t>
      </w:r>
      <w:r>
        <w:t xml:space="preserve"> </w:t>
      </w:r>
      <w:r>
        <w:t xml:space="preserve">śap</w:t>
      </w:r>
      <w:r>
        <w:t xml:space="preserve"> </w:t>
      </w:r>
      <w:r>
        <w:rPr>
          <w:iCs/>
          <w:i/>
        </w:rPr>
        <w:t xml:space="preserve">dropped, the</w:t>
      </w:r>
      <w:r>
        <w:t xml:space="preserve"> </w:t>
      </w:r>
      <w:r>
        <w:t xml:space="preserve">saṃprasāraṇa</w:t>
      </w:r>
      <w:r>
        <w:t xml:space="preserve"> </w:t>
      </w:r>
      <w:r>
        <w:rPr>
          <w:iCs/>
          <w:i/>
        </w:rPr>
        <w:t xml:space="preserve">of</w:t>
      </w:r>
      <w:r>
        <w:t xml:space="preserve"> </w:t>
      </w:r>
      <w:r>
        <w:t xml:space="preserve">hve</w:t>
      </w:r>
      <w:r>
        <w:t xml:space="preserve"> </w:t>
      </w:r>
      <w:r>
        <w:rPr>
          <w:iCs/>
          <w:i/>
        </w:rPr>
        <w:t xml:space="preserve">(Pā. 6-1-34), giving</w:t>
      </w:r>
      <w:r>
        <w:t xml:space="preserve"> </w:t>
      </w:r>
      <w:r>
        <w:t xml:space="preserve">homa</w:t>
      </w:r>
      <w:r>
        <w:rPr>
          <w:iCs/>
          <w:i/>
        </w:rPr>
        <w:t xml:space="preserve">, the</w:t>
      </w:r>
      <w:r>
        <w:t xml:space="preserve"> </w:t>
      </w:r>
      <w:r>
        <w:t xml:space="preserve">o</w:t>
      </w:r>
      <w:r>
        <w:t xml:space="preserve"> </w:t>
      </w:r>
      <w:r>
        <w:rPr>
          <w:iCs/>
          <w:i/>
        </w:rPr>
        <w:t xml:space="preserve">udātta by</w:t>
      </w:r>
      <w:r>
        <w:t xml:space="preserve"> </w:t>
      </w:r>
      <w:r>
        <w:t xml:space="preserve">dhātoḥ</w:t>
      </w:r>
      <w:r>
        <w:t xml:space="preserve"> </w:t>
      </w:r>
      <w:r>
        <w:rPr>
          <w:iCs/>
          <w:i/>
        </w:rPr>
        <w:t xml:space="preserve">(Pā. 6-1-162);</w:t>
      </w:r>
      <w:r>
        <w:t xml:space="preserve"> </w:t>
      </w:r>
      <w:r>
        <w:t xml:space="preserve">gantāram</w:t>
      </w:r>
      <w:r>
        <w:t xml:space="preserve"> </w:t>
      </w:r>
      <w:r>
        <w:rPr>
          <w:iCs/>
          <w:i/>
        </w:rPr>
        <w:t xml:space="preserve">— root</w:t>
      </w:r>
      <w:r>
        <w:t xml:space="preserve"> </w:t>
      </w:r>
      <w:r>
        <w:t xml:space="preserve">gamlṛ</w:t>
      </w:r>
      <w:r>
        <w:t xml:space="preserve"> </w:t>
      </w:r>
      <w:r>
        <w:rPr>
          <w:iCs/>
          <w:i/>
        </w:rPr>
        <w:t xml:space="preserve">with</w:t>
      </w:r>
      <w:r>
        <w:t xml:space="preserve"> </w:t>
      </w:r>
      <w:r>
        <w:t xml:space="preserve">tṛn</w:t>
      </w:r>
      <w:r>
        <w:t xml:space="preserve"> </w:t>
      </w:r>
      <w:r>
        <w:rPr>
          <w:iCs/>
          <w:i/>
        </w:rPr>
        <w:t xml:space="preserve">in the sense of habit, initial-udātta since</w:t>
      </w:r>
      <w:r>
        <w:t xml:space="preserve"> </w:t>
      </w:r>
      <w:r>
        <w:t xml:space="preserve">nit</w:t>
      </w:r>
      <w:r>
        <w:rPr>
          <w:iCs/>
          <w:i/>
        </w:rPr>
        <w:t xml:space="preserve">;</w:t>
      </w:r>
      <w:r>
        <w:t xml:space="preserve"> </w:t>
      </w:r>
      <w:r>
        <w:t xml:space="preserve">ūtaye</w:t>
      </w:r>
      <w:r>
        <w:t xml:space="preserve"> </w:t>
      </w:r>
      <w:r>
        <w:rPr>
          <w:iCs/>
          <w:i/>
        </w:rPr>
        <w:t xml:space="preserve">— the</w:t>
      </w:r>
      <w:r>
        <w:t xml:space="preserve"> </w:t>
      </w:r>
      <w:r>
        <w:t xml:space="preserve">ktin</w:t>
      </w:r>
      <w:r>
        <w:t xml:space="preserve"> </w:t>
      </w:r>
      <w:r>
        <w:rPr>
          <w:iCs/>
          <w:i/>
        </w:rPr>
        <w:t xml:space="preserve">of</w:t>
      </w:r>
      <w:r>
        <w:t xml:space="preserve"> </w:t>
      </w:r>
      <w:r>
        <w:t xml:space="preserve">ūti</w:t>
      </w:r>
      <w:r>
        <w:rPr>
          <w:iCs/>
          <w:i/>
        </w:rPr>
        <w:t xml:space="preserve">, udātta by the irregular formation.)</w:t>
      </w:r>
      <w:r>
        <w:t xml:space="preserve">”</w:t>
      </w:r>
    </w:p>
    <w:bookmarkEnd w:id="399"/>
    <w:bookmarkStart w:id="400" w:name="X3286b340e7c6b11e1cc19875b8d66cbb0a8573d"/>
    <w:p>
      <w:pPr>
        <w:pStyle w:val="Heading3"/>
      </w:pPr>
      <w:r>
        <w:t xml:space="preserve">Page 373 — Rik 9: word-meanings, English, Special Topics</w:t>
      </w:r>
    </w:p>
    <w:p>
      <w:pPr>
        <w:pStyle w:val="FirstParagraph"/>
      </w:pPr>
      <w:r>
        <w:rPr>
          <w:bCs/>
          <w:b/>
        </w:rPr>
        <w:t xml:space="preserve">॥ Prati-padārthaḥ ॥</w:t>
      </w:r>
    </w:p>
    <w:p>
      <w:pPr>
        <w:pStyle w:val="BodyText"/>
      </w:pPr>
      <w:r>
        <w:rPr>
          <w:bCs/>
          <w:b/>
        </w:rPr>
        <w:t xml:space="preserve">वसोः (vasoḥ)</w:t>
      </w:r>
      <w:r>
        <w:t xml:space="preserve"> </w:t>
      </w:r>
      <w:r>
        <w:t xml:space="preserve">— (our) wealth’s |</w:t>
      </w:r>
      <w:r>
        <w:t xml:space="preserve"> </w:t>
      </w:r>
      <w:r>
        <w:rPr>
          <w:bCs/>
          <w:b/>
        </w:rPr>
        <w:t xml:space="preserve">ऊतये (ūtaye)</w:t>
      </w:r>
      <w:r>
        <w:t xml:space="preserve"> </w:t>
      </w:r>
      <w:r>
        <w:t xml:space="preserve">— for protection |</w:t>
      </w:r>
      <w:r>
        <w:t xml:space="preserve"> </w:t>
      </w:r>
      <w:r>
        <w:rPr>
          <w:bCs/>
          <w:b/>
        </w:rPr>
        <w:t xml:space="preserve">वसुपतिम् (vasupatim)</w:t>
      </w:r>
      <w:r>
        <w:t xml:space="preserve"> </w:t>
      </w:r>
      <w:r>
        <w:t xml:space="preserve">— the lord of wealth and splendour |</w:t>
      </w:r>
      <w:r>
        <w:t xml:space="preserve"> </w:t>
      </w:r>
      <w:r>
        <w:rPr>
          <w:bCs/>
          <w:b/>
        </w:rPr>
        <w:t xml:space="preserve">ऋग्मियम् (ṛgmiyam)</w:t>
      </w:r>
      <w:r>
        <w:t xml:space="preserve"> </w:t>
      </w:r>
      <w:r>
        <w:t xml:space="preserve">— worthy of being praised by ṛks |</w:t>
      </w:r>
      <w:r>
        <w:t xml:space="preserve"> </w:t>
      </w:r>
      <w:r>
        <w:rPr>
          <w:bCs/>
          <w:b/>
        </w:rPr>
        <w:t xml:space="preserve">गन्तारम् (gantāram)</w:t>
      </w:r>
      <w:r>
        <w:t xml:space="preserve"> </w:t>
      </w:r>
      <w:r>
        <w:t xml:space="preserve">— one who goes to the sacrificial ground (for the protection of the sacrificer) |</w:t>
      </w:r>
      <w:r>
        <w:t xml:space="preserve"> </w:t>
      </w:r>
      <w:r>
        <w:rPr>
          <w:bCs/>
          <w:b/>
        </w:rPr>
        <w:t xml:space="preserve">इन्द्रम् (indram)</w:t>
      </w:r>
      <w:r>
        <w:t xml:space="preserve"> </w:t>
      </w:r>
      <w:r>
        <w:t xml:space="preserve">— Indra |</w:t>
      </w:r>
      <w:r>
        <w:t xml:space="preserve"> </w:t>
      </w:r>
      <w:r>
        <w:rPr>
          <w:bCs/>
          <w:b/>
        </w:rPr>
        <w:t xml:space="preserve">गीर्भिः (gīrbhiḥ)</w:t>
      </w:r>
      <w:r>
        <w:t xml:space="preserve"> </w:t>
      </w:r>
      <w:r>
        <w:t xml:space="preserve">— with hymns in the form of speech |</w:t>
      </w:r>
      <w:r>
        <w:t xml:space="preserve"> </w:t>
      </w:r>
      <w:r>
        <w:rPr>
          <w:bCs/>
          <w:b/>
        </w:rPr>
        <w:t xml:space="preserve">गृणन्तः (gṛṇantaḥ)</w:t>
      </w:r>
      <w:r>
        <w:t xml:space="preserve"> </w:t>
      </w:r>
      <w:r>
        <w:t xml:space="preserve">— praising |</w:t>
      </w:r>
      <w:r>
        <w:t xml:space="preserve"> </w:t>
      </w:r>
      <w:r>
        <w:rPr>
          <w:bCs/>
          <w:b/>
        </w:rPr>
        <w:t xml:space="preserve">होम (homa)</w:t>
      </w:r>
      <w:r>
        <w:t xml:space="preserve"> </w:t>
      </w:r>
      <w:r>
        <w:t xml:space="preserve">— we call.</w:t>
      </w:r>
    </w:p>
    <w:p>
      <w:pPr>
        <w:pStyle w:val="BodyText"/>
      </w:pPr>
      <w:r>
        <w:rPr>
          <w:bCs/>
          <w:b/>
        </w:rPr>
        <w:t xml:space="preserve">॥ Bhāvārthaḥ ॥</w:t>
      </w:r>
    </w:p>
    <w:p>
      <w:pPr>
        <w:pStyle w:val="BodyText"/>
      </w:pPr>
      <w:r>
        <w:t xml:space="preserve">Indra is the lord of wealth and splendour; he is worthy of being praised with ṛks (Vedic mantras); he goes to the sacrificial ground and protects the sacrificers and others. We call such an Indra with hymns for the protection of our wealth.</w:t>
      </w:r>
    </w:p>
    <w:p>
      <w:pPr>
        <w:pStyle w:val="BodyText"/>
      </w:pPr>
      <w:r>
        <w:rPr>
          <w:bCs/>
          <w:b/>
        </w:rPr>
        <w:t xml:space="preserve">॥ English Translation ॥</w:t>
      </w:r>
      <w:r>
        <w:t xml:space="preserve"> </w:t>
      </w:r>
      <w:r>
        <w:rPr>
          <w:iCs/>
          <w:i/>
        </w:rPr>
        <w:t xml:space="preserve">(as printed in the source)</w:t>
      </w:r>
    </w:p>
    <w:p>
      <w:pPr>
        <w:pStyle w:val="BlockText"/>
      </w:pPr>
      <w:r>
        <w:t xml:space="preserve">Praising with songs we invoke Indra, the lord of riches, who deserves to be praised and who goes (to protect his worshipper).</w:t>
      </w:r>
    </w:p>
    <w:p>
      <w:pPr>
        <w:pStyle w:val="FirstParagraph"/>
      </w:pPr>
      <w:r>
        <w:rPr>
          <w:bCs/>
          <w:b/>
        </w:rPr>
        <w:t xml:space="preserve">॥ Viśeṣa-viṣayagaḷu (Special Topics) ॥</w:t>
      </w:r>
    </w:p>
    <w:p>
      <w:pPr>
        <w:pStyle w:val="BodyText"/>
      </w:pPr>
      <w:r>
        <w:rPr>
          <w:bCs/>
          <w:b/>
        </w:rPr>
        <w:t xml:space="preserve">“</w:t>
      </w:r>
      <w:r>
        <w:rPr>
          <w:bCs/>
          <w:b/>
        </w:rPr>
        <w:t xml:space="preserve">Vasupatim</w:t>
      </w:r>
      <w:r>
        <w:rPr>
          <w:bCs/>
          <w:b/>
        </w:rPr>
        <w:t xml:space="preserve">”</w:t>
      </w:r>
      <w:r>
        <w:t xml:space="preserve"> </w:t>
      </w:r>
      <w:r>
        <w:t xml:space="preserve">—</w:t>
      </w:r>
      <w:r>
        <w:t xml:space="preserve"> </w:t>
      </w:r>
      <w:r>
        <w:rPr>
          <w:iCs/>
          <w:i/>
        </w:rPr>
        <w:t xml:space="preserve">vasu</w:t>
      </w:r>
      <w:r>
        <w:t xml:space="preserve"> </w:t>
      </w:r>
      <w:r>
        <w:t xml:space="preserve">is wealth,</w:t>
      </w:r>
      <w:r>
        <w:t xml:space="preserve"> </w:t>
      </w:r>
      <w:r>
        <w:rPr>
          <w:iCs/>
          <w:i/>
        </w:rPr>
        <w:t xml:space="preserve">pati</w:t>
      </w:r>
      <w:r>
        <w:t xml:space="preserve"> </w:t>
      </w:r>
      <w:r>
        <w:t xml:space="preserve">is lord; the lord of wealth, the master of wealth. Although the word</w:t>
      </w:r>
      <w:r>
        <w:t xml:space="preserve"> </w:t>
      </w:r>
      <w:r>
        <w:rPr>
          <w:iCs/>
          <w:i/>
        </w:rPr>
        <w:t xml:space="preserve">vasoḥ</w:t>
      </w:r>
      <w:r>
        <w:t xml:space="preserve"> </w:t>
      </w:r>
      <w:r>
        <w:t xml:space="preserve">is already in this rik, the word</w:t>
      </w:r>
      <w:r>
        <w:t xml:space="preserve"> </w:t>
      </w:r>
      <w:r>
        <w:rPr>
          <w:iCs/>
          <w:i/>
        </w:rPr>
        <w:t xml:space="preserve">vasupatim</w:t>
      </w:r>
      <w:r>
        <w:t xml:space="preserve"> </w:t>
      </w:r>
      <w:r>
        <w:t xml:space="preserve">is used again — would there not then be a fault of repetition? No: such usages are found especially often in the Ṛgveda. When using a customary (settled) group of words, one need not attend to whether it is faulty by repetition or contrary to the rules of grammar. Because everyone uses what is settled in usage, its use is regarded as right; for the rules of grammar and the like are composed following the established practice of the language. The root of grammar is language, not the root of language grammar. Such usages with repetition are needed in the Ṛgveda in plenty. We give a couple of examples:</w:t>
      </w:r>
    </w:p>
    <w:p>
      <w:pPr>
        <w:pStyle w:val="BlockText"/>
      </w:pPr>
      <w:r>
        <w:t xml:space="preserve">ऊर्व इव पप्रथे कामो अस्मे तमा पृण वसुपते वसूनाम् ॥</w:t>
      </w:r>
      <w:r>
        <w:t xml:space="preserve"> </w:t>
      </w:r>
      <w:r>
        <w:rPr>
          <w:iCs/>
          <w:i/>
        </w:rPr>
        <w:t xml:space="preserve">ūrva iva paprathe kāmo asme tam ā pṛṇa vasupate vasūnām ||</w:t>
      </w:r>
      <w:r>
        <w:t xml:space="preserve"> </w:t>
      </w:r>
      <w:r>
        <w:t xml:space="preserve">(ऋ. सं. ३-३०-१९ — Ṛgveda Saṃhitā 3-30-19)</w:t>
      </w:r>
      <w:r>
        <w:t xml:space="preserve"> </w:t>
      </w:r>
      <w:r>
        <w:rPr>
          <w:iCs/>
          <w:i/>
        </w:rPr>
        <w:t xml:space="preserve">(</w:t>
      </w:r>
      <w:r>
        <w:rPr>
          <w:iCs/>
          <w:i/>
        </w:rPr>
        <w:t xml:space="preserve">“</w:t>
      </w:r>
      <w:r>
        <w:rPr>
          <w:iCs/>
          <w:i/>
        </w:rPr>
        <w:t xml:space="preserve">As if like an expanse my desire has spread [for me]; fill it, O lord of riches, of the riches.</w:t>
      </w:r>
      <w:r>
        <w:rPr>
          <w:iCs/>
          <w:i/>
        </w:rPr>
        <w:t xml:space="preserve">”</w:t>
      </w:r>
      <w:r>
        <w:rPr>
          <w:iCs/>
          <w:i/>
        </w:rPr>
        <w:t xml:space="preserve"> </w:t>
      </w:r>
      <w:r>
        <w:rPr>
          <w:iCs/>
          <w:i/>
        </w:rPr>
        <w:t xml:space="preserve">— mine and tentative.)</w:t>
      </w:r>
    </w:p>
    <w:p>
      <w:pPr>
        <w:pStyle w:val="BlockText"/>
      </w:pPr>
      <w:r>
        <w:t xml:space="preserve">आ तू भर माकिरेतत्परिष्ठाद्विद्मा हि त्वा वसुपतिं वसूनाम् ॥</w:t>
      </w:r>
      <w:r>
        <w:t xml:space="preserve"> </w:t>
      </w:r>
      <w:r>
        <w:rPr>
          <w:iCs/>
          <w:i/>
        </w:rPr>
        <w:t xml:space="preserve">ā tū bhara mākir etat pariṣṭhād vidmā hi tvā vasupatiṃ vasūnām ||</w:t>
      </w:r>
      <w:r>
        <w:t xml:space="preserve"> </w:t>
      </w:r>
      <w:r>
        <w:t xml:space="preserve">(ऋ. सं. ३-३६-९ — Ṛgveda Saṃhitā 3-36-9)</w:t>
      </w:r>
      <w:r>
        <w:t xml:space="preserve"> </w:t>
      </w:r>
      <w:r>
        <w:rPr>
          <w:iCs/>
          <w:i/>
        </w:rPr>
        <w:t xml:space="preserve">(</w:t>
      </w:r>
      <w:r>
        <w:rPr>
          <w:iCs/>
          <w:i/>
        </w:rPr>
        <w:t xml:space="preserve">“</w:t>
      </w:r>
      <w:r>
        <w:rPr>
          <w:iCs/>
          <w:i/>
        </w:rPr>
        <w:t xml:space="preserve">Bring [it] now; let none hinder this; for we know you as lord of riches of riches.</w:t>
      </w:r>
      <w:r>
        <w:rPr>
          <w:iCs/>
          <w:i/>
        </w:rPr>
        <w:t xml:space="preserve">”</w:t>
      </w:r>
      <w:r>
        <w:rPr>
          <w:iCs/>
          <w:i/>
        </w:rPr>
        <w:t xml:space="preserve"> </w:t>
      </w:r>
      <w:r>
        <w:rPr>
          <w:iCs/>
          <w:i/>
        </w:rPr>
        <w:t xml:space="preserve">— mine and tentative.)</w:t>
      </w:r>
    </w:p>
    <w:bookmarkEnd w:id="400"/>
    <w:bookmarkStart w:id="401" w:name="Xa65abc2fe7f46705527d8e3b0522d1d5cbbe786"/>
    <w:p>
      <w:pPr>
        <w:pStyle w:val="Heading3"/>
      </w:pPr>
      <w:r>
        <w:t xml:space="preserve">Page 374 — Rik 9: Special Topics (continued) and grammar</w:t>
      </w:r>
    </w:p>
    <w:p>
      <w:pPr>
        <w:pStyle w:val="FirstParagraph"/>
      </w:pPr>
      <w:r>
        <w:rPr>
          <w:iCs/>
          <w:i/>
        </w:rPr>
        <w:t xml:space="preserve">(The page opens with the end of the second quoted rik from p. 373, and a third:)</w:t>
      </w:r>
    </w:p>
    <w:p>
      <w:pPr>
        <w:pStyle w:val="BlockText"/>
      </w:pPr>
      <w:r>
        <w:t xml:space="preserve">सत्राभवो वसुपतिर्वसूनां दत्रे विश्वा अधिथा इन्द्र कृष्टीः ॥</w:t>
      </w:r>
      <w:r>
        <w:t xml:space="preserve"> </w:t>
      </w:r>
      <w:r>
        <w:rPr>
          <w:iCs/>
          <w:i/>
        </w:rPr>
        <w:t xml:space="preserve">satrābhavo vasupatir vasūnāṃ datre viśvā adhithā indra kṛṣṭīḥ ||</w:t>
      </w:r>
      <w:r>
        <w:t xml:space="preserve"> </w:t>
      </w:r>
      <w:r>
        <w:t xml:space="preserve">(ऋ. सं. ४-१७-६ — Ṛgveda Saṃhitā 4-17-6)</w:t>
      </w:r>
      <w:r>
        <w:t xml:space="preserve"> </w:t>
      </w:r>
      <w:r>
        <w:rPr>
          <w:iCs/>
          <w:i/>
        </w:rPr>
        <w:t xml:space="preserve">(</w:t>
      </w:r>
      <w:r>
        <w:rPr>
          <w:iCs/>
          <w:i/>
        </w:rPr>
        <w:t xml:space="preserve">“</w:t>
      </w:r>
      <w:r>
        <w:rPr>
          <w:iCs/>
          <w:i/>
        </w:rPr>
        <w:t xml:space="preserve">You were the lord of riches, of riches in giving; you held all the peoples, O Indra.</w:t>
      </w:r>
      <w:r>
        <w:rPr>
          <w:iCs/>
          <w:i/>
        </w:rPr>
        <w:t xml:space="preserve">”</w:t>
      </w:r>
      <w:r>
        <w:rPr>
          <w:iCs/>
          <w:i/>
        </w:rPr>
        <w:t xml:space="preserve"> </w:t>
      </w:r>
      <w:r>
        <w:rPr>
          <w:iCs/>
          <w:i/>
        </w:rPr>
        <w:t xml:space="preserve">— mine and tentative.)</w:t>
      </w:r>
    </w:p>
    <w:p>
      <w:pPr>
        <w:pStyle w:val="FirstParagraph"/>
      </w:pPr>
      <w:r>
        <w:rPr>
          <w:iCs/>
          <w:i/>
        </w:rPr>
        <w:t xml:space="preserve">“</w:t>
      </w:r>
      <w:r>
        <w:rPr>
          <w:iCs/>
          <w:i/>
        </w:rPr>
        <w:t xml:space="preserve">…and so on.</w:t>
      </w:r>
      <w:r>
        <w:rPr>
          <w:iCs/>
          <w:i/>
        </w:rPr>
        <w:t xml:space="preserve">”</w:t>
      </w:r>
      <w:r>
        <w:t xml:space="preserve"> </w:t>
      </w:r>
      <w:r>
        <w:t xml:space="preserve">All these riks are addressed to Indra. So it may be said that calling Indra</w:t>
      </w:r>
      <w:r>
        <w:t xml:space="preserve"> </w:t>
      </w:r>
      <w:r>
        <w:rPr>
          <w:iCs/>
          <w:i/>
        </w:rPr>
        <w:t xml:space="preserve">vasupati</w:t>
      </w:r>
      <w:r>
        <w:t xml:space="preserve"> </w:t>
      </w:r>
      <w:r>
        <w:t xml:space="preserve">is an established usage.</w:t>
      </w:r>
    </w:p>
    <w:p>
      <w:pPr>
        <w:pStyle w:val="BodyText"/>
      </w:pPr>
      <w:r>
        <w:rPr>
          <w:bCs/>
          <w:b/>
        </w:rPr>
        <w:t xml:space="preserve">“</w:t>
      </w:r>
      <w:r>
        <w:rPr>
          <w:bCs/>
          <w:b/>
        </w:rPr>
        <w:t xml:space="preserve">Ṛgmiyam</w:t>
      </w:r>
      <w:r>
        <w:rPr>
          <w:bCs/>
          <w:b/>
        </w:rPr>
        <w:t xml:space="preserve">”</w:t>
      </w:r>
      <w:r>
        <w:t xml:space="preserve"> </w:t>
      </w:r>
      <w:r>
        <w:t xml:space="preserve">—</w:t>
      </w:r>
      <w:r>
        <w:t xml:space="preserve"> </w:t>
      </w:r>
      <w:r>
        <w:rPr>
          <w:bCs/>
          <w:b/>
        </w:rPr>
        <w:t xml:space="preserve">ऋचो मिमीत इत्यृग्मियः । ऋचां मातारम्</w:t>
      </w:r>
      <w:r>
        <w:t xml:space="preserve"> </w:t>
      </w:r>
      <w:r>
        <w:t xml:space="preserve">(</w:t>
      </w:r>
      <w:r>
        <w:rPr>
          <w:iCs/>
          <w:i/>
        </w:rPr>
        <w:t xml:space="preserve">ṛco mimīta ity ṛgmiyaḥ | ṛcāṃ mātāram</w:t>
      </w:r>
      <w:r>
        <w:t xml:space="preserve">) —</w:t>
      </w:r>
      <w:r>
        <w:t xml:space="preserve"> </w:t>
      </w:r>
      <w:r>
        <w:t xml:space="preserve">“</w:t>
      </w:r>
      <w:r>
        <w:t xml:space="preserve">one who measures the ṛks is</w:t>
      </w:r>
      <w:r>
        <w:t xml:space="preserve"> </w:t>
      </w:r>
      <w:r>
        <w:rPr>
          <w:iCs/>
          <w:i/>
        </w:rPr>
        <w:t xml:space="preserve">ṛgmiya</w:t>
      </w:r>
      <w:r>
        <w:t xml:space="preserve">; the</w:t>
      </w:r>
      <w:r>
        <w:t xml:space="preserve"> </w:t>
      </w:r>
      <w:r>
        <w:t xml:space="preserve">‘</w:t>
      </w:r>
      <w:r>
        <w:t xml:space="preserve">maker</w:t>
      </w:r>
      <w:r>
        <w:t xml:space="preserve">’</w:t>
      </w:r>
      <w:r>
        <w:t xml:space="preserve"> </w:t>
      </w:r>
      <w:r>
        <w:t xml:space="preserve">of the ṛks</w:t>
      </w:r>
      <w:r>
        <w:t xml:space="preserve">”</w:t>
      </w:r>
      <w:r>
        <w:t xml:space="preserve">: the Bhāṣyakāra explains it as</w:t>
      </w:r>
      <w:r>
        <w:t xml:space="preserve"> </w:t>
      </w:r>
      <w:r>
        <w:t xml:space="preserve">“</w:t>
      </w:r>
      <w:r>
        <w:t xml:space="preserve">one who is praised by ṛks,</w:t>
      </w:r>
      <w:r>
        <w:t xml:space="preserve">”</w:t>
      </w:r>
      <w:r>
        <w:t xml:space="preserve"> </w:t>
      </w:r>
      <w:r>
        <w:t xml:space="preserve">i.e., one who is hymned.</w:t>
      </w:r>
      <w:r>
        <w:t xml:space="preserve"> </w:t>
      </w:r>
      <w:r>
        <w:rPr>
          <w:bCs/>
          <w:b/>
        </w:rPr>
        <w:t xml:space="preserve">Skandasvāmī:</w:t>
      </w:r>
      <w:r>
        <w:t xml:space="preserve"> </w:t>
      </w:r>
      <w:r>
        <w:rPr>
          <w:bCs/>
          <w:b/>
        </w:rPr>
        <w:t xml:space="preserve">ऋग्मियं । ऋचि स्तुतौ । अर्चना ऋक् । संपदादित्वात् क्विप् । तद्वन्तं स्तुतियोग्यमित्यर्थः</w:t>
      </w:r>
      <w:r>
        <w:t xml:space="preserve"> </w:t>
      </w:r>
      <w:r>
        <w:t xml:space="preserve">(</w:t>
      </w:r>
      <w:r>
        <w:rPr>
          <w:iCs/>
          <w:i/>
        </w:rPr>
        <w:t xml:space="preserve">ṛgmiyaṃ | ṛci stutau | arcanā ṛk | saṃpadāditvāt kvip | tadvantaṃ stuti-yogyam ity arthaḥ</w:t>
      </w:r>
      <w:r>
        <w:t xml:space="preserve">) —</w:t>
      </w:r>
      <w:r>
        <w:t xml:space="preserve"> </w:t>
      </w:r>
      <w:r>
        <w:t xml:space="preserve">“</w:t>
      </w:r>
      <w:r>
        <w:rPr>
          <w:iCs/>
          <w:i/>
        </w:rPr>
        <w:t xml:space="preserve">ṛgmiya</w:t>
      </w:r>
      <w:r>
        <w:t xml:space="preserve">: [root]</w:t>
      </w:r>
      <w:r>
        <w:t xml:space="preserve"> </w:t>
      </w:r>
      <w:r>
        <w:rPr>
          <w:iCs/>
          <w:i/>
        </w:rPr>
        <w:t xml:space="preserve">ṛc</w:t>
      </w:r>
      <w:r>
        <w:t xml:space="preserve"> </w:t>
      </w:r>
      <w:r>
        <w:t xml:space="preserve">in the sense of praise;</w:t>
      </w:r>
      <w:r>
        <w:t xml:space="preserve"> </w:t>
      </w:r>
      <w:r>
        <w:rPr>
          <w:iCs/>
          <w:i/>
        </w:rPr>
        <w:t xml:space="preserve">ṛk</w:t>
      </w:r>
      <w:r>
        <w:t xml:space="preserve"> </w:t>
      </w:r>
      <w:r>
        <w:t xml:space="preserve">is worship (</w:t>
      </w:r>
      <w:r>
        <w:rPr>
          <w:iCs/>
          <w:i/>
        </w:rPr>
        <w:t xml:space="preserve">arcanā</w:t>
      </w:r>
      <w:r>
        <w:t xml:space="preserve">), with</w:t>
      </w:r>
      <w:r>
        <w:t xml:space="preserve"> </w:t>
      </w:r>
      <w:r>
        <w:rPr>
          <w:iCs/>
          <w:i/>
        </w:rPr>
        <w:t xml:space="preserve">kvip</w:t>
      </w:r>
      <w:r>
        <w:t xml:space="preserve"> </w:t>
      </w:r>
      <w:r>
        <w:t xml:space="preserve">as it belongs to the</w:t>
      </w:r>
      <w:r>
        <w:t xml:space="preserve"> </w:t>
      </w:r>
      <w:r>
        <w:rPr>
          <w:iCs/>
          <w:i/>
        </w:rPr>
        <w:t xml:space="preserve">saṃpadādi</w:t>
      </w:r>
      <w:r>
        <w:t xml:space="preserve"> </w:t>
      </w:r>
      <w:r>
        <w:t xml:space="preserve">group; [the one] possessed of it, that is, worthy of praise.</w:t>
      </w:r>
      <w:r>
        <w:t xml:space="preserve">”</w:t>
      </w:r>
      <w:r>
        <w:t xml:space="preserve"> </w:t>
      </w:r>
      <w:r>
        <w:t xml:space="preserve">That is,</w:t>
      </w:r>
      <w:r>
        <w:t xml:space="preserve"> </w:t>
      </w:r>
      <w:r>
        <w:rPr>
          <w:iCs/>
          <w:i/>
        </w:rPr>
        <w:t xml:space="preserve">ṛgmiya</w:t>
      </w:r>
      <w:r>
        <w:t xml:space="preserve"> </w:t>
      </w:r>
      <w:r>
        <w:t xml:space="preserve">means</w:t>
      </w:r>
      <w:r>
        <w:t xml:space="preserve"> </w:t>
      </w:r>
      <w:r>
        <w:t xml:space="preserve">“</w:t>
      </w:r>
      <w:r>
        <w:t xml:space="preserve">worthy of being praised.</w:t>
      </w:r>
      <w:r>
        <w:t xml:space="preserve">”</w:t>
      </w:r>
      <w:r>
        <w:t xml:space="preserve"> </w:t>
      </w:r>
      <w:r>
        <w:rPr>
          <w:bCs/>
          <w:b/>
        </w:rPr>
        <w:t xml:space="preserve">Veṅkaṭamādhava</w:t>
      </w:r>
      <w:r>
        <w:t xml:space="preserve"> </w:t>
      </w:r>
      <w:r>
        <w:t xml:space="preserve">says</w:t>
      </w:r>
      <w:r>
        <w:t xml:space="preserve"> </w:t>
      </w:r>
      <w:r>
        <w:rPr>
          <w:iCs/>
          <w:i/>
        </w:rPr>
        <w:t xml:space="preserve">ṛgarham</w:t>
      </w:r>
      <w:r>
        <w:t xml:space="preserve"> </w:t>
      </w:r>
      <w:r>
        <w:t xml:space="preserve">—</w:t>
      </w:r>
      <w:r>
        <w:t xml:space="preserve"> </w:t>
      </w:r>
      <w:r>
        <w:t xml:space="preserve">“</w:t>
      </w:r>
      <w:r>
        <w:t xml:space="preserve">worthy of ṛks,</w:t>
      </w:r>
      <w:r>
        <w:t xml:space="preserve">”</w:t>
      </w:r>
      <w:r>
        <w:t xml:space="preserve"> </w:t>
      </w:r>
      <w:r>
        <w:t xml:space="preserve">that is, worthy of being praised with ṛks.</w:t>
      </w:r>
    </w:p>
    <w:p>
      <w:pPr>
        <w:pStyle w:val="BodyText"/>
      </w:pPr>
      <w:r>
        <w:rPr>
          <w:bCs/>
          <w:b/>
        </w:rPr>
        <w:t xml:space="preserve">“</w:t>
      </w:r>
      <w:r>
        <w:rPr>
          <w:bCs/>
          <w:b/>
        </w:rPr>
        <w:t xml:space="preserve">Homa</w:t>
      </w:r>
      <w:r>
        <w:rPr>
          <w:bCs/>
          <w:b/>
        </w:rPr>
        <w:t xml:space="preserve">”</w:t>
      </w:r>
      <w:r>
        <w:t xml:space="preserve"> </w:t>
      </w:r>
      <w:r>
        <w:t xml:space="preserve">—</w:t>
      </w:r>
      <w:r>
        <w:t xml:space="preserve"> </w:t>
      </w:r>
      <w:r>
        <w:rPr>
          <w:iCs/>
          <w:i/>
        </w:rPr>
        <w:t xml:space="preserve">āhvayāmaḥ</w:t>
      </w:r>
      <w:r>
        <w:t xml:space="preserve">,</w:t>
      </w:r>
      <w:r>
        <w:t xml:space="preserve"> </w:t>
      </w:r>
      <w:r>
        <w:t xml:space="preserve">“</w:t>
      </w:r>
      <w:r>
        <w:t xml:space="preserve">we invoke, we call.</w:t>
      </w:r>
      <w:r>
        <w:t xml:space="preserve">”</w:t>
      </w:r>
      <w:r>
        <w:t xml:space="preserve"> </w:t>
      </w:r>
      <w:r>
        <w:t xml:space="preserve">The word is the first-person plural</w:t>
      </w:r>
      <w:r>
        <w:t xml:space="preserve"> </w:t>
      </w:r>
      <w:r>
        <w:rPr>
          <w:iCs/>
          <w:i/>
        </w:rPr>
        <w:t xml:space="preserve">laṭ</w:t>
      </w:r>
      <w:r>
        <w:t xml:space="preserve"> </w:t>
      </w:r>
      <w:r>
        <w:t xml:space="preserve">of the root</w:t>
      </w:r>
      <w:r>
        <w:t xml:space="preserve"> </w:t>
      </w:r>
      <w:r>
        <w:rPr>
          <w:iCs/>
          <w:i/>
        </w:rPr>
        <w:t xml:space="preserve">hveñ spardhāyāṃ śabde ca</w:t>
      </w:r>
      <w:r>
        <w:t xml:space="preserve">. For its derivation see the grammar section.</w:t>
      </w:r>
    </w:p>
    <w:p>
      <w:pPr>
        <w:pStyle w:val="BodyText"/>
      </w:pPr>
      <w:r>
        <w:rPr>
          <w:bCs/>
          <w:b/>
        </w:rPr>
        <w:t xml:space="preserve">“</w:t>
      </w:r>
      <w:r>
        <w:rPr>
          <w:bCs/>
          <w:b/>
        </w:rPr>
        <w:t xml:space="preserve">Gantāram</w:t>
      </w:r>
      <w:r>
        <w:rPr>
          <w:bCs/>
          <w:b/>
        </w:rPr>
        <w:t xml:space="preserve">”</w:t>
      </w:r>
      <w:r>
        <w:t xml:space="preserve"> </w:t>
      </w:r>
      <w:r>
        <w:t xml:space="preserve">— the accusative singular of the</w:t>
      </w:r>
      <w:r>
        <w:t xml:space="preserve"> </w:t>
      </w:r>
      <w:r>
        <w:rPr>
          <w:iCs/>
          <w:i/>
        </w:rPr>
        <w:t xml:space="preserve">ṛ</w:t>
      </w:r>
      <w:r>
        <w:t xml:space="preserve">-ending word</w:t>
      </w:r>
      <w:r>
        <w:t xml:space="preserve"> </w:t>
      </w:r>
      <w:r>
        <w:rPr>
          <w:iCs/>
          <w:i/>
        </w:rPr>
        <w:t xml:space="preserve">gantṛ</w:t>
      </w:r>
      <w:r>
        <w:t xml:space="preserve">. The meaning is</w:t>
      </w:r>
      <w:r>
        <w:t xml:space="preserve"> </w:t>
      </w:r>
      <w:r>
        <w:t xml:space="preserve">“</w:t>
      </w:r>
      <w:r>
        <w:t xml:space="preserve">one who goes.</w:t>
      </w:r>
      <w:r>
        <w:t xml:space="preserve">”</w:t>
      </w:r>
      <w:r>
        <w:t xml:space="preserve"> </w:t>
      </w:r>
      <w:r>
        <w:t xml:space="preserve">Where does he go? The Bhāṣyakāra says to supply the words</w:t>
      </w:r>
      <w:r>
        <w:t xml:space="preserve"> </w:t>
      </w:r>
      <w:r>
        <w:rPr>
          <w:bCs/>
          <w:b/>
        </w:rPr>
        <w:t xml:space="preserve">यागदेशे गमनशीलम्</w:t>
      </w:r>
      <w:r>
        <w:t xml:space="preserve"> </w:t>
      </w:r>
      <w:r>
        <w:t xml:space="preserve">(</w:t>
      </w:r>
      <w:r>
        <w:rPr>
          <w:iCs/>
          <w:i/>
        </w:rPr>
        <w:t xml:space="preserve">yāgadeśe gamanaśīlam</w:t>
      </w:r>
      <w:r>
        <w:t xml:space="preserve">) —</w:t>
      </w:r>
      <w:r>
        <w:t xml:space="preserve"> </w:t>
      </w:r>
      <w:r>
        <w:t xml:space="preserve">“</w:t>
      </w:r>
      <w:r>
        <w:t xml:space="preserve">in the habit of going to the place of sacrifice</w:t>
      </w:r>
      <w:r>
        <w:t xml:space="preserve">”</w:t>
      </w:r>
      <w:r>
        <w:t xml:space="preserve"> </w:t>
      </w:r>
      <w:r>
        <w:t xml:space="preserve">— to make the sense: one who goes to the sacrificial ground to protect the sacrificer.</w:t>
      </w:r>
    </w:p>
    <w:p>
      <w:pPr>
        <w:pStyle w:val="BodyText"/>
      </w:pPr>
      <w:r>
        <w:rPr>
          <w:bCs/>
          <w:b/>
        </w:rPr>
        <w:t xml:space="preserve">॥ Vyākaraṇa-prakriyā ॥</w:t>
      </w:r>
      <w:r>
        <w:t xml:space="preserve"> </w:t>
      </w:r>
      <w:r>
        <w:rPr>
          <w:iCs/>
          <w:i/>
        </w:rPr>
        <w:t xml:space="preserve">(grammar pages 374–376, noted briefly)</w:t>
      </w:r>
    </w:p>
    <w:p>
      <w:pPr>
        <w:pStyle w:val="BodyText"/>
      </w:pPr>
      <w:r>
        <w:rPr>
          <w:bCs/>
          <w:b/>
        </w:rPr>
        <w:t xml:space="preserve">वसोः (</w:t>
      </w:r>
      <w:r>
        <w:rPr>
          <w:iCs/>
          <w:i/>
          <w:bCs/>
          <w:b/>
        </w:rPr>
        <w:t xml:space="preserve">vasoḥ</w:t>
      </w:r>
      <w:r>
        <w:rPr>
          <w:bCs/>
          <w:b/>
        </w:rPr>
        <w:t xml:space="preserve">)</w:t>
      </w:r>
      <w:r>
        <w:t xml:space="preserve"> </w:t>
      </w:r>
      <w:r>
        <w:t xml:space="preserve">— root</w:t>
      </w:r>
      <w:r>
        <w:t xml:space="preserve"> </w:t>
      </w:r>
      <w:r>
        <w:rPr>
          <w:iCs/>
          <w:i/>
        </w:rPr>
        <w:t xml:space="preserve">vasa nivāse</w:t>
      </w:r>
      <w:r>
        <w:t xml:space="preserve">; the Uṇādi sūtra</w:t>
      </w:r>
      <w:r>
        <w:t xml:space="preserve"> </w:t>
      </w:r>
      <w:r>
        <w:t xml:space="preserve">“</w:t>
      </w:r>
      <w:r>
        <w:t xml:space="preserve">śṝ-svṛ-snihi-trapy-asi-vasi-hani-klidi-bandhi-manibhyaś ca</w:t>
      </w:r>
      <w:r>
        <w:t xml:space="preserve">”</w:t>
      </w:r>
      <w:r>
        <w:t xml:space="preserve"> </w:t>
      </w:r>
      <w:r>
        <w:t xml:space="preserve">(Uṇ. 1-10) gives the suffix</w:t>
      </w:r>
      <w:r>
        <w:t xml:space="preserve"> </w:t>
      </w:r>
      <w:r>
        <w:rPr>
          <w:iCs/>
          <w:i/>
        </w:rPr>
        <w:t xml:space="preserve">u</w:t>
      </w:r>
      <w:r>
        <w:t xml:space="preserve"> </w:t>
      </w:r>
      <w:r>
        <w:t xml:space="preserve">after the roots</w:t>
      </w:r>
      <w:r>
        <w:t xml:space="preserve"> </w:t>
      </w:r>
      <w:r>
        <w:rPr>
          <w:iCs/>
          <w:i/>
        </w:rPr>
        <w:t xml:space="preserve">śṝ hiṃsāyām</w:t>
      </w:r>
      <w:r>
        <w:t xml:space="preserve">,</w:t>
      </w:r>
      <w:r>
        <w:t xml:space="preserve"> </w:t>
      </w:r>
      <w:r>
        <w:rPr>
          <w:iCs/>
          <w:i/>
        </w:rPr>
        <w:t xml:space="preserve">svṛ śabdopatāpayoḥ</w:t>
      </w:r>
      <w:r>
        <w:t xml:space="preserve">,</w:t>
      </w:r>
      <w:r>
        <w:t xml:space="preserve"> </w:t>
      </w:r>
      <w:r>
        <w:rPr>
          <w:iCs/>
          <w:i/>
        </w:rPr>
        <w:t xml:space="preserve">ṣṇiha upatāpe</w:t>
      </w:r>
      <w:r>
        <w:t xml:space="preserve"> </w:t>
      </w:r>
      <w:r>
        <w:t xml:space="preserve">[as printed],</w:t>
      </w:r>
      <w:r>
        <w:t xml:space="preserve"> </w:t>
      </w:r>
      <w:r>
        <w:rPr>
          <w:iCs/>
          <w:i/>
        </w:rPr>
        <w:t xml:space="preserve">trapūṣ lajjāyām</w:t>
      </w:r>
      <w:r>
        <w:t xml:space="preserve">,</w:t>
      </w:r>
      <w:r>
        <w:t xml:space="preserve"> </w:t>
      </w:r>
      <w:r>
        <w:rPr>
          <w:iCs/>
          <w:i/>
        </w:rPr>
        <w:t xml:space="preserve">asu kṣepaṇe</w:t>
      </w:r>
      <w:r>
        <w:t xml:space="preserve">,</w:t>
      </w:r>
      <w:r>
        <w:t xml:space="preserve"> </w:t>
      </w:r>
      <w:r>
        <w:rPr>
          <w:iCs/>
          <w:i/>
        </w:rPr>
        <w:t xml:space="preserve">vasa nivāse</w:t>
      </w:r>
      <w:r>
        <w:t xml:space="preserve">,</w:t>
      </w:r>
      <w:r>
        <w:t xml:space="preserve"> </w:t>
      </w:r>
      <w:r>
        <w:rPr>
          <w:iCs/>
          <w:i/>
        </w:rPr>
        <w:t xml:space="preserve">hana hiṃsāgatyoḥ</w:t>
      </w:r>
      <w:r>
        <w:t xml:space="preserve">,</w:t>
      </w:r>
      <w:r>
        <w:t xml:space="preserve"> </w:t>
      </w:r>
      <w:r>
        <w:rPr>
          <w:iCs/>
          <w:i/>
        </w:rPr>
        <w:t xml:space="preserve">klidū ārdrībhāve</w:t>
      </w:r>
      <w:r>
        <w:t xml:space="preserve">,</w:t>
      </w:r>
      <w:r>
        <w:t xml:space="preserve"> </w:t>
      </w:r>
      <w:r>
        <w:rPr>
          <w:iCs/>
          <w:i/>
        </w:rPr>
        <w:t xml:space="preserve">bandha bandhane</w:t>
      </w:r>
      <w:r>
        <w:t xml:space="preserve">,</w:t>
      </w:r>
      <w:r>
        <w:t xml:space="preserve"> </w:t>
      </w:r>
      <w:r>
        <w:rPr>
          <w:iCs/>
          <w:i/>
        </w:rPr>
        <w:t xml:space="preserve">mana jñāne</w:t>
      </w:r>
      <w:r>
        <w:t xml:space="preserve">; the suffix is</w:t>
      </w:r>
      <w:r>
        <w:t xml:space="preserve"> </w:t>
      </w:r>
      <w:r>
        <w:rPr>
          <w:iCs/>
          <w:i/>
        </w:rPr>
        <w:t xml:space="preserve">nit</w:t>
      </w:r>
      <w:r>
        <w:t xml:space="preserve">, so</w:t>
      </w:r>
      <w:r>
        <w:t xml:space="preserve"> </w:t>
      </w:r>
      <w:r>
        <w:rPr>
          <w:iCs/>
          <w:i/>
        </w:rPr>
        <w:t xml:space="preserve">vasu</w:t>
      </w:r>
      <w:r>
        <w:t xml:space="preserve"> </w:t>
      </w:r>
      <w:r>
        <w:t xml:space="preserve">is initial-udātta.</w:t>
      </w:r>
      <w:r>
        <w:t xml:space="preserve"> </w:t>
      </w:r>
      <w:r>
        <w:rPr>
          <w:bCs/>
          <w:b/>
        </w:rPr>
        <w:t xml:space="preserve">वसुपतिम् (</w:t>
      </w:r>
      <w:r>
        <w:rPr>
          <w:iCs/>
          <w:i/>
          <w:bCs/>
          <w:b/>
        </w:rPr>
        <w:t xml:space="preserve">vasupatim</w:t>
      </w:r>
      <w:r>
        <w:rPr>
          <w:bCs/>
          <w:b/>
        </w:rPr>
        <w:t xml:space="preserve">)</w:t>
      </w:r>
      <w:r>
        <w:t xml:space="preserve"> </w:t>
      </w:r>
      <w:r>
        <w:t xml:space="preserve">— compound accent: by</w:t>
      </w:r>
      <w:r>
        <w:t xml:space="preserve"> </w:t>
      </w:r>
      <w:r>
        <w:t xml:space="preserve">“</w:t>
      </w:r>
      <w:r>
        <w:t xml:space="preserve">samāsasya</w:t>
      </w:r>
      <w:r>
        <w:t xml:space="preserve">”</w:t>
      </w:r>
      <w:r>
        <w:t xml:space="preserve"> </w:t>
      </w:r>
      <w:r>
        <w:t xml:space="preserve">(Pā. 6-1-223) final-udātta would be expected; this is set aside by</w:t>
      </w:r>
      <w:r>
        <w:t xml:space="preserve"> </w:t>
      </w:r>
      <w:r>
        <w:t xml:space="preserve">“</w:t>
      </w:r>
      <w:r>
        <w:t xml:space="preserve">patyāv aiśvarye</w:t>
      </w:r>
      <w:r>
        <w:t xml:space="preserve">”</w:t>
      </w:r>
      <w:r>
        <w:t xml:space="preserve"> </w:t>
      </w:r>
      <w:r>
        <w:t xml:space="preserve">(Pā. 6-1-18 [as printed]; the bhāṣya on p. 372 prints 6-2-18) — when</w:t>
      </w:r>
      <w:r>
        <w:t xml:space="preserve"> </w:t>
      </w:r>
      <w:r>
        <w:rPr>
          <w:iCs/>
          <w:i/>
        </w:rPr>
        <w:t xml:space="preserve">pati</w:t>
      </w:r>
      <w:r>
        <w:t xml:space="preserve"> </w:t>
      </w:r>
      <w:r>
        <w:t xml:space="preserve">in the sense of lordship is the second member, the first member keeps its natural accent.</w:t>
      </w:r>
      <w:r>
        <w:t xml:space="preserve"> </w:t>
      </w:r>
      <w:r>
        <w:rPr>
          <w:bCs/>
          <w:b/>
        </w:rPr>
        <w:t xml:space="preserve">गीर्भिः (</w:t>
      </w:r>
      <w:r>
        <w:rPr>
          <w:iCs/>
          <w:i/>
          <w:bCs/>
          <w:b/>
        </w:rPr>
        <w:t xml:space="preserve">gīrbhiḥ</w:t>
      </w:r>
      <w:r>
        <w:rPr>
          <w:bCs/>
          <w:b/>
        </w:rPr>
        <w:t xml:space="preserve">)</w:t>
      </w:r>
      <w:r>
        <w:t xml:space="preserve"> </w:t>
      </w:r>
      <w:r>
        <w:t xml:space="preserve">—</w:t>
      </w:r>
      <w:r>
        <w:t xml:space="preserve"> </w:t>
      </w:r>
      <w:r>
        <w:t xml:space="preserve">“</w:t>
      </w:r>
      <w:r>
        <w:t xml:space="preserve">sāvekācas tṛtīyādir vibhaktiḥ</w:t>
      </w:r>
      <w:r>
        <w:t xml:space="preserve">”</w:t>
      </w:r>
      <w:r>
        <w:t xml:space="preserve"> </w:t>
      </w:r>
      <w:r>
        <w:t xml:space="preserve">(Pā. 6-1-168): the case ending is udātta.</w:t>
      </w:r>
      <w:r>
        <w:t xml:space="preserve"> </w:t>
      </w:r>
      <w:r>
        <w:rPr>
          <w:bCs/>
          <w:b/>
        </w:rPr>
        <w:t xml:space="preserve">गृणन्तः (</w:t>
      </w:r>
      <w:r>
        <w:rPr>
          <w:iCs/>
          <w:i/>
          <w:bCs/>
          <w:b/>
        </w:rPr>
        <w:t xml:space="preserve">gṛṇantaḥ</w:t>
      </w:r>
      <w:r>
        <w:rPr>
          <w:bCs/>
          <w:b/>
        </w:rPr>
        <w:t xml:space="preserve">)</w:t>
      </w:r>
      <w:r>
        <w:t xml:space="preserve"> </w:t>
      </w:r>
      <w:r>
        <w:t xml:space="preserve">— root</w:t>
      </w:r>
      <w:r>
        <w:t xml:space="preserve"> </w:t>
      </w:r>
      <w:r>
        <w:rPr>
          <w:iCs/>
          <w:i/>
        </w:rPr>
        <w:t xml:space="preserve">gṝ śabde</w:t>
      </w:r>
      <w:r>
        <w:t xml:space="preserve"> </w:t>
      </w:r>
      <w:r>
        <w:t xml:space="preserve">(</w:t>
      </w:r>
      <w:r>
        <w:t xml:space="preserve">“</w:t>
      </w:r>
      <w:r>
        <w:t xml:space="preserve">to sound; praise</w:t>
      </w:r>
      <w:r>
        <w:t xml:space="preserve">”</w:t>
      </w:r>
      <w:r>
        <w:t xml:space="preserve">) with</w:t>
      </w:r>
      <w:r>
        <w:t xml:space="preserve"> </w:t>
      </w:r>
      <w:r>
        <w:rPr>
          <w:iCs/>
          <w:i/>
        </w:rPr>
        <w:t xml:space="preserve">laṭ</w:t>
      </w:r>
      <w:r>
        <w:t xml:space="preserve">, replaced by</w:t>
      </w:r>
      <w:r>
        <w:t xml:space="preserve"> </w:t>
      </w:r>
      <w:r>
        <w:rPr>
          <w:iCs/>
          <w:i/>
        </w:rPr>
        <w:t xml:space="preserve">śatṛ</w:t>
      </w:r>
      <w:r>
        <w:t xml:space="preserve"> </w:t>
      </w:r>
      <w:r>
        <w:t xml:space="preserve">by</w:t>
      </w:r>
      <w:r>
        <w:t xml:space="preserve"> </w:t>
      </w:r>
      <w:r>
        <w:t xml:space="preserve">“</w:t>
      </w:r>
      <w:r>
        <w:t xml:space="preserve">laṭaḥ śatṛśānacau</w:t>
      </w:r>
      <w:r>
        <w:t xml:space="preserve">”</w:t>
      </w:r>
      <w:r>
        <w:t xml:space="preserve"> </w:t>
      </w:r>
      <w:r>
        <w:t xml:space="preserve">(Pā. 3-2-124);</w:t>
      </w:r>
      <w:r>
        <w:t xml:space="preserve"> </w:t>
      </w:r>
      <w:r>
        <w:rPr>
          <w:iCs/>
          <w:i/>
        </w:rPr>
        <w:t xml:space="preserve">śnā</w:t>
      </w:r>
      <w:r>
        <w:t xml:space="preserve"> </w:t>
      </w:r>
      <w:r>
        <w:t xml:space="preserve">after the</w:t>
      </w:r>
      <w:r>
        <w:t xml:space="preserve"> </w:t>
      </w:r>
      <w:r>
        <w:rPr>
          <w:iCs/>
          <w:i/>
        </w:rPr>
        <w:t xml:space="preserve">kryādi</w:t>
      </w:r>
      <w:r>
        <w:t xml:space="preserve"> </w:t>
      </w:r>
      <w:r>
        <w:t xml:space="preserve">class (Pā. 3-1-81); the root vowel shortened by</w:t>
      </w:r>
      <w:r>
        <w:t xml:space="preserve"> </w:t>
      </w:r>
      <w:r>
        <w:t xml:space="preserve">“</w:t>
      </w:r>
      <w:r>
        <w:t xml:space="preserve">pvādīnāṃ hrasvaḥ</w:t>
      </w:r>
      <w:r>
        <w:t xml:space="preserve">”</w:t>
      </w:r>
      <w:r>
        <w:t xml:space="preserve"> </w:t>
      </w:r>
      <w:r>
        <w:t xml:space="preserve">(Pā. 7-3-80);</w:t>
      </w:r>
      <w:r>
        <w:t xml:space="preserve"> </w:t>
      </w:r>
      <w:r>
        <w:rPr>
          <w:iCs/>
          <w:i/>
        </w:rPr>
        <w:t xml:space="preserve">śatṛ</w:t>
      </w:r>
      <w:r>
        <w:t xml:space="preserve">, being</w:t>
      </w:r>
      <w:r>
        <w:t xml:space="preserve"> </w:t>
      </w:r>
      <w:r>
        <w:rPr>
          <w:iCs/>
          <w:i/>
        </w:rPr>
        <w:t xml:space="preserve">apit</w:t>
      </w:r>
      <w:r>
        <w:t xml:space="preserve">, is</w:t>
      </w:r>
      <w:r>
        <w:t xml:space="preserve"> </w:t>
      </w:r>
      <w:r>
        <w:rPr>
          <w:iCs/>
          <w:i/>
        </w:rPr>
        <w:t xml:space="preserve">ṅit</w:t>
      </w:r>
      <w:r>
        <w:t xml:space="preserve"> </w:t>
      </w:r>
      <w:r>
        <w:t xml:space="preserve">by</w:t>
      </w:r>
      <w:r>
        <w:t xml:space="preserve"> </w:t>
      </w:r>
      <w:r>
        <w:t xml:space="preserve">“</w:t>
      </w:r>
      <w:r>
        <w:t xml:space="preserve">sārvadhātukam apit</w:t>
      </w:r>
      <w:r>
        <w:t xml:space="preserve">”</w:t>
      </w:r>
      <w:r>
        <w:t xml:space="preserve"> </w:t>
      </w:r>
      <w:r>
        <w:t xml:space="preserve">(Pā. 1-2-4), so the</w:t>
      </w:r>
      <w:r>
        <w:t xml:space="preserve"> </w:t>
      </w:r>
      <w:r>
        <w:rPr>
          <w:iCs/>
          <w:i/>
        </w:rPr>
        <w:t xml:space="preserve">ā</w:t>
      </w:r>
      <w:r>
        <w:t xml:space="preserve"> </w:t>
      </w:r>
      <w:r>
        <w:t xml:space="preserve">of</w:t>
      </w:r>
      <w:r>
        <w:t xml:space="preserve"> </w:t>
      </w:r>
      <w:r>
        <w:rPr>
          <w:iCs/>
          <w:i/>
        </w:rPr>
        <w:t xml:space="preserve">śnā</w:t>
      </w:r>
      <w:r>
        <w:t xml:space="preserve"> </w:t>
      </w:r>
      <w:r>
        <w:t xml:space="preserve">is dropped by</w:t>
      </w:r>
      <w:r>
        <w:t xml:space="preserve"> </w:t>
      </w:r>
      <w:r>
        <w:t xml:space="preserve">“</w:t>
      </w:r>
      <w:r>
        <w:t xml:space="preserve">śnābhyastayor ātaḥ</w:t>
      </w:r>
      <w:r>
        <w:t xml:space="preserve">”</w:t>
      </w:r>
      <w:r>
        <w:t xml:space="preserve"> </w:t>
      </w:r>
      <w:r>
        <w:t xml:space="preserve">(Pā. 6-4-112); the</w:t>
      </w:r>
      <w:r>
        <w:t xml:space="preserve"> </w:t>
      </w:r>
      <w:r>
        <w:rPr>
          <w:iCs/>
          <w:i/>
        </w:rPr>
        <w:t xml:space="preserve">n</w:t>
      </w:r>
      <w:r>
        <w:t xml:space="preserve"> </w:t>
      </w:r>
      <w:r>
        <w:t xml:space="preserve">of</w:t>
      </w:r>
      <w:r>
        <w:t xml:space="preserve"> </w:t>
      </w:r>
      <w:r>
        <w:rPr>
          <w:iCs/>
          <w:i/>
        </w:rPr>
        <w:t xml:space="preserve">śnā</w:t>
      </w:r>
      <w:r>
        <w:t xml:space="preserve"> </w:t>
      </w:r>
      <w:r>
        <w:t xml:space="preserve">becomes</w:t>
      </w:r>
      <w:r>
        <w:t xml:space="preserve"> </w:t>
      </w:r>
      <w:r>
        <w:rPr>
          <w:iCs/>
          <w:i/>
        </w:rPr>
        <w:t xml:space="preserve">ṇ</w:t>
      </w:r>
      <w:r>
        <w:t xml:space="preserve"> </w:t>
      </w:r>
      <w:r>
        <w:t xml:space="preserve">by the vārttika</w:t>
      </w:r>
      <w:r>
        <w:t xml:space="preserve"> </w:t>
      </w:r>
      <w:r>
        <w:t xml:space="preserve">“</w:t>
      </w:r>
      <w:r>
        <w:t xml:space="preserve">ṛvarṇān nasya ṇatvaṃ vācyam</w:t>
      </w:r>
      <w:r>
        <w:t xml:space="preserve">”</w:t>
      </w:r>
      <w:r>
        <w:t xml:space="preserve"> </w:t>
      </w:r>
      <w:r>
        <w:t xml:space="preserve">(vārttika 8-4-1);</w:t>
      </w:r>
      <w:r>
        <w:t xml:space="preserve"> </w:t>
      </w:r>
      <w:r>
        <w:rPr>
          <w:iCs/>
          <w:i/>
        </w:rPr>
        <w:t xml:space="preserve">num</w:t>
      </w:r>
      <w:r>
        <w:t xml:space="preserve"> </w:t>
      </w:r>
      <w:r>
        <w:t xml:space="preserve">before</w:t>
      </w:r>
      <w:r>
        <w:t xml:space="preserve"> </w:t>
      </w:r>
      <w:r>
        <w:rPr>
          <w:iCs/>
          <w:i/>
        </w:rPr>
        <w:t xml:space="preserve">jas</w:t>
      </w:r>
      <w:r>
        <w:t xml:space="preserve"> </w:t>
      </w:r>
      <w:r>
        <w:t xml:space="preserve">by</w:t>
      </w:r>
      <w:r>
        <w:t xml:space="preserve"> </w:t>
      </w:r>
      <w:r>
        <w:t xml:space="preserve">“</w:t>
      </w:r>
      <w:r>
        <w:t xml:space="preserve">ugidacāṃ sarvanāmasthāne ’dhātoḥ</w:t>
      </w:r>
      <w:r>
        <w:t xml:space="preserve">”</w:t>
      </w:r>
      <w:r>
        <w:t xml:space="preserve"> </w:t>
      </w:r>
      <w:r>
        <w:t xml:space="preserve">(Pā. 7-1-70); the suffix-accent makes the</w:t>
      </w:r>
      <w:r>
        <w:t xml:space="preserve"> </w:t>
      </w:r>
      <w:r>
        <w:rPr>
          <w:iCs/>
          <w:i/>
        </w:rPr>
        <w:t xml:space="preserve">a</w:t>
      </w:r>
      <w:r>
        <w:t xml:space="preserve"> </w:t>
      </w:r>
      <w:r>
        <w:t xml:space="preserve">of</w:t>
      </w:r>
      <w:r>
        <w:t xml:space="preserve"> </w:t>
      </w:r>
      <w:r>
        <w:rPr>
          <w:iCs/>
          <w:i/>
        </w:rPr>
        <w:t xml:space="preserve">śatṛ</w:t>
      </w:r>
      <w:r>
        <w:t xml:space="preserve"> </w:t>
      </w:r>
      <w:r>
        <w:t xml:space="preserve">udātta.</w:t>
      </w:r>
      <w:r>
        <w:t xml:space="preserve"> </w:t>
      </w:r>
      <w:r>
        <w:rPr>
          <w:bCs/>
          <w:b/>
        </w:rPr>
        <w:t xml:space="preserve">ऋग्मियम् (</w:t>
      </w:r>
      <w:r>
        <w:rPr>
          <w:iCs/>
          <w:i/>
          <w:bCs/>
          <w:b/>
        </w:rPr>
        <w:t xml:space="preserve">ṛgmiyam</w:t>
      </w:r>
      <w:r>
        <w:rPr>
          <w:bCs/>
          <w:b/>
        </w:rPr>
        <w:t xml:space="preserve">)</w:t>
      </w:r>
      <w:r>
        <w:t xml:space="preserve"> </w:t>
      </w:r>
      <w:r>
        <w:t xml:space="preserve">—</w:t>
      </w:r>
      <w:r>
        <w:t xml:space="preserve"> </w:t>
      </w:r>
      <w:r>
        <w:t xml:space="preserve">“</w:t>
      </w:r>
      <w:r>
        <w:t xml:space="preserve">ṛco mimīte</w:t>
      </w:r>
      <w:r>
        <w:t xml:space="preserve">”</w:t>
      </w:r>
      <w:r>
        <w:t xml:space="preserve">: root</w:t>
      </w:r>
      <w:r>
        <w:t xml:space="preserve"> </w:t>
      </w:r>
      <w:r>
        <w:rPr>
          <w:iCs/>
          <w:i/>
        </w:rPr>
        <w:t xml:space="preserve">māṅ māne śabde ca</w:t>
      </w:r>
      <w:r>
        <w:t xml:space="preserve"> </w:t>
      </w:r>
      <w:r>
        <w:t xml:space="preserve">+</w:t>
      </w:r>
      <w:r>
        <w:t xml:space="preserve"> </w:t>
      </w:r>
      <w:r>
        <w:rPr>
          <w:iCs/>
          <w:i/>
        </w:rPr>
        <w:t xml:space="preserve">kvip</w:t>
      </w:r>
      <w:r>
        <w:t xml:space="preserve"> </w:t>
      </w:r>
      <w:r>
        <w:t xml:space="preserve">by</w:t>
      </w:r>
      <w:r>
        <w:t xml:space="preserve"> </w:t>
      </w:r>
      <w:r>
        <w:t xml:space="preserve">“</w:t>
      </w:r>
      <w:r>
        <w:t xml:space="preserve">kvip ca</w:t>
      </w:r>
      <w:r>
        <w:t xml:space="preserve">”</w:t>
      </w:r>
      <w:r>
        <w:t xml:space="preserve"> </w:t>
      </w:r>
      <w:r>
        <w:t xml:space="preserve">(Pā. 3-2-76); by</w:t>
      </w:r>
      <w:r>
        <w:t xml:space="preserve"> </w:t>
      </w:r>
      <w:r>
        <w:t xml:space="preserve">“</w:t>
      </w:r>
      <w:r>
        <w:t xml:space="preserve">ghumāsthāgāpājahātisāṃ hali</w:t>
      </w:r>
      <w:r>
        <w:t xml:space="preserve">”</w:t>
      </w:r>
      <w:r>
        <w:t xml:space="preserve"> </w:t>
      </w:r>
      <w:r>
        <w:t xml:space="preserve">(Pā. 7-4-66 [as printed]; the bhāṣya on p. 372 prints 6-4-66) the</w:t>
      </w:r>
      <w:r>
        <w:t xml:space="preserve"> </w:t>
      </w:r>
      <w:r>
        <w:rPr>
          <w:iCs/>
          <w:i/>
        </w:rPr>
        <w:t xml:space="preserve">ā</w:t>
      </w:r>
      <w:r>
        <w:t xml:space="preserve"> </w:t>
      </w:r>
      <w:r>
        <w:t xml:space="preserve">→</w:t>
      </w:r>
      <w:r>
        <w:t xml:space="preserve"> </w:t>
      </w:r>
      <w:r>
        <w:rPr>
          <w:iCs/>
          <w:i/>
        </w:rPr>
        <w:t xml:space="preserve">ī</w:t>
      </w:r>
      <w:r>
        <w:t xml:space="preserve">;</w:t>
      </w:r>
      <w:r>
        <w:t xml:space="preserve"> </w:t>
      </w:r>
      <w:r>
        <w:t xml:space="preserve">“</w:t>
      </w:r>
      <w:r>
        <w:t xml:space="preserve">ver apṛktasya</w:t>
      </w:r>
      <w:r>
        <w:t xml:space="preserve">”</w:t>
      </w:r>
      <w:r>
        <w:t xml:space="preserve"> </w:t>
      </w:r>
      <w:r>
        <w:t xml:space="preserve">(Pā. 6-1-67) removes the</w:t>
      </w:r>
      <w:r>
        <w:t xml:space="preserve"> </w:t>
      </w:r>
      <w:r>
        <w:rPr>
          <w:iCs/>
          <w:i/>
        </w:rPr>
        <w:t xml:space="preserve">v</w:t>
      </w:r>
      <w:r>
        <w:t xml:space="preserve"> </w:t>
      </w:r>
      <w:r>
        <w:t xml:space="preserve">— with a discussion of</w:t>
      </w:r>
      <w:r>
        <w:t xml:space="preserve"> </w:t>
      </w:r>
      <w:r>
        <w:rPr>
          <w:iCs/>
          <w:i/>
        </w:rPr>
        <w:t xml:space="preserve">antaraṅga</w:t>
      </w:r>
      <w:r>
        <w:t xml:space="preserve"> </w:t>
      </w:r>
      <w:r>
        <w:t xml:space="preserve">and</w:t>
      </w:r>
      <w:r>
        <w:t xml:space="preserve"> </w:t>
      </w:r>
      <w:r>
        <w:rPr>
          <w:iCs/>
          <w:i/>
        </w:rPr>
        <w:t xml:space="preserve">bahiraṅga</w:t>
      </w:r>
      <w:r>
        <w:t xml:space="preserve"> </w:t>
      </w:r>
      <w:r>
        <w:t xml:space="preserve">(paribhāṣā 50,</w:t>
      </w:r>
      <w:r>
        <w:t xml:space="preserve"> </w:t>
      </w:r>
      <w:r>
        <w:t xml:space="preserve">“</w:t>
      </w:r>
      <w:r>
        <w:t xml:space="preserve">asiddhaṃ bahiraṅgam antaraṅge</w:t>
      </w:r>
      <w:r>
        <w:t xml:space="preserve">”</w:t>
      </w:r>
      <w:r>
        <w:t xml:space="preserve">),</w:t>
      </w:r>
      <w:r>
        <w:t xml:space="preserve"> </w:t>
      </w:r>
      <w:r>
        <w:rPr>
          <w:iCs/>
          <w:i/>
        </w:rPr>
        <w:t xml:space="preserve">sthānivad ādeśo ’nalvidhau</w:t>
      </w:r>
      <w:r>
        <w:t xml:space="preserve"> </w:t>
      </w:r>
      <w:r>
        <w:t xml:space="preserve">(Pā. 1-1-56) and</w:t>
      </w:r>
      <w:r>
        <w:t xml:space="preserve"> </w:t>
      </w:r>
      <w:r>
        <w:t xml:space="preserve">“</w:t>
      </w:r>
      <w:r>
        <w:t xml:space="preserve">varṇāśraye nāsti pratyayalakṣaṇam</w:t>
      </w:r>
      <w:r>
        <w:t xml:space="preserve">”</w:t>
      </w:r>
      <w:r>
        <w:t xml:space="preserve"> </w:t>
      </w:r>
      <w:r>
        <w:t xml:space="preserve">(paribhāṣā 21), concluding that in Vedic usage</w:t>
      </w:r>
      <w:r>
        <w:t xml:space="preserve"> </w:t>
      </w:r>
      <w:r>
        <w:rPr>
          <w:iCs/>
          <w:i/>
        </w:rPr>
        <w:t xml:space="preserve">sthānivadbhāva</w:t>
      </w:r>
      <w:r>
        <w:t xml:space="preserve"> </w:t>
      </w:r>
      <w:r>
        <w:t xml:space="preserve">sometimes applies even in an</w:t>
      </w:r>
      <w:r>
        <w:t xml:space="preserve"> </w:t>
      </w:r>
      <w:r>
        <w:rPr>
          <w:iCs/>
          <w:i/>
        </w:rPr>
        <w:t xml:space="preserve">al</w:t>
      </w:r>
      <w:r>
        <w:t xml:space="preserve">-rule;</w:t>
      </w:r>
      <w:r>
        <w:t xml:space="preserve"> </w:t>
      </w:r>
      <w:r>
        <w:rPr>
          <w:iCs/>
          <w:i/>
        </w:rPr>
        <w:t xml:space="preserve">c</w:t>
      </w:r>
      <w:r>
        <w:t xml:space="preserve"> </w:t>
      </w:r>
      <w:r>
        <w:t xml:space="preserve">→</w:t>
      </w:r>
      <w:r>
        <w:t xml:space="preserve"> </w:t>
      </w:r>
      <w:r>
        <w:rPr>
          <w:iCs/>
          <w:i/>
        </w:rPr>
        <w:t xml:space="preserve">k</w:t>
      </w:r>
      <w:r>
        <w:t xml:space="preserve"> </w:t>
      </w:r>
      <w:r>
        <w:t xml:space="preserve">by</w:t>
      </w:r>
      <w:r>
        <w:t xml:space="preserve"> </w:t>
      </w:r>
      <w:r>
        <w:t xml:space="preserve">“</w:t>
      </w:r>
      <w:r>
        <w:t xml:space="preserve">coḥ kuḥ</w:t>
      </w:r>
      <w:r>
        <w:t xml:space="preserve">”</w:t>
      </w:r>
      <w:r>
        <w:t xml:space="preserve"> </w:t>
      </w:r>
      <w:r>
        <w:t xml:space="preserve">(Pā. 8-2-30) and</w:t>
      </w:r>
      <w:r>
        <w:t xml:space="preserve"> </w:t>
      </w:r>
      <w:r>
        <w:rPr>
          <w:iCs/>
          <w:i/>
        </w:rPr>
        <w:t xml:space="preserve">k</w:t>
      </w:r>
      <w:r>
        <w:t xml:space="preserve"> </w:t>
      </w:r>
      <w:r>
        <w:t xml:space="preserve">→</w:t>
      </w:r>
      <w:r>
        <w:t xml:space="preserve"> </w:t>
      </w:r>
      <w:r>
        <w:rPr>
          <w:iCs/>
          <w:i/>
        </w:rPr>
        <w:t xml:space="preserve">g</w:t>
      </w:r>
      <w:r>
        <w:t xml:space="preserve"> </w:t>
      </w:r>
      <w:r>
        <w:t xml:space="preserve">by</w:t>
      </w:r>
      <w:r>
        <w:t xml:space="preserve"> </w:t>
      </w:r>
      <w:r>
        <w:t xml:space="preserve">“</w:t>
      </w:r>
      <w:r>
        <w:t xml:space="preserve">jhalāṃ jaśo ’nte</w:t>
      </w:r>
      <w:r>
        <w:t xml:space="preserve">”</w:t>
      </w:r>
      <w:r>
        <w:t xml:space="preserve"> </w:t>
      </w:r>
      <w:r>
        <w:t xml:space="preserve">(Pā. 8-2-39); accusative singular</w:t>
      </w:r>
      <w:r>
        <w:t xml:space="preserve"> </w:t>
      </w:r>
      <w:r>
        <w:rPr>
          <w:iCs/>
          <w:i/>
        </w:rPr>
        <w:t xml:space="preserve">am</w:t>
      </w:r>
      <w:r>
        <w:t xml:space="preserve">; the</w:t>
      </w:r>
      <w:r>
        <w:t xml:space="preserve"> </w:t>
      </w:r>
      <w:r>
        <w:rPr>
          <w:iCs/>
          <w:i/>
        </w:rPr>
        <w:t xml:space="preserve">ī</w:t>
      </w:r>
      <w:r>
        <w:t xml:space="preserve"> </w:t>
      </w:r>
      <w:r>
        <w:t xml:space="preserve">before the vowel becomes</w:t>
      </w:r>
      <w:r>
        <w:t xml:space="preserve"> </w:t>
      </w:r>
      <w:r>
        <w:rPr>
          <w:iCs/>
          <w:i/>
        </w:rPr>
        <w:t xml:space="preserve">iy</w:t>
      </w:r>
      <w:r>
        <w:t xml:space="preserve"> </w:t>
      </w:r>
      <w:r>
        <w:t xml:space="preserve">(</w:t>
      </w:r>
      <w:r>
        <w:rPr>
          <w:iCs/>
          <w:i/>
        </w:rPr>
        <w:t xml:space="preserve">iyaṅ</w:t>
      </w:r>
      <w:r>
        <w:t xml:space="preserve">,</w:t>
      </w:r>
      <w:r>
        <w:t xml:space="preserve"> </w:t>
      </w:r>
      <w:r>
        <w:t xml:space="preserve">“</w:t>
      </w:r>
      <w:r>
        <w:t xml:space="preserve">aci śnudhātubhruvāṃ yvor iyaṅuvaṅau</w:t>
      </w:r>
      <w:r>
        <w:t xml:space="preserve">”</w:t>
      </w:r>
      <w:r>
        <w:t xml:space="preserve">, Pā. 6-4-77), with a discussion of the rule</w:t>
      </w:r>
      <w:r>
        <w:t xml:space="preserve"> </w:t>
      </w:r>
      <w:r>
        <w:t xml:space="preserve">“</w:t>
      </w:r>
      <w:r>
        <w:t xml:space="preserve">er anekāco ’saṃyogapūrvasya</w:t>
      </w:r>
      <w:r>
        <w:t xml:space="preserve">”</w:t>
      </w:r>
      <w:r>
        <w:t xml:space="preserve"> </w:t>
      </w:r>
      <w:r>
        <w:t xml:space="preserve">(Pā. 6-4-82) (</w:t>
      </w:r>
      <w:r>
        <w:rPr>
          <w:iCs/>
          <w:i/>
        </w:rPr>
        <w:t xml:space="preserve">yaṇ</w:t>
      </w:r>
      <w:r>
        <w:t xml:space="preserve"> </w:t>
      </w:r>
      <w:r>
        <w:t xml:space="preserve">for the final</w:t>
      </w:r>
      <w:r>
        <w:t xml:space="preserve"> </w:t>
      </w:r>
      <w:r>
        <w:rPr>
          <w:iCs/>
          <w:i/>
        </w:rPr>
        <w:t xml:space="preserve">i</w:t>
      </w:r>
      <w:r>
        <w:t xml:space="preserve">/</w:t>
      </w:r>
      <w:r>
        <w:rPr>
          <w:iCs/>
          <w:i/>
        </w:rPr>
        <w:t xml:space="preserve">ī</w:t>
      </w:r>
      <w:r>
        <w:t xml:space="preserve"> </w:t>
      </w:r>
      <w:r>
        <w:t xml:space="preserve">of a root of more than one syllable) and why it does not arise here (by</w:t>
      </w:r>
      <w:r>
        <w:t xml:space="preserve"> </w:t>
      </w:r>
      <w:r>
        <w:t xml:space="preserve">“</w:t>
      </w:r>
      <w:r>
        <w:t xml:space="preserve">sarve vidhayaś chandasi vikalpyante</w:t>
      </w:r>
      <w:r>
        <w:t xml:space="preserve">”</w:t>
      </w:r>
      <w:r>
        <w:t xml:space="preserve">, paribhāṣā 35); finally</w:t>
      </w:r>
      <w:r>
        <w:t xml:space="preserve"> </w:t>
      </w:r>
      <w:r>
        <w:t xml:space="preserve">“</w:t>
      </w:r>
      <w:r>
        <w:t xml:space="preserve">gati-kāraka-upapadāt kṛt</w:t>
      </w:r>
      <w:r>
        <w:t xml:space="preserve">”</w:t>
      </w:r>
      <w:r>
        <w:t xml:space="preserve"> </w:t>
      </w:r>
      <w:r>
        <w:t xml:space="preserve">(Pā. 6-2-139) gives the</w:t>
      </w:r>
      <w:r>
        <w:t xml:space="preserve"> </w:t>
      </w:r>
      <w:r>
        <w:rPr>
          <w:iCs/>
          <w:i/>
        </w:rPr>
        <w:t xml:space="preserve">ī</w:t>
      </w:r>
      <w:r>
        <w:t xml:space="preserve">-syllable the udātta.</w:t>
      </w:r>
      <w:r>
        <w:t xml:space="preserve"> </w:t>
      </w:r>
      <w:r>
        <w:rPr>
          <w:bCs/>
          <w:b/>
        </w:rPr>
        <w:t xml:space="preserve">होम (</w:t>
      </w:r>
      <w:r>
        <w:rPr>
          <w:iCs/>
          <w:i/>
          <w:bCs/>
          <w:b/>
        </w:rPr>
        <w:t xml:space="preserve">homa</w:t>
      </w:r>
      <w:r>
        <w:rPr>
          <w:bCs/>
          <w:b/>
        </w:rPr>
        <w:t xml:space="preserve">)</w:t>
      </w:r>
      <w:r>
        <w:t xml:space="preserve"> </w:t>
      </w:r>
      <w:r>
        <w:t xml:space="preserve">— root</w:t>
      </w:r>
      <w:r>
        <w:t xml:space="preserve"> </w:t>
      </w:r>
      <w:r>
        <w:rPr>
          <w:iCs/>
          <w:i/>
        </w:rPr>
        <w:t xml:space="preserve">hveñ spardhāyāṃ śabde ca</w:t>
      </w:r>
      <w:r>
        <w:t xml:space="preserve">;</w:t>
      </w:r>
      <w:r>
        <w:t xml:space="preserve"> </w:t>
      </w:r>
      <w:r>
        <w:rPr>
          <w:iCs/>
          <w:i/>
        </w:rPr>
        <w:t xml:space="preserve">laṭ</w:t>
      </w:r>
      <w:r>
        <w:t xml:space="preserve"> </w:t>
      </w:r>
      <w:r>
        <w:t xml:space="preserve">first plural</w:t>
      </w:r>
      <w:r>
        <w:t xml:space="preserve"> </w:t>
      </w:r>
      <w:r>
        <w:rPr>
          <w:iCs/>
          <w:i/>
        </w:rPr>
        <w:t xml:space="preserve">mas</w:t>
      </w:r>
      <w:r>
        <w:t xml:space="preserve">, replaced by</w:t>
      </w:r>
      <w:r>
        <w:t xml:space="preserve"> </w:t>
      </w:r>
      <w:r>
        <w:rPr>
          <w:iCs/>
          <w:i/>
        </w:rPr>
        <w:t xml:space="preserve">mip</w:t>
      </w:r>
      <w:r>
        <w:t xml:space="preserve"> </w:t>
      </w:r>
      <w:r>
        <w:t xml:space="preserve">by Vedic inversion;</w:t>
      </w:r>
      <w:r>
        <w:t xml:space="preserve"> </w:t>
      </w:r>
      <w:r>
        <w:rPr>
          <w:iCs/>
          <w:i/>
        </w:rPr>
        <w:t xml:space="preserve">i</w:t>
      </w:r>
      <w:r>
        <w:t xml:space="preserve"> </w:t>
      </w:r>
      <w:r>
        <w:t xml:space="preserve">of</w:t>
      </w:r>
      <w:r>
        <w:t xml:space="preserve"> </w:t>
      </w:r>
      <w:r>
        <w:rPr>
          <w:iCs/>
          <w:i/>
        </w:rPr>
        <w:t xml:space="preserve">mip</w:t>
      </w:r>
      <w:r>
        <w:t xml:space="preserve"> </w:t>
      </w:r>
      <w:r>
        <w:t xml:space="preserve">→</w:t>
      </w:r>
      <w:r>
        <w:t xml:space="preserve"> </w:t>
      </w:r>
      <w:r>
        <w:rPr>
          <w:iCs/>
          <w:i/>
        </w:rPr>
        <w:t xml:space="preserve">a</w:t>
      </w:r>
      <w:r>
        <w:t xml:space="preserve">;</w:t>
      </w:r>
      <w:r>
        <w:t xml:space="preserve"> </w:t>
      </w:r>
      <w:r>
        <w:rPr>
          <w:iCs/>
          <w:i/>
        </w:rPr>
        <w:t xml:space="preserve">śap</w:t>
      </w:r>
      <w:r>
        <w:t xml:space="preserve"> </w:t>
      </w:r>
      <w:r>
        <w:t xml:space="preserve">dropped by</w:t>
      </w:r>
      <w:r>
        <w:t xml:space="preserve"> </w:t>
      </w:r>
      <w:r>
        <w:rPr>
          <w:iCs/>
          <w:i/>
        </w:rPr>
        <w:t xml:space="preserve">bahulaṃ chandasi</w:t>
      </w:r>
      <w:r>
        <w:t xml:space="preserve"> </w:t>
      </w:r>
      <w:r>
        <w:t xml:space="preserve">(Pā. 2-4-73);</w:t>
      </w:r>
      <w:r>
        <w:t xml:space="preserve"> </w:t>
      </w:r>
      <w:r>
        <w:rPr>
          <w:iCs/>
          <w:i/>
        </w:rPr>
        <w:t xml:space="preserve">saṃprasāraṇa</w:t>
      </w:r>
      <w:r>
        <w:t xml:space="preserve"> </w:t>
      </w:r>
      <w:r>
        <w:t xml:space="preserve">of</w:t>
      </w:r>
      <w:r>
        <w:t xml:space="preserve"> </w:t>
      </w:r>
      <w:r>
        <w:rPr>
          <w:iCs/>
          <w:i/>
        </w:rPr>
        <w:t xml:space="preserve">hve</w:t>
      </w:r>
      <w:r>
        <w:t xml:space="preserve"> </w:t>
      </w:r>
      <w:r>
        <w:t xml:space="preserve">by the</w:t>
      </w:r>
      <w:r>
        <w:t xml:space="preserve"> </w:t>
      </w:r>
      <w:r>
        <w:t xml:space="preserve">“</w:t>
      </w:r>
      <w:r>
        <w:t xml:space="preserve">bahulaṃ chandasi</w:t>
      </w:r>
      <w:r>
        <w:t xml:space="preserve">”</w:t>
      </w:r>
      <w:r>
        <w:t xml:space="preserve"> </w:t>
      </w:r>
      <w:r>
        <w:t xml:space="preserve">(Pā. 6-1-34) that follows</w:t>
      </w:r>
      <w:r>
        <w:t xml:space="preserve"> </w:t>
      </w:r>
      <w:r>
        <w:t xml:space="preserve">“</w:t>
      </w:r>
      <w:r>
        <w:t xml:space="preserve">hvaḥ saṃprasāraṇam</w:t>
      </w:r>
      <w:r>
        <w:t xml:space="preserve">”</w:t>
      </w:r>
      <w:r>
        <w:t xml:space="preserve"> </w:t>
      </w:r>
      <w:r>
        <w:t xml:space="preserve">(Pā. 6-1-32);</w:t>
      </w:r>
      <w:r>
        <w:t xml:space="preserve"> </w:t>
      </w:r>
      <w:r>
        <w:rPr>
          <w:iCs/>
          <w:i/>
        </w:rPr>
        <w:t xml:space="preserve">pūrvarūpa</w:t>
      </w:r>
      <w:r>
        <w:t xml:space="preserve"> </w:t>
      </w:r>
      <w:r>
        <w:t xml:space="preserve">by</w:t>
      </w:r>
      <w:r>
        <w:t xml:space="preserve"> </w:t>
      </w:r>
      <w:r>
        <w:t xml:space="preserve">“</w:t>
      </w:r>
      <w:r>
        <w:t xml:space="preserve">saṃprasāraṇāc ca</w:t>
      </w:r>
      <w:r>
        <w:t xml:space="preserve">”</w:t>
      </w:r>
      <w:r>
        <w:t xml:space="preserve"> </w:t>
      </w:r>
      <w:r>
        <w:t xml:space="preserve">(Pā. 6-1-108) and</w:t>
      </w:r>
      <w:r>
        <w:t xml:space="preserve"> </w:t>
      </w:r>
      <w:r>
        <w:rPr>
          <w:iCs/>
          <w:i/>
        </w:rPr>
        <w:t xml:space="preserve">guṇa</w:t>
      </w:r>
      <w:r>
        <w:t xml:space="preserve"> </w:t>
      </w:r>
      <w:r>
        <w:t xml:space="preserve">by</w:t>
      </w:r>
      <w:r>
        <w:t xml:space="preserve"> </w:t>
      </w:r>
      <w:r>
        <w:t xml:space="preserve">“</w:t>
      </w:r>
      <w:r>
        <w:t xml:space="preserve">sārvadhātukārdhadhātukayoḥ</w:t>
      </w:r>
      <w:r>
        <w:t xml:space="preserve">”</w:t>
      </w:r>
      <w:r>
        <w:t xml:space="preserve"> </w:t>
      </w:r>
      <w:r>
        <w:t xml:space="preserve">(Pā. 7-3-84) give</w:t>
      </w:r>
      <w:r>
        <w:t xml:space="preserve"> </w:t>
      </w:r>
      <w:r>
        <w:rPr>
          <w:iCs/>
          <w:i/>
        </w:rPr>
        <w:t xml:space="preserve">homa</w:t>
      </w:r>
      <w:r>
        <w:t xml:space="preserve">; the</w:t>
      </w:r>
      <w:r>
        <w:t xml:space="preserve"> </w:t>
      </w:r>
      <w:r>
        <w:rPr>
          <w:iCs/>
          <w:i/>
        </w:rPr>
        <w:t xml:space="preserve">o</w:t>
      </w:r>
      <w:r>
        <w:t xml:space="preserve"> </w:t>
      </w:r>
      <w:r>
        <w:t xml:space="preserve">is udātta by</w:t>
      </w:r>
      <w:r>
        <w:t xml:space="preserve"> </w:t>
      </w:r>
      <w:r>
        <w:t xml:space="preserve">“</w:t>
      </w:r>
      <w:r>
        <w:t xml:space="preserve">dhātoḥ</w:t>
      </w:r>
      <w:r>
        <w:t xml:space="preserve">”</w:t>
      </w:r>
      <w:r>
        <w:t xml:space="preserve"> </w:t>
      </w:r>
      <w:r>
        <w:t xml:space="preserve">(Pā. 6-1-162);</w:t>
      </w:r>
      <w:r>
        <w:t xml:space="preserve"> </w:t>
      </w:r>
      <w:r>
        <w:rPr>
          <w:iCs/>
          <w:i/>
        </w:rPr>
        <w:t xml:space="preserve">mip</w:t>
      </w:r>
      <w:r>
        <w:t xml:space="preserve"> </w:t>
      </w:r>
      <w:r>
        <w:t xml:space="preserve">is</w:t>
      </w:r>
      <w:r>
        <w:t xml:space="preserve"> </w:t>
      </w:r>
      <w:r>
        <w:rPr>
          <w:iCs/>
          <w:i/>
        </w:rPr>
        <w:t xml:space="preserve">pit</w:t>
      </w:r>
      <w:r>
        <w:t xml:space="preserve">, so the</w:t>
      </w:r>
      <w:r>
        <w:t xml:space="preserve"> </w:t>
      </w:r>
      <w:r>
        <w:rPr>
          <w:iCs/>
          <w:i/>
        </w:rPr>
        <w:t xml:space="preserve">ma</w:t>
      </w:r>
      <w:r>
        <w:t xml:space="preserve"> </w:t>
      </w:r>
      <w:r>
        <w:t xml:space="preserve">is unaccented.</w:t>
      </w:r>
      <w:r>
        <w:t xml:space="preserve"> </w:t>
      </w:r>
      <w:r>
        <w:rPr>
          <w:bCs/>
          <w:b/>
        </w:rPr>
        <w:t xml:space="preserve">गन्तारम् (</w:t>
      </w:r>
      <w:r>
        <w:rPr>
          <w:iCs/>
          <w:i/>
          <w:bCs/>
          <w:b/>
        </w:rPr>
        <w:t xml:space="preserve">gantāram</w:t>
      </w:r>
      <w:r>
        <w:rPr>
          <w:bCs/>
          <w:b/>
        </w:rPr>
        <w:t xml:space="preserve">)</w:t>
      </w:r>
      <w:r>
        <w:t xml:space="preserve"> </w:t>
      </w:r>
      <w:r>
        <w:t xml:space="preserve">— root</w:t>
      </w:r>
      <w:r>
        <w:t xml:space="preserve"> </w:t>
      </w:r>
      <w:r>
        <w:rPr>
          <w:iCs/>
          <w:i/>
        </w:rPr>
        <w:t xml:space="preserve">gamlṛ sṛplṛ gatau</w:t>
      </w:r>
      <w:r>
        <w:t xml:space="preserve"> </w:t>
      </w:r>
      <w:r>
        <w:t xml:space="preserve">with</w:t>
      </w:r>
      <w:r>
        <w:t xml:space="preserve"> </w:t>
      </w:r>
      <w:r>
        <w:rPr>
          <w:iCs/>
          <w:i/>
        </w:rPr>
        <w:t xml:space="preserve">tṛn</w:t>
      </w:r>
      <w:r>
        <w:t xml:space="preserve"> </w:t>
      </w:r>
      <w:r>
        <w:t xml:space="preserve">in the sense of habitual action (Pā. 3-2-135);</w:t>
      </w:r>
      <w:r>
        <w:t xml:space="preserve"> </w:t>
      </w:r>
      <w:r>
        <w:rPr>
          <w:iCs/>
          <w:i/>
        </w:rPr>
        <w:t xml:space="preserve">nit</w:t>
      </w:r>
      <w:r>
        <w:t xml:space="preserve">, initial-udātta.</w:t>
      </w:r>
      <w:r>
        <w:t xml:space="preserve"> </w:t>
      </w:r>
      <w:r>
        <w:rPr>
          <w:bCs/>
          <w:b/>
        </w:rPr>
        <w:t xml:space="preserve">ऊतये (</w:t>
      </w:r>
      <w:r>
        <w:rPr>
          <w:iCs/>
          <w:i/>
          <w:bCs/>
          <w:b/>
        </w:rPr>
        <w:t xml:space="preserve">ūtaye</w:t>
      </w:r>
      <w:r>
        <w:rPr>
          <w:bCs/>
          <w:b/>
        </w:rPr>
        <w:t xml:space="preserve">)</w:t>
      </w:r>
      <w:r>
        <w:t xml:space="preserve"> </w:t>
      </w:r>
      <w:r>
        <w:t xml:space="preserve">— the irregular</w:t>
      </w:r>
      <w:r>
        <w:t xml:space="preserve"> </w:t>
      </w:r>
      <w:r>
        <w:rPr>
          <w:iCs/>
          <w:i/>
        </w:rPr>
        <w:t xml:space="preserve">ktin</w:t>
      </w:r>
      <w:r>
        <w:t xml:space="preserve"> </w:t>
      </w:r>
      <w:r>
        <w:t xml:space="preserve">of</w:t>
      </w:r>
      <w:r>
        <w:t xml:space="preserve"> </w:t>
      </w:r>
      <w:r>
        <w:t xml:space="preserve">“</w:t>
      </w:r>
      <w:r>
        <w:t xml:space="preserve">ūtiyūtijūti…</w:t>
      </w:r>
      <w:r>
        <w:t xml:space="preserve">”</w:t>
      </w:r>
      <w:r>
        <w:t xml:space="preserve"> </w:t>
      </w:r>
      <w:r>
        <w:t xml:space="preserve">(Pā. 3-3-97), udātta.</w:t>
      </w:r>
    </w:p>
    <w:p>
      <w:pPr>
        <w:pStyle w:val="BodyText"/>
      </w:pPr>
      <w:r>
        <w:rPr>
          <w:bCs/>
          <w:b/>
        </w:rPr>
        <w:t xml:space="preserve">॥९॥</w:t>
      </w:r>
    </w:p>
    <w:p>
      <w:r>
        <w:pict>
          <v:rect style="width:0;height:1.5pt" o:hralign="center" o:hrstd="t" o:hr="t"/>
        </w:pict>
      </w:r>
    </w:p>
    <w:bookmarkEnd w:id="401"/>
    <w:bookmarkStart w:id="402" w:name="page-376-sūkta-9-rik-10-the-last"/>
    <w:p>
      <w:pPr>
        <w:pStyle w:val="Heading3"/>
      </w:pPr>
      <w:r>
        <w:t xml:space="preserve">Page 376 — Sūkta 9, Rik 10 (the last)</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सु॒तेसु॑ते॒ न्यो॑कसे बृ॒हद्बृ॑ह॒त एद॒रिः ।</w:t>
      </w:r>
      <w:r>
        <w:t xml:space="preserve"> </w:t>
      </w:r>
      <w:r>
        <w:t xml:space="preserve">इन्द्रा॑य शू॒षम॑र्चति ॥१०॥</w:t>
      </w:r>
    </w:p>
    <w:p>
      <w:pPr>
        <w:pStyle w:val="BlockText"/>
      </w:pPr>
      <w:r>
        <w:rPr>
          <w:iCs/>
          <w:i/>
        </w:rPr>
        <w:t xml:space="preserve">suté-sute nyokase bṛhád bṛhatá ed aríḥ |</w:t>
      </w:r>
      <w:r>
        <w:t xml:space="preserve"> </w:t>
      </w:r>
      <w:r>
        <w:rPr>
          <w:iCs/>
          <w:i/>
        </w:rPr>
        <w:t xml:space="preserve">índrāya śūṣám arcati ||10||</w:t>
      </w:r>
    </w:p>
    <w:p>
      <w:pPr>
        <w:pStyle w:val="FirstParagraph"/>
      </w:pPr>
      <w:r>
        <w:rPr>
          <w:bCs/>
          <w:b/>
        </w:rPr>
        <w:t xml:space="preserve">॥ Pada-pāṭhaḥ ॥</w:t>
      </w:r>
    </w:p>
    <w:p>
      <w:pPr>
        <w:pStyle w:val="BlockText"/>
      </w:pPr>
      <w:r>
        <w:t xml:space="preserve">सुतेऽसुते । निऽओकसे । बृहत् । बृहते । आ । इत् । अरिः ॥</w:t>
      </w:r>
      <w:r>
        <w:t xml:space="preserve"> </w:t>
      </w:r>
      <w:r>
        <w:t xml:space="preserve">इन्द्राय । शूषम् । अर्चति ॥१०॥</w:t>
      </w:r>
    </w:p>
    <w:p>
      <w:pPr>
        <w:pStyle w:val="BlockText"/>
      </w:pPr>
      <w:r>
        <w:rPr>
          <w:iCs/>
          <w:i/>
        </w:rPr>
        <w:t xml:space="preserve">sute-sute | ni-okase | bṛhat | bṛhate | ā | it | ariḥ ||</w:t>
      </w:r>
      <w:r>
        <w:t xml:space="preserve"> </w:t>
      </w:r>
      <w:r>
        <w:rPr>
          <w:iCs/>
          <w:i/>
        </w:rPr>
        <w:t xml:space="preserve">indrāya | śūṣam | arcati ||10||</w:t>
      </w:r>
    </w:p>
    <w:p>
      <w:pPr>
        <w:pStyle w:val="FirstParagraph"/>
      </w:pPr>
      <w:r>
        <w:rPr>
          <w:iCs/>
          <w:i/>
        </w:rPr>
        <w:t xml:space="preserve">(The pada text prints</w:t>
      </w:r>
      <w:r>
        <w:t xml:space="preserve"> </w:t>
      </w:r>
      <w:r>
        <w:t xml:space="preserve">सुतेसुते</w:t>
      </w:r>
      <w:r>
        <w:t xml:space="preserve"> </w:t>
      </w:r>
      <w:r>
        <w:rPr>
          <w:iCs/>
          <w:i/>
        </w:rPr>
        <w:t xml:space="preserve">with an avagraha between the halves, as one repeated word.)</w:t>
      </w:r>
    </w:p>
    <w:bookmarkEnd w:id="402"/>
    <w:bookmarkStart w:id="403" w:name="X2eb3e8392204a6726765a3ba490b84f488521bd"/>
    <w:p>
      <w:pPr>
        <w:pStyle w:val="Heading3"/>
      </w:pPr>
      <w:r>
        <w:t xml:space="preserve">Page 377 — Rik 10: Sāyaṇa-bhāṣya, word-meanings, overall sense</w:t>
      </w:r>
    </w:p>
    <w:p>
      <w:pPr>
        <w:pStyle w:val="FirstParagraph"/>
      </w:pPr>
      <w:r>
        <w:rPr>
          <w:bCs/>
          <w:b/>
        </w:rPr>
        <w:t xml:space="preserve">॥ Sāyaṇa-bhāṣyam ॥</w:t>
      </w:r>
    </w:p>
    <w:p>
      <w:pPr>
        <w:pStyle w:val="BlockText"/>
      </w:pPr>
      <w:r>
        <w:t xml:space="preserve">आकार इच्छब्दश्च पादपूरणौ । यद्वा । व्याप्तिवचन आकारः । आङीषदर्थे ऽभिव्याप्तौ । अमु. ३-४-३२ । इत्यभिधानात् । इच्छब्दो ऽपिशब्दार्थः । इयर्ति गच्छत्यनुष्ठेयं कर्म प्राप्नोतीत्यरिर्यजमानः । एदरिः सर्वो ऽपि यजमान इन्द्राय सुते सुत इन्द्रार्थमभिषुते तत्र तत्र सोमे शूषं बलमर्चति स्तौति । इन्द्रस्य पराक्रमं प्रशंसतीत्यर्थः । कीदृशं शूषम् । बृहत् प्रौढम् । कीदृशायेन्द्राय । न्योकसे नियतस्थानाय बृहते प्रौढाय ॥ सुते सुते । षुञ् अभिषवे । क्तप्रत्ययः । प्रत्ययस्वरेणोदात्तः । नित्यवीप्सयोरिति वीप्सायां द्विर्भावः । तस्य परमाम्रेडितमिति द्वितीयस्याम्रेडितत्वेनानुदात्तं च । पा. ८-१-३ । इत्यनुदात्तत्वम् । न्योकसे । नियतमोको यस्य तस्मै । निशब्दो निपाता आद्युदात्ता इत्युदात्तः । तस्य यणादेश उदात्तस्वरितयोर्यणः स्वरितो ऽनुदात्तस्य । पा. ८-२-४ । इत्योकारः स्वरितः । बृहते । बृहन्महतोरुपसंख्यानम् । पा. ६-१-१७३-१ । इत्यजादिविभक्तेरुदात्तत्वम् । अरिः । ऋ गतौ । अच इः । उ. ४-१३८ । इतीकारप्रत्ययः । गुणो रपरत्वम् । प्रत्ययस्वरेणेकार उदात्तः । इन्द्राय । ऋज्रेन्द्रेत्यादिना रन्प्रत्यय इकार उदात्तः । शूषम् । प्रातिपदिकस्वरः । अर्चति । निघातस्वरः ॥ १८ ॥</w:t>
      </w:r>
    </w:p>
    <w:p>
      <w:pPr>
        <w:pStyle w:val="BlockText"/>
      </w:pPr>
      <w:r>
        <w:rPr>
          <w:iCs/>
          <w:i/>
        </w:rPr>
        <w:t xml:space="preserve">ākāra icchabdaśca pādapūraṇau | yadvā | vyāptivacana ākāraḥ | āṅīṣadarthe ’bhivyāptau | amu. 3-4-32 | ityabhidhānāt | icchabdo ’piśabdārthaḥ | iyarti gacchatyanuṣṭheyaṃ karma prāpnotītyariryajamānaḥ | edariḥ sarvo ’pi yajamāna indrāya sute suta indrārthamabhiṣute tatra tatra some śūṣaṃ balamarcati stauti | indrasya parākramaṃ praśaṃsatītyarthaḥ | kīdṛśaṃ śūṣam | bṛhat prauḍham | kīdṛśāyendrāya | nyokase niyatasthānāya bṛhate prauḍhāya || sute sute | ṣuñ abhiṣave | ktapratyayaḥ | pratyayasvareṇodāttaḥ | nityavīpsayoriti vīpsāyāṃ dvirbhāvaḥ | tasya paramāmreḍitamiti dvitīyasyāmreḍitatvenānudāttaṃ ca | pā. 8-1-3 | ityanudāttatvam | nyokase | niyatamoko yasya tasmai | niśabdo nipātā ādyudāttā ityudāttaḥ | tasya yaṇādeśa udāttasvaritayoryaṇaḥ svarito ’nudāttasya | pā. 8-2-4 | ityokāraḥ svaritaḥ | bṛhate | bṛhanmahatorupasaṃkhyānam | pā. 6-1-173-1 | ityajādivibhakterudāttatvam | ariḥ | ṛ gatau | aca iḥ | u. 4-138 | itīkārapratyayaḥ | guṇo raparatvam | pratyayasvareṇekāra udāttaḥ | indrāya | ṛjrendretyādinā ranpratyaya ikāra udāttaḥ | śūṣam | prātipadikasvaraḥ | arcati | nighātasvaraḥ || 18 ||</w:t>
      </w:r>
    </w:p>
    <w:p>
      <w:pPr>
        <w:pStyle w:val="FirstParagraph"/>
      </w:pPr>
      <w:r>
        <w:rPr>
          <w:bCs/>
          <w:b/>
        </w:rPr>
        <w:t xml:space="preserve">Translation:</w:t>
      </w:r>
      <w:r>
        <w:t xml:space="preserve"> </w:t>
      </w:r>
      <w:r>
        <w:t xml:space="preserve">“</w:t>
      </w:r>
      <w:r>
        <w:t xml:space="preserve">The syllable</w:t>
      </w:r>
      <w:r>
        <w:t xml:space="preserve"> </w:t>
      </w:r>
      <w:r>
        <w:rPr>
          <w:iCs/>
          <w:i/>
        </w:rPr>
        <w:t xml:space="preserve">ā</w:t>
      </w:r>
      <w:r>
        <w:t xml:space="preserve"> </w:t>
      </w:r>
      <w:r>
        <w:t xml:space="preserve">and the word</w:t>
      </w:r>
      <w:r>
        <w:t xml:space="preserve"> </w:t>
      </w:r>
      <w:r>
        <w:rPr>
          <w:iCs/>
          <w:i/>
        </w:rPr>
        <w:t xml:space="preserve">it</w:t>
      </w:r>
      <w:r>
        <w:t xml:space="preserve"> </w:t>
      </w:r>
      <w:r>
        <w:t xml:space="preserve">are pāda-fillers.</w:t>
      </w:r>
      <w:r>
        <w:t xml:space="preserve"> </w:t>
      </w:r>
      <w:r>
        <w:rPr>
          <w:iCs/>
          <w:i/>
        </w:rPr>
        <w:t xml:space="preserve">Or:</w:t>
      </w:r>
      <w:r>
        <w:t xml:space="preserve"> </w:t>
      </w:r>
      <w:r>
        <w:t xml:space="preserve">the</w:t>
      </w:r>
      <w:r>
        <w:t xml:space="preserve"> </w:t>
      </w:r>
      <w:r>
        <w:rPr>
          <w:iCs/>
          <w:i/>
        </w:rPr>
        <w:t xml:space="preserve">ā</w:t>
      </w:r>
      <w:r>
        <w:t xml:space="preserve"> </w:t>
      </w:r>
      <w:r>
        <w:t xml:space="preserve">has the sense of</w:t>
      </w:r>
      <w:r>
        <w:t xml:space="preserve"> </w:t>
      </w:r>
      <w:r>
        <w:t xml:space="preserve">‘</w:t>
      </w:r>
      <w:r>
        <w:t xml:space="preserve">pervading</w:t>
      </w:r>
      <w:r>
        <w:t xml:space="preserve">’</w:t>
      </w:r>
      <w:r>
        <w:t xml:space="preserve">, according to the statement [of the Amarakośa],</w:t>
      </w:r>
      <w:r>
        <w:t xml:space="preserve"> </w:t>
      </w:r>
      <w:r>
        <w:t xml:space="preserve">‘</w:t>
      </w:r>
      <w:r>
        <w:rPr>
          <w:iCs/>
          <w:i/>
        </w:rPr>
        <w:t xml:space="preserve">āṅ</w:t>
      </w:r>
      <w:r>
        <w:t xml:space="preserve"> </w:t>
      </w:r>
      <w:r>
        <w:t xml:space="preserve">in the sense of</w:t>
      </w:r>
      <w:r>
        <w:t xml:space="preserve"> </w:t>
      </w:r>
      <w:r>
        <w:t xml:space="preserve">“</w:t>
      </w:r>
      <w:r>
        <w:t xml:space="preserve">a little</w:t>
      </w:r>
      <w:r>
        <w:t xml:space="preserve">”</w:t>
      </w:r>
      <w:r>
        <w:t xml:space="preserve"> </w:t>
      </w:r>
      <w:r>
        <w:t xml:space="preserve">and of</w:t>
      </w:r>
      <w:r>
        <w:t xml:space="preserve"> </w:t>
      </w:r>
      <w:r>
        <w:t xml:space="preserve">“</w:t>
      </w:r>
      <w:r>
        <w:t xml:space="preserve">pervading</w:t>
      </w:r>
      <w:r>
        <w:t xml:space="preserve">”</w:t>
      </w:r>
      <w:r>
        <w:t xml:space="preserve">’</w:t>
      </w:r>
      <w:r>
        <w:t xml:space="preserve"> </w:t>
      </w:r>
      <w:r>
        <w:t xml:space="preserve">(Amara 3-4-32); the word</w:t>
      </w:r>
      <w:r>
        <w:t xml:space="preserve"> </w:t>
      </w:r>
      <w:r>
        <w:rPr>
          <w:iCs/>
          <w:i/>
        </w:rPr>
        <w:t xml:space="preserve">it</w:t>
      </w:r>
      <w:r>
        <w:t xml:space="preserve"> </w:t>
      </w:r>
      <w:r>
        <w:t xml:space="preserve">has the sense of</w:t>
      </w:r>
      <w:r>
        <w:t xml:space="preserve"> </w:t>
      </w:r>
      <w:r>
        <w:rPr>
          <w:iCs/>
          <w:i/>
        </w:rPr>
        <w:t xml:space="preserve">api</w:t>
      </w:r>
      <w:r>
        <w:t xml:space="preserve"> </w:t>
      </w:r>
      <w:r>
        <w:t xml:space="preserve">(</w:t>
      </w:r>
      <w:r>
        <w:t xml:space="preserve">‘</w:t>
      </w:r>
      <w:r>
        <w:t xml:space="preserve">also</w:t>
      </w:r>
      <w:r>
        <w:t xml:space="preserve">’</w:t>
      </w:r>
      <w:r>
        <w:t xml:space="preserve">).</w:t>
      </w:r>
      <w:r>
        <w:t xml:space="preserve"> </w:t>
      </w:r>
      <w:r>
        <w:rPr>
          <w:iCs/>
          <w:i/>
        </w:rPr>
        <w:t xml:space="preserve">Ariḥ</w:t>
      </w:r>
      <w:r>
        <w:t xml:space="preserve"> </w:t>
      </w:r>
      <w:r>
        <w:t xml:space="preserve">is the sacrificer:</w:t>
      </w:r>
      <w:r>
        <w:t xml:space="preserve"> </w:t>
      </w:r>
      <w:r>
        <w:t xml:space="preserve">‘</w:t>
      </w:r>
      <w:r>
        <w:t xml:space="preserve">he who goes (</w:t>
      </w:r>
      <w:r>
        <w:rPr>
          <w:iCs/>
          <w:i/>
        </w:rPr>
        <w:t xml:space="preserve">iyarti</w:t>
      </w:r>
      <w:r>
        <w:t xml:space="preserve">) — attains — the rite to be performed.</w:t>
      </w:r>
      <w:r>
        <w:t xml:space="preserve">’</w:t>
      </w:r>
      <w:r>
        <w:t xml:space="preserve"> </w:t>
      </w:r>
      <w:r>
        <w:rPr>
          <w:iCs/>
          <w:i/>
        </w:rPr>
        <w:t xml:space="preserve">Ed ariḥ</w:t>
      </w:r>
      <w:r>
        <w:t xml:space="preserve">: every sacrificer,</w:t>
      </w:r>
      <w:r>
        <w:t xml:space="preserve"> </w:t>
      </w:r>
      <w:r>
        <w:rPr>
          <w:iCs/>
          <w:i/>
        </w:rPr>
        <w:t xml:space="preserve">sute-sute</w:t>
      </w:r>
      <w:r>
        <w:t xml:space="preserve">, in each Soma that is pressed for Indra’s sake,</w:t>
      </w:r>
      <w:r>
        <w:t xml:space="preserve"> </w:t>
      </w:r>
      <w:r>
        <w:rPr>
          <w:iCs/>
          <w:i/>
        </w:rPr>
        <w:t xml:space="preserve">arcati</w:t>
      </w:r>
      <w:r>
        <w:t xml:space="preserve"> </w:t>
      </w:r>
      <w:r>
        <w:t xml:space="preserve">— praises —</w:t>
      </w:r>
      <w:r>
        <w:t xml:space="preserve"> </w:t>
      </w:r>
      <w:r>
        <w:rPr>
          <w:iCs/>
          <w:i/>
        </w:rPr>
        <w:t xml:space="preserve">śūṣam</w:t>
      </w:r>
      <w:r>
        <w:t xml:space="preserve">, [his] strength, that is, extols Indra’s prowess. What kind of</w:t>
      </w:r>
      <w:r>
        <w:t xml:space="preserve"> </w:t>
      </w:r>
      <w:r>
        <w:rPr>
          <w:iCs/>
          <w:i/>
        </w:rPr>
        <w:t xml:space="preserve">śūṣa</w:t>
      </w:r>
      <w:r>
        <w:t xml:space="preserve">?</w:t>
      </w:r>
      <w:r>
        <w:t xml:space="preserve"> </w:t>
      </w:r>
      <w:r>
        <w:rPr>
          <w:iCs/>
          <w:i/>
        </w:rPr>
        <w:t xml:space="preserve">Bṛhat</w:t>
      </w:r>
      <w:r>
        <w:t xml:space="preserve"> </w:t>
      </w:r>
      <w:r>
        <w:t xml:space="preserve">— vast. For what kind of Indra?</w:t>
      </w:r>
      <w:r>
        <w:t xml:space="preserve"> </w:t>
      </w:r>
      <w:r>
        <w:rPr>
          <w:iCs/>
          <w:i/>
        </w:rPr>
        <w:t xml:space="preserve">Nyokase</w:t>
      </w:r>
      <w:r>
        <w:t xml:space="preserve"> </w:t>
      </w:r>
      <w:r>
        <w:t xml:space="preserve">— one whose dwelling is fixed;</w:t>
      </w:r>
      <w:r>
        <w:t xml:space="preserve"> </w:t>
      </w:r>
      <w:r>
        <w:rPr>
          <w:iCs/>
          <w:i/>
        </w:rPr>
        <w:t xml:space="preserve">bṛhate</w:t>
      </w:r>
      <w:r>
        <w:t xml:space="preserve"> </w:t>
      </w:r>
      <w:r>
        <w:t xml:space="preserve">— great.</w:t>
      </w:r>
      <w:r>
        <w:t xml:space="preserve">”</w:t>
      </w:r>
    </w:p>
    <w:p>
      <w:pPr>
        <w:pStyle w:val="BodyText"/>
      </w:pPr>
      <w:r>
        <w:rPr>
          <w:iCs/>
          <w:i/>
        </w:rPr>
        <w:t xml:space="preserve">(Grammar, noted briefly:</w:t>
      </w:r>
      <w:r>
        <w:t xml:space="preserve"> </w:t>
      </w:r>
      <w:r>
        <w:t xml:space="preserve">sute-sute</w:t>
      </w:r>
      <w:r>
        <w:t xml:space="preserve"> </w:t>
      </w:r>
      <w:r>
        <w:rPr>
          <w:iCs/>
          <w:i/>
        </w:rPr>
        <w:t xml:space="preserve">— root</w:t>
      </w:r>
      <w:r>
        <w:t xml:space="preserve"> </w:t>
      </w:r>
      <w:r>
        <w:t xml:space="preserve">ṣuñ abhiṣave</w:t>
      </w:r>
      <w:r>
        <w:t xml:space="preserve"> </w:t>
      </w:r>
      <w:r>
        <w:rPr>
          <w:iCs/>
          <w:i/>
        </w:rPr>
        <w:t xml:space="preserve">with</w:t>
      </w:r>
      <w:r>
        <w:t xml:space="preserve"> </w:t>
      </w:r>
      <w:r>
        <w:t xml:space="preserve">kta</w:t>
      </w:r>
      <w:r>
        <w:rPr>
          <w:iCs/>
          <w:i/>
        </w:rPr>
        <w:t xml:space="preserve">, udātta by the suffix; doubled in the distributive sense (</w:t>
      </w:r>
      <w:r>
        <w:rPr>
          <w:iCs/>
          <w:i/>
        </w:rPr>
        <w:t xml:space="preserve">“</w:t>
      </w:r>
      <w:r>
        <w:rPr>
          <w:iCs/>
          <w:i/>
        </w:rPr>
        <w:t xml:space="preserve">nityavīpsayoḥ</w:t>
      </w:r>
      <w:r>
        <w:rPr>
          <w:iCs/>
          <w:i/>
        </w:rPr>
        <w:t xml:space="preserve">”</w:t>
      </w:r>
      <w:r>
        <w:rPr>
          <w:iCs/>
          <w:i/>
        </w:rPr>
        <w:t xml:space="preserve">), the second, as</w:t>
      </w:r>
      <w:r>
        <w:t xml:space="preserve"> </w:t>
      </w:r>
      <w:r>
        <w:t xml:space="preserve">āmreḍita</w:t>
      </w:r>
      <w:r>
        <w:rPr>
          <w:iCs/>
          <w:i/>
        </w:rPr>
        <w:t xml:space="preserve">, unaccented (Pā. 8-1-3);</w:t>
      </w:r>
      <w:r>
        <w:t xml:space="preserve"> </w:t>
      </w:r>
      <w:r>
        <w:t xml:space="preserve">nyokase</w:t>
      </w:r>
      <w:r>
        <w:t xml:space="preserve"> </w:t>
      </w:r>
      <w:r>
        <w:rPr>
          <w:iCs/>
          <w:i/>
        </w:rPr>
        <w:t xml:space="preserve">—</w:t>
      </w:r>
      <w:r>
        <w:rPr>
          <w:iCs/>
          <w:i/>
        </w:rPr>
        <w:t xml:space="preserve"> </w:t>
      </w:r>
      <w:r>
        <w:rPr>
          <w:iCs/>
          <w:i/>
        </w:rPr>
        <w:t xml:space="preserve">“</w:t>
      </w:r>
      <w:r>
        <w:rPr>
          <w:iCs/>
          <w:i/>
        </w:rPr>
        <w:t xml:space="preserve">he whose abode (</w:t>
      </w:r>
      <w:r>
        <w:rPr>
          <w:iCs/>
          <w:i/>
          <w:iCs/>
          <w:i/>
        </w:rPr>
        <w:t xml:space="preserve">okas</w:t>
      </w:r>
      <w:r>
        <w:rPr>
          <w:iCs/>
          <w:i/>
        </w:rPr>
        <w:t xml:space="preserve">) is fixed</w:t>
      </w:r>
      <w:r>
        <w:rPr>
          <w:iCs/>
          <w:i/>
        </w:rPr>
        <w:t xml:space="preserve">”</w:t>
      </w:r>
      <w:r>
        <w:rPr>
          <w:iCs/>
          <w:i/>
        </w:rPr>
        <w:t xml:space="preserve">; the particle</w:t>
      </w:r>
      <w:r>
        <w:t xml:space="preserve"> </w:t>
      </w:r>
      <w:r>
        <w:t xml:space="preserve">ni</w:t>
      </w:r>
      <w:r>
        <w:t xml:space="preserve"> </w:t>
      </w:r>
      <w:r>
        <w:rPr>
          <w:iCs/>
          <w:i/>
        </w:rPr>
        <w:t xml:space="preserve">initial-udātta; with</w:t>
      </w:r>
      <w:r>
        <w:t xml:space="preserve"> </w:t>
      </w:r>
      <w:r>
        <w:t xml:space="preserve">yaṇ</w:t>
      </w:r>
      <w:r>
        <w:rPr>
          <w:iCs/>
          <w:i/>
        </w:rPr>
        <w:t xml:space="preserve">, the</w:t>
      </w:r>
      <w:r>
        <w:t xml:space="preserve"> </w:t>
      </w:r>
      <w:r>
        <w:t xml:space="preserve">o</w:t>
      </w:r>
      <w:r>
        <w:t xml:space="preserve"> </w:t>
      </w:r>
      <w:r>
        <w:rPr>
          <w:iCs/>
          <w:i/>
        </w:rPr>
        <w:t xml:space="preserve">becomes svarita (Pā. 8-2-4);</w:t>
      </w:r>
      <w:r>
        <w:t xml:space="preserve"> </w:t>
      </w:r>
      <w:r>
        <w:t xml:space="preserve">bṛhate</w:t>
      </w:r>
      <w:r>
        <w:t xml:space="preserve"> </w:t>
      </w:r>
      <w:r>
        <w:rPr>
          <w:iCs/>
          <w:i/>
        </w:rPr>
        <w:t xml:space="preserve">— the case ending udātta by the upasaṃkhyāna</w:t>
      </w:r>
      <w:r>
        <w:rPr>
          <w:iCs/>
          <w:i/>
        </w:rPr>
        <w:t xml:space="preserve"> </w:t>
      </w:r>
      <w:r>
        <w:rPr>
          <w:iCs/>
          <w:i/>
        </w:rPr>
        <w:t xml:space="preserve">“</w:t>
      </w:r>
      <w:r>
        <w:rPr>
          <w:iCs/>
          <w:i/>
        </w:rPr>
        <w:t xml:space="preserve">bṛhanmahatoḥ</w:t>
      </w:r>
      <w:r>
        <w:rPr>
          <w:iCs/>
          <w:i/>
        </w:rPr>
        <w:t xml:space="preserve">”</w:t>
      </w:r>
      <w:r>
        <w:rPr>
          <w:iCs/>
          <w:i/>
        </w:rPr>
        <w:t xml:space="preserve"> </w:t>
      </w:r>
      <w:r>
        <w:rPr>
          <w:iCs/>
          <w:i/>
        </w:rPr>
        <w:t xml:space="preserve">(Pā. 6-1-173, vārttika 1);</w:t>
      </w:r>
      <w:r>
        <w:t xml:space="preserve"> </w:t>
      </w:r>
      <w:r>
        <w:t xml:space="preserve">ariḥ</w:t>
      </w:r>
      <w:r>
        <w:t xml:space="preserve"> </w:t>
      </w:r>
      <w:r>
        <w:rPr>
          <w:iCs/>
          <w:i/>
        </w:rPr>
        <w:t xml:space="preserve">— root</w:t>
      </w:r>
      <w:r>
        <w:t xml:space="preserve"> </w:t>
      </w:r>
      <w:r>
        <w:t xml:space="preserve">ṛ gatau</w:t>
      </w:r>
      <w:r>
        <w:t xml:space="preserve"> </w:t>
      </w:r>
      <w:r>
        <w:rPr>
          <w:iCs/>
          <w:i/>
        </w:rPr>
        <w:t xml:space="preserve">with</w:t>
      </w:r>
      <w:r>
        <w:t xml:space="preserve"> </w:t>
      </w:r>
      <w:r>
        <w:t xml:space="preserve">i</w:t>
      </w:r>
      <w:r>
        <w:t xml:space="preserve"> </w:t>
      </w:r>
      <w:r>
        <w:rPr>
          <w:iCs/>
          <w:i/>
        </w:rPr>
        <w:t xml:space="preserve">(Uṇ. 4-138),</w:t>
      </w:r>
      <w:r>
        <w:t xml:space="preserve"> </w:t>
      </w:r>
      <w:r>
        <w:t xml:space="preserve">guṇa</w:t>
      </w:r>
      <w:r>
        <w:t xml:space="preserve"> </w:t>
      </w:r>
      <w:r>
        <w:rPr>
          <w:iCs/>
          <w:i/>
        </w:rPr>
        <w:t xml:space="preserve">and</w:t>
      </w:r>
      <w:r>
        <w:t xml:space="preserve"> </w:t>
      </w:r>
      <w:r>
        <w:t xml:space="preserve">r</w:t>
      </w:r>
      <w:r>
        <w:rPr>
          <w:iCs/>
          <w:i/>
        </w:rPr>
        <w:t xml:space="preserve">, the</w:t>
      </w:r>
      <w:r>
        <w:t xml:space="preserve"> </w:t>
      </w:r>
      <w:r>
        <w:t xml:space="preserve">i</w:t>
      </w:r>
      <w:r>
        <w:t xml:space="preserve"> </w:t>
      </w:r>
      <w:r>
        <w:rPr>
          <w:iCs/>
          <w:i/>
        </w:rPr>
        <w:t xml:space="preserve">udātta;</w:t>
      </w:r>
      <w:r>
        <w:t xml:space="preserve"> </w:t>
      </w:r>
      <w:r>
        <w:t xml:space="preserve">indrāya</w:t>
      </w:r>
      <w:r>
        <w:t xml:space="preserve"> </w:t>
      </w:r>
      <w:r>
        <w:rPr>
          <w:iCs/>
          <w:i/>
        </w:rPr>
        <w:t xml:space="preserve">— the suffix</w:t>
      </w:r>
      <w:r>
        <w:t xml:space="preserve"> </w:t>
      </w:r>
      <w:r>
        <w:t xml:space="preserve">ran</w:t>
      </w:r>
      <w:r>
        <w:t xml:space="preserve"> </w:t>
      </w:r>
      <w:r>
        <w:rPr>
          <w:iCs/>
          <w:i/>
        </w:rPr>
        <w:t xml:space="preserve">(by</w:t>
      </w:r>
      <w:r>
        <w:rPr>
          <w:iCs/>
          <w:i/>
        </w:rPr>
        <w:t xml:space="preserve"> </w:t>
      </w:r>
      <w:r>
        <w:rPr>
          <w:iCs/>
          <w:i/>
        </w:rPr>
        <w:t xml:space="preserve">“</w:t>
      </w:r>
      <w:r>
        <w:rPr>
          <w:iCs/>
          <w:i/>
        </w:rPr>
        <w:t xml:space="preserve">ṛjrendra…</w:t>
      </w:r>
      <w:r>
        <w:rPr>
          <w:iCs/>
          <w:i/>
        </w:rPr>
        <w:t xml:space="preserve">”</w:t>
      </w:r>
      <w:r>
        <w:rPr>
          <w:iCs/>
          <w:i/>
        </w:rPr>
        <w:t xml:space="preserve">), the</w:t>
      </w:r>
      <w:r>
        <w:t xml:space="preserve"> </w:t>
      </w:r>
      <w:r>
        <w:t xml:space="preserve">i</w:t>
      </w:r>
      <w:r>
        <w:t xml:space="preserve"> </w:t>
      </w:r>
      <w:r>
        <w:rPr>
          <w:iCs/>
          <w:i/>
        </w:rPr>
        <w:t xml:space="preserve">udātta;</w:t>
      </w:r>
      <w:r>
        <w:t xml:space="preserve"> </w:t>
      </w:r>
      <w:r>
        <w:t xml:space="preserve">śūṣam</w:t>
      </w:r>
      <w:r>
        <w:t xml:space="preserve"> </w:t>
      </w:r>
      <w:r>
        <w:rPr>
          <w:iCs/>
          <w:i/>
        </w:rPr>
        <w:t xml:space="preserve">— stem accent;</w:t>
      </w:r>
      <w:r>
        <w:t xml:space="preserve"> </w:t>
      </w:r>
      <w:r>
        <w:t xml:space="preserve">arcati</w:t>
      </w:r>
      <w:r>
        <w:t xml:space="preserve"> </w:t>
      </w:r>
      <w:r>
        <w:rPr>
          <w:iCs/>
          <w:i/>
        </w:rPr>
        <w:t xml:space="preserve">— unaccented as a finite verb. The bhāṣya ends</w:t>
      </w:r>
      <w:r>
        <w:rPr>
          <w:iCs/>
          <w:i/>
        </w:rPr>
        <w:t xml:space="preserve"> </w:t>
      </w:r>
      <w:r>
        <w:rPr>
          <w:iCs/>
          <w:i/>
        </w:rPr>
        <w:t xml:space="preserve">“</w:t>
      </w:r>
      <w:r>
        <w:rPr>
          <w:iCs/>
          <w:i/>
        </w:rPr>
        <w:t xml:space="preserve">॥ १८ ॥</w:t>
      </w:r>
      <w:r>
        <w:rPr>
          <w:iCs/>
          <w:i/>
        </w:rPr>
        <w:t xml:space="preserve">”</w:t>
      </w:r>
      <w:r>
        <w:rPr>
          <w:iCs/>
          <w:i/>
        </w:rPr>
        <w:t xml:space="preserve">, the close of the eighteenth varga.)</w:t>
      </w:r>
    </w:p>
    <w:p>
      <w:pPr>
        <w:pStyle w:val="BodyText"/>
      </w:pPr>
      <w:r>
        <w:rPr>
          <w:bCs/>
          <w:b/>
        </w:rPr>
        <w:t xml:space="preserve">॥ Prati-padārthaḥ ॥</w:t>
      </w:r>
    </w:p>
    <w:p>
      <w:pPr>
        <w:pStyle w:val="BodyText"/>
      </w:pPr>
      <w:r>
        <w:rPr>
          <w:bCs/>
          <w:b/>
        </w:rPr>
        <w:t xml:space="preserve">अरिः (ariḥ)</w:t>
      </w:r>
      <w:r>
        <w:t xml:space="preserve"> </w:t>
      </w:r>
      <w:r>
        <w:t xml:space="preserve">— the sacrificer who performs the rite, or who offers praise |</w:t>
      </w:r>
      <w:r>
        <w:t xml:space="preserve"> </w:t>
      </w:r>
      <w:r>
        <w:rPr>
          <w:bCs/>
          <w:b/>
        </w:rPr>
        <w:t xml:space="preserve">न्योकसे (nyokase)</w:t>
      </w:r>
      <w:r>
        <w:t xml:space="preserve"> </w:t>
      </w:r>
      <w:r>
        <w:t xml:space="preserve">— to the one who dwells in his appointed place |</w:t>
      </w:r>
      <w:r>
        <w:t xml:space="preserve"> </w:t>
      </w:r>
      <w:r>
        <w:rPr>
          <w:bCs/>
          <w:b/>
        </w:rPr>
        <w:t xml:space="preserve">बृहते (bṛhate)</w:t>
      </w:r>
      <w:r>
        <w:t xml:space="preserve"> </w:t>
      </w:r>
      <w:r>
        <w:t xml:space="preserve">— mighty, of great capacity |</w:t>
      </w:r>
      <w:r>
        <w:t xml:space="preserve"> </w:t>
      </w:r>
      <w:r>
        <w:rPr>
          <w:bCs/>
          <w:b/>
        </w:rPr>
        <w:t xml:space="preserve">इन्द्राय (indrāya)</w:t>
      </w:r>
      <w:r>
        <w:t xml:space="preserve"> </w:t>
      </w:r>
      <w:r>
        <w:t xml:space="preserve">— for Indra |</w:t>
      </w:r>
      <w:r>
        <w:t xml:space="preserve"> </w:t>
      </w:r>
      <w:r>
        <w:rPr>
          <w:bCs/>
          <w:b/>
        </w:rPr>
        <w:t xml:space="preserve">सुतेसुते (sute-sute)</w:t>
      </w:r>
      <w:r>
        <w:t xml:space="preserve"> </w:t>
      </w:r>
      <w:r>
        <w:t xml:space="preserve">— in each pressing, for Indra, of the Soma-juice prepared |</w:t>
      </w:r>
      <w:r>
        <w:t xml:space="preserve"> </w:t>
      </w:r>
      <w:r>
        <w:rPr>
          <w:bCs/>
          <w:b/>
        </w:rPr>
        <w:t xml:space="preserve">बृहत् (bṛhat)</w:t>
      </w:r>
      <w:r>
        <w:t xml:space="preserve"> </w:t>
      </w:r>
      <w:r>
        <w:t xml:space="preserve">— vast |</w:t>
      </w:r>
      <w:r>
        <w:t xml:space="preserve"> </w:t>
      </w:r>
      <w:r>
        <w:rPr>
          <w:bCs/>
          <w:b/>
        </w:rPr>
        <w:t xml:space="preserve">शूषम् (śūṣam)</w:t>
      </w:r>
      <w:r>
        <w:t xml:space="preserve"> </w:t>
      </w:r>
      <w:r>
        <w:t xml:space="preserve">— (Indra’s) strength (power of capacity) |</w:t>
      </w:r>
      <w:r>
        <w:t xml:space="preserve"> </w:t>
      </w:r>
      <w:r>
        <w:rPr>
          <w:bCs/>
          <w:b/>
        </w:rPr>
        <w:t xml:space="preserve">आ अर्चति इत् (ā arcati it)</w:t>
      </w:r>
      <w:r>
        <w:t xml:space="preserve"> </w:t>
      </w:r>
      <w:r>
        <w:t xml:space="preserve">— praises indeed.</w:t>
      </w:r>
    </w:p>
    <w:p>
      <w:pPr>
        <w:pStyle w:val="BodyText"/>
      </w:pPr>
      <w:r>
        <w:rPr>
          <w:bCs/>
          <w:b/>
        </w:rPr>
        <w:t xml:space="preserve">॥ Bhāvārthaḥ ॥</w:t>
      </w:r>
    </w:p>
    <w:p>
      <w:pPr>
        <w:pStyle w:val="BodyText"/>
      </w:pPr>
      <w:r>
        <w:t xml:space="preserve">The strength, or capacity, of Indra is exceedingly great. The sacrificer who performs the rite praises with hymns and the like, in each pressing — the morning pressing and the other two — Indra’s strength and capacities, and calls him.</w:t>
      </w:r>
    </w:p>
    <w:bookmarkEnd w:id="403"/>
    <w:bookmarkStart w:id="404" w:name="page-378-rik-10-english-special-topics"/>
    <w:p>
      <w:pPr>
        <w:pStyle w:val="Heading3"/>
      </w:pPr>
      <w:r>
        <w:t xml:space="preserve">Page 378 — Rik 10: English, Special Topics</w:t>
      </w:r>
    </w:p>
    <w:p>
      <w:pPr>
        <w:pStyle w:val="FirstParagraph"/>
      </w:pPr>
      <w:r>
        <w:rPr>
          <w:bCs/>
          <w:b/>
        </w:rPr>
        <w:t xml:space="preserve">॥ English Translation ॥</w:t>
      </w:r>
      <w:r>
        <w:t xml:space="preserve"> </w:t>
      </w:r>
      <w:r>
        <w:rPr>
          <w:iCs/>
          <w:i/>
        </w:rPr>
        <w:t xml:space="preserve">(as printed in the source)</w:t>
      </w:r>
    </w:p>
    <w:p>
      <w:pPr>
        <w:pStyle w:val="BlockText"/>
      </w:pPr>
      <w:r>
        <w:t xml:space="preserve">The sacrificer glorifies the vast prowess of Indra, the mighty, the dweller in his permanent abode in every rite where soma is prepared.</w:t>
      </w:r>
    </w:p>
    <w:p>
      <w:pPr>
        <w:pStyle w:val="FirstParagraph"/>
      </w:pPr>
      <w:r>
        <w:rPr>
          <w:bCs/>
          <w:b/>
        </w:rPr>
        <w:t xml:space="preserve">॥ Viśeṣa-viṣayagaḷu (Special Topics) ॥</w:t>
      </w:r>
    </w:p>
    <w:p>
      <w:pPr>
        <w:pStyle w:val="BodyText"/>
      </w:pPr>
      <w:r>
        <w:t xml:space="preserve">In this rik, although a third-person verb has been used —</w:t>
      </w:r>
      <w:r>
        <w:t xml:space="preserve"> </w:t>
      </w:r>
      <w:r>
        <w:t xml:space="preserve">“</w:t>
      </w:r>
      <w:r>
        <w:t xml:space="preserve">the sacrificer praises Indra</w:t>
      </w:r>
      <w:r>
        <w:t xml:space="preserve">”</w:t>
      </w:r>
      <w:r>
        <w:t xml:space="preserve"> </w:t>
      </w:r>
      <w:r>
        <w:t xml:space="preserve">— the poet indirectly states the sense of a first-person usage:</w:t>
      </w:r>
      <w:r>
        <w:t xml:space="preserve"> </w:t>
      </w:r>
      <w:r>
        <w:t xml:space="preserve">“</w:t>
      </w:r>
      <w:r>
        <w:t xml:space="preserve">I praise Indra.</w:t>
      </w:r>
      <w:r>
        <w:t xml:space="preserve">”</w:t>
      </w:r>
    </w:p>
    <w:p>
      <w:pPr>
        <w:pStyle w:val="BodyText"/>
      </w:pPr>
      <w:r>
        <w:rPr>
          <w:bCs/>
          <w:b/>
        </w:rPr>
        <w:t xml:space="preserve">“</w:t>
      </w:r>
      <w:r>
        <w:rPr>
          <w:bCs/>
          <w:b/>
        </w:rPr>
        <w:t xml:space="preserve">Sute sute</w:t>
      </w:r>
      <w:r>
        <w:rPr>
          <w:bCs/>
          <w:b/>
        </w:rPr>
        <w:t xml:space="preserve">”</w:t>
      </w:r>
      <w:r>
        <w:t xml:space="preserve"> </w:t>
      </w:r>
      <w:r>
        <w:t xml:space="preserve">—</w:t>
      </w:r>
      <w:r>
        <w:t xml:space="preserve"> </w:t>
      </w:r>
      <w:r>
        <w:t xml:space="preserve">“</w:t>
      </w:r>
      <w:r>
        <w:t xml:space="preserve">at each pressing.</w:t>
      </w:r>
      <w:r>
        <w:t xml:space="preserve">”</w:t>
      </w:r>
      <w:r>
        <w:t xml:space="preserve"> </w:t>
      </w:r>
      <w:r>
        <w:t xml:space="preserve">By</w:t>
      </w:r>
      <w:r>
        <w:t xml:space="preserve"> </w:t>
      </w:r>
      <w:r>
        <w:t xml:space="preserve">“</w:t>
      </w:r>
      <w:r>
        <w:t xml:space="preserve">nityavīpsayoḥ</w:t>
      </w:r>
      <w:r>
        <w:t xml:space="preserve">”</w:t>
      </w:r>
      <w:r>
        <w:t xml:space="preserve"> </w:t>
      </w:r>
      <w:r>
        <w:t xml:space="preserve">(no number printed) a word is doubled to show</w:t>
      </w:r>
      <w:r>
        <w:t xml:space="preserve"> </w:t>
      </w:r>
      <w:r>
        <w:t xml:space="preserve">“</w:t>
      </w:r>
      <w:r>
        <w:t xml:space="preserve">each one.</w:t>
      </w:r>
      <w:r>
        <w:t xml:space="preserve">”</w:t>
      </w:r>
      <w:r>
        <w:t xml:space="preserve"> </w:t>
      </w:r>
      <w:r>
        <w:t xml:space="preserve">Using a single word twice to convey</w:t>
      </w:r>
      <w:r>
        <w:t xml:space="preserve"> </w:t>
      </w:r>
      <w:r>
        <w:t xml:space="preserve">“</w:t>
      </w:r>
      <w:r>
        <w:t xml:space="preserve">each</w:t>
      </w:r>
      <w:r>
        <w:t xml:space="preserve">”</w:t>
      </w:r>
      <w:r>
        <w:t xml:space="preserve"> </w:t>
      </w:r>
      <w:r>
        <w:t xml:space="preserve">is established usage in the Ṛgveda and in other texts:</w:t>
      </w:r>
      <w:r>
        <w:t xml:space="preserve"> </w:t>
      </w:r>
      <w:r>
        <w:rPr>
          <w:iCs/>
          <w:i/>
        </w:rPr>
        <w:t xml:space="preserve">bhare-bhare</w:t>
      </w:r>
      <w:r>
        <w:t xml:space="preserve">,</w:t>
      </w:r>
      <w:r>
        <w:t xml:space="preserve"> </w:t>
      </w:r>
      <w:r>
        <w:rPr>
          <w:iCs/>
          <w:i/>
        </w:rPr>
        <w:t xml:space="preserve">have-have</w:t>
      </w:r>
      <w:r>
        <w:t xml:space="preserve">,</w:t>
      </w:r>
      <w:r>
        <w:t xml:space="preserve"> </w:t>
      </w:r>
      <w:r>
        <w:rPr>
          <w:iCs/>
          <w:i/>
        </w:rPr>
        <w:t xml:space="preserve">aharahaḥ</w:t>
      </w:r>
      <w:r>
        <w:t xml:space="preserve">, etc.</w:t>
      </w:r>
      <w:r>
        <w:t xml:space="preserve"> </w:t>
      </w:r>
      <w:r>
        <w:rPr>
          <w:iCs/>
          <w:i/>
        </w:rPr>
        <w:t xml:space="preserve">Sute-sute</w:t>
      </w:r>
      <w:r>
        <w:t xml:space="preserve"> </w:t>
      </w:r>
      <w:r>
        <w:t xml:space="preserve">means</w:t>
      </w:r>
      <w:r>
        <w:t xml:space="preserve"> </w:t>
      </w:r>
      <w:r>
        <w:t xml:space="preserve">“</w:t>
      </w:r>
      <w:r>
        <w:t xml:space="preserve">in the rite of each pressing, and in each rite where Soma-juice is drawn.</w:t>
      </w:r>
      <w:r>
        <w:t xml:space="preserve">”</w:t>
      </w:r>
    </w:p>
    <w:p>
      <w:pPr>
        <w:pStyle w:val="BodyText"/>
      </w:pPr>
      <w:r>
        <w:rPr>
          <w:bCs/>
          <w:b/>
        </w:rPr>
        <w:t xml:space="preserve">“</w:t>
      </w:r>
      <w:r>
        <w:rPr>
          <w:bCs/>
          <w:b/>
        </w:rPr>
        <w:t xml:space="preserve">Nyokase</w:t>
      </w:r>
      <w:r>
        <w:rPr>
          <w:bCs/>
          <w:b/>
        </w:rPr>
        <w:t xml:space="preserve">”</w:t>
      </w:r>
      <w:r>
        <w:t xml:space="preserve"> </w:t>
      </w:r>
      <w:r>
        <w:t xml:space="preserve">—</w:t>
      </w:r>
      <w:r>
        <w:t xml:space="preserve"> </w:t>
      </w:r>
      <w:r>
        <w:rPr>
          <w:iCs/>
          <w:i/>
        </w:rPr>
        <w:t xml:space="preserve">ni</w:t>
      </w:r>
      <w:r>
        <w:t xml:space="preserve"> </w:t>
      </w:r>
      <w:r>
        <w:t xml:space="preserve">+</w:t>
      </w:r>
      <w:r>
        <w:t xml:space="preserve"> </w:t>
      </w:r>
      <w:r>
        <w:rPr>
          <w:iCs/>
          <w:i/>
        </w:rPr>
        <w:t xml:space="preserve">okase</w:t>
      </w:r>
      <w:r>
        <w:t xml:space="preserve">. Here</w:t>
      </w:r>
      <w:r>
        <w:t xml:space="preserve"> </w:t>
      </w:r>
      <w:r>
        <w:rPr>
          <w:iCs/>
          <w:i/>
        </w:rPr>
        <w:t xml:space="preserve">ni</w:t>
      </w:r>
      <w:r>
        <w:t xml:space="preserve"> </w:t>
      </w:r>
      <w:r>
        <w:t xml:space="preserve">is a prefix (</w:t>
      </w:r>
      <w:r>
        <w:rPr>
          <w:iCs/>
          <w:i/>
        </w:rPr>
        <w:t xml:space="preserve">upasarga</w:t>
      </w:r>
      <w:r>
        <w:t xml:space="preserve">). The word</w:t>
      </w:r>
      <w:r>
        <w:t xml:space="preserve"> </w:t>
      </w:r>
      <w:r>
        <w:rPr>
          <w:iCs/>
          <w:i/>
        </w:rPr>
        <w:t xml:space="preserve">okaḥ</w:t>
      </w:r>
      <w:r>
        <w:t xml:space="preserve">, ending in</w:t>
      </w:r>
      <w:r>
        <w:t xml:space="preserve"> </w:t>
      </w:r>
      <w:r>
        <w:rPr>
          <w:iCs/>
          <w:i/>
        </w:rPr>
        <w:t xml:space="preserve">s</w:t>
      </w:r>
      <w:r>
        <w:t xml:space="preserve">, means a dwelling, one’s own place, a place where one always lives:</w:t>
      </w:r>
      <w:r>
        <w:t xml:space="preserve"> </w:t>
      </w:r>
      <w:r>
        <w:rPr>
          <w:iCs/>
          <w:i/>
        </w:rPr>
        <w:t xml:space="preserve">permanent dwelling, abode</w:t>
      </w:r>
      <w:r>
        <w:t xml:space="preserve">, etc. [the source’s own English]. For the word</w:t>
      </w:r>
      <w:r>
        <w:t xml:space="preserve"> </w:t>
      </w:r>
      <w:r>
        <w:rPr>
          <w:iCs/>
          <w:i/>
        </w:rPr>
        <w:t xml:space="preserve">divaukasaḥ</w:t>
      </w:r>
      <w:r>
        <w:t xml:space="preserve"> </w:t>
      </w:r>
      <w:r>
        <w:t xml:space="preserve">—</w:t>
      </w:r>
      <w:r>
        <w:t xml:space="preserve"> </w:t>
      </w:r>
      <w:r>
        <w:t xml:space="preserve">“</w:t>
      </w:r>
      <w:r>
        <w:t xml:space="preserve">those who dwell in heaven,</w:t>
      </w:r>
      <w:r>
        <w:t xml:space="preserve">”</w:t>
      </w:r>
      <w:r>
        <w:t xml:space="preserve"> </w:t>
      </w:r>
      <w:r>
        <w:t xml:space="preserve">as their own place — means</w:t>
      </w:r>
      <w:r>
        <w:t xml:space="preserve"> </w:t>
      </w:r>
      <w:r>
        <w:t xml:space="preserve">“</w:t>
      </w:r>
      <w:r>
        <w:t xml:space="preserve">gods.</w:t>
      </w:r>
      <w:r>
        <w:t xml:space="preserve">”</w:t>
      </w:r>
      <w:r>
        <w:t xml:space="preserve"> </w:t>
      </w:r>
      <w:r>
        <w:t xml:space="preserve">Similarly in</w:t>
      </w:r>
      <w:r>
        <w:t xml:space="preserve"> </w:t>
      </w:r>
      <w:r>
        <w:rPr>
          <w:iCs/>
          <w:i/>
        </w:rPr>
        <w:t xml:space="preserve">ni-okase</w:t>
      </w:r>
      <w:r>
        <w:t xml:space="preserve"> </w:t>
      </w:r>
      <w:r>
        <w:t xml:space="preserve">=</w:t>
      </w:r>
      <w:r>
        <w:t xml:space="preserve"> </w:t>
      </w:r>
      <w:r>
        <w:rPr>
          <w:iCs/>
          <w:i/>
        </w:rPr>
        <w:t xml:space="preserve">nyokase</w:t>
      </w:r>
      <w:r>
        <w:t xml:space="preserve">, the</w:t>
      </w:r>
      <w:r>
        <w:t xml:space="preserve"> </w:t>
      </w:r>
      <w:r>
        <w:rPr>
          <w:iCs/>
          <w:i/>
        </w:rPr>
        <w:t xml:space="preserve">ni</w:t>
      </w:r>
      <w:r>
        <w:t xml:space="preserve"> </w:t>
      </w:r>
      <w:r>
        <w:t xml:space="preserve">is a particle (</w:t>
      </w:r>
      <w:r>
        <w:rPr>
          <w:iCs/>
          <w:i/>
        </w:rPr>
        <w:t xml:space="preserve">upasarga</w:t>
      </w:r>
      <w:r>
        <w:t xml:space="preserve">), here meaning</w:t>
      </w:r>
      <w:r>
        <w:t xml:space="preserve"> </w:t>
      </w:r>
      <w:r>
        <w:t xml:space="preserve">“</w:t>
      </w:r>
      <w:r>
        <w:t xml:space="preserve">fixed.</w:t>
      </w:r>
      <w:r>
        <w:t xml:space="preserve">”</w:t>
      </w:r>
      <w:r>
        <w:t xml:space="preserve"> </w:t>
      </w:r>
      <w:r>
        <w:t xml:space="preserve">So</w:t>
      </w:r>
      <w:r>
        <w:t xml:space="preserve"> </w:t>
      </w:r>
      <w:r>
        <w:rPr>
          <w:iCs/>
          <w:i/>
        </w:rPr>
        <w:t xml:space="preserve">nyokase</w:t>
      </w:r>
      <w:r>
        <w:t xml:space="preserve"> </w:t>
      </w:r>
      <w:r>
        <w:t xml:space="preserve">means</w:t>
      </w:r>
      <w:r>
        <w:t xml:space="preserve"> </w:t>
      </w:r>
      <w:r>
        <w:t xml:space="preserve">“</w:t>
      </w:r>
      <w:r>
        <w:t xml:space="preserve">one whose place is fixed.</w:t>
      </w:r>
      <w:r>
        <w:t xml:space="preserve">”</w:t>
      </w:r>
    </w:p>
    <w:p>
      <w:pPr>
        <w:pStyle w:val="BodyText"/>
      </w:pPr>
      <w:r>
        <w:rPr>
          <w:bCs/>
          <w:b/>
        </w:rPr>
        <w:t xml:space="preserve">“</w:t>
      </w:r>
      <w:r>
        <w:rPr>
          <w:bCs/>
          <w:b/>
        </w:rPr>
        <w:t xml:space="preserve">Ā it</w:t>
      </w:r>
      <w:r>
        <w:rPr>
          <w:bCs/>
          <w:b/>
        </w:rPr>
        <w:t xml:space="preserve">”</w:t>
      </w:r>
      <w:r>
        <w:t xml:space="preserve"> </w:t>
      </w:r>
      <w:r>
        <w:t xml:space="preserve">— these words have no necessary meaning in this rik; they are used for filling out the pāda. Or the Bhāṣyakāra’s view is that the word</w:t>
      </w:r>
      <w:r>
        <w:t xml:space="preserve"> </w:t>
      </w:r>
      <w:r>
        <w:rPr>
          <w:iCs/>
          <w:i/>
        </w:rPr>
        <w:t xml:space="preserve">ā</w:t>
      </w:r>
      <w:r>
        <w:t xml:space="preserve"> </w:t>
      </w:r>
      <w:r>
        <w:t xml:space="preserve">may be given the sense of</w:t>
      </w:r>
      <w:r>
        <w:t xml:space="preserve"> </w:t>
      </w:r>
      <w:r>
        <w:rPr>
          <w:iCs/>
          <w:i/>
        </w:rPr>
        <w:t xml:space="preserve">api</w:t>
      </w:r>
      <w:r>
        <w:t xml:space="preserve"> </w:t>
      </w:r>
      <w:r>
        <w:t xml:space="preserve">(</w:t>
      </w:r>
      <w:r>
        <w:t xml:space="preserve">“</w:t>
      </w:r>
      <w:r>
        <w:t xml:space="preserve">also</w:t>
      </w:r>
      <w:r>
        <w:t xml:space="preserve">”</w:t>
      </w:r>
      <w:r>
        <w:t xml:space="preserve">).</w:t>
      </w:r>
    </w:p>
    <w:p>
      <w:pPr>
        <w:pStyle w:val="BodyText"/>
      </w:pPr>
      <w:r>
        <w:rPr>
          <w:bCs/>
          <w:b/>
        </w:rPr>
        <w:t xml:space="preserve">“</w:t>
      </w:r>
      <w:r>
        <w:rPr>
          <w:bCs/>
          <w:b/>
        </w:rPr>
        <w:t xml:space="preserve">Bṛhate</w:t>
      </w:r>
      <w:r>
        <w:rPr>
          <w:bCs/>
          <w:b/>
        </w:rPr>
        <w:t xml:space="preserve">”</w:t>
      </w:r>
      <w:r>
        <w:t xml:space="preserve"> </w:t>
      </w:r>
      <w:r>
        <w:t xml:space="preserve">—</w:t>
      </w:r>
      <w:r>
        <w:t xml:space="preserve"> </w:t>
      </w:r>
      <w:r>
        <w:rPr>
          <w:bCs/>
          <w:b/>
        </w:rPr>
        <w:t xml:space="preserve">महते, महतः शरीरेण वीर्येण वा</w:t>
      </w:r>
      <w:r>
        <w:t xml:space="preserve"> </w:t>
      </w:r>
      <w:r>
        <w:t xml:space="preserve">(</w:t>
      </w:r>
      <w:r>
        <w:rPr>
          <w:iCs/>
          <w:i/>
        </w:rPr>
        <w:t xml:space="preserve">mahate, mahataḥ śarīreṇa vīryeṇa vā</w:t>
      </w:r>
      <w:r>
        <w:t xml:space="preserve">) —</w:t>
      </w:r>
      <w:r>
        <w:t xml:space="preserve"> </w:t>
      </w:r>
      <w:r>
        <w:t xml:space="preserve">“</w:t>
      </w:r>
      <w:r>
        <w:t xml:space="preserve">great — great in body or in valour</w:t>
      </w:r>
      <w:r>
        <w:t xml:space="preserve">”</w:t>
      </w:r>
      <w:r>
        <w:t xml:space="preserve">; that is, great in body and also in prowess.</w:t>
      </w:r>
    </w:p>
    <w:p>
      <w:pPr>
        <w:pStyle w:val="BodyText"/>
      </w:pPr>
      <w:r>
        <w:rPr>
          <w:bCs/>
          <w:b/>
        </w:rPr>
        <w:t xml:space="preserve">“</w:t>
      </w:r>
      <w:r>
        <w:rPr>
          <w:bCs/>
          <w:b/>
        </w:rPr>
        <w:t xml:space="preserve">Ariḥ</w:t>
      </w:r>
      <w:r>
        <w:rPr>
          <w:bCs/>
          <w:b/>
        </w:rPr>
        <w:t xml:space="preserve">”</w:t>
      </w:r>
      <w:r>
        <w:t xml:space="preserve"> </w:t>
      </w:r>
      <w:r>
        <w:t xml:space="preserve">—</w:t>
      </w:r>
      <w:r>
        <w:t xml:space="preserve"> </w:t>
      </w:r>
      <w:r>
        <w:rPr>
          <w:bCs/>
          <w:b/>
        </w:rPr>
        <w:t xml:space="preserve">ऋ गतौ । इयर्ति गच्छतीत्यनुष्ठेयं कर्म प्राप्नोतीत्यरिर्यजमानः</w:t>
      </w:r>
      <w:r>
        <w:t xml:space="preserve"> </w:t>
      </w:r>
      <w:r>
        <w:t xml:space="preserve">(</w:t>
      </w:r>
      <w:r>
        <w:rPr>
          <w:iCs/>
          <w:i/>
        </w:rPr>
        <w:t xml:space="preserve">ṛ gatau | iyarti gacchatīty anuṣṭheyaṃ karma prāpnotīty arir yajamānaḥ</w:t>
      </w:r>
      <w:r>
        <w:t xml:space="preserve">) — the root</w:t>
      </w:r>
      <w:r>
        <w:t xml:space="preserve"> </w:t>
      </w:r>
      <w:r>
        <w:rPr>
          <w:iCs/>
          <w:i/>
        </w:rPr>
        <w:t xml:space="preserve">ṛ</w:t>
      </w:r>
      <w:r>
        <w:t xml:space="preserve"> </w:t>
      </w:r>
      <w:r>
        <w:t xml:space="preserve">means</w:t>
      </w:r>
      <w:r>
        <w:t xml:space="preserve"> </w:t>
      </w:r>
      <w:r>
        <w:t xml:space="preserve">“</w:t>
      </w:r>
      <w:r>
        <w:t xml:space="preserve">to go, to attain</w:t>
      </w:r>
      <w:r>
        <w:t xml:space="preserve">”</w:t>
      </w:r>
      <w:r>
        <w:t xml:space="preserve">: the one who attains the rite to be performed, i.e., one who performs the rite, the sacrificer.</w:t>
      </w:r>
    </w:p>
    <w:p>
      <w:pPr>
        <w:pStyle w:val="BodyText"/>
      </w:pPr>
      <w:r>
        <w:rPr>
          <w:bCs/>
          <w:b/>
        </w:rPr>
        <w:t xml:space="preserve">“</w:t>
      </w:r>
      <w:r>
        <w:rPr>
          <w:bCs/>
          <w:b/>
        </w:rPr>
        <w:t xml:space="preserve">Śūṣam</w:t>
      </w:r>
      <w:r>
        <w:rPr>
          <w:bCs/>
          <w:b/>
        </w:rPr>
        <w:t xml:space="preserve">”</w:t>
      </w:r>
      <w:r>
        <w:t xml:space="preserve"> </w:t>
      </w:r>
      <w:r>
        <w:t xml:space="preserve">— strength, capacity. Among the twenty-eight words for strength beginning with</w:t>
      </w:r>
      <w:r>
        <w:t xml:space="preserve"> </w:t>
      </w:r>
      <w:r>
        <w:rPr>
          <w:iCs/>
          <w:i/>
        </w:rPr>
        <w:t xml:space="preserve">ojaḥ</w:t>
      </w:r>
      <w:r>
        <w:t xml:space="preserve">,</w:t>
      </w:r>
      <w:r>
        <w:t xml:space="preserve"> </w:t>
      </w:r>
      <w:r>
        <w:rPr>
          <w:iCs/>
          <w:i/>
        </w:rPr>
        <w:t xml:space="preserve">pājaḥ</w:t>
      </w:r>
      <w:r>
        <w:t xml:space="preserve">, the word</w:t>
      </w:r>
      <w:r>
        <w:t xml:space="preserve"> </w:t>
      </w:r>
      <w:r>
        <w:rPr>
          <w:iCs/>
          <w:i/>
        </w:rPr>
        <w:t xml:space="preserve">śūṣam</w:t>
      </w:r>
      <w:r>
        <w:t xml:space="preserve"> </w:t>
      </w:r>
      <w:r>
        <w:t xml:space="preserve">is read (Nirukta 2-9). Indra’s powers, valour, glory, and so on. Although</w:t>
      </w:r>
      <w:r>
        <w:t xml:space="preserve"> </w:t>
      </w:r>
      <w:r>
        <w:rPr>
          <w:iCs/>
          <w:i/>
        </w:rPr>
        <w:t xml:space="preserve">śūṣa</w:t>
      </w:r>
      <w:r>
        <w:t xml:space="preserve"> </w:t>
      </w:r>
      <w:r>
        <w:t xml:space="preserve">has this sense, when the word is used with Indra in view, the sense</w:t>
      </w:r>
      <w:r>
        <w:t xml:space="preserve"> </w:t>
      </w:r>
      <w:r>
        <w:t xml:space="preserve">“</w:t>
      </w:r>
      <w:r>
        <w:t xml:space="preserve">hymn</w:t>
      </w:r>
      <w:r>
        <w:t xml:space="preserve">”</w:t>
      </w:r>
      <w:r>
        <w:t xml:space="preserve"> </w:t>
      </w:r>
      <w:r>
        <w:t xml:space="preserve">(</w:t>
      </w:r>
      <w:r>
        <w:rPr>
          <w:iCs/>
          <w:i/>
        </w:rPr>
        <w:t xml:space="preserve">stotra</w:t>
      </w:r>
      <w:r>
        <w:t xml:space="preserve">) generally fits best. A few examples are given on this point:</w:t>
      </w:r>
    </w:p>
    <w:bookmarkEnd w:id="404"/>
    <w:bookmarkStart w:id="405" w:name="X5678ecdcf39a3eade17edc55a50695d064be05a"/>
    <w:p>
      <w:pPr>
        <w:pStyle w:val="Heading3"/>
      </w:pPr>
      <w:r>
        <w:t xml:space="preserve">Page 379 — Rik 10: Special Topics (continued) and grammar</w:t>
      </w:r>
    </w:p>
    <w:p>
      <w:pPr>
        <w:pStyle w:val="BlockText"/>
      </w:pPr>
      <w:r>
        <w:t xml:space="preserve">प्र मन्महे शवसानाय शूषमाङ्गूषं गिर्वणसे अङ्गिरस्वत् ।</w:t>
      </w:r>
      <w:r>
        <w:t xml:space="preserve"> </w:t>
      </w:r>
      <w:r>
        <w:rPr>
          <w:iCs/>
          <w:i/>
        </w:rPr>
        <w:t xml:space="preserve">pra manmahe śavasānāya śūṣam āṅgūṣaṃ girvaṇase aṅgirasvat |</w:t>
      </w:r>
      <w:r>
        <w:t xml:space="preserve"> </w:t>
      </w:r>
      <w:r>
        <w:t xml:space="preserve">(ऋ. सं. १-६२-१ — Ṛgveda Saṃhitā 1-62-1)</w:t>
      </w:r>
      <w:r>
        <w:t xml:space="preserve"> </w:t>
      </w:r>
      <w:r>
        <w:rPr>
          <w:iCs/>
          <w:i/>
        </w:rPr>
        <w:t xml:space="preserve">(</w:t>
      </w:r>
      <w:r>
        <w:rPr>
          <w:iCs/>
          <w:i/>
        </w:rPr>
        <w:t xml:space="preserve">“</w:t>
      </w:r>
      <w:r>
        <w:rPr>
          <w:iCs/>
          <w:i/>
        </w:rPr>
        <w:t xml:space="preserve">We offer a hymn — a śūṣa, an āṅgūṣa — to the powerful one, the hymn-loving, as the Aṅgirases did.</w:t>
      </w:r>
      <w:r>
        <w:rPr>
          <w:iCs/>
          <w:i/>
        </w:rPr>
        <w:t xml:space="preserve">”</w:t>
      </w:r>
      <w:r>
        <w:rPr>
          <w:iCs/>
          <w:i/>
        </w:rPr>
        <w:t xml:space="preserve"> </w:t>
      </w:r>
      <w:r>
        <w:rPr>
          <w:iCs/>
          <w:i/>
        </w:rPr>
        <w:t xml:space="preserve">— mine and tentative.)</w:t>
      </w:r>
    </w:p>
    <w:p>
      <w:pPr>
        <w:pStyle w:val="BlockText"/>
      </w:pPr>
      <w:r>
        <w:t xml:space="preserve">इनम् महे विदथ्याय शूषं शश्वत्कृत्व ईड्याय प्र जभ्रुः ।</w:t>
      </w:r>
      <w:r>
        <w:t xml:space="preserve"> </w:t>
      </w:r>
      <w:r>
        <w:rPr>
          <w:iCs/>
          <w:i/>
        </w:rPr>
        <w:t xml:space="preserve">inam mahe vidathyāya śūṣaṃ śaśvat-kṛtva īḍyāya pra jabhruḥ |</w:t>
      </w:r>
      <w:r>
        <w:t xml:space="preserve"> </w:t>
      </w:r>
      <w:r>
        <w:t xml:space="preserve">(ऋ. सं. ३-५४-१ — Ṛgveda Saṃhitā 3-54-1)</w:t>
      </w:r>
      <w:r>
        <w:t xml:space="preserve"> </w:t>
      </w:r>
      <w:r>
        <w:rPr>
          <w:iCs/>
          <w:i/>
        </w:rPr>
        <w:t xml:space="preserve">(</w:t>
      </w:r>
      <w:r>
        <w:rPr>
          <w:iCs/>
          <w:i/>
        </w:rPr>
        <w:t xml:space="preserve">“</w:t>
      </w:r>
      <w:r>
        <w:rPr>
          <w:iCs/>
          <w:i/>
        </w:rPr>
        <w:t xml:space="preserve">To the great lord, worthy of the assembly, worthy of praise, they have brought a hymn, perpetually acting.</w:t>
      </w:r>
      <w:r>
        <w:rPr>
          <w:iCs/>
          <w:i/>
        </w:rPr>
        <w:t xml:space="preserve">”</w:t>
      </w:r>
      <w:r>
        <w:rPr>
          <w:iCs/>
          <w:i/>
        </w:rPr>
        <w:t xml:space="preserve"> </w:t>
      </w:r>
      <w:r>
        <w:rPr>
          <w:iCs/>
          <w:i/>
        </w:rPr>
        <w:t xml:space="preserve">— mine and tentative.)</w:t>
      </w:r>
    </w:p>
    <w:p>
      <w:pPr>
        <w:pStyle w:val="BlockText"/>
      </w:pPr>
      <w:r>
        <w:t xml:space="preserve">उप व एषे वन्द्येभिः शूषैः प्र यह्वी दिवश्चितयद्भिरर्कैः ।</w:t>
      </w:r>
      <w:r>
        <w:t xml:space="preserve"> </w:t>
      </w:r>
      <w:r>
        <w:rPr>
          <w:iCs/>
          <w:i/>
        </w:rPr>
        <w:t xml:space="preserve">upa va eṣe vandyebhiḥ śūṣaiḥ pra yahvī divaś citayadbhir arkaiḥ |</w:t>
      </w:r>
      <w:r>
        <w:t xml:space="preserve"> </w:t>
      </w:r>
      <w:r>
        <w:t xml:space="preserve">(ऋ. सं. ५-४१-६ — Ṛgveda Saṃhitā 5-41-6)</w:t>
      </w:r>
      <w:r>
        <w:t xml:space="preserve"> </w:t>
      </w:r>
      <w:r>
        <w:rPr>
          <w:iCs/>
          <w:i/>
        </w:rPr>
        <w:t xml:space="preserve">(</w:t>
      </w:r>
      <w:r>
        <w:rPr>
          <w:iCs/>
          <w:i/>
        </w:rPr>
        <w:t xml:space="preserve">“</w:t>
      </w:r>
      <w:r>
        <w:rPr>
          <w:iCs/>
          <w:i/>
        </w:rPr>
        <w:t xml:space="preserve">I approach you with praiseworthy hymns, with hymns that make [the heavens] shine.</w:t>
      </w:r>
      <w:r>
        <w:rPr>
          <w:iCs/>
          <w:i/>
        </w:rPr>
        <w:t xml:space="preserve">”</w:t>
      </w:r>
      <w:r>
        <w:rPr>
          <w:iCs/>
          <w:i/>
        </w:rPr>
        <w:t xml:space="preserve"> </w:t>
      </w:r>
      <w:r>
        <w:rPr>
          <w:iCs/>
          <w:i/>
        </w:rPr>
        <w:t xml:space="preserve">— mine and tentative.)</w:t>
      </w:r>
    </w:p>
    <w:p>
      <w:pPr>
        <w:pStyle w:val="BlockText"/>
      </w:pPr>
      <w:r>
        <w:t xml:space="preserve">आ यं पृणन्ति हरिभिर्न धेनव इन्द्राय शूषं हरिवन्तमर्चत ॥</w:t>
      </w:r>
      <w:r>
        <w:t xml:space="preserve"> </w:t>
      </w:r>
      <w:r>
        <w:rPr>
          <w:iCs/>
          <w:i/>
        </w:rPr>
        <w:t xml:space="preserve">ā yaṃ pṛṇanti haribhir na dhenava indrāya śūṣaṃ harivantam arcata ||</w:t>
      </w:r>
      <w:r>
        <w:t xml:space="preserve"> </w:t>
      </w:r>
      <w:r>
        <w:t xml:space="preserve">(ऋ. सं. १०-९६-२ — Ṛgveda Saṃhitā 10-96-2)</w:t>
      </w:r>
      <w:r>
        <w:t xml:space="preserve"> </w:t>
      </w:r>
      <w:r>
        <w:rPr>
          <w:iCs/>
          <w:i/>
        </w:rPr>
        <w:t xml:space="preserve">(</w:t>
      </w:r>
      <w:r>
        <w:rPr>
          <w:iCs/>
          <w:i/>
        </w:rPr>
        <w:t xml:space="preserve">“</w:t>
      </w:r>
      <w:r>
        <w:rPr>
          <w:iCs/>
          <w:i/>
        </w:rPr>
        <w:t xml:space="preserve">…whom [the hymns] fill as milch-cows [fill a calf]; sing a hymn to Indra, the lord of bay horses.</w:t>
      </w:r>
      <w:r>
        <w:rPr>
          <w:iCs/>
          <w:i/>
        </w:rPr>
        <w:t xml:space="preserve">”</w:t>
      </w:r>
      <w:r>
        <w:rPr>
          <w:iCs/>
          <w:i/>
        </w:rPr>
        <w:t xml:space="preserve"> </w:t>
      </w:r>
      <w:r>
        <w:rPr>
          <w:iCs/>
          <w:i/>
        </w:rPr>
        <w:t xml:space="preserve">— mine and tentative.)</w:t>
      </w:r>
    </w:p>
    <w:p>
      <w:pPr>
        <w:pStyle w:val="FirstParagraph"/>
      </w:pPr>
      <w:r>
        <w:t xml:space="preserve">Many more examples could be given.</w:t>
      </w:r>
    </w:p>
    <w:p>
      <w:pPr>
        <w:pStyle w:val="BodyText"/>
      </w:pPr>
      <w:r>
        <w:rPr>
          <w:bCs/>
          <w:b/>
        </w:rPr>
        <w:t xml:space="preserve">“</w:t>
      </w:r>
      <w:r>
        <w:rPr>
          <w:bCs/>
          <w:b/>
        </w:rPr>
        <w:t xml:space="preserve">Arcati</w:t>
      </w:r>
      <w:r>
        <w:rPr>
          <w:bCs/>
          <w:b/>
        </w:rPr>
        <w:t xml:space="preserve">”</w:t>
      </w:r>
      <w:r>
        <w:t xml:space="preserve"> </w:t>
      </w:r>
      <w:r>
        <w:t xml:space="preserve">—</w:t>
      </w:r>
      <w:r>
        <w:t xml:space="preserve"> </w:t>
      </w:r>
      <w:r>
        <w:rPr>
          <w:iCs/>
          <w:i/>
        </w:rPr>
        <w:t xml:space="preserve">arcati</w:t>
      </w:r>
      <w:r>
        <w:t xml:space="preserve"> </w:t>
      </w:r>
      <w:r>
        <w:t xml:space="preserve">is read among the forty-four verbs [</w:t>
      </w:r>
      <w:r>
        <w:rPr>
          <w:iCs/>
          <w:i/>
        </w:rPr>
        <w:t xml:space="preserve">roots</w:t>
      </w:r>
      <w:r>
        <w:t xml:space="preserve">] of the sense</w:t>
      </w:r>
      <w:r>
        <w:t xml:space="preserve"> </w:t>
      </w:r>
      <w:r>
        <w:t xml:space="preserve">“</w:t>
      </w:r>
      <w:r>
        <w:t xml:space="preserve">to worship, praise,</w:t>
      </w:r>
      <w:r>
        <w:t xml:space="preserve">”</w:t>
      </w:r>
      <w:r>
        <w:t xml:space="preserve"> </w:t>
      </w:r>
      <w:r>
        <w:t xml:space="preserve">beginning with</w:t>
      </w:r>
      <w:r>
        <w:t xml:space="preserve"> </w:t>
      </w:r>
      <w:r>
        <w:rPr>
          <w:iCs/>
          <w:i/>
        </w:rPr>
        <w:t xml:space="preserve">arcati</w:t>
      </w:r>
      <w:r>
        <w:t xml:space="preserve">,</w:t>
      </w:r>
      <w:r>
        <w:t xml:space="preserve"> </w:t>
      </w:r>
      <w:r>
        <w:rPr>
          <w:iCs/>
          <w:i/>
        </w:rPr>
        <w:t xml:space="preserve">gāyati</w:t>
      </w:r>
      <w:r>
        <w:t xml:space="preserve"> </w:t>
      </w:r>
      <w:r>
        <w:t xml:space="preserve">(Nirukta 3-19); so</w:t>
      </w:r>
      <w:r>
        <w:t xml:space="preserve"> </w:t>
      </w:r>
      <w:r>
        <w:rPr>
          <w:iCs/>
          <w:i/>
        </w:rPr>
        <w:t xml:space="preserve">arcati</w:t>
      </w:r>
      <w:r>
        <w:t xml:space="preserve"> </w:t>
      </w:r>
      <w:r>
        <w:t xml:space="preserve">means</w:t>
      </w:r>
      <w:r>
        <w:t xml:space="preserve"> </w:t>
      </w:r>
      <w:r>
        <w:rPr>
          <w:iCs/>
          <w:i/>
        </w:rPr>
        <w:t xml:space="preserve">gāyati</w:t>
      </w:r>
      <w:r>
        <w:t xml:space="preserve">,</w:t>
      </w:r>
      <w:r>
        <w:t xml:space="preserve"> </w:t>
      </w:r>
      <w:r>
        <w:rPr>
          <w:iCs/>
          <w:i/>
        </w:rPr>
        <w:t xml:space="preserve">stauti</w:t>
      </w:r>
      <w:r>
        <w:t xml:space="preserve"> </w:t>
      </w:r>
      <w:r>
        <w:t xml:space="preserve">—</w:t>
      </w:r>
      <w:r>
        <w:t xml:space="preserve"> </w:t>
      </w:r>
      <w:r>
        <w:t xml:space="preserve">“</w:t>
      </w:r>
      <w:r>
        <w:t xml:space="preserve">he praises, he extols.</w:t>
      </w:r>
      <w:r>
        <w:t xml:space="preserve">”</w:t>
      </w:r>
    </w:p>
    <w:p>
      <w:pPr>
        <w:pStyle w:val="BodyText"/>
      </w:pPr>
      <w:r>
        <w:rPr>
          <w:bCs/>
          <w:b/>
        </w:rPr>
        <w:t xml:space="preserve">॥ Vyākaraṇa-prakriyā ॥</w:t>
      </w:r>
      <w:r>
        <w:t xml:space="preserve"> </w:t>
      </w:r>
      <w:r>
        <w:rPr>
          <w:iCs/>
          <w:i/>
        </w:rPr>
        <w:t xml:space="preserve">(grammar pages 379–380, noted briefly)</w:t>
      </w:r>
    </w:p>
    <w:p>
      <w:pPr>
        <w:pStyle w:val="BodyText"/>
      </w:pPr>
      <w:r>
        <w:rPr>
          <w:bCs/>
          <w:b/>
        </w:rPr>
        <w:t xml:space="preserve">सुतेसुते (</w:t>
      </w:r>
      <w:r>
        <w:rPr>
          <w:iCs/>
          <w:i/>
          <w:bCs/>
          <w:b/>
        </w:rPr>
        <w:t xml:space="preserve">sute-sute</w:t>
      </w:r>
      <w:r>
        <w:rPr>
          <w:bCs/>
          <w:b/>
        </w:rPr>
        <w:t xml:space="preserve">)</w:t>
      </w:r>
      <w:r>
        <w:t xml:space="preserve"> </w:t>
      </w:r>
      <w:r>
        <w:t xml:space="preserve">— root</w:t>
      </w:r>
      <w:r>
        <w:t xml:space="preserve"> </w:t>
      </w:r>
      <w:r>
        <w:rPr>
          <w:iCs/>
          <w:i/>
        </w:rPr>
        <w:t xml:space="preserve">ṣuñ abhiṣave</w:t>
      </w:r>
      <w:r>
        <w:t xml:space="preserve"> </w:t>
      </w:r>
      <w:r>
        <w:t xml:space="preserve">(</w:t>
      </w:r>
      <w:r>
        <w:t xml:space="preserve">“</w:t>
      </w:r>
      <w:r>
        <w:t xml:space="preserve">to press</w:t>
      </w:r>
      <w:r>
        <w:t xml:space="preserve">”</w:t>
      </w:r>
      <w:r>
        <w:t xml:space="preserve">) +</w:t>
      </w:r>
      <w:r>
        <w:t xml:space="preserve"> </w:t>
      </w:r>
      <w:r>
        <w:rPr>
          <w:iCs/>
          <w:i/>
        </w:rPr>
        <w:t xml:space="preserve">kta</w:t>
      </w:r>
      <w:r>
        <w:t xml:space="preserve">; initial/final-udātta by the suffix; locative singular</w:t>
      </w:r>
      <w:r>
        <w:t xml:space="preserve"> </w:t>
      </w:r>
      <w:r>
        <w:rPr>
          <w:iCs/>
          <w:i/>
        </w:rPr>
        <w:t xml:space="preserve">ṅi</w:t>
      </w:r>
      <w:r>
        <w:t xml:space="preserve"> </w:t>
      </w:r>
      <w:r>
        <w:t xml:space="preserve">→</w:t>
      </w:r>
      <w:r>
        <w:t xml:space="preserve"> </w:t>
      </w:r>
      <w:r>
        <w:rPr>
          <w:iCs/>
          <w:i/>
        </w:rPr>
        <w:t xml:space="preserve">e</w:t>
      </w:r>
      <w:r>
        <w:t xml:space="preserve">; doubling by</w:t>
      </w:r>
      <w:r>
        <w:t xml:space="preserve"> </w:t>
      </w:r>
      <w:r>
        <w:t xml:space="preserve">“</w:t>
      </w:r>
      <w:r>
        <w:t xml:space="preserve">nityavīpsayoḥ</w:t>
      </w:r>
      <w:r>
        <w:t xml:space="preserve">”</w:t>
      </w:r>
      <w:r>
        <w:t xml:space="preserve"> </w:t>
      </w:r>
      <w:r>
        <w:t xml:space="preserve">(Pā. 8-1-4); for the second member the technical name</w:t>
      </w:r>
      <w:r>
        <w:t xml:space="preserve"> </w:t>
      </w:r>
      <w:r>
        <w:rPr>
          <w:iCs/>
          <w:i/>
        </w:rPr>
        <w:t xml:space="preserve">āmreḍita</w:t>
      </w:r>
      <w:r>
        <w:t xml:space="preserve"> </w:t>
      </w:r>
      <w:r>
        <w:t xml:space="preserve">arises (</w:t>
      </w:r>
      <w:r>
        <w:t xml:space="preserve">“</w:t>
      </w:r>
      <w:r>
        <w:t xml:space="preserve">tasya paramāmreḍitam,</w:t>
      </w:r>
      <w:r>
        <w:t xml:space="preserve">”</w:t>
      </w:r>
      <w:r>
        <w:t xml:space="preserve"> </w:t>
      </w:r>
      <w:r>
        <w:t xml:space="preserve">Pā. 8-1-2), and</w:t>
      </w:r>
      <w:r>
        <w:t xml:space="preserve"> </w:t>
      </w:r>
      <w:r>
        <w:t xml:space="preserve">“</w:t>
      </w:r>
      <w:r>
        <w:t xml:space="preserve">anudāttaṃ ca</w:t>
      </w:r>
      <w:r>
        <w:t xml:space="preserve">”</w:t>
      </w:r>
      <w:r>
        <w:t xml:space="preserve"> </w:t>
      </w:r>
      <w:r>
        <w:t xml:space="preserve">(8-1-3, printed</w:t>
      </w:r>
      <w:r>
        <w:t xml:space="preserve"> </w:t>
      </w:r>
      <w:r>
        <w:t xml:space="preserve">“</w:t>
      </w:r>
      <w:r>
        <w:t xml:space="preserve">va. sū.</w:t>
      </w:r>
      <w:r>
        <w:t xml:space="preserve">”</w:t>
      </w:r>
      <w:r>
        <w:t xml:space="preserve"> </w:t>
      </w:r>
      <w:r>
        <w:t xml:space="preserve">[sic]) makes it unaccented.</w:t>
      </w:r>
      <w:r>
        <w:t xml:space="preserve"> </w:t>
      </w:r>
      <w:r>
        <w:rPr>
          <w:bCs/>
          <w:b/>
        </w:rPr>
        <w:t xml:space="preserve">न्योकसे (</w:t>
      </w:r>
      <w:r>
        <w:rPr>
          <w:iCs/>
          <w:i/>
          <w:bCs/>
          <w:b/>
        </w:rPr>
        <w:t xml:space="preserve">nyokase</w:t>
      </w:r>
      <w:r>
        <w:rPr>
          <w:bCs/>
          <w:b/>
        </w:rPr>
        <w:t xml:space="preserve">)</w:t>
      </w:r>
      <w:r>
        <w:t xml:space="preserve"> </w:t>
      </w:r>
      <w:r>
        <w:t xml:space="preserve">—</w:t>
      </w:r>
      <w:r>
        <w:t xml:space="preserve"> </w:t>
      </w:r>
      <w:r>
        <w:t xml:space="preserve">“</w:t>
      </w:r>
      <w:r>
        <w:t xml:space="preserve">niyatam okaḥ yasya</w:t>
      </w:r>
      <w:r>
        <w:t xml:space="preserve">”</w:t>
      </w:r>
      <w:r>
        <w:t xml:space="preserve">:</w:t>
      </w:r>
      <w:r>
        <w:t xml:space="preserve"> </w:t>
      </w:r>
      <w:r>
        <w:rPr>
          <w:iCs/>
          <w:i/>
        </w:rPr>
        <w:t xml:space="preserve">ni</w:t>
      </w:r>
      <w:r>
        <w:t xml:space="preserve"> </w:t>
      </w:r>
      <w:r>
        <w:t xml:space="preserve">is a</w:t>
      </w:r>
      <w:r>
        <w:t xml:space="preserve"> </w:t>
      </w:r>
      <w:r>
        <w:rPr>
          <w:iCs/>
          <w:i/>
        </w:rPr>
        <w:t xml:space="preserve">nipāta</w:t>
      </w:r>
      <w:r>
        <w:t xml:space="preserve">, initial-udātta by</w:t>
      </w:r>
      <w:r>
        <w:t xml:space="preserve"> </w:t>
      </w:r>
      <w:r>
        <w:t xml:space="preserve">“</w:t>
      </w:r>
      <w:r>
        <w:t xml:space="preserve">nipātā ādyudāttāḥ</w:t>
      </w:r>
      <w:r>
        <w:t xml:space="preserve">”</w:t>
      </w:r>
      <w:r>
        <w:t xml:space="preserve"> </w:t>
      </w:r>
      <w:r>
        <w:t xml:space="preserve">(Phiṭ-sūtra 80); the udātta</w:t>
      </w:r>
      <w:r>
        <w:t xml:space="preserve"> </w:t>
      </w:r>
      <w:r>
        <w:rPr>
          <w:iCs/>
          <w:i/>
        </w:rPr>
        <w:t xml:space="preserve">i</w:t>
      </w:r>
      <w:r>
        <w:t xml:space="preserve"> </w:t>
      </w:r>
      <w:r>
        <w:t xml:space="preserve">is replaced by</w:t>
      </w:r>
      <w:r>
        <w:t xml:space="preserve"> </w:t>
      </w:r>
      <w:r>
        <w:rPr>
          <w:iCs/>
          <w:i/>
        </w:rPr>
        <w:t xml:space="preserve">y</w:t>
      </w:r>
      <w:r>
        <w:t xml:space="preserve"> </w:t>
      </w:r>
      <w:r>
        <w:t xml:space="preserve">(</w:t>
      </w:r>
      <w:r>
        <w:t xml:space="preserve">“</w:t>
      </w:r>
      <w:r>
        <w:t xml:space="preserve">iko yaṇ aci,</w:t>
      </w:r>
      <w:r>
        <w:t xml:space="preserve">”</w:t>
      </w:r>
      <w:r>
        <w:t xml:space="preserve"> </w:t>
      </w:r>
      <w:r>
        <w:t xml:space="preserve">Pā. 6-4-77 [as printed]), and the</w:t>
      </w:r>
      <w:r>
        <w:t xml:space="preserve"> </w:t>
      </w:r>
      <w:r>
        <w:rPr>
          <w:iCs/>
          <w:i/>
        </w:rPr>
        <w:t xml:space="preserve">o</w:t>
      </w:r>
      <w:r>
        <w:t xml:space="preserve"> </w:t>
      </w:r>
      <w:r>
        <w:t xml:space="preserve">after the udātta</w:t>
      </w:r>
      <w:r>
        <w:t xml:space="preserve"> </w:t>
      </w:r>
      <w:r>
        <w:rPr>
          <w:iCs/>
          <w:i/>
        </w:rPr>
        <w:t xml:space="preserve">y</w:t>
      </w:r>
      <w:r>
        <w:t xml:space="preserve"> </w:t>
      </w:r>
      <w:r>
        <w:t xml:space="preserve">is</w:t>
      </w:r>
      <w:r>
        <w:t xml:space="preserve"> </w:t>
      </w:r>
      <w:r>
        <w:rPr>
          <w:iCs/>
          <w:i/>
        </w:rPr>
        <w:t xml:space="preserve">svarita</w:t>
      </w:r>
      <w:r>
        <w:t xml:space="preserve"> </w:t>
      </w:r>
      <w:r>
        <w:t xml:space="preserve">by</w:t>
      </w:r>
      <w:r>
        <w:t xml:space="preserve"> </w:t>
      </w:r>
      <w:r>
        <w:t xml:space="preserve">“</w:t>
      </w:r>
      <w:r>
        <w:t xml:space="preserve">udāttasvaritayor yaṇaḥ svarito ’nudāttasya</w:t>
      </w:r>
      <w:r>
        <w:t xml:space="preserve">”</w:t>
      </w:r>
      <w:r>
        <w:t xml:space="preserve"> </w:t>
      </w:r>
      <w:r>
        <w:t xml:space="preserve">(Pā. 8-2-4).</w:t>
      </w:r>
      <w:r>
        <w:t xml:space="preserve"> </w:t>
      </w:r>
      <w:r>
        <w:rPr>
          <w:bCs/>
          <w:b/>
        </w:rPr>
        <w:t xml:space="preserve">बृहते (</w:t>
      </w:r>
      <w:r>
        <w:rPr>
          <w:iCs/>
          <w:i/>
          <w:bCs/>
          <w:b/>
        </w:rPr>
        <w:t xml:space="preserve">bṛhate</w:t>
      </w:r>
      <w:r>
        <w:rPr>
          <w:bCs/>
          <w:b/>
        </w:rPr>
        <w:t xml:space="preserve">)</w:t>
      </w:r>
      <w:r>
        <w:t xml:space="preserve"> </w:t>
      </w:r>
      <w:r>
        <w:t xml:space="preserve">—</w:t>
      </w:r>
      <w:r>
        <w:t xml:space="preserve"> </w:t>
      </w:r>
      <w:r>
        <w:t xml:space="preserve">“</w:t>
      </w:r>
      <w:r>
        <w:t xml:space="preserve">bṛhan-mahator upasaṃkhyānam</w:t>
      </w:r>
      <w:r>
        <w:t xml:space="preserve">”</w:t>
      </w:r>
      <w:r>
        <w:t xml:space="preserve"> </w:t>
      </w:r>
      <w:r>
        <w:t xml:space="preserve">(Pā. 6-1-173, vārttika 1): after</w:t>
      </w:r>
      <w:r>
        <w:t xml:space="preserve"> </w:t>
      </w:r>
      <w:r>
        <w:rPr>
          <w:iCs/>
          <w:i/>
        </w:rPr>
        <w:t xml:space="preserve">bṛhat</w:t>
      </w:r>
      <w:r>
        <w:t xml:space="preserve"> </w:t>
      </w:r>
      <w:r>
        <w:t xml:space="preserve">and</w:t>
      </w:r>
      <w:r>
        <w:t xml:space="preserve"> </w:t>
      </w:r>
      <w:r>
        <w:rPr>
          <w:iCs/>
          <w:i/>
        </w:rPr>
        <w:t xml:space="preserve">mahat</w:t>
      </w:r>
      <w:r>
        <w:t xml:space="preserve"> </w:t>
      </w:r>
      <w:r>
        <w:t xml:space="preserve">the case-ending that has</w:t>
      </w:r>
      <w:r>
        <w:t xml:space="preserve"> </w:t>
      </w:r>
      <w:r>
        <w:rPr>
          <w:iCs/>
          <w:i/>
        </w:rPr>
        <w:t xml:space="preserve">nadī</w:t>
      </w:r>
      <w:r>
        <w:t xml:space="preserve"> </w:t>
      </w:r>
      <w:r>
        <w:t xml:space="preserve">status (and the vowel-initial endings) is udātta; so the</w:t>
      </w:r>
      <w:r>
        <w:t xml:space="preserve"> </w:t>
      </w:r>
      <w:r>
        <w:rPr>
          <w:iCs/>
          <w:i/>
        </w:rPr>
        <w:t xml:space="preserve">e</w:t>
      </w:r>
      <w:r>
        <w:t xml:space="preserve"> </w:t>
      </w:r>
      <w:r>
        <w:t xml:space="preserve">in</w:t>
      </w:r>
      <w:r>
        <w:t xml:space="preserve"> </w:t>
      </w:r>
      <w:r>
        <w:rPr>
          <w:iCs/>
          <w:i/>
        </w:rPr>
        <w:t xml:space="preserve">bṛhate</w:t>
      </w:r>
      <w:r>
        <w:t xml:space="preserve"> </w:t>
      </w:r>
      <w:r>
        <w:t xml:space="preserve">is udātta; although the sūtra</w:t>
      </w:r>
      <w:r>
        <w:t xml:space="preserve"> </w:t>
      </w:r>
      <w:r>
        <w:t xml:space="preserve">“</w:t>
      </w:r>
      <w:r>
        <w:t xml:space="preserve">vartamāne pṛṣad-bṛhan-mahaj-jagac-chatṛvac ca</w:t>
      </w:r>
      <w:r>
        <w:t xml:space="preserve">”</w:t>
      </w:r>
      <w:r>
        <w:t xml:space="preserve"> </w:t>
      </w:r>
      <w:r>
        <w:t xml:space="preserve">(Uṇ. 2-2-42 [?], as printed in three parts) says</w:t>
      </w:r>
      <w:r>
        <w:t xml:space="preserve"> </w:t>
      </w:r>
      <w:r>
        <w:rPr>
          <w:iCs/>
          <w:i/>
        </w:rPr>
        <w:t xml:space="preserve">śatṛvat</w:t>
      </w:r>
      <w:r>
        <w:t xml:space="preserve"> </w:t>
      </w:r>
      <w:r>
        <w:t xml:space="preserve">(treated like</w:t>
      </w:r>
      <w:r>
        <w:t xml:space="preserve"> </w:t>
      </w:r>
      <w:r>
        <w:rPr>
          <w:iCs/>
          <w:i/>
        </w:rPr>
        <w:t xml:space="preserve">śatṛ</w:t>
      </w:r>
      <w:r>
        <w:t xml:space="preserve">), by which</w:t>
      </w:r>
      <w:r>
        <w:t xml:space="preserve"> </w:t>
      </w:r>
      <w:r>
        <w:t xml:space="preserve">“</w:t>
      </w:r>
      <w:r>
        <w:t xml:space="preserve">śatur anumo nadyajādī</w:t>
      </w:r>
      <w:r>
        <w:t xml:space="preserve">”</w:t>
      </w:r>
      <w:r>
        <w:t xml:space="preserve"> </w:t>
      </w:r>
      <w:r>
        <w:t xml:space="preserve">(Pā. 6-1-173) would already give the udātta, a</w:t>
      </w:r>
      <w:r>
        <w:t xml:space="preserve"> </w:t>
      </w:r>
      <w:r>
        <w:rPr>
          <w:iCs/>
          <w:i/>
        </w:rPr>
        <w:t xml:space="preserve">vārttika</w:t>
      </w:r>
      <w:r>
        <w:t xml:space="preserve"> </w:t>
      </w:r>
      <w:r>
        <w:t xml:space="preserve">is needed to fix the rule so that it applies only after</w:t>
      </w:r>
      <w:r>
        <w:t xml:space="preserve"> </w:t>
      </w:r>
      <w:r>
        <w:rPr>
          <w:iCs/>
          <w:i/>
        </w:rPr>
        <w:t xml:space="preserve">bṛhat</w:t>
      </w:r>
      <w:r>
        <w:t xml:space="preserve"> </w:t>
      </w:r>
      <w:r>
        <w:t xml:space="preserve">and</w:t>
      </w:r>
      <w:r>
        <w:t xml:space="preserve"> </w:t>
      </w:r>
      <w:r>
        <w:rPr>
          <w:iCs/>
          <w:i/>
        </w:rPr>
        <w:t xml:space="preserve">mahat</w:t>
      </w:r>
      <w:r>
        <w:t xml:space="preserve"> </w:t>
      </w:r>
      <w:r>
        <w:t xml:space="preserve">and not after</w:t>
      </w:r>
      <w:r>
        <w:t xml:space="preserve"> </w:t>
      </w:r>
      <w:r>
        <w:rPr>
          <w:iCs/>
          <w:i/>
        </w:rPr>
        <w:t xml:space="preserve">pṛṣat</w:t>
      </w:r>
      <w:r>
        <w:t xml:space="preserve"> </w:t>
      </w:r>
      <w:r>
        <w:t xml:space="preserve">and</w:t>
      </w:r>
      <w:r>
        <w:t xml:space="preserve"> </w:t>
      </w:r>
      <w:r>
        <w:rPr>
          <w:iCs/>
          <w:i/>
        </w:rPr>
        <w:t xml:space="preserve">jagat</w:t>
      </w:r>
      <w:r>
        <w:t xml:space="preserve">; hence</w:t>
      </w:r>
      <w:r>
        <w:t xml:space="preserve"> </w:t>
      </w:r>
      <w:r>
        <w:t xml:space="preserve">“</w:t>
      </w:r>
      <w:r>
        <w:t xml:space="preserve">bṛhan-mahator upasaṃkhyānam</w:t>
      </w:r>
      <w:r>
        <w:t xml:space="preserve">”</w:t>
      </w:r>
      <w:r>
        <w:t xml:space="preserve"> </w:t>
      </w:r>
      <w:r>
        <w:t xml:space="preserve">is necessary.</w:t>
      </w:r>
      <w:r>
        <w:t xml:space="preserve"> </w:t>
      </w:r>
      <w:r>
        <w:rPr>
          <w:bCs/>
          <w:b/>
        </w:rPr>
        <w:t xml:space="preserve">अरिः (</w:t>
      </w:r>
      <w:r>
        <w:rPr>
          <w:iCs/>
          <w:i/>
          <w:bCs/>
          <w:b/>
        </w:rPr>
        <w:t xml:space="preserve">ariḥ</w:t>
      </w:r>
      <w:r>
        <w:rPr>
          <w:bCs/>
          <w:b/>
        </w:rPr>
        <w:t xml:space="preserve">)</w:t>
      </w:r>
      <w:r>
        <w:t xml:space="preserve"> </w:t>
      </w:r>
      <w:r>
        <w:t xml:space="preserve">— root</w:t>
      </w:r>
      <w:r>
        <w:t xml:space="preserve"> </w:t>
      </w:r>
      <w:r>
        <w:rPr>
          <w:iCs/>
          <w:i/>
        </w:rPr>
        <w:t xml:space="preserve">ṛ gatau</w:t>
      </w:r>
      <w:r>
        <w:t xml:space="preserve"> </w:t>
      </w:r>
      <w:r>
        <w:t xml:space="preserve">+ the suffix</w:t>
      </w:r>
      <w:r>
        <w:t xml:space="preserve"> </w:t>
      </w:r>
      <w:r>
        <w:rPr>
          <w:iCs/>
          <w:i/>
        </w:rPr>
        <w:t xml:space="preserve">i</w:t>
      </w:r>
      <w:r>
        <w:t xml:space="preserve"> </w:t>
      </w:r>
      <w:r>
        <w:t xml:space="preserve">by</w:t>
      </w:r>
      <w:r>
        <w:t xml:space="preserve"> </w:t>
      </w:r>
      <w:r>
        <w:t xml:space="preserve">“</w:t>
      </w:r>
      <w:r>
        <w:t xml:space="preserve">aca iḥ</w:t>
      </w:r>
      <w:r>
        <w:t xml:space="preserve">”</w:t>
      </w:r>
      <w:r>
        <w:t xml:space="preserve"> </w:t>
      </w:r>
      <w:r>
        <w:t xml:space="preserve">(Uṇ. 4-578 [as printed]; the bhāṣya on p. 377 prints 4-138); guṇa by</w:t>
      </w:r>
      <w:r>
        <w:t xml:space="preserve"> </w:t>
      </w:r>
      <w:r>
        <w:t xml:space="preserve">“</w:t>
      </w:r>
      <w:r>
        <w:t xml:space="preserve">sārvadhātukārdhadhātukayoḥ</w:t>
      </w:r>
      <w:r>
        <w:t xml:space="preserve">”</w:t>
      </w:r>
      <w:r>
        <w:t xml:space="preserve"> </w:t>
      </w:r>
      <w:r>
        <w:t xml:space="preserve">(Pā. 7-3-84) and</w:t>
      </w:r>
      <w:r>
        <w:t xml:space="preserve"> </w:t>
      </w:r>
      <w:r>
        <w:rPr>
          <w:iCs/>
          <w:i/>
        </w:rPr>
        <w:t xml:space="preserve">raparatva</w:t>
      </w:r>
      <w:r>
        <w:t xml:space="preserve"> </w:t>
      </w:r>
      <w:r>
        <w:t xml:space="preserve">by</w:t>
      </w:r>
      <w:r>
        <w:t xml:space="preserve"> </w:t>
      </w:r>
      <w:r>
        <w:t xml:space="preserve">“</w:t>
      </w:r>
      <w:r>
        <w:t xml:space="preserve">uraṇ raparaḥ</w:t>
      </w:r>
      <w:r>
        <w:t xml:space="preserve">”</w:t>
      </w:r>
      <w:r>
        <w:t xml:space="preserve"> </w:t>
      </w:r>
      <w:r>
        <w:t xml:space="preserve">(Pā. 1-1-51);</w:t>
      </w:r>
      <w:r>
        <w:t xml:space="preserve"> </w:t>
      </w:r>
      <w:r>
        <w:rPr>
          <w:iCs/>
          <w:i/>
        </w:rPr>
        <w:t xml:space="preserve">ari</w:t>
      </w:r>
      <w:r>
        <w:t xml:space="preserve"> </w:t>
      </w:r>
      <w:r>
        <w:t xml:space="preserve">is final-udātta by the suffix.</w:t>
      </w:r>
      <w:r>
        <w:t xml:space="preserve"> </w:t>
      </w:r>
      <w:r>
        <w:rPr>
          <w:bCs/>
          <w:b/>
        </w:rPr>
        <w:t xml:space="preserve">इन्द्राय (</w:t>
      </w:r>
      <w:r>
        <w:rPr>
          <w:iCs/>
          <w:i/>
          <w:bCs/>
          <w:b/>
        </w:rPr>
        <w:t xml:space="preserve">indrāya</w:t>
      </w:r>
      <w:r>
        <w:rPr>
          <w:bCs/>
          <w:b/>
        </w:rPr>
        <w:t xml:space="preserve">)</w:t>
      </w:r>
      <w:r>
        <w:t xml:space="preserve"> </w:t>
      </w:r>
      <w:r>
        <w:t xml:space="preserve">—</w:t>
      </w:r>
      <w:r>
        <w:t xml:space="preserve"> </w:t>
      </w:r>
      <w:r>
        <w:rPr>
          <w:iCs/>
          <w:i/>
        </w:rPr>
        <w:t xml:space="preserve">ran</w:t>
      </w:r>
      <w:r>
        <w:t xml:space="preserve"> </w:t>
      </w:r>
      <w:r>
        <w:t xml:space="preserve">by</w:t>
      </w:r>
      <w:r>
        <w:t xml:space="preserve"> </w:t>
      </w:r>
      <w:r>
        <w:t xml:space="preserve">“</w:t>
      </w:r>
      <w:r>
        <w:t xml:space="preserve">ṛjrendrāgra-vajra…</w:t>
      </w:r>
      <w:r>
        <w:t xml:space="preserve">”</w:t>
      </w:r>
      <w:r>
        <w:t xml:space="preserve"> </w:t>
      </w:r>
      <w:r>
        <w:t xml:space="preserve">(Uṇ. 2-186); the suffix is</w:t>
      </w:r>
      <w:r>
        <w:t xml:space="preserve"> </w:t>
      </w:r>
      <w:r>
        <w:rPr>
          <w:iCs/>
          <w:i/>
        </w:rPr>
        <w:t xml:space="preserve">nit</w:t>
      </w:r>
      <w:r>
        <w:t xml:space="preserve">, so initial-udātta.</w:t>
      </w:r>
      <w:r>
        <w:t xml:space="preserve"> </w:t>
      </w:r>
      <w:r>
        <w:rPr>
          <w:bCs/>
          <w:b/>
        </w:rPr>
        <w:t xml:space="preserve">शूषम् (</w:t>
      </w:r>
      <w:r>
        <w:rPr>
          <w:iCs/>
          <w:i/>
          <w:bCs/>
          <w:b/>
        </w:rPr>
        <w:t xml:space="preserve">śūṣam</w:t>
      </w:r>
      <w:r>
        <w:rPr>
          <w:bCs/>
          <w:b/>
        </w:rPr>
        <w:t xml:space="preserve">)</w:t>
      </w:r>
      <w:r>
        <w:t xml:space="preserve"> </w:t>
      </w:r>
      <w:r>
        <w:t xml:space="preserve">— base accent by the Phiṭ-sūtra</w:t>
      </w:r>
      <w:r>
        <w:t xml:space="preserve"> </w:t>
      </w:r>
      <w:r>
        <w:t xml:space="preserve">“</w:t>
      </w:r>
      <w:r>
        <w:t xml:space="preserve">phiṣaḥ</w:t>
      </w:r>
      <w:r>
        <w:t xml:space="preserve">”</w:t>
      </w:r>
      <w:r>
        <w:t xml:space="preserve"> </w:t>
      </w:r>
      <w:r>
        <w:t xml:space="preserve">(Phiṭ 1).</w:t>
      </w:r>
      <w:r>
        <w:t xml:space="preserve"> </w:t>
      </w:r>
      <w:r>
        <w:rPr>
          <w:bCs/>
          <w:b/>
        </w:rPr>
        <w:t xml:space="preserve">अर्चति (</w:t>
      </w:r>
      <w:r>
        <w:rPr>
          <w:iCs/>
          <w:i/>
          <w:bCs/>
          <w:b/>
        </w:rPr>
        <w:t xml:space="preserve">arcati</w:t>
      </w:r>
      <w:r>
        <w:rPr>
          <w:bCs/>
          <w:b/>
        </w:rPr>
        <w:t xml:space="preserve">)</w:t>
      </w:r>
      <w:r>
        <w:t xml:space="preserve"> </w:t>
      </w:r>
      <w:r>
        <w:t xml:space="preserve">— wholly unaccented as a finite verb by</w:t>
      </w:r>
      <w:r>
        <w:t xml:space="preserve"> </w:t>
      </w:r>
      <w:r>
        <w:t xml:space="preserve">“</w:t>
      </w:r>
      <w:r>
        <w:t xml:space="preserve">tiṅṅ atiṅaḥ</w:t>
      </w:r>
      <w:r>
        <w:t xml:space="preserve">”</w:t>
      </w:r>
      <w:r>
        <w:t xml:space="preserve"> </w:t>
      </w:r>
      <w:r>
        <w:t xml:space="preserve">(Pā. 8-1-28).</w:t>
      </w:r>
    </w:p>
    <w:p>
      <w:pPr>
        <w:pStyle w:val="BodyText"/>
      </w:pPr>
      <w:r>
        <w:rPr>
          <w:bCs/>
          <w:b/>
        </w:rPr>
        <w:t xml:space="preserve">॥१०॥</w:t>
      </w:r>
    </w:p>
    <w:p>
      <w:pPr>
        <w:pStyle w:val="BodyText"/>
      </w:pPr>
      <w:r>
        <w:rPr>
          <w:bCs/>
          <w:b/>
        </w:rPr>
        <w:t xml:space="preserve">इति नवमं सूक्तं समाप्तम् ।</w:t>
      </w:r>
      <w:r>
        <w:t xml:space="preserve"> </w:t>
      </w:r>
      <w:r>
        <w:rPr>
          <w:iCs/>
          <w:i/>
        </w:rPr>
        <w:t xml:space="preserve">iti navamaṃ sūktaṃ samāptam |</w:t>
      </w:r>
      <w:r>
        <w:t xml:space="preserve"> </w:t>
      </w:r>
      <w:r>
        <w:t xml:space="preserve">“</w:t>
      </w:r>
      <w:r>
        <w:t xml:space="preserve">Thus the ninth sūkta is completed.</w:t>
      </w:r>
      <w:r>
        <w:t xml:space="preserve">”</w:t>
      </w:r>
      <w:r>
        <w:t xml:space="preserve"> </w:t>
      </w:r>
      <w:r>
        <w:rPr>
          <w:iCs/>
          <w:i/>
        </w:rPr>
        <w:t xml:space="preserve">(Printed in Sanskrit at the end of the grammar, p. 380.)</w:t>
      </w:r>
    </w:p>
    <w:p>
      <w:pPr>
        <w:pStyle w:val="BodyText"/>
      </w:pPr>
      <w:r>
        <w:rPr>
          <w:bCs/>
          <w:b/>
        </w:rPr>
        <w:t xml:space="preserve">End of Sūkta 9.</w:t>
      </w:r>
      <w:r>
        <w:t xml:space="preserve"> </w:t>
      </w:r>
      <w:r>
        <w:rPr>
          <w:iCs/>
          <w:i/>
        </w:rPr>
        <w:t xml:space="preserve">(The same page, 380, then opens the tenth sūkta,</w:t>
      </w:r>
      <w:r>
        <w:rPr>
          <w:iCs/>
          <w:i/>
        </w:rPr>
        <w:t xml:space="preserve"> </w:t>
      </w:r>
      <w:r>
        <w:rPr>
          <w:iCs/>
          <w:i/>
        </w:rPr>
        <w:t xml:space="preserve">“</w:t>
      </w:r>
      <w:r>
        <w:rPr>
          <w:iCs/>
          <w:i/>
        </w:rPr>
        <w:t xml:space="preserve">gāyanti tvā gāyatriṇaḥ</w:t>
      </w:r>
      <w:r>
        <w:rPr>
          <w:iCs/>
          <w:i/>
        </w:rPr>
        <w:t xml:space="preserve">”</w:t>
      </w:r>
      <w:r>
        <w:rPr>
          <w:iCs/>
          <w:i/>
        </w:rPr>
        <w:t xml:space="preserve">, with its application note; its heading, with the varga numerals and Rik 1 text, is on p. 381.)</w:t>
      </w:r>
    </w:p>
    <w:p>
      <w:r>
        <w:pict>
          <v:rect style="width:0;height:1.5pt" o:hralign="center" o:hrstd="t" o:hr="t"/>
        </w:pict>
      </w:r>
    </w:p>
    <w:bookmarkEnd w:id="405"/>
    <w:bookmarkStart w:id="406" w:name="Xb6459201b25931af4d4faf8ef9809ce1d5ad947"/>
    <w:p>
      <w:pPr>
        <w:pStyle w:val="Heading3"/>
      </w:pPr>
      <w:r>
        <w:t xml:space="preserve">Page 380 (lower half) — opening of Sūkta 10 (third anuvāka)</w:t>
      </w:r>
    </w:p>
    <w:p>
      <w:pPr>
        <w:pStyle w:val="FirstParagraph"/>
      </w:pPr>
      <w:r>
        <w:rPr>
          <w:bCs/>
          <w:b/>
        </w:rPr>
        <w:t xml:space="preserve">॥ ಹತ್ತನೆಯ ಸೂಕ್ತವು ॥ — Sūkta 10 —</w:t>
      </w:r>
      <w:r>
        <w:rPr>
          <w:bCs/>
          <w:b/>
        </w:rPr>
        <w:t xml:space="preserve"> </w:t>
      </w:r>
      <w:r>
        <w:rPr>
          <w:iCs/>
          <w:i/>
          <w:bCs/>
          <w:b/>
        </w:rPr>
        <w:t xml:space="preserve">“</w:t>
      </w:r>
      <w:r>
        <w:rPr>
          <w:iCs/>
          <w:i/>
          <w:bCs/>
          <w:b/>
        </w:rPr>
        <w:t xml:space="preserve">gāyanti tvā gāyatriṇaḥ</w:t>
      </w:r>
      <w:r>
        <w:rPr>
          <w:iCs/>
          <w:i/>
          <w:bCs/>
          <w:b/>
        </w:rPr>
        <w:t xml:space="preserve">”</w:t>
      </w:r>
      <w:r>
        <w:rPr>
          <w:bCs/>
          <w:b/>
        </w:rPr>
        <w:t xml:space="preserve"> </w:t>
      </w:r>
      <w:r>
        <w:rPr>
          <w:bCs/>
          <w:b/>
        </w:rPr>
        <w:t xml:space="preserve">(</w:t>
      </w:r>
      <w:r>
        <w:rPr>
          <w:bCs/>
          <w:b/>
        </w:rPr>
        <w:t xml:space="preserve">“</w:t>
      </w:r>
      <w:r>
        <w:rPr>
          <w:bCs/>
          <w:b/>
        </w:rPr>
        <w:t xml:space="preserve">The Tenth Sūkta</w:t>
      </w:r>
      <w:r>
        <w:rPr>
          <w:bCs/>
          <w:b/>
        </w:rPr>
        <w:t xml:space="preserve">”</w:t>
      </w:r>
      <w:r>
        <w:rPr>
          <w:bCs/>
          <w:b/>
        </w:rPr>
        <w:t xml:space="preserve">)</w:t>
      </w:r>
    </w:p>
    <w:p>
      <w:pPr>
        <w:pStyle w:val="BodyText"/>
      </w:pPr>
      <w:r>
        <w:rPr>
          <w:bCs/>
          <w:b/>
        </w:rPr>
        <w:t xml:space="preserve">॥ Sāyaṇa-bhāṣyam ॥ (introductory note on the application of the sūkta)</w:t>
      </w:r>
    </w:p>
    <w:p>
      <w:pPr>
        <w:pStyle w:val="BlockText"/>
      </w:pPr>
      <w:r>
        <w:t xml:space="preserve">गायन्तीति सूक्तस्य मन्त्रसंख्या छन्दोविशेषश्चैवमनुक्रम्यते । गायन्ति द्वादशानुष्टुभं त्विति । तुहिहवेत्यादिपरिभाषायाम् । अनु १२-३ । तुशब्दस्य सूक्तद्वये परिभाषितत्वादस्य सूक्तस्य वक्ष्यमाणस्य चानुष्टुभत्वं द्रष्टव्यम् । ऋषिदेवते पूर्ववत् । अभिप्लवषडहस्योक्थ्येषु तृतीयसवने ऽच्छावाकस्य गायन्तीति स्तोत्रियस्तृचः । एह्यूष्विति खण्डे गायन्ति त्वा गायत्रिण आ त्वा गिरो रथीरिव । आ. ७-८ । इति सूत्रितम् ॥</w:t>
      </w:r>
    </w:p>
    <w:p>
      <w:pPr>
        <w:pStyle w:val="BlockText"/>
      </w:pPr>
      <w:r>
        <w:rPr>
          <w:iCs/>
          <w:i/>
        </w:rPr>
        <w:t xml:space="preserve">gāyantīti sūktasya mantrasaṃkhyā chandoviśeṣaścaivamanukramyate | gāyanti dvādaśānuṣṭubhaṃ tviti | tuhihavetyādiparibhāṣāyām | anu 12-3 | tuśabdasya sūktadvaye paribhāṣitatvādasya sūktasya vakṣyamāṇasya cānuṣṭubhatvaṃ draṣṭavyam | ṛṣidevate pūrvavat | abhiplavaṣaḍahasyokthyeṣu tṛtīyasavane ’cchāvākasya gāyantīti stotriyastṛcaḥ | ehyūṣviti khaṇḍe gāyanti tvā gāyatriṇa ā tvā giro rathīriva | ā. 7-8 | iti sūtritam ||</w:t>
      </w:r>
    </w:p>
    <w:p>
      <w:pPr>
        <w:pStyle w:val="FirstParagraph"/>
      </w:pPr>
      <w:r>
        <w:rPr>
          <w:bCs/>
          <w:b/>
        </w:rPr>
        <w:t xml:space="preserve">Translation:</w:t>
      </w:r>
      <w:r>
        <w:t xml:space="preserve"> </w:t>
      </w:r>
      <w:r>
        <w:t xml:space="preserve">“</w:t>
      </w:r>
      <w:r>
        <w:t xml:space="preserve">The number of mantras and the special meter of the sūkta</w:t>
      </w:r>
      <w:r>
        <w:t xml:space="preserve"> </w:t>
      </w:r>
      <w:r>
        <w:rPr>
          <w:iCs/>
          <w:i/>
        </w:rPr>
        <w:t xml:space="preserve">gāyanti</w:t>
      </w:r>
      <w:r>
        <w:t xml:space="preserve"> </w:t>
      </w:r>
      <w:r>
        <w:t xml:space="preserve">are laid down in the Anukramaṇī thus:</w:t>
      </w:r>
      <w:r>
        <w:t xml:space="preserve"> </w:t>
      </w:r>
      <w:r>
        <w:t xml:space="preserve">‘</w:t>
      </w:r>
      <w:r>
        <w:rPr>
          <w:iCs/>
          <w:i/>
        </w:rPr>
        <w:t xml:space="preserve">gāyanti dvādaśānuṣṭubhaṃ tv iti</w:t>
      </w:r>
      <w:r>
        <w:t xml:space="preserve">’</w:t>
      </w:r>
      <w:r>
        <w:t xml:space="preserve"> </w:t>
      </w:r>
      <w:r>
        <w:t xml:space="preserve">(</w:t>
      </w:r>
      <w:r>
        <w:t xml:space="preserve">”</w:t>
      </w:r>
      <w:r>
        <w:rPr>
          <w:iCs/>
          <w:i/>
        </w:rPr>
        <w:t xml:space="preserve">gāyanti</w:t>
      </w:r>
      <w:r>
        <w:t xml:space="preserve">: twelve, in Anuṣṭubh —</w:t>
      </w:r>
      <w:r>
        <w:t xml:space="preserve"> </w:t>
      </w:r>
      <w:r>
        <w:rPr>
          <w:iCs/>
          <w:i/>
        </w:rPr>
        <w:t xml:space="preserve">tu</w:t>
      </w:r>
      <w:r>
        <w:t xml:space="preserve">”); and by the rule beginning</w:t>
      </w:r>
      <w:r>
        <w:t xml:space="preserve"> </w:t>
      </w:r>
      <w:r>
        <w:rPr>
          <w:iCs/>
          <w:i/>
        </w:rPr>
        <w:t xml:space="preserve">tuhihava</w:t>
      </w:r>
      <w:r>
        <w:t xml:space="preserve"> </w:t>
      </w:r>
      <w:r>
        <w:t xml:space="preserve">in the Paribhāṣā (Anukramaṇī 12-3), since the word</w:t>
      </w:r>
      <w:r>
        <w:t xml:space="preserve"> </w:t>
      </w:r>
      <w:r>
        <w:rPr>
          <w:iCs/>
          <w:i/>
        </w:rPr>
        <w:t xml:space="preserve">tu</w:t>
      </w:r>
      <w:r>
        <w:t xml:space="preserve"> </w:t>
      </w:r>
      <w:r>
        <w:t xml:space="preserve">is declared to apply to two sūktas, this sūkta and the next are both to be understood as Anuṣṭubh. Ṛṣi and deity are as before. Its special application: in the</w:t>
      </w:r>
      <w:r>
        <w:t xml:space="preserve"> </w:t>
      </w:r>
      <w:r>
        <w:rPr>
          <w:iCs/>
          <w:i/>
        </w:rPr>
        <w:t xml:space="preserve">ukthya</w:t>
      </w:r>
      <w:r>
        <w:t xml:space="preserve"> </w:t>
      </w:r>
      <w:r>
        <w:t xml:space="preserve">[rites] of the Abhiplava Ṣaḍaha, in the third pressing, the opening triplet (</w:t>
      </w:r>
      <w:r>
        <w:rPr>
          <w:iCs/>
          <w:i/>
        </w:rPr>
        <w:t xml:space="preserve">stotriya</w:t>
      </w:r>
      <w:r>
        <w:t xml:space="preserve">) of the Acchāvāka is</w:t>
      </w:r>
      <w:r>
        <w:t xml:space="preserve"> </w:t>
      </w:r>
      <w:r>
        <w:rPr>
          <w:iCs/>
          <w:i/>
        </w:rPr>
        <w:t xml:space="preserve">gāyanti</w:t>
      </w:r>
      <w:r>
        <w:t xml:space="preserve">. In the section</w:t>
      </w:r>
      <w:r>
        <w:t xml:space="preserve"> </w:t>
      </w:r>
      <w:r>
        <w:rPr>
          <w:iCs/>
          <w:i/>
        </w:rPr>
        <w:t xml:space="preserve">ehy ū ṣu</w:t>
      </w:r>
      <w:r>
        <w:t xml:space="preserve"> </w:t>
      </w:r>
      <w:r>
        <w:t xml:space="preserve">it is laid down:</w:t>
      </w:r>
      <w:r>
        <w:t xml:space="preserve"> </w:t>
      </w:r>
      <w:r>
        <w:t xml:space="preserve">‘</w:t>
      </w:r>
      <w:r>
        <w:rPr>
          <w:iCs/>
          <w:i/>
        </w:rPr>
        <w:t xml:space="preserve">gāyanti tvā gāyatriṇaḥ</w:t>
      </w:r>
      <w:r>
        <w:t xml:space="preserve">,</w:t>
      </w:r>
      <w:r>
        <w:t xml:space="preserve"> </w:t>
      </w:r>
      <w:r>
        <w:rPr>
          <w:iCs/>
          <w:i/>
        </w:rPr>
        <w:t xml:space="preserve">ā tvā giro rathīr iva</w:t>
      </w:r>
      <w:r>
        <w:t xml:space="preserve">’</w:t>
      </w:r>
      <w:r>
        <w:t xml:space="preserve"> </w:t>
      </w:r>
      <w:r>
        <w:t xml:space="preserve">(Āśvalāyana 7-8).”</w:t>
      </w:r>
    </w:p>
    <w:p>
      <w:pPr>
        <w:pStyle w:val="BodyText"/>
      </w:pPr>
      <w:r>
        <w:rPr>
          <w:bCs/>
          <w:b/>
        </w:rPr>
        <w:t xml:space="preserve">॥ Anuvāda (Kannada rendering) ॥</w:t>
      </w:r>
      <w:r>
        <w:t xml:space="preserve"> </w:t>
      </w:r>
      <w:r>
        <w:t xml:space="preserve">The mantra-count and the meter of the sūkta</w:t>
      </w:r>
      <w:r>
        <w:t xml:space="preserve"> </w:t>
      </w:r>
      <w:r>
        <w:rPr>
          <w:iCs/>
          <w:i/>
        </w:rPr>
        <w:t xml:space="preserve">gāyanti tvā</w:t>
      </w:r>
      <w:r>
        <w:t xml:space="preserve"> </w:t>
      </w:r>
      <w:r>
        <w:t xml:space="preserve">are given in the Sūkta-anukramaṇī as</w:t>
      </w:r>
      <w:r>
        <w:t xml:space="preserve"> </w:t>
      </w:r>
      <w:r>
        <w:t xml:space="preserve">“</w:t>
      </w:r>
      <w:r>
        <w:rPr>
          <w:iCs/>
          <w:i/>
        </w:rPr>
        <w:t xml:space="preserve">gāyanti dvādaśānuṣṭubhaṃ tv iti</w:t>
      </w:r>
      <w:r>
        <w:t xml:space="preserve">”</w:t>
      </w:r>
      <w:r>
        <w:t xml:space="preserve"> </w:t>
      </w:r>
      <w:r>
        <w:t xml:space="preserve">— twelve riks, in the Anuṣṭubh meter (Anu. 12-3). Here the word</w:t>
      </w:r>
      <w:r>
        <w:t xml:space="preserve"> </w:t>
      </w:r>
      <w:r>
        <w:rPr>
          <w:iCs/>
          <w:i/>
        </w:rPr>
        <w:t xml:space="preserve">tu</w:t>
      </w:r>
      <w:r>
        <w:t xml:space="preserve"> </w:t>
      </w:r>
      <w:r>
        <w:t xml:space="preserve">[in the Paribhāṣā] is used so as to make known that this sūkta and the next share the same meter, Anuṣṭubh, as the two sūktas it governs. The ṛṣi and deity of this sūkta are as in the previous sūkta. Its application: in the sacrifice called Abhiplava-ṣaḍaha, at the third pressing, when the</w:t>
      </w:r>
      <w:r>
        <w:t xml:space="preserve"> </w:t>
      </w:r>
      <w:r>
        <w:rPr>
          <w:iCs/>
          <w:i/>
        </w:rPr>
        <w:t xml:space="preserve">ukthya</w:t>
      </w:r>
      <w:r>
        <w:t xml:space="preserve"> </w:t>
      </w:r>
      <w:r>
        <w:t xml:space="preserve">mantras are recited, the Acchāvāka priest [recites] the triplet</w:t>
      </w:r>
      <w:r>
        <w:t xml:space="preserve"> </w:t>
      </w:r>
      <w:r>
        <w:rPr>
          <w:iCs/>
          <w:i/>
        </w:rPr>
        <w:t xml:space="preserve">gāyanti</w:t>
      </w:r>
      <w:r>
        <w:t xml:space="preserve">, as a</w:t>
      </w:r>
      <w:r>
        <w:t xml:space="preserve"> </w:t>
      </w:r>
      <w:r>
        <w:rPr>
          <w:iCs/>
          <w:i/>
        </w:rPr>
        <w:t xml:space="preserve">stotriya</w:t>
      </w:r>
      <w:r>
        <w:t xml:space="preserve"> </w:t>
      </w:r>
      <w:r>
        <w:t xml:space="preserve">[opening triplet] śastra-mantra. Āśvalāyana says in his Śrauta-sūtra, in the section</w:t>
      </w:r>
      <w:r>
        <w:t xml:space="preserve"> </w:t>
      </w:r>
      <w:r>
        <w:rPr>
          <w:iCs/>
          <w:i/>
        </w:rPr>
        <w:t xml:space="preserve">ehy ū ṣu</w:t>
      </w:r>
      <w:r>
        <w:t xml:space="preserve"> </w:t>
      </w:r>
      <w:r>
        <w:t xml:space="preserve">(Āś. Sū. 7-8), that the riks</w:t>
      </w:r>
      <w:r>
        <w:t xml:space="preserve"> </w:t>
      </w:r>
      <w:r>
        <w:rPr>
          <w:iCs/>
          <w:i/>
        </w:rPr>
        <w:t xml:space="preserve">gāyanti tvā gāyatriṇaḥ</w:t>
      </w:r>
      <w:r>
        <w:t xml:space="preserve"> </w:t>
      </w:r>
      <w:r>
        <w:t xml:space="preserve">(Ṛ. Saṃ. 1-10-1; Sāma 342; 1344) and</w:t>
      </w:r>
      <w:r>
        <w:t xml:space="preserve"> </w:t>
      </w:r>
      <w:r>
        <w:rPr>
          <w:iCs/>
          <w:i/>
        </w:rPr>
        <w:t xml:space="preserve">ā tvā giro rathīr iva</w:t>
      </w:r>
      <w:r>
        <w:t xml:space="preserve"> </w:t>
      </w:r>
      <w:r>
        <w:t xml:space="preserve">(Ṛ. Saṃ. 8-95-1; Sāma 349) are to be recited.</w:t>
      </w:r>
    </w:p>
    <w:bookmarkEnd w:id="406"/>
    <w:bookmarkStart w:id="407" w:name="page-381-sūkta-10-rik-1"/>
    <w:p>
      <w:pPr>
        <w:pStyle w:val="Heading3"/>
      </w:pPr>
      <w:r>
        <w:t xml:space="preserve">Page 381 — Sūkta 10, Rik 1</w:t>
      </w:r>
    </w:p>
    <w:p>
      <w:pPr>
        <w:pStyle w:val="FirstParagraph"/>
      </w:pPr>
      <w:r>
        <w:rPr>
          <w:bCs/>
          <w:b/>
        </w:rPr>
        <w:t xml:space="preserve">॥ Sūkta — 10 ॥</w:t>
      </w:r>
      <w:r>
        <w:t xml:space="preserve"> </w:t>
      </w:r>
      <w:r>
        <w:rPr>
          <w:bCs/>
          <w:b/>
        </w:rPr>
        <w:t xml:space="preserve">॥ Maṇḍala — 1 ॥ Anuvāka — 3 ॥ Sūkta — 10 ॥</w:t>
      </w:r>
      <w:r>
        <w:t xml:space="preserve"> </w:t>
      </w:r>
      <w:r>
        <w:rPr>
          <w:bCs/>
          <w:b/>
        </w:rPr>
        <w:t xml:space="preserve">॥ Aṣṭaka — 1 ॥ Adhyāya — 1 ॥ Varga — 19, 20 ॥</w:t>
      </w:r>
      <w:r>
        <w:t xml:space="preserve"> </w:t>
      </w:r>
      <w:r>
        <w:rPr>
          <w:bCs/>
          <w:b/>
        </w:rPr>
        <w:t xml:space="preserve">॥ Mantras contained in this sūkta: 1–12 ॥</w:t>
      </w:r>
      <w:r>
        <w:t xml:space="preserve"> </w:t>
      </w:r>
      <w:r>
        <w:rPr>
          <w:bCs/>
          <w:b/>
        </w:rPr>
        <w:t xml:space="preserve">॥ Ṛṣi — Madhucchandā Vaiśvāmitra ॥</w:t>
      </w:r>
      <w:r>
        <w:t xml:space="preserve"> </w:t>
      </w:r>
      <w:r>
        <w:rPr>
          <w:bCs/>
          <w:b/>
        </w:rPr>
        <w:t xml:space="preserve">॥ Devatā — Indra ॥</w:t>
      </w:r>
      <w:r>
        <w:t xml:space="preserve"> </w:t>
      </w:r>
      <w:r>
        <w:rPr>
          <w:bCs/>
          <w:b/>
        </w:rPr>
        <w:t xml:space="preserve">॥ Chandaḥ — Anuṣṭubh ॥</w:t>
      </w:r>
    </w:p>
    <w:p>
      <w:pPr>
        <w:pStyle w:val="BodyText"/>
      </w:pPr>
      <w:r>
        <w:rPr>
          <w:iCs/>
          <w:i/>
        </w:rPr>
        <w:t xml:space="preserve">(Saṃhitā accents as printed; Pada unaccented.)</w:t>
      </w:r>
    </w:p>
    <w:p>
      <w:pPr>
        <w:pStyle w:val="BodyText"/>
      </w:pPr>
      <w:r>
        <w:rPr>
          <w:bCs/>
          <w:b/>
        </w:rPr>
        <w:t xml:space="preserve">॥ Saṃhitā-pāṭhaḥ ॥</w:t>
      </w:r>
    </w:p>
    <w:p>
      <w:pPr>
        <w:pStyle w:val="BlockText"/>
      </w:pPr>
      <w:r>
        <w:t xml:space="preserve">गाय॑न्ति त्वा गाय॒त्रिणो ऽर्च॑न्त्य॒र्कम॒र्किणः॑ ।</w:t>
      </w:r>
      <w:r>
        <w:t xml:space="preserve"> </w:t>
      </w:r>
      <w:r>
        <w:t xml:space="preserve">ब्र॒ह्मा॑णस्त्वा शतक्र॒त उद्वं॒शमि॑व येमिरे ॥१॥</w:t>
      </w:r>
    </w:p>
    <w:p>
      <w:pPr>
        <w:pStyle w:val="BlockText"/>
      </w:pPr>
      <w:r>
        <w:rPr>
          <w:iCs/>
          <w:i/>
        </w:rPr>
        <w:t xml:space="preserve">gā́yanti tvā gāyatríṇó ’rcanty arkám arkíṇaḥ |</w:t>
      </w:r>
      <w:r>
        <w:t xml:space="preserve"> </w:t>
      </w:r>
      <w:r>
        <w:rPr>
          <w:iCs/>
          <w:i/>
        </w:rPr>
        <w:t xml:space="preserve">brahmāṇas tvā śatakratá ud vaṃśám iva yemire ||1||</w:t>
      </w:r>
    </w:p>
    <w:p>
      <w:pPr>
        <w:pStyle w:val="FirstParagraph"/>
      </w:pPr>
      <w:r>
        <w:rPr>
          <w:bCs/>
          <w:b/>
        </w:rPr>
        <w:t xml:space="preserve">॥ Pada-pāṭhaḥ ॥</w:t>
      </w:r>
    </w:p>
    <w:p>
      <w:pPr>
        <w:pStyle w:val="BlockText"/>
      </w:pPr>
      <w:r>
        <w:t xml:space="preserve">गायन्ति । त्वा । गायत्रिणः । अर्चन्ति । अर्कम् । अर्किणः ॥</w:t>
      </w:r>
      <w:r>
        <w:t xml:space="preserve"> </w:t>
      </w:r>
      <w:r>
        <w:t xml:space="preserve">ब्रह्माणः । त्वा । शतक्रतो इति शतऽक्रतो । उत् । वंशम्ऽइव । येमिरे ॥१॥</w:t>
      </w:r>
    </w:p>
    <w:p>
      <w:pPr>
        <w:pStyle w:val="BlockText"/>
      </w:pPr>
      <w:r>
        <w:rPr>
          <w:iCs/>
          <w:i/>
        </w:rPr>
        <w:t xml:space="preserve">gāyanti | tvā | gāyatriṇaḥ | arcanti | arkam | arkiṇaḥ ||</w:t>
      </w:r>
      <w:r>
        <w:t xml:space="preserve"> </w:t>
      </w:r>
      <w:r>
        <w:rPr>
          <w:iCs/>
          <w:i/>
        </w:rPr>
        <w:t xml:space="preserve">brahmāṇaḥ | tvā | śatakrato iti śata-krato | ut | vaṃśam-iva | yemire ||1||</w:t>
      </w:r>
    </w:p>
    <w:p>
      <w:pPr>
        <w:pStyle w:val="FirstParagraph"/>
      </w:pPr>
      <w:r>
        <w:rPr>
          <w:bCs/>
          <w:b/>
        </w:rPr>
        <w:t xml:space="preserve">॥ Sāyaṇa-bhāṣyam ॥</w:t>
      </w:r>
    </w:p>
    <w:p>
      <w:pPr>
        <w:pStyle w:val="BlockText"/>
      </w:pPr>
      <w:r>
        <w:t xml:space="preserve">हे शतक्रतो बहुकर्मन्बहुप्रज्ञ वेन्द्र त्वां गायत्रिण उद्गातारो गायन्ति । स्तुवन्ति । अर्किणो ऽर्चनहेतुमन्त्रयुक्ता होतारो ऽर्कमर्चनीयमिन्द्रमर्चन्ति । शस्त्रगतैर्मन्त्रैः प्रशंसन्ति । ब्रह्माणो ब्रह्मप्रभृतय इतरे ब्राह्मणास्त्वामुद्येमिरे । उन्नतिं प्रापयन्ति । तत्र दृष्टान्तः । वंशमिव । यथा वंशाग्रे नृत्यन्तः शिल्पिनः प्रौढं वंशमुत्पन्नं कुर्वन्ति । यथा वा सन्मार्गवर्तिनः स्वकीयं कुलमुन्नतं कुर्वन्ति तद्वत् । एतामृचं यास्क एवं व्याचष्टे । गायन्ति त्वा गायत्रिणः प्रार्चन्ति ते ऽर्कमर्किणो ब्रह्माणस्त्वा शतक्रत उद्येमिरे वंशमिव । वंशो वनशयो भवति वननाच्छ्रूयत इति वा । नि. ५-५ । अर्कशब्दं च बहुधा व्याचष्टे । अर्को देवो भवति यदेनमर्चन्त्यर्को मन्त्रो भवति यदेनेनार्चन्त्यर्कमन्नं भवत्यर्चति भूतान्यर्को वृक्षो भवति स वृतः कटुकिम्ना । नि. ५-४ । इति ॥ गायन्ति । शप्तिङौ पित्त्वात्सार्वधातुकत्वाच्चानुदात्तौ । धातुरुदात्तः । गायत्रिणः । गायत्रं साम येषामुद्गातॄणामस्ति ते । अत इनिठनौ । प्रत्ययस्वरेणेकार उदात्तः । अर्चन्ति । अर्च पूजायाम् । भौवादिकः । शप्तिङावनुदात्तौ धातुस्वर एव । पादादित्वान्न निघातः । अर्कम् । अर्चन्त्येभिरित्यर्का मन्त्राः । तैरर्चनीयतया तदात्मक इन्द्रो ऽपि लक्षणयार्कः । पुंसि संज्ञायां घः प्रायेण । पा. ३-३-११८ । इति करणे घः । चजोः कु घिण्ण्यतोः । पा. ७-३-५२ । इति चकारस्य कुत्वम् । ककारः । प्रत्ययस्वरेणान्तोदात्तः । अर्का मन्त्रा एषां सन्तीत्यर्किणो होतारः । एकाक्षरात्कृतो जातेः सप्तम्यां च न तौ स्मृतौ । पा. ५-२-११५-२ । इति कृदन्तादिनिठनौ यद्यपि प्रतिषिद्धौ तथाप्यत्र व्यत्ययादिनिः । प्रत्ययस्वरेणेकार उदात्तः । ब्रह्माणः । प्रातिपदिकस्वरेणान्तोदात्तः । शतक्रतो । निघातः । संहितायामवादेशे लोपः शाकल्यस्य । पा. ८-३-१९ । इति वकारलोपः । वंशशब्दः प्रातिपदिकस्वरेणान्तोदात्तः । इवेन विभक्त्यलोपः पूर्वपदप्रकृतिस्वरत्वं च । पा. २-१-४-२ । इति स एव शिष्यते । येमिरे । यम उपरमे । तिङ्ङतिङ इति निघातः ॥</w:t>
      </w:r>
    </w:p>
    <w:p>
      <w:pPr>
        <w:pStyle w:val="BlockText"/>
      </w:pPr>
      <w:r>
        <w:rPr>
          <w:iCs/>
          <w:i/>
        </w:rPr>
        <w:t xml:space="preserve">he śatakrato bahukarmanbahuprajña vendra tvāṃ gāyatriṇa udgātāro gāyanti | stuvanti | arkiṇo ’rcanahetumantrayuktā hotāro ’rkamarcanīyamindramarcanti | śastragatairmantraiḥ praśaṃsanti | brahmāṇo brahmaprabhṛtaya itare brāhmaṇāstvāmudyemire | unnatiṃ prāpayanti | tatra dṛṣṭāntaḥ | vaṃśamiva | yathā vaṃśāgre nṛtyantaḥ śilpinaḥ prauḍhaṃ vaṃśamutpannaṃ kurvanti | yathā vā sanmārgavartinaḥ svakīyaṃ kulamunnataṃ kurvanti tadvat | etāmṛcaṃ yāska evaṃ vyācaṣṭe | gāyanti tvā gāyatriṇaḥ prārcanti te ’rkamarkiṇo brahmāṇastvā śatakrata udyemire vaṃśamiva | vaṃśo vanaśayo bhavati vananācchrūyata iti vā | ni. 5-5 | arkaśabdaṃ ca bahudhā vyācaṣṭe | arko devo bhavati yadenamarcantyarko mantro bhavati yadenenārcantyarkamannaṃ bhavatyarcati bhūtānyarko vṛkṣo bhavati sa vṛtaḥ kaṭukimnā | ni. 5-4 | iti || gāyanti | śaptiṅau pittvātsārvadhātukatvāccānudāttau | dhāturudāttaḥ | gāyatriṇaḥ | gāyatraṃ sāma yeṣāmudgātṝṇāmasti te | ata iniṭhanau | pratyayasvareṇekāra udāttaḥ | arcanti | arca pūjāyām | bhauvādikaḥ | śaptiṅāvanudāttau dhātusvara eva | pādāditvānna nighātaḥ | arkam | arcantyebhirityarkā mantrāḥ | tairarcanīyatayā tadātmaka indro ’pi lakṣaṇayārkaḥ | puṃsi saṃjñāyāṃ ghaḥ prāyeṇa | pā. 3-3-118 | iti karaṇe ghaḥ | cajoḥ ku ghiṇṇyatoḥ | pā. 7-3-52 | iti cakārasya kutvam | kakāraḥ | pratyayasvareṇāntodāttaḥ | arkā mantrā eṣāṃ santītyarkiṇo hotāraḥ | ekākṣarātkṛto jāteḥ saptamyāṃ ca na tau smṛtau | pā. 5-2-115-2 | iti kṛdantādiniṭhanau yadyapi pratiṣiddhau tathāpyatra vyatyayādiniḥ | pratyayasvareṇekāra udāttaḥ | brahmāṇaḥ | prātipadikasvareṇāntodāttaḥ | śatakrato | nighātaḥ | saṃhitāyāmavādeśe lopaḥ śākalyasya | pā. 8-3-19 | iti vakāralopaḥ | vaṃśaśabdaḥ prātipadikasvareṇāntodāttaḥ | ivena vibhaktyalopaḥ pūrvapadaprakṛtisvaratvaṃ ca | pā. 2-1-4-2 | iti sa eva śiṣyate | yemire | yama uparame | tiṅṅatiṅa iti nighātaḥ ||</w:t>
      </w:r>
    </w:p>
    <w:p>
      <w:pPr>
        <w:pStyle w:val="FirstParagraph"/>
      </w:pPr>
      <w:r>
        <w:rPr>
          <w:bCs/>
          <w:b/>
        </w:rPr>
        <w:t xml:space="preserve">Translation:</w:t>
      </w:r>
      <w:r>
        <w:t xml:space="preserve"> </w:t>
      </w:r>
      <w:r>
        <w:t xml:space="preserve">“</w:t>
      </w:r>
      <w:r>
        <w:t xml:space="preserve">O</w:t>
      </w:r>
      <w:r>
        <w:t xml:space="preserve"> </w:t>
      </w:r>
      <w:r>
        <w:rPr>
          <w:iCs/>
          <w:i/>
        </w:rPr>
        <w:t xml:space="preserve">śatakrato</w:t>
      </w:r>
      <w:r>
        <w:t xml:space="preserve"> </w:t>
      </w:r>
      <w:r>
        <w:t xml:space="preserve">— O Indra of many deeds, of much wisdom — the</w:t>
      </w:r>
      <w:r>
        <w:t xml:space="preserve"> </w:t>
      </w:r>
      <w:r>
        <w:rPr>
          <w:iCs/>
          <w:i/>
        </w:rPr>
        <w:t xml:space="preserve">gāyatriṇaḥ</w:t>
      </w:r>
      <w:r>
        <w:t xml:space="preserve">, the udgātṛ priests, sing of you (</w:t>
      </w:r>
      <w:r>
        <w:rPr>
          <w:iCs/>
          <w:i/>
        </w:rPr>
        <w:t xml:space="preserve">gāyanti</w:t>
      </w:r>
      <w:r>
        <w:t xml:space="preserve">): they praise. The</w:t>
      </w:r>
      <w:r>
        <w:t xml:space="preserve"> </w:t>
      </w:r>
      <w:r>
        <w:rPr>
          <w:iCs/>
          <w:i/>
        </w:rPr>
        <w:t xml:space="preserve">arkiṇaḥ</w:t>
      </w:r>
      <w:r>
        <w:t xml:space="preserve">, the hotṛ priests, equipped with the mantras that are the means of worship, worship (</w:t>
      </w:r>
      <w:r>
        <w:rPr>
          <w:iCs/>
          <w:i/>
        </w:rPr>
        <w:t xml:space="preserve">arcanti</w:t>
      </w:r>
      <w:r>
        <w:t xml:space="preserve">) Indra, the</w:t>
      </w:r>
      <w:r>
        <w:t xml:space="preserve"> </w:t>
      </w:r>
      <w:r>
        <w:rPr>
          <w:iCs/>
          <w:i/>
        </w:rPr>
        <w:t xml:space="preserve">arka</w:t>
      </w:r>
      <w:r>
        <w:t xml:space="preserve"> </w:t>
      </w:r>
      <w:r>
        <w:t xml:space="preserve">— the worshipful one: they praise [him] with the mantras of the śastra. The</w:t>
      </w:r>
      <w:r>
        <w:t xml:space="preserve"> </w:t>
      </w:r>
      <w:r>
        <w:rPr>
          <w:iCs/>
          <w:i/>
        </w:rPr>
        <w:t xml:space="preserve">brahmāṇaḥ</w:t>
      </w:r>
      <w:r>
        <w:t xml:space="preserve"> </w:t>
      </w:r>
      <w:r>
        <w:t xml:space="preserve">— Brahmā and the other brāhmaṇas —</w:t>
      </w:r>
      <w:r>
        <w:t xml:space="preserve"> </w:t>
      </w:r>
      <w:r>
        <w:rPr>
          <w:iCs/>
          <w:i/>
        </w:rPr>
        <w:t xml:space="preserve">ud yemire</w:t>
      </w:r>
      <w:r>
        <w:t xml:space="preserve">: raise you aloft, they bring about your elevation. The illustration:</w:t>
      </w:r>
      <w:r>
        <w:t xml:space="preserve"> </w:t>
      </w:r>
      <w:r>
        <w:rPr>
          <w:iCs/>
          <w:i/>
        </w:rPr>
        <w:t xml:space="preserve">vaṃśam iva</w:t>
      </w:r>
      <w:r>
        <w:t xml:space="preserve"> </w:t>
      </w:r>
      <w:r>
        <w:t xml:space="preserve">— as craftsmen dancing at the tip of a bamboo pole set the grown bamboo upright, or as those who follow the good path raise their own family high, so [they raise you]. This rik Yāska explains thus:</w:t>
      </w:r>
      <w:r>
        <w:t xml:space="preserve"> </w:t>
      </w:r>
      <w:r>
        <w:t xml:space="preserve">‘</w:t>
      </w:r>
      <w:r>
        <w:rPr>
          <w:iCs/>
          <w:i/>
        </w:rPr>
        <w:t xml:space="preserve">gāyanti tvā gāyatriṇaḥ</w:t>
      </w:r>
      <w:r>
        <w:t xml:space="preserve">,</w:t>
      </w:r>
      <w:r>
        <w:t xml:space="preserve"> </w:t>
      </w:r>
      <w:r>
        <w:rPr>
          <w:iCs/>
          <w:i/>
        </w:rPr>
        <w:t xml:space="preserve">prārcanti te ’rkam arkiṇaḥ</w:t>
      </w:r>
      <w:r>
        <w:t xml:space="preserve">,</w:t>
      </w:r>
      <w:r>
        <w:t xml:space="preserve"> </w:t>
      </w:r>
      <w:r>
        <w:rPr>
          <w:iCs/>
          <w:i/>
        </w:rPr>
        <w:t xml:space="preserve">brahmāṇas tvā śatakrata udyemire vaṃśam iva</w:t>
      </w:r>
      <w:r>
        <w:t xml:space="preserve">; a</w:t>
      </w:r>
      <w:r>
        <w:t xml:space="preserve"> </w:t>
      </w:r>
      <w:r>
        <w:rPr>
          <w:iCs/>
          <w:i/>
        </w:rPr>
        <w:t xml:space="preserve">vaṃśa</w:t>
      </w:r>
      <w:r>
        <w:t xml:space="preserve"> </w:t>
      </w:r>
      <w:r>
        <w:t xml:space="preserve">(bamboo) is</w:t>
      </w:r>
      <w:r>
        <w:t xml:space="preserve"> </w:t>
      </w:r>
      <w:r>
        <w:t xml:space="preserve">“</w:t>
      </w:r>
      <w:r>
        <w:t xml:space="preserve">that which lies in the forest</w:t>
      </w:r>
      <w:r>
        <w:t xml:space="preserve">”</w:t>
      </w:r>
      <w:r>
        <w:t xml:space="preserve"> </w:t>
      </w:r>
      <w:r>
        <w:t xml:space="preserve">(</w:t>
      </w:r>
      <w:r>
        <w:rPr>
          <w:iCs/>
          <w:i/>
        </w:rPr>
        <w:t xml:space="preserve">vanaśaya</w:t>
      </w:r>
      <w:r>
        <w:t xml:space="preserve">), or</w:t>
      </w:r>
      <w:r>
        <w:t xml:space="preserve"> </w:t>
      </w:r>
      <w:r>
        <w:t xml:space="preserve">“</w:t>
      </w:r>
      <w:r>
        <w:t xml:space="preserve">that which is heard of (</w:t>
      </w:r>
      <w:r>
        <w:rPr>
          <w:iCs/>
          <w:i/>
        </w:rPr>
        <w:t xml:space="preserve">śrūyate</w:t>
      </w:r>
      <w:r>
        <w:t xml:space="preserve">) because of its being enjoyed (</w:t>
      </w:r>
      <w:r>
        <w:rPr>
          <w:iCs/>
          <w:i/>
        </w:rPr>
        <w:t xml:space="preserve">vananāt</w:t>
      </w:r>
      <w:r>
        <w:t xml:space="preserve">)</w:t>
      </w:r>
      <w:r>
        <w:t xml:space="preserve">”</w:t>
      </w:r>
      <w:r>
        <w:t xml:space="preserve">’</w:t>
      </w:r>
      <w:r>
        <w:t xml:space="preserve"> </w:t>
      </w:r>
      <w:r>
        <w:t xml:space="preserve">(Nirukta 5-5). And he explains the word</w:t>
      </w:r>
      <w:r>
        <w:t xml:space="preserve"> </w:t>
      </w:r>
      <w:r>
        <w:rPr>
          <w:iCs/>
          <w:i/>
        </w:rPr>
        <w:t xml:space="preserve">arka</w:t>
      </w:r>
      <w:r>
        <w:t xml:space="preserve"> </w:t>
      </w:r>
      <w:r>
        <w:t xml:space="preserve">in many ways:</w:t>
      </w:r>
      <w:r>
        <w:t xml:space="preserve"> </w:t>
      </w:r>
      <w:r>
        <w:t xml:space="preserve">‘</w:t>
      </w:r>
      <w:r>
        <w:rPr>
          <w:iCs/>
          <w:i/>
        </w:rPr>
        <w:t xml:space="preserve">arka</w:t>
      </w:r>
      <w:r>
        <w:t xml:space="preserve"> </w:t>
      </w:r>
      <w:r>
        <w:t xml:space="preserve">is a god, because they worship him (</w:t>
      </w:r>
      <w:r>
        <w:rPr>
          <w:iCs/>
          <w:i/>
        </w:rPr>
        <w:t xml:space="preserve">arcanti</w:t>
      </w:r>
      <w:r>
        <w:t xml:space="preserve">);</w:t>
      </w:r>
      <w:r>
        <w:t xml:space="preserve"> </w:t>
      </w:r>
      <w:r>
        <w:rPr>
          <w:iCs/>
          <w:i/>
        </w:rPr>
        <w:t xml:space="preserve">arka</w:t>
      </w:r>
      <w:r>
        <w:t xml:space="preserve"> </w:t>
      </w:r>
      <w:r>
        <w:t xml:space="preserve">is a mantra, because with it they worship;</w:t>
      </w:r>
      <w:r>
        <w:t xml:space="preserve"> </w:t>
      </w:r>
      <w:r>
        <w:rPr>
          <w:iCs/>
          <w:i/>
        </w:rPr>
        <w:t xml:space="preserve">arka</w:t>
      </w:r>
      <w:r>
        <w:t xml:space="preserve"> </w:t>
      </w:r>
      <w:r>
        <w:t xml:space="preserve">is food, because beings honour it;</w:t>
      </w:r>
      <w:r>
        <w:t xml:space="preserve"> </w:t>
      </w:r>
      <w:r>
        <w:rPr>
          <w:iCs/>
          <w:i/>
        </w:rPr>
        <w:t xml:space="preserve">arka</w:t>
      </w:r>
      <w:r>
        <w:t xml:space="preserve"> </w:t>
      </w:r>
      <w:r>
        <w:t xml:space="preserve">is a tree (</w:t>
      </w:r>
      <w:r>
        <w:rPr>
          <w:iCs/>
          <w:i/>
        </w:rPr>
        <w:t xml:space="preserve">vṛkṣa</w:t>
      </w:r>
      <w:r>
        <w:t xml:space="preserve">): it is covered with pungency</w:t>
      </w:r>
      <w:r>
        <w:t xml:space="preserve">’</w:t>
      </w:r>
      <w:r>
        <w:t xml:space="preserve"> </w:t>
      </w:r>
      <w:r>
        <w:t xml:space="preserve">(Nirukta 5-4).</w:t>
      </w:r>
      <w:r>
        <w:t xml:space="preserve">”</w:t>
      </w:r>
    </w:p>
    <w:p>
      <w:pPr>
        <w:pStyle w:val="BodyText"/>
      </w:pPr>
      <w:r>
        <w:rPr>
          <w:iCs/>
          <w:i/>
        </w:rPr>
        <w:t xml:space="preserve">(Grammar, noted briefly:</w:t>
      </w:r>
      <w:r>
        <w:t xml:space="preserve"> </w:t>
      </w:r>
      <w:r>
        <w:t xml:space="preserve">gāyanti</w:t>
      </w:r>
      <w:r>
        <w:t xml:space="preserve"> </w:t>
      </w:r>
      <w:r>
        <w:rPr>
          <w:iCs/>
          <w:i/>
        </w:rPr>
        <w:t xml:space="preserve">— the root accent stands, śap and tiṅ being unaccented;</w:t>
      </w:r>
      <w:r>
        <w:t xml:space="preserve"> </w:t>
      </w:r>
      <w:r>
        <w:t xml:space="preserve">gāyatriṇaḥ</w:t>
      </w:r>
      <w:r>
        <w:t xml:space="preserve"> </w:t>
      </w:r>
      <w:r>
        <w:rPr>
          <w:iCs/>
          <w:i/>
        </w:rPr>
        <w:t xml:space="preserve">—</w:t>
      </w:r>
      <w:r>
        <w:rPr>
          <w:iCs/>
          <w:i/>
        </w:rPr>
        <w:t xml:space="preserve"> </w:t>
      </w:r>
      <w:r>
        <w:rPr>
          <w:iCs/>
          <w:i/>
        </w:rPr>
        <w:t xml:space="preserve">“</w:t>
      </w:r>
      <w:r>
        <w:rPr>
          <w:iCs/>
          <w:i/>
        </w:rPr>
        <w:t xml:space="preserve">those udgātṛs who have the gāyatra sāman</w:t>
      </w:r>
      <w:r>
        <w:rPr>
          <w:iCs/>
          <w:i/>
        </w:rPr>
        <w:t xml:space="preserve">”</w:t>
      </w:r>
      <w:r>
        <w:rPr>
          <w:iCs/>
          <w:i/>
        </w:rPr>
        <w:t xml:space="preserve">, with</w:t>
      </w:r>
      <w:r>
        <w:t xml:space="preserve"> </w:t>
      </w:r>
      <w:r>
        <w:t xml:space="preserve">ini</w:t>
      </w:r>
      <w:r>
        <w:rPr>
          <w:iCs/>
          <w:i/>
        </w:rPr>
        <w:t xml:space="preserve">, the</w:t>
      </w:r>
      <w:r>
        <w:t xml:space="preserve"> </w:t>
      </w:r>
      <w:r>
        <w:t xml:space="preserve">i</w:t>
      </w:r>
      <w:r>
        <w:t xml:space="preserve"> </w:t>
      </w:r>
      <w:r>
        <w:rPr>
          <w:iCs/>
          <w:i/>
        </w:rPr>
        <w:t xml:space="preserve">udātta;</w:t>
      </w:r>
      <w:r>
        <w:t xml:space="preserve"> </w:t>
      </w:r>
      <w:r>
        <w:t xml:space="preserve">arcanti</w:t>
      </w:r>
      <w:r>
        <w:t xml:space="preserve"> </w:t>
      </w:r>
      <w:r>
        <w:rPr>
          <w:iCs/>
          <w:i/>
        </w:rPr>
        <w:t xml:space="preserve">— root</w:t>
      </w:r>
      <w:r>
        <w:t xml:space="preserve"> </w:t>
      </w:r>
      <w:r>
        <w:t xml:space="preserve">arca pūjāyām</w:t>
      </w:r>
      <w:r>
        <w:rPr>
          <w:iCs/>
          <w:i/>
        </w:rPr>
        <w:t xml:space="preserve">, root accent, not lowered as first in the pāda;</w:t>
      </w:r>
      <w:r>
        <w:t xml:space="preserve"> </w:t>
      </w:r>
      <w:r>
        <w:t xml:space="preserve">arkam</w:t>
      </w:r>
      <w:r>
        <w:t xml:space="preserve"> </w:t>
      </w:r>
      <w:r>
        <w:rPr>
          <w:iCs/>
          <w:i/>
        </w:rPr>
        <w:t xml:space="preserve">—</w:t>
      </w:r>
      <w:r>
        <w:rPr>
          <w:iCs/>
          <w:i/>
        </w:rPr>
        <w:t xml:space="preserve"> </w:t>
      </w:r>
      <w:r>
        <w:rPr>
          <w:iCs/>
          <w:i/>
        </w:rPr>
        <w:t xml:space="preserve">“</w:t>
      </w:r>
      <w:r>
        <w:rPr>
          <w:iCs/>
          <w:i/>
        </w:rPr>
        <w:t xml:space="preserve">the mantras with which they worship</w:t>
      </w:r>
      <w:r>
        <w:rPr>
          <w:iCs/>
          <w:i/>
        </w:rPr>
        <w:t xml:space="preserve">”</w:t>
      </w:r>
      <w:r>
        <w:rPr>
          <w:iCs/>
          <w:i/>
        </w:rPr>
        <w:t xml:space="preserve">, hence by implication Indra; the suffix</w:t>
      </w:r>
      <w:r>
        <w:t xml:space="preserve"> </w:t>
      </w:r>
      <w:r>
        <w:t xml:space="preserve">gha</w:t>
      </w:r>
      <w:r>
        <w:t xml:space="preserve"> </w:t>
      </w:r>
      <w:r>
        <w:rPr>
          <w:iCs/>
          <w:i/>
        </w:rPr>
        <w:t xml:space="preserve">in the instrumental sense (Pā. 3-3-118),</w:t>
      </w:r>
      <w:r>
        <w:t xml:space="preserve"> </w:t>
      </w:r>
      <w:r>
        <w:t xml:space="preserve">c → k</w:t>
      </w:r>
      <w:r>
        <w:t xml:space="preserve"> </w:t>
      </w:r>
      <w:r>
        <w:rPr>
          <w:iCs/>
          <w:i/>
        </w:rPr>
        <w:t xml:space="preserve">(Pā. 7-3-52), final-udātta;</w:t>
      </w:r>
      <w:r>
        <w:t xml:space="preserve"> </w:t>
      </w:r>
      <w:r>
        <w:t xml:space="preserve">arkiṇaḥ</w:t>
      </w:r>
      <w:r>
        <w:t xml:space="preserve"> </w:t>
      </w:r>
      <w:r>
        <w:rPr>
          <w:iCs/>
          <w:i/>
        </w:rPr>
        <w:t xml:space="preserve">— the hotṛs</w:t>
      </w:r>
      <w:r>
        <w:rPr>
          <w:iCs/>
          <w:i/>
        </w:rPr>
        <w:t xml:space="preserve"> </w:t>
      </w:r>
      <w:r>
        <w:rPr>
          <w:iCs/>
          <w:i/>
        </w:rPr>
        <w:t xml:space="preserve">“</w:t>
      </w:r>
      <w:r>
        <w:rPr>
          <w:iCs/>
          <w:i/>
        </w:rPr>
        <w:t xml:space="preserve">who have the arka-mantras</w:t>
      </w:r>
      <w:r>
        <w:rPr>
          <w:iCs/>
          <w:i/>
        </w:rPr>
        <w:t xml:space="preserve">”</w:t>
      </w:r>
      <w:r>
        <w:rPr>
          <w:iCs/>
          <w:i/>
        </w:rPr>
        <w:t xml:space="preserve">, with</w:t>
      </w:r>
      <w:r>
        <w:t xml:space="preserve"> </w:t>
      </w:r>
      <w:r>
        <w:t xml:space="preserve">ini</w:t>
      </w:r>
      <w:r>
        <w:t xml:space="preserve"> </w:t>
      </w:r>
      <w:r>
        <w:rPr>
          <w:iCs/>
          <w:i/>
        </w:rPr>
        <w:t xml:space="preserve">by Vedic exchange though the vārttika (Pā. 5-2-115-2) forbids it after a kṛt stem;</w:t>
      </w:r>
      <w:r>
        <w:t xml:space="preserve"> </w:t>
      </w:r>
      <w:r>
        <w:t xml:space="preserve">brahmāṇaḥ</w:t>
      </w:r>
      <w:r>
        <w:t xml:space="preserve"> </w:t>
      </w:r>
      <w:r>
        <w:rPr>
          <w:iCs/>
          <w:i/>
        </w:rPr>
        <w:t xml:space="preserve">— stem accent;</w:t>
      </w:r>
      <w:r>
        <w:t xml:space="preserve"> </w:t>
      </w:r>
      <w:r>
        <w:t xml:space="preserve">śatakrato</w:t>
      </w:r>
      <w:r>
        <w:t xml:space="preserve"> </w:t>
      </w:r>
      <w:r>
        <w:rPr>
          <w:iCs/>
          <w:i/>
        </w:rPr>
        <w:t xml:space="preserve">— vocative, lowered; the</w:t>
      </w:r>
      <w:r>
        <w:t xml:space="preserve"> </w:t>
      </w:r>
      <w:r>
        <w:t xml:space="preserve">v</w:t>
      </w:r>
      <w:r>
        <w:t xml:space="preserve"> </w:t>
      </w:r>
      <w:r>
        <w:rPr>
          <w:iCs/>
          <w:i/>
        </w:rPr>
        <w:t xml:space="preserve">dropped in the Saṃhitā (Pā. 8-3-19);</w:t>
      </w:r>
      <w:r>
        <w:t xml:space="preserve"> </w:t>
      </w:r>
      <w:r>
        <w:t xml:space="preserve">vaṃśam iva</w:t>
      </w:r>
      <w:r>
        <w:t xml:space="preserve"> </w:t>
      </w:r>
      <w:r>
        <w:rPr>
          <w:iCs/>
          <w:i/>
        </w:rPr>
        <w:t xml:space="preserve">— no loss of the case ending, first-member accent (Pā. 2-1-4-2);</w:t>
      </w:r>
      <w:r>
        <w:t xml:space="preserve"> </w:t>
      </w:r>
      <w:r>
        <w:t xml:space="preserve">yemire</w:t>
      </w:r>
      <w:r>
        <w:t xml:space="preserve"> </w:t>
      </w:r>
      <w:r>
        <w:rPr>
          <w:iCs/>
          <w:i/>
        </w:rPr>
        <w:t xml:space="preserve">— root</w:t>
      </w:r>
      <w:r>
        <w:t xml:space="preserve"> </w:t>
      </w:r>
      <w:r>
        <w:t xml:space="preserve">yama uparame</w:t>
      </w:r>
      <w:r>
        <w:rPr>
          <w:iCs/>
          <w:i/>
        </w:rPr>
        <w:t xml:space="preserve">, lowered as a finite verb.)</w:t>
      </w:r>
    </w:p>
    <w:bookmarkEnd w:id="407"/>
    <w:bookmarkStart w:id="408" w:name="Xd125b85265ba41cc7ac5cc09ac8e04066fc752f"/>
    <w:p>
      <w:pPr>
        <w:pStyle w:val="Heading3"/>
      </w:pPr>
      <w:r>
        <w:t xml:space="preserve">Page 382 — Rik 1: word-meanings, overall sense</w:t>
      </w:r>
    </w:p>
    <w:p>
      <w:pPr>
        <w:pStyle w:val="FirstParagraph"/>
      </w:pPr>
      <w:r>
        <w:rPr>
          <w:bCs/>
          <w:b/>
        </w:rPr>
        <w:t xml:space="preserve">॥ Prati-padārthaḥ ॥</w:t>
      </w:r>
    </w:p>
    <w:p>
      <w:pPr>
        <w:pStyle w:val="BodyText"/>
      </w:pPr>
      <w:r>
        <w:rPr>
          <w:bCs/>
          <w:b/>
        </w:rPr>
        <w:t xml:space="preserve">(हे) शतक्रतो ((he) śatakrato)</w:t>
      </w:r>
      <w:r>
        <w:t xml:space="preserve"> </w:t>
      </w:r>
      <w:r>
        <w:t xml:space="preserve">— O Indra, who perform many daring deeds, or who are of much wisdom |</w:t>
      </w:r>
      <w:r>
        <w:t xml:space="preserve"> </w:t>
      </w:r>
      <w:r>
        <w:rPr>
          <w:bCs/>
          <w:b/>
        </w:rPr>
        <w:t xml:space="preserve">त्वाम् (tvām)</w:t>
      </w:r>
      <w:r>
        <w:t xml:space="preserve"> </w:t>
      </w:r>
      <w:r>
        <w:t xml:space="preserve">— you |</w:t>
      </w:r>
      <w:r>
        <w:t xml:space="preserve"> </w:t>
      </w:r>
      <w:r>
        <w:rPr>
          <w:bCs/>
          <w:b/>
        </w:rPr>
        <w:t xml:space="preserve">गायत्रिणः (gāyatriṇaḥ)</w:t>
      </w:r>
      <w:r>
        <w:t xml:space="preserve"> </w:t>
      </w:r>
      <w:r>
        <w:t xml:space="preserve">— the priests called udgātṛ, singers of the Sāman |</w:t>
      </w:r>
      <w:r>
        <w:t xml:space="preserve"> </w:t>
      </w:r>
      <w:r>
        <w:rPr>
          <w:bCs/>
          <w:b/>
        </w:rPr>
        <w:t xml:space="preserve">गायन्ति (gāyanti)</w:t>
      </w:r>
      <w:r>
        <w:t xml:space="preserve"> </w:t>
      </w:r>
      <w:r>
        <w:t xml:space="preserve">— praise with Sāma-Veda mantras |</w:t>
      </w:r>
      <w:r>
        <w:t xml:space="preserve"> </w:t>
      </w:r>
      <w:r>
        <w:rPr>
          <w:bCs/>
          <w:b/>
        </w:rPr>
        <w:t xml:space="preserve">अर्किणः (arkiṇaḥ)</w:t>
      </w:r>
      <w:r>
        <w:t xml:space="preserve"> </w:t>
      </w:r>
      <w:r>
        <w:t xml:space="preserve">— the priests called hotṛ, who praise with ṛks of the Ṛgveda |</w:t>
      </w:r>
      <w:r>
        <w:t xml:space="preserve"> </w:t>
      </w:r>
      <w:r>
        <w:rPr>
          <w:bCs/>
          <w:b/>
        </w:rPr>
        <w:t xml:space="preserve">अर्कम् (arkam)</w:t>
      </w:r>
      <w:r>
        <w:t xml:space="preserve"> </w:t>
      </w:r>
      <w:r>
        <w:t xml:space="preserve">— Indra, worthy of worship or praise |</w:t>
      </w:r>
      <w:r>
        <w:t xml:space="preserve"> </w:t>
      </w:r>
      <w:r>
        <w:rPr>
          <w:bCs/>
          <w:b/>
        </w:rPr>
        <w:t xml:space="preserve">अर्चन्ति (arcanti)</w:t>
      </w:r>
      <w:r>
        <w:t xml:space="preserve"> </w:t>
      </w:r>
      <w:r>
        <w:t xml:space="preserve">— extol with the</w:t>
      </w:r>
      <w:r>
        <w:t xml:space="preserve"> </w:t>
      </w:r>
      <w:r>
        <w:rPr>
          <w:iCs/>
          <w:i/>
        </w:rPr>
        <w:t xml:space="preserve">śastra</w:t>
      </w:r>
      <w:r>
        <w:t xml:space="preserve"> </w:t>
      </w:r>
      <w:r>
        <w:t xml:space="preserve">mantras |</w:t>
      </w:r>
      <w:r>
        <w:t xml:space="preserve"> </w:t>
      </w:r>
      <w:r>
        <w:rPr>
          <w:bCs/>
          <w:b/>
        </w:rPr>
        <w:t xml:space="preserve">ब्रह्माणः (brahmāṇaḥ)</w:t>
      </w:r>
      <w:r>
        <w:t xml:space="preserve"> </w:t>
      </w:r>
      <w:r>
        <w:t xml:space="preserve">— the other brāhmaṇas, headed by Brahmā |</w:t>
      </w:r>
      <w:r>
        <w:t xml:space="preserve"> </w:t>
      </w:r>
      <w:r>
        <w:rPr>
          <w:bCs/>
          <w:b/>
        </w:rPr>
        <w:t xml:space="preserve">त्वाम् (tvām)</w:t>
      </w:r>
      <w:r>
        <w:t xml:space="preserve"> </w:t>
      </w:r>
      <w:r>
        <w:t xml:space="preserve">— you |</w:t>
      </w:r>
      <w:r>
        <w:t xml:space="preserve"> </w:t>
      </w:r>
      <w:r>
        <w:rPr>
          <w:bCs/>
          <w:b/>
        </w:rPr>
        <w:t xml:space="preserve">वंशम् इव (vaṃśam iva)</w:t>
      </w:r>
      <w:r>
        <w:t xml:space="preserve"> </w:t>
      </w:r>
      <w:r>
        <w:t xml:space="preserve">— like a bamboo |</w:t>
      </w:r>
      <w:r>
        <w:t xml:space="preserve"> </w:t>
      </w:r>
      <w:r>
        <w:rPr>
          <w:bCs/>
          <w:b/>
        </w:rPr>
        <w:t xml:space="preserve">उत् येमिरे (ut yemire)</w:t>
      </w:r>
      <w:r>
        <w:t xml:space="preserve"> </w:t>
      </w:r>
      <w:r>
        <w:t xml:space="preserve">— raise aloft (praise specially).</w:t>
      </w:r>
    </w:p>
    <w:p>
      <w:pPr>
        <w:pStyle w:val="BodyText"/>
      </w:pPr>
      <w:r>
        <w:rPr>
          <w:bCs/>
          <w:b/>
        </w:rPr>
        <w:t xml:space="preserve">॥ Bhāvārthaḥ ॥</w:t>
      </w:r>
    </w:p>
    <w:p>
      <w:pPr>
        <w:pStyle w:val="BodyText"/>
      </w:pPr>
      <w:r>
        <w:t xml:space="preserve">O Indra! You do many daring deeds or are of much wisdom. In sacrifices and other rites the priests called udgātṛ praise you by singing Sāmans; the priests called hotṛ, who are worthy to be worshipped with the mantras of their own Veda, the Ṛgveda, praise you; Brahmā and the other brāhmaṇas praise you with hymns and the like, as one raises a bamboo aloft, and so increase your fame.</w:t>
      </w:r>
    </w:p>
    <w:bookmarkEnd w:id="408"/>
    <w:bookmarkStart w:id="409" w:name="Xc58522739e38da9766f83ed0a2e76c1ad9f035c"/>
    <w:p>
      <w:pPr>
        <w:pStyle w:val="Heading3"/>
      </w:pPr>
      <w:r>
        <w:t xml:space="preserve">Page 383 — Rik 1: English and Special Topics</w:t>
      </w:r>
    </w:p>
    <w:p>
      <w:pPr>
        <w:pStyle w:val="FirstParagraph"/>
      </w:pPr>
      <w:r>
        <w:rPr>
          <w:bCs/>
          <w:b/>
        </w:rPr>
        <w:t xml:space="preserve">॥ English Translation ॥</w:t>
      </w:r>
      <w:r>
        <w:t xml:space="preserve"> </w:t>
      </w:r>
      <w:r>
        <w:rPr>
          <w:iCs/>
          <w:i/>
        </w:rPr>
        <w:t xml:space="preserve">(as printed in the source)</w:t>
      </w:r>
    </w:p>
    <w:p>
      <w:pPr>
        <w:pStyle w:val="BlockText"/>
      </w:pPr>
      <w:r>
        <w:t xml:space="preserve">O Indra, with many daring deeds or great knowledge, the chanters of the Sama sing about you, the reciters of the Riks praise you who are worthy of praise, and the (priests called) Brahmanas raise you aloft like a bamboo pole.</w:t>
      </w:r>
    </w:p>
    <w:p>
      <w:pPr>
        <w:pStyle w:val="FirstParagraph"/>
      </w:pPr>
      <w:r>
        <w:rPr>
          <w:bCs/>
          <w:b/>
        </w:rPr>
        <w:t xml:space="preserve">॥ Viśeṣa-viṣayagaḷu (Special Topics) ॥</w:t>
      </w:r>
    </w:p>
    <w:p>
      <w:pPr>
        <w:pStyle w:val="BodyText"/>
      </w:pPr>
      <w:r>
        <w:t xml:space="preserve">This rik is found, besides in this sūkta, in the Taittirīya Saṃhitā (1-6-12-2), the Sāma-Veda (342; 1344) and the Nirukta (5-5). The sense of this rik, or the matter stated in it, is almost the same as the sense of the first rik of the seventh sūkta. The sense of the first half (that is, the first and second pādas) is clear, but what is said in the third pāda is somewhat strained. Here the sense of the word</w:t>
      </w:r>
      <w:r>
        <w:t xml:space="preserve"> </w:t>
      </w:r>
      <w:r>
        <w:rPr>
          <w:iCs/>
          <w:i/>
        </w:rPr>
        <w:t xml:space="preserve">brahmāṇaḥ</w:t>
      </w:r>
      <w:r>
        <w:t xml:space="preserve"> </w:t>
      </w:r>
      <w:r>
        <w:t xml:space="preserve">does not fit well. In the sacrificial rite, the three priest-groups — hotṛ, adhvaryu and udgātṛ — need one priest, called</w:t>
      </w:r>
      <w:r>
        <w:t xml:space="preserve"> </w:t>
      </w:r>
      <w:r>
        <w:rPr>
          <w:iCs/>
          <w:i/>
        </w:rPr>
        <w:t xml:space="preserve">brahmā</w:t>
      </w:r>
      <w:r>
        <w:t xml:space="preserve">, to see to it that their duties are properly carried out. He must know all three Vedas and the order of performance of the sacrifice. Although he does not take a special part in the actual duties of the rite, he takes care that the sacrifice proceeds properly, and gives permission for the necessary actions of the other priests, so that the sacrifice goes on with all its limbs: he is the supervisor. The Bhāṣyakāra explains the word</w:t>
      </w:r>
      <w:r>
        <w:t xml:space="preserve"> </w:t>
      </w:r>
      <w:r>
        <w:rPr>
          <w:iCs/>
          <w:i/>
        </w:rPr>
        <w:t xml:space="preserve">brahmāṇaḥ</w:t>
      </w:r>
      <w:r>
        <w:t xml:space="preserve"> </w:t>
      </w:r>
      <w:r>
        <w:t xml:space="preserve">as the priests of the</w:t>
      </w:r>
      <w:r>
        <w:t xml:space="preserve"> </w:t>
      </w:r>
      <w:r>
        <w:rPr>
          <w:iCs/>
          <w:i/>
        </w:rPr>
        <w:t xml:space="preserve">brahma</w:t>
      </w:r>
      <w:r>
        <w:t xml:space="preserve"> </w:t>
      </w:r>
      <w:r>
        <w:t xml:space="preserve">class and the other brāhmaṇas. Or,</w:t>
      </w:r>
      <w:r>
        <w:t xml:space="preserve"> </w:t>
      </w:r>
      <w:r>
        <w:rPr>
          <w:iCs/>
          <w:i/>
        </w:rPr>
        <w:t xml:space="preserve">brahma</w:t>
      </w:r>
      <w:r>
        <w:t xml:space="preserve"> </w:t>
      </w:r>
      <w:r>
        <w:t xml:space="preserve">has the sense of</w:t>
      </w:r>
      <w:r>
        <w:t xml:space="preserve"> </w:t>
      </w:r>
      <w:r>
        <w:t xml:space="preserve">“</w:t>
      </w:r>
      <w:r>
        <w:t xml:space="preserve">praise (</w:t>
      </w:r>
      <w:r>
        <w:rPr>
          <w:iCs/>
          <w:i/>
        </w:rPr>
        <w:t xml:space="preserve">stotra</w:t>
      </w:r>
      <w:r>
        <w:t xml:space="preserve">),</w:t>
      </w:r>
      <w:r>
        <w:t xml:space="preserve">”</w:t>
      </w:r>
      <w:r>
        <w:t xml:space="preserve"> </w:t>
      </w:r>
      <w:r>
        <w:t xml:space="preserve">and so one may give the word</w:t>
      </w:r>
      <w:r>
        <w:t xml:space="preserve"> </w:t>
      </w:r>
      <w:r>
        <w:rPr>
          <w:iCs/>
          <w:i/>
        </w:rPr>
        <w:t xml:space="preserve">brahmāṇaḥ</w:t>
      </w:r>
      <w:r>
        <w:t xml:space="preserve"> </w:t>
      </w:r>
      <w:r>
        <w:t xml:space="preserve">the sense</w:t>
      </w:r>
      <w:r>
        <w:t xml:space="preserve"> </w:t>
      </w:r>
      <w:r>
        <w:t xml:space="preserve">“</w:t>
      </w:r>
      <w:r>
        <w:t xml:space="preserve">those who praise.</w:t>
      </w:r>
      <w:r>
        <w:t xml:space="preserve">”</w:t>
      </w:r>
    </w:p>
    <w:p>
      <w:pPr>
        <w:pStyle w:val="BodyText"/>
      </w:pPr>
      <w:r>
        <w:t xml:space="preserve">The comparison</w:t>
      </w:r>
      <w:r>
        <w:t xml:space="preserve"> </w:t>
      </w:r>
      <w:r>
        <w:rPr>
          <w:iCs/>
          <w:i/>
        </w:rPr>
        <w:t xml:space="preserve">vaṃśam iva</w:t>
      </w:r>
      <w:r>
        <w:t xml:space="preserve"> </w:t>
      </w:r>
      <w:r>
        <w:t xml:space="preserve">in the third pāda is also strained.</w:t>
      </w:r>
      <w:r>
        <w:t xml:space="preserve"> </w:t>
      </w:r>
      <w:r>
        <w:rPr>
          <w:iCs/>
          <w:i/>
        </w:rPr>
        <w:t xml:space="preserve">Vaṃśa</w:t>
      </w:r>
      <w:r>
        <w:t xml:space="preserve"> </w:t>
      </w:r>
      <w:r>
        <w:t xml:space="preserve">is a kind of tree: bamboo, reed. The comparison</w:t>
      </w:r>
      <w:r>
        <w:t xml:space="preserve"> </w:t>
      </w:r>
      <w:r>
        <w:t xml:space="preserve">“</w:t>
      </w:r>
      <w:r>
        <w:t xml:space="preserve">like raising [or lifting high] a bamboo</w:t>
      </w:r>
      <w:r>
        <w:t xml:space="preserve">”</w:t>
      </w:r>
      <w:r>
        <w:t xml:space="preserve"> </w:t>
      </w:r>
      <w:r>
        <w:t xml:space="preserve">is not well fitted. [The meaning:] those who raise you as one raises a bamboo — that is, they praise you and so increase your fame and renown; by singing of your qualities they provide you with a high station: this may be taken as the poet’s idea. Or, since</w:t>
      </w:r>
      <w:r>
        <w:t xml:space="preserve"> </w:t>
      </w:r>
      <w:r>
        <w:rPr>
          <w:iCs/>
          <w:i/>
        </w:rPr>
        <w:t xml:space="preserve">vaṃśa</w:t>
      </w:r>
      <w:r>
        <w:t xml:space="preserve"> </w:t>
      </w:r>
      <w:r>
        <w:t xml:space="preserve">has another meaning — family, lineage — then</w:t>
      </w:r>
      <w:r>
        <w:t xml:space="preserve"> </w:t>
      </w:r>
      <w:r>
        <w:t xml:space="preserve">“</w:t>
      </w:r>
      <w:r>
        <w:t xml:space="preserve">as those who raise their family’s honour by right conduct, or raise the esteem of the family by special deeds of daring, so [they raise you]</w:t>
      </w:r>
      <w:r>
        <w:t xml:space="preserve">”</w:t>
      </w:r>
      <w:r>
        <w:t xml:space="preserve">: this is the sense one may give. The Bhāṣyakāra gives both of these senses.</w:t>
      </w:r>
    </w:p>
    <w:bookmarkEnd w:id="409"/>
    <w:bookmarkStart w:id="410" w:name="page-384-rik-1-special-topics-continued"/>
    <w:p>
      <w:pPr>
        <w:pStyle w:val="Heading3"/>
      </w:pPr>
      <w:r>
        <w:t xml:space="preserve">Page 384 — Rik 1: Special Topics (continued)</w:t>
      </w:r>
    </w:p>
    <w:p>
      <w:pPr>
        <w:pStyle w:val="FirstParagraph"/>
      </w:pPr>
      <w:r>
        <w:rPr>
          <w:bCs/>
          <w:b/>
        </w:rPr>
        <w:t xml:space="preserve">“</w:t>
      </w:r>
      <w:r>
        <w:rPr>
          <w:bCs/>
          <w:b/>
        </w:rPr>
        <w:t xml:space="preserve">Gāyatriṇaḥ</w:t>
      </w:r>
      <w:r>
        <w:rPr>
          <w:bCs/>
          <w:b/>
        </w:rPr>
        <w:t xml:space="preserve">”</w:t>
      </w:r>
      <w:r>
        <w:t xml:space="preserve"> </w:t>
      </w:r>
      <w:r>
        <w:t xml:space="preserve">—</w:t>
      </w:r>
      <w:r>
        <w:t xml:space="preserve"> </w:t>
      </w:r>
      <w:r>
        <w:rPr>
          <w:bCs/>
          <w:b/>
        </w:rPr>
        <w:t xml:space="preserve">गायत्रं साम येषामुद्गातॄणामस्ति ते</w:t>
      </w:r>
      <w:r>
        <w:t xml:space="preserve"> </w:t>
      </w:r>
      <w:r>
        <w:t xml:space="preserve">(</w:t>
      </w:r>
      <w:r>
        <w:rPr>
          <w:iCs/>
          <w:i/>
        </w:rPr>
        <w:t xml:space="preserve">gāyatraṃ sāma yeṣām udgātṝṇām asti te</w:t>
      </w:r>
      <w:r>
        <w:t xml:space="preserve">) —</w:t>
      </w:r>
      <w:r>
        <w:t xml:space="preserve"> </w:t>
      </w:r>
      <w:r>
        <w:t xml:space="preserve">“</w:t>
      </w:r>
      <w:r>
        <w:t xml:space="preserve">those udgātṛs who have the Gāyatra Sāman</w:t>
      </w:r>
      <w:r>
        <w:t xml:space="preserve">”</w:t>
      </w:r>
      <w:r>
        <w:t xml:space="preserve">: those who sing the Sāman called Gāyatra; or, since many of the mantras sung in the Sāma-Veda are Ṛgveda mantras in the Gāyatrī meter, it is the customary usage to call the udgātṛ priests who sing them</w:t>
      </w:r>
      <w:r>
        <w:t xml:space="preserve"> </w:t>
      </w:r>
      <w:r>
        <w:rPr>
          <w:iCs/>
          <w:i/>
        </w:rPr>
        <w:t xml:space="preserve">gāyatriṇaḥ</w:t>
      </w:r>
      <w:r>
        <w:t xml:space="preserve"> </w:t>
      </w:r>
      <w:r>
        <w:t xml:space="preserve">—</w:t>
      </w:r>
      <w:r>
        <w:t xml:space="preserve"> </w:t>
      </w:r>
      <w:r>
        <w:t xml:space="preserve">“</w:t>
      </w:r>
      <w:r>
        <w:t xml:space="preserve">singers of Gāyatrī-meter ṛks.</w:t>
      </w:r>
      <w:r>
        <w:t xml:space="preserve">”</w:t>
      </w:r>
    </w:p>
    <w:p>
      <w:pPr>
        <w:pStyle w:val="BodyText"/>
      </w:pPr>
      <w:r>
        <w:rPr>
          <w:bCs/>
          <w:b/>
        </w:rPr>
        <w:t xml:space="preserve">“</w:t>
      </w:r>
      <w:r>
        <w:rPr>
          <w:bCs/>
          <w:b/>
        </w:rPr>
        <w:t xml:space="preserve">Arcanti</w:t>
      </w:r>
      <w:r>
        <w:rPr>
          <w:bCs/>
          <w:b/>
        </w:rPr>
        <w:t xml:space="preserve">”</w:t>
      </w:r>
      <w:r>
        <w:t xml:space="preserve"> </w:t>
      </w:r>
      <w:r>
        <w:t xml:space="preserve">—</w:t>
      </w:r>
      <w:r>
        <w:t xml:space="preserve"> </w:t>
      </w:r>
      <w:r>
        <w:rPr>
          <w:iCs/>
          <w:i/>
        </w:rPr>
        <w:t xml:space="preserve">arca pūjāyām</w:t>
      </w:r>
      <w:r>
        <w:t xml:space="preserve"> </w:t>
      </w:r>
      <w:r>
        <w:t xml:space="preserve">— the root</w:t>
      </w:r>
      <w:r>
        <w:t xml:space="preserve"> </w:t>
      </w:r>
      <w:r>
        <w:rPr>
          <w:iCs/>
          <w:i/>
        </w:rPr>
        <w:t xml:space="preserve">arc</w:t>
      </w:r>
      <w:r>
        <w:t xml:space="preserve">: to worship; that is, to praise.</w:t>
      </w:r>
    </w:p>
    <w:p>
      <w:pPr>
        <w:pStyle w:val="BodyText"/>
      </w:pPr>
      <w:r>
        <w:rPr>
          <w:bCs/>
          <w:b/>
        </w:rPr>
        <w:t xml:space="preserve">“</w:t>
      </w:r>
      <w:r>
        <w:rPr>
          <w:bCs/>
          <w:b/>
        </w:rPr>
        <w:t xml:space="preserve">Arkam</w:t>
      </w:r>
      <w:r>
        <w:rPr>
          <w:bCs/>
          <w:b/>
        </w:rPr>
        <w:t xml:space="preserve">”</w:t>
      </w:r>
      <w:r>
        <w:t xml:space="preserve"> </w:t>
      </w:r>
      <w:r>
        <w:t xml:space="preserve">—</w:t>
      </w:r>
      <w:r>
        <w:t xml:space="preserve"> </w:t>
      </w:r>
      <w:r>
        <w:rPr>
          <w:bCs/>
          <w:b/>
        </w:rPr>
        <w:t xml:space="preserve">अर्चन्त्येभिरित्यर्काः मन्त्राः</w:t>
      </w:r>
      <w:r>
        <w:t xml:space="preserve"> </w:t>
      </w:r>
      <w:r>
        <w:t xml:space="preserve">(</w:t>
      </w:r>
      <w:r>
        <w:rPr>
          <w:iCs/>
          <w:i/>
        </w:rPr>
        <w:t xml:space="preserve">arcanty ebhir ity arkāḥ mantrāḥ</w:t>
      </w:r>
      <w:r>
        <w:t xml:space="preserve">) —</w:t>
      </w:r>
      <w:r>
        <w:t xml:space="preserve"> </w:t>
      </w:r>
      <w:r>
        <w:t xml:space="preserve">“</w:t>
      </w:r>
      <w:r>
        <w:t xml:space="preserve">those with which they worship are</w:t>
      </w:r>
      <w:r>
        <w:t xml:space="preserve"> </w:t>
      </w:r>
      <w:r>
        <w:rPr>
          <w:iCs/>
          <w:i/>
        </w:rPr>
        <w:t xml:space="preserve">arkas</w:t>
      </w:r>
      <w:r>
        <w:t xml:space="preserve">, the mantras</w:t>
      </w:r>
      <w:r>
        <w:t xml:space="preserve">”</w:t>
      </w:r>
      <w:r>
        <w:t xml:space="preserve">: since they are used for praising, mantras are called</w:t>
      </w:r>
      <w:r>
        <w:t xml:space="preserve"> </w:t>
      </w:r>
      <w:r>
        <w:rPr>
          <w:iCs/>
          <w:i/>
        </w:rPr>
        <w:t xml:space="preserve">arkas</w:t>
      </w:r>
      <w:r>
        <w:t xml:space="preserve">. Here</w:t>
      </w:r>
      <w:r>
        <w:t xml:space="preserve"> </w:t>
      </w:r>
      <w:r>
        <w:rPr>
          <w:iCs/>
          <w:i/>
        </w:rPr>
        <w:t xml:space="preserve">arkam</w:t>
      </w:r>
      <w:r>
        <w:t xml:space="preserve"> </w:t>
      </w:r>
      <w:r>
        <w:t xml:space="preserve">means Indra, who is praised by such</w:t>
      </w:r>
      <w:r>
        <w:t xml:space="preserve"> </w:t>
      </w:r>
      <w:r>
        <w:rPr>
          <w:iCs/>
          <w:i/>
        </w:rPr>
        <w:t xml:space="preserve">arkas</w:t>
      </w:r>
      <w:r>
        <w:t xml:space="preserve"> </w:t>
      </w:r>
      <w:r>
        <w:t xml:space="preserve">or mantras.</w:t>
      </w:r>
    </w:p>
    <w:p>
      <w:pPr>
        <w:pStyle w:val="BodyText"/>
      </w:pPr>
      <w:r>
        <w:t xml:space="preserve">For this rik the sage Yāska has given, in his Nirukta, an explanation in this manner:</w:t>
      </w:r>
    </w:p>
    <w:p>
      <w:pPr>
        <w:pStyle w:val="BlockText"/>
      </w:pPr>
      <w:r>
        <w:t xml:space="preserve">अर्कः ॥ अर्को देवो भवति यदेनमर्चन्ति ॥</w:t>
      </w:r>
      <w:r>
        <w:t xml:space="preserve"> </w:t>
      </w:r>
      <w:r>
        <w:t xml:space="preserve">अर्को मन्त्रो भवति यदेनेनार्चन्ति ॥</w:t>
      </w:r>
      <w:r>
        <w:t xml:space="preserve"> </w:t>
      </w:r>
      <w:r>
        <w:t xml:space="preserve">अर्कमन्नं भवत्यर्चति भूतानि ॥</w:t>
      </w:r>
      <w:r>
        <w:t xml:space="preserve"> </w:t>
      </w:r>
      <w:r>
        <w:t xml:space="preserve">अर्को वृक्षो भवति संवृत्तः कटुकिम्ना ॥</w:t>
      </w:r>
      <w:r>
        <w:t xml:space="preserve"> </w:t>
      </w:r>
      <w:r>
        <w:rPr>
          <w:iCs/>
          <w:i/>
        </w:rPr>
        <w:t xml:space="preserve">arkaḥ || arko devo bhavati yad enam arcanti ||</w:t>
      </w:r>
      <w:r>
        <w:t xml:space="preserve"> </w:t>
      </w:r>
      <w:r>
        <w:rPr>
          <w:iCs/>
          <w:i/>
        </w:rPr>
        <w:t xml:space="preserve">arko mantro bhavati yad anenārcanti ||</w:t>
      </w:r>
      <w:r>
        <w:t xml:space="preserve"> </w:t>
      </w:r>
      <w:r>
        <w:rPr>
          <w:iCs/>
          <w:i/>
        </w:rPr>
        <w:t xml:space="preserve">arkam annaṃ bhavaty arcati bhūtāni ||</w:t>
      </w:r>
      <w:r>
        <w:t xml:space="preserve"> </w:t>
      </w:r>
      <w:r>
        <w:rPr>
          <w:iCs/>
          <w:i/>
        </w:rPr>
        <w:t xml:space="preserve">arko vṛkṣo bhavati saṃvṛttaḥ kaṭukimnā ||</w:t>
      </w:r>
      <w:r>
        <w:t xml:space="preserve"> </w:t>
      </w:r>
      <w:r>
        <w:rPr>
          <w:iCs/>
          <w:i/>
        </w:rPr>
        <w:t xml:space="preserve">(No reference is printed with this block; the bhāṣya on p. 382 cites it as Ni. 5-4, reading</w:t>
      </w:r>
      <w:r>
        <w:t xml:space="preserve"> </w:t>
      </w:r>
      <w:r>
        <w:t xml:space="preserve">sa vṛtaḥ</w:t>
      </w:r>
      <w:r>
        <w:rPr>
          <w:iCs/>
          <w:i/>
        </w:rPr>
        <w:t xml:space="preserve">.)</w:t>
      </w:r>
    </w:p>
    <w:p>
      <w:pPr>
        <w:pStyle w:val="FirstParagraph"/>
      </w:pPr>
      <w:r>
        <w:t xml:space="preserve">Four different senses of the word</w:t>
      </w:r>
      <w:r>
        <w:t xml:space="preserve"> </w:t>
      </w:r>
      <w:r>
        <w:rPr>
          <w:iCs/>
          <w:i/>
        </w:rPr>
        <w:t xml:space="preserve">arka</w:t>
      </w:r>
      <w:r>
        <w:t xml:space="preserve"> </w:t>
      </w:r>
      <w:r>
        <w:t xml:space="preserve">are stated:</w:t>
      </w:r>
    </w:p>
    <w:p>
      <w:pPr>
        <w:pStyle w:val="BodyText"/>
      </w:pPr>
      <w:r>
        <w:rPr>
          <w:bCs/>
          <w:b/>
        </w:rPr>
        <w:t xml:space="preserve">Devaḥ</w:t>
      </w:r>
      <w:r>
        <w:t xml:space="preserve"> </w:t>
      </w:r>
      <w:r>
        <w:t xml:space="preserve">—</w:t>
      </w:r>
      <w:r>
        <w:t xml:space="preserve"> </w:t>
      </w:r>
      <w:r>
        <w:rPr>
          <w:bCs/>
          <w:b/>
        </w:rPr>
        <w:t xml:space="preserve">तावत्सर्व एवार्क इत्युच्यते यत्-यस्मात् एनं-देवम् अर्चन्ति स्तोतारः</w:t>
      </w:r>
      <w:r>
        <w:t xml:space="preserve"> </w:t>
      </w:r>
      <w:r>
        <w:t xml:space="preserve">(</w:t>
      </w:r>
      <w:r>
        <w:rPr>
          <w:iCs/>
          <w:i/>
        </w:rPr>
        <w:t xml:space="preserve">tāvat sarva evārka ity ucyate yat-yasmāt enaṃ-devam arcanti stotāraḥ</w:t>
      </w:r>
      <w:r>
        <w:t xml:space="preserve">) —</w:t>
      </w:r>
      <w:r>
        <w:t xml:space="preserve"> </w:t>
      </w:r>
      <w:r>
        <w:t xml:space="preserve">“</w:t>
      </w:r>
      <w:r>
        <w:t xml:space="preserve">first, every [god] is called</w:t>
      </w:r>
      <w:r>
        <w:t xml:space="preserve"> </w:t>
      </w:r>
      <w:r>
        <w:rPr>
          <w:iCs/>
          <w:i/>
        </w:rPr>
        <w:t xml:space="preserve">arka</w:t>
      </w:r>
      <w:r>
        <w:t xml:space="preserve">, because (</w:t>
      </w:r>
      <w:r>
        <w:rPr>
          <w:iCs/>
          <w:i/>
        </w:rPr>
        <w:t xml:space="preserve">yat</w:t>
      </w:r>
      <w:r>
        <w:t xml:space="preserve"> </w:t>
      </w:r>
      <w:r>
        <w:t xml:space="preserve">=</w:t>
      </w:r>
      <w:r>
        <w:t xml:space="preserve"> </w:t>
      </w:r>
      <w:r>
        <w:rPr>
          <w:iCs/>
          <w:i/>
        </w:rPr>
        <w:t xml:space="preserve">yasmāt</w:t>
      </w:r>
      <w:r>
        <w:t xml:space="preserve">) the praisers worship him (</w:t>
      </w:r>
      <w:r>
        <w:rPr>
          <w:iCs/>
          <w:i/>
        </w:rPr>
        <w:t xml:space="preserve">enam</w:t>
      </w:r>
      <w:r>
        <w:t xml:space="preserve"> </w:t>
      </w:r>
      <w:r>
        <w:t xml:space="preserve">= the god)</w:t>
      </w:r>
      <w:r>
        <w:t xml:space="preserve">”</w:t>
      </w:r>
      <w:r>
        <w:t xml:space="preserve"> </w:t>
      </w:r>
      <w:r>
        <w:t xml:space="preserve">—</w:t>
      </w:r>
      <w:r>
        <w:t xml:space="preserve"> </w:t>
      </w:r>
      <w:r>
        <w:rPr>
          <w:iCs/>
          <w:i/>
        </w:rPr>
        <w:t xml:space="preserve">arka</w:t>
      </w:r>
      <w:r>
        <w:t xml:space="preserve"> </w:t>
      </w:r>
      <w:r>
        <w:t xml:space="preserve">is the god; for the worshippers, using this word, say</w:t>
      </w:r>
      <w:r>
        <w:t xml:space="preserve"> </w:t>
      </w:r>
      <w:r>
        <w:t xml:space="preserve">“</w:t>
      </w:r>
      <w:r>
        <w:rPr>
          <w:iCs/>
          <w:i/>
        </w:rPr>
        <w:t xml:space="preserve">arka</w:t>
      </w:r>
      <w:r>
        <w:t xml:space="preserve">”</w:t>
      </w:r>
      <w:r>
        <w:t xml:space="preserve"> </w:t>
      </w:r>
      <w:r>
        <w:t xml:space="preserve">of whom they worship. That is, the deity worshipped by the devotees is called</w:t>
      </w:r>
      <w:r>
        <w:t xml:space="preserve"> </w:t>
      </w:r>
      <w:r>
        <w:rPr>
          <w:iCs/>
          <w:i/>
        </w:rPr>
        <w:t xml:space="preserve">arka</w:t>
      </w:r>
      <w:r>
        <w:t xml:space="preserve">.</w:t>
      </w:r>
    </w:p>
    <w:p>
      <w:pPr>
        <w:pStyle w:val="BodyText"/>
      </w:pPr>
      <w:r>
        <w:rPr>
          <w:bCs/>
          <w:b/>
        </w:rPr>
        <w:t xml:space="preserve">अर्को मन्त्रो भवति — यत्-यस्मात्, अनेन-मन्त्रेण, अर्चन्ति स्तोतारः तस्मादर्कः</w:t>
      </w:r>
      <w:r>
        <w:t xml:space="preserve"> </w:t>
      </w:r>
      <w:r>
        <w:t xml:space="preserve">(</w:t>
      </w:r>
      <w:r>
        <w:rPr>
          <w:iCs/>
          <w:i/>
        </w:rPr>
        <w:t xml:space="preserve">arko mantro bhavati — yat-yasmāt, anena-mantreṇa, arcanti stotāraḥ tasmād arkaḥ</w:t>
      </w:r>
      <w:r>
        <w:t xml:space="preserve">) —</w:t>
      </w:r>
      <w:r>
        <w:t xml:space="preserve"> </w:t>
      </w:r>
      <w:r>
        <w:t xml:space="preserve">“</w:t>
      </w:r>
      <w:r>
        <w:rPr>
          <w:iCs/>
          <w:i/>
        </w:rPr>
        <w:t xml:space="preserve">arka</w:t>
      </w:r>
      <w:r>
        <w:t xml:space="preserve"> </w:t>
      </w:r>
      <w:r>
        <w:t xml:space="preserve">is a mantra, because with it (= the mantra) the praisers worship; therefore</w:t>
      </w:r>
      <w:r>
        <w:t xml:space="preserve"> </w:t>
      </w:r>
      <w:r>
        <w:rPr>
          <w:iCs/>
          <w:i/>
        </w:rPr>
        <w:t xml:space="preserve">arka</w:t>
      </w:r>
      <w:r>
        <w:t xml:space="preserve">”</w:t>
      </w:r>
      <w:r>
        <w:t xml:space="preserve">; those who praise worship the deity with this (the</w:t>
      </w:r>
      <w:r>
        <w:t xml:space="preserve"> </w:t>
      </w:r>
      <w:r>
        <w:rPr>
          <w:iCs/>
          <w:i/>
        </w:rPr>
        <w:t xml:space="preserve">arka</w:t>
      </w:r>
      <w:r>
        <w:t xml:space="preserve">, or mantra); hence</w:t>
      </w:r>
      <w:r>
        <w:t xml:space="preserve"> </w:t>
      </w:r>
      <w:r>
        <w:rPr>
          <w:iCs/>
          <w:i/>
        </w:rPr>
        <w:t xml:space="preserve">arka</w:t>
      </w:r>
      <w:r>
        <w:t xml:space="preserve"> </w:t>
      </w:r>
      <w:r>
        <w:t xml:space="preserve">means</w:t>
      </w:r>
      <w:r>
        <w:t xml:space="preserve"> </w:t>
      </w:r>
      <w:r>
        <w:t xml:space="preserve">“</w:t>
      </w:r>
      <w:r>
        <w:t xml:space="preserve">mantra.</w:t>
      </w:r>
      <w:r>
        <w:t xml:space="preserve">”</w:t>
      </w:r>
    </w:p>
    <w:p>
      <w:pPr>
        <w:pStyle w:val="BodyText"/>
      </w:pPr>
      <w:r>
        <w:rPr>
          <w:bCs/>
          <w:b/>
        </w:rPr>
        <w:t xml:space="preserve">अर्कमन्नं भवति — तद्धि अर्चति भूतानि, यो हि पूज्यः तस्यान्नमपि संस्कारविशेषेण संस्कृतं पूजायां क्रियते, पूज्यं च सर्वस्यैवान्नम्</w:t>
      </w:r>
      <w:r>
        <w:t xml:space="preserve"> </w:t>
      </w:r>
      <w:r>
        <w:t xml:space="preserve">(</w:t>
      </w:r>
      <w:r>
        <w:rPr>
          <w:iCs/>
          <w:i/>
        </w:rPr>
        <w:t xml:space="preserve">arkam annaṃ bhavati — tad dhi arcati bhūtāni, yo hi pūjyaḥ tasyānnam api saṃskāra-viśeṣeṇa saṃskṛtaṃ pūjāyāṃ kriyate, pūjyaṃ ca sarvasyaivānnam</w:t>
      </w:r>
      <w:r>
        <w:t xml:space="preserve">) —</w:t>
      </w:r>
      <w:r>
        <w:t xml:space="preserve"> </w:t>
      </w:r>
      <w:r>
        <w:t xml:space="preserve">“</w:t>
      </w:r>
      <w:r>
        <w:rPr>
          <w:iCs/>
          <w:i/>
        </w:rPr>
        <w:t xml:space="preserve">arka</w:t>
      </w:r>
      <w:r>
        <w:t xml:space="preserve"> </w:t>
      </w:r>
      <w:r>
        <w:t xml:space="preserve">is food, for it honours (sustains) beings; for whoever is worthy of honour, his food too is prepared with special care and used in worship; and food is honoured by everyone</w:t>
      </w:r>
      <w:r>
        <w:t xml:space="preserve">”</w:t>
      </w:r>
      <w:r>
        <w:t xml:space="preserve">: food (</w:t>
      </w:r>
      <w:r>
        <w:rPr>
          <w:iCs/>
          <w:i/>
        </w:rPr>
        <w:t xml:space="preserve">āhāra</w:t>
      </w:r>
      <w:r>
        <w:t xml:space="preserve">) is necessary to all living beings, and everyone honours and seeks it with respect and love; so</w:t>
      </w:r>
      <w:r>
        <w:t xml:space="preserve"> </w:t>
      </w:r>
      <w:r>
        <w:rPr>
          <w:iCs/>
          <w:i/>
        </w:rPr>
        <w:t xml:space="preserve">arka</w:t>
      </w:r>
      <w:r>
        <w:t xml:space="preserve"> </w:t>
      </w:r>
      <w:r>
        <w:t xml:space="preserve">also means food.</w:t>
      </w:r>
    </w:p>
    <w:p>
      <w:pPr>
        <w:pStyle w:val="BodyText"/>
      </w:pPr>
      <w:r>
        <w:rPr>
          <w:bCs/>
          <w:b/>
        </w:rPr>
        <w:t xml:space="preserve">अर्को वृक्षो भवति य एष प्रसिद्धः । संवृत्तः हि संगतः संव्याप्तः कटुकिम्ना कटुकभावेन भवति</w:t>
      </w:r>
      <w:r>
        <w:t xml:space="preserve"> </w:t>
      </w:r>
      <w:r>
        <w:t xml:space="preserve">(</w:t>
      </w:r>
      <w:r>
        <w:rPr>
          <w:iCs/>
          <w:i/>
        </w:rPr>
        <w:t xml:space="preserve">arko vṛkṣo bhavati ya eṣa prasiddhaḥ | saṃvṛttaḥ hi saṃgataḥ saṃvyāptaḥ kaṭukimnā kaṭuka-bhāvena bhavati</w:t>
      </w:r>
      <w:r>
        <w:t xml:space="preserve">) —</w:t>
      </w:r>
      <w:r>
        <w:t xml:space="preserve"> </w:t>
      </w:r>
      <w:r>
        <w:t xml:space="preserve">“</w:t>
      </w:r>
      <w:r>
        <w:t xml:space="preserve">that well-known tree</w:t>
      </w:r>
      <w:r>
        <w:t xml:space="preserve"> </w:t>
      </w:r>
      <w:r>
        <w:rPr>
          <w:iCs/>
          <w:i/>
        </w:rPr>
        <w:t xml:space="preserve">arka</w:t>
      </w:r>
      <w:r>
        <w:t xml:space="preserve"> </w:t>
      </w:r>
      <w:r>
        <w:t xml:space="preserve">[the</w:t>
      </w:r>
      <w:r>
        <w:t xml:space="preserve"> </w:t>
      </w:r>
      <w:r>
        <w:rPr>
          <w:iCs/>
          <w:i/>
        </w:rPr>
        <w:t xml:space="preserve">Calotropis</w:t>
      </w:r>
      <w:r>
        <w:t xml:space="preserve">, in Kannada</w:t>
      </w:r>
      <w:r>
        <w:t xml:space="preserve"> </w:t>
      </w:r>
      <w:r>
        <w:rPr>
          <w:iCs/>
          <w:i/>
        </w:rPr>
        <w:t xml:space="preserve">ಎಕ್ಕ</w:t>
      </w:r>
      <w:r>
        <w:t xml:space="preserve">] is covered all round with pungency (</w:t>
      </w:r>
      <w:r>
        <w:rPr>
          <w:iCs/>
          <w:i/>
        </w:rPr>
        <w:t xml:space="preserve">kaṭu</w:t>
      </w:r>
      <w:r>
        <w:t xml:space="preserve">).</w:t>
      </w:r>
      <w:r>
        <w:t xml:space="preserve">”</w:t>
      </w:r>
      <w:r>
        <w:t xml:space="preserve"> </w:t>
      </w:r>
      <w:r>
        <w:t xml:space="preserve">The name</w:t>
      </w:r>
      <w:r>
        <w:t xml:space="preserve"> </w:t>
      </w:r>
      <w:r>
        <w:rPr>
          <w:iCs/>
          <w:i/>
        </w:rPr>
        <w:t xml:space="preserve">arka</w:t>
      </w:r>
      <w:r>
        <w:t xml:space="preserve"> </w:t>
      </w:r>
      <w:r>
        <w:t xml:space="preserve">for a tree (</w:t>
      </w:r>
      <w:r>
        <w:rPr>
          <w:iCs/>
          <w:i/>
        </w:rPr>
        <w:t xml:space="preserve">vṛkṣa</w:t>
      </w:r>
      <w:r>
        <w:t xml:space="preserve">) is well established, too.</w:t>
      </w:r>
    </w:p>
    <w:bookmarkEnd w:id="410"/>
    <w:bookmarkStart w:id="411" w:name="page-385-rik-1-special-topics-continued"/>
    <w:p>
      <w:pPr>
        <w:pStyle w:val="Heading3"/>
      </w:pPr>
      <w:r>
        <w:t xml:space="preserve">Page 385 — Rik 1: Special Topics (continued)</w:t>
      </w:r>
    </w:p>
    <w:p>
      <w:pPr>
        <w:pStyle w:val="FirstParagraph"/>
      </w:pPr>
      <w:r>
        <w:rPr>
          <w:iCs/>
          <w:i/>
        </w:rPr>
        <w:t xml:space="preserve">(…</w:t>
      </w:r>
      <w:r>
        <w:rPr>
          <w:iCs/>
          <w:i/>
        </w:rPr>
        <w:t xml:space="preserve">“</w:t>
      </w:r>
      <w:r>
        <w:rPr>
          <w:iCs/>
          <w:i/>
        </w:rPr>
        <w:t xml:space="preserve">Arka</w:t>
      </w:r>
      <w:r>
        <w:rPr>
          <w:iCs/>
          <w:i/>
        </w:rPr>
        <w:t xml:space="preserve">”</w:t>
      </w:r>
      <w:r>
        <w:rPr>
          <w:iCs/>
          <w:i/>
        </w:rPr>
        <w:t xml:space="preserve"> </w:t>
      </w:r>
      <w:r>
        <w:rPr>
          <w:iCs/>
          <w:i/>
        </w:rPr>
        <w:t xml:space="preserve">means</w:t>
      </w:r>
      <w:r>
        <w:rPr>
          <w:iCs/>
          <w:i/>
        </w:rPr>
        <w:t xml:space="preserve"> </w:t>
      </w:r>
      <w:r>
        <w:t xml:space="preserve">ekka* tree, in Kannada.)* Its twigs are used in the</w:t>
      </w:r>
      <w:r>
        <w:t xml:space="preserve"> </w:t>
      </w:r>
      <w:r>
        <w:rPr>
          <w:iCs/>
          <w:i/>
        </w:rPr>
        <w:t xml:space="preserve">homa</w:t>
      </w:r>
      <w:r>
        <w:t xml:space="preserve"> </w:t>
      </w:r>
      <w:r>
        <w:t xml:space="preserve">rites, and it is also well known to all as a herbal medicine; therefore the</w:t>
      </w:r>
      <w:r>
        <w:t xml:space="preserve"> </w:t>
      </w:r>
      <w:r>
        <w:rPr>
          <w:iCs/>
          <w:i/>
        </w:rPr>
        <w:t xml:space="preserve">arka</w:t>
      </w:r>
      <w:r>
        <w:t xml:space="preserve"> </w:t>
      </w:r>
      <w:r>
        <w:t xml:space="preserve">tree is a thing known to all. As its sap is acrid, he says</w:t>
      </w:r>
      <w:r>
        <w:t xml:space="preserve"> </w:t>
      </w:r>
      <w:r>
        <w:rPr>
          <w:iCs/>
          <w:i/>
        </w:rPr>
        <w:t xml:space="preserve">kaṭukimnā</w:t>
      </w:r>
      <w:r>
        <w:t xml:space="preserve"> </w:t>
      </w:r>
      <w:r>
        <w:t xml:space="preserve">(</w:t>
      </w:r>
      <w:r>
        <w:t xml:space="preserve">“</w:t>
      </w:r>
      <w:r>
        <w:t xml:space="preserve">by pungency</w:t>
      </w:r>
      <w:r>
        <w:t xml:space="preserve">”</w:t>
      </w:r>
      <w:r>
        <w:t xml:space="preserve">).</w:t>
      </w:r>
    </w:p>
    <w:p>
      <w:pPr>
        <w:pStyle w:val="BodyText"/>
      </w:pPr>
      <w:r>
        <w:t xml:space="preserve">As an example to explain the word</w:t>
      </w:r>
      <w:r>
        <w:t xml:space="preserve"> </w:t>
      </w:r>
      <w:r>
        <w:rPr>
          <w:iCs/>
          <w:i/>
        </w:rPr>
        <w:t xml:space="preserve">arka</w:t>
      </w:r>
      <w:r>
        <w:t xml:space="preserve">, Yāska has quoted this very rik</w:t>
      </w:r>
      <w:r>
        <w:t xml:space="preserve"> </w:t>
      </w:r>
      <w:r>
        <w:rPr>
          <w:iCs/>
          <w:i/>
        </w:rPr>
        <w:t xml:space="preserve">gāyanti tvā gāyatriṇaḥ</w:t>
      </w:r>
      <w:r>
        <w:t xml:space="preserve">, and in it has also given an explanation of the meaning of the word</w:t>
      </w:r>
      <w:r>
        <w:t xml:space="preserve"> </w:t>
      </w:r>
      <w:r>
        <w:rPr>
          <w:iCs/>
          <w:i/>
        </w:rPr>
        <w:t xml:space="preserve">vaṃśa</w:t>
      </w:r>
      <w:r>
        <w:t xml:space="preserve"> </w:t>
      </w:r>
      <w:r>
        <w:t xml:space="preserve">in it:</w:t>
      </w:r>
    </w:p>
    <w:p>
      <w:pPr>
        <w:pStyle w:val="BlockText"/>
      </w:pPr>
      <w:r>
        <w:t xml:space="preserve">गायन्ति त्वा गायत्रिणः प्रार्चन्ति ते ऽर्कमर्किणो ब्राह्मणास्त्वा शतक्रतो उद्येमिरे वंशमिव वंशो वनशयो भवति वननाच्छ्रूयत इति वा ॥</w:t>
      </w:r>
      <w:r>
        <w:t xml:space="preserve"> </w:t>
      </w:r>
      <w:r>
        <w:rPr>
          <w:iCs/>
          <w:i/>
        </w:rPr>
        <w:t xml:space="preserve">gāyanti tvā gāyatriṇaḥ prārcanti te ’rkamarkiṇo brāhmaṇāstvā śatakrato udyemire vaṃśamiva vaṃśo vanaśayo bhavati vananācchrūyata iti vā ||</w:t>
      </w:r>
      <w:r>
        <w:t xml:space="preserve"> </w:t>
      </w:r>
      <w:r>
        <w:t xml:space="preserve">(नि. ५-४ — Nirukta 5-4 as printed; the bhāṣya on p. 382 cites it as 5-5)</w:t>
      </w:r>
      <w:r>
        <w:t xml:space="preserve"> </w:t>
      </w:r>
      <w:r>
        <w:rPr>
          <w:iCs/>
          <w:i/>
        </w:rPr>
        <w:t xml:space="preserve">(Yāska’s text reads</w:t>
      </w:r>
      <w:r>
        <w:t xml:space="preserve"> </w:t>
      </w:r>
      <w:r>
        <w:t xml:space="preserve">brāhmaṇās tvā śatakrato</w:t>
      </w:r>
      <w:r>
        <w:t xml:space="preserve"> </w:t>
      </w:r>
      <w:r>
        <w:rPr>
          <w:iCs/>
          <w:i/>
        </w:rPr>
        <w:t xml:space="preserve">for the Saṃhitā’s</w:t>
      </w:r>
      <w:r>
        <w:t xml:space="preserve"> </w:t>
      </w:r>
      <w:r>
        <w:t xml:space="preserve">brahmāṇas tvā śatakrata</w:t>
      </w:r>
      <w:r>
        <w:rPr>
          <w:iCs/>
          <w:i/>
        </w:rPr>
        <w:t xml:space="preserve">.)</w:t>
      </w:r>
    </w:p>
    <w:p>
      <w:pPr>
        <w:pStyle w:val="FirstParagraph"/>
      </w:pPr>
      <w:r>
        <w:t xml:space="preserve">Durgācārya’s commentary on this runs:</w:t>
      </w:r>
    </w:p>
    <w:p>
      <w:pPr>
        <w:pStyle w:val="BlockText"/>
      </w:pPr>
      <w:r>
        <w:t xml:space="preserve">गायन्ति त्वा गायत्रिणः — स्तुवन्ति त्वां सामगाः सामभिः । अर्चन्त्यर्कमर्किणः — पूजयन्ति त्वां ऋग्भिः होतारो मन्त्रिणः । एवमनेन प्रकारेण सर्व एते ब्राह्मणा यज्ञे कर्मणि हे शतक्रतो उद्वंशमिव येमिरे — उद्येमिरे वंशमिव त्वां स्तुतिभिः हविर्भिश्च यज्ञेषु तवैव महिमानं वर्धयन्तीत्यर्थः । वंशो वनशयो भवति वने शयित इवास्ते, वननाच्छ्रूयत इति वा संभजनाद्वा वल्लिभिः ॥ एवमत्र देवः अर्कशब्देनोच्यते मन्त्रस्यार्कशब्दवाच्यत्वे अर्चन्त्यर्कमर्किण इत्येष एव निगमः । अर्किणो हि मन्त्रिण एवाभिप्रेताः । वृक्षस्तु प्रसिद्ध एव । तेन निगमस्तदभिधायको नैवास्ति ॥</w:t>
      </w:r>
      <w:r>
        <w:t xml:space="preserve"> </w:t>
      </w:r>
      <w:r>
        <w:rPr>
          <w:iCs/>
          <w:i/>
        </w:rPr>
        <w:t xml:space="preserve">gāyanti tvā gāyatriṇaḥ — stuvanti tvāṃ sāmagāḥ sāmabhiḥ | arcantyarkamarkiṇaḥ — pūjayanti tvāṃ ṛgbhiḥ hotāro mantriṇaḥ | evamanena prakāreṇa sarva ete brāhmaṇā yajñe karmaṇi he śatakrato udvaṃśamiva yemire — udyemire vaṃśamiva tvāṃ stutibhiḥ havirbhiśca yajñeṣu tavaiva mahimānaṃ vardhayantītyarthaḥ | vaṃśo vanaśayo bhavati vane śayita ivāste, vananācchrūyata iti vā saṃbhajanādvā vallibhiḥ || evamatra devaḥ arkaśabdenocyate mantrasyārkaśabdavācyatve arcantyarkamarkiṇa ityeṣa eva nigamaḥ | arkiṇo hi mantriṇa evābhipretāḥ | vṛkṣastu prasiddha eva | tena nigamastadabhidhāyako naivāsti ||</w:t>
      </w:r>
    </w:p>
    <w:p>
      <w:pPr>
        <w:pStyle w:val="FirstParagraph"/>
      </w:pPr>
      <w:r>
        <w:t xml:space="preserve">—</w:t>
      </w:r>
      <w:r>
        <w:t xml:space="preserve"> </w:t>
      </w:r>
      <w:r>
        <w:t xml:space="preserve">“</w:t>
      </w:r>
      <w:r>
        <w:rPr>
          <w:iCs/>
          <w:i/>
        </w:rPr>
        <w:t xml:space="preserve">Gāyanti tvā gāyatriṇaḥ</w:t>
      </w:r>
      <w:r>
        <w:t xml:space="preserve">: the Sāma-singers praise you with Sāmans.</w:t>
      </w:r>
      <w:r>
        <w:t xml:space="preserve"> </w:t>
      </w:r>
      <w:r>
        <w:rPr>
          <w:iCs/>
          <w:i/>
        </w:rPr>
        <w:t xml:space="preserve">Arcanty arkam arkiṇaḥ</w:t>
      </w:r>
      <w:r>
        <w:t xml:space="preserve">: the hotṛs, with mantras, worship you with ṛks. In this way all these brāhmaṇas, in the sacrificial rite, O</w:t>
      </w:r>
      <w:r>
        <w:t xml:space="preserve"> </w:t>
      </w:r>
      <w:r>
        <w:rPr>
          <w:iCs/>
          <w:i/>
        </w:rPr>
        <w:t xml:space="preserve">śatakrato</w:t>
      </w:r>
      <w:r>
        <w:t xml:space="preserve">,</w:t>
      </w:r>
      <w:r>
        <w:t xml:space="preserve"> </w:t>
      </w:r>
      <w:r>
        <w:rPr>
          <w:iCs/>
          <w:i/>
        </w:rPr>
        <w:t xml:space="preserve">ud yemire</w:t>
      </w:r>
      <w:r>
        <w:t xml:space="preserve"> </w:t>
      </w:r>
      <w:r>
        <w:t xml:space="preserve">— raise you aloft like a bamboo; with praises and offerings in sacrifices they increase your greatness. A</w:t>
      </w:r>
      <w:r>
        <w:t xml:space="preserve"> </w:t>
      </w:r>
      <w:r>
        <w:rPr>
          <w:iCs/>
          <w:i/>
        </w:rPr>
        <w:t xml:space="preserve">vaṃśa</w:t>
      </w:r>
      <w:r>
        <w:t xml:space="preserve"> </w:t>
      </w:r>
      <w:r>
        <w:t xml:space="preserve">is</w:t>
      </w:r>
      <w:r>
        <w:t xml:space="preserve"> </w:t>
      </w:r>
      <w:r>
        <w:rPr>
          <w:iCs/>
          <w:i/>
        </w:rPr>
        <w:t xml:space="preserve">vanaśaya</w:t>
      </w:r>
      <w:r>
        <w:t xml:space="preserve">, lying in the forest; or,</w:t>
      </w:r>
      <w:r>
        <w:t xml:space="preserve"> </w:t>
      </w:r>
      <w:r>
        <w:rPr>
          <w:iCs/>
          <w:i/>
        </w:rPr>
        <w:t xml:space="preserve">vananāc chrūyate</w:t>
      </w:r>
      <w:r>
        <w:t xml:space="preserve"> </w:t>
      </w:r>
      <w:r>
        <w:t xml:space="preserve">— it is heard of because of being enjoyed, or because creepers resort to it. Thus here the god is meant by the word</w:t>
      </w:r>
      <w:r>
        <w:t xml:space="preserve"> </w:t>
      </w:r>
      <w:r>
        <w:rPr>
          <w:iCs/>
          <w:i/>
        </w:rPr>
        <w:t xml:space="preserve">arka</w:t>
      </w:r>
      <w:r>
        <w:t xml:space="preserve">; for</w:t>
      </w:r>
      <w:r>
        <w:t xml:space="preserve"> </w:t>
      </w:r>
      <w:r>
        <w:rPr>
          <w:iCs/>
          <w:i/>
        </w:rPr>
        <w:t xml:space="preserve">arka</w:t>
      </w:r>
      <w:r>
        <w:t xml:space="preserve"> </w:t>
      </w:r>
      <w:r>
        <w:t xml:space="preserve">meaning the mantra, this very passage</w:t>
      </w:r>
      <w:r>
        <w:t xml:space="preserve"> </w:t>
      </w:r>
      <w:r>
        <w:rPr>
          <w:iCs/>
          <w:i/>
        </w:rPr>
        <w:t xml:space="preserve">arcanty arkam arkiṇaḥ</w:t>
      </w:r>
      <w:r>
        <w:t xml:space="preserve"> </w:t>
      </w:r>
      <w:r>
        <w:t xml:space="preserve">is the instance, for by</w:t>
      </w:r>
      <w:r>
        <w:t xml:space="preserve"> </w:t>
      </w:r>
      <w:r>
        <w:rPr>
          <w:iCs/>
          <w:i/>
        </w:rPr>
        <w:t xml:space="preserve">arkiṇaḥ</w:t>
      </w:r>
      <w:r>
        <w:t xml:space="preserve"> </w:t>
      </w:r>
      <w:r>
        <w:t xml:space="preserve">those who have the mantras are meant; the tree is well known, and so there is no passage naming it.</w:t>
      </w:r>
      <w:r>
        <w:t xml:space="preserve">”</w:t>
      </w:r>
    </w:p>
    <w:p>
      <w:pPr>
        <w:pStyle w:val="BodyText"/>
      </w:pPr>
      <w:r>
        <w:t xml:space="preserve">Here Yāska gives the word</w:t>
      </w:r>
      <w:r>
        <w:t xml:space="preserve"> </w:t>
      </w:r>
      <w:r>
        <w:rPr>
          <w:iCs/>
          <w:i/>
        </w:rPr>
        <w:t xml:space="preserve">brahmāṇaḥ</w:t>
      </w:r>
      <w:r>
        <w:t xml:space="preserve"> </w:t>
      </w:r>
      <w:r>
        <w:t xml:space="preserve">the sense</w:t>
      </w:r>
      <w:r>
        <w:t xml:space="preserve"> </w:t>
      </w:r>
      <w:r>
        <w:rPr>
          <w:iCs/>
          <w:i/>
        </w:rPr>
        <w:t xml:space="preserve">brāhmaṇāḥ</w:t>
      </w:r>
      <w:r>
        <w:t xml:space="preserve">:</w:t>
      </w:r>
      <w:r>
        <w:t xml:space="preserve"> </w:t>
      </w:r>
      <w:r>
        <w:rPr>
          <w:iCs/>
          <w:i/>
        </w:rPr>
        <w:t xml:space="preserve">brāhmaṇa</w:t>
      </w:r>
      <w:r>
        <w:t xml:space="preserve"> </w:t>
      </w:r>
      <w:r>
        <w:t xml:space="preserve">means those of the brāhmaṇa caste and also the priests, headed by Brahmā, who take part in sacrifices and the like. For</w:t>
      </w:r>
      <w:r>
        <w:t xml:space="preserve"> </w:t>
      </w:r>
      <w:r>
        <w:rPr>
          <w:iCs/>
          <w:i/>
        </w:rPr>
        <w:t xml:space="preserve">vaṃśa</w:t>
      </w:r>
      <w:r>
        <w:t xml:space="preserve"> </w:t>
      </w:r>
      <w:r>
        <w:t xml:space="preserve">he says:</w:t>
      </w:r>
      <w:r>
        <w:t xml:space="preserve"> </w:t>
      </w:r>
      <w:r>
        <w:rPr>
          <w:iCs/>
          <w:i/>
        </w:rPr>
        <w:t xml:space="preserve">vaṃśo vanaśayo bhavati vananāc chrayata iti vā</w:t>
      </w:r>
      <w:r>
        <w:t xml:space="preserve"> </w:t>
      </w:r>
      <w:r>
        <w:t xml:space="preserve">—</w:t>
      </w:r>
      <w:r>
        <w:t xml:space="preserve"> </w:t>
      </w:r>
      <w:r>
        <w:t xml:space="preserve">“</w:t>
      </w:r>
      <w:r>
        <w:t xml:space="preserve">because it lies in the forest it is called</w:t>
      </w:r>
      <w:r>
        <w:t xml:space="preserve"> </w:t>
      </w:r>
      <w:r>
        <w:rPr>
          <w:iCs/>
          <w:i/>
        </w:rPr>
        <w:t xml:space="preserve">vaṃśa</w:t>
      </w:r>
      <w:r>
        <w:t xml:space="preserve">; or because, when the wind blows, the bamboos rub against one another and make a sound, it is called</w:t>
      </w:r>
      <w:r>
        <w:t xml:space="preserve"> </w:t>
      </w:r>
      <w:r>
        <w:rPr>
          <w:iCs/>
          <w:i/>
        </w:rPr>
        <w:t xml:space="preserve">vaṃśa</w:t>
      </w:r>
      <w:r>
        <w:t xml:space="preserve">; or because creepers climb it, it is called</w:t>
      </w:r>
      <w:r>
        <w:t xml:space="preserve"> </w:t>
      </w:r>
      <w:r>
        <w:rPr>
          <w:iCs/>
          <w:i/>
        </w:rPr>
        <w:t xml:space="preserve">vaṃśa</w:t>
      </w:r>
      <w:r>
        <w:t xml:space="preserve">”</w:t>
      </w:r>
      <w:r>
        <w:t xml:space="preserve">: so he explains.</w:t>
      </w:r>
    </w:p>
    <w:p>
      <w:pPr>
        <w:pStyle w:val="BodyText"/>
      </w:pPr>
      <w:r>
        <w:rPr>
          <w:bCs/>
          <w:b/>
        </w:rPr>
        <w:t xml:space="preserve">“</w:t>
      </w:r>
      <w:r>
        <w:rPr>
          <w:bCs/>
          <w:b/>
        </w:rPr>
        <w:t xml:space="preserve">Arkiṇaḥ</w:t>
      </w:r>
      <w:r>
        <w:rPr>
          <w:bCs/>
          <w:b/>
        </w:rPr>
        <w:t xml:space="preserve">”</w:t>
      </w:r>
      <w:r>
        <w:t xml:space="preserve"> </w:t>
      </w:r>
      <w:r>
        <w:t xml:space="preserve">—</w:t>
      </w:r>
      <w:r>
        <w:t xml:space="preserve"> </w:t>
      </w:r>
      <w:r>
        <w:rPr>
          <w:bCs/>
          <w:b/>
        </w:rPr>
        <w:t xml:space="preserve">अर्चनहेतुमन्त्रयुक्ताः होतारः । अर्का मन्त्रा एषां सन्तीत्यर्किणः होतारः</w:t>
      </w:r>
      <w:r>
        <w:t xml:space="preserve"> </w:t>
      </w:r>
      <w:r>
        <w:t xml:space="preserve">(</w:t>
      </w:r>
      <w:r>
        <w:rPr>
          <w:iCs/>
          <w:i/>
        </w:rPr>
        <w:t xml:space="preserve">arcana-hetu-mantra-yuktāḥ hotāraḥ | arkā mantrā eṣāṃ santīty arkiṇaḥ hotāraḥ</w:t>
      </w:r>
      <w:r>
        <w:t xml:space="preserve">) —</w:t>
      </w:r>
      <w:r>
        <w:t xml:space="preserve"> </w:t>
      </w:r>
      <w:r>
        <w:t xml:space="preserve">“</w:t>
      </w:r>
      <w:r>
        <w:t xml:space="preserve">the hotṛs, equipped with the mantras that are the means of worship; those who have</w:t>
      </w:r>
      <w:r>
        <w:t xml:space="preserve"> </w:t>
      </w:r>
      <w:r>
        <w:rPr>
          <w:iCs/>
          <w:i/>
        </w:rPr>
        <w:t xml:space="preserve">arka</w:t>
      </w:r>
      <w:r>
        <w:t xml:space="preserve"> </w:t>
      </w:r>
      <w:r>
        <w:t xml:space="preserve">mantras are</w:t>
      </w:r>
      <w:r>
        <w:t xml:space="preserve"> </w:t>
      </w:r>
      <w:r>
        <w:rPr>
          <w:iCs/>
          <w:i/>
        </w:rPr>
        <w:t xml:space="preserve">arkiṇaḥ</w:t>
      </w:r>
      <w:r>
        <w:t xml:space="preserve">, the hotṛs.</w:t>
      </w:r>
      <w:r>
        <w:t xml:space="preserve">”</w:t>
      </w:r>
      <w:r>
        <w:t xml:space="preserve"> </w:t>
      </w:r>
      <w:r>
        <w:t xml:space="preserve">Since</w:t>
      </w:r>
      <w:r>
        <w:t xml:space="preserve"> </w:t>
      </w:r>
      <w:r>
        <w:rPr>
          <w:iCs/>
          <w:i/>
        </w:rPr>
        <w:t xml:space="preserve">arka</w:t>
      </w:r>
      <w:r>
        <w:t xml:space="preserve"> </w:t>
      </w:r>
      <w:r>
        <w:t xml:space="preserve">has the sense</w:t>
      </w:r>
      <w:r>
        <w:t xml:space="preserve"> </w:t>
      </w:r>
      <w:r>
        <w:t xml:space="preserve">“</w:t>
      </w:r>
      <w:r>
        <w:t xml:space="preserve">mantra,</w:t>
      </w:r>
      <w:r>
        <w:t xml:space="preserve">”</w:t>
      </w:r>
      <w:r>
        <w:t xml:space="preserve"> </w:t>
      </w:r>
      <w:r>
        <w:t xml:space="preserve">those who praise with them are called</w:t>
      </w:r>
      <w:r>
        <w:t xml:space="preserve"> </w:t>
      </w:r>
      <w:r>
        <w:rPr>
          <w:iCs/>
          <w:i/>
        </w:rPr>
        <w:t xml:space="preserve">arkiṇaḥ</w:t>
      </w:r>
      <w:r>
        <w:t xml:space="preserve"> </w:t>
      </w:r>
      <w:r>
        <w:t xml:space="preserve">— that is, the priests of the hotṛ group who recite the ṛks in the form of</w:t>
      </w:r>
      <w:r>
        <w:t xml:space="preserve"> </w:t>
      </w:r>
      <w:r>
        <w:rPr>
          <w:iCs/>
          <w:i/>
        </w:rPr>
        <w:t xml:space="preserve">śastra</w:t>
      </w:r>
      <w:r>
        <w:t xml:space="preserve">.</w:t>
      </w:r>
    </w:p>
    <w:p>
      <w:pPr>
        <w:pStyle w:val="BodyText"/>
      </w:pPr>
      <w:r>
        <w:rPr>
          <w:bCs/>
          <w:b/>
        </w:rPr>
        <w:t xml:space="preserve">“</w:t>
      </w:r>
      <w:r>
        <w:rPr>
          <w:bCs/>
          <w:b/>
        </w:rPr>
        <w:t xml:space="preserve">Brahmāṇaḥ</w:t>
      </w:r>
      <w:r>
        <w:rPr>
          <w:bCs/>
          <w:b/>
        </w:rPr>
        <w:t xml:space="preserve">”</w:t>
      </w:r>
      <w:r>
        <w:t xml:space="preserve"> </w:t>
      </w:r>
      <w:r>
        <w:t xml:space="preserve">— the Bhāṣyakāra gives this word the sense of priests headed by Brahmā, and other brāhmaṇas. Yāska gives it a general sense,</w:t>
      </w:r>
      <w:r>
        <w:t xml:space="preserve"> </w:t>
      </w:r>
      <w:r>
        <w:t xml:space="preserve">“</w:t>
      </w:r>
      <w:r>
        <w:t xml:space="preserve">brāhmaṇas.</w:t>
      </w:r>
      <w:r>
        <w:t xml:space="preserve">”</w:t>
      </w:r>
    </w:p>
    <w:p>
      <w:pPr>
        <w:pStyle w:val="BodyText"/>
      </w:pPr>
      <w:r>
        <w:rPr>
          <w:bCs/>
          <w:b/>
        </w:rPr>
        <w:t xml:space="preserve">“</w:t>
      </w:r>
      <w:r>
        <w:rPr>
          <w:bCs/>
          <w:b/>
        </w:rPr>
        <w:t xml:space="preserve">Śatakrato</w:t>
      </w:r>
      <w:r>
        <w:rPr>
          <w:bCs/>
          <w:b/>
        </w:rPr>
        <w:t xml:space="preserve">”</w:t>
      </w:r>
      <w:r>
        <w:t xml:space="preserve"> </w:t>
      </w:r>
      <w:r>
        <w:t xml:space="preserve">— the explanation of this word was already given earlier.</w:t>
      </w:r>
    </w:p>
    <w:p>
      <w:pPr>
        <w:pStyle w:val="BodyText"/>
      </w:pPr>
      <w:r>
        <w:rPr>
          <w:bCs/>
          <w:b/>
        </w:rPr>
        <w:t xml:space="preserve">“</w:t>
      </w:r>
      <w:r>
        <w:rPr>
          <w:bCs/>
          <w:b/>
        </w:rPr>
        <w:t xml:space="preserve">Vaṃśam iva</w:t>
      </w:r>
      <w:r>
        <w:rPr>
          <w:bCs/>
          <w:b/>
        </w:rPr>
        <w:t xml:space="preserve">”</w:t>
      </w:r>
      <w:r>
        <w:t xml:space="preserve"> </w:t>
      </w:r>
      <w:r>
        <w:t xml:space="preserve">— the explanation of this word is also in Yāska’s exposition above.</w:t>
      </w:r>
    </w:p>
    <w:bookmarkEnd w:id="411"/>
    <w:bookmarkStart w:id="412" w:name="page-386-rik-1-grammar"/>
    <w:p>
      <w:pPr>
        <w:pStyle w:val="Heading3"/>
      </w:pPr>
      <w:r>
        <w:t xml:space="preserve">Page 386 — Rik 1: grammar</w:t>
      </w:r>
    </w:p>
    <w:p>
      <w:pPr>
        <w:pStyle w:val="FirstParagraph"/>
      </w:pPr>
      <w:r>
        <w:rPr>
          <w:bCs/>
          <w:b/>
        </w:rPr>
        <w:t xml:space="preserve">॥ Vyākaraṇa-prakriyā ॥</w:t>
      </w:r>
      <w:r>
        <w:t xml:space="preserve"> </w:t>
      </w:r>
      <w:r>
        <w:rPr>
          <w:iCs/>
          <w:i/>
        </w:rPr>
        <w:t xml:space="preserve">(grammar pages 386–387, noted briefly)</w:t>
      </w:r>
    </w:p>
    <w:p>
      <w:pPr>
        <w:pStyle w:val="BodyText"/>
      </w:pPr>
      <w:r>
        <w:rPr>
          <w:bCs/>
          <w:b/>
        </w:rPr>
        <w:t xml:space="preserve">गायन्ति (</w:t>
      </w:r>
      <w:r>
        <w:rPr>
          <w:iCs/>
          <w:i/>
          <w:bCs/>
          <w:b/>
        </w:rPr>
        <w:t xml:space="preserve">gāyanti</w:t>
      </w:r>
      <w:r>
        <w:rPr>
          <w:bCs/>
          <w:b/>
        </w:rPr>
        <w:t xml:space="preserve">)</w:t>
      </w:r>
      <w:r>
        <w:t xml:space="preserve"> </w:t>
      </w:r>
      <w:r>
        <w:t xml:space="preserve">— root</w:t>
      </w:r>
      <w:r>
        <w:t xml:space="preserve"> </w:t>
      </w:r>
      <w:r>
        <w:rPr>
          <w:iCs/>
          <w:i/>
        </w:rPr>
        <w:t xml:space="preserve">gai śabde</w:t>
      </w:r>
      <w:r>
        <w:t xml:space="preserve"> </w:t>
      </w:r>
      <w:r>
        <w:t xml:space="preserve">with</w:t>
      </w:r>
      <w:r>
        <w:t xml:space="preserve"> </w:t>
      </w:r>
      <w:r>
        <w:rPr>
          <w:iCs/>
          <w:i/>
        </w:rPr>
        <w:t xml:space="preserve">laṭ</w:t>
      </w:r>
      <w:r>
        <w:t xml:space="preserve"> </w:t>
      </w:r>
      <w:r>
        <w:t xml:space="preserve">parasmaipada third plural</w:t>
      </w:r>
      <w:r>
        <w:t xml:space="preserve"> </w:t>
      </w:r>
      <w:r>
        <w:rPr>
          <w:iCs/>
          <w:i/>
        </w:rPr>
        <w:t xml:space="preserve">jhi</w:t>
      </w:r>
      <w:r>
        <w:t xml:space="preserve">;</w:t>
      </w:r>
      <w:r>
        <w:t xml:space="preserve"> </w:t>
      </w:r>
      <w:r>
        <w:rPr>
          <w:iCs/>
          <w:i/>
        </w:rPr>
        <w:t xml:space="preserve">jh</w:t>
      </w:r>
      <w:r>
        <w:t xml:space="preserve"> </w:t>
      </w:r>
      <w:r>
        <w:t xml:space="preserve">→</w:t>
      </w:r>
      <w:r>
        <w:t xml:space="preserve"> </w:t>
      </w:r>
      <w:r>
        <w:rPr>
          <w:iCs/>
          <w:i/>
        </w:rPr>
        <w:t xml:space="preserve">ant</w:t>
      </w:r>
      <w:r>
        <w:t xml:space="preserve"> </w:t>
      </w:r>
      <w:r>
        <w:t xml:space="preserve">by</w:t>
      </w:r>
      <w:r>
        <w:t xml:space="preserve"> </w:t>
      </w:r>
      <w:r>
        <w:t xml:space="preserve">“</w:t>
      </w:r>
      <w:r>
        <w:t xml:space="preserve">jho ’ntaḥ</w:t>
      </w:r>
      <w:r>
        <w:t xml:space="preserve">”</w:t>
      </w:r>
      <w:r>
        <w:t xml:space="preserve"> </w:t>
      </w:r>
      <w:r>
        <w:t xml:space="preserve">(Pā. 7-1-3);</w:t>
      </w:r>
      <w:r>
        <w:t xml:space="preserve"> </w:t>
      </w:r>
      <w:r>
        <w:rPr>
          <w:iCs/>
          <w:i/>
        </w:rPr>
        <w:t xml:space="preserve">śap</w:t>
      </w:r>
      <w:r>
        <w:t xml:space="preserve">; since the suffix is</w:t>
      </w:r>
      <w:r>
        <w:t xml:space="preserve"> </w:t>
      </w:r>
      <w:r>
        <w:rPr>
          <w:iCs/>
          <w:i/>
        </w:rPr>
        <w:t xml:space="preserve">śit</w:t>
      </w:r>
      <w:r>
        <w:t xml:space="preserve">,</w:t>
      </w:r>
      <w:r>
        <w:t xml:space="preserve"> </w:t>
      </w:r>
      <w:r>
        <w:t xml:space="preserve">“</w:t>
      </w:r>
      <w:r>
        <w:t xml:space="preserve">ād eca upadeśe ’śiti</w:t>
      </w:r>
      <w:r>
        <w:t xml:space="preserve">”</w:t>
      </w:r>
      <w:r>
        <w:t xml:space="preserve"> </w:t>
      </w:r>
      <w:r>
        <w:t xml:space="preserve">(Pā. 6-1-45) does not give</w:t>
      </w:r>
      <w:r>
        <w:t xml:space="preserve"> </w:t>
      </w:r>
      <w:r>
        <w:rPr>
          <w:iCs/>
          <w:i/>
        </w:rPr>
        <w:t xml:space="preserve">ā</w:t>
      </w:r>
      <w:r>
        <w:t xml:space="preserve"> </w:t>
      </w:r>
      <w:r>
        <w:t xml:space="preserve">for the</w:t>
      </w:r>
      <w:r>
        <w:t xml:space="preserve"> </w:t>
      </w:r>
      <w:r>
        <w:rPr>
          <w:iCs/>
          <w:i/>
        </w:rPr>
        <w:t xml:space="preserve">ai</w:t>
      </w:r>
      <w:r>
        <w:t xml:space="preserve">;</w:t>
      </w:r>
      <w:r>
        <w:t xml:space="preserve"> </w:t>
      </w:r>
      <w:r>
        <w:t xml:space="preserve">“</w:t>
      </w:r>
      <w:r>
        <w:t xml:space="preserve">eco ’yavāyāvaḥ</w:t>
      </w:r>
      <w:r>
        <w:t xml:space="preserve">”</w:t>
      </w:r>
      <w:r>
        <w:t xml:space="preserve"> </w:t>
      </w:r>
      <w:r>
        <w:t xml:space="preserve">(Pā. 6-1-78) gives</w:t>
      </w:r>
      <w:r>
        <w:t xml:space="preserve"> </w:t>
      </w:r>
      <w:r>
        <w:rPr>
          <w:iCs/>
          <w:i/>
        </w:rPr>
        <w:t xml:space="preserve">āy</w:t>
      </w:r>
      <w:r>
        <w:t xml:space="preserve">, so</w:t>
      </w:r>
      <w:r>
        <w:t xml:space="preserve"> </w:t>
      </w:r>
      <w:r>
        <w:rPr>
          <w:iCs/>
          <w:i/>
        </w:rPr>
        <w:t xml:space="preserve">gāyanti</w:t>
      </w:r>
      <w:r>
        <w:t xml:space="preserve">;</w:t>
      </w:r>
      <w:r>
        <w:t xml:space="preserve"> </w:t>
      </w:r>
      <w:r>
        <w:rPr>
          <w:iCs/>
          <w:i/>
        </w:rPr>
        <w:t xml:space="preserve">śap</w:t>
      </w:r>
      <w:r>
        <w:t xml:space="preserve"> </w:t>
      </w:r>
      <w:r>
        <w:t xml:space="preserve">is</w:t>
      </w:r>
      <w:r>
        <w:t xml:space="preserve"> </w:t>
      </w:r>
      <w:r>
        <w:rPr>
          <w:iCs/>
          <w:i/>
        </w:rPr>
        <w:t xml:space="preserve">pit</w:t>
      </w:r>
      <w:r>
        <w:t xml:space="preserve">, hence unaccented; the ending</w:t>
      </w:r>
      <w:r>
        <w:t xml:space="preserve"> </w:t>
      </w:r>
      <w:r>
        <w:rPr>
          <w:iCs/>
          <w:i/>
        </w:rPr>
        <w:t xml:space="preserve">anti</w:t>
      </w:r>
      <w:r>
        <w:t xml:space="preserve">, a</w:t>
      </w:r>
      <w:r>
        <w:t xml:space="preserve"> </w:t>
      </w:r>
      <w:r>
        <w:rPr>
          <w:iCs/>
          <w:i/>
        </w:rPr>
        <w:t xml:space="preserve">lasārvadhātuka</w:t>
      </w:r>
      <w:r>
        <w:t xml:space="preserve">, follows</w:t>
      </w:r>
      <w:r>
        <w:t xml:space="preserve"> </w:t>
      </w:r>
      <w:r>
        <w:rPr>
          <w:iCs/>
          <w:i/>
        </w:rPr>
        <w:t xml:space="preserve">śap</w:t>
      </w:r>
      <w:r>
        <w:t xml:space="preserve">, an</w:t>
      </w:r>
      <w:r>
        <w:t xml:space="preserve"> </w:t>
      </w:r>
      <w:r>
        <w:rPr>
          <w:iCs/>
          <w:i/>
        </w:rPr>
        <w:t xml:space="preserve">adupadeśa</w:t>
      </w:r>
      <w:r>
        <w:t xml:space="preserve">, and so is unaccented by</w:t>
      </w:r>
      <w:r>
        <w:t xml:space="preserve"> </w:t>
      </w:r>
      <w:r>
        <w:t xml:space="preserve">“</w:t>
      </w:r>
      <w:r>
        <w:t xml:space="preserve">tāsyanudāttenṅidadupadeśāt</w:t>
      </w:r>
      <w:r>
        <w:t xml:space="preserve">”</w:t>
      </w:r>
      <w:r>
        <w:t xml:space="preserve"> </w:t>
      </w:r>
      <w:r>
        <w:t xml:space="preserve">(Pā. 6-1-186); the</w:t>
      </w:r>
      <w:r>
        <w:t xml:space="preserve"> </w:t>
      </w:r>
      <w:r>
        <w:rPr>
          <w:iCs/>
          <w:i/>
        </w:rPr>
        <w:t xml:space="preserve">ā</w:t>
      </w:r>
      <w:r>
        <w:t xml:space="preserve"> </w:t>
      </w:r>
      <w:r>
        <w:t xml:space="preserve">of</w:t>
      </w:r>
      <w:r>
        <w:t xml:space="preserve"> </w:t>
      </w:r>
      <w:r>
        <w:rPr>
          <w:iCs/>
          <w:i/>
        </w:rPr>
        <w:t xml:space="preserve">gā</w:t>
      </w:r>
      <w:r>
        <w:t xml:space="preserve"> </w:t>
      </w:r>
      <w:r>
        <w:t xml:space="preserve">takes the root accent, udātta.</w:t>
      </w:r>
      <w:r>
        <w:t xml:space="preserve"> </w:t>
      </w:r>
      <w:r>
        <w:rPr>
          <w:bCs/>
          <w:b/>
        </w:rPr>
        <w:t xml:space="preserve">गायत्रिणः (</w:t>
      </w:r>
      <w:r>
        <w:rPr>
          <w:iCs/>
          <w:i/>
          <w:bCs/>
          <w:b/>
        </w:rPr>
        <w:t xml:space="preserve">gāyatriṇaḥ</w:t>
      </w:r>
      <w:r>
        <w:rPr>
          <w:bCs/>
          <w:b/>
        </w:rPr>
        <w:t xml:space="preserve">)</w:t>
      </w:r>
      <w:r>
        <w:t xml:space="preserve"> </w:t>
      </w:r>
      <w:r>
        <w:t xml:space="preserve">—</w:t>
      </w:r>
      <w:r>
        <w:t xml:space="preserve"> </w:t>
      </w:r>
      <w:r>
        <w:rPr>
          <w:iCs/>
          <w:i/>
        </w:rPr>
        <w:t xml:space="preserve">gāyatra</w:t>
      </w:r>
      <w:r>
        <w:t xml:space="preserve"> </w:t>
      </w:r>
      <w:r>
        <w:t xml:space="preserve">is the name of a Sāman;</w:t>
      </w:r>
      <w:r>
        <w:t xml:space="preserve"> </w:t>
      </w:r>
      <w:r>
        <w:t xml:space="preserve">“</w:t>
      </w:r>
      <w:r>
        <w:t xml:space="preserve">gāyatraṃ sāma yeṣām udgātṝṇām asti te</w:t>
      </w:r>
      <w:r>
        <w:t xml:space="preserve">”</w:t>
      </w:r>
      <w:r>
        <w:t xml:space="preserve"> </w:t>
      </w:r>
      <w:r>
        <w:t xml:space="preserve">(</w:t>
      </w:r>
      <w:r>
        <w:t xml:space="preserve">“</w:t>
      </w:r>
      <w:r>
        <w:t xml:space="preserve">those udgātṛs who have the Gāyatra Sāman</w:t>
      </w:r>
      <w:r>
        <w:t xml:space="preserve">”</w:t>
      </w:r>
      <w:r>
        <w:t xml:space="preserve">) — in the compound analysis</w:t>
      </w:r>
      <w:r>
        <w:t xml:space="preserve"> </w:t>
      </w:r>
      <w:r>
        <w:rPr>
          <w:iCs/>
          <w:i/>
        </w:rPr>
        <w:t xml:space="preserve">ini</w:t>
      </w:r>
      <w:r>
        <w:t xml:space="preserve"> </w:t>
      </w:r>
      <w:r>
        <w:t xml:space="preserve">by</w:t>
      </w:r>
      <w:r>
        <w:t xml:space="preserve"> </w:t>
      </w:r>
      <w:r>
        <w:t xml:space="preserve">“</w:t>
      </w:r>
      <w:r>
        <w:t xml:space="preserve">ata ini-ṭhanau</w:t>
      </w:r>
      <w:r>
        <w:t xml:space="preserve">”</w:t>
      </w:r>
      <w:r>
        <w:t xml:space="preserve"> </w:t>
      </w:r>
      <w:r>
        <w:t xml:space="preserve">(Pā. 5-2-115);</w:t>
      </w:r>
      <w:r>
        <w:t xml:space="preserve"> </w:t>
      </w:r>
      <w:r>
        <w:rPr>
          <w:iCs/>
          <w:i/>
        </w:rPr>
        <w:t xml:space="preserve">a</w:t>
      </w:r>
      <w:r>
        <w:t xml:space="preserve"> </w:t>
      </w:r>
      <w:r>
        <w:t xml:space="preserve">of</w:t>
      </w:r>
      <w:r>
        <w:t xml:space="preserve"> </w:t>
      </w:r>
      <w:r>
        <w:rPr>
          <w:iCs/>
          <w:i/>
        </w:rPr>
        <w:t xml:space="preserve">gāyatra</w:t>
      </w:r>
      <w:r>
        <w:t xml:space="preserve"> </w:t>
      </w:r>
      <w:r>
        <w:t xml:space="preserve">dropped by</w:t>
      </w:r>
      <w:r>
        <w:t xml:space="preserve"> </w:t>
      </w:r>
      <w:r>
        <w:t xml:space="preserve">“</w:t>
      </w:r>
      <w:r>
        <w:t xml:space="preserve">yasyeti ca</w:t>
      </w:r>
      <w:r>
        <w:t xml:space="preserve">”</w:t>
      </w:r>
      <w:r>
        <w:t xml:space="preserve"> </w:t>
      </w:r>
      <w:r>
        <w:t xml:space="preserve">(Pā. 6-4-148); nominative plural</w:t>
      </w:r>
      <w:r>
        <w:t xml:space="preserve"> </w:t>
      </w:r>
      <w:r>
        <w:rPr>
          <w:iCs/>
          <w:i/>
        </w:rPr>
        <w:t xml:space="preserve">gāyatriṇaḥ</w:t>
      </w:r>
      <w:r>
        <w:t xml:space="preserve">; the</w:t>
      </w:r>
      <w:r>
        <w:t xml:space="preserve"> </w:t>
      </w:r>
      <w:r>
        <w:rPr>
          <w:iCs/>
          <w:i/>
        </w:rPr>
        <w:t xml:space="preserve">i</w:t>
      </w:r>
      <w:r>
        <w:t xml:space="preserve"> </w:t>
      </w:r>
      <w:r>
        <w:t xml:space="preserve">is udātta by the suffix.</w:t>
      </w:r>
      <w:r>
        <w:t xml:space="preserve"> </w:t>
      </w:r>
      <w:r>
        <w:rPr>
          <w:bCs/>
          <w:b/>
        </w:rPr>
        <w:t xml:space="preserve">अर्चन्ति (</w:t>
      </w:r>
      <w:r>
        <w:rPr>
          <w:iCs/>
          <w:i/>
          <w:bCs/>
          <w:b/>
        </w:rPr>
        <w:t xml:space="preserve">arcanti</w:t>
      </w:r>
      <w:r>
        <w:rPr>
          <w:bCs/>
          <w:b/>
        </w:rPr>
        <w:t xml:space="preserve">)</w:t>
      </w:r>
      <w:r>
        <w:t xml:space="preserve"> </w:t>
      </w:r>
      <w:r>
        <w:t xml:space="preserve">— root</w:t>
      </w:r>
      <w:r>
        <w:t xml:space="preserve"> </w:t>
      </w:r>
      <w:r>
        <w:rPr>
          <w:iCs/>
          <w:i/>
        </w:rPr>
        <w:t xml:space="preserve">arca pūjāyām</w:t>
      </w:r>
      <w:r>
        <w:t xml:space="preserve"> </w:t>
      </w:r>
      <w:r>
        <w:t xml:space="preserve">(bhvādi class);</w:t>
      </w:r>
      <w:r>
        <w:t xml:space="preserve"> </w:t>
      </w:r>
      <w:r>
        <w:rPr>
          <w:iCs/>
          <w:i/>
        </w:rPr>
        <w:t xml:space="preserve">śap</w:t>
      </w:r>
      <w:r>
        <w:t xml:space="preserve"> </w:t>
      </w:r>
      <w:r>
        <w:t xml:space="preserve">is</w:t>
      </w:r>
      <w:r>
        <w:t xml:space="preserve"> </w:t>
      </w:r>
      <w:r>
        <w:rPr>
          <w:iCs/>
          <w:i/>
        </w:rPr>
        <w:t xml:space="preserve">pit</w:t>
      </w:r>
      <w:r>
        <w:t xml:space="preserve">, so unaccented; the</w:t>
      </w:r>
      <w:r>
        <w:t xml:space="preserve"> </w:t>
      </w:r>
      <w:r>
        <w:rPr>
          <w:iCs/>
          <w:i/>
        </w:rPr>
        <w:t xml:space="preserve">anti</w:t>
      </w:r>
      <w:r>
        <w:t xml:space="preserve"> </w:t>
      </w:r>
      <w:r>
        <w:t xml:space="preserve">is unaccented as a</w:t>
      </w:r>
      <w:r>
        <w:t xml:space="preserve"> </w:t>
      </w:r>
      <w:r>
        <w:rPr>
          <w:iCs/>
          <w:i/>
        </w:rPr>
        <w:t xml:space="preserve">lasārvadhātuka</w:t>
      </w:r>
      <w:r>
        <w:t xml:space="preserve"> </w:t>
      </w:r>
      <w:r>
        <w:t xml:space="preserve">following the</w:t>
      </w:r>
      <w:r>
        <w:t xml:space="preserve"> </w:t>
      </w:r>
      <w:r>
        <w:rPr>
          <w:iCs/>
          <w:i/>
        </w:rPr>
        <w:t xml:space="preserve">adupadeśa</w:t>
      </w:r>
      <w:r>
        <w:t xml:space="preserve"> </w:t>
      </w:r>
      <w:r>
        <w:rPr>
          <w:iCs/>
          <w:i/>
        </w:rPr>
        <w:t xml:space="preserve">śap</w:t>
      </w:r>
      <w:r>
        <w:t xml:space="preserve">; the root accent stands; since the word stands at the beginning of the pāda there is no lowering of the verb by</w:t>
      </w:r>
      <w:r>
        <w:t xml:space="preserve"> </w:t>
      </w:r>
      <w:r>
        <w:t xml:space="preserve">“</w:t>
      </w:r>
      <w:r>
        <w:t xml:space="preserve">tiṅṅ atiṅaḥ</w:t>
      </w:r>
      <w:r>
        <w:t xml:space="preserve">”</w:t>
      </w:r>
      <w:r>
        <w:t xml:space="preserve"> </w:t>
      </w:r>
      <w:r>
        <w:t xml:space="preserve">(Pā. 8-1-28).</w:t>
      </w:r>
      <w:r>
        <w:t xml:space="preserve"> </w:t>
      </w:r>
      <w:r>
        <w:rPr>
          <w:bCs/>
          <w:b/>
        </w:rPr>
        <w:t xml:space="preserve">अर्कम् (</w:t>
      </w:r>
      <w:r>
        <w:rPr>
          <w:iCs/>
          <w:i/>
          <w:bCs/>
          <w:b/>
        </w:rPr>
        <w:t xml:space="preserve">arkam</w:t>
      </w:r>
      <w:r>
        <w:rPr>
          <w:bCs/>
          <w:b/>
        </w:rPr>
        <w:t xml:space="preserve">)</w:t>
      </w:r>
      <w:r>
        <w:t xml:space="preserve"> </w:t>
      </w:r>
      <w:r>
        <w:t xml:space="preserve">—</w:t>
      </w:r>
      <w:r>
        <w:t xml:space="preserve"> </w:t>
      </w:r>
      <w:r>
        <w:t xml:space="preserve">“</w:t>
      </w:r>
      <w:r>
        <w:t xml:space="preserve">arcanty ebhiḥ iti arkāḥ, mantrāḥ</w:t>
      </w:r>
      <w:r>
        <w:t xml:space="preserve">”</w:t>
      </w:r>
      <w:r>
        <w:t xml:space="preserve"> </w:t>
      </w:r>
      <w:r>
        <w:t xml:space="preserve">(</w:t>
      </w:r>
      <w:r>
        <w:t xml:space="preserve">“</w:t>
      </w:r>
      <w:r>
        <w:t xml:space="preserve">the mantras with which they worship</w:t>
      </w:r>
      <w:r>
        <w:t xml:space="preserve">”</w:t>
      </w:r>
      <w:r>
        <w:t xml:space="preserve">); Indra, worshipped with them, is by implication also called</w:t>
      </w:r>
      <w:r>
        <w:t xml:space="preserve"> </w:t>
      </w:r>
      <w:r>
        <w:rPr>
          <w:iCs/>
          <w:i/>
        </w:rPr>
        <w:t xml:space="preserve">arka</w:t>
      </w:r>
      <w:r>
        <w:t xml:space="preserve">; from</w:t>
      </w:r>
      <w:r>
        <w:t xml:space="preserve"> </w:t>
      </w:r>
      <w:r>
        <w:rPr>
          <w:iCs/>
          <w:i/>
        </w:rPr>
        <w:t xml:space="preserve">arc</w:t>
      </w:r>
      <w:r>
        <w:t xml:space="preserve"> </w:t>
      </w:r>
      <w:r>
        <w:t xml:space="preserve">with</w:t>
      </w:r>
      <w:r>
        <w:t xml:space="preserve"> </w:t>
      </w:r>
      <w:r>
        <w:rPr>
          <w:iCs/>
          <w:i/>
        </w:rPr>
        <w:t xml:space="preserve">gha</w:t>
      </w:r>
      <w:r>
        <w:t xml:space="preserve"> </w:t>
      </w:r>
      <w:r>
        <w:t xml:space="preserve">by</w:t>
      </w:r>
      <w:r>
        <w:t xml:space="preserve"> </w:t>
      </w:r>
      <w:r>
        <w:t xml:space="preserve">“</w:t>
      </w:r>
      <w:r>
        <w:t xml:space="preserve">puṃsi saṃjñāyāṃ ghaḥ prāyeṇa</w:t>
      </w:r>
      <w:r>
        <w:t xml:space="preserve">”</w:t>
      </w:r>
      <w:r>
        <w:t xml:space="preserve"> </w:t>
      </w:r>
      <w:r>
        <w:t xml:space="preserve">(Pā. 3-3-118), in the sense of instrument or location, in a masculine name;</w:t>
      </w:r>
      <w:r>
        <w:t xml:space="preserve"> </w:t>
      </w:r>
      <w:r>
        <w:rPr>
          <w:iCs/>
          <w:i/>
        </w:rPr>
        <w:t xml:space="preserve">gha</w:t>
      </w:r>
      <w:r>
        <w:t xml:space="preserve"> </w:t>
      </w:r>
      <w:r>
        <w:t xml:space="preserve">is</w:t>
      </w:r>
      <w:r>
        <w:t xml:space="preserve"> </w:t>
      </w:r>
      <w:r>
        <w:rPr>
          <w:iCs/>
          <w:i/>
        </w:rPr>
        <w:t xml:space="preserve">ghit</w:t>
      </w:r>
      <w:r>
        <w:t xml:space="preserve"> </w:t>
      </w:r>
      <w:r>
        <w:t xml:space="preserve">(its</w:t>
      </w:r>
      <w:r>
        <w:t xml:space="preserve"> </w:t>
      </w:r>
      <w:r>
        <w:rPr>
          <w:iCs/>
          <w:i/>
        </w:rPr>
        <w:t xml:space="preserve">gh</w:t>
      </w:r>
      <w:r>
        <w:t xml:space="preserve"> </w:t>
      </w:r>
      <w:r>
        <w:t xml:space="preserve">is</w:t>
      </w:r>
      <w:r>
        <w:t xml:space="preserve"> </w:t>
      </w:r>
      <w:r>
        <w:rPr>
          <w:iCs/>
          <w:i/>
        </w:rPr>
        <w:t xml:space="preserve">it</w:t>
      </w:r>
      <w:r>
        <w:t xml:space="preserve">), so by</w:t>
      </w:r>
      <w:r>
        <w:t xml:space="preserve"> </w:t>
      </w:r>
      <w:r>
        <w:t xml:space="preserve">“</w:t>
      </w:r>
      <w:r>
        <w:t xml:space="preserve">cajoḥ ku ghiṇṇyatoḥ</w:t>
      </w:r>
      <w:r>
        <w:t xml:space="preserve">”</w:t>
      </w:r>
      <w:r>
        <w:t xml:space="preserve"> </w:t>
      </w:r>
      <w:r>
        <w:t xml:space="preserve">(Pā. 7-3-52) the</w:t>
      </w:r>
      <w:r>
        <w:t xml:space="preserve"> </w:t>
      </w:r>
      <w:r>
        <w:rPr>
          <w:iCs/>
          <w:i/>
        </w:rPr>
        <w:t xml:space="preserve">c</w:t>
      </w:r>
      <w:r>
        <w:t xml:space="preserve"> </w:t>
      </w:r>
      <w:r>
        <w:t xml:space="preserve">takes the</w:t>
      </w:r>
      <w:r>
        <w:t xml:space="preserve"> </w:t>
      </w:r>
      <w:r>
        <w:rPr>
          <w:iCs/>
          <w:i/>
        </w:rPr>
        <w:t xml:space="preserve">k</w:t>
      </w:r>
      <w:r>
        <w:t xml:space="preserve">-class before a</w:t>
      </w:r>
      <w:r>
        <w:t xml:space="preserve"> </w:t>
      </w:r>
      <w:r>
        <w:rPr>
          <w:iCs/>
          <w:i/>
        </w:rPr>
        <w:t xml:space="preserve">ghit</w:t>
      </w:r>
      <w:r>
        <w:t xml:space="preserve"> </w:t>
      </w:r>
      <w:r>
        <w:t xml:space="preserve">or</w:t>
      </w:r>
      <w:r>
        <w:t xml:space="preserve"> </w:t>
      </w:r>
      <w:r>
        <w:rPr>
          <w:iCs/>
          <w:i/>
        </w:rPr>
        <w:t xml:space="preserve">ṇyat</w:t>
      </w:r>
      <w:r>
        <w:t xml:space="preserve"> </w:t>
      </w:r>
      <w:r>
        <w:t xml:space="preserve">suffix, giving</w:t>
      </w:r>
      <w:r>
        <w:t xml:space="preserve"> </w:t>
      </w:r>
      <w:r>
        <w:rPr>
          <w:iCs/>
          <w:i/>
        </w:rPr>
        <w:t xml:space="preserve">arka</w:t>
      </w:r>
      <w:r>
        <w:t xml:space="preserve">; final-udātta by the suffix accent.</w:t>
      </w:r>
      <w:r>
        <w:t xml:space="preserve"> </w:t>
      </w:r>
      <w:r>
        <w:rPr>
          <w:bCs/>
          <w:b/>
        </w:rPr>
        <w:t xml:space="preserve">अर्किणः (</w:t>
      </w:r>
      <w:r>
        <w:rPr>
          <w:iCs/>
          <w:i/>
          <w:bCs/>
          <w:b/>
        </w:rPr>
        <w:t xml:space="preserve">arkiṇaḥ</w:t>
      </w:r>
      <w:r>
        <w:rPr>
          <w:bCs/>
          <w:b/>
        </w:rPr>
        <w:t xml:space="preserve">)</w:t>
      </w:r>
      <w:r>
        <w:t xml:space="preserve"> </w:t>
      </w:r>
      <w:r>
        <w:t xml:space="preserve">—</w:t>
      </w:r>
      <w:r>
        <w:t xml:space="preserve"> </w:t>
      </w:r>
      <w:r>
        <w:t xml:space="preserve">“</w:t>
      </w:r>
      <w:r>
        <w:t xml:space="preserve">arkāḥ mantrāḥ eṣāṃ santi</w:t>
      </w:r>
      <w:r>
        <w:t xml:space="preserve">”</w:t>
      </w:r>
      <w:r>
        <w:t xml:space="preserve"> </w:t>
      </w:r>
      <w:r>
        <w:t xml:space="preserve">—</w:t>
      </w:r>
      <w:r>
        <w:t xml:space="preserve"> </w:t>
      </w:r>
      <w:r>
        <w:t xml:space="preserve">“</w:t>
      </w:r>
      <w:r>
        <w:t xml:space="preserve">the hotṛs</w:t>
      </w:r>
      <w:r>
        <w:t xml:space="preserve">”</w:t>
      </w:r>
      <w:r>
        <w:t xml:space="preserve">: the</w:t>
      </w:r>
      <w:r>
        <w:t xml:space="preserve"> </w:t>
      </w:r>
      <w:r>
        <w:rPr>
          <w:iCs/>
          <w:i/>
        </w:rPr>
        <w:t xml:space="preserve">ini</w:t>
      </w:r>
      <w:r>
        <w:t xml:space="preserve"> </w:t>
      </w:r>
      <w:r>
        <w:t xml:space="preserve">suffix by</w:t>
      </w:r>
      <w:r>
        <w:t xml:space="preserve"> </w:t>
      </w:r>
      <w:r>
        <w:t xml:space="preserve">“</w:t>
      </w:r>
      <w:r>
        <w:t xml:space="preserve">ata ini-ṭhanau</w:t>
      </w:r>
      <w:r>
        <w:t xml:space="preserve">”</w:t>
      </w:r>
      <w:r>
        <w:t xml:space="preserve"> </w:t>
      </w:r>
      <w:r>
        <w:t xml:space="preserve">(Pā. 5-2-115); although</w:t>
      </w:r>
      <w:r>
        <w:t xml:space="preserve"> </w:t>
      </w:r>
      <w:r>
        <w:rPr>
          <w:iCs/>
          <w:i/>
        </w:rPr>
        <w:t xml:space="preserve">arka</w:t>
      </w:r>
      <w:r>
        <w:t xml:space="preserve"> </w:t>
      </w:r>
      <w:r>
        <w:t xml:space="preserve">is a</w:t>
      </w:r>
      <w:r>
        <w:t xml:space="preserve"> </w:t>
      </w:r>
      <w:r>
        <w:rPr>
          <w:iCs/>
          <w:i/>
        </w:rPr>
        <w:t xml:space="preserve">kṛdanta</w:t>
      </w:r>
      <w:r>
        <w:t xml:space="preserve">, and the Mahābhāṣya’s</w:t>
      </w:r>
      <w:r>
        <w:t xml:space="preserve"> </w:t>
      </w:r>
      <w:r>
        <w:t xml:space="preserve">“</w:t>
      </w:r>
      <w:r>
        <w:t xml:space="preserve">ekākṣarāt kṛto jāteḥ saptamyāṃ ca na tau smṛtau</w:t>
      </w:r>
      <w:r>
        <w:t xml:space="preserve">”</w:t>
      </w:r>
      <w:r>
        <w:t xml:space="preserve"> </w:t>
      </w:r>
      <w:r>
        <w:t xml:space="preserve">(pā. ma. 5-2-115-1) says that</w:t>
      </w:r>
      <w:r>
        <w:t xml:space="preserve"> </w:t>
      </w:r>
      <w:r>
        <w:rPr>
          <w:iCs/>
          <w:i/>
        </w:rPr>
        <w:t xml:space="preserve">ini</w:t>
      </w:r>
      <w:r>
        <w:t xml:space="preserve"> </w:t>
      </w:r>
      <w:r>
        <w:t xml:space="preserve">and</w:t>
      </w:r>
      <w:r>
        <w:t xml:space="preserve"> </w:t>
      </w:r>
      <w:r>
        <w:rPr>
          <w:iCs/>
          <w:i/>
        </w:rPr>
        <w:t xml:space="preserve">ṭhan</w:t>
      </w:r>
      <w:r>
        <w:t xml:space="preserve"> </w:t>
      </w:r>
      <w:r>
        <w:t xml:space="preserve">do not come after a one-syllable word, a</w:t>
      </w:r>
      <w:r>
        <w:t xml:space="preserve"> </w:t>
      </w:r>
      <w:r>
        <w:rPr>
          <w:iCs/>
          <w:i/>
        </w:rPr>
        <w:t xml:space="preserve">kṛdanta</w:t>
      </w:r>
      <w:r>
        <w:t xml:space="preserve">, a word for a class, or in the locative sense,</w:t>
      </w:r>
      <w:r>
        <w:t xml:space="preserve"> </w:t>
      </w:r>
      <w:r>
        <w:rPr>
          <w:iCs/>
          <w:i/>
        </w:rPr>
        <w:t xml:space="preserve">ini</w:t>
      </w:r>
      <w:r>
        <w:t xml:space="preserve"> </w:t>
      </w:r>
      <w:r>
        <w:t xml:space="preserve">arises here by Vedic inversion (continued on p. 387); the</w:t>
      </w:r>
      <w:r>
        <w:t xml:space="preserve"> </w:t>
      </w:r>
      <w:r>
        <w:rPr>
          <w:iCs/>
          <w:i/>
        </w:rPr>
        <w:t xml:space="preserve">i</w:t>
      </w:r>
      <w:r>
        <w:t xml:space="preserve"> </w:t>
      </w:r>
      <w:r>
        <w:t xml:space="preserve">is udātta by the suffix.</w:t>
      </w:r>
    </w:p>
    <w:bookmarkEnd w:id="412"/>
    <w:bookmarkStart w:id="413" w:name="page-387-rik-1-grammar-closes-rik-2"/>
    <w:p>
      <w:pPr>
        <w:pStyle w:val="Heading3"/>
      </w:pPr>
      <w:r>
        <w:t xml:space="preserve">Page 387 — Rik 1 grammar closes; Rik 2</w:t>
      </w:r>
    </w:p>
    <w:p>
      <w:pPr>
        <w:pStyle w:val="FirstParagraph"/>
      </w:pPr>
      <w:r>
        <w:rPr>
          <w:bCs/>
          <w:b/>
        </w:rPr>
        <w:t xml:space="preserve">ब्रह्माणः (</w:t>
      </w:r>
      <w:r>
        <w:rPr>
          <w:iCs/>
          <w:i/>
          <w:bCs/>
          <w:b/>
        </w:rPr>
        <w:t xml:space="preserve">brahmāṇaḥ</w:t>
      </w:r>
      <w:r>
        <w:rPr>
          <w:bCs/>
          <w:b/>
        </w:rPr>
        <w:t xml:space="preserve">)</w:t>
      </w:r>
      <w:r>
        <w:t xml:space="preserve"> </w:t>
      </w:r>
      <w:r>
        <w:t xml:space="preserve">— final-udātta by the stem accent.</w:t>
      </w:r>
      <w:r>
        <w:t xml:space="preserve"> </w:t>
      </w:r>
      <w:r>
        <w:rPr>
          <w:bCs/>
          <w:b/>
        </w:rPr>
        <w:t xml:space="preserve">शतक्रतो (</w:t>
      </w:r>
      <w:r>
        <w:rPr>
          <w:iCs/>
          <w:i/>
          <w:bCs/>
          <w:b/>
        </w:rPr>
        <w:t xml:space="preserve">śatakrato</w:t>
      </w:r>
      <w:r>
        <w:rPr>
          <w:bCs/>
          <w:b/>
        </w:rPr>
        <w:t xml:space="preserve">)</w:t>
      </w:r>
      <w:r>
        <w:t xml:space="preserve"> </w:t>
      </w:r>
      <w:r>
        <w:t xml:space="preserve">— unaccented as a vocative by</w:t>
      </w:r>
      <w:r>
        <w:t xml:space="preserve"> </w:t>
      </w:r>
      <w:r>
        <w:t xml:space="preserve">“</w:t>
      </w:r>
      <w:r>
        <w:t xml:space="preserve">āmantritasya ca</w:t>
      </w:r>
      <w:r>
        <w:t xml:space="preserve">”</w:t>
      </w:r>
      <w:r>
        <w:t xml:space="preserve"> </w:t>
      </w:r>
      <w:r>
        <w:t xml:space="preserve">(8-1-19); in the Saṃhitā, with</w:t>
      </w:r>
      <w:r>
        <w:t xml:space="preserve"> </w:t>
      </w:r>
      <w:r>
        <w:rPr>
          <w:iCs/>
          <w:i/>
        </w:rPr>
        <w:t xml:space="preserve">u</w:t>
      </w:r>
      <w:r>
        <w:t xml:space="preserve"> </w:t>
      </w:r>
      <w:r>
        <w:t xml:space="preserve">before a vowel, the</w:t>
      </w:r>
      <w:r>
        <w:t xml:space="preserve"> </w:t>
      </w:r>
      <w:r>
        <w:rPr>
          <w:iCs/>
          <w:i/>
        </w:rPr>
        <w:t xml:space="preserve">o</w:t>
      </w:r>
      <w:r>
        <w:t xml:space="preserve"> </w:t>
      </w:r>
      <w:r>
        <w:t xml:space="preserve">→</w:t>
      </w:r>
      <w:r>
        <w:t xml:space="preserve"> </w:t>
      </w:r>
      <w:r>
        <w:rPr>
          <w:iCs/>
          <w:i/>
        </w:rPr>
        <w:t xml:space="preserve">av</w:t>
      </w:r>
      <w:r>
        <w:t xml:space="preserve"> </w:t>
      </w:r>
      <w:r>
        <w:t xml:space="preserve">by</w:t>
      </w:r>
      <w:r>
        <w:t xml:space="preserve"> </w:t>
      </w:r>
      <w:r>
        <w:t xml:space="preserve">“</w:t>
      </w:r>
      <w:r>
        <w:t xml:space="preserve">eco ’yavāyāvaḥ</w:t>
      </w:r>
      <w:r>
        <w:t xml:space="preserve">”</w:t>
      </w:r>
      <w:r>
        <w:t xml:space="preserve"> </w:t>
      </w:r>
      <w:r>
        <w:t xml:space="preserve">(Pā. 6-1-78), then the</w:t>
      </w:r>
      <w:r>
        <w:t xml:space="preserve"> </w:t>
      </w:r>
      <w:r>
        <w:rPr>
          <w:iCs/>
          <w:i/>
        </w:rPr>
        <w:t xml:space="preserve">v</w:t>
      </w:r>
      <w:r>
        <w:t xml:space="preserve"> </w:t>
      </w:r>
      <w:r>
        <w:t xml:space="preserve">is lost by</w:t>
      </w:r>
      <w:r>
        <w:t xml:space="preserve"> </w:t>
      </w:r>
      <w:r>
        <w:t xml:space="preserve">“</w:t>
      </w:r>
      <w:r>
        <w:t xml:space="preserve">lopaḥ śākalyasya</w:t>
      </w:r>
      <w:r>
        <w:t xml:space="preserve">”</w:t>
      </w:r>
      <w:r>
        <w:t xml:space="preserve"> </w:t>
      </w:r>
      <w:r>
        <w:t xml:space="preserve">(Pā. 8-3-19); and since this loss is treated as not having taken place (</w:t>
      </w:r>
      <w:r>
        <w:rPr>
          <w:iCs/>
          <w:i/>
        </w:rPr>
        <w:t xml:space="preserve">pūrvatrāsiddham</w:t>
      </w:r>
      <w:r>
        <w:t xml:space="preserve">, Pā. 8-2-1), the</w:t>
      </w:r>
      <w:r>
        <w:t xml:space="preserve"> </w:t>
      </w:r>
      <w:r>
        <w:rPr>
          <w:iCs/>
          <w:i/>
        </w:rPr>
        <w:t xml:space="preserve">guṇa</w:t>
      </w:r>
      <w:r>
        <w:t xml:space="preserve"> </w:t>
      </w:r>
      <w:r>
        <w:t xml:space="preserve">of</w:t>
      </w:r>
      <w:r>
        <w:t xml:space="preserve"> </w:t>
      </w:r>
      <w:r>
        <w:t xml:space="preserve">“</w:t>
      </w:r>
      <w:r>
        <w:t xml:space="preserve">ād guṇaḥ</w:t>
      </w:r>
      <w:r>
        <w:t xml:space="preserve">”</w:t>
      </w:r>
      <w:r>
        <w:t xml:space="preserve"> </w:t>
      </w:r>
      <w:r>
        <w:t xml:space="preserve">(Pā. 6-1-87) does not occur.</w:t>
      </w:r>
      <w:r>
        <w:t xml:space="preserve"> </w:t>
      </w:r>
      <w:r>
        <w:rPr>
          <w:bCs/>
          <w:b/>
        </w:rPr>
        <w:t xml:space="preserve">वंशमिव (</w:t>
      </w:r>
      <w:r>
        <w:rPr>
          <w:iCs/>
          <w:i/>
          <w:bCs/>
          <w:b/>
        </w:rPr>
        <w:t xml:space="preserve">vaṃśam iva</w:t>
      </w:r>
      <w:r>
        <w:rPr>
          <w:bCs/>
          <w:b/>
        </w:rPr>
        <w:t xml:space="preserve">)</w:t>
      </w:r>
      <w:r>
        <w:t xml:space="preserve"> </w:t>
      </w:r>
      <w:r>
        <w:t xml:space="preserve">—</w:t>
      </w:r>
      <w:r>
        <w:t xml:space="preserve"> </w:t>
      </w:r>
      <w:r>
        <w:rPr>
          <w:iCs/>
          <w:i/>
        </w:rPr>
        <w:t xml:space="preserve">vaṃśa</w:t>
      </w:r>
      <w:r>
        <w:t xml:space="preserve"> </w:t>
      </w:r>
      <w:r>
        <w:t xml:space="preserve">is final-udātta by the stem accent; with</w:t>
      </w:r>
      <w:r>
        <w:t xml:space="preserve"> </w:t>
      </w:r>
      <w:r>
        <w:rPr>
          <w:iCs/>
          <w:i/>
        </w:rPr>
        <w:t xml:space="preserve">iva</w:t>
      </w:r>
      <w:r>
        <w:t xml:space="preserve"> </w:t>
      </w:r>
      <w:r>
        <w:t xml:space="preserve">it becomes a compound and the case-ending is dropped, the first member’s accent staying (</w:t>
      </w:r>
      <w:r>
        <w:t xml:space="preserve">“</w:t>
      </w:r>
      <w:r>
        <w:t xml:space="preserve">ivena vibhaktyalopaḥ pūrvapada-prakṛti-svaratvaṃ ca,</w:t>
      </w:r>
      <w:r>
        <w:t xml:space="preserve">”</w:t>
      </w:r>
      <w:r>
        <w:t xml:space="preserve"> </w:t>
      </w:r>
      <w:r>
        <w:t xml:space="preserve">Pā. 2-1-4).</w:t>
      </w:r>
      <w:r>
        <w:t xml:space="preserve"> </w:t>
      </w:r>
      <w:r>
        <w:rPr>
          <w:bCs/>
          <w:b/>
        </w:rPr>
        <w:t xml:space="preserve">येमिरे (</w:t>
      </w:r>
      <w:r>
        <w:rPr>
          <w:iCs/>
          <w:i/>
          <w:bCs/>
          <w:b/>
        </w:rPr>
        <w:t xml:space="preserve">yemire</w:t>
      </w:r>
      <w:r>
        <w:rPr>
          <w:bCs/>
          <w:b/>
        </w:rPr>
        <w:t xml:space="preserve">)</w:t>
      </w:r>
      <w:r>
        <w:t xml:space="preserve"> </w:t>
      </w:r>
      <w:r>
        <w:t xml:space="preserve">— root</w:t>
      </w:r>
      <w:r>
        <w:t xml:space="preserve"> </w:t>
      </w:r>
      <w:r>
        <w:rPr>
          <w:iCs/>
          <w:i/>
        </w:rPr>
        <w:t xml:space="preserve">yamu uparame</w:t>
      </w:r>
      <w:r>
        <w:t xml:space="preserve"> </w:t>
      </w:r>
      <w:r>
        <w:t xml:space="preserve">(</w:t>
      </w:r>
      <w:r>
        <w:t xml:space="preserve">“</w:t>
      </w:r>
      <w:r>
        <w:t xml:space="preserve">to restrain; to hold up</w:t>
      </w:r>
      <w:r>
        <w:t xml:space="preserve">”</w:t>
      </w:r>
      <w:r>
        <w:t xml:space="preserve">) with</w:t>
      </w:r>
      <w:r>
        <w:t xml:space="preserve"> </w:t>
      </w:r>
      <w:r>
        <w:rPr>
          <w:iCs/>
          <w:i/>
        </w:rPr>
        <w:t xml:space="preserve">liṭ</w:t>
      </w:r>
      <w:r>
        <w:t xml:space="preserve"> </w:t>
      </w:r>
      <w:r>
        <w:t xml:space="preserve">ātmanepada third plural</w:t>
      </w:r>
      <w:r>
        <w:t xml:space="preserve"> </w:t>
      </w:r>
      <w:r>
        <w:rPr>
          <w:iCs/>
          <w:i/>
        </w:rPr>
        <w:t xml:space="preserve">jha</w:t>
      </w:r>
      <w:r>
        <w:t xml:space="preserve">;</w:t>
      </w:r>
      <w:r>
        <w:t xml:space="preserve"> </w:t>
      </w:r>
      <w:r>
        <w:rPr>
          <w:iCs/>
          <w:i/>
        </w:rPr>
        <w:t xml:space="preserve">jha</w:t>
      </w:r>
      <w:r>
        <w:t xml:space="preserve"> </w:t>
      </w:r>
      <w:r>
        <w:t xml:space="preserve">→</w:t>
      </w:r>
      <w:r>
        <w:t xml:space="preserve"> </w:t>
      </w:r>
      <w:r>
        <w:rPr>
          <w:iCs/>
          <w:i/>
        </w:rPr>
        <w:t xml:space="preserve">irec</w:t>
      </w:r>
      <w:r>
        <w:t xml:space="preserve"> </w:t>
      </w:r>
      <w:r>
        <w:t xml:space="preserve">by</w:t>
      </w:r>
      <w:r>
        <w:t xml:space="preserve"> </w:t>
      </w:r>
      <w:r>
        <w:t xml:space="preserve">“</w:t>
      </w:r>
      <w:r>
        <w:t xml:space="preserve">liṭas tajhayor eśirec</w:t>
      </w:r>
      <w:r>
        <w:t xml:space="preserve">”</w:t>
      </w:r>
      <w:r>
        <w:t xml:space="preserve"> </w:t>
      </w:r>
      <w:r>
        <w:t xml:space="preserve">(3-4-81, printed</w:t>
      </w:r>
      <w:r>
        <w:t xml:space="preserve"> </w:t>
      </w:r>
      <w:r>
        <w:t xml:space="preserve">“</w:t>
      </w:r>
      <w:r>
        <w:t xml:space="preserve">pā. sada.</w:t>
      </w:r>
      <w:r>
        <w:t xml:space="preserve">”</w:t>
      </w:r>
      <w:r>
        <w:t xml:space="preserve"> </w:t>
      </w:r>
      <w:r>
        <w:t xml:space="preserve">[sic]); doubling by</w:t>
      </w:r>
      <w:r>
        <w:t xml:space="preserve"> </w:t>
      </w:r>
      <w:r>
        <w:t xml:space="preserve">“</w:t>
      </w:r>
      <w:r>
        <w:t xml:space="preserve">liṭi dhātor anabhyāsasya</w:t>
      </w:r>
      <w:r>
        <w:t xml:space="preserve">”</w:t>
      </w:r>
      <w:r>
        <w:t xml:space="preserve"> </w:t>
      </w:r>
      <w:r>
        <w:t xml:space="preserve">(Pā. 6-1-8); by</w:t>
      </w:r>
      <w:r>
        <w:t xml:space="preserve"> </w:t>
      </w:r>
      <w:r>
        <w:t xml:space="preserve">“</w:t>
      </w:r>
      <w:r>
        <w:t xml:space="preserve">ata ekahalmadhye ’nādeśāder liṭi</w:t>
      </w:r>
      <w:r>
        <w:t xml:space="preserve">”</w:t>
      </w:r>
      <w:r>
        <w:t xml:space="preserve"> </w:t>
      </w:r>
      <w:r>
        <w:t xml:space="preserve">(Pā.</w:t>
      </w:r>
      <w:r>
        <w:t xml:space="preserve"> </w:t>
      </w:r>
      <w:r>
        <w:t xml:space="preserve">“</w:t>
      </w:r>
      <w:r>
        <w:t xml:space="preserve">6-4-1-20</w:t>
      </w:r>
      <w:r>
        <w:t xml:space="preserve">”</w:t>
      </w:r>
      <w:r>
        <w:t xml:space="preserve"> </w:t>
      </w:r>
      <w:r>
        <w:t xml:space="preserve">as printed, i.e. 6-4-120), before a</w:t>
      </w:r>
      <w:r>
        <w:t xml:space="preserve"> </w:t>
      </w:r>
      <w:r>
        <w:rPr>
          <w:iCs/>
          <w:i/>
        </w:rPr>
        <w:t xml:space="preserve">kit</w:t>
      </w:r>
      <w:r>
        <w:t xml:space="preserve"> </w:t>
      </w:r>
      <w:r>
        <w:rPr>
          <w:iCs/>
          <w:i/>
        </w:rPr>
        <w:t xml:space="preserve">liṭ</w:t>
      </w:r>
      <w:r>
        <w:t xml:space="preserve"> </w:t>
      </w:r>
      <w:r>
        <w:t xml:space="preserve">the short</w:t>
      </w:r>
      <w:r>
        <w:t xml:space="preserve"> </w:t>
      </w:r>
      <w:r>
        <w:rPr>
          <w:iCs/>
          <w:i/>
        </w:rPr>
        <w:t xml:space="preserve">a</w:t>
      </w:r>
      <w:r>
        <w:t xml:space="preserve"> </w:t>
      </w:r>
      <w:r>
        <w:t xml:space="preserve">between single consonants of a root whose initial is not changed in reduplication takes</w:t>
      </w:r>
      <w:r>
        <w:t xml:space="preserve"> </w:t>
      </w:r>
      <w:r>
        <w:rPr>
          <w:iCs/>
          <w:i/>
        </w:rPr>
        <w:t xml:space="preserve">e</w:t>
      </w:r>
      <w:r>
        <w:t xml:space="preserve">, with loss of the reduplicate; so</w:t>
      </w:r>
      <w:r>
        <w:t xml:space="preserve"> </w:t>
      </w:r>
      <w:r>
        <w:rPr>
          <w:iCs/>
          <w:i/>
        </w:rPr>
        <w:t xml:space="preserve">yemire</w:t>
      </w:r>
      <w:r>
        <w:t xml:space="preserve">; although the root</w:t>
      </w:r>
      <w:r>
        <w:t xml:space="preserve"> </w:t>
      </w:r>
      <w:r>
        <w:rPr>
          <w:iCs/>
          <w:i/>
        </w:rPr>
        <w:t xml:space="preserve">yam</w:t>
      </w:r>
      <w:r>
        <w:t xml:space="preserve"> </w:t>
      </w:r>
      <w:r>
        <w:t xml:space="preserve">is parasmaipadī in the bhvādi class, here it is ātmanepada by Vedic inversion; wholly unaccented as a finite verb by</w:t>
      </w:r>
      <w:r>
        <w:t xml:space="preserve"> </w:t>
      </w:r>
      <w:r>
        <w:t xml:space="preserve">“</w:t>
      </w:r>
      <w:r>
        <w:t xml:space="preserve">tiṅṅ atiṅaḥ</w:t>
      </w:r>
      <w:r>
        <w:t xml:space="preserve">”</w:t>
      </w:r>
      <w:r>
        <w:t xml:space="preserve"> </w:t>
      </w:r>
      <w:r>
        <w:t xml:space="preserve">(Pā. 8-1-28).</w:t>
      </w:r>
    </w:p>
    <w:p>
      <w:pPr>
        <w:pStyle w:val="BodyText"/>
      </w:pPr>
      <w:r>
        <w:rPr>
          <w:bCs/>
          <w:b/>
        </w:rPr>
        <w:t xml:space="preserve">॥१॥</w:t>
      </w:r>
    </w:p>
    <w:p>
      <w:r>
        <w:pict>
          <v:rect style="width:0;height:1.5pt" o:hralign="center" o:hrstd="t" o:hr="t"/>
        </w:pict>
      </w:r>
    </w:p>
    <w:bookmarkEnd w:id="413"/>
    <w:bookmarkStart w:id="414" w:name="page-387-sūkta-10-rik-2"/>
    <w:p>
      <w:pPr>
        <w:pStyle w:val="Heading3"/>
      </w:pPr>
      <w:r>
        <w:t xml:space="preserve">Page 387 — Sūkta 10, Rik 2</w:t>
      </w:r>
    </w:p>
    <w:p>
      <w:pPr>
        <w:pStyle w:val="FirstParagraph"/>
      </w:pPr>
      <w:r>
        <w:rPr>
          <w:iCs/>
          <w:i/>
        </w:rPr>
        <w:t xml:space="preserve">(Saṃhitā accents as printed; Pada unaccented. Line 2: the stroke in यूथेन stands between थे and न; read as on न — [accent ?].)</w:t>
      </w:r>
    </w:p>
    <w:p>
      <w:pPr>
        <w:pStyle w:val="BodyText"/>
      </w:pPr>
      <w:r>
        <w:rPr>
          <w:bCs/>
          <w:b/>
        </w:rPr>
        <w:t xml:space="preserve">॥ Saṃhitā-pāṭhaḥ ॥</w:t>
      </w:r>
    </w:p>
    <w:p>
      <w:pPr>
        <w:pStyle w:val="BlockText"/>
      </w:pPr>
      <w:r>
        <w:t xml:space="preserve">यत्सानोः॒ सानु॒मारु॑ह॒द्भूर्यस्प॑ष्ट॒ कर्त्वं॑ ।</w:t>
      </w:r>
      <w:r>
        <w:t xml:space="preserve"> </w:t>
      </w:r>
      <w:r>
        <w:t xml:space="preserve">तदिन्द्रो॒ अर्थं॑ चेतति यू॒थेन॑ वृ॒ष्णिरे॑जति ॥२॥ [accent ?]</w:t>
      </w:r>
    </w:p>
    <w:p>
      <w:pPr>
        <w:pStyle w:val="BlockText"/>
      </w:pPr>
      <w:r>
        <w:rPr>
          <w:iCs/>
          <w:i/>
        </w:rPr>
        <w:t xml:space="preserve">yat sānoḥ sā́num ā́ruhad bhū́ry áspaṣṭa kártvaṃ |</w:t>
      </w:r>
      <w:r>
        <w:t xml:space="preserve"> </w:t>
      </w:r>
      <w:r>
        <w:rPr>
          <w:iCs/>
          <w:i/>
        </w:rPr>
        <w:t xml:space="preserve">tad indro árthaṃ cetati yūthéna vṛṣṇír ejati ||2||</w:t>
      </w:r>
      <w:r>
        <w:t xml:space="preserve"> </w:t>
      </w:r>
      <w:r>
        <w:t xml:space="preserve">[accent ?]</w:t>
      </w:r>
    </w:p>
    <w:p>
      <w:pPr>
        <w:pStyle w:val="FirstParagraph"/>
      </w:pPr>
      <w:r>
        <w:rPr>
          <w:bCs/>
          <w:b/>
        </w:rPr>
        <w:t xml:space="preserve">॥ Pada-pāṭhaḥ ॥</w:t>
      </w:r>
    </w:p>
    <w:p>
      <w:pPr>
        <w:pStyle w:val="BlockText"/>
      </w:pPr>
      <w:r>
        <w:t xml:space="preserve">यत् । सानोः । सानुम् । आ । अरुहत् । भूरि । अस्पष्ट । कर्त्वम् ॥</w:t>
      </w:r>
      <w:r>
        <w:t xml:space="preserve"> </w:t>
      </w:r>
      <w:r>
        <w:t xml:space="preserve">तत् । इन्द्रः । अर्थम् । चेतति । यूथेन । वृष्णिः । एजति ॥२॥</w:t>
      </w:r>
    </w:p>
    <w:p>
      <w:pPr>
        <w:pStyle w:val="BlockText"/>
      </w:pPr>
      <w:r>
        <w:rPr>
          <w:iCs/>
          <w:i/>
        </w:rPr>
        <w:t xml:space="preserve">yat | sānoḥ | sānum | ā | aruhat | bhūri | aspaṣṭa | kartvam ||</w:t>
      </w:r>
      <w:r>
        <w:t xml:space="preserve"> </w:t>
      </w:r>
      <w:r>
        <w:rPr>
          <w:iCs/>
          <w:i/>
        </w:rPr>
        <w:t xml:space="preserve">tat | indraḥ | artham | cetati | yūthena | vṛṣṇiḥ | ejati ||2||</w:t>
      </w:r>
    </w:p>
    <w:bookmarkEnd w:id="414"/>
    <w:bookmarkStart w:id="415" w:name="Xa404a1548eff94f3ddc613e91001b1bae0f53e0"/>
    <w:p>
      <w:pPr>
        <w:pStyle w:val="Heading3"/>
      </w:pPr>
      <w:r>
        <w:t xml:space="preserve">Page 388 — Rik 2: Sāyaṇa-bhāṣya, word-meanings</w:t>
      </w:r>
    </w:p>
    <w:p>
      <w:pPr>
        <w:pStyle w:val="FirstParagraph"/>
      </w:pPr>
      <w:r>
        <w:rPr>
          <w:bCs/>
          <w:b/>
        </w:rPr>
        <w:t xml:space="preserve">॥ Sāyaṇa-bhāṣyam ॥</w:t>
      </w:r>
    </w:p>
    <w:p>
      <w:pPr>
        <w:pStyle w:val="BlockText"/>
      </w:pPr>
      <w:r>
        <w:t xml:space="preserve">यद्यदा सानोः सानुमारुहत् यजमानः सोमवल्लीसमिदाद्याहरणायैकस्मात्पर्वतभागादपरं पर्वतभागमारूढवान् । तथा भूरि प्रभूतं कर्त्वं कर्म सोमयागरूपमस्पष्ट स्पृष्टवान् । उपक्रान्तवानित्यर्थः । तत्तदानीमिन्द्रो ऽर्थं यजमानस्य प्रयोजनं चेतति । जानाति । ज्ञात्वा च वृष्णिः कामानां वर्षिता सन् यूथेन मरुद्गणेन सहैजति । कम्पते । स्वस्थानाद्यज्ञभूमिमागन्तुमुद्युक्त इत्यर्थः ॥ सानोः । षणु दाने । सनोति ददाति निवसतामवकाशमिति सानुः । दृसनिजनिचरिचटिरहिभ्यो ञुण् । उ. १-३ । णित्त्वादुपधाया वृद्धिः । ञित्त्वादाद्युदात्तत्वं च । अरुहत् । रुहेर्लुङि तिपि शपि संज्ञापूर्वको विधिरनित्यः । परि ९३-१ । इति लघूपधगुणो न भवति । लुङ्लङ्लृङ्क्ष्वडुदात्तः । सति शिष्टत्वात्स एव शिष्यते । निपातैर्यद्यदिहन्तेति । पा. ८-१-३० । निषेधान्निघातो न भवति । भूरि । अदिशदिभूशुभिभ्यः क्रिन् । उ. ४-६५ । कित्त्वाद्गुणाभावः । नित्त्वादाद्युदात्तः । अस्पष्ट । स्पश बाधनस्पर्शनयोः । स्वरितञित इत्यात्मनेपदम् । लङः प्रथमपुरुषैकवचनं त । बहुलं छन्दसीति शपो लुक् । व्रश्चादिषत्वष्टुत्वे । पा. ८-२-३६ ; ८-४-४१ । लुङ्लङ्लृङ्क्ष्वडुदात्त इत्यडागम उदात्तः । स एव शिष्यते । अनुषङ्गेण यच्छब्दयोगान्निघाताभावः । कर्त्वम् । डुकृञ् करणे । अन्येभ्यो ऽपि दृश्यन्ते । पा. ३-२-७५ । इति विच् । गुणो रपरत्वम् । विचः सर्वापहारी लोपः । करो भावः कर्त्वम् । अर्थम् । अर्तेरुषिकुषिगार्तिभ्यस्थन् । उ. २-४ । नित्त्वादाद्युदात्तः । यूथेन । तिथपृष्ठगूथयूथप्रोथाः । उ. २-१२ । इति थक्प्रत्ययान्तो निपातितः । वृष्णिः । निरित्यनुवृत्तौ सृवृषिभ्यां कित् । उ. ४-४९ । इति निप्रत्ययान्तः । कित्त्वाद्गुणाभावः । प्रत्ययस्वरेणान्तोदात्तः । एजति । एजृ कम्पने । तिङ्ङतिङ इति निघातः ॥</w:t>
      </w:r>
    </w:p>
    <w:p>
      <w:pPr>
        <w:pStyle w:val="BlockText"/>
      </w:pPr>
      <w:r>
        <w:rPr>
          <w:iCs/>
          <w:i/>
        </w:rPr>
        <w:t xml:space="preserve">yadyadā sānoḥ sānumāruhat yajamānaḥ somavallīsamidādyāharaṇāyaikasmātparvatabhāgādaparaṃ parvatabhāgamārūḍhavān | tathā bhūri prabhūtaṃ kartvaṃ karma somayāgarūpamaspaṣṭa spṛṣṭavān | upakrāntavānityarthaḥ | tattadānīmindro ’rthaṃ yajamānasya prayojanaṃ cetati | jānāti | jñātvā ca vṛṣṇiḥ kāmānāṃ varṣitā san yūthena marudgaṇena sahaijati | kampate | svasthānādyajñabhūmimāgantumudyukta ityarthaḥ || sānoḥ | ṣaṇu dāne | sanoti dadāti nivasatāmavakāśamiti sānuḥ | dṛsanijanicaricaṭirahibhyo ñuṇ | u. 1-3 | ṇittvādupadhāyā vṛddhiḥ | ñittvādādyudāttatvaṃ ca | aruhat | ruherluṅi tipi śapi saṃjñāpūrvako vidhiranityaḥ | pari 93-1 | iti laghūpadhaguṇo na bhavati | luṅlaṅlṛṅkṣvaḍudāttaḥ | sati śiṣṭatvātsa eva śiṣyate | nipātairyadyadihanteti | pā. 8-1-30 | niṣedhānnighāto na bhavati | bhūri | adiśadibhūśubhibhyaḥ krin | u. 4-65 | kittvādguṇābhāvaḥ | nittvādādyudāttaḥ | aspaṣṭa | spaśa bādhanasparśanayoḥ | svaritañita ityātmanepadam | laṅaḥ prathamapuruṣaikavacanaṃ ta | bahulaṃ chandasīti śapo luk | vraścādiṣatvaṣṭutve | pā. 8-2-36 ; 8-4-41 | luṅlaṅlṛṅkṣvaḍudātta ityaḍāgama udāttaḥ | sa eva śiṣyate | anuṣaṅgeṇa yacchabdayogānnighātābhāvaḥ | kartvam | ḍukṛñ karaṇe | anyebhyo ’pi dṛśyante | pā. 3-2-75 | iti vic | guṇo raparatvam | vicaḥ sarvāpahārī lopaḥ | karo bhāvaḥ kartvam | artham | arteruṣikuṣigārtibhyasthan | u. 2-4 | nittvādādyudāttaḥ | yūthena | tithapṛṣṭhagūthayūthaprothāḥ | u. 2-12 | iti thakpratyayānto nipātitaḥ | vṛṣṇiḥ | nirityanuvṛttau sṛvṛṣibhyāṃ kit | u. 4-49 | iti nipratyayāntaḥ | kittvādguṇābhāvaḥ | pratyayasvareṇāntodāttaḥ | ejati | ejṛ kampane | tiṅṅatiṅa iti nighātaḥ ||</w:t>
      </w:r>
    </w:p>
    <w:p>
      <w:pPr>
        <w:pStyle w:val="FirstParagraph"/>
      </w:pPr>
      <w:r>
        <w:rPr>
          <w:bCs/>
          <w:b/>
        </w:rPr>
        <w:t xml:space="preserve">Translation:</w:t>
      </w:r>
      <w:r>
        <w:t xml:space="preserve"> </w:t>
      </w:r>
      <w:r>
        <w:t xml:space="preserve">“</w:t>
      </w:r>
      <w:r>
        <w:rPr>
          <w:iCs/>
          <w:i/>
        </w:rPr>
        <w:t xml:space="preserve">Yad</w:t>
      </w:r>
      <w:r>
        <w:t xml:space="preserve"> </w:t>
      </w:r>
      <w:r>
        <w:t xml:space="preserve">— when — the sacrificer</w:t>
      </w:r>
      <w:r>
        <w:t xml:space="preserve"> </w:t>
      </w:r>
      <w:r>
        <w:rPr>
          <w:iCs/>
          <w:i/>
        </w:rPr>
        <w:t xml:space="preserve">sānoḥ sānum āruhat</w:t>
      </w:r>
      <w:r>
        <w:t xml:space="preserve">: in order to fetch Soma-creepers, fuel-sticks and the like, climbs from one part of the mountain to another part. And</w:t>
      </w:r>
      <w:r>
        <w:t xml:space="preserve"> </w:t>
      </w:r>
      <w:r>
        <w:rPr>
          <w:iCs/>
          <w:i/>
        </w:rPr>
        <w:t xml:space="preserve">bhūri</w:t>
      </w:r>
      <w:r>
        <w:t xml:space="preserve"> </w:t>
      </w:r>
      <w:r>
        <w:t xml:space="preserve">— a great —</w:t>
      </w:r>
      <w:r>
        <w:t xml:space="preserve"> </w:t>
      </w:r>
      <w:r>
        <w:rPr>
          <w:iCs/>
          <w:i/>
        </w:rPr>
        <w:t xml:space="preserve">kartvam</w:t>
      </w:r>
      <w:r>
        <w:t xml:space="preserve">, a work (</w:t>
      </w:r>
      <w:r>
        <w:rPr>
          <w:iCs/>
          <w:i/>
        </w:rPr>
        <w:t xml:space="preserve">karma</w:t>
      </w:r>
      <w:r>
        <w:t xml:space="preserve">) in the form of a Soma-sacrifice,</w:t>
      </w:r>
      <w:r>
        <w:t xml:space="preserve"> </w:t>
      </w:r>
      <w:r>
        <w:rPr>
          <w:iCs/>
          <w:i/>
        </w:rPr>
        <w:t xml:space="preserve">aspaṣṭa</w:t>
      </w:r>
      <w:r>
        <w:t xml:space="preserve"> </w:t>
      </w:r>
      <w:r>
        <w:t xml:space="preserve">— has touched: has begun.</w:t>
      </w:r>
      <w:r>
        <w:t xml:space="preserve"> </w:t>
      </w:r>
      <w:r>
        <w:rPr>
          <w:iCs/>
          <w:i/>
        </w:rPr>
        <w:t xml:space="preserve">Tat</w:t>
      </w:r>
      <w:r>
        <w:t xml:space="preserve"> </w:t>
      </w:r>
      <w:r>
        <w:t xml:space="preserve">— then — Indra</w:t>
      </w:r>
      <w:r>
        <w:t xml:space="preserve"> </w:t>
      </w:r>
      <w:r>
        <w:rPr>
          <w:iCs/>
          <w:i/>
        </w:rPr>
        <w:t xml:space="preserve">artham cetati</w:t>
      </w:r>
      <w:r>
        <w:t xml:space="preserve">: knows the sacrificer’s purpose. Having known it, being</w:t>
      </w:r>
      <w:r>
        <w:t xml:space="preserve"> </w:t>
      </w:r>
      <w:r>
        <w:rPr>
          <w:iCs/>
          <w:i/>
        </w:rPr>
        <w:t xml:space="preserve">vṛṣṇiḥ</w:t>
      </w:r>
      <w:r>
        <w:t xml:space="preserve">, the showerer of desires, he</w:t>
      </w:r>
      <w:r>
        <w:t xml:space="preserve"> </w:t>
      </w:r>
      <w:r>
        <w:rPr>
          <w:iCs/>
          <w:i/>
        </w:rPr>
        <w:t xml:space="preserve">ejati</w:t>
      </w:r>
      <w:r>
        <w:t xml:space="preserve"> </w:t>
      </w:r>
      <w:r>
        <w:t xml:space="preserve">— stirs, is set in motion —</w:t>
      </w:r>
      <w:r>
        <w:t xml:space="preserve"> </w:t>
      </w:r>
      <w:r>
        <w:rPr>
          <w:iCs/>
          <w:i/>
        </w:rPr>
        <w:t xml:space="preserve">yūthena</w:t>
      </w:r>
      <w:r>
        <w:t xml:space="preserve">, together with the troop of Maruts: he is ready to come from his own place to the sacrificial ground.</w:t>
      </w:r>
      <w:r>
        <w:t xml:space="preserve">”</w:t>
      </w:r>
      <w:r>
        <w:t xml:space="preserve"> </w:t>
      </w:r>
      <w:r>
        <w:rPr>
          <w:iCs/>
          <w:i/>
        </w:rPr>
        <w:t xml:space="preserve">(Grammar, noted briefly:</w:t>
      </w:r>
      <w:r>
        <w:t xml:space="preserve"> </w:t>
      </w:r>
      <w:r>
        <w:t xml:space="preserve">sānoḥ</w:t>
      </w:r>
      <w:r>
        <w:t xml:space="preserve"> </w:t>
      </w:r>
      <w:r>
        <w:rPr>
          <w:iCs/>
          <w:i/>
        </w:rPr>
        <w:t xml:space="preserve">— root</w:t>
      </w:r>
      <w:r>
        <w:t xml:space="preserve"> </w:t>
      </w:r>
      <w:r>
        <w:t xml:space="preserve">ṣaṇu dāne</w:t>
      </w:r>
      <w:r>
        <w:rPr>
          <w:iCs/>
          <w:i/>
        </w:rPr>
        <w:t xml:space="preserve">,</w:t>
      </w:r>
      <w:r>
        <w:rPr>
          <w:iCs/>
          <w:i/>
        </w:rPr>
        <w:t xml:space="preserve"> </w:t>
      </w:r>
      <w:r>
        <w:rPr>
          <w:iCs/>
          <w:i/>
        </w:rPr>
        <w:t xml:space="preserve">“</w:t>
      </w:r>
      <w:r>
        <w:rPr>
          <w:iCs/>
          <w:i/>
        </w:rPr>
        <w:t xml:space="preserve">that which gives room to those who dwell</w:t>
      </w:r>
      <w:r>
        <w:rPr>
          <w:iCs/>
          <w:i/>
        </w:rPr>
        <w:t xml:space="preserve">”</w:t>
      </w:r>
      <w:r>
        <w:rPr>
          <w:iCs/>
          <w:i/>
        </w:rPr>
        <w:t xml:space="preserve">, suffix</w:t>
      </w:r>
      <w:r>
        <w:t xml:space="preserve"> </w:t>
      </w:r>
      <w:r>
        <w:t xml:space="preserve">ñuṇ</w:t>
      </w:r>
      <w:r>
        <w:t xml:space="preserve"> </w:t>
      </w:r>
      <w:r>
        <w:rPr>
          <w:iCs/>
          <w:i/>
        </w:rPr>
        <w:t xml:space="preserve">(Uṇ. 1-3), vṛddhi, initial-udātta;</w:t>
      </w:r>
      <w:r>
        <w:t xml:space="preserve"> </w:t>
      </w:r>
      <w:r>
        <w:t xml:space="preserve">aruhat</w:t>
      </w:r>
      <w:r>
        <w:t xml:space="preserve"> </w:t>
      </w:r>
      <w:r>
        <w:rPr>
          <w:iCs/>
          <w:i/>
        </w:rPr>
        <w:t xml:space="preserve">— luṅ of</w:t>
      </w:r>
      <w:r>
        <w:t xml:space="preserve"> </w:t>
      </w:r>
      <w:r>
        <w:t xml:space="preserve">ruh</w:t>
      </w:r>
      <w:r>
        <w:rPr>
          <w:iCs/>
          <w:i/>
        </w:rPr>
        <w:t xml:space="preserve">, no guṇa since the rule is not obligatory (paribhāṣā 93-1); the augment</w:t>
      </w:r>
      <w:r>
        <w:t xml:space="preserve"> </w:t>
      </w:r>
      <w:r>
        <w:t xml:space="preserve">aṭ</w:t>
      </w:r>
      <w:r>
        <w:t xml:space="preserve"> </w:t>
      </w:r>
      <w:r>
        <w:rPr>
          <w:iCs/>
          <w:i/>
        </w:rPr>
        <w:t xml:space="preserve">udātta, not lowered after</w:t>
      </w:r>
      <w:r>
        <w:t xml:space="preserve"> </w:t>
      </w:r>
      <w:r>
        <w:t xml:space="preserve">yat</w:t>
      </w:r>
      <w:r>
        <w:t xml:space="preserve"> </w:t>
      </w:r>
      <w:r>
        <w:rPr>
          <w:iCs/>
          <w:i/>
        </w:rPr>
        <w:t xml:space="preserve">(Pā. 8-1-30);</w:t>
      </w:r>
      <w:r>
        <w:t xml:space="preserve"> </w:t>
      </w:r>
      <w:r>
        <w:t xml:space="preserve">bhūri</w:t>
      </w:r>
      <w:r>
        <w:t xml:space="preserve"> </w:t>
      </w:r>
      <w:r>
        <w:rPr>
          <w:iCs/>
          <w:i/>
        </w:rPr>
        <w:t xml:space="preserve">— suffix</w:t>
      </w:r>
      <w:r>
        <w:t xml:space="preserve"> </w:t>
      </w:r>
      <w:r>
        <w:t xml:space="preserve">krin</w:t>
      </w:r>
      <w:r>
        <w:t xml:space="preserve"> </w:t>
      </w:r>
      <w:r>
        <w:rPr>
          <w:iCs/>
          <w:i/>
        </w:rPr>
        <w:t xml:space="preserve">(Uṇ. 4-65), initial-udātta;</w:t>
      </w:r>
      <w:r>
        <w:t xml:space="preserve"> </w:t>
      </w:r>
      <w:r>
        <w:t xml:space="preserve">aspaṣṭa</w:t>
      </w:r>
      <w:r>
        <w:t xml:space="preserve"> </w:t>
      </w:r>
      <w:r>
        <w:rPr>
          <w:iCs/>
          <w:i/>
        </w:rPr>
        <w:t xml:space="preserve">— root</w:t>
      </w:r>
      <w:r>
        <w:t xml:space="preserve"> </w:t>
      </w:r>
      <w:r>
        <w:t xml:space="preserve">spaśa</w:t>
      </w:r>
      <w:r>
        <w:t xml:space="preserve"> </w:t>
      </w:r>
      <w:r>
        <w:rPr>
          <w:iCs/>
          <w:i/>
        </w:rPr>
        <w:t xml:space="preserve">, ātmanepada, laṅ third singular, śap dropped,</w:t>
      </w:r>
      <w:r>
        <w:t xml:space="preserve"> </w:t>
      </w:r>
      <w:r>
        <w:t xml:space="preserve">ṣ</w:t>
      </w:r>
      <w:r>
        <w:t xml:space="preserve"> </w:t>
      </w:r>
      <w:r>
        <w:rPr>
          <w:iCs/>
          <w:i/>
        </w:rPr>
        <w:t xml:space="preserve">and</w:t>
      </w:r>
      <w:r>
        <w:t xml:space="preserve"> </w:t>
      </w:r>
      <w:r>
        <w:t xml:space="preserve">ṭ</w:t>
      </w:r>
      <w:r>
        <w:t xml:space="preserve"> </w:t>
      </w:r>
      <w:r>
        <w:rPr>
          <w:iCs/>
          <w:i/>
        </w:rPr>
        <w:t xml:space="preserve">by Pā. 8-2-36 and 8-4-41, the augment udātta;</w:t>
      </w:r>
      <w:r>
        <w:t xml:space="preserve"> </w:t>
      </w:r>
      <w:r>
        <w:t xml:space="preserve">kartvam</w:t>
      </w:r>
      <w:r>
        <w:t xml:space="preserve"> </w:t>
      </w:r>
      <w:r>
        <w:rPr>
          <w:iCs/>
          <w:i/>
        </w:rPr>
        <w:t xml:space="preserve">— root</w:t>
      </w:r>
      <w:r>
        <w:t xml:space="preserve"> </w:t>
      </w:r>
      <w:r>
        <w:t xml:space="preserve">ḍukṛñ</w:t>
      </w:r>
      <w:r>
        <w:t xml:space="preserve"> </w:t>
      </w:r>
      <w:r>
        <w:rPr>
          <w:iCs/>
          <w:i/>
        </w:rPr>
        <w:t xml:space="preserve">with</w:t>
      </w:r>
      <w:r>
        <w:t xml:space="preserve"> </w:t>
      </w:r>
      <w:r>
        <w:t xml:space="preserve">vic</w:t>
      </w:r>
      <w:r>
        <w:t xml:space="preserve"> </w:t>
      </w:r>
      <w:r>
        <w:rPr>
          <w:iCs/>
          <w:i/>
        </w:rPr>
        <w:t xml:space="preserve">(Pā. 3-2-75),</w:t>
      </w:r>
      <w:r>
        <w:rPr>
          <w:iCs/>
          <w:i/>
        </w:rPr>
        <w:t xml:space="preserve"> </w:t>
      </w:r>
      <w:r>
        <w:rPr>
          <w:iCs/>
          <w:i/>
        </w:rPr>
        <w:t xml:space="preserve">“</w:t>
      </w:r>
      <w:r>
        <w:rPr>
          <w:iCs/>
          <w:i/>
        </w:rPr>
        <w:t xml:space="preserve">the doing</w:t>
      </w:r>
      <w:r>
        <w:rPr>
          <w:iCs/>
          <w:i/>
        </w:rPr>
        <w:t xml:space="preserve">”</w:t>
      </w:r>
      <w:r>
        <w:rPr>
          <w:iCs/>
          <w:i/>
        </w:rPr>
        <w:t xml:space="preserve">;</w:t>
      </w:r>
      <w:r>
        <w:t xml:space="preserve"> </w:t>
      </w:r>
      <w:r>
        <w:t xml:space="preserve">artham</w:t>
      </w:r>
      <w:r>
        <w:t xml:space="preserve"> </w:t>
      </w:r>
      <w:r>
        <w:rPr>
          <w:iCs/>
          <w:i/>
        </w:rPr>
        <w:t xml:space="preserve">— suffix</w:t>
      </w:r>
      <w:r>
        <w:t xml:space="preserve"> </w:t>
      </w:r>
      <w:r>
        <w:t xml:space="preserve">than</w:t>
      </w:r>
      <w:r>
        <w:t xml:space="preserve"> </w:t>
      </w:r>
      <w:r>
        <w:rPr>
          <w:iCs/>
          <w:i/>
        </w:rPr>
        <w:t xml:space="preserve">(Uṇ. 2-4);</w:t>
      </w:r>
      <w:r>
        <w:t xml:space="preserve"> </w:t>
      </w:r>
      <w:r>
        <w:t xml:space="preserve">yūthena</w:t>
      </w:r>
      <w:r>
        <w:t xml:space="preserve"> </w:t>
      </w:r>
      <w:r>
        <w:rPr>
          <w:iCs/>
          <w:i/>
        </w:rPr>
        <w:t xml:space="preserve">— an irregular</w:t>
      </w:r>
      <w:r>
        <w:t xml:space="preserve"> </w:t>
      </w:r>
      <w:r>
        <w:t xml:space="preserve">thak</w:t>
      </w:r>
      <w:r>
        <w:t xml:space="preserve"> </w:t>
      </w:r>
      <w:r>
        <w:rPr>
          <w:iCs/>
          <w:i/>
        </w:rPr>
        <w:t xml:space="preserve">formation (Uṇ. 2-12);</w:t>
      </w:r>
      <w:r>
        <w:t xml:space="preserve"> </w:t>
      </w:r>
      <w:r>
        <w:t xml:space="preserve">vṛṣṇiḥ</w:t>
      </w:r>
      <w:r>
        <w:t xml:space="preserve"> </w:t>
      </w:r>
      <w:r>
        <w:rPr>
          <w:iCs/>
          <w:i/>
        </w:rPr>
        <w:t xml:space="preserve">— suffix</w:t>
      </w:r>
      <w:r>
        <w:t xml:space="preserve"> </w:t>
      </w:r>
      <w:r>
        <w:t xml:space="preserve">ni</w:t>
      </w:r>
      <w:r>
        <w:rPr>
          <w:iCs/>
          <w:i/>
        </w:rPr>
        <w:t xml:space="preserve">, kit (Uṇ. 4-49), final-udātta;</w:t>
      </w:r>
      <w:r>
        <w:t xml:space="preserve"> </w:t>
      </w:r>
      <w:r>
        <w:t xml:space="preserve">ejati</w:t>
      </w:r>
      <w:r>
        <w:t xml:space="preserve"> </w:t>
      </w:r>
      <w:r>
        <w:rPr>
          <w:iCs/>
          <w:i/>
        </w:rPr>
        <w:t xml:space="preserve">— root</w:t>
      </w:r>
      <w:r>
        <w:t xml:space="preserve"> </w:t>
      </w:r>
      <w:r>
        <w:t xml:space="preserve">ejṛ kampane</w:t>
      </w:r>
      <w:r>
        <w:rPr>
          <w:iCs/>
          <w:i/>
        </w:rPr>
        <w:t xml:space="preserve">, lowered as a finite verb.)</w:t>
      </w:r>
    </w:p>
    <w:p>
      <w:pPr>
        <w:pStyle w:val="BodyText"/>
      </w:pPr>
      <w:r>
        <w:rPr>
          <w:bCs/>
          <w:b/>
        </w:rPr>
        <w:t xml:space="preserve">॥ Prati-padārthaḥ ॥</w:t>
      </w:r>
    </w:p>
    <w:p>
      <w:pPr>
        <w:pStyle w:val="BodyText"/>
      </w:pPr>
      <w:r>
        <w:rPr>
          <w:bCs/>
          <w:b/>
        </w:rPr>
        <w:t xml:space="preserve">यत् (yat)</w:t>
      </w:r>
      <w:r>
        <w:t xml:space="preserve"> </w:t>
      </w:r>
      <w:r>
        <w:t xml:space="preserve">— when |</w:t>
      </w:r>
      <w:r>
        <w:t xml:space="preserve"> </w:t>
      </w:r>
      <w:r>
        <w:rPr>
          <w:iCs/>
          <w:i/>
        </w:rPr>
        <w:t xml:space="preserve">(the sacrificer, to fetch the Soma-creeper and the fuel-sticks)</w:t>
      </w:r>
      <w:r>
        <w:t xml:space="preserve"> </w:t>
      </w:r>
      <w:r>
        <w:rPr>
          <w:bCs/>
          <w:b/>
        </w:rPr>
        <w:t xml:space="preserve">सानोः (sānoḥ)</w:t>
      </w:r>
      <w:r>
        <w:t xml:space="preserve"> </w:t>
      </w:r>
      <w:r>
        <w:t xml:space="preserve">— from one mountain-top |</w:t>
      </w:r>
      <w:r>
        <w:t xml:space="preserve"> </w:t>
      </w:r>
      <w:r>
        <w:rPr>
          <w:bCs/>
          <w:b/>
        </w:rPr>
        <w:t xml:space="preserve">सानुम् (sānum)</w:t>
      </w:r>
      <w:r>
        <w:t xml:space="preserve"> </w:t>
      </w:r>
      <w:r>
        <w:t xml:space="preserve">— to another peak |</w:t>
      </w:r>
      <w:r>
        <w:t xml:space="preserve"> </w:t>
      </w:r>
      <w:r>
        <w:rPr>
          <w:bCs/>
          <w:b/>
        </w:rPr>
        <w:t xml:space="preserve">आ अरुहत् (ā aruhat)</w:t>
      </w:r>
      <w:r>
        <w:t xml:space="preserve"> </w:t>
      </w:r>
      <w:r>
        <w:t xml:space="preserve">— climbs |</w:t>
      </w:r>
      <w:r>
        <w:t xml:space="preserve"> </w:t>
      </w:r>
      <w:r>
        <w:rPr>
          <w:iCs/>
          <w:i/>
        </w:rPr>
        <w:t xml:space="preserve">(and)</w:t>
      </w:r>
      <w:r>
        <w:t xml:space="preserve"> </w:t>
      </w:r>
      <w:r>
        <w:rPr>
          <w:bCs/>
          <w:b/>
        </w:rPr>
        <w:t xml:space="preserve">भूरि (bhūri)</w:t>
      </w:r>
      <w:r>
        <w:t xml:space="preserve"> </w:t>
      </w:r>
      <w:r>
        <w:t xml:space="preserve">— a great |</w:t>
      </w:r>
      <w:r>
        <w:t xml:space="preserve"> </w:t>
      </w:r>
      <w:r>
        <w:rPr>
          <w:bCs/>
          <w:b/>
        </w:rPr>
        <w:t xml:space="preserve">कर्त्वम् (kartvam)</w:t>
      </w:r>
      <w:r>
        <w:t xml:space="preserve"> </w:t>
      </w:r>
      <w:r>
        <w:t xml:space="preserve">—</w:t>
      </w:r>
      <w:r>
        <w:t xml:space="preserve"> </w:t>
      </w:r>
      <w:r>
        <w:rPr>
          <w:iCs/>
          <w:i/>
        </w:rPr>
        <w:t xml:space="preserve">(Soma-sacrificial)</w:t>
      </w:r>
      <w:r>
        <w:t xml:space="preserve"> </w:t>
      </w:r>
      <w:r>
        <w:t xml:space="preserve">work |</w:t>
      </w:r>
      <w:r>
        <w:t xml:space="preserve"> </w:t>
      </w:r>
      <w:r>
        <w:rPr>
          <w:bCs/>
          <w:b/>
        </w:rPr>
        <w:t xml:space="preserve">अस्पष्ट (aspaṣṭa)</w:t>
      </w:r>
      <w:r>
        <w:t xml:space="preserve"> </w:t>
      </w:r>
      <w:r>
        <w:t xml:space="preserve">— has begun |</w:t>
      </w:r>
      <w:r>
        <w:t xml:space="preserve"> </w:t>
      </w:r>
      <w:r>
        <w:rPr>
          <w:bCs/>
          <w:b/>
        </w:rPr>
        <w:t xml:space="preserve">तत् (tat)</w:t>
      </w:r>
      <w:r>
        <w:t xml:space="preserve"> </w:t>
      </w:r>
      <w:r>
        <w:t xml:space="preserve">— then |</w:t>
      </w:r>
      <w:r>
        <w:t xml:space="preserve"> </w:t>
      </w:r>
      <w:r>
        <w:rPr>
          <w:bCs/>
          <w:b/>
        </w:rPr>
        <w:t xml:space="preserve">इन्द्रः (indraḥ)</w:t>
      </w:r>
      <w:r>
        <w:t xml:space="preserve"> </w:t>
      </w:r>
      <w:r>
        <w:t xml:space="preserve">— Indra |</w:t>
      </w:r>
      <w:r>
        <w:t xml:space="preserve"> </w:t>
      </w:r>
      <w:r>
        <w:rPr>
          <w:bCs/>
          <w:b/>
        </w:rPr>
        <w:t xml:space="preserve">अर्थम् (artham)</w:t>
      </w:r>
      <w:r>
        <w:t xml:space="preserve"> </w:t>
      </w:r>
      <w:r>
        <w:t xml:space="preserve">— the sacrificer’s wish |</w:t>
      </w:r>
      <w:r>
        <w:t xml:space="preserve"> </w:t>
      </w:r>
      <w:r>
        <w:rPr>
          <w:bCs/>
          <w:b/>
        </w:rPr>
        <w:t xml:space="preserve">चेतति (cetati)</w:t>
      </w:r>
      <w:r>
        <w:t xml:space="preserve"> </w:t>
      </w:r>
      <w:r>
        <w:t xml:space="preserve">— knows |</w:t>
      </w:r>
      <w:r>
        <w:t xml:space="preserve"> </w:t>
      </w:r>
      <w:r>
        <w:rPr>
          <w:iCs/>
          <w:i/>
        </w:rPr>
        <w:t xml:space="preserve">(after knowing)</w:t>
      </w:r>
      <w:r>
        <w:t xml:space="preserve"> </w:t>
      </w:r>
      <w:r>
        <w:rPr>
          <w:bCs/>
          <w:b/>
        </w:rPr>
        <w:t xml:space="preserve">वृष्णिः (vṛṣṇiḥ)</w:t>
      </w:r>
      <w:r>
        <w:t xml:space="preserve"> </w:t>
      </w:r>
      <w:r>
        <w:t xml:space="preserve">— Indra, the granter of desires, the giver of rain |</w:t>
      </w:r>
      <w:r>
        <w:t xml:space="preserve"> </w:t>
      </w:r>
      <w:r>
        <w:rPr>
          <w:bCs/>
          <w:b/>
        </w:rPr>
        <w:t xml:space="preserve">यूथेन (yūthena)</w:t>
      </w:r>
      <w:r>
        <w:t xml:space="preserve"> </w:t>
      </w:r>
      <w:r>
        <w:t xml:space="preserve">— together with the troop of Maruts |</w:t>
      </w:r>
      <w:r>
        <w:t xml:space="preserve"> </w:t>
      </w:r>
      <w:r>
        <w:rPr>
          <w:bCs/>
          <w:b/>
        </w:rPr>
        <w:t xml:space="preserve">एजति (ejati)</w:t>
      </w:r>
      <w:r>
        <w:t xml:space="preserve"> </w:t>
      </w:r>
      <w:r>
        <w:t xml:space="preserve">— leaves (that is, leaving his own dwelling, sets out to come near the sacrificer).</w:t>
      </w:r>
    </w:p>
    <w:p>
      <w:pPr>
        <w:pStyle w:val="BodyText"/>
      </w:pPr>
      <w:r>
        <w:rPr>
          <w:bCs/>
          <w:b/>
        </w:rPr>
        <w:t xml:space="preserve">॥ Bhāvārthaḥ ॥</w:t>
      </w:r>
    </w:p>
    <w:p>
      <w:pPr>
        <w:pStyle w:val="BodyText"/>
      </w:pPr>
      <w:r>
        <w:t xml:space="preserve">The sacrificer goes to the mountain, and there climbs from one peak to another, to bring the Soma-creeper that has grown on the hills and the fuel-sticks required for the sacrifice; thereby he begins the sacrifice. Indra, knowing this, since he grants the desired ends of the sacrificer, sets out from his own place for the sacrificial ground, together with his friendly troop of Maruts.</w:t>
      </w:r>
    </w:p>
    <w:bookmarkEnd w:id="415"/>
    <w:bookmarkStart w:id="416" w:name="Xc0cc2e569eaeb45364fb861b13e264f7d21ce88"/>
    <w:p>
      <w:pPr>
        <w:pStyle w:val="Heading3"/>
      </w:pPr>
      <w:r>
        <w:t xml:space="preserve">Page 389 — Rik 2: English and Special Topics</w:t>
      </w:r>
    </w:p>
    <w:p>
      <w:pPr>
        <w:pStyle w:val="FirstParagraph"/>
      </w:pPr>
      <w:r>
        <w:rPr>
          <w:bCs/>
          <w:b/>
        </w:rPr>
        <w:t xml:space="preserve">॥ English Translation ॥</w:t>
      </w:r>
      <w:r>
        <w:t xml:space="preserve"> </w:t>
      </w:r>
      <w:r>
        <w:rPr>
          <w:iCs/>
          <w:i/>
        </w:rPr>
        <w:t xml:space="preserve">(as printed in the source)</w:t>
      </w:r>
    </w:p>
    <w:p>
      <w:pPr>
        <w:pStyle w:val="BlockText"/>
      </w:pPr>
      <w:r>
        <w:t xml:space="preserve">When Indra the showerer of blessings knows the object of the worshipper who has wandered from one ridge of the mountain to the other in quest of soma plant and who has just begun the sacrifice, he (Indra) approaches the sacrificial place with the troop of (Maruts).</w:t>
      </w:r>
    </w:p>
    <w:p>
      <w:pPr>
        <w:pStyle w:val="FirstParagraph"/>
      </w:pPr>
      <w:r>
        <w:rPr>
          <w:bCs/>
          <w:b/>
        </w:rPr>
        <w:t xml:space="preserve">॥ Viśeṣa-viṣayagaḷu (Special Topics) ॥</w:t>
      </w:r>
    </w:p>
    <w:p>
      <w:pPr>
        <w:pStyle w:val="BodyText"/>
      </w:pPr>
      <w:r>
        <w:t xml:space="preserve">To give the sense of this rik, many words have to be supplied.</w:t>
      </w:r>
      <w:r>
        <w:t xml:space="preserve"> </w:t>
      </w:r>
      <w:r>
        <w:rPr>
          <w:bCs/>
          <w:b/>
        </w:rPr>
        <w:t xml:space="preserve">“</w:t>
      </w:r>
      <w:r>
        <w:rPr>
          <w:bCs/>
          <w:b/>
        </w:rPr>
        <w:t xml:space="preserve">Sānoḥ sānum āruhat</w:t>
      </w:r>
      <w:r>
        <w:rPr>
          <w:bCs/>
          <w:b/>
        </w:rPr>
        <w:t xml:space="preserve">”</w:t>
      </w:r>
      <w:r>
        <w:t xml:space="preserve"> </w:t>
      </w:r>
      <w:r>
        <w:t xml:space="preserve">—</w:t>
      </w:r>
      <w:r>
        <w:t xml:space="preserve"> </w:t>
      </w:r>
      <w:r>
        <w:t xml:space="preserve">“</w:t>
      </w:r>
      <w:r>
        <w:t xml:space="preserve">climbs from one peak [or table-land] of the mountain to another</w:t>
      </w:r>
      <w:r>
        <w:t xml:space="preserve">”</w:t>
      </w:r>
      <w:r>
        <w:t xml:space="preserve">: that is, the question of</w:t>
      </w:r>
      <w:r>
        <w:t xml:space="preserve"> </w:t>
      </w:r>
      <w:r>
        <w:t xml:space="preserve">“</w:t>
      </w:r>
      <w:r>
        <w:t xml:space="preserve">who climbs?</w:t>
      </w:r>
      <w:r>
        <w:t xml:space="preserve">”</w:t>
      </w:r>
      <w:r>
        <w:t xml:space="preserve"> </w:t>
      </w:r>
      <w:r>
        <w:t xml:space="preserve">and</w:t>
      </w:r>
      <w:r>
        <w:t xml:space="preserve"> </w:t>
      </w:r>
      <w:r>
        <w:t xml:space="preserve">“</w:t>
      </w:r>
      <w:r>
        <w:t xml:space="preserve">why?</w:t>
      </w:r>
      <w:r>
        <w:t xml:space="preserve">”</w:t>
      </w:r>
      <w:r>
        <w:t xml:space="preserve"> </w:t>
      </w:r>
      <w:r>
        <w:t xml:space="preserve">arises. To fit the sense, the Bhāṣyakāra supplies the words</w:t>
      </w:r>
      <w:r>
        <w:t xml:space="preserve"> </w:t>
      </w:r>
      <w:r>
        <w:t xml:space="preserve">“</w:t>
      </w:r>
      <w:r>
        <w:t xml:space="preserve">the sacrificer — for fetching the Soma-creeper, fuel-sticks and the other means of sacrifice.</w:t>
      </w:r>
      <w:r>
        <w:t xml:space="preserve">”</w:t>
      </w:r>
      <w:r>
        <w:t xml:space="preserve"> </w:t>
      </w:r>
      <w:r>
        <w:t xml:space="preserve">And since the word</w:t>
      </w:r>
      <w:r>
        <w:t xml:space="preserve"> </w:t>
      </w:r>
      <w:r>
        <w:rPr>
          <w:iCs/>
          <w:i/>
        </w:rPr>
        <w:t xml:space="preserve">yūtha</w:t>
      </w:r>
      <w:r>
        <w:t xml:space="preserve"> </w:t>
      </w:r>
      <w:r>
        <w:t xml:space="preserve">means a herd, a group, the word</w:t>
      </w:r>
      <w:r>
        <w:t xml:space="preserve"> </w:t>
      </w:r>
      <w:r>
        <w:t xml:space="preserve">“</w:t>
      </w:r>
      <w:r>
        <w:t xml:space="preserve">Maruts</w:t>
      </w:r>
      <w:r>
        <w:t xml:space="preserve">”</w:t>
      </w:r>
      <w:r>
        <w:t xml:space="preserve"> </w:t>
      </w:r>
      <w:r>
        <w:t xml:space="preserve">is supplied:</w:t>
      </w:r>
      <w:r>
        <w:t xml:space="preserve"> </w:t>
      </w:r>
      <w:r>
        <w:t xml:space="preserve">“</w:t>
      </w:r>
      <w:r>
        <w:t xml:space="preserve">the troop (</w:t>
      </w:r>
      <w:r>
        <w:rPr>
          <w:iCs/>
          <w:i/>
        </w:rPr>
        <w:t xml:space="preserve">gaṇa</w:t>
      </w:r>
      <w:r>
        <w:t xml:space="preserve">) of Maruts.</w:t>
      </w:r>
      <w:r>
        <w:t xml:space="preserve">”</w:t>
      </w:r>
      <w:r>
        <w:t xml:space="preserve"> </w:t>
      </w:r>
      <w:r>
        <w:t xml:space="preserve">The word</w:t>
      </w:r>
      <w:r>
        <w:t xml:space="preserve"> </w:t>
      </w:r>
      <w:r>
        <w:rPr>
          <w:iCs/>
          <w:i/>
        </w:rPr>
        <w:t xml:space="preserve">vṛṣṇi</w:t>
      </w:r>
      <w:r>
        <w:t xml:space="preserve"> </w:t>
      </w:r>
      <w:r>
        <w:t xml:space="preserve">means</w:t>
      </w:r>
      <w:r>
        <w:t xml:space="preserve"> </w:t>
      </w:r>
      <w:r>
        <w:rPr>
          <w:iCs/>
          <w:i/>
        </w:rPr>
        <w:t xml:space="preserve">varṣitā</w:t>
      </w:r>
      <w:r>
        <w:t xml:space="preserve">,</w:t>
      </w:r>
      <w:r>
        <w:t xml:space="preserve"> </w:t>
      </w:r>
      <w:r>
        <w:t xml:space="preserve">“</w:t>
      </w:r>
      <w:r>
        <w:t xml:space="preserve">giver of rain</w:t>
      </w:r>
      <w:r>
        <w:t xml:space="preserve">”</w:t>
      </w:r>
      <w:r>
        <w:t xml:space="preserve">: though</w:t>
      </w:r>
      <w:r>
        <w:t xml:space="preserve"> </w:t>
      </w:r>
      <w:r>
        <w:t xml:space="preserve">“</w:t>
      </w:r>
      <w:r>
        <w:t xml:space="preserve">he comes with the Maruts who are helpers for rain</w:t>
      </w:r>
      <w:r>
        <w:t xml:space="preserve">”</w:t>
      </w:r>
      <w:r>
        <w:t xml:space="preserve"> </w:t>
      </w:r>
      <w:r>
        <w:t xml:space="preserve">would fit, the Bhāṣyakāra explains</w:t>
      </w:r>
      <w:r>
        <w:t xml:space="preserve"> </w:t>
      </w:r>
      <w:r>
        <w:rPr>
          <w:iCs/>
          <w:i/>
        </w:rPr>
        <w:t xml:space="preserve">vṛṣṇi</w:t>
      </w:r>
      <w:r>
        <w:t xml:space="preserve"> </w:t>
      </w:r>
      <w:r>
        <w:t xml:space="preserve">as</w:t>
      </w:r>
      <w:r>
        <w:t xml:space="preserve"> </w:t>
      </w:r>
      <w:r>
        <w:rPr>
          <w:iCs/>
          <w:i/>
        </w:rPr>
        <w:t xml:space="preserve">kāmānāṃ varṣitā</w:t>
      </w:r>
      <w:r>
        <w:t xml:space="preserve"> </w:t>
      </w:r>
      <w:r>
        <w:t xml:space="preserve">—</w:t>
      </w:r>
      <w:r>
        <w:t xml:space="preserve"> </w:t>
      </w:r>
      <w:r>
        <w:t xml:space="preserve">“</w:t>
      </w:r>
      <w:r>
        <w:t xml:space="preserve">the one who rains desired ends,</w:t>
      </w:r>
      <w:r>
        <w:t xml:space="preserve">”</w:t>
      </w:r>
      <w:r>
        <w:t xml:space="preserve"> </w:t>
      </w:r>
      <w:r>
        <w:t xml:space="preserve">and so a doubt arises as to whether the help of the Maruts is necessary for giving desired things other than rain. Hence it is doubtful whether</w:t>
      </w:r>
      <w:r>
        <w:t xml:space="preserve"> </w:t>
      </w:r>
      <w:r>
        <w:rPr>
          <w:iCs/>
          <w:i/>
        </w:rPr>
        <w:t xml:space="preserve">yūthena</w:t>
      </w:r>
      <w:r>
        <w:t xml:space="preserve"> </w:t>
      </w:r>
      <w:r>
        <w:t xml:space="preserve">in this rik is the poet’s intended</w:t>
      </w:r>
      <w:r>
        <w:t xml:space="preserve"> </w:t>
      </w:r>
      <w:r>
        <w:t xml:space="preserve">“</w:t>
      </w:r>
      <w:r>
        <w:t xml:space="preserve">with the troop of Maruts.</w:t>
      </w:r>
      <w:r>
        <w:t xml:space="preserve">”</w:t>
      </w:r>
      <w:r>
        <w:t xml:space="preserve"> </w:t>
      </w:r>
      <w:r>
        <w:rPr>
          <w:bCs/>
          <w:b/>
        </w:rPr>
        <w:t xml:space="preserve">Veṅkaṭamādhava</w:t>
      </w:r>
      <w:r>
        <w:t xml:space="preserve"> </w:t>
      </w:r>
      <w:r>
        <w:t xml:space="preserve">gives the sense</w:t>
      </w:r>
      <w:r>
        <w:t xml:space="preserve"> </w:t>
      </w:r>
      <w:r>
        <w:rPr>
          <w:iCs/>
          <w:i/>
        </w:rPr>
        <w:t xml:space="preserve">vasusamūhena</w:t>
      </w:r>
      <w:r>
        <w:t xml:space="preserve"> </w:t>
      </w:r>
      <w:r>
        <w:t xml:space="preserve">—</w:t>
      </w:r>
      <w:r>
        <w:t xml:space="preserve"> </w:t>
      </w:r>
      <w:r>
        <w:t xml:space="preserve">“</w:t>
      </w:r>
      <w:r>
        <w:t xml:space="preserve">with the assembly of the Vasus</w:t>
      </w:r>
      <w:r>
        <w:t xml:space="preserve">”</w:t>
      </w:r>
      <w:r>
        <w:t xml:space="preserve">; so it seems more fitting to say</w:t>
      </w:r>
      <w:r>
        <w:t xml:space="preserve"> </w:t>
      </w:r>
      <w:r>
        <w:t xml:space="preserve">“</w:t>
      </w:r>
      <w:r>
        <w:t xml:space="preserve">with the assembly of the gods.</w:t>
      </w:r>
      <w:r>
        <w:t xml:space="preserve">”</w:t>
      </w:r>
    </w:p>
    <w:p>
      <w:pPr>
        <w:pStyle w:val="BodyText"/>
      </w:pPr>
      <w:r>
        <w:rPr>
          <w:bCs/>
          <w:b/>
        </w:rPr>
        <w:t xml:space="preserve">“</w:t>
      </w:r>
      <w:r>
        <w:rPr>
          <w:bCs/>
          <w:b/>
        </w:rPr>
        <w:t xml:space="preserve">Yat,</w:t>
      </w:r>
      <w:r>
        <w:rPr>
          <w:bCs/>
          <w:b/>
        </w:rPr>
        <w:t xml:space="preserve">”</w:t>
      </w:r>
      <w:r>
        <w:rPr>
          <w:bCs/>
          <w:b/>
        </w:rPr>
        <w:t xml:space="preserve"> </w:t>
      </w:r>
      <w:r>
        <w:rPr>
          <w:bCs/>
          <w:b/>
        </w:rPr>
        <w:t xml:space="preserve">“</w:t>
      </w:r>
      <w:r>
        <w:rPr>
          <w:bCs/>
          <w:b/>
        </w:rPr>
        <w:t xml:space="preserve">tat</w:t>
      </w:r>
      <w:r>
        <w:rPr>
          <w:bCs/>
          <w:b/>
        </w:rPr>
        <w:t xml:space="preserve">”</w:t>
      </w:r>
      <w:r>
        <w:t xml:space="preserve"> </w:t>
      </w:r>
      <w:r>
        <w:t xml:space="preserve">— here these words are not the relative-demonstrative words</w:t>
      </w:r>
      <w:r>
        <w:t xml:space="preserve"> </w:t>
      </w:r>
      <w:r>
        <w:rPr>
          <w:iCs/>
          <w:i/>
        </w:rPr>
        <w:t xml:space="preserve">yad</w:t>
      </w:r>
      <w:r>
        <w:t xml:space="preserve"> </w:t>
      </w:r>
      <w:r>
        <w:t xml:space="preserve">and</w:t>
      </w:r>
      <w:r>
        <w:t xml:space="preserve"> </w:t>
      </w:r>
      <w:r>
        <w:rPr>
          <w:iCs/>
          <w:i/>
        </w:rPr>
        <w:t xml:space="preserve">tad</w:t>
      </w:r>
      <w:r>
        <w:t xml:space="preserve"> </w:t>
      </w:r>
      <w:r>
        <w:t xml:space="preserve">in any case or number; they are indeclinables. For them the sense</w:t>
      </w:r>
      <w:r>
        <w:t xml:space="preserve"> </w:t>
      </w:r>
      <w:r>
        <w:rPr>
          <w:iCs/>
          <w:i/>
        </w:rPr>
        <w:t xml:space="preserve">yadā</w:t>
      </w:r>
      <w:r>
        <w:t xml:space="preserve">,</w:t>
      </w:r>
      <w:r>
        <w:t xml:space="preserve"> </w:t>
      </w:r>
      <w:r>
        <w:t xml:space="preserve">“</w:t>
      </w:r>
      <w:r>
        <w:t xml:space="preserve">when,</w:t>
      </w:r>
      <w:r>
        <w:t xml:space="preserve">”</w:t>
      </w:r>
      <w:r>
        <w:t xml:space="preserve"> </w:t>
      </w:r>
      <w:r>
        <w:t xml:space="preserve">and</w:t>
      </w:r>
      <w:r>
        <w:t xml:space="preserve"> </w:t>
      </w:r>
      <w:r>
        <w:rPr>
          <w:iCs/>
          <w:i/>
        </w:rPr>
        <w:t xml:space="preserve">tadā</w:t>
      </w:r>
      <w:r>
        <w:t xml:space="preserve">,</w:t>
      </w:r>
      <w:r>
        <w:t xml:space="preserve"> </w:t>
      </w:r>
      <w:r>
        <w:t xml:space="preserve">“</w:t>
      </w:r>
      <w:r>
        <w:t xml:space="preserve">then,</w:t>
      </w:r>
      <w:r>
        <w:t xml:space="preserve">”</w:t>
      </w:r>
      <w:r>
        <w:t xml:space="preserve"> </w:t>
      </w:r>
      <w:r>
        <w:t xml:space="preserve">must be given.</w:t>
      </w:r>
    </w:p>
    <w:p>
      <w:pPr>
        <w:pStyle w:val="BodyText"/>
      </w:pPr>
      <w:r>
        <w:rPr>
          <w:bCs/>
          <w:b/>
        </w:rPr>
        <w:t xml:space="preserve">“</w:t>
      </w:r>
      <w:r>
        <w:rPr>
          <w:bCs/>
          <w:b/>
        </w:rPr>
        <w:t xml:space="preserve">Sānoḥ, sānum</w:t>
      </w:r>
      <w:r>
        <w:rPr>
          <w:bCs/>
          <w:b/>
        </w:rPr>
        <w:t xml:space="preserve">”</w:t>
      </w:r>
      <w:r>
        <w:t xml:space="preserve"> </w:t>
      </w:r>
      <w:r>
        <w:t xml:space="preserve">— the mountain-peak or the table-land of the hill. Since the Soma-creeper grows especially in the hill regions, and since the creeper growing in the high regions of the hills gives a more abundant and better juice than the creeper that grows on the level ground, it was then the custom to go to the higher hills, often, to bring the Soma-creeper. This matter is mentioned in many places in the Ṛgveda.</w:t>
      </w:r>
    </w:p>
    <w:bookmarkEnd w:id="416"/>
    <w:bookmarkStart w:id="417" w:name="X65beb5fe14ddf4f12f400a9d38add8b95796abe"/>
    <w:p>
      <w:pPr>
        <w:pStyle w:val="Heading3"/>
      </w:pPr>
      <w:r>
        <w:t xml:space="preserve">Page 390 — Rik 2: Special Topics (continued) and grammar</w:t>
      </w:r>
    </w:p>
    <w:p>
      <w:pPr>
        <w:pStyle w:val="FirstParagraph"/>
      </w:pPr>
      <w:r>
        <w:rPr>
          <w:bCs/>
          <w:b/>
        </w:rPr>
        <w:t xml:space="preserve">“</w:t>
      </w:r>
      <w:r>
        <w:rPr>
          <w:bCs/>
          <w:b/>
        </w:rPr>
        <w:t xml:space="preserve">Aspaṣṭa</w:t>
      </w:r>
      <w:r>
        <w:rPr>
          <w:bCs/>
          <w:b/>
        </w:rPr>
        <w:t xml:space="preserve">”</w:t>
      </w:r>
      <w:r>
        <w:t xml:space="preserve"> </w:t>
      </w:r>
      <w:r>
        <w:t xml:space="preserve">—</w:t>
      </w:r>
      <w:r>
        <w:t xml:space="preserve"> </w:t>
      </w:r>
      <w:r>
        <w:rPr>
          <w:iCs/>
          <w:i/>
        </w:rPr>
        <w:t xml:space="preserve">spaśa bādhana-sparśanayoḥ</w:t>
      </w:r>
      <w:r>
        <w:t xml:space="preserve"> </w:t>
      </w:r>
      <w:r>
        <w:t xml:space="preserve">—</w:t>
      </w:r>
      <w:r>
        <w:t xml:space="preserve"> </w:t>
      </w:r>
      <w:r>
        <w:t xml:space="preserve">“</w:t>
      </w:r>
      <w:r>
        <w:t xml:space="preserve">has touched</w:t>
      </w:r>
      <w:r>
        <w:t xml:space="preserve">”</w:t>
      </w:r>
      <w:r>
        <w:t xml:space="preserve">; that is,</w:t>
      </w:r>
      <w:r>
        <w:t xml:space="preserve"> </w:t>
      </w:r>
      <w:r>
        <w:t xml:space="preserve">“</w:t>
      </w:r>
      <w:r>
        <w:t xml:space="preserve">has begun.</w:t>
      </w:r>
      <w:r>
        <w:t xml:space="preserve">”</w:t>
      </w:r>
    </w:p>
    <w:p>
      <w:pPr>
        <w:pStyle w:val="BodyText"/>
      </w:pPr>
      <w:r>
        <w:rPr>
          <w:bCs/>
          <w:b/>
        </w:rPr>
        <w:t xml:space="preserve">“</w:t>
      </w:r>
      <w:r>
        <w:rPr>
          <w:bCs/>
          <w:b/>
        </w:rPr>
        <w:t xml:space="preserve">Kartvam</w:t>
      </w:r>
      <w:r>
        <w:rPr>
          <w:bCs/>
          <w:b/>
        </w:rPr>
        <w:t xml:space="preserve">”</w:t>
      </w:r>
      <w:r>
        <w:t xml:space="preserve"> </w:t>
      </w:r>
      <w:r>
        <w:t xml:space="preserve">—</w:t>
      </w:r>
      <w:r>
        <w:t xml:space="preserve"> </w:t>
      </w:r>
      <w:r>
        <w:rPr>
          <w:iCs/>
          <w:i/>
        </w:rPr>
        <w:t xml:space="preserve">karma</w:t>
      </w:r>
      <w:r>
        <w:t xml:space="preserve">,</w:t>
      </w:r>
      <w:r>
        <w:t xml:space="preserve"> </w:t>
      </w:r>
      <w:r>
        <w:t xml:space="preserve">“</w:t>
      </w:r>
      <w:r>
        <w:t xml:space="preserve">work.</w:t>
      </w:r>
      <w:r>
        <w:t xml:space="preserve">”</w:t>
      </w:r>
      <w:r>
        <w:t xml:space="preserve"> </w:t>
      </w:r>
      <w:r>
        <w:t xml:space="preserve">Among the twenty-six words for</w:t>
      </w:r>
      <w:r>
        <w:t xml:space="preserve"> </w:t>
      </w:r>
      <w:r>
        <w:t xml:space="preserve">“</w:t>
      </w:r>
      <w:r>
        <w:t xml:space="preserve">work</w:t>
      </w:r>
      <w:r>
        <w:t xml:space="preserve">”</w:t>
      </w:r>
      <w:r>
        <w:t xml:space="preserve"> </w:t>
      </w:r>
      <w:r>
        <w:t xml:space="preserve">beginning with</w:t>
      </w:r>
      <w:r>
        <w:t xml:space="preserve"> </w:t>
      </w:r>
      <w:r>
        <w:rPr>
          <w:iCs/>
          <w:i/>
        </w:rPr>
        <w:t xml:space="preserve">apaḥ</w:t>
      </w:r>
      <w:r>
        <w:t xml:space="preserve"> </w:t>
      </w:r>
      <w:r>
        <w:t xml:space="preserve">and</w:t>
      </w:r>
      <w:r>
        <w:t xml:space="preserve"> </w:t>
      </w:r>
      <w:r>
        <w:rPr>
          <w:iCs/>
          <w:i/>
        </w:rPr>
        <w:t xml:space="preserve">apnaḥ</w:t>
      </w:r>
      <w:r>
        <w:t xml:space="preserve">, the word</w:t>
      </w:r>
      <w:r>
        <w:t xml:space="preserve"> </w:t>
      </w:r>
      <w:r>
        <w:rPr>
          <w:iCs/>
          <w:i/>
        </w:rPr>
        <w:t xml:space="preserve">kartvam</w:t>
      </w:r>
      <w:r>
        <w:t xml:space="preserve"> </w:t>
      </w:r>
      <w:r>
        <w:t xml:space="preserve">is read (Ni. 3-2).</w:t>
      </w:r>
    </w:p>
    <w:p>
      <w:pPr>
        <w:pStyle w:val="BodyText"/>
      </w:pPr>
      <w:r>
        <w:rPr>
          <w:bCs/>
          <w:b/>
        </w:rPr>
        <w:t xml:space="preserve">“</w:t>
      </w:r>
      <w:r>
        <w:rPr>
          <w:bCs/>
          <w:b/>
        </w:rPr>
        <w:t xml:space="preserve">Vṛṣṇiḥ</w:t>
      </w:r>
      <w:r>
        <w:rPr>
          <w:bCs/>
          <w:b/>
        </w:rPr>
        <w:t xml:space="preserve">”</w:t>
      </w:r>
      <w:r>
        <w:t xml:space="preserve"> </w:t>
      </w:r>
      <w:r>
        <w:t xml:space="preserve">—</w:t>
      </w:r>
      <w:r>
        <w:t xml:space="preserve"> </w:t>
      </w:r>
      <w:r>
        <w:rPr>
          <w:bCs/>
          <w:b/>
        </w:rPr>
        <w:t xml:space="preserve">कामानां वर्षिता अथवा वर्षिता</w:t>
      </w:r>
      <w:r>
        <w:t xml:space="preserve"> </w:t>
      </w:r>
      <w:r>
        <w:t xml:space="preserve">(</w:t>
      </w:r>
      <w:r>
        <w:rPr>
          <w:iCs/>
          <w:i/>
        </w:rPr>
        <w:t xml:space="preserve">kāmānāṃ varṣitā athavā varṣitā</w:t>
      </w:r>
      <w:r>
        <w:t xml:space="preserve">) —</w:t>
      </w:r>
      <w:r>
        <w:t xml:space="preserve"> </w:t>
      </w:r>
      <w:r>
        <w:t xml:space="preserve">“</w:t>
      </w:r>
      <w:r>
        <w:t xml:space="preserve">the showerer of desires, or the giver of rain.</w:t>
      </w:r>
      <w:r>
        <w:t xml:space="preserve">”</w:t>
      </w:r>
      <w:r>
        <w:t xml:space="preserve"> </w:t>
      </w:r>
      <w:r>
        <w:t xml:space="preserve">The word</w:t>
      </w:r>
      <w:r>
        <w:t xml:space="preserve"> </w:t>
      </w:r>
      <w:r>
        <w:rPr>
          <w:iCs/>
          <w:i/>
        </w:rPr>
        <w:t xml:space="preserve">vṛṣṇi</w:t>
      </w:r>
      <w:r>
        <w:t xml:space="preserve"> </w:t>
      </w:r>
      <w:r>
        <w:t xml:space="preserve">is used in many places in the Ṛgveda, in passages describing Indra’s qualities.</w:t>
      </w:r>
    </w:p>
    <w:p>
      <w:pPr>
        <w:pStyle w:val="BodyText"/>
      </w:pPr>
      <w:r>
        <w:rPr>
          <w:bCs/>
          <w:b/>
        </w:rPr>
        <w:t xml:space="preserve">“</w:t>
      </w:r>
      <w:r>
        <w:rPr>
          <w:bCs/>
          <w:b/>
        </w:rPr>
        <w:t xml:space="preserve">Ejati</w:t>
      </w:r>
      <w:r>
        <w:rPr>
          <w:bCs/>
          <w:b/>
        </w:rPr>
        <w:t xml:space="preserve">”</w:t>
      </w:r>
      <w:r>
        <w:t xml:space="preserve"> </w:t>
      </w:r>
      <w:r>
        <w:t xml:space="preserve">—</w:t>
      </w:r>
      <w:r>
        <w:t xml:space="preserve"> </w:t>
      </w:r>
      <w:r>
        <w:rPr>
          <w:iCs/>
          <w:i/>
        </w:rPr>
        <w:t xml:space="preserve">ejṛ kampane</w:t>
      </w:r>
      <w:r>
        <w:t xml:space="preserve"> </w:t>
      </w:r>
      <w:r>
        <w:t xml:space="preserve">— the root</w:t>
      </w:r>
      <w:r>
        <w:t xml:space="preserve"> </w:t>
      </w:r>
      <w:r>
        <w:rPr>
          <w:iCs/>
          <w:i/>
        </w:rPr>
        <w:t xml:space="preserve">ej</w:t>
      </w:r>
      <w:r>
        <w:t xml:space="preserve">, to tremble, to move. Here</w:t>
      </w:r>
      <w:r>
        <w:t xml:space="preserve"> </w:t>
      </w:r>
      <w:r>
        <w:t xml:space="preserve">“</w:t>
      </w:r>
      <w:r>
        <w:t xml:space="preserve">moves</w:t>
      </w:r>
      <w:r>
        <w:t xml:space="preserve">”</w:t>
      </w:r>
      <w:r>
        <w:t xml:space="preserve"> </w:t>
      </w:r>
      <w:r>
        <w:t xml:space="preserve">means</w:t>
      </w:r>
      <w:r>
        <w:t xml:space="preserve"> </w:t>
      </w:r>
      <w:r>
        <w:t xml:space="preserve">“</w:t>
      </w:r>
      <w:r>
        <w:t xml:space="preserve">sets out from his own place to come to the sacrificer’s side.</w:t>
      </w:r>
      <w:r>
        <w:t xml:space="preserve">”</w:t>
      </w:r>
    </w:p>
    <w:p>
      <w:pPr>
        <w:pStyle w:val="BodyText"/>
      </w:pPr>
      <w:r>
        <w:rPr>
          <w:bCs/>
          <w:b/>
        </w:rPr>
        <w:t xml:space="preserve">॥ Vyākaraṇa-prakriyā ॥</w:t>
      </w:r>
      <w:r>
        <w:t xml:space="preserve"> </w:t>
      </w:r>
      <w:r>
        <w:rPr>
          <w:iCs/>
          <w:i/>
        </w:rPr>
        <w:t xml:space="preserve">(grammar pages 390–391, noted briefly)</w:t>
      </w:r>
    </w:p>
    <w:p>
      <w:pPr>
        <w:pStyle w:val="BodyText"/>
      </w:pPr>
      <w:r>
        <w:rPr>
          <w:bCs/>
          <w:b/>
        </w:rPr>
        <w:t xml:space="preserve">सानोः (</w:t>
      </w:r>
      <w:r>
        <w:rPr>
          <w:iCs/>
          <w:i/>
          <w:bCs/>
          <w:b/>
        </w:rPr>
        <w:t xml:space="preserve">sānoḥ</w:t>
      </w:r>
      <w:r>
        <w:rPr>
          <w:bCs/>
          <w:b/>
        </w:rPr>
        <w:t xml:space="preserve">)</w:t>
      </w:r>
      <w:r>
        <w:t xml:space="preserve"> </w:t>
      </w:r>
      <w:r>
        <w:t xml:space="preserve">— root</w:t>
      </w:r>
      <w:r>
        <w:t xml:space="preserve"> </w:t>
      </w:r>
      <w:r>
        <w:rPr>
          <w:iCs/>
          <w:i/>
        </w:rPr>
        <w:t xml:space="preserve">ṣaṇu dāne</w:t>
      </w:r>
      <w:r>
        <w:t xml:space="preserve"> </w:t>
      </w:r>
      <w:r>
        <w:t xml:space="preserve">(</w:t>
      </w:r>
      <w:r>
        <w:t xml:space="preserve">“</w:t>
      </w:r>
      <w:r>
        <w:t xml:space="preserve">to give</w:t>
      </w:r>
      <w:r>
        <w:t xml:space="preserve">”</w:t>
      </w:r>
      <w:r>
        <w:t xml:space="preserve">):</w:t>
      </w:r>
      <w:r>
        <w:t xml:space="preserve"> </w:t>
      </w:r>
      <w:r>
        <w:rPr>
          <w:iCs/>
          <w:i/>
        </w:rPr>
        <w:t xml:space="preserve">sanoti dadāti nivasatām avakāśam iti sānuḥ</w:t>
      </w:r>
      <w:r>
        <w:t xml:space="preserve"> </w:t>
      </w:r>
      <w:r>
        <w:t xml:space="preserve">(</w:t>
      </w:r>
      <w:r>
        <w:t xml:space="preserve">“</w:t>
      </w:r>
      <w:r>
        <w:t xml:space="preserve">that which gives room to those who dwell</w:t>
      </w:r>
      <w:r>
        <w:t xml:space="preserve">”</w:t>
      </w:r>
      <w:r>
        <w:t xml:space="preserve">) —</w:t>
      </w:r>
      <w:r>
        <w:t xml:space="preserve"> </w:t>
      </w:r>
      <w:r>
        <w:rPr>
          <w:iCs/>
          <w:i/>
        </w:rPr>
        <w:t xml:space="preserve">ñuṇ</w:t>
      </w:r>
      <w:r>
        <w:t xml:space="preserve"> </w:t>
      </w:r>
      <w:r>
        <w:t xml:space="preserve">suffix by</w:t>
      </w:r>
      <w:r>
        <w:t xml:space="preserve"> </w:t>
      </w:r>
      <w:r>
        <w:t xml:space="preserve">“</w:t>
      </w:r>
      <w:r>
        <w:t xml:space="preserve">dṛsanijanicaricaṭirahibhyo ñuṇ</w:t>
      </w:r>
      <w:r>
        <w:t xml:space="preserve">”</w:t>
      </w:r>
      <w:r>
        <w:t xml:space="preserve"> </w:t>
      </w:r>
      <w:r>
        <w:t xml:space="preserve">(Uṇ. 1-3), after</w:t>
      </w:r>
      <w:r>
        <w:t xml:space="preserve"> </w:t>
      </w:r>
      <w:r>
        <w:rPr>
          <w:iCs/>
          <w:i/>
        </w:rPr>
        <w:t xml:space="preserve">dṛ vidāraṇe</w:t>
      </w:r>
      <w:r>
        <w:t xml:space="preserve">,</w:t>
      </w:r>
      <w:r>
        <w:t xml:space="preserve"> </w:t>
      </w:r>
      <w:r>
        <w:rPr>
          <w:iCs/>
          <w:i/>
        </w:rPr>
        <w:t xml:space="preserve">ṣaṇu dāne</w:t>
      </w:r>
      <w:r>
        <w:t xml:space="preserve">,</w:t>
      </w:r>
      <w:r>
        <w:t xml:space="preserve"> </w:t>
      </w:r>
      <w:r>
        <w:rPr>
          <w:iCs/>
          <w:i/>
        </w:rPr>
        <w:t xml:space="preserve">jana janane</w:t>
      </w:r>
      <w:r>
        <w:t xml:space="preserve">,</w:t>
      </w:r>
      <w:r>
        <w:t xml:space="preserve"> </w:t>
      </w:r>
      <w:r>
        <w:rPr>
          <w:iCs/>
          <w:i/>
        </w:rPr>
        <w:t xml:space="preserve">cara gatau</w:t>
      </w:r>
      <w:r>
        <w:t xml:space="preserve">,</w:t>
      </w:r>
      <w:r>
        <w:t xml:space="preserve"> </w:t>
      </w:r>
      <w:r>
        <w:rPr>
          <w:iCs/>
          <w:i/>
        </w:rPr>
        <w:t xml:space="preserve">caṭa bhedane</w:t>
      </w:r>
      <w:r>
        <w:t xml:space="preserve">,</w:t>
      </w:r>
      <w:r>
        <w:t xml:space="preserve"> </w:t>
      </w:r>
      <w:r>
        <w:rPr>
          <w:iCs/>
          <w:i/>
        </w:rPr>
        <w:t xml:space="preserve">raha tyāge</w:t>
      </w:r>
      <w:r>
        <w:t xml:space="preserve">;</w:t>
      </w:r>
      <w:r>
        <w:t xml:space="preserve"> </w:t>
      </w:r>
      <w:r>
        <w:rPr>
          <w:iCs/>
          <w:i/>
        </w:rPr>
        <w:t xml:space="preserve">ṣ</w:t>
      </w:r>
      <w:r>
        <w:t xml:space="preserve"> </w:t>
      </w:r>
      <w:r>
        <w:t xml:space="preserve">→</w:t>
      </w:r>
      <w:r>
        <w:t xml:space="preserve"> </w:t>
      </w:r>
      <w:r>
        <w:rPr>
          <w:iCs/>
          <w:i/>
        </w:rPr>
        <w:t xml:space="preserve">s</w:t>
      </w:r>
      <w:r>
        <w:t xml:space="preserve"> </w:t>
      </w:r>
      <w:r>
        <w:t xml:space="preserve">by</w:t>
      </w:r>
      <w:r>
        <w:t xml:space="preserve"> </w:t>
      </w:r>
      <w:r>
        <w:t xml:space="preserve">“</w:t>
      </w:r>
      <w:r>
        <w:t xml:space="preserve">dhātvādeḥ ṣaḥ saḥ</w:t>
      </w:r>
      <w:r>
        <w:t xml:space="preserve">”</w:t>
      </w:r>
      <w:r>
        <w:t xml:space="preserve"> </w:t>
      </w:r>
      <w:r>
        <w:t xml:space="preserve">(Pā. 6-1-64), and with the</w:t>
      </w:r>
      <w:r>
        <w:t xml:space="preserve"> </w:t>
      </w:r>
      <w:r>
        <w:rPr>
          <w:iCs/>
          <w:i/>
        </w:rPr>
        <w:t xml:space="preserve">ṣ</w:t>
      </w:r>
      <w:r>
        <w:t xml:space="preserve"> </w:t>
      </w:r>
      <w:r>
        <w:t xml:space="preserve">gone the</w:t>
      </w:r>
      <w:r>
        <w:t xml:space="preserve"> </w:t>
      </w:r>
      <w:r>
        <w:rPr>
          <w:iCs/>
          <w:i/>
        </w:rPr>
        <w:t xml:space="preserve">ṇ</w:t>
      </w:r>
      <w:r>
        <w:t xml:space="preserve"> </w:t>
      </w:r>
      <w:r>
        <w:t xml:space="preserve">it caused goes too;</w:t>
      </w:r>
      <w:r>
        <w:t xml:space="preserve"> </w:t>
      </w:r>
      <w:r>
        <w:t xml:space="preserve">“</w:t>
      </w:r>
      <w:r>
        <w:t xml:space="preserve">ata upadhāyāḥ</w:t>
      </w:r>
      <w:r>
        <w:t xml:space="preserve">”</w:t>
      </w:r>
      <w:r>
        <w:t xml:space="preserve"> </w:t>
      </w:r>
      <w:r>
        <w:t xml:space="preserve">(Pā. 7-2-116) gives the</w:t>
      </w:r>
      <w:r>
        <w:t xml:space="preserve"> </w:t>
      </w:r>
      <w:r>
        <w:rPr>
          <w:iCs/>
          <w:i/>
        </w:rPr>
        <w:t xml:space="preserve">vṛddhi</w:t>
      </w:r>
      <w:r>
        <w:t xml:space="preserve">; the suffix is</w:t>
      </w:r>
      <w:r>
        <w:t xml:space="preserve"> </w:t>
      </w:r>
      <w:r>
        <w:rPr>
          <w:iCs/>
          <w:i/>
        </w:rPr>
        <w:t xml:space="preserve">ñit</w:t>
      </w:r>
      <w:r>
        <w:t xml:space="preserve">, so initial-udātta by</w:t>
      </w:r>
      <w:r>
        <w:t xml:space="preserve"> </w:t>
      </w:r>
      <w:r>
        <w:t xml:space="preserve">“</w:t>
      </w:r>
      <w:r>
        <w:t xml:space="preserve">ñnityādir nityam</w:t>
      </w:r>
      <w:r>
        <w:t xml:space="preserve">”</w:t>
      </w:r>
      <w:r>
        <w:t xml:space="preserve"> </w:t>
      </w:r>
      <w:r>
        <w:t xml:space="preserve">(Pā. 6-1-197).</w:t>
      </w:r>
      <w:r>
        <w:t xml:space="preserve"> </w:t>
      </w:r>
      <w:r>
        <w:rPr>
          <w:bCs/>
          <w:b/>
        </w:rPr>
        <w:t xml:space="preserve">आरुहत् (</w:t>
      </w:r>
      <w:r>
        <w:rPr>
          <w:iCs/>
          <w:i/>
          <w:bCs/>
          <w:b/>
        </w:rPr>
        <w:t xml:space="preserve">āruhat</w:t>
      </w:r>
      <w:r>
        <w:rPr>
          <w:bCs/>
          <w:b/>
        </w:rPr>
        <w:t xml:space="preserve">)</w:t>
      </w:r>
      <w:r>
        <w:t xml:space="preserve"> </w:t>
      </w:r>
      <w:r>
        <w:t xml:space="preserve">— root</w:t>
      </w:r>
      <w:r>
        <w:t xml:space="preserve"> </w:t>
      </w:r>
      <w:r>
        <w:rPr>
          <w:iCs/>
          <w:i/>
        </w:rPr>
        <w:t xml:space="preserve">ruha bījajanmani prādurbhāve ca</w:t>
      </w:r>
      <w:r>
        <w:t xml:space="preserve"> </w:t>
      </w:r>
      <w:r>
        <w:t xml:space="preserve">with</w:t>
      </w:r>
      <w:r>
        <w:t xml:space="preserve"> </w:t>
      </w:r>
      <w:r>
        <w:rPr>
          <w:iCs/>
          <w:i/>
        </w:rPr>
        <w:t xml:space="preserve">laṅ</w:t>
      </w:r>
      <w:r>
        <w:t xml:space="preserve">, third singular</w:t>
      </w:r>
      <w:r>
        <w:t xml:space="preserve"> </w:t>
      </w:r>
      <w:r>
        <w:rPr>
          <w:iCs/>
          <w:i/>
        </w:rPr>
        <w:t xml:space="preserve">tip</w:t>
      </w:r>
      <w:r>
        <w:t xml:space="preserve">;</w:t>
      </w:r>
      <w:r>
        <w:t xml:space="preserve"> </w:t>
      </w:r>
      <w:r>
        <w:rPr>
          <w:iCs/>
          <w:i/>
        </w:rPr>
        <w:t xml:space="preserve">śap</w:t>
      </w:r>
      <w:r>
        <w:t xml:space="preserve"> </w:t>
      </w:r>
      <w:r>
        <w:t xml:space="preserve">by</w:t>
      </w:r>
      <w:r>
        <w:t xml:space="preserve"> </w:t>
      </w:r>
      <w:r>
        <w:t xml:space="preserve">“</w:t>
      </w:r>
      <w:r>
        <w:t xml:space="preserve">kartari śap</w:t>
      </w:r>
      <w:r>
        <w:t xml:space="preserve">”</w:t>
      </w:r>
      <w:r>
        <w:t xml:space="preserve"> </w:t>
      </w:r>
      <w:r>
        <w:t xml:space="preserve">(Pā. 3-1-68); since</w:t>
      </w:r>
      <w:r>
        <w:t xml:space="preserve"> </w:t>
      </w:r>
      <w:r>
        <w:t xml:space="preserve">“</w:t>
      </w:r>
      <w:r>
        <w:t xml:space="preserve">saṃjñāpūrvako vidhir anityaḥ</w:t>
      </w:r>
      <w:r>
        <w:t xml:space="preserve">”</w:t>
      </w:r>
      <w:r>
        <w:t xml:space="preserve"> </w:t>
      </w:r>
      <w:r>
        <w:t xml:space="preserve">(paribhāṣā 93-1), the</w:t>
      </w:r>
      <w:r>
        <w:t xml:space="preserve"> </w:t>
      </w:r>
      <w:r>
        <w:rPr>
          <w:iCs/>
          <w:i/>
        </w:rPr>
        <w:t xml:space="preserve">laghūpadha-guṇa</w:t>
      </w:r>
      <w:r>
        <w:t xml:space="preserve"> </w:t>
      </w:r>
      <w:r>
        <w:t xml:space="preserve">of</w:t>
      </w:r>
      <w:r>
        <w:t xml:space="preserve"> </w:t>
      </w:r>
      <w:r>
        <w:t xml:space="preserve">“</w:t>
      </w:r>
      <w:r>
        <w:t xml:space="preserve">pugantalaghūpadhasya ca</w:t>
      </w:r>
      <w:r>
        <w:t xml:space="preserve">”</w:t>
      </w:r>
      <w:r>
        <w:t xml:space="preserve"> </w:t>
      </w:r>
      <w:r>
        <w:t xml:space="preserve">(Pā. 7-3-86) does not apply; the</w:t>
      </w:r>
      <w:r>
        <w:t xml:space="preserve"> </w:t>
      </w:r>
      <w:r>
        <w:rPr>
          <w:iCs/>
          <w:i/>
        </w:rPr>
        <w:t xml:space="preserve">i</w:t>
      </w:r>
      <w:r>
        <w:t xml:space="preserve"> </w:t>
      </w:r>
      <w:r>
        <w:t xml:space="preserve">of</w:t>
      </w:r>
      <w:r>
        <w:t xml:space="preserve"> </w:t>
      </w:r>
      <w:r>
        <w:rPr>
          <w:iCs/>
          <w:i/>
        </w:rPr>
        <w:t xml:space="preserve">tip</w:t>
      </w:r>
      <w:r>
        <w:t xml:space="preserve"> </w:t>
      </w:r>
      <w:r>
        <w:t xml:space="preserve">is dropped by</w:t>
      </w:r>
      <w:r>
        <w:t xml:space="preserve"> </w:t>
      </w:r>
      <w:r>
        <w:t xml:space="preserve">“</w:t>
      </w:r>
      <w:r>
        <w:t xml:space="preserve">itaś ca</w:t>
      </w:r>
      <w:r>
        <w:t xml:space="preserve">”</w:t>
      </w:r>
      <w:r>
        <w:t xml:space="preserve"> </w:t>
      </w:r>
      <w:r>
        <w:t xml:space="preserve">(Pā. 3-4-100); the</w:t>
      </w:r>
      <w:r>
        <w:t xml:space="preserve"> </w:t>
      </w:r>
      <w:r>
        <w:rPr>
          <w:iCs/>
          <w:i/>
        </w:rPr>
        <w:t xml:space="preserve">aṭ</w:t>
      </w:r>
      <w:r>
        <w:t xml:space="preserve"> </w:t>
      </w:r>
      <w:r>
        <w:t xml:space="preserve">augment is udātta by</w:t>
      </w:r>
      <w:r>
        <w:t xml:space="preserve"> </w:t>
      </w:r>
      <w:r>
        <w:t xml:space="preserve">“</w:t>
      </w:r>
      <w:r>
        <w:t xml:space="preserve">luṅlaṅlṛṅkṣv aḍ udāttaḥ</w:t>
      </w:r>
      <w:r>
        <w:t xml:space="preserve">”</w:t>
      </w:r>
      <w:r>
        <w:t xml:space="preserve"> </w:t>
      </w:r>
      <w:r>
        <w:t xml:space="preserve">(Pā. 6-4-71), and being taught later (</w:t>
      </w:r>
      <w:r>
        <w:rPr>
          <w:iCs/>
          <w:i/>
        </w:rPr>
        <w:t xml:space="preserve">satiśiṣṭa</w:t>
      </w:r>
      <w:r>
        <w:t xml:space="preserve">) it alone stands;</w:t>
      </w:r>
      <w:r>
        <w:t xml:space="preserve"> </w:t>
      </w:r>
      <w:r>
        <w:t xml:space="preserve">“</w:t>
      </w:r>
      <w:r>
        <w:t xml:space="preserve">tiṅṅ atiṅaḥ</w:t>
      </w:r>
      <w:r>
        <w:t xml:space="preserve">”</w:t>
      </w:r>
      <w:r>
        <w:t xml:space="preserve"> </w:t>
      </w:r>
      <w:r>
        <w:t xml:space="preserve">(Pā. 8-1-28) would make the verb unaccented, but because</w:t>
      </w:r>
      <w:r>
        <w:t xml:space="preserve"> </w:t>
      </w:r>
      <w:r>
        <w:rPr>
          <w:iCs/>
          <w:i/>
        </w:rPr>
        <w:t xml:space="preserve">yat</w:t>
      </w:r>
      <w:r>
        <w:t xml:space="preserve"> </w:t>
      </w:r>
      <w:r>
        <w:t xml:space="preserve">(</w:t>
      </w:r>
      <w:r>
        <w:t xml:space="preserve">“</w:t>
      </w:r>
      <w:r>
        <w:t xml:space="preserve">when</w:t>
      </w:r>
      <w:r>
        <w:t xml:space="preserve">”</w:t>
      </w:r>
      <w:r>
        <w:t xml:space="preserve">),</w:t>
      </w:r>
      <w:r>
        <w:t xml:space="preserve"> </w:t>
      </w:r>
      <w:r>
        <w:rPr>
          <w:iCs/>
          <w:i/>
        </w:rPr>
        <w:t xml:space="preserve">yadi</w:t>
      </w:r>
      <w:r>
        <w:t xml:space="preserve">,</w:t>
      </w:r>
      <w:r>
        <w:t xml:space="preserve"> </w:t>
      </w:r>
      <w:r>
        <w:rPr>
          <w:iCs/>
          <w:i/>
        </w:rPr>
        <w:t xml:space="preserve">hanta</w:t>
      </w:r>
      <w:r>
        <w:t xml:space="preserve">,</w:t>
      </w:r>
      <w:r>
        <w:t xml:space="preserve"> </w:t>
      </w:r>
      <w:r>
        <w:rPr>
          <w:iCs/>
          <w:i/>
        </w:rPr>
        <w:t xml:space="preserve">kuvit</w:t>
      </w:r>
      <w:r>
        <w:t xml:space="preserve">,</w:t>
      </w:r>
      <w:r>
        <w:t xml:space="preserve"> </w:t>
      </w:r>
      <w:r>
        <w:rPr>
          <w:iCs/>
          <w:i/>
        </w:rPr>
        <w:t xml:space="preserve">neta</w:t>
      </w:r>
      <w:r>
        <w:t xml:space="preserve">,</w:t>
      </w:r>
      <w:r>
        <w:t xml:space="preserve"> </w:t>
      </w:r>
      <w:r>
        <w:rPr>
          <w:iCs/>
          <w:i/>
        </w:rPr>
        <w:t xml:space="preserve">cet</w:t>
      </w:r>
      <w:r>
        <w:t xml:space="preserve">,</w:t>
      </w:r>
      <w:r>
        <w:t xml:space="preserve"> </w:t>
      </w:r>
      <w:r>
        <w:rPr>
          <w:iCs/>
          <w:i/>
        </w:rPr>
        <w:t xml:space="preserve">caṇ</w:t>
      </w:r>
      <w:r>
        <w:t xml:space="preserve">,</w:t>
      </w:r>
      <w:r>
        <w:t xml:space="preserve"> </w:t>
      </w:r>
      <w:r>
        <w:rPr>
          <w:iCs/>
          <w:i/>
        </w:rPr>
        <w:t xml:space="preserve">kaccit</w:t>
      </w:r>
      <w:r>
        <w:t xml:space="preserve">,</w:t>
      </w:r>
      <w:r>
        <w:t xml:space="preserve"> </w:t>
      </w:r>
      <w:r>
        <w:rPr>
          <w:iCs/>
          <w:i/>
        </w:rPr>
        <w:t xml:space="preserve">yatra</w:t>
      </w:r>
      <w:r>
        <w:t xml:space="preserve"> </w:t>
      </w:r>
      <w:r>
        <w:t xml:space="preserve">and other particles occur, the lowering is prohibited by</w:t>
      </w:r>
      <w:r>
        <w:t xml:space="preserve"> </w:t>
      </w:r>
      <w:r>
        <w:t xml:space="preserve">“</w:t>
      </w:r>
      <w:r>
        <w:t xml:space="preserve">nipātair yadyadihantakuvinnetcetcaṇkaccidyatrayuktam</w:t>
      </w:r>
      <w:r>
        <w:t xml:space="preserve">”</w:t>
      </w:r>
      <w:r>
        <w:t xml:space="preserve"> </w:t>
      </w:r>
      <w:r>
        <w:t xml:space="preserve">(Pā. 8-1-30); so the verb stays accented.</w:t>
      </w:r>
      <w:r>
        <w:t xml:space="preserve"> </w:t>
      </w:r>
      <w:r>
        <w:rPr>
          <w:bCs/>
          <w:b/>
        </w:rPr>
        <w:t xml:space="preserve">भूरि (</w:t>
      </w:r>
      <w:r>
        <w:rPr>
          <w:iCs/>
          <w:i/>
          <w:bCs/>
          <w:b/>
        </w:rPr>
        <w:t xml:space="preserve">bhūri</w:t>
      </w:r>
      <w:r>
        <w:rPr>
          <w:bCs/>
          <w:b/>
        </w:rPr>
        <w:t xml:space="preserve">)</w:t>
      </w:r>
      <w:r>
        <w:t xml:space="preserve"> </w:t>
      </w:r>
      <w:r>
        <w:t xml:space="preserve">—</w:t>
      </w:r>
      <w:r>
        <w:t xml:space="preserve"> </w:t>
      </w:r>
      <w:r>
        <w:t xml:space="preserve">“</w:t>
      </w:r>
      <w:r>
        <w:t xml:space="preserve">adiśadibhūśubhibhyaḥ krin</w:t>
      </w:r>
      <w:r>
        <w:t xml:space="preserve">”</w:t>
      </w:r>
      <w:r>
        <w:t xml:space="preserve"> </w:t>
      </w:r>
      <w:r>
        <w:t xml:space="preserve">(Uṇ. 4-505 [as printed]; the bhāṣya prints 4-65): after the roots</w:t>
      </w:r>
      <w:r>
        <w:t xml:space="preserve"> </w:t>
      </w:r>
      <w:r>
        <w:rPr>
          <w:iCs/>
          <w:i/>
        </w:rPr>
        <w:t xml:space="preserve">ada bhakṣaṇe</w:t>
      </w:r>
      <w:r>
        <w:t xml:space="preserve">,</w:t>
      </w:r>
      <w:r>
        <w:t xml:space="preserve"> </w:t>
      </w:r>
      <w:r>
        <w:rPr>
          <w:iCs/>
          <w:i/>
        </w:rPr>
        <w:t xml:space="preserve">śadḷ śātane</w:t>
      </w:r>
      <w:r>
        <w:t xml:space="preserve">,</w:t>
      </w:r>
      <w:r>
        <w:t xml:space="preserve"> </w:t>
      </w:r>
      <w:r>
        <w:rPr>
          <w:iCs/>
          <w:i/>
        </w:rPr>
        <w:t xml:space="preserve">bhū sattāyām</w:t>
      </w:r>
      <w:r>
        <w:t xml:space="preserve">,</w:t>
      </w:r>
      <w:r>
        <w:t xml:space="preserve"> </w:t>
      </w:r>
      <w:r>
        <w:rPr>
          <w:iCs/>
          <w:i/>
        </w:rPr>
        <w:t xml:space="preserve">śubha śumbha śobhārthe</w:t>
      </w:r>
      <w:r>
        <w:t xml:space="preserve"> </w:t>
      </w:r>
      <w:r>
        <w:t xml:space="preserve">the suffix</w:t>
      </w:r>
      <w:r>
        <w:t xml:space="preserve"> </w:t>
      </w:r>
      <w:r>
        <w:rPr>
          <w:iCs/>
          <w:i/>
        </w:rPr>
        <w:t xml:space="preserve">krin</w:t>
      </w:r>
      <w:r>
        <w:t xml:space="preserve">;</w:t>
      </w:r>
      <w:r>
        <w:t xml:space="preserve"> </w:t>
      </w:r>
      <w:r>
        <w:rPr>
          <w:iCs/>
          <w:i/>
        </w:rPr>
        <w:t xml:space="preserve">kit</w:t>
      </w:r>
      <w:r>
        <w:t xml:space="preserve">, so by</w:t>
      </w:r>
      <w:r>
        <w:t xml:space="preserve"> </w:t>
      </w:r>
      <w:r>
        <w:t xml:space="preserve">“</w:t>
      </w:r>
      <w:r>
        <w:t xml:space="preserve">kṅiti ca</w:t>
      </w:r>
      <w:r>
        <w:t xml:space="preserve">”</w:t>
      </w:r>
      <w:r>
        <w:t xml:space="preserve"> </w:t>
      </w:r>
      <w:r>
        <w:t xml:space="preserve">(Pā. 1-1-5) the</w:t>
      </w:r>
      <w:r>
        <w:t xml:space="preserve"> </w:t>
      </w:r>
      <w:r>
        <w:rPr>
          <w:iCs/>
          <w:i/>
        </w:rPr>
        <w:t xml:space="preserve">guṇa</w:t>
      </w:r>
      <w:r>
        <w:t xml:space="preserve"> </w:t>
      </w:r>
      <w:r>
        <w:t xml:space="preserve">of</w:t>
      </w:r>
      <w:r>
        <w:t xml:space="preserve"> </w:t>
      </w:r>
      <w:r>
        <w:t xml:space="preserve">“</w:t>
      </w:r>
      <w:r>
        <w:t xml:space="preserve">sārvadhātukārdhadhātukayoḥ</w:t>
      </w:r>
      <w:r>
        <w:t xml:space="preserve">”</w:t>
      </w:r>
      <w:r>
        <w:t xml:space="preserve"> </w:t>
      </w:r>
      <w:r>
        <w:t xml:space="preserve">(Pā. 7-3-84) does not apply; the suffix is</w:t>
      </w:r>
      <w:r>
        <w:t xml:space="preserve"> </w:t>
      </w:r>
      <w:r>
        <w:rPr>
          <w:iCs/>
          <w:i/>
        </w:rPr>
        <w:t xml:space="preserve">nit</w:t>
      </w:r>
      <w:r>
        <w:t xml:space="preserve">, so initial-udātta.</w:t>
      </w:r>
      <w:r>
        <w:t xml:space="preserve"> </w:t>
      </w:r>
      <w:r>
        <w:rPr>
          <w:bCs/>
          <w:b/>
        </w:rPr>
        <w:t xml:space="preserve">अस्पष्ट (</w:t>
      </w:r>
      <w:r>
        <w:rPr>
          <w:iCs/>
          <w:i/>
          <w:bCs/>
          <w:b/>
        </w:rPr>
        <w:t xml:space="preserve">aspaṣṭa</w:t>
      </w:r>
      <w:r>
        <w:rPr>
          <w:bCs/>
          <w:b/>
        </w:rPr>
        <w:t xml:space="preserve">)</w:t>
      </w:r>
      <w:r>
        <w:t xml:space="preserve"> </w:t>
      </w:r>
      <w:r>
        <w:t xml:space="preserve">— root</w:t>
      </w:r>
      <w:r>
        <w:t xml:space="preserve"> </w:t>
      </w:r>
      <w:r>
        <w:rPr>
          <w:iCs/>
          <w:i/>
        </w:rPr>
        <w:t xml:space="preserve">spaśa bādhana-sparśanayoḥ</w:t>
      </w:r>
      <w:r>
        <w:t xml:space="preserve"> </w:t>
      </w:r>
      <w:r>
        <w:t xml:space="preserve">(</w:t>
      </w:r>
      <w:r>
        <w:t xml:space="preserve">“</w:t>
      </w:r>
      <w:r>
        <w:t xml:space="preserve">to touch</w:t>
      </w:r>
      <w:r>
        <w:t xml:space="preserve">”</w:t>
      </w:r>
      <w:r>
        <w:t xml:space="preserve">), anudātta-</w:t>
      </w:r>
      <w:r>
        <w:rPr>
          <w:iCs/>
          <w:i/>
        </w:rPr>
        <w:t xml:space="preserve">it</w:t>
      </w:r>
      <w:r>
        <w:t xml:space="preserve"> </w:t>
      </w:r>
      <w:r>
        <w:t xml:space="preserve">by the marker</w:t>
      </w:r>
      <w:r>
        <w:t xml:space="preserve"> </w:t>
      </w:r>
      <w:r>
        <w:rPr>
          <w:iCs/>
          <w:i/>
        </w:rPr>
        <w:t xml:space="preserve">iṅ</w:t>
      </w:r>
      <w:r>
        <w:t xml:space="preserve">-like; it is</w:t>
      </w:r>
      <w:r>
        <w:t xml:space="preserve"> </w:t>
      </w:r>
      <w:r>
        <w:rPr>
          <w:iCs/>
          <w:i/>
        </w:rPr>
        <w:t xml:space="preserve">svarita</w:t>
      </w:r>
      <w:r>
        <w:t xml:space="preserve">-marked, so the</w:t>
      </w:r>
      <w:r>
        <w:t xml:space="preserve"> </w:t>
      </w:r>
      <w:r>
        <w:rPr>
          <w:iCs/>
          <w:i/>
        </w:rPr>
        <w:t xml:space="preserve">ātmanepada</w:t>
      </w:r>
      <w:r>
        <w:t xml:space="preserve"> </w:t>
      </w:r>
      <w:r>
        <w:t xml:space="preserve">by</w:t>
      </w:r>
      <w:r>
        <w:t xml:space="preserve"> </w:t>
      </w:r>
      <w:r>
        <w:t xml:space="preserve">“</w:t>
      </w:r>
      <w:r>
        <w:t xml:space="preserve">svaritañitaḥ kartrabhiprāye kriyāphale</w:t>
      </w:r>
      <w:r>
        <w:t xml:space="preserve">”</w:t>
      </w:r>
      <w:r>
        <w:t xml:space="preserve"> </w:t>
      </w:r>
      <w:r>
        <w:t xml:space="preserve">(1-3-72, printed</w:t>
      </w:r>
      <w:r>
        <w:t xml:space="preserve"> </w:t>
      </w:r>
      <w:r>
        <w:t xml:space="preserve">“</w:t>
      </w:r>
      <w:r>
        <w:t xml:space="preserve">sā. sū.</w:t>
      </w:r>
      <w:r>
        <w:t xml:space="preserve">”</w:t>
      </w:r>
      <w:r>
        <w:t xml:space="preserve"> </w:t>
      </w:r>
      <w:r>
        <w:t xml:space="preserve">[sic]);</w:t>
      </w:r>
      <w:r>
        <w:t xml:space="preserve"> </w:t>
      </w:r>
      <w:r>
        <w:rPr>
          <w:iCs/>
          <w:i/>
        </w:rPr>
        <w:t xml:space="preserve">laṅ</w:t>
      </w:r>
      <w:r>
        <w:t xml:space="preserve">, third singular</w:t>
      </w:r>
      <w:r>
        <w:t xml:space="preserve"> </w:t>
      </w:r>
      <w:r>
        <w:rPr>
          <w:iCs/>
          <w:i/>
        </w:rPr>
        <w:t xml:space="preserve">ta</w:t>
      </w:r>
      <w:r>
        <w:t xml:space="preserve">;</w:t>
      </w:r>
      <w:r>
        <w:t xml:space="preserve"> </w:t>
      </w:r>
      <w:r>
        <w:rPr>
          <w:iCs/>
          <w:i/>
        </w:rPr>
        <w:t xml:space="preserve">śap</w:t>
      </w:r>
      <w:r>
        <w:t xml:space="preserve"> </w:t>
      </w:r>
      <w:r>
        <w:t xml:space="preserve">dropped by</w:t>
      </w:r>
      <w:r>
        <w:t xml:space="preserve"> </w:t>
      </w:r>
      <w:r>
        <w:t xml:space="preserve">“</w:t>
      </w:r>
      <w:r>
        <w:t xml:space="preserve">bahulaṃ chandasi</w:t>
      </w:r>
      <w:r>
        <w:t xml:space="preserve">”</w:t>
      </w:r>
      <w:r>
        <w:t xml:space="preserve"> </w:t>
      </w:r>
      <w:r>
        <w:t xml:space="preserve">(Pā. 2-4-73);</w:t>
      </w:r>
      <w:r>
        <w:t xml:space="preserve"> </w:t>
      </w:r>
      <w:r>
        <w:rPr>
          <w:iCs/>
          <w:i/>
        </w:rPr>
        <w:t xml:space="preserve">ś</w:t>
      </w:r>
      <w:r>
        <w:t xml:space="preserve"> </w:t>
      </w:r>
      <w:r>
        <w:t xml:space="preserve">→</w:t>
      </w:r>
      <w:r>
        <w:t xml:space="preserve"> </w:t>
      </w:r>
      <w:r>
        <w:rPr>
          <w:iCs/>
          <w:i/>
        </w:rPr>
        <w:t xml:space="preserve">ṣ</w:t>
      </w:r>
      <w:r>
        <w:t xml:space="preserve"> </w:t>
      </w:r>
      <w:r>
        <w:t xml:space="preserve">by</w:t>
      </w:r>
      <w:r>
        <w:t xml:space="preserve"> </w:t>
      </w:r>
      <w:r>
        <w:t xml:space="preserve">“</w:t>
      </w:r>
      <w:r>
        <w:t xml:space="preserve">vraścabhrasjasṛjamṛjayajarājabhrājachaśāṃ ṣaḥ</w:t>
      </w:r>
      <w:r>
        <w:t xml:space="preserve">”</w:t>
      </w:r>
      <w:r>
        <w:t xml:space="preserve"> </w:t>
      </w:r>
      <w:r>
        <w:t xml:space="preserve">(Pā. 8-2-36) and</w:t>
      </w:r>
      <w:r>
        <w:t xml:space="preserve"> </w:t>
      </w:r>
      <w:r>
        <w:rPr>
          <w:iCs/>
          <w:i/>
        </w:rPr>
        <w:t xml:space="preserve">ṭ</w:t>
      </w:r>
      <w:r>
        <w:t xml:space="preserve"> </w:t>
      </w:r>
      <w:r>
        <w:t xml:space="preserve">by</w:t>
      </w:r>
      <w:r>
        <w:t xml:space="preserve"> </w:t>
      </w:r>
      <w:r>
        <w:t xml:space="preserve">“</w:t>
      </w:r>
      <w:r>
        <w:t xml:space="preserve">ṣṭunā ṣṭuḥ</w:t>
      </w:r>
      <w:r>
        <w:t xml:space="preserve">”</w:t>
      </w:r>
      <w:r>
        <w:t xml:space="preserve"> </w:t>
      </w:r>
      <w:r>
        <w:t xml:space="preserve">(Pā. 8-4-41); the</w:t>
      </w:r>
      <w:r>
        <w:t xml:space="preserve"> </w:t>
      </w:r>
      <w:r>
        <w:rPr>
          <w:iCs/>
          <w:i/>
        </w:rPr>
        <w:t xml:space="preserve">aṭ</w:t>
      </w:r>
      <w:r>
        <w:t xml:space="preserve"> </w:t>
      </w:r>
      <w:r>
        <w:t xml:space="preserve">augment is udātta by</w:t>
      </w:r>
      <w:r>
        <w:t xml:space="preserve"> </w:t>
      </w:r>
      <w:r>
        <w:t xml:space="preserve">“</w:t>
      </w:r>
      <w:r>
        <w:t xml:space="preserve">luṅlaṅlṛṅkṣv aḍ udāttaḥ</w:t>
      </w:r>
      <w:r>
        <w:t xml:space="preserve">”</w:t>
      </w:r>
      <w:r>
        <w:t xml:space="preserve"> </w:t>
      </w:r>
      <w:r>
        <w:t xml:space="preserve">(Pā. 6-4-71) and its accent stands; the word</w:t>
      </w:r>
      <w:r>
        <w:t xml:space="preserve"> </w:t>
      </w:r>
      <w:r>
        <w:rPr>
          <w:iCs/>
          <w:i/>
        </w:rPr>
        <w:t xml:space="preserve">yat</w:t>
      </w:r>
      <w:r>
        <w:t xml:space="preserve"> </w:t>
      </w:r>
      <w:r>
        <w:t xml:space="preserve">carried over from the first half brings the prohibition of lowering by</w:t>
      </w:r>
      <w:r>
        <w:t xml:space="preserve"> </w:t>
      </w:r>
      <w:r>
        <w:t xml:space="preserve">“</w:t>
      </w:r>
      <w:r>
        <w:t xml:space="preserve">nipātair yadyadi…</w:t>
      </w:r>
      <w:r>
        <w:t xml:space="preserve">”</w:t>
      </w:r>
      <w:r>
        <w:t xml:space="preserve"> </w:t>
      </w:r>
      <w:r>
        <w:t xml:space="preserve">(Pā. 8-1-30).</w:t>
      </w:r>
      <w:r>
        <w:t xml:space="preserve"> </w:t>
      </w:r>
      <w:r>
        <w:rPr>
          <w:bCs/>
          <w:b/>
        </w:rPr>
        <w:t xml:space="preserve">कर्त्वम् (</w:t>
      </w:r>
      <w:r>
        <w:rPr>
          <w:iCs/>
          <w:i/>
          <w:bCs/>
          <w:b/>
        </w:rPr>
        <w:t xml:space="preserve">kartvam</w:t>
      </w:r>
      <w:r>
        <w:rPr>
          <w:bCs/>
          <w:b/>
        </w:rPr>
        <w:t xml:space="preserve">)</w:t>
      </w:r>
      <w:r>
        <w:t xml:space="preserve"> </w:t>
      </w:r>
      <w:r>
        <w:t xml:space="preserve">— root</w:t>
      </w:r>
      <w:r>
        <w:t xml:space="preserve"> </w:t>
      </w:r>
      <w:r>
        <w:rPr>
          <w:iCs/>
          <w:i/>
        </w:rPr>
        <w:t xml:space="preserve">ḍukṛñ karaṇe</w:t>
      </w:r>
      <w:r>
        <w:t xml:space="preserve"> </w:t>
      </w:r>
      <w:r>
        <w:t xml:space="preserve">with</w:t>
      </w:r>
      <w:r>
        <w:t xml:space="preserve"> </w:t>
      </w:r>
      <w:r>
        <w:rPr>
          <w:iCs/>
          <w:i/>
        </w:rPr>
        <w:t xml:space="preserve">vic</w:t>
      </w:r>
      <w:r>
        <w:t xml:space="preserve"> </w:t>
      </w:r>
      <w:r>
        <w:t xml:space="preserve">(</w:t>
      </w:r>
      <w:r>
        <w:t xml:space="preserve">“</w:t>
      </w:r>
      <w:r>
        <w:t xml:space="preserve">anyebhyo ’pi dṛśyante,</w:t>
      </w:r>
      <w:r>
        <w:t xml:space="preserve">”</w:t>
      </w:r>
      <w:r>
        <w:t xml:space="preserve"> </w:t>
      </w:r>
      <w:r>
        <w:t xml:space="preserve">Pā. 3-2-75);</w:t>
      </w:r>
      <w:r>
        <w:t xml:space="preserve"> </w:t>
      </w:r>
      <w:r>
        <w:rPr>
          <w:iCs/>
          <w:i/>
        </w:rPr>
        <w:t xml:space="preserve">guṇa</w:t>
      </w:r>
      <w:r>
        <w:t xml:space="preserve"> </w:t>
      </w:r>
      <w:r>
        <w:t xml:space="preserve">by</w:t>
      </w:r>
      <w:r>
        <w:t xml:space="preserve"> </w:t>
      </w:r>
      <w:r>
        <w:t xml:space="preserve">“</w:t>
      </w:r>
      <w:r>
        <w:t xml:space="preserve">sārvadhātukārdhadhātukayoḥ</w:t>
      </w:r>
      <w:r>
        <w:t xml:space="preserve">”</w:t>
      </w:r>
      <w:r>
        <w:t xml:space="preserve"> </w:t>
      </w:r>
      <w:r>
        <w:t xml:space="preserve">(Pā. 7-3-84) with</w:t>
      </w:r>
      <w:r>
        <w:t xml:space="preserve"> </w:t>
      </w:r>
      <w:r>
        <w:rPr>
          <w:iCs/>
          <w:i/>
        </w:rPr>
        <w:t xml:space="preserve">raparatva</w:t>
      </w:r>
      <w:r>
        <w:t xml:space="preserve"> </w:t>
      </w:r>
      <w:r>
        <w:t xml:space="preserve">by</w:t>
      </w:r>
      <w:r>
        <w:t xml:space="preserve"> </w:t>
      </w:r>
      <w:r>
        <w:t xml:space="preserve">“</w:t>
      </w:r>
      <w:r>
        <w:t xml:space="preserve">uraṇ raparaḥ</w:t>
      </w:r>
      <w:r>
        <w:t xml:space="preserve">”</w:t>
      </w:r>
      <w:r>
        <w:t xml:space="preserve"> </w:t>
      </w:r>
      <w:r>
        <w:t xml:space="preserve">(Pā. 1-1-51); all the letters of</w:t>
      </w:r>
      <w:r>
        <w:t xml:space="preserve"> </w:t>
      </w:r>
      <w:r>
        <w:rPr>
          <w:iCs/>
          <w:i/>
        </w:rPr>
        <w:t xml:space="preserve">vic</w:t>
      </w:r>
      <w:r>
        <w:t xml:space="preserve"> </w:t>
      </w:r>
      <w:r>
        <w:t xml:space="preserve">drop, giving</w:t>
      </w:r>
      <w:r>
        <w:t xml:space="preserve"> </w:t>
      </w:r>
      <w:r>
        <w:rPr>
          <w:iCs/>
          <w:i/>
        </w:rPr>
        <w:t xml:space="preserve">kar</w:t>
      </w:r>
      <w:r>
        <w:t xml:space="preserve">; in the sense</w:t>
      </w:r>
      <w:r>
        <w:t xml:space="preserve"> </w:t>
      </w:r>
      <w:r>
        <w:rPr>
          <w:iCs/>
          <w:i/>
        </w:rPr>
        <w:t xml:space="preserve">karor bhāvaḥ</w:t>
      </w:r>
      <w:r>
        <w:t xml:space="preserve"> </w:t>
      </w:r>
      <w:r>
        <w:t xml:space="preserve">(</w:t>
      </w:r>
      <w:r>
        <w:t xml:space="preserve">“</w:t>
      </w:r>
      <w:r>
        <w:t xml:space="preserve">the doing</w:t>
      </w:r>
      <w:r>
        <w:t xml:space="preserve">”</w:t>
      </w:r>
      <w:r>
        <w:t xml:space="preserve">),</w:t>
      </w:r>
      <w:r>
        <w:t xml:space="preserve"> </w:t>
      </w:r>
      <w:r>
        <w:rPr>
          <w:iCs/>
          <w:i/>
        </w:rPr>
        <w:t xml:space="preserve">tva</w:t>
      </w:r>
      <w:r>
        <w:t xml:space="preserve"> </w:t>
      </w:r>
      <w:r>
        <w:t xml:space="preserve">by</w:t>
      </w:r>
      <w:r>
        <w:t xml:space="preserve"> </w:t>
      </w:r>
      <w:r>
        <w:t xml:space="preserve">“</w:t>
      </w:r>
      <w:r>
        <w:t xml:space="preserve">tasya bhāvas tvatalau</w:t>
      </w:r>
      <w:r>
        <w:t xml:space="preserve">”</w:t>
      </w:r>
      <w:r>
        <w:t xml:space="preserve"> </w:t>
      </w:r>
      <w:r>
        <w:t xml:space="preserve">(Pā. 5-1-119), giving</w:t>
      </w:r>
      <w:r>
        <w:t xml:space="preserve"> </w:t>
      </w:r>
      <w:r>
        <w:rPr>
          <w:iCs/>
          <w:i/>
        </w:rPr>
        <w:t xml:space="preserve">kartvam</w:t>
      </w:r>
      <w:r>
        <w:t xml:space="preserve">.</w:t>
      </w:r>
      <w:r>
        <w:t xml:space="preserve"> </w:t>
      </w:r>
      <w:r>
        <w:rPr>
          <w:bCs/>
          <w:b/>
        </w:rPr>
        <w:t xml:space="preserve">अर्थम् (</w:t>
      </w:r>
      <w:r>
        <w:rPr>
          <w:iCs/>
          <w:i/>
          <w:bCs/>
          <w:b/>
        </w:rPr>
        <w:t xml:space="preserve">artham</w:t>
      </w:r>
      <w:r>
        <w:rPr>
          <w:bCs/>
          <w:b/>
        </w:rPr>
        <w:t xml:space="preserve">)</w:t>
      </w:r>
      <w:r>
        <w:t xml:space="preserve"> </w:t>
      </w:r>
      <w:r>
        <w:t xml:space="preserve">— root</w:t>
      </w:r>
      <w:r>
        <w:t xml:space="preserve"> </w:t>
      </w:r>
      <w:r>
        <w:rPr>
          <w:iCs/>
          <w:i/>
        </w:rPr>
        <w:t xml:space="preserve">ṛ gatau</w:t>
      </w:r>
      <w:r>
        <w:t xml:space="preserve"> </w:t>
      </w:r>
      <w:r>
        <w:t xml:space="preserve">with</w:t>
      </w:r>
      <w:r>
        <w:t xml:space="preserve"> </w:t>
      </w:r>
      <w:r>
        <w:rPr>
          <w:iCs/>
          <w:i/>
        </w:rPr>
        <w:t xml:space="preserve">than</w:t>
      </w:r>
      <w:r>
        <w:t xml:space="preserve"> </w:t>
      </w:r>
      <w:r>
        <w:t xml:space="preserve">(</w:t>
      </w:r>
      <w:r>
        <w:t xml:space="preserve">“</w:t>
      </w:r>
      <w:r>
        <w:t xml:space="preserve">uṣikuṣigārtibhyas than,</w:t>
      </w:r>
      <w:r>
        <w:t xml:space="preserve">”</w:t>
      </w:r>
      <w:r>
        <w:t xml:space="preserve"> </w:t>
      </w:r>
      <w:r>
        <w:t xml:space="preserve">printed</w:t>
      </w:r>
      <w:r>
        <w:t xml:space="preserve"> </w:t>
      </w:r>
      <w:r>
        <w:t xml:space="preserve">“</w:t>
      </w:r>
      <w:r>
        <w:t xml:space="preserve">pā. sū. 2-161</w:t>
      </w:r>
      <w:r>
        <w:t xml:space="preserve">”</w:t>
      </w:r>
      <w:r>
        <w:t xml:space="preserve"> </w:t>
      </w:r>
      <w:r>
        <w:t xml:space="preserve">[as printed]; the bhāṣya gives Uṇ. 2-4), after</w:t>
      </w:r>
      <w:r>
        <w:t xml:space="preserve"> </w:t>
      </w:r>
      <w:r>
        <w:rPr>
          <w:iCs/>
          <w:i/>
        </w:rPr>
        <w:t xml:space="preserve">uṣa dāhe</w:t>
      </w:r>
      <w:r>
        <w:t xml:space="preserve">,</w:t>
      </w:r>
      <w:r>
        <w:t xml:space="preserve"> </w:t>
      </w:r>
      <w:r>
        <w:rPr>
          <w:iCs/>
          <w:i/>
        </w:rPr>
        <w:t xml:space="preserve">kuṣa niṣkarṣe</w:t>
      </w:r>
      <w:r>
        <w:t xml:space="preserve">,</w:t>
      </w:r>
      <w:r>
        <w:t xml:space="preserve"> </w:t>
      </w:r>
      <w:r>
        <w:rPr>
          <w:iCs/>
          <w:i/>
        </w:rPr>
        <w:t xml:space="preserve">gai śabde</w:t>
      </w:r>
      <w:r>
        <w:t xml:space="preserve"> </w:t>
      </w:r>
      <w:r>
        <w:t xml:space="preserve">and</w:t>
      </w:r>
      <w:r>
        <w:t xml:space="preserve"> </w:t>
      </w:r>
      <w:r>
        <w:rPr>
          <w:iCs/>
          <w:i/>
        </w:rPr>
        <w:t xml:space="preserve">ṛ gatau</w:t>
      </w:r>
      <w:r>
        <w:t xml:space="preserve">;</w:t>
      </w:r>
      <w:r>
        <w:t xml:space="preserve"> </w:t>
      </w:r>
      <w:r>
        <w:rPr>
          <w:iCs/>
          <w:i/>
        </w:rPr>
        <w:t xml:space="preserve">guṇa</w:t>
      </w:r>
      <w:r>
        <w:t xml:space="preserve"> </w:t>
      </w:r>
      <w:r>
        <w:t xml:space="preserve">and</w:t>
      </w:r>
      <w:r>
        <w:t xml:space="preserve"> </w:t>
      </w:r>
      <w:r>
        <w:rPr>
          <w:iCs/>
          <w:i/>
        </w:rPr>
        <w:t xml:space="preserve">raparatva</w:t>
      </w:r>
      <w:r>
        <w:t xml:space="preserve">; initial-udātta (</w:t>
      </w:r>
      <w:r>
        <w:rPr>
          <w:iCs/>
          <w:i/>
        </w:rPr>
        <w:t xml:space="preserve">nit</w:t>
      </w:r>
      <w:r>
        <w:t xml:space="preserve">).</w:t>
      </w:r>
      <w:r>
        <w:t xml:space="preserve"> </w:t>
      </w:r>
      <w:r>
        <w:rPr>
          <w:bCs/>
          <w:b/>
        </w:rPr>
        <w:t xml:space="preserve">यूथेन (</w:t>
      </w:r>
      <w:r>
        <w:rPr>
          <w:iCs/>
          <w:i/>
          <w:bCs/>
          <w:b/>
        </w:rPr>
        <w:t xml:space="preserve">yūthena</w:t>
      </w:r>
      <w:r>
        <w:rPr>
          <w:bCs/>
          <w:b/>
        </w:rPr>
        <w:t xml:space="preserve">)</w:t>
      </w:r>
      <w:r>
        <w:t xml:space="preserve"> </w:t>
      </w:r>
      <w:r>
        <w:t xml:space="preserve">—</w:t>
      </w:r>
      <w:r>
        <w:t xml:space="preserve"> </w:t>
      </w:r>
      <w:r>
        <w:t xml:space="preserve">“</w:t>
      </w:r>
      <w:r>
        <w:t xml:space="preserve">tithapṛṣṭhagūthayūthaprothāḥ</w:t>
      </w:r>
      <w:r>
        <w:t xml:space="preserve">”</w:t>
      </w:r>
      <w:r>
        <w:t xml:space="preserve"> </w:t>
      </w:r>
      <w:r>
        <w:t xml:space="preserve">(printed</w:t>
      </w:r>
      <w:r>
        <w:t xml:space="preserve"> </w:t>
      </w:r>
      <w:r>
        <w:t xml:space="preserve">“</w:t>
      </w:r>
      <w:r>
        <w:t xml:space="preserve">pā. sū. 2-169</w:t>
      </w:r>
      <w:r>
        <w:t xml:space="preserve">”</w:t>
      </w:r>
      <w:r>
        <w:t xml:space="preserve"> </w:t>
      </w:r>
      <w:r>
        <w:t xml:space="preserve">[as printed]; the bhāṣya gives Uṇ. 2-12): an irregular formation with</w:t>
      </w:r>
      <w:r>
        <w:t xml:space="preserve"> </w:t>
      </w:r>
      <w:r>
        <w:rPr>
          <w:iCs/>
          <w:i/>
        </w:rPr>
        <w:t xml:space="preserve">thak</w:t>
      </w:r>
      <w:r>
        <w:t xml:space="preserve">.</w:t>
      </w:r>
      <w:r>
        <w:t xml:space="preserve"> </w:t>
      </w:r>
      <w:r>
        <w:rPr>
          <w:bCs/>
          <w:b/>
        </w:rPr>
        <w:t xml:space="preserve">वृष्णिः (</w:t>
      </w:r>
      <w:r>
        <w:rPr>
          <w:iCs/>
          <w:i/>
          <w:bCs/>
          <w:b/>
        </w:rPr>
        <w:t xml:space="preserve">vṛṣṇiḥ</w:t>
      </w:r>
      <w:r>
        <w:rPr>
          <w:bCs/>
          <w:b/>
        </w:rPr>
        <w:t xml:space="preserve">)</w:t>
      </w:r>
      <w:r>
        <w:t xml:space="preserve"> </w:t>
      </w:r>
      <w:r>
        <w:t xml:space="preserve">—</w:t>
      </w:r>
      <w:r>
        <w:t xml:space="preserve"> </w:t>
      </w:r>
      <w:r>
        <w:t xml:space="preserve">“</w:t>
      </w:r>
      <w:r>
        <w:t xml:space="preserve">sṛvṛṣibhyāṃ kit</w:t>
      </w:r>
      <w:r>
        <w:t xml:space="preserve">”</w:t>
      </w:r>
      <w:r>
        <w:t xml:space="preserve"> </w:t>
      </w:r>
      <w:r>
        <w:t xml:space="preserve">(Uṇ. 4-486 [as printed]; the bhāṣya gives 4-49) after</w:t>
      </w:r>
      <w:r>
        <w:t xml:space="preserve"> </w:t>
      </w:r>
      <w:r>
        <w:rPr>
          <w:iCs/>
          <w:i/>
        </w:rPr>
        <w:t xml:space="preserve">sṛ</w:t>
      </w:r>
      <w:r>
        <w:t xml:space="preserve"> </w:t>
      </w:r>
      <w:r>
        <w:t xml:space="preserve">(to go) and</w:t>
      </w:r>
      <w:r>
        <w:t xml:space="preserve"> </w:t>
      </w:r>
      <w:r>
        <w:rPr>
          <w:iCs/>
          <w:i/>
        </w:rPr>
        <w:t xml:space="preserve">vṛṣu secane</w:t>
      </w:r>
      <w:r>
        <w:t xml:space="preserve">, the suffix</w:t>
      </w:r>
      <w:r>
        <w:t xml:space="preserve"> </w:t>
      </w:r>
      <w:r>
        <w:rPr>
          <w:iCs/>
          <w:i/>
        </w:rPr>
        <w:t xml:space="preserve">ni</w:t>
      </w:r>
      <w:r>
        <w:t xml:space="preserve">;</w:t>
      </w:r>
      <w:r>
        <w:t xml:space="preserve"> </w:t>
      </w:r>
      <w:r>
        <w:rPr>
          <w:iCs/>
          <w:i/>
        </w:rPr>
        <w:t xml:space="preserve">kit</w:t>
      </w:r>
      <w:r>
        <w:t xml:space="preserve">, so no</w:t>
      </w:r>
      <w:r>
        <w:t xml:space="preserve"> </w:t>
      </w:r>
      <w:r>
        <w:rPr>
          <w:iCs/>
          <w:i/>
        </w:rPr>
        <w:t xml:space="preserve">guṇa</w:t>
      </w:r>
      <w:r>
        <w:t xml:space="preserve">; final-udātta by the suffix.</w:t>
      </w:r>
      <w:r>
        <w:t xml:space="preserve"> </w:t>
      </w:r>
      <w:r>
        <w:rPr>
          <w:bCs/>
          <w:b/>
        </w:rPr>
        <w:t xml:space="preserve">एजति (</w:t>
      </w:r>
      <w:r>
        <w:rPr>
          <w:iCs/>
          <w:i/>
          <w:bCs/>
          <w:b/>
        </w:rPr>
        <w:t xml:space="preserve">ejati</w:t>
      </w:r>
      <w:r>
        <w:rPr>
          <w:bCs/>
          <w:b/>
        </w:rPr>
        <w:t xml:space="preserve">)</w:t>
      </w:r>
      <w:r>
        <w:t xml:space="preserve"> </w:t>
      </w:r>
      <w:r>
        <w:t xml:space="preserve">— root</w:t>
      </w:r>
      <w:r>
        <w:t xml:space="preserve"> </w:t>
      </w:r>
      <w:r>
        <w:rPr>
          <w:iCs/>
          <w:i/>
        </w:rPr>
        <w:t xml:space="preserve">ejṛ kampane</w:t>
      </w:r>
      <w:r>
        <w:t xml:space="preserve">; unaccented by</w:t>
      </w:r>
      <w:r>
        <w:t xml:space="preserve"> </w:t>
      </w:r>
      <w:r>
        <w:t xml:space="preserve">“</w:t>
      </w:r>
      <w:r>
        <w:t xml:space="preserve">tiṅṅ atiṅaḥ</w:t>
      </w:r>
      <w:r>
        <w:t xml:space="preserve">”</w:t>
      </w:r>
      <w:r>
        <w:t xml:space="preserve"> </w:t>
      </w:r>
      <w:r>
        <w:t xml:space="preserve">(Pā. 8-1-28).</w:t>
      </w:r>
    </w:p>
    <w:p>
      <w:pPr>
        <w:pStyle w:val="BodyText"/>
      </w:pPr>
      <w:r>
        <w:rPr>
          <w:bCs/>
          <w:b/>
        </w:rPr>
        <w:t xml:space="preserve">॥२॥</w:t>
      </w:r>
    </w:p>
    <w:p>
      <w:r>
        <w:pict>
          <v:rect style="width:0;height:1.5pt" o:hralign="center" o:hrstd="t" o:hr="t"/>
        </w:pict>
      </w:r>
    </w:p>
    <w:bookmarkEnd w:id="417"/>
    <w:bookmarkStart w:id="418" w:name="page-392-sūkta-10-rik-3"/>
    <w:p>
      <w:pPr>
        <w:pStyle w:val="Heading3"/>
      </w:pPr>
      <w:r>
        <w:t xml:space="preserve">Page 392 — Sūkta 10, Rik 3</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यु॒क्ष्वा हि के॒शिना॒ ह॒री वृष॑णा कक्ष्यप्रा ।</w:t>
      </w:r>
      <w:r>
        <w:t xml:space="preserve"> </w:t>
      </w:r>
      <w:r>
        <w:t xml:space="preserve">अथा॑ न इन्द्र सोमपा गि॒रामु॒प॑श्रुतिं चर ॥३॥</w:t>
      </w:r>
    </w:p>
    <w:p>
      <w:pPr>
        <w:pStyle w:val="BlockText"/>
      </w:pPr>
      <w:r>
        <w:rPr>
          <w:iCs/>
          <w:i/>
        </w:rPr>
        <w:t xml:space="preserve">yukṣvā́ hi keśínā harī́ vṛ́ṣaṇā kakṣyaprā |</w:t>
      </w:r>
      <w:r>
        <w:t xml:space="preserve"> </w:t>
      </w:r>
      <w:r>
        <w:rPr>
          <w:iCs/>
          <w:i/>
        </w:rPr>
        <w:t xml:space="preserve">áthā na indra somapā girā́m upaśrutiṃ cara ||3||</w:t>
      </w:r>
    </w:p>
    <w:p>
      <w:pPr>
        <w:pStyle w:val="FirstParagraph"/>
      </w:pPr>
      <w:r>
        <w:rPr>
          <w:bCs/>
          <w:b/>
        </w:rPr>
        <w:t xml:space="preserve">॥ Pada-pāṭhaḥ ॥</w:t>
      </w:r>
    </w:p>
    <w:p>
      <w:pPr>
        <w:pStyle w:val="BlockText"/>
      </w:pPr>
      <w:r>
        <w:t xml:space="preserve">युक्ष्व । हि । केशिना । हरी इति । वृषणा । कक्ष्यऽप्रा ॥</w:t>
      </w:r>
      <w:r>
        <w:t xml:space="preserve"> </w:t>
      </w:r>
      <w:r>
        <w:t xml:space="preserve">अथ । नः । इन्द्र । सोमऽपाः । गिराम् । उपऽश्रुतिम् । चर ॥३॥</w:t>
      </w:r>
    </w:p>
    <w:p>
      <w:pPr>
        <w:pStyle w:val="BlockText"/>
      </w:pPr>
      <w:r>
        <w:rPr>
          <w:iCs/>
          <w:i/>
        </w:rPr>
        <w:t xml:space="preserve">yukṣva | hi | keśinā | harī iti | vṛṣaṇā | kakṣya-prā ||</w:t>
      </w:r>
      <w:r>
        <w:t xml:space="preserve"> </w:t>
      </w:r>
      <w:r>
        <w:rPr>
          <w:iCs/>
          <w:i/>
        </w:rPr>
        <w:t xml:space="preserve">atha | naḥ | indra | soma-pāḥ | girām | upa-śrutim | cara ||3||</w:t>
      </w:r>
    </w:p>
    <w:p>
      <w:pPr>
        <w:pStyle w:val="FirstParagraph"/>
      </w:pPr>
      <w:r>
        <w:rPr>
          <w:bCs/>
          <w:b/>
        </w:rPr>
        <w:t xml:space="preserve">॥ Sāyaṇa-bhāṣyam ॥</w:t>
      </w:r>
    </w:p>
    <w:p>
      <w:pPr>
        <w:pStyle w:val="BlockText"/>
      </w:pPr>
      <w:r>
        <w:t xml:space="preserve">हे सोमपाः सोमपानयुक्तेन्द्र हरी त्वदीयावश्वौ युक्ष्वा हि । सर्वथा संयोजय । अथानन्तरं नो ऽस्मदीयानां गिरां स्तुतीनामुपश्रुतिं समीपे श्रवणमुद्दिश्य चर । तत्प्रदेशं गच्छ । कीदृशौ हरी । केशिना स्कन्धप्रदेशे लम्बमानकेशयुक्तौ वृषणा सेचनसमर्थौ युवानौ कक्ष्यप्रा । अश्वस्योदरबन्धनरज्जुः कक्ष्या तस्याः पूरकौ । पुष्टाङ्गावित्यर्थः ॥ युक्ष्व । श्नमो लोपश्छान्दसः । सति शिष्टत्वेन प्रत्ययस्वरः शिष्यते । द्व्यचो ऽतस्तिङ इति संहितायां दीर्घत्वम् । केशिना । प्रशस्ताः केशा अनयोः सन्तीति मत्वर्थीय इनिः । प्रत्ययस्वरः । सुपां सुलुगित्यादिना द्विवचनस्याकारादेशः । वृषणा । पृषु वृषु मृषु सेचने । कनिन्युवृषितक्षिराजिधन्विद्युप्रतिदिवः । उ. १-१५६ । इति कनिन् । ञ्नित्यादिर्नित्यमित्याद्युदात्तः । वा षपूर्वस्य निगमे । पा. ६-४-९ । इत्युपधायाः पक्षे दीर्घाभावः । पूर्ववदाकारः । कक्ष्यप्रा । कक्ष्ययोर्भवं कक्ष्यं सूत्रम् । तत्प्रातः पूरयतः पुष्टत्वादिति कक्ष्यप्रौ । प्रा पूरणे । आतो ऽनुपसर्गे कः । पा. ३-२-३ । इति कप्रत्ययः । कृदुत्तरपदप्रकृतिस्वरेणान्तोदात्तत्वम् । आकारः पूर्ववत् । अथ । निपातस्येति संहितायां दीर्घः । नः । अनुदात्तं सर्वमपादादावित्यनुवृत्तौ बहुवचनस्य वस्नसौ । पा. ८-१-२१ । इति नसादेशो ऽनुदात्तः । इन्द्र सोमपा । उभावामन्त्रितस्य चेति सर्वानुदात्तौ । गिराम् । सावेकाचस्तृतीयादिर्विभक्तिरिति विभक्तिरुदात्ता । उपशब्दो निपातत्वादाद्युदात्तः । श्रुतिशब्देन प्रादिसमासे कृदुत्तरपदप्रकृतिस्वरत्वे प्राप्ते तादौ च निति कृत्यतौ । पा. ६-२-५० । इति तुवर्जिततादिपरत्वाद्गतेः प्रकृतिस्वरः । चर । निघातः ॥</w:t>
      </w:r>
    </w:p>
    <w:p>
      <w:pPr>
        <w:pStyle w:val="BlockText"/>
      </w:pPr>
      <w:r>
        <w:rPr>
          <w:iCs/>
          <w:i/>
        </w:rPr>
        <w:t xml:space="preserve">he somapāḥ somapānayuktendra harī tvadīyāvaśvau yukṣvā hi | sarvathā saṃyojaya | athānantaraṃ no ’smadīyānāṃ girāṃ stutīnāmupaśrutiṃ samīpe śravaṇamuddiśya cara | tatpradeśaṃ gaccha | kīdṛśau harī | keśinā skandhapradeśe lambamānakeśayuktau vṛṣaṇā secanasamarthau yuvānau kakṣyaprā | aśvasyodarabandhanarajjuḥ kakṣyā tasyāḥ pūrakau | puṣṭāṅgāvityarthaḥ || yukṣva | śnamo lopaśchāndasaḥ | sati śiṣṭatvena pratyayasvaraḥ śiṣyate | dvyaco ’tastiṅa iti saṃhitāyāṃ dīrghatvam | keśinā | praśastāḥ keśā anayoḥ santīti matvarthīya iniḥ | pratyayasvaraḥ | supāṃ sulugityādinā dvivacanasyākārādeśaḥ | vṛṣaṇā | pṛṣu vṛṣu mṛṣu secane | kaninyuvṛṣitakṣirājidhanvidyupratidivaḥ | u. 1-156 | iti kanin | ñnityādirnityamityādyudāttaḥ | vā ṣapūrvasya nigame | pā. 6-4-9 | ityupadhāyāḥ pakṣe dīrghābhāvaḥ | pūrvavadākāraḥ | kakṣyaprā | kakṣyayorbhavaṃ kakṣyaṃ sūtram | tatprātaḥ pūrayataḥ puṣṭatvāditi kakṣyaprau | prā pūraṇe | āto ’nupasarge kaḥ | pā. 3-2-3 | iti kapratyayaḥ | kṛduttarapadaprakṛtisvareṇāntodāttatvam | ākāraḥ pūrvavat | atha | nipātasyeti saṃhitāyāṃ dīrghaḥ | naḥ | anudāttaṃ sarvamapādādāvityanuvṛttau bahuvacanasya vasnasau | pā. 8-1-21 | iti nasādeśo ’nudāttaḥ | indra somapā | ubhāvāmantritasya ceti sarvānudāttau | girām | sāvekācastṛtīyādirvibhaktiriti vibhaktirudāttā | upaśabdo nipātatvādādyudāttaḥ | śrutiśabdena prādisamāse kṛduttarapadaprakṛtisvaratve prāpte tādau ca niti kṛtyatau | pā. 6-2-50 | iti tuvarjitatādiparatvādgateḥ prakṛtisvaraḥ | cara | nighātaḥ ||</w:t>
      </w:r>
    </w:p>
    <w:p>
      <w:pPr>
        <w:pStyle w:val="FirstParagraph"/>
      </w:pPr>
      <w:r>
        <w:rPr>
          <w:bCs/>
          <w:b/>
        </w:rPr>
        <w:t xml:space="preserve">Translation:</w:t>
      </w:r>
      <w:r>
        <w:t xml:space="preserve"> </w:t>
      </w:r>
      <w:r>
        <w:t xml:space="preserve">“</w:t>
      </w:r>
      <w:r>
        <w:t xml:space="preserve">O</w:t>
      </w:r>
      <w:r>
        <w:t xml:space="preserve"> </w:t>
      </w:r>
      <w:r>
        <w:rPr>
          <w:iCs/>
          <w:i/>
        </w:rPr>
        <w:t xml:space="preserve">somapāḥ</w:t>
      </w:r>
      <w:r>
        <w:t xml:space="preserve"> </w:t>
      </w:r>
      <w:r>
        <w:t xml:space="preserve">— O Indra, drinker of Soma!</w:t>
      </w:r>
      <w:r>
        <w:t xml:space="preserve"> </w:t>
      </w:r>
      <w:r>
        <w:rPr>
          <w:iCs/>
          <w:i/>
        </w:rPr>
        <w:t xml:space="preserve">Harī</w:t>
      </w:r>
      <w:r>
        <w:t xml:space="preserve"> </w:t>
      </w:r>
      <w:r>
        <w:t xml:space="preserve">— your two horses (</w:t>
      </w:r>
      <w:r>
        <w:rPr>
          <w:iCs/>
          <w:i/>
        </w:rPr>
        <w:t xml:space="preserve">tvadīyāv aśvau</w:t>
      </w:r>
      <w:r>
        <w:t xml:space="preserve">) —</w:t>
      </w:r>
      <w:r>
        <w:t xml:space="preserve"> </w:t>
      </w:r>
      <w:r>
        <w:rPr>
          <w:iCs/>
          <w:i/>
        </w:rPr>
        <w:t xml:space="preserve">yukṣvā hi</w:t>
      </w:r>
      <w:r>
        <w:t xml:space="preserve">: yoke [them] fully.</w:t>
      </w:r>
      <w:r>
        <w:t xml:space="preserve"> </w:t>
      </w:r>
      <w:r>
        <w:rPr>
          <w:iCs/>
          <w:i/>
        </w:rPr>
        <w:t xml:space="preserve">Athā</w:t>
      </w:r>
      <w:r>
        <w:t xml:space="preserve"> </w:t>
      </w:r>
      <w:r>
        <w:t xml:space="preserve">— thereafter —</w:t>
      </w:r>
      <w:r>
        <w:t xml:space="preserve"> </w:t>
      </w:r>
      <w:r>
        <w:rPr>
          <w:iCs/>
          <w:i/>
        </w:rPr>
        <w:t xml:space="preserve">cara</w:t>
      </w:r>
      <w:r>
        <w:t xml:space="preserve">: go to the place, with a view to</w:t>
      </w:r>
      <w:r>
        <w:t xml:space="preserve"> </w:t>
      </w:r>
      <w:r>
        <w:rPr>
          <w:iCs/>
          <w:i/>
        </w:rPr>
        <w:t xml:space="preserve">upaśruti</w:t>
      </w:r>
      <w:r>
        <w:t xml:space="preserve"> </w:t>
      </w:r>
      <w:r>
        <w:t xml:space="preserve">— listening near at hand — of</w:t>
      </w:r>
      <w:r>
        <w:t xml:space="preserve"> </w:t>
      </w:r>
      <w:r>
        <w:rPr>
          <w:iCs/>
          <w:i/>
        </w:rPr>
        <w:t xml:space="preserve">naḥ girām</w:t>
      </w:r>
      <w:r>
        <w:t xml:space="preserve">, our praises. What kind of two horses?</w:t>
      </w:r>
      <w:r>
        <w:t xml:space="preserve"> </w:t>
      </w:r>
      <w:r>
        <w:rPr>
          <w:iCs/>
          <w:i/>
        </w:rPr>
        <w:t xml:space="preserve">Keśinā</w:t>
      </w:r>
      <w:r>
        <w:t xml:space="preserve"> </w:t>
      </w:r>
      <w:r>
        <w:t xml:space="preserve">— having manes hanging down on the shoulder region;</w:t>
      </w:r>
      <w:r>
        <w:t xml:space="preserve"> </w:t>
      </w:r>
      <w:r>
        <w:rPr>
          <w:iCs/>
          <w:i/>
        </w:rPr>
        <w:t xml:space="preserve">vṛṣaṇā</w:t>
      </w:r>
      <w:r>
        <w:t xml:space="preserve"> </w:t>
      </w:r>
      <w:r>
        <w:t xml:space="preserve">— able to sprinkle (to rain), young;</w:t>
      </w:r>
      <w:r>
        <w:t xml:space="preserve"> </w:t>
      </w:r>
      <w:r>
        <w:rPr>
          <w:iCs/>
          <w:i/>
        </w:rPr>
        <w:t xml:space="preserve">kakṣyaprā</w:t>
      </w:r>
      <w:r>
        <w:t xml:space="preserve"> </w:t>
      </w:r>
      <w:r>
        <w:t xml:space="preserve">—</w:t>
      </w:r>
      <w:r>
        <w:t xml:space="preserve"> </w:t>
      </w:r>
      <w:r>
        <w:rPr>
          <w:iCs/>
          <w:i/>
        </w:rPr>
        <w:t xml:space="preserve">kakṣyā</w:t>
      </w:r>
      <w:r>
        <w:t xml:space="preserve"> </w:t>
      </w:r>
      <w:r>
        <w:t xml:space="preserve">is the rope that binds the horse’s belly; they are</w:t>
      </w:r>
      <w:r>
        <w:t xml:space="preserve"> </w:t>
      </w:r>
      <w:r>
        <w:rPr>
          <w:iCs/>
          <w:i/>
        </w:rPr>
        <w:t xml:space="preserve">prā</w:t>
      </w:r>
      <w:r>
        <w:t xml:space="preserve">,</w:t>
      </w:r>
      <w:r>
        <w:t xml:space="preserve"> </w:t>
      </w:r>
      <w:r>
        <w:t xml:space="preserve">‘</w:t>
      </w:r>
      <w:r>
        <w:t xml:space="preserve">fillers</w:t>
      </w:r>
      <w:r>
        <w:t xml:space="preserve">’</w:t>
      </w:r>
      <w:r>
        <w:t xml:space="preserve"> </w:t>
      </w:r>
      <w:r>
        <w:t xml:space="preserve">of it: that is, of well-nourished (full) bodies.</w:t>
      </w:r>
      <w:r>
        <w:t xml:space="preserve">”</w:t>
      </w:r>
      <w:r>
        <w:t xml:space="preserve"> </w:t>
      </w:r>
      <w:r>
        <w:rPr>
          <w:iCs/>
          <w:i/>
        </w:rPr>
        <w:t xml:space="preserve">(Grammar noted briefly:</w:t>
      </w:r>
      <w:r>
        <w:t xml:space="preserve"> </w:t>
      </w:r>
      <w:r>
        <w:t xml:space="preserve">yukṣva</w:t>
      </w:r>
      <w:r>
        <w:t xml:space="preserve"> </w:t>
      </w:r>
      <w:r>
        <w:rPr>
          <w:iCs/>
          <w:i/>
        </w:rPr>
        <w:t xml:space="preserve">— the loss of</w:t>
      </w:r>
      <w:r>
        <w:t xml:space="preserve"> </w:t>
      </w:r>
      <w:r>
        <w:t xml:space="preserve">śnam</w:t>
      </w:r>
      <w:r>
        <w:t xml:space="preserve"> </w:t>
      </w:r>
      <w:r>
        <w:rPr>
          <w:iCs/>
          <w:i/>
        </w:rPr>
        <w:t xml:space="preserve">is Vedic, the suffix accent stands, and the final is lengthened in the Saṃhitā (</w:t>
      </w:r>
      <w:r>
        <w:rPr>
          <w:iCs/>
          <w:i/>
        </w:rPr>
        <w:t xml:space="preserve">“</w:t>
      </w:r>
      <w:r>
        <w:rPr>
          <w:iCs/>
          <w:i/>
        </w:rPr>
        <w:t xml:space="preserve">dvyaco ’tastiṅaḥ</w:t>
      </w:r>
      <w:r>
        <w:rPr>
          <w:iCs/>
          <w:i/>
        </w:rPr>
        <w:t xml:space="preserve">”</w:t>
      </w:r>
      <w:r>
        <w:rPr>
          <w:iCs/>
          <w:i/>
        </w:rPr>
        <w:t xml:space="preserve">);</w:t>
      </w:r>
      <w:r>
        <w:t xml:space="preserve"> </w:t>
      </w:r>
      <w:r>
        <w:t xml:space="preserve">keśinā</w:t>
      </w:r>
      <w:r>
        <w:t xml:space="preserve"> </w:t>
      </w:r>
      <w:r>
        <w:rPr>
          <w:iCs/>
          <w:i/>
        </w:rPr>
        <w:t xml:space="preserve">—</w:t>
      </w:r>
      <w:r>
        <w:rPr>
          <w:iCs/>
          <w:i/>
        </w:rPr>
        <w:t xml:space="preserve"> </w:t>
      </w:r>
      <w:r>
        <w:rPr>
          <w:iCs/>
          <w:i/>
        </w:rPr>
        <w:t xml:space="preserve">“</w:t>
      </w:r>
      <w:r>
        <w:rPr>
          <w:iCs/>
          <w:i/>
        </w:rPr>
        <w:t xml:space="preserve">having handsome manes,</w:t>
      </w:r>
      <w:r>
        <w:rPr>
          <w:iCs/>
          <w:i/>
        </w:rPr>
        <w:t xml:space="preserve">”</w:t>
      </w:r>
      <w:r>
        <w:rPr>
          <w:iCs/>
          <w:i/>
        </w:rPr>
        <w:t xml:space="preserve"> </w:t>
      </w:r>
      <w:r>
        <w:rPr>
          <w:iCs/>
          <w:i/>
        </w:rPr>
        <w:t xml:space="preserve">with</w:t>
      </w:r>
      <w:r>
        <w:t xml:space="preserve"> </w:t>
      </w:r>
      <w:r>
        <w:t xml:space="preserve">ini</w:t>
      </w:r>
      <w:r>
        <w:rPr>
          <w:iCs/>
          <w:i/>
        </w:rPr>
        <w:t xml:space="preserve">;</w:t>
      </w:r>
      <w:r>
        <w:t xml:space="preserve"> </w:t>
      </w:r>
      <w:r>
        <w:t xml:space="preserve">vṛṣaṇā</w:t>
      </w:r>
      <w:r>
        <w:t xml:space="preserve"> </w:t>
      </w:r>
      <w:r>
        <w:rPr>
          <w:iCs/>
          <w:i/>
        </w:rPr>
        <w:t xml:space="preserve">— root</w:t>
      </w:r>
      <w:r>
        <w:t xml:space="preserve"> </w:t>
      </w:r>
      <w:r>
        <w:t xml:space="preserve">vṛṣu secane</w:t>
      </w:r>
      <w:r>
        <w:t xml:space="preserve"> </w:t>
      </w:r>
      <w:r>
        <w:rPr>
          <w:iCs/>
          <w:i/>
        </w:rPr>
        <w:t xml:space="preserve">with</w:t>
      </w:r>
      <w:r>
        <w:t xml:space="preserve"> </w:t>
      </w:r>
      <w:r>
        <w:t xml:space="preserve">kanin</w:t>
      </w:r>
      <w:r>
        <w:t xml:space="preserve"> </w:t>
      </w:r>
      <w:r>
        <w:rPr>
          <w:iCs/>
          <w:i/>
        </w:rPr>
        <w:t xml:space="preserve">(Uṇ. 1-156), initial-udātta; optionally no lengthening (Pā. 6-4-9); dual in</w:t>
      </w:r>
      <w:r>
        <w:t xml:space="preserve"> </w:t>
      </w:r>
      <w:r>
        <w:t xml:space="preserve">ā</w:t>
      </w:r>
      <w:r>
        <w:t xml:space="preserve"> </w:t>
      </w:r>
      <w:r>
        <w:rPr>
          <w:iCs/>
          <w:i/>
        </w:rPr>
        <w:t xml:space="preserve">by</w:t>
      </w:r>
      <w:r>
        <w:rPr>
          <w:iCs/>
          <w:i/>
        </w:rPr>
        <w:t xml:space="preserve"> </w:t>
      </w:r>
      <w:r>
        <w:rPr>
          <w:iCs/>
          <w:i/>
        </w:rPr>
        <w:t xml:space="preserve">“</w:t>
      </w:r>
      <w:r>
        <w:rPr>
          <w:iCs/>
          <w:i/>
        </w:rPr>
        <w:t xml:space="preserve">supāṃ suluk…</w:t>
      </w:r>
      <w:r>
        <w:rPr>
          <w:iCs/>
          <w:i/>
        </w:rPr>
        <w:t xml:space="preserve">”</w:t>
      </w:r>
      <w:r>
        <w:rPr>
          <w:iCs/>
          <w:i/>
        </w:rPr>
        <w:t xml:space="preserve">;</w:t>
      </w:r>
      <w:r>
        <w:t xml:space="preserve"> </w:t>
      </w:r>
      <w:r>
        <w:t xml:space="preserve">kakṣyaprā</w:t>
      </w:r>
      <w:r>
        <w:t xml:space="preserve"> </w:t>
      </w:r>
      <w:r>
        <w:rPr>
          <w:iCs/>
          <w:i/>
        </w:rPr>
        <w:t xml:space="preserve">— “those who fill the</w:t>
      </w:r>
      <w:r>
        <w:t xml:space="preserve"> </w:t>
      </w:r>
      <w:r>
        <w:t xml:space="preserve">kakṣya</w:t>
      </w:r>
      <w:r>
        <w:t xml:space="preserve"> </w:t>
      </w:r>
      <w:r>
        <w:rPr>
          <w:iCs/>
          <w:i/>
        </w:rPr>
        <w:t xml:space="preserve">(the girth-cord) because they are well fed,” root</w:t>
      </w:r>
      <w:r>
        <w:t xml:space="preserve"> </w:t>
      </w:r>
      <w:r>
        <w:t xml:space="preserve">prā pūraṇe</w:t>
      </w:r>
      <w:r>
        <w:t xml:space="preserve"> </w:t>
      </w:r>
      <w:r>
        <w:rPr>
          <w:iCs/>
          <w:i/>
        </w:rPr>
        <w:t xml:space="preserve">with</w:t>
      </w:r>
      <w:r>
        <w:t xml:space="preserve"> </w:t>
      </w:r>
      <w:r>
        <w:t xml:space="preserve">ka</w:t>
      </w:r>
      <w:r>
        <w:t xml:space="preserve"> </w:t>
      </w:r>
      <w:r>
        <w:rPr>
          <w:iCs/>
          <w:i/>
        </w:rPr>
        <w:t xml:space="preserve">(Pā. 3-2-3), final-udātta by the second-member rule;</w:t>
      </w:r>
      <w:r>
        <w:t xml:space="preserve"> </w:t>
      </w:r>
      <w:r>
        <w:t xml:space="preserve">athā</w:t>
      </w:r>
      <w:r>
        <w:t xml:space="preserve"> </w:t>
      </w:r>
      <w:r>
        <w:rPr>
          <w:iCs/>
          <w:i/>
        </w:rPr>
        <w:t xml:space="preserve">— the particle lengthened in the Saṃhitā;</w:t>
      </w:r>
      <w:r>
        <w:t xml:space="preserve"> </w:t>
      </w:r>
      <w:r>
        <w:t xml:space="preserve">naḥ</w:t>
      </w:r>
      <w:r>
        <w:t xml:space="preserve"> </w:t>
      </w:r>
      <w:r>
        <w:rPr>
          <w:iCs/>
          <w:i/>
        </w:rPr>
        <w:t xml:space="preserve">— substitute</w:t>
      </w:r>
      <w:r>
        <w:t xml:space="preserve"> </w:t>
      </w:r>
      <w:r>
        <w:t xml:space="preserve">nas</w:t>
      </w:r>
      <w:r>
        <w:t xml:space="preserve"> </w:t>
      </w:r>
      <w:r>
        <w:rPr>
          <w:iCs/>
          <w:i/>
        </w:rPr>
        <w:t xml:space="preserve">for</w:t>
      </w:r>
      <w:r>
        <w:t xml:space="preserve"> </w:t>
      </w:r>
      <w:r>
        <w:t xml:space="preserve">asmān/asmākam</w:t>
      </w:r>
      <w:r>
        <w:t xml:space="preserve"> </w:t>
      </w:r>
      <w:r>
        <w:rPr>
          <w:iCs/>
          <w:i/>
        </w:rPr>
        <w:t xml:space="preserve">(Pā. 8-1-21), unaccented;</w:t>
      </w:r>
      <w:r>
        <w:t xml:space="preserve"> </w:t>
      </w:r>
      <w:r>
        <w:t xml:space="preserve">indra, somapā</w:t>
      </w:r>
      <w:r>
        <w:t xml:space="preserve"> </w:t>
      </w:r>
      <w:r>
        <w:rPr>
          <w:iCs/>
          <w:i/>
        </w:rPr>
        <w:t xml:space="preserve">— vocatives, both unaccented;</w:t>
      </w:r>
      <w:r>
        <w:t xml:space="preserve"> </w:t>
      </w:r>
      <w:r>
        <w:t xml:space="preserve">girām</w:t>
      </w:r>
      <w:r>
        <w:t xml:space="preserve"> </w:t>
      </w:r>
      <w:r>
        <w:rPr>
          <w:iCs/>
          <w:i/>
        </w:rPr>
        <w:t xml:space="preserve">— case-ending udātta;</w:t>
      </w:r>
      <w:r>
        <w:t xml:space="preserve"> </w:t>
      </w:r>
      <w:r>
        <w:t xml:space="preserve">upaśrutim</w:t>
      </w:r>
      <w:r>
        <w:t xml:space="preserve"> </w:t>
      </w:r>
      <w:r>
        <w:rPr>
          <w:iCs/>
          <w:i/>
        </w:rPr>
        <w:t xml:space="preserve">— the prefix</w:t>
      </w:r>
      <w:r>
        <w:t xml:space="preserve"> </w:t>
      </w:r>
      <w:r>
        <w:t xml:space="preserve">upa</w:t>
      </w:r>
      <w:r>
        <w:t xml:space="preserve"> </w:t>
      </w:r>
      <w:r>
        <w:rPr>
          <w:iCs/>
          <w:i/>
        </w:rPr>
        <w:t xml:space="preserve">is initial-udātta as a particle, and by</w:t>
      </w:r>
      <w:r>
        <w:rPr>
          <w:iCs/>
          <w:i/>
        </w:rPr>
        <w:t xml:space="preserve"> </w:t>
      </w:r>
      <w:r>
        <w:rPr>
          <w:iCs/>
          <w:i/>
        </w:rPr>
        <w:t xml:space="preserve">“</w:t>
      </w:r>
      <w:r>
        <w:rPr>
          <w:iCs/>
          <w:i/>
        </w:rPr>
        <w:t xml:space="preserve">tādau ca niti kṛty atau</w:t>
      </w:r>
      <w:r>
        <w:rPr>
          <w:iCs/>
          <w:i/>
        </w:rPr>
        <w:t xml:space="preserve">”</w:t>
      </w:r>
      <w:r>
        <w:rPr>
          <w:iCs/>
          <w:i/>
        </w:rPr>
        <w:t xml:space="preserve"> </w:t>
      </w:r>
      <w:r>
        <w:rPr>
          <w:iCs/>
          <w:i/>
        </w:rPr>
        <w:t xml:space="preserve">(Pā. 6-2-50) the prefix keeps its accent;</w:t>
      </w:r>
      <w:r>
        <w:t xml:space="preserve"> </w:t>
      </w:r>
      <w:r>
        <w:t xml:space="preserve">cara *— unaccented.)</w:t>
      </w:r>
    </w:p>
    <w:bookmarkEnd w:id="418"/>
    <w:bookmarkStart w:id="419" w:name="Xe8d431590dde014bb43125e5a11daa480e184fe"/>
    <w:p>
      <w:pPr>
        <w:pStyle w:val="Heading3"/>
      </w:pPr>
      <w:r>
        <w:t xml:space="preserve">Page 393 — Rik 3: word-meanings, overall sense, English, Special Topics</w:t>
      </w:r>
    </w:p>
    <w:p>
      <w:pPr>
        <w:pStyle w:val="FirstParagraph"/>
      </w:pPr>
      <w:r>
        <w:rPr>
          <w:bCs/>
          <w:b/>
        </w:rPr>
        <w:t xml:space="preserve">॥ Prati-padārthaḥ ॥</w:t>
      </w:r>
    </w:p>
    <w:p>
      <w:pPr>
        <w:pStyle w:val="BodyText"/>
      </w:pPr>
      <w:r>
        <w:rPr>
          <w:bCs/>
          <w:b/>
        </w:rPr>
        <w:t xml:space="preserve">सोमपाः (somapāḥ)</w:t>
      </w:r>
      <w:r>
        <w:t xml:space="preserve"> </w:t>
      </w:r>
      <w:r>
        <w:t xml:space="preserve">— O Indra who drink Soma (so absorbed in it) |</w:t>
      </w:r>
      <w:r>
        <w:t xml:space="preserve"> </w:t>
      </w:r>
      <w:r>
        <w:rPr>
          <w:bCs/>
          <w:b/>
        </w:rPr>
        <w:t xml:space="preserve">केशिना (keśinā)</w:t>
      </w:r>
      <w:r>
        <w:t xml:space="preserve"> </w:t>
      </w:r>
      <w:r>
        <w:t xml:space="preserve">— having manes (the long hair that grows upright on the neck) |</w:t>
      </w:r>
      <w:r>
        <w:t xml:space="preserve"> </w:t>
      </w:r>
      <w:r>
        <w:rPr>
          <w:bCs/>
          <w:b/>
        </w:rPr>
        <w:t xml:space="preserve">वृषणा (vṛṣaṇā)</w:t>
      </w:r>
      <w:r>
        <w:t xml:space="preserve"> </w:t>
      </w:r>
      <w:r>
        <w:t xml:space="preserve">— able to sprinkle, that is, in the prime of youth |</w:t>
      </w:r>
      <w:r>
        <w:t xml:space="preserve"> </w:t>
      </w:r>
      <w:r>
        <w:rPr>
          <w:bCs/>
          <w:b/>
        </w:rPr>
        <w:t xml:space="preserve">कक्ष्यप्रा (kakṣyaprā)</w:t>
      </w:r>
      <w:r>
        <w:t xml:space="preserve"> </w:t>
      </w:r>
      <w:r>
        <w:t xml:space="preserve">— with fully nourished bodies, such that the girth-rope tied about the belly is filled out |</w:t>
      </w:r>
      <w:r>
        <w:t xml:space="preserve"> </w:t>
      </w:r>
      <w:r>
        <w:rPr>
          <w:bCs/>
          <w:b/>
        </w:rPr>
        <w:t xml:space="preserve">हरी (harī)</w:t>
      </w:r>
      <w:r>
        <w:t xml:space="preserve"> </w:t>
      </w:r>
      <w:r>
        <w:t xml:space="preserve">— your two horses |</w:t>
      </w:r>
      <w:r>
        <w:t xml:space="preserve"> </w:t>
      </w:r>
      <w:r>
        <w:rPr>
          <w:bCs/>
          <w:b/>
        </w:rPr>
        <w:t xml:space="preserve">युक्ष्व हि (yukṣva hi)</w:t>
      </w:r>
      <w:r>
        <w:t xml:space="preserve"> </w:t>
      </w:r>
      <w:r>
        <w:t xml:space="preserve">— yoke [them to the chariot] |</w:t>
      </w:r>
      <w:r>
        <w:t xml:space="preserve"> </w:t>
      </w:r>
      <w:r>
        <w:rPr>
          <w:bCs/>
          <w:b/>
        </w:rPr>
        <w:t xml:space="preserve">अथ (atha)</w:t>
      </w:r>
      <w:r>
        <w:t xml:space="preserve"> </w:t>
      </w:r>
      <w:r>
        <w:t xml:space="preserve">— then |</w:t>
      </w:r>
      <w:r>
        <w:t xml:space="preserve"> </w:t>
      </w:r>
      <w:r>
        <w:rPr>
          <w:bCs/>
          <w:b/>
        </w:rPr>
        <w:t xml:space="preserve">नः (naḥ)</w:t>
      </w:r>
      <w:r>
        <w:t xml:space="preserve"> </w:t>
      </w:r>
      <w:r>
        <w:t xml:space="preserve">— our |</w:t>
      </w:r>
      <w:r>
        <w:t xml:space="preserve"> </w:t>
      </w:r>
      <w:r>
        <w:rPr>
          <w:bCs/>
          <w:b/>
        </w:rPr>
        <w:t xml:space="preserve">गिराम् (girām)</w:t>
      </w:r>
      <w:r>
        <w:t xml:space="preserve"> </w:t>
      </w:r>
      <w:r>
        <w:t xml:space="preserve">— of the words in the form of praise |</w:t>
      </w:r>
      <w:r>
        <w:t xml:space="preserve"> </w:t>
      </w:r>
      <w:r>
        <w:rPr>
          <w:bCs/>
          <w:b/>
        </w:rPr>
        <w:t xml:space="preserve">उपश्रुतिम् (upaśrutim)</w:t>
      </w:r>
      <w:r>
        <w:t xml:space="preserve"> </w:t>
      </w:r>
      <w:r>
        <w:t xml:space="preserve">— to hear them (for hearing) near at hand |</w:t>
      </w:r>
      <w:r>
        <w:t xml:space="preserve"> </w:t>
      </w:r>
      <w:r>
        <w:rPr>
          <w:bCs/>
          <w:b/>
        </w:rPr>
        <w:t xml:space="preserve">चर (cara)</w:t>
      </w:r>
      <w:r>
        <w:t xml:space="preserve"> </w:t>
      </w:r>
      <w:r>
        <w:t xml:space="preserve">— come.</w:t>
      </w:r>
    </w:p>
    <w:p>
      <w:pPr>
        <w:pStyle w:val="BodyText"/>
      </w:pPr>
      <w:r>
        <w:rPr>
          <w:bCs/>
          <w:b/>
        </w:rPr>
        <w:t xml:space="preserve">॥ Bhāvārthaḥ ॥</w:t>
      </w:r>
    </w:p>
    <w:p>
      <w:pPr>
        <w:pStyle w:val="BodyText"/>
      </w:pPr>
      <w:r>
        <w:t xml:space="preserve">O Indra, absorbed in drinking Soma! Your horses have manes — long hair grown upright on the neck — are youthful, and have bodies so well nourished that the girth-rope tied about the belly is filled out. Yoke such horses to your chariot, and then come to us to hear, near at hand, our words of praise.</w:t>
      </w:r>
    </w:p>
    <w:p>
      <w:pPr>
        <w:pStyle w:val="BodyText"/>
      </w:pPr>
      <w:r>
        <w:rPr>
          <w:bCs/>
          <w:b/>
        </w:rPr>
        <w:t xml:space="preserve">॥ English Translation ॥</w:t>
      </w:r>
      <w:r>
        <w:t xml:space="preserve"> </w:t>
      </w:r>
      <w:r>
        <w:rPr>
          <w:iCs/>
          <w:i/>
        </w:rPr>
        <w:t xml:space="preserve">(as printed in the source)</w:t>
      </w:r>
    </w:p>
    <w:p>
      <w:pPr>
        <w:pStyle w:val="BlockText"/>
      </w:pPr>
      <w:r>
        <w:t xml:space="preserve">Indra, drinker of soma, harness your pair of long-maned youthful and well-conditioned horses and then come to hear our praises.</w:t>
      </w:r>
    </w:p>
    <w:p>
      <w:pPr>
        <w:pStyle w:val="FirstParagraph"/>
      </w:pPr>
      <w:r>
        <w:rPr>
          <w:bCs/>
          <w:b/>
        </w:rPr>
        <w:t xml:space="preserve">॥ Viśeṣa-viṣayagaḷu (Special Topics) ॥</w:t>
      </w:r>
    </w:p>
    <w:p>
      <w:pPr>
        <w:pStyle w:val="BodyText"/>
      </w:pPr>
      <w:r>
        <w:rPr>
          <w:bCs/>
          <w:b/>
        </w:rPr>
        <w:t xml:space="preserve">“</w:t>
      </w:r>
      <w:r>
        <w:rPr>
          <w:bCs/>
          <w:b/>
        </w:rPr>
        <w:t xml:space="preserve">Yukṣvā</w:t>
      </w:r>
      <w:r>
        <w:rPr>
          <w:bCs/>
          <w:b/>
        </w:rPr>
        <w:t xml:space="preserve">”</w:t>
      </w:r>
      <w:r>
        <w:t xml:space="preserve"> </w:t>
      </w:r>
      <w:r>
        <w:t xml:space="preserve">— for the convenience of the meter the final vowel is lengthened in the Saṃhitā-pāṭha. The word means</w:t>
      </w:r>
      <w:r>
        <w:t xml:space="preserve"> </w:t>
      </w:r>
      <w:r>
        <w:t xml:space="preserve">“</w:t>
      </w:r>
      <w:r>
        <w:t xml:space="preserve">join, yoke to the chariot.</w:t>
      </w:r>
      <w:r>
        <w:t xml:space="preserve">”</w:t>
      </w:r>
    </w:p>
    <w:p>
      <w:pPr>
        <w:pStyle w:val="BodyText"/>
      </w:pPr>
      <w:r>
        <w:rPr>
          <w:bCs/>
          <w:b/>
        </w:rPr>
        <w:t xml:space="preserve">“</w:t>
      </w:r>
      <w:r>
        <w:rPr>
          <w:bCs/>
          <w:b/>
        </w:rPr>
        <w:t xml:space="preserve">Keśinā</w:t>
      </w:r>
      <w:r>
        <w:rPr>
          <w:bCs/>
          <w:b/>
        </w:rPr>
        <w:t xml:space="preserve">”</w:t>
      </w:r>
      <w:r>
        <w:t xml:space="preserve"> </w:t>
      </w:r>
      <w:r>
        <w:t xml:space="preserve">—</w:t>
      </w:r>
      <w:r>
        <w:t xml:space="preserve"> </w:t>
      </w:r>
      <w:r>
        <w:rPr>
          <w:bCs/>
          <w:b/>
        </w:rPr>
        <w:t xml:space="preserve">स्कन्धप्रदेशे लम्बमानकेशयुक्तौ</w:t>
      </w:r>
      <w:r>
        <w:t xml:space="preserve"> </w:t>
      </w:r>
      <w:r>
        <w:t xml:space="preserve">(</w:t>
      </w:r>
      <w:r>
        <w:rPr>
          <w:iCs/>
          <w:i/>
        </w:rPr>
        <w:t xml:space="preserve">skandha-pradeśe lambamāna-keśa-yuktau</w:t>
      </w:r>
      <w:r>
        <w:t xml:space="preserve">) —</w:t>
      </w:r>
      <w:r>
        <w:t xml:space="preserve"> </w:t>
      </w:r>
      <w:r>
        <w:t xml:space="preserve">“</w:t>
      </w:r>
      <w:r>
        <w:t xml:space="preserve">furnished with manes hanging in the region of the shoulder</w:t>
      </w:r>
      <w:r>
        <w:t xml:space="preserve">”</w:t>
      </w:r>
      <w:r>
        <w:t xml:space="preserve">:</w:t>
      </w:r>
      <w:r>
        <w:t xml:space="preserve"> </w:t>
      </w:r>
      <w:r>
        <w:rPr>
          <w:iCs/>
          <w:i/>
        </w:rPr>
        <w:t xml:space="preserve">pralamba-keśarau</w:t>
      </w:r>
      <w:r>
        <w:t xml:space="preserve">, i.e., with manes grown up on the neck,</w:t>
      </w:r>
      <w:r>
        <w:t xml:space="preserve"> </w:t>
      </w:r>
      <w:r>
        <w:rPr>
          <w:iCs/>
          <w:i/>
        </w:rPr>
        <w:t xml:space="preserve">long-maned</w:t>
      </w:r>
      <w:r>
        <w:t xml:space="preserve">.</w:t>
      </w:r>
    </w:p>
    <w:p>
      <w:pPr>
        <w:pStyle w:val="BodyText"/>
      </w:pPr>
      <w:r>
        <w:rPr>
          <w:bCs/>
          <w:b/>
        </w:rPr>
        <w:t xml:space="preserve">“</w:t>
      </w:r>
      <w:r>
        <w:rPr>
          <w:bCs/>
          <w:b/>
        </w:rPr>
        <w:t xml:space="preserve">Vṛṣaṇā</w:t>
      </w:r>
      <w:r>
        <w:rPr>
          <w:bCs/>
          <w:b/>
        </w:rPr>
        <w:t xml:space="preserve">”</w:t>
      </w:r>
      <w:r>
        <w:t xml:space="preserve"> </w:t>
      </w:r>
      <w:r>
        <w:t xml:space="preserve">—</w:t>
      </w:r>
      <w:r>
        <w:t xml:space="preserve"> </w:t>
      </w:r>
      <w:r>
        <w:rPr>
          <w:bCs/>
          <w:b/>
        </w:rPr>
        <w:t xml:space="preserve">रेतःसेचनसमर्थौ</w:t>
      </w:r>
      <w:r>
        <w:t xml:space="preserve"> </w:t>
      </w:r>
      <w:r>
        <w:t xml:space="preserve">(</w:t>
      </w:r>
      <w:r>
        <w:rPr>
          <w:iCs/>
          <w:i/>
        </w:rPr>
        <w:t xml:space="preserve">retaḥ-secana-samarthau</w:t>
      </w:r>
      <w:r>
        <w:t xml:space="preserve">) —</w:t>
      </w:r>
      <w:r>
        <w:t xml:space="preserve"> </w:t>
      </w:r>
      <w:r>
        <w:t xml:space="preserve">“</w:t>
      </w:r>
      <w:r>
        <w:t xml:space="preserve">able to impregnate</w:t>
      </w:r>
      <w:r>
        <w:t xml:space="preserve">”</w:t>
      </w:r>
      <w:r>
        <w:t xml:space="preserve">: that is, in the prime of life, in youth.</w:t>
      </w:r>
    </w:p>
    <w:p>
      <w:pPr>
        <w:pStyle w:val="BodyText"/>
      </w:pPr>
      <w:r>
        <w:rPr>
          <w:bCs/>
          <w:b/>
        </w:rPr>
        <w:t xml:space="preserve">“</w:t>
      </w:r>
      <w:r>
        <w:rPr>
          <w:bCs/>
          <w:b/>
        </w:rPr>
        <w:t xml:space="preserve">Kakṣyaprā</w:t>
      </w:r>
      <w:r>
        <w:rPr>
          <w:bCs/>
          <w:b/>
        </w:rPr>
        <w:t xml:space="preserve">”</w:t>
      </w:r>
      <w:r>
        <w:t xml:space="preserve"> </w:t>
      </w:r>
      <w:r>
        <w:t xml:space="preserve">—</w:t>
      </w:r>
      <w:r>
        <w:t xml:space="preserve"> </w:t>
      </w:r>
      <w:r>
        <w:rPr>
          <w:bCs/>
          <w:b/>
        </w:rPr>
        <w:t xml:space="preserve">कक्ष्यप्रा अश्वस्योदरबन्धनरज्जुः कक्ष्या । तस्याः पूरकौ । पुष्टाङ्गावित्यर्थः</w:t>
      </w:r>
      <w:r>
        <w:t xml:space="preserve"> </w:t>
      </w:r>
      <w:r>
        <w:t xml:space="preserve">(</w:t>
      </w:r>
      <w:r>
        <w:rPr>
          <w:iCs/>
          <w:i/>
        </w:rPr>
        <w:t xml:space="preserve">kakṣyaprā aśvasyodara-bandhana-rajjuḥ kakṣyā | tasyāḥ pūrakau | puṣṭāṅgāv ity arthaḥ</w:t>
      </w:r>
      <w:r>
        <w:t xml:space="preserve">) —</w:t>
      </w:r>
      <w:r>
        <w:t xml:space="preserve"> </w:t>
      </w:r>
      <w:r>
        <w:t xml:space="preserve">“</w:t>
      </w:r>
      <w:r>
        <w:rPr>
          <w:iCs/>
          <w:i/>
        </w:rPr>
        <w:t xml:space="preserve">kakṣyā</w:t>
      </w:r>
      <w:r>
        <w:t xml:space="preserve"> </w:t>
      </w:r>
      <w:r>
        <w:t xml:space="preserve">is the rope that binds the belly of the horse: the two are</w:t>
      </w:r>
      <w:r>
        <w:t xml:space="preserve"> </w:t>
      </w:r>
      <w:r>
        <w:t xml:space="preserve">‘</w:t>
      </w:r>
      <w:r>
        <w:t xml:space="preserve">fillers</w:t>
      </w:r>
      <w:r>
        <w:t xml:space="preserve">’</w:t>
      </w:r>
      <w:r>
        <w:t xml:space="preserve"> </w:t>
      </w:r>
      <w:r>
        <w:t xml:space="preserve">of it: well-nourished in body.</w:t>
      </w:r>
      <w:r>
        <w:t xml:space="preserve">”</w:t>
      </w:r>
      <w:r>
        <w:t xml:space="preserve"> </w:t>
      </w:r>
      <w:r>
        <w:rPr>
          <w:iCs/>
          <w:i/>
        </w:rPr>
        <w:t xml:space="preserve">Kakṣyā</w:t>
      </w:r>
      <w:r>
        <w:t xml:space="preserve"> </w:t>
      </w:r>
      <w:r>
        <w:t xml:space="preserve">is the girth tied round the belly when a horse is yoked to a chariot; horses whose bellies have grown stout (</w:t>
      </w:r>
      <w:r>
        <w:rPr>
          <w:iCs/>
          <w:i/>
        </w:rPr>
        <w:t xml:space="preserve">filling out their girth</w:t>
      </w:r>
      <w:r>
        <w:t xml:space="preserve">) are meant.</w:t>
      </w:r>
    </w:p>
    <w:p>
      <w:pPr>
        <w:pStyle w:val="BodyText"/>
      </w:pPr>
      <w:r>
        <w:rPr>
          <w:bCs/>
          <w:b/>
        </w:rPr>
        <w:t xml:space="preserve">“</w:t>
      </w:r>
      <w:r>
        <w:rPr>
          <w:bCs/>
          <w:b/>
        </w:rPr>
        <w:t xml:space="preserve">Somapāḥ</w:t>
      </w:r>
      <w:r>
        <w:rPr>
          <w:bCs/>
          <w:b/>
        </w:rPr>
        <w:t xml:space="preserve">”</w:t>
      </w:r>
      <w:r>
        <w:t xml:space="preserve"> </w:t>
      </w:r>
      <w:r>
        <w:t xml:space="preserve">—</w:t>
      </w:r>
      <w:r>
        <w:t xml:space="preserve"> </w:t>
      </w:r>
      <w:r>
        <w:rPr>
          <w:bCs/>
          <w:b/>
        </w:rPr>
        <w:t xml:space="preserve">सोमस्य पाता</w:t>
      </w:r>
      <w:r>
        <w:t xml:space="preserve"> </w:t>
      </w:r>
      <w:r>
        <w:t xml:space="preserve">(</w:t>
      </w:r>
      <w:r>
        <w:rPr>
          <w:iCs/>
          <w:i/>
        </w:rPr>
        <w:t xml:space="preserve">somasya pātā</w:t>
      </w:r>
      <w:r>
        <w:t xml:space="preserve">),</w:t>
      </w:r>
      <w:r>
        <w:t xml:space="preserve"> </w:t>
      </w:r>
      <w:r>
        <w:t xml:space="preserve">“</w:t>
      </w:r>
      <w:r>
        <w:t xml:space="preserve">drinker of Soma</w:t>
      </w:r>
      <w:r>
        <w:t xml:space="preserve">”</w:t>
      </w:r>
      <w:r>
        <w:t xml:space="preserve">; this is a vocative singular, an epithet of the word</w:t>
      </w:r>
      <w:r>
        <w:t xml:space="preserve"> </w:t>
      </w:r>
      <w:r>
        <w:rPr>
          <w:iCs/>
          <w:i/>
        </w:rPr>
        <w:t xml:space="preserve">indra</w:t>
      </w:r>
      <w:r>
        <w:t xml:space="preserve">.</w:t>
      </w:r>
    </w:p>
    <w:bookmarkEnd w:id="419"/>
    <w:bookmarkStart w:id="420" w:name="Xda9752fcc1b276e6204f7e4bfca60ed75104a18"/>
    <w:p>
      <w:pPr>
        <w:pStyle w:val="Heading3"/>
      </w:pPr>
      <w:r>
        <w:t xml:space="preserve">Page 394 — Rik 3: Special Topics (continued) and grammar</w:t>
      </w:r>
    </w:p>
    <w:p>
      <w:pPr>
        <w:pStyle w:val="FirstParagraph"/>
      </w:pPr>
      <w:r>
        <w:rPr>
          <w:bCs/>
          <w:b/>
        </w:rPr>
        <w:t xml:space="preserve">“</w:t>
      </w:r>
      <w:r>
        <w:rPr>
          <w:bCs/>
          <w:b/>
        </w:rPr>
        <w:t xml:space="preserve">Girām</w:t>
      </w:r>
      <w:r>
        <w:rPr>
          <w:bCs/>
          <w:b/>
        </w:rPr>
        <w:t xml:space="preserve">”</w:t>
      </w:r>
      <w:r>
        <w:t xml:space="preserve"> </w:t>
      </w:r>
      <w:r>
        <w:t xml:space="preserve">—</w:t>
      </w:r>
      <w:r>
        <w:t xml:space="preserve"> </w:t>
      </w:r>
      <w:r>
        <w:rPr>
          <w:iCs/>
          <w:i/>
        </w:rPr>
        <w:t xml:space="preserve">gīḥ</w:t>
      </w:r>
      <w:r>
        <w:t xml:space="preserve"> </w:t>
      </w:r>
      <w:r>
        <w:t xml:space="preserve">is the genitive plural. The use of words like</w:t>
      </w:r>
      <w:r>
        <w:t xml:space="preserve"> </w:t>
      </w:r>
      <w:r>
        <w:rPr>
          <w:iCs/>
          <w:i/>
        </w:rPr>
        <w:t xml:space="preserve">gīḥ</w:t>
      </w:r>
      <w:r>
        <w:t xml:space="preserve">,</w:t>
      </w:r>
      <w:r>
        <w:t xml:space="preserve"> </w:t>
      </w:r>
      <w:r>
        <w:rPr>
          <w:iCs/>
          <w:i/>
        </w:rPr>
        <w:t xml:space="preserve">girām</w:t>
      </w:r>
      <w:r>
        <w:t xml:space="preserve">,</w:t>
      </w:r>
      <w:r>
        <w:t xml:space="preserve"> </w:t>
      </w:r>
      <w:r>
        <w:rPr>
          <w:iCs/>
          <w:i/>
        </w:rPr>
        <w:t xml:space="preserve">gīrbhiḥ</w:t>
      </w:r>
      <w:r>
        <w:t xml:space="preserve"> </w:t>
      </w:r>
      <w:r>
        <w:t xml:space="preserve">in the senses of hymns, praises and eulogies is customary in the Ṛgveda. So</w:t>
      </w:r>
      <w:r>
        <w:t xml:space="preserve"> </w:t>
      </w:r>
      <w:r>
        <w:rPr>
          <w:iCs/>
          <w:i/>
        </w:rPr>
        <w:t xml:space="preserve">naḥ girām</w:t>
      </w:r>
      <w:r>
        <w:t xml:space="preserve"> </w:t>
      </w:r>
      <w:r>
        <w:t xml:space="preserve">means</w:t>
      </w:r>
      <w:r>
        <w:t xml:space="preserve"> </w:t>
      </w:r>
      <w:r>
        <w:t xml:space="preserve">“</w:t>
      </w:r>
      <w:r>
        <w:t xml:space="preserve">of the hymns that we make.</w:t>
      </w:r>
      <w:r>
        <w:t xml:space="preserve">”</w:t>
      </w:r>
    </w:p>
    <w:p>
      <w:pPr>
        <w:pStyle w:val="BodyText"/>
      </w:pPr>
      <w:r>
        <w:rPr>
          <w:bCs/>
          <w:b/>
        </w:rPr>
        <w:t xml:space="preserve">“</w:t>
      </w:r>
      <w:r>
        <w:rPr>
          <w:bCs/>
          <w:b/>
        </w:rPr>
        <w:t xml:space="preserve">Upaśrutim</w:t>
      </w:r>
      <w:r>
        <w:rPr>
          <w:bCs/>
          <w:b/>
        </w:rPr>
        <w:t xml:space="preserve">”</w:t>
      </w:r>
      <w:r>
        <w:t xml:space="preserve"> </w:t>
      </w:r>
      <w:r>
        <w:t xml:space="preserve">—</w:t>
      </w:r>
      <w:r>
        <w:t xml:space="preserve"> </w:t>
      </w:r>
      <w:r>
        <w:rPr>
          <w:bCs/>
          <w:b/>
        </w:rPr>
        <w:t xml:space="preserve">समीपे श्रवणमुद्दिश्य । श्रुतेः समीपम्</w:t>
      </w:r>
      <w:r>
        <w:t xml:space="preserve"> </w:t>
      </w:r>
      <w:r>
        <w:t xml:space="preserve">(</w:t>
      </w:r>
      <w:r>
        <w:rPr>
          <w:iCs/>
          <w:i/>
        </w:rPr>
        <w:t xml:space="preserve">samīpe śravaṇam uddiśya | śruteḥ samīpam</w:t>
      </w:r>
      <w:r>
        <w:t xml:space="preserve">) —</w:t>
      </w:r>
      <w:r>
        <w:t xml:space="preserve"> </w:t>
      </w:r>
      <w:r>
        <w:t xml:space="preserve">“</w:t>
      </w:r>
      <w:r>
        <w:t xml:space="preserve">with a view to hearing near at hand</w:t>
      </w:r>
      <w:r>
        <w:t xml:space="preserve">”</w:t>
      </w:r>
      <w:r>
        <w:t xml:space="preserve">: for the sake of hearing, [coming] near, standing near to hear.</w:t>
      </w:r>
    </w:p>
    <w:p>
      <w:pPr>
        <w:pStyle w:val="BodyText"/>
      </w:pPr>
      <w:r>
        <w:rPr>
          <w:bCs/>
          <w:b/>
        </w:rPr>
        <w:t xml:space="preserve">“</w:t>
      </w:r>
      <w:r>
        <w:rPr>
          <w:bCs/>
          <w:b/>
        </w:rPr>
        <w:t xml:space="preserve">Cara</w:t>
      </w:r>
      <w:r>
        <w:rPr>
          <w:bCs/>
          <w:b/>
        </w:rPr>
        <w:t xml:space="preserve">”</w:t>
      </w:r>
      <w:r>
        <w:t xml:space="preserve"> </w:t>
      </w:r>
      <w:r>
        <w:t xml:space="preserve">—</w:t>
      </w:r>
      <w:r>
        <w:t xml:space="preserve"> </w:t>
      </w:r>
      <w:r>
        <w:t xml:space="preserve">“</w:t>
      </w:r>
      <w:r>
        <w:t xml:space="preserve">come</w:t>
      </w:r>
      <w:r>
        <w:t xml:space="preserve">”</w:t>
      </w:r>
      <w:r>
        <w:t xml:space="preserve">: be the one who comes.</w:t>
      </w:r>
    </w:p>
    <w:p>
      <w:pPr>
        <w:pStyle w:val="BodyText"/>
      </w:pPr>
      <w:r>
        <w:rPr>
          <w:bCs/>
          <w:b/>
        </w:rPr>
        <w:t xml:space="preserve">॥ Vyākaraṇa-prakriyā ॥</w:t>
      </w:r>
      <w:r>
        <w:t xml:space="preserve"> </w:t>
      </w:r>
      <w:r>
        <w:rPr>
          <w:iCs/>
          <w:i/>
        </w:rPr>
        <w:t xml:space="preserve">(grammar pages 394–395, noted briefly)</w:t>
      </w:r>
    </w:p>
    <w:p>
      <w:pPr>
        <w:pStyle w:val="BodyText"/>
      </w:pPr>
      <w:r>
        <w:rPr>
          <w:bCs/>
          <w:b/>
        </w:rPr>
        <w:t xml:space="preserve">युक्ष्व (</w:t>
      </w:r>
      <w:r>
        <w:rPr>
          <w:iCs/>
          <w:i/>
          <w:bCs/>
          <w:b/>
        </w:rPr>
        <w:t xml:space="preserve">yukṣva</w:t>
      </w:r>
      <w:r>
        <w:rPr>
          <w:bCs/>
          <w:b/>
        </w:rPr>
        <w:t xml:space="preserve">)</w:t>
      </w:r>
      <w:r>
        <w:t xml:space="preserve"> </w:t>
      </w:r>
      <w:r>
        <w:t xml:space="preserve">— root</w:t>
      </w:r>
      <w:r>
        <w:t xml:space="preserve"> </w:t>
      </w:r>
      <w:r>
        <w:rPr>
          <w:iCs/>
          <w:i/>
        </w:rPr>
        <w:t xml:space="preserve">yujir yoge</w:t>
      </w:r>
      <w:r>
        <w:t xml:space="preserve"> </w:t>
      </w:r>
      <w:r>
        <w:t xml:space="preserve">(</w:t>
      </w:r>
      <w:r>
        <w:t xml:space="preserve">“</w:t>
      </w:r>
      <w:r>
        <w:t xml:space="preserve">to join</w:t>
      </w:r>
      <w:r>
        <w:t xml:space="preserve">”</w:t>
      </w:r>
      <w:r>
        <w:t xml:space="preserve">), ubhayapadī, with</w:t>
      </w:r>
      <w:r>
        <w:t xml:space="preserve"> </w:t>
      </w:r>
      <w:r>
        <w:rPr>
          <w:iCs/>
          <w:i/>
        </w:rPr>
        <w:t xml:space="preserve">loṭ</w:t>
      </w:r>
      <w:r>
        <w:t xml:space="preserve"> </w:t>
      </w:r>
      <w:r>
        <w:t xml:space="preserve">ātmanepada middle-second singular</w:t>
      </w:r>
      <w:r>
        <w:t xml:space="preserve"> </w:t>
      </w:r>
      <w:r>
        <w:rPr>
          <w:iCs/>
          <w:i/>
        </w:rPr>
        <w:t xml:space="preserve">thās</w:t>
      </w:r>
      <w:r>
        <w:t xml:space="preserve">;</w:t>
      </w:r>
      <w:r>
        <w:t xml:space="preserve"> </w:t>
      </w:r>
      <w:r>
        <w:rPr>
          <w:iCs/>
          <w:i/>
        </w:rPr>
        <w:t xml:space="preserve">thās</w:t>
      </w:r>
      <w:r>
        <w:t xml:space="preserve"> </w:t>
      </w:r>
      <w:r>
        <w:t xml:space="preserve">→</w:t>
      </w:r>
      <w:r>
        <w:t xml:space="preserve"> </w:t>
      </w:r>
      <w:r>
        <w:rPr>
          <w:iCs/>
          <w:i/>
        </w:rPr>
        <w:t xml:space="preserve">se</w:t>
      </w:r>
      <w:r>
        <w:t xml:space="preserve"> </w:t>
      </w:r>
      <w:r>
        <w:t xml:space="preserve">by</w:t>
      </w:r>
      <w:r>
        <w:t xml:space="preserve"> </w:t>
      </w:r>
      <w:r>
        <w:t xml:space="preserve">“</w:t>
      </w:r>
      <w:r>
        <w:t xml:space="preserve">thāsaḥ se</w:t>
      </w:r>
      <w:r>
        <w:t xml:space="preserve">”</w:t>
      </w:r>
      <w:r>
        <w:t xml:space="preserve"> </w:t>
      </w:r>
      <w:r>
        <w:t xml:space="preserve">(Pā. 3-4-80);</w:t>
      </w:r>
      <w:r>
        <w:t xml:space="preserve"> </w:t>
      </w:r>
      <w:r>
        <w:t xml:space="preserve">“</w:t>
      </w:r>
      <w:r>
        <w:t xml:space="preserve">savābhyāṃ vāmau</w:t>
      </w:r>
      <w:r>
        <w:t xml:space="preserve">”</w:t>
      </w:r>
      <w:r>
        <w:t xml:space="preserve"> </w:t>
      </w:r>
      <w:r>
        <w:t xml:space="preserve">(Pā. 3-4-91) replaces</w:t>
      </w:r>
      <w:r>
        <w:t xml:space="preserve"> </w:t>
      </w:r>
      <w:r>
        <w:rPr>
          <w:iCs/>
          <w:i/>
        </w:rPr>
        <w:t xml:space="preserve">e</w:t>
      </w:r>
      <w:r>
        <w:t xml:space="preserve"> </w:t>
      </w:r>
      <w:r>
        <w:t xml:space="preserve">by</w:t>
      </w:r>
      <w:r>
        <w:t xml:space="preserve"> </w:t>
      </w:r>
      <w:r>
        <w:rPr>
          <w:iCs/>
          <w:i/>
        </w:rPr>
        <w:t xml:space="preserve">va</w:t>
      </w:r>
      <w:r>
        <w:t xml:space="preserve">;</w:t>
      </w:r>
      <w:r>
        <w:t xml:space="preserve"> </w:t>
      </w:r>
      <w:r>
        <w:rPr>
          <w:iCs/>
          <w:i/>
        </w:rPr>
        <w:t xml:space="preserve">yuj</w:t>
      </w:r>
      <w:r>
        <w:t xml:space="preserve"> </w:t>
      </w:r>
      <w:r>
        <w:t xml:space="preserve">+</w:t>
      </w:r>
      <w:r>
        <w:t xml:space="preserve"> </w:t>
      </w:r>
      <w:r>
        <w:rPr>
          <w:iCs/>
          <w:i/>
        </w:rPr>
        <w:t xml:space="preserve">sva</w:t>
      </w:r>
      <w:r>
        <w:t xml:space="preserve">; the vikaraṇa</w:t>
      </w:r>
      <w:r>
        <w:t xml:space="preserve"> </w:t>
      </w:r>
      <w:r>
        <w:rPr>
          <w:iCs/>
          <w:i/>
        </w:rPr>
        <w:t xml:space="preserve">śnam</w:t>
      </w:r>
      <w:r>
        <w:t xml:space="preserve"> </w:t>
      </w:r>
      <w:r>
        <w:t xml:space="preserve">is dropped by</w:t>
      </w:r>
      <w:r>
        <w:t xml:space="preserve"> </w:t>
      </w:r>
      <w:r>
        <w:t xml:space="preserve">“</w:t>
      </w:r>
      <w:r>
        <w:t xml:space="preserve">bahulaṃ chandasi</w:t>
      </w:r>
      <w:r>
        <w:t xml:space="preserve">”</w:t>
      </w:r>
      <w:r>
        <w:t xml:space="preserve"> </w:t>
      </w:r>
      <w:r>
        <w:t xml:space="preserve">(Pā. 2-4-73) — the source notes that this sūtra prescribes</w:t>
      </w:r>
      <w:r>
        <w:t xml:space="preserve"> </w:t>
      </w:r>
      <w:r>
        <w:rPr>
          <w:iCs/>
          <w:i/>
        </w:rPr>
        <w:t xml:space="preserve">luk</w:t>
      </w:r>
      <w:r>
        <w:t xml:space="preserve"> </w:t>
      </w:r>
      <w:r>
        <w:t xml:space="preserve">for</w:t>
      </w:r>
      <w:r>
        <w:t xml:space="preserve"> </w:t>
      </w:r>
      <w:r>
        <w:rPr>
          <w:iCs/>
          <w:i/>
        </w:rPr>
        <w:t xml:space="preserve">śap</w:t>
      </w:r>
      <w:r>
        <w:t xml:space="preserve">, but in Ṛ. Saṃ. Aṣṭaka 1, Sūkta 9, mantra 1 (the word</w:t>
      </w:r>
      <w:r>
        <w:t xml:space="preserve"> </w:t>
      </w:r>
      <w:r>
        <w:rPr>
          <w:iCs/>
          <w:i/>
        </w:rPr>
        <w:t xml:space="preserve">matsi</w:t>
      </w:r>
      <w:r>
        <w:t xml:space="preserve">) the Bhāṣyakāra gives the same</w:t>
      </w:r>
      <w:r>
        <w:t xml:space="preserve"> </w:t>
      </w:r>
      <w:r>
        <w:rPr>
          <w:iCs/>
          <w:i/>
        </w:rPr>
        <w:t xml:space="preserve">luk</w:t>
      </w:r>
      <w:r>
        <w:t xml:space="preserve"> </w:t>
      </w:r>
      <w:r>
        <w:t xml:space="preserve">for</w:t>
      </w:r>
      <w:r>
        <w:t xml:space="preserve"> </w:t>
      </w:r>
      <w:r>
        <w:rPr>
          <w:iCs/>
          <w:i/>
        </w:rPr>
        <w:t xml:space="preserve">śyan</w:t>
      </w:r>
      <w:r>
        <w:t xml:space="preserve"> </w:t>
      </w:r>
      <w:r>
        <w:t xml:space="preserve">by this sūtra, so the</w:t>
      </w:r>
      <w:r>
        <w:t xml:space="preserve"> </w:t>
      </w:r>
      <w:r>
        <w:rPr>
          <w:iCs/>
          <w:i/>
        </w:rPr>
        <w:t xml:space="preserve">luk</w:t>
      </w:r>
      <w:r>
        <w:t xml:space="preserve"> </w:t>
      </w:r>
      <w:r>
        <w:t xml:space="preserve">of</w:t>
      </w:r>
      <w:r>
        <w:t xml:space="preserve"> </w:t>
      </w:r>
      <w:r>
        <w:rPr>
          <w:iCs/>
          <w:i/>
        </w:rPr>
        <w:t xml:space="preserve">śnam</w:t>
      </w:r>
      <w:r>
        <w:t xml:space="preserve"> </w:t>
      </w:r>
      <w:r>
        <w:t xml:space="preserve">may be said here too, by the word</w:t>
      </w:r>
      <w:r>
        <w:t xml:space="preserve"> </w:t>
      </w:r>
      <w:r>
        <w:rPr>
          <w:iCs/>
          <w:i/>
        </w:rPr>
        <w:t xml:space="preserve">bahula</w:t>
      </w:r>
      <w:r>
        <w:t xml:space="preserve">;</w:t>
      </w:r>
      <w:r>
        <w:t xml:space="preserve"> </w:t>
      </w:r>
      <w:r>
        <w:rPr>
          <w:iCs/>
          <w:i/>
        </w:rPr>
        <w:t xml:space="preserve">j</w:t>
      </w:r>
      <w:r>
        <w:t xml:space="preserve"> </w:t>
      </w:r>
      <w:r>
        <w:t xml:space="preserve">→</w:t>
      </w:r>
      <w:r>
        <w:t xml:space="preserve"> </w:t>
      </w:r>
      <w:r>
        <w:rPr>
          <w:iCs/>
          <w:i/>
        </w:rPr>
        <w:t xml:space="preserve">g</w:t>
      </w:r>
      <w:r>
        <w:t xml:space="preserve"> </w:t>
      </w:r>
      <w:r>
        <w:t xml:space="preserve">by</w:t>
      </w:r>
      <w:r>
        <w:t xml:space="preserve"> </w:t>
      </w:r>
      <w:r>
        <w:t xml:space="preserve">“</w:t>
      </w:r>
      <w:r>
        <w:t xml:space="preserve">coḥ kuḥ</w:t>
      </w:r>
      <w:r>
        <w:t xml:space="preserve">”</w:t>
      </w:r>
      <w:r>
        <w:t xml:space="preserve"> </w:t>
      </w:r>
      <w:r>
        <w:t xml:space="preserve">(Pā. 8-2-30),</w:t>
      </w:r>
      <w:r>
        <w:t xml:space="preserve"> </w:t>
      </w:r>
      <w:r>
        <w:rPr>
          <w:iCs/>
          <w:i/>
        </w:rPr>
        <w:t xml:space="preserve">g</w:t>
      </w:r>
      <w:r>
        <w:t xml:space="preserve"> </w:t>
      </w:r>
      <w:r>
        <w:t xml:space="preserve">→</w:t>
      </w:r>
      <w:r>
        <w:t xml:space="preserve"> </w:t>
      </w:r>
      <w:r>
        <w:rPr>
          <w:iCs/>
          <w:i/>
        </w:rPr>
        <w:t xml:space="preserve">k</w:t>
      </w:r>
      <w:r>
        <w:t xml:space="preserve"> </w:t>
      </w:r>
      <w:r>
        <w:t xml:space="preserve">by</w:t>
      </w:r>
      <w:r>
        <w:t xml:space="preserve"> </w:t>
      </w:r>
      <w:r>
        <w:t xml:space="preserve">“</w:t>
      </w:r>
      <w:r>
        <w:t xml:space="preserve">khari ca</w:t>
      </w:r>
      <w:r>
        <w:t xml:space="preserve">”</w:t>
      </w:r>
      <w:r>
        <w:t xml:space="preserve"> </w:t>
      </w:r>
      <w:r>
        <w:t xml:space="preserve">(Pā. 8-4-55), and</w:t>
      </w:r>
      <w:r>
        <w:t xml:space="preserve"> </w:t>
      </w:r>
      <w:r>
        <w:rPr>
          <w:iCs/>
          <w:i/>
        </w:rPr>
        <w:t xml:space="preserve">s</w:t>
      </w:r>
      <w:r>
        <w:t xml:space="preserve"> </w:t>
      </w:r>
      <w:r>
        <w:t xml:space="preserve">→</w:t>
      </w:r>
      <w:r>
        <w:t xml:space="preserve"> </w:t>
      </w:r>
      <w:r>
        <w:rPr>
          <w:iCs/>
          <w:i/>
        </w:rPr>
        <w:t xml:space="preserve">ṣ</w:t>
      </w:r>
      <w:r>
        <w:t xml:space="preserve"> </w:t>
      </w:r>
      <w:r>
        <w:t xml:space="preserve">by</w:t>
      </w:r>
      <w:r>
        <w:t xml:space="preserve"> </w:t>
      </w:r>
      <w:r>
        <w:t xml:space="preserve">“</w:t>
      </w:r>
      <w:r>
        <w:t xml:space="preserve">ādeśapratyayayoḥ</w:t>
      </w:r>
      <w:r>
        <w:t xml:space="preserve">”</w:t>
      </w:r>
      <w:r>
        <w:t xml:space="preserve"> </w:t>
      </w:r>
      <w:r>
        <w:t xml:space="preserve">(Pā. 8-3-59), giving</w:t>
      </w:r>
      <w:r>
        <w:t xml:space="preserve"> </w:t>
      </w:r>
      <w:r>
        <w:rPr>
          <w:iCs/>
          <w:i/>
        </w:rPr>
        <w:t xml:space="preserve">yukṣva</w:t>
      </w:r>
      <w:r>
        <w:t xml:space="preserve">; the suffix accent stands, being taught later (</w:t>
      </w:r>
      <w:r>
        <w:rPr>
          <w:iCs/>
          <w:i/>
        </w:rPr>
        <w:t xml:space="preserve">satiśiṣṭa</w:t>
      </w:r>
      <w:r>
        <w:t xml:space="preserve">); in the Saṃhitā the final is lengthened by</w:t>
      </w:r>
      <w:r>
        <w:t xml:space="preserve"> </w:t>
      </w:r>
      <w:r>
        <w:t xml:space="preserve">“</w:t>
      </w:r>
      <w:r>
        <w:t xml:space="preserve">dvyaco ’tastiṅaḥ</w:t>
      </w:r>
      <w:r>
        <w:t xml:space="preserve">”</w:t>
      </w:r>
      <w:r>
        <w:t xml:space="preserve"> </w:t>
      </w:r>
      <w:r>
        <w:t xml:space="preserve">(Pā. 6-3-135).</w:t>
      </w:r>
      <w:r>
        <w:t xml:space="preserve"> </w:t>
      </w:r>
      <w:r>
        <w:rPr>
          <w:bCs/>
          <w:b/>
        </w:rPr>
        <w:t xml:space="preserve">केशिना (</w:t>
      </w:r>
      <w:r>
        <w:rPr>
          <w:iCs/>
          <w:i/>
          <w:bCs/>
          <w:b/>
        </w:rPr>
        <w:t xml:space="preserve">keśinā</w:t>
      </w:r>
      <w:r>
        <w:rPr>
          <w:bCs/>
          <w:b/>
        </w:rPr>
        <w:t xml:space="preserve">)</w:t>
      </w:r>
      <w:r>
        <w:t xml:space="preserve"> </w:t>
      </w:r>
      <w:r>
        <w:t xml:space="preserve">—</w:t>
      </w:r>
      <w:r>
        <w:t xml:space="preserve"> </w:t>
      </w:r>
      <w:r>
        <w:t xml:space="preserve">“</w:t>
      </w:r>
      <w:r>
        <w:t xml:space="preserve">praśastāḥ keśā anayor santi</w:t>
      </w:r>
      <w:r>
        <w:t xml:space="preserve">”</w:t>
      </w:r>
      <w:r>
        <w:t xml:space="preserve">:</w:t>
      </w:r>
      <w:r>
        <w:t xml:space="preserve"> </w:t>
      </w:r>
      <w:r>
        <w:rPr>
          <w:iCs/>
          <w:i/>
        </w:rPr>
        <w:t xml:space="preserve">ini</w:t>
      </w:r>
      <w:r>
        <w:t xml:space="preserve"> </w:t>
      </w:r>
      <w:r>
        <w:t xml:space="preserve">in the possessive sense by</w:t>
      </w:r>
      <w:r>
        <w:t xml:space="preserve"> </w:t>
      </w:r>
      <w:r>
        <w:t xml:space="preserve">“</w:t>
      </w:r>
      <w:r>
        <w:t xml:space="preserve">ata iniṭhanau</w:t>
      </w:r>
      <w:r>
        <w:t xml:space="preserve">”</w:t>
      </w:r>
      <w:r>
        <w:t xml:space="preserve"> </w:t>
      </w:r>
      <w:r>
        <w:t xml:space="preserve">(Pā. 5-2-115); the</w:t>
      </w:r>
      <w:r>
        <w:t xml:space="preserve"> </w:t>
      </w:r>
      <w:r>
        <w:rPr>
          <w:iCs/>
          <w:i/>
        </w:rPr>
        <w:t xml:space="preserve">a</w:t>
      </w:r>
      <w:r>
        <w:t xml:space="preserve"> </w:t>
      </w:r>
      <w:r>
        <w:t xml:space="preserve">of</w:t>
      </w:r>
      <w:r>
        <w:t xml:space="preserve"> </w:t>
      </w:r>
      <w:r>
        <w:rPr>
          <w:iCs/>
          <w:i/>
        </w:rPr>
        <w:t xml:space="preserve">keśa</w:t>
      </w:r>
      <w:r>
        <w:t xml:space="preserve"> </w:t>
      </w:r>
      <w:r>
        <w:t xml:space="preserve">dropped by</w:t>
      </w:r>
      <w:r>
        <w:t xml:space="preserve"> </w:t>
      </w:r>
      <w:r>
        <w:t xml:space="preserve">“</w:t>
      </w:r>
      <w:r>
        <w:t xml:space="preserve">yasyeti ca</w:t>
      </w:r>
      <w:r>
        <w:t xml:space="preserve">”</w:t>
      </w:r>
      <w:r>
        <w:t xml:space="preserve"> </w:t>
      </w:r>
      <w:r>
        <w:t xml:space="preserve">(6-4-148); suffix accent; the accusative dual ending</w:t>
      </w:r>
      <w:r>
        <w:t xml:space="preserve"> </w:t>
      </w:r>
      <w:r>
        <w:rPr>
          <w:iCs/>
          <w:i/>
        </w:rPr>
        <w:t xml:space="preserve">au</w:t>
      </w:r>
      <w:r>
        <w:t xml:space="preserve"> </w:t>
      </w:r>
      <w:r>
        <w:t xml:space="preserve">replaced by</w:t>
      </w:r>
      <w:r>
        <w:t xml:space="preserve"> </w:t>
      </w:r>
      <w:r>
        <w:rPr>
          <w:iCs/>
          <w:i/>
        </w:rPr>
        <w:t xml:space="preserve">ā</w:t>
      </w:r>
      <w:r>
        <w:t xml:space="preserve"> </w:t>
      </w:r>
      <w:r>
        <w:t xml:space="preserve">by</w:t>
      </w:r>
      <w:r>
        <w:t xml:space="preserve"> </w:t>
      </w:r>
      <w:r>
        <w:t xml:space="preserve">“</w:t>
      </w:r>
      <w:r>
        <w:t xml:space="preserve">supāṃ suluk…</w:t>
      </w:r>
      <w:r>
        <w:t xml:space="preserve">”</w:t>
      </w:r>
      <w:r>
        <w:t xml:space="preserve"> </w:t>
      </w:r>
      <w:r>
        <w:t xml:space="preserve">(Pā. 7-1-39).</w:t>
      </w:r>
      <w:r>
        <w:t xml:space="preserve"> </w:t>
      </w:r>
      <w:r>
        <w:rPr>
          <w:bCs/>
          <w:b/>
        </w:rPr>
        <w:t xml:space="preserve">वृषणा (</w:t>
      </w:r>
      <w:r>
        <w:rPr>
          <w:iCs/>
          <w:i/>
          <w:bCs/>
          <w:b/>
        </w:rPr>
        <w:t xml:space="preserve">vṛṣaṇā</w:t>
      </w:r>
      <w:r>
        <w:rPr>
          <w:bCs/>
          <w:b/>
        </w:rPr>
        <w:t xml:space="preserve">)</w:t>
      </w:r>
      <w:r>
        <w:t xml:space="preserve"> </w:t>
      </w:r>
      <w:r>
        <w:t xml:space="preserve">— root</w:t>
      </w:r>
      <w:r>
        <w:t xml:space="preserve"> </w:t>
      </w:r>
      <w:r>
        <w:rPr>
          <w:iCs/>
          <w:i/>
        </w:rPr>
        <w:t xml:space="preserve">pṛṣu, vṛṣu, mṛṣu secane</w:t>
      </w:r>
      <w:r>
        <w:t xml:space="preserve">;</w:t>
      </w:r>
      <w:r>
        <w:t xml:space="preserve"> </w:t>
      </w:r>
      <w:r>
        <w:rPr>
          <w:iCs/>
          <w:i/>
        </w:rPr>
        <w:t xml:space="preserve">kanin</w:t>
      </w:r>
      <w:r>
        <w:t xml:space="preserve"> </w:t>
      </w:r>
      <w:r>
        <w:t xml:space="preserve">by</w:t>
      </w:r>
      <w:r>
        <w:t xml:space="preserve"> </w:t>
      </w:r>
      <w:r>
        <w:t xml:space="preserve">“</w:t>
      </w:r>
      <w:r>
        <w:t xml:space="preserve">kaninyuvṛṣitakṣirājidhanvidyupratidivaḥ</w:t>
      </w:r>
      <w:r>
        <w:t xml:space="preserve">”</w:t>
      </w:r>
      <w:r>
        <w:t xml:space="preserve"> </w:t>
      </w:r>
      <w:r>
        <w:t xml:space="preserve">(Uṇ. 1-154 [as printed]; the bhāṣya gives 1-156);</w:t>
      </w:r>
      <w:r>
        <w:t xml:space="preserve"> </w:t>
      </w:r>
      <w:r>
        <w:t xml:space="preserve">“</w:t>
      </w:r>
      <w:r>
        <w:t xml:space="preserve">ñnityādir nityam</w:t>
      </w:r>
      <w:r>
        <w:t xml:space="preserve">”</w:t>
      </w:r>
      <w:r>
        <w:t xml:space="preserve"> </w:t>
      </w:r>
      <w:r>
        <w:t xml:space="preserve">(Pā. 6-1-197) gives initial-udātta;</w:t>
      </w:r>
      <w:r>
        <w:t xml:space="preserve"> </w:t>
      </w:r>
      <w:r>
        <w:t xml:space="preserve">“</w:t>
      </w:r>
      <w:r>
        <w:t xml:space="preserve">vā ṣapūrvasya nigame</w:t>
      </w:r>
      <w:r>
        <w:t xml:space="preserve">”</w:t>
      </w:r>
      <w:r>
        <w:t xml:space="preserve"> </w:t>
      </w:r>
      <w:r>
        <w:t xml:space="preserve">(Pā. 6-4-9): the lengthening of the penultimate vowel before the</w:t>
      </w:r>
      <w:r>
        <w:t xml:space="preserve"> </w:t>
      </w:r>
      <w:r>
        <w:rPr>
          <w:iCs/>
          <w:i/>
        </w:rPr>
        <w:t xml:space="preserve">sarvanāmasthāna</w:t>
      </w:r>
      <w:r>
        <w:t xml:space="preserve"> </w:t>
      </w:r>
      <w:r>
        <w:t xml:space="preserve">suffix is optional after</w:t>
      </w:r>
      <w:r>
        <w:t xml:space="preserve"> </w:t>
      </w:r>
      <w:r>
        <w:rPr>
          <w:iCs/>
          <w:i/>
        </w:rPr>
        <w:t xml:space="preserve">ṣ</w:t>
      </w:r>
      <w:r>
        <w:t xml:space="preserve">, and so does not arise here; the accusative dual ending →</w:t>
      </w:r>
      <w:r>
        <w:t xml:space="preserve"> </w:t>
      </w:r>
      <w:r>
        <w:rPr>
          <w:iCs/>
          <w:i/>
        </w:rPr>
        <w:t xml:space="preserve">ā</w:t>
      </w:r>
      <w:r>
        <w:t xml:space="preserve"> </w:t>
      </w:r>
      <w:r>
        <w:t xml:space="preserve">by</w:t>
      </w:r>
      <w:r>
        <w:t xml:space="preserve"> </w:t>
      </w:r>
      <w:r>
        <w:t xml:space="preserve">“</w:t>
      </w:r>
      <w:r>
        <w:t xml:space="preserve">supāṃ suluk…</w:t>
      </w:r>
      <w:r>
        <w:t xml:space="preserve">”</w:t>
      </w:r>
      <w:r>
        <w:t xml:space="preserve"> </w:t>
      </w:r>
      <w:r>
        <w:t xml:space="preserve">(Pā. 7-1-39).</w:t>
      </w:r>
      <w:r>
        <w:t xml:space="preserve"> </w:t>
      </w:r>
      <w:r>
        <w:rPr>
          <w:bCs/>
          <w:b/>
        </w:rPr>
        <w:t xml:space="preserve">कक्ष्यप्रा (</w:t>
      </w:r>
      <w:r>
        <w:rPr>
          <w:iCs/>
          <w:i/>
          <w:bCs/>
          <w:b/>
        </w:rPr>
        <w:t xml:space="preserve">kakṣyaprā</w:t>
      </w:r>
      <w:r>
        <w:rPr>
          <w:bCs/>
          <w:b/>
        </w:rPr>
        <w:t xml:space="preserve">)</w:t>
      </w:r>
      <w:r>
        <w:t xml:space="preserve"> </w:t>
      </w:r>
      <w:r>
        <w:t xml:space="preserve">—</w:t>
      </w:r>
      <w:r>
        <w:t xml:space="preserve"> </w:t>
      </w:r>
      <w:r>
        <w:rPr>
          <w:iCs/>
          <w:i/>
        </w:rPr>
        <w:t xml:space="preserve">kakṣyayor bhavaṃ kakṣyam</w:t>
      </w:r>
      <w:r>
        <w:t xml:space="preserve"> </w:t>
      </w:r>
      <w:r>
        <w:t xml:space="preserve">(that which is in the</w:t>
      </w:r>
      <w:r>
        <w:t xml:space="preserve"> </w:t>
      </w:r>
      <w:r>
        <w:rPr>
          <w:iCs/>
          <w:i/>
        </w:rPr>
        <w:t xml:space="preserve">kakṣyā</w:t>
      </w:r>
      <w:r>
        <w:t xml:space="preserve">): the girth;</w:t>
      </w:r>
      <w:r>
        <w:t xml:space="preserve"> </w:t>
      </w:r>
      <w:r>
        <w:t xml:space="preserve">“</w:t>
      </w:r>
      <w:r>
        <w:t xml:space="preserve">that which fills it</w:t>
      </w:r>
      <w:r>
        <w:t xml:space="preserve">”</w:t>
      </w:r>
      <w:r>
        <w:t xml:space="preserve"> </w:t>
      </w:r>
      <w:r>
        <w:t xml:space="preserve">— root</w:t>
      </w:r>
      <w:r>
        <w:t xml:space="preserve"> </w:t>
      </w:r>
      <w:r>
        <w:rPr>
          <w:iCs/>
          <w:i/>
        </w:rPr>
        <w:t xml:space="preserve">prā pūraṇe</w:t>
      </w:r>
      <w:r>
        <w:t xml:space="preserve"> </w:t>
      </w:r>
      <w:r>
        <w:t xml:space="preserve">with</w:t>
      </w:r>
      <w:r>
        <w:t xml:space="preserve"> </w:t>
      </w:r>
      <w:r>
        <w:rPr>
          <w:iCs/>
          <w:i/>
        </w:rPr>
        <w:t xml:space="preserve">ka</w:t>
      </w:r>
      <w:r>
        <w:t xml:space="preserve"> </w:t>
      </w:r>
      <w:r>
        <w:t xml:space="preserve">(</w:t>
      </w:r>
      <w:r>
        <w:t xml:space="preserve">“</w:t>
      </w:r>
      <w:r>
        <w:t xml:space="preserve">āto ’nupasarge kaḥ,</w:t>
      </w:r>
      <w:r>
        <w:t xml:space="preserve">”</w:t>
      </w:r>
      <w:r>
        <w:t xml:space="preserve"> </w:t>
      </w:r>
      <w:r>
        <w:t xml:space="preserve">Pā. 3-2-3);</w:t>
      </w:r>
      <w:r>
        <w:t xml:space="preserve"> </w:t>
      </w:r>
      <w:r>
        <w:rPr>
          <w:iCs/>
          <w:i/>
        </w:rPr>
        <w:t xml:space="preserve">ā</w:t>
      </w:r>
      <w:r>
        <w:t xml:space="preserve"> </w:t>
      </w:r>
      <w:r>
        <w:t xml:space="preserve">dropped before</w:t>
      </w:r>
      <w:r>
        <w:t xml:space="preserve"> </w:t>
      </w:r>
      <w:r>
        <w:rPr>
          <w:iCs/>
          <w:i/>
        </w:rPr>
        <w:t xml:space="preserve">ka</w:t>
      </w:r>
      <w:r>
        <w:t xml:space="preserve"> </w:t>
      </w:r>
      <w:r>
        <w:t xml:space="preserve">by</w:t>
      </w:r>
      <w:r>
        <w:t xml:space="preserve"> </w:t>
      </w:r>
      <w:r>
        <w:t xml:space="preserve">“</w:t>
      </w:r>
      <w:r>
        <w:t xml:space="preserve">āto lopa iṭi ca</w:t>
      </w:r>
      <w:r>
        <w:t xml:space="preserve">”</w:t>
      </w:r>
      <w:r>
        <w:t xml:space="preserve"> </w:t>
      </w:r>
      <w:r>
        <w:t xml:space="preserve">(printed</w:t>
      </w:r>
      <w:r>
        <w:t xml:space="preserve"> </w:t>
      </w:r>
      <w:r>
        <w:t xml:space="preserve">“</w:t>
      </w:r>
      <w:r>
        <w:t xml:space="preserve">6-2-139</w:t>
      </w:r>
      <w:r>
        <w:t xml:space="preserve">”</w:t>
      </w:r>
      <w:r>
        <w:t xml:space="preserve"> </w:t>
      </w:r>
      <w:r>
        <w:t xml:space="preserve">[as printed], the number of the next sūtra; usually 6-4-64); final-udātta by</w:t>
      </w:r>
      <w:r>
        <w:t xml:space="preserve"> </w:t>
      </w:r>
      <w:r>
        <w:t xml:space="preserve">“</w:t>
      </w:r>
      <w:r>
        <w:t xml:space="preserve">gatikārakopapadāt kṛt</w:t>
      </w:r>
      <w:r>
        <w:t xml:space="preserve">”</w:t>
      </w:r>
      <w:r>
        <w:t xml:space="preserve"> </w:t>
      </w:r>
      <w:r>
        <w:t xml:space="preserve">(Pā. 6-2-139); the dual ending as above.</w:t>
      </w:r>
      <w:r>
        <w:t xml:space="preserve"> </w:t>
      </w:r>
      <w:r>
        <w:rPr>
          <w:bCs/>
          <w:b/>
        </w:rPr>
        <w:t xml:space="preserve">अथ (</w:t>
      </w:r>
      <w:r>
        <w:rPr>
          <w:iCs/>
          <w:i/>
          <w:bCs/>
          <w:b/>
        </w:rPr>
        <w:t xml:space="preserve">atha</w:t>
      </w:r>
      <w:r>
        <w:rPr>
          <w:bCs/>
          <w:b/>
        </w:rPr>
        <w:t xml:space="preserve">)</w:t>
      </w:r>
      <w:r>
        <w:t xml:space="preserve"> </w:t>
      </w:r>
      <w:r>
        <w:t xml:space="preserve">— the particle is lengthened in the Saṃhitā (</w:t>
      </w:r>
      <w:r>
        <w:rPr>
          <w:iCs/>
          <w:i/>
        </w:rPr>
        <w:t xml:space="preserve">athā</w:t>
      </w:r>
      <w:r>
        <w:t xml:space="preserve">) by</w:t>
      </w:r>
      <w:r>
        <w:t xml:space="preserve"> </w:t>
      </w:r>
      <w:r>
        <w:t xml:space="preserve">“</w:t>
      </w:r>
      <w:r>
        <w:t xml:space="preserve">nipātasya ca</w:t>
      </w:r>
      <w:r>
        <w:t xml:space="preserve">”</w:t>
      </w:r>
      <w:r>
        <w:t xml:space="preserve"> </w:t>
      </w:r>
      <w:r>
        <w:t xml:space="preserve">(Pā. 6-3-136).</w:t>
      </w:r>
      <w:r>
        <w:t xml:space="preserve"> </w:t>
      </w:r>
      <w:r>
        <w:rPr>
          <w:bCs/>
          <w:b/>
        </w:rPr>
        <w:t xml:space="preserve">नः (</w:t>
      </w:r>
      <w:r>
        <w:rPr>
          <w:iCs/>
          <w:i/>
          <w:bCs/>
          <w:b/>
        </w:rPr>
        <w:t xml:space="preserve">naḥ</w:t>
      </w:r>
      <w:r>
        <w:rPr>
          <w:bCs/>
          <w:b/>
        </w:rPr>
        <w:t xml:space="preserve">)</w:t>
      </w:r>
      <w:r>
        <w:t xml:space="preserve"> </w:t>
      </w:r>
      <w:r>
        <w:t xml:space="preserve">— the rule</w:t>
      </w:r>
      <w:r>
        <w:t xml:space="preserve"> </w:t>
      </w:r>
      <w:r>
        <w:t xml:space="preserve">“</w:t>
      </w:r>
      <w:r>
        <w:t xml:space="preserve">bahuvacanasya vasnasau</w:t>
      </w:r>
      <w:r>
        <w:t xml:space="preserve">”</w:t>
      </w:r>
      <w:r>
        <w:t xml:space="preserve"> </w:t>
      </w:r>
      <w:r>
        <w:t xml:space="preserve">(Pā. 8-1-21) with the carried-over</w:t>
      </w:r>
      <w:r>
        <w:t xml:space="preserve"> </w:t>
      </w:r>
      <w:r>
        <w:t xml:space="preserve">“</w:t>
      </w:r>
      <w:r>
        <w:t xml:space="preserve">anudāttaṃ sarvam apādādau</w:t>
      </w:r>
      <w:r>
        <w:t xml:space="preserve">”</w:t>
      </w:r>
      <w:r>
        <w:t xml:space="preserve"> </w:t>
      </w:r>
      <w:r>
        <w:t xml:space="preserve">(Pā. 8-1-18):</w:t>
      </w:r>
      <w:r>
        <w:t xml:space="preserve"> </w:t>
      </w:r>
      <w:r>
        <w:rPr>
          <w:iCs/>
          <w:i/>
        </w:rPr>
        <w:t xml:space="preserve">nas</w:t>
      </w:r>
      <w:r>
        <w:t xml:space="preserve"> </w:t>
      </w:r>
      <w:r>
        <w:t xml:space="preserve">replaces the plural genitive of</w:t>
      </w:r>
      <w:r>
        <w:t xml:space="preserve"> </w:t>
      </w:r>
      <w:r>
        <w:rPr>
          <w:iCs/>
          <w:i/>
        </w:rPr>
        <w:t xml:space="preserve">asmad</w:t>
      </w:r>
      <w:r>
        <w:t xml:space="preserve">, unaccented, since the word is not at the beginning of the pāda.</w:t>
      </w:r>
      <w:r>
        <w:t xml:space="preserve"> </w:t>
      </w:r>
      <w:r>
        <w:rPr>
          <w:bCs/>
          <w:b/>
        </w:rPr>
        <w:t xml:space="preserve">इन्द्र, सोमपाः (</w:t>
      </w:r>
      <w:r>
        <w:rPr>
          <w:iCs/>
          <w:i/>
          <w:bCs/>
          <w:b/>
        </w:rPr>
        <w:t xml:space="preserve">indra, somapāḥ</w:t>
      </w:r>
      <w:r>
        <w:rPr>
          <w:bCs/>
          <w:b/>
        </w:rPr>
        <w:t xml:space="preserve">)</w:t>
      </w:r>
      <w:r>
        <w:t xml:space="preserve"> </w:t>
      </w:r>
      <w:r>
        <w:t xml:space="preserve">— both are vocatives, wholly unaccented by</w:t>
      </w:r>
      <w:r>
        <w:t xml:space="preserve"> </w:t>
      </w:r>
      <w:r>
        <w:t xml:space="preserve">“</w:t>
      </w:r>
      <w:r>
        <w:t xml:space="preserve">āmantritasya ca</w:t>
      </w:r>
      <w:r>
        <w:t xml:space="preserve">”</w:t>
      </w:r>
      <w:r>
        <w:t xml:space="preserve"> </w:t>
      </w:r>
      <w:r>
        <w:t xml:space="preserve">(Pā. 8-1-19).</w:t>
      </w:r>
      <w:r>
        <w:t xml:space="preserve"> </w:t>
      </w:r>
      <w:r>
        <w:rPr>
          <w:bCs/>
          <w:b/>
        </w:rPr>
        <w:t xml:space="preserve">गिराम् (</w:t>
      </w:r>
      <w:r>
        <w:rPr>
          <w:iCs/>
          <w:i/>
          <w:bCs/>
          <w:b/>
        </w:rPr>
        <w:t xml:space="preserve">girām</w:t>
      </w:r>
      <w:r>
        <w:rPr>
          <w:bCs/>
          <w:b/>
        </w:rPr>
        <w:t xml:space="preserve">)</w:t>
      </w:r>
      <w:r>
        <w:t xml:space="preserve"> </w:t>
      </w:r>
      <w:r>
        <w:t xml:space="preserve">—</w:t>
      </w:r>
      <w:r>
        <w:t xml:space="preserve"> </w:t>
      </w:r>
      <w:r>
        <w:t xml:space="preserve">“</w:t>
      </w:r>
      <w:r>
        <w:t xml:space="preserve">sāvekācas tṛtīyādir vibhaktiḥ</w:t>
      </w:r>
      <w:r>
        <w:t xml:space="preserve">”</w:t>
      </w:r>
      <w:r>
        <w:t xml:space="preserve"> </w:t>
      </w:r>
      <w:r>
        <w:t xml:space="preserve">(Pā. 6-1-168) — the case-ending is udātta.</w:t>
      </w:r>
      <w:r>
        <w:t xml:space="preserve"> </w:t>
      </w:r>
      <w:r>
        <w:rPr>
          <w:bCs/>
          <w:b/>
        </w:rPr>
        <w:t xml:space="preserve">उप (</w:t>
      </w:r>
      <w:r>
        <w:rPr>
          <w:iCs/>
          <w:i/>
          <w:bCs/>
          <w:b/>
        </w:rPr>
        <w:t xml:space="preserve">upa</w:t>
      </w:r>
      <w:r>
        <w:rPr>
          <w:bCs/>
          <w:b/>
        </w:rPr>
        <w:t xml:space="preserve">)</w:t>
      </w:r>
      <w:r>
        <w:t xml:space="preserve"> </w:t>
      </w:r>
      <w:r>
        <w:t xml:space="preserve">— a</w:t>
      </w:r>
      <w:r>
        <w:t xml:space="preserve"> </w:t>
      </w:r>
      <w:r>
        <w:rPr>
          <w:iCs/>
          <w:i/>
        </w:rPr>
        <w:t xml:space="preserve">nipāta</w:t>
      </w:r>
      <w:r>
        <w:t xml:space="preserve">, initial-udātta (Phiṭ-sūtra 80); with</w:t>
      </w:r>
      <w:r>
        <w:t xml:space="preserve"> </w:t>
      </w:r>
      <w:r>
        <w:rPr>
          <w:iCs/>
          <w:i/>
        </w:rPr>
        <w:t xml:space="preserve">śruti</w:t>
      </w:r>
      <w:r>
        <w:t xml:space="preserve"> </w:t>
      </w:r>
      <w:r>
        <w:t xml:space="preserve">it forms a</w:t>
      </w:r>
      <w:r>
        <w:t xml:space="preserve"> </w:t>
      </w:r>
      <w:r>
        <w:rPr>
          <w:iCs/>
          <w:i/>
        </w:rPr>
        <w:t xml:space="preserve">prādi</w:t>
      </w:r>
      <w:r>
        <w:t xml:space="preserve">-compound (</w:t>
      </w:r>
      <w:r>
        <w:t xml:space="preserve">“</w:t>
      </w:r>
      <w:r>
        <w:t xml:space="preserve">kugatiprādayaḥ,</w:t>
      </w:r>
      <w:r>
        <w:t xml:space="preserve">”</w:t>
      </w:r>
      <w:r>
        <w:t xml:space="preserve"> </w:t>
      </w:r>
      <w:r>
        <w:t xml:space="preserve">Pā. 2-2-18); the rule</w:t>
      </w:r>
      <w:r>
        <w:t xml:space="preserve"> </w:t>
      </w:r>
      <w:r>
        <w:t xml:space="preserve">“</w:t>
      </w:r>
      <w:r>
        <w:t xml:space="preserve">gati-kāraka-upapadāt kṛt</w:t>
      </w:r>
      <w:r>
        <w:t xml:space="preserve">”</w:t>
      </w:r>
      <w:r>
        <w:t xml:space="preserve"> </w:t>
      </w:r>
      <w:r>
        <w:t xml:space="preserve">(Pā. 6-2-139) would give the second member’s accent, but by</w:t>
      </w:r>
      <w:r>
        <w:t xml:space="preserve"> </w:t>
      </w:r>
      <w:r>
        <w:t xml:space="preserve">“</w:t>
      </w:r>
      <w:r>
        <w:t xml:space="preserve">tādau ca niti kṛty atau</w:t>
      </w:r>
      <w:r>
        <w:t xml:space="preserve">”</w:t>
      </w:r>
      <w:r>
        <w:t xml:space="preserve"> </w:t>
      </w:r>
      <w:r>
        <w:t xml:space="preserve">(6-2-50) — before a</w:t>
      </w:r>
      <w:r>
        <w:t xml:space="preserve"> </w:t>
      </w:r>
      <w:r>
        <w:rPr>
          <w:iCs/>
          <w:i/>
        </w:rPr>
        <w:t xml:space="preserve">kṛt</w:t>
      </w:r>
      <w:r>
        <w:t xml:space="preserve"> </w:t>
      </w:r>
      <w:r>
        <w:t xml:space="preserve">suffix beginning with</w:t>
      </w:r>
      <w:r>
        <w:t xml:space="preserve"> </w:t>
      </w:r>
      <w:r>
        <w:rPr>
          <w:iCs/>
          <w:i/>
        </w:rPr>
        <w:t xml:space="preserve">t</w:t>
      </w:r>
      <w:r>
        <w:t xml:space="preserve"> </w:t>
      </w:r>
      <w:r>
        <w:t xml:space="preserve">(other than</w:t>
      </w:r>
      <w:r>
        <w:t xml:space="preserve"> </w:t>
      </w:r>
      <w:r>
        <w:rPr>
          <w:iCs/>
          <w:i/>
        </w:rPr>
        <w:t xml:space="preserve">tu</w:t>
      </w:r>
      <w:r>
        <w:t xml:space="preserve">) the preceding</w:t>
      </w:r>
      <w:r>
        <w:t xml:space="preserve"> </w:t>
      </w:r>
      <w:r>
        <w:rPr>
          <w:iCs/>
          <w:i/>
        </w:rPr>
        <w:t xml:space="preserve">gati</w:t>
      </w:r>
      <w:r>
        <w:t xml:space="preserve"> </w:t>
      </w:r>
      <w:r>
        <w:t xml:space="preserve">keeps its own accent —</w:t>
      </w:r>
      <w:r>
        <w:t xml:space="preserve"> </w:t>
      </w:r>
      <w:r>
        <w:rPr>
          <w:iCs/>
          <w:i/>
        </w:rPr>
        <w:t xml:space="preserve">upa</w:t>
      </w:r>
      <w:r>
        <w:t xml:space="preserve"> </w:t>
      </w:r>
      <w:r>
        <w:t xml:space="preserve">retains its natural accent.</w:t>
      </w:r>
      <w:r>
        <w:t xml:space="preserve"> </w:t>
      </w:r>
      <w:r>
        <w:rPr>
          <w:bCs/>
          <w:b/>
        </w:rPr>
        <w:t xml:space="preserve">चर (</w:t>
      </w:r>
      <w:r>
        <w:rPr>
          <w:iCs/>
          <w:i/>
          <w:bCs/>
          <w:b/>
        </w:rPr>
        <w:t xml:space="preserve">cara</w:t>
      </w:r>
      <w:r>
        <w:rPr>
          <w:bCs/>
          <w:b/>
        </w:rPr>
        <w:t xml:space="preserve">)</w:t>
      </w:r>
      <w:r>
        <w:t xml:space="preserve"> </w:t>
      </w:r>
      <w:r>
        <w:t xml:space="preserve">— wholly unaccented as a finite verb by</w:t>
      </w:r>
      <w:r>
        <w:t xml:space="preserve"> </w:t>
      </w:r>
      <w:r>
        <w:t xml:space="preserve">“</w:t>
      </w:r>
      <w:r>
        <w:t xml:space="preserve">tiṅṅ atiṅaḥ</w:t>
      </w:r>
      <w:r>
        <w:t xml:space="preserve">”</w:t>
      </w:r>
      <w:r>
        <w:t xml:space="preserve"> </w:t>
      </w:r>
      <w:r>
        <w:t xml:space="preserve">(Pā. 8-1-28).</w:t>
      </w:r>
    </w:p>
    <w:p>
      <w:pPr>
        <w:pStyle w:val="BodyText"/>
      </w:pPr>
      <w:r>
        <w:rPr>
          <w:bCs/>
          <w:b/>
        </w:rPr>
        <w:t xml:space="preserve">॥३॥</w:t>
      </w:r>
    </w:p>
    <w:p>
      <w:r>
        <w:pict>
          <v:rect style="width:0;height:1.5pt" o:hralign="center" o:hrstd="t" o:hr="t"/>
        </w:pict>
      </w:r>
    </w:p>
    <w:bookmarkEnd w:id="420"/>
    <w:bookmarkStart w:id="421" w:name="page-396-sūkta-10-rik-4"/>
    <w:p>
      <w:pPr>
        <w:pStyle w:val="Heading3"/>
      </w:pPr>
      <w:r>
        <w:t xml:space="preserve">Page 396 — Sūkta 10, Rik 4</w:t>
      </w:r>
    </w:p>
    <w:p>
      <w:pPr>
        <w:pStyle w:val="FirstParagraph"/>
      </w:pPr>
      <w:r>
        <w:rPr>
          <w:iCs/>
          <w:i/>
        </w:rPr>
        <w:t xml:space="preserve">(Saṃhitā accents as printed; Pada unaccented. Line 2: the stroke in सचेन्द्र stands between चे and न्द्र; read as on चे — [accent ?].)</w:t>
      </w:r>
    </w:p>
    <w:p>
      <w:pPr>
        <w:pStyle w:val="BodyText"/>
      </w:pPr>
      <w:r>
        <w:rPr>
          <w:bCs/>
          <w:b/>
        </w:rPr>
        <w:t xml:space="preserve">॥ Saṃhitā-pāṭhaḥ ॥</w:t>
      </w:r>
    </w:p>
    <w:p>
      <w:pPr>
        <w:pStyle w:val="BlockText"/>
      </w:pPr>
      <w:r>
        <w:t xml:space="preserve">एहि॒ स्तोमाँ॑ अ॒भि स्व॑रा॒भि गृ॑णी॒ह्या रु॑व ।</w:t>
      </w:r>
      <w:r>
        <w:t xml:space="preserve"> </w:t>
      </w:r>
      <w:r>
        <w:t xml:space="preserve">ब्रह्म॑ च नो वसो॒ सचे॑न्द्र य॒ज्ञं च॑ वर्धय ॥४॥ [accent ?]</w:t>
      </w:r>
    </w:p>
    <w:p>
      <w:pPr>
        <w:pStyle w:val="BlockText"/>
      </w:pPr>
      <w:r>
        <w:rPr>
          <w:iCs/>
          <w:i/>
        </w:rPr>
        <w:t xml:space="preserve">ehi stómām̐ abhí svarābhí gṛṇīhy ā́ ruva |</w:t>
      </w:r>
      <w:r>
        <w:t xml:space="preserve"> </w:t>
      </w:r>
      <w:r>
        <w:rPr>
          <w:iCs/>
          <w:i/>
        </w:rPr>
        <w:t xml:space="preserve">bráhma ca no vaso sácendra yajñáṃ ca vardhaya ||4||</w:t>
      </w:r>
      <w:r>
        <w:t xml:space="preserve"> </w:t>
      </w:r>
      <w:r>
        <w:t xml:space="preserve">[accent ?]</w:t>
      </w:r>
    </w:p>
    <w:p>
      <w:pPr>
        <w:pStyle w:val="FirstParagraph"/>
      </w:pPr>
      <w:r>
        <w:rPr>
          <w:bCs/>
          <w:b/>
        </w:rPr>
        <w:t xml:space="preserve">॥ Pada-pāṭhaḥ ॥</w:t>
      </w:r>
    </w:p>
    <w:p>
      <w:pPr>
        <w:pStyle w:val="BlockText"/>
      </w:pPr>
      <w:r>
        <w:t xml:space="preserve">आ । इहि । स्तोमान् । अभि । स्वर । अभि । गृणीहि । आ । रुव ॥</w:t>
      </w:r>
      <w:r>
        <w:t xml:space="preserve"> </w:t>
      </w:r>
      <w:r>
        <w:t xml:space="preserve">ब्रह्म । च । नः । वसो इति । सचा । इन्द्र । यज्ञम् । च । वर्धय ॥४॥</w:t>
      </w:r>
    </w:p>
    <w:p>
      <w:pPr>
        <w:pStyle w:val="BlockText"/>
      </w:pPr>
      <w:r>
        <w:rPr>
          <w:iCs/>
          <w:i/>
        </w:rPr>
        <w:t xml:space="preserve">ā | ihi | stomān | abhi | svara | abhi | gṛṇīhi | ā | ruva ||</w:t>
      </w:r>
      <w:r>
        <w:t xml:space="preserve"> </w:t>
      </w:r>
      <w:r>
        <w:rPr>
          <w:iCs/>
          <w:i/>
        </w:rPr>
        <w:t xml:space="preserve">brahma | ca | naḥ | vaso iti | sacā | indra | yajñam | ca | vardhaya ||4||</w:t>
      </w:r>
    </w:p>
    <w:p>
      <w:pPr>
        <w:pStyle w:val="FirstParagraph"/>
      </w:pPr>
      <w:r>
        <w:rPr>
          <w:bCs/>
          <w:b/>
        </w:rPr>
        <w:t xml:space="preserve">॥ Sāyaṇa-bhāṣyam ॥</w:t>
      </w:r>
    </w:p>
    <w:p>
      <w:pPr>
        <w:pStyle w:val="BlockText"/>
      </w:pPr>
      <w:r>
        <w:t xml:space="preserve">विशेषविनियोगस्तु यत्र श्रौतो न सूत्रितः । स्मार्तं तत्र विजानीयादृग्विधानादिसूत्रतः ॥ एहि स्तोमानित्येषा सूत्रे विशेषाकारेण न विनियुक्ता । साधारणविनियोगस्तु ब्रह्मयज्ञादौ सर्वत्रानुसंधेयः ॥</w:t>
      </w:r>
    </w:p>
    <w:p>
      <w:pPr>
        <w:pStyle w:val="BlockText"/>
      </w:pPr>
      <w:r>
        <w:rPr>
          <w:iCs/>
          <w:i/>
        </w:rPr>
        <w:t xml:space="preserve">viśeṣaviniyogastu yatra śrauto na sūtritaḥ | smārtaṃ tatra vijānīyādṛgvidhānādisūtrataḥ || ehi stomānityeṣā sūtre viśeṣākāreṇa na viniyuktā | sādhāraṇaviniyogastu brahmayajñādau sarvatrānusaṃdheyaḥ ||</w:t>
      </w:r>
    </w:p>
    <w:p>
      <w:pPr>
        <w:pStyle w:val="BlockText"/>
      </w:pPr>
      <w:r>
        <w:t xml:space="preserve">हे वसो निवासकारणभूतेन्द्र एहि । अस्मिन्कर्मण्यागच्छ । आगत्य च स्तोमानुद्गातृप्रयुक्तानि स्तोत्राण्यभि स्वर । अभिलक्ष्य प्रशंसारूपं शब्दं कुरु । तथाध्वर्युमभिलक्ष्य गृणीहि । शब्दं कुरु । तथा होतृप्रयुक्तानि शस्त्राण्यालक्ष्य रुव । शब्दं कुरु । परितोषेण सर्वानृत्विजः प्रशंसेत्यर्थः । तत ऊर्ध्वं नो ऽस्माकं ब्रह्म चान्नं च यज्ञं चानुष्ठीयमानं कर्म च सचा सह वर्धय । सांगत्वसंपादनेन यज्ञं वर्धयित्वा तत्फलमन्नं च प्रवृद्धं कुरु । अन्ध इत्यादिष्वष्टाविंशत्यन्ननामसु ब्रह्म वर्ज इति पठितम् ॥ इहि । इण् गतौ । सेर्हिः । हेरपित्त्वेन ङित्त्वाद्गुणाभावः । निघातः । आङा सह गुण एकादेश उदात्तेनोदात्त इत्युदात्तः । स्तोमान् । अर्तिस्तुसु इत्यादिना मन् । नित्त्वादाद्युदात्तः । उत्तरपदेन संहितायां नकारस्य दीर्घादटि समानपादे इति रुत्वम् । आतो ऽटि नित्यमित्याकारस्यानुनासिकः । भोभगोअघोअपूर्वस्य यो ऽशीति यत्वम् । तस्य लोपः शाकल्यस्येति लोपः । तस्यासिद्धत्वात्स्वरसन्धिर्न भवति । अभि । एवमादीनामन्त इत्यन्तोदात्तः । स्वर । स्वृ शब्दोपतापयोः । निघातः । अभि । गतम् । गृणीहि । गॄ शब्दे । सेर्ह्यपिच्चेति हिः । क्र्यादिभ्यः श्ना । ई हल्यघोः । पा. ६-४-११३ । इतीत्त्वम् । प्वादीनां ह्रस्वः । पा. ७-३-८० । इत्यृकारस्य ऋकारः । ऋवर्णाच्चेति वक्तव्यम् । का. ८-४-१-१ । इति णत्वम् । तिङ्ङतिङ इति निघातः । रुव । रु शब्दे । सेर्ह्यपिच्च । शपि प्राप्ते व्यत्ययेन शः । तस्य ङित्त्वेन गुणाभावादुवङादेशः । अतो हेरिति हेर्लुक् । तिङ्ङतिङ इति निघातः । ब्रह्म । तृहि वृहि वृद्धौ । मनिन्नित्यनुवृत्तौ वृंहेरम् न लोपश्च । उ. ४-१४५ । इति मनिन् । तत्संनियोगेन नलोपः । अमागमश्च । मिदचो ऽन्त्यात्परः । पा. १-१-४७ । इत्यृकारात्परः । यणादेशः । मनिनो नित्त्वादाद्युदात्तत्वम् । वसो । आमन्त्रितनिघातः । यज्ञम् । यजयाचेत्यादिना । पा. ३-३-९० । नङ् । प्रत्ययस्वरः । वर्धय । निघातः । अत्र चकारद्वयश्रवणादियमेव तिङ्विभक्तिः पूर्ववाक्ये ऽप्यनुषज्यते । अतो ऽनुषक्तैव प्रथमा न श्रुतेत्यश्रुतायाश्च वायोगे प्रथमा । पा. ८-१-५९ । इति निघातनिषेधो न भवति ॥</w:t>
      </w:r>
    </w:p>
    <w:p>
      <w:pPr>
        <w:pStyle w:val="BlockText"/>
      </w:pPr>
      <w:r>
        <w:rPr>
          <w:iCs/>
          <w:i/>
        </w:rPr>
        <w:t xml:space="preserve">he vaso nivāsakāraṇabhūtendra ehi | asminkarmaṇyāgaccha | āgatya ca stomānudgātṛprayuktāni stotrāṇyabhi svara | abhilakṣya praśaṃsārūpaṃ śabdaṃ kuru | tathādhvaryumabhilakṣya gṛṇīhi | śabdaṃ kuru | tathā hotṛprayuktāni śastrāṇyālakṣya ruva | śabdaṃ kuru | paritoṣeṇa sarvānṛtvijaḥ praśaṃsetyarthaḥ | tata ūrdhvaṃ no ’smākaṃ brahma cānnaṃ ca yajñaṃ cānuṣṭhīyamānaṃ karma ca sacā saha vardhaya | sāṃgatvasaṃpādanena yajñaṃ vardhayitvā tatphalamannaṃ ca pravṛddhaṃ kuru | andha ityādiṣvaṣṭāviṃśatyannanāmasu brahma varja iti paṭhitam || ihi | iṇ gatau | serhiḥ | herapittvena ṅittvādguṇābhāvaḥ | nighātaḥ | āṅā saha guṇa ekādeśa udāttenodātta ityudāttaḥ | stomān | artistusu ityādinā man | nittvādādyudāttaḥ | uttarapadena saṃhitāyāṃ nakārasya dīrghādaṭi samānapāde iti rutvam | āto ’ṭi nityamityākārasyānunāsikaḥ | bhobhagoaghoapūrvasya yo ’śīti yatvam | tasya lopaḥ śākalyasyeti lopaḥ | tasyāsiddhatvātsvarasandhirna bhavati | abhi | evamādīnāmanta ityantodāttaḥ | svara | svṛ śabdopatāpayoḥ | nighātaḥ | abhi | gatam | gṛṇīhi | gṝ śabde | serhyapicceti hiḥ | kryādibhyaḥ śnā | ī halyaghoḥ | pā. 6-4-113 | itīttvam | pvādīnāṃ hrasvaḥ | pā. 7-3-80 | ityṛkārasya ṛkāraḥ | ṛvarṇācceti vaktavyam | kā. 8-4-1-1 | iti ṇatvam | tiṅṅatiṅa iti nighātaḥ | ruva | ru śabde | serhyapicca | śapi prāpte vyatyayena śaḥ | tasya ṅittvena guṇābhāvāduvaṅādeśaḥ | ato heriti herluk | tiṅṅatiṅa iti nighātaḥ | brahma | tṛhi vṛhi vṛddhau | maninnityanuvṛttau vṛṃheram na lopaśca | u. 4-145 | iti manin | tatsaṃniyogena nalopaḥ | amāgamaśca | midaco ’ntyātparaḥ | pā. 1-1-47 | ityṛkārātparaḥ | yaṇādeśaḥ | manino nittvādādyudāttatvam | vaso | āmantritanighātaḥ | yajñam | yajayācetyādinā | pā. 3-3-90 | naṅ | pratyayasvaraḥ | vardhaya | nighātaḥ | atra cakāradvayaśravaṇādiyameva tiṅvibhaktiḥ pūrvavākye ’pyanuṣajyate | ato ’nuṣaktaiva prathamā na śrutetyaśrutāyāśca vāyoge prathamā | pā. 8-1-59 | iti nighātaniṣedho na bhavati ||</w:t>
      </w:r>
    </w:p>
    <w:p>
      <w:pPr>
        <w:pStyle w:val="FirstParagraph"/>
      </w:pPr>
      <w:r>
        <w:rPr>
          <w:bCs/>
          <w:b/>
        </w:rPr>
        <w:t xml:space="preserve">Translation:</w:t>
      </w:r>
      <w:r>
        <w:t xml:space="preserve"> </w:t>
      </w:r>
      <w:r>
        <w:t xml:space="preserve">“</w:t>
      </w:r>
      <w:r>
        <w:t xml:space="preserve">Where the special application has not been laid down in the Śrauta [texts], one is to know the Smārta one, from the Ṛgvidhāna and other texts. This rik</w:t>
      </w:r>
      <w:r>
        <w:t xml:space="preserve"> </w:t>
      </w:r>
      <w:r>
        <w:rPr>
          <w:iCs/>
          <w:i/>
        </w:rPr>
        <w:t xml:space="preserve">ehi stomān</w:t>
      </w:r>
      <w:r>
        <w:t xml:space="preserve"> </w:t>
      </w:r>
      <w:r>
        <w:t xml:space="preserve">has not been assigned a special application in the sūtra; its general application is to be understood everywhere, in the Brahmayajña and so on.</w:t>
      </w:r>
      <w:r>
        <w:t xml:space="preserve"> </w:t>
      </w:r>
      <w:r>
        <w:rPr>
          <w:iCs/>
          <w:i/>
        </w:rPr>
        <w:t xml:space="preserve">O vaso</w:t>
      </w:r>
      <w:r>
        <w:t xml:space="preserve"> </w:t>
      </w:r>
      <w:r>
        <w:t xml:space="preserve">— O Indra, the cause of dwelling:</w:t>
      </w:r>
      <w:r>
        <w:t xml:space="preserve"> </w:t>
      </w:r>
      <w:r>
        <w:rPr>
          <w:iCs/>
          <w:i/>
        </w:rPr>
        <w:t xml:space="preserve">ehi</w:t>
      </w:r>
      <w:r>
        <w:t xml:space="preserve"> </w:t>
      </w:r>
      <w:r>
        <w:t xml:space="preserve">— come to this rite. Having come,</w:t>
      </w:r>
      <w:r>
        <w:t xml:space="preserve"> </w:t>
      </w:r>
      <w:r>
        <w:rPr>
          <w:iCs/>
          <w:i/>
        </w:rPr>
        <w:t xml:space="preserve">stomān abhi svara</w:t>
      </w:r>
      <w:r>
        <w:t xml:space="preserve">: make a sound of praise toward the</w:t>
      </w:r>
      <w:r>
        <w:t xml:space="preserve"> </w:t>
      </w:r>
      <w:r>
        <w:rPr>
          <w:iCs/>
          <w:i/>
        </w:rPr>
        <w:t xml:space="preserve">stomas</w:t>
      </w:r>
      <w:r>
        <w:t xml:space="preserve">, the hymns sung by the udgātṛs. Likewise,</w:t>
      </w:r>
      <w:r>
        <w:t xml:space="preserve"> </w:t>
      </w:r>
      <w:r>
        <w:rPr>
          <w:iCs/>
          <w:i/>
        </w:rPr>
        <w:t xml:space="preserve">gṛṇīhi</w:t>
      </w:r>
      <w:r>
        <w:t xml:space="preserve">: with the adhvaryu in view, make a sound. Likewise,</w:t>
      </w:r>
      <w:r>
        <w:t xml:space="preserve"> </w:t>
      </w:r>
      <w:r>
        <w:rPr>
          <w:iCs/>
          <w:i/>
        </w:rPr>
        <w:t xml:space="preserve">ā ruva</w:t>
      </w:r>
      <w:r>
        <w:t xml:space="preserve">: with the</w:t>
      </w:r>
      <w:r>
        <w:t xml:space="preserve"> </w:t>
      </w:r>
      <w:r>
        <w:rPr>
          <w:iCs/>
          <w:i/>
        </w:rPr>
        <w:t xml:space="preserve">śastras</w:t>
      </w:r>
      <w:r>
        <w:t xml:space="preserve"> </w:t>
      </w:r>
      <w:r>
        <w:t xml:space="preserve">recited by the hotṛs in view, make a sound — praise all the priests with pleasure. After that,</w:t>
      </w:r>
      <w:r>
        <w:t xml:space="preserve"> </w:t>
      </w:r>
      <w:r>
        <w:rPr>
          <w:iCs/>
          <w:i/>
        </w:rPr>
        <w:t xml:space="preserve">sacā</w:t>
      </w:r>
      <w:r>
        <w:t xml:space="preserve"> </w:t>
      </w:r>
      <w:r>
        <w:t xml:space="preserve">— together —</w:t>
      </w:r>
      <w:r>
        <w:t xml:space="preserve"> </w:t>
      </w:r>
      <w:r>
        <w:rPr>
          <w:iCs/>
          <w:i/>
        </w:rPr>
        <w:t xml:space="preserve">vardhaya</w:t>
      </w:r>
      <w:r>
        <w:t xml:space="preserve">: make grow</w:t>
      </w:r>
      <w:r>
        <w:t xml:space="preserve"> </w:t>
      </w:r>
      <w:r>
        <w:rPr>
          <w:iCs/>
          <w:i/>
        </w:rPr>
        <w:t xml:space="preserve">naḥ brahma</w:t>
      </w:r>
      <w:r>
        <w:t xml:space="preserve"> </w:t>
      </w:r>
      <w:r>
        <w:t xml:space="preserve">— our food — and the sacrifice, that is, the rite being performed. Having made the sacrifice grow by getting it completed with all its limbs, make its fruit — food — abundant. Among the twenty-eight words for food beginning with</w:t>
      </w:r>
      <w:r>
        <w:t xml:space="preserve"> </w:t>
      </w:r>
      <w:r>
        <w:rPr>
          <w:iCs/>
          <w:i/>
        </w:rPr>
        <w:t xml:space="preserve">andhaḥ</w:t>
      </w:r>
      <w:r>
        <w:t xml:space="preserve">,</w:t>
      </w:r>
      <w:r>
        <w:t xml:space="preserve"> </w:t>
      </w:r>
      <w:r>
        <w:rPr>
          <w:iCs/>
          <w:i/>
        </w:rPr>
        <w:t xml:space="preserve">brahma</w:t>
      </w:r>
      <w:r>
        <w:t xml:space="preserve"> </w:t>
      </w:r>
      <w:r>
        <w:t xml:space="preserve">is read [the print reads ”brahma varja”].</w:t>
      </w:r>
      <w:r>
        <w:t xml:space="preserve">”</w:t>
      </w:r>
    </w:p>
    <w:p>
      <w:pPr>
        <w:pStyle w:val="BodyText"/>
      </w:pPr>
      <w:r>
        <w:rPr>
          <w:iCs/>
          <w:i/>
        </w:rPr>
        <w:t xml:space="preserve">(Grammar, noted briefly:</w:t>
      </w:r>
      <w:r>
        <w:t xml:space="preserve"> </w:t>
      </w:r>
      <w:r>
        <w:t xml:space="preserve">ihi</w:t>
      </w:r>
      <w:r>
        <w:t xml:space="preserve"> </w:t>
      </w:r>
      <w:r>
        <w:rPr>
          <w:iCs/>
          <w:i/>
        </w:rPr>
        <w:t xml:space="preserve">— root</w:t>
      </w:r>
      <w:r>
        <w:t xml:space="preserve"> </w:t>
      </w:r>
      <w:r>
        <w:t xml:space="preserve">iṇ gatau</w:t>
      </w:r>
      <w:r>
        <w:t xml:space="preserve"> </w:t>
      </w:r>
      <w:r>
        <w:rPr>
          <w:iCs/>
          <w:i/>
        </w:rPr>
        <w:t xml:space="preserve">with</w:t>
      </w:r>
      <w:r>
        <w:t xml:space="preserve"> </w:t>
      </w:r>
      <w:r>
        <w:t xml:space="preserve">hi</w:t>
      </w:r>
      <w:r>
        <w:rPr>
          <w:iCs/>
          <w:i/>
        </w:rPr>
        <w:t xml:space="preserve">, which is</w:t>
      </w:r>
      <w:r>
        <w:t xml:space="preserve"> </w:t>
      </w:r>
      <w:r>
        <w:t xml:space="preserve">ṅit</w:t>
      </w:r>
      <w:r>
        <w:rPr>
          <w:iCs/>
          <w:i/>
        </w:rPr>
        <w:t xml:space="preserve">-like, so no guṇa; with</w:t>
      </w:r>
      <w:r>
        <w:t xml:space="preserve"> </w:t>
      </w:r>
      <w:r>
        <w:t xml:space="preserve">ā</w:t>
      </w:r>
      <w:r>
        <w:t xml:space="preserve"> </w:t>
      </w:r>
      <w:r>
        <w:rPr>
          <w:iCs/>
          <w:i/>
        </w:rPr>
        <w:t xml:space="preserve">a single substitute udātta;</w:t>
      </w:r>
      <w:r>
        <w:t xml:space="preserve"> </w:t>
      </w:r>
      <w:r>
        <w:t xml:space="preserve">stomān</w:t>
      </w:r>
      <w:r>
        <w:t xml:space="preserve"> </w:t>
      </w:r>
      <w:r>
        <w:rPr>
          <w:iCs/>
          <w:i/>
        </w:rPr>
        <w:t xml:space="preserve">— suffix</w:t>
      </w:r>
      <w:r>
        <w:t xml:space="preserve"> </w:t>
      </w:r>
      <w:r>
        <w:t xml:space="preserve">man</w:t>
      </w:r>
      <w:r>
        <w:t xml:space="preserve"> </w:t>
      </w:r>
      <w:r>
        <w:rPr>
          <w:iCs/>
          <w:i/>
        </w:rPr>
        <w:t xml:space="preserve">(</w:t>
      </w:r>
      <w:r>
        <w:rPr>
          <w:iCs/>
          <w:i/>
        </w:rPr>
        <w:t xml:space="preserve">“</w:t>
      </w:r>
      <w:r>
        <w:rPr>
          <w:iCs/>
          <w:i/>
        </w:rPr>
        <w:t xml:space="preserve">artistusu…</w:t>
      </w:r>
      <w:r>
        <w:rPr>
          <w:iCs/>
          <w:i/>
        </w:rPr>
        <w:t xml:space="preserve">”</w:t>
      </w:r>
      <w:r>
        <w:rPr>
          <w:iCs/>
          <w:i/>
        </w:rPr>
        <w:t xml:space="preserve">), initial-udātta; in the Saṃhitā the final</w:t>
      </w:r>
      <w:r>
        <w:t xml:space="preserve"> </w:t>
      </w:r>
      <w:r>
        <w:t xml:space="preserve">n</w:t>
      </w:r>
      <w:r>
        <w:t xml:space="preserve"> </w:t>
      </w:r>
      <w:r>
        <w:rPr>
          <w:iCs/>
          <w:i/>
        </w:rPr>
        <w:t xml:space="preserve">becomes</w:t>
      </w:r>
      <w:r>
        <w:t xml:space="preserve"> </w:t>
      </w:r>
      <w:r>
        <w:t xml:space="preserve">ru</w:t>
      </w:r>
      <w:r>
        <w:rPr>
          <w:iCs/>
          <w:i/>
        </w:rPr>
        <w:t xml:space="preserve">, the</w:t>
      </w:r>
      <w:r>
        <w:t xml:space="preserve"> </w:t>
      </w:r>
      <w:r>
        <w:t xml:space="preserve">ā</w:t>
      </w:r>
      <w:r>
        <w:t xml:space="preserve"> </w:t>
      </w:r>
      <w:r>
        <w:rPr>
          <w:iCs/>
          <w:i/>
        </w:rPr>
        <w:t xml:space="preserve">nasalised, the</w:t>
      </w:r>
      <w:r>
        <w:t xml:space="preserve"> </w:t>
      </w:r>
      <w:r>
        <w:t xml:space="preserve">r</w:t>
      </w:r>
      <w:r>
        <w:t xml:space="preserve"> </w:t>
      </w:r>
      <w:r>
        <w:rPr>
          <w:iCs/>
          <w:i/>
        </w:rPr>
        <w:t xml:space="preserve">→</w:t>
      </w:r>
      <w:r>
        <w:t xml:space="preserve"> </w:t>
      </w:r>
      <w:r>
        <w:t xml:space="preserve">y</w:t>
      </w:r>
      <w:r>
        <w:t xml:space="preserve"> </w:t>
      </w:r>
      <w:r>
        <w:rPr>
          <w:iCs/>
          <w:i/>
        </w:rPr>
        <w:t xml:space="preserve">and dropped (</w:t>
      </w:r>
      <w:r>
        <w:rPr>
          <w:iCs/>
          <w:i/>
        </w:rPr>
        <w:t xml:space="preserve">“</w:t>
      </w:r>
      <w:r>
        <w:rPr>
          <w:iCs/>
          <w:i/>
        </w:rPr>
        <w:t xml:space="preserve">lopaḥ śākalyasya</w:t>
      </w:r>
      <w:r>
        <w:rPr>
          <w:iCs/>
          <w:i/>
        </w:rPr>
        <w:t xml:space="preserve">”</w:t>
      </w:r>
      <w:r>
        <w:rPr>
          <w:iCs/>
          <w:i/>
        </w:rPr>
        <w:t xml:space="preserve">), without vowel sandhi;</w:t>
      </w:r>
      <w:r>
        <w:t xml:space="preserve"> </w:t>
      </w:r>
      <w:r>
        <w:t xml:space="preserve">abhi</w:t>
      </w:r>
      <w:r>
        <w:t xml:space="preserve"> </w:t>
      </w:r>
      <w:r>
        <w:rPr>
          <w:iCs/>
          <w:i/>
        </w:rPr>
        <w:t xml:space="preserve">— final-udātta;</w:t>
      </w:r>
      <w:r>
        <w:t xml:space="preserve"> </w:t>
      </w:r>
      <w:r>
        <w:t xml:space="preserve">svara</w:t>
      </w:r>
      <w:r>
        <w:t xml:space="preserve"> </w:t>
      </w:r>
      <w:r>
        <w:rPr>
          <w:iCs/>
          <w:i/>
        </w:rPr>
        <w:t xml:space="preserve">— root</w:t>
      </w:r>
      <w:r>
        <w:t xml:space="preserve"> </w:t>
      </w:r>
      <w:r>
        <w:t xml:space="preserve">svṛ</w:t>
      </w:r>
      <w:r>
        <w:rPr>
          <w:iCs/>
          <w:i/>
        </w:rPr>
        <w:t xml:space="preserve">, lowered;</w:t>
      </w:r>
      <w:r>
        <w:t xml:space="preserve"> </w:t>
      </w:r>
      <w:r>
        <w:t xml:space="preserve">gṛṇīhi</w:t>
      </w:r>
      <w:r>
        <w:t xml:space="preserve"> </w:t>
      </w:r>
      <w:r>
        <w:rPr>
          <w:iCs/>
          <w:i/>
        </w:rPr>
        <w:t xml:space="preserve">— root</w:t>
      </w:r>
      <w:r>
        <w:t xml:space="preserve"> </w:t>
      </w:r>
      <w:r>
        <w:t xml:space="preserve">gṝ śabde</w:t>
      </w:r>
      <w:r>
        <w:rPr>
          <w:iCs/>
          <w:i/>
        </w:rPr>
        <w:t xml:space="preserve">, śnā</w:t>
      </w:r>
      <w:r>
        <w:t xml:space="preserve">,* ī</w:t>
      </w:r>
      <w:r>
        <w:t xml:space="preserve"> </w:t>
      </w:r>
      <w:r>
        <w:rPr>
          <w:iCs/>
          <w:i/>
        </w:rPr>
        <w:t xml:space="preserve">by</w:t>
      </w:r>
      <w:r>
        <w:rPr>
          <w:iCs/>
          <w:i/>
        </w:rPr>
        <w:t xml:space="preserve"> </w:t>
      </w:r>
      <w:r>
        <w:rPr>
          <w:iCs/>
          <w:i/>
        </w:rPr>
        <w:t xml:space="preserve">“</w:t>
      </w:r>
      <w:r>
        <w:rPr>
          <w:iCs/>
          <w:i/>
        </w:rPr>
        <w:t xml:space="preserve">ī halyaghoḥ</w:t>
      </w:r>
      <w:r>
        <w:rPr>
          <w:iCs/>
          <w:i/>
        </w:rPr>
        <w:t xml:space="preserve">”</w:t>
      </w:r>
      <w:r>
        <w:rPr>
          <w:iCs/>
          <w:i/>
        </w:rPr>
        <w:t xml:space="preserve"> </w:t>
      </w:r>
      <w:r>
        <w:rPr>
          <w:iCs/>
          <w:i/>
        </w:rPr>
        <w:t xml:space="preserve">(Pā. 6-4-113), the root vowel shortened (Pā. 7-3-80),</w:t>
      </w:r>
      <w:r>
        <w:t xml:space="preserve"> </w:t>
      </w:r>
      <w:r>
        <w:t xml:space="preserve">ṇ</w:t>
      </w:r>
      <w:r>
        <w:t xml:space="preserve"> </w:t>
      </w:r>
      <w:r>
        <w:rPr>
          <w:iCs/>
          <w:i/>
        </w:rPr>
        <w:t xml:space="preserve">by the Kāśikā’s addition to 8-4-1;</w:t>
      </w:r>
      <w:r>
        <w:t xml:space="preserve"> </w:t>
      </w:r>
      <w:r>
        <w:t xml:space="preserve">ruva</w:t>
      </w:r>
      <w:r>
        <w:t xml:space="preserve"> </w:t>
      </w:r>
      <w:r>
        <w:rPr>
          <w:iCs/>
          <w:i/>
        </w:rPr>
        <w:t xml:space="preserve">— root</w:t>
      </w:r>
      <w:r>
        <w:t xml:space="preserve"> </w:t>
      </w:r>
      <w:r>
        <w:t xml:space="preserve">ru śabde</w:t>
      </w:r>
      <w:r>
        <w:rPr>
          <w:iCs/>
          <w:i/>
        </w:rPr>
        <w:t xml:space="preserve">, śa</w:t>
      </w:r>
      <w:r>
        <w:rPr>
          <w:iCs/>
          <w:i/>
        </w:rPr>
        <w:t xml:space="preserve"> </w:t>
      </w:r>
      <w:r>
        <w:t xml:space="preserve">for* śap</w:t>
      </w:r>
      <w:r>
        <w:t xml:space="preserve"> </w:t>
      </w:r>
      <w:r>
        <w:rPr>
          <w:iCs/>
          <w:i/>
        </w:rPr>
        <w:t xml:space="preserve">by Vedic exchange,</w:t>
      </w:r>
      <w:r>
        <w:t xml:space="preserve"> </w:t>
      </w:r>
      <w:r>
        <w:t xml:space="preserve">uvaṅ</w:t>
      </w:r>
      <w:r>
        <w:rPr>
          <w:iCs/>
          <w:i/>
        </w:rPr>
        <w:t xml:space="preserve">, loss of</w:t>
      </w:r>
      <w:r>
        <w:t xml:space="preserve"> </w:t>
      </w:r>
      <w:r>
        <w:t xml:space="preserve">hi</w:t>
      </w:r>
      <w:r>
        <w:rPr>
          <w:iCs/>
          <w:i/>
        </w:rPr>
        <w:t xml:space="preserve">;</w:t>
      </w:r>
      <w:r>
        <w:t xml:space="preserve"> </w:t>
      </w:r>
      <w:r>
        <w:t xml:space="preserve">brahma</w:t>
      </w:r>
      <w:r>
        <w:t xml:space="preserve"> </w:t>
      </w:r>
      <w:r>
        <w:rPr>
          <w:iCs/>
          <w:i/>
        </w:rPr>
        <w:t xml:space="preserve">— root</w:t>
      </w:r>
      <w:r>
        <w:t xml:space="preserve"> </w:t>
      </w:r>
      <w:r>
        <w:t xml:space="preserve">bṛhi vṛddhau</w:t>
      </w:r>
      <w:r>
        <w:t xml:space="preserve"> </w:t>
      </w:r>
      <w:r>
        <w:rPr>
          <w:iCs/>
          <w:i/>
        </w:rPr>
        <w:t xml:space="preserve">with</w:t>
      </w:r>
      <w:r>
        <w:t xml:space="preserve"> </w:t>
      </w:r>
      <w:r>
        <w:t xml:space="preserve">manin</w:t>
      </w:r>
      <w:r>
        <w:t xml:space="preserve"> </w:t>
      </w:r>
      <w:r>
        <w:rPr>
          <w:iCs/>
          <w:i/>
        </w:rPr>
        <w:t xml:space="preserve">(Uṇ. 4-145), the</w:t>
      </w:r>
      <w:r>
        <w:t xml:space="preserve"> </w:t>
      </w:r>
      <w:r>
        <w:t xml:space="preserve">n</w:t>
      </w:r>
      <w:r>
        <w:t xml:space="preserve"> </w:t>
      </w:r>
      <w:r>
        <w:rPr>
          <w:iCs/>
          <w:i/>
        </w:rPr>
        <w:t xml:space="preserve">dropped and</w:t>
      </w:r>
      <w:r>
        <w:t xml:space="preserve"> </w:t>
      </w:r>
      <w:r>
        <w:t xml:space="preserve">am</w:t>
      </w:r>
      <w:r>
        <w:t xml:space="preserve"> </w:t>
      </w:r>
      <w:r>
        <w:rPr>
          <w:iCs/>
          <w:i/>
        </w:rPr>
        <w:t xml:space="preserve">inserted after the last vowel (Pā. 1-1-47), initial-udātta;</w:t>
      </w:r>
      <w:r>
        <w:t xml:space="preserve"> </w:t>
      </w:r>
      <w:r>
        <w:t xml:space="preserve">vaso</w:t>
      </w:r>
      <w:r>
        <w:t xml:space="preserve"> </w:t>
      </w:r>
      <w:r>
        <w:rPr>
          <w:iCs/>
          <w:i/>
        </w:rPr>
        <w:t xml:space="preserve">— vocative, lowered;</w:t>
      </w:r>
      <w:r>
        <w:t xml:space="preserve"> </w:t>
      </w:r>
      <w:r>
        <w:t xml:space="preserve">yajñam</w:t>
      </w:r>
      <w:r>
        <w:t xml:space="preserve"> </w:t>
      </w:r>
      <w:r>
        <w:rPr>
          <w:iCs/>
          <w:i/>
        </w:rPr>
        <w:t xml:space="preserve">— naṅ (Pā. 3-3-90);</w:t>
      </w:r>
      <w:r>
        <w:t xml:space="preserve"> </w:t>
      </w:r>
      <w:r>
        <w:t xml:space="preserve">vardhaya</w:t>
      </w:r>
      <w:r>
        <w:t xml:space="preserve"> </w:t>
      </w:r>
      <w:r>
        <w:rPr>
          <w:iCs/>
          <w:i/>
        </w:rPr>
        <w:t xml:space="preserve">— lowered; since</w:t>
      </w:r>
      <w:r>
        <w:t xml:space="preserve"> </w:t>
      </w:r>
      <w:r>
        <w:t xml:space="preserve">ca</w:t>
      </w:r>
      <w:r>
        <w:t xml:space="preserve"> </w:t>
      </w:r>
      <w:r>
        <w:rPr>
          <w:iCs/>
          <w:i/>
        </w:rPr>
        <w:t xml:space="preserve">is used twice, this verb is understood in the earlier clause as well, so the rule</w:t>
      </w:r>
      <w:r>
        <w:rPr>
          <w:iCs/>
          <w:i/>
        </w:rPr>
        <w:t xml:space="preserve"> </w:t>
      </w:r>
      <w:r>
        <w:rPr>
          <w:iCs/>
          <w:i/>
        </w:rPr>
        <w:t xml:space="preserve">“</w:t>
      </w:r>
      <w:r>
        <w:rPr>
          <w:iCs/>
          <w:i/>
        </w:rPr>
        <w:t xml:space="preserve">cavāyoge prathamā</w:t>
      </w:r>
      <w:r>
        <w:rPr>
          <w:iCs/>
          <w:i/>
        </w:rPr>
        <w:t xml:space="preserve">”</w:t>
      </w:r>
      <w:r>
        <w:rPr>
          <w:iCs/>
          <w:i/>
        </w:rPr>
        <w:t xml:space="preserve"> </w:t>
      </w:r>
      <w:r>
        <w:rPr>
          <w:iCs/>
          <w:i/>
        </w:rPr>
        <w:t xml:space="preserve">(Pā. 8-1-59) does not prevent the lowering.)</w:t>
      </w:r>
    </w:p>
    <w:bookmarkEnd w:id="421"/>
    <w:bookmarkStart w:id="422" w:name="X82b9e82b4aa26b2e968b843f71f8760e137563b"/>
    <w:p>
      <w:pPr>
        <w:pStyle w:val="Heading3"/>
      </w:pPr>
      <w:r>
        <w:t xml:space="preserve">Page 397 — Rik 4: grammar close, word-meanings, overall sense, English</w:t>
      </w:r>
    </w:p>
    <w:p>
      <w:pPr>
        <w:pStyle w:val="FirstParagraph"/>
      </w:pPr>
      <w:r>
        <w:rPr>
          <w:iCs/>
          <w:i/>
        </w:rPr>
        <w:t xml:space="preserve">(The first lines of the page finish Sāyaṇa’s grammar, given in full with p. 396 above.)</w:t>
      </w:r>
    </w:p>
    <w:p>
      <w:pPr>
        <w:pStyle w:val="BodyText"/>
      </w:pPr>
      <w:r>
        <w:rPr>
          <w:bCs/>
          <w:b/>
        </w:rPr>
        <w:t xml:space="preserve">॥ Prati-padārthaḥ ॥</w:t>
      </w:r>
    </w:p>
    <w:p>
      <w:pPr>
        <w:pStyle w:val="BodyText"/>
      </w:pPr>
      <w:r>
        <w:rPr>
          <w:bCs/>
          <w:b/>
        </w:rPr>
        <w:t xml:space="preserve">वसो (vaso)</w:t>
      </w:r>
      <w:r>
        <w:t xml:space="preserve"> </w:t>
      </w:r>
      <w:r>
        <w:t xml:space="preserve">— O Indra, you who are excellent (or the cause of our dwelling-places) |</w:t>
      </w:r>
      <w:r>
        <w:t xml:space="preserve"> </w:t>
      </w:r>
      <w:r>
        <w:rPr>
          <w:bCs/>
          <w:b/>
        </w:rPr>
        <w:t xml:space="preserve">(हे) इन्द्र ((he) indra)</w:t>
      </w:r>
      <w:r>
        <w:t xml:space="preserve"> </w:t>
      </w:r>
      <w:r>
        <w:t xml:space="preserve">— O Indra |</w:t>
      </w:r>
      <w:r>
        <w:t xml:space="preserve"> </w:t>
      </w:r>
      <w:r>
        <w:rPr>
          <w:bCs/>
          <w:b/>
        </w:rPr>
        <w:t xml:space="preserve">एहि (ehi)</w:t>
      </w:r>
      <w:r>
        <w:t xml:space="preserve"> </w:t>
      </w:r>
      <w:r>
        <w:t xml:space="preserve">— come (to this sacrificial ground that we perform) |</w:t>
      </w:r>
      <w:r>
        <w:t xml:space="preserve"> </w:t>
      </w:r>
      <w:r>
        <w:rPr>
          <w:bCs/>
          <w:b/>
        </w:rPr>
        <w:t xml:space="preserve">स्तोमान् (stomān)</w:t>
      </w:r>
      <w:r>
        <w:t xml:space="preserve"> </w:t>
      </w:r>
      <w:r>
        <w:t xml:space="preserve">— the hymns that the priests called udgātṛ, singers of the Sāman, recite, or sing |</w:t>
      </w:r>
      <w:r>
        <w:t xml:space="preserve"> </w:t>
      </w:r>
      <w:r>
        <w:rPr>
          <w:bCs/>
          <w:b/>
        </w:rPr>
        <w:t xml:space="preserve">अभि स्वर (abhi svara)</w:t>
      </w:r>
      <w:r>
        <w:t xml:space="preserve"> </w:t>
      </w:r>
      <w:r>
        <w:t xml:space="preserve">— listen with attention and give praise (that is, express approval) |</w:t>
      </w:r>
      <w:r>
        <w:t xml:space="preserve"> </w:t>
      </w:r>
      <w:r>
        <w:rPr>
          <w:bCs/>
          <w:b/>
        </w:rPr>
        <w:t xml:space="preserve">अभि गृणीहि (abhi gṛṇīhi)</w:t>
      </w:r>
      <w:r>
        <w:t xml:space="preserve"> </w:t>
      </w:r>
      <w:r>
        <w:t xml:space="preserve">— praise (the rites, that the adhvaryu performs) |</w:t>
      </w:r>
      <w:r>
        <w:t xml:space="preserve"> </w:t>
      </w:r>
      <w:r>
        <w:rPr>
          <w:bCs/>
          <w:b/>
        </w:rPr>
        <w:t xml:space="preserve">आ रुव (ā ruva)</w:t>
      </w:r>
      <w:r>
        <w:t xml:space="preserve"> </w:t>
      </w:r>
      <w:r>
        <w:t xml:space="preserve">— listen to the</w:t>
      </w:r>
      <w:r>
        <w:t xml:space="preserve"> </w:t>
      </w:r>
      <w:r>
        <w:rPr>
          <w:iCs/>
          <w:i/>
        </w:rPr>
        <w:t xml:space="preserve">śastra</w:t>
      </w:r>
      <w:r>
        <w:t xml:space="preserve"> </w:t>
      </w:r>
      <w:r>
        <w:t xml:space="preserve">mantras recited by the priests of the hotṛ group and signify your approval |</w:t>
      </w:r>
      <w:r>
        <w:t xml:space="preserve"> </w:t>
      </w:r>
      <w:r>
        <w:rPr>
          <w:iCs/>
          <w:i/>
        </w:rPr>
        <w:t xml:space="preserve">(then)</w:t>
      </w:r>
      <w:r>
        <w:t xml:space="preserve"> </w:t>
      </w:r>
      <w:r>
        <w:rPr>
          <w:bCs/>
          <w:b/>
        </w:rPr>
        <w:t xml:space="preserve">नः (naḥ)</w:t>
      </w:r>
      <w:r>
        <w:t xml:space="preserve"> </w:t>
      </w:r>
      <w:r>
        <w:t xml:space="preserve">— to us |</w:t>
      </w:r>
      <w:r>
        <w:t xml:space="preserve"> </w:t>
      </w:r>
      <w:r>
        <w:rPr>
          <w:bCs/>
          <w:b/>
        </w:rPr>
        <w:t xml:space="preserve">ब्रह्म च (brahma ca)</w:t>
      </w:r>
      <w:r>
        <w:t xml:space="preserve"> </w:t>
      </w:r>
      <w:r>
        <w:t xml:space="preserve">— food too |</w:t>
      </w:r>
      <w:r>
        <w:t xml:space="preserve"> </w:t>
      </w:r>
      <w:r>
        <w:rPr>
          <w:bCs/>
          <w:b/>
        </w:rPr>
        <w:t xml:space="preserve">यज्ञं च (yajñaṃ ca)</w:t>
      </w:r>
      <w:r>
        <w:t xml:space="preserve"> </w:t>
      </w:r>
      <w:r>
        <w:t xml:space="preserve">— our sacrifice too |</w:t>
      </w:r>
      <w:r>
        <w:t xml:space="preserve"> </w:t>
      </w:r>
      <w:r>
        <w:rPr>
          <w:bCs/>
          <w:b/>
        </w:rPr>
        <w:t xml:space="preserve">सचा (sacā)</w:t>
      </w:r>
      <w:r>
        <w:t xml:space="preserve"> </w:t>
      </w:r>
      <w:r>
        <w:t xml:space="preserve">— being together (that is, being here) |</w:t>
      </w:r>
      <w:r>
        <w:t xml:space="preserve"> </w:t>
      </w:r>
      <w:r>
        <w:rPr>
          <w:bCs/>
          <w:b/>
        </w:rPr>
        <w:t xml:space="preserve">वर्धय (vardhaya)</w:t>
      </w:r>
      <w:r>
        <w:t xml:space="preserve"> </w:t>
      </w:r>
      <w:r>
        <w:t xml:space="preserve">— increase (that is, bring our sacrifice to completion, along with all its limbs, and bestow on us the food and the other foodstuffs that are its fruit).</w:t>
      </w:r>
    </w:p>
    <w:p>
      <w:pPr>
        <w:pStyle w:val="BodyText"/>
      </w:pPr>
      <w:r>
        <w:rPr>
          <w:bCs/>
          <w:b/>
        </w:rPr>
        <w:t xml:space="preserve">॥ Bhāvārthaḥ ॥</w:t>
      </w:r>
    </w:p>
    <w:p>
      <w:pPr>
        <w:pStyle w:val="BodyText"/>
      </w:pPr>
      <w:r>
        <w:t xml:space="preserve">O Indra! You are the cause of our dwellings — that is, it is you who give us the places where we live. Such as you are, O Indra, endowed with the quality of excellence! Come here, to the sacrifice we are performing; listen to the hymns sung with Sāmans by the priests called udgātṛ, to the adhvaryu, and to the</w:t>
      </w:r>
      <w:r>
        <w:t xml:space="preserve"> </w:t>
      </w:r>
      <w:r>
        <w:rPr>
          <w:iCs/>
          <w:i/>
        </w:rPr>
        <w:t xml:space="preserve">śastra</w:t>
      </w:r>
      <w:r>
        <w:t xml:space="preserve">-mantras recited by the priests of the hotṛ group — to the hymns that each of them performs — and signify your approval of them by sound. Then grant that our sacrifice grows and is completed; and bestow upon us food and other nourishment.</w:t>
      </w:r>
    </w:p>
    <w:p>
      <w:pPr>
        <w:pStyle w:val="BodyText"/>
      </w:pPr>
      <w:r>
        <w:rPr>
          <w:bCs/>
          <w:b/>
        </w:rPr>
        <w:t xml:space="preserve">॥ English Translation ॥</w:t>
      </w:r>
      <w:r>
        <w:t xml:space="preserve"> </w:t>
      </w:r>
      <w:r>
        <w:rPr>
          <w:iCs/>
          <w:i/>
        </w:rPr>
        <w:t xml:space="preserve">(as printed in the source)</w:t>
      </w:r>
    </w:p>
    <w:p>
      <w:pPr>
        <w:pStyle w:val="BlockText"/>
      </w:pPr>
      <w:r>
        <w:t xml:space="preserve">Come hither, O good Indra, applaud our prayers, praise them, receive them approvingly. O Indra, bless our sacrifice and bestow upon us abundant food.</w:t>
      </w:r>
    </w:p>
    <w:bookmarkEnd w:id="422"/>
    <w:bookmarkStart w:id="423" w:name="page-398-rik-4-special-topics"/>
    <w:p>
      <w:pPr>
        <w:pStyle w:val="Heading3"/>
      </w:pPr>
      <w:r>
        <w:t xml:space="preserve">Page 398 — Rik 4: Special Topics</w:t>
      </w:r>
    </w:p>
    <w:p>
      <w:pPr>
        <w:pStyle w:val="FirstParagraph"/>
      </w:pPr>
      <w:r>
        <w:rPr>
          <w:bCs/>
          <w:b/>
        </w:rPr>
        <w:t xml:space="preserve">॥ Viśeṣa-viṣayagaḷu (Special Topics) ॥</w:t>
      </w:r>
    </w:p>
    <w:p>
      <w:pPr>
        <w:pStyle w:val="BodyText"/>
      </w:pPr>
      <w:r>
        <w:t xml:space="preserve">On the matter of the special application of this rik, the Bhāṣyakāra, following the rule —</w:t>
      </w:r>
    </w:p>
    <w:p>
      <w:pPr>
        <w:pStyle w:val="BlockText"/>
      </w:pPr>
      <w:r>
        <w:t xml:space="preserve">विशेषविनियोगस्तु यत्र श्रौतो न सूत्रितः ।</w:t>
      </w:r>
      <w:r>
        <w:t xml:space="preserve"> </w:t>
      </w:r>
      <w:r>
        <w:t xml:space="preserve">स्मार्तं तत्र विजानीयादृग्विधानादिसूत्रतः ॥</w:t>
      </w:r>
      <w:r>
        <w:t xml:space="preserve"> </w:t>
      </w:r>
      <w:r>
        <w:rPr>
          <w:iCs/>
          <w:i/>
        </w:rPr>
        <w:t xml:space="preserve">viśeṣa-viniyogas tu yatra śrauto na sūtritaḥ |</w:t>
      </w:r>
      <w:r>
        <w:t xml:space="preserve"> </w:t>
      </w:r>
      <w:r>
        <w:rPr>
          <w:iCs/>
          <w:i/>
        </w:rPr>
        <w:t xml:space="preserve">smārtaṃ tatra vijānīyād ṛgvidhānādi-sūtrataḥ ||</w:t>
      </w:r>
      <w:r>
        <w:t xml:space="preserve"> </w:t>
      </w:r>
      <w:r>
        <w:t xml:space="preserve">“</w:t>
      </w:r>
      <w:r>
        <w:t xml:space="preserve">Where the special application [of a mantra] has not been laid down in the Śrauta [texts], one is to know the Smārta one from the Ṛgvidhāna and other texts.</w:t>
      </w:r>
      <w:r>
        <w:t xml:space="preserve">”</w:t>
      </w:r>
    </w:p>
    <w:p>
      <w:pPr>
        <w:pStyle w:val="FirstParagraph"/>
      </w:pPr>
      <w:r>
        <w:t xml:space="preserve">— says that where the special application of a mantra is not stated in the Śrauta sūtras, in the performance of Smārta rites one must learn the application of that mantra from works such as the</w:t>
      </w:r>
      <w:r>
        <w:t xml:space="preserve"> </w:t>
      </w:r>
      <w:r>
        <w:rPr>
          <w:iCs/>
          <w:i/>
        </w:rPr>
        <w:t xml:space="preserve">Ṛgvidhāna</w:t>
      </w:r>
      <w:r>
        <w:t xml:space="preserve">; and since no special application has been stated in the Śrauta sūtras for this rik</w:t>
      </w:r>
      <w:r>
        <w:t xml:space="preserve"> </w:t>
      </w:r>
      <w:r>
        <w:rPr>
          <w:iCs/>
          <w:i/>
        </w:rPr>
        <w:t xml:space="preserve">ehi stomān</w:t>
      </w:r>
      <w:r>
        <w:t xml:space="preserve">, its general application in rites such as the Brahmayajña is to be understood.</w:t>
      </w:r>
    </w:p>
    <w:p>
      <w:pPr>
        <w:pStyle w:val="BodyText"/>
      </w:pPr>
      <w:r>
        <w:t xml:space="preserve">In this rik there are three verbs,</w:t>
      </w:r>
      <w:r>
        <w:t xml:space="preserve"> </w:t>
      </w:r>
      <w:r>
        <w:rPr>
          <w:iCs/>
          <w:i/>
        </w:rPr>
        <w:t xml:space="preserve">svara</w:t>
      </w:r>
      <w:r>
        <w:t xml:space="preserve">,</w:t>
      </w:r>
      <w:r>
        <w:t xml:space="preserve"> </w:t>
      </w:r>
      <w:r>
        <w:rPr>
          <w:iCs/>
          <w:i/>
        </w:rPr>
        <w:t xml:space="preserve">gṛṇīhi</w:t>
      </w:r>
      <w:r>
        <w:t xml:space="preserve">,</w:t>
      </w:r>
      <w:r>
        <w:t xml:space="preserve"> </w:t>
      </w:r>
      <w:r>
        <w:rPr>
          <w:iCs/>
          <w:i/>
        </w:rPr>
        <w:t xml:space="preserve">ruva</w:t>
      </w:r>
      <w:r>
        <w:t xml:space="preserve">:</w:t>
      </w:r>
      <w:r>
        <w:t xml:space="preserve"> </w:t>
      </w:r>
      <w:r>
        <w:rPr>
          <w:iCs/>
          <w:i/>
        </w:rPr>
        <w:t xml:space="preserve">svara</w:t>
      </w:r>
      <w:r>
        <w:t xml:space="preserve"> </w:t>
      </w:r>
      <w:r>
        <w:t xml:space="preserve">— root</w:t>
      </w:r>
      <w:r>
        <w:t xml:space="preserve"> </w:t>
      </w:r>
      <w:r>
        <w:rPr>
          <w:iCs/>
          <w:i/>
        </w:rPr>
        <w:t xml:space="preserve">svṛ śabdopatāpayoḥ</w:t>
      </w:r>
      <w:r>
        <w:t xml:space="preserve">;</w:t>
      </w:r>
      <w:r>
        <w:t xml:space="preserve"> </w:t>
      </w:r>
      <w:r>
        <w:rPr>
          <w:iCs/>
          <w:i/>
        </w:rPr>
        <w:t xml:space="preserve">gṛṇīhi</w:t>
      </w:r>
      <w:r>
        <w:t xml:space="preserve"> </w:t>
      </w:r>
      <w:r>
        <w:t xml:space="preserve">— root</w:t>
      </w:r>
      <w:r>
        <w:t xml:space="preserve"> </w:t>
      </w:r>
      <w:r>
        <w:rPr>
          <w:iCs/>
          <w:i/>
        </w:rPr>
        <w:t xml:space="preserve">gṝ śabde</w:t>
      </w:r>
      <w:r>
        <w:t xml:space="preserve">;</w:t>
      </w:r>
      <w:r>
        <w:t xml:space="preserve"> </w:t>
      </w:r>
      <w:r>
        <w:rPr>
          <w:iCs/>
          <w:i/>
        </w:rPr>
        <w:t xml:space="preserve">ruva</w:t>
      </w:r>
      <w:r>
        <w:t xml:space="preserve"> </w:t>
      </w:r>
      <w:r>
        <w:t xml:space="preserve">— root</w:t>
      </w:r>
      <w:r>
        <w:t xml:space="preserve"> </w:t>
      </w:r>
      <w:r>
        <w:rPr>
          <w:iCs/>
          <w:i/>
        </w:rPr>
        <w:t xml:space="preserve">ru śabde</w:t>
      </w:r>
      <w:r>
        <w:t xml:space="preserve">. Since these are given in the Dhātupāṭha, all three have the one meaning</w:t>
      </w:r>
      <w:r>
        <w:t xml:space="preserve"> </w:t>
      </w:r>
      <w:r>
        <w:t xml:space="preserve">“</w:t>
      </w:r>
      <w:r>
        <w:t xml:space="preserve">make a sound.</w:t>
      </w:r>
      <w:r>
        <w:t xml:space="preserve">”</w:t>
      </w:r>
      <w:r>
        <w:t xml:space="preserve"> </w:t>
      </w:r>
      <w:r>
        <w:t xml:space="preserve">When one adds the prefix</w:t>
      </w:r>
      <w:r>
        <w:t xml:space="preserve"> </w:t>
      </w:r>
      <w:r>
        <w:rPr>
          <w:iCs/>
          <w:i/>
        </w:rPr>
        <w:t xml:space="preserve">abhi</w:t>
      </w:r>
      <w:r>
        <w:t xml:space="preserve"> </w:t>
      </w:r>
      <w:r>
        <w:t xml:space="preserve">—</w:t>
      </w:r>
      <w:r>
        <w:t xml:space="preserve"> </w:t>
      </w:r>
      <w:r>
        <w:rPr>
          <w:iCs/>
          <w:i/>
        </w:rPr>
        <w:t xml:space="preserve">abhilakṣya</w:t>
      </w:r>
      <w:r>
        <w:t xml:space="preserve"> </w:t>
      </w:r>
      <w:r>
        <w:t xml:space="preserve">— and renders it</w:t>
      </w:r>
      <w:r>
        <w:t xml:space="preserve"> </w:t>
      </w:r>
      <w:r>
        <w:t xml:space="preserve">“</w:t>
      </w:r>
      <w:r>
        <w:t xml:space="preserve">make a sound of praise,</w:t>
      </w:r>
      <w:r>
        <w:t xml:space="preserve">”</w:t>
      </w:r>
      <w:r>
        <w:t xml:space="preserve"> </w:t>
      </w:r>
      <w:r>
        <w:t xml:space="preserve">that is,</w:t>
      </w:r>
      <w:r>
        <w:t xml:space="preserve"> </w:t>
      </w:r>
      <w:r>
        <w:t xml:space="preserve">“</w:t>
      </w:r>
      <w:r>
        <w:t xml:space="preserve">praise, approve by sound (or by speech),</w:t>
      </w:r>
      <w:r>
        <w:t xml:space="preserve">”</w:t>
      </w:r>
      <w:r>
        <w:t xml:space="preserve"> </w:t>
      </w:r>
      <w:r>
        <w:t xml:space="preserve">Skandasvāmī and Veṅkaṭamādhava likewise give this same sense; so it is this that should be accepted.</w:t>
      </w:r>
    </w:p>
    <w:p>
      <w:pPr>
        <w:pStyle w:val="BodyText"/>
      </w:pPr>
      <w:r>
        <w:rPr>
          <w:bCs/>
          <w:b/>
        </w:rPr>
        <w:t xml:space="preserve">“</w:t>
      </w:r>
      <w:r>
        <w:rPr>
          <w:bCs/>
          <w:b/>
        </w:rPr>
        <w:t xml:space="preserve">Vaso</w:t>
      </w:r>
      <w:r>
        <w:rPr>
          <w:bCs/>
          <w:b/>
        </w:rPr>
        <w:t xml:space="preserve">”</w:t>
      </w:r>
      <w:r>
        <w:t xml:space="preserve"> </w:t>
      </w:r>
      <w:r>
        <w:t xml:space="preserve">—</w:t>
      </w:r>
      <w:r>
        <w:t xml:space="preserve"> </w:t>
      </w:r>
      <w:r>
        <w:rPr>
          <w:iCs/>
          <w:i/>
        </w:rPr>
        <w:t xml:space="preserve">nivāsakāraṇabhūtendra</w:t>
      </w:r>
      <w:r>
        <w:t xml:space="preserve"> </w:t>
      </w:r>
      <w:r>
        <w:t xml:space="preserve">—</w:t>
      </w:r>
      <w:r>
        <w:t xml:space="preserve"> </w:t>
      </w:r>
      <w:r>
        <w:t xml:space="preserve">“</w:t>
      </w:r>
      <w:r>
        <w:t xml:space="preserve">O Indra, the cause of dwelling-places</w:t>
      </w:r>
      <w:r>
        <w:t xml:space="preserve">”</w:t>
      </w:r>
      <w:r>
        <w:t xml:space="preserve">: the Bhāṣyakāra’s sense.</w:t>
      </w:r>
      <w:r>
        <w:t xml:space="preserve"> </w:t>
      </w:r>
      <w:r>
        <w:rPr>
          <w:bCs/>
          <w:b/>
        </w:rPr>
        <w:t xml:space="preserve">Skandasvāmī:</w:t>
      </w:r>
      <w:r>
        <w:t xml:space="preserve"> </w:t>
      </w:r>
      <w:r>
        <w:rPr>
          <w:bCs/>
          <w:b/>
        </w:rPr>
        <w:t xml:space="preserve">वसो । शतपथे वसिष्ठ इति वसुशब्दस्यातिशयितप्रत्ययान्तस्य</w:t>
      </w:r>
      <w:r>
        <w:rPr>
          <w:bCs/>
          <w:b/>
        </w:rPr>
        <w:t xml:space="preserve"> </w:t>
      </w:r>
      <w:r>
        <w:rPr>
          <w:bCs/>
          <w:b/>
        </w:rPr>
        <w:t xml:space="preserve">“</w:t>
      </w:r>
      <w:r>
        <w:rPr>
          <w:bCs/>
          <w:b/>
        </w:rPr>
        <w:t xml:space="preserve">यद्वै नः श्रेष्ठस्तेन वसिष्ठः</w:t>
      </w:r>
      <w:r>
        <w:rPr>
          <w:bCs/>
          <w:b/>
        </w:rPr>
        <w:t xml:space="preserve">”</w:t>
      </w:r>
      <w:r>
        <w:rPr>
          <w:bCs/>
          <w:b/>
        </w:rPr>
        <w:t xml:space="preserve"> </w:t>
      </w:r>
      <w:r>
        <w:rPr>
          <w:bCs/>
          <w:b/>
        </w:rPr>
        <w:t xml:space="preserve">इति प्रशस्यतमेन वचनेन श्रेष्ठशब्देनार्थविवरणदर्शनात् वसुशब्दः प्रशस्यनाम</w:t>
      </w:r>
      <w:r>
        <w:t xml:space="preserve"> </w:t>
      </w:r>
      <w:r>
        <w:t xml:space="preserve">(</w:t>
      </w:r>
      <w:r>
        <w:rPr>
          <w:iCs/>
          <w:i/>
        </w:rPr>
        <w:t xml:space="preserve">vaso | śatapathe vasiṣṭha iti vasuśabdasyātiśayitapratyayāntasya</w:t>
      </w:r>
      <w:r>
        <w:rPr>
          <w:iCs/>
          <w:i/>
        </w:rPr>
        <w:t xml:space="preserve"> </w:t>
      </w:r>
      <w:r>
        <w:rPr>
          <w:iCs/>
          <w:i/>
        </w:rPr>
        <w:t xml:space="preserve">“</w:t>
      </w:r>
      <w:r>
        <w:rPr>
          <w:iCs/>
          <w:i/>
        </w:rPr>
        <w:t xml:space="preserve">yadvai naḥ śreṣṭhastena vasiṣṭhaḥ</w:t>
      </w:r>
      <w:r>
        <w:rPr>
          <w:iCs/>
          <w:i/>
        </w:rPr>
        <w:t xml:space="preserve">”</w:t>
      </w:r>
      <w:r>
        <w:rPr>
          <w:iCs/>
          <w:i/>
        </w:rPr>
        <w:t xml:space="preserve"> </w:t>
      </w:r>
      <w:r>
        <w:rPr>
          <w:iCs/>
          <w:i/>
        </w:rPr>
        <w:t xml:space="preserve">iti praśasyatamena vacanena śreṣṭhaśabdenārthavivaraṇadarśanāt vasuśabdaḥ praśasyanāma</w:t>
      </w:r>
      <w:r>
        <w:t xml:space="preserve">) —</w:t>
      </w:r>
      <w:r>
        <w:t xml:space="preserve"> </w:t>
      </w:r>
      <w:r>
        <w:t xml:space="preserve">“</w:t>
      </w:r>
      <w:r>
        <w:rPr>
          <w:iCs/>
          <w:i/>
        </w:rPr>
        <w:t xml:space="preserve">vaso</w:t>
      </w:r>
      <w:r>
        <w:t xml:space="preserve">: since in the Śatapatha the word</w:t>
      </w:r>
      <w:r>
        <w:t xml:space="preserve"> </w:t>
      </w:r>
      <w:r>
        <w:rPr>
          <w:iCs/>
          <w:i/>
        </w:rPr>
        <w:t xml:space="preserve">vasiṣṭha</w:t>
      </w:r>
      <w:r>
        <w:t xml:space="preserve"> </w:t>
      </w:r>
      <w:r>
        <w:t xml:space="preserve">—</w:t>
      </w:r>
      <w:r>
        <w:t xml:space="preserve"> </w:t>
      </w:r>
      <w:r>
        <w:rPr>
          <w:iCs/>
          <w:i/>
        </w:rPr>
        <w:t xml:space="preserve">vasu</w:t>
      </w:r>
      <w:r>
        <w:t xml:space="preserve"> </w:t>
      </w:r>
      <w:r>
        <w:t xml:space="preserve">with the superlative suffix — is explained by the word</w:t>
      </w:r>
      <w:r>
        <w:t xml:space="preserve"> </w:t>
      </w:r>
      <w:r>
        <w:rPr>
          <w:iCs/>
          <w:i/>
        </w:rPr>
        <w:t xml:space="preserve">śreṣṭha</w:t>
      </w:r>
      <w:r>
        <w:t xml:space="preserve"> </w:t>
      </w:r>
      <w:r>
        <w:t xml:space="preserve">in the statement</w:t>
      </w:r>
      <w:r>
        <w:t xml:space="preserve"> </w:t>
      </w:r>
      <w:r>
        <w:t xml:space="preserve">‘</w:t>
      </w:r>
      <w:r>
        <w:t xml:space="preserve">he is our best, therefore Vasiṣṭha</w:t>
      </w:r>
      <w:r>
        <w:t xml:space="preserve">’</w:t>
      </w:r>
      <w:r>
        <w:t xml:space="preserve">, the word</w:t>
      </w:r>
      <w:r>
        <w:t xml:space="preserve"> </w:t>
      </w:r>
      <w:r>
        <w:rPr>
          <w:iCs/>
          <w:i/>
        </w:rPr>
        <w:t xml:space="preserve">vasu</w:t>
      </w:r>
      <w:r>
        <w:t xml:space="preserve"> </w:t>
      </w:r>
      <w:r>
        <w:t xml:space="preserve">is a name for</w:t>
      </w:r>
      <w:r>
        <w:t xml:space="preserve"> </w:t>
      </w:r>
      <w:r>
        <w:t xml:space="preserve">‘</w:t>
      </w:r>
      <w:r>
        <w:t xml:space="preserve">excellent</w:t>
      </w:r>
      <w:r>
        <w:t xml:space="preserve">’</w:t>
      </w:r>
      <w:r>
        <w:t xml:space="preserve">”</w:t>
      </w:r>
      <w:r>
        <w:t xml:space="preserve">: as stated in the Śatapatha Brāhmaṇa of the Śukla Yajurveda,</w:t>
      </w:r>
      <w:r>
        <w:t xml:space="preserve"> </w:t>
      </w:r>
      <w:r>
        <w:rPr>
          <w:iCs/>
          <w:i/>
        </w:rPr>
        <w:t xml:space="preserve">vasu</w:t>
      </w:r>
      <w:r>
        <w:t xml:space="preserve"> </w:t>
      </w:r>
      <w:r>
        <w:t xml:space="preserve">is explained as</w:t>
      </w:r>
      <w:r>
        <w:t xml:space="preserve"> </w:t>
      </w:r>
      <w:r>
        <w:rPr>
          <w:iCs/>
          <w:i/>
        </w:rPr>
        <w:t xml:space="preserve">śreṣṭha</w:t>
      </w:r>
      <w:r>
        <w:t xml:space="preserve"> </w:t>
      </w:r>
      <w:r>
        <w:t xml:space="preserve">(</w:t>
      </w:r>
      <w:r>
        <w:t xml:space="preserve">“</w:t>
      </w:r>
      <w:r>
        <w:t xml:space="preserve">best</w:t>
      </w:r>
      <w:r>
        <w:t xml:space="preserve">”</w:t>
      </w:r>
      <w:r>
        <w:t xml:space="preserve">) and</w:t>
      </w:r>
      <w:r>
        <w:t xml:space="preserve"> </w:t>
      </w:r>
      <w:r>
        <w:rPr>
          <w:iCs/>
          <w:i/>
        </w:rPr>
        <w:t xml:space="preserve">praśasya</w:t>
      </w:r>
      <w:r>
        <w:t xml:space="preserve"> </w:t>
      </w:r>
      <w:r>
        <w:t xml:space="preserve">(</w:t>
      </w:r>
      <w:r>
        <w:t xml:space="preserve">“</w:t>
      </w:r>
      <w:r>
        <w:t xml:space="preserve">praiseworthy</w:t>
      </w:r>
      <w:r>
        <w:t xml:space="preserve">”</w:t>
      </w:r>
      <w:r>
        <w:t xml:space="preserve">). Or, since</w:t>
      </w:r>
      <w:r>
        <w:t xml:space="preserve"> </w:t>
      </w:r>
      <w:r>
        <w:rPr>
          <w:iCs/>
          <w:i/>
        </w:rPr>
        <w:t xml:space="preserve">vasu</w:t>
      </w:r>
      <w:r>
        <w:t xml:space="preserve"> </w:t>
      </w:r>
      <w:r>
        <w:t xml:space="preserve">also means wealth, the sense</w:t>
      </w:r>
      <w:r>
        <w:t xml:space="preserve"> </w:t>
      </w:r>
      <w:r>
        <w:t xml:space="preserve">“</w:t>
      </w:r>
      <w:r>
        <w:t xml:space="preserve">O Indra, who are wealthy</w:t>
      </w:r>
      <w:r>
        <w:t xml:space="preserve">”</w:t>
      </w:r>
      <w:r>
        <w:t xml:space="preserve"> </w:t>
      </w:r>
      <w:r>
        <w:t xml:space="preserve">may be given as well.</w:t>
      </w:r>
    </w:p>
    <w:p>
      <w:pPr>
        <w:pStyle w:val="BodyText"/>
      </w:pPr>
      <w:r>
        <w:rPr>
          <w:bCs/>
          <w:b/>
        </w:rPr>
        <w:t xml:space="preserve">“</w:t>
      </w:r>
      <w:r>
        <w:rPr>
          <w:bCs/>
          <w:b/>
        </w:rPr>
        <w:t xml:space="preserve">Brahma</w:t>
      </w:r>
      <w:r>
        <w:rPr>
          <w:bCs/>
          <w:b/>
        </w:rPr>
        <w:t xml:space="preserve">”</w:t>
      </w:r>
      <w:r>
        <w:t xml:space="preserve"> </w:t>
      </w:r>
      <w:r>
        <w:t xml:space="preserve">—</w:t>
      </w:r>
      <w:r>
        <w:t xml:space="preserve"> </w:t>
      </w:r>
      <w:r>
        <w:rPr>
          <w:iCs/>
          <w:i/>
        </w:rPr>
        <w:t xml:space="preserve">andhaḥ</w:t>
      </w:r>
      <w:r>
        <w:t xml:space="preserve"> </w:t>
      </w:r>
      <w:r>
        <w:t xml:space="preserve">— among the twenty-eight words for food beginning with</w:t>
      </w:r>
      <w:r>
        <w:t xml:space="preserve"> </w:t>
      </w:r>
      <w:r>
        <w:rPr>
          <w:iCs/>
          <w:i/>
        </w:rPr>
        <w:t xml:space="preserve">vājaḥ</w:t>
      </w:r>
      <w:r>
        <w:t xml:space="preserve">, the word</w:t>
      </w:r>
      <w:r>
        <w:t xml:space="preserve"> </w:t>
      </w:r>
      <w:r>
        <w:rPr>
          <w:iCs/>
          <w:i/>
        </w:rPr>
        <w:t xml:space="preserve">brahma</w:t>
      </w:r>
      <w:r>
        <w:t xml:space="preserve"> </w:t>
      </w:r>
      <w:r>
        <w:t xml:space="preserve">is read (Ni. 3-9 as printed); so</w:t>
      </w:r>
      <w:r>
        <w:t xml:space="preserve"> </w:t>
      </w:r>
      <w:r>
        <w:rPr>
          <w:iCs/>
          <w:i/>
        </w:rPr>
        <w:t xml:space="preserve">brahma</w:t>
      </w:r>
      <w:r>
        <w:t xml:space="preserve"> </w:t>
      </w:r>
      <w:r>
        <w:t xml:space="preserve">means food. It is customary to call anything fit to be eaten</w:t>
      </w:r>
      <w:r>
        <w:t xml:space="preserve"> </w:t>
      </w:r>
      <w:r>
        <w:t xml:space="preserve">“</w:t>
      </w:r>
      <w:r>
        <w:t xml:space="preserve">food.</w:t>
      </w:r>
      <w:r>
        <w:t xml:space="preserve">”</w:t>
      </w:r>
      <w:r>
        <w:t xml:space="preserve"> </w:t>
      </w:r>
      <w:r>
        <w:t xml:space="preserve">Besides, Yāska in the Nirukta says:</w:t>
      </w:r>
      <w:r>
        <w:t xml:space="preserve"> </w:t>
      </w:r>
      <w:r>
        <w:rPr>
          <w:bCs/>
          <w:b/>
        </w:rPr>
        <w:t xml:space="preserve">अन्नं कस्मादानतं भूतेभ्यो ऽत्तेर्वा अभिमुख्येन ह्येतत् नतं प्रह्वीभूतं भवति भोजनाय भूतानाम् । अत्तेर्वा । … अद्यते ऽत्ति च भूतानि । तस्मादन्नं तदुच्यत इति</w:t>
      </w:r>
      <w:r>
        <w:t xml:space="preserve"> </w:t>
      </w:r>
      <w:r>
        <w:t xml:space="preserve">(</w:t>
      </w:r>
      <w:r>
        <w:rPr>
          <w:iCs/>
          <w:i/>
        </w:rPr>
        <w:t xml:space="preserve">annaṃ kasmādānataṃ bhūtebhyo ’ttervā abhimukhyena hyetat nataṃ prahvībhūtaṃ bhavati bhojanāya bhūtānām | attervā | … adyate ’tti ca bhūtāni | tasmādannaṃ taducyata iti</w:t>
      </w:r>
      <w:r>
        <w:t xml:space="preserve">)</w:t>
      </w:r>
      <w:r>
        <w:t xml:space="preserve"> </w:t>
      </w:r>
      <w:r>
        <w:rPr>
          <w:iCs/>
          <w:i/>
        </w:rPr>
        <w:t xml:space="preserve">(the source breaks the quotation after</w:t>
      </w:r>
      <w:r>
        <w:t xml:space="preserve"> </w:t>
      </w:r>
      <w:r>
        <w:t xml:space="preserve">atter vā</w:t>
      </w:r>
      <w:r>
        <w:t xml:space="preserve"> </w:t>
      </w:r>
      <w:r>
        <w:rPr>
          <w:iCs/>
          <w:i/>
        </w:rPr>
        <w:t xml:space="preserve">with</w:t>
      </w:r>
      <w:r>
        <w:rPr>
          <w:iCs/>
          <w:i/>
        </w:rPr>
        <w:t xml:space="preserve"> </w:t>
      </w:r>
      <w:r>
        <w:rPr>
          <w:iCs/>
          <w:i/>
        </w:rPr>
        <w:t xml:space="preserve">“</w:t>
      </w:r>
      <w:r>
        <w:rPr>
          <w:iCs/>
          <w:i/>
        </w:rPr>
        <w:t xml:space="preserve">having said</w:t>
      </w:r>
      <w:r>
        <w:rPr>
          <w:iCs/>
          <w:i/>
        </w:rPr>
        <w:t xml:space="preserve">”</w:t>
      </w:r>
      <w:r>
        <w:rPr>
          <w:iCs/>
          <w:i/>
        </w:rPr>
        <w:t xml:space="preserve">, then continues)</w:t>
      </w:r>
      <w:r>
        <w:t xml:space="preserve"> </w:t>
      </w:r>
      <w:r>
        <w:t xml:space="preserve">—</w:t>
      </w:r>
      <w:r>
        <w:t xml:space="preserve"> </w:t>
      </w:r>
      <w:r>
        <w:t xml:space="preserve">“</w:t>
      </w:r>
      <w:r>
        <w:t xml:space="preserve">Why is it</w:t>
      </w:r>
      <w:r>
        <w:t xml:space="preserve"> </w:t>
      </w:r>
      <w:r>
        <w:rPr>
          <w:iCs/>
          <w:i/>
        </w:rPr>
        <w:t xml:space="preserve">anna</w:t>
      </w:r>
      <w:r>
        <w:t xml:space="preserve"> </w:t>
      </w:r>
      <w:r>
        <w:t xml:space="preserve">(food)? It is</w:t>
      </w:r>
      <w:r>
        <w:t xml:space="preserve"> </w:t>
      </w:r>
      <w:r>
        <w:rPr>
          <w:iCs/>
          <w:i/>
        </w:rPr>
        <w:t xml:space="preserve">ānata</w:t>
      </w:r>
      <w:r>
        <w:t xml:space="preserve">, bowed down towards beings, or from</w:t>
      </w:r>
      <w:r>
        <w:t xml:space="preserve"> </w:t>
      </w:r>
      <w:r>
        <w:rPr>
          <w:iCs/>
          <w:i/>
        </w:rPr>
        <w:t xml:space="preserve">ad</w:t>
      </w:r>
      <w:r>
        <w:t xml:space="preserve"> </w:t>
      </w:r>
      <w:r>
        <w:t xml:space="preserve">(</w:t>
      </w:r>
      <w:r>
        <w:t xml:space="preserve">‘</w:t>
      </w:r>
      <w:r>
        <w:t xml:space="preserve">to eat</w:t>
      </w:r>
      <w:r>
        <w:t xml:space="preserve">’</w:t>
      </w:r>
      <w:r>
        <w:t xml:space="preserve">): for it is bent, humbled, before beings for their eating; or from</w:t>
      </w:r>
      <w:r>
        <w:t xml:space="preserve"> </w:t>
      </w:r>
      <w:r>
        <w:rPr>
          <w:iCs/>
          <w:i/>
        </w:rPr>
        <w:t xml:space="preserve">ad</w:t>
      </w:r>
      <w:r>
        <w:t xml:space="preserve">: it is eaten and it eats beings; therefore it is called</w:t>
      </w:r>
      <w:r>
        <w:t xml:space="preserve"> </w:t>
      </w:r>
      <w:r>
        <w:rPr>
          <w:iCs/>
          <w:i/>
        </w:rPr>
        <w:t xml:space="preserve">anna</w:t>
      </w:r>
      <w:r>
        <w:t xml:space="preserve">.</w:t>
      </w:r>
      <w:r>
        <w:t xml:space="preserve">”</w:t>
      </w:r>
      <w:r>
        <w:t xml:space="preserve"> </w:t>
      </w:r>
      <w:r>
        <w:t xml:space="preserve">Thus he gives the etymology of the word.</w:t>
      </w:r>
    </w:p>
    <w:bookmarkEnd w:id="423"/>
    <w:bookmarkStart w:id="424" w:name="X1f834a99f0a6b3299213a8b7e073179bfc2f716"/>
    <w:p>
      <w:pPr>
        <w:pStyle w:val="Heading3"/>
      </w:pPr>
      <w:r>
        <w:t xml:space="preserve">Page 399 — Rik 4: Special Topics (continued) and grammar</w:t>
      </w:r>
    </w:p>
    <w:p>
      <w:pPr>
        <w:pStyle w:val="FirstParagraph"/>
      </w:pPr>
      <w:r>
        <w:rPr>
          <w:bCs/>
          <w:b/>
        </w:rPr>
        <w:t xml:space="preserve">“</w:t>
      </w:r>
      <w:r>
        <w:rPr>
          <w:bCs/>
          <w:b/>
        </w:rPr>
        <w:t xml:space="preserve">Sacā</w:t>
      </w:r>
      <w:r>
        <w:rPr>
          <w:bCs/>
          <w:b/>
        </w:rPr>
        <w:t xml:space="preserve">”</w:t>
      </w:r>
      <w:r>
        <w:t xml:space="preserve"> </w:t>
      </w:r>
      <w:r>
        <w:t xml:space="preserve">—</w:t>
      </w:r>
      <w:r>
        <w:t xml:space="preserve"> </w:t>
      </w:r>
      <w:r>
        <w:t xml:space="preserve">“</w:t>
      </w:r>
      <w:r>
        <w:t xml:space="preserve">together</w:t>
      </w:r>
      <w:r>
        <w:t xml:space="preserve">”</w:t>
      </w:r>
      <w:r>
        <w:t xml:space="preserve"> </w:t>
      </w:r>
      <w:r>
        <w:t xml:space="preserve">—</w:t>
      </w:r>
      <w:r>
        <w:t xml:space="preserve"> </w:t>
      </w:r>
      <w:r>
        <w:rPr>
          <w:iCs/>
          <w:i/>
        </w:rPr>
        <w:t xml:space="preserve">sahitaḥ</w:t>
      </w:r>
      <w:r>
        <w:t xml:space="preserve">. In this rik no use of this word seems evident; the sense may be given:</w:t>
      </w:r>
      <w:r>
        <w:t xml:space="preserve"> </w:t>
      </w:r>
      <w:r>
        <w:t xml:space="preserve">“</w:t>
      </w:r>
      <w:r>
        <w:t xml:space="preserve">being together, that is, directly (in person).</w:t>
      </w:r>
      <w:r>
        <w:t xml:space="preserve">”</w:t>
      </w:r>
    </w:p>
    <w:p>
      <w:pPr>
        <w:pStyle w:val="BodyText"/>
      </w:pPr>
      <w:r>
        <w:rPr>
          <w:bCs/>
          <w:b/>
        </w:rPr>
        <w:t xml:space="preserve">“</w:t>
      </w:r>
      <w:r>
        <w:rPr>
          <w:bCs/>
          <w:b/>
        </w:rPr>
        <w:t xml:space="preserve">Vardhaya</w:t>
      </w:r>
      <w:r>
        <w:rPr>
          <w:bCs/>
          <w:b/>
        </w:rPr>
        <w:t xml:space="preserve">”</w:t>
      </w:r>
      <w:r>
        <w:t xml:space="preserve"> </w:t>
      </w:r>
      <w:r>
        <w:t xml:space="preserve">—</w:t>
      </w:r>
      <w:r>
        <w:t xml:space="preserve"> </w:t>
      </w:r>
      <w:r>
        <w:t xml:space="preserve">“</w:t>
      </w:r>
      <w:r>
        <w:t xml:space="preserve">increase; bring to completion; fulfil without obstacle.</w:t>
      </w:r>
      <w:r>
        <w:t xml:space="preserve">”</w:t>
      </w:r>
      <w:r>
        <w:t xml:space="preserve"> </w:t>
      </w:r>
      <w:r>
        <w:t xml:space="preserve">The usage of this root is special in the Ṛgveda. Besides the general sense</w:t>
      </w:r>
      <w:r>
        <w:t xml:space="preserve"> </w:t>
      </w:r>
      <w:r>
        <w:t xml:space="preserve">“</w:t>
      </w:r>
      <w:r>
        <w:t xml:space="preserve">increase,</w:t>
      </w:r>
      <w:r>
        <w:t xml:space="preserve">”</w:t>
      </w:r>
      <w:r>
        <w:t xml:space="preserve"> </w:t>
      </w:r>
      <w:r>
        <w:t xml:space="preserve">it must be given a meaning according to context in many places. For example, in the sentence</w:t>
      </w:r>
      <w:r>
        <w:t xml:space="preserve"> </w:t>
      </w:r>
      <w:r>
        <w:rPr>
          <w:iCs/>
          <w:i/>
        </w:rPr>
        <w:t xml:space="preserve">tvāṃ vardhantu no giraḥ</w:t>
      </w:r>
      <w:r>
        <w:t xml:space="preserve"> </w:t>
      </w:r>
      <w:r>
        <w:t xml:space="preserve">the word</w:t>
      </w:r>
      <w:r>
        <w:t xml:space="preserve"> </w:t>
      </w:r>
      <w:r>
        <w:rPr>
          <w:iCs/>
          <w:i/>
        </w:rPr>
        <w:t xml:space="preserve">vardhantu</w:t>
      </w:r>
      <w:r>
        <w:t xml:space="preserve"> </w:t>
      </w:r>
      <w:r>
        <w:t xml:space="preserve">has the sense</w:t>
      </w:r>
      <w:r>
        <w:t xml:space="preserve"> </w:t>
      </w:r>
      <w:r>
        <w:t xml:space="preserve">“</w:t>
      </w:r>
      <w:r>
        <w:t xml:space="preserve">let them praise.</w:t>
      </w:r>
      <w:r>
        <w:t xml:space="preserve">”</w:t>
      </w:r>
      <w:r>
        <w:t xml:space="preserve"> </w:t>
      </w:r>
      <w:r>
        <w:t xml:space="preserve">In this rik</w:t>
      </w:r>
      <w:r>
        <w:t xml:space="preserve"> </w:t>
      </w:r>
      <w:r>
        <w:rPr>
          <w:iCs/>
          <w:i/>
        </w:rPr>
        <w:t xml:space="preserve">brahma ca vardhaya</w:t>
      </w:r>
      <w:r>
        <w:t xml:space="preserve"> </w:t>
      </w:r>
      <w:r>
        <w:t xml:space="preserve">—</w:t>
      </w:r>
      <w:r>
        <w:t xml:space="preserve"> </w:t>
      </w:r>
      <w:r>
        <w:t xml:space="preserve">“</w:t>
      </w:r>
      <w:r>
        <w:t xml:space="preserve">increase the food</w:t>
      </w:r>
      <w:r>
        <w:t xml:space="preserve">”</w:t>
      </w:r>
      <w:r>
        <w:t xml:space="preserve"> </w:t>
      </w:r>
      <w:r>
        <w:t xml:space="preserve">— means</w:t>
      </w:r>
      <w:r>
        <w:t xml:space="preserve"> </w:t>
      </w:r>
      <w:r>
        <w:t xml:space="preserve">“</w:t>
      </w:r>
      <w:r>
        <w:t xml:space="preserve">give us abundant food</w:t>
      </w:r>
      <w:r>
        <w:t xml:space="preserve">”</w:t>
      </w:r>
      <w:r>
        <w:t xml:space="preserve">; likewise</w:t>
      </w:r>
      <w:r>
        <w:t xml:space="preserve"> </w:t>
      </w:r>
      <w:r>
        <w:rPr>
          <w:iCs/>
          <w:i/>
        </w:rPr>
        <w:t xml:space="preserve">yajñaṃ ca vardhaya</w:t>
      </w:r>
      <w:r>
        <w:t xml:space="preserve"> </w:t>
      </w:r>
      <w:r>
        <w:t xml:space="preserve">—</w:t>
      </w:r>
      <w:r>
        <w:t xml:space="preserve"> </w:t>
      </w:r>
      <w:r>
        <w:t xml:space="preserve">“</w:t>
      </w:r>
      <w:r>
        <w:t xml:space="preserve">increase the sacrifice</w:t>
      </w:r>
      <w:r>
        <w:t xml:space="preserve">”</w:t>
      </w:r>
      <w:r>
        <w:t xml:space="preserve"> </w:t>
      </w:r>
      <w:r>
        <w:t xml:space="preserve">— means</w:t>
      </w:r>
      <w:r>
        <w:t xml:space="preserve"> </w:t>
      </w:r>
      <w:r>
        <w:t xml:space="preserve">“</w:t>
      </w:r>
      <w:r>
        <w:t xml:space="preserve">grant that the sacrifice be completed without obstacle.</w:t>
      </w:r>
      <w:r>
        <w:t xml:space="preserve">”</w:t>
      </w:r>
    </w:p>
    <w:p>
      <w:pPr>
        <w:pStyle w:val="BodyText"/>
      </w:pPr>
      <w:r>
        <w:rPr>
          <w:bCs/>
          <w:b/>
        </w:rPr>
        <w:t xml:space="preserve">॥ Vyākaraṇa-prakriyā ॥</w:t>
      </w:r>
      <w:r>
        <w:t xml:space="preserve"> </w:t>
      </w:r>
      <w:r>
        <w:rPr>
          <w:iCs/>
          <w:i/>
        </w:rPr>
        <w:t xml:space="preserve">(grammar pages 399–401, noted briefly)</w:t>
      </w:r>
    </w:p>
    <w:p>
      <w:pPr>
        <w:pStyle w:val="BodyText"/>
      </w:pPr>
      <w:r>
        <w:rPr>
          <w:bCs/>
          <w:b/>
        </w:rPr>
        <w:t xml:space="preserve">एहि (</w:t>
      </w:r>
      <w:r>
        <w:rPr>
          <w:iCs/>
          <w:i/>
          <w:bCs/>
          <w:b/>
        </w:rPr>
        <w:t xml:space="preserve">ehi</w:t>
      </w:r>
      <w:r>
        <w:rPr>
          <w:bCs/>
          <w:b/>
        </w:rPr>
        <w:t xml:space="preserve">)</w:t>
      </w:r>
      <w:r>
        <w:t xml:space="preserve"> </w:t>
      </w:r>
      <w:r>
        <w:t xml:space="preserve">— root</w:t>
      </w:r>
      <w:r>
        <w:t xml:space="preserve"> </w:t>
      </w:r>
      <w:r>
        <w:rPr>
          <w:iCs/>
          <w:i/>
        </w:rPr>
        <w:t xml:space="preserve">iṇ gatau</w:t>
      </w:r>
      <w:r>
        <w:t xml:space="preserve"> </w:t>
      </w:r>
      <w:r>
        <w:t xml:space="preserve">(</w:t>
      </w:r>
      <w:r>
        <w:t xml:space="preserve">“</w:t>
      </w:r>
      <w:r>
        <w:t xml:space="preserve">to go</w:t>
      </w:r>
      <w:r>
        <w:t xml:space="preserve">”</w:t>
      </w:r>
      <w:r>
        <w:t xml:space="preserve">),</w:t>
      </w:r>
      <w:r>
        <w:t xml:space="preserve"> </w:t>
      </w:r>
      <w:r>
        <w:rPr>
          <w:iCs/>
          <w:i/>
        </w:rPr>
        <w:t xml:space="preserve">loṭ</w:t>
      </w:r>
      <w:r>
        <w:t xml:space="preserve"> </w:t>
      </w:r>
      <w:r>
        <w:t xml:space="preserve">second singular</w:t>
      </w:r>
      <w:r>
        <w:t xml:space="preserve"> </w:t>
      </w:r>
      <w:r>
        <w:rPr>
          <w:iCs/>
          <w:i/>
        </w:rPr>
        <w:t xml:space="preserve">sip</w:t>
      </w:r>
      <w:r>
        <w:t xml:space="preserve">;</w:t>
      </w:r>
      <w:r>
        <w:t xml:space="preserve"> </w:t>
      </w:r>
      <w:r>
        <w:rPr>
          <w:iCs/>
          <w:i/>
        </w:rPr>
        <w:t xml:space="preserve">sip</w:t>
      </w:r>
      <w:r>
        <w:t xml:space="preserve"> </w:t>
      </w:r>
      <w:r>
        <w:t xml:space="preserve">→</w:t>
      </w:r>
      <w:r>
        <w:t xml:space="preserve"> </w:t>
      </w:r>
      <w:r>
        <w:rPr>
          <w:iCs/>
          <w:i/>
        </w:rPr>
        <w:t xml:space="preserve">hi</w:t>
      </w:r>
      <w:r>
        <w:t xml:space="preserve"> </w:t>
      </w:r>
      <w:r>
        <w:t xml:space="preserve">by</w:t>
      </w:r>
      <w:r>
        <w:t xml:space="preserve"> </w:t>
      </w:r>
      <w:r>
        <w:t xml:space="preserve">“</w:t>
      </w:r>
      <w:r>
        <w:t xml:space="preserve">seryapicca</w:t>
      </w:r>
      <w:r>
        <w:t xml:space="preserve">”</w:t>
      </w:r>
      <w:r>
        <w:t xml:space="preserve"> </w:t>
      </w:r>
      <w:r>
        <w:t xml:space="preserve">(Pā. 3-4-87); the</w:t>
      </w:r>
      <w:r>
        <w:t xml:space="preserve"> </w:t>
      </w:r>
      <w:r>
        <w:rPr>
          <w:iCs/>
          <w:i/>
        </w:rPr>
        <w:t xml:space="preserve">śap</w:t>
      </w:r>
      <w:r>
        <w:t xml:space="preserve"> </w:t>
      </w:r>
      <w:r>
        <w:t xml:space="preserve">vikaraṇa is dropped by</w:t>
      </w:r>
      <w:r>
        <w:t xml:space="preserve"> </w:t>
      </w:r>
      <w:r>
        <w:t xml:space="preserve">“</w:t>
      </w:r>
      <w:r>
        <w:t xml:space="preserve">adiprabhṛtibhyaḥ śapaḥ</w:t>
      </w:r>
      <w:r>
        <w:t xml:space="preserve">”</w:t>
      </w:r>
      <w:r>
        <w:t xml:space="preserve"> </w:t>
      </w:r>
      <w:r>
        <w:t xml:space="preserve">(Pā. 2-4-72);</w:t>
      </w:r>
      <w:r>
        <w:t xml:space="preserve"> </w:t>
      </w:r>
      <w:r>
        <w:rPr>
          <w:iCs/>
          <w:i/>
        </w:rPr>
        <w:t xml:space="preserve">hi</w:t>
      </w:r>
      <w:r>
        <w:t xml:space="preserve"> </w:t>
      </w:r>
      <w:r>
        <w:t xml:space="preserve">is not</w:t>
      </w:r>
      <w:r>
        <w:t xml:space="preserve"> </w:t>
      </w:r>
      <w:r>
        <w:rPr>
          <w:iCs/>
          <w:i/>
        </w:rPr>
        <w:t xml:space="preserve">pit</w:t>
      </w:r>
      <w:r>
        <w:t xml:space="preserve">, hence by</w:t>
      </w:r>
      <w:r>
        <w:t xml:space="preserve"> </w:t>
      </w:r>
      <w:r>
        <w:t xml:space="preserve">“</w:t>
      </w:r>
      <w:r>
        <w:t xml:space="preserve">sārvadhātukam apit</w:t>
      </w:r>
      <w:r>
        <w:t xml:space="preserve">”</w:t>
      </w:r>
      <w:r>
        <w:t xml:space="preserve"> </w:t>
      </w:r>
      <w:r>
        <w:t xml:space="preserve">(printed</w:t>
      </w:r>
      <w:r>
        <w:t xml:space="preserve"> </w:t>
      </w:r>
      <w:r>
        <w:t xml:space="preserve">“</w:t>
      </w:r>
      <w:r>
        <w:t xml:space="preserve">1-6-4</w:t>
      </w:r>
      <w:r>
        <w:t xml:space="preserve">”</w:t>
      </w:r>
      <w:r>
        <w:t xml:space="preserve"> </w:t>
      </w:r>
      <w:r>
        <w:t xml:space="preserve">[as printed], i.e. 1-2-4) it is</w:t>
      </w:r>
      <w:r>
        <w:t xml:space="preserve"> </w:t>
      </w:r>
      <w:r>
        <w:rPr>
          <w:iCs/>
          <w:i/>
        </w:rPr>
        <w:t xml:space="preserve">ṅit</w:t>
      </w:r>
      <w:r>
        <w:t xml:space="preserve">, and</w:t>
      </w:r>
      <w:r>
        <w:t xml:space="preserve"> </w:t>
      </w:r>
      <w:r>
        <w:t xml:space="preserve">“</w:t>
      </w:r>
      <w:r>
        <w:t xml:space="preserve">kṅiti ca</w:t>
      </w:r>
      <w:r>
        <w:t xml:space="preserve">”</w:t>
      </w:r>
      <w:r>
        <w:t xml:space="preserve"> </w:t>
      </w:r>
      <w:r>
        <w:t xml:space="preserve">(Pā. 1-1-5) prevents</w:t>
      </w:r>
      <w:r>
        <w:t xml:space="preserve"> </w:t>
      </w:r>
      <w:r>
        <w:rPr>
          <w:iCs/>
          <w:i/>
        </w:rPr>
        <w:t xml:space="preserve">guṇa</w:t>
      </w:r>
      <w:r>
        <w:t xml:space="preserve">;</w:t>
      </w:r>
      <w:r>
        <w:t xml:space="preserve"> </w:t>
      </w:r>
      <w:r>
        <w:t xml:space="preserve">“</w:t>
      </w:r>
      <w:r>
        <w:t xml:space="preserve">tiṅṅ atiṅaḥ</w:t>
      </w:r>
      <w:r>
        <w:t xml:space="preserve">”</w:t>
      </w:r>
      <w:r>
        <w:t xml:space="preserve"> </w:t>
      </w:r>
      <w:r>
        <w:t xml:space="preserve">(Pā. 8-1-28) makes it unaccented; with the prefix</w:t>
      </w:r>
      <w:r>
        <w:t xml:space="preserve"> </w:t>
      </w:r>
      <w:r>
        <w:rPr>
          <w:iCs/>
          <w:i/>
        </w:rPr>
        <w:t xml:space="preserve">ā</w:t>
      </w:r>
      <w:r>
        <w:t xml:space="preserve">, the</w:t>
      </w:r>
      <w:r>
        <w:t xml:space="preserve"> </w:t>
      </w:r>
      <w:r>
        <w:rPr>
          <w:iCs/>
          <w:i/>
        </w:rPr>
        <w:t xml:space="preserve">guṇa</w:t>
      </w:r>
      <w:r>
        <w:t xml:space="preserve"> </w:t>
      </w:r>
      <w:r>
        <w:t xml:space="preserve">arises as a single substitute and gives</w:t>
      </w:r>
      <w:r>
        <w:t xml:space="preserve"> </w:t>
      </w:r>
      <w:r>
        <w:rPr>
          <w:iCs/>
          <w:i/>
        </w:rPr>
        <w:t xml:space="preserve">ehi</w:t>
      </w:r>
      <w:r>
        <w:t xml:space="preserve">;</w:t>
      </w:r>
      <w:r>
        <w:t xml:space="preserve"> </w:t>
      </w:r>
      <w:r>
        <w:rPr>
          <w:iCs/>
          <w:i/>
        </w:rPr>
        <w:t xml:space="preserve">ā</w:t>
      </w:r>
      <w:r>
        <w:t xml:space="preserve"> </w:t>
      </w:r>
      <w:r>
        <w:t xml:space="preserve">is a</w:t>
      </w:r>
      <w:r>
        <w:t xml:space="preserve"> </w:t>
      </w:r>
      <w:r>
        <w:rPr>
          <w:iCs/>
          <w:i/>
        </w:rPr>
        <w:t xml:space="preserve">nipāta</w:t>
      </w:r>
      <w:r>
        <w:t xml:space="preserve">, hence udātta, and the single substitute</w:t>
      </w:r>
      <w:r>
        <w:t xml:space="preserve"> </w:t>
      </w:r>
      <w:r>
        <w:rPr>
          <w:iCs/>
          <w:i/>
        </w:rPr>
        <w:t xml:space="preserve">e</w:t>
      </w:r>
      <w:r>
        <w:t xml:space="preserve"> </w:t>
      </w:r>
      <w:r>
        <w:t xml:space="preserve">takes the udātta by</w:t>
      </w:r>
      <w:r>
        <w:t xml:space="preserve"> </w:t>
      </w:r>
      <w:r>
        <w:t xml:space="preserve">“</w:t>
      </w:r>
      <w:r>
        <w:t xml:space="preserve">ekādeśa udāttenodāttaḥ</w:t>
      </w:r>
      <w:r>
        <w:t xml:space="preserve">”</w:t>
      </w:r>
      <w:r>
        <w:t xml:space="preserve"> </w:t>
      </w:r>
      <w:r>
        <w:t xml:space="preserve">(Pā. 8-2-5).</w:t>
      </w:r>
      <w:r>
        <w:t xml:space="preserve"> </w:t>
      </w:r>
      <w:r>
        <w:rPr>
          <w:bCs/>
          <w:b/>
        </w:rPr>
        <w:t xml:space="preserve">स्तोमान् (</w:t>
      </w:r>
      <w:r>
        <w:rPr>
          <w:iCs/>
          <w:i/>
          <w:bCs/>
          <w:b/>
        </w:rPr>
        <w:t xml:space="preserve">stomān</w:t>
      </w:r>
      <w:r>
        <w:rPr>
          <w:bCs/>
          <w:b/>
        </w:rPr>
        <w:t xml:space="preserve">)</w:t>
      </w:r>
      <w:r>
        <w:t xml:space="preserve"> </w:t>
      </w:r>
      <w:r>
        <w:t xml:space="preserve">— root</w:t>
      </w:r>
      <w:r>
        <w:t xml:space="preserve"> </w:t>
      </w:r>
      <w:r>
        <w:rPr>
          <w:iCs/>
          <w:i/>
        </w:rPr>
        <w:t xml:space="preserve">ṣṭuñ stutau</w:t>
      </w:r>
      <w:r>
        <w:t xml:space="preserve"> </w:t>
      </w:r>
      <w:r>
        <w:t xml:space="preserve">with</w:t>
      </w:r>
      <w:r>
        <w:t xml:space="preserve"> </w:t>
      </w:r>
      <w:r>
        <w:rPr>
          <w:iCs/>
          <w:i/>
        </w:rPr>
        <w:t xml:space="preserve">man</w:t>
      </w:r>
      <w:r>
        <w:t xml:space="preserve"> </w:t>
      </w:r>
      <w:r>
        <w:t xml:space="preserve">(</w:t>
      </w:r>
      <w:r>
        <w:t xml:space="preserve">“</w:t>
      </w:r>
      <w:r>
        <w:t xml:space="preserve">arti-stu-su…,</w:t>
      </w:r>
      <w:r>
        <w:t xml:space="preserve">”</w:t>
      </w:r>
      <w:r>
        <w:t xml:space="preserve"> </w:t>
      </w:r>
      <w:r>
        <w:t xml:space="preserve">Uṇ. 1-142);</w:t>
      </w:r>
      <w:r>
        <w:t xml:space="preserve"> </w:t>
      </w:r>
      <w:r>
        <w:rPr>
          <w:iCs/>
          <w:i/>
        </w:rPr>
        <w:t xml:space="preserve">guṇa</w:t>
      </w:r>
      <w:r>
        <w:t xml:space="preserve"> </w:t>
      </w:r>
      <w:r>
        <w:t xml:space="preserve">by</w:t>
      </w:r>
      <w:r>
        <w:t xml:space="preserve"> </w:t>
      </w:r>
      <w:r>
        <w:t xml:space="preserve">“</w:t>
      </w:r>
      <w:r>
        <w:t xml:space="preserve">sārvadhātukārdhadhātukayoḥ</w:t>
      </w:r>
      <w:r>
        <w:t xml:space="preserve">”</w:t>
      </w:r>
      <w:r>
        <w:t xml:space="preserve"> </w:t>
      </w:r>
      <w:r>
        <w:t xml:space="preserve">(Pā. 7-3-84); accusative plural</w:t>
      </w:r>
      <w:r>
        <w:t xml:space="preserve"> </w:t>
      </w:r>
      <w:r>
        <w:rPr>
          <w:iCs/>
          <w:i/>
        </w:rPr>
        <w:t xml:space="preserve">stomān</w:t>
      </w:r>
      <w:r>
        <w:t xml:space="preserve">.</w:t>
      </w:r>
      <w:r>
        <w:t xml:space="preserve"> </w:t>
      </w:r>
      <w:r>
        <w:rPr>
          <w:bCs/>
          <w:b/>
        </w:rPr>
        <w:t xml:space="preserve">The Saṃhitā sandhi</w:t>
      </w:r>
      <w:r>
        <w:t xml:space="preserve"> </w:t>
      </w:r>
      <w:r>
        <w:t xml:space="preserve">— with the following word:</w:t>
      </w:r>
      <w:r>
        <w:t xml:space="preserve"> </w:t>
      </w:r>
      <w:r>
        <w:t xml:space="preserve">“</w:t>
      </w:r>
      <w:r>
        <w:t xml:space="preserve">dīrghād aṭi samānapāde</w:t>
      </w:r>
      <w:r>
        <w:t xml:space="preserve">”</w:t>
      </w:r>
      <w:r>
        <w:t xml:space="preserve"> </w:t>
      </w:r>
      <w:r>
        <w:t xml:space="preserve">(Pā. 8-3-9): the</w:t>
      </w:r>
      <w:r>
        <w:t xml:space="preserve"> </w:t>
      </w:r>
      <w:r>
        <w:rPr>
          <w:iCs/>
          <w:i/>
        </w:rPr>
        <w:t xml:space="preserve">n</w:t>
      </w:r>
      <w:r>
        <w:t xml:space="preserve"> </w:t>
      </w:r>
      <w:r>
        <w:t xml:space="preserve">after a long vowel, when followed by an</w:t>
      </w:r>
      <w:r>
        <w:t xml:space="preserve"> </w:t>
      </w:r>
      <w:r>
        <w:rPr>
          <w:iCs/>
          <w:i/>
        </w:rPr>
        <w:t xml:space="preserve">aṭ</w:t>
      </w:r>
      <w:r>
        <w:t xml:space="preserve">-letter in the same pāda, is replaced by</w:t>
      </w:r>
      <w:r>
        <w:t xml:space="preserve"> </w:t>
      </w:r>
      <w:r>
        <w:rPr>
          <w:iCs/>
          <w:i/>
        </w:rPr>
        <w:t xml:space="preserve">ru</w:t>
      </w:r>
      <w:r>
        <w:t xml:space="preserve">;</w:t>
      </w:r>
      <w:r>
        <w:t xml:space="preserve"> </w:t>
      </w:r>
      <w:r>
        <w:rPr>
          <w:iCs/>
          <w:i/>
        </w:rPr>
        <w:t xml:space="preserve">stomār</w:t>
      </w:r>
      <w:r>
        <w:t xml:space="preserve"> </w:t>
      </w:r>
      <w:r>
        <w:t xml:space="preserve">+</w:t>
      </w:r>
      <w:r>
        <w:t xml:space="preserve"> </w:t>
      </w:r>
      <w:r>
        <w:rPr>
          <w:iCs/>
          <w:i/>
        </w:rPr>
        <w:t xml:space="preserve">abhi</w:t>
      </w:r>
      <w:r>
        <w:t xml:space="preserve">: by</w:t>
      </w:r>
      <w:r>
        <w:t xml:space="preserve"> </w:t>
      </w:r>
      <w:r>
        <w:t xml:space="preserve">“</w:t>
      </w:r>
      <w:r>
        <w:t xml:space="preserve">āto ’ṭi nityam</w:t>
      </w:r>
      <w:r>
        <w:t xml:space="preserve">”</w:t>
      </w:r>
      <w:r>
        <w:t xml:space="preserve"> </w:t>
      </w:r>
      <w:r>
        <w:t xml:space="preserve">(Pā. 8-3-3) the long</w:t>
      </w:r>
      <w:r>
        <w:t xml:space="preserve"> </w:t>
      </w:r>
      <w:r>
        <w:rPr>
          <w:iCs/>
          <w:i/>
        </w:rPr>
        <w:t xml:space="preserve">ā</w:t>
      </w:r>
      <w:r>
        <w:t xml:space="preserve"> </w:t>
      </w:r>
      <w:r>
        <w:t xml:space="preserve">before that</w:t>
      </w:r>
      <w:r>
        <w:t xml:space="preserve"> </w:t>
      </w:r>
      <w:r>
        <w:rPr>
          <w:iCs/>
          <w:i/>
        </w:rPr>
        <w:t xml:space="preserve">ru</w:t>
      </w:r>
      <w:r>
        <w:t xml:space="preserve"> </w:t>
      </w:r>
      <w:r>
        <w:t xml:space="preserve">is always nasalized, giving</w:t>
      </w:r>
      <w:r>
        <w:t xml:space="preserve"> </w:t>
      </w:r>
      <w:r>
        <w:rPr>
          <w:iCs/>
          <w:i/>
        </w:rPr>
        <w:t xml:space="preserve">stomā̐</w:t>
      </w:r>
      <w:r>
        <w:t xml:space="preserve">;</w:t>
      </w:r>
      <w:r>
        <w:t xml:space="preserve"> </w:t>
      </w:r>
      <w:r>
        <w:t xml:space="preserve">“</w:t>
      </w:r>
      <w:r>
        <w:t xml:space="preserve">bho-bhago-agho-apūrvasya yo ’śi</w:t>
      </w:r>
      <w:r>
        <w:t xml:space="preserve">”</w:t>
      </w:r>
      <w:r>
        <w:t xml:space="preserve"> </w:t>
      </w:r>
      <w:r>
        <w:t xml:space="preserve">(Pā. 8-3-17):</w:t>
      </w:r>
      <w:r>
        <w:t xml:space="preserve"> </w:t>
      </w:r>
      <w:r>
        <w:rPr>
          <w:iCs/>
          <w:i/>
        </w:rPr>
        <w:t xml:space="preserve">y</w:t>
      </w:r>
      <w:r>
        <w:t xml:space="preserve"> </w:t>
      </w:r>
      <w:r>
        <w:t xml:space="preserve">replaces</w:t>
      </w:r>
      <w:r>
        <w:t xml:space="preserve"> </w:t>
      </w:r>
      <w:r>
        <w:rPr>
          <w:iCs/>
          <w:i/>
        </w:rPr>
        <w:t xml:space="preserve">ru</w:t>
      </w:r>
      <w:r>
        <w:t xml:space="preserve"> </w:t>
      </w:r>
      <w:r>
        <w:t xml:space="preserve">after</w:t>
      </w:r>
      <w:r>
        <w:t xml:space="preserve"> </w:t>
      </w:r>
      <w:r>
        <w:rPr>
          <w:iCs/>
          <w:i/>
        </w:rPr>
        <w:t xml:space="preserve">bho</w:t>
      </w:r>
      <w:r>
        <w:t xml:space="preserve">,</w:t>
      </w:r>
      <w:r>
        <w:t xml:space="preserve"> </w:t>
      </w:r>
      <w:r>
        <w:rPr>
          <w:iCs/>
          <w:i/>
        </w:rPr>
        <w:t xml:space="preserve">bhago</w:t>
      </w:r>
      <w:r>
        <w:t xml:space="preserve">,</w:t>
      </w:r>
      <w:r>
        <w:t xml:space="preserve"> </w:t>
      </w:r>
      <w:r>
        <w:rPr>
          <w:iCs/>
          <w:i/>
        </w:rPr>
        <w:t xml:space="preserve">agho</w:t>
      </w:r>
      <w:r>
        <w:t xml:space="preserve"> </w:t>
      </w:r>
      <w:r>
        <w:t xml:space="preserve">and</w:t>
      </w:r>
      <w:r>
        <w:t xml:space="preserve"> </w:t>
      </w:r>
      <w:r>
        <w:rPr>
          <w:iCs/>
          <w:i/>
        </w:rPr>
        <w:t xml:space="preserve">a</w:t>
      </w:r>
      <w:r>
        <w:t xml:space="preserve">/</w:t>
      </w:r>
      <w:r>
        <w:rPr>
          <w:iCs/>
          <w:i/>
        </w:rPr>
        <w:t xml:space="preserve">ā</w:t>
      </w:r>
      <w:r>
        <w:t xml:space="preserve"> </w:t>
      </w:r>
      <w:r>
        <w:t xml:space="preserve">before a voiced sound; then</w:t>
      </w:r>
      <w:r>
        <w:t xml:space="preserve"> </w:t>
      </w:r>
      <w:r>
        <w:t xml:space="preserve">“</w:t>
      </w:r>
      <w:r>
        <w:t xml:space="preserve">lopaḥ śākalyasya</w:t>
      </w:r>
      <w:r>
        <w:t xml:space="preserve">”</w:t>
      </w:r>
      <w:r>
        <w:t xml:space="preserve"> </w:t>
      </w:r>
      <w:r>
        <w:t xml:space="preserve">(Pā. 8-3-19) drops the</w:t>
      </w:r>
      <w:r>
        <w:t xml:space="preserve"> </w:t>
      </w:r>
      <w:r>
        <w:rPr>
          <w:iCs/>
          <w:i/>
        </w:rPr>
        <w:t xml:space="preserve">y</w:t>
      </w:r>
      <w:r>
        <w:t xml:space="preserve">; the source argues that by</w:t>
      </w:r>
      <w:r>
        <w:t xml:space="preserve"> </w:t>
      </w:r>
      <w:r>
        <w:t xml:space="preserve">“</w:t>
      </w:r>
      <w:r>
        <w:t xml:space="preserve">pūrvatrāsiddham</w:t>
      </w:r>
      <w:r>
        <w:t xml:space="preserve">”</w:t>
      </w:r>
      <w:r>
        <w:t xml:space="preserve"> </w:t>
      </w:r>
      <w:r>
        <w:t xml:space="preserve">(Pā. 8-2-1) the</w:t>
      </w:r>
      <w:r>
        <w:t xml:space="preserve"> </w:t>
      </w:r>
      <w:r>
        <w:rPr>
          <w:iCs/>
          <w:i/>
        </w:rPr>
        <w:t xml:space="preserve">savarṇa-dīrgha</w:t>
      </w:r>
      <w:r>
        <w:t xml:space="preserve"> </w:t>
      </w:r>
      <w:r>
        <w:t xml:space="preserve">of</w:t>
      </w:r>
      <w:r>
        <w:t xml:space="preserve"> </w:t>
      </w:r>
      <w:r>
        <w:t xml:space="preserve">“</w:t>
      </w:r>
      <w:r>
        <w:t xml:space="preserve">akaḥ savarṇe dīrghaḥ</w:t>
      </w:r>
      <w:r>
        <w:t xml:space="preserve">”</w:t>
      </w:r>
      <w:r>
        <w:t xml:space="preserve"> </w:t>
      </w:r>
      <w:r>
        <w:t xml:space="preserve">(Pā. 6-1-101) does not apply (the</w:t>
      </w:r>
      <w:r>
        <w:t xml:space="preserve"> </w:t>
      </w:r>
      <w:r>
        <w:rPr>
          <w:iCs/>
          <w:i/>
        </w:rPr>
        <w:t xml:space="preserve">y</w:t>
      </w:r>
      <w:r>
        <w:t xml:space="preserve"> </w:t>
      </w:r>
      <w:r>
        <w:t xml:space="preserve">having been</w:t>
      </w:r>
      <w:r>
        <w:t xml:space="preserve"> </w:t>
      </w:r>
      <w:r>
        <w:t xml:space="preserve">“</w:t>
      </w:r>
      <w:r>
        <w:t xml:space="preserve">unseen</w:t>
      </w:r>
      <w:r>
        <w:t xml:space="preserve">”</w:t>
      </w:r>
      <w:r>
        <w:t xml:space="preserve"> </w:t>
      </w:r>
      <w:r>
        <w:t xml:space="preserve">— the elision of</w:t>
      </w:r>
      <w:r>
        <w:t xml:space="preserve"> </w:t>
      </w:r>
      <w:r>
        <w:rPr>
          <w:iCs/>
          <w:i/>
        </w:rPr>
        <w:t xml:space="preserve">y</w:t>
      </w:r>
      <w:r>
        <w:t xml:space="preserve"> </w:t>
      </w:r>
      <w:r>
        <w:t xml:space="preserve">is in the last three pādas and invisible to the earlier rule), so</w:t>
      </w:r>
      <w:r>
        <w:t xml:space="preserve"> </w:t>
      </w:r>
      <w:r>
        <w:rPr>
          <w:iCs/>
          <w:i/>
        </w:rPr>
        <w:t xml:space="preserve">stomā̐</w:t>
      </w:r>
      <w:r>
        <w:t xml:space="preserve"> </w:t>
      </w:r>
      <w:r>
        <w:t xml:space="preserve">+</w:t>
      </w:r>
      <w:r>
        <w:t xml:space="preserve"> </w:t>
      </w:r>
      <w:r>
        <w:rPr>
          <w:iCs/>
          <w:i/>
        </w:rPr>
        <w:t xml:space="preserve">abhi</w:t>
      </w:r>
      <w:r>
        <w:t xml:space="preserve"> </w:t>
      </w:r>
      <w:r>
        <w:t xml:space="preserve">stays as two syllables.</w:t>
      </w:r>
      <w:r>
        <w:t xml:space="preserve"> </w:t>
      </w:r>
      <w:r>
        <w:rPr>
          <w:bCs/>
          <w:b/>
        </w:rPr>
        <w:t xml:space="preserve">अभि (</w:t>
      </w:r>
      <w:r>
        <w:rPr>
          <w:iCs/>
          <w:i/>
          <w:bCs/>
          <w:b/>
        </w:rPr>
        <w:t xml:space="preserve">abhi</w:t>
      </w:r>
      <w:r>
        <w:rPr>
          <w:bCs/>
          <w:b/>
        </w:rPr>
        <w:t xml:space="preserve">)</w:t>
      </w:r>
      <w:r>
        <w:t xml:space="preserve"> </w:t>
      </w:r>
      <w:r>
        <w:t xml:space="preserve">— final-udātta by</w:t>
      </w:r>
      <w:r>
        <w:t xml:space="preserve"> </w:t>
      </w:r>
      <w:r>
        <w:t xml:space="preserve">“</w:t>
      </w:r>
      <w:r>
        <w:t xml:space="preserve">evādīnām antaḥ</w:t>
      </w:r>
      <w:r>
        <w:t xml:space="preserve">”</w:t>
      </w:r>
      <w:r>
        <w:t xml:space="preserve"> </w:t>
      </w:r>
      <w:r>
        <w:t xml:space="preserve">(Phiṭ-sūtra 82).</w:t>
      </w:r>
      <w:r>
        <w:t xml:space="preserve"> </w:t>
      </w:r>
      <w:r>
        <w:rPr>
          <w:bCs/>
          <w:b/>
        </w:rPr>
        <w:t xml:space="preserve">स्वर (</w:t>
      </w:r>
      <w:r>
        <w:rPr>
          <w:iCs/>
          <w:i/>
          <w:bCs/>
          <w:b/>
        </w:rPr>
        <w:t xml:space="preserve">svara</w:t>
      </w:r>
      <w:r>
        <w:rPr>
          <w:bCs/>
          <w:b/>
        </w:rPr>
        <w:t xml:space="preserve">)</w:t>
      </w:r>
      <w:r>
        <w:t xml:space="preserve"> </w:t>
      </w:r>
      <w:r>
        <w:t xml:space="preserve">— root</w:t>
      </w:r>
      <w:r>
        <w:t xml:space="preserve"> </w:t>
      </w:r>
      <w:r>
        <w:rPr>
          <w:iCs/>
          <w:i/>
        </w:rPr>
        <w:t xml:space="preserve">svṛ śabdopatāpayoḥ</w:t>
      </w:r>
      <w:r>
        <w:t xml:space="preserve">,</w:t>
      </w:r>
      <w:r>
        <w:t xml:space="preserve"> </w:t>
      </w:r>
      <w:r>
        <w:rPr>
          <w:iCs/>
          <w:i/>
        </w:rPr>
        <w:t xml:space="preserve">loṭ</w:t>
      </w:r>
      <w:r>
        <w:t xml:space="preserve"> </w:t>
      </w:r>
      <w:r>
        <w:t xml:space="preserve">second singular with the ending dropped, unaccented.</w:t>
      </w:r>
      <w:r>
        <w:t xml:space="preserve"> </w:t>
      </w:r>
      <w:r>
        <w:rPr>
          <w:bCs/>
          <w:b/>
        </w:rPr>
        <w:t xml:space="preserve">गृणीहि (</w:t>
      </w:r>
      <w:r>
        <w:rPr>
          <w:iCs/>
          <w:i/>
          <w:bCs/>
          <w:b/>
        </w:rPr>
        <w:t xml:space="preserve">gṛṇīhi</w:t>
      </w:r>
      <w:r>
        <w:rPr>
          <w:bCs/>
          <w:b/>
        </w:rPr>
        <w:t xml:space="preserve">)</w:t>
      </w:r>
      <w:r>
        <w:t xml:space="preserve"> </w:t>
      </w:r>
      <w:r>
        <w:t xml:space="preserve">— root</w:t>
      </w:r>
      <w:r>
        <w:t xml:space="preserve"> </w:t>
      </w:r>
      <w:r>
        <w:rPr>
          <w:iCs/>
          <w:i/>
        </w:rPr>
        <w:t xml:space="preserve">gṝ śabde</w:t>
      </w:r>
      <w:r>
        <w:t xml:space="preserve">,</w:t>
      </w:r>
      <w:r>
        <w:t xml:space="preserve"> </w:t>
      </w:r>
      <w:r>
        <w:rPr>
          <w:iCs/>
          <w:i/>
        </w:rPr>
        <w:t xml:space="preserve">loṭ</w:t>
      </w:r>
      <w:r>
        <w:t xml:space="preserve"> </w:t>
      </w:r>
      <w:r>
        <w:t xml:space="preserve">second singular</w:t>
      </w:r>
      <w:r>
        <w:t xml:space="preserve"> </w:t>
      </w:r>
      <w:r>
        <w:rPr>
          <w:iCs/>
          <w:i/>
        </w:rPr>
        <w:t xml:space="preserve">sip</w:t>
      </w:r>
      <w:r>
        <w:t xml:space="preserve">;</w:t>
      </w:r>
      <w:r>
        <w:t xml:space="preserve"> </w:t>
      </w:r>
      <w:r>
        <w:rPr>
          <w:iCs/>
          <w:i/>
        </w:rPr>
        <w:t xml:space="preserve">sip</w:t>
      </w:r>
      <w:r>
        <w:t xml:space="preserve"> </w:t>
      </w:r>
      <w:r>
        <w:t xml:space="preserve">→</w:t>
      </w:r>
      <w:r>
        <w:t xml:space="preserve"> </w:t>
      </w:r>
      <w:r>
        <w:rPr>
          <w:iCs/>
          <w:i/>
        </w:rPr>
        <w:t xml:space="preserve">hi</w:t>
      </w:r>
      <w:r>
        <w:t xml:space="preserve"> </w:t>
      </w:r>
      <w:r>
        <w:t xml:space="preserve">by</w:t>
      </w:r>
      <w:r>
        <w:t xml:space="preserve"> </w:t>
      </w:r>
      <w:r>
        <w:t xml:space="preserve">“</w:t>
      </w:r>
      <w:r>
        <w:t xml:space="preserve">seryapicca</w:t>
      </w:r>
      <w:r>
        <w:t xml:space="preserve">”</w:t>
      </w:r>
      <w:r>
        <w:t xml:space="preserve"> </w:t>
      </w:r>
      <w:r>
        <w:t xml:space="preserve">(Pā. 3-4-87); the vikaraṇa</w:t>
      </w:r>
      <w:r>
        <w:t xml:space="preserve"> </w:t>
      </w:r>
      <w:r>
        <w:rPr>
          <w:iCs/>
          <w:i/>
        </w:rPr>
        <w:t xml:space="preserve">śnā</w:t>
      </w:r>
      <w:r>
        <w:t xml:space="preserve"> </w:t>
      </w:r>
      <w:r>
        <w:t xml:space="preserve">by</w:t>
      </w:r>
      <w:r>
        <w:t xml:space="preserve"> </w:t>
      </w:r>
      <w:r>
        <w:t xml:space="preserve">“</w:t>
      </w:r>
      <w:r>
        <w:t xml:space="preserve">kryādibhyaḥ śnā</w:t>
      </w:r>
      <w:r>
        <w:t xml:space="preserve">”</w:t>
      </w:r>
      <w:r>
        <w:t xml:space="preserve"> </w:t>
      </w:r>
      <w:r>
        <w:t xml:space="preserve">(Pā. 3-1-81);</w:t>
      </w:r>
      <w:r>
        <w:t xml:space="preserve"> </w:t>
      </w:r>
      <w:r>
        <w:t xml:space="preserve">“</w:t>
      </w:r>
      <w:r>
        <w:t xml:space="preserve">ī halyaghoḥ</w:t>
      </w:r>
      <w:r>
        <w:t xml:space="preserve">”</w:t>
      </w:r>
      <w:r>
        <w:t xml:space="preserve"> </w:t>
      </w:r>
      <w:r>
        <w:t xml:space="preserve">(Pā. 6-4-113): the</w:t>
      </w:r>
      <w:r>
        <w:t xml:space="preserve"> </w:t>
      </w:r>
      <w:r>
        <w:rPr>
          <w:iCs/>
          <w:i/>
        </w:rPr>
        <w:t xml:space="preserve">ā</w:t>
      </w:r>
      <w:r>
        <w:t xml:space="preserve"> </w:t>
      </w:r>
      <w:r>
        <w:t xml:space="preserve">of</w:t>
      </w:r>
      <w:r>
        <w:t xml:space="preserve"> </w:t>
      </w:r>
      <w:r>
        <w:rPr>
          <w:iCs/>
          <w:i/>
        </w:rPr>
        <w:t xml:space="preserve">śnā</w:t>
      </w:r>
      <w:r>
        <w:t xml:space="preserve"> </w:t>
      </w:r>
      <w:r>
        <w:t xml:space="preserve">and of an</w:t>
      </w:r>
      <w:r>
        <w:t xml:space="preserve"> </w:t>
      </w:r>
      <w:r>
        <w:rPr>
          <w:iCs/>
          <w:i/>
        </w:rPr>
        <w:t xml:space="preserve">abhyasta</w:t>
      </w:r>
      <w:r>
        <w:t xml:space="preserve"> </w:t>
      </w:r>
      <w:r>
        <w:t xml:space="preserve">other than a</w:t>
      </w:r>
      <w:r>
        <w:t xml:space="preserve"> </w:t>
      </w:r>
      <w:r>
        <w:rPr>
          <w:iCs/>
          <w:i/>
        </w:rPr>
        <w:t xml:space="preserve">ghu</w:t>
      </w:r>
      <w:r>
        <w:t xml:space="preserve"> </w:t>
      </w:r>
      <w:r>
        <w:t xml:space="preserve">root becomes</w:t>
      </w:r>
      <w:r>
        <w:t xml:space="preserve"> </w:t>
      </w:r>
      <w:r>
        <w:rPr>
          <w:iCs/>
          <w:i/>
        </w:rPr>
        <w:t xml:space="preserve">ī</w:t>
      </w:r>
      <w:r>
        <w:t xml:space="preserve"> </w:t>
      </w:r>
      <w:r>
        <w:t xml:space="preserve">before a consonant-initial</w:t>
      </w:r>
      <w:r>
        <w:t xml:space="preserve"> </w:t>
      </w:r>
      <w:r>
        <w:rPr>
          <w:iCs/>
          <w:i/>
        </w:rPr>
        <w:t xml:space="preserve">kit</w:t>
      </w:r>
      <w:r>
        <w:t xml:space="preserve">/</w:t>
      </w:r>
      <w:r>
        <w:rPr>
          <w:iCs/>
          <w:i/>
        </w:rPr>
        <w:t xml:space="preserve">ṅit</w:t>
      </w:r>
      <w:r>
        <w:t xml:space="preserve"> </w:t>
      </w:r>
      <w:r>
        <w:t xml:space="preserve">ending, giving</w:t>
      </w:r>
      <w:r>
        <w:t xml:space="preserve"> </w:t>
      </w:r>
      <w:r>
        <w:rPr>
          <w:iCs/>
          <w:i/>
        </w:rPr>
        <w:t xml:space="preserve">gṝ</w:t>
      </w:r>
      <w:r>
        <w:t xml:space="preserve"> </w:t>
      </w:r>
      <w:r>
        <w:t xml:space="preserve">+</w:t>
      </w:r>
      <w:r>
        <w:t xml:space="preserve"> </w:t>
      </w:r>
      <w:r>
        <w:rPr>
          <w:iCs/>
          <w:i/>
        </w:rPr>
        <w:t xml:space="preserve">nī</w:t>
      </w:r>
      <w:r>
        <w:t xml:space="preserve"> </w:t>
      </w:r>
      <w:r>
        <w:t xml:space="preserve">+</w:t>
      </w:r>
      <w:r>
        <w:t xml:space="preserve"> </w:t>
      </w:r>
      <w:r>
        <w:rPr>
          <w:iCs/>
          <w:i/>
        </w:rPr>
        <w:t xml:space="preserve">hi</w:t>
      </w:r>
      <w:r>
        <w:t xml:space="preserve">;</w:t>
      </w:r>
      <w:r>
        <w:t xml:space="preserve"> </w:t>
      </w:r>
      <w:r>
        <w:t xml:space="preserve">“</w:t>
      </w:r>
      <w:r>
        <w:t xml:space="preserve">pvādīnāṃ hrasvaḥ</w:t>
      </w:r>
      <w:r>
        <w:t xml:space="preserve">”</w:t>
      </w:r>
      <w:r>
        <w:t xml:space="preserve"> </w:t>
      </w:r>
      <w:r>
        <w:t xml:space="preserve">(Pā. 7-3-80): before a</w:t>
      </w:r>
      <w:r>
        <w:t xml:space="preserve"> </w:t>
      </w:r>
      <w:r>
        <w:rPr>
          <w:iCs/>
          <w:i/>
        </w:rPr>
        <w:t xml:space="preserve">śit</w:t>
      </w:r>
      <w:r>
        <w:t xml:space="preserve"> </w:t>
      </w:r>
      <w:r>
        <w:t xml:space="preserve">suffix</w:t>
      </w:r>
      <w:r>
        <w:t xml:space="preserve"> </w:t>
      </w:r>
      <w:r>
        <w:rPr>
          <w:iCs/>
          <w:i/>
        </w:rPr>
        <w:t xml:space="preserve">pūñ</w:t>
      </w:r>
      <w:r>
        <w:t xml:space="preserve"> </w:t>
      </w:r>
      <w:r>
        <w:t xml:space="preserve">and the like shorten, so</w:t>
      </w:r>
      <w:r>
        <w:t xml:space="preserve"> </w:t>
      </w:r>
      <w:r>
        <w:rPr>
          <w:iCs/>
          <w:i/>
        </w:rPr>
        <w:t xml:space="preserve">gṛ</w:t>
      </w:r>
      <w:r>
        <w:t xml:space="preserve">;</w:t>
      </w:r>
      <w:r>
        <w:t xml:space="preserve"> </w:t>
      </w:r>
      <w:r>
        <w:rPr>
          <w:iCs/>
          <w:i/>
        </w:rPr>
        <w:t xml:space="preserve">ṇatva</w:t>
      </w:r>
      <w:r>
        <w:t xml:space="preserve"> </w:t>
      </w:r>
      <w:r>
        <w:t xml:space="preserve">by</w:t>
      </w:r>
      <w:r>
        <w:t xml:space="preserve"> </w:t>
      </w:r>
      <w:r>
        <w:t xml:space="preserve">“</w:t>
      </w:r>
      <w:r>
        <w:t xml:space="preserve">raṣābhyāṃ no ṇaḥ samānapade</w:t>
      </w:r>
      <w:r>
        <w:t xml:space="preserve">”</w:t>
      </w:r>
      <w:r>
        <w:t xml:space="preserve"> </w:t>
      </w:r>
      <w:r>
        <w:t xml:space="preserve">(Pā. 8-4-1) with the vārttika</w:t>
      </w:r>
      <w:r>
        <w:t xml:space="preserve"> </w:t>
      </w:r>
      <w:r>
        <w:t xml:space="preserve">“</w:t>
      </w:r>
      <w:r>
        <w:t xml:space="preserve">raṣābhyāṃ ṇatve ṛkāragrahaṇam</w:t>
      </w:r>
      <w:r>
        <w:t xml:space="preserve">”</w:t>
      </w:r>
      <w:r>
        <w:t xml:space="preserve">, which the Mahābhāṣya states as</w:t>
      </w:r>
      <w:r>
        <w:t xml:space="preserve"> </w:t>
      </w:r>
      <w:r>
        <w:t xml:space="preserve">“</w:t>
      </w:r>
      <w:r>
        <w:t xml:space="preserve">ṛkārāc ceti vaktavyam</w:t>
      </w:r>
      <w:r>
        <w:t xml:space="preserve">”</w:t>
      </w:r>
      <w:r>
        <w:t xml:space="preserve">; where the vārttika is set aside, the Mahābhāṣya divides</w:t>
      </w:r>
      <w:r>
        <w:t xml:space="preserve"> </w:t>
      </w:r>
      <w:r>
        <w:t xml:space="preserve">“</w:t>
      </w:r>
      <w:r>
        <w:t xml:space="preserve">chandasy avagrahāt</w:t>
      </w:r>
      <w:r>
        <w:t xml:space="preserve">”</w:t>
      </w:r>
      <w:r>
        <w:t xml:space="preserve"> </w:t>
      </w:r>
      <w:r>
        <w:t xml:space="preserve">(Pā. 8-4-26) into</w:t>
      </w:r>
      <w:r>
        <w:t xml:space="preserve"> </w:t>
      </w:r>
      <w:r>
        <w:t xml:space="preserve">“</w:t>
      </w:r>
      <w:r>
        <w:t xml:space="preserve">ṛtaḥ</w:t>
      </w:r>
      <w:r>
        <w:t xml:space="preserve">”</w:t>
      </w:r>
      <w:r>
        <w:t xml:space="preserve"> </w:t>
      </w:r>
      <w:r>
        <w:t xml:space="preserve">and</w:t>
      </w:r>
      <w:r>
        <w:t xml:space="preserve"> </w:t>
      </w:r>
      <w:r>
        <w:t xml:space="preserve">“</w:t>
      </w:r>
      <w:r>
        <w:t xml:space="preserve">chandasy avagrahāt</w:t>
      </w:r>
      <w:r>
        <w:t xml:space="preserve">”</w:t>
      </w:r>
      <w:r>
        <w:t xml:space="preserve">, the first part giving</w:t>
      </w:r>
      <w:r>
        <w:t xml:space="preserve"> </w:t>
      </w:r>
      <w:r>
        <w:rPr>
          <w:iCs/>
          <w:i/>
        </w:rPr>
        <w:t xml:space="preserve">ṇ</w:t>
      </w:r>
      <w:r>
        <w:t xml:space="preserve"> </w:t>
      </w:r>
      <w:r>
        <w:t xml:space="preserve">after</w:t>
      </w:r>
      <w:r>
        <w:t xml:space="preserve"> </w:t>
      </w:r>
      <w:r>
        <w:rPr>
          <w:iCs/>
          <w:i/>
        </w:rPr>
        <w:t xml:space="preserve">ṛ</w:t>
      </w:r>
      <w:r>
        <w:t xml:space="preserve">:</w:t>
      </w:r>
      <w:r>
        <w:t xml:space="preserve"> </w:t>
      </w:r>
      <w:r>
        <w:rPr>
          <w:iCs/>
          <w:i/>
        </w:rPr>
        <w:t xml:space="preserve">gṛṇīhi</w:t>
      </w:r>
      <w:r>
        <w:t xml:space="preserve">; unaccented by</w:t>
      </w:r>
      <w:r>
        <w:t xml:space="preserve"> </w:t>
      </w:r>
      <w:r>
        <w:t xml:space="preserve">“</w:t>
      </w:r>
      <w:r>
        <w:t xml:space="preserve">tiṅṅ atiṅaḥ</w:t>
      </w:r>
      <w:r>
        <w:t xml:space="preserve">”</w:t>
      </w:r>
      <w:r>
        <w:t xml:space="preserve"> </w:t>
      </w:r>
      <w:r>
        <w:t xml:space="preserve">(Pā. 8-1-28).</w:t>
      </w:r>
      <w:r>
        <w:t xml:space="preserve"> </w:t>
      </w:r>
      <w:r>
        <w:rPr>
          <w:bCs/>
          <w:b/>
        </w:rPr>
        <w:t xml:space="preserve">रुव (</w:t>
      </w:r>
      <w:r>
        <w:rPr>
          <w:iCs/>
          <w:i/>
          <w:bCs/>
          <w:b/>
        </w:rPr>
        <w:t xml:space="preserve">ruva</w:t>
      </w:r>
      <w:r>
        <w:rPr>
          <w:bCs/>
          <w:b/>
        </w:rPr>
        <w:t xml:space="preserve">)</w:t>
      </w:r>
      <w:r>
        <w:t xml:space="preserve"> </w:t>
      </w:r>
      <w:r>
        <w:t xml:space="preserve">— root</w:t>
      </w:r>
      <w:r>
        <w:t xml:space="preserve"> </w:t>
      </w:r>
      <w:r>
        <w:rPr>
          <w:iCs/>
          <w:i/>
        </w:rPr>
        <w:t xml:space="preserve">ru śabde</w:t>
      </w:r>
      <w:r>
        <w:t xml:space="preserve">,</w:t>
      </w:r>
      <w:r>
        <w:t xml:space="preserve"> </w:t>
      </w:r>
      <w:r>
        <w:rPr>
          <w:iCs/>
          <w:i/>
        </w:rPr>
        <w:t xml:space="preserve">loṭ</w:t>
      </w:r>
      <w:r>
        <w:t xml:space="preserve"> </w:t>
      </w:r>
      <w:r>
        <w:t xml:space="preserve">second singular</w:t>
      </w:r>
      <w:r>
        <w:t xml:space="preserve"> </w:t>
      </w:r>
      <w:r>
        <w:rPr>
          <w:iCs/>
          <w:i/>
        </w:rPr>
        <w:t xml:space="preserve">sip</w:t>
      </w:r>
      <w:r>
        <w:t xml:space="preserve">, →</w:t>
      </w:r>
      <w:r>
        <w:t xml:space="preserve"> </w:t>
      </w:r>
      <w:r>
        <w:rPr>
          <w:iCs/>
          <w:i/>
        </w:rPr>
        <w:t xml:space="preserve">hi</w:t>
      </w:r>
      <w:r>
        <w:t xml:space="preserve"> </w:t>
      </w:r>
      <w:r>
        <w:t xml:space="preserve">by</w:t>
      </w:r>
      <w:r>
        <w:t xml:space="preserve"> </w:t>
      </w:r>
      <w:r>
        <w:t xml:space="preserve">“</w:t>
      </w:r>
      <w:r>
        <w:t xml:space="preserve">seryapicca</w:t>
      </w:r>
      <w:r>
        <w:t xml:space="preserve">”</w:t>
      </w:r>
      <w:r>
        <w:t xml:space="preserve"> </w:t>
      </w:r>
      <w:r>
        <w:t xml:space="preserve">(adādi class, hence the vikaraṇa</w:t>
      </w:r>
      <w:r>
        <w:t xml:space="preserve"> </w:t>
      </w:r>
      <w:r>
        <w:rPr>
          <w:iCs/>
          <w:i/>
        </w:rPr>
        <w:t xml:space="preserve">śap</w:t>
      </w:r>
      <w:r>
        <w:t xml:space="preserve"> </w:t>
      </w:r>
      <w:r>
        <w:t xml:space="preserve">is dropped by</w:t>
      </w:r>
      <w:r>
        <w:t xml:space="preserve"> </w:t>
      </w:r>
      <w:r>
        <w:t xml:space="preserve">“</w:t>
      </w:r>
      <w:r>
        <w:t xml:space="preserve">ādiprabhṛtibhyaḥ śapaḥ</w:t>
      </w:r>
      <w:r>
        <w:t xml:space="preserve">”</w:t>
      </w:r>
      <w:r>
        <w:t xml:space="preserve">; the source notes that, by Vedic inversion, a</w:t>
      </w:r>
      <w:r>
        <w:t xml:space="preserve"> </w:t>
      </w:r>
      <w:r>
        <w:rPr>
          <w:iCs/>
          <w:i/>
        </w:rPr>
        <w:t xml:space="preserve">śa</w:t>
      </w:r>
      <w:r>
        <w:t xml:space="preserve">-type vikaraṇa arises here instead)</w:t>
      </w:r>
      <w:r>
        <w:t xml:space="preserve"> </w:t>
      </w:r>
      <w:r>
        <w:rPr>
          <w:iCs/>
          <w:i/>
        </w:rPr>
        <w:t xml:space="preserve">(continues on p. 400)</w:t>
      </w:r>
      <w:r>
        <w:t xml:space="preserve">.</w:t>
      </w:r>
    </w:p>
    <w:bookmarkEnd w:id="424"/>
    <w:bookmarkStart w:id="425" w:name="pages-400401-rik-4-grammar-closes"/>
    <w:p>
      <w:pPr>
        <w:pStyle w:val="Heading3"/>
      </w:pPr>
      <w:r>
        <w:t xml:space="preserve">Pages 400–401 — Rik 4 grammar closes</w:t>
      </w:r>
    </w:p>
    <w:p>
      <w:pPr>
        <w:pStyle w:val="FirstParagraph"/>
      </w:pPr>
      <w:r>
        <w:rPr>
          <w:iCs/>
          <w:i/>
        </w:rPr>
        <w:t xml:space="preserve">(Grammar page, noted briefly.)</w:t>
      </w:r>
      <w:r>
        <w:t xml:space="preserve"> </w:t>
      </w:r>
      <w:r>
        <w:rPr>
          <w:bCs/>
          <w:b/>
        </w:rPr>
        <w:t xml:space="preserve">रुव (</w:t>
      </w:r>
      <w:r>
        <w:rPr>
          <w:iCs/>
          <w:i/>
          <w:bCs/>
          <w:b/>
        </w:rPr>
        <w:t xml:space="preserve">ruva</w:t>
      </w:r>
      <w:r>
        <w:rPr>
          <w:bCs/>
          <w:b/>
        </w:rPr>
        <w:t xml:space="preserve">)</w:t>
      </w:r>
      <w:r>
        <w:t xml:space="preserve"> </w:t>
      </w:r>
      <w:r>
        <w:t xml:space="preserve">—</w:t>
      </w:r>
      <w:r>
        <w:t xml:space="preserve"> </w:t>
      </w:r>
      <w:r>
        <w:rPr>
          <w:iCs/>
          <w:i/>
        </w:rPr>
        <w:t xml:space="preserve">ru śabde</w:t>
      </w:r>
      <w:r>
        <w:t xml:space="preserve"> </w:t>
      </w:r>
      <w:r>
        <w:t xml:space="preserve">(adādi),</w:t>
      </w:r>
      <w:r>
        <w:t xml:space="preserve"> </w:t>
      </w:r>
      <w:r>
        <w:rPr>
          <w:iCs/>
          <w:i/>
        </w:rPr>
        <w:t xml:space="preserve">loṭ</w:t>
      </w:r>
      <w:r>
        <w:t xml:space="preserve"> </w:t>
      </w:r>
      <w:r>
        <w:t xml:space="preserve">second singular</w:t>
      </w:r>
      <w:r>
        <w:t xml:space="preserve"> </w:t>
      </w:r>
      <w:r>
        <w:rPr>
          <w:iCs/>
          <w:i/>
        </w:rPr>
        <w:t xml:space="preserve">sip</w:t>
      </w:r>
      <w:r>
        <w:t xml:space="preserve">,</w:t>
      </w:r>
      <w:r>
        <w:t xml:space="preserve"> </w:t>
      </w:r>
      <w:r>
        <w:rPr>
          <w:iCs/>
          <w:i/>
        </w:rPr>
        <w:t xml:space="preserve">sip</w:t>
      </w:r>
      <w:r>
        <w:t xml:space="preserve"> </w:t>
      </w:r>
      <w:r>
        <w:t xml:space="preserve">→</w:t>
      </w:r>
      <w:r>
        <w:t xml:space="preserve"> </w:t>
      </w:r>
      <w:r>
        <w:rPr>
          <w:iCs/>
          <w:i/>
        </w:rPr>
        <w:t xml:space="preserve">hi</w:t>
      </w:r>
      <w:r>
        <w:t xml:space="preserve"> </w:t>
      </w:r>
      <w:r>
        <w:t xml:space="preserve">by</w:t>
      </w:r>
      <w:r>
        <w:t xml:space="preserve"> </w:t>
      </w:r>
      <w:r>
        <w:t xml:space="preserve">“</w:t>
      </w:r>
      <w:r>
        <w:t xml:space="preserve">seryapicca</w:t>
      </w:r>
      <w:r>
        <w:t xml:space="preserve">”</w:t>
      </w:r>
      <w:r>
        <w:t xml:space="preserve">. The adādi vikaraṇa</w:t>
      </w:r>
      <w:r>
        <w:t xml:space="preserve"> </w:t>
      </w:r>
      <w:r>
        <w:rPr>
          <w:iCs/>
          <w:i/>
        </w:rPr>
        <w:t xml:space="preserve">śap</w:t>
      </w:r>
      <w:r>
        <w:t xml:space="preserve"> </w:t>
      </w:r>
      <w:r>
        <w:t xml:space="preserve">ought to be dropped by</w:t>
      </w:r>
      <w:r>
        <w:t xml:space="preserve"> </w:t>
      </w:r>
      <w:r>
        <w:t xml:space="preserve">“</w:t>
      </w:r>
      <w:r>
        <w:t xml:space="preserve">adiprabhṛtibhyaḥ śapaḥ</w:t>
      </w:r>
      <w:r>
        <w:t xml:space="preserve">”</w:t>
      </w:r>
      <w:r>
        <w:t xml:space="preserve"> </w:t>
      </w:r>
      <w:r>
        <w:t xml:space="preserve">(Pā. 2-4-72); here instead, by Vedic inversion, the vikaraṇa</w:t>
      </w:r>
      <w:r>
        <w:t xml:space="preserve"> </w:t>
      </w:r>
      <w:r>
        <w:rPr>
          <w:iCs/>
          <w:i/>
        </w:rPr>
        <w:t xml:space="preserve">śa</w:t>
      </w:r>
      <w:r>
        <w:t xml:space="preserve"> </w:t>
      </w:r>
      <w:r>
        <w:t xml:space="preserve">arises, which by</w:t>
      </w:r>
      <w:r>
        <w:t xml:space="preserve"> </w:t>
      </w:r>
      <w:r>
        <w:t xml:space="preserve">“</w:t>
      </w:r>
      <w:r>
        <w:t xml:space="preserve">sārvadhātukam apit</w:t>
      </w:r>
      <w:r>
        <w:t xml:space="preserve">”</w:t>
      </w:r>
      <w:r>
        <w:t xml:space="preserve"> </w:t>
      </w:r>
      <w:r>
        <w:t xml:space="preserve">(Pā. 1-2-4) is</w:t>
      </w:r>
      <w:r>
        <w:t xml:space="preserve"> </w:t>
      </w:r>
      <w:r>
        <w:rPr>
          <w:iCs/>
          <w:i/>
        </w:rPr>
        <w:t xml:space="preserve">ṅit</w:t>
      </w:r>
      <w:r>
        <w:t xml:space="preserve">, so no guṇa; the</w:t>
      </w:r>
      <w:r>
        <w:t xml:space="preserve"> </w:t>
      </w:r>
      <w:r>
        <w:rPr>
          <w:iCs/>
          <w:i/>
        </w:rPr>
        <w:t xml:space="preserve">u</w:t>
      </w:r>
      <w:r>
        <w:t xml:space="preserve"> </w:t>
      </w:r>
      <w:r>
        <w:t xml:space="preserve">of</w:t>
      </w:r>
      <w:r>
        <w:t xml:space="preserve"> </w:t>
      </w:r>
      <w:r>
        <w:rPr>
          <w:iCs/>
          <w:i/>
        </w:rPr>
        <w:t xml:space="preserve">ru</w:t>
      </w:r>
      <w:r>
        <w:t xml:space="preserve"> </w:t>
      </w:r>
      <w:r>
        <w:t xml:space="preserve">takes</w:t>
      </w:r>
      <w:r>
        <w:t xml:space="preserve"> </w:t>
      </w:r>
      <w:r>
        <w:rPr>
          <w:iCs/>
          <w:i/>
        </w:rPr>
        <w:t xml:space="preserve">uvaṅ</w:t>
      </w:r>
      <w:r>
        <w:t xml:space="preserve"> </w:t>
      </w:r>
      <w:r>
        <w:t xml:space="preserve">by</w:t>
      </w:r>
      <w:r>
        <w:t xml:space="preserve"> </w:t>
      </w:r>
      <w:r>
        <w:t xml:space="preserve">“</w:t>
      </w:r>
      <w:r>
        <w:t xml:space="preserve">aci śnudhātubhruvāṃ yvor iyaṅuvaṅau</w:t>
      </w:r>
      <w:r>
        <w:t xml:space="preserve">”</w:t>
      </w:r>
      <w:r>
        <w:t xml:space="preserve"> </w:t>
      </w:r>
      <w:r>
        <w:t xml:space="preserve">(Pā. 6-4-77), giving</w:t>
      </w:r>
      <w:r>
        <w:t xml:space="preserve"> </w:t>
      </w:r>
      <w:r>
        <w:rPr>
          <w:iCs/>
          <w:i/>
        </w:rPr>
        <w:t xml:space="preserve">ruv</w:t>
      </w:r>
      <w:r>
        <w:t xml:space="preserve"> </w:t>
      </w:r>
      <w:r>
        <w:t xml:space="preserve">+</w:t>
      </w:r>
      <w:r>
        <w:t xml:space="preserve"> </w:t>
      </w:r>
      <w:r>
        <w:rPr>
          <w:iCs/>
          <w:i/>
        </w:rPr>
        <w:t xml:space="preserve">a</w:t>
      </w:r>
      <w:r>
        <w:t xml:space="preserve"> </w:t>
      </w:r>
      <w:r>
        <w:t xml:space="preserve">+</w:t>
      </w:r>
      <w:r>
        <w:t xml:space="preserve"> </w:t>
      </w:r>
      <w:r>
        <w:rPr>
          <w:iCs/>
          <w:i/>
        </w:rPr>
        <w:t xml:space="preserve">hi</w:t>
      </w:r>
      <w:r>
        <w:t xml:space="preserve">;</w:t>
      </w:r>
      <w:r>
        <w:t xml:space="preserve"> </w:t>
      </w:r>
      <w:r>
        <w:rPr>
          <w:iCs/>
          <w:i/>
        </w:rPr>
        <w:t xml:space="preserve">hi</w:t>
      </w:r>
      <w:r>
        <w:t xml:space="preserve"> </w:t>
      </w:r>
      <w:r>
        <w:t xml:space="preserve">is dropped by</w:t>
      </w:r>
      <w:r>
        <w:t xml:space="preserve"> </w:t>
      </w:r>
      <w:r>
        <w:t xml:space="preserve">“</w:t>
      </w:r>
      <w:r>
        <w:t xml:space="preserve">ato heḥ</w:t>
      </w:r>
      <w:r>
        <w:t xml:space="preserve">”</w:t>
      </w:r>
      <w:r>
        <w:t xml:space="preserve"> </w:t>
      </w:r>
      <w:r>
        <w:t xml:space="preserve">(Pā. 6-4-105), so</w:t>
      </w:r>
      <w:r>
        <w:t xml:space="preserve"> </w:t>
      </w:r>
      <w:r>
        <w:rPr>
          <w:iCs/>
          <w:i/>
        </w:rPr>
        <w:t xml:space="preserve">ruva</w:t>
      </w:r>
      <w:r>
        <w:t xml:space="preserve">; wholly unaccented by</w:t>
      </w:r>
      <w:r>
        <w:t xml:space="preserve"> </w:t>
      </w:r>
      <w:r>
        <w:t xml:space="preserve">“</w:t>
      </w:r>
      <w:r>
        <w:t xml:space="preserve">tiṅṅ atiṅaḥ</w:t>
      </w:r>
      <w:r>
        <w:t xml:space="preserve">”</w:t>
      </w:r>
      <w:r>
        <w:t xml:space="preserve"> </w:t>
      </w:r>
      <w:r>
        <w:t xml:space="preserve">(Pā. 8-1-28).</w:t>
      </w:r>
      <w:r>
        <w:t xml:space="preserve"> </w:t>
      </w:r>
      <w:r>
        <w:rPr>
          <w:bCs/>
          <w:b/>
        </w:rPr>
        <w:t xml:space="preserve">ब्रह्म (</w:t>
      </w:r>
      <w:r>
        <w:rPr>
          <w:iCs/>
          <w:i/>
          <w:bCs/>
          <w:b/>
        </w:rPr>
        <w:t xml:space="preserve">brahma</w:t>
      </w:r>
      <w:r>
        <w:rPr>
          <w:bCs/>
          <w:b/>
        </w:rPr>
        <w:t xml:space="preserve">)</w:t>
      </w:r>
      <w:r>
        <w:t xml:space="preserve"> </w:t>
      </w:r>
      <w:r>
        <w:t xml:space="preserve">— root</w:t>
      </w:r>
      <w:r>
        <w:t xml:space="preserve"> </w:t>
      </w:r>
      <w:r>
        <w:rPr>
          <w:iCs/>
          <w:i/>
        </w:rPr>
        <w:t xml:space="preserve">bṛha vṛddhau</w:t>
      </w:r>
      <w:r>
        <w:t xml:space="preserve"> </w:t>
      </w:r>
      <w:r>
        <w:t xml:space="preserve">(</w:t>
      </w:r>
      <w:r>
        <w:t xml:space="preserve">“</w:t>
      </w:r>
      <w:r>
        <w:t xml:space="preserve">to grow</w:t>
      </w:r>
      <w:r>
        <w:t xml:space="preserve">”</w:t>
      </w:r>
      <w:r>
        <w:t xml:space="preserve">), an</w:t>
      </w:r>
      <w:r>
        <w:t xml:space="preserve"> </w:t>
      </w:r>
      <w:r>
        <w:rPr>
          <w:iCs/>
          <w:i/>
        </w:rPr>
        <w:t xml:space="preserve">idit</w:t>
      </w:r>
      <w:r>
        <w:t xml:space="preserve"> </w:t>
      </w:r>
      <w:r>
        <w:t xml:space="preserve">root, so</w:t>
      </w:r>
      <w:r>
        <w:t xml:space="preserve"> </w:t>
      </w:r>
      <w:r>
        <w:rPr>
          <w:iCs/>
          <w:i/>
        </w:rPr>
        <w:t xml:space="preserve">num</w:t>
      </w:r>
      <w:r>
        <w:t xml:space="preserve"> </w:t>
      </w:r>
      <w:r>
        <w:t xml:space="preserve">by</w:t>
      </w:r>
      <w:r>
        <w:t xml:space="preserve"> </w:t>
      </w:r>
      <w:r>
        <w:t xml:space="preserve">“</w:t>
      </w:r>
      <w:r>
        <w:t xml:space="preserve">idito num dhātoḥ</w:t>
      </w:r>
      <w:r>
        <w:t xml:space="preserve">”</w:t>
      </w:r>
      <w:r>
        <w:t xml:space="preserve"> </w:t>
      </w:r>
      <w:r>
        <w:t xml:space="preserve">(printed</w:t>
      </w:r>
      <w:r>
        <w:t xml:space="preserve"> </w:t>
      </w:r>
      <w:r>
        <w:t xml:space="preserve">“</w:t>
      </w:r>
      <w:r>
        <w:t xml:space="preserve">6-1-58</w:t>
      </w:r>
      <w:r>
        <w:t xml:space="preserve">”</w:t>
      </w:r>
      <w:r>
        <w:t xml:space="preserve"> </w:t>
      </w:r>
      <w:r>
        <w:t xml:space="preserve">[as printed], i.e. 7-1-58), giving</w:t>
      </w:r>
      <w:r>
        <w:t xml:space="preserve"> </w:t>
      </w:r>
      <w:r>
        <w:rPr>
          <w:iCs/>
          <w:i/>
        </w:rPr>
        <w:t xml:space="preserve">bṛnh</w:t>
      </w:r>
      <w:r>
        <w:t xml:space="preserve">; then</w:t>
      </w:r>
      <w:r>
        <w:t xml:space="preserve"> </w:t>
      </w:r>
      <w:r>
        <w:rPr>
          <w:iCs/>
          <w:i/>
        </w:rPr>
        <w:t xml:space="preserve">manin</w:t>
      </w:r>
      <w:r>
        <w:t xml:space="preserve"> </w:t>
      </w:r>
      <w:r>
        <w:t xml:space="preserve">(carried from</w:t>
      </w:r>
      <w:r>
        <w:t xml:space="preserve"> </w:t>
      </w:r>
      <w:r>
        <w:t xml:space="preserve">“</w:t>
      </w:r>
      <w:r>
        <w:t xml:space="preserve">sarvadhātubhyo manin</w:t>
      </w:r>
      <w:r>
        <w:t xml:space="preserve">”</w:t>
      </w:r>
      <w:r>
        <w:t xml:space="preserve">) by</w:t>
      </w:r>
      <w:r>
        <w:t xml:space="preserve"> </w:t>
      </w:r>
      <w:r>
        <w:t xml:space="preserve">“</w:t>
      </w:r>
      <w:r>
        <w:t xml:space="preserve">bṛṃher am nalopaś ca</w:t>
      </w:r>
      <w:r>
        <w:t xml:space="preserve">”</w:t>
      </w:r>
      <w:r>
        <w:t xml:space="preserve"> </w:t>
      </w:r>
      <w:r>
        <w:t xml:space="preserve">(Uṇ. 3-585 [as printed]; the bhāṣya gives 4-145), with the augment</w:t>
      </w:r>
      <w:r>
        <w:t xml:space="preserve"> </w:t>
      </w:r>
      <w:r>
        <w:rPr>
          <w:iCs/>
          <w:i/>
        </w:rPr>
        <w:t xml:space="preserve">am</w:t>
      </w:r>
      <w:r>
        <w:t xml:space="preserve"> </w:t>
      </w:r>
      <w:r>
        <w:t xml:space="preserve">and loss of the</w:t>
      </w:r>
      <w:r>
        <w:t xml:space="preserve"> </w:t>
      </w:r>
      <w:r>
        <w:rPr>
          <w:iCs/>
          <w:i/>
        </w:rPr>
        <w:t xml:space="preserve">n</w:t>
      </w:r>
      <w:r>
        <w:t xml:space="preserve"> </w:t>
      </w:r>
      <w:r>
        <w:t xml:space="preserve">of</w:t>
      </w:r>
      <w:r>
        <w:t xml:space="preserve"> </w:t>
      </w:r>
      <w:r>
        <w:rPr>
          <w:iCs/>
          <w:i/>
        </w:rPr>
        <w:t xml:space="preserve">num</w:t>
      </w:r>
      <w:r>
        <w:t xml:space="preserve">; the</w:t>
      </w:r>
      <w:r>
        <w:t xml:space="preserve"> </w:t>
      </w:r>
      <w:r>
        <w:rPr>
          <w:iCs/>
          <w:i/>
        </w:rPr>
        <w:t xml:space="preserve">am</w:t>
      </w:r>
      <w:r>
        <w:t xml:space="preserve"> </w:t>
      </w:r>
      <w:r>
        <w:t xml:space="preserve">goes after the last vowel by</w:t>
      </w:r>
      <w:r>
        <w:t xml:space="preserve"> </w:t>
      </w:r>
      <w:r>
        <w:t xml:space="preserve">“</w:t>
      </w:r>
      <w:r>
        <w:t xml:space="preserve">mid aco ’ntyāt paraḥ</w:t>
      </w:r>
      <w:r>
        <w:t xml:space="preserve">”</w:t>
      </w:r>
      <w:r>
        <w:t xml:space="preserve"> </w:t>
      </w:r>
      <w:r>
        <w:t xml:space="preserve">(Pā. 1-1-47); some read the Uṇādi sūtra as</w:t>
      </w:r>
      <w:r>
        <w:t xml:space="preserve"> </w:t>
      </w:r>
      <w:r>
        <w:t xml:space="preserve">“</w:t>
      </w:r>
      <w:r>
        <w:t xml:space="preserve">bṛṃher no ’c ca</w:t>
      </w:r>
      <w:r>
        <w:t xml:space="preserve">”</w:t>
      </w:r>
      <w:r>
        <w:t xml:space="preserve"> </w:t>
      </w:r>
      <w:r>
        <w:t xml:space="preserve">(Uṇ. 4-585 [as printed]), the</w:t>
      </w:r>
      <w:r>
        <w:t xml:space="preserve"> </w:t>
      </w:r>
      <w:r>
        <w:rPr>
          <w:iCs/>
          <w:i/>
        </w:rPr>
        <w:t xml:space="preserve">n</w:t>
      </w:r>
      <w:r>
        <w:t xml:space="preserve"> </w:t>
      </w:r>
      <w:r>
        <w:t xml:space="preserve">becoming</w:t>
      </w:r>
      <w:r>
        <w:t xml:space="preserve"> </w:t>
      </w:r>
      <w:r>
        <w:rPr>
          <w:iCs/>
          <w:i/>
        </w:rPr>
        <w:t xml:space="preserve">a</w:t>
      </w:r>
      <w:r>
        <w:t xml:space="preserve">; the</w:t>
      </w:r>
      <w:r>
        <w:t xml:space="preserve"> </w:t>
      </w:r>
      <w:r>
        <w:rPr>
          <w:iCs/>
          <w:i/>
        </w:rPr>
        <w:t xml:space="preserve">ṛ</w:t>
      </w:r>
      <w:r>
        <w:t xml:space="preserve"> </w:t>
      </w:r>
      <w:r>
        <w:t xml:space="preserve">→</w:t>
      </w:r>
      <w:r>
        <w:t xml:space="preserve"> </w:t>
      </w:r>
      <w:r>
        <w:rPr>
          <w:iCs/>
          <w:i/>
        </w:rPr>
        <w:t xml:space="preserve">r</w:t>
      </w:r>
      <w:r>
        <w:t xml:space="preserve"> </w:t>
      </w:r>
      <w:r>
        <w:t xml:space="preserve">by</w:t>
      </w:r>
      <w:r>
        <w:t xml:space="preserve"> </w:t>
      </w:r>
      <w:r>
        <w:t xml:space="preserve">“</w:t>
      </w:r>
      <w:r>
        <w:t xml:space="preserve">iko yaṇ aci</w:t>
      </w:r>
      <w:r>
        <w:t xml:space="preserve">”</w:t>
      </w:r>
      <w:r>
        <w:t xml:space="preserve"> </w:t>
      </w:r>
      <w:r>
        <w:t xml:space="preserve">(6-1-77, printed</w:t>
      </w:r>
      <w:r>
        <w:t xml:space="preserve"> </w:t>
      </w:r>
      <w:r>
        <w:t xml:space="preserve">“</w:t>
      </w:r>
      <w:r>
        <w:t xml:space="preserve">jā. sū.</w:t>
      </w:r>
      <w:r>
        <w:t xml:space="preserve">”</w:t>
      </w:r>
      <w:r>
        <w:t xml:space="preserve"> </w:t>
      </w:r>
      <w:r>
        <w:t xml:space="preserve">[sic]), giving</w:t>
      </w:r>
      <w:r>
        <w:t xml:space="preserve"> </w:t>
      </w:r>
      <w:r>
        <w:rPr>
          <w:iCs/>
          <w:i/>
        </w:rPr>
        <w:t xml:space="preserve">brahman</w:t>
      </w:r>
      <w:r>
        <w:t xml:space="preserve">;</w:t>
      </w:r>
      <w:r>
        <w:t xml:space="preserve"> </w:t>
      </w:r>
      <w:r>
        <w:rPr>
          <w:iCs/>
          <w:i/>
        </w:rPr>
        <w:t xml:space="preserve">manin</w:t>
      </w:r>
      <w:r>
        <w:t xml:space="preserve"> </w:t>
      </w:r>
      <w:r>
        <w:t xml:space="preserve">is</w:t>
      </w:r>
      <w:r>
        <w:t xml:space="preserve"> </w:t>
      </w:r>
      <w:r>
        <w:rPr>
          <w:iCs/>
          <w:i/>
        </w:rPr>
        <w:t xml:space="preserve">nit</w:t>
      </w:r>
      <w:r>
        <w:t xml:space="preserve">, so initial-udātta.</w:t>
      </w:r>
      <w:r>
        <w:t xml:space="preserve"> </w:t>
      </w:r>
      <w:r>
        <w:rPr>
          <w:bCs/>
          <w:b/>
        </w:rPr>
        <w:t xml:space="preserve">वसो (</w:t>
      </w:r>
      <w:r>
        <w:rPr>
          <w:iCs/>
          <w:i/>
          <w:bCs/>
          <w:b/>
        </w:rPr>
        <w:t xml:space="preserve">vaso</w:t>
      </w:r>
      <w:r>
        <w:rPr>
          <w:bCs/>
          <w:b/>
        </w:rPr>
        <w:t xml:space="preserve">)</w:t>
      </w:r>
      <w:r>
        <w:t xml:space="preserve"> </w:t>
      </w:r>
      <w:r>
        <w:t xml:space="preserve">— a vocative, unaccented by</w:t>
      </w:r>
      <w:r>
        <w:t xml:space="preserve"> </w:t>
      </w:r>
      <w:r>
        <w:t xml:space="preserve">“</w:t>
      </w:r>
      <w:r>
        <w:t xml:space="preserve">āmantritasya ca</w:t>
      </w:r>
      <w:r>
        <w:t xml:space="preserve">”</w:t>
      </w:r>
      <w:r>
        <w:t xml:space="preserve"> </w:t>
      </w:r>
      <w:r>
        <w:t xml:space="preserve">(Pā. 8-1-19).</w:t>
      </w:r>
      <w:r>
        <w:t xml:space="preserve"> </w:t>
      </w:r>
      <w:r>
        <w:rPr>
          <w:bCs/>
          <w:b/>
        </w:rPr>
        <w:t xml:space="preserve">यज्ञम् (</w:t>
      </w:r>
      <w:r>
        <w:rPr>
          <w:iCs/>
          <w:i/>
          <w:bCs/>
          <w:b/>
        </w:rPr>
        <w:t xml:space="preserve">yajñam</w:t>
      </w:r>
      <w:r>
        <w:rPr>
          <w:bCs/>
          <w:b/>
        </w:rPr>
        <w:t xml:space="preserve">)</w:t>
      </w:r>
      <w:r>
        <w:t xml:space="preserve"> </w:t>
      </w:r>
      <w:r>
        <w:t xml:space="preserve">—</w:t>
      </w:r>
      <w:r>
        <w:t xml:space="preserve"> </w:t>
      </w:r>
      <w:r>
        <w:rPr>
          <w:iCs/>
          <w:i/>
        </w:rPr>
        <w:t xml:space="preserve">naṅ</w:t>
      </w:r>
      <w:r>
        <w:t xml:space="preserve"> </w:t>
      </w:r>
      <w:r>
        <w:t xml:space="preserve">by</w:t>
      </w:r>
      <w:r>
        <w:t xml:space="preserve"> </w:t>
      </w:r>
      <w:r>
        <w:t xml:space="preserve">“</w:t>
      </w:r>
      <w:r>
        <w:t xml:space="preserve">yajayācayatavicchapracharakṣo naṅ</w:t>
      </w:r>
      <w:r>
        <w:t xml:space="preserve">”</w:t>
      </w:r>
      <w:r>
        <w:t xml:space="preserve"> </w:t>
      </w:r>
      <w:r>
        <w:t xml:space="preserve">(Pā. 3-3-90) after</w:t>
      </w:r>
      <w:r>
        <w:t xml:space="preserve"> </w:t>
      </w:r>
      <w:r>
        <w:rPr>
          <w:iCs/>
          <w:i/>
        </w:rPr>
        <w:t xml:space="preserve">yaj</w:t>
      </w:r>
      <w:r>
        <w:t xml:space="preserve">;</w:t>
      </w:r>
      <w:r>
        <w:t xml:space="preserve"> </w:t>
      </w:r>
      <w:r>
        <w:rPr>
          <w:iCs/>
          <w:i/>
        </w:rPr>
        <w:t xml:space="preserve">j</w:t>
      </w:r>
      <w:r>
        <w:t xml:space="preserve"> </w:t>
      </w:r>
      <w:r>
        <w:t xml:space="preserve">+</w:t>
      </w:r>
      <w:r>
        <w:t xml:space="preserve"> </w:t>
      </w:r>
      <w:r>
        <w:rPr>
          <w:iCs/>
          <w:i/>
        </w:rPr>
        <w:t xml:space="preserve">n</w:t>
      </w:r>
      <w:r>
        <w:t xml:space="preserve"> </w:t>
      </w:r>
      <w:r>
        <w:t xml:space="preserve">→</w:t>
      </w:r>
      <w:r>
        <w:t xml:space="preserve"> </w:t>
      </w:r>
      <w:r>
        <w:rPr>
          <w:iCs/>
          <w:i/>
        </w:rPr>
        <w:t xml:space="preserve">jñ</w:t>
      </w:r>
      <w:r>
        <w:t xml:space="preserve"> </w:t>
      </w:r>
      <w:r>
        <w:t xml:space="preserve">by</w:t>
      </w:r>
      <w:r>
        <w:t xml:space="preserve"> </w:t>
      </w:r>
      <w:r>
        <w:t xml:space="preserve">“</w:t>
      </w:r>
      <w:r>
        <w:t xml:space="preserve">stoḥ ścunā ścuḥ</w:t>
      </w:r>
      <w:r>
        <w:t xml:space="preserve">”</w:t>
      </w:r>
      <w:r>
        <w:t xml:space="preserve"> </w:t>
      </w:r>
      <w:r>
        <w:t xml:space="preserve">(Pā. 8-4-40).</w:t>
      </w:r>
      <w:r>
        <w:t xml:space="preserve"> </w:t>
      </w:r>
      <w:r>
        <w:rPr>
          <w:bCs/>
          <w:b/>
        </w:rPr>
        <w:t xml:space="preserve">वर्धय (</w:t>
      </w:r>
      <w:r>
        <w:rPr>
          <w:iCs/>
          <w:i/>
          <w:bCs/>
          <w:b/>
        </w:rPr>
        <w:t xml:space="preserve">vardhaya</w:t>
      </w:r>
      <w:r>
        <w:rPr>
          <w:bCs/>
          <w:b/>
        </w:rPr>
        <w:t xml:space="preserve">)</w:t>
      </w:r>
      <w:r>
        <w:t xml:space="preserve"> </w:t>
      </w:r>
      <w:r>
        <w:t xml:space="preserve">— a finite verb, unaccented by</w:t>
      </w:r>
      <w:r>
        <w:t xml:space="preserve"> </w:t>
      </w:r>
      <w:r>
        <w:t xml:space="preserve">“</w:t>
      </w:r>
      <w:r>
        <w:t xml:space="preserve">tiṅṅ atiṅaḥ</w:t>
      </w:r>
      <w:r>
        <w:t xml:space="preserve">”</w:t>
      </w:r>
      <w:r>
        <w:t xml:space="preserve"> </w:t>
      </w:r>
      <w:r>
        <w:t xml:space="preserve">(Pā. 8-1-28); but since in this mantra two</w:t>
      </w:r>
      <w:r>
        <w:t xml:space="preserve"> </w:t>
      </w:r>
      <w:r>
        <w:rPr>
          <w:iCs/>
          <w:i/>
        </w:rPr>
        <w:t xml:space="preserve">ca</w:t>
      </w:r>
      <w:r>
        <w:t xml:space="preserve">’s are heard (</w:t>
      </w:r>
      <w:r>
        <w:rPr>
          <w:iCs/>
          <w:i/>
        </w:rPr>
        <w:t xml:space="preserve">brahma ca vardhaya</w:t>
      </w:r>
      <w:r>
        <w:t xml:space="preserve">,</w:t>
      </w:r>
      <w:r>
        <w:t xml:space="preserve"> </w:t>
      </w:r>
      <w:r>
        <w:rPr>
          <w:iCs/>
          <w:i/>
        </w:rPr>
        <w:t xml:space="preserve">yajñaṃ ca vardhaya</w:t>
      </w:r>
      <w:r>
        <w:t xml:space="preserve">), the verb is connected with the earlier clause too — so that the</w:t>
      </w:r>
      <w:r>
        <w:t xml:space="preserve"> </w:t>
      </w:r>
      <w:r>
        <w:rPr>
          <w:iCs/>
          <w:i/>
        </w:rPr>
        <w:t xml:space="preserve">vardhaya</w:t>
      </w:r>
      <w:r>
        <w:t xml:space="preserve"> </w:t>
      </w:r>
      <w:r>
        <w:t xml:space="preserve">of the earlier clause is the first finite verb of the joined sentence, and the rule</w:t>
      </w:r>
      <w:r>
        <w:t xml:space="preserve"> </w:t>
      </w:r>
      <w:r>
        <w:t xml:space="preserve">“</w:t>
      </w:r>
      <w:r>
        <w:t xml:space="preserve">cavāyoge prathamā</w:t>
      </w:r>
      <w:r>
        <w:t xml:space="preserve">”</w:t>
      </w:r>
      <w:r>
        <w:t xml:space="preserve"> </w:t>
      </w:r>
      <w:r>
        <w:t xml:space="preserve">(Pā. 8-1-59) prevents the lowering of the first verb in a sentence joined by</w:t>
      </w:r>
      <w:r>
        <w:t xml:space="preserve"> </w:t>
      </w:r>
      <w:r>
        <w:rPr>
          <w:iCs/>
          <w:i/>
        </w:rPr>
        <w:t xml:space="preserve">ca</w:t>
      </w:r>
      <w:r>
        <w:t xml:space="preserve"> </w:t>
      </w:r>
      <w:r>
        <w:t xml:space="preserve">and</w:t>
      </w:r>
      <w:r>
        <w:t xml:space="preserve"> </w:t>
      </w:r>
      <w:r>
        <w:rPr>
          <w:iCs/>
          <w:i/>
        </w:rPr>
        <w:t xml:space="preserve">vā</w:t>
      </w:r>
      <w:r>
        <w:t xml:space="preserve">; hence no lowering applies where the first-uttered verb is concerned.</w:t>
      </w:r>
    </w:p>
    <w:p>
      <w:pPr>
        <w:pStyle w:val="BodyText"/>
      </w:pPr>
      <w:r>
        <w:rPr>
          <w:bCs/>
          <w:b/>
        </w:rPr>
        <w:t xml:space="preserve">॥४॥</w:t>
      </w:r>
    </w:p>
    <w:p>
      <w:r>
        <w:pict>
          <v:rect style="width:0;height:1.5pt" o:hralign="center" o:hrstd="t" o:hr="t"/>
        </w:pict>
      </w:r>
    </w:p>
    <w:bookmarkEnd w:id="425"/>
    <w:bookmarkStart w:id="426" w:name="page-402-sūkta-10-rik-5"/>
    <w:p>
      <w:pPr>
        <w:pStyle w:val="Heading3"/>
      </w:pPr>
      <w:r>
        <w:t xml:space="preserve">Page 402 — Sūkta 10, Rik 5</w:t>
      </w:r>
    </w:p>
    <w:p>
      <w:pPr>
        <w:pStyle w:val="FirstParagraph"/>
      </w:pPr>
      <w:r>
        <w:rPr>
          <w:iCs/>
          <w:i/>
        </w:rPr>
        <w:t xml:space="preserve">(Saṃhitā accents as printed; Pada unaccented. Line 2: the stroke in सुतेषु stands between ते and षु; read as on षु — [accent ?].)</w:t>
      </w:r>
    </w:p>
    <w:p>
      <w:pPr>
        <w:pStyle w:val="BodyText"/>
      </w:pPr>
      <w:r>
        <w:rPr>
          <w:bCs/>
          <w:b/>
        </w:rPr>
        <w:t xml:space="preserve">॥ Saṃhitā-pāṭhaḥ ॥</w:t>
      </w:r>
    </w:p>
    <w:p>
      <w:pPr>
        <w:pStyle w:val="BlockText"/>
      </w:pPr>
      <w:r>
        <w:t xml:space="preserve">उ॒क्थमिन्द्रा॑य॒ शंस्यं॒ वर्ध॑नं पुरुनि॒ष्षिधे॑ ।</w:t>
      </w:r>
      <w:r>
        <w:t xml:space="preserve"> </w:t>
      </w:r>
      <w:r>
        <w:t xml:space="preserve">श॒क्रो यथा॑ सु॒तेषु॑ णो रा॒रण॑त्स॒ख्येषु॑ च ॥५॥ [accent ?]</w:t>
      </w:r>
    </w:p>
    <w:p>
      <w:pPr>
        <w:pStyle w:val="BlockText"/>
      </w:pPr>
      <w:r>
        <w:rPr>
          <w:iCs/>
          <w:i/>
        </w:rPr>
        <w:t xml:space="preserve">ukthám índrāya śáṃsyaṃ várdhanaṃ puruniṣṣídhe |</w:t>
      </w:r>
      <w:r>
        <w:t xml:space="preserve"> </w:t>
      </w:r>
      <w:r>
        <w:rPr>
          <w:iCs/>
          <w:i/>
        </w:rPr>
        <w:t xml:space="preserve">śakró yáthā sutéṣu ṇo rāráṇat sakhyéṣu ca ||5||</w:t>
      </w:r>
      <w:r>
        <w:t xml:space="preserve"> </w:t>
      </w:r>
      <w:r>
        <w:t xml:space="preserve">[accent ?]</w:t>
      </w:r>
    </w:p>
    <w:p>
      <w:pPr>
        <w:pStyle w:val="FirstParagraph"/>
      </w:pPr>
      <w:r>
        <w:rPr>
          <w:iCs/>
          <w:i/>
        </w:rPr>
        <w:t xml:space="preserve">(The Saṃhitā prints</w:t>
      </w:r>
      <w:r>
        <w:t xml:space="preserve"> </w:t>
      </w:r>
      <w:r>
        <w:t xml:space="preserve">णो</w:t>
      </w:r>
      <w:r>
        <w:t xml:space="preserve"> </w:t>
      </w:r>
      <w:r>
        <w:rPr>
          <w:iCs/>
          <w:i/>
        </w:rPr>
        <w:t xml:space="preserve">for</w:t>
      </w:r>
      <w:r>
        <w:t xml:space="preserve"> </w:t>
      </w:r>
      <w:r>
        <w:t xml:space="preserve">नो</w:t>
      </w:r>
      <w:r>
        <w:t xml:space="preserve"> </w:t>
      </w:r>
      <w:r>
        <w:rPr>
          <w:iCs/>
          <w:i/>
        </w:rPr>
        <w:t xml:space="preserve">(the dental</w:t>
      </w:r>
      <w:r>
        <w:t xml:space="preserve"> </w:t>
      </w:r>
      <w:r>
        <w:t xml:space="preserve">n</w:t>
      </w:r>
      <w:r>
        <w:t xml:space="preserve"> </w:t>
      </w:r>
      <w:r>
        <w:rPr>
          <w:iCs/>
          <w:i/>
        </w:rPr>
        <w:t xml:space="preserve">becoming retroflex after the preceding</w:t>
      </w:r>
      <w:r>
        <w:t xml:space="preserve"> </w:t>
      </w:r>
      <w:r>
        <w:t xml:space="preserve">ṣ</w:t>
      </w:r>
      <w:r>
        <w:rPr>
          <w:iCs/>
          <w:i/>
        </w:rPr>
        <w:t xml:space="preserve">), as the printed grammar explains.)</w:t>
      </w:r>
    </w:p>
    <w:p>
      <w:pPr>
        <w:pStyle w:val="BodyText"/>
      </w:pPr>
      <w:r>
        <w:rPr>
          <w:bCs/>
          <w:b/>
        </w:rPr>
        <w:t xml:space="preserve">॥ Pada-pāṭhaḥ ॥</w:t>
      </w:r>
    </w:p>
    <w:p>
      <w:pPr>
        <w:pStyle w:val="BlockText"/>
      </w:pPr>
      <w:r>
        <w:t xml:space="preserve">उक्थम् । इन्द्राय । शंस्यम् । वर्धनम् । पुरुनिःऽसिधे ॥</w:t>
      </w:r>
      <w:r>
        <w:t xml:space="preserve"> </w:t>
      </w:r>
      <w:r>
        <w:t xml:space="preserve">शक्रः । यथा । सुतेषु । नः । ररणत् । सख्येषु । च ॥५॥</w:t>
      </w:r>
    </w:p>
    <w:p>
      <w:pPr>
        <w:pStyle w:val="BlockText"/>
      </w:pPr>
      <w:r>
        <w:rPr>
          <w:iCs/>
          <w:i/>
        </w:rPr>
        <w:t xml:space="preserve">uktham | indrāya | śaṃsyam | vardhanam | puruniḥ-sidhe ||</w:t>
      </w:r>
      <w:r>
        <w:t xml:space="preserve"> </w:t>
      </w:r>
      <w:r>
        <w:rPr>
          <w:iCs/>
          <w:i/>
        </w:rPr>
        <w:t xml:space="preserve">śakraḥ | yathā | suteṣu | naḥ | raraṇat | sakhyeṣu | ca ||5||</w:t>
      </w:r>
    </w:p>
    <w:p>
      <w:pPr>
        <w:pStyle w:val="FirstParagraph"/>
      </w:pPr>
      <w:r>
        <w:rPr>
          <w:iCs/>
          <w:i/>
        </w:rPr>
        <w:t xml:space="preserve">(The Pada text prints</w:t>
      </w:r>
      <w:r>
        <w:t xml:space="preserve"> </w:t>
      </w:r>
      <w:r>
        <w:t xml:space="preserve">ररणत्</w:t>
      </w:r>
      <w:r>
        <w:t xml:space="preserve"> </w:t>
      </w:r>
      <w:r>
        <w:rPr>
          <w:iCs/>
          <w:i/>
        </w:rPr>
        <w:t xml:space="preserve">(short first syllable), as printed; the Saṃhitā has</w:t>
      </w:r>
      <w:r>
        <w:t xml:space="preserve"> </w:t>
      </w:r>
      <w:r>
        <w:t xml:space="preserve">रारणत्</w:t>
      </w:r>
      <w:r>
        <w:rPr>
          <w:iCs/>
          <w:i/>
        </w:rPr>
        <w:t xml:space="preserve">.)</w:t>
      </w:r>
    </w:p>
    <w:p>
      <w:pPr>
        <w:pStyle w:val="BodyText"/>
      </w:pPr>
      <w:r>
        <w:rPr>
          <w:bCs/>
          <w:b/>
        </w:rPr>
        <w:t xml:space="preserve">॥ Sāyaṇa-bhāṣyam ॥</w:t>
      </w:r>
    </w:p>
    <w:p>
      <w:pPr>
        <w:pStyle w:val="BlockText"/>
      </w:pPr>
      <w:r>
        <w:t xml:space="preserve">अभिप्लवषडहगतोक्थ्येष्वच्छावाकस्य तृतीयसवन उक्थमिन्द्राय शंस्यमित्यनुरूपस्तृचः । एह्यूष्विति खण्ड इन्द्रं विश्वा अवीवृधन्नुक्थमिन्द्राय शंस्यम् । आ. ७-८ । इति सूत्रितम् ॥ इन्द्रायेन्द्रार्थं वर्धनं वृद्धिसाधनमुक्थं शस्त्रं शंस्यम् । अस्माभिः शंसनीयम् । कीदृशायेन्द्राय । पुरुनिष्षिधे बहूनां शत्रूणां निषेधकारिणे । शक्र इन्द्रो नो ऽस्मदीयेषु सुतेषु पुत्रेषु सख्येषु च सखित्वेष्वपि यथा येन प्रकारेण रारणत् अतिशयेन शब्दं कुर्यात्तथा शंस्यमिति पूर्वत्रान्वयः । अस्मदीयेन शस्त्रेण परितुष्ट इन्द्रो ऽस्माकं पुत्रानस्मत्सख्यानि च बहुधा प्रशंसत्वित्यर्थः ॥ उक्थम् । वचेस्थक्प्रत्यय उक्तः । उ. २-२ । प्रत्ययस्वरः । शंस्यम् । शंसु स्तुतौ । ण्यन्तादचो यत् । णेरनिटीति णिलोपः । तित्स्वरिते प्राप्ते यतो ऽनाव इत्याद्युदात्तत्वम् । वर्धनम् । करणाधिकरणयोश्च । पा. ३-३-११७ । इति करणे ल्युट् । लितीति प्रत्ययपूर्वस्योदात्तत्वम् । पुरुनिष्षिधे । बहूनां शत्रूनां निषेधकाय । षिध गत्याम् । धात्वादेः षः सः । अत्र निरित्युपसर्गस्य निशब्दसमानार्थस्य प्राक्प्रयोगः । क्विप्चेति क्विप् । क्विपः सर्वापहारी लोपः । कुगतिप्रादयः । पा. २-२-१८ । इति समासः । निसः सकारेणेणो व्यवधानं छान्दसत्वादनादृत्योपसर्गात्सुनोतीत्यादिना । पा. ८-३-६५ । धातुसकारस्य षत्वम् । निसः सकारस्य ष्टुना ष्टुः । पा. ८-४-४१ । इति षत्वम् । पुरुशब्देन कर्मणि षष्ठ्यन्तेन समासः । षिधो धातुस्वरेणोदात्तत्वम् । निष्षिध इति प्रादिसमासे कृदुत्तरपदप्रकृतिस्वरत्वम् । कृद्ग्रहणे गतिकारकपूर्वस्यापि ग्रहणात्पुनः कारकसमासे ऽपि स एव स्वरः । शक्नोतीति शक्रः । स्फायितञ्चिवञ्चिशकि इत्यादिना । उ २-१३ । रक् । प्रत्ययस्वरः । यथा । प्रकारवचने थाल् । पा. ५-३-२३ । लित्स्वरेण प्रत्ययात्पूर्वो ऽकार उदात्तः । सुतेषु । क्तः प्रत्ययस्वरेणोदात्तः । नसो नकारस्य नश्च धातुस्थोरुषुभ्यः । पा. ८-४-२७ । इति संहितायां णत्वम् । रारणात् [sic] । रण शब्दार्थः । धातोरेकाचः । पा. ३-१-२२ । इति यङ् । यङो ऽचि च । पा. २-४-७४ । इति लुक् । प्रत्ययलक्षणेन । पा. ६-१-९ । द्विर्भावो हलादिशेषः । दीर्घो ऽकितः । पा. ७-४-८३ । इति दीर्घः । प्रत्ययलक्षणेन सनाद्यन्ता धातवः । पा. ३-१-३२ । इति धातुसंज्ञायां लिङर्थे लेट् । पा. ३-४-७ । इति हेतुहेतुमद्भावलक्षणे । पा. ३-३-१५६ । लिङर्थे लेट् । अत्र हीन्द्रकर्तृकं रारणनमुक्थशंसनस्य कर्तव्यत्वे हेतुः । लेटस्तिप् । इतश्च लोपः परस्मैपदेष्वितीकारलोपः । लेटो ऽडाटावित्यडागमः । कर्तरि शप् । तस्य चर्करीतं परस्मैपदमदादिवच्च द्रष्टव्यमित्यदादिवद्भावाददिप्रभृतिभ्यः शप इति प्राप्तो लुग्बहुलं छन्दसीति निषिध्यते । शपो ऽनुदात्तत्वाद्धातोरन्तोदात्त एव शिष्यते । शपा लसार्वधातुकस्य व्यवधानात्तत्र परतो विधीयमानमभ्यस्तानामादिरित्याद्युदात्तत्वं न भवति । न च तिङ्ङतिङ इति निघातः । अत्र यथाशब्दयोगेन यावद्यथाभ्याम् । पा ८-१-३६ । इति निषेधात् । चवायोगे प्रथमेति वात्र निघातो न भविष्यति । अत्र ह्युत्तरवाक्ये सख्येषु चेति चानुकृष्टविभक्त्यपेक्षयेयं प्रथमा तिङ्विभक्तिः । सख्येषु । सख्युः कर्माणि सख्यानि । तेषु । कर्मणि चेत्यनुवृत्तौ सख्युर्यः । पा. ५-१-१२६ । इति सखिशब्दाद्यप्रत्ययः । तत्र भसंज्ञायां यस्येति च । पा. ६-४-१४८ । इतीकारलोपः । प्रत्ययस्वरः ॥</w:t>
      </w:r>
    </w:p>
    <w:p>
      <w:pPr>
        <w:pStyle w:val="BlockText"/>
      </w:pPr>
      <w:r>
        <w:rPr>
          <w:iCs/>
          <w:i/>
        </w:rPr>
        <w:t xml:space="preserve">abhiplavaṣaḍahagatokthyeṣvacchāvākasya tṛtīyasavana ukthamindrāya śaṃsyamityanurūpastṛcaḥ | ehyūṣviti khaṇḍa indraṃ viśvā avīvṛdhannukthamindrāya śaṃsyam | ā. 7-8 | iti sūtritam || indrāyendrārthaṃ vardhanaṃ vṛddhisādhanamukthaṃ śastraṃ śaṃsyam | asmābhiḥ śaṃsanīyam | kīdṛśāyendrāya | puruniṣṣidhe bahūnāṃ śatrūṇāṃ niṣedhakāriṇe | śakra indro no ’smadīyeṣu suteṣu putreṣu sakhyeṣu ca sakhitveṣvapi yathā yena prakāreṇa rāraṇat atiśayena śabdaṃ kuryāttathā śaṃsyamiti pūrvatrānvayaḥ | asmadīyena śastreṇa parituṣṭa indro ’smākaṃ putrānasmatsakhyāni ca bahudhā praśaṃsatvityarthaḥ || uktham | vacesthakpratyaya uktaḥ | u. 2-2 | pratyayasvaraḥ | śaṃsyam | śaṃsu stutau | ṇyantādaco yat | ṇeraniṭīti ṇilopaḥ | titsvarite prāpte yato ’nāva ityādyudāttatvam | vardhanam | karaṇādhikaraṇayośca | pā. 3-3-117 | iti karaṇe lyuṭ | litīti pratyayapūrvasyodāttatvam | puruniṣṣidhe | bahūnāṃ śatrūnāṃ niṣedhakāya | ṣidha gatyām | dhātvādeḥ ṣaḥ saḥ | atra nirityupasargasya niśabdasamānārthasya prākprayogaḥ | kvipceti kvip | kvipaḥ sarvāpahārī lopaḥ | kugatiprādayaḥ | pā. 2-2-18 | iti samāsaḥ | nisaḥ sakāreṇeṇo vyavadhānaṃ chāndasatvādanādṛtyopasargātsunotītyādinā | pā. 8-3-65 | dhātusakārasya ṣatvam | nisaḥ sakārasya ṣṭunā ṣṭuḥ | pā. 8-4-41 | iti ṣatvam | puruśabdena karmaṇi ṣaṣṭhyantena samāsaḥ | ṣidho dhātusvareṇodāttatvam | niṣṣidha iti prādisamāse kṛduttarapadaprakṛtisvaratvam | kṛdgrahaṇe gatikārakapūrvasyāpi grahaṇātpunaḥ kārakasamāse ’pi sa eva svaraḥ | śaknotīti śakraḥ | sphāyitañcivañciśaki ityādinā | u 2-13 | rak | pratyayasvaraḥ | yathā | prakāravacane thāl | pā. 5-3-23 | litsvareṇa pratyayātpūrvo ’kāra udāttaḥ | suteṣu | ktaḥ pratyayasvareṇodāttaḥ | naso nakārasya naśca dhātusthoruṣubhyaḥ | pā. 8-4-27 | iti saṃhitāyāṃ ṇatvam | rāraṇāt [sic] | raṇa śabdārthaḥ | dhātorekācaḥ | pā. 3-1-22 | iti yaṅ | yaṅo ’ci ca | pā. 2-4-74 | iti luk | pratyayalakṣaṇena | pā. 6-1-9 | dvirbhāvo halādiśeṣaḥ | dīrgho ’kitaḥ | pā. 7-4-83 | iti dīrghaḥ | pratyayalakṣaṇena sanādyantā dhātavaḥ | pā. 3-1-32 | iti dhātusaṃjñāyāṃ liṅarthe leṭ | pā. 3-4-7 | iti hetuhetumadbhāvalakṣaṇe | pā. 3-3-156 | liṅarthe leṭ | atra hīndrakartṛkaṃ rāraṇanamukthaśaṃsanasya kartavyatve hetuḥ | leṭastip | itaśca lopaḥ parasmaipadeṣvitīkāralopaḥ | leṭo ’ḍāṭāvityaḍāgamaḥ | kartari śap | tasya carkarītaṃ parasmaipadamadādivacca draṣṭavyamityadādivadbhāvādadiprabhṛtibhyaḥ śapa iti prāpto lugbahulaṃ chandasīti niṣidhyate | śapo ’nudāttatvāddhātorantodātta eva śiṣyate | śapā lasārvadhātukasya vyavadhānāttatra parato vidhīyamānamabhyastānāmādirityādyudāttatvaṃ na bhavati | na ca tiṅṅatiṅa iti nighātaḥ | atra yathāśabdayogena yāvadyathābhyām | pā 8-1-36 | iti niṣedhāt | cavāyoge prathameti vātra nighāto na bhaviṣyati | atra hyuttaravākye sakhyeṣu ceti cānukṛṣṭavibhaktyapekṣayeyaṃ prathamā tiṅvibhaktiḥ | sakhyeṣu | sakhyuḥ karmāṇi sakhyāni | teṣu | karmaṇi cetyanuvṛttau sakhyuryaḥ | pā. 5-1-126 | iti sakhiśabdādyapratyayaḥ | tatra bhasaṃjñāyāṃ yasyeti ca | pā. 6-4-148 | itīkāralopaḥ | pratyayasvaraḥ ||</w:t>
      </w:r>
    </w:p>
    <w:p>
      <w:pPr>
        <w:pStyle w:val="FirstParagraph"/>
      </w:pPr>
      <w:r>
        <w:rPr>
          <w:bCs/>
          <w:b/>
        </w:rPr>
        <w:t xml:space="preserve">Translation:</w:t>
      </w:r>
      <w:r>
        <w:t xml:space="preserve"> </w:t>
      </w:r>
      <w:r>
        <w:t xml:space="preserve">“</w:t>
      </w:r>
      <w:r>
        <w:t xml:space="preserve">In the</w:t>
      </w:r>
      <w:r>
        <w:t xml:space="preserve"> </w:t>
      </w:r>
      <w:r>
        <w:rPr>
          <w:iCs/>
          <w:i/>
        </w:rPr>
        <w:t xml:space="preserve">ukthya</w:t>
      </w:r>
      <w:r>
        <w:t xml:space="preserve"> </w:t>
      </w:r>
      <w:r>
        <w:t xml:space="preserve">[rites] of the Abhiplava Ṣaḍaha, in the Acchāvāka’s third pressing, the triplet beginning</w:t>
      </w:r>
      <w:r>
        <w:t xml:space="preserve"> </w:t>
      </w:r>
      <w:r>
        <w:rPr>
          <w:iCs/>
          <w:i/>
        </w:rPr>
        <w:t xml:space="preserve">uktham indrāya śaṃsyam</w:t>
      </w:r>
      <w:r>
        <w:t xml:space="preserve"> </w:t>
      </w:r>
      <w:r>
        <w:t xml:space="preserve">is the</w:t>
      </w:r>
      <w:r>
        <w:t xml:space="preserve"> </w:t>
      </w:r>
      <w:r>
        <w:rPr>
          <w:iCs/>
          <w:i/>
        </w:rPr>
        <w:t xml:space="preserve">anurūpa</w:t>
      </w:r>
      <w:r>
        <w:t xml:space="preserve">. In the section</w:t>
      </w:r>
      <w:r>
        <w:t xml:space="preserve"> </w:t>
      </w:r>
      <w:r>
        <w:rPr>
          <w:iCs/>
          <w:i/>
        </w:rPr>
        <w:t xml:space="preserve">ehy ū ṣu</w:t>
      </w:r>
      <w:r>
        <w:t xml:space="preserve"> </w:t>
      </w:r>
      <w:r>
        <w:t xml:space="preserve">it is laid down:</w:t>
      </w:r>
      <w:r>
        <w:t xml:space="preserve"> </w:t>
      </w:r>
      <w:r>
        <w:t xml:space="preserve">‘</w:t>
      </w:r>
      <w:r>
        <w:rPr>
          <w:iCs/>
          <w:i/>
        </w:rPr>
        <w:t xml:space="preserve">indraṃ viśvā avīvṛdhan</w:t>
      </w:r>
      <w:r>
        <w:t xml:space="preserve">,</w:t>
      </w:r>
      <w:r>
        <w:t xml:space="preserve"> </w:t>
      </w:r>
      <w:r>
        <w:rPr>
          <w:iCs/>
          <w:i/>
        </w:rPr>
        <w:t xml:space="preserve">uktham indrāya śaṃsyam</w:t>
      </w:r>
      <w:r>
        <w:t xml:space="preserve">’</w:t>
      </w:r>
      <w:r>
        <w:t xml:space="preserve"> </w:t>
      </w:r>
      <w:r>
        <w:t xml:space="preserve">(Āśvalāyana 7-8).</w:t>
      </w:r>
      <w:r>
        <w:t xml:space="preserve"> </w:t>
      </w:r>
      <w:r>
        <w:rPr>
          <w:iCs/>
          <w:i/>
        </w:rPr>
        <w:t xml:space="preserve">Indrāya</w:t>
      </w:r>
      <w:r>
        <w:t xml:space="preserve"> </w:t>
      </w:r>
      <w:r>
        <w:t xml:space="preserve">— for Indra’s sake —</w:t>
      </w:r>
      <w:r>
        <w:t xml:space="preserve"> </w:t>
      </w:r>
      <w:r>
        <w:rPr>
          <w:iCs/>
          <w:i/>
        </w:rPr>
        <w:t xml:space="preserve">vardhanam</w:t>
      </w:r>
      <w:r>
        <w:t xml:space="preserve"> </w:t>
      </w:r>
      <w:r>
        <w:t xml:space="preserve">— the means of increase —</w:t>
      </w:r>
      <w:r>
        <w:t xml:space="preserve"> </w:t>
      </w:r>
      <w:r>
        <w:rPr>
          <w:iCs/>
          <w:i/>
        </w:rPr>
        <w:t xml:space="preserve">uktham</w:t>
      </w:r>
      <w:r>
        <w:t xml:space="preserve">, the</w:t>
      </w:r>
      <w:r>
        <w:t xml:space="preserve"> </w:t>
      </w:r>
      <w:r>
        <w:rPr>
          <w:iCs/>
          <w:i/>
        </w:rPr>
        <w:t xml:space="preserve">śastra</w:t>
      </w:r>
      <w:r>
        <w:t xml:space="preserve"> </w:t>
      </w:r>
      <w:r>
        <w:t xml:space="preserve">— is</w:t>
      </w:r>
      <w:r>
        <w:t xml:space="preserve"> </w:t>
      </w:r>
      <w:r>
        <w:rPr>
          <w:iCs/>
          <w:i/>
        </w:rPr>
        <w:t xml:space="preserve">śaṃsyam</w:t>
      </w:r>
      <w:r>
        <w:t xml:space="preserve">, to be recited by us. For what kind of Indra?</w:t>
      </w:r>
      <w:r>
        <w:t xml:space="preserve"> </w:t>
      </w:r>
      <w:r>
        <w:rPr>
          <w:iCs/>
          <w:i/>
        </w:rPr>
        <w:t xml:space="preserve">Puruniṣṣidhe</w:t>
      </w:r>
      <w:r>
        <w:t xml:space="preserve"> </w:t>
      </w:r>
      <w:r>
        <w:t xml:space="preserve">— for him who bars many enemies.</w:t>
      </w:r>
      <w:r>
        <w:t xml:space="preserve"> </w:t>
      </w:r>
      <w:r>
        <w:rPr>
          <w:iCs/>
          <w:i/>
        </w:rPr>
        <w:t xml:space="preserve">Śakraḥ</w:t>
      </w:r>
      <w:r>
        <w:t xml:space="preserve"> </w:t>
      </w:r>
      <w:r>
        <w:t xml:space="preserve">— Indra —</w:t>
      </w:r>
      <w:r>
        <w:t xml:space="preserve"> </w:t>
      </w:r>
      <w:r>
        <w:rPr>
          <w:iCs/>
          <w:i/>
        </w:rPr>
        <w:t xml:space="preserve">yathā</w:t>
      </w:r>
      <w:r>
        <w:t xml:space="preserve"> </w:t>
      </w:r>
      <w:r>
        <w:t xml:space="preserve">— in whatever manner —</w:t>
      </w:r>
      <w:r>
        <w:t xml:space="preserve"> </w:t>
      </w:r>
      <w:r>
        <w:rPr>
          <w:iCs/>
          <w:i/>
        </w:rPr>
        <w:t xml:space="preserve">rāraṇat</w:t>
      </w:r>
      <w:r>
        <w:t xml:space="preserve"> </w:t>
      </w:r>
      <w:r>
        <w:t xml:space="preserve">would, in the highest degree, make a sound [of approval] regarding</w:t>
      </w:r>
      <w:r>
        <w:t xml:space="preserve"> </w:t>
      </w:r>
      <w:r>
        <w:rPr>
          <w:iCs/>
          <w:i/>
        </w:rPr>
        <w:t xml:space="preserve">naḥ</w:t>
      </w:r>
      <w:r>
        <w:t xml:space="preserve">, our</w:t>
      </w:r>
      <w:r>
        <w:t xml:space="preserve"> </w:t>
      </w:r>
      <w:r>
        <w:rPr>
          <w:iCs/>
          <w:i/>
        </w:rPr>
        <w:t xml:space="preserve">suteṣu</w:t>
      </w:r>
      <w:r>
        <w:t xml:space="preserve"> </w:t>
      </w:r>
      <w:r>
        <w:t xml:space="preserve">(sons) and</w:t>
      </w:r>
      <w:r>
        <w:t xml:space="preserve"> </w:t>
      </w:r>
      <w:r>
        <w:rPr>
          <w:iCs/>
          <w:i/>
        </w:rPr>
        <w:t xml:space="preserve">sakhyeṣu</w:t>
      </w:r>
      <w:r>
        <w:t xml:space="preserve"> </w:t>
      </w:r>
      <w:r>
        <w:t xml:space="preserve">(friendships) — so [the</w:t>
      </w:r>
      <w:r>
        <w:t xml:space="preserve"> </w:t>
      </w:r>
      <w:r>
        <w:rPr>
          <w:iCs/>
          <w:i/>
        </w:rPr>
        <w:t xml:space="preserve">śastra</w:t>
      </w:r>
      <w:r>
        <w:t xml:space="preserve">] is to be recited: this is the connection with what precedes. The sense is: Indra, pleased with our</w:t>
      </w:r>
      <w:r>
        <w:t xml:space="preserve"> </w:t>
      </w:r>
      <w:r>
        <w:rPr>
          <w:iCs/>
          <w:i/>
        </w:rPr>
        <w:t xml:space="preserve">śastra</w:t>
      </w:r>
      <w:r>
        <w:t xml:space="preserve">, praises our sons and our friends in many ways.</w:t>
      </w:r>
      <w:r>
        <w:t xml:space="preserve">”</w:t>
      </w:r>
      <w:r>
        <w:t xml:space="preserve"> </w:t>
      </w:r>
      <w:r>
        <w:rPr>
          <w:iCs/>
          <w:i/>
        </w:rPr>
        <w:t xml:space="preserve">(Grammar, noted briefly:</w:t>
      </w:r>
      <w:r>
        <w:t xml:space="preserve"> </w:t>
      </w:r>
      <w:r>
        <w:t xml:space="preserve">uktham</w:t>
      </w:r>
      <w:r>
        <w:t xml:space="preserve"> </w:t>
      </w:r>
      <w:r>
        <w:rPr>
          <w:iCs/>
          <w:i/>
        </w:rPr>
        <w:t xml:space="preserve">— from</w:t>
      </w:r>
      <w:r>
        <w:t xml:space="preserve"> </w:t>
      </w:r>
      <w:r>
        <w:t xml:space="preserve">vac</w:t>
      </w:r>
      <w:r>
        <w:t xml:space="preserve"> </w:t>
      </w:r>
      <w:r>
        <w:rPr>
          <w:iCs/>
          <w:i/>
        </w:rPr>
        <w:t xml:space="preserve">with</w:t>
      </w:r>
      <w:r>
        <w:t xml:space="preserve"> </w:t>
      </w:r>
      <w:r>
        <w:t xml:space="preserve">thak</w:t>
      </w:r>
      <w:r>
        <w:t xml:space="preserve"> </w:t>
      </w:r>
      <w:r>
        <w:rPr>
          <w:iCs/>
          <w:i/>
        </w:rPr>
        <w:t xml:space="preserve">(Uṇ. 2-2);</w:t>
      </w:r>
      <w:r>
        <w:t xml:space="preserve"> </w:t>
      </w:r>
      <w:r>
        <w:t xml:space="preserve">śaṃsyam</w:t>
      </w:r>
      <w:r>
        <w:t xml:space="preserve"> </w:t>
      </w:r>
      <w:r>
        <w:rPr>
          <w:iCs/>
          <w:i/>
        </w:rPr>
        <w:t xml:space="preserve">— root</w:t>
      </w:r>
      <w:r>
        <w:t xml:space="preserve"> </w:t>
      </w:r>
      <w:r>
        <w:t xml:space="preserve">śaṃsu stutau</w:t>
      </w:r>
      <w:r>
        <w:t xml:space="preserve"> </w:t>
      </w:r>
      <w:r>
        <w:rPr>
          <w:iCs/>
          <w:i/>
        </w:rPr>
        <w:t xml:space="preserve">with</w:t>
      </w:r>
      <w:r>
        <w:t xml:space="preserve"> </w:t>
      </w:r>
      <w:r>
        <w:t xml:space="preserve">yat</w:t>
      </w:r>
      <w:r>
        <w:rPr>
          <w:iCs/>
          <w:i/>
        </w:rPr>
        <w:t xml:space="preserve">, initial-udātta;</w:t>
      </w:r>
      <w:r>
        <w:t xml:space="preserve"> </w:t>
      </w:r>
      <w:r>
        <w:t xml:space="preserve">vardhanam</w:t>
      </w:r>
      <w:r>
        <w:t xml:space="preserve"> </w:t>
      </w:r>
      <w:r>
        <w:rPr>
          <w:iCs/>
          <w:i/>
        </w:rPr>
        <w:t xml:space="preserve">— lyuṭ in the instrumental sense (Pā. 3-3-117), the syllable before the suffix udātta;</w:t>
      </w:r>
      <w:r>
        <w:t xml:space="preserve"> </w:t>
      </w:r>
      <w:r>
        <w:t xml:space="preserve">puruniṣṣidhe</w:t>
      </w:r>
      <w:r>
        <w:t xml:space="preserve"> </w:t>
      </w:r>
      <w:r>
        <w:rPr>
          <w:iCs/>
          <w:i/>
        </w:rPr>
        <w:t xml:space="preserve">— root</w:t>
      </w:r>
      <w:r>
        <w:t xml:space="preserve"> </w:t>
      </w:r>
      <w:r>
        <w:t xml:space="preserve">ṣidha gatyām</w:t>
      </w:r>
      <w:r>
        <w:t xml:space="preserve"> </w:t>
      </w:r>
      <w:r>
        <w:rPr>
          <w:iCs/>
          <w:i/>
        </w:rPr>
        <w:t xml:space="preserve">with</w:t>
      </w:r>
      <w:r>
        <w:t xml:space="preserve"> </w:t>
      </w:r>
      <w:r>
        <w:t xml:space="preserve">kvip</w:t>
      </w:r>
      <w:r>
        <w:t xml:space="preserve"> </w:t>
      </w:r>
      <w:r>
        <w:rPr>
          <w:iCs/>
          <w:i/>
        </w:rPr>
        <w:t xml:space="preserve">after</w:t>
      </w:r>
      <w:r>
        <w:t xml:space="preserve"> </w:t>
      </w:r>
      <w:r>
        <w:t xml:space="preserve">nis</w:t>
      </w:r>
      <w:r>
        <w:t xml:space="preserve"> </w:t>
      </w:r>
      <w:r>
        <w:rPr>
          <w:iCs/>
          <w:i/>
        </w:rPr>
        <w:t xml:space="preserve">(Pā. 2-2-18), the</w:t>
      </w:r>
      <w:r>
        <w:t xml:space="preserve"> </w:t>
      </w:r>
      <w:r>
        <w:t xml:space="preserve">ṣ</w:t>
      </w:r>
      <w:r>
        <w:t xml:space="preserve"> </w:t>
      </w:r>
      <w:r>
        <w:rPr>
          <w:iCs/>
          <w:i/>
        </w:rPr>
        <w:t xml:space="preserve">by Pā. 8-3-65 and 8-4-41, compounded with</w:t>
      </w:r>
      <w:r>
        <w:t xml:space="preserve"> </w:t>
      </w:r>
      <w:r>
        <w:t xml:space="preserve">puru</w:t>
      </w:r>
      <w:r>
        <w:t xml:space="preserve"> </w:t>
      </w:r>
      <w:r>
        <w:rPr>
          <w:iCs/>
          <w:i/>
        </w:rPr>
        <w:t xml:space="preserve">as its object, the root accent standing;</w:t>
      </w:r>
      <w:r>
        <w:t xml:space="preserve"> </w:t>
      </w:r>
      <w:r>
        <w:t xml:space="preserve">śakraḥ</w:t>
      </w:r>
      <w:r>
        <w:t xml:space="preserve"> </w:t>
      </w:r>
      <w:r>
        <w:rPr>
          <w:iCs/>
          <w:i/>
        </w:rPr>
        <w:t xml:space="preserve">— with</w:t>
      </w:r>
      <w:r>
        <w:t xml:space="preserve"> </w:t>
      </w:r>
      <w:r>
        <w:t xml:space="preserve">rak</w:t>
      </w:r>
      <w:r>
        <w:t xml:space="preserve"> </w:t>
      </w:r>
      <w:r>
        <w:rPr>
          <w:iCs/>
          <w:i/>
        </w:rPr>
        <w:t xml:space="preserve">(Uṇ. 2-13);</w:t>
      </w:r>
      <w:r>
        <w:t xml:space="preserve"> </w:t>
      </w:r>
      <w:r>
        <w:t xml:space="preserve">yathā</w:t>
      </w:r>
      <w:r>
        <w:t xml:space="preserve"> </w:t>
      </w:r>
      <w:r>
        <w:rPr>
          <w:iCs/>
          <w:i/>
        </w:rPr>
        <w:t xml:space="preserve">— thāl (Pā. 5-3-23);</w:t>
      </w:r>
      <w:r>
        <w:t xml:space="preserve"> </w:t>
      </w:r>
      <w:r>
        <w:t xml:space="preserve">suteṣu</w:t>
      </w:r>
      <w:r>
        <w:t xml:space="preserve"> </w:t>
      </w:r>
      <w:r>
        <w:rPr>
          <w:iCs/>
          <w:i/>
        </w:rPr>
        <w:t xml:space="preserve">— with</w:t>
      </w:r>
      <w:r>
        <w:t xml:space="preserve"> </w:t>
      </w:r>
      <w:r>
        <w:t xml:space="preserve">kta</w:t>
      </w:r>
      <w:r>
        <w:rPr>
          <w:iCs/>
          <w:i/>
        </w:rPr>
        <w:t xml:space="preserve">;</w:t>
      </w:r>
      <w:r>
        <w:t xml:space="preserve"> </w:t>
      </w:r>
      <w:r>
        <w:t xml:space="preserve">ṇaḥ</w:t>
      </w:r>
      <w:r>
        <w:t xml:space="preserve"> </w:t>
      </w:r>
      <w:r>
        <w:rPr>
          <w:iCs/>
          <w:i/>
        </w:rPr>
        <w:t xml:space="preserve">— the</w:t>
      </w:r>
      <w:r>
        <w:t xml:space="preserve"> </w:t>
      </w:r>
      <w:r>
        <w:t xml:space="preserve">ṇ</w:t>
      </w:r>
      <w:r>
        <w:t xml:space="preserve"> </w:t>
      </w:r>
      <w:r>
        <w:rPr>
          <w:iCs/>
          <w:i/>
        </w:rPr>
        <w:t xml:space="preserve">in the Saṃhitā by Pā. 8-4-27;</w:t>
      </w:r>
      <w:r>
        <w:t xml:space="preserve"> </w:t>
      </w:r>
      <w:r>
        <w:t xml:space="preserve">rāraṇat</w:t>
      </w:r>
      <w:r>
        <w:t xml:space="preserve"> </w:t>
      </w:r>
      <w:r>
        <w:rPr>
          <w:iCs/>
          <w:i/>
        </w:rPr>
        <w:t xml:space="preserve">— root</w:t>
      </w:r>
      <w:r>
        <w:t xml:space="preserve"> </w:t>
      </w:r>
      <w:r>
        <w:t xml:space="preserve">raṇa</w:t>
      </w:r>
      <w:r>
        <w:t xml:space="preserve"> </w:t>
      </w:r>
      <w:r>
        <w:rPr>
          <w:iCs/>
          <w:i/>
        </w:rPr>
        <w:t xml:space="preserve">with</w:t>
      </w:r>
      <w:r>
        <w:t xml:space="preserve"> </w:t>
      </w:r>
      <w:r>
        <w:t xml:space="preserve">yaṅ</w:t>
      </w:r>
      <w:r>
        <w:t xml:space="preserve"> </w:t>
      </w:r>
      <w:r>
        <w:rPr>
          <w:iCs/>
          <w:i/>
        </w:rPr>
        <w:t xml:space="preserve">(Pā. 3-1-22) dropped (Pā. 2-4-74), doubling, lengthening (Pā. 7-4-83), the</w:t>
      </w:r>
      <w:r>
        <w:t xml:space="preserve"> </w:t>
      </w:r>
      <w:r>
        <w:t xml:space="preserve">leṭ</w:t>
      </w:r>
      <w:r>
        <w:t xml:space="preserve"> </w:t>
      </w:r>
      <w:r>
        <w:rPr>
          <w:iCs/>
          <w:i/>
        </w:rPr>
        <w:t xml:space="preserve">in the sense of</w:t>
      </w:r>
      <w:r>
        <w:t xml:space="preserve"> </w:t>
      </w:r>
      <w:r>
        <w:t xml:space="preserve">liṅ</w:t>
      </w:r>
      <w:r>
        <w:t xml:space="preserve"> </w:t>
      </w:r>
      <w:r>
        <w:rPr>
          <w:iCs/>
          <w:i/>
        </w:rPr>
        <w:t xml:space="preserve">(Pā. 3-4-7, 3-3-156), not lowered after</w:t>
      </w:r>
      <w:r>
        <w:t xml:space="preserve"> </w:t>
      </w:r>
      <w:r>
        <w:t xml:space="preserve">yathā</w:t>
      </w:r>
      <w:r>
        <w:t xml:space="preserve"> </w:t>
      </w:r>
      <w:r>
        <w:rPr>
          <w:iCs/>
          <w:i/>
        </w:rPr>
        <w:t xml:space="preserve">(Pā. 8-1-36);</w:t>
      </w:r>
      <w:r>
        <w:t xml:space="preserve"> </w:t>
      </w:r>
      <w:r>
        <w:t xml:space="preserve">sakhyeṣu</w:t>
      </w:r>
      <w:r>
        <w:t xml:space="preserve"> </w:t>
      </w:r>
      <w:r>
        <w:rPr>
          <w:iCs/>
          <w:i/>
        </w:rPr>
        <w:t xml:space="preserve">—</w:t>
      </w:r>
      <w:r>
        <w:rPr>
          <w:iCs/>
          <w:i/>
        </w:rPr>
        <w:t xml:space="preserve"> </w:t>
      </w:r>
      <w:r>
        <w:rPr>
          <w:iCs/>
          <w:i/>
        </w:rPr>
        <w:t xml:space="preserve">“</w:t>
      </w:r>
      <w:r>
        <w:rPr>
          <w:iCs/>
          <w:i/>
        </w:rPr>
        <w:t xml:space="preserve">the acts of a friend</w:t>
      </w:r>
      <w:r>
        <w:rPr>
          <w:iCs/>
          <w:i/>
        </w:rPr>
        <w:t xml:space="preserve">”</w:t>
      </w:r>
      <w:r>
        <w:rPr>
          <w:iCs/>
          <w:i/>
        </w:rPr>
        <w:t xml:space="preserve">, suffix</w:t>
      </w:r>
      <w:r>
        <w:t xml:space="preserve"> </w:t>
      </w:r>
      <w:r>
        <w:t xml:space="preserve">ya</w:t>
      </w:r>
      <w:r>
        <w:t xml:space="preserve"> </w:t>
      </w:r>
      <w:r>
        <w:rPr>
          <w:iCs/>
          <w:i/>
        </w:rPr>
        <w:t xml:space="preserve">(Pā. 5-1-126), the</w:t>
      </w:r>
      <w:r>
        <w:t xml:space="preserve"> </w:t>
      </w:r>
      <w:r>
        <w:t xml:space="preserve">i</w:t>
      </w:r>
      <w:r>
        <w:t xml:space="preserve"> </w:t>
      </w:r>
      <w:r>
        <w:rPr>
          <w:iCs/>
          <w:i/>
        </w:rPr>
        <w:t xml:space="preserve">dropped (Pā. 6-4-148).)</w:t>
      </w:r>
    </w:p>
    <w:bookmarkEnd w:id="426"/>
    <w:bookmarkStart w:id="427" w:name="Xca203368a250adbf1583952cc2ce66b5d93092c"/>
    <w:p>
      <w:pPr>
        <w:pStyle w:val="Heading3"/>
      </w:pPr>
      <w:r>
        <w:t xml:space="preserve">Page 403 — Rik 5: word-meanings, overall sense</w:t>
      </w:r>
    </w:p>
    <w:p>
      <w:pPr>
        <w:pStyle w:val="FirstParagraph"/>
      </w:pPr>
      <w:r>
        <w:rPr>
          <w:bCs/>
          <w:b/>
        </w:rPr>
        <w:t xml:space="preserve">॥ Prati-padārthaḥ ॥</w:t>
      </w:r>
    </w:p>
    <w:p>
      <w:pPr>
        <w:pStyle w:val="BodyText"/>
      </w:pPr>
      <w:r>
        <w:rPr>
          <w:bCs/>
          <w:b/>
        </w:rPr>
        <w:t xml:space="preserve">पुरुनिष्षिधे (puruniṣṣidhe)</w:t>
      </w:r>
      <w:r>
        <w:t xml:space="preserve"> </w:t>
      </w:r>
      <w:r>
        <w:t xml:space="preserve">— who destroys many enemies |</w:t>
      </w:r>
      <w:r>
        <w:t xml:space="preserve"> </w:t>
      </w:r>
      <w:r>
        <w:rPr>
          <w:bCs/>
          <w:b/>
        </w:rPr>
        <w:t xml:space="preserve">इन्द्राय (indrāya)</w:t>
      </w:r>
      <w:r>
        <w:t xml:space="preserve"> </w:t>
      </w:r>
      <w:r>
        <w:t xml:space="preserve">— for Indra |</w:t>
      </w:r>
      <w:r>
        <w:t xml:space="preserve"> </w:t>
      </w:r>
      <w:r>
        <w:rPr>
          <w:bCs/>
          <w:b/>
        </w:rPr>
        <w:t xml:space="preserve">वर्धनम् (vardhanam)</w:t>
      </w:r>
      <w:r>
        <w:t xml:space="preserve"> </w:t>
      </w:r>
      <w:r>
        <w:t xml:space="preserve">— a means of increase |</w:t>
      </w:r>
      <w:r>
        <w:t xml:space="preserve"> </w:t>
      </w:r>
      <w:r>
        <w:rPr>
          <w:bCs/>
          <w:b/>
        </w:rPr>
        <w:t xml:space="preserve">उक्थम् (uktham)</w:t>
      </w:r>
      <w:r>
        <w:t xml:space="preserve"> </w:t>
      </w:r>
      <w:r>
        <w:t xml:space="preserve">— a mantra in the form of a</w:t>
      </w:r>
      <w:r>
        <w:t xml:space="preserve"> </w:t>
      </w:r>
      <w:r>
        <w:rPr>
          <w:iCs/>
          <w:i/>
        </w:rPr>
        <w:t xml:space="preserve">śastra</w:t>
      </w:r>
      <w:r>
        <w:t xml:space="preserve">, or a hymn |</w:t>
      </w:r>
      <w:r>
        <w:t xml:space="preserve"> </w:t>
      </w:r>
      <w:r>
        <w:rPr>
          <w:bCs/>
          <w:b/>
        </w:rPr>
        <w:t xml:space="preserve">शंस्यम् (śaṃsyam)</w:t>
      </w:r>
      <w:r>
        <w:t xml:space="preserve"> </w:t>
      </w:r>
      <w:r>
        <w:t xml:space="preserve">— to be praised by us |</w:t>
      </w:r>
      <w:r>
        <w:t xml:space="preserve"> </w:t>
      </w:r>
      <w:r>
        <w:rPr>
          <w:bCs/>
          <w:b/>
        </w:rPr>
        <w:t xml:space="preserve">यथा (yathā)</w:t>
      </w:r>
      <w:r>
        <w:t xml:space="preserve"> </w:t>
      </w:r>
      <w:r>
        <w:t xml:space="preserve">— in which manner (by such a hymn) |</w:t>
      </w:r>
      <w:r>
        <w:t xml:space="preserve"> </w:t>
      </w:r>
      <w:r>
        <w:rPr>
          <w:bCs/>
          <w:b/>
        </w:rPr>
        <w:t xml:space="preserve">शक्रः (śakraḥ)</w:t>
      </w:r>
      <w:r>
        <w:t xml:space="preserve"> </w:t>
      </w:r>
      <w:r>
        <w:t xml:space="preserve">— mighty Indra |</w:t>
      </w:r>
      <w:r>
        <w:t xml:space="preserve"> </w:t>
      </w:r>
      <w:r>
        <w:rPr>
          <w:bCs/>
          <w:b/>
        </w:rPr>
        <w:t xml:space="preserve">नः (naḥ)</w:t>
      </w:r>
      <w:r>
        <w:t xml:space="preserve"> </w:t>
      </w:r>
      <w:r>
        <w:t xml:space="preserve">— our |</w:t>
      </w:r>
      <w:r>
        <w:t xml:space="preserve"> </w:t>
      </w:r>
      <w:r>
        <w:rPr>
          <w:bCs/>
          <w:b/>
        </w:rPr>
        <w:t xml:space="preserve">सुतेषु (suteṣu)</w:t>
      </w:r>
      <w:r>
        <w:t xml:space="preserve"> </w:t>
      </w:r>
      <w:r>
        <w:t xml:space="preserve">— among our sons |</w:t>
      </w:r>
      <w:r>
        <w:t xml:space="preserve"> </w:t>
      </w:r>
      <w:r>
        <w:rPr>
          <w:bCs/>
          <w:b/>
        </w:rPr>
        <w:t xml:space="preserve">सख्येषु च (sakhyeṣu ca)</w:t>
      </w:r>
      <w:r>
        <w:t xml:space="preserve"> </w:t>
      </w:r>
      <w:r>
        <w:t xml:space="preserve">— and among those of friendly disposition toward us |</w:t>
      </w:r>
      <w:r>
        <w:t xml:space="preserve"> </w:t>
      </w:r>
      <w:r>
        <w:rPr>
          <w:bCs/>
          <w:b/>
        </w:rPr>
        <w:t xml:space="preserve">रारणत् (rāraṇat)</w:t>
      </w:r>
      <w:r>
        <w:t xml:space="preserve"> </w:t>
      </w:r>
      <w:r>
        <w:t xml:space="preserve">— [by this word] he makes known his approval.</w:t>
      </w:r>
    </w:p>
    <w:p>
      <w:pPr>
        <w:pStyle w:val="BodyText"/>
      </w:pPr>
      <w:r>
        <w:rPr>
          <w:bCs/>
          <w:b/>
        </w:rPr>
        <w:t xml:space="preserve">॥ Bhāvārthaḥ ॥</w:t>
      </w:r>
    </w:p>
    <w:p>
      <w:pPr>
        <w:pStyle w:val="BodyText"/>
      </w:pPr>
      <w:r>
        <w:t xml:space="preserve">Indra destroys many enemies. For Indra’s satisfaction we must recite</w:t>
      </w:r>
      <w:r>
        <w:t xml:space="preserve"> </w:t>
      </w:r>
      <w:r>
        <w:rPr>
          <w:iCs/>
          <w:i/>
        </w:rPr>
        <w:t xml:space="preserve">śastra</w:t>
      </w:r>
      <w:r>
        <w:t xml:space="preserve"> </w:t>
      </w:r>
      <w:r>
        <w:t xml:space="preserve">mantras, hymns; or we must praise Indra’s qualities with</w:t>
      </w:r>
      <w:r>
        <w:t xml:space="preserve"> </w:t>
      </w:r>
      <w:r>
        <w:rPr>
          <w:iCs/>
          <w:i/>
        </w:rPr>
        <w:t xml:space="preserve">śastra</w:t>
      </w:r>
      <w:r>
        <w:t xml:space="preserve"> </w:t>
      </w:r>
      <w:r>
        <w:t xml:space="preserve">mantras. By praising Indra in this manner, Indra will be pleased and will make known his approval toward us, toward our sons, and toward our friends and others dear to us.</w:t>
      </w:r>
    </w:p>
    <w:bookmarkEnd w:id="427"/>
    <w:bookmarkStart w:id="428" w:name="X7080ca19ac8aaa438b620ead4ad386184805dc9"/>
    <w:p>
      <w:pPr>
        <w:pStyle w:val="Heading3"/>
      </w:pPr>
      <w:r>
        <w:t xml:space="preserve">Page 404 — Rik 5: English and Special Topics</w:t>
      </w:r>
    </w:p>
    <w:p>
      <w:pPr>
        <w:pStyle w:val="FirstParagraph"/>
      </w:pPr>
      <w:r>
        <w:rPr>
          <w:bCs/>
          <w:b/>
        </w:rPr>
        <w:t xml:space="preserve">॥ English Translation ॥</w:t>
      </w:r>
      <w:r>
        <w:t xml:space="preserve"> </w:t>
      </w:r>
      <w:r>
        <w:rPr>
          <w:iCs/>
          <w:i/>
        </w:rPr>
        <w:t xml:space="preserve">(as printed in the source)</w:t>
      </w:r>
    </w:p>
    <w:p>
      <w:pPr>
        <w:pStyle w:val="BlockText"/>
      </w:pPr>
      <w:r>
        <w:t xml:space="preserve">An agreeable hymn is to be sung to Indra, the destroyer of many enemies, so that the mighty Indra may speak with kindness to our sons and to our friends.</w:t>
      </w:r>
    </w:p>
    <w:p>
      <w:pPr>
        <w:pStyle w:val="FirstParagraph"/>
      </w:pPr>
      <w:r>
        <w:rPr>
          <w:bCs/>
          <w:b/>
        </w:rPr>
        <w:t xml:space="preserve">॥ Viśeṣa-viṣayagaḷu (Special Topics) ॥</w:t>
      </w:r>
    </w:p>
    <w:p>
      <w:pPr>
        <w:pStyle w:val="BodyText"/>
      </w:pPr>
      <w:r>
        <w:t xml:space="preserve">In the rite called Abhiplava-ṣaḍaha, in the third pressing, when the priest called Acchāvāka recites the</w:t>
      </w:r>
      <w:r>
        <w:t xml:space="preserve"> </w:t>
      </w:r>
      <w:r>
        <w:rPr>
          <w:iCs/>
          <w:i/>
        </w:rPr>
        <w:t xml:space="preserve">ukthya</w:t>
      </w:r>
      <w:r>
        <w:t xml:space="preserve"> </w:t>
      </w:r>
      <w:r>
        <w:t xml:space="preserve">mantras, he is to recite the triplet</w:t>
      </w:r>
      <w:r>
        <w:t xml:space="preserve"> </w:t>
      </w:r>
      <w:r>
        <w:rPr>
          <w:iCs/>
          <w:i/>
        </w:rPr>
        <w:t xml:space="preserve">uktham indrāya śaṃsyam</w:t>
      </w:r>
      <w:r>
        <w:t xml:space="preserve">; Āśvalāyana states this special application in the section</w:t>
      </w:r>
      <w:r>
        <w:t xml:space="preserve"> </w:t>
      </w:r>
      <w:r>
        <w:rPr>
          <w:iCs/>
          <w:i/>
        </w:rPr>
        <w:t xml:space="preserve">ehy ū ṣu</w:t>
      </w:r>
      <w:r>
        <w:t xml:space="preserve"> </w:t>
      </w:r>
      <w:r>
        <w:t xml:space="preserve">of his Śrauta-sūtra (Āś. Sū. 7-8), in the sūtra</w:t>
      </w:r>
      <w:r>
        <w:t xml:space="preserve"> </w:t>
      </w:r>
      <w:r>
        <w:rPr>
          <w:iCs/>
          <w:i/>
        </w:rPr>
        <w:t xml:space="preserve">indraṃ viśvā avīvṛdhann uktham indrāya śaṃsyam</w:t>
      </w:r>
      <w:r>
        <w:t xml:space="preserve">.</w:t>
      </w:r>
    </w:p>
    <w:p>
      <w:pPr>
        <w:pStyle w:val="BodyText"/>
      </w:pPr>
      <w:r>
        <w:rPr>
          <w:bCs/>
          <w:b/>
        </w:rPr>
        <w:t xml:space="preserve">“</w:t>
      </w:r>
      <w:r>
        <w:rPr>
          <w:bCs/>
          <w:b/>
        </w:rPr>
        <w:t xml:space="preserve">Vardhanam</w:t>
      </w:r>
      <w:r>
        <w:rPr>
          <w:bCs/>
          <w:b/>
        </w:rPr>
        <w:t xml:space="preserve">”</w:t>
      </w:r>
      <w:r>
        <w:t xml:space="preserve"> </w:t>
      </w:r>
      <w:r>
        <w:t xml:space="preserve">—</w:t>
      </w:r>
      <w:r>
        <w:t xml:space="preserve"> </w:t>
      </w:r>
      <w:r>
        <w:rPr>
          <w:bCs/>
          <w:b/>
        </w:rPr>
        <w:t xml:space="preserve">वृद्धिसाधनम्</w:t>
      </w:r>
      <w:r>
        <w:t xml:space="preserve"> </w:t>
      </w:r>
      <w:r>
        <w:t xml:space="preserve">(</w:t>
      </w:r>
      <w:r>
        <w:rPr>
          <w:iCs/>
          <w:i/>
        </w:rPr>
        <w:t xml:space="preserve">vṛddhi-sādhanam</w:t>
      </w:r>
      <w:r>
        <w:t xml:space="preserve">) —</w:t>
      </w:r>
      <w:r>
        <w:t xml:space="preserve"> </w:t>
      </w:r>
      <w:r>
        <w:t xml:space="preserve">“</w:t>
      </w:r>
      <w:r>
        <w:t xml:space="preserve">the means of increase</w:t>
      </w:r>
      <w:r>
        <w:t xml:space="preserve">”</w:t>
      </w:r>
      <w:r>
        <w:t xml:space="preserve">: that is, by praising Indra [with it] increase [of fortune] comes to us.</w:t>
      </w:r>
      <w:r>
        <w:t xml:space="preserve"> </w:t>
      </w:r>
      <w:r>
        <w:rPr>
          <w:iCs/>
          <w:i/>
        </w:rPr>
        <w:t xml:space="preserve">Or</w:t>
      </w:r>
      <w:r>
        <w:t xml:space="preserve">: the sense of the root</w:t>
      </w:r>
      <w:r>
        <w:t xml:space="preserve"> </w:t>
      </w:r>
      <w:r>
        <w:rPr>
          <w:iCs/>
          <w:i/>
        </w:rPr>
        <w:t xml:space="preserve">vṛdh</w:t>
      </w:r>
      <w:r>
        <w:t xml:space="preserve"> </w:t>
      </w:r>
      <w:r>
        <w:t xml:space="preserve">used in the Ṛgveda is</w:t>
      </w:r>
      <w:r>
        <w:t xml:space="preserve"> </w:t>
      </w:r>
      <w:r>
        <w:t xml:space="preserve">“</w:t>
      </w:r>
      <w:r>
        <w:t xml:space="preserve">increase,</w:t>
      </w:r>
      <w:r>
        <w:t xml:space="preserve">”</w:t>
      </w:r>
      <w:r>
        <w:t xml:space="preserve"> </w:t>
      </w:r>
      <w:r>
        <w:t xml:space="preserve">that is,</w:t>
      </w:r>
      <w:r>
        <w:t xml:space="preserve"> </w:t>
      </w:r>
      <w:r>
        <w:t xml:space="preserve">“</w:t>
      </w:r>
      <w:r>
        <w:t xml:space="preserve">praise,</w:t>
      </w:r>
      <w:r>
        <w:t xml:space="preserve">”</w:t>
      </w:r>
      <w:r>
        <w:t xml:space="preserve"> </w:t>
      </w:r>
      <w:r>
        <w:t xml:space="preserve">“</w:t>
      </w:r>
      <w:r>
        <w:t xml:space="preserve">cause satisfaction</w:t>
      </w:r>
      <w:r>
        <w:t xml:space="preserve">”</w:t>
      </w:r>
      <w:r>
        <w:t xml:space="preserve">; so the word</w:t>
      </w:r>
      <w:r>
        <w:t xml:space="preserve"> </w:t>
      </w:r>
      <w:r>
        <w:rPr>
          <w:iCs/>
          <w:i/>
        </w:rPr>
        <w:t xml:space="preserve">vardhanam</w:t>
      </w:r>
      <w:r>
        <w:t xml:space="preserve"> </w:t>
      </w:r>
      <w:r>
        <w:t xml:space="preserve">here may mean</w:t>
      </w:r>
      <w:r>
        <w:t xml:space="preserve"> </w:t>
      </w:r>
      <w:r>
        <w:t xml:space="preserve">“</w:t>
      </w:r>
      <w:r>
        <w:t xml:space="preserve">that which brings satisfaction to Indra.</w:t>
      </w:r>
      <w:r>
        <w:t xml:space="preserve">”</w:t>
      </w:r>
    </w:p>
    <w:p>
      <w:pPr>
        <w:pStyle w:val="BodyText"/>
      </w:pPr>
      <w:r>
        <w:rPr>
          <w:bCs/>
          <w:b/>
        </w:rPr>
        <w:t xml:space="preserve">“</w:t>
      </w:r>
      <w:r>
        <w:rPr>
          <w:bCs/>
          <w:b/>
        </w:rPr>
        <w:t xml:space="preserve">Puruniṣṣidhe</w:t>
      </w:r>
      <w:r>
        <w:rPr>
          <w:bCs/>
          <w:b/>
        </w:rPr>
        <w:t xml:space="preserve">”</w:t>
      </w:r>
      <w:r>
        <w:t xml:space="preserve"> </w:t>
      </w:r>
      <w:r>
        <w:t xml:space="preserve">—</w:t>
      </w:r>
      <w:r>
        <w:t xml:space="preserve"> </w:t>
      </w:r>
      <w:r>
        <w:rPr>
          <w:bCs/>
          <w:b/>
        </w:rPr>
        <w:t xml:space="preserve">बहूनां शत्रूणां निषेधकारिणे</w:t>
      </w:r>
      <w:r>
        <w:t xml:space="preserve"> </w:t>
      </w:r>
      <w:r>
        <w:t xml:space="preserve">(</w:t>
      </w:r>
      <w:r>
        <w:rPr>
          <w:iCs/>
          <w:i/>
        </w:rPr>
        <w:t xml:space="preserve">bahūnāṃ śatrūṇāṃ niṣedha-kāriṇe</w:t>
      </w:r>
      <w:r>
        <w:t xml:space="preserve">) —</w:t>
      </w:r>
      <w:r>
        <w:t xml:space="preserve"> </w:t>
      </w:r>
      <w:r>
        <w:t xml:space="preserve">“</w:t>
      </w:r>
      <w:r>
        <w:t xml:space="preserve">to him who is the barrier of many enemies</w:t>
      </w:r>
      <w:r>
        <w:t xml:space="preserve">”</w:t>
      </w:r>
      <w:r>
        <w:t xml:space="preserve">: the Bhāṣyakāra explains the word so.</w:t>
      </w:r>
      <w:r>
        <w:t xml:space="preserve"> </w:t>
      </w:r>
      <w:r>
        <w:rPr>
          <w:iCs/>
          <w:i/>
        </w:rPr>
        <w:t xml:space="preserve">Puru</w:t>
      </w:r>
      <w:r>
        <w:t xml:space="preserve"> </w:t>
      </w:r>
      <w:r>
        <w:t xml:space="preserve">in this word means</w:t>
      </w:r>
      <w:r>
        <w:t xml:space="preserve"> </w:t>
      </w:r>
      <w:r>
        <w:t xml:space="preserve">“</w:t>
      </w:r>
      <w:r>
        <w:t xml:space="preserve">much</w:t>
      </w:r>
      <w:r>
        <w:t xml:space="preserve">”</w:t>
      </w:r>
      <w:r>
        <w:t xml:space="preserve"> </w:t>
      </w:r>
      <w:r>
        <w:t xml:space="preserve">— it only means</w:t>
      </w:r>
      <w:r>
        <w:t xml:space="preserve"> </w:t>
      </w:r>
      <w:r>
        <w:t xml:space="preserve">“</w:t>
      </w:r>
      <w:r>
        <w:t xml:space="preserve">many</w:t>
      </w:r>
      <w:r>
        <w:t xml:space="preserve">”</w:t>
      </w:r>
      <w:r>
        <w:t xml:space="preserve">; the word</w:t>
      </w:r>
      <w:r>
        <w:t xml:space="preserve"> </w:t>
      </w:r>
      <w:r>
        <w:t xml:space="preserve">“</w:t>
      </w:r>
      <w:r>
        <w:t xml:space="preserve">enemies</w:t>
      </w:r>
      <w:r>
        <w:t xml:space="preserve">”</w:t>
      </w:r>
      <w:r>
        <w:t xml:space="preserve"> </w:t>
      </w:r>
      <w:r>
        <w:t xml:space="preserve">is supplied.</w:t>
      </w:r>
    </w:p>
    <w:p>
      <w:pPr>
        <w:pStyle w:val="BodyText"/>
      </w:pPr>
      <w:r>
        <w:rPr>
          <w:bCs/>
          <w:b/>
        </w:rPr>
        <w:t xml:space="preserve">“</w:t>
      </w:r>
      <w:r>
        <w:rPr>
          <w:bCs/>
          <w:b/>
        </w:rPr>
        <w:t xml:space="preserve">Śakraḥ</w:t>
      </w:r>
      <w:r>
        <w:rPr>
          <w:bCs/>
          <w:b/>
        </w:rPr>
        <w:t xml:space="preserve">”</w:t>
      </w:r>
      <w:r>
        <w:t xml:space="preserve"> </w:t>
      </w:r>
      <w:r>
        <w:t xml:space="preserve">—</w:t>
      </w:r>
      <w:r>
        <w:t xml:space="preserve"> </w:t>
      </w:r>
      <w:r>
        <w:rPr>
          <w:iCs/>
          <w:i/>
        </w:rPr>
        <w:t xml:space="preserve">śaktimān</w:t>
      </w:r>
      <w:r>
        <w:t xml:space="preserve"> </w:t>
      </w:r>
      <w:r>
        <w:t xml:space="preserve">—</w:t>
      </w:r>
      <w:r>
        <w:t xml:space="preserve"> </w:t>
      </w:r>
      <w:r>
        <w:t xml:space="preserve">“</w:t>
      </w:r>
      <w:r>
        <w:t xml:space="preserve">one who is able, who is strong.</w:t>
      </w:r>
      <w:r>
        <w:t xml:space="preserve">”</w:t>
      </w:r>
      <w:r>
        <w:t xml:space="preserve"> </w:t>
      </w:r>
      <w:r>
        <w:t xml:space="preserve">In modern Sanskrit and also in the Vedas, the word</w:t>
      </w:r>
      <w:r>
        <w:t xml:space="preserve"> </w:t>
      </w:r>
      <w:r>
        <w:rPr>
          <w:iCs/>
          <w:i/>
        </w:rPr>
        <w:t xml:space="preserve">śakra</w:t>
      </w:r>
      <w:r>
        <w:t xml:space="preserve"> </w:t>
      </w:r>
      <w:r>
        <w:t xml:space="preserve">is especially established with the sense of Indra.</w:t>
      </w:r>
    </w:p>
    <w:p>
      <w:pPr>
        <w:pStyle w:val="BodyText"/>
      </w:pPr>
      <w:r>
        <w:rPr>
          <w:bCs/>
          <w:b/>
        </w:rPr>
        <w:t xml:space="preserve">“</w:t>
      </w:r>
      <w:r>
        <w:rPr>
          <w:bCs/>
          <w:b/>
        </w:rPr>
        <w:t xml:space="preserve">Yathā</w:t>
      </w:r>
      <w:r>
        <w:rPr>
          <w:bCs/>
          <w:b/>
        </w:rPr>
        <w:t xml:space="preserve">”</w:t>
      </w:r>
      <w:r>
        <w:t xml:space="preserve"> </w:t>
      </w:r>
      <w:r>
        <w:t xml:space="preserve">— since only</w:t>
      </w:r>
      <w:r>
        <w:t xml:space="preserve"> </w:t>
      </w:r>
      <w:r>
        <w:rPr>
          <w:iCs/>
          <w:i/>
        </w:rPr>
        <w:t xml:space="preserve">yathā</w:t>
      </w:r>
      <w:r>
        <w:t xml:space="preserve"> </w:t>
      </w:r>
      <w:r>
        <w:t xml:space="preserve">appears in this rik, the word</w:t>
      </w:r>
      <w:r>
        <w:t xml:space="preserve"> </w:t>
      </w:r>
      <w:r>
        <w:rPr>
          <w:iCs/>
          <w:i/>
        </w:rPr>
        <w:t xml:space="preserve">tathā</w:t>
      </w:r>
      <w:r>
        <w:t xml:space="preserve"> </w:t>
      </w:r>
      <w:r>
        <w:t xml:space="preserve">must be supplied. The second half,</w:t>
      </w:r>
      <w:r>
        <w:t xml:space="preserve"> </w:t>
      </w:r>
      <w:r>
        <w:rPr>
          <w:iCs/>
          <w:i/>
        </w:rPr>
        <w:t xml:space="preserve">śakro yathā rāraṇat sakhyeṣu ca</w:t>
      </w:r>
      <w:r>
        <w:t xml:space="preserve">, is dependent upon the first half,</w:t>
      </w:r>
      <w:r>
        <w:t xml:space="preserve"> </w:t>
      </w:r>
      <w:r>
        <w:rPr>
          <w:iCs/>
          <w:i/>
        </w:rPr>
        <w:t xml:space="preserve">uktham indrāya</w:t>
      </w:r>
      <w:r>
        <w:t xml:space="preserve">.</w:t>
      </w:r>
    </w:p>
    <w:p>
      <w:pPr>
        <w:pStyle w:val="BodyText"/>
      </w:pPr>
      <w:r>
        <w:rPr>
          <w:bCs/>
          <w:b/>
        </w:rPr>
        <w:t xml:space="preserve">“</w:t>
      </w:r>
      <w:r>
        <w:rPr>
          <w:bCs/>
          <w:b/>
        </w:rPr>
        <w:t xml:space="preserve">Rāraṇat</w:t>
      </w:r>
      <w:r>
        <w:rPr>
          <w:bCs/>
          <w:b/>
        </w:rPr>
        <w:t xml:space="preserve">”</w:t>
      </w:r>
      <w:r>
        <w:t xml:space="preserve"> </w:t>
      </w:r>
      <w:r>
        <w:t xml:space="preserve">— the root underlying this word is</w:t>
      </w:r>
      <w:r>
        <w:t xml:space="preserve"> </w:t>
      </w:r>
      <w:r>
        <w:rPr>
          <w:iCs/>
          <w:i/>
        </w:rPr>
        <w:t xml:space="preserve">raṇa</w:t>
      </w:r>
      <w:r>
        <w:t xml:space="preserve">, meaning</w:t>
      </w:r>
      <w:r>
        <w:t xml:space="preserve"> </w:t>
      </w:r>
      <w:r>
        <w:t xml:space="preserve">“</w:t>
      </w:r>
      <w:r>
        <w:t xml:space="preserve">to make a sound.</w:t>
      </w:r>
      <w:r>
        <w:t xml:space="preserve">”</w:t>
      </w:r>
      <w:r>
        <w:t xml:space="preserve"> </w:t>
      </w:r>
      <w:r>
        <w:t xml:space="preserve">To say that he</w:t>
      </w:r>
      <w:r>
        <w:t xml:space="preserve"> </w:t>
      </w:r>
      <w:r>
        <w:t xml:space="preserve">“</w:t>
      </w:r>
      <w:r>
        <w:t xml:space="preserve">makes a sound among sons and friends</w:t>
      </w:r>
      <w:r>
        <w:t xml:space="preserve">”</w:t>
      </w:r>
      <w:r>
        <w:t xml:space="preserve"> </w:t>
      </w:r>
      <w:r>
        <w:t xml:space="preserve">gives no particular object; so the sense</w:t>
      </w:r>
      <w:r>
        <w:t xml:space="preserve"> </w:t>
      </w:r>
      <w:r>
        <w:t xml:space="preserve">“</w:t>
      </w:r>
      <w:r>
        <w:t xml:space="preserve">makes known his approval</w:t>
      </w:r>
      <w:r>
        <w:t xml:space="preserve">”</w:t>
      </w:r>
      <w:r>
        <w:t xml:space="preserve"> </w:t>
      </w:r>
      <w:r>
        <w:t xml:space="preserve">is given. Unless certain words are supplied, one cannot explain this rik satisfactorily.</w:t>
      </w:r>
    </w:p>
    <w:p>
      <w:pPr>
        <w:pStyle w:val="BodyText"/>
      </w:pPr>
      <w:r>
        <w:rPr>
          <w:bCs/>
          <w:b/>
        </w:rPr>
        <w:t xml:space="preserve">“</w:t>
      </w:r>
      <w:r>
        <w:rPr>
          <w:bCs/>
          <w:b/>
        </w:rPr>
        <w:t xml:space="preserve">Suteṣu</w:t>
      </w:r>
      <w:r>
        <w:rPr>
          <w:bCs/>
          <w:b/>
        </w:rPr>
        <w:t xml:space="preserve">”</w:t>
      </w:r>
      <w:r>
        <w:t xml:space="preserve"> </w:t>
      </w:r>
      <w:r>
        <w:t xml:space="preserve">— in the Ṛgveda the various forms of the word</w:t>
      </w:r>
      <w:r>
        <w:t xml:space="preserve"> </w:t>
      </w:r>
      <w:r>
        <w:rPr>
          <w:iCs/>
          <w:i/>
        </w:rPr>
        <w:t xml:space="preserve">suta</w:t>
      </w:r>
      <w:r>
        <w:t xml:space="preserve"> </w:t>
      </w:r>
      <w:r>
        <w:t xml:space="preserve">have the general meaning</w:t>
      </w:r>
      <w:r>
        <w:t xml:space="preserve"> </w:t>
      </w:r>
      <w:r>
        <w:t xml:space="preserve">“</w:t>
      </w:r>
      <w:r>
        <w:t xml:space="preserve">the juice of the Soma creeper that has been pressed out</w:t>
      </w:r>
      <w:r>
        <w:t xml:space="preserve">”</w:t>
      </w:r>
      <w:r>
        <w:t xml:space="preserve">; but in some contexts, rarely,</w:t>
      </w:r>
      <w:r>
        <w:t xml:space="preserve"> </w:t>
      </w:r>
      <w:r>
        <w:rPr>
          <w:iCs/>
          <w:i/>
        </w:rPr>
        <w:t xml:space="preserve">suta</w:t>
      </w:r>
      <w:r>
        <w:t xml:space="preserve"> </w:t>
      </w:r>
      <w:r>
        <w:t xml:space="preserve">has the sense</w:t>
      </w:r>
      <w:r>
        <w:t xml:space="preserve"> </w:t>
      </w:r>
      <w:r>
        <w:t xml:space="preserve">“</w:t>
      </w:r>
      <w:r>
        <w:t xml:space="preserve">son</w:t>
      </w:r>
      <w:r>
        <w:t xml:space="preserve">”</w:t>
      </w:r>
      <w:r>
        <w:t xml:space="preserve">; this is such a case.</w:t>
      </w:r>
    </w:p>
    <w:p>
      <w:pPr>
        <w:pStyle w:val="BodyText"/>
      </w:pPr>
      <w:r>
        <w:rPr>
          <w:iCs/>
          <w:i/>
        </w:rPr>
        <w:t xml:space="preserve">(Special Topics, p. 404, ends on p. 405 with the remaining examples of</w:t>
      </w:r>
      <w:r>
        <w:t xml:space="preserve"> </w:t>
      </w:r>
      <w:r>
        <w:t xml:space="preserve">suta</w:t>
      </w:r>
      <w:r>
        <w:t xml:space="preserve"> </w:t>
      </w:r>
      <w:r>
        <w:rPr>
          <w:iCs/>
          <w:i/>
        </w:rPr>
        <w:t xml:space="preserve">in the sense</w:t>
      </w:r>
      <w:r>
        <w:rPr>
          <w:iCs/>
          <w:i/>
        </w:rPr>
        <w:t xml:space="preserve"> </w:t>
      </w:r>
      <w:r>
        <w:rPr>
          <w:iCs/>
          <w:i/>
        </w:rPr>
        <w:t xml:space="preserve">“</w:t>
      </w:r>
      <w:r>
        <w:rPr>
          <w:iCs/>
          <w:i/>
        </w:rPr>
        <w:t xml:space="preserve">son</w:t>
      </w:r>
      <w:r>
        <w:rPr>
          <w:iCs/>
          <w:i/>
        </w:rPr>
        <w:t xml:space="preserve">”</w:t>
      </w:r>
      <w:r>
        <w:rPr>
          <w:iCs/>
          <w:i/>
        </w:rPr>
        <w:t xml:space="preserve">:)</w:t>
      </w:r>
    </w:p>
    <w:p>
      <w:pPr>
        <w:pStyle w:val="BlockText"/>
      </w:pPr>
      <w:r>
        <w:t xml:space="preserve">प्र नु वोचा सुतेषु वां वीर्या ३ यानि चक्रथुः ॥</w:t>
      </w:r>
      <w:r>
        <w:t xml:space="preserve"> </w:t>
      </w:r>
      <w:r>
        <w:rPr>
          <w:iCs/>
          <w:i/>
        </w:rPr>
        <w:t xml:space="preserve">pra nu vocā suteṣu vāṃ vīryā yāni cakrathuḥ ||</w:t>
      </w:r>
      <w:r>
        <w:t xml:space="preserve"> </w:t>
      </w:r>
      <w:r>
        <w:t xml:space="preserve">(ऋ. सं. ६-५९-१ — Ṛgveda Saṃhitā 6-59-1)</w:t>
      </w:r>
      <w:r>
        <w:t xml:space="preserve"> </w:t>
      </w:r>
      <w:r>
        <w:rPr>
          <w:iCs/>
          <w:i/>
        </w:rPr>
        <w:t xml:space="preserve">(</w:t>
      </w:r>
      <w:r>
        <w:rPr>
          <w:iCs/>
          <w:i/>
        </w:rPr>
        <w:t xml:space="preserve">“</w:t>
      </w:r>
      <w:r>
        <w:rPr>
          <w:iCs/>
          <w:i/>
        </w:rPr>
        <w:t xml:space="preserve">Let me now proclaim among [your] sons the heroic deeds that you two have done.</w:t>
      </w:r>
      <w:r>
        <w:rPr>
          <w:iCs/>
          <w:i/>
        </w:rPr>
        <w:t xml:space="preserve">”</w:t>
      </w:r>
      <w:r>
        <w:rPr>
          <w:iCs/>
          <w:i/>
        </w:rPr>
        <w:t xml:space="preserve"> </w:t>
      </w:r>
      <w:r>
        <w:rPr>
          <w:iCs/>
          <w:i/>
        </w:rPr>
        <w:t xml:space="preserve">— mine and tentative; the page prints the verse with the prolongation mark ३.)</w:t>
      </w:r>
    </w:p>
    <w:p>
      <w:pPr>
        <w:pStyle w:val="FirstParagraph"/>
      </w:pPr>
      <w:r>
        <w:t xml:space="preserve">“</w:t>
      </w:r>
      <w:r>
        <w:t xml:space="preserve">…and so on</w:t>
      </w:r>
      <w:r>
        <w:t xml:space="preserve">”</w:t>
      </w:r>
      <w:r>
        <w:t xml:space="preserve"> </w:t>
      </w:r>
      <w:r>
        <w:t xml:space="preserve">— more examples may be given.</w:t>
      </w:r>
    </w:p>
    <w:bookmarkEnd w:id="428"/>
    <w:bookmarkStart w:id="429" w:name="pages-405409-rik-5-grammar"/>
    <w:p>
      <w:pPr>
        <w:pStyle w:val="Heading3"/>
      </w:pPr>
      <w:r>
        <w:t xml:space="preserve">Pages 405–409 — Rik 5 grammar</w:t>
      </w:r>
    </w:p>
    <w:p>
      <w:pPr>
        <w:pStyle w:val="FirstParagraph"/>
      </w:pPr>
      <w:r>
        <w:rPr>
          <w:bCs/>
          <w:b/>
        </w:rPr>
        <w:t xml:space="preserve">॥ Vyākaraṇa-prakriyā ॥</w:t>
      </w:r>
      <w:r>
        <w:t xml:space="preserve"> </w:t>
      </w:r>
      <w:r>
        <w:rPr>
          <w:iCs/>
          <w:i/>
        </w:rPr>
        <w:t xml:space="preserve">(grammar pages 405–409, noted briefly; the scholastic arguments on pp. 406–408 are characterized in outline only)</w:t>
      </w:r>
    </w:p>
    <w:p>
      <w:pPr>
        <w:pStyle w:val="BodyText"/>
      </w:pPr>
      <w:r>
        <w:rPr>
          <w:bCs/>
          <w:b/>
        </w:rPr>
        <w:t xml:space="preserve">उक्थम् (</w:t>
      </w:r>
      <w:r>
        <w:rPr>
          <w:iCs/>
          <w:i/>
          <w:bCs/>
          <w:b/>
        </w:rPr>
        <w:t xml:space="preserve">uktham</w:t>
      </w:r>
      <w:r>
        <w:rPr>
          <w:bCs/>
          <w:b/>
        </w:rPr>
        <w:t xml:space="preserve">)</w:t>
      </w:r>
      <w:r>
        <w:t xml:space="preserve"> </w:t>
      </w:r>
      <w:r>
        <w:t xml:space="preserve">— root</w:t>
      </w:r>
      <w:r>
        <w:t xml:space="preserve"> </w:t>
      </w:r>
      <w:r>
        <w:rPr>
          <w:iCs/>
          <w:i/>
        </w:rPr>
        <w:t xml:space="preserve">vaca paribhāṣaṇe</w:t>
      </w:r>
      <w:r>
        <w:t xml:space="preserve">; the suffix</w:t>
      </w:r>
      <w:r>
        <w:t xml:space="preserve"> </w:t>
      </w:r>
      <w:r>
        <w:rPr>
          <w:iCs/>
          <w:i/>
        </w:rPr>
        <w:t xml:space="preserve">thak</w:t>
      </w:r>
      <w:r>
        <w:t xml:space="preserve"> </w:t>
      </w:r>
      <w:r>
        <w:t xml:space="preserve">by</w:t>
      </w:r>
      <w:r>
        <w:t xml:space="preserve"> </w:t>
      </w:r>
      <w:r>
        <w:t xml:space="preserve">“</w:t>
      </w:r>
      <w:r>
        <w:t xml:space="preserve">pātṛtudivaciricisicibhyas thak</w:t>
      </w:r>
      <w:r>
        <w:t xml:space="preserve">”</w:t>
      </w:r>
      <w:r>
        <w:t xml:space="preserve"> </w:t>
      </w:r>
      <w:r>
        <w:t xml:space="preserve">(Uṇ. 2-164);</w:t>
      </w:r>
      <w:r>
        <w:t xml:space="preserve"> </w:t>
      </w:r>
      <w:r>
        <w:t xml:space="preserve">“</w:t>
      </w:r>
      <w:r>
        <w:t xml:space="preserve">vacisvapiyajādīnāṃ kiti</w:t>
      </w:r>
      <w:r>
        <w:t xml:space="preserve">”</w:t>
      </w:r>
      <w:r>
        <w:t xml:space="preserve"> </w:t>
      </w:r>
      <w:r>
        <w:t xml:space="preserve">(Pā. 6-1-15) gives</w:t>
      </w:r>
      <w:r>
        <w:t xml:space="preserve"> </w:t>
      </w:r>
      <w:r>
        <w:rPr>
          <w:iCs/>
          <w:i/>
        </w:rPr>
        <w:t xml:space="preserve">saṃprasāraṇa</w:t>
      </w:r>
      <w:r>
        <w:t xml:space="preserve">;</w:t>
      </w:r>
      <w:r>
        <w:t xml:space="preserve"> </w:t>
      </w:r>
      <w:r>
        <w:rPr>
          <w:iCs/>
          <w:i/>
        </w:rPr>
        <w:t xml:space="preserve">va</w:t>
      </w:r>
      <w:r>
        <w:t xml:space="preserve"> </w:t>
      </w:r>
      <w:r>
        <w:t xml:space="preserve">→</w:t>
      </w:r>
      <w:r>
        <w:t xml:space="preserve"> </w:t>
      </w:r>
      <w:r>
        <w:rPr>
          <w:iCs/>
          <w:i/>
        </w:rPr>
        <w:t xml:space="preserve">u</w:t>
      </w:r>
      <w:r>
        <w:t xml:space="preserve"> </w:t>
      </w:r>
      <w:r>
        <w:t xml:space="preserve">with</w:t>
      </w:r>
      <w:r>
        <w:t xml:space="preserve"> </w:t>
      </w:r>
      <w:r>
        <w:rPr>
          <w:iCs/>
          <w:i/>
        </w:rPr>
        <w:t xml:space="preserve">pūrvarūpa</w:t>
      </w:r>
      <w:r>
        <w:t xml:space="preserve"> </w:t>
      </w:r>
      <w:r>
        <w:t xml:space="preserve">by</w:t>
      </w:r>
      <w:r>
        <w:t xml:space="preserve"> </w:t>
      </w:r>
      <w:r>
        <w:t xml:space="preserve">“</w:t>
      </w:r>
      <w:r>
        <w:t xml:space="preserve">saṃprasāraṇāc ca</w:t>
      </w:r>
      <w:r>
        <w:t xml:space="preserve">”</w:t>
      </w:r>
      <w:r>
        <w:t xml:space="preserve">;</w:t>
      </w:r>
      <w:r>
        <w:t xml:space="preserve"> </w:t>
      </w:r>
      <w:r>
        <w:rPr>
          <w:iCs/>
          <w:i/>
        </w:rPr>
        <w:t xml:space="preserve">c</w:t>
      </w:r>
      <w:r>
        <w:t xml:space="preserve"> </w:t>
      </w:r>
      <w:r>
        <w:t xml:space="preserve">→</w:t>
      </w:r>
      <w:r>
        <w:t xml:space="preserve"> </w:t>
      </w:r>
      <w:r>
        <w:rPr>
          <w:iCs/>
          <w:i/>
        </w:rPr>
        <w:t xml:space="preserve">k</w:t>
      </w:r>
      <w:r>
        <w:t xml:space="preserve"> </w:t>
      </w:r>
      <w:r>
        <w:t xml:space="preserve">by</w:t>
      </w:r>
      <w:r>
        <w:t xml:space="preserve"> </w:t>
      </w:r>
      <w:r>
        <w:t xml:space="preserve">“</w:t>
      </w:r>
      <w:r>
        <w:t xml:space="preserve">coḥ kuḥ</w:t>
      </w:r>
      <w:r>
        <w:t xml:space="preserve">”</w:t>
      </w:r>
      <w:r>
        <w:t xml:space="preserve"> </w:t>
      </w:r>
      <w:r>
        <w:t xml:space="preserve">(Pā. 8-2-30); the accent is by the suffix.</w:t>
      </w:r>
      <w:r>
        <w:t xml:space="preserve"> </w:t>
      </w:r>
      <w:r>
        <w:rPr>
          <w:bCs/>
          <w:b/>
        </w:rPr>
        <w:t xml:space="preserve">शंस्यम् (</w:t>
      </w:r>
      <w:r>
        <w:rPr>
          <w:iCs/>
          <w:i/>
          <w:bCs/>
          <w:b/>
        </w:rPr>
        <w:t xml:space="preserve">śaṃsyam</w:t>
      </w:r>
      <w:r>
        <w:rPr>
          <w:bCs/>
          <w:b/>
        </w:rPr>
        <w:t xml:space="preserve">)</w:t>
      </w:r>
      <w:r>
        <w:t xml:space="preserve"> </w:t>
      </w:r>
      <w:r>
        <w:t xml:space="preserve">— root</w:t>
      </w:r>
      <w:r>
        <w:t xml:space="preserve"> </w:t>
      </w:r>
      <w:r>
        <w:rPr>
          <w:iCs/>
          <w:i/>
        </w:rPr>
        <w:t xml:space="preserve">śaṃsu stutau</w:t>
      </w:r>
      <w:r>
        <w:t xml:space="preserve"> </w:t>
      </w:r>
      <w:r>
        <w:t xml:space="preserve">+</w:t>
      </w:r>
      <w:r>
        <w:t xml:space="preserve"> </w:t>
      </w:r>
      <w:r>
        <w:rPr>
          <w:iCs/>
          <w:i/>
        </w:rPr>
        <w:t xml:space="preserve">ṇic</w:t>
      </w:r>
      <w:r>
        <w:t xml:space="preserve">; the suffix</w:t>
      </w:r>
      <w:r>
        <w:t xml:space="preserve"> </w:t>
      </w:r>
      <w:r>
        <w:rPr>
          <w:iCs/>
          <w:i/>
        </w:rPr>
        <w:t xml:space="preserve">yat</w:t>
      </w:r>
      <w:r>
        <w:t xml:space="preserve"> </w:t>
      </w:r>
      <w:r>
        <w:t xml:space="preserve">by</w:t>
      </w:r>
      <w:r>
        <w:t xml:space="preserve"> </w:t>
      </w:r>
      <w:r>
        <w:t xml:space="preserve">“</w:t>
      </w:r>
      <w:r>
        <w:t xml:space="preserve">aco yat</w:t>
      </w:r>
      <w:r>
        <w:t xml:space="preserve">”</w:t>
      </w:r>
      <w:r>
        <w:t xml:space="preserve"> </w:t>
      </w:r>
      <w:r>
        <w:t xml:space="preserve">(Pā. 3-1-97);</w:t>
      </w:r>
      <w:r>
        <w:t xml:space="preserve"> </w:t>
      </w:r>
      <w:r>
        <w:rPr>
          <w:iCs/>
          <w:i/>
        </w:rPr>
        <w:t xml:space="preserve">ṇi</w:t>
      </w:r>
      <w:r>
        <w:t xml:space="preserve"> </w:t>
      </w:r>
      <w:r>
        <w:t xml:space="preserve">dropped by</w:t>
      </w:r>
      <w:r>
        <w:t xml:space="preserve"> </w:t>
      </w:r>
      <w:r>
        <w:t xml:space="preserve">“</w:t>
      </w:r>
      <w:r>
        <w:t xml:space="preserve">ṇer aniṭi</w:t>
      </w:r>
      <w:r>
        <w:t xml:space="preserve">”</w:t>
      </w:r>
      <w:r>
        <w:t xml:space="preserve"> </w:t>
      </w:r>
      <w:r>
        <w:t xml:space="preserve">(Pā. 6-4-51); the</w:t>
      </w:r>
      <w:r>
        <w:t xml:space="preserve"> </w:t>
      </w:r>
      <w:r>
        <w:rPr>
          <w:iCs/>
          <w:i/>
        </w:rPr>
        <w:t xml:space="preserve">svarita</w:t>
      </w:r>
      <w:r>
        <w:t xml:space="preserve"> </w:t>
      </w:r>
      <w:r>
        <w:t xml:space="preserve">that would arise by</w:t>
      </w:r>
      <w:r>
        <w:t xml:space="preserve"> </w:t>
      </w:r>
      <w:r>
        <w:t xml:space="preserve">“</w:t>
      </w:r>
      <w:r>
        <w:t xml:space="preserve">tit svaritam</w:t>
      </w:r>
      <w:r>
        <w:t xml:space="preserve">”</w:t>
      </w:r>
      <w:r>
        <w:t xml:space="preserve"> </w:t>
      </w:r>
      <w:r>
        <w:t xml:space="preserve">(Pā. 6-1-185) is set aside by</w:t>
      </w:r>
      <w:r>
        <w:t xml:space="preserve"> </w:t>
      </w:r>
      <w:r>
        <w:t xml:space="preserve">“</w:t>
      </w:r>
      <w:r>
        <w:t xml:space="preserve">yato ’nāvaḥ</w:t>
      </w:r>
      <w:r>
        <w:t xml:space="preserve">”</w:t>
      </w:r>
      <w:r>
        <w:t xml:space="preserve"> </w:t>
      </w:r>
      <w:r>
        <w:t xml:space="preserve">(printed</w:t>
      </w:r>
      <w:r>
        <w:t xml:space="preserve"> </w:t>
      </w:r>
      <w:r>
        <w:t xml:space="preserve">“</w:t>
      </w:r>
      <w:r>
        <w:t xml:space="preserve">6-4-213</w:t>
      </w:r>
      <w:r>
        <w:t xml:space="preserve">”</w:t>
      </w:r>
      <w:r>
        <w:t xml:space="preserve"> </w:t>
      </w:r>
      <w:r>
        <w:t xml:space="preserve">[as printed], i.e. 6-1-213), so initial-udātta.</w:t>
      </w:r>
      <w:r>
        <w:t xml:space="preserve"> </w:t>
      </w:r>
      <w:r>
        <w:rPr>
          <w:bCs/>
          <w:b/>
        </w:rPr>
        <w:t xml:space="preserve">वर्धनम् (</w:t>
      </w:r>
      <w:r>
        <w:rPr>
          <w:iCs/>
          <w:i/>
          <w:bCs/>
          <w:b/>
        </w:rPr>
        <w:t xml:space="preserve">vardhanam</w:t>
      </w:r>
      <w:r>
        <w:rPr>
          <w:bCs/>
          <w:b/>
        </w:rPr>
        <w:t xml:space="preserve">)</w:t>
      </w:r>
      <w:r>
        <w:t xml:space="preserve"> </w:t>
      </w:r>
      <w:r>
        <w:t xml:space="preserve">—</w:t>
      </w:r>
      <w:r>
        <w:t xml:space="preserve"> </w:t>
      </w:r>
      <w:r>
        <w:t xml:space="preserve">“</w:t>
      </w:r>
      <w:r>
        <w:t xml:space="preserve">karaṇādhikaraṇayoś ca</w:t>
      </w:r>
      <w:r>
        <w:t xml:space="preserve">”</w:t>
      </w:r>
      <w:r>
        <w:t xml:space="preserve"> </w:t>
      </w:r>
      <w:r>
        <w:t xml:space="preserve">(Pā. 3-3-117):</w:t>
      </w:r>
      <w:r>
        <w:t xml:space="preserve"> </w:t>
      </w:r>
      <w:r>
        <w:rPr>
          <w:iCs/>
          <w:i/>
        </w:rPr>
        <w:t xml:space="preserve">lyuṭ</w:t>
      </w:r>
      <w:r>
        <w:t xml:space="preserve">;</w:t>
      </w:r>
      <w:r>
        <w:t xml:space="preserve"> </w:t>
      </w:r>
      <w:r>
        <w:rPr>
          <w:iCs/>
          <w:i/>
        </w:rPr>
        <w:t xml:space="preserve">yu</w:t>
      </w:r>
      <w:r>
        <w:t xml:space="preserve"> </w:t>
      </w:r>
      <w:r>
        <w:t xml:space="preserve">→</w:t>
      </w:r>
      <w:r>
        <w:t xml:space="preserve"> </w:t>
      </w:r>
      <w:r>
        <w:rPr>
          <w:iCs/>
          <w:i/>
        </w:rPr>
        <w:t xml:space="preserve">ana</w:t>
      </w:r>
      <w:r>
        <w:t xml:space="preserve"> </w:t>
      </w:r>
      <w:r>
        <w:t xml:space="preserve">by</w:t>
      </w:r>
      <w:r>
        <w:t xml:space="preserve"> </w:t>
      </w:r>
      <w:r>
        <w:t xml:space="preserve">“</w:t>
      </w:r>
      <w:r>
        <w:t xml:space="preserve">yuvor anākau</w:t>
      </w:r>
      <w:r>
        <w:t xml:space="preserve">”</w:t>
      </w:r>
      <w:r>
        <w:t xml:space="preserve"> </w:t>
      </w:r>
      <w:r>
        <w:t xml:space="preserve">(Pā. 7-1-1);</w:t>
      </w:r>
      <w:r>
        <w:t xml:space="preserve"> </w:t>
      </w:r>
      <w:r>
        <w:rPr>
          <w:iCs/>
          <w:i/>
        </w:rPr>
        <w:t xml:space="preserve">laghūpadha-guṇa</w:t>
      </w:r>
      <w:r>
        <w:t xml:space="preserve">;</w:t>
      </w:r>
      <w:r>
        <w:t xml:space="preserve"> </w:t>
      </w:r>
      <w:r>
        <w:t xml:space="preserve">“</w:t>
      </w:r>
      <w:r>
        <w:t xml:space="preserve">liti</w:t>
      </w:r>
      <w:r>
        <w:t xml:space="preserve">”</w:t>
      </w:r>
      <w:r>
        <w:t xml:space="preserve"> </w:t>
      </w:r>
      <w:r>
        <w:t xml:space="preserve">(Pā. 6-1-193): the vowel before a</w:t>
      </w:r>
      <w:r>
        <w:t xml:space="preserve"> </w:t>
      </w:r>
      <w:r>
        <w:rPr>
          <w:iCs/>
          <w:i/>
        </w:rPr>
        <w:t xml:space="preserve">l</w:t>
      </w:r>
      <w:r>
        <w:t xml:space="preserve">-marked suffix is udātta.</w:t>
      </w:r>
      <w:r>
        <w:t xml:space="preserve"> </w:t>
      </w:r>
      <w:r>
        <w:rPr>
          <w:bCs/>
          <w:b/>
        </w:rPr>
        <w:t xml:space="preserve">पुरुनिष्षिधे (</w:t>
      </w:r>
      <w:r>
        <w:rPr>
          <w:iCs/>
          <w:i/>
          <w:bCs/>
          <w:b/>
        </w:rPr>
        <w:t xml:space="preserve">puruniṣṣidhe</w:t>
      </w:r>
      <w:r>
        <w:rPr>
          <w:bCs/>
          <w:b/>
        </w:rPr>
        <w:t xml:space="preserve">)</w:t>
      </w:r>
      <w:r>
        <w:t xml:space="preserve"> </w:t>
      </w:r>
      <w:r>
        <w:t xml:space="preserve">—</w:t>
      </w:r>
      <w:r>
        <w:t xml:space="preserve"> </w:t>
      </w:r>
      <w:r>
        <w:rPr>
          <w:iCs/>
          <w:i/>
        </w:rPr>
        <w:t xml:space="preserve">puru</w:t>
      </w:r>
      <w:r>
        <w:t xml:space="preserve"> </w:t>
      </w:r>
      <w:r>
        <w:t xml:space="preserve">(</w:t>
      </w:r>
      <w:r>
        <w:t xml:space="preserve">“</w:t>
      </w:r>
      <w:r>
        <w:t xml:space="preserve">many</w:t>
      </w:r>
      <w:r>
        <w:t xml:space="preserve">”</w:t>
      </w:r>
      <w:r>
        <w:t xml:space="preserve">) +</w:t>
      </w:r>
      <w:r>
        <w:t xml:space="preserve"> </w:t>
      </w:r>
      <w:r>
        <w:rPr>
          <w:iCs/>
          <w:i/>
        </w:rPr>
        <w:t xml:space="preserve">niṣṣidh</w:t>
      </w:r>
      <w:r>
        <w:t xml:space="preserve"> </w:t>
      </w:r>
      <w:r>
        <w:t xml:space="preserve">“</w:t>
      </w:r>
      <w:r>
        <w:t xml:space="preserve">he who bars</w:t>
      </w:r>
      <w:r>
        <w:t xml:space="preserve">”</w:t>
      </w:r>
      <w:r>
        <w:t xml:space="preserve">; the root</w:t>
      </w:r>
      <w:r>
        <w:t xml:space="preserve"> </w:t>
      </w:r>
      <w:r>
        <w:rPr>
          <w:iCs/>
          <w:i/>
        </w:rPr>
        <w:t xml:space="preserve">ṣidhu gatyām</w:t>
      </w:r>
      <w:r>
        <w:t xml:space="preserve"> </w:t>
      </w:r>
      <w:r>
        <w:t xml:space="preserve">(</w:t>
      </w:r>
      <w:r>
        <w:rPr>
          <w:iCs/>
          <w:i/>
        </w:rPr>
        <w:t xml:space="preserve">ṣ</w:t>
      </w:r>
      <w:r>
        <w:t xml:space="preserve"> </w:t>
      </w:r>
      <w:r>
        <w:t xml:space="preserve">→</w:t>
      </w:r>
      <w:r>
        <w:t xml:space="preserve"> </w:t>
      </w:r>
      <w:r>
        <w:rPr>
          <w:iCs/>
          <w:i/>
        </w:rPr>
        <w:t xml:space="preserve">s</w:t>
      </w:r>
      <w:r>
        <w:t xml:space="preserve"> </w:t>
      </w:r>
      <w:r>
        <w:t xml:space="preserve">by</w:t>
      </w:r>
      <w:r>
        <w:t xml:space="preserve"> </w:t>
      </w:r>
      <w:r>
        <w:t xml:space="preserve">“</w:t>
      </w:r>
      <w:r>
        <w:t xml:space="preserve">dhātvādeḥ ṣaḥ saḥ,</w:t>
      </w:r>
      <w:r>
        <w:t xml:space="preserve">”</w:t>
      </w:r>
      <w:r>
        <w:t xml:space="preserve"> </w:t>
      </w:r>
      <w:r>
        <w:t xml:space="preserve">Pā. 6-1-64); the prefix</w:t>
      </w:r>
      <w:r>
        <w:t xml:space="preserve"> </w:t>
      </w:r>
      <w:r>
        <w:rPr>
          <w:iCs/>
          <w:i/>
        </w:rPr>
        <w:t xml:space="preserve">nis</w:t>
      </w:r>
      <w:r>
        <w:t xml:space="preserve">, in the sense of</w:t>
      </w:r>
      <w:r>
        <w:t xml:space="preserve"> </w:t>
      </w:r>
      <w:r>
        <w:rPr>
          <w:iCs/>
          <w:i/>
        </w:rPr>
        <w:t xml:space="preserve">ni</w:t>
      </w:r>
      <w:r>
        <w:t xml:space="preserve">, stands before it;</w:t>
      </w:r>
      <w:r>
        <w:t xml:space="preserve"> </w:t>
      </w:r>
      <w:r>
        <w:rPr>
          <w:iCs/>
          <w:i/>
        </w:rPr>
        <w:t xml:space="preserve">kvip</w:t>
      </w:r>
      <w:r>
        <w:t xml:space="preserve"> </w:t>
      </w:r>
      <w:r>
        <w:t xml:space="preserve">by</w:t>
      </w:r>
      <w:r>
        <w:t xml:space="preserve"> </w:t>
      </w:r>
      <w:r>
        <w:t xml:space="preserve">“</w:t>
      </w:r>
      <w:r>
        <w:t xml:space="preserve">kvip ca</w:t>
      </w:r>
      <w:r>
        <w:t xml:space="preserve">”</w:t>
      </w:r>
      <w:r>
        <w:t xml:space="preserve"> </w:t>
      </w:r>
      <w:r>
        <w:t xml:space="preserve">(Pā. 3-2-76), with all of</w:t>
      </w:r>
      <w:r>
        <w:t xml:space="preserve"> </w:t>
      </w:r>
      <w:r>
        <w:rPr>
          <w:iCs/>
          <w:i/>
        </w:rPr>
        <w:t xml:space="preserve">kvip</w:t>
      </w:r>
      <w:r>
        <w:t xml:space="preserve"> </w:t>
      </w:r>
      <w:r>
        <w:t xml:space="preserve">dropped; the</w:t>
      </w:r>
      <w:r>
        <w:t xml:space="preserve"> </w:t>
      </w:r>
      <w:r>
        <w:rPr>
          <w:iCs/>
          <w:i/>
        </w:rPr>
        <w:t xml:space="preserve">prādi</w:t>
      </w:r>
      <w:r>
        <w:t xml:space="preserve"> </w:t>
      </w:r>
      <w:r>
        <w:t xml:space="preserve">compound by</w:t>
      </w:r>
      <w:r>
        <w:t xml:space="preserve"> </w:t>
      </w:r>
      <w:r>
        <w:t xml:space="preserve">“</w:t>
      </w:r>
      <w:r>
        <w:t xml:space="preserve">kugatiprādayaḥ</w:t>
      </w:r>
      <w:r>
        <w:t xml:space="preserve">”</w:t>
      </w:r>
      <w:r>
        <w:t xml:space="preserve"> </w:t>
      </w:r>
      <w:r>
        <w:t xml:space="preserve">(Pā. 2-2-18).</w:t>
      </w:r>
      <w:r>
        <w:t xml:space="preserve"> </w:t>
      </w:r>
      <w:r>
        <w:rPr>
          <w:bCs/>
          <w:b/>
        </w:rPr>
        <w:t xml:space="preserve">The scholastic discussion (pp. 405–408):</w:t>
      </w:r>
      <w:r>
        <w:t xml:space="preserve"> </w:t>
      </w:r>
      <w:r>
        <w:t xml:space="preserve">between the</w:t>
      </w:r>
      <w:r>
        <w:t xml:space="preserve"> </w:t>
      </w:r>
      <w:r>
        <w:rPr>
          <w:iCs/>
          <w:i/>
        </w:rPr>
        <w:t xml:space="preserve">s</w:t>
      </w:r>
      <w:r>
        <w:t xml:space="preserve"> </w:t>
      </w:r>
      <w:r>
        <w:t xml:space="preserve">of the prefix</w:t>
      </w:r>
      <w:r>
        <w:t xml:space="preserve"> </w:t>
      </w:r>
      <w:r>
        <w:rPr>
          <w:iCs/>
          <w:i/>
        </w:rPr>
        <w:t xml:space="preserve">nis</w:t>
      </w:r>
      <w:r>
        <w:t xml:space="preserve"> </w:t>
      </w:r>
      <w:r>
        <w:t xml:space="preserve">and the root’s</w:t>
      </w:r>
      <w:r>
        <w:t xml:space="preserve"> </w:t>
      </w:r>
      <w:r>
        <w:rPr>
          <w:iCs/>
          <w:i/>
        </w:rPr>
        <w:t xml:space="preserve">s</w:t>
      </w:r>
      <w:r>
        <w:t xml:space="preserve"> </w:t>
      </w:r>
      <w:r>
        <w:t xml:space="preserve">(here,</w:t>
      </w:r>
      <w:r>
        <w:t xml:space="preserve"> </w:t>
      </w:r>
      <w:r>
        <w:rPr>
          <w:iCs/>
          <w:i/>
        </w:rPr>
        <w:t xml:space="preserve">ṣidh</w:t>
      </w:r>
      <w:r>
        <w:t xml:space="preserve">), the question is whether the</w:t>
      </w:r>
      <w:r>
        <w:t xml:space="preserve"> </w:t>
      </w:r>
      <w:r>
        <w:rPr>
          <w:iCs/>
          <w:i/>
        </w:rPr>
        <w:t xml:space="preserve">s</w:t>
      </w:r>
      <w:r>
        <w:t xml:space="preserve"> </w:t>
      </w:r>
      <w:r>
        <w:t xml:space="preserve">of</w:t>
      </w:r>
      <w:r>
        <w:t xml:space="preserve"> </w:t>
      </w:r>
      <w:r>
        <w:rPr>
          <w:iCs/>
          <w:i/>
        </w:rPr>
        <w:t xml:space="preserve">nis</w:t>
      </w:r>
      <w:r>
        <w:t xml:space="preserve"> </w:t>
      </w:r>
      <w:r>
        <w:t xml:space="preserve">“</w:t>
      </w:r>
      <w:r>
        <w:t xml:space="preserve">intervenes</w:t>
      </w:r>
      <w:r>
        <w:t xml:space="preserve">”</w:t>
      </w:r>
      <w:r>
        <w:t xml:space="preserve"> </w:t>
      </w:r>
      <w:r>
        <w:t xml:space="preserve">(</w:t>
      </w:r>
      <w:r>
        <w:rPr>
          <w:iCs/>
          <w:i/>
        </w:rPr>
        <w:t xml:space="preserve">vyavadhāna</w:t>
      </w:r>
      <w:r>
        <w:t xml:space="preserve">) so that the retroflexion of the root’s</w:t>
      </w:r>
      <w:r>
        <w:t xml:space="preserve"> </w:t>
      </w:r>
      <w:r>
        <w:rPr>
          <w:iCs/>
          <w:i/>
        </w:rPr>
        <w:t xml:space="preserve">s</w:t>
      </w:r>
      <w:r>
        <w:t xml:space="preserve"> </w:t>
      </w:r>
      <w:r>
        <w:t xml:space="preserve">by</w:t>
      </w:r>
      <w:r>
        <w:t xml:space="preserve"> </w:t>
      </w:r>
      <w:r>
        <w:t xml:space="preserve">“</w:t>
      </w:r>
      <w:r>
        <w:t xml:space="preserve">upasargāt sunoti-suvati-syati-stauti-stobhati-sthā-senaya-sedha-sica-sañja-svañjām</w:t>
      </w:r>
      <w:r>
        <w:t xml:space="preserve">”</w:t>
      </w:r>
      <w:r>
        <w:t xml:space="preserve"> </w:t>
      </w:r>
      <w:r>
        <w:t xml:space="preserve">(Pā. 8-3-65) is blocked — with</w:t>
      </w:r>
      <w:r>
        <w:t xml:space="preserve"> </w:t>
      </w:r>
      <w:r>
        <w:t xml:space="preserve">“</w:t>
      </w:r>
      <w:r>
        <w:t xml:space="preserve">sahe sāḍaḥ saḥ</w:t>
      </w:r>
      <w:r>
        <w:t xml:space="preserve">”</w:t>
      </w:r>
      <w:r>
        <w:t xml:space="preserve"> </w:t>
      </w:r>
      <w:r>
        <w:t xml:space="preserve">(Pā. 8-3-56),</w:t>
      </w:r>
      <w:r>
        <w:t xml:space="preserve"> </w:t>
      </w:r>
      <w:r>
        <w:t xml:space="preserve">“</w:t>
      </w:r>
      <w:r>
        <w:t xml:space="preserve">apadāntasya mūrdhanyaḥ</w:t>
      </w:r>
      <w:r>
        <w:t xml:space="preserve">”</w:t>
      </w:r>
      <w:r>
        <w:t xml:space="preserve"> </w:t>
      </w:r>
      <w:r>
        <w:t xml:space="preserve">(Pā. 8-3-55) and</w:t>
      </w:r>
      <w:r>
        <w:t xml:space="preserve"> </w:t>
      </w:r>
      <w:r>
        <w:t xml:space="preserve">“</w:t>
      </w:r>
      <w:r>
        <w:t xml:space="preserve">iṇkoḥ</w:t>
      </w:r>
      <w:r>
        <w:t xml:space="preserve">”</w:t>
      </w:r>
      <w:r>
        <w:t xml:space="preserve"> </w:t>
      </w:r>
      <w:r>
        <w:t xml:space="preserve">(Pā. 8-3-57) carried over (p. 405); the</w:t>
      </w:r>
      <w:r>
        <w:t xml:space="preserve"> </w:t>
      </w:r>
      <w:r>
        <w:rPr>
          <w:iCs/>
          <w:i/>
        </w:rPr>
        <w:t xml:space="preserve">iṇ</w:t>
      </w:r>
      <w:r>
        <w:t xml:space="preserve"> </w:t>
      </w:r>
      <w:r>
        <w:t xml:space="preserve">of the prefix is taken as a qualifier by</w:t>
      </w:r>
      <w:r>
        <w:t xml:space="preserve"> </w:t>
      </w:r>
      <w:r>
        <w:t xml:space="preserve">“</w:t>
      </w:r>
      <w:r>
        <w:t xml:space="preserve">yena vidhis tadantasya</w:t>
      </w:r>
      <w:r>
        <w:t xml:space="preserve">”</w:t>
      </w:r>
      <w:r>
        <w:t xml:space="preserve"> </w:t>
      </w:r>
      <w:r>
        <w:t xml:space="preserve">(Pā. 1-1-72); the vārttika</w:t>
      </w:r>
      <w:r>
        <w:t xml:space="preserve"> </w:t>
      </w:r>
      <w:r>
        <w:t xml:space="preserve">“</w:t>
      </w:r>
      <w:r>
        <w:t xml:space="preserve">upasargāt ṣatve niso upasaṃkhyānam aniṇantatvāt</w:t>
      </w:r>
      <w:r>
        <w:t xml:space="preserve">”</w:t>
      </w:r>
      <w:r>
        <w:t xml:space="preserve"> </w:t>
      </w:r>
      <w:r>
        <w:t xml:space="preserve">(8-3-65 vārttika 1) and its rejoinder</w:t>
      </w:r>
      <w:r>
        <w:t xml:space="preserve"> </w:t>
      </w:r>
      <w:r>
        <w:t xml:space="preserve">“</w:t>
      </w:r>
      <w:r>
        <w:t xml:space="preserve">na vā varṇāśrayatvāt</w:t>
      </w:r>
      <w:r>
        <w:t xml:space="preserve">”</w:t>
      </w:r>
      <w:r>
        <w:t xml:space="preserve"> </w:t>
      </w:r>
      <w:r>
        <w:t xml:space="preserve">(8-3-65 vārttika 2) are cited; it is answered that by</w:t>
      </w:r>
      <w:r>
        <w:t xml:space="preserve"> </w:t>
      </w:r>
      <w:r>
        <w:t xml:space="preserve">“</w:t>
      </w:r>
      <w:r>
        <w:t xml:space="preserve">numvisarjanīyaśarvyavāye ’pi</w:t>
      </w:r>
      <w:r>
        <w:t xml:space="preserve">”</w:t>
      </w:r>
      <w:r>
        <w:t xml:space="preserve"> </w:t>
      </w:r>
      <w:r>
        <w:t xml:space="preserve">(Pā. 8-3-58) the intervention of</w:t>
      </w:r>
      <w:r>
        <w:t xml:space="preserve"> </w:t>
      </w:r>
      <w:r>
        <w:rPr>
          <w:iCs/>
          <w:i/>
        </w:rPr>
        <w:t xml:space="preserve">num</w:t>
      </w:r>
      <w:r>
        <w:t xml:space="preserve">,</w:t>
      </w:r>
      <w:r>
        <w:t xml:space="preserve"> </w:t>
      </w:r>
      <w:r>
        <w:rPr>
          <w:iCs/>
          <w:i/>
        </w:rPr>
        <w:t xml:space="preserve">visarga</w:t>
      </w:r>
      <w:r>
        <w:t xml:space="preserve"> </w:t>
      </w:r>
      <w:r>
        <w:t xml:space="preserve">and</w:t>
      </w:r>
      <w:r>
        <w:t xml:space="preserve"> </w:t>
      </w:r>
      <w:r>
        <w:rPr>
          <w:iCs/>
          <w:i/>
        </w:rPr>
        <w:t xml:space="preserve">ś</w:t>
      </w:r>
      <w:r>
        <w:t xml:space="preserve">,</w:t>
      </w:r>
      <w:r>
        <w:t xml:space="preserve"> </w:t>
      </w:r>
      <w:r>
        <w:rPr>
          <w:iCs/>
          <w:i/>
        </w:rPr>
        <w:t xml:space="preserve">ṣ</w:t>
      </w:r>
      <w:r>
        <w:t xml:space="preserve">,</w:t>
      </w:r>
      <w:r>
        <w:t xml:space="preserve"> </w:t>
      </w:r>
      <w:r>
        <w:rPr>
          <w:iCs/>
          <w:i/>
        </w:rPr>
        <w:t xml:space="preserve">s</w:t>
      </w:r>
      <w:r>
        <w:t xml:space="preserve"> </w:t>
      </w:r>
      <w:r>
        <w:t xml:space="preserve">does not prevent the retroflexion, as the Mahābhāṣya says,</w:t>
      </w:r>
      <w:r>
        <w:t xml:space="preserve"> </w:t>
      </w:r>
      <w:r>
        <w:t xml:space="preserve">“</w:t>
      </w:r>
      <w:r>
        <w:t xml:space="preserve">tatra śarvyavāye ity eva siddham</w:t>
      </w:r>
      <w:r>
        <w:t xml:space="preserve">”</w:t>
      </w:r>
      <w:r>
        <w:t xml:space="preserve">; the Vedabhāṣya’s opinion that, because the intervention of the sibilant is</w:t>
      </w:r>
      <w:r>
        <w:t xml:space="preserve"> </w:t>
      </w:r>
      <w:r>
        <w:t xml:space="preserve">“</w:t>
      </w:r>
      <w:r>
        <w:t xml:space="preserve">unobserved</w:t>
      </w:r>
      <w:r>
        <w:t xml:space="preserve">”</w:t>
      </w:r>
      <w:r>
        <w:t xml:space="preserve"> </w:t>
      </w:r>
      <w:r>
        <w:t xml:space="preserve">in the Veda, the retroflexion arises, is discussed and is stated to be needless effort.</w:t>
      </w:r>
      <w:r>
        <w:t xml:space="preserve"> </w:t>
      </w:r>
      <w:r>
        <w:t xml:space="preserve">“</w:t>
      </w:r>
      <w:r>
        <w:rPr>
          <w:iCs/>
          <w:i/>
        </w:rPr>
        <w:t xml:space="preserve">Niṣ</w:t>
      </w:r>
      <w:r>
        <w:t xml:space="preserve">”</w:t>
      </w:r>
      <w:r>
        <w:t xml:space="preserve"> </w:t>
      </w:r>
      <w:r>
        <w:t xml:space="preserve">+</w:t>
      </w:r>
      <w:r>
        <w:t xml:space="preserve"> </w:t>
      </w:r>
      <w:r>
        <w:t xml:space="preserve">“</w:t>
      </w:r>
      <w:r>
        <w:rPr>
          <w:iCs/>
          <w:i/>
        </w:rPr>
        <w:t xml:space="preserve">ṣidh</w:t>
      </w:r>
      <w:r>
        <w:t xml:space="preserve">”</w:t>
      </w:r>
      <w:r>
        <w:t xml:space="preserve">: the</w:t>
      </w:r>
      <w:r>
        <w:t xml:space="preserve"> </w:t>
      </w:r>
      <w:r>
        <w:rPr>
          <w:iCs/>
          <w:i/>
        </w:rPr>
        <w:t xml:space="preserve">ṣ</w:t>
      </w:r>
      <w:r>
        <w:t xml:space="preserve"> </w:t>
      </w:r>
      <w:r>
        <w:t xml:space="preserve">is retained, and by</w:t>
      </w:r>
      <w:r>
        <w:t xml:space="preserve"> </w:t>
      </w:r>
      <w:r>
        <w:t xml:space="preserve">“</w:t>
      </w:r>
      <w:r>
        <w:t xml:space="preserve">ṣṭunā ṣṭuḥ</w:t>
      </w:r>
      <w:r>
        <w:t xml:space="preserve">”</w:t>
      </w:r>
      <w:r>
        <w:t xml:space="preserve"> </w:t>
      </w:r>
      <w:r>
        <w:t xml:space="preserve">(Pā. 8-4-41) the</w:t>
      </w:r>
      <w:r>
        <w:t xml:space="preserve"> </w:t>
      </w:r>
      <w:r>
        <w:rPr>
          <w:iCs/>
          <w:i/>
        </w:rPr>
        <w:t xml:space="preserve">s</w:t>
      </w:r>
      <w:r>
        <w:t xml:space="preserve"> </w:t>
      </w:r>
      <w:r>
        <w:t xml:space="preserve">of</w:t>
      </w:r>
      <w:r>
        <w:t xml:space="preserve"> </w:t>
      </w:r>
      <w:r>
        <w:rPr>
          <w:iCs/>
          <w:i/>
        </w:rPr>
        <w:t xml:space="preserve">nis</w:t>
      </w:r>
      <w:r>
        <w:t xml:space="preserve"> </w:t>
      </w:r>
      <w:r>
        <w:t xml:space="preserve">becomes</w:t>
      </w:r>
      <w:r>
        <w:t xml:space="preserve"> </w:t>
      </w:r>
      <w:r>
        <w:rPr>
          <w:iCs/>
          <w:i/>
        </w:rPr>
        <w:t xml:space="preserve">ṣ</w:t>
      </w:r>
      <w:r>
        <w:t xml:space="preserve">, giving</w:t>
      </w:r>
      <w:r>
        <w:t xml:space="preserve"> </w:t>
      </w:r>
      <w:r>
        <w:rPr>
          <w:iCs/>
          <w:i/>
        </w:rPr>
        <w:t xml:space="preserve">niṣṣidh</w:t>
      </w:r>
      <w:r>
        <w:t xml:space="preserve">; the compound with the genitive-dependent</w:t>
      </w:r>
      <w:r>
        <w:t xml:space="preserve"> </w:t>
      </w:r>
      <w:r>
        <w:rPr>
          <w:iCs/>
          <w:i/>
        </w:rPr>
        <w:t xml:space="preserve">puru</w:t>
      </w:r>
      <w:r>
        <w:t xml:space="preserve"> </w:t>
      </w:r>
      <w:r>
        <w:t xml:space="preserve">(</w:t>
      </w:r>
      <w:r>
        <w:rPr>
          <w:iCs/>
          <w:i/>
        </w:rPr>
        <w:t xml:space="preserve">puru</w:t>
      </w:r>
      <w:r>
        <w:t xml:space="preserve"> </w:t>
      </w:r>
      <w:r>
        <w:t xml:space="preserve">is the object,</w:t>
      </w:r>
      <w:r>
        <w:t xml:space="preserve"> </w:t>
      </w:r>
      <w:r>
        <w:t xml:space="preserve">“</w:t>
      </w:r>
      <w:r>
        <w:t xml:space="preserve">they bar many</w:t>
      </w:r>
      <w:r>
        <w:t xml:space="preserve">”</w:t>
      </w:r>
      <w:r>
        <w:t xml:space="preserve">) gives</w:t>
      </w:r>
      <w:r>
        <w:t xml:space="preserve"> </w:t>
      </w:r>
      <w:r>
        <w:rPr>
          <w:iCs/>
          <w:i/>
        </w:rPr>
        <w:t xml:space="preserve">puruniṣṣidh</w:t>
      </w:r>
      <w:r>
        <w:t xml:space="preserve"> </w:t>
      </w:r>
      <w:r>
        <w:t xml:space="preserve">— a compound that, by</w:t>
      </w:r>
      <w:r>
        <w:t xml:space="preserve"> </w:t>
      </w:r>
      <w:r>
        <w:t xml:space="preserve">“</w:t>
      </w:r>
      <w:r>
        <w:t xml:space="preserve">gati-kāraka-upapadāt kṛt</w:t>
      </w:r>
      <w:r>
        <w:t xml:space="preserve">”</w:t>
      </w:r>
      <w:r>
        <w:t xml:space="preserve"> </w:t>
      </w:r>
      <w:r>
        <w:t xml:space="preserve">(Pā. 6-2-139), keeps the accent of the</w:t>
      </w:r>
      <w:r>
        <w:t xml:space="preserve"> </w:t>
      </w:r>
      <w:r>
        <w:rPr>
          <w:iCs/>
          <w:i/>
        </w:rPr>
        <w:t xml:space="preserve">kṛdanta</w:t>
      </w:r>
      <w:r>
        <w:t xml:space="preserve"> </w:t>
      </w:r>
      <w:r>
        <w:t xml:space="preserve">second member.</w:t>
      </w:r>
      <w:r>
        <w:t xml:space="preserve"> </w:t>
      </w:r>
      <w:r>
        <w:rPr>
          <w:iCs/>
          <w:i/>
        </w:rPr>
        <w:t xml:space="preserve">Niṣṣidh</w:t>
      </w:r>
      <w:r>
        <w:t xml:space="preserve"> </w:t>
      </w:r>
      <w:r>
        <w:t xml:space="preserve">is a</w:t>
      </w:r>
      <w:r>
        <w:t xml:space="preserve"> </w:t>
      </w:r>
      <w:r>
        <w:rPr>
          <w:iCs/>
          <w:i/>
        </w:rPr>
        <w:t xml:space="preserve">kṛdanta</w:t>
      </w:r>
      <w:r>
        <w:t xml:space="preserve"> </w:t>
      </w:r>
      <w:r>
        <w:t xml:space="preserve">because</w:t>
      </w:r>
      <w:r>
        <w:t xml:space="preserve"> </w:t>
      </w:r>
      <w:r>
        <w:rPr>
          <w:iCs/>
          <w:i/>
        </w:rPr>
        <w:t xml:space="preserve">kvip</w:t>
      </w:r>
      <w:r>
        <w:t xml:space="preserve"> </w:t>
      </w:r>
      <w:r>
        <w:t xml:space="preserve">was added even though lost (by</w:t>
      </w:r>
      <w:r>
        <w:t xml:space="preserve"> </w:t>
      </w:r>
      <w:r>
        <w:t xml:space="preserve">“</w:t>
      </w:r>
      <w:r>
        <w:t xml:space="preserve">pratyayalope pratyayalakṣaṇam</w:t>
      </w:r>
      <w:r>
        <w:t xml:space="preserve">”</w:t>
      </w:r>
      <w:r>
        <w:t xml:space="preserve">;</w:t>
      </w:r>
      <w:r>
        <w:t xml:space="preserve"> </w:t>
      </w:r>
      <w:r>
        <w:rPr>
          <w:iCs/>
          <w:i/>
        </w:rPr>
        <w:t xml:space="preserve">kvip</w:t>
      </w:r>
      <w:r>
        <w:t xml:space="preserve"> </w:t>
      </w:r>
      <w:r>
        <w:t xml:space="preserve">comes only after a root, under the heading</w:t>
      </w:r>
      <w:r>
        <w:t xml:space="preserve"> </w:t>
      </w:r>
      <w:r>
        <w:t xml:space="preserve">“</w:t>
      </w:r>
      <w:r>
        <w:t xml:space="preserve">dhātoḥ,</w:t>
      </w:r>
      <w:r>
        <w:t xml:space="preserve">”</w:t>
      </w:r>
      <w:r>
        <w:t xml:space="preserve"> </w:t>
      </w:r>
      <w:r>
        <w:t xml:space="preserve">Pā. 3-1-91); the long argument that the compound is formed with a verb-noun that is not itself a</w:t>
      </w:r>
      <w:r>
        <w:t xml:space="preserve"> </w:t>
      </w:r>
      <w:r>
        <w:rPr>
          <w:iCs/>
          <w:i/>
        </w:rPr>
        <w:t xml:space="preserve">kṛdanta</w:t>
      </w:r>
      <w:r>
        <w:t xml:space="preserve"> </w:t>
      </w:r>
      <w:r>
        <w:t xml:space="preserve">by the usual</w:t>
      </w:r>
      <w:r>
        <w:t xml:space="preserve"> </w:t>
      </w:r>
      <w:r>
        <w:t xml:space="preserve">“</w:t>
      </w:r>
      <w:r>
        <w:t xml:space="preserve">kṛd-grahaṇe gatikārakapūrvasyāpi grahaṇam</w:t>
      </w:r>
      <w:r>
        <w:t xml:space="preserve">”</w:t>
      </w:r>
      <w:r>
        <w:t xml:space="preserve"> </w:t>
      </w:r>
      <w:r>
        <w:t xml:space="preserve">paribhāṣā (Paribhāṣā 28) settles that the accent of the</w:t>
      </w:r>
      <w:r>
        <w:t xml:space="preserve"> </w:t>
      </w:r>
      <w:r>
        <w:rPr>
          <w:iCs/>
          <w:i/>
        </w:rPr>
        <w:t xml:space="preserve">kṛdanta</w:t>
      </w:r>
      <w:r>
        <w:t xml:space="preserve"> </w:t>
      </w:r>
      <w:r>
        <w:t xml:space="preserve">second member stands. The remaining syllables are unaccented by</w:t>
      </w:r>
      <w:r>
        <w:t xml:space="preserve"> </w:t>
      </w:r>
      <w:r>
        <w:t xml:space="preserve">“</w:t>
      </w:r>
      <w:r>
        <w:t xml:space="preserve">anudāttaṃ padam ekavarjam</w:t>
      </w:r>
      <w:r>
        <w:t xml:space="preserve">”</w:t>
      </w:r>
      <w:r>
        <w:t xml:space="preserve"> </w:t>
      </w:r>
      <w:r>
        <w:t xml:space="preserve">(Pā. 6-1-158); the dative ending</w:t>
      </w:r>
      <w:r>
        <w:t xml:space="preserve"> </w:t>
      </w:r>
      <w:r>
        <w:rPr>
          <w:iCs/>
          <w:i/>
        </w:rPr>
        <w:t xml:space="preserve">e</w:t>
      </w:r>
      <w:r>
        <w:t xml:space="preserve"> </w:t>
      </w:r>
      <w:r>
        <w:t xml:space="preserve">of</w:t>
      </w:r>
      <w:r>
        <w:t xml:space="preserve"> </w:t>
      </w:r>
      <w:r>
        <w:rPr>
          <w:iCs/>
          <w:i/>
        </w:rPr>
        <w:t xml:space="preserve">puruniṣṣidhe</w:t>
      </w:r>
      <w:r>
        <w:t xml:space="preserve"> </w:t>
      </w:r>
      <w:r>
        <w:t xml:space="preserve">(</w:t>
      </w:r>
      <w:r>
        <w:rPr>
          <w:iCs/>
          <w:i/>
        </w:rPr>
        <w:t xml:space="preserve">ṅe</w:t>
      </w:r>
      <w:r>
        <w:t xml:space="preserve">) is unaccented by</w:t>
      </w:r>
      <w:r>
        <w:t xml:space="preserve"> </w:t>
      </w:r>
      <w:r>
        <w:t xml:space="preserve">“</w:t>
      </w:r>
      <w:r>
        <w:t xml:space="preserve">anudāttau suppitau</w:t>
      </w:r>
      <w:r>
        <w:t xml:space="preserve">”</w:t>
      </w:r>
      <w:r>
        <w:t xml:space="preserve"> </w:t>
      </w:r>
      <w:r>
        <w:t xml:space="preserve">(Pā. 3-1-4), and then becomes</w:t>
      </w:r>
      <w:r>
        <w:t xml:space="preserve"> </w:t>
      </w:r>
      <w:r>
        <w:rPr>
          <w:iCs/>
          <w:i/>
        </w:rPr>
        <w:t xml:space="preserve">svarita</w:t>
      </w:r>
      <w:r>
        <w:t xml:space="preserve"> </w:t>
      </w:r>
      <w:r>
        <w:t xml:space="preserve">by</w:t>
      </w:r>
      <w:r>
        <w:t xml:space="preserve"> </w:t>
      </w:r>
      <w:r>
        <w:t xml:space="preserve">“</w:t>
      </w:r>
      <w:r>
        <w:t xml:space="preserve">udāttād anudāttasya svaritaḥ</w:t>
      </w:r>
      <w:r>
        <w:t xml:space="preserve">”</w:t>
      </w:r>
      <w:r>
        <w:t xml:space="preserve"> </w:t>
      </w:r>
      <w:r>
        <w:t xml:space="preserve">(8-4-66, printed</w:t>
      </w:r>
      <w:r>
        <w:t xml:space="preserve"> </w:t>
      </w:r>
      <w:r>
        <w:t xml:space="preserve">“</w:t>
      </w:r>
      <w:r>
        <w:t xml:space="preserve">pā. rū.</w:t>
      </w:r>
      <w:r>
        <w:t xml:space="preserve">”</w:t>
      </w:r>
      <w:r>
        <w:t xml:space="preserve"> </w:t>
      </w:r>
      <w:r>
        <w:t xml:space="preserve">[sic]).</w:t>
      </w:r>
      <w:r>
        <w:t xml:space="preserve"> </w:t>
      </w:r>
      <w:r>
        <w:rPr>
          <w:bCs/>
          <w:b/>
        </w:rPr>
        <w:t xml:space="preserve">शक्रः (</w:t>
      </w:r>
      <w:r>
        <w:rPr>
          <w:iCs/>
          <w:i/>
          <w:bCs/>
          <w:b/>
        </w:rPr>
        <w:t xml:space="preserve">śakraḥ</w:t>
      </w:r>
      <w:r>
        <w:rPr>
          <w:bCs/>
          <w:b/>
        </w:rPr>
        <w:t xml:space="preserve">)</w:t>
      </w:r>
      <w:r>
        <w:t xml:space="preserve"> </w:t>
      </w:r>
      <w:r>
        <w:t xml:space="preserve">—</w:t>
      </w:r>
      <w:r>
        <w:t xml:space="preserve"> </w:t>
      </w:r>
      <w:r>
        <w:t xml:space="preserve">“</w:t>
      </w:r>
      <w:r>
        <w:t xml:space="preserve">sphāyitañcivañciśaki…</w:t>
      </w:r>
      <w:r>
        <w:t xml:space="preserve">”</w:t>
      </w:r>
      <w:r>
        <w:t xml:space="preserve"> </w:t>
      </w:r>
      <w:r>
        <w:t xml:space="preserve">(Uṇ. 2-170 [?] as printed, the second digit 7 or 2; the bhāṣya gives 2-13): the root</w:t>
      </w:r>
      <w:r>
        <w:t xml:space="preserve"> </w:t>
      </w:r>
      <w:r>
        <w:rPr>
          <w:iCs/>
          <w:i/>
        </w:rPr>
        <w:t xml:space="preserve">śakḷ śaktau</w:t>
      </w:r>
      <w:r>
        <w:t xml:space="preserve"> </w:t>
      </w:r>
      <w:r>
        <w:t xml:space="preserve">with</w:t>
      </w:r>
      <w:r>
        <w:t xml:space="preserve"> </w:t>
      </w:r>
      <w:r>
        <w:rPr>
          <w:iCs/>
          <w:i/>
        </w:rPr>
        <w:t xml:space="preserve">rak</w:t>
      </w:r>
      <w:r>
        <w:t xml:space="preserve">; the accent by the suffix.</w:t>
      </w:r>
      <w:r>
        <w:t xml:space="preserve"> </w:t>
      </w:r>
      <w:r>
        <w:rPr>
          <w:bCs/>
          <w:b/>
        </w:rPr>
        <w:t xml:space="preserve">यथा (</w:t>
      </w:r>
      <w:r>
        <w:rPr>
          <w:iCs/>
          <w:i/>
          <w:bCs/>
          <w:b/>
        </w:rPr>
        <w:t xml:space="preserve">yathā</w:t>
      </w:r>
      <w:r>
        <w:rPr>
          <w:bCs/>
          <w:b/>
        </w:rPr>
        <w:t xml:space="preserve">)</w:t>
      </w:r>
      <w:r>
        <w:t xml:space="preserve"> </w:t>
      </w:r>
      <w:r>
        <w:t xml:space="preserve">—</w:t>
      </w:r>
      <w:r>
        <w:t xml:space="preserve"> </w:t>
      </w:r>
      <w:r>
        <w:t xml:space="preserve">“</w:t>
      </w:r>
      <w:r>
        <w:t xml:space="preserve">prakāravacane thāl</w:t>
      </w:r>
      <w:r>
        <w:t xml:space="preserve">”</w:t>
      </w:r>
      <w:r>
        <w:t xml:space="preserve"> </w:t>
      </w:r>
      <w:r>
        <w:t xml:space="preserve">(Pā. 5-3-23);</w:t>
      </w:r>
      <w:r>
        <w:t xml:space="preserve"> </w:t>
      </w:r>
      <w:r>
        <w:rPr>
          <w:iCs/>
          <w:i/>
        </w:rPr>
        <w:t xml:space="preserve">thāl</w:t>
      </w:r>
      <w:r>
        <w:t xml:space="preserve"> </w:t>
      </w:r>
      <w:r>
        <w:t xml:space="preserve">is</w:t>
      </w:r>
      <w:r>
        <w:t xml:space="preserve"> </w:t>
      </w:r>
      <w:r>
        <w:rPr>
          <w:iCs/>
          <w:i/>
        </w:rPr>
        <w:t xml:space="preserve">l</w:t>
      </w:r>
      <w:r>
        <w:t xml:space="preserve">-marked, so the vowel before it is udātta by</w:t>
      </w:r>
      <w:r>
        <w:t xml:space="preserve"> </w:t>
      </w:r>
      <w:r>
        <w:t xml:space="preserve">“</w:t>
      </w:r>
      <w:r>
        <w:t xml:space="preserve">liti</w:t>
      </w:r>
      <w:r>
        <w:t xml:space="preserve">”</w:t>
      </w:r>
      <w:r>
        <w:t xml:space="preserve"> </w:t>
      </w:r>
      <w:r>
        <w:t xml:space="preserve">(Pā. 6-1-193).</w:t>
      </w:r>
      <w:r>
        <w:t xml:space="preserve"> </w:t>
      </w:r>
      <w:r>
        <w:rPr>
          <w:bCs/>
          <w:b/>
        </w:rPr>
        <w:t xml:space="preserve">सुतेषु (</w:t>
      </w:r>
      <w:r>
        <w:rPr>
          <w:iCs/>
          <w:i/>
          <w:bCs/>
          <w:b/>
        </w:rPr>
        <w:t xml:space="preserve">suteṣu</w:t>
      </w:r>
      <w:r>
        <w:rPr>
          <w:bCs/>
          <w:b/>
        </w:rPr>
        <w:t xml:space="preserve">)</w:t>
      </w:r>
      <w:r>
        <w:t xml:space="preserve"> </w:t>
      </w:r>
      <w:r>
        <w:t xml:space="preserve">— root</w:t>
      </w:r>
      <w:r>
        <w:t xml:space="preserve"> </w:t>
      </w:r>
      <w:r>
        <w:rPr>
          <w:iCs/>
          <w:i/>
        </w:rPr>
        <w:t xml:space="preserve">ṣuñ abhiṣave</w:t>
      </w:r>
      <w:r>
        <w:t xml:space="preserve"> </w:t>
      </w:r>
      <w:r>
        <w:t xml:space="preserve">+</w:t>
      </w:r>
      <w:r>
        <w:t xml:space="preserve"> </w:t>
      </w:r>
      <w:r>
        <w:rPr>
          <w:iCs/>
          <w:i/>
        </w:rPr>
        <w:t xml:space="preserve">kta</w:t>
      </w:r>
      <w:r>
        <w:t xml:space="preserve">; udātta by the suffix.</w:t>
      </w:r>
      <w:r>
        <w:t xml:space="preserve"> </w:t>
      </w:r>
      <w:r>
        <w:rPr>
          <w:bCs/>
          <w:b/>
        </w:rPr>
        <w:t xml:space="preserve">नः (</w:t>
      </w:r>
      <w:r>
        <w:rPr>
          <w:iCs/>
          <w:i/>
          <w:bCs/>
          <w:b/>
        </w:rPr>
        <w:t xml:space="preserve">naḥ</w:t>
      </w:r>
      <w:r>
        <w:rPr>
          <w:bCs/>
          <w:b/>
        </w:rPr>
        <w:t xml:space="preserve">)</w:t>
      </w:r>
      <w:r>
        <w:t xml:space="preserve"> </w:t>
      </w:r>
      <w:r>
        <w:t xml:space="preserve">—</w:t>
      </w:r>
      <w:r>
        <w:t xml:space="preserve"> </w:t>
      </w:r>
      <w:r>
        <w:rPr>
          <w:iCs/>
          <w:i/>
        </w:rPr>
        <w:t xml:space="preserve">nas</w:t>
      </w:r>
      <w:r>
        <w:t xml:space="preserve"> </w:t>
      </w:r>
      <w:r>
        <w:t xml:space="preserve">is substituted for</w:t>
      </w:r>
      <w:r>
        <w:t xml:space="preserve"> </w:t>
      </w:r>
      <w:r>
        <w:rPr>
          <w:iCs/>
          <w:i/>
        </w:rPr>
        <w:t xml:space="preserve">asmākam</w:t>
      </w:r>
      <w:r>
        <w:t xml:space="preserve"> </w:t>
      </w:r>
      <w:r>
        <w:t xml:space="preserve">by</w:t>
      </w:r>
      <w:r>
        <w:t xml:space="preserve"> </w:t>
      </w:r>
      <w:r>
        <w:t xml:space="preserve">“</w:t>
      </w:r>
      <w:r>
        <w:t xml:space="preserve">bahuvacanasya vasnasau</w:t>
      </w:r>
      <w:r>
        <w:t xml:space="preserve">”</w:t>
      </w:r>
      <w:r>
        <w:t xml:space="preserve"> </w:t>
      </w:r>
      <w:r>
        <w:t xml:space="preserve">(Pā. 8-1-21); unaccented; in the Saṃhitā the</w:t>
      </w:r>
      <w:r>
        <w:t xml:space="preserve"> </w:t>
      </w:r>
      <w:r>
        <w:rPr>
          <w:iCs/>
          <w:i/>
        </w:rPr>
        <w:t xml:space="preserve">n</w:t>
      </w:r>
      <w:r>
        <w:t xml:space="preserve"> </w:t>
      </w:r>
      <w:r>
        <w:t xml:space="preserve">of</w:t>
      </w:r>
      <w:r>
        <w:t xml:space="preserve"> </w:t>
      </w:r>
      <w:r>
        <w:rPr>
          <w:iCs/>
          <w:i/>
        </w:rPr>
        <w:t xml:space="preserve">nas</w:t>
      </w:r>
      <w:r>
        <w:t xml:space="preserve"> </w:t>
      </w:r>
      <w:r>
        <w:t xml:space="preserve">is retroflexed to</w:t>
      </w:r>
      <w:r>
        <w:t xml:space="preserve"> </w:t>
      </w:r>
      <w:r>
        <w:rPr>
          <w:iCs/>
          <w:i/>
        </w:rPr>
        <w:t xml:space="preserve">ṇ</w:t>
      </w:r>
      <w:r>
        <w:t xml:space="preserve"> </w:t>
      </w:r>
      <w:r>
        <w:t xml:space="preserve">(</w:t>
      </w:r>
      <w:r>
        <w:t xml:space="preserve">“</w:t>
      </w:r>
      <w:r>
        <w:t xml:space="preserve">naś ca dhātustho-ru-ṣubhyaḥ,</w:t>
      </w:r>
      <w:r>
        <w:t xml:space="preserve">”</w:t>
      </w:r>
      <w:r>
        <w:t xml:space="preserve"> </w:t>
      </w:r>
      <w:r>
        <w:t xml:space="preserve">Pā. 8-4-27: after a cause of retroflexion in a root, and after</w:t>
      </w:r>
      <w:r>
        <w:t xml:space="preserve"> </w:t>
      </w:r>
      <w:r>
        <w:rPr>
          <w:iCs/>
          <w:i/>
        </w:rPr>
        <w:t xml:space="preserve">uru</w:t>
      </w:r>
      <w:r>
        <w:t xml:space="preserve"> </w:t>
      </w:r>
      <w:r>
        <w:t xml:space="preserve">and</w:t>
      </w:r>
      <w:r>
        <w:t xml:space="preserve"> </w:t>
      </w:r>
      <w:r>
        <w:rPr>
          <w:iCs/>
          <w:i/>
        </w:rPr>
        <w:t xml:space="preserve">ṣu</w:t>
      </w:r>
      <w:r>
        <w:t xml:space="preserve">);</w:t>
      </w:r>
      <w:r>
        <w:t xml:space="preserve"> </w:t>
      </w:r>
      <w:r>
        <w:rPr>
          <w:iCs/>
          <w:i/>
        </w:rPr>
        <w:t xml:space="preserve">suteṣu</w:t>
      </w:r>
      <w:r>
        <w:t xml:space="preserve"> </w:t>
      </w:r>
      <w:r>
        <w:t xml:space="preserve">ends in</w:t>
      </w:r>
      <w:r>
        <w:t xml:space="preserve"> </w:t>
      </w:r>
      <w:r>
        <w:rPr>
          <w:iCs/>
          <w:i/>
        </w:rPr>
        <w:t xml:space="preserve">ṣ</w:t>
      </w:r>
      <w:r>
        <w:t xml:space="preserve"> </w:t>
      </w:r>
      <w:r>
        <w:t xml:space="preserve">with</w:t>
      </w:r>
      <w:r>
        <w:t xml:space="preserve"> </w:t>
      </w:r>
      <w:r>
        <w:rPr>
          <w:iCs/>
          <w:i/>
        </w:rPr>
        <w:t xml:space="preserve">pu</w:t>
      </w:r>
      <w:r>
        <w:t xml:space="preserve">-type words so that the</w:t>
      </w:r>
      <w:r>
        <w:t xml:space="preserve"> </w:t>
      </w:r>
      <w:r>
        <w:rPr>
          <w:iCs/>
          <w:i/>
        </w:rPr>
        <w:t xml:space="preserve">n</w:t>
      </w:r>
      <w:r>
        <w:t xml:space="preserve"> </w:t>
      </w:r>
      <w:r>
        <w:t xml:space="preserve">of the following</w:t>
      </w:r>
      <w:r>
        <w:t xml:space="preserve"> </w:t>
      </w:r>
      <w:r>
        <w:rPr>
          <w:iCs/>
          <w:i/>
        </w:rPr>
        <w:t xml:space="preserve">nas</w:t>
      </w:r>
      <w:r>
        <w:t xml:space="preserve"> </w:t>
      </w:r>
      <w:r>
        <w:t xml:space="preserve">becomes</w:t>
      </w:r>
      <w:r>
        <w:t xml:space="preserve"> </w:t>
      </w:r>
      <w:r>
        <w:rPr>
          <w:iCs/>
          <w:i/>
        </w:rPr>
        <w:t xml:space="preserve">ṇ</w:t>
      </w:r>
      <w:r>
        <w:t xml:space="preserve">:</w:t>
      </w:r>
      <w:r>
        <w:t xml:space="preserve"> </w:t>
      </w:r>
      <w:r>
        <w:rPr>
          <w:iCs/>
          <w:i/>
        </w:rPr>
        <w:t xml:space="preserve">suteṣu ṇaḥ</w:t>
      </w:r>
      <w:r>
        <w:t xml:space="preserve">; the Śekharakāra holds that</w:t>
      </w:r>
      <w:r>
        <w:t xml:space="preserve"> </w:t>
      </w:r>
      <w:r>
        <w:rPr>
          <w:iCs/>
          <w:i/>
        </w:rPr>
        <w:t xml:space="preserve">ṣu</w:t>
      </w:r>
      <w:r>
        <w:t xml:space="preserve"> </w:t>
      </w:r>
      <w:r>
        <w:t xml:space="preserve">there imitates the root</w:t>
      </w:r>
      <w:r>
        <w:t xml:space="preserve"> </w:t>
      </w:r>
      <w:r>
        <w:rPr>
          <w:iCs/>
          <w:i/>
        </w:rPr>
        <w:t xml:space="preserve">ṣuñ</w:t>
      </w:r>
      <w:r>
        <w:t xml:space="preserve"> </w:t>
      </w:r>
      <w:r>
        <w:t xml:space="preserve">with its</w:t>
      </w:r>
      <w:r>
        <w:t xml:space="preserve"> </w:t>
      </w:r>
      <w:r>
        <w:rPr>
          <w:iCs/>
          <w:i/>
        </w:rPr>
        <w:t xml:space="preserve">ṣ</w:t>
      </w:r>
      <w:r>
        <w:t xml:space="preserve"> </w:t>
      </w:r>
      <w:r>
        <w:t xml:space="preserve">(</w:t>
      </w:r>
      <w:r>
        <w:t xml:space="preserve">“</w:t>
      </w:r>
      <w:r>
        <w:t xml:space="preserve">ṣu iti kṛtaṣatvasya suño ’nukaraṇam,</w:t>
      </w:r>
      <w:r>
        <w:t xml:space="preserve">”</w:t>
      </w:r>
      <w:r>
        <w:t xml:space="preserve"> </w:t>
      </w:r>
      <w:r>
        <w:t xml:space="preserve">Śe. on 8-4-27), and so explains why there is no</w:t>
      </w:r>
      <w:r>
        <w:t xml:space="preserve"> </w:t>
      </w:r>
      <w:r>
        <w:rPr>
          <w:iCs/>
          <w:i/>
        </w:rPr>
        <w:t xml:space="preserve">ṇatva</w:t>
      </w:r>
      <w:r>
        <w:t xml:space="preserve"> </w:t>
      </w:r>
      <w:r>
        <w:t xml:space="preserve">in</w:t>
      </w:r>
      <w:r>
        <w:t xml:space="preserve"> </w:t>
      </w:r>
      <w:r>
        <w:rPr>
          <w:iCs/>
          <w:i/>
        </w:rPr>
        <w:t xml:space="preserve">gṛ(gra) heṣunaḥ</w:t>
      </w:r>
      <w:r>
        <w:t xml:space="preserve">; the Subodhinī agrees, and Bhaṭṭojidīkṣita in the Kaumudī gives examples such as</w:t>
      </w:r>
      <w:r>
        <w:t xml:space="preserve"> </w:t>
      </w:r>
      <w:r>
        <w:rPr>
          <w:iCs/>
          <w:i/>
        </w:rPr>
        <w:t xml:space="preserve">abhīṣuṇaḥ</w:t>
      </w:r>
      <w:r>
        <w:t xml:space="preserve">; how</w:t>
      </w:r>
      <w:r>
        <w:t xml:space="preserve"> </w:t>
      </w:r>
      <w:r>
        <w:rPr>
          <w:iCs/>
          <w:i/>
        </w:rPr>
        <w:t xml:space="preserve">ṇatva</w:t>
      </w:r>
      <w:r>
        <w:t xml:space="preserve"> </w:t>
      </w:r>
      <w:r>
        <w:t xml:space="preserve">applies in the present case</w:t>
      </w:r>
      <w:r>
        <w:t xml:space="preserve"> </w:t>
      </w:r>
      <w:r>
        <w:t xml:space="preserve">“</w:t>
      </w:r>
      <w:r>
        <w:t xml:space="preserve">is to be considered</w:t>
      </w:r>
      <w:r>
        <w:t xml:space="preserve">”</w:t>
      </w:r>
      <w:r>
        <w:t xml:space="preserve"> </w:t>
      </w:r>
      <w:r>
        <w:t xml:space="preserve">(</w:t>
      </w:r>
      <w:r>
        <w:rPr>
          <w:iCs/>
          <w:i/>
        </w:rPr>
        <w:t xml:space="preserve">cintanīya</w:t>
      </w:r>
      <w:r>
        <w:t xml:space="preserve">).</w:t>
      </w:r>
      <w:r>
        <w:t xml:space="preserve"> </w:t>
      </w:r>
      <w:r>
        <w:rPr>
          <w:bCs/>
          <w:b/>
        </w:rPr>
        <w:t xml:space="preserve">रारणत् (</w:t>
      </w:r>
      <w:r>
        <w:rPr>
          <w:iCs/>
          <w:i/>
          <w:bCs/>
          <w:b/>
        </w:rPr>
        <w:t xml:space="preserve">rāraṇat</w:t>
      </w:r>
      <w:r>
        <w:rPr>
          <w:bCs/>
          <w:b/>
        </w:rPr>
        <w:t xml:space="preserve">)</w:t>
      </w:r>
      <w:r>
        <w:t xml:space="preserve"> </w:t>
      </w:r>
      <w:r>
        <w:t xml:space="preserve">— root</w:t>
      </w:r>
      <w:r>
        <w:t xml:space="preserve"> </w:t>
      </w:r>
      <w:r>
        <w:rPr>
          <w:iCs/>
          <w:i/>
        </w:rPr>
        <w:t xml:space="preserve">raṇa śabdārthaḥ</w:t>
      </w:r>
      <w:r>
        <w:t xml:space="preserve"> </w:t>
      </w:r>
      <w:r>
        <w:t xml:space="preserve">(</w:t>
      </w:r>
      <w:r>
        <w:t xml:space="preserve">“</w:t>
      </w:r>
      <w:r>
        <w:t xml:space="preserve">to sound</w:t>
      </w:r>
      <w:r>
        <w:t xml:space="preserve">”</w:t>
      </w:r>
      <w:r>
        <w:t xml:space="preserve">);</w:t>
      </w:r>
      <w:r>
        <w:t xml:space="preserve"> </w:t>
      </w:r>
      <w:r>
        <w:rPr>
          <w:iCs/>
          <w:i/>
        </w:rPr>
        <w:t xml:space="preserve">yaṅ</w:t>
      </w:r>
      <w:r>
        <w:t xml:space="preserve"> </w:t>
      </w:r>
      <w:r>
        <w:t xml:space="preserve">by</w:t>
      </w:r>
      <w:r>
        <w:t xml:space="preserve"> </w:t>
      </w:r>
      <w:r>
        <w:t xml:space="preserve">“</w:t>
      </w:r>
      <w:r>
        <w:t xml:space="preserve">dhātor ekāco halādeḥ kriyāsamabhihāre yaṅ</w:t>
      </w:r>
      <w:r>
        <w:t xml:space="preserve">”</w:t>
      </w:r>
      <w:r>
        <w:t xml:space="preserve"> </w:t>
      </w:r>
      <w:r>
        <w:t xml:space="preserve">(Pā. 3-1-22);</w:t>
      </w:r>
      <w:r>
        <w:t xml:space="preserve"> </w:t>
      </w:r>
      <w:r>
        <w:rPr>
          <w:iCs/>
          <w:i/>
        </w:rPr>
        <w:t xml:space="preserve">yaṅ</w:t>
      </w:r>
      <w:r>
        <w:t xml:space="preserve"> </w:t>
      </w:r>
      <w:r>
        <w:t xml:space="preserve">then dropped by</w:t>
      </w:r>
      <w:r>
        <w:t xml:space="preserve"> </w:t>
      </w:r>
      <w:r>
        <w:t xml:space="preserve">“</w:t>
      </w:r>
      <w:r>
        <w:t xml:space="preserve">yaṅo ’ci ca</w:t>
      </w:r>
      <w:r>
        <w:t xml:space="preserve">”</w:t>
      </w:r>
      <w:r>
        <w:t xml:space="preserve"> </w:t>
      </w:r>
      <w:r>
        <w:t xml:space="preserve">(Pā. 2-4-74), with</w:t>
      </w:r>
      <w:r>
        <w:t xml:space="preserve"> </w:t>
      </w:r>
      <w:r>
        <w:t xml:space="preserve">“</w:t>
      </w:r>
      <w:r>
        <w:t xml:space="preserve">pratyayalope pratyayalakṣaṇam</w:t>
      </w:r>
      <w:r>
        <w:t xml:space="preserve">”</w:t>
      </w:r>
      <w:r>
        <w:t xml:space="preserve"> </w:t>
      </w:r>
      <w:r>
        <w:t xml:space="preserve">(Pā. 1-1-62) keeping it as</w:t>
      </w:r>
      <w:r>
        <w:t xml:space="preserve"> </w:t>
      </w:r>
      <w:r>
        <w:rPr>
          <w:iCs/>
          <w:i/>
        </w:rPr>
        <w:t xml:space="preserve">yaṅanta</w:t>
      </w:r>
      <w:r>
        <w:t xml:space="preserve">; doubling by</w:t>
      </w:r>
      <w:r>
        <w:t xml:space="preserve"> </w:t>
      </w:r>
      <w:r>
        <w:t xml:space="preserve">“</w:t>
      </w:r>
      <w:r>
        <w:t xml:space="preserve">sanyaṅoḥ</w:t>
      </w:r>
      <w:r>
        <w:t xml:space="preserve">”</w:t>
      </w:r>
      <w:r>
        <w:t xml:space="preserve"> </w:t>
      </w:r>
      <w:r>
        <w:t xml:space="preserve">(Pā. 6-1-9);</w:t>
      </w:r>
      <w:r>
        <w:t xml:space="preserve"> </w:t>
      </w:r>
      <w:r>
        <w:t xml:space="preserve">“</w:t>
      </w:r>
      <w:r>
        <w:t xml:space="preserve">halādiḥ śeṣaḥ</w:t>
      </w:r>
      <w:r>
        <w:t xml:space="preserve">”</w:t>
      </w:r>
      <w:r>
        <w:t xml:space="preserve"> </w:t>
      </w:r>
      <w:r>
        <w:t xml:space="preserve">(Pā. 7-4-60) drops the</w:t>
      </w:r>
      <w:r>
        <w:t xml:space="preserve"> </w:t>
      </w:r>
      <w:r>
        <w:rPr>
          <w:iCs/>
          <w:i/>
        </w:rPr>
        <w:t xml:space="preserve">ṇ</w:t>
      </w:r>
      <w:r>
        <w:t xml:space="preserve"> </w:t>
      </w:r>
      <w:r>
        <w:t xml:space="preserve">of the reduplicate; its lengthening by</w:t>
      </w:r>
      <w:r>
        <w:t xml:space="preserve"> </w:t>
      </w:r>
      <w:r>
        <w:t xml:space="preserve">“</w:t>
      </w:r>
      <w:r>
        <w:t xml:space="preserve">dīrgho ’kitaḥ</w:t>
      </w:r>
      <w:r>
        <w:t xml:space="preserve">”</w:t>
      </w:r>
      <w:r>
        <w:t xml:space="preserve"> </w:t>
      </w:r>
      <w:r>
        <w:t xml:space="preserve">(Pā. 7-4-83);</w:t>
      </w:r>
      <w:r>
        <w:t xml:space="preserve"> </w:t>
      </w:r>
      <w:r>
        <w:t xml:space="preserve">“</w:t>
      </w:r>
      <w:r>
        <w:t xml:space="preserve">sanādyantā dhātavaḥ</w:t>
      </w:r>
      <w:r>
        <w:t xml:space="preserve">”</w:t>
      </w:r>
      <w:r>
        <w:t xml:space="preserve"> </w:t>
      </w:r>
      <w:r>
        <w:t xml:space="preserve">(Pā. 3-1-32) gives root-status; then</w:t>
      </w:r>
      <w:r>
        <w:t xml:space="preserve"> </w:t>
      </w:r>
      <w:r>
        <w:rPr>
          <w:iCs/>
          <w:i/>
        </w:rPr>
        <w:t xml:space="preserve">leṭ</w:t>
      </w:r>
      <w:r>
        <w:t xml:space="preserve"> </w:t>
      </w:r>
      <w:r>
        <w:t xml:space="preserve">by</w:t>
      </w:r>
      <w:r>
        <w:t xml:space="preserve"> </w:t>
      </w:r>
      <w:r>
        <w:t xml:space="preserve">“</w:t>
      </w:r>
      <w:r>
        <w:t xml:space="preserve">liṅarthe leṭ</w:t>
      </w:r>
      <w:r>
        <w:t xml:space="preserve">”</w:t>
      </w:r>
      <w:r>
        <w:t xml:space="preserve"> </w:t>
      </w:r>
      <w:r>
        <w:t xml:space="preserve">(Pā. 3-4-7) in the sense of consequence (</w:t>
      </w:r>
      <w:r>
        <w:t xml:space="preserve">“</w:t>
      </w:r>
      <w:r>
        <w:t xml:space="preserve">hetuhetumadbhāva</w:t>
      </w:r>
      <w:r>
        <w:t xml:space="preserve">”</w:t>
      </w:r>
      <w:r>
        <w:t xml:space="preserve">): here Indra’s making a sound of approval is the consequence of the reciting of the</w:t>
      </w:r>
      <w:r>
        <w:t xml:space="preserve"> </w:t>
      </w:r>
      <w:r>
        <w:rPr>
          <w:iCs/>
          <w:i/>
        </w:rPr>
        <w:t xml:space="preserve">śastra</w:t>
      </w:r>
      <w:r>
        <w:t xml:space="preserve">;</w:t>
      </w:r>
      <w:r>
        <w:t xml:space="preserve"> </w:t>
      </w:r>
      <w:r>
        <w:rPr>
          <w:iCs/>
          <w:i/>
        </w:rPr>
        <w:t xml:space="preserve">tip</w:t>
      </w:r>
      <w:r>
        <w:t xml:space="preserve">, with</w:t>
      </w:r>
      <w:r>
        <w:t xml:space="preserve"> </w:t>
      </w:r>
      <w:r>
        <w:rPr>
          <w:iCs/>
          <w:i/>
        </w:rPr>
        <w:t xml:space="preserve">i</w:t>
      </w:r>
      <w:r>
        <w:t xml:space="preserve"> </w:t>
      </w:r>
      <w:r>
        <w:t xml:space="preserve">dropped by</w:t>
      </w:r>
      <w:r>
        <w:t xml:space="preserve"> </w:t>
      </w:r>
      <w:r>
        <w:t xml:space="preserve">“</w:t>
      </w:r>
      <w:r>
        <w:t xml:space="preserve">itaś ca lopaḥ parasmaipadeṣu</w:t>
      </w:r>
      <w:r>
        <w:t xml:space="preserve">”</w:t>
      </w:r>
      <w:r>
        <w:t xml:space="preserve"> </w:t>
      </w:r>
      <w:r>
        <w:t xml:space="preserve">(Pā. 3-4-97), augment</w:t>
      </w:r>
      <w:r>
        <w:t xml:space="preserve"> </w:t>
      </w:r>
      <w:r>
        <w:rPr>
          <w:iCs/>
          <w:i/>
        </w:rPr>
        <w:t xml:space="preserve">aṭ</w:t>
      </w:r>
      <w:r>
        <w:t xml:space="preserve"> </w:t>
      </w:r>
      <w:r>
        <w:t xml:space="preserve">by</w:t>
      </w:r>
      <w:r>
        <w:t xml:space="preserve"> </w:t>
      </w:r>
      <w:r>
        <w:t xml:space="preserve">“</w:t>
      </w:r>
      <w:r>
        <w:t xml:space="preserve">leṭo ’ḍāṭau</w:t>
      </w:r>
      <w:r>
        <w:t xml:space="preserve">”</w:t>
      </w:r>
      <w:r>
        <w:t xml:space="preserve"> </w:t>
      </w:r>
      <w:r>
        <w:t xml:space="preserve">(Pā. 3-4-94),</w:t>
      </w:r>
      <w:r>
        <w:t xml:space="preserve"> </w:t>
      </w:r>
      <w:r>
        <w:rPr>
          <w:iCs/>
          <w:i/>
        </w:rPr>
        <w:t xml:space="preserve">śap</w:t>
      </w:r>
      <w:r>
        <w:t xml:space="preserve"> </w:t>
      </w:r>
      <w:r>
        <w:t xml:space="preserve">by</w:t>
      </w:r>
      <w:r>
        <w:t xml:space="preserve"> </w:t>
      </w:r>
      <w:r>
        <w:t xml:space="preserve">“</w:t>
      </w:r>
      <w:r>
        <w:t xml:space="preserve">kartari śap</w:t>
      </w:r>
      <w:r>
        <w:t xml:space="preserve">”</w:t>
      </w:r>
      <w:r>
        <w:t xml:space="preserve"> </w:t>
      </w:r>
      <w:r>
        <w:t xml:space="preserve">(Pā. 3-1-68) — which, since the</w:t>
      </w:r>
      <w:r>
        <w:t xml:space="preserve"> </w:t>
      </w:r>
      <w:r>
        <w:rPr>
          <w:iCs/>
          <w:i/>
        </w:rPr>
        <w:t xml:space="preserve">yaṅluk</w:t>
      </w:r>
      <w:r>
        <w:t xml:space="preserve"> </w:t>
      </w:r>
      <w:r>
        <w:t xml:space="preserve">form is treated like the</w:t>
      </w:r>
      <w:r>
        <w:t xml:space="preserve"> </w:t>
      </w:r>
      <w:r>
        <w:rPr>
          <w:iCs/>
          <w:i/>
        </w:rPr>
        <w:t xml:space="preserve">adādi</w:t>
      </w:r>
      <w:r>
        <w:t xml:space="preserve"> </w:t>
      </w:r>
      <w:r>
        <w:t xml:space="preserve">class (</w:t>
      </w:r>
      <w:r>
        <w:t xml:space="preserve">“</w:t>
      </w:r>
      <w:r>
        <w:t xml:space="preserve">carkarītaṃ ca</w:t>
      </w:r>
      <w:r>
        <w:t xml:space="preserve">”</w:t>
      </w:r>
      <w:r>
        <w:t xml:space="preserve">), should be dropped by</w:t>
      </w:r>
      <w:r>
        <w:t xml:space="preserve"> </w:t>
      </w:r>
      <w:r>
        <w:t xml:space="preserve">“</w:t>
      </w:r>
      <w:r>
        <w:t xml:space="preserve">adiprabhṛtibhyaḥ śapaḥ</w:t>
      </w:r>
      <w:r>
        <w:t xml:space="preserve">”</w:t>
      </w:r>
      <w:r>
        <w:t xml:space="preserve"> </w:t>
      </w:r>
      <w:r>
        <w:t xml:space="preserve">(Pā. 2-4-72) but is</w:t>
      </w:r>
      <w:r>
        <w:t xml:space="preserve"> </w:t>
      </w:r>
      <w:r>
        <w:rPr>
          <w:iCs/>
          <w:i/>
        </w:rPr>
        <w:t xml:space="preserve">not</w:t>
      </w:r>
      <w:r>
        <w:t xml:space="preserve"> </w:t>
      </w:r>
      <w:r>
        <w:t xml:space="preserve">dropped here by</w:t>
      </w:r>
      <w:r>
        <w:t xml:space="preserve"> </w:t>
      </w:r>
      <w:r>
        <w:t xml:space="preserve">“</w:t>
      </w:r>
      <w:r>
        <w:t xml:space="preserve">bahulaṃ chandasi</w:t>
      </w:r>
      <w:r>
        <w:t xml:space="preserve">”</w:t>
      </w:r>
      <w:r>
        <w:t xml:space="preserve"> </w:t>
      </w:r>
      <w:r>
        <w:t xml:space="preserve">(Pā. 2-4-73);</w:t>
      </w:r>
      <w:r>
        <w:t xml:space="preserve"> </w:t>
      </w:r>
      <w:r>
        <w:rPr>
          <w:iCs/>
          <w:i/>
        </w:rPr>
        <w:t xml:space="preserve">śap</w:t>
      </w:r>
      <w:r>
        <w:t xml:space="preserve"> </w:t>
      </w:r>
      <w:r>
        <w:t xml:space="preserve">is</w:t>
      </w:r>
      <w:r>
        <w:t xml:space="preserve"> </w:t>
      </w:r>
      <w:r>
        <w:rPr>
          <w:iCs/>
          <w:i/>
        </w:rPr>
        <w:t xml:space="preserve">pit</w:t>
      </w:r>
      <w:r>
        <w:t xml:space="preserve">, hence unaccented; the root’s accent stands —</w:t>
      </w:r>
      <w:r>
        <w:t xml:space="preserve"> </w:t>
      </w:r>
      <w:r>
        <w:t xml:space="preserve">“</w:t>
      </w:r>
      <w:r>
        <w:t xml:space="preserve">dhātoḥ</w:t>
      </w:r>
      <w:r>
        <w:t xml:space="preserve">”</w:t>
      </w:r>
      <w:r>
        <w:t xml:space="preserve"> </w:t>
      </w:r>
      <w:r>
        <w:t xml:space="preserve">(Pā. 6-1-162) —</w:t>
      </w:r>
      <w:r>
        <w:t xml:space="preserve"> </w:t>
      </w:r>
      <w:r>
        <w:rPr>
          <w:iCs/>
          <w:i/>
        </w:rPr>
        <w:t xml:space="preserve">rāraṇ</w:t>
      </w:r>
      <w:r>
        <w:t xml:space="preserve"> </w:t>
      </w:r>
      <w:r>
        <w:t xml:space="preserve">final-udātta; since</w:t>
      </w:r>
      <w:r>
        <w:t xml:space="preserve"> </w:t>
      </w:r>
      <w:r>
        <w:rPr>
          <w:iCs/>
          <w:i/>
        </w:rPr>
        <w:t xml:space="preserve">śap</w:t>
      </w:r>
      <w:r>
        <w:t xml:space="preserve"> </w:t>
      </w:r>
      <w:r>
        <w:t xml:space="preserve">intervenes before the</w:t>
      </w:r>
      <w:r>
        <w:t xml:space="preserve"> </w:t>
      </w:r>
      <w:r>
        <w:rPr>
          <w:iCs/>
          <w:i/>
        </w:rPr>
        <w:t xml:space="preserve">lasārvadhātuka</w:t>
      </w:r>
      <w:r>
        <w:t xml:space="preserve"> </w:t>
      </w:r>
      <w:r>
        <w:rPr>
          <w:iCs/>
          <w:i/>
        </w:rPr>
        <w:t xml:space="preserve">at</w:t>
      </w:r>
      <w:r>
        <w:t xml:space="preserve">,</w:t>
      </w:r>
      <w:r>
        <w:t xml:space="preserve"> </w:t>
      </w:r>
      <w:r>
        <w:t xml:space="preserve">“</w:t>
      </w:r>
      <w:r>
        <w:t xml:space="preserve">abhyastānām ādiḥ</w:t>
      </w:r>
      <w:r>
        <w:t xml:space="preserve">”</w:t>
      </w:r>
      <w:r>
        <w:t xml:space="preserve"> </w:t>
      </w:r>
      <w:r>
        <w:t xml:space="preserve">(Pā. 6-1-189) does not make it initial-udātta; the</w:t>
      </w:r>
      <w:r>
        <w:t xml:space="preserve"> </w:t>
      </w:r>
      <w:r>
        <w:rPr>
          <w:iCs/>
          <w:i/>
        </w:rPr>
        <w:t xml:space="preserve">a</w:t>
      </w:r>
      <w:r>
        <w:t xml:space="preserve"> </w:t>
      </w:r>
      <w:r>
        <w:t xml:space="preserve">of</w:t>
      </w:r>
      <w:r>
        <w:t xml:space="preserve"> </w:t>
      </w:r>
      <w:r>
        <w:rPr>
          <w:iCs/>
          <w:i/>
        </w:rPr>
        <w:t xml:space="preserve">śap</w:t>
      </w:r>
      <w:r>
        <w:t xml:space="preserve"> </w:t>
      </w:r>
      <w:r>
        <w:t xml:space="preserve">and of the augment combine by</w:t>
      </w:r>
      <w:r>
        <w:t xml:space="preserve"> </w:t>
      </w:r>
      <w:r>
        <w:t xml:space="preserve">“</w:t>
      </w:r>
      <w:r>
        <w:t xml:space="preserve">ato guṇe</w:t>
      </w:r>
      <w:r>
        <w:t xml:space="preserve">”</w:t>
      </w:r>
      <w:r>
        <w:t xml:space="preserve"> </w:t>
      </w:r>
      <w:r>
        <w:t xml:space="preserve">(Pā. 6-1-97);</w:t>
      </w:r>
      <w:r>
        <w:t xml:space="preserve"> </w:t>
      </w:r>
      <w:r>
        <w:t xml:space="preserve">“</w:t>
      </w:r>
      <w:r>
        <w:t xml:space="preserve">tiṅṅ atiṅaḥ</w:t>
      </w:r>
      <w:r>
        <w:t xml:space="preserve">”</w:t>
      </w:r>
      <w:r>
        <w:t xml:space="preserve"> </w:t>
      </w:r>
      <w:r>
        <w:t xml:space="preserve">(Pā. 8-1-28) does not lower it, since the particle</w:t>
      </w:r>
      <w:r>
        <w:t xml:space="preserve"> </w:t>
      </w:r>
      <w:r>
        <w:rPr>
          <w:iCs/>
          <w:i/>
        </w:rPr>
        <w:t xml:space="preserve">yathā</w:t>
      </w:r>
      <w:r>
        <w:t xml:space="preserve"> </w:t>
      </w:r>
      <w:r>
        <w:t xml:space="preserve">occurs (</w:t>
      </w:r>
      <w:r>
        <w:t xml:space="preserve">“</w:t>
      </w:r>
      <w:r>
        <w:t xml:space="preserve">yāvadyathābhyām,</w:t>
      </w:r>
      <w:r>
        <w:t xml:space="preserve">”</w:t>
      </w:r>
      <w:r>
        <w:t xml:space="preserve"> </w:t>
      </w:r>
      <w:r>
        <w:t xml:space="preserve">Pā. 8-1-36), the verb is not unaccented; or, by the</w:t>
      </w:r>
      <w:r>
        <w:t xml:space="preserve"> </w:t>
      </w:r>
      <w:r>
        <w:rPr>
          <w:iCs/>
          <w:i/>
        </w:rPr>
        <w:t xml:space="preserve">ca</w:t>
      </w:r>
      <w:r>
        <w:t xml:space="preserve"> </w:t>
      </w:r>
      <w:r>
        <w:t xml:space="preserve">in</w:t>
      </w:r>
      <w:r>
        <w:t xml:space="preserve"> </w:t>
      </w:r>
      <w:r>
        <w:rPr>
          <w:iCs/>
          <w:i/>
        </w:rPr>
        <w:t xml:space="preserve">sakhyeṣu ca</w:t>
      </w:r>
      <w:r>
        <w:t xml:space="preserve">, the verb</w:t>
      </w:r>
      <w:r>
        <w:t xml:space="preserve"> </w:t>
      </w:r>
      <w:r>
        <w:rPr>
          <w:iCs/>
          <w:i/>
        </w:rPr>
        <w:t xml:space="preserve">rāraṇat</w:t>
      </w:r>
      <w:r>
        <w:t xml:space="preserve"> </w:t>
      </w:r>
      <w:r>
        <w:t xml:space="preserve">of the later clause is supplied from the earlier and so is the first-uttered finite verb, and</w:t>
      </w:r>
      <w:r>
        <w:t xml:space="preserve"> </w:t>
      </w:r>
      <w:r>
        <w:t xml:space="preserve">“</w:t>
      </w:r>
      <w:r>
        <w:t xml:space="preserve">cavāyoge prathamā</w:t>
      </w:r>
      <w:r>
        <w:t xml:space="preserve">”</w:t>
      </w:r>
      <w:r>
        <w:t xml:space="preserve"> </w:t>
      </w:r>
      <w:r>
        <w:t xml:space="preserve">(Pā. 8-1-59) prevents lowering.</w:t>
      </w:r>
      <w:r>
        <w:t xml:space="preserve"> </w:t>
      </w:r>
      <w:r>
        <w:rPr>
          <w:bCs/>
          <w:b/>
        </w:rPr>
        <w:t xml:space="preserve">सख्येषु (</w:t>
      </w:r>
      <w:r>
        <w:rPr>
          <w:iCs/>
          <w:i/>
          <w:bCs/>
          <w:b/>
        </w:rPr>
        <w:t xml:space="preserve">sakhyeṣu</w:t>
      </w:r>
      <w:r>
        <w:rPr>
          <w:bCs/>
          <w:b/>
        </w:rPr>
        <w:t xml:space="preserve">)</w:t>
      </w:r>
      <w:r>
        <w:t xml:space="preserve"> </w:t>
      </w:r>
      <w:r>
        <w:t xml:space="preserve">—</w:t>
      </w:r>
      <w:r>
        <w:t xml:space="preserve"> </w:t>
      </w:r>
      <w:r>
        <w:rPr>
          <w:iCs/>
          <w:i/>
        </w:rPr>
        <w:t xml:space="preserve">sakhyuḥ karmāṇi sakhyāni</w:t>
      </w:r>
      <w:r>
        <w:t xml:space="preserve">:</w:t>
      </w:r>
      <w:r>
        <w:t xml:space="preserve"> </w:t>
      </w:r>
      <w:r>
        <w:t xml:space="preserve">“</w:t>
      </w:r>
      <w:r>
        <w:t xml:space="preserve">sakhyur yaḥ</w:t>
      </w:r>
      <w:r>
        <w:t xml:space="preserve">”</w:t>
      </w:r>
      <w:r>
        <w:t xml:space="preserve"> </w:t>
      </w:r>
      <w:r>
        <w:t xml:space="preserve">(Pā. 5-1-126), with</w:t>
      </w:r>
      <w:r>
        <w:t xml:space="preserve"> </w:t>
      </w:r>
      <w:r>
        <w:t xml:space="preserve">“</w:t>
      </w:r>
      <w:r>
        <w:t xml:space="preserve">karmaṇi ca</w:t>
      </w:r>
      <w:r>
        <w:t xml:space="preserve">”</w:t>
      </w:r>
      <w:r>
        <w:t xml:space="preserve"> </w:t>
      </w:r>
      <w:r>
        <w:t xml:space="preserve">carried from</w:t>
      </w:r>
      <w:r>
        <w:t xml:space="preserve"> </w:t>
      </w:r>
      <w:r>
        <w:t xml:space="preserve">“</w:t>
      </w:r>
      <w:r>
        <w:t xml:space="preserve">guṇavacanabrāhmaṇādibhyaḥ karmaṇi ca</w:t>
      </w:r>
      <w:r>
        <w:t xml:space="preserve">”</w:t>
      </w:r>
      <w:r>
        <w:t xml:space="preserve"> </w:t>
      </w:r>
      <w:r>
        <w:t xml:space="preserve">(Pā. 5-1-124), gives</w:t>
      </w:r>
      <w:r>
        <w:t xml:space="preserve"> </w:t>
      </w:r>
      <w:r>
        <w:rPr>
          <w:iCs/>
          <w:i/>
        </w:rPr>
        <w:t xml:space="preserve">ya</w:t>
      </w:r>
      <w:r>
        <w:t xml:space="preserve"> </w:t>
      </w:r>
      <w:r>
        <w:t xml:space="preserve">in the sense of act; the stem takes</w:t>
      </w:r>
      <w:r>
        <w:t xml:space="preserve"> </w:t>
      </w:r>
      <w:r>
        <w:rPr>
          <w:iCs/>
          <w:i/>
        </w:rPr>
        <w:t xml:space="preserve">bha</w:t>
      </w:r>
      <w:r>
        <w:t xml:space="preserve"> </w:t>
      </w:r>
      <w:r>
        <w:t xml:space="preserve">status by</w:t>
      </w:r>
      <w:r>
        <w:t xml:space="preserve"> </w:t>
      </w:r>
      <w:r>
        <w:t xml:space="preserve">“</w:t>
      </w:r>
      <w:r>
        <w:t xml:space="preserve">yaci bham</w:t>
      </w:r>
      <w:r>
        <w:t xml:space="preserve">”</w:t>
      </w:r>
      <w:r>
        <w:t xml:space="preserve"> </w:t>
      </w:r>
      <w:r>
        <w:t xml:space="preserve">(Pā. 1-4-18);</w:t>
      </w:r>
      <w:r>
        <w:t xml:space="preserve"> </w:t>
      </w:r>
      <w:r>
        <w:rPr>
          <w:iCs/>
          <w:i/>
        </w:rPr>
        <w:t xml:space="preserve">i</w:t>
      </w:r>
      <w:r>
        <w:t xml:space="preserve"> </w:t>
      </w:r>
      <w:r>
        <w:t xml:space="preserve">dropped by</w:t>
      </w:r>
      <w:r>
        <w:t xml:space="preserve"> </w:t>
      </w:r>
      <w:r>
        <w:t xml:space="preserve">“</w:t>
      </w:r>
      <w:r>
        <w:t xml:space="preserve">yasyeti ca</w:t>
      </w:r>
      <w:r>
        <w:t xml:space="preserve">”</w:t>
      </w:r>
      <w:r>
        <w:t xml:space="preserve"> </w:t>
      </w:r>
      <w:r>
        <w:t xml:space="preserve">(Pā. 6-4-148); locative plural</w:t>
      </w:r>
      <w:r>
        <w:t xml:space="preserve"> </w:t>
      </w:r>
      <w:r>
        <w:rPr>
          <w:iCs/>
          <w:i/>
        </w:rPr>
        <w:t xml:space="preserve">sakhyeṣu</w:t>
      </w:r>
      <w:r>
        <w:t xml:space="preserve">;</w:t>
      </w:r>
      <w:r>
        <w:t xml:space="preserve"> </w:t>
      </w:r>
      <w:r>
        <w:rPr>
          <w:iCs/>
          <w:i/>
        </w:rPr>
        <w:t xml:space="preserve">ya</w:t>
      </w:r>
      <w:r>
        <w:t xml:space="preserve"> </w:t>
      </w:r>
      <w:r>
        <w:t xml:space="preserve">is udātta by</w:t>
      </w:r>
      <w:r>
        <w:t xml:space="preserve"> </w:t>
      </w:r>
      <w:r>
        <w:t xml:space="preserve">“</w:t>
      </w:r>
      <w:r>
        <w:t xml:space="preserve">ādyudāttaś ca</w:t>
      </w:r>
      <w:r>
        <w:t xml:space="preserve">”</w:t>
      </w:r>
      <w:r>
        <w:t xml:space="preserve"> </w:t>
      </w:r>
      <w:r>
        <w:t xml:space="preserve">(Pā. 3-1-3).</w:t>
      </w:r>
    </w:p>
    <w:p>
      <w:pPr>
        <w:pStyle w:val="BodyText"/>
      </w:pPr>
      <w:r>
        <w:rPr>
          <w:bCs/>
          <w:b/>
        </w:rPr>
        <w:t xml:space="preserve">॥५॥</w:t>
      </w:r>
    </w:p>
    <w:p>
      <w:r>
        <w:pict>
          <v:rect style="width:0;height:1.5pt" o:hralign="center" o:hrstd="t" o:hr="t"/>
        </w:pict>
      </w:r>
    </w:p>
    <w:bookmarkEnd w:id="429"/>
    <w:bookmarkStart w:id="430" w:name="page-409-sūkta-10-rik-6"/>
    <w:p>
      <w:pPr>
        <w:pStyle w:val="Heading3"/>
      </w:pPr>
      <w:r>
        <w:t xml:space="preserve">Page 409 — Sūkta 10, Rik 6</w:t>
      </w:r>
    </w:p>
    <w:p>
      <w:pPr>
        <w:pStyle w:val="FirstParagraph"/>
      </w:pPr>
      <w:r>
        <w:rPr>
          <w:iCs/>
          <w:i/>
        </w:rPr>
        <w:t xml:space="preserve">(Saṃhitā accents as printed; Pada unaccented. The print ends line 1 with ॥.)</w:t>
      </w:r>
    </w:p>
    <w:p>
      <w:pPr>
        <w:pStyle w:val="BodyText"/>
      </w:pPr>
      <w:r>
        <w:rPr>
          <w:bCs/>
          <w:b/>
        </w:rPr>
        <w:t xml:space="preserve">॥ Saṃhitā-pāṭhaḥ ॥</w:t>
      </w:r>
    </w:p>
    <w:p>
      <w:pPr>
        <w:pStyle w:val="BlockText"/>
      </w:pPr>
      <w:r>
        <w:t xml:space="preserve">तमित्स॑खि॒त्व ई॑महे॒ तं रा॒ये तं सु॒वीर्ये॑ ।</w:t>
      </w:r>
      <w:r>
        <w:t xml:space="preserve"> </w:t>
      </w:r>
      <w:r>
        <w:t xml:space="preserve">स श॒क्र उ॒त नः॑ श॒कदिन्द्रो॒ वसु॒ द॑यमानः ॥६॥</w:t>
      </w:r>
    </w:p>
    <w:p>
      <w:pPr>
        <w:pStyle w:val="BlockText"/>
      </w:pPr>
      <w:r>
        <w:rPr>
          <w:iCs/>
          <w:i/>
        </w:rPr>
        <w:t xml:space="preserve">tam ít sakhitvá īmahe táṃ rāyé taṃ suvī́rye |</w:t>
      </w:r>
      <w:r>
        <w:t xml:space="preserve"> </w:t>
      </w:r>
      <w:r>
        <w:rPr>
          <w:iCs/>
          <w:i/>
        </w:rPr>
        <w:t xml:space="preserve">sa śakrá utá naḥ śakád indro vásu dayamānaḥ ||6||</w:t>
      </w:r>
    </w:p>
    <w:p>
      <w:pPr>
        <w:pStyle w:val="FirstParagraph"/>
      </w:pPr>
      <w:r>
        <w:rPr>
          <w:bCs/>
          <w:b/>
        </w:rPr>
        <w:t xml:space="preserve">॥ Pada-pāṭhaḥ ॥</w:t>
      </w:r>
    </w:p>
    <w:p>
      <w:pPr>
        <w:pStyle w:val="BlockText"/>
      </w:pPr>
      <w:r>
        <w:t xml:space="preserve">तम् । इत् । सखिऽत्वे । ईमहे । तम् । राये । तम् । सुऽवीर्ये ॥</w:t>
      </w:r>
      <w:r>
        <w:t xml:space="preserve"> </w:t>
      </w:r>
      <w:r>
        <w:t xml:space="preserve">सः । शक्रः । उत । नः । शकत् । इन्द्रः । वसु । दयमानः ॥६॥</w:t>
      </w:r>
    </w:p>
    <w:p>
      <w:pPr>
        <w:pStyle w:val="BlockText"/>
      </w:pPr>
      <w:r>
        <w:rPr>
          <w:iCs/>
          <w:i/>
        </w:rPr>
        <w:t xml:space="preserve">tam | it | sakhi-tve | īmahe | tam | rāye | tam | su-vīrye ||</w:t>
      </w:r>
      <w:r>
        <w:t xml:space="preserve"> </w:t>
      </w:r>
      <w:r>
        <w:rPr>
          <w:iCs/>
          <w:i/>
        </w:rPr>
        <w:t xml:space="preserve">saḥ | śakraḥ | uta | naḥ | śakat | indraḥ | vasu | dayamānaḥ ||6||</w:t>
      </w:r>
    </w:p>
    <w:p>
      <w:pPr>
        <w:pStyle w:val="FirstParagraph"/>
      </w:pPr>
      <w:r>
        <w:rPr>
          <w:iCs/>
          <w:i/>
        </w:rPr>
        <w:t xml:space="preserve">(In the Saṃhitā the word</w:t>
      </w:r>
      <w:r>
        <w:t xml:space="preserve"> </w:t>
      </w:r>
      <w:r>
        <w:t xml:space="preserve">सखित्वे</w:t>
      </w:r>
      <w:r>
        <w:t xml:space="preserve"> </w:t>
      </w:r>
      <w:r>
        <w:rPr>
          <w:iCs/>
          <w:i/>
        </w:rPr>
        <w:t xml:space="preserve">prints as</w:t>
      </w:r>
      <w:r>
        <w:t xml:space="preserve"> </w:t>
      </w:r>
      <w:r>
        <w:t xml:space="preserve">सखित्व</w:t>
      </w:r>
      <w:r>
        <w:t xml:space="preserve"> </w:t>
      </w:r>
      <w:r>
        <w:rPr>
          <w:iCs/>
          <w:i/>
        </w:rPr>
        <w:t xml:space="preserve">before the following</w:t>
      </w:r>
      <w:r>
        <w:t xml:space="preserve"> </w:t>
      </w:r>
      <w:r>
        <w:t xml:space="preserve">ई</w:t>
      </w:r>
      <w:r>
        <w:rPr>
          <w:iCs/>
          <w:i/>
        </w:rPr>
        <w:t xml:space="preserve">; the pada text gives the full locative.)</w:t>
      </w:r>
    </w:p>
    <w:p>
      <w:pPr>
        <w:pStyle w:val="BodyText"/>
      </w:pPr>
      <w:r>
        <w:rPr>
          <w:bCs/>
          <w:b/>
        </w:rPr>
        <w:t xml:space="preserve">॥ Sāyaṇa-bhāṣyam ॥</w:t>
      </w:r>
    </w:p>
    <w:p>
      <w:pPr>
        <w:pStyle w:val="BlockText"/>
      </w:pPr>
      <w:r>
        <w:t xml:space="preserve">सखित्वे निमित्तभूते सति तमित्तमेवेन्द्रमीमहे । प्राप्नुमः । तथा राये धनार्थं तमीमहे । तथा सुवीर्ये शोभनसामर्थ्यनिमित्तं तमीमहे । उतापि च शक्रः शक्तिमान्स इन्द्रो नो ऽस्मभ्यं वसु धनं दयमानः प्रयच्छन् शकत् । अस्मदीयरक्षणे शक्तो ऽभूत् । सप्तदशयाच्ञाकर्मस्वीमहे यामीति पठितम् । तदनुसारेणेन्द्रं याचामह इति व्याख्येयम् ॥ सख्युर्भावः सखित्वम् । तस्य भावस्त्वतलौ । पा. ५-१-११९ । इति त्वः । प्रत्ययस्वरेणोदात्तः । ईमहे । ईङ् गतौ । ङित्त्वादात्मनेपदम् । पा. १-३-१२ । दिवादिभ्यः श्यन् । बहुलं छन्दसीति श्यनो लुक् । तिङ्ङतिङ इति निघातः । राये । ऊडिदमिति विभक्तेरुदात्तत्वम् । सुवीर्ये । शोभनं वीर्यं यस्यासौ सुवीर्यः । भवितृवाचिनानेन भावो लक्ष्यते । सुवीर्यत्व इत्यर्थः । बहुव्रीहावित्यनुवृत्तौ वीरवीर्यौ च । पा. ६-२-१२० । इत्युत्तरपदाद्युदात्तत्वम् । शक्नोतीति शक्रः । स्फायितञ्चिवञ्चिशकीत्यादिना रक् । प्रत्ययस्वरः । शकत् । शक्लृ शक्तौ । धातुसंबन्धाधिकारे छन्दसि लुङ्लङ्लिटः । पा. ३-४-६ । इति लुङ् । यतः शक्नोत्यतस्तमीमह इति धातुसंबन्धः । लुङस्तिप् । पुषादिद्युताद्य्लृदितः परस्मैपदेषु । पा. ३-१-५५ । इति च्लेरङादेशः । बहुलं छन्दसि । पा. ६-४-७५ । इत्यडागमाभावः । तिङ्ङतिङ इति निघातः । वसु । निदित्यनुवृत्तौ वसेरुप्रत्ययः । उ. १-११ । नित्त्वादाद्युदात्तत्वम् । दयमानः । दय दानगतिरक्षणहिंसादानेषु । अनुदात्तेत्त्वादात्मनेपदम् । लटः शानजादेशः । पा. ३-२-१२४ । शपः पित्त्वादनुदात्तत्वम् । शानचश्चित इत्यन्तोदात्तत्वं बाधित्वादुपदेशाच्छप उत्तरत्वेन परत्वाल्लसार्वधातुकत्वादनुदात्तत्वम् । धातुस्वर एव शिष्यते ॥ १९ ॥</w:t>
      </w:r>
    </w:p>
    <w:p>
      <w:pPr>
        <w:pStyle w:val="BlockText"/>
      </w:pPr>
      <w:r>
        <w:rPr>
          <w:iCs/>
          <w:i/>
        </w:rPr>
        <w:t xml:space="preserve">sakhitve nimittabhūte sati tamittamevendramīmahe | prāpnumaḥ | tathā rāye dhanārthaṃ tamīmahe | tathā suvīrye śobhanasāmarthyanimittaṃ tamīmahe | utāpi ca śakraḥ śaktimānsa indro no ’smabhyaṃ vasu dhanaṃ dayamānaḥ prayacchan śakat | asmadīyarakṣaṇe śakto ’bhūt | saptadaśayācñākarmasvīmahe yāmīti paṭhitam | tadanusāreṇendraṃ yācāmaha iti vyākhyeyam || sakhyurbhāvaḥ sakhitvam | tasya bhāvastvatalau | pā. 5-1-119 | iti tvaḥ | pratyayasvareṇodāttaḥ | īmahe | īṅ gatau | ṅittvādātmanepadam | pā. 1-3-12 | divādibhyaḥ śyan | bahulaṃ chandasīti śyano luk | tiṅṅatiṅa iti nighātaḥ | rāye | ūḍidamiti vibhakterudāttatvam | suvīrye | śobhanaṃ vīryaṃ yasyāsau suvīryaḥ | bhavitṛvācinānena bhāvo lakṣyate | suvīryatva ityarthaḥ | bahuvrīhāvityanuvṛttau vīravīryau ca | pā. 6-2-120 | ityuttarapadādyudāttatvam | śaknotīti śakraḥ | sphāyitañcivañciśakītyādinā rak | pratyayasvaraḥ | śakat | śaklṛ śaktau | dhātusaṃbandhādhikāre chandasi luṅlaṅliṭaḥ | pā. 3-4-6 | iti luṅ | yataḥ śaknotyatastamīmaha iti dhātusaṃbandhaḥ | luṅastip | puṣādidyutādylṛditaḥ parasmaipadeṣu | pā. 3-1-55 | iti cleraṅādeśaḥ | bahulaṃ chandasi | pā. 6-4-75 | ityaḍāgamābhāvaḥ | tiṅṅatiṅa iti nighātaḥ | vasu | nidityanuvṛttau vaserupratyayaḥ | u. 1-11 | nittvādādyudāttatvam | dayamānaḥ | daya dānagatirakṣaṇahiṃsādāneṣu | anudāttettvādātmanepadam | laṭaḥ śānajādeśaḥ | pā. 3-2-124 | śapaḥ pittvādanudāttatvam | śānacaścita ityantodāttatvaṃ bādhitvādupadeśācchapa uttaratvena paratvāllasārvadhātukatvādanudāttatvam | dhātusvara eva śiṣyate || 19 ||</w:t>
      </w:r>
    </w:p>
    <w:p>
      <w:pPr>
        <w:pStyle w:val="FirstParagraph"/>
      </w:pPr>
      <w:r>
        <w:rPr>
          <w:bCs/>
          <w:b/>
        </w:rPr>
        <w:t xml:space="preserve">Translation:</w:t>
      </w:r>
      <w:r>
        <w:t xml:space="preserve"> </w:t>
      </w:r>
      <w:r>
        <w:t xml:space="preserve">“</w:t>
      </w:r>
      <w:r>
        <w:rPr>
          <w:iCs/>
          <w:i/>
        </w:rPr>
        <w:t xml:space="preserve">Sakhitve</w:t>
      </w:r>
      <w:r>
        <w:t xml:space="preserve"> </w:t>
      </w:r>
      <w:r>
        <w:t xml:space="preserve">— for the sake of friendship —</w:t>
      </w:r>
      <w:r>
        <w:t xml:space="preserve"> </w:t>
      </w:r>
      <w:r>
        <w:rPr>
          <w:iCs/>
          <w:i/>
        </w:rPr>
        <w:t xml:space="preserve">tam it</w:t>
      </w:r>
      <w:r>
        <w:t xml:space="preserve">, him, Indra, indeed,</w:t>
      </w:r>
      <w:r>
        <w:t xml:space="preserve"> </w:t>
      </w:r>
      <w:r>
        <w:rPr>
          <w:iCs/>
          <w:i/>
        </w:rPr>
        <w:t xml:space="preserve">īmahe</w:t>
      </w:r>
      <w:r>
        <w:t xml:space="preserve"> </w:t>
      </w:r>
      <w:r>
        <w:t xml:space="preserve">— we approach, we obtain [his favour]. Likewise</w:t>
      </w:r>
      <w:r>
        <w:t xml:space="preserve"> </w:t>
      </w:r>
      <w:r>
        <w:rPr>
          <w:iCs/>
          <w:i/>
        </w:rPr>
        <w:t xml:space="preserve">rāye</w:t>
      </w:r>
      <w:r>
        <w:t xml:space="preserve">, for wealth, we approach him; likewise</w:t>
      </w:r>
      <w:r>
        <w:t xml:space="preserve"> </w:t>
      </w:r>
      <w:r>
        <w:rPr>
          <w:iCs/>
          <w:i/>
        </w:rPr>
        <w:t xml:space="preserve">suvīrye</w:t>
      </w:r>
      <w:r>
        <w:t xml:space="preserve">, for the sake of fine capacity [valour], we approach him. And</w:t>
      </w:r>
      <w:r>
        <w:t xml:space="preserve"> </w:t>
      </w:r>
      <w:r>
        <w:rPr>
          <w:iCs/>
          <w:i/>
        </w:rPr>
        <w:t xml:space="preserve">uta</w:t>
      </w:r>
      <w:r>
        <w:t xml:space="preserve"> </w:t>
      </w:r>
      <w:r>
        <w:t xml:space="preserve">— also —</w:t>
      </w:r>
      <w:r>
        <w:t xml:space="preserve"> </w:t>
      </w:r>
      <w:r>
        <w:rPr>
          <w:iCs/>
          <w:i/>
        </w:rPr>
        <w:t xml:space="preserve">śakraḥ</w:t>
      </w:r>
      <w:r>
        <w:t xml:space="preserve">, the mighty Indra,</w:t>
      </w:r>
      <w:r>
        <w:t xml:space="preserve"> </w:t>
      </w:r>
      <w:r>
        <w:rPr>
          <w:iCs/>
          <w:i/>
        </w:rPr>
        <w:t xml:space="preserve">naḥ</w:t>
      </w:r>
      <w:r>
        <w:t xml:space="preserve"> </w:t>
      </w:r>
      <w:r>
        <w:t xml:space="preserve">to us,</w:t>
      </w:r>
      <w:r>
        <w:t xml:space="preserve"> </w:t>
      </w:r>
      <w:r>
        <w:rPr>
          <w:iCs/>
          <w:i/>
        </w:rPr>
        <w:t xml:space="preserve">vasu</w:t>
      </w:r>
      <w:r>
        <w:t xml:space="preserve">, wealth,</w:t>
      </w:r>
      <w:r>
        <w:t xml:space="preserve"> </w:t>
      </w:r>
      <w:r>
        <w:rPr>
          <w:iCs/>
          <w:i/>
        </w:rPr>
        <w:t xml:space="preserve">dayamānaḥ</w:t>
      </w:r>
      <w:r>
        <w:t xml:space="preserve"> </w:t>
      </w:r>
      <w:r>
        <w:t xml:space="preserve">— giving —</w:t>
      </w:r>
      <w:r>
        <w:t xml:space="preserve"> </w:t>
      </w:r>
      <w:r>
        <w:rPr>
          <w:iCs/>
          <w:i/>
        </w:rPr>
        <w:t xml:space="preserve">śakat</w:t>
      </w:r>
      <w:r>
        <w:t xml:space="preserve">: has been able, has proved able in protecting us. Among the seventeen verbs meaning</w:t>
      </w:r>
      <w:r>
        <w:t xml:space="preserve"> </w:t>
      </w:r>
      <w:r>
        <w:rPr>
          <w:iCs/>
          <w:i/>
        </w:rPr>
        <w:t xml:space="preserve">yācñā</w:t>
      </w:r>
      <w:r>
        <w:t xml:space="preserve"> </w:t>
      </w:r>
      <w:r>
        <w:t xml:space="preserve">(</w:t>
      </w:r>
      <w:r>
        <w:t xml:space="preserve">‘</w:t>
      </w:r>
      <w:r>
        <w:t xml:space="preserve">request</w:t>
      </w:r>
      <w:r>
        <w:t xml:space="preserve">’</w:t>
      </w:r>
      <w:r>
        <w:t xml:space="preserve">)</w:t>
      </w:r>
      <w:r>
        <w:t xml:space="preserve"> </w:t>
      </w:r>
      <w:r>
        <w:rPr>
          <w:iCs/>
          <w:i/>
        </w:rPr>
        <w:t xml:space="preserve">īmahe</w:t>
      </w:r>
      <w:r>
        <w:t xml:space="preserve"> </w:t>
      </w:r>
      <w:r>
        <w:t xml:space="preserve">and</w:t>
      </w:r>
      <w:r>
        <w:t xml:space="preserve"> </w:t>
      </w:r>
      <w:r>
        <w:rPr>
          <w:iCs/>
          <w:i/>
        </w:rPr>
        <w:t xml:space="preserve">yāmi</w:t>
      </w:r>
      <w:r>
        <w:t xml:space="preserve"> </w:t>
      </w:r>
      <w:r>
        <w:t xml:space="preserve">are read; in accordance with this, it is to be explained:</w:t>
      </w:r>
      <w:r>
        <w:t xml:space="preserve"> </w:t>
      </w:r>
      <w:r>
        <w:t xml:space="preserve">‘</w:t>
      </w:r>
      <w:r>
        <w:t xml:space="preserve">we request Indra.</w:t>
      </w:r>
      <w:r>
        <w:t xml:space="preserve">’</w:t>
      </w:r>
      <w:r>
        <w:t xml:space="preserve">”</w:t>
      </w:r>
      <w:r>
        <w:t xml:space="preserve"> </w:t>
      </w:r>
      <w:r>
        <w:rPr>
          <w:iCs/>
          <w:i/>
        </w:rPr>
        <w:t xml:space="preserve">(Grammar, noted briefly:</w:t>
      </w:r>
      <w:r>
        <w:t xml:space="preserve"> </w:t>
      </w:r>
      <w:r>
        <w:t xml:space="preserve">sakhitvam</w:t>
      </w:r>
      <w:r>
        <w:t xml:space="preserve"> </w:t>
      </w:r>
      <w:r>
        <w:rPr>
          <w:iCs/>
          <w:i/>
        </w:rPr>
        <w:t xml:space="preserve">—</w:t>
      </w:r>
      <w:r>
        <w:rPr>
          <w:iCs/>
          <w:i/>
        </w:rPr>
        <w:t xml:space="preserve"> </w:t>
      </w:r>
      <w:r>
        <w:rPr>
          <w:iCs/>
          <w:i/>
        </w:rPr>
        <w:t xml:space="preserve">“</w:t>
      </w:r>
      <w:r>
        <w:rPr>
          <w:iCs/>
          <w:i/>
        </w:rPr>
        <w:t xml:space="preserve">the state of a friend,</w:t>
      </w:r>
      <w:r>
        <w:rPr>
          <w:iCs/>
          <w:i/>
        </w:rPr>
        <w:t xml:space="preserve">”</w:t>
      </w:r>
      <w:r>
        <w:rPr>
          <w:iCs/>
          <w:i/>
        </w:rPr>
        <w:t xml:space="preserve"> </w:t>
      </w:r>
      <w:r>
        <w:rPr>
          <w:iCs/>
          <w:i/>
        </w:rPr>
        <w:t xml:space="preserve">with</w:t>
      </w:r>
      <w:r>
        <w:t xml:space="preserve"> </w:t>
      </w:r>
      <w:r>
        <w:t xml:space="preserve">tva</w:t>
      </w:r>
      <w:r>
        <w:t xml:space="preserve"> </w:t>
      </w:r>
      <w:r>
        <w:rPr>
          <w:iCs/>
          <w:i/>
        </w:rPr>
        <w:t xml:space="preserve">(Pā. 5-1-119);</w:t>
      </w:r>
      <w:r>
        <w:t xml:space="preserve"> </w:t>
      </w:r>
      <w:r>
        <w:t xml:space="preserve">īmahe</w:t>
      </w:r>
      <w:r>
        <w:t xml:space="preserve"> </w:t>
      </w:r>
      <w:r>
        <w:rPr>
          <w:iCs/>
          <w:i/>
        </w:rPr>
        <w:t xml:space="preserve">— root</w:t>
      </w:r>
      <w:r>
        <w:t xml:space="preserve"> </w:t>
      </w:r>
      <w:r>
        <w:t xml:space="preserve">īṅ gatau</w:t>
      </w:r>
      <w:r>
        <w:rPr>
          <w:iCs/>
          <w:i/>
        </w:rPr>
        <w:t xml:space="preserve">, ātmanepada since</w:t>
      </w:r>
      <w:r>
        <w:t xml:space="preserve"> </w:t>
      </w:r>
      <w:r>
        <w:t xml:space="preserve">ṅ</w:t>
      </w:r>
      <w:r>
        <w:rPr>
          <w:iCs/>
          <w:i/>
        </w:rPr>
        <w:t xml:space="preserve">-marked (Pā. 1-3-12),</w:t>
      </w:r>
      <w:r>
        <w:t xml:space="preserve"> </w:t>
      </w:r>
      <w:r>
        <w:t xml:space="preserve">śyan</w:t>
      </w:r>
      <w:r>
        <w:t xml:space="preserve"> </w:t>
      </w:r>
      <w:r>
        <w:rPr>
          <w:iCs/>
          <w:i/>
        </w:rPr>
        <w:t xml:space="preserve">of the</w:t>
      </w:r>
      <w:r>
        <w:t xml:space="preserve"> </w:t>
      </w:r>
      <w:r>
        <w:t xml:space="preserve">divādi</w:t>
      </w:r>
      <w:r>
        <w:t xml:space="preserve"> </w:t>
      </w:r>
      <w:r>
        <w:rPr>
          <w:iCs/>
          <w:i/>
        </w:rPr>
        <w:t xml:space="preserve">class dropped by</w:t>
      </w:r>
      <w:r>
        <w:t xml:space="preserve"> </w:t>
      </w:r>
      <w:r>
        <w:t xml:space="preserve">luk</w:t>
      </w:r>
      <w:r>
        <w:t xml:space="preserve"> </w:t>
      </w:r>
      <w:r>
        <w:rPr>
          <w:iCs/>
          <w:i/>
        </w:rPr>
        <w:t xml:space="preserve">under</w:t>
      </w:r>
      <w:r>
        <w:t xml:space="preserve"> </w:t>
      </w:r>
      <w:r>
        <w:t xml:space="preserve">bahulam chandasi</w:t>
      </w:r>
      <w:r>
        <w:rPr>
          <w:iCs/>
          <w:i/>
        </w:rPr>
        <w:t xml:space="preserve">;</w:t>
      </w:r>
      <w:r>
        <w:t xml:space="preserve"> </w:t>
      </w:r>
      <w:r>
        <w:t xml:space="preserve">rāye</w:t>
      </w:r>
      <w:r>
        <w:t xml:space="preserve"> </w:t>
      </w:r>
      <w:r>
        <w:rPr>
          <w:iCs/>
          <w:i/>
        </w:rPr>
        <w:t xml:space="preserve">— case-ending udātta;</w:t>
      </w:r>
      <w:r>
        <w:t xml:space="preserve"> </w:t>
      </w:r>
      <w:r>
        <w:t xml:space="preserve">suvīrye</w:t>
      </w:r>
      <w:r>
        <w:t xml:space="preserve"> </w:t>
      </w:r>
      <w:r>
        <w:rPr>
          <w:iCs/>
          <w:i/>
        </w:rPr>
        <w:t xml:space="preserve">—</w:t>
      </w:r>
      <w:r>
        <w:rPr>
          <w:iCs/>
          <w:i/>
        </w:rPr>
        <w:t xml:space="preserve"> </w:t>
      </w:r>
      <w:r>
        <w:rPr>
          <w:iCs/>
          <w:i/>
        </w:rPr>
        <w:t xml:space="preserve">“</w:t>
      </w:r>
      <w:r>
        <w:rPr>
          <w:iCs/>
          <w:i/>
        </w:rPr>
        <w:t xml:space="preserve">he whose valour is fine,</w:t>
      </w:r>
      <w:r>
        <w:rPr>
          <w:iCs/>
          <w:i/>
        </w:rPr>
        <w:t xml:space="preserve">”</w:t>
      </w:r>
      <w:r>
        <w:rPr>
          <w:iCs/>
          <w:i/>
        </w:rPr>
        <w:t xml:space="preserve"> </w:t>
      </w:r>
      <w:r>
        <w:rPr>
          <w:iCs/>
          <w:i/>
        </w:rPr>
        <w:t xml:space="preserve">the abstract sense suggested by this word for the possessor,</w:t>
      </w:r>
      <w:r>
        <w:t xml:space="preserve"> </w:t>
      </w:r>
      <w:r>
        <w:t xml:space="preserve">suvīryatva</w:t>
      </w:r>
      <w:r>
        <w:rPr>
          <w:iCs/>
          <w:i/>
        </w:rPr>
        <w:t xml:space="preserve">, with the second-member initial udātta by</w:t>
      </w:r>
      <w:r>
        <w:rPr>
          <w:iCs/>
          <w:i/>
        </w:rPr>
        <w:t xml:space="preserve"> </w:t>
      </w:r>
      <w:r>
        <w:rPr>
          <w:iCs/>
          <w:i/>
        </w:rPr>
        <w:t xml:space="preserve">“</w:t>
      </w:r>
      <w:r>
        <w:rPr>
          <w:iCs/>
          <w:i/>
        </w:rPr>
        <w:t xml:space="preserve">vīravīryau ca</w:t>
      </w:r>
      <w:r>
        <w:rPr>
          <w:iCs/>
          <w:i/>
        </w:rPr>
        <w:t xml:space="preserve">”</w:t>
      </w:r>
      <w:r>
        <w:rPr>
          <w:iCs/>
          <w:i/>
        </w:rPr>
        <w:t xml:space="preserve"> </w:t>
      </w:r>
      <w:r>
        <w:rPr>
          <w:iCs/>
          <w:i/>
        </w:rPr>
        <w:t xml:space="preserve">(Pā. 6-2-120);</w:t>
      </w:r>
      <w:r>
        <w:t xml:space="preserve"> </w:t>
      </w:r>
      <w:r>
        <w:t xml:space="preserve">śakraḥ</w:t>
      </w:r>
      <w:r>
        <w:t xml:space="preserve"> </w:t>
      </w:r>
      <w:r>
        <w:rPr>
          <w:iCs/>
          <w:i/>
        </w:rPr>
        <w:t xml:space="preserve">—</w:t>
      </w:r>
      <w:r>
        <w:rPr>
          <w:iCs/>
          <w:i/>
        </w:rPr>
        <w:t xml:space="preserve"> </w:t>
      </w:r>
      <w:r>
        <w:rPr>
          <w:iCs/>
          <w:i/>
        </w:rPr>
        <w:t xml:space="preserve">“</w:t>
      </w:r>
      <w:r>
        <w:rPr>
          <w:iCs/>
          <w:i/>
        </w:rPr>
        <w:t xml:space="preserve">he who is able,</w:t>
      </w:r>
      <w:r>
        <w:rPr>
          <w:iCs/>
          <w:i/>
        </w:rPr>
        <w:t xml:space="preserve">”</w:t>
      </w:r>
      <w:r>
        <w:rPr>
          <w:iCs/>
          <w:i/>
        </w:rPr>
        <w:t xml:space="preserve"> </w:t>
      </w:r>
      <w:r>
        <w:rPr>
          <w:iCs/>
          <w:i/>
        </w:rPr>
        <w:t xml:space="preserve">with</w:t>
      </w:r>
      <w:r>
        <w:t xml:space="preserve"> </w:t>
      </w:r>
      <w:r>
        <w:t xml:space="preserve">rak</w:t>
      </w:r>
      <w:r>
        <w:rPr>
          <w:iCs/>
          <w:i/>
        </w:rPr>
        <w:t xml:space="preserve">;</w:t>
      </w:r>
      <w:r>
        <w:t xml:space="preserve"> </w:t>
      </w:r>
      <w:r>
        <w:t xml:space="preserve">śakat</w:t>
      </w:r>
      <w:r>
        <w:t xml:space="preserve"> </w:t>
      </w:r>
      <w:r>
        <w:rPr>
          <w:iCs/>
          <w:i/>
        </w:rPr>
        <w:t xml:space="preserve">— root</w:t>
      </w:r>
      <w:r>
        <w:t xml:space="preserve"> </w:t>
      </w:r>
      <w:r>
        <w:t xml:space="preserve">śakḷ śaktau</w:t>
      </w:r>
      <w:r>
        <w:rPr>
          <w:iCs/>
          <w:i/>
        </w:rPr>
        <w:t xml:space="preserve">, by the rule that the Veda uses</w:t>
      </w:r>
      <w:r>
        <w:t xml:space="preserve"> </w:t>
      </w:r>
      <w:r>
        <w:t xml:space="preserve">luṅ</w:t>
      </w:r>
      <w:r>
        <w:rPr>
          <w:iCs/>
          <w:i/>
        </w:rPr>
        <w:t xml:space="preserve">,</w:t>
      </w:r>
      <w:r>
        <w:t xml:space="preserve"> </w:t>
      </w:r>
      <w:r>
        <w:t xml:space="preserve">laṅ</w:t>
      </w:r>
      <w:r>
        <w:t xml:space="preserve"> </w:t>
      </w:r>
      <w:r>
        <w:rPr>
          <w:iCs/>
          <w:i/>
        </w:rPr>
        <w:t xml:space="preserve">and</w:t>
      </w:r>
      <w:r>
        <w:t xml:space="preserve"> </w:t>
      </w:r>
      <w:r>
        <w:t xml:space="preserve">liṭ</w:t>
      </w:r>
      <w:r>
        <w:t xml:space="preserve"> </w:t>
      </w:r>
      <w:r>
        <w:rPr>
          <w:iCs/>
          <w:i/>
        </w:rPr>
        <w:t xml:space="preserve">interchangeably (Pā. 3-4-6), the</w:t>
      </w:r>
      <w:r>
        <w:t xml:space="preserve"> </w:t>
      </w:r>
      <w:r>
        <w:t xml:space="preserve">aorist</w:t>
      </w:r>
      <w:r>
        <w:t xml:space="preserve"> </w:t>
      </w:r>
      <w:r>
        <w:rPr>
          <w:iCs/>
          <w:i/>
        </w:rPr>
        <w:t xml:space="preserve">of</w:t>
      </w:r>
      <w:r>
        <w:t xml:space="preserve"> </w:t>
      </w:r>
      <w:r>
        <w:t xml:space="preserve">śak</w:t>
      </w:r>
      <w:r>
        <w:t xml:space="preserve"> </w:t>
      </w:r>
      <w:r>
        <w:rPr>
          <w:iCs/>
          <w:i/>
        </w:rPr>
        <w:t xml:space="preserve">with</w:t>
      </w:r>
      <w:r>
        <w:t xml:space="preserve"> </w:t>
      </w:r>
      <w:r>
        <w:t xml:space="preserve">aṅ</w:t>
      </w:r>
      <w:r>
        <w:t xml:space="preserve"> </w:t>
      </w:r>
      <w:r>
        <w:rPr>
          <w:iCs/>
          <w:i/>
        </w:rPr>
        <w:t xml:space="preserve">substitute for</w:t>
      </w:r>
      <w:r>
        <w:t xml:space="preserve"> </w:t>
      </w:r>
      <w:r>
        <w:t xml:space="preserve">cli</w:t>
      </w:r>
      <w:r>
        <w:t xml:space="preserve"> </w:t>
      </w:r>
      <w:r>
        <w:rPr>
          <w:iCs/>
          <w:i/>
        </w:rPr>
        <w:t xml:space="preserve">(Pā. 3-1-55), the augment</w:t>
      </w:r>
      <w:r>
        <w:t xml:space="preserve"> </w:t>
      </w:r>
      <w:r>
        <w:t xml:space="preserve">aṭ</w:t>
      </w:r>
      <w:r>
        <w:t xml:space="preserve"> </w:t>
      </w:r>
      <w:r>
        <w:rPr>
          <w:iCs/>
          <w:i/>
        </w:rPr>
        <w:t xml:space="preserve">not occurring by</w:t>
      </w:r>
      <w:r>
        <w:t xml:space="preserve"> </w:t>
      </w:r>
      <w:r>
        <w:t xml:space="preserve">bahulaṃ chandasi</w:t>
      </w:r>
      <w:r>
        <w:t xml:space="preserve"> </w:t>
      </w:r>
      <w:r>
        <w:rPr>
          <w:iCs/>
          <w:i/>
        </w:rPr>
        <w:t xml:space="preserve">(Pā. 6-4-75), unaccented;</w:t>
      </w:r>
      <w:r>
        <w:t xml:space="preserve"> </w:t>
      </w:r>
      <w:r>
        <w:t xml:space="preserve">vasu</w:t>
      </w:r>
      <w:r>
        <w:t xml:space="preserve"> </w:t>
      </w:r>
      <w:r>
        <w:rPr>
          <w:iCs/>
          <w:i/>
        </w:rPr>
        <w:t xml:space="preserve">— root</w:t>
      </w:r>
      <w:r>
        <w:t xml:space="preserve"> </w:t>
      </w:r>
      <w:r>
        <w:t xml:space="preserve">vasa</w:t>
      </w:r>
      <w:r>
        <w:t xml:space="preserve"> </w:t>
      </w:r>
      <w:r>
        <w:rPr>
          <w:iCs/>
          <w:i/>
        </w:rPr>
        <w:t xml:space="preserve">with</w:t>
      </w:r>
      <w:r>
        <w:t xml:space="preserve"> </w:t>
      </w:r>
      <w:r>
        <w:t xml:space="preserve">u</w:t>
      </w:r>
      <w:r>
        <w:t xml:space="preserve"> </w:t>
      </w:r>
      <w:r>
        <w:rPr>
          <w:iCs/>
          <w:i/>
        </w:rPr>
        <w:t xml:space="preserve">(Uṇ. 1-11), initial-udātta;</w:t>
      </w:r>
      <w:r>
        <w:t xml:space="preserve"> </w:t>
      </w:r>
      <w:r>
        <w:t xml:space="preserve">dayamānaḥ</w:t>
      </w:r>
      <w:r>
        <w:t xml:space="preserve"> </w:t>
      </w:r>
      <w:r>
        <w:rPr>
          <w:iCs/>
          <w:i/>
        </w:rPr>
        <w:t xml:space="preserve">— root</w:t>
      </w:r>
      <w:r>
        <w:t xml:space="preserve"> </w:t>
      </w:r>
      <w:r>
        <w:t xml:space="preserve">daya</w:t>
      </w:r>
      <w:r>
        <w:t xml:space="preserve"> </w:t>
      </w:r>
      <w:r>
        <w:rPr>
          <w:iCs/>
          <w:i/>
        </w:rPr>
        <w:t xml:space="preserve">with</w:t>
      </w:r>
      <w:r>
        <w:t xml:space="preserve"> </w:t>
      </w:r>
      <w:r>
        <w:t xml:space="preserve">śānac</w:t>
      </w:r>
      <w:r>
        <w:t xml:space="preserve"> </w:t>
      </w:r>
      <w:r>
        <w:rPr>
          <w:iCs/>
          <w:i/>
        </w:rPr>
        <w:t xml:space="preserve">for</w:t>
      </w:r>
      <w:r>
        <w:t xml:space="preserve"> </w:t>
      </w:r>
      <w:r>
        <w:t xml:space="preserve">laṭ</w:t>
      </w:r>
      <w:r>
        <w:rPr>
          <w:iCs/>
          <w:i/>
        </w:rPr>
        <w:t xml:space="preserve">, unaccented</w:t>
      </w:r>
      <w:r>
        <w:t xml:space="preserve"> </w:t>
      </w:r>
      <w:r>
        <w:t xml:space="preserve">śap</w:t>
      </w:r>
      <w:r>
        <w:rPr>
          <w:iCs/>
          <w:i/>
        </w:rPr>
        <w:t xml:space="preserve">, the root accent remaining. The bhāṣya closes</w:t>
      </w:r>
      <w:r>
        <w:rPr>
          <w:iCs/>
          <w:i/>
        </w:rPr>
        <w:t xml:space="preserve"> </w:t>
      </w:r>
      <w:r>
        <w:rPr>
          <w:iCs/>
          <w:i/>
        </w:rPr>
        <w:t xml:space="preserve">“</w:t>
      </w:r>
      <w:r>
        <w:rPr>
          <w:iCs/>
          <w:i/>
        </w:rPr>
        <w:t xml:space="preserve">॥ १९ ॥</w:t>
      </w:r>
      <w:r>
        <w:rPr>
          <w:iCs/>
          <w:i/>
        </w:rPr>
        <w:t xml:space="preserve">”</w:t>
      </w:r>
      <w:r>
        <w:rPr>
          <w:iCs/>
          <w:i/>
        </w:rPr>
        <w:t xml:space="preserve">, the nineteenth varga.)</w:t>
      </w:r>
    </w:p>
    <w:bookmarkEnd w:id="430"/>
    <w:bookmarkStart w:id="431" w:name="Xe8d6d9a24179ace43b3bd616325d2d1593e98f7"/>
    <w:p>
      <w:pPr>
        <w:pStyle w:val="Heading3"/>
      </w:pPr>
      <w:r>
        <w:t xml:space="preserve">Page 410 — Rik 6: word-meanings, overall sense, English</w:t>
      </w:r>
    </w:p>
    <w:p>
      <w:pPr>
        <w:pStyle w:val="FirstParagraph"/>
      </w:pPr>
      <w:r>
        <w:rPr>
          <w:bCs/>
          <w:b/>
        </w:rPr>
        <w:t xml:space="preserve">॥ Prati-padārthaḥ ॥</w:t>
      </w:r>
    </w:p>
    <w:p>
      <w:pPr>
        <w:pStyle w:val="BodyText"/>
      </w:pPr>
      <w:r>
        <w:rPr>
          <w:bCs/>
          <w:b/>
        </w:rPr>
        <w:t xml:space="preserve">(वयम्) सखित्वे ((vayam) sakhitve)</w:t>
      </w:r>
      <w:r>
        <w:t xml:space="preserve"> </w:t>
      </w:r>
      <w:r>
        <w:t xml:space="preserve">— for the sake of friendship |</w:t>
      </w:r>
      <w:r>
        <w:t xml:space="preserve"> </w:t>
      </w:r>
      <w:r>
        <w:rPr>
          <w:bCs/>
          <w:b/>
        </w:rPr>
        <w:t xml:space="preserve">तम् इत् (tam it)</w:t>
      </w:r>
      <w:r>
        <w:t xml:space="preserve"> </w:t>
      </w:r>
      <w:r>
        <w:t xml:space="preserve">— to him alone (to Indra) |</w:t>
      </w:r>
      <w:r>
        <w:t xml:space="preserve"> </w:t>
      </w:r>
      <w:r>
        <w:rPr>
          <w:bCs/>
          <w:b/>
        </w:rPr>
        <w:t xml:space="preserve">ईमहे (īmahe)</w:t>
      </w:r>
      <w:r>
        <w:t xml:space="preserve"> </w:t>
      </w:r>
      <w:r>
        <w:t xml:space="preserve">— we pray |</w:t>
      </w:r>
      <w:r>
        <w:t xml:space="preserve"> </w:t>
      </w:r>
      <w:r>
        <w:rPr>
          <w:bCs/>
          <w:b/>
        </w:rPr>
        <w:t xml:space="preserve">राये (rāye)</w:t>
      </w:r>
      <w:r>
        <w:t xml:space="preserve"> </w:t>
      </w:r>
      <w:r>
        <w:t xml:space="preserve">— for the sake of wealth and prosperity |</w:t>
      </w:r>
      <w:r>
        <w:t xml:space="preserve"> </w:t>
      </w:r>
      <w:r>
        <w:rPr>
          <w:bCs/>
          <w:b/>
        </w:rPr>
        <w:t xml:space="preserve">तम् (tam)</w:t>
      </w:r>
      <w:r>
        <w:t xml:space="preserve"> </w:t>
      </w:r>
      <w:r>
        <w:t xml:space="preserve">— that Indra |</w:t>
      </w:r>
      <w:r>
        <w:t xml:space="preserve"> </w:t>
      </w:r>
      <w:r>
        <w:rPr>
          <w:iCs/>
          <w:i/>
        </w:rPr>
        <w:t xml:space="preserve">(we pray)</w:t>
      </w:r>
      <w:r>
        <w:t xml:space="preserve"> </w:t>
      </w:r>
      <w:r>
        <w:t xml:space="preserve">|</w:t>
      </w:r>
      <w:r>
        <w:t xml:space="preserve"> </w:t>
      </w:r>
      <w:r>
        <w:rPr>
          <w:bCs/>
          <w:b/>
        </w:rPr>
        <w:t xml:space="preserve">सुवीर्ये (suvīrye)</w:t>
      </w:r>
      <w:r>
        <w:t xml:space="preserve"> </w:t>
      </w:r>
      <w:r>
        <w:t xml:space="preserve">— for greater valour |</w:t>
      </w:r>
      <w:r>
        <w:t xml:space="preserve"> </w:t>
      </w:r>
      <w:r>
        <w:rPr>
          <w:bCs/>
          <w:b/>
        </w:rPr>
        <w:t xml:space="preserve">तम् (tam)</w:t>
      </w:r>
      <w:r>
        <w:t xml:space="preserve"> </w:t>
      </w:r>
      <w:r>
        <w:t xml:space="preserve">— that Indra |</w:t>
      </w:r>
      <w:r>
        <w:t xml:space="preserve"> </w:t>
      </w:r>
      <w:r>
        <w:rPr>
          <w:iCs/>
          <w:i/>
        </w:rPr>
        <w:t xml:space="preserve">(we pray)</w:t>
      </w:r>
      <w:r>
        <w:t xml:space="preserve"> </w:t>
      </w:r>
      <w:r>
        <w:t xml:space="preserve">|</w:t>
      </w:r>
      <w:r>
        <w:t xml:space="preserve"> </w:t>
      </w:r>
      <w:r>
        <w:rPr>
          <w:bCs/>
          <w:b/>
        </w:rPr>
        <w:t xml:space="preserve">उत (uta)</w:t>
      </w:r>
      <w:r>
        <w:t xml:space="preserve"> </w:t>
      </w:r>
      <w:r>
        <w:t xml:space="preserve">— and |</w:t>
      </w:r>
      <w:r>
        <w:t xml:space="preserve"> </w:t>
      </w:r>
      <w:r>
        <w:rPr>
          <w:bCs/>
          <w:b/>
        </w:rPr>
        <w:t xml:space="preserve">शक्रः (śakraḥ)</w:t>
      </w:r>
      <w:r>
        <w:t xml:space="preserve"> </w:t>
      </w:r>
      <w:r>
        <w:t xml:space="preserve">— the mighty one |</w:t>
      </w:r>
      <w:r>
        <w:t xml:space="preserve"> </w:t>
      </w:r>
      <w:r>
        <w:rPr>
          <w:bCs/>
          <w:b/>
        </w:rPr>
        <w:t xml:space="preserve">सः इन्द्रः (saḥ indraḥ)</w:t>
      </w:r>
      <w:r>
        <w:t xml:space="preserve"> </w:t>
      </w:r>
      <w:r>
        <w:t xml:space="preserve">— that Indra |</w:t>
      </w:r>
      <w:r>
        <w:t xml:space="preserve"> </w:t>
      </w:r>
      <w:r>
        <w:rPr>
          <w:bCs/>
          <w:b/>
        </w:rPr>
        <w:t xml:space="preserve">नः (naḥ)</w:t>
      </w:r>
      <w:r>
        <w:t xml:space="preserve"> </w:t>
      </w:r>
      <w:r>
        <w:t xml:space="preserve">— to us |</w:t>
      </w:r>
      <w:r>
        <w:t xml:space="preserve"> </w:t>
      </w:r>
      <w:r>
        <w:rPr>
          <w:bCs/>
          <w:b/>
        </w:rPr>
        <w:t xml:space="preserve">वसु (vasu)</w:t>
      </w:r>
      <w:r>
        <w:t xml:space="preserve"> </w:t>
      </w:r>
      <w:r>
        <w:t xml:space="preserve">— wealth |</w:t>
      </w:r>
      <w:r>
        <w:t xml:space="preserve"> </w:t>
      </w:r>
      <w:r>
        <w:rPr>
          <w:bCs/>
          <w:b/>
        </w:rPr>
        <w:t xml:space="preserve">दयमानः (dayamānaḥ)</w:t>
      </w:r>
      <w:r>
        <w:t xml:space="preserve"> </w:t>
      </w:r>
      <w:r>
        <w:t xml:space="preserve">— giving |</w:t>
      </w:r>
      <w:r>
        <w:t xml:space="preserve"> </w:t>
      </w:r>
      <w:r>
        <w:rPr>
          <w:bCs/>
          <w:b/>
        </w:rPr>
        <w:t xml:space="preserve">शकत् (śakat)</w:t>
      </w:r>
      <w:r>
        <w:t xml:space="preserve"> </w:t>
      </w:r>
      <w:r>
        <w:t xml:space="preserve">— may he be able to protect us.</w:t>
      </w:r>
    </w:p>
    <w:p>
      <w:pPr>
        <w:pStyle w:val="BodyText"/>
      </w:pPr>
      <w:r>
        <w:rPr>
          <w:bCs/>
          <w:b/>
        </w:rPr>
        <w:t xml:space="preserve">॥ Bhāvārthaḥ ॥</w:t>
      </w:r>
    </w:p>
    <w:p>
      <w:pPr>
        <w:pStyle w:val="BodyText"/>
      </w:pPr>
      <w:r>
        <w:t xml:space="preserve">We pray to Indra for friendship, for wealth, and for powers of valour. That Indra, being mighty, is able not only to give us wealth but also to protect us.</w:t>
      </w:r>
    </w:p>
    <w:p>
      <w:pPr>
        <w:pStyle w:val="BodyText"/>
      </w:pPr>
      <w:r>
        <w:rPr>
          <w:bCs/>
          <w:b/>
        </w:rPr>
        <w:t xml:space="preserve">॥ English Translation ॥</w:t>
      </w:r>
      <w:r>
        <w:t xml:space="preserve"> </w:t>
      </w:r>
      <w:r>
        <w:rPr>
          <w:iCs/>
          <w:i/>
        </w:rPr>
        <w:t xml:space="preserve">(as printed in the source)</w:t>
      </w:r>
    </w:p>
    <w:p>
      <w:pPr>
        <w:pStyle w:val="BlockText"/>
      </w:pPr>
      <w:r>
        <w:t xml:space="preserve">To him (Indra) alone we pray for friendship, to him for wealth, to him for great valour. For he, the powerful Indra conferring wealth is able to protect us.</w:t>
      </w:r>
    </w:p>
    <w:bookmarkEnd w:id="431"/>
    <w:bookmarkStart w:id="432" w:name="X73aaec778f6fb700d73c201e740f467e1ae5070"/>
    <w:p>
      <w:pPr>
        <w:pStyle w:val="Heading3"/>
      </w:pPr>
      <w:r>
        <w:t xml:space="preserve">Page 411 — Rik 6: Special Topics and grammar</w:t>
      </w:r>
    </w:p>
    <w:p>
      <w:pPr>
        <w:pStyle w:val="FirstParagraph"/>
      </w:pPr>
      <w:r>
        <w:rPr>
          <w:bCs/>
          <w:b/>
        </w:rPr>
        <w:t xml:space="preserve">॥ Viśeṣa-viṣayagaḷu (Special Topics) ॥</w:t>
      </w:r>
    </w:p>
    <w:p>
      <w:pPr>
        <w:pStyle w:val="BodyText"/>
      </w:pPr>
      <w:r>
        <w:rPr>
          <w:bCs/>
          <w:b/>
        </w:rPr>
        <w:t xml:space="preserve">“</w:t>
      </w:r>
      <w:r>
        <w:rPr>
          <w:bCs/>
          <w:b/>
        </w:rPr>
        <w:t xml:space="preserve">Īmahe</w:t>
      </w:r>
      <w:r>
        <w:rPr>
          <w:bCs/>
          <w:b/>
        </w:rPr>
        <w:t xml:space="preserve">”</w:t>
      </w:r>
      <w:r>
        <w:t xml:space="preserve"> </w:t>
      </w:r>
      <w:r>
        <w:t xml:space="preserve">— among the seventeen verbs</w:t>
      </w:r>
      <w:r>
        <w:t xml:space="preserve"> </w:t>
      </w:r>
      <w:r>
        <w:rPr>
          <w:iCs/>
          <w:i/>
        </w:rPr>
        <w:t xml:space="preserve">īmahe</w:t>
      </w:r>
      <w:r>
        <w:t xml:space="preserve">,</w:t>
      </w:r>
      <w:r>
        <w:t xml:space="preserve"> </w:t>
      </w:r>
      <w:r>
        <w:rPr>
          <w:iCs/>
          <w:i/>
        </w:rPr>
        <w:t xml:space="preserve">yāmi</w:t>
      </w:r>
      <w:r>
        <w:t xml:space="preserve">,</w:t>
      </w:r>
      <w:r>
        <w:t xml:space="preserve"> </w:t>
      </w:r>
      <w:r>
        <w:rPr>
          <w:iCs/>
          <w:i/>
        </w:rPr>
        <w:t xml:space="preserve">manmahe</w:t>
      </w:r>
      <w:r>
        <w:t xml:space="preserve"> </w:t>
      </w:r>
      <w:r>
        <w:t xml:space="preserve">and others, denoting the act of requesting (</w:t>
      </w:r>
      <w:r>
        <w:rPr>
          <w:iCs/>
          <w:i/>
        </w:rPr>
        <w:t xml:space="preserve">yācñā-karma</w:t>
      </w:r>
      <w:r>
        <w:t xml:space="preserve">), the word</w:t>
      </w:r>
      <w:r>
        <w:t xml:space="preserve"> </w:t>
      </w:r>
      <w:r>
        <w:rPr>
          <w:iCs/>
          <w:i/>
        </w:rPr>
        <w:t xml:space="preserve">īmahe</w:t>
      </w:r>
      <w:r>
        <w:t xml:space="preserve"> </w:t>
      </w:r>
      <w:r>
        <w:t xml:space="preserve">is read (Ni. 3-19); so</w:t>
      </w:r>
      <w:r>
        <w:t xml:space="preserve"> </w:t>
      </w:r>
      <w:r>
        <w:rPr>
          <w:iCs/>
          <w:i/>
        </w:rPr>
        <w:t xml:space="preserve">īmahe</w:t>
      </w:r>
      <w:r>
        <w:t xml:space="preserve"> </w:t>
      </w:r>
      <w:r>
        <w:t xml:space="preserve">means</w:t>
      </w:r>
      <w:r>
        <w:t xml:space="preserve"> </w:t>
      </w:r>
      <w:r>
        <w:t xml:space="preserve">“</w:t>
      </w:r>
      <w:r>
        <w:t xml:space="preserve">we ask, we beseech.</w:t>
      </w:r>
      <w:r>
        <w:t xml:space="preserve">”</w:t>
      </w:r>
    </w:p>
    <w:p>
      <w:pPr>
        <w:pStyle w:val="BodyText"/>
      </w:pPr>
      <w:r>
        <w:rPr>
          <w:bCs/>
          <w:b/>
        </w:rPr>
        <w:t xml:space="preserve">“</w:t>
      </w:r>
      <w:r>
        <w:rPr>
          <w:bCs/>
          <w:b/>
        </w:rPr>
        <w:t xml:space="preserve">Suvīrye</w:t>
      </w:r>
      <w:r>
        <w:rPr>
          <w:bCs/>
          <w:b/>
        </w:rPr>
        <w:t xml:space="preserve">”</w:t>
      </w:r>
      <w:r>
        <w:t xml:space="preserve"> </w:t>
      </w:r>
      <w:r>
        <w:t xml:space="preserve">—</w:t>
      </w:r>
      <w:r>
        <w:t xml:space="preserve"> </w:t>
      </w:r>
      <w:r>
        <w:rPr>
          <w:iCs/>
          <w:i/>
        </w:rPr>
        <w:t xml:space="preserve">su</w:t>
      </w:r>
      <w:r>
        <w:t xml:space="preserve"> </w:t>
      </w:r>
      <w:r>
        <w:t xml:space="preserve">— good, abundant;</w:t>
      </w:r>
      <w:r>
        <w:t xml:space="preserve"> </w:t>
      </w:r>
      <w:r>
        <w:rPr>
          <w:iCs/>
          <w:i/>
        </w:rPr>
        <w:t xml:space="preserve">vīrya</w:t>
      </w:r>
      <w:r>
        <w:t xml:space="preserve"> </w:t>
      </w:r>
      <w:r>
        <w:t xml:space="preserve">= valour, power, capacity.</w:t>
      </w:r>
      <w:r>
        <w:t xml:space="preserve"> </w:t>
      </w:r>
      <w:r>
        <w:rPr>
          <w:iCs/>
          <w:i/>
        </w:rPr>
        <w:t xml:space="preserve">Great valour, grat</w:t>
      </w:r>
      <w:r>
        <w:t xml:space="preserve"> </w:t>
      </w:r>
      <w:r>
        <w:t xml:space="preserve">[sic]</w:t>
      </w:r>
      <w:r>
        <w:t xml:space="preserve"> </w:t>
      </w:r>
      <w:r>
        <w:rPr>
          <w:iCs/>
          <w:i/>
        </w:rPr>
        <w:t xml:space="preserve">power</w:t>
      </w:r>
      <w:r>
        <w:t xml:space="preserve">, and so on [the source’s own English].</w:t>
      </w:r>
    </w:p>
    <w:p>
      <w:pPr>
        <w:pStyle w:val="BodyText"/>
      </w:pPr>
      <w:r>
        <w:rPr>
          <w:bCs/>
          <w:b/>
        </w:rPr>
        <w:t xml:space="preserve">॥ Vyākaraṇa-prakriyā ॥</w:t>
      </w:r>
      <w:r>
        <w:t xml:space="preserve"> </w:t>
      </w:r>
      <w:r>
        <w:rPr>
          <w:iCs/>
          <w:i/>
        </w:rPr>
        <w:t xml:space="preserve">(grammar pages 411–412, noted briefly)</w:t>
      </w:r>
    </w:p>
    <w:p>
      <w:pPr>
        <w:pStyle w:val="BodyText"/>
      </w:pPr>
      <w:r>
        <w:rPr>
          <w:bCs/>
          <w:b/>
        </w:rPr>
        <w:t xml:space="preserve">सखित्वे (</w:t>
      </w:r>
      <w:r>
        <w:rPr>
          <w:iCs/>
          <w:i/>
          <w:bCs/>
          <w:b/>
        </w:rPr>
        <w:t xml:space="preserve">sakhitve</w:t>
      </w:r>
      <w:r>
        <w:rPr>
          <w:bCs/>
          <w:b/>
        </w:rPr>
        <w:t xml:space="preserve">)</w:t>
      </w:r>
      <w:r>
        <w:t xml:space="preserve"> </w:t>
      </w:r>
      <w:r>
        <w:t xml:space="preserve">—</w:t>
      </w:r>
      <w:r>
        <w:t xml:space="preserve"> </w:t>
      </w:r>
      <w:r>
        <w:rPr>
          <w:iCs/>
          <w:i/>
        </w:rPr>
        <w:t xml:space="preserve">sakhyuḥ bhāvaḥ sakhitvam</w:t>
      </w:r>
      <w:r>
        <w:t xml:space="preserve">, locative</w:t>
      </w:r>
      <w:r>
        <w:t xml:space="preserve"> </w:t>
      </w:r>
      <w:r>
        <w:rPr>
          <w:iCs/>
          <w:i/>
        </w:rPr>
        <w:t xml:space="preserve">ṅi</w:t>
      </w:r>
      <w:r>
        <w:t xml:space="preserve"> </w:t>
      </w:r>
      <w:r>
        <w:t xml:space="preserve">→</w:t>
      </w:r>
      <w:r>
        <w:t xml:space="preserve"> </w:t>
      </w:r>
      <w:r>
        <w:rPr>
          <w:iCs/>
          <w:i/>
        </w:rPr>
        <w:t xml:space="preserve">e</w:t>
      </w:r>
      <w:r>
        <w:t xml:space="preserve">;</w:t>
      </w:r>
      <w:r>
        <w:t xml:space="preserve"> </w:t>
      </w:r>
      <w:r>
        <w:rPr>
          <w:iCs/>
          <w:i/>
        </w:rPr>
        <w:t xml:space="preserve">tva</w:t>
      </w:r>
      <w:r>
        <w:t xml:space="preserve"> </w:t>
      </w:r>
      <w:r>
        <w:t xml:space="preserve">by</w:t>
      </w:r>
      <w:r>
        <w:t xml:space="preserve"> </w:t>
      </w:r>
      <w:r>
        <w:t xml:space="preserve">“</w:t>
      </w:r>
      <w:r>
        <w:t xml:space="preserve">tasya bhāvas tvatalau</w:t>
      </w:r>
      <w:r>
        <w:t xml:space="preserve">”</w:t>
      </w:r>
      <w:r>
        <w:t xml:space="preserve"> </w:t>
      </w:r>
      <w:r>
        <w:t xml:space="preserve">(Pā. 5-1-119); udātta by the suffix.</w:t>
      </w:r>
      <w:r>
        <w:t xml:space="preserve"> </w:t>
      </w:r>
      <w:r>
        <w:rPr>
          <w:bCs/>
          <w:b/>
        </w:rPr>
        <w:t xml:space="preserve">ईमहे (</w:t>
      </w:r>
      <w:r>
        <w:rPr>
          <w:iCs/>
          <w:i/>
          <w:bCs/>
          <w:b/>
        </w:rPr>
        <w:t xml:space="preserve">īmahe</w:t>
      </w:r>
      <w:r>
        <w:rPr>
          <w:bCs/>
          <w:b/>
        </w:rPr>
        <w:t xml:space="preserve">)</w:t>
      </w:r>
      <w:r>
        <w:t xml:space="preserve"> </w:t>
      </w:r>
      <w:r>
        <w:t xml:space="preserve">— root</w:t>
      </w:r>
      <w:r>
        <w:t xml:space="preserve"> </w:t>
      </w:r>
      <w:r>
        <w:rPr>
          <w:iCs/>
          <w:i/>
        </w:rPr>
        <w:t xml:space="preserve">īṅ gatau</w:t>
      </w:r>
      <w:r>
        <w:t xml:space="preserve">; since it is</w:t>
      </w:r>
      <w:r>
        <w:t xml:space="preserve"> </w:t>
      </w:r>
      <w:r>
        <w:rPr>
          <w:iCs/>
          <w:i/>
        </w:rPr>
        <w:t xml:space="preserve">ṅ</w:t>
      </w:r>
      <w:r>
        <w:t xml:space="preserve">-marked, the ātmanepada by</w:t>
      </w:r>
      <w:r>
        <w:t xml:space="preserve"> </w:t>
      </w:r>
      <w:r>
        <w:t xml:space="preserve">“</w:t>
      </w:r>
      <w:r>
        <w:t xml:space="preserve">anudāttaṅita ātmanepadam</w:t>
      </w:r>
      <w:r>
        <w:t xml:space="preserve">”</w:t>
      </w:r>
      <w:r>
        <w:t xml:space="preserve"> </w:t>
      </w:r>
      <w:r>
        <w:t xml:space="preserve">(Pā. 1-3-12);</w:t>
      </w:r>
      <w:r>
        <w:t xml:space="preserve"> </w:t>
      </w:r>
      <w:r>
        <w:rPr>
          <w:iCs/>
          <w:i/>
        </w:rPr>
        <w:t xml:space="preserve">laṭ</w:t>
      </w:r>
      <w:r>
        <w:t xml:space="preserve"> </w:t>
      </w:r>
      <w:r>
        <w:t xml:space="preserve">first plural</w:t>
      </w:r>
      <w:r>
        <w:t xml:space="preserve"> </w:t>
      </w:r>
      <w:r>
        <w:rPr>
          <w:iCs/>
          <w:i/>
        </w:rPr>
        <w:t xml:space="preserve">mahiṅ</w:t>
      </w:r>
      <w:r>
        <w:t xml:space="preserve">;</w:t>
      </w:r>
      <w:r>
        <w:t xml:space="preserve"> </w:t>
      </w:r>
      <w:r>
        <w:rPr>
          <w:iCs/>
          <w:i/>
        </w:rPr>
        <w:t xml:space="preserve">e</w:t>
      </w:r>
      <w:r>
        <w:t xml:space="preserve"> </w:t>
      </w:r>
      <w:r>
        <w:t xml:space="preserve">by</w:t>
      </w:r>
      <w:r>
        <w:t xml:space="preserve"> </w:t>
      </w:r>
      <w:r>
        <w:t xml:space="preserve">“</w:t>
      </w:r>
      <w:r>
        <w:t xml:space="preserve">ṭita ātmanepadānāṃ ṭere</w:t>
      </w:r>
      <w:r>
        <w:t xml:space="preserve">”</w:t>
      </w:r>
      <w:r>
        <w:t xml:space="preserve"> </w:t>
      </w:r>
      <w:r>
        <w:t xml:space="preserve">(Pā. 3-4-79); the</w:t>
      </w:r>
      <w:r>
        <w:t xml:space="preserve"> </w:t>
      </w:r>
      <w:r>
        <w:rPr>
          <w:iCs/>
          <w:i/>
        </w:rPr>
        <w:t xml:space="preserve">śyan</w:t>
      </w:r>
      <w:r>
        <w:t xml:space="preserve"> </w:t>
      </w:r>
      <w:r>
        <w:t xml:space="preserve">of</w:t>
      </w:r>
      <w:r>
        <w:t xml:space="preserve"> </w:t>
      </w:r>
      <w:r>
        <w:t xml:space="preserve">“</w:t>
      </w:r>
      <w:r>
        <w:t xml:space="preserve">divādibhyaḥ śyan</w:t>
      </w:r>
      <w:r>
        <w:t xml:space="preserve">”</w:t>
      </w:r>
      <w:r>
        <w:t xml:space="preserve"> </w:t>
      </w:r>
      <w:r>
        <w:t xml:space="preserve">(Pā. 3-1-69), dropped by</w:t>
      </w:r>
      <w:r>
        <w:t xml:space="preserve"> </w:t>
      </w:r>
      <w:r>
        <w:rPr>
          <w:iCs/>
          <w:i/>
        </w:rPr>
        <w:t xml:space="preserve">luk</w:t>
      </w:r>
      <w:r>
        <w:t xml:space="preserve"> </w:t>
      </w:r>
      <w:r>
        <w:t xml:space="preserve">under</w:t>
      </w:r>
      <w:r>
        <w:t xml:space="preserve"> </w:t>
      </w:r>
      <w:r>
        <w:t xml:space="preserve">“</w:t>
      </w:r>
      <w:r>
        <w:t xml:space="preserve">bahulaṃ chandasi</w:t>
      </w:r>
      <w:r>
        <w:t xml:space="preserve">”</w:t>
      </w:r>
      <w:r>
        <w:t xml:space="preserve"> </w:t>
      </w:r>
      <w:r>
        <w:t xml:space="preserve">(Pā. 2-4-73); unaccented by</w:t>
      </w:r>
      <w:r>
        <w:t xml:space="preserve"> </w:t>
      </w:r>
      <w:r>
        <w:t xml:space="preserve">“</w:t>
      </w:r>
      <w:r>
        <w:t xml:space="preserve">tiṅṅ atiṅaḥ</w:t>
      </w:r>
      <w:r>
        <w:t xml:space="preserve">”</w:t>
      </w:r>
      <w:r>
        <w:t xml:space="preserve"> </w:t>
      </w:r>
      <w:r>
        <w:t xml:space="preserve">(Pā. 8-1-28).</w:t>
      </w:r>
      <w:r>
        <w:t xml:space="preserve"> </w:t>
      </w:r>
      <w:r>
        <w:rPr>
          <w:bCs/>
          <w:b/>
        </w:rPr>
        <w:t xml:space="preserve">रायै (</w:t>
      </w:r>
      <w:r>
        <w:rPr>
          <w:iCs/>
          <w:i/>
          <w:bCs/>
          <w:b/>
        </w:rPr>
        <w:t xml:space="preserve">rāye</w:t>
      </w:r>
      <w:r>
        <w:rPr>
          <w:bCs/>
          <w:b/>
        </w:rPr>
        <w:t xml:space="preserve">)</w:t>
      </w:r>
      <w:r>
        <w:t xml:space="preserve"> </w:t>
      </w:r>
      <w:r>
        <w:t xml:space="preserve">—</w:t>
      </w:r>
      <w:r>
        <w:t xml:space="preserve"> </w:t>
      </w:r>
      <w:r>
        <w:rPr>
          <w:iCs/>
          <w:i/>
        </w:rPr>
        <w:t xml:space="preserve">rai</w:t>
      </w:r>
      <w:r>
        <w:t xml:space="preserve"> </w:t>
      </w:r>
      <w:r>
        <w:t xml:space="preserve">+</w:t>
      </w:r>
      <w:r>
        <w:t xml:space="preserve"> </w:t>
      </w:r>
      <w:r>
        <w:rPr>
          <w:iCs/>
          <w:i/>
        </w:rPr>
        <w:t xml:space="preserve">ṅe</w:t>
      </w:r>
      <w:r>
        <w:t xml:space="preserve">,</w:t>
      </w:r>
      <w:r>
        <w:t xml:space="preserve"> </w:t>
      </w:r>
      <w:r>
        <w:t xml:space="preserve">“</w:t>
      </w:r>
      <w:r>
        <w:t xml:space="preserve">ūḍidam-padādy-appum-raidyubhyaḥ</w:t>
      </w:r>
      <w:r>
        <w:t xml:space="preserve">”</w:t>
      </w:r>
      <w:r>
        <w:t xml:space="preserve"> </w:t>
      </w:r>
      <w:r>
        <w:t xml:space="preserve">(Pā. 6-1-171): after</w:t>
      </w:r>
      <w:r>
        <w:t xml:space="preserve"> </w:t>
      </w:r>
      <w:r>
        <w:rPr>
          <w:iCs/>
          <w:i/>
        </w:rPr>
        <w:t xml:space="preserve">rai</w:t>
      </w:r>
      <w:r>
        <w:t xml:space="preserve"> </w:t>
      </w:r>
      <w:r>
        <w:t xml:space="preserve">the ending is udātta.</w:t>
      </w:r>
      <w:r>
        <w:t xml:space="preserve"> </w:t>
      </w:r>
      <w:r>
        <w:rPr>
          <w:bCs/>
          <w:b/>
        </w:rPr>
        <w:t xml:space="preserve">सुवीर्ये (</w:t>
      </w:r>
      <w:r>
        <w:rPr>
          <w:iCs/>
          <w:i/>
          <w:bCs/>
          <w:b/>
        </w:rPr>
        <w:t xml:space="preserve">suvīrye</w:t>
      </w:r>
      <w:r>
        <w:rPr>
          <w:bCs/>
          <w:b/>
        </w:rPr>
        <w:t xml:space="preserve">)</w:t>
      </w:r>
      <w:r>
        <w:t xml:space="preserve"> </w:t>
      </w:r>
      <w:r>
        <w:t xml:space="preserve">—</w:t>
      </w:r>
      <w:r>
        <w:t xml:space="preserve"> </w:t>
      </w:r>
      <w:r>
        <w:t xml:space="preserve">“</w:t>
      </w:r>
      <w:r>
        <w:t xml:space="preserve">śobhanaṃ vīryaṃ yasyāsau suvīryaḥ</w:t>
      </w:r>
      <w:r>
        <w:t xml:space="preserve">”</w:t>
      </w:r>
      <w:r>
        <w:t xml:space="preserve">: the abstract sense</w:t>
      </w:r>
      <w:r>
        <w:t xml:space="preserve"> </w:t>
      </w:r>
      <w:r>
        <w:rPr>
          <w:iCs/>
          <w:i/>
        </w:rPr>
        <w:t xml:space="preserve">suvīryatva</w:t>
      </w:r>
      <w:r>
        <w:t xml:space="preserve"> </w:t>
      </w:r>
      <w:r>
        <w:t xml:space="preserve">(</w:t>
      </w:r>
      <w:r>
        <w:t xml:space="preserve">“</w:t>
      </w:r>
      <w:r>
        <w:t xml:space="preserve">fine valour</w:t>
      </w:r>
      <w:r>
        <w:t xml:space="preserve">”</w:t>
      </w:r>
      <w:r>
        <w:t xml:space="preserve">) is suggested by a word whose own sense is that-which-has-it; the abstract-denoting use of</w:t>
      </w:r>
      <w:r>
        <w:t xml:space="preserve"> </w:t>
      </w:r>
      <w:r>
        <w:rPr>
          <w:iCs/>
          <w:i/>
        </w:rPr>
        <w:t xml:space="preserve">suvīrya</w:t>
      </w:r>
      <w:r>
        <w:t xml:space="preserve"> </w:t>
      </w:r>
      <w:r>
        <w:t xml:space="preserve">for</w:t>
      </w:r>
      <w:r>
        <w:t xml:space="preserve"> </w:t>
      </w:r>
      <w:r>
        <w:rPr>
          <w:iCs/>
          <w:i/>
        </w:rPr>
        <w:t xml:space="preserve">suvīryatva</w:t>
      </w:r>
      <w:r>
        <w:t xml:space="preserve">;</w:t>
      </w:r>
      <w:r>
        <w:t xml:space="preserve"> </w:t>
      </w:r>
      <w:r>
        <w:t xml:space="preserve">“</w:t>
      </w:r>
      <w:r>
        <w:t xml:space="preserve">vīra-vīryau ca</w:t>
      </w:r>
      <w:r>
        <w:t xml:space="preserve">”</w:t>
      </w:r>
      <w:r>
        <w:t xml:space="preserve"> </w:t>
      </w:r>
      <w:r>
        <w:t xml:space="preserve">(Pā. 6-2-120), with</w:t>
      </w:r>
      <w:r>
        <w:t xml:space="preserve"> </w:t>
      </w:r>
      <w:r>
        <w:t xml:space="preserve">“</w:t>
      </w:r>
      <w:r>
        <w:t xml:space="preserve">bahuvrīhau</w:t>
      </w:r>
      <w:r>
        <w:t xml:space="preserve">”</w:t>
      </w:r>
      <w:r>
        <w:t xml:space="preserve"> </w:t>
      </w:r>
      <w:r>
        <w:t xml:space="preserve">carried over from</w:t>
      </w:r>
      <w:r>
        <w:t xml:space="preserve"> </w:t>
      </w:r>
      <w:r>
        <w:t xml:space="preserve">“</w:t>
      </w:r>
      <w:r>
        <w:t xml:space="preserve">bahuvrīhau viśvaṃ saṃjñāyām</w:t>
      </w:r>
      <w:r>
        <w:t xml:space="preserve">”</w:t>
      </w:r>
      <w:r>
        <w:t xml:space="preserve"> </w:t>
      </w:r>
      <w:r>
        <w:t xml:space="preserve">(Pā. 6-2-106): in a bahuvrīhi the words</w:t>
      </w:r>
      <w:r>
        <w:t xml:space="preserve"> </w:t>
      </w:r>
      <w:r>
        <w:rPr>
          <w:iCs/>
          <w:i/>
        </w:rPr>
        <w:t xml:space="preserve">vīra</w:t>
      </w:r>
      <w:r>
        <w:t xml:space="preserve"> </w:t>
      </w:r>
      <w:r>
        <w:t xml:space="preserve">and</w:t>
      </w:r>
      <w:r>
        <w:t xml:space="preserve"> </w:t>
      </w:r>
      <w:r>
        <w:rPr>
          <w:iCs/>
          <w:i/>
        </w:rPr>
        <w:t xml:space="preserve">vīrya</w:t>
      </w:r>
      <w:r>
        <w:t xml:space="preserve"> </w:t>
      </w:r>
      <w:r>
        <w:t xml:space="preserve">after</w:t>
      </w:r>
      <w:r>
        <w:t xml:space="preserve"> </w:t>
      </w:r>
      <w:r>
        <w:rPr>
          <w:iCs/>
          <w:i/>
        </w:rPr>
        <w:t xml:space="preserve">su</w:t>
      </w:r>
      <w:r>
        <w:t xml:space="preserve"> </w:t>
      </w:r>
      <w:r>
        <w:t xml:space="preserve">are initial-udātta in the Veda, so the initial of</w:t>
      </w:r>
      <w:r>
        <w:t xml:space="preserve"> </w:t>
      </w:r>
      <w:r>
        <w:rPr>
          <w:iCs/>
          <w:i/>
        </w:rPr>
        <w:t xml:space="preserve">vīrya</w:t>
      </w:r>
      <w:r>
        <w:t xml:space="preserve"> </w:t>
      </w:r>
      <w:r>
        <w:t xml:space="preserve">is udātta.</w:t>
      </w:r>
      <w:r>
        <w:t xml:space="preserve"> </w:t>
      </w:r>
      <w:r>
        <w:rPr>
          <w:bCs/>
          <w:b/>
        </w:rPr>
        <w:t xml:space="preserve">शक्रः (</w:t>
      </w:r>
      <w:r>
        <w:rPr>
          <w:iCs/>
          <w:i/>
          <w:bCs/>
          <w:b/>
        </w:rPr>
        <w:t xml:space="preserve">śakraḥ</w:t>
      </w:r>
      <w:r>
        <w:rPr>
          <w:bCs/>
          <w:b/>
        </w:rPr>
        <w:t xml:space="preserve">)</w:t>
      </w:r>
      <w:r>
        <w:t xml:space="preserve"> </w:t>
      </w:r>
      <w:r>
        <w:t xml:space="preserve">—</w:t>
      </w:r>
      <w:r>
        <w:t xml:space="preserve"> </w:t>
      </w:r>
      <w:r>
        <w:t xml:space="preserve">“</w:t>
      </w:r>
      <w:r>
        <w:t xml:space="preserve">śaknoti iti śakraḥ</w:t>
      </w:r>
      <w:r>
        <w:t xml:space="preserve">”</w:t>
      </w:r>
      <w:r>
        <w:t xml:space="preserve">: root</w:t>
      </w:r>
      <w:r>
        <w:t xml:space="preserve"> </w:t>
      </w:r>
      <w:r>
        <w:rPr>
          <w:iCs/>
          <w:i/>
        </w:rPr>
        <w:t xml:space="preserve">śakḷ śaktau</w:t>
      </w:r>
      <w:r>
        <w:t xml:space="preserve"> </w:t>
      </w:r>
      <w:r>
        <w:t xml:space="preserve">with</w:t>
      </w:r>
      <w:r>
        <w:t xml:space="preserve"> </w:t>
      </w:r>
      <w:r>
        <w:rPr>
          <w:iCs/>
          <w:i/>
        </w:rPr>
        <w:t xml:space="preserve">rak</w:t>
      </w:r>
      <w:r>
        <w:t xml:space="preserve"> </w:t>
      </w:r>
      <w:r>
        <w:t xml:space="preserve">by</w:t>
      </w:r>
      <w:r>
        <w:t xml:space="preserve"> </w:t>
      </w:r>
      <w:r>
        <w:t xml:space="preserve">“</w:t>
      </w:r>
      <w:r>
        <w:t xml:space="preserve">sphāyitañcivañciśaki…</w:t>
      </w:r>
      <w:r>
        <w:t xml:space="preserve">”</w:t>
      </w:r>
      <w:r>
        <w:t xml:space="preserve"> </w:t>
      </w:r>
      <w:r>
        <w:t xml:space="preserve">(Uṇ. 2-170 [?] as printed, the second digit 7 or 2); accent by the suffix.</w:t>
      </w:r>
      <w:r>
        <w:t xml:space="preserve"> </w:t>
      </w:r>
      <w:r>
        <w:rPr>
          <w:bCs/>
          <w:b/>
        </w:rPr>
        <w:t xml:space="preserve">शकत् (</w:t>
      </w:r>
      <w:r>
        <w:rPr>
          <w:iCs/>
          <w:i/>
          <w:bCs/>
          <w:b/>
        </w:rPr>
        <w:t xml:space="preserve">śakat</w:t>
      </w:r>
      <w:r>
        <w:rPr>
          <w:bCs/>
          <w:b/>
        </w:rPr>
        <w:t xml:space="preserve">)</w:t>
      </w:r>
      <w:r>
        <w:t xml:space="preserve"> </w:t>
      </w:r>
      <w:r>
        <w:t xml:space="preserve">— root</w:t>
      </w:r>
      <w:r>
        <w:t xml:space="preserve"> </w:t>
      </w:r>
      <w:r>
        <w:rPr>
          <w:iCs/>
          <w:i/>
        </w:rPr>
        <w:t xml:space="preserve">śakḷ śaktau</w:t>
      </w:r>
      <w:r>
        <w:t xml:space="preserve"> </w:t>
      </w:r>
      <w:r>
        <w:t xml:space="preserve">— under the heading</w:t>
      </w:r>
      <w:r>
        <w:t xml:space="preserve"> </w:t>
      </w:r>
      <w:r>
        <w:t xml:space="preserve">“</w:t>
      </w:r>
      <w:r>
        <w:t xml:space="preserve">dhātusaṃbandhe pratyayāḥ</w:t>
      </w:r>
      <w:r>
        <w:t xml:space="preserve">”</w:t>
      </w:r>
      <w:r>
        <w:t xml:space="preserve"> </w:t>
      </w:r>
      <w:r>
        <w:t xml:space="preserve">(Pā. 3-4-1) the rule</w:t>
      </w:r>
      <w:r>
        <w:t xml:space="preserve"> </w:t>
      </w:r>
      <w:r>
        <w:t xml:space="preserve">“</w:t>
      </w:r>
      <w:r>
        <w:t xml:space="preserve">chandasi luṅlaṅliṭaḥ</w:t>
      </w:r>
      <w:r>
        <w:t xml:space="preserve">”</w:t>
      </w:r>
      <w:r>
        <w:t xml:space="preserve"> </w:t>
      </w:r>
      <w:r>
        <w:t xml:space="preserve">(Pā. 3-4-6) allows</w:t>
      </w:r>
      <w:r>
        <w:t xml:space="preserve"> </w:t>
      </w:r>
      <w:r>
        <w:rPr>
          <w:iCs/>
          <w:i/>
        </w:rPr>
        <w:t xml:space="preserve">luṅ</w:t>
      </w:r>
      <w:r>
        <w:t xml:space="preserve"> </w:t>
      </w:r>
      <w:r>
        <w:t xml:space="preserve">here; the source notes the connection of the verb with</w:t>
      </w:r>
      <w:r>
        <w:t xml:space="preserve"> </w:t>
      </w:r>
      <w:r>
        <w:rPr>
          <w:iCs/>
          <w:i/>
        </w:rPr>
        <w:t xml:space="preserve">īmahe</w:t>
      </w:r>
      <w:r>
        <w:t xml:space="preserve"> </w:t>
      </w:r>
      <w:r>
        <w:t xml:space="preserve">(</w:t>
      </w:r>
      <w:r>
        <w:t xml:space="preserve">“</w:t>
      </w:r>
      <w:r>
        <w:t xml:space="preserve">because he is able, therefore we approach him</w:t>
      </w:r>
      <w:r>
        <w:t xml:space="preserve">”</w:t>
      </w:r>
      <w:r>
        <w:t xml:space="preserve">):</w:t>
      </w:r>
      <w:r>
        <w:t xml:space="preserve"> </w:t>
      </w:r>
      <w:r>
        <w:t xml:space="preserve">“</w:t>
      </w:r>
      <w:r>
        <w:rPr>
          <w:iCs/>
          <w:i/>
        </w:rPr>
        <w:t xml:space="preserve">yataś śaknoti ataḥ tam īmahe</w:t>
      </w:r>
      <w:r>
        <w:t xml:space="preserve">”</w:t>
      </w:r>
      <w:r>
        <w:t xml:space="preserve">;</w:t>
      </w:r>
      <w:r>
        <w:t xml:space="preserve"> </w:t>
      </w:r>
      <w:r>
        <w:rPr>
          <w:iCs/>
          <w:i/>
        </w:rPr>
        <w:t xml:space="preserve">luṅ</w:t>
      </w:r>
      <w:r>
        <w:t xml:space="preserve">,</w:t>
      </w:r>
      <w:r>
        <w:t xml:space="preserve"> </w:t>
      </w:r>
      <w:r>
        <w:rPr>
          <w:iCs/>
          <w:i/>
        </w:rPr>
        <w:t xml:space="preserve">tip</w:t>
      </w:r>
      <w:r>
        <w:t xml:space="preserve">; the</w:t>
      </w:r>
      <w:r>
        <w:t xml:space="preserve"> </w:t>
      </w:r>
      <w:r>
        <w:rPr>
          <w:iCs/>
          <w:i/>
        </w:rPr>
        <w:t xml:space="preserve">i</w:t>
      </w:r>
      <w:r>
        <w:t xml:space="preserve"> </w:t>
      </w:r>
      <w:r>
        <w:t xml:space="preserve">of</w:t>
      </w:r>
      <w:r>
        <w:t xml:space="preserve"> </w:t>
      </w:r>
      <w:r>
        <w:rPr>
          <w:iCs/>
          <w:i/>
        </w:rPr>
        <w:t xml:space="preserve">tip</w:t>
      </w:r>
      <w:r>
        <w:t xml:space="preserve"> </w:t>
      </w:r>
      <w:r>
        <w:t xml:space="preserve">dropped by</w:t>
      </w:r>
      <w:r>
        <w:t xml:space="preserve"> </w:t>
      </w:r>
      <w:r>
        <w:t xml:space="preserve">“</w:t>
      </w:r>
      <w:r>
        <w:t xml:space="preserve">itaś ca lopaḥ parasmaipadeṣu</w:t>
      </w:r>
      <w:r>
        <w:t xml:space="preserve">”</w:t>
      </w:r>
      <w:r>
        <w:t xml:space="preserve"> </w:t>
      </w:r>
      <w:r>
        <w:t xml:space="preserve">(Pā. 3-4-97).</w:t>
      </w:r>
      <w:r>
        <w:t xml:space="preserve"> </w:t>
      </w:r>
      <w:r>
        <w:rPr>
          <w:iCs/>
          <w:i/>
        </w:rPr>
        <w:t xml:space="preserve">(The grammar continues on p. 412.)</w:t>
      </w:r>
    </w:p>
    <w:bookmarkEnd w:id="432"/>
    <w:bookmarkStart w:id="433" w:name="X7e5bb0bf1798b83af98ece0fea5e79e02fcea9f"/>
    <w:p>
      <w:pPr>
        <w:pStyle w:val="Heading3"/>
      </w:pPr>
      <w:r>
        <w:t xml:space="preserve">Page 412 — Rik 6 grammar closes; Sūkta 10, Rik 7</w:t>
      </w:r>
    </w:p>
    <w:p>
      <w:pPr>
        <w:pStyle w:val="FirstParagraph"/>
      </w:pPr>
      <w:r>
        <w:rPr>
          <w:bCs/>
          <w:b/>
        </w:rPr>
        <w:t xml:space="preserve">॥ Vyākaraṇa-prakriyā ॥</w:t>
      </w:r>
      <w:r>
        <w:t xml:space="preserve"> </w:t>
      </w:r>
      <w:r>
        <w:rPr>
          <w:iCs/>
          <w:i/>
        </w:rPr>
        <w:t xml:space="preserve">(grammar page, noted briefly)</w:t>
      </w:r>
    </w:p>
    <w:p>
      <w:pPr>
        <w:pStyle w:val="BodyText"/>
      </w:pPr>
      <w:r>
        <w:t xml:space="preserve">Closing the grammar of</w:t>
      </w:r>
      <w:r>
        <w:t xml:space="preserve"> </w:t>
      </w:r>
      <w:r>
        <w:rPr>
          <w:bCs/>
          <w:b/>
        </w:rPr>
        <w:t xml:space="preserve">शकत् (</w:t>
      </w:r>
      <w:r>
        <w:rPr>
          <w:iCs/>
          <w:i/>
          <w:bCs/>
          <w:b/>
        </w:rPr>
        <w:t xml:space="preserve">śakat</w:t>
      </w:r>
      <w:r>
        <w:rPr>
          <w:bCs/>
          <w:b/>
        </w:rPr>
        <w:t xml:space="preserve">)</w:t>
      </w:r>
      <w:r>
        <w:t xml:space="preserve">: by</w:t>
      </w:r>
      <w:r>
        <w:t xml:space="preserve"> </w:t>
      </w:r>
      <w:r>
        <w:t xml:space="preserve">“</w:t>
      </w:r>
      <w:r>
        <w:t xml:space="preserve">cli luṅi</w:t>
      </w:r>
      <w:r>
        <w:t xml:space="preserve">”</w:t>
      </w:r>
      <w:r>
        <w:t xml:space="preserve"> </w:t>
      </w:r>
      <w:r>
        <w:t xml:space="preserve">(Pā. 3-1-43) the</w:t>
      </w:r>
      <w:r>
        <w:t xml:space="preserve"> </w:t>
      </w:r>
      <w:r>
        <w:rPr>
          <w:iCs/>
          <w:i/>
        </w:rPr>
        <w:t xml:space="preserve">cli</w:t>
      </w:r>
      <w:r>
        <w:t xml:space="preserve"> </w:t>
      </w:r>
      <w:r>
        <w:t xml:space="preserve">arises after the root (</w:t>
      </w:r>
      <w:r>
        <w:rPr>
          <w:iCs/>
          <w:i/>
        </w:rPr>
        <w:t xml:space="preserve">śak</w:t>
      </w:r>
      <w:r>
        <w:t xml:space="preserve"> </w:t>
      </w:r>
      <w:r>
        <w:t xml:space="preserve">+</w:t>
      </w:r>
      <w:r>
        <w:t xml:space="preserve"> </w:t>
      </w:r>
      <w:r>
        <w:rPr>
          <w:iCs/>
          <w:i/>
        </w:rPr>
        <w:t xml:space="preserve">cli</w:t>
      </w:r>
      <w:r>
        <w:t xml:space="preserve"> </w:t>
      </w:r>
      <w:r>
        <w:t xml:space="preserve">+</w:t>
      </w:r>
      <w:r>
        <w:t xml:space="preserve"> </w:t>
      </w:r>
      <w:r>
        <w:rPr>
          <w:iCs/>
          <w:i/>
        </w:rPr>
        <w:t xml:space="preserve">t</w:t>
      </w:r>
      <w:r>
        <w:t xml:space="preserve">); for the</w:t>
      </w:r>
      <w:r>
        <w:t xml:space="preserve"> </w:t>
      </w:r>
      <w:r>
        <w:rPr>
          <w:iCs/>
          <w:i/>
        </w:rPr>
        <w:t xml:space="preserve">cli</w:t>
      </w:r>
      <w:r>
        <w:t xml:space="preserve"> </w:t>
      </w:r>
      <w:r>
        <w:t xml:space="preserve">after a root of the</w:t>
      </w:r>
      <w:r>
        <w:t xml:space="preserve"> </w:t>
      </w:r>
      <w:r>
        <w:rPr>
          <w:iCs/>
          <w:i/>
        </w:rPr>
        <w:t xml:space="preserve">puṣādi</w:t>
      </w:r>
      <w:r>
        <w:t xml:space="preserve">,</w:t>
      </w:r>
      <w:r>
        <w:t xml:space="preserve"> </w:t>
      </w:r>
      <w:r>
        <w:rPr>
          <w:iCs/>
          <w:i/>
        </w:rPr>
        <w:t xml:space="preserve">dyutādi</w:t>
      </w:r>
      <w:r>
        <w:t xml:space="preserve">, and</w:t>
      </w:r>
      <w:r>
        <w:t xml:space="preserve"> </w:t>
      </w:r>
      <w:r>
        <w:rPr>
          <w:iCs/>
          <w:i/>
        </w:rPr>
        <w:t xml:space="preserve">ḷdit</w:t>
      </w:r>
      <w:r>
        <w:t xml:space="preserve"> </w:t>
      </w:r>
      <w:r>
        <w:t xml:space="preserve">classes in the parasmaipada,</w:t>
      </w:r>
      <w:r>
        <w:t xml:space="preserve"> </w:t>
      </w:r>
      <w:r>
        <w:rPr>
          <w:iCs/>
          <w:i/>
        </w:rPr>
        <w:t xml:space="preserve">aṅ</w:t>
      </w:r>
      <w:r>
        <w:t xml:space="preserve"> </w:t>
      </w:r>
      <w:r>
        <w:t xml:space="preserve">is substituted by</w:t>
      </w:r>
      <w:r>
        <w:t xml:space="preserve"> </w:t>
      </w:r>
      <w:r>
        <w:t xml:space="preserve">“</w:t>
      </w:r>
      <w:r>
        <w:t xml:space="preserve">puṣādi-dyutādi-ḷditaḥ parasmaipadeṣu</w:t>
      </w:r>
      <w:r>
        <w:t xml:space="preserve">”</w:t>
      </w:r>
      <w:r>
        <w:t xml:space="preserve"> </w:t>
      </w:r>
      <w:r>
        <w:t xml:space="preserve">(Pā. 3-1-55); the augment</w:t>
      </w:r>
      <w:r>
        <w:t xml:space="preserve"> </w:t>
      </w:r>
      <w:r>
        <w:rPr>
          <w:iCs/>
          <w:i/>
        </w:rPr>
        <w:t xml:space="preserve">aṭ</w:t>
      </w:r>
      <w:r>
        <w:t xml:space="preserve"> </w:t>
      </w:r>
      <w:r>
        <w:t xml:space="preserve">that</w:t>
      </w:r>
      <w:r>
        <w:t xml:space="preserve"> </w:t>
      </w:r>
      <w:r>
        <w:t xml:space="preserve">“</w:t>
      </w:r>
      <w:r>
        <w:t xml:space="preserve">lūṅ-laṅ-lṛṅ-kṣv aḍudāttaḥ</w:t>
      </w:r>
      <w:r>
        <w:t xml:space="preserve">”</w:t>
      </w:r>
      <w:r>
        <w:t xml:space="preserve"> </w:t>
      </w:r>
      <w:r>
        <w:t xml:space="preserve">(Pā. 6-4-71) would give does not arise, by</w:t>
      </w:r>
      <w:r>
        <w:t xml:space="preserve"> </w:t>
      </w:r>
      <w:r>
        <w:t xml:space="preserve">“</w:t>
      </w:r>
      <w:r>
        <w:t xml:space="preserve">bahulaṃ chandasy amāṅyoge ’pi</w:t>
      </w:r>
      <w:r>
        <w:t xml:space="preserve">”</w:t>
      </w:r>
      <w:r>
        <w:t xml:space="preserve"> </w:t>
      </w:r>
      <w:r>
        <w:t xml:space="preserve">(Pā. 6-4-75); wholly unaccented by</w:t>
      </w:r>
      <w:r>
        <w:t xml:space="preserve"> </w:t>
      </w:r>
      <w:r>
        <w:t xml:space="preserve">“</w:t>
      </w:r>
      <w:r>
        <w:t xml:space="preserve">tiṅṅ atiṅaḥ</w:t>
      </w:r>
      <w:r>
        <w:t xml:space="preserve">”</w:t>
      </w:r>
      <w:r>
        <w:t xml:space="preserve"> </w:t>
      </w:r>
      <w:r>
        <w:t xml:space="preserve">(Pā. 8-1-28).</w:t>
      </w:r>
      <w:r>
        <w:t xml:space="preserve"> </w:t>
      </w:r>
      <w:r>
        <w:rPr>
          <w:bCs/>
          <w:b/>
        </w:rPr>
        <w:t xml:space="preserve">वसु (</w:t>
      </w:r>
      <w:r>
        <w:rPr>
          <w:iCs/>
          <w:i/>
          <w:bCs/>
          <w:b/>
        </w:rPr>
        <w:t xml:space="preserve">vasu</w:t>
      </w:r>
      <w:r>
        <w:rPr>
          <w:bCs/>
          <w:b/>
        </w:rPr>
        <w:t xml:space="preserve">)</w:t>
      </w:r>
      <w:r>
        <w:t xml:space="preserve"> </w:t>
      </w:r>
      <w:r>
        <w:t xml:space="preserve">—</w:t>
      </w:r>
      <w:r>
        <w:t xml:space="preserve"> </w:t>
      </w:r>
      <w:r>
        <w:t xml:space="preserve">“</w:t>
      </w:r>
      <w:r>
        <w:t xml:space="preserve">śvā-svṛ-snihi-trapy-asi-vasi-hani-klidi-bandhi-manibhyaś ca</w:t>
      </w:r>
      <w:r>
        <w:t xml:space="preserve">”</w:t>
      </w:r>
      <w:r>
        <w:t xml:space="preserve"> </w:t>
      </w:r>
      <w:r>
        <w:t xml:space="preserve">(Uṇ. 1-10);</w:t>
      </w:r>
      <w:r>
        <w:t xml:space="preserve"> </w:t>
      </w:r>
      <w:r>
        <w:rPr>
          <w:iCs/>
          <w:i/>
        </w:rPr>
        <w:t xml:space="preserve">nit</w:t>
      </w:r>
      <w:r>
        <w:t xml:space="preserve"> </w:t>
      </w:r>
      <w:r>
        <w:t xml:space="preserve">is carried over from</w:t>
      </w:r>
      <w:r>
        <w:t xml:space="preserve"> </w:t>
      </w:r>
      <w:r>
        <w:t xml:space="preserve">“</w:t>
      </w:r>
      <w:r>
        <w:t xml:space="preserve">dhānye nit</w:t>
      </w:r>
      <w:r>
        <w:t xml:space="preserve">”</w:t>
      </w:r>
      <w:r>
        <w:t xml:space="preserve"> </w:t>
      </w:r>
      <w:r>
        <w:t xml:space="preserve">(Uṇ. 1-9) and</w:t>
      </w:r>
      <w:r>
        <w:t xml:space="preserve"> </w:t>
      </w:r>
      <w:r>
        <w:rPr>
          <w:iCs/>
          <w:i/>
        </w:rPr>
        <w:t xml:space="preserve">uḥ</w:t>
      </w:r>
      <w:r>
        <w:t xml:space="preserve"> </w:t>
      </w:r>
      <w:r>
        <w:t xml:space="preserve">from</w:t>
      </w:r>
      <w:r>
        <w:t xml:space="preserve"> </w:t>
      </w:r>
      <w:r>
        <w:t xml:space="preserve">“</w:t>
      </w:r>
      <w:r>
        <w:t xml:space="preserve">bhṛmṛśī…uḥ</w:t>
      </w:r>
      <w:r>
        <w:t xml:space="preserve">”</w:t>
      </w:r>
      <w:r>
        <w:t xml:space="preserve"> </w:t>
      </w:r>
      <w:r>
        <w:t xml:space="preserve">(Uṇ. 1-7), so</w:t>
      </w:r>
      <w:r>
        <w:t xml:space="preserve"> </w:t>
      </w:r>
      <w:r>
        <w:rPr>
          <w:iCs/>
          <w:i/>
        </w:rPr>
        <w:t xml:space="preserve">u</w:t>
      </w:r>
      <w:r>
        <w:t xml:space="preserve"> </w:t>
      </w:r>
      <w:r>
        <w:t xml:space="preserve">comes after the ten roots</w:t>
      </w:r>
      <w:r>
        <w:t xml:space="preserve"> </w:t>
      </w:r>
      <w:r>
        <w:rPr>
          <w:iCs/>
          <w:i/>
        </w:rPr>
        <w:t xml:space="preserve">śvā</w:t>
      </w:r>
      <w:r>
        <w:t xml:space="preserve"> </w:t>
      </w:r>
      <w:r>
        <w:t xml:space="preserve">etc. and is</w:t>
      </w:r>
      <w:r>
        <w:t xml:space="preserve"> </w:t>
      </w:r>
      <w:r>
        <w:rPr>
          <w:iCs/>
          <w:i/>
        </w:rPr>
        <w:t xml:space="preserve">nit</w:t>
      </w:r>
      <w:r>
        <w:t xml:space="preserve">; so</w:t>
      </w:r>
      <w:r>
        <w:t xml:space="preserve"> </w:t>
      </w:r>
      <w:r>
        <w:rPr>
          <w:iCs/>
          <w:i/>
        </w:rPr>
        <w:t xml:space="preserve">vasa nivāse</w:t>
      </w:r>
      <w:r>
        <w:t xml:space="preserve"> </w:t>
      </w:r>
      <w:r>
        <w:t xml:space="preserve">gives</w:t>
      </w:r>
      <w:r>
        <w:t xml:space="preserve"> </w:t>
      </w:r>
      <w:r>
        <w:rPr>
          <w:iCs/>
          <w:i/>
        </w:rPr>
        <w:t xml:space="preserve">vasu</w:t>
      </w:r>
      <w:r>
        <w:t xml:space="preserve">, initial-udātta by</w:t>
      </w:r>
      <w:r>
        <w:t xml:space="preserve"> </w:t>
      </w:r>
      <w:r>
        <w:t xml:space="preserve">“</w:t>
      </w:r>
      <w:r>
        <w:t xml:space="preserve">ñnityādir nityam</w:t>
      </w:r>
      <w:r>
        <w:t xml:space="preserve">”</w:t>
      </w:r>
      <w:r>
        <w:t xml:space="preserve"> </w:t>
      </w:r>
      <w:r>
        <w:t xml:space="preserve">(Pā. 6-1-197).</w:t>
      </w:r>
      <w:r>
        <w:t xml:space="preserve"> </w:t>
      </w:r>
      <w:r>
        <w:rPr>
          <w:bCs/>
          <w:b/>
        </w:rPr>
        <w:t xml:space="preserve">दयमानः (</w:t>
      </w:r>
      <w:r>
        <w:rPr>
          <w:iCs/>
          <w:i/>
          <w:bCs/>
          <w:b/>
        </w:rPr>
        <w:t xml:space="preserve">dayamānaḥ</w:t>
      </w:r>
      <w:r>
        <w:rPr>
          <w:bCs/>
          <w:b/>
        </w:rPr>
        <w:t xml:space="preserve">)</w:t>
      </w:r>
      <w:r>
        <w:t xml:space="preserve"> </w:t>
      </w:r>
      <w:r>
        <w:t xml:space="preserve">— root</w:t>
      </w:r>
      <w:r>
        <w:t xml:space="preserve"> </w:t>
      </w:r>
      <w:r>
        <w:rPr>
          <w:iCs/>
          <w:i/>
        </w:rPr>
        <w:t xml:space="preserve">daya dāna-gati-rakṣaṇa-hiṃsā-dāneṣu</w:t>
      </w:r>
      <w:r>
        <w:t xml:space="preserve">;</w:t>
      </w:r>
      <w:r>
        <w:t xml:space="preserve"> </w:t>
      </w:r>
      <w:r>
        <w:rPr>
          <w:iCs/>
          <w:i/>
        </w:rPr>
        <w:t xml:space="preserve">anudātta-it</w:t>
      </w:r>
      <w:r>
        <w:t xml:space="preserve">, so ātmanepada by</w:t>
      </w:r>
      <w:r>
        <w:t xml:space="preserve"> </w:t>
      </w:r>
      <w:r>
        <w:t xml:space="preserve">“</w:t>
      </w:r>
      <w:r>
        <w:t xml:space="preserve">anudātta-ṅita ātmanepadam</w:t>
      </w:r>
      <w:r>
        <w:t xml:space="preserve">”</w:t>
      </w:r>
      <w:r>
        <w:t xml:space="preserve"> </w:t>
      </w:r>
      <w:r>
        <w:t xml:space="preserve">(printed</w:t>
      </w:r>
      <w:r>
        <w:t xml:space="preserve"> </w:t>
      </w:r>
      <w:r>
        <w:t xml:space="preserve">“</w:t>
      </w:r>
      <w:r>
        <w:t xml:space="preserve">1-3-1</w:t>
      </w:r>
      <w:r>
        <w:t xml:space="preserve">”</w:t>
      </w:r>
      <w:r>
        <w:t xml:space="preserve"> </w:t>
      </w:r>
      <w:r>
        <w:t xml:space="preserve">[as printed], i.e. 1-3-12);</w:t>
      </w:r>
      <w:r>
        <w:t xml:space="preserve"> </w:t>
      </w:r>
      <w:r>
        <w:rPr>
          <w:iCs/>
          <w:i/>
        </w:rPr>
        <w:t xml:space="preserve">śānac</w:t>
      </w:r>
      <w:r>
        <w:t xml:space="preserve"> </w:t>
      </w:r>
      <w:r>
        <w:t xml:space="preserve">for</w:t>
      </w:r>
      <w:r>
        <w:t xml:space="preserve"> </w:t>
      </w:r>
      <w:r>
        <w:rPr>
          <w:iCs/>
          <w:i/>
        </w:rPr>
        <w:t xml:space="preserve">laṭ</w:t>
      </w:r>
      <w:r>
        <w:t xml:space="preserve"> </w:t>
      </w:r>
      <w:r>
        <w:t xml:space="preserve">by</w:t>
      </w:r>
      <w:r>
        <w:t xml:space="preserve"> </w:t>
      </w:r>
      <w:r>
        <w:t xml:space="preserve">“</w:t>
      </w:r>
      <w:r>
        <w:t xml:space="preserve">laṭaḥ śatṛśānacāv aprathamāsamānādhikaraṇe</w:t>
      </w:r>
      <w:r>
        <w:t xml:space="preserve">”</w:t>
      </w:r>
      <w:r>
        <w:t xml:space="preserve"> </w:t>
      </w:r>
      <w:r>
        <w:t xml:space="preserve">(Pā. 3-2-124);</w:t>
      </w:r>
      <w:r>
        <w:t xml:space="preserve"> </w:t>
      </w:r>
      <w:r>
        <w:rPr>
          <w:iCs/>
          <w:i/>
        </w:rPr>
        <w:t xml:space="preserve">śap</w:t>
      </w:r>
      <w:r>
        <w:t xml:space="preserve"> </w:t>
      </w:r>
      <w:r>
        <w:t xml:space="preserve">by</w:t>
      </w:r>
      <w:r>
        <w:t xml:space="preserve"> </w:t>
      </w:r>
      <w:r>
        <w:t xml:space="preserve">“</w:t>
      </w:r>
      <w:r>
        <w:t xml:space="preserve">kartari śap</w:t>
      </w:r>
      <w:r>
        <w:t xml:space="preserve">”</w:t>
      </w:r>
      <w:r>
        <w:t xml:space="preserve"> </w:t>
      </w:r>
      <w:r>
        <w:t xml:space="preserve">(Pā. 3-1-68); before</w:t>
      </w:r>
      <w:r>
        <w:t xml:space="preserve"> </w:t>
      </w:r>
      <w:r>
        <w:rPr>
          <w:iCs/>
          <w:i/>
        </w:rPr>
        <w:t xml:space="preserve">āna</w:t>
      </w:r>
      <w:r>
        <w:t xml:space="preserve"> </w:t>
      </w:r>
      <w:r>
        <w:t xml:space="preserve">the short</w:t>
      </w:r>
      <w:r>
        <w:t xml:space="preserve"> </w:t>
      </w:r>
      <w:r>
        <w:rPr>
          <w:iCs/>
          <w:i/>
        </w:rPr>
        <w:t xml:space="preserve">a</w:t>
      </w:r>
      <w:r>
        <w:t xml:space="preserve"> </w:t>
      </w:r>
      <w:r>
        <w:t xml:space="preserve">of the stem takes the augment</w:t>
      </w:r>
      <w:r>
        <w:t xml:space="preserve"> </w:t>
      </w:r>
      <w:r>
        <w:rPr>
          <w:iCs/>
          <w:i/>
        </w:rPr>
        <w:t xml:space="preserve">muk</w:t>
      </w:r>
      <w:r>
        <w:t xml:space="preserve"> </w:t>
      </w:r>
      <w:r>
        <w:t xml:space="preserve">by</w:t>
      </w:r>
      <w:r>
        <w:t xml:space="preserve"> </w:t>
      </w:r>
      <w:r>
        <w:t xml:space="preserve">“</w:t>
      </w:r>
      <w:r>
        <w:t xml:space="preserve">āne muk</w:t>
      </w:r>
      <w:r>
        <w:t xml:space="preserve">”</w:t>
      </w:r>
      <w:r>
        <w:t xml:space="preserve"> </w:t>
      </w:r>
      <w:r>
        <w:t xml:space="preserve">(Pā. 7-2-82), which is</w:t>
      </w:r>
      <w:r>
        <w:t xml:space="preserve"> </w:t>
      </w:r>
      <w:r>
        <w:rPr>
          <w:iCs/>
          <w:i/>
        </w:rPr>
        <w:t xml:space="preserve">kit</w:t>
      </w:r>
      <w:r>
        <w:t xml:space="preserve"> </w:t>
      </w:r>
      <w:r>
        <w:t xml:space="preserve">and so is added at the end (</w:t>
      </w:r>
      <w:r>
        <w:t xml:space="preserve">“</w:t>
      </w:r>
      <w:r>
        <w:t xml:space="preserve">ādyantau ṭakitau,</w:t>
      </w:r>
      <w:r>
        <w:t xml:space="preserve">”</w:t>
      </w:r>
      <w:r>
        <w:t xml:space="preserve"> </w:t>
      </w:r>
      <w:r>
        <w:t xml:space="preserve">Pā. 1-1-46):</w:t>
      </w:r>
      <w:r>
        <w:t xml:space="preserve"> </w:t>
      </w:r>
      <w:r>
        <w:rPr>
          <w:iCs/>
          <w:i/>
        </w:rPr>
        <w:t xml:space="preserve">day + a + mān + a</w:t>
      </w:r>
      <w:r>
        <w:t xml:space="preserve">;</w:t>
      </w:r>
      <w:r>
        <w:t xml:space="preserve"> </w:t>
      </w:r>
      <w:r>
        <w:rPr>
          <w:iCs/>
          <w:i/>
        </w:rPr>
        <w:t xml:space="preserve">śap</w:t>
      </w:r>
      <w:r>
        <w:t xml:space="preserve"> </w:t>
      </w:r>
      <w:r>
        <w:t xml:space="preserve">is</w:t>
      </w:r>
      <w:r>
        <w:t xml:space="preserve"> </w:t>
      </w:r>
      <w:r>
        <w:rPr>
          <w:iCs/>
          <w:i/>
        </w:rPr>
        <w:t xml:space="preserve">pit</w:t>
      </w:r>
      <w:r>
        <w:t xml:space="preserve"> </w:t>
      </w:r>
      <w:r>
        <w:t xml:space="preserve">and so unaccented; the</w:t>
      </w:r>
      <w:r>
        <w:t xml:space="preserve"> </w:t>
      </w:r>
      <w:r>
        <w:rPr>
          <w:iCs/>
          <w:i/>
        </w:rPr>
        <w:t xml:space="preserve">śānac</w:t>
      </w:r>
      <w:r>
        <w:t xml:space="preserve">, being</w:t>
      </w:r>
      <w:r>
        <w:t xml:space="preserve"> </w:t>
      </w:r>
      <w:r>
        <w:rPr>
          <w:iCs/>
          <w:i/>
        </w:rPr>
        <w:t xml:space="preserve">cit</w:t>
      </w:r>
      <w:r>
        <w:t xml:space="preserve">, would give the final accent (</w:t>
      </w:r>
      <w:r>
        <w:t xml:space="preserve">“</w:t>
      </w:r>
      <w:r>
        <w:t xml:space="preserve">citaḥ,</w:t>
      </w:r>
      <w:r>
        <w:t xml:space="preserve">”</w:t>
      </w:r>
      <w:r>
        <w:t xml:space="preserve"> </w:t>
      </w:r>
      <w:r>
        <w:t xml:space="preserve">Pā. 6-1-163), but since it follows</w:t>
      </w:r>
      <w:r>
        <w:t xml:space="preserve"> </w:t>
      </w:r>
      <w:r>
        <w:rPr>
          <w:iCs/>
          <w:i/>
        </w:rPr>
        <w:t xml:space="preserve">śap</w:t>
      </w:r>
      <w:r>
        <w:t xml:space="preserve">, an</w:t>
      </w:r>
      <w:r>
        <w:t xml:space="preserve"> </w:t>
      </w:r>
      <w:r>
        <w:rPr>
          <w:iCs/>
          <w:i/>
        </w:rPr>
        <w:t xml:space="preserve">adupadeśa</w:t>
      </w:r>
      <w:r>
        <w:t xml:space="preserve">, the</w:t>
      </w:r>
      <w:r>
        <w:t xml:space="preserve"> </w:t>
      </w:r>
      <w:r>
        <w:rPr>
          <w:iCs/>
          <w:i/>
        </w:rPr>
        <w:t xml:space="preserve">lasārvadhātuka</w:t>
      </w:r>
      <w:r>
        <w:t xml:space="preserve"> </w:t>
      </w:r>
      <w:r>
        <w:t xml:space="preserve">is unaccented (</w:t>
      </w:r>
      <w:r>
        <w:rPr>
          <w:iCs/>
          <w:i/>
        </w:rPr>
        <w:t xml:space="preserve">tāsyanudāttenṅid-adupadeśāl lasārvadhātukam anudāttam</w:t>
      </w:r>
      <w:r>
        <w:t xml:space="preserve">, Pā. 6-1-186), this is set aside and only the root’s accent stands:</w:t>
      </w:r>
      <w:r>
        <w:t xml:space="preserve"> </w:t>
      </w:r>
      <w:r>
        <w:rPr>
          <w:iCs/>
          <w:i/>
        </w:rPr>
        <w:t xml:space="preserve">day</w:t>
      </w:r>
      <w:r>
        <w:t xml:space="preserve">.</w:t>
      </w:r>
    </w:p>
    <w:p>
      <w:pPr>
        <w:pStyle w:val="BodyText"/>
      </w:pPr>
      <w:r>
        <w:rPr>
          <w:bCs/>
          <w:b/>
        </w:rPr>
        <w:t xml:space="preserve">॥६॥</w:t>
      </w:r>
    </w:p>
    <w:p>
      <w:r>
        <w:pict>
          <v:rect style="width:0;height:1.5pt" o:hralign="center" o:hrstd="t" o:hr="t"/>
        </w:pict>
      </w:r>
    </w:p>
    <w:bookmarkEnd w:id="433"/>
    <w:bookmarkStart w:id="434" w:name="page-412-lower-sūkta-10-rik-7"/>
    <w:p>
      <w:pPr>
        <w:pStyle w:val="Heading3"/>
      </w:pPr>
      <w:r>
        <w:t xml:space="preserve">Page 412 (lower) — Sūkta 10, Rik 7</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सु॒वि॒वृतं॑ सुनि॒रज॒मिन्द्र॒ त्वादा॑त॒मिद्यशः॑ ।</w:t>
      </w:r>
      <w:r>
        <w:t xml:space="preserve"> </w:t>
      </w:r>
      <w:r>
        <w:t xml:space="preserve">गवा॒मप॑ व्र॒जं वृ॑धि कृणु॒ष्व राधो॑ अद्रिवः ॥७॥</w:t>
      </w:r>
    </w:p>
    <w:p>
      <w:pPr>
        <w:pStyle w:val="BlockText"/>
      </w:pPr>
      <w:r>
        <w:rPr>
          <w:iCs/>
          <w:i/>
        </w:rPr>
        <w:t xml:space="preserve">suvivṛ́taṃ sunirájam índra tvā́dātam íd yáśaḥ |</w:t>
      </w:r>
      <w:r>
        <w:t xml:space="preserve"> </w:t>
      </w:r>
      <w:r>
        <w:rPr>
          <w:iCs/>
          <w:i/>
        </w:rPr>
        <w:t xml:space="preserve">gavām ápa vrajáṃ vṛdhi kṛṇuṣvá rā́dho adrivaḥ ||7||</w:t>
      </w:r>
    </w:p>
    <w:p>
      <w:pPr>
        <w:pStyle w:val="FirstParagraph"/>
      </w:pPr>
      <w:r>
        <w:rPr>
          <w:bCs/>
          <w:b/>
        </w:rPr>
        <w:t xml:space="preserve">॥ Pada-pāṭhaḥ ॥</w:t>
      </w:r>
    </w:p>
    <w:p>
      <w:pPr>
        <w:pStyle w:val="BlockText"/>
      </w:pPr>
      <w:r>
        <w:t xml:space="preserve">सुऽविवृतम् । सुनिःऽअजम् । इन्द्र । त्वाऽदातम् । इत् । यशः ॥</w:t>
      </w:r>
      <w:r>
        <w:t xml:space="preserve"> </w:t>
      </w:r>
      <w:r>
        <w:t xml:space="preserve">गवाम् । अप । व्रजम् । वृधि । कृणुष्व । राधः । अद्रिवः ॥७॥</w:t>
      </w:r>
    </w:p>
    <w:p>
      <w:pPr>
        <w:pStyle w:val="BlockText"/>
      </w:pPr>
      <w:r>
        <w:rPr>
          <w:iCs/>
          <w:i/>
        </w:rPr>
        <w:t xml:space="preserve">su-vivṛtam | sunir-ajam | indra | tvā-dātam | it | yaśaḥ ||</w:t>
      </w:r>
      <w:r>
        <w:t xml:space="preserve"> </w:t>
      </w:r>
      <w:r>
        <w:rPr>
          <w:iCs/>
          <w:i/>
        </w:rPr>
        <w:t xml:space="preserve">gavām | apa | vrajam | vṛdhi | kṛṇuṣva | rādhaḥ | adrivaḥ ||7||</w:t>
      </w:r>
    </w:p>
    <w:bookmarkEnd w:id="434"/>
    <w:bookmarkStart w:id="435" w:name="page-413-rik-7-sāyaṇa-bhāṣya"/>
    <w:p>
      <w:pPr>
        <w:pStyle w:val="Heading3"/>
      </w:pPr>
      <w:r>
        <w:t xml:space="preserve">Page 413 — Rik 7: Sāyaṇa-bhāṣya</w:t>
      </w:r>
    </w:p>
    <w:p>
      <w:pPr>
        <w:pStyle w:val="FirstParagraph"/>
      </w:pPr>
      <w:r>
        <w:rPr>
          <w:bCs/>
          <w:b/>
        </w:rPr>
        <w:t xml:space="preserve">॥ Sāyaṇa-bhāṣyam ॥</w:t>
      </w:r>
    </w:p>
    <w:p>
      <w:pPr>
        <w:pStyle w:val="BlockText"/>
      </w:pPr>
      <w:r>
        <w:t xml:space="preserve">हे इन्द्र यशो ऽन्नं कर्मफलभूतं सुविवृतं सुष्ठु सर्वत्र प्रसृतं सुनिरजं सुखेन निःशेषं प्राप्तुं शक्यं त्वादातमित्त्वया शोधितं च संपन्नमिति शेषः । अतः परं क्षीरादिरसलाभार्थं गवां व्रजं निवासस्थानमप वृधि । अपवृतमुद्घाटितद्वारं कुरु । हे अद्रिवः पर्वतोपलक्षितवज्रयुक्तेन्द्र राधो धनं कृणुष्व । संपादय ॥ सुविवृतम् । वृञ् वरणे । कर्मणि क्तप्रत्ययः । विशब्देन प्रादिसमासः । विवृतमित्यत्र कृदुत्तरपदप्रकृतिस्वरं बाधित्वा कर्मवाचिनि क्तान्ते परतो गतिरनन्तरः । पा. ६-२-४९ । इति पूर्वपदप्रकृतिस्वरे प्राप्ते परादिश्छन्दसि बहुलम् । ६-२-१९९ । इतीकार उदात्तः । पुनः सुशब्देन समासे कृदुत्तरपदप्रकृतिस्वरेण स एवकार [sic] उदात्तः । ननु वृतमित्येव कृदन्तं न तु विवृतमिति प्रत्ययग्रहणे यस्मात्स विहितस्तदादेस्तदन्तस्य ग्रहणम् । परि. २३ । इति वचनात् । सुविवृतमित्यत्र च समासे वृतमित्येतावन्मात्रं नोत्तरपदं किंतु विवृतमिति । तत्कथं कृदुत्तरपदप्रकृतिस्वरत्वमिति चेत् उच्यते । प्रत्ययग्रहणपरिभाषापवादेन कृद्ग्रहणे गतिकारकपूर्वस्यापि ग्रहणम् । परि. २८ । इत्यनेन विवृतमित्यस्यापि कृदन्तव्यपदेशोपपत्तेः । ननु विवृतमित्यस्य यथा कृदन्तव्यपदेशः । एवं क्तान्तव्यपदेशो ऽप्यस्ति तयैव परिभाषया । तथा च कर्मणि क्तान्त उत्तरपदे परतो गतिरनन्तर इति सुशब्दस्य प्रकृतिस्वरः प्राप्नोति । न चात्रापि परादिश्छन्दसि बहुलमित्येवं नास्ति निस्तारः । तथा हि सति सुविवृतमित्यत्र विवृतमित्येवोत्तरपदमिति तदादिरिकार एवोदात्तः स्यात् । विवृतमिति समासे यद्यप्यृकारः पदादिर्भवति तथापि सुविवृतमिति समासस्य सति शिष्टत्वेन बलीयस्त्वात्तत्रत्य एवोत्तरपदादाविकार एवोदात्तस्वरेण भवितव्यमिति । उच्यते । गतिरनन्तर इत्यत्रानुवृत्तेः कृद्ग्रहणे कृद्ग्रहणपरिभाषा नाश्रीयते । तदाश्रयणे व्यवहितगतावपि प्रकृतिस्वरे सत्यनन्तरग्रहणमनर्थकं स्यात् । अनेनैव चाभिप्रायेणानन्तरग्रहणस्य प्रयोजनमभ्युद्धृतमित्यत्र व्यवहितस्याभिशब्दस्य मा भूदिति प्रत्युदाहृतम् । तस्मात्सुविवृतमित्यृकार एवोदात्त इति स्थितम् । सुनिरजम् । अनायासेन निरवशेषं प्राप्यम् । अज गतिक्षेपणयोः । सुनिसोरुपसर्गयोः प्राक्प्रयोगः । ईषद्दुःसुषु कृच्छ्राकृच्छ्रार्थेषु खल् । पा. ३-३-१२६ । न चात्र सुशब्दस्य निसा व्यवधानं शङ्कनीयम् । सुशब्दस्य ह्युपपदमात्रं खलो निमित्तं नानन्तर्यम् । अत एव सुपरिहरं दुष्परिहरमित्यादयः प्रयोगा इति । पूर्ववद्गतिसमासे लितीति प्रत्ययात्पूर्वमुदात्तमिति धात्वकार उदात्तः । निसा समासे कृदुत्तरपदप्रकृतिस्वरेण स एव शिष्यते । पुनः सुशब्देन समासे कृद्ग्रहणे गतिकारकपूर्वस्यापि ग्रहणमिति परिभाषया कृदुत्तरपदप्रकृतिस्वरेण स एव शिष्यते । त्वादातम् । त्वया शोधनेन विशदीकृतम् । दैप् शोधने । आदेच उपदेशे ऽशिति । पा. ६-१-४५ । इत्यात्त्वम् । सत्यपि हि पकारे नानुबन्धकृतमनेजन्तत्वम् । परि. ६ । इत्येजन्त एवायम् । निष्ठेति कर्मणि क्तः । दाधा घ्वदाप् । पा. १-१-२० । इत्यत्रादाबिति प्रतिषेधेन घुसंज्ञाया अभावाद्दो दद्घोः । पा. ७-४-४६ । इति ददादेशो न भवति । ननु दाप् लवन इति प्रतिपदोक्तस्यैव दापस्तत्रादाबिति निषेधः । न पुनर्लाक्षणिकस्य दैपः । लक्षणप्रतिपदोक्तयोः प्रतिपदोक्तस्यैव ग्रहणं न तु लाक्षणिकस्य । परि. १०५ । इति नियमादिति चेन्न । गामादाग्रहणेष्वविशेषः । परि. १०६ । इति प्रतिप्रसवात् । युष्मच्छब्दात्तृतीयैकवचनस्य सुपां सुलुगिति डादेशः । त्वमावेकवचने । पा. ७-२-९७ । इति मपर्यन्तस्य त्वादेशः । अतो गुण इति पररूपत्वम् । भसंज्ञायां टेरित्यद्शब्दस्य [?] लोपः । उदात्तनिवृत्तिस्वरेणाकार उदात्तः । कर्तृकरणे कृता बहुलम् । पा. २-१-३२ । इति तृतीयासमासः । तत्पुरुषे कृति बहुलम् । पा. ६-३-१४ । इति तृतीयाया अप्यलुक् । कृदुत्तरपदप्रकृतिस्वरे प्राप्ते तृतीया कर्मणि । पा. ६-२-४८ । इति पूर्वपदप्रकृतिस्वरत्वम् । यशः । अशू व्याप्तौ । अशेर्युट्च । उ. ४-१९० । इत्यसुन् । तत्संनियोगेन धातोर्युडागमः । नित्त्वादाद्युदात्तत्वम् । गवाम् । प्रातिपदिकस्वरः । सावेकाच इति विभक्तेरुदात्तत्वं प्राप्तं न गोश्वन्साववर्णेति निषिध्यते । वृधि । वृञ् वरणे । श्रुशृणुपॄकृवृभ्यश्छन्दसि । पा. ६-४-१०२ । इति हेर्धिरादेशः । बहुलं छन्दसीति श्नोरपि लुक् । निघातः । कृणुष्व । कृवि हिंसाकरणयोश्च । इदितो नुम् । व्यत्ययेनात्मनेपदम् । लोटस्थास् । ३-४-७८ । थासः से । पा. ३-४-८० । सवाभ्यां वामौ । पा. ३-४-९१ । कर्तरि शपि प्राप्ते । पा. ३-१-६८ । धिन्विकृण्व्योरच्च । पा. ३-१-८० । इत्युप्रत्ययः । तत्संनियोगेन वकारस्य चाकारः । तस्यातो लोपः । पा. ६-४-४८ । इति लोपः । अचः परस्मिन्पूर्वविधौ । पा. १-१-५७ । इत्यकारलोपस्य स्थानिवद्भावाल्लघूपधगुणो न भवति । अत्र सति शिष्टस्वरबलीयस्त्वमन्यत्र विकरणेभ्य इति सति शिष्टमपि विकरणस्वरं बाधित्वा तिङ एव प्रत्ययाद्युदात्तत्वम् । राधः । असुनन्तो नित्त्वादाद्युदात्तः । अद्रिवः । अद्रिर्वज्रम् । तदस्यास्तीति मतुप् । छन्दसीरः । पा. ८-२-१५ । इति वत्वम् । संबुद्धावुगिदचाम् । पा. ७-१-७० । इति नुम् । हल्ङ्यादिसंयोगान्तलोपौ । पा. ६-१-६८ । मतुवसो रु संबुद्धौ छन्दसि । पा. ८-३-१ । इति रुत्वम् । विसर्जनीयः । आमन्त्रितस्य च निघातः ॥</w:t>
      </w:r>
    </w:p>
    <w:p>
      <w:pPr>
        <w:pStyle w:val="BlockText"/>
      </w:pPr>
      <w:r>
        <w:rPr>
          <w:iCs/>
          <w:i/>
        </w:rPr>
        <w:t xml:space="preserve">he indra yaśo ’nnaṃ karmaphalabhūtaṃ suvivṛtaṃ suṣṭhu sarvatra prasṛtaṃ sunirajaṃ sukhena niḥśeṣaṃ prāptuṃ śakyaṃ tvādātamittvayā śodhitaṃ ca saṃpannamiti śeṣaḥ | ataḥ paraṃ kṣīrādirasalābhārthaṃ gavāṃ vrajaṃ nivāsasthānamapa vṛdhi | apavṛtamudghāṭitadvāraṃ kuru | he adrivaḥ parvatopalakṣitavajrayuktendra rādho dhanaṃ kṛṇuṣva | saṃpādaya || suvivṛtam | vṛñ varaṇe | karmaṇi ktapratyayaḥ | viśabdena prādisamāsaḥ | vivṛtamityatra kṛduttarapadaprakṛtisvaraṃ bādhitvā karmavācini ktānte parato gatiranantaraḥ | pā. 6-2-49 | iti pūrvapadaprakṛtisvare prāpte parādiśchandasi bahulam | 6-2-199 | itīkāra udāttaḥ | punaḥ suśabdena samāse kṛduttarapadaprakṛtisvareṇa sa evakāra [sic] udāttaḥ | nanu vṛtamityeva kṛdantaṃ na tu vivṛtamiti pratyayagrahaṇe yasmātsa vihitastadādestadantasya grahaṇam | pari. 23 | iti vacanāt | suvivṛtamityatra ca samāse vṛtamityetāvanmātraṃ nottarapadaṃ kiṃtu vivṛtamiti | tatkathaṃ kṛduttarapadaprakṛtisvaratvamiti cet ucyate | pratyayagrahaṇaparibhāṣāpavādena kṛdgrahaṇe gatikārakapūrvasyāpi grahaṇam | pari. 28 | ityanena vivṛtamityasyāpi kṛdantavyapadeśopapatteḥ | nanu vivṛtamityasya yathā kṛdantavyapadeśaḥ | evaṃ ktāntavyapadeśo ’pyasti tayaiva paribhāṣayā | tathā ca karmaṇi ktānta uttarapade parato gatiranantara iti suśabdasya prakṛtisvaraḥ prāpnoti | na cātrāpi parādiśchandasi bahulamityevaṃ nāsti nistāraḥ | tathā hi sati suvivṛtamityatra vivṛtamityevottarapadamiti tadādirikāra evodāttaḥ syāt | vivṛtamiti samāse yadyapyṛkāraḥ padādirbhavati tathāpi suvivṛtamiti samāsasya sati śiṣṭatvena balīyastvāttatratya evottarapadādāvikāra evodāttasvareṇa bhavitavyamiti | ucyate | gatiranantara ityatrānuvṛtteḥ kṛdgrahaṇe kṛdgrahaṇaparibhāṣā nāśrīyate | tadāśrayaṇe vyavahitagatāvapi prakṛtisvare satyanantaragrahaṇamanarthakaṃ syāt | anenaiva cābhiprāyeṇānantaragrahaṇasya prayojanamabhyuddhṛtamityatra vyavahitasyābhiśabdasya mā bhūditi pratyudāhṛtam | tasmātsuvivṛtamityṛkāra evodātta iti sthitam | sunirajam | anāyāsena niravaśeṣaṃ prāpyam | aja gatikṣepaṇayoḥ | sunisorupasargayoḥ prākprayogaḥ | īṣadduḥsuṣu kṛcchrākṛcchrārtheṣu khal | pā. 3-3-126 | na cātra suśabdasya nisā vyavadhānaṃ śaṅkanīyam | suśabdasya hyupapadamātraṃ khalo nimittaṃ nānantaryam | ata eva supariharaṃ duṣpariharamityādayaḥ prayogā iti | pūrvavadgatisamāse litīti pratyayātpūrvamudāttamiti dhātvakāra udāttaḥ | nisā samāse kṛduttarapadaprakṛtisvareṇa sa eva śiṣyate | punaḥ suśabdena samāse kṛdgrahaṇe gatikārakapūrvasyāpi grahaṇamiti paribhāṣayā kṛduttarapadaprakṛtisvareṇa sa eva śiṣyate | tvādātam | tvayā śodhanena viśadīkṛtam | daip śodhane | ādeca upadeśe ’śiti | pā. 6-1-45 | ityāttvam | satyapi hi pakāre nānubandhakṛtamanejantatvam | pari. 6 | ityejanta evāyam | niṣṭheti karmaṇi ktaḥ | dādhā ghvadāp | pā. 1-1-20 | ityatrādābiti pratiṣedhena ghusaṃjñāyā abhāvāddo dadghoḥ | pā. 7-4-46 | iti dadādeśo na bhavati | nanu dāp lavana iti pratipadoktasyaiva dāpastatrādābiti niṣedhaḥ | na punarlākṣaṇikasya daipaḥ | lakṣaṇapratipadoktayoḥ pratipadoktasyaiva grahaṇaṃ na tu lākṣaṇikasya | pari. 105 | iti niyamāditi cenna | gāmādāgrahaṇeṣvaviśeṣaḥ | pari. 106 | iti pratiprasavāt | yuṣmacchabdāttṛtīyaikavacanasya supāṃ sulugiti ḍādeśaḥ | tvamāvekavacane | pā. 7-2-97 | iti maparyantasya tvādeśaḥ | ato guṇa iti pararūpatvam | bhasaṃjñāyāṃ ṭerityadśabdasya [?] lopaḥ | udāttanivṛttisvareṇākāra udāttaḥ | kartṛkaraṇe kṛtā bahulam | pā. 2-1-32 | iti tṛtīyāsamāsaḥ | tatpuruṣe kṛti bahulam | pā. 6-3-14 | iti tṛtīyāyā apyaluk | kṛduttarapadaprakṛtisvare prāpte tṛtīyā karmaṇi | pā. 6-2-48 | iti pūrvapadaprakṛtisvaratvam | yaśaḥ | aśū vyāptau | aśeryuṭca | u. 4-190 | ityasun | tatsaṃniyogena dhātoryuḍāgamaḥ | nittvādādyudāttatvam | gavām | prātipadikasvaraḥ | sāvekāca iti vibhakterudāttatvaṃ prāptaṃ na gośvansāvavarṇeti niṣidhyate | vṛdhi | vṛñ varaṇe | śruśṛṇupṝkṛvṛbhyaśchandasi | pā. 6-4-102 | iti herdhirādeśaḥ | bahulaṃ chandasīti śnorapi luk | nighātaḥ | kṛṇuṣva | kṛvi hiṃsākaraṇayośca | idito num | vyatyayenātmanepadam | loṭasthās | 3-4-78 | thāsaḥ se | pā. 3-4-80 | savābhyāṃ vāmau | pā. 3-4-91 | kartari śapi prāpte | pā. 3-1-68 | dhinvikṛṇvyoracca | pā. 3-1-80 | ityupratyayaḥ | tatsaṃniyogena vakārasya cākāraḥ | tasyāto lopaḥ | pā. 6-4-48 | iti lopaḥ | acaḥ parasminpūrvavidhau | pā. 1-1-57 | ityakāralopasya sthānivadbhāvāllaghūpadhaguṇo na bhavati | atra sati śiṣṭasvarabalīyastvamanyatra vikaraṇebhya iti sati śiṣṭamapi vikaraṇasvaraṃ bādhitvā tiṅa eva pratyayādyudāttatvam | rādhaḥ | asunanto nittvādādyudāttaḥ | adrivaḥ | adrirvajram | tadasyāstīti matup | chandasīraḥ | pā. 8-2-15 | iti vatvam | saṃbuddhāvugidacām | pā. 7-1-70 | iti num | halṅyādisaṃyogāntalopau | pā. 6-1-68 | matuvaso ru saṃbuddhau chandasi | pā. 8-3-1 | iti rutvam | visarjanīyaḥ | āmantritasya ca nighātaḥ ||</w:t>
      </w:r>
    </w:p>
    <w:p>
      <w:pPr>
        <w:pStyle w:val="FirstParagraph"/>
      </w:pPr>
      <w:r>
        <w:rPr>
          <w:bCs/>
          <w:b/>
        </w:rPr>
        <w:t xml:space="preserve">Translation:</w:t>
      </w:r>
      <w:r>
        <w:t xml:space="preserve"> </w:t>
      </w:r>
      <w:r>
        <w:t xml:space="preserve">“</w:t>
      </w:r>
      <w:r>
        <w:t xml:space="preserve">O Indra!</w:t>
      </w:r>
      <w:r>
        <w:t xml:space="preserve"> </w:t>
      </w:r>
      <w:r>
        <w:rPr>
          <w:iCs/>
          <w:i/>
        </w:rPr>
        <w:t xml:space="preserve">Yaśaḥ</w:t>
      </w:r>
      <w:r>
        <w:t xml:space="preserve"> </w:t>
      </w:r>
      <w:r>
        <w:t xml:space="preserve">— food, the fruit of the rite —</w:t>
      </w:r>
      <w:r>
        <w:t xml:space="preserve"> </w:t>
      </w:r>
      <w:r>
        <w:rPr>
          <w:iCs/>
          <w:i/>
        </w:rPr>
        <w:t xml:space="preserve">suvivṛtam</w:t>
      </w:r>
      <w:r>
        <w:t xml:space="preserve">: well spread out everywhere;</w:t>
      </w:r>
      <w:r>
        <w:t xml:space="preserve"> </w:t>
      </w:r>
      <w:r>
        <w:rPr>
          <w:iCs/>
          <w:i/>
        </w:rPr>
        <w:t xml:space="preserve">sunirajam</w:t>
      </w:r>
      <w:r>
        <w:t xml:space="preserve">: easily obtained, wholly;</w:t>
      </w:r>
      <w:r>
        <w:t xml:space="preserve"> </w:t>
      </w:r>
      <w:r>
        <w:rPr>
          <w:iCs/>
          <w:i/>
        </w:rPr>
        <w:t xml:space="preserve">tvādātam</w:t>
      </w:r>
      <w:r>
        <w:t xml:space="preserve">: purified by you — has come about [supply</w:t>
      </w:r>
      <w:r>
        <w:t xml:space="preserve"> </w:t>
      </w:r>
      <w:r>
        <w:t xml:space="preserve">‘</w:t>
      </w:r>
      <w:r>
        <w:t xml:space="preserve">is</w:t>
      </w:r>
      <w:r>
        <w:t xml:space="preserve">’</w:t>
      </w:r>
      <w:r>
        <w:t xml:space="preserve">]. After this, for the sake of obtaining milk and other juices,</w:t>
      </w:r>
      <w:r>
        <w:t xml:space="preserve"> </w:t>
      </w:r>
      <w:r>
        <w:rPr>
          <w:iCs/>
          <w:i/>
        </w:rPr>
        <w:t xml:space="preserve">gavāṃ vrajam</w:t>
      </w:r>
      <w:r>
        <w:t xml:space="preserve"> </w:t>
      </w:r>
      <w:r>
        <w:t xml:space="preserve">— the cow-pen, the dwelling-place of cows —</w:t>
      </w:r>
      <w:r>
        <w:t xml:space="preserve"> </w:t>
      </w:r>
      <w:r>
        <w:rPr>
          <w:iCs/>
          <w:i/>
        </w:rPr>
        <w:t xml:space="preserve">apa vṛdhi</w:t>
      </w:r>
      <w:r>
        <w:t xml:space="preserve">: open it — make its door opened. O</w:t>
      </w:r>
      <w:r>
        <w:t xml:space="preserve"> </w:t>
      </w:r>
      <w:r>
        <w:rPr>
          <w:iCs/>
          <w:i/>
        </w:rPr>
        <w:t xml:space="preserve">adrivaḥ</w:t>
      </w:r>
      <w:r>
        <w:t xml:space="preserve"> </w:t>
      </w:r>
      <w:r>
        <w:t xml:space="preserve">— O Indra, armed with the thunderbolt that is characterized by the mountain —</w:t>
      </w:r>
      <w:r>
        <w:t xml:space="preserve"> </w:t>
      </w:r>
      <w:r>
        <w:rPr>
          <w:iCs/>
          <w:i/>
        </w:rPr>
        <w:t xml:space="preserve">rādhaḥ</w:t>
      </w:r>
      <w:r>
        <w:t xml:space="preserve"> </w:t>
      </w:r>
      <w:r>
        <w:t xml:space="preserve">— wealth —</w:t>
      </w:r>
      <w:r>
        <w:t xml:space="preserve"> </w:t>
      </w:r>
      <w:r>
        <w:rPr>
          <w:iCs/>
          <w:i/>
        </w:rPr>
        <w:t xml:space="preserve">kṛṇuṣva</w:t>
      </w:r>
      <w:r>
        <w:t xml:space="preserve">: bring about.</w:t>
      </w:r>
      <w:r>
        <w:t xml:space="preserve">”</w:t>
      </w:r>
      <w:r>
        <w:t xml:space="preserve"> </w:t>
      </w:r>
      <w:r>
        <w:rPr>
          <w:iCs/>
          <w:i/>
        </w:rPr>
        <w:t xml:space="preserve">(Grammar, noted briefly:</w:t>
      </w:r>
      <w:r>
        <w:t xml:space="preserve"> </w:t>
      </w:r>
      <w:r>
        <w:t xml:space="preserve">suvivṛtam</w:t>
      </w:r>
      <w:r>
        <w:t xml:space="preserve"> </w:t>
      </w:r>
      <w:r>
        <w:rPr>
          <w:iCs/>
          <w:i/>
        </w:rPr>
        <w:t xml:space="preserve">— root</w:t>
      </w:r>
      <w:r>
        <w:t xml:space="preserve"> </w:t>
      </w:r>
      <w:r>
        <w:t xml:space="preserve">vṛñ varaṇe</w:t>
      </w:r>
      <w:r>
        <w:t xml:space="preserve"> </w:t>
      </w:r>
      <w:r>
        <w:rPr>
          <w:iCs/>
          <w:i/>
        </w:rPr>
        <w:t xml:space="preserve">with</w:t>
      </w:r>
      <w:r>
        <w:t xml:space="preserve"> </w:t>
      </w:r>
      <w:r>
        <w:t xml:space="preserve">kta</w:t>
      </w:r>
      <w:r>
        <w:rPr>
          <w:iCs/>
          <w:i/>
        </w:rPr>
        <w:t xml:space="preserve">, compounded with</w:t>
      </w:r>
      <w:r>
        <w:t xml:space="preserve"> </w:t>
      </w:r>
      <w:r>
        <w:t xml:space="preserve">vi</w:t>
      </w:r>
      <w:r>
        <w:t xml:space="preserve"> </w:t>
      </w:r>
      <w:r>
        <w:rPr>
          <w:iCs/>
          <w:i/>
        </w:rPr>
        <w:t xml:space="preserve">and then</w:t>
      </w:r>
      <w:r>
        <w:t xml:space="preserve"> </w:t>
      </w:r>
      <w:r>
        <w:t xml:space="preserve">su</w:t>
      </w:r>
      <w:r>
        <w:rPr>
          <w:iCs/>
          <w:i/>
        </w:rPr>
        <w:t xml:space="preserve">; the</w:t>
      </w:r>
      <w:r>
        <w:t xml:space="preserve"> </w:t>
      </w:r>
      <w:r>
        <w:t xml:space="preserve">i</w:t>
      </w:r>
      <w:r>
        <w:t xml:space="preserve"> </w:t>
      </w:r>
      <w:r>
        <w:rPr>
          <w:iCs/>
          <w:i/>
        </w:rPr>
        <w:t xml:space="preserve">of</w:t>
      </w:r>
      <w:r>
        <w:t xml:space="preserve"> </w:t>
      </w:r>
      <w:r>
        <w:t xml:space="preserve">vi</w:t>
      </w:r>
      <w:r>
        <w:t xml:space="preserve"> </w:t>
      </w:r>
      <w:r>
        <w:rPr>
          <w:iCs/>
          <w:i/>
        </w:rPr>
        <w:t xml:space="preserve">is udātta by</w:t>
      </w:r>
      <w:r>
        <w:rPr>
          <w:iCs/>
          <w:i/>
        </w:rPr>
        <w:t xml:space="preserve"> </w:t>
      </w:r>
      <w:r>
        <w:rPr>
          <w:iCs/>
          <w:i/>
        </w:rPr>
        <w:t xml:space="preserve">“</w:t>
      </w:r>
      <w:r>
        <w:rPr>
          <w:iCs/>
          <w:i/>
        </w:rPr>
        <w:t xml:space="preserve">parādiś chandasi bahulam</w:t>
      </w:r>
      <w:r>
        <w:rPr>
          <w:iCs/>
          <w:i/>
        </w:rPr>
        <w:t xml:space="preserve">”</w:t>
      </w:r>
      <w:r>
        <w:rPr>
          <w:iCs/>
          <w:i/>
        </w:rPr>
        <w:t xml:space="preserve"> </w:t>
      </w:r>
      <w:r>
        <w:rPr>
          <w:iCs/>
          <w:i/>
        </w:rPr>
        <w:t xml:space="preserve">(Pā. 6-2-199), setting aside Pā. 6-2-49; a long discussion with paribhāṣās 23 and 28 shows that, since</w:t>
      </w:r>
      <w:r>
        <w:rPr>
          <w:iCs/>
          <w:i/>
        </w:rPr>
        <w:t xml:space="preserve"> </w:t>
      </w:r>
      <w:r>
        <w:rPr>
          <w:iCs/>
          <w:i/>
        </w:rPr>
        <w:t xml:space="preserve">“</w:t>
      </w:r>
      <w:r>
        <w:rPr>
          <w:iCs/>
          <w:i/>
        </w:rPr>
        <w:t xml:space="preserve">kṛdgrahaṇe gatikārakapūrvasyāpi</w:t>
      </w:r>
      <w:r>
        <w:rPr>
          <w:iCs/>
          <w:i/>
        </w:rPr>
        <w:t xml:space="preserve">”</w:t>
      </w:r>
      <w:r>
        <w:rPr>
          <w:iCs/>
          <w:i/>
        </w:rPr>
        <w:t xml:space="preserve"> </w:t>
      </w:r>
      <w:r>
        <w:rPr>
          <w:iCs/>
          <w:i/>
        </w:rPr>
        <w:t xml:space="preserve">is not applied to</w:t>
      </w:r>
      <w:r>
        <w:rPr>
          <w:iCs/>
          <w:i/>
        </w:rPr>
        <w:t xml:space="preserve"> </w:t>
      </w:r>
      <w:r>
        <w:rPr>
          <w:iCs/>
          <w:i/>
        </w:rPr>
        <w:t xml:space="preserve">“</w:t>
      </w:r>
      <w:r>
        <w:rPr>
          <w:iCs/>
          <w:i/>
        </w:rPr>
        <w:t xml:space="preserve">gatir anantaraḥ</w:t>
      </w:r>
      <w:r>
        <w:rPr>
          <w:iCs/>
          <w:i/>
        </w:rPr>
        <w:t xml:space="preserve">”</w:t>
      </w:r>
      <w:r>
        <w:rPr>
          <w:iCs/>
          <w:i/>
        </w:rPr>
        <w:t xml:space="preserve">, the</w:t>
      </w:r>
      <w:r>
        <w:t xml:space="preserve"> </w:t>
      </w:r>
      <w:r>
        <w:t xml:space="preserve">ṛ</w:t>
      </w:r>
      <w:r>
        <w:t xml:space="preserve"> </w:t>
      </w:r>
      <w:r>
        <w:rPr>
          <w:iCs/>
          <w:i/>
        </w:rPr>
        <w:t xml:space="preserve">is udātta;</w:t>
      </w:r>
      <w:r>
        <w:t xml:space="preserve"> </w:t>
      </w:r>
      <w:r>
        <w:t xml:space="preserve">sunirajam</w:t>
      </w:r>
      <w:r>
        <w:t xml:space="preserve"> </w:t>
      </w:r>
      <w:r>
        <w:rPr>
          <w:iCs/>
          <w:i/>
        </w:rPr>
        <w:t xml:space="preserve">— root</w:t>
      </w:r>
      <w:r>
        <w:t xml:space="preserve"> </w:t>
      </w:r>
      <w:r>
        <w:t xml:space="preserve">aja gatikṣepaṇayoḥ</w:t>
      </w:r>
      <w:r>
        <w:t xml:space="preserve"> </w:t>
      </w:r>
      <w:r>
        <w:rPr>
          <w:iCs/>
          <w:i/>
        </w:rPr>
        <w:t xml:space="preserve">with</w:t>
      </w:r>
      <w:r>
        <w:t xml:space="preserve"> </w:t>
      </w:r>
      <w:r>
        <w:t xml:space="preserve">khal</w:t>
      </w:r>
      <w:r>
        <w:t xml:space="preserve"> </w:t>
      </w:r>
      <w:r>
        <w:rPr>
          <w:iCs/>
          <w:i/>
        </w:rPr>
        <w:t xml:space="preserve">(Pā. 3-3-126) after</w:t>
      </w:r>
      <w:r>
        <w:t xml:space="preserve"> </w:t>
      </w:r>
      <w:r>
        <w:t xml:space="preserve">su</w:t>
      </w:r>
      <w:r>
        <w:t xml:space="preserve"> </w:t>
      </w:r>
      <w:r>
        <w:rPr>
          <w:iCs/>
          <w:i/>
        </w:rPr>
        <w:t xml:space="preserve">and</w:t>
      </w:r>
      <w:r>
        <w:t xml:space="preserve"> </w:t>
      </w:r>
      <w:r>
        <w:t xml:space="preserve">nis</w:t>
      </w:r>
      <w:r>
        <w:rPr>
          <w:iCs/>
          <w:i/>
        </w:rPr>
        <w:t xml:space="preserve">;</w:t>
      </w:r>
      <w:r>
        <w:t xml:space="preserve"> </w:t>
      </w:r>
      <w:r>
        <w:t xml:space="preserve">tvādātam</w:t>
      </w:r>
      <w:r>
        <w:t xml:space="preserve"> </w:t>
      </w:r>
      <w:r>
        <w:rPr>
          <w:iCs/>
          <w:i/>
        </w:rPr>
        <w:t xml:space="preserve">— root</w:t>
      </w:r>
      <w:r>
        <w:t xml:space="preserve"> </w:t>
      </w:r>
      <w:r>
        <w:t xml:space="preserve">daip śodhane</w:t>
      </w:r>
      <w:r>
        <w:t xml:space="preserve"> </w:t>
      </w:r>
      <w:r>
        <w:rPr>
          <w:iCs/>
          <w:i/>
        </w:rPr>
        <w:t xml:space="preserve">with</w:t>
      </w:r>
      <w:r>
        <w:t xml:space="preserve"> </w:t>
      </w:r>
      <w:r>
        <w:t xml:space="preserve">kta</w:t>
      </w:r>
      <w:r>
        <w:rPr>
          <w:iCs/>
          <w:i/>
        </w:rPr>
        <w:t xml:space="preserve">, not</w:t>
      </w:r>
      <w:r>
        <w:t xml:space="preserve"> </w:t>
      </w:r>
      <w:r>
        <w:t xml:space="preserve">dad-</w:t>
      </w:r>
      <w:r>
        <w:t xml:space="preserve"> </w:t>
      </w:r>
      <w:r>
        <w:rPr>
          <w:iCs/>
          <w:i/>
        </w:rPr>
        <w:t xml:space="preserve">since it is not</w:t>
      </w:r>
      <w:r>
        <w:t xml:space="preserve"> </w:t>
      </w:r>
      <w:r>
        <w:t xml:space="preserve">ghu</w:t>
      </w:r>
      <w:r>
        <w:t xml:space="preserve"> </w:t>
      </w:r>
      <w:r>
        <w:rPr>
          <w:iCs/>
          <w:i/>
        </w:rPr>
        <w:t xml:space="preserve">(Pā. 1-1-20, 7-4-46; paribhāṣās 6, 105, 106), compounded with</w:t>
      </w:r>
      <w:r>
        <w:t xml:space="preserve"> </w:t>
      </w:r>
      <w:r>
        <w:t xml:space="preserve">tvā</w:t>
      </w:r>
      <w:r>
        <w:t xml:space="preserve"> </w:t>
      </w:r>
      <w:r>
        <w:rPr>
          <w:iCs/>
          <w:i/>
        </w:rPr>
        <w:t xml:space="preserve">(Pā. 7-2-97, 2-1-32, 6-3-14), first-member accent (Pā. 6-2-48);</w:t>
      </w:r>
      <w:r>
        <w:t xml:space="preserve"> </w:t>
      </w:r>
      <w:r>
        <w:t xml:space="preserve">yaśaḥ</w:t>
      </w:r>
      <w:r>
        <w:t xml:space="preserve"> </w:t>
      </w:r>
      <w:r>
        <w:rPr>
          <w:iCs/>
          <w:i/>
        </w:rPr>
        <w:t xml:space="preserve">— Uṇ. 4-190;</w:t>
      </w:r>
      <w:r>
        <w:t xml:space="preserve"> </w:t>
      </w:r>
      <w:r>
        <w:t xml:space="preserve">gavām</w:t>
      </w:r>
      <w:r>
        <w:t xml:space="preserve"> </w:t>
      </w:r>
      <w:r>
        <w:rPr>
          <w:iCs/>
          <w:i/>
        </w:rPr>
        <w:t xml:space="preserve">— stem accent;</w:t>
      </w:r>
      <w:r>
        <w:t xml:space="preserve"> </w:t>
      </w:r>
      <w:r>
        <w:t xml:space="preserve">vṛdhi</w:t>
      </w:r>
      <w:r>
        <w:t xml:space="preserve"> </w:t>
      </w:r>
      <w:r>
        <w:rPr>
          <w:iCs/>
          <w:i/>
        </w:rPr>
        <w:t xml:space="preserve">— dhi for hi (Pā. 6-4-102);</w:t>
      </w:r>
      <w:r>
        <w:t xml:space="preserve"> </w:t>
      </w:r>
      <w:r>
        <w:t xml:space="preserve">kṛṇuṣva</w:t>
      </w:r>
      <w:r>
        <w:t xml:space="preserve"> </w:t>
      </w:r>
      <w:r>
        <w:rPr>
          <w:iCs/>
          <w:i/>
        </w:rPr>
        <w:t xml:space="preserve">— root</w:t>
      </w:r>
      <w:r>
        <w:t xml:space="preserve"> </w:t>
      </w:r>
      <w:r>
        <w:t xml:space="preserve">kṛvi</w:t>
      </w:r>
      <w:r>
        <w:t xml:space="preserve"> </w:t>
      </w:r>
      <w:r>
        <w:rPr>
          <w:iCs/>
          <w:i/>
        </w:rPr>
        <w:t xml:space="preserve">with</w:t>
      </w:r>
      <w:r>
        <w:t xml:space="preserve"> </w:t>
      </w:r>
      <w:r>
        <w:t xml:space="preserve">u</w:t>
      </w:r>
      <w:r>
        <w:t xml:space="preserve"> </w:t>
      </w:r>
      <w:r>
        <w:rPr>
          <w:iCs/>
          <w:i/>
        </w:rPr>
        <w:t xml:space="preserve">(Pā. 3-1-80), ātmanepada by Vedic exchange;</w:t>
      </w:r>
      <w:r>
        <w:t xml:space="preserve"> </w:t>
      </w:r>
      <w:r>
        <w:t xml:space="preserve">adrivaḥ</w:t>
      </w:r>
      <w:r>
        <w:t xml:space="preserve"> </w:t>
      </w:r>
      <w:r>
        <w:rPr>
          <w:iCs/>
          <w:i/>
        </w:rPr>
        <w:t xml:space="preserve">— matup with</w:t>
      </w:r>
      <w:r>
        <w:t xml:space="preserve"> </w:t>
      </w:r>
      <w:r>
        <w:t xml:space="preserve">v</w:t>
      </w:r>
      <w:r>
        <w:t xml:space="preserve"> </w:t>
      </w:r>
      <w:r>
        <w:rPr>
          <w:iCs/>
          <w:i/>
        </w:rPr>
        <w:t xml:space="preserve">(Pā. 8-2-15),</w:t>
      </w:r>
      <w:r>
        <w:t xml:space="preserve"> </w:t>
      </w:r>
      <w:r>
        <w:t xml:space="preserve">num</w:t>
      </w:r>
      <w:r>
        <w:t xml:space="preserve"> </w:t>
      </w:r>
      <w:r>
        <w:rPr>
          <w:iCs/>
          <w:i/>
        </w:rPr>
        <w:t xml:space="preserve">(Pā. 7-1-70),</w:t>
      </w:r>
      <w:r>
        <w:t xml:space="preserve"> </w:t>
      </w:r>
      <w:r>
        <w:t xml:space="preserve">ru</w:t>
      </w:r>
      <w:r>
        <w:t xml:space="preserve"> </w:t>
      </w:r>
      <w:r>
        <w:rPr>
          <w:iCs/>
          <w:i/>
        </w:rPr>
        <w:t xml:space="preserve">(Pā. 8-3-1), unaccented as a vocative.)</w:t>
      </w:r>
    </w:p>
    <w:bookmarkEnd w:id="435"/>
    <w:bookmarkStart w:id="436" w:name="X408ffc3d23be8ae467c663e88702c432c8c6a3c"/>
    <w:p>
      <w:pPr>
        <w:pStyle w:val="Heading3"/>
      </w:pPr>
      <w:r>
        <w:t xml:space="preserve">Page 414 — Rik 7: Sāyaṇa’s grammar (briefly noted)</w:t>
      </w:r>
    </w:p>
    <w:p>
      <w:pPr>
        <w:pStyle w:val="FirstParagraph"/>
      </w:pPr>
      <w:r>
        <w:rPr>
          <w:iCs/>
          <w:i/>
        </w:rPr>
        <w:t xml:space="preserve">(This page carries the rest of Sāyaṇa’s grammar of Ṛk 7, given in full with p. 413 above.)</w:t>
      </w:r>
    </w:p>
    <w:p>
      <w:pPr>
        <w:pStyle w:val="BodyText"/>
      </w:pPr>
      <w:r>
        <w:rPr>
          <w:bCs/>
          <w:b/>
        </w:rPr>
        <w:t xml:space="preserve">॥ Prati-padārthaḥ ॥</w:t>
      </w:r>
      <w:r>
        <w:t xml:space="preserve"> </w:t>
      </w:r>
      <w:r>
        <w:rPr>
          <w:iCs/>
          <w:i/>
        </w:rPr>
        <w:t xml:space="preserve">(printed on p. 415)</w:t>
      </w:r>
    </w:p>
    <w:bookmarkEnd w:id="436"/>
    <w:bookmarkStart w:id="437" w:name="X045d7d2b79fafdef1767c5f7b6c525b79abe911"/>
    <w:p>
      <w:pPr>
        <w:pStyle w:val="Heading3"/>
      </w:pPr>
      <w:r>
        <w:t xml:space="preserve">Page 415 — Rik 7: word-meanings, overall sense, English, Special Topics</w:t>
      </w:r>
    </w:p>
    <w:p>
      <w:pPr>
        <w:pStyle w:val="FirstParagraph"/>
      </w:pPr>
      <w:r>
        <w:rPr>
          <w:bCs/>
          <w:b/>
        </w:rPr>
        <w:t xml:space="preserve">॥ Prati-padārthaḥ ॥</w:t>
      </w:r>
    </w:p>
    <w:p>
      <w:pPr>
        <w:pStyle w:val="BodyText"/>
      </w:pPr>
      <w:r>
        <w:rPr>
          <w:bCs/>
          <w:b/>
        </w:rPr>
        <w:t xml:space="preserve">(हे) इन्द्र ((he) indra)</w:t>
      </w:r>
      <w:r>
        <w:t xml:space="preserve"> </w:t>
      </w:r>
      <w:r>
        <w:t xml:space="preserve">— O Indra |</w:t>
      </w:r>
      <w:r>
        <w:t xml:space="preserve"> </w:t>
      </w:r>
      <w:r>
        <w:rPr>
          <w:bCs/>
          <w:b/>
        </w:rPr>
        <w:t xml:space="preserve">सुविवृतम् (suvivṛtam)</w:t>
      </w:r>
      <w:r>
        <w:t xml:space="preserve"> </w:t>
      </w:r>
      <w:r>
        <w:t xml:space="preserve">— spread out well everywhere (that is, in great abundance) |</w:t>
      </w:r>
      <w:r>
        <w:t xml:space="preserve"> </w:t>
      </w:r>
      <w:r>
        <w:rPr>
          <w:bCs/>
          <w:b/>
        </w:rPr>
        <w:t xml:space="preserve">सुनिरजम् (sunirajam)</w:t>
      </w:r>
      <w:r>
        <w:t xml:space="preserve"> </w:t>
      </w:r>
      <w:r>
        <w:t xml:space="preserve">— easily obtained |</w:t>
      </w:r>
      <w:r>
        <w:t xml:space="preserve"> </w:t>
      </w:r>
      <w:r>
        <w:rPr>
          <w:bCs/>
          <w:b/>
        </w:rPr>
        <w:t xml:space="preserve">यशः (yaśaḥ)</w:t>
      </w:r>
      <w:r>
        <w:t xml:space="preserve"> </w:t>
      </w:r>
      <w:r>
        <w:t xml:space="preserve">— the food (nourishment) |</w:t>
      </w:r>
      <w:r>
        <w:t xml:space="preserve"> </w:t>
      </w:r>
      <w:r>
        <w:rPr>
          <w:bCs/>
          <w:b/>
        </w:rPr>
        <w:t xml:space="preserve">त्वादातम् इत् (tvādātam it)</w:t>
      </w:r>
      <w:r>
        <w:t xml:space="preserve"> </w:t>
      </w:r>
      <w:r>
        <w:t xml:space="preserve">— you are indeed the one who purifies it well |</w:t>
      </w:r>
      <w:r>
        <w:t xml:space="preserve"> </w:t>
      </w:r>
      <w:r>
        <w:rPr>
          <w:bCs/>
          <w:b/>
        </w:rPr>
        <w:t xml:space="preserve">(हे) अद्रिवः ((he) adrivaḥ)</w:t>
      </w:r>
      <w:r>
        <w:t xml:space="preserve"> </w:t>
      </w:r>
      <w:r>
        <w:t xml:space="preserve">— O Indra, bearer of the thunderbolt |</w:t>
      </w:r>
      <w:r>
        <w:t xml:space="preserve"> </w:t>
      </w:r>
      <w:r>
        <w:rPr>
          <w:bCs/>
          <w:b/>
        </w:rPr>
        <w:t xml:space="preserve">गवाम् (gavām)</w:t>
      </w:r>
      <w:r>
        <w:t xml:space="preserve"> </w:t>
      </w:r>
      <w:r>
        <w:t xml:space="preserve">— of the cows |</w:t>
      </w:r>
      <w:r>
        <w:t xml:space="preserve"> </w:t>
      </w:r>
      <w:r>
        <w:rPr>
          <w:bCs/>
          <w:b/>
        </w:rPr>
        <w:t xml:space="preserve">व्रजम् (vrajam)</w:t>
      </w:r>
      <w:r>
        <w:t xml:space="preserve"> </w:t>
      </w:r>
      <w:r>
        <w:t xml:space="preserve">— the cow-pen |</w:t>
      </w:r>
      <w:r>
        <w:t xml:space="preserve"> </w:t>
      </w:r>
      <w:r>
        <w:rPr>
          <w:bCs/>
          <w:b/>
        </w:rPr>
        <w:t xml:space="preserve">अप वृधि (apa vṛdhi)</w:t>
      </w:r>
      <w:r>
        <w:t xml:space="preserve"> </w:t>
      </w:r>
      <w:r>
        <w:t xml:space="preserve">— open the door (that is, give us cows) |</w:t>
      </w:r>
      <w:r>
        <w:t xml:space="preserve"> </w:t>
      </w:r>
      <w:r>
        <w:rPr>
          <w:bCs/>
          <w:b/>
        </w:rPr>
        <w:t xml:space="preserve">राधः (rādhaḥ)</w:t>
      </w:r>
      <w:r>
        <w:t xml:space="preserve"> </w:t>
      </w:r>
      <w:r>
        <w:t xml:space="preserve">— wealth |</w:t>
      </w:r>
      <w:r>
        <w:t xml:space="preserve"> </w:t>
      </w:r>
      <w:r>
        <w:rPr>
          <w:bCs/>
          <w:b/>
        </w:rPr>
        <w:t xml:space="preserve">कृणुष्व (kṛṇuṣva)</w:t>
      </w:r>
      <w:r>
        <w:t xml:space="preserve"> </w:t>
      </w:r>
      <w:r>
        <w:t xml:space="preserve">— obtain (for us).</w:t>
      </w:r>
    </w:p>
    <w:p>
      <w:pPr>
        <w:pStyle w:val="BodyText"/>
      </w:pPr>
      <w:r>
        <w:rPr>
          <w:bCs/>
          <w:b/>
        </w:rPr>
        <w:t xml:space="preserve">॥ Bhāvārthaḥ ॥</w:t>
      </w:r>
    </w:p>
    <w:p>
      <w:pPr>
        <w:pStyle w:val="BodyText"/>
      </w:pPr>
      <w:r>
        <w:t xml:space="preserve">O Indra! Make abundant food available to us; it must be easily obtainable for us everywhere. Besides, open the pen of the cows and obtain for us many cows and wealth.</w:t>
      </w:r>
    </w:p>
    <w:p>
      <w:pPr>
        <w:pStyle w:val="BodyText"/>
      </w:pPr>
      <w:r>
        <w:rPr>
          <w:bCs/>
          <w:b/>
        </w:rPr>
        <w:t xml:space="preserve">॥ English Translation ॥</w:t>
      </w:r>
      <w:r>
        <w:t xml:space="preserve"> </w:t>
      </w:r>
      <w:r>
        <w:rPr>
          <w:iCs/>
          <w:i/>
        </w:rPr>
        <w:t xml:space="preserve">(as printed in the source)</w:t>
      </w:r>
    </w:p>
    <w:p>
      <w:pPr>
        <w:pStyle w:val="BlockText"/>
      </w:pPr>
      <w:r>
        <w:t xml:space="preserve">O Indra, the food is rendered abundant everywhere and easily obtainable; O weilder [sic] of thunderbolt, throw open, then the cow-fold and give us wealth.</w:t>
      </w:r>
    </w:p>
    <w:p>
      <w:pPr>
        <w:pStyle w:val="FirstParagraph"/>
      </w:pPr>
      <w:r>
        <w:rPr>
          <w:bCs/>
          <w:b/>
        </w:rPr>
        <w:t xml:space="preserve">॥ Viśeṣa-viṣayagaḷu (Special Topics) ॥</w:t>
      </w:r>
    </w:p>
    <w:p>
      <w:pPr>
        <w:pStyle w:val="BodyText"/>
      </w:pPr>
      <w:r>
        <w:rPr>
          <w:bCs/>
          <w:b/>
        </w:rPr>
        <w:t xml:space="preserve">“</w:t>
      </w:r>
      <w:r>
        <w:rPr>
          <w:bCs/>
          <w:b/>
        </w:rPr>
        <w:t xml:space="preserve">Suvivṛtam</w:t>
      </w:r>
      <w:r>
        <w:rPr>
          <w:bCs/>
          <w:b/>
        </w:rPr>
        <w:t xml:space="preserve">”</w:t>
      </w:r>
      <w:r>
        <w:t xml:space="preserve"> </w:t>
      </w:r>
      <w:r>
        <w:t xml:space="preserve">— for this word the Bhāṣyakāra says</w:t>
      </w:r>
      <w:r>
        <w:t xml:space="preserve"> </w:t>
      </w:r>
      <w:r>
        <w:rPr>
          <w:bCs/>
          <w:b/>
        </w:rPr>
        <w:t xml:space="preserve">सुष्ठु सर्वत्र प्रसृतम्</w:t>
      </w:r>
      <w:r>
        <w:t xml:space="preserve"> </w:t>
      </w:r>
      <w:r>
        <w:t xml:space="preserve">(</w:t>
      </w:r>
      <w:r>
        <w:rPr>
          <w:iCs/>
          <w:i/>
        </w:rPr>
        <w:t xml:space="preserve">suṣṭhu sarvatra prasṛtam</w:t>
      </w:r>
      <w:r>
        <w:t xml:space="preserve">) —</w:t>
      </w:r>
      <w:r>
        <w:t xml:space="preserve"> </w:t>
      </w:r>
      <w:r>
        <w:t xml:space="preserve">“</w:t>
      </w:r>
      <w:r>
        <w:t xml:space="preserve">well spread out everywhere</w:t>
      </w:r>
      <w:r>
        <w:t xml:space="preserve">”</w:t>
      </w:r>
      <w:r>
        <w:t xml:space="preserve">; Skandasvāmī says</w:t>
      </w:r>
      <w:r>
        <w:t xml:space="preserve"> </w:t>
      </w:r>
      <w:r>
        <w:rPr>
          <w:bCs/>
          <w:b/>
        </w:rPr>
        <w:t xml:space="preserve">सुष्ठु लोके प्रकाशम्</w:t>
      </w:r>
      <w:r>
        <w:t xml:space="preserve"> </w:t>
      </w:r>
      <w:r>
        <w:t xml:space="preserve">(</w:t>
      </w:r>
      <w:r>
        <w:rPr>
          <w:iCs/>
          <w:i/>
        </w:rPr>
        <w:t xml:space="preserve">suṣṭhu loke prakāśam</w:t>
      </w:r>
      <w:r>
        <w:t xml:space="preserve">) —</w:t>
      </w:r>
      <w:r>
        <w:t xml:space="preserve"> </w:t>
      </w:r>
      <w:r>
        <w:t xml:space="preserve">“</w:t>
      </w:r>
      <w:r>
        <w:t xml:space="preserve">well available (manifest) in the world.</w:t>
      </w:r>
      <w:r>
        <w:t xml:space="preserve">”</w:t>
      </w:r>
      <w:r>
        <w:t xml:space="preserve"> </w:t>
      </w:r>
      <w:r>
        <w:t xml:space="preserve">The scholar Wilson renders it</w:t>
      </w:r>
      <w:r>
        <w:t xml:space="preserve"> </w:t>
      </w:r>
      <w:r>
        <w:rPr>
          <w:iCs/>
          <w:i/>
        </w:rPr>
        <w:t xml:space="preserve">rendered everywhere abundant</w:t>
      </w:r>
      <w:r>
        <w:t xml:space="preserve">.</w:t>
      </w:r>
    </w:p>
    <w:p>
      <w:pPr>
        <w:pStyle w:val="BodyText"/>
      </w:pPr>
      <w:r>
        <w:rPr>
          <w:bCs/>
          <w:b/>
        </w:rPr>
        <w:t xml:space="preserve">“</w:t>
      </w:r>
      <w:r>
        <w:rPr>
          <w:bCs/>
          <w:b/>
        </w:rPr>
        <w:t xml:space="preserve">Sunirajam</w:t>
      </w:r>
      <w:r>
        <w:rPr>
          <w:bCs/>
          <w:b/>
        </w:rPr>
        <w:t xml:space="preserve">”</w:t>
      </w:r>
      <w:r>
        <w:t xml:space="preserve"> </w:t>
      </w:r>
      <w:r>
        <w:t xml:space="preserve">—</w:t>
      </w:r>
      <w:r>
        <w:t xml:space="preserve"> </w:t>
      </w:r>
      <w:r>
        <w:rPr>
          <w:bCs/>
          <w:b/>
        </w:rPr>
        <w:t xml:space="preserve">सुखेन निःशेषं प्राप्तुं शक्यम्</w:t>
      </w:r>
      <w:r>
        <w:t xml:space="preserve"> </w:t>
      </w:r>
      <w:r>
        <w:t xml:space="preserve">(</w:t>
      </w:r>
      <w:r>
        <w:rPr>
          <w:iCs/>
          <w:i/>
        </w:rPr>
        <w:t xml:space="preserve">sukhena niḥśeṣaṃ prāptuṃ śakyam</w:t>
      </w:r>
      <w:r>
        <w:t xml:space="preserve">) —</w:t>
      </w:r>
      <w:r>
        <w:t xml:space="preserve"> </w:t>
      </w:r>
      <w:r>
        <w:t xml:space="preserve">“</w:t>
      </w:r>
      <w:r>
        <w:t xml:space="preserve">that which can be obtained wholly with ease</w:t>
      </w:r>
      <w:r>
        <w:t xml:space="preserve">”</w:t>
      </w:r>
      <w:r>
        <w:t xml:space="preserve"> </w:t>
      </w:r>
      <w:r>
        <w:t xml:space="preserve">says the Bhāṣyakāra; and Skandasvāmī explains:</w:t>
      </w:r>
      <w:r>
        <w:t xml:space="preserve"> </w:t>
      </w:r>
      <w:r>
        <w:rPr>
          <w:bCs/>
          <w:b/>
        </w:rPr>
        <w:t xml:space="preserve">सुनिरजम् । निरित्येष नीत्येतस्य स्थाने । अज गतिक्षेपणयोः । सुनिक्षेपम् । यत्र यत्र विनियोक्तुमिष्यते तत्र तत्र प्रभूतत्वात्सुविनियोजमित्यर्थः ॥</w:t>
      </w:r>
      <w:r>
        <w:t xml:space="preserve"> </w:t>
      </w:r>
      <w:r>
        <w:t xml:space="preserve">(</w:t>
      </w:r>
      <w:r>
        <w:rPr>
          <w:iCs/>
          <w:i/>
        </w:rPr>
        <w:t xml:space="preserve">sunirajam | nirityeṣa nītyetasya sthāne | aja gatikṣepaṇayoḥ | sunikṣepam | yatra yatra viniyoktumiṣyate tatra tatra prabhūtatvātsuviniyojamityarthaḥ ||</w:t>
      </w:r>
      <w:r>
        <w:t xml:space="preserve">) —</w:t>
      </w:r>
      <w:r>
        <w:t xml:space="preserve"> </w:t>
      </w:r>
      <w:r>
        <w:t xml:space="preserve">“</w:t>
      </w:r>
      <w:r>
        <w:rPr>
          <w:iCs/>
          <w:i/>
        </w:rPr>
        <w:t xml:space="preserve">sunirajam</w:t>
      </w:r>
      <w:r>
        <w:t xml:space="preserve">:</w:t>
      </w:r>
      <w:r>
        <w:t xml:space="preserve"> </w:t>
      </w:r>
      <w:r>
        <w:rPr>
          <w:iCs/>
          <w:i/>
        </w:rPr>
        <w:t xml:space="preserve">nir</w:t>
      </w:r>
      <w:r>
        <w:t xml:space="preserve"> </w:t>
      </w:r>
      <w:r>
        <w:t xml:space="preserve">here stands for</w:t>
      </w:r>
      <w:r>
        <w:t xml:space="preserve"> </w:t>
      </w:r>
      <w:r>
        <w:rPr>
          <w:iCs/>
          <w:i/>
        </w:rPr>
        <w:t xml:space="preserve">ni</w:t>
      </w:r>
      <w:r>
        <w:t xml:space="preserve">; root</w:t>
      </w:r>
      <w:r>
        <w:t xml:space="preserve"> </w:t>
      </w:r>
      <w:r>
        <w:rPr>
          <w:iCs/>
          <w:i/>
        </w:rPr>
        <w:t xml:space="preserve">aja</w:t>
      </w:r>
      <w:r>
        <w:t xml:space="preserve"> </w:t>
      </w:r>
      <w:r>
        <w:t xml:space="preserve">in the sense of going and throwing;</w:t>
      </w:r>
      <w:r>
        <w:t xml:space="preserve"> </w:t>
      </w:r>
      <w:r>
        <w:rPr>
          <w:iCs/>
          <w:i/>
        </w:rPr>
        <w:t xml:space="preserve">sunikṣepam</w:t>
      </w:r>
      <w:r>
        <w:t xml:space="preserve">,</w:t>
      </w:r>
      <w:r>
        <w:t xml:space="preserve"> </w:t>
      </w:r>
      <w:r>
        <w:t xml:space="preserve">‘</w:t>
      </w:r>
      <w:r>
        <w:t xml:space="preserve">easily laid down</w:t>
      </w:r>
      <w:r>
        <w:t xml:space="preserve">’</w:t>
      </w:r>
      <w:r>
        <w:t xml:space="preserve">: wherever one wishes to apply it, there, because it is abundant, it is easily applied.</w:t>
      </w:r>
      <w:r>
        <w:t xml:space="preserve">”</w:t>
      </w:r>
      <w:r>
        <w:t xml:space="preserve"> </w:t>
      </w:r>
      <w:r>
        <w:t xml:space="preserve">That is: what can be obtained easily, being spread everywhere, is easily to be found.</w:t>
      </w:r>
    </w:p>
    <w:p>
      <w:pPr>
        <w:pStyle w:val="BodyText"/>
      </w:pPr>
      <w:r>
        <w:rPr>
          <w:bCs/>
          <w:b/>
        </w:rPr>
        <w:t xml:space="preserve">“</w:t>
      </w:r>
      <w:r>
        <w:rPr>
          <w:bCs/>
          <w:b/>
        </w:rPr>
        <w:t xml:space="preserve">Tvādātam</w:t>
      </w:r>
      <w:r>
        <w:rPr>
          <w:bCs/>
          <w:b/>
        </w:rPr>
        <w:t xml:space="preserve">”</w:t>
      </w:r>
      <w:r>
        <w:t xml:space="preserve"> </w:t>
      </w:r>
      <w:r>
        <w:t xml:space="preserve">—</w:t>
      </w:r>
      <w:r>
        <w:t xml:space="preserve"> </w:t>
      </w:r>
      <w:r>
        <w:t xml:space="preserve">“</w:t>
      </w:r>
      <w:r>
        <w:t xml:space="preserve">purified by you</w:t>
      </w:r>
      <w:r>
        <w:t xml:space="preserve">”</w:t>
      </w:r>
      <w:r>
        <w:t xml:space="preserve"> </w:t>
      </w:r>
      <w:r>
        <w:t xml:space="preserve">(</w:t>
      </w:r>
      <w:r>
        <w:rPr>
          <w:iCs/>
          <w:i/>
        </w:rPr>
        <w:t xml:space="preserve">tvayā śodhanena viśadīkṛtam</w:t>
      </w:r>
      <w:r>
        <w:t xml:space="preserve">), says the Bhāṣyakāra; Skandasvāmī gives</w:t>
      </w:r>
      <w:r>
        <w:t xml:space="preserve"> </w:t>
      </w:r>
      <w:r>
        <w:rPr>
          <w:iCs/>
          <w:i/>
        </w:rPr>
        <w:t xml:space="preserve">tvayā dattam</w:t>
      </w:r>
      <w:r>
        <w:t xml:space="preserve"> </w:t>
      </w:r>
      <w:r>
        <w:t xml:space="preserve">—</w:t>
      </w:r>
      <w:r>
        <w:t xml:space="preserve"> </w:t>
      </w:r>
      <w:r>
        <w:t xml:space="preserve">“</w:t>
      </w:r>
      <w:r>
        <w:t xml:space="preserve">given by you.</w:t>
      </w:r>
      <w:r>
        <w:t xml:space="preserve">”</w:t>
      </w:r>
      <w:r>
        <w:t xml:space="preserve"> </w:t>
      </w:r>
      <w:r>
        <w:t xml:space="preserve">The Bhāṣyakāra takes the root</w:t>
      </w:r>
      <w:r>
        <w:t xml:space="preserve"> </w:t>
      </w:r>
      <w:r>
        <w:rPr>
          <w:iCs/>
          <w:i/>
        </w:rPr>
        <w:t xml:space="preserve">daip śodhane</w:t>
      </w:r>
      <w:r>
        <w:t xml:space="preserve"> </w:t>
      </w:r>
      <w:r>
        <w:t xml:space="preserve">—</w:t>
      </w:r>
      <w:r>
        <w:t xml:space="preserve"> </w:t>
      </w:r>
      <w:r>
        <w:rPr>
          <w:iCs/>
          <w:i/>
        </w:rPr>
        <w:t xml:space="preserve">(the page breaks off here; the Special Topics continue on p. 416)</w:t>
      </w:r>
      <w:r>
        <w:t xml:space="preserve">.</w:t>
      </w:r>
    </w:p>
    <w:bookmarkEnd w:id="437"/>
    <w:bookmarkStart w:id="438" w:name="page-416-rik-7-special-topics-continued"/>
    <w:p>
      <w:pPr>
        <w:pStyle w:val="Heading3"/>
      </w:pPr>
      <w:r>
        <w:t xml:space="preserve">Page 416 — Rik 7: Special Topics (continued)</w:t>
      </w:r>
    </w:p>
    <w:p>
      <w:pPr>
        <w:pStyle w:val="FirstParagraph"/>
      </w:pPr>
      <w:r>
        <w:rPr>
          <w:iCs/>
          <w:i/>
        </w:rPr>
        <w:t xml:space="preserve">(Continuing</w:t>
      </w:r>
      <w:r>
        <w:rPr>
          <w:iCs/>
          <w:i/>
        </w:rPr>
        <w:t xml:space="preserve"> </w:t>
      </w:r>
      <w:r>
        <w:rPr>
          <w:iCs/>
          <w:i/>
        </w:rPr>
        <w:t xml:space="preserve">“</w:t>
      </w:r>
      <w:r>
        <w:rPr>
          <w:bCs/>
          <w:b/>
          <w:iCs/>
          <w:i/>
        </w:rPr>
        <w:t xml:space="preserve">Tvādātam</w:t>
      </w:r>
      <w:r>
        <w:rPr>
          <w:iCs/>
          <w:i/>
        </w:rPr>
        <w:t xml:space="preserve">”</w:t>
      </w:r>
      <w:r>
        <w:rPr>
          <w:iCs/>
          <w:i/>
        </w:rPr>
        <w:t xml:space="preserve">:)</w:t>
      </w:r>
      <w:r>
        <w:t xml:space="preserve"> </w:t>
      </w:r>
      <w:r>
        <w:t xml:space="preserve">…</w:t>
      </w:r>
      <w:r>
        <w:t xml:space="preserve"> </w:t>
      </w:r>
      <w:r>
        <w:rPr>
          <w:iCs/>
          <w:i/>
        </w:rPr>
        <w:t xml:space="preserve">dāp śodhane</w:t>
      </w:r>
      <w:r>
        <w:t xml:space="preserve">:</w:t>
      </w:r>
      <w:r>
        <w:t xml:space="preserve"> </w:t>
      </w:r>
      <w:r>
        <w:t xml:space="preserve">“</w:t>
      </w:r>
      <w:r>
        <w:rPr>
          <w:iCs/>
          <w:i/>
        </w:rPr>
        <w:t xml:space="preserve">daip śodhane</w:t>
      </w:r>
      <w:r>
        <w:t xml:space="preserve"> </w:t>
      </w:r>
      <w:r>
        <w:t xml:space="preserve">takes the form</w:t>
      </w:r>
      <w:r>
        <w:t xml:space="preserve"> </w:t>
      </w:r>
      <w:r>
        <w:rPr>
          <w:iCs/>
          <w:i/>
        </w:rPr>
        <w:t xml:space="preserve">dāp</w:t>
      </w:r>
      <w:r>
        <w:t xml:space="preserve"> </w:t>
      </w:r>
      <w:r>
        <w:t xml:space="preserve">by the rule</w:t>
      </w:r>
      <w:r>
        <w:t xml:space="preserve"> </w:t>
      </w:r>
      <w:r>
        <w:rPr>
          <w:iCs/>
          <w:i/>
        </w:rPr>
        <w:t xml:space="preserve">ādeca upadeśe ’śiti</w:t>
      </w:r>
      <w:r>
        <w:t xml:space="preserve"> </w:t>
      </w:r>
      <w:r>
        <w:t xml:space="preserve">(Pā. 6-1-45), and he explains it accordingly</w:t>
      </w:r>
      <w:r>
        <w:t xml:space="preserve">”</w:t>
      </w:r>
      <w:r>
        <w:t xml:space="preserve"> </w:t>
      </w:r>
      <w:r>
        <w:t xml:space="preserve">—</w:t>
      </w:r>
      <w:r>
        <w:t xml:space="preserve"> </w:t>
      </w:r>
      <w:r>
        <w:t xml:space="preserve">“</w:t>
      </w:r>
      <w:r>
        <w:t xml:space="preserve">purified by you, made clear,</w:t>
      </w:r>
      <w:r>
        <w:t xml:space="preserve">”</w:t>
      </w:r>
      <w:r>
        <w:t xml:space="preserve"> </w:t>
      </w:r>
      <w:r>
        <w:t xml:space="preserve">as the Bhāṣyakāra explains. According to Skandasvāmī’s explanation,</w:t>
      </w:r>
      <w:r>
        <w:t xml:space="preserve"> </w:t>
      </w:r>
      <w:r>
        <w:rPr>
          <w:iCs/>
          <w:i/>
        </w:rPr>
        <w:t xml:space="preserve">tvādātam</w:t>
      </w:r>
      <w:r>
        <w:t xml:space="preserve"> </w:t>
      </w:r>
      <w:r>
        <w:t xml:space="preserve">is</w:t>
      </w:r>
      <w:r>
        <w:t xml:space="preserve"> </w:t>
      </w:r>
      <w:r>
        <w:rPr>
          <w:iCs/>
          <w:i/>
        </w:rPr>
        <w:t xml:space="preserve">tvayā dattam</w:t>
      </w:r>
      <w:r>
        <w:t xml:space="preserve">,</w:t>
      </w:r>
      <w:r>
        <w:t xml:space="preserve"> </w:t>
      </w:r>
      <w:r>
        <w:t xml:space="preserve">“</w:t>
      </w:r>
      <w:r>
        <w:t xml:space="preserve">given by you.</w:t>
      </w:r>
      <w:r>
        <w:t xml:space="preserve">”</w:t>
      </w:r>
      <w:r>
        <w:t xml:space="preserve"> </w:t>
      </w:r>
      <w:r>
        <w:t xml:space="preserve">The sense in the end is one, though the derivation of the word differs. The word</w:t>
      </w:r>
      <w:r>
        <w:t xml:space="preserve"> </w:t>
      </w:r>
      <w:r>
        <w:rPr>
          <w:iCs/>
          <w:i/>
        </w:rPr>
        <w:t xml:space="preserve">tvādātam</w:t>
      </w:r>
      <w:r>
        <w:t xml:space="preserve"> </w:t>
      </w:r>
      <w:r>
        <w:t xml:space="preserve">occurs not only in this rik but in Ṛ. Saṃ. 3-40-6, 5-6-10 and 5-39-1; the word</w:t>
      </w:r>
      <w:r>
        <w:t xml:space="preserve"> </w:t>
      </w:r>
      <w:r>
        <w:rPr>
          <w:iCs/>
          <w:i/>
        </w:rPr>
        <w:t xml:space="preserve">tvādattaḥ</w:t>
      </w:r>
      <w:r>
        <w:t xml:space="preserve"> </w:t>
      </w:r>
      <w:r>
        <w:t xml:space="preserve">at Ṛ. Saṃ. 8-92-18, and</w:t>
      </w:r>
      <w:r>
        <w:t xml:space="preserve"> </w:t>
      </w:r>
      <w:r>
        <w:rPr>
          <w:iCs/>
          <w:i/>
        </w:rPr>
        <w:t xml:space="preserve">tvādatrebhiḥ</w:t>
      </w:r>
      <w:r>
        <w:t xml:space="preserve"> </w:t>
      </w:r>
      <w:r>
        <w:t xml:space="preserve">at Ṛ. Saṃ. 2-33-2.</w:t>
      </w:r>
      <w:r>
        <w:t xml:space="preserve"> </w:t>
      </w:r>
      <w:r>
        <w:rPr>
          <w:iCs/>
          <w:i/>
        </w:rPr>
        <w:t xml:space="preserve">(See also the explanation of the word</w:t>
      </w:r>
      <w:r>
        <w:t xml:space="preserve"> </w:t>
      </w:r>
      <w:r>
        <w:t xml:space="preserve">adrivaḥ</w:t>
      </w:r>
      <w:r>
        <w:t xml:space="preserve"> </w:t>
      </w:r>
      <w:r>
        <w:rPr>
          <w:iCs/>
          <w:i/>
        </w:rPr>
        <w:t xml:space="preserve">in this rik.)</w:t>
      </w:r>
    </w:p>
    <w:p>
      <w:pPr>
        <w:pStyle w:val="BodyText"/>
      </w:pPr>
      <w:r>
        <w:rPr>
          <w:bCs/>
          <w:b/>
        </w:rPr>
        <w:t xml:space="preserve">“</w:t>
      </w:r>
      <w:r>
        <w:rPr>
          <w:bCs/>
          <w:b/>
        </w:rPr>
        <w:t xml:space="preserve">Yaśaḥ</w:t>
      </w:r>
      <w:r>
        <w:rPr>
          <w:bCs/>
          <w:b/>
        </w:rPr>
        <w:t xml:space="preserve">”</w:t>
      </w:r>
      <w:r>
        <w:t xml:space="preserve"> </w:t>
      </w:r>
      <w:r>
        <w:t xml:space="preserve">— since</w:t>
      </w:r>
      <w:r>
        <w:t xml:space="preserve"> </w:t>
      </w:r>
      <w:r>
        <w:rPr>
          <w:iCs/>
          <w:i/>
        </w:rPr>
        <w:t xml:space="preserve">yaśaḥ</w:t>
      </w:r>
      <w:r>
        <w:t xml:space="preserve"> </w:t>
      </w:r>
      <w:r>
        <w:t xml:space="preserve">is read among the twenty-eight words for food beginning with</w:t>
      </w:r>
      <w:r>
        <w:t xml:space="preserve"> </w:t>
      </w:r>
      <w:r>
        <w:rPr>
          <w:iCs/>
          <w:i/>
        </w:rPr>
        <w:t xml:space="preserve">andhaḥ</w:t>
      </w:r>
      <w:r>
        <w:t xml:space="preserve">,</w:t>
      </w:r>
      <w:r>
        <w:t xml:space="preserve"> </w:t>
      </w:r>
      <w:r>
        <w:rPr>
          <w:iCs/>
          <w:i/>
        </w:rPr>
        <w:t xml:space="preserve">vājaḥ</w:t>
      </w:r>
      <w:r>
        <w:t xml:space="preserve">, here</w:t>
      </w:r>
      <w:r>
        <w:t xml:space="preserve"> </w:t>
      </w:r>
      <w:r>
        <w:rPr>
          <w:iCs/>
          <w:i/>
        </w:rPr>
        <w:t xml:space="preserve">yaśaḥ</w:t>
      </w:r>
      <w:r>
        <w:t xml:space="preserve"> </w:t>
      </w:r>
      <w:r>
        <w:t xml:space="preserve">means food.</w:t>
      </w:r>
    </w:p>
    <w:p>
      <w:pPr>
        <w:pStyle w:val="BodyText"/>
      </w:pPr>
      <w:r>
        <w:rPr>
          <w:bCs/>
          <w:b/>
        </w:rPr>
        <w:t xml:space="preserve">“</w:t>
      </w:r>
      <w:r>
        <w:rPr>
          <w:bCs/>
          <w:b/>
        </w:rPr>
        <w:t xml:space="preserve">Apa vṛdhi</w:t>
      </w:r>
      <w:r>
        <w:rPr>
          <w:bCs/>
          <w:b/>
        </w:rPr>
        <w:t xml:space="preserve">”</w:t>
      </w:r>
      <w:r>
        <w:t xml:space="preserve"> </w:t>
      </w:r>
      <w:r>
        <w:t xml:space="preserve">—</w:t>
      </w:r>
      <w:r>
        <w:t xml:space="preserve"> </w:t>
      </w:r>
      <w:r>
        <w:rPr>
          <w:bCs/>
          <w:b/>
        </w:rPr>
        <w:t xml:space="preserve">उद्घाटितद्वारं कुरु</w:t>
      </w:r>
      <w:r>
        <w:t xml:space="preserve"> </w:t>
      </w:r>
      <w:r>
        <w:t xml:space="preserve">(</w:t>
      </w:r>
      <w:r>
        <w:rPr>
          <w:iCs/>
          <w:i/>
        </w:rPr>
        <w:t xml:space="preserve">udghāṭita-dvāraṃ kuru</w:t>
      </w:r>
      <w:r>
        <w:t xml:space="preserve">) —</w:t>
      </w:r>
      <w:r>
        <w:t xml:space="preserve"> </w:t>
      </w:r>
      <w:r>
        <w:t xml:space="preserve">“</w:t>
      </w:r>
      <w:r>
        <w:t xml:space="preserve">make [it] with its door opened</w:t>
      </w:r>
      <w:r>
        <w:t xml:space="preserve">”</w:t>
      </w:r>
      <w:r>
        <w:t xml:space="preserve">:</w:t>
      </w:r>
      <w:r>
        <w:t xml:space="preserve"> </w:t>
      </w:r>
      <w:r>
        <w:rPr>
          <w:iCs/>
          <w:i/>
        </w:rPr>
        <w:t xml:space="preserve">open the door</w:t>
      </w:r>
      <w:r>
        <w:t xml:space="preserve">; i.e.,</w:t>
      </w:r>
      <w:r>
        <w:t xml:space="preserve"> </w:t>
      </w:r>
      <w:r>
        <w:rPr>
          <w:iCs/>
          <w:i/>
        </w:rPr>
        <w:t xml:space="preserve">throw open the door (of cow-fold)</w:t>
      </w:r>
      <w:r>
        <w:t xml:space="preserve"> </w:t>
      </w:r>
      <w:r>
        <w:t xml:space="preserve">[the source’s own English].</w:t>
      </w:r>
    </w:p>
    <w:p>
      <w:pPr>
        <w:pStyle w:val="BodyText"/>
      </w:pPr>
      <w:r>
        <w:rPr>
          <w:bCs/>
          <w:b/>
        </w:rPr>
        <w:t xml:space="preserve">“</w:t>
      </w:r>
      <w:r>
        <w:rPr>
          <w:bCs/>
          <w:b/>
        </w:rPr>
        <w:t xml:space="preserve">Vrajam</w:t>
      </w:r>
      <w:r>
        <w:rPr>
          <w:bCs/>
          <w:b/>
        </w:rPr>
        <w:t xml:space="preserve">”</w:t>
      </w:r>
      <w:r>
        <w:t xml:space="preserve"> </w:t>
      </w:r>
      <w:r>
        <w:t xml:space="preserve">—</w:t>
      </w:r>
      <w:r>
        <w:t xml:space="preserve"> </w:t>
      </w:r>
      <w:r>
        <w:rPr>
          <w:iCs/>
          <w:i/>
        </w:rPr>
        <w:t xml:space="preserve">goṣṭham</w:t>
      </w:r>
      <w:r>
        <w:t xml:space="preserve">, or</w:t>
      </w:r>
      <w:r>
        <w:t xml:space="preserve"> </w:t>
      </w:r>
      <w:r>
        <w:rPr>
          <w:iCs/>
          <w:i/>
        </w:rPr>
        <w:t xml:space="preserve">gavāṃ nivāsasthānam</w:t>
      </w:r>
      <w:r>
        <w:t xml:space="preserve"> </w:t>
      </w:r>
      <w:r>
        <w:t xml:space="preserve">—</w:t>
      </w:r>
      <w:r>
        <w:t xml:space="preserve"> </w:t>
      </w:r>
      <w:r>
        <w:t xml:space="preserve">“</w:t>
      </w:r>
      <w:r>
        <w:t xml:space="preserve">the cowshed, or the dwelling-place of cows</w:t>
      </w:r>
      <w:r>
        <w:t xml:space="preserve">”</w:t>
      </w:r>
      <w:r>
        <w:t xml:space="preserve">: the cow-pen where cows are kept;</w:t>
      </w:r>
      <w:r>
        <w:t xml:space="preserve"> </w:t>
      </w:r>
      <w:r>
        <w:rPr>
          <w:iCs/>
          <w:i/>
        </w:rPr>
        <w:t xml:space="preserve">cow fold</w:t>
      </w:r>
      <w:r>
        <w:t xml:space="preserve"> </w:t>
      </w:r>
      <w:r>
        <w:t xml:space="preserve">[the source’s own English].</w:t>
      </w:r>
    </w:p>
    <w:p>
      <w:pPr>
        <w:pStyle w:val="BodyText"/>
      </w:pPr>
      <w:r>
        <w:t xml:space="preserve">Here the word</w:t>
      </w:r>
      <w:r>
        <w:t xml:space="preserve"> </w:t>
      </w:r>
      <w:r>
        <w:rPr>
          <w:iCs/>
          <w:i/>
        </w:rPr>
        <w:t xml:space="preserve">yaśaḥ</w:t>
      </w:r>
      <w:r>
        <w:t xml:space="preserve"> </w:t>
      </w:r>
      <w:r>
        <w:t xml:space="preserve">is taken as</w:t>
      </w:r>
      <w:r>
        <w:t xml:space="preserve"> </w:t>
      </w:r>
      <w:r>
        <w:t xml:space="preserve">“</w:t>
      </w:r>
      <w:r>
        <w:t xml:space="preserve">water</w:t>
      </w:r>
      <w:r>
        <w:t xml:space="preserve">”</w:t>
      </w:r>
      <w:r>
        <w:t xml:space="preserve"> </w:t>
      </w:r>
      <w:r>
        <w:t xml:space="preserve">(Ni. 2-24 as printed), and</w:t>
      </w:r>
      <w:r>
        <w:t xml:space="preserve"> </w:t>
      </w:r>
      <w:r>
        <w:rPr>
          <w:iCs/>
          <w:i/>
        </w:rPr>
        <w:t xml:space="preserve">vraja</w:t>
      </w:r>
      <w:r>
        <w:t xml:space="preserve"> </w:t>
      </w:r>
      <w:r>
        <w:t xml:space="preserve">and</w:t>
      </w:r>
      <w:r>
        <w:t xml:space="preserve"> </w:t>
      </w:r>
      <w:r>
        <w:rPr>
          <w:iCs/>
          <w:i/>
        </w:rPr>
        <w:t xml:space="preserve">adri</w:t>
      </w:r>
      <w:r>
        <w:t xml:space="preserve"> </w:t>
      </w:r>
      <w:r>
        <w:t xml:space="preserve">as</w:t>
      </w:r>
      <w:r>
        <w:t xml:space="preserve"> </w:t>
      </w:r>
      <w:r>
        <w:t xml:space="preserve">“</w:t>
      </w:r>
      <w:r>
        <w:t xml:space="preserve">cloud</w:t>
      </w:r>
      <w:r>
        <w:t xml:space="preserve">”</w:t>
      </w:r>
      <w:r>
        <w:t xml:space="preserve"> </w:t>
      </w:r>
      <w:r>
        <w:t xml:space="preserve">(Ni. 2-21 as printed); on that sense the meaning would run:</w:t>
      </w:r>
      <w:r>
        <w:t xml:space="preserve"> </w:t>
      </w:r>
      <w:r>
        <w:t xml:space="preserve">“</w:t>
      </w:r>
      <w:r>
        <w:t xml:space="preserve">scatter the mass of clouds and make rain come, and so give us water</w:t>
      </w:r>
      <w:r>
        <w:t xml:space="preserve">”</w:t>
      </w:r>
      <w:r>
        <w:t xml:space="preserve"> </w:t>
      </w:r>
      <w:r>
        <w:t xml:space="preserve">— which is also reasonable. Wilson, too, gives a similar sense:</w:t>
      </w:r>
      <w:r>
        <w:t xml:space="preserve"> </w:t>
      </w:r>
      <w:r>
        <w:t xml:space="preserve">“</w:t>
      </w:r>
      <w:r>
        <w:t xml:space="preserve">the text is literally rendered: the meaning being that Indra as the sender of rain should fertilize the fields, and by providing abundant pasturage enable the cattle to yield store of milk</w:t>
      </w:r>
      <w:r>
        <w:t xml:space="preserve">”</w:t>
      </w:r>
      <w:r>
        <w:t xml:space="preserve"> </w:t>
      </w:r>
      <w:r>
        <w:t xml:space="preserve">[the source’s own English], supporting this view.</w:t>
      </w:r>
    </w:p>
    <w:p>
      <w:pPr>
        <w:pStyle w:val="BodyText"/>
      </w:pPr>
      <w:r>
        <w:rPr>
          <w:bCs/>
          <w:b/>
        </w:rPr>
        <w:t xml:space="preserve">“</w:t>
      </w:r>
      <w:r>
        <w:rPr>
          <w:bCs/>
          <w:b/>
        </w:rPr>
        <w:t xml:space="preserve">Adrivaḥ</w:t>
      </w:r>
      <w:r>
        <w:rPr>
          <w:bCs/>
          <w:b/>
        </w:rPr>
        <w:t xml:space="preserve">”</w:t>
      </w:r>
      <w:r>
        <w:t xml:space="preserve"> </w:t>
      </w:r>
      <w:r>
        <w:t xml:space="preserve">—</w:t>
      </w:r>
      <w:r>
        <w:t xml:space="preserve"> </w:t>
      </w:r>
      <w:r>
        <w:rPr>
          <w:bCs/>
          <w:b/>
        </w:rPr>
        <w:t xml:space="preserve">अद्रिर्वज्रम् । तदस्यास्तीति</w:t>
      </w:r>
      <w:r>
        <w:t xml:space="preserve"> </w:t>
      </w:r>
      <w:r>
        <w:t xml:space="preserve">(</w:t>
      </w:r>
      <w:r>
        <w:rPr>
          <w:iCs/>
          <w:i/>
        </w:rPr>
        <w:t xml:space="preserve">adrir vajram | tad asyāstīti</w:t>
      </w:r>
      <w:r>
        <w:t xml:space="preserve">) —</w:t>
      </w:r>
      <w:r>
        <w:t xml:space="preserve"> </w:t>
      </w:r>
      <w:r>
        <w:t xml:space="preserve">“</w:t>
      </w:r>
      <w:r>
        <w:rPr>
          <w:iCs/>
          <w:i/>
        </w:rPr>
        <w:t xml:space="preserve">adri</w:t>
      </w:r>
      <w:r>
        <w:t xml:space="preserve"> </w:t>
      </w:r>
      <w:r>
        <w:t xml:space="preserve">means the thunderbolt-weapon; so</w:t>
      </w:r>
      <w:r>
        <w:t xml:space="preserve"> </w:t>
      </w:r>
      <w:r>
        <w:rPr>
          <w:iCs/>
          <w:i/>
        </w:rPr>
        <w:t xml:space="preserve">adrivān</w:t>
      </w:r>
      <w:r>
        <w:t xml:space="preserve"> </w:t>
      </w:r>
      <w:r>
        <w:t xml:space="preserve">means</w:t>
      </w:r>
      <w:r>
        <w:t xml:space="preserve"> </w:t>
      </w:r>
      <w:r>
        <w:t xml:space="preserve">‘</w:t>
      </w:r>
      <w:r>
        <w:t xml:space="preserve">one bearing the thunderbolt.</w:t>
      </w:r>
      <w:r>
        <w:t xml:space="preserve">’</w:t>
      </w:r>
      <w:r>
        <w:t xml:space="preserve">”</w:t>
      </w:r>
      <w:r>
        <w:t xml:space="preserve"> </w:t>
      </w:r>
      <w:r>
        <w:t xml:space="preserve">Since in the Nirukta</w:t>
      </w:r>
      <w:r>
        <w:t xml:space="preserve"> </w:t>
      </w:r>
      <w:r>
        <w:rPr>
          <w:iCs/>
          <w:i/>
        </w:rPr>
        <w:t xml:space="preserve">adri</w:t>
      </w:r>
      <w:r>
        <w:t xml:space="preserve"> </w:t>
      </w:r>
      <w:r>
        <w:t xml:space="preserve">is explained as</w:t>
      </w:r>
      <w:r>
        <w:t xml:space="preserve"> </w:t>
      </w:r>
      <w:r>
        <w:t xml:space="preserve">“</w:t>
      </w:r>
      <w:r>
        <w:t xml:space="preserve">mountain,</w:t>
      </w:r>
      <w:r>
        <w:t xml:space="preserve">”</w:t>
      </w:r>
      <w:r>
        <w:t xml:space="preserve"> </w:t>
      </w:r>
      <w:r>
        <w:t xml:space="preserve">the Bhāṣyakāra says</w:t>
      </w:r>
      <w:r>
        <w:t xml:space="preserve"> </w:t>
      </w:r>
      <w:r>
        <w:t xml:space="preserve">“</w:t>
      </w:r>
      <w:r>
        <w:rPr>
          <w:iCs/>
          <w:i/>
        </w:rPr>
        <w:t xml:space="preserve">parvatopalakṣita-vajra-yukta</w:t>
      </w:r>
      <w:r>
        <w:t xml:space="preserve">”</w:t>
      </w:r>
      <w:r>
        <w:t xml:space="preserve"> </w:t>
      </w:r>
      <w:r>
        <w:t xml:space="preserve">—</w:t>
      </w:r>
      <w:r>
        <w:t xml:space="preserve"> </w:t>
      </w:r>
      <w:r>
        <w:t xml:space="preserve">“</w:t>
      </w:r>
      <w:r>
        <w:t xml:space="preserve">armed with the thunderbolt characterized by the mountain.</w:t>
      </w:r>
      <w:r>
        <w:t xml:space="preserve">”</w:t>
      </w:r>
      <w:r>
        <w:t xml:space="preserve"> </w:t>
      </w:r>
      <w:r>
        <w:t xml:space="preserve">Besides, the word</w:t>
      </w:r>
      <w:r>
        <w:t xml:space="preserve"> </w:t>
      </w:r>
      <w:r>
        <w:rPr>
          <w:iCs/>
          <w:i/>
        </w:rPr>
        <w:t xml:space="preserve">adri</w:t>
      </w:r>
      <w:r>
        <w:t xml:space="preserve"> </w:t>
      </w:r>
      <w:r>
        <w:t xml:space="preserve">has the name</w:t>
      </w:r>
      <w:r>
        <w:t xml:space="preserve"> </w:t>
      </w:r>
      <w:r>
        <w:t xml:space="preserve">“</w:t>
      </w:r>
      <w:r>
        <w:t xml:space="preserve">cloud</w:t>
      </w:r>
      <w:r>
        <w:t xml:space="preserve">”</w:t>
      </w:r>
      <w:r>
        <w:t xml:space="preserve"> </w:t>
      </w:r>
      <w:r>
        <w:t xml:space="preserve">(Ni. 2-21), and Yāska,</w:t>
      </w:r>
    </w:p>
    <w:p>
      <w:pPr>
        <w:pStyle w:val="BlockText"/>
      </w:pPr>
      <w:r>
        <w:t xml:space="preserve">यदिन्द्र चित्र मेहनास्ति त्वादातमद्रिवः ।</w:t>
      </w:r>
      <w:r>
        <w:t xml:space="preserve"> </w:t>
      </w:r>
      <w:r>
        <w:t xml:space="preserve">राधस्तन्नो विदद्वस उभयाहस्त्या भर ॥</w:t>
      </w:r>
      <w:r>
        <w:t xml:space="preserve"> </w:t>
      </w:r>
      <w:r>
        <w:rPr>
          <w:iCs/>
          <w:i/>
        </w:rPr>
        <w:t xml:space="preserve">yad indra citra mehanāsti tvādātam adrivaḥ |</w:t>
      </w:r>
      <w:r>
        <w:t xml:space="preserve"> </w:t>
      </w:r>
      <w:r>
        <w:rPr>
          <w:iCs/>
          <w:i/>
        </w:rPr>
        <w:t xml:space="preserve">rādhas tan no vidadvasa ubhayāhastyā bhara ||</w:t>
      </w:r>
      <w:r>
        <w:t xml:space="preserve"> </w:t>
      </w:r>
      <w:r>
        <w:t xml:space="preserve">(ऋ. सं. ५-३९-१ — Ṛgveda Saṃhitā 5-39-1)</w:t>
      </w:r>
      <w:r>
        <w:t xml:space="preserve"> </w:t>
      </w:r>
      <w:r>
        <w:rPr>
          <w:iCs/>
          <w:i/>
        </w:rPr>
        <w:t xml:space="preserve">(</w:t>
      </w:r>
      <w:r>
        <w:rPr>
          <w:iCs/>
          <w:i/>
        </w:rPr>
        <w:t xml:space="preserve">“</w:t>
      </w:r>
      <w:r>
        <w:rPr>
          <w:iCs/>
          <w:i/>
        </w:rPr>
        <w:t xml:space="preserve">O wondrous Indra, whatever wealth there is, given by you, O wielder of the stone — that wealth, O finder of wealth, bring to us with both hands.</w:t>
      </w:r>
      <w:r>
        <w:rPr>
          <w:iCs/>
          <w:i/>
        </w:rPr>
        <w:t xml:space="preserve">”</w:t>
      </w:r>
      <w:r>
        <w:rPr>
          <w:iCs/>
          <w:i/>
        </w:rPr>
        <w:t xml:space="preserve"> </w:t>
      </w:r>
      <w:r>
        <w:rPr>
          <w:iCs/>
          <w:i/>
        </w:rPr>
        <w:t xml:space="preserve">— mine and tentative.)</w:t>
      </w:r>
    </w:p>
    <w:p>
      <w:pPr>
        <w:pStyle w:val="FirstParagraph"/>
      </w:pPr>
      <w:r>
        <w:t xml:space="preserve">— in explaining this rik, he says</w:t>
      </w:r>
      <w:r>
        <w:t xml:space="preserve"> </w:t>
      </w:r>
      <w:r>
        <w:rPr>
          <w:bCs/>
          <w:b/>
        </w:rPr>
        <w:t xml:space="preserve">अद्रिवन् । अद्रिरादृणात्येतेन</w:t>
      </w:r>
      <w:r>
        <w:t xml:space="preserve"> </w:t>
      </w:r>
      <w:r>
        <w:t xml:space="preserve">(</w:t>
      </w:r>
      <w:r>
        <w:rPr>
          <w:iCs/>
          <w:i/>
        </w:rPr>
        <w:t xml:space="preserve">adrivan | adrir ādṛṇāty etena</w:t>
      </w:r>
      <w:r>
        <w:t xml:space="preserve">) —</w:t>
      </w:r>
      <w:r>
        <w:t xml:space="preserve"> </w:t>
      </w:r>
      <w:r>
        <w:t xml:space="preserve">“</w:t>
      </w:r>
      <w:r>
        <w:rPr>
          <w:iCs/>
          <w:i/>
        </w:rPr>
        <w:t xml:space="preserve">adri</w:t>
      </w:r>
      <w:r>
        <w:t xml:space="preserve"> </w:t>
      </w:r>
      <w:r>
        <w:t xml:space="preserve">[is so called] because one splits with it</w:t>
      </w:r>
      <w:r>
        <w:t xml:space="preserve">”</w:t>
      </w:r>
      <w:r>
        <w:t xml:space="preserve"> </w:t>
      </w:r>
      <w:r>
        <w:t xml:space="preserve">— giving</w:t>
      </w:r>
      <w:r>
        <w:t xml:space="preserve"> </w:t>
      </w:r>
      <w:r>
        <w:rPr>
          <w:iCs/>
          <w:i/>
        </w:rPr>
        <w:t xml:space="preserve">adrivaḥ</w:t>
      </w:r>
      <w:r>
        <w:t xml:space="preserve"> </w:t>
      </w:r>
      <w:r>
        <w:t xml:space="preserve">the sense</w:t>
      </w:r>
      <w:r>
        <w:t xml:space="preserve"> </w:t>
      </w:r>
      <w:r>
        <w:t xml:space="preserve">“</w:t>
      </w:r>
      <w:r>
        <w:t xml:space="preserve">O thunderbolt-bearer</w:t>
      </w:r>
      <w:r>
        <w:t xml:space="preserve">”</w:t>
      </w:r>
      <w:r>
        <w:t xml:space="preserve"> </w:t>
      </w:r>
      <w:r>
        <w:t xml:space="preserve">(</w:t>
      </w:r>
      <w:r>
        <w:rPr>
          <w:iCs/>
          <w:i/>
        </w:rPr>
        <w:t xml:space="preserve">he vajrin</w:t>
      </w:r>
      <w:r>
        <w:t xml:space="preserve">), and to</w:t>
      </w:r>
      <w:r>
        <w:t xml:space="preserve"> </w:t>
      </w:r>
      <w:r>
        <w:rPr>
          <w:iCs/>
          <w:i/>
        </w:rPr>
        <w:t xml:space="preserve">tvādātam</w:t>
      </w:r>
      <w:r>
        <w:t xml:space="preserve"> </w:t>
      </w:r>
      <w:r>
        <w:t xml:space="preserve">the sense</w:t>
      </w:r>
      <w:r>
        <w:t xml:space="preserve"> </w:t>
      </w:r>
      <w:r>
        <w:rPr>
          <w:bCs/>
          <w:b/>
        </w:rPr>
        <w:t xml:space="preserve">त्वया नस्तद्दातव्यम्</w:t>
      </w:r>
      <w:r>
        <w:t xml:space="preserve"> </w:t>
      </w:r>
      <w:r>
        <w:t xml:space="preserve">(</w:t>
      </w:r>
      <w:r>
        <w:rPr>
          <w:iCs/>
          <w:i/>
        </w:rPr>
        <w:t xml:space="preserve">tvayā nas tad dātavyam</w:t>
      </w:r>
      <w:r>
        <w:t xml:space="preserve">),</w:t>
      </w:r>
      <w:r>
        <w:t xml:space="preserve"> </w:t>
      </w:r>
      <w:r>
        <w:t xml:space="preserve">“</w:t>
      </w:r>
      <w:r>
        <w:t xml:space="preserve">that is to be given to us by you.</w:t>
      </w:r>
      <w:r>
        <w:t xml:space="preserve">”</w:t>
      </w:r>
      <w:r>
        <w:t xml:space="preserve"> </w:t>
      </w:r>
      <w:r>
        <w:t xml:space="preserve">Therefore Yāska’s explanations of these two words,</w:t>
      </w:r>
      <w:r>
        <w:t xml:space="preserve"> </w:t>
      </w:r>
      <w:r>
        <w:rPr>
          <w:iCs/>
          <w:i/>
        </w:rPr>
        <w:t xml:space="preserve">adrivan</w:t>
      </w:r>
      <w:r>
        <w:t xml:space="preserve"> </w:t>
      </w:r>
      <w:r>
        <w:t xml:space="preserve">and</w:t>
      </w:r>
      <w:r>
        <w:t xml:space="preserve"> </w:t>
      </w:r>
      <w:r>
        <w:rPr>
          <w:iCs/>
          <w:i/>
        </w:rPr>
        <w:t xml:space="preserve">tvādātam</w:t>
      </w:r>
      <w:r>
        <w:t xml:space="preserve">, are to be accepted.</w:t>
      </w:r>
    </w:p>
    <w:bookmarkEnd w:id="438"/>
    <w:bookmarkStart w:id="439" w:name="pages-417422-rik-7-grammar"/>
    <w:p>
      <w:pPr>
        <w:pStyle w:val="Heading3"/>
      </w:pPr>
      <w:r>
        <w:t xml:space="preserve">Pages 417–422 — Rik 7 grammar</w:t>
      </w:r>
    </w:p>
    <w:p>
      <w:pPr>
        <w:pStyle w:val="FirstParagraph"/>
      </w:pPr>
      <w:r>
        <w:rPr>
          <w:bCs/>
          <w:b/>
        </w:rPr>
        <w:t xml:space="preserve">॥ Vyākaraṇa-prakriyā ॥</w:t>
      </w:r>
      <w:r>
        <w:t xml:space="preserve"> </w:t>
      </w:r>
      <w:r>
        <w:rPr>
          <w:iCs/>
          <w:i/>
        </w:rPr>
        <w:t xml:space="preserve">(grammar pages 417–422, noted briefly; the scholastic arguments on pp. 417–419 are characterized in outline only)</w:t>
      </w:r>
    </w:p>
    <w:p>
      <w:pPr>
        <w:pStyle w:val="BodyText"/>
      </w:pPr>
      <w:r>
        <w:rPr>
          <w:bCs/>
          <w:b/>
        </w:rPr>
        <w:t xml:space="preserve">सुविवृतम् (</w:t>
      </w:r>
      <w:r>
        <w:rPr>
          <w:iCs/>
          <w:i/>
          <w:bCs/>
          <w:b/>
        </w:rPr>
        <w:t xml:space="preserve">suvivṛtam</w:t>
      </w:r>
      <w:r>
        <w:rPr>
          <w:bCs/>
          <w:b/>
        </w:rPr>
        <w:t xml:space="preserve">)</w:t>
      </w:r>
      <w:r>
        <w:t xml:space="preserve"> </w:t>
      </w:r>
      <w:r>
        <w:t xml:space="preserve">— root</w:t>
      </w:r>
      <w:r>
        <w:t xml:space="preserve"> </w:t>
      </w:r>
      <w:r>
        <w:rPr>
          <w:iCs/>
          <w:i/>
        </w:rPr>
        <w:t xml:space="preserve">vṛñ varaṇe</w:t>
      </w:r>
      <w:r>
        <w:t xml:space="preserve"> </w:t>
      </w:r>
      <w:r>
        <w:t xml:space="preserve">with</w:t>
      </w:r>
      <w:r>
        <w:t xml:space="preserve"> </w:t>
      </w:r>
      <w:r>
        <w:rPr>
          <w:iCs/>
          <w:i/>
        </w:rPr>
        <w:t xml:space="preserve">kta</w:t>
      </w:r>
      <w:r>
        <w:t xml:space="preserve"> </w:t>
      </w:r>
      <w:r>
        <w:t xml:space="preserve">in the passive;</w:t>
      </w:r>
      <w:r>
        <w:t xml:space="preserve"> </w:t>
      </w:r>
      <w:r>
        <w:rPr>
          <w:iCs/>
          <w:i/>
        </w:rPr>
        <w:t xml:space="preserve">vi</w:t>
      </w:r>
      <w:r>
        <w:t xml:space="preserve"> </w:t>
      </w:r>
      <w:r>
        <w:t xml:space="preserve">+</w:t>
      </w:r>
      <w:r>
        <w:t xml:space="preserve"> </w:t>
      </w:r>
      <w:r>
        <w:rPr>
          <w:iCs/>
          <w:i/>
        </w:rPr>
        <w:t xml:space="preserve">vṛta</w:t>
      </w:r>
      <w:r>
        <w:t xml:space="preserve"> </w:t>
      </w:r>
      <w:r>
        <w:t xml:space="preserve">are joined as</w:t>
      </w:r>
      <w:r>
        <w:t xml:space="preserve"> </w:t>
      </w:r>
      <w:r>
        <w:rPr>
          <w:iCs/>
          <w:i/>
        </w:rPr>
        <w:t xml:space="preserve">prādi</w:t>
      </w:r>
      <w:r>
        <w:t xml:space="preserve">, and</w:t>
      </w:r>
      <w:r>
        <w:t xml:space="preserve"> </w:t>
      </w:r>
      <w:r>
        <w:rPr>
          <w:iCs/>
          <w:i/>
        </w:rPr>
        <w:t xml:space="preserve">su</w:t>
      </w:r>
      <w:r>
        <w:t xml:space="preserve"> </w:t>
      </w:r>
      <w:r>
        <w:t xml:space="preserve">with</w:t>
      </w:r>
      <w:r>
        <w:t xml:space="preserve"> </w:t>
      </w:r>
      <w:r>
        <w:rPr>
          <w:iCs/>
          <w:i/>
        </w:rPr>
        <w:t xml:space="preserve">vivṛta</w:t>
      </w:r>
      <w:r>
        <w:t xml:space="preserve"> </w:t>
      </w:r>
      <w:r>
        <w:t xml:space="preserve">as a further compound (</w:t>
      </w:r>
      <w:r>
        <w:t xml:space="preserve">“</w:t>
      </w:r>
      <w:r>
        <w:t xml:space="preserve">kugatiprādayaḥ,</w:t>
      </w:r>
      <w:r>
        <w:t xml:space="preserve">”</w:t>
      </w:r>
      <w:r>
        <w:t xml:space="preserve"> </w:t>
      </w:r>
      <w:r>
        <w:t xml:space="preserve">Pā. 2-2-18); since</w:t>
      </w:r>
      <w:r>
        <w:t xml:space="preserve"> </w:t>
      </w:r>
      <w:r>
        <w:rPr>
          <w:iCs/>
          <w:i/>
        </w:rPr>
        <w:t xml:space="preserve">vṛta</w:t>
      </w:r>
      <w:r>
        <w:t xml:space="preserve"> </w:t>
      </w:r>
      <w:r>
        <w:t xml:space="preserve">is a</w:t>
      </w:r>
      <w:r>
        <w:t xml:space="preserve"> </w:t>
      </w:r>
      <w:r>
        <w:rPr>
          <w:iCs/>
          <w:i/>
        </w:rPr>
        <w:t xml:space="preserve">kṛdanta</w:t>
      </w:r>
      <w:r>
        <w:t xml:space="preserve">, the rule</w:t>
      </w:r>
      <w:r>
        <w:t xml:space="preserve"> </w:t>
      </w:r>
      <w:r>
        <w:t xml:space="preserve">“</w:t>
      </w:r>
      <w:r>
        <w:t xml:space="preserve">gati-kāraka-upapadāt kṛt</w:t>
      </w:r>
      <w:r>
        <w:t xml:space="preserve">”</w:t>
      </w:r>
      <w:r>
        <w:t xml:space="preserve"> </w:t>
      </w:r>
      <w:r>
        <w:t xml:space="preserve">(Pā. 6-2-139) would give the accent of the second member; this is set aside by</w:t>
      </w:r>
      <w:r>
        <w:t xml:space="preserve"> </w:t>
      </w:r>
      <w:r>
        <w:t xml:space="preserve">“</w:t>
      </w:r>
      <w:r>
        <w:t xml:space="preserve">gatir anantaraḥ</w:t>
      </w:r>
      <w:r>
        <w:t xml:space="preserve">”</w:t>
      </w:r>
      <w:r>
        <w:t xml:space="preserve"> </w:t>
      </w:r>
      <w:r>
        <w:t xml:space="preserve">(Pā. 6-2-49) (when a</w:t>
      </w:r>
      <w:r>
        <w:t xml:space="preserve"> </w:t>
      </w:r>
      <w:r>
        <w:rPr>
          <w:iCs/>
          <w:i/>
        </w:rPr>
        <w:t xml:space="preserve">kta</w:t>
      </w:r>
      <w:r>
        <w:t xml:space="preserve">-ending word in the passive sense is the second member, a directly preceding</w:t>
      </w:r>
      <w:r>
        <w:t xml:space="preserve"> </w:t>
      </w:r>
      <w:r>
        <w:rPr>
          <w:iCs/>
          <w:i/>
        </w:rPr>
        <w:t xml:space="preserve">gati</w:t>
      </w:r>
      <w:r>
        <w:t xml:space="preserve"> </w:t>
      </w:r>
      <w:r>
        <w:t xml:space="preserve">keeps its own accent), so that the</w:t>
      </w:r>
      <w:r>
        <w:t xml:space="preserve"> </w:t>
      </w:r>
      <w:r>
        <w:rPr>
          <w:iCs/>
          <w:i/>
        </w:rPr>
        <w:t xml:space="preserve">vi</w:t>
      </w:r>
      <w:r>
        <w:t xml:space="preserve"> </w:t>
      </w:r>
      <w:r>
        <w:t xml:space="preserve">would be initial-udātta; this too is set aside by</w:t>
      </w:r>
      <w:r>
        <w:t xml:space="preserve"> </w:t>
      </w:r>
      <w:r>
        <w:t xml:space="preserve">“</w:t>
      </w:r>
      <w:r>
        <w:t xml:space="preserve">parādiś chandasi bahulam</w:t>
      </w:r>
      <w:r>
        <w:t xml:space="preserve">”</w:t>
      </w:r>
      <w:r>
        <w:t xml:space="preserve"> </w:t>
      </w:r>
      <w:r>
        <w:t xml:space="preserve">(Pā. 6-2-199), making the first vowel (</w:t>
      </w:r>
      <w:r>
        <w:rPr>
          <w:iCs/>
          <w:i/>
        </w:rPr>
        <w:t xml:space="preserve">ṛ</w:t>
      </w:r>
      <w:r>
        <w:t xml:space="preserve">) of</w:t>
      </w:r>
      <w:r>
        <w:t xml:space="preserve"> </w:t>
      </w:r>
      <w:r>
        <w:rPr>
          <w:iCs/>
          <w:i/>
        </w:rPr>
        <w:t xml:space="preserve">vṛta</w:t>
      </w:r>
      <w:r>
        <w:t xml:space="preserve"> </w:t>
      </w:r>
      <w:r>
        <w:t xml:space="preserve">udātta.</w:t>
      </w:r>
      <w:r>
        <w:t xml:space="preserve"> </w:t>
      </w:r>
      <w:r>
        <w:rPr>
          <w:bCs/>
          <w:b/>
        </w:rPr>
        <w:t xml:space="preserve">The long argument (pp. 417–418):</w:t>
      </w:r>
      <w:r>
        <w:t xml:space="preserve"> </w:t>
      </w:r>
      <w:r>
        <w:t xml:space="preserve">when</w:t>
      </w:r>
      <w:r>
        <w:t xml:space="preserve"> </w:t>
      </w:r>
      <w:r>
        <w:rPr>
          <w:iCs/>
          <w:i/>
        </w:rPr>
        <w:t xml:space="preserve">su</w:t>
      </w:r>
      <w:r>
        <w:t xml:space="preserve"> </w:t>
      </w:r>
      <w:r>
        <w:t xml:space="preserve">is then compounded with</w:t>
      </w:r>
      <w:r>
        <w:t xml:space="preserve"> </w:t>
      </w:r>
      <w:r>
        <w:rPr>
          <w:iCs/>
          <w:i/>
        </w:rPr>
        <w:t xml:space="preserve">vivṛta</w:t>
      </w:r>
      <w:r>
        <w:t xml:space="preserve">,</w:t>
      </w:r>
      <w:r>
        <w:t xml:space="preserve"> </w:t>
      </w:r>
      <w:r>
        <w:t xml:space="preserve">“</w:t>
      </w:r>
      <w:r>
        <w:t xml:space="preserve">gati-kāraka-upapadāt kṛt</w:t>
      </w:r>
      <w:r>
        <w:t xml:space="preserve">”</w:t>
      </w:r>
      <w:r>
        <w:t xml:space="preserve"> </w:t>
      </w:r>
      <w:r>
        <w:t xml:space="preserve">would again keep the accent of the second member, and that</w:t>
      </w:r>
      <w:r>
        <w:t xml:space="preserve"> </w:t>
      </w:r>
      <w:r>
        <w:rPr>
          <w:iCs/>
          <w:i/>
        </w:rPr>
        <w:t xml:space="preserve">ṛ</w:t>
      </w:r>
      <w:r>
        <w:t xml:space="preserve"> </w:t>
      </w:r>
      <w:r>
        <w:t xml:space="preserve">stays udātta. But the objection arises: in</w:t>
      </w:r>
      <w:r>
        <w:t xml:space="preserve"> </w:t>
      </w:r>
      <w:r>
        <w:rPr>
          <w:iCs/>
          <w:i/>
        </w:rPr>
        <w:t xml:space="preserve">su-vivṛta</w:t>
      </w:r>
      <w:r>
        <w:t xml:space="preserve"> </w:t>
      </w:r>
      <w:r>
        <w:t xml:space="preserve">is</w:t>
      </w:r>
      <w:r>
        <w:t xml:space="preserve"> </w:t>
      </w:r>
      <w:r>
        <w:rPr>
          <w:iCs/>
          <w:i/>
        </w:rPr>
        <w:t xml:space="preserve">vivṛta</w:t>
      </w:r>
      <w:r>
        <w:t xml:space="preserve"> </w:t>
      </w:r>
      <w:r>
        <w:t xml:space="preserve">a</w:t>
      </w:r>
      <w:r>
        <w:t xml:space="preserve"> </w:t>
      </w:r>
      <w:r>
        <w:rPr>
          <w:iCs/>
          <w:i/>
        </w:rPr>
        <w:t xml:space="preserve">kṛdanta</w:t>
      </w:r>
      <w:r>
        <w:t xml:space="preserve">? — the paribhāṣā</w:t>
      </w:r>
      <w:r>
        <w:t xml:space="preserve"> </w:t>
      </w:r>
      <w:r>
        <w:t xml:space="preserve">“</w:t>
      </w:r>
      <w:r>
        <w:t xml:space="preserve">pratyaya-grahaṇe yasmāt sa vihitas tad-ādes tad-antasya grahaṇam</w:t>
      </w:r>
      <w:r>
        <w:t xml:space="preserve">”</w:t>
      </w:r>
      <w:r>
        <w:t xml:space="preserve"> </w:t>
      </w:r>
      <w:r>
        <w:t xml:space="preserve">(Paribhāṣā 23) says that where a suffix is named, the item beginning with that to which it was added and ending in that suffix is meant;</w:t>
      </w:r>
      <w:r>
        <w:t xml:space="preserve"> </w:t>
      </w:r>
      <w:r>
        <w:rPr>
          <w:iCs/>
          <w:i/>
        </w:rPr>
        <w:t xml:space="preserve">vivṛta</w:t>
      </w:r>
      <w:r>
        <w:t xml:space="preserve"> </w:t>
      </w:r>
      <w:r>
        <w:t xml:space="preserve">is not</w:t>
      </w:r>
      <w:r>
        <w:t xml:space="preserve"> </w:t>
      </w:r>
      <w:r>
        <w:rPr>
          <w:iCs/>
          <w:i/>
        </w:rPr>
        <w:t xml:space="preserve">vṛta</w:t>
      </w:r>
      <w:r>
        <w:t xml:space="preserve"> </w:t>
      </w:r>
      <w:r>
        <w:t xml:space="preserve">alone — and the counter-paribhāṣā</w:t>
      </w:r>
      <w:r>
        <w:t xml:space="preserve"> </w:t>
      </w:r>
      <w:r>
        <w:t xml:space="preserve">“</w:t>
      </w:r>
      <w:r>
        <w:t xml:space="preserve">kṛd-grahaṇe gati-kāraka-pūrvasyāpi grahaṇam</w:t>
      </w:r>
      <w:r>
        <w:t xml:space="preserve">”</w:t>
      </w:r>
      <w:r>
        <w:t xml:space="preserve"> </w:t>
      </w:r>
      <w:r>
        <w:t xml:space="preserve">(Paribhāṣā 28) says that a</w:t>
      </w:r>
      <w:r>
        <w:t xml:space="preserve"> </w:t>
      </w:r>
      <w:r>
        <w:rPr>
          <w:iCs/>
          <w:i/>
        </w:rPr>
        <w:t xml:space="preserve">kṛdanta</w:t>
      </w:r>
      <w:r>
        <w:t xml:space="preserve"> </w:t>
      </w:r>
      <w:r>
        <w:t xml:space="preserve">includes one preceded by a</w:t>
      </w:r>
      <w:r>
        <w:t xml:space="preserve"> </w:t>
      </w:r>
      <w:r>
        <w:rPr>
          <w:iCs/>
          <w:i/>
        </w:rPr>
        <w:t xml:space="preserve">gati</w:t>
      </w:r>
      <w:r>
        <w:t xml:space="preserve"> </w:t>
      </w:r>
      <w:r>
        <w:t xml:space="preserve">or a</w:t>
      </w:r>
      <w:r>
        <w:t xml:space="preserve"> </w:t>
      </w:r>
      <w:r>
        <w:rPr>
          <w:iCs/>
          <w:i/>
        </w:rPr>
        <w:t xml:space="preserve">kāraka</w:t>
      </w:r>
      <w:r>
        <w:t xml:space="preserve">; hence</w:t>
      </w:r>
      <w:r>
        <w:t xml:space="preserve"> </w:t>
      </w:r>
      <w:r>
        <w:rPr>
          <w:iCs/>
          <w:i/>
        </w:rPr>
        <w:t xml:space="preserve">vivṛta</w:t>
      </w:r>
      <w:r>
        <w:t xml:space="preserve"> </w:t>
      </w:r>
      <w:r>
        <w:t xml:space="preserve">is a</w:t>
      </w:r>
      <w:r>
        <w:t xml:space="preserve"> </w:t>
      </w:r>
      <w:r>
        <w:rPr>
          <w:iCs/>
          <w:i/>
        </w:rPr>
        <w:t xml:space="preserve">kṛdanta</w:t>
      </w:r>
      <w:r>
        <w:t xml:space="preserve">. A further difficulty (pp. 418): the sūtra</w:t>
      </w:r>
      <w:r>
        <w:t xml:space="preserve"> </w:t>
      </w:r>
      <w:r>
        <w:t xml:space="preserve">“</w:t>
      </w:r>
      <w:r>
        <w:t xml:space="preserve">gatir anantaraḥ</w:t>
      </w:r>
      <w:r>
        <w:t xml:space="preserve">”</w:t>
      </w:r>
      <w:r>
        <w:t xml:space="preserve"> </w:t>
      </w:r>
      <w:r>
        <w:t xml:space="preserve">with</w:t>
      </w:r>
      <w:r>
        <w:t xml:space="preserve"> </w:t>
      </w:r>
      <w:r>
        <w:t xml:space="preserve">“</w:t>
      </w:r>
      <w:r>
        <w:t xml:space="preserve">anantara</w:t>
      </w:r>
      <w:r>
        <w:t xml:space="preserve">”</w:t>
      </w:r>
      <w:r>
        <w:t xml:space="preserve"> </w:t>
      </w:r>
      <w:r>
        <w:t xml:space="preserve">(</w:t>
      </w:r>
      <w:r>
        <w:t xml:space="preserve">“</w:t>
      </w:r>
      <w:r>
        <w:t xml:space="preserve">immediately preceding</w:t>
      </w:r>
      <w:r>
        <w:t xml:space="preserve">”</w:t>
      </w:r>
      <w:r>
        <w:t xml:space="preserve">) appears to bar the rule when something intervenes, as in</w:t>
      </w:r>
      <w:r>
        <w:t xml:space="preserve"> </w:t>
      </w:r>
      <w:r>
        <w:rPr>
          <w:iCs/>
          <w:i/>
        </w:rPr>
        <w:t xml:space="preserve">su-vi-vṛtam</w:t>
      </w:r>
      <w:r>
        <w:t xml:space="preserve"> </w:t>
      </w:r>
      <w:r>
        <w:t xml:space="preserve">where</w:t>
      </w:r>
      <w:r>
        <w:t xml:space="preserve"> </w:t>
      </w:r>
      <w:r>
        <w:rPr>
          <w:iCs/>
          <w:i/>
        </w:rPr>
        <w:t xml:space="preserve">vi</w:t>
      </w:r>
      <w:r>
        <w:t xml:space="preserve"> </w:t>
      </w:r>
      <w:r>
        <w:t xml:space="preserve">intervenes between</w:t>
      </w:r>
      <w:r>
        <w:t xml:space="preserve"> </w:t>
      </w:r>
      <w:r>
        <w:rPr>
          <w:iCs/>
          <w:i/>
        </w:rPr>
        <w:t xml:space="preserve">su</w:t>
      </w:r>
      <w:r>
        <w:t xml:space="preserve"> </w:t>
      </w:r>
      <w:r>
        <w:t xml:space="preserve">and</w:t>
      </w:r>
      <w:r>
        <w:t xml:space="preserve"> </w:t>
      </w:r>
      <w:r>
        <w:rPr>
          <w:iCs/>
          <w:i/>
        </w:rPr>
        <w:t xml:space="preserve">vṛta</w:t>
      </w:r>
      <w:r>
        <w:t xml:space="preserve">;</w:t>
      </w:r>
      <w:r>
        <w:t xml:space="preserve"> </w:t>
      </w:r>
      <w:r>
        <w:t xml:space="preserve">“</w:t>
      </w:r>
      <w:r>
        <w:t xml:space="preserve">kte ca</w:t>
      </w:r>
      <w:r>
        <w:t xml:space="preserve">”</w:t>
      </w:r>
      <w:r>
        <w:t xml:space="preserve"> </w:t>
      </w:r>
      <w:r>
        <w:t xml:space="preserve">(printed</w:t>
      </w:r>
      <w:r>
        <w:t xml:space="preserve"> </w:t>
      </w:r>
      <w:r>
        <w:t xml:space="preserve">“</w:t>
      </w:r>
      <w:r>
        <w:t xml:space="preserve">5-2-45</w:t>
      </w:r>
      <w:r>
        <w:t xml:space="preserve">”</w:t>
      </w:r>
      <w:r>
        <w:t xml:space="preserve"> </w:t>
      </w:r>
      <w:r>
        <w:t xml:space="preserve">[as printed], i.e. 6-2-45) being carried into</w:t>
      </w:r>
      <w:r>
        <w:t xml:space="preserve"> </w:t>
      </w:r>
      <w:r>
        <w:t xml:space="preserve">“</w:t>
      </w:r>
      <w:r>
        <w:t xml:space="preserve">gatir anantaraḥ</w:t>
      </w:r>
      <w:r>
        <w:t xml:space="preserve">”</w:t>
      </w:r>
      <w:r>
        <w:t xml:space="preserve">, the answer is that, because of the word</w:t>
      </w:r>
      <w:r>
        <w:t xml:space="preserve"> </w:t>
      </w:r>
      <w:r>
        <w:t xml:space="preserve">“</w:t>
      </w:r>
      <w:r>
        <w:t xml:space="preserve">anantara</w:t>
      </w:r>
      <w:r>
        <w:t xml:space="preserve">”</w:t>
      </w:r>
      <w:r>
        <w:t xml:space="preserve">, the paribhāṣā</w:t>
      </w:r>
      <w:r>
        <w:t xml:space="preserve"> </w:t>
      </w:r>
      <w:r>
        <w:t xml:space="preserve">“</w:t>
      </w:r>
      <w:r>
        <w:t xml:space="preserve">kṛd-grahaṇe…</w:t>
      </w:r>
      <w:r>
        <w:t xml:space="preserve">”</w:t>
      </w:r>
      <w:r>
        <w:t xml:space="preserve"> </w:t>
      </w:r>
      <w:r>
        <w:t xml:space="preserve">is not present in that sūtra, and the counter-example</w:t>
      </w:r>
      <w:r>
        <w:t xml:space="preserve"> </w:t>
      </w:r>
      <w:r>
        <w:rPr>
          <w:iCs/>
          <w:i/>
        </w:rPr>
        <w:t xml:space="preserve">abhyuddhṛtam</w:t>
      </w:r>
      <w:r>
        <w:t xml:space="preserve"> </w:t>
      </w:r>
      <w:r>
        <w:t xml:space="preserve">(where the intervening</w:t>
      </w:r>
      <w:r>
        <w:t xml:space="preserve"> </w:t>
      </w:r>
      <w:r>
        <w:rPr>
          <w:iCs/>
          <w:i/>
        </w:rPr>
        <w:t xml:space="preserve">abhi</w:t>
      </w:r>
      <w:r>
        <w:t xml:space="preserve"> </w:t>
      </w:r>
      <w:r>
        <w:t xml:space="preserve">does not keep its own accent) is cited to show the use of the word</w:t>
      </w:r>
      <w:r>
        <w:t xml:space="preserve"> </w:t>
      </w:r>
      <w:r>
        <w:rPr>
          <w:iCs/>
          <w:i/>
        </w:rPr>
        <w:t xml:space="preserve">anantara</w:t>
      </w:r>
      <w:r>
        <w:t xml:space="preserve">; the discussion concludes (p. 418) that in</w:t>
      </w:r>
      <w:r>
        <w:t xml:space="preserve"> </w:t>
      </w:r>
      <w:r>
        <w:rPr>
          <w:iCs/>
          <w:i/>
        </w:rPr>
        <w:t xml:space="preserve">suvivṛtam</w:t>
      </w:r>
      <w:r>
        <w:t xml:space="preserve"> </w:t>
      </w:r>
      <w:r>
        <w:t xml:space="preserve">the</w:t>
      </w:r>
      <w:r>
        <w:t xml:space="preserve"> </w:t>
      </w:r>
      <w:r>
        <w:rPr>
          <w:iCs/>
          <w:i/>
        </w:rPr>
        <w:t xml:space="preserve">ṛ</w:t>
      </w:r>
      <w:r>
        <w:t xml:space="preserve"> </w:t>
      </w:r>
      <w:r>
        <w:t xml:space="preserve">remains udātta.</w:t>
      </w:r>
      <w:r>
        <w:t xml:space="preserve"> </w:t>
      </w:r>
      <w:r>
        <w:rPr>
          <w:iCs/>
          <w:i/>
        </w:rPr>
        <w:t xml:space="preserve">(The page ends with</w:t>
      </w:r>
      <w:r>
        <w:rPr>
          <w:iCs/>
          <w:i/>
        </w:rPr>
        <w:t xml:space="preserve"> </w:t>
      </w:r>
      <w:r>
        <w:rPr>
          <w:iCs/>
          <w:i/>
        </w:rPr>
        <w:t xml:space="preserve">“</w:t>
      </w:r>
      <w:r>
        <w:rPr>
          <w:iCs/>
          <w:i/>
        </w:rPr>
        <w:t xml:space="preserve">so ends this great-sentence discussion.</w:t>
      </w:r>
      <w:r>
        <w:rPr>
          <w:iCs/>
          <w:i/>
        </w:rPr>
        <w:t xml:space="preserve">”</w:t>
      </w:r>
      <w:r>
        <w:rPr>
          <w:iCs/>
          <w:i/>
        </w:rPr>
        <w:t xml:space="preserve">)</w:t>
      </w:r>
      <w:r>
        <w:t xml:space="preserve"> </w:t>
      </w:r>
      <w:r>
        <w:rPr>
          <w:bCs/>
          <w:b/>
        </w:rPr>
        <w:t xml:space="preserve">सुनिरजम् (</w:t>
      </w:r>
      <w:r>
        <w:rPr>
          <w:iCs/>
          <w:i/>
          <w:bCs/>
          <w:b/>
        </w:rPr>
        <w:t xml:space="preserve">sunirajam</w:t>
      </w:r>
      <w:r>
        <w:rPr>
          <w:bCs/>
          <w:b/>
        </w:rPr>
        <w:t xml:space="preserve">)</w:t>
      </w:r>
      <w:r>
        <w:t xml:space="preserve"> </w:t>
      </w:r>
      <w:r>
        <w:t xml:space="preserve">— the root</w:t>
      </w:r>
      <w:r>
        <w:t xml:space="preserve"> </w:t>
      </w:r>
      <w:r>
        <w:rPr>
          <w:iCs/>
          <w:i/>
        </w:rPr>
        <w:t xml:space="preserve">aja gatikṣepaṇayoḥ</w:t>
      </w:r>
      <w:r>
        <w:t xml:space="preserve"> </w:t>
      </w:r>
      <w:r>
        <w:t xml:space="preserve">with the prefixes</w:t>
      </w:r>
      <w:r>
        <w:t xml:space="preserve"> </w:t>
      </w:r>
      <w:r>
        <w:rPr>
          <w:iCs/>
          <w:i/>
        </w:rPr>
        <w:t xml:space="preserve">su</w:t>
      </w:r>
      <w:r>
        <w:t xml:space="preserve"> </w:t>
      </w:r>
      <w:r>
        <w:t xml:space="preserve">and</w:t>
      </w:r>
      <w:r>
        <w:t xml:space="preserve"> </w:t>
      </w:r>
      <w:r>
        <w:rPr>
          <w:iCs/>
          <w:i/>
        </w:rPr>
        <w:t xml:space="preserve">nis</w:t>
      </w:r>
      <w:r>
        <w:t xml:space="preserve">;</w:t>
      </w:r>
      <w:r>
        <w:t xml:space="preserve"> </w:t>
      </w:r>
      <w:r>
        <w:t xml:space="preserve">“</w:t>
      </w:r>
      <w:r>
        <w:t xml:space="preserve">īṣad-duḥ-suṣu kṛcchrākṛcchrārtheṣu khal</w:t>
      </w:r>
      <w:r>
        <w:t xml:space="preserve">”</w:t>
      </w:r>
      <w:r>
        <w:t xml:space="preserve"> </w:t>
      </w:r>
      <w:r>
        <w:t xml:space="preserve">(Pā. 3-3-126) gives</w:t>
      </w:r>
      <w:r>
        <w:t xml:space="preserve"> </w:t>
      </w:r>
      <w:r>
        <w:rPr>
          <w:iCs/>
          <w:i/>
        </w:rPr>
        <w:t xml:space="preserve">khal</w:t>
      </w:r>
      <w:r>
        <w:t xml:space="preserve"> </w:t>
      </w:r>
      <w:r>
        <w:t xml:space="preserve">after a root when</w:t>
      </w:r>
      <w:r>
        <w:t xml:space="preserve"> </w:t>
      </w:r>
      <w:r>
        <w:rPr>
          <w:iCs/>
          <w:i/>
        </w:rPr>
        <w:t xml:space="preserve">īṣat</w:t>
      </w:r>
      <w:r>
        <w:t xml:space="preserve">,</w:t>
      </w:r>
      <w:r>
        <w:t xml:space="preserve"> </w:t>
      </w:r>
      <w:r>
        <w:rPr>
          <w:iCs/>
          <w:i/>
        </w:rPr>
        <w:t xml:space="preserve">duḥ</w:t>
      </w:r>
      <w:r>
        <w:t xml:space="preserve"> </w:t>
      </w:r>
      <w:r>
        <w:t xml:space="preserve">or</w:t>
      </w:r>
      <w:r>
        <w:t xml:space="preserve"> </w:t>
      </w:r>
      <w:r>
        <w:rPr>
          <w:iCs/>
          <w:i/>
        </w:rPr>
        <w:t xml:space="preserve">su</w:t>
      </w:r>
      <w:r>
        <w:t xml:space="preserve"> </w:t>
      </w:r>
      <w:r>
        <w:t xml:space="preserve">is the</w:t>
      </w:r>
      <w:r>
        <w:t xml:space="preserve"> </w:t>
      </w:r>
      <w:r>
        <w:rPr>
          <w:iCs/>
          <w:i/>
        </w:rPr>
        <w:t xml:space="preserve">upapada</w:t>
      </w:r>
      <w:r>
        <w:t xml:space="preserve">, in senses of difficulty/ease; the argument whether</w:t>
      </w:r>
      <w:r>
        <w:t xml:space="preserve"> </w:t>
      </w:r>
      <w:r>
        <w:rPr>
          <w:iCs/>
          <w:i/>
        </w:rPr>
        <w:t xml:space="preserve">nis</w:t>
      </w:r>
      <w:r>
        <w:t xml:space="preserve"> </w:t>
      </w:r>
      <w:r>
        <w:t xml:space="preserve">intervening between</w:t>
      </w:r>
      <w:r>
        <w:t xml:space="preserve"> </w:t>
      </w:r>
      <w:r>
        <w:rPr>
          <w:iCs/>
          <w:i/>
        </w:rPr>
        <w:t xml:space="preserve">su</w:t>
      </w:r>
      <w:r>
        <w:t xml:space="preserve"> </w:t>
      </w:r>
      <w:r>
        <w:t xml:space="preserve">and</w:t>
      </w:r>
      <w:r>
        <w:t xml:space="preserve"> </w:t>
      </w:r>
      <w:r>
        <w:rPr>
          <w:iCs/>
          <w:i/>
        </w:rPr>
        <w:t xml:space="preserve">aja</w:t>
      </w:r>
      <w:r>
        <w:t xml:space="preserve"> </w:t>
      </w:r>
      <w:r>
        <w:t xml:space="preserve">prevents the</w:t>
      </w:r>
      <w:r>
        <w:t xml:space="preserve"> </w:t>
      </w:r>
      <w:r>
        <w:rPr>
          <w:iCs/>
          <w:i/>
        </w:rPr>
        <w:t xml:space="preserve">khal</w:t>
      </w:r>
      <w:r>
        <w:t xml:space="preserve"> </w:t>
      </w:r>
      <w:r>
        <w:t xml:space="preserve">is answered: the rule does not require that the</w:t>
      </w:r>
      <w:r>
        <w:t xml:space="preserve"> </w:t>
      </w:r>
      <w:r>
        <w:rPr>
          <w:iCs/>
          <w:i/>
        </w:rPr>
        <w:t xml:space="preserve">su</w:t>
      </w:r>
      <w:r>
        <w:t xml:space="preserve"> </w:t>
      </w:r>
      <w:r>
        <w:t xml:space="preserve">stand immediately before (cf. </w:t>
      </w:r>
      <w:r>
        <w:rPr>
          <w:iCs/>
          <w:i/>
        </w:rPr>
        <w:t xml:space="preserve">suparihāram</w:t>
      </w:r>
      <w:r>
        <w:t xml:space="preserve">,</w:t>
      </w:r>
      <w:r>
        <w:t xml:space="preserve"> </w:t>
      </w:r>
      <w:r>
        <w:rPr>
          <w:iCs/>
          <w:i/>
        </w:rPr>
        <w:t xml:space="preserve">duṣparihāram</w:t>
      </w:r>
      <w:r>
        <w:t xml:space="preserve">);</w:t>
      </w:r>
      <w:r>
        <w:t xml:space="preserve"> </w:t>
      </w:r>
      <w:r>
        <w:rPr>
          <w:iCs/>
          <w:i/>
        </w:rPr>
        <w:t xml:space="preserve">khal</w:t>
      </w:r>
      <w:r>
        <w:t xml:space="preserve"> </w:t>
      </w:r>
      <w:r>
        <w:t xml:space="preserve">is</w:t>
      </w:r>
      <w:r>
        <w:t xml:space="preserve"> </w:t>
      </w:r>
      <w:r>
        <w:rPr>
          <w:iCs/>
          <w:i/>
        </w:rPr>
        <w:t xml:space="preserve">l</w:t>
      </w:r>
      <w:r>
        <w:t xml:space="preserve">-marked, so the vowel before it (</w:t>
      </w:r>
      <w:r>
        <w:rPr>
          <w:iCs/>
          <w:i/>
        </w:rPr>
        <w:t xml:space="preserve">a</w:t>
      </w:r>
      <w:r>
        <w:t xml:space="preserve"> </w:t>
      </w:r>
      <w:r>
        <w:t xml:space="preserve">of</w:t>
      </w:r>
      <w:r>
        <w:t xml:space="preserve"> </w:t>
      </w:r>
      <w:r>
        <w:rPr>
          <w:iCs/>
          <w:i/>
        </w:rPr>
        <w:t xml:space="preserve">aj</w:t>
      </w:r>
      <w:r>
        <w:t xml:space="preserve">) is udātta by</w:t>
      </w:r>
      <w:r>
        <w:t xml:space="preserve"> </w:t>
      </w:r>
      <w:r>
        <w:t xml:space="preserve">“</w:t>
      </w:r>
      <w:r>
        <w:t xml:space="preserve">liti</w:t>
      </w:r>
      <w:r>
        <w:t xml:space="preserve">”</w:t>
      </w:r>
      <w:r>
        <w:t xml:space="preserve">; with the</w:t>
      </w:r>
      <w:r>
        <w:t xml:space="preserve"> </w:t>
      </w:r>
      <w:r>
        <w:rPr>
          <w:iCs/>
          <w:i/>
        </w:rPr>
        <w:t xml:space="preserve">gati</w:t>
      </w:r>
      <w:r>
        <w:t xml:space="preserve">-compound with</w:t>
      </w:r>
      <w:r>
        <w:t xml:space="preserve"> </w:t>
      </w:r>
      <w:r>
        <w:rPr>
          <w:iCs/>
          <w:i/>
        </w:rPr>
        <w:t xml:space="preserve">nis</w:t>
      </w:r>
      <w:r>
        <w:t xml:space="preserve">, the accent of the</w:t>
      </w:r>
      <w:r>
        <w:t xml:space="preserve"> </w:t>
      </w:r>
      <w:r>
        <w:rPr>
          <w:iCs/>
          <w:i/>
        </w:rPr>
        <w:t xml:space="preserve">kṛdanta</w:t>
      </w:r>
      <w:r>
        <w:t xml:space="preserve"> </w:t>
      </w:r>
      <w:r>
        <w:t xml:space="preserve">second member (the root’s</w:t>
      </w:r>
      <w:r>
        <w:t xml:space="preserve"> </w:t>
      </w:r>
      <w:r>
        <w:rPr>
          <w:iCs/>
          <w:i/>
        </w:rPr>
        <w:t xml:space="preserve">a</w:t>
      </w:r>
      <w:r>
        <w:t xml:space="preserve"> </w:t>
      </w:r>
      <w:r>
        <w:t xml:space="preserve">udātta) stands; compounding again with</w:t>
      </w:r>
      <w:r>
        <w:t xml:space="preserve"> </w:t>
      </w:r>
      <w:r>
        <w:rPr>
          <w:iCs/>
          <w:i/>
        </w:rPr>
        <w:t xml:space="preserve">su</w:t>
      </w:r>
      <w:r>
        <w:t xml:space="preserve"> </w:t>
      </w:r>
      <w:r>
        <w:t xml:space="preserve">gives the same by Paribhāṣā 28; the remaining syllables are lowered; the unaccented</w:t>
      </w:r>
      <w:r>
        <w:t xml:space="preserve"> </w:t>
      </w:r>
      <w:r>
        <w:rPr>
          <w:iCs/>
          <w:i/>
        </w:rPr>
        <w:t xml:space="preserve">a</w:t>
      </w:r>
      <w:r>
        <w:t xml:space="preserve"> </w:t>
      </w:r>
      <w:r>
        <w:t xml:space="preserve">of the suffix becomes</w:t>
      </w:r>
      <w:r>
        <w:t xml:space="preserve"> </w:t>
      </w:r>
      <w:r>
        <w:rPr>
          <w:iCs/>
          <w:i/>
        </w:rPr>
        <w:t xml:space="preserve">svarita</w:t>
      </w:r>
      <w:r>
        <w:t xml:space="preserve"> </w:t>
      </w:r>
      <w:r>
        <w:t xml:space="preserve">by</w:t>
      </w:r>
      <w:r>
        <w:t xml:space="preserve"> </w:t>
      </w:r>
      <w:r>
        <w:t xml:space="preserve">“</w:t>
      </w:r>
      <w:r>
        <w:t xml:space="preserve">udāttād anudāttasya svaritaḥ</w:t>
      </w:r>
      <w:r>
        <w:t xml:space="preserve">”</w:t>
      </w:r>
      <w:r>
        <w:t xml:space="preserve"> </w:t>
      </w:r>
      <w:r>
        <w:t xml:space="preserve">(no number printed).</w:t>
      </w:r>
      <w:r>
        <w:t xml:space="preserve"> </w:t>
      </w:r>
      <w:r>
        <w:rPr>
          <w:bCs/>
          <w:b/>
        </w:rPr>
        <w:t xml:space="preserve">त्वादातम् (</w:t>
      </w:r>
      <w:r>
        <w:rPr>
          <w:iCs/>
          <w:i/>
          <w:bCs/>
          <w:b/>
        </w:rPr>
        <w:t xml:space="preserve">tvādātam</w:t>
      </w:r>
      <w:r>
        <w:rPr>
          <w:bCs/>
          <w:b/>
        </w:rPr>
        <w:t xml:space="preserve">)</w:t>
      </w:r>
      <w:r>
        <w:t xml:space="preserve"> </w:t>
      </w:r>
      <w:r>
        <w:t xml:space="preserve">— root</w:t>
      </w:r>
      <w:r>
        <w:t xml:space="preserve"> </w:t>
      </w:r>
      <w:r>
        <w:rPr>
          <w:iCs/>
          <w:i/>
        </w:rPr>
        <w:t xml:space="preserve">daip śodhane</w:t>
      </w:r>
      <w:r>
        <w:t xml:space="preserve"> </w:t>
      </w:r>
      <w:r>
        <w:t xml:space="preserve">— the argument on pp. 419–420: by</w:t>
      </w:r>
      <w:r>
        <w:t xml:space="preserve"> </w:t>
      </w:r>
      <w:r>
        <w:t xml:space="preserve">“</w:t>
      </w:r>
      <w:r>
        <w:t xml:space="preserve">ādeca upadeśe ’śiti</w:t>
      </w:r>
      <w:r>
        <w:t xml:space="preserve">”</w:t>
      </w:r>
      <w:r>
        <w:t xml:space="preserve"> </w:t>
      </w:r>
      <w:r>
        <w:t xml:space="preserve">(Pā. 6-1-45) the</w:t>
      </w:r>
      <w:r>
        <w:t xml:space="preserve"> </w:t>
      </w:r>
      <w:r>
        <w:rPr>
          <w:iCs/>
          <w:i/>
        </w:rPr>
        <w:t xml:space="preserve">e</w:t>
      </w:r>
      <w:r>
        <w:t xml:space="preserve"> </w:t>
      </w:r>
      <w:r>
        <w:t xml:space="preserve">of the root becomes</w:t>
      </w:r>
      <w:r>
        <w:t xml:space="preserve"> </w:t>
      </w:r>
      <w:r>
        <w:rPr>
          <w:iCs/>
          <w:i/>
        </w:rPr>
        <w:t xml:space="preserve">ā</w:t>
      </w:r>
      <w:r>
        <w:t xml:space="preserve"> </w:t>
      </w:r>
      <w:r>
        <w:t xml:space="preserve">when a non-</w:t>
      </w:r>
      <w:r>
        <w:rPr>
          <w:iCs/>
          <w:i/>
        </w:rPr>
        <w:t xml:space="preserve">śit</w:t>
      </w:r>
      <w:r>
        <w:t xml:space="preserve"> </w:t>
      </w:r>
      <w:r>
        <w:t xml:space="preserve">suffix follows; but the root is</w:t>
      </w:r>
      <w:r>
        <w:t xml:space="preserve"> </w:t>
      </w:r>
      <w:r>
        <w:rPr>
          <w:iCs/>
          <w:i/>
        </w:rPr>
        <w:t xml:space="preserve">daip</w:t>
      </w:r>
      <w:r>
        <w:t xml:space="preserve"> </w:t>
      </w:r>
      <w:r>
        <w:t xml:space="preserve">ending in</w:t>
      </w:r>
      <w:r>
        <w:t xml:space="preserve"> </w:t>
      </w:r>
      <w:r>
        <w:rPr>
          <w:iCs/>
          <w:i/>
        </w:rPr>
        <w:t xml:space="preserve">p</w:t>
      </w:r>
      <w:r>
        <w:t xml:space="preserve">, with</w:t>
      </w:r>
      <w:r>
        <w:t xml:space="preserve"> </w:t>
      </w:r>
      <w:r>
        <w:rPr>
          <w:iCs/>
          <w:i/>
        </w:rPr>
        <w:t xml:space="preserve">ai</w:t>
      </w:r>
      <w:r>
        <w:t xml:space="preserve">, which in the</w:t>
      </w:r>
      <w:r>
        <w:t xml:space="preserve"> </w:t>
      </w:r>
      <w:r>
        <w:rPr>
          <w:iCs/>
          <w:i/>
        </w:rPr>
        <w:t xml:space="preserve">upadeśa</w:t>
      </w:r>
      <w:r>
        <w:t xml:space="preserve"> </w:t>
      </w:r>
      <w:r>
        <w:t xml:space="preserve">is a diphthong-ending root? — the difficulty is resolved by the paribhāṣā</w:t>
      </w:r>
      <w:r>
        <w:t xml:space="preserve"> </w:t>
      </w:r>
      <w:r>
        <w:t xml:space="preserve">“</w:t>
      </w:r>
      <w:r>
        <w:t xml:space="preserve">nānubandhakṛtam anejantatvam</w:t>
      </w:r>
      <w:r>
        <w:t xml:space="preserve">”</w:t>
      </w:r>
      <w:r>
        <w:t xml:space="preserve"> </w:t>
      </w:r>
      <w:r>
        <w:t xml:space="preserve">(Paribhāṣā 6) that the diphthong-ending status of a root is not undone by a mere</w:t>
      </w:r>
      <w:r>
        <w:t xml:space="preserve"> </w:t>
      </w:r>
      <w:r>
        <w:rPr>
          <w:iCs/>
          <w:i/>
        </w:rPr>
        <w:t xml:space="preserve">it</w:t>
      </w:r>
      <w:r>
        <w:t xml:space="preserve">-marker;</w:t>
      </w:r>
      <w:r>
        <w:t xml:space="preserve"> </w:t>
      </w:r>
      <w:r>
        <w:rPr>
          <w:iCs/>
          <w:i/>
        </w:rPr>
        <w:t xml:space="preserve">kta</w:t>
      </w:r>
      <w:r>
        <w:t xml:space="preserve"> </w:t>
      </w:r>
      <w:r>
        <w:t xml:space="preserve">in the passive by</w:t>
      </w:r>
      <w:r>
        <w:t xml:space="preserve"> </w:t>
      </w:r>
      <w:r>
        <w:t xml:space="preserve">“</w:t>
      </w:r>
      <w:r>
        <w:t xml:space="preserve">niṣṭhā</w:t>
      </w:r>
      <w:r>
        <w:t xml:space="preserve">”</w:t>
      </w:r>
      <w:r>
        <w:t xml:space="preserve"> </w:t>
      </w:r>
      <w:r>
        <w:t xml:space="preserve">(Pā. 3-2-102), giving</w:t>
      </w:r>
      <w:r>
        <w:t xml:space="preserve"> </w:t>
      </w:r>
      <w:r>
        <w:rPr>
          <w:iCs/>
          <w:i/>
        </w:rPr>
        <w:t xml:space="preserve">dā</w:t>
      </w:r>
      <w:r>
        <w:t xml:space="preserve"> </w:t>
      </w:r>
      <w:r>
        <w:t xml:space="preserve">+</w:t>
      </w:r>
      <w:r>
        <w:t xml:space="preserve"> </w:t>
      </w:r>
      <w:r>
        <w:rPr>
          <w:iCs/>
          <w:i/>
        </w:rPr>
        <w:t xml:space="preserve">ta</w:t>
      </w:r>
      <w:r>
        <w:t xml:space="preserve">; the objection that</w:t>
      </w:r>
      <w:r>
        <w:t xml:space="preserve"> </w:t>
      </w:r>
      <w:r>
        <w:rPr>
          <w:iCs/>
          <w:i/>
        </w:rPr>
        <w:t xml:space="preserve">dā</w:t>
      </w:r>
      <w:r>
        <w:t xml:space="preserve"> </w:t>
      </w:r>
      <w:r>
        <w:t xml:space="preserve">+</w:t>
      </w:r>
      <w:r>
        <w:t xml:space="preserve"> </w:t>
      </w:r>
      <w:r>
        <w:rPr>
          <w:iCs/>
          <w:i/>
        </w:rPr>
        <w:t xml:space="preserve">ta</w:t>
      </w:r>
      <w:r>
        <w:t xml:space="preserve"> </w:t>
      </w:r>
      <w:r>
        <w:t xml:space="preserve">would then be</w:t>
      </w:r>
      <w:r>
        <w:t xml:space="preserve"> </w:t>
      </w:r>
      <w:r>
        <w:rPr>
          <w:iCs/>
          <w:i/>
        </w:rPr>
        <w:t xml:space="preserve">ghu</w:t>
      </w:r>
      <w:r>
        <w:t xml:space="preserve">-class and so take</w:t>
      </w:r>
      <w:r>
        <w:t xml:space="preserve"> </w:t>
      </w:r>
      <w:r>
        <w:rPr>
          <w:iCs/>
          <w:i/>
        </w:rPr>
        <w:t xml:space="preserve">dad</w:t>
      </w:r>
      <w:r>
        <w:t xml:space="preserve"> </w:t>
      </w:r>
      <w:r>
        <w:t xml:space="preserve">in place of</w:t>
      </w:r>
      <w:r>
        <w:t xml:space="preserve"> </w:t>
      </w:r>
      <w:r>
        <w:rPr>
          <w:iCs/>
          <w:i/>
        </w:rPr>
        <w:t xml:space="preserve">dā</w:t>
      </w:r>
      <w:r>
        <w:t xml:space="preserve"> </w:t>
      </w:r>
      <w:r>
        <w:t xml:space="preserve">(</w:t>
      </w:r>
      <w:r>
        <w:t xml:space="preserve">“</w:t>
      </w:r>
      <w:r>
        <w:t xml:space="preserve">dādhā ghv adāp,</w:t>
      </w:r>
      <w:r>
        <w:t xml:space="preserve">”</w:t>
      </w:r>
      <w:r>
        <w:t xml:space="preserve"> </w:t>
      </w:r>
      <w:r>
        <w:t xml:space="preserve">Pā. 1-1-20;</w:t>
      </w:r>
      <w:r>
        <w:t xml:space="preserve"> </w:t>
      </w:r>
      <w:r>
        <w:t xml:space="preserve">“</w:t>
      </w:r>
      <w:r>
        <w:t xml:space="preserve">do dad ghoḥ,</w:t>
      </w:r>
      <w:r>
        <w:t xml:space="preserve">”</w:t>
      </w:r>
      <w:r>
        <w:t xml:space="preserve"> </w:t>
      </w:r>
      <w:r>
        <w:t xml:space="preserve">Pā. 7-4-46) is answered, since</w:t>
      </w:r>
      <w:r>
        <w:t xml:space="preserve"> </w:t>
      </w:r>
      <w:r>
        <w:rPr>
          <w:iCs/>
          <w:i/>
        </w:rPr>
        <w:t xml:space="preserve">dāp lavane</w:t>
      </w:r>
      <w:r>
        <w:t xml:space="preserve"> </w:t>
      </w:r>
      <w:r>
        <w:t xml:space="preserve">and</w:t>
      </w:r>
      <w:r>
        <w:t xml:space="preserve"> </w:t>
      </w:r>
      <w:r>
        <w:rPr>
          <w:iCs/>
          <w:i/>
        </w:rPr>
        <w:t xml:space="preserve">daip śodhane</w:t>
      </w:r>
      <w:r>
        <w:t xml:space="preserve"> </w:t>
      </w:r>
      <w:r>
        <w:t xml:space="preserve">are specifically excluded and the substitute-from-</w:t>
      </w:r>
      <w:r>
        <w:rPr>
          <w:iCs/>
          <w:i/>
        </w:rPr>
        <w:t xml:space="preserve">daip</w:t>
      </w:r>
      <w:r>
        <w:t xml:space="preserve"> </w:t>
      </w:r>
      <w:r>
        <w:rPr>
          <w:iCs/>
          <w:i/>
        </w:rPr>
        <w:t xml:space="preserve">dā</w:t>
      </w:r>
      <w:r>
        <w:t xml:space="preserve"> </w:t>
      </w:r>
      <w:r>
        <w:t xml:space="preserve">is</w:t>
      </w:r>
      <w:r>
        <w:t xml:space="preserve"> </w:t>
      </w:r>
      <w:r>
        <w:t xml:space="preserve">“</w:t>
      </w:r>
      <w:r>
        <w:t xml:space="preserve">lākṣaṇika,</w:t>
      </w:r>
      <w:r>
        <w:t xml:space="preserve">”</w:t>
      </w:r>
      <w:r>
        <w:t xml:space="preserve"> </w:t>
      </w:r>
      <w:r>
        <w:t xml:space="preserve">not</w:t>
      </w:r>
      <w:r>
        <w:t xml:space="preserve"> </w:t>
      </w:r>
      <w:r>
        <w:rPr>
          <w:iCs/>
          <w:i/>
        </w:rPr>
        <w:t xml:space="preserve">pratipadokta</w:t>
      </w:r>
      <w:r>
        <w:t xml:space="preserve">; the paribhāṣā</w:t>
      </w:r>
      <w:r>
        <w:t xml:space="preserve"> </w:t>
      </w:r>
      <w:r>
        <w:t xml:space="preserve">“</w:t>
      </w:r>
      <w:r>
        <w:t xml:space="preserve">lakṣaṇa-pratipadoktayoḥ pratipadoktasyaiva grahaṇam</w:t>
      </w:r>
      <w:r>
        <w:t xml:space="preserve">”</w:t>
      </w:r>
      <w:r>
        <w:t xml:space="preserve"> </w:t>
      </w:r>
      <w:r>
        <w:t xml:space="preserve">is argued and disposed of by</w:t>
      </w:r>
      <w:r>
        <w:t xml:space="preserve"> </w:t>
      </w:r>
      <w:r>
        <w:t xml:space="preserve">“</w:t>
      </w:r>
      <w:r>
        <w:t xml:space="preserve">gāmādāgrahaṇeṣv aviśeṣaḥ</w:t>
      </w:r>
      <w:r>
        <w:t xml:space="preserve">”</w:t>
      </w:r>
      <w:r>
        <w:t xml:space="preserve"> </w:t>
      </w:r>
      <w:r>
        <w:t xml:space="preserve">(Paribhāṣā 106).</w:t>
      </w:r>
      <w:r>
        <w:t xml:space="preserve"> </w:t>
      </w:r>
      <w:r>
        <w:rPr>
          <w:iCs/>
          <w:i/>
        </w:rPr>
        <w:t xml:space="preserve">Tvā</w:t>
      </w:r>
      <w:r>
        <w:t xml:space="preserve"> </w:t>
      </w:r>
      <w:r>
        <w:t xml:space="preserve">—</w:t>
      </w:r>
      <w:r>
        <w:t xml:space="preserve"> </w:t>
      </w:r>
      <w:r>
        <w:rPr>
          <w:iCs/>
          <w:i/>
        </w:rPr>
        <w:t xml:space="preserve">yuṣmad</w:t>
      </w:r>
      <w:r>
        <w:t xml:space="preserve"> </w:t>
      </w:r>
      <w:r>
        <w:t xml:space="preserve">+</w:t>
      </w:r>
      <w:r>
        <w:t xml:space="preserve"> </w:t>
      </w:r>
      <w:r>
        <w:rPr>
          <w:iCs/>
          <w:i/>
        </w:rPr>
        <w:t xml:space="preserve">ṭā</w:t>
      </w:r>
      <w:r>
        <w:t xml:space="preserve">, the third-case ending replaced by</w:t>
      </w:r>
      <w:r>
        <w:t xml:space="preserve"> </w:t>
      </w:r>
      <w:r>
        <w:rPr>
          <w:iCs/>
          <w:i/>
        </w:rPr>
        <w:t xml:space="preserve">ā</w:t>
      </w:r>
      <w:r>
        <w:t xml:space="preserve"> </w:t>
      </w:r>
      <w:r>
        <w:t xml:space="preserve">via</w:t>
      </w:r>
      <w:r>
        <w:t xml:space="preserve"> </w:t>
      </w:r>
      <w:r>
        <w:rPr>
          <w:iCs/>
          <w:i/>
        </w:rPr>
        <w:t xml:space="preserve">ḍā</w:t>
      </w:r>
      <w:r>
        <w:t xml:space="preserve"> </w:t>
      </w:r>
      <w:r>
        <w:t xml:space="preserve">(</w:t>
      </w:r>
      <w:r>
        <w:t xml:space="preserve">“</w:t>
      </w:r>
      <w:r>
        <w:t xml:space="preserve">supāṃ suluk…</w:t>
      </w:r>
      <w:r>
        <w:t xml:space="preserve">”</w:t>
      </w:r>
      <w:r>
        <w:t xml:space="preserve"> </w:t>
      </w:r>
      <w:r>
        <w:t xml:space="preserve">Pā. 7-1-39);</w:t>
      </w:r>
      <w:r>
        <w:t xml:space="preserve"> </w:t>
      </w:r>
      <w:r>
        <w:rPr>
          <w:iCs/>
          <w:i/>
        </w:rPr>
        <w:t xml:space="preserve">tva</w:t>
      </w:r>
      <w:r>
        <w:t xml:space="preserve"> </w:t>
      </w:r>
      <w:r>
        <w:t xml:space="preserve">replaces the part up to</w:t>
      </w:r>
      <w:r>
        <w:t xml:space="preserve"> </w:t>
      </w:r>
      <w:r>
        <w:rPr>
          <w:iCs/>
          <w:i/>
        </w:rPr>
        <w:t xml:space="preserve">m</w:t>
      </w:r>
      <w:r>
        <w:t xml:space="preserve"> </w:t>
      </w:r>
      <w:r>
        <w:t xml:space="preserve">of</w:t>
      </w:r>
      <w:r>
        <w:t xml:space="preserve"> </w:t>
      </w:r>
      <w:r>
        <w:rPr>
          <w:iCs/>
          <w:i/>
        </w:rPr>
        <w:t xml:space="preserve">yuṣmad</w:t>
      </w:r>
      <w:r>
        <w:t xml:space="preserve"> </w:t>
      </w:r>
      <w:r>
        <w:t xml:space="preserve">(</w:t>
      </w:r>
      <w:r>
        <w:t xml:space="preserve">“</w:t>
      </w:r>
      <w:r>
        <w:t xml:space="preserve">tvamāv ekavacane,</w:t>
      </w:r>
      <w:r>
        <w:t xml:space="preserve">”</w:t>
      </w:r>
      <w:r>
        <w:t xml:space="preserve"> </w:t>
      </w:r>
      <w:r>
        <w:t xml:space="preserve">printed</w:t>
      </w:r>
      <w:r>
        <w:t xml:space="preserve"> </w:t>
      </w:r>
      <w:r>
        <w:t xml:space="preserve">“</w:t>
      </w:r>
      <w:r>
        <w:t xml:space="preserve">8-2-97</w:t>
      </w:r>
      <w:r>
        <w:t xml:space="preserve">”</w:t>
      </w:r>
      <w:r>
        <w:t xml:space="preserve"> </w:t>
      </w:r>
      <w:r>
        <w:t xml:space="preserve">[as printed], i.e. 7-2-97),</w:t>
      </w:r>
      <w:r>
        <w:t xml:space="preserve"> </w:t>
      </w:r>
      <w:r>
        <w:rPr>
          <w:iCs/>
          <w:i/>
        </w:rPr>
        <w:t xml:space="preserve">tva</w:t>
      </w:r>
      <w:r>
        <w:t xml:space="preserve"> </w:t>
      </w:r>
      <w:r>
        <w:t xml:space="preserve">+</w:t>
      </w:r>
      <w:r>
        <w:t xml:space="preserve"> </w:t>
      </w:r>
      <w:r>
        <w:rPr>
          <w:iCs/>
          <w:i/>
        </w:rPr>
        <w:t xml:space="preserve">ad</w:t>
      </w:r>
      <w:r>
        <w:t xml:space="preserve"> </w:t>
      </w:r>
      <w:r>
        <w:t xml:space="preserve">+</w:t>
      </w:r>
      <w:r>
        <w:t xml:space="preserve"> </w:t>
      </w:r>
      <w:r>
        <w:rPr>
          <w:iCs/>
          <w:i/>
        </w:rPr>
        <w:t xml:space="preserve">a</w:t>
      </w:r>
      <w:r>
        <w:t xml:space="preserve">;</w:t>
      </w:r>
      <w:r>
        <w:t xml:space="preserve"> </w:t>
      </w:r>
      <w:r>
        <w:rPr>
          <w:iCs/>
          <w:i/>
        </w:rPr>
        <w:t xml:space="preserve">pararūpa</w:t>
      </w:r>
      <w:r>
        <w:t xml:space="preserve"> </w:t>
      </w:r>
      <w:r>
        <w:t xml:space="preserve">by</w:t>
      </w:r>
      <w:r>
        <w:t xml:space="preserve"> </w:t>
      </w:r>
      <w:r>
        <w:t xml:space="preserve">“</w:t>
      </w:r>
      <w:r>
        <w:t xml:space="preserve">ato guṇe</w:t>
      </w:r>
      <w:r>
        <w:t xml:space="preserve">”</w:t>
      </w:r>
      <w:r>
        <w:t xml:space="preserve"> </w:t>
      </w:r>
      <w:r>
        <w:t xml:space="preserve">(Pā. 6-1-97); with</w:t>
      </w:r>
      <w:r>
        <w:t xml:space="preserve"> </w:t>
      </w:r>
      <w:r>
        <w:rPr>
          <w:iCs/>
          <w:i/>
        </w:rPr>
        <w:t xml:space="preserve">bha</w:t>
      </w:r>
      <w:r>
        <w:t xml:space="preserve">-status the</w:t>
      </w:r>
      <w:r>
        <w:t xml:space="preserve"> </w:t>
      </w:r>
      <w:r>
        <w:rPr>
          <w:iCs/>
          <w:i/>
        </w:rPr>
        <w:t xml:space="preserve">ṭi</w:t>
      </w:r>
      <w:r>
        <w:t xml:space="preserve"> </w:t>
      </w:r>
      <w:r>
        <w:t xml:space="preserve">(</w:t>
      </w:r>
      <w:r>
        <w:rPr>
          <w:iCs/>
          <w:i/>
        </w:rPr>
        <w:t xml:space="preserve">ad</w:t>
      </w:r>
      <w:r>
        <w:t xml:space="preserve">) is dropped by</w:t>
      </w:r>
      <w:r>
        <w:t xml:space="preserve"> </w:t>
      </w:r>
      <w:r>
        <w:t xml:space="preserve">“</w:t>
      </w:r>
      <w:r>
        <w:t xml:space="preserve">ṭeḥ</w:t>
      </w:r>
      <w:r>
        <w:t xml:space="preserve">”</w:t>
      </w:r>
      <w:r>
        <w:t xml:space="preserve"> </w:t>
      </w:r>
      <w:r>
        <w:t xml:space="preserve">(Pā. 6-4-143), giving</w:t>
      </w:r>
      <w:r>
        <w:t xml:space="preserve"> </w:t>
      </w:r>
      <w:r>
        <w:rPr>
          <w:iCs/>
          <w:i/>
        </w:rPr>
        <w:t xml:space="preserve">tvā</w:t>
      </w:r>
      <w:r>
        <w:t xml:space="preserve">;</w:t>
      </w:r>
      <w:r>
        <w:t xml:space="preserve"> </w:t>
      </w:r>
      <w:r>
        <w:rPr>
          <w:iCs/>
          <w:i/>
        </w:rPr>
        <w:t xml:space="preserve">yuṣmad</w:t>
      </w:r>
      <w:r>
        <w:t xml:space="preserve"> </w:t>
      </w:r>
      <w:r>
        <w:t xml:space="preserve">itself is from</w:t>
      </w:r>
      <w:r>
        <w:t xml:space="preserve"> </w:t>
      </w:r>
      <w:r>
        <w:rPr>
          <w:iCs/>
          <w:i/>
        </w:rPr>
        <w:t xml:space="preserve">yuṣ</w:t>
      </w:r>
      <w:r>
        <w:t xml:space="preserve"> </w:t>
      </w:r>
      <w:r>
        <w:t xml:space="preserve">with</w:t>
      </w:r>
      <w:r>
        <w:t xml:space="preserve"> </w:t>
      </w:r>
      <w:r>
        <w:rPr>
          <w:iCs/>
          <w:i/>
        </w:rPr>
        <w:t xml:space="preserve">madik</w:t>
      </w:r>
      <w:r>
        <w:t xml:space="preserve"> </w:t>
      </w:r>
      <w:r>
        <w:t xml:space="preserve">(Uṇ. 1-136); the</w:t>
      </w:r>
      <w:r>
        <w:t xml:space="preserve"> </w:t>
      </w:r>
      <w:r>
        <w:rPr>
          <w:iCs/>
          <w:i/>
        </w:rPr>
        <w:t xml:space="preserve">a</w:t>
      </w:r>
      <w:r>
        <w:t xml:space="preserve"> </w:t>
      </w:r>
      <w:r>
        <w:t xml:space="preserve">is udātta by</w:t>
      </w:r>
      <w:r>
        <w:t xml:space="preserve"> </w:t>
      </w:r>
      <w:r>
        <w:t xml:space="preserve">“</w:t>
      </w:r>
      <w:r>
        <w:t xml:space="preserve">anudāttasya ca yatrodāttalopaḥ</w:t>
      </w:r>
      <w:r>
        <w:t xml:space="preserve">”</w:t>
      </w:r>
      <w:r>
        <w:t xml:space="preserve"> </w:t>
      </w:r>
      <w:r>
        <w:t xml:space="preserve">(Pā. 6-1-161); the accent (pp. 420–421): the</w:t>
      </w:r>
      <w:r>
        <w:t xml:space="preserve"> </w:t>
      </w:r>
      <w:r>
        <w:rPr>
          <w:iCs/>
          <w:i/>
        </w:rPr>
        <w:t xml:space="preserve">ā</w:t>
      </w:r>
      <w:r>
        <w:t xml:space="preserve"> </w:t>
      </w:r>
      <w:r>
        <w:t xml:space="preserve">is udātta if a</w:t>
      </w:r>
      <w:r>
        <w:t xml:space="preserve"> </w:t>
      </w:r>
      <w:r>
        <w:rPr>
          <w:iCs/>
          <w:i/>
        </w:rPr>
        <w:t xml:space="preserve">prātipadika</w:t>
      </w:r>
      <w:r>
        <w:t xml:space="preserve"> </w:t>
      </w:r>
      <w:r>
        <w:t xml:space="preserve">accent applies; the third-case</w:t>
      </w:r>
      <w:r>
        <w:t xml:space="preserve"> </w:t>
      </w:r>
      <w:r>
        <w:rPr>
          <w:iCs/>
          <w:i/>
        </w:rPr>
        <w:t xml:space="preserve">tvā</w:t>
      </w:r>
      <w:r>
        <w:t xml:space="preserve"> </w:t>
      </w:r>
      <w:r>
        <w:t xml:space="preserve">compounds with the</w:t>
      </w:r>
      <w:r>
        <w:t xml:space="preserve"> </w:t>
      </w:r>
      <w:r>
        <w:rPr>
          <w:iCs/>
          <w:i/>
        </w:rPr>
        <w:t xml:space="preserve">kṛdanta</w:t>
      </w:r>
      <w:r>
        <w:t xml:space="preserve"> </w:t>
      </w:r>
      <w:r>
        <w:rPr>
          <w:iCs/>
          <w:i/>
        </w:rPr>
        <w:t xml:space="preserve">dāta</w:t>
      </w:r>
      <w:r>
        <w:t xml:space="preserve"> </w:t>
      </w:r>
      <w:r>
        <w:t xml:space="preserve">by</w:t>
      </w:r>
      <w:r>
        <w:t xml:space="preserve"> </w:t>
      </w:r>
      <w:r>
        <w:t xml:space="preserve">“</w:t>
      </w:r>
      <w:r>
        <w:t xml:space="preserve">kartṛkaraṇe kṛtā bahulam</w:t>
      </w:r>
      <w:r>
        <w:t xml:space="preserve">”</w:t>
      </w:r>
      <w:r>
        <w:t xml:space="preserve"> </w:t>
      </w:r>
      <w:r>
        <w:t xml:space="preserve">(Pā. 2-1-32); the ending of the third-case word would be dropped by</w:t>
      </w:r>
      <w:r>
        <w:t xml:space="preserve"> </w:t>
      </w:r>
      <w:r>
        <w:t xml:space="preserve">“</w:t>
      </w:r>
      <w:r>
        <w:t xml:space="preserve">supo dhātu-prātipadikayoḥ</w:t>
      </w:r>
      <w:r>
        <w:t xml:space="preserve">”</w:t>
      </w:r>
      <w:r>
        <w:t xml:space="preserve"> </w:t>
      </w:r>
      <w:r>
        <w:t xml:space="preserve">(Pā. 2-4-71) but is not dropped by</w:t>
      </w:r>
      <w:r>
        <w:t xml:space="preserve"> </w:t>
      </w:r>
      <w:r>
        <w:t xml:space="preserve">“</w:t>
      </w:r>
      <w:r>
        <w:t xml:space="preserve">tatpuruṣe kṛti bahulam</w:t>
      </w:r>
      <w:r>
        <w:t xml:space="preserve">”</w:t>
      </w:r>
      <w:r>
        <w:t xml:space="preserve"> </w:t>
      </w:r>
      <w:r>
        <w:t xml:space="preserve">(Pā. 6-3-14); the</w:t>
      </w:r>
      <w:r>
        <w:t xml:space="preserve"> </w:t>
      </w:r>
      <w:r>
        <w:rPr>
          <w:iCs/>
          <w:i/>
        </w:rPr>
        <w:t xml:space="preserve">kṛdanta</w:t>
      </w:r>
      <w:r>
        <w:t xml:space="preserve">’s second-member accent that would stand is set aside by</w:t>
      </w:r>
      <w:r>
        <w:t xml:space="preserve"> </w:t>
      </w:r>
      <w:r>
        <w:t xml:space="preserve">“</w:t>
      </w:r>
      <w:r>
        <w:t xml:space="preserve">tṛtīyā karmaṇi</w:t>
      </w:r>
      <w:r>
        <w:t xml:space="preserve">”</w:t>
      </w:r>
      <w:r>
        <w:t xml:space="preserve"> </w:t>
      </w:r>
      <w:r>
        <w:t xml:space="preserve">(Pā. 6-2-48): a third-case word followed by a</w:t>
      </w:r>
      <w:r>
        <w:t xml:space="preserve"> </w:t>
      </w:r>
      <w:r>
        <w:rPr>
          <w:iCs/>
          <w:i/>
        </w:rPr>
        <w:t xml:space="preserve">kta</w:t>
      </w:r>
      <w:r>
        <w:t xml:space="preserve">-ending word in the passive sense keeps its own accent, so the first member’s accent stands.</w:t>
      </w:r>
      <w:r>
        <w:t xml:space="preserve"> </w:t>
      </w:r>
      <w:r>
        <w:rPr>
          <w:bCs/>
          <w:b/>
        </w:rPr>
        <w:t xml:space="preserve">यशः (</w:t>
      </w:r>
      <w:r>
        <w:rPr>
          <w:iCs/>
          <w:i/>
          <w:bCs/>
          <w:b/>
        </w:rPr>
        <w:t xml:space="preserve">yaśaḥ</w:t>
      </w:r>
      <w:r>
        <w:rPr>
          <w:bCs/>
          <w:b/>
        </w:rPr>
        <w:t xml:space="preserve">)</w:t>
      </w:r>
      <w:r>
        <w:t xml:space="preserve"> </w:t>
      </w:r>
      <w:r>
        <w:t xml:space="preserve">— root</w:t>
      </w:r>
      <w:r>
        <w:t xml:space="preserve"> </w:t>
      </w:r>
      <w:r>
        <w:rPr>
          <w:iCs/>
          <w:i/>
        </w:rPr>
        <w:t xml:space="preserve">aśū vyāptau</w:t>
      </w:r>
      <w:r>
        <w:t xml:space="preserve"> </w:t>
      </w:r>
      <w:r>
        <w:t xml:space="preserve">+</w:t>
      </w:r>
      <w:r>
        <w:t xml:space="preserve"> </w:t>
      </w:r>
      <w:r>
        <w:rPr>
          <w:iCs/>
          <w:i/>
        </w:rPr>
        <w:t xml:space="preserve">asun</w:t>
      </w:r>
      <w:r>
        <w:t xml:space="preserve"> </w:t>
      </w:r>
      <w:r>
        <w:t xml:space="preserve">by</w:t>
      </w:r>
      <w:r>
        <w:t xml:space="preserve"> </w:t>
      </w:r>
      <w:r>
        <w:t xml:space="preserve">“</w:t>
      </w:r>
      <w:r>
        <w:t xml:space="preserve">aśer yuṭ ca</w:t>
      </w:r>
      <w:r>
        <w:t xml:space="preserve">”</w:t>
      </w:r>
      <w:r>
        <w:t xml:space="preserve"> </w:t>
      </w:r>
      <w:r>
        <w:t xml:space="preserve">(printed</w:t>
      </w:r>
      <w:r>
        <w:t xml:space="preserve"> </w:t>
      </w:r>
      <w:r>
        <w:t xml:space="preserve">“</w:t>
      </w:r>
      <w:r>
        <w:t xml:space="preserve">pā. sū. 4-630</w:t>
      </w:r>
      <w:r>
        <w:t xml:space="preserve">”</w:t>
      </w:r>
      <w:r>
        <w:t xml:space="preserve"> </w:t>
      </w:r>
      <w:r>
        <w:t xml:space="preserve">[as printed]; the bhāṣya gives Uṇ. 4-190), with the augment</w:t>
      </w:r>
      <w:r>
        <w:t xml:space="preserve"> </w:t>
      </w:r>
      <w:r>
        <w:rPr>
          <w:iCs/>
          <w:i/>
        </w:rPr>
        <w:t xml:space="preserve">yuṭ</w:t>
      </w:r>
      <w:r>
        <w:t xml:space="preserve">;</w:t>
      </w:r>
      <w:r>
        <w:t xml:space="preserve"> </w:t>
      </w:r>
      <w:r>
        <w:rPr>
          <w:iCs/>
          <w:i/>
        </w:rPr>
        <w:t xml:space="preserve">yaśas</w:t>
      </w:r>
      <w:r>
        <w:t xml:space="preserve">, with</w:t>
      </w:r>
      <w:r>
        <w:t xml:space="preserve"> </w:t>
      </w:r>
      <w:r>
        <w:rPr>
          <w:iCs/>
          <w:i/>
        </w:rPr>
        <w:t xml:space="preserve">su</w:t>
      </w:r>
      <w:r>
        <w:t xml:space="preserve"> </w:t>
      </w:r>
      <w:r>
        <w:t xml:space="preserve">dropped by</w:t>
      </w:r>
      <w:r>
        <w:t xml:space="preserve"> </w:t>
      </w:r>
      <w:r>
        <w:t xml:space="preserve">“</w:t>
      </w:r>
      <w:r>
        <w:t xml:space="preserve">hal-ṅyābbhyo dīrghāt sutisy apṛktaṃ hal</w:t>
      </w:r>
      <w:r>
        <w:t xml:space="preserve">”</w:t>
      </w:r>
      <w:r>
        <w:t xml:space="preserve"> </w:t>
      </w:r>
      <w:r>
        <w:t xml:space="preserve">(Pā. 6-1-68);</w:t>
      </w:r>
      <w:r>
        <w:t xml:space="preserve"> </w:t>
      </w:r>
      <w:r>
        <w:rPr>
          <w:iCs/>
          <w:i/>
        </w:rPr>
        <w:t xml:space="preserve">ru</w:t>
      </w:r>
      <w:r>
        <w:t xml:space="preserve"> </w:t>
      </w:r>
      <w:r>
        <w:t xml:space="preserve">and visarga; initial-udātta since the suffix is</w:t>
      </w:r>
      <w:r>
        <w:t xml:space="preserve"> </w:t>
      </w:r>
      <w:r>
        <w:rPr>
          <w:iCs/>
          <w:i/>
        </w:rPr>
        <w:t xml:space="preserve">nit</w:t>
      </w:r>
      <w:r>
        <w:t xml:space="preserve">.</w:t>
      </w:r>
      <w:r>
        <w:t xml:space="preserve"> </w:t>
      </w:r>
      <w:r>
        <w:rPr>
          <w:bCs/>
          <w:b/>
        </w:rPr>
        <w:t xml:space="preserve">गवाम् (</w:t>
      </w:r>
      <w:r>
        <w:rPr>
          <w:iCs/>
          <w:i/>
          <w:bCs/>
          <w:b/>
        </w:rPr>
        <w:t xml:space="preserve">gavām</w:t>
      </w:r>
      <w:r>
        <w:rPr>
          <w:bCs/>
          <w:b/>
        </w:rPr>
        <w:t xml:space="preserve">)</w:t>
      </w:r>
      <w:r>
        <w:t xml:space="preserve"> </w:t>
      </w:r>
      <w:r>
        <w:t xml:space="preserve">— stem accent; the udātta of the case-ending that</w:t>
      </w:r>
      <w:r>
        <w:t xml:space="preserve"> </w:t>
      </w:r>
      <w:r>
        <w:t xml:space="preserve">“</w:t>
      </w:r>
      <w:r>
        <w:t xml:space="preserve">sāvekācas tṛtīyādir vibhaktiḥ</w:t>
      </w:r>
      <w:r>
        <w:t xml:space="preserve">”</w:t>
      </w:r>
      <w:r>
        <w:t xml:space="preserve"> </w:t>
      </w:r>
      <w:r>
        <w:t xml:space="preserve">(Pā. 6-1-168) would give is barred by</w:t>
      </w:r>
      <w:r>
        <w:t xml:space="preserve"> </w:t>
      </w:r>
      <w:r>
        <w:t xml:space="preserve">“</w:t>
      </w:r>
      <w:r>
        <w:t xml:space="preserve">na go-śvannāvavarṇa-rāḍ-ṅkṛ-kṛd-bhyaḥ</w:t>
      </w:r>
      <w:r>
        <w:t xml:space="preserve">”</w:t>
      </w:r>
      <w:r>
        <w:t xml:space="preserve"> </w:t>
      </w:r>
      <w:r>
        <w:t xml:space="preserve">(printed</w:t>
      </w:r>
      <w:r>
        <w:t xml:space="preserve"> </w:t>
      </w:r>
      <w:r>
        <w:t xml:space="preserve">“</w:t>
      </w:r>
      <w:r>
        <w:t xml:space="preserve">1-182</w:t>
      </w:r>
      <w:r>
        <w:t xml:space="preserve">”</w:t>
      </w:r>
      <w:r>
        <w:t xml:space="preserve"> </w:t>
      </w:r>
      <w:r>
        <w:t xml:space="preserve">[sic], i.e. 6-1-182), so the ending is unaccented by</w:t>
      </w:r>
      <w:r>
        <w:t xml:space="preserve"> </w:t>
      </w:r>
      <w:r>
        <w:t xml:space="preserve">“</w:t>
      </w:r>
      <w:r>
        <w:t xml:space="preserve">anudāttau suppitau</w:t>
      </w:r>
      <w:r>
        <w:t xml:space="preserve">”</w:t>
      </w:r>
      <w:r>
        <w:t xml:space="preserve">.</w:t>
      </w:r>
      <w:r>
        <w:t xml:space="preserve"> </w:t>
      </w:r>
      <w:r>
        <w:rPr>
          <w:bCs/>
          <w:b/>
        </w:rPr>
        <w:t xml:space="preserve">वृधि (</w:t>
      </w:r>
      <w:r>
        <w:rPr>
          <w:iCs/>
          <w:i/>
          <w:bCs/>
          <w:b/>
        </w:rPr>
        <w:t xml:space="preserve">vṛdhi</w:t>
      </w:r>
      <w:r>
        <w:rPr>
          <w:bCs/>
          <w:b/>
        </w:rPr>
        <w:t xml:space="preserve">)</w:t>
      </w:r>
      <w:r>
        <w:t xml:space="preserve"> </w:t>
      </w:r>
      <w:r>
        <w:t xml:space="preserve">— root</w:t>
      </w:r>
      <w:r>
        <w:t xml:space="preserve"> </w:t>
      </w:r>
      <w:r>
        <w:rPr>
          <w:iCs/>
          <w:i/>
        </w:rPr>
        <w:t xml:space="preserve">vṛñ varaṇe</w:t>
      </w:r>
      <w:r>
        <w:t xml:space="preserve"> </w:t>
      </w:r>
      <w:r>
        <w:t xml:space="preserve">+</w:t>
      </w:r>
      <w:r>
        <w:t xml:space="preserve"> </w:t>
      </w:r>
      <w:r>
        <w:rPr>
          <w:iCs/>
          <w:i/>
        </w:rPr>
        <w:t xml:space="preserve">loṭ</w:t>
      </w:r>
      <w:r>
        <w:t xml:space="preserve"> </w:t>
      </w:r>
      <w:r>
        <w:t xml:space="preserve">second singular</w:t>
      </w:r>
      <w:r>
        <w:t xml:space="preserve"> </w:t>
      </w:r>
      <w:r>
        <w:rPr>
          <w:iCs/>
          <w:i/>
        </w:rPr>
        <w:t xml:space="preserve">sip</w:t>
      </w:r>
      <w:r>
        <w:t xml:space="preserve">;</w:t>
      </w:r>
      <w:r>
        <w:t xml:space="preserve"> </w:t>
      </w:r>
      <w:r>
        <w:rPr>
          <w:iCs/>
          <w:i/>
        </w:rPr>
        <w:t xml:space="preserve">sip</w:t>
      </w:r>
      <w:r>
        <w:t xml:space="preserve"> </w:t>
      </w:r>
      <w:r>
        <w:t xml:space="preserve">→</w:t>
      </w:r>
      <w:r>
        <w:t xml:space="preserve"> </w:t>
      </w:r>
      <w:r>
        <w:rPr>
          <w:iCs/>
          <w:i/>
        </w:rPr>
        <w:t xml:space="preserve">hi</w:t>
      </w:r>
      <w:r>
        <w:t xml:space="preserve"> </w:t>
      </w:r>
      <w:r>
        <w:t xml:space="preserve">by</w:t>
      </w:r>
      <w:r>
        <w:t xml:space="preserve"> </w:t>
      </w:r>
      <w:r>
        <w:t xml:space="preserve">“</w:t>
      </w:r>
      <w:r>
        <w:t xml:space="preserve">seryapicca</w:t>
      </w:r>
      <w:r>
        <w:t xml:space="preserve">”</w:t>
      </w:r>
      <w:r>
        <w:t xml:space="preserve">;</w:t>
      </w:r>
      <w:r>
        <w:t xml:space="preserve"> </w:t>
      </w:r>
      <w:r>
        <w:rPr>
          <w:iCs/>
          <w:i/>
        </w:rPr>
        <w:t xml:space="preserve">śnu</w:t>
      </w:r>
      <w:r>
        <w:t xml:space="preserve"> </w:t>
      </w:r>
      <w:r>
        <w:t xml:space="preserve">by</w:t>
      </w:r>
      <w:r>
        <w:t xml:space="preserve"> </w:t>
      </w:r>
      <w:r>
        <w:t xml:space="preserve">“</w:t>
      </w:r>
      <w:r>
        <w:t xml:space="preserve">svādibhyaḥ śnuḥ</w:t>
      </w:r>
      <w:r>
        <w:t xml:space="preserve">”</w:t>
      </w:r>
      <w:r>
        <w:t xml:space="preserve"> </w:t>
      </w:r>
      <w:r>
        <w:t xml:space="preserve">(Pā. 3-1-73), dropped by</w:t>
      </w:r>
      <w:r>
        <w:t xml:space="preserve"> </w:t>
      </w:r>
      <w:r>
        <w:t xml:space="preserve">“</w:t>
      </w:r>
      <w:r>
        <w:t xml:space="preserve">bahulaṃ chandasi</w:t>
      </w:r>
      <w:r>
        <w:t xml:space="preserve">”</w:t>
      </w:r>
      <w:r>
        <w:t xml:space="preserve"> </w:t>
      </w:r>
      <w:r>
        <w:t xml:space="preserve">(2-4-73, printed</w:t>
      </w:r>
      <w:r>
        <w:t xml:space="preserve"> </w:t>
      </w:r>
      <w:r>
        <w:t xml:space="preserve">“</w:t>
      </w:r>
      <w:r>
        <w:t xml:space="preserve">paṃ. sū.</w:t>
      </w:r>
      <w:r>
        <w:t xml:space="preserve">”</w:t>
      </w:r>
      <w:r>
        <w:t xml:space="preserve"> </w:t>
      </w:r>
      <w:r>
        <w:t xml:space="preserve">[sic]); after</w:t>
      </w:r>
      <w:r>
        <w:t xml:space="preserve"> </w:t>
      </w:r>
      <w:r>
        <w:rPr>
          <w:iCs/>
          <w:i/>
        </w:rPr>
        <w:t xml:space="preserve">śṛ</w:t>
      </w:r>
      <w:r>
        <w:t xml:space="preserve">,</w:t>
      </w:r>
      <w:r>
        <w:t xml:space="preserve"> </w:t>
      </w:r>
      <w:r>
        <w:rPr>
          <w:iCs/>
          <w:i/>
        </w:rPr>
        <w:t xml:space="preserve">spṛ</w:t>
      </w:r>
      <w:r>
        <w:t xml:space="preserve">,</w:t>
      </w:r>
      <w:r>
        <w:t xml:space="preserve"> </w:t>
      </w:r>
      <w:r>
        <w:rPr>
          <w:iCs/>
          <w:i/>
        </w:rPr>
        <w:t xml:space="preserve">kṛ</w:t>
      </w:r>
      <w:r>
        <w:t xml:space="preserve">,</w:t>
      </w:r>
      <w:r>
        <w:t xml:space="preserve"> </w:t>
      </w:r>
      <w:r>
        <w:rPr>
          <w:iCs/>
          <w:i/>
        </w:rPr>
        <w:t xml:space="preserve">vṛ</w:t>
      </w:r>
      <w:r>
        <w:t xml:space="preserve">,</w:t>
      </w:r>
      <w:r>
        <w:t xml:space="preserve"> </w:t>
      </w:r>
      <w:r>
        <w:rPr>
          <w:iCs/>
          <w:i/>
        </w:rPr>
        <w:t xml:space="preserve">bhṛ</w:t>
      </w:r>
      <w:r>
        <w:t xml:space="preserve"> </w:t>
      </w:r>
      <w:r>
        <w:t xml:space="preserve">in the Veda,</w:t>
      </w:r>
      <w:r>
        <w:t xml:space="preserve"> </w:t>
      </w:r>
      <w:r>
        <w:rPr>
          <w:iCs/>
          <w:i/>
        </w:rPr>
        <w:t xml:space="preserve">hi</w:t>
      </w:r>
      <w:r>
        <w:t xml:space="preserve"> </w:t>
      </w:r>
      <w:r>
        <w:t xml:space="preserve">→</w:t>
      </w:r>
      <w:r>
        <w:t xml:space="preserve"> </w:t>
      </w:r>
      <w:r>
        <w:rPr>
          <w:iCs/>
          <w:i/>
        </w:rPr>
        <w:t xml:space="preserve">dhi</w:t>
      </w:r>
      <w:r>
        <w:t xml:space="preserve"> </w:t>
      </w:r>
      <w:r>
        <w:t xml:space="preserve">(</w:t>
      </w:r>
      <w:r>
        <w:t xml:space="preserve">“</w:t>
      </w:r>
      <w:r>
        <w:t xml:space="preserve">śruśṛṇupṝkṛvṛbhyaś chandasi,</w:t>
      </w:r>
      <w:r>
        <w:t xml:space="preserve">”</w:t>
      </w:r>
      <w:r>
        <w:t xml:space="preserve"> </w:t>
      </w:r>
      <w:r>
        <w:t xml:space="preserve">Pā. 6-4-102);</w:t>
      </w:r>
      <w:r>
        <w:t xml:space="preserve"> </w:t>
      </w:r>
      <w:r>
        <w:rPr>
          <w:iCs/>
          <w:i/>
        </w:rPr>
        <w:t xml:space="preserve">hi</w:t>
      </w:r>
      <w:r>
        <w:t xml:space="preserve"> </w:t>
      </w:r>
      <w:r>
        <w:t xml:space="preserve">is</w:t>
      </w:r>
      <w:r>
        <w:t xml:space="preserve"> </w:t>
      </w:r>
      <w:r>
        <w:rPr>
          <w:iCs/>
          <w:i/>
        </w:rPr>
        <w:t xml:space="preserve">apit</w:t>
      </w:r>
      <w:r>
        <w:t xml:space="preserve"> </w:t>
      </w:r>
      <w:r>
        <w:t xml:space="preserve">so</w:t>
      </w:r>
      <w:r>
        <w:t xml:space="preserve"> </w:t>
      </w:r>
      <w:r>
        <w:rPr>
          <w:iCs/>
          <w:i/>
        </w:rPr>
        <w:t xml:space="preserve">ṅit</w:t>
      </w:r>
      <w:r>
        <w:t xml:space="preserve">, hence no</w:t>
      </w:r>
      <w:r>
        <w:t xml:space="preserve"> </w:t>
      </w:r>
      <w:r>
        <w:rPr>
          <w:iCs/>
          <w:i/>
        </w:rPr>
        <w:t xml:space="preserve">guṇa</w:t>
      </w:r>
      <w:r>
        <w:t xml:space="preserve"> </w:t>
      </w:r>
      <w:r>
        <w:t xml:space="preserve">by</w:t>
      </w:r>
      <w:r>
        <w:t xml:space="preserve"> </w:t>
      </w:r>
      <w:r>
        <w:t xml:space="preserve">“</w:t>
      </w:r>
      <w:r>
        <w:t xml:space="preserve">kṅiti ca</w:t>
      </w:r>
      <w:r>
        <w:t xml:space="preserve">”</w:t>
      </w:r>
      <w:r>
        <w:t xml:space="preserve"> </w:t>
      </w:r>
      <w:r>
        <w:t xml:space="preserve">(Pā. 1-1-5); unaccented by</w:t>
      </w:r>
      <w:r>
        <w:t xml:space="preserve"> </w:t>
      </w:r>
      <w:r>
        <w:t xml:space="preserve">“</w:t>
      </w:r>
      <w:r>
        <w:t xml:space="preserve">tiṅṅ atiṅaḥ</w:t>
      </w:r>
      <w:r>
        <w:t xml:space="preserve">”</w:t>
      </w:r>
      <w:r>
        <w:t xml:space="preserve">.</w:t>
      </w:r>
      <w:r>
        <w:t xml:space="preserve"> </w:t>
      </w:r>
      <w:r>
        <w:rPr>
          <w:bCs/>
          <w:b/>
        </w:rPr>
        <w:t xml:space="preserve">कृणुष्व (</w:t>
      </w:r>
      <w:r>
        <w:rPr>
          <w:iCs/>
          <w:i/>
          <w:bCs/>
          <w:b/>
        </w:rPr>
        <w:t xml:space="preserve">kṛṇuṣva</w:t>
      </w:r>
      <w:r>
        <w:rPr>
          <w:bCs/>
          <w:b/>
        </w:rPr>
        <w:t xml:space="preserve">)</w:t>
      </w:r>
      <w:r>
        <w:t xml:space="preserve"> </w:t>
      </w:r>
      <w:r>
        <w:t xml:space="preserve">— root</w:t>
      </w:r>
      <w:r>
        <w:t xml:space="preserve"> </w:t>
      </w:r>
      <w:r>
        <w:rPr>
          <w:iCs/>
          <w:i/>
        </w:rPr>
        <w:t xml:space="preserve">kṛvi hiṃsākaraṇayoś ca</w:t>
      </w:r>
      <w:r>
        <w:t xml:space="preserve">,</w:t>
      </w:r>
      <w:r>
        <w:t xml:space="preserve"> </w:t>
      </w:r>
      <w:r>
        <w:rPr>
          <w:iCs/>
          <w:i/>
        </w:rPr>
        <w:t xml:space="preserve">idit</w:t>
      </w:r>
      <w:r>
        <w:t xml:space="preserve"> </w:t>
      </w:r>
      <w:r>
        <w:t xml:space="preserve">so</w:t>
      </w:r>
      <w:r>
        <w:t xml:space="preserve"> </w:t>
      </w:r>
      <w:r>
        <w:rPr>
          <w:iCs/>
          <w:i/>
        </w:rPr>
        <w:t xml:space="preserve">num</w:t>
      </w:r>
      <w:r>
        <w:t xml:space="preserve"> </w:t>
      </w:r>
      <w:r>
        <w:t xml:space="preserve">by</w:t>
      </w:r>
      <w:r>
        <w:t xml:space="preserve"> </w:t>
      </w:r>
      <w:r>
        <w:t xml:space="preserve">“</w:t>
      </w:r>
      <w:r>
        <w:t xml:space="preserve">idito num dhātoḥ</w:t>
      </w:r>
      <w:r>
        <w:t xml:space="preserve">”</w:t>
      </w:r>
      <w:r>
        <w:t xml:space="preserve"> </w:t>
      </w:r>
      <w:r>
        <w:t xml:space="preserve">(Pā. 7-1-58),</w:t>
      </w:r>
      <w:r>
        <w:t xml:space="preserve"> </w:t>
      </w:r>
      <w:r>
        <w:rPr>
          <w:iCs/>
          <w:i/>
        </w:rPr>
        <w:t xml:space="preserve">num</w:t>
      </w:r>
      <w:r>
        <w:t xml:space="preserve"> </w:t>
      </w:r>
      <w:r>
        <w:t xml:space="preserve">being</w:t>
      </w:r>
      <w:r>
        <w:t xml:space="preserve"> </w:t>
      </w:r>
      <w:r>
        <w:rPr>
          <w:iCs/>
          <w:i/>
        </w:rPr>
        <w:t xml:space="preserve">mit</w:t>
      </w:r>
      <w:r>
        <w:t xml:space="preserve"> </w:t>
      </w:r>
      <w:r>
        <w:t xml:space="preserve">it stands after the last vowel (</w:t>
      </w:r>
      <w:r>
        <w:t xml:space="preserve">“</w:t>
      </w:r>
      <w:r>
        <w:t xml:space="preserve">mid aco ’ntyāt paraḥ,</w:t>
      </w:r>
      <w:r>
        <w:t xml:space="preserve">”</w:t>
      </w:r>
      <w:r>
        <w:t xml:space="preserve"> </w:t>
      </w:r>
      <w:r>
        <w:t xml:space="preserve">Pā. 1-1-47); ātmanepada by inversion;</w:t>
      </w:r>
      <w:r>
        <w:t xml:space="preserve"> </w:t>
      </w:r>
      <w:r>
        <w:rPr>
          <w:iCs/>
          <w:i/>
        </w:rPr>
        <w:t xml:space="preserve">loṭ</w:t>
      </w:r>
      <w:r>
        <w:t xml:space="preserve"> </w:t>
      </w:r>
      <w:r>
        <w:t xml:space="preserve">with middle-second</w:t>
      </w:r>
      <w:r>
        <w:t xml:space="preserve"> </w:t>
      </w:r>
      <w:r>
        <w:rPr>
          <w:iCs/>
          <w:i/>
        </w:rPr>
        <w:t xml:space="preserve">thās</w:t>
      </w:r>
      <w:r>
        <w:t xml:space="preserve"> </w:t>
      </w:r>
      <w:r>
        <w:t xml:space="preserve">→</w:t>
      </w:r>
      <w:r>
        <w:t xml:space="preserve"> </w:t>
      </w:r>
      <w:r>
        <w:rPr>
          <w:iCs/>
          <w:i/>
        </w:rPr>
        <w:t xml:space="preserve">se</w:t>
      </w:r>
      <w:r>
        <w:t xml:space="preserve"> </w:t>
      </w:r>
      <w:r>
        <w:t xml:space="preserve">(Pā. 3-4-80),</w:t>
      </w:r>
      <w:r>
        <w:t xml:space="preserve"> </w:t>
      </w:r>
      <w:r>
        <w:rPr>
          <w:iCs/>
          <w:i/>
        </w:rPr>
        <w:t xml:space="preserve">se</w:t>
      </w:r>
      <w:r>
        <w:t xml:space="preserve"> </w:t>
      </w:r>
      <w:r>
        <w:t xml:space="preserve">→</w:t>
      </w:r>
      <w:r>
        <w:t xml:space="preserve"> </w:t>
      </w:r>
      <w:r>
        <w:rPr>
          <w:iCs/>
          <w:i/>
        </w:rPr>
        <w:t xml:space="preserve">sva</w:t>
      </w:r>
      <w:r>
        <w:t xml:space="preserve"> </w:t>
      </w:r>
      <w:r>
        <w:t xml:space="preserve">(Pā. 3-4-91);</w:t>
      </w:r>
      <w:r>
        <w:t xml:space="preserve"> </w:t>
      </w:r>
      <w:r>
        <w:rPr>
          <w:iCs/>
          <w:i/>
        </w:rPr>
        <w:t xml:space="preserve">kṛnv</w:t>
      </w:r>
      <w:r>
        <w:t xml:space="preserve"> </w:t>
      </w:r>
      <w:r>
        <w:t xml:space="preserve">+</w:t>
      </w:r>
      <w:r>
        <w:t xml:space="preserve"> </w:t>
      </w:r>
      <w:r>
        <w:rPr>
          <w:iCs/>
          <w:i/>
        </w:rPr>
        <w:t xml:space="preserve">sva</w:t>
      </w:r>
      <w:r>
        <w:t xml:space="preserve">: the</w:t>
      </w:r>
      <w:r>
        <w:t xml:space="preserve"> </w:t>
      </w:r>
      <w:r>
        <w:rPr>
          <w:iCs/>
          <w:i/>
        </w:rPr>
        <w:t xml:space="preserve">śap</w:t>
      </w:r>
      <w:r>
        <w:t xml:space="preserve"> </w:t>
      </w:r>
      <w:r>
        <w:t xml:space="preserve">arising by</w:t>
      </w:r>
      <w:r>
        <w:t xml:space="preserve"> </w:t>
      </w:r>
      <w:r>
        <w:t xml:space="preserve">“</w:t>
      </w:r>
      <w:r>
        <w:t xml:space="preserve">kartari śap</w:t>
      </w:r>
      <w:r>
        <w:t xml:space="preserve">”</w:t>
      </w:r>
      <w:r>
        <w:t xml:space="preserve"> </w:t>
      </w:r>
      <w:r>
        <w:t xml:space="preserve">(Pā. 3-1-68) is set aside by</w:t>
      </w:r>
      <w:r>
        <w:t xml:space="preserve"> </w:t>
      </w:r>
      <w:r>
        <w:t xml:space="preserve">“</w:t>
      </w:r>
      <w:r>
        <w:t xml:space="preserve">dhinvikṛṇvyor a ca</w:t>
      </w:r>
      <w:r>
        <w:t xml:space="preserve">”</w:t>
      </w:r>
      <w:r>
        <w:t xml:space="preserve"> </w:t>
      </w:r>
      <w:r>
        <w:t xml:space="preserve">(Pā. 3-1-80): after</w:t>
      </w:r>
      <w:r>
        <w:t xml:space="preserve"> </w:t>
      </w:r>
      <w:r>
        <w:rPr>
          <w:iCs/>
          <w:i/>
        </w:rPr>
        <w:t xml:space="preserve">dhivi</w:t>
      </w:r>
      <w:r>
        <w:t xml:space="preserve"> </w:t>
      </w:r>
      <w:r>
        <w:t xml:space="preserve">and</w:t>
      </w:r>
      <w:r>
        <w:t xml:space="preserve"> </w:t>
      </w:r>
      <w:r>
        <w:rPr>
          <w:iCs/>
          <w:i/>
        </w:rPr>
        <w:t xml:space="preserve">kṛvi</w:t>
      </w:r>
      <w:r>
        <w:t xml:space="preserve"> </w:t>
      </w:r>
      <w:r>
        <w:t xml:space="preserve">— both</w:t>
      </w:r>
      <w:r>
        <w:t xml:space="preserve"> </w:t>
      </w:r>
      <w:r>
        <w:rPr>
          <w:iCs/>
          <w:i/>
        </w:rPr>
        <w:t xml:space="preserve">bhvādi</w:t>
      </w:r>
      <w:r>
        <w:t xml:space="preserve"> </w:t>
      </w:r>
      <w:r>
        <w:t xml:space="preserve">(first-class) roots, though Bopadeva takes them as</w:t>
      </w:r>
      <w:r>
        <w:t xml:space="preserve"> </w:t>
      </w:r>
      <w:r>
        <w:rPr>
          <w:iCs/>
          <w:i/>
        </w:rPr>
        <w:t xml:space="preserve">tanādi</w:t>
      </w:r>
      <w:r>
        <w:t xml:space="preserve">, in whose view the</w:t>
      </w:r>
      <w:r>
        <w:t xml:space="preserve"> </w:t>
      </w:r>
      <w:r>
        <w:rPr>
          <w:iCs/>
          <w:i/>
        </w:rPr>
        <w:t xml:space="preserve">ca</w:t>
      </w:r>
      <w:r>
        <w:t xml:space="preserve"> </w:t>
      </w:r>
      <w:r>
        <w:t xml:space="preserve">of the sūtra is unnecessary — the</w:t>
      </w:r>
      <w:r>
        <w:t xml:space="preserve"> </w:t>
      </w:r>
      <w:r>
        <w:rPr>
          <w:iCs/>
          <w:i/>
        </w:rPr>
        <w:t xml:space="preserve">u</w:t>
      </w:r>
      <w:r>
        <w:t xml:space="preserve">-vikaraṇa arises and the final of the root is changed to</w:t>
      </w:r>
      <w:r>
        <w:t xml:space="preserve"> </w:t>
      </w:r>
      <w:r>
        <w:rPr>
          <w:iCs/>
          <w:i/>
        </w:rPr>
        <w:t xml:space="preserve">a</w:t>
      </w:r>
      <w:r>
        <w:t xml:space="preserve">, so</w:t>
      </w:r>
      <w:r>
        <w:t xml:space="preserve"> </w:t>
      </w:r>
      <w:r>
        <w:rPr>
          <w:iCs/>
          <w:i/>
        </w:rPr>
        <w:t xml:space="preserve">kṛṇ</w:t>
      </w:r>
      <w:r>
        <w:t xml:space="preserve"> </w:t>
      </w:r>
      <w:r>
        <w:t xml:space="preserve">+</w:t>
      </w:r>
      <w:r>
        <w:t xml:space="preserve"> </w:t>
      </w:r>
      <w:r>
        <w:rPr>
          <w:iCs/>
          <w:i/>
        </w:rPr>
        <w:t xml:space="preserve">u</w:t>
      </w:r>
      <w:r>
        <w:t xml:space="preserve"> </w:t>
      </w:r>
      <w:r>
        <w:t xml:space="preserve">+</w:t>
      </w:r>
      <w:r>
        <w:t xml:space="preserve"> </w:t>
      </w:r>
      <w:r>
        <w:rPr>
          <w:iCs/>
          <w:i/>
        </w:rPr>
        <w:t xml:space="preserve">sva</w:t>
      </w:r>
      <w:r>
        <w:t xml:space="preserve"> </w:t>
      </w:r>
      <w:r>
        <w:t xml:space="preserve">(</w:t>
      </w:r>
      <w:r>
        <w:t xml:space="preserve">“</w:t>
      </w:r>
      <w:r>
        <w:t xml:space="preserve">kṛn + a + u + sva</w:t>
      </w:r>
      <w:r>
        <w:t xml:space="preserve">”</w:t>
      </w:r>
      <w:r>
        <w:t xml:space="preserve">);</w:t>
      </w:r>
      <w:r>
        <w:t xml:space="preserve"> </w:t>
      </w:r>
      <w:r>
        <w:t xml:space="preserve">“</w:t>
      </w:r>
      <w:r>
        <w:t xml:space="preserve">ato lopaḥ</w:t>
      </w:r>
      <w:r>
        <w:t xml:space="preserve">”</w:t>
      </w:r>
      <w:r>
        <w:t xml:space="preserve"> </w:t>
      </w:r>
      <w:r>
        <w:t xml:space="preserve">(Pā. 6-4-48) drops the</w:t>
      </w:r>
      <w:r>
        <w:t xml:space="preserve"> </w:t>
      </w:r>
      <w:r>
        <w:rPr>
          <w:iCs/>
          <w:i/>
        </w:rPr>
        <w:t xml:space="preserve">a</w:t>
      </w:r>
      <w:r>
        <w:t xml:space="preserve"> </w:t>
      </w:r>
      <w:r>
        <w:t xml:space="preserve">before the</w:t>
      </w:r>
      <w:r>
        <w:t xml:space="preserve"> </w:t>
      </w:r>
      <w:r>
        <w:rPr>
          <w:iCs/>
          <w:i/>
        </w:rPr>
        <w:t xml:space="preserve">ārdhadhātuka</w:t>
      </w:r>
      <w:r>
        <w:t xml:space="preserve">-like</w:t>
      </w:r>
      <w:r>
        <w:t xml:space="preserve"> </w:t>
      </w:r>
      <w:r>
        <w:rPr>
          <w:iCs/>
          <w:i/>
        </w:rPr>
        <w:t xml:space="preserve">u</w:t>
      </w:r>
      <w:r>
        <w:t xml:space="preserve">; the</w:t>
      </w:r>
      <w:r>
        <w:t xml:space="preserve"> </w:t>
      </w:r>
      <w:r>
        <w:rPr>
          <w:iCs/>
          <w:i/>
        </w:rPr>
        <w:t xml:space="preserve">laghūpadha-guṇa</w:t>
      </w:r>
      <w:r>
        <w:t xml:space="preserve"> </w:t>
      </w:r>
      <w:r>
        <w:t xml:space="preserve">of</w:t>
      </w:r>
      <w:r>
        <w:t xml:space="preserve"> </w:t>
      </w:r>
      <w:r>
        <w:rPr>
          <w:iCs/>
          <w:i/>
        </w:rPr>
        <w:t xml:space="preserve">kṛn</w:t>
      </w:r>
      <w:r>
        <w:t xml:space="preserve"> </w:t>
      </w:r>
      <w:r>
        <w:t xml:space="preserve">by</w:t>
      </w:r>
      <w:r>
        <w:t xml:space="preserve"> </w:t>
      </w:r>
      <w:r>
        <w:t xml:space="preserve">“</w:t>
      </w:r>
      <w:r>
        <w:t xml:space="preserve">pugantalaghūpadhasya ca</w:t>
      </w:r>
      <w:r>
        <w:t xml:space="preserve">”</w:t>
      </w:r>
      <w:r>
        <w:t xml:space="preserve"> </w:t>
      </w:r>
      <w:r>
        <w:t xml:space="preserve">(Pā. 7-3-86) is argued away by</w:t>
      </w:r>
      <w:r>
        <w:t xml:space="preserve"> </w:t>
      </w:r>
      <w:r>
        <w:t xml:space="preserve">“</w:t>
      </w:r>
      <w:r>
        <w:t xml:space="preserve">acaḥ parasmin pūrvavidhau</w:t>
      </w:r>
      <w:r>
        <w:t xml:space="preserve">”</w:t>
      </w:r>
      <w:r>
        <w:t xml:space="preserve"> </w:t>
      </w:r>
      <w:r>
        <w:t xml:space="preserve">(Pā. 1-1-57): the</w:t>
      </w:r>
      <w:r>
        <w:t xml:space="preserve"> </w:t>
      </w:r>
      <w:r>
        <w:rPr>
          <w:iCs/>
          <w:i/>
        </w:rPr>
        <w:t xml:space="preserve">a</w:t>
      </w:r>
      <w:r>
        <w:t xml:space="preserve">-substitute counts as the original for the purposes of rules applying to what precedes; so the penultimate</w:t>
      </w:r>
      <w:r>
        <w:t xml:space="preserve"> </w:t>
      </w:r>
      <w:r>
        <w:rPr>
          <w:iCs/>
          <w:i/>
        </w:rPr>
        <w:t xml:space="preserve">ṛ</w:t>
      </w:r>
      <w:r>
        <w:t xml:space="preserve"> </w:t>
      </w:r>
      <w:r>
        <w:t xml:space="preserve">is treated as before an</w:t>
      </w:r>
      <w:r>
        <w:t xml:space="preserve"> </w:t>
      </w:r>
      <w:r>
        <w:rPr>
          <w:iCs/>
          <w:i/>
        </w:rPr>
        <w:t xml:space="preserve">a</w:t>
      </w:r>
      <w:r>
        <w:t xml:space="preserve">… and no</w:t>
      </w:r>
      <w:r>
        <w:t xml:space="preserve"> </w:t>
      </w:r>
      <w:r>
        <w:rPr>
          <w:iCs/>
          <w:i/>
        </w:rPr>
        <w:t xml:space="preserve">guṇa</w:t>
      </w:r>
      <w:r>
        <w:t xml:space="preserve"> </w:t>
      </w:r>
      <w:r>
        <w:t xml:space="preserve">arises;</w:t>
      </w:r>
      <w:r>
        <w:t xml:space="preserve"> </w:t>
      </w:r>
      <w:r>
        <w:rPr>
          <w:iCs/>
          <w:i/>
        </w:rPr>
        <w:t xml:space="preserve">n</w:t>
      </w:r>
      <w:r>
        <w:t xml:space="preserve"> </w:t>
      </w:r>
      <w:r>
        <w:t xml:space="preserve">→</w:t>
      </w:r>
      <w:r>
        <w:t xml:space="preserve"> </w:t>
      </w:r>
      <w:r>
        <w:rPr>
          <w:iCs/>
          <w:i/>
        </w:rPr>
        <w:t xml:space="preserve">ṇ</w:t>
      </w:r>
      <w:r>
        <w:t xml:space="preserve"> </w:t>
      </w:r>
      <w:r>
        <w:t xml:space="preserve">by the vārttika</w:t>
      </w:r>
      <w:r>
        <w:t xml:space="preserve"> </w:t>
      </w:r>
      <w:r>
        <w:t xml:space="preserve">“</w:t>
      </w:r>
      <w:r>
        <w:t xml:space="preserve">ṛvarṇān nasya ṇatvaṃ vācyam</w:t>
      </w:r>
      <w:r>
        <w:t xml:space="preserve">”</w:t>
      </w:r>
      <w:r>
        <w:t xml:space="preserve">,</w:t>
      </w:r>
      <w:r>
        <w:t xml:space="preserve"> </w:t>
      </w:r>
      <w:r>
        <w:rPr>
          <w:iCs/>
          <w:i/>
        </w:rPr>
        <w:t xml:space="preserve">s</w:t>
      </w:r>
      <w:r>
        <w:t xml:space="preserve"> </w:t>
      </w:r>
      <w:r>
        <w:t xml:space="preserve">→</w:t>
      </w:r>
      <w:r>
        <w:t xml:space="preserve"> </w:t>
      </w:r>
      <w:r>
        <w:rPr>
          <w:iCs/>
          <w:i/>
        </w:rPr>
        <w:t xml:space="preserve">ṣ</w:t>
      </w:r>
      <w:r>
        <w:t xml:space="preserve"> </w:t>
      </w:r>
      <w:r>
        <w:t xml:space="preserve">by</w:t>
      </w:r>
      <w:r>
        <w:t xml:space="preserve"> </w:t>
      </w:r>
      <w:r>
        <w:t xml:space="preserve">“</w:t>
      </w:r>
      <w:r>
        <w:t xml:space="preserve">ādeśapratyayayoḥ</w:t>
      </w:r>
      <w:r>
        <w:t xml:space="preserve">”</w:t>
      </w:r>
      <w:r>
        <w:t xml:space="preserve">; the maxim</w:t>
      </w:r>
      <w:r>
        <w:t xml:space="preserve"> </w:t>
      </w:r>
      <w:r>
        <w:t xml:space="preserve">“</w:t>
      </w:r>
      <w:r>
        <w:t xml:space="preserve">satiśiṣṭasvarabalīyastvam anyatra vikaraṇebhyaḥ</w:t>
      </w:r>
      <w:r>
        <w:t xml:space="preserve">”</w:t>
      </w:r>
      <w:r>
        <w:t xml:space="preserve"> </w:t>
      </w:r>
      <w:r>
        <w:t xml:space="preserve">says that a later accent is stronger except for vikaraṇas, so the accent of the vikaraṇa</w:t>
      </w:r>
      <w:r>
        <w:t xml:space="preserve"> </w:t>
      </w:r>
      <w:r>
        <w:rPr>
          <w:iCs/>
          <w:i/>
        </w:rPr>
        <w:t xml:space="preserve">u</w:t>
      </w:r>
      <w:r>
        <w:t xml:space="preserve"> </w:t>
      </w:r>
      <w:r>
        <w:t xml:space="preserve">does not prevail and the</w:t>
      </w:r>
      <w:r>
        <w:t xml:space="preserve"> </w:t>
      </w:r>
      <w:r>
        <w:rPr>
          <w:iCs/>
          <w:i/>
        </w:rPr>
        <w:t xml:space="preserve">tiṅ</w:t>
      </w:r>
      <w:r>
        <w:t xml:space="preserve"> </w:t>
      </w:r>
      <w:r>
        <w:rPr>
          <w:iCs/>
          <w:i/>
        </w:rPr>
        <w:t xml:space="preserve">sva</w:t>
      </w:r>
      <w:r>
        <w:t xml:space="preserve"> </w:t>
      </w:r>
      <w:r>
        <w:t xml:space="preserve">is initial-udātta by</w:t>
      </w:r>
      <w:r>
        <w:t xml:space="preserve"> </w:t>
      </w:r>
      <w:r>
        <w:t xml:space="preserve">“</w:t>
      </w:r>
      <w:r>
        <w:t xml:space="preserve">ādyudāttaś ca</w:t>
      </w:r>
      <w:r>
        <w:t xml:space="preserve">”</w:t>
      </w:r>
      <w:r>
        <w:t xml:space="preserve">, the rest unaccented.</w:t>
      </w:r>
      <w:r>
        <w:t xml:space="preserve"> </w:t>
      </w:r>
      <w:r>
        <w:rPr>
          <w:bCs/>
          <w:b/>
        </w:rPr>
        <w:t xml:space="preserve">राधः (</w:t>
      </w:r>
      <w:r>
        <w:rPr>
          <w:iCs/>
          <w:i/>
          <w:bCs/>
          <w:b/>
        </w:rPr>
        <w:t xml:space="preserve">rādhaḥ</w:t>
      </w:r>
      <w:r>
        <w:rPr>
          <w:bCs/>
          <w:b/>
        </w:rPr>
        <w:t xml:space="preserve">)</w:t>
      </w:r>
      <w:r>
        <w:t xml:space="preserve"> </w:t>
      </w:r>
      <w:r>
        <w:t xml:space="preserve">—</w:t>
      </w:r>
      <w:r>
        <w:t xml:space="preserve"> </w:t>
      </w:r>
      <w:r>
        <w:t xml:space="preserve">“</w:t>
      </w:r>
      <w:r>
        <w:t xml:space="preserve">sarvadhātubhyo ’sun</w:t>
      </w:r>
      <w:r>
        <w:t xml:space="preserve">”</w:t>
      </w:r>
      <w:r>
        <w:t xml:space="preserve"> </w:t>
      </w:r>
      <w:r>
        <w:t xml:space="preserve">(Uṇ. 4-628 [as printed]); initial-udātta since</w:t>
      </w:r>
      <w:r>
        <w:t xml:space="preserve"> </w:t>
      </w:r>
      <w:r>
        <w:rPr>
          <w:iCs/>
          <w:i/>
        </w:rPr>
        <w:t xml:space="preserve">nit</w:t>
      </w:r>
      <w:r>
        <w:t xml:space="preserve">.</w:t>
      </w:r>
      <w:r>
        <w:t xml:space="preserve"> </w:t>
      </w:r>
      <w:r>
        <w:rPr>
          <w:bCs/>
          <w:b/>
        </w:rPr>
        <w:t xml:space="preserve">अद्रिवः (</w:t>
      </w:r>
      <w:r>
        <w:rPr>
          <w:iCs/>
          <w:i/>
          <w:bCs/>
          <w:b/>
        </w:rPr>
        <w:t xml:space="preserve">adrivaḥ</w:t>
      </w:r>
      <w:r>
        <w:rPr>
          <w:bCs/>
          <w:b/>
        </w:rPr>
        <w:t xml:space="preserve">)</w:t>
      </w:r>
      <w:r>
        <w:t xml:space="preserve"> </w:t>
      </w:r>
      <w:r>
        <w:t xml:space="preserve">—</w:t>
      </w:r>
      <w:r>
        <w:t xml:space="preserve"> </w:t>
      </w:r>
      <w:r>
        <w:t xml:space="preserve">“</w:t>
      </w:r>
      <w:r>
        <w:t xml:space="preserve">adriḥ asya asti</w:t>
      </w:r>
      <w:r>
        <w:t xml:space="preserve">”</w:t>
      </w:r>
      <w:r>
        <w:t xml:space="preserve">:</w:t>
      </w:r>
      <w:r>
        <w:t xml:space="preserve"> </w:t>
      </w:r>
      <w:r>
        <w:rPr>
          <w:iCs/>
          <w:i/>
        </w:rPr>
        <w:t xml:space="preserve">matup</w:t>
      </w:r>
      <w:r>
        <w:t xml:space="preserve"> </w:t>
      </w:r>
      <w:r>
        <w:t xml:space="preserve">by</w:t>
      </w:r>
      <w:r>
        <w:t xml:space="preserve"> </w:t>
      </w:r>
      <w:r>
        <w:t xml:space="preserve">“</w:t>
      </w:r>
      <w:r>
        <w:t xml:space="preserve">tad asyāsty asminn iti matup</w:t>
      </w:r>
      <w:r>
        <w:t xml:space="preserve">”</w:t>
      </w:r>
      <w:r>
        <w:t xml:space="preserve"> </w:t>
      </w:r>
      <w:r>
        <w:t xml:space="preserve">(Pā. 5-2-94);</w:t>
      </w:r>
      <w:r>
        <w:t xml:space="preserve"> </w:t>
      </w:r>
      <w:r>
        <w:rPr>
          <w:iCs/>
          <w:i/>
        </w:rPr>
        <w:t xml:space="preserve">m</w:t>
      </w:r>
      <w:r>
        <w:t xml:space="preserve"> </w:t>
      </w:r>
      <w:r>
        <w:t xml:space="preserve">→</w:t>
      </w:r>
      <w:r>
        <w:t xml:space="preserve"> </w:t>
      </w:r>
      <w:r>
        <w:rPr>
          <w:iCs/>
          <w:i/>
        </w:rPr>
        <w:t xml:space="preserve">v</w:t>
      </w:r>
      <w:r>
        <w:t xml:space="preserve"> </w:t>
      </w:r>
      <w:r>
        <w:t xml:space="preserve">in the Veda after a word ending in</w:t>
      </w:r>
      <w:r>
        <w:t xml:space="preserve"> </w:t>
      </w:r>
      <w:r>
        <w:rPr>
          <w:iCs/>
          <w:i/>
        </w:rPr>
        <w:t xml:space="preserve">i</w:t>
      </w:r>
      <w:r>
        <w:t xml:space="preserve"> </w:t>
      </w:r>
      <w:r>
        <w:t xml:space="preserve">or</w:t>
      </w:r>
      <w:r>
        <w:t xml:space="preserve"> </w:t>
      </w:r>
      <w:r>
        <w:rPr>
          <w:iCs/>
          <w:i/>
        </w:rPr>
        <w:t xml:space="preserve">r</w:t>
      </w:r>
      <w:r>
        <w:t xml:space="preserve"> </w:t>
      </w:r>
      <w:r>
        <w:t xml:space="preserve">(</w:t>
      </w:r>
      <w:r>
        <w:t xml:space="preserve">“</w:t>
      </w:r>
      <w:r>
        <w:t xml:space="preserve">chandasīraḥ,</w:t>
      </w:r>
      <w:r>
        <w:t xml:space="preserve">”</w:t>
      </w:r>
      <w:r>
        <w:t xml:space="preserve"> </w:t>
      </w:r>
      <w:r>
        <w:t xml:space="preserve">Pā. 8-2-15);</w:t>
      </w:r>
      <w:r>
        <w:t xml:space="preserve"> </w:t>
      </w:r>
      <w:r>
        <w:rPr>
          <w:iCs/>
          <w:i/>
        </w:rPr>
        <w:t xml:space="preserve">adri-vat</w:t>
      </w:r>
      <w:r>
        <w:t xml:space="preserve"> </w:t>
      </w:r>
      <w:r>
        <w:t xml:space="preserve">+ vocative</w:t>
      </w:r>
      <w:r>
        <w:t xml:space="preserve"> </w:t>
      </w:r>
      <w:r>
        <w:rPr>
          <w:iCs/>
          <w:i/>
        </w:rPr>
        <w:t xml:space="preserve">su</w:t>
      </w:r>
      <w:r>
        <w:t xml:space="preserve">; the</w:t>
      </w:r>
      <w:r>
        <w:t xml:space="preserve"> </w:t>
      </w:r>
      <w:r>
        <w:rPr>
          <w:iCs/>
          <w:i/>
        </w:rPr>
        <w:t xml:space="preserve">num</w:t>
      </w:r>
      <w:r>
        <w:t xml:space="preserve"> </w:t>
      </w:r>
      <w:r>
        <w:t xml:space="preserve">of</w:t>
      </w:r>
      <w:r>
        <w:t xml:space="preserve"> </w:t>
      </w:r>
      <w:r>
        <w:t xml:space="preserve">“</w:t>
      </w:r>
      <w:r>
        <w:t xml:space="preserve">ugidacāṃ sarvanāmasthāne ’dhātoḥ</w:t>
      </w:r>
      <w:r>
        <w:t xml:space="preserve">”</w:t>
      </w:r>
      <w:r>
        <w:t xml:space="preserve"> </w:t>
      </w:r>
      <w:r>
        <w:t xml:space="preserve">(Pā. 7-1-70) arises after the last vowel by</w:t>
      </w:r>
      <w:r>
        <w:t xml:space="preserve"> </w:t>
      </w:r>
      <w:r>
        <w:t xml:space="preserve">“</w:t>
      </w:r>
      <w:r>
        <w:t xml:space="preserve">mid aco ’ntyāt paraḥ</w:t>
      </w:r>
      <w:r>
        <w:t xml:space="preserve">”</w:t>
      </w:r>
      <w:r>
        <w:t xml:space="preserve">; then (p. 422, end) the</w:t>
      </w:r>
      <w:r>
        <w:t xml:space="preserve"> </w:t>
      </w:r>
      <w:r>
        <w:rPr>
          <w:iCs/>
          <w:i/>
        </w:rPr>
        <w:t xml:space="preserve">t</w:t>
      </w:r>
      <w:r>
        <w:t xml:space="preserve"> </w:t>
      </w:r>
      <w:r>
        <w:t xml:space="preserve">is dropped by</w:t>
      </w:r>
      <w:r>
        <w:t xml:space="preserve"> </w:t>
      </w:r>
      <w:r>
        <w:t xml:space="preserve">“</w:t>
      </w:r>
      <w:r>
        <w:t xml:space="preserve">hal-ṅyābbhyaḥ…</w:t>
      </w:r>
      <w:r>
        <w:t xml:space="preserve">”</w:t>
      </w:r>
      <w:r>
        <w:t xml:space="preserve"> </w:t>
      </w:r>
      <w:r>
        <w:t xml:space="preserve">and</w:t>
      </w:r>
      <w:r>
        <w:t xml:space="preserve"> </w:t>
      </w:r>
      <w:r>
        <w:t xml:space="preserve">“</w:t>
      </w:r>
      <w:r>
        <w:t xml:space="preserve">saṃyogāntasya lopaḥ,</w:t>
      </w:r>
      <w:r>
        <w:t xml:space="preserve">”</w:t>
      </w:r>
      <w:r>
        <w:t xml:space="preserve"> </w:t>
      </w:r>
      <w:r>
        <w:t xml:space="preserve">the</w:t>
      </w:r>
      <w:r>
        <w:t xml:space="preserve"> </w:t>
      </w:r>
      <w:r>
        <w:rPr>
          <w:iCs/>
          <w:i/>
        </w:rPr>
        <w:t xml:space="preserve">s</w:t>
      </w:r>
      <w:r>
        <w:t xml:space="preserve"> </w:t>
      </w:r>
      <w:r>
        <w:t xml:space="preserve">becomes</w:t>
      </w:r>
      <w:r>
        <w:t xml:space="preserve"> </w:t>
      </w:r>
      <w:r>
        <w:rPr>
          <w:iCs/>
          <w:i/>
        </w:rPr>
        <w:t xml:space="preserve">ru</w:t>
      </w:r>
      <w:r>
        <w:t xml:space="preserve"> </w:t>
      </w:r>
      <w:r>
        <w:t xml:space="preserve">by</w:t>
      </w:r>
      <w:r>
        <w:t xml:space="preserve"> </w:t>
      </w:r>
      <w:r>
        <w:t xml:space="preserve">“</w:t>
      </w:r>
      <w:r>
        <w:t xml:space="preserve">matuvasor ru sambuddhau chandasi</w:t>
      </w:r>
      <w:r>
        <w:t xml:space="preserve">”</w:t>
      </w:r>
      <w:r>
        <w:t xml:space="preserve"> </w:t>
      </w:r>
      <w:r>
        <w:t xml:space="preserve">(Pā. 8-3-1), then visarga by</w:t>
      </w:r>
      <w:r>
        <w:t xml:space="preserve"> </w:t>
      </w:r>
      <w:r>
        <w:t xml:space="preserve">“</w:t>
      </w:r>
      <w:r>
        <w:t xml:space="preserve">kharavasānayor visarjanīyaḥ</w:t>
      </w:r>
      <w:r>
        <w:t xml:space="preserve">”</w:t>
      </w:r>
      <w:r>
        <w:t xml:space="preserve"> </w:t>
      </w:r>
      <w:r>
        <w:t xml:space="preserve">(Pā. 8-3-15); a vocative, unaccented by</w:t>
      </w:r>
      <w:r>
        <w:t xml:space="preserve"> </w:t>
      </w:r>
      <w:r>
        <w:t xml:space="preserve">“</w:t>
      </w:r>
      <w:r>
        <w:t xml:space="preserve">āmantritasya ca</w:t>
      </w:r>
      <w:r>
        <w:t xml:space="preserve">”</w:t>
      </w:r>
      <w:r>
        <w:t xml:space="preserve"> </w:t>
      </w:r>
      <w:r>
        <w:t xml:space="preserve">(Pā. 8-1-19).</w:t>
      </w:r>
      <w:r>
        <w:t xml:space="preserve"> </w:t>
      </w:r>
      <w:r>
        <w:rPr>
          <w:iCs/>
          <w:i/>
        </w:rPr>
        <w:t xml:space="preserve">(The scholastic arguments are characterized in outline, not rendered line by line. The last lines of this grammar run onto the top of p. 423: the</w:t>
      </w:r>
      <w:r>
        <w:t xml:space="preserve"> </w:t>
      </w:r>
      <w:r>
        <w:t xml:space="preserve">su</w:t>
      </w:r>
      <w:r>
        <w:t xml:space="preserve"> </w:t>
      </w:r>
      <w:r>
        <w:rPr>
          <w:iCs/>
          <w:i/>
        </w:rPr>
        <w:t xml:space="preserve">is dropped by Pā. 6-1-68, the</w:t>
      </w:r>
      <w:r>
        <w:t xml:space="preserve"> </w:t>
      </w:r>
      <w:r>
        <w:t xml:space="preserve">t</w:t>
      </w:r>
      <w:r>
        <w:t xml:space="preserve"> </w:t>
      </w:r>
      <w:r>
        <w:rPr>
          <w:iCs/>
          <w:i/>
        </w:rPr>
        <w:t xml:space="preserve">of</w:t>
      </w:r>
      <w:r>
        <w:t xml:space="preserve"> </w:t>
      </w:r>
      <w:r>
        <w:t xml:space="preserve">adrivant</w:t>
      </w:r>
      <w:r>
        <w:t xml:space="preserve"> </w:t>
      </w:r>
      <w:r>
        <w:rPr>
          <w:iCs/>
          <w:i/>
        </w:rPr>
        <w:t xml:space="preserve">as the end of a conjunct (Pā. 8-2-23); the</w:t>
      </w:r>
      <w:r>
        <w:t xml:space="preserve"> </w:t>
      </w:r>
      <w:r>
        <w:t xml:space="preserve">n</w:t>
      </w:r>
      <w:r>
        <w:t xml:space="preserve"> </w:t>
      </w:r>
      <w:r>
        <w:rPr>
          <w:iCs/>
          <w:i/>
        </w:rPr>
        <w:t xml:space="preserve">is not dropped by</w:t>
      </w:r>
      <w:r>
        <w:rPr>
          <w:iCs/>
          <w:i/>
        </w:rPr>
        <w:t xml:space="preserve"> </w:t>
      </w:r>
      <w:r>
        <w:rPr>
          <w:iCs/>
          <w:i/>
        </w:rPr>
        <w:t xml:space="preserve">“</w:t>
      </w:r>
      <w:r>
        <w:rPr>
          <w:iCs/>
          <w:i/>
        </w:rPr>
        <w:t xml:space="preserve">nalopaḥ prātipadikāntasya</w:t>
      </w:r>
      <w:r>
        <w:rPr>
          <w:iCs/>
          <w:i/>
        </w:rPr>
        <w:t xml:space="preserve">”</w:t>
      </w:r>
      <w:r>
        <w:rPr>
          <w:iCs/>
          <w:i/>
        </w:rPr>
        <w:t xml:space="preserve"> </w:t>
      </w:r>
      <w:r>
        <w:rPr>
          <w:iCs/>
          <w:i/>
        </w:rPr>
        <w:t xml:space="preserve">(Pā. 8-2-7), because by</w:t>
      </w:r>
      <w:r>
        <w:rPr>
          <w:iCs/>
          <w:i/>
        </w:rPr>
        <w:t xml:space="preserve"> </w:t>
      </w:r>
      <w:r>
        <w:rPr>
          <w:iCs/>
          <w:i/>
        </w:rPr>
        <w:t xml:space="preserve">“</w:t>
      </w:r>
      <w:r>
        <w:rPr>
          <w:iCs/>
          <w:i/>
        </w:rPr>
        <w:t xml:space="preserve">pūrvatrāsiddham</w:t>
      </w:r>
      <w:r>
        <w:rPr>
          <w:iCs/>
          <w:i/>
        </w:rPr>
        <w:t xml:space="preserve">”</w:t>
      </w:r>
      <w:r>
        <w:rPr>
          <w:iCs/>
          <w:i/>
        </w:rPr>
        <w:t xml:space="preserve"> </w:t>
      </w:r>
      <w:r>
        <w:rPr>
          <w:iCs/>
          <w:i/>
        </w:rPr>
        <w:t xml:space="preserve">(printed</w:t>
      </w:r>
      <w:r>
        <w:rPr>
          <w:iCs/>
          <w:i/>
        </w:rPr>
        <w:t xml:space="preserve"> </w:t>
      </w:r>
      <w:r>
        <w:rPr>
          <w:iCs/>
          <w:i/>
        </w:rPr>
        <w:t xml:space="preserve">“</w:t>
      </w:r>
      <w:r>
        <w:rPr>
          <w:iCs/>
          <w:i/>
        </w:rPr>
        <w:t xml:space="preserve">8-192</w:t>
      </w:r>
      <w:r>
        <w:rPr>
          <w:iCs/>
          <w:i/>
        </w:rPr>
        <w:t xml:space="preserve">”</w:t>
      </w:r>
      <w:r>
        <w:rPr>
          <w:iCs/>
          <w:i/>
        </w:rPr>
        <w:t xml:space="preserve"> </w:t>
      </w:r>
      <w:r>
        <w:rPr>
          <w:iCs/>
          <w:i/>
        </w:rPr>
        <w:t xml:space="preserve">[as printed], i.e. 8-2-1) the loss of</w:t>
      </w:r>
      <w:r>
        <w:t xml:space="preserve"> </w:t>
      </w:r>
      <w:r>
        <w:t xml:space="preserve">t</w:t>
      </w:r>
      <w:r>
        <w:t xml:space="preserve"> </w:t>
      </w:r>
      <w:r>
        <w:rPr>
          <w:iCs/>
          <w:i/>
        </w:rPr>
        <w:t xml:space="preserve">is</w:t>
      </w:r>
      <w:r>
        <w:rPr>
          <w:iCs/>
          <w:i/>
        </w:rPr>
        <w:t xml:space="preserve"> </w:t>
      </w:r>
      <w:r>
        <w:rPr>
          <w:iCs/>
          <w:i/>
        </w:rPr>
        <w:t xml:space="preserve">“</w:t>
      </w:r>
      <w:r>
        <w:rPr>
          <w:iCs/>
          <w:i/>
        </w:rPr>
        <w:t xml:space="preserve">unseen</w:t>
      </w:r>
      <w:r>
        <w:rPr>
          <w:iCs/>
          <w:i/>
        </w:rPr>
        <w:t xml:space="preserve">”</w:t>
      </w:r>
      <w:r>
        <w:rPr>
          <w:iCs/>
          <w:i/>
        </w:rPr>
        <w:t xml:space="preserve">.)</w:t>
      </w:r>
    </w:p>
    <w:p>
      <w:pPr>
        <w:pStyle w:val="BodyText"/>
      </w:pPr>
      <w:r>
        <w:rPr>
          <w:bCs/>
          <w:b/>
        </w:rPr>
        <w:t xml:space="preserve">॥७॥</w:t>
      </w:r>
    </w:p>
    <w:p>
      <w:r>
        <w:pict>
          <v:rect style="width:0;height:1.5pt" o:hralign="center" o:hrstd="t" o:hr="t"/>
        </w:pict>
      </w:r>
    </w:p>
    <w:bookmarkEnd w:id="439"/>
    <w:bookmarkStart w:id="440" w:name="page-423-lower-half-sūkta-10-rik-8"/>
    <w:p>
      <w:pPr>
        <w:pStyle w:val="Heading3"/>
      </w:pPr>
      <w:r>
        <w:t xml:space="preserve">Page 423 (lower half) — Sūkta 10, Rik 8</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न॒हि त्वा॒ रोद॑सी उ॒भे ऋ॑घा॒यमा॑ण॒मिन्व॑तः ।</w:t>
      </w:r>
      <w:r>
        <w:t xml:space="preserve"> </w:t>
      </w:r>
      <w:r>
        <w:t xml:space="preserve">जेषः॒ स्व॑र्वतीर॒पः सं गा अ॒स्मभ्यं॑ धूनुहि ॥८॥</w:t>
      </w:r>
    </w:p>
    <w:p>
      <w:pPr>
        <w:pStyle w:val="BlockText"/>
      </w:pPr>
      <w:r>
        <w:rPr>
          <w:iCs/>
          <w:i/>
        </w:rPr>
        <w:t xml:space="preserve">nahí tvā ródasī ubhé ṛghāyámāṇam ínvataḥ |</w:t>
      </w:r>
      <w:r>
        <w:t xml:space="preserve"> </w:t>
      </w:r>
      <w:r>
        <w:rPr>
          <w:iCs/>
          <w:i/>
        </w:rPr>
        <w:t xml:space="preserve">jeṣaḥ svarvatīr apáḥ saṃ gā asmábhyaṃ dhūnuhi ||8||</w:t>
      </w:r>
    </w:p>
    <w:p>
      <w:pPr>
        <w:pStyle w:val="FirstParagraph"/>
      </w:pPr>
      <w:r>
        <w:rPr>
          <w:bCs/>
          <w:b/>
        </w:rPr>
        <w:t xml:space="preserve">॥ Pada-pāṭhaḥ ॥</w:t>
      </w:r>
    </w:p>
    <w:p>
      <w:pPr>
        <w:pStyle w:val="BlockText"/>
      </w:pPr>
      <w:r>
        <w:t xml:space="preserve">नहि । त्वा । रोदसी इति । उभे इति । ऋघायमाणम् । इन्वतः ॥</w:t>
      </w:r>
      <w:r>
        <w:t xml:space="preserve"> </w:t>
      </w:r>
      <w:r>
        <w:t xml:space="preserve">जेषः । स्वःऽवतीः । अपः । सम् । गाः । अस्मभ्यम् । धूनुहि ॥८॥</w:t>
      </w:r>
    </w:p>
    <w:p>
      <w:pPr>
        <w:pStyle w:val="BlockText"/>
      </w:pPr>
      <w:r>
        <w:rPr>
          <w:iCs/>
          <w:i/>
        </w:rPr>
        <w:t xml:space="preserve">nahi | tvā | rodasī iti | ubhe iti | ṛghāyamāṇam | invataḥ ||</w:t>
      </w:r>
      <w:r>
        <w:t xml:space="preserve"> </w:t>
      </w:r>
      <w:r>
        <w:rPr>
          <w:iCs/>
          <w:i/>
        </w:rPr>
        <w:t xml:space="preserve">jeṣaḥ | svaḥ-vatīḥ | apaḥ | sam | gāḥ | asmabhyam | dhūnuhi ||8||</w:t>
      </w:r>
    </w:p>
    <w:p>
      <w:pPr>
        <w:pStyle w:val="FirstParagraph"/>
      </w:pPr>
      <w:r>
        <w:rPr>
          <w:bCs/>
          <w:b/>
        </w:rPr>
        <w:t xml:space="preserve">॥ Sāyaṇa-bhāṣyam ॥</w:t>
      </w:r>
    </w:p>
    <w:p>
      <w:pPr>
        <w:pStyle w:val="BlockText"/>
      </w:pPr>
      <w:r>
        <w:t xml:space="preserve">हे इन्द्र ऋघायमाणं शत्रुवधं कुर्वाणं त्वां रोदसी उभे द्यावापृथिव्यावपि त्वदीयं महिमानं नहीन्वतः । व्याप्तुं न समर्थे इत्यर्थः । तादृशस्त्वं स्वर्वतीः स्वर्लोकयुक्ता अपो वृष्टिरूपा जेषः । जयेः । प्रेरयेत्यर्थः । अपां स्वर्गसंबन्धश्चान्यत्र दिवो वृष्टिं च्यावयति । तै. सं. ३-३-४-१ । इति श्रुतम् । किंच वृष्टिप्रदानादन्नसंपत्तेरूर्ध्वमस्मभ्यं क्षीरादिरसप्रदा गाः सं धूनुहि । सम्यक्प्रेरय ॥ नहि । नञो हिशब्देन सह सुपा । पा. २-१-४ । इति समासः । समासत्वादन्तोदात्तत्वम् । त्वा । अनुदात्तं सर्वमित्यनुवृत्तौ त्वामौ द्वितीयायाः । पा. ८-१-२३ । इति त्वादेशः । रोदसी । रुदेरसुन् । नित्त्वादाद्युदात्तः । उगितश्च । पा. ४-१-६ । इति ङीप् । उभे । प्रातिपदिकस्वरेणान्तोदात्तः । श्या [as printed] सहैकादेश उदात्तः । ऋघायमाणम् । …न्तीत्यृघा [?] । अन्येभ्यो ऽपि दृश्यन्त इति विच् । दृशिग्रहणस्य विध्यन्तरोपसंग्रहणार्थत्वान्नकारलोपो हकारस्य च घकारः । अनृघा ऋघा भवतीत्यभूततद्भावे लोहितादिडाज्भ्यः क्यष् । पा. ३-१-१३ । इति क्यष्प्रत्ययो भवति । स ह्याकृतिगणः । लोपश्च हलः । पा. ३-१-१२ । इत्यनुवृत्तेर्नकारलोपश्च । वा क्यषः । पा. १-३-९० । इत्यात्मनेपदम् । लटः शानच् । शपो ऽदुपदेशात्परत्वाच्छानचो लसार्वधातुकानुदात्तत्वम् । शपः पित्त्वादनुदात्तत्वम् । क्यषः प्रत्ययस्वरः । एकादेशस्योदात्तत्वम् । इन्वतः । इवि व्याप्तौ । इदितो नुम् धातोरिति नुम् । शपः पित्त्वादनुदात्तत्वम् । लडादेशस्य तसश्च लसार्वधातुकस्वरेण धातुस्वर एव शिष्यते । हि चेति निषेधात्तिङ्ङतिङ इति निघातो न भवति । जेषः । जेः प्रार्थनायां लिङर्थे लेट् । तस्य मध्यमपुरुषैकवचनं सिप् । इतश्च लोपः परस्मैपदेष्वितीकारलोपः । कर्तरि शपि प्राप्ते तदपवादः सिब्बहुलं लेटीति सिप् । अडागमस्यानुदात्तत्वाद्धातुस्वर एव शिष्यते । स्वरासामस्तीति सर्वत्यः [sic: स्वर्वत्यः] । न्यङ्स्वरौ स्वरितौ । फि. ४-६ । इति स्वःशब्दः स्वरितः । मतुब्ङीपौ पित्त्वादनुदात्तौ । संहितायां स्वरितात्संहितायामनुदात्तानाम् । पा. १-२-३९ । इत्येकश्रुतिः । स्वरित एव शिष्यते । अपः । ऊडिदमित्यादिना विभक्तेरुदात्तत्वम् । धूनुहि । धूञ् कम्पने । लोट् । सेर्ह्यपिच्च । स्वादिभ्यः श्नुः । उतश्च प्रत्ययादसंयोगपूर्वात् । पा. ६-४-१०६ । इति प्राप्तस्य लुकश्छान्दसत्वादभावः ॥</w:t>
      </w:r>
    </w:p>
    <w:p>
      <w:pPr>
        <w:pStyle w:val="BlockText"/>
      </w:pPr>
      <w:r>
        <w:rPr>
          <w:iCs/>
          <w:i/>
        </w:rPr>
        <w:t xml:space="preserve">he indra ṛghāyamāṇaṃ śatruvadhaṃ kurvāṇaṃ tvāṃ rodasī ubhe dyāvāpṛthivyāvapi tvadīyaṃ mahimānaṃ nahīnvataḥ | vyāptuṃ na samarthe ityarthaḥ | tādṛśastvaṃ svarvatīḥ svarlokayuktā apo vṛṣṭirūpā jeṣaḥ | jayeḥ | prerayetyarthaḥ | apāṃ svargasaṃbandhaścānyatra divo vṛṣṭiṃ cyāvayati | tai. saṃ. 3-3-4-1 | iti śrutam | kiṃca vṛṣṭipradānādannasaṃpatterūrdhvamasmabhyaṃ kṣīrādirasapradā gāḥ saṃ dhūnuhi | samyakpreraya || nahi | naño hiśabdena saha supā | pā. 2-1-4 | iti samāsaḥ | samāsatvādantodāttatvam | tvā | anudāttaṃ sarvamityanuvṛttau tvāmau dvitīyāyāḥ | pā. 8-1-23 | iti tvādeśaḥ | rodasī | ruderasun | nittvādādyudāttaḥ | ugitaśca | pā. 4-1-6 | iti ṅīp | ubhe | prātipadikasvareṇāntodāttaḥ | śyā [as printed] sahaikādeśa udāttaḥ | ṛghāyamāṇam | …ntītyṛghā [?] | anyebhyo ’pi dṛśyanta iti vic | dṛśigrahaṇasya vidhyantaropasaṃgrahaṇārthatvānnakāralopo hakārasya ca ghakāraḥ | anṛghā ṛghā bhavatītyabhūtatadbhāve lohitādiḍājbhyaḥ kyaṣ | pā. 3-1-13 | iti kyaṣpratyayo bhavati | sa hyākṛtigaṇaḥ | lopaśca halaḥ | pā. 3-1-12 | ityanuvṛtternakāralopaśca | vā kyaṣaḥ | pā. 1-3-90 | ityātmanepadam | laṭaḥ śānac | śapo ’dupadeśātparatvācchānaco lasārvadhātukānudāttatvam | śapaḥ pittvādanudāttatvam | kyaṣaḥ pratyayasvaraḥ | ekādeśasyodāttatvam | invataḥ | ivi vyāptau | idito num dhātoriti num | śapaḥ pittvādanudāttatvam | laḍādeśasya tasaśca lasārvadhātukasvareṇa dhātusvara eva śiṣyate | hi ceti niṣedhāttiṅṅatiṅa iti nighāto na bhavati | jeṣaḥ | jeḥ prārthanāyāṃ liṅarthe leṭ | tasya madhyamapuruṣaikavacanaṃ sip | itaśca lopaḥ parasmaipadeṣvitīkāralopaḥ | kartari śapi prāpte tadapavādaḥ sibbahulaṃ leṭīti sip | aḍāgamasyānudāttatvāddhātusvara eva śiṣyate | svarāsāmastīti sarvatyaḥ [sic: svarvatyaḥ] | nyaṅsvarau svaritau | phi. 4-6 | iti svaḥśabdaḥ svaritaḥ | matubṅīpau pittvādanudāttau | saṃhitāyāṃ svaritātsaṃhitāyāmanudāttānām | pā. 1-2-39 | ityekaśrutiḥ | svarita eva śiṣyate | apaḥ | ūḍidamityādinā vibhakterudāttatvam | dhūnuhi | dhūñ kampane | loṭ | serhyapicca | svādibhyaḥ śnuḥ | utaśca pratyayādasaṃyogapūrvāt | pā. 6-4-106 | iti prāptasya lukaśchāndasatvādabhāvaḥ ||</w:t>
      </w:r>
    </w:p>
    <w:p>
      <w:pPr>
        <w:pStyle w:val="FirstParagraph"/>
      </w:pPr>
      <w:r>
        <w:rPr>
          <w:bCs/>
          <w:b/>
        </w:rPr>
        <w:t xml:space="preserve">Translation:</w:t>
      </w:r>
      <w:r>
        <w:t xml:space="preserve"> </w:t>
      </w:r>
      <w:r>
        <w:t xml:space="preserve">“</w:t>
      </w:r>
      <w:r>
        <w:t xml:space="preserve">O Indra! Even</w:t>
      </w:r>
      <w:r>
        <w:t xml:space="preserve"> </w:t>
      </w:r>
      <w:r>
        <w:rPr>
          <w:iCs/>
          <w:i/>
        </w:rPr>
        <w:t xml:space="preserve">rodasī ubhe</w:t>
      </w:r>
      <w:r>
        <w:t xml:space="preserve"> </w:t>
      </w:r>
      <w:r>
        <w:t xml:space="preserve">— both heaven and earth —</w:t>
      </w:r>
      <w:r>
        <w:t xml:space="preserve"> </w:t>
      </w:r>
      <w:r>
        <w:rPr>
          <w:iCs/>
          <w:i/>
        </w:rPr>
        <w:t xml:space="preserve">nahi invataḥ</w:t>
      </w:r>
      <w:r>
        <w:t xml:space="preserve">: are not able to encompass your greatness, you who are</w:t>
      </w:r>
      <w:r>
        <w:t xml:space="preserve"> </w:t>
      </w:r>
      <w:r>
        <w:rPr>
          <w:iCs/>
          <w:i/>
        </w:rPr>
        <w:t xml:space="preserve">ṛghāyamāṇam</w:t>
      </w:r>
      <w:r>
        <w:t xml:space="preserve">, bringing about the slaying of enemies. Being such,</w:t>
      </w:r>
      <w:r>
        <w:t xml:space="preserve"> </w:t>
      </w:r>
      <w:r>
        <w:rPr>
          <w:iCs/>
          <w:i/>
        </w:rPr>
        <w:t xml:space="preserve">jeṣaḥ</w:t>
      </w:r>
      <w:r>
        <w:t xml:space="preserve"> </w:t>
      </w:r>
      <w:r>
        <w:t xml:space="preserve">— conquer, i.e., send forth —</w:t>
      </w:r>
      <w:r>
        <w:t xml:space="preserve"> </w:t>
      </w:r>
      <w:r>
        <w:rPr>
          <w:iCs/>
          <w:i/>
        </w:rPr>
        <w:t xml:space="preserve">svarvatīḥ apaḥ</w:t>
      </w:r>
      <w:r>
        <w:t xml:space="preserve">: the waters that belong to the world of heaven, in the form of rain. [That the waters are connected with heaven is heard elsewhere:</w:t>
      </w:r>
      <w:r>
        <w:t xml:space="preserve"> </w:t>
      </w:r>
      <w:r>
        <w:t xml:space="preserve">‘</w:t>
      </w:r>
      <w:r>
        <w:t xml:space="preserve">he makes the rain fall from heaven</w:t>
      </w:r>
      <w:r>
        <w:t xml:space="preserve">’</w:t>
      </w:r>
      <w:r>
        <w:t xml:space="preserve"> </w:t>
      </w:r>
      <w:r>
        <w:t xml:space="preserve">(Tai. Saṃ. 3-3-4-1).] Moreover, after the giving of rain and the abundance of food,</w:t>
      </w:r>
      <w:r>
        <w:t xml:space="preserve"> </w:t>
      </w:r>
      <w:r>
        <w:rPr>
          <w:iCs/>
          <w:i/>
        </w:rPr>
        <w:t xml:space="preserve">saṃ dhūnuhi</w:t>
      </w:r>
      <w:r>
        <w:t xml:space="preserve"> </w:t>
      </w:r>
      <w:r>
        <w:t xml:space="preserve">— send well — to us</w:t>
      </w:r>
      <w:r>
        <w:t xml:space="preserve"> </w:t>
      </w:r>
      <w:r>
        <w:rPr>
          <w:iCs/>
          <w:i/>
        </w:rPr>
        <w:t xml:space="preserve">gāḥ</w:t>
      </w:r>
      <w:r>
        <w:t xml:space="preserve">, cows that yield milk and other juices.</w:t>
      </w:r>
      <w:r>
        <w:t xml:space="preserve">”</w:t>
      </w:r>
      <w:r>
        <w:t xml:space="preserve"> </w:t>
      </w:r>
      <w:r>
        <w:rPr>
          <w:iCs/>
          <w:i/>
        </w:rPr>
        <w:t xml:space="preserve">(Grammar, noted briefly:</w:t>
      </w:r>
      <w:r>
        <w:t xml:space="preserve"> </w:t>
      </w:r>
      <w:r>
        <w:t xml:space="preserve">nahi</w:t>
      </w:r>
      <w:r>
        <w:t xml:space="preserve"> </w:t>
      </w:r>
      <w:r>
        <w:rPr>
          <w:iCs/>
          <w:i/>
        </w:rPr>
        <w:t xml:space="preserve">— compound of</w:t>
      </w:r>
      <w:r>
        <w:t xml:space="preserve"> </w:t>
      </w:r>
      <w:r>
        <w:t xml:space="preserve">nañ</w:t>
      </w:r>
      <w:r>
        <w:t xml:space="preserve"> </w:t>
      </w:r>
      <w:r>
        <w:rPr>
          <w:iCs/>
          <w:i/>
        </w:rPr>
        <w:t xml:space="preserve">with</w:t>
      </w:r>
      <w:r>
        <w:t xml:space="preserve"> </w:t>
      </w:r>
      <w:r>
        <w:t xml:space="preserve">hi</w:t>
      </w:r>
      <w:r>
        <w:t xml:space="preserve"> </w:t>
      </w:r>
      <w:r>
        <w:rPr>
          <w:iCs/>
          <w:i/>
        </w:rPr>
        <w:t xml:space="preserve">(Pā. 2-1-4), final-udātta;</w:t>
      </w:r>
      <w:r>
        <w:t xml:space="preserve"> </w:t>
      </w:r>
      <w:r>
        <w:t xml:space="preserve">tvā</w:t>
      </w:r>
      <w:r>
        <w:t xml:space="preserve"> </w:t>
      </w:r>
      <w:r>
        <w:rPr>
          <w:iCs/>
          <w:i/>
        </w:rPr>
        <w:t xml:space="preserve">— substitute for the accusative (Pā. 8-1-23), unaccented;</w:t>
      </w:r>
      <w:r>
        <w:t xml:space="preserve"> </w:t>
      </w:r>
      <w:r>
        <w:t xml:space="preserve">rodasī</w:t>
      </w:r>
      <w:r>
        <w:t xml:space="preserve"> </w:t>
      </w:r>
      <w:r>
        <w:rPr>
          <w:iCs/>
          <w:i/>
        </w:rPr>
        <w:t xml:space="preserve">— from</w:t>
      </w:r>
      <w:r>
        <w:t xml:space="preserve"> </w:t>
      </w:r>
      <w:r>
        <w:t xml:space="preserve">rud</w:t>
      </w:r>
      <w:r>
        <w:t xml:space="preserve"> </w:t>
      </w:r>
      <w:r>
        <w:rPr>
          <w:iCs/>
          <w:i/>
        </w:rPr>
        <w:t xml:space="preserve">with</w:t>
      </w:r>
      <w:r>
        <w:t xml:space="preserve"> </w:t>
      </w:r>
      <w:r>
        <w:t xml:space="preserve">asun</w:t>
      </w:r>
      <w:r>
        <w:rPr>
          <w:iCs/>
          <w:i/>
        </w:rPr>
        <w:t xml:space="preserve">, initial-udātta, feminine</w:t>
      </w:r>
      <w:r>
        <w:t xml:space="preserve"> </w:t>
      </w:r>
      <w:r>
        <w:t xml:space="preserve">ṅīp</w:t>
      </w:r>
      <w:r>
        <w:t xml:space="preserve"> </w:t>
      </w:r>
      <w:r>
        <w:rPr>
          <w:iCs/>
          <w:i/>
        </w:rPr>
        <w:t xml:space="preserve">(Pā. 4-1-6);</w:t>
      </w:r>
      <w:r>
        <w:t xml:space="preserve"> </w:t>
      </w:r>
      <w:r>
        <w:t xml:space="preserve">ṛghāyamāṇam</w:t>
      </w:r>
      <w:r>
        <w:t xml:space="preserve"> </w:t>
      </w:r>
      <w:r>
        <w:rPr>
          <w:iCs/>
          <w:i/>
        </w:rPr>
        <w:t xml:space="preserve">— a denominative with</w:t>
      </w:r>
      <w:r>
        <w:t xml:space="preserve"> </w:t>
      </w:r>
      <w:r>
        <w:t xml:space="preserve">kyaṣ</w:t>
      </w:r>
      <w:r>
        <w:t xml:space="preserve"> </w:t>
      </w:r>
      <w:r>
        <w:rPr>
          <w:iCs/>
          <w:i/>
        </w:rPr>
        <w:t xml:space="preserve">in the sense</w:t>
      </w:r>
      <w:r>
        <w:rPr>
          <w:iCs/>
          <w:i/>
        </w:rPr>
        <w:t xml:space="preserve"> </w:t>
      </w:r>
      <w:r>
        <w:rPr>
          <w:iCs/>
          <w:i/>
        </w:rPr>
        <w:t xml:space="preserve">“</w:t>
      </w:r>
      <w:r>
        <w:rPr>
          <w:iCs/>
          <w:i/>
        </w:rPr>
        <w:t xml:space="preserve">becoming a destroyer</w:t>
      </w:r>
      <w:r>
        <w:rPr>
          <w:iCs/>
          <w:i/>
        </w:rPr>
        <w:t xml:space="preserve">”</w:t>
      </w:r>
      <w:r>
        <w:rPr>
          <w:iCs/>
          <w:i/>
        </w:rPr>
        <w:t xml:space="preserve"> </w:t>
      </w:r>
      <w:r>
        <w:rPr>
          <w:iCs/>
          <w:i/>
        </w:rPr>
        <w:t xml:space="preserve">(Pā. 3-1-13, 3-1-12), ātmanepada (Pā. 1-3-90), with</w:t>
      </w:r>
      <w:r>
        <w:t xml:space="preserve"> </w:t>
      </w:r>
      <w:r>
        <w:t xml:space="preserve">śānac</w:t>
      </w:r>
      <w:r>
        <w:rPr>
          <w:iCs/>
          <w:i/>
        </w:rPr>
        <w:t xml:space="preserve">; one word at its head is not legible [?];</w:t>
      </w:r>
      <w:r>
        <w:t xml:space="preserve"> </w:t>
      </w:r>
      <w:r>
        <w:t xml:space="preserve">invataḥ</w:t>
      </w:r>
      <w:r>
        <w:t xml:space="preserve"> </w:t>
      </w:r>
      <w:r>
        <w:rPr>
          <w:iCs/>
          <w:i/>
        </w:rPr>
        <w:t xml:space="preserve">— root</w:t>
      </w:r>
      <w:r>
        <w:t xml:space="preserve"> </w:t>
      </w:r>
      <w:r>
        <w:t xml:space="preserve">ivi vyāptau</w:t>
      </w:r>
      <w:r>
        <w:t xml:space="preserve"> </w:t>
      </w:r>
      <w:r>
        <w:rPr>
          <w:iCs/>
          <w:i/>
        </w:rPr>
        <w:t xml:space="preserve">with</w:t>
      </w:r>
      <w:r>
        <w:t xml:space="preserve"> </w:t>
      </w:r>
      <w:r>
        <w:t xml:space="preserve">num</w:t>
      </w:r>
      <w:r>
        <w:rPr>
          <w:iCs/>
          <w:i/>
        </w:rPr>
        <w:t xml:space="preserve">, not lowered after</w:t>
      </w:r>
      <w:r>
        <w:t xml:space="preserve"> </w:t>
      </w:r>
      <w:r>
        <w:t xml:space="preserve">hi</w:t>
      </w:r>
      <w:r>
        <w:rPr>
          <w:iCs/>
          <w:i/>
        </w:rPr>
        <w:t xml:space="preserve">;</w:t>
      </w:r>
      <w:r>
        <w:t xml:space="preserve"> </w:t>
      </w:r>
      <w:r>
        <w:t xml:space="preserve">jeṣaḥ</w:t>
      </w:r>
      <w:r>
        <w:t xml:space="preserve"> </w:t>
      </w:r>
      <w:r>
        <w:rPr>
          <w:iCs/>
          <w:i/>
        </w:rPr>
        <w:t xml:space="preserve">— leṭ of</w:t>
      </w:r>
      <w:r>
        <w:t xml:space="preserve"> </w:t>
      </w:r>
      <w:r>
        <w:t xml:space="preserve">ji</w:t>
      </w:r>
      <w:r>
        <w:t xml:space="preserve"> </w:t>
      </w:r>
      <w:r>
        <w:rPr>
          <w:iCs/>
          <w:i/>
        </w:rPr>
        <w:t xml:space="preserve">in the sense of request, with</w:t>
      </w:r>
      <w:r>
        <w:t xml:space="preserve"> </w:t>
      </w:r>
      <w:r>
        <w:t xml:space="preserve">sip</w:t>
      </w:r>
      <w:r>
        <w:rPr>
          <w:iCs/>
          <w:i/>
        </w:rPr>
        <w:t xml:space="preserve">;</w:t>
      </w:r>
      <w:r>
        <w:t xml:space="preserve"> </w:t>
      </w:r>
      <w:r>
        <w:t xml:space="preserve">svarvatīḥ</w:t>
      </w:r>
      <w:r>
        <w:t xml:space="preserve"> </w:t>
      </w:r>
      <w:r>
        <w:rPr>
          <w:iCs/>
          <w:i/>
        </w:rPr>
        <w:t xml:space="preserve">—</w:t>
      </w:r>
      <w:r>
        <w:rPr>
          <w:iCs/>
          <w:i/>
        </w:rPr>
        <w:t xml:space="preserve"> </w:t>
      </w:r>
      <w:r>
        <w:rPr>
          <w:iCs/>
          <w:i/>
        </w:rPr>
        <w:t xml:space="preserve">“</w:t>
      </w:r>
      <w:r>
        <w:rPr>
          <w:iCs/>
          <w:i/>
        </w:rPr>
        <w:t xml:space="preserve">having heaven</w:t>
      </w:r>
      <w:r>
        <w:rPr>
          <w:iCs/>
          <w:i/>
        </w:rPr>
        <w:t xml:space="preserve">”</w:t>
      </w:r>
      <w:r>
        <w:rPr>
          <w:iCs/>
          <w:i/>
        </w:rPr>
        <w:t xml:space="preserve">, the</w:t>
      </w:r>
      <w:r>
        <w:t xml:space="preserve"> </w:t>
      </w:r>
      <w:r>
        <w:t xml:space="preserve">svar</w:t>
      </w:r>
      <w:r>
        <w:t xml:space="preserve"> </w:t>
      </w:r>
      <w:r>
        <w:rPr>
          <w:iCs/>
          <w:i/>
        </w:rPr>
        <w:t xml:space="preserve">svarita (Phiṭ 4-6), one-tone (Pā. 1-2-39);</w:t>
      </w:r>
      <w:r>
        <w:t xml:space="preserve"> </w:t>
      </w:r>
      <w:r>
        <w:t xml:space="preserve">apaḥ</w:t>
      </w:r>
      <w:r>
        <w:t xml:space="preserve"> </w:t>
      </w:r>
      <w:r>
        <w:rPr>
          <w:iCs/>
          <w:i/>
        </w:rPr>
        <w:t xml:space="preserve">— case-ending udātta;</w:t>
      </w:r>
      <w:r>
        <w:t xml:space="preserve"> </w:t>
      </w:r>
      <w:r>
        <w:t xml:space="preserve">dhūnuhi</w:t>
      </w:r>
      <w:r>
        <w:t xml:space="preserve"> </w:t>
      </w:r>
      <w:r>
        <w:rPr>
          <w:iCs/>
          <w:i/>
        </w:rPr>
        <w:t xml:space="preserve">— root</w:t>
      </w:r>
      <w:r>
        <w:t xml:space="preserve"> </w:t>
      </w:r>
      <w:r>
        <w:t xml:space="preserve">dhūñ kampane</w:t>
      </w:r>
      <w:r>
        <w:rPr>
          <w:iCs/>
          <w:i/>
        </w:rPr>
        <w:t xml:space="preserve">, the expected loss of</w:t>
      </w:r>
      <w:r>
        <w:t xml:space="preserve"> </w:t>
      </w:r>
      <w:r>
        <w:t xml:space="preserve">hi</w:t>
      </w:r>
      <w:r>
        <w:t xml:space="preserve"> </w:t>
      </w:r>
      <w:r>
        <w:rPr>
          <w:iCs/>
          <w:i/>
        </w:rPr>
        <w:t xml:space="preserve">(Pā. 6-4-106) not made, as a Vedic form.)</w:t>
      </w:r>
    </w:p>
    <w:bookmarkEnd w:id="440"/>
    <w:bookmarkStart w:id="441" w:name="X1abf928415b0cda35c0f5edc413cf290625810f"/>
    <w:p>
      <w:pPr>
        <w:pStyle w:val="Heading3"/>
      </w:pPr>
      <w:r>
        <w:t xml:space="preserve">Page 424 — Rik 8: word-meanings, overall sense</w:t>
      </w:r>
    </w:p>
    <w:p>
      <w:pPr>
        <w:pStyle w:val="FirstParagraph"/>
      </w:pPr>
      <w:r>
        <w:rPr>
          <w:bCs/>
          <w:b/>
        </w:rPr>
        <w:t xml:space="preserve">॥ Prati-padārthaḥ ॥</w:t>
      </w:r>
    </w:p>
    <w:p>
      <w:pPr>
        <w:pStyle w:val="BodyText"/>
      </w:pPr>
      <w:r>
        <w:rPr>
          <w:bCs/>
          <w:b/>
        </w:rPr>
        <w:t xml:space="preserve">ऋघायमाणम् (ṛghāyamāṇam)</w:t>
      </w:r>
      <w:r>
        <w:t xml:space="preserve"> </w:t>
      </w:r>
      <w:r>
        <w:t xml:space="preserve">— who bring about the slaying of enemies |</w:t>
      </w:r>
      <w:r>
        <w:t xml:space="preserve"> </w:t>
      </w:r>
      <w:r>
        <w:rPr>
          <w:bCs/>
          <w:b/>
        </w:rPr>
        <w:t xml:space="preserve">त्वाम् (tvām)</w:t>
      </w:r>
      <w:r>
        <w:t xml:space="preserve"> </w:t>
      </w:r>
      <w:r>
        <w:t xml:space="preserve">— your</w:t>
      </w:r>
      <w:r>
        <w:t xml:space="preserve"> </w:t>
      </w:r>
      <w:r>
        <w:rPr>
          <w:iCs/>
          <w:i/>
        </w:rPr>
        <w:t xml:space="preserve">(greatness)</w:t>
      </w:r>
      <w:r>
        <w:t xml:space="preserve"> </w:t>
      </w:r>
      <w:r>
        <w:t xml:space="preserve">|</w:t>
      </w:r>
      <w:r>
        <w:t xml:space="preserve"> </w:t>
      </w:r>
      <w:r>
        <w:rPr>
          <w:bCs/>
          <w:b/>
        </w:rPr>
        <w:t xml:space="preserve">उभे रोदसी (ubhe rodasī)</w:t>
      </w:r>
      <w:r>
        <w:t xml:space="preserve"> </w:t>
      </w:r>
      <w:r>
        <w:t xml:space="preserve">— both heaven and earth (the sky) |</w:t>
      </w:r>
      <w:r>
        <w:t xml:space="preserve"> </w:t>
      </w:r>
      <w:r>
        <w:rPr>
          <w:bCs/>
          <w:b/>
        </w:rPr>
        <w:t xml:space="preserve">नहि इन्वतः (nahi invataḥ)</w:t>
      </w:r>
      <w:r>
        <w:t xml:space="preserve"> </w:t>
      </w:r>
      <w:r>
        <w:t xml:space="preserve">— are not able to contain |</w:t>
      </w:r>
      <w:r>
        <w:t xml:space="preserve"> </w:t>
      </w:r>
      <w:r>
        <w:rPr>
          <w:iCs/>
          <w:i/>
        </w:rPr>
        <w:t xml:space="preserve">(such as you are)</w:t>
      </w:r>
      <w:r>
        <w:t xml:space="preserve"> </w:t>
      </w:r>
      <w:r>
        <w:rPr>
          <w:bCs/>
          <w:b/>
        </w:rPr>
        <w:t xml:space="preserve">स्वर्वतीः (svarvatīḥ)</w:t>
      </w:r>
      <w:r>
        <w:t xml:space="preserve"> </w:t>
      </w:r>
      <w:r>
        <w:t xml:space="preserve">— which are in the world of heaven |</w:t>
      </w:r>
      <w:r>
        <w:t xml:space="preserve"> </w:t>
      </w:r>
      <w:r>
        <w:rPr>
          <w:bCs/>
          <w:b/>
        </w:rPr>
        <w:t xml:space="preserve">अपः (apaḥ)</w:t>
      </w:r>
      <w:r>
        <w:t xml:space="preserve"> </w:t>
      </w:r>
      <w:r>
        <w:t xml:space="preserve">— water in the form of rain |</w:t>
      </w:r>
      <w:r>
        <w:t xml:space="preserve"> </w:t>
      </w:r>
      <w:r>
        <w:rPr>
          <w:bCs/>
          <w:b/>
        </w:rPr>
        <w:t xml:space="preserve">जेषः (jeṣaḥ)</w:t>
      </w:r>
      <w:r>
        <w:t xml:space="preserve"> </w:t>
      </w:r>
      <w:r>
        <w:t xml:space="preserve">— conquer (that is, make the water fall on the earth as rain) |</w:t>
      </w:r>
      <w:r>
        <w:t xml:space="preserve"> </w:t>
      </w:r>
      <w:r>
        <w:rPr>
          <w:iCs/>
          <w:i/>
        </w:rPr>
        <w:t xml:space="preserve">(after that)</w:t>
      </w:r>
      <w:r>
        <w:t xml:space="preserve"> </w:t>
      </w:r>
      <w:r>
        <w:rPr>
          <w:bCs/>
          <w:b/>
        </w:rPr>
        <w:t xml:space="preserve">अस्मभ्यम् (asmabhyam)</w:t>
      </w:r>
      <w:r>
        <w:t xml:space="preserve"> </w:t>
      </w:r>
      <w:r>
        <w:t xml:space="preserve">— to us |</w:t>
      </w:r>
      <w:r>
        <w:t xml:space="preserve"> </w:t>
      </w:r>
      <w:r>
        <w:rPr>
          <w:bCs/>
          <w:b/>
        </w:rPr>
        <w:t xml:space="preserve">गाः (gāḥ)</w:t>
      </w:r>
      <w:r>
        <w:t xml:space="preserve"> </w:t>
      </w:r>
      <w:r>
        <w:t xml:space="preserve">— cows |</w:t>
      </w:r>
      <w:r>
        <w:t xml:space="preserve"> </w:t>
      </w:r>
      <w:r>
        <w:rPr>
          <w:bCs/>
          <w:b/>
        </w:rPr>
        <w:t xml:space="preserve">सं धूनुहि (saṃ dhūnuhi)</w:t>
      </w:r>
      <w:r>
        <w:t xml:space="preserve"> </w:t>
      </w:r>
      <w:r>
        <w:t xml:space="preserve">— send.</w:t>
      </w:r>
    </w:p>
    <w:p>
      <w:pPr>
        <w:pStyle w:val="BodyText"/>
      </w:pPr>
      <w:r>
        <w:rPr>
          <w:bCs/>
          <w:b/>
        </w:rPr>
        <w:t xml:space="preserve">॥ Bhāvārthaḥ ॥</w:t>
      </w:r>
    </w:p>
    <w:p>
      <w:pPr>
        <w:pStyle w:val="BodyText"/>
      </w:pPr>
      <w:r>
        <w:t xml:space="preserve">O Indra! Your greatness, which destroys enemies, is so very great that heaven and earth cannot contain it. Now cause the waters that are in heaven to fall upon the earth as rain, and send us cows that give milk.</w:t>
      </w:r>
    </w:p>
    <w:bookmarkEnd w:id="441"/>
    <w:bookmarkStart w:id="442" w:name="Xe2c026c750dcc170ccb4ba32cf68629e64b552e"/>
    <w:p>
      <w:pPr>
        <w:pStyle w:val="Heading3"/>
      </w:pPr>
      <w:r>
        <w:t xml:space="preserve">Page 425 — Rik 8: English and Special Topics</w:t>
      </w:r>
    </w:p>
    <w:p>
      <w:pPr>
        <w:pStyle w:val="FirstParagraph"/>
      </w:pPr>
      <w:r>
        <w:rPr>
          <w:bCs/>
          <w:b/>
        </w:rPr>
        <w:t xml:space="preserve">॥ English Translation ॥</w:t>
      </w:r>
      <w:r>
        <w:t xml:space="preserve"> </w:t>
      </w:r>
      <w:r>
        <w:rPr>
          <w:iCs/>
          <w:i/>
        </w:rPr>
        <w:t xml:space="preserve">(as printed in the source)</w:t>
      </w:r>
    </w:p>
    <w:p>
      <w:pPr>
        <w:pStyle w:val="BlockText"/>
      </w:pPr>
      <w:r>
        <w:t xml:space="preserve">Heaven and earth are unable to hold you (your exploits) the destroyer of your enemies; command the waters of heaven (so that they may fall upon earth as rain) and send us cows.</w:t>
      </w:r>
    </w:p>
    <w:p>
      <w:pPr>
        <w:pStyle w:val="FirstParagraph"/>
      </w:pPr>
      <w:r>
        <w:rPr>
          <w:bCs/>
          <w:b/>
        </w:rPr>
        <w:t xml:space="preserve">॥ Viśeṣa-viṣayagaḷu (Special Topics) ॥</w:t>
      </w:r>
    </w:p>
    <w:p>
      <w:pPr>
        <w:pStyle w:val="BodyText"/>
      </w:pPr>
      <w:r>
        <w:rPr>
          <w:bCs/>
          <w:b/>
        </w:rPr>
        <w:t xml:space="preserve">“</w:t>
      </w:r>
      <w:r>
        <w:rPr>
          <w:bCs/>
          <w:b/>
        </w:rPr>
        <w:t xml:space="preserve">Rodasī</w:t>
      </w:r>
      <w:r>
        <w:rPr>
          <w:bCs/>
          <w:b/>
        </w:rPr>
        <w:t xml:space="preserve">”</w:t>
      </w:r>
      <w:r>
        <w:t xml:space="preserve"> </w:t>
      </w:r>
      <w:r>
        <w:t xml:space="preserve">—</w:t>
      </w:r>
      <w:r>
        <w:t xml:space="preserve"> </w:t>
      </w:r>
      <w:r>
        <w:rPr>
          <w:iCs/>
          <w:i/>
        </w:rPr>
        <w:t xml:space="preserve">dyāvāpṛthivī</w:t>
      </w:r>
      <w:r>
        <w:t xml:space="preserve">: the worlds of earth and sky (</w:t>
      </w:r>
      <w:r>
        <w:rPr>
          <w:iCs/>
          <w:i/>
        </w:rPr>
        <w:t xml:space="preserve">antarikṣa</w:t>
      </w:r>
      <w:r>
        <w:t xml:space="preserve">), or the earth and the world of heaven. The word</w:t>
      </w:r>
      <w:r>
        <w:t xml:space="preserve"> </w:t>
      </w:r>
      <w:r>
        <w:rPr>
          <w:iCs/>
          <w:i/>
        </w:rPr>
        <w:t xml:space="preserve">rodasī</w:t>
      </w:r>
      <w:r>
        <w:t xml:space="preserve"> </w:t>
      </w:r>
      <w:r>
        <w:t xml:space="preserve">is read among the twenty-four words for heaven-and-earth, beginning with</w:t>
      </w:r>
      <w:r>
        <w:t xml:space="preserve"> </w:t>
      </w:r>
      <w:r>
        <w:rPr>
          <w:iCs/>
          <w:i/>
        </w:rPr>
        <w:t xml:space="preserve">svadhe</w:t>
      </w:r>
      <w:r>
        <w:t xml:space="preserve">,</w:t>
      </w:r>
      <w:r>
        <w:t xml:space="preserve"> </w:t>
      </w:r>
      <w:r>
        <w:rPr>
          <w:iCs/>
          <w:i/>
        </w:rPr>
        <w:t xml:space="preserve">purandhī</w:t>
      </w:r>
      <w:r>
        <w:t xml:space="preserve"> </w:t>
      </w:r>
      <w:r>
        <w:t xml:space="preserve">(Ni. 3-21 [?] as printed; the second digit could be 2 or 7).</w:t>
      </w:r>
    </w:p>
    <w:p>
      <w:pPr>
        <w:pStyle w:val="BodyText"/>
      </w:pPr>
      <w:r>
        <w:rPr>
          <w:bCs/>
          <w:b/>
        </w:rPr>
        <w:t xml:space="preserve">“</w:t>
      </w:r>
      <w:r>
        <w:rPr>
          <w:bCs/>
          <w:b/>
        </w:rPr>
        <w:t xml:space="preserve">Ṛghāyamāṇam</w:t>
      </w:r>
      <w:r>
        <w:rPr>
          <w:bCs/>
          <w:b/>
        </w:rPr>
        <w:t xml:space="preserve">”</w:t>
      </w:r>
      <w:r>
        <w:t xml:space="preserve"> </w:t>
      </w:r>
      <w:r>
        <w:t xml:space="preserve">—</w:t>
      </w:r>
      <w:r>
        <w:t xml:space="preserve"> </w:t>
      </w:r>
      <w:r>
        <w:rPr>
          <w:bCs/>
          <w:b/>
        </w:rPr>
        <w:t xml:space="preserve">न्यन् हन्तीत्यृघा</w:t>
      </w:r>
      <w:r>
        <w:t xml:space="preserve"> </w:t>
      </w:r>
      <w:r>
        <w:t xml:space="preserve">(</w:t>
      </w:r>
      <w:r>
        <w:rPr>
          <w:iCs/>
          <w:i/>
        </w:rPr>
        <w:t xml:space="preserve">nyan hantīty ṛghā</w:t>
      </w:r>
      <w:r>
        <w:t xml:space="preserve">)</w:t>
      </w:r>
      <w:r>
        <w:t xml:space="preserve"> </w:t>
      </w:r>
      <w:r>
        <w:rPr>
          <w:iCs/>
          <w:i/>
        </w:rPr>
        <w:t xml:space="preserve">(the first word as printed reads न्यन्; the phrase partly illegible at the head of the</w:t>
      </w:r>
      <w:r>
        <w:t xml:space="preserve"> </w:t>
      </w:r>
      <w:r>
        <w:t xml:space="preserve">ṛghāyamāṇam</w:t>
      </w:r>
      <w:r>
        <w:t xml:space="preserve"> </w:t>
      </w:r>
      <w:r>
        <w:rPr>
          <w:iCs/>
          <w:i/>
        </w:rPr>
        <w:t xml:space="preserve">grammar on p. 424 is probably the same)</w:t>
      </w:r>
      <w:r>
        <w:t xml:space="preserve"> </w:t>
      </w:r>
      <w:r>
        <w:t xml:space="preserve">—</w:t>
      </w:r>
      <w:r>
        <w:t xml:space="preserve"> </w:t>
      </w:r>
      <w:r>
        <w:t xml:space="preserve">“</w:t>
      </w:r>
      <w:r>
        <w:rPr>
          <w:iCs/>
          <w:i/>
        </w:rPr>
        <w:t xml:space="preserve">ṛghā</w:t>
      </w:r>
      <w:r>
        <w:t xml:space="preserve"> </w:t>
      </w:r>
      <w:r>
        <w:t xml:space="preserve">means one who kills [or strikes] men — that is, one who destroys enemies.</w:t>
      </w:r>
      <w:r>
        <w:t xml:space="preserve">”</w:t>
      </w:r>
    </w:p>
    <w:p>
      <w:pPr>
        <w:pStyle w:val="BodyText"/>
      </w:pPr>
      <w:r>
        <w:rPr>
          <w:bCs/>
          <w:b/>
        </w:rPr>
        <w:t xml:space="preserve">“</w:t>
      </w:r>
      <w:r>
        <w:rPr>
          <w:bCs/>
          <w:b/>
        </w:rPr>
        <w:t xml:space="preserve">Tvā</w:t>
      </w:r>
      <w:r>
        <w:rPr>
          <w:bCs/>
          <w:b/>
        </w:rPr>
        <w:t xml:space="preserve">”</w:t>
      </w:r>
      <w:r>
        <w:t xml:space="preserve"> </w:t>
      </w:r>
      <w:r>
        <w:t xml:space="preserve">—</w:t>
      </w:r>
      <w:r>
        <w:t xml:space="preserve"> </w:t>
      </w:r>
      <w:r>
        <w:t xml:space="preserve">“</w:t>
      </w:r>
      <w:r>
        <w:t xml:space="preserve">you,</w:t>
      </w:r>
      <w:r>
        <w:t xml:space="preserve">”</w:t>
      </w:r>
      <w:r>
        <w:t xml:space="preserve"> </w:t>
      </w:r>
      <w:r>
        <w:t xml:space="preserve">that is,</w:t>
      </w:r>
      <w:r>
        <w:t xml:space="preserve"> </w:t>
      </w:r>
      <w:r>
        <w:t xml:space="preserve">“</w:t>
      </w:r>
      <w:r>
        <w:t xml:space="preserve">your greatness.</w:t>
      </w:r>
      <w:r>
        <w:t xml:space="preserve">”</w:t>
      </w:r>
    </w:p>
    <w:p>
      <w:pPr>
        <w:pStyle w:val="BodyText"/>
      </w:pPr>
      <w:r>
        <w:rPr>
          <w:bCs/>
          <w:b/>
        </w:rPr>
        <w:t xml:space="preserve">“</w:t>
      </w:r>
      <w:r>
        <w:rPr>
          <w:bCs/>
          <w:b/>
        </w:rPr>
        <w:t xml:space="preserve">Invataḥ</w:t>
      </w:r>
      <w:r>
        <w:rPr>
          <w:bCs/>
          <w:b/>
        </w:rPr>
        <w:t xml:space="preserve">”</w:t>
      </w:r>
      <w:r>
        <w:t xml:space="preserve"> </w:t>
      </w:r>
      <w:r>
        <w:t xml:space="preserve">—</w:t>
      </w:r>
      <w:r>
        <w:t xml:space="preserve"> </w:t>
      </w:r>
      <w:r>
        <w:rPr>
          <w:iCs/>
          <w:i/>
        </w:rPr>
        <w:t xml:space="preserve">ivi vyāptau</w:t>
      </w:r>
      <w:r>
        <w:t xml:space="preserve"> </w:t>
      </w:r>
      <w:r>
        <w:t xml:space="preserve">—</w:t>
      </w:r>
      <w:r>
        <w:t xml:space="preserve"> </w:t>
      </w:r>
      <w:r>
        <w:t xml:space="preserve">“</w:t>
      </w:r>
      <w:r>
        <w:t xml:space="preserve">to pervade</w:t>
      </w:r>
      <w:r>
        <w:t xml:space="preserve">”</w:t>
      </w:r>
      <w:r>
        <w:t xml:space="preserve">;</w:t>
      </w:r>
      <w:r>
        <w:t xml:space="preserve"> </w:t>
      </w:r>
      <w:r>
        <w:t xml:space="preserve">“</w:t>
      </w:r>
      <w:r>
        <w:t xml:space="preserve">unable to pervade</w:t>
      </w:r>
      <w:r>
        <w:t xml:space="preserve">”</w:t>
      </w:r>
      <w:r>
        <w:t xml:space="preserve"> </w:t>
      </w:r>
      <w:r>
        <w:t xml:space="preserve">means that your greatness is so great that even the vast earth and sky cannot contain it — that is the idea.</w:t>
      </w:r>
    </w:p>
    <w:p>
      <w:pPr>
        <w:pStyle w:val="BodyText"/>
      </w:pPr>
      <w:r>
        <w:rPr>
          <w:bCs/>
          <w:b/>
        </w:rPr>
        <w:t xml:space="preserve">“</w:t>
      </w:r>
      <w:r>
        <w:rPr>
          <w:bCs/>
          <w:b/>
        </w:rPr>
        <w:t xml:space="preserve">Jeṣaḥ</w:t>
      </w:r>
      <w:r>
        <w:rPr>
          <w:bCs/>
          <w:b/>
        </w:rPr>
        <w:t xml:space="preserve">”</w:t>
      </w:r>
      <w:r>
        <w:t xml:space="preserve"> </w:t>
      </w:r>
      <w:r>
        <w:t xml:space="preserve">—</w:t>
      </w:r>
      <w:r>
        <w:t xml:space="preserve"> </w:t>
      </w:r>
      <w:r>
        <w:t xml:space="preserve">“</w:t>
      </w:r>
      <w:r>
        <w:t xml:space="preserve">conquer</w:t>
      </w:r>
      <w:r>
        <w:t xml:space="preserve">”</w:t>
      </w:r>
      <w:r>
        <w:t xml:space="preserve">: that is, the capacity that makes the waters, or the rain, pour as rain is under your control.</w:t>
      </w:r>
    </w:p>
    <w:p>
      <w:pPr>
        <w:pStyle w:val="BodyText"/>
      </w:pPr>
      <w:r>
        <w:rPr>
          <w:bCs/>
          <w:b/>
        </w:rPr>
        <w:t xml:space="preserve">“</w:t>
      </w:r>
      <w:r>
        <w:rPr>
          <w:bCs/>
          <w:b/>
        </w:rPr>
        <w:t xml:space="preserve">Svarvatīḥ</w:t>
      </w:r>
      <w:r>
        <w:rPr>
          <w:bCs/>
          <w:b/>
        </w:rPr>
        <w:t xml:space="preserve">”</w:t>
      </w:r>
      <w:r>
        <w:t xml:space="preserve"> </w:t>
      </w:r>
      <w:r>
        <w:t xml:space="preserve">—</w:t>
      </w:r>
      <w:r>
        <w:t xml:space="preserve"> </w:t>
      </w:r>
      <w:r>
        <w:t xml:space="preserve">“</w:t>
      </w:r>
      <w:r>
        <w:t xml:space="preserve">that are in the world of heaven.</w:t>
      </w:r>
      <w:r>
        <w:t xml:space="preserve">”</w:t>
      </w:r>
      <w:r>
        <w:t xml:space="preserve"> </w:t>
      </w:r>
      <w:r>
        <w:t xml:space="preserve">Since rain falls from the sky (</w:t>
      </w:r>
      <w:r>
        <w:rPr>
          <w:iCs/>
          <w:i/>
        </w:rPr>
        <w:t xml:space="preserve">antarikṣa</w:t>
      </w:r>
      <w:r>
        <w:t xml:space="preserve">), and since the world of heaven is understood to be above the</w:t>
      </w:r>
      <w:r>
        <w:t xml:space="preserve"> </w:t>
      </w:r>
      <w:r>
        <w:rPr>
          <w:iCs/>
          <w:i/>
        </w:rPr>
        <w:t xml:space="preserve">antarikṣa</w:t>
      </w:r>
      <w:r>
        <w:t xml:space="preserve">, it is customary to say that the water in the form of rain belongs to heaven. In this connection:</w:t>
      </w:r>
    </w:p>
    <w:p>
      <w:pPr>
        <w:pStyle w:val="BlockText"/>
      </w:pPr>
      <w:r>
        <w:t xml:space="preserve">एतद्वा अपां नामधेयं गुह्यं यदाधावा मान्दासु ते शुक्र शुक्रमा धूनोमीत्याहापामेव नामधेयेन गुह्येन दिवो वृष्टिमव रुन्धे शुक्रं ते शुक्रेण गृह्णामीत्याहैतद्वा अह्नो रूपं यद्रात्रिस्सूर्यस्य रश्मयो वृष्ट्या ईशते ऽह्न एव रूपेण सूर्यस्य रश्मिभिर्दिवो वृष्टिं च्यावयत्यस्मिन्नुग्रा अचुच्यवुरित्याह यथायजुरेवैतत् ॥</w:t>
      </w:r>
      <w:r>
        <w:t xml:space="preserve"> </w:t>
      </w:r>
      <w:r>
        <w:rPr>
          <w:iCs/>
          <w:i/>
        </w:rPr>
        <w:t xml:space="preserve">etadvā apāṃ nāmadheyaṃ guhyaṃ yadādhāvā māndāsu te śukra śukramā dhūnomītyāhāpāmeva nāmadheyena guhyena divo vṛṣṭimava rundhe śukraṃ te śukreṇa gṛhṇāmītyāhaitadvā ahno rūpaṃ yadrātrissūryasya raśmayo vṛṣṭyā īśate ’hna eva rūpeṇa sūryasya raśmibhirdivo vṛṣṭiṃ cyāvayatyasminnugrā acucyavurityāha yathāyajurevaitat ||</w:t>
      </w:r>
      <w:r>
        <w:t xml:space="preserve"> </w:t>
      </w:r>
      <w:r>
        <w:rPr>
          <w:iCs/>
          <w:i/>
        </w:rPr>
        <w:t xml:space="preserve">(Taittirīya Saṃhitā;</w:t>
      </w:r>
      <w:r>
        <w:rPr>
          <w:iCs/>
          <w:i/>
        </w:rPr>
        <w:t xml:space="preserve"> </w:t>
      </w:r>
      <w:r>
        <w:rPr>
          <w:iCs/>
          <w:i/>
        </w:rPr>
        <w:t xml:space="preserve">“</w:t>
      </w:r>
      <w:r>
        <w:rPr>
          <w:iCs/>
          <w:i/>
        </w:rPr>
        <w:t xml:space="preserve">the Taittirīya Saṃhitā says so</w:t>
      </w:r>
      <w:r>
        <w:rPr>
          <w:iCs/>
          <w:i/>
        </w:rPr>
        <w:t xml:space="preserve">”</w:t>
      </w:r>
      <w:r>
        <w:rPr>
          <w:iCs/>
          <w:i/>
        </w:rPr>
        <w:t xml:space="preserve"> </w:t>
      </w:r>
      <w:r>
        <w:rPr>
          <w:iCs/>
          <w:i/>
        </w:rPr>
        <w:t xml:space="preserve">is the source’s own attribution, without numbers; the Devanagari is a best reading of compressed print, and I have not attempted a translation of this passage.)</w:t>
      </w:r>
    </w:p>
    <w:p>
      <w:pPr>
        <w:pStyle w:val="FirstParagraph"/>
      </w:pPr>
      <w:r>
        <w:rPr>
          <w:bCs/>
          <w:b/>
        </w:rPr>
        <w:t xml:space="preserve">“</w:t>
      </w:r>
      <w:r>
        <w:rPr>
          <w:bCs/>
          <w:b/>
        </w:rPr>
        <w:t xml:space="preserve">Dhūnuhi</w:t>
      </w:r>
      <w:r>
        <w:rPr>
          <w:bCs/>
          <w:b/>
        </w:rPr>
        <w:t xml:space="preserve">”</w:t>
      </w:r>
      <w:r>
        <w:t xml:space="preserve"> </w:t>
      </w:r>
      <w:r>
        <w:t xml:space="preserve">—</w:t>
      </w:r>
      <w:r>
        <w:t xml:space="preserve"> </w:t>
      </w:r>
      <w:r>
        <w:rPr>
          <w:iCs/>
          <w:i/>
        </w:rPr>
        <w:t xml:space="preserve">dhūñ kampane</w:t>
      </w:r>
      <w:r>
        <w:t xml:space="preserve">. Although this root has the senses of</w:t>
      </w:r>
      <w:r>
        <w:t xml:space="preserve"> </w:t>
      </w:r>
      <w:r>
        <w:t xml:space="preserve">“</w:t>
      </w:r>
      <w:r>
        <w:t xml:space="preserve">shake</w:t>
      </w:r>
      <w:r>
        <w:t xml:space="preserve">”</w:t>
      </w:r>
      <w:r>
        <w:t xml:space="preserve"> </w:t>
      </w:r>
      <w:r>
        <w:t xml:space="preserve">and</w:t>
      </w:r>
      <w:r>
        <w:t xml:space="preserve"> </w:t>
      </w:r>
      <w:r>
        <w:t xml:space="preserve">“</w:t>
      </w:r>
      <w:r>
        <w:t xml:space="preserve">move,</w:t>
      </w:r>
      <w:r>
        <w:t xml:space="preserve">”</w:t>
      </w:r>
      <w:r>
        <w:t xml:space="preserve"> </w:t>
      </w:r>
      <w:r>
        <w:t xml:space="preserve">the Bhāṣyakāra and others take the sense</w:t>
      </w:r>
      <w:r>
        <w:t xml:space="preserve"> </w:t>
      </w:r>
      <w:r>
        <w:t xml:space="preserve">“</w:t>
      </w:r>
      <w:r>
        <w:t xml:space="preserve">impel, send, give.</w:t>
      </w:r>
      <w:r>
        <w:t xml:space="preserve">”</w:t>
      </w:r>
    </w:p>
    <w:bookmarkEnd w:id="442"/>
    <w:bookmarkStart w:id="443" w:name="pages-426429-rik-8-grammar"/>
    <w:p>
      <w:pPr>
        <w:pStyle w:val="Heading3"/>
      </w:pPr>
      <w:r>
        <w:t xml:space="preserve">Pages 426–429 — Rik 8 grammar</w:t>
      </w:r>
    </w:p>
    <w:p>
      <w:pPr>
        <w:pStyle w:val="FirstParagraph"/>
      </w:pPr>
      <w:r>
        <w:rPr>
          <w:bCs/>
          <w:b/>
        </w:rPr>
        <w:t xml:space="preserve">॥ Vyākaraṇa-prakriyā ॥</w:t>
      </w:r>
      <w:r>
        <w:t xml:space="preserve"> </w:t>
      </w:r>
      <w:r>
        <w:rPr>
          <w:iCs/>
          <w:i/>
        </w:rPr>
        <w:t xml:space="preserve">(grammar pages 426–429, noted briefly)</w:t>
      </w:r>
    </w:p>
    <w:p>
      <w:pPr>
        <w:pStyle w:val="BodyText"/>
      </w:pPr>
      <w:r>
        <w:rPr>
          <w:bCs/>
          <w:b/>
        </w:rPr>
        <w:t xml:space="preserve">नहि (</w:t>
      </w:r>
      <w:r>
        <w:rPr>
          <w:iCs/>
          <w:i/>
          <w:bCs/>
          <w:b/>
        </w:rPr>
        <w:t xml:space="preserve">nahi</w:t>
      </w:r>
      <w:r>
        <w:rPr>
          <w:bCs/>
          <w:b/>
        </w:rPr>
        <w:t xml:space="preserve">)</w:t>
      </w:r>
      <w:r>
        <w:t xml:space="preserve"> </w:t>
      </w:r>
      <w:r>
        <w:t xml:space="preserve">— by</w:t>
      </w:r>
      <w:r>
        <w:t xml:space="preserve"> </w:t>
      </w:r>
      <w:r>
        <w:t xml:space="preserve">“</w:t>
      </w:r>
      <w:r>
        <w:t xml:space="preserve">saha supā</w:t>
      </w:r>
      <w:r>
        <w:t xml:space="preserve">”</w:t>
      </w:r>
      <w:r>
        <w:t xml:space="preserve"> </w:t>
      </w:r>
      <w:r>
        <w:t xml:space="preserve">(Pā. 2-1-4), a</w:t>
      </w:r>
      <w:r>
        <w:t xml:space="preserve"> </w:t>
      </w:r>
      <w:r>
        <w:rPr>
          <w:iCs/>
          <w:i/>
        </w:rPr>
        <w:t xml:space="preserve">subanta</w:t>
      </w:r>
      <w:r>
        <w:t xml:space="preserve"> </w:t>
      </w:r>
      <w:r>
        <w:t xml:space="preserve">compounds with a capable</w:t>
      </w:r>
      <w:r>
        <w:t xml:space="preserve"> </w:t>
      </w:r>
      <w:r>
        <w:rPr>
          <w:iCs/>
          <w:i/>
        </w:rPr>
        <w:t xml:space="preserve">subanta</w:t>
      </w:r>
      <w:r>
        <w:t xml:space="preserve">, so</w:t>
      </w:r>
      <w:r>
        <w:t xml:space="preserve"> </w:t>
      </w:r>
      <w:r>
        <w:rPr>
          <w:iCs/>
          <w:i/>
        </w:rPr>
        <w:t xml:space="preserve">nañ</w:t>
      </w:r>
      <w:r>
        <w:t xml:space="preserve"> </w:t>
      </w:r>
      <w:r>
        <w:t xml:space="preserve">compounds with</w:t>
      </w:r>
      <w:r>
        <w:t xml:space="preserve"> </w:t>
      </w:r>
      <w:r>
        <w:rPr>
          <w:iCs/>
          <w:i/>
        </w:rPr>
        <w:t xml:space="preserve">hi</w:t>
      </w:r>
      <w:r>
        <w:t xml:space="preserve">; being a compound, final-udātta by</w:t>
      </w:r>
      <w:r>
        <w:t xml:space="preserve"> </w:t>
      </w:r>
      <w:r>
        <w:t xml:space="preserve">“</w:t>
      </w:r>
      <w:r>
        <w:t xml:space="preserve">samāsasya</w:t>
      </w:r>
      <w:r>
        <w:t xml:space="preserve">”</w:t>
      </w:r>
      <w:r>
        <w:t xml:space="preserve"> </w:t>
      </w:r>
      <w:r>
        <w:t xml:space="preserve">(Pā. 6-1-223).</w:t>
      </w:r>
      <w:r>
        <w:t xml:space="preserve"> </w:t>
      </w:r>
      <w:r>
        <w:rPr>
          <w:bCs/>
          <w:b/>
        </w:rPr>
        <w:t xml:space="preserve">त्वा (</w:t>
      </w:r>
      <w:r>
        <w:rPr>
          <w:iCs/>
          <w:i/>
          <w:bCs/>
          <w:b/>
        </w:rPr>
        <w:t xml:space="preserve">tvā</w:t>
      </w:r>
      <w:r>
        <w:rPr>
          <w:bCs/>
          <w:b/>
        </w:rPr>
        <w:t xml:space="preserve">)</w:t>
      </w:r>
      <w:r>
        <w:t xml:space="preserve"> </w:t>
      </w:r>
      <w:r>
        <w:t xml:space="preserve">—</w:t>
      </w:r>
      <w:r>
        <w:t xml:space="preserve"> </w:t>
      </w:r>
      <w:r>
        <w:rPr>
          <w:iCs/>
          <w:i/>
        </w:rPr>
        <w:t xml:space="preserve">yuṣmad</w:t>
      </w:r>
      <w:r>
        <w:t xml:space="preserve"> </w:t>
      </w:r>
      <w:r>
        <w:t xml:space="preserve">+ accusative singular</w:t>
      </w:r>
      <w:r>
        <w:t xml:space="preserve"> </w:t>
      </w:r>
      <w:r>
        <w:rPr>
          <w:iCs/>
          <w:i/>
        </w:rPr>
        <w:t xml:space="preserve">am</w:t>
      </w:r>
      <w:r>
        <w:t xml:space="preserve">; by</w:t>
      </w:r>
      <w:r>
        <w:t xml:space="preserve"> </w:t>
      </w:r>
      <w:r>
        <w:t xml:space="preserve">“</w:t>
      </w:r>
      <w:r>
        <w:t xml:space="preserve">ṅe prathamayor am</w:t>
      </w:r>
      <w:r>
        <w:t xml:space="preserve">”</w:t>
      </w:r>
      <w:r>
        <w:t xml:space="preserve"> </w:t>
      </w:r>
      <w:r>
        <w:t xml:space="preserve">(Pā. 7-1-28) the</w:t>
      </w:r>
      <w:r>
        <w:t xml:space="preserve"> </w:t>
      </w:r>
      <w:r>
        <w:rPr>
          <w:iCs/>
          <w:i/>
        </w:rPr>
        <w:t xml:space="preserve">am</w:t>
      </w:r>
      <w:r>
        <w:t xml:space="preserve"> </w:t>
      </w:r>
      <w:r>
        <w:t xml:space="preserve">is replaced by</w:t>
      </w:r>
      <w:r>
        <w:t xml:space="preserve"> </w:t>
      </w:r>
      <w:r>
        <w:rPr>
          <w:iCs/>
          <w:i/>
        </w:rPr>
        <w:t xml:space="preserve">am</w:t>
      </w:r>
      <w:r>
        <w:t xml:space="preserve">, so that the ending counts as a substitute and</w:t>
      </w:r>
      <w:r>
        <w:t xml:space="preserve"> </w:t>
      </w:r>
      <w:r>
        <w:t xml:space="preserve">“</w:t>
      </w:r>
      <w:r>
        <w:t xml:space="preserve">yo ’ci</w:t>
      </w:r>
      <w:r>
        <w:t xml:space="preserve">”</w:t>
      </w:r>
      <w:r>
        <w:t xml:space="preserve"> </w:t>
      </w:r>
      <w:r>
        <w:t xml:space="preserve">(Pā. 7-2-89, the</w:t>
      </w:r>
      <w:r>
        <w:t xml:space="preserve"> </w:t>
      </w:r>
      <w:r>
        <w:rPr>
          <w:iCs/>
          <w:i/>
        </w:rPr>
        <w:t xml:space="preserve">y</w:t>
      </w:r>
      <w:r>
        <w:t xml:space="preserve">-substitute before a vowel-initial ending not causing</w:t>
      </w:r>
      <w:r>
        <w:t xml:space="preserve"> </w:t>
      </w:r>
      <w:r>
        <w:rPr>
          <w:iCs/>
          <w:i/>
        </w:rPr>
        <w:t xml:space="preserve">ā</w:t>
      </w:r>
      <w:r>
        <w:t xml:space="preserve"> </w:t>
      </w:r>
      <w:r>
        <w:t xml:space="preserve">or</w:t>
      </w:r>
      <w:r>
        <w:t xml:space="preserve"> </w:t>
      </w:r>
      <w:r>
        <w:rPr>
          <w:iCs/>
          <w:i/>
        </w:rPr>
        <w:t xml:space="preserve">y</w:t>
      </w:r>
      <w:r>
        <w:t xml:space="preserve">) does not apply;</w:t>
      </w:r>
      <w:r>
        <w:t xml:space="preserve"> </w:t>
      </w:r>
      <w:r>
        <w:t xml:space="preserve">“</w:t>
      </w:r>
      <w:r>
        <w:t xml:space="preserve">tvamāv ekavacane</w:t>
      </w:r>
      <w:r>
        <w:t xml:space="preserve">”</w:t>
      </w:r>
      <w:r>
        <w:t xml:space="preserve"> </w:t>
      </w:r>
      <w:r>
        <w:t xml:space="preserve">(Pā. 7-2-97) gives</w:t>
      </w:r>
      <w:r>
        <w:t xml:space="preserve"> </w:t>
      </w:r>
      <w:r>
        <w:rPr>
          <w:iCs/>
          <w:i/>
        </w:rPr>
        <w:t xml:space="preserve">tva</w:t>
      </w:r>
      <w:r>
        <w:t xml:space="preserve"> </w:t>
      </w:r>
      <w:r>
        <w:t xml:space="preserve">for the part up to</w:t>
      </w:r>
      <w:r>
        <w:t xml:space="preserve"> </w:t>
      </w:r>
      <w:r>
        <w:rPr>
          <w:iCs/>
          <w:i/>
        </w:rPr>
        <w:t xml:space="preserve">m</w:t>
      </w:r>
      <w:r>
        <w:t xml:space="preserve">:</w:t>
      </w:r>
      <w:r>
        <w:t xml:space="preserve"> </w:t>
      </w:r>
      <w:r>
        <w:rPr>
          <w:iCs/>
          <w:i/>
        </w:rPr>
        <w:t xml:space="preserve">tva</w:t>
      </w:r>
      <w:r>
        <w:t xml:space="preserve"> </w:t>
      </w:r>
      <w:r>
        <w:t xml:space="preserve">+</w:t>
      </w:r>
      <w:r>
        <w:t xml:space="preserve"> </w:t>
      </w:r>
      <w:r>
        <w:rPr>
          <w:iCs/>
          <w:i/>
        </w:rPr>
        <w:t xml:space="preserve">ad</w:t>
      </w:r>
      <w:r>
        <w:t xml:space="preserve"> </w:t>
      </w:r>
      <w:r>
        <w:t xml:space="preserve">+</w:t>
      </w:r>
      <w:r>
        <w:t xml:space="preserve"> </w:t>
      </w:r>
      <w:r>
        <w:rPr>
          <w:iCs/>
          <w:i/>
        </w:rPr>
        <w:t xml:space="preserve">am</w:t>
      </w:r>
      <w:r>
        <w:t xml:space="preserve">;</w:t>
      </w:r>
      <w:r>
        <w:t xml:space="preserve"> </w:t>
      </w:r>
      <w:r>
        <w:t xml:space="preserve">“</w:t>
      </w:r>
      <w:r>
        <w:t xml:space="preserve">dvitīyāyāṃ ca</w:t>
      </w:r>
      <w:r>
        <w:t xml:space="preserve">”</w:t>
      </w:r>
      <w:r>
        <w:t xml:space="preserve"> </w:t>
      </w:r>
      <w:r>
        <w:t xml:space="preserve">(Pā. 7-2-87) gives</w:t>
      </w:r>
      <w:r>
        <w:t xml:space="preserve"> </w:t>
      </w:r>
      <w:r>
        <w:rPr>
          <w:iCs/>
          <w:i/>
        </w:rPr>
        <w:t xml:space="preserve">ā</w:t>
      </w:r>
      <w:r>
        <w:t xml:space="preserve"> </w:t>
      </w:r>
      <w:r>
        <w:t xml:space="preserve">before the accusative;</w:t>
      </w:r>
      <w:r>
        <w:t xml:space="preserve"> </w:t>
      </w:r>
      <w:r>
        <w:rPr>
          <w:iCs/>
          <w:i/>
        </w:rPr>
        <w:t xml:space="preserve">pararūpa</w:t>
      </w:r>
      <w:r>
        <w:t xml:space="preserve"> </w:t>
      </w:r>
      <w:r>
        <w:t xml:space="preserve">by</w:t>
      </w:r>
      <w:r>
        <w:t xml:space="preserve"> </w:t>
      </w:r>
      <w:r>
        <w:t xml:space="preserve">“</w:t>
      </w:r>
      <w:r>
        <w:t xml:space="preserve">ato guṇe</w:t>
      </w:r>
      <w:r>
        <w:t xml:space="preserve">”</w:t>
      </w:r>
      <w:r>
        <w:t xml:space="preserve"> </w:t>
      </w:r>
      <w:r>
        <w:t xml:space="preserve">(Pā. 6-1-97),</w:t>
      </w:r>
      <w:r>
        <w:t xml:space="preserve"> </w:t>
      </w:r>
      <w:r>
        <w:rPr>
          <w:iCs/>
          <w:i/>
        </w:rPr>
        <w:t xml:space="preserve">savarṇa-dīrgha</w:t>
      </w:r>
      <w:r>
        <w:t xml:space="preserve"> </w:t>
      </w:r>
      <w:r>
        <w:t xml:space="preserve">by</w:t>
      </w:r>
      <w:r>
        <w:t xml:space="preserve"> </w:t>
      </w:r>
      <w:r>
        <w:t xml:space="preserve">“</w:t>
      </w:r>
      <w:r>
        <w:t xml:space="preserve">akaḥ savarṇe dīrghaḥ</w:t>
      </w:r>
      <w:r>
        <w:t xml:space="preserve">”</w:t>
      </w:r>
      <w:r>
        <w:t xml:space="preserve"> </w:t>
      </w:r>
      <w:r>
        <w:t xml:space="preserve">(Pā. 6-1-101),</w:t>
      </w:r>
      <w:r>
        <w:t xml:space="preserve"> </w:t>
      </w:r>
      <w:r>
        <w:rPr>
          <w:iCs/>
          <w:i/>
        </w:rPr>
        <w:t xml:space="preserve">pūrvarūpa</w:t>
      </w:r>
      <w:r>
        <w:t xml:space="preserve"> </w:t>
      </w:r>
      <w:r>
        <w:t xml:space="preserve">by</w:t>
      </w:r>
      <w:r>
        <w:t xml:space="preserve"> </w:t>
      </w:r>
      <w:r>
        <w:t xml:space="preserve">“</w:t>
      </w:r>
      <w:r>
        <w:t xml:space="preserve">ami pūrvaḥ</w:t>
      </w:r>
      <w:r>
        <w:t xml:space="preserve">”</w:t>
      </w:r>
      <w:r>
        <w:t xml:space="preserve"> </w:t>
      </w:r>
      <w:r>
        <w:t xml:space="preserve">(Pā. 6-1-107):</w:t>
      </w:r>
      <w:r>
        <w:t xml:space="preserve"> </w:t>
      </w:r>
      <w:r>
        <w:rPr>
          <w:iCs/>
          <w:i/>
        </w:rPr>
        <w:t xml:space="preserve">tvām</w:t>
      </w:r>
      <w:r>
        <w:t xml:space="preserve">; then, under the headings</w:t>
      </w:r>
      <w:r>
        <w:t xml:space="preserve"> </w:t>
      </w:r>
      <w:r>
        <w:t xml:space="preserve">“</w:t>
      </w:r>
      <w:r>
        <w:t xml:space="preserve">padasya</w:t>
      </w:r>
      <w:r>
        <w:t xml:space="preserve">”</w:t>
      </w:r>
      <w:r>
        <w:t xml:space="preserve">,</w:t>
      </w:r>
      <w:r>
        <w:t xml:space="preserve"> </w:t>
      </w:r>
      <w:r>
        <w:t xml:space="preserve">“</w:t>
      </w:r>
      <w:r>
        <w:t xml:space="preserve">padāt</w:t>
      </w:r>
      <w:r>
        <w:t xml:space="preserve">”</w:t>
      </w:r>
      <w:r>
        <w:t xml:space="preserve"> </w:t>
      </w:r>
      <w:r>
        <w:t xml:space="preserve">and</w:t>
      </w:r>
      <w:r>
        <w:t xml:space="preserve"> </w:t>
      </w:r>
      <w:r>
        <w:t xml:space="preserve">“</w:t>
      </w:r>
      <w:r>
        <w:t xml:space="preserve">anudāttaṃ sarvam apādādau</w:t>
      </w:r>
      <w:r>
        <w:t xml:space="preserve">”</w:t>
      </w:r>
      <w:r>
        <w:t xml:space="preserve"> </w:t>
      </w:r>
      <w:r>
        <w:t xml:space="preserve">(8-1-18),</w:t>
      </w:r>
      <w:r>
        <w:t xml:space="preserve"> </w:t>
      </w:r>
      <w:r>
        <w:t xml:space="preserve">“</w:t>
      </w:r>
      <w:r>
        <w:t xml:space="preserve">tvāmau dvitīyāyāḥ</w:t>
      </w:r>
      <w:r>
        <w:t xml:space="preserve">”</w:t>
      </w:r>
      <w:r>
        <w:t xml:space="preserve"> </w:t>
      </w:r>
      <w:r>
        <w:t xml:space="preserve">(Pā. 8-1-23) gives the unaccented substitute</w:t>
      </w:r>
      <w:r>
        <w:t xml:space="preserve"> </w:t>
      </w:r>
      <w:r>
        <w:rPr>
          <w:iCs/>
          <w:i/>
        </w:rPr>
        <w:t xml:space="preserve">tvā</w:t>
      </w:r>
      <w:r>
        <w:t xml:space="preserve"> </w:t>
      </w:r>
      <w:r>
        <w:t xml:space="preserve">when not at the beginning of a pāda.</w:t>
      </w:r>
      <w:r>
        <w:t xml:space="preserve"> </w:t>
      </w:r>
      <w:r>
        <w:rPr>
          <w:bCs/>
          <w:b/>
        </w:rPr>
        <w:t xml:space="preserve">रोदसी (</w:t>
      </w:r>
      <w:r>
        <w:rPr>
          <w:iCs/>
          <w:i/>
          <w:bCs/>
          <w:b/>
        </w:rPr>
        <w:t xml:space="preserve">rodasī</w:t>
      </w:r>
      <w:r>
        <w:rPr>
          <w:bCs/>
          <w:b/>
        </w:rPr>
        <w:t xml:space="preserve">)</w:t>
      </w:r>
      <w:r>
        <w:t xml:space="preserve"> </w:t>
      </w:r>
      <w:r>
        <w:t xml:space="preserve">— root</w:t>
      </w:r>
      <w:r>
        <w:t xml:space="preserve"> </w:t>
      </w:r>
      <w:r>
        <w:rPr>
          <w:iCs/>
          <w:i/>
        </w:rPr>
        <w:t xml:space="preserve">rud</w:t>
      </w:r>
      <w:r>
        <w:t xml:space="preserve"> </w:t>
      </w:r>
      <w:r>
        <w:t xml:space="preserve">+</w:t>
      </w:r>
      <w:r>
        <w:t xml:space="preserve"> </w:t>
      </w:r>
      <w:r>
        <w:rPr>
          <w:iCs/>
          <w:i/>
        </w:rPr>
        <w:t xml:space="preserve">asun</w:t>
      </w:r>
      <w:r>
        <w:t xml:space="preserve"> </w:t>
      </w:r>
      <w:r>
        <w:t xml:space="preserve">(</w:t>
      </w:r>
      <w:r>
        <w:t xml:space="preserve">“</w:t>
      </w:r>
      <w:r>
        <w:t xml:space="preserve">sarvadhātubhyo ’sun,</w:t>
      </w:r>
      <w:r>
        <w:t xml:space="preserve">”</w:t>
      </w:r>
      <w:r>
        <w:t xml:space="preserve"> </w:t>
      </w:r>
      <w:r>
        <w:t xml:space="preserve">Uṇ. 4-628 [as printed]),</w:t>
      </w:r>
      <w:r>
        <w:t xml:space="preserve"> </w:t>
      </w:r>
      <w:r>
        <w:rPr>
          <w:iCs/>
          <w:i/>
        </w:rPr>
        <w:t xml:space="preserve">laghūpadha-guṇa</w:t>
      </w:r>
      <w:r>
        <w:t xml:space="preserve">,</w:t>
      </w:r>
      <w:r>
        <w:t xml:space="preserve"> </w:t>
      </w:r>
      <w:r>
        <w:rPr>
          <w:iCs/>
          <w:i/>
        </w:rPr>
        <w:t xml:space="preserve">rodas</w:t>
      </w:r>
      <w:r>
        <w:t xml:space="preserve">, initial-udātta since</w:t>
      </w:r>
      <w:r>
        <w:t xml:space="preserve"> </w:t>
      </w:r>
      <w:r>
        <w:rPr>
          <w:iCs/>
          <w:i/>
        </w:rPr>
        <w:t xml:space="preserve">nit</w:t>
      </w:r>
      <w:r>
        <w:t xml:space="preserve">; the</w:t>
      </w:r>
      <w:r>
        <w:t xml:space="preserve"> </w:t>
      </w:r>
      <w:r>
        <w:rPr>
          <w:iCs/>
          <w:i/>
        </w:rPr>
        <w:t xml:space="preserve">u</w:t>
      </w:r>
      <w:r>
        <w:t xml:space="preserve"> </w:t>
      </w:r>
      <w:r>
        <w:t xml:space="preserve">of</w:t>
      </w:r>
      <w:r>
        <w:t xml:space="preserve"> </w:t>
      </w:r>
      <w:r>
        <w:rPr>
          <w:iCs/>
          <w:i/>
        </w:rPr>
        <w:t xml:space="preserve">asun</w:t>
      </w:r>
      <w:r>
        <w:t xml:space="preserve"> </w:t>
      </w:r>
      <w:r>
        <w:t xml:space="preserve">being</w:t>
      </w:r>
      <w:r>
        <w:t xml:space="preserve"> </w:t>
      </w:r>
      <w:r>
        <w:rPr>
          <w:iCs/>
          <w:i/>
        </w:rPr>
        <w:t xml:space="preserve">it</w:t>
      </w:r>
      <w:r>
        <w:t xml:space="preserve">,</w:t>
      </w:r>
      <w:r>
        <w:t xml:space="preserve"> </w:t>
      </w:r>
      <w:r>
        <w:rPr>
          <w:iCs/>
          <w:i/>
        </w:rPr>
        <w:t xml:space="preserve">rodas</w:t>
      </w:r>
      <w:r>
        <w:t xml:space="preserve"> </w:t>
      </w:r>
      <w:r>
        <w:t xml:space="preserve">is</w:t>
      </w:r>
      <w:r>
        <w:t xml:space="preserve"> </w:t>
      </w:r>
      <w:r>
        <w:rPr>
          <w:iCs/>
          <w:i/>
        </w:rPr>
        <w:t xml:space="preserve">ugit</w:t>
      </w:r>
      <w:r>
        <w:t xml:space="preserve">, so</w:t>
      </w:r>
      <w:r>
        <w:t xml:space="preserve"> </w:t>
      </w:r>
      <w:r>
        <w:rPr>
          <w:iCs/>
          <w:i/>
        </w:rPr>
        <w:t xml:space="preserve">ṅīp</w:t>
      </w:r>
      <w:r>
        <w:t xml:space="preserve"> </w:t>
      </w:r>
      <w:r>
        <w:t xml:space="preserve">in the feminine by</w:t>
      </w:r>
      <w:r>
        <w:t xml:space="preserve"> </w:t>
      </w:r>
      <w:r>
        <w:t xml:space="preserve">“</w:t>
      </w:r>
      <w:r>
        <w:t xml:space="preserve">ugitaś ca</w:t>
      </w:r>
      <w:r>
        <w:t xml:space="preserve">”</w:t>
      </w:r>
      <w:r>
        <w:t xml:space="preserve"> </w:t>
      </w:r>
      <w:r>
        <w:t xml:space="preserve">(Pā. 4-1-6);</w:t>
      </w:r>
      <w:r>
        <w:t xml:space="preserve"> </w:t>
      </w:r>
      <w:r>
        <w:rPr>
          <w:iCs/>
          <w:i/>
        </w:rPr>
        <w:t xml:space="preserve">ṅīp</w:t>
      </w:r>
      <w:r>
        <w:t xml:space="preserve"> </w:t>
      </w:r>
      <w:r>
        <w:t xml:space="preserve">is</w:t>
      </w:r>
      <w:r>
        <w:t xml:space="preserve"> </w:t>
      </w:r>
      <w:r>
        <w:rPr>
          <w:iCs/>
          <w:i/>
        </w:rPr>
        <w:t xml:space="preserve">pit</w:t>
      </w:r>
      <w:r>
        <w:t xml:space="preserve">, so unaccented.</w:t>
      </w:r>
      <w:r>
        <w:t xml:space="preserve"> </w:t>
      </w:r>
      <w:r>
        <w:rPr>
          <w:bCs/>
          <w:b/>
        </w:rPr>
        <w:t xml:space="preserve">उभे (</w:t>
      </w:r>
      <w:r>
        <w:rPr>
          <w:iCs/>
          <w:i/>
          <w:bCs/>
          <w:b/>
        </w:rPr>
        <w:t xml:space="preserve">ubhe</w:t>
      </w:r>
      <w:r>
        <w:rPr>
          <w:bCs/>
          <w:b/>
        </w:rPr>
        <w:t xml:space="preserve">)</w:t>
      </w:r>
      <w:r>
        <w:t xml:space="preserve"> </w:t>
      </w:r>
      <w:r>
        <w:t xml:space="preserve">—</w:t>
      </w:r>
      <w:r>
        <w:t xml:space="preserve"> </w:t>
      </w:r>
      <w:r>
        <w:rPr>
          <w:iCs/>
          <w:i/>
        </w:rPr>
        <w:t xml:space="preserve">ubha</w:t>
      </w:r>
      <w:r>
        <w:t xml:space="preserve"> </w:t>
      </w:r>
      <w:r>
        <w:t xml:space="preserve">is final-udātta by the stem accent;</w:t>
      </w:r>
      <w:r>
        <w:t xml:space="preserve"> </w:t>
      </w:r>
      <w:r>
        <w:rPr>
          <w:iCs/>
          <w:i/>
        </w:rPr>
        <w:t xml:space="preserve">ṭāp</w:t>
      </w:r>
      <w:r>
        <w:t xml:space="preserve"> </w:t>
      </w:r>
      <w:r>
        <w:t xml:space="preserve">by</w:t>
      </w:r>
      <w:r>
        <w:t xml:space="preserve"> </w:t>
      </w:r>
      <w:r>
        <w:t xml:space="preserve">“</w:t>
      </w:r>
      <w:r>
        <w:t xml:space="preserve">ajādyataṣ ṭāp</w:t>
      </w:r>
      <w:r>
        <w:t xml:space="preserve">”</w:t>
      </w:r>
      <w:r>
        <w:t xml:space="preserve"> </w:t>
      </w:r>
      <w:r>
        <w:t xml:space="preserve">(printed</w:t>
      </w:r>
      <w:r>
        <w:t xml:space="preserve"> </w:t>
      </w:r>
      <w:r>
        <w:t xml:space="preserve">“</w:t>
      </w:r>
      <w:r>
        <w:t xml:space="preserve">8-1-4</w:t>
      </w:r>
      <w:r>
        <w:t xml:space="preserve">”</w:t>
      </w:r>
      <w:r>
        <w:t xml:space="preserve"> </w:t>
      </w:r>
      <w:r>
        <w:t xml:space="preserve">[as printed], i.e. 4-1-4), unaccented as</w:t>
      </w:r>
      <w:r>
        <w:t xml:space="preserve"> </w:t>
      </w:r>
      <w:r>
        <w:rPr>
          <w:iCs/>
          <w:i/>
        </w:rPr>
        <w:t xml:space="preserve">pit</w:t>
      </w:r>
      <w:r>
        <w:t xml:space="preserve">;</w:t>
      </w:r>
      <w:r>
        <w:t xml:space="preserve"> </w:t>
      </w:r>
      <w:r>
        <w:rPr>
          <w:iCs/>
          <w:i/>
        </w:rPr>
        <w:t xml:space="preserve">ubha</w:t>
      </w:r>
      <w:r>
        <w:t xml:space="preserve"> </w:t>
      </w:r>
      <w:r>
        <w:t xml:space="preserve">+</w:t>
      </w:r>
      <w:r>
        <w:t xml:space="preserve"> </w:t>
      </w:r>
      <w:r>
        <w:rPr>
          <w:iCs/>
          <w:i/>
        </w:rPr>
        <w:t xml:space="preserve">ā</w:t>
      </w:r>
      <w:r>
        <w:t xml:space="preserve"> </w:t>
      </w:r>
      <w:r>
        <w:t xml:space="preserve">→</w:t>
      </w:r>
      <w:r>
        <w:t xml:space="preserve"> </w:t>
      </w:r>
      <w:r>
        <w:rPr>
          <w:iCs/>
          <w:i/>
        </w:rPr>
        <w:t xml:space="preserve">savarṇa-dīrgha</w:t>
      </w:r>
      <w:r>
        <w:t xml:space="preserve">, udātta by</w:t>
      </w:r>
      <w:r>
        <w:t xml:space="preserve"> </w:t>
      </w:r>
      <w:r>
        <w:t xml:space="preserve">“</w:t>
      </w:r>
      <w:r>
        <w:t xml:space="preserve">ekādeśa udāttenodāttaḥ</w:t>
      </w:r>
      <w:r>
        <w:t xml:space="preserve">”</w:t>
      </w:r>
      <w:r>
        <w:t xml:space="preserve">; before the nominative/accusative dual</w:t>
      </w:r>
      <w:r>
        <w:t xml:space="preserve"> </w:t>
      </w:r>
      <w:r>
        <w:rPr>
          <w:iCs/>
          <w:i/>
        </w:rPr>
        <w:t xml:space="preserve">au</w:t>
      </w:r>
      <w:r>
        <w:t xml:space="preserve">,</w:t>
      </w:r>
      <w:r>
        <w:t xml:space="preserve"> </w:t>
      </w:r>
      <w:r>
        <w:t xml:space="preserve">“</w:t>
      </w:r>
      <w:r>
        <w:t xml:space="preserve">auṅa āpaḥ</w:t>
      </w:r>
      <w:r>
        <w:t xml:space="preserve">”</w:t>
      </w:r>
      <w:r>
        <w:t xml:space="preserve"> </w:t>
      </w:r>
      <w:r>
        <w:t xml:space="preserve">(Pā. 7-1-18) gives</w:t>
      </w:r>
      <w:r>
        <w:t xml:space="preserve"> </w:t>
      </w:r>
      <w:r>
        <w:rPr>
          <w:iCs/>
          <w:i/>
        </w:rPr>
        <w:t xml:space="preserve">śī</w:t>
      </w:r>
      <w:r>
        <w:t xml:space="preserve">, the</w:t>
      </w:r>
      <w:r>
        <w:t xml:space="preserve"> </w:t>
      </w:r>
      <w:r>
        <w:rPr>
          <w:iCs/>
          <w:i/>
        </w:rPr>
        <w:t xml:space="preserve">ś</w:t>
      </w:r>
      <w:r>
        <w:t xml:space="preserve"> </w:t>
      </w:r>
      <w:r>
        <w:t xml:space="preserve">dropped as</w:t>
      </w:r>
      <w:r>
        <w:t xml:space="preserve"> </w:t>
      </w:r>
      <w:r>
        <w:rPr>
          <w:iCs/>
          <w:i/>
        </w:rPr>
        <w:t xml:space="preserve">it</w:t>
      </w:r>
      <w:r>
        <w:t xml:space="preserve">:</w:t>
      </w:r>
      <w:r>
        <w:t xml:space="preserve"> </w:t>
      </w:r>
      <w:r>
        <w:rPr>
          <w:iCs/>
          <w:i/>
        </w:rPr>
        <w:t xml:space="preserve">ubhā</w:t>
      </w:r>
      <w:r>
        <w:t xml:space="preserve"> </w:t>
      </w:r>
      <w:r>
        <w:t xml:space="preserve">+</w:t>
      </w:r>
      <w:r>
        <w:t xml:space="preserve"> </w:t>
      </w:r>
      <w:r>
        <w:rPr>
          <w:iCs/>
          <w:i/>
        </w:rPr>
        <w:t xml:space="preserve">ī</w:t>
      </w:r>
      <w:r>
        <w:t xml:space="preserve">, the</w:t>
      </w:r>
      <w:r>
        <w:t xml:space="preserve"> </w:t>
      </w:r>
      <w:r>
        <w:rPr>
          <w:iCs/>
          <w:i/>
        </w:rPr>
        <w:t xml:space="preserve">ī</w:t>
      </w:r>
      <w:r>
        <w:t xml:space="preserve"> </w:t>
      </w:r>
      <w:r>
        <w:t xml:space="preserve">unaccented as a</w:t>
      </w:r>
      <w:r>
        <w:t xml:space="preserve"> </w:t>
      </w:r>
      <w:r>
        <w:rPr>
          <w:iCs/>
          <w:i/>
        </w:rPr>
        <w:t xml:space="preserve">sup</w:t>
      </w:r>
      <w:r>
        <w:t xml:space="preserve">;</w:t>
      </w:r>
      <w:r>
        <w:t xml:space="preserve"> </w:t>
      </w:r>
      <w:r>
        <w:t xml:space="preserve">“</w:t>
      </w:r>
      <w:r>
        <w:t xml:space="preserve">ād guṇaḥ</w:t>
      </w:r>
      <w:r>
        <w:t xml:space="preserve">”</w:t>
      </w:r>
      <w:r>
        <w:t xml:space="preserve"> </w:t>
      </w:r>
      <w:r>
        <w:t xml:space="preserve">(Pā. 6-1-87) gives</w:t>
      </w:r>
      <w:r>
        <w:t xml:space="preserve"> </w:t>
      </w:r>
      <w:r>
        <w:rPr>
          <w:iCs/>
          <w:i/>
        </w:rPr>
        <w:t xml:space="preserve">e</w:t>
      </w:r>
      <w:r>
        <w:t xml:space="preserve">, udātta as a single substitute.</w:t>
      </w:r>
      <w:r>
        <w:t xml:space="preserve"> </w:t>
      </w:r>
      <w:r>
        <w:rPr>
          <w:bCs/>
          <w:b/>
        </w:rPr>
        <w:t xml:space="preserve">ऋघायमाणम् (</w:t>
      </w:r>
      <w:r>
        <w:rPr>
          <w:iCs/>
          <w:i/>
          <w:bCs/>
          <w:b/>
        </w:rPr>
        <w:t xml:space="preserve">ṛghāyamāṇam</w:t>
      </w:r>
      <w:r>
        <w:rPr>
          <w:bCs/>
          <w:b/>
        </w:rPr>
        <w:t xml:space="preserve">)</w:t>
      </w:r>
      <w:r>
        <w:t xml:space="preserve"> </w:t>
      </w:r>
      <w:r>
        <w:t xml:space="preserve">—</w:t>
      </w:r>
      <w:r>
        <w:t xml:space="preserve"> </w:t>
      </w:r>
      <w:r>
        <w:t xml:space="preserve">“</w:t>
      </w:r>
      <w:r>
        <w:t xml:space="preserve">nṝn hanti</w:t>
      </w:r>
      <w:r>
        <w:t xml:space="preserve">”</w:t>
      </w:r>
      <w:r>
        <w:t xml:space="preserve"> </w:t>
      </w:r>
      <w:r>
        <w:t xml:space="preserve">[</w:t>
      </w:r>
      <w:r>
        <w:t xml:space="preserve">“</w:t>
      </w:r>
      <w:r>
        <w:t xml:space="preserve">he slays men</w:t>
      </w:r>
      <w:r>
        <w:t xml:space="preserve">”</w:t>
      </w:r>
      <w:r>
        <w:t xml:space="preserve">] gives</w:t>
      </w:r>
      <w:r>
        <w:t xml:space="preserve"> </w:t>
      </w:r>
      <w:r>
        <w:rPr>
          <w:iCs/>
          <w:i/>
        </w:rPr>
        <w:t xml:space="preserve">ṛghā</w:t>
      </w:r>
      <w:r>
        <w:t xml:space="preserve"> </w:t>
      </w:r>
      <w:r>
        <w:t xml:space="preserve">in the nominative singular: with</w:t>
      </w:r>
      <w:r>
        <w:t xml:space="preserve"> </w:t>
      </w:r>
      <w:r>
        <w:rPr>
          <w:iCs/>
          <w:i/>
        </w:rPr>
        <w:t xml:space="preserve">nṝn</w:t>
      </w:r>
      <w:r>
        <w:t xml:space="preserve"> </w:t>
      </w:r>
      <w:r>
        <w:t xml:space="preserve">as</w:t>
      </w:r>
      <w:r>
        <w:t xml:space="preserve"> </w:t>
      </w:r>
      <w:r>
        <w:rPr>
          <w:iCs/>
          <w:i/>
        </w:rPr>
        <w:t xml:space="preserve">upapada</w:t>
      </w:r>
      <w:r>
        <w:t xml:space="preserve">,</w:t>
      </w:r>
      <w:r>
        <w:t xml:space="preserve"> </w:t>
      </w:r>
      <w:r>
        <w:rPr>
          <w:iCs/>
          <w:i/>
        </w:rPr>
        <w:t xml:space="preserve">han</w:t>
      </w:r>
      <w:r>
        <w:t xml:space="preserve"> </w:t>
      </w:r>
      <w:r>
        <w:t xml:space="preserve">takes</w:t>
      </w:r>
      <w:r>
        <w:t xml:space="preserve"> </w:t>
      </w:r>
      <w:r>
        <w:rPr>
          <w:iCs/>
          <w:i/>
        </w:rPr>
        <w:t xml:space="preserve">vic</w:t>
      </w:r>
      <w:r>
        <w:t xml:space="preserve"> </w:t>
      </w:r>
      <w:r>
        <w:t xml:space="preserve">by</w:t>
      </w:r>
      <w:r>
        <w:t xml:space="preserve"> </w:t>
      </w:r>
      <w:r>
        <w:t xml:space="preserve">“</w:t>
      </w:r>
      <w:r>
        <w:t xml:space="preserve">anyebhyo ’pi dṛśyante</w:t>
      </w:r>
      <w:r>
        <w:t xml:space="preserve">”</w:t>
      </w:r>
      <w:r>
        <w:t xml:space="preserve"> </w:t>
      </w:r>
      <w:r>
        <w:t xml:space="preserve">(Pā. 3-2-75); all of</w:t>
      </w:r>
      <w:r>
        <w:t xml:space="preserve"> </w:t>
      </w:r>
      <w:r>
        <w:rPr>
          <w:iCs/>
          <w:i/>
        </w:rPr>
        <w:t xml:space="preserve">vic</w:t>
      </w:r>
      <w:r>
        <w:t xml:space="preserve"> </w:t>
      </w:r>
      <w:r>
        <w:t xml:space="preserve">drops; as a</w:t>
      </w:r>
      <w:r>
        <w:t xml:space="preserve"> </w:t>
      </w:r>
      <w:r>
        <w:rPr>
          <w:iCs/>
          <w:i/>
        </w:rPr>
        <w:t xml:space="preserve">kṛdanta</w:t>
      </w:r>
      <w:r>
        <w:t xml:space="preserve"> </w:t>
      </w:r>
      <w:r>
        <w:t xml:space="preserve">it is a</w:t>
      </w:r>
      <w:r>
        <w:t xml:space="preserve"> </w:t>
      </w:r>
      <w:r>
        <w:rPr>
          <w:iCs/>
          <w:i/>
        </w:rPr>
        <w:t xml:space="preserve">prātipadika</w:t>
      </w:r>
      <w:r>
        <w:t xml:space="preserve">; the</w:t>
      </w:r>
      <w:r>
        <w:t xml:space="preserve"> </w:t>
      </w:r>
      <w:r>
        <w:rPr>
          <w:iCs/>
          <w:i/>
        </w:rPr>
        <w:t xml:space="preserve">śas</w:t>
      </w:r>
      <w:r>
        <w:t xml:space="preserve"> </w:t>
      </w:r>
      <w:r>
        <w:t xml:space="preserve">is dropped by</w:t>
      </w:r>
      <w:r>
        <w:t xml:space="preserve"> </w:t>
      </w:r>
      <w:r>
        <w:t xml:space="preserve">“</w:t>
      </w:r>
      <w:r>
        <w:t xml:space="preserve">supo dhātuprātipadikayoḥ</w:t>
      </w:r>
      <w:r>
        <w:t xml:space="preserve">”</w:t>
      </w:r>
      <w:r>
        <w:t xml:space="preserve"> </w:t>
      </w:r>
      <w:r>
        <w:t xml:space="preserve">(Pā. 2-4-71); the word</w:t>
      </w:r>
      <w:r>
        <w:t xml:space="preserve"> </w:t>
      </w:r>
      <w:r>
        <w:t xml:space="preserve">“</w:t>
      </w:r>
      <w:r>
        <w:t xml:space="preserve">dṛśyante</w:t>
      </w:r>
      <w:r>
        <w:t xml:space="preserve">”</w:t>
      </w:r>
      <w:r>
        <w:t xml:space="preserve"> </w:t>
      </w:r>
      <w:r>
        <w:t xml:space="preserve">in the sūtra serves to include other operations, so the</w:t>
      </w:r>
      <w:r>
        <w:t xml:space="preserve"> </w:t>
      </w:r>
      <w:r>
        <w:rPr>
          <w:iCs/>
          <w:i/>
        </w:rPr>
        <w:t xml:space="preserve">n</w:t>
      </w:r>
      <w:r>
        <w:t xml:space="preserve"> </w:t>
      </w:r>
      <w:r>
        <w:t xml:space="preserve">of</w:t>
      </w:r>
      <w:r>
        <w:t xml:space="preserve"> </w:t>
      </w:r>
      <w:r>
        <w:rPr>
          <w:iCs/>
          <w:i/>
        </w:rPr>
        <w:t xml:space="preserve">nṛ</w:t>
      </w:r>
      <w:r>
        <w:t xml:space="preserve"> </w:t>
      </w:r>
      <w:r>
        <w:t xml:space="preserve">is dropped and the</w:t>
      </w:r>
      <w:r>
        <w:t xml:space="preserve"> </w:t>
      </w:r>
      <w:r>
        <w:rPr>
          <w:iCs/>
          <w:i/>
        </w:rPr>
        <w:t xml:space="preserve">h</w:t>
      </w:r>
      <w:r>
        <w:t xml:space="preserve"> </w:t>
      </w:r>
      <w:r>
        <w:t xml:space="preserve">of</w:t>
      </w:r>
      <w:r>
        <w:t xml:space="preserve"> </w:t>
      </w:r>
      <w:r>
        <w:rPr>
          <w:iCs/>
          <w:i/>
        </w:rPr>
        <w:t xml:space="preserve">han</w:t>
      </w:r>
      <w:r>
        <w:t xml:space="preserve"> </w:t>
      </w:r>
      <w:r>
        <w:t xml:space="preserve">becomes</w:t>
      </w:r>
      <w:r>
        <w:t xml:space="preserve"> </w:t>
      </w:r>
      <w:r>
        <w:rPr>
          <w:iCs/>
          <w:i/>
        </w:rPr>
        <w:t xml:space="preserve">gh</w:t>
      </w:r>
      <w:r>
        <w:t xml:space="preserve">:</w:t>
      </w:r>
      <w:r>
        <w:t xml:space="preserve"> </w:t>
      </w:r>
      <w:r>
        <w:rPr>
          <w:iCs/>
          <w:i/>
        </w:rPr>
        <w:t xml:space="preserve">ṛghan</w:t>
      </w:r>
      <w:r>
        <w:t xml:space="preserve">. In the sense</w:t>
      </w:r>
      <w:r>
        <w:t xml:space="preserve"> </w:t>
      </w:r>
      <w:r>
        <w:t xml:space="preserve">“</w:t>
      </w:r>
      <w:r>
        <w:t xml:space="preserve">becoming</w:t>
      </w:r>
      <w:r>
        <w:t xml:space="preserve"> </w:t>
      </w:r>
      <w:r>
        <w:rPr>
          <w:iCs/>
          <w:i/>
        </w:rPr>
        <w:t xml:space="preserve">ṛghā</w:t>
      </w:r>
      <w:r>
        <w:t xml:space="preserve">, which one was not</w:t>
      </w:r>
      <w:r>
        <w:t xml:space="preserve">”</w:t>
      </w:r>
      <w:r>
        <w:t xml:space="preserve"> </w:t>
      </w:r>
      <w:r>
        <w:t xml:space="preserve">(</w:t>
      </w:r>
      <w:r>
        <w:rPr>
          <w:iCs/>
          <w:i/>
        </w:rPr>
        <w:t xml:space="preserve">abhūtatadbhāva</w:t>
      </w:r>
      <w:r>
        <w:t xml:space="preserve">),</w:t>
      </w:r>
      <w:r>
        <w:t xml:space="preserve"> </w:t>
      </w:r>
      <w:r>
        <w:rPr>
          <w:iCs/>
          <w:i/>
        </w:rPr>
        <w:t xml:space="preserve">kyaṣ</w:t>
      </w:r>
      <w:r>
        <w:t xml:space="preserve"> </w:t>
      </w:r>
      <w:r>
        <w:t xml:space="preserve">by</w:t>
      </w:r>
      <w:r>
        <w:t xml:space="preserve"> </w:t>
      </w:r>
      <w:r>
        <w:t xml:space="preserve">“</w:t>
      </w:r>
      <w:r>
        <w:t xml:space="preserve">lohitādiḍājbhyaḥ kyaṣ</w:t>
      </w:r>
      <w:r>
        <w:t xml:space="preserve">”</w:t>
      </w:r>
      <w:r>
        <w:t xml:space="preserve"> </w:t>
      </w:r>
      <w:r>
        <w:t xml:space="preserve">(Pā. 3-1-13), the Lohitādi being an open (</w:t>
      </w:r>
      <w:r>
        <w:rPr>
          <w:iCs/>
          <w:i/>
        </w:rPr>
        <w:t xml:space="preserve">ākṛti</w:t>
      </w:r>
      <w:r>
        <w:t xml:space="preserve">) group;</w:t>
      </w:r>
      <w:r>
        <w:t xml:space="preserve"> </w:t>
      </w:r>
      <w:r>
        <w:rPr>
          <w:iCs/>
          <w:i/>
        </w:rPr>
        <w:t xml:space="preserve">k</w:t>
      </w:r>
      <w:r>
        <w:t xml:space="preserve"> </w:t>
      </w:r>
      <w:r>
        <w:t xml:space="preserve">and</w:t>
      </w:r>
      <w:r>
        <w:t xml:space="preserve"> </w:t>
      </w:r>
      <w:r>
        <w:rPr>
          <w:iCs/>
          <w:i/>
        </w:rPr>
        <w:t xml:space="preserve">ṣ</w:t>
      </w:r>
      <w:r>
        <w:t xml:space="preserve"> </w:t>
      </w:r>
      <w:r>
        <w:t xml:space="preserve">are</w:t>
      </w:r>
      <w:r>
        <w:t xml:space="preserve"> </w:t>
      </w:r>
      <w:r>
        <w:rPr>
          <w:iCs/>
          <w:i/>
        </w:rPr>
        <w:t xml:space="preserve">it</w:t>
      </w:r>
      <w:r>
        <w:t xml:space="preserve">; with</w:t>
      </w:r>
      <w:r>
        <w:t xml:space="preserve"> </w:t>
      </w:r>
      <w:r>
        <w:t xml:space="preserve">“</w:t>
      </w:r>
      <w:r>
        <w:t xml:space="preserve">lopaś ca halaḥ</w:t>
      </w:r>
      <w:r>
        <w:t xml:space="preserve">”</w:t>
      </w:r>
      <w:r>
        <w:t xml:space="preserve"> </w:t>
      </w:r>
      <w:r>
        <w:t xml:space="preserve">carried from</w:t>
      </w:r>
      <w:r>
        <w:t xml:space="preserve"> </w:t>
      </w:r>
      <w:r>
        <w:t xml:space="preserve">“</w:t>
      </w:r>
      <w:r>
        <w:t xml:space="preserve">bhṛśādibhyo bhuvy acver lopaś ca halaḥ</w:t>
      </w:r>
      <w:r>
        <w:t xml:space="preserve">”</w:t>
      </w:r>
      <w:r>
        <w:t xml:space="preserve"> </w:t>
      </w:r>
      <w:r>
        <w:t xml:space="preserve">(Pā. 3-1-12), the final consonant is dropped; the</w:t>
      </w:r>
      <w:r>
        <w:t xml:space="preserve"> </w:t>
      </w:r>
      <w:r>
        <w:rPr>
          <w:iCs/>
          <w:i/>
        </w:rPr>
        <w:t xml:space="preserve">a</w:t>
      </w:r>
      <w:r>
        <w:t xml:space="preserve"> </w:t>
      </w:r>
      <w:r>
        <w:t xml:space="preserve">lengthened by</w:t>
      </w:r>
      <w:r>
        <w:t xml:space="preserve"> </w:t>
      </w:r>
      <w:r>
        <w:t xml:space="preserve">“</w:t>
      </w:r>
      <w:r>
        <w:t xml:space="preserve">akṛtsārvadhātukayoḥ</w:t>
      </w:r>
      <w:r>
        <w:t xml:space="preserve">”</w:t>
      </w:r>
      <w:r>
        <w:t xml:space="preserve"> </w:t>
      </w:r>
      <w:r>
        <w:t xml:space="preserve">(printed</w:t>
      </w:r>
      <w:r>
        <w:t xml:space="preserve"> </w:t>
      </w:r>
      <w:r>
        <w:t xml:space="preserve">“</w:t>
      </w:r>
      <w:r>
        <w:t xml:space="preserve">7-8-35</w:t>
      </w:r>
      <w:r>
        <w:t xml:space="preserve">”</w:t>
      </w:r>
      <w:r>
        <w:t xml:space="preserve"> </w:t>
      </w:r>
      <w:r>
        <w:t xml:space="preserve">[as printed], i.e. 7-4-25):</w:t>
      </w:r>
      <w:r>
        <w:t xml:space="preserve"> </w:t>
      </w:r>
      <w:r>
        <w:rPr>
          <w:iCs/>
          <w:i/>
        </w:rPr>
        <w:t xml:space="preserve">ṛghāya</w:t>
      </w:r>
      <w:r>
        <w:t xml:space="preserve">;</w:t>
      </w:r>
      <w:r>
        <w:t xml:space="preserve"> </w:t>
      </w:r>
      <w:r>
        <w:rPr>
          <w:iCs/>
          <w:i/>
        </w:rPr>
        <w:t xml:space="preserve">laṭ</w:t>
      </w:r>
      <w:r>
        <w:t xml:space="preserve">; by</w:t>
      </w:r>
      <w:r>
        <w:t xml:space="preserve"> </w:t>
      </w:r>
      <w:r>
        <w:t xml:space="preserve">“</w:t>
      </w:r>
      <w:r>
        <w:t xml:space="preserve">vā kyaṣaḥ</w:t>
      </w:r>
      <w:r>
        <w:t xml:space="preserve">”</w:t>
      </w:r>
      <w:r>
        <w:t xml:space="preserve"> </w:t>
      </w:r>
      <w:r>
        <w:t xml:space="preserve">(Pā. 1-3-90) the ātmanepada</w:t>
      </w:r>
      <w:r>
        <w:t xml:space="preserve"> </w:t>
      </w:r>
      <w:r>
        <w:rPr>
          <w:iCs/>
          <w:i/>
        </w:rPr>
        <w:t xml:space="preserve">śānac</w:t>
      </w:r>
      <w:r>
        <w:t xml:space="preserve"> </w:t>
      </w:r>
      <w:r>
        <w:t xml:space="preserve">(</w:t>
      </w:r>
      <w:r>
        <w:t xml:space="preserve">“</w:t>
      </w:r>
      <w:r>
        <w:t xml:space="preserve">laṭaḥ śatṛśānacau</w:t>
      </w:r>
      <w:r>
        <w:t xml:space="preserve">”</w:t>
      </w:r>
      <w:r>
        <w:t xml:space="preserve">);</w:t>
      </w:r>
      <w:r>
        <w:t xml:space="preserve"> </w:t>
      </w:r>
      <w:r>
        <w:rPr>
          <w:iCs/>
          <w:i/>
        </w:rPr>
        <w:t xml:space="preserve">śap</w:t>
      </w:r>
      <w:r>
        <w:t xml:space="preserve">:</w:t>
      </w:r>
      <w:r>
        <w:t xml:space="preserve"> </w:t>
      </w:r>
      <w:r>
        <w:rPr>
          <w:iCs/>
          <w:i/>
        </w:rPr>
        <w:t xml:space="preserve">ṛghāya</w:t>
      </w:r>
      <w:r>
        <w:t xml:space="preserve"> </w:t>
      </w:r>
      <w:r>
        <w:t xml:space="preserve">+</w:t>
      </w:r>
      <w:r>
        <w:t xml:space="preserve"> </w:t>
      </w:r>
      <w:r>
        <w:rPr>
          <w:iCs/>
          <w:i/>
        </w:rPr>
        <w:t xml:space="preserve">a</w:t>
      </w:r>
      <w:r>
        <w:t xml:space="preserve"> </w:t>
      </w:r>
      <w:r>
        <w:t xml:space="preserve">+</w:t>
      </w:r>
      <w:r>
        <w:t xml:space="preserve"> </w:t>
      </w:r>
      <w:r>
        <w:rPr>
          <w:iCs/>
          <w:i/>
        </w:rPr>
        <w:t xml:space="preserve">āna</w:t>
      </w:r>
      <w:r>
        <w:t xml:space="preserve">;</w:t>
      </w:r>
      <w:r>
        <w:t xml:space="preserve"> </w:t>
      </w:r>
      <w:r>
        <w:rPr>
          <w:iCs/>
          <w:i/>
        </w:rPr>
        <w:t xml:space="preserve">śap</w:t>
      </w:r>
      <w:r>
        <w:t xml:space="preserve"> </w:t>
      </w:r>
      <w:r>
        <w:t xml:space="preserve">is unaccented as</w:t>
      </w:r>
      <w:r>
        <w:t xml:space="preserve"> </w:t>
      </w:r>
      <w:r>
        <w:rPr>
          <w:iCs/>
          <w:i/>
        </w:rPr>
        <w:t xml:space="preserve">pit</w:t>
      </w:r>
      <w:r>
        <w:t xml:space="preserve">, and the</w:t>
      </w:r>
      <w:r>
        <w:t xml:space="preserve"> </w:t>
      </w:r>
      <w:r>
        <w:rPr>
          <w:iCs/>
          <w:i/>
        </w:rPr>
        <w:t xml:space="preserve">śānac</w:t>
      </w:r>
      <w:r>
        <w:t xml:space="preserve">, a</w:t>
      </w:r>
      <w:r>
        <w:t xml:space="preserve"> </w:t>
      </w:r>
      <w:r>
        <w:rPr>
          <w:iCs/>
          <w:i/>
        </w:rPr>
        <w:t xml:space="preserve">lasārvadhātuka</w:t>
      </w:r>
      <w:r>
        <w:t xml:space="preserve"> </w:t>
      </w:r>
      <w:r>
        <w:t xml:space="preserve">after the</w:t>
      </w:r>
      <w:r>
        <w:t xml:space="preserve"> </w:t>
      </w:r>
      <w:r>
        <w:rPr>
          <w:iCs/>
          <w:i/>
        </w:rPr>
        <w:t xml:space="preserve">adupadeśa</w:t>
      </w:r>
      <w:r>
        <w:t xml:space="preserve"> </w:t>
      </w:r>
      <w:r>
        <w:rPr>
          <w:iCs/>
          <w:i/>
        </w:rPr>
        <w:t xml:space="preserve">śap</w:t>
      </w:r>
      <w:r>
        <w:t xml:space="preserve">, is unaccented by</w:t>
      </w:r>
      <w:r>
        <w:t xml:space="preserve"> </w:t>
      </w:r>
      <w:r>
        <w:t xml:space="preserve">“</w:t>
      </w:r>
      <w:r>
        <w:t xml:space="preserve">tāsyanudāttenṅidadupadeśāt</w:t>
      </w:r>
      <w:r>
        <w:t xml:space="preserve">”</w:t>
      </w:r>
      <w:r>
        <w:t xml:space="preserve"> </w:t>
      </w:r>
      <w:r>
        <w:t xml:space="preserve">(Pā. 6-1-186);</w:t>
      </w:r>
      <w:r>
        <w:t xml:space="preserve"> </w:t>
      </w:r>
      <w:r>
        <w:rPr>
          <w:iCs/>
          <w:i/>
        </w:rPr>
        <w:t xml:space="preserve">kyaṣ</w:t>
      </w:r>
      <w:r>
        <w:t xml:space="preserve"> </w:t>
      </w:r>
      <w:r>
        <w:t xml:space="preserve">has the suffix accent;</w:t>
      </w:r>
      <w:r>
        <w:t xml:space="preserve"> </w:t>
      </w:r>
      <w:r>
        <w:rPr>
          <w:iCs/>
          <w:i/>
        </w:rPr>
        <w:t xml:space="preserve">pararūpa</w:t>
      </w:r>
      <w:r>
        <w:t xml:space="preserve"> </w:t>
      </w:r>
      <w:r>
        <w:t xml:space="preserve">by</w:t>
      </w:r>
      <w:r>
        <w:t xml:space="preserve"> </w:t>
      </w:r>
      <w:r>
        <w:t xml:space="preserve">“</w:t>
      </w:r>
      <w:r>
        <w:t xml:space="preserve">ato guṇe</w:t>
      </w:r>
      <w:r>
        <w:t xml:space="preserve">”</w:t>
      </w:r>
      <w:r>
        <w:t xml:space="preserve"> </w:t>
      </w:r>
      <w:r>
        <w:t xml:space="preserve">(Pā. 6-1-97), the single substitute udātta;</w:t>
      </w:r>
      <w:r>
        <w:t xml:space="preserve"> </w:t>
      </w:r>
      <w:r>
        <w:rPr>
          <w:iCs/>
          <w:i/>
        </w:rPr>
        <w:t xml:space="preserve">muk</w:t>
      </w:r>
      <w:r>
        <w:t xml:space="preserve"> </w:t>
      </w:r>
      <w:r>
        <w:t xml:space="preserve">by</w:t>
      </w:r>
      <w:r>
        <w:t xml:space="preserve"> </w:t>
      </w:r>
      <w:r>
        <w:t xml:space="preserve">“</w:t>
      </w:r>
      <w:r>
        <w:t xml:space="preserve">āne muk</w:t>
      </w:r>
      <w:r>
        <w:t xml:space="preserve">”</w:t>
      </w:r>
      <w:r>
        <w:t xml:space="preserve"> </w:t>
      </w:r>
      <w:r>
        <w:t xml:space="preserve">(Pā. 7-2-82),</w:t>
      </w:r>
      <w:r>
        <w:t xml:space="preserve"> </w:t>
      </w:r>
      <w:r>
        <w:rPr>
          <w:iCs/>
          <w:i/>
        </w:rPr>
        <w:t xml:space="preserve">n</w:t>
      </w:r>
      <w:r>
        <w:t xml:space="preserve"> </w:t>
      </w:r>
      <w:r>
        <w:t xml:space="preserve">→</w:t>
      </w:r>
      <w:r>
        <w:t xml:space="preserve"> </w:t>
      </w:r>
      <w:r>
        <w:rPr>
          <w:iCs/>
          <w:i/>
        </w:rPr>
        <w:t xml:space="preserve">ṇ</w:t>
      </w:r>
      <w:r>
        <w:t xml:space="preserve">:</w:t>
      </w:r>
      <w:r>
        <w:t xml:space="preserve"> </w:t>
      </w:r>
      <w:r>
        <w:rPr>
          <w:iCs/>
          <w:i/>
        </w:rPr>
        <w:t xml:space="preserve">ṛghāyamāṇa</w:t>
      </w:r>
      <w:r>
        <w:t xml:space="preserve">.</w:t>
      </w:r>
      <w:r>
        <w:t xml:space="preserve"> </w:t>
      </w:r>
      <w:r>
        <w:rPr>
          <w:iCs/>
          <w:i/>
        </w:rPr>
        <w:t xml:space="preserve">This derivation follows the Vṛttikāra; but in fact</w:t>
      </w:r>
      <w:r>
        <w:t xml:space="preserve"> </w:t>
      </w:r>
      <w:r>
        <w:t xml:space="preserve">kyaṣ</w:t>
      </w:r>
      <w:r>
        <w:t xml:space="preserve"> </w:t>
      </w:r>
      <w:r>
        <w:rPr>
          <w:iCs/>
          <w:i/>
        </w:rPr>
        <w:t xml:space="preserve">does not come here: the Lohitādi group contains only vowel-final words, and even as an open group</w:t>
      </w:r>
      <w:r>
        <w:t xml:space="preserve"> </w:t>
      </w:r>
      <w:r>
        <w:t xml:space="preserve">kyaṣ</w:t>
      </w:r>
      <w:r>
        <w:t xml:space="preserve"> </w:t>
      </w:r>
      <w:r>
        <w:rPr>
          <w:iCs/>
          <w:i/>
        </w:rPr>
        <w:t xml:space="preserve">does not come after a consonant-final word — the Mahābhāṣya on</w:t>
      </w:r>
      <w:r>
        <w:rPr>
          <w:iCs/>
          <w:i/>
        </w:rPr>
        <w:t xml:space="preserve"> </w:t>
      </w:r>
      <w:r>
        <w:rPr>
          <w:iCs/>
          <w:i/>
        </w:rPr>
        <w:t xml:space="preserve">“</w:t>
      </w:r>
      <w:r>
        <w:rPr>
          <w:iCs/>
          <w:i/>
        </w:rPr>
        <w:t xml:space="preserve">lohitā…</w:t>
      </w:r>
      <w:r>
        <w:rPr>
          <w:iCs/>
          <w:i/>
        </w:rPr>
        <w:t xml:space="preserve">”</w:t>
      </w:r>
      <w:r>
        <w:rPr>
          <w:iCs/>
          <w:i/>
        </w:rPr>
        <w:t xml:space="preserve"> </w:t>
      </w:r>
      <w:r>
        <w:rPr>
          <w:iCs/>
          <w:i/>
        </w:rPr>
        <w:t xml:space="preserve">says plainly</w:t>
      </w:r>
      <w:r>
        <w:rPr>
          <w:iCs/>
          <w:i/>
        </w:rPr>
        <w:t xml:space="preserve"> </w:t>
      </w:r>
      <w:r>
        <w:rPr>
          <w:iCs/>
          <w:i/>
        </w:rPr>
        <w:t xml:space="preserve">“</w:t>
      </w:r>
      <w:r>
        <w:rPr>
          <w:iCs/>
          <w:i/>
        </w:rPr>
        <w:t xml:space="preserve">nāyaṃ halantād vidhīyate</w:t>
      </w:r>
      <w:r>
        <w:rPr>
          <w:iCs/>
          <w:i/>
        </w:rPr>
        <w:t xml:space="preserve">”</w:t>
      </w:r>
      <w:r>
        <w:rPr>
          <w:iCs/>
          <w:i/>
        </w:rPr>
        <w:t xml:space="preserve">; Kaiyaṭa, the Udyotakāra and the Kaumudī are cited in support, and the vārttika</w:t>
      </w:r>
      <w:r>
        <w:rPr>
          <w:iCs/>
          <w:i/>
        </w:rPr>
        <w:t xml:space="preserve"> </w:t>
      </w:r>
      <w:r>
        <w:rPr>
          <w:iCs/>
          <w:i/>
        </w:rPr>
        <w:t xml:space="preserve">“</w:t>
      </w:r>
      <w:r>
        <w:rPr>
          <w:iCs/>
          <w:i/>
        </w:rPr>
        <w:t xml:space="preserve">lohitaḍājbhyaḥ kyaṣvacanam</w:t>
      </w:r>
      <w:r>
        <w:rPr>
          <w:iCs/>
          <w:i/>
        </w:rPr>
        <w:t xml:space="preserve">”</w:t>
      </w:r>
      <w:r>
        <w:rPr>
          <w:iCs/>
          <w:i/>
        </w:rPr>
        <w:t xml:space="preserve"> </w:t>
      </w:r>
      <w:r>
        <w:rPr>
          <w:iCs/>
          <w:i/>
        </w:rPr>
        <w:t xml:space="preserve">with its rejection of the word ādi; there is also the Mahābhāṣya’s separate denial for</w:t>
      </w:r>
      <w:r>
        <w:t xml:space="preserve"> </w:t>
      </w:r>
      <w:r>
        <w:t xml:space="preserve">n-</w:t>
      </w:r>
      <w:r>
        <w:rPr>
          <w:iCs/>
          <w:i/>
        </w:rPr>
        <w:t xml:space="preserve">final words,</w:t>
      </w:r>
      <w:r>
        <w:rPr>
          <w:iCs/>
          <w:i/>
        </w:rPr>
        <w:t xml:space="preserve"> </w:t>
      </w:r>
      <w:r>
        <w:rPr>
          <w:iCs/>
          <w:i/>
        </w:rPr>
        <w:t xml:space="preserve">“</w:t>
      </w:r>
      <w:r>
        <w:rPr>
          <w:iCs/>
          <w:i/>
        </w:rPr>
        <w:t xml:space="preserve">nāyaṃ nāntād vidhīyate</w:t>
      </w:r>
      <w:r>
        <w:rPr>
          <w:iCs/>
          <w:i/>
        </w:rPr>
        <w:t xml:space="preserve">”</w:t>
      </w:r>
      <w:r>
        <w:rPr>
          <w:iCs/>
          <w:i/>
        </w:rPr>
        <w:t xml:space="preserve">. So the right derivation is:</w:t>
      </w:r>
      <w:r>
        <w:rPr>
          <w:iCs/>
          <w:i/>
        </w:rPr>
        <w:t xml:space="preserve"> </w:t>
      </w:r>
      <w:r>
        <w:rPr>
          <w:iCs/>
          <w:i/>
        </w:rPr>
        <w:t xml:space="preserve">“</w:t>
      </w:r>
      <w:r>
        <w:rPr>
          <w:iCs/>
          <w:i/>
        </w:rPr>
        <w:t xml:space="preserve">ṛghā iva ācarati</w:t>
      </w:r>
      <w:r>
        <w:rPr>
          <w:iCs/>
          <w:i/>
        </w:rPr>
        <w:t xml:space="preserve">”</w:t>
      </w:r>
      <w:r>
        <w:rPr>
          <w:iCs/>
          <w:i/>
        </w:rPr>
        <w:t xml:space="preserve">, with</w:t>
      </w:r>
      <w:r>
        <w:t xml:space="preserve"> </w:t>
      </w:r>
      <w:r>
        <w:t xml:space="preserve">kyaṅ</w:t>
      </w:r>
      <w:r>
        <w:t xml:space="preserve"> </w:t>
      </w:r>
      <w:r>
        <w:rPr>
          <w:iCs/>
          <w:i/>
        </w:rPr>
        <w:t xml:space="preserve">by</w:t>
      </w:r>
      <w:r>
        <w:rPr>
          <w:iCs/>
          <w:i/>
        </w:rPr>
        <w:t xml:space="preserve"> </w:t>
      </w:r>
      <w:r>
        <w:rPr>
          <w:iCs/>
          <w:i/>
        </w:rPr>
        <w:t xml:space="preserve">“</w:t>
      </w:r>
      <w:r>
        <w:rPr>
          <w:iCs/>
          <w:i/>
        </w:rPr>
        <w:t xml:space="preserve">kartuḥ kyaṅ salopaś ca</w:t>
      </w:r>
      <w:r>
        <w:rPr>
          <w:iCs/>
          <w:i/>
        </w:rPr>
        <w:t xml:space="preserve">”</w:t>
      </w:r>
      <w:r>
        <w:rPr>
          <w:iCs/>
          <w:i/>
        </w:rPr>
        <w:t xml:space="preserve"> </w:t>
      </w:r>
      <w:r>
        <w:rPr>
          <w:iCs/>
          <w:i/>
        </w:rPr>
        <w:t xml:space="preserve">(Pā. 3-1-11) after a subanta denoting the standard of comparison and the agent:</w:t>
      </w:r>
      <w:r>
        <w:rPr>
          <w:iCs/>
          <w:i/>
        </w:rPr>
        <w:t xml:space="preserve"> </w:t>
      </w:r>
      <w:r>
        <w:t xml:space="preserve">ṛghan* +</w:t>
      </w:r>
      <w:r>
        <w:t xml:space="preserve"> </w:t>
      </w:r>
      <w:r>
        <w:rPr>
          <w:iCs/>
          <w:i/>
        </w:rPr>
        <w:t xml:space="preserve">su</w:t>
      </w:r>
      <w:r>
        <w:t xml:space="preserve"> </w:t>
      </w:r>
      <w:r>
        <w:t xml:space="preserve">+</w:t>
      </w:r>
      <w:r>
        <w:t xml:space="preserve"> </w:t>
      </w:r>
      <w:r>
        <w:rPr>
          <w:iCs/>
          <w:i/>
        </w:rPr>
        <w:t xml:space="preserve">ya</w:t>
      </w:r>
      <w:r>
        <w:t xml:space="preserve">; as a</w:t>
      </w:r>
      <w:r>
        <w:t xml:space="preserve"> </w:t>
      </w:r>
      <w:r>
        <w:rPr>
          <w:iCs/>
          <w:i/>
        </w:rPr>
        <w:t xml:space="preserve">sanādi</w:t>
      </w:r>
      <w:r>
        <w:t xml:space="preserve"> </w:t>
      </w:r>
      <w:r>
        <w:t xml:space="preserve">form it is a root by</w:t>
      </w:r>
      <w:r>
        <w:t xml:space="preserve"> </w:t>
      </w:r>
      <w:r>
        <w:t xml:space="preserve">“</w:t>
      </w:r>
      <w:r>
        <w:t xml:space="preserve">sanādyantā dhātavaḥ</w:t>
      </w:r>
      <w:r>
        <w:t xml:space="preserve">”</w:t>
      </w:r>
      <w:r>
        <w:t xml:space="preserve"> </w:t>
      </w:r>
      <w:r>
        <w:t xml:space="preserve">(Pā. 3-1-32), the</w:t>
      </w:r>
      <w:r>
        <w:t xml:space="preserve"> </w:t>
      </w:r>
      <w:r>
        <w:rPr>
          <w:iCs/>
          <w:i/>
        </w:rPr>
        <w:t xml:space="preserve">su</w:t>
      </w:r>
      <w:r>
        <w:t xml:space="preserve"> </w:t>
      </w:r>
      <w:r>
        <w:t xml:space="preserve">drops by</w:t>
      </w:r>
      <w:r>
        <w:t xml:space="preserve"> </w:t>
      </w:r>
      <w:r>
        <w:t xml:space="preserve">“</w:t>
      </w:r>
      <w:r>
        <w:t xml:space="preserve">supo dhātuprātipadikayoḥ</w:t>
      </w:r>
      <w:r>
        <w:t xml:space="preserve">”</w:t>
      </w:r>
      <w:r>
        <w:t xml:space="preserve">; by</w:t>
      </w:r>
      <w:r>
        <w:t xml:space="preserve"> </w:t>
      </w:r>
      <w:r>
        <w:t xml:space="preserve">“</w:t>
      </w:r>
      <w:r>
        <w:t xml:space="preserve">naḥ kye</w:t>
      </w:r>
      <w:r>
        <w:t xml:space="preserve">”</w:t>
      </w:r>
      <w:r>
        <w:t xml:space="preserve"> </w:t>
      </w:r>
      <w:r>
        <w:t xml:space="preserve">(Pā. 1-4-15) the</w:t>
      </w:r>
      <w:r>
        <w:t xml:space="preserve"> </w:t>
      </w:r>
      <w:r>
        <w:rPr>
          <w:iCs/>
          <w:i/>
        </w:rPr>
        <w:t xml:space="preserve">n</w:t>
      </w:r>
      <w:r>
        <w:t xml:space="preserve">-final stem is a</w:t>
      </w:r>
      <w:r>
        <w:t xml:space="preserve"> </w:t>
      </w:r>
      <w:r>
        <w:rPr>
          <w:iCs/>
          <w:i/>
        </w:rPr>
        <w:t xml:space="preserve">pada</w:t>
      </w:r>
      <w:r>
        <w:t xml:space="preserve"> </w:t>
      </w:r>
      <w:r>
        <w:t xml:space="preserve">before</w:t>
      </w:r>
      <w:r>
        <w:t xml:space="preserve"> </w:t>
      </w:r>
      <w:r>
        <w:rPr>
          <w:iCs/>
          <w:i/>
        </w:rPr>
        <w:t xml:space="preserve">kyac</w:t>
      </w:r>
      <w:r>
        <w:t xml:space="preserve">/</w:t>
      </w:r>
      <w:r>
        <w:rPr>
          <w:iCs/>
          <w:i/>
        </w:rPr>
        <w:t xml:space="preserve">kyaṅ</w:t>
      </w:r>
      <w:r>
        <w:t xml:space="preserve">, so the</w:t>
      </w:r>
      <w:r>
        <w:t xml:space="preserve"> </w:t>
      </w:r>
      <w:r>
        <w:rPr>
          <w:iCs/>
          <w:i/>
        </w:rPr>
        <w:t xml:space="preserve">n</w:t>
      </w:r>
      <w:r>
        <w:t xml:space="preserve"> </w:t>
      </w:r>
      <w:r>
        <w:t xml:space="preserve">drops by</w:t>
      </w:r>
      <w:r>
        <w:t xml:space="preserve"> </w:t>
      </w:r>
      <w:r>
        <w:t xml:space="preserve">“</w:t>
      </w:r>
      <w:r>
        <w:t xml:space="preserve">nalopaḥ prātipadikāntasya</w:t>
      </w:r>
      <w:r>
        <w:t xml:space="preserve">”</w:t>
      </w:r>
      <w:r>
        <w:t xml:space="preserve"> </w:t>
      </w:r>
      <w:r>
        <w:t xml:space="preserve">(Pā. 8-2-7); since</w:t>
      </w:r>
      <w:r>
        <w:t xml:space="preserve"> </w:t>
      </w:r>
      <w:r>
        <w:t xml:space="preserve">“</w:t>
      </w:r>
      <w:r>
        <w:t xml:space="preserve">nalopaḥ supsvarasaṃjñātugvidhiṣu kṛti</w:t>
      </w:r>
      <w:r>
        <w:t xml:space="preserve">”</w:t>
      </w:r>
      <w:r>
        <w:t xml:space="preserve"> </w:t>
      </w:r>
      <w:r>
        <w:t xml:space="preserve">(Pā. 8-2-2) makes the loss</w:t>
      </w:r>
      <w:r>
        <w:t xml:space="preserve"> </w:t>
      </w:r>
      <w:r>
        <w:t xml:space="preserve">“</w:t>
      </w:r>
      <w:r>
        <w:t xml:space="preserve">unseen</w:t>
      </w:r>
      <w:r>
        <w:t xml:space="preserve">”</w:t>
      </w:r>
      <w:r>
        <w:t xml:space="preserve"> </w:t>
      </w:r>
      <w:r>
        <w:t xml:space="preserve">only for those rules, it is not unseen for lengthening (</w:t>
      </w:r>
      <w:r>
        <w:t xml:space="preserve">“</w:t>
      </w:r>
      <w:r>
        <w:t xml:space="preserve">pūrvatrāsiddham,</w:t>
      </w:r>
      <w:r>
        <w:t xml:space="preserve">”</w:t>
      </w:r>
      <w:r>
        <w:t xml:space="preserve"> </w:t>
      </w:r>
      <w:r>
        <w:t xml:space="preserve">Pā. 8-2-1), and</w:t>
      </w:r>
      <w:r>
        <w:t xml:space="preserve"> </w:t>
      </w:r>
      <w:r>
        <w:t xml:space="preserve">“</w:t>
      </w:r>
      <w:r>
        <w:t xml:space="preserve">akṛtsārvadhātukayoḥ</w:t>
      </w:r>
      <w:r>
        <w:t xml:space="preserve">”</w:t>
      </w:r>
      <w:r>
        <w:t xml:space="preserve"> </w:t>
      </w:r>
      <w:r>
        <w:t xml:space="preserve">(Pā. 7-4-25) lengthens:</w:t>
      </w:r>
      <w:r>
        <w:t xml:space="preserve"> </w:t>
      </w:r>
      <w:r>
        <w:rPr>
          <w:iCs/>
          <w:i/>
        </w:rPr>
        <w:t xml:space="preserve">ṛghāya</w:t>
      </w:r>
      <w:r>
        <w:t xml:space="preserve">;</w:t>
      </w:r>
      <w:r>
        <w:t xml:space="preserve"> </w:t>
      </w:r>
      <w:r>
        <w:rPr>
          <w:iCs/>
          <w:i/>
        </w:rPr>
        <w:t xml:space="preserve">kyaṅ</w:t>
      </w:r>
      <w:r>
        <w:t xml:space="preserve"> </w:t>
      </w:r>
      <w:r>
        <w:t xml:space="preserve">being</w:t>
      </w:r>
      <w:r>
        <w:t xml:space="preserve"> </w:t>
      </w:r>
      <w:r>
        <w:rPr>
          <w:iCs/>
          <w:i/>
        </w:rPr>
        <w:t xml:space="preserve">ṅit</w:t>
      </w:r>
      <w:r>
        <w:t xml:space="preserve">, the ātmanepada by</w:t>
      </w:r>
      <w:r>
        <w:t xml:space="preserve"> </w:t>
      </w:r>
      <w:r>
        <w:t xml:space="preserve">“</w:t>
      </w:r>
      <w:r>
        <w:t xml:space="preserve">anudāttaṅita ātmanepadam</w:t>
      </w:r>
      <w:r>
        <w:t xml:space="preserve">”</w:t>
      </w:r>
      <w:r>
        <w:t xml:space="preserve"> </w:t>
      </w:r>
      <w:r>
        <w:t xml:space="preserve">(printed</w:t>
      </w:r>
      <w:r>
        <w:t xml:space="preserve"> </w:t>
      </w:r>
      <w:r>
        <w:t xml:space="preserve">“</w:t>
      </w:r>
      <w:r>
        <w:t xml:space="preserve">1-3-1</w:t>
      </w:r>
      <w:r>
        <w:t xml:space="preserve">”</w:t>
      </w:r>
      <w:r>
        <w:t xml:space="preserve"> </w:t>
      </w:r>
      <w:r>
        <w:t xml:space="preserve">[as printed], i.e. 1-3-12); the rest as above.</w:t>
      </w:r>
      <w:r>
        <w:t xml:space="preserve"> </w:t>
      </w:r>
      <w:r>
        <w:rPr>
          <w:bCs/>
          <w:b/>
        </w:rPr>
        <w:t xml:space="preserve">इन्वतः (</w:t>
      </w:r>
      <w:r>
        <w:rPr>
          <w:iCs/>
          <w:i/>
          <w:bCs/>
          <w:b/>
        </w:rPr>
        <w:t xml:space="preserve">invataḥ</w:t>
      </w:r>
      <w:r>
        <w:rPr>
          <w:bCs/>
          <w:b/>
        </w:rPr>
        <w:t xml:space="preserve">)</w:t>
      </w:r>
      <w:r>
        <w:t xml:space="preserve"> </w:t>
      </w:r>
      <w:r>
        <w:t xml:space="preserve">— root</w:t>
      </w:r>
      <w:r>
        <w:t xml:space="preserve"> </w:t>
      </w:r>
      <w:r>
        <w:rPr>
          <w:iCs/>
          <w:i/>
        </w:rPr>
        <w:t xml:space="preserve">ivi vyāptau</w:t>
      </w:r>
      <w:r>
        <w:t xml:space="preserve">,</w:t>
      </w:r>
      <w:r>
        <w:t xml:space="preserve"> </w:t>
      </w:r>
      <w:r>
        <w:rPr>
          <w:iCs/>
          <w:i/>
        </w:rPr>
        <w:t xml:space="preserve">num</w:t>
      </w:r>
      <w:r>
        <w:t xml:space="preserve"> </w:t>
      </w:r>
      <w:r>
        <w:t xml:space="preserve">by</w:t>
      </w:r>
      <w:r>
        <w:t xml:space="preserve"> </w:t>
      </w:r>
      <w:r>
        <w:t xml:space="preserve">“</w:t>
      </w:r>
      <w:r>
        <w:t xml:space="preserve">idito num dhātoḥ</w:t>
      </w:r>
      <w:r>
        <w:t xml:space="preserve">”</w:t>
      </w:r>
      <w:r>
        <w:t xml:space="preserve"> </w:t>
      </w:r>
      <w:r>
        <w:t xml:space="preserve">(Pā. 7-1-58);</w:t>
      </w:r>
      <w:r>
        <w:t xml:space="preserve"> </w:t>
      </w:r>
      <w:r>
        <w:rPr>
          <w:iCs/>
          <w:i/>
        </w:rPr>
        <w:t xml:space="preserve">laṭ</w:t>
      </w:r>
      <w:r>
        <w:t xml:space="preserve"> </w:t>
      </w:r>
      <w:r>
        <w:t xml:space="preserve">third dual</w:t>
      </w:r>
      <w:r>
        <w:t xml:space="preserve"> </w:t>
      </w:r>
      <w:r>
        <w:rPr>
          <w:iCs/>
          <w:i/>
        </w:rPr>
        <w:t xml:space="preserve">tas</w:t>
      </w:r>
      <w:r>
        <w:t xml:space="preserve">;</w:t>
      </w:r>
      <w:r>
        <w:t xml:space="preserve"> </w:t>
      </w:r>
      <w:r>
        <w:rPr>
          <w:iCs/>
          <w:i/>
        </w:rPr>
        <w:t xml:space="preserve">śap</w:t>
      </w:r>
      <w:r>
        <w:t xml:space="preserve">;</w:t>
      </w:r>
      <w:r>
        <w:t xml:space="preserve"> </w:t>
      </w:r>
      <w:r>
        <w:rPr>
          <w:iCs/>
          <w:i/>
        </w:rPr>
        <w:t xml:space="preserve">ru</w:t>
      </w:r>
      <w:r>
        <w:t xml:space="preserve"> </w:t>
      </w:r>
      <w:r>
        <w:t xml:space="preserve">and visarga;</w:t>
      </w:r>
      <w:r>
        <w:t xml:space="preserve"> </w:t>
      </w:r>
      <w:r>
        <w:rPr>
          <w:iCs/>
          <w:i/>
        </w:rPr>
        <w:t xml:space="preserve">śap</w:t>
      </w:r>
      <w:r>
        <w:t xml:space="preserve"> </w:t>
      </w:r>
      <w:r>
        <w:t xml:space="preserve">unaccented as</w:t>
      </w:r>
      <w:r>
        <w:t xml:space="preserve"> </w:t>
      </w:r>
      <w:r>
        <w:rPr>
          <w:iCs/>
          <w:i/>
        </w:rPr>
        <w:t xml:space="preserve">pit</w:t>
      </w:r>
      <w:r>
        <w:t xml:space="preserve">; by</w:t>
      </w:r>
      <w:r>
        <w:t xml:space="preserve"> </w:t>
      </w:r>
      <w:r>
        <w:t xml:space="preserve">“</w:t>
      </w:r>
      <w:r>
        <w:t xml:space="preserve">tāsyanudāttenṅid…</w:t>
      </w:r>
      <w:r>
        <w:t xml:space="preserve">”</w:t>
      </w:r>
      <w:r>
        <w:t xml:space="preserve"> </w:t>
      </w:r>
      <w:r>
        <w:t xml:space="preserve">(Pā. 6-1-186) the</w:t>
      </w:r>
      <w:r>
        <w:t xml:space="preserve"> </w:t>
      </w:r>
      <w:r>
        <w:rPr>
          <w:iCs/>
          <w:i/>
        </w:rPr>
        <w:t xml:space="preserve">lasārvadhātuka</w:t>
      </w:r>
      <w:r>
        <w:t xml:space="preserve"> </w:t>
      </w:r>
      <w:r>
        <w:t xml:space="preserve">after the</w:t>
      </w:r>
      <w:r>
        <w:t xml:space="preserve"> </w:t>
      </w:r>
      <w:r>
        <w:rPr>
          <w:iCs/>
          <w:i/>
        </w:rPr>
        <w:t xml:space="preserve">adupadeśa</w:t>
      </w:r>
      <w:r>
        <w:t xml:space="preserve"> </w:t>
      </w:r>
      <w:r>
        <w:t xml:space="preserve">is unaccented, so the root accent stands;</w:t>
      </w:r>
      <w:r>
        <w:t xml:space="preserve"> </w:t>
      </w:r>
      <w:r>
        <w:t xml:space="preserve">“</w:t>
      </w:r>
      <w:r>
        <w:t xml:space="preserve">hi ca</w:t>
      </w:r>
      <w:r>
        <w:t xml:space="preserve">”</w:t>
      </w:r>
      <w:r>
        <w:t xml:space="preserve"> </w:t>
      </w:r>
      <w:r>
        <w:t xml:space="preserve">(Pā. 8-1-34), with</w:t>
      </w:r>
      <w:r>
        <w:t xml:space="preserve"> </w:t>
      </w:r>
      <w:r>
        <w:t xml:space="preserve">“</w:t>
      </w:r>
      <w:r>
        <w:t xml:space="preserve">aprātilomye</w:t>
      </w:r>
      <w:r>
        <w:t xml:space="preserve">”</w:t>
      </w:r>
      <w:r>
        <w:t xml:space="preserve"> </w:t>
      </w:r>
      <w:r>
        <w:t xml:space="preserve">carried from</w:t>
      </w:r>
      <w:r>
        <w:t xml:space="preserve"> </w:t>
      </w:r>
      <w:r>
        <w:t xml:space="preserve">“</w:t>
      </w:r>
      <w:r>
        <w:t xml:space="preserve">aṅgāprātilomye</w:t>
      </w:r>
      <w:r>
        <w:t xml:space="preserve">”</w:t>
      </w:r>
      <w:r>
        <w:t xml:space="preserve"> </w:t>
      </w:r>
      <w:r>
        <w:t xml:space="preserve">(Pā. 8-1-33) —</w:t>
      </w:r>
      <w:r>
        <w:t xml:space="preserve"> </w:t>
      </w:r>
      <w:r>
        <w:rPr>
          <w:iCs/>
          <w:i/>
        </w:rPr>
        <w:t xml:space="preserve">aprātilomya</w:t>
      </w:r>
      <w:r>
        <w:t xml:space="preserve"> </w:t>
      </w:r>
      <w:r>
        <w:t xml:space="preserve">means favourableness — forbids the lowering of a verb joined with</w:t>
      </w:r>
      <w:r>
        <w:t xml:space="preserve"> </w:t>
      </w:r>
      <w:r>
        <w:rPr>
          <w:iCs/>
          <w:i/>
        </w:rPr>
        <w:t xml:space="preserve">hi</w:t>
      </w:r>
      <w:r>
        <w:t xml:space="preserve">, so</w:t>
      </w:r>
      <w:r>
        <w:t xml:space="preserve"> </w:t>
      </w:r>
      <w:r>
        <w:t xml:space="preserve">“</w:t>
      </w:r>
      <w:r>
        <w:t xml:space="preserve">tiṅṅ atiṅaḥ</w:t>
      </w:r>
      <w:r>
        <w:t xml:space="preserve">”</w:t>
      </w:r>
      <w:r>
        <w:t xml:space="preserve"> </w:t>
      </w:r>
      <w:r>
        <w:t xml:space="preserve">(Pā. 8-1-28) does not apply.</w:t>
      </w:r>
      <w:r>
        <w:t xml:space="preserve"> </w:t>
      </w:r>
      <w:r>
        <w:rPr>
          <w:bCs/>
          <w:b/>
        </w:rPr>
        <w:t xml:space="preserve">जेषः (</w:t>
      </w:r>
      <w:r>
        <w:rPr>
          <w:iCs/>
          <w:i/>
          <w:bCs/>
          <w:b/>
        </w:rPr>
        <w:t xml:space="preserve">jeṣaḥ</w:t>
      </w:r>
      <w:r>
        <w:rPr>
          <w:bCs/>
          <w:b/>
        </w:rPr>
        <w:t xml:space="preserve">)</w:t>
      </w:r>
      <w:r>
        <w:t xml:space="preserve"> </w:t>
      </w:r>
      <w:r>
        <w:t xml:space="preserve">— root</w:t>
      </w:r>
      <w:r>
        <w:t xml:space="preserve"> </w:t>
      </w:r>
      <w:r>
        <w:rPr>
          <w:iCs/>
          <w:i/>
        </w:rPr>
        <w:t xml:space="preserve">ji jaye</w:t>
      </w:r>
      <w:r>
        <w:t xml:space="preserve">;</w:t>
      </w:r>
      <w:r>
        <w:t xml:space="preserve"> </w:t>
      </w:r>
      <w:r>
        <w:rPr>
          <w:iCs/>
          <w:i/>
        </w:rPr>
        <w:t xml:space="preserve">leṭ</w:t>
      </w:r>
      <w:r>
        <w:t xml:space="preserve"> </w:t>
      </w:r>
      <w:r>
        <w:t xml:space="preserve">in the sense of</w:t>
      </w:r>
      <w:r>
        <w:t xml:space="preserve"> </w:t>
      </w:r>
      <w:r>
        <w:rPr>
          <w:iCs/>
          <w:i/>
        </w:rPr>
        <w:t xml:space="preserve">liṅ</w:t>
      </w:r>
      <w:r>
        <w:t xml:space="preserve"> </w:t>
      </w:r>
      <w:r>
        <w:t xml:space="preserve">(prayer); second singular</w:t>
      </w:r>
      <w:r>
        <w:t xml:space="preserve"> </w:t>
      </w:r>
      <w:r>
        <w:rPr>
          <w:iCs/>
          <w:i/>
        </w:rPr>
        <w:t xml:space="preserve">sip</w:t>
      </w:r>
      <w:r>
        <w:t xml:space="preserve">, its</w:t>
      </w:r>
      <w:r>
        <w:t xml:space="preserve"> </w:t>
      </w:r>
      <w:r>
        <w:rPr>
          <w:iCs/>
          <w:i/>
        </w:rPr>
        <w:t xml:space="preserve">p</w:t>
      </w:r>
      <w:r>
        <w:t xml:space="preserve"> </w:t>
      </w:r>
      <w:r>
        <w:rPr>
          <w:iCs/>
          <w:i/>
        </w:rPr>
        <w:t xml:space="preserve">it</w:t>
      </w:r>
      <w:r>
        <w:t xml:space="preserve"> </w:t>
      </w:r>
      <w:r>
        <w:t xml:space="preserve">by</w:t>
      </w:r>
      <w:r>
        <w:t xml:space="preserve"> </w:t>
      </w:r>
      <w:r>
        <w:t xml:space="preserve">“</w:t>
      </w:r>
      <w:r>
        <w:t xml:space="preserve">halantyam</w:t>
      </w:r>
      <w:r>
        <w:t xml:space="preserve">”</w:t>
      </w:r>
      <w:r>
        <w:t xml:space="preserve"> </w:t>
      </w:r>
      <w:r>
        <w:t xml:space="preserve">(Pā. 1-3-3); the</w:t>
      </w:r>
      <w:r>
        <w:t xml:space="preserve"> </w:t>
      </w:r>
      <w:r>
        <w:rPr>
          <w:iCs/>
          <w:i/>
        </w:rPr>
        <w:t xml:space="preserve">i</w:t>
      </w:r>
      <w:r>
        <w:t xml:space="preserve"> </w:t>
      </w:r>
      <w:r>
        <w:t xml:space="preserve">dropped by</w:t>
      </w:r>
      <w:r>
        <w:t xml:space="preserve"> </w:t>
      </w:r>
      <w:r>
        <w:t xml:space="preserve">“</w:t>
      </w:r>
      <w:r>
        <w:t xml:space="preserve">itaś ca lopaḥ parasmaipadeṣu</w:t>
      </w:r>
      <w:r>
        <w:t xml:space="preserve">”</w:t>
      </w:r>
      <w:r>
        <w:t xml:space="preserve"> </w:t>
      </w:r>
      <w:r>
        <w:t xml:space="preserve">(Pā. 3-4-97);</w:t>
      </w:r>
      <w:r>
        <w:t xml:space="preserve"> </w:t>
      </w:r>
      <w:r>
        <w:rPr>
          <w:iCs/>
          <w:i/>
        </w:rPr>
        <w:t xml:space="preserve">śap</w:t>
      </w:r>
      <w:r>
        <w:t xml:space="preserve"> </w:t>
      </w:r>
      <w:r>
        <w:t xml:space="preserve">is set aside by</w:t>
      </w:r>
      <w:r>
        <w:t xml:space="preserve"> </w:t>
      </w:r>
      <w:r>
        <w:t xml:space="preserve">“</w:t>
      </w:r>
      <w:r>
        <w:t xml:space="preserve">sibbahulaṃ leṭi</w:t>
      </w:r>
      <w:r>
        <w:t xml:space="preserve">”</w:t>
      </w:r>
      <w:r>
        <w:t xml:space="preserve"> </w:t>
      </w:r>
      <w:r>
        <w:t xml:space="preserve">(Pā. 3-1-34):</w:t>
      </w:r>
      <w:r>
        <w:t xml:space="preserve"> </w:t>
      </w:r>
      <w:r>
        <w:rPr>
          <w:iCs/>
          <w:i/>
        </w:rPr>
        <w:t xml:space="preserve">ji</w:t>
      </w:r>
      <w:r>
        <w:t xml:space="preserve"> </w:t>
      </w:r>
      <w:r>
        <w:t xml:space="preserve">+</w:t>
      </w:r>
      <w:r>
        <w:t xml:space="preserve"> </w:t>
      </w:r>
      <w:r>
        <w:rPr>
          <w:iCs/>
          <w:i/>
        </w:rPr>
        <w:t xml:space="preserve">s</w:t>
      </w:r>
      <w:r>
        <w:t xml:space="preserve"> </w:t>
      </w:r>
      <w:r>
        <w:t xml:space="preserve">+</w:t>
      </w:r>
      <w:r>
        <w:t xml:space="preserve"> </w:t>
      </w:r>
      <w:r>
        <w:rPr>
          <w:iCs/>
          <w:i/>
        </w:rPr>
        <w:t xml:space="preserve">s</w:t>
      </w:r>
      <w:r>
        <w:t xml:space="preserve">; the augment</w:t>
      </w:r>
      <w:r>
        <w:t xml:space="preserve"> </w:t>
      </w:r>
      <w:r>
        <w:rPr>
          <w:iCs/>
          <w:i/>
        </w:rPr>
        <w:t xml:space="preserve">aṭ</w:t>
      </w:r>
      <w:r>
        <w:t xml:space="preserve"> </w:t>
      </w:r>
      <w:r>
        <w:t xml:space="preserve">by</w:t>
      </w:r>
      <w:r>
        <w:t xml:space="preserve"> </w:t>
      </w:r>
      <w:r>
        <w:t xml:space="preserve">“</w:t>
      </w:r>
      <w:r>
        <w:t xml:space="preserve">leṭo ’ḍāṭau</w:t>
      </w:r>
      <w:r>
        <w:t xml:space="preserve">”</w:t>
      </w:r>
      <w:r>
        <w:t xml:space="preserve"> </w:t>
      </w:r>
      <w:r>
        <w:t xml:space="preserve">(printed</w:t>
      </w:r>
      <w:r>
        <w:t xml:space="preserve"> </w:t>
      </w:r>
      <w:r>
        <w:t xml:space="preserve">“</w:t>
      </w:r>
      <w:r>
        <w:t xml:space="preserve">4-4-94</w:t>
      </w:r>
      <w:r>
        <w:t xml:space="preserve">”</w:t>
      </w:r>
      <w:r>
        <w:t xml:space="preserve"> </w:t>
      </w:r>
      <w:r>
        <w:t xml:space="preserve">[as printed], i.e. 3-4-94);</w:t>
      </w:r>
      <w:r>
        <w:t xml:space="preserve"> </w:t>
      </w:r>
      <w:r>
        <w:rPr>
          <w:iCs/>
          <w:i/>
        </w:rPr>
        <w:t xml:space="preserve">guṇa</w:t>
      </w:r>
      <w:r>
        <w:t xml:space="preserve"> </w:t>
      </w:r>
      <w:r>
        <w:t xml:space="preserve">by</w:t>
      </w:r>
      <w:r>
        <w:t xml:space="preserve"> </w:t>
      </w:r>
      <w:r>
        <w:t xml:space="preserve">“</w:t>
      </w:r>
      <w:r>
        <w:t xml:space="preserve">sārvadhātukārdhadhātukayoḥ</w:t>
      </w:r>
      <w:r>
        <w:t xml:space="preserve">”</w:t>
      </w:r>
      <w:r>
        <w:t xml:space="preserve"> </w:t>
      </w:r>
      <w:r>
        <w:t xml:space="preserve">(Pā. 7-3-84); the first</w:t>
      </w:r>
      <w:r>
        <w:t xml:space="preserve"> </w:t>
      </w:r>
      <w:r>
        <w:rPr>
          <w:iCs/>
          <w:i/>
        </w:rPr>
        <w:t xml:space="preserve">s</w:t>
      </w:r>
      <w:r>
        <w:t xml:space="preserve"> </w:t>
      </w:r>
      <w:r>
        <w:t xml:space="preserve">→</w:t>
      </w:r>
      <w:r>
        <w:t xml:space="preserve"> </w:t>
      </w:r>
      <w:r>
        <w:rPr>
          <w:iCs/>
          <w:i/>
        </w:rPr>
        <w:t xml:space="preserve">ṣ</w:t>
      </w:r>
      <w:r>
        <w:t xml:space="preserve"> </w:t>
      </w:r>
      <w:r>
        <w:t xml:space="preserve">by</w:t>
      </w:r>
      <w:r>
        <w:t xml:space="preserve"> </w:t>
      </w:r>
      <w:r>
        <w:t xml:space="preserve">“</w:t>
      </w:r>
      <w:r>
        <w:t xml:space="preserve">ādeśapratyayayoḥ</w:t>
      </w:r>
      <w:r>
        <w:t xml:space="preserve">”</w:t>
      </w:r>
      <w:r>
        <w:t xml:space="preserve"> </w:t>
      </w:r>
      <w:r>
        <w:t xml:space="preserve">(Pā. 8-3-59);</w:t>
      </w:r>
      <w:r>
        <w:t xml:space="preserve"> </w:t>
      </w:r>
      <w:r>
        <w:rPr>
          <w:iCs/>
          <w:i/>
        </w:rPr>
        <w:t xml:space="preserve">ru</w:t>
      </w:r>
      <w:r>
        <w:t xml:space="preserve"> </w:t>
      </w:r>
      <w:r>
        <w:t xml:space="preserve">and visarga:</w:t>
      </w:r>
      <w:r>
        <w:t xml:space="preserve"> </w:t>
      </w:r>
      <w:r>
        <w:rPr>
          <w:iCs/>
          <w:i/>
        </w:rPr>
        <w:t xml:space="preserve">jeṣaḥ</w:t>
      </w:r>
      <w:r>
        <w:t xml:space="preserve">; the augment being unaccented, only the root accent stands.</w:t>
      </w:r>
      <w:r>
        <w:t xml:space="preserve"> </w:t>
      </w:r>
      <w:r>
        <w:rPr>
          <w:bCs/>
          <w:b/>
        </w:rPr>
        <w:t xml:space="preserve">स्वर्वतीः (</w:t>
      </w:r>
      <w:r>
        <w:rPr>
          <w:iCs/>
          <w:i/>
          <w:bCs/>
          <w:b/>
        </w:rPr>
        <w:t xml:space="preserve">svarvatīḥ</w:t>
      </w:r>
      <w:r>
        <w:rPr>
          <w:bCs/>
          <w:b/>
        </w:rPr>
        <w:t xml:space="preserve">)</w:t>
      </w:r>
      <w:r>
        <w:t xml:space="preserve"> </w:t>
      </w:r>
      <w:r>
        <w:t xml:space="preserve">—</w:t>
      </w:r>
      <w:r>
        <w:t xml:space="preserve"> </w:t>
      </w:r>
      <w:r>
        <w:t xml:space="preserve">“</w:t>
      </w:r>
      <w:r>
        <w:t xml:space="preserve">svaḥ āsām asti</w:t>
      </w:r>
      <w:r>
        <w:t xml:space="preserve">”</w:t>
      </w:r>
      <w:r>
        <w:t xml:space="preserve">:</w:t>
      </w:r>
      <w:r>
        <w:t xml:space="preserve"> </w:t>
      </w:r>
      <w:r>
        <w:rPr>
          <w:iCs/>
          <w:i/>
        </w:rPr>
        <w:t xml:space="preserve">matup</w:t>
      </w:r>
      <w:r>
        <w:t xml:space="preserve"> </w:t>
      </w:r>
      <w:r>
        <w:t xml:space="preserve">by</w:t>
      </w:r>
      <w:r>
        <w:t xml:space="preserve"> </w:t>
      </w:r>
      <w:r>
        <w:t xml:space="preserve">“</w:t>
      </w:r>
      <w:r>
        <w:t xml:space="preserve">tad asyāsty asminn iti matup</w:t>
      </w:r>
      <w:r>
        <w:t xml:space="preserve">”</w:t>
      </w:r>
      <w:r>
        <w:t xml:space="preserve"> </w:t>
      </w:r>
      <w:r>
        <w:t xml:space="preserve">(Pā. 5-2-94); its</w:t>
      </w:r>
      <w:r>
        <w:t xml:space="preserve"> </w:t>
      </w:r>
      <w:r>
        <w:rPr>
          <w:iCs/>
          <w:i/>
        </w:rPr>
        <w:t xml:space="preserve">m</w:t>
      </w:r>
      <w:r>
        <w:t xml:space="preserve"> </w:t>
      </w:r>
      <w:r>
        <w:t xml:space="preserve">→</w:t>
      </w:r>
      <w:r>
        <w:t xml:space="preserve"> </w:t>
      </w:r>
      <w:r>
        <w:rPr>
          <w:iCs/>
          <w:i/>
        </w:rPr>
        <w:t xml:space="preserve">v</w:t>
      </w:r>
      <w:r>
        <w:t xml:space="preserve"> </w:t>
      </w:r>
      <w:r>
        <w:t xml:space="preserve">by</w:t>
      </w:r>
      <w:r>
        <w:t xml:space="preserve"> </w:t>
      </w:r>
      <w:r>
        <w:t xml:space="preserve">“</w:t>
      </w:r>
      <w:r>
        <w:t xml:space="preserve">chandasīraḥ</w:t>
      </w:r>
      <w:r>
        <w:t xml:space="preserve">”</w:t>
      </w:r>
      <w:r>
        <w:t xml:space="preserve"> </w:t>
      </w:r>
      <w:r>
        <w:t xml:space="preserve">(Pā. 8-2-15),</w:t>
      </w:r>
      <w:r>
        <w:t xml:space="preserve"> </w:t>
      </w:r>
      <w:r>
        <w:rPr>
          <w:iCs/>
          <w:i/>
        </w:rPr>
        <w:t xml:space="preserve">svar</w:t>
      </w:r>
      <w:r>
        <w:t xml:space="preserve"> </w:t>
      </w:r>
      <w:r>
        <w:t xml:space="preserve">ending in</w:t>
      </w:r>
      <w:r>
        <w:t xml:space="preserve"> </w:t>
      </w:r>
      <w:r>
        <w:rPr>
          <w:iCs/>
          <w:i/>
        </w:rPr>
        <w:t xml:space="preserve">r</w:t>
      </w:r>
      <w:r>
        <w:t xml:space="preserve">, and also by</w:t>
      </w:r>
      <w:r>
        <w:t xml:space="preserve"> </w:t>
      </w:r>
      <w:r>
        <w:t xml:space="preserve">“</w:t>
      </w:r>
      <w:r>
        <w:t xml:space="preserve">mādupadhāyāś ca mator vo ’yavādibhyaḥ</w:t>
      </w:r>
      <w:r>
        <w:t xml:space="preserve">”</w:t>
      </w:r>
      <w:r>
        <w:t xml:space="preserve"> </w:t>
      </w:r>
      <w:r>
        <w:t xml:space="preserve">(Pā. 8-2-9),</w:t>
      </w:r>
      <w:r>
        <w:t xml:space="preserve"> </w:t>
      </w:r>
      <w:r>
        <w:rPr>
          <w:iCs/>
          <w:i/>
        </w:rPr>
        <w:t xml:space="preserve">svar</w:t>
      </w:r>
      <w:r>
        <w:t xml:space="preserve"> </w:t>
      </w:r>
      <w:r>
        <w:t xml:space="preserve">having</w:t>
      </w:r>
      <w:r>
        <w:t xml:space="preserve"> </w:t>
      </w:r>
      <w:r>
        <w:rPr>
          <w:iCs/>
          <w:i/>
        </w:rPr>
        <w:t xml:space="preserve">a</w:t>
      </w:r>
      <w:r>
        <w:t xml:space="preserve"> </w:t>
      </w:r>
      <w:r>
        <w:t xml:space="preserve">as penultimate:</w:t>
      </w:r>
      <w:r>
        <w:t xml:space="preserve"> </w:t>
      </w:r>
      <w:r>
        <w:rPr>
          <w:iCs/>
          <w:i/>
        </w:rPr>
        <w:t xml:space="preserve">svarvat</w:t>
      </w:r>
      <w:r>
        <w:t xml:space="preserve">;</w:t>
      </w:r>
      <w:r>
        <w:t xml:space="preserve"> </w:t>
      </w:r>
      <w:r>
        <w:rPr>
          <w:iCs/>
          <w:i/>
        </w:rPr>
        <w:t xml:space="preserve">ṅīp</w:t>
      </w:r>
      <w:r>
        <w:t xml:space="preserve"> </w:t>
      </w:r>
      <w:r>
        <w:t xml:space="preserve">by</w:t>
      </w:r>
      <w:r>
        <w:t xml:space="preserve"> </w:t>
      </w:r>
      <w:r>
        <w:t xml:space="preserve">“</w:t>
      </w:r>
      <w:r>
        <w:t xml:space="preserve">ugitaś ca</w:t>
      </w:r>
      <w:r>
        <w:t xml:space="preserve">”</w:t>
      </w:r>
      <w:r>
        <w:t xml:space="preserve"> </w:t>
      </w:r>
      <w:r>
        <w:t xml:space="preserve">(Pā. 4-1-6):</w:t>
      </w:r>
      <w:r>
        <w:t xml:space="preserve"> </w:t>
      </w:r>
      <w:r>
        <w:rPr>
          <w:iCs/>
          <w:i/>
        </w:rPr>
        <w:t xml:space="preserve">svarvatī</w:t>
      </w:r>
      <w:r>
        <w:t xml:space="preserve">;</w:t>
      </w:r>
      <w:r>
        <w:t xml:space="preserve"> </w:t>
      </w:r>
      <w:r>
        <w:rPr>
          <w:iCs/>
          <w:i/>
        </w:rPr>
        <w:t xml:space="preserve">matup</w:t>
      </w:r>
      <w:r>
        <w:t xml:space="preserve"> </w:t>
      </w:r>
      <w:r>
        <w:t xml:space="preserve">and</w:t>
      </w:r>
      <w:r>
        <w:t xml:space="preserve"> </w:t>
      </w:r>
      <w:r>
        <w:rPr>
          <w:iCs/>
          <w:i/>
        </w:rPr>
        <w:t xml:space="preserve">ṅīp</w:t>
      </w:r>
      <w:r>
        <w:t xml:space="preserve"> </w:t>
      </w:r>
      <w:r>
        <w:t xml:space="preserve">are unaccented as</w:t>
      </w:r>
      <w:r>
        <w:t xml:space="preserve"> </w:t>
      </w:r>
      <w:r>
        <w:rPr>
          <w:iCs/>
          <w:i/>
        </w:rPr>
        <w:t xml:space="preserve">pit</w:t>
      </w:r>
      <w:r>
        <w:t xml:space="preserve">;</w:t>
      </w:r>
      <w:r>
        <w:t xml:space="preserve"> </w:t>
      </w:r>
      <w:r>
        <w:rPr>
          <w:iCs/>
          <w:i/>
        </w:rPr>
        <w:t xml:space="preserve">svar</w:t>
      </w:r>
      <w:r>
        <w:t xml:space="preserve"> </w:t>
      </w:r>
      <w:r>
        <w:t xml:space="preserve">is</w:t>
      </w:r>
      <w:r>
        <w:t xml:space="preserve"> </w:t>
      </w:r>
      <w:r>
        <w:rPr>
          <w:iCs/>
          <w:i/>
        </w:rPr>
        <w:t xml:space="preserve">svarita</w:t>
      </w:r>
      <w:r>
        <w:t xml:space="preserve"> </w:t>
      </w:r>
      <w:r>
        <w:t xml:space="preserve">by</w:t>
      </w:r>
      <w:r>
        <w:t xml:space="preserve"> </w:t>
      </w:r>
      <w:r>
        <w:t xml:space="preserve">“</w:t>
      </w:r>
      <w:r>
        <w:t xml:space="preserve">nyaṅsvarau svaritau</w:t>
      </w:r>
      <w:r>
        <w:t xml:space="preserve">”</w:t>
      </w:r>
      <w:r>
        <w:t xml:space="preserve"> </w:t>
      </w:r>
      <w:r>
        <w:t xml:space="preserve">(Phiṭ-sūtra</w:t>
      </w:r>
      <w:r>
        <w:t xml:space="preserve"> </w:t>
      </w:r>
      <w:r>
        <w:t xml:space="preserve">“</w:t>
      </w:r>
      <w:r>
        <w:t xml:space="preserve">24</w:t>
      </w:r>
      <w:r>
        <w:t xml:space="preserve">”</w:t>
      </w:r>
      <w:r>
        <w:t xml:space="preserve"> </w:t>
      </w:r>
      <w:r>
        <w:t xml:space="preserve">[?], first digit 2 or 7); in the Saṃhitā the unaccented syllables after a</w:t>
      </w:r>
      <w:r>
        <w:t xml:space="preserve"> </w:t>
      </w:r>
      <w:r>
        <w:rPr>
          <w:iCs/>
          <w:i/>
        </w:rPr>
        <w:t xml:space="preserve">svarita</w:t>
      </w:r>
      <w:r>
        <w:t xml:space="preserve"> </w:t>
      </w:r>
      <w:r>
        <w:t xml:space="preserve">are one-toned (</w:t>
      </w:r>
      <w:r>
        <w:rPr>
          <w:iCs/>
          <w:i/>
        </w:rPr>
        <w:t xml:space="preserve">pracaya</w:t>
      </w:r>
      <w:r>
        <w:t xml:space="preserve">) by</w:t>
      </w:r>
      <w:r>
        <w:t xml:space="preserve"> </w:t>
      </w:r>
      <w:r>
        <w:t xml:space="preserve">“</w:t>
      </w:r>
      <w:r>
        <w:t xml:space="preserve">svaritāt saṃhitāyām anudāttānām</w:t>
      </w:r>
      <w:r>
        <w:t xml:space="preserve">”</w:t>
      </w:r>
      <w:r>
        <w:t xml:space="preserve"> </w:t>
      </w:r>
      <w:r>
        <w:t xml:space="preserve">(Pā. 1-2-39); so the</w:t>
      </w:r>
      <w:r>
        <w:t xml:space="preserve"> </w:t>
      </w:r>
      <w:r>
        <w:rPr>
          <w:iCs/>
          <w:i/>
        </w:rPr>
        <w:t xml:space="preserve">svarita</w:t>
      </w:r>
      <w:r>
        <w:t xml:space="preserve"> </w:t>
      </w:r>
      <w:r>
        <w:t xml:space="preserve">of</w:t>
      </w:r>
      <w:r>
        <w:t xml:space="preserve"> </w:t>
      </w:r>
      <w:r>
        <w:rPr>
          <w:iCs/>
          <w:i/>
        </w:rPr>
        <w:t xml:space="preserve">svar</w:t>
      </w:r>
      <w:r>
        <w:t xml:space="preserve"> </w:t>
      </w:r>
      <w:r>
        <w:t xml:space="preserve">stands.</w:t>
      </w:r>
      <w:r>
        <w:t xml:space="preserve"> </w:t>
      </w:r>
      <w:r>
        <w:rPr>
          <w:bCs/>
          <w:b/>
        </w:rPr>
        <w:t xml:space="preserve">अपः (</w:t>
      </w:r>
      <w:r>
        <w:rPr>
          <w:iCs/>
          <w:i/>
          <w:bCs/>
          <w:b/>
        </w:rPr>
        <w:t xml:space="preserve">apaḥ</w:t>
      </w:r>
      <w:r>
        <w:rPr>
          <w:bCs/>
          <w:b/>
        </w:rPr>
        <w:t xml:space="preserve">)</w:t>
      </w:r>
      <w:r>
        <w:t xml:space="preserve"> </w:t>
      </w:r>
      <w:r>
        <w:t xml:space="preserve">—</w:t>
      </w:r>
      <w:r>
        <w:t xml:space="preserve"> </w:t>
      </w:r>
      <w:r>
        <w:t xml:space="preserve">“</w:t>
      </w:r>
      <w:r>
        <w:t xml:space="preserve">ūḍidam-padādy-appum-raidyubhyaḥ</w:t>
      </w:r>
      <w:r>
        <w:t xml:space="preserve">”</w:t>
      </w:r>
      <w:r>
        <w:t xml:space="preserve"> </w:t>
      </w:r>
      <w:r>
        <w:t xml:space="preserve">(Pā. 6-1-171): the ending</w:t>
      </w:r>
      <w:r>
        <w:t xml:space="preserve"> </w:t>
      </w:r>
      <w:r>
        <w:rPr>
          <w:iCs/>
          <w:i/>
        </w:rPr>
        <w:t xml:space="preserve">śas</w:t>
      </w:r>
      <w:r>
        <w:t xml:space="preserve"> </w:t>
      </w:r>
      <w:r>
        <w:t xml:space="preserve">after</w:t>
      </w:r>
      <w:r>
        <w:t xml:space="preserve"> </w:t>
      </w:r>
      <w:r>
        <w:rPr>
          <w:iCs/>
          <w:i/>
        </w:rPr>
        <w:t xml:space="preserve">ap</w:t>
      </w:r>
      <w:r>
        <w:t xml:space="preserve"> </w:t>
      </w:r>
      <w:r>
        <w:t xml:space="preserve">is udātta.</w:t>
      </w:r>
      <w:r>
        <w:t xml:space="preserve"> </w:t>
      </w:r>
      <w:r>
        <w:rPr>
          <w:bCs/>
          <w:b/>
        </w:rPr>
        <w:t xml:space="preserve">धूनुहि (</w:t>
      </w:r>
      <w:r>
        <w:rPr>
          <w:iCs/>
          <w:i/>
          <w:bCs/>
          <w:b/>
        </w:rPr>
        <w:t xml:space="preserve">dhūnuhi</w:t>
      </w:r>
      <w:r>
        <w:rPr>
          <w:bCs/>
          <w:b/>
        </w:rPr>
        <w:t xml:space="preserve">)</w:t>
      </w:r>
      <w:r>
        <w:t xml:space="preserve"> </w:t>
      </w:r>
      <w:r>
        <w:t xml:space="preserve">— root</w:t>
      </w:r>
      <w:r>
        <w:t xml:space="preserve"> </w:t>
      </w:r>
      <w:r>
        <w:rPr>
          <w:iCs/>
          <w:i/>
        </w:rPr>
        <w:t xml:space="preserve">dhūñ kampane</w:t>
      </w:r>
      <w:r>
        <w:t xml:space="preserve">,</w:t>
      </w:r>
      <w:r>
        <w:t xml:space="preserve"> </w:t>
      </w:r>
      <w:r>
        <w:rPr>
          <w:iCs/>
          <w:i/>
        </w:rPr>
        <w:t xml:space="preserve">loṭ</w:t>
      </w:r>
      <w:r>
        <w:t xml:space="preserve"> </w:t>
      </w:r>
      <w:r>
        <w:t xml:space="preserve">second singular</w:t>
      </w:r>
      <w:r>
        <w:t xml:space="preserve"> </w:t>
      </w:r>
      <w:r>
        <w:rPr>
          <w:iCs/>
          <w:i/>
        </w:rPr>
        <w:t xml:space="preserve">sip</w:t>
      </w:r>
      <w:r>
        <w:t xml:space="preserve">, →</w:t>
      </w:r>
      <w:r>
        <w:t xml:space="preserve"> </w:t>
      </w:r>
      <w:r>
        <w:rPr>
          <w:iCs/>
          <w:i/>
        </w:rPr>
        <w:t xml:space="preserve">hi</w:t>
      </w:r>
      <w:r>
        <w:t xml:space="preserve"> </w:t>
      </w:r>
      <w:r>
        <w:t xml:space="preserve">by</w:t>
      </w:r>
      <w:r>
        <w:t xml:space="preserve"> </w:t>
      </w:r>
      <w:r>
        <w:t xml:space="preserve">“</w:t>
      </w:r>
      <w:r>
        <w:t xml:space="preserve">seryapicca</w:t>
      </w:r>
      <w:r>
        <w:t xml:space="preserve">”</w:t>
      </w:r>
      <w:r>
        <w:t xml:space="preserve"> </w:t>
      </w:r>
      <w:r>
        <w:t xml:space="preserve">(Pā. 3-4-87);</w:t>
      </w:r>
      <w:r>
        <w:t xml:space="preserve"> </w:t>
      </w:r>
      <w:r>
        <w:rPr>
          <w:iCs/>
          <w:i/>
        </w:rPr>
        <w:t xml:space="preserve">śnu</w:t>
      </w:r>
      <w:r>
        <w:t xml:space="preserve"> </w:t>
      </w:r>
      <w:r>
        <w:t xml:space="preserve">by</w:t>
      </w:r>
      <w:r>
        <w:t xml:space="preserve"> </w:t>
      </w:r>
      <w:r>
        <w:t xml:space="preserve">“</w:t>
      </w:r>
      <w:r>
        <w:t xml:space="preserve">svādibhyaḥ śnuḥ</w:t>
      </w:r>
      <w:r>
        <w:t xml:space="preserve">”</w:t>
      </w:r>
      <w:r>
        <w:t xml:space="preserve">:</w:t>
      </w:r>
      <w:r>
        <w:t xml:space="preserve"> </w:t>
      </w:r>
      <w:r>
        <w:rPr>
          <w:iCs/>
          <w:i/>
        </w:rPr>
        <w:t xml:space="preserve">dhūnuhi</w:t>
      </w:r>
      <w:r>
        <w:t xml:space="preserve">;</w:t>
      </w:r>
      <w:r>
        <w:t xml:space="preserve"> </w:t>
      </w:r>
      <w:r>
        <w:t xml:space="preserve">“</w:t>
      </w:r>
      <w:r>
        <w:t xml:space="preserve">utaś ca pratyayād asaṃyogapūrvāt</w:t>
      </w:r>
      <w:r>
        <w:t xml:space="preserve">”</w:t>
      </w:r>
      <w:r>
        <w:t xml:space="preserve"> </w:t>
      </w:r>
      <w:r>
        <w:t xml:space="preserve">(Pā. 6-4-106) would drop</w:t>
      </w:r>
      <w:r>
        <w:t xml:space="preserve"> </w:t>
      </w:r>
      <w:r>
        <w:rPr>
          <w:iCs/>
          <w:i/>
        </w:rPr>
        <w:t xml:space="preserve">hi</w:t>
      </w:r>
      <w:r>
        <w:t xml:space="preserve"> </w:t>
      </w:r>
      <w:r>
        <w:t xml:space="preserve">after the short</w:t>
      </w:r>
      <w:r>
        <w:t xml:space="preserve"> </w:t>
      </w:r>
      <w:r>
        <w:rPr>
          <w:iCs/>
          <w:i/>
        </w:rPr>
        <w:t xml:space="preserve">u</w:t>
      </w:r>
      <w:r>
        <w:t xml:space="preserve"> </w:t>
      </w:r>
      <w:r>
        <w:t xml:space="preserve">of a suffix not preceded by a conjunct, but by</w:t>
      </w:r>
      <w:r>
        <w:t xml:space="preserve"> </w:t>
      </w:r>
      <w:r>
        <w:t xml:space="preserve">“</w:t>
      </w:r>
      <w:r>
        <w:t xml:space="preserve">sarve vidhayaś chandasi vikalpyante</w:t>
      </w:r>
      <w:r>
        <w:t xml:space="preserve">”</w:t>
      </w:r>
      <w:r>
        <w:t xml:space="preserve"> </w:t>
      </w:r>
      <w:r>
        <w:t xml:space="preserve">(Paribhāṣā 35) it does not here.</w:t>
      </w:r>
    </w:p>
    <w:p>
      <w:pPr>
        <w:pStyle w:val="BodyText"/>
      </w:pPr>
      <w:r>
        <w:rPr>
          <w:bCs/>
          <w:b/>
        </w:rPr>
        <w:t xml:space="preserve">॥८॥</w:t>
      </w:r>
    </w:p>
    <w:p>
      <w:r>
        <w:pict>
          <v:rect style="width:0;height:1.5pt" o:hralign="center" o:hrstd="t" o:hr="t"/>
        </w:pict>
      </w:r>
    </w:p>
    <w:bookmarkEnd w:id="443"/>
    <w:bookmarkStart w:id="444" w:name="page-430-sūkta-10-rik-9"/>
    <w:p>
      <w:pPr>
        <w:pStyle w:val="Heading3"/>
      </w:pPr>
      <w:r>
        <w:t xml:space="preserve">Page 430 — Sūkta 10, Rik 9</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आश्रु॑त्कर्ण श्रु॒धी ह॒वं नू चि॑द्दधिष्व मे॒ गिरः॑ ।</w:t>
      </w:r>
      <w:r>
        <w:t xml:space="preserve"> </w:t>
      </w:r>
      <w:r>
        <w:t xml:space="preserve">इन्द्र॒ स्तोम॑मि॒मं मम॑ कृ॒ष्वा यु॒जश्चि॒दन्त॑रम् ॥९॥</w:t>
      </w:r>
    </w:p>
    <w:p>
      <w:pPr>
        <w:pStyle w:val="BlockText"/>
      </w:pPr>
      <w:r>
        <w:rPr>
          <w:iCs/>
          <w:i/>
        </w:rPr>
        <w:t xml:space="preserve">ā́śrutkarṇa śrudhī́ haváṃ nū́ cid dadhiṣva me gíraḥ |</w:t>
      </w:r>
      <w:r>
        <w:t xml:space="preserve"> </w:t>
      </w:r>
      <w:r>
        <w:rPr>
          <w:iCs/>
          <w:i/>
        </w:rPr>
        <w:t xml:space="preserve">indra stómam imáṃ máma kṛṣvā́ yujáś cid ántaram ||9||</w:t>
      </w:r>
    </w:p>
    <w:p>
      <w:pPr>
        <w:pStyle w:val="FirstParagraph"/>
      </w:pPr>
      <w:r>
        <w:rPr>
          <w:bCs/>
          <w:b/>
        </w:rPr>
        <w:t xml:space="preserve">॥ Pada-pāṭhaḥ ॥</w:t>
      </w:r>
    </w:p>
    <w:p>
      <w:pPr>
        <w:pStyle w:val="BlockText"/>
      </w:pPr>
      <w:r>
        <w:t xml:space="preserve">आश्रुत्ऽकर्ण । श्रुधि । हवम् । नु । चित् । दधिष्व । मे । गिरः ॥</w:t>
      </w:r>
      <w:r>
        <w:t xml:space="preserve"> </w:t>
      </w:r>
      <w:r>
        <w:t xml:space="preserve">इन्द्र । स्तोमम् । इमम् । मम । कृष्व । युजः । चित् । अन्तरम् ॥९॥</w:t>
      </w:r>
    </w:p>
    <w:p>
      <w:pPr>
        <w:pStyle w:val="BlockText"/>
      </w:pPr>
      <w:r>
        <w:rPr>
          <w:iCs/>
          <w:i/>
        </w:rPr>
        <w:t xml:space="preserve">āśrut-karṇa | śrudhi | havam | nu | cit | dadhiṣva | me | giraḥ ||</w:t>
      </w:r>
      <w:r>
        <w:t xml:space="preserve"> </w:t>
      </w:r>
      <w:r>
        <w:rPr>
          <w:iCs/>
          <w:i/>
        </w:rPr>
        <w:t xml:space="preserve">indra | stomam | imam | mama | kṛṣva | yujaḥ | cit | antaram ||9||</w:t>
      </w:r>
    </w:p>
    <w:p>
      <w:pPr>
        <w:pStyle w:val="FirstParagraph"/>
      </w:pPr>
      <w:r>
        <w:rPr>
          <w:bCs/>
          <w:b/>
        </w:rPr>
        <w:t xml:space="preserve">॥ Sāyaṇa-bhāṣyam ॥</w:t>
      </w:r>
    </w:p>
    <w:p>
      <w:pPr>
        <w:pStyle w:val="BlockText"/>
      </w:pPr>
      <w:r>
        <w:t xml:space="preserve">हे आश्रुत्कर्ण सर्वतः श्रोतारौ कर्णौ यस्य तादृगिन्द्र हवमस्मदीयमाह्वानं नु क्षिप्रं श्रुधि । शृणु । मे मम होतुर्गिरश्चित्स्तुतीरपि दधिष्व । चित्ते धारय । किंच मम मदीयमिमं स्तोमं स्तोत्ररूपं वाक्यसमूहं युजश्चित्त्वत्स्वकीयसख्युरप्यन्तरं कृष्व । आसन्नं कुरु । यथा वचनं तस्य प्रियं मन्यसे तद्वदस्मदीयस्तुतिष्वपि प्रीतिं कुर्वित्यर्थः ॥ आश्रुत्कर्ण । आ समन्ताच्छृणुत इत्याश्रुत् । क्विप् । ह्रस्वस्य तुक् । पा. ६-१-७१ । तादृशौ कर्णौ यस्य । आमन्त्रितस्य चेत्याद्युदात्तत्वम् । श्रुधि । श्रु श्रवणे । लोटो हिः । श्रुवः शृ च । पा. ३-१-७४ । इति विहितश्नोर्बहुलं छन्दसीति लुक् । तत्संनियोगशिष्टत्वाच्छृभावो ऽपि निवर्तते । श्रुशृणुपॄकृवृभ्यश्छन्दसि । पा. ६-४-१०२ । इति हेर्धिरादेशः । सतिशिष्टत्वात्प्रत्ययस्वरः । आमन्त्रितं पूर्वमविद्यमानवत् । पा. ८-१-७२ । इत्यविद्यमानवत्त्वेन पदादपरत्वात्तिङ्ङतिङ इति निघातो न भवति । संहितायामन्येषामपि दृश्यत इति दीर्घः । हवम् । ह्वेञ् स्पर्धायां शब्दे च । बहुलं छन्दसीत्यनैमित्तिके संप्रसारणे कृते पश्चादुकारान्तत्वेन ऋदोरप् । पा. ३-३-५७ । इत्यप्प्रत्ययः । अपः पित्त्वाद्धातुस्वरः । नु । संहितायामृचि तुनुघमक्षुतङ्कुत्रोरुष्याणाम् । पा. ६-३-१३३ । इति दीर्घः । चित् । चादिरनुदात्तः । दधिष्व । दधातेर्लोट् । थासः से । सवाभ्यां वामौ । पा. ३-४-९१ । शपः श्लुः । अभ्यासस्य ह्रस्वत्वादि । छन्दस्युभयथेत्यार्धधातुकस्यापि स्वेरिडागमः । आकारलोपः । निघातः । मम । तवममौ ङसि । पा. ७-२-९६ । इत्यनेन मपर्यन्तस्य ममादेशः । प्रातिपदिकस्वरेणान्तोदात्तत्वे प्राप्ते युष्मदस्मदोर्ङसि । पा. ६-१-२११ । इत्याद्युदात्तत्वम् । कृष्व । डुकृञ् करणे । लोट् । थासः से । सवाभ्यां वामौ । शपो बहुलं छन्दसीति लुक् । सतिशिष्टत्वात्प्रत्ययस्वरः । पादादित्वान्न निघातः । युजः । सावेकाच इति विभक्तेरुदात्तत्वम् । अन्तरम् । वृषादित्वादाद्युदात्तः ॥</w:t>
      </w:r>
    </w:p>
    <w:p>
      <w:pPr>
        <w:pStyle w:val="BlockText"/>
      </w:pPr>
      <w:r>
        <w:rPr>
          <w:iCs/>
          <w:i/>
        </w:rPr>
        <w:t xml:space="preserve">he āśrutkarṇa sarvataḥ śrotārau karṇau yasya tādṛgindra havamasmadīyamāhvānaṃ nu kṣipraṃ śrudhi | śṛṇu | me mama hoturgiraścitstutīrapi dadhiṣva | citte dhāraya | kiṃca mama madīyamimaṃ stomaṃ stotrarūpaṃ vākyasamūhaṃ yujaścittvatsvakīyasakhyurapyantaraṃ kṛṣva | āsannaṃ kuru | yathā vacanaṃ tasya priyaṃ manyase tadvadasmadīyastutiṣvapi prītiṃ kurvityarthaḥ || āśrutkarṇa | ā samantācchṛṇuta ityāśrut | kvip | hrasvasya tuk | pā. 6-1-71 | tādṛśau karṇau yasya | āmantritasya cetyādyudāttatvam | śrudhi | śru śravaṇe | loṭo hiḥ | śruvaḥ śṛ ca | pā. 3-1-74 | iti vihitaśnorbahulaṃ chandasīti luk | tatsaṃniyogaśiṣṭatvācchṛbhāvo ’pi nivartate | śruśṛṇupṝkṛvṛbhyaśchandasi | pā. 6-4-102 | iti herdhirādeśaḥ | satiśiṣṭatvātpratyayasvaraḥ | āmantritaṃ pūrvamavidyamānavat | pā. 8-1-72 | ityavidyamānavattvena padādaparatvāttiṅṅatiṅa iti nighāto na bhavati | saṃhitāyāmanyeṣāmapi dṛśyata iti dīrghaḥ | havam | hveñ spardhāyāṃ śabde ca | bahulaṃ chandasītyanaimittike saṃprasāraṇe kṛte paścādukārāntatvena ṛdorap | pā. 3-3-57 | ityappratyayaḥ | apaḥ pittvāddhātusvaraḥ | nu | saṃhitāyāmṛci tunughamakṣutaṅkutroruṣyāṇām | pā. 6-3-133 | iti dīrghaḥ | cit | cādiranudāttaḥ | dadhiṣva | dadhāterloṭ | thāsaḥ se | savābhyāṃ vāmau | pā. 3-4-91 | śapaḥ śluḥ | abhyāsasya hrasvatvādi | chandasyubhayathetyārdhadhātukasyāpi sveriḍāgamaḥ | ākāralopaḥ | nighātaḥ | mama | tavamamau ṅasi | pā. 7-2-96 | ityanena maparyantasya mamādeśaḥ | prātipadikasvareṇāntodāttatve prāpte yuṣmadasmadorṅasi | pā. 6-1-211 | ityādyudāttatvam | kṛṣva | ḍukṛñ karaṇe | loṭ | thāsaḥ se | savābhyāṃ vāmau | śapo bahulaṃ chandasīti luk | satiśiṣṭatvātpratyayasvaraḥ | pādāditvānna nighātaḥ | yujaḥ | sāvekāca iti vibhakterudāttatvam | antaram | vṛṣāditvādādyudāttaḥ ||</w:t>
      </w:r>
    </w:p>
    <w:p>
      <w:pPr>
        <w:pStyle w:val="FirstParagraph"/>
      </w:pPr>
      <w:r>
        <w:rPr>
          <w:bCs/>
          <w:b/>
        </w:rPr>
        <w:t xml:space="preserve">Translation:</w:t>
      </w:r>
      <w:r>
        <w:t xml:space="preserve"> </w:t>
      </w:r>
      <w:r>
        <w:t xml:space="preserve">“</w:t>
      </w:r>
      <w:r>
        <w:t xml:space="preserve">O</w:t>
      </w:r>
      <w:r>
        <w:t xml:space="preserve"> </w:t>
      </w:r>
      <w:r>
        <w:rPr>
          <w:iCs/>
          <w:i/>
        </w:rPr>
        <w:t xml:space="preserve">āśrutkarṇa</w:t>
      </w:r>
      <w:r>
        <w:t xml:space="preserve"> </w:t>
      </w:r>
      <w:r>
        <w:t xml:space="preserve">— O Indra, whose two ears hear from all sides!</w:t>
      </w:r>
      <w:r>
        <w:t xml:space="preserve"> </w:t>
      </w:r>
      <w:r>
        <w:rPr>
          <w:iCs/>
          <w:i/>
        </w:rPr>
        <w:t xml:space="preserve">Havam</w:t>
      </w:r>
      <w:r>
        <w:t xml:space="preserve">, our invocation,</w:t>
      </w:r>
      <w:r>
        <w:t xml:space="preserve"> </w:t>
      </w:r>
      <w:r>
        <w:rPr>
          <w:iCs/>
          <w:i/>
        </w:rPr>
        <w:t xml:space="preserve">nu</w:t>
      </w:r>
      <w:r>
        <w:t xml:space="preserve"> </w:t>
      </w:r>
      <w:r>
        <w:t xml:space="preserve">— quickly —</w:t>
      </w:r>
      <w:r>
        <w:t xml:space="preserve"> </w:t>
      </w:r>
      <w:r>
        <w:rPr>
          <w:iCs/>
          <w:i/>
        </w:rPr>
        <w:t xml:space="preserve">śrudhi</w:t>
      </w:r>
      <w:r>
        <w:t xml:space="preserve">: hear.</w:t>
      </w:r>
      <w:r>
        <w:t xml:space="preserve"> </w:t>
      </w:r>
      <w:r>
        <w:rPr>
          <w:iCs/>
          <w:i/>
        </w:rPr>
        <w:t xml:space="preserve">Me giraś cit</w:t>
      </w:r>
      <w:r>
        <w:t xml:space="preserve"> </w:t>
      </w:r>
      <w:r>
        <w:t xml:space="preserve">— the praises of me, the invoker, too —</w:t>
      </w:r>
      <w:r>
        <w:t xml:space="preserve"> </w:t>
      </w:r>
      <w:r>
        <w:rPr>
          <w:iCs/>
          <w:i/>
        </w:rPr>
        <w:t xml:space="preserve">dadhiṣva</w:t>
      </w:r>
      <w:r>
        <w:t xml:space="preserve">: hold in your mind. And further:</w:t>
      </w:r>
      <w:r>
        <w:t xml:space="preserve"> </w:t>
      </w:r>
      <w:r>
        <w:rPr>
          <w:iCs/>
          <w:i/>
        </w:rPr>
        <w:t xml:space="preserve">mama imam stomam</w:t>
      </w:r>
      <w:r>
        <w:t xml:space="preserve"> </w:t>
      </w:r>
      <w:r>
        <w:t xml:space="preserve">— this</w:t>
      </w:r>
      <w:r>
        <w:t xml:space="preserve"> </w:t>
      </w:r>
      <w:r>
        <w:rPr>
          <w:iCs/>
          <w:i/>
        </w:rPr>
        <w:t xml:space="preserve">stoma</w:t>
      </w:r>
      <w:r>
        <w:t xml:space="preserve"> </w:t>
      </w:r>
      <w:r>
        <w:t xml:space="preserve">of mine, this collection of sentences in the form of praise —</w:t>
      </w:r>
      <w:r>
        <w:t xml:space="preserve"> </w:t>
      </w:r>
      <w:r>
        <w:rPr>
          <w:iCs/>
          <w:i/>
        </w:rPr>
        <w:t xml:space="preserve">yujaś cid antaram kṛṣva</w:t>
      </w:r>
      <w:r>
        <w:t xml:space="preserve">: make it near, even nearer than your own friend; bring it close. The sense is: as you regard a friend’s word as dear, so take pleasure in our praises too.</w:t>
      </w:r>
      <w:r>
        <w:t xml:space="preserve">”</w:t>
      </w:r>
      <w:r>
        <w:t xml:space="preserve"> </w:t>
      </w:r>
      <w:r>
        <w:rPr>
          <w:iCs/>
          <w:i/>
        </w:rPr>
        <w:t xml:space="preserve">(Grammar, noted briefly:</w:t>
      </w:r>
      <w:r>
        <w:t xml:space="preserve"> </w:t>
      </w:r>
      <w:r>
        <w:t xml:space="preserve">āśrutkarṇa</w:t>
      </w:r>
      <w:r>
        <w:t xml:space="preserve"> </w:t>
      </w:r>
      <w:r>
        <w:rPr>
          <w:iCs/>
          <w:i/>
        </w:rPr>
        <w:t xml:space="preserve">—</w:t>
      </w:r>
      <w:r>
        <w:rPr>
          <w:iCs/>
          <w:i/>
        </w:rPr>
        <w:t xml:space="preserve"> </w:t>
      </w:r>
      <w:r>
        <w:rPr>
          <w:iCs/>
          <w:i/>
        </w:rPr>
        <w:t xml:space="preserve">“</w:t>
      </w:r>
      <w:r>
        <w:rPr>
          <w:iCs/>
          <w:i/>
        </w:rPr>
        <w:t xml:space="preserve">he whose ears hear from all around</w:t>
      </w:r>
      <w:r>
        <w:rPr>
          <w:iCs/>
          <w:i/>
        </w:rPr>
        <w:t xml:space="preserve">”</w:t>
      </w:r>
      <w:r>
        <w:rPr>
          <w:iCs/>
          <w:i/>
        </w:rPr>
        <w:t xml:space="preserve">; āśrut with</w:t>
      </w:r>
      <w:r>
        <w:t xml:space="preserve"> </w:t>
      </w:r>
      <w:r>
        <w:t xml:space="preserve">kvip</w:t>
      </w:r>
      <w:r>
        <w:t xml:space="preserve"> </w:t>
      </w:r>
      <w:r>
        <w:rPr>
          <w:iCs/>
          <w:i/>
        </w:rPr>
        <w:t xml:space="preserve">and</w:t>
      </w:r>
      <w:r>
        <w:t xml:space="preserve"> </w:t>
      </w:r>
      <w:r>
        <w:t xml:space="preserve">tuk</w:t>
      </w:r>
      <w:r>
        <w:t xml:space="preserve"> </w:t>
      </w:r>
      <w:r>
        <w:rPr>
          <w:iCs/>
          <w:i/>
        </w:rPr>
        <w:t xml:space="preserve">(Pā. 6-1-71), a vocative, initial-udātta;</w:t>
      </w:r>
      <w:r>
        <w:t xml:space="preserve"> </w:t>
      </w:r>
      <w:r>
        <w:t xml:space="preserve">śrudhi</w:t>
      </w:r>
      <w:r>
        <w:t xml:space="preserve"> </w:t>
      </w:r>
      <w:r>
        <w:rPr>
          <w:iCs/>
          <w:i/>
        </w:rPr>
        <w:t xml:space="preserve">— root</w:t>
      </w:r>
      <w:r>
        <w:t xml:space="preserve"> </w:t>
      </w:r>
      <w:r>
        <w:t xml:space="preserve">śru</w:t>
      </w:r>
      <w:r>
        <w:t xml:space="preserve"> </w:t>
      </w:r>
      <w:r>
        <w:rPr>
          <w:iCs/>
          <w:i/>
        </w:rPr>
        <w:t xml:space="preserve">with</w:t>
      </w:r>
      <w:r>
        <w:t xml:space="preserve"> </w:t>
      </w:r>
      <w:r>
        <w:t xml:space="preserve">hi</w:t>
      </w:r>
      <w:r>
        <w:rPr>
          <w:iCs/>
          <w:i/>
        </w:rPr>
        <w:t xml:space="preserve">; the</w:t>
      </w:r>
      <w:r>
        <w:t xml:space="preserve"> </w:t>
      </w:r>
      <w:r>
        <w:t xml:space="preserve">śnu</w:t>
      </w:r>
      <w:r>
        <w:t xml:space="preserve"> </w:t>
      </w:r>
      <w:r>
        <w:rPr>
          <w:iCs/>
          <w:i/>
        </w:rPr>
        <w:t xml:space="preserve">of Pā. 3-1-74 dropped, and with it the</w:t>
      </w:r>
      <w:r>
        <w:t xml:space="preserve"> </w:t>
      </w:r>
      <w:r>
        <w:t xml:space="preserve">śṛ</w:t>
      </w:r>
      <w:r>
        <w:rPr>
          <w:iCs/>
          <w:i/>
        </w:rPr>
        <w:t xml:space="preserve">-substitute;</w:t>
      </w:r>
      <w:r>
        <w:t xml:space="preserve"> </w:t>
      </w:r>
      <w:r>
        <w:t xml:space="preserve">hi</w:t>
      </w:r>
      <w:r>
        <w:t xml:space="preserve"> </w:t>
      </w:r>
      <w:r>
        <w:rPr>
          <w:iCs/>
          <w:i/>
        </w:rPr>
        <w:t xml:space="preserve">→</w:t>
      </w:r>
      <w:r>
        <w:t xml:space="preserve"> </w:t>
      </w:r>
      <w:r>
        <w:t xml:space="preserve">dhi</w:t>
      </w:r>
      <w:r>
        <w:t xml:space="preserve"> </w:t>
      </w:r>
      <w:r>
        <w:rPr>
          <w:iCs/>
          <w:i/>
        </w:rPr>
        <w:t xml:space="preserve">(Pā. 6-4-102); not lowered, as the preceding vocative counts as absent (Pā. 8-1-72); lengthened in the Saṃhitā;</w:t>
      </w:r>
      <w:r>
        <w:t xml:space="preserve"> </w:t>
      </w:r>
      <w:r>
        <w:t xml:space="preserve">havam</w:t>
      </w:r>
      <w:r>
        <w:t xml:space="preserve"> </w:t>
      </w:r>
      <w:r>
        <w:rPr>
          <w:iCs/>
          <w:i/>
        </w:rPr>
        <w:t xml:space="preserve">— root</w:t>
      </w:r>
      <w:r>
        <w:t xml:space="preserve"> </w:t>
      </w:r>
      <w:r>
        <w:t xml:space="preserve">hveñ</w:t>
      </w:r>
      <w:r>
        <w:t xml:space="preserve"> </w:t>
      </w:r>
      <w:r>
        <w:rPr>
          <w:iCs/>
          <w:i/>
        </w:rPr>
        <w:t xml:space="preserve">with</w:t>
      </w:r>
      <w:r>
        <w:t xml:space="preserve"> </w:t>
      </w:r>
      <w:r>
        <w:t xml:space="preserve">saṃprasāraṇa</w:t>
      </w:r>
      <w:r>
        <w:rPr>
          <w:iCs/>
          <w:i/>
        </w:rPr>
        <w:t xml:space="preserve">, then</w:t>
      </w:r>
      <w:r>
        <w:t xml:space="preserve"> </w:t>
      </w:r>
      <w:r>
        <w:t xml:space="preserve">ap</w:t>
      </w:r>
      <w:r>
        <w:t xml:space="preserve"> </w:t>
      </w:r>
      <w:r>
        <w:rPr>
          <w:iCs/>
          <w:i/>
        </w:rPr>
        <w:t xml:space="preserve">by</w:t>
      </w:r>
      <w:r>
        <w:rPr>
          <w:iCs/>
          <w:i/>
        </w:rPr>
        <w:t xml:space="preserve"> </w:t>
      </w:r>
      <w:r>
        <w:rPr>
          <w:iCs/>
          <w:i/>
        </w:rPr>
        <w:t xml:space="preserve">“</w:t>
      </w:r>
      <w:r>
        <w:rPr>
          <w:iCs/>
          <w:i/>
        </w:rPr>
        <w:t xml:space="preserve">ṛdor ap</w:t>
      </w:r>
      <w:r>
        <w:rPr>
          <w:iCs/>
          <w:i/>
        </w:rPr>
        <w:t xml:space="preserve">”</w:t>
      </w:r>
      <w:r>
        <w:rPr>
          <w:iCs/>
          <w:i/>
        </w:rPr>
        <w:t xml:space="preserve"> </w:t>
      </w:r>
      <w:r>
        <w:rPr>
          <w:iCs/>
          <w:i/>
        </w:rPr>
        <w:t xml:space="preserve">(Pā. 3-3-57);</w:t>
      </w:r>
      <w:r>
        <w:t xml:space="preserve"> </w:t>
      </w:r>
      <w:r>
        <w:t xml:space="preserve">nū</w:t>
      </w:r>
      <w:r>
        <w:t xml:space="preserve"> </w:t>
      </w:r>
      <w:r>
        <w:rPr>
          <w:iCs/>
          <w:i/>
        </w:rPr>
        <w:t xml:space="preserve">— lengthened by Pā. 6-3-133;</w:t>
      </w:r>
      <w:r>
        <w:t xml:space="preserve"> </w:t>
      </w:r>
      <w:r>
        <w:t xml:space="preserve">dadhiṣva</w:t>
      </w:r>
      <w:r>
        <w:t xml:space="preserve"> </w:t>
      </w:r>
      <w:r>
        <w:rPr>
          <w:iCs/>
          <w:i/>
        </w:rPr>
        <w:t xml:space="preserve">— root</w:t>
      </w:r>
      <w:r>
        <w:t xml:space="preserve"> </w:t>
      </w:r>
      <w:r>
        <w:t xml:space="preserve">dhā</w:t>
      </w:r>
      <w:r>
        <w:rPr>
          <w:iCs/>
          <w:i/>
        </w:rPr>
        <w:t xml:space="preserve">, loṭ ātmanepada (Pā. 3-4-91),</w:t>
      </w:r>
      <w:r>
        <w:t xml:space="preserve"> </w:t>
      </w:r>
      <w:r>
        <w:t xml:space="preserve">ślu</w:t>
      </w:r>
      <w:r>
        <w:rPr>
          <w:iCs/>
          <w:i/>
        </w:rPr>
        <w:t xml:space="preserve">, the augment</w:t>
      </w:r>
      <w:r>
        <w:t xml:space="preserve"> </w:t>
      </w:r>
      <w:r>
        <w:t xml:space="preserve">iṭ</w:t>
      </w:r>
      <w:r>
        <w:t xml:space="preserve"> </w:t>
      </w:r>
      <w:r>
        <w:rPr>
          <w:iCs/>
          <w:i/>
        </w:rPr>
        <w:t xml:space="preserve">on</w:t>
      </w:r>
      <w:r>
        <w:t xml:space="preserve"> </w:t>
      </w:r>
      <w:r>
        <w:t xml:space="preserve">sva</w:t>
      </w:r>
      <w:r>
        <w:rPr>
          <w:iCs/>
          <w:i/>
        </w:rPr>
        <w:t xml:space="preserve">, lowered;</w:t>
      </w:r>
      <w:r>
        <w:t xml:space="preserve"> </w:t>
      </w:r>
      <w:r>
        <w:t xml:space="preserve">mama</w:t>
      </w:r>
      <w:r>
        <w:t xml:space="preserve"> </w:t>
      </w:r>
      <w:r>
        <w:rPr>
          <w:iCs/>
          <w:i/>
        </w:rPr>
        <w:t xml:space="preserve">— by</w:t>
      </w:r>
      <w:r>
        <w:rPr>
          <w:iCs/>
          <w:i/>
        </w:rPr>
        <w:t xml:space="preserve"> </w:t>
      </w:r>
      <w:r>
        <w:rPr>
          <w:iCs/>
          <w:i/>
        </w:rPr>
        <w:t xml:space="preserve">“</w:t>
      </w:r>
      <w:r>
        <w:rPr>
          <w:iCs/>
          <w:i/>
        </w:rPr>
        <w:t xml:space="preserve">tavamamau ṅasi</w:t>
      </w:r>
      <w:r>
        <w:rPr>
          <w:iCs/>
          <w:i/>
        </w:rPr>
        <w:t xml:space="preserve">”</w:t>
      </w:r>
      <w:r>
        <w:rPr>
          <w:iCs/>
          <w:i/>
        </w:rPr>
        <w:t xml:space="preserve"> </w:t>
      </w:r>
      <w:r>
        <w:rPr>
          <w:iCs/>
          <w:i/>
        </w:rPr>
        <w:t xml:space="preserve">(Pā. 7-2-96), initial-udātta by Pā. 6-1-211;</w:t>
      </w:r>
      <w:r>
        <w:t xml:space="preserve"> </w:t>
      </w:r>
      <w:r>
        <w:t xml:space="preserve">kṛṣva</w:t>
      </w:r>
      <w:r>
        <w:t xml:space="preserve"> </w:t>
      </w:r>
      <w:r>
        <w:rPr>
          <w:iCs/>
          <w:i/>
        </w:rPr>
        <w:t xml:space="preserve">— śap dropped, suffix accent, not lowered as first in the pāda;</w:t>
      </w:r>
      <w:r>
        <w:t xml:space="preserve"> </w:t>
      </w:r>
      <w:r>
        <w:t xml:space="preserve">yujaḥ</w:t>
      </w:r>
      <w:r>
        <w:t xml:space="preserve"> </w:t>
      </w:r>
      <w:r>
        <w:rPr>
          <w:iCs/>
          <w:i/>
        </w:rPr>
        <w:t xml:space="preserve">— case-ending udātta;</w:t>
      </w:r>
      <w:r>
        <w:t xml:space="preserve"> </w:t>
      </w:r>
      <w:r>
        <w:t xml:space="preserve">antaram</w:t>
      </w:r>
      <w:r>
        <w:t xml:space="preserve"> </w:t>
      </w:r>
      <w:r>
        <w:rPr>
          <w:iCs/>
          <w:i/>
        </w:rPr>
        <w:t xml:space="preserve">— initial-udātta as a vṛṣādi word.)</w:t>
      </w:r>
    </w:p>
    <w:bookmarkEnd w:id="444"/>
    <w:bookmarkStart w:id="445" w:name="X9f7f5d9ba85ebb9a44f57c3fe267be2f73f7322"/>
    <w:p>
      <w:pPr>
        <w:pStyle w:val="Heading3"/>
      </w:pPr>
      <w:r>
        <w:t xml:space="preserve">Page 431 — Rik 9: word-meanings, overall sense, English, Special Topics</w:t>
      </w:r>
    </w:p>
    <w:p>
      <w:pPr>
        <w:pStyle w:val="FirstParagraph"/>
      </w:pPr>
      <w:r>
        <w:rPr>
          <w:bCs/>
          <w:b/>
        </w:rPr>
        <w:t xml:space="preserve">॥ Prati-padārthaḥ ॥</w:t>
      </w:r>
    </w:p>
    <w:p>
      <w:pPr>
        <w:pStyle w:val="BodyText"/>
      </w:pPr>
      <w:r>
        <w:rPr>
          <w:bCs/>
          <w:b/>
        </w:rPr>
        <w:t xml:space="preserve">(हे) आश्रुत्कर्ण ((he) āśrutkarṇa)</w:t>
      </w:r>
      <w:r>
        <w:t xml:space="preserve"> </w:t>
      </w:r>
      <w:r>
        <w:t xml:space="preserve">— O Indra, whose ears have the capacity to hear everything |</w:t>
      </w:r>
      <w:r>
        <w:t xml:space="preserve"> </w:t>
      </w:r>
      <w:r>
        <w:rPr>
          <w:bCs/>
          <w:b/>
        </w:rPr>
        <w:t xml:space="preserve">हवम् (havam)</w:t>
      </w:r>
      <w:r>
        <w:t xml:space="preserve"> </w:t>
      </w:r>
      <w:r>
        <w:t xml:space="preserve">— my invocation (that we call you with) |</w:t>
      </w:r>
      <w:r>
        <w:t xml:space="preserve"> </w:t>
      </w:r>
      <w:r>
        <w:rPr>
          <w:bCs/>
          <w:b/>
        </w:rPr>
        <w:t xml:space="preserve">नु (nu)</w:t>
      </w:r>
      <w:r>
        <w:t xml:space="preserve"> </w:t>
      </w:r>
      <w:r>
        <w:t xml:space="preserve">— quickly |</w:t>
      </w:r>
      <w:r>
        <w:t xml:space="preserve"> </w:t>
      </w:r>
      <w:r>
        <w:rPr>
          <w:bCs/>
          <w:b/>
        </w:rPr>
        <w:t xml:space="preserve">श्रुधि (śrudhi)</w:t>
      </w:r>
      <w:r>
        <w:t xml:space="preserve"> </w:t>
      </w:r>
      <w:r>
        <w:t xml:space="preserve">— hear |</w:t>
      </w:r>
      <w:r>
        <w:t xml:space="preserve"> </w:t>
      </w:r>
      <w:r>
        <w:rPr>
          <w:bCs/>
          <w:b/>
        </w:rPr>
        <w:t xml:space="preserve">मे (me)</w:t>
      </w:r>
      <w:r>
        <w:t xml:space="preserve"> </w:t>
      </w:r>
      <w:r>
        <w:t xml:space="preserve">— my (of the invoker) |</w:t>
      </w:r>
      <w:r>
        <w:t xml:space="preserve"> </w:t>
      </w:r>
      <w:r>
        <w:rPr>
          <w:bCs/>
          <w:b/>
        </w:rPr>
        <w:t xml:space="preserve">गिरः चित् (giraḥ cit)</w:t>
      </w:r>
      <w:r>
        <w:t xml:space="preserve"> </w:t>
      </w:r>
      <w:r>
        <w:t xml:space="preserve">— also the words (in the form of praise) |</w:t>
      </w:r>
      <w:r>
        <w:t xml:space="preserve"> </w:t>
      </w:r>
      <w:r>
        <w:rPr>
          <w:bCs/>
          <w:b/>
        </w:rPr>
        <w:t xml:space="preserve">दधिष्व (dadhiṣva)</w:t>
      </w:r>
      <w:r>
        <w:t xml:space="preserve"> </w:t>
      </w:r>
      <w:r>
        <w:t xml:space="preserve">— hold in your mind |</w:t>
      </w:r>
      <w:r>
        <w:t xml:space="preserve"> </w:t>
      </w:r>
      <w:r>
        <w:rPr>
          <w:iCs/>
          <w:i/>
        </w:rPr>
        <w:t xml:space="preserve">(and)</w:t>
      </w:r>
      <w:r>
        <w:t xml:space="preserve"> </w:t>
      </w:r>
      <w:r>
        <w:rPr>
          <w:bCs/>
          <w:b/>
        </w:rPr>
        <w:t xml:space="preserve">मम (mama)</w:t>
      </w:r>
      <w:r>
        <w:t xml:space="preserve"> </w:t>
      </w:r>
      <w:r>
        <w:t xml:space="preserve">— my (that is, the one I make) |</w:t>
      </w:r>
      <w:r>
        <w:t xml:space="preserve"> </w:t>
      </w:r>
      <w:r>
        <w:rPr>
          <w:bCs/>
          <w:b/>
        </w:rPr>
        <w:t xml:space="preserve">इमं स्तोमम् (imaṃ stomam)</w:t>
      </w:r>
      <w:r>
        <w:t xml:space="preserve"> </w:t>
      </w:r>
      <w:r>
        <w:t xml:space="preserve">— this hymn |</w:t>
      </w:r>
      <w:r>
        <w:t xml:space="preserve"> </w:t>
      </w:r>
      <w:r>
        <w:rPr>
          <w:bCs/>
          <w:b/>
        </w:rPr>
        <w:t xml:space="preserve">अन्तरं युजः चित् कृष्व (antaraṃ yujaḥ cit kṛṣva)</w:t>
      </w:r>
      <w:r>
        <w:t xml:space="preserve"> </w:t>
      </w:r>
      <w:r>
        <w:t xml:space="preserve">— regard as dear, as the word of your friend.</w:t>
      </w:r>
    </w:p>
    <w:p>
      <w:pPr>
        <w:pStyle w:val="BodyText"/>
      </w:pPr>
      <w:r>
        <w:rPr>
          <w:bCs/>
          <w:b/>
        </w:rPr>
        <w:t xml:space="preserve">॥ Bhāvārthaḥ ॥</w:t>
      </w:r>
    </w:p>
    <w:p>
      <w:pPr>
        <w:pStyle w:val="BodyText"/>
      </w:pPr>
      <w:r>
        <w:t xml:space="preserve">O Indra! Your ears are able to hear everything, everywhere. Therefore hear quickly the invocation that we make, calling you; keep my words in mind; and regard this hymn that I make, or these sentences in the form of praise, as exceedingly dear, like the words of your friend.</w:t>
      </w:r>
    </w:p>
    <w:p>
      <w:pPr>
        <w:pStyle w:val="BodyText"/>
      </w:pPr>
      <w:r>
        <w:rPr>
          <w:bCs/>
          <w:b/>
        </w:rPr>
        <w:t xml:space="preserve">॥ English Translation ॥</w:t>
      </w:r>
      <w:r>
        <w:t xml:space="preserve"> </w:t>
      </w:r>
      <w:r>
        <w:rPr>
          <w:iCs/>
          <w:i/>
        </w:rPr>
        <w:t xml:space="preserve">(as printed in the source)</w:t>
      </w:r>
    </w:p>
    <w:p>
      <w:pPr>
        <w:pStyle w:val="BlockText"/>
      </w:pPr>
      <w:r>
        <w:t xml:space="preserve">O Indra, whose ears hear all things, listen quickly to my invocation; hold my praises (in four [sic] heart); keep near this my hymn as it were the words of a friend.</w:t>
      </w:r>
    </w:p>
    <w:p>
      <w:pPr>
        <w:pStyle w:val="FirstParagraph"/>
      </w:pPr>
      <w:r>
        <w:rPr>
          <w:bCs/>
          <w:b/>
        </w:rPr>
        <w:t xml:space="preserve">॥ Viśeṣa-viṣayagaḷu (Special Topics) ॥</w:t>
      </w:r>
    </w:p>
    <w:p>
      <w:pPr>
        <w:pStyle w:val="BodyText"/>
      </w:pPr>
      <w:r>
        <w:rPr>
          <w:bCs/>
          <w:b/>
        </w:rPr>
        <w:t xml:space="preserve">“</w:t>
      </w:r>
      <w:r>
        <w:rPr>
          <w:bCs/>
          <w:b/>
        </w:rPr>
        <w:t xml:space="preserve">Āśrutkarṇa</w:t>
      </w:r>
      <w:r>
        <w:rPr>
          <w:bCs/>
          <w:b/>
        </w:rPr>
        <w:t xml:space="preserve">”</w:t>
      </w:r>
      <w:r>
        <w:t xml:space="preserve"> </w:t>
      </w:r>
      <w:r>
        <w:t xml:space="preserve">—</w:t>
      </w:r>
      <w:r>
        <w:t xml:space="preserve"> </w:t>
      </w:r>
      <w:r>
        <w:rPr>
          <w:bCs/>
          <w:b/>
        </w:rPr>
        <w:t xml:space="preserve">आ समन्ताच्छृणुत इत्याश्रुत् । तादृशौ कर्णौ यस्य सः । सर्वतः श्रोतारौ कर्णौ यस्य तादृगिन्द्र</w:t>
      </w:r>
      <w:r>
        <w:t xml:space="preserve"> </w:t>
      </w:r>
      <w:r>
        <w:t xml:space="preserve">(</w:t>
      </w:r>
      <w:r>
        <w:rPr>
          <w:iCs/>
          <w:i/>
        </w:rPr>
        <w:t xml:space="preserve">ā samantācchṛṇuta ityāśrut | tādṛśau karṇau yasya saḥ | sarvataḥ śrotārau karṇau yasya tādṛgindra</w:t>
      </w:r>
      <w:r>
        <w:t xml:space="preserve">) —</w:t>
      </w:r>
      <w:r>
        <w:t xml:space="preserve"> </w:t>
      </w:r>
      <w:r>
        <w:t xml:space="preserve">“</w:t>
      </w:r>
      <w:r>
        <w:rPr>
          <w:iCs/>
          <w:i/>
        </w:rPr>
        <w:t xml:space="preserve">āśrut</w:t>
      </w:r>
      <w:r>
        <w:t xml:space="preserve"> </w:t>
      </w:r>
      <w:r>
        <w:t xml:space="preserve">is one who hears all round; he who has such ears is</w:t>
      </w:r>
      <w:r>
        <w:t xml:space="preserve"> </w:t>
      </w:r>
      <w:r>
        <w:rPr>
          <w:iCs/>
          <w:i/>
        </w:rPr>
        <w:t xml:space="preserve">āśrutkarṇa</w:t>
      </w:r>
      <w:r>
        <w:t xml:space="preserve">”</w:t>
      </w:r>
      <w:r>
        <w:t xml:space="preserve">: [the sense is]</w:t>
      </w:r>
      <w:r>
        <w:t xml:space="preserve"> </w:t>
      </w:r>
      <w:r>
        <w:t xml:space="preserve">“</w:t>
      </w:r>
      <w:r>
        <w:t xml:space="preserve">O Indra, who hears from every place, everywhere</w:t>
      </w:r>
      <w:r>
        <w:t xml:space="preserve">”</w:t>
      </w:r>
      <w:r>
        <w:t xml:space="preserve">; one whose ears are such that wherever Indra may be he hears — that is the idea of the poet about the hymns and words that we make.</w:t>
      </w:r>
    </w:p>
    <w:bookmarkEnd w:id="445"/>
    <w:bookmarkStart w:id="446" w:name="X4c3bd75b430135d476533eabebfcbe3d4dffc8b"/>
    <w:p>
      <w:pPr>
        <w:pStyle w:val="Heading3"/>
      </w:pPr>
      <w:r>
        <w:t xml:space="preserve">Page 432 — Rik 9: Special Topics (continued) and grammar</w:t>
      </w:r>
    </w:p>
    <w:p>
      <w:pPr>
        <w:pStyle w:val="FirstParagraph"/>
      </w:pPr>
      <w:r>
        <w:rPr>
          <w:bCs/>
          <w:b/>
        </w:rPr>
        <w:t xml:space="preserve">“</w:t>
      </w:r>
      <w:r>
        <w:rPr>
          <w:bCs/>
          <w:b/>
        </w:rPr>
        <w:t xml:space="preserve">Śrudhi,</w:t>
      </w:r>
      <w:r>
        <w:rPr>
          <w:bCs/>
          <w:b/>
        </w:rPr>
        <w:t xml:space="preserve">”</w:t>
      </w:r>
      <w:r>
        <w:rPr>
          <w:bCs/>
          <w:b/>
        </w:rPr>
        <w:t xml:space="preserve"> </w:t>
      </w:r>
      <w:r>
        <w:rPr>
          <w:bCs/>
          <w:b/>
        </w:rPr>
        <w:t xml:space="preserve">“</w:t>
      </w:r>
      <w:r>
        <w:rPr>
          <w:bCs/>
          <w:b/>
        </w:rPr>
        <w:t xml:space="preserve">nu,</w:t>
      </w:r>
      <w:r>
        <w:rPr>
          <w:bCs/>
          <w:b/>
        </w:rPr>
        <w:t xml:space="preserve">”</w:t>
      </w:r>
      <w:r>
        <w:rPr>
          <w:bCs/>
          <w:b/>
        </w:rPr>
        <w:t xml:space="preserve"> </w:t>
      </w:r>
      <w:r>
        <w:rPr>
          <w:bCs/>
          <w:b/>
        </w:rPr>
        <w:t xml:space="preserve">“</w:t>
      </w:r>
      <w:r>
        <w:rPr>
          <w:bCs/>
          <w:b/>
        </w:rPr>
        <w:t xml:space="preserve">kṛṣva</w:t>
      </w:r>
      <w:r>
        <w:rPr>
          <w:bCs/>
          <w:b/>
        </w:rPr>
        <w:t xml:space="preserve">”</w:t>
      </w:r>
      <w:r>
        <w:t xml:space="preserve"> </w:t>
      </w:r>
      <w:r>
        <w:t xml:space="preserve">— the final syllable of these words is lengthened in the Saṃhitā-pāṭha for the convenience of the meter.</w:t>
      </w:r>
    </w:p>
    <w:p>
      <w:pPr>
        <w:pStyle w:val="BodyText"/>
      </w:pPr>
      <w:r>
        <w:rPr>
          <w:bCs/>
          <w:b/>
        </w:rPr>
        <w:t xml:space="preserve">“</w:t>
      </w:r>
      <w:r>
        <w:rPr>
          <w:bCs/>
          <w:b/>
        </w:rPr>
        <w:t xml:space="preserve">Dadhiṣva me giraḥ</w:t>
      </w:r>
      <w:r>
        <w:rPr>
          <w:bCs/>
          <w:b/>
        </w:rPr>
        <w:t xml:space="preserve">”</w:t>
      </w:r>
      <w:r>
        <w:t xml:space="preserve"> </w:t>
      </w:r>
      <w:r>
        <w:t xml:space="preserve">—</w:t>
      </w:r>
      <w:r>
        <w:t xml:space="preserve"> </w:t>
      </w:r>
      <w:r>
        <w:t xml:space="preserve">“</w:t>
      </w:r>
      <w:r>
        <w:t xml:space="preserve">hold our words, or our prayer, in your mind</w:t>
      </w:r>
      <w:r>
        <w:t xml:space="preserve">”</w:t>
      </w:r>
      <w:r>
        <w:t xml:space="preserve">: that is, listen to what we pray, and keep it in memory so that you do not forget it.</w:t>
      </w:r>
    </w:p>
    <w:p>
      <w:pPr>
        <w:pStyle w:val="BodyText"/>
      </w:pPr>
      <w:r>
        <w:rPr>
          <w:bCs/>
          <w:b/>
        </w:rPr>
        <w:t xml:space="preserve">“</w:t>
      </w:r>
      <w:r>
        <w:rPr>
          <w:bCs/>
          <w:b/>
        </w:rPr>
        <w:t xml:space="preserve">Yujaścid antaram</w:t>
      </w:r>
      <w:r>
        <w:rPr>
          <w:bCs/>
          <w:b/>
        </w:rPr>
        <w:t xml:space="preserve">”</w:t>
      </w:r>
      <w:r>
        <w:t xml:space="preserve"> </w:t>
      </w:r>
      <w:r>
        <w:t xml:space="preserve">— the Bhāṣyakāra explains it as</w:t>
      </w:r>
      <w:r>
        <w:t xml:space="preserve"> </w:t>
      </w:r>
      <w:r>
        <w:t xml:space="preserve">“</w:t>
      </w:r>
      <w:r>
        <w:t xml:space="preserve">dear [to you] as the words of friends.</w:t>
      </w:r>
      <w:r>
        <w:t xml:space="preserve">”</w:t>
      </w:r>
      <w:r>
        <w:t xml:space="preserve"> </w:t>
      </w:r>
      <w:r>
        <w:t xml:space="preserve">Although no word is present in this phrase to indicate the term</w:t>
      </w:r>
      <w:r>
        <w:t xml:space="preserve"> </w:t>
      </w:r>
      <w:r>
        <w:t xml:space="preserve">“</w:t>
      </w:r>
      <w:r>
        <w:t xml:space="preserve">friends,</w:t>
      </w:r>
      <w:r>
        <w:t xml:space="preserve">”</w:t>
      </w:r>
      <w:r>
        <w:t xml:space="preserve"> </w:t>
      </w:r>
      <w:r>
        <w:t xml:space="preserve">the Bhāṣyakāra supplies</w:t>
      </w:r>
      <w:r>
        <w:t xml:space="preserve"> </w:t>
      </w:r>
      <w:r>
        <w:rPr>
          <w:iCs/>
          <w:i/>
        </w:rPr>
        <w:t xml:space="preserve">sakhyuḥ</w:t>
      </w:r>
      <w:r>
        <w:t xml:space="preserve"> </w:t>
      </w:r>
      <w:r>
        <w:t xml:space="preserve">(</w:t>
      </w:r>
      <w:r>
        <w:t xml:space="preserve">“</w:t>
      </w:r>
      <w:r>
        <w:t xml:space="preserve">of a friend</w:t>
      </w:r>
      <w:r>
        <w:t xml:space="preserve">”</w:t>
      </w:r>
      <w:r>
        <w:t xml:space="preserve">) so that the sense fits.</w:t>
      </w:r>
    </w:p>
    <w:p>
      <w:pPr>
        <w:pStyle w:val="BodyText"/>
      </w:pPr>
      <w:r>
        <w:rPr>
          <w:bCs/>
          <w:b/>
        </w:rPr>
        <w:t xml:space="preserve">॥ Vyākaraṇa-prakriyā ॥</w:t>
      </w:r>
      <w:r>
        <w:t xml:space="preserve"> </w:t>
      </w:r>
      <w:r>
        <w:rPr>
          <w:iCs/>
          <w:i/>
        </w:rPr>
        <w:t xml:space="preserve">(grammar pages 432–435, noted briefly)</w:t>
      </w:r>
    </w:p>
    <w:p>
      <w:pPr>
        <w:pStyle w:val="BodyText"/>
      </w:pPr>
      <w:r>
        <w:rPr>
          <w:bCs/>
          <w:b/>
        </w:rPr>
        <w:t xml:space="preserve">आश्रुत्कर्ण (</w:t>
      </w:r>
      <w:r>
        <w:rPr>
          <w:iCs/>
          <w:i/>
          <w:bCs/>
          <w:b/>
        </w:rPr>
        <w:t xml:space="preserve">āśrutkarṇa</w:t>
      </w:r>
      <w:r>
        <w:rPr>
          <w:bCs/>
          <w:b/>
        </w:rPr>
        <w:t xml:space="preserve">)</w:t>
      </w:r>
      <w:r>
        <w:t xml:space="preserve"> </w:t>
      </w:r>
      <w:r>
        <w:t xml:space="preserve">—</w:t>
      </w:r>
      <w:r>
        <w:t xml:space="preserve"> </w:t>
      </w:r>
      <w:r>
        <w:t xml:space="preserve">“</w:t>
      </w:r>
      <w:r>
        <w:t xml:space="preserve">ā samantāt (from all sides) śṛṇuta (hear)</w:t>
      </w:r>
      <w:r>
        <w:t xml:space="preserve">”</w:t>
      </w:r>
      <w:r>
        <w:t xml:space="preserve">: the root</w:t>
      </w:r>
      <w:r>
        <w:t xml:space="preserve"> </w:t>
      </w:r>
      <w:r>
        <w:rPr>
          <w:iCs/>
          <w:i/>
        </w:rPr>
        <w:t xml:space="preserve">śru śravaṇe</w:t>
      </w:r>
      <w:r>
        <w:t xml:space="preserve"> </w:t>
      </w:r>
      <w:r>
        <w:t xml:space="preserve">with</w:t>
      </w:r>
      <w:r>
        <w:t xml:space="preserve"> </w:t>
      </w:r>
      <w:r>
        <w:rPr>
          <w:iCs/>
          <w:i/>
        </w:rPr>
        <w:t xml:space="preserve">ā</w:t>
      </w:r>
      <w:r>
        <w:t xml:space="preserve"> </w:t>
      </w:r>
      <w:r>
        <w:t xml:space="preserve">before it, and</w:t>
      </w:r>
      <w:r>
        <w:t xml:space="preserve"> </w:t>
      </w:r>
      <w:r>
        <w:rPr>
          <w:iCs/>
          <w:i/>
        </w:rPr>
        <w:t xml:space="preserve">kvip</w:t>
      </w:r>
      <w:r>
        <w:t xml:space="preserve"> </w:t>
      </w:r>
      <w:r>
        <w:t xml:space="preserve">by</w:t>
      </w:r>
      <w:r>
        <w:t xml:space="preserve"> </w:t>
      </w:r>
      <w:r>
        <w:t xml:space="preserve">“</w:t>
      </w:r>
      <w:r>
        <w:t xml:space="preserve">kvip ca</w:t>
      </w:r>
      <w:r>
        <w:t xml:space="preserve">”</w:t>
      </w:r>
      <w:r>
        <w:t xml:space="preserve"> </w:t>
      </w:r>
      <w:r>
        <w:t xml:space="preserve">(Pā. 3-2-76); all the letters of</w:t>
      </w:r>
      <w:r>
        <w:t xml:space="preserve"> </w:t>
      </w:r>
      <w:r>
        <w:rPr>
          <w:iCs/>
          <w:i/>
        </w:rPr>
        <w:t xml:space="preserve">kvip</w:t>
      </w:r>
      <w:r>
        <w:t xml:space="preserve"> </w:t>
      </w:r>
      <w:r>
        <w:t xml:space="preserve">drop, but by</w:t>
      </w:r>
      <w:r>
        <w:t xml:space="preserve"> </w:t>
      </w:r>
      <w:r>
        <w:t xml:space="preserve">“</w:t>
      </w:r>
      <w:r>
        <w:t xml:space="preserve">pratyayalope pratyayalakṣaṇam</w:t>
      </w:r>
      <w:r>
        <w:t xml:space="preserve">”</w:t>
      </w:r>
      <w:r>
        <w:t xml:space="preserve"> </w:t>
      </w:r>
      <w:r>
        <w:t xml:space="preserve">(Pā. 1-1-62) the suffix still counts; so by</w:t>
      </w:r>
      <w:r>
        <w:t xml:space="preserve"> </w:t>
      </w:r>
      <w:r>
        <w:t xml:space="preserve">“</w:t>
      </w:r>
      <w:r>
        <w:t xml:space="preserve">hrasvasya piti kṛti tuk</w:t>
      </w:r>
      <w:r>
        <w:t xml:space="preserve">”</w:t>
      </w:r>
      <w:r>
        <w:t xml:space="preserve"> </w:t>
      </w:r>
      <w:r>
        <w:t xml:space="preserve">(Pā. 6-1-71)</w:t>
      </w:r>
      <w:r>
        <w:t xml:space="preserve"> </w:t>
      </w:r>
      <w:r>
        <w:rPr>
          <w:iCs/>
          <w:i/>
        </w:rPr>
        <w:t xml:space="preserve">tuk</w:t>
      </w:r>
      <w:r>
        <w:t xml:space="preserve"> </w:t>
      </w:r>
      <w:r>
        <w:t xml:space="preserve">is added after the short vowel of the root before a</w:t>
      </w:r>
      <w:r>
        <w:t xml:space="preserve"> </w:t>
      </w:r>
      <w:r>
        <w:rPr>
          <w:iCs/>
          <w:i/>
        </w:rPr>
        <w:t xml:space="preserve">pit</w:t>
      </w:r>
      <w:r>
        <w:t xml:space="preserve"> </w:t>
      </w:r>
      <w:r>
        <w:rPr>
          <w:iCs/>
          <w:i/>
        </w:rPr>
        <w:t xml:space="preserve">kṛt</w:t>
      </w:r>
      <w:r>
        <w:t xml:space="preserve"> </w:t>
      </w:r>
      <w:r>
        <w:t xml:space="preserve">suffix, giving</w:t>
      </w:r>
      <w:r>
        <w:t xml:space="preserve"> </w:t>
      </w:r>
      <w:r>
        <w:rPr>
          <w:iCs/>
          <w:i/>
        </w:rPr>
        <w:t xml:space="preserve">āśrut</w:t>
      </w:r>
      <w:r>
        <w:t xml:space="preserve">;</w:t>
      </w:r>
      <w:r>
        <w:t xml:space="preserve"> </w:t>
      </w:r>
      <w:r>
        <w:t xml:space="preserve">“</w:t>
      </w:r>
      <w:r>
        <w:t xml:space="preserve">āśrutau karṇau yasya saḥ</w:t>
      </w:r>
      <w:r>
        <w:t xml:space="preserve">”</w:t>
      </w:r>
      <w:r>
        <w:t xml:space="preserve"> </w:t>
      </w:r>
      <w:r>
        <w:t xml:space="preserve">(a bahuvrīhi) gives the vocative</w:t>
      </w:r>
      <w:r>
        <w:t xml:space="preserve"> </w:t>
      </w:r>
      <w:r>
        <w:rPr>
          <w:iCs/>
          <w:i/>
        </w:rPr>
        <w:t xml:space="preserve">āśrutkarṇa</w:t>
      </w:r>
      <w:r>
        <w:t xml:space="preserve">; initial-udātta as a vocative at the beginning by</w:t>
      </w:r>
      <w:r>
        <w:t xml:space="preserve"> </w:t>
      </w:r>
      <w:r>
        <w:t xml:space="preserve">“</w:t>
      </w:r>
      <w:r>
        <w:t xml:space="preserve">āmantritasya ca</w:t>
      </w:r>
      <w:r>
        <w:t xml:space="preserve">”</w:t>
      </w:r>
      <w:r>
        <w:t xml:space="preserve"> </w:t>
      </w:r>
      <w:r>
        <w:t xml:space="preserve">(Pā. 6-1-198).</w:t>
      </w:r>
      <w:r>
        <w:t xml:space="preserve"> </w:t>
      </w:r>
      <w:r>
        <w:rPr>
          <w:bCs/>
          <w:b/>
        </w:rPr>
        <w:t xml:space="preserve">श्रुधी (</w:t>
      </w:r>
      <w:r>
        <w:rPr>
          <w:iCs/>
          <w:i/>
          <w:bCs/>
          <w:b/>
        </w:rPr>
        <w:t xml:space="preserve">śrudhī</w:t>
      </w:r>
      <w:r>
        <w:rPr>
          <w:bCs/>
          <w:b/>
        </w:rPr>
        <w:t xml:space="preserve">)</w:t>
      </w:r>
      <w:r>
        <w:t xml:space="preserve"> </w:t>
      </w:r>
      <w:r>
        <w:t xml:space="preserve">— root</w:t>
      </w:r>
      <w:r>
        <w:t xml:space="preserve"> </w:t>
      </w:r>
      <w:r>
        <w:rPr>
          <w:iCs/>
          <w:i/>
        </w:rPr>
        <w:t xml:space="preserve">śru śravaṇe</w:t>
      </w:r>
      <w:r>
        <w:t xml:space="preserve">,</w:t>
      </w:r>
      <w:r>
        <w:t xml:space="preserve"> </w:t>
      </w:r>
      <w:r>
        <w:rPr>
          <w:iCs/>
          <w:i/>
        </w:rPr>
        <w:t xml:space="preserve">loṭ</w:t>
      </w:r>
      <w:r>
        <w:t xml:space="preserve"> </w:t>
      </w:r>
      <w:r>
        <w:t xml:space="preserve">parasmaipada second singular</w:t>
      </w:r>
      <w:r>
        <w:t xml:space="preserve"> </w:t>
      </w:r>
      <w:r>
        <w:rPr>
          <w:iCs/>
          <w:i/>
        </w:rPr>
        <w:t xml:space="preserve">sip</w:t>
      </w:r>
      <w:r>
        <w:t xml:space="preserve">;</w:t>
      </w:r>
      <w:r>
        <w:t xml:space="preserve"> </w:t>
      </w:r>
      <w:r>
        <w:rPr>
          <w:iCs/>
          <w:i/>
        </w:rPr>
        <w:t xml:space="preserve">sip</w:t>
      </w:r>
      <w:r>
        <w:t xml:space="preserve"> </w:t>
      </w:r>
      <w:r>
        <w:t xml:space="preserve">→</w:t>
      </w:r>
      <w:r>
        <w:t xml:space="preserve"> </w:t>
      </w:r>
      <w:r>
        <w:rPr>
          <w:iCs/>
          <w:i/>
        </w:rPr>
        <w:t xml:space="preserve">hi</w:t>
      </w:r>
      <w:r>
        <w:t xml:space="preserve">;</w:t>
      </w:r>
      <w:r>
        <w:t xml:space="preserve"> </w:t>
      </w:r>
      <w:r>
        <w:t xml:space="preserve">“</w:t>
      </w:r>
      <w:r>
        <w:t xml:space="preserve">śṛ</w:t>
      </w:r>
      <w:r>
        <w:t xml:space="preserve">”</w:t>
      </w:r>
      <w:r>
        <w:t xml:space="preserve"> </w:t>
      </w:r>
      <w:r>
        <w:t xml:space="preserve">for</w:t>
      </w:r>
      <w:r>
        <w:t xml:space="preserve"> </w:t>
      </w:r>
      <w:r>
        <w:t xml:space="preserve">“</w:t>
      </w:r>
      <w:r>
        <w:t xml:space="preserve">śru</w:t>
      </w:r>
      <w:r>
        <w:t xml:space="preserve">”</w:t>
      </w:r>
      <w:r>
        <w:t xml:space="preserve"> </w:t>
      </w:r>
      <w:r>
        <w:t xml:space="preserve">by</w:t>
      </w:r>
      <w:r>
        <w:t xml:space="preserve"> </w:t>
      </w:r>
      <w:r>
        <w:t xml:space="preserve">“</w:t>
      </w:r>
      <w:r>
        <w:t xml:space="preserve">śruvaḥ śṛ ca</w:t>
      </w:r>
      <w:r>
        <w:t xml:space="preserve">”</w:t>
      </w:r>
      <w:r>
        <w:t xml:space="preserve"> </w:t>
      </w:r>
      <w:r>
        <w:t xml:space="preserve">(Pā. 3-1-74) — the</w:t>
      </w:r>
      <w:r>
        <w:t xml:space="preserve"> </w:t>
      </w:r>
      <w:r>
        <w:rPr>
          <w:iCs/>
          <w:i/>
        </w:rPr>
        <w:t xml:space="preserve">śnu</w:t>
      </w:r>
      <w:r>
        <w:t xml:space="preserve"> </w:t>
      </w:r>
      <w:r>
        <w:t xml:space="preserve">that arises in the Veda is dropped by</w:t>
      </w:r>
      <w:r>
        <w:t xml:space="preserve"> </w:t>
      </w:r>
      <w:r>
        <w:t xml:space="preserve">“</w:t>
      </w:r>
      <w:r>
        <w:t xml:space="preserve">bahulaṃ chandasi</w:t>
      </w:r>
      <w:r>
        <w:t xml:space="preserve">”</w:t>
      </w:r>
      <w:r>
        <w:t xml:space="preserve"> </w:t>
      </w:r>
      <w:r>
        <w:t xml:space="preserve">(Pā. 2-4-73), and, if the</w:t>
      </w:r>
      <w:r>
        <w:t xml:space="preserve"> </w:t>
      </w:r>
      <w:r>
        <w:rPr>
          <w:iCs/>
          <w:i/>
        </w:rPr>
        <w:t xml:space="preserve">śnu</w:t>
      </w:r>
      <w:r>
        <w:t xml:space="preserve"> </w:t>
      </w:r>
      <w:r>
        <w:t xml:space="preserve">vikaraṇa has disappeared, the</w:t>
      </w:r>
      <w:r>
        <w:t xml:space="preserve"> </w:t>
      </w:r>
      <w:r>
        <w:rPr>
          <w:iCs/>
          <w:i/>
        </w:rPr>
        <w:t xml:space="preserve">śṛ</w:t>
      </w:r>
      <w:r>
        <w:t xml:space="preserve"> </w:t>
      </w:r>
      <w:r>
        <w:t xml:space="preserve">substitute that was prescribed in connection with it is also withdrawn, by the maxim</w:t>
      </w:r>
      <w:r>
        <w:t xml:space="preserve"> </w:t>
      </w:r>
      <w:r>
        <w:t xml:space="preserve">“</w:t>
      </w:r>
      <w:r>
        <w:t xml:space="preserve">tat-sanniyoga-śiṣṭānām anyatarāpāye ubhayor apy apāyaḥ</w:t>
      </w:r>
      <w:r>
        <w:t xml:space="preserve">”</w:t>
      </w:r>
      <w:r>
        <w:t xml:space="preserve"> </w:t>
      </w:r>
      <w:r>
        <w:t xml:space="preserve">(Paribhāṣā 86);</w:t>
      </w:r>
      <w:r>
        <w:t xml:space="preserve"> </w:t>
      </w:r>
      <w:r>
        <w:t xml:space="preserve">“</w:t>
      </w:r>
      <w:r>
        <w:t xml:space="preserve">śṛṇu pṛkṛ-vṛ-bhyaś chandasi</w:t>
      </w:r>
      <w:r>
        <w:t xml:space="preserve">”</w:t>
      </w:r>
      <w:r>
        <w:t xml:space="preserve"> </w:t>
      </w:r>
      <w:r>
        <w:t xml:space="preserve">(Pā. 6-4-102) gives</w:t>
      </w:r>
      <w:r>
        <w:t xml:space="preserve"> </w:t>
      </w:r>
      <w:r>
        <w:rPr>
          <w:iCs/>
          <w:i/>
        </w:rPr>
        <w:t xml:space="preserve">dhi</w:t>
      </w:r>
      <w:r>
        <w:t xml:space="preserve"> </w:t>
      </w:r>
      <w:r>
        <w:t xml:space="preserve">for</w:t>
      </w:r>
      <w:r>
        <w:t xml:space="preserve"> </w:t>
      </w:r>
      <w:r>
        <w:rPr>
          <w:iCs/>
          <w:i/>
        </w:rPr>
        <w:t xml:space="preserve">hi</w:t>
      </w:r>
      <w:r>
        <w:t xml:space="preserve">; in</w:t>
      </w:r>
      <w:r>
        <w:t xml:space="preserve"> </w:t>
      </w:r>
      <w:r>
        <w:rPr>
          <w:iCs/>
          <w:i/>
        </w:rPr>
        <w:t xml:space="preserve">śrudhi</w:t>
      </w:r>
      <w:r>
        <w:t xml:space="preserve"> </w:t>
      </w:r>
      <w:r>
        <w:t xml:space="preserve">the suffix accent stands, being taught later (</w:t>
      </w:r>
      <w:r>
        <w:rPr>
          <w:iCs/>
          <w:i/>
        </w:rPr>
        <w:t xml:space="preserve">satiśiṣṭa</w:t>
      </w:r>
      <w:r>
        <w:t xml:space="preserve">); since</w:t>
      </w:r>
      <w:r>
        <w:t xml:space="preserve"> </w:t>
      </w:r>
      <w:r>
        <w:rPr>
          <w:iCs/>
          <w:i/>
        </w:rPr>
        <w:t xml:space="preserve">śrudhi</w:t>
      </w:r>
      <w:r>
        <w:t xml:space="preserve"> </w:t>
      </w:r>
      <w:r>
        <w:t xml:space="preserve">follows the word</w:t>
      </w:r>
      <w:r>
        <w:t xml:space="preserve"> </w:t>
      </w:r>
      <w:r>
        <w:rPr>
          <w:iCs/>
          <w:i/>
        </w:rPr>
        <w:t xml:space="preserve">āśrutkarṇa</w:t>
      </w:r>
      <w:r>
        <w:t xml:space="preserve">,</w:t>
      </w:r>
      <w:r>
        <w:t xml:space="preserve"> </w:t>
      </w:r>
      <w:r>
        <w:t xml:space="preserve">“</w:t>
      </w:r>
      <w:r>
        <w:t xml:space="preserve">tiṅṅ atiṅaḥ</w:t>
      </w:r>
      <w:r>
        <w:t xml:space="preserve">”</w:t>
      </w:r>
      <w:r>
        <w:t xml:space="preserve"> </w:t>
      </w:r>
      <w:r>
        <w:t xml:space="preserve">would make it unaccented, but</w:t>
      </w:r>
      <w:r>
        <w:t xml:space="preserve"> </w:t>
      </w:r>
      <w:r>
        <w:rPr>
          <w:iCs/>
          <w:i/>
        </w:rPr>
        <w:t xml:space="preserve">āśrutkarṇa</w:t>
      </w:r>
      <w:r>
        <w:t xml:space="preserve"> </w:t>
      </w:r>
      <w:r>
        <w:t xml:space="preserve">is a vocative, and by</w:t>
      </w:r>
      <w:r>
        <w:t xml:space="preserve"> </w:t>
      </w:r>
      <w:r>
        <w:t xml:space="preserve">“</w:t>
      </w:r>
      <w:r>
        <w:t xml:space="preserve">āmantritaṃ pūrvam avidyamānavat</w:t>
      </w:r>
      <w:r>
        <w:t xml:space="preserve">”</w:t>
      </w:r>
      <w:r>
        <w:t xml:space="preserve"> </w:t>
      </w:r>
      <w:r>
        <w:t xml:space="preserve">(printed</w:t>
      </w:r>
      <w:r>
        <w:t xml:space="preserve"> </w:t>
      </w:r>
      <w:r>
        <w:t xml:space="preserve">“</w:t>
      </w:r>
      <w:r>
        <w:t xml:space="preserve">8-1-2</w:t>
      </w:r>
      <w:r>
        <w:t xml:space="preserve">”</w:t>
      </w:r>
      <w:r>
        <w:t xml:space="preserve"> </w:t>
      </w:r>
      <w:r>
        <w:t xml:space="preserve">[?], i.e. 8-1-72) it counts as absent, so the verb does not stand after a</w:t>
      </w:r>
      <w:r>
        <w:t xml:space="preserve"> </w:t>
      </w:r>
      <w:r>
        <w:rPr>
          <w:iCs/>
          <w:i/>
        </w:rPr>
        <w:t xml:space="preserve">pada</w:t>
      </w:r>
      <w:r>
        <w:t xml:space="preserve"> </w:t>
      </w:r>
      <w:r>
        <w:t xml:space="preserve">and is not lowered; in the Saṃhitā</w:t>
      </w:r>
      <w:r>
        <w:t xml:space="preserve"> </w:t>
      </w:r>
      <w:r>
        <w:t xml:space="preserve">“</w:t>
      </w:r>
      <w:r>
        <w:t xml:space="preserve">anyeṣām api dṛśyate</w:t>
      </w:r>
      <w:r>
        <w:t xml:space="preserve">”</w:t>
      </w:r>
      <w:r>
        <w:t xml:space="preserve"> </w:t>
      </w:r>
      <w:r>
        <w:t xml:space="preserve">(printed</w:t>
      </w:r>
      <w:r>
        <w:t xml:space="preserve"> </w:t>
      </w:r>
      <w:r>
        <w:t xml:space="preserve">“</w:t>
      </w:r>
      <w:r>
        <w:t xml:space="preserve">6-3-132</w:t>
      </w:r>
      <w:r>
        <w:t xml:space="preserve">”</w:t>
      </w:r>
      <w:r>
        <w:t xml:space="preserve"> </w:t>
      </w:r>
      <w:r>
        <w:t xml:space="preserve">[?], i.e. 6-3-137) gives the lengthening,</w:t>
      </w:r>
      <w:r>
        <w:t xml:space="preserve"> </w:t>
      </w:r>
      <w:r>
        <w:rPr>
          <w:iCs/>
          <w:i/>
        </w:rPr>
        <w:t xml:space="preserve">śrudhī</w:t>
      </w:r>
      <w:r>
        <w:t xml:space="preserve">.</w:t>
      </w:r>
      <w:r>
        <w:t xml:space="preserve"> </w:t>
      </w:r>
      <w:r>
        <w:rPr>
          <w:iCs/>
          <w:i/>
        </w:rPr>
        <w:t xml:space="preserve">(The grammar continues on p. 433.)</w:t>
      </w:r>
    </w:p>
    <w:bookmarkEnd w:id="446"/>
    <w:bookmarkStart w:id="447" w:name="pages-433435-rik-9-grammar-closes"/>
    <w:p>
      <w:pPr>
        <w:pStyle w:val="Heading3"/>
      </w:pPr>
      <w:r>
        <w:t xml:space="preserve">Pages 433–435 — Rik 9 grammar closes</w:t>
      </w:r>
    </w:p>
    <w:p>
      <w:pPr>
        <w:pStyle w:val="FirstParagraph"/>
      </w:pPr>
      <w:r>
        <w:rPr>
          <w:bCs/>
          <w:b/>
        </w:rPr>
        <w:t xml:space="preserve">॥ Vyākaraṇa-prakriyā ॥</w:t>
      </w:r>
      <w:r>
        <w:t xml:space="preserve"> </w:t>
      </w:r>
      <w:r>
        <w:rPr>
          <w:iCs/>
          <w:i/>
        </w:rPr>
        <w:t xml:space="preserve">(grammar pages 433–435, noted briefly; the argument on pp. 434–435 is given in outline)</w:t>
      </w:r>
    </w:p>
    <w:p>
      <w:pPr>
        <w:pStyle w:val="BodyText"/>
      </w:pPr>
      <w:r>
        <w:rPr>
          <w:bCs/>
          <w:b/>
        </w:rPr>
        <w:t xml:space="preserve">हवम् (</w:t>
      </w:r>
      <w:r>
        <w:rPr>
          <w:iCs/>
          <w:i/>
          <w:bCs/>
          <w:b/>
        </w:rPr>
        <w:t xml:space="preserve">havam</w:t>
      </w:r>
      <w:r>
        <w:rPr>
          <w:bCs/>
          <w:b/>
        </w:rPr>
        <w:t xml:space="preserve">)</w:t>
      </w:r>
      <w:r>
        <w:t xml:space="preserve"> </w:t>
      </w:r>
      <w:r>
        <w:t xml:space="preserve">— root</w:t>
      </w:r>
      <w:r>
        <w:t xml:space="preserve"> </w:t>
      </w:r>
      <w:r>
        <w:rPr>
          <w:iCs/>
          <w:i/>
        </w:rPr>
        <w:t xml:space="preserve">hveñ spardhāyāṃ śabde ca</w:t>
      </w:r>
      <w:r>
        <w:t xml:space="preserve">; by</w:t>
      </w:r>
      <w:r>
        <w:t xml:space="preserve"> </w:t>
      </w:r>
      <w:r>
        <w:t xml:space="preserve">“</w:t>
      </w:r>
      <w:r>
        <w:t xml:space="preserve">bahulaṃ chandasi</w:t>
      </w:r>
      <w:r>
        <w:t xml:space="preserve">”</w:t>
      </w:r>
      <w:r>
        <w:t xml:space="preserve"> </w:t>
      </w:r>
      <w:r>
        <w:t xml:space="preserve">(Pā. 6-1-34)</w:t>
      </w:r>
      <w:r>
        <w:t xml:space="preserve"> </w:t>
      </w:r>
      <w:r>
        <w:rPr>
          <w:iCs/>
          <w:i/>
        </w:rPr>
        <w:t xml:space="preserve">saṃprasāraṇa</w:t>
      </w:r>
      <w:r>
        <w:t xml:space="preserve"> </w:t>
      </w:r>
      <w:r>
        <w:t xml:space="preserve">arises (</w:t>
      </w:r>
      <w:r>
        <w:rPr>
          <w:iCs/>
          <w:i/>
        </w:rPr>
        <w:t xml:space="preserve">hve</w:t>
      </w:r>
      <w:r>
        <w:t xml:space="preserve"> </w:t>
      </w:r>
      <w:r>
        <w:t xml:space="preserve">→</w:t>
      </w:r>
      <w:r>
        <w:t xml:space="preserve"> </w:t>
      </w:r>
      <w:r>
        <w:rPr>
          <w:iCs/>
          <w:i/>
        </w:rPr>
        <w:t xml:space="preserve">hu</w:t>
      </w:r>
      <w:r>
        <w:t xml:space="preserve">), then</w:t>
      </w:r>
      <w:r>
        <w:t xml:space="preserve"> </w:t>
      </w:r>
      <w:r>
        <w:rPr>
          <w:iCs/>
          <w:i/>
        </w:rPr>
        <w:t xml:space="preserve">pūrvarūpa</w:t>
      </w:r>
      <w:r>
        <w:t xml:space="preserve"> </w:t>
      </w:r>
      <w:r>
        <w:t xml:space="preserve">by</w:t>
      </w:r>
      <w:r>
        <w:t xml:space="preserve"> </w:t>
      </w:r>
      <w:r>
        <w:t xml:space="preserve">“</w:t>
      </w:r>
      <w:r>
        <w:t xml:space="preserve">saṃprasāraṇāc ca</w:t>
      </w:r>
      <w:r>
        <w:t xml:space="preserve">”</w:t>
      </w:r>
      <w:r>
        <w:t xml:space="preserve"> </w:t>
      </w:r>
      <w:r>
        <w:t xml:space="preserve">(Pā. 6-1-108); since it now ends in</w:t>
      </w:r>
      <w:r>
        <w:t xml:space="preserve"> </w:t>
      </w:r>
      <w:r>
        <w:rPr>
          <w:iCs/>
          <w:i/>
        </w:rPr>
        <w:t xml:space="preserve">u</w:t>
      </w:r>
      <w:r>
        <w:t xml:space="preserve">,</w:t>
      </w:r>
      <w:r>
        <w:t xml:space="preserve"> </w:t>
      </w:r>
      <w:r>
        <w:t xml:space="preserve">“</w:t>
      </w:r>
      <w:r>
        <w:t xml:space="preserve">ṛdor ap</w:t>
      </w:r>
      <w:r>
        <w:t xml:space="preserve">”</w:t>
      </w:r>
      <w:r>
        <w:t xml:space="preserve"> </w:t>
      </w:r>
      <w:r>
        <w:t xml:space="preserve">(Pā. 3-3-57) gives</w:t>
      </w:r>
      <w:r>
        <w:t xml:space="preserve"> </w:t>
      </w:r>
      <w:r>
        <w:rPr>
          <w:iCs/>
          <w:i/>
        </w:rPr>
        <w:t xml:space="preserve">ap</w:t>
      </w:r>
      <w:r>
        <w:t xml:space="preserve">, with</w:t>
      </w:r>
      <w:r>
        <w:t xml:space="preserve"> </w:t>
      </w:r>
      <w:r>
        <w:rPr>
          <w:iCs/>
          <w:i/>
        </w:rPr>
        <w:t xml:space="preserve">guṇa</w:t>
      </w:r>
      <w:r>
        <w:t xml:space="preserve"> </w:t>
      </w:r>
      <w:r>
        <w:t xml:space="preserve">and</w:t>
      </w:r>
      <w:r>
        <w:t xml:space="preserve"> </w:t>
      </w:r>
      <w:r>
        <w:rPr>
          <w:iCs/>
          <w:i/>
        </w:rPr>
        <w:t xml:space="preserve">av</w:t>
      </w:r>
      <w:r>
        <w:t xml:space="preserve">: the suffix</w:t>
      </w:r>
      <w:r>
        <w:t xml:space="preserve"> </w:t>
      </w:r>
      <w:r>
        <w:rPr>
          <w:iCs/>
          <w:i/>
        </w:rPr>
        <w:t xml:space="preserve">ap</w:t>
      </w:r>
      <w:r>
        <w:t xml:space="preserve"> </w:t>
      </w:r>
      <w:r>
        <w:t xml:space="preserve">after a root ending in</w:t>
      </w:r>
      <w:r>
        <w:t xml:space="preserve"> </w:t>
      </w:r>
      <w:r>
        <w:rPr>
          <w:iCs/>
          <w:i/>
        </w:rPr>
        <w:t xml:space="preserve">u</w:t>
      </w:r>
      <w:r>
        <w:t xml:space="preserve">/</w:t>
      </w:r>
      <w:r>
        <w:rPr>
          <w:iCs/>
          <w:i/>
        </w:rPr>
        <w:t xml:space="preserve">ṛ</w:t>
      </w:r>
      <w:r>
        <w:t xml:space="preserve">, giving</w:t>
      </w:r>
      <w:r>
        <w:t xml:space="preserve"> </w:t>
      </w:r>
      <w:r>
        <w:rPr>
          <w:iCs/>
          <w:i/>
        </w:rPr>
        <w:t xml:space="preserve">hava</w:t>
      </w:r>
      <w:r>
        <w:t xml:space="preserve">;</w:t>
      </w:r>
      <w:r>
        <w:t xml:space="preserve"> </w:t>
      </w:r>
      <w:r>
        <w:rPr>
          <w:iCs/>
          <w:i/>
        </w:rPr>
        <w:t xml:space="preserve">ap</w:t>
      </w:r>
      <w:r>
        <w:t xml:space="preserve"> </w:t>
      </w:r>
      <w:r>
        <w:t xml:space="preserve">is</w:t>
      </w:r>
      <w:r>
        <w:t xml:space="preserve"> </w:t>
      </w:r>
      <w:r>
        <w:rPr>
          <w:iCs/>
          <w:i/>
        </w:rPr>
        <w:t xml:space="preserve">pit</w:t>
      </w:r>
      <w:r>
        <w:t xml:space="preserve">, so unaccented; the accusative singular</w:t>
      </w:r>
      <w:r>
        <w:t xml:space="preserve"> </w:t>
      </w:r>
      <w:r>
        <w:rPr>
          <w:iCs/>
          <w:i/>
        </w:rPr>
        <w:t xml:space="preserve">am</w:t>
      </w:r>
      <w:r>
        <w:t xml:space="preserve"> </w:t>
      </w:r>
      <w:r>
        <w:t xml:space="preserve">with</w:t>
      </w:r>
      <w:r>
        <w:t xml:space="preserve"> </w:t>
      </w:r>
      <w:r>
        <w:rPr>
          <w:iCs/>
          <w:i/>
        </w:rPr>
        <w:t xml:space="preserve">pūrvarūpa</w:t>
      </w:r>
      <w:r>
        <w:t xml:space="preserve"> </w:t>
      </w:r>
      <w:r>
        <w:t xml:space="preserve">(</w:t>
      </w:r>
      <w:r>
        <w:t xml:space="preserve">“</w:t>
      </w:r>
      <w:r>
        <w:t xml:space="preserve">ami pūrvaḥ,</w:t>
      </w:r>
      <w:r>
        <w:t xml:space="preserve">”</w:t>
      </w:r>
      <w:r>
        <w:t xml:space="preserve"> </w:t>
      </w:r>
      <w:r>
        <w:t xml:space="preserve">printed</w:t>
      </w:r>
      <w:r>
        <w:t xml:space="preserve"> </w:t>
      </w:r>
      <w:r>
        <w:t xml:space="preserve">“</w:t>
      </w:r>
      <w:r>
        <w:t xml:space="preserve">8-1-23</w:t>
      </w:r>
      <w:r>
        <w:t xml:space="preserve">”</w:t>
      </w:r>
      <w:r>
        <w:t xml:space="preserve"> </w:t>
      </w:r>
      <w:r>
        <w:t xml:space="preserve">[as printed], i.e. 6-1-107),</w:t>
      </w:r>
      <w:r>
        <w:t xml:space="preserve"> </w:t>
      </w:r>
      <w:r>
        <w:rPr>
          <w:iCs/>
          <w:i/>
        </w:rPr>
        <w:t xml:space="preserve">havam</w:t>
      </w:r>
      <w:r>
        <w:t xml:space="preserve">.</w:t>
      </w:r>
      <w:r>
        <w:t xml:space="preserve"> </w:t>
      </w:r>
      <w:r>
        <w:rPr>
          <w:bCs/>
          <w:b/>
        </w:rPr>
        <w:t xml:space="preserve">नु (</w:t>
      </w:r>
      <w:r>
        <w:rPr>
          <w:iCs/>
          <w:i/>
          <w:bCs/>
          <w:b/>
        </w:rPr>
        <w:t xml:space="preserve">nu</w:t>
      </w:r>
      <w:r>
        <w:rPr>
          <w:bCs/>
          <w:b/>
        </w:rPr>
        <w:t xml:space="preserve">)</w:t>
      </w:r>
      <w:r>
        <w:t xml:space="preserve"> </w:t>
      </w:r>
      <w:r>
        <w:t xml:space="preserve">— in the Saṃhitā the vowel is lengthened by</w:t>
      </w:r>
      <w:r>
        <w:t xml:space="preserve"> </w:t>
      </w:r>
      <w:r>
        <w:t xml:space="preserve">“</w:t>
      </w:r>
      <w:r>
        <w:t xml:space="preserve">ṛci tunughamakṣutaṅkutroruṣyāṇām</w:t>
      </w:r>
      <w:r>
        <w:t xml:space="preserve">”</w:t>
      </w:r>
      <w:r>
        <w:t xml:space="preserve"> </w:t>
      </w:r>
      <w:r>
        <w:t xml:space="preserve">(Pā. 6-3-133),</w:t>
      </w:r>
      <w:r>
        <w:t xml:space="preserve"> </w:t>
      </w:r>
      <w:r>
        <w:rPr>
          <w:iCs/>
          <w:i/>
        </w:rPr>
        <w:t xml:space="preserve">nū</w:t>
      </w:r>
      <w:r>
        <w:t xml:space="preserve">.</w:t>
      </w:r>
      <w:r>
        <w:t xml:space="preserve"> </w:t>
      </w:r>
      <w:r>
        <w:rPr>
          <w:bCs/>
          <w:b/>
        </w:rPr>
        <w:t xml:space="preserve">चित् (</w:t>
      </w:r>
      <w:r>
        <w:rPr>
          <w:iCs/>
          <w:i/>
          <w:bCs/>
          <w:b/>
        </w:rPr>
        <w:t xml:space="preserve">cit</w:t>
      </w:r>
      <w:r>
        <w:rPr>
          <w:bCs/>
          <w:b/>
        </w:rPr>
        <w:t xml:space="preserve">)</w:t>
      </w:r>
      <w:r>
        <w:t xml:space="preserve"> </w:t>
      </w:r>
      <w:r>
        <w:t xml:space="preserve">— belongs to the</w:t>
      </w:r>
      <w:r>
        <w:t xml:space="preserve"> </w:t>
      </w:r>
      <w:r>
        <w:rPr>
          <w:iCs/>
          <w:i/>
        </w:rPr>
        <w:t xml:space="preserve">cādi</w:t>
      </w:r>
      <w:r>
        <w:t xml:space="preserve"> </w:t>
      </w:r>
      <w:r>
        <w:t xml:space="preserve">class, so unaccented (</w:t>
      </w:r>
      <w:r>
        <w:t xml:space="preserve">“</w:t>
      </w:r>
      <w:r>
        <w:t xml:space="preserve">cādayo ’nudāttāḥ,</w:t>
      </w:r>
      <w:r>
        <w:t xml:space="preserve">”</w:t>
      </w:r>
      <w:r>
        <w:t xml:space="preserve"> </w:t>
      </w:r>
      <w:r>
        <w:t xml:space="preserve">Phiṭ-sūtra 84).</w:t>
      </w:r>
      <w:r>
        <w:t xml:space="preserve"> </w:t>
      </w:r>
      <w:r>
        <w:rPr>
          <w:bCs/>
          <w:b/>
        </w:rPr>
        <w:t xml:space="preserve">दधिष्व (</w:t>
      </w:r>
      <w:r>
        <w:rPr>
          <w:iCs/>
          <w:i/>
          <w:bCs/>
          <w:b/>
        </w:rPr>
        <w:t xml:space="preserve">dadhiṣva</w:t>
      </w:r>
      <w:r>
        <w:rPr>
          <w:bCs/>
          <w:b/>
        </w:rPr>
        <w:t xml:space="preserve">)</w:t>
      </w:r>
      <w:r>
        <w:t xml:space="preserve"> </w:t>
      </w:r>
      <w:r>
        <w:t xml:space="preserve">— root</w:t>
      </w:r>
      <w:r>
        <w:t xml:space="preserve"> </w:t>
      </w:r>
      <w:r>
        <w:rPr>
          <w:iCs/>
          <w:i/>
        </w:rPr>
        <w:t xml:space="preserve">ḍudhāñ dhāraṇapoṣaṇayoḥ</w:t>
      </w:r>
      <w:r>
        <w:t xml:space="preserve"> </w:t>
      </w:r>
      <w:r>
        <w:t xml:space="preserve">(</w:t>
      </w:r>
      <w:r>
        <w:rPr>
          <w:iCs/>
          <w:i/>
        </w:rPr>
        <w:t xml:space="preserve">juhotyādi</w:t>
      </w:r>
      <w:r>
        <w:t xml:space="preserve">);</w:t>
      </w:r>
      <w:r>
        <w:t xml:space="preserve"> </w:t>
      </w:r>
      <w:r>
        <w:rPr>
          <w:iCs/>
          <w:i/>
        </w:rPr>
        <w:t xml:space="preserve">loṭ</w:t>
      </w:r>
      <w:r>
        <w:t xml:space="preserve"> </w:t>
      </w:r>
      <w:r>
        <w:t xml:space="preserve">ātmanepada middle-second</w:t>
      </w:r>
      <w:r>
        <w:t xml:space="preserve"> </w:t>
      </w:r>
      <w:r>
        <w:rPr>
          <w:iCs/>
          <w:i/>
        </w:rPr>
        <w:t xml:space="preserve">thās</w:t>
      </w:r>
      <w:r>
        <w:t xml:space="preserve">,</w:t>
      </w:r>
      <w:r>
        <w:t xml:space="preserve"> </w:t>
      </w:r>
      <w:r>
        <w:rPr>
          <w:iCs/>
          <w:i/>
        </w:rPr>
        <w:t xml:space="preserve">thās</w:t>
      </w:r>
      <w:r>
        <w:t xml:space="preserve"> </w:t>
      </w:r>
      <w:r>
        <w:t xml:space="preserve">→</w:t>
      </w:r>
      <w:r>
        <w:t xml:space="preserve"> </w:t>
      </w:r>
      <w:r>
        <w:rPr>
          <w:iCs/>
          <w:i/>
        </w:rPr>
        <w:t xml:space="preserve">se</w:t>
      </w:r>
      <w:r>
        <w:t xml:space="preserve"> </w:t>
      </w:r>
      <w:r>
        <w:t xml:space="preserve">(Pā. 3-4-80),</w:t>
      </w:r>
      <w:r>
        <w:t xml:space="preserve"> </w:t>
      </w:r>
      <w:r>
        <w:rPr>
          <w:iCs/>
          <w:i/>
        </w:rPr>
        <w:t xml:space="preserve">se</w:t>
      </w:r>
      <w:r>
        <w:t xml:space="preserve"> </w:t>
      </w:r>
      <w:r>
        <w:t xml:space="preserve">→</w:t>
      </w:r>
      <w:r>
        <w:t xml:space="preserve"> </w:t>
      </w:r>
      <w:r>
        <w:rPr>
          <w:iCs/>
          <w:i/>
        </w:rPr>
        <w:t xml:space="preserve">sva</w:t>
      </w:r>
      <w:r>
        <w:t xml:space="preserve"> </w:t>
      </w:r>
      <w:r>
        <w:t xml:space="preserve">(Pā. 3-4-91);</w:t>
      </w:r>
      <w:r>
        <w:t xml:space="preserve"> </w:t>
      </w:r>
      <w:r>
        <w:rPr>
          <w:iCs/>
          <w:i/>
        </w:rPr>
        <w:t xml:space="preserve">śap</w:t>
      </w:r>
      <w:r>
        <w:t xml:space="preserve"> </w:t>
      </w:r>
      <w:r>
        <w:t xml:space="preserve">(Pā. 3-1-68) is replaced by</w:t>
      </w:r>
      <w:r>
        <w:t xml:space="preserve"> </w:t>
      </w:r>
      <w:r>
        <w:rPr>
          <w:iCs/>
          <w:i/>
        </w:rPr>
        <w:t xml:space="preserve">ślu</w:t>
      </w:r>
      <w:r>
        <w:t xml:space="preserve"> </w:t>
      </w:r>
      <w:r>
        <w:t xml:space="preserve">(</w:t>
      </w:r>
      <w:r>
        <w:t xml:space="preserve">“</w:t>
      </w:r>
      <w:r>
        <w:t xml:space="preserve">juhotyādibhyaḥ śluḥ,</w:t>
      </w:r>
      <w:r>
        <w:t xml:space="preserve">”</w:t>
      </w:r>
      <w:r>
        <w:t xml:space="preserve"> </w:t>
      </w:r>
      <w:r>
        <w:t xml:space="preserve">Pā. 2-4-75); doubling by</w:t>
      </w:r>
      <w:r>
        <w:t xml:space="preserve"> </w:t>
      </w:r>
      <w:r>
        <w:t xml:space="preserve">“</w:t>
      </w:r>
      <w:r>
        <w:t xml:space="preserve">ślau</w:t>
      </w:r>
      <w:r>
        <w:t xml:space="preserve">”</w:t>
      </w:r>
      <w:r>
        <w:t xml:space="preserve"> </w:t>
      </w:r>
      <w:r>
        <w:t xml:space="preserve">(Pā. 6-1-10); the reduplicate’s vowel shortened by</w:t>
      </w:r>
      <w:r>
        <w:t xml:space="preserve"> </w:t>
      </w:r>
      <w:r>
        <w:t xml:space="preserve">“</w:t>
      </w:r>
      <w:r>
        <w:t xml:space="preserve">hrasvaḥ</w:t>
      </w:r>
      <w:r>
        <w:t xml:space="preserve">”</w:t>
      </w:r>
      <w:r>
        <w:t xml:space="preserve"> </w:t>
      </w:r>
      <w:r>
        <w:t xml:space="preserve">(Pā. 7-4-59);</w:t>
      </w:r>
      <w:r>
        <w:t xml:space="preserve"> </w:t>
      </w:r>
      <w:r>
        <w:rPr>
          <w:iCs/>
          <w:i/>
        </w:rPr>
        <w:t xml:space="preserve">dh</w:t>
      </w:r>
      <w:r>
        <w:t xml:space="preserve"> </w:t>
      </w:r>
      <w:r>
        <w:t xml:space="preserve">→</w:t>
      </w:r>
      <w:r>
        <w:t xml:space="preserve"> </w:t>
      </w:r>
      <w:r>
        <w:rPr>
          <w:iCs/>
          <w:i/>
        </w:rPr>
        <w:t xml:space="preserve">d</w:t>
      </w:r>
      <w:r>
        <w:t xml:space="preserve"> </w:t>
      </w:r>
      <w:r>
        <w:t xml:space="preserve">in the reduplicate (</w:t>
      </w:r>
      <w:r>
        <w:t xml:space="preserve">“</w:t>
      </w:r>
      <w:r>
        <w:t xml:space="preserve">abhyāse carca,</w:t>
      </w:r>
      <w:r>
        <w:t xml:space="preserve">”</w:t>
      </w:r>
      <w:r>
        <w:t xml:space="preserve"> </w:t>
      </w:r>
      <w:r>
        <w:t xml:space="preserve">Pā. 8-4-54), giving</w:t>
      </w:r>
      <w:r>
        <w:t xml:space="preserve"> </w:t>
      </w:r>
      <w:r>
        <w:rPr>
          <w:iCs/>
          <w:i/>
        </w:rPr>
        <w:t xml:space="preserve">da-dhā-sva</w:t>
      </w:r>
      <w:r>
        <w:t xml:space="preserve">; since in the Veda a suffix enjoined in the section on roots has both</w:t>
      </w:r>
      <w:r>
        <w:t xml:space="preserve"> </w:t>
      </w:r>
      <w:r>
        <w:rPr>
          <w:iCs/>
          <w:i/>
        </w:rPr>
        <w:t xml:space="preserve">sārvadhātuka</w:t>
      </w:r>
      <w:r>
        <w:t xml:space="preserve"> </w:t>
      </w:r>
      <w:r>
        <w:t xml:space="preserve">and</w:t>
      </w:r>
      <w:r>
        <w:t xml:space="preserve"> </w:t>
      </w:r>
      <w:r>
        <w:rPr>
          <w:iCs/>
          <w:i/>
        </w:rPr>
        <w:t xml:space="preserve">ārdhadhātuka</w:t>
      </w:r>
      <w:r>
        <w:t xml:space="preserve"> </w:t>
      </w:r>
      <w:r>
        <w:t xml:space="preserve">status (</w:t>
      </w:r>
      <w:r>
        <w:t xml:space="preserve">“</w:t>
      </w:r>
      <w:r>
        <w:t xml:space="preserve">chandasy ubhayathā,</w:t>
      </w:r>
      <w:r>
        <w:t xml:space="preserve">”</w:t>
      </w:r>
      <w:r>
        <w:t xml:space="preserve"> </w:t>
      </w:r>
      <w:r>
        <w:t xml:space="preserve">Pā. 3-4-117),</w:t>
      </w:r>
      <w:r>
        <w:t xml:space="preserve"> </w:t>
      </w:r>
      <w:r>
        <w:rPr>
          <w:iCs/>
          <w:i/>
        </w:rPr>
        <w:t xml:space="preserve">sva</w:t>
      </w:r>
      <w:r>
        <w:t xml:space="preserve"> </w:t>
      </w:r>
      <w:r>
        <w:t xml:space="preserve">is treated as</w:t>
      </w:r>
      <w:r>
        <w:t xml:space="preserve"> </w:t>
      </w:r>
      <w:r>
        <w:rPr>
          <w:iCs/>
          <w:i/>
        </w:rPr>
        <w:t xml:space="preserve">ārdhadhātuka</w:t>
      </w:r>
      <w:r>
        <w:t xml:space="preserve">, so the augment</w:t>
      </w:r>
      <w:r>
        <w:t xml:space="preserve"> </w:t>
      </w:r>
      <w:r>
        <w:rPr>
          <w:iCs/>
          <w:i/>
        </w:rPr>
        <w:t xml:space="preserve">iṭ</w:t>
      </w:r>
      <w:r>
        <w:t xml:space="preserve"> </w:t>
      </w:r>
      <w:r>
        <w:t xml:space="preserve">arises (</w:t>
      </w:r>
      <w:r>
        <w:t xml:space="preserve">“</w:t>
      </w:r>
      <w:r>
        <w:t xml:space="preserve">ārdhadhātukasyeḍ valādeḥ,</w:t>
      </w:r>
      <w:r>
        <w:t xml:space="preserve">”</w:t>
      </w:r>
      <w:r>
        <w:t xml:space="preserve"> </w:t>
      </w:r>
      <w:r>
        <w:t xml:space="preserve">Pā. 7-2-35); since it is also</w:t>
      </w:r>
      <w:r>
        <w:t xml:space="preserve"> </w:t>
      </w:r>
      <w:r>
        <w:rPr>
          <w:iCs/>
          <w:i/>
        </w:rPr>
        <w:t xml:space="preserve">sārvadhātuka</w:t>
      </w:r>
      <w:r>
        <w:t xml:space="preserve">,</w:t>
      </w:r>
      <w:r>
        <w:t xml:space="preserve"> </w:t>
      </w:r>
      <w:r>
        <w:t xml:space="preserve">“</w:t>
      </w:r>
      <w:r>
        <w:t xml:space="preserve">śnābhyastayor ātaḥ</w:t>
      </w:r>
      <w:r>
        <w:t xml:space="preserve">”</w:t>
      </w:r>
      <w:r>
        <w:t xml:space="preserve"> </w:t>
      </w:r>
      <w:r>
        <w:t xml:space="preserve">(Pā. 6-4-112) drops the</w:t>
      </w:r>
      <w:r>
        <w:t xml:space="preserve"> </w:t>
      </w:r>
      <w:r>
        <w:rPr>
          <w:iCs/>
          <w:i/>
        </w:rPr>
        <w:t xml:space="preserve">ā</w:t>
      </w:r>
      <w:r>
        <w:t xml:space="preserve"> </w:t>
      </w:r>
      <w:r>
        <w:t xml:space="preserve">of the root before it (as it is treated as</w:t>
      </w:r>
      <w:r>
        <w:t xml:space="preserve"> </w:t>
      </w:r>
      <w:r>
        <w:rPr>
          <w:iCs/>
          <w:i/>
        </w:rPr>
        <w:t xml:space="preserve">ṅit</w:t>
      </w:r>
      <w:r>
        <w:t xml:space="preserve">);</w:t>
      </w:r>
      <w:r>
        <w:t xml:space="preserve"> </w:t>
      </w:r>
      <w:r>
        <w:rPr>
          <w:iCs/>
          <w:i/>
        </w:rPr>
        <w:t xml:space="preserve">s</w:t>
      </w:r>
      <w:r>
        <w:t xml:space="preserve"> </w:t>
      </w:r>
      <w:r>
        <w:t xml:space="preserve">→</w:t>
      </w:r>
      <w:r>
        <w:t xml:space="preserve"> </w:t>
      </w:r>
      <w:r>
        <w:rPr>
          <w:iCs/>
          <w:i/>
        </w:rPr>
        <w:t xml:space="preserve">ṣ</w:t>
      </w:r>
      <w:r>
        <w:t xml:space="preserve"> </w:t>
      </w:r>
      <w:r>
        <w:t xml:space="preserve">by</w:t>
      </w:r>
      <w:r>
        <w:t xml:space="preserve"> </w:t>
      </w:r>
      <w:r>
        <w:t xml:space="preserve">“</w:t>
      </w:r>
      <w:r>
        <w:t xml:space="preserve">ādeśapratyayayoḥ</w:t>
      </w:r>
      <w:r>
        <w:t xml:space="preserve">”</w:t>
      </w:r>
      <w:r>
        <w:t xml:space="preserve"> </w:t>
      </w:r>
      <w:r>
        <w:t xml:space="preserve">(Pā. 8-3-59);</w:t>
      </w:r>
      <w:r>
        <w:t xml:space="preserve"> </w:t>
      </w:r>
      <w:r>
        <w:rPr>
          <w:iCs/>
          <w:i/>
        </w:rPr>
        <w:t xml:space="preserve">dadhiṣva</w:t>
      </w:r>
      <w:r>
        <w:t xml:space="preserve">; unaccented by</w:t>
      </w:r>
      <w:r>
        <w:t xml:space="preserve"> </w:t>
      </w:r>
      <w:r>
        <w:t xml:space="preserve">“</w:t>
      </w:r>
      <w:r>
        <w:t xml:space="preserve">tiṅṅ atiṅaḥ</w:t>
      </w:r>
      <w:r>
        <w:t xml:space="preserve">”</w:t>
      </w:r>
      <w:r>
        <w:t xml:space="preserve"> </w:t>
      </w:r>
      <w:r>
        <w:t xml:space="preserve">(Pā. 8-1-28).</w:t>
      </w:r>
      <w:r>
        <w:t xml:space="preserve"> </w:t>
      </w:r>
      <w:r>
        <w:rPr>
          <w:bCs/>
          <w:b/>
        </w:rPr>
        <w:t xml:space="preserve">ममु (</w:t>
      </w:r>
      <w:r>
        <w:rPr>
          <w:iCs/>
          <w:i/>
          <w:bCs/>
          <w:b/>
        </w:rPr>
        <w:t xml:space="preserve">mama</w:t>
      </w:r>
      <w:r>
        <w:rPr>
          <w:bCs/>
          <w:b/>
        </w:rPr>
        <w:t xml:space="preserve">)</w:t>
      </w:r>
      <w:r>
        <w:t xml:space="preserve"> </w:t>
      </w:r>
      <w:r>
        <w:t xml:space="preserve">—</w:t>
      </w:r>
      <w:r>
        <w:t xml:space="preserve"> </w:t>
      </w:r>
      <w:r>
        <w:rPr>
          <w:iCs/>
          <w:i/>
        </w:rPr>
        <w:t xml:space="preserve">asmad</w:t>
      </w:r>
      <w:r>
        <w:t xml:space="preserve"> </w:t>
      </w:r>
      <w:r>
        <w:t xml:space="preserve">+ genitive singular</w:t>
      </w:r>
      <w:r>
        <w:t xml:space="preserve"> </w:t>
      </w:r>
      <w:r>
        <w:rPr>
          <w:iCs/>
          <w:i/>
        </w:rPr>
        <w:t xml:space="preserve">ṅas</w:t>
      </w:r>
      <w:r>
        <w:t xml:space="preserve"> </w:t>
      </w:r>
      <w:r>
        <w:t xml:space="preserve">(printed</w:t>
      </w:r>
      <w:r>
        <w:t xml:space="preserve"> </w:t>
      </w:r>
      <w:r>
        <w:t xml:space="preserve">“</w:t>
      </w:r>
      <w:r>
        <w:t xml:space="preserve">jas</w:t>
      </w:r>
      <w:r>
        <w:t xml:space="preserve">”</w:t>
      </w:r>
      <w:r>
        <w:t xml:space="preserve"> </w:t>
      </w:r>
      <w:r>
        <w:t xml:space="preserve">[sic] throughout);</w:t>
      </w:r>
      <w:r>
        <w:t xml:space="preserve"> </w:t>
      </w:r>
      <w:r>
        <w:t xml:space="preserve">“</w:t>
      </w:r>
      <w:r>
        <w:t xml:space="preserve">tavamamau ṅasi</w:t>
      </w:r>
      <w:r>
        <w:t xml:space="preserve">”</w:t>
      </w:r>
      <w:r>
        <w:t xml:space="preserve"> </w:t>
      </w:r>
      <w:r>
        <w:t xml:space="preserve">(Pā. 7-2-96) gives</w:t>
      </w:r>
      <w:r>
        <w:t xml:space="preserve"> </w:t>
      </w:r>
      <w:r>
        <w:rPr>
          <w:iCs/>
          <w:i/>
        </w:rPr>
        <w:t xml:space="preserve">mama</w:t>
      </w:r>
      <w:r>
        <w:t xml:space="preserve"> </w:t>
      </w:r>
      <w:r>
        <w:t xml:space="preserve">for the part of</w:t>
      </w:r>
      <w:r>
        <w:t xml:space="preserve"> </w:t>
      </w:r>
      <w:r>
        <w:rPr>
          <w:iCs/>
          <w:i/>
        </w:rPr>
        <w:t xml:space="preserve">asmad</w:t>
      </w:r>
      <w:r>
        <w:t xml:space="preserve"> </w:t>
      </w:r>
      <w:r>
        <w:t xml:space="preserve">up to</w:t>
      </w:r>
      <w:r>
        <w:t xml:space="preserve"> </w:t>
      </w:r>
      <w:r>
        <w:rPr>
          <w:iCs/>
          <w:i/>
        </w:rPr>
        <w:t xml:space="preserve">m</w:t>
      </w:r>
      <w:r>
        <w:t xml:space="preserve">:</w:t>
      </w:r>
      <w:r>
        <w:t xml:space="preserve"> </w:t>
      </w:r>
      <w:r>
        <w:rPr>
          <w:iCs/>
          <w:i/>
        </w:rPr>
        <w:t xml:space="preserve">mama</w:t>
      </w:r>
      <w:r>
        <w:t xml:space="preserve"> </w:t>
      </w:r>
      <w:r>
        <w:t xml:space="preserve">+</w:t>
      </w:r>
      <w:r>
        <w:t xml:space="preserve"> </w:t>
      </w:r>
      <w:r>
        <w:rPr>
          <w:iCs/>
          <w:i/>
        </w:rPr>
        <w:t xml:space="preserve">ad</w:t>
      </w:r>
      <w:r>
        <w:t xml:space="preserve"> </w:t>
      </w:r>
      <w:r>
        <w:t xml:space="preserve">+</w:t>
      </w:r>
      <w:r>
        <w:t xml:space="preserve"> </w:t>
      </w:r>
      <w:r>
        <w:rPr>
          <w:iCs/>
          <w:i/>
        </w:rPr>
        <w:t xml:space="preserve">as</w:t>
      </w:r>
      <w:r>
        <w:t xml:space="preserve">;</w:t>
      </w:r>
      <w:r>
        <w:t xml:space="preserve"> </w:t>
      </w:r>
      <w:r>
        <w:t xml:space="preserve">“</w:t>
      </w:r>
      <w:r>
        <w:t xml:space="preserve">ato guṇe</w:t>
      </w:r>
      <w:r>
        <w:t xml:space="preserve">”</w:t>
      </w:r>
      <w:r>
        <w:t xml:space="preserve"> </w:t>
      </w:r>
      <w:r>
        <w:t xml:space="preserve">(Pā. 6-1-97 [?], last digit unclear) gives</w:t>
      </w:r>
      <w:r>
        <w:t xml:space="preserve"> </w:t>
      </w:r>
      <w:r>
        <w:rPr>
          <w:iCs/>
          <w:i/>
        </w:rPr>
        <w:t xml:space="preserve">pararūpa</w:t>
      </w:r>
      <w:r>
        <w:t xml:space="preserve"> </w:t>
      </w:r>
      <w:r>
        <w:t xml:space="preserve">of the two</w:t>
      </w:r>
      <w:r>
        <w:t xml:space="preserve"> </w:t>
      </w:r>
      <w:r>
        <w:rPr>
          <w:iCs/>
          <w:i/>
        </w:rPr>
        <w:t xml:space="preserve">a</w:t>
      </w:r>
      <w:r>
        <w:t xml:space="preserve">’s;</w:t>
      </w:r>
      <w:r>
        <w:t xml:space="preserve"> </w:t>
      </w:r>
      <w:r>
        <w:t xml:space="preserve">“</w:t>
      </w:r>
      <w:r>
        <w:t xml:space="preserve">yuṣmadasmadbhyāṃ ṅaso ’ś</w:t>
      </w:r>
      <w:r>
        <w:t xml:space="preserve">”</w:t>
      </w:r>
      <w:r>
        <w:t xml:space="preserve"> </w:t>
      </w:r>
      <w:r>
        <w:t xml:space="preserve">(Pā. 7-1-27) replaces</w:t>
      </w:r>
      <w:r>
        <w:t xml:space="preserve"> </w:t>
      </w:r>
      <w:r>
        <w:rPr>
          <w:iCs/>
          <w:i/>
        </w:rPr>
        <w:t xml:space="preserve">ṅas</w:t>
      </w:r>
      <w:r>
        <w:t xml:space="preserve"> </w:t>
      </w:r>
      <w:r>
        <w:t xml:space="preserve">by</w:t>
      </w:r>
      <w:r>
        <w:t xml:space="preserve"> </w:t>
      </w:r>
      <w:r>
        <w:rPr>
          <w:iCs/>
          <w:i/>
        </w:rPr>
        <w:t xml:space="preserve">aś</w:t>
      </w:r>
      <w:r>
        <w:t xml:space="preserve">, which, being</w:t>
      </w:r>
      <w:r>
        <w:t xml:space="preserve"> </w:t>
      </w:r>
      <w:r>
        <w:rPr>
          <w:iCs/>
          <w:i/>
        </w:rPr>
        <w:t xml:space="preserve">śit</w:t>
      </w:r>
      <w:r>
        <w:t xml:space="preserve">, replaces the whole ending by</w:t>
      </w:r>
      <w:r>
        <w:t xml:space="preserve"> </w:t>
      </w:r>
      <w:r>
        <w:t xml:space="preserve">“</w:t>
      </w:r>
      <w:r>
        <w:t xml:space="preserve">anekālśit sarvasya</w:t>
      </w:r>
      <w:r>
        <w:t xml:space="preserve">”</w:t>
      </w:r>
      <w:r>
        <w:t xml:space="preserve">;</w:t>
      </w:r>
      <w:r>
        <w:t xml:space="preserve"> </w:t>
      </w:r>
      <w:r>
        <w:t xml:space="preserve">“</w:t>
      </w:r>
      <w:r>
        <w:t xml:space="preserve">śeṣe lopaḥ</w:t>
      </w:r>
      <w:r>
        <w:t xml:space="preserve">”</w:t>
      </w:r>
      <w:r>
        <w:t xml:space="preserve"> </w:t>
      </w:r>
      <w:r>
        <w:t xml:space="preserve">(Pā. 7-2-90) drops the last</w:t>
      </w:r>
      <w:r>
        <w:t xml:space="preserve"> </w:t>
      </w:r>
      <w:r>
        <w:rPr>
          <w:iCs/>
          <w:i/>
        </w:rPr>
        <w:t xml:space="preserve">a</w:t>
      </w:r>
      <w:r>
        <w:t xml:space="preserve"> </w:t>
      </w:r>
      <w:r>
        <w:t xml:space="preserve">if the stem’s end follows; in the alternative that the final letter is dropped, the</w:t>
      </w:r>
      <w:r>
        <w:t xml:space="preserve"> </w:t>
      </w:r>
      <w:r>
        <w:rPr>
          <w:iCs/>
          <w:i/>
        </w:rPr>
        <w:t xml:space="preserve">a</w:t>
      </w:r>
      <w:r>
        <w:t xml:space="preserve"> </w:t>
      </w:r>
      <w:r>
        <w:t xml:space="preserve">is dropped and</w:t>
      </w:r>
      <w:r>
        <w:t xml:space="preserve"> </w:t>
      </w:r>
      <w:r>
        <w:rPr>
          <w:iCs/>
          <w:i/>
        </w:rPr>
        <w:t xml:space="preserve">mama</w:t>
      </w:r>
      <w:r>
        <w:t xml:space="preserve"> </w:t>
      </w:r>
      <w:r>
        <w:t xml:space="preserve">results; the long argument here (p. 434) concerns whether</w:t>
      </w:r>
      <w:r>
        <w:t xml:space="preserve"> </w:t>
      </w:r>
      <w:r>
        <w:rPr>
          <w:iCs/>
          <w:i/>
        </w:rPr>
        <w:t xml:space="preserve">aś</w:t>
      </w:r>
      <w:r>
        <w:t xml:space="preserve"> </w:t>
      </w:r>
      <w:r>
        <w:t xml:space="preserve">(replacement of</w:t>
      </w:r>
      <w:r>
        <w:t xml:space="preserve"> </w:t>
      </w:r>
      <w:r>
        <w:rPr>
          <w:iCs/>
          <w:i/>
        </w:rPr>
        <w:t xml:space="preserve">ṅas</w:t>
      </w:r>
      <w:r>
        <w:t xml:space="preserve">) is barred by</w:t>
      </w:r>
      <w:r>
        <w:t xml:space="preserve"> </w:t>
      </w:r>
      <w:r>
        <w:rPr>
          <w:iCs/>
          <w:i/>
        </w:rPr>
        <w:t xml:space="preserve">sya</w:t>
      </w:r>
      <w:r>
        <w:t xml:space="preserve"> </w:t>
      </w:r>
      <w:r>
        <w:t xml:space="preserve">(the substitute of</w:t>
      </w:r>
      <w:r>
        <w:t xml:space="preserve"> </w:t>
      </w:r>
      <w:r>
        <w:t xml:space="preserve">“</w:t>
      </w:r>
      <w:r>
        <w:t xml:space="preserve">ṭā-ṅasi-ṅasām inātsyāḥ,</w:t>
      </w:r>
      <w:r>
        <w:t xml:space="preserve">”</w:t>
      </w:r>
      <w:r>
        <w:t xml:space="preserve"> </w:t>
      </w:r>
      <w:r>
        <w:t xml:space="preserve">Pā. 7-1-12); it is argued that the</w:t>
      </w:r>
      <w:r>
        <w:t xml:space="preserve"> </w:t>
      </w:r>
      <w:r>
        <w:rPr>
          <w:iCs/>
          <w:i/>
        </w:rPr>
        <w:t xml:space="preserve">aś</w:t>
      </w:r>
      <w:r>
        <w:t xml:space="preserve"> </w:t>
      </w:r>
      <w:r>
        <w:t xml:space="preserve">rule would be pointless if</w:t>
      </w:r>
      <w:r>
        <w:t xml:space="preserve"> </w:t>
      </w:r>
      <w:r>
        <w:rPr>
          <w:iCs/>
          <w:i/>
        </w:rPr>
        <w:t xml:space="preserve">sya</w:t>
      </w:r>
      <w:r>
        <w:t xml:space="preserve"> </w:t>
      </w:r>
      <w:r>
        <w:t xml:space="preserve">applied, and that</w:t>
      </w:r>
      <w:r>
        <w:t xml:space="preserve"> </w:t>
      </w:r>
      <w:r>
        <w:t xml:space="preserve">“</w:t>
      </w:r>
      <w:r>
        <w:t xml:space="preserve">yo ’ci</w:t>
      </w:r>
      <w:r>
        <w:t xml:space="preserve">”</w:t>
      </w:r>
      <w:r>
        <w:t xml:space="preserve"> </w:t>
      </w:r>
      <w:r>
        <w:t xml:space="preserve">(Pā. 7-2-89) blocks</w:t>
      </w:r>
      <w:r>
        <w:t xml:space="preserve"> </w:t>
      </w:r>
      <w:r>
        <w:rPr>
          <w:iCs/>
          <w:i/>
        </w:rPr>
        <w:t xml:space="preserve">yā</w:t>
      </w:r>
      <w:r>
        <w:t xml:space="preserve">-substitution, and so on; the paribhāṣā</w:t>
      </w:r>
      <w:r>
        <w:t xml:space="preserve"> </w:t>
      </w:r>
      <w:r>
        <w:t xml:space="preserve">“</w:t>
      </w:r>
      <w:r>
        <w:t xml:space="preserve">yenāprāpte yo vidhir ārabhyate sa tasya bādhako bhavati</w:t>
      </w:r>
      <w:r>
        <w:t xml:space="preserve">”</w:t>
      </w:r>
      <w:r>
        <w:t xml:space="preserve"> </w:t>
      </w:r>
      <w:r>
        <w:t xml:space="preserve">(Paribhāṣā 56 [?], first digit unclear) is discussed; and the</w:t>
      </w:r>
      <w:r>
        <w:t xml:space="preserve"> </w:t>
      </w:r>
      <w:r>
        <w:rPr>
          <w:iCs/>
          <w:i/>
        </w:rPr>
        <w:t xml:space="preserve">aṅgādhikāra</w:t>
      </w:r>
      <w:r>
        <w:t xml:space="preserve"> </w:t>
      </w:r>
      <w:r>
        <w:t xml:space="preserve">maxim</w:t>
      </w:r>
      <w:r>
        <w:t xml:space="preserve"> </w:t>
      </w:r>
      <w:r>
        <w:t xml:space="preserve">“</w:t>
      </w:r>
      <w:r>
        <w:t xml:space="preserve">aṅgavṛtte punarvṛttāv avidhiḥ</w:t>
      </w:r>
      <w:r>
        <w:t xml:space="preserve">”</w:t>
      </w:r>
      <w:r>
        <w:t xml:space="preserve"> </w:t>
      </w:r>
      <w:r>
        <w:t xml:space="preserve">(Paribhāṣā 92 [?], second digit 2 or 7) is quoted to show that after one</w:t>
      </w:r>
      <w:r>
        <w:t xml:space="preserve"> </w:t>
      </w:r>
      <w:r>
        <w:rPr>
          <w:iCs/>
          <w:i/>
        </w:rPr>
        <w:t xml:space="preserve">aṅga</w:t>
      </w:r>
      <w:r>
        <w:t xml:space="preserve">-rule applies a second</w:t>
      </w:r>
      <w:r>
        <w:t xml:space="preserve"> </w:t>
      </w:r>
      <w:r>
        <w:rPr>
          <w:iCs/>
          <w:i/>
        </w:rPr>
        <w:t xml:space="preserve">aṅga</w:t>
      </w:r>
      <w:r>
        <w:t xml:space="preserve">-rule does not; others take</w:t>
      </w:r>
      <w:r>
        <w:t xml:space="preserve"> </w:t>
      </w:r>
      <w:r>
        <w:rPr>
          <w:iCs/>
          <w:i/>
        </w:rPr>
        <w:t xml:space="preserve">aṅga</w:t>
      </w:r>
      <w:r>
        <w:t xml:space="preserve"> </w:t>
      </w:r>
      <w:r>
        <w:t xml:space="preserve">as</w:t>
      </w:r>
      <w:r>
        <w:t xml:space="preserve"> </w:t>
      </w:r>
      <w:r>
        <w:t xml:space="preserve">“</w:t>
      </w:r>
      <w:r>
        <w:t xml:space="preserve">an operation aimed at the stem</w:t>
      </w:r>
      <w:r>
        <w:t xml:space="preserve">”</w:t>
      </w:r>
      <w:r>
        <w:t xml:space="preserve">, which conflicts with the Mahābhāṣya on</w:t>
      </w:r>
      <w:r>
        <w:t xml:space="preserve"> </w:t>
      </w:r>
      <w:r>
        <w:t xml:space="preserve">“</w:t>
      </w:r>
      <w:r>
        <w:t xml:space="preserve">jyād ādīyasaḥ</w:t>
      </w:r>
      <w:r>
        <w:t xml:space="preserve">”</w:t>
      </w:r>
      <w:r>
        <w:t xml:space="preserve"> </w:t>
      </w:r>
      <w:r>
        <w:t xml:space="preserve">(Pā. 6-4-160), quoted; the discussion ends (p. 435) with the conclusion that the</w:t>
      </w:r>
      <w:r>
        <w:t xml:space="preserve"> </w:t>
      </w:r>
      <w:r>
        <w:rPr>
          <w:iCs/>
          <w:i/>
        </w:rPr>
        <w:t xml:space="preserve">a</w:t>
      </w:r>
      <w:r>
        <w:t xml:space="preserve"> </w:t>
      </w:r>
      <w:r>
        <w:t xml:space="preserve">of</w:t>
      </w:r>
      <w:r>
        <w:t xml:space="preserve"> </w:t>
      </w:r>
      <w:r>
        <w:rPr>
          <w:iCs/>
          <w:i/>
        </w:rPr>
        <w:t xml:space="preserve">aś</w:t>
      </w:r>
      <w:r>
        <w:t xml:space="preserve"> </w:t>
      </w:r>
      <w:r>
        <w:t xml:space="preserve">is to be joined by</w:t>
      </w:r>
      <w:r>
        <w:t xml:space="preserve"> </w:t>
      </w:r>
      <w:r>
        <w:rPr>
          <w:iCs/>
          <w:i/>
        </w:rPr>
        <w:t xml:space="preserve">pararūpa</w:t>
      </w:r>
      <w:r>
        <w:t xml:space="preserve"> </w:t>
      </w:r>
      <w:r>
        <w:t xml:space="preserve">with the preceding</w:t>
      </w:r>
      <w:r>
        <w:t xml:space="preserve"> </w:t>
      </w:r>
      <w:r>
        <w:rPr>
          <w:iCs/>
          <w:i/>
        </w:rPr>
        <w:t xml:space="preserve">a</w:t>
      </w:r>
      <w:r>
        <w:t xml:space="preserve">, so the</w:t>
      </w:r>
      <w:r>
        <w:t xml:space="preserve"> </w:t>
      </w:r>
      <w:r>
        <w:rPr>
          <w:iCs/>
          <w:i/>
        </w:rPr>
        <w:t xml:space="preserve">sya</w:t>
      </w:r>
      <w:r>
        <w:t xml:space="preserve"> </w:t>
      </w:r>
      <w:r>
        <w:t xml:space="preserve">substitution does not arise; and that</w:t>
      </w:r>
      <w:r>
        <w:t xml:space="preserve"> </w:t>
      </w:r>
      <w:r>
        <w:rPr>
          <w:iCs/>
          <w:i/>
        </w:rPr>
        <w:t xml:space="preserve">mama</w:t>
      </w:r>
      <w:r>
        <w:t xml:space="preserve"> </w:t>
      </w:r>
      <w:r>
        <w:t xml:space="preserve">is final-udātta by its stem accent, which is set aside by</w:t>
      </w:r>
      <w:r>
        <w:t xml:space="preserve"> </w:t>
      </w:r>
      <w:r>
        <w:t xml:space="preserve">“</w:t>
      </w:r>
      <w:r>
        <w:t xml:space="preserve">yuṣmadasmador ṅasi</w:t>
      </w:r>
      <w:r>
        <w:t xml:space="preserve">”</w:t>
      </w:r>
      <w:r>
        <w:t xml:space="preserve"> </w:t>
      </w:r>
      <w:r>
        <w:t xml:space="preserve">(printed</w:t>
      </w:r>
      <w:r>
        <w:t xml:space="preserve"> </w:t>
      </w:r>
      <w:r>
        <w:t xml:space="preserve">“</w:t>
      </w:r>
      <w:r>
        <w:t xml:space="preserve">yuṣmadasmador jasi</w:t>
      </w:r>
      <w:r>
        <w:t xml:space="preserve">”</w:t>
      </w:r>
      <w:r>
        <w:t xml:space="preserve"> </w:t>
      </w:r>
      <w:r>
        <w:t xml:space="preserve">[sic], Pā. 6-1-211): before</w:t>
      </w:r>
      <w:r>
        <w:t xml:space="preserve"> </w:t>
      </w:r>
      <w:r>
        <w:rPr>
          <w:iCs/>
          <w:i/>
        </w:rPr>
        <w:t xml:space="preserve">ṅas</w:t>
      </w:r>
      <w:r>
        <w:t xml:space="preserve">-type endings the first syllable of</w:t>
      </w:r>
      <w:r>
        <w:t xml:space="preserve"> </w:t>
      </w:r>
      <w:r>
        <w:rPr>
          <w:iCs/>
          <w:i/>
        </w:rPr>
        <w:t xml:space="preserve">yuṣmad</w:t>
      </w:r>
      <w:r>
        <w:t xml:space="preserve">/</w:t>
      </w:r>
      <w:r>
        <w:rPr>
          <w:iCs/>
          <w:i/>
        </w:rPr>
        <w:t xml:space="preserve">asmad</w:t>
      </w:r>
      <w:r>
        <w:t xml:space="preserve"> </w:t>
      </w:r>
      <w:r>
        <w:t xml:space="preserve">is udātta, giving initial-udātta.</w:t>
      </w:r>
      <w:r>
        <w:t xml:space="preserve"> </w:t>
      </w:r>
      <w:r>
        <w:rPr>
          <w:bCs/>
          <w:b/>
        </w:rPr>
        <w:t xml:space="preserve">कृष्व (</w:t>
      </w:r>
      <w:r>
        <w:rPr>
          <w:iCs/>
          <w:i/>
          <w:bCs/>
          <w:b/>
        </w:rPr>
        <w:t xml:space="preserve">kṛṣva</w:t>
      </w:r>
      <w:r>
        <w:rPr>
          <w:bCs/>
          <w:b/>
        </w:rPr>
        <w:t xml:space="preserve">)</w:t>
      </w:r>
      <w:r>
        <w:t xml:space="preserve"> </w:t>
      </w:r>
      <w:r>
        <w:t xml:space="preserve">— root</w:t>
      </w:r>
      <w:r>
        <w:t xml:space="preserve"> </w:t>
      </w:r>
      <w:r>
        <w:rPr>
          <w:iCs/>
          <w:i/>
        </w:rPr>
        <w:t xml:space="preserve">ḍukṛñ karaṇe</w:t>
      </w:r>
      <w:r>
        <w:t xml:space="preserve">,</w:t>
      </w:r>
      <w:r>
        <w:t xml:space="preserve"> </w:t>
      </w:r>
      <w:r>
        <w:rPr>
          <w:iCs/>
          <w:i/>
        </w:rPr>
        <w:t xml:space="preserve">loṭ</w:t>
      </w:r>
      <w:r>
        <w:t xml:space="preserve"> </w:t>
      </w:r>
      <w:r>
        <w:t xml:space="preserve">ātmanepada</w:t>
      </w:r>
      <w:r>
        <w:t xml:space="preserve"> </w:t>
      </w:r>
      <w:r>
        <w:rPr>
          <w:iCs/>
          <w:i/>
        </w:rPr>
        <w:t xml:space="preserve">thās</w:t>
      </w:r>
      <w:r>
        <w:t xml:space="preserve"> </w:t>
      </w:r>
      <w:r>
        <w:t xml:space="preserve">→</w:t>
      </w:r>
      <w:r>
        <w:t xml:space="preserve"> </w:t>
      </w:r>
      <w:r>
        <w:rPr>
          <w:iCs/>
          <w:i/>
        </w:rPr>
        <w:t xml:space="preserve">se</w:t>
      </w:r>
      <w:r>
        <w:t xml:space="preserve"> </w:t>
      </w:r>
      <w:r>
        <w:t xml:space="preserve">→</w:t>
      </w:r>
      <w:r>
        <w:t xml:space="preserve"> </w:t>
      </w:r>
      <w:r>
        <w:rPr>
          <w:iCs/>
          <w:i/>
        </w:rPr>
        <w:t xml:space="preserve">sva</w:t>
      </w:r>
      <w:r>
        <w:t xml:space="preserve">; the</w:t>
      </w:r>
      <w:r>
        <w:t xml:space="preserve"> </w:t>
      </w:r>
      <w:r>
        <w:rPr>
          <w:iCs/>
          <w:i/>
        </w:rPr>
        <w:t xml:space="preserve">e</w:t>
      </w:r>
      <w:r>
        <w:t xml:space="preserve"> </w:t>
      </w:r>
      <w:r>
        <w:t xml:space="preserve">replaced by</w:t>
      </w:r>
      <w:r>
        <w:t xml:space="preserve"> </w:t>
      </w:r>
      <w:r>
        <w:rPr>
          <w:iCs/>
          <w:i/>
        </w:rPr>
        <w:t xml:space="preserve">va</w:t>
      </w:r>
      <w:r>
        <w:t xml:space="preserve">; the</w:t>
      </w:r>
      <w:r>
        <w:t xml:space="preserve"> </w:t>
      </w:r>
      <w:r>
        <w:rPr>
          <w:iCs/>
          <w:i/>
        </w:rPr>
        <w:t xml:space="preserve">u</w:t>
      </w:r>
      <w:r>
        <w:t xml:space="preserve">-vikaraṇa (</w:t>
      </w:r>
      <w:r>
        <w:t xml:space="preserve">“</w:t>
      </w:r>
      <w:r>
        <w:t xml:space="preserve">tanādikṛñbhya uḥ,</w:t>
      </w:r>
      <w:r>
        <w:t xml:space="preserve">”</w:t>
      </w:r>
      <w:r>
        <w:t xml:space="preserve"> </w:t>
      </w:r>
      <w:r>
        <w:t xml:space="preserve">Pā. 3-1-79) is dropped by</w:t>
      </w:r>
      <w:r>
        <w:t xml:space="preserve"> </w:t>
      </w:r>
      <w:r>
        <w:rPr>
          <w:iCs/>
          <w:i/>
        </w:rPr>
        <w:t xml:space="preserve">bahulaṃ chandasi</w:t>
      </w:r>
      <w:r>
        <w:t xml:space="preserve">;</w:t>
      </w:r>
      <w:r>
        <w:t xml:space="preserve"> </w:t>
      </w:r>
      <w:r>
        <w:rPr>
          <w:iCs/>
          <w:i/>
        </w:rPr>
        <w:t xml:space="preserve">ṣatva</w:t>
      </w:r>
      <w:r>
        <w:t xml:space="preserve"> </w:t>
      </w:r>
      <w:r>
        <w:t xml:space="preserve">(</w:t>
      </w:r>
      <w:r>
        <w:t xml:space="preserve">“</w:t>
      </w:r>
      <w:r>
        <w:t xml:space="preserve">ādeśapratyayayoḥ</w:t>
      </w:r>
      <w:r>
        <w:t xml:space="preserve">”</w:t>
      </w:r>
      <w:r>
        <w:t xml:space="preserve">); the Saṃhitā lengthening (</w:t>
      </w:r>
      <w:r>
        <w:t xml:space="preserve">“</w:t>
      </w:r>
      <w:r>
        <w:t xml:space="preserve">dvyaco ’tastiṅaḥ,</w:t>
      </w:r>
      <w:r>
        <w:t xml:space="preserve">”</w:t>
      </w:r>
      <w:r>
        <w:t xml:space="preserve"> </w:t>
      </w:r>
      <w:r>
        <w:t xml:space="preserve">Pā. 6-3-135),</w:t>
      </w:r>
      <w:r>
        <w:t xml:space="preserve"> </w:t>
      </w:r>
      <w:r>
        <w:rPr>
          <w:iCs/>
          <w:i/>
        </w:rPr>
        <w:t xml:space="preserve">kṛṣvā</w:t>
      </w:r>
      <w:r>
        <w:t xml:space="preserve">;</w:t>
      </w:r>
      <w:r>
        <w:t xml:space="preserve"> </w:t>
      </w:r>
      <w:r>
        <w:rPr>
          <w:iCs/>
          <w:i/>
        </w:rPr>
        <w:t xml:space="preserve">śit</w:t>
      </w:r>
      <w:r>
        <w:t xml:space="preserve">-like suffix accent; not lowered since it begins the pāda.</w:t>
      </w:r>
      <w:r>
        <w:t xml:space="preserve"> </w:t>
      </w:r>
      <w:r>
        <w:rPr>
          <w:bCs/>
          <w:b/>
        </w:rPr>
        <w:t xml:space="preserve">युजः (</w:t>
      </w:r>
      <w:r>
        <w:rPr>
          <w:iCs/>
          <w:i/>
          <w:bCs/>
          <w:b/>
        </w:rPr>
        <w:t xml:space="preserve">yujaḥ</w:t>
      </w:r>
      <w:r>
        <w:rPr>
          <w:bCs/>
          <w:b/>
        </w:rPr>
        <w:t xml:space="preserve">)</w:t>
      </w:r>
      <w:r>
        <w:t xml:space="preserve"> </w:t>
      </w:r>
      <w:r>
        <w:t xml:space="preserve">—</w:t>
      </w:r>
      <w:r>
        <w:t xml:space="preserve"> </w:t>
      </w:r>
      <w:r>
        <w:t xml:space="preserve">“</w:t>
      </w:r>
      <w:r>
        <w:t xml:space="preserve">sāvekācas tṛtīyādir vibhaktiḥ</w:t>
      </w:r>
      <w:r>
        <w:t xml:space="preserve">”</w:t>
      </w:r>
      <w:r>
        <w:t xml:space="preserve"> </w:t>
      </w:r>
      <w:r>
        <w:t xml:space="preserve">(Pā. 6-1-168): the case-ending is udātta.</w:t>
      </w:r>
      <w:r>
        <w:t xml:space="preserve"> </w:t>
      </w:r>
      <w:r>
        <w:rPr>
          <w:bCs/>
          <w:b/>
        </w:rPr>
        <w:t xml:space="preserve">अन्तरम् (</w:t>
      </w:r>
      <w:r>
        <w:rPr>
          <w:iCs/>
          <w:i/>
          <w:bCs/>
          <w:b/>
        </w:rPr>
        <w:t xml:space="preserve">antaram</w:t>
      </w:r>
      <w:r>
        <w:rPr>
          <w:bCs/>
          <w:b/>
        </w:rPr>
        <w:t xml:space="preserve">)</w:t>
      </w:r>
      <w:r>
        <w:t xml:space="preserve"> </w:t>
      </w:r>
      <w:r>
        <w:t xml:space="preserve">— belongs to the</w:t>
      </w:r>
      <w:r>
        <w:t xml:space="preserve"> </w:t>
      </w:r>
      <w:r>
        <w:rPr>
          <w:iCs/>
          <w:i/>
        </w:rPr>
        <w:t xml:space="preserve">vṛṣādi</w:t>
      </w:r>
      <w:r>
        <w:t xml:space="preserve"> </w:t>
      </w:r>
      <w:r>
        <w:t xml:space="preserve">class, so initial-udātta by</w:t>
      </w:r>
      <w:r>
        <w:t xml:space="preserve"> </w:t>
      </w:r>
      <w:r>
        <w:t xml:space="preserve">“</w:t>
      </w:r>
      <w:r>
        <w:t xml:space="preserve">vṛṣādīnāṃ ca</w:t>
      </w:r>
      <w:r>
        <w:t xml:space="preserve">”</w:t>
      </w:r>
      <w:r>
        <w:t xml:space="preserve"> </w:t>
      </w:r>
      <w:r>
        <w:t xml:space="preserve">(Pā. 6-1-203).</w:t>
      </w:r>
    </w:p>
    <w:p>
      <w:pPr>
        <w:pStyle w:val="BodyText"/>
      </w:pPr>
      <w:r>
        <w:rPr>
          <w:bCs/>
          <w:b/>
        </w:rPr>
        <w:t xml:space="preserve">॥९॥</w:t>
      </w:r>
    </w:p>
    <w:p>
      <w:r>
        <w:pict>
          <v:rect style="width:0;height:1.5pt" o:hralign="center" o:hrstd="t" o:hr="t"/>
        </w:pict>
      </w:r>
    </w:p>
    <w:bookmarkEnd w:id="447"/>
    <w:bookmarkStart w:id="448" w:name="page-435-sūkta-10-rik-10"/>
    <w:p>
      <w:pPr>
        <w:pStyle w:val="Heading3"/>
      </w:pPr>
      <w:r>
        <w:t xml:space="preserve">Page 435 — Sūkta 10, Rik 10</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वि॒द्मा हि त्वा॒ वृष॑न्तमं॒ वाजे॑षु हवन॒श्रुतं॑ ।</w:t>
      </w:r>
      <w:r>
        <w:t xml:space="preserve"> </w:t>
      </w:r>
      <w:r>
        <w:t xml:space="preserve">वृष॑न्तमस्य हूमह ऊ॒तिं स॑हस्र॒सात॑माम् ॥१०॥</w:t>
      </w:r>
    </w:p>
    <w:p>
      <w:pPr>
        <w:pStyle w:val="BlockText"/>
      </w:pPr>
      <w:r>
        <w:rPr>
          <w:iCs/>
          <w:i/>
        </w:rPr>
        <w:t xml:space="preserve">vidmā́ hi tvā vṛ́ṣantamaṃ vā́jeṣu havanaśrútaṃ |</w:t>
      </w:r>
      <w:r>
        <w:t xml:space="preserve"> </w:t>
      </w:r>
      <w:r>
        <w:rPr>
          <w:iCs/>
          <w:i/>
        </w:rPr>
        <w:t xml:space="preserve">vṛ́ṣantamasya hūmaha ūtíṃ sahasrasā́tamām ||10||</w:t>
      </w:r>
    </w:p>
    <w:p>
      <w:pPr>
        <w:pStyle w:val="FirstParagraph"/>
      </w:pPr>
      <w:r>
        <w:rPr>
          <w:bCs/>
          <w:b/>
        </w:rPr>
        <w:t xml:space="preserve">॥ Pada-pāṭhaḥ ॥</w:t>
      </w:r>
    </w:p>
    <w:p>
      <w:pPr>
        <w:pStyle w:val="BlockText"/>
      </w:pPr>
      <w:r>
        <w:t xml:space="preserve">विद्म । हि । त्वा । वृषन्ऽतमम् । वाजेषु । हवनऽश्रुतम् ॥</w:t>
      </w:r>
      <w:r>
        <w:t xml:space="preserve"> </w:t>
      </w:r>
      <w:r>
        <w:t xml:space="preserve">वृषन्ऽतमस्य । हूमहे । ऊतिम् । सहस्रऽसातमाम् ॥१०॥</w:t>
      </w:r>
    </w:p>
    <w:p>
      <w:pPr>
        <w:pStyle w:val="BlockText"/>
      </w:pPr>
      <w:r>
        <w:rPr>
          <w:iCs/>
          <w:i/>
        </w:rPr>
        <w:t xml:space="preserve">vidma | hi | tvā | vṛṣan-tamam | vājeṣu | havana-śrutam ||</w:t>
      </w:r>
      <w:r>
        <w:t xml:space="preserve"> </w:t>
      </w:r>
      <w:r>
        <w:rPr>
          <w:iCs/>
          <w:i/>
        </w:rPr>
        <w:t xml:space="preserve">vṛṣan-tamasya | hūmahe | ūtim | sahasra-sātamām ||10||</w:t>
      </w:r>
    </w:p>
    <w:bookmarkEnd w:id="448"/>
    <w:bookmarkStart w:id="449" w:name="Xbacdfe1915774fb6e714da422b5fa269a46d688"/>
    <w:p>
      <w:pPr>
        <w:pStyle w:val="Heading3"/>
      </w:pPr>
      <w:r>
        <w:t xml:space="preserve">Page 436 — Rik 10: Sāyaṇa-bhāṣya, word-meanings, English</w:t>
      </w:r>
    </w:p>
    <w:p>
      <w:pPr>
        <w:pStyle w:val="FirstParagraph"/>
      </w:pPr>
      <w:r>
        <w:rPr>
          <w:bCs/>
          <w:b/>
        </w:rPr>
        <w:t xml:space="preserve">॥ Sāyaṇa-bhāṣyam ॥</w:t>
      </w:r>
    </w:p>
    <w:p>
      <w:pPr>
        <w:pStyle w:val="BlockText"/>
      </w:pPr>
      <w:r>
        <w:t xml:space="preserve">हे इन्द्र त्वां विद्म । जानीमः । कीदृशं त्वाम् । वृषन्तमं कामानामतिशयेन वर्षितारं वाजेषु संग्रामेषु हवनश्रुतमस्मदीयस्याह्वानस्य श्रोतारम् । वृषन्तममस्यातिशयेन कामादीनां वर्षितुस्तवोतिं रक्षामस्मद्विषयामुद्दिश्य हूमहे । त्वामाह्वयामः । कीदृशीमूतिम् । सहस्रसातमामतिशयेन धनसहस्राणां दात्रीम् ॥ विद्म । विदो लटो वा । पा. ३-४-८३ । इति मसो मादेशः । प्रत्ययस्वरेणान्तोदात्तः । द्व्यचो ऽतस्तिङ इति संहितायां दीर्घः । वृषन्तमम् । पृषु वृषु मृषु सेचने । कनिन्युवृषितक्षिराजिधन्विद्युप्रतिदिवः । उ. १-१५६ । इति कनिन् । नित्त्वादाद्युदात्तः । तमपः पित्त्वात्स एव शिष्यते । अयस्मयादीनि छन्दसि । पा. १-४-२० । इति भत्वेन पदत्वाभावान्नलोपाभावः । पा. ८-२-७ । वाजेषु । वाजशब्दो वृषादिराद्युदात्तः । हवनश्रुतम् । हू इत्यनुवृत्तौ बहुलं छन्दसीति ल्युटि संप्रसारणम् । हवनं शृणोतीति क्विप् । तुगागमः । वृषन्तमस्य । उक्तम् । हूमहे । बहुलं छन्दसीति संप्रसारणम् । शप इत्यनुवृत्तौ बहुलं छन्दसीति शपो लुक् । ऊतिम् । ऊतियूतीत्यादिनान्तोदात्तो निपातितः । सहस्रसातमाम् । सहस्रं सनोतीति सहस्रसाः । षणु दाने । जनसनखनक्रमगमो विट् । पा. ३-२-६७ । विड्वनोरनुनासिकस्यात् । पा. ६-४-४१ । इत्याकारादेशः । कृदुत्तरपदप्रकृतिस्वरत्वम् । तमपः पित्त्वात्स एव शिष्यते ॥</w:t>
      </w:r>
    </w:p>
    <w:p>
      <w:pPr>
        <w:pStyle w:val="BlockText"/>
      </w:pPr>
      <w:r>
        <w:rPr>
          <w:iCs/>
          <w:i/>
        </w:rPr>
        <w:t xml:space="preserve">he indra tvāṃ vidma | jānīmaḥ | kīdṛśaṃ tvām | vṛṣantamaṃ kāmānāmatiśayena varṣitāraṃ vājeṣu saṃgrāmeṣu havanaśrutamasmadīyasyāhvānasya śrotāram | vṛṣantamamasyātiśayena kāmādīnāṃ varṣitustavotiṃ rakṣāmasmadviṣayāmuddiśya hūmahe | tvāmāhvayāmaḥ | kīdṛśīmūtim | sahasrasātamāmatiśayena dhanasahasrāṇāṃ dātrīm || vidma | vido laṭo vā | pā. 3-4-83 | iti maso mādeśaḥ | pratyayasvareṇāntodāttaḥ | dvyaco ’tastiṅa iti saṃhitāyāṃ dīrghaḥ | vṛṣantamam | pṛṣu vṛṣu mṛṣu secane | kaninyuvṛṣitakṣirājidhanvidyupratidivaḥ | u. 1-156 | iti kanin | nittvādādyudāttaḥ | tamapaḥ pittvātsa eva śiṣyate | ayasmayādīni chandasi | pā. 1-4-20 | iti bhatvena padatvābhāvānnalopābhāvaḥ | pā. 8-2-7 | vājeṣu | vājaśabdo vṛṣādirādyudāttaḥ | havanaśrutam | hū ityanuvṛttau bahulaṃ chandasīti lyuṭi saṃprasāraṇam | havanaṃ śṛṇotīti kvip | tugāgamaḥ | vṛṣantamasya | uktam | hūmahe | bahulaṃ chandasīti saṃprasāraṇam | śapa ityanuvṛttau bahulaṃ chandasīti śapo luk | ūtim | ūtiyūtītyādināntodātto nipātitaḥ | sahasrasātamām | sahasraṃ sanotīti sahasrasāḥ | ṣaṇu dāne | janasanakhanakramagamo viṭ | pā. 3-2-67 | viḍvanoranunāsikasyāt | pā. 6-4-41 | ityākārādeśaḥ | kṛduttarapadaprakṛtisvaratvam | tamapaḥ pittvātsa eva śiṣyate ||</w:t>
      </w:r>
    </w:p>
    <w:p>
      <w:pPr>
        <w:pStyle w:val="FirstParagraph"/>
      </w:pPr>
      <w:r>
        <w:rPr>
          <w:bCs/>
          <w:b/>
        </w:rPr>
        <w:t xml:space="preserve">Translation:</w:t>
      </w:r>
      <w:r>
        <w:t xml:space="preserve"> </w:t>
      </w:r>
      <w:r>
        <w:t xml:space="preserve">“</w:t>
      </w:r>
      <w:r>
        <w:t xml:space="preserve">O Indra!</w:t>
      </w:r>
      <w:r>
        <w:t xml:space="preserve"> </w:t>
      </w:r>
      <w:r>
        <w:rPr>
          <w:iCs/>
          <w:i/>
        </w:rPr>
        <w:t xml:space="preserve">Tvāṃ vidma</w:t>
      </w:r>
      <w:r>
        <w:t xml:space="preserve"> </w:t>
      </w:r>
      <w:r>
        <w:t xml:space="preserve">— we know you. What kind?</w:t>
      </w:r>
      <w:r>
        <w:t xml:space="preserve"> </w:t>
      </w:r>
      <w:r>
        <w:rPr>
          <w:iCs/>
          <w:i/>
        </w:rPr>
        <w:t xml:space="preserve">Vṛṣantamam</w:t>
      </w:r>
      <w:r>
        <w:t xml:space="preserve"> </w:t>
      </w:r>
      <w:r>
        <w:t xml:space="preserve">— the one who rains desires to the utmost;</w:t>
      </w:r>
      <w:r>
        <w:t xml:space="preserve"> </w:t>
      </w:r>
      <w:r>
        <w:rPr>
          <w:iCs/>
          <w:i/>
        </w:rPr>
        <w:t xml:space="preserve">vājeṣu</w:t>
      </w:r>
      <w:r>
        <w:t xml:space="preserve"> </w:t>
      </w:r>
      <w:r>
        <w:t xml:space="preserve">— in battles;</w:t>
      </w:r>
      <w:r>
        <w:t xml:space="preserve"> </w:t>
      </w:r>
      <w:r>
        <w:rPr>
          <w:iCs/>
          <w:i/>
        </w:rPr>
        <w:t xml:space="preserve">havanaśrutam</w:t>
      </w:r>
      <w:r>
        <w:t xml:space="preserve"> </w:t>
      </w:r>
      <w:r>
        <w:t xml:space="preserve">— the one who hears our invocation. For the protection (</w:t>
      </w:r>
      <w:r>
        <w:rPr>
          <w:iCs/>
          <w:i/>
        </w:rPr>
        <w:t xml:space="preserve">ūtim</w:t>
      </w:r>
      <w:r>
        <w:t xml:space="preserve">) of you, the</w:t>
      </w:r>
      <w:r>
        <w:t xml:space="preserve"> </w:t>
      </w:r>
      <w:r>
        <w:rPr>
          <w:iCs/>
          <w:i/>
        </w:rPr>
        <w:t xml:space="preserve">vṛṣantama</w:t>
      </w:r>
      <w:r>
        <w:t xml:space="preserve"> </w:t>
      </w:r>
      <w:r>
        <w:t xml:space="preserve">— the supreme showerer of desires and the like — directed at us,</w:t>
      </w:r>
      <w:r>
        <w:t xml:space="preserve"> </w:t>
      </w:r>
      <w:r>
        <w:rPr>
          <w:iCs/>
          <w:i/>
        </w:rPr>
        <w:t xml:space="preserve">hūmahe</w:t>
      </w:r>
      <w:r>
        <w:t xml:space="preserve">: we call you. What kind of protection?</w:t>
      </w:r>
      <w:r>
        <w:t xml:space="preserve"> </w:t>
      </w:r>
      <w:r>
        <w:rPr>
          <w:iCs/>
          <w:i/>
        </w:rPr>
        <w:t xml:space="preserve">Sahasrasātamām</w:t>
      </w:r>
      <w:r>
        <w:t xml:space="preserve"> </w:t>
      </w:r>
      <w:r>
        <w:t xml:space="preserve">— that which, to the utmost, gives thousands of riches.</w:t>
      </w:r>
      <w:r>
        <w:t xml:space="preserve">”</w:t>
      </w:r>
      <w:r>
        <w:t xml:space="preserve"> </w:t>
      </w:r>
      <w:r>
        <w:rPr>
          <w:iCs/>
          <w:i/>
        </w:rPr>
        <w:t xml:space="preserve">(The grammar of</w:t>
      </w:r>
      <w:r>
        <w:t xml:space="preserve"> </w:t>
      </w:r>
      <w:r>
        <w:t xml:space="preserve">vidma</w:t>
      </w:r>
      <w:r>
        <w:rPr>
          <w:iCs/>
          <w:i/>
        </w:rPr>
        <w:t xml:space="preserve">,</w:t>
      </w:r>
      <w:r>
        <w:t xml:space="preserve"> </w:t>
      </w:r>
      <w:r>
        <w:t xml:space="preserve">vṛṣantamam</w:t>
      </w:r>
      <w:r>
        <w:rPr>
          <w:iCs/>
          <w:i/>
        </w:rPr>
        <w:t xml:space="preserve">,</w:t>
      </w:r>
      <w:r>
        <w:t xml:space="preserve"> </w:t>
      </w:r>
      <w:r>
        <w:t xml:space="preserve">havanaśrutam</w:t>
      </w:r>
      <w:r>
        <w:rPr>
          <w:iCs/>
          <w:i/>
        </w:rPr>
        <w:t xml:space="preserve">,</w:t>
      </w:r>
      <w:r>
        <w:t xml:space="preserve"> </w:t>
      </w:r>
      <w:r>
        <w:t xml:space="preserve">hūmahe</w:t>
      </w:r>
      <w:r>
        <w:rPr>
          <w:iCs/>
          <w:i/>
        </w:rPr>
        <w:t xml:space="preserve">,</w:t>
      </w:r>
      <w:r>
        <w:t xml:space="preserve"> </w:t>
      </w:r>
      <w:r>
        <w:t xml:space="preserve">ūtim</w:t>
      </w:r>
      <w:r>
        <w:rPr>
          <w:iCs/>
          <w:i/>
        </w:rPr>
        <w:t xml:space="preserve">,</w:t>
      </w:r>
      <w:r>
        <w:t xml:space="preserve"> </w:t>
      </w:r>
      <w:r>
        <w:t xml:space="preserve">sahasrasātamām</w:t>
      </w:r>
      <w:r>
        <w:t xml:space="preserve"> </w:t>
      </w:r>
      <w:r>
        <w:rPr>
          <w:iCs/>
          <w:i/>
        </w:rPr>
        <w:t xml:space="preserve">follows in the Sanskrit and is noted briefly:</w:t>
      </w:r>
      <w:r>
        <w:t xml:space="preserve"> </w:t>
      </w:r>
      <w:r>
        <w:t xml:space="preserve">vidma</w:t>
      </w:r>
      <w:r>
        <w:t xml:space="preserve"> </w:t>
      </w:r>
      <w:r>
        <w:rPr>
          <w:iCs/>
          <w:i/>
        </w:rPr>
        <w:t xml:space="preserve">— the substitute</w:t>
      </w:r>
      <w:r>
        <w:t xml:space="preserve"> </w:t>
      </w:r>
      <w:r>
        <w:t xml:space="preserve">ma</w:t>
      </w:r>
      <w:r>
        <w:t xml:space="preserve"> </w:t>
      </w:r>
      <w:r>
        <w:rPr>
          <w:iCs/>
          <w:i/>
        </w:rPr>
        <w:t xml:space="preserve">for</w:t>
      </w:r>
      <w:r>
        <w:t xml:space="preserve"> </w:t>
      </w:r>
      <w:r>
        <w:t xml:space="preserve">mas</w:t>
      </w:r>
      <w:r>
        <w:t xml:space="preserve"> </w:t>
      </w:r>
      <w:r>
        <w:rPr>
          <w:iCs/>
          <w:i/>
        </w:rPr>
        <w:t xml:space="preserve">in the</w:t>
      </w:r>
      <w:r>
        <w:t xml:space="preserve"> </w:t>
      </w:r>
      <w:r>
        <w:t xml:space="preserve">laṭ</w:t>
      </w:r>
      <w:r>
        <w:t xml:space="preserve"> </w:t>
      </w:r>
      <w:r>
        <w:rPr>
          <w:iCs/>
          <w:i/>
        </w:rPr>
        <w:t xml:space="preserve">of</w:t>
      </w:r>
      <w:r>
        <w:t xml:space="preserve"> </w:t>
      </w:r>
      <w:r>
        <w:t xml:space="preserve">vid</w:t>
      </w:r>
      <w:r>
        <w:t xml:space="preserve"> </w:t>
      </w:r>
      <w:r>
        <w:rPr>
          <w:iCs/>
          <w:i/>
        </w:rPr>
        <w:t xml:space="preserve">(Pā. 3-4-83), with the Saṃhitā lengthening;</w:t>
      </w:r>
      <w:r>
        <w:t xml:space="preserve"> </w:t>
      </w:r>
      <w:r>
        <w:t xml:space="preserve">vṛṣantamam</w:t>
      </w:r>
      <w:r>
        <w:t xml:space="preserve"> </w:t>
      </w:r>
      <w:r>
        <w:rPr>
          <w:iCs/>
          <w:i/>
        </w:rPr>
        <w:t xml:space="preserve">— root</w:t>
      </w:r>
      <w:r>
        <w:t xml:space="preserve"> </w:t>
      </w:r>
      <w:r>
        <w:t xml:space="preserve">vṛṣu secane</w:t>
      </w:r>
      <w:r>
        <w:t xml:space="preserve"> </w:t>
      </w:r>
      <w:r>
        <w:rPr>
          <w:iCs/>
          <w:i/>
        </w:rPr>
        <w:t xml:space="preserve">with</w:t>
      </w:r>
      <w:r>
        <w:t xml:space="preserve"> </w:t>
      </w:r>
      <w:r>
        <w:t xml:space="preserve">kanin</w:t>
      </w:r>
      <w:r>
        <w:t xml:space="preserve"> </w:t>
      </w:r>
      <w:r>
        <w:rPr>
          <w:iCs/>
          <w:i/>
        </w:rPr>
        <w:t xml:space="preserve">(Uṇ. 1-156), initial-udātta, then</w:t>
      </w:r>
      <w:r>
        <w:t xml:space="preserve"> </w:t>
      </w:r>
      <w:r>
        <w:t xml:space="preserve">tamap</w:t>
      </w:r>
      <w:r>
        <w:t xml:space="preserve"> </w:t>
      </w:r>
      <w:r>
        <w:rPr>
          <w:iCs/>
          <w:i/>
        </w:rPr>
        <w:t xml:space="preserve">(unaccented since</w:t>
      </w:r>
      <w:r>
        <w:t xml:space="preserve"> </w:t>
      </w:r>
      <w:r>
        <w:t xml:space="preserve">pit</w:t>
      </w:r>
      <w:r>
        <w:rPr>
          <w:iCs/>
          <w:i/>
        </w:rPr>
        <w:t xml:space="preserve">); no loss of</w:t>
      </w:r>
      <w:r>
        <w:t xml:space="preserve"> </w:t>
      </w:r>
      <w:r>
        <w:t xml:space="preserve">n</w:t>
      </w:r>
      <w:r>
        <w:t xml:space="preserve"> </w:t>
      </w:r>
      <w:r>
        <w:rPr>
          <w:iCs/>
          <w:i/>
        </w:rPr>
        <w:t xml:space="preserve">because in the Veda the stem has</w:t>
      </w:r>
      <w:r>
        <w:t xml:space="preserve"> </w:t>
      </w:r>
      <w:r>
        <w:t xml:space="preserve">bha</w:t>
      </w:r>
      <w:r>
        <w:t xml:space="preserve"> </w:t>
      </w:r>
      <w:r>
        <w:rPr>
          <w:iCs/>
          <w:i/>
        </w:rPr>
        <w:t xml:space="preserve">status and so is not a</w:t>
      </w:r>
      <w:r>
        <w:t xml:space="preserve"> </w:t>
      </w:r>
      <w:r>
        <w:t xml:space="preserve">pada</w:t>
      </w:r>
      <w:r>
        <w:rPr>
          <w:iCs/>
          <w:i/>
        </w:rPr>
        <w:t xml:space="preserve">;</w:t>
      </w:r>
      <w:r>
        <w:t xml:space="preserve"> </w:t>
      </w:r>
      <w:r>
        <w:t xml:space="preserve">havanaśrutam</w:t>
      </w:r>
      <w:r>
        <w:t xml:space="preserve"> </w:t>
      </w:r>
      <w:r>
        <w:rPr>
          <w:iCs/>
          <w:i/>
        </w:rPr>
        <w:t xml:space="preserve">— the</w:t>
      </w:r>
      <w:r>
        <w:t xml:space="preserve"> </w:t>
      </w:r>
      <w:r>
        <w:t xml:space="preserve">lyuṭ</w:t>
      </w:r>
      <w:r>
        <w:t xml:space="preserve"> </w:t>
      </w:r>
      <w:r>
        <w:rPr>
          <w:iCs/>
          <w:i/>
        </w:rPr>
        <w:t xml:space="preserve">from root</w:t>
      </w:r>
      <w:r>
        <w:t xml:space="preserve"> </w:t>
      </w:r>
      <w:r>
        <w:t xml:space="preserve">hve</w:t>
      </w:r>
      <w:r>
        <w:t xml:space="preserve"> </w:t>
      </w:r>
      <w:r>
        <w:rPr>
          <w:iCs/>
          <w:i/>
        </w:rPr>
        <w:t xml:space="preserve">with saṃprasāraṇa, then</w:t>
      </w:r>
      <w:r>
        <w:t xml:space="preserve"> </w:t>
      </w:r>
      <w:r>
        <w:t xml:space="preserve">kvip</w:t>
      </w:r>
      <w:r>
        <w:t xml:space="preserve"> </w:t>
      </w:r>
      <w:r>
        <w:rPr>
          <w:iCs/>
          <w:i/>
        </w:rPr>
        <w:t xml:space="preserve">with</w:t>
      </w:r>
      <w:r>
        <w:t xml:space="preserve"> </w:t>
      </w:r>
      <w:r>
        <w:t xml:space="preserve">tuk</w:t>
      </w:r>
      <w:r>
        <w:rPr>
          <w:iCs/>
          <w:i/>
        </w:rPr>
        <w:t xml:space="preserve">;</w:t>
      </w:r>
      <w:r>
        <w:t xml:space="preserve"> </w:t>
      </w:r>
      <w:r>
        <w:t xml:space="preserve">hūmahe</w:t>
      </w:r>
      <w:r>
        <w:t xml:space="preserve"> </w:t>
      </w:r>
      <w:r>
        <w:rPr>
          <w:iCs/>
          <w:i/>
        </w:rPr>
        <w:t xml:space="preserve">— with saṃprasāraṇa, and the loss of</w:t>
      </w:r>
      <w:r>
        <w:t xml:space="preserve"> </w:t>
      </w:r>
      <w:r>
        <w:t xml:space="preserve">śap</w:t>
      </w:r>
      <w:r>
        <w:t xml:space="preserve"> </w:t>
      </w:r>
      <w:r>
        <w:rPr>
          <w:iCs/>
          <w:i/>
        </w:rPr>
        <w:t xml:space="preserve">by</w:t>
      </w:r>
      <w:r>
        <w:t xml:space="preserve"> </w:t>
      </w:r>
      <w:r>
        <w:t xml:space="preserve">bahulaṃ chandasi</w:t>
      </w:r>
      <w:r>
        <w:rPr>
          <w:iCs/>
          <w:i/>
        </w:rPr>
        <w:t xml:space="preserve">;</w:t>
      </w:r>
      <w:r>
        <w:t xml:space="preserve"> </w:t>
      </w:r>
      <w:r>
        <w:t xml:space="preserve">ūtim</w:t>
      </w:r>
      <w:r>
        <w:t xml:space="preserve"> </w:t>
      </w:r>
      <w:r>
        <w:rPr>
          <w:iCs/>
          <w:i/>
        </w:rPr>
        <w:t xml:space="preserve">— final-udātta by the irregular formation</w:t>
      </w:r>
      <w:r>
        <w:rPr>
          <w:iCs/>
          <w:i/>
        </w:rPr>
        <w:t xml:space="preserve"> </w:t>
      </w:r>
      <w:r>
        <w:rPr>
          <w:iCs/>
          <w:i/>
        </w:rPr>
        <w:t xml:space="preserve">“</w:t>
      </w:r>
      <w:r>
        <w:rPr>
          <w:iCs/>
          <w:i/>
        </w:rPr>
        <w:t xml:space="preserve">ūtiyūti…</w:t>
      </w:r>
      <w:r>
        <w:rPr>
          <w:iCs/>
          <w:i/>
        </w:rPr>
        <w:t xml:space="preserve">”</w:t>
      </w:r>
      <w:r>
        <w:rPr>
          <w:iCs/>
          <w:i/>
        </w:rPr>
        <w:t xml:space="preserve">;</w:t>
      </w:r>
      <w:r>
        <w:t xml:space="preserve"> </w:t>
      </w:r>
      <w:r>
        <w:t xml:space="preserve">sahasrasātamām</w:t>
      </w:r>
      <w:r>
        <w:t xml:space="preserve"> </w:t>
      </w:r>
      <w:r>
        <w:rPr>
          <w:iCs/>
          <w:i/>
        </w:rPr>
        <w:t xml:space="preserve">— root</w:t>
      </w:r>
      <w:r>
        <w:t xml:space="preserve"> </w:t>
      </w:r>
      <w:r>
        <w:t xml:space="preserve">ṣaṇu dāne</w:t>
      </w:r>
      <w:r>
        <w:t xml:space="preserve"> </w:t>
      </w:r>
      <w:r>
        <w:rPr>
          <w:iCs/>
          <w:i/>
        </w:rPr>
        <w:t xml:space="preserve">with</w:t>
      </w:r>
      <w:r>
        <w:t xml:space="preserve"> </w:t>
      </w:r>
      <w:r>
        <w:t xml:space="preserve">viṭ</w:t>
      </w:r>
      <w:r>
        <w:rPr>
          <w:iCs/>
          <w:i/>
        </w:rPr>
        <w:t xml:space="preserve">, the</w:t>
      </w:r>
      <w:r>
        <w:t xml:space="preserve"> </w:t>
      </w:r>
      <w:r>
        <w:t xml:space="preserve">ā</w:t>
      </w:r>
      <w:r>
        <w:t xml:space="preserve"> </w:t>
      </w:r>
      <w:r>
        <w:rPr>
          <w:iCs/>
          <w:i/>
        </w:rPr>
        <w:t xml:space="preserve">for the nasal, the second-member accent, and</w:t>
      </w:r>
      <w:r>
        <w:t xml:space="preserve"> </w:t>
      </w:r>
      <w:r>
        <w:t xml:space="preserve">tamap</w:t>
      </w:r>
      <w:r>
        <w:t xml:space="preserve"> </w:t>
      </w:r>
      <w:r>
        <w:rPr>
          <w:iCs/>
          <w:i/>
        </w:rPr>
        <w:t xml:space="preserve">unaccented as</w:t>
      </w:r>
      <w:r>
        <w:t xml:space="preserve"> </w:t>
      </w:r>
      <w:r>
        <w:t xml:space="preserve">pit</w:t>
      </w:r>
      <w:r>
        <w:rPr>
          <w:iCs/>
          <w:i/>
        </w:rPr>
        <w:t xml:space="preserve">.)</w:t>
      </w:r>
    </w:p>
    <w:p>
      <w:pPr>
        <w:pStyle w:val="BodyText"/>
      </w:pPr>
      <w:r>
        <w:rPr>
          <w:bCs/>
          <w:b/>
        </w:rPr>
        <w:t xml:space="preserve">॥ Prati-padārthaḥ ॥</w:t>
      </w:r>
    </w:p>
    <w:p>
      <w:pPr>
        <w:pStyle w:val="BodyText"/>
      </w:pPr>
      <w:r>
        <w:rPr>
          <w:bCs/>
          <w:b/>
        </w:rPr>
        <w:t xml:space="preserve">(हे) इन्द्र ((he) indra)</w:t>
      </w:r>
      <w:r>
        <w:t xml:space="preserve"> </w:t>
      </w:r>
      <w:r>
        <w:t xml:space="preserve">— O Indra |</w:t>
      </w:r>
      <w:r>
        <w:t xml:space="preserve"> </w:t>
      </w:r>
      <w:r>
        <w:rPr>
          <w:bCs/>
          <w:b/>
        </w:rPr>
        <w:t xml:space="preserve">त्वाम् (tvām)</w:t>
      </w:r>
      <w:r>
        <w:t xml:space="preserve"> </w:t>
      </w:r>
      <w:r>
        <w:t xml:space="preserve">— you |</w:t>
      </w:r>
      <w:r>
        <w:t xml:space="preserve"> </w:t>
      </w:r>
      <w:r>
        <w:rPr>
          <w:bCs/>
          <w:b/>
        </w:rPr>
        <w:t xml:space="preserve">वृषन्तमम् (vṛṣantamam)</w:t>
      </w:r>
      <w:r>
        <w:t xml:space="preserve"> </w:t>
      </w:r>
      <w:r>
        <w:t xml:space="preserve">— (as the bestower of desired things) the giver of rain |</w:t>
      </w:r>
      <w:r>
        <w:t xml:space="preserve"> </w:t>
      </w:r>
      <w:r>
        <w:rPr>
          <w:bCs/>
          <w:b/>
        </w:rPr>
        <w:t xml:space="preserve">वाजेषु (vājeṣu)</w:t>
      </w:r>
      <w:r>
        <w:t xml:space="preserve"> </w:t>
      </w:r>
      <w:r>
        <w:t xml:space="preserve">— in battles |</w:t>
      </w:r>
      <w:r>
        <w:t xml:space="preserve"> </w:t>
      </w:r>
      <w:r>
        <w:rPr>
          <w:bCs/>
          <w:b/>
        </w:rPr>
        <w:t xml:space="preserve">हवनश्रुतम् (havanaśrutam)</w:t>
      </w:r>
      <w:r>
        <w:t xml:space="preserve"> </w:t>
      </w:r>
      <w:r>
        <w:t xml:space="preserve">— one who hears our invocation (our cry for help) |</w:t>
      </w:r>
      <w:r>
        <w:t xml:space="preserve"> </w:t>
      </w:r>
      <w:r>
        <w:rPr>
          <w:bCs/>
          <w:b/>
        </w:rPr>
        <w:t xml:space="preserve">विद्म (vidma)</w:t>
      </w:r>
      <w:r>
        <w:t xml:space="preserve"> </w:t>
      </w:r>
      <w:r>
        <w:t xml:space="preserve">— we know |</w:t>
      </w:r>
      <w:r>
        <w:t xml:space="preserve"> </w:t>
      </w:r>
      <w:r>
        <w:rPr>
          <w:bCs/>
          <w:b/>
        </w:rPr>
        <w:t xml:space="preserve">हि (hi)</w:t>
      </w:r>
      <w:r>
        <w:t xml:space="preserve"> </w:t>
      </w:r>
      <w:r>
        <w:t xml:space="preserve">— indeed |</w:t>
      </w:r>
      <w:r>
        <w:t xml:space="preserve"> </w:t>
      </w:r>
      <w:r>
        <w:rPr>
          <w:bCs/>
          <w:b/>
        </w:rPr>
        <w:t xml:space="preserve">वृषन्तमस्य (vṛṣantamasya)</w:t>
      </w:r>
      <w:r>
        <w:t xml:space="preserve"> </w:t>
      </w:r>
      <w:r>
        <w:t xml:space="preserve">— of you, who rain down desires |</w:t>
      </w:r>
      <w:r>
        <w:t xml:space="preserve"> </w:t>
      </w:r>
      <w:r>
        <w:rPr>
          <w:bCs/>
          <w:b/>
        </w:rPr>
        <w:t xml:space="preserve">सहस्रसातमाम् (sahasrasātamām)</w:t>
      </w:r>
      <w:r>
        <w:t xml:space="preserve"> </w:t>
      </w:r>
      <w:r>
        <w:t xml:space="preserve">— which gives in thousands of ways |</w:t>
      </w:r>
      <w:r>
        <w:t xml:space="preserve"> </w:t>
      </w:r>
      <w:r>
        <w:rPr>
          <w:bCs/>
          <w:b/>
        </w:rPr>
        <w:t xml:space="preserve">ऊतिम् (ūtim)</w:t>
      </w:r>
      <w:r>
        <w:t xml:space="preserve"> </w:t>
      </w:r>
      <w:r>
        <w:t xml:space="preserve">— protection (or, for our protection) |</w:t>
      </w:r>
      <w:r>
        <w:t xml:space="preserve"> </w:t>
      </w:r>
      <w:r>
        <w:rPr>
          <w:bCs/>
          <w:b/>
        </w:rPr>
        <w:t xml:space="preserve">हूमहे (hūmahe)</w:t>
      </w:r>
      <w:r>
        <w:t xml:space="preserve"> </w:t>
      </w:r>
      <w:r>
        <w:t xml:space="preserve">— we call (we pray for).</w:t>
      </w:r>
    </w:p>
    <w:p>
      <w:pPr>
        <w:pStyle w:val="BodyText"/>
      </w:pPr>
      <w:r>
        <w:rPr>
          <w:bCs/>
          <w:b/>
        </w:rPr>
        <w:t xml:space="preserve">॥ Bhāvārthaḥ ॥</w:t>
      </w:r>
    </w:p>
    <w:p>
      <w:pPr>
        <w:pStyle w:val="BodyText"/>
      </w:pPr>
      <w:r>
        <w:t xml:space="preserve">O Indra! We know you as the giver of desired things and as one who hears our call in battles. Therefore, for your manifold protection, you who are the giver of rain in the form of desired things, we call upon you.</w:t>
      </w:r>
    </w:p>
    <w:p>
      <w:pPr>
        <w:pStyle w:val="BodyText"/>
      </w:pPr>
      <w:r>
        <w:rPr>
          <w:bCs/>
          <w:b/>
        </w:rPr>
        <w:t xml:space="preserve">॥ English Translation ॥</w:t>
      </w:r>
      <w:r>
        <w:t xml:space="preserve"> </w:t>
      </w:r>
      <w:r>
        <w:rPr>
          <w:iCs/>
          <w:i/>
        </w:rPr>
        <w:t xml:space="preserve">(as printed in the source)</w:t>
      </w:r>
    </w:p>
    <w:p>
      <w:pPr>
        <w:pStyle w:val="BlockText"/>
      </w:pPr>
      <w:r>
        <w:t xml:space="preserve">O Indra, we know you, the rainer of blessings, the hearer of our call in battles; we invoke the thousand-fold protection of you, the showerer of bounties.</w:t>
      </w:r>
    </w:p>
    <w:bookmarkEnd w:id="449"/>
    <w:bookmarkStart w:id="450" w:name="Xf66f911b0ed08cc1fca5e38a8c23dbaed18c475"/>
    <w:p>
      <w:pPr>
        <w:pStyle w:val="Heading3"/>
      </w:pPr>
      <w:r>
        <w:t xml:space="preserve">Pages 437–438 — Rik 10: Special Topics and grammar</w:t>
      </w:r>
    </w:p>
    <w:p>
      <w:pPr>
        <w:pStyle w:val="FirstParagraph"/>
      </w:pPr>
      <w:r>
        <w:rPr>
          <w:bCs/>
          <w:b/>
        </w:rPr>
        <w:t xml:space="preserve">॥ Viśeṣa-viṣayagaḷu (Special Topics) ॥</w:t>
      </w:r>
    </w:p>
    <w:p>
      <w:pPr>
        <w:pStyle w:val="BodyText"/>
      </w:pPr>
      <w:r>
        <w:t xml:space="preserve">The sense of this rik is easy to understand. There are no special difficulties, and no words that need supplying.</w:t>
      </w:r>
    </w:p>
    <w:p>
      <w:pPr>
        <w:pStyle w:val="BodyText"/>
      </w:pPr>
      <w:r>
        <w:rPr>
          <w:bCs/>
          <w:b/>
        </w:rPr>
        <w:t xml:space="preserve">“</w:t>
      </w:r>
      <w:r>
        <w:rPr>
          <w:bCs/>
          <w:b/>
        </w:rPr>
        <w:t xml:space="preserve">Vidma</w:t>
      </w:r>
      <w:r>
        <w:rPr>
          <w:bCs/>
          <w:b/>
        </w:rPr>
        <w:t xml:space="preserve">”</w:t>
      </w:r>
      <w:r>
        <w:t xml:space="preserve"> </w:t>
      </w:r>
      <w:r>
        <w:t xml:space="preserve">— the final syllable is lengthened for the convenience of the meter in the Saṃhitā.</w:t>
      </w:r>
    </w:p>
    <w:p>
      <w:pPr>
        <w:pStyle w:val="BodyText"/>
      </w:pPr>
      <w:r>
        <w:rPr>
          <w:bCs/>
          <w:b/>
        </w:rPr>
        <w:t xml:space="preserve">“</w:t>
      </w:r>
      <w:r>
        <w:rPr>
          <w:bCs/>
          <w:b/>
        </w:rPr>
        <w:t xml:space="preserve">Vṛṣantamam,</w:t>
      </w:r>
      <w:r>
        <w:rPr>
          <w:bCs/>
          <w:b/>
        </w:rPr>
        <w:t xml:space="preserve">”</w:t>
      </w:r>
      <w:r>
        <w:rPr>
          <w:bCs/>
          <w:b/>
        </w:rPr>
        <w:t xml:space="preserve"> </w:t>
      </w:r>
      <w:r>
        <w:rPr>
          <w:bCs/>
          <w:b/>
        </w:rPr>
        <w:t xml:space="preserve">“</w:t>
      </w:r>
      <w:r>
        <w:rPr>
          <w:bCs/>
          <w:b/>
        </w:rPr>
        <w:t xml:space="preserve">vṛṣantamasya</w:t>
      </w:r>
      <w:r>
        <w:rPr>
          <w:bCs/>
          <w:b/>
        </w:rPr>
        <w:t xml:space="preserve">”</w:t>
      </w:r>
      <w:r>
        <w:t xml:space="preserve"> </w:t>
      </w:r>
      <w:r>
        <w:t xml:space="preserve">—</w:t>
      </w:r>
      <w:r>
        <w:t xml:space="preserve"> </w:t>
      </w:r>
      <w:r>
        <w:rPr>
          <w:iCs/>
          <w:i/>
        </w:rPr>
        <w:t xml:space="preserve">vṛṣṭi-prada</w:t>
      </w:r>
      <w:r>
        <w:t xml:space="preserve">,</w:t>
      </w:r>
      <w:r>
        <w:t xml:space="preserve"> </w:t>
      </w:r>
      <w:r>
        <w:t xml:space="preserve">“</w:t>
      </w:r>
      <w:r>
        <w:t xml:space="preserve">bestower of rain</w:t>
      </w:r>
      <w:r>
        <w:t xml:space="preserve">”</w:t>
      </w:r>
      <w:r>
        <w:t xml:space="preserve">; that is, the one who gives us the rain in the form of desired ends.</w:t>
      </w:r>
    </w:p>
    <w:p>
      <w:pPr>
        <w:pStyle w:val="BodyText"/>
      </w:pPr>
      <w:r>
        <w:rPr>
          <w:bCs/>
          <w:b/>
        </w:rPr>
        <w:t xml:space="preserve">“</w:t>
      </w:r>
      <w:r>
        <w:rPr>
          <w:bCs/>
          <w:b/>
        </w:rPr>
        <w:t xml:space="preserve">Havanaśrutam</w:t>
      </w:r>
      <w:r>
        <w:rPr>
          <w:bCs/>
          <w:b/>
        </w:rPr>
        <w:t xml:space="preserve">”</w:t>
      </w:r>
      <w:r>
        <w:t xml:space="preserve"> </w:t>
      </w:r>
      <w:r>
        <w:t xml:space="preserve">— one who hears our invocation, who attends to our cry.</w:t>
      </w:r>
    </w:p>
    <w:p>
      <w:pPr>
        <w:pStyle w:val="BodyText"/>
      </w:pPr>
      <w:r>
        <w:rPr>
          <w:bCs/>
          <w:b/>
        </w:rPr>
        <w:t xml:space="preserve">“</w:t>
      </w:r>
      <w:r>
        <w:rPr>
          <w:bCs/>
          <w:b/>
        </w:rPr>
        <w:t xml:space="preserve">Sahasrasātamām</w:t>
      </w:r>
      <w:r>
        <w:rPr>
          <w:bCs/>
          <w:b/>
        </w:rPr>
        <w:t xml:space="preserve">”</w:t>
      </w:r>
      <w:r>
        <w:t xml:space="preserve"> </w:t>
      </w:r>
      <w:r>
        <w:t xml:space="preserve">— the explanation of this word was already given earlier (see</w:t>
      </w:r>
      <w:r>
        <w:t xml:space="preserve"> </w:t>
      </w:r>
      <w:r>
        <w:t xml:space="preserve">“</w:t>
      </w:r>
      <w:r>
        <w:t xml:space="preserve">Ṛ. Saṃ. 1-3-9</w:t>
      </w:r>
      <w:r>
        <w:t xml:space="preserve">”</w:t>
      </w:r>
      <w:r>
        <w:t xml:space="preserve"> </w:t>
      </w:r>
      <w:r>
        <w:t xml:space="preserve">as printed [?]; the word was explained at Sūkta 9, Ṛk 8).</w:t>
      </w:r>
    </w:p>
    <w:p>
      <w:pPr>
        <w:pStyle w:val="BodyText"/>
      </w:pPr>
      <w:r>
        <w:rPr>
          <w:bCs/>
          <w:b/>
        </w:rPr>
        <w:t xml:space="preserve">॥ Vyākaraṇa-prakriyā ॥</w:t>
      </w:r>
      <w:r>
        <w:t xml:space="preserve"> </w:t>
      </w:r>
      <w:r>
        <w:rPr>
          <w:iCs/>
          <w:i/>
        </w:rPr>
        <w:t xml:space="preserve">(grammar pages 437–438, noted briefly)</w:t>
      </w:r>
    </w:p>
    <w:p>
      <w:pPr>
        <w:pStyle w:val="BodyText"/>
      </w:pPr>
      <w:r>
        <w:rPr>
          <w:bCs/>
          <w:b/>
        </w:rPr>
        <w:t xml:space="preserve">विद्म (</w:t>
      </w:r>
      <w:r>
        <w:rPr>
          <w:iCs/>
          <w:i/>
          <w:bCs/>
          <w:b/>
        </w:rPr>
        <w:t xml:space="preserve">vidma</w:t>
      </w:r>
      <w:r>
        <w:rPr>
          <w:bCs/>
          <w:b/>
        </w:rPr>
        <w:t xml:space="preserve">)</w:t>
      </w:r>
      <w:r>
        <w:t xml:space="preserve"> </w:t>
      </w:r>
      <w:r>
        <w:t xml:space="preserve">— root</w:t>
      </w:r>
      <w:r>
        <w:t xml:space="preserve"> </w:t>
      </w:r>
      <w:r>
        <w:rPr>
          <w:iCs/>
          <w:i/>
        </w:rPr>
        <w:t xml:space="preserve">vida jñāne</w:t>
      </w:r>
      <w:r>
        <w:t xml:space="preserve"> </w:t>
      </w:r>
      <w:r>
        <w:t xml:space="preserve">(</w:t>
      </w:r>
      <w:r>
        <w:t xml:space="preserve">“</w:t>
      </w:r>
      <w:r>
        <w:t xml:space="preserve">to know</w:t>
      </w:r>
      <w:r>
        <w:t xml:space="preserve">”</w:t>
      </w:r>
      <w:r>
        <w:t xml:space="preserve">) with</w:t>
      </w:r>
      <w:r>
        <w:t xml:space="preserve"> </w:t>
      </w:r>
      <w:r>
        <w:rPr>
          <w:iCs/>
          <w:i/>
        </w:rPr>
        <w:t xml:space="preserve">laṭ</w:t>
      </w:r>
      <w:r>
        <w:t xml:space="preserve">; in the parasmaipada the first-person plural</w:t>
      </w:r>
      <w:r>
        <w:t xml:space="preserve"> </w:t>
      </w:r>
      <w:r>
        <w:rPr>
          <w:iCs/>
          <w:i/>
        </w:rPr>
        <w:t xml:space="preserve">mas</w:t>
      </w:r>
      <w:r>
        <w:t xml:space="preserve">;</w:t>
      </w:r>
      <w:r>
        <w:t xml:space="preserve"> </w:t>
      </w:r>
      <w:r>
        <w:rPr>
          <w:iCs/>
          <w:i/>
        </w:rPr>
        <w:t xml:space="preserve">śap</w:t>
      </w:r>
      <w:r>
        <w:t xml:space="preserve"> </w:t>
      </w:r>
      <w:r>
        <w:t xml:space="preserve">is dropped by</w:t>
      </w:r>
      <w:r>
        <w:t xml:space="preserve"> </w:t>
      </w:r>
      <w:r>
        <w:rPr>
          <w:iCs/>
          <w:i/>
        </w:rPr>
        <w:t xml:space="preserve">luk</w:t>
      </w:r>
      <w:r>
        <w:t xml:space="preserve"> </w:t>
      </w:r>
      <w:r>
        <w:t xml:space="preserve">(</w:t>
      </w:r>
      <w:r>
        <w:t xml:space="preserve">“</w:t>
      </w:r>
      <w:r>
        <w:t xml:space="preserve">adiprabhṛtibhyaḥ śapaḥ,</w:t>
      </w:r>
      <w:r>
        <w:t xml:space="preserve">”</w:t>
      </w:r>
      <w:r>
        <w:t xml:space="preserve"> </w:t>
      </w:r>
      <w:r>
        <w:t xml:space="preserve">Pā. 2-4-72);</w:t>
      </w:r>
      <w:r>
        <w:t xml:space="preserve"> </w:t>
      </w:r>
      <w:r>
        <w:t xml:space="preserve">“</w:t>
      </w:r>
      <w:r>
        <w:t xml:space="preserve">vido laṭo vā</w:t>
      </w:r>
      <w:r>
        <w:t xml:space="preserve">”</w:t>
      </w:r>
      <w:r>
        <w:t xml:space="preserve"> </w:t>
      </w:r>
      <w:r>
        <w:t xml:space="preserve">(Pā. 3-4-83): for the nine parasmaipada endings of</w:t>
      </w:r>
      <w:r>
        <w:t xml:space="preserve"> </w:t>
      </w:r>
      <w:r>
        <w:rPr>
          <w:iCs/>
          <w:i/>
        </w:rPr>
        <w:t xml:space="preserve">laṭ</w:t>
      </w:r>
      <w:r>
        <w:t xml:space="preserve"> </w:t>
      </w:r>
      <w:r>
        <w:t xml:space="preserve">after</w:t>
      </w:r>
      <w:r>
        <w:t xml:space="preserve"> </w:t>
      </w:r>
      <w:r>
        <w:rPr>
          <w:iCs/>
          <w:i/>
        </w:rPr>
        <w:t xml:space="preserve">vid</w:t>
      </w:r>
      <w:r>
        <w:t xml:space="preserve"> </w:t>
      </w:r>
      <w:r>
        <w:t xml:space="preserve">the substitutes</w:t>
      </w:r>
      <w:r>
        <w:t xml:space="preserve"> </w:t>
      </w:r>
      <w:r>
        <w:rPr>
          <w:iCs/>
          <w:i/>
        </w:rPr>
        <w:t xml:space="preserve">ṇal, atus, us, thal, athus, a, ṇal, va, ma</w:t>
      </w:r>
      <w:r>
        <w:t xml:space="preserve"> </w:t>
      </w:r>
      <w:r>
        <w:t xml:space="preserve">are optionally given, so</w:t>
      </w:r>
      <w:r>
        <w:t xml:space="preserve"> </w:t>
      </w:r>
      <w:r>
        <w:rPr>
          <w:iCs/>
          <w:i/>
        </w:rPr>
        <w:t xml:space="preserve">mas</w:t>
      </w:r>
      <w:r>
        <w:t xml:space="preserve"> </w:t>
      </w:r>
      <w:r>
        <w:t xml:space="preserve">→</w:t>
      </w:r>
      <w:r>
        <w:t xml:space="preserve"> </w:t>
      </w:r>
      <w:r>
        <w:rPr>
          <w:iCs/>
          <w:i/>
        </w:rPr>
        <w:t xml:space="preserve">ma</w:t>
      </w:r>
      <w:r>
        <w:t xml:space="preserve">, giving</w:t>
      </w:r>
      <w:r>
        <w:t xml:space="preserve"> </w:t>
      </w:r>
      <w:r>
        <w:rPr>
          <w:iCs/>
          <w:i/>
        </w:rPr>
        <w:t xml:space="preserve">vidma</w:t>
      </w:r>
      <w:r>
        <w:t xml:space="preserve">; the Saṃhitā lengthening by</w:t>
      </w:r>
      <w:r>
        <w:t xml:space="preserve"> </w:t>
      </w:r>
      <w:r>
        <w:t xml:space="preserve">“</w:t>
      </w:r>
      <w:r>
        <w:t xml:space="preserve">dvyaco ’tastiṅaḥ</w:t>
      </w:r>
      <w:r>
        <w:t xml:space="preserve">”</w:t>
      </w:r>
      <w:r>
        <w:t xml:space="preserve"> </w:t>
      </w:r>
      <w:r>
        <w:t xml:space="preserve">(Pā. 6-3-135),</w:t>
      </w:r>
      <w:r>
        <w:t xml:space="preserve"> </w:t>
      </w:r>
      <w:r>
        <w:rPr>
          <w:iCs/>
          <w:i/>
        </w:rPr>
        <w:t xml:space="preserve">vidmā</w:t>
      </w:r>
      <w:r>
        <w:t xml:space="preserve">.</w:t>
      </w:r>
      <w:r>
        <w:t xml:space="preserve"> </w:t>
      </w:r>
      <w:r>
        <w:rPr>
          <w:bCs/>
          <w:b/>
        </w:rPr>
        <w:t xml:space="preserve">वृषन्तमम् (</w:t>
      </w:r>
      <w:r>
        <w:rPr>
          <w:iCs/>
          <w:i/>
          <w:bCs/>
          <w:b/>
        </w:rPr>
        <w:t xml:space="preserve">vṛṣantamam</w:t>
      </w:r>
      <w:r>
        <w:rPr>
          <w:bCs/>
          <w:b/>
        </w:rPr>
        <w:t xml:space="preserve">)</w:t>
      </w:r>
      <w:r>
        <w:t xml:space="preserve"> </w:t>
      </w:r>
      <w:r>
        <w:t xml:space="preserve">— root</w:t>
      </w:r>
      <w:r>
        <w:t xml:space="preserve"> </w:t>
      </w:r>
      <w:r>
        <w:rPr>
          <w:iCs/>
          <w:i/>
        </w:rPr>
        <w:t xml:space="preserve">pṛṣu, vṛṣu, mṛṣu secane</w:t>
      </w:r>
      <w:r>
        <w:t xml:space="preserve">;</w:t>
      </w:r>
      <w:r>
        <w:t xml:space="preserve"> </w:t>
      </w:r>
      <w:r>
        <w:rPr>
          <w:iCs/>
          <w:i/>
        </w:rPr>
        <w:t xml:space="preserve">kanin</w:t>
      </w:r>
      <w:r>
        <w:t xml:space="preserve"> </w:t>
      </w:r>
      <w:r>
        <w:t xml:space="preserve">by</w:t>
      </w:r>
      <w:r>
        <w:t xml:space="preserve"> </w:t>
      </w:r>
      <w:r>
        <w:t xml:space="preserve">“</w:t>
      </w:r>
      <w:r>
        <w:t xml:space="preserve">kaninyuvṛṣitakṣirājidhanvidyupratidivaḥ</w:t>
      </w:r>
      <w:r>
        <w:t xml:space="preserve">”</w:t>
      </w:r>
      <w:r>
        <w:t xml:space="preserve"> </w:t>
      </w:r>
      <w:r>
        <w:t xml:space="preserve">(Uṇ. 1-154 [as printed]; the bhāṣya gives 1-156); the</w:t>
      </w:r>
      <w:r>
        <w:t xml:space="preserve"> </w:t>
      </w:r>
      <w:r>
        <w:rPr>
          <w:iCs/>
          <w:i/>
        </w:rPr>
        <w:t xml:space="preserve">k</w:t>
      </w:r>
      <w:r>
        <w:t xml:space="preserve"> </w:t>
      </w:r>
      <w:r>
        <w:t xml:space="preserve">and</w:t>
      </w:r>
      <w:r>
        <w:t xml:space="preserve"> </w:t>
      </w:r>
      <w:r>
        <w:rPr>
          <w:iCs/>
          <w:i/>
        </w:rPr>
        <w:t xml:space="preserve">n</w:t>
      </w:r>
      <w:r>
        <w:t xml:space="preserve"> </w:t>
      </w:r>
      <w:r>
        <w:t xml:space="preserve">of</w:t>
      </w:r>
      <w:r>
        <w:t xml:space="preserve"> </w:t>
      </w:r>
      <w:r>
        <w:rPr>
          <w:iCs/>
          <w:i/>
        </w:rPr>
        <w:t xml:space="preserve">kanin</w:t>
      </w:r>
      <w:r>
        <w:t xml:space="preserve"> </w:t>
      </w:r>
      <w:r>
        <w:t xml:space="preserve">are lost as</w:t>
      </w:r>
      <w:r>
        <w:t xml:space="preserve"> </w:t>
      </w:r>
      <w:r>
        <w:rPr>
          <w:iCs/>
          <w:i/>
        </w:rPr>
        <w:t xml:space="preserve">it</w:t>
      </w:r>
      <w:r>
        <w:t xml:space="preserve">, leaving</w:t>
      </w:r>
      <w:r>
        <w:t xml:space="preserve"> </w:t>
      </w:r>
      <w:r>
        <w:rPr>
          <w:iCs/>
          <w:i/>
        </w:rPr>
        <w:t xml:space="preserve">vṛṣ</w:t>
      </w:r>
      <w:r>
        <w:t xml:space="preserve"> </w:t>
      </w:r>
      <w:r>
        <w:t xml:space="preserve">+</w:t>
      </w:r>
      <w:r>
        <w:t xml:space="preserve"> </w:t>
      </w:r>
      <w:r>
        <w:rPr>
          <w:iCs/>
          <w:i/>
        </w:rPr>
        <w:t xml:space="preserve">an</w:t>
      </w:r>
      <w:r>
        <w:t xml:space="preserve"> </w:t>
      </w:r>
      <w:r>
        <w:t xml:space="preserve">→</w:t>
      </w:r>
      <w:r>
        <w:t xml:space="preserve"> </w:t>
      </w:r>
      <w:r>
        <w:rPr>
          <w:iCs/>
          <w:i/>
        </w:rPr>
        <w:t xml:space="preserve">vṛṣan</w:t>
      </w:r>
      <w:r>
        <w:t xml:space="preserve">; initial-udātta since</w:t>
      </w:r>
      <w:r>
        <w:t xml:space="preserve"> </w:t>
      </w:r>
      <w:r>
        <w:rPr>
          <w:iCs/>
          <w:i/>
        </w:rPr>
        <w:t xml:space="preserve">nit</w:t>
      </w:r>
      <w:r>
        <w:t xml:space="preserve">; then</w:t>
      </w:r>
      <w:r>
        <w:t xml:space="preserve"> </w:t>
      </w:r>
      <w:r>
        <w:rPr>
          <w:iCs/>
          <w:i/>
        </w:rPr>
        <w:t xml:space="preserve">tamap</w:t>
      </w:r>
      <w:r>
        <w:t xml:space="preserve"> </w:t>
      </w:r>
      <w:r>
        <w:t xml:space="preserve">in the sense of excess, unaccented since</w:t>
      </w:r>
      <w:r>
        <w:t xml:space="preserve"> </w:t>
      </w:r>
      <w:r>
        <w:rPr>
          <w:iCs/>
          <w:i/>
        </w:rPr>
        <w:t xml:space="preserve">pit</w:t>
      </w:r>
      <w:r>
        <w:t xml:space="preserve"> </w:t>
      </w:r>
      <w:r>
        <w:t xml:space="preserve">(so the initial-udātta stands); by</w:t>
      </w:r>
      <w:r>
        <w:t xml:space="preserve"> </w:t>
      </w:r>
      <w:r>
        <w:t xml:space="preserve">“</w:t>
      </w:r>
      <w:r>
        <w:t xml:space="preserve">ayasmayādīni chandasi</w:t>
      </w:r>
      <w:r>
        <w:t xml:space="preserve">”</w:t>
      </w:r>
      <w:r>
        <w:t xml:space="preserve"> </w:t>
      </w:r>
      <w:r>
        <w:t xml:space="preserve">(Pā. 1-4-20) the</w:t>
      </w:r>
      <w:r>
        <w:t xml:space="preserve"> </w:t>
      </w:r>
      <w:r>
        <w:rPr>
          <w:iCs/>
          <w:i/>
        </w:rPr>
        <w:t xml:space="preserve">bha</w:t>
      </w:r>
      <w:r>
        <w:t xml:space="preserve"> </w:t>
      </w:r>
      <w:r>
        <w:t xml:space="preserve">status prevents the</w:t>
      </w:r>
      <w:r>
        <w:t xml:space="preserve"> </w:t>
      </w:r>
      <w:r>
        <w:rPr>
          <w:iCs/>
          <w:i/>
        </w:rPr>
        <w:t xml:space="preserve">pada</w:t>
      </w:r>
      <w:r>
        <w:t xml:space="preserve"> </w:t>
      </w:r>
      <w:r>
        <w:t xml:space="preserve">status, so the</w:t>
      </w:r>
      <w:r>
        <w:t xml:space="preserve"> </w:t>
      </w:r>
      <w:r>
        <w:rPr>
          <w:iCs/>
          <w:i/>
        </w:rPr>
        <w:t xml:space="preserve">n</w:t>
      </w:r>
      <w:r>
        <w:t xml:space="preserve"> </w:t>
      </w:r>
      <w:r>
        <w:t xml:space="preserve">is not dropped by</w:t>
      </w:r>
      <w:r>
        <w:t xml:space="preserve"> </w:t>
      </w:r>
      <w:r>
        <w:t xml:space="preserve">“</w:t>
      </w:r>
      <w:r>
        <w:t xml:space="preserve">nalopaḥ prātipadikāntasya</w:t>
      </w:r>
      <w:r>
        <w:t xml:space="preserve">”</w:t>
      </w:r>
      <w:r>
        <w:t xml:space="preserve"> </w:t>
      </w:r>
      <w:r>
        <w:t xml:space="preserve">(Pā. 8-2-7).</w:t>
      </w:r>
      <w:r>
        <w:t xml:space="preserve"> </w:t>
      </w:r>
      <w:r>
        <w:rPr>
          <w:bCs/>
          <w:b/>
        </w:rPr>
        <w:t xml:space="preserve">वा (</w:t>
      </w:r>
      <w:r>
        <w:rPr>
          <w:iCs/>
          <w:i/>
          <w:bCs/>
          <w:b/>
        </w:rPr>
        <w:t xml:space="preserve">vā</w:t>
      </w:r>
      <w:r>
        <w:rPr>
          <w:bCs/>
          <w:b/>
        </w:rPr>
        <w:t xml:space="preserve">)</w:t>
      </w:r>
      <w:r>
        <w:t xml:space="preserve"> </w:t>
      </w:r>
      <w:r>
        <w:t xml:space="preserve">—</w:t>
      </w:r>
      <w:r>
        <w:t xml:space="preserve"> </w:t>
      </w:r>
      <w:r>
        <w:rPr>
          <w:iCs/>
          <w:i/>
        </w:rPr>
        <w:t xml:space="preserve">vāja</w:t>
      </w:r>
      <w:r>
        <w:t xml:space="preserve"> </w:t>
      </w:r>
      <w:r>
        <w:t xml:space="preserve">is a</w:t>
      </w:r>
      <w:r>
        <w:t xml:space="preserve"> </w:t>
      </w:r>
      <w:r>
        <w:rPr>
          <w:iCs/>
          <w:i/>
        </w:rPr>
        <w:t xml:space="preserve">vṛṣādi</w:t>
      </w:r>
      <w:r>
        <w:t xml:space="preserve"> </w:t>
      </w:r>
      <w:r>
        <w:t xml:space="preserve">word, so initial-udātta.</w:t>
      </w:r>
      <w:r>
        <w:t xml:space="preserve"> </w:t>
      </w:r>
      <w:r>
        <w:rPr>
          <w:bCs/>
          <w:b/>
        </w:rPr>
        <w:t xml:space="preserve">हवनश्रुतम् (</w:t>
      </w:r>
      <w:r>
        <w:rPr>
          <w:iCs/>
          <w:i/>
          <w:bCs/>
          <w:b/>
        </w:rPr>
        <w:t xml:space="preserve">havanaśrutam</w:t>
      </w:r>
      <w:r>
        <w:rPr>
          <w:bCs/>
          <w:b/>
        </w:rPr>
        <w:t xml:space="preserve">)</w:t>
      </w:r>
      <w:r>
        <w:t xml:space="preserve"> </w:t>
      </w:r>
      <w:r>
        <w:t xml:space="preserve">— root</w:t>
      </w:r>
      <w:r>
        <w:t xml:space="preserve"> </w:t>
      </w:r>
      <w:r>
        <w:rPr>
          <w:iCs/>
          <w:i/>
        </w:rPr>
        <w:t xml:space="preserve">hveñ</w:t>
      </w:r>
      <w:r>
        <w:t xml:space="preserve"> </w:t>
      </w:r>
      <w:r>
        <w:t xml:space="preserve">with</w:t>
      </w:r>
      <w:r>
        <w:t xml:space="preserve"> </w:t>
      </w:r>
      <w:r>
        <w:rPr>
          <w:iCs/>
          <w:i/>
        </w:rPr>
        <w:t xml:space="preserve">lyuṭ</w:t>
      </w:r>
      <w:r>
        <w:t xml:space="preserve">;</w:t>
      </w:r>
      <w:r>
        <w:t xml:space="preserve"> </w:t>
      </w:r>
      <w:r>
        <w:rPr>
          <w:iCs/>
          <w:i/>
        </w:rPr>
        <w:t xml:space="preserve">lyuṭ</w:t>
      </w:r>
      <w:r>
        <w:t xml:space="preserve"> </w:t>
      </w:r>
      <w:r>
        <w:t xml:space="preserve">→</w:t>
      </w:r>
      <w:r>
        <w:t xml:space="preserve"> </w:t>
      </w:r>
      <w:r>
        <w:rPr>
          <w:iCs/>
          <w:i/>
        </w:rPr>
        <w:t xml:space="preserve">ana</w:t>
      </w:r>
      <w:r>
        <w:t xml:space="preserve">;</w:t>
      </w:r>
      <w:r>
        <w:t xml:space="preserve"> </w:t>
      </w:r>
      <w:r>
        <w:rPr>
          <w:iCs/>
          <w:i/>
        </w:rPr>
        <w:t xml:space="preserve">hve</w:t>
      </w:r>
      <w:r>
        <w:t xml:space="preserve"> </w:t>
      </w:r>
      <w:r>
        <w:t xml:space="preserve">+</w:t>
      </w:r>
      <w:r>
        <w:t xml:space="preserve"> </w:t>
      </w:r>
      <w:r>
        <w:rPr>
          <w:iCs/>
          <w:i/>
        </w:rPr>
        <w:t xml:space="preserve">ana</w:t>
      </w:r>
      <w:r>
        <w:t xml:space="preserve">: by</w:t>
      </w:r>
      <w:r>
        <w:t xml:space="preserve"> </w:t>
      </w:r>
      <w:r>
        <w:t xml:space="preserve">“</w:t>
      </w:r>
      <w:r>
        <w:t xml:space="preserve">bahulaṃ chandasi</w:t>
      </w:r>
      <w:r>
        <w:t xml:space="preserve">”</w:t>
      </w:r>
      <w:r>
        <w:t xml:space="preserve"> </w:t>
      </w:r>
      <w:r>
        <w:t xml:space="preserve">(Pā. 6-1-34), with</w:t>
      </w:r>
      <w:r>
        <w:t xml:space="preserve"> </w:t>
      </w:r>
      <w:r>
        <w:t xml:space="preserve">“</w:t>
      </w:r>
      <w:r>
        <w:t xml:space="preserve">hvaḥ saṃprasāraṇam</w:t>
      </w:r>
      <w:r>
        <w:t xml:space="preserve">”</w:t>
      </w:r>
      <w:r>
        <w:t xml:space="preserve"> </w:t>
      </w:r>
      <w:r>
        <w:t xml:space="preserve">(Pā. 6-1-32) carried over, the</w:t>
      </w:r>
      <w:r>
        <w:t xml:space="preserve"> </w:t>
      </w:r>
      <w:r>
        <w:rPr>
          <w:iCs/>
          <w:i/>
        </w:rPr>
        <w:t xml:space="preserve">saṃprasāraṇa</w:t>
      </w:r>
      <w:r>
        <w:t xml:space="preserve"> </w:t>
      </w:r>
      <w:r>
        <w:t xml:space="preserve">of</w:t>
      </w:r>
      <w:r>
        <w:t xml:space="preserve"> </w:t>
      </w:r>
      <w:r>
        <w:rPr>
          <w:iCs/>
          <w:i/>
        </w:rPr>
        <w:t xml:space="preserve">hve</w:t>
      </w:r>
      <w:r>
        <w:t xml:space="preserve"> </w:t>
      </w:r>
      <w:r>
        <w:t xml:space="preserve">—</w:t>
      </w:r>
      <w:r>
        <w:t xml:space="preserve"> </w:t>
      </w:r>
      <w:r>
        <w:rPr>
          <w:iCs/>
          <w:i/>
        </w:rPr>
        <w:t xml:space="preserve">hu</w:t>
      </w:r>
      <w:r>
        <w:t xml:space="preserve"> </w:t>
      </w:r>
      <w:r>
        <w:t xml:space="preserve">— arises; with</w:t>
      </w:r>
      <w:r>
        <w:t xml:space="preserve"> </w:t>
      </w:r>
      <w:r>
        <w:rPr>
          <w:iCs/>
          <w:i/>
        </w:rPr>
        <w:t xml:space="preserve">pūrvarūpa</w:t>
      </w:r>
      <w:r>
        <w:t xml:space="preserve">,</w:t>
      </w:r>
      <w:r>
        <w:t xml:space="preserve"> </w:t>
      </w:r>
      <w:r>
        <w:rPr>
          <w:iCs/>
          <w:i/>
        </w:rPr>
        <w:t xml:space="preserve">guṇa</w:t>
      </w:r>
      <w:r>
        <w:t xml:space="preserve"> </w:t>
      </w:r>
      <w:r>
        <w:t xml:space="preserve">and</w:t>
      </w:r>
      <w:r>
        <w:t xml:space="preserve"> </w:t>
      </w:r>
      <w:r>
        <w:rPr>
          <w:iCs/>
          <w:i/>
        </w:rPr>
        <w:t xml:space="preserve">av</w:t>
      </w:r>
      <w:r>
        <w:t xml:space="preserve">,</w:t>
      </w:r>
      <w:r>
        <w:t xml:space="preserve"> </w:t>
      </w:r>
      <w:r>
        <w:rPr>
          <w:iCs/>
          <w:i/>
        </w:rPr>
        <w:t xml:space="preserve">havana</w:t>
      </w:r>
      <w:r>
        <w:t xml:space="preserve">;</w:t>
      </w:r>
      <w:r>
        <w:t xml:space="preserve"> </w:t>
      </w:r>
      <w:r>
        <w:t xml:space="preserve">“</w:t>
      </w:r>
      <w:r>
        <w:t xml:space="preserve">havanaṃ śṛṇoti iti</w:t>
      </w:r>
      <w:r>
        <w:t xml:space="preserve">”</w:t>
      </w:r>
      <w:r>
        <w:t xml:space="preserve">:</w:t>
      </w:r>
      <w:r>
        <w:t xml:space="preserve"> </w:t>
      </w:r>
      <w:r>
        <w:rPr>
          <w:iCs/>
          <w:i/>
        </w:rPr>
        <w:t xml:space="preserve">kvip</w:t>
      </w:r>
      <w:r>
        <w:t xml:space="preserve"> </w:t>
      </w:r>
      <w:r>
        <w:t xml:space="preserve">after the root</w:t>
      </w:r>
      <w:r>
        <w:t xml:space="preserve"> </w:t>
      </w:r>
      <w:r>
        <w:rPr>
          <w:iCs/>
          <w:i/>
        </w:rPr>
        <w:t xml:space="preserve">śru</w:t>
      </w:r>
      <w:r>
        <w:t xml:space="preserve"> </w:t>
      </w:r>
      <w:r>
        <w:t xml:space="preserve">with</w:t>
      </w:r>
      <w:r>
        <w:t xml:space="preserve"> </w:t>
      </w:r>
      <w:r>
        <w:rPr>
          <w:iCs/>
          <w:i/>
        </w:rPr>
        <w:t xml:space="preserve">havana</w:t>
      </w:r>
      <w:r>
        <w:t xml:space="preserve"> </w:t>
      </w:r>
      <w:r>
        <w:t xml:space="preserve">as</w:t>
      </w:r>
      <w:r>
        <w:t xml:space="preserve"> </w:t>
      </w:r>
      <w:r>
        <w:rPr>
          <w:iCs/>
          <w:i/>
        </w:rPr>
        <w:t xml:space="preserve">upapada</w:t>
      </w:r>
      <w:r>
        <w:t xml:space="preserve">; by</w:t>
      </w:r>
      <w:r>
        <w:t xml:space="preserve"> </w:t>
      </w:r>
      <w:r>
        <w:t xml:space="preserve">“</w:t>
      </w:r>
      <w:r>
        <w:t xml:space="preserve">hrasvasya piti kṛti tuk</w:t>
      </w:r>
      <w:r>
        <w:t xml:space="preserve">”</w:t>
      </w:r>
      <w:r>
        <w:t xml:space="preserve"> </w:t>
      </w:r>
      <w:r>
        <w:t xml:space="preserve">(Pā. 6-1-71),</w:t>
      </w:r>
      <w:r>
        <w:t xml:space="preserve"> </w:t>
      </w:r>
      <w:r>
        <w:rPr>
          <w:iCs/>
          <w:i/>
        </w:rPr>
        <w:t xml:space="preserve">tuk</w:t>
      </w:r>
      <w:r>
        <w:t xml:space="preserve">, giving</w:t>
      </w:r>
      <w:r>
        <w:t xml:space="preserve"> </w:t>
      </w:r>
      <w:r>
        <w:rPr>
          <w:iCs/>
          <w:i/>
        </w:rPr>
        <w:t xml:space="preserve">havanaśrut</w:t>
      </w:r>
      <w:r>
        <w:t xml:space="preserve">; the accusative singular</w:t>
      </w:r>
      <w:r>
        <w:t xml:space="preserve"> </w:t>
      </w:r>
      <w:r>
        <w:rPr>
          <w:iCs/>
          <w:i/>
        </w:rPr>
        <w:t xml:space="preserve">am</w:t>
      </w:r>
      <w:r>
        <w:t xml:space="preserve"> </w:t>
      </w:r>
      <w:r>
        <w:t xml:space="preserve">gives</w:t>
      </w:r>
      <w:r>
        <w:t xml:space="preserve"> </w:t>
      </w:r>
      <w:r>
        <w:rPr>
          <w:iCs/>
          <w:i/>
        </w:rPr>
        <w:t xml:space="preserve">havanaśrutam</w:t>
      </w:r>
      <w:r>
        <w:t xml:space="preserve">.</w:t>
      </w:r>
      <w:r>
        <w:t xml:space="preserve"> </w:t>
      </w:r>
      <w:r>
        <w:rPr>
          <w:bCs/>
          <w:b/>
        </w:rPr>
        <w:t xml:space="preserve">वृषन्तमस्य (</w:t>
      </w:r>
      <w:r>
        <w:rPr>
          <w:iCs/>
          <w:i/>
          <w:bCs/>
          <w:b/>
        </w:rPr>
        <w:t xml:space="preserve">vṛṣantamasya</w:t>
      </w:r>
      <w:r>
        <w:rPr>
          <w:bCs/>
          <w:b/>
        </w:rPr>
        <w:t xml:space="preserve">)</w:t>
      </w:r>
      <w:r>
        <w:t xml:space="preserve"> </w:t>
      </w:r>
      <w:r>
        <w:t xml:space="preserve">— the derivation of</w:t>
      </w:r>
      <w:r>
        <w:t xml:space="preserve"> </w:t>
      </w:r>
      <w:r>
        <w:rPr>
          <w:iCs/>
          <w:i/>
        </w:rPr>
        <w:t xml:space="preserve">vṛṣantama</w:t>
      </w:r>
      <w:r>
        <w:t xml:space="preserve"> </w:t>
      </w:r>
      <w:r>
        <w:t xml:space="preserve">was given earlier in this mantra; genitive singular.</w:t>
      </w:r>
      <w:r>
        <w:t xml:space="preserve"> </w:t>
      </w:r>
      <w:r>
        <w:rPr>
          <w:bCs/>
          <w:b/>
        </w:rPr>
        <w:t xml:space="preserve">हूमहे (</w:t>
      </w:r>
      <w:r>
        <w:rPr>
          <w:iCs/>
          <w:i/>
          <w:bCs/>
          <w:b/>
        </w:rPr>
        <w:t xml:space="preserve">hūmahe</w:t>
      </w:r>
      <w:r>
        <w:rPr>
          <w:bCs/>
          <w:b/>
        </w:rPr>
        <w:t xml:space="preserve">)</w:t>
      </w:r>
      <w:r>
        <w:t xml:space="preserve"> </w:t>
      </w:r>
      <w:r>
        <w:t xml:space="preserve">— root</w:t>
      </w:r>
      <w:r>
        <w:t xml:space="preserve"> </w:t>
      </w:r>
      <w:r>
        <w:rPr>
          <w:iCs/>
          <w:i/>
        </w:rPr>
        <w:t xml:space="preserve">hveñ spardhāyāṃ śabde ca</w:t>
      </w:r>
      <w:r>
        <w:t xml:space="preserve">;</w:t>
      </w:r>
      <w:r>
        <w:t xml:space="preserve"> </w:t>
      </w:r>
      <w:r>
        <w:rPr>
          <w:iCs/>
          <w:i/>
        </w:rPr>
        <w:t xml:space="preserve">laṭ</w:t>
      </w:r>
      <w:r>
        <w:t xml:space="preserve"> </w:t>
      </w:r>
      <w:r>
        <w:t xml:space="preserve">ātmanepada first plural</w:t>
      </w:r>
      <w:r>
        <w:t xml:space="preserve"> </w:t>
      </w:r>
      <w:r>
        <w:rPr>
          <w:iCs/>
          <w:i/>
        </w:rPr>
        <w:t xml:space="preserve">mahiṅ</w:t>
      </w:r>
      <w:r>
        <w:t xml:space="preserve">;</w:t>
      </w:r>
      <w:r>
        <w:t xml:space="preserve"> </w:t>
      </w:r>
      <w:r>
        <w:t xml:space="preserve">“</w:t>
      </w:r>
      <w:r>
        <w:t xml:space="preserve">ṭita ātmanepadānāṃ ṭere</w:t>
      </w:r>
      <w:r>
        <w:t xml:space="preserve">”</w:t>
      </w:r>
      <w:r>
        <w:t xml:space="preserve"> </w:t>
      </w:r>
      <w:r>
        <w:t xml:space="preserve">(Pā. 3-4-79 [?], printed digits unclear) gives</w:t>
      </w:r>
      <w:r>
        <w:t xml:space="preserve"> </w:t>
      </w:r>
      <w:r>
        <w:rPr>
          <w:iCs/>
          <w:i/>
        </w:rPr>
        <w:t xml:space="preserve">e</w:t>
      </w:r>
      <w:r>
        <w:t xml:space="preserve">;</w:t>
      </w:r>
      <w:r>
        <w:t xml:space="preserve"> </w:t>
      </w:r>
      <w:r>
        <w:rPr>
          <w:iCs/>
          <w:i/>
        </w:rPr>
        <w:t xml:space="preserve">śap</w:t>
      </w:r>
      <w:r>
        <w:t xml:space="preserve">, which is dropped by</w:t>
      </w:r>
      <w:r>
        <w:t xml:space="preserve"> </w:t>
      </w:r>
      <w:r>
        <w:t xml:space="preserve">“</w:t>
      </w:r>
      <w:r>
        <w:t xml:space="preserve">bahulaṃ chandasi</w:t>
      </w:r>
      <w:r>
        <w:t xml:space="preserve">”</w:t>
      </w:r>
      <w:r>
        <w:t xml:space="preserve"> </w:t>
      </w:r>
      <w:r>
        <w:t xml:space="preserve">(Pā. 2-4-73);</w:t>
      </w:r>
      <w:r>
        <w:t xml:space="preserve"> </w:t>
      </w:r>
      <w:r>
        <w:t xml:space="preserve">“</w:t>
      </w:r>
      <w:r>
        <w:t xml:space="preserve">bahulaṃ chandasi</w:t>
      </w:r>
      <w:r>
        <w:t xml:space="preserve">”</w:t>
      </w:r>
      <w:r>
        <w:t xml:space="preserve"> </w:t>
      </w:r>
      <w:r>
        <w:t xml:space="preserve">(printed</w:t>
      </w:r>
      <w:r>
        <w:t xml:space="preserve"> </w:t>
      </w:r>
      <w:r>
        <w:t xml:space="preserve">“</w:t>
      </w:r>
      <w:r>
        <w:t xml:space="preserve">6-4-34</w:t>
      </w:r>
      <w:r>
        <w:t xml:space="preserve">”</w:t>
      </w:r>
      <w:r>
        <w:t xml:space="preserve"> </w:t>
      </w:r>
      <w:r>
        <w:t xml:space="preserve">[as printed], i.e. 6-1-34) carries</w:t>
      </w:r>
      <w:r>
        <w:t xml:space="preserve"> </w:t>
      </w:r>
      <w:r>
        <w:rPr>
          <w:iCs/>
          <w:i/>
        </w:rPr>
        <w:t xml:space="preserve">saṃprasāraṇa</w:t>
      </w:r>
      <w:r>
        <w:t xml:space="preserve">; then</w:t>
      </w:r>
      <w:r>
        <w:t xml:space="preserve"> </w:t>
      </w:r>
      <w:r>
        <w:rPr>
          <w:iCs/>
          <w:i/>
        </w:rPr>
        <w:t xml:space="preserve">pūrvarūpa</w:t>
      </w:r>
      <w:r>
        <w:t xml:space="preserve"> </w:t>
      </w:r>
      <w:r>
        <w:t xml:space="preserve">by</w:t>
      </w:r>
      <w:r>
        <w:t xml:space="preserve"> </w:t>
      </w:r>
      <w:r>
        <w:t xml:space="preserve">“</w:t>
      </w:r>
      <w:r>
        <w:t xml:space="preserve">saṃprasāraṇāc ca</w:t>
      </w:r>
      <w:r>
        <w:t xml:space="preserve">”</w:t>
      </w:r>
      <w:r>
        <w:t xml:space="preserve">;</w:t>
      </w:r>
      <w:r>
        <w:t xml:space="preserve"> </w:t>
      </w:r>
      <w:r>
        <w:t xml:space="preserve">“</w:t>
      </w:r>
      <w:r>
        <w:t xml:space="preserve">halaḥ</w:t>
      </w:r>
      <w:r>
        <w:t xml:space="preserve">”</w:t>
      </w:r>
      <w:r>
        <w:t xml:space="preserve"> </w:t>
      </w:r>
      <w:r>
        <w:t xml:space="preserve">(Pā. 6-4-2) lengthens the</w:t>
      </w:r>
      <w:r>
        <w:t xml:space="preserve"> </w:t>
      </w:r>
      <w:r>
        <w:rPr>
          <w:iCs/>
          <w:i/>
        </w:rPr>
        <w:t xml:space="preserve">saṃprasāraṇa</w:t>
      </w:r>
      <w:r>
        <w:t xml:space="preserve"> </w:t>
      </w:r>
      <w:r>
        <w:t xml:space="preserve">at the end of an</w:t>
      </w:r>
      <w:r>
        <w:t xml:space="preserve"> </w:t>
      </w:r>
      <w:r>
        <w:rPr>
          <w:iCs/>
          <w:i/>
        </w:rPr>
        <w:t xml:space="preserve">aṅga</w:t>
      </w:r>
      <w:r>
        <w:t xml:space="preserve"> </w:t>
      </w:r>
      <w:r>
        <w:t xml:space="preserve">after a consonant:</w:t>
      </w:r>
      <w:r>
        <w:t xml:space="preserve"> </w:t>
      </w:r>
      <w:r>
        <w:rPr>
          <w:iCs/>
          <w:i/>
        </w:rPr>
        <w:t xml:space="preserve">hūmahe</w:t>
      </w:r>
      <w:r>
        <w:t xml:space="preserve">.</w:t>
      </w:r>
      <w:r>
        <w:t xml:space="preserve"> </w:t>
      </w:r>
      <w:r>
        <w:rPr>
          <w:bCs/>
          <w:b/>
        </w:rPr>
        <w:t xml:space="preserve">ऊतिम् (</w:t>
      </w:r>
      <w:r>
        <w:rPr>
          <w:iCs/>
          <w:i/>
          <w:bCs/>
          <w:b/>
        </w:rPr>
        <w:t xml:space="preserve">ūtim</w:t>
      </w:r>
      <w:r>
        <w:rPr>
          <w:bCs/>
          <w:b/>
        </w:rPr>
        <w:t xml:space="preserve">)</w:t>
      </w:r>
      <w:r>
        <w:t xml:space="preserve"> </w:t>
      </w:r>
      <w:r>
        <w:t xml:space="preserve">—</w:t>
      </w:r>
      <w:r>
        <w:t xml:space="preserve"> </w:t>
      </w:r>
      <w:r>
        <w:t xml:space="preserve">“</w:t>
      </w:r>
      <w:r>
        <w:t xml:space="preserve">ūtiyūtijūtisātihetikīrtayaś ca</w:t>
      </w:r>
      <w:r>
        <w:t xml:space="preserve">”</w:t>
      </w:r>
      <w:r>
        <w:t xml:space="preserve"> </w:t>
      </w:r>
      <w:r>
        <w:t xml:space="preserve">(Pā. 3-3-97): these</w:t>
      </w:r>
      <w:r>
        <w:t xml:space="preserve"> </w:t>
      </w:r>
      <w:r>
        <w:rPr>
          <w:iCs/>
          <w:i/>
        </w:rPr>
        <w:t xml:space="preserve">ktin</w:t>
      </w:r>
      <w:r>
        <w:t xml:space="preserve"> </w:t>
      </w:r>
      <w:r>
        <w:t xml:space="preserve">words are irregularly udātta on the end.</w:t>
      </w:r>
      <w:r>
        <w:t xml:space="preserve"> </w:t>
      </w:r>
      <w:r>
        <w:rPr>
          <w:bCs/>
          <w:b/>
        </w:rPr>
        <w:t xml:space="preserve">सहस्रसातमाम् (</w:t>
      </w:r>
      <w:r>
        <w:rPr>
          <w:iCs/>
          <w:i/>
          <w:bCs/>
          <w:b/>
        </w:rPr>
        <w:t xml:space="preserve">sahasrasātamām</w:t>
      </w:r>
      <w:r>
        <w:rPr>
          <w:bCs/>
          <w:b/>
        </w:rPr>
        <w:t xml:space="preserve">)</w:t>
      </w:r>
      <w:r>
        <w:t xml:space="preserve"> </w:t>
      </w:r>
      <w:r>
        <w:t xml:space="preserve">—</w:t>
      </w:r>
      <w:r>
        <w:t xml:space="preserve"> </w:t>
      </w:r>
      <w:r>
        <w:t xml:space="preserve">“</w:t>
      </w:r>
      <w:r>
        <w:t xml:space="preserve">sahasraṃ sanoti iti sahasrasāḥ</w:t>
      </w:r>
      <w:r>
        <w:t xml:space="preserve">”</w:t>
      </w:r>
      <w:r>
        <w:t xml:space="preserve">: root</w:t>
      </w:r>
      <w:r>
        <w:t xml:space="preserve"> </w:t>
      </w:r>
      <w:r>
        <w:rPr>
          <w:iCs/>
          <w:i/>
        </w:rPr>
        <w:t xml:space="preserve">ṣaṇu dāne</w:t>
      </w:r>
      <w:r>
        <w:t xml:space="preserve">;</w:t>
      </w:r>
      <w:r>
        <w:t xml:space="preserve"> </w:t>
      </w:r>
      <w:r>
        <w:rPr>
          <w:iCs/>
          <w:i/>
        </w:rPr>
        <w:t xml:space="preserve">ṣ</w:t>
      </w:r>
      <w:r>
        <w:t xml:space="preserve"> </w:t>
      </w:r>
      <w:r>
        <w:t xml:space="preserve">→</w:t>
      </w:r>
      <w:r>
        <w:t xml:space="preserve"> </w:t>
      </w:r>
      <w:r>
        <w:rPr>
          <w:iCs/>
          <w:i/>
        </w:rPr>
        <w:t xml:space="preserve">s</w:t>
      </w:r>
      <w:r>
        <w:t xml:space="preserve"> </w:t>
      </w:r>
      <w:r>
        <w:t xml:space="preserve">(Pā. 6-1-64),</w:t>
      </w:r>
      <w:r>
        <w:t xml:space="preserve"> </w:t>
      </w:r>
      <w:r>
        <w:rPr>
          <w:iCs/>
          <w:i/>
        </w:rPr>
        <w:t xml:space="preserve">ṇ</w:t>
      </w:r>
      <w:r>
        <w:t xml:space="preserve"> </w:t>
      </w:r>
      <w:r>
        <w:t xml:space="preserve">→</w:t>
      </w:r>
      <w:r>
        <w:t xml:space="preserve"> </w:t>
      </w:r>
      <w:r>
        <w:rPr>
          <w:iCs/>
          <w:i/>
        </w:rPr>
        <w:t xml:space="preserve">n</w:t>
      </w:r>
      <w:r>
        <w:t xml:space="preserve">;</w:t>
      </w:r>
      <w:r>
        <w:t xml:space="preserve"> </w:t>
      </w:r>
      <w:r>
        <w:rPr>
          <w:iCs/>
          <w:i/>
        </w:rPr>
        <w:t xml:space="preserve">viṭ</w:t>
      </w:r>
      <w:r>
        <w:t xml:space="preserve"> </w:t>
      </w:r>
      <w:r>
        <w:t xml:space="preserve">after</w:t>
      </w:r>
      <w:r>
        <w:t xml:space="preserve"> </w:t>
      </w:r>
      <w:r>
        <w:rPr>
          <w:iCs/>
          <w:i/>
        </w:rPr>
        <w:t xml:space="preserve">jana</w:t>
      </w:r>
      <w:r>
        <w:t xml:space="preserve">,</w:t>
      </w:r>
      <w:r>
        <w:t xml:space="preserve"> </w:t>
      </w:r>
      <w:r>
        <w:rPr>
          <w:iCs/>
          <w:i/>
        </w:rPr>
        <w:t xml:space="preserve">sana</w:t>
      </w:r>
      <w:r>
        <w:t xml:space="preserve">,</w:t>
      </w:r>
      <w:r>
        <w:t xml:space="preserve"> </w:t>
      </w:r>
      <w:r>
        <w:rPr>
          <w:iCs/>
          <w:i/>
        </w:rPr>
        <w:t xml:space="preserve">khana</w:t>
      </w:r>
      <w:r>
        <w:t xml:space="preserve">,</w:t>
      </w:r>
      <w:r>
        <w:t xml:space="preserve"> </w:t>
      </w:r>
      <w:r>
        <w:rPr>
          <w:iCs/>
          <w:i/>
        </w:rPr>
        <w:t xml:space="preserve">krama</w:t>
      </w:r>
      <w:r>
        <w:t xml:space="preserve">,</w:t>
      </w:r>
      <w:r>
        <w:t xml:space="preserve"> </w:t>
      </w:r>
      <w:r>
        <w:rPr>
          <w:iCs/>
          <w:i/>
        </w:rPr>
        <w:t xml:space="preserve">gama</w:t>
      </w:r>
      <w:r>
        <w:t xml:space="preserve"> </w:t>
      </w:r>
      <w:r>
        <w:t xml:space="preserve">in the Veda (Pā. 3-2-67); the nasal replaced by</w:t>
      </w:r>
      <w:r>
        <w:t xml:space="preserve"> </w:t>
      </w:r>
      <w:r>
        <w:rPr>
          <w:iCs/>
          <w:i/>
        </w:rPr>
        <w:t xml:space="preserve">ā</w:t>
      </w:r>
      <w:r>
        <w:t xml:space="preserve"> </w:t>
      </w:r>
      <w:r>
        <w:t xml:space="preserve">before</w:t>
      </w:r>
      <w:r>
        <w:t xml:space="preserve"> </w:t>
      </w:r>
      <w:r>
        <w:rPr>
          <w:iCs/>
          <w:i/>
        </w:rPr>
        <w:t xml:space="preserve">viṭ</w:t>
      </w:r>
      <w:r>
        <w:t xml:space="preserve"> </w:t>
      </w:r>
      <w:r>
        <w:t xml:space="preserve">and</w:t>
      </w:r>
      <w:r>
        <w:t xml:space="preserve"> </w:t>
      </w:r>
      <w:r>
        <w:rPr>
          <w:iCs/>
          <w:i/>
        </w:rPr>
        <w:t xml:space="preserve">van</w:t>
      </w:r>
      <w:r>
        <w:t xml:space="preserve"> </w:t>
      </w:r>
      <w:r>
        <w:t xml:space="preserve">(Pā. 6-4-41);</w:t>
      </w:r>
      <w:r>
        <w:t xml:space="preserve"> </w:t>
      </w:r>
      <w:r>
        <w:rPr>
          <w:iCs/>
          <w:i/>
        </w:rPr>
        <w:t xml:space="preserve">savarṇa-dīrgha</w:t>
      </w:r>
      <w:r>
        <w:t xml:space="preserve">,</w:t>
      </w:r>
      <w:r>
        <w:t xml:space="preserve"> </w:t>
      </w:r>
      <w:r>
        <w:rPr>
          <w:iCs/>
          <w:i/>
        </w:rPr>
        <w:t xml:space="preserve">sahasrasā</w:t>
      </w:r>
      <w:r>
        <w:t xml:space="preserve">; second-member accent;</w:t>
      </w:r>
      <w:r>
        <w:t xml:space="preserve"> </w:t>
      </w:r>
      <w:r>
        <w:rPr>
          <w:iCs/>
          <w:i/>
        </w:rPr>
        <w:t xml:space="preserve">tamap</w:t>
      </w:r>
      <w:r>
        <w:t xml:space="preserve"> </w:t>
      </w:r>
      <w:r>
        <w:t xml:space="preserve">is</w:t>
      </w:r>
      <w:r>
        <w:t xml:space="preserve"> </w:t>
      </w:r>
      <w:r>
        <w:rPr>
          <w:iCs/>
          <w:i/>
        </w:rPr>
        <w:t xml:space="preserve">pit</w:t>
      </w:r>
      <w:r>
        <w:t xml:space="preserve">, so unaccented;</w:t>
      </w:r>
      <w:r>
        <w:t xml:space="preserve"> </w:t>
      </w:r>
      <w:r>
        <w:rPr>
          <w:iCs/>
          <w:i/>
        </w:rPr>
        <w:t xml:space="preserve">sahasrasā</w:t>
      </w:r>
      <w:r>
        <w:t xml:space="preserve"> </w:t>
      </w:r>
      <w:r>
        <w:t xml:space="preserve">keeps the accent of the earlier formation; being feminine,</w:t>
      </w:r>
      <w:r>
        <w:t xml:space="preserve"> </w:t>
      </w:r>
      <w:r>
        <w:rPr>
          <w:iCs/>
          <w:i/>
        </w:rPr>
        <w:t xml:space="preserve">tamā</w:t>
      </w:r>
      <w:r>
        <w:t xml:space="preserve"> </w:t>
      </w:r>
      <w:r>
        <w:t xml:space="preserve">+</w:t>
      </w:r>
      <w:r>
        <w:t xml:space="preserve"> </w:t>
      </w:r>
      <w:r>
        <w:rPr>
          <w:iCs/>
          <w:i/>
        </w:rPr>
        <w:t xml:space="preserve">ṭāp</w:t>
      </w:r>
      <w:r>
        <w:t xml:space="preserve"> </w:t>
      </w:r>
      <w:r>
        <w:t xml:space="preserve">(</w:t>
      </w:r>
      <w:r>
        <w:t xml:space="preserve">“</w:t>
      </w:r>
      <w:r>
        <w:t xml:space="preserve">ajādyataṣṭāp,</w:t>
      </w:r>
      <w:r>
        <w:t xml:space="preserve">”</w:t>
      </w:r>
      <w:r>
        <w:t xml:space="preserve"> </w:t>
      </w:r>
      <w:r>
        <w:t xml:space="preserve">no number printed);</w:t>
      </w:r>
      <w:r>
        <w:t xml:space="preserve"> </w:t>
      </w:r>
      <w:r>
        <w:rPr>
          <w:iCs/>
          <w:i/>
        </w:rPr>
        <w:t xml:space="preserve">ṭāp</w:t>
      </w:r>
      <w:r>
        <w:t xml:space="preserve"> </w:t>
      </w:r>
      <w:r>
        <w:t xml:space="preserve">is</w:t>
      </w:r>
      <w:r>
        <w:t xml:space="preserve"> </w:t>
      </w:r>
      <w:r>
        <w:rPr>
          <w:iCs/>
          <w:i/>
        </w:rPr>
        <w:t xml:space="preserve">pit</w:t>
      </w:r>
      <w:r>
        <w:t xml:space="preserve">;</w:t>
      </w:r>
      <w:r>
        <w:t xml:space="preserve"> </w:t>
      </w:r>
      <w:r>
        <w:rPr>
          <w:iCs/>
          <w:i/>
        </w:rPr>
        <w:t xml:space="preserve">savarṇa-dīrgha</w:t>
      </w:r>
      <w:r>
        <w:t xml:space="preserve"> </w:t>
      </w:r>
      <w:r>
        <w:t xml:space="preserve">(by</w:t>
      </w:r>
      <w:r>
        <w:t xml:space="preserve"> </w:t>
      </w:r>
      <w:r>
        <w:t xml:space="preserve">“</w:t>
      </w:r>
      <w:r>
        <w:t xml:space="preserve">antaratamaḥ</w:t>
      </w:r>
      <w:r>
        <w:t xml:space="preserve">”</w:t>
      </w:r>
      <w:r>
        <w:t xml:space="preserve"> </w:t>
      </w:r>
      <w:r>
        <w:t xml:space="preserve">the</w:t>
      </w:r>
      <w:r>
        <w:t xml:space="preserve"> </w:t>
      </w:r>
      <w:r>
        <w:rPr>
          <w:iCs/>
          <w:i/>
        </w:rPr>
        <w:t xml:space="preserve">ā</w:t>
      </w:r>
      <w:r>
        <w:t xml:space="preserve"> </w:t>
      </w:r>
      <w:r>
        <w:t xml:space="preserve">in place of the two) is unaccented; accusative singular</w:t>
      </w:r>
      <w:r>
        <w:t xml:space="preserve"> </w:t>
      </w:r>
      <w:r>
        <w:rPr>
          <w:iCs/>
          <w:i/>
        </w:rPr>
        <w:t xml:space="preserve">am</w:t>
      </w:r>
      <w:r>
        <w:t xml:space="preserve">,</w:t>
      </w:r>
      <w:r>
        <w:t xml:space="preserve"> </w:t>
      </w:r>
      <w:r>
        <w:rPr>
          <w:iCs/>
          <w:i/>
        </w:rPr>
        <w:t xml:space="preserve">pūrvarūpa</w:t>
      </w:r>
      <w:r>
        <w:t xml:space="preserve"> </w:t>
      </w:r>
      <w:r>
        <w:t xml:space="preserve">by</w:t>
      </w:r>
      <w:r>
        <w:t xml:space="preserve"> </w:t>
      </w:r>
      <w:r>
        <w:t xml:space="preserve">“</w:t>
      </w:r>
      <w:r>
        <w:t xml:space="preserve">ami pūrvaḥ</w:t>
      </w:r>
      <w:r>
        <w:t xml:space="preserve">”</w:t>
      </w:r>
      <w:r>
        <w:t xml:space="preserve"> </w:t>
      </w:r>
      <w:r>
        <w:t xml:space="preserve">(printed</w:t>
      </w:r>
      <w:r>
        <w:t xml:space="preserve"> </w:t>
      </w:r>
      <w:r>
        <w:t xml:space="preserve">“</w:t>
      </w:r>
      <w:r>
        <w:t xml:space="preserve">8-1-23</w:t>
      </w:r>
      <w:r>
        <w:t xml:space="preserve">”</w:t>
      </w:r>
      <w:r>
        <w:t xml:space="preserve"> </w:t>
      </w:r>
      <w:r>
        <w:t xml:space="preserve">[as printed], i.e. 6-1-107):</w:t>
      </w:r>
      <w:r>
        <w:t xml:space="preserve"> </w:t>
      </w:r>
      <w:r>
        <w:rPr>
          <w:iCs/>
          <w:i/>
        </w:rPr>
        <w:t xml:space="preserve">sahasrasātamām</w:t>
      </w:r>
      <w:r>
        <w:t xml:space="preserve">.</w:t>
      </w:r>
    </w:p>
    <w:p>
      <w:pPr>
        <w:pStyle w:val="BodyText"/>
      </w:pPr>
      <w:r>
        <w:rPr>
          <w:bCs/>
          <w:b/>
        </w:rPr>
        <w:t xml:space="preserve">॥१०॥</w:t>
      </w:r>
    </w:p>
    <w:p>
      <w:r>
        <w:pict>
          <v:rect style="width:0;height:1.5pt" o:hralign="center" o:hrstd="t" o:hr="t"/>
        </w:pict>
      </w:r>
    </w:p>
    <w:bookmarkEnd w:id="450"/>
    <w:bookmarkStart w:id="451" w:name="page-439-sūkta-10-rik-11"/>
    <w:p>
      <w:pPr>
        <w:pStyle w:val="Heading3"/>
      </w:pPr>
      <w:r>
        <w:t xml:space="preserve">Page 439 — Sūkta 10, Rik 11</w:t>
      </w:r>
    </w:p>
    <w:p>
      <w:pPr>
        <w:pStyle w:val="FirstParagraph"/>
      </w:pPr>
      <w:r>
        <w:rPr>
          <w:iCs/>
          <w:i/>
        </w:rPr>
        <w:t xml:space="preserve">(Saṃhitā accents as printed; Pada unaccented. Line 2: a stroke over स of सहस्र followed by a bar under ह, as printed — [accent ?].)</w:t>
      </w:r>
    </w:p>
    <w:p>
      <w:pPr>
        <w:pStyle w:val="BodyText"/>
      </w:pPr>
      <w:r>
        <w:rPr>
          <w:bCs/>
          <w:b/>
        </w:rPr>
        <w:t xml:space="preserve">॥ Saṃhitā-pāṭhaḥ ॥</w:t>
      </w:r>
    </w:p>
    <w:p>
      <w:pPr>
        <w:pStyle w:val="BlockText"/>
      </w:pPr>
      <w:r>
        <w:t xml:space="preserve">आ तू न॑ इन्द्र कौशिक मन्दसा॒नः सु॒तं पि॑ब ।</w:t>
      </w:r>
      <w:r>
        <w:t xml:space="preserve"> </w:t>
      </w:r>
      <w:r>
        <w:t xml:space="preserve">न॒व्यमायुः॒ प्र सू ति॑र कृ॒धी स॑ह॒स्रसामृ॑षिम् ॥११॥ [accent ?]</w:t>
      </w:r>
    </w:p>
    <w:p>
      <w:pPr>
        <w:pStyle w:val="BlockText"/>
      </w:pPr>
      <w:r>
        <w:rPr>
          <w:iCs/>
          <w:i/>
        </w:rPr>
        <w:t xml:space="preserve">ā tū́ na indra kauśika mandasānáḥ sutáṃ piba |</w:t>
      </w:r>
      <w:r>
        <w:t xml:space="preserve"> </w:t>
      </w:r>
      <w:r>
        <w:rPr>
          <w:iCs/>
          <w:i/>
        </w:rPr>
        <w:t xml:space="preserve">navyám āyuḥ prá sū́ tira kṛdhī́ sahasrásā́m ṛṣim ||11||</w:t>
      </w:r>
      <w:r>
        <w:t xml:space="preserve"> </w:t>
      </w:r>
      <w:r>
        <w:t xml:space="preserve">[accent ?]</w:t>
      </w:r>
    </w:p>
    <w:p>
      <w:pPr>
        <w:pStyle w:val="FirstParagraph"/>
      </w:pPr>
      <w:r>
        <w:rPr>
          <w:bCs/>
          <w:b/>
        </w:rPr>
        <w:t xml:space="preserve">॥ Pada-pāṭhaḥ ॥</w:t>
      </w:r>
    </w:p>
    <w:p>
      <w:pPr>
        <w:pStyle w:val="BlockText"/>
      </w:pPr>
      <w:r>
        <w:t xml:space="preserve">आ । तु । नः । इन्द्र । कौशिक । मन्दसानः । सुतम् । पिब ॥</w:t>
      </w:r>
      <w:r>
        <w:t xml:space="preserve"> </w:t>
      </w:r>
      <w:r>
        <w:t xml:space="preserve">नव्यम् । आयुः । प्र । सु । तिर । कृधि । सहस्रऽसाम् । ऋषिम् ॥११॥</w:t>
      </w:r>
    </w:p>
    <w:p>
      <w:pPr>
        <w:pStyle w:val="BlockText"/>
      </w:pPr>
      <w:r>
        <w:rPr>
          <w:iCs/>
          <w:i/>
        </w:rPr>
        <w:t xml:space="preserve">ā | tu | naḥ | indra | kauśika | mandasānaḥ | sutam | piba ||</w:t>
      </w:r>
      <w:r>
        <w:t xml:space="preserve"> </w:t>
      </w:r>
      <w:r>
        <w:rPr>
          <w:iCs/>
          <w:i/>
        </w:rPr>
        <w:t xml:space="preserve">navyam | āyuḥ | pra | su | tira | kṛdhi | sahasra-sām | ṛṣim ||11||</w:t>
      </w:r>
    </w:p>
    <w:p>
      <w:pPr>
        <w:pStyle w:val="FirstParagraph"/>
      </w:pPr>
      <w:r>
        <w:rPr>
          <w:bCs/>
          <w:b/>
        </w:rPr>
        <w:t xml:space="preserve">॥ Sāyaṇa-bhāṣyam ॥</w:t>
      </w:r>
    </w:p>
    <w:p>
      <w:pPr>
        <w:pStyle w:val="BlockText"/>
      </w:pPr>
      <w:r>
        <w:t xml:space="preserve">हे इन्द्र तु क्षिप्रं नो ऽस्मान्प्रत्या गच्छेति शेषः । हे कौशिक कुशिकस्य पुत्रेन्द्र मन्दसानो हृष्यो भूत्वा सुतमभिषुतं सोमं पिब । यद्यपि विश्वामित्रः कुशिकस्य पुत्रस्तथापि तद्रूपेणेन्द्रस्यैवोत्पन्नत्वात्कुशिकपुत्रत्वमविरुद्धम् । अयं वृत्तान्तो ऽनुक्रमणिकायामुक्तः । कुशिकस्त्वैषीरथिरिन्द्रतुल्यं पुत्रमिच्छन्ब्रह्मचर्यं चकार । तस्येन्द्र एव गाथी पुत्रो जज्ञे । अनु. ऋग्वे. ३-१ । इति । हे इन्द्र नव्यं सर्वैर्देवैः स्तुत्यं कर्मानुष्ठानपरमायुर्जीवितं प्र सू तिर । प्रकर्षेण सुष्ठु वर्धय । ततो मां सहस्रसां सहस्रसंख्याकलाभोपेतमृषिमतीन्द्रियद्रष्टारं कृधि । कुरु ॥ तु । संहितायामृचि तुनुघमक्षुतङ्कुत्रोरुष्याणामिति दीर्घः । नः । संहितायामुदात्तादनुदात्तस्य स्वरितः । इन्द्र । आमन्त्रितनिघातः । कौशिक । निघातः । मन्दसानः । हृष्यन् । मदि स्तुतिमोदमदस्वप्नकान्तिगतिषु । आसानजित्यनुवृत्तौ वञ्जिवृधिमन्दिसहिभ्यः कित् । उ. २-८६ । इत्यसानच्प्रत्ययः । चित्त्वादन्तोदात्तः । सुतम् । प्रत्ययस्वरः । नव्यम् । णु स्तुतौ । अचो यत् । गुणः । वान्तो यि प्रत्यये । पा. ६-१-७९ । इत्यवादेशः । यतो ऽनाव इत्याद्युदात्तत्वम् । आयुः । उसिनिदित्यनुवृत्तावेतेर्णिच्च । उ. २-११९ । इत्युसिप्रत्ययः । णित्त्वाद्वृद्ध्यायादेशौ । नित्त्वादाद्युदात्तत्वम् । सु । निपातस्य चेति संहितायां दीर्घत्वम् । तिर । तरतेर्व्यत्ययेन शः । ऋत इद्धातोः । पा. ७-१-१०० । इतीत्त्वम् । अतो हेरिति हेर्लुक् । कृधि । डुकृञ् करणे । बहुलं छन्दसीति शपो लुक् । श्रुशृणुपॄकृवृभ्यश्छन्दसीति हेर्धिरादेशः । सहस्रसाम् । उक्तम् । ऋषिम् । ऋषी गतौ । इन्नित्यनुवृत्तावि गुपधात्कित् । कित्त्वाद्गुणाभावः । नित्त्वादाद्युदात्तत्वम् ॥</w:t>
      </w:r>
    </w:p>
    <w:p>
      <w:pPr>
        <w:pStyle w:val="BlockText"/>
      </w:pPr>
      <w:r>
        <w:rPr>
          <w:iCs/>
          <w:i/>
        </w:rPr>
        <w:t xml:space="preserve">he indra tu kṣipraṃ no ’smānpratyā gaccheti śeṣaḥ | he kauśika kuśikasya putrendra mandasāno hṛṣyo bhūtvā sutamabhiṣutaṃ somaṃ piba | yadyapi viśvāmitraḥ kuśikasya putrastathāpi tadrūpeṇendrasyaivotpannatvātkuśikaputratvamaviruddham | ayaṃ vṛttānto ’nukramaṇikāyāmuktaḥ | kuśikastvaiṣīrathirindratulyaṃ putramicchanbrahmacaryaṃ cakāra | tasyendra eva gāthī putro jajñe | anu. ṛgve. 3-1 | iti | he indra navyaṃ sarvairdevaiḥ stutyaṃ karmānuṣṭhānaparamāyurjīvitaṃ pra sū tira | prakarṣeṇa suṣṭhu vardhaya | tato māṃ sahasrasāṃ sahasrasaṃkhyākalābhopetamṛṣimatīndriyadraṣṭāraṃ kṛdhi | kuru || tu | saṃhitāyāmṛci tunughamakṣutaṅkutroruṣyāṇāmiti dīrghaḥ | naḥ | saṃhitāyāmudāttādanudāttasya svaritaḥ | indra | āmantritanighātaḥ | kauśika | nighātaḥ | mandasānaḥ | hṛṣyan | madi stutimodamadasvapnakāntigatiṣu | āsānajityanuvṛttau vañjivṛdhimandisahibhyaḥ kit | u. 2-86 | ityasānacpratyayaḥ | cittvādantodāttaḥ | sutam | pratyayasvaraḥ | navyam | ṇu stutau | aco yat | guṇaḥ | vānto yi pratyaye | pā. 6-1-79 | ityavādeśaḥ | yato ’nāva ityādyudāttatvam | āyuḥ | usinidityanuvṛttāveterṇicca | u. 2-119 | ityusipratyayaḥ | ṇittvādvṛddhyāyādeśau | nittvādādyudāttatvam | su | nipātasya ceti saṃhitāyāṃ dīrghatvam | tira | taratervyatyayena śaḥ | ṛta iddhātoḥ | pā. 7-1-100 | itīttvam | ato heriti herluk | kṛdhi | ḍukṛñ karaṇe | bahulaṃ chandasīti śapo luk | śruśṛṇupṝkṛvṛbhyaśchandasīti herdhirādeśaḥ | sahasrasām | uktam | ṛṣim | ṛṣī gatau | innityanuvṛttāvi gupadhātkit | kittvādguṇābhāvaḥ | nittvādādyudāttatvam ||</w:t>
      </w:r>
    </w:p>
    <w:p>
      <w:pPr>
        <w:pStyle w:val="FirstParagraph"/>
      </w:pPr>
      <w:r>
        <w:rPr>
          <w:bCs/>
          <w:b/>
        </w:rPr>
        <w:t xml:space="preserve">Translation:</w:t>
      </w:r>
      <w:r>
        <w:t xml:space="preserve"> </w:t>
      </w:r>
      <w:r>
        <w:t xml:space="preserve">“</w:t>
      </w:r>
      <w:r>
        <w:t xml:space="preserve">O Indra,</w:t>
      </w:r>
      <w:r>
        <w:t xml:space="preserve"> </w:t>
      </w:r>
      <w:r>
        <w:rPr>
          <w:iCs/>
          <w:i/>
        </w:rPr>
        <w:t xml:space="preserve">tu</w:t>
      </w:r>
      <w:r>
        <w:t xml:space="preserve"> </w:t>
      </w:r>
      <w:r>
        <w:t xml:space="preserve">— quickly — come to us (this is to be supplied). O</w:t>
      </w:r>
      <w:r>
        <w:t xml:space="preserve"> </w:t>
      </w:r>
      <w:r>
        <w:rPr>
          <w:iCs/>
          <w:i/>
        </w:rPr>
        <w:t xml:space="preserve">kauśika</w:t>
      </w:r>
      <w:r>
        <w:t xml:space="preserve"> </w:t>
      </w:r>
      <w:r>
        <w:t xml:space="preserve">— O Indra, son of Kuśika —</w:t>
      </w:r>
      <w:r>
        <w:t xml:space="preserve"> </w:t>
      </w:r>
      <w:r>
        <w:rPr>
          <w:iCs/>
          <w:i/>
        </w:rPr>
        <w:t xml:space="preserve">mandasānaḥ</w:t>
      </w:r>
      <w:r>
        <w:t xml:space="preserve"> </w:t>
      </w:r>
      <w:r>
        <w:t xml:space="preserve">— being glad —</w:t>
      </w:r>
      <w:r>
        <w:t xml:space="preserve"> </w:t>
      </w:r>
      <w:r>
        <w:rPr>
          <w:iCs/>
          <w:i/>
        </w:rPr>
        <w:t xml:space="preserve">sutam piba</w:t>
      </w:r>
      <w:r>
        <w:t xml:space="preserve">: drink the pressed Soma. Although Viśvāmitra is the son of Kuśika, yet since Indra himself was born in that form, his being Kuśika’s son is not contradictory. This story is told in the Anukramaṇikā:</w:t>
      </w:r>
      <w:r>
        <w:t xml:space="preserve"> </w:t>
      </w:r>
      <w:r>
        <w:t xml:space="preserve">‘</w:t>
      </w:r>
      <w:r>
        <w:t xml:space="preserve">Kuśika, the son of Iṣīratha, wishing for a son equal to Indra, practised celibacy; Indra himself was born to him as his son Gāthin</w:t>
      </w:r>
      <w:r>
        <w:t xml:space="preserve">’</w:t>
      </w:r>
      <w:r>
        <w:t xml:space="preserve"> </w:t>
      </w:r>
      <w:r>
        <w:t xml:space="preserve">(Anu. Ṛgve. 3-1). O Indra,</w:t>
      </w:r>
      <w:r>
        <w:t xml:space="preserve"> </w:t>
      </w:r>
      <w:r>
        <w:rPr>
          <w:iCs/>
          <w:i/>
        </w:rPr>
        <w:t xml:space="preserve">navyam āyuḥ pra sū tira</w:t>
      </w:r>
      <w:r>
        <w:t xml:space="preserve">: increase greatly and well [our]</w:t>
      </w:r>
      <w:r>
        <w:t xml:space="preserve"> </w:t>
      </w:r>
      <w:r>
        <w:rPr>
          <w:iCs/>
          <w:i/>
        </w:rPr>
        <w:t xml:space="preserve">āyuḥ</w:t>
      </w:r>
      <w:r>
        <w:t xml:space="preserve">, life,</w:t>
      </w:r>
      <w:r>
        <w:t xml:space="preserve"> </w:t>
      </w:r>
      <w:r>
        <w:rPr>
          <w:iCs/>
          <w:i/>
        </w:rPr>
        <w:t xml:space="preserve">navyam</w:t>
      </w:r>
      <w:r>
        <w:t xml:space="preserve"> </w:t>
      </w:r>
      <w:r>
        <w:t xml:space="preserve">— praiseworthy by all the gods, devoted to the performance of rites. Then</w:t>
      </w:r>
      <w:r>
        <w:t xml:space="preserve"> </w:t>
      </w:r>
      <w:r>
        <w:rPr>
          <w:iCs/>
          <w:i/>
        </w:rPr>
        <w:t xml:space="preserve">kṛdhi</w:t>
      </w:r>
      <w:r>
        <w:t xml:space="preserve"> </w:t>
      </w:r>
      <w:r>
        <w:t xml:space="preserve">— make — me</w:t>
      </w:r>
      <w:r>
        <w:t xml:space="preserve"> </w:t>
      </w:r>
      <w:r>
        <w:rPr>
          <w:iCs/>
          <w:i/>
        </w:rPr>
        <w:t xml:space="preserve">sahasrasām</w:t>
      </w:r>
      <w:r>
        <w:t xml:space="preserve"> </w:t>
      </w:r>
      <w:r>
        <w:t xml:space="preserve">— endowed with gains reckoned in thousands — a</w:t>
      </w:r>
      <w:r>
        <w:t xml:space="preserve"> </w:t>
      </w:r>
      <w:r>
        <w:rPr>
          <w:iCs/>
          <w:i/>
        </w:rPr>
        <w:t xml:space="preserve">ṛṣi</w:t>
      </w:r>
      <w:r>
        <w:t xml:space="preserve">, a seer of what is beyond the senses.</w:t>
      </w:r>
      <w:r>
        <w:t xml:space="preserve">”</w:t>
      </w:r>
      <w:r>
        <w:t xml:space="preserve"> </w:t>
      </w:r>
      <w:r>
        <w:rPr>
          <w:iCs/>
          <w:i/>
        </w:rPr>
        <w:t xml:space="preserve">(Grammar, noted briefly:</w:t>
      </w:r>
      <w:r>
        <w:t xml:space="preserve"> </w:t>
      </w:r>
      <w:r>
        <w:t xml:space="preserve">tū</w:t>
      </w:r>
      <w:r>
        <w:t xml:space="preserve"> </w:t>
      </w:r>
      <w:r>
        <w:rPr>
          <w:iCs/>
          <w:i/>
        </w:rPr>
        <w:t xml:space="preserve">— lengthened in the Saṃhitā;</w:t>
      </w:r>
      <w:r>
        <w:t xml:space="preserve"> </w:t>
      </w:r>
      <w:r>
        <w:t xml:space="preserve">naḥ</w:t>
      </w:r>
      <w:r>
        <w:t xml:space="preserve"> </w:t>
      </w:r>
      <w:r>
        <w:rPr>
          <w:iCs/>
          <w:i/>
        </w:rPr>
        <w:t xml:space="preserve">— svarita after an udātta in the Saṃhitā;</w:t>
      </w:r>
      <w:r>
        <w:t xml:space="preserve"> </w:t>
      </w:r>
      <w:r>
        <w:t xml:space="preserve">indra</w:t>
      </w:r>
      <w:r>
        <w:rPr>
          <w:iCs/>
          <w:i/>
        </w:rPr>
        <w:t xml:space="preserve">,</w:t>
      </w:r>
      <w:r>
        <w:t xml:space="preserve"> </w:t>
      </w:r>
      <w:r>
        <w:t xml:space="preserve">kauśika</w:t>
      </w:r>
      <w:r>
        <w:t xml:space="preserve"> </w:t>
      </w:r>
      <w:r>
        <w:rPr>
          <w:iCs/>
          <w:i/>
        </w:rPr>
        <w:t xml:space="preserve">— vocatives, lowered;</w:t>
      </w:r>
      <w:r>
        <w:t xml:space="preserve"> </w:t>
      </w:r>
      <w:r>
        <w:t xml:space="preserve">mandasānaḥ</w:t>
      </w:r>
      <w:r>
        <w:t xml:space="preserve"> </w:t>
      </w:r>
      <w:r>
        <w:rPr>
          <w:iCs/>
          <w:i/>
        </w:rPr>
        <w:t xml:space="preserve">— root</w:t>
      </w:r>
      <w:r>
        <w:t xml:space="preserve"> </w:t>
      </w:r>
      <w:r>
        <w:t xml:space="preserve">madi</w:t>
      </w:r>
      <w:r>
        <w:t xml:space="preserve"> </w:t>
      </w:r>
      <w:r>
        <w:rPr>
          <w:iCs/>
          <w:i/>
        </w:rPr>
        <w:t xml:space="preserve">with</w:t>
      </w:r>
      <w:r>
        <w:t xml:space="preserve"> </w:t>
      </w:r>
      <w:r>
        <w:t xml:space="preserve">asānac</w:t>
      </w:r>
      <w:r>
        <w:t xml:space="preserve"> </w:t>
      </w:r>
      <w:r>
        <w:rPr>
          <w:iCs/>
          <w:i/>
        </w:rPr>
        <w:t xml:space="preserve">(Uṇ. 2-86), final-udātta;</w:t>
      </w:r>
      <w:r>
        <w:t xml:space="preserve"> </w:t>
      </w:r>
      <w:r>
        <w:t xml:space="preserve">navyam</w:t>
      </w:r>
      <w:r>
        <w:t xml:space="preserve"> </w:t>
      </w:r>
      <w:r>
        <w:rPr>
          <w:iCs/>
          <w:i/>
        </w:rPr>
        <w:t xml:space="preserve">— root</w:t>
      </w:r>
      <w:r>
        <w:t xml:space="preserve"> </w:t>
      </w:r>
      <w:r>
        <w:t xml:space="preserve">ṇu stutau</w:t>
      </w:r>
      <w:r>
        <w:t xml:space="preserve"> </w:t>
      </w:r>
      <w:r>
        <w:rPr>
          <w:iCs/>
          <w:i/>
        </w:rPr>
        <w:t xml:space="preserve">with</w:t>
      </w:r>
      <w:r>
        <w:t xml:space="preserve"> </w:t>
      </w:r>
      <w:r>
        <w:t xml:space="preserve">yat</w:t>
      </w:r>
      <w:r>
        <w:rPr>
          <w:iCs/>
          <w:i/>
        </w:rPr>
        <w:t xml:space="preserve">,</w:t>
      </w:r>
      <w:r>
        <w:t xml:space="preserve"> </w:t>
      </w:r>
      <w:r>
        <w:t xml:space="preserve">av</w:t>
      </w:r>
      <w:r>
        <w:t xml:space="preserve"> </w:t>
      </w:r>
      <w:r>
        <w:rPr>
          <w:iCs/>
          <w:i/>
        </w:rPr>
        <w:t xml:space="preserve">before</w:t>
      </w:r>
      <w:r>
        <w:t xml:space="preserve"> </w:t>
      </w:r>
      <w:r>
        <w:t xml:space="preserve">y</w:t>
      </w:r>
      <w:r>
        <w:t xml:space="preserve"> </w:t>
      </w:r>
      <w:r>
        <w:rPr>
          <w:iCs/>
          <w:i/>
        </w:rPr>
        <w:t xml:space="preserve">(Pā. 6-1-79), initial-udātta;</w:t>
      </w:r>
      <w:r>
        <w:t xml:space="preserve"> </w:t>
      </w:r>
      <w:r>
        <w:t xml:space="preserve">āyuḥ</w:t>
      </w:r>
      <w:r>
        <w:t xml:space="preserve"> </w:t>
      </w:r>
      <w:r>
        <w:rPr>
          <w:iCs/>
          <w:i/>
        </w:rPr>
        <w:t xml:space="preserve">— from</w:t>
      </w:r>
      <w:r>
        <w:t xml:space="preserve"> </w:t>
      </w:r>
      <w:r>
        <w:t xml:space="preserve">iṇ</w:t>
      </w:r>
      <w:r>
        <w:t xml:space="preserve"> </w:t>
      </w:r>
      <w:r>
        <w:rPr>
          <w:iCs/>
          <w:i/>
        </w:rPr>
        <w:t xml:space="preserve">with</w:t>
      </w:r>
      <w:r>
        <w:t xml:space="preserve"> </w:t>
      </w:r>
      <w:r>
        <w:t xml:space="preserve">usi</w:t>
      </w:r>
      <w:r>
        <w:t xml:space="preserve"> </w:t>
      </w:r>
      <w:r>
        <w:rPr>
          <w:iCs/>
          <w:i/>
        </w:rPr>
        <w:t xml:space="preserve">(Uṇ. 2-119), vṛddhi and</w:t>
      </w:r>
      <w:r>
        <w:t xml:space="preserve"> </w:t>
      </w:r>
      <w:r>
        <w:t xml:space="preserve">āy</w:t>
      </w:r>
      <w:r>
        <w:rPr>
          <w:iCs/>
          <w:i/>
        </w:rPr>
        <w:t xml:space="preserve">, initial-udātta;</w:t>
      </w:r>
      <w:r>
        <w:t xml:space="preserve"> </w:t>
      </w:r>
      <w:r>
        <w:t xml:space="preserve">sū</w:t>
      </w:r>
      <w:r>
        <w:t xml:space="preserve"> </w:t>
      </w:r>
      <w:r>
        <w:rPr>
          <w:iCs/>
          <w:i/>
        </w:rPr>
        <w:t xml:space="preserve">— lengthened as a particle;</w:t>
      </w:r>
      <w:r>
        <w:t xml:space="preserve"> </w:t>
      </w:r>
      <w:r>
        <w:t xml:space="preserve">tira</w:t>
      </w:r>
      <w:r>
        <w:t xml:space="preserve"> </w:t>
      </w:r>
      <w:r>
        <w:rPr>
          <w:iCs/>
          <w:i/>
        </w:rPr>
        <w:t xml:space="preserve">— root</w:t>
      </w:r>
      <w:r>
        <w:t xml:space="preserve"> </w:t>
      </w:r>
      <w:r>
        <w:t xml:space="preserve">tṝ</w:t>
      </w:r>
      <w:r>
        <w:t xml:space="preserve"> </w:t>
      </w:r>
      <w:r>
        <w:rPr>
          <w:iCs/>
          <w:i/>
        </w:rPr>
        <w:t xml:space="preserve">with</w:t>
      </w:r>
      <w:r>
        <w:t xml:space="preserve"> </w:t>
      </w:r>
      <w:r>
        <w:t xml:space="preserve">śa</w:t>
      </w:r>
      <w:r>
        <w:t xml:space="preserve"> </w:t>
      </w:r>
      <w:r>
        <w:rPr>
          <w:iCs/>
          <w:i/>
        </w:rPr>
        <w:t xml:space="preserve">by Vedic exchange,</w:t>
      </w:r>
      <w:r>
        <w:t xml:space="preserve"> </w:t>
      </w:r>
      <w:r>
        <w:t xml:space="preserve">i</w:t>
      </w:r>
      <w:r>
        <w:t xml:space="preserve"> </w:t>
      </w:r>
      <w:r>
        <w:rPr>
          <w:iCs/>
          <w:i/>
        </w:rPr>
        <w:t xml:space="preserve">(Pā. 7-1-100), loss of</w:t>
      </w:r>
      <w:r>
        <w:t xml:space="preserve"> </w:t>
      </w:r>
      <w:r>
        <w:t xml:space="preserve">hi</w:t>
      </w:r>
      <w:r>
        <w:rPr>
          <w:iCs/>
          <w:i/>
        </w:rPr>
        <w:t xml:space="preserve">;</w:t>
      </w:r>
      <w:r>
        <w:t xml:space="preserve"> </w:t>
      </w:r>
      <w:r>
        <w:t xml:space="preserve">kṛdhi</w:t>
      </w:r>
      <w:r>
        <w:t xml:space="preserve"> </w:t>
      </w:r>
      <w:r>
        <w:rPr>
          <w:iCs/>
          <w:i/>
        </w:rPr>
        <w:t xml:space="preserve">— śap dropped,</w:t>
      </w:r>
      <w:r>
        <w:t xml:space="preserve"> </w:t>
      </w:r>
      <w:r>
        <w:t xml:space="preserve">hi</w:t>
      </w:r>
      <w:r>
        <w:t xml:space="preserve"> </w:t>
      </w:r>
      <w:r>
        <w:rPr>
          <w:iCs/>
          <w:i/>
        </w:rPr>
        <w:t xml:space="preserve">→</w:t>
      </w:r>
      <w:r>
        <w:t xml:space="preserve"> </w:t>
      </w:r>
      <w:r>
        <w:t xml:space="preserve">dhi</w:t>
      </w:r>
      <w:r>
        <w:rPr>
          <w:iCs/>
          <w:i/>
        </w:rPr>
        <w:t xml:space="preserve">;</w:t>
      </w:r>
      <w:r>
        <w:t xml:space="preserve"> </w:t>
      </w:r>
      <w:r>
        <w:t xml:space="preserve">ṛṣim</w:t>
      </w:r>
      <w:r>
        <w:t xml:space="preserve"> </w:t>
      </w:r>
      <w:r>
        <w:rPr>
          <w:iCs/>
          <w:i/>
        </w:rPr>
        <w:t xml:space="preserve">— root</w:t>
      </w:r>
      <w:r>
        <w:t xml:space="preserve"> </w:t>
      </w:r>
      <w:r>
        <w:t xml:space="preserve">ṛṣī gatau</w:t>
      </w:r>
      <w:r>
        <w:t xml:space="preserve"> </w:t>
      </w:r>
      <w:r>
        <w:rPr>
          <w:iCs/>
          <w:i/>
        </w:rPr>
        <w:t xml:space="preserve">with</w:t>
      </w:r>
      <w:r>
        <w:t xml:space="preserve"> </w:t>
      </w:r>
      <w:r>
        <w:t xml:space="preserve">in</w:t>
      </w:r>
      <w:r>
        <w:rPr>
          <w:iCs/>
          <w:i/>
        </w:rPr>
        <w:t xml:space="preserve">, kit, initial-udātta.)</w:t>
      </w:r>
    </w:p>
    <w:bookmarkEnd w:id="451"/>
    <w:bookmarkStart w:id="452" w:name="X5d414823a5e9f11ac1935fb391f43cd81ccaaa2"/>
    <w:p>
      <w:pPr>
        <w:pStyle w:val="Heading3"/>
      </w:pPr>
      <w:r>
        <w:t xml:space="preserve">Page 440 — Rik 11: word-meanings, overall sense, English, Special Topics</w:t>
      </w:r>
    </w:p>
    <w:p>
      <w:pPr>
        <w:pStyle w:val="FirstParagraph"/>
      </w:pPr>
      <w:r>
        <w:rPr>
          <w:bCs/>
          <w:b/>
        </w:rPr>
        <w:t xml:space="preserve">॥ Prati-padārthaḥ ॥</w:t>
      </w:r>
    </w:p>
    <w:p>
      <w:pPr>
        <w:pStyle w:val="BodyText"/>
      </w:pPr>
      <w:r>
        <w:rPr>
          <w:bCs/>
          <w:b/>
        </w:rPr>
        <w:t xml:space="preserve">(हे) इन्द्र ((he) indra)</w:t>
      </w:r>
      <w:r>
        <w:t xml:space="preserve"> </w:t>
      </w:r>
      <w:r>
        <w:t xml:space="preserve">— O Indra |</w:t>
      </w:r>
      <w:r>
        <w:t xml:space="preserve"> </w:t>
      </w:r>
      <w:r>
        <w:rPr>
          <w:bCs/>
          <w:b/>
        </w:rPr>
        <w:t xml:space="preserve">तु (tu)</w:t>
      </w:r>
      <w:r>
        <w:t xml:space="preserve"> </w:t>
      </w:r>
      <w:r>
        <w:t xml:space="preserve">— quickly |</w:t>
      </w:r>
      <w:r>
        <w:t xml:space="preserve"> </w:t>
      </w:r>
      <w:r>
        <w:rPr>
          <w:bCs/>
          <w:b/>
        </w:rPr>
        <w:t xml:space="preserve">नः (naḥ)</w:t>
      </w:r>
      <w:r>
        <w:t xml:space="preserve"> </w:t>
      </w:r>
      <w:r>
        <w:t xml:space="preserve">— our (to our side) |</w:t>
      </w:r>
      <w:r>
        <w:t xml:space="preserve"> </w:t>
      </w:r>
      <w:r>
        <w:rPr>
          <w:bCs/>
          <w:b/>
        </w:rPr>
        <w:t xml:space="preserve">आ (gaccha)</w:t>
      </w:r>
      <w:r>
        <w:t xml:space="preserve"> </w:t>
      </w:r>
      <w:r>
        <w:t xml:space="preserve">— come |</w:t>
      </w:r>
      <w:r>
        <w:t xml:space="preserve"> </w:t>
      </w:r>
      <w:r>
        <w:rPr>
          <w:bCs/>
          <w:b/>
        </w:rPr>
        <w:t xml:space="preserve">(हे) कौशिक ((he) kauśika)</w:t>
      </w:r>
      <w:r>
        <w:t xml:space="preserve"> </w:t>
      </w:r>
      <w:r>
        <w:t xml:space="preserve">— O Indra, son of Kuśika |</w:t>
      </w:r>
      <w:r>
        <w:t xml:space="preserve"> </w:t>
      </w:r>
      <w:r>
        <w:rPr>
          <w:iCs/>
          <w:i/>
        </w:rPr>
        <w:t xml:space="preserve">(you)</w:t>
      </w:r>
      <w:r>
        <w:t xml:space="preserve"> </w:t>
      </w:r>
      <w:r>
        <w:rPr>
          <w:bCs/>
          <w:b/>
        </w:rPr>
        <w:t xml:space="preserve">मन्दसानः (mandasānaḥ)</w:t>
      </w:r>
      <w:r>
        <w:t xml:space="preserve"> </w:t>
      </w:r>
      <w:r>
        <w:t xml:space="preserve">— being glad |</w:t>
      </w:r>
      <w:r>
        <w:t xml:space="preserve"> </w:t>
      </w:r>
      <w:r>
        <w:rPr>
          <w:bCs/>
          <w:b/>
        </w:rPr>
        <w:t xml:space="preserve">सुतम् (sutam)</w:t>
      </w:r>
      <w:r>
        <w:t xml:space="preserve"> </w:t>
      </w:r>
      <w:r>
        <w:t xml:space="preserve">— the Soma-juice, pressed and prepared |</w:t>
      </w:r>
      <w:r>
        <w:t xml:space="preserve"> </w:t>
      </w:r>
      <w:r>
        <w:rPr>
          <w:bCs/>
          <w:b/>
        </w:rPr>
        <w:t xml:space="preserve">पिब (piba)</w:t>
      </w:r>
      <w:r>
        <w:t xml:space="preserve"> </w:t>
      </w:r>
      <w:r>
        <w:t xml:space="preserve">— drink |</w:t>
      </w:r>
      <w:r>
        <w:t xml:space="preserve"> </w:t>
      </w:r>
      <w:r>
        <w:rPr>
          <w:bCs/>
          <w:b/>
        </w:rPr>
        <w:t xml:space="preserve">नव्यम् (navyam)</w:t>
      </w:r>
      <w:r>
        <w:t xml:space="preserve"> </w:t>
      </w:r>
      <w:r>
        <w:t xml:space="preserve">— [which is] requested (that is, desired) |</w:t>
      </w:r>
      <w:r>
        <w:t xml:space="preserve"> </w:t>
      </w:r>
      <w:r>
        <w:rPr>
          <w:bCs/>
          <w:b/>
        </w:rPr>
        <w:t xml:space="preserve">आयुः (āyuḥ)</w:t>
      </w:r>
      <w:r>
        <w:t xml:space="preserve"> </w:t>
      </w:r>
      <w:r>
        <w:t xml:space="preserve">— life |</w:t>
      </w:r>
      <w:r>
        <w:t xml:space="preserve"> </w:t>
      </w:r>
      <w:r>
        <w:rPr>
          <w:bCs/>
          <w:b/>
        </w:rPr>
        <w:t xml:space="preserve">प्र सु तिर (pra su tira)</w:t>
      </w:r>
      <w:r>
        <w:t xml:space="preserve"> </w:t>
      </w:r>
      <w:r>
        <w:t xml:space="preserve">— increase specially (for me) |</w:t>
      </w:r>
      <w:r>
        <w:t xml:space="preserve"> </w:t>
      </w:r>
      <w:r>
        <w:rPr>
          <w:bCs/>
          <w:b/>
        </w:rPr>
        <w:t xml:space="preserve">सहस्रसाम् (sahasrasām)</w:t>
      </w:r>
      <w:r>
        <w:t xml:space="preserve"> </w:t>
      </w:r>
      <w:r>
        <w:t xml:space="preserve">— [one who is] winning thousands of gains |</w:t>
      </w:r>
      <w:r>
        <w:t xml:space="preserve"> </w:t>
      </w:r>
      <w:r>
        <w:rPr>
          <w:bCs/>
          <w:b/>
        </w:rPr>
        <w:t xml:space="preserve">ऋषिम् (ṛṣim)</w:t>
      </w:r>
      <w:r>
        <w:t xml:space="preserve"> </w:t>
      </w:r>
      <w:r>
        <w:t xml:space="preserve">— a seer |</w:t>
      </w:r>
      <w:r>
        <w:t xml:space="preserve"> </w:t>
      </w:r>
      <w:r>
        <w:rPr>
          <w:bCs/>
          <w:b/>
        </w:rPr>
        <w:t xml:space="preserve">कृधि (kṛdhi)</w:t>
      </w:r>
      <w:r>
        <w:t xml:space="preserve"> </w:t>
      </w:r>
      <w:r>
        <w:t xml:space="preserve">— make (me).</w:t>
      </w:r>
    </w:p>
    <w:p>
      <w:pPr>
        <w:pStyle w:val="BodyText"/>
      </w:pPr>
      <w:r>
        <w:rPr>
          <w:bCs/>
          <w:b/>
        </w:rPr>
        <w:t xml:space="preserve">॥ Bhāvārthaḥ ॥</w:t>
      </w:r>
    </w:p>
    <w:p>
      <w:pPr>
        <w:pStyle w:val="BodyText"/>
      </w:pPr>
      <w:r>
        <w:t xml:space="preserve">O Indra! Come quickly to us, and drink with delight this Soma-juice that we have pressed. Increase our life, and make me, an ordinary person, one who gains thousands of benefits.</w:t>
      </w:r>
    </w:p>
    <w:p>
      <w:pPr>
        <w:pStyle w:val="BodyText"/>
      </w:pPr>
      <w:r>
        <w:rPr>
          <w:bCs/>
          <w:b/>
        </w:rPr>
        <w:t xml:space="preserve">॥ English Translation ॥</w:t>
      </w:r>
      <w:r>
        <w:t xml:space="preserve"> </w:t>
      </w:r>
      <w:r>
        <w:rPr>
          <w:iCs/>
          <w:i/>
        </w:rPr>
        <w:t xml:space="preserve">(as printed in the source)</w:t>
      </w:r>
    </w:p>
    <w:p>
      <w:pPr>
        <w:pStyle w:val="BlockText"/>
      </w:pPr>
      <w:r>
        <w:t xml:space="preserve">Come quickly, Indra, son of Kusika, and drink the soma libation with delight; prolong the life which we merit and make me a Rishi abnndantly [sic] endowed with thousands of benefits.</w:t>
      </w:r>
    </w:p>
    <w:p>
      <w:pPr>
        <w:pStyle w:val="FirstParagraph"/>
      </w:pPr>
      <w:r>
        <w:rPr>
          <w:bCs/>
          <w:b/>
        </w:rPr>
        <w:t xml:space="preserve">॥ Viśeṣa-viṣayagaḷu (Special Topics) ॥</w:t>
      </w:r>
    </w:p>
    <w:p>
      <w:pPr>
        <w:pStyle w:val="BodyText"/>
      </w:pPr>
      <w:r>
        <w:rPr>
          <w:bCs/>
          <w:b/>
        </w:rPr>
        <w:t xml:space="preserve">“</w:t>
      </w:r>
      <w:r>
        <w:rPr>
          <w:bCs/>
          <w:b/>
        </w:rPr>
        <w:t xml:space="preserve">Tu,</w:t>
      </w:r>
      <w:r>
        <w:rPr>
          <w:bCs/>
          <w:b/>
        </w:rPr>
        <w:t xml:space="preserve">”</w:t>
      </w:r>
      <w:r>
        <w:rPr>
          <w:bCs/>
          <w:b/>
        </w:rPr>
        <w:t xml:space="preserve"> </w:t>
      </w:r>
      <w:r>
        <w:rPr>
          <w:bCs/>
          <w:b/>
        </w:rPr>
        <w:t xml:space="preserve">“</w:t>
      </w:r>
      <w:r>
        <w:rPr>
          <w:bCs/>
          <w:b/>
        </w:rPr>
        <w:t xml:space="preserve">su,</w:t>
      </w:r>
      <w:r>
        <w:rPr>
          <w:bCs/>
          <w:b/>
        </w:rPr>
        <w:t xml:space="preserve">”</w:t>
      </w:r>
      <w:r>
        <w:rPr>
          <w:bCs/>
          <w:b/>
        </w:rPr>
        <w:t xml:space="preserve"> </w:t>
      </w:r>
      <w:r>
        <w:rPr>
          <w:bCs/>
          <w:b/>
        </w:rPr>
        <w:t xml:space="preserve">“</w:t>
      </w:r>
      <w:r>
        <w:rPr>
          <w:bCs/>
          <w:b/>
        </w:rPr>
        <w:t xml:space="preserve">kṛdhi</w:t>
      </w:r>
      <w:r>
        <w:rPr>
          <w:bCs/>
          <w:b/>
        </w:rPr>
        <w:t xml:space="preserve">”</w:t>
      </w:r>
      <w:r>
        <w:t xml:space="preserve"> </w:t>
      </w:r>
      <w:r>
        <w:t xml:space="preserve">— the final syllables of these words in this rik are lengthened for the convenience of the meter.</w:t>
      </w:r>
    </w:p>
    <w:p>
      <w:pPr>
        <w:pStyle w:val="BodyText"/>
      </w:pPr>
      <w:r>
        <w:rPr>
          <w:bCs/>
          <w:b/>
        </w:rPr>
        <w:t xml:space="preserve">“</w:t>
      </w:r>
      <w:r>
        <w:rPr>
          <w:bCs/>
          <w:b/>
        </w:rPr>
        <w:t xml:space="preserve">Ā</w:t>
      </w:r>
      <w:r>
        <w:rPr>
          <w:bCs/>
          <w:b/>
        </w:rPr>
        <w:t xml:space="preserve">”</w:t>
      </w:r>
      <w:r>
        <w:t xml:space="preserve"> </w:t>
      </w:r>
      <w:r>
        <w:t xml:space="preserve">— in this rik only the prefix</w:t>
      </w:r>
      <w:r>
        <w:t xml:space="preserve"> </w:t>
      </w:r>
      <w:r>
        <w:rPr>
          <w:iCs/>
          <w:i/>
        </w:rPr>
        <w:t xml:space="preserve">ā</w:t>
      </w:r>
      <w:r>
        <w:t xml:space="preserve"> </w:t>
      </w:r>
      <w:r>
        <w:t xml:space="preserve">occurs; with it the verb</w:t>
      </w:r>
      <w:r>
        <w:t xml:space="preserve"> </w:t>
      </w:r>
      <w:r>
        <w:rPr>
          <w:iCs/>
          <w:i/>
        </w:rPr>
        <w:t xml:space="preserve">gaccha</w:t>
      </w:r>
      <w:r>
        <w:t xml:space="preserve"> </w:t>
      </w:r>
      <w:r>
        <w:t xml:space="preserve">(</w:t>
      </w:r>
      <w:r>
        <w:t xml:space="preserve">“</w:t>
      </w:r>
      <w:r>
        <w:t xml:space="preserve">come</w:t>
      </w:r>
      <w:r>
        <w:t xml:space="preserve">”</w:t>
      </w:r>
      <w:r>
        <w:t xml:space="preserve">) has to be supplied. Such usages are needed in the Ṛgveda.</w:t>
      </w:r>
    </w:p>
    <w:p>
      <w:pPr>
        <w:pStyle w:val="BodyText"/>
      </w:pPr>
      <w:r>
        <w:rPr>
          <w:bCs/>
          <w:b/>
        </w:rPr>
        <w:t xml:space="preserve">“</w:t>
      </w:r>
      <w:r>
        <w:rPr>
          <w:bCs/>
          <w:b/>
        </w:rPr>
        <w:t xml:space="preserve">Kauśika</w:t>
      </w:r>
      <w:r>
        <w:rPr>
          <w:bCs/>
          <w:b/>
        </w:rPr>
        <w:t xml:space="preserve">”</w:t>
      </w:r>
      <w:r>
        <w:t xml:space="preserve"> </w:t>
      </w:r>
      <w:r>
        <w:t xml:space="preserve">— here Indra is addressed as the son of Kuśika. In this connection the Bhāṣyakāra cites an account from the Anukramaṇikā:</w:t>
      </w:r>
    </w:p>
    <w:p>
      <w:pPr>
        <w:pStyle w:val="BlockText"/>
      </w:pPr>
      <w:r>
        <w:t xml:space="preserve">कुशिकस्त्वैषीरथिरिन्द्रतुल्यं पुत्रमिच्छन् ब्रह्मचर्यं चचार । तस्येन्द्र एव गाथी पुत्रो जज्ञे ॥ (ऋ. अनु. ३-१)</w:t>
      </w:r>
      <w:r>
        <w:t xml:space="preserve"> </w:t>
      </w:r>
      <w:r>
        <w:rPr>
          <w:iCs/>
          <w:i/>
        </w:rPr>
        <w:t xml:space="preserve">kuśikas tv aiṣīrathir indra-tulyaṃ putram icchan brahmacaryaṃ cacāra | tasyendra eva gāthī putro jajñe || (ṛ. anu. 3-1)</w:t>
      </w:r>
      <w:r>
        <w:t xml:space="preserve"> </w:t>
      </w:r>
      <w:r>
        <w:t xml:space="preserve">“</w:t>
      </w:r>
      <w:r>
        <w:t xml:space="preserve">Kuśika, the son of Iṣīratha, wishing a son equal to Indra, practised celibate austerity; Indra himself was born as his son, Gāthin.</w:t>
      </w:r>
      <w:r>
        <w:t xml:space="preserve">”</w:t>
      </w:r>
    </w:p>
    <w:p>
      <w:pPr>
        <w:pStyle w:val="FirstParagraph"/>
      </w:pPr>
      <w:r>
        <w:t xml:space="preserve">Skandasvāmī, on this subject:</w:t>
      </w:r>
    </w:p>
    <w:p>
      <w:pPr>
        <w:pStyle w:val="BlockText"/>
      </w:pPr>
      <w:r>
        <w:t xml:space="preserve">अत्र चेतिहासमाचक्षते । इषीरथपुत्रः कुशिको नाम राजा पुत्रमिन्द्रतुल्यं कामयमानो ब्रह्मचर्यं चचार । तस्य गाथी नामेन्द्र एव स्वयं पुत्रो जात इति ॥</w:t>
      </w:r>
      <w:r>
        <w:t xml:space="preserve"> </w:t>
      </w:r>
      <w:r>
        <w:rPr>
          <w:iCs/>
          <w:i/>
        </w:rPr>
        <w:t xml:space="preserve">atra cetihāsam ācakṣate | iṣīrathaputraḥ kuśiko nāma rājā putram indra-tulyaṃ kāmayamāno brahmacaryaṃ cacāra | tasya gāthī nāmendra eva svayaṃ putro jāta iti ||</w:t>
      </w:r>
      <w:r>
        <w:t xml:space="preserve"> </w:t>
      </w:r>
      <w:r>
        <w:t xml:space="preserve">“</w:t>
      </w:r>
      <w:r>
        <w:t xml:space="preserve">Here they tell a legend: a king named Kuśika, son of Iṣīratha, desiring a son equal to Indra, practised celibate austerity; Indra himself was born to him as a son named Gāthin.</w:t>
      </w:r>
      <w:r>
        <w:t xml:space="preserve">”</w:t>
      </w:r>
    </w:p>
    <w:bookmarkEnd w:id="452"/>
    <w:bookmarkStart w:id="453" w:name="page-441-rik-11-special-topics-continued"/>
    <w:p>
      <w:pPr>
        <w:pStyle w:val="Heading3"/>
      </w:pPr>
      <w:r>
        <w:t xml:space="preserve">Page 441 — Rik 11: Special Topics (continued)</w:t>
      </w:r>
    </w:p>
    <w:p>
      <w:pPr>
        <w:pStyle w:val="FirstParagraph"/>
      </w:pPr>
      <w:r>
        <w:rPr>
          <w:bCs/>
          <w:b/>
        </w:rPr>
        <w:t xml:space="preserve">Veṅkaṭamādhava:</w:t>
      </w:r>
    </w:p>
    <w:p>
      <w:pPr>
        <w:pStyle w:val="BlockText"/>
      </w:pPr>
      <w:r>
        <w:t xml:space="preserve">पुत्रमिन्द्रसमम् इच्छन् कुशिको ब्रह्मचर्यं चचार । तस्येन्द्रः स्वयमेव पुत्रो ऽभूत् । सास्य कौशिकता ॥</w:t>
      </w:r>
      <w:r>
        <w:t xml:space="preserve"> </w:t>
      </w:r>
      <w:r>
        <w:rPr>
          <w:iCs/>
          <w:i/>
        </w:rPr>
        <w:t xml:space="preserve">putram indra-samam icchan kuśiko brahmacaryaṃ cacāra | tasyendraḥ svayam eva putro ’bhūt | sāsya kauśikatā ||</w:t>
      </w:r>
      <w:r>
        <w:t xml:space="preserve"> </w:t>
      </w:r>
      <w:r>
        <w:t xml:space="preserve">“</w:t>
      </w:r>
      <w:r>
        <w:t xml:space="preserve">Desiring a son equal to Indra, Kuśika practised celibate austerity; Indra himself became his son. That is his Kauśika-hood.</w:t>
      </w:r>
      <w:r>
        <w:t xml:space="preserve">”</w:t>
      </w:r>
    </w:p>
    <w:p>
      <w:pPr>
        <w:pStyle w:val="FirstParagraph"/>
      </w:pPr>
      <w:r>
        <w:t xml:space="preserve">The chief point is this: in ancient times a king named Iṣīratha had a son called Kuśika. He, desiring a son equal to Indra, practised celibate austerity. Then Indra himself was born as his son, under the name Gāthin. The sage Viśvāmitra was the son of King Gāthin; and since Madhucchandas, the seer who saw this rik, was born in the family of Viśvāmitra, he addresses Indra, born in his own family — that is, in the family of Kuśika — as</w:t>
      </w:r>
      <w:r>
        <w:t xml:space="preserve"> </w:t>
      </w:r>
      <w:r>
        <w:t xml:space="preserve">“</w:t>
      </w:r>
      <w:r>
        <w:t xml:space="preserve">Kauśika.</w:t>
      </w:r>
      <w:r>
        <w:t xml:space="preserve">”</w:t>
      </w:r>
    </w:p>
    <w:p>
      <w:pPr>
        <w:pStyle w:val="BodyText"/>
      </w:pPr>
      <w:r>
        <w:rPr>
          <w:bCs/>
          <w:b/>
        </w:rPr>
        <w:t xml:space="preserve">“</w:t>
      </w:r>
      <w:r>
        <w:rPr>
          <w:bCs/>
          <w:b/>
        </w:rPr>
        <w:t xml:space="preserve">Navyam</w:t>
      </w:r>
      <w:r>
        <w:rPr>
          <w:bCs/>
          <w:b/>
        </w:rPr>
        <w:t xml:space="preserve">”</w:t>
      </w:r>
      <w:r>
        <w:t xml:space="preserve"> </w:t>
      </w:r>
      <w:r>
        <w:t xml:space="preserve">— the Bhāṣyakāra says that the word</w:t>
      </w:r>
      <w:r>
        <w:t xml:space="preserve"> </w:t>
      </w:r>
      <w:r>
        <w:rPr>
          <w:iCs/>
          <w:i/>
        </w:rPr>
        <w:t xml:space="preserve">navya</w:t>
      </w:r>
      <w:r>
        <w:t xml:space="preserve"> </w:t>
      </w:r>
      <w:r>
        <w:t xml:space="preserve">is another form of the root</w:t>
      </w:r>
      <w:r>
        <w:t xml:space="preserve"> </w:t>
      </w:r>
      <w:r>
        <w:rPr>
          <w:iCs/>
          <w:i/>
        </w:rPr>
        <w:t xml:space="preserve">ṇu stutau</w:t>
      </w:r>
      <w:r>
        <w:t xml:space="preserve">, and explains it as</w:t>
      </w:r>
      <w:r>
        <w:t xml:space="preserve"> </w:t>
      </w:r>
      <w:r>
        <w:rPr>
          <w:iCs/>
          <w:i/>
        </w:rPr>
        <w:t xml:space="preserve">sarvair devaiḥ stutyaṃ karmānuṣṭhānaparam</w:t>
      </w:r>
      <w:r>
        <w:t xml:space="preserve"> </w:t>
      </w:r>
      <w:r>
        <w:t xml:space="preserve">—</w:t>
      </w:r>
      <w:r>
        <w:t xml:space="preserve"> </w:t>
      </w:r>
      <w:r>
        <w:t xml:space="preserve">“</w:t>
      </w:r>
      <w:r>
        <w:t xml:space="preserve">that is to be praised by all gods, devoted to the performance of rites,</w:t>
      </w:r>
      <w:r>
        <w:t xml:space="preserve">”</w:t>
      </w:r>
      <w:r>
        <w:t xml:space="preserve"> </w:t>
      </w:r>
      <w:r>
        <w:t xml:space="preserve">or, as the Kannada gloss gives it,</w:t>
      </w:r>
      <w:r>
        <w:t xml:space="preserve"> </w:t>
      </w:r>
      <w:r>
        <w:t xml:space="preserve">“</w:t>
      </w:r>
      <w:r>
        <w:t xml:space="preserve">that is wanted by all, even the gods</w:t>
      </w:r>
      <w:r>
        <w:t xml:space="preserve">”</w:t>
      </w:r>
      <w:r>
        <w:t xml:space="preserve">: that is, long life, as everyone naturally desires to live long. Or, as Skandasvāmī says, if the word</w:t>
      </w:r>
      <w:r>
        <w:t xml:space="preserve"> </w:t>
      </w:r>
      <w:r>
        <w:rPr>
          <w:iCs/>
          <w:i/>
        </w:rPr>
        <w:t xml:space="preserve">navyam</w:t>
      </w:r>
      <w:r>
        <w:t xml:space="preserve"> </w:t>
      </w:r>
      <w:r>
        <w:t xml:space="preserve">is given the sense</w:t>
      </w:r>
      <w:r>
        <w:t xml:space="preserve"> </w:t>
      </w:r>
      <w:r>
        <w:t xml:space="preserve">“</w:t>
      </w:r>
      <w:r>
        <w:t xml:space="preserve">new</w:t>
      </w:r>
      <w:r>
        <w:t xml:space="preserve">”</w:t>
      </w:r>
      <w:r>
        <w:t xml:space="preserve"> </w:t>
      </w:r>
      <w:r>
        <w:t xml:space="preserve">(</w:t>
      </w:r>
      <w:r>
        <w:rPr>
          <w:iCs/>
          <w:i/>
        </w:rPr>
        <w:t xml:space="preserve">navam</w:t>
      </w:r>
      <w:r>
        <w:t xml:space="preserve"> </w:t>
      </w:r>
      <w:r>
        <w:t xml:space="preserve">— fresh), then the sense would be: a new vitality for the words</w:t>
      </w:r>
      <w:r>
        <w:t xml:space="preserve"> </w:t>
      </w:r>
      <w:r>
        <w:rPr>
          <w:iCs/>
          <w:i/>
        </w:rPr>
        <w:t xml:space="preserve">navyam āyuḥ</w:t>
      </w:r>
      <w:r>
        <w:t xml:space="preserve"> </w:t>
      </w:r>
      <w:r>
        <w:t xml:space="preserve">— or, to bring out the underlying idea, a still greater lifespan henceforth. In sum:</w:t>
      </w:r>
      <w:r>
        <w:t xml:space="preserve"> </w:t>
      </w:r>
      <w:r>
        <w:t xml:space="preserve">“</w:t>
      </w:r>
      <w:r>
        <w:t xml:space="preserve">make us live long; increase our life —</w:t>
      </w:r>
      <w:r>
        <w:t xml:space="preserve"> </w:t>
      </w:r>
      <w:r>
        <w:rPr>
          <w:iCs/>
          <w:i/>
        </w:rPr>
        <w:t xml:space="preserve">prolong our life</w:t>
      </w:r>
      <w:r>
        <w:t xml:space="preserve">”</w:t>
      </w:r>
      <w:r>
        <w:t xml:space="preserve"> </w:t>
      </w:r>
      <w:r>
        <w:t xml:space="preserve">[the source’s own English].</w:t>
      </w:r>
    </w:p>
    <w:p>
      <w:pPr>
        <w:pStyle w:val="BodyText"/>
      </w:pPr>
      <w:r>
        <w:rPr>
          <w:bCs/>
          <w:b/>
        </w:rPr>
        <w:t xml:space="preserve">“</w:t>
      </w:r>
      <w:r>
        <w:rPr>
          <w:bCs/>
          <w:b/>
        </w:rPr>
        <w:t xml:space="preserve">Sahasrasām</w:t>
      </w:r>
      <w:r>
        <w:rPr>
          <w:bCs/>
          <w:b/>
        </w:rPr>
        <w:t xml:space="preserve">”</w:t>
      </w:r>
      <w:r>
        <w:t xml:space="preserve"> </w:t>
      </w:r>
      <w:r>
        <w:t xml:space="preserve">— thousands of gains, benefits, or many kinds of desired things.</w:t>
      </w:r>
    </w:p>
    <w:p>
      <w:pPr>
        <w:pStyle w:val="BodyText"/>
      </w:pPr>
      <w:r>
        <w:rPr>
          <w:bCs/>
          <w:b/>
        </w:rPr>
        <w:t xml:space="preserve">“</w:t>
      </w:r>
      <w:r>
        <w:rPr>
          <w:bCs/>
          <w:b/>
        </w:rPr>
        <w:t xml:space="preserve">Ṛṣim</w:t>
      </w:r>
      <w:r>
        <w:rPr>
          <w:bCs/>
          <w:b/>
        </w:rPr>
        <w:t xml:space="preserve">”</w:t>
      </w:r>
      <w:r>
        <w:t xml:space="preserve"> </w:t>
      </w:r>
      <w:r>
        <w:t xml:space="preserve">— the root</w:t>
      </w:r>
      <w:r>
        <w:t xml:space="preserve"> </w:t>
      </w:r>
      <w:r>
        <w:rPr>
          <w:iCs/>
          <w:i/>
        </w:rPr>
        <w:t xml:space="preserve">ṛṣī gatau</w:t>
      </w:r>
      <w:r>
        <w:t xml:space="preserve"> </w:t>
      </w:r>
      <w:r>
        <w:t xml:space="preserve">(</w:t>
      </w:r>
      <w:r>
        <w:t xml:space="preserve">“</w:t>
      </w:r>
      <w:r>
        <w:t xml:space="preserve">to go</w:t>
      </w:r>
      <w:r>
        <w:t xml:space="preserve">”</w:t>
      </w:r>
      <w:r>
        <w:t xml:space="preserve">) has the senses of motion and knowledge; so</w:t>
      </w:r>
      <w:r>
        <w:t xml:space="preserve"> </w:t>
      </w:r>
      <w:r>
        <w:rPr>
          <w:iCs/>
          <w:i/>
        </w:rPr>
        <w:t xml:space="preserve">ṛṣi</w:t>
      </w:r>
      <w:r>
        <w:t xml:space="preserve"> </w:t>
      </w:r>
      <w:r>
        <w:t xml:space="preserve">means one who knows, one endowed with wisdom, or — as the Bhāṣyakāra says —</w:t>
      </w:r>
      <w:r>
        <w:t xml:space="preserve"> </w:t>
      </w:r>
      <w:r>
        <w:rPr>
          <w:bCs/>
          <w:b/>
        </w:rPr>
        <w:t xml:space="preserve">अतीन्द्रियद्रष्टारम्</w:t>
      </w:r>
      <w:r>
        <w:t xml:space="preserve"> </w:t>
      </w:r>
      <w:r>
        <w:t xml:space="preserve">(</w:t>
      </w:r>
      <w:r>
        <w:rPr>
          <w:iCs/>
          <w:i/>
        </w:rPr>
        <w:t xml:space="preserve">atīndriyadraṣṭāram</w:t>
      </w:r>
      <w:r>
        <w:t xml:space="preserve">): a great person with the power to know things beyond the reach of the outer senses. Here</w:t>
      </w:r>
      <w:r>
        <w:t xml:space="preserve"> </w:t>
      </w:r>
      <w:r>
        <w:t xml:space="preserve">“</w:t>
      </w:r>
      <w:r>
        <w:t xml:space="preserve">ṛṣi</w:t>
      </w:r>
      <w:r>
        <w:t xml:space="preserve">”</w:t>
      </w:r>
      <w:r>
        <w:t xml:space="preserve"> </w:t>
      </w:r>
      <w:r>
        <w:t xml:space="preserve">means Madhucchandas, the seer who saw this mantra. When he prays to Indra,</w:t>
      </w:r>
      <w:r>
        <w:t xml:space="preserve"> </w:t>
      </w:r>
      <w:r>
        <w:t xml:space="preserve">“</w:t>
      </w:r>
      <w:r>
        <w:t xml:space="preserve">give me long life and make me an excellent seer,</w:t>
      </w:r>
      <w:r>
        <w:t xml:space="preserve">”</w:t>
      </w:r>
      <w:r>
        <w:t xml:space="preserve"> </w:t>
      </w:r>
      <w:r>
        <w:t xml:space="preserve">he does not use a first-person verb but a third-person usage.</w:t>
      </w:r>
    </w:p>
    <w:p>
      <w:pPr>
        <w:pStyle w:val="BodyText"/>
      </w:pPr>
      <w:r>
        <w:rPr>
          <w:bCs/>
          <w:b/>
        </w:rPr>
        <w:t xml:space="preserve">॥ Vyākaraṇa-prakriyā ॥</w:t>
      </w:r>
      <w:r>
        <w:t xml:space="preserve"> </w:t>
      </w:r>
      <w:r>
        <w:rPr>
          <w:iCs/>
          <w:i/>
        </w:rPr>
        <w:t xml:space="preserve">(grammar pages 441–443, noted briefly)</w:t>
      </w:r>
    </w:p>
    <w:p>
      <w:pPr>
        <w:pStyle w:val="BodyText"/>
      </w:pPr>
      <w:r>
        <w:rPr>
          <w:bCs/>
          <w:b/>
        </w:rPr>
        <w:t xml:space="preserve">तु (</w:t>
      </w:r>
      <w:r>
        <w:rPr>
          <w:iCs/>
          <w:i/>
          <w:bCs/>
          <w:b/>
        </w:rPr>
        <w:t xml:space="preserve">tu</w:t>
      </w:r>
      <w:r>
        <w:rPr>
          <w:bCs/>
          <w:b/>
        </w:rPr>
        <w:t xml:space="preserve">)</w:t>
      </w:r>
      <w:r>
        <w:t xml:space="preserve"> </w:t>
      </w:r>
      <w:r>
        <w:t xml:space="preserve">— in the Saṃhitā lengthened by</w:t>
      </w:r>
      <w:r>
        <w:t xml:space="preserve"> </w:t>
      </w:r>
      <w:r>
        <w:t xml:space="preserve">“</w:t>
      </w:r>
      <w:r>
        <w:t xml:space="preserve">ṛcitunughamakṣutaṅkutroruṣyāṇām</w:t>
      </w:r>
      <w:r>
        <w:t xml:space="preserve">”</w:t>
      </w:r>
      <w:r>
        <w:t xml:space="preserve"> </w:t>
      </w:r>
      <w:r>
        <w:t xml:space="preserve">(Pā. 6-3-133); a</w:t>
      </w:r>
      <w:r>
        <w:t xml:space="preserve"> </w:t>
      </w:r>
      <w:r>
        <w:rPr>
          <w:iCs/>
          <w:i/>
        </w:rPr>
        <w:t xml:space="preserve">nipāta</w:t>
      </w:r>
      <w:r>
        <w:t xml:space="preserve">, initial-udātta (</w:t>
      </w:r>
      <w:r>
        <w:t xml:space="preserve">“</w:t>
      </w:r>
      <w:r>
        <w:t xml:space="preserve">nipātā ādyudāttāḥ,</w:t>
      </w:r>
      <w:r>
        <w:t xml:space="preserve">”</w:t>
      </w:r>
      <w:r>
        <w:t xml:space="preserve"> </w:t>
      </w:r>
      <w:r>
        <w:t xml:space="preserve">Phiṭ-sūtra 80).</w:t>
      </w:r>
      <w:r>
        <w:t xml:space="preserve"> </w:t>
      </w:r>
      <w:r>
        <w:rPr>
          <w:iCs/>
          <w:i/>
        </w:rPr>
        <w:t xml:space="preserve">(The grammar continues on p. 442.)</w:t>
      </w:r>
    </w:p>
    <w:bookmarkEnd w:id="453"/>
    <w:bookmarkStart w:id="454" w:name="pages-442443-rik-11-grammar"/>
    <w:p>
      <w:pPr>
        <w:pStyle w:val="Heading3"/>
      </w:pPr>
      <w:r>
        <w:t xml:space="preserve">Pages 442–443 — Rik 11 grammar</w:t>
      </w:r>
    </w:p>
    <w:p>
      <w:pPr>
        <w:pStyle w:val="FirstParagraph"/>
      </w:pPr>
      <w:r>
        <w:rPr>
          <w:bCs/>
          <w:b/>
        </w:rPr>
        <w:t xml:space="preserve">॥ Vyākaraṇa-prakriyā ॥</w:t>
      </w:r>
      <w:r>
        <w:t xml:space="preserve"> </w:t>
      </w:r>
      <w:r>
        <w:rPr>
          <w:iCs/>
          <w:i/>
        </w:rPr>
        <w:t xml:space="preserve">(grammar pages 442–443, noted briefly)</w:t>
      </w:r>
    </w:p>
    <w:p>
      <w:pPr>
        <w:pStyle w:val="BodyText"/>
      </w:pPr>
      <w:r>
        <w:rPr>
          <w:bCs/>
          <w:b/>
        </w:rPr>
        <w:t xml:space="preserve">नः (</w:t>
      </w:r>
      <w:r>
        <w:rPr>
          <w:iCs/>
          <w:i/>
          <w:bCs/>
          <w:b/>
        </w:rPr>
        <w:t xml:space="preserve">naḥ</w:t>
      </w:r>
      <w:r>
        <w:rPr>
          <w:bCs/>
          <w:b/>
        </w:rPr>
        <w:t xml:space="preserve">)</w:t>
      </w:r>
      <w:r>
        <w:t xml:space="preserve"> </w:t>
      </w:r>
      <w:r>
        <w:t xml:space="preserve">—</w:t>
      </w:r>
      <w:r>
        <w:t xml:space="preserve"> </w:t>
      </w:r>
      <w:r>
        <w:rPr>
          <w:iCs/>
          <w:i/>
        </w:rPr>
        <w:t xml:space="preserve">nas</w:t>
      </w:r>
      <w:r>
        <w:t xml:space="preserve"> </w:t>
      </w:r>
      <w:r>
        <w:t xml:space="preserve">replaces</w:t>
      </w:r>
      <w:r>
        <w:t xml:space="preserve"> </w:t>
      </w:r>
      <w:r>
        <w:rPr>
          <w:iCs/>
          <w:i/>
        </w:rPr>
        <w:t xml:space="preserve">asmān</w:t>
      </w:r>
      <w:r>
        <w:t xml:space="preserve"> </w:t>
      </w:r>
      <w:r>
        <w:t xml:space="preserve">by</w:t>
      </w:r>
      <w:r>
        <w:t xml:space="preserve"> </w:t>
      </w:r>
      <w:r>
        <w:t xml:space="preserve">“</w:t>
      </w:r>
      <w:r>
        <w:t xml:space="preserve">bahuvacanasya vasnasau</w:t>
      </w:r>
      <w:r>
        <w:t xml:space="preserve">”</w:t>
      </w:r>
      <w:r>
        <w:t xml:space="preserve"> </w:t>
      </w:r>
      <w:r>
        <w:t xml:space="preserve">(Pā. 8-1-21); unaccented as a substitute; in the Saṃhitā it becomes</w:t>
      </w:r>
      <w:r>
        <w:t xml:space="preserve"> </w:t>
      </w:r>
      <w:r>
        <w:rPr>
          <w:iCs/>
          <w:i/>
        </w:rPr>
        <w:t xml:space="preserve">svarita</w:t>
      </w:r>
      <w:r>
        <w:t xml:space="preserve"> </w:t>
      </w:r>
      <w:r>
        <w:t xml:space="preserve">by</w:t>
      </w:r>
      <w:r>
        <w:t xml:space="preserve"> </w:t>
      </w:r>
      <w:r>
        <w:t xml:space="preserve">“</w:t>
      </w:r>
      <w:r>
        <w:t xml:space="preserve">udāttād anudāttasya svaritaḥ</w:t>
      </w:r>
      <w:r>
        <w:t xml:space="preserve">”</w:t>
      </w:r>
      <w:r>
        <w:t xml:space="preserve"> </w:t>
      </w:r>
      <w:r>
        <w:t xml:space="preserve">(Pā. 8-4-66) after an udātta.</w:t>
      </w:r>
      <w:r>
        <w:t xml:space="preserve"> </w:t>
      </w:r>
      <w:r>
        <w:rPr>
          <w:bCs/>
          <w:b/>
        </w:rPr>
        <w:t xml:space="preserve">इन्द्र (</w:t>
      </w:r>
      <w:r>
        <w:rPr>
          <w:iCs/>
          <w:i/>
          <w:bCs/>
          <w:b/>
        </w:rPr>
        <w:t xml:space="preserve">indra</w:t>
      </w:r>
      <w:r>
        <w:rPr>
          <w:bCs/>
          <w:b/>
        </w:rPr>
        <w:t xml:space="preserve">)</w:t>
      </w:r>
      <w:r>
        <w:t xml:space="preserve">,</w:t>
      </w:r>
      <w:r>
        <w:t xml:space="preserve"> </w:t>
      </w:r>
      <w:r>
        <w:rPr>
          <w:bCs/>
          <w:b/>
        </w:rPr>
        <w:t xml:space="preserve">कौशिक (</w:t>
      </w:r>
      <w:r>
        <w:rPr>
          <w:iCs/>
          <w:i/>
          <w:bCs/>
          <w:b/>
        </w:rPr>
        <w:t xml:space="preserve">kauśika</w:t>
      </w:r>
      <w:r>
        <w:rPr>
          <w:bCs/>
          <w:b/>
        </w:rPr>
        <w:t xml:space="preserve">)</w:t>
      </w:r>
      <w:r>
        <w:t xml:space="preserve"> </w:t>
      </w:r>
      <w:r>
        <w:t xml:space="preserve">— vocatives, unaccented by</w:t>
      </w:r>
      <w:r>
        <w:t xml:space="preserve"> </w:t>
      </w:r>
      <w:r>
        <w:t xml:space="preserve">“</w:t>
      </w:r>
      <w:r>
        <w:t xml:space="preserve">āmantritasya ca</w:t>
      </w:r>
      <w:r>
        <w:t xml:space="preserve">”</w:t>
      </w:r>
      <w:r>
        <w:t xml:space="preserve"> </w:t>
      </w:r>
      <w:r>
        <w:t xml:space="preserve">(Pā. 8-1-19).</w:t>
      </w:r>
      <w:r>
        <w:t xml:space="preserve"> </w:t>
      </w:r>
      <w:r>
        <w:rPr>
          <w:bCs/>
          <w:b/>
        </w:rPr>
        <w:t xml:space="preserve">मन्दसानः (</w:t>
      </w:r>
      <w:r>
        <w:rPr>
          <w:iCs/>
          <w:i/>
          <w:bCs/>
          <w:b/>
        </w:rPr>
        <w:t xml:space="preserve">mandasānaḥ</w:t>
      </w:r>
      <w:r>
        <w:rPr>
          <w:bCs/>
          <w:b/>
        </w:rPr>
        <w:t xml:space="preserve">)</w:t>
      </w:r>
      <w:r>
        <w:t xml:space="preserve"> </w:t>
      </w:r>
      <w:r>
        <w:t xml:space="preserve">—</w:t>
      </w:r>
      <w:r>
        <w:t xml:space="preserve"> </w:t>
      </w:r>
      <w:r>
        <w:rPr>
          <w:iCs/>
          <w:i/>
        </w:rPr>
        <w:t xml:space="preserve">hṛṣyan</w:t>
      </w:r>
      <w:r>
        <w:t xml:space="preserve"> </w:t>
      </w:r>
      <w:r>
        <w:t xml:space="preserve">(</w:t>
      </w:r>
      <w:r>
        <w:t xml:space="preserve">“</w:t>
      </w:r>
      <w:r>
        <w:t xml:space="preserve">rejoicing</w:t>
      </w:r>
      <w:r>
        <w:t xml:space="preserve">”</w:t>
      </w:r>
      <w:r>
        <w:t xml:space="preserve">); root</w:t>
      </w:r>
      <w:r>
        <w:t xml:space="preserve"> </w:t>
      </w:r>
      <w:r>
        <w:rPr>
          <w:iCs/>
          <w:i/>
        </w:rPr>
        <w:t xml:space="preserve">madi stuti-moda-mada-svapna-kānti-gatiṣu</w:t>
      </w:r>
      <w:r>
        <w:t xml:space="preserve">; by</w:t>
      </w:r>
      <w:r>
        <w:t xml:space="preserve"> </w:t>
      </w:r>
      <w:r>
        <w:t xml:space="preserve">“</w:t>
      </w:r>
      <w:r>
        <w:t xml:space="preserve">ṛñjivṛdhimandisahibhyaḥ kit</w:t>
      </w:r>
      <w:r>
        <w:t xml:space="preserve">”</w:t>
      </w:r>
      <w:r>
        <w:t xml:space="preserve"> </w:t>
      </w:r>
      <w:r>
        <w:t xml:space="preserve">(Uṇ. 2-244 [as printed]), with</w:t>
      </w:r>
      <w:r>
        <w:t xml:space="preserve"> </w:t>
      </w:r>
      <w:r>
        <w:rPr>
          <w:iCs/>
          <w:i/>
        </w:rPr>
        <w:t xml:space="preserve">asānac</w:t>
      </w:r>
      <w:r>
        <w:t xml:space="preserve"> </w:t>
      </w:r>
      <w:r>
        <w:t xml:space="preserve">carried over from</w:t>
      </w:r>
      <w:r>
        <w:t xml:space="preserve"> </w:t>
      </w:r>
      <w:r>
        <w:t xml:space="preserve">“</w:t>
      </w:r>
      <w:r>
        <w:t xml:space="preserve">chandasy asānac chujyābhyām</w:t>
      </w:r>
      <w:r>
        <w:t xml:space="preserve">”</w:t>
      </w:r>
      <w:r>
        <w:t xml:space="preserve"> </w:t>
      </w:r>
      <w:r>
        <w:t xml:space="preserve">(Uṇ. 2-243 [as printed]), the suffix</w:t>
      </w:r>
      <w:r>
        <w:t xml:space="preserve"> </w:t>
      </w:r>
      <w:r>
        <w:rPr>
          <w:iCs/>
          <w:i/>
        </w:rPr>
        <w:t xml:space="preserve">asānac</w:t>
      </w:r>
      <w:r>
        <w:t xml:space="preserve">,</w:t>
      </w:r>
      <w:r>
        <w:t xml:space="preserve"> </w:t>
      </w:r>
      <w:r>
        <w:rPr>
          <w:iCs/>
          <w:i/>
        </w:rPr>
        <w:t xml:space="preserve">kit</w:t>
      </w:r>
      <w:r>
        <w:t xml:space="preserve">, comes after</w:t>
      </w:r>
      <w:r>
        <w:t xml:space="preserve"> </w:t>
      </w:r>
      <w:r>
        <w:rPr>
          <w:iCs/>
          <w:i/>
        </w:rPr>
        <w:t xml:space="preserve">ṛji bharjane</w:t>
      </w:r>
      <w:r>
        <w:t xml:space="preserve">,</w:t>
      </w:r>
      <w:r>
        <w:t xml:space="preserve"> </w:t>
      </w:r>
      <w:r>
        <w:rPr>
          <w:iCs/>
          <w:i/>
        </w:rPr>
        <w:t xml:space="preserve">vṛdhu vṛddhau</w:t>
      </w:r>
      <w:r>
        <w:t xml:space="preserve">,</w:t>
      </w:r>
      <w:r>
        <w:t xml:space="preserve"> </w:t>
      </w:r>
      <w:r>
        <w:rPr>
          <w:iCs/>
          <w:i/>
        </w:rPr>
        <w:t xml:space="preserve">madi stuti…</w:t>
      </w:r>
      <w:r>
        <w:t xml:space="preserve"> </w:t>
      </w:r>
      <w:r>
        <w:t xml:space="preserve">and</w:t>
      </w:r>
      <w:r>
        <w:t xml:space="preserve"> </w:t>
      </w:r>
      <w:r>
        <w:rPr>
          <w:iCs/>
          <w:i/>
        </w:rPr>
        <w:t xml:space="preserve">ṣaha marṣaṇe</w:t>
      </w:r>
      <w:r>
        <w:t xml:space="preserve">; the source remarks that the Bālamanoramā reads the roots there as</w:t>
      </w:r>
      <w:r>
        <w:t xml:space="preserve"> </w:t>
      </w:r>
      <w:r>
        <w:rPr>
          <w:iCs/>
          <w:i/>
        </w:rPr>
        <w:t xml:space="preserve">ṛji gatau</w:t>
      </w:r>
      <w:r>
        <w:t xml:space="preserve"> </w:t>
      </w:r>
      <w:r>
        <w:t xml:space="preserve">and</w:t>
      </w:r>
      <w:r>
        <w:t xml:space="preserve"> </w:t>
      </w:r>
      <w:r>
        <w:rPr>
          <w:iCs/>
          <w:i/>
        </w:rPr>
        <w:t xml:space="preserve">madī harṣe</w:t>
      </w:r>
      <w:r>
        <w:t xml:space="preserve">, but</w:t>
      </w:r>
      <w:r>
        <w:t xml:space="preserve"> </w:t>
      </w:r>
      <w:r>
        <w:rPr>
          <w:iCs/>
          <w:i/>
        </w:rPr>
        <w:t xml:space="preserve">ṛji gatau</w:t>
      </w:r>
      <w:r>
        <w:t xml:space="preserve"> </w:t>
      </w:r>
      <w:r>
        <w:t xml:space="preserve">is not found in the Dhātupāṭha (only</w:t>
      </w:r>
      <w:r>
        <w:t xml:space="preserve"> </w:t>
      </w:r>
      <w:r>
        <w:rPr>
          <w:iCs/>
          <w:i/>
        </w:rPr>
        <w:t xml:space="preserve">ṛja gatau</w:t>
      </w:r>
      <w:r>
        <w:t xml:space="preserve">), and</w:t>
      </w:r>
      <w:r>
        <w:t xml:space="preserve"> </w:t>
      </w:r>
      <w:r>
        <w:rPr>
          <w:iCs/>
          <w:i/>
        </w:rPr>
        <w:t xml:space="preserve">madī harṣe</w:t>
      </w:r>
      <w:r>
        <w:t xml:space="preserve"> </w:t>
      </w:r>
      <w:r>
        <w:t xml:space="preserve">is not</w:t>
      </w:r>
      <w:r>
        <w:t xml:space="preserve"> </w:t>
      </w:r>
      <w:r>
        <w:rPr>
          <w:iCs/>
          <w:i/>
        </w:rPr>
        <w:t xml:space="preserve">idit</w:t>
      </w:r>
      <w:r>
        <w:t xml:space="preserve"> </w:t>
      </w:r>
      <w:r>
        <w:t xml:space="preserve">and so takes no</w:t>
      </w:r>
      <w:r>
        <w:t xml:space="preserve"> </w:t>
      </w:r>
      <w:r>
        <w:rPr>
          <w:iCs/>
          <w:i/>
        </w:rPr>
        <w:t xml:space="preserve">num</w:t>
      </w:r>
      <w:r>
        <w:t xml:space="preserve">; so</w:t>
      </w:r>
      <w:r>
        <w:t xml:space="preserve"> </w:t>
      </w:r>
      <w:r>
        <w:t xml:space="preserve">“</w:t>
      </w:r>
      <w:r>
        <w:t xml:space="preserve">mandi</w:t>
      </w:r>
      <w:r>
        <w:t xml:space="preserve">”</w:t>
      </w:r>
      <w:r>
        <w:t xml:space="preserve"> </w:t>
      </w:r>
      <w:r>
        <w:t xml:space="preserve">in the sūtra would not fit, and the reading may be due to a copyist’s or proof-reader’s slip; the suffix is</w:t>
      </w:r>
      <w:r>
        <w:t xml:space="preserve"> </w:t>
      </w:r>
      <w:r>
        <w:rPr>
          <w:iCs/>
          <w:i/>
        </w:rPr>
        <w:t xml:space="preserve">cit</w:t>
      </w:r>
      <w:r>
        <w:t xml:space="preserve">, so final-udātta (</w:t>
      </w:r>
      <w:r>
        <w:t xml:space="preserve">“</w:t>
      </w:r>
      <w:r>
        <w:t xml:space="preserve">citaḥ,</w:t>
      </w:r>
      <w:r>
        <w:t xml:space="preserve">”</w:t>
      </w:r>
      <w:r>
        <w:t xml:space="preserve"> </w:t>
      </w:r>
      <w:r>
        <w:t xml:space="preserve">Pā. 6-1-163).</w:t>
      </w:r>
      <w:r>
        <w:t xml:space="preserve"> </w:t>
      </w:r>
      <w:r>
        <w:rPr>
          <w:bCs/>
          <w:b/>
        </w:rPr>
        <w:t xml:space="preserve">सुतम् (</w:t>
      </w:r>
      <w:r>
        <w:rPr>
          <w:iCs/>
          <w:i/>
          <w:bCs/>
          <w:b/>
        </w:rPr>
        <w:t xml:space="preserve">sutam</w:t>
      </w:r>
      <w:r>
        <w:rPr>
          <w:bCs/>
          <w:b/>
        </w:rPr>
        <w:t xml:space="preserve">)</w:t>
      </w:r>
      <w:r>
        <w:t xml:space="preserve"> </w:t>
      </w:r>
      <w:r>
        <w:t xml:space="preserve">—</w:t>
      </w:r>
      <w:r>
        <w:t xml:space="preserve"> </w:t>
      </w:r>
      <w:r>
        <w:rPr>
          <w:iCs/>
          <w:i/>
        </w:rPr>
        <w:t xml:space="preserve">kta</w:t>
      </w:r>
      <w:r>
        <w:t xml:space="preserve">-ending; the suffix accent.</w:t>
      </w:r>
      <w:r>
        <w:t xml:space="preserve"> </w:t>
      </w:r>
      <w:r>
        <w:rPr>
          <w:bCs/>
          <w:b/>
        </w:rPr>
        <w:t xml:space="preserve">नव्यम् (</w:t>
      </w:r>
      <w:r>
        <w:rPr>
          <w:iCs/>
          <w:i/>
          <w:bCs/>
          <w:b/>
        </w:rPr>
        <w:t xml:space="preserve">navyam</w:t>
      </w:r>
      <w:r>
        <w:rPr>
          <w:bCs/>
          <w:b/>
        </w:rPr>
        <w:t xml:space="preserve">)</w:t>
      </w:r>
      <w:r>
        <w:t xml:space="preserve"> </w:t>
      </w:r>
      <w:r>
        <w:t xml:space="preserve">— root</w:t>
      </w:r>
      <w:r>
        <w:t xml:space="preserve"> </w:t>
      </w:r>
      <w:r>
        <w:rPr>
          <w:iCs/>
          <w:i/>
        </w:rPr>
        <w:t xml:space="preserve">ṇu stutau</w:t>
      </w:r>
      <w:r>
        <w:t xml:space="preserve">;</w:t>
      </w:r>
      <w:r>
        <w:t xml:space="preserve"> </w:t>
      </w:r>
      <w:r>
        <w:rPr>
          <w:iCs/>
          <w:i/>
        </w:rPr>
        <w:t xml:space="preserve">ṇ</w:t>
      </w:r>
      <w:r>
        <w:t xml:space="preserve"> </w:t>
      </w:r>
      <w:r>
        <w:t xml:space="preserve">→</w:t>
      </w:r>
      <w:r>
        <w:t xml:space="preserve"> </w:t>
      </w:r>
      <w:r>
        <w:rPr>
          <w:iCs/>
          <w:i/>
        </w:rPr>
        <w:t xml:space="preserve">n</w:t>
      </w:r>
      <w:r>
        <w:t xml:space="preserve"> </w:t>
      </w:r>
      <w:r>
        <w:t xml:space="preserve">(</w:t>
      </w:r>
      <w:r>
        <w:t xml:space="preserve">“</w:t>
      </w:r>
      <w:r>
        <w:t xml:space="preserve">ṇo naḥ,</w:t>
      </w:r>
      <w:r>
        <w:t xml:space="preserve">”</w:t>
      </w:r>
      <w:r>
        <w:t xml:space="preserve"> </w:t>
      </w:r>
      <w:r>
        <w:t xml:space="preserve">Pā. 6-1-65);</w:t>
      </w:r>
      <w:r>
        <w:t xml:space="preserve"> </w:t>
      </w:r>
      <w:r>
        <w:rPr>
          <w:iCs/>
          <w:i/>
        </w:rPr>
        <w:t xml:space="preserve">yat</w:t>
      </w:r>
      <w:r>
        <w:t xml:space="preserve"> </w:t>
      </w:r>
      <w:r>
        <w:t xml:space="preserve">after a vowel-ending root (</w:t>
      </w:r>
      <w:r>
        <w:t xml:space="preserve">“</w:t>
      </w:r>
      <w:r>
        <w:t xml:space="preserve">aco yat,</w:t>
      </w:r>
      <w:r>
        <w:t xml:space="preserve">”</w:t>
      </w:r>
      <w:r>
        <w:t xml:space="preserve"> </w:t>
      </w:r>
      <w:r>
        <w:t xml:space="preserve">printed</w:t>
      </w:r>
      <w:r>
        <w:t xml:space="preserve"> </w:t>
      </w:r>
      <w:r>
        <w:t xml:space="preserve">“</w:t>
      </w:r>
      <w:r>
        <w:t xml:space="preserve">3-1-96</w:t>
      </w:r>
      <w:r>
        <w:t xml:space="preserve">”</w:t>
      </w:r>
      <w:r>
        <w:t xml:space="preserve"> </w:t>
      </w:r>
      <w:r>
        <w:t xml:space="preserve">[as printed], i.e. 3-1-97),</w:t>
      </w:r>
      <w:r>
        <w:t xml:space="preserve"> </w:t>
      </w:r>
      <w:r>
        <w:rPr>
          <w:iCs/>
          <w:i/>
        </w:rPr>
        <w:t xml:space="preserve">nu</w:t>
      </w:r>
      <w:r>
        <w:t xml:space="preserve"> </w:t>
      </w:r>
      <w:r>
        <w:t xml:space="preserve">+</w:t>
      </w:r>
      <w:r>
        <w:t xml:space="preserve"> </w:t>
      </w:r>
      <w:r>
        <w:rPr>
          <w:iCs/>
          <w:i/>
        </w:rPr>
        <w:t xml:space="preserve">ya</w:t>
      </w:r>
      <w:r>
        <w:t xml:space="preserve">; since</w:t>
      </w:r>
      <w:r>
        <w:t xml:space="preserve"> </w:t>
      </w:r>
      <w:r>
        <w:rPr>
          <w:iCs/>
          <w:i/>
        </w:rPr>
        <w:t xml:space="preserve">ya</w:t>
      </w:r>
      <w:r>
        <w:t xml:space="preserve"> </w:t>
      </w:r>
      <w:r>
        <w:t xml:space="preserve">is an</w:t>
      </w:r>
      <w:r>
        <w:t xml:space="preserve"> </w:t>
      </w:r>
      <w:r>
        <w:rPr>
          <w:iCs/>
          <w:i/>
        </w:rPr>
        <w:t xml:space="preserve">ārdhadhātuka</w:t>
      </w:r>
      <w:r>
        <w:t xml:space="preserve">,</w:t>
      </w:r>
      <w:r>
        <w:t xml:space="preserve"> </w:t>
      </w:r>
      <w:r>
        <w:rPr>
          <w:iCs/>
          <w:i/>
        </w:rPr>
        <w:t xml:space="preserve">guṇa</w:t>
      </w:r>
      <w:r>
        <w:t xml:space="preserve"> </w:t>
      </w:r>
      <w:r>
        <w:t xml:space="preserve">(</w:t>
      </w:r>
      <w:r>
        <w:t xml:space="preserve">“</w:t>
      </w:r>
      <w:r>
        <w:t xml:space="preserve">sārvadhātukārdhadhātukayoḥ</w:t>
      </w:r>
      <w:r>
        <w:t xml:space="preserve">”</w:t>
      </w:r>
      <w:r>
        <w:t xml:space="preserve">),</w:t>
      </w:r>
      <w:r>
        <w:t xml:space="preserve"> </w:t>
      </w:r>
      <w:r>
        <w:rPr>
          <w:iCs/>
          <w:i/>
        </w:rPr>
        <w:t xml:space="preserve">u</w:t>
      </w:r>
      <w:r>
        <w:t xml:space="preserve"> </w:t>
      </w:r>
      <w:r>
        <w:t xml:space="preserve">→</w:t>
      </w:r>
      <w:r>
        <w:t xml:space="preserve"> </w:t>
      </w:r>
      <w:r>
        <w:rPr>
          <w:iCs/>
          <w:i/>
        </w:rPr>
        <w:t xml:space="preserve">o</w:t>
      </w:r>
      <w:r>
        <w:t xml:space="preserve">; then</w:t>
      </w:r>
      <w:r>
        <w:t xml:space="preserve"> </w:t>
      </w:r>
      <w:r>
        <w:t xml:space="preserve">“</w:t>
      </w:r>
      <w:r>
        <w:t xml:space="preserve">vānto yi pratyaye</w:t>
      </w:r>
      <w:r>
        <w:t xml:space="preserve">”</w:t>
      </w:r>
      <w:r>
        <w:t xml:space="preserve"> </w:t>
      </w:r>
      <w:r>
        <w:t xml:space="preserve">(Pā. 6-1-79): before a</w:t>
      </w:r>
      <w:r>
        <w:t xml:space="preserve"> </w:t>
      </w:r>
      <w:r>
        <w:rPr>
          <w:iCs/>
          <w:i/>
        </w:rPr>
        <w:t xml:space="preserve">y</w:t>
      </w:r>
      <w:r>
        <w:t xml:space="preserve">-initial suffix</w:t>
      </w:r>
      <w:r>
        <w:t xml:space="preserve"> </w:t>
      </w:r>
      <w:r>
        <w:rPr>
          <w:iCs/>
          <w:i/>
        </w:rPr>
        <w:t xml:space="preserve">o</w:t>
      </w:r>
      <w:r>
        <w:t xml:space="preserve"> </w:t>
      </w:r>
      <w:r>
        <w:t xml:space="preserve">and</w:t>
      </w:r>
      <w:r>
        <w:t xml:space="preserve"> </w:t>
      </w:r>
      <w:r>
        <w:rPr>
          <w:iCs/>
          <w:i/>
        </w:rPr>
        <w:t xml:space="preserve">au</w:t>
      </w:r>
      <w:r>
        <w:t xml:space="preserve"> </w:t>
      </w:r>
      <w:r>
        <w:t xml:space="preserve">become</w:t>
      </w:r>
      <w:r>
        <w:t xml:space="preserve"> </w:t>
      </w:r>
      <w:r>
        <w:rPr>
          <w:iCs/>
          <w:i/>
        </w:rPr>
        <w:t xml:space="preserve">av</w:t>
      </w:r>
      <w:r>
        <w:t xml:space="preserve"> </w:t>
      </w:r>
      <w:r>
        <w:t xml:space="preserve">and</w:t>
      </w:r>
      <w:r>
        <w:t xml:space="preserve"> </w:t>
      </w:r>
      <w:r>
        <w:rPr>
          <w:iCs/>
          <w:i/>
        </w:rPr>
        <w:t xml:space="preserve">āv</w:t>
      </w:r>
      <w:r>
        <w:t xml:space="preserve">, so</w:t>
      </w:r>
      <w:r>
        <w:t xml:space="preserve"> </w:t>
      </w:r>
      <w:r>
        <w:rPr>
          <w:iCs/>
          <w:i/>
        </w:rPr>
        <w:t xml:space="preserve">no</w:t>
      </w:r>
      <w:r>
        <w:t xml:space="preserve"> </w:t>
      </w:r>
      <w:r>
        <w:t xml:space="preserve">→</w:t>
      </w:r>
      <w:r>
        <w:t xml:space="preserve"> </w:t>
      </w:r>
      <w:r>
        <w:rPr>
          <w:iCs/>
          <w:i/>
        </w:rPr>
        <w:t xml:space="preserve">nav</w:t>
      </w:r>
      <w:r>
        <w:t xml:space="preserve">;</w:t>
      </w:r>
      <w:r>
        <w:t xml:space="preserve"> </w:t>
      </w:r>
      <w:r>
        <w:rPr>
          <w:iCs/>
          <w:i/>
        </w:rPr>
        <w:t xml:space="preserve">navya</w:t>
      </w:r>
      <w:r>
        <w:t xml:space="preserve">;</w:t>
      </w:r>
      <w:r>
        <w:t xml:space="preserve"> </w:t>
      </w:r>
      <w:r>
        <w:t xml:space="preserve">“</w:t>
      </w:r>
      <w:r>
        <w:t xml:space="preserve">yato ’nāvaḥ</w:t>
      </w:r>
      <w:r>
        <w:t xml:space="preserve">”</w:t>
      </w:r>
      <w:r>
        <w:t xml:space="preserve"> </w:t>
      </w:r>
      <w:r>
        <w:t xml:space="preserve">(Pā. 6-1-213) gives initial-udātta; accusative singular</w:t>
      </w:r>
      <w:r>
        <w:t xml:space="preserve"> </w:t>
      </w:r>
      <w:r>
        <w:rPr>
          <w:iCs/>
          <w:i/>
        </w:rPr>
        <w:t xml:space="preserve">navyam</w:t>
      </w:r>
      <w:r>
        <w:t xml:space="preserve">.</w:t>
      </w:r>
      <w:r>
        <w:t xml:space="preserve"> </w:t>
      </w:r>
      <w:r>
        <w:rPr>
          <w:bCs/>
          <w:b/>
        </w:rPr>
        <w:t xml:space="preserve">आयुः (</w:t>
      </w:r>
      <w:r>
        <w:rPr>
          <w:iCs/>
          <w:i/>
          <w:bCs/>
          <w:b/>
        </w:rPr>
        <w:t xml:space="preserve">āyuḥ</w:t>
      </w:r>
      <w:r>
        <w:rPr>
          <w:bCs/>
          <w:b/>
        </w:rPr>
        <w:t xml:space="preserve">)</w:t>
      </w:r>
      <w:r>
        <w:t xml:space="preserve"> </w:t>
      </w:r>
      <w:r>
        <w:t xml:space="preserve">— by</w:t>
      </w:r>
      <w:r>
        <w:t xml:space="preserve"> </w:t>
      </w:r>
      <w:r>
        <w:t xml:space="preserve">“</w:t>
      </w:r>
      <w:r>
        <w:t xml:space="preserve">eter ṇic ca</w:t>
      </w:r>
      <w:r>
        <w:t xml:space="preserve">”</w:t>
      </w:r>
      <w:r>
        <w:t xml:space="preserve"> </w:t>
      </w:r>
      <w:r>
        <w:t xml:space="preserve">(Uṇ. 2-283 [?] as printed), with</w:t>
      </w:r>
      <w:r>
        <w:t xml:space="preserve"> </w:t>
      </w:r>
      <w:r>
        <w:rPr>
          <w:iCs/>
          <w:i/>
        </w:rPr>
        <w:t xml:space="preserve">usi</w:t>
      </w:r>
      <w:r>
        <w:t xml:space="preserve"> </w:t>
      </w:r>
      <w:r>
        <w:t xml:space="preserve">carried over from</w:t>
      </w:r>
      <w:r>
        <w:t xml:space="preserve"> </w:t>
      </w:r>
      <w:r>
        <w:t xml:space="preserve">“</w:t>
      </w:r>
      <w:r>
        <w:t xml:space="preserve">janer usiḥ</w:t>
      </w:r>
      <w:r>
        <w:t xml:space="preserve">”</w:t>
      </w:r>
      <w:r>
        <w:t xml:space="preserve"> </w:t>
      </w:r>
      <w:r>
        <w:t xml:space="preserve">(Uṇ. 2-286 [as printed]) and</w:t>
      </w:r>
      <w:r>
        <w:t xml:space="preserve"> </w:t>
      </w:r>
      <w:r>
        <w:rPr>
          <w:iCs/>
          <w:i/>
        </w:rPr>
        <w:t xml:space="preserve">nit</w:t>
      </w:r>
      <w:r>
        <w:t xml:space="preserve"> </w:t>
      </w:r>
      <w:r>
        <w:t xml:space="preserve">from</w:t>
      </w:r>
      <w:r>
        <w:t xml:space="preserve"> </w:t>
      </w:r>
      <w:r>
        <w:t xml:space="preserve">“</w:t>
      </w:r>
      <w:r>
        <w:t xml:space="preserve">artipṛvapiyajitanidhanitapibhyo nit</w:t>
      </w:r>
      <w:r>
        <w:t xml:space="preserve">”</w:t>
      </w:r>
      <w:r>
        <w:t xml:space="preserve"> </w:t>
      </w:r>
      <w:r>
        <w:t xml:space="preserve">(Uṇ. 2-284 [as printed]), the suffix</w:t>
      </w:r>
      <w:r>
        <w:t xml:space="preserve"> </w:t>
      </w:r>
      <w:r>
        <w:rPr>
          <w:iCs/>
          <w:i/>
        </w:rPr>
        <w:t xml:space="preserve">usi</w:t>
      </w:r>
      <w:r>
        <w:t xml:space="preserve"> </w:t>
      </w:r>
      <w:r>
        <w:t xml:space="preserve">comes after</w:t>
      </w:r>
      <w:r>
        <w:t xml:space="preserve"> </w:t>
      </w:r>
      <w:r>
        <w:rPr>
          <w:iCs/>
          <w:i/>
        </w:rPr>
        <w:t xml:space="preserve">iṇ gatau</w:t>
      </w:r>
      <w:r>
        <w:t xml:space="preserve">, being both</w:t>
      </w:r>
      <w:r>
        <w:t xml:space="preserve"> </w:t>
      </w:r>
      <w:r>
        <w:rPr>
          <w:iCs/>
          <w:i/>
        </w:rPr>
        <w:t xml:space="preserve">ṇit</w:t>
      </w:r>
      <w:r>
        <w:t xml:space="preserve"> </w:t>
      </w:r>
      <w:r>
        <w:t xml:space="preserve">and</w:t>
      </w:r>
      <w:r>
        <w:t xml:space="preserve"> </w:t>
      </w:r>
      <w:r>
        <w:rPr>
          <w:iCs/>
          <w:i/>
        </w:rPr>
        <w:t xml:space="preserve">nit</w:t>
      </w:r>
      <w:r>
        <w:t xml:space="preserve">;</w:t>
      </w:r>
      <w:r>
        <w:t xml:space="preserve"> </w:t>
      </w:r>
      <w:r>
        <w:rPr>
          <w:iCs/>
          <w:i/>
        </w:rPr>
        <w:t xml:space="preserve">i</w:t>
      </w:r>
      <w:r>
        <w:t xml:space="preserve"> </w:t>
      </w:r>
      <w:r>
        <w:t xml:space="preserve">+</w:t>
      </w:r>
      <w:r>
        <w:t xml:space="preserve"> </w:t>
      </w:r>
      <w:r>
        <w:rPr>
          <w:iCs/>
          <w:i/>
        </w:rPr>
        <w:t xml:space="preserve">us</w:t>
      </w:r>
      <w:r>
        <w:t xml:space="preserve">:</w:t>
      </w:r>
      <w:r>
        <w:t xml:space="preserve"> </w:t>
      </w:r>
      <w:r>
        <w:rPr>
          <w:iCs/>
          <w:i/>
        </w:rPr>
        <w:t xml:space="preserve">vṛddhi</w:t>
      </w:r>
      <w:r>
        <w:t xml:space="preserve"> </w:t>
      </w:r>
      <w:r>
        <w:t xml:space="preserve">by</w:t>
      </w:r>
      <w:r>
        <w:t xml:space="preserve"> </w:t>
      </w:r>
      <w:r>
        <w:t xml:space="preserve">“</w:t>
      </w:r>
      <w:r>
        <w:t xml:space="preserve">aco ñṇiti</w:t>
      </w:r>
      <w:r>
        <w:t xml:space="preserve">”</w:t>
      </w:r>
      <w:r>
        <w:t xml:space="preserve"> </w:t>
      </w:r>
      <w:r>
        <w:t xml:space="preserve">(Pā. 7-2-115) —</w:t>
      </w:r>
      <w:r>
        <w:t xml:space="preserve"> </w:t>
      </w:r>
      <w:r>
        <w:rPr>
          <w:iCs/>
          <w:i/>
        </w:rPr>
        <w:t xml:space="preserve">i</w:t>
      </w:r>
      <w:r>
        <w:t xml:space="preserve"> </w:t>
      </w:r>
      <w:r>
        <w:t xml:space="preserve">→</w:t>
      </w:r>
      <w:r>
        <w:t xml:space="preserve"> </w:t>
      </w:r>
      <w:r>
        <w:rPr>
          <w:iCs/>
          <w:i/>
        </w:rPr>
        <w:t xml:space="preserve">ai</w:t>
      </w:r>
      <w:r>
        <w:t xml:space="preserve">; then</w:t>
      </w:r>
      <w:r>
        <w:t xml:space="preserve"> </w:t>
      </w:r>
      <w:r>
        <w:rPr>
          <w:iCs/>
          <w:i/>
        </w:rPr>
        <w:t xml:space="preserve">ai</w:t>
      </w:r>
      <w:r>
        <w:t xml:space="preserve"> </w:t>
      </w:r>
      <w:r>
        <w:t xml:space="preserve">→</w:t>
      </w:r>
      <w:r>
        <w:t xml:space="preserve"> </w:t>
      </w:r>
      <w:r>
        <w:rPr>
          <w:iCs/>
          <w:i/>
        </w:rPr>
        <w:t xml:space="preserve">āy</w:t>
      </w:r>
      <w:r>
        <w:t xml:space="preserve"> </w:t>
      </w:r>
      <w:r>
        <w:t xml:space="preserve">(</w:t>
      </w:r>
      <w:r>
        <w:t xml:space="preserve">“</w:t>
      </w:r>
      <w:r>
        <w:t xml:space="preserve">eco ’yavāyāvaḥ,</w:t>
      </w:r>
      <w:r>
        <w:t xml:space="preserve">”</w:t>
      </w:r>
      <w:r>
        <w:t xml:space="preserve"> </w:t>
      </w:r>
      <w:r>
        <w:t xml:space="preserve">Pā. 6-1-78),</w:t>
      </w:r>
      <w:r>
        <w:t xml:space="preserve"> </w:t>
      </w:r>
      <w:r>
        <w:rPr>
          <w:iCs/>
          <w:i/>
        </w:rPr>
        <w:t xml:space="preserve">āyus</w:t>
      </w:r>
      <w:r>
        <w:t xml:space="preserve">;</w:t>
      </w:r>
      <w:r>
        <w:t xml:space="preserve"> </w:t>
      </w:r>
      <w:r>
        <w:rPr>
          <w:iCs/>
          <w:i/>
        </w:rPr>
        <w:t xml:space="preserve">ru</w:t>
      </w:r>
      <w:r>
        <w:t xml:space="preserve"> </w:t>
      </w:r>
      <w:r>
        <w:t xml:space="preserve">and visarga,</w:t>
      </w:r>
      <w:r>
        <w:t xml:space="preserve"> </w:t>
      </w:r>
      <w:r>
        <w:rPr>
          <w:iCs/>
          <w:i/>
        </w:rPr>
        <w:t xml:space="preserve">āyuḥ</w:t>
      </w:r>
      <w:r>
        <w:t xml:space="preserve">; initial-udātta,</w:t>
      </w:r>
      <w:r>
        <w:t xml:space="preserve"> </w:t>
      </w:r>
      <w:r>
        <w:t xml:space="preserve">“</w:t>
      </w:r>
      <w:r>
        <w:t xml:space="preserve">ñnityādir nityam</w:t>
      </w:r>
      <w:r>
        <w:t xml:space="preserve">”</w:t>
      </w:r>
      <w:r>
        <w:t xml:space="preserve"> </w:t>
      </w:r>
      <w:r>
        <w:t xml:space="preserve">(Pā. 6-1-197).</w:t>
      </w:r>
      <w:r>
        <w:t xml:space="preserve"> </w:t>
      </w:r>
      <w:r>
        <w:rPr>
          <w:bCs/>
          <w:b/>
        </w:rPr>
        <w:t xml:space="preserve">सु (</w:t>
      </w:r>
      <w:r>
        <w:rPr>
          <w:iCs/>
          <w:i/>
          <w:bCs/>
          <w:b/>
        </w:rPr>
        <w:t xml:space="preserve">su</w:t>
      </w:r>
      <w:r>
        <w:rPr>
          <w:bCs/>
          <w:b/>
        </w:rPr>
        <w:t xml:space="preserve">)</w:t>
      </w:r>
      <w:r>
        <w:t xml:space="preserve"> </w:t>
      </w:r>
      <w:r>
        <w:t xml:space="preserve">— in the Saṃhitā lengthened by</w:t>
      </w:r>
      <w:r>
        <w:t xml:space="preserve"> </w:t>
      </w:r>
      <w:r>
        <w:t xml:space="preserve">“</w:t>
      </w:r>
      <w:r>
        <w:t xml:space="preserve">nipātasya ca</w:t>
      </w:r>
      <w:r>
        <w:t xml:space="preserve">”</w:t>
      </w:r>
      <w:r>
        <w:t xml:space="preserve"> </w:t>
      </w:r>
      <w:r>
        <w:t xml:space="preserve">(Pā. 6-3-136).</w:t>
      </w:r>
      <w:r>
        <w:t xml:space="preserve"> </w:t>
      </w:r>
      <w:r>
        <w:rPr>
          <w:bCs/>
          <w:b/>
        </w:rPr>
        <w:t xml:space="preserve">तिर (</w:t>
      </w:r>
      <w:r>
        <w:rPr>
          <w:iCs/>
          <w:i/>
          <w:bCs/>
          <w:b/>
        </w:rPr>
        <w:t xml:space="preserve">tira</w:t>
      </w:r>
      <w:r>
        <w:rPr>
          <w:bCs/>
          <w:b/>
        </w:rPr>
        <w:t xml:space="preserve">)</w:t>
      </w:r>
      <w:r>
        <w:t xml:space="preserve"> </w:t>
      </w:r>
      <w:r>
        <w:t xml:space="preserve">— root</w:t>
      </w:r>
      <w:r>
        <w:t xml:space="preserve"> </w:t>
      </w:r>
      <w:r>
        <w:rPr>
          <w:iCs/>
          <w:i/>
        </w:rPr>
        <w:t xml:space="preserve">tṝ plavanataraṇayoḥ</w:t>
      </w:r>
      <w:r>
        <w:t xml:space="preserve"> </w:t>
      </w:r>
      <w:r>
        <w:t xml:space="preserve">(</w:t>
      </w:r>
      <w:r>
        <w:rPr>
          <w:iCs/>
          <w:i/>
        </w:rPr>
        <w:t xml:space="preserve">bhvādi</w:t>
      </w:r>
      <w:r>
        <w:t xml:space="preserve">);</w:t>
      </w:r>
      <w:r>
        <w:t xml:space="preserve"> </w:t>
      </w:r>
      <w:r>
        <w:rPr>
          <w:iCs/>
          <w:i/>
        </w:rPr>
        <w:t xml:space="preserve">loṭ</w:t>
      </w:r>
      <w:r>
        <w:t xml:space="preserve"> </w:t>
      </w:r>
      <w:r>
        <w:t xml:space="preserve">second singular</w:t>
      </w:r>
      <w:r>
        <w:t xml:space="preserve"> </w:t>
      </w:r>
      <w:r>
        <w:rPr>
          <w:iCs/>
          <w:i/>
        </w:rPr>
        <w:t xml:space="preserve">sip</w:t>
      </w:r>
      <w:r>
        <w:t xml:space="preserve">;</w:t>
      </w:r>
      <w:r>
        <w:t xml:space="preserve"> </w:t>
      </w:r>
      <w:r>
        <w:rPr>
          <w:iCs/>
          <w:i/>
        </w:rPr>
        <w:t xml:space="preserve">sip</w:t>
      </w:r>
      <w:r>
        <w:t xml:space="preserve"> </w:t>
      </w:r>
      <w:r>
        <w:t xml:space="preserve">→</w:t>
      </w:r>
      <w:r>
        <w:t xml:space="preserve"> </w:t>
      </w:r>
      <w:r>
        <w:rPr>
          <w:iCs/>
          <w:i/>
        </w:rPr>
        <w:t xml:space="preserve">hi</w:t>
      </w:r>
      <w:r>
        <w:t xml:space="preserve"> </w:t>
      </w:r>
      <w:r>
        <w:t xml:space="preserve">by</w:t>
      </w:r>
      <w:r>
        <w:t xml:space="preserve"> </w:t>
      </w:r>
      <w:r>
        <w:t xml:space="preserve">“</w:t>
      </w:r>
      <w:r>
        <w:t xml:space="preserve">seryapicca</w:t>
      </w:r>
      <w:r>
        <w:t xml:space="preserve">”</w:t>
      </w:r>
      <w:r>
        <w:t xml:space="preserve"> </w:t>
      </w:r>
      <w:r>
        <w:t xml:space="preserve">(Pā. 3-4-87);</w:t>
      </w:r>
      <w:r>
        <w:t xml:space="preserve"> </w:t>
      </w:r>
      <w:r>
        <w:rPr>
          <w:iCs/>
          <w:i/>
        </w:rPr>
        <w:t xml:space="preserve">śap</w:t>
      </w:r>
      <w:r>
        <w:t xml:space="preserve"> </w:t>
      </w:r>
      <w:r>
        <w:t xml:space="preserve">should arise but by Vedic inversion the vikaraṇa</w:t>
      </w:r>
      <w:r>
        <w:t xml:space="preserve"> </w:t>
      </w:r>
      <w:r>
        <w:rPr>
          <w:iCs/>
          <w:i/>
        </w:rPr>
        <w:t xml:space="preserve">śa</w:t>
      </w:r>
      <w:r>
        <w:t xml:space="preserve"> </w:t>
      </w:r>
      <w:r>
        <w:t xml:space="preserve">arises, which is</w:t>
      </w:r>
      <w:r>
        <w:t xml:space="preserve"> </w:t>
      </w:r>
      <w:r>
        <w:rPr>
          <w:iCs/>
          <w:i/>
        </w:rPr>
        <w:t xml:space="preserve">apit</w:t>
      </w:r>
      <w:r>
        <w:t xml:space="preserve"> </w:t>
      </w:r>
      <w:r>
        <w:t xml:space="preserve">and so</w:t>
      </w:r>
      <w:r>
        <w:t xml:space="preserve"> </w:t>
      </w:r>
      <w:r>
        <w:rPr>
          <w:iCs/>
          <w:i/>
        </w:rPr>
        <w:t xml:space="preserve">ṅit</w:t>
      </w:r>
      <w:r>
        <w:t xml:space="preserve">-like; hence</w:t>
      </w:r>
      <w:r>
        <w:t xml:space="preserve"> </w:t>
      </w:r>
      <w:r>
        <w:t xml:space="preserve">“</w:t>
      </w:r>
      <w:r>
        <w:t xml:space="preserve">sārvadhātukam apit</w:t>
      </w:r>
      <w:r>
        <w:t xml:space="preserve">”</w:t>
      </w:r>
      <w:r>
        <w:t xml:space="preserve"> </w:t>
      </w:r>
      <w:r>
        <w:t xml:space="preserve">(Pā. 1-2-4) and no</w:t>
      </w:r>
      <w:r>
        <w:t xml:space="preserve"> </w:t>
      </w:r>
      <w:r>
        <w:rPr>
          <w:iCs/>
          <w:i/>
        </w:rPr>
        <w:t xml:space="preserve">guṇa</w:t>
      </w:r>
      <w:r>
        <w:t xml:space="preserve"> </w:t>
      </w:r>
      <w:r>
        <w:t xml:space="preserve">by</w:t>
      </w:r>
      <w:r>
        <w:t xml:space="preserve"> </w:t>
      </w:r>
      <w:r>
        <w:t xml:space="preserve">“</w:t>
      </w:r>
      <w:r>
        <w:t xml:space="preserve">kṅiti ca</w:t>
      </w:r>
      <w:r>
        <w:t xml:space="preserve">”</w:t>
      </w:r>
      <w:r>
        <w:t xml:space="preserve"> </w:t>
      </w:r>
      <w:r>
        <w:t xml:space="preserve">(Pā. 1-1-5);</w:t>
      </w:r>
      <w:r>
        <w:t xml:space="preserve"> </w:t>
      </w:r>
      <w:r>
        <w:t xml:space="preserve">“</w:t>
      </w:r>
      <w:r>
        <w:t xml:space="preserve">ṛta id dhātoḥ</w:t>
      </w:r>
      <w:r>
        <w:t xml:space="preserve">”</w:t>
      </w:r>
      <w:r>
        <w:t xml:space="preserve"> </w:t>
      </w:r>
      <w:r>
        <w:t xml:space="preserve">(Pā. 7-1-100):</w:t>
      </w:r>
      <w:r>
        <w:t xml:space="preserve"> </w:t>
      </w:r>
      <w:r>
        <w:rPr>
          <w:iCs/>
          <w:i/>
        </w:rPr>
        <w:t xml:space="preserve">i</w:t>
      </w:r>
      <w:r>
        <w:t xml:space="preserve"> </w:t>
      </w:r>
      <w:r>
        <w:t xml:space="preserve">in place of the</w:t>
      </w:r>
      <w:r>
        <w:t xml:space="preserve"> </w:t>
      </w:r>
      <w:r>
        <w:rPr>
          <w:iCs/>
          <w:i/>
        </w:rPr>
        <w:t xml:space="preserve">ṛ</w:t>
      </w:r>
      <w:r>
        <w:t xml:space="preserve">, the final, by</w:t>
      </w:r>
      <w:r>
        <w:t xml:space="preserve"> </w:t>
      </w:r>
      <w:r>
        <w:t xml:space="preserve">“</w:t>
      </w:r>
      <w:r>
        <w:t xml:space="preserve">alo ’ntyasya</w:t>
      </w:r>
      <w:r>
        <w:t xml:space="preserve">”</w:t>
      </w:r>
      <w:r>
        <w:t xml:space="preserve"> </w:t>
      </w:r>
      <w:r>
        <w:t xml:space="preserve">(Pā. 1-1-52); then</w:t>
      </w:r>
      <w:r>
        <w:t xml:space="preserve"> </w:t>
      </w:r>
      <w:r>
        <w:t xml:space="preserve">“</w:t>
      </w:r>
      <w:r>
        <w:t xml:space="preserve">uraṇ raparaḥ</w:t>
      </w:r>
      <w:r>
        <w:t xml:space="preserve">”</w:t>
      </w:r>
      <w:r>
        <w:t xml:space="preserve"> </w:t>
      </w:r>
      <w:r>
        <w:t xml:space="preserve">(Pā. 1-1-51):</w:t>
      </w:r>
      <w:r>
        <w:t xml:space="preserve"> </w:t>
      </w:r>
      <w:r>
        <w:rPr>
          <w:iCs/>
          <w:i/>
        </w:rPr>
        <w:t xml:space="preserve">tir</w:t>
      </w:r>
      <w:r>
        <w:t xml:space="preserve">;</w:t>
      </w:r>
      <w:r>
        <w:t xml:space="preserve"> </w:t>
      </w:r>
      <w:r>
        <w:rPr>
          <w:iCs/>
          <w:i/>
        </w:rPr>
        <w:t xml:space="preserve">hi</w:t>
      </w:r>
      <w:r>
        <w:t xml:space="preserve"> </w:t>
      </w:r>
      <w:r>
        <w:t xml:space="preserve">is dropped after a stem ending in</w:t>
      </w:r>
      <w:r>
        <w:t xml:space="preserve"> </w:t>
      </w:r>
      <w:r>
        <w:rPr>
          <w:iCs/>
          <w:i/>
        </w:rPr>
        <w:t xml:space="preserve">a</w:t>
      </w:r>
      <w:r>
        <w:t xml:space="preserve"> </w:t>
      </w:r>
      <w:r>
        <w:t xml:space="preserve">(</w:t>
      </w:r>
      <w:r>
        <w:t xml:space="preserve">“</w:t>
      </w:r>
      <w:r>
        <w:t xml:space="preserve">ato heḥ,</w:t>
      </w:r>
      <w:r>
        <w:t xml:space="preserve">”</w:t>
      </w:r>
      <w:r>
        <w:t xml:space="preserve"> </w:t>
      </w:r>
      <w:r>
        <w:t xml:space="preserve">Pā. 6-4-105);</w:t>
      </w:r>
      <w:r>
        <w:t xml:space="preserve"> </w:t>
      </w:r>
      <w:r>
        <w:rPr>
          <w:iCs/>
          <w:i/>
        </w:rPr>
        <w:t xml:space="preserve">tira</w:t>
      </w:r>
      <w:r>
        <w:t xml:space="preserve">.</w:t>
      </w:r>
      <w:r>
        <w:t xml:space="preserve"> </w:t>
      </w:r>
      <w:r>
        <w:rPr>
          <w:bCs/>
          <w:b/>
        </w:rPr>
        <w:t xml:space="preserve">कृधि (</w:t>
      </w:r>
      <w:r>
        <w:rPr>
          <w:iCs/>
          <w:i/>
          <w:bCs/>
          <w:b/>
        </w:rPr>
        <w:t xml:space="preserve">kṛdhi</w:t>
      </w:r>
      <w:r>
        <w:rPr>
          <w:bCs/>
          <w:b/>
        </w:rPr>
        <w:t xml:space="preserve">)</w:t>
      </w:r>
      <w:r>
        <w:t xml:space="preserve"> </w:t>
      </w:r>
      <w:r>
        <w:t xml:space="preserve">— root</w:t>
      </w:r>
      <w:r>
        <w:t xml:space="preserve"> </w:t>
      </w:r>
      <w:r>
        <w:rPr>
          <w:iCs/>
          <w:i/>
        </w:rPr>
        <w:t xml:space="preserve">ḍukṛñ karaṇe</w:t>
      </w:r>
      <w:r>
        <w:t xml:space="preserve">,</w:t>
      </w:r>
      <w:r>
        <w:t xml:space="preserve"> </w:t>
      </w:r>
      <w:r>
        <w:rPr>
          <w:iCs/>
          <w:i/>
        </w:rPr>
        <w:t xml:space="preserve">loṭ</w:t>
      </w:r>
      <w:r>
        <w:t xml:space="preserve">,</w:t>
      </w:r>
      <w:r>
        <w:t xml:space="preserve"> </w:t>
      </w:r>
      <w:r>
        <w:rPr>
          <w:iCs/>
          <w:i/>
        </w:rPr>
        <w:t xml:space="preserve">sip</w:t>
      </w:r>
      <w:r>
        <w:t xml:space="preserve">,</w:t>
      </w:r>
      <w:r>
        <w:t xml:space="preserve"> </w:t>
      </w:r>
      <w:r>
        <w:rPr>
          <w:iCs/>
          <w:i/>
        </w:rPr>
        <w:t xml:space="preserve">hi</w:t>
      </w:r>
      <w:r>
        <w:t xml:space="preserve">; the</w:t>
      </w:r>
      <w:r>
        <w:t xml:space="preserve"> </w:t>
      </w:r>
      <w:r>
        <w:rPr>
          <w:iCs/>
          <w:i/>
        </w:rPr>
        <w:t xml:space="preserve">śap</w:t>
      </w:r>
      <w:r>
        <w:t xml:space="preserve"> </w:t>
      </w:r>
      <w:r>
        <w:t xml:space="preserve">is dropped by</w:t>
      </w:r>
      <w:r>
        <w:t xml:space="preserve"> </w:t>
      </w:r>
      <w:r>
        <w:t xml:space="preserve">“</w:t>
      </w:r>
      <w:r>
        <w:t xml:space="preserve">bahulaṃ chandasi</w:t>
      </w:r>
      <w:r>
        <w:t xml:space="preserve">”</w:t>
      </w:r>
      <w:r>
        <w:t xml:space="preserve"> </w:t>
      </w:r>
      <w:r>
        <w:t xml:space="preserve">(Pā. 2-4-73);</w:t>
      </w:r>
      <w:r>
        <w:t xml:space="preserve"> </w:t>
      </w:r>
      <w:r>
        <w:rPr>
          <w:iCs/>
          <w:i/>
        </w:rPr>
        <w:t xml:space="preserve">hi</w:t>
      </w:r>
      <w:r>
        <w:t xml:space="preserve"> </w:t>
      </w:r>
      <w:r>
        <w:t xml:space="preserve">→</w:t>
      </w:r>
      <w:r>
        <w:t xml:space="preserve"> </w:t>
      </w:r>
      <w:r>
        <w:rPr>
          <w:iCs/>
          <w:i/>
        </w:rPr>
        <w:t xml:space="preserve">dhi</w:t>
      </w:r>
      <w:r>
        <w:t xml:space="preserve"> </w:t>
      </w:r>
      <w:r>
        <w:t xml:space="preserve">by</w:t>
      </w:r>
      <w:r>
        <w:t xml:space="preserve"> </w:t>
      </w:r>
      <w:r>
        <w:t xml:space="preserve">“</w:t>
      </w:r>
      <w:r>
        <w:t xml:space="preserve">śruśṛṇupṝkṛvṛbhyaś chandasi</w:t>
      </w:r>
      <w:r>
        <w:t xml:space="preserve">”</w:t>
      </w:r>
      <w:r>
        <w:t xml:space="preserve"> </w:t>
      </w:r>
      <w:r>
        <w:t xml:space="preserve">(6-4-102).</w:t>
      </w:r>
      <w:r>
        <w:t xml:space="preserve"> </w:t>
      </w:r>
      <w:r>
        <w:rPr>
          <w:bCs/>
          <w:b/>
        </w:rPr>
        <w:t xml:space="preserve">सहस्रसाम् (</w:t>
      </w:r>
      <w:r>
        <w:rPr>
          <w:iCs/>
          <w:i/>
          <w:bCs/>
          <w:b/>
        </w:rPr>
        <w:t xml:space="preserve">sahasrasām</w:t>
      </w:r>
      <w:r>
        <w:rPr>
          <w:bCs/>
          <w:b/>
        </w:rPr>
        <w:t xml:space="preserve">)</w:t>
      </w:r>
      <w:r>
        <w:t xml:space="preserve"> </w:t>
      </w:r>
      <w:r>
        <w:t xml:space="preserve">— explained in the earlier mantra (Rik 10).</w:t>
      </w:r>
      <w:r>
        <w:t xml:space="preserve"> </w:t>
      </w:r>
      <w:r>
        <w:rPr>
          <w:bCs/>
          <w:b/>
        </w:rPr>
        <w:t xml:space="preserve">ऋषिम् (</w:t>
      </w:r>
      <w:r>
        <w:rPr>
          <w:iCs/>
          <w:i/>
          <w:bCs/>
          <w:b/>
        </w:rPr>
        <w:t xml:space="preserve">ṛṣim</w:t>
      </w:r>
      <w:r>
        <w:rPr>
          <w:bCs/>
          <w:b/>
        </w:rPr>
        <w:t xml:space="preserve">)</w:t>
      </w:r>
      <w:r>
        <w:t xml:space="preserve"> </w:t>
      </w:r>
      <w:r>
        <w:t xml:space="preserve">— root</w:t>
      </w:r>
      <w:r>
        <w:t xml:space="preserve"> </w:t>
      </w:r>
      <w:r>
        <w:rPr>
          <w:iCs/>
          <w:i/>
        </w:rPr>
        <w:t xml:space="preserve">ṛṣī gatau</w:t>
      </w:r>
      <w:r>
        <w:t xml:space="preserve">; by</w:t>
      </w:r>
      <w:r>
        <w:t xml:space="preserve"> </w:t>
      </w:r>
      <w:r>
        <w:t xml:space="preserve">“</w:t>
      </w:r>
      <w:r>
        <w:t xml:space="preserve">igupadhāt kit</w:t>
      </w:r>
      <w:r>
        <w:t xml:space="preserve">”</w:t>
      </w:r>
      <w:r>
        <w:t xml:space="preserve"> </w:t>
      </w:r>
      <w:r>
        <w:t xml:space="preserve">(Uṇ. 4-559 [as printed]) with</w:t>
      </w:r>
      <w:r>
        <w:t xml:space="preserve"> </w:t>
      </w:r>
      <w:r>
        <w:rPr>
          <w:iCs/>
          <w:i/>
        </w:rPr>
        <w:t xml:space="preserve">in</w:t>
      </w:r>
      <w:r>
        <w:t xml:space="preserve"> </w:t>
      </w:r>
      <w:r>
        <w:t xml:space="preserve">carried from</w:t>
      </w:r>
      <w:r>
        <w:t xml:space="preserve"> </w:t>
      </w:r>
      <w:r>
        <w:t xml:space="preserve">“</w:t>
      </w:r>
      <w:r>
        <w:t xml:space="preserve">sarvadhātubhya in</w:t>
      </w:r>
      <w:r>
        <w:t xml:space="preserve">”</w:t>
      </w:r>
      <w:r>
        <w:t xml:space="preserve"> </w:t>
      </w:r>
      <w:r>
        <w:t xml:space="preserve">(Uṇ. 4-557 [as printed]), the suffix</w:t>
      </w:r>
      <w:r>
        <w:t xml:space="preserve"> </w:t>
      </w:r>
      <w:r>
        <w:rPr>
          <w:iCs/>
          <w:i/>
        </w:rPr>
        <w:t xml:space="preserve">in</w:t>
      </w:r>
      <w:r>
        <w:t xml:space="preserve">,</w:t>
      </w:r>
      <w:r>
        <w:t xml:space="preserve"> </w:t>
      </w:r>
      <w:r>
        <w:rPr>
          <w:iCs/>
          <w:i/>
        </w:rPr>
        <w:t xml:space="preserve">kit</w:t>
      </w:r>
      <w:r>
        <w:t xml:space="preserve">, after a root with</w:t>
      </w:r>
      <w:r>
        <w:t xml:space="preserve"> </w:t>
      </w:r>
      <w:r>
        <w:rPr>
          <w:iCs/>
          <w:i/>
        </w:rPr>
        <w:t xml:space="preserve">ik</w:t>
      </w:r>
      <w:r>
        <w:t xml:space="preserve"> </w:t>
      </w:r>
      <w:r>
        <w:t xml:space="preserve">in the penultimate position, so</w:t>
      </w:r>
      <w:r>
        <w:t xml:space="preserve"> </w:t>
      </w:r>
      <w:r>
        <w:rPr>
          <w:iCs/>
          <w:i/>
        </w:rPr>
        <w:t xml:space="preserve">ṛṣ</w:t>
      </w:r>
      <w:r>
        <w:t xml:space="preserve"> </w:t>
      </w:r>
      <w:r>
        <w:t xml:space="preserve">+</w:t>
      </w:r>
      <w:r>
        <w:t xml:space="preserve"> </w:t>
      </w:r>
      <w:r>
        <w:rPr>
          <w:iCs/>
          <w:i/>
        </w:rPr>
        <w:t xml:space="preserve">in</w:t>
      </w:r>
      <w:r>
        <w:t xml:space="preserve">; the suffix is</w:t>
      </w:r>
      <w:r>
        <w:t xml:space="preserve"> </w:t>
      </w:r>
      <w:r>
        <w:rPr>
          <w:iCs/>
          <w:i/>
        </w:rPr>
        <w:t xml:space="preserve">kit</w:t>
      </w:r>
      <w:r>
        <w:t xml:space="preserve">, so no</w:t>
      </w:r>
      <w:r>
        <w:t xml:space="preserve"> </w:t>
      </w:r>
      <w:r>
        <w:rPr>
          <w:iCs/>
          <w:i/>
        </w:rPr>
        <w:t xml:space="preserve">guṇa</w:t>
      </w:r>
      <w:r>
        <w:t xml:space="preserve">;</w:t>
      </w:r>
      <w:r>
        <w:t xml:space="preserve"> </w:t>
      </w:r>
      <w:r>
        <w:rPr>
          <w:iCs/>
          <w:i/>
        </w:rPr>
        <w:t xml:space="preserve">nit</w:t>
      </w:r>
      <w:r>
        <w:t xml:space="preserve">, so initial-udātta (</w:t>
      </w:r>
      <w:r>
        <w:t xml:space="preserve">“</w:t>
      </w:r>
      <w:r>
        <w:t xml:space="preserve">ñnityādir nityam,</w:t>
      </w:r>
      <w:r>
        <w:t xml:space="preserve">”</w:t>
      </w:r>
      <w:r>
        <w:t xml:space="preserve"> </w:t>
      </w:r>
      <w:r>
        <w:t xml:space="preserve">Pā. 6-1-197); the accusative singular</w:t>
      </w:r>
      <w:r>
        <w:t xml:space="preserve"> </w:t>
      </w:r>
      <w:r>
        <w:rPr>
          <w:iCs/>
          <w:i/>
        </w:rPr>
        <w:t xml:space="preserve">am</w:t>
      </w:r>
      <w:r>
        <w:t xml:space="preserve"> </w:t>
      </w:r>
      <w:r>
        <w:t xml:space="preserve">with</w:t>
      </w:r>
      <w:r>
        <w:t xml:space="preserve"> </w:t>
      </w:r>
      <w:r>
        <w:rPr>
          <w:iCs/>
          <w:i/>
        </w:rPr>
        <w:t xml:space="preserve">pūrvarūpa</w:t>
      </w:r>
      <w:r>
        <w:t xml:space="preserve"> </w:t>
      </w:r>
      <w:r>
        <w:t xml:space="preserve">gives</w:t>
      </w:r>
      <w:r>
        <w:t xml:space="preserve"> </w:t>
      </w:r>
      <w:r>
        <w:rPr>
          <w:iCs/>
          <w:i/>
        </w:rPr>
        <w:t xml:space="preserve">ṛṣim</w:t>
      </w:r>
      <w:r>
        <w:t xml:space="preserve">.</w:t>
      </w:r>
    </w:p>
    <w:p>
      <w:pPr>
        <w:pStyle w:val="BodyText"/>
      </w:pPr>
      <w:r>
        <w:rPr>
          <w:bCs/>
          <w:b/>
        </w:rPr>
        <w:t xml:space="preserve">॥११॥</w:t>
      </w:r>
    </w:p>
    <w:p>
      <w:r>
        <w:pict>
          <v:rect style="width:0;height:1.5pt" o:hralign="center" o:hrstd="t" o:hr="t"/>
        </w:pict>
      </w:r>
    </w:p>
    <w:bookmarkEnd w:id="454"/>
    <w:bookmarkStart w:id="455" w:name="page-444-sūkta-10-rik-12-the-last"/>
    <w:p>
      <w:pPr>
        <w:pStyle w:val="Heading3"/>
      </w:pPr>
      <w:r>
        <w:t xml:space="preserve">Page 444 — Sūkta 10, Rik 12 (the last)</w:t>
      </w:r>
    </w:p>
    <w:p>
      <w:pPr>
        <w:pStyle w:val="FirstParagraph"/>
      </w:pPr>
      <w:r>
        <w:rPr>
          <w:iCs/>
          <w:i/>
        </w:rPr>
        <w:t xml:space="preserve">(Saṃhitā accents as printed; Pada unaccented. Line 1: the stroke at the start stands over the right edge of प, not over रि — read as printed, [accent ?]; line 2: the bars under the first word are crowded — [accent ?].)</w:t>
      </w:r>
    </w:p>
    <w:p>
      <w:pPr>
        <w:pStyle w:val="BodyText"/>
      </w:pPr>
      <w:r>
        <w:rPr>
          <w:bCs/>
          <w:b/>
        </w:rPr>
        <w:t xml:space="preserve">॥ Saṃhitā-pāṭhaḥ ॥</w:t>
      </w:r>
    </w:p>
    <w:p>
      <w:pPr>
        <w:pStyle w:val="BlockText"/>
      </w:pPr>
      <w:r>
        <w:t xml:space="preserve">प॑रि त्वा गिर्वणो॒ गिर॑ इ॒मा भ॑वन्तु वि॒श्वतः॑ । [accent ?]</w:t>
      </w:r>
      <w:r>
        <w:t xml:space="preserve"> </w:t>
      </w:r>
      <w:r>
        <w:t xml:space="preserve">वृ॒द्धायु॒मनु॒ वृद्ध॑यो॒ जुष्टा॑ भवन्तु॒ जुष्ट॑यः ॥१२॥ [accent ?]</w:t>
      </w:r>
    </w:p>
    <w:p>
      <w:pPr>
        <w:pStyle w:val="BlockText"/>
      </w:pPr>
      <w:r>
        <w:rPr>
          <w:iCs/>
          <w:i/>
        </w:rPr>
        <w:t xml:space="preserve">pari tvā girvaṇo gíra imā́ bhavantu viśvátaḥ |</w:t>
      </w:r>
      <w:r>
        <w:t xml:space="preserve"> </w:t>
      </w:r>
      <w:r>
        <w:t xml:space="preserve">[accent ?]</w:t>
      </w:r>
      <w:r>
        <w:t xml:space="preserve"> </w:t>
      </w:r>
      <w:r>
        <w:rPr>
          <w:iCs/>
          <w:i/>
        </w:rPr>
        <w:t xml:space="preserve">vṛddhā́yum ánu vṛ́ddhayo júṣṭā bhavantu júṣṭayaḥ ||12||</w:t>
      </w:r>
      <w:r>
        <w:t xml:space="preserve"> </w:t>
      </w:r>
      <w:r>
        <w:t xml:space="preserve">[accent ?]</w:t>
      </w:r>
    </w:p>
    <w:p>
      <w:pPr>
        <w:pStyle w:val="FirstParagraph"/>
      </w:pPr>
      <w:r>
        <w:rPr>
          <w:bCs/>
          <w:b/>
        </w:rPr>
        <w:t xml:space="preserve">॥ Pada-pāṭhaḥ ॥</w:t>
      </w:r>
    </w:p>
    <w:p>
      <w:pPr>
        <w:pStyle w:val="BlockText"/>
      </w:pPr>
      <w:r>
        <w:t xml:space="preserve">परि । त्वा । गिर्वणः । गिरः । इमाः । भवन्तु । विश्वतः ॥</w:t>
      </w:r>
      <w:r>
        <w:t xml:space="preserve"> </w:t>
      </w:r>
      <w:r>
        <w:t xml:space="preserve">वृद्धऽआयुम् । अनु । वृद्धयः । जुष्टाः । भवन्तु । जुष्टयः ॥१२॥</w:t>
      </w:r>
    </w:p>
    <w:p>
      <w:pPr>
        <w:pStyle w:val="BlockText"/>
      </w:pPr>
      <w:r>
        <w:rPr>
          <w:iCs/>
          <w:i/>
        </w:rPr>
        <w:t xml:space="preserve">pari | tvā | girvaṇaḥ | giraḥ | imāḥ | bhavantu | viśvataḥ ||</w:t>
      </w:r>
      <w:r>
        <w:t xml:space="preserve"> </w:t>
      </w:r>
      <w:r>
        <w:rPr>
          <w:iCs/>
          <w:i/>
        </w:rPr>
        <w:t xml:space="preserve">vṛddha-āyum | anu | vṛddhayaḥ | juṣṭāḥ | bhavantu | juṣṭayaḥ ||12||</w:t>
      </w:r>
    </w:p>
    <w:p>
      <w:pPr>
        <w:pStyle w:val="FirstParagraph"/>
      </w:pPr>
      <w:r>
        <w:rPr>
          <w:bCs/>
          <w:b/>
        </w:rPr>
        <w:t xml:space="preserve">॥ Sāyaṇa-bhāṣyam ॥</w:t>
      </w:r>
    </w:p>
    <w:p>
      <w:pPr>
        <w:pStyle w:val="BlockText"/>
      </w:pPr>
      <w:r>
        <w:t xml:space="preserve">प्रवर्ग्ये परि त्वेत्यभिष्टुयात् । स्पृष्ट्वोदकमिति खण्डे परि त्वा गिर्वणो गिरो ऽधि द्वयोरदधा उक्थ्यं वचः । आ. ४-६ । इति सूत्रितम् । तथा हविर्धानप्रवर्तने सेयं परिधानीया । हविर्धाने प्रवर्तयन्तीति खण्डे परि त्वा गिर्वणो गिर इति परिदध्यात् । आ. ४-९ । इति सूत्रितम् । तथा ब्राह्मणं च । परि त्वा गिर्वणो गिर इत्युत्तमया परिदधाति । ऐ. ब्रा. १-२९ । इति ॥</w:t>
      </w:r>
    </w:p>
    <w:p>
      <w:pPr>
        <w:pStyle w:val="BlockText"/>
      </w:pPr>
      <w:r>
        <w:rPr>
          <w:iCs/>
          <w:i/>
        </w:rPr>
        <w:t xml:space="preserve">pravargye pari tvetyabhiṣṭuyāt | spṛṣṭvodakamiti khaṇḍe pari tvā girvaṇo giro ’dhi dvayoradadhā ukthyaṃ vacaḥ | ā. 4-6 | iti sūtritam | tathā havirdhānapravartane seyaṃ paridhānīyā | havirdhāne pravartayantīti khaṇḍe pari tvā girvaṇo gira iti paridadhyāt | ā. 4-9 | iti sūtritam | tathā brāhmaṇaṃ ca | pari tvā girvaṇo gira ityuttamayā paridadhāti | ai. brā. 1-29 | iti ||</w:t>
      </w:r>
    </w:p>
    <w:p>
      <w:pPr>
        <w:pStyle w:val="BlockText"/>
      </w:pPr>
      <w:r>
        <w:t xml:space="preserve">हे गिर्वणो ऽस्मदीयस्तुतिभागिन्द्र विश्वतः सर्वेषु कर्मसु प्रयुज्यमाना इमा गिरो ऽस्मदीयाः स्तुतयस्त्वां परि भवन्तु । सर्वतः प्राप्नुवन्तु । कीदृश्यो गिरः । वृद्धायुमनु प्रवृद्धेनायुष्येणोपेतं त्वामनुसृत्य वृद्धयो वर्धमानाः । किंचैता गिरो जुष्टास्त्वया सेविताः सत्यो जुष्टयो ऽस्माकं प्रीतिहेतवो भवन्तु ॥ गिर्वणः । गीर्भिर्वन्यत इति गिर्वणाः । वन षण संभक्तौ । सर्वधातुभ्यो ऽसुन् । गिर उपधाया दीर्घाभावश्छान्दसः । आमन्त्रितनिघातः । विश्वतः । लितीति प्रत्ययात्पूर्वस्योदात्तत्वम् । वृद्धायुम् । वृधु वृद्धौ । क्तप्रत्ययः । उदितो वा । पा. ७-२-५६ । इतीटः क्त्वाप्रत्यये विकल्पितत्वाद्यस्य विभाषा । पा. ७-२-१५ । इति निष्ठायामिडभावः । प्रत्ययस्वरः । इण् गतौ । छन्दसीणः । उ. १-२ । इत्युण् । णित्त्वाद्वृद्धिः । आयादेशश्च । वृद्धमायुर्यस्य । बहुव्रीहौ पूर्वपदप्रकृतिस्वरत्वम् । वृद्धयः । वृधेः क्तिनि तितुत्रतथसिसुसरकसेषु च । पा. ७-२-९ । इतीडभावः । नित्त्वादाद्युदात्तत्वम् । जुष्टाः । श्वीदितो निष्ठायाम् । पा. ७-२-१४ । इतीडभावः । जुष्टार्पिते चेत्यनुवृत्तौ नित्यं मन्त्रे । पा. ६-१-२१० । इत्याद्युदात्तत्वम् । जुष्टयः । जुषी प्रीतिसेवनयोः । क्तिन् । तितुत्रेतीडभावः । नित्त्वादाद्युदात्तः ॥ २० ॥</w:t>
      </w:r>
    </w:p>
    <w:p>
      <w:pPr>
        <w:pStyle w:val="BlockText"/>
      </w:pPr>
      <w:r>
        <w:rPr>
          <w:iCs/>
          <w:i/>
        </w:rPr>
        <w:t xml:space="preserve">he girvaṇo ’smadīyastutibhāgindra viśvataḥ sarveṣu karmasu prayujyamānā imā giro ’smadīyāḥ stutayastvāṃ pari bhavantu | sarvataḥ prāpnuvantu | kīdṛśyo giraḥ | vṛddhāyumanu pravṛddhenāyuṣyeṇopetaṃ tvāmanusṛtya vṛddhayo vardhamānāḥ | kiṃcaitā giro juṣṭāstvayā sevitāḥ satyo juṣṭayo ’smākaṃ prītihetavo bhavantu || girvaṇaḥ | gīrbhirvanyata iti girvaṇāḥ | vana ṣaṇa saṃbhaktau | sarvadhātubhyo ’sun | gira upadhāyā dīrghābhāvaśchāndasaḥ | āmantritanighātaḥ | viśvataḥ | litīti pratyayātpūrvasyodāttatvam | vṛddhāyum | vṛdhu vṛddhau | ktapratyayaḥ | udito vā | pā. 7-2-56 | itīṭaḥ ktvāpratyaye vikalpitatvādyasya vibhāṣā | pā. 7-2-15 | iti niṣṭhāyāmiḍabhāvaḥ | pratyayasvaraḥ | iṇ gatau | chandasīṇaḥ | u. 1-2 | ityuṇ | ṇittvādvṛddhiḥ | āyādeśaśca | vṛddhamāyuryasya | bahuvrīhau pūrvapadaprakṛtisvaratvam | vṛddhayaḥ | vṛdheḥ ktini titutratathasisusarakaseṣu ca | pā. 7-2-9 | itīḍabhāvaḥ | nittvādādyudāttatvam | juṣṭāḥ | śvīdito niṣṭhāyām | pā. 7-2-14 | itīḍabhāvaḥ | juṣṭārpite cetyanuvṛttau nityaṃ mantre | pā. 6-1-210 | ityādyudāttatvam | juṣṭayaḥ | juṣī prītisevanayoḥ | ktin | titutretīḍabhāvaḥ | nittvādādyudāttaḥ || 20 ||</w:t>
      </w:r>
    </w:p>
    <w:p>
      <w:pPr>
        <w:pStyle w:val="FirstParagraph"/>
      </w:pPr>
      <w:r>
        <w:rPr>
          <w:bCs/>
          <w:b/>
        </w:rPr>
        <w:t xml:space="preserve">Translation:</w:t>
      </w:r>
      <w:r>
        <w:t xml:space="preserve"> </w:t>
      </w:r>
      <w:r>
        <w:t xml:space="preserve">“</w:t>
      </w:r>
      <w:r>
        <w:t xml:space="preserve">In the</w:t>
      </w:r>
      <w:r>
        <w:t xml:space="preserve"> </w:t>
      </w:r>
      <w:r>
        <w:rPr>
          <w:iCs/>
          <w:i/>
        </w:rPr>
        <w:t xml:space="preserve">pravargya</w:t>
      </w:r>
      <w:r>
        <w:t xml:space="preserve"> </w:t>
      </w:r>
      <w:r>
        <w:t xml:space="preserve">one should praise with</w:t>
      </w:r>
      <w:r>
        <w:t xml:space="preserve"> </w:t>
      </w:r>
      <w:r>
        <w:rPr>
          <w:iCs/>
          <w:i/>
        </w:rPr>
        <w:t xml:space="preserve">pari tvā</w:t>
      </w:r>
      <w:r>
        <w:t xml:space="preserve">: in the section beginning</w:t>
      </w:r>
      <w:r>
        <w:t xml:space="preserve"> </w:t>
      </w:r>
      <w:r>
        <w:rPr>
          <w:iCs/>
          <w:i/>
        </w:rPr>
        <w:t xml:space="preserve">spṛṣṭvodakam</w:t>
      </w:r>
      <w:r>
        <w:t xml:space="preserve"> </w:t>
      </w:r>
      <w:r>
        <w:t xml:space="preserve">it is laid down,</w:t>
      </w:r>
      <w:r>
        <w:t xml:space="preserve"> </w:t>
      </w:r>
      <w:r>
        <w:t xml:space="preserve">‘</w:t>
      </w:r>
      <w:r>
        <w:rPr>
          <w:iCs/>
          <w:i/>
        </w:rPr>
        <w:t xml:space="preserve">pari tvā girvaṇo giraḥ</w:t>
      </w:r>
      <w:r>
        <w:t xml:space="preserve">,</w:t>
      </w:r>
      <w:r>
        <w:t xml:space="preserve"> </w:t>
      </w:r>
      <w:r>
        <w:rPr>
          <w:iCs/>
          <w:i/>
        </w:rPr>
        <w:t xml:space="preserve">adhi dvayor adadhā ukthyaṃ vacaḥ</w:t>
      </w:r>
      <w:r>
        <w:t xml:space="preserve">’</w:t>
      </w:r>
      <w:r>
        <w:t xml:space="preserve"> </w:t>
      </w:r>
      <w:r>
        <w:t xml:space="preserve">(Āśvalāyana 4-6). Likewise, in the moving forward of the</w:t>
      </w:r>
      <w:r>
        <w:t xml:space="preserve"> </w:t>
      </w:r>
      <w:r>
        <w:rPr>
          <w:iCs/>
          <w:i/>
        </w:rPr>
        <w:t xml:space="preserve">havirdhāna</w:t>
      </w:r>
      <w:r>
        <w:t xml:space="preserve"> </w:t>
      </w:r>
      <w:r>
        <w:t xml:space="preserve">carts this [ṛk] is the closing verse: in the section</w:t>
      </w:r>
      <w:r>
        <w:t xml:space="preserve"> </w:t>
      </w:r>
      <w:r>
        <w:rPr>
          <w:iCs/>
          <w:i/>
        </w:rPr>
        <w:t xml:space="preserve">havirdhāne pravartayanti</w:t>
      </w:r>
      <w:r>
        <w:t xml:space="preserve"> </w:t>
      </w:r>
      <w:r>
        <w:t xml:space="preserve">it is laid down,</w:t>
      </w:r>
      <w:r>
        <w:t xml:space="preserve"> </w:t>
      </w:r>
      <w:r>
        <w:t xml:space="preserve">‘</w:t>
      </w:r>
      <w:r>
        <w:t xml:space="preserve">one should close with</w:t>
      </w:r>
      <w:r>
        <w:t xml:space="preserve"> </w:t>
      </w:r>
      <w:r>
        <w:rPr>
          <w:iCs/>
          <w:i/>
        </w:rPr>
        <w:t xml:space="preserve">pari tvā girvaṇo giraḥ</w:t>
      </w:r>
      <w:r>
        <w:t xml:space="preserve">’</w:t>
      </w:r>
      <w:r>
        <w:t xml:space="preserve"> </w:t>
      </w:r>
      <w:r>
        <w:t xml:space="preserve">(Āśvalāyana 4-9). And the Brāhmaṇa too:</w:t>
      </w:r>
      <w:r>
        <w:t xml:space="preserve"> </w:t>
      </w:r>
      <w:r>
        <w:t xml:space="preserve">‘</w:t>
      </w:r>
      <w:r>
        <w:t xml:space="preserve">he closes with the last [ṛk],</w:t>
      </w:r>
      <w:r>
        <w:t xml:space="preserve"> </w:t>
      </w:r>
      <w:r>
        <w:rPr>
          <w:iCs/>
          <w:i/>
        </w:rPr>
        <w:t xml:space="preserve">pari tvā girvaṇo giraḥ</w:t>
      </w:r>
      <w:r>
        <w:t xml:space="preserve">’</w:t>
      </w:r>
      <w:r>
        <w:t xml:space="preserve"> </w:t>
      </w:r>
      <w:r>
        <w:t xml:space="preserve">(Ai. Brā. 1-29). O</w:t>
      </w:r>
      <w:r>
        <w:t xml:space="preserve"> </w:t>
      </w:r>
      <w:r>
        <w:rPr>
          <w:iCs/>
          <w:i/>
        </w:rPr>
        <w:t xml:space="preserve">girvaṇaḥ</w:t>
      </w:r>
      <w:r>
        <w:t xml:space="preserve"> </w:t>
      </w:r>
      <w:r>
        <w:t xml:space="preserve">— O Indra, sharer in our praises —</w:t>
      </w:r>
      <w:r>
        <w:t xml:space="preserve"> </w:t>
      </w:r>
      <w:r>
        <w:rPr>
          <w:iCs/>
          <w:i/>
        </w:rPr>
        <w:t xml:space="preserve">imāḥ giraḥ</w:t>
      </w:r>
      <w:r>
        <w:t xml:space="preserve">, these our praises, used</w:t>
      </w:r>
      <w:r>
        <w:t xml:space="preserve"> </w:t>
      </w:r>
      <w:r>
        <w:rPr>
          <w:iCs/>
          <w:i/>
        </w:rPr>
        <w:t xml:space="preserve">viśvataḥ</w:t>
      </w:r>
      <w:r>
        <w:t xml:space="preserve">, in all rites,</w:t>
      </w:r>
      <w:r>
        <w:t xml:space="preserve"> </w:t>
      </w:r>
      <w:r>
        <w:rPr>
          <w:iCs/>
          <w:i/>
        </w:rPr>
        <w:t xml:space="preserve">tvāṃ pari bhavantu</w:t>
      </w:r>
      <w:r>
        <w:t xml:space="preserve">: may they reach you on all sides. What kind of praises?</w:t>
      </w:r>
      <w:r>
        <w:t xml:space="preserve"> </w:t>
      </w:r>
      <w:r>
        <w:rPr>
          <w:iCs/>
          <w:i/>
        </w:rPr>
        <w:t xml:space="preserve">Vṛddhāyum anu</w:t>
      </w:r>
      <w:r>
        <w:t xml:space="preserve"> </w:t>
      </w:r>
      <w:r>
        <w:t xml:space="preserve">— following you, who are endowed with grown life;</w:t>
      </w:r>
      <w:r>
        <w:t xml:space="preserve"> </w:t>
      </w:r>
      <w:r>
        <w:rPr>
          <w:iCs/>
          <w:i/>
        </w:rPr>
        <w:t xml:space="preserve">vṛddhayaḥ</w:t>
      </w:r>
      <w:r>
        <w:t xml:space="preserve"> </w:t>
      </w:r>
      <w:r>
        <w:t xml:space="preserve">— growing. And further: may these praises,</w:t>
      </w:r>
      <w:r>
        <w:t xml:space="preserve"> </w:t>
      </w:r>
      <w:r>
        <w:rPr>
          <w:iCs/>
          <w:i/>
        </w:rPr>
        <w:t xml:space="preserve">juṣṭāḥ</w:t>
      </w:r>
      <w:r>
        <w:t xml:space="preserve"> </w:t>
      </w:r>
      <w:r>
        <w:t xml:space="preserve">— enjoyed by you — become</w:t>
      </w:r>
      <w:r>
        <w:t xml:space="preserve"> </w:t>
      </w:r>
      <w:r>
        <w:rPr>
          <w:iCs/>
          <w:i/>
        </w:rPr>
        <w:t xml:space="preserve">juṣṭayaḥ</w:t>
      </w:r>
      <w:r>
        <w:t xml:space="preserve">, the causes of our delight.</w:t>
      </w:r>
      <w:r>
        <w:t xml:space="preserve">”</w:t>
      </w:r>
      <w:r>
        <w:t xml:space="preserve"> </w:t>
      </w:r>
      <w:r>
        <w:rPr>
          <w:iCs/>
          <w:i/>
        </w:rPr>
        <w:t xml:space="preserve">(Grammar, noted briefly:</w:t>
      </w:r>
      <w:r>
        <w:t xml:space="preserve"> </w:t>
      </w:r>
      <w:r>
        <w:t xml:space="preserve">girvaṇaḥ</w:t>
      </w:r>
      <w:r>
        <w:t xml:space="preserve"> </w:t>
      </w:r>
      <w:r>
        <w:rPr>
          <w:iCs/>
          <w:i/>
        </w:rPr>
        <w:t xml:space="preserve">—</w:t>
      </w:r>
      <w:r>
        <w:rPr>
          <w:iCs/>
          <w:i/>
        </w:rPr>
        <w:t xml:space="preserve"> </w:t>
      </w:r>
      <w:r>
        <w:rPr>
          <w:iCs/>
          <w:i/>
        </w:rPr>
        <w:t xml:space="preserve">“</w:t>
      </w:r>
      <w:r>
        <w:rPr>
          <w:iCs/>
          <w:i/>
        </w:rPr>
        <w:t xml:space="preserve">he who is served with praises</w:t>
      </w:r>
      <w:r>
        <w:rPr>
          <w:iCs/>
          <w:i/>
        </w:rPr>
        <w:t xml:space="preserve">”</w:t>
      </w:r>
      <w:r>
        <w:rPr>
          <w:iCs/>
          <w:i/>
        </w:rPr>
        <w:t xml:space="preserve">, root</w:t>
      </w:r>
      <w:r>
        <w:t xml:space="preserve"> </w:t>
      </w:r>
      <w:r>
        <w:t xml:space="preserve">vana ṣaṇa saṃbhaktau</w:t>
      </w:r>
      <w:r>
        <w:t xml:space="preserve"> </w:t>
      </w:r>
      <w:r>
        <w:rPr>
          <w:iCs/>
          <w:i/>
        </w:rPr>
        <w:t xml:space="preserve">with</w:t>
      </w:r>
      <w:r>
        <w:t xml:space="preserve"> </w:t>
      </w:r>
      <w:r>
        <w:t xml:space="preserve">asun</w:t>
      </w:r>
      <w:r>
        <w:rPr>
          <w:iCs/>
          <w:i/>
        </w:rPr>
        <w:t xml:space="preserve">, no lengthening of</w:t>
      </w:r>
      <w:r>
        <w:t xml:space="preserve"> </w:t>
      </w:r>
      <w:r>
        <w:t xml:space="preserve">gir</w:t>
      </w:r>
      <w:r>
        <w:t xml:space="preserve"> </w:t>
      </w:r>
      <w:r>
        <w:rPr>
          <w:iCs/>
          <w:i/>
        </w:rPr>
        <w:t xml:space="preserve">as a Vedic form, lowered as a vocative;</w:t>
      </w:r>
      <w:r>
        <w:t xml:space="preserve"> </w:t>
      </w:r>
      <w:r>
        <w:t xml:space="preserve">viśvataḥ</w:t>
      </w:r>
      <w:r>
        <w:t xml:space="preserve"> </w:t>
      </w:r>
      <w:r>
        <w:rPr>
          <w:iCs/>
          <w:i/>
        </w:rPr>
        <w:t xml:space="preserve">— the syllable before the suffix udātta;</w:t>
      </w:r>
      <w:r>
        <w:t xml:space="preserve"> </w:t>
      </w:r>
      <w:r>
        <w:t xml:space="preserve">vṛddhāyum</w:t>
      </w:r>
      <w:r>
        <w:t xml:space="preserve"> </w:t>
      </w:r>
      <w:r>
        <w:rPr>
          <w:iCs/>
          <w:i/>
        </w:rPr>
        <w:t xml:space="preserve">— vṛddha</w:t>
      </w:r>
      <w:r>
        <w:rPr>
          <w:iCs/>
          <w:i/>
        </w:rPr>
        <w:t xml:space="preserve"> </w:t>
      </w:r>
      <w:r>
        <w:t xml:space="preserve">from* vṛdhu</w:t>
      </w:r>
      <w:r>
        <w:t xml:space="preserve"> </w:t>
      </w:r>
      <w:r>
        <w:rPr>
          <w:iCs/>
          <w:i/>
        </w:rPr>
        <w:t xml:space="preserve">with</w:t>
      </w:r>
      <w:r>
        <w:t xml:space="preserve"> </w:t>
      </w:r>
      <w:r>
        <w:t xml:space="preserve">kta</w:t>
      </w:r>
      <w:r>
        <w:rPr>
          <w:iCs/>
          <w:i/>
        </w:rPr>
        <w:t xml:space="preserve">, no</w:t>
      </w:r>
      <w:r>
        <w:t xml:space="preserve"> </w:t>
      </w:r>
      <w:r>
        <w:t xml:space="preserve">iṭ</w:t>
      </w:r>
      <w:r>
        <w:t xml:space="preserve"> </w:t>
      </w:r>
      <w:r>
        <w:rPr>
          <w:iCs/>
          <w:i/>
        </w:rPr>
        <w:t xml:space="preserve">(Pā. 7-2-56, 7-2-15);</w:t>
      </w:r>
      <w:r>
        <w:t xml:space="preserve"> </w:t>
      </w:r>
      <w:r>
        <w:t xml:space="preserve">āyu</w:t>
      </w:r>
      <w:r>
        <w:t xml:space="preserve"> </w:t>
      </w:r>
      <w:r>
        <w:rPr>
          <w:iCs/>
          <w:i/>
        </w:rPr>
        <w:t xml:space="preserve">from</w:t>
      </w:r>
      <w:r>
        <w:t xml:space="preserve"> </w:t>
      </w:r>
      <w:r>
        <w:t xml:space="preserve">iṇ</w:t>
      </w:r>
      <w:r>
        <w:t xml:space="preserve"> </w:t>
      </w:r>
      <w:r>
        <w:rPr>
          <w:iCs/>
          <w:i/>
        </w:rPr>
        <w:t xml:space="preserve">with</w:t>
      </w:r>
      <w:r>
        <w:t xml:space="preserve"> </w:t>
      </w:r>
      <w:r>
        <w:t xml:space="preserve">uṇ</w:t>
      </w:r>
      <w:r>
        <w:t xml:space="preserve"> </w:t>
      </w:r>
      <w:r>
        <w:rPr>
          <w:iCs/>
          <w:i/>
        </w:rPr>
        <w:t xml:space="preserve">(Uṇ. 1-2); a bahuvrīhi with the first-member accent;</w:t>
      </w:r>
      <w:r>
        <w:t xml:space="preserve"> </w:t>
      </w:r>
      <w:r>
        <w:t xml:space="preserve">vṛddhayaḥ</w:t>
      </w:r>
      <w:r>
        <w:t xml:space="preserve"> </w:t>
      </w:r>
      <w:r>
        <w:rPr>
          <w:iCs/>
          <w:i/>
        </w:rPr>
        <w:t xml:space="preserve">— ktin</w:t>
      </w:r>
      <w:r>
        <w:t xml:space="preserve">, no* iṭ</w:t>
      </w:r>
      <w:r>
        <w:t xml:space="preserve"> </w:t>
      </w:r>
      <w:r>
        <w:rPr>
          <w:iCs/>
          <w:i/>
        </w:rPr>
        <w:t xml:space="preserve">(Pā. 7-2-9), initial-udātta;</w:t>
      </w:r>
      <w:r>
        <w:t xml:space="preserve"> </w:t>
      </w:r>
      <w:r>
        <w:t xml:space="preserve">juṣṭāḥ</w:t>
      </w:r>
      <w:r>
        <w:t xml:space="preserve"> </w:t>
      </w:r>
      <w:r>
        <w:rPr>
          <w:iCs/>
          <w:i/>
        </w:rPr>
        <w:t xml:space="preserve">— no</w:t>
      </w:r>
      <w:r>
        <w:t xml:space="preserve"> </w:t>
      </w:r>
      <w:r>
        <w:t xml:space="preserve">iṭ</w:t>
      </w:r>
      <w:r>
        <w:t xml:space="preserve"> </w:t>
      </w:r>
      <w:r>
        <w:rPr>
          <w:iCs/>
          <w:i/>
        </w:rPr>
        <w:t xml:space="preserve">(Pā. 7-2-14), initial-udātta by</w:t>
      </w:r>
      <w:r>
        <w:rPr>
          <w:iCs/>
          <w:i/>
        </w:rPr>
        <w:t xml:space="preserve"> </w:t>
      </w:r>
      <w:r>
        <w:rPr>
          <w:iCs/>
          <w:i/>
        </w:rPr>
        <w:t xml:space="preserve">“</w:t>
      </w:r>
      <w:r>
        <w:rPr>
          <w:iCs/>
          <w:i/>
        </w:rPr>
        <w:t xml:space="preserve">nityaṃ mantre</w:t>
      </w:r>
      <w:r>
        <w:rPr>
          <w:iCs/>
          <w:i/>
        </w:rPr>
        <w:t xml:space="preserve">”</w:t>
      </w:r>
      <w:r>
        <w:rPr>
          <w:iCs/>
          <w:i/>
        </w:rPr>
        <w:t xml:space="preserve"> </w:t>
      </w:r>
      <w:r>
        <w:rPr>
          <w:iCs/>
          <w:i/>
        </w:rPr>
        <w:t xml:space="preserve">(Pā. 6-1-210);</w:t>
      </w:r>
      <w:r>
        <w:t xml:space="preserve"> </w:t>
      </w:r>
      <w:r>
        <w:t xml:space="preserve">juṣṭayaḥ</w:t>
      </w:r>
      <w:r>
        <w:t xml:space="preserve"> </w:t>
      </w:r>
      <w:r>
        <w:rPr>
          <w:iCs/>
          <w:i/>
        </w:rPr>
        <w:t xml:space="preserve">— root</w:t>
      </w:r>
      <w:r>
        <w:t xml:space="preserve"> </w:t>
      </w:r>
      <w:r>
        <w:t xml:space="preserve">juṣī</w:t>
      </w:r>
      <w:r>
        <w:t xml:space="preserve"> </w:t>
      </w:r>
      <w:r>
        <w:rPr>
          <w:iCs/>
          <w:i/>
        </w:rPr>
        <w:t xml:space="preserve">with</w:t>
      </w:r>
      <w:r>
        <w:t xml:space="preserve"> </w:t>
      </w:r>
      <w:r>
        <w:t xml:space="preserve">ktin</w:t>
      </w:r>
      <w:r>
        <w:rPr>
          <w:iCs/>
          <w:i/>
        </w:rPr>
        <w:t xml:space="preserve">, initial-udātta. The bhāṣya closes</w:t>
      </w:r>
      <w:r>
        <w:rPr>
          <w:iCs/>
          <w:i/>
        </w:rPr>
        <w:t xml:space="preserve"> </w:t>
      </w:r>
      <w:r>
        <w:rPr>
          <w:iCs/>
          <w:i/>
        </w:rPr>
        <w:t xml:space="preserve">“</w:t>
      </w:r>
      <w:r>
        <w:rPr>
          <w:iCs/>
          <w:i/>
        </w:rPr>
        <w:t xml:space="preserve">॥ २० ॥</w:t>
      </w:r>
      <w:r>
        <w:rPr>
          <w:iCs/>
          <w:i/>
        </w:rPr>
        <w:t xml:space="preserve">”</w:t>
      </w:r>
      <w:r>
        <w:rPr>
          <w:iCs/>
          <w:i/>
        </w:rPr>
        <w:t xml:space="preserve">, the twentieth varga.)</w:t>
      </w:r>
    </w:p>
    <w:bookmarkEnd w:id="455"/>
    <w:bookmarkStart w:id="456" w:name="Xa36f1655f1e646ddedfbd26f661fbf84dcf4ab8"/>
    <w:p>
      <w:pPr>
        <w:pStyle w:val="Heading3"/>
      </w:pPr>
      <w:r>
        <w:t xml:space="preserve">Page 445 — Rik 12: word-meanings, overall sense, English, Special Topics</w:t>
      </w:r>
    </w:p>
    <w:p>
      <w:pPr>
        <w:pStyle w:val="FirstParagraph"/>
      </w:pPr>
      <w:r>
        <w:rPr>
          <w:bCs/>
          <w:b/>
        </w:rPr>
        <w:t xml:space="preserve">॥ Prati-padārthaḥ ॥</w:t>
      </w:r>
    </w:p>
    <w:p>
      <w:pPr>
        <w:pStyle w:val="BodyText"/>
      </w:pPr>
      <w:r>
        <w:rPr>
          <w:bCs/>
          <w:b/>
        </w:rPr>
        <w:t xml:space="preserve">(हे) गिर्वणः ((he) girvaṇaḥ)</w:t>
      </w:r>
      <w:r>
        <w:t xml:space="preserve"> </w:t>
      </w:r>
      <w:r>
        <w:t xml:space="preserve">— O Indra, worthy of being praised by us |</w:t>
      </w:r>
      <w:r>
        <w:t xml:space="preserve"> </w:t>
      </w:r>
      <w:r>
        <w:rPr>
          <w:bCs/>
          <w:b/>
        </w:rPr>
        <w:t xml:space="preserve">विश्वतः (viśvataḥ)</w:t>
      </w:r>
      <w:r>
        <w:t xml:space="preserve"> </w:t>
      </w:r>
      <w:r>
        <w:t xml:space="preserve">— in all (that is, in all the rites in which we make use of them) |</w:t>
      </w:r>
      <w:r>
        <w:t xml:space="preserve"> </w:t>
      </w:r>
      <w:r>
        <w:rPr>
          <w:bCs/>
          <w:b/>
        </w:rPr>
        <w:t xml:space="preserve">इमाः गिरः (imāḥ giraḥ)</w:t>
      </w:r>
      <w:r>
        <w:t xml:space="preserve"> </w:t>
      </w:r>
      <w:r>
        <w:t xml:space="preserve">— these words in the form of praise |</w:t>
      </w:r>
      <w:r>
        <w:t xml:space="preserve"> </w:t>
      </w:r>
      <w:r>
        <w:rPr>
          <w:bCs/>
          <w:b/>
        </w:rPr>
        <w:t xml:space="preserve">त्वा (tvā)</w:t>
      </w:r>
      <w:r>
        <w:t xml:space="preserve"> </w:t>
      </w:r>
      <w:r>
        <w:t xml:space="preserve">— you |</w:t>
      </w:r>
      <w:r>
        <w:t xml:space="preserve"> </w:t>
      </w:r>
      <w:r>
        <w:rPr>
          <w:bCs/>
          <w:b/>
        </w:rPr>
        <w:t xml:space="preserve">परि भवन्तु (pari bhavantu)</w:t>
      </w:r>
      <w:r>
        <w:t xml:space="preserve"> </w:t>
      </w:r>
      <w:r>
        <w:t xml:space="preserve">— may they come from every side and join (you) |</w:t>
      </w:r>
      <w:r>
        <w:t xml:space="preserve"> </w:t>
      </w:r>
      <w:r>
        <w:rPr>
          <w:bCs/>
          <w:b/>
        </w:rPr>
        <w:t xml:space="preserve">वृद्धायुम् (vṛddhāyum)</w:t>
      </w:r>
      <w:r>
        <w:t xml:space="preserve"> </w:t>
      </w:r>
      <w:r>
        <w:t xml:space="preserve">— you who have long life |</w:t>
      </w:r>
      <w:r>
        <w:t xml:space="preserve"> </w:t>
      </w:r>
      <w:r>
        <w:rPr>
          <w:bCs/>
          <w:b/>
        </w:rPr>
        <w:t xml:space="preserve">अनु (anu)</w:t>
      </w:r>
      <w:r>
        <w:t xml:space="preserve"> </w:t>
      </w:r>
      <w:r>
        <w:t xml:space="preserve">— following |</w:t>
      </w:r>
      <w:r>
        <w:t xml:space="preserve"> </w:t>
      </w:r>
      <w:r>
        <w:rPr>
          <w:bCs/>
          <w:b/>
        </w:rPr>
        <w:t xml:space="preserve">वृद्धयः (vṛddhayaḥ)</w:t>
      </w:r>
      <w:r>
        <w:t xml:space="preserve"> </w:t>
      </w:r>
      <w:r>
        <w:t xml:space="preserve">— growing |</w:t>
      </w:r>
      <w:r>
        <w:t xml:space="preserve"> </w:t>
      </w:r>
      <w:r>
        <w:rPr>
          <w:bCs/>
          <w:b/>
        </w:rPr>
        <w:t xml:space="preserve">जुष्टाः (juṣṭāḥ)</w:t>
      </w:r>
      <w:r>
        <w:t xml:space="preserve"> </w:t>
      </w:r>
      <w:r>
        <w:t xml:space="preserve">— [the words] served (accepted) by you |</w:t>
      </w:r>
      <w:r>
        <w:t xml:space="preserve"> </w:t>
      </w:r>
      <w:r>
        <w:rPr>
          <w:bCs/>
          <w:b/>
        </w:rPr>
        <w:t xml:space="preserve">जुष्टयः (juṣṭayaḥ)</w:t>
      </w:r>
      <w:r>
        <w:t xml:space="preserve"> </w:t>
      </w:r>
      <w:r>
        <w:t xml:space="preserve">— [may they be] the means of giving us delight |</w:t>
      </w:r>
      <w:r>
        <w:t xml:space="preserve"> </w:t>
      </w:r>
      <w:r>
        <w:rPr>
          <w:bCs/>
          <w:b/>
        </w:rPr>
        <w:t xml:space="preserve">भवन्तु (bhavantu)</w:t>
      </w:r>
      <w:r>
        <w:t xml:space="preserve"> </w:t>
      </w:r>
      <w:r>
        <w:t xml:space="preserve">— may they be.</w:t>
      </w:r>
    </w:p>
    <w:p>
      <w:pPr>
        <w:pStyle w:val="BodyText"/>
      </w:pPr>
      <w:r>
        <w:rPr>
          <w:bCs/>
          <w:b/>
        </w:rPr>
        <w:t xml:space="preserve">॥ Bhāvārthaḥ ॥</w:t>
      </w:r>
    </w:p>
    <w:p>
      <w:pPr>
        <w:pStyle w:val="BodyText"/>
      </w:pPr>
      <w:r>
        <w:t xml:space="preserve">O Indra, lover of praise! May these words of praise that we make come to you from every side and bring you delight. As these words give you delight, may your life-span (your strength) increase; and as these words of ours bring you delight, may they bring delight to us as well.</w:t>
      </w:r>
    </w:p>
    <w:p>
      <w:pPr>
        <w:pStyle w:val="BodyText"/>
      </w:pPr>
      <w:r>
        <w:rPr>
          <w:bCs/>
          <w:b/>
        </w:rPr>
        <w:t xml:space="preserve">॥ English Translation ॥</w:t>
      </w:r>
      <w:r>
        <w:t xml:space="preserve"> </w:t>
      </w:r>
      <w:r>
        <w:rPr>
          <w:iCs/>
          <w:i/>
        </w:rPr>
        <w:t xml:space="preserve">(as printed in the source)</w:t>
      </w:r>
    </w:p>
    <w:p>
      <w:pPr>
        <w:pStyle w:val="BlockText"/>
      </w:pPr>
      <w:r>
        <w:t xml:space="preserve">O deserver of praise, may these our praises be on all occasions around you (accepted by you); may they increase your power, O long-lived, and being agreeable to you, may they become our enjoyments.</w:t>
      </w:r>
    </w:p>
    <w:p>
      <w:pPr>
        <w:pStyle w:val="FirstParagraph"/>
      </w:pPr>
      <w:r>
        <w:rPr>
          <w:bCs/>
          <w:b/>
        </w:rPr>
        <w:t xml:space="preserve">॥ Viśeṣa-viṣayagaḷu (Special Topics) ॥</w:t>
      </w:r>
    </w:p>
    <w:p>
      <w:pPr>
        <w:pStyle w:val="BodyText"/>
      </w:pPr>
      <w:r>
        <w:t xml:space="preserve">The sense of this rik is very involved (difficult); the intention does not fit together properly, and what the seer means is not clearly known.</w:t>
      </w:r>
    </w:p>
    <w:p>
      <w:pPr>
        <w:pStyle w:val="BodyText"/>
      </w:pPr>
      <w:r>
        <w:rPr>
          <w:bCs/>
          <w:b/>
        </w:rPr>
        <w:t xml:space="preserve">“</w:t>
      </w:r>
      <w:r>
        <w:rPr>
          <w:bCs/>
          <w:b/>
        </w:rPr>
        <w:t xml:space="preserve">Girvaṇaḥ</w:t>
      </w:r>
      <w:r>
        <w:rPr>
          <w:bCs/>
          <w:b/>
        </w:rPr>
        <w:t xml:space="preserve">”</w:t>
      </w:r>
      <w:r>
        <w:t xml:space="preserve"> </w:t>
      </w:r>
      <w:r>
        <w:t xml:space="preserve">—</w:t>
      </w:r>
      <w:r>
        <w:t xml:space="preserve"> </w:t>
      </w:r>
      <w:r>
        <w:rPr>
          <w:bCs/>
          <w:b/>
        </w:rPr>
        <w:t xml:space="preserve">गीर्भिर्वन्यत इति गिर्वणाः । वन षण संभक्तौ । अस्मदीयस्तुतिभाक्</w:t>
      </w:r>
      <w:r>
        <w:t xml:space="preserve"> </w:t>
      </w:r>
      <w:r>
        <w:t xml:space="preserve">(</w:t>
      </w:r>
      <w:r>
        <w:rPr>
          <w:iCs/>
          <w:i/>
        </w:rPr>
        <w:t xml:space="preserve">gīrbhir vanyata iti girvaṇāḥ | vana ṣaṇa saṃbhaktau | asmadīya-stuti-bhāk</w:t>
      </w:r>
      <w:r>
        <w:t xml:space="preserve">) —</w:t>
      </w:r>
      <w:r>
        <w:t xml:space="preserve"> </w:t>
      </w:r>
      <w:r>
        <w:t xml:space="preserve">“</w:t>
      </w:r>
      <w:r>
        <w:t xml:space="preserve">one who is served with praises; the root</w:t>
      </w:r>
      <w:r>
        <w:t xml:space="preserve"> </w:t>
      </w:r>
      <w:r>
        <w:rPr>
          <w:iCs/>
          <w:i/>
        </w:rPr>
        <w:t xml:space="preserve">vana</w:t>
      </w:r>
      <w:r>
        <w:t xml:space="preserve">/</w:t>
      </w:r>
      <w:r>
        <w:rPr>
          <w:iCs/>
          <w:i/>
        </w:rPr>
        <w:t xml:space="preserve">ṣaṇa</w:t>
      </w:r>
      <w:r>
        <w:t xml:space="preserve"> </w:t>
      </w:r>
      <w:r>
        <w:t xml:space="preserve">in the sense of sharing: one who partakes of our praise</w:t>
      </w:r>
      <w:r>
        <w:t xml:space="preserve">”</w:t>
      </w:r>
      <w:r>
        <w:t xml:space="preserve">: that is, one who is worshipped with our words, who is praised, who is worthy of praise.</w:t>
      </w:r>
    </w:p>
    <w:p>
      <w:pPr>
        <w:pStyle w:val="BodyText"/>
      </w:pPr>
      <w:r>
        <w:rPr>
          <w:bCs/>
          <w:b/>
        </w:rPr>
        <w:t xml:space="preserve">“</w:t>
      </w:r>
      <w:r>
        <w:rPr>
          <w:bCs/>
          <w:b/>
        </w:rPr>
        <w:t xml:space="preserve">Viśvataḥ</w:t>
      </w:r>
      <w:r>
        <w:rPr>
          <w:bCs/>
          <w:b/>
        </w:rPr>
        <w:t xml:space="preserve">”</w:t>
      </w:r>
      <w:r>
        <w:t xml:space="preserve"> </w:t>
      </w:r>
      <w:r>
        <w:t xml:space="preserve">— in all places, or on all occasions.</w:t>
      </w:r>
    </w:p>
    <w:p>
      <w:pPr>
        <w:pStyle w:val="BodyText"/>
      </w:pPr>
      <w:r>
        <w:rPr>
          <w:bCs/>
          <w:b/>
        </w:rPr>
        <w:t xml:space="preserve">“</w:t>
      </w:r>
      <w:r>
        <w:rPr>
          <w:bCs/>
          <w:b/>
        </w:rPr>
        <w:t xml:space="preserve">Vṛddhāyum</w:t>
      </w:r>
      <w:r>
        <w:rPr>
          <w:bCs/>
          <w:b/>
        </w:rPr>
        <w:t xml:space="preserve">”</w:t>
      </w:r>
      <w:r>
        <w:t xml:space="preserve"> </w:t>
      </w:r>
      <w:r>
        <w:t xml:space="preserve">—</w:t>
      </w:r>
      <w:r>
        <w:t xml:space="preserve"> </w:t>
      </w:r>
      <w:r>
        <w:rPr>
          <w:bCs/>
          <w:b/>
        </w:rPr>
        <w:t xml:space="preserve">प्रवृद्धेनायुष्येणोपेतम्</w:t>
      </w:r>
      <w:r>
        <w:t xml:space="preserve"> </w:t>
      </w:r>
      <w:r>
        <w:t xml:space="preserve">(</w:t>
      </w:r>
      <w:r>
        <w:rPr>
          <w:iCs/>
          <w:i/>
        </w:rPr>
        <w:t xml:space="preserve">pravṛddhenāyuṣyeṇopetam</w:t>
      </w:r>
      <w:r>
        <w:t xml:space="preserve">) —</w:t>
      </w:r>
      <w:r>
        <w:t xml:space="preserve"> </w:t>
      </w:r>
      <w:r>
        <w:t xml:space="preserve">“</w:t>
      </w:r>
      <w:r>
        <w:t xml:space="preserve">endowed with increased lifespan</w:t>
      </w:r>
      <w:r>
        <w:t xml:space="preserve">”</w:t>
      </w:r>
      <w:r>
        <w:t xml:space="preserve">: endowed with a life that is great or growing, one who lives for a long time. Skandasvāmī explains this word as</w:t>
      </w:r>
      <w:r>
        <w:t xml:space="preserve"> </w:t>
      </w:r>
      <w:r>
        <w:rPr>
          <w:iCs/>
          <w:i/>
        </w:rPr>
        <w:t xml:space="preserve">vṛddhān śatrūn atigantāram</w:t>
      </w:r>
      <w:r>
        <w:t xml:space="preserve"> </w:t>
      </w:r>
      <w:r>
        <w:t xml:space="preserve">—</w:t>
      </w:r>
      <w:r>
        <w:t xml:space="preserve"> </w:t>
      </w:r>
      <w:r>
        <w:t xml:space="preserve">“</w:t>
      </w:r>
      <w:r>
        <w:t xml:space="preserve">one who overcomes enemies that have grown great,</w:t>
      </w:r>
      <w:r>
        <w:t xml:space="preserve">”</w:t>
      </w:r>
      <w:r>
        <w:t xml:space="preserve"> </w:t>
      </w:r>
      <w:r>
        <w:t xml:space="preserve">one who subdues enemies.</w:t>
      </w:r>
    </w:p>
    <w:p>
      <w:pPr>
        <w:pStyle w:val="BodyText"/>
      </w:pPr>
      <w:r>
        <w:rPr>
          <w:bCs/>
          <w:b/>
        </w:rPr>
        <w:t xml:space="preserve">“</w:t>
      </w:r>
      <w:r>
        <w:rPr>
          <w:bCs/>
          <w:b/>
        </w:rPr>
        <w:t xml:space="preserve">Anu</w:t>
      </w:r>
      <w:r>
        <w:rPr>
          <w:bCs/>
          <w:b/>
        </w:rPr>
        <w:t xml:space="preserve">”</w:t>
      </w:r>
      <w:r>
        <w:t xml:space="preserve"> </w:t>
      </w:r>
      <w:r>
        <w:t xml:space="preserve">—</w:t>
      </w:r>
      <w:r>
        <w:t xml:space="preserve"> </w:t>
      </w:r>
      <w:r>
        <w:rPr>
          <w:iCs/>
          <w:i/>
        </w:rPr>
        <w:t xml:space="preserve">anusṛtya</w:t>
      </w:r>
      <w:r>
        <w:t xml:space="preserve">,</w:t>
      </w:r>
      <w:r>
        <w:t xml:space="preserve"> </w:t>
      </w:r>
      <w:r>
        <w:rPr>
          <w:iCs/>
          <w:i/>
        </w:rPr>
        <w:t xml:space="preserve">prāpya</w:t>
      </w:r>
      <w:r>
        <w:t xml:space="preserve"> </w:t>
      </w:r>
      <w:r>
        <w:t xml:space="preserve">—</w:t>
      </w:r>
      <w:r>
        <w:t xml:space="preserve"> </w:t>
      </w:r>
      <w:r>
        <w:t xml:space="preserve">“</w:t>
      </w:r>
      <w:r>
        <w:t xml:space="preserve">following,</w:t>
      </w:r>
      <w:r>
        <w:t xml:space="preserve">”</w:t>
      </w:r>
      <w:r>
        <w:t xml:space="preserve"> </w:t>
      </w:r>
      <w:r>
        <w:t xml:space="preserve">“</w:t>
      </w:r>
      <w:r>
        <w:t xml:space="preserve">reaching</w:t>
      </w:r>
      <w:r>
        <w:t xml:space="preserve">”</w:t>
      </w:r>
      <w:r>
        <w:t xml:space="preserve">: that is, may the hymns we make reach you; may you hear them.</w:t>
      </w:r>
    </w:p>
    <w:bookmarkEnd w:id="456"/>
    <w:bookmarkStart w:id="457" w:name="Xc03243e2888ff9eb5947672e72c6477e322a6a6"/>
    <w:p>
      <w:pPr>
        <w:pStyle w:val="Heading3"/>
      </w:pPr>
      <w:r>
        <w:t xml:space="preserve">Page 446 — Rik 12: Special Topics (continued) and grammar</w:t>
      </w:r>
    </w:p>
    <w:p>
      <w:pPr>
        <w:pStyle w:val="FirstParagraph"/>
      </w:pPr>
      <w:r>
        <w:rPr>
          <w:bCs/>
          <w:b/>
        </w:rPr>
        <w:t xml:space="preserve">“</w:t>
      </w:r>
      <w:r>
        <w:rPr>
          <w:bCs/>
          <w:b/>
        </w:rPr>
        <w:t xml:space="preserve">Vṛddhayaḥ</w:t>
      </w:r>
      <w:r>
        <w:rPr>
          <w:bCs/>
          <w:b/>
        </w:rPr>
        <w:t xml:space="preserve">”</w:t>
      </w:r>
      <w:r>
        <w:t xml:space="preserve"> </w:t>
      </w:r>
      <w:r>
        <w:t xml:space="preserve">—</w:t>
      </w:r>
      <w:r>
        <w:t xml:space="preserve"> </w:t>
      </w:r>
      <w:r>
        <w:rPr>
          <w:iCs/>
          <w:i/>
        </w:rPr>
        <w:t xml:space="preserve">vardhamānāḥ</w:t>
      </w:r>
      <w:r>
        <w:t xml:space="preserve"> </w:t>
      </w:r>
      <w:r>
        <w:t xml:space="preserve">— growing; much, specially, flourishing, abundant.</w:t>
      </w:r>
    </w:p>
    <w:p>
      <w:pPr>
        <w:pStyle w:val="BodyText"/>
      </w:pPr>
      <w:r>
        <w:rPr>
          <w:bCs/>
          <w:b/>
        </w:rPr>
        <w:t xml:space="preserve">“</w:t>
      </w:r>
      <w:r>
        <w:rPr>
          <w:bCs/>
          <w:b/>
        </w:rPr>
        <w:t xml:space="preserve">Juṣṭāḥ,</w:t>
      </w:r>
      <w:r>
        <w:rPr>
          <w:bCs/>
          <w:b/>
        </w:rPr>
        <w:t xml:space="preserve">”</w:t>
      </w:r>
      <w:r>
        <w:rPr>
          <w:bCs/>
          <w:b/>
        </w:rPr>
        <w:t xml:space="preserve"> </w:t>
      </w:r>
      <w:r>
        <w:rPr>
          <w:bCs/>
          <w:b/>
        </w:rPr>
        <w:t xml:space="preserve">“</w:t>
      </w:r>
      <w:r>
        <w:rPr>
          <w:bCs/>
          <w:b/>
        </w:rPr>
        <w:t xml:space="preserve">juṣṭayaḥ</w:t>
      </w:r>
      <w:r>
        <w:rPr>
          <w:bCs/>
          <w:b/>
        </w:rPr>
        <w:t xml:space="preserve">”</w:t>
      </w:r>
      <w:r>
        <w:t xml:space="preserve"> </w:t>
      </w:r>
      <w:r>
        <w:t xml:space="preserve">— the root</w:t>
      </w:r>
      <w:r>
        <w:t xml:space="preserve"> </w:t>
      </w:r>
      <w:r>
        <w:rPr>
          <w:iCs/>
          <w:i/>
        </w:rPr>
        <w:t xml:space="preserve">juṣī prītisevanayoḥ</w:t>
      </w:r>
      <w:r>
        <w:t xml:space="preserve"> </w:t>
      </w:r>
      <w:r>
        <w:t xml:space="preserve">has the senses</w:t>
      </w:r>
      <w:r>
        <w:t xml:space="preserve"> </w:t>
      </w:r>
      <w:r>
        <w:t xml:space="preserve">“</w:t>
      </w:r>
      <w:r>
        <w:t xml:space="preserve">to be fond of</w:t>
      </w:r>
      <w:r>
        <w:t xml:space="preserve">”</w:t>
      </w:r>
      <w:r>
        <w:t xml:space="preserve"> </w:t>
      </w:r>
      <w:r>
        <w:t xml:space="preserve">and</w:t>
      </w:r>
      <w:r>
        <w:t xml:space="preserve"> </w:t>
      </w:r>
      <w:r>
        <w:t xml:space="preserve">“</w:t>
      </w:r>
      <w:r>
        <w:t xml:space="preserve">to serve</w:t>
      </w:r>
      <w:r>
        <w:t xml:space="preserve">”</w:t>
      </w:r>
      <w:r>
        <w:t xml:space="preserve">; so these words mean</w:t>
      </w:r>
      <w:r>
        <w:t xml:space="preserve"> </w:t>
      </w:r>
      <w:r>
        <w:t xml:space="preserve">“</w:t>
      </w:r>
      <w:r>
        <w:t xml:space="preserve">that which gives delight, that which is an object of delight.</w:t>
      </w:r>
      <w:r>
        <w:t xml:space="preserve">”</w:t>
      </w:r>
    </w:p>
    <w:p>
      <w:pPr>
        <w:pStyle w:val="BodyText"/>
      </w:pPr>
      <w:r>
        <w:rPr>
          <w:bCs/>
          <w:b/>
        </w:rPr>
        <w:t xml:space="preserve">॥ Vyākaraṇa-prakriyā ॥</w:t>
      </w:r>
      <w:r>
        <w:t xml:space="preserve"> </w:t>
      </w:r>
      <w:r>
        <w:rPr>
          <w:iCs/>
          <w:i/>
        </w:rPr>
        <w:t xml:space="preserve">(grammar pages 446–447, noted briefly; numbers checked against the print)</w:t>
      </w:r>
    </w:p>
    <w:p>
      <w:pPr>
        <w:pStyle w:val="BodyText"/>
      </w:pPr>
      <w:r>
        <w:rPr>
          <w:bCs/>
          <w:b/>
        </w:rPr>
        <w:t xml:space="preserve">गिर्वणः (</w:t>
      </w:r>
      <w:r>
        <w:rPr>
          <w:iCs/>
          <w:i/>
          <w:bCs/>
          <w:b/>
        </w:rPr>
        <w:t xml:space="preserve">girvaṇaḥ</w:t>
      </w:r>
      <w:r>
        <w:rPr>
          <w:bCs/>
          <w:b/>
        </w:rPr>
        <w:t xml:space="preserve">)</w:t>
      </w:r>
      <w:r>
        <w:t xml:space="preserve"> </w:t>
      </w:r>
      <w:r>
        <w:t xml:space="preserve">—</w:t>
      </w:r>
      <w:r>
        <w:t xml:space="preserve"> </w:t>
      </w:r>
      <w:r>
        <w:t xml:space="preserve">“</w:t>
      </w:r>
      <w:r>
        <w:t xml:space="preserve">gīrbhir vanyate iti girvaṇāḥ</w:t>
      </w:r>
      <w:r>
        <w:t xml:space="preserve">”</w:t>
      </w:r>
      <w:r>
        <w:t xml:space="preserve">: root</w:t>
      </w:r>
      <w:r>
        <w:t xml:space="preserve"> </w:t>
      </w:r>
      <w:r>
        <w:rPr>
          <w:iCs/>
          <w:i/>
        </w:rPr>
        <w:t xml:space="preserve">gṝ śabde</w:t>
      </w:r>
      <w:r>
        <w:t xml:space="preserve"> </w:t>
      </w:r>
      <w:r>
        <w:t xml:space="preserve">(</w:t>
      </w:r>
      <w:r>
        <w:rPr>
          <w:iCs/>
          <w:i/>
        </w:rPr>
        <w:t xml:space="preserve">kryādi</w:t>
      </w:r>
      <w:r>
        <w:t xml:space="preserve">) with</w:t>
      </w:r>
      <w:r>
        <w:t xml:space="preserve"> </w:t>
      </w:r>
      <w:r>
        <w:rPr>
          <w:iCs/>
          <w:i/>
        </w:rPr>
        <w:t xml:space="preserve">kvip</w:t>
      </w:r>
      <w:r>
        <w:t xml:space="preserve"> </w:t>
      </w:r>
      <w:r>
        <w:t xml:space="preserve">(</w:t>
      </w:r>
      <w:r>
        <w:t xml:space="preserve">“</w:t>
      </w:r>
      <w:r>
        <w:t xml:space="preserve">kvip ca,</w:t>
      </w:r>
      <w:r>
        <w:t xml:space="preserve">”</w:t>
      </w:r>
      <w:r>
        <w:t xml:space="preserve"> </w:t>
      </w:r>
      <w:r>
        <w:t xml:space="preserve">Pā. 3-2-76);</w:t>
      </w:r>
      <w:r>
        <w:t xml:space="preserve"> </w:t>
      </w:r>
      <w:r>
        <w:t xml:space="preserve">“</w:t>
      </w:r>
      <w:r>
        <w:t xml:space="preserve">ṛta id dhātoḥ</w:t>
      </w:r>
      <w:r>
        <w:t xml:space="preserve">”</w:t>
      </w:r>
      <w:r>
        <w:t xml:space="preserve"> </w:t>
      </w:r>
      <w:r>
        <w:t xml:space="preserve">(Pā. 7-1-100) gives</w:t>
      </w:r>
      <w:r>
        <w:t xml:space="preserve"> </w:t>
      </w:r>
      <w:r>
        <w:rPr>
          <w:iCs/>
          <w:i/>
        </w:rPr>
        <w:t xml:space="preserve">i</w:t>
      </w:r>
      <w:r>
        <w:t xml:space="preserve"> </w:t>
      </w:r>
      <w:r>
        <w:t xml:space="preserve">in place of</w:t>
      </w:r>
      <w:r>
        <w:t xml:space="preserve"> </w:t>
      </w:r>
      <w:r>
        <w:rPr>
          <w:iCs/>
          <w:i/>
        </w:rPr>
        <w:t xml:space="preserve">ṛ</w:t>
      </w:r>
      <w:r>
        <w:t xml:space="preserve">, which, as an</w:t>
      </w:r>
      <w:r>
        <w:t xml:space="preserve"> </w:t>
      </w:r>
      <w:r>
        <w:rPr>
          <w:iCs/>
          <w:i/>
        </w:rPr>
        <w:t xml:space="preserve">alo ’ntyasya</w:t>
      </w:r>
      <w:r>
        <w:t xml:space="preserve"> </w:t>
      </w:r>
      <w:r>
        <w:t xml:space="preserve">substitute, comes at the end; root</w:t>
      </w:r>
      <w:r>
        <w:t xml:space="preserve"> </w:t>
      </w:r>
      <w:r>
        <w:rPr>
          <w:iCs/>
          <w:i/>
        </w:rPr>
        <w:t xml:space="preserve">vana ṣaṇa saṃbhaktau</w:t>
      </w:r>
      <w:r>
        <w:t xml:space="preserve"> </w:t>
      </w:r>
      <w:r>
        <w:t xml:space="preserve">with</w:t>
      </w:r>
      <w:r>
        <w:t xml:space="preserve"> </w:t>
      </w:r>
      <w:r>
        <w:rPr>
          <w:iCs/>
          <w:i/>
        </w:rPr>
        <w:t xml:space="preserve">asun</w:t>
      </w:r>
      <w:r>
        <w:t xml:space="preserve"> </w:t>
      </w:r>
      <w:r>
        <w:t xml:space="preserve">(</w:t>
      </w:r>
      <w:r>
        <w:t xml:space="preserve">“</w:t>
      </w:r>
      <w:r>
        <w:t xml:space="preserve">sarvadhātubhyo ’sun,</w:t>
      </w:r>
      <w:r>
        <w:t xml:space="preserve">”</w:t>
      </w:r>
      <w:r>
        <w:t xml:space="preserve"> </w:t>
      </w:r>
      <w:r>
        <w:t xml:space="preserve">Uṇ. 4-638 [?] [as printed]);</w:t>
      </w:r>
      <w:r>
        <w:t xml:space="preserve"> </w:t>
      </w:r>
      <w:r>
        <w:rPr>
          <w:iCs/>
          <w:i/>
        </w:rPr>
        <w:t xml:space="preserve">gir</w:t>
      </w:r>
      <w:r>
        <w:t xml:space="preserve"> </w:t>
      </w:r>
      <w:r>
        <w:t xml:space="preserve">+</w:t>
      </w:r>
      <w:r>
        <w:t xml:space="preserve"> </w:t>
      </w:r>
      <w:r>
        <w:rPr>
          <w:iCs/>
          <w:i/>
        </w:rPr>
        <w:t xml:space="preserve">bhis</w:t>
      </w:r>
      <w:r>
        <w:t xml:space="preserve"> </w:t>
      </w:r>
      <w:r>
        <w:t xml:space="preserve">+</w:t>
      </w:r>
      <w:r>
        <w:t xml:space="preserve"> </w:t>
      </w:r>
      <w:r>
        <w:rPr>
          <w:iCs/>
          <w:i/>
        </w:rPr>
        <w:t xml:space="preserve">vanas</w:t>
      </w:r>
      <w:r>
        <w:t xml:space="preserve"> </w:t>
      </w:r>
      <w:r>
        <w:t xml:space="preserve">receive the technical name</w:t>
      </w:r>
      <w:r>
        <w:t xml:space="preserve"> </w:t>
      </w:r>
      <w:r>
        <w:rPr>
          <w:iCs/>
          <w:i/>
        </w:rPr>
        <w:t xml:space="preserve">prātipadika</w:t>
      </w:r>
      <w:r>
        <w:t xml:space="preserve">, and by</w:t>
      </w:r>
      <w:r>
        <w:t xml:space="preserve"> </w:t>
      </w:r>
      <w:r>
        <w:t xml:space="preserve">“</w:t>
      </w:r>
      <w:r>
        <w:t xml:space="preserve">supo dhātu-prātipadikayoḥ</w:t>
      </w:r>
      <w:r>
        <w:t xml:space="preserve">”</w:t>
      </w:r>
      <w:r>
        <w:t xml:space="preserve"> </w:t>
      </w:r>
      <w:r>
        <w:t xml:space="preserve">(Pā. 2-4-71)</w:t>
      </w:r>
      <w:r>
        <w:t xml:space="preserve"> </w:t>
      </w:r>
      <w:r>
        <w:rPr>
          <w:iCs/>
          <w:i/>
        </w:rPr>
        <w:t xml:space="preserve">bhis</w:t>
      </w:r>
      <w:r>
        <w:t xml:space="preserve"> </w:t>
      </w:r>
      <w:r>
        <w:t xml:space="preserve">is dropped; by</w:t>
      </w:r>
      <w:r>
        <w:t xml:space="preserve"> </w:t>
      </w:r>
      <w:r>
        <w:rPr>
          <w:iCs/>
          <w:i/>
        </w:rPr>
        <w:t xml:space="preserve">pratyaya-lakṣaṇa</w:t>
      </w:r>
      <w:r>
        <w:t xml:space="preserve"> </w:t>
      </w:r>
      <w:r>
        <w:rPr>
          <w:iCs/>
          <w:i/>
        </w:rPr>
        <w:t xml:space="preserve">gir</w:t>
      </w:r>
      <w:r>
        <w:t xml:space="preserve"> </w:t>
      </w:r>
      <w:r>
        <w:t xml:space="preserve">counts as a</w:t>
      </w:r>
      <w:r>
        <w:t xml:space="preserve"> </w:t>
      </w:r>
      <w:r>
        <w:rPr>
          <w:iCs/>
          <w:i/>
        </w:rPr>
        <w:t xml:space="preserve">pada</w:t>
      </w:r>
      <w:r>
        <w:t xml:space="preserve">; so</w:t>
      </w:r>
      <w:r>
        <w:t xml:space="preserve"> </w:t>
      </w:r>
      <w:r>
        <w:t xml:space="preserve">“</w:t>
      </w:r>
      <w:r>
        <w:t xml:space="preserve">vor upadhāyā dīrgha ikaḥ</w:t>
      </w:r>
      <w:r>
        <w:t xml:space="preserve">”</w:t>
      </w:r>
      <w:r>
        <w:t xml:space="preserve"> </w:t>
      </w:r>
      <w:r>
        <w:t xml:space="preserve">(Pā. 8-2-76): the penultimate</w:t>
      </w:r>
      <w:r>
        <w:t xml:space="preserve"> </w:t>
      </w:r>
      <w:r>
        <w:rPr>
          <w:iCs/>
          <w:i/>
        </w:rPr>
        <w:t xml:space="preserve">ik</w:t>
      </w:r>
      <w:r>
        <w:t xml:space="preserve"> </w:t>
      </w:r>
      <w:r>
        <w:t xml:space="preserve">of a stem ending in</w:t>
      </w:r>
      <w:r>
        <w:t xml:space="preserve"> </w:t>
      </w:r>
      <w:r>
        <w:rPr>
          <w:iCs/>
          <w:i/>
        </w:rPr>
        <w:t xml:space="preserve">r</w:t>
      </w:r>
      <w:r>
        <w:t xml:space="preserve"> </w:t>
      </w:r>
      <w:r>
        <w:t xml:space="preserve">or</w:t>
      </w:r>
      <w:r>
        <w:t xml:space="preserve"> </w:t>
      </w:r>
      <w:r>
        <w:rPr>
          <w:iCs/>
          <w:i/>
        </w:rPr>
        <w:t xml:space="preserve">v</w:t>
      </w:r>
      <w:r>
        <w:t xml:space="preserve"> </w:t>
      </w:r>
      <w:r>
        <w:t xml:space="preserve">is lengthened at the end of a</w:t>
      </w:r>
      <w:r>
        <w:t xml:space="preserve"> </w:t>
      </w:r>
      <w:r>
        <w:rPr>
          <w:iCs/>
          <w:i/>
        </w:rPr>
        <w:t xml:space="preserve">pada</w:t>
      </w:r>
      <w:r>
        <w:t xml:space="preserve">, which would lengthen the</w:t>
      </w:r>
      <w:r>
        <w:t xml:space="preserve"> </w:t>
      </w:r>
      <w:r>
        <w:rPr>
          <w:iCs/>
          <w:i/>
        </w:rPr>
        <w:t xml:space="preserve">i</w:t>
      </w:r>
      <w:r>
        <w:t xml:space="preserve"> </w:t>
      </w:r>
      <w:r>
        <w:t xml:space="preserve">of</w:t>
      </w:r>
      <w:r>
        <w:t xml:space="preserve"> </w:t>
      </w:r>
      <w:r>
        <w:rPr>
          <w:iCs/>
          <w:i/>
        </w:rPr>
        <w:t xml:space="preserve">gir</w:t>
      </w:r>
      <w:r>
        <w:t xml:space="preserve">; but</w:t>
      </w:r>
      <w:r>
        <w:t xml:space="preserve"> </w:t>
      </w:r>
      <w:r>
        <w:t xml:space="preserve">“</w:t>
      </w:r>
      <w:r>
        <w:t xml:space="preserve">sarve vidhayaś chandasi vikalpyante</w:t>
      </w:r>
      <w:r>
        <w:t xml:space="preserve">”</w:t>
      </w:r>
      <w:r>
        <w:t xml:space="preserve"> </w:t>
      </w:r>
      <w:r>
        <w:t xml:space="preserve">(Paribhāṣā 35) makes this optional, so it does not arise; the vocative singular</w:t>
      </w:r>
      <w:r>
        <w:t xml:space="preserve"> </w:t>
      </w:r>
      <w:r>
        <w:rPr>
          <w:iCs/>
          <w:i/>
        </w:rPr>
        <w:t xml:space="preserve">su</w:t>
      </w:r>
      <w:r>
        <w:t xml:space="preserve"> </w:t>
      </w:r>
      <w:r>
        <w:t xml:space="preserve">is added to</w:t>
      </w:r>
      <w:r>
        <w:t xml:space="preserve"> </w:t>
      </w:r>
      <w:r>
        <w:rPr>
          <w:iCs/>
          <w:i/>
        </w:rPr>
        <w:t xml:space="preserve">girvaṇas</w:t>
      </w:r>
      <w:r>
        <w:t xml:space="preserve">, the</w:t>
      </w:r>
      <w:r>
        <w:t xml:space="preserve"> </w:t>
      </w:r>
      <w:r>
        <w:rPr>
          <w:iCs/>
          <w:i/>
        </w:rPr>
        <w:t xml:space="preserve">su</w:t>
      </w:r>
      <w:r>
        <w:t xml:space="preserve"> </w:t>
      </w:r>
      <w:r>
        <w:t xml:space="preserve">dropped by</w:t>
      </w:r>
      <w:r>
        <w:t xml:space="preserve"> </w:t>
      </w:r>
      <w:r>
        <w:t xml:space="preserve">“</w:t>
      </w:r>
      <w:r>
        <w:t xml:space="preserve">hal-ṅyābbhyo dīrghāt sutisy apṛktaṃ hal</w:t>
      </w:r>
      <w:r>
        <w:t xml:space="preserve">”</w:t>
      </w:r>
      <w:r>
        <w:t xml:space="preserve"> </w:t>
      </w:r>
      <w:r>
        <w:t xml:space="preserve">(Pā. 6-1-68);</w:t>
      </w:r>
      <w:r>
        <w:t xml:space="preserve"> </w:t>
      </w:r>
      <w:r>
        <w:rPr>
          <w:iCs/>
          <w:i/>
        </w:rPr>
        <w:t xml:space="preserve">ru</w:t>
      </w:r>
      <w:r>
        <w:t xml:space="preserve"> </w:t>
      </w:r>
      <w:r>
        <w:t xml:space="preserve">and visarga:</w:t>
      </w:r>
      <w:r>
        <w:t xml:space="preserve"> </w:t>
      </w:r>
      <w:r>
        <w:rPr>
          <w:iCs/>
          <w:i/>
        </w:rPr>
        <w:t xml:space="preserve">girvaṇaḥ</w:t>
      </w:r>
      <w:r>
        <w:t xml:space="preserve">; a vocative, unaccented by</w:t>
      </w:r>
      <w:r>
        <w:t xml:space="preserve"> </w:t>
      </w:r>
      <w:r>
        <w:t xml:space="preserve">“</w:t>
      </w:r>
      <w:r>
        <w:t xml:space="preserve">āmantritasya ca</w:t>
      </w:r>
      <w:r>
        <w:t xml:space="preserve">”</w:t>
      </w:r>
      <w:r>
        <w:t xml:space="preserve"> </w:t>
      </w:r>
      <w:r>
        <w:t xml:space="preserve">(Pā. 8-1-19).</w:t>
      </w:r>
      <w:r>
        <w:t xml:space="preserve"> </w:t>
      </w:r>
      <w:r>
        <w:rPr>
          <w:bCs/>
          <w:b/>
        </w:rPr>
        <w:t xml:space="preserve">विश्वतः (</w:t>
      </w:r>
      <w:r>
        <w:rPr>
          <w:iCs/>
          <w:i/>
          <w:bCs/>
          <w:b/>
        </w:rPr>
        <w:t xml:space="preserve">viśvataḥ</w:t>
      </w:r>
      <w:r>
        <w:rPr>
          <w:bCs/>
          <w:b/>
        </w:rPr>
        <w:t xml:space="preserve">)</w:t>
      </w:r>
      <w:r>
        <w:t xml:space="preserve"> </w:t>
      </w:r>
      <w:r>
        <w:t xml:space="preserve">— from</w:t>
      </w:r>
      <w:r>
        <w:t xml:space="preserve"> </w:t>
      </w:r>
      <w:r>
        <w:rPr>
          <w:iCs/>
          <w:i/>
        </w:rPr>
        <w:t xml:space="preserve">tasil</w:t>
      </w:r>
      <w:r>
        <w:t xml:space="preserve">, which is</w:t>
      </w:r>
      <w:r>
        <w:t xml:space="preserve"> </w:t>
      </w:r>
      <w:r>
        <w:rPr>
          <w:iCs/>
          <w:i/>
        </w:rPr>
        <w:t xml:space="preserve">l</w:t>
      </w:r>
      <w:r>
        <w:t xml:space="preserve">-marked, so the vowel before it is udātta (</w:t>
      </w:r>
      <w:r>
        <w:t xml:space="preserve">“</w:t>
      </w:r>
      <w:r>
        <w:t xml:space="preserve">liti,</w:t>
      </w:r>
      <w:r>
        <w:t xml:space="preserve">”</w:t>
      </w:r>
      <w:r>
        <w:t xml:space="preserve"> </w:t>
      </w:r>
      <w:r>
        <w:t xml:space="preserve">Pā. 6-1-193).</w:t>
      </w:r>
      <w:r>
        <w:t xml:space="preserve"> </w:t>
      </w:r>
      <w:r>
        <w:rPr>
          <w:bCs/>
          <w:b/>
        </w:rPr>
        <w:t xml:space="preserve">वृद्धायुम् (</w:t>
      </w:r>
      <w:r>
        <w:rPr>
          <w:iCs/>
          <w:i/>
          <w:bCs/>
          <w:b/>
        </w:rPr>
        <w:t xml:space="preserve">vṛddhāyum</w:t>
      </w:r>
      <w:r>
        <w:rPr>
          <w:bCs/>
          <w:b/>
        </w:rPr>
        <w:t xml:space="preserve">)</w:t>
      </w:r>
      <w:r>
        <w:t xml:space="preserve"> </w:t>
      </w:r>
      <w:r>
        <w:t xml:space="preserve">— root</w:t>
      </w:r>
      <w:r>
        <w:t xml:space="preserve"> </w:t>
      </w:r>
      <w:r>
        <w:rPr>
          <w:iCs/>
          <w:i/>
        </w:rPr>
        <w:t xml:space="preserve">vṛdhu vṛddhau</w:t>
      </w:r>
      <w:r>
        <w:t xml:space="preserve"> </w:t>
      </w:r>
      <w:r>
        <w:t xml:space="preserve">with</w:t>
      </w:r>
      <w:r>
        <w:t xml:space="preserve"> </w:t>
      </w:r>
      <w:r>
        <w:rPr>
          <w:iCs/>
          <w:i/>
        </w:rPr>
        <w:t xml:space="preserve">kta</w:t>
      </w:r>
      <w:r>
        <w:t xml:space="preserve">;</w:t>
      </w:r>
      <w:r>
        <w:t xml:space="preserve"> </w:t>
      </w:r>
      <w:r>
        <w:rPr>
          <w:iCs/>
          <w:i/>
        </w:rPr>
        <w:t xml:space="preserve">vṛdh</w:t>
      </w:r>
      <w:r>
        <w:t xml:space="preserve"> </w:t>
      </w:r>
      <w:r>
        <w:t xml:space="preserve">+</w:t>
      </w:r>
      <w:r>
        <w:t xml:space="preserve"> </w:t>
      </w:r>
      <w:r>
        <w:rPr>
          <w:iCs/>
          <w:i/>
        </w:rPr>
        <w:t xml:space="preserve">ta</w:t>
      </w:r>
      <w:r>
        <w:t xml:space="preserve">;</w:t>
      </w:r>
      <w:r>
        <w:t xml:space="preserve"> </w:t>
      </w:r>
      <w:r>
        <w:rPr>
          <w:iCs/>
          <w:i/>
        </w:rPr>
        <w:t xml:space="preserve">vṛdh</w:t>
      </w:r>
      <w:r>
        <w:t xml:space="preserve"> </w:t>
      </w:r>
      <w:r>
        <w:t xml:space="preserve">is</w:t>
      </w:r>
      <w:r>
        <w:t xml:space="preserve"> </w:t>
      </w:r>
      <w:r>
        <w:rPr>
          <w:iCs/>
          <w:i/>
        </w:rPr>
        <w:t xml:space="preserve">udit</w:t>
      </w:r>
      <w:r>
        <w:t xml:space="preserve">, so by</w:t>
      </w:r>
      <w:r>
        <w:t xml:space="preserve"> </w:t>
      </w:r>
      <w:r>
        <w:t xml:space="preserve">“</w:t>
      </w:r>
      <w:r>
        <w:t xml:space="preserve">udito vā</w:t>
      </w:r>
      <w:r>
        <w:t xml:space="preserve">”</w:t>
      </w:r>
      <w:r>
        <w:t xml:space="preserve"> </w:t>
      </w:r>
      <w:r>
        <w:t xml:space="preserve">(Pā. 7-2-56) the</w:t>
      </w:r>
      <w:r>
        <w:t xml:space="preserve"> </w:t>
      </w:r>
      <w:r>
        <w:rPr>
          <w:iCs/>
          <w:i/>
        </w:rPr>
        <w:t xml:space="preserve">iṭ</w:t>
      </w:r>
      <w:r>
        <w:t xml:space="preserve"> </w:t>
      </w:r>
      <w:r>
        <w:t xml:space="preserve">augment before</w:t>
      </w:r>
      <w:r>
        <w:t xml:space="preserve"> </w:t>
      </w:r>
      <w:r>
        <w:rPr>
          <w:iCs/>
          <w:i/>
        </w:rPr>
        <w:t xml:space="preserve">ktvā</w:t>
      </w:r>
      <w:r>
        <w:t xml:space="preserve"> </w:t>
      </w:r>
      <w:r>
        <w:t xml:space="preserve">is optional (the print then discusses whether</w:t>
      </w:r>
      <w:r>
        <w:t xml:space="preserve"> </w:t>
      </w:r>
      <w:r>
        <w:rPr>
          <w:iCs/>
          <w:i/>
        </w:rPr>
        <w:t xml:space="preserve">kta</w:t>
      </w:r>
      <w:r>
        <w:t xml:space="preserve"> </w:t>
      </w:r>
      <w:r>
        <w:t xml:space="preserve">too takes</w:t>
      </w:r>
      <w:r>
        <w:t xml:space="preserve"> </w:t>
      </w:r>
      <w:r>
        <w:rPr>
          <w:iCs/>
          <w:i/>
        </w:rPr>
        <w:t xml:space="preserve">iṭ</w:t>
      </w:r>
      <w:r>
        <w:t xml:space="preserve">, citing</w:t>
      </w:r>
      <w:r>
        <w:t xml:space="preserve"> </w:t>
      </w:r>
      <w:r>
        <w:t xml:space="preserve">“</w:t>
      </w:r>
      <w:r>
        <w:t xml:space="preserve">yasya vibhāṣā</w:t>
      </w:r>
      <w:r>
        <w:t xml:space="preserve">”</w:t>
      </w:r>
      <w:r>
        <w:t xml:space="preserve"> </w:t>
      </w:r>
      <w:r>
        <w:t xml:space="preserve">(Pā. 7-2-15): a suffix beginning</w:t>
      </w:r>
      <w:r>
        <w:t xml:space="preserve"> </w:t>
      </w:r>
      <w:r>
        <w:rPr>
          <w:iCs/>
          <w:i/>
        </w:rPr>
        <w:t xml:space="preserve">kt</w:t>
      </w:r>
      <w:r>
        <w:t xml:space="preserve">-/</w:t>
      </w:r>
      <w:r>
        <w:rPr>
          <w:iCs/>
          <w:i/>
        </w:rPr>
        <w:t xml:space="preserve">ktavat</w:t>
      </w:r>
      <w:r>
        <w:t xml:space="preserve"> </w:t>
      </w:r>
      <w:r>
        <w:t xml:space="preserve">does not take</w:t>
      </w:r>
      <w:r>
        <w:t xml:space="preserve"> </w:t>
      </w:r>
      <w:r>
        <w:rPr>
          <w:iCs/>
          <w:i/>
        </w:rPr>
        <w:t xml:space="preserve">iṭ</w:t>
      </w:r>
      <w:r>
        <w:t xml:space="preserve"> </w:t>
      </w:r>
      <w:r>
        <w:t xml:space="preserve">after a root to which</w:t>
      </w:r>
      <w:r>
        <w:t xml:space="preserve"> </w:t>
      </w:r>
      <w:r>
        <w:rPr>
          <w:iCs/>
          <w:i/>
        </w:rPr>
        <w:t xml:space="preserve">iṭ</w:t>
      </w:r>
      <w:r>
        <w:t xml:space="preserve"> </w:t>
      </w:r>
      <w:r>
        <w:t xml:space="preserve">is optional); so the</w:t>
      </w:r>
      <w:r>
        <w:t xml:space="preserve"> </w:t>
      </w:r>
      <w:r>
        <w:rPr>
          <w:iCs/>
          <w:i/>
        </w:rPr>
        <w:t xml:space="preserve">iṭ</w:t>
      </w:r>
      <w:r>
        <w:t xml:space="preserve"> </w:t>
      </w:r>
      <w:r>
        <w:t xml:space="preserve">that</w:t>
      </w:r>
      <w:r>
        <w:t xml:space="preserve"> </w:t>
      </w:r>
      <w:r>
        <w:t xml:space="preserve">“</w:t>
      </w:r>
      <w:r>
        <w:t xml:space="preserve">ārdhadhātukasyeḍ valādeḥ</w:t>
      </w:r>
      <w:r>
        <w:t xml:space="preserve">”</w:t>
      </w:r>
      <w:r>
        <w:t xml:space="preserve"> </w:t>
      </w:r>
      <w:r>
        <w:t xml:space="preserve">(Pā. 7-2-35) would give is barred;</w:t>
      </w:r>
      <w:r>
        <w:t xml:space="preserve"> </w:t>
      </w:r>
      <w:r>
        <w:rPr>
          <w:iCs/>
          <w:i/>
        </w:rPr>
        <w:t xml:space="preserve">vṛdh</w:t>
      </w:r>
      <w:r>
        <w:t xml:space="preserve"> </w:t>
      </w:r>
      <w:r>
        <w:t xml:space="preserve">+</w:t>
      </w:r>
      <w:r>
        <w:t xml:space="preserve"> </w:t>
      </w:r>
      <w:r>
        <w:rPr>
          <w:iCs/>
          <w:i/>
        </w:rPr>
        <w:t xml:space="preserve">ta</w:t>
      </w:r>
      <w:r>
        <w:t xml:space="preserve"> </w:t>
      </w:r>
      <w:r>
        <w:t xml:space="preserve">→ by</w:t>
      </w:r>
      <w:r>
        <w:t xml:space="preserve"> </w:t>
      </w:r>
      <w:r>
        <w:t xml:space="preserve">“</w:t>
      </w:r>
      <w:r>
        <w:t xml:space="preserve">jhaṣas tathor dho ’dhaḥ</w:t>
      </w:r>
      <w:r>
        <w:t xml:space="preserve">”</w:t>
      </w:r>
      <w:r>
        <w:t xml:space="preserve"> </w:t>
      </w:r>
      <w:r>
        <w:t xml:space="preserve">(Pā. 8-2-40)</w:t>
      </w:r>
      <w:r>
        <w:t xml:space="preserve"> </w:t>
      </w:r>
      <w:r>
        <w:rPr>
          <w:iCs/>
          <w:i/>
        </w:rPr>
        <w:t xml:space="preserve">t</w:t>
      </w:r>
      <w:r>
        <w:t xml:space="preserve"> </w:t>
      </w:r>
      <w:r>
        <w:t xml:space="preserve">→</w:t>
      </w:r>
      <w:r>
        <w:t xml:space="preserve"> </w:t>
      </w:r>
      <w:r>
        <w:rPr>
          <w:iCs/>
          <w:i/>
        </w:rPr>
        <w:t xml:space="preserve">dh</w:t>
      </w:r>
      <w:r>
        <w:t xml:space="preserve"> </w:t>
      </w:r>
      <w:r>
        <w:t xml:space="preserve">after a</w:t>
      </w:r>
      <w:r>
        <w:t xml:space="preserve"> </w:t>
      </w:r>
      <w:r>
        <w:rPr>
          <w:iCs/>
          <w:i/>
        </w:rPr>
        <w:t xml:space="preserve">jhaṣ</w:t>
      </w:r>
      <w:r>
        <w:t xml:space="preserve">; then</w:t>
      </w:r>
      <w:r>
        <w:t xml:space="preserve"> </w:t>
      </w:r>
      <w:r>
        <w:rPr>
          <w:iCs/>
          <w:i/>
        </w:rPr>
        <w:t xml:space="preserve">dh</w:t>
      </w:r>
      <w:r>
        <w:t xml:space="preserve"> </w:t>
      </w:r>
      <w:r>
        <w:t xml:space="preserve">+</w:t>
      </w:r>
      <w:r>
        <w:t xml:space="preserve"> </w:t>
      </w:r>
      <w:r>
        <w:rPr>
          <w:iCs/>
          <w:i/>
        </w:rPr>
        <w:t xml:space="preserve">dh</w:t>
      </w:r>
      <w:r>
        <w:t xml:space="preserve"> </w:t>
      </w:r>
      <w:r>
        <w:t xml:space="preserve">→</w:t>
      </w:r>
      <w:r>
        <w:t xml:space="preserve"> </w:t>
      </w:r>
      <w:r>
        <w:rPr>
          <w:iCs/>
          <w:i/>
        </w:rPr>
        <w:t xml:space="preserve">ddh</w:t>
      </w:r>
      <w:r>
        <w:t xml:space="preserve"> </w:t>
      </w:r>
      <w:r>
        <w:t xml:space="preserve">by</w:t>
      </w:r>
      <w:r>
        <w:t xml:space="preserve"> </w:t>
      </w:r>
      <w:r>
        <w:t xml:space="preserve">“</w:t>
      </w:r>
      <w:r>
        <w:t xml:space="preserve">jhalāṃ jaś jhaśi</w:t>
      </w:r>
      <w:r>
        <w:t xml:space="preserve">”</w:t>
      </w:r>
      <w:r>
        <w:t xml:space="preserve"> </w:t>
      </w:r>
      <w:r>
        <w:t xml:space="preserve">(Pā. 8-4-53):</w:t>
      </w:r>
      <w:r>
        <w:t xml:space="preserve"> </w:t>
      </w:r>
      <w:r>
        <w:rPr>
          <w:iCs/>
          <w:i/>
        </w:rPr>
        <w:t xml:space="preserve">vṛddha</w:t>
      </w:r>
      <w:r>
        <w:t xml:space="preserve">; the root</w:t>
      </w:r>
      <w:r>
        <w:t xml:space="preserve"> </w:t>
      </w:r>
      <w:r>
        <w:rPr>
          <w:iCs/>
          <w:i/>
        </w:rPr>
        <w:t xml:space="preserve">iṇ gatau</w:t>
      </w:r>
      <w:r>
        <w:t xml:space="preserve">, with</w:t>
      </w:r>
      <w:r>
        <w:t xml:space="preserve"> </w:t>
      </w:r>
      <w:r>
        <w:rPr>
          <w:iCs/>
          <w:i/>
        </w:rPr>
        <w:t xml:space="preserve">uṇ</w:t>
      </w:r>
      <w:r>
        <w:t xml:space="preserve"> </w:t>
      </w:r>
      <w:r>
        <w:t xml:space="preserve">in the Veda (</w:t>
      </w:r>
      <w:r>
        <w:t xml:space="preserve">“</w:t>
      </w:r>
      <w:r>
        <w:t xml:space="preserve">chandasīṇaḥ,</w:t>
      </w:r>
      <w:r>
        <w:t xml:space="preserve">”</w:t>
      </w:r>
      <w:r>
        <w:t xml:space="preserve"> </w:t>
      </w:r>
      <w:r>
        <w:t xml:space="preserve">Uṇ. 1-2),</w:t>
      </w:r>
      <w:r>
        <w:t xml:space="preserve"> </w:t>
      </w:r>
      <w:r>
        <w:rPr>
          <w:iCs/>
          <w:i/>
        </w:rPr>
        <w:t xml:space="preserve">uṇ</w:t>
      </w:r>
      <w:r>
        <w:t xml:space="preserve"> </w:t>
      </w:r>
      <w:r>
        <w:t xml:space="preserve">being</w:t>
      </w:r>
      <w:r>
        <w:t xml:space="preserve"> </w:t>
      </w:r>
      <w:r>
        <w:rPr>
          <w:iCs/>
          <w:i/>
        </w:rPr>
        <w:t xml:space="preserve">ṇit</w:t>
      </w:r>
      <w:r>
        <w:t xml:space="preserve">, so</w:t>
      </w:r>
      <w:r>
        <w:t xml:space="preserve"> </w:t>
      </w:r>
      <w:r>
        <w:rPr>
          <w:iCs/>
          <w:i/>
        </w:rPr>
        <w:t xml:space="preserve">vṛddhi</w:t>
      </w:r>
      <w:r>
        <w:t xml:space="preserve"> </w:t>
      </w:r>
      <w:r>
        <w:t xml:space="preserve">(</w:t>
      </w:r>
      <w:r>
        <w:t xml:space="preserve">“</w:t>
      </w:r>
      <w:r>
        <w:t xml:space="preserve">aco ñṇiti,</w:t>
      </w:r>
      <w:r>
        <w:t xml:space="preserve">”</w:t>
      </w:r>
      <w:r>
        <w:t xml:space="preserve"> </w:t>
      </w:r>
      <w:r>
        <w:t xml:space="preserve">Pā. 7-2-115) gives</w:t>
      </w:r>
      <w:r>
        <w:t xml:space="preserve"> </w:t>
      </w:r>
      <w:r>
        <w:rPr>
          <w:iCs/>
          <w:i/>
        </w:rPr>
        <w:t xml:space="preserve">ai</w:t>
      </w:r>
      <w:r>
        <w:t xml:space="preserve"> </w:t>
      </w:r>
      <w:r>
        <w:t xml:space="preserve">+</w:t>
      </w:r>
      <w:r>
        <w:t xml:space="preserve"> </w:t>
      </w:r>
      <w:r>
        <w:rPr>
          <w:iCs/>
          <w:i/>
        </w:rPr>
        <w:t xml:space="preserve">u</w:t>
      </w:r>
      <w:r>
        <w:t xml:space="preserve">, then</w:t>
      </w:r>
      <w:r>
        <w:t xml:space="preserve"> </w:t>
      </w:r>
      <w:r>
        <w:t xml:space="preserve">“</w:t>
      </w:r>
      <w:r>
        <w:t xml:space="preserve">eco ’yavāyāvaḥ</w:t>
      </w:r>
      <w:r>
        <w:t xml:space="preserve">”</w:t>
      </w:r>
      <w:r>
        <w:t xml:space="preserve"> </w:t>
      </w:r>
      <w:r>
        <w:t xml:space="preserve">(Pā. 6-1-78) gives</w:t>
      </w:r>
      <w:r>
        <w:t xml:space="preserve"> </w:t>
      </w:r>
      <w:r>
        <w:rPr>
          <w:iCs/>
          <w:i/>
        </w:rPr>
        <w:t xml:space="preserve">āy</w:t>
      </w:r>
      <w:r>
        <w:t xml:space="preserve"> </w:t>
      </w:r>
      <w:r>
        <w:t xml:space="preserve">+</w:t>
      </w:r>
      <w:r>
        <w:t xml:space="preserve"> </w:t>
      </w:r>
      <w:r>
        <w:rPr>
          <w:iCs/>
          <w:i/>
        </w:rPr>
        <w:t xml:space="preserve">u</w:t>
      </w:r>
      <w:r>
        <w:t xml:space="preserve"> </w:t>
      </w:r>
      <w:r>
        <w:t xml:space="preserve">→</w:t>
      </w:r>
      <w:r>
        <w:t xml:space="preserve"> </w:t>
      </w:r>
      <w:r>
        <w:rPr>
          <w:iCs/>
          <w:i/>
        </w:rPr>
        <w:t xml:space="preserve">āyu</w:t>
      </w:r>
      <w:r>
        <w:t xml:space="preserve">;</w:t>
      </w:r>
      <w:r>
        <w:t xml:space="preserve"> </w:t>
      </w:r>
      <w:r>
        <w:rPr>
          <w:iCs/>
          <w:i/>
        </w:rPr>
        <w:t xml:space="preserve">vṛddham āyur yasya saḥ</w:t>
      </w:r>
      <w:r>
        <w:t xml:space="preserve">:</w:t>
      </w:r>
      <w:r>
        <w:t xml:space="preserve"> </w:t>
      </w:r>
      <w:r>
        <w:rPr>
          <w:iCs/>
          <w:i/>
        </w:rPr>
        <w:t xml:space="preserve">vṛddhāyuḥ</w:t>
      </w:r>
      <w:r>
        <w:t xml:space="preserve">, a bahuvrīhi, with the first member’s accent (</w:t>
      </w:r>
      <w:r>
        <w:t xml:space="preserve">“</w:t>
      </w:r>
      <w:r>
        <w:t xml:space="preserve">bahuvrīhau prakṛtyā pūrvapadam,</w:t>
      </w:r>
      <w:r>
        <w:t xml:space="preserve">”</w:t>
      </w:r>
      <w:r>
        <w:t xml:space="preserve"> </w:t>
      </w:r>
      <w:r>
        <w:t xml:space="preserve">Pā. 6-2-1); accusative singular</w:t>
      </w:r>
      <w:r>
        <w:t xml:space="preserve"> </w:t>
      </w:r>
      <w:r>
        <w:rPr>
          <w:iCs/>
          <w:i/>
        </w:rPr>
        <w:t xml:space="preserve">vṛddhāyum</w:t>
      </w:r>
      <w:r>
        <w:t xml:space="preserve">.</w:t>
      </w:r>
      <w:r>
        <w:t xml:space="preserve"> </w:t>
      </w:r>
      <w:r>
        <w:rPr>
          <w:bCs/>
          <w:b/>
        </w:rPr>
        <w:t xml:space="preserve">वृद्धयः (</w:t>
      </w:r>
      <w:r>
        <w:rPr>
          <w:iCs/>
          <w:i/>
          <w:bCs/>
          <w:b/>
        </w:rPr>
        <w:t xml:space="preserve">vṛddhayaḥ</w:t>
      </w:r>
      <w:r>
        <w:rPr>
          <w:bCs/>
          <w:b/>
        </w:rPr>
        <w:t xml:space="preserve">)</w:t>
      </w:r>
      <w:r>
        <w:t xml:space="preserve"> </w:t>
      </w:r>
      <w:r>
        <w:t xml:space="preserve">—</w:t>
      </w:r>
      <w:r>
        <w:t xml:space="preserve"> </w:t>
      </w:r>
      <w:r>
        <w:rPr>
          <w:iCs/>
          <w:i/>
        </w:rPr>
        <w:t xml:space="preserve">ktin</w:t>
      </w:r>
      <w:r>
        <w:t xml:space="preserve"> </w:t>
      </w:r>
      <w:r>
        <w:t xml:space="preserve">(</w:t>
      </w:r>
      <w:r>
        <w:t xml:space="preserve">“</w:t>
      </w:r>
      <w:r>
        <w:t xml:space="preserve">striyāṃ ktin,</w:t>
      </w:r>
      <w:r>
        <w:t xml:space="preserve">”</w:t>
      </w:r>
      <w:r>
        <w:t xml:space="preserve"> </w:t>
      </w:r>
      <w:r>
        <w:t xml:space="preserve">Pā. 3-3-94) after</w:t>
      </w:r>
      <w:r>
        <w:t xml:space="preserve"> </w:t>
      </w:r>
      <w:r>
        <w:rPr>
          <w:iCs/>
          <w:i/>
        </w:rPr>
        <w:t xml:space="preserve">vṛdh</w:t>
      </w:r>
      <w:r>
        <w:t xml:space="preserve">; the</w:t>
      </w:r>
      <w:r>
        <w:t xml:space="preserve"> </w:t>
      </w:r>
      <w:r>
        <w:rPr>
          <w:iCs/>
          <w:i/>
        </w:rPr>
        <w:t xml:space="preserve">iṭ</w:t>
      </w:r>
      <w:r>
        <w:t xml:space="preserve"> </w:t>
      </w:r>
      <w:r>
        <w:t xml:space="preserve">augment does not arise by</w:t>
      </w:r>
      <w:r>
        <w:t xml:space="preserve"> </w:t>
      </w:r>
      <w:r>
        <w:t xml:space="preserve">“</w:t>
      </w:r>
      <w:r>
        <w:t xml:space="preserve">ti, tu, tra, ta, tha, si, su, sara, ka, seṣu ca</w:t>
      </w:r>
      <w:r>
        <w:t xml:space="preserve">”</w:t>
      </w:r>
      <w:r>
        <w:t xml:space="preserve"> </w:t>
      </w:r>
      <w:r>
        <w:t xml:space="preserve">(Pā. 7-2-9);</w:t>
      </w:r>
      <w:r>
        <w:t xml:space="preserve"> </w:t>
      </w:r>
      <w:r>
        <w:rPr>
          <w:iCs/>
          <w:i/>
        </w:rPr>
        <w:t xml:space="preserve">th</w:t>
      </w:r>
      <w:r>
        <w:t xml:space="preserve"> </w:t>
      </w:r>
      <w:r>
        <w:t xml:space="preserve">→</w:t>
      </w:r>
      <w:r>
        <w:t xml:space="preserve"> </w:t>
      </w:r>
      <w:r>
        <w:rPr>
          <w:iCs/>
          <w:i/>
        </w:rPr>
        <w:t xml:space="preserve">dh</w:t>
      </w:r>
      <w:r>
        <w:t xml:space="preserve"> </w:t>
      </w:r>
      <w:r>
        <w:t xml:space="preserve">and</w:t>
      </w:r>
      <w:r>
        <w:t xml:space="preserve"> </w:t>
      </w:r>
      <w:r>
        <w:rPr>
          <w:iCs/>
          <w:i/>
        </w:rPr>
        <w:t xml:space="preserve">j</w:t>
      </w:r>
      <w:r>
        <w:t xml:space="preserve">-type changes as before:</w:t>
      </w:r>
      <w:r>
        <w:t xml:space="preserve"> </w:t>
      </w:r>
      <w:r>
        <w:rPr>
          <w:iCs/>
          <w:i/>
        </w:rPr>
        <w:t xml:space="preserve">vṛddhi</w:t>
      </w:r>
      <w:r>
        <w:t xml:space="preserve">; initial-udātta by</w:t>
      </w:r>
      <w:r>
        <w:t xml:space="preserve"> </w:t>
      </w:r>
      <w:r>
        <w:t xml:space="preserve">“</w:t>
      </w:r>
      <w:r>
        <w:t xml:space="preserve">ñnityādir nityam</w:t>
      </w:r>
      <w:r>
        <w:t xml:space="preserve">”</w:t>
      </w:r>
      <w:r>
        <w:t xml:space="preserve"> </w:t>
      </w:r>
      <w:r>
        <w:t xml:space="preserve">(Pā. 6-1-17 [as printed]); nominative plural</w:t>
      </w:r>
      <w:r>
        <w:t xml:space="preserve"> </w:t>
      </w:r>
      <w:r>
        <w:rPr>
          <w:iCs/>
          <w:i/>
        </w:rPr>
        <w:t xml:space="preserve">vṛddhayaḥ</w:t>
      </w:r>
      <w:r>
        <w:t xml:space="preserve">.</w:t>
      </w:r>
      <w:r>
        <w:t xml:space="preserve"> </w:t>
      </w:r>
      <w:r>
        <w:rPr>
          <w:bCs/>
          <w:b/>
        </w:rPr>
        <w:t xml:space="preserve">जुष्टाः (</w:t>
      </w:r>
      <w:r>
        <w:rPr>
          <w:iCs/>
          <w:i/>
          <w:bCs/>
          <w:b/>
        </w:rPr>
        <w:t xml:space="preserve">juṣṭāḥ</w:t>
      </w:r>
      <w:r>
        <w:rPr>
          <w:bCs/>
          <w:b/>
        </w:rPr>
        <w:t xml:space="preserve">)</w:t>
      </w:r>
      <w:r>
        <w:t xml:space="preserve"> </w:t>
      </w:r>
      <w:r>
        <w:t xml:space="preserve">— root</w:t>
      </w:r>
      <w:r>
        <w:t xml:space="preserve"> </w:t>
      </w:r>
      <w:r>
        <w:rPr>
          <w:iCs/>
          <w:i/>
        </w:rPr>
        <w:t xml:space="preserve">juṣī prītisevanayoḥ</w:t>
      </w:r>
      <w:r>
        <w:t xml:space="preserve">,</w:t>
      </w:r>
      <w:r>
        <w:t xml:space="preserve"> </w:t>
      </w:r>
      <w:r>
        <w:rPr>
          <w:iCs/>
          <w:i/>
        </w:rPr>
        <w:t xml:space="preserve">idit</w:t>
      </w:r>
      <w:r>
        <w:t xml:space="preserve">;</w:t>
      </w:r>
      <w:r>
        <w:t xml:space="preserve"> </w:t>
      </w:r>
      <w:r>
        <w:rPr>
          <w:iCs/>
          <w:i/>
        </w:rPr>
        <w:t xml:space="preserve">kta</w:t>
      </w:r>
      <w:r>
        <w:t xml:space="preserve">;</w:t>
      </w:r>
      <w:r>
        <w:t xml:space="preserve"> </w:t>
      </w:r>
      <w:r>
        <w:t xml:space="preserve">“</w:t>
      </w:r>
      <w:r>
        <w:t xml:space="preserve">śvīditaḥ niṣṭhāyām</w:t>
      </w:r>
      <w:r>
        <w:t xml:space="preserve">”</w:t>
      </w:r>
      <w:r>
        <w:t xml:space="preserve"> </w:t>
      </w:r>
      <w:r>
        <w:t xml:space="preserve">(Pā. 7-2-14): after</w:t>
      </w:r>
      <w:r>
        <w:t xml:space="preserve"> </w:t>
      </w:r>
      <w:r>
        <w:rPr>
          <w:iCs/>
          <w:i/>
        </w:rPr>
        <w:t xml:space="preserve">śvi</w:t>
      </w:r>
      <w:r>
        <w:t xml:space="preserve"> </w:t>
      </w:r>
      <w:r>
        <w:t xml:space="preserve">and</w:t>
      </w:r>
      <w:r>
        <w:t xml:space="preserve"> </w:t>
      </w:r>
      <w:r>
        <w:rPr>
          <w:iCs/>
          <w:i/>
        </w:rPr>
        <w:t xml:space="preserve">idit</w:t>
      </w:r>
      <w:r>
        <w:t xml:space="preserve"> </w:t>
      </w:r>
      <w:r>
        <w:t xml:space="preserve">roots,</w:t>
      </w:r>
      <w:r>
        <w:t xml:space="preserve"> </w:t>
      </w:r>
      <w:r>
        <w:rPr>
          <w:iCs/>
          <w:i/>
        </w:rPr>
        <w:t xml:space="preserve">niṣṭhā</w:t>
      </w:r>
      <w:r>
        <w:t xml:space="preserve"> </w:t>
      </w:r>
      <w:r>
        <w:t xml:space="preserve">does not take</w:t>
      </w:r>
      <w:r>
        <w:t xml:space="preserve"> </w:t>
      </w:r>
      <w:r>
        <w:rPr>
          <w:iCs/>
          <w:i/>
        </w:rPr>
        <w:t xml:space="preserve">iṭ</w:t>
      </w:r>
      <w:r>
        <w:t xml:space="preserve">, so</w:t>
      </w:r>
      <w:r>
        <w:t xml:space="preserve"> </w:t>
      </w:r>
      <w:r>
        <w:rPr>
          <w:iCs/>
          <w:i/>
        </w:rPr>
        <w:t xml:space="preserve">kta</w:t>
      </w:r>
      <w:r>
        <w:t xml:space="preserve"> </w:t>
      </w:r>
      <w:r>
        <w:t xml:space="preserve">has no augment; the suffix accent would arise but is set aside by</w:t>
      </w:r>
      <w:r>
        <w:t xml:space="preserve"> </w:t>
      </w:r>
      <w:r>
        <w:t xml:space="preserve">“</w:t>
      </w:r>
      <w:r>
        <w:t xml:space="preserve">nityaṃ mantre</w:t>
      </w:r>
      <w:r>
        <w:t xml:space="preserve">”</w:t>
      </w:r>
      <w:r>
        <w:t xml:space="preserve"> </w:t>
      </w:r>
      <w:r>
        <w:t xml:space="preserve">(Pā. 6-1-210), and</w:t>
      </w:r>
      <w:r>
        <w:t xml:space="preserve"> </w:t>
      </w:r>
      <w:r>
        <w:rPr>
          <w:iCs/>
          <w:i/>
        </w:rPr>
        <w:t xml:space="preserve">juṣṭa</w:t>
      </w:r>
      <w:r>
        <w:t xml:space="preserve"> </w:t>
      </w:r>
      <w:r>
        <w:t xml:space="preserve">and</w:t>
      </w:r>
      <w:r>
        <w:t xml:space="preserve"> </w:t>
      </w:r>
      <w:r>
        <w:rPr>
          <w:iCs/>
          <w:i/>
        </w:rPr>
        <w:t xml:space="preserve">arpita</w:t>
      </w:r>
      <w:r>
        <w:t xml:space="preserve"> </w:t>
      </w:r>
      <w:r>
        <w:t xml:space="preserve">are, by the previous sūtra’s carried-over words</w:t>
      </w:r>
      <w:r>
        <w:t xml:space="preserve"> </w:t>
      </w:r>
      <w:r>
        <w:t xml:space="preserve">“</w:t>
      </w:r>
      <w:r>
        <w:t xml:space="preserve">juṣṭārpite ca chandasi</w:t>
      </w:r>
      <w:r>
        <w:t xml:space="preserve">”</w:t>
      </w:r>
      <w:r>
        <w:t xml:space="preserve"> </w:t>
      </w:r>
      <w:r>
        <w:t xml:space="preserve">(Pā. 6-1-209), always initial-udātta in the mantra.</w:t>
      </w:r>
      <w:r>
        <w:t xml:space="preserve"> </w:t>
      </w:r>
      <w:r>
        <w:rPr>
          <w:bCs/>
          <w:b/>
        </w:rPr>
        <w:t xml:space="preserve">जुष्टयः (</w:t>
      </w:r>
      <w:r>
        <w:rPr>
          <w:iCs/>
          <w:i/>
          <w:bCs/>
          <w:b/>
        </w:rPr>
        <w:t xml:space="preserve">juṣṭayaḥ</w:t>
      </w:r>
      <w:r>
        <w:rPr>
          <w:bCs/>
          <w:b/>
        </w:rPr>
        <w:t xml:space="preserve">)</w:t>
      </w:r>
      <w:r>
        <w:t xml:space="preserve"> </w:t>
      </w:r>
      <w:r>
        <w:t xml:space="preserve">— root</w:t>
      </w:r>
      <w:r>
        <w:t xml:space="preserve"> </w:t>
      </w:r>
      <w:r>
        <w:rPr>
          <w:iCs/>
          <w:i/>
        </w:rPr>
        <w:t xml:space="preserve">juṣī prītisevanayoḥ</w:t>
      </w:r>
      <w:r>
        <w:t xml:space="preserve">,</w:t>
      </w:r>
      <w:r>
        <w:t xml:space="preserve"> </w:t>
      </w:r>
      <w:r>
        <w:rPr>
          <w:iCs/>
          <w:i/>
        </w:rPr>
        <w:t xml:space="preserve">ktin</w:t>
      </w:r>
      <w:r>
        <w:t xml:space="preserve">; the augment</w:t>
      </w:r>
      <w:r>
        <w:t xml:space="preserve"> </w:t>
      </w:r>
      <w:r>
        <w:rPr>
          <w:iCs/>
          <w:i/>
        </w:rPr>
        <w:t xml:space="preserve">iṭ</w:t>
      </w:r>
      <w:r>
        <w:t xml:space="preserve"> </w:t>
      </w:r>
      <w:r>
        <w:t xml:space="preserve">barred by</w:t>
      </w:r>
      <w:r>
        <w:t xml:space="preserve"> </w:t>
      </w:r>
      <w:r>
        <w:t xml:space="preserve">“</w:t>
      </w:r>
      <w:r>
        <w:t xml:space="preserve">ti-tu-tra….</w:t>
      </w:r>
      <w:r>
        <w:t xml:space="preserve">”</w:t>
      </w:r>
      <w:r>
        <w:t xml:space="preserve"> </w:t>
      </w:r>
      <w:r>
        <w:t xml:space="preserve">(Pā. 7-2-9);</w:t>
      </w:r>
      <w:r>
        <w:t xml:space="preserve"> </w:t>
      </w:r>
      <w:r>
        <w:t xml:space="preserve">“</w:t>
      </w:r>
      <w:r>
        <w:t xml:space="preserve">ṣṭunā ṣṭuḥ</w:t>
      </w:r>
      <w:r>
        <w:t xml:space="preserve">”</w:t>
      </w:r>
      <w:r>
        <w:t xml:space="preserve"> </w:t>
      </w:r>
      <w:r>
        <w:t xml:space="preserve">(Pā. 8-4-41) turns</w:t>
      </w:r>
      <w:r>
        <w:t xml:space="preserve"> </w:t>
      </w:r>
      <w:r>
        <w:rPr>
          <w:iCs/>
          <w:i/>
        </w:rPr>
        <w:t xml:space="preserve">t</w:t>
      </w:r>
      <w:r>
        <w:t xml:space="preserve"> </w:t>
      </w:r>
      <w:r>
        <w:t xml:space="preserve">→</w:t>
      </w:r>
      <w:r>
        <w:t xml:space="preserve"> </w:t>
      </w:r>
      <w:r>
        <w:rPr>
          <w:iCs/>
          <w:i/>
        </w:rPr>
        <w:t xml:space="preserve">ṭ</w:t>
      </w:r>
      <w:r>
        <w:t xml:space="preserve">:</w:t>
      </w:r>
      <w:r>
        <w:t xml:space="preserve"> </w:t>
      </w:r>
      <w:r>
        <w:rPr>
          <w:iCs/>
          <w:i/>
        </w:rPr>
        <w:t xml:space="preserve">juṣṭi</w:t>
      </w:r>
      <w:r>
        <w:t xml:space="preserve">; initial-udātta by the</w:t>
      </w:r>
      <w:r>
        <w:t xml:space="preserve"> </w:t>
      </w:r>
      <w:r>
        <w:rPr>
          <w:iCs/>
          <w:i/>
        </w:rPr>
        <w:t xml:space="preserve">nit</w:t>
      </w:r>
      <w:r>
        <w:t xml:space="preserve"> </w:t>
      </w:r>
      <w:r>
        <w:t xml:space="preserve">accent; nominative plural</w:t>
      </w:r>
      <w:r>
        <w:t xml:space="preserve"> </w:t>
      </w:r>
      <w:r>
        <w:rPr>
          <w:iCs/>
          <w:i/>
        </w:rPr>
        <w:t xml:space="preserve">juṣṭayaḥ</w:t>
      </w:r>
      <w:r>
        <w:t xml:space="preserve">.</w:t>
      </w:r>
    </w:p>
    <w:p>
      <w:pPr>
        <w:pStyle w:val="BodyText"/>
      </w:pPr>
      <w:r>
        <w:rPr>
          <w:bCs/>
          <w:b/>
        </w:rPr>
        <w:t xml:space="preserve">॥१२॥</w:t>
      </w:r>
    </w:p>
    <w:bookmarkEnd w:id="457"/>
    <w:bookmarkStart w:id="458" w:name="page-447-close-of-sūkta-10"/>
    <w:p>
      <w:pPr>
        <w:pStyle w:val="Heading3"/>
      </w:pPr>
      <w:r>
        <w:t xml:space="preserve">Page 447 — Close of Sūkta 10</w:t>
      </w:r>
    </w:p>
    <w:p>
      <w:pPr>
        <w:pStyle w:val="FirstParagraph"/>
      </w:pPr>
      <w:r>
        <w:rPr>
          <w:bCs/>
          <w:b/>
        </w:rPr>
        <w:t xml:space="preserve">॥ इति दशमं सूक्तं समाप्तम् ॥</w:t>
      </w:r>
      <w:r>
        <w:t xml:space="preserve"> </w:t>
      </w:r>
      <w:r>
        <w:rPr>
          <w:iCs/>
          <w:i/>
        </w:rPr>
        <w:t xml:space="preserve">iti daśamaṃ sūktaṃ samāptam |</w:t>
      </w:r>
      <w:r>
        <w:t xml:space="preserve"> </w:t>
      </w:r>
      <w:r>
        <w:t xml:space="preserve">“</w:t>
      </w:r>
      <w:r>
        <w:t xml:space="preserve">Thus the tenth sūkta is completed.</w:t>
      </w:r>
      <w:r>
        <w:t xml:space="preserve">”</w:t>
      </w:r>
    </w:p>
    <w:p>
      <w:pPr>
        <w:pStyle w:val="BodyText"/>
      </w:pPr>
      <w:r>
        <w:rPr>
          <w:bCs/>
          <w:b/>
        </w:rPr>
        <w:t xml:space="preserve">Kannada colophon:</w:t>
      </w:r>
      <w:r>
        <w:t xml:space="preserve"> </w:t>
      </w:r>
      <w:r>
        <w:t xml:space="preserve">ಇಲ್ಲಿಗೆ ಪ್ರಥಮಮಂಡಲದಲ್ಲಿ ಹತ್ತನೆಯ ಸೂಕ್ತವು ಮುಗಿದುದು ।</w:t>
      </w:r>
      <w:r>
        <w:t xml:space="preserve"> </w:t>
      </w:r>
      <w:r>
        <w:t xml:space="preserve">“</w:t>
      </w:r>
      <w:r>
        <w:t xml:space="preserve">Here the tenth sūkta in the first maṇḍala is concluded.</w:t>
      </w:r>
      <w:r>
        <w:t xml:space="preserve">”</w:t>
      </w:r>
    </w:p>
    <w:p>
      <w:pPr>
        <w:pStyle w:val="BodyText"/>
      </w:pPr>
      <w:r>
        <w:rPr>
          <w:iCs/>
          <w:i/>
        </w:rPr>
        <w:t xml:space="preserve">(A printed ornament follows. The next printed page, 448, opens the eleventh sūkta,</w:t>
      </w:r>
      <w:r>
        <w:rPr>
          <w:iCs/>
          <w:i/>
        </w:rPr>
        <w:t xml:space="preserve"> </w:t>
      </w:r>
      <w:r>
        <w:rPr>
          <w:iCs/>
          <w:i/>
        </w:rPr>
        <w:t xml:space="preserve">“</w:t>
      </w:r>
      <w:r>
        <w:rPr>
          <w:iCs/>
          <w:i/>
        </w:rPr>
        <w:t xml:space="preserve">indraṃ viśvā avīvṛdhan</w:t>
      </w:r>
      <w:r>
        <w:rPr>
          <w:iCs/>
          <w:i/>
        </w:rPr>
        <w:t xml:space="preserve">”</w:t>
      </w:r>
      <w:r>
        <w:rPr>
          <w:iCs/>
          <w:i/>
        </w:rPr>
        <w:t xml:space="preserve"> </w:t>
      </w:r>
      <w:r>
        <w:rPr>
          <w:iCs/>
          <w:i/>
        </w:rPr>
        <w:t xml:space="preserve">— its application note names Jetā, son of Madhucchandas, as the ṛṣi — and follows below.)</w:t>
      </w:r>
    </w:p>
    <w:p>
      <w:r>
        <w:pict>
          <v:rect style="width:0;height:1.5pt" o:hralign="center" o:hrstd="t" o:hr="t"/>
        </w:pict>
      </w:r>
    </w:p>
    <w:bookmarkEnd w:id="458"/>
    <w:bookmarkStart w:id="459" w:name="Xbdae177e7966b3dec69182ade4a249303747667"/>
    <w:p>
      <w:pPr>
        <w:pStyle w:val="Heading3"/>
      </w:pPr>
      <w:r>
        <w:t xml:space="preserve">Page 448 — opening of Sūkta 11 (third anuvāka)</w:t>
      </w:r>
    </w:p>
    <w:p>
      <w:pPr>
        <w:pStyle w:val="FirstParagraph"/>
      </w:pPr>
      <w:r>
        <w:rPr>
          <w:bCs/>
          <w:b/>
        </w:rPr>
        <w:t xml:space="preserve">॥ ॐ ॥</w:t>
      </w:r>
    </w:p>
    <w:p>
      <w:pPr>
        <w:pStyle w:val="BodyText"/>
      </w:pPr>
      <w:r>
        <w:rPr>
          <w:bCs/>
          <w:b/>
        </w:rPr>
        <w:t xml:space="preserve">॥ ಹನ್ನೊಂದನೆಯ ಸೂಕ್ತವು ॥ — Sūkta 11 —</w:t>
      </w:r>
      <w:r>
        <w:rPr>
          <w:bCs/>
          <w:b/>
        </w:rPr>
        <w:t xml:space="preserve"> </w:t>
      </w:r>
      <w:r>
        <w:rPr>
          <w:iCs/>
          <w:i/>
          <w:bCs/>
          <w:b/>
        </w:rPr>
        <w:t xml:space="preserve">“</w:t>
      </w:r>
      <w:r>
        <w:rPr>
          <w:iCs/>
          <w:i/>
          <w:bCs/>
          <w:b/>
        </w:rPr>
        <w:t xml:space="preserve">indraṃ viśvā avīvṛdhan</w:t>
      </w:r>
      <w:r>
        <w:rPr>
          <w:iCs/>
          <w:i/>
          <w:bCs/>
          <w:b/>
        </w:rPr>
        <w:t xml:space="preserve">”</w:t>
      </w:r>
      <w:r>
        <w:rPr>
          <w:bCs/>
          <w:b/>
        </w:rPr>
        <w:t xml:space="preserve"> </w:t>
      </w:r>
      <w:r>
        <w:rPr>
          <w:bCs/>
          <w:b/>
        </w:rPr>
        <w:t xml:space="preserve">(</w:t>
      </w:r>
      <w:r>
        <w:rPr>
          <w:bCs/>
          <w:b/>
        </w:rPr>
        <w:t xml:space="preserve">“</w:t>
      </w:r>
      <w:r>
        <w:rPr>
          <w:bCs/>
          <w:b/>
        </w:rPr>
        <w:t xml:space="preserve">The Eleventh Sūkta</w:t>
      </w:r>
      <w:r>
        <w:rPr>
          <w:bCs/>
          <w:b/>
        </w:rPr>
        <w:t xml:space="preserve">”</w:t>
      </w:r>
      <w:r>
        <w:rPr>
          <w:bCs/>
          <w:b/>
        </w:rPr>
        <w:t xml:space="preserve">)</w:t>
      </w:r>
    </w:p>
    <w:p>
      <w:pPr>
        <w:pStyle w:val="BodyText"/>
      </w:pPr>
      <w:r>
        <w:rPr>
          <w:bCs/>
          <w:b/>
        </w:rPr>
        <w:t xml:space="preserve">॥ Sāyaṇa-bhāṣyam ॥ (introductory note on the application of the sūkta)</w:t>
      </w:r>
    </w:p>
    <w:p>
      <w:pPr>
        <w:pStyle w:val="BlockText"/>
      </w:pPr>
      <w:r>
        <w:t xml:space="preserve">इन्द्रं विश्वा इत्यष्टर्चस्य सूक्तस्य मधुच्छन्दसः पुत्रो जेतैनामक ऋषिः । तथा चानुक्रान्तम् । इन्द्रमष्टौ जेता माधुच्छन्दस इति । छन्दस्त्वानुष्टुभमिति पूर्वसूत्रोक्तम् । इन्द्रो देवतानुवर्तते ॥ विनियोगस्तु । महाव्रते निष्केवल्ये कृत्स्नसूक्तं शंसनीयम् । ऊरू इति खण्डे शौनकेन सूत्रितम् । इन्द्रं विश्वा अवीवृधनित्यानुष्टुभं तस्य प्रथमायाः पूर्वमर्धर्चं शस्त्वोत्तरेणार्धर्चेनोत्तरस्याः पूर्वमर्धर्चं व्यतिषजति पाद्यैः पादाननुष्टुप्कारं प्रागुत्तमायाः । ऐ. आ. ५-३-१ । इति । ब्राह्मणं च प्रथमारण्यके पश्यते [?] प्र वो मह इति खण्डे । इन्द्रं विश्वा अवीवृधन्निति पदानुषङ्गः । ऐ. आ. १-५-२ । इति । तथा पृष्ठ्यस्य पञ्चमे ऽहनि निष्केवल्ये शस्त्र इन्द्रं विश्वा अवीवृधन्नित्यनुरूपस्तृचः । स्तोमो वर्धमान इति खण्डे सूत्रितम् । उप नो हरिभिः सुतमिन्द्रं विश्वा अवीवृधन् । आ. ७-१२ [?] । इति ॥</w:t>
      </w:r>
    </w:p>
    <w:p>
      <w:pPr>
        <w:pStyle w:val="BlockText"/>
      </w:pPr>
      <w:r>
        <w:rPr>
          <w:iCs/>
          <w:i/>
        </w:rPr>
        <w:t xml:space="preserve">indraṃ viśvā ityaṣṭarcasya sūktasya madhucchandasaḥ putro jetaināmaka ṛṣiḥ | tathā cānukrāntam | indramaṣṭau jetā mādhucchandasa iti | chandastvānuṣṭubhamiti pūrvasūtroktam | indro devatānuvartate || viniyogastu | mahāvrate niṣkevalye kṛtsnasūktaṃ śaṃsanīyam | ūrū iti khaṇḍe śaunakena sūtritam | indraṃ viśvā avīvṛdhanityānuṣṭubhaṃ tasya prathamāyāḥ pūrvamardharcaṃ śastvottareṇārdharcenottarasyāḥ pūrvamardharcaṃ vyatiṣajati pādyaiḥ pādānanuṣṭupkāraṃ prāguttamāyāḥ | ai. ā. 5-3-1 | iti | brāhmaṇaṃ ca prathamāraṇyake paśyate [?] pra vo maha iti khaṇḍe | indraṃ viśvā avīvṛdhanniti padānuṣaṅgaḥ | ai. ā. 1-5-2 | iti | tathā pṛṣṭhyasya pañcame ’hani niṣkevalye śastra indraṃ viśvā avīvṛdhannityanurūpastṛcaḥ | stomo vardhamāna iti khaṇḍe sūtritam | upa no haribhiḥ sutamindraṃ viśvā avīvṛdhan | ā. 7-12 [?] | iti ||</w:t>
      </w:r>
    </w:p>
    <w:p>
      <w:pPr>
        <w:pStyle w:val="FirstParagraph"/>
      </w:pPr>
      <w:r>
        <w:rPr>
          <w:bCs/>
          <w:b/>
        </w:rPr>
        <w:t xml:space="preserve">Translation:</w:t>
      </w:r>
      <w:r>
        <w:t xml:space="preserve"> </w:t>
      </w:r>
      <w:r>
        <w:t xml:space="preserve">“</w:t>
      </w:r>
      <w:r>
        <w:t xml:space="preserve">The ṛṣi of the eight-rik sūkta beginning</w:t>
      </w:r>
      <w:r>
        <w:t xml:space="preserve"> </w:t>
      </w:r>
      <w:r>
        <w:rPr>
          <w:iCs/>
          <w:i/>
        </w:rPr>
        <w:t xml:space="preserve">indraṃ viśvā</w:t>
      </w:r>
      <w:r>
        <w:t xml:space="preserve"> </w:t>
      </w:r>
      <w:r>
        <w:t xml:space="preserve">is Jetā, son of Madhucchandas. So the Anukramaṇī says:</w:t>
      </w:r>
      <w:r>
        <w:t xml:space="preserve"> </w:t>
      </w:r>
      <w:r>
        <w:t xml:space="preserve">‘</w:t>
      </w:r>
      <w:r>
        <w:rPr>
          <w:iCs/>
          <w:i/>
        </w:rPr>
        <w:t xml:space="preserve">indram aṣṭau jetā mādhucchandasaḥ</w:t>
      </w:r>
      <w:r>
        <w:t xml:space="preserve">’</w:t>
      </w:r>
      <w:r>
        <w:t xml:space="preserve"> </w:t>
      </w:r>
      <w:r>
        <w:t xml:space="preserve">—</w:t>
      </w:r>
      <w:r>
        <w:t xml:space="preserve"> </w:t>
      </w:r>
      <w:r>
        <w:rPr>
          <w:iCs/>
          <w:i/>
        </w:rPr>
        <w:t xml:space="preserve">indram</w:t>
      </w:r>
      <w:r>
        <w:t xml:space="preserve"> </w:t>
      </w:r>
      <w:r>
        <w:t xml:space="preserve">[is the sūkta of] eight [riks; see the note below], seer Jetā, son of Madhucchandas. That the meter is Anuṣṭubh was stated in the preceding sūtra. The deity, Indra, continues. Its application: in the</w:t>
      </w:r>
      <w:r>
        <w:t xml:space="preserve"> </w:t>
      </w:r>
      <w:r>
        <w:rPr>
          <w:bCs/>
          <w:b/>
        </w:rPr>
        <w:t xml:space="preserve">Mahāvrata</w:t>
      </w:r>
      <w:r>
        <w:t xml:space="preserve">, in the</w:t>
      </w:r>
      <w:r>
        <w:t xml:space="preserve"> </w:t>
      </w:r>
      <w:r>
        <w:rPr>
          <w:iCs/>
          <w:i/>
        </w:rPr>
        <w:t xml:space="preserve">niṣkevalya</w:t>
      </w:r>
      <w:r>
        <w:t xml:space="preserve"> </w:t>
      </w:r>
      <w:r>
        <w:t xml:space="preserve">[śastra], the whole sūkta is to be recited; Śaunaka lays this down in the section</w:t>
      </w:r>
      <w:r>
        <w:t xml:space="preserve"> </w:t>
      </w:r>
      <w:r>
        <w:rPr>
          <w:iCs/>
          <w:i/>
        </w:rPr>
        <w:t xml:space="preserve">ūrū</w:t>
      </w:r>
      <w:r>
        <w:t xml:space="preserve">:</w:t>
      </w:r>
      <w:r>
        <w:t xml:space="preserve"> </w:t>
      </w:r>
      <w:r>
        <w:t xml:space="preserve">‘</w:t>
      </w:r>
      <w:r>
        <w:rPr>
          <w:iCs/>
          <w:i/>
        </w:rPr>
        <w:t xml:space="preserve">indraṃ viśvā avīvṛdhan</w:t>
      </w:r>
      <w:r>
        <w:t xml:space="preserve"> </w:t>
      </w:r>
      <w:r>
        <w:t xml:space="preserve">— Anuṣṭubh; having recited the first half of its first rik, with the second half he interweaves the first half of the next, making Anuṣṭubhs of the pādas pāda by pāda, up to the last [rik]</w:t>
      </w:r>
      <w:r>
        <w:t xml:space="preserve">’</w:t>
      </w:r>
      <w:r>
        <w:t xml:space="preserve"> </w:t>
      </w:r>
      <w:r>
        <w:t xml:space="preserve">(Aitareya Āraṇyaka 5-3-1, as printed). And the Brāhmaṇa, in the first Āraṇyaka, in the section</w:t>
      </w:r>
      <w:r>
        <w:t xml:space="preserve"> </w:t>
      </w:r>
      <w:r>
        <w:rPr>
          <w:iCs/>
          <w:i/>
        </w:rPr>
        <w:t xml:space="preserve">paśyate</w:t>
      </w:r>
      <w:r>
        <w:t xml:space="preserve"> </w:t>
      </w:r>
      <w:r>
        <w:t xml:space="preserve">[?]</w:t>
      </w:r>
      <w:r>
        <w:t xml:space="preserve"> </w:t>
      </w:r>
      <w:r>
        <w:rPr>
          <w:iCs/>
          <w:i/>
        </w:rPr>
        <w:t xml:space="preserve">pra vo maha</w:t>
      </w:r>
      <w:r>
        <w:t xml:space="preserve">:</w:t>
      </w:r>
      <w:r>
        <w:t xml:space="preserve"> </w:t>
      </w:r>
      <w:r>
        <w:t xml:space="preserve">‘</w:t>
      </w:r>
      <w:r>
        <w:t xml:space="preserve">the words</w:t>
      </w:r>
      <w:r>
        <w:t xml:space="preserve"> </w:t>
      </w:r>
      <w:r>
        <w:rPr>
          <w:iCs/>
          <w:i/>
        </w:rPr>
        <w:t xml:space="preserve">indraṃ viśvā avīvṛdhan</w:t>
      </w:r>
      <w:r>
        <w:t xml:space="preserve"> </w:t>
      </w:r>
      <w:r>
        <w:t xml:space="preserve">are to be appended</w:t>
      </w:r>
      <w:r>
        <w:t xml:space="preserve">’</w:t>
      </w:r>
      <w:r>
        <w:t xml:space="preserve"> </w:t>
      </w:r>
      <w:r>
        <w:t xml:space="preserve">(Aitareya Āraṇyaka 1-5-2). Again, on the fifth day of the Pṛṣṭhya rite, in the</w:t>
      </w:r>
      <w:r>
        <w:t xml:space="preserve"> </w:t>
      </w:r>
      <w:r>
        <w:rPr>
          <w:iCs/>
          <w:i/>
        </w:rPr>
        <w:t xml:space="preserve">niṣkevalya</w:t>
      </w:r>
      <w:r>
        <w:t xml:space="preserve"> </w:t>
      </w:r>
      <w:r>
        <w:t xml:space="preserve">śastra, the triplet</w:t>
      </w:r>
      <w:r>
        <w:t xml:space="preserve"> </w:t>
      </w:r>
      <w:r>
        <w:rPr>
          <w:iCs/>
          <w:i/>
        </w:rPr>
        <w:t xml:space="preserve">indraṃ viśvā avīvṛdhan</w:t>
      </w:r>
      <w:r>
        <w:t xml:space="preserve"> </w:t>
      </w:r>
      <w:r>
        <w:t xml:space="preserve">is the</w:t>
      </w:r>
      <w:r>
        <w:t xml:space="preserve"> </w:t>
      </w:r>
      <w:r>
        <w:rPr>
          <w:iCs/>
          <w:i/>
        </w:rPr>
        <w:t xml:space="preserve">anurūpa</w:t>
      </w:r>
      <w:r>
        <w:t xml:space="preserve">: in the section</w:t>
      </w:r>
      <w:r>
        <w:t xml:space="preserve"> </w:t>
      </w:r>
      <w:r>
        <w:rPr>
          <w:iCs/>
          <w:i/>
        </w:rPr>
        <w:t xml:space="preserve">stomo vardhamānaḥ</w:t>
      </w:r>
      <w:r>
        <w:t xml:space="preserve"> </w:t>
      </w:r>
      <w:r>
        <w:t xml:space="preserve">it is laid down:</w:t>
      </w:r>
      <w:r>
        <w:t xml:space="preserve"> </w:t>
      </w:r>
      <w:r>
        <w:t xml:space="preserve">‘</w:t>
      </w:r>
      <w:r>
        <w:rPr>
          <w:iCs/>
          <w:i/>
        </w:rPr>
        <w:t xml:space="preserve">upa no haribhiḥ sutam</w:t>
      </w:r>
      <w:r>
        <w:t xml:space="preserve">;</w:t>
      </w:r>
      <w:r>
        <w:t xml:space="preserve"> </w:t>
      </w:r>
      <w:r>
        <w:rPr>
          <w:iCs/>
          <w:i/>
        </w:rPr>
        <w:t xml:space="preserve">indraṃ viśvā avīvṛdhan</w:t>
      </w:r>
      <w:r>
        <w:t xml:space="preserve">’</w:t>
      </w:r>
      <w:r>
        <w:t xml:space="preserve"> </w:t>
      </w:r>
      <w:r>
        <w:t xml:space="preserve">(Āśvalāyana 7-12 [?]).</w:t>
      </w:r>
      <w:r>
        <w:t xml:space="preserve">”</w:t>
      </w:r>
      <w:r>
        <w:t xml:space="preserve"> </w:t>
      </w:r>
      <w:r>
        <w:rPr>
          <w:iCs/>
          <w:i/>
        </w:rPr>
        <w:t xml:space="preserve">(The printed reference reads</w:t>
      </w:r>
      <w:r>
        <w:rPr>
          <w:iCs/>
          <w:i/>
        </w:rPr>
        <w:t xml:space="preserve"> </w:t>
      </w:r>
      <w:r>
        <w:rPr>
          <w:iCs/>
          <w:i/>
        </w:rPr>
        <w:t xml:space="preserve">“</w:t>
      </w:r>
      <w:r>
        <w:rPr>
          <w:iCs/>
          <w:i/>
        </w:rPr>
        <w:t xml:space="preserve">ā 7-12</w:t>
      </w:r>
      <w:r>
        <w:rPr>
          <w:iCs/>
          <w:i/>
        </w:rPr>
        <w:t xml:space="preserve">”</w:t>
      </w:r>
      <w:r>
        <w:rPr>
          <w:iCs/>
          <w:i/>
        </w:rPr>
        <w:t xml:space="preserve">; its first digit could be 6 or 7. The Anuvāda below gives the first Āraṇyaka reference as</w:t>
      </w:r>
      <w:r>
        <w:rPr>
          <w:iCs/>
          <w:i/>
        </w:rPr>
        <w:t xml:space="preserve"> </w:t>
      </w:r>
      <w:r>
        <w:rPr>
          <w:iCs/>
          <w:i/>
        </w:rPr>
        <w:t xml:space="preserve">“</w:t>
      </w:r>
      <w:r>
        <w:rPr>
          <w:iCs/>
          <w:i/>
        </w:rPr>
        <w:t xml:space="preserve">ai. ha. 5-2-1</w:t>
      </w:r>
      <w:r>
        <w:rPr>
          <w:iCs/>
          <w:i/>
        </w:rPr>
        <w:t xml:space="preserve">”</w:t>
      </w:r>
      <w:r>
        <w:rPr>
          <w:iCs/>
          <w:i/>
        </w:rPr>
        <w:t xml:space="preserve"> </w:t>
      </w:r>
      <w:r>
        <w:rPr>
          <w:iCs/>
          <w:i/>
        </w:rPr>
        <w:t xml:space="preserve">[sic], against</w:t>
      </w:r>
      <w:r>
        <w:rPr>
          <w:iCs/>
          <w:i/>
        </w:rPr>
        <w:t xml:space="preserve"> </w:t>
      </w:r>
      <w:r>
        <w:rPr>
          <w:iCs/>
          <w:i/>
        </w:rPr>
        <w:t xml:space="preserve">“</w:t>
      </w:r>
      <w:r>
        <w:rPr>
          <w:iCs/>
          <w:i/>
        </w:rPr>
        <w:t xml:space="preserve">5-3-1</w:t>
      </w:r>
      <w:r>
        <w:rPr>
          <w:iCs/>
          <w:i/>
        </w:rPr>
        <w:t xml:space="preserve">”</w:t>
      </w:r>
      <w:r>
        <w:rPr>
          <w:iCs/>
          <w:i/>
        </w:rPr>
        <w:t xml:space="preserve"> </w:t>
      </w:r>
      <w:r>
        <w:rPr>
          <w:iCs/>
          <w:i/>
        </w:rPr>
        <w:t xml:space="preserve">in the Sanskrit.)</w:t>
      </w:r>
    </w:p>
    <w:p>
      <w:pPr>
        <w:pStyle w:val="BodyText"/>
      </w:pPr>
      <w:r>
        <w:rPr>
          <w:bCs/>
          <w:b/>
        </w:rPr>
        <w:t xml:space="preserve">॥ Anuvāda (Kannada rendering) ॥</w:t>
      </w:r>
      <w:r>
        <w:t xml:space="preserve"> </w:t>
      </w:r>
      <w:r>
        <w:t xml:space="preserve">The ṛṣi of the sūkta</w:t>
      </w:r>
      <w:r>
        <w:t xml:space="preserve"> </w:t>
      </w:r>
      <w:r>
        <w:rPr>
          <w:iCs/>
          <w:i/>
        </w:rPr>
        <w:t xml:space="preserve">indraṃ viśvā</w:t>
      </w:r>
      <w:r>
        <w:t xml:space="preserve"> </w:t>
      </w:r>
      <w:r>
        <w:t xml:space="preserve">is Jetā, son of the sage Madhucchandas. The Anukramaṇikā too says</w:t>
      </w:r>
      <w:r>
        <w:t xml:space="preserve"> </w:t>
      </w:r>
      <w:r>
        <w:t xml:space="preserve">“</w:t>
      </w:r>
      <w:r>
        <w:rPr>
          <w:iCs/>
          <w:i/>
        </w:rPr>
        <w:t xml:space="preserve">indram aṣṭau jetā mādhucchandasaḥ</w:t>
      </w:r>
      <w:r>
        <w:t xml:space="preserve">”</w:t>
      </w:r>
      <w:r>
        <w:t xml:space="preserve"> </w:t>
      </w:r>
      <w:r>
        <w:t xml:space="preserve">— that is,</w:t>
      </w:r>
      <w:r>
        <w:t xml:space="preserve"> </w:t>
      </w:r>
      <w:r>
        <w:t xml:space="preserve">“</w:t>
      </w:r>
      <w:r>
        <w:t xml:space="preserve">of the [eight] riks</w:t>
      </w:r>
      <w:r>
        <w:t xml:space="preserve"> </w:t>
      </w:r>
      <w:r>
        <w:rPr>
          <w:iCs/>
          <w:i/>
        </w:rPr>
        <w:t xml:space="preserve">indraṃ viśvā</w:t>
      </w:r>
      <w:r>
        <w:t xml:space="preserve">, the ṛṣi is Jetā, son of Madhucchandas.</w:t>
      </w:r>
      <w:r>
        <w:t xml:space="preserve">”</w:t>
      </w:r>
      <w:r>
        <w:t xml:space="preserve"> </w:t>
      </w:r>
      <w:r>
        <w:t xml:space="preserve">The meter, Anuṣṭubh, was stated earlier. The deity is Indra. Application: in the sacrifice called</w:t>
      </w:r>
      <w:r>
        <w:t xml:space="preserve"> </w:t>
      </w:r>
      <w:r>
        <w:rPr>
          <w:bCs/>
          <w:b/>
        </w:rPr>
        <w:t xml:space="preserve">Mahāvrata</w:t>
      </w:r>
      <w:r>
        <w:t xml:space="preserve">, when reciting the mantras of the</w:t>
      </w:r>
      <w:r>
        <w:t xml:space="preserve"> </w:t>
      </w:r>
      <w:r>
        <w:rPr>
          <w:iCs/>
          <w:i/>
        </w:rPr>
        <w:t xml:space="preserve">niṣkevalya-śastra</w:t>
      </w:r>
      <w:r>
        <w:t xml:space="preserve">, this whole sūkta is to be recited; Śaunaka says so in the section</w:t>
      </w:r>
      <w:r>
        <w:t xml:space="preserve"> </w:t>
      </w:r>
      <w:r>
        <w:rPr>
          <w:iCs/>
          <w:i/>
        </w:rPr>
        <w:t xml:space="preserve">ūrū</w:t>
      </w:r>
      <w:r>
        <w:t xml:space="preserve"> </w:t>
      </w:r>
      <w:r>
        <w:t xml:space="preserve">of the Śrauta-sūtra, and the Aitareya Āraṇyaka (5-2-1 [as printed]) gives the order of application of this sūkta, and the Brāhmaṇa-portion that explains it is in the same Āraṇyaka (1-5-2) in the section</w:t>
      </w:r>
      <w:r>
        <w:t xml:space="preserve"> </w:t>
      </w:r>
      <w:r>
        <w:rPr>
          <w:iCs/>
          <w:i/>
        </w:rPr>
        <w:t xml:space="preserve">pra vo mahe</w:t>
      </w:r>
      <w:r>
        <w:t xml:space="preserve">. And on the fifth day of the Pṛṣṭhya sacrifice, when reciting the</w:t>
      </w:r>
      <w:r>
        <w:t xml:space="preserve"> </w:t>
      </w:r>
      <w:r>
        <w:rPr>
          <w:iCs/>
          <w:i/>
        </w:rPr>
        <w:t xml:space="preserve">niṣkevalya-śastra</w:t>
      </w:r>
      <w:r>
        <w:t xml:space="preserve">, the three riks beginning</w:t>
      </w:r>
      <w:r>
        <w:t xml:space="preserve"> </w:t>
      </w:r>
      <w:r>
        <w:rPr>
          <w:iCs/>
          <w:i/>
        </w:rPr>
        <w:t xml:space="preserve">indraṃ viśvā avīvṛdhan</w:t>
      </w:r>
      <w:r>
        <w:t xml:space="preserve"> </w:t>
      </w:r>
      <w:r>
        <w:t xml:space="preserve">are to be used for the</w:t>
      </w:r>
      <w:r>
        <w:t xml:space="preserve"> </w:t>
      </w:r>
      <w:r>
        <w:rPr>
          <w:iCs/>
          <w:i/>
        </w:rPr>
        <w:t xml:space="preserve">stomāvāpa</w:t>
      </w:r>
      <w:r>
        <w:t xml:space="preserve">; Āśvalāyana’s Śrauta-sūtra says so in the sūtra</w:t>
      </w:r>
      <w:r>
        <w:t xml:space="preserve"> </w:t>
      </w:r>
      <w:r>
        <w:rPr>
          <w:iCs/>
          <w:i/>
        </w:rPr>
        <w:t xml:space="preserve">upa no haribhiḥ sutam indraṃ viśvā avīvṛdhan</w:t>
      </w:r>
      <w:r>
        <w:t xml:space="preserve">.</w:t>
      </w:r>
    </w:p>
    <w:bookmarkEnd w:id="459"/>
    <w:bookmarkStart w:id="460" w:name="page-449-sūkta-11-rik-1"/>
    <w:p>
      <w:pPr>
        <w:pStyle w:val="Heading3"/>
      </w:pPr>
      <w:r>
        <w:t xml:space="preserve">Page 449 — Sūkta 11, Rik 1</w:t>
      </w:r>
    </w:p>
    <w:p>
      <w:pPr>
        <w:pStyle w:val="FirstParagraph"/>
      </w:pPr>
      <w:r>
        <w:rPr>
          <w:iCs/>
          <w:i/>
        </w:rPr>
        <w:t xml:space="preserve">(Saṃhitā accents as printed; Pada unaccented.)</w:t>
      </w:r>
    </w:p>
    <w:p>
      <w:pPr>
        <w:pStyle w:val="BodyText"/>
      </w:pPr>
      <w:r>
        <w:rPr>
          <w:bCs/>
          <w:b/>
        </w:rPr>
        <w:t xml:space="preserve">॥ Sūkta — 11 ॥</w:t>
      </w:r>
      <w:r>
        <w:t xml:space="preserve"> </w:t>
      </w:r>
      <w:r>
        <w:rPr>
          <w:bCs/>
          <w:b/>
        </w:rPr>
        <w:t xml:space="preserve">॥ Maṇḍala — 1 ॥ Anuvāka — 3 ॥ Sūkta — 11 ॥</w:t>
      </w:r>
      <w:r>
        <w:t xml:space="preserve"> </w:t>
      </w:r>
      <w:r>
        <w:rPr>
          <w:bCs/>
          <w:b/>
        </w:rPr>
        <w:t xml:space="preserve">॥ Aṣṭaka — 1 ॥ Adhyāya — 1 ॥ Varga — 21 ॥</w:t>
      </w:r>
      <w:r>
        <w:t xml:space="preserve"> </w:t>
      </w:r>
      <w:r>
        <w:rPr>
          <w:iCs/>
          <w:i/>
        </w:rPr>
        <w:t xml:space="preserve">(a single numeral, clearly printed; the earlier headings gave two numerals each)</w:t>
      </w:r>
      <w:r>
        <w:t xml:space="preserve"> </w:t>
      </w:r>
      <w:r>
        <w:rPr>
          <w:bCs/>
          <w:b/>
        </w:rPr>
        <w:t xml:space="preserve">॥ Mantras contained in this sūkta: 8 ॥</w:t>
      </w:r>
      <w:r>
        <w:t xml:space="preserve"> </w:t>
      </w:r>
      <w:r>
        <w:rPr>
          <w:bCs/>
          <w:b/>
        </w:rPr>
        <w:t xml:space="preserve">॥ Ṛṣi — Jetā Mādhucchandasa ॥</w:t>
      </w:r>
      <w:r>
        <w:t xml:space="preserve"> </w:t>
      </w:r>
      <w:r>
        <w:rPr>
          <w:bCs/>
          <w:b/>
        </w:rPr>
        <w:t xml:space="preserve">॥ Devatā — Indra ॥</w:t>
      </w:r>
      <w:r>
        <w:t xml:space="preserve"> </w:t>
      </w:r>
      <w:r>
        <w:rPr>
          <w:bCs/>
          <w:b/>
        </w:rPr>
        <w:t xml:space="preserve">॥ Chandaḥ — Anuṣṭubh ॥</w:t>
      </w:r>
    </w:p>
    <w:p>
      <w:pPr>
        <w:pStyle w:val="BodyText"/>
      </w:pPr>
      <w:r>
        <w:rPr>
          <w:bCs/>
          <w:b/>
        </w:rPr>
        <w:t xml:space="preserve">॥ Saṃhitā-pāṭhaḥ ॥</w:t>
      </w:r>
    </w:p>
    <w:p>
      <w:pPr>
        <w:pStyle w:val="BlockText"/>
      </w:pPr>
      <w:r>
        <w:t xml:space="preserve">इन्द्रं॒ विश्वा॑ अवीवृधन्त्समु॒द्रव्य॑चसं॒ गिरः ।</w:t>
      </w:r>
      <w:r>
        <w:t xml:space="preserve"> </w:t>
      </w:r>
      <w:r>
        <w:t xml:space="preserve">र॒थीत॑मं॒ र॒थीनां॒ वाजा॑नां॒ सत्प॑तिं॒ पतिं॑ ॥१॥</w:t>
      </w:r>
    </w:p>
    <w:p>
      <w:pPr>
        <w:pStyle w:val="BlockText"/>
      </w:pPr>
      <w:r>
        <w:rPr>
          <w:iCs/>
          <w:i/>
        </w:rPr>
        <w:t xml:space="preserve">indraṃ víśvā avīvṛdhant samudrávyacasaṃ gíraḥ |</w:t>
      </w:r>
      <w:r>
        <w:t xml:space="preserve"> </w:t>
      </w:r>
      <w:r>
        <w:rPr>
          <w:iCs/>
          <w:i/>
        </w:rPr>
        <w:t xml:space="preserve">rathī́tamaṃ rathī́nāṃ vā́jānāṃ sátpatiṃ pátiṃ ||1||</w:t>
      </w:r>
    </w:p>
    <w:p>
      <w:pPr>
        <w:pStyle w:val="FirstParagraph"/>
      </w:pPr>
      <w:r>
        <w:rPr>
          <w:bCs/>
          <w:b/>
        </w:rPr>
        <w:t xml:space="preserve">॥ Pada-pāṭhaḥ ॥</w:t>
      </w:r>
    </w:p>
    <w:p>
      <w:pPr>
        <w:pStyle w:val="BlockText"/>
      </w:pPr>
      <w:r>
        <w:t xml:space="preserve">इन्द्रम् । विश्वाः । अवीवृधन् । समुद्रऽव्यचसम् । गिरः ॥</w:t>
      </w:r>
      <w:r>
        <w:t xml:space="preserve"> </w:t>
      </w:r>
      <w:r>
        <w:t xml:space="preserve">रथिऽतमम् । रथीनाम् । वाजानाम् । सत्ऽपतिम् । पतिम् ॥१॥</w:t>
      </w:r>
    </w:p>
    <w:p>
      <w:pPr>
        <w:pStyle w:val="BlockText"/>
      </w:pPr>
      <w:r>
        <w:rPr>
          <w:iCs/>
          <w:i/>
        </w:rPr>
        <w:t xml:space="preserve">indram | viśvāḥ | avīvṛdhan | samudra-vyacasam | giraḥ ||</w:t>
      </w:r>
      <w:r>
        <w:t xml:space="preserve"> </w:t>
      </w:r>
      <w:r>
        <w:rPr>
          <w:iCs/>
          <w:i/>
        </w:rPr>
        <w:t xml:space="preserve">rathi-tamam | rathīnām | vājānām | sat-patim | patim ||1||</w:t>
      </w:r>
    </w:p>
    <w:p>
      <w:pPr>
        <w:pStyle w:val="FirstParagraph"/>
      </w:pPr>
      <w:r>
        <w:rPr>
          <w:bCs/>
          <w:b/>
        </w:rPr>
        <w:t xml:space="preserve">॥ Sāyaṇa-bhāṣyam ॥</w:t>
      </w:r>
    </w:p>
    <w:p>
      <w:pPr>
        <w:pStyle w:val="BlockText"/>
      </w:pPr>
      <w:r>
        <w:t xml:space="preserve">विश्वाः सर्वा गिरो ऽस्मदीयाः स्तुतय इन्द्रमवीवृधन् । वर्धितवत्यः । कीदृशमिन्द्रम् । समुद्रव्यचसं समुद्रवद्व्याप्तवन्तं रथीनां रथयुक्तानां योद्धॄणां मध्ये रथीतमम् अतिशयेन रथयुक्तं वाजानामन्नानां पतिं स्वामिनं सत्पतिं सतां सन्मार्गवर्तिनां पालकम् ॥ विश्वाः । विशेः क्वन् । नित्स्वरः । अवीवृधन् । वृधेर्णिचि चङ्युपधाया ऋदित्यनुवृत्तौ नित्यं छन्दसि । पा. ७-४-८ । इत्यृकारस्य ऋकारविधानाल्लघूपधगुणाभावः । निघातस्वरः । समुद्रव्यचसम् । व्यचेरसुन् । गाङ्कुटादिभ्यो ऽञ्णिन्ङित् । पा. १-२-१ । इति प्राप्तस्य ङित्त्वस्य व्यचेः कुटादित्वमनसि । पा. १-२-१-१ । इत्यसि निषेधाद्ग्रहिज्येत्यादिना ङिति विधीयमानं संप्रसारणम् । पा. ६-१-१६ । न भवति । समुद्रव्यच इव व्यचो यस्य । बहुव्रीहौ पूर्वपदप्रकृतिस्वरत्वम् । रथीतमं रथीनाम् । रथशब्दादुत्पन्नस्येनश्छान्दसं दीर्घत्वम् । प्रत्ययस्वरेणोदात्तत्वं च । वाजानाम् । वृषादित्वादाद्युदात्तत्वम् । सत्पतिम् । पत्यावैश्वर्ये । पा. ६-२-१८ । इति पूर्वपदप्रकृतिस्वरत्वम् ॥</w:t>
      </w:r>
    </w:p>
    <w:p>
      <w:pPr>
        <w:pStyle w:val="BlockText"/>
      </w:pPr>
      <w:r>
        <w:rPr>
          <w:iCs/>
          <w:i/>
        </w:rPr>
        <w:t xml:space="preserve">viśvāḥ sarvā giro ’smadīyāḥ stutaya indramavīvṛdhan | vardhitavatyaḥ | kīdṛśamindram | samudravyacasaṃ samudravadvyāptavantaṃ rathīnāṃ rathayuktānāṃ yoddhṝṇāṃ madhye rathītamam atiśayena rathayuktaṃ vājānāmannānāṃ patiṃ svāminaṃ satpatiṃ satāṃ sanmārgavartināṃ pālakam || viśvāḥ | viśeḥ kvan | nitsvaraḥ | avīvṛdhan | vṛdherṇici caṅyupadhāyā ṛdityanuvṛttau nityaṃ chandasi | pā. 7-4-8 | ityṛkārasya ṛkāravidhānāllaghūpadhaguṇābhāvaḥ | nighātasvaraḥ | samudravyacasam | vyacerasun | gāṅkuṭādibhyo ’ñṇinṅit | pā. 1-2-1 | iti prāptasya ṅittvasya vyaceḥ kuṭāditvamanasi | pā. 1-2-1-1 | ityasi niṣedhādgrahijyetyādinā ṅiti vidhīyamānaṃ saṃprasāraṇam | pā. 6-1-16 | na bhavati | samudravyaca iva vyaco yasya | bahuvrīhau pūrvapadaprakṛtisvaratvam | rathītamaṃ rathīnām | rathaśabdādutpannasyenaśchāndasaṃ dīrghatvam | pratyayasvareṇodāttatvaṃ ca | vājānām | vṛṣāditvādādyudāttatvam | satpatim | patyāvaiśvarye | pā. 6-2-18 | iti pūrvapadaprakṛtisvaratvam ||</w:t>
      </w:r>
    </w:p>
    <w:p>
      <w:pPr>
        <w:pStyle w:val="FirstParagraph"/>
      </w:pPr>
      <w:r>
        <w:rPr>
          <w:bCs/>
          <w:b/>
        </w:rPr>
        <w:t xml:space="preserve">Translation:</w:t>
      </w:r>
      <w:r>
        <w:t xml:space="preserve"> </w:t>
      </w:r>
      <w:r>
        <w:t xml:space="preserve">“</w:t>
      </w:r>
      <w:r>
        <w:t xml:space="preserve">All (</w:t>
      </w:r>
      <w:r>
        <w:rPr>
          <w:iCs/>
          <w:i/>
        </w:rPr>
        <w:t xml:space="preserve">viśvāḥ</w:t>
      </w:r>
      <w:r>
        <w:t xml:space="preserve">) our praises (</w:t>
      </w:r>
      <w:r>
        <w:rPr>
          <w:iCs/>
          <w:i/>
        </w:rPr>
        <w:t xml:space="preserve">giraḥ</w:t>
      </w:r>
      <w:r>
        <w:t xml:space="preserve">) have magnified (</w:t>
      </w:r>
      <w:r>
        <w:rPr>
          <w:iCs/>
          <w:i/>
        </w:rPr>
        <w:t xml:space="preserve">avīvṛdhan</w:t>
      </w:r>
      <w:r>
        <w:t xml:space="preserve">) Indra. What kind of Indra?</w:t>
      </w:r>
      <w:r>
        <w:t xml:space="preserve"> </w:t>
      </w:r>
      <w:r>
        <w:rPr>
          <w:iCs/>
          <w:i/>
        </w:rPr>
        <w:t xml:space="preserve">Samudravyacasam</w:t>
      </w:r>
      <w:r>
        <w:t xml:space="preserve"> </w:t>
      </w:r>
      <w:r>
        <w:t xml:space="preserve">— pervading like the ocean;</w:t>
      </w:r>
      <w:r>
        <w:t xml:space="preserve"> </w:t>
      </w:r>
      <w:r>
        <w:rPr>
          <w:iCs/>
          <w:i/>
        </w:rPr>
        <w:t xml:space="preserve">rathītamam</w:t>
      </w:r>
      <w:r>
        <w:t xml:space="preserve"> </w:t>
      </w:r>
      <w:r>
        <w:t xml:space="preserve">— among</w:t>
      </w:r>
      <w:r>
        <w:t xml:space="preserve"> </w:t>
      </w:r>
      <w:r>
        <w:rPr>
          <w:iCs/>
          <w:i/>
        </w:rPr>
        <w:t xml:space="preserve">rathīs</w:t>
      </w:r>
      <w:r>
        <w:t xml:space="preserve">, warriors who fight from chariots, the one most endowed with chariots;</w:t>
      </w:r>
      <w:r>
        <w:t xml:space="preserve"> </w:t>
      </w:r>
      <w:r>
        <w:rPr>
          <w:iCs/>
          <w:i/>
        </w:rPr>
        <w:t xml:space="preserve">vājānām patim</w:t>
      </w:r>
      <w:r>
        <w:t xml:space="preserve"> </w:t>
      </w:r>
      <w:r>
        <w:t xml:space="preserve">— lord of foods;</w:t>
      </w:r>
      <w:r>
        <w:t xml:space="preserve"> </w:t>
      </w:r>
      <w:r>
        <w:rPr>
          <w:iCs/>
          <w:i/>
        </w:rPr>
        <w:t xml:space="preserve">satpatim</w:t>
      </w:r>
      <w:r>
        <w:t xml:space="preserve"> </w:t>
      </w:r>
      <w:r>
        <w:t xml:space="preserve">— protector of the good, of those who follow the right path.</w:t>
      </w:r>
      <w:r>
        <w:t xml:space="preserve">”</w:t>
      </w:r>
      <w:r>
        <w:t xml:space="preserve"> </w:t>
      </w:r>
      <w:r>
        <w:t xml:space="preserve">Note: (The grammatical tail, which runs onto p. 450:</w:t>
      </w:r>
      <w:r>
        <w:t xml:space="preserve"> </w:t>
      </w:r>
      <w:r>
        <w:rPr>
          <w:iCs/>
          <w:i/>
        </w:rPr>
        <w:t xml:space="preserve">viśvāḥ</w:t>
      </w:r>
      <w:r>
        <w:t xml:space="preserve"> </w:t>
      </w:r>
      <w:r>
        <w:t xml:space="preserve">from</w:t>
      </w:r>
      <w:r>
        <w:t xml:space="preserve"> </w:t>
      </w:r>
      <w:r>
        <w:rPr>
          <w:iCs/>
          <w:i/>
        </w:rPr>
        <w:t xml:space="preserve">viś</w:t>
      </w:r>
      <w:r>
        <w:t xml:space="preserve"> </w:t>
      </w:r>
      <w:r>
        <w:t xml:space="preserve">with</w:t>
      </w:r>
      <w:r>
        <w:t xml:space="preserve"> </w:t>
      </w:r>
      <w:r>
        <w:rPr>
          <w:iCs/>
          <w:i/>
        </w:rPr>
        <w:t xml:space="preserve">kvan</w:t>
      </w:r>
      <w:r>
        <w:t xml:space="preserve">,</w:t>
      </w:r>
      <w:r>
        <w:t xml:space="preserve"> </w:t>
      </w:r>
      <w:r>
        <w:rPr>
          <w:iCs/>
          <w:i/>
        </w:rPr>
        <w:t xml:space="preserve">nit</w:t>
      </w:r>
      <w:r>
        <w:t xml:space="preserve"> </w:t>
      </w:r>
      <w:r>
        <w:t xml:space="preserve">accent;</w:t>
      </w:r>
      <w:r>
        <w:t xml:space="preserve"> </w:t>
      </w:r>
      <w:r>
        <w:rPr>
          <w:iCs/>
          <w:i/>
        </w:rPr>
        <w:t xml:space="preserve">avīvṛdhan</w:t>
      </w:r>
      <w:r>
        <w:t xml:space="preserve">, the causative</w:t>
      </w:r>
      <w:r>
        <w:t xml:space="preserve"> </w:t>
      </w:r>
      <w:r>
        <w:rPr>
          <w:iCs/>
          <w:i/>
        </w:rPr>
        <w:t xml:space="preserve">caṅ</w:t>
      </w:r>
      <w:r>
        <w:t xml:space="preserve">-aorist of</w:t>
      </w:r>
      <w:r>
        <w:t xml:space="preserve"> </w:t>
      </w:r>
      <w:r>
        <w:rPr>
          <w:iCs/>
          <w:i/>
        </w:rPr>
        <w:t xml:space="preserve">vṛdh</w:t>
      </w:r>
      <w:r>
        <w:t xml:space="preserve">, where</w:t>
      </w:r>
      <w:r>
        <w:t xml:space="preserve"> </w:t>
      </w:r>
      <w:r>
        <w:t xml:space="preserve">“</w:t>
      </w:r>
      <w:r>
        <w:t xml:space="preserve">nityaṃ chandasi</w:t>
      </w:r>
      <w:r>
        <w:t xml:space="preserve">”</w:t>
      </w:r>
      <w:r>
        <w:t xml:space="preserve"> </w:t>
      </w:r>
      <w:r>
        <w:t xml:space="preserve">(Pā. 7-4-8) gives</w:t>
      </w:r>
      <w:r>
        <w:t xml:space="preserve"> </w:t>
      </w:r>
      <w:r>
        <w:rPr>
          <w:iCs/>
          <w:i/>
        </w:rPr>
        <w:t xml:space="preserve">ṛ</w:t>
      </w:r>
      <w:r>
        <w:t xml:space="preserve"> </w:t>
      </w:r>
      <w:r>
        <w:t xml:space="preserve">for the penultimate, so there is no</w:t>
      </w:r>
      <w:r>
        <w:t xml:space="preserve"> </w:t>
      </w:r>
      <w:r>
        <w:rPr>
          <w:iCs/>
          <w:i/>
        </w:rPr>
        <w:t xml:space="preserve">guṇa</w:t>
      </w:r>
      <w:r>
        <w:t xml:space="preserve">; unaccented (</w:t>
      </w:r>
      <w:r>
        <w:rPr>
          <w:iCs/>
          <w:i/>
        </w:rPr>
        <w:t xml:space="preserve">nighāta</w:t>
      </w:r>
      <w:r>
        <w:t xml:space="preserve">);</w:t>
      </w:r>
      <w:r>
        <w:t xml:space="preserve"> </w:t>
      </w:r>
      <w:r>
        <w:rPr>
          <w:iCs/>
          <w:i/>
        </w:rPr>
        <w:t xml:space="preserve">samudravyacasam</w:t>
      </w:r>
      <w:r>
        <w:t xml:space="preserve"> </w:t>
      </w:r>
      <w:r>
        <w:t xml:space="preserve">from</w:t>
      </w:r>
      <w:r>
        <w:t xml:space="preserve"> </w:t>
      </w:r>
      <w:r>
        <w:rPr>
          <w:iCs/>
          <w:i/>
        </w:rPr>
        <w:t xml:space="preserve">vyac</w:t>
      </w:r>
      <w:r>
        <w:t xml:space="preserve"> </w:t>
      </w:r>
      <w:r>
        <w:t xml:space="preserve">with</w:t>
      </w:r>
      <w:r>
        <w:t xml:space="preserve"> </w:t>
      </w:r>
      <w:r>
        <w:rPr>
          <w:iCs/>
          <w:i/>
        </w:rPr>
        <w:t xml:space="preserve">asun</w:t>
      </w:r>
      <w:r>
        <w:t xml:space="preserve">: the</w:t>
      </w:r>
      <w:r>
        <w:t xml:space="preserve"> </w:t>
      </w:r>
      <w:r>
        <w:rPr>
          <w:iCs/>
          <w:i/>
        </w:rPr>
        <w:t xml:space="preserve">ṅit</w:t>
      </w:r>
      <w:r>
        <w:t xml:space="preserve">-status that</w:t>
      </w:r>
      <w:r>
        <w:t xml:space="preserve"> </w:t>
      </w:r>
      <w:r>
        <w:t xml:space="preserve">“</w:t>
      </w:r>
      <w:r>
        <w:t xml:space="preserve">gāṅkuṭādibhyo ’ñṇin ṅit</w:t>
      </w:r>
      <w:r>
        <w:t xml:space="preserve">”</w:t>
      </w:r>
      <w:r>
        <w:t xml:space="preserve"> </w:t>
      </w:r>
      <w:r>
        <w:t xml:space="preserve">(Pā. 1-2-1) would give is barred before</w:t>
      </w:r>
      <w:r>
        <w:t xml:space="preserve"> </w:t>
      </w:r>
      <w:r>
        <w:rPr>
          <w:iCs/>
          <w:i/>
        </w:rPr>
        <w:t xml:space="preserve">as</w:t>
      </w:r>
      <w:r>
        <w:t xml:space="preserve"> </w:t>
      </w:r>
      <w:r>
        <w:t xml:space="preserve">by the vārttika</w:t>
      </w:r>
      <w:r>
        <w:t xml:space="preserve"> </w:t>
      </w:r>
      <w:r>
        <w:t xml:space="preserve">“</w:t>
      </w:r>
      <w:r>
        <w:t xml:space="preserve">vyaceḥ kuṭāditvam anasi</w:t>
      </w:r>
      <w:r>
        <w:t xml:space="preserve">”</w:t>
      </w:r>
      <w:r>
        <w:t xml:space="preserve"> </w:t>
      </w:r>
      <w:r>
        <w:t xml:space="preserve">(printed</w:t>
      </w:r>
      <w:r>
        <w:t xml:space="preserve"> </w:t>
      </w:r>
      <w:r>
        <w:t xml:space="preserve">“</w:t>
      </w:r>
      <w:r>
        <w:t xml:space="preserve">1-2-1-1</w:t>
      </w:r>
      <w:r>
        <w:t xml:space="preserve">”</w:t>
      </w:r>
      <w:r>
        <w:t xml:space="preserve">), so the</w:t>
      </w:r>
      <w:r>
        <w:t xml:space="preserve"> </w:t>
      </w:r>
      <w:r>
        <w:rPr>
          <w:iCs/>
          <w:i/>
        </w:rPr>
        <w:t xml:space="preserve">samprasāraṇa</w:t>
      </w:r>
      <w:r>
        <w:t xml:space="preserve"> </w:t>
      </w:r>
      <w:r>
        <w:t xml:space="preserve">of</w:t>
      </w:r>
      <w:r>
        <w:t xml:space="preserve"> </w:t>
      </w:r>
      <w:r>
        <w:t xml:space="preserve">“</w:t>
      </w:r>
      <w:r>
        <w:t xml:space="preserve">grahi-jyā…</w:t>
      </w:r>
      <w:r>
        <w:t xml:space="preserve">”</w:t>
      </w:r>
      <w:r>
        <w:t xml:space="preserve"> </w:t>
      </w:r>
      <w:r>
        <w:t xml:space="preserve">(Pā. 6-1-16) does not arise; the bahuvrīhi</w:t>
      </w:r>
      <w:r>
        <w:t xml:space="preserve"> </w:t>
      </w:r>
      <w:r>
        <w:t xml:space="preserve">“</w:t>
      </w:r>
      <w:r>
        <w:t xml:space="preserve">samudravyaca iva [sic] vyaco yasya</w:t>
      </w:r>
      <w:r>
        <w:t xml:space="preserve">”</w:t>
      </w:r>
      <w:r>
        <w:t xml:space="preserve"> </w:t>
      </w:r>
      <w:r>
        <w:t xml:space="preserve">keeps the first member’s accent;</w:t>
      </w:r>
      <w:r>
        <w:t xml:space="preserve"> </w:t>
      </w:r>
      <w:r>
        <w:rPr>
          <w:iCs/>
          <w:i/>
        </w:rPr>
        <w:t xml:space="preserve">rathītamam</w:t>
      </w:r>
      <w:r>
        <w:t xml:space="preserve">,</w:t>
      </w:r>
      <w:r>
        <w:t xml:space="preserve"> </w:t>
      </w:r>
      <w:r>
        <w:rPr>
          <w:iCs/>
          <w:i/>
        </w:rPr>
        <w:t xml:space="preserve">rathīnām</w:t>
      </w:r>
      <w:r>
        <w:t xml:space="preserve">: the Vedic lengthening of</w:t>
      </w:r>
      <w:r>
        <w:t xml:space="preserve"> </w:t>
      </w:r>
      <w:r>
        <w:rPr>
          <w:iCs/>
          <w:i/>
        </w:rPr>
        <w:t xml:space="preserve">in</w:t>
      </w:r>
      <w:r>
        <w:t xml:space="preserve"> </w:t>
      </w:r>
      <w:r>
        <w:t xml:space="preserve">after</w:t>
      </w:r>
      <w:r>
        <w:t xml:space="preserve"> </w:t>
      </w:r>
      <w:r>
        <w:rPr>
          <w:iCs/>
          <w:i/>
        </w:rPr>
        <w:t xml:space="preserve">ratha</w:t>
      </w:r>
      <w:r>
        <w:t xml:space="preserve">, with the suffix accent;</w:t>
      </w:r>
      <w:r>
        <w:t xml:space="preserve"> </w:t>
      </w:r>
      <w:r>
        <w:rPr>
          <w:iCs/>
          <w:i/>
        </w:rPr>
        <w:t xml:space="preserve">vājānām</w:t>
      </w:r>
      <w:r>
        <w:t xml:space="preserve"> </w:t>
      </w:r>
      <w:r>
        <w:t xml:space="preserve">initial-udātta as one of the</w:t>
      </w:r>
      <w:r>
        <w:t xml:space="preserve"> </w:t>
      </w:r>
      <w:r>
        <w:rPr>
          <w:iCs/>
          <w:i/>
        </w:rPr>
        <w:t xml:space="preserve">vṛṣādi</w:t>
      </w:r>
      <w:r>
        <w:t xml:space="preserve"> </w:t>
      </w:r>
      <w:r>
        <w:t xml:space="preserve">words;</w:t>
      </w:r>
      <w:r>
        <w:t xml:space="preserve"> </w:t>
      </w:r>
      <w:r>
        <w:rPr>
          <w:iCs/>
          <w:i/>
        </w:rPr>
        <w:t xml:space="preserve">satpatim</w:t>
      </w:r>
      <w:r>
        <w:t xml:space="preserve">:</w:t>
      </w:r>
      <w:r>
        <w:t xml:space="preserve"> </w:t>
      </w:r>
      <w:r>
        <w:t xml:space="preserve">“</w:t>
      </w:r>
      <w:r>
        <w:t xml:space="preserve">patyāv aiśvarye</w:t>
      </w:r>
      <w:r>
        <w:t xml:space="preserve">”</w:t>
      </w:r>
      <w:r>
        <w:t xml:space="preserve"> </w:t>
      </w:r>
      <w:r>
        <w:t xml:space="preserve">(Pā. 6-2-18) keeps the first member’s accent.)</w:t>
      </w:r>
    </w:p>
    <w:bookmarkEnd w:id="460"/>
    <w:bookmarkStart w:id="461" w:name="Xe6e3b20c22089653e9b09e7b160ea079db46c5d"/>
    <w:p>
      <w:pPr>
        <w:pStyle w:val="Heading3"/>
      </w:pPr>
      <w:r>
        <w:t xml:space="preserve">Page 450 — Rik 1: word-meanings, overall sense, English, Special Topics</w:t>
      </w:r>
    </w:p>
    <w:p>
      <w:pPr>
        <w:pStyle w:val="FirstParagraph"/>
      </w:pPr>
      <w:r>
        <w:rPr>
          <w:bCs/>
          <w:b/>
        </w:rPr>
        <w:t xml:space="preserve">॥ Prati-padārthaḥ ॥</w:t>
      </w:r>
    </w:p>
    <w:p>
      <w:pPr>
        <w:pStyle w:val="BodyText"/>
      </w:pPr>
      <w:r>
        <w:rPr>
          <w:bCs/>
          <w:b/>
        </w:rPr>
        <w:t xml:space="preserve">विश्वाः (viśvāḥ)</w:t>
      </w:r>
      <w:r>
        <w:t xml:space="preserve"> </w:t>
      </w:r>
      <w:r>
        <w:t xml:space="preserve">— all |</w:t>
      </w:r>
      <w:r>
        <w:t xml:space="preserve"> </w:t>
      </w:r>
      <w:r>
        <w:rPr>
          <w:bCs/>
          <w:b/>
        </w:rPr>
        <w:t xml:space="preserve">गिरः (giraḥ)</w:t>
      </w:r>
      <w:r>
        <w:t xml:space="preserve"> </w:t>
      </w:r>
      <w:r>
        <w:t xml:space="preserve">— the words in the form of praise that we make |</w:t>
      </w:r>
      <w:r>
        <w:t xml:space="preserve"> </w:t>
      </w:r>
      <w:r>
        <w:rPr>
          <w:bCs/>
          <w:b/>
        </w:rPr>
        <w:t xml:space="preserve">समुद्रव्यचसम् (samudravyacasam)</w:t>
      </w:r>
      <w:r>
        <w:t xml:space="preserve"> </w:t>
      </w:r>
      <w:r>
        <w:t xml:space="preserve">— pervading like the ocean |</w:t>
      </w:r>
      <w:r>
        <w:t xml:space="preserve"> </w:t>
      </w:r>
      <w:r>
        <w:rPr>
          <w:bCs/>
          <w:b/>
        </w:rPr>
        <w:t xml:space="preserve">रथीनाम् (rathīnām)</w:t>
      </w:r>
      <w:r>
        <w:t xml:space="preserve"> </w:t>
      </w:r>
      <w:r>
        <w:t xml:space="preserve">— among the warriors who fight from chariots (in battle) |</w:t>
      </w:r>
      <w:r>
        <w:t xml:space="preserve"> </w:t>
      </w:r>
      <w:r>
        <w:rPr>
          <w:bCs/>
          <w:b/>
        </w:rPr>
        <w:t xml:space="preserve">रथीतमम् (rathītamam)</w:t>
      </w:r>
      <w:r>
        <w:t xml:space="preserve"> </w:t>
      </w:r>
      <w:r>
        <w:t xml:space="preserve">— [the one] exceedingly endowed with a chariot |</w:t>
      </w:r>
      <w:r>
        <w:t xml:space="preserve"> </w:t>
      </w:r>
      <w:r>
        <w:rPr>
          <w:bCs/>
          <w:b/>
        </w:rPr>
        <w:t xml:space="preserve">वाजानाम् (vājānām)</w:t>
      </w:r>
      <w:r>
        <w:t xml:space="preserve"> </w:t>
      </w:r>
      <w:r>
        <w:t xml:space="preserve">— of food and other nourishment |</w:t>
      </w:r>
      <w:r>
        <w:t xml:space="preserve"> </w:t>
      </w:r>
      <w:r>
        <w:rPr>
          <w:bCs/>
          <w:b/>
        </w:rPr>
        <w:t xml:space="preserve">पतिम् (patim)</w:t>
      </w:r>
      <w:r>
        <w:t xml:space="preserve"> </w:t>
      </w:r>
      <w:r>
        <w:t xml:space="preserve">— the lord |</w:t>
      </w:r>
      <w:r>
        <w:t xml:space="preserve"> </w:t>
      </w:r>
      <w:r>
        <w:rPr>
          <w:bCs/>
          <w:b/>
        </w:rPr>
        <w:t xml:space="preserve">सत्पतिम् (satpatim)</w:t>
      </w:r>
      <w:r>
        <w:t xml:space="preserve"> </w:t>
      </w:r>
      <w:r>
        <w:t xml:space="preserve">— the protector of good people |</w:t>
      </w:r>
      <w:r>
        <w:t xml:space="preserve"> </w:t>
      </w:r>
      <w:r>
        <w:rPr>
          <w:bCs/>
          <w:b/>
        </w:rPr>
        <w:t xml:space="preserve">इन्द्रम् (indram)</w:t>
      </w:r>
      <w:r>
        <w:t xml:space="preserve"> </w:t>
      </w:r>
      <w:r>
        <w:t xml:space="preserve">— Indra |</w:t>
      </w:r>
      <w:r>
        <w:t xml:space="preserve"> </w:t>
      </w:r>
      <w:r>
        <w:rPr>
          <w:bCs/>
          <w:b/>
        </w:rPr>
        <w:t xml:space="preserve">अवीवृधन् (avīvṛdhan)</w:t>
      </w:r>
      <w:r>
        <w:t xml:space="preserve"> </w:t>
      </w:r>
      <w:r>
        <w:t xml:space="preserve">— have made [him] grow, that is, have praised.</w:t>
      </w:r>
    </w:p>
    <w:p>
      <w:pPr>
        <w:pStyle w:val="BodyText"/>
      </w:pPr>
      <w:r>
        <w:rPr>
          <w:bCs/>
          <w:b/>
        </w:rPr>
        <w:t xml:space="preserve">॥ Bhāvārthaḥ ॥</w:t>
      </w:r>
    </w:p>
    <w:p>
      <w:pPr>
        <w:pStyle w:val="BodyText"/>
      </w:pPr>
      <w:r>
        <w:t xml:space="preserve">Indra pervades everything as the ocean does; among warriors who fight seated in chariots he is by far the best; he is the lord of foods and other nourishment; he is the protector of the good. All the words of praise that we utter praise such an Indra.</w:t>
      </w:r>
    </w:p>
    <w:p>
      <w:pPr>
        <w:pStyle w:val="BodyText"/>
      </w:pPr>
      <w:r>
        <w:rPr>
          <w:bCs/>
          <w:b/>
        </w:rPr>
        <w:t xml:space="preserve">॥ English Translation ॥</w:t>
      </w:r>
      <w:r>
        <w:t xml:space="preserve"> </w:t>
      </w:r>
      <w:r>
        <w:rPr>
          <w:iCs/>
          <w:i/>
        </w:rPr>
        <w:t xml:space="preserve">(as printed in the source)</w:t>
      </w:r>
    </w:p>
    <w:p>
      <w:pPr>
        <w:pStyle w:val="BlockText"/>
      </w:pPr>
      <w:r>
        <w:t xml:space="preserve">All our praises have glorified Indra who is as great as the ocean, who is the best chariateer [sic] of all charioteers, the lord of food, the protector of the virtuous.</w:t>
      </w:r>
    </w:p>
    <w:p>
      <w:pPr>
        <w:pStyle w:val="FirstParagraph"/>
      </w:pPr>
      <w:r>
        <w:rPr>
          <w:bCs/>
          <w:b/>
        </w:rPr>
        <w:t xml:space="preserve">॥ Viśeṣa-viṣayagaḷu (Special Topics) ॥</w:t>
      </w:r>
    </w:p>
    <w:p>
      <w:pPr>
        <w:pStyle w:val="BodyText"/>
      </w:pPr>
      <w:r>
        <w:rPr>
          <w:bCs/>
          <w:b/>
        </w:rPr>
        <w:t xml:space="preserve">“</w:t>
      </w:r>
      <w:r>
        <w:rPr>
          <w:bCs/>
          <w:b/>
        </w:rPr>
        <w:t xml:space="preserve">Avīvṛdhan</w:t>
      </w:r>
      <w:r>
        <w:rPr>
          <w:bCs/>
          <w:b/>
        </w:rPr>
        <w:t xml:space="preserve">”</w:t>
      </w:r>
      <w:r>
        <w:t xml:space="preserve"> </w:t>
      </w:r>
      <w:r>
        <w:t xml:space="preserve">— the root</w:t>
      </w:r>
      <w:r>
        <w:t xml:space="preserve"> </w:t>
      </w:r>
      <w:r>
        <w:rPr>
          <w:iCs/>
          <w:i/>
        </w:rPr>
        <w:t xml:space="preserve">vṛdh</w:t>
      </w:r>
      <w:r>
        <w:t xml:space="preserve"> </w:t>
      </w:r>
      <w:r>
        <w:t xml:space="preserve">is generally used in the Ṛgveda in the sense of</w:t>
      </w:r>
      <w:r>
        <w:t xml:space="preserve"> </w:t>
      </w:r>
      <w:r>
        <w:t xml:space="preserve">“</w:t>
      </w:r>
      <w:r>
        <w:t xml:space="preserve">praise</w:t>
      </w:r>
      <w:r>
        <w:t xml:space="preserve">”</w:t>
      </w:r>
      <w:r>
        <w:t xml:space="preserve"> </w:t>
      </w:r>
      <w:r>
        <w:t xml:space="preserve">(</w:t>
      </w:r>
      <w:r>
        <w:rPr>
          <w:iCs/>
          <w:i/>
        </w:rPr>
        <w:t xml:space="preserve">stuti</w:t>
      </w:r>
      <w:r>
        <w:t xml:space="preserve">). In this rik,</w:t>
      </w:r>
      <w:r>
        <w:t xml:space="preserve"> </w:t>
      </w:r>
      <w:r>
        <w:rPr>
          <w:iCs/>
          <w:i/>
        </w:rPr>
        <w:t xml:space="preserve">giraḥ indraṃ avīvṛdhan</w:t>
      </w:r>
      <w:r>
        <w:t xml:space="preserve"> </w:t>
      </w:r>
      <w:r>
        <w:t xml:space="preserve">means</w:t>
      </w:r>
      <w:r>
        <w:t xml:space="preserve"> </w:t>
      </w:r>
      <w:r>
        <w:t xml:space="preserve">“</w:t>
      </w:r>
      <w:r>
        <w:t xml:space="preserve">our words praise Indra, extol him.</w:t>
      </w:r>
      <w:r>
        <w:t xml:space="preserve">”</w:t>
      </w:r>
    </w:p>
    <w:p>
      <w:pPr>
        <w:pStyle w:val="BodyText"/>
      </w:pPr>
      <w:r>
        <w:rPr>
          <w:bCs/>
          <w:b/>
        </w:rPr>
        <w:t xml:space="preserve">“</w:t>
      </w:r>
      <w:r>
        <w:rPr>
          <w:bCs/>
          <w:b/>
        </w:rPr>
        <w:t xml:space="preserve">Samudravyacasam</w:t>
      </w:r>
      <w:r>
        <w:rPr>
          <w:bCs/>
          <w:b/>
        </w:rPr>
        <w:t xml:space="preserve">”</w:t>
      </w:r>
      <w:r>
        <w:t xml:space="preserve"> </w:t>
      </w:r>
      <w:r>
        <w:t xml:space="preserve">—</w:t>
      </w:r>
      <w:r>
        <w:t xml:space="preserve"> </w:t>
      </w:r>
      <w:r>
        <w:t xml:space="preserve">“</w:t>
      </w:r>
      <w:r>
        <w:t xml:space="preserve">pervading like the ocean.</w:t>
      </w:r>
      <w:r>
        <w:t xml:space="preserve">”</w:t>
      </w:r>
      <w:r>
        <w:t xml:space="preserve"> </w:t>
      </w:r>
      <w:r>
        <w:t xml:space="preserve">This comparison is not exactly apt, for the ocean does not pervade everywhere. But since the ocean is very wide and unfathomable, the seer may have given the ocean comparison with just this idea in mind.</w:t>
      </w:r>
    </w:p>
    <w:bookmarkEnd w:id="461"/>
    <w:bookmarkStart w:id="462" w:name="Xab6bd936250da37d07dc123e4da74e10a4e2a60"/>
    <w:p>
      <w:pPr>
        <w:pStyle w:val="Heading3"/>
      </w:pPr>
      <w:r>
        <w:t xml:space="preserve">Page 451 — Rik 1: Special Topics (continued) and grammar begins</w:t>
      </w:r>
    </w:p>
    <w:p>
      <w:pPr>
        <w:pStyle w:val="FirstParagraph"/>
      </w:pPr>
      <w:r>
        <w:rPr>
          <w:bCs/>
          <w:b/>
        </w:rPr>
        <w:t xml:space="preserve">“</w:t>
      </w:r>
      <w:r>
        <w:rPr>
          <w:bCs/>
          <w:b/>
        </w:rPr>
        <w:t xml:space="preserve">Rathītamam,</w:t>
      </w:r>
      <w:r>
        <w:rPr>
          <w:bCs/>
          <w:b/>
        </w:rPr>
        <w:t xml:space="preserve">”</w:t>
      </w:r>
      <w:r>
        <w:rPr>
          <w:bCs/>
          <w:b/>
        </w:rPr>
        <w:t xml:space="preserve"> </w:t>
      </w:r>
      <w:r>
        <w:rPr>
          <w:bCs/>
          <w:b/>
        </w:rPr>
        <w:t xml:space="preserve">“</w:t>
      </w:r>
      <w:r>
        <w:rPr>
          <w:bCs/>
          <w:b/>
        </w:rPr>
        <w:t xml:space="preserve">rathīnām</w:t>
      </w:r>
      <w:r>
        <w:rPr>
          <w:bCs/>
          <w:b/>
        </w:rPr>
        <w:t xml:space="preserve">”</w:t>
      </w:r>
      <w:r>
        <w:t xml:space="preserve"> </w:t>
      </w:r>
      <w:r>
        <w:t xml:space="preserve">— such doubled expressions are numerous in the Ṛgveda:</w:t>
      </w:r>
      <w:r>
        <w:t xml:space="preserve"> </w:t>
      </w:r>
      <w:r>
        <w:rPr>
          <w:iCs/>
          <w:i/>
        </w:rPr>
        <w:t xml:space="preserve">vasor indraṃ vasupatim</w:t>
      </w:r>
      <w:r>
        <w:t xml:space="preserve">;</w:t>
      </w:r>
      <w:r>
        <w:t xml:space="preserve"> </w:t>
      </w:r>
      <w:r>
        <w:rPr>
          <w:iCs/>
          <w:i/>
        </w:rPr>
        <w:t xml:space="preserve">somapā somapītaye</w:t>
      </w:r>
      <w:r>
        <w:t xml:space="preserve">; and many other examples can be given. These words mean</w:t>
      </w:r>
      <w:r>
        <w:t xml:space="preserve"> </w:t>
      </w:r>
      <w:r>
        <w:t xml:space="preserve">“</w:t>
      </w:r>
      <w:r>
        <w:t xml:space="preserve">excellent among charioteers.</w:t>
      </w:r>
      <w:r>
        <w:t xml:space="preserve">”</w:t>
      </w:r>
    </w:p>
    <w:p>
      <w:pPr>
        <w:pStyle w:val="BodyText"/>
      </w:pPr>
      <w:r>
        <w:rPr>
          <w:bCs/>
          <w:b/>
        </w:rPr>
        <w:t xml:space="preserve">“</w:t>
      </w:r>
      <w:r>
        <w:rPr>
          <w:bCs/>
          <w:b/>
        </w:rPr>
        <w:t xml:space="preserve">Satpatim</w:t>
      </w:r>
      <w:r>
        <w:rPr>
          <w:bCs/>
          <w:b/>
        </w:rPr>
        <w:t xml:space="preserve">”</w:t>
      </w:r>
      <w:r>
        <w:t xml:space="preserve"> </w:t>
      </w:r>
      <w:r>
        <w:t xml:space="preserve">—</w:t>
      </w:r>
      <w:r>
        <w:t xml:space="preserve"> </w:t>
      </w:r>
      <w:r>
        <w:rPr>
          <w:bCs/>
          <w:b/>
        </w:rPr>
        <w:t xml:space="preserve">सतां पतिं पालकम्</w:t>
      </w:r>
      <w:r>
        <w:t xml:space="preserve"> </w:t>
      </w:r>
      <w:r>
        <w:t xml:space="preserve">(</w:t>
      </w:r>
      <w:r>
        <w:rPr>
          <w:iCs/>
          <w:i/>
        </w:rPr>
        <w:t xml:space="preserve">satāṃ patiṃ pālakam</w:t>
      </w:r>
      <w:r>
        <w:t xml:space="preserve">) —</w:t>
      </w:r>
      <w:r>
        <w:t xml:space="preserve"> </w:t>
      </w:r>
      <w:r>
        <w:t xml:space="preserve">“</w:t>
      </w:r>
      <w:r>
        <w:t xml:space="preserve">the protector, the guardian, of the good</w:t>
      </w:r>
      <w:r>
        <w:t xml:space="preserve">”</w:t>
      </w:r>
      <w:r>
        <w:t xml:space="preserve">: that is the sense.</w:t>
      </w:r>
    </w:p>
    <w:p>
      <w:pPr>
        <w:pStyle w:val="BodyText"/>
      </w:pPr>
      <w:r>
        <w:rPr>
          <w:bCs/>
          <w:b/>
        </w:rPr>
        <w:t xml:space="preserve">॥ Vyākaraṇa-prakriyā ॥</w:t>
      </w:r>
      <w:r>
        <w:t xml:space="preserve"> </w:t>
      </w:r>
      <w:r>
        <w:rPr>
          <w:iCs/>
          <w:i/>
        </w:rPr>
        <w:t xml:space="preserve">(grammar pages 451–452, noted briefly; numbers checked against the print)</w:t>
      </w:r>
    </w:p>
    <w:p>
      <w:pPr>
        <w:pStyle w:val="BodyText"/>
      </w:pPr>
      <w:r>
        <w:rPr>
          <w:bCs/>
          <w:b/>
        </w:rPr>
        <w:t xml:space="preserve">विश्वाः (</w:t>
      </w:r>
      <w:r>
        <w:rPr>
          <w:iCs/>
          <w:i/>
          <w:bCs/>
          <w:b/>
        </w:rPr>
        <w:t xml:space="preserve">viśvāḥ</w:t>
      </w:r>
      <w:r>
        <w:rPr>
          <w:bCs/>
          <w:b/>
        </w:rPr>
        <w:t xml:space="preserve">)</w:t>
      </w:r>
      <w:r>
        <w:t xml:space="preserve"> </w:t>
      </w:r>
      <w:r>
        <w:t xml:space="preserve">— root</w:t>
      </w:r>
      <w:r>
        <w:t xml:space="preserve"> </w:t>
      </w:r>
      <w:r>
        <w:rPr>
          <w:iCs/>
          <w:i/>
        </w:rPr>
        <w:t xml:space="preserve">viśa praveśane</w:t>
      </w:r>
      <w:r>
        <w:t xml:space="preserve">;</w:t>
      </w:r>
      <w:r>
        <w:t xml:space="preserve"> </w:t>
      </w:r>
      <w:r>
        <w:rPr>
          <w:iCs/>
          <w:i/>
        </w:rPr>
        <w:t xml:space="preserve">kvan</w:t>
      </w:r>
      <w:r>
        <w:t xml:space="preserve"> </w:t>
      </w:r>
      <w:r>
        <w:t xml:space="preserve">by</w:t>
      </w:r>
      <w:r>
        <w:t xml:space="preserve"> </w:t>
      </w:r>
      <w:r>
        <w:t xml:space="preserve">“</w:t>
      </w:r>
      <w:r>
        <w:t xml:space="preserve">aśūpruṣi-laṭi-kaṇi-khaṭi-viśibhyaḥ kvan</w:t>
      </w:r>
      <w:r>
        <w:t xml:space="preserve">”</w:t>
      </w:r>
      <w:r>
        <w:t xml:space="preserve"> </w:t>
      </w:r>
      <w:r>
        <w:t xml:space="preserve">(Uṇ. 1-149):</w:t>
      </w:r>
      <w:r>
        <w:t xml:space="preserve"> </w:t>
      </w:r>
      <w:r>
        <w:rPr>
          <w:iCs/>
          <w:i/>
        </w:rPr>
        <w:t xml:space="preserve">viśva</w:t>
      </w:r>
      <w:r>
        <w:t xml:space="preserve">; initial-udātta by the</w:t>
      </w:r>
      <w:r>
        <w:t xml:space="preserve"> </w:t>
      </w:r>
      <w:r>
        <w:rPr>
          <w:iCs/>
          <w:i/>
        </w:rPr>
        <w:t xml:space="preserve">nit</w:t>
      </w:r>
      <w:r>
        <w:t xml:space="preserve"> </w:t>
      </w:r>
      <w:r>
        <w:t xml:space="preserve">accent.</w:t>
      </w:r>
      <w:r>
        <w:t xml:space="preserve"> </w:t>
      </w:r>
      <w:r>
        <w:rPr>
          <w:bCs/>
          <w:b/>
        </w:rPr>
        <w:t xml:space="preserve">अवीवृधन् (</w:t>
      </w:r>
      <w:r>
        <w:rPr>
          <w:iCs/>
          <w:i/>
          <w:bCs/>
          <w:b/>
        </w:rPr>
        <w:t xml:space="preserve">avīvṛdhan</w:t>
      </w:r>
      <w:r>
        <w:rPr>
          <w:bCs/>
          <w:b/>
        </w:rPr>
        <w:t xml:space="preserve">)</w:t>
      </w:r>
      <w:r>
        <w:t xml:space="preserve"> </w:t>
      </w:r>
      <w:r>
        <w:t xml:space="preserve">— root</w:t>
      </w:r>
      <w:r>
        <w:t xml:space="preserve"> </w:t>
      </w:r>
      <w:r>
        <w:rPr>
          <w:iCs/>
          <w:i/>
        </w:rPr>
        <w:t xml:space="preserve">vṛdhu vardhane</w:t>
      </w:r>
      <w:r>
        <w:t xml:space="preserve"> </w:t>
      </w:r>
      <w:r>
        <w:t xml:space="preserve">with</w:t>
      </w:r>
      <w:r>
        <w:t xml:space="preserve"> </w:t>
      </w:r>
      <w:r>
        <w:rPr>
          <w:iCs/>
          <w:i/>
        </w:rPr>
        <w:t xml:space="preserve">ṇic</w:t>
      </w:r>
      <w:r>
        <w:t xml:space="preserve">; from the</w:t>
      </w:r>
      <w:r>
        <w:t xml:space="preserve"> </w:t>
      </w:r>
      <w:r>
        <w:rPr>
          <w:iCs/>
          <w:i/>
        </w:rPr>
        <w:t xml:space="preserve">ṇic</w:t>
      </w:r>
      <w:r>
        <w:t xml:space="preserve">-ending root,</w:t>
      </w:r>
      <w:r>
        <w:t xml:space="preserve"> </w:t>
      </w:r>
      <w:r>
        <w:rPr>
          <w:iCs/>
          <w:i/>
        </w:rPr>
        <w:t xml:space="preserve">luṅ</w:t>
      </w:r>
      <w:r>
        <w:t xml:space="preserve">; third plural</w:t>
      </w:r>
      <w:r>
        <w:t xml:space="preserve"> </w:t>
      </w:r>
      <w:r>
        <w:rPr>
          <w:iCs/>
          <w:i/>
        </w:rPr>
        <w:t xml:space="preserve">jhi</w:t>
      </w:r>
      <w:r>
        <w:t xml:space="preserve">;</w:t>
      </w:r>
      <w:r>
        <w:t xml:space="preserve"> </w:t>
      </w:r>
      <w:r>
        <w:rPr>
          <w:iCs/>
          <w:i/>
        </w:rPr>
        <w:t xml:space="preserve">jh</w:t>
      </w:r>
      <w:r>
        <w:t xml:space="preserve"> </w:t>
      </w:r>
      <w:r>
        <w:t xml:space="preserve">→</w:t>
      </w:r>
      <w:r>
        <w:t xml:space="preserve"> </w:t>
      </w:r>
      <w:r>
        <w:rPr>
          <w:iCs/>
          <w:i/>
        </w:rPr>
        <w:t xml:space="preserve">ant</w:t>
      </w:r>
      <w:r>
        <w:t xml:space="preserve"> </w:t>
      </w:r>
      <w:r>
        <w:t xml:space="preserve">by</w:t>
      </w:r>
      <w:r>
        <w:t xml:space="preserve"> </w:t>
      </w:r>
      <w:r>
        <w:t xml:space="preserve">“</w:t>
      </w:r>
      <w:r>
        <w:t xml:space="preserve">jho ’ntaḥ</w:t>
      </w:r>
      <w:r>
        <w:t xml:space="preserve">”</w:t>
      </w:r>
      <w:r>
        <w:t xml:space="preserve"> </w:t>
      </w:r>
      <w:r>
        <w:t xml:space="preserve">(Pā. 7-1-3); the</w:t>
      </w:r>
      <w:r>
        <w:t xml:space="preserve"> </w:t>
      </w:r>
      <w:r>
        <w:rPr>
          <w:iCs/>
          <w:i/>
        </w:rPr>
        <w:t xml:space="preserve">i</w:t>
      </w:r>
      <w:r>
        <w:t xml:space="preserve"> </w:t>
      </w:r>
      <w:r>
        <w:t xml:space="preserve">dropped by</w:t>
      </w:r>
      <w:r>
        <w:t xml:space="preserve"> </w:t>
      </w:r>
      <w:r>
        <w:t xml:space="preserve">“</w:t>
      </w:r>
      <w:r>
        <w:t xml:space="preserve">itaś ca</w:t>
      </w:r>
      <w:r>
        <w:t xml:space="preserve">”</w:t>
      </w:r>
      <w:r>
        <w:t xml:space="preserve"> </w:t>
      </w:r>
      <w:r>
        <w:t xml:space="preserve">(Pā. 3-4-100), then loss of the final of the cluster:</w:t>
      </w:r>
      <w:r>
        <w:t xml:space="preserve"> </w:t>
      </w:r>
      <w:r>
        <w:rPr>
          <w:iCs/>
          <w:i/>
        </w:rPr>
        <w:t xml:space="preserve">an</w:t>
      </w:r>
      <w:r>
        <w:t xml:space="preserve">;</w:t>
      </w:r>
      <w:r>
        <w:t xml:space="preserve"> </w:t>
      </w:r>
      <w:r>
        <w:rPr>
          <w:iCs/>
          <w:i/>
        </w:rPr>
        <w:t xml:space="preserve">cli</w:t>
      </w:r>
      <w:r>
        <w:t xml:space="preserve"> </w:t>
      </w:r>
      <w:r>
        <w:t xml:space="preserve">by</w:t>
      </w:r>
      <w:r>
        <w:t xml:space="preserve"> </w:t>
      </w:r>
      <w:r>
        <w:t xml:space="preserve">“</w:t>
      </w:r>
      <w:r>
        <w:t xml:space="preserve">cli luṅi</w:t>
      </w:r>
      <w:r>
        <w:t xml:space="preserve">”</w:t>
      </w:r>
      <w:r>
        <w:t xml:space="preserve"> </w:t>
      </w:r>
      <w:r>
        <w:t xml:space="preserve">(Pā. 3-1-43), replaced by</w:t>
      </w:r>
      <w:r>
        <w:t xml:space="preserve"> </w:t>
      </w:r>
      <w:r>
        <w:rPr>
          <w:iCs/>
          <w:i/>
        </w:rPr>
        <w:t xml:space="preserve">caṅ</w:t>
      </w:r>
      <w:r>
        <w:t xml:space="preserve"> </w:t>
      </w:r>
      <w:r>
        <w:t xml:space="preserve">by</w:t>
      </w:r>
      <w:r>
        <w:t xml:space="preserve"> </w:t>
      </w:r>
      <w:r>
        <w:t xml:space="preserve">“</w:t>
      </w:r>
      <w:r>
        <w:t xml:space="preserve">ṇi-śri-dru-srubhyaḥ kartari caṅ</w:t>
      </w:r>
      <w:r>
        <w:t xml:space="preserve">”</w:t>
      </w:r>
      <w:r>
        <w:t xml:space="preserve"> </w:t>
      </w:r>
      <w:r>
        <w:t xml:space="preserve">(Pā. 3-1-48); doubling by</w:t>
      </w:r>
      <w:r>
        <w:t xml:space="preserve"> </w:t>
      </w:r>
      <w:r>
        <w:t xml:space="preserve">“</w:t>
      </w:r>
      <w:r>
        <w:t xml:space="preserve">caṅi</w:t>
      </w:r>
      <w:r>
        <w:t xml:space="preserve">”</w:t>
      </w:r>
      <w:r>
        <w:t xml:space="preserve"> </w:t>
      </w:r>
      <w:r>
        <w:t xml:space="preserve">(Pā. 6-1-11);</w:t>
      </w:r>
      <w:r>
        <w:t xml:space="preserve"> </w:t>
      </w:r>
      <w:r>
        <w:t xml:space="preserve">“</w:t>
      </w:r>
      <w:r>
        <w:t xml:space="preserve">ur at</w:t>
      </w:r>
      <w:r>
        <w:t xml:space="preserve">”</w:t>
      </w:r>
      <w:r>
        <w:t xml:space="preserve"> </w:t>
      </w:r>
      <w:r>
        <w:t xml:space="preserve">gives</w:t>
      </w:r>
      <w:r>
        <w:t xml:space="preserve"> </w:t>
      </w:r>
      <w:r>
        <w:rPr>
          <w:iCs/>
          <w:i/>
        </w:rPr>
        <w:t xml:space="preserve">a</w:t>
      </w:r>
      <w:r>
        <w:t xml:space="preserve"> </w:t>
      </w:r>
      <w:r>
        <w:t xml:space="preserve">(with</w:t>
      </w:r>
      <w:r>
        <w:t xml:space="preserve"> </w:t>
      </w:r>
      <w:r>
        <w:rPr>
          <w:iCs/>
          <w:i/>
        </w:rPr>
        <w:t xml:space="preserve">r</w:t>
      </w:r>
      <w:r>
        <w:t xml:space="preserve">) for the</w:t>
      </w:r>
      <w:r>
        <w:t xml:space="preserve"> </w:t>
      </w:r>
      <w:r>
        <w:rPr>
          <w:iCs/>
          <w:i/>
        </w:rPr>
        <w:t xml:space="preserve">ṛ</w:t>
      </w:r>
      <w:r>
        <w:t xml:space="preserve"> </w:t>
      </w:r>
      <w:r>
        <w:t xml:space="preserve">of the reduplicate;</w:t>
      </w:r>
      <w:r>
        <w:t xml:space="preserve"> </w:t>
      </w:r>
      <w:r>
        <w:t xml:space="preserve">“</w:t>
      </w:r>
      <w:r>
        <w:t xml:space="preserve">halādiḥ śeṣaḥ</w:t>
      </w:r>
      <w:r>
        <w:t xml:space="preserve">”</w:t>
      </w:r>
      <w:r>
        <w:t xml:space="preserve"> </w:t>
      </w:r>
      <w:r>
        <w:t xml:space="preserve">(Pā. 7-4-60) removes the</w:t>
      </w:r>
      <w:r>
        <w:t xml:space="preserve"> </w:t>
      </w:r>
      <w:r>
        <w:rPr>
          <w:iCs/>
          <w:i/>
        </w:rPr>
        <w:t xml:space="preserve">dh</w:t>
      </w:r>
      <w:r>
        <w:t xml:space="preserve"> </w:t>
      </w:r>
      <w:r>
        <w:t xml:space="preserve">and</w:t>
      </w:r>
      <w:r>
        <w:t xml:space="preserve"> </w:t>
      </w:r>
      <w:r>
        <w:rPr>
          <w:iCs/>
          <w:i/>
        </w:rPr>
        <w:t xml:space="preserve">r</w:t>
      </w:r>
      <w:r>
        <w:t xml:space="preserve"> </w:t>
      </w:r>
      <w:r>
        <w:t xml:space="preserve">there;</w:t>
      </w:r>
      <w:r>
        <w:t xml:space="preserve"> </w:t>
      </w:r>
      <w:r>
        <w:rPr>
          <w:iCs/>
          <w:i/>
        </w:rPr>
        <w:t xml:space="preserve">guṇa</w:t>
      </w:r>
      <w:r>
        <w:t xml:space="preserve"> </w:t>
      </w:r>
      <w:r>
        <w:t xml:space="preserve">of the penultimate</w:t>
      </w:r>
      <w:r>
        <w:t xml:space="preserve"> </w:t>
      </w:r>
      <w:r>
        <w:rPr>
          <w:iCs/>
          <w:i/>
        </w:rPr>
        <w:t xml:space="preserve">ṛ</w:t>
      </w:r>
      <w:r>
        <w:t xml:space="preserve"> </w:t>
      </w:r>
      <w:r>
        <w:t xml:space="preserve">would arise by</w:t>
      </w:r>
      <w:r>
        <w:t xml:space="preserve"> </w:t>
      </w:r>
      <w:r>
        <w:t xml:space="preserve">“</w:t>
      </w:r>
      <w:r>
        <w:t xml:space="preserve">puganta-laghūpadhasya ca</w:t>
      </w:r>
      <w:r>
        <w:t xml:space="preserve">”</w:t>
      </w:r>
      <w:r>
        <w:t xml:space="preserve"> </w:t>
      </w:r>
      <w:r>
        <w:t xml:space="preserve">(Pā. 7-3-86), but</w:t>
      </w:r>
      <w:r>
        <w:t xml:space="preserve"> </w:t>
      </w:r>
      <w:r>
        <w:t xml:space="preserve">“</w:t>
      </w:r>
      <w:r>
        <w:t xml:space="preserve">nityaṃ chandasi</w:t>
      </w:r>
      <w:r>
        <w:t xml:space="preserve">”</w:t>
      </w:r>
      <w:r>
        <w:t xml:space="preserve"> </w:t>
      </w:r>
      <w:r>
        <w:t xml:space="preserve">(Pā. 7-4-8) with</w:t>
      </w:r>
      <w:r>
        <w:t xml:space="preserve"> </w:t>
      </w:r>
      <w:r>
        <w:t xml:space="preserve">“</w:t>
      </w:r>
      <w:r>
        <w:t xml:space="preserve">ur ṛt</w:t>
      </w:r>
      <w:r>
        <w:t xml:space="preserve">”</w:t>
      </w:r>
      <w:r>
        <w:t xml:space="preserve"> </w:t>
      </w:r>
      <w:r>
        <w:t xml:space="preserve">(printed</w:t>
      </w:r>
      <w:r>
        <w:t xml:space="preserve"> </w:t>
      </w:r>
      <w:r>
        <w:t xml:space="preserve">“</w:t>
      </w:r>
      <w:r>
        <w:t xml:space="preserve">7-47</w:t>
      </w:r>
      <w:r>
        <w:t xml:space="preserve">”</w:t>
      </w:r>
      <w:r>
        <w:t xml:space="preserve">) carried over always gives</w:t>
      </w:r>
      <w:r>
        <w:t xml:space="preserve"> </w:t>
      </w:r>
      <w:r>
        <w:rPr>
          <w:iCs/>
          <w:i/>
        </w:rPr>
        <w:t xml:space="preserve">ṛ</w:t>
      </w:r>
      <w:r>
        <w:t xml:space="preserve"> </w:t>
      </w:r>
      <w:r>
        <w:t xml:space="preserve">in the Veda, so no</w:t>
      </w:r>
      <w:r>
        <w:t xml:space="preserve"> </w:t>
      </w:r>
      <w:r>
        <w:rPr>
          <w:iCs/>
          <w:i/>
        </w:rPr>
        <w:t xml:space="preserve">guṇa</w:t>
      </w:r>
      <w:r>
        <w:t xml:space="preserve">;</w:t>
      </w:r>
      <w:r>
        <w:t xml:space="preserve"> </w:t>
      </w:r>
      <w:r>
        <w:t xml:space="preserve">“</w:t>
      </w:r>
      <w:r>
        <w:t xml:space="preserve">sanval laghuni caṅpare ’naglope</w:t>
      </w:r>
      <w:r>
        <w:t xml:space="preserve">”</w:t>
      </w:r>
      <w:r>
        <w:t xml:space="preserve"> </w:t>
      </w:r>
      <w:r>
        <w:t xml:space="preserve">(Pā. 7-4-93) treats it like</w:t>
      </w:r>
      <w:r>
        <w:t xml:space="preserve"> </w:t>
      </w:r>
      <w:r>
        <w:rPr>
          <w:iCs/>
          <w:i/>
        </w:rPr>
        <w:t xml:space="preserve">san</w:t>
      </w:r>
      <w:r>
        <w:t xml:space="preserve">, so</w:t>
      </w:r>
      <w:r>
        <w:t xml:space="preserve"> </w:t>
      </w:r>
      <w:r>
        <w:t xml:space="preserve">“</w:t>
      </w:r>
      <w:r>
        <w:t xml:space="preserve">sanyataḥ</w:t>
      </w:r>
      <w:r>
        <w:t xml:space="preserve">”</w:t>
      </w:r>
      <w:r>
        <w:t xml:space="preserve"> </w:t>
      </w:r>
      <w:r>
        <w:t xml:space="preserve">(Pā. 7-4-79) gives</w:t>
      </w:r>
      <w:r>
        <w:t xml:space="preserve"> </w:t>
      </w:r>
      <w:r>
        <w:rPr>
          <w:iCs/>
          <w:i/>
        </w:rPr>
        <w:t xml:space="preserve">i</w:t>
      </w:r>
      <w:r>
        <w:t xml:space="preserve"> </w:t>
      </w:r>
      <w:r>
        <w:t xml:space="preserve">for the reduplicate’s</w:t>
      </w:r>
      <w:r>
        <w:t xml:space="preserve"> </w:t>
      </w:r>
      <w:r>
        <w:rPr>
          <w:iCs/>
          <w:i/>
        </w:rPr>
        <w:t xml:space="preserve">a</w:t>
      </w:r>
      <w:r>
        <w:t xml:space="preserve">, lengthened by</w:t>
      </w:r>
      <w:r>
        <w:t xml:space="preserve"> </w:t>
      </w:r>
      <w:r>
        <w:t xml:space="preserve">“</w:t>
      </w:r>
      <w:r>
        <w:t xml:space="preserve">dīrgho laghoḥ</w:t>
      </w:r>
      <w:r>
        <w:t xml:space="preserve">”</w:t>
      </w:r>
      <w:r>
        <w:t xml:space="preserve"> </w:t>
      </w:r>
      <w:r>
        <w:t xml:space="preserve">(Pā. 7-4-94); the augment</w:t>
      </w:r>
      <w:r>
        <w:t xml:space="preserve"> </w:t>
      </w:r>
      <w:r>
        <w:rPr>
          <w:iCs/>
          <w:i/>
        </w:rPr>
        <w:t xml:space="preserve">aṭ</w:t>
      </w:r>
      <w:r>
        <w:t xml:space="preserve"> </w:t>
      </w:r>
      <w:r>
        <w:t xml:space="preserve">by</w:t>
      </w:r>
      <w:r>
        <w:t xml:space="preserve"> </w:t>
      </w:r>
      <w:r>
        <w:t xml:space="preserve">“</w:t>
      </w:r>
      <w:r>
        <w:t xml:space="preserve">luṅ-laṅ-lṛṅkṣv aḍ udāttaḥ</w:t>
      </w:r>
      <w:r>
        <w:t xml:space="preserve">”</w:t>
      </w:r>
      <w:r>
        <w:t xml:space="preserve"> </w:t>
      </w:r>
      <w:r>
        <w:t xml:space="preserve">(Pā. 6-4-71);</w:t>
      </w:r>
      <w:r>
        <w:t xml:space="preserve"> </w:t>
      </w:r>
      <w:r>
        <w:rPr>
          <w:iCs/>
          <w:i/>
        </w:rPr>
        <w:t xml:space="preserve">ṇi</w:t>
      </w:r>
      <w:r>
        <w:t xml:space="preserve"> </w:t>
      </w:r>
      <w:r>
        <w:t xml:space="preserve">dropped by</w:t>
      </w:r>
      <w:r>
        <w:t xml:space="preserve"> </w:t>
      </w:r>
      <w:r>
        <w:t xml:space="preserve">“</w:t>
      </w:r>
      <w:r>
        <w:t xml:space="preserve">ṇer aniṭi</w:t>
      </w:r>
      <w:r>
        <w:t xml:space="preserve">”</w:t>
      </w:r>
      <w:r>
        <w:t xml:space="preserve"> </w:t>
      </w:r>
      <w:r>
        <w:t xml:space="preserve">(Pā. 6-4-51);</w:t>
      </w:r>
      <w:r>
        <w:t xml:space="preserve"> </w:t>
      </w:r>
      <w:r>
        <w:rPr>
          <w:iCs/>
          <w:i/>
        </w:rPr>
        <w:t xml:space="preserve">pararūpa</w:t>
      </w:r>
      <w:r>
        <w:t xml:space="preserve"> </w:t>
      </w:r>
      <w:r>
        <w:t xml:space="preserve">by</w:t>
      </w:r>
      <w:r>
        <w:t xml:space="preserve"> </w:t>
      </w:r>
      <w:r>
        <w:t xml:space="preserve">“</w:t>
      </w:r>
      <w:r>
        <w:t xml:space="preserve">ato guṇe</w:t>
      </w:r>
      <w:r>
        <w:t xml:space="preserve">”</w:t>
      </w:r>
      <w:r>
        <w:t xml:space="preserve">:</w:t>
      </w:r>
      <w:r>
        <w:t xml:space="preserve"> </w:t>
      </w:r>
      <w:r>
        <w:rPr>
          <w:iCs/>
          <w:i/>
        </w:rPr>
        <w:t xml:space="preserve">avīvṛdhan</w:t>
      </w:r>
      <w:r>
        <w:t xml:space="preserve">; wholly unaccented by</w:t>
      </w:r>
      <w:r>
        <w:t xml:space="preserve"> </w:t>
      </w:r>
      <w:r>
        <w:t xml:space="preserve">“</w:t>
      </w:r>
      <w:r>
        <w:t xml:space="preserve">tiṅṅ atiṅaḥ</w:t>
      </w:r>
      <w:r>
        <w:t xml:space="preserve">”</w:t>
      </w:r>
      <w:r>
        <w:t xml:space="preserve"> </w:t>
      </w:r>
      <w:r>
        <w:t xml:space="preserve">(Pā. 8-1-28).</w:t>
      </w:r>
      <w:r>
        <w:t xml:space="preserve"> </w:t>
      </w:r>
      <w:r>
        <w:rPr>
          <w:bCs/>
          <w:b/>
        </w:rPr>
        <w:t xml:space="preserve">समुद्रव्यचसम् (</w:t>
      </w:r>
      <w:r>
        <w:rPr>
          <w:iCs/>
          <w:i/>
          <w:bCs/>
          <w:b/>
        </w:rPr>
        <w:t xml:space="preserve">samudravyacasam</w:t>
      </w:r>
      <w:r>
        <w:rPr>
          <w:bCs/>
          <w:b/>
        </w:rPr>
        <w:t xml:space="preserve">)</w:t>
      </w:r>
      <w:r>
        <w:t xml:space="preserve"> </w:t>
      </w:r>
      <w:r>
        <w:t xml:space="preserve">— root</w:t>
      </w:r>
      <w:r>
        <w:t xml:space="preserve"> </w:t>
      </w:r>
      <w:r>
        <w:rPr>
          <w:iCs/>
          <w:i/>
        </w:rPr>
        <w:t xml:space="preserve">vyaca vyājīkaraṇe</w:t>
      </w:r>
      <w:r>
        <w:t xml:space="preserve">;</w:t>
      </w:r>
      <w:r>
        <w:t xml:space="preserve"> </w:t>
      </w:r>
      <w:r>
        <w:rPr>
          <w:iCs/>
          <w:i/>
        </w:rPr>
        <w:t xml:space="preserve">asun</w:t>
      </w:r>
      <w:r>
        <w:t xml:space="preserve"> </w:t>
      </w:r>
      <w:r>
        <w:t xml:space="preserve">by</w:t>
      </w:r>
      <w:r>
        <w:t xml:space="preserve"> </w:t>
      </w:r>
      <w:r>
        <w:t xml:space="preserve">“</w:t>
      </w:r>
      <w:r>
        <w:t xml:space="preserve">sarvadhātubhyo ’sun</w:t>
      </w:r>
      <w:r>
        <w:t xml:space="preserve">”</w:t>
      </w:r>
      <w:r>
        <w:t xml:space="preserve"> </w:t>
      </w:r>
      <w:r>
        <w:t xml:space="preserve">(Uṇ. 4-638 [?]);</w:t>
      </w:r>
      <w:r>
        <w:t xml:space="preserve"> </w:t>
      </w:r>
      <w:r>
        <w:t xml:space="preserve">“</w:t>
      </w:r>
      <w:r>
        <w:t xml:space="preserve">vyaceḥ kuṭāditvam anasi</w:t>
      </w:r>
      <w:r>
        <w:t xml:space="preserve">”</w:t>
      </w:r>
      <w:r>
        <w:t xml:space="preserve"> </w:t>
      </w:r>
      <w:r>
        <w:t xml:space="preserve">(Kā. vā. 1-2-1-1) —</w:t>
      </w:r>
    </w:p>
    <w:bookmarkEnd w:id="462"/>
    <w:bookmarkStart w:id="463" w:name="page-452-rik-1-grammar-continued"/>
    <w:p>
      <w:pPr>
        <w:pStyle w:val="Heading3"/>
      </w:pPr>
      <w:r>
        <w:t xml:space="preserve">Page 452 — Rik 1 grammar (continued)</w:t>
      </w:r>
    </w:p>
    <w:p>
      <w:pPr>
        <w:pStyle w:val="FirstParagraph"/>
      </w:pPr>
      <w:r>
        <w:t xml:space="preserve">[</w:t>
      </w:r>
      <w:r>
        <w:rPr>
          <w:iCs/>
          <w:i/>
        </w:rPr>
        <w:t xml:space="preserve">samudravyacasam</w:t>
      </w:r>
      <w:r>
        <w:t xml:space="preserve">, continued:]</w:t>
      </w:r>
      <w:r>
        <w:t xml:space="preserve"> </w:t>
      </w:r>
      <w:r>
        <w:rPr>
          <w:iCs/>
          <w:i/>
        </w:rPr>
        <w:t xml:space="preserve">vyac</w:t>
      </w:r>
      <w:r>
        <w:t xml:space="preserve"> </w:t>
      </w:r>
      <w:r>
        <w:t xml:space="preserve">is</w:t>
      </w:r>
      <w:r>
        <w:t xml:space="preserve"> </w:t>
      </w:r>
      <w:r>
        <w:rPr>
          <w:iCs/>
          <w:i/>
        </w:rPr>
        <w:t xml:space="preserve">kuṭādi</w:t>
      </w:r>
      <w:r>
        <w:t xml:space="preserve"> </w:t>
      </w:r>
      <w:r>
        <w:t xml:space="preserve">except before</w:t>
      </w:r>
      <w:r>
        <w:t xml:space="preserve"> </w:t>
      </w:r>
      <w:r>
        <w:rPr>
          <w:iCs/>
          <w:i/>
        </w:rPr>
        <w:t xml:space="preserve">as</w:t>
      </w:r>
      <w:r>
        <w:t xml:space="preserve">, so here it is not, and</w:t>
      </w:r>
      <w:r>
        <w:t xml:space="preserve"> </w:t>
      </w:r>
      <w:r>
        <w:t xml:space="preserve">“</w:t>
      </w:r>
      <w:r>
        <w:t xml:space="preserve">gāṅ-kuṭādibhyo ’ñṇin ṅit</w:t>
      </w:r>
      <w:r>
        <w:t xml:space="preserve">”</w:t>
      </w:r>
      <w:r>
        <w:t xml:space="preserve"> </w:t>
      </w:r>
      <w:r>
        <w:t xml:space="preserve">(Pā. 1-2-1) does not make the suffix</w:t>
      </w:r>
      <w:r>
        <w:t xml:space="preserve"> </w:t>
      </w:r>
      <w:r>
        <w:rPr>
          <w:iCs/>
          <w:i/>
        </w:rPr>
        <w:t xml:space="preserve">ṅit</w:t>
      </w:r>
      <w:r>
        <w:t xml:space="preserve">; hence the</w:t>
      </w:r>
      <w:r>
        <w:t xml:space="preserve"> </w:t>
      </w:r>
      <w:r>
        <w:rPr>
          <w:iCs/>
          <w:i/>
        </w:rPr>
        <w:t xml:space="preserve">samprasāraṇa</w:t>
      </w:r>
      <w:r>
        <w:t xml:space="preserve"> </w:t>
      </w:r>
      <w:r>
        <w:t xml:space="preserve">of</w:t>
      </w:r>
      <w:r>
        <w:t xml:space="preserve"> </w:t>
      </w:r>
      <w:r>
        <w:t xml:space="preserve">“</w:t>
      </w:r>
      <w:r>
        <w:t xml:space="preserve">grahi-jyā-vayi-vyadhi-vaṣṭi-vicati-vṛścati-pṛcchati-bhṛjjatīnāṃ ṅiti ca</w:t>
      </w:r>
      <w:r>
        <w:t xml:space="preserve">”</w:t>
      </w:r>
      <w:r>
        <w:t xml:space="preserve"> </w:t>
      </w:r>
      <w:r>
        <w:t xml:space="preserve">(Pā. 6-1-16) does not arise; the bahuvrīhi</w:t>
      </w:r>
      <w:r>
        <w:t xml:space="preserve"> </w:t>
      </w:r>
      <w:r>
        <w:t xml:space="preserve">“</w:t>
      </w:r>
      <w:r>
        <w:t xml:space="preserve">samudrasya vyaca iva vyacaḥ yasya saḥ</w:t>
      </w:r>
      <w:r>
        <w:t xml:space="preserve">”</w:t>
      </w:r>
      <w:r>
        <w:t xml:space="preserve"> </w:t>
      </w:r>
      <w:r>
        <w:t xml:space="preserve">keeps the first member’s accent by</w:t>
      </w:r>
      <w:r>
        <w:t xml:space="preserve"> </w:t>
      </w:r>
      <w:r>
        <w:t xml:space="preserve">“</w:t>
      </w:r>
      <w:r>
        <w:t xml:space="preserve">bahuvrīhau prakṛtyā pūrvapadam</w:t>
      </w:r>
      <w:r>
        <w:t xml:space="preserve">”</w:t>
      </w:r>
      <w:r>
        <w:t xml:space="preserve"> </w:t>
      </w:r>
      <w:r>
        <w:t xml:space="preserve">(Pā. 6-2-1).</w:t>
      </w:r>
      <w:r>
        <w:t xml:space="preserve"> </w:t>
      </w:r>
      <w:r>
        <w:rPr>
          <w:bCs/>
          <w:b/>
        </w:rPr>
        <w:t xml:space="preserve">रथीतमम् (</w:t>
      </w:r>
      <w:r>
        <w:rPr>
          <w:iCs/>
          <w:i/>
          <w:bCs/>
          <w:b/>
        </w:rPr>
        <w:t xml:space="preserve">rathītamam</w:t>
      </w:r>
      <w:r>
        <w:rPr>
          <w:bCs/>
          <w:b/>
        </w:rPr>
        <w:t xml:space="preserve">)</w:t>
      </w:r>
      <w:r>
        <w:t xml:space="preserve"> </w:t>
      </w:r>
      <w:r>
        <w:t xml:space="preserve">—</w:t>
      </w:r>
      <w:r>
        <w:t xml:space="preserve"> </w:t>
      </w:r>
      <w:r>
        <w:t xml:space="preserve">“</w:t>
      </w:r>
      <w:r>
        <w:t xml:space="preserve">rathaḥ asya asti iti rathī</w:t>
      </w:r>
      <w:r>
        <w:t xml:space="preserve">”</w:t>
      </w:r>
      <w:r>
        <w:t xml:space="preserve">:</w:t>
      </w:r>
      <w:r>
        <w:t xml:space="preserve"> </w:t>
      </w:r>
      <w:r>
        <w:rPr>
          <w:iCs/>
          <w:i/>
        </w:rPr>
        <w:t xml:space="preserve">ini</w:t>
      </w:r>
      <w:r>
        <w:t xml:space="preserve"> </w:t>
      </w:r>
      <w:r>
        <w:t xml:space="preserve">by</w:t>
      </w:r>
      <w:r>
        <w:t xml:space="preserve"> </w:t>
      </w:r>
      <w:r>
        <w:t xml:space="preserve">“</w:t>
      </w:r>
      <w:r>
        <w:t xml:space="preserve">ata ini-ṭhanau</w:t>
      </w:r>
      <w:r>
        <w:t xml:space="preserve">”</w:t>
      </w:r>
      <w:r>
        <w:t xml:space="preserve"> </w:t>
      </w:r>
      <w:r>
        <w:t xml:space="preserve">(Pā. 5-2-115); the</w:t>
      </w:r>
      <w:r>
        <w:t xml:space="preserve"> </w:t>
      </w:r>
      <w:r>
        <w:rPr>
          <w:iCs/>
          <w:i/>
        </w:rPr>
        <w:t xml:space="preserve">a</w:t>
      </w:r>
      <w:r>
        <w:t xml:space="preserve"> </w:t>
      </w:r>
      <w:r>
        <w:t xml:space="preserve">of</w:t>
      </w:r>
      <w:r>
        <w:t xml:space="preserve"> </w:t>
      </w:r>
      <w:r>
        <w:rPr>
          <w:iCs/>
          <w:i/>
        </w:rPr>
        <w:t xml:space="preserve">ratha</w:t>
      </w:r>
      <w:r>
        <w:t xml:space="preserve"> </w:t>
      </w:r>
      <w:r>
        <w:t xml:space="preserve">dropped by</w:t>
      </w:r>
      <w:r>
        <w:t xml:space="preserve"> </w:t>
      </w:r>
      <w:r>
        <w:t xml:space="preserve">“</w:t>
      </w:r>
      <w:r>
        <w:t xml:space="preserve">yasyeti ca</w:t>
      </w:r>
      <w:r>
        <w:t xml:space="preserve">”</w:t>
      </w:r>
      <w:r>
        <w:t xml:space="preserve"> </w:t>
      </w:r>
      <w:r>
        <w:t xml:space="preserve">(Pā. 6-4-148);</w:t>
      </w:r>
      <w:r>
        <w:t xml:space="preserve"> </w:t>
      </w:r>
      <w:r>
        <w:t xml:space="preserve">“</w:t>
      </w:r>
      <w:r>
        <w:t xml:space="preserve">atiśayitaḥ rathī</w:t>
      </w:r>
      <w:r>
        <w:t xml:space="preserve">”</w:t>
      </w:r>
      <w:r>
        <w:t xml:space="preserve">:</w:t>
      </w:r>
      <w:r>
        <w:t xml:space="preserve"> </w:t>
      </w:r>
      <w:r>
        <w:rPr>
          <w:iCs/>
          <w:i/>
        </w:rPr>
        <w:t xml:space="preserve">tamap</w:t>
      </w:r>
      <w:r>
        <w:t xml:space="preserve"> </w:t>
      </w:r>
      <w:r>
        <w:t xml:space="preserve">by</w:t>
      </w:r>
      <w:r>
        <w:t xml:space="preserve"> </w:t>
      </w:r>
      <w:r>
        <w:t xml:space="preserve">“</w:t>
      </w:r>
      <w:r>
        <w:t xml:space="preserve">atiśāyane tamab-iṣṭhanau</w:t>
      </w:r>
      <w:r>
        <w:t xml:space="preserve">”</w:t>
      </w:r>
      <w:r>
        <w:t xml:space="preserve"> </w:t>
      </w:r>
      <w:r>
        <w:t xml:space="preserve">(Pā. 5-3-55);</w:t>
      </w:r>
      <w:r>
        <w:t xml:space="preserve"> </w:t>
      </w:r>
      <w:r>
        <w:rPr>
          <w:iCs/>
          <w:i/>
        </w:rPr>
        <w:t xml:space="preserve">rathin</w:t>
      </w:r>
      <w:r>
        <w:t xml:space="preserve"> </w:t>
      </w:r>
      <w:r>
        <w:t xml:space="preserve">+</w:t>
      </w:r>
      <w:r>
        <w:t xml:space="preserve"> </w:t>
      </w:r>
      <w:r>
        <w:rPr>
          <w:iCs/>
          <w:i/>
        </w:rPr>
        <w:t xml:space="preserve">su</w:t>
      </w:r>
      <w:r>
        <w:t xml:space="preserve"> </w:t>
      </w:r>
      <w:r>
        <w:t xml:space="preserve">+</w:t>
      </w:r>
      <w:r>
        <w:t xml:space="preserve"> </w:t>
      </w:r>
      <w:r>
        <w:rPr>
          <w:iCs/>
          <w:i/>
        </w:rPr>
        <w:t xml:space="preserve">tama</w:t>
      </w:r>
      <w:r>
        <w:t xml:space="preserve">,</w:t>
      </w:r>
      <w:r>
        <w:t xml:space="preserve"> </w:t>
      </w:r>
      <w:r>
        <w:rPr>
          <w:iCs/>
          <w:i/>
        </w:rPr>
        <w:t xml:space="preserve">su</w:t>
      </w:r>
      <w:r>
        <w:t xml:space="preserve"> </w:t>
      </w:r>
      <w:r>
        <w:t xml:space="preserve">dropped;</w:t>
      </w:r>
      <w:r>
        <w:t xml:space="preserve"> </w:t>
      </w:r>
      <w:r>
        <w:rPr>
          <w:iCs/>
          <w:i/>
        </w:rPr>
        <w:t xml:space="preserve">pada</w:t>
      </w:r>
      <w:r>
        <w:t xml:space="preserve"> </w:t>
      </w:r>
      <w:r>
        <w:t xml:space="preserve">status by</w:t>
      </w:r>
      <w:r>
        <w:t xml:space="preserve"> </w:t>
      </w:r>
      <w:r>
        <w:rPr>
          <w:iCs/>
          <w:i/>
        </w:rPr>
        <w:t xml:space="preserve">pratyaya-lakṣaṇa</w:t>
      </w:r>
      <w:r>
        <w:t xml:space="preserve">, so the</w:t>
      </w:r>
      <w:r>
        <w:t xml:space="preserve"> </w:t>
      </w:r>
      <w:r>
        <w:rPr>
          <w:iCs/>
          <w:i/>
        </w:rPr>
        <w:t xml:space="preserve">n</w:t>
      </w:r>
      <w:r>
        <w:t xml:space="preserve"> </w:t>
      </w:r>
      <w:r>
        <w:t xml:space="preserve">is dropped by</w:t>
      </w:r>
      <w:r>
        <w:t xml:space="preserve"> </w:t>
      </w:r>
      <w:r>
        <w:t xml:space="preserve">“</w:t>
      </w:r>
      <w:r>
        <w:t xml:space="preserve">nalopaḥ prātipadikāntasya</w:t>
      </w:r>
      <w:r>
        <w:t xml:space="preserve">”</w:t>
      </w:r>
      <w:r>
        <w:t xml:space="preserve"> </w:t>
      </w:r>
      <w:r>
        <w:t xml:space="preserve">(Pā. 8-2-7); Vedic lengthening of the</w:t>
      </w:r>
      <w:r>
        <w:t xml:space="preserve"> </w:t>
      </w:r>
      <w:r>
        <w:rPr>
          <w:iCs/>
          <w:i/>
        </w:rPr>
        <w:t xml:space="preserve">i</w:t>
      </w:r>
      <w:r>
        <w:t xml:space="preserve">:</w:t>
      </w:r>
      <w:r>
        <w:t xml:space="preserve"> </w:t>
      </w:r>
      <w:r>
        <w:rPr>
          <w:iCs/>
          <w:i/>
        </w:rPr>
        <w:t xml:space="preserve">rathītama</w:t>
      </w:r>
      <w:r>
        <w:t xml:space="preserve">; accusative singular</w:t>
      </w:r>
      <w:r>
        <w:t xml:space="preserve"> </w:t>
      </w:r>
      <w:r>
        <w:rPr>
          <w:iCs/>
          <w:i/>
        </w:rPr>
        <w:t xml:space="preserve">rathītamam</w:t>
      </w:r>
      <w:r>
        <w:t xml:space="preserve">;</w:t>
      </w:r>
      <w:r>
        <w:t xml:space="preserve"> </w:t>
      </w:r>
      <w:r>
        <w:rPr>
          <w:iCs/>
          <w:i/>
        </w:rPr>
        <w:t xml:space="preserve">tamap</w:t>
      </w:r>
      <w:r>
        <w:t xml:space="preserve">, being</w:t>
      </w:r>
      <w:r>
        <w:t xml:space="preserve"> </w:t>
      </w:r>
      <w:r>
        <w:rPr>
          <w:iCs/>
          <w:i/>
        </w:rPr>
        <w:t xml:space="preserve">pit</w:t>
      </w:r>
      <w:r>
        <w:t xml:space="preserve">, is unaccented by</w:t>
      </w:r>
      <w:r>
        <w:t xml:space="preserve"> </w:t>
      </w:r>
      <w:r>
        <w:t xml:space="preserve">“</w:t>
      </w:r>
      <w:r>
        <w:t xml:space="preserve">anudāttau suppitau</w:t>
      </w:r>
      <w:r>
        <w:t xml:space="preserve">”</w:t>
      </w:r>
      <w:r>
        <w:t xml:space="preserve"> </w:t>
      </w:r>
      <w:r>
        <w:t xml:space="preserve">(Pā. 3-1-4), and the word is udātta on</w:t>
      </w:r>
      <w:r>
        <w:t xml:space="preserve"> </w:t>
      </w:r>
      <w:r>
        <w:rPr>
          <w:iCs/>
          <w:i/>
        </w:rPr>
        <w:t xml:space="preserve">in</w:t>
      </w:r>
      <w:r>
        <w:t xml:space="preserve"> </w:t>
      </w:r>
      <w:r>
        <w:t xml:space="preserve">by the suffix accent.</w:t>
      </w:r>
      <w:r>
        <w:t xml:space="preserve"> </w:t>
      </w:r>
      <w:r>
        <w:rPr>
          <w:bCs/>
          <w:b/>
        </w:rPr>
        <w:t xml:space="preserve">रथीनाम् (</w:t>
      </w:r>
      <w:r>
        <w:rPr>
          <w:iCs/>
          <w:i/>
          <w:bCs/>
          <w:b/>
        </w:rPr>
        <w:t xml:space="preserve">rathīnām</w:t>
      </w:r>
      <w:r>
        <w:rPr>
          <w:bCs/>
          <w:b/>
        </w:rPr>
        <w:t xml:space="preserve">)</w:t>
      </w:r>
      <w:r>
        <w:t xml:space="preserve"> </w:t>
      </w:r>
      <w:r>
        <w:t xml:space="preserve">— genitive plural</w:t>
      </w:r>
      <w:r>
        <w:t xml:space="preserve"> </w:t>
      </w:r>
      <w:r>
        <w:rPr>
          <w:iCs/>
          <w:i/>
        </w:rPr>
        <w:t xml:space="preserve">ām</w:t>
      </w:r>
      <w:r>
        <w:t xml:space="preserve"> </w:t>
      </w:r>
      <w:r>
        <w:t xml:space="preserve">after</w:t>
      </w:r>
      <w:r>
        <w:t xml:space="preserve"> </w:t>
      </w:r>
      <w:r>
        <w:rPr>
          <w:iCs/>
          <w:i/>
        </w:rPr>
        <w:t xml:space="preserve">rathin</w:t>
      </w:r>
      <w:r>
        <w:t xml:space="preserve">, Vedic lengthening of the</w:t>
      </w:r>
      <w:r>
        <w:t xml:space="preserve"> </w:t>
      </w:r>
      <w:r>
        <w:rPr>
          <w:iCs/>
          <w:i/>
        </w:rPr>
        <w:t xml:space="preserve">i</w:t>
      </w:r>
      <w:r>
        <w:t xml:space="preserve">; udātta on</w:t>
      </w:r>
      <w:r>
        <w:t xml:space="preserve"> </w:t>
      </w:r>
      <w:r>
        <w:rPr>
          <w:iCs/>
          <w:i/>
        </w:rPr>
        <w:t xml:space="preserve">in</w:t>
      </w:r>
      <w:r>
        <w:t xml:space="preserve"> </w:t>
      </w:r>
      <w:r>
        <w:t xml:space="preserve">by the suffix accent;</w:t>
      </w:r>
      <w:r>
        <w:t xml:space="preserve"> </w:t>
      </w:r>
      <w:r>
        <w:rPr>
          <w:iCs/>
          <w:i/>
        </w:rPr>
        <w:t xml:space="preserve">ām</w:t>
      </w:r>
      <w:r>
        <w:t xml:space="preserve">, being</w:t>
      </w:r>
      <w:r>
        <w:t xml:space="preserve"> </w:t>
      </w:r>
      <w:r>
        <w:rPr>
          <w:iCs/>
          <w:i/>
        </w:rPr>
        <w:t xml:space="preserve">sup</w:t>
      </w:r>
      <w:r>
        <w:t xml:space="preserve">, unaccented, then svarita by</w:t>
      </w:r>
      <w:r>
        <w:t xml:space="preserve"> </w:t>
      </w:r>
      <w:r>
        <w:t xml:space="preserve">“</w:t>
      </w:r>
      <w:r>
        <w:t xml:space="preserve">udāttād anudāttasya svaritaḥ</w:t>
      </w:r>
      <w:r>
        <w:t xml:space="preserve">”</w:t>
      </w:r>
      <w:r>
        <w:t xml:space="preserve"> </w:t>
      </w:r>
      <w:r>
        <w:t xml:space="preserve">(Pā. 8-4-66).</w:t>
      </w:r>
      <w:r>
        <w:t xml:space="preserve"> </w:t>
      </w:r>
      <w:r>
        <w:rPr>
          <w:bCs/>
          <w:b/>
        </w:rPr>
        <w:t xml:space="preserve">वाजानाम् (</w:t>
      </w:r>
      <w:r>
        <w:rPr>
          <w:iCs/>
          <w:i/>
          <w:bCs/>
          <w:b/>
        </w:rPr>
        <w:t xml:space="preserve">vājānām</w:t>
      </w:r>
      <w:r>
        <w:rPr>
          <w:bCs/>
          <w:b/>
        </w:rPr>
        <w:t xml:space="preserve">)</w:t>
      </w:r>
      <w:r>
        <w:t xml:space="preserve"> </w:t>
      </w:r>
      <w:r>
        <w:t xml:space="preserve">— initial-udātta as one of the</w:t>
      </w:r>
      <w:r>
        <w:t xml:space="preserve"> </w:t>
      </w:r>
      <w:r>
        <w:rPr>
          <w:iCs/>
          <w:i/>
        </w:rPr>
        <w:t xml:space="preserve">vṛṣādi</w:t>
      </w:r>
      <w:r>
        <w:t xml:space="preserve"> </w:t>
      </w:r>
      <w:r>
        <w:t xml:space="preserve">words,</w:t>
      </w:r>
      <w:r>
        <w:t xml:space="preserve"> </w:t>
      </w:r>
      <w:r>
        <w:t xml:space="preserve">“</w:t>
      </w:r>
      <w:r>
        <w:t xml:space="preserve">vṛṣādīnāṃ ca</w:t>
      </w:r>
      <w:r>
        <w:t xml:space="preserve">”</w:t>
      </w:r>
      <w:r>
        <w:t xml:space="preserve"> </w:t>
      </w:r>
      <w:r>
        <w:t xml:space="preserve">(printed</w:t>
      </w:r>
      <w:r>
        <w:t xml:space="preserve"> </w:t>
      </w:r>
      <w:r>
        <w:t xml:space="preserve">“</w:t>
      </w:r>
      <w:r>
        <w:t xml:space="preserve">pā. rū.</w:t>
      </w:r>
      <w:r>
        <w:t xml:space="preserve">”</w:t>
      </w:r>
      <w:r>
        <w:t xml:space="preserve"> </w:t>
      </w:r>
      <w:r>
        <w:t xml:space="preserve">[sic] 6-1-203).</w:t>
      </w:r>
      <w:r>
        <w:t xml:space="preserve"> </w:t>
      </w:r>
      <w:r>
        <w:rPr>
          <w:bCs/>
          <w:b/>
        </w:rPr>
        <w:t xml:space="preserve">सत्पतिम् (</w:t>
      </w:r>
      <w:r>
        <w:rPr>
          <w:iCs/>
          <w:i/>
          <w:bCs/>
          <w:b/>
        </w:rPr>
        <w:t xml:space="preserve">satpatim</w:t>
      </w:r>
      <w:r>
        <w:rPr>
          <w:bCs/>
          <w:b/>
        </w:rPr>
        <w:t xml:space="preserve">)</w:t>
      </w:r>
      <w:r>
        <w:t xml:space="preserve"> </w:t>
      </w:r>
      <w:r>
        <w:t xml:space="preserve">—</w:t>
      </w:r>
      <w:r>
        <w:t xml:space="preserve"> </w:t>
      </w:r>
      <w:r>
        <w:t xml:space="preserve">“</w:t>
      </w:r>
      <w:r>
        <w:t xml:space="preserve">patyāv aiśvarye</w:t>
      </w:r>
      <w:r>
        <w:t xml:space="preserve">”</w:t>
      </w:r>
      <w:r>
        <w:t xml:space="preserve"> </w:t>
      </w:r>
      <w:r>
        <w:t xml:space="preserve">(Pā. 6-2-18): before</w:t>
      </w:r>
      <w:r>
        <w:t xml:space="preserve"> </w:t>
      </w:r>
      <w:r>
        <w:rPr>
          <w:iCs/>
          <w:i/>
        </w:rPr>
        <w:t xml:space="preserve">pati</w:t>
      </w:r>
      <w:r>
        <w:t xml:space="preserve"> </w:t>
      </w:r>
      <w:r>
        <w:t xml:space="preserve">in the sense of lordship the first member keeps its own accent;</w:t>
      </w:r>
      <w:r>
        <w:t xml:space="preserve"> </w:t>
      </w:r>
      <w:r>
        <w:rPr>
          <w:iCs/>
          <w:i/>
        </w:rPr>
        <w:t xml:space="preserve">sat</w:t>
      </w:r>
      <w:r>
        <w:t xml:space="preserve"> </w:t>
      </w:r>
      <w:r>
        <w:t xml:space="preserve">from</w:t>
      </w:r>
      <w:r>
        <w:t xml:space="preserve"> </w:t>
      </w:r>
      <w:r>
        <w:rPr>
          <w:iCs/>
          <w:i/>
        </w:rPr>
        <w:t xml:space="preserve">as bhuvi</w:t>
      </w:r>
      <w:r>
        <w:t xml:space="preserve"> </w:t>
      </w:r>
      <w:r>
        <w:t xml:space="preserve">with</w:t>
      </w:r>
      <w:r>
        <w:t xml:space="preserve"> </w:t>
      </w:r>
      <w:r>
        <w:rPr>
          <w:iCs/>
          <w:i/>
        </w:rPr>
        <w:t xml:space="preserve">laṭ</w:t>
      </w:r>
      <w:r>
        <w:t xml:space="preserve"> </w:t>
      </w:r>
      <w:r>
        <w:t xml:space="preserve">→</w:t>
      </w:r>
      <w:r>
        <w:t xml:space="preserve"> </w:t>
      </w:r>
      <w:r>
        <w:rPr>
          <w:iCs/>
          <w:i/>
        </w:rPr>
        <w:t xml:space="preserve">śatṛ</w:t>
      </w:r>
      <w:r>
        <w:t xml:space="preserve">; the</w:t>
      </w:r>
      <w:r>
        <w:t xml:space="preserve"> </w:t>
      </w:r>
      <w:r>
        <w:rPr>
          <w:iCs/>
          <w:i/>
        </w:rPr>
        <w:t xml:space="preserve">śap</w:t>
      </w:r>
      <w:r>
        <w:t xml:space="preserve"> </w:t>
      </w:r>
      <w:r>
        <w:t xml:space="preserve">dropped by</w:t>
      </w:r>
      <w:r>
        <w:t xml:space="preserve"> </w:t>
      </w:r>
      <w:r>
        <w:t xml:space="preserve">“</w:t>
      </w:r>
      <w:r>
        <w:t xml:space="preserve">adiprabhṛtibhyaḥ śapaḥ</w:t>
      </w:r>
      <w:r>
        <w:t xml:space="preserve">”</w:t>
      </w:r>
      <w:r>
        <w:t xml:space="preserve"> </w:t>
      </w:r>
      <w:r>
        <w:t xml:space="preserve">(no number printed); the root’s</w:t>
      </w:r>
      <w:r>
        <w:t xml:space="preserve"> </w:t>
      </w:r>
      <w:r>
        <w:rPr>
          <w:iCs/>
          <w:i/>
        </w:rPr>
        <w:t xml:space="preserve">a</w:t>
      </w:r>
      <w:r>
        <w:t xml:space="preserve"> </w:t>
      </w:r>
      <w:r>
        <w:t xml:space="preserve">dropped by</w:t>
      </w:r>
      <w:r>
        <w:t xml:space="preserve"> </w:t>
      </w:r>
      <w:r>
        <w:t xml:space="preserve">“</w:t>
      </w:r>
      <w:r>
        <w:t xml:space="preserve">śnasor allopaḥ</w:t>
      </w:r>
      <w:r>
        <w:t xml:space="preserve">”</w:t>
      </w:r>
      <w:r>
        <w:t xml:space="preserve"> </w:t>
      </w:r>
      <w:r>
        <w:t xml:space="preserve">(Pā. 6-4-111):</w:t>
      </w:r>
      <w:r>
        <w:t xml:space="preserve"> </w:t>
      </w:r>
      <w:r>
        <w:rPr>
          <w:iCs/>
          <w:i/>
        </w:rPr>
        <w:t xml:space="preserve">sat</w:t>
      </w:r>
      <w:r>
        <w:t xml:space="preserve">, final-udātta by the suffix accent;</w:t>
      </w:r>
      <w:r>
        <w:t xml:space="preserve"> </w:t>
      </w:r>
      <w:r>
        <w:t xml:space="preserve">“</w:t>
      </w:r>
      <w:r>
        <w:t xml:space="preserve">satāṃ patiḥ satpatiḥ,</w:t>
      </w:r>
      <w:r>
        <w:t xml:space="preserve">”</w:t>
      </w:r>
      <w:r>
        <w:t xml:space="preserve"> </w:t>
      </w:r>
      <w:r>
        <w:t xml:space="preserve">a genitive tatpuruṣa.</w:t>
      </w:r>
    </w:p>
    <w:p>
      <w:pPr>
        <w:pStyle w:val="BodyText"/>
      </w:pPr>
      <w:r>
        <w:rPr>
          <w:bCs/>
          <w:b/>
        </w:rPr>
        <w:t xml:space="preserve">॥१॥</w:t>
      </w:r>
    </w:p>
    <w:p>
      <w:r>
        <w:pict>
          <v:rect style="width:0;height:1.5pt" o:hralign="center" o:hrstd="t" o:hr="t"/>
        </w:pict>
      </w:r>
    </w:p>
    <w:bookmarkEnd w:id="463"/>
    <w:bookmarkStart w:id="464" w:name="page-453-sūkta-11-rik-2"/>
    <w:p>
      <w:pPr>
        <w:pStyle w:val="Heading3"/>
      </w:pPr>
      <w:r>
        <w:t xml:space="preserve">Page 453 — Sūkta 11, Rik 2</w:t>
      </w:r>
    </w:p>
    <w:p>
      <w:pPr>
        <w:pStyle w:val="FirstParagraph"/>
      </w:pPr>
      <w:r>
        <w:rPr>
          <w:iCs/>
          <w:i/>
        </w:rPr>
        <w:t xml:space="preserve">(Saṃhitā accents as printed; Pada unaccented. Line 2: the stroke stands over ता of जेतारम् with a bar under the following र, as printed.)</w:t>
      </w:r>
    </w:p>
    <w:p>
      <w:pPr>
        <w:pStyle w:val="BodyText"/>
      </w:pPr>
      <w:r>
        <w:rPr>
          <w:bCs/>
          <w:b/>
        </w:rPr>
        <w:t xml:space="preserve">॥ Saṃhitā-pāṭhaḥ ॥</w:t>
      </w:r>
    </w:p>
    <w:p>
      <w:pPr>
        <w:pStyle w:val="BlockText"/>
      </w:pPr>
      <w:r>
        <w:t xml:space="preserve">स॒ख्ये त॑ इन्द्र वा॒जिनो॒ मा भे॑म शवसस्पते ।</w:t>
      </w:r>
      <w:r>
        <w:t xml:space="preserve"> </w:t>
      </w:r>
      <w:r>
        <w:t xml:space="preserve">त्वाम॒भि प्र णो॑नुमो॒ जेता॑र॒मप॑राजितम् ॥२॥</w:t>
      </w:r>
    </w:p>
    <w:p>
      <w:pPr>
        <w:pStyle w:val="BlockText"/>
      </w:pPr>
      <w:r>
        <w:rPr>
          <w:iCs/>
          <w:i/>
        </w:rPr>
        <w:t xml:space="preserve">sakhyé ta indra vājíno mā́ bhema śavasas pate |</w:t>
      </w:r>
      <w:r>
        <w:t xml:space="preserve"> </w:t>
      </w:r>
      <w:r>
        <w:rPr>
          <w:iCs/>
          <w:i/>
        </w:rPr>
        <w:t xml:space="preserve">tvām abhí prá ṇonumo jétāram áparājitam ||2||</w:t>
      </w:r>
    </w:p>
    <w:p>
      <w:pPr>
        <w:pStyle w:val="FirstParagraph"/>
      </w:pPr>
      <w:r>
        <w:rPr>
          <w:bCs/>
          <w:b/>
        </w:rPr>
        <w:t xml:space="preserve">॥ Pada-pāṭhaḥ ॥</w:t>
      </w:r>
    </w:p>
    <w:p>
      <w:pPr>
        <w:pStyle w:val="BlockText"/>
      </w:pPr>
      <w:r>
        <w:t xml:space="preserve">सख्ये । ते । इन्द्र । वाजिनः । मा । भेम । शवसः । पते ॥</w:t>
      </w:r>
      <w:r>
        <w:t xml:space="preserve"> </w:t>
      </w:r>
      <w:r>
        <w:t xml:space="preserve">त्वाम् । अभि । प्र । नोनुमः । जेतारम् । अपराऽजितम् ॥२॥</w:t>
      </w:r>
    </w:p>
    <w:p>
      <w:pPr>
        <w:pStyle w:val="BlockText"/>
      </w:pPr>
      <w:r>
        <w:rPr>
          <w:iCs/>
          <w:i/>
        </w:rPr>
        <w:t xml:space="preserve">sakhye | te | indra | vājinaḥ | mā | bhema | śavasaḥ | pate ||</w:t>
      </w:r>
      <w:r>
        <w:t xml:space="preserve"> </w:t>
      </w:r>
      <w:r>
        <w:rPr>
          <w:iCs/>
          <w:i/>
        </w:rPr>
        <w:t xml:space="preserve">tvām | abhi | pra | nonumaḥ | jetāram | aparā-jitam ||2||</w:t>
      </w:r>
    </w:p>
    <w:p>
      <w:pPr>
        <w:pStyle w:val="FirstParagraph"/>
      </w:pPr>
      <w:r>
        <w:rPr>
          <w:bCs/>
          <w:b/>
        </w:rPr>
        <w:t xml:space="preserve">॥ Sāyaṇa-bhāṣyam ॥</w:t>
      </w:r>
    </w:p>
    <w:p>
      <w:pPr>
        <w:pStyle w:val="BlockText"/>
      </w:pPr>
      <w:r>
        <w:t xml:space="preserve">हे शवसस्पते बलस्य पालकेन्द्र ते तव सख्ये ऽनुग्रहप्रयुक्ते सखित्वे वर्तमाना वयं वाजिनो ऽन्नवन्तो भूत्वा मा भेम । शत्रुभ्यो भीतिं प्राप्ता मा भूम । अतस्त्वामुभयहेतुमभि प्र णोनुमः । सर्वतः प्रकर्षेण स्तुमः । कीदृशं त्वाम् । जेतारं युद्धेषु जयशीलम् अपराजितं क्वापि पराजयरहितम् ॥ सख्ये । सख्युः कर्म सख्यम् । सख्युर्यः । पा. ५-१-१२६ । प्रत्ययस्वरः । वाजिनः । वाजो ऽन्नमेषामस्तीति वाजिनः । प्रत्ययस्वरः । भेम । ञिभी भये । लुङुत्तमबहुवचनं मस् । नित्यं ङितः । पा. ३-४-९९ । इति सलोपः । बहुलं छन्दसीति च्लेर्लुक् । छन्दस्युभयथेति तिङ आर्धधातुकत्वेन ङित्त्वाभावाद्गुणः । न माङ्योगे । पा. ६-४-७४ । इत्यडागमप्रतिषेधः । शवसस्पते । शवसः षष्ठ्याः पतिपुत्रपृष्ठपारपदपयस्पोषेषु । पा. ८-३-५३ । इति विसर्जनीयस्य संहितायां सत्वम् । सुबामन्त्रितपराङ्गवद्भावेन । पा. २-१-२ । पदद्वयनिघातः । नोनुमः । णु स्तुतौ । णो नः । पा. ६-१-६५ । इति नत्वम् । यङो लुक् । प्रत्ययलक्षणेन सन्यङोरिति द्विर्भावः । गुणो यङ्लुकोः । पा. ७-४-८२ । इत्यभ्यासस्य गुणः । प्रत्ययलक्षणेन धातुसंज्ञायां लटो मस् । अदादिवद्भावाच्छपो लुक् । उपसर्गादसमासे ऽपि णोपदेशस्य । पा. ८-४-१४ । इति संहितायां णत्वम् । जेतारम् । जि जये । ताच्छील्यादिषु तृन् । ञ्नित्यादिर्नित्यम् । पा. ६-१-१९७ । इत्याद्युदात्तत्वम् । अपराजितम् । अव्ययपूर्वपदप्रकृतिस्वरत्वेन नञ उदात्तत्वम् ॥</w:t>
      </w:r>
    </w:p>
    <w:p>
      <w:pPr>
        <w:pStyle w:val="BlockText"/>
      </w:pPr>
      <w:r>
        <w:rPr>
          <w:iCs/>
          <w:i/>
        </w:rPr>
        <w:t xml:space="preserve">he śavasaspate balasya pālakendra te tava sakhye ’nugrahaprayukte sakhitve vartamānā vayaṃ vājino ’nnavanto bhūtvā mā bhema | śatrubhyo bhītiṃ prāptā mā bhūma | atastvāmubhayahetumabhi pra ṇonumaḥ | sarvataḥ prakarṣeṇa stumaḥ | kīdṛśaṃ tvām | jetāraṃ yuddheṣu jayaśīlam aparājitaṃ kvāpi parājayarahitam || sakhye | sakhyuḥ karma sakhyam | sakhyuryaḥ | pā. 5-1-126 | pratyayasvaraḥ | vājinaḥ | vājo ’nnameṣāmastīti vājinaḥ | pratyayasvaraḥ | bhema | ñibhī bhaye | luṅuttamabahuvacanaṃ mas | nityaṃ ṅitaḥ | pā. 3-4-99 | iti salopaḥ | bahulaṃ chandasīti clerluk | chandasyubhayatheti tiṅa ārdhadhātukatvena ṅittvābhāvādguṇaḥ | na māṅyoge | pā. 6-4-74 | ityaḍāgamapratiṣedhaḥ | śavasaspate | śavasaḥ ṣaṣṭhyāḥ patiputrapṛṣṭhapārapadapayaspoṣeṣu | pā. 8-3-53 | iti visarjanīyasya saṃhitāyāṃ satvam | subāmantritaparāṅgavadbhāvena | pā. 2-1-2 | padadvayanighātaḥ | nonumaḥ | ṇu stutau | ṇo naḥ | pā. 6-1-65 | iti natvam | yaṅo luk | pratyayalakṣaṇena sanyaṅoriti dvirbhāvaḥ | guṇo yaṅlukoḥ | pā. 7-4-82 | ityabhyāsasya guṇaḥ | pratyayalakṣaṇena dhātusaṃjñāyāṃ laṭo mas | adādivadbhāvācchapo luk | upasargādasamāse ’pi ṇopadeśasya | pā. 8-4-14 | iti saṃhitāyāṃ ṇatvam | jetāram | ji jaye | tācchīlyādiṣu tṛn | ñnityādirnityam | pā. 6-1-197 | ityādyudāttatvam | aparājitam | avyayapūrvapadaprakṛtisvaratvena naña udāttatvam ||</w:t>
      </w:r>
    </w:p>
    <w:p>
      <w:pPr>
        <w:pStyle w:val="FirstParagraph"/>
      </w:pPr>
      <w:r>
        <w:rPr>
          <w:bCs/>
          <w:b/>
        </w:rPr>
        <w:t xml:space="preserve">Translation:</w:t>
      </w:r>
      <w:r>
        <w:t xml:space="preserve"> </w:t>
      </w:r>
      <w:r>
        <w:t xml:space="preserve">“</w:t>
      </w:r>
      <w:r>
        <w:t xml:space="preserve">O</w:t>
      </w:r>
      <w:r>
        <w:t xml:space="preserve"> </w:t>
      </w:r>
      <w:r>
        <w:rPr>
          <w:iCs/>
          <w:i/>
        </w:rPr>
        <w:t xml:space="preserve">śavasaspate</w:t>
      </w:r>
      <w:r>
        <w:t xml:space="preserve">, O Indra, protector of strength! We, abiding in your</w:t>
      </w:r>
      <w:r>
        <w:t xml:space="preserve"> </w:t>
      </w:r>
      <w:r>
        <w:rPr>
          <w:iCs/>
          <w:i/>
        </w:rPr>
        <w:t xml:space="preserve">sakhya</w:t>
      </w:r>
      <w:r>
        <w:t xml:space="preserve"> </w:t>
      </w:r>
      <w:r>
        <w:t xml:space="preserve">— friendship, born of your grace — being</w:t>
      </w:r>
      <w:r>
        <w:t xml:space="preserve"> </w:t>
      </w:r>
      <w:r>
        <w:rPr>
          <w:iCs/>
          <w:i/>
        </w:rPr>
        <w:t xml:space="preserve">vājinaḥ</w:t>
      </w:r>
      <w:r>
        <w:t xml:space="preserve">, possessed of food,</w:t>
      </w:r>
      <w:r>
        <w:t xml:space="preserve"> </w:t>
      </w:r>
      <w:r>
        <w:rPr>
          <w:iCs/>
          <w:i/>
        </w:rPr>
        <w:t xml:space="preserve">mā bhema</w:t>
      </w:r>
      <w:r>
        <w:t xml:space="preserve">: let us not be afraid; let us not be overcome by fear of enemies. Therefore</w:t>
      </w:r>
      <w:r>
        <w:t xml:space="preserve"> </w:t>
      </w:r>
      <w:r>
        <w:rPr>
          <w:iCs/>
          <w:i/>
        </w:rPr>
        <w:t xml:space="preserve">tvām</w:t>
      </w:r>
      <w:r>
        <w:t xml:space="preserve">, the cause of both,</w:t>
      </w:r>
      <w:r>
        <w:t xml:space="preserve"> </w:t>
      </w:r>
      <w:r>
        <w:rPr>
          <w:iCs/>
          <w:i/>
        </w:rPr>
        <w:t xml:space="preserve">abhi pra ṇonumaḥ</w:t>
      </w:r>
      <w:r>
        <w:t xml:space="preserve">: we praise everywhere and exceedingly. What kind of you?</w:t>
      </w:r>
      <w:r>
        <w:t xml:space="preserve"> </w:t>
      </w:r>
      <w:r>
        <w:rPr>
          <w:iCs/>
          <w:i/>
        </w:rPr>
        <w:t xml:space="preserve">Jetāram</w:t>
      </w:r>
      <w:r>
        <w:t xml:space="preserve"> </w:t>
      </w:r>
      <w:r>
        <w:t xml:space="preserve">— victorious in battles;</w:t>
      </w:r>
      <w:r>
        <w:t xml:space="preserve"> </w:t>
      </w:r>
      <w:r>
        <w:rPr>
          <w:iCs/>
          <w:i/>
        </w:rPr>
        <w:t xml:space="preserve">aparājitam</w:t>
      </w:r>
      <w:r>
        <w:t xml:space="preserve"> </w:t>
      </w:r>
      <w:r>
        <w:t xml:space="preserve">— never defeated anywhere.</w:t>
      </w:r>
      <w:r>
        <w:t xml:space="preserve">”</w:t>
      </w:r>
      <w:r>
        <w:t xml:space="preserve"> </w:t>
      </w:r>
      <w:r>
        <w:t xml:space="preserve">(Grammatical tail:</w:t>
      </w:r>
      <w:r>
        <w:t xml:space="preserve"> </w:t>
      </w:r>
      <w:r>
        <w:rPr>
          <w:iCs/>
          <w:i/>
        </w:rPr>
        <w:t xml:space="preserve">sakhyam</w:t>
      </w:r>
      <w:r>
        <w:t xml:space="preserve"> </w:t>
      </w:r>
      <w:r>
        <w:t xml:space="preserve">“</w:t>
      </w:r>
      <w:r>
        <w:t xml:space="preserve">the act of a friend</w:t>
      </w:r>
      <w:r>
        <w:t xml:space="preserve">”</w:t>
      </w:r>
      <w:r>
        <w:t xml:space="preserve"> </w:t>
      </w:r>
      <w:r>
        <w:t xml:space="preserve">with</w:t>
      </w:r>
      <w:r>
        <w:t xml:space="preserve"> </w:t>
      </w:r>
      <w:r>
        <w:rPr>
          <w:iCs/>
          <w:i/>
        </w:rPr>
        <w:t xml:space="preserve">ya</w:t>
      </w:r>
      <w:r>
        <w:t xml:space="preserve"> </w:t>
      </w:r>
      <w:r>
        <w:t xml:space="preserve">by</w:t>
      </w:r>
      <w:r>
        <w:t xml:space="preserve"> </w:t>
      </w:r>
      <w:r>
        <w:t xml:space="preserve">“</w:t>
      </w:r>
      <w:r>
        <w:t xml:space="preserve">sakhyur yaḥ</w:t>
      </w:r>
      <w:r>
        <w:t xml:space="preserve">”</w:t>
      </w:r>
      <w:r>
        <w:t xml:space="preserve"> </w:t>
      </w:r>
      <w:r>
        <w:t xml:space="preserve">(Pā. 5-1-126), suffix accent;</w:t>
      </w:r>
      <w:r>
        <w:t xml:space="preserve"> </w:t>
      </w:r>
      <w:r>
        <w:rPr>
          <w:iCs/>
          <w:i/>
        </w:rPr>
        <w:t xml:space="preserve">vājinaḥ</w:t>
      </w:r>
      <w:r>
        <w:t xml:space="preserve"> </w:t>
      </w:r>
      <w:r>
        <w:t xml:space="preserve">“</w:t>
      </w:r>
      <w:r>
        <w:t xml:space="preserve">those who have food,</w:t>
      </w:r>
      <w:r>
        <w:t xml:space="preserve">”</w:t>
      </w:r>
      <w:r>
        <w:t xml:space="preserve"> </w:t>
      </w:r>
      <w:r>
        <w:t xml:space="preserve">suffix accent;</w:t>
      </w:r>
      <w:r>
        <w:t xml:space="preserve"> </w:t>
      </w:r>
      <w:r>
        <w:rPr>
          <w:iCs/>
          <w:i/>
        </w:rPr>
        <w:t xml:space="preserve">bhema</w:t>
      </w:r>
      <w:r>
        <w:t xml:space="preserve">:</w:t>
      </w:r>
      <w:r>
        <w:t xml:space="preserve"> </w:t>
      </w:r>
      <w:r>
        <w:rPr>
          <w:iCs/>
          <w:i/>
        </w:rPr>
        <w:t xml:space="preserve">ñibhī bhaye</w:t>
      </w:r>
      <w:r>
        <w:t xml:space="preserve">,</w:t>
      </w:r>
      <w:r>
        <w:t xml:space="preserve"> </w:t>
      </w:r>
      <w:r>
        <w:rPr>
          <w:iCs/>
          <w:i/>
        </w:rPr>
        <w:t xml:space="preserve">luṅ</w:t>
      </w:r>
      <w:r>
        <w:t xml:space="preserve"> </w:t>
      </w:r>
      <w:r>
        <w:t xml:space="preserve">first plural</w:t>
      </w:r>
      <w:r>
        <w:t xml:space="preserve"> </w:t>
      </w:r>
      <w:r>
        <w:rPr>
          <w:iCs/>
          <w:i/>
        </w:rPr>
        <w:t xml:space="preserve">mas</w:t>
      </w:r>
      <w:r>
        <w:t xml:space="preserve">, its</w:t>
      </w:r>
      <w:r>
        <w:t xml:space="preserve"> </w:t>
      </w:r>
      <w:r>
        <w:rPr>
          <w:iCs/>
          <w:i/>
        </w:rPr>
        <w:t xml:space="preserve">s</w:t>
      </w:r>
      <w:r>
        <w:t xml:space="preserve"> </w:t>
      </w:r>
      <w:r>
        <w:t xml:space="preserve">dropped by</w:t>
      </w:r>
      <w:r>
        <w:t xml:space="preserve"> </w:t>
      </w:r>
      <w:r>
        <w:t xml:space="preserve">“</w:t>
      </w:r>
      <w:r>
        <w:t xml:space="preserve">nityaṃ ṅitaḥ</w:t>
      </w:r>
      <w:r>
        <w:t xml:space="preserve">”</w:t>
      </w:r>
      <w:r>
        <w:t xml:space="preserve"> </w:t>
      </w:r>
      <w:r>
        <w:t xml:space="preserve">(Pā. 3-4-99), the</w:t>
      </w:r>
      <w:r>
        <w:t xml:space="preserve"> </w:t>
      </w:r>
      <w:r>
        <w:rPr>
          <w:iCs/>
          <w:i/>
        </w:rPr>
        <w:t xml:space="preserve">cli</w:t>
      </w:r>
      <w:r>
        <w:t xml:space="preserve"> </w:t>
      </w:r>
      <w:r>
        <w:t xml:space="preserve">dropped by</w:t>
      </w:r>
      <w:r>
        <w:t xml:space="preserve"> </w:t>
      </w:r>
      <w:r>
        <w:t xml:space="preserve">“</w:t>
      </w:r>
      <w:r>
        <w:t xml:space="preserve">bahulaṃ chandasi</w:t>
      </w:r>
      <w:r>
        <w:t xml:space="preserve">”</w:t>
      </w:r>
      <w:r>
        <w:t xml:space="preserve">, and since</w:t>
      </w:r>
      <w:r>
        <w:t xml:space="preserve"> </w:t>
      </w:r>
      <w:r>
        <w:t xml:space="preserve">“</w:t>
      </w:r>
      <w:r>
        <w:t xml:space="preserve">chandasy ubhayathā</w:t>
      </w:r>
      <w:r>
        <w:t xml:space="preserve">”</w:t>
      </w:r>
      <w:r>
        <w:t xml:space="preserve"> </w:t>
      </w:r>
      <w:r>
        <w:t xml:space="preserve">makes the ending</w:t>
      </w:r>
      <w:r>
        <w:t xml:space="preserve"> </w:t>
      </w:r>
      <w:r>
        <w:rPr>
          <w:iCs/>
          <w:i/>
        </w:rPr>
        <w:t xml:space="preserve">ārdhadhātuka</w:t>
      </w:r>
      <w:r>
        <w:t xml:space="preserve">, it is not</w:t>
      </w:r>
      <w:r>
        <w:t xml:space="preserve"> </w:t>
      </w:r>
      <w:r>
        <w:rPr>
          <w:iCs/>
          <w:i/>
        </w:rPr>
        <w:t xml:space="preserve">ṅit</w:t>
      </w:r>
      <w:r>
        <w:t xml:space="preserve">, so</w:t>
      </w:r>
      <w:r>
        <w:t xml:space="preserve"> </w:t>
      </w:r>
      <w:r>
        <w:rPr>
          <w:iCs/>
          <w:i/>
        </w:rPr>
        <w:t xml:space="preserve">guṇa</w:t>
      </w:r>
      <w:r>
        <w:t xml:space="preserve">; the augment</w:t>
      </w:r>
      <w:r>
        <w:t xml:space="preserve"> </w:t>
      </w:r>
      <w:r>
        <w:rPr>
          <w:iCs/>
          <w:i/>
        </w:rPr>
        <w:t xml:space="preserve">aṭ</w:t>
      </w:r>
      <w:r>
        <w:t xml:space="preserve"> </w:t>
      </w:r>
      <w:r>
        <w:t xml:space="preserve">barred by</w:t>
      </w:r>
      <w:r>
        <w:t xml:space="preserve"> </w:t>
      </w:r>
      <w:r>
        <w:t xml:space="preserve">“</w:t>
      </w:r>
      <w:r>
        <w:t xml:space="preserve">na māṅyoge</w:t>
      </w:r>
      <w:r>
        <w:t xml:space="preserve">”</w:t>
      </w:r>
      <w:r>
        <w:t xml:space="preserve"> </w:t>
      </w:r>
      <w:r>
        <w:t xml:space="preserve">(Pā. 6-4-74);</w:t>
      </w:r>
      <w:r>
        <w:t xml:space="preserve"> </w:t>
      </w:r>
      <w:r>
        <w:rPr>
          <w:iCs/>
          <w:i/>
        </w:rPr>
        <w:t xml:space="preserve">śavasaspate</w:t>
      </w:r>
      <w:r>
        <w:t xml:space="preserve">: the visarga becomes</w:t>
      </w:r>
      <w:r>
        <w:t xml:space="preserve"> </w:t>
      </w:r>
      <w:r>
        <w:rPr>
          <w:iCs/>
          <w:i/>
        </w:rPr>
        <w:t xml:space="preserve">s</w:t>
      </w:r>
      <w:r>
        <w:t xml:space="preserve"> </w:t>
      </w:r>
      <w:r>
        <w:t xml:space="preserve">in the Saṃhitā by Pā. 8-3-53, and both words lose their accent, the genitive being treated as part of the vocative (Pā. 2-1-2);</w:t>
      </w:r>
      <w:r>
        <w:t xml:space="preserve"> </w:t>
      </w:r>
      <w:r>
        <w:rPr>
          <w:iCs/>
          <w:i/>
        </w:rPr>
        <w:t xml:space="preserve">nonumaḥ</w:t>
      </w:r>
      <w:r>
        <w:t xml:space="preserve">:</w:t>
      </w:r>
      <w:r>
        <w:t xml:space="preserve"> </w:t>
      </w:r>
      <w:r>
        <w:rPr>
          <w:iCs/>
          <w:i/>
        </w:rPr>
        <w:t xml:space="preserve">ṇu stutau</w:t>
      </w:r>
      <w:r>
        <w:t xml:space="preserve">,</w:t>
      </w:r>
      <w:r>
        <w:t xml:space="preserve"> </w:t>
      </w:r>
      <w:r>
        <w:rPr>
          <w:iCs/>
          <w:i/>
        </w:rPr>
        <w:t xml:space="preserve">n</w:t>
      </w:r>
      <w:r>
        <w:t xml:space="preserve"> </w:t>
      </w:r>
      <w:r>
        <w:t xml:space="preserve">by</w:t>
      </w:r>
      <w:r>
        <w:t xml:space="preserve"> </w:t>
      </w:r>
      <w:r>
        <w:t xml:space="preserve">“</w:t>
      </w:r>
      <w:r>
        <w:t xml:space="preserve">ṇo naḥ</w:t>
      </w:r>
      <w:r>
        <w:t xml:space="preserve">”</w:t>
      </w:r>
      <w:r>
        <w:t xml:space="preserve"> </w:t>
      </w:r>
      <w:r>
        <w:t xml:space="preserve">(Pā. 6-1-65),</w:t>
      </w:r>
      <w:r>
        <w:t xml:space="preserve"> </w:t>
      </w:r>
      <w:r>
        <w:rPr>
          <w:iCs/>
          <w:i/>
        </w:rPr>
        <w:t xml:space="preserve">yaṅ</w:t>
      </w:r>
      <w:r>
        <w:t xml:space="preserve">-</w:t>
      </w:r>
      <w:r>
        <w:rPr>
          <w:iCs/>
          <w:i/>
        </w:rPr>
        <w:t xml:space="preserve">luk</w:t>
      </w:r>
      <w:r>
        <w:t xml:space="preserve">, doubling,</w:t>
      </w:r>
      <w:r>
        <w:t xml:space="preserve"> </w:t>
      </w:r>
      <w:r>
        <w:rPr>
          <w:iCs/>
          <w:i/>
        </w:rPr>
        <w:t xml:space="preserve">guṇa</w:t>
      </w:r>
      <w:r>
        <w:t xml:space="preserve"> </w:t>
      </w:r>
      <w:r>
        <w:t xml:space="preserve">of the reduplicate by</w:t>
      </w:r>
      <w:r>
        <w:t xml:space="preserve"> </w:t>
      </w:r>
      <w:r>
        <w:t xml:space="preserve">“</w:t>
      </w:r>
      <w:r>
        <w:t xml:space="preserve">guṇo yaṅlukoḥ</w:t>
      </w:r>
      <w:r>
        <w:t xml:space="preserve">”</w:t>
      </w:r>
      <w:r>
        <w:t xml:space="preserve"> </w:t>
      </w:r>
      <w:r>
        <w:t xml:space="preserve">(Pā. 7-4-82),</w:t>
      </w:r>
      <w:r>
        <w:t xml:space="preserve"> </w:t>
      </w:r>
      <w:r>
        <w:rPr>
          <w:iCs/>
          <w:i/>
        </w:rPr>
        <w:t xml:space="preserve">laṭ</w:t>
      </w:r>
      <w:r>
        <w:t xml:space="preserve"> </w:t>
      </w:r>
      <w:r>
        <w:rPr>
          <w:iCs/>
          <w:i/>
        </w:rPr>
        <w:t xml:space="preserve">mas</w:t>
      </w:r>
      <w:r>
        <w:t xml:space="preserve">,</w:t>
      </w:r>
      <w:r>
        <w:t xml:space="preserve"> </w:t>
      </w:r>
      <w:r>
        <w:rPr>
          <w:iCs/>
          <w:i/>
        </w:rPr>
        <w:t xml:space="preserve">śap</w:t>
      </w:r>
      <w:r>
        <w:t xml:space="preserve"> </w:t>
      </w:r>
      <w:r>
        <w:t xml:space="preserve">dropped as in the</w:t>
      </w:r>
      <w:r>
        <w:t xml:space="preserve"> </w:t>
      </w:r>
      <w:r>
        <w:rPr>
          <w:iCs/>
          <w:i/>
        </w:rPr>
        <w:t xml:space="preserve">adādi</w:t>
      </w:r>
      <w:r>
        <w:t xml:space="preserve"> </w:t>
      </w:r>
      <w:r>
        <w:t xml:space="preserve">class, and</w:t>
      </w:r>
      <w:r>
        <w:t xml:space="preserve"> </w:t>
      </w:r>
      <w:r>
        <w:rPr>
          <w:iCs/>
          <w:i/>
        </w:rPr>
        <w:t xml:space="preserve">ṇ</w:t>
      </w:r>
      <w:r>
        <w:t xml:space="preserve"> </w:t>
      </w:r>
      <w:r>
        <w:t xml:space="preserve">in the Saṃhitā after</w:t>
      </w:r>
      <w:r>
        <w:t xml:space="preserve"> </w:t>
      </w:r>
      <w:r>
        <w:rPr>
          <w:iCs/>
          <w:i/>
        </w:rPr>
        <w:t xml:space="preserve">pra</w:t>
      </w:r>
      <w:r>
        <w:t xml:space="preserve"> </w:t>
      </w:r>
      <w:r>
        <w:t xml:space="preserve">by Pā. 8-4-14;</w:t>
      </w:r>
      <w:r>
        <w:t xml:space="preserve"> </w:t>
      </w:r>
      <w:r>
        <w:rPr>
          <w:iCs/>
          <w:i/>
        </w:rPr>
        <w:t xml:space="preserve">jetāram</w:t>
      </w:r>
      <w:r>
        <w:t xml:space="preserve">:</w:t>
      </w:r>
      <w:r>
        <w:t xml:space="preserve"> </w:t>
      </w:r>
      <w:r>
        <w:rPr>
          <w:iCs/>
          <w:i/>
        </w:rPr>
        <w:t xml:space="preserve">ji jaye</w:t>
      </w:r>
      <w:r>
        <w:t xml:space="preserve"> </w:t>
      </w:r>
      <w:r>
        <w:t xml:space="preserve">with</w:t>
      </w:r>
      <w:r>
        <w:t xml:space="preserve"> </w:t>
      </w:r>
      <w:r>
        <w:rPr>
          <w:iCs/>
          <w:i/>
        </w:rPr>
        <w:t xml:space="preserve">tṛn</w:t>
      </w:r>
      <w:r>
        <w:t xml:space="preserve"> </w:t>
      </w:r>
      <w:r>
        <w:t xml:space="preserve">in the sense of habit, initial-udātta by</w:t>
      </w:r>
      <w:r>
        <w:t xml:space="preserve"> </w:t>
      </w:r>
      <w:r>
        <w:t xml:space="preserve">“</w:t>
      </w:r>
      <w:r>
        <w:t xml:space="preserve">ñnityādir nityam</w:t>
      </w:r>
      <w:r>
        <w:t xml:space="preserve">”</w:t>
      </w:r>
      <w:r>
        <w:t xml:space="preserve"> </w:t>
      </w:r>
      <w:r>
        <w:t xml:space="preserve">(Pā. 6-1-197);</w:t>
      </w:r>
      <w:r>
        <w:t xml:space="preserve"> </w:t>
      </w:r>
      <w:r>
        <w:rPr>
          <w:iCs/>
          <w:i/>
        </w:rPr>
        <w:t xml:space="preserve">aparājitam</w:t>
      </w:r>
      <w:r>
        <w:t xml:space="preserve">:</w:t>
      </w:r>
      <w:r>
        <w:t xml:space="preserve"> </w:t>
      </w:r>
      <w:r>
        <w:rPr>
          <w:iCs/>
          <w:i/>
        </w:rPr>
        <w:t xml:space="preserve">nañ</w:t>
      </w:r>
      <w:r>
        <w:t xml:space="preserve"> </w:t>
      </w:r>
      <w:r>
        <w:t xml:space="preserve">udātta as the indeclinable first member.)</w:t>
      </w:r>
    </w:p>
    <w:bookmarkEnd w:id="464"/>
    <w:bookmarkStart w:id="465" w:name="X65c209cacfeee8671be0220333f1007a71b1cce"/>
    <w:p>
      <w:pPr>
        <w:pStyle w:val="Heading3"/>
      </w:pPr>
      <w:r>
        <w:t xml:space="preserve">Page 454 — Rik 2: word-meanings, overall sense, English, Special Topics</w:t>
      </w:r>
    </w:p>
    <w:p>
      <w:pPr>
        <w:pStyle w:val="FirstParagraph"/>
      </w:pPr>
      <w:r>
        <w:rPr>
          <w:bCs/>
          <w:b/>
        </w:rPr>
        <w:t xml:space="preserve">॥ Prati-padārthaḥ ॥</w:t>
      </w:r>
    </w:p>
    <w:p>
      <w:pPr>
        <w:pStyle w:val="BodyText"/>
      </w:pPr>
      <w:r>
        <w:rPr>
          <w:bCs/>
          <w:b/>
        </w:rPr>
        <w:t xml:space="preserve">(हे) शवसस्पते ((he) śavasaspate)</w:t>
      </w:r>
      <w:r>
        <w:t xml:space="preserve"> </w:t>
      </w:r>
      <w:r>
        <w:t xml:space="preserve">— O Indra, lord of strength and capacity (that is, O one of great strength) |</w:t>
      </w:r>
      <w:r>
        <w:t xml:space="preserve"> </w:t>
      </w:r>
      <w:r>
        <w:rPr>
          <w:bCs/>
          <w:b/>
        </w:rPr>
        <w:t xml:space="preserve">ते (te)</w:t>
      </w:r>
      <w:r>
        <w:t xml:space="preserve"> </w:t>
      </w:r>
      <w:r>
        <w:t xml:space="preserve">— your |</w:t>
      </w:r>
      <w:r>
        <w:t xml:space="preserve"> </w:t>
      </w:r>
      <w:r>
        <w:rPr>
          <w:bCs/>
          <w:b/>
        </w:rPr>
        <w:t xml:space="preserve">सख्ये (sakhye)</w:t>
      </w:r>
      <w:r>
        <w:t xml:space="preserve"> </w:t>
      </w:r>
      <w:r>
        <w:t xml:space="preserve">— in friendship that is joined with favour (we who abide) |</w:t>
      </w:r>
      <w:r>
        <w:t xml:space="preserve"> </w:t>
      </w:r>
      <w:r>
        <w:rPr>
          <w:bCs/>
          <w:b/>
        </w:rPr>
        <w:t xml:space="preserve">वाजिनः (vājinaḥ)</w:t>
      </w:r>
      <w:r>
        <w:t xml:space="preserve"> </w:t>
      </w:r>
      <w:r>
        <w:t xml:space="preserve">— being possessed of food and other nourishment |</w:t>
      </w:r>
      <w:r>
        <w:t xml:space="preserve"> </w:t>
      </w:r>
      <w:r>
        <w:rPr>
          <w:bCs/>
          <w:b/>
        </w:rPr>
        <w:t xml:space="preserve">मा भेम (mā bhema)</w:t>
      </w:r>
      <w:r>
        <w:t xml:space="preserve"> </w:t>
      </w:r>
      <w:r>
        <w:t xml:space="preserve">— we do not fear (enemies);</w:t>
      </w:r>
      <w:r>
        <w:t xml:space="preserve"> </w:t>
      </w:r>
      <w:r>
        <w:rPr>
          <w:iCs/>
          <w:i/>
        </w:rPr>
        <w:t xml:space="preserve">(for that very reason)</w:t>
      </w:r>
      <w:r>
        <w:t xml:space="preserve"> </w:t>
      </w:r>
      <w:r>
        <w:t xml:space="preserve">|</w:t>
      </w:r>
      <w:r>
        <w:t xml:space="preserve"> </w:t>
      </w:r>
      <w:r>
        <w:rPr>
          <w:bCs/>
          <w:b/>
        </w:rPr>
        <w:t xml:space="preserve">जेतारम् (jetāram)</w:t>
      </w:r>
      <w:r>
        <w:t xml:space="preserve"> </w:t>
      </w:r>
      <w:r>
        <w:t xml:space="preserve">— who conquers in battles |</w:t>
      </w:r>
      <w:r>
        <w:t xml:space="preserve"> </w:t>
      </w:r>
      <w:r>
        <w:rPr>
          <w:bCs/>
          <w:b/>
        </w:rPr>
        <w:t xml:space="preserve">अपराजितम् (aparājitam)</w:t>
      </w:r>
      <w:r>
        <w:t xml:space="preserve"> </w:t>
      </w:r>
      <w:r>
        <w:t xml:space="preserve">— never defeated |</w:t>
      </w:r>
      <w:r>
        <w:t xml:space="preserve"> </w:t>
      </w:r>
      <w:r>
        <w:rPr>
          <w:bCs/>
          <w:b/>
        </w:rPr>
        <w:t xml:space="preserve">त्वाम् (tvām)</w:t>
      </w:r>
      <w:r>
        <w:t xml:space="preserve"> </w:t>
      </w:r>
      <w:r>
        <w:t xml:space="preserve">— you |</w:t>
      </w:r>
      <w:r>
        <w:t xml:space="preserve"> </w:t>
      </w:r>
      <w:r>
        <w:rPr>
          <w:bCs/>
          <w:b/>
        </w:rPr>
        <w:t xml:space="preserve">अभि प्र णोनुमः (abhi pra ṇonumaḥ)</w:t>
      </w:r>
      <w:r>
        <w:t xml:space="preserve"> </w:t>
      </w:r>
      <w:r>
        <w:t xml:space="preserve">— we praise in all places, specially.</w:t>
      </w:r>
    </w:p>
    <w:p>
      <w:pPr>
        <w:pStyle w:val="BodyText"/>
      </w:pPr>
      <w:r>
        <w:rPr>
          <w:bCs/>
          <w:b/>
        </w:rPr>
        <w:t xml:space="preserve">॥ Bhāvārthaḥ ॥</w:t>
      </w:r>
    </w:p>
    <w:p>
      <w:pPr>
        <w:pStyle w:val="BodyText"/>
      </w:pPr>
      <w:r>
        <w:t xml:space="preserve">O Indra! You are the lord of strength and capacity — that is, of great might. Because we are in friendship with you, we do not lack food and other nourishment, and so we need not fear enemies on any account. And you are ever victorious in battle; there is no such thing as defeat for you. We praise you, such as you are, specially.</w:t>
      </w:r>
    </w:p>
    <w:p>
      <w:pPr>
        <w:pStyle w:val="BodyText"/>
      </w:pPr>
      <w:r>
        <w:rPr>
          <w:bCs/>
          <w:b/>
        </w:rPr>
        <w:t xml:space="preserve">॥ English Translation ॥</w:t>
      </w:r>
      <w:r>
        <w:t xml:space="preserve"> </w:t>
      </w:r>
      <w:r>
        <w:rPr>
          <w:iCs/>
          <w:i/>
        </w:rPr>
        <w:t xml:space="preserve">(as printed in the source)</w:t>
      </w:r>
    </w:p>
    <w:p>
      <w:pPr>
        <w:pStyle w:val="BlockText"/>
      </w:pPr>
      <w:r>
        <w:t xml:space="preserve">O Indra, lord of strength, supported by your friendship, we have no fear but glorify you the conqueror and the unoonquered [sic].</w:t>
      </w:r>
    </w:p>
    <w:p>
      <w:pPr>
        <w:pStyle w:val="FirstParagraph"/>
      </w:pPr>
      <w:r>
        <w:rPr>
          <w:bCs/>
          <w:b/>
        </w:rPr>
        <w:t xml:space="preserve">॥ Viśeṣa-viṣayagaḷu (Special Topics) ॥</w:t>
      </w:r>
    </w:p>
    <w:p>
      <w:pPr>
        <w:pStyle w:val="BodyText"/>
      </w:pPr>
      <w:r>
        <w:rPr>
          <w:bCs/>
          <w:b/>
        </w:rPr>
        <w:t xml:space="preserve">“</w:t>
      </w:r>
      <w:r>
        <w:rPr>
          <w:bCs/>
          <w:b/>
        </w:rPr>
        <w:t xml:space="preserve">Sakhye</w:t>
      </w:r>
      <w:r>
        <w:rPr>
          <w:bCs/>
          <w:b/>
        </w:rPr>
        <w:t xml:space="preserve">”</w:t>
      </w:r>
      <w:r>
        <w:t xml:space="preserve"> </w:t>
      </w:r>
      <w:r>
        <w:t xml:space="preserve">—</w:t>
      </w:r>
      <w:r>
        <w:t xml:space="preserve"> </w:t>
      </w:r>
      <w:r>
        <w:rPr>
          <w:bCs/>
          <w:b/>
        </w:rPr>
        <w:t xml:space="preserve">अनुग्राहकयुक्ते सखित्वे</w:t>
      </w:r>
      <w:r>
        <w:t xml:space="preserve"> </w:t>
      </w:r>
      <w:r>
        <w:t xml:space="preserve">(</w:t>
      </w:r>
      <w:r>
        <w:rPr>
          <w:iCs/>
          <w:i/>
        </w:rPr>
        <w:t xml:space="preserve">anugrāhaka-yukte sakhitve</w:t>
      </w:r>
      <w:r>
        <w:t xml:space="preserve">) —</w:t>
      </w:r>
      <w:r>
        <w:t xml:space="preserve"> </w:t>
      </w:r>
      <w:r>
        <w:t xml:space="preserve">“</w:t>
      </w:r>
      <w:r>
        <w:t xml:space="preserve">in friendship joined with favour</w:t>
      </w:r>
      <w:r>
        <w:t xml:space="preserve">”</w:t>
      </w:r>
      <w:r>
        <w:t xml:space="preserve">: the state of friendship that is accompanied by [your] graciousness — your protection. Since you are in friendship with us, we have no fear of enemies; there is no lack of food and the like; you are the one who is victorious in battle and never defeated; so we praise you. That is the chief idea. In this rik there are no difficult words and no strained connections of meaning.</w:t>
      </w:r>
    </w:p>
    <w:p>
      <w:pPr>
        <w:pStyle w:val="BodyText"/>
      </w:pPr>
      <w:r>
        <w:rPr>
          <w:bCs/>
          <w:b/>
        </w:rPr>
        <w:t xml:space="preserve">॥ Vyākaraṇa-prakriyā ॥</w:t>
      </w:r>
      <w:r>
        <w:t xml:space="preserve"> </w:t>
      </w:r>
      <w:r>
        <w:rPr>
          <w:iCs/>
          <w:i/>
        </w:rPr>
        <w:t xml:space="preserve">(grammar pages 454–456, noted briefly; numbers checked against the print)</w:t>
      </w:r>
    </w:p>
    <w:p>
      <w:pPr>
        <w:pStyle w:val="BodyText"/>
      </w:pPr>
      <w:r>
        <w:rPr>
          <w:bCs/>
          <w:b/>
        </w:rPr>
        <w:t xml:space="preserve">सख्ये (</w:t>
      </w:r>
      <w:r>
        <w:rPr>
          <w:iCs/>
          <w:i/>
          <w:bCs/>
          <w:b/>
        </w:rPr>
        <w:t xml:space="preserve">sakhye</w:t>
      </w:r>
      <w:r>
        <w:rPr>
          <w:bCs/>
          <w:b/>
        </w:rPr>
        <w:t xml:space="preserve">)</w:t>
      </w:r>
      <w:r>
        <w:t xml:space="preserve"> </w:t>
      </w:r>
      <w:r>
        <w:t xml:space="preserve">— after</w:t>
      </w:r>
      <w:r>
        <w:t xml:space="preserve"> </w:t>
      </w:r>
      <w:r>
        <w:rPr>
          <w:iCs/>
          <w:i/>
        </w:rPr>
        <w:t xml:space="preserve">sakhi</w:t>
      </w:r>
      <w:r>
        <w:t xml:space="preserve">, the suffix</w:t>
      </w:r>
      <w:r>
        <w:t xml:space="preserve"> </w:t>
      </w:r>
      <w:r>
        <w:rPr>
          <w:iCs/>
          <w:i/>
        </w:rPr>
        <w:t xml:space="preserve">yat</w:t>
      </w:r>
      <w:r>
        <w:t xml:space="preserve"> </w:t>
      </w:r>
      <w:r>
        <w:t xml:space="preserve">in the sense of</w:t>
      </w:r>
      <w:r>
        <w:t xml:space="preserve"> </w:t>
      </w:r>
      <w:r>
        <w:t xml:space="preserve">“</w:t>
      </w:r>
      <w:r>
        <w:t xml:space="preserve">act</w:t>
      </w:r>
      <w:r>
        <w:t xml:space="preserve">”</w:t>
      </w:r>
      <w:r>
        <w:t xml:space="preserve"> </w:t>
      </w:r>
      <w:r>
        <w:t xml:space="preserve">by</w:t>
      </w:r>
      <w:r>
        <w:t xml:space="preserve"> </w:t>
      </w:r>
      <w:r>
        <w:t xml:space="preserve">“</w:t>
      </w:r>
      <w:r>
        <w:t xml:space="preserve">sakhyur yaḥ</w:t>
      </w:r>
      <w:r>
        <w:t xml:space="preserve">”</w:t>
      </w:r>
      <w:r>
        <w:t xml:space="preserve"> </w:t>
      </w:r>
      <w:r>
        <w:t xml:space="preserve">(Pā. 5-1-126); the</w:t>
      </w:r>
      <w:r>
        <w:t xml:space="preserve"> </w:t>
      </w:r>
      <w:r>
        <w:rPr>
          <w:iCs/>
          <w:i/>
        </w:rPr>
        <w:t xml:space="preserve">i</w:t>
      </w:r>
      <w:r>
        <w:t xml:space="preserve"> </w:t>
      </w:r>
      <w:r>
        <w:t xml:space="preserve">dropped by</w:t>
      </w:r>
      <w:r>
        <w:t xml:space="preserve"> </w:t>
      </w:r>
      <w:r>
        <w:t xml:space="preserve">“</w:t>
      </w:r>
      <w:r>
        <w:t xml:space="preserve">yasyeti ca</w:t>
      </w:r>
      <w:r>
        <w:t xml:space="preserve">”</w:t>
      </w:r>
      <w:r>
        <w:t xml:space="preserve">; the suffix accent puts the udātta on</w:t>
      </w:r>
      <w:r>
        <w:t xml:space="preserve"> </w:t>
      </w:r>
      <w:r>
        <w:rPr>
          <w:iCs/>
          <w:i/>
        </w:rPr>
        <w:t xml:space="preserve">ya</w:t>
      </w:r>
      <w:r>
        <w:t xml:space="preserve">.</w:t>
      </w:r>
      <w:r>
        <w:t xml:space="preserve"> </w:t>
      </w:r>
      <w:r>
        <w:rPr>
          <w:bCs/>
          <w:b/>
        </w:rPr>
        <w:t xml:space="preserve">वाजिनः (</w:t>
      </w:r>
      <w:r>
        <w:rPr>
          <w:iCs/>
          <w:i/>
          <w:bCs/>
          <w:b/>
        </w:rPr>
        <w:t xml:space="preserve">vājinaḥ</w:t>
      </w:r>
      <w:r>
        <w:rPr>
          <w:bCs/>
          <w:b/>
        </w:rPr>
        <w:t xml:space="preserve">)</w:t>
      </w:r>
      <w:r>
        <w:t xml:space="preserve"> </w:t>
      </w:r>
      <w:r>
        <w:t xml:space="preserve">—</w:t>
      </w:r>
      <w:r>
        <w:t xml:space="preserve"> </w:t>
      </w:r>
      <w:r>
        <w:rPr>
          <w:iCs/>
          <w:i/>
        </w:rPr>
        <w:t xml:space="preserve">vāja</w:t>
      </w:r>
      <w:r>
        <w:t xml:space="preserve"> </w:t>
      </w:r>
      <w:r>
        <w:t xml:space="preserve">means food;</w:t>
      </w:r>
      <w:r>
        <w:t xml:space="preserve"> </w:t>
      </w:r>
      <w:r>
        <w:t xml:space="preserve">“</w:t>
      </w:r>
      <w:r>
        <w:t xml:space="preserve">vājo ’eṣām asti</w:t>
      </w:r>
      <w:r>
        <w:t xml:space="preserve">”</w:t>
      </w:r>
      <w:r>
        <w:t xml:space="preserve">:</w:t>
      </w:r>
      <w:r>
        <w:t xml:space="preserve"> </w:t>
      </w:r>
      <w:r>
        <w:rPr>
          <w:iCs/>
          <w:i/>
        </w:rPr>
        <w:t xml:space="preserve">ini</w:t>
      </w:r>
      <w:r>
        <w:t xml:space="preserve"> </w:t>
      </w:r>
      <w:r>
        <w:t xml:space="preserve">by</w:t>
      </w:r>
      <w:r>
        <w:t xml:space="preserve"> </w:t>
      </w:r>
      <w:r>
        <w:t xml:space="preserve">“</w:t>
      </w:r>
      <w:r>
        <w:t xml:space="preserve">ata ini-ṭhanau</w:t>
      </w:r>
      <w:r>
        <w:t xml:space="preserve">”</w:t>
      </w:r>
      <w:r>
        <w:t xml:space="preserve"> </w:t>
      </w:r>
      <w:r>
        <w:t xml:space="preserve">(Pā. 5-2-115); the</w:t>
      </w:r>
      <w:r>
        <w:t xml:space="preserve"> </w:t>
      </w:r>
      <w:r>
        <w:rPr>
          <w:iCs/>
          <w:i/>
        </w:rPr>
        <w:t xml:space="preserve">a</w:t>
      </w:r>
      <w:r>
        <w:t xml:space="preserve"> </w:t>
      </w:r>
      <w:r>
        <w:t xml:space="preserve">dropped; the suffix accent.</w:t>
      </w:r>
      <w:r>
        <w:t xml:space="preserve"> </w:t>
      </w:r>
      <w:r>
        <w:rPr>
          <w:iCs/>
          <w:i/>
        </w:rPr>
        <w:t xml:space="preserve">(The grammar continues on p. 455.)</w:t>
      </w:r>
    </w:p>
    <w:bookmarkEnd w:id="465"/>
    <w:bookmarkStart w:id="466" w:name="Xdef9249e3030e1e8b6a87dece7c26435fcbc13d"/>
    <w:p>
      <w:pPr>
        <w:pStyle w:val="Heading3"/>
      </w:pPr>
      <w:r>
        <w:t xml:space="preserve">Page 455 — Rik 2 grammar continued (to the top of p. 456)</w:t>
      </w:r>
    </w:p>
    <w:p>
      <w:pPr>
        <w:pStyle w:val="FirstParagraph"/>
      </w:pPr>
      <w:r>
        <w:rPr>
          <w:bCs/>
          <w:b/>
        </w:rPr>
        <w:t xml:space="preserve">॥ Vyākaraṇa-prakriyā ॥</w:t>
      </w:r>
      <w:r>
        <w:t xml:space="preserve"> </w:t>
      </w:r>
      <w:r>
        <w:rPr>
          <w:iCs/>
          <w:i/>
        </w:rPr>
        <w:t xml:space="preserve">(grammar page, noted briefly; numbers checked against the print)</w:t>
      </w:r>
    </w:p>
    <w:p>
      <w:pPr>
        <w:pStyle w:val="BodyText"/>
      </w:pPr>
      <w:r>
        <w:rPr>
          <w:bCs/>
          <w:b/>
        </w:rPr>
        <w:t xml:space="preserve">भेम (</w:t>
      </w:r>
      <w:r>
        <w:rPr>
          <w:iCs/>
          <w:i/>
          <w:bCs/>
          <w:b/>
        </w:rPr>
        <w:t xml:space="preserve">bhema</w:t>
      </w:r>
      <w:r>
        <w:rPr>
          <w:bCs/>
          <w:b/>
        </w:rPr>
        <w:t xml:space="preserve">)</w:t>
      </w:r>
      <w:r>
        <w:t xml:space="preserve"> </w:t>
      </w:r>
      <w:r>
        <w:t xml:space="preserve">— root</w:t>
      </w:r>
      <w:r>
        <w:t xml:space="preserve"> </w:t>
      </w:r>
      <w:r>
        <w:rPr>
          <w:iCs/>
          <w:i/>
        </w:rPr>
        <w:t xml:space="preserve">ñibhī bhaye</w:t>
      </w:r>
      <w:r>
        <w:t xml:space="preserve">;</w:t>
      </w:r>
      <w:r>
        <w:t xml:space="preserve"> </w:t>
      </w:r>
      <w:r>
        <w:rPr>
          <w:iCs/>
          <w:i/>
        </w:rPr>
        <w:t xml:space="preserve">luṅ</w:t>
      </w:r>
      <w:r>
        <w:t xml:space="preserve">, in its place the first-person plural</w:t>
      </w:r>
      <w:r>
        <w:t xml:space="preserve"> </w:t>
      </w:r>
      <w:r>
        <w:rPr>
          <w:iCs/>
          <w:i/>
        </w:rPr>
        <w:t xml:space="preserve">mas</w:t>
      </w:r>
      <w:r>
        <w:t xml:space="preserve">; the</w:t>
      </w:r>
      <w:r>
        <w:t xml:space="preserve"> </w:t>
      </w:r>
      <w:r>
        <w:rPr>
          <w:iCs/>
          <w:i/>
        </w:rPr>
        <w:t xml:space="preserve">s</w:t>
      </w:r>
      <w:r>
        <w:t xml:space="preserve"> </w:t>
      </w:r>
      <w:r>
        <w:t xml:space="preserve">dropped by</w:t>
      </w:r>
      <w:r>
        <w:t xml:space="preserve"> </w:t>
      </w:r>
      <w:r>
        <w:t xml:space="preserve">“</w:t>
      </w:r>
      <w:r>
        <w:t xml:space="preserve">nityaṃ ṅitaḥ</w:t>
      </w:r>
      <w:r>
        <w:t xml:space="preserve">”</w:t>
      </w:r>
      <w:r>
        <w:t xml:space="preserve"> </w:t>
      </w:r>
      <w:r>
        <w:t xml:space="preserve">(Pā. 3-4-99); the</w:t>
      </w:r>
      <w:r>
        <w:t xml:space="preserve"> </w:t>
      </w:r>
      <w:r>
        <w:rPr>
          <w:iCs/>
          <w:i/>
        </w:rPr>
        <w:t xml:space="preserve">cli</w:t>
      </w:r>
      <w:r>
        <w:t xml:space="preserve"> </w:t>
      </w:r>
      <w:r>
        <w:t xml:space="preserve">that arises by</w:t>
      </w:r>
      <w:r>
        <w:t xml:space="preserve"> </w:t>
      </w:r>
      <w:r>
        <w:t xml:space="preserve">“</w:t>
      </w:r>
      <w:r>
        <w:t xml:space="preserve">cli luṅi</w:t>
      </w:r>
      <w:r>
        <w:t xml:space="preserve">”</w:t>
      </w:r>
      <w:r>
        <w:t xml:space="preserve"> </w:t>
      </w:r>
      <w:r>
        <w:t xml:space="preserve">(Pā. 3-1-43) is dropped by</w:t>
      </w:r>
      <w:r>
        <w:t xml:space="preserve"> </w:t>
      </w:r>
      <w:r>
        <w:t xml:space="preserve">“</w:t>
      </w:r>
      <w:r>
        <w:t xml:space="preserve">bahulaṃ chandasi</w:t>
      </w:r>
      <w:r>
        <w:t xml:space="preserve">”</w:t>
      </w:r>
      <w:r>
        <w:t xml:space="preserve"> </w:t>
      </w:r>
      <w:r>
        <w:t xml:space="preserve">(Pā. 2-4-73); the</w:t>
      </w:r>
      <w:r>
        <w:t xml:space="preserve"> </w:t>
      </w:r>
      <w:r>
        <w:rPr>
          <w:iCs/>
          <w:i/>
        </w:rPr>
        <w:t xml:space="preserve">tiṅ</w:t>
      </w:r>
      <w:r>
        <w:t xml:space="preserve"> </w:t>
      </w:r>
      <w:r>
        <w:t xml:space="preserve">ending</w:t>
      </w:r>
      <w:r>
        <w:t xml:space="preserve"> </w:t>
      </w:r>
      <w:r>
        <w:rPr>
          <w:iCs/>
          <w:i/>
        </w:rPr>
        <w:t xml:space="preserve">ma</w:t>
      </w:r>
      <w:r>
        <w:t xml:space="preserve"> </w:t>
      </w:r>
      <w:r>
        <w:t xml:space="preserve">gets the name</w:t>
      </w:r>
      <w:r>
        <w:t xml:space="preserve"> </w:t>
      </w:r>
      <w:r>
        <w:rPr>
          <w:iCs/>
          <w:i/>
        </w:rPr>
        <w:t xml:space="preserve">ārdhadhātuka</w:t>
      </w:r>
      <w:r>
        <w:t xml:space="preserve"> </w:t>
      </w:r>
      <w:r>
        <w:t xml:space="preserve">by</w:t>
      </w:r>
      <w:r>
        <w:t xml:space="preserve"> </w:t>
      </w:r>
      <w:r>
        <w:t xml:space="preserve">“</w:t>
      </w:r>
      <w:r>
        <w:t xml:space="preserve">chandasy ubhayathā</w:t>
      </w:r>
      <w:r>
        <w:t xml:space="preserve">”</w:t>
      </w:r>
      <w:r>
        <w:t xml:space="preserve">, so it does not become</w:t>
      </w:r>
      <w:r>
        <w:t xml:space="preserve"> </w:t>
      </w:r>
      <w:r>
        <w:rPr>
          <w:iCs/>
          <w:i/>
        </w:rPr>
        <w:t xml:space="preserve">ṅit</w:t>
      </w:r>
      <w:r>
        <w:t xml:space="preserve"> </w:t>
      </w:r>
      <w:r>
        <w:t xml:space="preserve">by</w:t>
      </w:r>
      <w:r>
        <w:t xml:space="preserve"> </w:t>
      </w:r>
      <w:r>
        <w:t xml:space="preserve">“</w:t>
      </w:r>
      <w:r>
        <w:t xml:space="preserve">sārvadhātukam apit</w:t>
      </w:r>
      <w:r>
        <w:t xml:space="preserve">”</w:t>
      </w:r>
      <w:r>
        <w:t xml:space="preserve"> </w:t>
      </w:r>
      <w:r>
        <w:t xml:space="preserve">(Pā. 1-2-4), and</w:t>
      </w:r>
      <w:r>
        <w:t xml:space="preserve"> </w:t>
      </w:r>
      <w:r>
        <w:t xml:space="preserve">“</w:t>
      </w:r>
      <w:r>
        <w:t xml:space="preserve">kṅiti ca</w:t>
      </w:r>
      <w:r>
        <w:t xml:space="preserve">”</w:t>
      </w:r>
      <w:r>
        <w:t xml:space="preserve"> </w:t>
      </w:r>
      <w:r>
        <w:t xml:space="preserve">gives no bar to</w:t>
      </w:r>
      <w:r>
        <w:t xml:space="preserve"> </w:t>
      </w:r>
      <w:r>
        <w:rPr>
          <w:iCs/>
          <w:i/>
        </w:rPr>
        <w:t xml:space="preserve">guṇa</w:t>
      </w:r>
      <w:r>
        <w:t xml:space="preserve">;</w:t>
      </w:r>
      <w:r>
        <w:t xml:space="preserve"> </w:t>
      </w:r>
      <w:r>
        <w:rPr>
          <w:iCs/>
          <w:i/>
        </w:rPr>
        <w:t xml:space="preserve">guṇa</w:t>
      </w:r>
      <w:r>
        <w:t xml:space="preserve"> </w:t>
      </w:r>
      <w:r>
        <w:t xml:space="preserve">by</w:t>
      </w:r>
      <w:r>
        <w:t xml:space="preserve"> </w:t>
      </w:r>
      <w:r>
        <w:t xml:space="preserve">“</w:t>
      </w:r>
      <w:r>
        <w:t xml:space="preserve">sārvadhātukārdhadhātukayoḥ</w:t>
      </w:r>
      <w:r>
        <w:t xml:space="preserve">”</w:t>
      </w:r>
      <w:r>
        <w:t xml:space="preserve"> </w:t>
      </w:r>
      <w:r>
        <w:t xml:space="preserve">(Pā. 7-3-84):</w:t>
      </w:r>
      <w:r>
        <w:t xml:space="preserve"> </w:t>
      </w:r>
      <w:r>
        <w:rPr>
          <w:iCs/>
          <w:i/>
        </w:rPr>
        <w:t xml:space="preserve">bhema</w:t>
      </w:r>
      <w:r>
        <w:t xml:space="preserve">; with</w:t>
      </w:r>
      <w:r>
        <w:t xml:space="preserve"> </w:t>
      </w:r>
      <w:r>
        <w:rPr>
          <w:iCs/>
          <w:i/>
        </w:rPr>
        <w:t xml:space="preserve">mā</w:t>
      </w:r>
      <w:r>
        <w:t xml:space="preserve"> </w:t>
      </w:r>
      <w:r>
        <w:t xml:space="preserve">(</w:t>
      </w:r>
      <w:r>
        <w:rPr>
          <w:iCs/>
          <w:i/>
        </w:rPr>
        <w:t xml:space="preserve">māṅ</w:t>
      </w:r>
      <w:r>
        <w:t xml:space="preserve">),</w:t>
      </w:r>
      <w:r>
        <w:t xml:space="preserve"> </w:t>
      </w:r>
      <w:r>
        <w:t xml:space="preserve">“</w:t>
      </w:r>
      <w:r>
        <w:t xml:space="preserve">na māṅyoge</w:t>
      </w:r>
      <w:r>
        <w:t xml:space="preserve">”</w:t>
      </w:r>
      <w:r>
        <w:t xml:space="preserve"> </w:t>
      </w:r>
      <w:r>
        <w:t xml:space="preserve">(Pā. 6-4-74) bars the augment</w:t>
      </w:r>
      <w:r>
        <w:t xml:space="preserve"> </w:t>
      </w:r>
      <w:r>
        <w:rPr>
          <w:iCs/>
          <w:i/>
        </w:rPr>
        <w:t xml:space="preserve">aṭ</w:t>
      </w:r>
      <w:r>
        <w:t xml:space="preserve">.</w:t>
      </w:r>
      <w:r>
        <w:t xml:space="preserve"> </w:t>
      </w:r>
      <w:r>
        <w:rPr>
          <w:bCs/>
          <w:b/>
        </w:rPr>
        <w:t xml:space="preserve">शवसस्पते (</w:t>
      </w:r>
      <w:r>
        <w:rPr>
          <w:iCs/>
          <w:i/>
          <w:bCs/>
          <w:b/>
        </w:rPr>
        <w:t xml:space="preserve">śavasaspate</w:t>
      </w:r>
      <w:r>
        <w:rPr>
          <w:bCs/>
          <w:b/>
        </w:rPr>
        <w:t xml:space="preserve">)</w:t>
      </w:r>
      <w:r>
        <w:t xml:space="preserve"> </w:t>
      </w:r>
      <w:r>
        <w:t xml:space="preserve">—</w:t>
      </w:r>
      <w:r>
        <w:t xml:space="preserve"> </w:t>
      </w:r>
      <w:r>
        <w:rPr>
          <w:iCs/>
          <w:i/>
        </w:rPr>
        <w:t xml:space="preserve">śavas</w:t>
      </w:r>
      <w:r>
        <w:t xml:space="preserve"> </w:t>
      </w:r>
      <w:r>
        <w:t xml:space="preserve">ends in</w:t>
      </w:r>
      <w:r>
        <w:t xml:space="preserve"> </w:t>
      </w:r>
      <w:r>
        <w:rPr>
          <w:iCs/>
          <w:i/>
        </w:rPr>
        <w:t xml:space="preserve">s</w:t>
      </w:r>
      <w:r>
        <w:t xml:space="preserve">; genitive singular</w:t>
      </w:r>
      <w:r>
        <w:t xml:space="preserve"> </w:t>
      </w:r>
      <w:r>
        <w:t xml:space="preserve">“</w:t>
      </w:r>
      <w:r>
        <w:rPr>
          <w:iCs/>
          <w:i/>
        </w:rPr>
        <w:t xml:space="preserve">jas</w:t>
      </w:r>
      <w:r>
        <w:t xml:space="preserve">”</w:t>
      </w:r>
      <w:r>
        <w:t xml:space="preserve"> </w:t>
      </w:r>
      <w:r>
        <w:t xml:space="preserve">[sic, for</w:t>
      </w:r>
      <w:r>
        <w:t xml:space="preserve"> </w:t>
      </w:r>
      <w:r>
        <w:rPr>
          <w:iCs/>
          <w:i/>
        </w:rPr>
        <w:t xml:space="preserve">ṅas</w:t>
      </w:r>
      <w:r>
        <w:t xml:space="preserve">]:</w:t>
      </w:r>
      <w:r>
        <w:t xml:space="preserve"> </w:t>
      </w:r>
      <w:r>
        <w:rPr>
          <w:iCs/>
          <w:i/>
        </w:rPr>
        <w:t xml:space="preserve">śavas</w:t>
      </w:r>
      <w:r>
        <w:t xml:space="preserve"> </w:t>
      </w:r>
      <w:r>
        <w:t xml:space="preserve">+</w:t>
      </w:r>
      <w:r>
        <w:t xml:space="preserve"> </w:t>
      </w:r>
      <w:r>
        <w:rPr>
          <w:iCs/>
          <w:i/>
        </w:rPr>
        <w:t xml:space="preserve">as</w:t>
      </w:r>
      <w:r>
        <w:t xml:space="preserve"> </w:t>
      </w:r>
      <w:r>
        <w:t xml:space="preserve">=</w:t>
      </w:r>
      <w:r>
        <w:t xml:space="preserve"> </w:t>
      </w:r>
      <w:r>
        <w:rPr>
          <w:iCs/>
          <w:i/>
        </w:rPr>
        <w:t xml:space="preserve">śavasas</w:t>
      </w:r>
      <w:r>
        <w:t xml:space="preserve">;</w:t>
      </w:r>
      <w:r>
        <w:t xml:space="preserve"> </w:t>
      </w:r>
      <w:r>
        <w:rPr>
          <w:iCs/>
          <w:i/>
        </w:rPr>
        <w:t xml:space="preserve">ru</w:t>
      </w:r>
      <w:r>
        <w:t xml:space="preserve"> </w:t>
      </w:r>
      <w:r>
        <w:t xml:space="preserve">and visarga:</w:t>
      </w:r>
      <w:r>
        <w:t xml:space="preserve"> </w:t>
      </w:r>
      <w:r>
        <w:rPr>
          <w:iCs/>
          <w:i/>
        </w:rPr>
        <w:t xml:space="preserve">śavasaḥ</w:t>
      </w:r>
      <w:r>
        <w:t xml:space="preserve">, followed by</w:t>
      </w:r>
      <w:r>
        <w:t xml:space="preserve"> </w:t>
      </w:r>
      <w:r>
        <w:rPr>
          <w:iCs/>
          <w:i/>
        </w:rPr>
        <w:t xml:space="preserve">pati</w:t>
      </w:r>
      <w:r>
        <w:t xml:space="preserve">; so in the Saṃhitā</w:t>
      </w:r>
      <w:r>
        <w:t xml:space="preserve"> </w:t>
      </w:r>
      <w:r>
        <w:t xml:space="preserve">“</w:t>
      </w:r>
      <w:r>
        <w:t xml:space="preserve">ṣaṣṭhyāḥ pati-putra-pṛṣṭha-pāra-pada-payas-poṣeṣu</w:t>
      </w:r>
      <w:r>
        <w:t xml:space="preserve">”</w:t>
      </w:r>
      <w:r>
        <w:t xml:space="preserve"> </w:t>
      </w:r>
      <w:r>
        <w:t xml:space="preserve">(printed</w:t>
      </w:r>
      <w:r>
        <w:t xml:space="preserve"> </w:t>
      </w:r>
      <w:r>
        <w:t xml:space="preserve">“</w:t>
      </w:r>
      <w:r>
        <w:t xml:space="preserve">8-4-53</w:t>
      </w:r>
      <w:r>
        <w:t xml:space="preserve">”</w:t>
      </w:r>
      <w:r>
        <w:t xml:space="preserve">; the bhāṣya gives 8-3-53) makes the genitive visarga</w:t>
      </w:r>
      <w:r>
        <w:t xml:space="preserve"> </w:t>
      </w:r>
      <w:r>
        <w:rPr>
          <w:iCs/>
          <w:i/>
        </w:rPr>
        <w:t xml:space="preserve">s</w:t>
      </w:r>
      <w:r>
        <w:t xml:space="preserve"> </w:t>
      </w:r>
      <w:r>
        <w:t xml:space="preserve">before</w:t>
      </w:r>
      <w:r>
        <w:t xml:space="preserve"> </w:t>
      </w:r>
      <w:r>
        <w:rPr>
          <w:iCs/>
          <w:i/>
        </w:rPr>
        <w:t xml:space="preserve">pati</w:t>
      </w:r>
      <w:r>
        <w:t xml:space="preserve"> </w:t>
      </w:r>
      <w:r>
        <w:t xml:space="preserve">and the rest:</w:t>
      </w:r>
      <w:r>
        <w:t xml:space="preserve"> </w:t>
      </w:r>
      <w:r>
        <w:rPr>
          <w:iCs/>
          <w:i/>
        </w:rPr>
        <w:t xml:space="preserve">śavasaspate</w:t>
      </w:r>
      <w:r>
        <w:t xml:space="preserve">;</w:t>
      </w:r>
      <w:r>
        <w:t xml:space="preserve"> </w:t>
      </w:r>
      <w:r>
        <w:rPr>
          <w:iCs/>
          <w:i/>
        </w:rPr>
        <w:t xml:space="preserve">pate</w:t>
      </w:r>
      <w:r>
        <w:t xml:space="preserve"> </w:t>
      </w:r>
      <w:r>
        <w:t xml:space="preserve">is a vocative, and the</w:t>
      </w:r>
      <w:r>
        <w:t xml:space="preserve"> </w:t>
      </w:r>
      <w:r>
        <w:rPr>
          <w:iCs/>
          <w:i/>
        </w:rPr>
        <w:t xml:space="preserve">śavasaḥ</w:t>
      </w:r>
      <w:r>
        <w:t xml:space="preserve"> </w:t>
      </w:r>
      <w:r>
        <w:t xml:space="preserve">before it becomes like a part of it by</w:t>
      </w:r>
      <w:r>
        <w:t xml:space="preserve"> </w:t>
      </w:r>
      <w:r>
        <w:t xml:space="preserve">“</w:t>
      </w:r>
      <w:r>
        <w:t xml:space="preserve">subāmantrite parāṅgavat svare</w:t>
      </w:r>
      <w:r>
        <w:t xml:space="preserve">”</w:t>
      </w:r>
      <w:r>
        <w:t xml:space="preserve"> </w:t>
      </w:r>
      <w:r>
        <w:t xml:space="preserve">(Pā. 2-1-2), so by</w:t>
      </w:r>
      <w:r>
        <w:t xml:space="preserve"> </w:t>
      </w:r>
      <w:r>
        <w:t xml:space="preserve">“</w:t>
      </w:r>
      <w:r>
        <w:t xml:space="preserve">āmantritasya ca</w:t>
      </w:r>
      <w:r>
        <w:t xml:space="preserve">”</w:t>
      </w:r>
      <w:r>
        <w:t xml:space="preserve"> </w:t>
      </w:r>
      <w:r>
        <w:t xml:space="preserve">(Pā. 8-1-19) both words are unaccented.</w:t>
      </w:r>
      <w:r>
        <w:t xml:space="preserve"> </w:t>
      </w:r>
      <w:r>
        <w:rPr>
          <w:bCs/>
          <w:b/>
        </w:rPr>
        <w:t xml:space="preserve">णोनुमः (</w:t>
      </w:r>
      <w:r>
        <w:rPr>
          <w:iCs/>
          <w:i/>
          <w:bCs/>
          <w:b/>
        </w:rPr>
        <w:t xml:space="preserve">ṇonumaḥ</w:t>
      </w:r>
      <w:r>
        <w:rPr>
          <w:bCs/>
          <w:b/>
        </w:rPr>
        <w:t xml:space="preserve">)</w:t>
      </w:r>
      <w:r>
        <w:t xml:space="preserve"> </w:t>
      </w:r>
      <w:r>
        <w:t xml:space="preserve">— root</w:t>
      </w:r>
      <w:r>
        <w:t xml:space="preserve"> </w:t>
      </w:r>
      <w:r>
        <w:rPr>
          <w:iCs/>
          <w:i/>
        </w:rPr>
        <w:t xml:space="preserve">ṇu stutau</w:t>
      </w:r>
      <w:r>
        <w:t xml:space="preserve">;</w:t>
      </w:r>
      <w:r>
        <w:t xml:space="preserve"> </w:t>
      </w:r>
      <w:r>
        <w:rPr>
          <w:iCs/>
          <w:i/>
        </w:rPr>
        <w:t xml:space="preserve">ṇ</w:t>
      </w:r>
      <w:r>
        <w:t xml:space="preserve"> </w:t>
      </w:r>
      <w:r>
        <w:t xml:space="preserve">→</w:t>
      </w:r>
      <w:r>
        <w:t xml:space="preserve"> </w:t>
      </w:r>
      <w:r>
        <w:rPr>
          <w:iCs/>
          <w:i/>
        </w:rPr>
        <w:t xml:space="preserve">n</w:t>
      </w:r>
      <w:r>
        <w:t xml:space="preserve"> </w:t>
      </w:r>
      <w:r>
        <w:t xml:space="preserve">by</w:t>
      </w:r>
      <w:r>
        <w:t xml:space="preserve"> </w:t>
      </w:r>
      <w:r>
        <w:t xml:space="preserve">“</w:t>
      </w:r>
      <w:r>
        <w:t xml:space="preserve">ṇo naḥ</w:t>
      </w:r>
      <w:r>
        <w:t xml:space="preserve">”</w:t>
      </w:r>
      <w:r>
        <w:t xml:space="preserve"> </w:t>
      </w:r>
      <w:r>
        <w:t xml:space="preserve">(Pā. 6-1-65);</w:t>
      </w:r>
      <w:r>
        <w:t xml:space="preserve"> </w:t>
      </w:r>
      <w:r>
        <w:rPr>
          <w:iCs/>
          <w:i/>
        </w:rPr>
        <w:t xml:space="preserve">yaṅ</w:t>
      </w:r>
      <w:r>
        <w:t xml:space="preserve"> </w:t>
      </w:r>
      <w:r>
        <w:t xml:space="preserve">by</w:t>
      </w:r>
      <w:r>
        <w:t xml:space="preserve"> </w:t>
      </w:r>
      <w:r>
        <w:t xml:space="preserve">“</w:t>
      </w:r>
      <w:r>
        <w:t xml:space="preserve">dhātor ekāco halādeḥ kriyāsamabhihāre yaṅ</w:t>
      </w:r>
      <w:r>
        <w:t xml:space="preserve">”</w:t>
      </w:r>
      <w:r>
        <w:t xml:space="preserve"> </w:t>
      </w:r>
      <w:r>
        <w:t xml:space="preserve">(Pā. 3-1-22), dropped by</w:t>
      </w:r>
      <w:r>
        <w:t xml:space="preserve"> </w:t>
      </w:r>
      <w:r>
        <w:t xml:space="preserve">“</w:t>
      </w:r>
      <w:r>
        <w:t xml:space="preserve">yaṅo ’ci ca</w:t>
      </w:r>
      <w:r>
        <w:t xml:space="preserve">”</w:t>
      </w:r>
      <w:r>
        <w:t xml:space="preserve"> </w:t>
      </w:r>
      <w:r>
        <w:t xml:space="preserve">(Pā. 2-4-74) but still counted by</w:t>
      </w:r>
      <w:r>
        <w:t xml:space="preserve"> </w:t>
      </w:r>
      <w:r>
        <w:rPr>
          <w:iCs/>
          <w:i/>
        </w:rPr>
        <w:t xml:space="preserve">pratyaya-lakṣaṇa</w:t>
      </w:r>
      <w:r>
        <w:t xml:space="preserve">, so doubling by</w:t>
      </w:r>
      <w:r>
        <w:t xml:space="preserve"> </w:t>
      </w:r>
      <w:r>
        <w:t xml:space="preserve">“</w:t>
      </w:r>
      <w:r>
        <w:t xml:space="preserve">sanyaṅoḥ</w:t>
      </w:r>
      <w:r>
        <w:t xml:space="preserve">”</w:t>
      </w:r>
      <w:r>
        <w:t xml:space="preserve"> </w:t>
      </w:r>
      <w:r>
        <w:t xml:space="preserve">(Pā. 6-1-9):</w:t>
      </w:r>
      <w:r>
        <w:t xml:space="preserve"> </w:t>
      </w:r>
      <w:r>
        <w:rPr>
          <w:iCs/>
          <w:i/>
        </w:rPr>
        <w:t xml:space="preserve">nunu</w:t>
      </w:r>
      <w:r>
        <w:t xml:space="preserve">;</w:t>
      </w:r>
      <w:r>
        <w:t xml:space="preserve"> </w:t>
      </w:r>
      <w:r>
        <w:rPr>
          <w:iCs/>
          <w:i/>
        </w:rPr>
        <w:t xml:space="preserve">guṇa</w:t>
      </w:r>
      <w:r>
        <w:t xml:space="preserve"> </w:t>
      </w:r>
      <w:r>
        <w:t xml:space="preserve">of the reduplicate’s</w:t>
      </w:r>
      <w:r>
        <w:t xml:space="preserve"> </w:t>
      </w:r>
      <w:r>
        <w:rPr>
          <w:iCs/>
          <w:i/>
        </w:rPr>
        <w:t xml:space="preserve">i</w:t>
      </w:r>
      <w:r>
        <w:t xml:space="preserve">/</w:t>
      </w:r>
      <w:r>
        <w:rPr>
          <w:iCs/>
          <w:i/>
        </w:rPr>
        <w:t xml:space="preserve">u</w:t>
      </w:r>
      <w:r>
        <w:t xml:space="preserve"> </w:t>
      </w:r>
      <w:r>
        <w:t xml:space="preserve">by</w:t>
      </w:r>
      <w:r>
        <w:t xml:space="preserve"> </w:t>
      </w:r>
      <w:r>
        <w:t xml:space="preserve">“</w:t>
      </w:r>
      <w:r>
        <w:t xml:space="preserve">guṇo yaṅlukoḥ</w:t>
      </w:r>
      <w:r>
        <w:t xml:space="preserve">”</w:t>
      </w:r>
      <w:r>
        <w:t xml:space="preserve"> </w:t>
      </w:r>
      <w:r>
        <w:t xml:space="preserve">(Pā. 7-4-82):</w:t>
      </w:r>
      <w:r>
        <w:t xml:space="preserve"> </w:t>
      </w:r>
      <w:r>
        <w:rPr>
          <w:iCs/>
          <w:i/>
        </w:rPr>
        <w:t xml:space="preserve">nonu</w:t>
      </w:r>
      <w:r>
        <w:t xml:space="preserve">; as a</w:t>
      </w:r>
      <w:r>
        <w:t xml:space="preserve"> </w:t>
      </w:r>
      <w:r>
        <w:rPr>
          <w:iCs/>
          <w:i/>
        </w:rPr>
        <w:t xml:space="preserve">yaṅ</w:t>
      </w:r>
      <w:r>
        <w:t xml:space="preserve">-ending it is a root by</w:t>
      </w:r>
      <w:r>
        <w:t xml:space="preserve"> </w:t>
      </w:r>
      <w:r>
        <w:t xml:space="preserve">“</w:t>
      </w:r>
      <w:r>
        <w:t xml:space="preserve">sanādyantā dhātavaḥ</w:t>
      </w:r>
      <w:r>
        <w:t xml:space="preserve">”</w:t>
      </w:r>
      <w:r>
        <w:t xml:space="preserve"> </w:t>
      </w:r>
      <w:r>
        <w:t xml:space="preserve">(Pā. 3-1-32);</w:t>
      </w:r>
      <w:r>
        <w:t xml:space="preserve"> </w:t>
      </w:r>
      <w:r>
        <w:rPr>
          <w:iCs/>
          <w:i/>
        </w:rPr>
        <w:t xml:space="preserve">laṭ</w:t>
      </w:r>
      <w:r>
        <w:t xml:space="preserve"> </w:t>
      </w:r>
      <w:r>
        <w:rPr>
          <w:iCs/>
          <w:i/>
        </w:rPr>
        <w:t xml:space="preserve">parasmaipada</w:t>
      </w:r>
      <w:r>
        <w:t xml:space="preserve"> </w:t>
      </w:r>
      <w:r>
        <w:t xml:space="preserve">first plural</w:t>
      </w:r>
      <w:r>
        <w:t xml:space="preserve"> </w:t>
      </w:r>
      <w:r>
        <w:rPr>
          <w:iCs/>
          <w:i/>
        </w:rPr>
        <w:t xml:space="preserve">mas</w:t>
      </w:r>
      <w:r>
        <w:t xml:space="preserve">;</w:t>
      </w:r>
      <w:r>
        <w:t xml:space="preserve"> </w:t>
      </w:r>
      <w:r>
        <w:rPr>
          <w:iCs/>
          <w:i/>
        </w:rPr>
        <w:t xml:space="preserve">śap</w:t>
      </w:r>
      <w:r>
        <w:t xml:space="preserve"> </w:t>
      </w:r>
      <w:r>
        <w:t xml:space="preserve">by</w:t>
      </w:r>
      <w:r>
        <w:t xml:space="preserve"> </w:t>
      </w:r>
      <w:r>
        <w:t xml:space="preserve">“</w:t>
      </w:r>
      <w:r>
        <w:t xml:space="preserve">kartari śap</w:t>
      </w:r>
      <w:r>
        <w:t xml:space="preserve">”</w:t>
      </w:r>
      <w:r>
        <w:t xml:space="preserve"> </w:t>
      </w:r>
      <w:r>
        <w:t xml:space="preserve">(Pā. 3-1-68); by</w:t>
      </w:r>
      <w:r>
        <w:t xml:space="preserve"> </w:t>
      </w:r>
      <w:r>
        <w:t xml:space="preserve">“</w:t>
      </w:r>
      <w:r>
        <w:t xml:space="preserve">carkarītaṃ parasmaipadam adādivac ca draṣṭavyam</w:t>
      </w:r>
      <w:r>
        <w:t xml:space="preserve">”</w:t>
      </w:r>
      <w:r>
        <w:t xml:space="preserve"> </w:t>
      </w:r>
      <w:r>
        <w:t xml:space="preserve">it is treated as</w:t>
      </w:r>
      <w:r>
        <w:t xml:space="preserve"> </w:t>
      </w:r>
      <w:r>
        <w:rPr>
          <w:iCs/>
          <w:i/>
        </w:rPr>
        <w:t xml:space="preserve">adādi</w:t>
      </w:r>
      <w:r>
        <w:t xml:space="preserve"> </w:t>
      </w:r>
      <w:r>
        <w:t xml:space="preserve">(</w:t>
      </w:r>
      <w:r>
        <w:rPr>
          <w:iCs/>
          <w:i/>
        </w:rPr>
        <w:t xml:space="preserve">carkarīta</w:t>
      </w:r>
      <w:r>
        <w:t xml:space="preserve"> </w:t>
      </w:r>
      <w:r>
        <w:t xml:space="preserve">means the</w:t>
      </w:r>
      <w:r>
        <w:t xml:space="preserve"> </w:t>
      </w:r>
      <w:r>
        <w:rPr>
          <w:iCs/>
          <w:i/>
        </w:rPr>
        <w:t xml:space="preserve">yaṅluk</w:t>
      </w:r>
      <w:r>
        <w:t xml:space="preserve"> </w:t>
      </w:r>
      <w:r>
        <w:t xml:space="preserve">form), so the</w:t>
      </w:r>
      <w:r>
        <w:t xml:space="preserve"> </w:t>
      </w:r>
      <w:r>
        <w:rPr>
          <w:iCs/>
          <w:i/>
        </w:rPr>
        <w:t xml:space="preserve">śap</w:t>
      </w:r>
      <w:r>
        <w:t xml:space="preserve"> </w:t>
      </w:r>
      <w:r>
        <w:t xml:space="preserve">is dropped by</w:t>
      </w:r>
      <w:r>
        <w:t xml:space="preserve"> </w:t>
      </w:r>
      <w:r>
        <w:t xml:space="preserve">“</w:t>
      </w:r>
      <w:r>
        <w:t xml:space="preserve">adiprabhṛtibhyaḥ śapaḥ</w:t>
      </w:r>
      <w:r>
        <w:t xml:space="preserve">”</w:t>
      </w:r>
      <w:r>
        <w:t xml:space="preserve"> </w:t>
      </w:r>
      <w:r>
        <w:t xml:space="preserve">(Pā. 2-4-72);</w:t>
      </w:r>
      <w:r>
        <w:t xml:space="preserve"> </w:t>
      </w:r>
      <w:r>
        <w:rPr>
          <w:iCs/>
          <w:i/>
        </w:rPr>
        <w:t xml:space="preserve">ru</w:t>
      </w:r>
      <w:r>
        <w:t xml:space="preserve"> </w:t>
      </w:r>
      <w:r>
        <w:t xml:space="preserve">and visarga:</w:t>
      </w:r>
      <w:r>
        <w:t xml:space="preserve"> </w:t>
      </w:r>
      <w:r>
        <w:rPr>
          <w:iCs/>
          <w:i/>
        </w:rPr>
        <w:t xml:space="preserve">nonumaḥ</w:t>
      </w:r>
      <w:r>
        <w:t xml:space="preserve">; after the upasarga</w:t>
      </w:r>
      <w:r>
        <w:t xml:space="preserve"> </w:t>
      </w:r>
      <w:r>
        <w:rPr>
          <w:iCs/>
          <w:i/>
        </w:rPr>
        <w:t xml:space="preserve">pra</w:t>
      </w:r>
      <w:r>
        <w:t xml:space="preserve">,</w:t>
      </w:r>
      <w:r>
        <w:t xml:space="preserve"> </w:t>
      </w:r>
      <w:r>
        <w:t xml:space="preserve">“</w:t>
      </w:r>
      <w:r>
        <w:t xml:space="preserve">upasargād asamāse ’pi ṇopadeśasya</w:t>
      </w:r>
      <w:r>
        <w:t xml:space="preserve">”</w:t>
      </w:r>
      <w:r>
        <w:t xml:space="preserve"> </w:t>
      </w:r>
      <w:r>
        <w:t xml:space="preserve">(Pā. 8-4-14) gives</w:t>
      </w:r>
      <w:r>
        <w:t xml:space="preserve"> </w:t>
      </w:r>
      <w:r>
        <w:rPr>
          <w:iCs/>
          <w:i/>
        </w:rPr>
        <w:t xml:space="preserve">ṇ</w:t>
      </w:r>
      <w:r>
        <w:t xml:space="preserve"> </w:t>
      </w:r>
      <w:r>
        <w:t xml:space="preserve">for the</w:t>
      </w:r>
      <w:r>
        <w:t xml:space="preserve"> </w:t>
      </w:r>
      <w:r>
        <w:rPr>
          <w:iCs/>
          <w:i/>
        </w:rPr>
        <w:t xml:space="preserve">n</w:t>
      </w:r>
      <w:r>
        <w:t xml:space="preserve"> </w:t>
      </w:r>
      <w:r>
        <w:t xml:space="preserve">of a</w:t>
      </w:r>
      <w:r>
        <w:t xml:space="preserve"> </w:t>
      </w:r>
      <w:r>
        <w:rPr>
          <w:iCs/>
          <w:i/>
        </w:rPr>
        <w:t xml:space="preserve">ṇopadeśa</w:t>
      </w:r>
      <w:r>
        <w:t xml:space="preserve"> </w:t>
      </w:r>
      <w:r>
        <w:t xml:space="preserve">root after an upasarga with</w:t>
      </w:r>
      <w:r>
        <w:t xml:space="preserve"> </w:t>
      </w:r>
      <w:r>
        <w:rPr>
          <w:iCs/>
          <w:i/>
        </w:rPr>
        <w:t xml:space="preserve">r</w:t>
      </w:r>
      <w:r>
        <w:t xml:space="preserve">, compound or not.</w:t>
      </w:r>
      <w:r>
        <w:t xml:space="preserve"> </w:t>
      </w:r>
      <w:r>
        <w:rPr>
          <w:iCs/>
          <w:i/>
        </w:rPr>
        <w:t xml:space="preserve">[p. 456]</w:t>
      </w:r>
      <w:r>
        <w:t xml:space="preserve"> </w:t>
      </w:r>
      <w:r>
        <w:t xml:space="preserve">The print explains</w:t>
      </w:r>
      <w:r>
        <w:t xml:space="preserve"> </w:t>
      </w:r>
      <w:r>
        <w:rPr>
          <w:iCs/>
          <w:i/>
        </w:rPr>
        <w:t xml:space="preserve">upadeśa</w:t>
      </w:r>
      <w:r>
        <w:t xml:space="preserve"> </w:t>
      </w:r>
      <w:r>
        <w:t xml:space="preserve">as the first utterance of Pāṇini, Patañjali and Vararuci, and a</w:t>
      </w:r>
      <w:r>
        <w:t xml:space="preserve"> </w:t>
      </w:r>
      <w:r>
        <w:rPr>
          <w:iCs/>
          <w:i/>
        </w:rPr>
        <w:t xml:space="preserve">ṇopadeśa</w:t>
      </w:r>
      <w:r>
        <w:t xml:space="preserve"> </w:t>
      </w:r>
      <w:r>
        <w:t xml:space="preserve">root as one that has</w:t>
      </w:r>
      <w:r>
        <w:t xml:space="preserve"> </w:t>
      </w:r>
      <w:r>
        <w:rPr>
          <w:iCs/>
          <w:i/>
        </w:rPr>
        <w:t xml:space="preserve">ṇ</w:t>
      </w:r>
      <w:r>
        <w:t xml:space="preserve"> </w:t>
      </w:r>
      <w:r>
        <w:t xml:space="preserve">in that first utterance.</w:t>
      </w:r>
      <w:r>
        <w:t xml:space="preserve"> </w:t>
      </w:r>
      <w:r>
        <w:rPr>
          <w:bCs/>
          <w:b/>
        </w:rPr>
        <w:t xml:space="preserve">जेतारम् (</w:t>
      </w:r>
      <w:r>
        <w:rPr>
          <w:iCs/>
          <w:i/>
          <w:bCs/>
          <w:b/>
        </w:rPr>
        <w:t xml:space="preserve">jetāram</w:t>
      </w:r>
      <w:r>
        <w:rPr>
          <w:bCs/>
          <w:b/>
        </w:rPr>
        <w:t xml:space="preserve">)</w:t>
      </w:r>
      <w:r>
        <w:t xml:space="preserve"> </w:t>
      </w:r>
      <w:r>
        <w:t xml:space="preserve">— root</w:t>
      </w:r>
      <w:r>
        <w:t xml:space="preserve"> </w:t>
      </w:r>
      <w:r>
        <w:rPr>
          <w:iCs/>
          <w:i/>
        </w:rPr>
        <w:t xml:space="preserve">ji jaye</w:t>
      </w:r>
      <w:r>
        <w:t xml:space="preserve">;</w:t>
      </w:r>
      <w:r>
        <w:t xml:space="preserve"> </w:t>
      </w:r>
      <w:r>
        <w:rPr>
          <w:iCs/>
          <w:i/>
        </w:rPr>
        <w:t xml:space="preserve">tṛn</w:t>
      </w:r>
      <w:r>
        <w:t xml:space="preserve"> </w:t>
      </w:r>
      <w:r>
        <w:t xml:space="preserve">by Pā. 3-2-135 in the senses</w:t>
      </w:r>
      <w:r>
        <w:t xml:space="preserve"> </w:t>
      </w:r>
      <w:r>
        <w:t xml:space="preserve">“</w:t>
      </w:r>
      <w:r>
        <w:t xml:space="preserve">having that habit,</w:t>
      </w:r>
      <w:r>
        <w:t xml:space="preserve">”</w:t>
      </w:r>
      <w:r>
        <w:t xml:space="preserve"> </w:t>
      </w:r>
      <w:r>
        <w:t xml:space="preserve">“</w:t>
      </w:r>
      <w:r>
        <w:t xml:space="preserve">having that nature,</w:t>
      </w:r>
      <w:r>
        <w:t xml:space="preserve">”</w:t>
      </w:r>
      <w:r>
        <w:t xml:space="preserve"> </w:t>
      </w:r>
      <w:r>
        <w:t xml:space="preserve">“</w:t>
      </w:r>
      <w:r>
        <w:t xml:space="preserve">doing it well</w:t>
      </w:r>
      <w:r>
        <w:t xml:space="preserve">”</w:t>
      </w:r>
      <w:r>
        <w:t xml:space="preserve">;</w:t>
      </w:r>
      <w:r>
        <w:t xml:space="preserve"> </w:t>
      </w:r>
      <w:r>
        <w:rPr>
          <w:iCs/>
          <w:i/>
        </w:rPr>
        <w:t xml:space="preserve">guṇa</w:t>
      </w:r>
      <w:r>
        <w:t xml:space="preserve"> </w:t>
      </w:r>
      <w:r>
        <w:t xml:space="preserve">by Pā. 7-3-84:</w:t>
      </w:r>
      <w:r>
        <w:t xml:space="preserve"> </w:t>
      </w:r>
      <w:r>
        <w:rPr>
          <w:iCs/>
          <w:i/>
        </w:rPr>
        <w:t xml:space="preserve">jetṛ</w:t>
      </w:r>
      <w:r>
        <w:t xml:space="preserve">; initial-udātta by</w:t>
      </w:r>
      <w:r>
        <w:t xml:space="preserve"> </w:t>
      </w:r>
      <w:r>
        <w:t xml:space="preserve">“</w:t>
      </w:r>
      <w:r>
        <w:t xml:space="preserve">ñnityādir nityam</w:t>
      </w:r>
      <w:r>
        <w:t xml:space="preserve">”</w:t>
      </w:r>
      <w:r>
        <w:t xml:space="preserve"> </w:t>
      </w:r>
      <w:r>
        <w:t xml:space="preserve">(Pā. 6-1-197), the suffix being</w:t>
      </w:r>
      <w:r>
        <w:t xml:space="preserve"> </w:t>
      </w:r>
      <w:r>
        <w:rPr>
          <w:iCs/>
          <w:i/>
        </w:rPr>
        <w:t xml:space="preserve">n</w:t>
      </w:r>
      <w:r>
        <w:t xml:space="preserve">-marked; accusative singular</w:t>
      </w:r>
      <w:r>
        <w:t xml:space="preserve"> </w:t>
      </w:r>
      <w:r>
        <w:rPr>
          <w:iCs/>
          <w:i/>
        </w:rPr>
        <w:t xml:space="preserve">am</w:t>
      </w:r>
      <w:r>
        <w:t xml:space="preserve">:</w:t>
      </w:r>
      <w:r>
        <w:t xml:space="preserve"> </w:t>
      </w:r>
      <w:r>
        <w:t xml:space="preserve">“</w:t>
      </w:r>
      <w:r>
        <w:t xml:space="preserve">ṛto ṅi-sarvanāmasthānayoḥ</w:t>
      </w:r>
      <w:r>
        <w:t xml:space="preserve">”</w:t>
      </w:r>
      <w:r>
        <w:t xml:space="preserve"> </w:t>
      </w:r>
      <w:r>
        <w:t xml:space="preserve">(Pā. 7-3-110) gives</w:t>
      </w:r>
      <w:r>
        <w:t xml:space="preserve"> </w:t>
      </w:r>
      <w:r>
        <w:rPr>
          <w:iCs/>
          <w:i/>
        </w:rPr>
        <w:t xml:space="preserve">guṇa</w:t>
      </w:r>
      <w:r>
        <w:t xml:space="preserve"> </w:t>
      </w:r>
      <w:r>
        <w:rPr>
          <w:iCs/>
          <w:i/>
        </w:rPr>
        <w:t xml:space="preserve">a</w:t>
      </w:r>
      <w:r>
        <w:t xml:space="preserve"> </w:t>
      </w:r>
      <w:r>
        <w:t xml:space="preserve">with</w:t>
      </w:r>
      <w:r>
        <w:t xml:space="preserve"> </w:t>
      </w:r>
      <w:r>
        <w:rPr>
          <w:iCs/>
          <w:i/>
        </w:rPr>
        <w:t xml:space="preserve">r</w:t>
      </w:r>
      <w:r>
        <w:t xml:space="preserve"> </w:t>
      </w:r>
      <w:r>
        <w:t xml:space="preserve">by</w:t>
      </w:r>
      <w:r>
        <w:t xml:space="preserve"> </w:t>
      </w:r>
      <w:r>
        <w:t xml:space="preserve">“</w:t>
      </w:r>
      <w:r>
        <w:t xml:space="preserve">uraṇ raparaḥ</w:t>
      </w:r>
      <w:r>
        <w:t xml:space="preserve">”</w:t>
      </w:r>
      <w:r>
        <w:t xml:space="preserve"> </w:t>
      </w:r>
      <w:r>
        <w:t xml:space="preserve">(Pā. 1-1-51):</w:t>
      </w:r>
      <w:r>
        <w:t xml:space="preserve"> </w:t>
      </w:r>
      <w:r>
        <w:rPr>
          <w:iCs/>
          <w:i/>
        </w:rPr>
        <w:t xml:space="preserve">jetar</w:t>
      </w:r>
      <w:r>
        <w:t xml:space="preserve"> </w:t>
      </w:r>
      <w:r>
        <w:t xml:space="preserve">+</w:t>
      </w:r>
      <w:r>
        <w:t xml:space="preserve"> </w:t>
      </w:r>
      <w:r>
        <w:rPr>
          <w:iCs/>
          <w:i/>
        </w:rPr>
        <w:t xml:space="preserve">am</w:t>
      </w:r>
      <w:r>
        <w:t xml:space="preserve">;</w:t>
      </w:r>
      <w:r>
        <w:t xml:space="preserve"> </w:t>
      </w:r>
      <w:r>
        <w:t xml:space="preserve">“</w:t>
      </w:r>
      <w:r>
        <w:t xml:space="preserve">ap-tṛn-tṛc-svasṛ-naptṛ-neṣṭṛ-tvaṣṭṛ-kṣattṛ-hotṛ-potṛ-praśāstṝṇām</w:t>
      </w:r>
      <w:r>
        <w:t xml:space="preserve">”</w:t>
      </w:r>
      <w:r>
        <w:t xml:space="preserve"> </w:t>
      </w:r>
      <w:r>
        <w:t xml:space="preserve">(Pā. 6-4-11) lengthens the penultimate before a</w:t>
      </w:r>
      <w:r>
        <w:t xml:space="preserve"> </w:t>
      </w:r>
      <w:r>
        <w:rPr>
          <w:iCs/>
          <w:i/>
        </w:rPr>
        <w:t xml:space="preserve">sarvanāmasthāna</w:t>
      </w:r>
      <w:r>
        <w:t xml:space="preserve"> </w:t>
      </w:r>
      <w:r>
        <w:t xml:space="preserve">other than the vocative:</w:t>
      </w:r>
      <w:r>
        <w:t xml:space="preserve"> </w:t>
      </w:r>
      <w:r>
        <w:rPr>
          <w:iCs/>
          <w:i/>
        </w:rPr>
        <w:t xml:space="preserve">jetāram</w:t>
      </w:r>
      <w:r>
        <w:t xml:space="preserve">.</w:t>
      </w:r>
      <w:r>
        <w:t xml:space="preserve"> </w:t>
      </w:r>
      <w:r>
        <w:rPr>
          <w:bCs/>
          <w:b/>
        </w:rPr>
        <w:t xml:space="preserve">अपराजितम् (</w:t>
      </w:r>
      <w:r>
        <w:rPr>
          <w:iCs/>
          <w:i/>
          <w:bCs/>
          <w:b/>
        </w:rPr>
        <w:t xml:space="preserve">aparājitam</w:t>
      </w:r>
      <w:r>
        <w:rPr>
          <w:bCs/>
          <w:b/>
        </w:rPr>
        <w:t xml:space="preserve">)</w:t>
      </w:r>
      <w:r>
        <w:t xml:space="preserve"> </w:t>
      </w:r>
      <w:r>
        <w:t xml:space="preserve">—</w:t>
      </w:r>
      <w:r>
        <w:t xml:space="preserve"> </w:t>
      </w:r>
      <w:r>
        <w:t xml:space="preserve">“</w:t>
      </w:r>
      <w:r>
        <w:t xml:space="preserve">na parājitaḥ = aparājitaḥ</w:t>
      </w:r>
      <w:r>
        <w:t xml:space="preserve">”</w:t>
      </w:r>
      <w:r>
        <w:t xml:space="preserve">; the</w:t>
      </w:r>
      <w:r>
        <w:t xml:space="preserve"> </w:t>
      </w:r>
      <w:r>
        <w:rPr>
          <w:iCs/>
          <w:i/>
        </w:rPr>
        <w:t xml:space="preserve">n</w:t>
      </w:r>
      <w:r>
        <w:t xml:space="preserve"> </w:t>
      </w:r>
      <w:r>
        <w:t xml:space="preserve">of</w:t>
      </w:r>
      <w:r>
        <w:t xml:space="preserve"> </w:t>
      </w:r>
      <w:r>
        <w:rPr>
          <w:iCs/>
          <w:i/>
        </w:rPr>
        <w:t xml:space="preserve">nañ</w:t>
      </w:r>
      <w:r>
        <w:t xml:space="preserve"> </w:t>
      </w:r>
      <w:r>
        <w:t xml:space="preserve">dropped by</w:t>
      </w:r>
      <w:r>
        <w:t xml:space="preserve"> </w:t>
      </w:r>
      <w:r>
        <w:t xml:space="preserve">“</w:t>
      </w:r>
      <w:r>
        <w:t xml:space="preserve">nalopo nañaḥ</w:t>
      </w:r>
      <w:r>
        <w:t xml:space="preserve">”</w:t>
      </w:r>
      <w:r>
        <w:t xml:space="preserve"> </w:t>
      </w:r>
      <w:r>
        <w:t xml:space="preserve">(Pā. 6-3-73); by</w:t>
      </w:r>
      <w:r>
        <w:t xml:space="preserve"> </w:t>
      </w:r>
      <w:r>
        <w:t xml:space="preserve">“</w:t>
      </w:r>
      <w:r>
        <w:t xml:space="preserve">tatpuruṣe tulyārtha…</w:t>
      </w:r>
      <w:r>
        <w:t xml:space="preserve">”</w:t>
      </w:r>
      <w:r>
        <w:t xml:space="preserve"> </w:t>
      </w:r>
      <w:r>
        <w:t xml:space="preserve">(Pā. 6-2-2) the indeclinable first member keeps its accent, so the</w:t>
      </w:r>
      <w:r>
        <w:t xml:space="preserve"> </w:t>
      </w:r>
      <w:r>
        <w:rPr>
          <w:iCs/>
          <w:i/>
        </w:rPr>
        <w:t xml:space="preserve">a</w:t>
      </w:r>
      <w:r>
        <w:t xml:space="preserve"> </w:t>
      </w:r>
      <w:r>
        <w:t xml:space="preserve">is udātta.</w:t>
      </w:r>
    </w:p>
    <w:p>
      <w:pPr>
        <w:pStyle w:val="BodyText"/>
      </w:pPr>
      <w:r>
        <w:rPr>
          <w:bCs/>
          <w:b/>
        </w:rPr>
        <w:t xml:space="preserve">॥२॥</w:t>
      </w:r>
    </w:p>
    <w:p>
      <w:r>
        <w:pict>
          <v:rect style="width:0;height:1.5pt" o:hralign="center" o:hrstd="t" o:hr="t"/>
        </w:pict>
      </w:r>
    </w:p>
    <w:bookmarkEnd w:id="466"/>
    <w:bookmarkStart w:id="467" w:name="page-456-sūkta-11-rik-3"/>
    <w:p>
      <w:pPr>
        <w:pStyle w:val="Heading3"/>
      </w:pPr>
      <w:r>
        <w:t xml:space="preserve">Page 456 — Sūkta 11, Rik 3</w:t>
      </w:r>
    </w:p>
    <w:p>
      <w:pPr>
        <w:pStyle w:val="FirstParagraph"/>
      </w:pPr>
      <w:r>
        <w:rPr>
          <w:iCs/>
          <w:i/>
        </w:rPr>
        <w:t xml:space="preserve">(Saṃhitā accents as printed; Pada unaccented. Line 2: a stroke over ज of वाजस्य followed by a bar under स्य, as printed.)</w:t>
      </w:r>
    </w:p>
    <w:p>
      <w:pPr>
        <w:pStyle w:val="BodyText"/>
      </w:pPr>
      <w:r>
        <w:rPr>
          <w:bCs/>
          <w:b/>
        </w:rPr>
        <w:t xml:space="preserve">॥ Saṃhitā-pāṭhaḥ ॥</w:t>
      </w:r>
    </w:p>
    <w:p>
      <w:pPr>
        <w:pStyle w:val="BlockText"/>
      </w:pPr>
      <w:r>
        <w:t xml:space="preserve">पूर्वीरिन्द्र॑स्य रा॒तयो॒ न वि द॑स्यन्त्यू॒तयः॑ ।</w:t>
      </w:r>
      <w:r>
        <w:t xml:space="preserve"> </w:t>
      </w:r>
      <w:r>
        <w:t xml:space="preserve">यदी॒ वाज॑स्य॒ गोम॑तः स्तो॒तृभ्यो॒ मंह॑ते म॒घम् ॥३॥</w:t>
      </w:r>
    </w:p>
    <w:p>
      <w:pPr>
        <w:pStyle w:val="BlockText"/>
      </w:pPr>
      <w:r>
        <w:rPr>
          <w:iCs/>
          <w:i/>
        </w:rPr>
        <w:t xml:space="preserve">pūrvīr índrasya rātáyo ná ví dasyanty ūtáyaḥ |</w:t>
      </w:r>
      <w:r>
        <w:t xml:space="preserve"> </w:t>
      </w:r>
      <w:r>
        <w:rPr>
          <w:iCs/>
          <w:i/>
        </w:rPr>
        <w:t xml:space="preserve">yadī vā́jasya gómataḥ stotṛ́bhyo máṃhate maghám ||3||</w:t>
      </w:r>
    </w:p>
    <w:p>
      <w:pPr>
        <w:pStyle w:val="FirstParagraph"/>
      </w:pPr>
      <w:r>
        <w:rPr>
          <w:bCs/>
          <w:b/>
        </w:rPr>
        <w:t xml:space="preserve">॥ Pada-pāṭhaḥ ॥</w:t>
      </w:r>
    </w:p>
    <w:p>
      <w:pPr>
        <w:pStyle w:val="BlockText"/>
      </w:pPr>
      <w:r>
        <w:t xml:space="preserve">पूर्वीः । इन्द्रस्य । रातयः । न । वि । दस्यन्ति । ऊतयः ॥</w:t>
      </w:r>
      <w:r>
        <w:t xml:space="preserve"> </w:t>
      </w:r>
      <w:r>
        <w:t xml:space="preserve">यदि । वाजस्य । गोऽमतः । स्तोतृऽभ्यः । मंहते । मघम् ॥३॥</w:t>
      </w:r>
    </w:p>
    <w:p>
      <w:pPr>
        <w:pStyle w:val="BlockText"/>
      </w:pPr>
      <w:r>
        <w:rPr>
          <w:iCs/>
          <w:i/>
        </w:rPr>
        <w:t xml:space="preserve">pūrvīḥ | indrasya | rātayaḥ | na | vi | dasyanti | ūtayaḥ ||</w:t>
      </w:r>
      <w:r>
        <w:t xml:space="preserve"> </w:t>
      </w:r>
      <w:r>
        <w:rPr>
          <w:iCs/>
          <w:i/>
        </w:rPr>
        <w:t xml:space="preserve">yadi | vājasya | go-mataḥ | stotṛ-bhyaḥ | maṃhate | magham ||3||</w:t>
      </w:r>
    </w:p>
    <w:p>
      <w:pPr>
        <w:pStyle w:val="FirstParagraph"/>
      </w:pPr>
      <w:r>
        <w:rPr>
          <w:iCs/>
          <w:i/>
        </w:rPr>
        <w:t xml:space="preserve">(The Saṃhitā prints</w:t>
      </w:r>
      <w:r>
        <w:t xml:space="preserve"> </w:t>
      </w:r>
      <w:r>
        <w:t xml:space="preserve">यदी</w:t>
      </w:r>
      <w:r>
        <w:t xml:space="preserve"> </w:t>
      </w:r>
      <w:r>
        <w:rPr>
          <w:iCs/>
          <w:i/>
        </w:rPr>
        <w:t xml:space="preserve">with a long final vowel; the Pada prints</w:t>
      </w:r>
      <w:r>
        <w:t xml:space="preserve"> </w:t>
      </w:r>
      <w:r>
        <w:t xml:space="preserve">यदि</w:t>
      </w:r>
      <w:r>
        <w:rPr>
          <w:iCs/>
          <w:i/>
        </w:rPr>
        <w:t xml:space="preserve">.)</w:t>
      </w:r>
    </w:p>
    <w:bookmarkEnd w:id="467"/>
    <w:bookmarkStart w:id="468" w:name="Xe4a7251f57c93e0c7bf7a776d3e2f670b1946c6"/>
    <w:p>
      <w:pPr>
        <w:pStyle w:val="Heading3"/>
      </w:pPr>
      <w:r>
        <w:t xml:space="preserve">Page 457 — Rik 3: bhāṣya, word-meanings, overall sense, English</w:t>
      </w:r>
    </w:p>
    <w:p>
      <w:pPr>
        <w:pStyle w:val="FirstParagraph"/>
      </w:pPr>
      <w:r>
        <w:rPr>
          <w:bCs/>
          <w:b/>
        </w:rPr>
        <w:t xml:space="preserve">॥ Sāyaṇa-bhāṣyam ॥</w:t>
      </w:r>
    </w:p>
    <w:p>
      <w:pPr>
        <w:pStyle w:val="BlockText"/>
      </w:pPr>
      <w:r>
        <w:t xml:space="preserve">इन्द्रस्य संबन्धिन्यो रातयो धनदानानि पूर्वीरनादिकालसिद्धाः प्रभूता वा । अस्येन्द्रस्य सर्वदा यष्टृभ्यो धनदानमेव स्वभाव इत्यर्थः । एवं सतीदानीन्तनो ऽपि यजमानः स्तोतृभ्य ऋत्विग्भ्यो गोमतो गोसहितस्य वाजस्यान्नस्य पर्याप्तं मघं धनं यदि मंहते दक्षिणारूपेण ददाति तदानीमूतयो बहुधनदानपूर्वकाणीन्द्रस्यास्मद्विषयाणि रक्षणानि न वि दस्यन्ति । विशेषेण नोपक्षीयन्ते । मघं रेक्ण इत्यादिष्वष्टाविंशतिसंख्याकेषु धननामसु मघशब्दः पठितः । दाति दाशतीत्यादिषु दशसु दानकर्मसु मंहत इति पठितम् ॥ पूर्वीः । पुरुशब्दस्य वोतो गुणवचनादिति ङीष् । आद्यस्योकारस्य दीर्घश्छान्दसः । जसि दीर्घाज्जसि चेति निषेधं बाधित्वा वा छन्दसि । पा. ६-१-१०६ । इति पूर्वसवर्णदीर्घत्वम् । ङीषः प्रत्ययस्वरेणोदात्तत्वम् । रातयः । मन्त्रे वृषेषपचमनविदभूवीरा उदात्तः । पा. ३-३-९६ । इति क्तिन उदात्तत्वम् । दस्यन्ति । दसु उपक्षये । दिवादिभ्यः श्यन् । निघातः । ऊतयः । ऊतियूतीत्यादिना क्तिन्नुदात्तः । यदि । निपातत्वादाद्युदात्तः । संहितायां निपातस्य चेति दीर्घत्वम् । स्तोतृभ्यः । ष्टुञ् स्तुतौ । धात्वादेः षः सः । तृचश्चित्त्वादन्तोदात्तत्वम् । मंहते । शपः पित्त्वादुदात्तत्वम् । तिङश्च लसार्वधातुकस्वरेण । तिङ्ङतिङ इति निघातो न भवति निपातैर्यद्यदिहन्तेति निषेधात् ॥</w:t>
      </w:r>
    </w:p>
    <w:p>
      <w:pPr>
        <w:pStyle w:val="BlockText"/>
      </w:pPr>
      <w:r>
        <w:rPr>
          <w:iCs/>
          <w:i/>
        </w:rPr>
        <w:t xml:space="preserve">indrasya saṃbandhinyo rātayo dhanadānāni pūrvīranādikālasiddhāḥ prabhūtā vā | asyendrasya sarvadā yaṣṭṛbhyo dhanadānameva svabhāva ityarthaḥ | evaṃ satīdānīntano ’pi yajamānaḥ stotṛbhya ṛtvigbhyo gomato gosahitasya vājasyānnasya paryāptaṃ maghaṃ dhanaṃ yadi maṃhate dakṣiṇārūpeṇa dadāti tadānīmūtayo bahudhanadānapūrvakāṇīndrasyāsmadviṣayāṇi rakṣaṇāni na vi dasyanti | viśeṣeṇa nopakṣīyante | maghaṃ rekṇa ityādiṣvaṣṭāviṃśatisaṃkhyākeṣu dhananāmasu maghaśabdaḥ paṭhitaḥ | dāti dāśatītyādiṣu daśasu dānakarmasu maṃhata iti paṭhitam || pūrvīḥ | puruśabdasya voto guṇavacanāditi ṅīṣ | ādyasyokārasya dīrghaśchāndasaḥ | jasi dīrghājjasi ceti niṣedhaṃ bādhitvā vā chandasi | pā. 6-1-106 | iti pūrvasavarṇadīrghatvam | ṅīṣaḥ pratyayasvareṇodāttatvam | rātayaḥ | mantre vṛṣeṣapacamanavidabhūvīrā udāttaḥ | pā. 3-3-96 | iti ktina udāttatvam | dasyanti | dasu upakṣaye | divādibhyaḥ śyan | nighātaḥ | ūtayaḥ | ūtiyūtītyādinā ktinnudāttaḥ | yadi | nipātatvādādyudāttaḥ | saṃhitāyāṃ nipātasya ceti dīrghatvam | stotṛbhyaḥ | ṣṭuñ stutau | dhātvādeḥ ṣaḥ saḥ | tṛcaścittvādantodāttatvam | maṃhate | śapaḥ pittvādudāttatvam | tiṅaśca lasārvadhātukasvareṇa | tiṅṅatiṅa iti nighāto na bhavati nipātairyadyadihanteti niṣedhāt ||</w:t>
      </w:r>
    </w:p>
    <w:p>
      <w:pPr>
        <w:pStyle w:val="FirstParagraph"/>
      </w:pPr>
      <w:r>
        <w:rPr>
          <w:bCs/>
          <w:b/>
        </w:rPr>
        <w:t xml:space="preserve">Translation:</w:t>
      </w:r>
      <w:r>
        <w:t xml:space="preserve"> </w:t>
      </w:r>
      <w:r>
        <w:t xml:space="preserve">“</w:t>
      </w:r>
      <w:r>
        <w:t xml:space="preserve">The</w:t>
      </w:r>
      <w:r>
        <w:t xml:space="preserve"> </w:t>
      </w:r>
      <w:r>
        <w:rPr>
          <w:iCs/>
          <w:i/>
        </w:rPr>
        <w:t xml:space="preserve">rātayaḥ</w:t>
      </w:r>
      <w:r>
        <w:t xml:space="preserve"> </w:t>
      </w:r>
      <w:r>
        <w:t xml:space="preserve">— gifts of wealth — of Indra are</w:t>
      </w:r>
      <w:r>
        <w:t xml:space="preserve"> </w:t>
      </w:r>
      <w:r>
        <w:rPr>
          <w:iCs/>
          <w:i/>
        </w:rPr>
        <w:t xml:space="preserve">pūrvīḥ</w:t>
      </w:r>
      <w:r>
        <w:t xml:space="preserve">: established from beginningless time, or abundant. The sense: to give wealth to those who sacrifice is always this Indra’s very nature. This being so, if even the present-day sacrificer gives to the</w:t>
      </w:r>
      <w:r>
        <w:t xml:space="preserve"> </w:t>
      </w:r>
      <w:r>
        <w:rPr>
          <w:iCs/>
          <w:i/>
        </w:rPr>
        <w:t xml:space="preserve">stotṛs</w:t>
      </w:r>
      <w:r>
        <w:t xml:space="preserve">, the priests, as sacrificial fee,</w:t>
      </w:r>
      <w:r>
        <w:t xml:space="preserve"> </w:t>
      </w:r>
      <w:r>
        <w:rPr>
          <w:iCs/>
          <w:i/>
        </w:rPr>
        <w:t xml:space="preserve">magham</w:t>
      </w:r>
      <w:r>
        <w:t xml:space="preserve"> </w:t>
      </w:r>
      <w:r>
        <w:t xml:space="preserve">— sufficient wealth — of</w:t>
      </w:r>
      <w:r>
        <w:t xml:space="preserve"> </w:t>
      </w:r>
      <w:r>
        <w:rPr>
          <w:iCs/>
          <w:i/>
        </w:rPr>
        <w:t xml:space="preserve">vāja</w:t>
      </w:r>
      <w:r>
        <w:t xml:space="preserve">, food, accompanied by cows, then Indra’s</w:t>
      </w:r>
      <w:r>
        <w:t xml:space="preserve"> </w:t>
      </w:r>
      <w:r>
        <w:rPr>
          <w:iCs/>
          <w:i/>
        </w:rPr>
        <w:t xml:space="preserve">ūtayaḥ</w:t>
      </w:r>
      <w:r>
        <w:t xml:space="preserve"> </w:t>
      </w:r>
      <w:r>
        <w:t xml:space="preserve">— protections, preceded by many gifts of wealth — directed to us</w:t>
      </w:r>
      <w:r>
        <w:t xml:space="preserve"> </w:t>
      </w:r>
      <w:r>
        <w:rPr>
          <w:iCs/>
          <w:i/>
        </w:rPr>
        <w:t xml:space="preserve">na vi dasyanti</w:t>
      </w:r>
      <w:r>
        <w:t xml:space="preserve">, are not specially diminished. Among the twenty-eight words for</w:t>
      </w:r>
      <w:r>
        <w:t xml:space="preserve"> </w:t>
      </w:r>
      <w:r>
        <w:t xml:space="preserve">‘</w:t>
      </w:r>
      <w:r>
        <w:t xml:space="preserve">wealth</w:t>
      </w:r>
      <w:r>
        <w:t xml:space="preserve">’</w:t>
      </w:r>
      <w:r>
        <w:t xml:space="preserve"> </w:t>
      </w:r>
      <w:r>
        <w:t xml:space="preserve">beginning with</w:t>
      </w:r>
      <w:r>
        <w:t xml:space="preserve"> </w:t>
      </w:r>
      <w:r>
        <w:rPr>
          <w:iCs/>
          <w:i/>
        </w:rPr>
        <w:t xml:space="preserve">magham</w:t>
      </w:r>
      <w:r>
        <w:t xml:space="preserve"> </w:t>
      </w:r>
      <w:r>
        <w:t xml:space="preserve">and</w:t>
      </w:r>
      <w:r>
        <w:t xml:space="preserve"> </w:t>
      </w:r>
      <w:r>
        <w:rPr>
          <w:iCs/>
          <w:i/>
        </w:rPr>
        <w:t xml:space="preserve">rekṇaḥ</w:t>
      </w:r>
      <w:r>
        <w:t xml:space="preserve">,</w:t>
      </w:r>
      <w:r>
        <w:t xml:space="preserve"> </w:t>
      </w:r>
      <w:r>
        <w:rPr>
          <w:iCs/>
          <w:i/>
        </w:rPr>
        <w:t xml:space="preserve">magha</w:t>
      </w:r>
      <w:r>
        <w:t xml:space="preserve"> </w:t>
      </w:r>
      <w:r>
        <w:t xml:space="preserve">is read; among the ten words for acts of giving beginning with</w:t>
      </w:r>
      <w:r>
        <w:t xml:space="preserve"> </w:t>
      </w:r>
      <w:r>
        <w:rPr>
          <w:iCs/>
          <w:i/>
        </w:rPr>
        <w:t xml:space="preserve">dāti</w:t>
      </w:r>
      <w:r>
        <w:t xml:space="preserve">,</w:t>
      </w:r>
      <w:r>
        <w:t xml:space="preserve"> </w:t>
      </w:r>
      <w:r>
        <w:rPr>
          <w:iCs/>
          <w:i/>
        </w:rPr>
        <w:t xml:space="preserve">dāśati</w:t>
      </w:r>
      <w:r>
        <w:t xml:space="preserve">,</w:t>
      </w:r>
      <w:r>
        <w:t xml:space="preserve"> </w:t>
      </w:r>
      <w:r>
        <w:rPr>
          <w:iCs/>
          <w:i/>
        </w:rPr>
        <w:t xml:space="preserve">maṃhate</w:t>
      </w:r>
      <w:r>
        <w:t xml:space="preserve"> </w:t>
      </w:r>
      <w:r>
        <w:t xml:space="preserve">is read.</w:t>
      </w:r>
      <w:r>
        <w:t xml:space="preserve">”</w:t>
      </w:r>
      <w:r>
        <w:t xml:space="preserve"> </w:t>
      </w:r>
      <w:r>
        <w:t xml:space="preserve">(Grammatical tail:</w:t>
      </w:r>
      <w:r>
        <w:t xml:space="preserve"> </w:t>
      </w:r>
      <w:r>
        <w:rPr>
          <w:iCs/>
          <w:i/>
        </w:rPr>
        <w:t xml:space="preserve">pūrvīḥ</w:t>
      </w:r>
      <w:r>
        <w:t xml:space="preserve"> </w:t>
      </w:r>
      <w:r>
        <w:t xml:space="preserve">—</w:t>
      </w:r>
      <w:r>
        <w:t xml:space="preserve"> </w:t>
      </w:r>
      <w:r>
        <w:rPr>
          <w:iCs/>
          <w:i/>
        </w:rPr>
        <w:t xml:space="preserve">ṅīṣ</w:t>
      </w:r>
      <w:r>
        <w:t xml:space="preserve"> </w:t>
      </w:r>
      <w:r>
        <w:t xml:space="preserve">after</w:t>
      </w:r>
      <w:r>
        <w:t xml:space="preserve"> </w:t>
      </w:r>
      <w:r>
        <w:rPr>
          <w:iCs/>
          <w:i/>
        </w:rPr>
        <w:t xml:space="preserve">puru</w:t>
      </w:r>
      <w:r>
        <w:t xml:space="preserve"> </w:t>
      </w:r>
      <w:r>
        <w:t xml:space="preserve">by</w:t>
      </w:r>
      <w:r>
        <w:t xml:space="preserve"> </w:t>
      </w:r>
      <w:r>
        <w:t xml:space="preserve">“</w:t>
      </w:r>
      <w:r>
        <w:t xml:space="preserve">voto guṇavacanāt</w:t>
      </w:r>
      <w:r>
        <w:t xml:space="preserve">”</w:t>
      </w:r>
      <w:r>
        <w:t xml:space="preserve">, the first</w:t>
      </w:r>
      <w:r>
        <w:t xml:space="preserve"> </w:t>
      </w:r>
      <w:r>
        <w:rPr>
          <w:iCs/>
          <w:i/>
        </w:rPr>
        <w:t xml:space="preserve">u</w:t>
      </w:r>
      <w:r>
        <w:t xml:space="preserve"> </w:t>
      </w:r>
      <w:r>
        <w:t xml:space="preserve">lengthened as a Vedic form, and</w:t>
      </w:r>
      <w:r>
        <w:t xml:space="preserve"> </w:t>
      </w:r>
      <w:r>
        <w:t xml:space="preserve">“</w:t>
      </w:r>
      <w:r>
        <w:t xml:space="preserve">vā chandasi</w:t>
      </w:r>
      <w:r>
        <w:t xml:space="preserve">”</w:t>
      </w:r>
      <w:r>
        <w:t xml:space="preserve"> </w:t>
      </w:r>
      <w:r>
        <w:t xml:space="preserve">(Pā. 6-1-106) sets aside the bar of</w:t>
      </w:r>
      <w:r>
        <w:t xml:space="preserve"> </w:t>
      </w:r>
      <w:r>
        <w:t xml:space="preserve">“</w:t>
      </w:r>
      <w:r>
        <w:t xml:space="preserve">dīrghāj jasi ca</w:t>
      </w:r>
      <w:r>
        <w:t xml:space="preserve">”</w:t>
      </w:r>
      <w:r>
        <w:t xml:space="preserve"> </w:t>
      </w:r>
      <w:r>
        <w:t xml:space="preserve">so the</w:t>
      </w:r>
      <w:r>
        <w:t xml:space="preserve"> </w:t>
      </w:r>
      <w:r>
        <w:rPr>
          <w:iCs/>
          <w:i/>
        </w:rPr>
        <w:t xml:space="preserve">pūrvasavarṇa</w:t>
      </w:r>
      <w:r>
        <w:t xml:space="preserve"> </w:t>
      </w:r>
      <w:r>
        <w:t xml:space="preserve">lengthening applies;</w:t>
      </w:r>
      <w:r>
        <w:t xml:space="preserve"> </w:t>
      </w:r>
      <w:r>
        <w:rPr>
          <w:iCs/>
          <w:i/>
        </w:rPr>
        <w:t xml:space="preserve">ṅīṣ</w:t>
      </w:r>
      <w:r>
        <w:t xml:space="preserve"> </w:t>
      </w:r>
      <w:r>
        <w:t xml:space="preserve">udātta by the suffix accent;</w:t>
      </w:r>
      <w:r>
        <w:t xml:space="preserve"> </w:t>
      </w:r>
      <w:r>
        <w:rPr>
          <w:iCs/>
          <w:i/>
        </w:rPr>
        <w:t xml:space="preserve">rātayaḥ</w:t>
      </w:r>
      <w:r>
        <w:t xml:space="preserve"> </w:t>
      </w:r>
      <w:r>
        <w:t xml:space="preserve">—</w:t>
      </w:r>
      <w:r>
        <w:t xml:space="preserve"> </w:t>
      </w:r>
      <w:r>
        <w:rPr>
          <w:iCs/>
          <w:i/>
        </w:rPr>
        <w:t xml:space="preserve">ktin</w:t>
      </w:r>
      <w:r>
        <w:t xml:space="preserve"> </w:t>
      </w:r>
      <w:r>
        <w:t xml:space="preserve">udātta by</w:t>
      </w:r>
      <w:r>
        <w:t xml:space="preserve"> </w:t>
      </w:r>
      <w:r>
        <w:t xml:space="preserve">“</w:t>
      </w:r>
      <w:r>
        <w:t xml:space="preserve">mantre vṛṣeṣa-paca-mana-vida-bhū-vīrā udāttaḥ</w:t>
      </w:r>
      <w:r>
        <w:t xml:space="preserve">”</w:t>
      </w:r>
      <w:r>
        <w:t xml:space="preserve"> </w:t>
      </w:r>
      <w:r>
        <w:t xml:space="preserve">(Pā. 3-3-96);</w:t>
      </w:r>
      <w:r>
        <w:t xml:space="preserve"> </w:t>
      </w:r>
      <w:r>
        <w:rPr>
          <w:iCs/>
          <w:i/>
        </w:rPr>
        <w:t xml:space="preserve">dasyanti</w:t>
      </w:r>
      <w:r>
        <w:t xml:space="preserve"> </w:t>
      </w:r>
      <w:r>
        <w:t xml:space="preserve">—</w:t>
      </w:r>
      <w:r>
        <w:t xml:space="preserve"> </w:t>
      </w:r>
      <w:r>
        <w:rPr>
          <w:iCs/>
          <w:i/>
        </w:rPr>
        <w:t xml:space="preserve">dasu upakṣaye</w:t>
      </w:r>
      <w:r>
        <w:t xml:space="preserve">,</w:t>
      </w:r>
      <w:r>
        <w:t xml:space="preserve"> </w:t>
      </w:r>
      <w:r>
        <w:rPr>
          <w:iCs/>
          <w:i/>
        </w:rPr>
        <w:t xml:space="preserve">śyan</w:t>
      </w:r>
      <w:r>
        <w:t xml:space="preserve"> </w:t>
      </w:r>
      <w:r>
        <w:t xml:space="preserve">by</w:t>
      </w:r>
      <w:r>
        <w:t xml:space="preserve"> </w:t>
      </w:r>
      <w:r>
        <w:t xml:space="preserve">“</w:t>
      </w:r>
      <w:r>
        <w:t xml:space="preserve">divādibhyaḥ śyan</w:t>
      </w:r>
      <w:r>
        <w:t xml:space="preserve">”</w:t>
      </w:r>
      <w:r>
        <w:t xml:space="preserve">, unaccented;</w:t>
      </w:r>
      <w:r>
        <w:t xml:space="preserve"> </w:t>
      </w:r>
      <w:r>
        <w:rPr>
          <w:iCs/>
          <w:i/>
        </w:rPr>
        <w:t xml:space="preserve">ūtayaḥ</w:t>
      </w:r>
      <w:r>
        <w:t xml:space="preserve"> </w:t>
      </w:r>
      <w:r>
        <w:t xml:space="preserve">—</w:t>
      </w:r>
      <w:r>
        <w:t xml:space="preserve"> </w:t>
      </w:r>
      <w:r>
        <w:rPr>
          <w:iCs/>
          <w:i/>
        </w:rPr>
        <w:t xml:space="preserve">ktin</w:t>
      </w:r>
      <w:r>
        <w:t xml:space="preserve"> </w:t>
      </w:r>
      <w:r>
        <w:t xml:space="preserve">udātta by</w:t>
      </w:r>
      <w:r>
        <w:t xml:space="preserve"> </w:t>
      </w:r>
      <w:r>
        <w:t xml:space="preserve">“</w:t>
      </w:r>
      <w:r>
        <w:t xml:space="preserve">ūti-yūti…</w:t>
      </w:r>
      <w:r>
        <w:t xml:space="preserve">”</w:t>
      </w:r>
      <w:r>
        <w:t xml:space="preserve">;</w:t>
      </w:r>
      <w:r>
        <w:t xml:space="preserve"> </w:t>
      </w:r>
      <w:r>
        <w:rPr>
          <w:iCs/>
          <w:i/>
        </w:rPr>
        <w:t xml:space="preserve">yadi</w:t>
      </w:r>
      <w:r>
        <w:t xml:space="preserve"> </w:t>
      </w:r>
      <w:r>
        <w:t xml:space="preserve">— initial-udātta as a particle, long in the Saṃhitā by</w:t>
      </w:r>
      <w:r>
        <w:t xml:space="preserve"> </w:t>
      </w:r>
      <w:r>
        <w:t xml:space="preserve">“</w:t>
      </w:r>
      <w:r>
        <w:t xml:space="preserve">nipātasya ca</w:t>
      </w:r>
      <w:r>
        <w:t xml:space="preserve">”</w:t>
      </w:r>
      <w:r>
        <w:t xml:space="preserve">;</w:t>
      </w:r>
      <w:r>
        <w:t xml:space="preserve"> </w:t>
      </w:r>
      <w:r>
        <w:rPr>
          <w:iCs/>
          <w:i/>
        </w:rPr>
        <w:t xml:space="preserve">stotṛbhyaḥ</w:t>
      </w:r>
      <w:r>
        <w:t xml:space="preserve"> </w:t>
      </w:r>
      <w:r>
        <w:t xml:space="preserve">—</w:t>
      </w:r>
      <w:r>
        <w:t xml:space="preserve"> </w:t>
      </w:r>
      <w:r>
        <w:rPr>
          <w:iCs/>
          <w:i/>
        </w:rPr>
        <w:t xml:space="preserve">ṣṭuñ stutau</w:t>
      </w:r>
      <w:r>
        <w:t xml:space="preserve">,</w:t>
      </w:r>
      <w:r>
        <w:t xml:space="preserve"> </w:t>
      </w:r>
      <w:r>
        <w:rPr>
          <w:iCs/>
          <w:i/>
        </w:rPr>
        <w:t xml:space="preserve">ṣ</w:t>
      </w:r>
      <w:r>
        <w:t xml:space="preserve"> </w:t>
      </w:r>
      <w:r>
        <w:t xml:space="preserve">→</w:t>
      </w:r>
      <w:r>
        <w:t xml:space="preserve"> </w:t>
      </w:r>
      <w:r>
        <w:rPr>
          <w:iCs/>
          <w:i/>
        </w:rPr>
        <w:t xml:space="preserve">s</w:t>
      </w:r>
      <w:r>
        <w:t xml:space="preserve">, final-udātta because</w:t>
      </w:r>
      <w:r>
        <w:t xml:space="preserve"> </w:t>
      </w:r>
      <w:r>
        <w:rPr>
          <w:iCs/>
          <w:i/>
        </w:rPr>
        <w:t xml:space="preserve">tṛc</w:t>
      </w:r>
      <w:r>
        <w:t xml:space="preserve"> </w:t>
      </w:r>
      <w:r>
        <w:t xml:space="preserve">is</w:t>
      </w:r>
      <w:r>
        <w:t xml:space="preserve"> </w:t>
      </w:r>
      <w:r>
        <w:rPr>
          <w:iCs/>
          <w:i/>
        </w:rPr>
        <w:t xml:space="preserve">cit</w:t>
      </w:r>
      <w:r>
        <w:t xml:space="preserve">;</w:t>
      </w:r>
      <w:r>
        <w:t xml:space="preserve"> </w:t>
      </w:r>
      <w:r>
        <w:rPr>
          <w:iCs/>
          <w:i/>
        </w:rPr>
        <w:t xml:space="preserve">maṃhate</w:t>
      </w:r>
      <w:r>
        <w:t xml:space="preserve"> </w:t>
      </w:r>
      <w:r>
        <w:t xml:space="preserve">— the</w:t>
      </w:r>
      <w:r>
        <w:t xml:space="preserve"> </w:t>
      </w:r>
      <w:r>
        <w:rPr>
          <w:iCs/>
          <w:i/>
        </w:rPr>
        <w:t xml:space="preserve">śap</w:t>
      </w:r>
      <w:r>
        <w:t xml:space="preserve"> </w:t>
      </w:r>
      <w:r>
        <w:t xml:space="preserve">being</w:t>
      </w:r>
      <w:r>
        <w:t xml:space="preserve"> </w:t>
      </w:r>
      <w:r>
        <w:rPr>
          <w:iCs/>
          <w:i/>
        </w:rPr>
        <w:t xml:space="preserve">pit</w:t>
      </w:r>
      <w:r>
        <w:t xml:space="preserve">,</w:t>
      </w:r>
      <w:r>
        <w:t xml:space="preserve"> </w:t>
      </w:r>
      <w:r>
        <w:t xml:space="preserve">“</w:t>
      </w:r>
      <w:r>
        <w:t xml:space="preserve">udātta</w:t>
      </w:r>
      <w:r>
        <w:t xml:space="preserve">”</w:t>
      </w:r>
      <w:r>
        <w:t xml:space="preserve"> </w:t>
      </w:r>
      <w:r>
        <w:t xml:space="preserve">[sic, as printed; read</w:t>
      </w:r>
      <w:r>
        <w:t xml:space="preserve"> </w:t>
      </w:r>
      <w:r>
        <w:rPr>
          <w:iCs/>
          <w:i/>
        </w:rPr>
        <w:t xml:space="preserve">anudātta</w:t>
      </w:r>
      <w:r>
        <w:t xml:space="preserve">], the ending by the</w:t>
      </w:r>
      <w:r>
        <w:t xml:space="preserve"> </w:t>
      </w:r>
      <w:r>
        <w:rPr>
          <w:iCs/>
          <w:i/>
        </w:rPr>
        <w:t xml:space="preserve">lasārvadhātuka</w:t>
      </w:r>
      <w:r>
        <w:t xml:space="preserve"> </w:t>
      </w:r>
      <w:r>
        <w:t xml:space="preserve">accent; not unaccented by</w:t>
      </w:r>
      <w:r>
        <w:t xml:space="preserve"> </w:t>
      </w:r>
      <w:r>
        <w:t xml:space="preserve">“</w:t>
      </w:r>
      <w:r>
        <w:t xml:space="preserve">tiṅṅ atiṅaḥ</w:t>
      </w:r>
      <w:r>
        <w:t xml:space="preserve">”</w:t>
      </w:r>
      <w:r>
        <w:t xml:space="preserve"> </w:t>
      </w:r>
      <w:r>
        <w:t xml:space="preserve">because of the bar</w:t>
      </w:r>
      <w:r>
        <w:t xml:space="preserve"> </w:t>
      </w:r>
      <w:r>
        <w:t xml:space="preserve">“</w:t>
      </w:r>
      <w:r>
        <w:t xml:space="preserve">nipātair yadyadi-hanta…</w:t>
      </w:r>
      <w:r>
        <w:t xml:space="preserve">”</w:t>
      </w:r>
      <w:r>
        <w:t xml:space="preserve">.)</w:t>
      </w:r>
    </w:p>
    <w:p>
      <w:pPr>
        <w:pStyle w:val="BodyText"/>
      </w:pPr>
      <w:r>
        <w:rPr>
          <w:bCs/>
          <w:b/>
        </w:rPr>
        <w:t xml:space="preserve">॥ Prati-padārthaḥ ॥</w:t>
      </w:r>
    </w:p>
    <w:p>
      <w:pPr>
        <w:pStyle w:val="BodyText"/>
      </w:pPr>
      <w:r>
        <w:rPr>
          <w:bCs/>
          <w:b/>
        </w:rPr>
        <w:t xml:space="preserve">स्तोतृभ्यः (stotṛbhyaḥ)</w:t>
      </w:r>
      <w:r>
        <w:t xml:space="preserve"> </w:t>
      </w:r>
      <w:r>
        <w:t xml:space="preserve">—</w:t>
      </w:r>
      <w:r>
        <w:t xml:space="preserve"> </w:t>
      </w:r>
      <w:r>
        <w:rPr>
          <w:iCs/>
          <w:i/>
        </w:rPr>
        <w:t xml:space="preserve">(the sacrificer)</w:t>
      </w:r>
      <w:r>
        <w:t xml:space="preserve"> </w:t>
      </w:r>
      <w:r>
        <w:t xml:space="preserve">to the priests who praise Indra |</w:t>
      </w:r>
      <w:r>
        <w:t xml:space="preserve"> </w:t>
      </w:r>
      <w:r>
        <w:rPr>
          <w:bCs/>
          <w:b/>
        </w:rPr>
        <w:t xml:space="preserve">गोमतः (gomataḥ)</w:t>
      </w:r>
      <w:r>
        <w:t xml:space="preserve"> </w:t>
      </w:r>
      <w:r>
        <w:t xml:space="preserve">— accompanied by cows |</w:t>
      </w:r>
      <w:r>
        <w:t xml:space="preserve"> </w:t>
      </w:r>
      <w:r>
        <w:rPr>
          <w:bCs/>
          <w:b/>
        </w:rPr>
        <w:t xml:space="preserve">वाजस्य (vājasya)</w:t>
      </w:r>
      <w:r>
        <w:t xml:space="preserve"> </w:t>
      </w:r>
      <w:r>
        <w:t xml:space="preserve">— in return for food |</w:t>
      </w:r>
      <w:r>
        <w:t xml:space="preserve"> </w:t>
      </w:r>
      <w:r>
        <w:rPr>
          <w:bCs/>
          <w:b/>
        </w:rPr>
        <w:t xml:space="preserve">मघम् (magham)</w:t>
      </w:r>
      <w:r>
        <w:t xml:space="preserve"> </w:t>
      </w:r>
      <w:r>
        <w:t xml:space="preserve">— wealth |</w:t>
      </w:r>
      <w:r>
        <w:t xml:space="preserve"> </w:t>
      </w:r>
      <w:r>
        <w:rPr>
          <w:bCs/>
          <w:b/>
        </w:rPr>
        <w:t xml:space="preserve">यदि मंहते (yadi maṃhate)</w:t>
      </w:r>
      <w:r>
        <w:t xml:space="preserve"> </w:t>
      </w:r>
      <w:r>
        <w:t xml:space="preserve">— if he gives, at the time when he gives as the sacrificial fee |</w:t>
      </w:r>
      <w:r>
        <w:t xml:space="preserve"> </w:t>
      </w:r>
      <w:r>
        <w:rPr>
          <w:bCs/>
          <w:b/>
        </w:rPr>
        <w:t xml:space="preserve">इन्द्रस्य (indrasya)</w:t>
      </w:r>
      <w:r>
        <w:t xml:space="preserve"> </w:t>
      </w:r>
      <w:r>
        <w:t xml:space="preserve">— of Indra |</w:t>
      </w:r>
      <w:r>
        <w:t xml:space="preserve"> </w:t>
      </w:r>
      <w:r>
        <w:rPr>
          <w:bCs/>
          <w:b/>
        </w:rPr>
        <w:t xml:space="preserve">रातयः (rātayaḥ)</w:t>
      </w:r>
      <w:r>
        <w:t xml:space="preserve"> </w:t>
      </w:r>
      <w:r>
        <w:t xml:space="preserve">— gifts of wealth and the like |</w:t>
      </w:r>
      <w:r>
        <w:t xml:space="preserve"> </w:t>
      </w:r>
      <w:r>
        <w:rPr>
          <w:bCs/>
          <w:b/>
        </w:rPr>
        <w:t xml:space="preserve">ऊतयः (ūtayaḥ)</w:t>
      </w:r>
      <w:r>
        <w:t xml:space="preserve"> </w:t>
      </w:r>
      <w:r>
        <w:t xml:space="preserve">— protections |</w:t>
      </w:r>
      <w:r>
        <w:t xml:space="preserve"> </w:t>
      </w:r>
      <w:r>
        <w:rPr>
          <w:bCs/>
          <w:b/>
        </w:rPr>
        <w:t xml:space="preserve">पूर्वीः (pūrvīḥ)</w:t>
      </w:r>
      <w:r>
        <w:t xml:space="preserve"> </w:t>
      </w:r>
      <w:r>
        <w:t xml:space="preserve">— [those] that have been from ancient times |</w:t>
      </w:r>
      <w:r>
        <w:t xml:space="preserve"> </w:t>
      </w:r>
      <w:r>
        <w:rPr>
          <w:bCs/>
          <w:b/>
        </w:rPr>
        <w:t xml:space="preserve">न वि दस्यन्ति (na vi dasyanti)</w:t>
      </w:r>
      <w:r>
        <w:t xml:space="preserve"> </w:t>
      </w:r>
      <w:r>
        <w:t xml:space="preserve">— do not diminish.</w:t>
      </w:r>
    </w:p>
    <w:p>
      <w:pPr>
        <w:pStyle w:val="BodyText"/>
      </w:pPr>
      <w:r>
        <w:rPr>
          <w:bCs/>
          <w:b/>
        </w:rPr>
        <w:t xml:space="preserve">॥ Bhāvārthaḥ ॥</w:t>
      </w:r>
    </w:p>
    <w:p>
      <w:pPr>
        <w:pStyle w:val="BodyText"/>
      </w:pPr>
      <w:r>
        <w:t xml:space="preserve">When the sacrificer who performs the sacrifice gives to the priests who praise Indra cows, food and wealth as the sacrificial fee, then, however much Indra has given that sacrificer before, he does not reduce in the least his giving of wealth, protection and the like now.</w:t>
      </w:r>
    </w:p>
    <w:p>
      <w:pPr>
        <w:pStyle w:val="BodyText"/>
      </w:pPr>
      <w:r>
        <w:rPr>
          <w:bCs/>
          <w:b/>
        </w:rPr>
        <w:t xml:space="preserve">॥ English Translation ॥</w:t>
      </w:r>
      <w:r>
        <w:t xml:space="preserve"> </w:t>
      </w:r>
      <w:r>
        <w:rPr>
          <w:iCs/>
          <w:i/>
        </w:rPr>
        <w:t xml:space="preserve">(as printed in the source)</w:t>
      </w:r>
    </w:p>
    <w:p>
      <w:pPr>
        <w:pStyle w:val="BlockText"/>
      </w:pPr>
      <w:r>
        <w:t xml:space="preserve">The former liberalities of Indra and his protection will not be wanting to him who presents wealth, food, and cattle to the reciters of the hymns.</w:t>
      </w:r>
    </w:p>
    <w:bookmarkEnd w:id="468"/>
    <w:bookmarkStart w:id="469" w:name="Xd53a41cab925817934cf529b0a6d83b25a71fb6"/>
    <w:p>
      <w:pPr>
        <w:pStyle w:val="Heading3"/>
      </w:pPr>
      <w:r>
        <w:t xml:space="preserve">Page 458 — Rik 3: Special Topics and grammar</w:t>
      </w:r>
    </w:p>
    <w:p>
      <w:pPr>
        <w:pStyle w:val="FirstParagraph"/>
      </w:pPr>
      <w:r>
        <w:rPr>
          <w:bCs/>
          <w:b/>
        </w:rPr>
        <w:t xml:space="preserve">॥ Viśeṣa-viṣayagaḷu (Special Topics) ॥</w:t>
      </w:r>
    </w:p>
    <w:p>
      <w:pPr>
        <w:pStyle w:val="BodyText"/>
      </w:pPr>
      <w:r>
        <w:t xml:space="preserve">The sense of this rik is somewhat strained. To the sacrificer who performs the sacrifice, Indra has many times given wealth and the like, and protection in battle. Even so, when that sacrificer gives wealth, food, cows and the like to the priests who praise Indra, Indra will again give that sacrificer food and other nourishment, wealth and protection. What he gave before he gives again now, and there is no diminution at all: that is the idea.</w:t>
      </w:r>
    </w:p>
    <w:p>
      <w:pPr>
        <w:pStyle w:val="BodyText"/>
      </w:pPr>
      <w:r>
        <w:rPr>
          <w:bCs/>
          <w:b/>
        </w:rPr>
        <w:t xml:space="preserve">“</w:t>
      </w:r>
      <w:r>
        <w:rPr>
          <w:bCs/>
          <w:b/>
        </w:rPr>
        <w:t xml:space="preserve">Pūrvīḥ</w:t>
      </w:r>
      <w:r>
        <w:rPr>
          <w:bCs/>
          <w:b/>
        </w:rPr>
        <w:t xml:space="preserve">”</w:t>
      </w:r>
      <w:r>
        <w:t xml:space="preserve"> </w:t>
      </w:r>
      <w:r>
        <w:t xml:space="preserve">— this word may be given the sense</w:t>
      </w:r>
      <w:r>
        <w:t xml:space="preserve"> </w:t>
      </w:r>
      <w:r>
        <w:rPr>
          <w:iCs/>
          <w:i/>
        </w:rPr>
        <w:t xml:space="preserve">pūrvasya sambandhinyaḥ</w:t>
      </w:r>
      <w:r>
        <w:t xml:space="preserve"> </w:t>
      </w:r>
      <w:r>
        <w:t xml:space="preserve">—</w:t>
      </w:r>
      <w:r>
        <w:t xml:space="preserve"> </w:t>
      </w:r>
      <w:r>
        <w:t xml:space="preserve">“</w:t>
      </w:r>
      <w:r>
        <w:t xml:space="preserve">those connected with former times,</w:t>
      </w:r>
      <w:r>
        <w:t xml:space="preserve">”</w:t>
      </w:r>
      <w:r>
        <w:t xml:space="preserve"> </w:t>
      </w:r>
      <w:r>
        <w:t xml:space="preserve">“</w:t>
      </w:r>
      <w:r>
        <w:t xml:space="preserve">of former relation</w:t>
      </w:r>
      <w:r>
        <w:t xml:space="preserve">”</w:t>
      </w:r>
      <w:r>
        <w:t xml:space="preserve"> </w:t>
      </w:r>
      <w:r>
        <w:t xml:space="preserve">— or</w:t>
      </w:r>
      <w:r>
        <w:t xml:space="preserve"> </w:t>
      </w:r>
      <w:r>
        <w:rPr>
          <w:iCs/>
          <w:i/>
        </w:rPr>
        <w:t xml:space="preserve">puru</w:t>
      </w:r>
      <w:r>
        <w:t xml:space="preserve"> </w:t>
      </w:r>
      <w:r>
        <w:t xml:space="preserve">= many;</w:t>
      </w:r>
      <w:r>
        <w:t xml:space="preserve"> </w:t>
      </w:r>
      <w:r>
        <w:rPr>
          <w:iCs/>
          <w:i/>
        </w:rPr>
        <w:t xml:space="preserve">pūrvyaḥ</w:t>
      </w:r>
      <w:r>
        <w:t xml:space="preserve"> </w:t>
      </w:r>
      <w:r>
        <w:t xml:space="preserve">=</w:t>
      </w:r>
      <w:r>
        <w:t xml:space="preserve"> </w:t>
      </w:r>
      <w:r>
        <w:t xml:space="preserve">“</w:t>
      </w:r>
      <w:r>
        <w:t xml:space="preserve">many</w:t>
      </w:r>
      <w:r>
        <w:t xml:space="preserve">”</w:t>
      </w:r>
      <w:r>
        <w:t xml:space="preserve">: abundant, plentiful, much.</w:t>
      </w:r>
    </w:p>
    <w:p>
      <w:pPr>
        <w:pStyle w:val="BodyText"/>
      </w:pPr>
      <w:r>
        <w:rPr>
          <w:bCs/>
          <w:b/>
        </w:rPr>
        <w:t xml:space="preserve">“</w:t>
      </w:r>
      <w:r>
        <w:rPr>
          <w:bCs/>
          <w:b/>
        </w:rPr>
        <w:t xml:space="preserve">Rātayaḥ</w:t>
      </w:r>
      <w:r>
        <w:rPr>
          <w:bCs/>
          <w:b/>
        </w:rPr>
        <w:t xml:space="preserve">”</w:t>
      </w:r>
      <w:r>
        <w:t xml:space="preserve"> </w:t>
      </w:r>
      <w:r>
        <w:t xml:space="preserve">—</w:t>
      </w:r>
      <w:r>
        <w:t xml:space="preserve"> </w:t>
      </w:r>
      <w:r>
        <w:rPr>
          <w:iCs/>
          <w:i/>
        </w:rPr>
        <w:t xml:space="preserve">rāti</w:t>
      </w:r>
      <w:r>
        <w:t xml:space="preserve"> </w:t>
      </w:r>
      <w:r>
        <w:t xml:space="preserve">is read among the ten words for acts of giving beginning with</w:t>
      </w:r>
      <w:r>
        <w:t xml:space="preserve"> </w:t>
      </w:r>
      <w:r>
        <w:rPr>
          <w:iCs/>
          <w:i/>
        </w:rPr>
        <w:t xml:space="preserve">dāti</w:t>
      </w:r>
      <w:r>
        <w:t xml:space="preserve"> </w:t>
      </w:r>
      <w:r>
        <w:t xml:space="preserve">(Ni. 3-19); so</w:t>
      </w:r>
      <w:r>
        <w:t xml:space="preserve"> </w:t>
      </w:r>
      <w:r>
        <w:rPr>
          <w:iCs/>
          <w:i/>
        </w:rPr>
        <w:t xml:space="preserve">rātayaḥ</w:t>
      </w:r>
      <w:r>
        <w:t xml:space="preserve"> </w:t>
      </w:r>
      <w:r>
        <w:t xml:space="preserve">may be given the senses</w:t>
      </w:r>
      <w:r>
        <w:t xml:space="preserve"> </w:t>
      </w:r>
      <w:r>
        <w:t xml:space="preserve">“</w:t>
      </w:r>
      <w:r>
        <w:t xml:space="preserve">gifts, bestowal, giving.</w:t>
      </w:r>
      <w:r>
        <w:t xml:space="preserve">”</w:t>
      </w:r>
    </w:p>
    <w:p>
      <w:pPr>
        <w:pStyle w:val="BodyText"/>
      </w:pPr>
      <w:r>
        <w:rPr>
          <w:bCs/>
          <w:b/>
        </w:rPr>
        <w:t xml:space="preserve">“</w:t>
      </w:r>
      <w:r>
        <w:rPr>
          <w:bCs/>
          <w:b/>
        </w:rPr>
        <w:t xml:space="preserve">Na vi dasyanti</w:t>
      </w:r>
      <w:r>
        <w:rPr>
          <w:bCs/>
          <w:b/>
        </w:rPr>
        <w:t xml:space="preserve">”</w:t>
      </w:r>
      <w:r>
        <w:t xml:space="preserve"> </w:t>
      </w:r>
      <w:r>
        <w:t xml:space="preserve">—</w:t>
      </w:r>
      <w:r>
        <w:t xml:space="preserve"> </w:t>
      </w:r>
      <w:r>
        <w:rPr>
          <w:iCs/>
          <w:i/>
        </w:rPr>
        <w:t xml:space="preserve">nopakṣīyante</w:t>
      </w:r>
      <w:r>
        <w:t xml:space="preserve">: they are not exhausted, they do not diminish.</w:t>
      </w:r>
    </w:p>
    <w:p>
      <w:pPr>
        <w:pStyle w:val="BodyText"/>
      </w:pPr>
      <w:r>
        <w:rPr>
          <w:bCs/>
          <w:b/>
        </w:rPr>
        <w:t xml:space="preserve">“</w:t>
      </w:r>
      <w:r>
        <w:rPr>
          <w:bCs/>
          <w:b/>
        </w:rPr>
        <w:t xml:space="preserve">Maṃhate</w:t>
      </w:r>
      <w:r>
        <w:rPr>
          <w:bCs/>
          <w:b/>
        </w:rPr>
        <w:t xml:space="preserve">”</w:t>
      </w:r>
      <w:r>
        <w:t xml:space="preserve"> </w:t>
      </w:r>
      <w:r>
        <w:t xml:space="preserve">—</w:t>
      </w:r>
      <w:r>
        <w:t xml:space="preserve"> </w:t>
      </w:r>
      <w:r>
        <w:rPr>
          <w:iCs/>
          <w:i/>
        </w:rPr>
        <w:t xml:space="preserve">maṃhate</w:t>
      </w:r>
      <w:r>
        <w:t xml:space="preserve"> </w:t>
      </w:r>
      <w:r>
        <w:t xml:space="preserve">is read among the ten words for the act of giving beginning with</w:t>
      </w:r>
      <w:r>
        <w:t xml:space="preserve"> </w:t>
      </w:r>
      <w:r>
        <w:rPr>
          <w:iCs/>
          <w:i/>
        </w:rPr>
        <w:t xml:space="preserve">dāti</w:t>
      </w:r>
      <w:r>
        <w:t xml:space="preserve">; so it means</w:t>
      </w:r>
      <w:r>
        <w:t xml:space="preserve"> </w:t>
      </w:r>
      <w:r>
        <w:t xml:space="preserve">“</w:t>
      </w:r>
      <w:r>
        <w:t xml:space="preserve">gives</w:t>
      </w:r>
      <w:r>
        <w:t xml:space="preserve">”</w:t>
      </w:r>
      <w:r>
        <w:t xml:space="preserve"> </w:t>
      </w:r>
      <w:r>
        <w:t xml:space="preserve">(Ni. 3-19).</w:t>
      </w:r>
    </w:p>
    <w:p>
      <w:pPr>
        <w:pStyle w:val="BodyText"/>
      </w:pPr>
      <w:r>
        <w:rPr>
          <w:bCs/>
          <w:b/>
        </w:rPr>
        <w:t xml:space="preserve">“</w:t>
      </w:r>
      <w:r>
        <w:rPr>
          <w:bCs/>
          <w:b/>
        </w:rPr>
        <w:t xml:space="preserve">Magham</w:t>
      </w:r>
      <w:r>
        <w:rPr>
          <w:bCs/>
          <w:b/>
        </w:rPr>
        <w:t xml:space="preserve">”</w:t>
      </w:r>
      <w:r>
        <w:t xml:space="preserve"> </w:t>
      </w:r>
      <w:r>
        <w:t xml:space="preserve">—</w:t>
      </w:r>
      <w:r>
        <w:t xml:space="preserve"> </w:t>
      </w:r>
      <w:r>
        <w:rPr>
          <w:iCs/>
          <w:i/>
        </w:rPr>
        <w:t xml:space="preserve">magha</w:t>
      </w:r>
      <w:r>
        <w:t xml:space="preserve"> </w:t>
      </w:r>
      <w:r>
        <w:t xml:space="preserve">is read among the twenty-eight words for wealth beginning with</w:t>
      </w:r>
      <w:r>
        <w:t xml:space="preserve"> </w:t>
      </w:r>
      <w:r>
        <w:rPr>
          <w:iCs/>
          <w:i/>
        </w:rPr>
        <w:t xml:space="preserve">magham</w:t>
      </w:r>
      <w:r>
        <w:t xml:space="preserve">,</w:t>
      </w:r>
      <w:r>
        <w:t xml:space="preserve"> </w:t>
      </w:r>
      <w:r>
        <w:rPr>
          <w:iCs/>
          <w:i/>
        </w:rPr>
        <w:t xml:space="preserve">rekṇaḥ</w:t>
      </w:r>
      <w:r>
        <w:t xml:space="preserve">; so</w:t>
      </w:r>
      <w:r>
        <w:t xml:space="preserve"> </w:t>
      </w:r>
      <w:r>
        <w:rPr>
          <w:iCs/>
          <w:i/>
        </w:rPr>
        <w:t xml:space="preserve">magha</w:t>
      </w:r>
      <w:r>
        <w:t xml:space="preserve"> </w:t>
      </w:r>
      <w:r>
        <w:t xml:space="preserve">means wealth (Ni. 3-9 [as printed]).</w:t>
      </w:r>
    </w:p>
    <w:p>
      <w:pPr>
        <w:pStyle w:val="BodyText"/>
      </w:pPr>
      <w:r>
        <w:rPr>
          <w:bCs/>
          <w:b/>
        </w:rPr>
        <w:t xml:space="preserve">॥ Vyākaraṇa-prakriyā ॥</w:t>
      </w:r>
      <w:r>
        <w:t xml:space="preserve"> </w:t>
      </w:r>
      <w:r>
        <w:rPr>
          <w:iCs/>
          <w:i/>
        </w:rPr>
        <w:t xml:space="preserve">(grammar pages 458–459, noted briefly; numbers checked against the print)</w:t>
      </w:r>
    </w:p>
    <w:p>
      <w:pPr>
        <w:pStyle w:val="BodyText"/>
      </w:pPr>
      <w:r>
        <w:rPr>
          <w:bCs/>
          <w:b/>
        </w:rPr>
        <w:t xml:space="preserve">पूर्वीः (</w:t>
      </w:r>
      <w:r>
        <w:rPr>
          <w:iCs/>
          <w:i/>
          <w:bCs/>
          <w:b/>
        </w:rPr>
        <w:t xml:space="preserve">pūrvīḥ</w:t>
      </w:r>
      <w:r>
        <w:rPr>
          <w:bCs/>
          <w:b/>
        </w:rPr>
        <w:t xml:space="preserve">)</w:t>
      </w:r>
      <w:r>
        <w:t xml:space="preserve"> </w:t>
      </w:r>
      <w:r>
        <w:t xml:space="preserve">— after</w:t>
      </w:r>
      <w:r>
        <w:t xml:space="preserve"> </w:t>
      </w:r>
      <w:r>
        <w:rPr>
          <w:iCs/>
          <w:i/>
        </w:rPr>
        <w:t xml:space="preserve">puru</w:t>
      </w:r>
      <w:r>
        <w:t xml:space="preserve"> </w:t>
      </w:r>
      <w:r>
        <w:t xml:space="preserve">(adjective),</w:t>
      </w:r>
      <w:r>
        <w:t xml:space="preserve"> </w:t>
      </w:r>
      <w:r>
        <w:t xml:space="preserve">“</w:t>
      </w:r>
      <w:r>
        <w:t xml:space="preserve">voto guṇavacanāt</w:t>
      </w:r>
      <w:r>
        <w:t xml:space="preserve">”</w:t>
      </w:r>
      <w:r>
        <w:t xml:space="preserve"> </w:t>
      </w:r>
      <w:r>
        <w:t xml:space="preserve">(Pā. 4-1-44): after a quality-word ending in</w:t>
      </w:r>
      <w:r>
        <w:t xml:space="preserve"> </w:t>
      </w:r>
      <w:r>
        <w:rPr>
          <w:iCs/>
          <w:i/>
        </w:rPr>
        <w:t xml:space="preserve">u</w:t>
      </w:r>
      <w:r>
        <w:t xml:space="preserve"> </w:t>
      </w:r>
      <w:r>
        <w:t xml:space="preserve">the feminine suffix</w:t>
      </w:r>
      <w:r>
        <w:t xml:space="preserve"> </w:t>
      </w:r>
      <w:r>
        <w:rPr>
          <w:iCs/>
          <w:i/>
        </w:rPr>
        <w:t xml:space="preserve">ṅīṣ</w:t>
      </w:r>
      <w:r>
        <w:t xml:space="preserve"> </w:t>
      </w:r>
      <w:r>
        <w:t xml:space="preserve">is optional, so</w:t>
      </w:r>
      <w:r>
        <w:t xml:space="preserve"> </w:t>
      </w:r>
      <w:r>
        <w:rPr>
          <w:iCs/>
          <w:i/>
        </w:rPr>
        <w:t xml:space="preserve">ṅīṣ</w:t>
      </w:r>
      <w:r>
        <w:t xml:space="preserve"> </w:t>
      </w:r>
      <w:r>
        <w:t xml:space="preserve">arises; the first</w:t>
      </w:r>
      <w:r>
        <w:t xml:space="preserve"> </w:t>
      </w:r>
      <w:r>
        <w:rPr>
          <w:iCs/>
          <w:i/>
        </w:rPr>
        <w:t xml:space="preserve">u</w:t>
      </w:r>
      <w:r>
        <w:t xml:space="preserve"> </w:t>
      </w:r>
      <w:r>
        <w:t xml:space="preserve">is lengthened in the Veda; the second</w:t>
      </w:r>
      <w:r>
        <w:t xml:space="preserve"> </w:t>
      </w:r>
      <w:r>
        <w:rPr>
          <w:iCs/>
          <w:i/>
        </w:rPr>
        <w:t xml:space="preserve">u</w:t>
      </w:r>
      <w:r>
        <w:t xml:space="preserve"> </w:t>
      </w:r>
      <w:r>
        <w:t xml:space="preserve">is replaced by</w:t>
      </w:r>
      <w:r>
        <w:t xml:space="preserve"> </w:t>
      </w:r>
      <w:r>
        <w:rPr>
          <w:iCs/>
          <w:i/>
        </w:rPr>
        <w:t xml:space="preserve">v</w:t>
      </w:r>
      <w:r>
        <w:t xml:space="preserve"> </w:t>
      </w:r>
      <w:r>
        <w:t xml:space="preserve">(</w:t>
      </w:r>
      <w:r>
        <w:rPr>
          <w:iCs/>
          <w:i/>
        </w:rPr>
        <w:t xml:space="preserve">yaṇ</w:t>
      </w:r>
      <w:r>
        <w:t xml:space="preserve">-substitution):</w:t>
      </w:r>
      <w:r>
        <w:t xml:space="preserve"> </w:t>
      </w:r>
      <w:r>
        <w:rPr>
          <w:iCs/>
          <w:i/>
        </w:rPr>
        <w:t xml:space="preserve">pūrvī</w:t>
      </w:r>
      <w:r>
        <w:t xml:space="preserve">; then the nominative plural</w:t>
      </w:r>
      <w:r>
        <w:t xml:space="preserve"> </w:t>
      </w:r>
      <w:r>
        <w:rPr>
          <w:iCs/>
          <w:i/>
        </w:rPr>
        <w:t xml:space="preserve">jas</w:t>
      </w:r>
      <w:r>
        <w:t xml:space="preserve">, giving</w:t>
      </w:r>
      <w:r>
        <w:t xml:space="preserve"> </w:t>
      </w:r>
      <w:r>
        <w:rPr>
          <w:iCs/>
          <w:i/>
        </w:rPr>
        <w:t xml:space="preserve">pūrvī + as</w:t>
      </w:r>
      <w:r>
        <w:t xml:space="preserve">;</w:t>
      </w:r>
      <w:r>
        <w:t xml:space="preserve"> </w:t>
      </w:r>
      <w:r>
        <w:rPr>
          <w:iCs/>
          <w:i/>
        </w:rPr>
        <w:t xml:space="preserve">pūrvasavarṇadīrgha</w:t>
      </w:r>
      <w:r>
        <w:t xml:space="preserve"> </w:t>
      </w:r>
      <w:r>
        <w:t xml:space="preserve">(</w:t>
      </w:r>
      <w:r>
        <w:t xml:space="preserve">“</w:t>
      </w:r>
      <w:r>
        <w:t xml:space="preserve">prathamayoḥ pūrvasavarṇaḥ,</w:t>
      </w:r>
      <w:r>
        <w:t xml:space="preserve">”</w:t>
      </w:r>
      <w:r>
        <w:t xml:space="preserve"> </w:t>
      </w:r>
      <w:r>
        <w:t xml:space="preserve">Pā. 6-1-102) is barred by</w:t>
      </w:r>
      <w:r>
        <w:t xml:space="preserve"> </w:t>
      </w:r>
      <w:r>
        <w:t xml:space="preserve">“</w:t>
      </w:r>
      <w:r>
        <w:t xml:space="preserve">dīrghājjasi ca</w:t>
      </w:r>
      <w:r>
        <w:t xml:space="preserve">”</w:t>
      </w:r>
      <w:r>
        <w:t xml:space="preserve"> </w:t>
      </w:r>
      <w:r>
        <w:t xml:space="preserve">(Pā. 6-1-105): after a long vowel, if</w:t>
      </w:r>
      <w:r>
        <w:t xml:space="preserve"> </w:t>
      </w:r>
      <w:r>
        <w:rPr>
          <w:iCs/>
          <w:i/>
        </w:rPr>
        <w:t xml:space="preserve">jas</w:t>
      </w:r>
      <w:r>
        <w:t xml:space="preserve"> </w:t>
      </w:r>
      <w:r>
        <w:t xml:space="preserve">or a vowel of the</w:t>
      </w:r>
      <w:r>
        <w:t xml:space="preserve"> </w:t>
      </w:r>
      <w:r>
        <w:rPr>
          <w:iCs/>
          <w:i/>
        </w:rPr>
        <w:t xml:space="preserve">ic</w:t>
      </w:r>
      <w:r>
        <w:t xml:space="preserve"> </w:t>
      </w:r>
      <w:r>
        <w:t xml:space="preserve">group follows, no</w:t>
      </w:r>
      <w:r>
        <w:t xml:space="preserve"> </w:t>
      </w:r>
      <w:r>
        <w:rPr>
          <w:iCs/>
          <w:i/>
        </w:rPr>
        <w:t xml:space="preserve">pūrvasavarṇa</w:t>
      </w:r>
      <w:r>
        <w:t xml:space="preserve">-lengthening applies; yet</w:t>
      </w:r>
      <w:r>
        <w:t xml:space="preserve"> </w:t>
      </w:r>
      <w:r>
        <w:t xml:space="preserve">“</w:t>
      </w:r>
      <w:r>
        <w:t xml:space="preserve">vā chandasi</w:t>
      </w:r>
      <w:r>
        <w:t xml:space="preserve">”</w:t>
      </w:r>
      <w:r>
        <w:t xml:space="preserve"> </w:t>
      </w:r>
      <w:r>
        <w:t xml:space="preserve">(Pā. 6-1-106) makes the</w:t>
      </w:r>
      <w:r>
        <w:t xml:space="preserve"> </w:t>
      </w:r>
      <w:r>
        <w:rPr>
          <w:iCs/>
          <w:i/>
        </w:rPr>
        <w:t xml:space="preserve">pūrvasavarṇa</w:t>
      </w:r>
      <w:r>
        <w:t xml:space="preserve"> </w:t>
      </w:r>
      <w:r>
        <w:t xml:space="preserve">lengthening optional in the Veda, so the</w:t>
      </w:r>
      <w:r>
        <w:t xml:space="preserve"> </w:t>
      </w:r>
      <w:r>
        <w:rPr>
          <w:iCs/>
          <w:i/>
        </w:rPr>
        <w:t xml:space="preserve">pūrvasavarṇa</w:t>
      </w:r>
      <w:r>
        <w:t xml:space="preserve"> </w:t>
      </w:r>
      <w:r>
        <w:t xml:space="preserve">lengthening arises; with</w:t>
      </w:r>
      <w:r>
        <w:t xml:space="preserve"> </w:t>
      </w:r>
      <w:r>
        <w:rPr>
          <w:iCs/>
          <w:i/>
        </w:rPr>
        <w:t xml:space="preserve">ru</w:t>
      </w:r>
      <w:r>
        <w:t xml:space="preserve"> </w:t>
      </w:r>
      <w:r>
        <w:t xml:space="preserve">and visarga the form is</w:t>
      </w:r>
      <w:r>
        <w:t xml:space="preserve"> </w:t>
      </w:r>
      <w:r>
        <w:rPr>
          <w:iCs/>
          <w:i/>
        </w:rPr>
        <w:t xml:space="preserve">pūrvīḥ</w:t>
      </w:r>
      <w:r>
        <w:t xml:space="preserve">; the</w:t>
      </w:r>
      <w:r>
        <w:t xml:space="preserve"> </w:t>
      </w:r>
      <w:r>
        <w:rPr>
          <w:iCs/>
          <w:i/>
        </w:rPr>
        <w:t xml:space="preserve">ṅīṣ</w:t>
      </w:r>
      <w:r>
        <w:t xml:space="preserve"> </w:t>
      </w:r>
      <w:r>
        <w:t xml:space="preserve">suffix is udātta by the suffix accent.</w:t>
      </w:r>
    </w:p>
    <w:bookmarkEnd w:id="469"/>
    <w:bookmarkStart w:id="470" w:name="page-459-rik-3-grammar-closes"/>
    <w:p>
      <w:pPr>
        <w:pStyle w:val="Heading3"/>
      </w:pPr>
      <w:r>
        <w:t xml:space="preserve">Page 459 — Rik 3 grammar closes</w:t>
      </w:r>
    </w:p>
    <w:p>
      <w:pPr>
        <w:pStyle w:val="FirstParagraph"/>
      </w:pPr>
      <w:r>
        <w:rPr>
          <w:bCs/>
          <w:b/>
        </w:rPr>
        <w:t xml:space="preserve">॥ Vyākaraṇa-prakriyā ॥</w:t>
      </w:r>
      <w:r>
        <w:t xml:space="preserve"> </w:t>
      </w:r>
      <w:r>
        <w:rPr>
          <w:iCs/>
          <w:i/>
        </w:rPr>
        <w:t xml:space="preserve">(grammar page, noted briefly; numbers checked against the print)</w:t>
      </w:r>
    </w:p>
    <w:p>
      <w:pPr>
        <w:pStyle w:val="BodyText"/>
      </w:pPr>
      <w:r>
        <w:rPr>
          <w:bCs/>
          <w:b/>
        </w:rPr>
        <w:t xml:space="preserve">रातयः (</w:t>
      </w:r>
      <w:r>
        <w:rPr>
          <w:iCs/>
          <w:i/>
          <w:bCs/>
          <w:b/>
        </w:rPr>
        <w:t xml:space="preserve">rātayaḥ</w:t>
      </w:r>
      <w:r>
        <w:rPr>
          <w:bCs/>
          <w:b/>
        </w:rPr>
        <w:t xml:space="preserve">)</w:t>
      </w:r>
      <w:r>
        <w:t xml:space="preserve"> </w:t>
      </w:r>
      <w:r>
        <w:t xml:space="preserve">— a</w:t>
      </w:r>
      <w:r>
        <w:t xml:space="preserve"> </w:t>
      </w:r>
      <w:r>
        <w:rPr>
          <w:iCs/>
          <w:i/>
        </w:rPr>
        <w:t xml:space="preserve">ktin</w:t>
      </w:r>
      <w:r>
        <w:t xml:space="preserve">-ending word; by</w:t>
      </w:r>
      <w:r>
        <w:t xml:space="preserve"> </w:t>
      </w:r>
      <w:r>
        <w:t xml:space="preserve">“</w:t>
      </w:r>
      <w:r>
        <w:t xml:space="preserve">mantre vṛṣeṣapacamanavidabhūvīrā udāttaḥ</w:t>
      </w:r>
      <w:r>
        <w:t xml:space="preserve">”</w:t>
      </w:r>
      <w:r>
        <w:t xml:space="preserve"> </w:t>
      </w:r>
      <w:r>
        <w:t xml:space="preserve">(Pā. 3-3-96) the</w:t>
      </w:r>
      <w:r>
        <w:t xml:space="preserve"> </w:t>
      </w:r>
      <w:r>
        <w:rPr>
          <w:iCs/>
          <w:i/>
        </w:rPr>
        <w:t xml:space="preserve">ktin</w:t>
      </w:r>
      <w:r>
        <w:t xml:space="preserve"> </w:t>
      </w:r>
      <w:r>
        <w:t xml:space="preserve">suffix is udātta in the mantra.</w:t>
      </w:r>
      <w:r>
        <w:t xml:space="preserve"> </w:t>
      </w:r>
      <w:r>
        <w:rPr>
          <w:bCs/>
          <w:b/>
        </w:rPr>
        <w:t xml:space="preserve">दस्यन्ति (</w:t>
      </w:r>
      <w:r>
        <w:rPr>
          <w:iCs/>
          <w:i/>
          <w:bCs/>
          <w:b/>
        </w:rPr>
        <w:t xml:space="preserve">dasyanti</w:t>
      </w:r>
      <w:r>
        <w:rPr>
          <w:bCs/>
          <w:b/>
        </w:rPr>
        <w:t xml:space="preserve">)</w:t>
      </w:r>
      <w:r>
        <w:t xml:space="preserve"> </w:t>
      </w:r>
      <w:r>
        <w:t xml:space="preserve">— root</w:t>
      </w:r>
      <w:r>
        <w:t xml:space="preserve"> </w:t>
      </w:r>
      <w:r>
        <w:rPr>
          <w:iCs/>
          <w:i/>
        </w:rPr>
        <w:t xml:space="preserve">dasu upakṣaye</w:t>
      </w:r>
      <w:r>
        <w:t xml:space="preserve"> </w:t>
      </w:r>
      <w:r>
        <w:t xml:space="preserve">(</w:t>
      </w:r>
      <w:r>
        <w:t xml:space="preserve">“</w:t>
      </w:r>
      <w:r>
        <w:t xml:space="preserve">to waste away</w:t>
      </w:r>
      <w:r>
        <w:t xml:space="preserve">”</w:t>
      </w:r>
      <w:r>
        <w:t xml:space="preserve">);</w:t>
      </w:r>
      <w:r>
        <w:t xml:space="preserve"> </w:t>
      </w:r>
      <w:r>
        <w:rPr>
          <w:iCs/>
          <w:i/>
        </w:rPr>
        <w:t xml:space="preserve">laṭ</w:t>
      </w:r>
      <w:r>
        <w:t xml:space="preserve"> </w:t>
      </w:r>
      <w:r>
        <w:t xml:space="preserve">third plural</w:t>
      </w:r>
      <w:r>
        <w:t xml:space="preserve"> </w:t>
      </w:r>
      <w:r>
        <w:rPr>
          <w:iCs/>
          <w:i/>
        </w:rPr>
        <w:t xml:space="preserve">jhi</w:t>
      </w:r>
      <w:r>
        <w:t xml:space="preserve">,</w:t>
      </w:r>
      <w:r>
        <w:t xml:space="preserve"> </w:t>
      </w:r>
      <w:r>
        <w:rPr>
          <w:iCs/>
          <w:i/>
        </w:rPr>
        <w:t xml:space="preserve">jh</w:t>
      </w:r>
      <w:r>
        <w:t xml:space="preserve"> </w:t>
      </w:r>
      <w:r>
        <w:t xml:space="preserve">→</w:t>
      </w:r>
      <w:r>
        <w:t xml:space="preserve"> </w:t>
      </w:r>
      <w:r>
        <w:rPr>
          <w:iCs/>
          <w:i/>
        </w:rPr>
        <w:t xml:space="preserve">ant</w:t>
      </w:r>
      <w:r>
        <w:t xml:space="preserve">;</w:t>
      </w:r>
      <w:r>
        <w:t xml:space="preserve"> </w:t>
      </w:r>
      <w:r>
        <w:rPr>
          <w:iCs/>
          <w:i/>
        </w:rPr>
        <w:t xml:space="preserve">śyan</w:t>
      </w:r>
      <w:r>
        <w:t xml:space="preserve"> </w:t>
      </w:r>
      <w:r>
        <w:t xml:space="preserve">by</w:t>
      </w:r>
      <w:r>
        <w:t xml:space="preserve"> </w:t>
      </w:r>
      <w:r>
        <w:t xml:space="preserve">“</w:t>
      </w:r>
      <w:r>
        <w:t xml:space="preserve">divādibhyaḥ śyan</w:t>
      </w:r>
      <w:r>
        <w:t xml:space="preserve">”</w:t>
      </w:r>
      <w:r>
        <w:t xml:space="preserve"> </w:t>
      </w:r>
      <w:r>
        <w:t xml:space="preserve">(Pā. 3-1-69); unaccented by</w:t>
      </w:r>
      <w:r>
        <w:t xml:space="preserve"> </w:t>
      </w:r>
      <w:r>
        <w:t xml:space="preserve">“</w:t>
      </w:r>
      <w:r>
        <w:t xml:space="preserve">tiṅṅ atiṅaḥ</w:t>
      </w:r>
      <w:r>
        <w:t xml:space="preserve">”</w:t>
      </w:r>
      <w:r>
        <w:t xml:space="preserve">.</w:t>
      </w:r>
      <w:r>
        <w:t xml:space="preserve"> </w:t>
      </w:r>
      <w:r>
        <w:rPr>
          <w:bCs/>
          <w:b/>
        </w:rPr>
        <w:t xml:space="preserve">ऊतयः (</w:t>
      </w:r>
      <w:r>
        <w:rPr>
          <w:iCs/>
          <w:i/>
          <w:bCs/>
          <w:b/>
        </w:rPr>
        <w:t xml:space="preserve">ūtayaḥ</w:t>
      </w:r>
      <w:r>
        <w:rPr>
          <w:bCs/>
          <w:b/>
        </w:rPr>
        <w:t xml:space="preserve">)</w:t>
      </w:r>
      <w:r>
        <w:t xml:space="preserve"> </w:t>
      </w:r>
      <w:r>
        <w:t xml:space="preserve">— the</w:t>
      </w:r>
      <w:r>
        <w:t xml:space="preserve"> </w:t>
      </w:r>
      <w:r>
        <w:rPr>
          <w:iCs/>
          <w:i/>
        </w:rPr>
        <w:t xml:space="preserve">ktin</w:t>
      </w:r>
      <w:r>
        <w:t xml:space="preserve"> </w:t>
      </w:r>
      <w:r>
        <w:t xml:space="preserve">is udātta by irregular formation,</w:t>
      </w:r>
      <w:r>
        <w:t xml:space="preserve"> </w:t>
      </w:r>
      <w:r>
        <w:t xml:space="preserve">“</w:t>
      </w:r>
      <w:r>
        <w:t xml:space="preserve">ūtiyūtijūtisātihetikīrtayaś ca</w:t>
      </w:r>
      <w:r>
        <w:t xml:space="preserve">”</w:t>
      </w:r>
      <w:r>
        <w:t xml:space="preserve"> </w:t>
      </w:r>
      <w:r>
        <w:t xml:space="preserve">(Pā. 3-3-97).</w:t>
      </w:r>
      <w:r>
        <w:t xml:space="preserve"> </w:t>
      </w:r>
      <w:r>
        <w:rPr>
          <w:bCs/>
          <w:b/>
        </w:rPr>
        <w:t xml:space="preserve">यदि (</w:t>
      </w:r>
      <w:r>
        <w:rPr>
          <w:iCs/>
          <w:i/>
          <w:bCs/>
          <w:b/>
        </w:rPr>
        <w:t xml:space="preserve">yadi</w:t>
      </w:r>
      <w:r>
        <w:rPr>
          <w:bCs/>
          <w:b/>
        </w:rPr>
        <w:t xml:space="preserve">)</w:t>
      </w:r>
      <w:r>
        <w:t xml:space="preserve"> </w:t>
      </w:r>
      <w:r>
        <w:t xml:space="preserve">— a</w:t>
      </w:r>
      <w:r>
        <w:t xml:space="preserve"> </w:t>
      </w:r>
      <w:r>
        <w:rPr>
          <w:iCs/>
          <w:i/>
        </w:rPr>
        <w:t xml:space="preserve">nipāta</w:t>
      </w:r>
      <w:r>
        <w:t xml:space="preserve">, initial-udātta (</w:t>
      </w:r>
      <w:r>
        <w:t xml:space="preserve">“</w:t>
      </w:r>
      <w:r>
        <w:t xml:space="preserve">nipātā ādyudāttāḥ</w:t>
      </w:r>
      <w:r>
        <w:t xml:space="preserve">”</w:t>
      </w:r>
      <w:r>
        <w:t xml:space="preserve">); in the Saṃhitā lengthened by</w:t>
      </w:r>
      <w:r>
        <w:t xml:space="preserve"> </w:t>
      </w:r>
      <w:r>
        <w:t xml:space="preserve">“</w:t>
      </w:r>
      <w:r>
        <w:t xml:space="preserve">nipātasya ca</w:t>
      </w:r>
      <w:r>
        <w:t xml:space="preserve">”</w:t>
      </w:r>
      <w:r>
        <w:t xml:space="preserve"> </w:t>
      </w:r>
      <w:r>
        <w:t xml:space="preserve">(Pā. 6-3-136),</w:t>
      </w:r>
      <w:r>
        <w:t xml:space="preserve"> </w:t>
      </w:r>
      <w:r>
        <w:rPr>
          <w:iCs/>
          <w:i/>
        </w:rPr>
        <w:t xml:space="preserve">yadī</w:t>
      </w:r>
      <w:r>
        <w:t xml:space="preserve">.</w:t>
      </w:r>
      <w:r>
        <w:t xml:space="preserve"> </w:t>
      </w:r>
      <w:r>
        <w:rPr>
          <w:bCs/>
          <w:b/>
        </w:rPr>
        <w:t xml:space="preserve">स्तोतृभ्यः (</w:t>
      </w:r>
      <w:r>
        <w:rPr>
          <w:iCs/>
          <w:i/>
          <w:bCs/>
          <w:b/>
        </w:rPr>
        <w:t xml:space="preserve">stotṛbhyaḥ</w:t>
      </w:r>
      <w:r>
        <w:rPr>
          <w:bCs/>
          <w:b/>
        </w:rPr>
        <w:t xml:space="preserve">)</w:t>
      </w:r>
      <w:r>
        <w:t xml:space="preserve"> </w:t>
      </w:r>
      <w:r>
        <w:t xml:space="preserve">— root</w:t>
      </w:r>
      <w:r>
        <w:t xml:space="preserve"> </w:t>
      </w:r>
      <w:r>
        <w:rPr>
          <w:iCs/>
          <w:i/>
        </w:rPr>
        <w:t xml:space="preserve">ṣṭuñ stutau</w:t>
      </w:r>
      <w:r>
        <w:t xml:space="preserve">;</w:t>
      </w:r>
      <w:r>
        <w:t xml:space="preserve"> </w:t>
      </w:r>
      <w:r>
        <w:rPr>
          <w:iCs/>
          <w:i/>
        </w:rPr>
        <w:t xml:space="preserve">ṣ</w:t>
      </w:r>
      <w:r>
        <w:t xml:space="preserve"> </w:t>
      </w:r>
      <w:r>
        <w:t xml:space="preserve">→</w:t>
      </w:r>
      <w:r>
        <w:t xml:space="preserve"> </w:t>
      </w:r>
      <w:r>
        <w:rPr>
          <w:iCs/>
          <w:i/>
        </w:rPr>
        <w:t xml:space="preserve">s</w:t>
      </w:r>
      <w:r>
        <w:t xml:space="preserve"> </w:t>
      </w:r>
      <w:r>
        <w:t xml:space="preserve">by</w:t>
      </w:r>
      <w:r>
        <w:t xml:space="preserve"> </w:t>
      </w:r>
      <w:r>
        <w:t xml:space="preserve">“</w:t>
      </w:r>
      <w:r>
        <w:t xml:space="preserve">dhātvādeḥ ṣaḥ saḥ</w:t>
      </w:r>
      <w:r>
        <w:t xml:space="preserve">”</w:t>
      </w:r>
      <w:r>
        <w:t xml:space="preserve"> </w:t>
      </w:r>
      <w:r>
        <w:t xml:space="preserve">(Pā. 6-1-64);</w:t>
      </w:r>
      <w:r>
        <w:t xml:space="preserve"> </w:t>
      </w:r>
      <w:r>
        <w:rPr>
          <w:iCs/>
          <w:i/>
        </w:rPr>
        <w:t xml:space="preserve">tṛc</w:t>
      </w:r>
      <w:r>
        <w:t xml:space="preserve"> </w:t>
      </w:r>
      <w:r>
        <w:t xml:space="preserve">by</w:t>
      </w:r>
      <w:r>
        <w:t xml:space="preserve"> </w:t>
      </w:r>
      <w:r>
        <w:t xml:space="preserve">“</w:t>
      </w:r>
      <w:r>
        <w:t xml:space="preserve">nvul-tṛcau</w:t>
      </w:r>
      <w:r>
        <w:t xml:space="preserve">”</w:t>
      </w:r>
      <w:r>
        <w:t xml:space="preserve"> </w:t>
      </w:r>
      <w:r>
        <w:t xml:space="preserve">(Pā. 3-1-133); the suffix is</w:t>
      </w:r>
      <w:r>
        <w:t xml:space="preserve"> </w:t>
      </w:r>
      <w:r>
        <w:rPr>
          <w:iCs/>
          <w:i/>
        </w:rPr>
        <w:t xml:space="preserve">cit</w:t>
      </w:r>
      <w:r>
        <w:t xml:space="preserve">, so final-udātta (</w:t>
      </w:r>
      <w:r>
        <w:t xml:space="preserve">“</w:t>
      </w:r>
      <w:r>
        <w:t xml:space="preserve">citaḥ,</w:t>
      </w:r>
      <w:r>
        <w:t xml:space="preserve">”</w:t>
      </w:r>
      <w:r>
        <w:t xml:space="preserve"> </w:t>
      </w:r>
      <w:r>
        <w:t xml:space="preserve">Pā. 6-1-163); dative plural</w:t>
      </w:r>
      <w:r>
        <w:t xml:space="preserve"> </w:t>
      </w:r>
      <w:r>
        <w:rPr>
          <w:iCs/>
          <w:i/>
        </w:rPr>
        <w:t xml:space="preserve">bhyas</w:t>
      </w:r>
      <w:r>
        <w:t xml:space="preserve">.</w:t>
      </w:r>
      <w:r>
        <w:t xml:space="preserve"> </w:t>
      </w:r>
      <w:r>
        <w:rPr>
          <w:bCs/>
          <w:b/>
        </w:rPr>
        <w:t xml:space="preserve">मंहते (</w:t>
      </w:r>
      <w:r>
        <w:rPr>
          <w:iCs/>
          <w:i/>
          <w:bCs/>
          <w:b/>
        </w:rPr>
        <w:t xml:space="preserve">maṃhate</w:t>
      </w:r>
      <w:r>
        <w:rPr>
          <w:bCs/>
          <w:b/>
        </w:rPr>
        <w:t xml:space="preserve">)</w:t>
      </w:r>
      <w:r>
        <w:t xml:space="preserve"> </w:t>
      </w:r>
      <w:r>
        <w:t xml:space="preserve">— root</w:t>
      </w:r>
      <w:r>
        <w:t xml:space="preserve"> </w:t>
      </w:r>
      <w:r>
        <w:rPr>
          <w:iCs/>
          <w:i/>
        </w:rPr>
        <w:t xml:space="preserve">mahi vṛddhau</w:t>
      </w:r>
      <w:r>
        <w:t xml:space="preserve"> </w:t>
      </w:r>
      <w:r>
        <w:t xml:space="preserve">(</w:t>
      </w:r>
      <w:r>
        <w:rPr>
          <w:iCs/>
          <w:i/>
        </w:rPr>
        <w:t xml:space="preserve">idit</w:t>
      </w:r>
      <w:r>
        <w:t xml:space="preserve">), so the augment</w:t>
      </w:r>
      <w:r>
        <w:t xml:space="preserve"> </w:t>
      </w:r>
      <w:r>
        <w:rPr>
          <w:iCs/>
          <w:i/>
        </w:rPr>
        <w:t xml:space="preserve">num</w:t>
      </w:r>
      <w:r>
        <w:t xml:space="preserve">;</w:t>
      </w:r>
      <w:r>
        <w:t xml:space="preserve"> </w:t>
      </w:r>
      <w:r>
        <w:rPr>
          <w:iCs/>
          <w:i/>
        </w:rPr>
        <w:t xml:space="preserve">laṭ</w:t>
      </w:r>
      <w:r>
        <w:t xml:space="preserve"> </w:t>
      </w:r>
      <w:r>
        <w:t xml:space="preserve">ātmanepada third singular</w:t>
      </w:r>
      <w:r>
        <w:t xml:space="preserve"> </w:t>
      </w:r>
      <w:r>
        <w:rPr>
          <w:iCs/>
          <w:i/>
        </w:rPr>
        <w:t xml:space="preserve">ta</w:t>
      </w:r>
      <w:r>
        <w:t xml:space="preserve">;</w:t>
      </w:r>
      <w:r>
        <w:t xml:space="preserve"> </w:t>
      </w:r>
      <w:r>
        <w:t xml:space="preserve">“</w:t>
      </w:r>
      <w:r>
        <w:t xml:space="preserve">ṭita ātmanepadānāṃ ṭere</w:t>
      </w:r>
      <w:r>
        <w:t xml:space="preserve">”</w:t>
      </w:r>
      <w:r>
        <w:t xml:space="preserve"> </w:t>
      </w:r>
      <w:r>
        <w:t xml:space="preserve">(Pā. 3-4-79) gives</w:t>
      </w:r>
      <w:r>
        <w:t xml:space="preserve"> </w:t>
      </w:r>
      <w:r>
        <w:rPr>
          <w:iCs/>
          <w:i/>
        </w:rPr>
        <w:t xml:space="preserve">e</w:t>
      </w:r>
      <w:r>
        <w:t xml:space="preserve">;</w:t>
      </w:r>
      <w:r>
        <w:t xml:space="preserve"> </w:t>
      </w:r>
      <w:r>
        <w:rPr>
          <w:iCs/>
          <w:i/>
        </w:rPr>
        <w:t xml:space="preserve">śap</w:t>
      </w:r>
      <w:r>
        <w:t xml:space="preserve">;</w:t>
      </w:r>
      <w:r>
        <w:t xml:space="preserve"> </w:t>
      </w:r>
      <w:r>
        <w:t xml:space="preserve">“</w:t>
      </w:r>
      <w:r>
        <w:t xml:space="preserve">naścāpadāntasya jhali</w:t>
      </w:r>
      <w:r>
        <w:t xml:space="preserve">”</w:t>
      </w:r>
      <w:r>
        <w:t xml:space="preserve"> </w:t>
      </w:r>
      <w:r>
        <w:t xml:space="preserve">(Pā. 8-3-24) turns the</w:t>
      </w:r>
      <w:r>
        <w:t xml:space="preserve"> </w:t>
      </w:r>
      <w:r>
        <w:rPr>
          <w:iCs/>
          <w:i/>
        </w:rPr>
        <w:t xml:space="preserve">n</w:t>
      </w:r>
      <w:r>
        <w:t xml:space="preserve"> </w:t>
      </w:r>
      <w:r>
        <w:t xml:space="preserve">of</w:t>
      </w:r>
      <w:r>
        <w:t xml:space="preserve"> </w:t>
      </w:r>
      <w:r>
        <w:rPr>
          <w:iCs/>
          <w:i/>
        </w:rPr>
        <w:t xml:space="preserve">num</w:t>
      </w:r>
      <w:r>
        <w:t xml:space="preserve"> </w:t>
      </w:r>
      <w:r>
        <w:t xml:space="preserve">into</w:t>
      </w:r>
      <w:r>
        <w:t xml:space="preserve"> </w:t>
      </w:r>
      <w:r>
        <w:rPr>
          <w:iCs/>
          <w:i/>
        </w:rPr>
        <w:t xml:space="preserve">anusvāra</w:t>
      </w:r>
      <w:r>
        <w:t xml:space="preserve">:</w:t>
      </w:r>
      <w:r>
        <w:t xml:space="preserve"> </w:t>
      </w:r>
      <w:r>
        <w:rPr>
          <w:iCs/>
          <w:i/>
        </w:rPr>
        <w:t xml:space="preserve">maṃhate</w:t>
      </w:r>
      <w:r>
        <w:t xml:space="preserve">;</w:t>
      </w:r>
      <w:r>
        <w:t xml:space="preserve"> </w:t>
      </w:r>
      <w:r>
        <w:rPr>
          <w:iCs/>
          <w:i/>
        </w:rPr>
        <w:t xml:space="preserve">śap</w:t>
      </w:r>
      <w:r>
        <w:t xml:space="preserve"> </w:t>
      </w:r>
      <w:r>
        <w:t xml:space="preserve">is</w:t>
      </w:r>
      <w:r>
        <w:t xml:space="preserve"> </w:t>
      </w:r>
      <w:r>
        <w:rPr>
          <w:iCs/>
          <w:i/>
        </w:rPr>
        <w:t xml:space="preserve">pit</w:t>
      </w:r>
      <w:r>
        <w:t xml:space="preserve"> </w:t>
      </w:r>
      <w:r>
        <w:t xml:space="preserve">and unaccented;</w:t>
      </w:r>
      <w:r>
        <w:t xml:space="preserve"> </w:t>
      </w:r>
      <w:r>
        <w:rPr>
          <w:iCs/>
          <w:i/>
        </w:rPr>
        <w:t xml:space="preserve">te</w:t>
      </w:r>
      <w:r>
        <w:t xml:space="preserve"> </w:t>
      </w:r>
      <w:r>
        <w:t xml:space="preserve">is unaccented (</w:t>
      </w:r>
      <w:r>
        <w:t xml:space="preserve">“</w:t>
      </w:r>
      <w:r>
        <w:t xml:space="preserve">tāsyanudāttenṅidadupadeśāt…,</w:t>
      </w:r>
      <w:r>
        <w:t xml:space="preserve">”</w:t>
      </w:r>
      <w:r>
        <w:t xml:space="preserve"> </w:t>
      </w:r>
      <w:r>
        <w:t xml:space="preserve">Pā. 6-1-186); the root accent stands;</w:t>
      </w:r>
      <w:r>
        <w:t xml:space="preserve"> </w:t>
      </w:r>
      <w:r>
        <w:t xml:space="preserve">“</w:t>
      </w:r>
      <w:r>
        <w:t xml:space="preserve">nipātair yad-yadi-hanta-kuvin-nec-ceccaṇ-kaccid-yatra-yuktam</w:t>
      </w:r>
      <w:r>
        <w:t xml:space="preserve">”</w:t>
      </w:r>
      <w:r>
        <w:t xml:space="preserve"> </w:t>
      </w:r>
      <w:r>
        <w:t xml:space="preserve">(Pā. 8-1-30) bars the loss of accent, so</w:t>
      </w:r>
      <w:r>
        <w:t xml:space="preserve"> </w:t>
      </w:r>
      <w:r>
        <w:t xml:space="preserve">“</w:t>
      </w:r>
      <w:r>
        <w:t xml:space="preserve">tiṅṅ atiṅaḥ</w:t>
      </w:r>
      <w:r>
        <w:t xml:space="preserve">”</w:t>
      </w:r>
      <w:r>
        <w:t xml:space="preserve"> </w:t>
      </w:r>
      <w:r>
        <w:t xml:space="preserve">(8-1-28) does not make it unaccented.</w:t>
      </w:r>
    </w:p>
    <w:p>
      <w:pPr>
        <w:pStyle w:val="BodyText"/>
      </w:pPr>
      <w:r>
        <w:rPr>
          <w:bCs/>
          <w:b/>
        </w:rPr>
        <w:t xml:space="preserve">॥३॥</w:t>
      </w:r>
    </w:p>
    <w:p>
      <w:r>
        <w:pict>
          <v:rect style="width:0;height:1.5pt" o:hralign="center" o:hrstd="t" o:hr="t"/>
        </w:pict>
      </w:r>
    </w:p>
    <w:bookmarkEnd w:id="470"/>
    <w:bookmarkStart w:id="471" w:name="page-459-sūkta-11-rik-4"/>
    <w:p>
      <w:pPr>
        <w:pStyle w:val="Heading3"/>
      </w:pPr>
      <w:r>
        <w:t xml:space="preserve">Page 459 — Sūkta 11, Rik 4</w:t>
      </w:r>
    </w:p>
    <w:p>
      <w:pPr>
        <w:pStyle w:val="FirstParagraph"/>
      </w:pPr>
      <w:r>
        <w:rPr>
          <w:bCs/>
          <w:b/>
        </w:rPr>
        <w:t xml:space="preserve">॥ Saṃhitā-pāṭhaḥ ॥</w:t>
      </w:r>
    </w:p>
    <w:p>
      <w:pPr>
        <w:pStyle w:val="BlockText"/>
      </w:pPr>
      <w:r>
        <w:t xml:space="preserve">पु॒रां भि॒न्दुर्युवा॑ क॒विरमि॑तौजा अजायत ।</w:t>
      </w:r>
      <w:r>
        <w:t xml:space="preserve"> </w:t>
      </w:r>
      <w:r>
        <w:t xml:space="preserve">इ॒न्द्रो विश्व॑स्य॒ कर्म॑णो ध॒र्ता व॒ज्री पु॑रुष्टु॒तः ॥४॥</w:t>
      </w:r>
    </w:p>
    <w:p>
      <w:pPr>
        <w:pStyle w:val="BlockText"/>
      </w:pPr>
      <w:r>
        <w:rPr>
          <w:iCs/>
          <w:i/>
        </w:rPr>
        <w:t xml:space="preserve">purā́ṃ bhindúr yúvā kavír ámitaujā ajāyata |</w:t>
      </w:r>
      <w:r>
        <w:t xml:space="preserve"> </w:t>
      </w:r>
      <w:r>
        <w:rPr>
          <w:iCs/>
          <w:i/>
        </w:rPr>
        <w:t xml:space="preserve">indró víśvasya kármaṇo dhartā́ vajrī́ puruṣṭutáḥ ||4||</w:t>
      </w:r>
    </w:p>
    <w:p>
      <w:pPr>
        <w:pStyle w:val="FirstParagraph"/>
      </w:pPr>
      <w:r>
        <w:rPr>
          <w:bCs/>
          <w:b/>
        </w:rPr>
        <w:t xml:space="preserve">॥ Pada-pāṭhaḥ ॥</w:t>
      </w:r>
    </w:p>
    <w:p>
      <w:pPr>
        <w:pStyle w:val="BlockText"/>
      </w:pPr>
      <w:r>
        <w:t xml:space="preserve">पुराम् । भिन्दुः । युवा । कविः । अमितऽओजाः । अजायत ॥</w:t>
      </w:r>
      <w:r>
        <w:t xml:space="preserve"> </w:t>
      </w:r>
      <w:r>
        <w:t xml:space="preserve">इन्द्रः । विश्वस्य । कर्मणः । धर्ता । वज्री । पुरुऽस्तुतः ॥४॥</w:t>
      </w:r>
    </w:p>
    <w:p>
      <w:pPr>
        <w:pStyle w:val="BlockText"/>
      </w:pPr>
      <w:r>
        <w:rPr>
          <w:iCs/>
          <w:i/>
        </w:rPr>
        <w:t xml:space="preserve">purām | bhinduḥ | yuvā | kaviḥ | amita-ojāḥ | ajāyata ||</w:t>
      </w:r>
      <w:r>
        <w:t xml:space="preserve"> </w:t>
      </w:r>
      <w:r>
        <w:rPr>
          <w:iCs/>
          <w:i/>
        </w:rPr>
        <w:t xml:space="preserve">indraḥ | viśvasya | karmaṇaḥ | dhartā | vajrī | puru-stutaḥ ||4||</w:t>
      </w:r>
    </w:p>
    <w:bookmarkEnd w:id="471"/>
    <w:bookmarkStart w:id="472" w:name="X3928b07bfbceb4aafd68da4da61017faa78798f"/>
    <w:p>
      <w:pPr>
        <w:pStyle w:val="Heading3"/>
      </w:pPr>
      <w:r>
        <w:t xml:space="preserve">Page 460 — Rik 4: Sāyaṇa-bhāṣya, word-meanings, overall sense</w:t>
      </w:r>
    </w:p>
    <w:p>
      <w:pPr>
        <w:pStyle w:val="FirstParagraph"/>
      </w:pPr>
      <w:r>
        <w:rPr>
          <w:bCs/>
          <w:b/>
        </w:rPr>
        <w:t xml:space="preserve">॥ Sāyaṇa-bhāṣyam ॥</w:t>
      </w:r>
    </w:p>
    <w:p>
      <w:pPr>
        <w:pStyle w:val="BlockText"/>
      </w:pPr>
      <w:r>
        <w:t xml:space="preserve">अभिप्लवषडहस्योक्थ्येषु तृतीयसवने ऽच्छावाकस्य पुरां भिन्दुर्युवा कविरिति स्तोत्रियस्तृचः । तथा च सूत्रितम् । ऐह्यू ष्वित्युपक्रम्य [?] पुरां भिन्दुर्युवा कविर्वृषा ह्यसि राधसे । आ. ७-८ । इति ॥</w:t>
      </w:r>
    </w:p>
    <w:p>
      <w:pPr>
        <w:pStyle w:val="BlockText"/>
      </w:pPr>
      <w:r>
        <w:rPr>
          <w:iCs/>
          <w:i/>
        </w:rPr>
        <w:t xml:space="preserve">abhiplavaṣaḍahasyokthyeṣu tṛtīyasavane ’cchāvākasya purāṃ bhinduryuvā kaviriti stotriyastṛcaḥ | tathā ca sūtritam | aihyū ṣvityupakramya [?] purāṃ bhinduryuvā kavirvṛṣā hyasi rādhase | ā. 7-8 | iti ||</w:t>
      </w:r>
    </w:p>
    <w:p>
      <w:pPr>
        <w:pStyle w:val="BlockText"/>
      </w:pPr>
      <w:r>
        <w:t xml:space="preserve">अयमिन्द्र उच्यमानगुणयुक्तो ऽजायत । संपन्नः । कीदृग्गुणक इति तदुच्यते । पुरामसुरपुराणां भिन्दुर्भेत्ता । युवा कदाचिदपि वलीपलितादिवार्धकरहितः । कविर्मेधावी । अमितौजाः प्रभूतबलः । विश्वस्य कर्मणः कृत्स्नस्य ज्योतिष्टोमादेर्धर्ता पोषकः । वज्री यजमानरक्षणार्थं सर्वदा वज्रयुक्तः । पुरुष्टुतो बहुविधे तत्तत्कर्मणि स्तुतः ॥ भिन्दुः । भिदिर् विदारणे । कुरित्यनुवृत्तौ पॄभिदिव्यधिगृधिधृषिदृशिभ्यः [?] । उ. १-२४ । इति कुप्रत्ययः । तस्य छन्दस्युभयथेति सार्वधातुकसंज्ञायां रुधादिभ्यः श्नम् । पा. ३-१-७८ । मित्त्वादन्त्यादचः परो भवति । पा. १-१-४७ । श्नसोरल्लोपः । अनुस्वारपरसवर्णौ । पा. ८-४-५८ । अचः परस्मिन्पूर्वविधौ । पा. १-१-५७ । इति प्राप्तस्य स्थानिवद्भावस्य न पदान्तेत्यादिना । पा. १-१-५८ । निषेधः । युवा । यु मिश्रणामिश्रणयोः । कनिन्युवृषितक्षिराजिधन्विद्युप्रतिदिवः । उ. १-१५६ । इति कनिन् । नित्त्वादाद्युदात्तः । कविः । कु शब्दे । अच इः । उ. ४-१३९ । इतीः । प्रत्ययस्वरः । अमितौजाः । अमितशब्दस्याव्ययपूर्वपदप्रकृतिस्वरत्वम् । बहुव्रीहौ पूर्वपदप्रकृतिस्वरत्वेन तदेव शिष्यते । विश्वस्य । अशिप्रुषीत्यादिना । उ. १-१४९ । क्वन् । नित्त्वादाद्युदात्तः । कर्मणः । अन्येभ्यो ऽपि दृश्यन्त इति मनिन् । नित्स्वरः । धर्ता । तृच् । चित्त्वादन्तोदात्तः । वज्री । मत्वर्थीय इनिः । प्रत्ययस्वरः । पुरुष्टुतः । स्तुतस्तोमयोश्छन्दसि । पा. ८-३-१०५ । इति षत्वम् । बहुषु प्रदेशेषु स्तुतः । थाथघञ्क्ताजबित्रकाणाम् । पा. ६-२-१४४ । इत्यन्तोदात्तत्वं तृतीयासमासे हि थाथादिस्वरापवादस्तृतीया कर्मणि । पा. ६-२-४८ । इति पूर्वपदप्रकृतिस्वरः स्यात् ॥</w:t>
      </w:r>
    </w:p>
    <w:p>
      <w:pPr>
        <w:pStyle w:val="BlockText"/>
      </w:pPr>
      <w:r>
        <w:rPr>
          <w:iCs/>
          <w:i/>
        </w:rPr>
        <w:t xml:space="preserve">ayamindra ucyamānaguṇayukto ’jāyata | saṃpannaḥ | kīdṛgguṇaka iti taducyate | purāmasurapurāṇāṃ bhindurbhettā | yuvā kadācidapi valīpalitādivārdhakarahitaḥ | kavirmedhāvī | amitaujāḥ prabhūtabalaḥ | viśvasya karmaṇaḥ kṛtsnasya jyotiṣṭomāderdhartā poṣakaḥ | vajrī yajamānarakṣaṇārthaṃ sarvadā vajrayuktaḥ | puruṣṭuto bahuvidhe tattatkarmaṇi stutaḥ || bhinduḥ | bhidir vidāraṇe | kurityanuvṛttau pṝbhidivyadhigṛdhidhṛṣidṛśibhyaḥ [?] | u. 1-24 | iti kupratyayaḥ | tasya chandasyubhayatheti sārvadhātukasaṃjñāyāṃ rudhādibhyaḥ śnam | pā. 3-1-78 | mittvādantyādacaḥ paro bhavati | pā. 1-1-47 | śnasorallopaḥ | anusvāraparasavarṇau | pā. 8-4-58 | acaḥ parasminpūrvavidhau | pā. 1-1-57 | iti prāptasya sthānivadbhāvasya na padāntetyādinā | pā. 1-1-58 | niṣedhaḥ | yuvā | yu miśraṇāmiśraṇayoḥ | kaninyuvṛṣitakṣirājidhanvidyupratidivaḥ | u. 1-156 | iti kanin | nittvādādyudāttaḥ | kaviḥ | ku śabde | aca iḥ | u. 4-139 | itīḥ | pratyayasvaraḥ | amitaujāḥ | amitaśabdasyāvyayapūrvapadaprakṛtisvaratvam | bahuvrīhau pūrvapadaprakṛtisvaratvena tadeva śiṣyate | viśvasya | aśipruṣītyādinā | u. 1-149 | kvan | nittvādādyudāttaḥ | karmaṇaḥ | anyebhyo ’pi dṛśyanta iti manin | nitsvaraḥ | dhartā | tṛc | cittvādantodāttaḥ | vajrī | matvarthīya iniḥ | pratyayasvaraḥ | puruṣṭutaḥ | stutastomayośchandasi | pā. 8-3-105 | iti ṣatvam | bahuṣu pradeśeṣu stutaḥ | thāthaghañktājabitrakāṇām | pā. 6-2-144 | ityantodāttatvaṃ tṛtīyāsamāse hi thāthādisvarāpavādastṛtīyā karmaṇi | pā. 6-2-48 | iti pūrvapadaprakṛtisvaraḥ syāt ||</w:t>
      </w:r>
    </w:p>
    <w:p>
      <w:pPr>
        <w:pStyle w:val="FirstParagraph"/>
      </w:pPr>
      <w:r>
        <w:rPr>
          <w:bCs/>
          <w:b/>
        </w:rPr>
        <w:t xml:space="preserve">Translation:</w:t>
      </w:r>
      <w:r>
        <w:t xml:space="preserve"> </w:t>
      </w:r>
      <w:r>
        <w:t xml:space="preserve">“</w:t>
      </w:r>
      <w:r>
        <w:t xml:space="preserve">In the</w:t>
      </w:r>
      <w:r>
        <w:t xml:space="preserve"> </w:t>
      </w:r>
      <w:r>
        <w:rPr>
          <w:iCs/>
          <w:i/>
        </w:rPr>
        <w:t xml:space="preserve">ukthya</w:t>
      </w:r>
      <w:r>
        <w:t xml:space="preserve"> </w:t>
      </w:r>
      <w:r>
        <w:t xml:space="preserve">[rites] of the Abhiplava Ṣaḍaha, in the third pressing, the opening triplet (</w:t>
      </w:r>
      <w:r>
        <w:rPr>
          <w:iCs/>
          <w:i/>
        </w:rPr>
        <w:t xml:space="preserve">stotriya</w:t>
      </w:r>
      <w:r>
        <w:t xml:space="preserve">) of the Acchāvāka is</w:t>
      </w:r>
      <w:r>
        <w:t xml:space="preserve"> </w:t>
      </w:r>
      <w:r>
        <w:rPr>
          <w:iCs/>
          <w:i/>
        </w:rPr>
        <w:t xml:space="preserve">purāṃ bhindur yuvā kaviḥ</w:t>
      </w:r>
      <w:r>
        <w:t xml:space="preserve">; so it is laid down, beginning with</w:t>
      </w:r>
      <w:r>
        <w:t xml:space="preserve"> </w:t>
      </w:r>
      <w:r>
        <w:rPr>
          <w:iCs/>
          <w:i/>
        </w:rPr>
        <w:t xml:space="preserve">ehy ū ṣu</w:t>
      </w:r>
      <w:r>
        <w:t xml:space="preserve"> </w:t>
      </w:r>
      <w:r>
        <w:t xml:space="preserve">[?]:</w:t>
      </w:r>
      <w:r>
        <w:t xml:space="preserve"> </w:t>
      </w:r>
      <w:r>
        <w:t xml:space="preserve">‘</w:t>
      </w:r>
      <w:r>
        <w:rPr>
          <w:iCs/>
          <w:i/>
        </w:rPr>
        <w:t xml:space="preserve">purāṃ bhindur yuvā kaviḥ</w:t>
      </w:r>
      <w:r>
        <w:t xml:space="preserve">,</w:t>
      </w:r>
      <w:r>
        <w:t xml:space="preserve"> </w:t>
      </w:r>
      <w:r>
        <w:rPr>
          <w:iCs/>
          <w:i/>
        </w:rPr>
        <w:t xml:space="preserve">vṛṣā hy asi rādhase</w:t>
      </w:r>
      <w:r>
        <w:t xml:space="preserve">’</w:t>
      </w:r>
      <w:r>
        <w:t xml:space="preserve"> </w:t>
      </w:r>
      <w:r>
        <w:t xml:space="preserve">(Āśvalāyana 7-8). This Indra</w:t>
      </w:r>
      <w:r>
        <w:t xml:space="preserve"> </w:t>
      </w:r>
      <w:r>
        <w:rPr>
          <w:iCs/>
          <w:i/>
        </w:rPr>
        <w:t xml:space="preserve">ajāyata</w:t>
      </w:r>
      <w:r>
        <w:t xml:space="preserve"> </w:t>
      </w:r>
      <w:r>
        <w:t xml:space="preserve">— has come to be, is endowed — with the qualities now to be told. Of what qualities?</w:t>
      </w:r>
      <w:r>
        <w:t xml:space="preserve"> </w:t>
      </w:r>
      <w:r>
        <w:rPr>
          <w:iCs/>
          <w:i/>
        </w:rPr>
        <w:t xml:space="preserve">Purām bhinduḥ</w:t>
      </w:r>
      <w:r>
        <w:t xml:space="preserve"> </w:t>
      </w:r>
      <w:r>
        <w:t xml:space="preserve">— the breaker of the cities of the asuras;</w:t>
      </w:r>
      <w:r>
        <w:t xml:space="preserve"> </w:t>
      </w:r>
      <w:r>
        <w:rPr>
          <w:iCs/>
          <w:i/>
        </w:rPr>
        <w:t xml:space="preserve">yuvā</w:t>
      </w:r>
      <w:r>
        <w:t xml:space="preserve"> </w:t>
      </w:r>
      <w:r>
        <w:t xml:space="preserve">— young, never marked by the old age of wrinkles and grey hair;</w:t>
      </w:r>
      <w:r>
        <w:t xml:space="preserve"> </w:t>
      </w:r>
      <w:r>
        <w:rPr>
          <w:iCs/>
          <w:i/>
        </w:rPr>
        <w:t xml:space="preserve">kaviḥ</w:t>
      </w:r>
      <w:r>
        <w:t xml:space="preserve"> </w:t>
      </w:r>
      <w:r>
        <w:t xml:space="preserve">— wise;</w:t>
      </w:r>
      <w:r>
        <w:t xml:space="preserve"> </w:t>
      </w:r>
      <w:r>
        <w:rPr>
          <w:iCs/>
          <w:i/>
        </w:rPr>
        <w:t xml:space="preserve">amitaujāḥ</w:t>
      </w:r>
      <w:r>
        <w:t xml:space="preserve"> </w:t>
      </w:r>
      <w:r>
        <w:t xml:space="preserve">— of abundant strength;</w:t>
      </w:r>
      <w:r>
        <w:t xml:space="preserve"> </w:t>
      </w:r>
      <w:r>
        <w:rPr>
          <w:iCs/>
          <w:i/>
        </w:rPr>
        <w:t xml:space="preserve">viśvasya karmaṇaḥ dhartā</w:t>
      </w:r>
      <w:r>
        <w:t xml:space="preserve"> </w:t>
      </w:r>
      <w:r>
        <w:t xml:space="preserve">— the sustainer, the nourisher, of the whole of every rite such as the Jyotiṣṭoma;</w:t>
      </w:r>
      <w:r>
        <w:t xml:space="preserve"> </w:t>
      </w:r>
      <w:r>
        <w:rPr>
          <w:iCs/>
          <w:i/>
        </w:rPr>
        <w:t xml:space="preserve">vajrī</w:t>
      </w:r>
      <w:r>
        <w:t xml:space="preserve"> </w:t>
      </w:r>
      <w:r>
        <w:t xml:space="preserve">— always bearing the thunderbolt, for the protection of the sacrificer;</w:t>
      </w:r>
      <w:r>
        <w:t xml:space="preserve"> </w:t>
      </w:r>
      <w:r>
        <w:rPr>
          <w:iCs/>
          <w:i/>
        </w:rPr>
        <w:t xml:space="preserve">puruṣṭutaḥ</w:t>
      </w:r>
      <w:r>
        <w:t xml:space="preserve"> </w:t>
      </w:r>
      <w:r>
        <w:t xml:space="preserve">— praised in many ways in various rites.</w:t>
      </w:r>
      <w:r>
        <w:t xml:space="preserve">”</w:t>
      </w:r>
      <w:r>
        <w:t xml:space="preserve"> </w:t>
      </w:r>
      <w:r>
        <w:t xml:space="preserve">(Grammatical tail:</w:t>
      </w:r>
      <w:r>
        <w:t xml:space="preserve"> </w:t>
      </w:r>
      <w:r>
        <w:rPr>
          <w:iCs/>
          <w:i/>
        </w:rPr>
        <w:t xml:space="preserve">bhinduḥ</w:t>
      </w:r>
      <w:r>
        <w:t xml:space="preserve"> </w:t>
      </w:r>
      <w:r>
        <w:t xml:space="preserve">—</w:t>
      </w:r>
      <w:r>
        <w:t xml:space="preserve"> </w:t>
      </w:r>
      <w:r>
        <w:rPr>
          <w:iCs/>
          <w:i/>
        </w:rPr>
        <w:t xml:space="preserve">bhidir vidāraṇe</w:t>
      </w:r>
      <w:r>
        <w:t xml:space="preserve"> </w:t>
      </w:r>
      <w:r>
        <w:t xml:space="preserve">with</w:t>
      </w:r>
      <w:r>
        <w:t xml:space="preserve"> </w:t>
      </w:r>
      <w:r>
        <w:rPr>
          <w:iCs/>
          <w:i/>
        </w:rPr>
        <w:t xml:space="preserve">ku</w:t>
      </w:r>
      <w:r>
        <w:t xml:space="preserve"> </w:t>
      </w:r>
      <w:r>
        <w:t xml:space="preserve">(Uṇ. 1-24), which counts as</w:t>
      </w:r>
      <w:r>
        <w:t xml:space="preserve"> </w:t>
      </w:r>
      <w:r>
        <w:rPr>
          <w:iCs/>
          <w:i/>
        </w:rPr>
        <w:t xml:space="preserve">sārvadhātuka</w:t>
      </w:r>
      <w:r>
        <w:t xml:space="preserve"> </w:t>
      </w:r>
      <w:r>
        <w:t xml:space="preserve">by</w:t>
      </w:r>
      <w:r>
        <w:t xml:space="preserve"> </w:t>
      </w:r>
      <w:r>
        <w:t xml:space="preserve">“</w:t>
      </w:r>
      <w:r>
        <w:t xml:space="preserve">chandasy ubhayathā</w:t>
      </w:r>
      <w:r>
        <w:t xml:space="preserve">”</w:t>
      </w:r>
      <w:r>
        <w:t xml:space="preserve">, so</w:t>
      </w:r>
      <w:r>
        <w:t xml:space="preserve"> </w:t>
      </w:r>
      <w:r>
        <w:rPr>
          <w:iCs/>
          <w:i/>
        </w:rPr>
        <w:t xml:space="preserve">śnam</w:t>
      </w:r>
      <w:r>
        <w:t xml:space="preserve"> </w:t>
      </w:r>
      <w:r>
        <w:t xml:space="preserve">by</w:t>
      </w:r>
      <w:r>
        <w:t xml:space="preserve"> </w:t>
      </w:r>
      <w:r>
        <w:t xml:space="preserve">“</w:t>
      </w:r>
      <w:r>
        <w:t xml:space="preserve">rudhādibhyaḥ śnam</w:t>
      </w:r>
      <w:r>
        <w:t xml:space="preserve">”</w:t>
      </w:r>
      <w:r>
        <w:t xml:space="preserve"> </w:t>
      </w:r>
      <w:r>
        <w:t xml:space="preserve">(Pā. 3-1-78), placed after the last vowel as</w:t>
      </w:r>
      <w:r>
        <w:t xml:space="preserve"> </w:t>
      </w:r>
      <w:r>
        <w:rPr>
          <w:iCs/>
          <w:i/>
        </w:rPr>
        <w:t xml:space="preserve">mit</w:t>
      </w:r>
      <w:r>
        <w:t xml:space="preserve"> </w:t>
      </w:r>
      <w:r>
        <w:t xml:space="preserve">(Pā. 1-1-47);</w:t>
      </w:r>
      <w:r>
        <w:t xml:space="preserve"> </w:t>
      </w:r>
      <w:r>
        <w:rPr>
          <w:iCs/>
          <w:i/>
        </w:rPr>
        <w:t xml:space="preserve">a</w:t>
      </w:r>
      <w:r>
        <w:t xml:space="preserve"> </w:t>
      </w:r>
      <w:r>
        <w:t xml:space="preserve">of</w:t>
      </w:r>
      <w:r>
        <w:t xml:space="preserve"> </w:t>
      </w:r>
      <w:r>
        <w:rPr>
          <w:iCs/>
          <w:i/>
        </w:rPr>
        <w:t xml:space="preserve">śna</w:t>
      </w:r>
      <w:r>
        <w:t xml:space="preserve"> </w:t>
      </w:r>
      <w:r>
        <w:t xml:space="preserve">dropped by</w:t>
      </w:r>
      <w:r>
        <w:t xml:space="preserve"> </w:t>
      </w:r>
      <w:r>
        <w:t xml:space="preserve">“</w:t>
      </w:r>
      <w:r>
        <w:t xml:space="preserve">śnasor allopaḥ</w:t>
      </w:r>
      <w:r>
        <w:t xml:space="preserve">”</w:t>
      </w:r>
      <w:r>
        <w:t xml:space="preserve">; anusvāra and the homorganic nasal (Pā. 8-4-58); the</w:t>
      </w:r>
      <w:r>
        <w:t xml:space="preserve"> </w:t>
      </w:r>
      <w:r>
        <w:rPr>
          <w:iCs/>
          <w:i/>
        </w:rPr>
        <w:t xml:space="preserve">sthānivadbhāva</w:t>
      </w:r>
      <w:r>
        <w:t xml:space="preserve"> </w:t>
      </w:r>
      <w:r>
        <w:t xml:space="preserve">of</w:t>
      </w:r>
      <w:r>
        <w:t xml:space="preserve"> </w:t>
      </w:r>
      <w:r>
        <w:t xml:space="preserve">“</w:t>
      </w:r>
      <w:r>
        <w:t xml:space="preserve">acaḥ parasmin pūrvavidhau</w:t>
      </w:r>
      <w:r>
        <w:t xml:space="preserve">”</w:t>
      </w:r>
      <w:r>
        <w:t xml:space="preserve"> </w:t>
      </w:r>
      <w:r>
        <w:t xml:space="preserve">(Pā. 1-1-57) is barred by</w:t>
      </w:r>
      <w:r>
        <w:t xml:space="preserve"> </w:t>
      </w:r>
      <w:r>
        <w:t xml:space="preserve">“</w:t>
      </w:r>
      <w:r>
        <w:t xml:space="preserve">na padānta…</w:t>
      </w:r>
      <w:r>
        <w:t xml:space="preserve">”</w:t>
      </w:r>
      <w:r>
        <w:t xml:space="preserve"> </w:t>
      </w:r>
      <w:r>
        <w:t xml:space="preserve">(Pā. 1-1-58);</w:t>
      </w:r>
      <w:r>
        <w:t xml:space="preserve"> </w:t>
      </w:r>
      <w:r>
        <w:rPr>
          <w:iCs/>
          <w:i/>
        </w:rPr>
        <w:t xml:space="preserve">yuvā</w:t>
      </w:r>
      <w:r>
        <w:t xml:space="preserve"> </w:t>
      </w:r>
      <w:r>
        <w:t xml:space="preserve">—</w:t>
      </w:r>
      <w:r>
        <w:t xml:space="preserve"> </w:t>
      </w:r>
      <w:r>
        <w:rPr>
          <w:iCs/>
          <w:i/>
        </w:rPr>
        <w:t xml:space="preserve">yu miśraṇāmiśraṇayoḥ</w:t>
      </w:r>
      <w:r>
        <w:t xml:space="preserve"> </w:t>
      </w:r>
      <w:r>
        <w:t xml:space="preserve">with</w:t>
      </w:r>
      <w:r>
        <w:t xml:space="preserve"> </w:t>
      </w:r>
      <w:r>
        <w:rPr>
          <w:iCs/>
          <w:i/>
        </w:rPr>
        <w:t xml:space="preserve">kanin</w:t>
      </w:r>
      <w:r>
        <w:t xml:space="preserve"> </w:t>
      </w:r>
      <w:r>
        <w:t xml:space="preserve">(Uṇ. 1-156), initial-udātta as</w:t>
      </w:r>
      <w:r>
        <w:t xml:space="preserve"> </w:t>
      </w:r>
      <w:r>
        <w:rPr>
          <w:iCs/>
          <w:i/>
        </w:rPr>
        <w:t xml:space="preserve">nit</w:t>
      </w:r>
      <w:r>
        <w:t xml:space="preserve">;</w:t>
      </w:r>
      <w:r>
        <w:t xml:space="preserve"> </w:t>
      </w:r>
      <w:r>
        <w:rPr>
          <w:iCs/>
          <w:i/>
        </w:rPr>
        <w:t xml:space="preserve">kaviḥ</w:t>
      </w:r>
      <w:r>
        <w:t xml:space="preserve"> </w:t>
      </w:r>
      <w:r>
        <w:t xml:space="preserve">—</w:t>
      </w:r>
      <w:r>
        <w:t xml:space="preserve"> </w:t>
      </w:r>
      <w:r>
        <w:rPr>
          <w:iCs/>
          <w:i/>
        </w:rPr>
        <w:t xml:space="preserve">ku śabde</w:t>
      </w:r>
      <w:r>
        <w:t xml:space="preserve"> </w:t>
      </w:r>
      <w:r>
        <w:t xml:space="preserve">with</w:t>
      </w:r>
      <w:r>
        <w:t xml:space="preserve"> </w:t>
      </w:r>
      <w:r>
        <w:rPr>
          <w:iCs/>
          <w:i/>
        </w:rPr>
        <w:t xml:space="preserve">i</w:t>
      </w:r>
      <w:r>
        <w:t xml:space="preserve"> </w:t>
      </w:r>
      <w:r>
        <w:t xml:space="preserve">by</w:t>
      </w:r>
      <w:r>
        <w:t xml:space="preserve"> </w:t>
      </w:r>
      <w:r>
        <w:t xml:space="preserve">“</w:t>
      </w:r>
      <w:r>
        <w:t xml:space="preserve">aca iḥ</w:t>
      </w:r>
      <w:r>
        <w:t xml:space="preserve">”</w:t>
      </w:r>
      <w:r>
        <w:t xml:space="preserve"> </w:t>
      </w:r>
      <w:r>
        <w:t xml:space="preserve">(Uṇ. 4-139), suffix accent;</w:t>
      </w:r>
      <w:r>
        <w:t xml:space="preserve"> </w:t>
      </w:r>
      <w:r>
        <w:rPr>
          <w:iCs/>
          <w:i/>
        </w:rPr>
        <w:t xml:space="preserve">amitaujāḥ</w:t>
      </w:r>
      <w:r>
        <w:t xml:space="preserve"> </w:t>
      </w:r>
      <w:r>
        <w:t xml:space="preserve">— in the bahuvrīhi the first member</w:t>
      </w:r>
      <w:r>
        <w:t xml:space="preserve"> </w:t>
      </w:r>
      <w:r>
        <w:rPr>
          <w:iCs/>
          <w:i/>
        </w:rPr>
        <w:t xml:space="preserve">amita</w:t>
      </w:r>
      <w:r>
        <w:t xml:space="preserve"> </w:t>
      </w:r>
      <w:r>
        <w:t xml:space="preserve">keeps the accent it has as a compound with an indeclinable first member;</w:t>
      </w:r>
      <w:r>
        <w:t xml:space="preserve"> </w:t>
      </w:r>
      <w:r>
        <w:rPr>
          <w:iCs/>
          <w:i/>
        </w:rPr>
        <w:t xml:space="preserve">viśvasya</w:t>
      </w:r>
      <w:r>
        <w:t xml:space="preserve"> </w:t>
      </w:r>
      <w:r>
        <w:t xml:space="preserve">—</w:t>
      </w:r>
      <w:r>
        <w:t xml:space="preserve"> </w:t>
      </w:r>
      <w:r>
        <w:rPr>
          <w:iCs/>
          <w:i/>
        </w:rPr>
        <w:t xml:space="preserve">kvan</w:t>
      </w:r>
      <w:r>
        <w:t xml:space="preserve"> </w:t>
      </w:r>
      <w:r>
        <w:t xml:space="preserve">(Uṇ. 1-149), initial-udātta;</w:t>
      </w:r>
      <w:r>
        <w:t xml:space="preserve"> </w:t>
      </w:r>
      <w:r>
        <w:rPr>
          <w:iCs/>
          <w:i/>
        </w:rPr>
        <w:t xml:space="preserve">karmaṇaḥ</w:t>
      </w:r>
      <w:r>
        <w:t xml:space="preserve"> </w:t>
      </w:r>
      <w:r>
        <w:t xml:space="preserve">—</w:t>
      </w:r>
      <w:r>
        <w:t xml:space="preserve"> </w:t>
      </w:r>
      <w:r>
        <w:rPr>
          <w:iCs/>
          <w:i/>
        </w:rPr>
        <w:t xml:space="preserve">manin</w:t>
      </w:r>
      <w:r>
        <w:t xml:space="preserve"> </w:t>
      </w:r>
      <w:r>
        <w:t xml:space="preserve">by</w:t>
      </w:r>
      <w:r>
        <w:t xml:space="preserve"> </w:t>
      </w:r>
      <w:r>
        <w:t xml:space="preserve">“</w:t>
      </w:r>
      <w:r>
        <w:t xml:space="preserve">anyebhyo ’pi dṛśyante</w:t>
      </w:r>
      <w:r>
        <w:t xml:space="preserve">”</w:t>
      </w:r>
      <w:r>
        <w:t xml:space="preserve">,</w:t>
      </w:r>
      <w:r>
        <w:t xml:space="preserve"> </w:t>
      </w:r>
      <w:r>
        <w:rPr>
          <w:iCs/>
          <w:i/>
        </w:rPr>
        <w:t xml:space="preserve">nit</w:t>
      </w:r>
      <w:r>
        <w:t xml:space="preserve"> </w:t>
      </w:r>
      <w:r>
        <w:t xml:space="preserve">accent;</w:t>
      </w:r>
      <w:r>
        <w:t xml:space="preserve"> </w:t>
      </w:r>
      <w:r>
        <w:rPr>
          <w:iCs/>
          <w:i/>
        </w:rPr>
        <w:t xml:space="preserve">dhartā</w:t>
      </w:r>
      <w:r>
        <w:t xml:space="preserve"> </w:t>
      </w:r>
      <w:r>
        <w:t xml:space="preserve">—</w:t>
      </w:r>
      <w:r>
        <w:t xml:space="preserve"> </w:t>
      </w:r>
      <w:r>
        <w:rPr>
          <w:iCs/>
          <w:i/>
        </w:rPr>
        <w:t xml:space="preserve">tṛc</w:t>
      </w:r>
      <w:r>
        <w:t xml:space="preserve">, final-udātta as</w:t>
      </w:r>
      <w:r>
        <w:t xml:space="preserve"> </w:t>
      </w:r>
      <w:r>
        <w:rPr>
          <w:iCs/>
          <w:i/>
        </w:rPr>
        <w:t xml:space="preserve">cit</w:t>
      </w:r>
      <w:r>
        <w:t xml:space="preserve">;</w:t>
      </w:r>
      <w:r>
        <w:t xml:space="preserve"> </w:t>
      </w:r>
      <w:r>
        <w:rPr>
          <w:iCs/>
          <w:i/>
        </w:rPr>
        <w:t xml:space="preserve">vajrī</w:t>
      </w:r>
      <w:r>
        <w:t xml:space="preserve"> </w:t>
      </w:r>
      <w:r>
        <w:t xml:space="preserve">— the possessive</w:t>
      </w:r>
      <w:r>
        <w:t xml:space="preserve"> </w:t>
      </w:r>
      <w:r>
        <w:rPr>
          <w:iCs/>
          <w:i/>
        </w:rPr>
        <w:t xml:space="preserve">ini</w:t>
      </w:r>
      <w:r>
        <w:t xml:space="preserve">, suffix accent;</w:t>
      </w:r>
      <w:r>
        <w:t xml:space="preserve"> </w:t>
      </w:r>
      <w:r>
        <w:rPr>
          <w:iCs/>
          <w:i/>
        </w:rPr>
        <w:t xml:space="preserve">puruṣṭutaḥ</w:t>
      </w:r>
      <w:r>
        <w:t xml:space="preserve"> </w:t>
      </w:r>
      <w:r>
        <w:t xml:space="preserve">—</w:t>
      </w:r>
      <w:r>
        <w:t xml:space="preserve"> </w:t>
      </w:r>
      <w:r>
        <w:rPr>
          <w:iCs/>
          <w:i/>
        </w:rPr>
        <w:t xml:space="preserve">ṣ</w:t>
      </w:r>
      <w:r>
        <w:t xml:space="preserve"> </w:t>
      </w:r>
      <w:r>
        <w:t xml:space="preserve">by</w:t>
      </w:r>
      <w:r>
        <w:t xml:space="preserve"> </w:t>
      </w:r>
      <w:r>
        <w:t xml:space="preserve">“</w:t>
      </w:r>
      <w:r>
        <w:t xml:space="preserve">stutastomayoś chandasi</w:t>
      </w:r>
      <w:r>
        <w:t xml:space="preserve">”</w:t>
      </w:r>
      <w:r>
        <w:t xml:space="preserve"> </w:t>
      </w:r>
      <w:r>
        <w:t xml:space="preserve">(Pā. 8-3-105);</w:t>
      </w:r>
      <w:r>
        <w:t xml:space="preserve"> </w:t>
      </w:r>
      <w:r>
        <w:t xml:space="preserve">“</w:t>
      </w:r>
      <w:r>
        <w:t xml:space="preserve">praised in many places</w:t>
      </w:r>
      <w:r>
        <w:t xml:space="preserve">”</w:t>
      </w:r>
      <w:r>
        <w:t xml:space="preserve">: final-udātta by</w:t>
      </w:r>
      <w:r>
        <w:t xml:space="preserve"> </w:t>
      </w:r>
      <w:r>
        <w:t xml:space="preserve">“</w:t>
      </w:r>
      <w:r>
        <w:t xml:space="preserve">thātha-ghañ-ktāj-abitra-kāṇām</w:t>
      </w:r>
      <w:r>
        <w:t xml:space="preserve">”</w:t>
      </w:r>
      <w:r>
        <w:t xml:space="preserve"> </w:t>
      </w:r>
      <w:r>
        <w:t xml:space="preserve">(Pā. 6-2-144), for in a third-case compound</w:t>
      </w:r>
      <w:r>
        <w:t xml:space="preserve"> </w:t>
      </w:r>
      <w:r>
        <w:t xml:space="preserve">“</w:t>
      </w:r>
      <w:r>
        <w:t xml:space="preserve">tṛtīyā karmaṇi</w:t>
      </w:r>
      <w:r>
        <w:t xml:space="preserve">”</w:t>
      </w:r>
      <w:r>
        <w:t xml:space="preserve"> </w:t>
      </w:r>
      <w:r>
        <w:t xml:space="preserve">(Pā. 6-2-48), an exception to the</w:t>
      </w:r>
      <w:r>
        <w:t xml:space="preserve"> </w:t>
      </w:r>
      <w:r>
        <w:rPr>
          <w:iCs/>
          <w:i/>
        </w:rPr>
        <w:t xml:space="preserve">thātha</w:t>
      </w:r>
      <w:r>
        <w:t xml:space="preserve"> </w:t>
      </w:r>
      <w:r>
        <w:t xml:space="preserve">accent, would give the first member’s accent.)</w:t>
      </w:r>
    </w:p>
    <w:p>
      <w:pPr>
        <w:pStyle w:val="BodyText"/>
      </w:pPr>
      <w:r>
        <w:rPr>
          <w:bCs/>
          <w:b/>
        </w:rPr>
        <w:t xml:space="preserve">॥ Prati-padārthaḥ ॥</w:t>
      </w:r>
    </w:p>
    <w:p>
      <w:pPr>
        <w:pStyle w:val="BodyText"/>
      </w:pPr>
      <w:r>
        <w:rPr>
          <w:bCs/>
          <w:b/>
        </w:rPr>
        <w:t xml:space="preserve">इन्द्रः (indraḥ)</w:t>
      </w:r>
      <w:r>
        <w:t xml:space="preserve"> </w:t>
      </w:r>
      <w:r>
        <w:t xml:space="preserve">— this Indra |</w:t>
      </w:r>
      <w:r>
        <w:t xml:space="preserve"> </w:t>
      </w:r>
      <w:r>
        <w:rPr>
          <w:bCs/>
          <w:b/>
        </w:rPr>
        <w:t xml:space="preserve">पुराम् (purām)</w:t>
      </w:r>
      <w:r>
        <w:t xml:space="preserve"> </w:t>
      </w:r>
      <w:r>
        <w:t xml:space="preserve">— of the cities of enemies |</w:t>
      </w:r>
      <w:r>
        <w:t xml:space="preserve"> </w:t>
      </w:r>
      <w:r>
        <w:rPr>
          <w:bCs/>
          <w:b/>
        </w:rPr>
        <w:t xml:space="preserve">भिन्दुः (bhinduḥ)</w:t>
      </w:r>
      <w:r>
        <w:t xml:space="preserve"> </w:t>
      </w:r>
      <w:r>
        <w:t xml:space="preserve">— the destroyer (the one who breaks down) |</w:t>
      </w:r>
      <w:r>
        <w:t xml:space="preserve"> </w:t>
      </w:r>
      <w:r>
        <w:rPr>
          <w:bCs/>
          <w:b/>
        </w:rPr>
        <w:t xml:space="preserve">युवा (yuvā)</w:t>
      </w:r>
      <w:r>
        <w:t xml:space="preserve"> </w:t>
      </w:r>
      <w:r>
        <w:t xml:space="preserve">—</w:t>
      </w:r>
      <w:r>
        <w:t xml:space="preserve"> </w:t>
      </w:r>
      <w:r>
        <w:rPr>
          <w:iCs/>
          <w:i/>
        </w:rPr>
        <w:t xml:space="preserve">(one who is)</w:t>
      </w:r>
      <w:r>
        <w:t xml:space="preserve"> </w:t>
      </w:r>
      <w:r>
        <w:t xml:space="preserve">always in the stage of youth, free from the changes of old age such as senility |</w:t>
      </w:r>
      <w:r>
        <w:t xml:space="preserve"> </w:t>
      </w:r>
      <w:r>
        <w:rPr>
          <w:bCs/>
          <w:b/>
        </w:rPr>
        <w:t xml:space="preserve">कविः (kaviḥ)</w:t>
      </w:r>
      <w:r>
        <w:t xml:space="preserve"> </w:t>
      </w:r>
      <w:r>
        <w:t xml:space="preserve">— wise |</w:t>
      </w:r>
      <w:r>
        <w:t xml:space="preserve"> </w:t>
      </w:r>
      <w:r>
        <w:rPr>
          <w:bCs/>
          <w:b/>
        </w:rPr>
        <w:t xml:space="preserve">अमितौजाः (amitaujāḥ)</w:t>
      </w:r>
      <w:r>
        <w:t xml:space="preserve"> </w:t>
      </w:r>
      <w:r>
        <w:t xml:space="preserve">— of immense prowess |</w:t>
      </w:r>
      <w:r>
        <w:t xml:space="preserve"> </w:t>
      </w:r>
      <w:r>
        <w:rPr>
          <w:bCs/>
          <w:b/>
        </w:rPr>
        <w:t xml:space="preserve">विश्वस्य कर्मणः (viśvasya karmaṇaḥ)</w:t>
      </w:r>
      <w:r>
        <w:t xml:space="preserve"> </w:t>
      </w:r>
      <w:r>
        <w:t xml:space="preserve">— of all rites such as the Jyotiṣṭoma |</w:t>
      </w:r>
      <w:r>
        <w:t xml:space="preserve"> </w:t>
      </w:r>
      <w:r>
        <w:rPr>
          <w:bCs/>
          <w:b/>
        </w:rPr>
        <w:t xml:space="preserve">धर्ता (dhartā)</w:t>
      </w:r>
      <w:r>
        <w:t xml:space="preserve"> </w:t>
      </w:r>
      <w:r>
        <w:t xml:space="preserve">— the nourisher |</w:t>
      </w:r>
      <w:r>
        <w:t xml:space="preserve"> </w:t>
      </w:r>
      <w:r>
        <w:rPr>
          <w:bCs/>
          <w:b/>
        </w:rPr>
        <w:t xml:space="preserve">वज्री (vajrī)</w:t>
      </w:r>
      <w:r>
        <w:t xml:space="preserve"> </w:t>
      </w:r>
      <w:r>
        <w:t xml:space="preserve">— the bearer of the thunderbolt |</w:t>
      </w:r>
      <w:r>
        <w:t xml:space="preserve"> </w:t>
      </w:r>
      <w:r>
        <w:rPr>
          <w:bCs/>
          <w:b/>
        </w:rPr>
        <w:t xml:space="preserve">पुरुष्टुतः (puruṣṭutaḥ)</w:t>
      </w:r>
      <w:r>
        <w:t xml:space="preserve"> </w:t>
      </w:r>
      <w:r>
        <w:t xml:space="preserve">— praised exceedingly in many rites |</w:t>
      </w:r>
      <w:r>
        <w:t xml:space="preserve"> </w:t>
      </w:r>
      <w:r>
        <w:rPr>
          <w:iCs/>
          <w:i/>
        </w:rPr>
        <w:t xml:space="preserve">(endowed with these qualities)</w:t>
      </w:r>
      <w:r>
        <w:t xml:space="preserve"> </w:t>
      </w:r>
      <w:r>
        <w:rPr>
          <w:bCs/>
          <w:b/>
        </w:rPr>
        <w:t xml:space="preserve">अजायत (ajāyata)</w:t>
      </w:r>
      <w:r>
        <w:t xml:space="preserve"> </w:t>
      </w:r>
      <w:r>
        <w:t xml:space="preserve">— he has become.</w:t>
      </w:r>
    </w:p>
    <w:p>
      <w:pPr>
        <w:pStyle w:val="BodyText"/>
      </w:pPr>
      <w:r>
        <w:rPr>
          <w:bCs/>
          <w:b/>
        </w:rPr>
        <w:t xml:space="preserve">॥ Bhāvārthaḥ ॥</w:t>
      </w:r>
    </w:p>
    <w:p>
      <w:pPr>
        <w:pStyle w:val="BodyText"/>
      </w:pPr>
      <w:r>
        <w:t xml:space="preserve">Indra’s qualities are many. He destroys the cities of enemies; he is free from changes such as senility and is always in the stage of youth; he is very wise, of great might; he sustains, by his protection, all the rites of sacrifice; he bears the thunderbolt for the protection of the sacrificer. People praise this Indra abundantly in many rites.</w:t>
      </w:r>
    </w:p>
    <w:bookmarkEnd w:id="472"/>
    <w:bookmarkStart w:id="473" w:name="Xd24c05dcda1258561888909413728ef10e25060"/>
    <w:p>
      <w:pPr>
        <w:pStyle w:val="Heading3"/>
      </w:pPr>
      <w:r>
        <w:t xml:space="preserve">Page 461 — Rik 4: English, Special Topics, grammar</w:t>
      </w:r>
    </w:p>
    <w:p>
      <w:pPr>
        <w:pStyle w:val="FirstParagraph"/>
      </w:pPr>
      <w:r>
        <w:rPr>
          <w:bCs/>
          <w:b/>
        </w:rPr>
        <w:t xml:space="preserve">॥ English Translation ॥</w:t>
      </w:r>
      <w:r>
        <w:t xml:space="preserve"> </w:t>
      </w:r>
      <w:r>
        <w:rPr>
          <w:iCs/>
          <w:i/>
        </w:rPr>
        <w:t xml:space="preserve">(as printed in the source)</w:t>
      </w:r>
    </w:p>
    <w:p>
      <w:pPr>
        <w:pStyle w:val="BlockText"/>
      </w:pPr>
      <w:r>
        <w:t xml:space="preserve">Indra is the destroyer of (enemies’) cities, he is ever young, wise, of unbounded strength, the sustainer of pious acts, the weilder [sic] of thunderbolt and praised by many.</w:t>
      </w:r>
    </w:p>
    <w:p>
      <w:pPr>
        <w:pStyle w:val="FirstParagraph"/>
      </w:pPr>
      <w:r>
        <w:rPr>
          <w:bCs/>
          <w:b/>
        </w:rPr>
        <w:t xml:space="preserve">॥ Viśeṣa-viṣayagaḷu (Special Topics) ॥</w:t>
      </w:r>
    </w:p>
    <w:p>
      <w:pPr>
        <w:pStyle w:val="BodyText"/>
      </w:pPr>
      <w:r>
        <w:t xml:space="preserve">A special application for this rik has been stated: in the rite called Abhiplava-ṣaḍaha, on the special</w:t>
      </w:r>
      <w:r>
        <w:t xml:space="preserve"> </w:t>
      </w:r>
      <w:r>
        <w:rPr>
          <w:iCs/>
          <w:i/>
        </w:rPr>
        <w:t xml:space="preserve">ukthya</w:t>
      </w:r>
      <w:r>
        <w:t xml:space="preserve"> </w:t>
      </w:r>
      <w:r>
        <w:t xml:space="preserve">day, at the third pressing, the priest called Acchāvāka is to recite the triplet</w:t>
      </w:r>
      <w:r>
        <w:t xml:space="preserve"> </w:t>
      </w:r>
      <w:r>
        <w:rPr>
          <w:iCs/>
          <w:i/>
        </w:rPr>
        <w:t xml:space="preserve">purāṃ bhindur yuvā kaviḥ</w:t>
      </w:r>
      <w:r>
        <w:t xml:space="preserve"> </w:t>
      </w:r>
      <w:r>
        <w:t xml:space="preserve">in the</w:t>
      </w:r>
      <w:r>
        <w:t xml:space="preserve"> </w:t>
      </w:r>
      <w:r>
        <w:rPr>
          <w:iCs/>
          <w:i/>
        </w:rPr>
        <w:t xml:space="preserve">stotra</w:t>
      </w:r>
      <w:r>
        <w:t xml:space="preserve">-mantra recitation; in this connection the Āśvalāyana sūtra, in the section</w:t>
      </w:r>
      <w:r>
        <w:t xml:space="preserve"> </w:t>
      </w:r>
      <w:r>
        <w:rPr>
          <w:iCs/>
          <w:i/>
        </w:rPr>
        <w:t xml:space="preserve">ehy ū ṣv iti</w:t>
      </w:r>
      <w:r>
        <w:t xml:space="preserve"> </w:t>
      </w:r>
      <w:r>
        <w:t xml:space="preserve">[?], says that the triplets</w:t>
      </w:r>
      <w:r>
        <w:t xml:space="preserve"> </w:t>
      </w:r>
      <w:r>
        <w:rPr>
          <w:iCs/>
          <w:i/>
        </w:rPr>
        <w:t xml:space="preserve">purāṃ bhindur yuvā kaviḥ</w:t>
      </w:r>
      <w:r>
        <w:t xml:space="preserve"> </w:t>
      </w:r>
      <w:r>
        <w:t xml:space="preserve">and</w:t>
      </w:r>
      <w:r>
        <w:t xml:space="preserve"> </w:t>
      </w:r>
      <w:r>
        <w:rPr>
          <w:iCs/>
          <w:i/>
        </w:rPr>
        <w:t xml:space="preserve">vṛṣā hy asi rādhase</w:t>
      </w:r>
      <w:r>
        <w:t xml:space="preserve"> </w:t>
      </w:r>
      <w:r>
        <w:t xml:space="preserve">are to be recited.</w:t>
      </w:r>
    </w:p>
    <w:p>
      <w:pPr>
        <w:pStyle w:val="BodyText"/>
      </w:pPr>
      <w:r>
        <w:rPr>
          <w:bCs/>
          <w:b/>
        </w:rPr>
        <w:t xml:space="preserve">“</w:t>
      </w:r>
      <w:r>
        <w:rPr>
          <w:bCs/>
          <w:b/>
        </w:rPr>
        <w:t xml:space="preserve">Bhinduḥ</w:t>
      </w:r>
      <w:r>
        <w:rPr>
          <w:bCs/>
          <w:b/>
        </w:rPr>
        <w:t xml:space="preserve">”</w:t>
      </w:r>
      <w:r>
        <w:t xml:space="preserve"> </w:t>
      </w:r>
      <w:r>
        <w:t xml:space="preserve">—</w:t>
      </w:r>
      <w:r>
        <w:t xml:space="preserve"> </w:t>
      </w:r>
      <w:r>
        <w:rPr>
          <w:iCs/>
          <w:i/>
        </w:rPr>
        <w:t xml:space="preserve">bhidir vidāraṇe</w:t>
      </w:r>
      <w:r>
        <w:t xml:space="preserve"> </w:t>
      </w:r>
      <w:r>
        <w:t xml:space="preserve">—</w:t>
      </w:r>
      <w:r>
        <w:t xml:space="preserve"> </w:t>
      </w:r>
      <w:r>
        <w:t xml:space="preserve">“</w:t>
      </w:r>
      <w:r>
        <w:t xml:space="preserve">one who splits, destroys, demolishes.</w:t>
      </w:r>
      <w:r>
        <w:t xml:space="preserve">”</w:t>
      </w:r>
      <w:r>
        <w:t xml:space="preserve"> </w:t>
      </w:r>
      <w:r>
        <w:t xml:space="preserve">Here the word</w:t>
      </w:r>
      <w:r>
        <w:t xml:space="preserve"> </w:t>
      </w:r>
      <w:r>
        <w:rPr>
          <w:iCs/>
          <w:i/>
        </w:rPr>
        <w:t xml:space="preserve">purām</w:t>
      </w:r>
      <w:r>
        <w:t xml:space="preserve"> </w:t>
      </w:r>
      <w:r>
        <w:t xml:space="preserve">is explained as</w:t>
      </w:r>
      <w:r>
        <w:t xml:space="preserve"> </w:t>
      </w:r>
      <w:r>
        <w:t xml:space="preserve">“</w:t>
      </w:r>
      <w:r>
        <w:t xml:space="preserve">of the cities of enemies.</w:t>
      </w:r>
      <w:r>
        <w:t xml:space="preserve">”</w:t>
      </w:r>
    </w:p>
    <w:p>
      <w:pPr>
        <w:pStyle w:val="BodyText"/>
      </w:pPr>
      <w:r>
        <w:rPr>
          <w:bCs/>
          <w:b/>
        </w:rPr>
        <w:t xml:space="preserve">“</w:t>
      </w:r>
      <w:r>
        <w:rPr>
          <w:bCs/>
          <w:b/>
        </w:rPr>
        <w:t xml:space="preserve">Yuvā</w:t>
      </w:r>
      <w:r>
        <w:rPr>
          <w:bCs/>
          <w:b/>
        </w:rPr>
        <w:t xml:space="preserve">”</w:t>
      </w:r>
      <w:r>
        <w:t xml:space="preserve"> </w:t>
      </w:r>
      <w:r>
        <w:t xml:space="preserve">— one who is in the stage of youth; one whose bodily strength does not wane with old age, who is always in the stage of youth. The words</w:t>
      </w:r>
      <w:r>
        <w:t xml:space="preserve"> </w:t>
      </w:r>
      <w:r>
        <w:rPr>
          <w:iCs/>
          <w:i/>
        </w:rPr>
        <w:t xml:space="preserve">yuvā</w:t>
      </w:r>
      <w:r>
        <w:t xml:space="preserve"> </w:t>
      </w:r>
      <w:r>
        <w:t xml:space="preserve">and</w:t>
      </w:r>
      <w:r>
        <w:t xml:space="preserve"> </w:t>
      </w:r>
      <w:r>
        <w:rPr>
          <w:iCs/>
          <w:i/>
        </w:rPr>
        <w:t xml:space="preserve">kaviḥ</w:t>
      </w:r>
      <w:r>
        <w:t xml:space="preserve"> </w:t>
      </w:r>
      <w:r>
        <w:t xml:space="preserve">are used especially in praising Agni.</w:t>
      </w:r>
    </w:p>
    <w:p>
      <w:pPr>
        <w:pStyle w:val="BodyText"/>
      </w:pPr>
      <w:r>
        <w:rPr>
          <w:bCs/>
          <w:b/>
        </w:rPr>
        <w:t xml:space="preserve">“</w:t>
      </w:r>
      <w:r>
        <w:rPr>
          <w:bCs/>
          <w:b/>
        </w:rPr>
        <w:t xml:space="preserve">Ajāyata</w:t>
      </w:r>
      <w:r>
        <w:rPr>
          <w:bCs/>
          <w:b/>
        </w:rPr>
        <w:t xml:space="preserve">”</w:t>
      </w:r>
      <w:r>
        <w:t xml:space="preserve"> </w:t>
      </w:r>
      <w:r>
        <w:t xml:space="preserve">— although this word means</w:t>
      </w:r>
      <w:r>
        <w:t xml:space="preserve"> </w:t>
      </w:r>
      <w:r>
        <w:t xml:space="preserve">“</w:t>
      </w:r>
      <w:r>
        <w:t xml:space="preserve">became, was born,</w:t>
      </w:r>
      <w:r>
        <w:t xml:space="preserve">”</w:t>
      </w:r>
      <w:r>
        <w:t xml:space="preserve"> </w:t>
      </w:r>
      <w:r>
        <w:t xml:space="preserve">here only the sense</w:t>
      </w:r>
      <w:r>
        <w:t xml:space="preserve"> </w:t>
      </w:r>
      <w:r>
        <w:t xml:space="preserve">“</w:t>
      </w:r>
      <w:r>
        <w:t xml:space="preserve">he is such, endowed with such qualities</w:t>
      </w:r>
      <w:r>
        <w:t xml:space="preserve">”</w:t>
      </w:r>
      <w:r>
        <w:t xml:space="preserve"> </w:t>
      </w:r>
      <w:r>
        <w:t xml:space="preserve">is to be given.</w:t>
      </w:r>
    </w:p>
    <w:p>
      <w:pPr>
        <w:pStyle w:val="BodyText"/>
      </w:pPr>
      <w:r>
        <w:rPr>
          <w:bCs/>
          <w:b/>
        </w:rPr>
        <w:t xml:space="preserve">“</w:t>
      </w:r>
      <w:r>
        <w:rPr>
          <w:bCs/>
          <w:b/>
        </w:rPr>
        <w:t xml:space="preserve">Viśvasya karmaṇaḥ</w:t>
      </w:r>
      <w:r>
        <w:rPr>
          <w:bCs/>
          <w:b/>
        </w:rPr>
        <w:t xml:space="preserve">”</w:t>
      </w:r>
      <w:r>
        <w:t xml:space="preserve"> </w:t>
      </w:r>
      <w:r>
        <w:t xml:space="preserve">— the Bhāṣyakāra explains this as</w:t>
      </w:r>
      <w:r>
        <w:t xml:space="preserve"> </w:t>
      </w:r>
      <w:r>
        <w:rPr>
          <w:iCs/>
          <w:i/>
        </w:rPr>
        <w:t xml:space="preserve">kṛtsnasya jyotiṣṭomādeḥ</w:t>
      </w:r>
      <w:r>
        <w:t xml:space="preserve">; it may also be given the sense</w:t>
      </w:r>
      <w:r>
        <w:t xml:space="preserve"> </w:t>
      </w:r>
      <w:r>
        <w:t xml:space="preserve">“</w:t>
      </w:r>
      <w:r>
        <w:t xml:space="preserve">all deeds — rites such as sacrifices and the activities of worldly life.</w:t>
      </w:r>
      <w:r>
        <w:t xml:space="preserve">”</w:t>
      </w:r>
    </w:p>
    <w:p>
      <w:pPr>
        <w:pStyle w:val="BodyText"/>
      </w:pPr>
      <w:r>
        <w:rPr>
          <w:bCs/>
          <w:b/>
        </w:rPr>
        <w:t xml:space="preserve">॥ Vyākaraṇa-prakriyā ॥</w:t>
      </w:r>
      <w:r>
        <w:t xml:space="preserve"> </w:t>
      </w:r>
      <w:r>
        <w:rPr>
          <w:iCs/>
          <w:i/>
        </w:rPr>
        <w:t xml:space="preserve">(grammar pages 461–463, noted briefly; numbers checked against the print)</w:t>
      </w:r>
    </w:p>
    <w:p>
      <w:pPr>
        <w:pStyle w:val="BodyText"/>
      </w:pPr>
      <w:r>
        <w:rPr>
          <w:bCs/>
          <w:b/>
        </w:rPr>
        <w:t xml:space="preserve">भिन्दुः (</w:t>
      </w:r>
      <w:r>
        <w:rPr>
          <w:iCs/>
          <w:i/>
          <w:bCs/>
          <w:b/>
        </w:rPr>
        <w:t xml:space="preserve">bhinduḥ</w:t>
      </w:r>
      <w:r>
        <w:rPr>
          <w:bCs/>
          <w:b/>
        </w:rPr>
        <w:t xml:space="preserve">)</w:t>
      </w:r>
      <w:r>
        <w:t xml:space="preserve"> </w:t>
      </w:r>
      <w:r>
        <w:t xml:space="preserve">— root</w:t>
      </w:r>
      <w:r>
        <w:t xml:space="preserve"> </w:t>
      </w:r>
      <w:r>
        <w:rPr>
          <w:iCs/>
          <w:i/>
        </w:rPr>
        <w:t xml:space="preserve">bhidir vidāraṇe</w:t>
      </w:r>
      <w:r>
        <w:t xml:space="preserve">;</w:t>
      </w:r>
      <w:r>
        <w:t xml:space="preserve"> </w:t>
      </w:r>
      <w:r>
        <w:t xml:space="preserve">“</w:t>
      </w:r>
      <w:r>
        <w:t xml:space="preserve">pṝ [?]-bhidi-vyadhi-gṛdhi-dhṛṣi-dṛśibhyaḥ</w:t>
      </w:r>
      <w:r>
        <w:t xml:space="preserve">”</w:t>
      </w:r>
      <w:r>
        <w:t xml:space="preserve"> </w:t>
      </w:r>
      <w:r>
        <w:t xml:space="preserve">(Uṇ. 1-23; the bhāṣya gives 1-24), with</w:t>
      </w:r>
      <w:r>
        <w:t xml:space="preserve"> </w:t>
      </w:r>
      <w:r>
        <w:rPr>
          <w:iCs/>
          <w:i/>
        </w:rPr>
        <w:t xml:space="preserve">kuḥ</w:t>
      </w:r>
      <w:r>
        <w:t xml:space="preserve"> </w:t>
      </w:r>
      <w:r>
        <w:t xml:space="preserve">carried over from</w:t>
      </w:r>
      <w:r>
        <w:t xml:space="preserve"> </w:t>
      </w:r>
      <w:r>
        <w:t xml:space="preserve">“</w:t>
      </w:r>
      <w:r>
        <w:t xml:space="preserve">kur bhraś ca</w:t>
      </w:r>
      <w:r>
        <w:t xml:space="preserve">”</w:t>
      </w:r>
      <w:r>
        <w:t xml:space="preserve"> </w:t>
      </w:r>
      <w:r>
        <w:t xml:space="preserve">(printed</w:t>
      </w:r>
      <w:r>
        <w:t xml:space="preserve"> </w:t>
      </w:r>
      <w:r>
        <w:t xml:space="preserve">“</w:t>
      </w:r>
      <w:r>
        <w:t xml:space="preserve">pā. sū. 1-22</w:t>
      </w:r>
      <w:r>
        <w:t xml:space="preserve">”</w:t>
      </w:r>
      <w:r>
        <w:t xml:space="preserve">)</w:t>
      </w:r>
    </w:p>
    <w:bookmarkEnd w:id="473"/>
    <w:bookmarkStart w:id="474" w:name="page-462-rik-4-grammar-continued"/>
    <w:p>
      <w:pPr>
        <w:pStyle w:val="Heading3"/>
      </w:pPr>
      <w:r>
        <w:t xml:space="preserve">Page 462 — Rik 4 grammar (continued)</w:t>
      </w:r>
    </w:p>
    <w:p>
      <w:pPr>
        <w:pStyle w:val="FirstParagraph"/>
      </w:pPr>
      <w:r>
        <w:t xml:space="preserve">— the roots</w:t>
      </w:r>
      <w:r>
        <w:t xml:space="preserve"> </w:t>
      </w:r>
      <w:r>
        <w:rPr>
          <w:iCs/>
          <w:i/>
        </w:rPr>
        <w:t xml:space="preserve">pṝ pālanapūraṇayoḥ</w:t>
      </w:r>
      <w:r>
        <w:t xml:space="preserve">,</w:t>
      </w:r>
      <w:r>
        <w:t xml:space="preserve"> </w:t>
      </w:r>
      <w:r>
        <w:rPr>
          <w:iCs/>
          <w:i/>
        </w:rPr>
        <w:t xml:space="preserve">bhidir vidāraṇe</w:t>
      </w:r>
      <w:r>
        <w:t xml:space="preserve">,</w:t>
      </w:r>
      <w:r>
        <w:t xml:space="preserve"> </w:t>
      </w:r>
      <w:r>
        <w:rPr>
          <w:iCs/>
          <w:i/>
        </w:rPr>
        <w:t xml:space="preserve">vyadha tāḍane</w:t>
      </w:r>
      <w:r>
        <w:t xml:space="preserve">,</w:t>
      </w:r>
      <w:r>
        <w:t xml:space="preserve"> </w:t>
      </w:r>
      <w:r>
        <w:rPr>
          <w:iCs/>
          <w:i/>
        </w:rPr>
        <w:t xml:space="preserve">gṛdhu abhikāṅkṣāyām</w:t>
      </w:r>
      <w:r>
        <w:t xml:space="preserve">,</w:t>
      </w:r>
      <w:r>
        <w:t xml:space="preserve"> </w:t>
      </w:r>
      <w:r>
        <w:rPr>
          <w:iCs/>
          <w:i/>
        </w:rPr>
        <w:t xml:space="preserve">ñidhṛṣā prāgalbhye</w:t>
      </w:r>
      <w:r>
        <w:t xml:space="preserve"> </w:t>
      </w:r>
      <w:r>
        <w:t xml:space="preserve">take</w:t>
      </w:r>
      <w:r>
        <w:t xml:space="preserve"> </w:t>
      </w:r>
      <w:r>
        <w:rPr>
          <w:iCs/>
          <w:i/>
        </w:rPr>
        <w:t xml:space="preserve">ku</w:t>
      </w:r>
      <w:r>
        <w:t xml:space="preserve">;</w:t>
      </w:r>
      <w:r>
        <w:t xml:space="preserve"> </w:t>
      </w:r>
      <w:r>
        <w:rPr>
          <w:iCs/>
          <w:i/>
        </w:rPr>
        <w:t xml:space="preserve">k</w:t>
      </w:r>
      <w:r>
        <w:t xml:space="preserve"> </w:t>
      </w:r>
      <w:r>
        <w:t xml:space="preserve">is</w:t>
      </w:r>
      <w:r>
        <w:t xml:space="preserve"> </w:t>
      </w:r>
      <w:r>
        <w:rPr>
          <w:iCs/>
          <w:i/>
        </w:rPr>
        <w:t xml:space="preserve">it</w:t>
      </w:r>
      <w:r>
        <w:t xml:space="preserve"> </w:t>
      </w:r>
      <w:r>
        <w:t xml:space="preserve">and dropped:</w:t>
      </w:r>
      <w:r>
        <w:t xml:space="preserve"> </w:t>
      </w:r>
      <w:r>
        <w:rPr>
          <w:iCs/>
          <w:i/>
        </w:rPr>
        <w:t xml:space="preserve">bhid</w:t>
      </w:r>
      <w:r>
        <w:t xml:space="preserve"> </w:t>
      </w:r>
      <w:r>
        <w:t xml:space="preserve">+</w:t>
      </w:r>
      <w:r>
        <w:t xml:space="preserve"> </w:t>
      </w:r>
      <w:r>
        <w:rPr>
          <w:iCs/>
          <w:i/>
        </w:rPr>
        <w:t xml:space="preserve">u</w:t>
      </w:r>
      <w:r>
        <w:t xml:space="preserve">; by</w:t>
      </w:r>
      <w:r>
        <w:t xml:space="preserve"> </w:t>
      </w:r>
      <w:r>
        <w:t xml:space="preserve">“</w:t>
      </w:r>
      <w:r>
        <w:t xml:space="preserve">chandasy ubhayathā</w:t>
      </w:r>
      <w:r>
        <w:t xml:space="preserve">”</w:t>
      </w:r>
      <w:r>
        <w:t xml:space="preserve"> </w:t>
      </w:r>
      <w:r>
        <w:t xml:space="preserve">(Pā. 3-4-117) the</w:t>
      </w:r>
      <w:r>
        <w:t xml:space="preserve"> </w:t>
      </w:r>
      <w:r>
        <w:rPr>
          <w:iCs/>
          <w:i/>
        </w:rPr>
        <w:t xml:space="preserve">u</w:t>
      </w:r>
      <w:r>
        <w:t xml:space="preserve"> </w:t>
      </w:r>
      <w:r>
        <w:t xml:space="preserve">is</w:t>
      </w:r>
      <w:r>
        <w:t xml:space="preserve"> </w:t>
      </w:r>
      <w:r>
        <w:rPr>
          <w:iCs/>
          <w:i/>
        </w:rPr>
        <w:t xml:space="preserve">sārvadhātuka</w:t>
      </w:r>
      <w:r>
        <w:t xml:space="preserve">, so</w:t>
      </w:r>
      <w:r>
        <w:t xml:space="preserve"> </w:t>
      </w:r>
      <w:r>
        <w:t xml:space="preserve">“</w:t>
      </w:r>
      <w:r>
        <w:t xml:space="preserve">rudhādibhyaḥ śnam</w:t>
      </w:r>
      <w:r>
        <w:t xml:space="preserve">”</w:t>
      </w:r>
      <w:r>
        <w:t xml:space="preserve"> </w:t>
      </w:r>
      <w:r>
        <w:t xml:space="preserve">(Pā. 3-1-78) gives</w:t>
      </w:r>
      <w:r>
        <w:t xml:space="preserve"> </w:t>
      </w:r>
      <w:r>
        <w:rPr>
          <w:iCs/>
          <w:i/>
        </w:rPr>
        <w:t xml:space="preserve">śnam</w:t>
      </w:r>
      <w:r>
        <w:t xml:space="preserve">, placed after the last vowel by</w:t>
      </w:r>
      <w:r>
        <w:t xml:space="preserve"> </w:t>
      </w:r>
      <w:r>
        <w:t xml:space="preserve">“</w:t>
      </w:r>
      <w:r>
        <w:t xml:space="preserve">mid aco ’ntyāt paraḥ</w:t>
      </w:r>
      <w:r>
        <w:t xml:space="preserve">”</w:t>
      </w:r>
      <w:r>
        <w:t xml:space="preserve"> </w:t>
      </w:r>
      <w:r>
        <w:t xml:space="preserve">(Pā. 1-1-47);</w:t>
      </w:r>
      <w:r>
        <w:t xml:space="preserve"> </w:t>
      </w:r>
      <w:r>
        <w:t xml:space="preserve">“</w:t>
      </w:r>
      <w:r>
        <w:t xml:space="preserve">śnasor allopaḥ</w:t>
      </w:r>
      <w:r>
        <w:t xml:space="preserve">”</w:t>
      </w:r>
      <w:r>
        <w:t xml:space="preserve"> </w:t>
      </w:r>
      <w:r>
        <w:t xml:space="preserve">(Pā. 6-4-111) drops the</w:t>
      </w:r>
      <w:r>
        <w:t xml:space="preserve"> </w:t>
      </w:r>
      <w:r>
        <w:rPr>
          <w:iCs/>
          <w:i/>
        </w:rPr>
        <w:t xml:space="preserve">a</w:t>
      </w:r>
      <w:r>
        <w:t xml:space="preserve"> </w:t>
      </w:r>
      <w:r>
        <w:t xml:space="preserve">of</w:t>
      </w:r>
      <w:r>
        <w:t xml:space="preserve"> </w:t>
      </w:r>
      <w:r>
        <w:rPr>
          <w:iCs/>
          <w:i/>
        </w:rPr>
        <w:t xml:space="preserve">śna</w:t>
      </w:r>
      <w:r>
        <w:t xml:space="preserve"> </w:t>
      </w:r>
      <w:r>
        <w:t xml:space="preserve">before a</w:t>
      </w:r>
      <w:r>
        <w:t xml:space="preserve"> </w:t>
      </w:r>
      <w:r>
        <w:rPr>
          <w:iCs/>
          <w:i/>
        </w:rPr>
        <w:t xml:space="preserve">kit</w:t>
      </w:r>
      <w:r>
        <w:t xml:space="preserve">/</w:t>
      </w:r>
      <w:r>
        <w:rPr>
          <w:iCs/>
          <w:i/>
        </w:rPr>
        <w:t xml:space="preserve">ṅit</w:t>
      </w:r>
      <w:r>
        <w:t xml:space="preserve"> </w:t>
      </w:r>
      <w:r>
        <w:rPr>
          <w:iCs/>
          <w:i/>
        </w:rPr>
        <w:t xml:space="preserve">sārvadhātuka</w:t>
      </w:r>
      <w:r>
        <w:t xml:space="preserve">:</w:t>
      </w:r>
      <w:r>
        <w:t xml:space="preserve"> </w:t>
      </w:r>
      <w:r>
        <w:rPr>
          <w:iCs/>
          <w:i/>
        </w:rPr>
        <w:t xml:space="preserve">bhin</w:t>
      </w:r>
      <w:r>
        <w:t xml:space="preserve"> </w:t>
      </w:r>
      <w:r>
        <w:t xml:space="preserve">+</w:t>
      </w:r>
      <w:r>
        <w:t xml:space="preserve"> </w:t>
      </w:r>
      <w:r>
        <w:rPr>
          <w:iCs/>
          <w:i/>
        </w:rPr>
        <w:t xml:space="preserve">d</w:t>
      </w:r>
      <w:r>
        <w:t xml:space="preserve"> </w:t>
      </w:r>
      <w:r>
        <w:t xml:space="preserve">+</w:t>
      </w:r>
      <w:r>
        <w:t xml:space="preserve"> </w:t>
      </w:r>
      <w:r>
        <w:rPr>
          <w:iCs/>
          <w:i/>
        </w:rPr>
        <w:t xml:space="preserve">u</w:t>
      </w:r>
      <w:r>
        <w:t xml:space="preserve">;</w:t>
      </w:r>
      <w:r>
        <w:t xml:space="preserve"> </w:t>
      </w:r>
      <w:r>
        <w:t xml:space="preserve">“</w:t>
      </w:r>
      <w:r>
        <w:t xml:space="preserve">naś cāpadāntasya jhali</w:t>
      </w:r>
      <w:r>
        <w:t xml:space="preserve">”</w:t>
      </w:r>
      <w:r>
        <w:t xml:space="preserve"> </w:t>
      </w:r>
      <w:r>
        <w:t xml:space="preserve">(Pā. 8-3-24) gives anusvāra, and</w:t>
      </w:r>
      <w:r>
        <w:t xml:space="preserve"> </w:t>
      </w:r>
      <w:r>
        <w:t xml:space="preserve">“</w:t>
      </w:r>
      <w:r>
        <w:t xml:space="preserve">anusvārasya yayi parasavarṇaḥ</w:t>
      </w:r>
      <w:r>
        <w:t xml:space="preserve">”</w:t>
      </w:r>
      <w:r>
        <w:t xml:space="preserve"> </w:t>
      </w:r>
      <w:r>
        <w:t xml:space="preserve">(Pā. 8-4-58) the homorganic</w:t>
      </w:r>
      <w:r>
        <w:t xml:space="preserve"> </w:t>
      </w:r>
      <w:r>
        <w:rPr>
          <w:iCs/>
          <w:i/>
        </w:rPr>
        <w:t xml:space="preserve">n</w:t>
      </w:r>
      <w:r>
        <w:t xml:space="preserve">. The print then argues that the dropped</w:t>
      </w:r>
      <w:r>
        <w:t xml:space="preserve"> </w:t>
      </w:r>
      <w:r>
        <w:rPr>
          <w:iCs/>
          <w:i/>
        </w:rPr>
        <w:t xml:space="preserve">a</w:t>
      </w:r>
      <w:r>
        <w:t xml:space="preserve"> </w:t>
      </w:r>
      <w:r>
        <w:t xml:space="preserve">would, by</w:t>
      </w:r>
      <w:r>
        <w:t xml:space="preserve"> </w:t>
      </w:r>
      <w:r>
        <w:t xml:space="preserve">“</w:t>
      </w:r>
      <w:r>
        <w:t xml:space="preserve">acaḥ parasmin pūrvavidhau</w:t>
      </w:r>
      <w:r>
        <w:t xml:space="preserve">”</w:t>
      </w:r>
      <w:r>
        <w:t xml:space="preserve"> </w:t>
      </w:r>
      <w:r>
        <w:t xml:space="preserve">(Pā. 1-1-57), be</w:t>
      </w:r>
      <w:r>
        <w:t xml:space="preserve"> </w:t>
      </w:r>
      <w:r>
        <w:rPr>
          <w:iCs/>
          <w:i/>
        </w:rPr>
        <w:t xml:space="preserve">sthānivat</w:t>
      </w:r>
      <w:r>
        <w:t xml:space="preserve"> </w:t>
      </w:r>
      <w:r>
        <w:t xml:space="preserve">and intervene, so that anusvāra and</w:t>
      </w:r>
      <w:r>
        <w:t xml:space="preserve"> </w:t>
      </w:r>
      <w:r>
        <w:rPr>
          <w:iCs/>
          <w:i/>
        </w:rPr>
        <w:t xml:space="preserve">parasavarṇa</w:t>
      </w:r>
      <w:r>
        <w:t xml:space="preserve"> </w:t>
      </w:r>
      <w:r>
        <w:t xml:space="preserve">could not apply; but</w:t>
      </w:r>
      <w:r>
        <w:t xml:space="preserve"> </w:t>
      </w:r>
      <w:r>
        <w:t xml:space="preserve">“</w:t>
      </w:r>
      <w:r>
        <w:t xml:space="preserve">na padānta-dvirvacana-vare-yalopa-svara-savarṇānusvāra-dīrgha-jaś-car-vidhiṣu</w:t>
      </w:r>
      <w:r>
        <w:t xml:space="preserve">”</w:t>
      </w:r>
      <w:r>
        <w:t xml:space="preserve"> </w:t>
      </w:r>
      <w:r>
        <w:t xml:space="preserve">(1-1-58) denies the</w:t>
      </w:r>
      <w:r>
        <w:t xml:space="preserve"> </w:t>
      </w:r>
      <w:r>
        <w:rPr>
          <w:iCs/>
          <w:i/>
        </w:rPr>
        <w:t xml:space="preserve">sthānivadbhāva</w:t>
      </w:r>
      <w:r>
        <w:t xml:space="preserve"> </w:t>
      </w:r>
      <w:r>
        <w:t xml:space="preserve">in rules of anusvāra and</w:t>
      </w:r>
      <w:r>
        <w:t xml:space="preserve"> </w:t>
      </w:r>
      <w:r>
        <w:rPr>
          <w:iCs/>
          <w:i/>
        </w:rPr>
        <w:t xml:space="preserve">savarṇa</w:t>
      </w:r>
      <w:r>
        <w:t xml:space="preserve">, so there is no intervention:</w:t>
      </w:r>
      <w:r>
        <w:t xml:space="preserve"> </w:t>
      </w:r>
      <w:r>
        <w:rPr>
          <w:iCs/>
          <w:i/>
        </w:rPr>
        <w:t xml:space="preserve">bhinduḥ</w:t>
      </w:r>
      <w:r>
        <w:t xml:space="preserve">, with the suffix accent.</w:t>
      </w:r>
      <w:r>
        <w:t xml:space="preserve"> </w:t>
      </w:r>
      <w:r>
        <w:rPr>
          <w:bCs/>
          <w:b/>
        </w:rPr>
        <w:t xml:space="preserve">युवा (</w:t>
      </w:r>
      <w:r>
        <w:rPr>
          <w:iCs/>
          <w:i/>
          <w:bCs/>
          <w:b/>
        </w:rPr>
        <w:t xml:space="preserve">yuvā</w:t>
      </w:r>
      <w:r>
        <w:rPr>
          <w:bCs/>
          <w:b/>
        </w:rPr>
        <w:t xml:space="preserve">)</w:t>
      </w:r>
      <w:r>
        <w:t xml:space="preserve"> </w:t>
      </w:r>
      <w:r>
        <w:t xml:space="preserve">— root</w:t>
      </w:r>
      <w:r>
        <w:t xml:space="preserve"> </w:t>
      </w:r>
      <w:r>
        <w:rPr>
          <w:iCs/>
          <w:i/>
        </w:rPr>
        <w:t xml:space="preserve">yu miśraṇāmiśraṇayoḥ</w:t>
      </w:r>
      <w:r>
        <w:t xml:space="preserve"> </w:t>
      </w:r>
      <w:r>
        <w:t xml:space="preserve">+</w:t>
      </w:r>
      <w:r>
        <w:t xml:space="preserve"> </w:t>
      </w:r>
      <w:r>
        <w:rPr>
          <w:iCs/>
          <w:i/>
        </w:rPr>
        <w:t xml:space="preserve">kanin</w:t>
      </w:r>
      <w:r>
        <w:t xml:space="preserve"> </w:t>
      </w:r>
      <w:r>
        <w:t xml:space="preserve">by</w:t>
      </w:r>
      <w:r>
        <w:t xml:space="preserve"> </w:t>
      </w:r>
      <w:r>
        <w:t xml:space="preserve">“</w:t>
      </w:r>
      <w:r>
        <w:t xml:space="preserve">kanin yu-vṛṣi-takṣi-rāji-dhanvi-dyu-pratidivaḥ</w:t>
      </w:r>
      <w:r>
        <w:t xml:space="preserve">”</w:t>
      </w:r>
      <w:r>
        <w:t xml:space="preserve"> </w:t>
      </w:r>
      <w:r>
        <w:t xml:space="preserve">(printed Uṇ.</w:t>
      </w:r>
      <w:r>
        <w:t xml:space="preserve"> </w:t>
      </w:r>
      <w:r>
        <w:t xml:space="preserve">“</w:t>
      </w:r>
      <w:r>
        <w:t xml:space="preserve">1-154</w:t>
      </w:r>
      <w:r>
        <w:t xml:space="preserve">”</w:t>
      </w:r>
      <w:r>
        <w:t xml:space="preserve">; the bhāṣya gives 1-156); the suffix being</w:t>
      </w:r>
      <w:r>
        <w:t xml:space="preserve"> </w:t>
      </w:r>
      <w:r>
        <w:rPr>
          <w:iCs/>
          <w:i/>
        </w:rPr>
        <w:t xml:space="preserve">nit</w:t>
      </w:r>
      <w:r>
        <w:t xml:space="preserve">, initial-udātta.</w:t>
      </w:r>
    </w:p>
    <w:bookmarkEnd w:id="474"/>
    <w:bookmarkStart w:id="475" w:name="page-463-rik-4-grammar-closes"/>
    <w:p>
      <w:pPr>
        <w:pStyle w:val="Heading3"/>
      </w:pPr>
      <w:r>
        <w:t xml:space="preserve">Page 463 — Rik 4 grammar closes</w:t>
      </w:r>
    </w:p>
    <w:p>
      <w:pPr>
        <w:pStyle w:val="FirstParagraph"/>
      </w:pPr>
      <w:r>
        <w:rPr>
          <w:bCs/>
          <w:b/>
        </w:rPr>
        <w:t xml:space="preserve">कविः (</w:t>
      </w:r>
      <w:r>
        <w:rPr>
          <w:iCs/>
          <w:i/>
          <w:bCs/>
          <w:b/>
        </w:rPr>
        <w:t xml:space="preserve">kaviḥ</w:t>
      </w:r>
      <w:r>
        <w:rPr>
          <w:bCs/>
          <w:b/>
        </w:rPr>
        <w:t xml:space="preserve">)</w:t>
      </w:r>
      <w:r>
        <w:t xml:space="preserve"> </w:t>
      </w:r>
      <w:r>
        <w:t xml:space="preserve">— root</w:t>
      </w:r>
      <w:r>
        <w:t xml:space="preserve"> </w:t>
      </w:r>
      <w:r>
        <w:rPr>
          <w:iCs/>
          <w:i/>
        </w:rPr>
        <w:t xml:space="preserve">ku śabde</w:t>
      </w:r>
      <w:r>
        <w:t xml:space="preserve"> </w:t>
      </w:r>
      <w:r>
        <w:t xml:space="preserve">+</w:t>
      </w:r>
      <w:r>
        <w:t xml:space="preserve"> </w:t>
      </w:r>
      <w:r>
        <w:rPr>
          <w:iCs/>
          <w:i/>
        </w:rPr>
        <w:t xml:space="preserve">i</w:t>
      </w:r>
      <w:r>
        <w:t xml:space="preserve"> </w:t>
      </w:r>
      <w:r>
        <w:t xml:space="preserve">by</w:t>
      </w:r>
      <w:r>
        <w:t xml:space="preserve"> </w:t>
      </w:r>
      <w:r>
        <w:t xml:space="preserve">“</w:t>
      </w:r>
      <w:r>
        <w:t xml:space="preserve">aca iḥ</w:t>
      </w:r>
      <w:r>
        <w:t xml:space="preserve">”</w:t>
      </w:r>
      <w:r>
        <w:t xml:space="preserve"> </w:t>
      </w:r>
      <w:r>
        <w:t xml:space="preserve">(printed Uṇ.</w:t>
      </w:r>
      <w:r>
        <w:t xml:space="preserve"> </w:t>
      </w:r>
      <w:r>
        <w:t xml:space="preserve">“</w:t>
      </w:r>
      <w:r>
        <w:t xml:space="preserve">4-578</w:t>
      </w:r>
      <w:r>
        <w:t xml:space="preserve">”</w:t>
      </w:r>
      <w:r>
        <w:t xml:space="preserve"> </w:t>
      </w:r>
      <w:r>
        <w:t xml:space="preserve">[?]; the bhāṣya gives 4-139), after a vowel-ending root;</w:t>
      </w:r>
      <w:r>
        <w:t xml:space="preserve"> </w:t>
      </w:r>
      <w:r>
        <w:rPr>
          <w:iCs/>
          <w:i/>
        </w:rPr>
        <w:t xml:space="preserve">ku</w:t>
      </w:r>
      <w:r>
        <w:t xml:space="preserve"> </w:t>
      </w:r>
      <w:r>
        <w:t xml:space="preserve">+</w:t>
      </w:r>
      <w:r>
        <w:t xml:space="preserve"> </w:t>
      </w:r>
      <w:r>
        <w:rPr>
          <w:iCs/>
          <w:i/>
        </w:rPr>
        <w:t xml:space="preserve">i</w:t>
      </w:r>
      <w:r>
        <w:t xml:space="preserve">,</w:t>
      </w:r>
      <w:r>
        <w:t xml:space="preserve"> </w:t>
      </w:r>
      <w:r>
        <w:rPr>
          <w:iCs/>
          <w:i/>
        </w:rPr>
        <w:t xml:space="preserve">guṇa</w:t>
      </w:r>
      <w:r>
        <w:t xml:space="preserve"> </w:t>
      </w:r>
      <w:r>
        <w:t xml:space="preserve">and</w:t>
      </w:r>
      <w:r>
        <w:t xml:space="preserve"> </w:t>
      </w:r>
      <w:r>
        <w:rPr>
          <w:iCs/>
          <w:i/>
        </w:rPr>
        <w:t xml:space="preserve">av</w:t>
      </w:r>
      <w:r>
        <w:t xml:space="preserve">:</w:t>
      </w:r>
      <w:r>
        <w:t xml:space="preserve"> </w:t>
      </w:r>
      <w:r>
        <w:rPr>
          <w:iCs/>
          <w:i/>
        </w:rPr>
        <w:t xml:space="preserve">kavi</w:t>
      </w:r>
      <w:r>
        <w:t xml:space="preserve">; the suffix accent.</w:t>
      </w:r>
      <w:r>
        <w:t xml:space="preserve"> </w:t>
      </w:r>
      <w:r>
        <w:rPr>
          <w:bCs/>
          <w:b/>
        </w:rPr>
        <w:t xml:space="preserve">अमितौजाः (</w:t>
      </w:r>
      <w:r>
        <w:rPr>
          <w:iCs/>
          <w:i/>
          <w:bCs/>
          <w:b/>
        </w:rPr>
        <w:t xml:space="preserve">amitaujāḥ</w:t>
      </w:r>
      <w:r>
        <w:rPr>
          <w:bCs/>
          <w:b/>
        </w:rPr>
        <w:t xml:space="preserve">)</w:t>
      </w:r>
      <w:r>
        <w:t xml:space="preserve"> </w:t>
      </w:r>
      <w:r>
        <w:t xml:space="preserve">—</w:t>
      </w:r>
      <w:r>
        <w:t xml:space="preserve"> </w:t>
      </w:r>
      <w:r>
        <w:t xml:space="preserve">“</w:t>
      </w:r>
      <w:r>
        <w:t xml:space="preserve">na mitam amitam; amitam ojaḥ yasya saḥ</w:t>
      </w:r>
      <w:r>
        <w:t xml:space="preserve">”</w:t>
      </w:r>
      <w:r>
        <w:t xml:space="preserve">; in</w:t>
      </w:r>
      <w:r>
        <w:t xml:space="preserve"> </w:t>
      </w:r>
      <w:r>
        <w:rPr>
          <w:iCs/>
          <w:i/>
        </w:rPr>
        <w:t xml:space="preserve">amita</w:t>
      </w:r>
      <w:r>
        <w:t xml:space="preserve"> </w:t>
      </w:r>
      <w:r>
        <w:t xml:space="preserve">the indeclinable first member keeps its accent by</w:t>
      </w:r>
      <w:r>
        <w:t xml:space="preserve"> </w:t>
      </w:r>
      <w:r>
        <w:t xml:space="preserve">“</w:t>
      </w:r>
      <w:r>
        <w:t xml:space="preserve">tatpuruṣe tulyārtha…</w:t>
      </w:r>
      <w:r>
        <w:t xml:space="preserve">”</w:t>
      </w:r>
      <w:r>
        <w:t xml:space="preserve"> </w:t>
      </w:r>
      <w:r>
        <w:t xml:space="preserve">(Pā. 6-2-2); in the bahuvrīhi that follows,</w:t>
      </w:r>
      <w:r>
        <w:t xml:space="preserve"> </w:t>
      </w:r>
      <w:r>
        <w:t xml:space="preserve">“</w:t>
      </w:r>
      <w:r>
        <w:t xml:space="preserve">bahuvrīhau prakṛtyā pūrvapadam</w:t>
      </w:r>
      <w:r>
        <w:t xml:space="preserve">”</w:t>
      </w:r>
      <w:r>
        <w:t xml:space="preserve"> </w:t>
      </w:r>
      <w:r>
        <w:t xml:space="preserve">(Pā. 6-2-1) keeps that same accent.</w:t>
      </w:r>
      <w:r>
        <w:t xml:space="preserve"> </w:t>
      </w:r>
      <w:r>
        <w:rPr>
          <w:bCs/>
          <w:b/>
        </w:rPr>
        <w:t xml:space="preserve">विश्वस्य (</w:t>
      </w:r>
      <w:r>
        <w:rPr>
          <w:iCs/>
          <w:i/>
          <w:bCs/>
          <w:b/>
        </w:rPr>
        <w:t xml:space="preserve">viśvasya</w:t>
      </w:r>
      <w:r>
        <w:rPr>
          <w:bCs/>
          <w:b/>
        </w:rPr>
        <w:t xml:space="preserve">)</w:t>
      </w:r>
      <w:r>
        <w:t xml:space="preserve"> </w:t>
      </w:r>
      <w:r>
        <w:t xml:space="preserve">— (headed</w:t>
      </w:r>
      <w:r>
        <w:t xml:space="preserve"> </w:t>
      </w:r>
      <w:r>
        <w:t xml:space="preserve">“</w:t>
      </w:r>
      <w:r>
        <w:t xml:space="preserve">viśvataḥ</w:t>
      </w:r>
      <w:r>
        <w:t xml:space="preserve">”</w:t>
      </w:r>
      <w:r>
        <w:t xml:space="preserve"> </w:t>
      </w:r>
      <w:r>
        <w:t xml:space="preserve">[sic])</w:t>
      </w:r>
      <w:r>
        <w:t xml:space="preserve"> </w:t>
      </w:r>
      <w:r>
        <w:rPr>
          <w:iCs/>
          <w:i/>
        </w:rPr>
        <w:t xml:space="preserve">kvan</w:t>
      </w:r>
      <w:r>
        <w:t xml:space="preserve"> </w:t>
      </w:r>
      <w:r>
        <w:t xml:space="preserve">by</w:t>
      </w:r>
      <w:r>
        <w:t xml:space="preserve"> </w:t>
      </w:r>
      <w:r>
        <w:t xml:space="preserve">“</w:t>
      </w:r>
      <w:r>
        <w:t xml:space="preserve">aśūpruṣi…</w:t>
      </w:r>
      <w:r>
        <w:t xml:space="preserve">”</w:t>
      </w:r>
      <w:r>
        <w:t xml:space="preserve"> </w:t>
      </w:r>
      <w:r>
        <w:t xml:space="preserve">(Uṇ. 1-149); the</w:t>
      </w:r>
      <w:r>
        <w:t xml:space="preserve"> </w:t>
      </w:r>
      <w:r>
        <w:rPr>
          <w:iCs/>
          <w:i/>
        </w:rPr>
        <w:t xml:space="preserve">nit</w:t>
      </w:r>
      <w:r>
        <w:t xml:space="preserve"> </w:t>
      </w:r>
      <w:r>
        <w:t xml:space="preserve">accent.</w:t>
      </w:r>
      <w:r>
        <w:t xml:space="preserve"> </w:t>
      </w:r>
      <w:r>
        <w:rPr>
          <w:bCs/>
          <w:b/>
        </w:rPr>
        <w:t xml:space="preserve">कर्मणः (</w:t>
      </w:r>
      <w:r>
        <w:rPr>
          <w:iCs/>
          <w:i/>
          <w:bCs/>
          <w:b/>
        </w:rPr>
        <w:t xml:space="preserve">karmaṇaḥ</w:t>
      </w:r>
      <w:r>
        <w:rPr>
          <w:bCs/>
          <w:b/>
        </w:rPr>
        <w:t xml:space="preserve">)</w:t>
      </w:r>
      <w:r>
        <w:t xml:space="preserve"> </w:t>
      </w:r>
      <w:r>
        <w:t xml:space="preserve">— root</w:t>
      </w:r>
      <w:r>
        <w:t xml:space="preserve"> </w:t>
      </w:r>
      <w:r>
        <w:rPr>
          <w:iCs/>
          <w:i/>
        </w:rPr>
        <w:t xml:space="preserve">ḍukṛñ karaṇe</w:t>
      </w:r>
      <w:r>
        <w:t xml:space="preserve"> </w:t>
      </w:r>
      <w:r>
        <w:t xml:space="preserve">+</w:t>
      </w:r>
      <w:r>
        <w:t xml:space="preserve"> </w:t>
      </w:r>
      <w:r>
        <w:rPr>
          <w:iCs/>
          <w:i/>
        </w:rPr>
        <w:t xml:space="preserve">manin</w:t>
      </w:r>
      <w:r>
        <w:t xml:space="preserve"> </w:t>
      </w:r>
      <w:r>
        <w:t xml:space="preserve">by</w:t>
      </w:r>
      <w:r>
        <w:t xml:space="preserve"> </w:t>
      </w:r>
      <w:r>
        <w:t xml:space="preserve">“</w:t>
      </w:r>
      <w:r>
        <w:t xml:space="preserve">anyebhyo ’pi dṛśyante</w:t>
      </w:r>
      <w:r>
        <w:t xml:space="preserve">”</w:t>
      </w:r>
      <w:r>
        <w:t xml:space="preserve"> </w:t>
      </w:r>
      <w:r>
        <w:t xml:space="preserve">(Pā. 3-2-75);</w:t>
      </w:r>
      <w:r>
        <w:t xml:space="preserve"> </w:t>
      </w:r>
      <w:r>
        <w:rPr>
          <w:iCs/>
          <w:i/>
        </w:rPr>
        <w:t xml:space="preserve">guṇa</w:t>
      </w:r>
      <w:r>
        <w:t xml:space="preserve"> </w:t>
      </w:r>
      <w:r>
        <w:t xml:space="preserve">with</w:t>
      </w:r>
      <w:r>
        <w:t xml:space="preserve"> </w:t>
      </w:r>
      <w:r>
        <w:rPr>
          <w:iCs/>
          <w:i/>
        </w:rPr>
        <w:t xml:space="preserve">r</w:t>
      </w:r>
      <w:r>
        <w:t xml:space="preserve">;</w:t>
      </w:r>
      <w:r>
        <w:t xml:space="preserve"> </w:t>
      </w:r>
      <w:r>
        <w:rPr>
          <w:iCs/>
          <w:i/>
        </w:rPr>
        <w:t xml:space="preserve">karman</w:t>
      </w:r>
      <w:r>
        <w:t xml:space="preserve"> </w:t>
      </w:r>
      <w:r>
        <w:t xml:space="preserve">initial-udātta by the</w:t>
      </w:r>
      <w:r>
        <w:t xml:space="preserve"> </w:t>
      </w:r>
      <w:r>
        <w:rPr>
          <w:iCs/>
          <w:i/>
        </w:rPr>
        <w:t xml:space="preserve">nit</w:t>
      </w:r>
      <w:r>
        <w:t xml:space="preserve"> </w:t>
      </w:r>
      <w:r>
        <w:t xml:space="preserve">accent; genitive singular,</w:t>
      </w:r>
      <w:r>
        <w:t xml:space="preserve"> </w:t>
      </w:r>
      <w:r>
        <w:rPr>
          <w:iCs/>
          <w:i/>
        </w:rPr>
        <w:t xml:space="preserve">ṇ</w:t>
      </w:r>
      <w:r>
        <w:t xml:space="preserve"> </w:t>
      </w:r>
      <w:r>
        <w:t xml:space="preserve">by</w:t>
      </w:r>
      <w:r>
        <w:t xml:space="preserve"> </w:t>
      </w:r>
      <w:r>
        <w:t xml:space="preserve">“</w:t>
      </w:r>
      <w:r>
        <w:t xml:space="preserve">ṛvarṇān nasya ṇatvaṃ vācyam</w:t>
      </w:r>
      <w:r>
        <w:t xml:space="preserve">”</w:t>
      </w:r>
      <w:r>
        <w:t xml:space="preserve">;</w:t>
      </w:r>
      <w:r>
        <w:t xml:space="preserve"> </w:t>
      </w:r>
      <w:r>
        <w:rPr>
          <w:iCs/>
          <w:i/>
        </w:rPr>
        <w:t xml:space="preserve">ru</w:t>
      </w:r>
      <w:r>
        <w:t xml:space="preserve"> </w:t>
      </w:r>
      <w:r>
        <w:t xml:space="preserve">and visarga:</w:t>
      </w:r>
      <w:r>
        <w:t xml:space="preserve"> </w:t>
      </w:r>
      <w:r>
        <w:rPr>
          <w:iCs/>
          <w:i/>
        </w:rPr>
        <w:t xml:space="preserve">karmaṇaḥ</w:t>
      </w:r>
      <w:r>
        <w:t xml:space="preserve">.</w:t>
      </w:r>
      <w:r>
        <w:t xml:space="preserve"> </w:t>
      </w:r>
      <w:r>
        <w:rPr>
          <w:bCs/>
          <w:b/>
        </w:rPr>
        <w:t xml:space="preserve">धर्ता (</w:t>
      </w:r>
      <w:r>
        <w:rPr>
          <w:iCs/>
          <w:i/>
          <w:bCs/>
          <w:b/>
        </w:rPr>
        <w:t xml:space="preserve">dhartā</w:t>
      </w:r>
      <w:r>
        <w:rPr>
          <w:bCs/>
          <w:b/>
        </w:rPr>
        <w:t xml:space="preserve">)</w:t>
      </w:r>
      <w:r>
        <w:t xml:space="preserve"> </w:t>
      </w:r>
      <w:r>
        <w:t xml:space="preserve">— root</w:t>
      </w:r>
      <w:r>
        <w:t xml:space="preserve"> </w:t>
      </w:r>
      <w:r>
        <w:rPr>
          <w:iCs/>
          <w:i/>
        </w:rPr>
        <w:t xml:space="preserve">dhṛñ avasthāne</w:t>
      </w:r>
      <w:r>
        <w:t xml:space="preserve"> </w:t>
      </w:r>
      <w:r>
        <w:t xml:space="preserve">+</w:t>
      </w:r>
      <w:r>
        <w:t xml:space="preserve"> </w:t>
      </w:r>
      <w:r>
        <w:rPr>
          <w:iCs/>
          <w:i/>
        </w:rPr>
        <w:t xml:space="preserve">tṛc</w:t>
      </w:r>
      <w:r>
        <w:t xml:space="preserve"> </w:t>
      </w:r>
      <w:r>
        <w:t xml:space="preserve">by</w:t>
      </w:r>
      <w:r>
        <w:t xml:space="preserve"> </w:t>
      </w:r>
      <w:r>
        <w:t xml:space="preserve">“</w:t>
      </w:r>
      <w:r>
        <w:t xml:space="preserve">ṇvul-tṛcau</w:t>
      </w:r>
      <w:r>
        <w:t xml:space="preserve">”</w:t>
      </w:r>
      <w:r>
        <w:t xml:space="preserve"> </w:t>
      </w:r>
      <w:r>
        <w:t xml:space="preserve">(Pā. 3-1-133);</w:t>
      </w:r>
      <w:r>
        <w:t xml:space="preserve"> </w:t>
      </w:r>
      <w:r>
        <w:rPr>
          <w:iCs/>
          <w:i/>
        </w:rPr>
        <w:t xml:space="preserve">guṇa</w:t>
      </w:r>
      <w:r>
        <w:t xml:space="preserve"> </w:t>
      </w:r>
      <w:r>
        <w:t xml:space="preserve">with</w:t>
      </w:r>
      <w:r>
        <w:t xml:space="preserve"> </w:t>
      </w:r>
      <w:r>
        <w:rPr>
          <w:iCs/>
          <w:i/>
        </w:rPr>
        <w:t xml:space="preserve">r</w:t>
      </w:r>
      <w:r>
        <w:t xml:space="preserve">:</w:t>
      </w:r>
      <w:r>
        <w:t xml:space="preserve"> </w:t>
      </w:r>
      <w:r>
        <w:rPr>
          <w:iCs/>
          <w:i/>
        </w:rPr>
        <w:t xml:space="preserve">dhartṛ</w:t>
      </w:r>
      <w:r>
        <w:t xml:space="preserve">; final-udātta by</w:t>
      </w:r>
      <w:r>
        <w:t xml:space="preserve"> </w:t>
      </w:r>
      <w:r>
        <w:t xml:space="preserve">“</w:t>
      </w:r>
      <w:r>
        <w:t xml:space="preserve">citaḥ</w:t>
      </w:r>
      <w:r>
        <w:t xml:space="preserve">”</w:t>
      </w:r>
      <w:r>
        <w:t xml:space="preserve"> </w:t>
      </w:r>
      <w:r>
        <w:t xml:space="preserve">(Pā. 6-1-163); nominative singular</w:t>
      </w:r>
      <w:r>
        <w:t xml:space="preserve"> </w:t>
      </w:r>
      <w:r>
        <w:rPr>
          <w:iCs/>
          <w:i/>
        </w:rPr>
        <w:t xml:space="preserve">dhartā</w:t>
      </w:r>
      <w:r>
        <w:t xml:space="preserve">.</w:t>
      </w:r>
      <w:r>
        <w:t xml:space="preserve"> </w:t>
      </w:r>
      <w:r>
        <w:rPr>
          <w:bCs/>
          <w:b/>
        </w:rPr>
        <w:t xml:space="preserve">वज्री (</w:t>
      </w:r>
      <w:r>
        <w:rPr>
          <w:iCs/>
          <w:i/>
          <w:bCs/>
          <w:b/>
        </w:rPr>
        <w:t xml:space="preserve">vajrī</w:t>
      </w:r>
      <w:r>
        <w:rPr>
          <w:bCs/>
          <w:b/>
        </w:rPr>
        <w:t xml:space="preserve">)</w:t>
      </w:r>
      <w:r>
        <w:t xml:space="preserve"> </w:t>
      </w:r>
      <w:r>
        <w:t xml:space="preserve">—</w:t>
      </w:r>
      <w:r>
        <w:t xml:space="preserve"> </w:t>
      </w:r>
      <w:r>
        <w:t xml:space="preserve">“</w:t>
      </w:r>
      <w:r>
        <w:t xml:space="preserve">vajram asya asti iti vajrī</w:t>
      </w:r>
      <w:r>
        <w:t xml:space="preserve">”</w:t>
      </w:r>
      <w:r>
        <w:t xml:space="preserve">:</w:t>
      </w:r>
      <w:r>
        <w:t xml:space="preserve"> </w:t>
      </w:r>
      <w:r>
        <w:rPr>
          <w:iCs/>
          <w:i/>
        </w:rPr>
        <w:t xml:space="preserve">ini</w:t>
      </w:r>
      <w:r>
        <w:t xml:space="preserve"> </w:t>
      </w:r>
      <w:r>
        <w:t xml:space="preserve">by</w:t>
      </w:r>
      <w:r>
        <w:t xml:space="preserve"> </w:t>
      </w:r>
      <w:r>
        <w:t xml:space="preserve">“</w:t>
      </w:r>
      <w:r>
        <w:t xml:space="preserve">ata ini-ṭhanau</w:t>
      </w:r>
      <w:r>
        <w:t xml:space="preserve">”</w:t>
      </w:r>
      <w:r>
        <w:t xml:space="preserve"> </w:t>
      </w:r>
      <w:r>
        <w:t xml:space="preserve">(Pā. 5-2-115); the suffix accent.</w:t>
      </w:r>
      <w:r>
        <w:t xml:space="preserve"> </w:t>
      </w:r>
      <w:r>
        <w:rPr>
          <w:bCs/>
          <w:b/>
        </w:rPr>
        <w:t xml:space="preserve">पुरुष्टुतः (</w:t>
      </w:r>
      <w:r>
        <w:rPr>
          <w:iCs/>
          <w:i/>
          <w:bCs/>
          <w:b/>
        </w:rPr>
        <w:t xml:space="preserve">puruṣṭutaḥ</w:t>
      </w:r>
      <w:r>
        <w:rPr>
          <w:bCs/>
          <w:b/>
        </w:rPr>
        <w:t xml:space="preserve">)</w:t>
      </w:r>
      <w:r>
        <w:t xml:space="preserve"> </w:t>
      </w:r>
      <w:r>
        <w:t xml:space="preserve">— root</w:t>
      </w:r>
      <w:r>
        <w:t xml:space="preserve"> </w:t>
      </w:r>
      <w:r>
        <w:rPr>
          <w:iCs/>
          <w:i/>
        </w:rPr>
        <w:t xml:space="preserve">pṝ</w:t>
      </w:r>
      <w:r>
        <w:t xml:space="preserve"> </w:t>
      </w:r>
      <w:r>
        <w:t xml:space="preserve">[?]</w:t>
      </w:r>
      <w:r>
        <w:t xml:space="preserve"> </w:t>
      </w:r>
      <w:r>
        <w:rPr>
          <w:iCs/>
          <w:i/>
        </w:rPr>
        <w:t xml:space="preserve">pālanapūraṇayoḥ</w:t>
      </w:r>
      <w:r>
        <w:t xml:space="preserve"> </w:t>
      </w:r>
      <w:r>
        <w:t xml:space="preserve">+</w:t>
      </w:r>
      <w:r>
        <w:t xml:space="preserve"> </w:t>
      </w:r>
      <w:r>
        <w:rPr>
          <w:iCs/>
          <w:i/>
        </w:rPr>
        <w:t xml:space="preserve">ku</w:t>
      </w:r>
      <w:r>
        <w:t xml:space="preserve"> </w:t>
      </w:r>
      <w:r>
        <w:t xml:space="preserve">by</w:t>
      </w:r>
      <w:r>
        <w:t xml:space="preserve"> </w:t>
      </w:r>
      <w:r>
        <w:t xml:space="preserve">“</w:t>
      </w:r>
      <w:r>
        <w:t xml:space="preserve">pṝ-bhidi…</w:t>
      </w:r>
      <w:r>
        <w:t xml:space="preserve">”</w:t>
      </w:r>
      <w:r>
        <w:t xml:space="preserve"> </w:t>
      </w:r>
      <w:r>
        <w:t xml:space="preserve">(Uṇ. 1-23);</w:t>
      </w:r>
      <w:r>
        <w:t xml:space="preserve"> </w:t>
      </w:r>
      <w:r>
        <w:t xml:space="preserve">“</w:t>
      </w:r>
      <w:r>
        <w:t xml:space="preserve">ud oṣṭhyapūrvasya</w:t>
      </w:r>
      <w:r>
        <w:t xml:space="preserve">”</w:t>
      </w:r>
      <w:r>
        <w:t xml:space="preserve"> </w:t>
      </w:r>
      <w:r>
        <w:t xml:space="preserve">(Pā. 7-1-102) gives</w:t>
      </w:r>
      <w:r>
        <w:t xml:space="preserve"> </w:t>
      </w:r>
      <w:r>
        <w:rPr>
          <w:iCs/>
          <w:i/>
        </w:rPr>
        <w:t xml:space="preserve">ur</w:t>
      </w:r>
      <w:r>
        <w:t xml:space="preserve"> </w:t>
      </w:r>
      <w:r>
        <w:t xml:space="preserve">for the</w:t>
      </w:r>
      <w:r>
        <w:t xml:space="preserve"> </w:t>
      </w:r>
      <w:r>
        <w:rPr>
          <w:iCs/>
          <w:i/>
        </w:rPr>
        <w:t xml:space="preserve">ṝ</w:t>
      </w:r>
      <w:r>
        <w:t xml:space="preserve">:</w:t>
      </w:r>
      <w:r>
        <w:t xml:space="preserve"> </w:t>
      </w:r>
      <w:r>
        <w:rPr>
          <w:iCs/>
          <w:i/>
        </w:rPr>
        <w:t xml:space="preserve">puru</w:t>
      </w:r>
      <w:r>
        <w:t xml:space="preserve">; root</w:t>
      </w:r>
      <w:r>
        <w:t xml:space="preserve"> </w:t>
      </w:r>
      <w:r>
        <w:rPr>
          <w:iCs/>
          <w:i/>
        </w:rPr>
        <w:t xml:space="preserve">ṣṭuñ stutau</w:t>
      </w:r>
      <w:r>
        <w:t xml:space="preserve">,</w:t>
      </w:r>
      <w:r>
        <w:t xml:space="preserve"> </w:t>
      </w:r>
      <w:r>
        <w:rPr>
          <w:iCs/>
          <w:i/>
        </w:rPr>
        <w:t xml:space="preserve">ṣ</w:t>
      </w:r>
      <w:r>
        <w:t xml:space="preserve"> </w:t>
      </w:r>
      <w:r>
        <w:t xml:space="preserve">→</w:t>
      </w:r>
      <w:r>
        <w:t xml:space="preserve"> </w:t>
      </w:r>
      <w:r>
        <w:rPr>
          <w:iCs/>
          <w:i/>
        </w:rPr>
        <w:t xml:space="preserve">s</w:t>
      </w:r>
      <w:r>
        <w:t xml:space="preserve"> </w:t>
      </w:r>
      <w:r>
        <w:t xml:space="preserve">by</w:t>
      </w:r>
      <w:r>
        <w:t xml:space="preserve"> </w:t>
      </w:r>
      <w:r>
        <w:t xml:space="preserve">“</w:t>
      </w:r>
      <w:r>
        <w:t xml:space="preserve">dhātvādeḥ ṣaḥ saḥ</w:t>
      </w:r>
      <w:r>
        <w:t xml:space="preserve">”</w:t>
      </w:r>
      <w:r>
        <w:t xml:space="preserve"> </w:t>
      </w:r>
      <w:r>
        <w:t xml:space="preserve">(Pā. 6-1-64), the</w:t>
      </w:r>
      <w:r>
        <w:t xml:space="preserve"> </w:t>
      </w:r>
      <w:r>
        <w:rPr>
          <w:iCs/>
          <w:i/>
        </w:rPr>
        <w:t xml:space="preserve">ṭ</w:t>
      </w:r>
      <w:r>
        <w:t xml:space="preserve"> </w:t>
      </w:r>
      <w:r>
        <w:t xml:space="preserve">reverting;</w:t>
      </w:r>
      <w:r>
        <w:t xml:space="preserve"> </w:t>
      </w:r>
      <w:r>
        <w:t xml:space="preserve">“</w:t>
      </w:r>
      <w:r>
        <w:t xml:space="preserve">puruṣu stutaḥ,</w:t>
      </w:r>
      <w:r>
        <w:t xml:space="preserve">”</w:t>
      </w:r>
      <w:r>
        <w:t xml:space="preserve"> </w:t>
      </w:r>
      <w:r>
        <w:t xml:space="preserve">a locative tatpuruṣa —</w:t>
      </w:r>
      <w:r>
        <w:t xml:space="preserve"> </w:t>
      </w:r>
      <w:r>
        <w:t xml:space="preserve">“</w:t>
      </w:r>
      <w:r>
        <w:t xml:space="preserve">praised in many places</w:t>
      </w:r>
      <w:r>
        <w:t xml:space="preserve">”</w:t>
      </w:r>
      <w:r>
        <w:t xml:space="preserve">; the case ending dropped by</w:t>
      </w:r>
      <w:r>
        <w:t xml:space="preserve"> </w:t>
      </w:r>
      <w:r>
        <w:t xml:space="preserve">“</w:t>
      </w:r>
      <w:r>
        <w:t xml:space="preserve">supo dhātu-prātipadikayoḥ</w:t>
      </w:r>
      <w:r>
        <w:t xml:space="preserve">”</w:t>
      </w:r>
      <w:r>
        <w:t xml:space="preserve"> </w:t>
      </w:r>
      <w:r>
        <w:t xml:space="preserve">(Pā. 2-4-71):</w:t>
      </w:r>
      <w:r>
        <w:t xml:space="preserve"> </w:t>
      </w:r>
      <w:r>
        <w:rPr>
          <w:iCs/>
          <w:i/>
        </w:rPr>
        <w:t xml:space="preserve">purustuta</w:t>
      </w:r>
      <w:r>
        <w:t xml:space="preserve">;</w:t>
      </w:r>
      <w:r>
        <w:t xml:space="preserve"> </w:t>
      </w:r>
      <w:r>
        <w:t xml:space="preserve">“</w:t>
      </w:r>
      <w:r>
        <w:t xml:space="preserve">stutastomayoś chandasi</w:t>
      </w:r>
      <w:r>
        <w:t xml:space="preserve">”</w:t>
      </w:r>
      <w:r>
        <w:t xml:space="preserve"> </w:t>
      </w:r>
      <w:r>
        <w:t xml:space="preserve">(Pā. 8-3-105) makes the</w:t>
      </w:r>
      <w:r>
        <w:t xml:space="preserve"> </w:t>
      </w:r>
      <w:r>
        <w:rPr>
          <w:iCs/>
          <w:i/>
        </w:rPr>
        <w:t xml:space="preserve">s</w:t>
      </w:r>
      <w:r>
        <w:t xml:space="preserve"> </w:t>
      </w:r>
      <w:r>
        <w:t xml:space="preserve">after an</w:t>
      </w:r>
      <w:r>
        <w:t xml:space="preserve"> </w:t>
      </w:r>
      <w:r>
        <w:rPr>
          <w:iCs/>
          <w:i/>
        </w:rPr>
        <w:t xml:space="preserve">iṇ</w:t>
      </w:r>
      <w:r>
        <w:t xml:space="preserve"> </w:t>
      </w:r>
      <w:r>
        <w:t xml:space="preserve">or</w:t>
      </w:r>
      <w:r>
        <w:t xml:space="preserve"> </w:t>
      </w:r>
      <w:r>
        <w:rPr>
          <w:iCs/>
          <w:i/>
        </w:rPr>
        <w:t xml:space="preserve">kavarga</w:t>
      </w:r>
      <w:r>
        <w:t xml:space="preserve"> </w:t>
      </w:r>
      <w:r>
        <w:t xml:space="preserve">in the first member</w:t>
      </w:r>
      <w:r>
        <w:t xml:space="preserve"> </w:t>
      </w:r>
      <w:r>
        <w:rPr>
          <w:iCs/>
          <w:i/>
        </w:rPr>
        <w:t xml:space="preserve">ṣ</w:t>
      </w:r>
      <w:r>
        <w:t xml:space="preserve">, and</w:t>
      </w:r>
      <w:r>
        <w:t xml:space="preserve"> </w:t>
      </w:r>
      <w:r>
        <w:t xml:space="preserve">“</w:t>
      </w:r>
      <w:r>
        <w:t xml:space="preserve">ṣṭunā ṣṭuḥ</w:t>
      </w:r>
      <w:r>
        <w:t xml:space="preserve">”</w:t>
      </w:r>
      <w:r>
        <w:t xml:space="preserve"> </w:t>
      </w:r>
      <w:r>
        <w:t xml:space="preserve">(Pā. 8-4-41) the</w:t>
      </w:r>
      <w:r>
        <w:t xml:space="preserve"> </w:t>
      </w:r>
      <w:r>
        <w:rPr>
          <w:iCs/>
          <w:i/>
        </w:rPr>
        <w:t xml:space="preserve">t</w:t>
      </w:r>
      <w:r>
        <w:t xml:space="preserve"> </w:t>
      </w:r>
      <w:r>
        <w:t xml:space="preserve">after it</w:t>
      </w:r>
      <w:r>
        <w:t xml:space="preserve"> </w:t>
      </w:r>
      <w:r>
        <w:rPr>
          <w:iCs/>
          <w:i/>
        </w:rPr>
        <w:t xml:space="preserve">ṭ</w:t>
      </w:r>
      <w:r>
        <w:t xml:space="preserve">:</w:t>
      </w:r>
      <w:r>
        <w:t xml:space="preserve"> </w:t>
      </w:r>
      <w:r>
        <w:rPr>
          <w:iCs/>
          <w:i/>
        </w:rPr>
        <w:t xml:space="preserve">puruṣṭuta</w:t>
      </w:r>
      <w:r>
        <w:t xml:space="preserve">; final-udātta by</w:t>
      </w:r>
      <w:r>
        <w:t xml:space="preserve"> </w:t>
      </w:r>
      <w:r>
        <w:t xml:space="preserve">“</w:t>
      </w:r>
      <w:r>
        <w:t xml:space="preserve">thātha-ghañ-ktāj-abitra-kāṇām</w:t>
      </w:r>
      <w:r>
        <w:t xml:space="preserve">”</w:t>
      </w:r>
      <w:r>
        <w:t xml:space="preserve"> </w:t>
      </w:r>
      <w:r>
        <w:t xml:space="preserve">(printed</w:t>
      </w:r>
      <w:r>
        <w:t xml:space="preserve"> </w:t>
      </w:r>
      <w:r>
        <w:t xml:space="preserve">“</w:t>
      </w:r>
      <w:r>
        <w:t xml:space="preserve">6-1-144</w:t>
      </w:r>
      <w:r>
        <w:t xml:space="preserve">”</w:t>
      </w:r>
      <w:r>
        <w:t xml:space="preserve">; the bhāṣya gives 6-2-144): after a</w:t>
      </w:r>
      <w:r>
        <w:t xml:space="preserve"> </w:t>
      </w:r>
      <w:r>
        <w:rPr>
          <w:iCs/>
          <w:i/>
        </w:rPr>
        <w:t xml:space="preserve">gati</w:t>
      </w:r>
      <w:r>
        <w:t xml:space="preserve"> </w:t>
      </w:r>
      <w:r>
        <w:t xml:space="preserve">or</w:t>
      </w:r>
      <w:r>
        <w:t xml:space="preserve"> </w:t>
      </w:r>
      <w:r>
        <w:rPr>
          <w:iCs/>
          <w:i/>
        </w:rPr>
        <w:t xml:space="preserve">kāraka</w:t>
      </w:r>
      <w:r>
        <w:t xml:space="preserve">, words ending in</w:t>
      </w:r>
      <w:r>
        <w:t xml:space="preserve"> </w:t>
      </w:r>
      <w:r>
        <w:rPr>
          <w:iCs/>
          <w:i/>
        </w:rPr>
        <w:t xml:space="preserve">tha</w:t>
      </w:r>
      <w:r>
        <w:t xml:space="preserve">,</w:t>
      </w:r>
      <w:r>
        <w:t xml:space="preserve"> </w:t>
      </w:r>
      <w:r>
        <w:rPr>
          <w:iCs/>
          <w:i/>
        </w:rPr>
        <w:t xml:space="preserve">atha</w:t>
      </w:r>
      <w:r>
        <w:t xml:space="preserve">,</w:t>
      </w:r>
      <w:r>
        <w:t xml:space="preserve"> </w:t>
      </w:r>
      <w:r>
        <w:rPr>
          <w:iCs/>
          <w:i/>
        </w:rPr>
        <w:t xml:space="preserve">ghañ</w:t>
      </w:r>
      <w:r>
        <w:t xml:space="preserve">,</w:t>
      </w:r>
      <w:r>
        <w:t xml:space="preserve"> </w:t>
      </w:r>
      <w:r>
        <w:rPr>
          <w:iCs/>
          <w:i/>
        </w:rPr>
        <w:t xml:space="preserve">kta</w:t>
      </w:r>
      <w:r>
        <w:t xml:space="preserve">,</w:t>
      </w:r>
      <w:r>
        <w:t xml:space="preserve"> </w:t>
      </w:r>
      <w:r>
        <w:rPr>
          <w:iCs/>
          <w:i/>
        </w:rPr>
        <w:t xml:space="preserve">ac</w:t>
      </w:r>
      <w:r>
        <w:t xml:space="preserve">,</w:t>
      </w:r>
      <w:r>
        <w:t xml:space="preserve"> </w:t>
      </w:r>
      <w:r>
        <w:rPr>
          <w:iCs/>
          <w:i/>
        </w:rPr>
        <w:t xml:space="preserve">ap</w:t>
      </w:r>
      <w:r>
        <w:t xml:space="preserve">,</w:t>
      </w:r>
      <w:r>
        <w:t xml:space="preserve"> </w:t>
      </w:r>
      <w:r>
        <w:rPr>
          <w:iCs/>
          <w:i/>
        </w:rPr>
        <w:t xml:space="preserve">itra</w:t>
      </w:r>
      <w:r>
        <w:t xml:space="preserve">,</w:t>
      </w:r>
      <w:r>
        <w:t xml:space="preserve"> </w:t>
      </w:r>
      <w:r>
        <w:rPr>
          <w:iCs/>
          <w:i/>
        </w:rPr>
        <w:t xml:space="preserve">ka</w:t>
      </w:r>
      <w:r>
        <w:t xml:space="preserve"> </w:t>
      </w:r>
      <w:r>
        <w:t xml:space="preserve">are final-udātta. If it were analysed as</w:t>
      </w:r>
      <w:r>
        <w:t xml:space="preserve"> </w:t>
      </w:r>
      <w:r>
        <w:t xml:space="preserve">“</w:t>
      </w:r>
      <w:r>
        <w:t xml:space="preserve">purubhiḥ stutaḥ,</w:t>
      </w:r>
      <w:r>
        <w:t xml:space="preserve">”</w:t>
      </w:r>
      <w:r>
        <w:t xml:space="preserve"> </w:t>
      </w:r>
      <w:r>
        <w:t xml:space="preserve">a third-case tatpuruṣa,</w:t>
      </w:r>
      <w:r>
        <w:t xml:space="preserve"> </w:t>
      </w:r>
      <w:r>
        <w:t xml:space="preserve">“</w:t>
      </w:r>
      <w:r>
        <w:t xml:space="preserve">tṛtīyā karmaṇi</w:t>
      </w:r>
      <w:r>
        <w:t xml:space="preserve">”</w:t>
      </w:r>
      <w:r>
        <w:t xml:space="preserve"> </w:t>
      </w:r>
      <w:r>
        <w:t xml:space="preserve">(Pā. 6-2-48) would give the first member’s accent; so the locative tatpuruṣa has to be accepted.</w:t>
      </w:r>
    </w:p>
    <w:p>
      <w:pPr>
        <w:pStyle w:val="BodyText"/>
      </w:pPr>
      <w:r>
        <w:rPr>
          <w:bCs/>
          <w:b/>
        </w:rPr>
        <w:t xml:space="preserve">॥४॥</w:t>
      </w:r>
    </w:p>
    <w:p>
      <w:r>
        <w:pict>
          <v:rect style="width:0;height:1.5pt" o:hralign="center" o:hrstd="t" o:hr="t"/>
        </w:pict>
      </w:r>
    </w:p>
    <w:bookmarkEnd w:id="475"/>
    <w:bookmarkStart w:id="476" w:name="page-464-sūkta-11-rik-5"/>
    <w:p>
      <w:pPr>
        <w:pStyle w:val="Heading3"/>
      </w:pPr>
      <w:r>
        <w:t xml:space="preserve">Page 464 — Sūkta 11, Rik 5</w:t>
      </w:r>
    </w:p>
    <w:p>
      <w:pPr>
        <w:pStyle w:val="FirstParagraph"/>
      </w:pPr>
      <w:r>
        <w:rPr>
          <w:iCs/>
          <w:i/>
        </w:rPr>
        <w:t xml:space="preserve">(Saṃhitā accents as printed; Pada unaccented. Line 1: a second bar stands low under स्य of वलस्य, below the subscript — read as a bar, [accent ?].)</w:t>
      </w:r>
    </w:p>
    <w:p>
      <w:pPr>
        <w:pStyle w:val="BodyText"/>
      </w:pPr>
      <w:r>
        <w:rPr>
          <w:bCs/>
          <w:b/>
        </w:rPr>
        <w:t xml:space="preserve">॥ Saṃhitā-pāṭhaḥ ॥</w:t>
      </w:r>
    </w:p>
    <w:p>
      <w:pPr>
        <w:pStyle w:val="BlockText"/>
      </w:pPr>
      <w:r>
        <w:t xml:space="preserve">त्वं व॒लस्य॒ गोम॒तो ऽपा॑वरद्रिवो॒ बिलं॑ । [accent ?]</w:t>
      </w:r>
      <w:r>
        <w:t xml:space="preserve"> </w:t>
      </w:r>
      <w:r>
        <w:t xml:space="preserve">त्वां दे॒वा अबि॑भ्युषस्तु॒ज्यमा॑नास आविषुः ॥५॥</w:t>
      </w:r>
    </w:p>
    <w:p>
      <w:pPr>
        <w:pStyle w:val="BlockText"/>
      </w:pPr>
      <w:r>
        <w:rPr>
          <w:iCs/>
          <w:i/>
        </w:rPr>
        <w:t xml:space="preserve">tvaṃ valásya gómató ’pāvar adrivo bílaṃ |</w:t>
      </w:r>
      <w:r>
        <w:t xml:space="preserve"> </w:t>
      </w:r>
      <w:r>
        <w:t xml:space="preserve">[accent ?]</w:t>
      </w:r>
      <w:r>
        <w:t xml:space="preserve"> </w:t>
      </w:r>
      <w:r>
        <w:rPr>
          <w:iCs/>
          <w:i/>
        </w:rPr>
        <w:t xml:space="preserve">tvāṃ devā́ ábibhyuṣas tujyámānāsa āviṣuḥ ||5||</w:t>
      </w:r>
    </w:p>
    <w:p>
      <w:pPr>
        <w:pStyle w:val="FirstParagraph"/>
      </w:pPr>
      <w:r>
        <w:rPr>
          <w:bCs/>
          <w:b/>
        </w:rPr>
        <w:t xml:space="preserve">॥ Pada-pāṭhaḥ ॥</w:t>
      </w:r>
    </w:p>
    <w:p>
      <w:pPr>
        <w:pStyle w:val="BlockText"/>
      </w:pPr>
      <w:r>
        <w:t xml:space="preserve">त्वम् । वलस्य । गोऽमतः । अप । अवः । अद्रिऽवः । बिलम् ॥</w:t>
      </w:r>
      <w:r>
        <w:t xml:space="preserve"> </w:t>
      </w:r>
      <w:r>
        <w:t xml:space="preserve">त्वाम् । देवाः । अबिभ्युषः । तुज्यमानासः । आविषुः ॥५॥</w:t>
      </w:r>
    </w:p>
    <w:p>
      <w:pPr>
        <w:pStyle w:val="BlockText"/>
      </w:pPr>
      <w:r>
        <w:rPr>
          <w:iCs/>
          <w:i/>
        </w:rPr>
        <w:t xml:space="preserve">tvam | valasya | go-mataḥ | apa | avaḥ | adri-vaḥ | bilam ||</w:t>
      </w:r>
      <w:r>
        <w:t xml:space="preserve"> </w:t>
      </w:r>
      <w:r>
        <w:rPr>
          <w:iCs/>
          <w:i/>
        </w:rPr>
        <w:t xml:space="preserve">tvām | devāḥ | abibhyuṣaḥ | tujyamānāsaḥ | āviṣuḥ ||5||</w:t>
      </w:r>
    </w:p>
    <w:p>
      <w:pPr>
        <w:pStyle w:val="FirstParagraph"/>
      </w:pPr>
      <w:r>
        <w:rPr>
          <w:iCs/>
          <w:i/>
        </w:rPr>
        <w:t xml:space="preserve">(The saṃhitā word</w:t>
      </w:r>
      <w:r>
        <w:t xml:space="preserve"> </w:t>
      </w:r>
      <w:r>
        <w:t xml:space="preserve">ऽपावर्</w:t>
      </w:r>
      <w:r>
        <w:t xml:space="preserve"> </w:t>
      </w:r>
      <w:r>
        <w:rPr>
          <w:iCs/>
          <w:i/>
        </w:rPr>
        <w:t xml:space="preserve">joins</w:t>
      </w:r>
      <w:r>
        <w:t xml:space="preserve"> </w:t>
      </w:r>
      <w:r>
        <w:t xml:space="preserve">apa</w:t>
      </w:r>
      <w:r>
        <w:t xml:space="preserve"> </w:t>
      </w:r>
      <w:r>
        <w:rPr>
          <w:iCs/>
          <w:i/>
        </w:rPr>
        <w:t xml:space="preserve">and</w:t>
      </w:r>
      <w:r>
        <w:t xml:space="preserve"> </w:t>
      </w:r>
      <w:r>
        <w:t xml:space="preserve">avaḥ</w:t>
      </w:r>
      <w:r>
        <w:rPr>
          <w:iCs/>
          <w:i/>
        </w:rPr>
        <w:t xml:space="preserve">, with</w:t>
      </w:r>
      <w:r>
        <w:t xml:space="preserve"> </w:t>
      </w:r>
      <w:r>
        <w:t xml:space="preserve">avaḥ</w:t>
      </w:r>
      <w:r>
        <w:t xml:space="preserve"> </w:t>
      </w:r>
      <w:r>
        <w:rPr>
          <w:iCs/>
          <w:i/>
        </w:rPr>
        <w:t xml:space="preserve">written as</w:t>
      </w:r>
      <w:r>
        <w:t xml:space="preserve"> </w:t>
      </w:r>
      <w:r>
        <w:t xml:space="preserve">ar</w:t>
      </w:r>
      <w:r>
        <w:t xml:space="preserve"> </w:t>
      </w:r>
      <w:r>
        <w:rPr>
          <w:iCs/>
          <w:i/>
        </w:rPr>
        <w:t xml:space="preserve">before</w:t>
      </w:r>
      <w:r>
        <w:t xml:space="preserve"> </w:t>
      </w:r>
      <w:r>
        <w:t xml:space="preserve">adrivaḥ</w:t>
      </w:r>
      <w:r>
        <w:t xml:space="preserve"> </w:t>
      </w:r>
      <w:r>
        <w:rPr>
          <w:iCs/>
          <w:i/>
        </w:rPr>
        <w:t xml:space="preserve">by the visarga rule; the pada text separates them.)</w:t>
      </w:r>
    </w:p>
    <w:p>
      <w:pPr>
        <w:pStyle w:val="BodyText"/>
      </w:pPr>
      <w:r>
        <w:rPr>
          <w:bCs/>
          <w:b/>
        </w:rPr>
        <w:t xml:space="preserve">॥ Sāyaṇa-bhāṣyam ॥</w:t>
      </w:r>
    </w:p>
    <w:p>
      <w:pPr>
        <w:pStyle w:val="BlockText"/>
      </w:pPr>
      <w:r>
        <w:t xml:space="preserve">वलनामकः कश्चिदसुरो देवसंबन्धिनीर्गा अपहृत्य कस्मिंश्चिद्बिले गोपितवान् । तदानीमिन्द्रस्तद्बिलं स्वसैन्येन समावृत्य तस्माद्बिलाद्गा निःसारयामास । तदिदमुपाख्यानमिन्द्रो वलस्य बिलमपौर्णोत् । तै. सं. २-१-५-१ । इत्यादिब्राह्मणेषु मन्त्रान्तरेषु च प्रसिद्धम् । तदेतद्वृधि [?] निधायायं मन्त्रः प्रवर्तते ॥ हे अद्रिवो वज्रयुक्तेन्द्र त्वं गोमतो वलस्य गोभिर्युक्तस्य वलनामकस्यासुरस्य संबन्धि बिलमपावः । स्वसैन्यमुखेनापावृतवानसि । तदानीं तुज्यमानासो वलेन हिंस्यमाना देवा अभिभ्युषस्त्वदीयरक्षया वलादभीताः सन्तस्त्वामाविषुः । प्राप्तवन्तः ॥ अप । निपातत्वादाद्युदात्तः । अवः । वृञ् वरणे । लङ् । सिप् । इतश्च लोपः । स्वादिभ्यः श्नुः । तस्य बहुलं छन्दसीति लुक् । गुणो रपरत्वं हल्ङ्यादिलोपः । विसर्जनीयः । अडागमः । अद्रिवः । अद्रिरस्यास्तीति मतुप् । छन्दसीर इति षत्वम् । संबोधन उगिदचामिति नुम् । हल्ङ्यादिसंयोगान्तलोपौ । मतुवसो रु संबुद्धौ छन्दसि । पा. ८-३-१ । इति रुत्वम् । बिलम् । नब्विषयस्यानिसन्तस्येत्याद्युदात्तत्वम् । अभिभ्युषः । ञिभी भये । लिट् । द्विर्भावः । अभ्यासस्य ह्रस्वजश्त्वे । क्वसुश्चेति लिटः क्वसुरादेशः । क्रादिनियमात्प्राप्त इट् वस्वेकाजाद्घसामिति नियमान्निवर्तते । जसि सर्वनामस्थाने ऽपि व्यत्ययेन भत्वाद्वसोः संप्रसारणम् । परपूर्वत्वम् । शासिवसिघसीनां चेति षत्वम् । अचि श्नुधात्वित्यादिना । पा. ६-४-७७ । प्राप्तमियङादेशं बाधित्वा एरनेकाच इति यणादेशः । नञ्समासः । अव्ययपूर्वपदप्रकृतिस्वरत्वम् । तुज्यमानासः । तुजेर्हिंसार्थात्परस्य कर्मणि लटः स्थाने शानच् । सार्वधातुके यक् । पा. ३-१-६७ । इति यक् । कस्माददुपदेशादुत्तरस्य [?] लसार्वधातुकस्यानुदात्तत्वम् । यक एव प्रत्ययस्वरः शिष्यते । आविषुः । अव रक्षणादिषु । अस्माद्गत्यर्थाल्लुङो झिः । तस्य सिजभ्यस्तविदिभ्यश्च । पा. ३-४-१०९ । इति जुस् । सिच इडागमः । आडजादीनाम् । पा. ६-४-७२ । इत्याडागमः । आदेशप्रत्यययोरिति षत्वम् ॥</w:t>
      </w:r>
    </w:p>
    <w:p>
      <w:pPr>
        <w:pStyle w:val="BlockText"/>
      </w:pPr>
      <w:r>
        <w:rPr>
          <w:iCs/>
          <w:i/>
        </w:rPr>
        <w:t xml:space="preserve">valanāmakaḥ kaścidasuro devasaṃbandhinīrgā apahṛtya kasmiṃścidbile gopitavān | tadānīmindrastadbilaṃ svasainyena samāvṛtya tasmādbilādgā niḥsārayāmāsa | tadidamupākhyānamindro valasya bilamapaurṇot | tai. saṃ. 2-1-5-1 | ityādibrāhmaṇeṣu mantrāntareṣu ca prasiddham | tadetadvṛdhi [?] nidhāyāyaṃ mantraḥ pravartate || he adrivo vajrayuktendra tvaṃ gomato valasya gobhiryuktasya valanāmakasyāsurasya saṃbandhi bilamapāvaḥ | svasainyamukhenāpāvṛtavānasi | tadānīṃ tujyamānāso valena hiṃsyamānā devā abhibhyuṣastvadīyarakṣayā valādabhītāḥ santastvāmāviṣuḥ | prāptavantaḥ || apa | nipātatvādādyudāttaḥ | avaḥ | vṛñ varaṇe | laṅ | sip | itaśca lopaḥ | svādibhyaḥ śnuḥ | tasya bahulaṃ chandasīti luk | guṇo raparatvaṃ halṅyādilopaḥ | visarjanīyaḥ | aḍāgamaḥ | adrivaḥ | adrirasyāstīti matup | chandasīra iti ṣatvam | saṃbodhana ugidacāmiti num | halṅyādisaṃyogāntalopau | matuvaso ru saṃbuddhau chandasi | pā. 8-3-1 | iti rutvam | bilam | nabviṣayasyānisantasyetyādyudāttatvam | abhibhyuṣaḥ | ñibhī bhaye | liṭ | dvirbhāvaḥ | abhyāsasya hrasvajaśtve | kvasuśceti liṭaḥ kvasurādeśaḥ | krādiniyamātprāpta iṭ vasvekājādghasāmiti niyamānnivartate | jasi sarvanāmasthāne ’pi vyatyayena bhatvādvasoḥ saṃprasāraṇam | parapūrvatvam | śāsivasighasīnāṃ ceti ṣatvam | aci śnudhātvityādinā | pā. 6-4-77 | prāptamiyaṅādeśaṃ bādhitvā eranekāca iti yaṇādeśaḥ | nañsamāsaḥ | avyayapūrvapadaprakṛtisvaratvam | tujyamānāsaḥ | tujerhiṃsārthātparasya karmaṇi laṭaḥ sthāne śānac | sārvadhātuke yak | pā. 3-1-67 | iti yak | kasmādadupadeśāduttarasya [?] lasārvadhātukasyānudāttatvam | yaka eva pratyayasvaraḥ śiṣyate | āviṣuḥ | ava rakṣaṇādiṣu | asmādgatyarthālluṅo jhiḥ | tasya sijabhyastavidibhyaśca | pā. 3-4-109 | iti jus | sica iḍāgamaḥ | āḍajādīnām | pā. 6-4-72 | ityāḍāgamaḥ | ādeśapratyayayoriti ṣatvam ||</w:t>
      </w:r>
    </w:p>
    <w:p>
      <w:pPr>
        <w:pStyle w:val="FirstParagraph"/>
      </w:pPr>
      <w:r>
        <w:rPr>
          <w:bCs/>
          <w:b/>
        </w:rPr>
        <w:t xml:space="preserve">Translation:</w:t>
      </w:r>
      <w:r>
        <w:t xml:space="preserve"> </w:t>
      </w:r>
      <w:r>
        <w:t xml:space="preserve">“</w:t>
      </w:r>
      <w:r>
        <w:t xml:space="preserve">An asura named Vala, having stolen the cows belonging to the gods, hid them in a cave. Then Indra, surrounding that cave with his own army, drove the cows out of it. This legend —</w:t>
      </w:r>
      <w:r>
        <w:t xml:space="preserve"> </w:t>
      </w:r>
      <w:r>
        <w:t xml:space="preserve">‘</w:t>
      </w:r>
      <w:r>
        <w:rPr>
          <w:iCs/>
          <w:i/>
        </w:rPr>
        <w:t xml:space="preserve">indro valasya bilam apaurṇot</w:t>
      </w:r>
      <w:r>
        <w:t xml:space="preserve">’</w:t>
      </w:r>
      <w:r>
        <w:t xml:space="preserve"> </w:t>
      </w:r>
      <w:r>
        <w:t xml:space="preserve">(Taittirīya Saṃhitā 2-1-5-1) — is well known in the Brāhmaṇas and in other mantras. With this in mind [</w:t>
      </w:r>
      <w:r>
        <w:rPr>
          <w:iCs/>
          <w:i/>
        </w:rPr>
        <w:t xml:space="preserve">vṛdhi</w:t>
      </w:r>
      <w:r>
        <w:t xml:space="preserve"> </w:t>
      </w:r>
      <w:r>
        <w:t xml:space="preserve">[?]</w:t>
      </w:r>
      <w:r>
        <w:t xml:space="preserve"> </w:t>
      </w:r>
      <w:r>
        <w:rPr>
          <w:iCs/>
          <w:i/>
        </w:rPr>
        <w:t xml:space="preserve">nidhāya</w:t>
      </w:r>
      <w:r>
        <w:t xml:space="preserve">] this mantra proceeds. O</w:t>
      </w:r>
      <w:r>
        <w:t xml:space="preserve"> </w:t>
      </w:r>
      <w:r>
        <w:rPr>
          <w:iCs/>
          <w:i/>
        </w:rPr>
        <w:t xml:space="preserve">adrivaḥ</w:t>
      </w:r>
      <w:r>
        <w:t xml:space="preserve">, thunderbolt-bearing Indra! You</w:t>
      </w:r>
      <w:r>
        <w:t xml:space="preserve"> </w:t>
      </w:r>
      <w:r>
        <w:rPr>
          <w:iCs/>
          <w:i/>
        </w:rPr>
        <w:t xml:space="preserve">apāvaḥ</w:t>
      </w:r>
      <w:r>
        <w:t xml:space="preserve"> </w:t>
      </w:r>
      <w:r>
        <w:t xml:space="preserve">— uncovered — the cave of</w:t>
      </w:r>
      <w:r>
        <w:t xml:space="preserve"> </w:t>
      </w:r>
      <w:r>
        <w:rPr>
          <w:iCs/>
          <w:i/>
        </w:rPr>
        <w:t xml:space="preserve">gomataḥ valasya</w:t>
      </w:r>
      <w:r>
        <w:t xml:space="preserve">, of the asura named Vala who possessed cows; you opened it by means of your own army. Then the gods,</w:t>
      </w:r>
      <w:r>
        <w:t xml:space="preserve"> </w:t>
      </w:r>
      <w:r>
        <w:rPr>
          <w:iCs/>
          <w:i/>
        </w:rPr>
        <w:t xml:space="preserve">tujyamānāsaḥ</w:t>
      </w:r>
      <w:r>
        <w:t xml:space="preserve"> </w:t>
      </w:r>
      <w:r>
        <w:t xml:space="preserve">— oppressed by Vala — being</w:t>
      </w:r>
      <w:r>
        <w:t xml:space="preserve"> </w:t>
      </w:r>
      <w:r>
        <w:rPr>
          <w:iCs/>
          <w:i/>
        </w:rPr>
        <w:t xml:space="preserve">abhibhyuṣaḥ</w:t>
      </w:r>
      <w:r>
        <w:t xml:space="preserve"> </w:t>
      </w:r>
      <w:r>
        <w:t xml:space="preserve">[sic] — without fear of Vala, thanks to your protection — and</w:t>
      </w:r>
      <w:r>
        <w:t xml:space="preserve"> </w:t>
      </w:r>
      <w:r>
        <w:rPr>
          <w:iCs/>
          <w:i/>
        </w:rPr>
        <w:t xml:space="preserve">āviṣuḥ</w:t>
      </w:r>
      <w:r>
        <w:t xml:space="preserve">: came to you, attained you.</w:t>
      </w:r>
      <w:r>
        <w:t xml:space="preserve">”</w:t>
      </w:r>
      <w:r>
        <w:t xml:space="preserve"> </w:t>
      </w:r>
      <w:r>
        <w:t xml:space="preserve">(Grammatical tail, partly on p. 465:</w:t>
      </w:r>
      <w:r>
        <w:t xml:space="preserve"> </w:t>
      </w:r>
      <w:r>
        <w:rPr>
          <w:iCs/>
          <w:i/>
        </w:rPr>
        <w:t xml:space="preserve">apa</w:t>
      </w:r>
      <w:r>
        <w:t xml:space="preserve"> </w:t>
      </w:r>
      <w:r>
        <w:t xml:space="preserve">initial-udātta as a particle;</w:t>
      </w:r>
      <w:r>
        <w:t xml:space="preserve"> </w:t>
      </w:r>
      <w:r>
        <w:rPr>
          <w:iCs/>
          <w:i/>
        </w:rPr>
        <w:t xml:space="preserve">avaḥ</w:t>
      </w:r>
      <w:r>
        <w:t xml:space="preserve"> </w:t>
      </w:r>
      <w:r>
        <w:t xml:space="preserve">—</w:t>
      </w:r>
      <w:r>
        <w:t xml:space="preserve"> </w:t>
      </w:r>
      <w:r>
        <w:rPr>
          <w:iCs/>
          <w:i/>
        </w:rPr>
        <w:t xml:space="preserve">vṛñ varaṇe</w:t>
      </w:r>
      <w:r>
        <w:t xml:space="preserve">,</w:t>
      </w:r>
      <w:r>
        <w:t xml:space="preserve"> </w:t>
      </w:r>
      <w:r>
        <w:rPr>
          <w:iCs/>
          <w:i/>
        </w:rPr>
        <w:t xml:space="preserve">laṅ</w:t>
      </w:r>
      <w:r>
        <w:t xml:space="preserve">,</w:t>
      </w:r>
      <w:r>
        <w:t xml:space="preserve"> </w:t>
      </w:r>
      <w:r>
        <w:rPr>
          <w:iCs/>
          <w:i/>
        </w:rPr>
        <w:t xml:space="preserve">sip</w:t>
      </w:r>
      <w:r>
        <w:t xml:space="preserve">,</w:t>
      </w:r>
      <w:r>
        <w:t xml:space="preserve"> </w:t>
      </w:r>
      <w:r>
        <w:rPr>
          <w:iCs/>
          <w:i/>
        </w:rPr>
        <w:t xml:space="preserve">i</w:t>
      </w:r>
      <w:r>
        <w:t xml:space="preserve"> </w:t>
      </w:r>
      <w:r>
        <w:t xml:space="preserve">dropped by</w:t>
      </w:r>
      <w:r>
        <w:t xml:space="preserve"> </w:t>
      </w:r>
      <w:r>
        <w:t xml:space="preserve">“</w:t>
      </w:r>
      <w:r>
        <w:t xml:space="preserve">itaś ca</w:t>
      </w:r>
      <w:r>
        <w:t xml:space="preserve">”</w:t>
      </w:r>
      <w:r>
        <w:t xml:space="preserve">, the</w:t>
      </w:r>
      <w:r>
        <w:t xml:space="preserve"> </w:t>
      </w:r>
      <w:r>
        <w:rPr>
          <w:iCs/>
          <w:i/>
        </w:rPr>
        <w:t xml:space="preserve">śnu</w:t>
      </w:r>
      <w:r>
        <w:t xml:space="preserve"> </w:t>
      </w:r>
      <w:r>
        <w:t xml:space="preserve">of the</w:t>
      </w:r>
      <w:r>
        <w:t xml:space="preserve"> </w:t>
      </w:r>
      <w:r>
        <w:rPr>
          <w:iCs/>
          <w:i/>
        </w:rPr>
        <w:t xml:space="preserve">svādi</w:t>
      </w:r>
      <w:r>
        <w:t xml:space="preserve"> </w:t>
      </w:r>
      <w:r>
        <w:t xml:space="preserve">class dropped by</w:t>
      </w:r>
      <w:r>
        <w:t xml:space="preserve"> </w:t>
      </w:r>
      <w:r>
        <w:t xml:space="preserve">“</w:t>
      </w:r>
      <w:r>
        <w:t xml:space="preserve">bahulaṃ chandasi</w:t>
      </w:r>
      <w:r>
        <w:t xml:space="preserve">”</w:t>
      </w:r>
      <w:r>
        <w:t xml:space="preserve">,</w:t>
      </w:r>
      <w:r>
        <w:t xml:space="preserve"> </w:t>
      </w:r>
      <w:r>
        <w:rPr>
          <w:iCs/>
          <w:i/>
        </w:rPr>
        <w:t xml:space="preserve">guṇa</w:t>
      </w:r>
      <w:r>
        <w:t xml:space="preserve"> </w:t>
      </w:r>
      <w:r>
        <w:t xml:space="preserve">with</w:t>
      </w:r>
      <w:r>
        <w:t xml:space="preserve"> </w:t>
      </w:r>
      <w:r>
        <w:rPr>
          <w:iCs/>
          <w:i/>
        </w:rPr>
        <w:t xml:space="preserve">r</w:t>
      </w:r>
      <w:r>
        <w:t xml:space="preserve">, the</w:t>
      </w:r>
      <w:r>
        <w:t xml:space="preserve"> </w:t>
      </w:r>
      <w:r>
        <w:rPr>
          <w:iCs/>
          <w:i/>
        </w:rPr>
        <w:t xml:space="preserve">s</w:t>
      </w:r>
      <w:r>
        <w:t xml:space="preserve"> </w:t>
      </w:r>
      <w:r>
        <w:t xml:space="preserve">dropped by</w:t>
      </w:r>
      <w:r>
        <w:t xml:space="preserve"> </w:t>
      </w:r>
      <w:r>
        <w:t xml:space="preserve">“</w:t>
      </w:r>
      <w:r>
        <w:t xml:space="preserve">hal-ṅyādi</w:t>
      </w:r>
      <w:r>
        <w:t xml:space="preserve">”</w:t>
      </w:r>
      <w:r>
        <w:t xml:space="preserve">, visarga, augment</w:t>
      </w:r>
      <w:r>
        <w:t xml:space="preserve"> </w:t>
      </w:r>
      <w:r>
        <w:rPr>
          <w:iCs/>
          <w:i/>
        </w:rPr>
        <w:t xml:space="preserve">aṭ</w:t>
      </w:r>
      <w:r>
        <w:t xml:space="preserve">;</w:t>
      </w:r>
      <w:r>
        <w:t xml:space="preserve"> </w:t>
      </w:r>
      <w:r>
        <w:rPr>
          <w:iCs/>
          <w:i/>
        </w:rPr>
        <w:t xml:space="preserve">adrivaḥ</w:t>
      </w:r>
      <w:r>
        <w:t xml:space="preserve"> </w:t>
      </w:r>
      <w:r>
        <w:t xml:space="preserve">—</w:t>
      </w:r>
      <w:r>
        <w:t xml:space="preserve"> </w:t>
      </w:r>
      <w:r>
        <w:rPr>
          <w:iCs/>
          <w:i/>
        </w:rPr>
        <w:t xml:space="preserve">matup</w:t>
      </w:r>
      <w:r>
        <w:t xml:space="preserve">,</w:t>
      </w:r>
      <w:r>
        <w:t xml:space="preserve"> </w:t>
      </w:r>
      <w:r>
        <w:t xml:space="preserve">“</w:t>
      </w:r>
      <w:r>
        <w:t xml:space="preserve">chandasīraḥ</w:t>
      </w:r>
      <w:r>
        <w:t xml:space="preserve">”</w:t>
      </w:r>
      <w:r>
        <w:t xml:space="preserve"> </w:t>
      </w:r>
      <w:r>
        <w:t xml:space="preserve">(printed</w:t>
      </w:r>
      <w:r>
        <w:t xml:space="preserve"> </w:t>
      </w:r>
      <w:r>
        <w:t xml:space="preserve">“</w:t>
      </w:r>
      <w:r>
        <w:t xml:space="preserve">ṣatvam</w:t>
      </w:r>
      <w:r>
        <w:t xml:space="preserve">”</w:t>
      </w:r>
      <w:r>
        <w:t xml:space="preserve"> </w:t>
      </w:r>
      <w:r>
        <w:t xml:space="preserve">[sic] for</w:t>
      </w:r>
      <w:r>
        <w:t xml:space="preserve"> </w:t>
      </w:r>
      <w:r>
        <w:rPr>
          <w:iCs/>
          <w:i/>
        </w:rPr>
        <w:t xml:space="preserve">vatvam</w:t>
      </w:r>
      <w:r>
        <w:t xml:space="preserve">),</w:t>
      </w:r>
      <w:r>
        <w:t xml:space="preserve"> </w:t>
      </w:r>
      <w:r>
        <w:rPr>
          <w:iCs/>
          <w:i/>
        </w:rPr>
        <w:t xml:space="preserve">num</w:t>
      </w:r>
      <w:r>
        <w:t xml:space="preserve"> </w:t>
      </w:r>
      <w:r>
        <w:t xml:space="preserve">in the vocative by</w:t>
      </w:r>
      <w:r>
        <w:t xml:space="preserve"> </w:t>
      </w:r>
      <w:r>
        <w:t xml:space="preserve">“</w:t>
      </w:r>
      <w:r>
        <w:t xml:space="preserve">ugid-acām</w:t>
      </w:r>
      <w:r>
        <w:t xml:space="preserve">”</w:t>
      </w:r>
      <w:r>
        <w:t xml:space="preserve">, loss of the final consonants,</w:t>
      </w:r>
      <w:r>
        <w:t xml:space="preserve"> </w:t>
      </w:r>
      <w:r>
        <w:rPr>
          <w:iCs/>
          <w:i/>
        </w:rPr>
        <w:t xml:space="preserve">ru</w:t>
      </w:r>
      <w:r>
        <w:t xml:space="preserve"> </w:t>
      </w:r>
      <w:r>
        <w:t xml:space="preserve">by</w:t>
      </w:r>
      <w:r>
        <w:t xml:space="preserve"> </w:t>
      </w:r>
      <w:r>
        <w:t xml:space="preserve">“</w:t>
      </w:r>
      <w:r>
        <w:t xml:space="preserve">matuvaso ru saṃbuddhau chandasi</w:t>
      </w:r>
      <w:r>
        <w:t xml:space="preserve">”</w:t>
      </w:r>
      <w:r>
        <w:t xml:space="preserve"> </w:t>
      </w:r>
      <w:r>
        <w:t xml:space="preserve">(Pā. 8-3-1);</w:t>
      </w:r>
      <w:r>
        <w:t xml:space="preserve"> </w:t>
      </w:r>
      <w:r>
        <w:rPr>
          <w:iCs/>
          <w:i/>
        </w:rPr>
        <w:t xml:space="preserve">bilam</w:t>
      </w:r>
      <w:r>
        <w:t xml:space="preserve"> </w:t>
      </w:r>
      <w:r>
        <w:t xml:space="preserve">initial-udātta by</w:t>
      </w:r>
      <w:r>
        <w:t xml:space="preserve"> </w:t>
      </w:r>
      <w:r>
        <w:t xml:space="preserve">“</w:t>
      </w:r>
      <w:r>
        <w:t xml:space="preserve">nab-viṣayasyānisantasya</w:t>
      </w:r>
      <w:r>
        <w:t xml:space="preserve">”</w:t>
      </w:r>
      <w:r>
        <w:t xml:space="preserve">;</w:t>
      </w:r>
      <w:r>
        <w:t xml:space="preserve"> </w:t>
      </w:r>
      <w:r>
        <w:rPr>
          <w:iCs/>
          <w:i/>
        </w:rPr>
        <w:t xml:space="preserve">abhibhyuṣaḥ</w:t>
      </w:r>
      <w:r>
        <w:t xml:space="preserve"> </w:t>
      </w:r>
      <w:r>
        <w:t xml:space="preserve">[sic] —</w:t>
      </w:r>
      <w:r>
        <w:t xml:space="preserve"> </w:t>
      </w:r>
      <w:r>
        <w:rPr>
          <w:iCs/>
          <w:i/>
        </w:rPr>
        <w:t xml:space="preserve">ñibhī bhaye</w:t>
      </w:r>
      <w:r>
        <w:t xml:space="preserve">,</w:t>
      </w:r>
      <w:r>
        <w:t xml:space="preserve"> </w:t>
      </w:r>
      <w:r>
        <w:rPr>
          <w:iCs/>
          <w:i/>
        </w:rPr>
        <w:t xml:space="preserve">liṭ</w:t>
      </w:r>
      <w:r>
        <w:t xml:space="preserve"> </w:t>
      </w:r>
      <w:r>
        <w:t xml:space="preserve">replaced by</w:t>
      </w:r>
      <w:r>
        <w:t xml:space="preserve"> </w:t>
      </w:r>
      <w:r>
        <w:rPr>
          <w:iCs/>
          <w:i/>
        </w:rPr>
        <w:t xml:space="preserve">kvasu</w:t>
      </w:r>
      <w:r>
        <w:t xml:space="preserve">, the</w:t>
      </w:r>
      <w:r>
        <w:t xml:space="preserve"> </w:t>
      </w:r>
      <w:r>
        <w:rPr>
          <w:iCs/>
          <w:i/>
        </w:rPr>
        <w:t xml:space="preserve">iṭ</w:t>
      </w:r>
      <w:r>
        <w:t xml:space="preserve"> </w:t>
      </w:r>
      <w:r>
        <w:t xml:space="preserve">due by the</w:t>
      </w:r>
      <w:r>
        <w:t xml:space="preserve"> </w:t>
      </w:r>
      <w:r>
        <w:rPr>
          <w:iCs/>
          <w:i/>
        </w:rPr>
        <w:t xml:space="preserve">krādi</w:t>
      </w:r>
      <w:r>
        <w:t xml:space="preserve"> </w:t>
      </w:r>
      <w:r>
        <w:t xml:space="preserve">restriction withdrawn by the restriction</w:t>
      </w:r>
      <w:r>
        <w:t xml:space="preserve"> </w:t>
      </w:r>
      <w:r>
        <w:t xml:space="preserve">“</w:t>
      </w:r>
      <w:r>
        <w:t xml:space="preserve">vasv-ekāj-ād-ghasām</w:t>
      </w:r>
      <w:r>
        <w:t xml:space="preserve">”</w:t>
      </w:r>
      <w:r>
        <w:t xml:space="preserve">,</w:t>
      </w:r>
      <w:r>
        <w:t xml:space="preserve"> </w:t>
      </w:r>
      <w:r>
        <w:rPr>
          <w:iCs/>
          <w:i/>
        </w:rPr>
        <w:t xml:space="preserve">samprasāraṇa</w:t>
      </w:r>
      <w:r>
        <w:t xml:space="preserve"> </w:t>
      </w:r>
      <w:r>
        <w:t xml:space="preserve">of</w:t>
      </w:r>
      <w:r>
        <w:t xml:space="preserve"> </w:t>
      </w:r>
      <w:r>
        <w:rPr>
          <w:iCs/>
          <w:i/>
        </w:rPr>
        <w:t xml:space="preserve">vas</w:t>
      </w:r>
      <w:r>
        <w:t xml:space="preserve"> </w:t>
      </w:r>
      <w:r>
        <w:t xml:space="preserve">(treated as</w:t>
      </w:r>
      <w:r>
        <w:t xml:space="preserve"> </w:t>
      </w:r>
      <w:r>
        <w:rPr>
          <w:iCs/>
          <w:i/>
        </w:rPr>
        <w:t xml:space="preserve">bha</w:t>
      </w:r>
      <w:r>
        <w:t xml:space="preserve"> </w:t>
      </w:r>
      <w:r>
        <w:t xml:space="preserve">by exception even before</w:t>
      </w:r>
      <w:r>
        <w:t xml:space="preserve"> </w:t>
      </w:r>
      <w:r>
        <w:rPr>
          <w:iCs/>
          <w:i/>
        </w:rPr>
        <w:t xml:space="preserve">jas</w:t>
      </w:r>
      <w:r>
        <w:t xml:space="preserve">),</w:t>
      </w:r>
      <w:r>
        <w:t xml:space="preserve"> </w:t>
      </w:r>
      <w:r>
        <w:rPr>
          <w:iCs/>
          <w:i/>
        </w:rPr>
        <w:t xml:space="preserve">ṣ</w:t>
      </w:r>
      <w:r>
        <w:t xml:space="preserve"> </w:t>
      </w:r>
      <w:r>
        <w:t xml:space="preserve">by</w:t>
      </w:r>
      <w:r>
        <w:t xml:space="preserve"> </w:t>
      </w:r>
      <w:r>
        <w:t xml:space="preserve">“</w:t>
      </w:r>
      <w:r>
        <w:t xml:space="preserve">śāsi-vasi-ghasīnāṃ ca</w:t>
      </w:r>
      <w:r>
        <w:t xml:space="preserve">”</w:t>
      </w:r>
      <w:r>
        <w:t xml:space="preserve">, and</w:t>
      </w:r>
      <w:r>
        <w:t xml:space="preserve"> </w:t>
      </w:r>
      <w:r>
        <w:rPr>
          <w:iCs/>
          <w:i/>
        </w:rPr>
        <w:t xml:space="preserve">yaṇ</w:t>
      </w:r>
      <w:r>
        <w:t xml:space="preserve"> </w:t>
      </w:r>
      <w:r>
        <w:t xml:space="preserve">by</w:t>
      </w:r>
      <w:r>
        <w:t xml:space="preserve"> </w:t>
      </w:r>
      <w:r>
        <w:t xml:space="preserve">“</w:t>
      </w:r>
      <w:r>
        <w:t xml:space="preserve">er anekācaḥ</w:t>
      </w:r>
      <w:r>
        <w:t xml:space="preserve">”</w:t>
      </w:r>
      <w:r>
        <w:t xml:space="preserve"> </w:t>
      </w:r>
      <w:r>
        <w:t xml:space="preserve">overriding the</w:t>
      </w:r>
      <w:r>
        <w:t xml:space="preserve"> </w:t>
      </w:r>
      <w:r>
        <w:rPr>
          <w:iCs/>
          <w:i/>
        </w:rPr>
        <w:t xml:space="preserve">iyaṅ</w:t>
      </w:r>
      <w:r>
        <w:t xml:space="preserve"> </w:t>
      </w:r>
      <w:r>
        <w:t xml:space="preserve">of Pā. 6-4-77; a</w:t>
      </w:r>
      <w:r>
        <w:t xml:space="preserve"> </w:t>
      </w:r>
      <w:r>
        <w:rPr>
          <w:iCs/>
          <w:i/>
        </w:rPr>
        <w:t xml:space="preserve">nañ</w:t>
      </w:r>
      <w:r>
        <w:t xml:space="preserve">-compound with the indeclinable’s accent;</w:t>
      </w:r>
      <w:r>
        <w:t xml:space="preserve"> </w:t>
      </w:r>
      <w:r>
        <w:rPr>
          <w:iCs/>
          <w:i/>
        </w:rPr>
        <w:t xml:space="preserve">tujyamānāsaḥ</w:t>
      </w:r>
      <w:r>
        <w:t xml:space="preserve"> </w:t>
      </w:r>
      <w:r>
        <w:t xml:space="preserve">— passive</w:t>
      </w:r>
      <w:r>
        <w:t xml:space="preserve"> </w:t>
      </w:r>
      <w:r>
        <w:rPr>
          <w:iCs/>
          <w:i/>
        </w:rPr>
        <w:t xml:space="preserve">śānac</w:t>
      </w:r>
      <w:r>
        <w:t xml:space="preserve"> </w:t>
      </w:r>
      <w:r>
        <w:t xml:space="preserve">after</w:t>
      </w:r>
      <w:r>
        <w:t xml:space="preserve"> </w:t>
      </w:r>
      <w:r>
        <w:rPr>
          <w:iCs/>
          <w:i/>
        </w:rPr>
        <w:t xml:space="preserve">tuj</w:t>
      </w:r>
      <w:r>
        <w:t xml:space="preserve"> </w:t>
      </w:r>
      <w:r>
        <w:t xml:space="preserve">“</w:t>
      </w:r>
      <w:r>
        <w:t xml:space="preserve">to hurt</w:t>
      </w:r>
      <w:r>
        <w:t xml:space="preserve">”</w:t>
      </w:r>
      <w:r>
        <w:t xml:space="preserve">,</w:t>
      </w:r>
      <w:r>
        <w:t xml:space="preserve"> </w:t>
      </w:r>
      <w:r>
        <w:rPr>
          <w:iCs/>
          <w:i/>
        </w:rPr>
        <w:t xml:space="preserve">yak</w:t>
      </w:r>
      <w:r>
        <w:t xml:space="preserve"> </w:t>
      </w:r>
      <w:r>
        <w:t xml:space="preserve">by</w:t>
      </w:r>
      <w:r>
        <w:t xml:space="preserve"> </w:t>
      </w:r>
      <w:r>
        <w:t xml:space="preserve">“</w:t>
      </w:r>
      <w:r>
        <w:t xml:space="preserve">sārvadhātuke yak</w:t>
      </w:r>
      <w:r>
        <w:t xml:space="preserve">”</w:t>
      </w:r>
      <w:r>
        <w:t xml:space="preserve"> </w:t>
      </w:r>
      <w:r>
        <w:t xml:space="preserve">(Pā. 3-1-67), the</w:t>
      </w:r>
      <w:r>
        <w:t xml:space="preserve"> </w:t>
      </w:r>
      <w:r>
        <w:rPr>
          <w:iCs/>
          <w:i/>
        </w:rPr>
        <w:t xml:space="preserve">lasārvadhātuka</w:t>
      </w:r>
      <w:r>
        <w:t xml:space="preserve"> </w:t>
      </w:r>
      <w:r>
        <w:t xml:space="preserve">after the</w:t>
      </w:r>
      <w:r>
        <w:t xml:space="preserve"> </w:t>
      </w:r>
      <w:r>
        <w:rPr>
          <w:iCs/>
          <w:i/>
        </w:rPr>
        <w:t xml:space="preserve">a</w:t>
      </w:r>
      <w:r>
        <w:t xml:space="preserve">-ending being unaccented, so the accent of</w:t>
      </w:r>
      <w:r>
        <w:t xml:space="preserve"> </w:t>
      </w:r>
      <w:r>
        <w:rPr>
          <w:iCs/>
          <w:i/>
        </w:rPr>
        <w:t xml:space="preserve">yak</w:t>
      </w:r>
      <w:r>
        <w:t xml:space="preserve"> </w:t>
      </w:r>
      <w:r>
        <w:t xml:space="preserve">stands;</w:t>
      </w:r>
      <w:r>
        <w:t xml:space="preserve"> </w:t>
      </w:r>
      <w:r>
        <w:rPr>
          <w:iCs/>
          <w:i/>
        </w:rPr>
        <w:t xml:space="preserve">āviṣuḥ</w:t>
      </w:r>
      <w:r>
        <w:t xml:space="preserve"> </w:t>
      </w:r>
      <w:r>
        <w:t xml:space="preserve">—</w:t>
      </w:r>
      <w:r>
        <w:t xml:space="preserve"> </w:t>
      </w:r>
      <w:r>
        <w:rPr>
          <w:iCs/>
          <w:i/>
        </w:rPr>
        <w:t xml:space="preserve">ava</w:t>
      </w:r>
      <w:r>
        <w:t xml:space="preserve"> </w:t>
      </w:r>
      <w:r>
        <w:t xml:space="preserve">in the sense of going,</w:t>
      </w:r>
      <w:r>
        <w:t xml:space="preserve"> </w:t>
      </w:r>
      <w:r>
        <w:rPr>
          <w:iCs/>
          <w:i/>
        </w:rPr>
        <w:t xml:space="preserve">luṅ</w:t>
      </w:r>
      <w:r>
        <w:t xml:space="preserve"> </w:t>
      </w:r>
      <w:r>
        <w:rPr>
          <w:iCs/>
          <w:i/>
        </w:rPr>
        <w:t xml:space="preserve">jhi</w:t>
      </w:r>
      <w:r>
        <w:t xml:space="preserve"> </w:t>
      </w:r>
      <w:r>
        <w:t xml:space="preserve">→</w:t>
      </w:r>
      <w:r>
        <w:t xml:space="preserve"> </w:t>
      </w:r>
      <w:r>
        <w:rPr>
          <w:iCs/>
          <w:i/>
        </w:rPr>
        <w:t xml:space="preserve">jus</w:t>
      </w:r>
      <w:r>
        <w:t xml:space="preserve"> </w:t>
      </w:r>
      <w:r>
        <w:t xml:space="preserve">by</w:t>
      </w:r>
      <w:r>
        <w:t xml:space="preserve"> </w:t>
      </w:r>
      <w:r>
        <w:t xml:space="preserve">“</w:t>
      </w:r>
      <w:r>
        <w:t xml:space="preserve">sij-abhyasta-vidibhyaś ca</w:t>
      </w:r>
      <w:r>
        <w:t xml:space="preserve">”</w:t>
      </w:r>
      <w:r>
        <w:t xml:space="preserve"> </w:t>
      </w:r>
      <w:r>
        <w:t xml:space="preserve">(Pā. 3-4-109),</w:t>
      </w:r>
      <w:r>
        <w:t xml:space="preserve"> </w:t>
      </w:r>
      <w:r>
        <w:rPr>
          <w:iCs/>
          <w:i/>
        </w:rPr>
        <w:t xml:space="preserve">iṭ</w:t>
      </w:r>
      <w:r>
        <w:t xml:space="preserve"> </w:t>
      </w:r>
      <w:r>
        <w:t xml:space="preserve">for</w:t>
      </w:r>
      <w:r>
        <w:t xml:space="preserve"> </w:t>
      </w:r>
      <w:r>
        <w:rPr>
          <w:iCs/>
          <w:i/>
        </w:rPr>
        <w:t xml:space="preserve">sic</w:t>
      </w:r>
      <w:r>
        <w:t xml:space="preserve">,</w:t>
      </w:r>
      <w:r>
        <w:t xml:space="preserve"> </w:t>
      </w:r>
      <w:r>
        <w:rPr>
          <w:iCs/>
          <w:i/>
        </w:rPr>
        <w:t xml:space="preserve">āṭ</w:t>
      </w:r>
      <w:r>
        <w:t xml:space="preserve"> </w:t>
      </w:r>
      <w:r>
        <w:t xml:space="preserve">by</w:t>
      </w:r>
      <w:r>
        <w:t xml:space="preserve"> </w:t>
      </w:r>
      <w:r>
        <w:t xml:space="preserve">“</w:t>
      </w:r>
      <w:r>
        <w:t xml:space="preserve">āḍ ajādīnām</w:t>
      </w:r>
      <w:r>
        <w:t xml:space="preserve">”</w:t>
      </w:r>
      <w:r>
        <w:t xml:space="preserve"> </w:t>
      </w:r>
      <w:r>
        <w:t xml:space="preserve">(Pā. 6-4-72),</w:t>
      </w:r>
      <w:r>
        <w:t xml:space="preserve"> </w:t>
      </w:r>
      <w:r>
        <w:rPr>
          <w:iCs/>
          <w:i/>
        </w:rPr>
        <w:t xml:space="preserve">ṣ</w:t>
      </w:r>
      <w:r>
        <w:t xml:space="preserve"> </w:t>
      </w:r>
      <w:r>
        <w:t xml:space="preserve">by</w:t>
      </w:r>
      <w:r>
        <w:t xml:space="preserve"> </w:t>
      </w:r>
      <w:r>
        <w:t xml:space="preserve">“</w:t>
      </w:r>
      <w:r>
        <w:t xml:space="preserve">ādeśa-pratyayayoḥ</w:t>
      </w:r>
      <w:r>
        <w:t xml:space="preserve">”</w:t>
      </w:r>
      <w:r>
        <w:t xml:space="preserve">.)</w:t>
      </w:r>
    </w:p>
    <w:bookmarkEnd w:id="476"/>
    <w:bookmarkStart w:id="477" w:name="X5e73bf0c59ef583e947a317d53700415a0ee764"/>
    <w:p>
      <w:pPr>
        <w:pStyle w:val="Heading3"/>
      </w:pPr>
      <w:r>
        <w:t xml:space="preserve">Page 465 — Rik 5: word-meanings, overall sense, English</w:t>
      </w:r>
    </w:p>
    <w:p>
      <w:pPr>
        <w:pStyle w:val="FirstParagraph"/>
      </w:pPr>
      <w:r>
        <w:rPr>
          <w:bCs/>
          <w:b/>
        </w:rPr>
        <w:t xml:space="preserve">॥ Prati-padārthaḥ ॥</w:t>
      </w:r>
    </w:p>
    <w:p>
      <w:pPr>
        <w:pStyle w:val="BodyText"/>
      </w:pPr>
      <w:r>
        <w:rPr>
          <w:bCs/>
          <w:b/>
        </w:rPr>
        <w:t xml:space="preserve">(हे) अद्रिवः ((he) adrivaḥ)</w:t>
      </w:r>
      <w:r>
        <w:t xml:space="preserve"> </w:t>
      </w:r>
      <w:r>
        <w:t xml:space="preserve">— O Indra, bearer of the thunderbolt |</w:t>
      </w:r>
      <w:r>
        <w:t xml:space="preserve"> </w:t>
      </w:r>
      <w:r>
        <w:rPr>
          <w:bCs/>
          <w:b/>
        </w:rPr>
        <w:t xml:space="preserve">त्वम् (tvam)</w:t>
      </w:r>
      <w:r>
        <w:t xml:space="preserve"> </w:t>
      </w:r>
      <w:r>
        <w:t xml:space="preserve">— you |</w:t>
      </w:r>
      <w:r>
        <w:t xml:space="preserve"> </w:t>
      </w:r>
      <w:r>
        <w:rPr>
          <w:bCs/>
          <w:b/>
        </w:rPr>
        <w:t xml:space="preserve">गोमतः (gomataḥ)</w:t>
      </w:r>
      <w:r>
        <w:t xml:space="preserve"> </w:t>
      </w:r>
      <w:r>
        <w:t xml:space="preserve">— who had taken the cows |</w:t>
      </w:r>
      <w:r>
        <w:t xml:space="preserve"> </w:t>
      </w:r>
      <w:r>
        <w:rPr>
          <w:bCs/>
          <w:b/>
        </w:rPr>
        <w:t xml:space="preserve">वलस्य (valasya)</w:t>
      </w:r>
      <w:r>
        <w:t xml:space="preserve"> </w:t>
      </w:r>
      <w:r>
        <w:t xml:space="preserve">— of the asura Vala |</w:t>
      </w:r>
      <w:r>
        <w:t xml:space="preserve"> </w:t>
      </w:r>
      <w:r>
        <w:rPr>
          <w:bCs/>
          <w:b/>
        </w:rPr>
        <w:t xml:space="preserve">बिलम् (bilam)</w:t>
      </w:r>
      <w:r>
        <w:t xml:space="preserve"> </w:t>
      </w:r>
      <w:r>
        <w:t xml:space="preserve">— the cave |</w:t>
      </w:r>
      <w:r>
        <w:t xml:space="preserve"> </w:t>
      </w:r>
      <w:r>
        <w:rPr>
          <w:bCs/>
          <w:b/>
        </w:rPr>
        <w:t xml:space="preserve">अप अवः (apa avaḥ)</w:t>
      </w:r>
      <w:r>
        <w:t xml:space="preserve"> </w:t>
      </w:r>
      <w:r>
        <w:t xml:space="preserve">— have laid siege to and opened (with the help of your army) |</w:t>
      </w:r>
      <w:r>
        <w:t xml:space="preserve"> </w:t>
      </w:r>
      <w:r>
        <w:rPr>
          <w:iCs/>
          <w:i/>
        </w:rPr>
        <w:t xml:space="preserve">(then)</w:t>
      </w:r>
      <w:r>
        <w:t xml:space="preserve"> </w:t>
      </w:r>
      <w:r>
        <w:rPr>
          <w:bCs/>
          <w:b/>
        </w:rPr>
        <w:t xml:space="preserve">तुज्यमानासः (tujyamānāsaḥ)</w:t>
      </w:r>
      <w:r>
        <w:t xml:space="preserve"> </w:t>
      </w:r>
      <w:r>
        <w:t xml:space="preserve">— [those] oppressed by the asura Vala |</w:t>
      </w:r>
      <w:r>
        <w:t xml:space="preserve"> </w:t>
      </w:r>
      <w:r>
        <w:rPr>
          <w:bCs/>
          <w:b/>
        </w:rPr>
        <w:t xml:space="preserve">देवाः (devāḥ)</w:t>
      </w:r>
      <w:r>
        <w:t xml:space="preserve"> </w:t>
      </w:r>
      <w:r>
        <w:t xml:space="preserve">— the gods |</w:t>
      </w:r>
      <w:r>
        <w:t xml:space="preserve"> </w:t>
      </w:r>
      <w:r>
        <w:rPr>
          <w:bCs/>
          <w:b/>
        </w:rPr>
        <w:t xml:space="preserve">अबिभ्युषः (abibhyuṣaḥ)</w:t>
      </w:r>
      <w:r>
        <w:t xml:space="preserve"> </w:t>
      </w:r>
      <w:r>
        <w:t xml:space="preserve">— made fearless by your protection, that is, not afraid of the asura Bala [sic] |</w:t>
      </w:r>
      <w:r>
        <w:t xml:space="preserve"> </w:t>
      </w:r>
      <w:r>
        <w:rPr>
          <w:bCs/>
          <w:b/>
        </w:rPr>
        <w:t xml:space="preserve">त्वाम् (tvām)</w:t>
      </w:r>
      <w:r>
        <w:t xml:space="preserve"> </w:t>
      </w:r>
      <w:r>
        <w:t xml:space="preserve">— you |</w:t>
      </w:r>
      <w:r>
        <w:t xml:space="preserve"> </w:t>
      </w:r>
      <w:r>
        <w:rPr>
          <w:bCs/>
          <w:b/>
        </w:rPr>
        <w:t xml:space="preserve">आविषुः (āviṣuḥ)</w:t>
      </w:r>
      <w:r>
        <w:t xml:space="preserve"> </w:t>
      </w:r>
      <w:r>
        <w:t xml:space="preserve">— took shelter in.</w:t>
      </w:r>
    </w:p>
    <w:p>
      <w:pPr>
        <w:pStyle w:val="BodyText"/>
      </w:pPr>
      <w:r>
        <w:rPr>
          <w:bCs/>
          <w:b/>
        </w:rPr>
        <w:t xml:space="preserve">॥ Bhāvārthaḥ ॥</w:t>
      </w:r>
    </w:p>
    <w:p>
      <w:pPr>
        <w:pStyle w:val="BodyText"/>
      </w:pPr>
      <w:r>
        <w:t xml:space="preserve">O Indra, bearer of the thunderbolt! The asura Vala had stolen the gods’ cows and hidden them in a cave. To free them you laid siege to his cave with the help of your army, opened its door and set the cows free. The gods who had been oppressed by the asura Bala [sic], having your protection, no longer feared him in the least, and came to you and took refuge in you.</w:t>
      </w:r>
    </w:p>
    <w:p>
      <w:pPr>
        <w:pStyle w:val="BodyText"/>
      </w:pPr>
      <w:r>
        <w:rPr>
          <w:bCs/>
          <w:b/>
        </w:rPr>
        <w:t xml:space="preserve">॥ English Translation ॥</w:t>
      </w:r>
      <w:r>
        <w:t xml:space="preserve"> </w:t>
      </w:r>
      <w:r>
        <w:rPr>
          <w:iCs/>
          <w:i/>
        </w:rPr>
        <w:t xml:space="preserve">(as printed in the source)</w:t>
      </w:r>
    </w:p>
    <w:p>
      <w:pPr>
        <w:pStyle w:val="BlockText"/>
      </w:pPr>
      <w:r>
        <w:t xml:space="preserve">O weilder [sic] of the thunderbolt, you opened the cave of Vala, who had concealed the cattle (cows) and the gods whom he had oppressed no longer feared when they had obtained your protection.</w:t>
      </w:r>
    </w:p>
    <w:p>
      <w:pPr>
        <w:pStyle w:val="FirstParagraph"/>
      </w:pPr>
      <w:r>
        <w:rPr>
          <w:bCs/>
          <w:b/>
        </w:rPr>
        <w:t xml:space="preserve">॥ Viśeṣa-viṣayagaḷu (Special Topics) ॥</w:t>
      </w:r>
    </w:p>
    <w:p>
      <w:pPr>
        <w:pStyle w:val="BodyText"/>
      </w:pPr>
      <w:r>
        <w:t xml:space="preserve">In explaining this rik the Bhāṣyakāra relates an ancient legend (</w:t>
      </w:r>
      <w:r>
        <w:rPr>
          <w:iCs/>
          <w:i/>
        </w:rPr>
        <w:t xml:space="preserve">legend</w:t>
      </w:r>
      <w:r>
        <w:t xml:space="preserve"> </w:t>
      </w:r>
      <w:r>
        <w:t xml:space="preserve">— the source’s own English): the asura Vala stole the gods’ cows and hid them in a cave; then Indra, with the help of his army, laid siege to the cave and freed the cows that were in it. This is told in the Taittirīya Saṃhitā of the Yajurveda (printed</w:t>
      </w:r>
      <w:r>
        <w:t xml:space="preserve"> </w:t>
      </w:r>
      <w:r>
        <w:t xml:space="preserve">“</w:t>
      </w:r>
      <w:r>
        <w:t xml:space="preserve">2-1-1-1</w:t>
      </w:r>
      <w:r>
        <w:t xml:space="preserve">”</w:t>
      </w:r>
      <w:r>
        <w:t xml:space="preserve">; the bhāṣya gives 2-1-5-1) in the following way:</w:t>
      </w:r>
    </w:p>
    <w:p>
      <w:pPr>
        <w:pStyle w:val="BodyText"/>
      </w:pPr>
      <w:r>
        <w:rPr>
          <w:iCs/>
          <w:i/>
        </w:rPr>
        <w:t xml:space="preserve">(The passage runs onto p. 466.)</w:t>
      </w:r>
    </w:p>
    <w:p>
      <w:pPr>
        <w:pStyle w:val="BlockText"/>
      </w:pPr>
      <w:r>
        <w:t xml:space="preserve">इन्द्रो वलस्य बिलमपौर्णोत्स य उत्तमः पशुरासीत्तं पृष्ठं प्रति संगृह्योदक्षिदत्तग्ं सहस्रं पशवो ऽनूदायन्त्स उन्नतो ऽभवद्यः पशुकामः स्यात्स एतमैन्द्रमुन्नतमालभेतेन्द्रमेव स्वेन भागधेयेनोप धावति स एवास्मै पशून्प्रयच्छति पशुमानेव भवत्युन्नतो भवति ॥</w:t>
      </w:r>
    </w:p>
    <w:p>
      <w:pPr>
        <w:pStyle w:val="BlockText"/>
      </w:pPr>
      <w:r>
        <w:rPr>
          <w:iCs/>
          <w:i/>
        </w:rPr>
        <w:t xml:space="preserve">indro valasya bilamapaurṇotsa ya uttamaḥ paśurāsīttaṃ pṛṣṭhaṃ prati saṃgṛhyodakṣidattagṃ sahasraṃ paśavo ’nūdāyantsa unnato ’bhavadyaḥ paśukāmaḥ syātsa etamaindramunnatamālabhetendrameva svena bhāgadheyenopa dhāvati sa evāsmai paśūnprayacchati paśumāneva bhavatyunnato bhavati ||</w:t>
      </w:r>
    </w:p>
    <w:p>
      <w:pPr>
        <w:pStyle w:val="FirstParagraph"/>
      </w:pPr>
      <w:r>
        <w:rPr>
          <w:iCs/>
          <w:i/>
        </w:rPr>
        <w:t xml:space="preserve">(Gloss mine and tentative:</w:t>
      </w:r>
      <w:r>
        <w:rPr>
          <w:iCs/>
          <w:i/>
        </w:rPr>
        <w:t xml:space="preserve"> </w:t>
      </w:r>
      <w:r>
        <w:rPr>
          <w:iCs/>
          <w:i/>
        </w:rPr>
        <w:t xml:space="preserve">“</w:t>
      </w:r>
      <w:r>
        <w:rPr>
          <w:iCs/>
          <w:i/>
        </w:rPr>
        <w:t xml:space="preserve">Indra opened Vala’s cave; the best animal that was there he seized by the back and drew out; a thousand animals came up after it; it became raised (</w:t>
      </w:r>
      <w:r>
        <w:rPr>
          <w:iCs/>
          <w:i/>
          <w:iCs/>
          <w:i/>
        </w:rPr>
        <w:t xml:space="preserve">unnata</w:t>
      </w:r>
      <w:r>
        <w:rPr>
          <w:iCs/>
          <w:i/>
        </w:rPr>
        <w:t xml:space="preserve">). One who desires cattle should offer this raised [animal] to Indra; he approaches Indra with his own share; Indra gives him cattle; he becomes rich in cattle, he becomes raised.</w:t>
      </w:r>
      <w:r>
        <w:rPr>
          <w:iCs/>
          <w:i/>
        </w:rPr>
        <w:t xml:space="preserve">”</w:t>
      </w:r>
      <w:r>
        <w:rPr>
          <w:iCs/>
          <w:i/>
        </w:rPr>
        <w:t xml:space="preserve">)</w:t>
      </w:r>
    </w:p>
    <w:bookmarkEnd w:id="477"/>
    <w:bookmarkStart w:id="478" w:name="X6c96d2a5ed394192e5893c5c0c4e7f589f3afd1"/>
    <w:p>
      <w:pPr>
        <w:pStyle w:val="Heading3"/>
      </w:pPr>
      <w:r>
        <w:t xml:space="preserve">Page 466 — Rik 5: Special Topics (continued) and grammar begins</w:t>
      </w:r>
    </w:p>
    <w:p>
      <w:pPr>
        <w:pStyle w:val="FirstParagraph"/>
      </w:pPr>
      <w:r>
        <w:t xml:space="preserve">This subject is also described here and there in other mantras of the Ṛgveda and in the other Vedas. In the Ṛgveda this matter of Vala is set out in the riks Ṛ. Saṃ. 1-62-4; 2-11-20; 2-14-3; 2-15-8; 2-12-3; 2-24-3; 3-30-10; 3-34-10; 4-50-5; 6-18-5; 6-39-2; 8-14-7 [?]; 8-24-30; 10-62-2; 10-67-6; 10-68-5; 10-68-6; 10-68-9; 10-68-10; 10-138-1. There is a tradition that Vala’s soldiers are called Paṇis; in many places it is said that they stole the cows and hid them in caves. We have explained this subject earlier, at the fifth rik of the sūkta Ṛ. Sa. 1-2-6 (see Part 2, page 228). Besides this, the matter of the asuras called Paṇi is described in many riks of the Ṛgveda; these will be explained in their places.</w:t>
      </w:r>
    </w:p>
    <w:p>
      <w:pPr>
        <w:pStyle w:val="BodyText"/>
      </w:pPr>
      <w:r>
        <w:rPr>
          <w:bCs/>
          <w:b/>
        </w:rPr>
        <w:t xml:space="preserve">Skandasvāmī’s explanation of this rik is different:</w:t>
      </w:r>
      <w:r>
        <w:t xml:space="preserve"> </w:t>
      </w:r>
      <w:r>
        <w:rPr>
          <w:iCs/>
          <w:i/>
        </w:rPr>
        <w:t xml:space="preserve">vala</w:t>
      </w:r>
      <w:r>
        <w:t xml:space="preserve"> </w:t>
      </w:r>
      <w:r>
        <w:t xml:space="preserve">is a cloud (</w:t>
      </w:r>
      <w:r>
        <w:rPr>
          <w:iCs/>
          <w:i/>
        </w:rPr>
        <w:t xml:space="preserve">megha</w:t>
      </w:r>
      <w:r>
        <w:t xml:space="preserve">) and</w:t>
      </w:r>
      <w:r>
        <w:t xml:space="preserve"> </w:t>
      </w:r>
      <w:r>
        <w:rPr>
          <w:iCs/>
          <w:i/>
        </w:rPr>
        <w:t xml:space="preserve">go</w:t>
      </w:r>
      <w:r>
        <w:t xml:space="preserve"> </w:t>
      </w:r>
      <w:r>
        <w:t xml:space="preserve">is water (</w:t>
      </w:r>
      <w:r>
        <w:rPr>
          <w:iCs/>
          <w:i/>
        </w:rPr>
        <w:t xml:space="preserve">udaka</w:t>
      </w:r>
      <w:r>
        <w:t xml:space="preserve">); Indra used his thunderbolt on the clouds and caused the held-back rain to fall. And</w:t>
      </w:r>
      <w:r>
        <w:t xml:space="preserve"> </w:t>
      </w:r>
      <w:r>
        <w:rPr>
          <w:iCs/>
          <w:i/>
        </w:rPr>
        <w:t xml:space="preserve">tujyamānāḥ</w:t>
      </w:r>
      <w:r>
        <w:t xml:space="preserve"> </w:t>
      </w:r>
      <w:r>
        <w:t xml:space="preserve">he renders as</w:t>
      </w:r>
      <w:r>
        <w:t xml:space="preserve"> </w:t>
      </w:r>
      <w:r>
        <w:rPr>
          <w:iCs/>
          <w:i/>
        </w:rPr>
        <w:t xml:space="preserve">tvaramāṇāḥ</w:t>
      </w:r>
      <w:r>
        <w:t xml:space="preserve"> </w:t>
      </w:r>
      <w:r>
        <w:t xml:space="preserve">(</w:t>
      </w:r>
      <w:r>
        <w:t xml:space="preserve">“</w:t>
      </w:r>
      <w:r>
        <w:t xml:space="preserve">hastening</w:t>
      </w:r>
      <w:r>
        <w:t xml:space="preserve">”</w:t>
      </w:r>
      <w:r>
        <w:t xml:space="preserve">),</w:t>
      </w:r>
      <w:r>
        <w:t xml:space="preserve"> </w:t>
      </w:r>
      <w:r>
        <w:rPr>
          <w:iCs/>
          <w:i/>
        </w:rPr>
        <w:t xml:space="preserve">āviṣuḥ</w:t>
      </w:r>
      <w:r>
        <w:t xml:space="preserve"> </w:t>
      </w:r>
      <w:r>
        <w:t xml:space="preserve">as</w:t>
      </w:r>
      <w:r>
        <w:t xml:space="preserve"> </w:t>
      </w:r>
      <w:r>
        <w:rPr>
          <w:iCs/>
          <w:i/>
        </w:rPr>
        <w:t xml:space="preserve">anugatavantaḥ</w:t>
      </w:r>
      <w:r>
        <w:t xml:space="preserve"> </w:t>
      </w:r>
      <w:r>
        <w:t xml:space="preserve">(</w:t>
      </w:r>
      <w:r>
        <w:t xml:space="preserve">“</w:t>
      </w:r>
      <w:r>
        <w:t xml:space="preserve">followed</w:t>
      </w:r>
      <w:r>
        <w:t xml:space="preserve">”</w:t>
      </w:r>
      <w:r>
        <w:t xml:space="preserve">), and</w:t>
      </w:r>
      <w:r>
        <w:t xml:space="preserve"> </w:t>
      </w:r>
      <w:r>
        <w:rPr>
          <w:iCs/>
          <w:i/>
        </w:rPr>
        <w:t xml:space="preserve">devāḥ</w:t>
      </w:r>
      <w:r>
        <w:t xml:space="preserve"> </w:t>
      </w:r>
      <w:r>
        <w:t xml:space="preserve">as</w:t>
      </w:r>
      <w:r>
        <w:t xml:space="preserve"> </w:t>
      </w:r>
      <w:r>
        <w:t xml:space="preserve">“</w:t>
      </w:r>
      <w:r>
        <w:t xml:space="preserve">Maruts</w:t>
      </w:r>
      <w:r>
        <w:t xml:space="preserve">”</w:t>
      </w:r>
      <w:r>
        <w:t xml:space="preserve">; so the idea is that the rain, with the help of the wind, came falling swiftly.</w:t>
      </w:r>
    </w:p>
    <w:p>
      <w:pPr>
        <w:pStyle w:val="BodyText"/>
      </w:pPr>
      <w:r>
        <w:rPr>
          <w:bCs/>
          <w:b/>
        </w:rPr>
        <w:t xml:space="preserve">“</w:t>
      </w:r>
      <w:r>
        <w:rPr>
          <w:bCs/>
          <w:b/>
        </w:rPr>
        <w:t xml:space="preserve">Gomataḥ</w:t>
      </w:r>
      <w:r>
        <w:rPr>
          <w:bCs/>
          <w:b/>
        </w:rPr>
        <w:t xml:space="preserve">”</w:t>
      </w:r>
      <w:r>
        <w:t xml:space="preserve"> </w:t>
      </w:r>
      <w:r>
        <w:t xml:space="preserve">—</w:t>
      </w:r>
      <w:r>
        <w:t xml:space="preserve"> </w:t>
      </w:r>
      <w:r>
        <w:rPr>
          <w:iCs/>
          <w:i/>
        </w:rPr>
        <w:t xml:space="preserve">gobhir yuktasya</w:t>
      </w:r>
      <w:r>
        <w:t xml:space="preserve">,</w:t>
      </w:r>
      <w:r>
        <w:t xml:space="preserve"> </w:t>
      </w:r>
      <w:r>
        <w:t xml:space="preserve">“</w:t>
      </w:r>
      <w:r>
        <w:t xml:space="preserve">who possesses cows</w:t>
      </w:r>
      <w:r>
        <w:t xml:space="preserve">”</w:t>
      </w:r>
      <w:r>
        <w:t xml:space="preserve"> </w:t>
      </w:r>
      <w:r>
        <w:t xml:space="preserve">— which cows? — one has to consider what is said elsewhere, that they are the stolen cows.</w:t>
      </w:r>
    </w:p>
    <w:p>
      <w:pPr>
        <w:pStyle w:val="BodyText"/>
      </w:pPr>
      <w:r>
        <w:rPr>
          <w:bCs/>
          <w:b/>
        </w:rPr>
        <w:t xml:space="preserve">“</w:t>
      </w:r>
      <w:r>
        <w:rPr>
          <w:bCs/>
          <w:b/>
        </w:rPr>
        <w:t xml:space="preserve">Bilam</w:t>
      </w:r>
      <w:r>
        <w:rPr>
          <w:bCs/>
          <w:b/>
        </w:rPr>
        <w:t xml:space="preserve">”</w:t>
      </w:r>
      <w:r>
        <w:t xml:space="preserve"> </w:t>
      </w:r>
      <w:r>
        <w:t xml:space="preserve">— a cave, a hollow that cannot be seen by anyone:</w:t>
      </w:r>
      <w:r>
        <w:t xml:space="preserve"> </w:t>
      </w:r>
      <w:r>
        <w:rPr>
          <w:iCs/>
          <w:i/>
        </w:rPr>
        <w:t xml:space="preserve">cave</w:t>
      </w:r>
      <w:r>
        <w:t xml:space="preserve"> </w:t>
      </w:r>
      <w:r>
        <w:t xml:space="preserve">[the source’s own English].</w:t>
      </w:r>
    </w:p>
    <w:p>
      <w:pPr>
        <w:pStyle w:val="BodyText"/>
      </w:pPr>
      <w:r>
        <w:rPr>
          <w:bCs/>
          <w:b/>
        </w:rPr>
        <w:t xml:space="preserve">“</w:t>
      </w:r>
      <w:r>
        <w:rPr>
          <w:bCs/>
          <w:b/>
        </w:rPr>
        <w:t xml:space="preserve">Tujyamānāsaḥ</w:t>
      </w:r>
      <w:r>
        <w:rPr>
          <w:bCs/>
          <w:b/>
        </w:rPr>
        <w:t xml:space="preserve">”</w:t>
      </w:r>
      <w:r>
        <w:t xml:space="preserve"> </w:t>
      </w:r>
      <w:r>
        <w:t xml:space="preserve">—</w:t>
      </w:r>
      <w:r>
        <w:t xml:space="preserve"> </w:t>
      </w:r>
      <w:r>
        <w:rPr>
          <w:iCs/>
          <w:i/>
        </w:rPr>
        <w:t xml:space="preserve">balena hiṃsyamānāḥ</w:t>
      </w:r>
      <w:r>
        <w:t xml:space="preserve"> </w:t>
      </w:r>
      <w:r>
        <w:t xml:space="preserve">— oppressed by the asura Bala [sic].</w:t>
      </w:r>
    </w:p>
    <w:p>
      <w:pPr>
        <w:pStyle w:val="BodyText"/>
      </w:pPr>
      <w:r>
        <w:rPr>
          <w:bCs/>
          <w:b/>
        </w:rPr>
        <w:t xml:space="preserve">“</w:t>
      </w:r>
      <w:r>
        <w:rPr>
          <w:bCs/>
          <w:b/>
        </w:rPr>
        <w:t xml:space="preserve">Āviṣuḥ</w:t>
      </w:r>
      <w:r>
        <w:rPr>
          <w:bCs/>
          <w:b/>
        </w:rPr>
        <w:t xml:space="preserve">”</w:t>
      </w:r>
      <w:r>
        <w:t xml:space="preserve"> </w:t>
      </w:r>
      <w:r>
        <w:t xml:space="preserve">—</w:t>
      </w:r>
      <w:r>
        <w:t xml:space="preserve"> </w:t>
      </w:r>
      <w:r>
        <w:rPr>
          <w:iCs/>
          <w:i/>
        </w:rPr>
        <w:t xml:space="preserve">ava rakṣaṇādiṣu</w:t>
      </w:r>
      <w:r>
        <w:t xml:space="preserve"> </w:t>
      </w:r>
      <w:r>
        <w:t xml:space="preserve">—</w:t>
      </w:r>
      <w:r>
        <w:t xml:space="preserve"> </w:t>
      </w:r>
      <w:r>
        <w:t xml:space="preserve">“</w:t>
      </w:r>
      <w:r>
        <w:t xml:space="preserve">[those] who have reached, who have taken shelter for protection.</w:t>
      </w:r>
      <w:r>
        <w:t xml:space="preserve">”</w:t>
      </w:r>
    </w:p>
    <w:p>
      <w:pPr>
        <w:pStyle w:val="BodyText"/>
      </w:pPr>
      <w:r>
        <w:rPr>
          <w:bCs/>
          <w:b/>
        </w:rPr>
        <w:t xml:space="preserve">॥ Vyākaraṇa-prakriyā ॥</w:t>
      </w:r>
      <w:r>
        <w:t xml:space="preserve"> </w:t>
      </w:r>
      <w:r>
        <w:rPr>
          <w:iCs/>
          <w:i/>
        </w:rPr>
        <w:t xml:space="preserve">(grammar pages 466–470, noted briefly; numbers checked against the print)</w:t>
      </w:r>
    </w:p>
    <w:p>
      <w:pPr>
        <w:pStyle w:val="BodyText"/>
      </w:pPr>
      <w:r>
        <w:rPr>
          <w:bCs/>
          <w:b/>
        </w:rPr>
        <w:t xml:space="preserve">अप (</w:t>
      </w:r>
      <w:r>
        <w:rPr>
          <w:iCs/>
          <w:i/>
          <w:bCs/>
          <w:b/>
        </w:rPr>
        <w:t xml:space="preserve">apa</w:t>
      </w:r>
      <w:r>
        <w:rPr>
          <w:bCs/>
          <w:b/>
        </w:rPr>
        <w:t xml:space="preserve">)</w:t>
      </w:r>
      <w:r>
        <w:t xml:space="preserve"> </w:t>
      </w:r>
      <w:r>
        <w:t xml:space="preserve">— a</w:t>
      </w:r>
      <w:r>
        <w:t xml:space="preserve"> </w:t>
      </w:r>
      <w:r>
        <w:rPr>
          <w:iCs/>
          <w:i/>
        </w:rPr>
        <w:t xml:space="preserve">nipāta</w:t>
      </w:r>
      <w:r>
        <w:t xml:space="preserve">, initial-udātta (</w:t>
      </w:r>
      <w:r>
        <w:t xml:space="preserve">“</w:t>
      </w:r>
      <w:r>
        <w:t xml:space="preserve">nipātā ādyudāttāḥ,</w:t>
      </w:r>
      <w:r>
        <w:t xml:space="preserve">”</w:t>
      </w:r>
      <w:r>
        <w:t xml:space="preserve"> </w:t>
      </w:r>
      <w:r>
        <w:t xml:space="preserve">Phiṭ-sūtra 80).</w:t>
      </w:r>
    </w:p>
    <w:bookmarkEnd w:id="478"/>
    <w:bookmarkStart w:id="479" w:name="page-467-rik-5-grammar-continued"/>
    <w:p>
      <w:pPr>
        <w:pStyle w:val="Heading3"/>
      </w:pPr>
      <w:r>
        <w:t xml:space="preserve">Page 467 — Rik 5 grammar (continued)</w:t>
      </w:r>
    </w:p>
    <w:p>
      <w:pPr>
        <w:pStyle w:val="FirstParagraph"/>
      </w:pPr>
      <w:r>
        <w:rPr>
          <w:bCs/>
          <w:b/>
        </w:rPr>
        <w:t xml:space="preserve">अवः (</w:t>
      </w:r>
      <w:r>
        <w:rPr>
          <w:iCs/>
          <w:i/>
          <w:bCs/>
          <w:b/>
        </w:rPr>
        <w:t xml:space="preserve">avaḥ</w:t>
      </w:r>
      <w:r>
        <w:rPr>
          <w:bCs/>
          <w:b/>
        </w:rPr>
        <w:t xml:space="preserve">)</w:t>
      </w:r>
      <w:r>
        <w:t xml:space="preserve"> </w:t>
      </w:r>
      <w:r>
        <w:t xml:space="preserve">— root</w:t>
      </w:r>
      <w:r>
        <w:t xml:space="preserve"> </w:t>
      </w:r>
      <w:r>
        <w:rPr>
          <w:iCs/>
          <w:i/>
        </w:rPr>
        <w:t xml:space="preserve">vṛñ varaṇe</w:t>
      </w:r>
      <w:r>
        <w:t xml:space="preserve">, of the</w:t>
      </w:r>
      <w:r>
        <w:t xml:space="preserve"> </w:t>
      </w:r>
      <w:r>
        <w:rPr>
          <w:iCs/>
          <w:i/>
        </w:rPr>
        <w:t xml:space="preserve">svādi</w:t>
      </w:r>
      <w:r>
        <w:t xml:space="preserve"> </w:t>
      </w:r>
      <w:r>
        <w:t xml:space="preserve">class;</w:t>
      </w:r>
      <w:r>
        <w:t xml:space="preserve"> </w:t>
      </w:r>
      <w:r>
        <w:rPr>
          <w:iCs/>
          <w:i/>
        </w:rPr>
        <w:t xml:space="preserve">laṅ</w:t>
      </w:r>
      <w:r>
        <w:t xml:space="preserve">, replaced by the second-person singular</w:t>
      </w:r>
      <w:r>
        <w:t xml:space="preserve"> </w:t>
      </w:r>
      <w:r>
        <w:rPr>
          <w:iCs/>
          <w:i/>
        </w:rPr>
        <w:t xml:space="preserve">parasmaipada</w:t>
      </w:r>
      <w:r>
        <w:t xml:space="preserve"> </w:t>
      </w:r>
      <w:r>
        <w:rPr>
          <w:iCs/>
          <w:i/>
        </w:rPr>
        <w:t xml:space="preserve">sip</w:t>
      </w:r>
      <w:r>
        <w:t xml:space="preserve">; its</w:t>
      </w:r>
      <w:r>
        <w:t xml:space="preserve"> </w:t>
      </w:r>
      <w:r>
        <w:rPr>
          <w:iCs/>
          <w:i/>
        </w:rPr>
        <w:t xml:space="preserve">p</w:t>
      </w:r>
      <w:r>
        <w:t xml:space="preserve"> </w:t>
      </w:r>
      <w:r>
        <w:t xml:space="preserve">is</w:t>
      </w:r>
      <w:r>
        <w:t xml:space="preserve"> </w:t>
      </w:r>
      <w:r>
        <w:rPr>
          <w:iCs/>
          <w:i/>
        </w:rPr>
        <w:t xml:space="preserve">it</w:t>
      </w:r>
      <w:r>
        <w:t xml:space="preserve"> </w:t>
      </w:r>
      <w:r>
        <w:t xml:space="preserve">by</w:t>
      </w:r>
      <w:r>
        <w:t xml:space="preserve"> </w:t>
      </w:r>
      <w:r>
        <w:t xml:space="preserve">“</w:t>
      </w:r>
      <w:r>
        <w:t xml:space="preserve">halantyam</w:t>
      </w:r>
      <w:r>
        <w:t xml:space="preserve">”</w:t>
      </w:r>
      <w:r>
        <w:t xml:space="preserve"> </w:t>
      </w:r>
      <w:r>
        <w:t xml:space="preserve">(Pā. 1-3-3) and dropped; the</w:t>
      </w:r>
      <w:r>
        <w:t xml:space="preserve"> </w:t>
      </w:r>
      <w:r>
        <w:rPr>
          <w:iCs/>
          <w:i/>
        </w:rPr>
        <w:t xml:space="preserve">i</w:t>
      </w:r>
      <w:r>
        <w:t xml:space="preserve"> </w:t>
      </w:r>
      <w:r>
        <w:t xml:space="preserve">dropped by</w:t>
      </w:r>
      <w:r>
        <w:t xml:space="preserve"> </w:t>
      </w:r>
      <w:r>
        <w:t xml:space="preserve">“</w:t>
      </w:r>
      <w:r>
        <w:t xml:space="preserve">itaś ca</w:t>
      </w:r>
      <w:r>
        <w:t xml:space="preserve">”</w:t>
      </w:r>
      <w:r>
        <w:t xml:space="preserve"> </w:t>
      </w:r>
      <w:r>
        <w:t xml:space="preserve">(Pā. 3-4-100) (the final of an</w:t>
      </w:r>
      <w:r>
        <w:t xml:space="preserve"> </w:t>
      </w:r>
      <w:r>
        <w:rPr>
          <w:iCs/>
          <w:i/>
        </w:rPr>
        <w:t xml:space="preserve">i</w:t>
      </w:r>
      <w:r>
        <w:t xml:space="preserve">-ending</w:t>
      </w:r>
      <w:r>
        <w:t xml:space="preserve"> </w:t>
      </w:r>
      <w:r>
        <w:rPr>
          <w:iCs/>
          <w:i/>
        </w:rPr>
        <w:t xml:space="preserve">parasmaipada</w:t>
      </w:r>
      <w:r>
        <w:t xml:space="preserve"> </w:t>
      </w:r>
      <w:r>
        <w:t xml:space="preserve">ending in place of a</w:t>
      </w:r>
      <w:r>
        <w:t xml:space="preserve"> </w:t>
      </w:r>
      <w:r>
        <w:rPr>
          <w:iCs/>
          <w:i/>
        </w:rPr>
        <w:t xml:space="preserve">ṅit</w:t>
      </w:r>
      <w:r>
        <w:t xml:space="preserve"> </w:t>
      </w:r>
      <w:r>
        <w:rPr>
          <w:iCs/>
          <w:i/>
        </w:rPr>
        <w:t xml:space="preserve">lakāra</w:t>
      </w:r>
      <w:r>
        <w:t xml:space="preserve">);</w:t>
      </w:r>
      <w:r>
        <w:t xml:space="preserve"> </w:t>
      </w:r>
      <w:r>
        <w:t xml:space="preserve">“</w:t>
      </w:r>
      <w:r>
        <w:t xml:space="preserve">itaś ca lopaḥ parasmaipadeṣu</w:t>
      </w:r>
      <w:r>
        <w:t xml:space="preserve">”</w:t>
      </w:r>
      <w:r>
        <w:t xml:space="preserve"> </w:t>
      </w:r>
      <w:r>
        <w:t xml:space="preserve">(Pā. 3-4-97), which makes that loss optional in</w:t>
      </w:r>
      <w:r>
        <w:t xml:space="preserve"> </w:t>
      </w:r>
      <w:r>
        <w:rPr>
          <w:iCs/>
          <w:i/>
        </w:rPr>
        <w:t xml:space="preserve">leṭ</w:t>
      </w:r>
      <w:r>
        <w:t xml:space="preserve">, does not apply here;</w:t>
      </w:r>
      <w:r>
        <w:t xml:space="preserve"> </w:t>
      </w:r>
      <w:r>
        <w:rPr>
          <w:iCs/>
          <w:i/>
        </w:rPr>
        <w:t xml:space="preserve">śnu</w:t>
      </w:r>
      <w:r>
        <w:t xml:space="preserve"> </w:t>
      </w:r>
      <w:r>
        <w:t xml:space="preserve">by</w:t>
      </w:r>
      <w:r>
        <w:t xml:space="preserve"> </w:t>
      </w:r>
      <w:r>
        <w:t xml:space="preserve">“</w:t>
      </w:r>
      <w:r>
        <w:t xml:space="preserve">svādibhyaḥ śnuḥ</w:t>
      </w:r>
      <w:r>
        <w:t xml:space="preserve">”</w:t>
      </w:r>
      <w:r>
        <w:t xml:space="preserve"> </w:t>
      </w:r>
      <w:r>
        <w:t xml:space="preserve">(Pā. 3-1-73), dropped by</w:t>
      </w:r>
      <w:r>
        <w:t xml:space="preserve"> </w:t>
      </w:r>
      <w:r>
        <w:t xml:space="preserve">“</w:t>
      </w:r>
      <w:r>
        <w:t xml:space="preserve">bahulaṃ chandasi</w:t>
      </w:r>
      <w:r>
        <w:t xml:space="preserve">”</w:t>
      </w:r>
      <w:r>
        <w:t xml:space="preserve"> </w:t>
      </w:r>
      <w:r>
        <w:t xml:space="preserve">(Pā. 2-4-73);</w:t>
      </w:r>
      <w:r>
        <w:t xml:space="preserve"> </w:t>
      </w:r>
      <w:r>
        <w:rPr>
          <w:iCs/>
          <w:i/>
        </w:rPr>
        <w:t xml:space="preserve">vṛ</w:t>
      </w:r>
      <w:r>
        <w:t xml:space="preserve"> </w:t>
      </w:r>
      <w:r>
        <w:t xml:space="preserve">+</w:t>
      </w:r>
      <w:r>
        <w:t xml:space="preserve"> </w:t>
      </w:r>
      <w:r>
        <w:rPr>
          <w:iCs/>
          <w:i/>
        </w:rPr>
        <w:t xml:space="preserve">s</w:t>
      </w:r>
      <w:r>
        <w:t xml:space="preserve">:</w:t>
      </w:r>
      <w:r>
        <w:t xml:space="preserve"> </w:t>
      </w:r>
      <w:r>
        <w:rPr>
          <w:iCs/>
          <w:i/>
        </w:rPr>
        <w:t xml:space="preserve">guṇa</w:t>
      </w:r>
      <w:r>
        <w:t xml:space="preserve"> </w:t>
      </w:r>
      <w:r>
        <w:t xml:space="preserve">by</w:t>
      </w:r>
      <w:r>
        <w:t xml:space="preserve"> </w:t>
      </w:r>
      <w:r>
        <w:t xml:space="preserve">“</w:t>
      </w:r>
      <w:r>
        <w:t xml:space="preserve">sārvadhātukārdhadhātukayoḥ</w:t>
      </w:r>
      <w:r>
        <w:t xml:space="preserve">”</w:t>
      </w:r>
      <w:r>
        <w:t xml:space="preserve"> </w:t>
      </w:r>
      <w:r>
        <w:t xml:space="preserve">(Pā. 7-3-84), with</w:t>
      </w:r>
      <w:r>
        <w:t xml:space="preserve"> </w:t>
      </w:r>
      <w:r>
        <w:rPr>
          <w:iCs/>
          <w:i/>
        </w:rPr>
        <w:t xml:space="preserve">r</w:t>
      </w:r>
      <w:r>
        <w:t xml:space="preserve"> </w:t>
      </w:r>
      <w:r>
        <w:t xml:space="preserve">by</w:t>
      </w:r>
      <w:r>
        <w:t xml:space="preserve"> </w:t>
      </w:r>
      <w:r>
        <w:t xml:space="preserve">“</w:t>
      </w:r>
      <w:r>
        <w:t xml:space="preserve">uraṇ raparaḥ</w:t>
      </w:r>
      <w:r>
        <w:t xml:space="preserve">”</w:t>
      </w:r>
      <w:r>
        <w:t xml:space="preserve"> </w:t>
      </w:r>
      <w:r>
        <w:t xml:space="preserve">(Pā. 1-1-51):</w:t>
      </w:r>
      <w:r>
        <w:t xml:space="preserve"> </w:t>
      </w:r>
      <w:r>
        <w:rPr>
          <w:iCs/>
          <w:i/>
        </w:rPr>
        <w:t xml:space="preserve">var</w:t>
      </w:r>
      <w:r>
        <w:t xml:space="preserve"> </w:t>
      </w:r>
      <w:r>
        <w:t xml:space="preserve">+</w:t>
      </w:r>
      <w:r>
        <w:t xml:space="preserve"> </w:t>
      </w:r>
      <w:r>
        <w:rPr>
          <w:iCs/>
          <w:i/>
        </w:rPr>
        <w:t xml:space="preserve">s</w:t>
      </w:r>
      <w:r>
        <w:t xml:space="preserve">; the</w:t>
      </w:r>
      <w:r>
        <w:t xml:space="preserve"> </w:t>
      </w:r>
      <w:r>
        <w:rPr>
          <w:iCs/>
          <w:i/>
        </w:rPr>
        <w:t xml:space="preserve">s</w:t>
      </w:r>
      <w:r>
        <w:t xml:space="preserve"> </w:t>
      </w:r>
      <w:r>
        <w:t xml:space="preserve">dropped by</w:t>
      </w:r>
      <w:r>
        <w:t xml:space="preserve"> </w:t>
      </w:r>
      <w:r>
        <w:t xml:space="preserve">“</w:t>
      </w:r>
      <w:r>
        <w:t xml:space="preserve">hal-ṅyābbhyo dīrghāt sutisy apṛktaṃ hal</w:t>
      </w:r>
      <w:r>
        <w:t xml:space="preserve">”</w:t>
      </w:r>
      <w:r>
        <w:t xml:space="preserve"> </w:t>
      </w:r>
      <w:r>
        <w:t xml:space="preserve">(Pā. 6-1-68); visarga for the</w:t>
      </w:r>
      <w:r>
        <w:t xml:space="preserve"> </w:t>
      </w:r>
      <w:r>
        <w:rPr>
          <w:iCs/>
          <w:i/>
        </w:rPr>
        <w:t xml:space="preserve">r</w:t>
      </w:r>
      <w:r>
        <w:t xml:space="preserve">; the augment</w:t>
      </w:r>
      <w:r>
        <w:t xml:space="preserve"> </w:t>
      </w:r>
      <w:r>
        <w:rPr>
          <w:iCs/>
          <w:i/>
        </w:rPr>
        <w:t xml:space="preserve">aṭ</w:t>
      </w:r>
      <w:r>
        <w:t xml:space="preserve"> </w:t>
      </w:r>
      <w:r>
        <w:t xml:space="preserve">by</w:t>
      </w:r>
      <w:r>
        <w:t xml:space="preserve"> </w:t>
      </w:r>
      <w:r>
        <w:t xml:space="preserve">“</w:t>
      </w:r>
      <w:r>
        <w:t xml:space="preserve">luṅ-laṅ-lṛṅkṣv aḍ udāttaḥ</w:t>
      </w:r>
      <w:r>
        <w:t xml:space="preserve">”</w:t>
      </w:r>
      <w:r>
        <w:t xml:space="preserve"> </w:t>
      </w:r>
      <w:r>
        <w:t xml:space="preserve">(Pā. 6-4-71):</w:t>
      </w:r>
      <w:r>
        <w:t xml:space="preserve"> </w:t>
      </w:r>
      <w:r>
        <w:rPr>
          <w:iCs/>
          <w:i/>
        </w:rPr>
        <w:t xml:space="preserve">avaḥ</w:t>
      </w:r>
      <w:r>
        <w:t xml:space="preserve">.</w:t>
      </w:r>
      <w:r>
        <w:t xml:space="preserve"> </w:t>
      </w:r>
      <w:r>
        <w:rPr>
          <w:bCs/>
          <w:b/>
        </w:rPr>
        <w:t xml:space="preserve">अद्रिवः (</w:t>
      </w:r>
      <w:r>
        <w:rPr>
          <w:iCs/>
          <w:i/>
          <w:bCs/>
          <w:b/>
        </w:rPr>
        <w:t xml:space="preserve">adrivaḥ</w:t>
      </w:r>
      <w:r>
        <w:rPr>
          <w:bCs/>
          <w:b/>
        </w:rPr>
        <w:t xml:space="preserve">)</w:t>
      </w:r>
      <w:r>
        <w:t xml:space="preserve"> </w:t>
      </w:r>
      <w:r>
        <w:t xml:space="preserve">—</w:t>
      </w:r>
      <w:r>
        <w:t xml:space="preserve"> </w:t>
      </w:r>
      <w:r>
        <w:t xml:space="preserve">“</w:t>
      </w:r>
      <w:r>
        <w:t xml:space="preserve">adriḥ asya asti</w:t>
      </w:r>
      <w:r>
        <w:t xml:space="preserve">”</w:t>
      </w:r>
      <w:r>
        <w:t xml:space="preserve">:</w:t>
      </w:r>
      <w:r>
        <w:t xml:space="preserve"> </w:t>
      </w:r>
      <w:r>
        <w:rPr>
          <w:iCs/>
          <w:i/>
        </w:rPr>
        <w:t xml:space="preserve">matup</w:t>
      </w:r>
      <w:r>
        <w:t xml:space="preserve"> </w:t>
      </w:r>
      <w:r>
        <w:t xml:space="preserve">by</w:t>
      </w:r>
      <w:r>
        <w:t xml:space="preserve"> </w:t>
      </w:r>
      <w:r>
        <w:t xml:space="preserve">“</w:t>
      </w:r>
      <w:r>
        <w:t xml:space="preserve">tad asyāsty asminn iti matup</w:t>
      </w:r>
      <w:r>
        <w:t xml:space="preserve">”</w:t>
      </w:r>
      <w:r>
        <w:t xml:space="preserve"> </w:t>
      </w:r>
      <w:r>
        <w:t xml:space="preserve">(Pā. 5-2-94);</w:t>
      </w:r>
      <w:r>
        <w:t xml:space="preserve"> </w:t>
      </w:r>
      <w:r>
        <w:rPr>
          <w:iCs/>
          <w:i/>
        </w:rPr>
        <w:t xml:space="preserve">m</w:t>
      </w:r>
      <w:r>
        <w:t xml:space="preserve"> </w:t>
      </w:r>
      <w:r>
        <w:t xml:space="preserve">→</w:t>
      </w:r>
      <w:r>
        <w:t xml:space="preserve"> </w:t>
      </w:r>
      <w:r>
        <w:rPr>
          <w:iCs/>
          <w:i/>
        </w:rPr>
        <w:t xml:space="preserve">v</w:t>
      </w:r>
      <w:r>
        <w:t xml:space="preserve"> </w:t>
      </w:r>
      <w:r>
        <w:t xml:space="preserve">by</w:t>
      </w:r>
      <w:r>
        <w:t xml:space="preserve"> </w:t>
      </w:r>
      <w:r>
        <w:t xml:space="preserve">“</w:t>
      </w:r>
      <w:r>
        <w:t xml:space="preserve">chandasīraḥ</w:t>
      </w:r>
      <w:r>
        <w:t xml:space="preserve">”</w:t>
      </w:r>
      <w:r>
        <w:t xml:space="preserve"> </w:t>
      </w:r>
      <w:r>
        <w:t xml:space="preserve">(Pā. 8-2-15); vocative singular</w:t>
      </w:r>
      <w:r>
        <w:t xml:space="preserve"> </w:t>
      </w:r>
      <w:r>
        <w:rPr>
          <w:iCs/>
          <w:i/>
        </w:rPr>
        <w:t xml:space="preserve">su</w:t>
      </w:r>
      <w:r>
        <w:t xml:space="preserve">:</w:t>
      </w:r>
      <w:r>
        <w:t xml:space="preserve"> </w:t>
      </w:r>
      <w:r>
        <w:rPr>
          <w:iCs/>
          <w:i/>
        </w:rPr>
        <w:t xml:space="preserve">adrivat</w:t>
      </w:r>
      <w:r>
        <w:t xml:space="preserve"> </w:t>
      </w:r>
      <w:r>
        <w:t xml:space="preserve">+</w:t>
      </w:r>
      <w:r>
        <w:t xml:space="preserve"> </w:t>
      </w:r>
      <w:r>
        <w:rPr>
          <w:iCs/>
          <w:i/>
        </w:rPr>
        <w:t xml:space="preserve">su</w:t>
      </w:r>
      <w:r>
        <w:t xml:space="preserve">;</w:t>
      </w:r>
      <w:r>
        <w:t xml:space="preserve"> </w:t>
      </w:r>
      <w:r>
        <w:rPr>
          <w:iCs/>
          <w:i/>
        </w:rPr>
        <w:t xml:space="preserve">num</w:t>
      </w:r>
      <w:r>
        <w:t xml:space="preserve"> </w:t>
      </w:r>
      <w:r>
        <w:t xml:space="preserve">after the</w:t>
      </w:r>
      <w:r>
        <w:t xml:space="preserve"> </w:t>
      </w:r>
      <w:r>
        <w:rPr>
          <w:iCs/>
          <w:i/>
        </w:rPr>
        <w:t xml:space="preserve">v</w:t>
      </w:r>
      <w:r>
        <w:t xml:space="preserve"> </w:t>
      </w:r>
      <w:r>
        <w:t xml:space="preserve">by</w:t>
      </w:r>
      <w:r>
        <w:t xml:space="preserve"> </w:t>
      </w:r>
      <w:r>
        <w:t xml:space="preserve">“</w:t>
      </w:r>
      <w:r>
        <w:t xml:space="preserve">ugid-acāṃ sarvanāmasthāne ’dhātoḥ</w:t>
      </w:r>
      <w:r>
        <w:t xml:space="preserve">”</w:t>
      </w:r>
      <w:r>
        <w:t xml:space="preserve"> </w:t>
      </w:r>
      <w:r>
        <w:t xml:space="preserve">(Pā. 7-1-70):</w:t>
      </w:r>
      <w:r>
        <w:t xml:space="preserve"> </w:t>
      </w:r>
      <w:r>
        <w:rPr>
          <w:iCs/>
          <w:i/>
        </w:rPr>
        <w:t xml:space="preserve">adrivant</w:t>
      </w:r>
      <w:r>
        <w:t xml:space="preserve"> </w:t>
      </w:r>
      <w:r>
        <w:t xml:space="preserve">+</w:t>
      </w:r>
      <w:r>
        <w:t xml:space="preserve"> </w:t>
      </w:r>
      <w:r>
        <w:rPr>
          <w:iCs/>
          <w:i/>
        </w:rPr>
        <w:t xml:space="preserve">su</w:t>
      </w:r>
      <w:r>
        <w:t xml:space="preserve">;</w:t>
      </w:r>
      <w:r>
        <w:t xml:space="preserve"> </w:t>
      </w:r>
      <w:r>
        <w:rPr>
          <w:iCs/>
          <w:i/>
        </w:rPr>
        <w:t xml:space="preserve">su</w:t>
      </w:r>
      <w:r>
        <w:t xml:space="preserve"> </w:t>
      </w:r>
      <w:r>
        <w:t xml:space="preserve">dropped by</w:t>
      </w:r>
      <w:r>
        <w:t xml:space="preserve"> </w:t>
      </w:r>
      <w:r>
        <w:t xml:space="preserve">“</w:t>
      </w:r>
      <w:r>
        <w:t xml:space="preserve">hal-ṅyābbhyaḥ</w:t>
      </w:r>
      <w:r>
        <w:t xml:space="preserve">”</w:t>
      </w:r>
      <w:r>
        <w:t xml:space="preserve"> </w:t>
      </w:r>
      <w:r>
        <w:t xml:space="preserve">(Pā. 6-1-68); the</w:t>
      </w:r>
      <w:r>
        <w:t xml:space="preserve"> </w:t>
      </w:r>
      <w:r>
        <w:rPr>
          <w:iCs/>
          <w:i/>
        </w:rPr>
        <w:t xml:space="preserve">t</w:t>
      </w:r>
      <w:r>
        <w:t xml:space="preserve"> </w:t>
      </w:r>
      <w:r>
        <w:t xml:space="preserve">dropped by</w:t>
      </w:r>
      <w:r>
        <w:t xml:space="preserve"> </w:t>
      </w:r>
      <w:r>
        <w:t xml:space="preserve">“</w:t>
      </w:r>
      <w:r>
        <w:t xml:space="preserve">saṃyogāntasya lopaḥ</w:t>
      </w:r>
      <w:r>
        <w:t xml:space="preserve">”</w:t>
      </w:r>
      <w:r>
        <w:t xml:space="preserve"> </w:t>
      </w:r>
      <w:r>
        <w:t xml:space="preserve">(Pā. 8-2-23), which by</w:t>
      </w:r>
      <w:r>
        <w:t xml:space="preserve"> </w:t>
      </w:r>
      <w:r>
        <w:t xml:space="preserve">“</w:t>
      </w:r>
      <w:r>
        <w:t xml:space="preserve">pūrvatrāsiddham</w:t>
      </w:r>
      <w:r>
        <w:t xml:space="preserve">”</w:t>
      </w:r>
      <w:r>
        <w:t xml:space="preserve"> </w:t>
      </w:r>
      <w:r>
        <w:t xml:space="preserve">(Pā. 8-2-1) is not effective for the loss of</w:t>
      </w:r>
      <w:r>
        <w:t xml:space="preserve"> </w:t>
      </w:r>
      <w:r>
        <w:rPr>
          <w:iCs/>
          <w:i/>
        </w:rPr>
        <w:t xml:space="preserve">n</w:t>
      </w:r>
      <w:r>
        <w:t xml:space="preserve">, so</w:t>
      </w:r>
      <w:r>
        <w:t xml:space="preserve"> </w:t>
      </w:r>
      <w:r>
        <w:t xml:space="preserve">“</w:t>
      </w:r>
      <w:r>
        <w:t xml:space="preserve">nalopaḥ prātipadikāntasya</w:t>
      </w:r>
      <w:r>
        <w:t xml:space="preserve">”</w:t>
      </w:r>
      <w:r>
        <w:t xml:space="preserve"> </w:t>
      </w:r>
      <w:r>
        <w:t xml:space="preserve">(Pā. 8-2-7) does not apply;</w:t>
      </w:r>
      <w:r>
        <w:t xml:space="preserve"> </w:t>
      </w:r>
      <w:r>
        <w:t xml:space="preserve">“</w:t>
      </w:r>
      <w:r>
        <w:t xml:space="preserve">matuvaso ru saṃbuddhau chandasi</w:t>
      </w:r>
      <w:r>
        <w:t xml:space="preserve">”</w:t>
      </w:r>
      <w:r>
        <w:t xml:space="preserve"> </w:t>
      </w:r>
      <w:r>
        <w:t xml:space="preserve">(Pā. 8-3-1) gives</w:t>
      </w:r>
      <w:r>
        <w:t xml:space="preserve"> </w:t>
      </w:r>
      <w:r>
        <w:rPr>
          <w:iCs/>
          <w:i/>
        </w:rPr>
        <w:t xml:space="preserve">ru</w:t>
      </w:r>
      <w:r>
        <w:t xml:space="preserve"> </w:t>
      </w:r>
      <w:r>
        <w:t xml:space="preserve">for the</w:t>
      </w:r>
      <w:r>
        <w:t xml:space="preserve"> </w:t>
      </w:r>
      <w:r>
        <w:rPr>
          <w:iCs/>
          <w:i/>
        </w:rPr>
        <w:t xml:space="preserve">n</w:t>
      </w:r>
      <w:r>
        <w:t xml:space="preserve">, and</w:t>
      </w:r>
      <w:r>
        <w:t xml:space="preserve"> </w:t>
      </w:r>
      <w:r>
        <w:t xml:space="preserve">“</w:t>
      </w:r>
      <w:r>
        <w:t xml:space="preserve">kharavasānayor visarjanīyaḥ</w:t>
      </w:r>
      <w:r>
        <w:t xml:space="preserve">”</w:t>
      </w:r>
      <w:r>
        <w:t xml:space="preserve"> </w:t>
      </w:r>
      <w:r>
        <w:t xml:space="preserve">(Pā. 8-3-15) the visarga:</w:t>
      </w:r>
      <w:r>
        <w:t xml:space="preserve"> </w:t>
      </w:r>
      <w:r>
        <w:rPr>
          <w:iCs/>
          <w:i/>
        </w:rPr>
        <w:t xml:space="preserve">adrivaḥ</w:t>
      </w:r>
      <w:r>
        <w:t xml:space="preserve">.</w:t>
      </w:r>
      <w:r>
        <w:t xml:space="preserve"> </w:t>
      </w:r>
      <w:r>
        <w:rPr>
          <w:bCs/>
          <w:b/>
        </w:rPr>
        <w:t xml:space="preserve">बिलम् (</w:t>
      </w:r>
      <w:r>
        <w:rPr>
          <w:iCs/>
          <w:i/>
          <w:bCs/>
          <w:b/>
        </w:rPr>
        <w:t xml:space="preserve">bilam</w:t>
      </w:r>
      <w:r>
        <w:rPr>
          <w:bCs/>
          <w:b/>
        </w:rPr>
        <w:t xml:space="preserve">)</w:t>
      </w:r>
      <w:r>
        <w:t xml:space="preserve"> </w:t>
      </w:r>
      <w:r>
        <w:t xml:space="preserve">— initial-udātta by</w:t>
      </w:r>
      <w:r>
        <w:t xml:space="preserve"> </w:t>
      </w:r>
      <w:r>
        <w:t xml:space="preserve">“</w:t>
      </w:r>
      <w:r>
        <w:t xml:space="preserve">nab-viṣayasyānisantasya</w:t>
      </w:r>
      <w:r>
        <w:t xml:space="preserve">”</w:t>
      </w:r>
      <w:r>
        <w:t xml:space="preserve"> </w:t>
      </w:r>
      <w:r>
        <w:t xml:space="preserve">(printed Phiṭ-sū.</w:t>
      </w:r>
      <w:r>
        <w:t xml:space="preserve"> </w:t>
      </w:r>
      <w:r>
        <w:t xml:space="preserve">“</w:t>
      </w:r>
      <w:r>
        <w:t xml:space="preserve">26</w:t>
      </w:r>
      <w:r>
        <w:t xml:space="preserve">”</w:t>
      </w:r>
      <w:r>
        <w:t xml:space="preserve">).</w:t>
      </w:r>
      <w:r>
        <w:t xml:space="preserve"> </w:t>
      </w:r>
      <w:r>
        <w:rPr>
          <w:bCs/>
          <w:b/>
        </w:rPr>
        <w:t xml:space="preserve">अबिभ्युषः (</w:t>
      </w:r>
      <w:r>
        <w:rPr>
          <w:iCs/>
          <w:i/>
          <w:bCs/>
          <w:b/>
        </w:rPr>
        <w:t xml:space="preserve">abibhyuṣaḥ</w:t>
      </w:r>
      <w:r>
        <w:rPr>
          <w:bCs/>
          <w:b/>
        </w:rPr>
        <w:t xml:space="preserve">)</w:t>
      </w:r>
      <w:r>
        <w:t xml:space="preserve"> </w:t>
      </w:r>
      <w:r>
        <w:t xml:space="preserve">— root</w:t>
      </w:r>
      <w:r>
        <w:t xml:space="preserve"> </w:t>
      </w:r>
      <w:r>
        <w:rPr>
          <w:iCs/>
          <w:i/>
        </w:rPr>
        <w:t xml:space="preserve">ñibhī bhaye</w:t>
      </w:r>
      <w:r>
        <w:t xml:space="preserve">;</w:t>
      </w:r>
      <w:r>
        <w:t xml:space="preserve"> </w:t>
      </w:r>
      <w:r>
        <w:rPr>
          <w:iCs/>
          <w:i/>
        </w:rPr>
        <w:t xml:space="preserve">liṭ</w:t>
      </w:r>
      <w:r>
        <w:t xml:space="preserve">; doubling by</w:t>
      </w:r>
      <w:r>
        <w:t xml:space="preserve"> </w:t>
      </w:r>
      <w:r>
        <w:t xml:space="preserve">“</w:t>
      </w:r>
      <w:r>
        <w:t xml:space="preserve">liṭi dhātor anabhyāsasya</w:t>
      </w:r>
      <w:r>
        <w:t xml:space="preserve">”</w:t>
      </w:r>
      <w:r>
        <w:t xml:space="preserve"> </w:t>
      </w:r>
      <w:r>
        <w:t xml:space="preserve">(Pā. 6-1-8):</w:t>
      </w:r>
      <w:r>
        <w:t xml:space="preserve"> </w:t>
      </w:r>
      <w:r>
        <w:rPr>
          <w:iCs/>
          <w:i/>
        </w:rPr>
        <w:t xml:space="preserve">bhī</w:t>
      </w:r>
      <w:r>
        <w:t xml:space="preserve"> </w:t>
      </w:r>
      <w:r>
        <w:t xml:space="preserve">+</w:t>
      </w:r>
      <w:r>
        <w:t xml:space="preserve"> </w:t>
      </w:r>
      <w:r>
        <w:rPr>
          <w:iCs/>
          <w:i/>
        </w:rPr>
        <w:t xml:space="preserve">bhī</w:t>
      </w:r>
      <w:r>
        <w:t xml:space="preserve">; the first shortened by</w:t>
      </w:r>
      <w:r>
        <w:t xml:space="preserve"> </w:t>
      </w:r>
      <w:r>
        <w:t xml:space="preserve">“</w:t>
      </w:r>
      <w:r>
        <w:t xml:space="preserve">hrasvaḥ</w:t>
      </w:r>
      <w:r>
        <w:t xml:space="preserve">”</w:t>
      </w:r>
      <w:r>
        <w:t xml:space="preserve"> </w:t>
      </w:r>
      <w:r>
        <w:t xml:space="preserve">(Pā. 7-4-59);</w:t>
      </w:r>
      <w:r>
        <w:t xml:space="preserve"> </w:t>
      </w:r>
      <w:r>
        <w:rPr>
          <w:iCs/>
          <w:i/>
        </w:rPr>
        <w:t xml:space="preserve">jaś</w:t>
      </w:r>
      <w:r>
        <w:t xml:space="preserve"> </w:t>
      </w:r>
      <w:r>
        <w:t xml:space="preserve">in the reduplicate by</w:t>
      </w:r>
      <w:r>
        <w:t xml:space="preserve"> </w:t>
      </w:r>
      <w:r>
        <w:t xml:space="preserve">“</w:t>
      </w:r>
      <w:r>
        <w:t xml:space="preserve">abhyāse car ca</w:t>
      </w:r>
      <w:r>
        <w:t xml:space="preserve">”</w:t>
      </w:r>
      <w:r>
        <w:t xml:space="preserve"> </w:t>
      </w:r>
      <w:r>
        <w:t xml:space="preserve">(Pā. 8-4-54),</w:t>
      </w:r>
      <w:r>
        <w:t xml:space="preserve"> </w:t>
      </w:r>
      <w:r>
        <w:rPr>
          <w:iCs/>
          <w:i/>
        </w:rPr>
        <w:t xml:space="preserve">bh</w:t>
      </w:r>
      <w:r>
        <w:t xml:space="preserve"> </w:t>
      </w:r>
      <w:r>
        <w:t xml:space="preserve">→</w:t>
      </w:r>
      <w:r>
        <w:t xml:space="preserve"> </w:t>
      </w:r>
      <w:r>
        <w:rPr>
          <w:iCs/>
          <w:i/>
        </w:rPr>
        <w:t xml:space="preserve">b</w:t>
      </w:r>
      <w:r>
        <w:t xml:space="preserve">:</w:t>
      </w:r>
      <w:r>
        <w:t xml:space="preserve"> </w:t>
      </w:r>
      <w:r>
        <w:rPr>
          <w:iCs/>
          <w:i/>
        </w:rPr>
        <w:t xml:space="preserve">bibhī</w:t>
      </w:r>
      <w:r>
        <w:t xml:space="preserve">;</w:t>
      </w:r>
      <w:r>
        <w:t xml:space="preserve"> </w:t>
      </w:r>
      <w:r>
        <w:rPr>
          <w:iCs/>
          <w:i/>
        </w:rPr>
        <w:t xml:space="preserve">parasmaipada</w:t>
      </w:r>
      <w:r>
        <w:t xml:space="preserve"> </w:t>
      </w:r>
      <w:r>
        <w:t xml:space="preserve">by</w:t>
      </w:r>
      <w:r>
        <w:t xml:space="preserve"> </w:t>
      </w:r>
      <w:r>
        <w:t xml:space="preserve">“</w:t>
      </w:r>
      <w:r>
        <w:t xml:space="preserve">śeṣāt kartari parasmaipadam</w:t>
      </w:r>
      <w:r>
        <w:t xml:space="preserve">”</w:t>
      </w:r>
      <w:r>
        <w:t xml:space="preserve"> </w:t>
      </w:r>
      <w:r>
        <w:t xml:space="preserve">(Pā. 1-3-78);</w:t>
      </w:r>
      <w:r>
        <w:t xml:space="preserve"> </w:t>
      </w:r>
      <w:r>
        <w:rPr>
          <w:iCs/>
          <w:i/>
        </w:rPr>
        <w:t xml:space="preserve">liṭ</w:t>
      </w:r>
      <w:r>
        <w:t xml:space="preserve"> </w:t>
      </w:r>
      <w:r>
        <w:t xml:space="preserve">→</w:t>
      </w:r>
      <w:r>
        <w:t xml:space="preserve"> </w:t>
      </w:r>
      <w:r>
        <w:rPr>
          <w:iCs/>
          <w:i/>
        </w:rPr>
        <w:t xml:space="preserve">kvasu</w:t>
      </w:r>
      <w:r>
        <w:t xml:space="preserve"> </w:t>
      </w:r>
      <w:r>
        <w:t xml:space="preserve">by</w:t>
      </w:r>
      <w:r>
        <w:t xml:space="preserve"> </w:t>
      </w:r>
      <w:r>
        <w:t xml:space="preserve">“</w:t>
      </w:r>
      <w:r>
        <w:t xml:space="preserve">kvasuś ca</w:t>
      </w:r>
      <w:r>
        <w:t xml:space="preserve">”</w:t>
      </w:r>
      <w:r>
        <w:t xml:space="preserve"> </w:t>
      </w:r>
      <w:r>
        <w:t xml:space="preserve">(Pā. 3-2-107);</w:t>
      </w:r>
      <w:r>
        <w:t xml:space="preserve"> </w:t>
      </w:r>
      <w:r>
        <w:rPr>
          <w:iCs/>
          <w:i/>
        </w:rPr>
        <w:t xml:space="preserve">kvasu</w:t>
      </w:r>
      <w:r>
        <w:t xml:space="preserve"> </w:t>
      </w:r>
      <w:r>
        <w:t xml:space="preserve">being</w:t>
      </w:r>
      <w:r>
        <w:t xml:space="preserve"> </w:t>
      </w:r>
      <w:r>
        <w:rPr>
          <w:iCs/>
          <w:i/>
        </w:rPr>
        <w:t xml:space="preserve">kit</w:t>
      </w:r>
      <w:r>
        <w:t xml:space="preserve">, no</w:t>
      </w:r>
      <w:r>
        <w:t xml:space="preserve"> </w:t>
      </w:r>
      <w:r>
        <w:rPr>
          <w:iCs/>
          <w:i/>
        </w:rPr>
        <w:t xml:space="preserve">guṇa</w:t>
      </w:r>
      <w:r>
        <w:t xml:space="preserve">:</w:t>
      </w:r>
      <w:r>
        <w:t xml:space="preserve"> </w:t>
      </w:r>
      <w:r>
        <w:rPr>
          <w:iCs/>
          <w:i/>
        </w:rPr>
        <w:t xml:space="preserve">bibhī</w:t>
      </w:r>
      <w:r>
        <w:t xml:space="preserve"> </w:t>
      </w:r>
      <w:r>
        <w:t xml:space="preserve">+</w:t>
      </w:r>
      <w:r>
        <w:t xml:space="preserve"> </w:t>
      </w:r>
      <w:r>
        <w:rPr>
          <w:iCs/>
          <w:i/>
        </w:rPr>
        <w:t xml:space="preserve">vas</w:t>
      </w:r>
      <w:r>
        <w:t xml:space="preserve">;</w:t>
      </w:r>
      <w:r>
        <w:t xml:space="preserve"> </w:t>
      </w:r>
      <w:r>
        <w:rPr>
          <w:iCs/>
          <w:i/>
        </w:rPr>
        <w:t xml:space="preserve">vas</w:t>
      </w:r>
      <w:r>
        <w:t xml:space="preserve"> </w:t>
      </w:r>
      <w:r>
        <w:t xml:space="preserve">is</w:t>
      </w:r>
      <w:r>
        <w:t xml:space="preserve"> </w:t>
      </w:r>
      <w:r>
        <w:rPr>
          <w:iCs/>
          <w:i/>
        </w:rPr>
        <w:t xml:space="preserve">ārdhadhātuka</w:t>
      </w:r>
      <w:r>
        <w:t xml:space="preserve">, so</w:t>
      </w:r>
      <w:r>
        <w:t xml:space="preserve"> </w:t>
      </w:r>
      <w:r>
        <w:rPr>
          <w:iCs/>
          <w:i/>
        </w:rPr>
        <w:t xml:space="preserve">iṭ</w:t>
      </w:r>
      <w:r>
        <w:t xml:space="preserve"> </w:t>
      </w:r>
      <w:r>
        <w:t xml:space="preserve">would come by</w:t>
      </w:r>
      <w:r>
        <w:t xml:space="preserve"> </w:t>
      </w:r>
      <w:r>
        <w:t xml:space="preserve">“</w:t>
      </w:r>
      <w:r>
        <w:t xml:space="preserve">ārdhadhātukasyeḍ valādeḥ</w:t>
      </w:r>
      <w:r>
        <w:t xml:space="preserve">”</w:t>
      </w:r>
      <w:r>
        <w:t xml:space="preserve"> </w:t>
      </w:r>
      <w:r>
        <w:t xml:space="preserve">(Pā. 7-2-35).</w:t>
      </w:r>
    </w:p>
    <w:bookmarkEnd w:id="479"/>
    <w:bookmarkStart w:id="480" w:name="page-468-rik-5-grammar-continued"/>
    <w:p>
      <w:pPr>
        <w:pStyle w:val="Heading3"/>
      </w:pPr>
      <w:r>
        <w:t xml:space="preserve">Page 468 — Rik 5 grammar (continued)</w:t>
      </w:r>
    </w:p>
    <w:p>
      <w:pPr>
        <w:pStyle w:val="FirstParagraph"/>
      </w:pPr>
      <w:r>
        <w:t xml:space="preserve">But</w:t>
      </w:r>
      <w:r>
        <w:t xml:space="preserve"> </w:t>
      </w:r>
      <w:r>
        <w:t xml:space="preserve">“</w:t>
      </w:r>
      <w:r>
        <w:t xml:space="preserve">ekāca upadeśe ’nudāttāt</w:t>
      </w:r>
      <w:r>
        <w:t xml:space="preserve">”</w:t>
      </w:r>
      <w:r>
        <w:t xml:space="preserve"> </w:t>
      </w:r>
      <w:r>
        <w:t xml:space="preserve">(Pā. 7-2-10) bars</w:t>
      </w:r>
      <w:r>
        <w:t xml:space="preserve"> </w:t>
      </w:r>
      <w:r>
        <w:rPr>
          <w:iCs/>
          <w:i/>
        </w:rPr>
        <w:t xml:space="preserve">iṭ</w:t>
      </w:r>
      <w:r>
        <w:t xml:space="preserve"> </w:t>
      </w:r>
      <w:r>
        <w:t xml:space="preserve">before a</w:t>
      </w:r>
      <w:r>
        <w:t xml:space="preserve"> </w:t>
      </w:r>
      <w:r>
        <w:rPr>
          <w:iCs/>
          <w:i/>
        </w:rPr>
        <w:t xml:space="preserve">val</w:t>
      </w:r>
      <w:r>
        <w:t xml:space="preserve">-initial</w:t>
      </w:r>
      <w:r>
        <w:t xml:space="preserve"> </w:t>
      </w:r>
      <w:r>
        <w:rPr>
          <w:iCs/>
          <w:i/>
        </w:rPr>
        <w:t xml:space="preserve">ārdhadhātuka</w:t>
      </w:r>
      <w:r>
        <w:t xml:space="preserve"> </w:t>
      </w:r>
      <w:r>
        <w:t xml:space="preserve">after a root that in the</w:t>
      </w:r>
      <w:r>
        <w:t xml:space="preserve"> </w:t>
      </w:r>
      <w:r>
        <w:rPr>
          <w:iCs/>
          <w:i/>
        </w:rPr>
        <w:t xml:space="preserve">upadeśa</w:t>
      </w:r>
      <w:r>
        <w:t xml:space="preserve"> </w:t>
      </w:r>
      <w:r>
        <w:t xml:space="preserve">is monosyllabic and</w:t>
      </w:r>
      <w:r>
        <w:t xml:space="preserve"> </w:t>
      </w:r>
      <w:r>
        <w:rPr>
          <w:iCs/>
          <w:i/>
        </w:rPr>
        <w:t xml:space="preserve">anudātta</w:t>
      </w:r>
      <w:r>
        <w:t xml:space="preserve">.</w:t>
      </w:r>
      <w:r>
        <w:t xml:space="preserve"> </w:t>
      </w:r>
      <w:r>
        <w:rPr>
          <w:iCs/>
          <w:i/>
        </w:rPr>
        <w:t xml:space="preserve">bhī</w:t>
      </w:r>
      <w:r>
        <w:t xml:space="preserve"> </w:t>
      </w:r>
      <w:r>
        <w:t xml:space="preserve">is monosyllabic; and by the verse</w:t>
      </w:r>
      <w:r>
        <w:t xml:space="preserve"> </w:t>
      </w:r>
      <w:r>
        <w:t xml:space="preserve">“</w:t>
      </w:r>
      <w:r>
        <w:t xml:space="preserve">ūd-ṛdantair yauti-ru-kṣṇu-śīṅ-snu-nu-kṣu-śvi-ḍīṅ-śribhiḥ | vṛṅ-vṛñbhyāṃ ca vinaikāco ’janteṣu nihatāḥ smṛtāḥ ||</w:t>
      </w:r>
      <w:r>
        <w:t xml:space="preserve">”</w:t>
      </w:r>
      <w:r>
        <w:t xml:space="preserve"> </w:t>
      </w:r>
      <w:r>
        <w:t xml:space="preserve">— among vowel-ending roots, all except those ending in</w:t>
      </w:r>
      <w:r>
        <w:t xml:space="preserve"> </w:t>
      </w:r>
      <w:r>
        <w:rPr>
          <w:iCs/>
          <w:i/>
        </w:rPr>
        <w:t xml:space="preserve">ū</w:t>
      </w:r>
      <w:r>
        <w:t xml:space="preserve"> </w:t>
      </w:r>
      <w:r>
        <w:t xml:space="preserve">and</w:t>
      </w:r>
      <w:r>
        <w:t xml:space="preserve"> </w:t>
      </w:r>
      <w:r>
        <w:rPr>
          <w:iCs/>
          <w:i/>
        </w:rPr>
        <w:t xml:space="preserve">ṝ</w:t>
      </w:r>
      <w:r>
        <w:t xml:space="preserve"> </w:t>
      </w:r>
      <w:r>
        <w:t xml:space="preserve">and</w:t>
      </w:r>
      <w:r>
        <w:t xml:space="preserve"> </w:t>
      </w:r>
      <w:r>
        <w:rPr>
          <w:iCs/>
          <w:i/>
        </w:rPr>
        <w:t xml:space="preserve">yu</w:t>
      </w:r>
      <w:r>
        <w:t xml:space="preserve">,</w:t>
      </w:r>
      <w:r>
        <w:t xml:space="preserve"> </w:t>
      </w:r>
      <w:r>
        <w:rPr>
          <w:iCs/>
          <w:i/>
        </w:rPr>
        <w:t xml:space="preserve">ru</w:t>
      </w:r>
      <w:r>
        <w:t xml:space="preserve">,</w:t>
      </w:r>
      <w:r>
        <w:t xml:space="preserve"> </w:t>
      </w:r>
      <w:r>
        <w:rPr>
          <w:iCs/>
          <w:i/>
        </w:rPr>
        <w:t xml:space="preserve">kṣṇu</w:t>
      </w:r>
      <w:r>
        <w:t xml:space="preserve">,</w:t>
      </w:r>
      <w:r>
        <w:t xml:space="preserve"> </w:t>
      </w:r>
      <w:r>
        <w:rPr>
          <w:iCs/>
          <w:i/>
        </w:rPr>
        <w:t xml:space="preserve">śīṅ</w:t>
      </w:r>
      <w:r>
        <w:t xml:space="preserve">,</w:t>
      </w:r>
      <w:r>
        <w:t xml:space="preserve"> </w:t>
      </w:r>
      <w:r>
        <w:rPr>
          <w:iCs/>
          <w:i/>
        </w:rPr>
        <w:t xml:space="preserve">snu</w:t>
      </w:r>
      <w:r>
        <w:t xml:space="preserve">,</w:t>
      </w:r>
      <w:r>
        <w:t xml:space="preserve"> </w:t>
      </w:r>
      <w:r>
        <w:rPr>
          <w:iCs/>
          <w:i/>
        </w:rPr>
        <w:t xml:space="preserve">nu</w:t>
      </w:r>
      <w:r>
        <w:t xml:space="preserve">,</w:t>
      </w:r>
      <w:r>
        <w:t xml:space="preserve"> </w:t>
      </w:r>
      <w:r>
        <w:rPr>
          <w:iCs/>
          <w:i/>
        </w:rPr>
        <w:t xml:space="preserve">kṣu</w:t>
      </w:r>
      <w:r>
        <w:t xml:space="preserve">,</w:t>
      </w:r>
      <w:r>
        <w:t xml:space="preserve"> </w:t>
      </w:r>
      <w:r>
        <w:rPr>
          <w:iCs/>
          <w:i/>
        </w:rPr>
        <w:t xml:space="preserve">śvi</w:t>
      </w:r>
      <w:r>
        <w:t xml:space="preserve">,</w:t>
      </w:r>
      <w:r>
        <w:t xml:space="preserve"> </w:t>
      </w:r>
      <w:r>
        <w:rPr>
          <w:iCs/>
          <w:i/>
        </w:rPr>
        <w:t xml:space="preserve">ḍīṅ</w:t>
      </w:r>
      <w:r>
        <w:t xml:space="preserve">,</w:t>
      </w:r>
      <w:r>
        <w:t xml:space="preserve"> </w:t>
      </w:r>
      <w:r>
        <w:rPr>
          <w:iCs/>
          <w:i/>
        </w:rPr>
        <w:t xml:space="preserve">śri</w:t>
      </w:r>
      <w:r>
        <w:t xml:space="preserve">,</w:t>
      </w:r>
      <w:r>
        <w:t xml:space="preserve"> </w:t>
      </w:r>
      <w:r>
        <w:rPr>
          <w:iCs/>
          <w:i/>
        </w:rPr>
        <w:t xml:space="preserve">vṛṅ</w:t>
      </w:r>
      <w:r>
        <w:t xml:space="preserve">,</w:t>
      </w:r>
      <w:r>
        <w:t xml:space="preserve"> </w:t>
      </w:r>
      <w:r>
        <w:rPr>
          <w:iCs/>
          <w:i/>
        </w:rPr>
        <w:t xml:space="preserve">vṛñ</w:t>
      </w:r>
      <w:r>
        <w:t xml:space="preserve"> </w:t>
      </w:r>
      <w:r>
        <w:t xml:space="preserve">are</w:t>
      </w:r>
      <w:r>
        <w:t xml:space="preserve"> </w:t>
      </w:r>
      <w:r>
        <w:rPr>
          <w:iCs/>
          <w:i/>
        </w:rPr>
        <w:t xml:space="preserve">anudātta</w:t>
      </w:r>
      <w:r>
        <w:t xml:space="preserve"> </w:t>
      </w:r>
      <w:r>
        <w:t xml:space="preserve">—</w:t>
      </w:r>
      <w:r>
        <w:t xml:space="preserve"> </w:t>
      </w:r>
      <w:r>
        <w:rPr>
          <w:iCs/>
          <w:i/>
        </w:rPr>
        <w:t xml:space="preserve">bhī</w:t>
      </w:r>
      <w:r>
        <w:t xml:space="preserve">, not being in the list, is</w:t>
      </w:r>
      <w:r>
        <w:t xml:space="preserve"> </w:t>
      </w:r>
      <w:r>
        <w:rPr>
          <w:iCs/>
          <w:i/>
        </w:rPr>
        <w:t xml:space="preserve">anudātta</w:t>
      </w:r>
      <w:r>
        <w:t xml:space="preserve">, so</w:t>
      </w:r>
      <w:r>
        <w:t xml:space="preserve"> </w:t>
      </w:r>
      <w:r>
        <w:rPr>
          <w:iCs/>
          <w:i/>
        </w:rPr>
        <w:t xml:space="preserve">iṭ</w:t>
      </w:r>
      <w:r>
        <w:t xml:space="preserve"> </w:t>
      </w:r>
      <w:r>
        <w:t xml:space="preserve">is barred for</w:t>
      </w:r>
      <w:r>
        <w:t xml:space="preserve"> </w:t>
      </w:r>
      <w:r>
        <w:rPr>
          <w:iCs/>
          <w:i/>
        </w:rPr>
        <w:t xml:space="preserve">vas</w:t>
      </w:r>
      <w:r>
        <w:t xml:space="preserve">. Then the</w:t>
      </w:r>
      <w:r>
        <w:t xml:space="preserve"> </w:t>
      </w:r>
      <w:r>
        <w:rPr>
          <w:iCs/>
          <w:i/>
        </w:rPr>
        <w:t xml:space="preserve">krādi</w:t>
      </w:r>
      <w:r>
        <w:t xml:space="preserve"> </w:t>
      </w:r>
      <w:r>
        <w:t xml:space="preserve">restriction makes</w:t>
      </w:r>
      <w:r>
        <w:t xml:space="preserve"> </w:t>
      </w:r>
      <w:r>
        <w:rPr>
          <w:iCs/>
          <w:i/>
        </w:rPr>
        <w:t xml:space="preserve">iṭ</w:t>
      </w:r>
      <w:r>
        <w:t xml:space="preserve"> </w:t>
      </w:r>
      <w:r>
        <w:t xml:space="preserve">arise again:</w:t>
      </w:r>
      <w:r>
        <w:t xml:space="preserve"> </w:t>
      </w:r>
      <w:r>
        <w:t xml:space="preserve">“</w:t>
      </w:r>
      <w:r>
        <w:t xml:space="preserve">kṛ-sṛ-bhṛ-vṛ-stu-dru-sru-śruvo liṭi</w:t>
      </w:r>
      <w:r>
        <w:t xml:space="preserve">”</w:t>
      </w:r>
      <w:r>
        <w:t xml:space="preserve"> </w:t>
      </w:r>
      <w:r>
        <w:t xml:space="preserve">(Pā. 7-2-13) bars</w:t>
      </w:r>
      <w:r>
        <w:t xml:space="preserve"> </w:t>
      </w:r>
      <w:r>
        <w:rPr>
          <w:iCs/>
          <w:i/>
        </w:rPr>
        <w:t xml:space="preserve">iṭ</w:t>
      </w:r>
      <w:r>
        <w:t xml:space="preserve"> </w:t>
      </w:r>
      <w:r>
        <w:t xml:space="preserve">before</w:t>
      </w:r>
      <w:r>
        <w:t xml:space="preserve"> </w:t>
      </w:r>
      <w:r>
        <w:rPr>
          <w:iCs/>
          <w:i/>
        </w:rPr>
        <w:t xml:space="preserve">liṭ</w:t>
      </w:r>
      <w:r>
        <w:t xml:space="preserve"> </w:t>
      </w:r>
      <w:r>
        <w:t xml:space="preserve">after these roots. For</w:t>
      </w:r>
      <w:r>
        <w:t xml:space="preserve"> </w:t>
      </w:r>
      <w:r>
        <w:rPr>
          <w:iCs/>
          <w:i/>
        </w:rPr>
        <w:t xml:space="preserve">kṛ</w:t>
      </w:r>
      <w:r>
        <w:t xml:space="preserve">,</w:t>
      </w:r>
      <w:r>
        <w:t xml:space="preserve"> </w:t>
      </w:r>
      <w:r>
        <w:rPr>
          <w:iCs/>
          <w:i/>
        </w:rPr>
        <w:t xml:space="preserve">sṛ</w:t>
      </w:r>
      <w:r>
        <w:t xml:space="preserve">,</w:t>
      </w:r>
      <w:r>
        <w:t xml:space="preserve"> </w:t>
      </w:r>
      <w:r>
        <w:rPr>
          <w:iCs/>
          <w:i/>
        </w:rPr>
        <w:t xml:space="preserve">bhṛ</w:t>
      </w:r>
      <w:r>
        <w:t xml:space="preserve">, monosyllabic and</w:t>
      </w:r>
      <w:r>
        <w:t xml:space="preserve"> </w:t>
      </w:r>
      <w:r>
        <w:rPr>
          <w:iCs/>
          <w:i/>
        </w:rPr>
        <w:t xml:space="preserve">anudātta</w:t>
      </w:r>
      <w:r>
        <w:t xml:space="preserve">, the bar already follows from 7-2-10;</w:t>
      </w:r>
      <w:r>
        <w:t xml:space="preserve"> </w:t>
      </w:r>
      <w:r>
        <w:rPr>
          <w:iCs/>
          <w:i/>
        </w:rPr>
        <w:t xml:space="preserve">vṛ</w:t>
      </w:r>
      <w:r>
        <w:t xml:space="preserve"> </w:t>
      </w:r>
      <w:r>
        <w:t xml:space="preserve">is in the verse and so not</w:t>
      </w:r>
      <w:r>
        <w:t xml:space="preserve"> </w:t>
      </w:r>
      <w:r>
        <w:rPr>
          <w:iCs/>
          <w:i/>
        </w:rPr>
        <w:t xml:space="preserve">anudātta</w:t>
      </w:r>
      <w:r>
        <w:t xml:space="preserve">, but being monosyllabic and</w:t>
      </w:r>
      <w:r>
        <w:t xml:space="preserve"> </w:t>
      </w:r>
      <w:r>
        <w:rPr>
          <w:iCs/>
          <w:i/>
        </w:rPr>
        <w:t xml:space="preserve">u</w:t>
      </w:r>
      <w:r>
        <w:t xml:space="preserve">-ending (</w:t>
      </w:r>
      <w:r>
        <w:rPr>
          <w:iCs/>
          <w:i/>
        </w:rPr>
        <w:t xml:space="preserve">uk</w:t>
      </w:r>
      <w:r>
        <w:t xml:space="preserve">) it is barred by</w:t>
      </w:r>
      <w:r>
        <w:t xml:space="preserve"> </w:t>
      </w:r>
      <w:r>
        <w:t xml:space="preserve">“</w:t>
      </w:r>
      <w:r>
        <w:t xml:space="preserve">śryukaḥ kiti</w:t>
      </w:r>
      <w:r>
        <w:t xml:space="preserve">”</w:t>
      </w:r>
      <w:r>
        <w:t xml:space="preserve"> </w:t>
      </w:r>
      <w:r>
        <w:t xml:space="preserve">(Pā. 7-2-11); so naming them in 7-2-13 would be useless, and by the maxim</w:t>
      </w:r>
      <w:r>
        <w:t xml:space="preserve"> </w:t>
      </w:r>
      <w:r>
        <w:t xml:space="preserve">“</w:t>
      </w:r>
      <w:r>
        <w:t xml:space="preserve">siddhe saty ārabhyamāṇo vidhir niyamāya bhavati</w:t>
      </w:r>
      <w:r>
        <w:t xml:space="preserve">”</w:t>
      </w:r>
      <w:r>
        <w:t xml:space="preserve"> </w:t>
      </w:r>
      <w:r>
        <w:t xml:space="preserve">the sūtra is a restriction: the bars of</w:t>
      </w:r>
      <w:r>
        <w:t xml:space="preserve"> </w:t>
      </w:r>
      <w:r>
        <w:rPr>
          <w:iCs/>
          <w:i/>
        </w:rPr>
        <w:t xml:space="preserve">iṭ</w:t>
      </w:r>
      <w:r>
        <w:t xml:space="preserve"> </w:t>
      </w:r>
      <w:r>
        <w:t xml:space="preserve">before</w:t>
      </w:r>
      <w:r>
        <w:t xml:space="preserve"> </w:t>
      </w:r>
      <w:r>
        <w:rPr>
          <w:iCs/>
          <w:i/>
        </w:rPr>
        <w:t xml:space="preserve">liṭ</w:t>
      </w:r>
      <w:r>
        <w:t xml:space="preserve">, whether depending on the root (</w:t>
      </w:r>
      <w:r>
        <w:rPr>
          <w:iCs/>
          <w:i/>
        </w:rPr>
        <w:t xml:space="preserve">prakṛtyāśraya</w:t>
      </w:r>
      <w:r>
        <w:t xml:space="preserve">, as</w:t>
      </w:r>
      <w:r>
        <w:t xml:space="preserve"> </w:t>
      </w:r>
      <w:r>
        <w:rPr>
          <w:iCs/>
          <w:i/>
        </w:rPr>
        <w:t xml:space="preserve">ekācaḥ</w:t>
      </w:r>
      <w:r>
        <w:t xml:space="preserve">) or on the suffix (</w:t>
      </w:r>
      <w:r>
        <w:rPr>
          <w:iCs/>
          <w:i/>
        </w:rPr>
        <w:t xml:space="preserve">pratyayāśraya</w:t>
      </w:r>
      <w:r>
        <w:t xml:space="preserve">, as</w:t>
      </w:r>
      <w:r>
        <w:t xml:space="preserve"> </w:t>
      </w:r>
      <w:r>
        <w:rPr>
          <w:iCs/>
          <w:i/>
        </w:rPr>
        <w:t xml:space="preserve">śryukaḥ kiti</w:t>
      </w:r>
      <w:r>
        <w:t xml:space="preserve">), apply only after</w:t>
      </w:r>
      <w:r>
        <w:t xml:space="preserve"> </w:t>
      </w:r>
      <w:r>
        <w:rPr>
          <w:iCs/>
          <w:i/>
        </w:rPr>
        <w:t xml:space="preserve">kṛ</w:t>
      </w:r>
      <w:r>
        <w:t xml:space="preserve">,</w:t>
      </w:r>
      <w:r>
        <w:t xml:space="preserve"> </w:t>
      </w:r>
      <w:r>
        <w:rPr>
          <w:iCs/>
          <w:i/>
        </w:rPr>
        <w:t xml:space="preserve">sṛ</w:t>
      </w:r>
      <w:r>
        <w:t xml:space="preserve">,</w:t>
      </w:r>
      <w:r>
        <w:t xml:space="preserve"> </w:t>
      </w:r>
      <w:r>
        <w:rPr>
          <w:iCs/>
          <w:i/>
        </w:rPr>
        <w:t xml:space="preserve">bhṛ</w:t>
      </w:r>
      <w:r>
        <w:t xml:space="preserve">,</w:t>
      </w:r>
      <w:r>
        <w:t xml:space="preserve"> </w:t>
      </w:r>
      <w:r>
        <w:rPr>
          <w:iCs/>
          <w:i/>
        </w:rPr>
        <w:t xml:space="preserve">vṛ</w:t>
      </w:r>
      <w:r>
        <w:t xml:space="preserve">; after other roots neither bar applies.</w:t>
      </w:r>
      <w:r>
        <w:t xml:space="preserve"> </w:t>
      </w:r>
      <w:r>
        <w:rPr>
          <w:iCs/>
          <w:i/>
        </w:rPr>
        <w:t xml:space="preserve">stu</w:t>
      </w:r>
      <w:r>
        <w:t xml:space="preserve">,</w:t>
      </w:r>
      <w:r>
        <w:t xml:space="preserve"> </w:t>
      </w:r>
      <w:r>
        <w:rPr>
          <w:iCs/>
          <w:i/>
        </w:rPr>
        <w:t xml:space="preserve">dru</w:t>
      </w:r>
      <w:r>
        <w:t xml:space="preserve">,</w:t>
      </w:r>
      <w:r>
        <w:t xml:space="preserve"> </w:t>
      </w:r>
      <w:r>
        <w:rPr>
          <w:iCs/>
          <w:i/>
        </w:rPr>
        <w:t xml:space="preserve">sru</w:t>
      </w:r>
      <w:r>
        <w:t xml:space="preserve">,</w:t>
      </w:r>
      <w:r>
        <w:t xml:space="preserve"> </w:t>
      </w:r>
      <w:r>
        <w:rPr>
          <w:iCs/>
          <w:i/>
        </w:rPr>
        <w:t xml:space="preserve">śru</w:t>
      </w:r>
      <w:r>
        <w:t xml:space="preserve"> </w:t>
      </w:r>
      <w:r>
        <w:t xml:space="preserve">are</w:t>
      </w:r>
      <w:r>
        <w:t xml:space="preserve"> </w:t>
      </w:r>
      <w:r>
        <w:rPr>
          <w:iCs/>
          <w:i/>
        </w:rPr>
        <w:t xml:space="preserve">u</w:t>
      </w:r>
      <w:r>
        <w:t xml:space="preserve">-ending; by</w:t>
      </w:r>
      <w:r>
        <w:t xml:space="preserve"> </w:t>
      </w:r>
      <w:r>
        <w:t xml:space="preserve">“</w:t>
      </w:r>
      <w:r>
        <w:t xml:space="preserve">ṛto bhāradvājasya</w:t>
      </w:r>
      <w:r>
        <w:t xml:space="preserve">”</w:t>
      </w:r>
      <w:r>
        <w:t xml:space="preserve"> </w:t>
      </w:r>
      <w:r>
        <w:t xml:space="preserve">(Pā. 7-2-63), in Bhāradvāja’s view the bar of</w:t>
      </w:r>
      <w:r>
        <w:t xml:space="preserve"> </w:t>
      </w:r>
      <w:r>
        <w:rPr>
          <w:iCs/>
          <w:i/>
        </w:rPr>
        <w:t xml:space="preserve">iṭ</w:t>
      </w:r>
      <w:r>
        <w:t xml:space="preserve"> </w:t>
      </w:r>
      <w:r>
        <w:t xml:space="preserve">before</w:t>
      </w:r>
      <w:r>
        <w:t xml:space="preserve"> </w:t>
      </w:r>
      <w:r>
        <w:rPr>
          <w:iCs/>
          <w:i/>
        </w:rPr>
        <w:t xml:space="preserve">thal</w:t>
      </w:r>
      <w:r>
        <w:t xml:space="preserve"> </w:t>
      </w:r>
      <w:r>
        <w:t xml:space="preserve">applies only to</w:t>
      </w:r>
      <w:r>
        <w:t xml:space="preserve"> </w:t>
      </w:r>
      <w:r>
        <w:rPr>
          <w:iCs/>
          <w:i/>
        </w:rPr>
        <w:t xml:space="preserve">ṛ</w:t>
      </w:r>
      <w:r>
        <w:t xml:space="preserve">-ending roots among those always</w:t>
      </w:r>
      <w:r>
        <w:t xml:space="preserve"> </w:t>
      </w:r>
      <w:r>
        <w:rPr>
          <w:iCs/>
          <w:i/>
        </w:rPr>
        <w:t xml:space="preserve">aniṭ</w:t>
      </w:r>
      <w:r>
        <w:t xml:space="preserve"> </w:t>
      </w:r>
      <w:r>
        <w:t xml:space="preserve">before</w:t>
      </w:r>
      <w:r>
        <w:t xml:space="preserve"> </w:t>
      </w:r>
      <w:r>
        <w:rPr>
          <w:iCs/>
          <w:i/>
        </w:rPr>
        <w:t xml:space="preserve">tās</w:t>
      </w:r>
      <w:r>
        <w:t xml:space="preserve">, so after</w:t>
      </w:r>
      <w:r>
        <w:t xml:space="preserve"> </w:t>
      </w:r>
      <w:r>
        <w:rPr>
          <w:iCs/>
          <w:i/>
        </w:rPr>
        <w:t xml:space="preserve">stu</w:t>
      </w:r>
      <w:r>
        <w:t xml:space="preserve"> </w:t>
      </w:r>
      <w:r>
        <w:t xml:space="preserve">etc.</w:t>
      </w:r>
      <w:r>
        <w:t xml:space="preserve"> </w:t>
      </w:r>
      <w:r>
        <w:rPr>
          <w:iCs/>
          <w:i/>
        </w:rPr>
        <w:t xml:space="preserve">iṭ</w:t>
      </w:r>
      <w:r>
        <w:t xml:space="preserve"> </w:t>
      </w:r>
      <w:r>
        <w:t xml:space="preserve">would arise before</w:t>
      </w:r>
      <w:r>
        <w:t xml:space="preserve"> </w:t>
      </w:r>
      <w:r>
        <w:rPr>
          <w:iCs/>
          <w:i/>
        </w:rPr>
        <w:t xml:space="preserve">thal</w:t>
      </w:r>
      <w:r>
        <w:t xml:space="preserve">; naming</w:t>
      </w:r>
      <w:r>
        <w:t xml:space="preserve"> </w:t>
      </w:r>
      <w:r>
        <w:rPr>
          <w:iCs/>
          <w:i/>
        </w:rPr>
        <w:t xml:space="preserve">stu</w:t>
      </w:r>
      <w:r>
        <w:t xml:space="preserve"> </w:t>
      </w:r>
      <w:r>
        <w:t xml:space="preserve">etc. is needed both for that bar and for the bar before</w:t>
      </w:r>
      <w:r>
        <w:t xml:space="preserve"> </w:t>
      </w:r>
      <w:r>
        <w:rPr>
          <w:iCs/>
          <w:i/>
        </w:rPr>
        <w:t xml:space="preserve">va</w:t>
      </w:r>
      <w:r>
        <w:t xml:space="preserve">,</w:t>
      </w:r>
      <w:r>
        <w:t xml:space="preserve"> </w:t>
      </w:r>
      <w:r>
        <w:rPr>
          <w:iCs/>
          <w:i/>
        </w:rPr>
        <w:t xml:space="preserve">ma</w:t>
      </w:r>
      <w:r>
        <w:t xml:space="preserve"> </w:t>
      </w:r>
      <w:r>
        <w:t xml:space="preserve">and the like that the</w:t>
      </w:r>
      <w:r>
        <w:t xml:space="preserve"> </w:t>
      </w:r>
      <w:r>
        <w:rPr>
          <w:iCs/>
          <w:i/>
        </w:rPr>
        <w:t xml:space="preserve">krādi</w:t>
      </w:r>
      <w:r>
        <w:t xml:space="preserve"> </w:t>
      </w:r>
      <w:r>
        <w:t xml:space="preserve">restriction would otherwise produce;</w:t>
      </w:r>
    </w:p>
    <w:bookmarkEnd w:id="480"/>
    <w:bookmarkStart w:id="481" w:name="page-469-rik-5-grammar-continued"/>
    <w:p>
      <w:pPr>
        <w:pStyle w:val="Heading3"/>
      </w:pPr>
      <w:r>
        <w:t xml:space="preserve">Page 469 — Rik 5 grammar (continued)</w:t>
      </w:r>
    </w:p>
    <w:p>
      <w:pPr>
        <w:pStyle w:val="FirstParagraph"/>
      </w:pPr>
      <w:r>
        <w:t xml:space="preserve">so they have a prescriptive role, and by the maxim</w:t>
      </w:r>
      <w:r>
        <w:t xml:space="preserve"> </w:t>
      </w:r>
      <w:r>
        <w:t xml:space="preserve">“</w:t>
      </w:r>
      <w:r>
        <w:t xml:space="preserve">vidhi-niyama-saṃbhave vidhir eva jyāyān</w:t>
      </w:r>
      <w:r>
        <w:t xml:space="preserve">”</w:t>
      </w:r>
      <w:r>
        <w:t xml:space="preserve"> </w:t>
      </w:r>
      <w:r>
        <w:t xml:space="preserve">the four roots</w:t>
      </w:r>
      <w:r>
        <w:t xml:space="preserve"> </w:t>
      </w:r>
      <w:r>
        <w:rPr>
          <w:iCs/>
          <w:i/>
        </w:rPr>
        <w:t xml:space="preserve">stu</w:t>
      </w:r>
      <w:r>
        <w:t xml:space="preserve"> </w:t>
      </w:r>
      <w:r>
        <w:t xml:space="preserve">etc. are taken as prescriptive, not restrictive. Thus by the</w:t>
      </w:r>
      <w:r>
        <w:t xml:space="preserve"> </w:t>
      </w:r>
      <w:r>
        <w:rPr>
          <w:iCs/>
          <w:i/>
        </w:rPr>
        <w:t xml:space="preserve">krādi</w:t>
      </w:r>
      <w:r>
        <w:t xml:space="preserve"> </w:t>
      </w:r>
      <w:r>
        <w:t xml:space="preserve">restriction</w:t>
      </w:r>
      <w:r>
        <w:t xml:space="preserve"> </w:t>
      </w:r>
      <w:r>
        <w:rPr>
          <w:iCs/>
          <w:i/>
        </w:rPr>
        <w:t xml:space="preserve">iṭ</w:t>
      </w:r>
      <w:r>
        <w:t xml:space="preserve"> </w:t>
      </w:r>
      <w:r>
        <w:t xml:space="preserve">is not barred for the</w:t>
      </w:r>
      <w:r>
        <w:t xml:space="preserve"> </w:t>
      </w:r>
      <w:r>
        <w:rPr>
          <w:iCs/>
          <w:i/>
        </w:rPr>
        <w:t xml:space="preserve">vas</w:t>
      </w:r>
      <w:r>
        <w:t xml:space="preserve"> </w:t>
      </w:r>
      <w:r>
        <w:t xml:space="preserve">(of</w:t>
      </w:r>
      <w:r>
        <w:t xml:space="preserve"> </w:t>
      </w:r>
      <w:r>
        <w:rPr>
          <w:iCs/>
          <w:i/>
        </w:rPr>
        <w:t xml:space="preserve">liṭ</w:t>
      </w:r>
      <w:r>
        <w:t xml:space="preserve">) after</w:t>
      </w:r>
      <w:r>
        <w:t xml:space="preserve"> </w:t>
      </w:r>
      <w:r>
        <w:rPr>
          <w:iCs/>
          <w:i/>
        </w:rPr>
        <w:t xml:space="preserve">bhī</w:t>
      </w:r>
      <w:r>
        <w:t xml:space="preserve">, which is outside the</w:t>
      </w:r>
      <w:r>
        <w:t xml:space="preserve"> </w:t>
      </w:r>
      <w:r>
        <w:rPr>
          <w:iCs/>
          <w:i/>
        </w:rPr>
        <w:t xml:space="preserve">krādi</w:t>
      </w:r>
      <w:r>
        <w:t xml:space="preserve"> </w:t>
      </w:r>
      <w:r>
        <w:t xml:space="preserve">list, and</w:t>
      </w:r>
      <w:r>
        <w:t xml:space="preserve"> </w:t>
      </w:r>
      <w:r>
        <w:rPr>
          <w:iCs/>
          <w:i/>
        </w:rPr>
        <w:t xml:space="preserve">iṭ</w:t>
      </w:r>
      <w:r>
        <w:t xml:space="preserve"> </w:t>
      </w:r>
      <w:r>
        <w:t xml:space="preserve">would arise; it is withdrawn by the restriction</w:t>
      </w:r>
      <w:r>
        <w:t xml:space="preserve"> </w:t>
      </w:r>
      <w:r>
        <w:t xml:space="preserve">“</w:t>
      </w:r>
      <w:r>
        <w:t xml:space="preserve">vasv-ekāj-ād-ghasām</w:t>
      </w:r>
      <w:r>
        <w:t xml:space="preserve">”</w:t>
      </w:r>
      <w:r>
        <w:t xml:space="preserve"> </w:t>
      </w:r>
      <w:r>
        <w:t xml:space="preserve">(Pā. 7-2-67):</w:t>
      </w:r>
      <w:r>
        <w:t xml:space="preserve"> </w:t>
      </w:r>
      <w:r>
        <w:rPr>
          <w:iCs/>
          <w:i/>
        </w:rPr>
        <w:t xml:space="preserve">iṭ</w:t>
      </w:r>
      <w:r>
        <w:t xml:space="preserve"> </w:t>
      </w:r>
      <w:r>
        <w:t xml:space="preserve">comes before</w:t>
      </w:r>
      <w:r>
        <w:t xml:space="preserve"> </w:t>
      </w:r>
      <w:r>
        <w:rPr>
          <w:iCs/>
          <w:i/>
        </w:rPr>
        <w:t xml:space="preserve">vas</w:t>
      </w:r>
      <w:r>
        <w:t xml:space="preserve"> </w:t>
      </w:r>
      <w:r>
        <w:t xml:space="preserve">only after roots monosyllabic after reduplication, roots ending in</w:t>
      </w:r>
      <w:r>
        <w:t xml:space="preserve"> </w:t>
      </w:r>
      <w:r>
        <w:rPr>
          <w:iCs/>
          <w:i/>
        </w:rPr>
        <w:t xml:space="preserve">ā</w:t>
      </w:r>
      <w:r>
        <w:t xml:space="preserve">, and</w:t>
      </w:r>
      <w:r>
        <w:t xml:space="preserve"> </w:t>
      </w:r>
      <w:r>
        <w:rPr>
          <w:iCs/>
          <w:i/>
        </w:rPr>
        <w:t xml:space="preserve">ghas</w:t>
      </w:r>
      <w:r>
        <w:t xml:space="preserve">.</w:t>
      </w:r>
      <w:r>
        <w:t xml:space="preserve"> </w:t>
      </w:r>
      <w:r>
        <w:rPr>
          <w:iCs/>
          <w:i/>
        </w:rPr>
        <w:t xml:space="preserve">vas</w:t>
      </w:r>
      <w:r>
        <w:t xml:space="preserve"> </w:t>
      </w:r>
      <w:r>
        <w:t xml:space="preserve">is a</w:t>
      </w:r>
      <w:r>
        <w:t xml:space="preserve"> </w:t>
      </w:r>
      <w:r>
        <w:rPr>
          <w:iCs/>
          <w:i/>
        </w:rPr>
        <w:t xml:space="preserve">kṛt</w:t>
      </w:r>
      <w:r>
        <w:t xml:space="preserve"> </w:t>
      </w:r>
      <w:r>
        <w:t xml:space="preserve">beginning with</w:t>
      </w:r>
      <w:r>
        <w:t xml:space="preserve"> </w:t>
      </w:r>
      <w:r>
        <w:rPr>
          <w:iCs/>
          <w:i/>
        </w:rPr>
        <w:t xml:space="preserve">vaś</w:t>
      </w:r>
      <w:r>
        <w:t xml:space="preserve">, so</w:t>
      </w:r>
      <w:r>
        <w:t xml:space="preserve"> </w:t>
      </w:r>
      <w:r>
        <w:t xml:space="preserve">“</w:t>
      </w:r>
      <w:r>
        <w:t xml:space="preserve">neḍ vaśi kṛti</w:t>
      </w:r>
      <w:r>
        <w:t xml:space="preserve">”</w:t>
      </w:r>
      <w:r>
        <w:t xml:space="preserve"> </w:t>
      </w:r>
      <w:r>
        <w:t xml:space="preserve">(Pā. 7-2-8) would bar</w:t>
      </w:r>
      <w:r>
        <w:t xml:space="preserve"> </w:t>
      </w:r>
      <w:r>
        <w:rPr>
          <w:iCs/>
          <w:i/>
        </w:rPr>
        <w:t xml:space="preserve">iṭ</w:t>
      </w:r>
      <w:r>
        <w:t xml:space="preserve">, and the</w:t>
      </w:r>
      <w:r>
        <w:t xml:space="preserve"> </w:t>
      </w:r>
      <w:r>
        <w:rPr>
          <w:iCs/>
          <w:i/>
        </w:rPr>
        <w:t xml:space="preserve">krādi</w:t>
      </w:r>
      <w:r>
        <w:t xml:space="preserve"> </w:t>
      </w:r>
      <w:r>
        <w:t xml:space="preserve">restriction would give it; giving</w:t>
      </w:r>
      <w:r>
        <w:t xml:space="preserve"> </w:t>
      </w:r>
      <w:r>
        <w:rPr>
          <w:iCs/>
          <w:i/>
        </w:rPr>
        <w:t xml:space="preserve">iṭ</w:t>
      </w:r>
      <w:r>
        <w:t xml:space="preserve"> </w:t>
      </w:r>
      <w:r>
        <w:t xml:space="preserve">again is for restriction — only after those roots does</w:t>
      </w:r>
      <w:r>
        <w:t xml:space="preserve"> </w:t>
      </w:r>
      <w:r>
        <w:rPr>
          <w:iCs/>
          <w:i/>
        </w:rPr>
        <w:t xml:space="preserve">vas</w:t>
      </w:r>
      <w:r>
        <w:t xml:space="preserve"> </w:t>
      </w:r>
      <w:r>
        <w:t xml:space="preserve">take</w:t>
      </w:r>
      <w:r>
        <w:t xml:space="preserve"> </w:t>
      </w:r>
      <w:r>
        <w:rPr>
          <w:iCs/>
          <w:i/>
        </w:rPr>
        <w:t xml:space="preserve">iṭ</w:t>
      </w:r>
      <w:r>
        <w:t xml:space="preserve">, not after others; so after</w:t>
      </w:r>
      <w:r>
        <w:t xml:space="preserve"> </w:t>
      </w:r>
      <w:r>
        <w:rPr>
          <w:iCs/>
          <w:i/>
        </w:rPr>
        <w:t xml:space="preserve">bibhī</w:t>
      </w:r>
      <w:r>
        <w:t xml:space="preserve">, which is not among them,</w:t>
      </w:r>
      <w:r>
        <w:t xml:space="preserve"> </w:t>
      </w:r>
      <w:r>
        <w:rPr>
          <w:iCs/>
          <w:i/>
        </w:rPr>
        <w:t xml:space="preserve">vas</w:t>
      </w:r>
      <w:r>
        <w:t xml:space="preserve"> </w:t>
      </w:r>
      <w:r>
        <w:t xml:space="preserve">takes no</w:t>
      </w:r>
      <w:r>
        <w:t xml:space="preserve"> </w:t>
      </w:r>
      <w:r>
        <w:rPr>
          <w:iCs/>
          <w:i/>
        </w:rPr>
        <w:t xml:space="preserve">iṭ</w:t>
      </w:r>
      <w:r>
        <w:t xml:space="preserve">.</w:t>
      </w:r>
      <w:r>
        <w:t xml:space="preserve"> </w:t>
      </w:r>
      <w:r>
        <w:rPr>
          <w:iCs/>
          <w:i/>
        </w:rPr>
        <w:t xml:space="preserve">bibhīvas</w:t>
      </w:r>
      <w:r>
        <w:t xml:space="preserve"> </w:t>
      </w:r>
      <w:r>
        <w:t xml:space="preserve">+</w:t>
      </w:r>
      <w:r>
        <w:t xml:space="preserve"> </w:t>
      </w:r>
      <w:r>
        <w:rPr>
          <w:iCs/>
          <w:i/>
        </w:rPr>
        <w:t xml:space="preserve">jas</w:t>
      </w:r>
      <w:r>
        <w:t xml:space="preserve">: though</w:t>
      </w:r>
      <w:r>
        <w:t xml:space="preserve"> </w:t>
      </w:r>
      <w:r>
        <w:rPr>
          <w:iCs/>
          <w:i/>
        </w:rPr>
        <w:t xml:space="preserve">jas</w:t>
      </w:r>
      <w:r>
        <w:t xml:space="preserve"> </w:t>
      </w:r>
      <w:r>
        <w:t xml:space="preserve">is a</w:t>
      </w:r>
      <w:r>
        <w:t xml:space="preserve"> </w:t>
      </w:r>
      <w:r>
        <w:rPr>
          <w:iCs/>
          <w:i/>
        </w:rPr>
        <w:t xml:space="preserve">sarvanāmasthāna</w:t>
      </w:r>
      <w:r>
        <w:t xml:space="preserve">, by Vedic exception</w:t>
      </w:r>
      <w:r>
        <w:t xml:space="preserve"> </w:t>
      </w:r>
      <w:r>
        <w:rPr>
          <w:iCs/>
          <w:i/>
        </w:rPr>
        <w:t xml:space="preserve">bibhīvas</w:t>
      </w:r>
      <w:r>
        <w:t xml:space="preserve"> </w:t>
      </w:r>
      <w:r>
        <w:t xml:space="preserve">is treated as</w:t>
      </w:r>
      <w:r>
        <w:t xml:space="preserve"> </w:t>
      </w:r>
      <w:r>
        <w:rPr>
          <w:iCs/>
          <w:i/>
        </w:rPr>
        <w:t xml:space="preserve">bha</w:t>
      </w:r>
      <w:r>
        <w:t xml:space="preserve">;</w:t>
      </w:r>
      <w:r>
        <w:t xml:space="preserve"> </w:t>
      </w:r>
      <w:r>
        <w:rPr>
          <w:iCs/>
          <w:i/>
        </w:rPr>
        <w:t xml:space="preserve">samprasāraṇa</w:t>
      </w:r>
      <w:r>
        <w:t xml:space="preserve"> </w:t>
      </w:r>
      <w:r>
        <w:t xml:space="preserve">by</w:t>
      </w:r>
      <w:r>
        <w:t xml:space="preserve"> </w:t>
      </w:r>
      <w:r>
        <w:t xml:space="preserve">“</w:t>
      </w:r>
      <w:r>
        <w:t xml:space="preserve">vasoḥ samprasāraṇam</w:t>
      </w:r>
      <w:r>
        <w:t xml:space="preserve">”</w:t>
      </w:r>
      <w:r>
        <w:t xml:space="preserve"> </w:t>
      </w:r>
      <w:r>
        <w:t xml:space="preserve">(Pā. 6-4-131) and</w:t>
      </w:r>
      <w:r>
        <w:t xml:space="preserve"> </w:t>
      </w:r>
      <w:r>
        <w:rPr>
          <w:iCs/>
          <w:i/>
        </w:rPr>
        <w:t xml:space="preserve">pūrvarūpa</w:t>
      </w:r>
      <w:r>
        <w:t xml:space="preserve"> </w:t>
      </w:r>
      <w:r>
        <w:t xml:space="preserve">by</w:t>
      </w:r>
      <w:r>
        <w:t xml:space="preserve"> </w:t>
      </w:r>
      <w:r>
        <w:t xml:space="preserve">“</w:t>
      </w:r>
      <w:r>
        <w:t xml:space="preserve">samprasāraṇāc ca</w:t>
      </w:r>
      <w:r>
        <w:t xml:space="preserve">”</w:t>
      </w:r>
      <w:r>
        <w:t xml:space="preserve">:</w:t>
      </w:r>
      <w:r>
        <w:t xml:space="preserve"> </w:t>
      </w:r>
      <w:r>
        <w:rPr>
          <w:iCs/>
          <w:i/>
        </w:rPr>
        <w:t xml:space="preserve">bibhī</w:t>
      </w:r>
      <w:r>
        <w:t xml:space="preserve"> </w:t>
      </w:r>
      <w:r>
        <w:t xml:space="preserve">+</w:t>
      </w:r>
      <w:r>
        <w:t xml:space="preserve"> </w:t>
      </w:r>
      <w:r>
        <w:rPr>
          <w:iCs/>
          <w:i/>
        </w:rPr>
        <w:t xml:space="preserve">us</w:t>
      </w:r>
      <w:r>
        <w:t xml:space="preserve"> </w:t>
      </w:r>
      <w:r>
        <w:t xml:space="preserve">+</w:t>
      </w:r>
      <w:r>
        <w:t xml:space="preserve"> </w:t>
      </w:r>
      <w:r>
        <w:rPr>
          <w:iCs/>
          <w:i/>
        </w:rPr>
        <w:t xml:space="preserve">as</w:t>
      </w:r>
      <w:r>
        <w:t xml:space="preserve">; the</w:t>
      </w:r>
      <w:r>
        <w:t xml:space="preserve"> </w:t>
      </w:r>
      <w:r>
        <w:rPr>
          <w:iCs/>
          <w:i/>
        </w:rPr>
        <w:t xml:space="preserve">iyaṅ</w:t>
      </w:r>
      <w:r>
        <w:t xml:space="preserve"> </w:t>
      </w:r>
      <w:r>
        <w:t xml:space="preserve">that</w:t>
      </w:r>
      <w:r>
        <w:t xml:space="preserve"> </w:t>
      </w:r>
      <w:r>
        <w:t xml:space="preserve">“</w:t>
      </w:r>
      <w:r>
        <w:t xml:space="preserve">aci śnu-dhātu-bhruvāṃ yvor iyaṅ-uvaṅau</w:t>
      </w:r>
      <w:r>
        <w:t xml:space="preserve">”</w:t>
      </w:r>
      <w:r>
        <w:t xml:space="preserve"> </w:t>
      </w:r>
      <w:r>
        <w:t xml:space="preserve">(Pā. 6-4-77) would give is set aside by</w:t>
      </w:r>
      <w:r>
        <w:t xml:space="preserve"> </w:t>
      </w:r>
      <w:r>
        <w:t xml:space="preserve">“</w:t>
      </w:r>
      <w:r>
        <w:t xml:space="preserve">er anekāco ’saṃyogapūrvasya</w:t>
      </w:r>
      <w:r>
        <w:t xml:space="preserve">”</w:t>
      </w:r>
      <w:r>
        <w:t xml:space="preserve"> </w:t>
      </w:r>
      <w:r>
        <w:t xml:space="preserve">(Pā. 6-4-82), giving</w:t>
      </w:r>
      <w:r>
        <w:t xml:space="preserve"> </w:t>
      </w:r>
      <w:r>
        <w:rPr>
          <w:iCs/>
          <w:i/>
        </w:rPr>
        <w:t xml:space="preserve">yaṇ</w:t>
      </w:r>
      <w:r>
        <w:t xml:space="preserve">:</w:t>
      </w:r>
      <w:r>
        <w:t xml:space="preserve"> </w:t>
      </w:r>
      <w:r>
        <w:rPr>
          <w:iCs/>
          <w:i/>
        </w:rPr>
        <w:t xml:space="preserve">ī</w:t>
      </w:r>
      <w:r>
        <w:t xml:space="preserve"> </w:t>
      </w:r>
      <w:r>
        <w:t xml:space="preserve">→</w:t>
      </w:r>
      <w:r>
        <w:t xml:space="preserve"> </w:t>
      </w:r>
      <w:r>
        <w:rPr>
          <w:iCs/>
          <w:i/>
        </w:rPr>
        <w:t xml:space="preserve">y</w:t>
      </w:r>
      <w:r>
        <w:t xml:space="preserve">; the</w:t>
      </w:r>
      <w:r>
        <w:t xml:space="preserve"> </w:t>
      </w:r>
      <w:r>
        <w:rPr>
          <w:iCs/>
          <w:i/>
        </w:rPr>
        <w:t xml:space="preserve">s</w:t>
      </w:r>
      <w:r>
        <w:t xml:space="preserve"> </w:t>
      </w:r>
      <w:r>
        <w:t xml:space="preserve">of the suffix</w:t>
      </w:r>
      <w:r>
        <w:t xml:space="preserve"> </w:t>
      </w:r>
      <w:r>
        <w:rPr>
          <w:iCs/>
          <w:i/>
        </w:rPr>
        <w:t xml:space="preserve">vas</w:t>
      </w:r>
      <w:r>
        <w:t xml:space="preserve"> </w:t>
      </w:r>
      <w:r>
        <w:t xml:space="preserve">→</w:t>
      </w:r>
      <w:r>
        <w:t xml:space="preserve"> </w:t>
      </w:r>
      <w:r>
        <w:rPr>
          <w:iCs/>
          <w:i/>
        </w:rPr>
        <w:t xml:space="preserve">ṣ</w:t>
      </w:r>
      <w:r>
        <w:t xml:space="preserve"> </w:t>
      </w:r>
      <w:r>
        <w:t xml:space="preserve">by</w:t>
      </w:r>
      <w:r>
        <w:t xml:space="preserve"> </w:t>
      </w:r>
      <w:r>
        <w:t xml:space="preserve">“</w:t>
      </w:r>
      <w:r>
        <w:t xml:space="preserve">ādeśa-pratyayayoḥ</w:t>
      </w:r>
      <w:r>
        <w:t xml:space="preserve">”</w:t>
      </w:r>
      <w:r>
        <w:t xml:space="preserve"> </w:t>
      </w:r>
      <w:r>
        <w:t xml:space="preserve">(Pā. 8-3-59);</w:t>
      </w:r>
      <w:r>
        <w:t xml:space="preserve"> </w:t>
      </w:r>
      <w:r>
        <w:t xml:space="preserve">“</w:t>
      </w:r>
      <w:r>
        <w:t xml:space="preserve">śāsi-vasi-ghasīnāṃ ca</w:t>
      </w:r>
      <w:r>
        <w:t xml:space="preserve">”</w:t>
      </w:r>
      <w:r>
        <w:t xml:space="preserve"> </w:t>
      </w:r>
      <w:r>
        <w:t xml:space="preserve">(Pā. 8-3-60) was shown earlier not to apply here;</w:t>
      </w:r>
      <w:r>
        <w:t xml:space="preserve"> </w:t>
      </w:r>
      <w:r>
        <w:t xml:space="preserve">“</w:t>
      </w:r>
      <w:r>
        <w:t xml:space="preserve">na bibhyuṣaḥ abibhyuṣaḥ,</w:t>
      </w:r>
      <w:r>
        <w:t xml:space="preserve">”</w:t>
      </w:r>
      <w:r>
        <w:t xml:space="preserve"> </w:t>
      </w:r>
      <w:r>
        <w:t xml:space="preserve">a</w:t>
      </w:r>
      <w:r>
        <w:t xml:space="preserve"> </w:t>
      </w:r>
      <w:r>
        <w:rPr>
          <w:iCs/>
          <w:i/>
        </w:rPr>
        <w:t xml:space="preserve">nañ</w:t>
      </w:r>
      <w:r>
        <w:t xml:space="preserve">-compound; by</w:t>
      </w:r>
      <w:r>
        <w:t xml:space="preserve"> </w:t>
      </w:r>
      <w:r>
        <w:t xml:space="preserve">“</w:t>
      </w:r>
      <w:r>
        <w:t xml:space="preserve">tatpuruṣe tulyārtha…</w:t>
      </w:r>
      <w:r>
        <w:t xml:space="preserve">”</w:t>
      </w:r>
      <w:r>
        <w:t xml:space="preserve"> </w:t>
      </w:r>
      <w:r>
        <w:t xml:space="preserve">(Pā. 6-2-2) the indeclinable first member keeps its accent.</w:t>
      </w:r>
      <w:r>
        <w:t xml:space="preserve"> </w:t>
      </w:r>
      <w:r>
        <w:rPr>
          <w:bCs/>
          <w:b/>
        </w:rPr>
        <w:t xml:space="preserve">तुज्यमानासः (</w:t>
      </w:r>
      <w:r>
        <w:rPr>
          <w:iCs/>
          <w:i/>
          <w:bCs/>
          <w:b/>
        </w:rPr>
        <w:t xml:space="preserve">tujyamānāsaḥ</w:t>
      </w:r>
      <w:r>
        <w:rPr>
          <w:bCs/>
          <w:b/>
        </w:rPr>
        <w:t xml:space="preserve">)</w:t>
      </w:r>
      <w:r>
        <w:t xml:space="preserve"> </w:t>
      </w:r>
      <w:r>
        <w:t xml:space="preserve">— root</w:t>
      </w:r>
      <w:r>
        <w:t xml:space="preserve"> </w:t>
      </w:r>
      <w:r>
        <w:rPr>
          <w:iCs/>
          <w:i/>
        </w:rPr>
        <w:t xml:space="preserve">tuja hiṃsāyām</w:t>
      </w:r>
      <w:r>
        <w:t xml:space="preserve">; passive</w:t>
      </w:r>
      <w:r>
        <w:t xml:space="preserve"> </w:t>
      </w:r>
      <w:r>
        <w:rPr>
          <w:iCs/>
          <w:i/>
        </w:rPr>
        <w:t xml:space="preserve">laṭ</w:t>
      </w:r>
      <w:r>
        <w:t xml:space="preserve">, replaced by</w:t>
      </w:r>
      <w:r>
        <w:t xml:space="preserve"> </w:t>
      </w:r>
      <w:r>
        <w:rPr>
          <w:iCs/>
          <w:i/>
        </w:rPr>
        <w:t xml:space="preserve">śānac</w:t>
      </w:r>
      <w:r>
        <w:t xml:space="preserve"> </w:t>
      </w:r>
      <w:r>
        <w:t xml:space="preserve">by</w:t>
      </w:r>
      <w:r>
        <w:t xml:space="preserve"> </w:t>
      </w:r>
      <w:r>
        <w:t xml:space="preserve">“</w:t>
      </w:r>
      <w:r>
        <w:t xml:space="preserve">laṭaḥ śatṛ-śānacau…</w:t>
      </w:r>
      <w:r>
        <w:t xml:space="preserve">”</w:t>
      </w:r>
      <w:r>
        <w:t xml:space="preserve"> </w:t>
      </w:r>
      <w:r>
        <w:t xml:space="preserve">(Pā. 3-2-124);</w:t>
      </w:r>
      <w:r>
        <w:t xml:space="preserve"> </w:t>
      </w:r>
      <w:r>
        <w:rPr>
          <w:iCs/>
          <w:i/>
        </w:rPr>
        <w:t xml:space="preserve">yak</w:t>
      </w:r>
      <w:r>
        <w:t xml:space="preserve"> </w:t>
      </w:r>
      <w:r>
        <w:t xml:space="preserve">by</w:t>
      </w:r>
      <w:r>
        <w:t xml:space="preserve"> </w:t>
      </w:r>
      <w:r>
        <w:t xml:space="preserve">“</w:t>
      </w:r>
      <w:r>
        <w:t xml:space="preserve">sārvadhātuke yak</w:t>
      </w:r>
      <w:r>
        <w:t xml:space="preserve">”</w:t>
      </w:r>
      <w:r>
        <w:t xml:space="preserve"> </w:t>
      </w:r>
      <w:r>
        <w:t xml:space="preserve">(Pā. 3-1-67) before a</w:t>
      </w:r>
      <w:r>
        <w:t xml:space="preserve"> </w:t>
      </w:r>
      <w:r>
        <w:rPr>
          <w:iCs/>
          <w:i/>
        </w:rPr>
        <w:t xml:space="preserve">sārvadhātuka</w:t>
      </w:r>
      <w:r>
        <w:t xml:space="preserve"> </w:t>
      </w:r>
      <w:r>
        <w:t xml:space="preserve">expressing</w:t>
      </w:r>
      <w:r>
        <w:t xml:space="preserve"> </w:t>
      </w:r>
      <w:r>
        <w:rPr>
          <w:iCs/>
          <w:i/>
        </w:rPr>
        <w:t xml:space="preserve">bhāva</w:t>
      </w:r>
      <w:r>
        <w:t xml:space="preserve"> </w:t>
      </w:r>
      <w:r>
        <w:t xml:space="preserve">or</w:t>
      </w:r>
      <w:r>
        <w:t xml:space="preserve"> </w:t>
      </w:r>
      <w:r>
        <w:rPr>
          <w:iCs/>
          <w:i/>
        </w:rPr>
        <w:t xml:space="preserve">karman</w:t>
      </w:r>
      <w:r>
        <w:t xml:space="preserve">:</w:t>
      </w:r>
      <w:r>
        <w:t xml:space="preserve"> </w:t>
      </w:r>
      <w:r>
        <w:rPr>
          <w:iCs/>
          <w:i/>
        </w:rPr>
        <w:t xml:space="preserve">tuj</w:t>
      </w:r>
      <w:r>
        <w:t xml:space="preserve"> </w:t>
      </w:r>
      <w:r>
        <w:t xml:space="preserve">+</w:t>
      </w:r>
      <w:r>
        <w:t xml:space="preserve"> </w:t>
      </w:r>
      <w:r>
        <w:rPr>
          <w:iCs/>
          <w:i/>
        </w:rPr>
        <w:t xml:space="preserve">ya</w:t>
      </w:r>
      <w:r>
        <w:t xml:space="preserve"> </w:t>
      </w:r>
      <w:r>
        <w:t xml:space="preserve">+</w:t>
      </w:r>
      <w:r>
        <w:t xml:space="preserve"> </w:t>
      </w:r>
      <w:r>
        <w:rPr>
          <w:iCs/>
          <w:i/>
        </w:rPr>
        <w:t xml:space="preserve">āna</w:t>
      </w:r>
      <w:r>
        <w:t xml:space="preserve">;</w:t>
      </w:r>
      <w:r>
        <w:t xml:space="preserve"> </w:t>
      </w:r>
      <w:r>
        <w:rPr>
          <w:iCs/>
          <w:i/>
        </w:rPr>
        <w:t xml:space="preserve">yak</w:t>
      </w:r>
      <w:r>
        <w:t xml:space="preserve"> </w:t>
      </w:r>
      <w:r>
        <w:t xml:space="preserve">is</w:t>
      </w:r>
      <w:r>
        <w:t xml:space="preserve"> </w:t>
      </w:r>
      <w:r>
        <w:rPr>
          <w:iCs/>
          <w:i/>
        </w:rPr>
        <w:t xml:space="preserve">kit</w:t>
      </w:r>
      <w:r>
        <w:t xml:space="preserve">, so no</w:t>
      </w:r>
      <w:r>
        <w:t xml:space="preserve"> </w:t>
      </w:r>
      <w:r>
        <w:rPr>
          <w:iCs/>
          <w:i/>
        </w:rPr>
        <w:t xml:space="preserve">laghūpadha-guṇa</w:t>
      </w:r>
      <w:r>
        <w:t xml:space="preserve">;</w:t>
      </w:r>
      <w:r>
        <w:t xml:space="preserve"> </w:t>
      </w:r>
      <w:r>
        <w:rPr>
          <w:iCs/>
          <w:i/>
        </w:rPr>
        <w:t xml:space="preserve">muk</w:t>
      </w:r>
      <w:r>
        <w:t xml:space="preserve"> </w:t>
      </w:r>
      <w:r>
        <w:t xml:space="preserve">by</w:t>
      </w:r>
      <w:r>
        <w:t xml:space="preserve"> </w:t>
      </w:r>
      <w:r>
        <w:t xml:space="preserve">“</w:t>
      </w:r>
      <w:r>
        <w:t xml:space="preserve">āne muk</w:t>
      </w:r>
      <w:r>
        <w:t xml:space="preserve">”</w:t>
      </w:r>
      <w:r>
        <w:t xml:space="preserve"> </w:t>
      </w:r>
      <w:r>
        <w:t xml:space="preserve">(Pā. 7-2-82):</w:t>
      </w:r>
      <w:r>
        <w:t xml:space="preserve"> </w:t>
      </w:r>
      <w:r>
        <w:rPr>
          <w:iCs/>
          <w:i/>
        </w:rPr>
        <w:t xml:space="preserve">tujyamāna</w:t>
      </w:r>
      <w:r>
        <w:t xml:space="preserve">; nominative plural</w:t>
      </w:r>
      <w:r>
        <w:t xml:space="preserve"> </w:t>
      </w:r>
      <w:r>
        <w:rPr>
          <w:iCs/>
          <w:i/>
        </w:rPr>
        <w:t xml:space="preserve">jas</w:t>
      </w:r>
      <w:r>
        <w:t xml:space="preserve"> </w:t>
      </w:r>
      <w:r>
        <w:t xml:space="preserve">with</w:t>
      </w:r>
      <w:r>
        <w:t xml:space="preserve"> </w:t>
      </w:r>
      <w:r>
        <w:rPr>
          <w:iCs/>
          <w:i/>
        </w:rPr>
        <w:t xml:space="preserve">asuk</w:t>
      </w:r>
      <w:r>
        <w:t xml:space="preserve"> </w:t>
      </w:r>
      <w:r>
        <w:t xml:space="preserve">by</w:t>
      </w:r>
      <w:r>
        <w:t xml:space="preserve"> </w:t>
      </w:r>
      <w:r>
        <w:t xml:space="preserve">“</w:t>
      </w:r>
      <w:r>
        <w:t xml:space="preserve">āj-jaser asuk</w:t>
      </w:r>
      <w:r>
        <w:t xml:space="preserve">”</w:t>
      </w:r>
      <w:r>
        <w:t xml:space="preserve"> </w:t>
      </w:r>
      <w:r>
        <w:t xml:space="preserve">(Pā. 7-1-50);</w:t>
      </w:r>
      <w:r>
        <w:t xml:space="preserve"> </w:t>
      </w:r>
      <w:r>
        <w:rPr>
          <w:iCs/>
          <w:i/>
        </w:rPr>
        <w:t xml:space="preserve">yak</w:t>
      </w:r>
      <w:r>
        <w:t xml:space="preserve"> </w:t>
      </w:r>
      <w:r>
        <w:t xml:space="preserve">ends in</w:t>
      </w:r>
      <w:r>
        <w:t xml:space="preserve"> </w:t>
      </w:r>
      <w:r>
        <w:rPr>
          <w:iCs/>
          <w:i/>
        </w:rPr>
        <w:t xml:space="preserve">a</w:t>
      </w:r>
      <w:r>
        <w:t xml:space="preserve"> </w:t>
      </w:r>
      <w:r>
        <w:t xml:space="preserve">in the</w:t>
      </w:r>
      <w:r>
        <w:t xml:space="preserve"> </w:t>
      </w:r>
      <w:r>
        <w:rPr>
          <w:iCs/>
          <w:i/>
        </w:rPr>
        <w:t xml:space="preserve">upadeśa</w:t>
      </w:r>
      <w:r>
        <w:t xml:space="preserve">, so the</w:t>
      </w:r>
      <w:r>
        <w:t xml:space="preserve"> </w:t>
      </w:r>
      <w:r>
        <w:rPr>
          <w:iCs/>
          <w:i/>
        </w:rPr>
        <w:t xml:space="preserve">śānac</w:t>
      </w:r>
      <w:r>
        <w:t xml:space="preserve"> </w:t>
      </w:r>
      <w:r>
        <w:t xml:space="preserve">after it is unaccented by</w:t>
      </w:r>
      <w:r>
        <w:t xml:space="preserve"> </w:t>
      </w:r>
      <w:r>
        <w:t xml:space="preserve">“</w:t>
      </w:r>
      <w:r>
        <w:t xml:space="preserve">tāsy anudātten-ṅid-ad-upadeśāt…</w:t>
      </w:r>
      <w:r>
        <w:t xml:space="preserve">”</w:t>
      </w:r>
      <w:r>
        <w:t xml:space="preserve"> </w:t>
      </w:r>
      <w:r>
        <w:t xml:space="preserve">(Pā. 6-1-186),</w:t>
      </w:r>
      <w:r>
        <w:t xml:space="preserve"> </w:t>
      </w:r>
      <w:r>
        <w:rPr>
          <w:iCs/>
          <w:i/>
        </w:rPr>
        <w:t xml:space="preserve">jas</w:t>
      </w:r>
      <w:r>
        <w:t xml:space="preserve"> </w:t>
      </w:r>
      <w:r>
        <w:t xml:space="preserve">is unaccented as a</w:t>
      </w:r>
      <w:r>
        <w:t xml:space="preserve"> </w:t>
      </w:r>
      <w:r>
        <w:rPr>
          <w:iCs/>
          <w:i/>
        </w:rPr>
        <w:t xml:space="preserve">sup</w:t>
      </w:r>
      <w:r>
        <w:t xml:space="preserve">, and the udātta of</w:t>
      </w:r>
      <w:r>
        <w:t xml:space="preserve"> </w:t>
      </w:r>
      <w:r>
        <w:rPr>
          <w:iCs/>
          <w:i/>
        </w:rPr>
        <w:t xml:space="preserve">yak</w:t>
      </w:r>
      <w:r>
        <w:t xml:space="preserve"> </w:t>
      </w:r>
      <w:r>
        <w:t xml:space="preserve">by its suffix accent stands.</w:t>
      </w:r>
      <w:r>
        <w:t xml:space="preserve"> </w:t>
      </w:r>
      <w:r>
        <w:rPr>
          <w:bCs/>
          <w:b/>
        </w:rPr>
        <w:t xml:space="preserve">आविषुः (</w:t>
      </w:r>
      <w:r>
        <w:rPr>
          <w:iCs/>
          <w:i/>
          <w:bCs/>
          <w:b/>
        </w:rPr>
        <w:t xml:space="preserve">āviṣuḥ</w:t>
      </w:r>
      <w:r>
        <w:rPr>
          <w:bCs/>
          <w:b/>
        </w:rPr>
        <w:t xml:space="preserve">)</w:t>
      </w:r>
      <w:r>
        <w:t xml:space="preserve"> </w:t>
      </w:r>
      <w:r>
        <w:t xml:space="preserve">— root</w:t>
      </w:r>
      <w:r>
        <w:t xml:space="preserve"> </w:t>
      </w:r>
      <w:r>
        <w:rPr>
          <w:iCs/>
          <w:i/>
        </w:rPr>
        <w:t xml:space="preserve">ava rakṣaṇādiṣu</w:t>
      </w:r>
      <w:r>
        <w:t xml:space="preserve">, here taken in the sense of going;</w:t>
      </w:r>
    </w:p>
    <w:bookmarkEnd w:id="481"/>
    <w:bookmarkStart w:id="482" w:name="page-470-rik-5-grammar-closes"/>
    <w:p>
      <w:pPr>
        <w:pStyle w:val="Heading3"/>
      </w:pPr>
      <w:r>
        <w:t xml:space="preserve">Page 470 — Rik 5 grammar closes</w:t>
      </w:r>
    </w:p>
    <w:p>
      <w:pPr>
        <w:pStyle w:val="FirstParagraph"/>
      </w:pPr>
      <w:r>
        <w:rPr>
          <w:iCs/>
          <w:i/>
        </w:rPr>
        <w:t xml:space="preserve">luṅ</w:t>
      </w:r>
      <w:r>
        <w:t xml:space="preserve"> </w:t>
      </w:r>
      <w:r>
        <w:t xml:space="preserve">after</w:t>
      </w:r>
      <w:r>
        <w:t xml:space="preserve"> </w:t>
      </w:r>
      <w:r>
        <w:rPr>
          <w:iCs/>
          <w:i/>
        </w:rPr>
        <w:t xml:space="preserve">av</w:t>
      </w:r>
      <w:r>
        <w:t xml:space="preserve">, replaced by</w:t>
      </w:r>
      <w:r>
        <w:t xml:space="preserve"> </w:t>
      </w:r>
      <w:r>
        <w:rPr>
          <w:iCs/>
          <w:i/>
        </w:rPr>
        <w:t xml:space="preserve">jhi</w:t>
      </w:r>
      <w:r>
        <w:t xml:space="preserve">;</w:t>
      </w:r>
      <w:r>
        <w:t xml:space="preserve"> </w:t>
      </w:r>
      <w:r>
        <w:rPr>
          <w:iCs/>
          <w:i/>
        </w:rPr>
        <w:t xml:space="preserve">cli</w:t>
      </w:r>
      <w:r>
        <w:t xml:space="preserve"> </w:t>
      </w:r>
      <w:r>
        <w:t xml:space="preserve">by</w:t>
      </w:r>
      <w:r>
        <w:t xml:space="preserve"> </w:t>
      </w:r>
      <w:r>
        <w:t xml:space="preserve">“</w:t>
      </w:r>
      <w:r>
        <w:t xml:space="preserve">cli luṅi</w:t>
      </w:r>
      <w:r>
        <w:t xml:space="preserve">”</w:t>
      </w:r>
      <w:r>
        <w:t xml:space="preserve"> </w:t>
      </w:r>
      <w:r>
        <w:t xml:space="preserve">(Pā. 3-1-43),</w:t>
      </w:r>
      <w:r>
        <w:t xml:space="preserve"> </w:t>
      </w:r>
      <w:r>
        <w:rPr>
          <w:iCs/>
          <w:i/>
        </w:rPr>
        <w:t xml:space="preserve">sic</w:t>
      </w:r>
      <w:r>
        <w:t xml:space="preserve"> </w:t>
      </w:r>
      <w:r>
        <w:t xml:space="preserve">by</w:t>
      </w:r>
      <w:r>
        <w:t xml:space="preserve"> </w:t>
      </w:r>
      <w:r>
        <w:t xml:space="preserve">“</w:t>
      </w:r>
      <w:r>
        <w:t xml:space="preserve">cleḥ sic</w:t>
      </w:r>
      <w:r>
        <w:t xml:space="preserve">”</w:t>
      </w:r>
      <w:r>
        <w:t xml:space="preserve"> </w:t>
      </w:r>
      <w:r>
        <w:t xml:space="preserve">(Pā. 3-1-44);</w:t>
      </w:r>
      <w:r>
        <w:t xml:space="preserve"> </w:t>
      </w:r>
      <w:r>
        <w:rPr>
          <w:iCs/>
          <w:i/>
        </w:rPr>
        <w:t xml:space="preserve">av</w:t>
      </w:r>
      <w:r>
        <w:t xml:space="preserve"> </w:t>
      </w:r>
      <w:r>
        <w:t xml:space="preserve">+</w:t>
      </w:r>
      <w:r>
        <w:t xml:space="preserve"> </w:t>
      </w:r>
      <w:r>
        <w:rPr>
          <w:iCs/>
          <w:i/>
        </w:rPr>
        <w:t xml:space="preserve">s</w:t>
      </w:r>
      <w:r>
        <w:t xml:space="preserve"> </w:t>
      </w:r>
      <w:r>
        <w:t xml:space="preserve">+</w:t>
      </w:r>
      <w:r>
        <w:t xml:space="preserve"> </w:t>
      </w:r>
      <w:r>
        <w:rPr>
          <w:iCs/>
          <w:i/>
        </w:rPr>
        <w:t xml:space="preserve">jhi</w:t>
      </w:r>
      <w:r>
        <w:t xml:space="preserve">:</w:t>
      </w:r>
      <w:r>
        <w:t xml:space="preserve"> </w:t>
      </w:r>
      <w:r>
        <w:t xml:space="preserve">“</w:t>
      </w:r>
      <w:r>
        <w:t xml:space="preserve">sij-abhyasta-vidibhyaś ca</w:t>
      </w:r>
      <w:r>
        <w:t xml:space="preserve">”</w:t>
      </w:r>
      <w:r>
        <w:t xml:space="preserve"> </w:t>
      </w:r>
      <w:r>
        <w:t xml:space="preserve">(Pā. 3-4-109) gives</w:t>
      </w:r>
      <w:r>
        <w:t xml:space="preserve"> </w:t>
      </w:r>
      <w:r>
        <w:rPr>
          <w:iCs/>
          <w:i/>
        </w:rPr>
        <w:t xml:space="preserve">jus</w:t>
      </w:r>
      <w:r>
        <w:t xml:space="preserve"> </w:t>
      </w:r>
      <w:r>
        <w:t xml:space="preserve">for the</w:t>
      </w:r>
      <w:r>
        <w:t xml:space="preserve"> </w:t>
      </w:r>
      <w:r>
        <w:rPr>
          <w:iCs/>
          <w:i/>
        </w:rPr>
        <w:t xml:space="preserve">jhi</w:t>
      </w:r>
      <w:r>
        <w:t xml:space="preserve"> </w:t>
      </w:r>
      <w:r>
        <w:t xml:space="preserve">of a</w:t>
      </w:r>
      <w:r>
        <w:t xml:space="preserve"> </w:t>
      </w:r>
      <w:r>
        <w:rPr>
          <w:iCs/>
          <w:i/>
        </w:rPr>
        <w:t xml:space="preserve">ṅit</w:t>
      </w:r>
      <w:r>
        <w:t xml:space="preserve"> </w:t>
      </w:r>
      <w:r>
        <w:rPr>
          <w:iCs/>
          <w:i/>
        </w:rPr>
        <w:t xml:space="preserve">lakāra</w:t>
      </w:r>
      <w:r>
        <w:t xml:space="preserve"> </w:t>
      </w:r>
      <w:r>
        <w:t xml:space="preserve">after</w:t>
      </w:r>
      <w:r>
        <w:t xml:space="preserve"> </w:t>
      </w:r>
      <w:r>
        <w:rPr>
          <w:iCs/>
          <w:i/>
        </w:rPr>
        <w:t xml:space="preserve">sic</w:t>
      </w:r>
      <w:r>
        <w:t xml:space="preserve">, a reduplicated root or</w:t>
      </w:r>
      <w:r>
        <w:t xml:space="preserve"> </w:t>
      </w:r>
      <w:r>
        <w:rPr>
          <w:iCs/>
          <w:i/>
        </w:rPr>
        <w:t xml:space="preserve">vid</w:t>
      </w:r>
      <w:r>
        <w:t xml:space="preserve">:</w:t>
      </w:r>
      <w:r>
        <w:t xml:space="preserve"> </w:t>
      </w:r>
      <w:r>
        <w:rPr>
          <w:iCs/>
          <w:i/>
        </w:rPr>
        <w:t xml:space="preserve">av</w:t>
      </w:r>
      <w:r>
        <w:t xml:space="preserve"> </w:t>
      </w:r>
      <w:r>
        <w:t xml:space="preserve">+</w:t>
      </w:r>
      <w:r>
        <w:t xml:space="preserve"> </w:t>
      </w:r>
      <w:r>
        <w:rPr>
          <w:iCs/>
          <w:i/>
        </w:rPr>
        <w:t xml:space="preserve">s</w:t>
      </w:r>
      <w:r>
        <w:t xml:space="preserve"> </w:t>
      </w:r>
      <w:r>
        <w:t xml:space="preserve">+</w:t>
      </w:r>
      <w:r>
        <w:t xml:space="preserve"> </w:t>
      </w:r>
      <w:r>
        <w:rPr>
          <w:iCs/>
          <w:i/>
        </w:rPr>
        <w:t xml:space="preserve">us</w:t>
      </w:r>
      <w:r>
        <w:t xml:space="preserve">;</w:t>
      </w:r>
      <w:r>
        <w:t xml:space="preserve"> </w:t>
      </w:r>
      <w:r>
        <w:rPr>
          <w:iCs/>
          <w:i/>
        </w:rPr>
        <w:t xml:space="preserve">iṭ</w:t>
      </w:r>
      <w:r>
        <w:t xml:space="preserve"> </w:t>
      </w:r>
      <w:r>
        <w:t xml:space="preserve">for</w:t>
      </w:r>
      <w:r>
        <w:t xml:space="preserve"> </w:t>
      </w:r>
      <w:r>
        <w:rPr>
          <w:iCs/>
          <w:i/>
        </w:rPr>
        <w:t xml:space="preserve">sic</w:t>
      </w:r>
      <w:r>
        <w:t xml:space="preserve"> </w:t>
      </w:r>
      <w:r>
        <w:t xml:space="preserve">by</w:t>
      </w:r>
      <w:r>
        <w:t xml:space="preserve"> </w:t>
      </w:r>
      <w:r>
        <w:t xml:space="preserve">“</w:t>
      </w:r>
      <w:r>
        <w:t xml:space="preserve">ārdhadhātukasyeḍ valādeḥ</w:t>
      </w:r>
      <w:r>
        <w:t xml:space="preserve">”</w:t>
      </w:r>
      <w:r>
        <w:t xml:space="preserve"> </w:t>
      </w:r>
      <w:r>
        <w:t xml:space="preserve">(Pā. 7-2-35); the augment</w:t>
      </w:r>
      <w:r>
        <w:t xml:space="preserve"> </w:t>
      </w:r>
      <w:r>
        <w:rPr>
          <w:iCs/>
          <w:i/>
        </w:rPr>
        <w:t xml:space="preserve">āṭ</w:t>
      </w:r>
      <w:r>
        <w:t xml:space="preserve"> </w:t>
      </w:r>
      <w:r>
        <w:t xml:space="preserve">by</w:t>
      </w:r>
      <w:r>
        <w:t xml:space="preserve"> </w:t>
      </w:r>
      <w:r>
        <w:t xml:space="preserve">“</w:t>
      </w:r>
      <w:r>
        <w:t xml:space="preserve">āḍ ajādīnām</w:t>
      </w:r>
      <w:r>
        <w:t xml:space="preserve">”</w:t>
      </w:r>
      <w:r>
        <w:t xml:space="preserve"> </w:t>
      </w:r>
      <w:r>
        <w:t xml:space="preserve">(Pā. 6-4-72),</w:t>
      </w:r>
      <w:r>
        <w:t xml:space="preserve"> </w:t>
      </w:r>
      <w:r>
        <w:rPr>
          <w:iCs/>
          <w:i/>
        </w:rPr>
        <w:t xml:space="preserve">vṛddhi</w:t>
      </w:r>
      <w:r>
        <w:t xml:space="preserve"> </w:t>
      </w:r>
      <w:r>
        <w:t xml:space="preserve">by</w:t>
      </w:r>
      <w:r>
        <w:t xml:space="preserve"> </w:t>
      </w:r>
      <w:r>
        <w:t xml:space="preserve">“</w:t>
      </w:r>
      <w:r>
        <w:t xml:space="preserve">āṭaś ca</w:t>
      </w:r>
      <w:r>
        <w:t xml:space="preserve">”</w:t>
      </w:r>
      <w:r>
        <w:t xml:space="preserve"> </w:t>
      </w:r>
      <w:r>
        <w:t xml:space="preserve">(Pā. 6-1-90):</w:t>
      </w:r>
      <w:r>
        <w:t xml:space="preserve"> </w:t>
      </w:r>
      <w:r>
        <w:rPr>
          <w:iCs/>
          <w:i/>
        </w:rPr>
        <w:t xml:space="preserve">āvisus</w:t>
      </w:r>
      <w:r>
        <w:t xml:space="preserve">;</w:t>
      </w:r>
      <w:r>
        <w:t xml:space="preserve"> </w:t>
      </w:r>
      <w:r>
        <w:rPr>
          <w:iCs/>
          <w:i/>
        </w:rPr>
        <w:t xml:space="preserve">ṣ</w:t>
      </w:r>
      <w:r>
        <w:t xml:space="preserve"> </w:t>
      </w:r>
      <w:r>
        <w:t xml:space="preserve">for the</w:t>
      </w:r>
      <w:r>
        <w:t xml:space="preserve"> </w:t>
      </w:r>
      <w:r>
        <w:rPr>
          <w:iCs/>
          <w:i/>
        </w:rPr>
        <w:t xml:space="preserve">s</w:t>
      </w:r>
      <w:r>
        <w:t xml:space="preserve"> </w:t>
      </w:r>
      <w:r>
        <w:t xml:space="preserve">of</w:t>
      </w:r>
      <w:r>
        <w:t xml:space="preserve"> </w:t>
      </w:r>
      <w:r>
        <w:rPr>
          <w:iCs/>
          <w:i/>
        </w:rPr>
        <w:t xml:space="preserve">sic</w:t>
      </w:r>
      <w:r>
        <w:t xml:space="preserve"> </w:t>
      </w:r>
      <w:r>
        <w:t xml:space="preserve">by</w:t>
      </w:r>
      <w:r>
        <w:t xml:space="preserve"> </w:t>
      </w:r>
      <w:r>
        <w:t xml:space="preserve">“</w:t>
      </w:r>
      <w:r>
        <w:t xml:space="preserve">ādeśa-pratyayayoḥ</w:t>
      </w:r>
      <w:r>
        <w:t xml:space="preserve">”</w:t>
      </w:r>
      <w:r>
        <w:t xml:space="preserve"> </w:t>
      </w:r>
      <w:r>
        <w:t xml:space="preserve">(Pā. 8-3-59);</w:t>
      </w:r>
      <w:r>
        <w:t xml:space="preserve"> </w:t>
      </w:r>
      <w:r>
        <w:rPr>
          <w:iCs/>
          <w:i/>
        </w:rPr>
        <w:t xml:space="preserve">ru</w:t>
      </w:r>
      <w:r>
        <w:t xml:space="preserve"> </w:t>
      </w:r>
      <w:r>
        <w:t xml:space="preserve">and visarga for the final</w:t>
      </w:r>
      <w:r>
        <w:t xml:space="preserve"> </w:t>
      </w:r>
      <w:r>
        <w:rPr>
          <w:iCs/>
          <w:i/>
        </w:rPr>
        <w:t xml:space="preserve">s</w:t>
      </w:r>
      <w:r>
        <w:t xml:space="preserve">:</w:t>
      </w:r>
      <w:r>
        <w:t xml:space="preserve"> </w:t>
      </w:r>
      <w:r>
        <w:rPr>
          <w:iCs/>
          <w:i/>
        </w:rPr>
        <w:t xml:space="preserve">āviṣuḥ</w:t>
      </w:r>
      <w:r>
        <w:t xml:space="preserve">; wholly unaccented by</w:t>
      </w:r>
      <w:r>
        <w:t xml:space="preserve"> </w:t>
      </w:r>
      <w:r>
        <w:t xml:space="preserve">“</w:t>
      </w:r>
      <w:r>
        <w:t xml:space="preserve">tiṅṅ atiṅaḥ</w:t>
      </w:r>
      <w:r>
        <w:t xml:space="preserve">”</w:t>
      </w:r>
      <w:r>
        <w:t xml:space="preserve"> </w:t>
      </w:r>
      <w:r>
        <w:t xml:space="preserve">(Pā. 8-1-28).</w:t>
      </w:r>
    </w:p>
    <w:p>
      <w:pPr>
        <w:pStyle w:val="BodyText"/>
      </w:pPr>
      <w:r>
        <w:rPr>
          <w:bCs/>
          <w:b/>
        </w:rPr>
        <w:t xml:space="preserve">॥५॥</w:t>
      </w:r>
    </w:p>
    <w:p>
      <w:r>
        <w:pict>
          <v:rect style="width:0;height:1.5pt" o:hralign="center" o:hrstd="t" o:hr="t"/>
        </w:pict>
      </w:r>
    </w:p>
    <w:bookmarkEnd w:id="482"/>
    <w:bookmarkStart w:id="483" w:name="page-470-sūkta-11-rik-6"/>
    <w:p>
      <w:pPr>
        <w:pStyle w:val="Heading3"/>
      </w:pPr>
      <w:r>
        <w:t xml:space="preserve">Page 470 — Sūkta 11, Rik 6</w:t>
      </w:r>
    </w:p>
    <w:p>
      <w:pPr>
        <w:pStyle w:val="FirstParagraph"/>
      </w:pPr>
      <w:r>
        <w:rPr>
          <w:iCs/>
          <w:i/>
        </w:rPr>
        <w:t xml:space="preserve">(Saṃhitā accents as printed; Pada unaccented. Line 1: the first bar stands under वा of तवाहम्, not under त, as printed.)</w:t>
      </w:r>
    </w:p>
    <w:p>
      <w:pPr>
        <w:pStyle w:val="BodyText"/>
      </w:pPr>
      <w:r>
        <w:rPr>
          <w:bCs/>
          <w:b/>
        </w:rPr>
        <w:t xml:space="preserve">॥ Saṃhitā-pāṭhaḥ ॥</w:t>
      </w:r>
    </w:p>
    <w:p>
      <w:pPr>
        <w:pStyle w:val="BlockText"/>
      </w:pPr>
      <w:r>
        <w:t xml:space="preserve">तवा॒हं शू॑र रा॒तिभिः॒ प्रत्या॑यं॒ सिन्धु॑मा॒वद॑न् ।</w:t>
      </w:r>
      <w:r>
        <w:t xml:space="preserve"> </w:t>
      </w:r>
      <w:r>
        <w:t xml:space="preserve">उपा॑तिष्ठन्त गिर्वणो वि॒दुष्टे॒ तस्य॑ का॒रवः॑ ॥६॥</w:t>
      </w:r>
    </w:p>
    <w:p>
      <w:pPr>
        <w:pStyle w:val="BlockText"/>
      </w:pPr>
      <w:r>
        <w:rPr>
          <w:iCs/>
          <w:i/>
        </w:rPr>
        <w:t xml:space="preserve">tavāháṃ śūra rātíbhiḥ práty āyaṃ síndhum āvádan |</w:t>
      </w:r>
      <w:r>
        <w:t xml:space="preserve"> </w:t>
      </w:r>
      <w:r>
        <w:rPr>
          <w:iCs/>
          <w:i/>
        </w:rPr>
        <w:t xml:space="preserve">úpātiṣṭhanta girvaṇo vidúṣ ṭe tásya kārávaḥ ||6||</w:t>
      </w:r>
    </w:p>
    <w:p>
      <w:pPr>
        <w:pStyle w:val="FirstParagraph"/>
      </w:pPr>
      <w:r>
        <w:rPr>
          <w:bCs/>
          <w:b/>
        </w:rPr>
        <w:t xml:space="preserve">॥ Pada-pāṭhaḥ ॥</w:t>
      </w:r>
    </w:p>
    <w:p>
      <w:pPr>
        <w:pStyle w:val="BlockText"/>
      </w:pPr>
      <w:r>
        <w:t xml:space="preserve">तव । अहम् । शूर । रातिऽभिः । प्रति । आयम् । सिन्धुम् । आऽवदन् ॥</w:t>
      </w:r>
      <w:r>
        <w:t xml:space="preserve"> </w:t>
      </w:r>
      <w:r>
        <w:t xml:space="preserve">उप । अतिष्ठन्त । गिर्वणः । विदुः । ते । तस्य । कारवः ॥६॥</w:t>
      </w:r>
    </w:p>
    <w:p>
      <w:pPr>
        <w:pStyle w:val="BlockText"/>
      </w:pPr>
      <w:r>
        <w:rPr>
          <w:iCs/>
          <w:i/>
        </w:rPr>
        <w:t xml:space="preserve">tava | aham | śūra | rāti-bhiḥ | prati | āyam | sindhum | ā-vadan ||</w:t>
      </w:r>
      <w:r>
        <w:t xml:space="preserve"> </w:t>
      </w:r>
      <w:r>
        <w:rPr>
          <w:iCs/>
          <w:i/>
        </w:rPr>
        <w:t xml:space="preserve">upa | atiṣṭhanta | girvaṇaḥ | viduḥ | te | tasya | kāravaḥ ||6||</w:t>
      </w:r>
    </w:p>
    <w:p>
      <w:pPr>
        <w:pStyle w:val="FirstParagraph"/>
      </w:pPr>
      <w:r>
        <w:rPr>
          <w:bCs/>
          <w:b/>
        </w:rPr>
        <w:t xml:space="preserve">॥ Sāyaṇa-bhāṣyam ॥</w:t>
      </w:r>
    </w:p>
    <w:p>
      <w:pPr>
        <w:pStyle w:val="BlockText"/>
      </w:pPr>
      <w:r>
        <w:t xml:space="preserve">हे शूर संग्रामे शौर्ययुक्तेन्द्र तव रातिभिः कर्मसु त्वदीयैर्धनदानैर्निमित्तभूतैरहं होता प्रत्यायम् । त्वां पुनरागतो ऽस्मि । पुरा बहुषु कर्मसु त्वत्तो धनस्य लब्धत्वादस्मिन्कर्मणि प्रत्यागमनमित्युच्यते । किं कुर्वन् । सिन्धुं स्यन्दमानं सोममावदन् सर्वतः कथयन् । अस्मिन्सोमयागे त्वदीयां धनदानकीर्तिं प्रकटयन्नित्यर्थः । हे गिर्वणो गीर्भिर्वननीयेन्द्र कारवः कर्तार ऋत्विग्यजमाना उपातिष्ठन्त । पुरा धनलाभार्थं त्वामुपस्थितवन्तः । उपस्थाय च तस्य तादृशस्यौदार्योपेतस्य ते तव धनदानं विदुः । जानन्ति । गिर्वणश्शब्दं यास्क इत्थं निब्रूते । गिर्वणा देवो भवति गीर्भिरेनं वनयन्ति । नि. ६-१४ । इति । रेभो जरितेत्यादिषु त्रयोदशसु स्तोतृनामसु कारुशब्दः पठितः ॥ तव । युष्मदस्मदोर्ङसीत्याद्युदात्तत्वम् । रातिभिः । मन्त्रे वृषेत्यादिना क्तिन्नुदात्तः । आयम् । इणो लङ् । तस्थस्थमिपां तान्तन्तामः । पा. ३-४-१०१ । इत्यमादेशः । अदिप्रभृतिभ्यः शप इति शपो लुक् । आडागमः । वृद्ध्यायादेशौ । तिङ्ङतिङ इति निघातः । सिन्धुम् । स्यन्दू प्रस्रवणे । नित्यनुवृत्तौ स्यन्देः संप्रसारणं धश्च । उ. १-१२ । इत्युप्रत्ययो धकारश्चान्तादेशः । नित्त्वादाद्युदात्तः । आवदन् । वद व्यक्तायां वाचि । लटः शतृ । शपः पित्त्वादनुदात्तत्वम् । शतुश्च लसार्वधातुकस्वरेण धातुस्वर एव शिष्यते । आङा सह कुगतिप्रादयः । पा. २-२-१८ । इति समासः । कृदुत्तरपदप्रकृतिस्वरत्वम् । अतिष्ठन्त । उपान्मन्त्रकरणे । पा. १-३-२५ । इत्यात्मनेपदम् । गिर्वणः । वन षण संभक्तौ । असुन् । आमन्त्रितस्य चेति निघातः । विदुः । विद ज्ञाने । लट् । अदिप्रभृतिभ्यः शप इति शपो लुक् । विदो लटो वा । पा. ३-४-८३ । इति झेरुस् । पादादित्वान्न निघातः । संहितायां युष्मत्ततक्षुःष्वन्तःपादम् । पा. ८-३-१०३ । इति षत्वम् । ष्टुना ष्टुरित्युत्तरस्य तकारस्य ष्टुत्वम् । तस्य । सावेकाच इति विभक्तेरुदात्तत्वं प्राप्तं न गोश्वन्साववर्णेति निषिध्यते । कारवः । कृवापाजीत्यादिना । उ. १-१ । उण् । प्रत्ययस्वरः ॥</w:t>
      </w:r>
    </w:p>
    <w:p>
      <w:pPr>
        <w:pStyle w:val="BlockText"/>
      </w:pPr>
      <w:r>
        <w:rPr>
          <w:iCs/>
          <w:i/>
        </w:rPr>
        <w:t xml:space="preserve">he śūra saṃgrāme śauryayuktendra tava rātibhiḥ karmasu tvadīyairdhanadānairnimittabhūtairahaṃ hotā pratyāyam | tvāṃ punarāgato ’smi | purā bahuṣu karmasu tvatto dhanasya labdhatvādasminkarmaṇi pratyāgamanamityucyate | kiṃ kurvan | sindhuṃ syandamānaṃ somamāvadan sarvataḥ kathayan | asminsomayāge tvadīyāṃ dhanadānakīrtiṃ prakaṭayannityarthaḥ | he girvaṇo gīrbhirvananīyendra kāravaḥ kartāra ṛtvigyajamānā upātiṣṭhanta | purā dhanalābhārthaṃ tvāmupasthitavantaḥ | upasthāya ca tasya tādṛśasyaudāryopetasya te tava dhanadānaṃ viduḥ | jānanti | girvaṇaśśabdaṃ yāska itthaṃ nibrūte | girvaṇā devo bhavati gīrbhirenaṃ vanayanti | ni. 6-14 | iti | rebho jaritetyādiṣu trayodaśasu stotṛnāmasu kāruśabdaḥ paṭhitaḥ || tava | yuṣmadasmadorṅasītyādyudāttatvam | rātibhiḥ | mantre vṛṣetyādinā ktinnudāttaḥ | āyam | iṇo laṅ | tasthasthamipāṃ tāntantāmaḥ | pā. 3-4-101 | ityamādeśaḥ | adiprabhṛtibhyaḥ śapa iti śapo luk | āḍāgamaḥ | vṛddhyāyādeśau | tiṅṅatiṅa iti nighātaḥ | sindhum | syandū prasravaṇe | nityanuvṛttau syandeḥ saṃprasāraṇaṃ dhaśca | u. 1-12 | ityupratyayo dhakāraścāntādeśaḥ | nittvādādyudāttaḥ | āvadan | vada vyaktāyāṃ vāci | laṭaḥ śatṛ | śapaḥ pittvādanudāttatvam | śatuśca lasārvadhātukasvareṇa dhātusvara eva śiṣyate | āṅā saha kugatiprādayaḥ | pā. 2-2-18 | iti samāsaḥ | kṛduttarapadaprakṛtisvaratvam | atiṣṭhanta | upānmantrakaraṇe | pā. 1-3-25 | ityātmanepadam | girvaṇaḥ | vana ṣaṇa saṃbhaktau | asun | āmantritasya ceti nighātaḥ | viduḥ | vida jñāne | laṭ | adiprabhṛtibhyaḥ śapa iti śapo luk | vido laṭo vā | pā. 3-4-83 | iti jherus | pādāditvānna nighātaḥ | saṃhitāyāṃ yuṣmattatakṣuḥṣvantaḥpādam | pā. 8-3-103 | iti ṣatvam | ṣṭunā ṣṭurityuttarasya takārasya ṣṭutvam | tasya | sāvekāca iti vibhakterudāttatvaṃ prāptaṃ na gośvansāvavarṇeti niṣidhyate | kāravaḥ | kṛvāpājītyādinā | u. 1-1 | uṇ | pratyayasvaraḥ ||</w:t>
      </w:r>
    </w:p>
    <w:p>
      <w:pPr>
        <w:pStyle w:val="FirstParagraph"/>
      </w:pPr>
      <w:r>
        <w:rPr>
          <w:bCs/>
          <w:b/>
        </w:rPr>
        <w:t xml:space="preserve">Translation:</w:t>
      </w:r>
      <w:r>
        <w:t xml:space="preserve"> </w:t>
      </w:r>
      <w:r>
        <w:t xml:space="preserve">“</w:t>
      </w:r>
      <w:r>
        <w:t xml:space="preserve">O</w:t>
      </w:r>
      <w:r>
        <w:t xml:space="preserve"> </w:t>
      </w:r>
      <w:r>
        <w:rPr>
          <w:iCs/>
          <w:i/>
        </w:rPr>
        <w:t xml:space="preserve">śūra</w:t>
      </w:r>
      <w:r>
        <w:t xml:space="preserve">, O Indra, hero in battle! By your</w:t>
      </w:r>
      <w:r>
        <w:t xml:space="preserve"> </w:t>
      </w:r>
      <w:r>
        <w:rPr>
          <w:iCs/>
          <w:i/>
        </w:rPr>
        <w:t xml:space="preserve">rātibhiḥ</w:t>
      </w:r>
      <w:r>
        <w:t xml:space="preserve"> </w:t>
      </w:r>
      <w:r>
        <w:t xml:space="preserve">— your gifts of wealth that have been the cause in the rites — I, the hotṛ,</w:t>
      </w:r>
      <w:r>
        <w:t xml:space="preserve"> </w:t>
      </w:r>
      <w:r>
        <w:rPr>
          <w:iCs/>
          <w:i/>
        </w:rPr>
        <w:t xml:space="preserve">prati āyam</w:t>
      </w:r>
      <w:r>
        <w:t xml:space="preserve">, have come back to you. In many earlier rites I received wealth from you; hence in this rite it is called a coming back. Doing what?</w:t>
      </w:r>
      <w:r>
        <w:t xml:space="preserve"> </w:t>
      </w:r>
      <w:r>
        <w:rPr>
          <w:iCs/>
          <w:i/>
        </w:rPr>
        <w:t xml:space="preserve">Sindhum āvadan</w:t>
      </w:r>
      <w:r>
        <w:t xml:space="preserve">: proclaiming on all sides the flowing Soma — publishing, at this Soma-sacrifice, your fame of giving wealth. O</w:t>
      </w:r>
      <w:r>
        <w:t xml:space="preserve"> </w:t>
      </w:r>
      <w:r>
        <w:rPr>
          <w:iCs/>
          <w:i/>
        </w:rPr>
        <w:t xml:space="preserve">girvaṇaḥ</w:t>
      </w:r>
      <w:r>
        <w:t xml:space="preserve"> </w:t>
      </w:r>
      <w:r>
        <w:t xml:space="preserve">— O Indra, to be served with praises —</w:t>
      </w:r>
      <w:r>
        <w:t xml:space="preserve"> </w:t>
      </w:r>
      <w:r>
        <w:rPr>
          <w:iCs/>
          <w:i/>
        </w:rPr>
        <w:t xml:space="preserve">kāravaḥ</w:t>
      </w:r>
      <w:r>
        <w:t xml:space="preserve">, the doers: the priests and sacrificers,</w:t>
      </w:r>
      <w:r>
        <w:t xml:space="preserve"> </w:t>
      </w:r>
      <w:r>
        <w:rPr>
          <w:iCs/>
          <w:i/>
        </w:rPr>
        <w:t xml:space="preserve">upātiṣṭhanta</w:t>
      </w:r>
      <w:r>
        <w:t xml:space="preserve">: stand near [you]. Formerly they came near you for the gain of wealth; and, having come near, they</w:t>
      </w:r>
      <w:r>
        <w:t xml:space="preserve"> </w:t>
      </w:r>
      <w:r>
        <w:rPr>
          <w:iCs/>
          <w:i/>
        </w:rPr>
        <w:t xml:space="preserve">viduḥ</w:t>
      </w:r>
      <w:r>
        <w:t xml:space="preserve"> </w:t>
      </w:r>
      <w:r>
        <w:t xml:space="preserve">— know — the giving of wealth of you, who are so endowed with generosity. Yāska explains the word</w:t>
      </w:r>
      <w:r>
        <w:t xml:space="preserve"> </w:t>
      </w:r>
      <w:r>
        <w:rPr>
          <w:iCs/>
          <w:i/>
        </w:rPr>
        <w:t xml:space="preserve">girvaṇas</w:t>
      </w:r>
      <w:r>
        <w:t xml:space="preserve"> </w:t>
      </w:r>
      <w:r>
        <w:t xml:space="preserve">thus:</w:t>
      </w:r>
      <w:r>
        <w:t xml:space="preserve"> </w:t>
      </w:r>
      <w:r>
        <w:t xml:space="preserve">‘</w:t>
      </w:r>
      <w:r>
        <w:rPr>
          <w:iCs/>
          <w:i/>
        </w:rPr>
        <w:t xml:space="preserve">girvaṇas</w:t>
      </w:r>
      <w:r>
        <w:t xml:space="preserve"> </w:t>
      </w:r>
      <w:r>
        <w:t xml:space="preserve">is a god; because they serve him with</w:t>
      </w:r>
      <w:r>
        <w:t xml:space="preserve"> </w:t>
      </w:r>
      <w:r>
        <w:rPr>
          <w:iCs/>
          <w:i/>
        </w:rPr>
        <w:t xml:space="preserve">gir</w:t>
      </w:r>
      <w:r>
        <w:t xml:space="preserve">s (praises)</w:t>
      </w:r>
      <w:r>
        <w:t xml:space="preserve">’</w:t>
      </w:r>
      <w:r>
        <w:t xml:space="preserve"> </w:t>
      </w:r>
      <w:r>
        <w:t xml:space="preserve">(Ni. 6-14). Among the thirteen words for</w:t>
      </w:r>
      <w:r>
        <w:t xml:space="preserve"> </w:t>
      </w:r>
      <w:r>
        <w:t xml:space="preserve">‘</w:t>
      </w:r>
      <w:r>
        <w:t xml:space="preserve">praiser,</w:t>
      </w:r>
      <w:r>
        <w:t xml:space="preserve">’</w:t>
      </w:r>
      <w:r>
        <w:t xml:space="preserve"> </w:t>
      </w:r>
      <w:r>
        <w:t xml:space="preserve">beginning with</w:t>
      </w:r>
      <w:r>
        <w:t xml:space="preserve"> </w:t>
      </w:r>
      <w:r>
        <w:rPr>
          <w:iCs/>
          <w:i/>
        </w:rPr>
        <w:t xml:space="preserve">rebhaḥ</w:t>
      </w:r>
      <w:r>
        <w:t xml:space="preserve"> </w:t>
      </w:r>
      <w:r>
        <w:t xml:space="preserve">and</w:t>
      </w:r>
      <w:r>
        <w:t xml:space="preserve"> </w:t>
      </w:r>
      <w:r>
        <w:rPr>
          <w:iCs/>
          <w:i/>
        </w:rPr>
        <w:t xml:space="preserve">jaritā</w:t>
      </w:r>
      <w:r>
        <w:t xml:space="preserve">, the word</w:t>
      </w:r>
      <w:r>
        <w:t xml:space="preserve"> </w:t>
      </w:r>
      <w:r>
        <w:rPr>
          <w:iCs/>
          <w:i/>
        </w:rPr>
        <w:t xml:space="preserve">kāru</w:t>
      </w:r>
      <w:r>
        <w:t xml:space="preserve"> </w:t>
      </w:r>
      <w:r>
        <w:t xml:space="preserve">is read.</w:t>
      </w:r>
      <w:r>
        <w:t xml:space="preserve">”</w:t>
      </w:r>
      <w:r>
        <w:t xml:space="preserve"> </w:t>
      </w:r>
      <w:r>
        <w:t xml:space="preserve">(Grammatical tail, on p. 471:</w:t>
      </w:r>
      <w:r>
        <w:t xml:space="preserve"> </w:t>
      </w:r>
      <w:r>
        <w:rPr>
          <w:iCs/>
          <w:i/>
        </w:rPr>
        <w:t xml:space="preserve">tava</w:t>
      </w:r>
      <w:r>
        <w:t xml:space="preserve"> </w:t>
      </w:r>
      <w:r>
        <w:t xml:space="preserve">initial-udātta by</w:t>
      </w:r>
      <w:r>
        <w:t xml:space="preserve"> </w:t>
      </w:r>
      <w:r>
        <w:t xml:space="preserve">“</w:t>
      </w:r>
      <w:r>
        <w:t xml:space="preserve">yuṣmadasmador ṅasi</w:t>
      </w:r>
      <w:r>
        <w:t xml:space="preserve">”</w:t>
      </w:r>
      <w:r>
        <w:t xml:space="preserve">;</w:t>
      </w:r>
      <w:r>
        <w:t xml:space="preserve"> </w:t>
      </w:r>
      <w:r>
        <w:rPr>
          <w:iCs/>
          <w:i/>
        </w:rPr>
        <w:t xml:space="preserve">rātibhiḥ</w:t>
      </w:r>
      <w:r>
        <w:t xml:space="preserve"> </w:t>
      </w:r>
      <w:r>
        <w:t xml:space="preserve">—</w:t>
      </w:r>
      <w:r>
        <w:t xml:space="preserve"> </w:t>
      </w:r>
      <w:r>
        <w:rPr>
          <w:iCs/>
          <w:i/>
        </w:rPr>
        <w:t xml:space="preserve">ktin</w:t>
      </w:r>
      <w:r>
        <w:t xml:space="preserve"> </w:t>
      </w:r>
      <w:r>
        <w:t xml:space="preserve">udātta by</w:t>
      </w:r>
      <w:r>
        <w:t xml:space="preserve"> </w:t>
      </w:r>
      <w:r>
        <w:t xml:space="preserve">“</w:t>
      </w:r>
      <w:r>
        <w:t xml:space="preserve">mantre vṛṣa…</w:t>
      </w:r>
      <w:r>
        <w:t xml:space="preserve">”</w:t>
      </w:r>
      <w:r>
        <w:t xml:space="preserve">;</w:t>
      </w:r>
      <w:r>
        <w:t xml:space="preserve"> </w:t>
      </w:r>
      <w:r>
        <w:rPr>
          <w:iCs/>
          <w:i/>
        </w:rPr>
        <w:t xml:space="preserve">āyam</w:t>
      </w:r>
      <w:r>
        <w:t xml:space="preserve"> </w:t>
      </w:r>
      <w:r>
        <w:t xml:space="preserve">—</w:t>
      </w:r>
      <w:r>
        <w:t xml:space="preserve"> </w:t>
      </w:r>
      <w:r>
        <w:rPr>
          <w:iCs/>
          <w:i/>
        </w:rPr>
        <w:t xml:space="preserve">laṅ</w:t>
      </w:r>
      <w:r>
        <w:t xml:space="preserve"> </w:t>
      </w:r>
      <w:r>
        <w:t xml:space="preserve">of</w:t>
      </w:r>
      <w:r>
        <w:t xml:space="preserve"> </w:t>
      </w:r>
      <w:r>
        <w:rPr>
          <w:iCs/>
          <w:i/>
        </w:rPr>
        <w:t xml:space="preserve">iṇ</w:t>
      </w:r>
      <w:r>
        <w:t xml:space="preserve">,</w:t>
      </w:r>
      <w:r>
        <w:t xml:space="preserve"> </w:t>
      </w:r>
      <w:r>
        <w:rPr>
          <w:iCs/>
          <w:i/>
        </w:rPr>
        <w:t xml:space="preserve">am</w:t>
      </w:r>
      <w:r>
        <w:t xml:space="preserve"> </w:t>
      </w:r>
      <w:r>
        <w:t xml:space="preserve">for</w:t>
      </w:r>
      <w:r>
        <w:t xml:space="preserve"> </w:t>
      </w:r>
      <w:r>
        <w:rPr>
          <w:iCs/>
          <w:i/>
        </w:rPr>
        <w:t xml:space="preserve">mip</w:t>
      </w:r>
      <w:r>
        <w:t xml:space="preserve"> </w:t>
      </w:r>
      <w:r>
        <w:t xml:space="preserve">by</w:t>
      </w:r>
      <w:r>
        <w:t xml:space="preserve"> </w:t>
      </w:r>
      <w:r>
        <w:t xml:space="preserve">“</w:t>
      </w:r>
      <w:r>
        <w:t xml:space="preserve">tas-thas-tha-mipāṃ tān-tan-tāmaḥ</w:t>
      </w:r>
      <w:r>
        <w:t xml:space="preserve">”</w:t>
      </w:r>
      <w:r>
        <w:t xml:space="preserve"> </w:t>
      </w:r>
      <w:r>
        <w:t xml:space="preserve">(Pā. 3-4-101),</w:t>
      </w:r>
      <w:r>
        <w:t xml:space="preserve"> </w:t>
      </w:r>
      <w:r>
        <w:rPr>
          <w:iCs/>
          <w:i/>
        </w:rPr>
        <w:t xml:space="preserve">śap</w:t>
      </w:r>
      <w:r>
        <w:t xml:space="preserve"> </w:t>
      </w:r>
      <w:r>
        <w:t xml:space="preserve">dropped, augment</w:t>
      </w:r>
      <w:r>
        <w:t xml:space="preserve"> </w:t>
      </w:r>
      <w:r>
        <w:rPr>
          <w:iCs/>
          <w:i/>
        </w:rPr>
        <w:t xml:space="preserve">āṭ</w:t>
      </w:r>
      <w:r>
        <w:t xml:space="preserve">,</w:t>
      </w:r>
      <w:r>
        <w:t xml:space="preserve"> </w:t>
      </w:r>
      <w:r>
        <w:rPr>
          <w:iCs/>
          <w:i/>
        </w:rPr>
        <w:t xml:space="preserve">vṛddhi</w:t>
      </w:r>
      <w:r>
        <w:t xml:space="preserve"> </w:t>
      </w:r>
      <w:r>
        <w:t xml:space="preserve">and</w:t>
      </w:r>
      <w:r>
        <w:t xml:space="preserve"> </w:t>
      </w:r>
      <w:r>
        <w:rPr>
          <w:iCs/>
          <w:i/>
        </w:rPr>
        <w:t xml:space="preserve">āy</w:t>
      </w:r>
      <w:r>
        <w:t xml:space="preserve">, unaccented by</w:t>
      </w:r>
      <w:r>
        <w:t xml:space="preserve"> </w:t>
      </w:r>
      <w:r>
        <w:t xml:space="preserve">“</w:t>
      </w:r>
      <w:r>
        <w:t xml:space="preserve">tiṅṅ atiṅaḥ</w:t>
      </w:r>
      <w:r>
        <w:t xml:space="preserve">”</w:t>
      </w:r>
      <w:r>
        <w:t xml:space="preserve">;</w:t>
      </w:r>
      <w:r>
        <w:t xml:space="preserve"> </w:t>
      </w:r>
      <w:r>
        <w:rPr>
          <w:iCs/>
          <w:i/>
        </w:rPr>
        <w:t xml:space="preserve">sindhum</w:t>
      </w:r>
      <w:r>
        <w:t xml:space="preserve"> </w:t>
      </w:r>
      <w:r>
        <w:t xml:space="preserve">—</w:t>
      </w:r>
      <w:r>
        <w:t xml:space="preserve"> </w:t>
      </w:r>
      <w:r>
        <w:rPr>
          <w:iCs/>
          <w:i/>
        </w:rPr>
        <w:t xml:space="preserve">syandū prasravaṇe</w:t>
      </w:r>
      <w:r>
        <w:t xml:space="preserve">, with</w:t>
      </w:r>
      <w:r>
        <w:t xml:space="preserve"> </w:t>
      </w:r>
      <w:r>
        <w:rPr>
          <w:iCs/>
          <w:i/>
        </w:rPr>
        <w:t xml:space="preserve">nit</w:t>
      </w:r>
      <w:r>
        <w:t xml:space="preserve"> </w:t>
      </w:r>
      <w:r>
        <w:t xml:space="preserve">carried over,</w:t>
      </w:r>
      <w:r>
        <w:t xml:space="preserve"> </w:t>
      </w:r>
      <w:r>
        <w:rPr>
          <w:iCs/>
          <w:i/>
        </w:rPr>
        <w:t xml:space="preserve">u</w:t>
      </w:r>
      <w:r>
        <w:t xml:space="preserve"> </w:t>
      </w:r>
      <w:r>
        <w:t xml:space="preserve">by</w:t>
      </w:r>
      <w:r>
        <w:t xml:space="preserve"> </w:t>
      </w:r>
      <w:r>
        <w:t xml:space="preserve">“</w:t>
      </w:r>
      <w:r>
        <w:t xml:space="preserve">syandeḥ samprasāraṇaṃ dhaś ca</w:t>
      </w:r>
      <w:r>
        <w:t xml:space="preserve">”</w:t>
      </w:r>
      <w:r>
        <w:t xml:space="preserve"> </w:t>
      </w:r>
      <w:r>
        <w:t xml:space="preserve">(Uṇ. 1-12),</w:t>
      </w:r>
      <w:r>
        <w:t xml:space="preserve"> </w:t>
      </w:r>
      <w:r>
        <w:rPr>
          <w:iCs/>
          <w:i/>
        </w:rPr>
        <w:t xml:space="preserve">dh</w:t>
      </w:r>
      <w:r>
        <w:t xml:space="preserve"> </w:t>
      </w:r>
      <w:r>
        <w:t xml:space="preserve">for the final, initial-udātta;</w:t>
      </w:r>
      <w:r>
        <w:t xml:space="preserve"> </w:t>
      </w:r>
      <w:r>
        <w:rPr>
          <w:iCs/>
          <w:i/>
        </w:rPr>
        <w:t xml:space="preserve">āvadan</w:t>
      </w:r>
      <w:r>
        <w:t xml:space="preserve"> </w:t>
      </w:r>
      <w:r>
        <w:t xml:space="preserve">—</w:t>
      </w:r>
      <w:r>
        <w:t xml:space="preserve"> </w:t>
      </w:r>
      <w:r>
        <w:rPr>
          <w:iCs/>
          <w:i/>
        </w:rPr>
        <w:t xml:space="preserve">śatṛ</w:t>
      </w:r>
      <w:r>
        <w:t xml:space="preserve"> </w:t>
      </w:r>
      <w:r>
        <w:t xml:space="preserve">after</w:t>
      </w:r>
      <w:r>
        <w:t xml:space="preserve"> </w:t>
      </w:r>
      <w:r>
        <w:rPr>
          <w:iCs/>
          <w:i/>
        </w:rPr>
        <w:t xml:space="preserve">vad</w:t>
      </w:r>
      <w:r>
        <w:t xml:space="preserve">, the root accent alone remaining, compounded with</w:t>
      </w:r>
      <w:r>
        <w:t xml:space="preserve"> </w:t>
      </w:r>
      <w:r>
        <w:rPr>
          <w:iCs/>
          <w:i/>
        </w:rPr>
        <w:t xml:space="preserve">ā</w:t>
      </w:r>
      <w:r>
        <w:t xml:space="preserve"> </w:t>
      </w:r>
      <w:r>
        <w:t xml:space="preserve">by</w:t>
      </w:r>
      <w:r>
        <w:t xml:space="preserve"> </w:t>
      </w:r>
      <w:r>
        <w:t xml:space="preserve">“</w:t>
      </w:r>
      <w:r>
        <w:t xml:space="preserve">kugatiprādayaḥ</w:t>
      </w:r>
      <w:r>
        <w:t xml:space="preserve">”</w:t>
      </w:r>
      <w:r>
        <w:t xml:space="preserve"> </w:t>
      </w:r>
      <w:r>
        <w:t xml:space="preserve">(Pā. 2-2-18), the</w:t>
      </w:r>
      <w:r>
        <w:t xml:space="preserve"> </w:t>
      </w:r>
      <w:r>
        <w:rPr>
          <w:iCs/>
          <w:i/>
        </w:rPr>
        <w:t xml:space="preserve">kṛt</w:t>
      </w:r>
      <w:r>
        <w:t xml:space="preserve"> </w:t>
      </w:r>
      <w:r>
        <w:t xml:space="preserve">second member keeping its accent;</w:t>
      </w:r>
      <w:r>
        <w:t xml:space="preserve"> </w:t>
      </w:r>
      <w:r>
        <w:rPr>
          <w:iCs/>
          <w:i/>
        </w:rPr>
        <w:t xml:space="preserve">atiṣṭhanta</w:t>
      </w:r>
      <w:r>
        <w:t xml:space="preserve"> </w:t>
      </w:r>
      <w:r>
        <w:t xml:space="preserve">— ātmanepada by</w:t>
      </w:r>
      <w:r>
        <w:t xml:space="preserve"> </w:t>
      </w:r>
      <w:r>
        <w:t xml:space="preserve">“</w:t>
      </w:r>
      <w:r>
        <w:t xml:space="preserve">upān mantrakaraṇe</w:t>
      </w:r>
      <w:r>
        <w:t xml:space="preserve">”</w:t>
      </w:r>
      <w:r>
        <w:t xml:space="preserve"> </w:t>
      </w:r>
      <w:r>
        <w:t xml:space="preserve">(Pā. 1-3-25);</w:t>
      </w:r>
      <w:r>
        <w:t xml:space="preserve"> </w:t>
      </w:r>
      <w:r>
        <w:rPr>
          <w:iCs/>
          <w:i/>
        </w:rPr>
        <w:t xml:space="preserve">girvaṇaḥ</w:t>
      </w:r>
      <w:r>
        <w:t xml:space="preserve"> </w:t>
      </w:r>
      <w:r>
        <w:t xml:space="preserve">unaccented as a vocative;</w:t>
      </w:r>
      <w:r>
        <w:t xml:space="preserve"> </w:t>
      </w:r>
      <w:r>
        <w:rPr>
          <w:iCs/>
          <w:i/>
        </w:rPr>
        <w:t xml:space="preserve">viduḥ</w:t>
      </w:r>
      <w:r>
        <w:t xml:space="preserve"> </w:t>
      </w:r>
      <w:r>
        <w:t xml:space="preserve">—</w:t>
      </w:r>
      <w:r>
        <w:t xml:space="preserve"> </w:t>
      </w:r>
      <w:r>
        <w:rPr>
          <w:iCs/>
          <w:i/>
        </w:rPr>
        <w:t xml:space="preserve">us</w:t>
      </w:r>
      <w:r>
        <w:t xml:space="preserve"> </w:t>
      </w:r>
      <w:r>
        <w:t xml:space="preserve">for</w:t>
      </w:r>
      <w:r>
        <w:t xml:space="preserve"> </w:t>
      </w:r>
      <w:r>
        <w:rPr>
          <w:iCs/>
          <w:i/>
        </w:rPr>
        <w:t xml:space="preserve">jhi</w:t>
      </w:r>
      <w:r>
        <w:t xml:space="preserve"> </w:t>
      </w:r>
      <w:r>
        <w:t xml:space="preserve">by</w:t>
      </w:r>
      <w:r>
        <w:t xml:space="preserve"> </w:t>
      </w:r>
      <w:r>
        <w:t xml:space="preserve">“</w:t>
      </w:r>
      <w:r>
        <w:t xml:space="preserve">vido laṭo vā</w:t>
      </w:r>
      <w:r>
        <w:t xml:space="preserve">”</w:t>
      </w:r>
      <w:r>
        <w:t xml:space="preserve"> </w:t>
      </w:r>
      <w:r>
        <w:t xml:space="preserve">(Pā. 3-4-83), not unaccented as it begins a pāda; in the Saṃhitā</w:t>
      </w:r>
      <w:r>
        <w:t xml:space="preserve"> </w:t>
      </w:r>
      <w:r>
        <w:rPr>
          <w:iCs/>
          <w:i/>
        </w:rPr>
        <w:t xml:space="preserve">ṣ</w:t>
      </w:r>
      <w:r>
        <w:t xml:space="preserve"> </w:t>
      </w:r>
      <w:r>
        <w:t xml:space="preserve">by</w:t>
      </w:r>
      <w:r>
        <w:t xml:space="preserve"> </w:t>
      </w:r>
      <w:r>
        <w:t xml:space="preserve">“</w:t>
      </w:r>
      <w:r>
        <w:t xml:space="preserve">yuṣmat-tat-takṣuḥṣv antaḥpādam</w:t>
      </w:r>
      <w:r>
        <w:t xml:space="preserve">”</w:t>
      </w:r>
      <w:r>
        <w:t xml:space="preserve"> </w:t>
      </w:r>
      <w:r>
        <w:t xml:space="preserve">(Pā. 8-3-103) and</w:t>
      </w:r>
      <w:r>
        <w:t xml:space="preserve"> </w:t>
      </w:r>
      <w:r>
        <w:rPr>
          <w:iCs/>
          <w:i/>
        </w:rPr>
        <w:t xml:space="preserve">ṭ</w:t>
      </w:r>
      <w:r>
        <w:t xml:space="preserve"> </w:t>
      </w:r>
      <w:r>
        <w:t xml:space="preserve">by</w:t>
      </w:r>
      <w:r>
        <w:t xml:space="preserve"> </w:t>
      </w:r>
      <w:r>
        <w:t xml:space="preserve">“</w:t>
      </w:r>
      <w:r>
        <w:t xml:space="preserve">ṣṭunā ṣṭuḥ</w:t>
      </w:r>
      <w:r>
        <w:t xml:space="preserve">”</w:t>
      </w:r>
      <w:r>
        <w:t xml:space="preserve">;</w:t>
      </w:r>
      <w:r>
        <w:t xml:space="preserve"> </w:t>
      </w:r>
      <w:r>
        <w:rPr>
          <w:iCs/>
          <w:i/>
        </w:rPr>
        <w:t xml:space="preserve">tasya</w:t>
      </w:r>
      <w:r>
        <w:t xml:space="preserve"> </w:t>
      </w:r>
      <w:r>
        <w:t xml:space="preserve">— the case-ending udātta of</w:t>
      </w:r>
      <w:r>
        <w:t xml:space="preserve"> </w:t>
      </w:r>
      <w:r>
        <w:t xml:space="preserve">“</w:t>
      </w:r>
      <w:r>
        <w:t xml:space="preserve">sāv ekācaḥ</w:t>
      </w:r>
      <w:r>
        <w:t xml:space="preserve">”</w:t>
      </w:r>
      <w:r>
        <w:t xml:space="preserve"> </w:t>
      </w:r>
      <w:r>
        <w:t xml:space="preserve">barred by</w:t>
      </w:r>
      <w:r>
        <w:t xml:space="preserve"> </w:t>
      </w:r>
      <w:r>
        <w:t xml:space="preserve">“</w:t>
      </w:r>
      <w:r>
        <w:t xml:space="preserve">na go-śvan-sāv-avarṇa…</w:t>
      </w:r>
      <w:r>
        <w:t xml:space="preserve">”</w:t>
      </w:r>
      <w:r>
        <w:t xml:space="preserve">;</w:t>
      </w:r>
      <w:r>
        <w:t xml:space="preserve"> </w:t>
      </w:r>
      <w:r>
        <w:rPr>
          <w:iCs/>
          <w:i/>
        </w:rPr>
        <w:t xml:space="preserve">kāravaḥ</w:t>
      </w:r>
      <w:r>
        <w:t xml:space="preserve"> </w:t>
      </w:r>
      <w:r>
        <w:t xml:space="preserve">—</w:t>
      </w:r>
      <w:r>
        <w:t xml:space="preserve"> </w:t>
      </w:r>
      <w:r>
        <w:rPr>
          <w:iCs/>
          <w:i/>
        </w:rPr>
        <w:t xml:space="preserve">uṇ</w:t>
      </w:r>
      <w:r>
        <w:t xml:space="preserve"> </w:t>
      </w:r>
      <w:r>
        <w:t xml:space="preserve">by</w:t>
      </w:r>
      <w:r>
        <w:t xml:space="preserve"> </w:t>
      </w:r>
      <w:r>
        <w:t xml:space="preserve">“</w:t>
      </w:r>
      <w:r>
        <w:t xml:space="preserve">kṛ-vā-pā-ji…</w:t>
      </w:r>
      <w:r>
        <w:t xml:space="preserve">”</w:t>
      </w:r>
      <w:r>
        <w:t xml:space="preserve"> </w:t>
      </w:r>
      <w:r>
        <w:t xml:space="preserve">(Uṇ. 1-1), suffix accent.)</w:t>
      </w:r>
    </w:p>
    <w:bookmarkEnd w:id="483"/>
    <w:bookmarkStart w:id="484" w:name="X43536cb438cd6f1c63948905d93a17cbb3317df"/>
    <w:p>
      <w:pPr>
        <w:pStyle w:val="Heading3"/>
      </w:pPr>
      <w:r>
        <w:t xml:space="preserve">Page 471 — Rik 6: word-meanings, overall sense, English</w:t>
      </w:r>
    </w:p>
    <w:p>
      <w:pPr>
        <w:pStyle w:val="FirstParagraph"/>
      </w:pPr>
      <w:r>
        <w:rPr>
          <w:bCs/>
          <w:b/>
        </w:rPr>
        <w:t xml:space="preserve">॥ Prati-padārthaḥ ॥</w:t>
      </w:r>
    </w:p>
    <w:p>
      <w:pPr>
        <w:pStyle w:val="BodyText"/>
      </w:pPr>
      <w:r>
        <w:rPr>
          <w:bCs/>
          <w:b/>
        </w:rPr>
        <w:t xml:space="preserve">(हे) शूर ((he) śūra)</w:t>
      </w:r>
      <w:r>
        <w:t xml:space="preserve"> </w:t>
      </w:r>
      <w:r>
        <w:t xml:space="preserve">— O Indra, endowed with prowess (in battle) |</w:t>
      </w:r>
      <w:r>
        <w:t xml:space="preserve"> </w:t>
      </w:r>
      <w:r>
        <w:rPr>
          <w:bCs/>
          <w:b/>
        </w:rPr>
        <w:t xml:space="preserve">तव (tava)</w:t>
      </w:r>
      <w:r>
        <w:t xml:space="preserve"> </w:t>
      </w:r>
      <w:r>
        <w:t xml:space="preserve">— your |</w:t>
      </w:r>
      <w:r>
        <w:t xml:space="preserve"> </w:t>
      </w:r>
      <w:r>
        <w:rPr>
          <w:bCs/>
          <w:b/>
        </w:rPr>
        <w:t xml:space="preserve">रातिभिः (rātibhiḥ)</w:t>
      </w:r>
      <w:r>
        <w:t xml:space="preserve"> </w:t>
      </w:r>
      <w:r>
        <w:t xml:space="preserve">— by gifts of wealth |</w:t>
      </w:r>
      <w:r>
        <w:t xml:space="preserve"> </w:t>
      </w:r>
      <w:r>
        <w:rPr>
          <w:bCs/>
          <w:b/>
        </w:rPr>
        <w:t xml:space="preserve">(अहम्) (aham)</w:t>
      </w:r>
      <w:r>
        <w:t xml:space="preserve"> </w:t>
      </w:r>
      <w:r>
        <w:t xml:space="preserve">— I |</w:t>
      </w:r>
      <w:r>
        <w:t xml:space="preserve"> </w:t>
      </w:r>
      <w:r>
        <w:rPr>
          <w:bCs/>
          <w:b/>
        </w:rPr>
        <w:t xml:space="preserve">सिन्धुम् आवदन् (sindhum āvadan)</w:t>
      </w:r>
      <w:r>
        <w:t xml:space="preserve"> </w:t>
      </w:r>
      <w:r>
        <w:t xml:space="preserve">— praising the Soma-juice that is to be offered to you |</w:t>
      </w:r>
      <w:r>
        <w:t xml:space="preserve"> </w:t>
      </w:r>
      <w:r>
        <w:rPr>
          <w:bCs/>
          <w:b/>
        </w:rPr>
        <w:t xml:space="preserve">प्रति आयम् (prati āyam)</w:t>
      </w:r>
      <w:r>
        <w:t xml:space="preserve"> </w:t>
      </w:r>
      <w:r>
        <w:t xml:space="preserve">— have come again to you |</w:t>
      </w:r>
      <w:r>
        <w:t xml:space="preserve"> </w:t>
      </w:r>
      <w:r>
        <w:rPr>
          <w:bCs/>
          <w:b/>
        </w:rPr>
        <w:t xml:space="preserve">(हे) गिर्वणः ((he) girvaṇaḥ)</w:t>
      </w:r>
      <w:r>
        <w:t xml:space="preserve"> </w:t>
      </w:r>
      <w:r>
        <w:t xml:space="preserve">— O Indra, praised by words |</w:t>
      </w:r>
      <w:r>
        <w:t xml:space="preserve"> </w:t>
      </w:r>
      <w:r>
        <w:rPr>
          <w:bCs/>
          <w:b/>
        </w:rPr>
        <w:t xml:space="preserve">कारवः (kāravaḥ)</w:t>
      </w:r>
      <w:r>
        <w:t xml:space="preserve"> </w:t>
      </w:r>
      <w:r>
        <w:t xml:space="preserve">— priests, sacrificers and others who perform the rites |</w:t>
      </w:r>
      <w:r>
        <w:t xml:space="preserve"> </w:t>
      </w:r>
      <w:r>
        <w:rPr>
          <w:bCs/>
          <w:b/>
        </w:rPr>
        <w:t xml:space="preserve">उप अतिष्ठन्त (upa atiṣṭhanta)</w:t>
      </w:r>
      <w:r>
        <w:t xml:space="preserve"> </w:t>
      </w:r>
      <w:r>
        <w:t xml:space="preserve">— stand near you (pray to you) |</w:t>
      </w:r>
      <w:r>
        <w:t xml:space="preserve"> </w:t>
      </w:r>
      <w:r>
        <w:rPr>
          <w:iCs/>
          <w:i/>
        </w:rPr>
        <w:t xml:space="preserve">(and)</w:t>
      </w:r>
      <w:r>
        <w:t xml:space="preserve"> </w:t>
      </w:r>
      <w:r>
        <w:rPr>
          <w:bCs/>
          <w:b/>
        </w:rPr>
        <w:t xml:space="preserve">ते (te)</w:t>
      </w:r>
      <w:r>
        <w:t xml:space="preserve"> </w:t>
      </w:r>
      <w:r>
        <w:t xml:space="preserve">— your |</w:t>
      </w:r>
      <w:r>
        <w:t xml:space="preserve"> </w:t>
      </w:r>
      <w:r>
        <w:rPr>
          <w:bCs/>
          <w:b/>
        </w:rPr>
        <w:t xml:space="preserve">(धनप्रदानम्) (dhanapradānam)</w:t>
      </w:r>
      <w:r>
        <w:t xml:space="preserve"> </w:t>
      </w:r>
      <w:r>
        <w:t xml:space="preserve">— giving of wealth |</w:t>
      </w:r>
      <w:r>
        <w:t xml:space="preserve"> </w:t>
      </w:r>
      <w:r>
        <w:rPr>
          <w:bCs/>
          <w:b/>
        </w:rPr>
        <w:t xml:space="preserve">विदुः (viduḥ)</w:t>
      </w:r>
      <w:r>
        <w:t xml:space="preserve"> </w:t>
      </w:r>
      <w:r>
        <w:t xml:space="preserve">— have known.</w:t>
      </w:r>
    </w:p>
    <w:p>
      <w:pPr>
        <w:pStyle w:val="BodyText"/>
      </w:pPr>
      <w:r>
        <w:rPr>
          <w:bCs/>
          <w:b/>
        </w:rPr>
        <w:t xml:space="preserve">॥ Bhāvārthaḥ ॥</w:t>
      </w:r>
    </w:p>
    <w:p>
      <w:pPr>
        <w:pStyle w:val="BodyText"/>
      </w:pPr>
      <w:r>
        <w:t xml:space="preserve">O Indra, hero! Moved by the gifts of wealth and the like that you gave before, I have come to you again, praising the virtues of the Soma-juice I offer you; and the priests, sacrificers and others who perform sacrificial rites also stand near you, having known your generosity.</w:t>
      </w:r>
    </w:p>
    <w:p>
      <w:pPr>
        <w:pStyle w:val="BodyText"/>
      </w:pPr>
      <w:r>
        <w:rPr>
          <w:bCs/>
          <w:b/>
        </w:rPr>
        <w:t xml:space="preserve">॥ English Translation ॥</w:t>
      </w:r>
      <w:r>
        <w:t xml:space="preserve"> </w:t>
      </w:r>
      <w:r>
        <w:rPr>
          <w:iCs/>
          <w:i/>
        </w:rPr>
        <w:t xml:space="preserve">(as printed in the source)</w:t>
      </w:r>
    </w:p>
    <w:p>
      <w:pPr>
        <w:pStyle w:val="BlockText"/>
      </w:pPr>
      <w:r>
        <w:t xml:space="preserve">O Hero, attracted by your bounties, I again come praising the Soma libation to be offered to you; the performers of the rite approach you who are worthy of praise, for they have known your liberalities.</w:t>
      </w:r>
    </w:p>
    <w:bookmarkEnd w:id="484"/>
    <w:bookmarkStart w:id="485" w:name="Xa0f9ce88bc8a65767c37b80cd6b86933c58350e"/>
    <w:p>
      <w:pPr>
        <w:pStyle w:val="Heading3"/>
      </w:pPr>
      <w:r>
        <w:t xml:space="preserve">Page 472 — Rik 6: Special Topics and grammar begins</w:t>
      </w:r>
    </w:p>
    <w:p>
      <w:pPr>
        <w:pStyle w:val="FirstParagraph"/>
      </w:pPr>
      <w:r>
        <w:rPr>
          <w:bCs/>
          <w:b/>
        </w:rPr>
        <w:t xml:space="preserve">॥ Viśeṣa-viṣayagaḷu (Special Topics) ॥</w:t>
      </w:r>
    </w:p>
    <w:p>
      <w:pPr>
        <w:pStyle w:val="BodyText"/>
      </w:pPr>
      <w:r>
        <w:rPr>
          <w:bCs/>
          <w:b/>
        </w:rPr>
        <w:t xml:space="preserve">“</w:t>
      </w:r>
      <w:r>
        <w:rPr>
          <w:bCs/>
          <w:b/>
        </w:rPr>
        <w:t xml:space="preserve">Sindhum ā vadan</w:t>
      </w:r>
      <w:r>
        <w:rPr>
          <w:bCs/>
          <w:b/>
        </w:rPr>
        <w:t xml:space="preserve">”</w:t>
      </w:r>
      <w:r>
        <w:t xml:space="preserve"> </w:t>
      </w:r>
      <w:r>
        <w:t xml:space="preserve">— the word</w:t>
      </w:r>
      <w:r>
        <w:t xml:space="preserve"> </w:t>
      </w:r>
      <w:r>
        <w:rPr>
          <w:iCs/>
          <w:i/>
        </w:rPr>
        <w:t xml:space="preserve">sindhu</w:t>
      </w:r>
      <w:r>
        <w:t xml:space="preserve"> </w:t>
      </w:r>
      <w:r>
        <w:t xml:space="preserve">is derived from the root</w:t>
      </w:r>
      <w:r>
        <w:t xml:space="preserve"> </w:t>
      </w:r>
      <w:r>
        <w:rPr>
          <w:iCs/>
          <w:i/>
        </w:rPr>
        <w:t xml:space="preserve">syandū prasravaṇe</w:t>
      </w:r>
      <w:r>
        <w:t xml:space="preserve"> </w:t>
      </w:r>
      <w:r>
        <w:t xml:space="preserve">(</w:t>
      </w:r>
      <w:r>
        <w:t xml:space="preserve">“</w:t>
      </w:r>
      <w:r>
        <w:t xml:space="preserve">to flow</w:t>
      </w:r>
      <w:r>
        <w:t xml:space="preserve">”</w:t>
      </w:r>
      <w:r>
        <w:t xml:space="preserve">); the sense is</w:t>
      </w:r>
      <w:r>
        <w:t xml:space="preserve"> </w:t>
      </w:r>
      <w:r>
        <w:t xml:space="preserve">“</w:t>
      </w:r>
      <w:r>
        <w:t xml:space="preserve">the Soma-juice that, when the creeper is pressed, is born and flows out in streams.</w:t>
      </w:r>
      <w:r>
        <w:t xml:space="preserve">”</w:t>
      </w:r>
      <w:r>
        <w:t xml:space="preserve"> </w:t>
      </w:r>
      <w:r>
        <w:rPr>
          <w:iCs/>
          <w:i/>
        </w:rPr>
        <w:t xml:space="preserve">Āvadan</w:t>
      </w:r>
      <w:r>
        <w:t xml:space="preserve"> </w:t>
      </w:r>
      <w:r>
        <w:t xml:space="preserve">means</w:t>
      </w:r>
      <w:r>
        <w:t xml:space="preserve"> </w:t>
      </w:r>
      <w:r>
        <w:t xml:space="preserve">“</w:t>
      </w:r>
      <w:r>
        <w:t xml:space="preserve">praising</w:t>
      </w:r>
      <w:r>
        <w:t xml:space="preserve">”</w:t>
      </w:r>
      <w:r>
        <w:t xml:space="preserve">: describing the delights and the like that come from drinking Soma.</w:t>
      </w:r>
    </w:p>
    <w:p>
      <w:pPr>
        <w:pStyle w:val="BodyText"/>
      </w:pPr>
      <w:r>
        <w:rPr>
          <w:bCs/>
          <w:b/>
        </w:rPr>
        <w:t xml:space="preserve">“</w:t>
      </w:r>
      <w:r>
        <w:rPr>
          <w:bCs/>
          <w:b/>
        </w:rPr>
        <w:t xml:space="preserve">Upa atiṣṭhanta</w:t>
      </w:r>
      <w:r>
        <w:rPr>
          <w:bCs/>
          <w:b/>
        </w:rPr>
        <w:t xml:space="preserve">”</w:t>
      </w:r>
      <w:r>
        <w:t xml:space="preserve"> </w:t>
      </w:r>
      <w:r>
        <w:t xml:space="preserve">—</w:t>
      </w:r>
      <w:r>
        <w:t xml:space="preserve"> </w:t>
      </w:r>
      <w:r>
        <w:t xml:space="preserve">“</w:t>
      </w:r>
      <w:r>
        <w:t xml:space="preserve">we are near, we come near;</w:t>
      </w:r>
      <w:r>
        <w:t xml:space="preserve"> </w:t>
      </w:r>
      <w:r>
        <w:rPr>
          <w:iCs/>
          <w:i/>
        </w:rPr>
        <w:t xml:space="preserve">approach you</w:t>
      </w:r>
      <w:r>
        <w:t xml:space="preserve">”</w:t>
      </w:r>
      <w:r>
        <w:t xml:space="preserve"> </w:t>
      </w:r>
      <w:r>
        <w:t xml:space="preserve">[the source’s own English]: that is, we pray to you.</w:t>
      </w:r>
    </w:p>
    <w:p>
      <w:pPr>
        <w:pStyle w:val="BodyText"/>
      </w:pPr>
      <w:r>
        <w:rPr>
          <w:bCs/>
          <w:b/>
        </w:rPr>
        <w:t xml:space="preserve">“</w:t>
      </w:r>
      <w:r>
        <w:rPr>
          <w:bCs/>
          <w:b/>
        </w:rPr>
        <w:t xml:space="preserve">Viduḥ te</w:t>
      </w:r>
      <w:r>
        <w:rPr>
          <w:bCs/>
          <w:b/>
        </w:rPr>
        <w:t xml:space="preserve">”</w:t>
      </w:r>
      <w:r>
        <w:t xml:space="preserve"> </w:t>
      </w:r>
      <w:r>
        <w:t xml:space="preserve">— if the word</w:t>
      </w:r>
      <w:r>
        <w:t xml:space="preserve"> </w:t>
      </w:r>
      <w:r>
        <w:rPr>
          <w:iCs/>
          <w:i/>
        </w:rPr>
        <w:t xml:space="preserve">dhanadānam</w:t>
      </w:r>
      <w:r>
        <w:t xml:space="preserve"> </w:t>
      </w:r>
      <w:r>
        <w:t xml:space="preserve">(</w:t>
      </w:r>
      <w:r>
        <w:t xml:space="preserve">“</w:t>
      </w:r>
      <w:r>
        <w:t xml:space="preserve">giving of wealth</w:t>
      </w:r>
      <w:r>
        <w:t xml:space="preserve">”</w:t>
      </w:r>
      <w:r>
        <w:t xml:space="preserve">) is not supplied with these words, no proper sense results. The usage</w:t>
      </w:r>
      <w:r>
        <w:t xml:space="preserve"> </w:t>
      </w:r>
      <w:r>
        <w:rPr>
          <w:iCs/>
          <w:i/>
        </w:rPr>
        <w:t xml:space="preserve">viduṣṭe</w:t>
      </w:r>
      <w:r>
        <w:t xml:space="preserve"> </w:t>
      </w:r>
      <w:r>
        <w:t xml:space="preserve">occurs also in the next rik.</w:t>
      </w:r>
    </w:p>
    <w:p>
      <w:pPr>
        <w:pStyle w:val="BodyText"/>
      </w:pPr>
      <w:r>
        <w:rPr>
          <w:bCs/>
          <w:b/>
        </w:rPr>
        <w:t xml:space="preserve">“</w:t>
      </w:r>
      <w:r>
        <w:rPr>
          <w:bCs/>
          <w:b/>
        </w:rPr>
        <w:t xml:space="preserve">Kāravaḥ</w:t>
      </w:r>
      <w:r>
        <w:rPr>
          <w:bCs/>
          <w:b/>
        </w:rPr>
        <w:t xml:space="preserve">”</w:t>
      </w:r>
      <w:r>
        <w:t xml:space="preserve"> </w:t>
      </w:r>
      <w:r>
        <w:t xml:space="preserve">—</w:t>
      </w:r>
      <w:r>
        <w:t xml:space="preserve"> </w:t>
      </w:r>
      <w:r>
        <w:rPr>
          <w:iCs/>
          <w:i/>
        </w:rPr>
        <w:t xml:space="preserve">kartāraḥ</w:t>
      </w:r>
      <w:r>
        <w:t xml:space="preserve">,</w:t>
      </w:r>
      <w:r>
        <w:t xml:space="preserve"> </w:t>
      </w:r>
      <w:r>
        <w:t xml:space="preserve">“</w:t>
      </w:r>
      <w:r>
        <w:t xml:space="preserve">those who do</w:t>
      </w:r>
      <w:r>
        <w:t xml:space="preserve">”</w:t>
      </w:r>
      <w:r>
        <w:t xml:space="preserve">; what they do has to be explained: they perform sacrificial rites or make hymns.</w:t>
      </w:r>
    </w:p>
    <w:p>
      <w:pPr>
        <w:pStyle w:val="BodyText"/>
      </w:pPr>
      <w:r>
        <w:rPr>
          <w:bCs/>
          <w:b/>
        </w:rPr>
        <w:t xml:space="preserve">॥ Vyākaraṇa-prakriyā ॥</w:t>
      </w:r>
      <w:r>
        <w:t xml:space="preserve"> </w:t>
      </w:r>
      <w:r>
        <w:rPr>
          <w:iCs/>
          <w:i/>
        </w:rPr>
        <w:t xml:space="preserve">(grammar pages 472–474, noted briefly; numbers checked against the print)</w:t>
      </w:r>
    </w:p>
    <w:p>
      <w:pPr>
        <w:pStyle w:val="BodyText"/>
      </w:pPr>
      <w:r>
        <w:rPr>
          <w:bCs/>
          <w:b/>
        </w:rPr>
        <w:t xml:space="preserve">तव (</w:t>
      </w:r>
      <w:r>
        <w:rPr>
          <w:iCs/>
          <w:i/>
          <w:bCs/>
          <w:b/>
        </w:rPr>
        <w:t xml:space="preserve">tava</w:t>
      </w:r>
      <w:r>
        <w:rPr>
          <w:bCs/>
          <w:b/>
        </w:rPr>
        <w:t xml:space="preserve">)</w:t>
      </w:r>
      <w:r>
        <w:t xml:space="preserve"> </w:t>
      </w:r>
      <w:r>
        <w:t xml:space="preserve">—</w:t>
      </w:r>
      <w:r>
        <w:t xml:space="preserve"> </w:t>
      </w:r>
      <w:r>
        <w:rPr>
          <w:iCs/>
          <w:i/>
        </w:rPr>
        <w:t xml:space="preserve">yuṣmad</w:t>
      </w:r>
      <w:r>
        <w:t xml:space="preserve"> </w:t>
      </w:r>
      <w:r>
        <w:t xml:space="preserve">+ genitive singular</w:t>
      </w:r>
      <w:r>
        <w:t xml:space="preserve"> </w:t>
      </w:r>
      <w:r>
        <w:t xml:space="preserve">“</w:t>
      </w:r>
      <w:r>
        <w:rPr>
          <w:iCs/>
          <w:i/>
        </w:rPr>
        <w:t xml:space="preserve">jas</w:t>
      </w:r>
      <w:r>
        <w:t xml:space="preserve">”</w:t>
      </w:r>
      <w:r>
        <w:t xml:space="preserve"> </w:t>
      </w:r>
      <w:r>
        <w:t xml:space="preserve">[sic, for</w:t>
      </w:r>
      <w:r>
        <w:t xml:space="preserve"> </w:t>
      </w:r>
      <w:r>
        <w:rPr>
          <w:iCs/>
          <w:i/>
        </w:rPr>
        <w:t xml:space="preserve">ṅas</w:t>
      </w:r>
      <w:r>
        <w:t xml:space="preserve">]; before it</w:t>
      </w:r>
      <w:r>
        <w:t xml:space="preserve"> </w:t>
      </w:r>
      <w:r>
        <w:t xml:space="preserve">“</w:t>
      </w:r>
      <w:r>
        <w:t xml:space="preserve">tava-mamau ṅasi</w:t>
      </w:r>
      <w:r>
        <w:t xml:space="preserve">”</w:t>
      </w:r>
      <w:r>
        <w:t xml:space="preserve"> </w:t>
      </w:r>
      <w:r>
        <w:t xml:space="preserve">(Pā. 7-2-96) replaces</w:t>
      </w:r>
      <w:r>
        <w:t xml:space="preserve"> </w:t>
      </w:r>
      <w:r>
        <w:rPr>
          <w:iCs/>
          <w:i/>
        </w:rPr>
        <w:t xml:space="preserve">yuṣm</w:t>
      </w:r>
      <w:r>
        <w:t xml:space="preserve">, the part up to the</w:t>
      </w:r>
      <w:r>
        <w:t xml:space="preserve"> </w:t>
      </w:r>
      <w:r>
        <w:rPr>
          <w:iCs/>
          <w:i/>
        </w:rPr>
        <w:t xml:space="preserve">m</w:t>
      </w:r>
      <w:r>
        <w:t xml:space="preserve">, by</w:t>
      </w:r>
      <w:r>
        <w:t xml:space="preserve"> </w:t>
      </w:r>
      <w:r>
        <w:rPr>
          <w:iCs/>
          <w:i/>
        </w:rPr>
        <w:t xml:space="preserve">tava</w:t>
      </w:r>
      <w:r>
        <w:t xml:space="preserve">:</w:t>
      </w:r>
      <w:r>
        <w:t xml:space="preserve"> </w:t>
      </w:r>
      <w:r>
        <w:rPr>
          <w:iCs/>
          <w:i/>
        </w:rPr>
        <w:t xml:space="preserve">tava</w:t>
      </w:r>
      <w:r>
        <w:t xml:space="preserve"> </w:t>
      </w:r>
      <w:r>
        <w:t xml:space="preserve">+</w:t>
      </w:r>
      <w:r>
        <w:t xml:space="preserve"> </w:t>
      </w:r>
      <w:r>
        <w:rPr>
          <w:iCs/>
          <w:i/>
        </w:rPr>
        <w:t xml:space="preserve">ad</w:t>
      </w:r>
      <w:r>
        <w:t xml:space="preserve"> </w:t>
      </w:r>
      <w:r>
        <w:t xml:space="preserve">+</w:t>
      </w:r>
      <w:r>
        <w:t xml:space="preserve"> </w:t>
      </w:r>
      <w:r>
        <w:rPr>
          <w:iCs/>
          <w:i/>
        </w:rPr>
        <w:t xml:space="preserve">ṅas</w:t>
      </w:r>
      <w:r>
        <w:t xml:space="preserve">;</w:t>
      </w:r>
      <w:r>
        <w:t xml:space="preserve"> </w:t>
      </w:r>
      <w:r>
        <w:rPr>
          <w:iCs/>
          <w:i/>
        </w:rPr>
        <w:t xml:space="preserve">pararūpa</w:t>
      </w:r>
      <w:r>
        <w:t xml:space="preserve"> </w:t>
      </w:r>
      <w:r>
        <w:t xml:space="preserve">by</w:t>
      </w:r>
      <w:r>
        <w:t xml:space="preserve"> </w:t>
      </w:r>
      <w:r>
        <w:t xml:space="preserve">“</w:t>
      </w:r>
      <w:r>
        <w:t xml:space="preserve">ato guṇe</w:t>
      </w:r>
      <w:r>
        <w:t xml:space="preserve">”</w:t>
      </w:r>
      <w:r>
        <w:t xml:space="preserve"> </w:t>
      </w:r>
      <w:r>
        <w:t xml:space="preserve">(Pā. 6-1-97):</w:t>
      </w:r>
      <w:r>
        <w:t xml:space="preserve"> </w:t>
      </w:r>
      <w:r>
        <w:rPr>
          <w:iCs/>
          <w:i/>
        </w:rPr>
        <w:t xml:space="preserve">tavad</w:t>
      </w:r>
      <w:r>
        <w:t xml:space="preserve"> </w:t>
      </w:r>
      <w:r>
        <w:t xml:space="preserve">+</w:t>
      </w:r>
      <w:r>
        <w:t xml:space="preserve"> </w:t>
      </w:r>
      <w:r>
        <w:rPr>
          <w:iCs/>
          <w:i/>
        </w:rPr>
        <w:t xml:space="preserve">ṅas</w:t>
      </w:r>
      <w:r>
        <w:t xml:space="preserve">;</w:t>
      </w:r>
      <w:r>
        <w:t xml:space="preserve"> </w:t>
      </w:r>
      <w:r>
        <w:rPr>
          <w:iCs/>
          <w:i/>
        </w:rPr>
        <w:t xml:space="preserve">aś</w:t>
      </w:r>
      <w:r>
        <w:t xml:space="preserve"> </w:t>
      </w:r>
      <w:r>
        <w:t xml:space="preserve">for</w:t>
      </w:r>
      <w:r>
        <w:t xml:space="preserve"> </w:t>
      </w:r>
      <w:r>
        <w:rPr>
          <w:iCs/>
          <w:i/>
        </w:rPr>
        <w:t xml:space="preserve">ṅas</w:t>
      </w:r>
      <w:r>
        <w:t xml:space="preserve"> </w:t>
      </w:r>
      <w:r>
        <w:t xml:space="preserve">by</w:t>
      </w:r>
      <w:r>
        <w:t xml:space="preserve"> </w:t>
      </w:r>
      <w:r>
        <w:t xml:space="preserve">“</w:t>
      </w:r>
      <w:r>
        <w:t xml:space="preserve">yuṣmad-asmadbhyāṃ ṅaso ’ś</w:t>
      </w:r>
      <w:r>
        <w:t xml:space="preserve">”</w:t>
      </w:r>
      <w:r>
        <w:t xml:space="preserve"> </w:t>
      </w:r>
      <w:r>
        <w:t xml:space="preserve">(printed</w:t>
      </w:r>
      <w:r>
        <w:t xml:space="preserve"> </w:t>
      </w:r>
      <w:r>
        <w:t xml:space="preserve">“</w:t>
      </w:r>
      <w:r>
        <w:t xml:space="preserve">7-1-32</w:t>
      </w:r>
      <w:r>
        <w:t xml:space="preserve">”</w:t>
      </w:r>
      <w:r>
        <w:t xml:space="preserve"> </w:t>
      </w:r>
      <w:r>
        <w:t xml:space="preserve">[?]);</w:t>
      </w:r>
      <w:r>
        <w:t xml:space="preserve"> </w:t>
      </w:r>
      <w:r>
        <w:rPr>
          <w:iCs/>
          <w:i/>
        </w:rPr>
        <w:t xml:space="preserve">tavad</w:t>
      </w:r>
      <w:r>
        <w:t xml:space="preserve"> </w:t>
      </w:r>
      <w:r>
        <w:t xml:space="preserve">+</w:t>
      </w:r>
      <w:r>
        <w:t xml:space="preserve"> </w:t>
      </w:r>
      <w:r>
        <w:rPr>
          <w:iCs/>
          <w:i/>
        </w:rPr>
        <w:t xml:space="preserve">a</w:t>
      </w:r>
      <w:r>
        <w:t xml:space="preserve">: the</w:t>
      </w:r>
      <w:r>
        <w:t xml:space="preserve"> </w:t>
      </w:r>
      <w:r>
        <w:rPr>
          <w:iCs/>
          <w:i/>
        </w:rPr>
        <w:t xml:space="preserve">ṭi</w:t>
      </w:r>
      <w:r>
        <w:t xml:space="preserve"> </w:t>
      </w:r>
      <w:r>
        <w:t xml:space="preserve">dropped by</w:t>
      </w:r>
      <w:r>
        <w:t xml:space="preserve"> </w:t>
      </w:r>
      <w:r>
        <w:t xml:space="preserve">“</w:t>
      </w:r>
      <w:r>
        <w:t xml:space="preserve">śeṣe lopaḥ</w:t>
      </w:r>
      <w:r>
        <w:t xml:space="preserve">”</w:t>
      </w:r>
      <w:r>
        <w:t xml:space="preserve"> </w:t>
      </w:r>
      <w:r>
        <w:t xml:space="preserve">(Pā. 7-2-90):</w:t>
      </w:r>
      <w:r>
        <w:t xml:space="preserve"> </w:t>
      </w:r>
      <w:r>
        <w:rPr>
          <w:iCs/>
          <w:i/>
        </w:rPr>
        <w:t xml:space="preserve">tava</w:t>
      </w:r>
      <w:r>
        <w:t xml:space="preserve">; or, if</w:t>
      </w:r>
      <w:r>
        <w:t xml:space="preserve"> </w:t>
      </w:r>
      <w:r>
        <w:t xml:space="preserve">“</w:t>
      </w:r>
      <w:r>
        <w:t xml:space="preserve">śeṣe lopaḥ</w:t>
      </w:r>
      <w:r>
        <w:t xml:space="preserve">”</w:t>
      </w:r>
      <w:r>
        <w:t xml:space="preserve"> </w:t>
      </w:r>
      <w:r>
        <w:t xml:space="preserve">drops only the final</w:t>
      </w:r>
      <w:r>
        <w:t xml:space="preserve"> </w:t>
      </w:r>
      <w:r>
        <w:rPr>
          <w:iCs/>
          <w:i/>
        </w:rPr>
        <w:t xml:space="preserve">d</w:t>
      </w:r>
      <w:r>
        <w:t xml:space="preserve">,</w:t>
      </w:r>
      <w:r>
        <w:t xml:space="preserve"> </w:t>
      </w:r>
      <w:r>
        <w:rPr>
          <w:iCs/>
          <w:i/>
        </w:rPr>
        <w:t xml:space="preserve">pararūpa</w:t>
      </w:r>
      <w:r>
        <w:t xml:space="preserve"> </w:t>
      </w:r>
      <w:r>
        <w:t xml:space="preserve">by</w:t>
      </w:r>
      <w:r>
        <w:t xml:space="preserve"> </w:t>
      </w:r>
      <w:r>
        <w:t xml:space="preserve">“</w:t>
      </w:r>
      <w:r>
        <w:t xml:space="preserve">ato guṇe</w:t>
      </w:r>
      <w:r>
        <w:t xml:space="preserve">”</w:t>
      </w:r>
      <w:r>
        <w:t xml:space="preserve"> </w:t>
      </w:r>
      <w:r>
        <w:t xml:space="preserve">again gives</w:t>
      </w:r>
      <w:r>
        <w:t xml:space="preserve"> </w:t>
      </w:r>
      <w:r>
        <w:rPr>
          <w:iCs/>
          <w:i/>
        </w:rPr>
        <w:t xml:space="preserve">tava</w:t>
      </w:r>
      <w:r>
        <w:t xml:space="preserve">; initial-udātta by</w:t>
      </w:r>
      <w:r>
        <w:t xml:space="preserve"> </w:t>
      </w:r>
      <w:r>
        <w:t xml:space="preserve">“</w:t>
      </w:r>
      <w:r>
        <w:t xml:space="preserve">yuṣmad-asmador ṅasi</w:t>
      </w:r>
      <w:r>
        <w:t xml:space="preserve">”</w:t>
      </w:r>
      <w:r>
        <w:t xml:space="preserve"> </w:t>
      </w:r>
      <w:r>
        <w:t xml:space="preserve">(Pā. 6-1-211).</w:t>
      </w:r>
      <w:r>
        <w:t xml:space="preserve"> </w:t>
      </w:r>
      <w:r>
        <w:rPr>
          <w:bCs/>
          <w:b/>
        </w:rPr>
        <w:t xml:space="preserve">रातिभिः (</w:t>
      </w:r>
      <w:r>
        <w:rPr>
          <w:iCs/>
          <w:i/>
          <w:bCs/>
          <w:b/>
        </w:rPr>
        <w:t xml:space="preserve">rātibhiḥ</w:t>
      </w:r>
      <w:r>
        <w:rPr>
          <w:bCs/>
          <w:b/>
        </w:rPr>
        <w:t xml:space="preserve">)</w:t>
      </w:r>
      <w:r>
        <w:t xml:space="preserve"> </w:t>
      </w:r>
      <w:r>
        <w:t xml:space="preserve">— root</w:t>
      </w:r>
      <w:r>
        <w:t xml:space="preserve"> </w:t>
      </w:r>
      <w:r>
        <w:rPr>
          <w:iCs/>
          <w:i/>
        </w:rPr>
        <w:t xml:space="preserve">rā</w:t>
      </w:r>
      <w:r>
        <w:t xml:space="preserve"> </w:t>
      </w:r>
      <w:r>
        <w:t xml:space="preserve">“</w:t>
      </w:r>
      <w:r>
        <w:t xml:space="preserve">ādāne</w:t>
      </w:r>
      <w:r>
        <w:t xml:space="preserve">”</w:t>
      </w:r>
      <w:r>
        <w:t xml:space="preserve"> </w:t>
      </w:r>
      <w:r>
        <w:t xml:space="preserve">[as printed];</w:t>
      </w:r>
      <w:r>
        <w:t xml:space="preserve"> </w:t>
      </w:r>
      <w:r>
        <w:rPr>
          <w:iCs/>
          <w:i/>
        </w:rPr>
        <w:t xml:space="preserve">ktin</w:t>
      </w:r>
      <w:r>
        <w:t xml:space="preserve">, udātta, by</w:t>
      </w:r>
      <w:r>
        <w:t xml:space="preserve"> </w:t>
      </w:r>
      <w:r>
        <w:t xml:space="preserve">“</w:t>
      </w:r>
      <w:r>
        <w:t xml:space="preserve">mantre vṛṣeṣa-paca-mana-vida-bhū-vīrā udāttaḥ</w:t>
      </w:r>
      <w:r>
        <w:t xml:space="preserve">”</w:t>
      </w:r>
      <w:r>
        <w:t xml:space="preserve"> </w:t>
      </w:r>
      <w:r>
        <w:t xml:space="preserve">(Pā. 3-3-96); the following</w:t>
      </w:r>
      <w:r>
        <w:t xml:space="preserve"> </w:t>
      </w:r>
      <w:r>
        <w:rPr>
          <w:iCs/>
          <w:i/>
        </w:rPr>
        <w:t xml:space="preserve">bhis</w:t>
      </w:r>
      <w:r>
        <w:t xml:space="preserve"> </w:t>
      </w:r>
      <w:r>
        <w:t xml:space="preserve">unaccented.</w:t>
      </w:r>
      <w:r>
        <w:t xml:space="preserve"> </w:t>
      </w:r>
      <w:r>
        <w:rPr>
          <w:bCs/>
          <w:b/>
        </w:rPr>
        <w:t xml:space="preserve">आयम् (</w:t>
      </w:r>
      <w:r>
        <w:rPr>
          <w:iCs/>
          <w:i/>
          <w:bCs/>
          <w:b/>
        </w:rPr>
        <w:t xml:space="preserve">āyam</w:t>
      </w:r>
      <w:r>
        <w:rPr>
          <w:bCs/>
          <w:b/>
        </w:rPr>
        <w:t xml:space="preserve">)</w:t>
      </w:r>
      <w:r>
        <w:t xml:space="preserve"> </w:t>
      </w:r>
      <w:r>
        <w:t xml:space="preserve">— root</w:t>
      </w:r>
      <w:r>
        <w:t xml:space="preserve"> </w:t>
      </w:r>
      <w:r>
        <w:rPr>
          <w:iCs/>
          <w:i/>
        </w:rPr>
        <w:t xml:space="preserve">iṇ gatau</w:t>
      </w:r>
      <w:r>
        <w:t xml:space="preserve">;</w:t>
      </w:r>
      <w:r>
        <w:t xml:space="preserve"> </w:t>
      </w:r>
      <w:r>
        <w:rPr>
          <w:iCs/>
          <w:i/>
        </w:rPr>
        <w:t xml:space="preserve">laṅ</w:t>
      </w:r>
      <w:r>
        <w:t xml:space="preserve">, first singular</w:t>
      </w:r>
      <w:r>
        <w:t xml:space="preserve"> </w:t>
      </w:r>
      <w:r>
        <w:rPr>
          <w:iCs/>
          <w:i/>
        </w:rPr>
        <w:t xml:space="preserve">mip</w:t>
      </w:r>
      <w:r>
        <w:t xml:space="preserve">;</w:t>
      </w:r>
      <w:r>
        <w:t xml:space="preserve"> </w:t>
      </w:r>
      <w:r>
        <w:t xml:space="preserve">“</w:t>
      </w:r>
      <w:r>
        <w:t xml:space="preserve">tas-thas-tha-mipāṃ tān-tan-tāmaḥ</w:t>
      </w:r>
      <w:r>
        <w:t xml:space="preserve">”</w:t>
      </w:r>
      <w:r>
        <w:t xml:space="preserve"> </w:t>
      </w:r>
      <w:r>
        <w:t xml:space="preserve">(Pā. 3-4-101): for</w:t>
      </w:r>
      <w:r>
        <w:t xml:space="preserve"> </w:t>
      </w:r>
      <w:r>
        <w:rPr>
          <w:iCs/>
          <w:i/>
        </w:rPr>
        <w:t xml:space="preserve">tas</w:t>
      </w:r>
      <w:r>
        <w:t xml:space="preserve">,</w:t>
      </w:r>
      <w:r>
        <w:t xml:space="preserve"> </w:t>
      </w:r>
      <w:r>
        <w:rPr>
          <w:iCs/>
          <w:i/>
        </w:rPr>
        <w:t xml:space="preserve">thas</w:t>
      </w:r>
      <w:r>
        <w:t xml:space="preserve">,</w:t>
      </w:r>
      <w:r>
        <w:t xml:space="preserve"> </w:t>
      </w:r>
      <w:r>
        <w:rPr>
          <w:iCs/>
          <w:i/>
        </w:rPr>
        <w:t xml:space="preserve">tha</w:t>
      </w:r>
      <w:r>
        <w:t xml:space="preserve">,</w:t>
      </w:r>
      <w:r>
        <w:t xml:space="preserve"> </w:t>
      </w:r>
      <w:r>
        <w:rPr>
          <w:iCs/>
          <w:i/>
        </w:rPr>
        <w:t xml:space="preserve">mip</w:t>
      </w:r>
      <w:r>
        <w:t xml:space="preserve"> </w:t>
      </w:r>
      <w:r>
        <w:t xml:space="preserve">in place of a</w:t>
      </w:r>
      <w:r>
        <w:t xml:space="preserve"> </w:t>
      </w:r>
      <w:r>
        <w:rPr>
          <w:iCs/>
          <w:i/>
        </w:rPr>
        <w:t xml:space="preserve">ṅit</w:t>
      </w:r>
      <w:r>
        <w:t xml:space="preserve"> </w:t>
      </w:r>
      <w:r>
        <w:rPr>
          <w:iCs/>
          <w:i/>
        </w:rPr>
        <w:t xml:space="preserve">lakāra</w:t>
      </w:r>
      <w:r>
        <w:t xml:space="preserve">,</w:t>
      </w:r>
      <w:r>
        <w:t xml:space="preserve"> </w:t>
      </w:r>
      <w:r>
        <w:rPr>
          <w:iCs/>
          <w:i/>
        </w:rPr>
        <w:t xml:space="preserve">tām</w:t>
      </w:r>
      <w:r>
        <w:t xml:space="preserve">,</w:t>
      </w:r>
      <w:r>
        <w:t xml:space="preserve"> </w:t>
      </w:r>
      <w:r>
        <w:rPr>
          <w:iCs/>
          <w:i/>
        </w:rPr>
        <w:t xml:space="preserve">tam</w:t>
      </w:r>
      <w:r>
        <w:t xml:space="preserve">,</w:t>
      </w:r>
      <w:r>
        <w:t xml:space="preserve"> </w:t>
      </w:r>
      <w:r>
        <w:rPr>
          <w:iCs/>
          <w:i/>
        </w:rPr>
        <w:t xml:space="preserve">ta</w:t>
      </w:r>
      <w:r>
        <w:t xml:space="preserve">,</w:t>
      </w:r>
      <w:r>
        <w:t xml:space="preserve"> </w:t>
      </w:r>
      <w:r>
        <w:rPr>
          <w:iCs/>
          <w:i/>
        </w:rPr>
        <w:t xml:space="preserve">am</w:t>
      </w:r>
      <w:r>
        <w:t xml:space="preserve">:</w:t>
      </w:r>
      <w:r>
        <w:t xml:space="preserve"> </w:t>
      </w:r>
      <w:r>
        <w:rPr>
          <w:iCs/>
          <w:i/>
        </w:rPr>
        <w:t xml:space="preserve">i</w:t>
      </w:r>
      <w:r>
        <w:t xml:space="preserve"> </w:t>
      </w:r>
      <w:r>
        <w:t xml:space="preserve">+</w:t>
      </w:r>
      <w:r>
        <w:t xml:space="preserve"> </w:t>
      </w:r>
      <w:r>
        <w:rPr>
          <w:iCs/>
          <w:i/>
        </w:rPr>
        <w:t xml:space="preserve">am</w:t>
      </w:r>
      <w:r>
        <w:t xml:space="preserve">;</w:t>
      </w:r>
      <w:r>
        <w:t xml:space="preserve"> </w:t>
      </w:r>
      <w:r>
        <w:rPr>
          <w:iCs/>
          <w:i/>
        </w:rPr>
        <w:t xml:space="preserve">śap</w:t>
      </w:r>
      <w:r>
        <w:t xml:space="preserve"> </w:t>
      </w:r>
      <w:r>
        <w:t xml:space="preserve">by</w:t>
      </w:r>
      <w:r>
        <w:t xml:space="preserve"> </w:t>
      </w:r>
      <w:r>
        <w:t xml:space="preserve">“</w:t>
      </w:r>
      <w:r>
        <w:t xml:space="preserve">kartari śap</w:t>
      </w:r>
      <w:r>
        <w:t xml:space="preserve">”</w:t>
      </w:r>
      <w:r>
        <w:t xml:space="preserve"> </w:t>
      </w:r>
      <w:r>
        <w:t xml:space="preserve">(Pā. 3-1-68), dropped by</w:t>
      </w:r>
      <w:r>
        <w:t xml:space="preserve"> </w:t>
      </w:r>
      <w:r>
        <w:t xml:space="preserve">“</w:t>
      </w:r>
      <w:r>
        <w:t xml:space="preserve">adiprabhṛtibhyaḥ śapaḥ</w:t>
      </w:r>
      <w:r>
        <w:t xml:space="preserve">”</w:t>
      </w:r>
      <w:r>
        <w:t xml:space="preserve"> </w:t>
      </w:r>
      <w:r>
        <w:t xml:space="preserve">(Pā. 2-4-72); the augment</w:t>
      </w:r>
      <w:r>
        <w:t xml:space="preserve"> </w:t>
      </w:r>
      <w:r>
        <w:rPr>
          <w:iCs/>
          <w:i/>
        </w:rPr>
        <w:t xml:space="preserve">āṭ</w:t>
      </w:r>
      <w:r>
        <w:t xml:space="preserve"> </w:t>
      </w:r>
      <w:r>
        <w:t xml:space="preserve">by</w:t>
      </w:r>
      <w:r>
        <w:t xml:space="preserve"> </w:t>
      </w:r>
      <w:r>
        <w:t xml:space="preserve">“</w:t>
      </w:r>
      <w:r>
        <w:t xml:space="preserve">āḍ ajādīnām</w:t>
      </w:r>
      <w:r>
        <w:t xml:space="preserve">”</w:t>
      </w:r>
      <w:r>
        <w:t xml:space="preserve"> </w:t>
      </w:r>
      <w:r>
        <w:t xml:space="preserve">(Pā. 6-4-72),</w:t>
      </w:r>
      <w:r>
        <w:t xml:space="preserve"> </w:t>
      </w:r>
      <w:r>
        <w:rPr>
          <w:iCs/>
          <w:i/>
        </w:rPr>
        <w:t xml:space="preserve">vṛddhi</w:t>
      </w:r>
      <w:r>
        <w:t xml:space="preserve"> </w:t>
      </w:r>
      <w:r>
        <w:t xml:space="preserve">by</w:t>
      </w:r>
      <w:r>
        <w:t xml:space="preserve"> </w:t>
      </w:r>
      <w:r>
        <w:t xml:space="preserve">“</w:t>
      </w:r>
      <w:r>
        <w:t xml:space="preserve">āṭaś ca</w:t>
      </w:r>
      <w:r>
        <w:t xml:space="preserve">”</w:t>
      </w:r>
      <w:r>
        <w:t xml:space="preserve"> </w:t>
      </w:r>
      <w:r>
        <w:t xml:space="preserve">(Pā. 6-1-90),</w:t>
      </w:r>
    </w:p>
    <w:bookmarkEnd w:id="485"/>
    <w:bookmarkStart w:id="486" w:name="page-473-rik-6-grammar-continued"/>
    <w:p>
      <w:pPr>
        <w:pStyle w:val="Heading3"/>
      </w:pPr>
      <w:r>
        <w:t xml:space="preserve">Page 473 — Rik 6 grammar (continued)</w:t>
      </w:r>
    </w:p>
    <w:p>
      <w:pPr>
        <w:pStyle w:val="FirstParagraph"/>
      </w:pPr>
      <w:r>
        <w:t xml:space="preserve">and</w:t>
      </w:r>
      <w:r>
        <w:t xml:space="preserve"> </w:t>
      </w:r>
      <w:r>
        <w:rPr>
          <w:iCs/>
          <w:i/>
        </w:rPr>
        <w:t xml:space="preserve">āy</w:t>
      </w:r>
      <w:r>
        <w:t xml:space="preserve"> </w:t>
      </w:r>
      <w:r>
        <w:t xml:space="preserve">for</w:t>
      </w:r>
      <w:r>
        <w:t xml:space="preserve"> </w:t>
      </w:r>
      <w:r>
        <w:rPr>
          <w:iCs/>
          <w:i/>
        </w:rPr>
        <w:t xml:space="preserve">ai</w:t>
      </w:r>
      <w:r>
        <w:t xml:space="preserve"> </w:t>
      </w:r>
      <w:r>
        <w:t xml:space="preserve">by</w:t>
      </w:r>
      <w:r>
        <w:t xml:space="preserve"> </w:t>
      </w:r>
      <w:r>
        <w:t xml:space="preserve">“</w:t>
      </w:r>
      <w:r>
        <w:t xml:space="preserve">eco ’yavāyāvaḥ</w:t>
      </w:r>
      <w:r>
        <w:t xml:space="preserve">”</w:t>
      </w:r>
      <w:r>
        <w:t xml:space="preserve"> </w:t>
      </w:r>
      <w:r>
        <w:t xml:space="preserve">(Pā. 6-1-78):</w:t>
      </w:r>
      <w:r>
        <w:t xml:space="preserve"> </w:t>
      </w:r>
      <w:r>
        <w:rPr>
          <w:iCs/>
          <w:i/>
        </w:rPr>
        <w:t xml:space="preserve">āyam</w:t>
      </w:r>
      <w:r>
        <w:t xml:space="preserve">; unaccented by</w:t>
      </w:r>
      <w:r>
        <w:t xml:space="preserve"> </w:t>
      </w:r>
      <w:r>
        <w:t xml:space="preserve">“</w:t>
      </w:r>
      <w:r>
        <w:t xml:space="preserve">tiṅṅ atiṅaḥ</w:t>
      </w:r>
      <w:r>
        <w:t xml:space="preserve">”</w:t>
      </w:r>
      <w:r>
        <w:t xml:space="preserve"> </w:t>
      </w:r>
      <w:r>
        <w:t xml:space="preserve">(Pā. 8-1-28).</w:t>
      </w:r>
      <w:r>
        <w:t xml:space="preserve"> </w:t>
      </w:r>
      <w:r>
        <w:rPr>
          <w:bCs/>
          <w:b/>
        </w:rPr>
        <w:t xml:space="preserve">सिन्धुम् (</w:t>
      </w:r>
      <w:r>
        <w:rPr>
          <w:iCs/>
          <w:i/>
          <w:bCs/>
          <w:b/>
        </w:rPr>
        <w:t xml:space="preserve">sindhum</w:t>
      </w:r>
      <w:r>
        <w:rPr>
          <w:bCs/>
          <w:b/>
        </w:rPr>
        <w:t xml:space="preserve">)</w:t>
      </w:r>
      <w:r>
        <w:t xml:space="preserve"> </w:t>
      </w:r>
      <w:r>
        <w:t xml:space="preserve">— root</w:t>
      </w:r>
      <w:r>
        <w:t xml:space="preserve"> </w:t>
      </w:r>
      <w:r>
        <w:rPr>
          <w:iCs/>
          <w:i/>
        </w:rPr>
        <w:t xml:space="preserve">syandū prasravaṇe</w:t>
      </w:r>
      <w:r>
        <w:t xml:space="preserve">;</w:t>
      </w:r>
      <w:r>
        <w:t xml:space="preserve"> </w:t>
      </w:r>
      <w:r>
        <w:t xml:space="preserve">“</w:t>
      </w:r>
      <w:r>
        <w:t xml:space="preserve">syandeḥ samprasāraṇaṃ dhaś ca</w:t>
      </w:r>
      <w:r>
        <w:t xml:space="preserve">”</w:t>
      </w:r>
      <w:r>
        <w:t xml:space="preserve"> </w:t>
      </w:r>
      <w:r>
        <w:t xml:space="preserve">(Uṇ. 1-11), with</w:t>
      </w:r>
      <w:r>
        <w:t xml:space="preserve"> </w:t>
      </w:r>
      <w:r>
        <w:rPr>
          <w:iCs/>
          <w:i/>
        </w:rPr>
        <w:t xml:space="preserve">nit</w:t>
      </w:r>
      <w:r>
        <w:t xml:space="preserve"> </w:t>
      </w:r>
      <w:r>
        <w:t xml:space="preserve">carried over from</w:t>
      </w:r>
      <w:r>
        <w:t xml:space="preserve"> </w:t>
      </w:r>
      <w:r>
        <w:t xml:space="preserve">“</w:t>
      </w:r>
      <w:r>
        <w:t xml:space="preserve">dhānye nit</w:t>
      </w:r>
      <w:r>
        <w:t xml:space="preserve">”</w:t>
      </w:r>
      <w:r>
        <w:t xml:space="preserve"> </w:t>
      </w:r>
      <w:r>
        <w:t xml:space="preserve">(Uṇ.</w:t>
      </w:r>
      <w:r>
        <w:t xml:space="preserve"> </w:t>
      </w:r>
      <w:r>
        <w:t xml:space="preserve">“</w:t>
      </w:r>
      <w:r>
        <w:t xml:space="preserve">1-9</w:t>
      </w:r>
      <w:r>
        <w:t xml:space="preserve">”</w:t>
      </w:r>
      <w:r>
        <w:t xml:space="preserve"> </w:t>
      </w:r>
      <w:r>
        <w:t xml:space="preserve">[?]): after</w:t>
      </w:r>
      <w:r>
        <w:t xml:space="preserve"> </w:t>
      </w:r>
      <w:r>
        <w:rPr>
          <w:iCs/>
          <w:i/>
        </w:rPr>
        <w:t xml:space="preserve">syand</w:t>
      </w:r>
      <w:r>
        <w:t xml:space="preserve"> </w:t>
      </w:r>
      <w:r>
        <w:t xml:space="preserve">the suffix</w:t>
      </w:r>
      <w:r>
        <w:t xml:space="preserve"> </w:t>
      </w:r>
      <w:r>
        <w:rPr>
          <w:iCs/>
          <w:i/>
        </w:rPr>
        <w:t xml:space="preserve">u</w:t>
      </w:r>
      <w:r>
        <w:t xml:space="preserve">, which is</w:t>
      </w:r>
      <w:r>
        <w:t xml:space="preserve"> </w:t>
      </w:r>
      <w:r>
        <w:rPr>
          <w:iCs/>
          <w:i/>
        </w:rPr>
        <w:t xml:space="preserve">nit</w:t>
      </w:r>
      <w:r>
        <w:t xml:space="preserve">, with</w:t>
      </w:r>
      <w:r>
        <w:t xml:space="preserve"> </w:t>
      </w:r>
      <w:r>
        <w:rPr>
          <w:iCs/>
          <w:i/>
        </w:rPr>
        <w:t xml:space="preserve">samprasāraṇa</w:t>
      </w:r>
      <w:r>
        <w:t xml:space="preserve"> </w:t>
      </w:r>
      <w:r>
        <w:t xml:space="preserve">of the</w:t>
      </w:r>
      <w:r>
        <w:t xml:space="preserve"> </w:t>
      </w:r>
      <w:r>
        <w:rPr>
          <w:iCs/>
          <w:i/>
        </w:rPr>
        <w:t xml:space="preserve">y</w:t>
      </w:r>
      <w:r>
        <w:t xml:space="preserve"> </w:t>
      </w:r>
      <w:r>
        <w:t xml:space="preserve">and</w:t>
      </w:r>
      <w:r>
        <w:t xml:space="preserve"> </w:t>
      </w:r>
      <w:r>
        <w:rPr>
          <w:iCs/>
          <w:i/>
        </w:rPr>
        <w:t xml:space="preserve">dh</w:t>
      </w:r>
      <w:r>
        <w:t xml:space="preserve"> </w:t>
      </w:r>
      <w:r>
        <w:t xml:space="preserve">for the</w:t>
      </w:r>
      <w:r>
        <w:t xml:space="preserve"> </w:t>
      </w:r>
      <w:r>
        <w:rPr>
          <w:iCs/>
          <w:i/>
        </w:rPr>
        <w:t xml:space="preserve">d</w:t>
      </w:r>
      <w:r>
        <w:t xml:space="preserve">:</w:t>
      </w:r>
      <w:r>
        <w:t xml:space="preserve"> </w:t>
      </w:r>
      <w:r>
        <w:rPr>
          <w:iCs/>
          <w:i/>
        </w:rPr>
        <w:t xml:space="preserve">sindhu</w:t>
      </w:r>
      <w:r>
        <w:t xml:space="preserve">; initial-udātta by the</w:t>
      </w:r>
      <w:r>
        <w:t xml:space="preserve"> </w:t>
      </w:r>
      <w:r>
        <w:rPr>
          <w:iCs/>
          <w:i/>
        </w:rPr>
        <w:t xml:space="preserve">nit</w:t>
      </w:r>
      <w:r>
        <w:t xml:space="preserve"> </w:t>
      </w:r>
      <w:r>
        <w:t xml:space="preserve">accent; accusative singular</w:t>
      </w:r>
      <w:r>
        <w:t xml:space="preserve"> </w:t>
      </w:r>
      <w:r>
        <w:rPr>
          <w:iCs/>
          <w:i/>
        </w:rPr>
        <w:t xml:space="preserve">sindhum</w:t>
      </w:r>
      <w:r>
        <w:t xml:space="preserve">.</w:t>
      </w:r>
      <w:r>
        <w:t xml:space="preserve"> </w:t>
      </w:r>
      <w:r>
        <w:rPr>
          <w:bCs/>
          <w:b/>
        </w:rPr>
        <w:t xml:space="preserve">आवदन् (</w:t>
      </w:r>
      <w:r>
        <w:rPr>
          <w:iCs/>
          <w:i/>
          <w:bCs/>
          <w:b/>
        </w:rPr>
        <w:t xml:space="preserve">āvadan</w:t>
      </w:r>
      <w:r>
        <w:rPr>
          <w:bCs/>
          <w:b/>
        </w:rPr>
        <w:t xml:space="preserve">)</w:t>
      </w:r>
      <w:r>
        <w:t xml:space="preserve"> </w:t>
      </w:r>
      <w:r>
        <w:t xml:space="preserve">— root</w:t>
      </w:r>
      <w:r>
        <w:t xml:space="preserve"> </w:t>
      </w:r>
      <w:r>
        <w:rPr>
          <w:iCs/>
          <w:i/>
        </w:rPr>
        <w:t xml:space="preserve">vada vyaktāyāṃ vāci</w:t>
      </w:r>
      <w:r>
        <w:t xml:space="preserve">;</w:t>
      </w:r>
      <w:r>
        <w:t xml:space="preserve"> </w:t>
      </w:r>
      <w:r>
        <w:rPr>
          <w:iCs/>
          <w:i/>
        </w:rPr>
        <w:t xml:space="preserve">laṭ</w:t>
      </w:r>
      <w:r>
        <w:t xml:space="preserve"> </w:t>
      </w:r>
      <w:r>
        <w:t xml:space="preserve">→</w:t>
      </w:r>
      <w:r>
        <w:t xml:space="preserve"> </w:t>
      </w:r>
      <w:r>
        <w:rPr>
          <w:iCs/>
          <w:i/>
        </w:rPr>
        <w:t xml:space="preserve">śatṛ</w:t>
      </w:r>
      <w:r>
        <w:t xml:space="preserve">;</w:t>
      </w:r>
      <w:r>
        <w:t xml:space="preserve"> </w:t>
      </w:r>
      <w:r>
        <w:rPr>
          <w:iCs/>
          <w:i/>
        </w:rPr>
        <w:t xml:space="preserve">śap</w:t>
      </w:r>
      <w:r>
        <w:t xml:space="preserve">:</w:t>
      </w:r>
      <w:r>
        <w:t xml:space="preserve"> </w:t>
      </w:r>
      <w:r>
        <w:rPr>
          <w:iCs/>
          <w:i/>
        </w:rPr>
        <w:t xml:space="preserve">vad</w:t>
      </w:r>
      <w:r>
        <w:t xml:space="preserve"> </w:t>
      </w:r>
      <w:r>
        <w:t xml:space="preserve">+</w:t>
      </w:r>
      <w:r>
        <w:t xml:space="preserve"> </w:t>
      </w:r>
      <w:r>
        <w:rPr>
          <w:iCs/>
          <w:i/>
        </w:rPr>
        <w:t xml:space="preserve">a</w:t>
      </w:r>
      <w:r>
        <w:t xml:space="preserve"> </w:t>
      </w:r>
      <w:r>
        <w:t xml:space="preserve">+</w:t>
      </w:r>
      <w:r>
        <w:t xml:space="preserve"> </w:t>
      </w:r>
      <w:r>
        <w:rPr>
          <w:iCs/>
          <w:i/>
        </w:rPr>
        <w:t xml:space="preserve">at</w:t>
      </w:r>
      <w:r>
        <w:t xml:space="preserve">;</w:t>
      </w:r>
      <w:r>
        <w:t xml:space="preserve"> </w:t>
      </w:r>
      <w:r>
        <w:rPr>
          <w:iCs/>
          <w:i/>
        </w:rPr>
        <w:t xml:space="preserve">śap</w:t>
      </w:r>
      <w:r>
        <w:t xml:space="preserve">, being</w:t>
      </w:r>
      <w:r>
        <w:t xml:space="preserve"> </w:t>
      </w:r>
      <w:r>
        <w:rPr>
          <w:iCs/>
          <w:i/>
        </w:rPr>
        <w:t xml:space="preserve">pit</w:t>
      </w:r>
      <w:r>
        <w:t xml:space="preserve">, unaccented;</w:t>
      </w:r>
      <w:r>
        <w:t xml:space="preserve"> </w:t>
      </w:r>
      <w:r>
        <w:rPr>
          <w:iCs/>
          <w:i/>
        </w:rPr>
        <w:t xml:space="preserve">śap</w:t>
      </w:r>
      <w:r>
        <w:t xml:space="preserve"> </w:t>
      </w:r>
      <w:r>
        <w:t xml:space="preserve">ends in</w:t>
      </w:r>
      <w:r>
        <w:t xml:space="preserve"> </w:t>
      </w:r>
      <w:r>
        <w:rPr>
          <w:iCs/>
          <w:i/>
        </w:rPr>
        <w:t xml:space="preserve">a</w:t>
      </w:r>
      <w:r>
        <w:t xml:space="preserve"> </w:t>
      </w:r>
      <w:r>
        <w:t xml:space="preserve">in the</w:t>
      </w:r>
      <w:r>
        <w:t xml:space="preserve"> </w:t>
      </w:r>
      <w:r>
        <w:rPr>
          <w:iCs/>
          <w:i/>
        </w:rPr>
        <w:t xml:space="preserve">upadeśa</w:t>
      </w:r>
      <w:r>
        <w:t xml:space="preserve">, so the</w:t>
      </w:r>
      <w:r>
        <w:t xml:space="preserve"> </w:t>
      </w:r>
      <w:r>
        <w:rPr>
          <w:iCs/>
          <w:i/>
        </w:rPr>
        <w:t xml:space="preserve">lasārvadhātuka</w:t>
      </w:r>
      <w:r>
        <w:t xml:space="preserve"> </w:t>
      </w:r>
      <w:r>
        <w:t xml:space="preserve">after it is unaccented by</w:t>
      </w:r>
      <w:r>
        <w:t xml:space="preserve"> </w:t>
      </w:r>
      <w:r>
        <w:t xml:space="preserve">“</w:t>
      </w:r>
      <w:r>
        <w:t xml:space="preserve">tāsy anudātten-ṅid-ad-upadeśāt…</w:t>
      </w:r>
      <w:r>
        <w:t xml:space="preserve">”</w:t>
      </w:r>
      <w:r>
        <w:t xml:space="preserve"> </w:t>
      </w:r>
      <w:r>
        <w:t xml:space="preserve">(Pā. 6-1-186), and the root accent stands;</w:t>
      </w:r>
      <w:r>
        <w:t xml:space="preserve"> </w:t>
      </w:r>
      <w:r>
        <w:rPr>
          <w:iCs/>
          <w:i/>
        </w:rPr>
        <w:t xml:space="preserve">vadat</w:t>
      </w:r>
      <w:r>
        <w:t xml:space="preserve"> </w:t>
      </w:r>
      <w:r>
        <w:t xml:space="preserve">compounded with</w:t>
      </w:r>
      <w:r>
        <w:t xml:space="preserve"> </w:t>
      </w:r>
      <w:r>
        <w:rPr>
          <w:iCs/>
          <w:i/>
        </w:rPr>
        <w:t xml:space="preserve">āṅ</w:t>
      </w:r>
      <w:r>
        <w:t xml:space="preserve"> </w:t>
      </w:r>
      <w:r>
        <w:t xml:space="preserve">by</w:t>
      </w:r>
      <w:r>
        <w:t xml:space="preserve"> </w:t>
      </w:r>
      <w:r>
        <w:t xml:space="preserve">“</w:t>
      </w:r>
      <w:r>
        <w:t xml:space="preserve">kugatiprādayaḥ</w:t>
      </w:r>
      <w:r>
        <w:t xml:space="preserve">”</w:t>
      </w:r>
      <w:r>
        <w:t xml:space="preserve"> </w:t>
      </w:r>
      <w:r>
        <w:t xml:space="preserve">(Pā. 2-2-18):</w:t>
      </w:r>
      <w:r>
        <w:t xml:space="preserve"> </w:t>
      </w:r>
      <w:r>
        <w:rPr>
          <w:iCs/>
          <w:i/>
        </w:rPr>
        <w:t xml:space="preserve">āvadat</w:t>
      </w:r>
      <w:r>
        <w:t xml:space="preserve">, the</w:t>
      </w:r>
      <w:r>
        <w:t xml:space="preserve"> </w:t>
      </w:r>
      <w:r>
        <w:rPr>
          <w:iCs/>
          <w:i/>
        </w:rPr>
        <w:t xml:space="preserve">kṛt</w:t>
      </w:r>
      <w:r>
        <w:t xml:space="preserve"> </w:t>
      </w:r>
      <w:r>
        <w:t xml:space="preserve">second member keeping the accents already stated; with</w:t>
      </w:r>
      <w:r>
        <w:t xml:space="preserve"> </w:t>
      </w:r>
      <w:r>
        <w:rPr>
          <w:iCs/>
          <w:i/>
        </w:rPr>
        <w:t xml:space="preserve">su</w:t>
      </w:r>
      <w:r>
        <w:t xml:space="preserve">,</w:t>
      </w:r>
      <w:r>
        <w:t xml:space="preserve"> </w:t>
      </w:r>
      <w:r>
        <w:rPr>
          <w:iCs/>
          <w:i/>
        </w:rPr>
        <w:t xml:space="preserve">num</w:t>
      </w:r>
      <w:r>
        <w:t xml:space="preserve"> </w:t>
      </w:r>
      <w:r>
        <w:t xml:space="preserve">by</w:t>
      </w:r>
      <w:r>
        <w:t xml:space="preserve"> </w:t>
      </w:r>
      <w:r>
        <w:t xml:space="preserve">“</w:t>
      </w:r>
      <w:r>
        <w:t xml:space="preserve">ugid-acāṃ sarvanāmasthāne ’dhātoḥ</w:t>
      </w:r>
      <w:r>
        <w:t xml:space="preserve">”</w:t>
      </w:r>
      <w:r>
        <w:t xml:space="preserve"> </w:t>
      </w:r>
      <w:r>
        <w:t xml:space="preserve">(Pā. 7-1-70),</w:t>
      </w:r>
      <w:r>
        <w:t xml:space="preserve"> </w:t>
      </w:r>
      <w:r>
        <w:rPr>
          <w:iCs/>
          <w:i/>
        </w:rPr>
        <w:t xml:space="preserve">su</w:t>
      </w:r>
      <w:r>
        <w:t xml:space="preserve"> </w:t>
      </w:r>
      <w:r>
        <w:t xml:space="preserve">dropped by</w:t>
      </w:r>
      <w:r>
        <w:t xml:space="preserve"> </w:t>
      </w:r>
      <w:r>
        <w:t xml:space="preserve">“</w:t>
      </w:r>
      <w:r>
        <w:t xml:space="preserve">hal-ṅyābbhyaḥ</w:t>
      </w:r>
      <w:r>
        <w:t xml:space="preserve">”</w:t>
      </w:r>
      <w:r>
        <w:t xml:space="preserve"> </w:t>
      </w:r>
      <w:r>
        <w:t xml:space="preserve">(Pā. 6-1-68), the</w:t>
      </w:r>
      <w:r>
        <w:t xml:space="preserve"> </w:t>
      </w:r>
      <w:r>
        <w:rPr>
          <w:iCs/>
          <w:i/>
        </w:rPr>
        <w:t xml:space="preserve">t</w:t>
      </w:r>
      <w:r>
        <w:t xml:space="preserve"> </w:t>
      </w:r>
      <w:r>
        <w:t xml:space="preserve">dropped by</w:t>
      </w:r>
      <w:r>
        <w:t xml:space="preserve"> </w:t>
      </w:r>
      <w:r>
        <w:t xml:space="preserve">“</w:t>
      </w:r>
      <w:r>
        <w:t xml:space="preserve">saṃyogāntasya lopaḥ</w:t>
      </w:r>
      <w:r>
        <w:t xml:space="preserve">”</w:t>
      </w:r>
      <w:r>
        <w:t xml:space="preserve"> </w:t>
      </w:r>
      <w:r>
        <w:t xml:space="preserve">(Pā. 8-2-23), which being</w:t>
      </w:r>
      <w:r>
        <w:t xml:space="preserve"> </w:t>
      </w:r>
      <w:r>
        <w:rPr>
          <w:iCs/>
          <w:i/>
        </w:rPr>
        <w:t xml:space="preserve">asiddha</w:t>
      </w:r>
      <w:r>
        <w:t xml:space="preserve"> </w:t>
      </w:r>
      <w:r>
        <w:t xml:space="preserve">by</w:t>
      </w:r>
      <w:r>
        <w:t xml:space="preserve"> </w:t>
      </w:r>
      <w:r>
        <w:t xml:space="preserve">“</w:t>
      </w:r>
      <w:r>
        <w:t xml:space="preserve">pūrvatrāsiddham</w:t>
      </w:r>
      <w:r>
        <w:t xml:space="preserve">”</w:t>
      </w:r>
      <w:r>
        <w:t xml:space="preserve"> </w:t>
      </w:r>
      <w:r>
        <w:t xml:space="preserve">(Pā. 8-2-1) does not let</w:t>
      </w:r>
      <w:r>
        <w:t xml:space="preserve"> </w:t>
      </w:r>
      <w:r>
        <w:t xml:space="preserve">“</w:t>
      </w:r>
      <w:r>
        <w:t xml:space="preserve">nalopaḥ prātipadikāntasya</w:t>
      </w:r>
      <w:r>
        <w:t xml:space="preserve">”</w:t>
      </w:r>
      <w:r>
        <w:t xml:space="preserve"> </w:t>
      </w:r>
      <w:r>
        <w:t xml:space="preserve">(Pā. 8-2-7) drop the</w:t>
      </w:r>
      <w:r>
        <w:t xml:space="preserve"> </w:t>
      </w:r>
      <w:r>
        <w:rPr>
          <w:iCs/>
          <w:i/>
        </w:rPr>
        <w:t xml:space="preserve">n</w:t>
      </w:r>
      <w:r>
        <w:t xml:space="preserve">:</w:t>
      </w:r>
      <w:r>
        <w:t xml:space="preserve"> </w:t>
      </w:r>
      <w:r>
        <w:rPr>
          <w:iCs/>
          <w:i/>
        </w:rPr>
        <w:t xml:space="preserve">āvadan</w:t>
      </w:r>
      <w:r>
        <w:t xml:space="preserve">.</w:t>
      </w:r>
      <w:r>
        <w:t xml:space="preserve"> </w:t>
      </w:r>
      <w:r>
        <w:rPr>
          <w:bCs/>
          <w:b/>
        </w:rPr>
        <w:t xml:space="preserve">अतिष्ठन्त (</w:t>
      </w:r>
      <w:r>
        <w:rPr>
          <w:iCs/>
          <w:i/>
          <w:bCs/>
          <w:b/>
        </w:rPr>
        <w:t xml:space="preserve">atiṣṭhanta</w:t>
      </w:r>
      <w:r>
        <w:rPr>
          <w:bCs/>
          <w:b/>
        </w:rPr>
        <w:t xml:space="preserve">)</w:t>
      </w:r>
      <w:r>
        <w:t xml:space="preserve"> </w:t>
      </w:r>
      <w:r>
        <w:t xml:space="preserve">— root</w:t>
      </w:r>
      <w:r>
        <w:t xml:space="preserve"> </w:t>
      </w:r>
      <w:r>
        <w:rPr>
          <w:iCs/>
          <w:i/>
        </w:rPr>
        <w:t xml:space="preserve">ṣṭhā gatinivṛttau</w:t>
      </w:r>
      <w:r>
        <w:t xml:space="preserve">, here after the upasarga</w:t>
      </w:r>
      <w:r>
        <w:t xml:space="preserve"> </w:t>
      </w:r>
      <w:r>
        <w:rPr>
          <w:iCs/>
          <w:i/>
        </w:rPr>
        <w:t xml:space="preserve">upa</w:t>
      </w:r>
      <w:r>
        <w:t xml:space="preserve">, so</w:t>
      </w:r>
      <w:r>
        <w:t xml:space="preserve"> </w:t>
      </w:r>
      <w:r>
        <w:t xml:space="preserve">“</w:t>
      </w:r>
      <w:r>
        <w:t xml:space="preserve">upān mantrakaraṇe</w:t>
      </w:r>
      <w:r>
        <w:t xml:space="preserve">”</w:t>
      </w:r>
      <w:r>
        <w:t xml:space="preserve"> </w:t>
      </w:r>
      <w:r>
        <w:t xml:space="preserve">(Pā. 1-3-25): after</w:t>
      </w:r>
      <w:r>
        <w:t xml:space="preserve"> </w:t>
      </w:r>
      <w:r>
        <w:rPr>
          <w:iCs/>
          <w:i/>
        </w:rPr>
        <w:t xml:space="preserve">upa</w:t>
      </w:r>
      <w:r>
        <w:t xml:space="preserve">,</w:t>
      </w:r>
      <w:r>
        <w:t xml:space="preserve"> </w:t>
      </w:r>
      <w:r>
        <w:rPr>
          <w:iCs/>
          <w:i/>
        </w:rPr>
        <w:t xml:space="preserve">sthā</w:t>
      </w:r>
      <w:r>
        <w:t xml:space="preserve"> </w:t>
      </w:r>
      <w:r>
        <w:t xml:space="preserve">in the sense of addressing with a mantra takes ātmanepada;</w:t>
      </w:r>
      <w:r>
        <w:t xml:space="preserve"> </w:t>
      </w:r>
      <w:r>
        <w:rPr>
          <w:iCs/>
          <w:i/>
        </w:rPr>
        <w:t xml:space="preserve">laṅ</w:t>
      </w:r>
      <w:r>
        <w:t xml:space="preserve">, third plural</w:t>
      </w:r>
      <w:r>
        <w:t xml:space="preserve"> </w:t>
      </w:r>
      <w:r>
        <w:rPr>
          <w:iCs/>
          <w:i/>
        </w:rPr>
        <w:t xml:space="preserve">jha</w:t>
      </w:r>
      <w:r>
        <w:t xml:space="preserve">;</w:t>
      </w:r>
      <w:r>
        <w:t xml:space="preserve"> </w:t>
      </w:r>
      <w:r>
        <w:rPr>
          <w:iCs/>
          <w:i/>
        </w:rPr>
        <w:t xml:space="preserve">śap</w:t>
      </w:r>
      <w:r>
        <w:t xml:space="preserve"> </w:t>
      </w:r>
      <w:r>
        <w:t xml:space="preserve">by</w:t>
      </w:r>
      <w:r>
        <w:t xml:space="preserve"> </w:t>
      </w:r>
      <w:r>
        <w:t xml:space="preserve">“</w:t>
      </w:r>
      <w:r>
        <w:t xml:space="preserve">kartari śap</w:t>
      </w:r>
      <w:r>
        <w:t xml:space="preserve">”</w:t>
      </w:r>
      <w:r>
        <w:t xml:space="preserve">;</w:t>
      </w:r>
      <w:r>
        <w:t xml:space="preserve"> </w:t>
      </w:r>
      <w:r>
        <w:rPr>
          <w:iCs/>
          <w:i/>
        </w:rPr>
        <w:t xml:space="preserve">sthā</w:t>
      </w:r>
      <w:r>
        <w:t xml:space="preserve"> </w:t>
      </w:r>
      <w:r>
        <w:t xml:space="preserve">→</w:t>
      </w:r>
      <w:r>
        <w:t xml:space="preserve"> </w:t>
      </w:r>
      <w:r>
        <w:rPr>
          <w:iCs/>
          <w:i/>
        </w:rPr>
        <w:t xml:space="preserve">tiṣṭha</w:t>
      </w:r>
      <w:r>
        <w:t xml:space="preserve"> </w:t>
      </w:r>
      <w:r>
        <w:t xml:space="preserve">by</w:t>
      </w:r>
      <w:r>
        <w:t xml:space="preserve"> </w:t>
      </w:r>
      <w:r>
        <w:t xml:space="preserve">“</w:t>
      </w:r>
      <w:r>
        <w:t xml:space="preserve">pā-ghrā-dhmā…</w:t>
      </w:r>
      <w:r>
        <w:t xml:space="preserve">”</w:t>
      </w:r>
      <w:r>
        <w:t xml:space="preserve"> </w:t>
      </w:r>
      <w:r>
        <w:t xml:space="preserve">(Pā. 7-3-78);</w:t>
      </w:r>
      <w:r>
        <w:t xml:space="preserve"> </w:t>
      </w:r>
      <w:r>
        <w:rPr>
          <w:iCs/>
          <w:i/>
        </w:rPr>
        <w:t xml:space="preserve">ant</w:t>
      </w:r>
      <w:r>
        <w:t xml:space="preserve"> </w:t>
      </w:r>
      <w:r>
        <w:t xml:space="preserve">for</w:t>
      </w:r>
      <w:r>
        <w:t xml:space="preserve"> </w:t>
      </w:r>
      <w:r>
        <w:rPr>
          <w:iCs/>
          <w:i/>
        </w:rPr>
        <w:t xml:space="preserve">jh</w:t>
      </w:r>
      <w:r>
        <w:t xml:space="preserve"> </w:t>
      </w:r>
      <w:r>
        <w:t xml:space="preserve">by</w:t>
      </w:r>
      <w:r>
        <w:t xml:space="preserve"> </w:t>
      </w:r>
      <w:r>
        <w:t xml:space="preserve">“</w:t>
      </w:r>
      <w:r>
        <w:t xml:space="preserve">jho ’ntaḥ</w:t>
      </w:r>
      <w:r>
        <w:t xml:space="preserve">”</w:t>
      </w:r>
      <w:r>
        <w:t xml:space="preserve"> </w:t>
      </w:r>
      <w:r>
        <w:t xml:space="preserve">(Pā. 7-1-3); the augment</w:t>
      </w:r>
      <w:r>
        <w:t xml:space="preserve"> </w:t>
      </w:r>
      <w:r>
        <w:rPr>
          <w:iCs/>
          <w:i/>
        </w:rPr>
        <w:t xml:space="preserve">aṭ</w:t>
      </w:r>
      <w:r>
        <w:t xml:space="preserve"> </w:t>
      </w:r>
      <w:r>
        <w:t xml:space="preserve">by Pā. 6-4-71;</w:t>
      </w:r>
      <w:r>
        <w:t xml:space="preserve"> </w:t>
      </w:r>
      <w:r>
        <w:rPr>
          <w:iCs/>
          <w:i/>
        </w:rPr>
        <w:t xml:space="preserve">pararūpa</w:t>
      </w:r>
      <w:r>
        <w:t xml:space="preserve"> </w:t>
      </w:r>
      <w:r>
        <w:t xml:space="preserve">of the second</w:t>
      </w:r>
      <w:r>
        <w:t xml:space="preserve"> </w:t>
      </w:r>
      <w:r>
        <w:rPr>
          <w:iCs/>
          <w:i/>
        </w:rPr>
        <w:t xml:space="preserve">a</w:t>
      </w:r>
      <w:r>
        <w:t xml:space="preserve"> </w:t>
      </w:r>
      <w:r>
        <w:t xml:space="preserve">by</w:t>
      </w:r>
      <w:r>
        <w:t xml:space="preserve"> </w:t>
      </w:r>
      <w:r>
        <w:t xml:space="preserve">“</w:t>
      </w:r>
      <w:r>
        <w:t xml:space="preserve">ato guṇe</w:t>
      </w:r>
      <w:r>
        <w:t xml:space="preserve">”</w:t>
      </w:r>
      <w:r>
        <w:t xml:space="preserve"> </w:t>
      </w:r>
      <w:r>
        <w:t xml:space="preserve">(6-1-97):</w:t>
      </w:r>
      <w:r>
        <w:t xml:space="preserve"> </w:t>
      </w:r>
      <w:r>
        <w:rPr>
          <w:iCs/>
          <w:i/>
        </w:rPr>
        <w:t xml:space="preserve">atiṣṭhanta</w:t>
      </w:r>
      <w:r>
        <w:t xml:space="preserve">.</w:t>
      </w:r>
      <w:r>
        <w:t xml:space="preserve"> </w:t>
      </w:r>
      <w:r>
        <w:rPr>
          <w:bCs/>
          <w:b/>
        </w:rPr>
        <w:t xml:space="preserve">गिर्वणः (</w:t>
      </w:r>
      <w:r>
        <w:rPr>
          <w:iCs/>
          <w:i/>
          <w:bCs/>
          <w:b/>
        </w:rPr>
        <w:t xml:space="preserve">girvaṇaḥ</w:t>
      </w:r>
      <w:r>
        <w:rPr>
          <w:bCs/>
          <w:b/>
        </w:rPr>
        <w:t xml:space="preserve">)</w:t>
      </w:r>
      <w:r>
        <w:t xml:space="preserve"> </w:t>
      </w:r>
      <w:r>
        <w:t xml:space="preserve">—</w:t>
      </w:r>
      <w:r>
        <w:t xml:space="preserve"> </w:t>
      </w:r>
      <w:r>
        <w:rPr>
          <w:iCs/>
          <w:i/>
        </w:rPr>
        <w:t xml:space="preserve">gṝ śabde</w:t>
      </w:r>
      <w:r>
        <w:t xml:space="preserve"> </w:t>
      </w:r>
      <w:r>
        <w:t xml:space="preserve">+</w:t>
      </w:r>
      <w:r>
        <w:t xml:space="preserve"> </w:t>
      </w:r>
      <w:r>
        <w:rPr>
          <w:iCs/>
          <w:i/>
        </w:rPr>
        <w:t xml:space="preserve">kvip</w:t>
      </w:r>
      <w:r>
        <w:t xml:space="preserve">;</w:t>
      </w:r>
      <w:r>
        <w:t xml:space="preserve"> </w:t>
      </w:r>
      <w:r>
        <w:rPr>
          <w:iCs/>
          <w:i/>
        </w:rPr>
        <w:t xml:space="preserve">i</w:t>
      </w:r>
      <w:r>
        <w:t xml:space="preserve"> </w:t>
      </w:r>
      <w:r>
        <w:t xml:space="preserve">with</w:t>
      </w:r>
      <w:r>
        <w:t xml:space="preserve"> </w:t>
      </w:r>
      <w:r>
        <w:rPr>
          <w:iCs/>
          <w:i/>
        </w:rPr>
        <w:t xml:space="preserve">r</w:t>
      </w:r>
      <w:r>
        <w:t xml:space="preserve"> </w:t>
      </w:r>
      <w:r>
        <w:t xml:space="preserve">by</w:t>
      </w:r>
      <w:r>
        <w:t xml:space="preserve"> </w:t>
      </w:r>
      <w:r>
        <w:t xml:space="preserve">“</w:t>
      </w:r>
      <w:r>
        <w:t xml:space="preserve">ṛta id dhātoḥ</w:t>
      </w:r>
      <w:r>
        <w:t xml:space="preserve">”</w:t>
      </w:r>
      <w:r>
        <w:t xml:space="preserve"> </w:t>
      </w:r>
      <w:r>
        <w:t xml:space="preserve">(7-1-100):</w:t>
      </w:r>
      <w:r>
        <w:t xml:space="preserve"> </w:t>
      </w:r>
      <w:r>
        <w:rPr>
          <w:iCs/>
          <w:i/>
        </w:rPr>
        <w:t xml:space="preserve">gir</w:t>
      </w:r>
      <w:r>
        <w:t xml:space="preserve">;</w:t>
      </w:r>
      <w:r>
        <w:t xml:space="preserve"> </w:t>
      </w:r>
      <w:r>
        <w:t xml:space="preserve">“</w:t>
      </w:r>
      <w:r>
        <w:t xml:space="preserve">gīrbhiḥ vanyate</w:t>
      </w:r>
      <w:r>
        <w:t xml:space="preserve">”</w:t>
      </w:r>
      <w:r>
        <w:t xml:space="preserve">:</w:t>
      </w:r>
      <w:r>
        <w:t xml:space="preserve"> </w:t>
      </w:r>
      <w:r>
        <w:rPr>
          <w:iCs/>
          <w:i/>
        </w:rPr>
        <w:t xml:space="preserve">vana ṣaṇa saṃbhaktau</w:t>
      </w:r>
      <w:r>
        <w:t xml:space="preserve"> </w:t>
      </w:r>
      <w:r>
        <w:t xml:space="preserve">with</w:t>
      </w:r>
      <w:r>
        <w:t xml:space="preserve"> </w:t>
      </w:r>
      <w:r>
        <w:rPr>
          <w:iCs/>
          <w:i/>
        </w:rPr>
        <w:t xml:space="preserve">asun</w:t>
      </w:r>
      <w:r>
        <w:t xml:space="preserve">:</w:t>
      </w:r>
      <w:r>
        <w:t xml:space="preserve"> </w:t>
      </w:r>
      <w:r>
        <w:rPr>
          <w:iCs/>
          <w:i/>
        </w:rPr>
        <w:t xml:space="preserve">girvanas</w:t>
      </w:r>
      <w:r>
        <w:t xml:space="preserve">; vocative singular,</w:t>
      </w:r>
    </w:p>
    <w:bookmarkEnd w:id="486"/>
    <w:bookmarkStart w:id="487" w:name="page-474-rik-6-grammar-closes"/>
    <w:p>
      <w:pPr>
        <w:pStyle w:val="Heading3"/>
      </w:pPr>
      <w:r>
        <w:t xml:space="preserve">Page 474 — Rik 6 grammar closes</w:t>
      </w:r>
    </w:p>
    <w:p>
      <w:pPr>
        <w:pStyle w:val="FirstParagraph"/>
      </w:pPr>
      <w:r>
        <w:rPr>
          <w:iCs/>
          <w:i/>
        </w:rPr>
        <w:t xml:space="preserve">su</w:t>
      </w:r>
      <w:r>
        <w:t xml:space="preserve"> </w:t>
      </w:r>
      <w:r>
        <w:t xml:space="preserve">dropped by</w:t>
      </w:r>
      <w:r>
        <w:t xml:space="preserve"> </w:t>
      </w:r>
      <w:r>
        <w:t xml:space="preserve">“</w:t>
      </w:r>
      <w:r>
        <w:t xml:space="preserve">hal-ṅyābbhyaḥ</w:t>
      </w:r>
      <w:r>
        <w:t xml:space="preserve">”</w:t>
      </w:r>
      <w:r>
        <w:t xml:space="preserve">,</w:t>
      </w:r>
      <w:r>
        <w:t xml:space="preserve"> </w:t>
      </w:r>
      <w:r>
        <w:rPr>
          <w:iCs/>
          <w:i/>
        </w:rPr>
        <w:t xml:space="preserve">ru</w:t>
      </w:r>
      <w:r>
        <w:t xml:space="preserve">, visarga and</w:t>
      </w:r>
      <w:r>
        <w:t xml:space="preserve"> </w:t>
      </w:r>
      <w:r>
        <w:rPr>
          <w:iCs/>
          <w:i/>
        </w:rPr>
        <w:t xml:space="preserve">ṇ</w:t>
      </w:r>
      <w:r>
        <w:t xml:space="preserve">:</w:t>
      </w:r>
      <w:r>
        <w:t xml:space="preserve"> </w:t>
      </w:r>
      <w:r>
        <w:rPr>
          <w:iCs/>
          <w:i/>
        </w:rPr>
        <w:t xml:space="preserve">girvaṇaḥ</w:t>
      </w:r>
      <w:r>
        <w:t xml:space="preserve">; as a vocative, unaccented by</w:t>
      </w:r>
      <w:r>
        <w:t xml:space="preserve"> </w:t>
      </w:r>
      <w:r>
        <w:t xml:space="preserve">“</w:t>
      </w:r>
      <w:r>
        <w:t xml:space="preserve">āmantritasya ca</w:t>
      </w:r>
      <w:r>
        <w:t xml:space="preserve">”</w:t>
      </w:r>
      <w:r>
        <w:t xml:space="preserve"> </w:t>
      </w:r>
      <w:r>
        <w:t xml:space="preserve">(Pā. 8-1-19).</w:t>
      </w:r>
      <w:r>
        <w:t xml:space="preserve"> </w:t>
      </w:r>
      <w:r>
        <w:rPr>
          <w:bCs/>
          <w:b/>
        </w:rPr>
        <w:t xml:space="preserve">विदुः (</w:t>
      </w:r>
      <w:r>
        <w:rPr>
          <w:iCs/>
          <w:i/>
          <w:bCs/>
          <w:b/>
        </w:rPr>
        <w:t xml:space="preserve">viduḥ</w:t>
      </w:r>
      <w:r>
        <w:rPr>
          <w:bCs/>
          <w:b/>
        </w:rPr>
        <w:t xml:space="preserve">)</w:t>
      </w:r>
      <w:r>
        <w:t xml:space="preserve"> </w:t>
      </w:r>
      <w:r>
        <w:t xml:space="preserve">— root</w:t>
      </w:r>
      <w:r>
        <w:t xml:space="preserve"> </w:t>
      </w:r>
      <w:r>
        <w:rPr>
          <w:iCs/>
          <w:i/>
        </w:rPr>
        <w:t xml:space="preserve">vida jñāne</w:t>
      </w:r>
      <w:r>
        <w:t xml:space="preserve">,</w:t>
      </w:r>
      <w:r>
        <w:t xml:space="preserve"> </w:t>
      </w:r>
      <w:r>
        <w:rPr>
          <w:iCs/>
          <w:i/>
        </w:rPr>
        <w:t xml:space="preserve">adādi</w:t>
      </w:r>
      <w:r>
        <w:t xml:space="preserve">;</w:t>
      </w:r>
      <w:r>
        <w:t xml:space="preserve"> </w:t>
      </w:r>
      <w:r>
        <w:rPr>
          <w:iCs/>
          <w:i/>
        </w:rPr>
        <w:t xml:space="preserve">laṭ</w:t>
      </w:r>
      <w:r>
        <w:t xml:space="preserve"> </w:t>
      </w:r>
      <w:r>
        <w:t xml:space="preserve">→</w:t>
      </w:r>
      <w:r>
        <w:t xml:space="preserve"> </w:t>
      </w:r>
      <w:r>
        <w:rPr>
          <w:iCs/>
          <w:i/>
        </w:rPr>
        <w:t xml:space="preserve">jhi</w:t>
      </w:r>
      <w:r>
        <w:t xml:space="preserve">;</w:t>
      </w:r>
      <w:r>
        <w:t xml:space="preserve"> </w:t>
      </w:r>
      <w:r>
        <w:rPr>
          <w:iCs/>
          <w:i/>
        </w:rPr>
        <w:t xml:space="preserve">śap</w:t>
      </w:r>
      <w:r>
        <w:t xml:space="preserve"> </w:t>
      </w:r>
      <w:r>
        <w:t xml:space="preserve">dropped by</w:t>
      </w:r>
      <w:r>
        <w:t xml:space="preserve"> </w:t>
      </w:r>
      <w:r>
        <w:t xml:space="preserve">“</w:t>
      </w:r>
      <w:r>
        <w:t xml:space="preserve">adiprabhṛtibhyaḥ śapaḥ</w:t>
      </w:r>
      <w:r>
        <w:t xml:space="preserve">”</w:t>
      </w:r>
      <w:r>
        <w:t xml:space="preserve"> </w:t>
      </w:r>
      <w:r>
        <w:t xml:space="preserve">(Pā. 2-4-72);</w:t>
      </w:r>
      <w:r>
        <w:t xml:space="preserve"> </w:t>
      </w:r>
      <w:r>
        <w:t xml:space="preserve">“</w:t>
      </w:r>
      <w:r>
        <w:t xml:space="preserve">vido laṭo vā</w:t>
      </w:r>
      <w:r>
        <w:t xml:space="preserve">”</w:t>
      </w:r>
      <w:r>
        <w:t xml:space="preserve"> </w:t>
      </w:r>
      <w:r>
        <w:t xml:space="preserve">(Pā. 3-4-83): for the</w:t>
      </w:r>
      <w:r>
        <w:t xml:space="preserve"> </w:t>
      </w:r>
      <w:r>
        <w:rPr>
          <w:iCs/>
          <w:i/>
        </w:rPr>
        <w:t xml:space="preserve">parasmaipada</w:t>
      </w:r>
      <w:r>
        <w:t xml:space="preserve"> </w:t>
      </w:r>
      <w:r>
        <w:t xml:space="preserve">endings of</w:t>
      </w:r>
      <w:r>
        <w:t xml:space="preserve"> </w:t>
      </w:r>
      <w:r>
        <w:rPr>
          <w:iCs/>
          <w:i/>
        </w:rPr>
        <w:t xml:space="preserve">laṭ</w:t>
      </w:r>
      <w:r>
        <w:t xml:space="preserve"> </w:t>
      </w:r>
      <w:r>
        <w:t xml:space="preserve">after</w:t>
      </w:r>
      <w:r>
        <w:t xml:space="preserve"> </w:t>
      </w:r>
      <w:r>
        <w:rPr>
          <w:iCs/>
          <w:i/>
        </w:rPr>
        <w:t xml:space="preserve">vid</w:t>
      </w:r>
      <w:r>
        <w:t xml:space="preserve">, the nine substitutes</w:t>
      </w:r>
      <w:r>
        <w:t xml:space="preserve"> </w:t>
      </w:r>
      <w:r>
        <w:rPr>
          <w:iCs/>
          <w:i/>
        </w:rPr>
        <w:t xml:space="preserve">ṇal</w:t>
      </w:r>
      <w:r>
        <w:t xml:space="preserve"> </w:t>
      </w:r>
      <w:r>
        <w:t xml:space="preserve">etc. optionally, so</w:t>
      </w:r>
      <w:r>
        <w:t xml:space="preserve"> </w:t>
      </w:r>
      <w:r>
        <w:rPr>
          <w:iCs/>
          <w:i/>
        </w:rPr>
        <w:t xml:space="preserve">us</w:t>
      </w:r>
      <w:r>
        <w:t xml:space="preserve"> </w:t>
      </w:r>
      <w:r>
        <w:t xml:space="preserve">for</w:t>
      </w:r>
      <w:r>
        <w:t xml:space="preserve"> </w:t>
      </w:r>
      <w:r>
        <w:rPr>
          <w:iCs/>
          <w:i/>
        </w:rPr>
        <w:t xml:space="preserve">jhi</w:t>
      </w:r>
      <w:r>
        <w:t xml:space="preserve">:</w:t>
      </w:r>
      <w:r>
        <w:t xml:space="preserve"> </w:t>
      </w:r>
      <w:r>
        <w:rPr>
          <w:iCs/>
          <w:i/>
        </w:rPr>
        <w:t xml:space="preserve">vidus</w:t>
      </w:r>
      <w:r>
        <w:t xml:space="preserve">,</w:t>
      </w:r>
      <w:r>
        <w:t xml:space="preserve"> </w:t>
      </w:r>
      <w:r>
        <w:rPr>
          <w:iCs/>
          <w:i/>
        </w:rPr>
        <w:t xml:space="preserve">ru</w:t>
      </w:r>
      <w:r>
        <w:t xml:space="preserve"> </w:t>
      </w:r>
      <w:r>
        <w:t xml:space="preserve">and visarga;</w:t>
      </w:r>
      <w:r>
        <w:t xml:space="preserve"> </w:t>
      </w:r>
      <w:r>
        <w:rPr>
          <w:iCs/>
          <w:i/>
        </w:rPr>
        <w:t xml:space="preserve">viduḥ</w:t>
      </w:r>
      <w:r>
        <w:t xml:space="preserve"> </w:t>
      </w:r>
      <w:r>
        <w:t xml:space="preserve">stands at the beginning of the fourth pāda, so it is not unaccented. In the Saṃhitā</w:t>
      </w:r>
      <w:r>
        <w:t xml:space="preserve"> </w:t>
      </w:r>
      <w:r>
        <w:rPr>
          <w:iCs/>
          <w:i/>
        </w:rPr>
        <w:t xml:space="preserve">viduḥ</w:t>
      </w:r>
      <w:r>
        <w:t xml:space="preserve"> </w:t>
      </w:r>
      <w:r>
        <w:t xml:space="preserve">+</w:t>
      </w:r>
      <w:r>
        <w:t xml:space="preserve"> </w:t>
      </w:r>
      <w:r>
        <w:rPr>
          <w:iCs/>
          <w:i/>
        </w:rPr>
        <w:t xml:space="preserve">te</w:t>
      </w:r>
      <w:r>
        <w:t xml:space="preserve">:</w:t>
      </w:r>
      <w:r>
        <w:t xml:space="preserve"> </w:t>
      </w:r>
      <w:r>
        <w:t xml:space="preserve">“</w:t>
      </w:r>
      <w:r>
        <w:t xml:space="preserve">visarjanīyasya saḥ</w:t>
      </w:r>
      <w:r>
        <w:t xml:space="preserve">”</w:t>
      </w:r>
      <w:r>
        <w:t xml:space="preserve"> </w:t>
      </w:r>
      <w:r>
        <w:t xml:space="preserve">(Pā. 8-3-34) gives</w:t>
      </w:r>
      <w:r>
        <w:t xml:space="preserve"> </w:t>
      </w:r>
      <w:r>
        <w:rPr>
          <w:iCs/>
          <w:i/>
        </w:rPr>
        <w:t xml:space="preserve">s</w:t>
      </w:r>
      <w:r>
        <w:t xml:space="preserve"> </w:t>
      </w:r>
      <w:r>
        <w:t xml:space="preserve">for the visarga before a</w:t>
      </w:r>
      <w:r>
        <w:t xml:space="preserve"> </w:t>
      </w:r>
      <w:r>
        <w:rPr>
          <w:iCs/>
          <w:i/>
        </w:rPr>
        <w:t xml:space="preserve">khar</w:t>
      </w:r>
      <w:r>
        <w:t xml:space="preserve"> </w:t>
      </w:r>
      <w:r>
        <w:t xml:space="preserve">letter; then</w:t>
      </w:r>
      <w:r>
        <w:t xml:space="preserve"> </w:t>
      </w:r>
      <w:r>
        <w:t xml:space="preserve">“</w:t>
      </w:r>
      <w:r>
        <w:t xml:space="preserve">yuṣmat-tat-takṣuḥṣv antaḥpādam</w:t>
      </w:r>
      <w:r>
        <w:t xml:space="preserve">”</w:t>
      </w:r>
      <w:r>
        <w:t xml:space="preserve"> </w:t>
      </w:r>
      <w:r>
        <w:t xml:space="preserve">(Pā. 8-3-103):</w:t>
      </w:r>
      <w:r>
        <w:t xml:space="preserve"> </w:t>
      </w:r>
      <w:r>
        <w:rPr>
          <w:iCs/>
          <w:i/>
        </w:rPr>
        <w:t xml:space="preserve">ṣ</w:t>
      </w:r>
      <w:r>
        <w:t xml:space="preserve"> </w:t>
      </w:r>
      <w:r>
        <w:t xml:space="preserve">for an</w:t>
      </w:r>
      <w:r>
        <w:t xml:space="preserve"> </w:t>
      </w:r>
      <w:r>
        <w:rPr>
          <w:iCs/>
          <w:i/>
        </w:rPr>
        <w:t xml:space="preserve">s</w:t>
      </w:r>
      <w:r>
        <w:t xml:space="preserve"> </w:t>
      </w:r>
      <w:r>
        <w:t xml:space="preserve">before the</w:t>
      </w:r>
      <w:r>
        <w:t xml:space="preserve"> </w:t>
      </w:r>
      <w:r>
        <w:rPr>
          <w:iCs/>
          <w:i/>
        </w:rPr>
        <w:t xml:space="preserve">t</w:t>
      </w:r>
      <w:r>
        <w:t xml:space="preserve">-initial substitutes of</w:t>
      </w:r>
      <w:r>
        <w:t xml:space="preserve"> </w:t>
      </w:r>
      <w:r>
        <w:rPr>
          <w:iCs/>
          <w:i/>
        </w:rPr>
        <w:t xml:space="preserve">yuṣmad</w:t>
      </w:r>
      <w:r>
        <w:t xml:space="preserve">, before</w:t>
      </w:r>
      <w:r>
        <w:t xml:space="preserve"> </w:t>
      </w:r>
      <w:r>
        <w:rPr>
          <w:iCs/>
          <w:i/>
        </w:rPr>
        <w:t xml:space="preserve">tat</w:t>
      </w:r>
      <w:r>
        <w:t xml:space="preserve"> </w:t>
      </w:r>
      <w:r>
        <w:t xml:space="preserve">and</w:t>
      </w:r>
      <w:r>
        <w:t xml:space="preserve"> </w:t>
      </w:r>
      <w:r>
        <w:rPr>
          <w:iCs/>
          <w:i/>
        </w:rPr>
        <w:t xml:space="preserve">takṣu</w:t>
      </w:r>
      <w:r>
        <w:t xml:space="preserve">, within a pāda; and</w:t>
      </w:r>
      <w:r>
        <w:t xml:space="preserve"> </w:t>
      </w:r>
      <w:r>
        <w:t xml:space="preserve">“</w:t>
      </w:r>
      <w:r>
        <w:t xml:space="preserve">ṣṭunā ṣṭuḥ</w:t>
      </w:r>
      <w:r>
        <w:t xml:space="preserve">”</w:t>
      </w:r>
      <w:r>
        <w:t xml:space="preserve"> </w:t>
      </w:r>
      <w:r>
        <w:t xml:space="preserve">(Pā. 8-4-41) turns the</w:t>
      </w:r>
      <w:r>
        <w:t xml:space="preserve"> </w:t>
      </w:r>
      <w:r>
        <w:rPr>
          <w:iCs/>
          <w:i/>
        </w:rPr>
        <w:t xml:space="preserve">t</w:t>
      </w:r>
      <w:r>
        <w:t xml:space="preserve"> </w:t>
      </w:r>
      <w:r>
        <w:t xml:space="preserve">into</w:t>
      </w:r>
      <w:r>
        <w:t xml:space="preserve"> </w:t>
      </w:r>
      <w:r>
        <w:rPr>
          <w:iCs/>
          <w:i/>
        </w:rPr>
        <w:t xml:space="preserve">ṭ</w:t>
      </w:r>
      <w:r>
        <w:t xml:space="preserve">:</w:t>
      </w:r>
      <w:r>
        <w:t xml:space="preserve"> </w:t>
      </w:r>
      <w:r>
        <w:rPr>
          <w:iCs/>
          <w:i/>
        </w:rPr>
        <w:t xml:space="preserve">viduṣṭe</w:t>
      </w:r>
      <w:r>
        <w:t xml:space="preserve">.</w:t>
      </w:r>
      <w:r>
        <w:t xml:space="preserve"> </w:t>
      </w:r>
      <w:r>
        <w:rPr>
          <w:bCs/>
          <w:b/>
        </w:rPr>
        <w:t xml:space="preserve">तस्य (</w:t>
      </w:r>
      <w:r>
        <w:rPr>
          <w:iCs/>
          <w:i/>
          <w:bCs/>
          <w:b/>
        </w:rPr>
        <w:t xml:space="preserve">tasya</w:t>
      </w:r>
      <w:r>
        <w:rPr>
          <w:bCs/>
          <w:b/>
        </w:rPr>
        <w:t xml:space="preserve">)</w:t>
      </w:r>
      <w:r>
        <w:t xml:space="preserve"> </w:t>
      </w:r>
      <w:r>
        <w:t xml:space="preserve">—</w:t>
      </w:r>
      <w:r>
        <w:t xml:space="preserve"> </w:t>
      </w:r>
      <w:r>
        <w:t xml:space="preserve">“</w:t>
      </w:r>
      <w:r>
        <w:t xml:space="preserve">sāv ekācas tṛtīyādir vibhaktiḥ</w:t>
      </w:r>
      <w:r>
        <w:t xml:space="preserve">”</w:t>
      </w:r>
      <w:r>
        <w:t xml:space="preserve"> </w:t>
      </w:r>
      <w:r>
        <w:t xml:space="preserve">(Pā. 6-1-168): after a word that is monosyllabic before the locative plural</w:t>
      </w:r>
      <w:r>
        <w:t xml:space="preserve"> </w:t>
      </w:r>
      <w:r>
        <w:rPr>
          <w:iCs/>
          <w:i/>
        </w:rPr>
        <w:t xml:space="preserve">su</w:t>
      </w:r>
      <w:r>
        <w:t xml:space="preserve">, the case endings from the third onward are udātta; this would make the genitive</w:t>
      </w:r>
      <w:r>
        <w:t xml:space="preserve"> </w:t>
      </w:r>
      <w:r>
        <w:rPr>
          <w:iCs/>
          <w:i/>
        </w:rPr>
        <w:t xml:space="preserve">sya</w:t>
      </w:r>
      <w:r>
        <w:t xml:space="preserve"> </w:t>
      </w:r>
      <w:r>
        <w:t xml:space="preserve">udātta, but</w:t>
      </w:r>
      <w:r>
        <w:t xml:space="preserve"> </w:t>
      </w:r>
      <w:r>
        <w:t xml:space="preserve">“</w:t>
      </w:r>
      <w:r>
        <w:t xml:space="preserve">na go-śvan-sāv-avarṇa-rāḍ-aṅ-kruṅ-kṛdbhyaḥ</w:t>
      </w:r>
      <w:r>
        <w:t xml:space="preserve">”</w:t>
      </w:r>
      <w:r>
        <w:t xml:space="preserve"> </w:t>
      </w:r>
      <w:r>
        <w:t xml:space="preserve">(Pā. 6-1-182 [?]) bars it after</w:t>
      </w:r>
      <w:r>
        <w:t xml:space="preserve"> </w:t>
      </w:r>
      <w:r>
        <w:rPr>
          <w:iCs/>
          <w:i/>
        </w:rPr>
        <w:t xml:space="preserve">go</w:t>
      </w:r>
      <w:r>
        <w:t xml:space="preserve">,</w:t>
      </w:r>
      <w:r>
        <w:t xml:space="preserve"> </w:t>
      </w:r>
      <w:r>
        <w:rPr>
          <w:iCs/>
          <w:i/>
        </w:rPr>
        <w:t xml:space="preserve">śvan</w:t>
      </w:r>
      <w:r>
        <w:t xml:space="preserve">, a word ending in</w:t>
      </w:r>
      <w:r>
        <w:t xml:space="preserve"> </w:t>
      </w:r>
      <w:r>
        <w:rPr>
          <w:iCs/>
          <w:i/>
        </w:rPr>
        <w:t xml:space="preserve">a</w:t>
      </w:r>
      <w:r>
        <w:t xml:space="preserve"> </w:t>
      </w:r>
      <w:r>
        <w:t xml:space="preserve">in the nominative singular,</w:t>
      </w:r>
      <w:r>
        <w:t xml:space="preserve"> </w:t>
      </w:r>
      <w:r>
        <w:rPr>
          <w:iCs/>
          <w:i/>
        </w:rPr>
        <w:t xml:space="preserve">rāṭ</w:t>
      </w:r>
      <w:r>
        <w:t xml:space="preserve">,</w:t>
      </w:r>
      <w:r>
        <w:t xml:space="preserve"> </w:t>
      </w:r>
      <w:r>
        <w:rPr>
          <w:iCs/>
          <w:i/>
        </w:rPr>
        <w:t xml:space="preserve">aṅ</w:t>
      </w:r>
      <w:r>
        <w:t xml:space="preserve">,</w:t>
      </w:r>
      <w:r>
        <w:t xml:space="preserve"> </w:t>
      </w:r>
      <w:r>
        <w:rPr>
          <w:iCs/>
          <w:i/>
        </w:rPr>
        <w:t xml:space="preserve">kruṅ</w:t>
      </w:r>
      <w:r>
        <w:t xml:space="preserve"> </w:t>
      </w:r>
      <w:r>
        <w:t xml:space="preserve">and</w:t>
      </w:r>
      <w:r>
        <w:t xml:space="preserve"> </w:t>
      </w:r>
      <w:r>
        <w:rPr>
          <w:iCs/>
          <w:i/>
        </w:rPr>
        <w:t xml:space="preserve">kṛt</w:t>
      </w:r>
      <w:r>
        <w:t xml:space="preserve">; so by</w:t>
      </w:r>
      <w:r>
        <w:t xml:space="preserve"> </w:t>
      </w:r>
      <w:r>
        <w:t xml:space="preserve">“</w:t>
      </w:r>
      <w:r>
        <w:t xml:space="preserve">anudāttau suppitau</w:t>
      </w:r>
      <w:r>
        <w:t xml:space="preserve">”</w:t>
      </w:r>
      <w:r>
        <w:t xml:space="preserve"> </w:t>
      </w:r>
      <w:r>
        <w:t xml:space="preserve">(Pā. 3-1-4)</w:t>
      </w:r>
      <w:r>
        <w:t xml:space="preserve"> </w:t>
      </w:r>
      <w:r>
        <w:rPr>
          <w:iCs/>
          <w:i/>
        </w:rPr>
        <w:t xml:space="preserve">sya</w:t>
      </w:r>
      <w:r>
        <w:t xml:space="preserve"> </w:t>
      </w:r>
      <w:r>
        <w:t xml:space="preserve">is unaccented.</w:t>
      </w:r>
      <w:r>
        <w:t xml:space="preserve"> </w:t>
      </w:r>
      <w:r>
        <w:rPr>
          <w:bCs/>
          <w:b/>
        </w:rPr>
        <w:t xml:space="preserve">कारवः (</w:t>
      </w:r>
      <w:r>
        <w:rPr>
          <w:iCs/>
          <w:i/>
          <w:bCs/>
          <w:b/>
        </w:rPr>
        <w:t xml:space="preserve">kāravaḥ</w:t>
      </w:r>
      <w:r>
        <w:rPr>
          <w:bCs/>
          <w:b/>
        </w:rPr>
        <w:t xml:space="preserve">)</w:t>
      </w:r>
      <w:r>
        <w:t xml:space="preserve"> </w:t>
      </w:r>
      <w:r>
        <w:t xml:space="preserve">—</w:t>
      </w:r>
      <w:r>
        <w:t xml:space="preserve"> </w:t>
      </w:r>
      <w:r>
        <w:t xml:space="preserve">“</w:t>
      </w:r>
      <w:r>
        <w:t xml:space="preserve">kṛ-vā-pā-ji-mi-svadi-sādhy-aśūbhya uṇ</w:t>
      </w:r>
      <w:r>
        <w:t xml:space="preserve">”</w:t>
      </w:r>
      <w:r>
        <w:t xml:space="preserve"> </w:t>
      </w:r>
      <w:r>
        <w:t xml:space="preserve">(Uṇ. 1-1): after</w:t>
      </w:r>
      <w:r>
        <w:t xml:space="preserve"> </w:t>
      </w:r>
      <w:r>
        <w:rPr>
          <w:iCs/>
          <w:i/>
        </w:rPr>
        <w:t xml:space="preserve">ḍukṛñ karaṇe</w:t>
      </w:r>
      <w:r>
        <w:t xml:space="preserve">,</w:t>
      </w:r>
      <w:r>
        <w:t xml:space="preserve"> </w:t>
      </w:r>
      <w:r>
        <w:rPr>
          <w:iCs/>
          <w:i/>
        </w:rPr>
        <w:t xml:space="preserve">vā gatigandhanayoḥ</w:t>
      </w:r>
      <w:r>
        <w:t xml:space="preserve">,</w:t>
      </w:r>
      <w:r>
        <w:t xml:space="preserve"> </w:t>
      </w:r>
      <w:r>
        <w:rPr>
          <w:iCs/>
          <w:i/>
        </w:rPr>
        <w:t xml:space="preserve">pā pāne</w:t>
      </w:r>
      <w:r>
        <w:t xml:space="preserve">,</w:t>
      </w:r>
      <w:r>
        <w:t xml:space="preserve"> </w:t>
      </w:r>
      <w:r>
        <w:rPr>
          <w:iCs/>
          <w:i/>
        </w:rPr>
        <w:t xml:space="preserve">ji abhibhave</w:t>
      </w:r>
      <w:r>
        <w:t xml:space="preserve">,</w:t>
      </w:r>
      <w:r>
        <w:t xml:space="preserve"> </w:t>
      </w:r>
      <w:r>
        <w:rPr>
          <w:iCs/>
          <w:i/>
        </w:rPr>
        <w:t xml:space="preserve">ḍumiñ prakṣepaṇe</w:t>
      </w:r>
      <w:r>
        <w:t xml:space="preserve">,</w:t>
      </w:r>
      <w:r>
        <w:t xml:space="preserve"> </w:t>
      </w:r>
      <w:r>
        <w:rPr>
          <w:iCs/>
          <w:i/>
        </w:rPr>
        <w:t xml:space="preserve">svada āsvādane</w:t>
      </w:r>
      <w:r>
        <w:t xml:space="preserve">,</w:t>
      </w:r>
      <w:r>
        <w:t xml:space="preserve"> </w:t>
      </w:r>
      <w:r>
        <w:rPr>
          <w:iCs/>
          <w:i/>
        </w:rPr>
        <w:t xml:space="preserve">sādha saṃsiddhau</w:t>
      </w:r>
      <w:r>
        <w:t xml:space="preserve">,</w:t>
      </w:r>
      <w:r>
        <w:t xml:space="preserve"> </w:t>
      </w:r>
      <w:r>
        <w:rPr>
          <w:iCs/>
          <w:i/>
        </w:rPr>
        <w:t xml:space="preserve">aśū vyāptau</w:t>
      </w:r>
      <w:r>
        <w:t xml:space="preserve">, the suffix</w:t>
      </w:r>
      <w:r>
        <w:t xml:space="preserve"> </w:t>
      </w:r>
      <w:r>
        <w:rPr>
          <w:iCs/>
          <w:i/>
        </w:rPr>
        <w:t xml:space="preserve">uṇ</w:t>
      </w:r>
      <w:r>
        <w:t xml:space="preserve">;</w:t>
      </w:r>
      <w:r>
        <w:t xml:space="preserve"> </w:t>
      </w:r>
      <w:r>
        <w:rPr>
          <w:iCs/>
          <w:i/>
        </w:rPr>
        <w:t xml:space="preserve">ṇit</w:t>
      </w:r>
      <w:r>
        <w:t xml:space="preserve">, so</w:t>
      </w:r>
      <w:r>
        <w:t xml:space="preserve"> </w:t>
      </w:r>
      <w:r>
        <w:rPr>
          <w:iCs/>
          <w:i/>
        </w:rPr>
        <w:t xml:space="preserve">vṛddhi</w:t>
      </w:r>
      <w:r>
        <w:t xml:space="preserve"> </w:t>
      </w:r>
      <w:r>
        <w:t xml:space="preserve">by</w:t>
      </w:r>
      <w:r>
        <w:t xml:space="preserve"> </w:t>
      </w:r>
      <w:r>
        <w:t xml:space="preserve">“</w:t>
      </w:r>
      <w:r>
        <w:t xml:space="preserve">aco ñṇiti</w:t>
      </w:r>
      <w:r>
        <w:t xml:space="preserve">”</w:t>
      </w:r>
      <w:r>
        <w:t xml:space="preserve"> </w:t>
      </w:r>
      <w:r>
        <w:t xml:space="preserve">(Pā. 7-2-115), with</w:t>
      </w:r>
      <w:r>
        <w:t xml:space="preserve"> </w:t>
      </w:r>
      <w:r>
        <w:rPr>
          <w:iCs/>
          <w:i/>
        </w:rPr>
        <w:t xml:space="preserve">r</w:t>
      </w:r>
      <w:r>
        <w:t xml:space="preserve"> </w:t>
      </w:r>
      <w:r>
        <w:t xml:space="preserve">by</w:t>
      </w:r>
      <w:r>
        <w:t xml:space="preserve"> </w:t>
      </w:r>
      <w:r>
        <w:t xml:space="preserve">“</w:t>
      </w:r>
      <w:r>
        <w:t xml:space="preserve">uraṇ raparaḥ</w:t>
      </w:r>
      <w:r>
        <w:t xml:space="preserve">”</w:t>
      </w:r>
      <w:r>
        <w:t xml:space="preserve">:</w:t>
      </w:r>
      <w:r>
        <w:t xml:space="preserve"> </w:t>
      </w:r>
      <w:r>
        <w:rPr>
          <w:iCs/>
          <w:i/>
        </w:rPr>
        <w:t xml:space="preserve">kāru</w:t>
      </w:r>
      <w:r>
        <w:t xml:space="preserve">; the suffix accent.</w:t>
      </w:r>
    </w:p>
    <w:p>
      <w:pPr>
        <w:pStyle w:val="BodyText"/>
      </w:pPr>
      <w:r>
        <w:rPr>
          <w:bCs/>
          <w:b/>
        </w:rPr>
        <w:t xml:space="preserve">॥६॥</w:t>
      </w:r>
    </w:p>
    <w:p>
      <w:r>
        <w:pict>
          <v:rect style="width:0;height:1.5pt" o:hralign="center" o:hrstd="t" o:hr="t"/>
        </w:pict>
      </w:r>
    </w:p>
    <w:bookmarkEnd w:id="487"/>
    <w:bookmarkStart w:id="488" w:name="page-474-sūkta-11-rik-7"/>
    <w:p>
      <w:pPr>
        <w:pStyle w:val="Heading3"/>
      </w:pPr>
      <w:r>
        <w:t xml:space="preserve">Page 474 — Sūkta 11, Rik 7</w:t>
      </w:r>
    </w:p>
    <w:p>
      <w:pPr>
        <w:pStyle w:val="FirstParagraph"/>
      </w:pPr>
      <w:r>
        <w:rPr>
          <w:iCs/>
          <w:i/>
        </w:rPr>
        <w:t xml:space="preserve">(Saṃhitā accents as printed; Pada unaccented. Line 2: a bar under वां and a stroke over स्यु of श्रवांस्युत्तिर, as printed — [accent ?].)</w:t>
      </w:r>
    </w:p>
    <w:p>
      <w:pPr>
        <w:pStyle w:val="BodyText"/>
      </w:pPr>
      <w:r>
        <w:rPr>
          <w:bCs/>
          <w:b/>
        </w:rPr>
        <w:t xml:space="preserve">॥ Saṃhitā-pāṭhaḥ ॥</w:t>
      </w:r>
    </w:p>
    <w:p>
      <w:pPr>
        <w:pStyle w:val="BlockText"/>
      </w:pPr>
      <w:r>
        <w:t xml:space="preserve">मा॒याभि॑रिन्द्र मा॒यिनं॒ त्वं शुष्ण॒मवा॑तिरः ।</w:t>
      </w:r>
      <w:r>
        <w:t xml:space="preserve"> </w:t>
      </w:r>
      <w:r>
        <w:t xml:space="preserve">वि॒दुष्टे॒ तस्य॒ मेधि॑रा॒स्तेषां॒ श्रवां॒स्यु॑त्तिर ॥७॥ [accent ?]</w:t>
      </w:r>
    </w:p>
    <w:p>
      <w:pPr>
        <w:pStyle w:val="BlockText"/>
      </w:pPr>
      <w:r>
        <w:rPr>
          <w:iCs/>
          <w:i/>
        </w:rPr>
        <w:t xml:space="preserve">māyā́bhir indra māyínaṃ tváṃ śuṣṇam ávātiraḥ |</w:t>
      </w:r>
      <w:r>
        <w:t xml:space="preserve"> </w:t>
      </w:r>
      <w:r>
        <w:rPr>
          <w:iCs/>
          <w:i/>
        </w:rPr>
        <w:t xml:space="preserve">vidúṣ ṭe tásya médhirās téṣāṃ śrávāṃsy ut tira ||7||</w:t>
      </w:r>
      <w:r>
        <w:t xml:space="preserve"> </w:t>
      </w:r>
      <w:r>
        <w:t xml:space="preserve">[accent ?]</w:t>
      </w:r>
    </w:p>
    <w:p>
      <w:pPr>
        <w:pStyle w:val="FirstParagraph"/>
      </w:pPr>
      <w:r>
        <w:rPr>
          <w:bCs/>
          <w:b/>
        </w:rPr>
        <w:t xml:space="preserve">॥ Pada-pāṭhaḥ ॥</w:t>
      </w:r>
    </w:p>
    <w:p>
      <w:pPr>
        <w:pStyle w:val="BlockText"/>
      </w:pPr>
      <w:r>
        <w:t xml:space="preserve">मायाभिः । इन्द्र । मायिनम् । त्वम् । शुष्णम् । अव । अतिरः ॥</w:t>
      </w:r>
      <w:r>
        <w:t xml:space="preserve"> </w:t>
      </w:r>
      <w:r>
        <w:t xml:space="preserve">विदुः । ते । तस्य । मेधिराः । तेषाम् । श्रवांसि । उत् । तिर ॥७॥</w:t>
      </w:r>
    </w:p>
    <w:p>
      <w:pPr>
        <w:pStyle w:val="BlockText"/>
      </w:pPr>
      <w:r>
        <w:rPr>
          <w:iCs/>
          <w:i/>
        </w:rPr>
        <w:t xml:space="preserve">māyābhiḥ | indra | māyinam | tvam | śuṣṇam | ava | atiraḥ ||</w:t>
      </w:r>
      <w:r>
        <w:t xml:space="preserve"> </w:t>
      </w:r>
      <w:r>
        <w:rPr>
          <w:iCs/>
          <w:i/>
        </w:rPr>
        <w:t xml:space="preserve">viduḥ | te | tasya | medhirāḥ | teṣām | śravāṃsi | ut | tira ||7||</w:t>
      </w:r>
    </w:p>
    <w:bookmarkEnd w:id="488"/>
    <w:bookmarkStart w:id="489" w:name="X5f72047c8f28e868833a2c7265f8c0a40182ba4"/>
    <w:p>
      <w:pPr>
        <w:pStyle w:val="Heading3"/>
      </w:pPr>
      <w:r>
        <w:t xml:space="preserve">Page 475 — Rik 7: Sāyaṇa-bhāṣya, word-meanings</w:t>
      </w:r>
    </w:p>
    <w:p>
      <w:pPr>
        <w:pStyle w:val="FirstParagraph"/>
      </w:pPr>
      <w:r>
        <w:rPr>
          <w:bCs/>
          <w:b/>
        </w:rPr>
        <w:t xml:space="preserve">॥ Sāyaṇa-bhāṣyam ॥</w:t>
      </w:r>
    </w:p>
    <w:p>
      <w:pPr>
        <w:pStyle w:val="BlockText"/>
      </w:pPr>
      <w:r>
        <w:t xml:space="preserve">हे इन्द्र त्वं मायिनं नानाविधकपटोपेतं शुष्णं भूतानां शोषणहेतुमेतन्नामकमसुरं मायाभिस्तत्प्रतिकूलैः कपटविशेषैः । यद्वा । तद्विधोपायगोचरप्रज्ञाभिः । अवातिरः । हिंसितवानसि । एतच्च यास्केनोक्तम् । इन्द्रः शुष्णं जघान । नि. ३-११ । इति । शुष्णं पिप्रुम् । ऋग्वे. १-१०३-८ । इत्यादिमन्त्रे चायमर्थो विस्पष्टः । मेधिरा मेधावन्तो ऽनुष्ठातारस्तस्य तादृशस्य ते तव महिमानं विदुः । जानन्ति । तेषां जानतामनुष्ठातॄणां श्रवांस्यन्नान्युत्तिर । वर्धय । केतः केतुरित्यादिष्वेकादशसु प्रज्ञानामसु माया वयुनमिति पठितम् । श्रवःशब्दं यास्को निर्वक्ति । श्रव इत्यन्ननाम श्रूयत इति सतः । नि. १०-३ । इति ॥ मायाभिः । माङ् माने । माच्छाससिसूभ्यो यः । उ. ४-१०९ । इति यप्रत्ययः । प्रत्ययस्वरः । मायिनम् । मायास्यास्तीति मायी । व्रीह्यादित्वादिनिप्रत्ययः । पा. ५-२-११६ । प्रत्ययस्वरः । शुष्णम् । शुष शोषणे । अस्मादन्तर्भावितण्यर्थान्निदित्यनुवृत्तौ तृषिशुषिरसिभ्यः कित् । उ. ३-१२ । इति नप्रत्ययः । नित्त्वादाद्युदात्तः । अतिरः । तरतेर्लङि व्यत्ययेन शः । तस्य ङित्त्वेन गुणाभावादृत इद्धातोरितीत्त्वम् । रपरत्वम् । विदुष्टे तस्य । गतं मन्त्रे गतम् । मेधिराः । मिधृ मेधृ मेधाहिंसनयोः । औणादिक इरन् । नित्त्वादाद्युदात्तः । श्रवांसि । नब्विषयत्वादाद्युदात्तः ॥</w:t>
      </w:r>
    </w:p>
    <w:p>
      <w:pPr>
        <w:pStyle w:val="BlockText"/>
      </w:pPr>
      <w:r>
        <w:rPr>
          <w:iCs/>
          <w:i/>
        </w:rPr>
        <w:t xml:space="preserve">he indra tvaṃ māyinaṃ nānāvidhakapaṭopetaṃ śuṣṇaṃ bhūtānāṃ śoṣaṇahetumetannāmakamasuraṃ māyābhistatpratikūlaiḥ kapaṭaviśeṣaiḥ | yadvā | tadvidhopāyagocaraprajñābhiḥ | avātiraḥ | hiṃsitavānasi | etacca yāskenoktam | indraḥ śuṣṇaṃ jaghāna | ni. 3-11 | iti | śuṣṇaṃ piprum | ṛgve. 1-103-8 | ityādimantre cāyamartho vispaṣṭaḥ | medhirā medhāvanto ’nuṣṭhātārastasya tādṛśasya te tava mahimānaṃ viduḥ | jānanti | teṣāṃ jānatāmanuṣṭhātṝṇāṃ śravāṃsyannānyuttira | vardhaya | ketaḥ keturityādiṣvekādaśasu prajñānāmasu māyā vayunamiti paṭhitam | śravaḥśabdaṃ yāsko nirvakti | śrava ityannanāma śrūyata iti sataḥ | ni. 10-3 | iti || māyābhiḥ | māṅ māne | mācchāsasisūbhyo yaḥ | u. 4-109 | iti yapratyayaḥ | pratyayasvaraḥ | māyinam | māyāsyāstīti māyī | vrīhyāditvādinipratyayaḥ | pā. 5-2-116 | pratyayasvaraḥ | śuṣṇam | śuṣa śoṣaṇe | asmādantarbhāvitaṇyarthānnidityanuvṛttau tṛṣiśuṣirasibhyaḥ kit | u. 3-12 | iti napratyayaḥ | nittvādādyudāttaḥ | atiraḥ | taraterlaṅi vyatyayena śaḥ | tasya ṅittvena guṇābhāvādṛta iddhātoritīttvam | raparatvam | viduṣṭe tasya | gataṃ mantre gatam | medhirāḥ | midhṛ medhṛ medhāhiṃsanayoḥ | auṇādika iran | nittvādādyudāttaḥ | śravāṃsi | nabviṣayatvādādyudāttaḥ ||</w:t>
      </w:r>
    </w:p>
    <w:p>
      <w:pPr>
        <w:pStyle w:val="FirstParagraph"/>
      </w:pPr>
      <w:r>
        <w:rPr>
          <w:bCs/>
          <w:b/>
        </w:rPr>
        <w:t xml:space="preserve">Translation:</w:t>
      </w:r>
      <w:r>
        <w:t xml:space="preserve"> </w:t>
      </w:r>
      <w:r>
        <w:t xml:space="preserve">“</w:t>
      </w:r>
      <w:r>
        <w:t xml:space="preserve">O Indra! You</w:t>
      </w:r>
      <w:r>
        <w:t xml:space="preserve"> </w:t>
      </w:r>
      <w:r>
        <w:rPr>
          <w:iCs/>
          <w:i/>
        </w:rPr>
        <w:t xml:space="preserve">avātiraḥ</w:t>
      </w:r>
      <w:r>
        <w:t xml:space="preserve"> </w:t>
      </w:r>
      <w:r>
        <w:t xml:space="preserve">— slew —</w:t>
      </w:r>
      <w:r>
        <w:t xml:space="preserve"> </w:t>
      </w:r>
      <w:r>
        <w:rPr>
          <w:iCs/>
          <w:i/>
        </w:rPr>
        <w:t xml:space="preserve">śuṣṇam</w:t>
      </w:r>
      <w:r>
        <w:t xml:space="preserve">, the asura of that name,</w:t>
      </w:r>
      <w:r>
        <w:t xml:space="preserve"> </w:t>
      </w:r>
      <w:r>
        <w:rPr>
          <w:iCs/>
          <w:i/>
        </w:rPr>
        <w:t xml:space="preserve">māyin</w:t>
      </w:r>
      <w:r>
        <w:t xml:space="preserve"> </w:t>
      </w:r>
      <w:r>
        <w:t xml:space="preserve">— possessed of various kinds of trickery — and the cause of the drying up of beings,</w:t>
      </w:r>
      <w:r>
        <w:t xml:space="preserve"> </w:t>
      </w:r>
      <w:r>
        <w:rPr>
          <w:iCs/>
          <w:i/>
        </w:rPr>
        <w:t xml:space="preserve">māyābhiḥ</w:t>
      </w:r>
      <w:r>
        <w:t xml:space="preserve"> </w:t>
      </w:r>
      <w:r>
        <w:t xml:space="preserve">— with special devices of deceit opposed to his; or [alternatively] with</w:t>
      </w:r>
      <w:r>
        <w:t xml:space="preserve"> </w:t>
      </w:r>
      <w:r>
        <w:rPr>
          <w:iCs/>
          <w:i/>
        </w:rPr>
        <w:t xml:space="preserve">prajñā</w:t>
      </w:r>
      <w:r>
        <w:t xml:space="preserve">s, insights into such means. This Yāska says:</w:t>
      </w:r>
      <w:r>
        <w:t xml:space="preserve"> </w:t>
      </w:r>
      <w:r>
        <w:t xml:space="preserve">‘</w:t>
      </w:r>
      <w:r>
        <w:rPr>
          <w:iCs/>
          <w:i/>
        </w:rPr>
        <w:t xml:space="preserve">indraḥ śuṣṇaṃ jaghāna</w:t>
      </w:r>
      <w:r>
        <w:t xml:space="preserve">’</w:t>
      </w:r>
      <w:r>
        <w:t xml:space="preserve"> </w:t>
      </w:r>
      <w:r>
        <w:t xml:space="preserve">(Ni. 3-11); and this sense is clear in the mantra beginning</w:t>
      </w:r>
      <w:r>
        <w:t xml:space="preserve"> </w:t>
      </w:r>
      <w:r>
        <w:rPr>
          <w:iCs/>
          <w:i/>
        </w:rPr>
        <w:t xml:space="preserve">śuṣṇaṃ pipruṃ</w:t>
      </w:r>
      <w:r>
        <w:t xml:space="preserve"> </w:t>
      </w:r>
      <w:r>
        <w:t xml:space="preserve">(Ṛgveda 1-103-8).</w:t>
      </w:r>
      <w:r>
        <w:t xml:space="preserve"> </w:t>
      </w:r>
      <w:r>
        <w:rPr>
          <w:iCs/>
          <w:i/>
        </w:rPr>
        <w:t xml:space="preserve">Medhirāḥ</w:t>
      </w:r>
      <w:r>
        <w:t xml:space="preserve"> </w:t>
      </w:r>
      <w:r>
        <w:t xml:space="preserve">— the wise performers —</w:t>
      </w:r>
      <w:r>
        <w:t xml:space="preserve"> </w:t>
      </w:r>
      <w:r>
        <w:rPr>
          <w:iCs/>
          <w:i/>
        </w:rPr>
        <w:t xml:space="preserve">viduḥ te</w:t>
      </w:r>
      <w:r>
        <w:t xml:space="preserve"> </w:t>
      </w:r>
      <w:r>
        <w:t xml:space="preserve">— know your greatness, of such a one. For those who thus know,</w:t>
      </w:r>
      <w:r>
        <w:t xml:space="preserve"> </w:t>
      </w:r>
      <w:r>
        <w:rPr>
          <w:iCs/>
          <w:i/>
        </w:rPr>
        <w:t xml:space="preserve">uttira</w:t>
      </w:r>
      <w:r>
        <w:t xml:space="preserve"> </w:t>
      </w:r>
      <w:r>
        <w:t xml:space="preserve">— increase —</w:t>
      </w:r>
      <w:r>
        <w:t xml:space="preserve"> </w:t>
      </w:r>
      <w:r>
        <w:rPr>
          <w:iCs/>
          <w:i/>
        </w:rPr>
        <w:t xml:space="preserve">śravāṃsi</w:t>
      </w:r>
      <w:r>
        <w:t xml:space="preserve">, foods. Among the eleven words for</w:t>
      </w:r>
      <w:r>
        <w:t xml:space="preserve"> </w:t>
      </w:r>
      <w:r>
        <w:t xml:space="preserve">‘</w:t>
      </w:r>
      <w:r>
        <w:t xml:space="preserve">wisdom</w:t>
      </w:r>
      <w:r>
        <w:t xml:space="preserve">’</w:t>
      </w:r>
      <w:r>
        <w:t xml:space="preserve"> </w:t>
      </w:r>
      <w:r>
        <w:t xml:space="preserve">beginning with</w:t>
      </w:r>
      <w:r>
        <w:t xml:space="preserve"> </w:t>
      </w:r>
      <w:r>
        <w:rPr>
          <w:iCs/>
          <w:i/>
        </w:rPr>
        <w:t xml:space="preserve">ketaḥ</w:t>
      </w:r>
      <w:r>
        <w:t xml:space="preserve"> </w:t>
      </w:r>
      <w:r>
        <w:t xml:space="preserve">and</w:t>
      </w:r>
      <w:r>
        <w:t xml:space="preserve"> </w:t>
      </w:r>
      <w:r>
        <w:rPr>
          <w:iCs/>
          <w:i/>
        </w:rPr>
        <w:t xml:space="preserve">ketuḥ</w:t>
      </w:r>
      <w:r>
        <w:t xml:space="preserve">,</w:t>
      </w:r>
      <w:r>
        <w:t xml:space="preserve"> </w:t>
      </w:r>
      <w:r>
        <w:rPr>
          <w:iCs/>
          <w:i/>
        </w:rPr>
        <w:t xml:space="preserve">māyā</w:t>
      </w:r>
      <w:r>
        <w:t xml:space="preserve"> </w:t>
      </w:r>
      <w:r>
        <w:t xml:space="preserve">and</w:t>
      </w:r>
      <w:r>
        <w:t xml:space="preserve"> </w:t>
      </w:r>
      <w:r>
        <w:rPr>
          <w:iCs/>
          <w:i/>
        </w:rPr>
        <w:t xml:space="preserve">vayunam</w:t>
      </w:r>
      <w:r>
        <w:t xml:space="preserve"> </w:t>
      </w:r>
      <w:r>
        <w:t xml:space="preserve">are read. Yāska explains the word</w:t>
      </w:r>
      <w:r>
        <w:t xml:space="preserve"> </w:t>
      </w:r>
      <w:r>
        <w:rPr>
          <w:iCs/>
          <w:i/>
        </w:rPr>
        <w:t xml:space="preserve">śravas</w:t>
      </w:r>
      <w:r>
        <w:t xml:space="preserve">:</w:t>
      </w:r>
      <w:r>
        <w:t xml:space="preserve"> </w:t>
      </w:r>
      <w:r>
        <w:t xml:space="preserve">‘</w:t>
      </w:r>
      <w:r>
        <w:rPr>
          <w:iCs/>
          <w:i/>
        </w:rPr>
        <w:t xml:space="preserve">śravas</w:t>
      </w:r>
      <w:r>
        <w:t xml:space="preserve"> </w:t>
      </w:r>
      <w:r>
        <w:t xml:space="preserve">is a name for food; because it is heard (</w:t>
      </w:r>
      <w:r>
        <w:rPr>
          <w:iCs/>
          <w:i/>
        </w:rPr>
        <w:t xml:space="preserve">śrūyate</w:t>
      </w:r>
      <w:r>
        <w:t xml:space="preserve">)</w:t>
      </w:r>
      <w:r>
        <w:t xml:space="preserve">’</w:t>
      </w:r>
      <w:r>
        <w:t xml:space="preserve"> </w:t>
      </w:r>
      <w:r>
        <w:t xml:space="preserve">(Ni. 10-3).</w:t>
      </w:r>
      <w:r>
        <w:t xml:space="preserve">”</w:t>
      </w:r>
      <w:r>
        <w:t xml:space="preserve"> </w:t>
      </w:r>
      <w:r>
        <w:t xml:space="preserve">(Grammatical tail:</w:t>
      </w:r>
      <w:r>
        <w:t xml:space="preserve"> </w:t>
      </w:r>
      <w:r>
        <w:rPr>
          <w:iCs/>
          <w:i/>
        </w:rPr>
        <w:t xml:space="preserve">māyā</w:t>
      </w:r>
      <w:r>
        <w:t xml:space="preserve"> </w:t>
      </w:r>
      <w:r>
        <w:t xml:space="preserve">—</w:t>
      </w:r>
      <w:r>
        <w:t xml:space="preserve"> </w:t>
      </w:r>
      <w:r>
        <w:rPr>
          <w:iCs/>
          <w:i/>
        </w:rPr>
        <w:t xml:space="preserve">māṅ māne</w:t>
      </w:r>
      <w:r>
        <w:t xml:space="preserve"> </w:t>
      </w:r>
      <w:r>
        <w:t xml:space="preserve">with</w:t>
      </w:r>
      <w:r>
        <w:t xml:space="preserve"> </w:t>
      </w:r>
      <w:r>
        <w:rPr>
          <w:iCs/>
          <w:i/>
        </w:rPr>
        <w:t xml:space="preserve">ya</w:t>
      </w:r>
      <w:r>
        <w:t xml:space="preserve"> </w:t>
      </w:r>
      <w:r>
        <w:t xml:space="preserve">by</w:t>
      </w:r>
      <w:r>
        <w:t xml:space="preserve"> </w:t>
      </w:r>
      <w:r>
        <w:t xml:space="preserve">“</w:t>
      </w:r>
      <w:r>
        <w:t xml:space="preserve">mācchā-sasi-sūbhyo yaḥ</w:t>
      </w:r>
      <w:r>
        <w:t xml:space="preserve">”</w:t>
      </w:r>
      <w:r>
        <w:t xml:space="preserve"> </w:t>
      </w:r>
      <w:r>
        <w:t xml:space="preserve">(Uṇ. 4-109), suffix accent;</w:t>
      </w:r>
      <w:r>
        <w:t xml:space="preserve"> </w:t>
      </w:r>
      <w:r>
        <w:rPr>
          <w:iCs/>
          <w:i/>
        </w:rPr>
        <w:t xml:space="preserve">māyinam</w:t>
      </w:r>
      <w:r>
        <w:t xml:space="preserve"> </w:t>
      </w:r>
      <w:r>
        <w:t xml:space="preserve">—</w:t>
      </w:r>
      <w:r>
        <w:t xml:space="preserve"> </w:t>
      </w:r>
      <w:r>
        <w:t xml:space="preserve">“</w:t>
      </w:r>
      <w:r>
        <w:t xml:space="preserve">māyā asya asti,</w:t>
      </w:r>
      <w:r>
        <w:t xml:space="preserve">”</w:t>
      </w:r>
      <w:r>
        <w:t xml:space="preserve"> </w:t>
      </w:r>
      <w:r>
        <w:rPr>
          <w:iCs/>
          <w:i/>
        </w:rPr>
        <w:t xml:space="preserve">ini</w:t>
      </w:r>
      <w:r>
        <w:t xml:space="preserve"> </w:t>
      </w:r>
      <w:r>
        <w:t xml:space="preserve">as one of the</w:t>
      </w:r>
      <w:r>
        <w:t xml:space="preserve"> </w:t>
      </w:r>
      <w:r>
        <w:rPr>
          <w:iCs/>
          <w:i/>
        </w:rPr>
        <w:t xml:space="preserve">vrīhyādi</w:t>
      </w:r>
      <w:r>
        <w:t xml:space="preserve"> </w:t>
      </w:r>
      <w:r>
        <w:t xml:space="preserve">(Pā. 5-2-116), suffix accent;</w:t>
      </w:r>
      <w:r>
        <w:t xml:space="preserve"> </w:t>
      </w:r>
      <w:r>
        <w:rPr>
          <w:iCs/>
          <w:i/>
        </w:rPr>
        <w:t xml:space="preserve">śuṣṇam</w:t>
      </w:r>
      <w:r>
        <w:t xml:space="preserve"> </w:t>
      </w:r>
      <w:r>
        <w:t xml:space="preserve">—</w:t>
      </w:r>
      <w:r>
        <w:t xml:space="preserve"> </w:t>
      </w:r>
      <w:r>
        <w:rPr>
          <w:iCs/>
          <w:i/>
        </w:rPr>
        <w:t xml:space="preserve">śuṣa śoṣaṇe</w:t>
      </w:r>
      <w:r>
        <w:t xml:space="preserve"> </w:t>
      </w:r>
      <w:r>
        <w:t xml:space="preserve">with causative sense,</w:t>
      </w:r>
      <w:r>
        <w:t xml:space="preserve"> </w:t>
      </w:r>
      <w:r>
        <w:rPr>
          <w:iCs/>
          <w:i/>
        </w:rPr>
        <w:t xml:space="preserve">na</w:t>
      </w:r>
      <w:r>
        <w:t xml:space="preserve"> </w:t>
      </w:r>
      <w:r>
        <w:t xml:space="preserve">by</w:t>
      </w:r>
      <w:r>
        <w:t xml:space="preserve"> </w:t>
      </w:r>
      <w:r>
        <w:t xml:space="preserve">“</w:t>
      </w:r>
      <w:r>
        <w:t xml:space="preserve">tṛṣi-śuṣi-rasibhyaḥ kit</w:t>
      </w:r>
      <w:r>
        <w:t xml:space="preserve">”</w:t>
      </w:r>
      <w:r>
        <w:t xml:space="preserve"> </w:t>
      </w:r>
      <w:r>
        <w:t xml:space="preserve">(Uṇ. 3-12) with</w:t>
      </w:r>
      <w:r>
        <w:t xml:space="preserve"> </w:t>
      </w:r>
      <w:r>
        <w:rPr>
          <w:iCs/>
          <w:i/>
        </w:rPr>
        <w:t xml:space="preserve">nit</w:t>
      </w:r>
      <w:r>
        <w:t xml:space="preserve"> </w:t>
      </w:r>
      <w:r>
        <w:t xml:space="preserve">carried over, initial-udātta;</w:t>
      </w:r>
      <w:r>
        <w:t xml:space="preserve"> </w:t>
      </w:r>
      <w:r>
        <w:rPr>
          <w:iCs/>
          <w:i/>
        </w:rPr>
        <w:t xml:space="preserve">atiraḥ</w:t>
      </w:r>
      <w:r>
        <w:t xml:space="preserve"> </w:t>
      </w:r>
      <w:r>
        <w:t xml:space="preserve">—</w:t>
      </w:r>
      <w:r>
        <w:t xml:space="preserve"> </w:t>
      </w:r>
      <w:r>
        <w:rPr>
          <w:iCs/>
          <w:i/>
        </w:rPr>
        <w:t xml:space="preserve">laṅ</w:t>
      </w:r>
      <w:r>
        <w:t xml:space="preserve"> </w:t>
      </w:r>
      <w:r>
        <w:t xml:space="preserve">of</w:t>
      </w:r>
      <w:r>
        <w:t xml:space="preserve"> </w:t>
      </w:r>
      <w:r>
        <w:rPr>
          <w:iCs/>
          <w:i/>
        </w:rPr>
        <w:t xml:space="preserve">tṝ</w:t>
      </w:r>
      <w:r>
        <w:t xml:space="preserve"> </w:t>
      </w:r>
      <w:r>
        <w:t xml:space="preserve">with</w:t>
      </w:r>
      <w:r>
        <w:t xml:space="preserve"> </w:t>
      </w:r>
      <w:r>
        <w:rPr>
          <w:iCs/>
          <w:i/>
        </w:rPr>
        <w:t xml:space="preserve">śa</w:t>
      </w:r>
      <w:r>
        <w:t xml:space="preserve"> </w:t>
      </w:r>
      <w:r>
        <w:t xml:space="preserve">by exception, no</w:t>
      </w:r>
      <w:r>
        <w:t xml:space="preserve"> </w:t>
      </w:r>
      <w:r>
        <w:rPr>
          <w:iCs/>
          <w:i/>
        </w:rPr>
        <w:t xml:space="preserve">guṇa</w:t>
      </w:r>
      <w:r>
        <w:t xml:space="preserve"> </w:t>
      </w:r>
      <w:r>
        <w:t xml:space="preserve">because it is</w:t>
      </w:r>
      <w:r>
        <w:t xml:space="preserve"> </w:t>
      </w:r>
      <w:r>
        <w:rPr>
          <w:iCs/>
          <w:i/>
        </w:rPr>
        <w:t xml:space="preserve">ṅit</w:t>
      </w:r>
      <w:r>
        <w:t xml:space="preserve">, so</w:t>
      </w:r>
      <w:r>
        <w:t xml:space="preserve"> </w:t>
      </w:r>
      <w:r>
        <w:rPr>
          <w:iCs/>
          <w:i/>
        </w:rPr>
        <w:t xml:space="preserve">i</w:t>
      </w:r>
      <w:r>
        <w:t xml:space="preserve"> </w:t>
      </w:r>
      <w:r>
        <w:t xml:space="preserve">by</w:t>
      </w:r>
      <w:r>
        <w:t xml:space="preserve"> </w:t>
      </w:r>
      <w:r>
        <w:t xml:space="preserve">“</w:t>
      </w:r>
      <w:r>
        <w:t xml:space="preserve">ṛta id dhātoḥ</w:t>
      </w:r>
      <w:r>
        <w:t xml:space="preserve">”</w:t>
      </w:r>
      <w:r>
        <w:t xml:space="preserve">, with</w:t>
      </w:r>
      <w:r>
        <w:t xml:space="preserve"> </w:t>
      </w:r>
      <w:r>
        <w:rPr>
          <w:iCs/>
          <w:i/>
        </w:rPr>
        <w:t xml:space="preserve">r</w:t>
      </w:r>
      <w:r>
        <w:t xml:space="preserve">;</w:t>
      </w:r>
      <w:r>
        <w:t xml:space="preserve"> </w:t>
      </w:r>
      <w:r>
        <w:rPr>
          <w:iCs/>
          <w:i/>
        </w:rPr>
        <w:t xml:space="preserve">viduṣ ṭe tasya</w:t>
      </w:r>
      <w:r>
        <w:t xml:space="preserve"> </w:t>
      </w:r>
      <w:r>
        <w:t xml:space="preserve">— as in the previous mantra;</w:t>
      </w:r>
      <w:r>
        <w:t xml:space="preserve"> </w:t>
      </w:r>
      <w:r>
        <w:rPr>
          <w:iCs/>
          <w:i/>
        </w:rPr>
        <w:t xml:space="preserve">medhirāḥ</w:t>
      </w:r>
      <w:r>
        <w:t xml:space="preserve"> </w:t>
      </w:r>
      <w:r>
        <w:t xml:space="preserve">—</w:t>
      </w:r>
      <w:r>
        <w:t xml:space="preserve"> </w:t>
      </w:r>
      <w:r>
        <w:rPr>
          <w:iCs/>
          <w:i/>
        </w:rPr>
        <w:t xml:space="preserve">midhṛ medhṛ medhāhiṃsanayoḥ</w:t>
      </w:r>
      <w:r>
        <w:t xml:space="preserve">, the Uṇādi</w:t>
      </w:r>
      <w:r>
        <w:t xml:space="preserve"> </w:t>
      </w:r>
      <w:r>
        <w:rPr>
          <w:iCs/>
          <w:i/>
        </w:rPr>
        <w:t xml:space="preserve">iran</w:t>
      </w:r>
      <w:r>
        <w:t xml:space="preserve">, initial-udātta as</w:t>
      </w:r>
      <w:r>
        <w:t xml:space="preserve"> </w:t>
      </w:r>
      <w:r>
        <w:rPr>
          <w:iCs/>
          <w:i/>
        </w:rPr>
        <w:t xml:space="preserve">nit</w:t>
      </w:r>
      <w:r>
        <w:t xml:space="preserve">;</w:t>
      </w:r>
      <w:r>
        <w:t xml:space="preserve"> </w:t>
      </w:r>
      <w:r>
        <w:rPr>
          <w:iCs/>
          <w:i/>
        </w:rPr>
        <w:t xml:space="preserve">śravāṃsi</w:t>
      </w:r>
      <w:r>
        <w:t xml:space="preserve"> </w:t>
      </w:r>
      <w:r>
        <w:t xml:space="preserve">initial-udātta as a</w:t>
      </w:r>
      <w:r>
        <w:t xml:space="preserve"> </w:t>
      </w:r>
      <w:r>
        <w:rPr>
          <w:iCs/>
          <w:i/>
        </w:rPr>
        <w:t xml:space="preserve">nab-viṣaya</w:t>
      </w:r>
      <w:r>
        <w:t xml:space="preserve"> </w:t>
      </w:r>
      <w:r>
        <w:t xml:space="preserve">word.)</w:t>
      </w:r>
    </w:p>
    <w:p>
      <w:pPr>
        <w:pStyle w:val="BodyText"/>
      </w:pPr>
      <w:r>
        <w:rPr>
          <w:bCs/>
          <w:b/>
        </w:rPr>
        <w:t xml:space="preserve">॥ Prati-padārthaḥ ॥</w:t>
      </w:r>
    </w:p>
    <w:p>
      <w:pPr>
        <w:pStyle w:val="BodyText"/>
      </w:pPr>
      <w:r>
        <w:rPr>
          <w:bCs/>
          <w:b/>
        </w:rPr>
        <w:t xml:space="preserve">(हे) इन्द्र ((he) indra)</w:t>
      </w:r>
      <w:r>
        <w:t xml:space="preserve"> </w:t>
      </w:r>
      <w:r>
        <w:t xml:space="preserve">— O Indra |</w:t>
      </w:r>
      <w:r>
        <w:t xml:space="preserve"> </w:t>
      </w:r>
      <w:r>
        <w:rPr>
          <w:bCs/>
          <w:b/>
        </w:rPr>
        <w:t xml:space="preserve">त्वम् (tvam)</w:t>
      </w:r>
      <w:r>
        <w:t xml:space="preserve"> </w:t>
      </w:r>
      <w:r>
        <w:t xml:space="preserve">— you |</w:t>
      </w:r>
      <w:r>
        <w:t xml:space="preserve"> </w:t>
      </w:r>
      <w:r>
        <w:rPr>
          <w:bCs/>
          <w:b/>
        </w:rPr>
        <w:t xml:space="preserve">मायिनम् (māyinam)</w:t>
      </w:r>
      <w:r>
        <w:t xml:space="preserve"> </w:t>
      </w:r>
      <w:r>
        <w:t xml:space="preserve">— endowed with many kinds of trickery |</w:t>
      </w:r>
      <w:r>
        <w:t xml:space="preserve"> </w:t>
      </w:r>
      <w:r>
        <w:rPr>
          <w:bCs/>
          <w:b/>
        </w:rPr>
        <w:t xml:space="preserve">शुष्णम् (śuṣṇam)</w:t>
      </w:r>
      <w:r>
        <w:t xml:space="preserve"> </w:t>
      </w:r>
      <w:r>
        <w:t xml:space="preserve">— the asura named Śuṣṇa who harms people |</w:t>
      </w:r>
      <w:r>
        <w:t xml:space="preserve"> </w:t>
      </w:r>
      <w:r>
        <w:rPr>
          <w:bCs/>
          <w:b/>
        </w:rPr>
        <w:t xml:space="preserve">मायाभिः (māyābhiḥ)</w:t>
      </w:r>
      <w:r>
        <w:t xml:space="preserve"> </w:t>
      </w:r>
      <w:r>
        <w:t xml:space="preserve">— by deceitful stratagems suited to the occasion, or by [your] intelligence and capacity |</w:t>
      </w:r>
      <w:r>
        <w:t xml:space="preserve"> </w:t>
      </w:r>
      <w:r>
        <w:rPr>
          <w:bCs/>
          <w:b/>
        </w:rPr>
        <w:t xml:space="preserve">अव अतिरः (ava atiraḥ)</w:t>
      </w:r>
      <w:r>
        <w:t xml:space="preserve"> </w:t>
      </w:r>
      <w:r>
        <w:t xml:space="preserve">— have destroyed |</w:t>
      </w:r>
      <w:r>
        <w:t xml:space="preserve"> </w:t>
      </w:r>
      <w:r>
        <w:rPr>
          <w:bCs/>
          <w:b/>
        </w:rPr>
        <w:t xml:space="preserve">मेधिराः (medhirāḥ)</w:t>
      </w:r>
      <w:r>
        <w:t xml:space="preserve"> </w:t>
      </w:r>
      <w:r>
        <w:t xml:space="preserve">— wise people |</w:t>
      </w:r>
      <w:r>
        <w:t xml:space="preserve"> </w:t>
      </w:r>
      <w:r>
        <w:rPr>
          <w:bCs/>
          <w:b/>
        </w:rPr>
        <w:t xml:space="preserve">विदुः (viduḥ)</w:t>
      </w:r>
      <w:r>
        <w:t xml:space="preserve"> </w:t>
      </w:r>
      <w:r>
        <w:t xml:space="preserve">— know |</w:t>
      </w:r>
      <w:r>
        <w:t xml:space="preserve"> </w:t>
      </w:r>
      <w:r>
        <w:rPr>
          <w:bCs/>
          <w:b/>
        </w:rPr>
        <w:t xml:space="preserve">तेषाम् (teṣām)</w:t>
      </w:r>
      <w:r>
        <w:t xml:space="preserve"> </w:t>
      </w:r>
      <w:r>
        <w:t xml:space="preserve">— to those |</w:t>
      </w:r>
      <w:r>
        <w:t xml:space="preserve"> </w:t>
      </w:r>
      <w:r>
        <w:rPr>
          <w:iCs/>
          <w:i/>
        </w:rPr>
        <w:t xml:space="preserve">(that is, to those who perform sacrifices and the like, being wise)</w:t>
      </w:r>
      <w:r>
        <w:t xml:space="preserve"> </w:t>
      </w:r>
      <w:r>
        <w:rPr>
          <w:bCs/>
          <w:b/>
        </w:rPr>
        <w:t xml:space="preserve">श्रवांसि (śravāṃsi)</w:t>
      </w:r>
      <w:r>
        <w:t xml:space="preserve"> </w:t>
      </w:r>
      <w:r>
        <w:t xml:space="preserve">— foods (food and other nourishment) |</w:t>
      </w:r>
      <w:r>
        <w:t xml:space="preserve"> </w:t>
      </w:r>
      <w:r>
        <w:rPr>
          <w:bCs/>
          <w:b/>
        </w:rPr>
        <w:t xml:space="preserve">उत् तिर (ut tira)</w:t>
      </w:r>
      <w:r>
        <w:t xml:space="preserve"> </w:t>
      </w:r>
      <w:r>
        <w:t xml:space="preserve">— increase (give in abundance).</w:t>
      </w:r>
    </w:p>
    <w:bookmarkEnd w:id="489"/>
    <w:bookmarkStart w:id="490" w:name="X730804b612b07adb1d4252a34f1a79ebd75e12e"/>
    <w:p>
      <w:pPr>
        <w:pStyle w:val="Heading3"/>
      </w:pPr>
      <w:r>
        <w:t xml:space="preserve">Page 476 — Rik 7: overall sense, English, Special Topics</w:t>
      </w:r>
    </w:p>
    <w:p>
      <w:pPr>
        <w:pStyle w:val="FirstParagraph"/>
      </w:pPr>
      <w:r>
        <w:rPr>
          <w:bCs/>
          <w:b/>
        </w:rPr>
        <w:t xml:space="preserve">॥ Bhāvārthaḥ ॥</w:t>
      </w:r>
    </w:p>
    <w:p>
      <w:pPr>
        <w:pStyle w:val="BodyText"/>
      </w:pPr>
      <w:r>
        <w:t xml:space="preserve">O Indra! The asura named Śuṣṇa was exceedingly deceitful. You killed that asura of deceitful nature by deceitful stratagems, or by your own intelligence and power. Wise people know this greatness of yours. Give them food and other nourishment in abundance.</w:t>
      </w:r>
    </w:p>
    <w:p>
      <w:pPr>
        <w:pStyle w:val="BodyText"/>
      </w:pPr>
      <w:r>
        <w:rPr>
          <w:bCs/>
          <w:b/>
        </w:rPr>
        <w:t xml:space="preserve">॥ English Translation ॥</w:t>
      </w:r>
      <w:r>
        <w:t xml:space="preserve"> </w:t>
      </w:r>
      <w:r>
        <w:rPr>
          <w:iCs/>
          <w:i/>
        </w:rPr>
        <w:t xml:space="preserve">(as printed in the source)</w:t>
      </w:r>
    </w:p>
    <w:p>
      <w:pPr>
        <w:pStyle w:val="BlockText"/>
      </w:pPr>
      <w:r>
        <w:t xml:space="preserve">O Indra, you killed the wily Sushna by your stratagems; the wise men have known this your greatness; bestow upon them abundant food.</w:t>
      </w:r>
    </w:p>
    <w:p>
      <w:pPr>
        <w:pStyle w:val="FirstParagraph"/>
      </w:pPr>
      <w:r>
        <w:rPr>
          <w:bCs/>
          <w:b/>
        </w:rPr>
        <w:t xml:space="preserve">॥ Viśeṣa-viṣayagaḷu (Special Topics) ॥</w:t>
      </w:r>
    </w:p>
    <w:p>
      <w:pPr>
        <w:pStyle w:val="BodyText"/>
      </w:pPr>
      <w:r>
        <w:rPr>
          <w:bCs/>
          <w:b/>
        </w:rPr>
        <w:t xml:space="preserve">“</w:t>
      </w:r>
      <w:r>
        <w:rPr>
          <w:bCs/>
          <w:b/>
        </w:rPr>
        <w:t xml:space="preserve">Māyābhiḥ,</w:t>
      </w:r>
      <w:r>
        <w:rPr>
          <w:bCs/>
          <w:b/>
        </w:rPr>
        <w:t xml:space="preserve">”</w:t>
      </w:r>
      <w:r>
        <w:rPr>
          <w:bCs/>
          <w:b/>
        </w:rPr>
        <w:t xml:space="preserve"> </w:t>
      </w:r>
      <w:r>
        <w:rPr>
          <w:bCs/>
          <w:b/>
        </w:rPr>
        <w:t xml:space="preserve">“</w:t>
      </w:r>
      <w:r>
        <w:rPr>
          <w:bCs/>
          <w:b/>
        </w:rPr>
        <w:t xml:space="preserve">māyinam</w:t>
      </w:r>
      <w:r>
        <w:rPr>
          <w:bCs/>
          <w:b/>
        </w:rPr>
        <w:t xml:space="preserve">”</w:t>
      </w:r>
      <w:r>
        <w:t xml:space="preserve"> </w:t>
      </w:r>
      <w:r>
        <w:t xml:space="preserve">—</w:t>
      </w:r>
      <w:r>
        <w:t xml:space="preserve"> </w:t>
      </w:r>
      <w:r>
        <w:rPr>
          <w:iCs/>
          <w:i/>
        </w:rPr>
        <w:t xml:space="preserve">māyā</w:t>
      </w:r>
      <w:r>
        <w:t xml:space="preserve"> </w:t>
      </w:r>
      <w:r>
        <w:t xml:space="preserve">means a special kind of deceit, a device, a means, power and capacity:</w:t>
      </w:r>
      <w:r>
        <w:t xml:space="preserve"> </w:t>
      </w:r>
      <w:r>
        <w:rPr>
          <w:iCs/>
          <w:i/>
        </w:rPr>
        <w:t xml:space="preserve">wile, stratagem, etc.</w:t>
      </w:r>
      <w:r>
        <w:t xml:space="preserve"> </w:t>
      </w:r>
      <w:r>
        <w:t xml:space="preserve">[the source’s English]. A couple of riks that explain this sense of the word</w:t>
      </w:r>
      <w:r>
        <w:t xml:space="preserve"> </w:t>
      </w:r>
      <w:r>
        <w:rPr>
          <w:iCs/>
          <w:i/>
        </w:rPr>
        <w:t xml:space="preserve">māyā</w:t>
      </w:r>
      <w:r>
        <w:t xml:space="preserve"> </w:t>
      </w:r>
      <w:r>
        <w:t xml:space="preserve">are given below:</w:t>
      </w:r>
    </w:p>
    <w:p>
      <w:pPr>
        <w:pStyle w:val="BodyText"/>
      </w:pPr>
      <w:r>
        <w:rPr>
          <w:iCs/>
          <w:i/>
        </w:rPr>
        <w:t xml:space="preserve">(Ṛ. Saṃ. 3-53-8; the</w:t>
      </w:r>
      <w:r>
        <w:rPr>
          <w:iCs/>
          <w:i/>
        </w:rPr>
        <w:t xml:space="preserve"> </w:t>
      </w:r>
      <w:r>
        <w:rPr>
          <w:iCs/>
          <w:i/>
        </w:rPr>
        <w:t xml:space="preserve">“</w:t>
      </w:r>
      <w:r>
        <w:rPr>
          <w:iCs/>
          <w:i/>
        </w:rPr>
        <w:t xml:space="preserve">१</w:t>
      </w:r>
      <w:r>
        <w:rPr>
          <w:iCs/>
          <w:i/>
        </w:rPr>
        <w:t xml:space="preserve">”</w:t>
      </w:r>
      <w:r>
        <w:rPr>
          <w:iCs/>
          <w:i/>
        </w:rPr>
        <w:t xml:space="preserve"> </w:t>
      </w:r>
      <w:r>
        <w:rPr>
          <w:iCs/>
          <w:i/>
        </w:rPr>
        <w:t xml:space="preserve">after तन्वं is printed so.)</w:t>
      </w:r>
    </w:p>
    <w:p>
      <w:pPr>
        <w:pStyle w:val="BlockText"/>
      </w:pPr>
      <w:r>
        <w:t xml:space="preserve">रूपं रूपं मघवा बोभवीति मायाः कृण्वानस्तन्वं१ परि स्वाम् ॥</w:t>
      </w:r>
    </w:p>
    <w:p>
      <w:pPr>
        <w:pStyle w:val="BlockText"/>
      </w:pPr>
      <w:r>
        <w:rPr>
          <w:iCs/>
          <w:i/>
        </w:rPr>
        <w:t xml:space="preserve">rūpaṃ rūpaṃ maghavā bobhavīti māyāḥ kṛṇvānastanvaṃ1 pari svām ||</w:t>
      </w:r>
    </w:p>
    <w:p>
      <w:pPr>
        <w:pStyle w:val="FirstParagraph"/>
      </w:pPr>
      <w:r>
        <w:rPr>
          <w:iCs/>
          <w:i/>
        </w:rPr>
        <w:t xml:space="preserve">(</w:t>
      </w:r>
      <w:r>
        <w:rPr>
          <w:iCs/>
          <w:i/>
        </w:rPr>
        <w:t xml:space="preserve">“</w:t>
      </w:r>
      <w:r>
        <w:rPr>
          <w:iCs/>
          <w:i/>
        </w:rPr>
        <w:t xml:space="preserve">Maghavan becomes form after form, making māyās about his own body</w:t>
      </w:r>
      <w:r>
        <w:rPr>
          <w:iCs/>
          <w:i/>
        </w:rPr>
        <w:t xml:space="preserve">”</w:t>
      </w:r>
      <w:r>
        <w:rPr>
          <w:iCs/>
          <w:i/>
        </w:rPr>
        <w:t xml:space="preserve"> </w:t>
      </w:r>
      <w:r>
        <w:rPr>
          <w:iCs/>
          <w:i/>
        </w:rPr>
        <w:t xml:space="preserve">— mine and tentative.)</w:t>
      </w:r>
    </w:p>
    <w:p>
      <w:pPr>
        <w:pStyle w:val="BodyText"/>
      </w:pPr>
      <w:r>
        <w:rPr>
          <w:iCs/>
          <w:i/>
        </w:rPr>
        <w:t xml:space="preserve">(Ṛ. Saṃ. 6-47-18.)</w:t>
      </w:r>
    </w:p>
    <w:p>
      <w:pPr>
        <w:pStyle w:val="BlockText"/>
      </w:pPr>
      <w:r>
        <w:t xml:space="preserve">इन्द्रो मायाभिः पुरुरूप ईयते युक्ता ह्यस्य हरयः शता दश ॥</w:t>
      </w:r>
    </w:p>
    <w:p>
      <w:pPr>
        <w:pStyle w:val="BlockText"/>
      </w:pPr>
      <w:r>
        <w:rPr>
          <w:iCs/>
          <w:i/>
        </w:rPr>
        <w:t xml:space="preserve">indro māyābhiḥ pururūpa īyate yuktā hyasya harayaḥ śatā daśa ||</w:t>
      </w:r>
    </w:p>
    <w:p>
      <w:pPr>
        <w:pStyle w:val="FirstParagraph"/>
      </w:pPr>
      <w:r>
        <w:rPr>
          <w:iCs/>
          <w:i/>
        </w:rPr>
        <w:t xml:space="preserve">(</w:t>
      </w:r>
      <w:r>
        <w:rPr>
          <w:iCs/>
          <w:i/>
        </w:rPr>
        <w:t xml:space="preserve">“</w:t>
      </w:r>
      <w:r>
        <w:rPr>
          <w:iCs/>
          <w:i/>
        </w:rPr>
        <w:t xml:space="preserve">Indra goes about, of many forms, by his māyās; for his ten hundred bay horses are yoked</w:t>
      </w:r>
      <w:r>
        <w:rPr>
          <w:iCs/>
          <w:i/>
        </w:rPr>
        <w:t xml:space="preserve">”</w:t>
      </w:r>
      <w:r>
        <w:rPr>
          <w:iCs/>
          <w:i/>
        </w:rPr>
        <w:t xml:space="preserve"> </w:t>
      </w:r>
      <w:r>
        <w:rPr>
          <w:iCs/>
          <w:i/>
        </w:rPr>
        <w:t xml:space="preserve">— mine and tentative.)</w:t>
      </w:r>
    </w:p>
    <w:p>
      <w:pPr>
        <w:pStyle w:val="BodyText"/>
      </w:pPr>
      <w:r>
        <w:t xml:space="preserve">There are many such examples. Since the word</w:t>
      </w:r>
      <w:r>
        <w:t xml:space="preserve"> </w:t>
      </w:r>
      <w:r>
        <w:rPr>
          <w:iCs/>
          <w:i/>
        </w:rPr>
        <w:t xml:space="preserve">māyā</w:t>
      </w:r>
      <w:r>
        <w:t xml:space="preserve"> </w:t>
      </w:r>
      <w:r>
        <w:t xml:space="preserve">is read among the eleven words for</w:t>
      </w:r>
      <w:r>
        <w:t xml:space="preserve"> </w:t>
      </w:r>
      <w:r>
        <w:t xml:space="preserve">“</w:t>
      </w:r>
      <w:r>
        <w:t xml:space="preserve">wisdom</w:t>
      </w:r>
      <w:r>
        <w:t xml:space="preserve">”</w:t>
      </w:r>
      <w:r>
        <w:t xml:space="preserve"> </w:t>
      </w:r>
      <w:r>
        <w:t xml:space="preserve">beginning with</w:t>
      </w:r>
      <w:r>
        <w:t xml:space="preserve"> </w:t>
      </w:r>
      <w:r>
        <w:rPr>
          <w:iCs/>
          <w:i/>
        </w:rPr>
        <w:t xml:space="preserve">ketaḥ</w:t>
      </w:r>
      <w:r>
        <w:t xml:space="preserve">,</w:t>
      </w:r>
      <w:r>
        <w:t xml:space="preserve"> </w:t>
      </w:r>
      <w:r>
        <w:rPr>
          <w:iCs/>
          <w:i/>
        </w:rPr>
        <w:t xml:space="preserve">ketuḥ</w:t>
      </w:r>
      <w:r>
        <w:t xml:space="preserve"> </w:t>
      </w:r>
      <w:r>
        <w:t xml:space="preserve">(Ni. 3-13),</w:t>
      </w:r>
      <w:r>
        <w:t xml:space="preserve"> </w:t>
      </w:r>
      <w:r>
        <w:rPr>
          <w:iCs/>
          <w:i/>
        </w:rPr>
        <w:t xml:space="preserve">māyā</w:t>
      </w:r>
      <w:r>
        <w:t xml:space="preserve"> </w:t>
      </w:r>
      <w:r>
        <w:t xml:space="preserve">also means</w:t>
      </w:r>
      <w:r>
        <w:t xml:space="preserve"> </w:t>
      </w:r>
      <w:r>
        <w:rPr>
          <w:iCs/>
          <w:i/>
        </w:rPr>
        <w:t xml:space="preserve">prajñā</w:t>
      </w:r>
      <w:r>
        <w:t xml:space="preserve">, understanding, intelligence, a means, and so on. In considering this sense</w:t>
      </w:r>
      <w:r>
        <w:t xml:space="preserve"> </w:t>
      </w:r>
      <w:r>
        <w:rPr>
          <w:iCs/>
          <w:i/>
        </w:rPr>
        <w:t xml:space="preserve">prajñā</w:t>
      </w:r>
      <w:r>
        <w:t xml:space="preserve">, the sage Yāska in the Nirukta, explaining the rik</w:t>
      </w:r>
    </w:p>
    <w:p>
      <w:pPr>
        <w:pStyle w:val="BodyText"/>
      </w:pPr>
      <w:r>
        <w:rPr>
          <w:iCs/>
          <w:i/>
        </w:rPr>
        <w:t xml:space="preserve">(Ṛ. Saṃ. 10-88-6.)</w:t>
      </w:r>
    </w:p>
    <w:p>
      <w:pPr>
        <w:pStyle w:val="BlockText"/>
      </w:pPr>
      <w:r>
        <w:t xml:space="preserve">मूर्धा भुवो भवति नक्तमग्निस्ततः सूर्यो जायते प्रातरुद्यन् ।</w:t>
      </w:r>
      <w:r>
        <w:t xml:space="preserve"> </w:t>
      </w:r>
      <w:r>
        <w:t xml:space="preserve">माया मू तु यज्ञियानामेतामपो यत्तूर्णिश्चरति प्रजानन् ॥</w:t>
      </w:r>
    </w:p>
    <w:p>
      <w:pPr>
        <w:pStyle w:val="BlockText"/>
      </w:pPr>
      <w:r>
        <w:rPr>
          <w:iCs/>
          <w:i/>
        </w:rPr>
        <w:t xml:space="preserve">mūrdhā bhuvo bhavati naktamagnistataḥ sūryo jāyate prātarudyan |</w:t>
      </w:r>
      <w:r>
        <w:t xml:space="preserve"> </w:t>
      </w:r>
      <w:r>
        <w:rPr>
          <w:iCs/>
          <w:i/>
        </w:rPr>
        <w:t xml:space="preserve">māyā mū tu yajñiyānāmetāmapo yattūrṇiścarati prajānan ||</w:t>
      </w:r>
    </w:p>
    <w:p>
      <w:pPr>
        <w:pStyle w:val="FirstParagraph"/>
      </w:pPr>
      <w:r>
        <w:t xml:space="preserve">says</w:t>
      </w:r>
    </w:p>
    <w:p>
      <w:pPr>
        <w:pStyle w:val="BlockText"/>
      </w:pPr>
      <w:r>
        <w:t xml:space="preserve">मूर्धा मूर्तमस्मिन्धीयते मूर्धा यः सर्वेषां भूतानां भवति नक्तमग्निस्ततः सूर्यो जायते प्रातरुद्यन्स एव प्रज्ञां त्वेतां मन्यन्ते यज्ञियानां देवानां यज्ञसंपादिनामपो यत्कर्म चरति प्रजानन्सर्वाणि स्थानान्यनुसंचरते त्वरमाणः</w:t>
      </w:r>
    </w:p>
    <w:p>
      <w:pPr>
        <w:pStyle w:val="BlockText"/>
      </w:pPr>
      <w:r>
        <w:rPr>
          <w:iCs/>
          <w:i/>
        </w:rPr>
        <w:t xml:space="preserve">mūrdhā mūrtamasmindhīyate mūrdhā yaḥ sarveṣāṃ bhūtānāṃ bhavati naktamagnistataḥ sūryo jāyate prātarudyansa eva prajñāṃ tvetāṃ manyante yajñiyānāṃ devānāṃ yajñasaṃpādināmapo yatkarma carati prajānansarvāṇi sthānānyanusaṃcarate tvaramāṇaḥ</w:t>
      </w:r>
    </w:p>
    <w:p>
      <w:pPr>
        <w:pStyle w:val="FirstParagraph"/>
      </w:pPr>
      <w:r>
        <w:t xml:space="preserve">(Ni.</w:t>
      </w:r>
      <w:r>
        <w:t xml:space="preserve"> </w:t>
      </w:r>
      <w:r>
        <w:t xml:space="preserve">“</w:t>
      </w:r>
      <w:r>
        <w:t xml:space="preserve">7-27</w:t>
      </w:r>
      <w:r>
        <w:t xml:space="preserve">”</w:t>
      </w:r>
      <w:r>
        <w:t xml:space="preserve"> </w:t>
      </w:r>
      <w:r>
        <w:t xml:space="preserve">[?]) — thus plainly giving the word</w:t>
      </w:r>
      <w:r>
        <w:t xml:space="preserve"> </w:t>
      </w:r>
      <w:r>
        <w:rPr>
          <w:iCs/>
          <w:i/>
        </w:rPr>
        <w:t xml:space="preserve">māyā</w:t>
      </w:r>
      <w:r>
        <w:t xml:space="preserve"> </w:t>
      </w:r>
      <w:r>
        <w:t xml:space="preserve">the sense</w:t>
      </w:r>
      <w:r>
        <w:t xml:space="preserve"> </w:t>
      </w:r>
      <w:r>
        <w:rPr>
          <w:iCs/>
          <w:i/>
        </w:rPr>
        <w:t xml:space="preserve">prajñā</w:t>
      </w:r>
      <w:r>
        <w:t xml:space="preserve">; and also —</w:t>
      </w:r>
    </w:p>
    <w:bookmarkEnd w:id="490"/>
    <w:bookmarkStart w:id="491" w:name="page-477-rik-7-special-topics-continued"/>
    <w:p>
      <w:pPr>
        <w:pStyle w:val="Heading3"/>
      </w:pPr>
      <w:r>
        <w:t xml:space="preserve">Page 477 — Rik 7: Special Topics (continued)</w:t>
      </w:r>
    </w:p>
    <w:p>
      <w:pPr>
        <w:pStyle w:val="FirstParagraph"/>
      </w:pPr>
      <w:r>
        <w:rPr>
          <w:iCs/>
          <w:i/>
        </w:rPr>
        <w:t xml:space="preserve">(Ṛ. Saṃ. 6-58-1.)</w:t>
      </w:r>
    </w:p>
    <w:p>
      <w:pPr>
        <w:pStyle w:val="BlockText"/>
      </w:pPr>
      <w:r>
        <w:t xml:space="preserve">शुक्रं ते अन्यद्यजतं ते अन्यद्विषुरूपे अहनी द्यौरिवासि ।</w:t>
      </w:r>
      <w:r>
        <w:t xml:space="preserve"> </w:t>
      </w:r>
      <w:r>
        <w:t xml:space="preserve">विश्वा हि माया अवसि स्वधावो भद्रा ते पूषन्निह रातिरस्तु ॥</w:t>
      </w:r>
    </w:p>
    <w:p>
      <w:pPr>
        <w:pStyle w:val="BlockText"/>
      </w:pPr>
      <w:r>
        <w:rPr>
          <w:iCs/>
          <w:i/>
        </w:rPr>
        <w:t xml:space="preserve">śukraṃ te anyadyajataṃ te anyadviṣurūpe ahanī dyaurivāsi |</w:t>
      </w:r>
      <w:r>
        <w:t xml:space="preserve"> </w:t>
      </w:r>
      <w:r>
        <w:rPr>
          <w:iCs/>
          <w:i/>
        </w:rPr>
        <w:t xml:space="preserve">viśvā hi māyā avasi svadhāvo bhadrā te pūṣanniha rātirastu ||</w:t>
      </w:r>
    </w:p>
    <w:p>
      <w:pPr>
        <w:pStyle w:val="FirstParagraph"/>
      </w:pPr>
      <w:r>
        <w:rPr>
          <w:iCs/>
          <w:i/>
        </w:rPr>
        <w:t xml:space="preserve">(</w:t>
      </w:r>
      <w:r>
        <w:rPr>
          <w:iCs/>
          <w:i/>
        </w:rPr>
        <w:t xml:space="preserve">“</w:t>
      </w:r>
      <w:r>
        <w:rPr>
          <w:iCs/>
          <w:i/>
        </w:rPr>
        <w:t xml:space="preserve">Bright is one [form] of yours, worshipful the other; you are like the sky, with the two days of different form; for you protect all māyās, O self-powered one; may your bounty be auspicious here, O Pūṣan</w:t>
      </w:r>
      <w:r>
        <w:rPr>
          <w:iCs/>
          <w:i/>
        </w:rPr>
        <w:t xml:space="preserve">”</w:t>
      </w:r>
      <w:r>
        <w:rPr>
          <w:iCs/>
          <w:i/>
        </w:rPr>
        <w:t xml:space="preserve"> </w:t>
      </w:r>
      <w:r>
        <w:rPr>
          <w:iCs/>
          <w:i/>
        </w:rPr>
        <w:t xml:space="preserve">— mine and tentative.)</w:t>
      </w:r>
    </w:p>
    <w:p>
      <w:pPr>
        <w:pStyle w:val="BodyText"/>
      </w:pPr>
      <w:r>
        <w:t xml:space="preserve">in the explanation of this rik too —</w:t>
      </w:r>
    </w:p>
    <w:p>
      <w:pPr>
        <w:pStyle w:val="BlockText"/>
      </w:pPr>
      <w:r>
        <w:t xml:space="preserve">शुक्रं ते अन्यल्लोहितं ते अन्यद्यजतं ते अन्यद्यज्ञियं ते अन्यद्विषमरूपे ते अहनी कर्म द्यौरिव चासि सर्वाणि प्रज्ञानान्यवस्यन्नवन्भाजनवती ते पूषन्निह दत्तिरस्तु ॥</w:t>
      </w:r>
    </w:p>
    <w:p>
      <w:pPr>
        <w:pStyle w:val="BlockText"/>
      </w:pPr>
      <w:r>
        <w:rPr>
          <w:iCs/>
          <w:i/>
        </w:rPr>
        <w:t xml:space="preserve">śukraṃ te anyallohitaṃ te anyadyajataṃ te anyadyajñiyaṃ te anyadviṣamarūpe te ahanī karma dyauriva cāsi sarvāṇi prajñānānyavasyannavanbhājanavatī te pūṣanniha dattirastu ||</w:t>
      </w:r>
    </w:p>
    <w:p>
      <w:pPr>
        <w:pStyle w:val="FirstParagraph"/>
      </w:pPr>
      <w:r>
        <w:t xml:space="preserve">(Ni.</w:t>
      </w:r>
      <w:r>
        <w:t xml:space="preserve"> </w:t>
      </w:r>
      <w:r>
        <w:t xml:space="preserve">“</w:t>
      </w:r>
      <w:r>
        <w:t xml:space="preserve">12-17</w:t>
      </w:r>
      <w:r>
        <w:t xml:space="preserve">”</w:t>
      </w:r>
      <w:r>
        <w:t xml:space="preserve"> </w:t>
      </w:r>
      <w:r>
        <w:t xml:space="preserve">[?]) — he explained the word</w:t>
      </w:r>
      <w:r>
        <w:t xml:space="preserve"> </w:t>
      </w:r>
      <w:r>
        <w:rPr>
          <w:iCs/>
          <w:i/>
        </w:rPr>
        <w:t xml:space="preserve">māyā</w:t>
      </w:r>
      <w:r>
        <w:t xml:space="preserve"> </w:t>
      </w:r>
      <w:r>
        <w:t xml:space="preserve">as</w:t>
      </w:r>
      <w:r>
        <w:t xml:space="preserve"> </w:t>
      </w:r>
      <w:r>
        <w:rPr>
          <w:iCs/>
          <w:i/>
        </w:rPr>
        <w:t xml:space="preserve">prajñā</w:t>
      </w:r>
      <w:r>
        <w:t xml:space="preserve">.</w:t>
      </w:r>
    </w:p>
    <w:p>
      <w:pPr>
        <w:pStyle w:val="BodyText"/>
      </w:pPr>
      <w:r>
        <w:rPr>
          <w:bCs/>
          <w:b/>
        </w:rPr>
        <w:t xml:space="preserve">“</w:t>
      </w:r>
      <w:r>
        <w:rPr>
          <w:bCs/>
          <w:b/>
        </w:rPr>
        <w:t xml:space="preserve">Śuṣṇam</w:t>
      </w:r>
      <w:r>
        <w:rPr>
          <w:bCs/>
          <w:b/>
        </w:rPr>
        <w:t xml:space="preserve">”</w:t>
      </w:r>
      <w:r>
        <w:t xml:space="preserve"> </w:t>
      </w:r>
      <w:r>
        <w:t xml:space="preserve">— the asura named Śuṣṇa. The word</w:t>
      </w:r>
      <w:r>
        <w:t xml:space="preserve"> </w:t>
      </w:r>
      <w:r>
        <w:rPr>
          <w:iCs/>
          <w:i/>
        </w:rPr>
        <w:t xml:space="preserve">śuṣṇa</w:t>
      </w:r>
      <w:r>
        <w:t xml:space="preserve"> </w:t>
      </w:r>
      <w:r>
        <w:t xml:space="preserve">also means strength (Ni. 3-9). There are many riks that tell of Indra’s killing the asura Śuṣṇa:</w:t>
      </w:r>
    </w:p>
    <w:p>
      <w:pPr>
        <w:pStyle w:val="BodyText"/>
      </w:pPr>
      <w:r>
        <w:rPr>
          <w:iCs/>
          <w:i/>
        </w:rPr>
        <w:t xml:space="preserve">(Ṛ. Saṃ. 1-103-8.)</w:t>
      </w:r>
    </w:p>
    <w:p>
      <w:pPr>
        <w:pStyle w:val="BlockText"/>
      </w:pPr>
      <w:r>
        <w:t xml:space="preserve">शुष्णं पिप्रुं कुयवं वृत्रमिन्द्र यदावधीर्वि पुरः शम्बरस्य ॥</w:t>
      </w:r>
    </w:p>
    <w:p>
      <w:pPr>
        <w:pStyle w:val="BlockText"/>
      </w:pPr>
      <w:r>
        <w:rPr>
          <w:iCs/>
          <w:i/>
        </w:rPr>
        <w:t xml:space="preserve">śuṣṇaṃ pipruṃ kuyavaṃ vṛtramindra yadāvadhīrvi puraḥ śambarasya ||</w:t>
      </w:r>
    </w:p>
    <w:p>
      <w:pPr>
        <w:pStyle w:val="FirstParagraph"/>
      </w:pPr>
      <w:r>
        <w:rPr>
          <w:iCs/>
          <w:i/>
        </w:rPr>
        <w:t xml:space="preserve">(</w:t>
      </w:r>
      <w:r>
        <w:rPr>
          <w:iCs/>
          <w:i/>
        </w:rPr>
        <w:t xml:space="preserve">“</w:t>
      </w:r>
      <w:r>
        <w:rPr>
          <w:iCs/>
          <w:i/>
        </w:rPr>
        <w:t xml:space="preserve">When, O Indra, you slew Śuṣṇa, Pipru, Kuyava, Vṛtra, [you broke] apart the forts of Śambara</w:t>
      </w:r>
      <w:r>
        <w:rPr>
          <w:iCs/>
          <w:i/>
        </w:rPr>
        <w:t xml:space="preserve">”</w:t>
      </w:r>
      <w:r>
        <w:rPr>
          <w:iCs/>
          <w:i/>
        </w:rPr>
        <w:t xml:space="preserve"> </w:t>
      </w:r>
      <w:r>
        <w:rPr>
          <w:iCs/>
          <w:i/>
        </w:rPr>
        <w:t xml:space="preserve">— mine and tentative.)</w:t>
      </w:r>
    </w:p>
    <w:p>
      <w:pPr>
        <w:pStyle w:val="BodyText"/>
      </w:pPr>
      <w:r>
        <w:t xml:space="preserve">In this rik it is said that when Indra destroyed the city of the asura Śambara he killed four asuras, Śuṣṇa, Pipru, Kuyava and Vṛtra.</w:t>
      </w:r>
    </w:p>
    <w:p>
      <w:pPr>
        <w:pStyle w:val="BodyText"/>
      </w:pPr>
      <w:r>
        <w:rPr>
          <w:iCs/>
          <w:i/>
        </w:rPr>
        <w:t xml:space="preserve">(Ṛ. Saṃ. 1-51-11.)</w:t>
      </w:r>
    </w:p>
    <w:p>
      <w:pPr>
        <w:pStyle w:val="BlockText"/>
      </w:pPr>
      <w:r>
        <w:t xml:space="preserve">उग्रो ययिं निरपः स्रोतसासृजद्वि शुष्णस्य दृंहिता ऐरयत्पुरः ॥</w:t>
      </w:r>
    </w:p>
    <w:p>
      <w:pPr>
        <w:pStyle w:val="BlockText"/>
      </w:pPr>
      <w:r>
        <w:rPr>
          <w:iCs/>
          <w:i/>
        </w:rPr>
        <w:t xml:space="preserve">ugro yayiṃ nirapaḥ srotasāsṛjadvi śuṣṇasya dṛṃhitā airayatpuraḥ ||</w:t>
      </w:r>
    </w:p>
    <w:p>
      <w:pPr>
        <w:pStyle w:val="FirstParagraph"/>
      </w:pPr>
      <w:r>
        <w:rPr>
          <w:iCs/>
          <w:i/>
        </w:rPr>
        <w:t xml:space="preserve">(</w:t>
      </w:r>
      <w:r>
        <w:rPr>
          <w:iCs/>
          <w:i/>
        </w:rPr>
        <w:t xml:space="preserve">“</w:t>
      </w:r>
      <w:r>
        <w:rPr>
          <w:iCs/>
          <w:i/>
        </w:rPr>
        <w:t xml:space="preserve">The mighty one let out the rushing waters with a stream; he shook apart the firm forts of Śuṣṇa</w:t>
      </w:r>
      <w:r>
        <w:rPr>
          <w:iCs/>
          <w:i/>
        </w:rPr>
        <w:t xml:space="preserve">”</w:t>
      </w:r>
      <w:r>
        <w:rPr>
          <w:iCs/>
          <w:i/>
        </w:rPr>
        <w:t xml:space="preserve"> </w:t>
      </w:r>
      <w:r>
        <w:rPr>
          <w:iCs/>
          <w:i/>
        </w:rPr>
        <w:t xml:space="preserve">— mine and tentative.)</w:t>
      </w:r>
    </w:p>
    <w:p>
      <w:pPr>
        <w:pStyle w:val="BodyText"/>
      </w:pPr>
      <w:r>
        <w:t xml:space="preserve">In this rik it is said that Indra laid siege to the city of the asura Śuṣṇa. There are many riks suggesting such a sense. Besides this, the word</w:t>
      </w:r>
      <w:r>
        <w:t xml:space="preserve"> </w:t>
      </w:r>
      <w:r>
        <w:rPr>
          <w:iCs/>
          <w:i/>
        </w:rPr>
        <w:t xml:space="preserve">śuṣṇa</w:t>
      </w:r>
      <w:r>
        <w:t xml:space="preserve"> </w:t>
      </w:r>
      <w:r>
        <w:t xml:space="preserve">can be given the sense</w:t>
      </w:r>
      <w:r>
        <w:t xml:space="preserve"> </w:t>
      </w:r>
      <w:r>
        <w:rPr>
          <w:iCs/>
          <w:i/>
        </w:rPr>
        <w:t xml:space="preserve">śoṣayitṛ</w:t>
      </w:r>
      <w:r>
        <w:t xml:space="preserve">,</w:t>
      </w:r>
      <w:r>
        <w:t xml:space="preserve"> </w:t>
      </w:r>
      <w:r>
        <w:t xml:space="preserve">“</w:t>
      </w:r>
      <w:r>
        <w:t xml:space="preserve">one who dries up.</w:t>
      </w:r>
      <w:r>
        <w:t xml:space="preserve">”</w:t>
      </w:r>
      <w:r>
        <w:t xml:space="preserve"> </w:t>
      </w:r>
      <w:r>
        <w:t xml:space="preserve">In such contexts the sense can be given that Indra, by his power, strikes the cloud that does not pour rain and makes the earth parch, and so brings about rain. In considering this sense Yāska,</w:t>
      </w:r>
    </w:p>
    <w:p>
      <w:pPr>
        <w:pStyle w:val="BodyText"/>
      </w:pPr>
      <w:r>
        <w:rPr>
          <w:iCs/>
          <w:i/>
        </w:rPr>
        <w:t xml:space="preserve">(Ṛ. Saṃ. 1-54-5.)</w:t>
      </w:r>
    </w:p>
    <w:p>
      <w:pPr>
        <w:pStyle w:val="BlockText"/>
      </w:pPr>
      <w:r>
        <w:t xml:space="preserve">नियुद्व्वणक्षि [?] श्वसनस्य मूर्धनि शुष्णस्य चिद्व्रन्दिनो रोरुवद्वना ॥</w:t>
      </w:r>
    </w:p>
    <w:p>
      <w:pPr>
        <w:pStyle w:val="BlockText"/>
      </w:pPr>
      <w:r>
        <w:rPr>
          <w:iCs/>
          <w:i/>
        </w:rPr>
        <w:t xml:space="preserve">niyudvvaṇakṣi [?] śvasanasya mūrdhani śuṣṇasya cidvrandino roruvadvanā ||</w:t>
      </w:r>
    </w:p>
    <w:p>
      <w:pPr>
        <w:pStyle w:val="FirstParagraph"/>
      </w:pPr>
      <w:r>
        <w:t xml:space="preserve">in explaining this rik, explained the word</w:t>
      </w:r>
      <w:r>
        <w:t xml:space="preserve"> </w:t>
      </w:r>
      <w:r>
        <w:rPr>
          <w:iCs/>
          <w:i/>
        </w:rPr>
        <w:t xml:space="preserve">śuṣṇa</w:t>
      </w:r>
      <w:r>
        <w:t xml:space="preserve"> </w:t>
      </w:r>
      <w:r>
        <w:t xml:space="preserve">as</w:t>
      </w:r>
      <w:r>
        <w:t xml:space="preserve"> </w:t>
      </w:r>
      <w:r>
        <w:rPr>
          <w:iCs/>
          <w:i/>
        </w:rPr>
        <w:t xml:space="preserve">śoṣayituḥ</w:t>
      </w:r>
      <w:r>
        <w:t xml:space="preserve">,</w:t>
      </w:r>
      <w:r>
        <w:t xml:space="preserve"> </w:t>
      </w:r>
      <w:r>
        <w:t xml:space="preserve">“</w:t>
      </w:r>
      <w:r>
        <w:t xml:space="preserve">one who dries up</w:t>
      </w:r>
      <w:r>
        <w:t xml:space="preserve">”</w:t>
      </w:r>
      <w:r>
        <w:t xml:space="preserve">:</w:t>
      </w:r>
      <w:r>
        <w:t xml:space="preserve"> </w:t>
      </w:r>
      <w:r>
        <w:t xml:space="preserve">“</w:t>
      </w:r>
      <w:r>
        <w:t xml:space="preserve">शुष्णस्यादित्यस्य च शोषयितुः</w:t>
      </w:r>
      <w:r>
        <w:t xml:space="preserve">”</w:t>
      </w:r>
      <w:r>
        <w:t xml:space="preserve"> </w:t>
      </w:r>
      <w:r>
        <w:t xml:space="preserve">(</w:t>
      </w:r>
      <w:r>
        <w:rPr>
          <w:iCs/>
          <w:i/>
        </w:rPr>
        <w:t xml:space="preserve">śuṣṇasyādityasya ca śoṣayituḥ</w:t>
      </w:r>
      <w:r>
        <w:t xml:space="preserve">) (Ni. 5-16); and also,</w:t>
      </w:r>
    </w:p>
    <w:p>
      <w:pPr>
        <w:pStyle w:val="BodyText"/>
      </w:pPr>
      <w:r>
        <w:rPr>
          <w:iCs/>
          <w:i/>
        </w:rPr>
        <w:t xml:space="preserve">(Ṛ. Saṃ. 1-33-12.)</w:t>
      </w:r>
    </w:p>
    <w:p>
      <w:pPr>
        <w:pStyle w:val="BlockText"/>
      </w:pPr>
      <w:r>
        <w:t xml:space="preserve">न्याविध्यदिलीबिशस्य दृळ्हा वि शृङ्गिणमभिनच्छुष्णमिन्द्रः ॥</w:t>
      </w:r>
    </w:p>
    <w:p>
      <w:pPr>
        <w:pStyle w:val="BlockText"/>
      </w:pPr>
      <w:r>
        <w:rPr>
          <w:iCs/>
          <w:i/>
        </w:rPr>
        <w:t xml:space="preserve">nyāvidhyadilībiśasya dṛḷhā vi śṛṅgiṇamabhinacchuṣṇamindraḥ ||</w:t>
      </w:r>
    </w:p>
    <w:p>
      <w:pPr>
        <w:pStyle w:val="FirstParagraph"/>
      </w:pPr>
      <w:r>
        <w:t xml:space="preserve">in this rik too,</w:t>
      </w:r>
      <w:r>
        <w:t xml:space="preserve"> </w:t>
      </w:r>
      <w:r>
        <w:t xml:space="preserve">“</w:t>
      </w:r>
      <w:r>
        <w:t xml:space="preserve">निरविध्यदिलाबिलशयस्य दृढानि व्यभिनच्छृङ्गिणं शुष्णमिन्द्रः</w:t>
      </w:r>
      <w:r>
        <w:t xml:space="preserve">”</w:t>
      </w:r>
      <w:r>
        <w:t xml:space="preserve"> </w:t>
      </w:r>
      <w:r>
        <w:t xml:space="preserve">(</w:t>
      </w:r>
      <w:r>
        <w:rPr>
          <w:iCs/>
          <w:i/>
        </w:rPr>
        <w:t xml:space="preserve">niravidhyadilābilaśayasya dṛḍhāni vyabhinacchṛṅgiṇaṃ śuṣṇamindraḥ</w:t>
      </w:r>
      <w:r>
        <w:t xml:space="preserve">): that is, he explained that Indra struck the cloud that stays over the mountain top and, not pouring rain, makes the earth dry up (Ni.</w:t>
      </w:r>
      <w:r>
        <w:t xml:space="preserve"> </w:t>
      </w:r>
      <w:r>
        <w:t xml:space="preserve">“</w:t>
      </w:r>
      <w:r>
        <w:t xml:space="preserve">6-20</w:t>
      </w:r>
      <w:r>
        <w:t xml:space="preserve">”</w:t>
      </w:r>
      <w:r>
        <w:t xml:space="preserve"> </w:t>
      </w:r>
      <w:r>
        <w:t xml:space="preserve">[?]).</w:t>
      </w:r>
    </w:p>
    <w:bookmarkEnd w:id="491"/>
    <w:bookmarkStart w:id="492" w:name="Xe8f052f89a36519efee0f1f4864c4413c7b2428"/>
    <w:p>
      <w:pPr>
        <w:pStyle w:val="Heading3"/>
      </w:pPr>
      <w:r>
        <w:t xml:space="preserve">Page 478 — Rik 7: Special Topics (continued) and grammar</w:t>
      </w:r>
    </w:p>
    <w:p>
      <w:pPr>
        <w:pStyle w:val="FirstParagraph"/>
      </w:pPr>
      <w:r>
        <w:rPr>
          <w:bCs/>
          <w:b/>
        </w:rPr>
        <w:t xml:space="preserve">“</w:t>
      </w:r>
      <w:r>
        <w:rPr>
          <w:bCs/>
          <w:b/>
        </w:rPr>
        <w:t xml:space="preserve">Ava atiraḥ</w:t>
      </w:r>
      <w:r>
        <w:rPr>
          <w:bCs/>
          <w:b/>
        </w:rPr>
        <w:t xml:space="preserve">”</w:t>
      </w:r>
      <w:r>
        <w:t xml:space="preserve"> </w:t>
      </w:r>
      <w:r>
        <w:t xml:space="preserve">—</w:t>
      </w:r>
      <w:r>
        <w:t xml:space="preserve"> </w:t>
      </w:r>
      <w:r>
        <w:rPr>
          <w:iCs/>
          <w:i/>
        </w:rPr>
        <w:t xml:space="preserve">hiṃsitavān asi</w:t>
      </w:r>
      <w:r>
        <w:t xml:space="preserve">:</w:t>
      </w:r>
      <w:r>
        <w:t xml:space="preserve"> </w:t>
      </w:r>
      <w:r>
        <w:t xml:space="preserve">“</w:t>
      </w:r>
      <w:r>
        <w:t xml:space="preserve">you have struck, smitten, killed.</w:t>
      </w:r>
      <w:r>
        <w:t xml:space="preserve">”</w:t>
      </w:r>
    </w:p>
    <w:p>
      <w:pPr>
        <w:pStyle w:val="BodyText"/>
      </w:pPr>
      <w:r>
        <w:rPr>
          <w:bCs/>
          <w:b/>
        </w:rPr>
        <w:t xml:space="preserve">“</w:t>
      </w:r>
      <w:r>
        <w:rPr>
          <w:bCs/>
          <w:b/>
        </w:rPr>
        <w:t xml:space="preserve">Viduḥ te</w:t>
      </w:r>
      <w:r>
        <w:rPr>
          <w:bCs/>
          <w:b/>
        </w:rPr>
        <w:t xml:space="preserve">”</w:t>
      </w:r>
      <w:r>
        <w:t xml:space="preserve"> </w:t>
      </w:r>
      <w:r>
        <w:t xml:space="preserve">—</w:t>
      </w:r>
      <w:r>
        <w:t xml:space="preserve"> </w:t>
      </w:r>
      <w:r>
        <w:t xml:space="preserve">“</w:t>
      </w:r>
      <w:r>
        <w:t xml:space="preserve">they know you or yours</w:t>
      </w:r>
      <w:r>
        <w:t xml:space="preserve">”</w:t>
      </w:r>
      <w:r>
        <w:t xml:space="preserve">: that is, they know your greatness, or your power and capacity.</w:t>
      </w:r>
    </w:p>
    <w:p>
      <w:pPr>
        <w:pStyle w:val="BodyText"/>
      </w:pPr>
      <w:r>
        <w:rPr>
          <w:bCs/>
          <w:b/>
        </w:rPr>
        <w:t xml:space="preserve">“</w:t>
      </w:r>
      <w:r>
        <w:rPr>
          <w:bCs/>
          <w:b/>
        </w:rPr>
        <w:t xml:space="preserve">Medhirāḥ</w:t>
      </w:r>
      <w:r>
        <w:rPr>
          <w:bCs/>
          <w:b/>
        </w:rPr>
        <w:t xml:space="preserve">”</w:t>
      </w:r>
      <w:r>
        <w:t xml:space="preserve"> </w:t>
      </w:r>
      <w:r>
        <w:t xml:space="preserve">—</w:t>
      </w:r>
      <w:r>
        <w:t xml:space="preserve"> </w:t>
      </w:r>
      <w:r>
        <w:rPr>
          <w:iCs/>
          <w:i/>
        </w:rPr>
        <w:t xml:space="preserve">medhāvantaḥ puruṣāḥ</w:t>
      </w:r>
      <w:r>
        <w:t xml:space="preserve">: wise, discerning people and the like.</w:t>
      </w:r>
    </w:p>
    <w:p>
      <w:pPr>
        <w:pStyle w:val="BodyText"/>
      </w:pPr>
      <w:r>
        <w:rPr>
          <w:bCs/>
          <w:b/>
        </w:rPr>
        <w:t xml:space="preserve">“</w:t>
      </w:r>
      <w:r>
        <w:rPr>
          <w:bCs/>
          <w:b/>
        </w:rPr>
        <w:t xml:space="preserve">Śravāṃsi</w:t>
      </w:r>
      <w:r>
        <w:rPr>
          <w:bCs/>
          <w:b/>
        </w:rPr>
        <w:t xml:space="preserve">”</w:t>
      </w:r>
      <w:r>
        <w:t xml:space="preserve"> </w:t>
      </w:r>
      <w:r>
        <w:t xml:space="preserve">— foods, food and nourishment. In explaining the rik</w:t>
      </w:r>
      <w:r>
        <w:t xml:space="preserve"> </w:t>
      </w:r>
      <w:r>
        <w:rPr>
          <w:iCs/>
          <w:i/>
        </w:rPr>
        <w:t xml:space="preserve">āsasrāṇāsaḥ śavasā</w:t>
      </w:r>
      <w:r>
        <w:t xml:space="preserve"> </w:t>
      </w:r>
      <w:r>
        <w:t xml:space="preserve">(Ṛ. Saṃ. 6-62-3 [?]) Yāska gives the word</w:t>
      </w:r>
      <w:r>
        <w:t xml:space="preserve"> </w:t>
      </w:r>
      <w:r>
        <w:rPr>
          <w:iCs/>
          <w:i/>
        </w:rPr>
        <w:t xml:space="preserve">śravas</w:t>
      </w:r>
      <w:r>
        <w:t xml:space="preserve"> </w:t>
      </w:r>
      <w:r>
        <w:t xml:space="preserve">the sense of food:</w:t>
      </w:r>
      <w:r>
        <w:t xml:space="preserve"> </w:t>
      </w:r>
      <w:r>
        <w:t xml:space="preserve">“</w:t>
      </w:r>
      <w:r>
        <w:t xml:space="preserve">śrava ity annanāma śrūyata iti sataḥ</w:t>
      </w:r>
      <w:r>
        <w:t xml:space="preserve">”</w:t>
      </w:r>
      <w:r>
        <w:t xml:space="preserve"> </w:t>
      </w:r>
      <w:r>
        <w:t xml:space="preserve">(Ni. 10-3).</w:t>
      </w:r>
    </w:p>
    <w:p>
      <w:pPr>
        <w:pStyle w:val="BodyText"/>
      </w:pPr>
      <w:r>
        <w:rPr>
          <w:bCs/>
          <w:b/>
        </w:rPr>
        <w:t xml:space="preserve">॥ Vyākaraṇa-prakriyā ॥</w:t>
      </w:r>
      <w:r>
        <w:t xml:space="preserve"> </w:t>
      </w:r>
      <w:r>
        <w:rPr>
          <w:iCs/>
          <w:i/>
        </w:rPr>
        <w:t xml:space="preserve">(grammar pages 478–479, noted briefly; numbers checked against the print)</w:t>
      </w:r>
    </w:p>
    <w:p>
      <w:pPr>
        <w:pStyle w:val="BodyText"/>
      </w:pPr>
      <w:r>
        <w:rPr>
          <w:bCs/>
          <w:b/>
        </w:rPr>
        <w:t xml:space="preserve">मायाभिः (</w:t>
      </w:r>
      <w:r>
        <w:rPr>
          <w:iCs/>
          <w:i/>
          <w:bCs/>
          <w:b/>
        </w:rPr>
        <w:t xml:space="preserve">māyābhiḥ</w:t>
      </w:r>
      <w:r>
        <w:rPr>
          <w:bCs/>
          <w:b/>
        </w:rPr>
        <w:t xml:space="preserve">)</w:t>
      </w:r>
      <w:r>
        <w:t xml:space="preserve"> </w:t>
      </w:r>
      <w:r>
        <w:t xml:space="preserve">— root</w:t>
      </w:r>
      <w:r>
        <w:t xml:space="preserve"> </w:t>
      </w:r>
      <w:r>
        <w:rPr>
          <w:iCs/>
          <w:i/>
        </w:rPr>
        <w:t xml:space="preserve">māṅ māne</w:t>
      </w:r>
      <w:r>
        <w:t xml:space="preserve">;</w:t>
      </w:r>
      <w:r>
        <w:t xml:space="preserve"> </w:t>
      </w:r>
      <w:r>
        <w:t xml:space="preserve">“</w:t>
      </w:r>
      <w:r>
        <w:t xml:space="preserve">mācchāsasi(sū)bhyo yaḥ</w:t>
      </w:r>
      <w:r>
        <w:t xml:space="preserve">”</w:t>
      </w:r>
      <w:r>
        <w:t xml:space="preserve"> </w:t>
      </w:r>
      <w:r>
        <w:t xml:space="preserve">(Uṇ.</w:t>
      </w:r>
      <w:r>
        <w:t xml:space="preserve"> </w:t>
      </w:r>
      <w:r>
        <w:t xml:space="preserve">“</w:t>
      </w:r>
      <w:r>
        <w:t xml:space="preserve">4-549</w:t>
      </w:r>
      <w:r>
        <w:t xml:space="preserve">”</w:t>
      </w:r>
      <w:r>
        <w:t xml:space="preserve"> </w:t>
      </w:r>
      <w:r>
        <w:t xml:space="preserve">[?]): after</w:t>
      </w:r>
      <w:r>
        <w:t xml:space="preserve"> </w:t>
      </w:r>
      <w:r>
        <w:rPr>
          <w:iCs/>
          <w:i/>
        </w:rPr>
        <w:t xml:space="preserve">māṅ māne</w:t>
      </w:r>
      <w:r>
        <w:t xml:space="preserve">,</w:t>
      </w:r>
      <w:r>
        <w:t xml:space="preserve"> </w:t>
      </w:r>
      <w:r>
        <w:rPr>
          <w:iCs/>
          <w:i/>
        </w:rPr>
        <w:t xml:space="preserve">cho chedane</w:t>
      </w:r>
      <w:r>
        <w:t xml:space="preserve">,</w:t>
      </w:r>
      <w:r>
        <w:t xml:space="preserve"> </w:t>
      </w:r>
      <w:r>
        <w:rPr>
          <w:iCs/>
          <w:i/>
        </w:rPr>
        <w:t xml:space="preserve">ṣasa svapne</w:t>
      </w:r>
      <w:r>
        <w:t xml:space="preserve">, the suffix</w:t>
      </w:r>
      <w:r>
        <w:t xml:space="preserve"> </w:t>
      </w:r>
      <w:r>
        <w:rPr>
          <w:iCs/>
          <w:i/>
        </w:rPr>
        <w:t xml:space="preserve">ya</w:t>
      </w:r>
      <w:r>
        <w:t xml:space="preserve">:</w:t>
      </w:r>
      <w:r>
        <w:t xml:space="preserve"> </w:t>
      </w:r>
      <w:r>
        <w:rPr>
          <w:iCs/>
          <w:i/>
        </w:rPr>
        <w:t xml:space="preserve">māya</w:t>
      </w:r>
      <w:r>
        <w:t xml:space="preserve">, final-udātta by the suffix accent; for the feminine,</w:t>
      </w:r>
      <w:r>
        <w:t xml:space="preserve"> </w:t>
      </w:r>
      <w:r>
        <w:rPr>
          <w:iCs/>
          <w:i/>
        </w:rPr>
        <w:t xml:space="preserve">ṭāp</w:t>
      </w:r>
      <w:r>
        <w:t xml:space="preserve"> </w:t>
      </w:r>
      <w:r>
        <w:t xml:space="preserve">by</w:t>
      </w:r>
      <w:r>
        <w:t xml:space="preserve"> </w:t>
      </w:r>
      <w:r>
        <w:t xml:space="preserve">“</w:t>
      </w:r>
      <w:r>
        <w:t xml:space="preserve">ajādyataṣ ṭāp</w:t>
      </w:r>
      <w:r>
        <w:t xml:space="preserve">”</w:t>
      </w:r>
      <w:r>
        <w:t xml:space="preserve"> </w:t>
      </w:r>
      <w:r>
        <w:t xml:space="preserve">(Pā. 4-1-4), unaccented as</w:t>
      </w:r>
      <w:r>
        <w:t xml:space="preserve"> </w:t>
      </w:r>
      <w:r>
        <w:rPr>
          <w:iCs/>
          <w:i/>
        </w:rPr>
        <w:t xml:space="preserve">pit</w:t>
      </w:r>
      <w:r>
        <w:t xml:space="preserve">;</w:t>
      </w:r>
      <w:r>
        <w:t xml:space="preserve"> </w:t>
      </w:r>
      <w:r>
        <w:rPr>
          <w:iCs/>
          <w:i/>
        </w:rPr>
        <w:t xml:space="preserve">savarṇa</w:t>
      </w:r>
      <w:r>
        <w:t xml:space="preserve">-lengthening, and the single substitute udātta by</w:t>
      </w:r>
      <w:r>
        <w:t xml:space="preserve"> </w:t>
      </w:r>
      <w:r>
        <w:t xml:space="preserve">“</w:t>
      </w:r>
      <w:r>
        <w:t xml:space="preserve">ekādeśa udāttenodāttaḥ</w:t>
      </w:r>
      <w:r>
        <w:t xml:space="preserve">”</w:t>
      </w:r>
      <w:r>
        <w:t xml:space="preserve"> </w:t>
      </w:r>
      <w:r>
        <w:t xml:space="preserve">(Pā. 8-2-5); then</w:t>
      </w:r>
      <w:r>
        <w:t xml:space="preserve"> </w:t>
      </w:r>
      <w:r>
        <w:rPr>
          <w:iCs/>
          <w:i/>
        </w:rPr>
        <w:t xml:space="preserve">bhis</w:t>
      </w:r>
      <w:r>
        <w:t xml:space="preserve">,</w:t>
      </w:r>
      <w:r>
        <w:t xml:space="preserve"> </w:t>
      </w:r>
      <w:r>
        <w:rPr>
          <w:iCs/>
          <w:i/>
        </w:rPr>
        <w:t xml:space="preserve">ru</w:t>
      </w:r>
      <w:r>
        <w:t xml:space="preserve"> </w:t>
      </w:r>
      <w:r>
        <w:t xml:space="preserve">and visarga;</w:t>
      </w:r>
      <w:r>
        <w:t xml:space="preserve"> </w:t>
      </w:r>
      <w:r>
        <w:rPr>
          <w:iCs/>
          <w:i/>
        </w:rPr>
        <w:t xml:space="preserve">bhis</w:t>
      </w:r>
      <w:r>
        <w:t xml:space="preserve"> </w:t>
      </w:r>
      <w:r>
        <w:t xml:space="preserve">unaccented, made svarita by</w:t>
      </w:r>
      <w:r>
        <w:t xml:space="preserve"> </w:t>
      </w:r>
      <w:r>
        <w:t xml:space="preserve">“</w:t>
      </w:r>
      <w:r>
        <w:t xml:space="preserve">udāttād anudāttasya svaritaḥ</w:t>
      </w:r>
      <w:r>
        <w:t xml:space="preserve">”</w:t>
      </w:r>
      <w:r>
        <w:t xml:space="preserve">.</w:t>
      </w:r>
      <w:r>
        <w:t xml:space="preserve"> </w:t>
      </w:r>
      <w:r>
        <w:rPr>
          <w:bCs/>
          <w:b/>
        </w:rPr>
        <w:t xml:space="preserve">मायिनम् (</w:t>
      </w:r>
      <w:r>
        <w:rPr>
          <w:iCs/>
          <w:i/>
          <w:bCs/>
          <w:b/>
        </w:rPr>
        <w:t xml:space="preserve">māyinam</w:t>
      </w:r>
      <w:r>
        <w:rPr>
          <w:bCs/>
          <w:b/>
        </w:rPr>
        <w:t xml:space="preserve">)</w:t>
      </w:r>
      <w:r>
        <w:t xml:space="preserve"> </w:t>
      </w:r>
      <w:r>
        <w:t xml:space="preserve">—</w:t>
      </w:r>
      <w:r>
        <w:t xml:space="preserve"> </w:t>
      </w:r>
      <w:r>
        <w:t xml:space="preserve">“</w:t>
      </w:r>
      <w:r>
        <w:t xml:space="preserve">māyā asya asti</w:t>
      </w:r>
      <w:r>
        <w:t xml:space="preserve">”</w:t>
      </w:r>
      <w:r>
        <w:t xml:space="preserve">:</w:t>
      </w:r>
      <w:r>
        <w:t xml:space="preserve"> </w:t>
      </w:r>
      <w:r>
        <w:t xml:space="preserve">“</w:t>
      </w:r>
      <w:r>
        <w:t xml:space="preserve">vrīhyādibhyaś ca</w:t>
      </w:r>
      <w:r>
        <w:t xml:space="preserve">”</w:t>
      </w:r>
      <w:r>
        <w:t xml:space="preserve"> </w:t>
      </w:r>
      <w:r>
        <w:t xml:space="preserve">(Pā. 5-2-116) gives</w:t>
      </w:r>
      <w:r>
        <w:t xml:space="preserve"> </w:t>
      </w:r>
      <w:r>
        <w:rPr>
          <w:iCs/>
          <w:i/>
        </w:rPr>
        <w:t xml:space="preserve">ini</w:t>
      </w:r>
      <w:r>
        <w:t xml:space="preserve"> </w:t>
      </w:r>
      <w:r>
        <w:t xml:space="preserve">and</w:t>
      </w:r>
      <w:r>
        <w:t xml:space="preserve"> </w:t>
      </w:r>
      <w:r>
        <w:rPr>
          <w:iCs/>
          <w:i/>
        </w:rPr>
        <w:t xml:space="preserve">ṭhan</w:t>
      </w:r>
      <w:r>
        <w:t xml:space="preserve"> </w:t>
      </w:r>
      <w:r>
        <w:t xml:space="preserve">in the possessive sense after the words of the</w:t>
      </w:r>
      <w:r>
        <w:t xml:space="preserve"> </w:t>
      </w:r>
      <w:r>
        <w:rPr>
          <w:iCs/>
          <w:i/>
        </w:rPr>
        <w:t xml:space="preserve">vrīhi</w:t>
      </w:r>
      <w:r>
        <w:t xml:space="preserve"> </w:t>
      </w:r>
      <w:r>
        <w:t xml:space="preserve">group:</w:t>
      </w:r>
      <w:r>
        <w:t xml:space="preserve"> </w:t>
      </w:r>
      <w:r>
        <w:rPr>
          <w:iCs/>
          <w:i/>
        </w:rPr>
        <w:t xml:space="preserve">ini</w:t>
      </w:r>
      <w:r>
        <w:t xml:space="preserve">; the</w:t>
      </w:r>
      <w:r>
        <w:t xml:space="preserve"> </w:t>
      </w:r>
      <w:r>
        <w:rPr>
          <w:iCs/>
          <w:i/>
        </w:rPr>
        <w:t xml:space="preserve">ā</w:t>
      </w:r>
      <w:r>
        <w:t xml:space="preserve"> </w:t>
      </w:r>
      <w:r>
        <w:t xml:space="preserve">dropped by</w:t>
      </w:r>
      <w:r>
        <w:t xml:space="preserve"> </w:t>
      </w:r>
      <w:r>
        <w:t xml:space="preserve">“</w:t>
      </w:r>
      <w:r>
        <w:t xml:space="preserve">yasyeti ca</w:t>
      </w:r>
      <w:r>
        <w:t xml:space="preserve">”</w:t>
      </w:r>
      <w:r>
        <w:t xml:space="preserve"> </w:t>
      </w:r>
      <w:r>
        <w:t xml:space="preserve">(Pā. 6-4-148); accusative singular</w:t>
      </w:r>
      <w:r>
        <w:t xml:space="preserve"> </w:t>
      </w:r>
      <w:r>
        <w:rPr>
          <w:iCs/>
          <w:i/>
        </w:rPr>
        <w:t xml:space="preserve">am</w:t>
      </w:r>
      <w:r>
        <w:t xml:space="preserve">:</w:t>
      </w:r>
      <w:r>
        <w:t xml:space="preserve"> </w:t>
      </w:r>
      <w:r>
        <w:rPr>
          <w:iCs/>
          <w:i/>
        </w:rPr>
        <w:t xml:space="preserve">māyinam</w:t>
      </w:r>
      <w:r>
        <w:t xml:space="preserve">; the suffix accent.</w:t>
      </w:r>
      <w:r>
        <w:t xml:space="preserve"> </w:t>
      </w:r>
      <w:r>
        <w:rPr>
          <w:bCs/>
          <w:b/>
        </w:rPr>
        <w:t xml:space="preserve">शुष्णम् (</w:t>
      </w:r>
      <w:r>
        <w:rPr>
          <w:iCs/>
          <w:i/>
          <w:bCs/>
          <w:b/>
        </w:rPr>
        <w:t xml:space="preserve">śuṣṇam</w:t>
      </w:r>
      <w:r>
        <w:rPr>
          <w:bCs/>
          <w:b/>
        </w:rPr>
        <w:t xml:space="preserve">)</w:t>
      </w:r>
      <w:r>
        <w:t xml:space="preserve"> </w:t>
      </w:r>
      <w:r>
        <w:t xml:space="preserve">— root</w:t>
      </w:r>
      <w:r>
        <w:t xml:space="preserve"> </w:t>
      </w:r>
      <w:r>
        <w:rPr>
          <w:iCs/>
          <w:i/>
        </w:rPr>
        <w:t xml:space="preserve">śuṣa śoṣaṇe</w:t>
      </w:r>
      <w:r>
        <w:t xml:space="preserve">, with the causative sense included;</w:t>
      </w:r>
      <w:r>
        <w:t xml:space="preserve"> </w:t>
      </w:r>
      <w:r>
        <w:t xml:space="preserve">“</w:t>
      </w:r>
      <w:r>
        <w:t xml:space="preserve">tṛṣi-śuṣi-rasibhyaḥ kit</w:t>
      </w:r>
      <w:r>
        <w:t xml:space="preserve">”</w:t>
      </w:r>
      <w:r>
        <w:t xml:space="preserve"> </w:t>
      </w:r>
      <w:r>
        <w:t xml:space="preserve">(Uṇ.</w:t>
      </w:r>
      <w:r>
        <w:t xml:space="preserve"> </w:t>
      </w:r>
      <w:r>
        <w:t xml:space="preserve">“</w:t>
      </w:r>
      <w:r>
        <w:t xml:space="preserve">3-292</w:t>
      </w:r>
      <w:r>
        <w:t xml:space="preserve">”</w:t>
      </w:r>
      <w:r>
        <w:t xml:space="preserve"> </w:t>
      </w:r>
      <w:r>
        <w:t xml:space="preserve">[?]): after</w:t>
      </w:r>
      <w:r>
        <w:t xml:space="preserve"> </w:t>
      </w:r>
      <w:r>
        <w:rPr>
          <w:iCs/>
          <w:i/>
        </w:rPr>
        <w:t xml:space="preserve">ñitṛṣā pipāsāyām</w:t>
      </w:r>
      <w:r>
        <w:t xml:space="preserve">,</w:t>
      </w:r>
      <w:r>
        <w:t xml:space="preserve"> </w:t>
      </w:r>
      <w:r>
        <w:rPr>
          <w:iCs/>
          <w:i/>
        </w:rPr>
        <w:t xml:space="preserve">śuṣa śoṣaṇe</w:t>
      </w:r>
      <w:r>
        <w:t xml:space="preserve">,</w:t>
      </w:r>
      <w:r>
        <w:t xml:space="preserve"> </w:t>
      </w:r>
      <w:r>
        <w:rPr>
          <w:iCs/>
          <w:i/>
        </w:rPr>
        <w:t xml:space="preserve">rasa śabde</w:t>
      </w:r>
      <w:r>
        <w:t xml:space="preserve"> </w:t>
      </w:r>
      <w:r>
        <w:t xml:space="preserve">the suffix</w:t>
      </w:r>
      <w:r>
        <w:t xml:space="preserve"> </w:t>
      </w:r>
      <w:r>
        <w:rPr>
          <w:iCs/>
          <w:i/>
        </w:rPr>
        <w:t xml:space="preserve">na</w:t>
      </w:r>
      <w:r>
        <w:t xml:space="preserve">,</w:t>
      </w:r>
      <w:r>
        <w:t xml:space="preserve"> </w:t>
      </w:r>
      <w:r>
        <w:rPr>
          <w:iCs/>
          <w:i/>
        </w:rPr>
        <w:t xml:space="preserve">kit</w:t>
      </w:r>
      <w:r>
        <w:t xml:space="preserve"> </w:t>
      </w:r>
      <w:r>
        <w:t xml:space="preserve">and</w:t>
      </w:r>
      <w:r>
        <w:t xml:space="preserve"> </w:t>
      </w:r>
      <w:r>
        <w:rPr>
          <w:iCs/>
          <w:i/>
        </w:rPr>
        <w:t xml:space="preserve">nit</w:t>
      </w:r>
      <w:r>
        <w:t xml:space="preserve">;</w:t>
      </w:r>
      <w:r>
        <w:t xml:space="preserve"> </w:t>
      </w:r>
      <w:r>
        <w:rPr>
          <w:iCs/>
          <w:i/>
        </w:rPr>
        <w:t xml:space="preserve">kit</w:t>
      </w:r>
      <w:r>
        <w:t xml:space="preserve">, so no</w:t>
      </w:r>
      <w:r>
        <w:t xml:space="preserve"> </w:t>
      </w:r>
      <w:r>
        <w:rPr>
          <w:iCs/>
          <w:i/>
        </w:rPr>
        <w:t xml:space="preserve">laghūpadha-guṇa</w:t>
      </w:r>
      <w:r>
        <w:t xml:space="preserve">; the</w:t>
      </w:r>
      <w:r>
        <w:t xml:space="preserve"> </w:t>
      </w:r>
      <w:r>
        <w:rPr>
          <w:iCs/>
          <w:i/>
        </w:rPr>
        <w:t xml:space="preserve">nit</w:t>
      </w:r>
      <w:r>
        <w:t xml:space="preserve"> </w:t>
      </w:r>
      <w:r>
        <w:t xml:space="preserve">accent;</w:t>
      </w:r>
      <w:r>
        <w:t xml:space="preserve"> </w:t>
      </w:r>
      <w:r>
        <w:rPr>
          <w:iCs/>
          <w:i/>
        </w:rPr>
        <w:t xml:space="preserve">ṇ</w:t>
      </w:r>
      <w:r>
        <w:t xml:space="preserve"> </w:t>
      </w:r>
      <w:r>
        <w:t xml:space="preserve">by</w:t>
      </w:r>
      <w:r>
        <w:t xml:space="preserve"> </w:t>
      </w:r>
      <w:r>
        <w:t xml:space="preserve">“</w:t>
      </w:r>
      <w:r>
        <w:t xml:space="preserve">raṣābhyāṃ no ṇaḥ samānapade</w:t>
      </w:r>
      <w:r>
        <w:t xml:space="preserve">”</w:t>
      </w:r>
      <w:r>
        <w:t xml:space="preserve"> </w:t>
      </w:r>
      <w:r>
        <w:t xml:space="preserve">(Pā. 8-4-1):</w:t>
      </w:r>
      <w:r>
        <w:t xml:space="preserve"> </w:t>
      </w:r>
      <w:r>
        <w:rPr>
          <w:iCs/>
          <w:i/>
        </w:rPr>
        <w:t xml:space="preserve">śuṣṇa</w:t>
      </w:r>
      <w:r>
        <w:t xml:space="preserve">.</w:t>
      </w:r>
      <w:r>
        <w:t xml:space="preserve"> </w:t>
      </w:r>
      <w:r>
        <w:rPr>
          <w:bCs/>
          <w:b/>
        </w:rPr>
        <w:t xml:space="preserve">अतिरः (</w:t>
      </w:r>
      <w:r>
        <w:rPr>
          <w:iCs/>
          <w:i/>
          <w:bCs/>
          <w:b/>
        </w:rPr>
        <w:t xml:space="preserve">atiraḥ</w:t>
      </w:r>
      <w:r>
        <w:rPr>
          <w:bCs/>
          <w:b/>
        </w:rPr>
        <w:t xml:space="preserve">)</w:t>
      </w:r>
      <w:r>
        <w:t xml:space="preserve"> </w:t>
      </w:r>
      <w:r>
        <w:t xml:space="preserve">— root</w:t>
      </w:r>
      <w:r>
        <w:t xml:space="preserve"> </w:t>
      </w:r>
      <w:r>
        <w:rPr>
          <w:iCs/>
          <w:i/>
        </w:rPr>
        <w:t xml:space="preserve">tṝ plavanataraṇayoḥ</w:t>
      </w:r>
      <w:r>
        <w:t xml:space="preserve">,</w:t>
      </w:r>
      <w:r>
        <w:t xml:space="preserve"> </w:t>
      </w:r>
      <w:r>
        <w:rPr>
          <w:iCs/>
          <w:i/>
        </w:rPr>
        <w:t xml:space="preserve">bhvādi</w:t>
      </w:r>
      <w:r>
        <w:t xml:space="preserve">;</w:t>
      </w:r>
      <w:r>
        <w:t xml:space="preserve"> </w:t>
      </w:r>
      <w:r>
        <w:rPr>
          <w:iCs/>
          <w:i/>
        </w:rPr>
        <w:t xml:space="preserve">laṅ</w:t>
      </w:r>
      <w:r>
        <w:t xml:space="preserve">, second singular</w:t>
      </w:r>
      <w:r>
        <w:t xml:space="preserve"> </w:t>
      </w:r>
      <w:r>
        <w:rPr>
          <w:iCs/>
          <w:i/>
        </w:rPr>
        <w:t xml:space="preserve">sip</w:t>
      </w:r>
      <w:r>
        <w:t xml:space="preserve">;</w:t>
      </w:r>
      <w:r>
        <w:t xml:space="preserve"> </w:t>
      </w:r>
      <w:r>
        <w:rPr>
          <w:iCs/>
          <w:i/>
        </w:rPr>
        <w:t xml:space="preserve">śap</w:t>
      </w:r>
      <w:r>
        <w:t xml:space="preserve">, replaced by Vedic exception by</w:t>
      </w:r>
      <w:r>
        <w:t xml:space="preserve"> </w:t>
      </w:r>
      <w:r>
        <w:rPr>
          <w:iCs/>
          <w:i/>
        </w:rPr>
        <w:t xml:space="preserve">śa</w:t>
      </w:r>
      <w:r>
        <w:t xml:space="preserve">:</w:t>
      </w:r>
      <w:r>
        <w:t xml:space="preserve"> </w:t>
      </w:r>
      <w:r>
        <w:rPr>
          <w:iCs/>
          <w:i/>
        </w:rPr>
        <w:t xml:space="preserve">tṝ</w:t>
      </w:r>
      <w:r>
        <w:t xml:space="preserve"> </w:t>
      </w:r>
      <w:r>
        <w:t xml:space="preserve">+</w:t>
      </w:r>
      <w:r>
        <w:t xml:space="preserve"> </w:t>
      </w:r>
      <w:r>
        <w:rPr>
          <w:iCs/>
          <w:i/>
        </w:rPr>
        <w:t xml:space="preserve">a</w:t>
      </w:r>
      <w:r>
        <w:t xml:space="preserve"> </w:t>
      </w:r>
      <w:r>
        <w:t xml:space="preserve">+</w:t>
      </w:r>
      <w:r>
        <w:t xml:space="preserve"> </w:t>
      </w:r>
      <w:r>
        <w:rPr>
          <w:iCs/>
          <w:i/>
        </w:rPr>
        <w:t xml:space="preserve">s</w:t>
      </w:r>
      <w:r>
        <w:t xml:space="preserve">;</w:t>
      </w:r>
      <w:r>
        <w:t xml:space="preserve"> </w:t>
      </w:r>
      <w:r>
        <w:t xml:space="preserve">“</w:t>
      </w:r>
      <w:r>
        <w:t xml:space="preserve">sārvadhātukam apit</w:t>
      </w:r>
      <w:r>
        <w:t xml:space="preserve">”</w:t>
      </w:r>
      <w:r>
        <w:t xml:space="preserve"> </w:t>
      </w:r>
      <w:r>
        <w:t xml:space="preserve">(Pā. 1-2-4) makes</w:t>
      </w:r>
      <w:r>
        <w:t xml:space="preserve"> </w:t>
      </w:r>
      <w:r>
        <w:rPr>
          <w:iCs/>
          <w:i/>
        </w:rPr>
        <w:t xml:space="preserve">śa</w:t>
      </w:r>
      <w:r>
        <w:t xml:space="preserve"> </w:t>
      </w:r>
      <w:r>
        <w:rPr>
          <w:iCs/>
          <w:i/>
        </w:rPr>
        <w:t xml:space="preserve">ṅit</w:t>
      </w:r>
      <w:r>
        <w:t xml:space="preserve">, so no</w:t>
      </w:r>
      <w:r>
        <w:t xml:space="preserve"> </w:t>
      </w:r>
      <w:r>
        <w:rPr>
          <w:iCs/>
          <w:i/>
        </w:rPr>
        <w:t xml:space="preserve">guṇa</w:t>
      </w:r>
      <w:r>
        <w:t xml:space="preserve">;</w:t>
      </w:r>
    </w:p>
    <w:bookmarkEnd w:id="492"/>
    <w:bookmarkStart w:id="493" w:name="page-479-rik-7-grammar-closes"/>
    <w:p>
      <w:pPr>
        <w:pStyle w:val="Heading3"/>
      </w:pPr>
      <w:r>
        <w:t xml:space="preserve">Page 479 — Rik 7 grammar closes</w:t>
      </w:r>
    </w:p>
    <w:p>
      <w:pPr>
        <w:pStyle w:val="FirstParagraph"/>
      </w:pPr>
      <w:r>
        <w:t xml:space="preserve">“</w:t>
      </w:r>
      <w:r>
        <w:t xml:space="preserve">ṛta id dhātoḥ</w:t>
      </w:r>
      <w:r>
        <w:t xml:space="preserve">”</w:t>
      </w:r>
      <w:r>
        <w:t xml:space="preserve"> </w:t>
      </w:r>
      <w:r>
        <w:t xml:space="preserve">(printed</w:t>
      </w:r>
      <w:r>
        <w:t xml:space="preserve"> </w:t>
      </w:r>
      <w:r>
        <w:t xml:space="preserve">“</w:t>
      </w:r>
      <w:r>
        <w:t xml:space="preserve">17-1-100</w:t>
      </w:r>
      <w:r>
        <w:t xml:space="preserve">”</w:t>
      </w:r>
      <w:r>
        <w:t xml:space="preserve"> </w:t>
      </w:r>
      <w:r>
        <w:t xml:space="preserve">[sic]) gives</w:t>
      </w:r>
      <w:r>
        <w:t xml:space="preserve"> </w:t>
      </w:r>
      <w:r>
        <w:rPr>
          <w:iCs/>
          <w:i/>
        </w:rPr>
        <w:t xml:space="preserve">i</w:t>
      </w:r>
      <w:r>
        <w:t xml:space="preserve">, with</w:t>
      </w:r>
      <w:r>
        <w:t xml:space="preserve"> </w:t>
      </w:r>
      <w:r>
        <w:rPr>
          <w:iCs/>
          <w:i/>
        </w:rPr>
        <w:t xml:space="preserve">r</w:t>
      </w:r>
      <w:r>
        <w:t xml:space="preserve">; the augment</w:t>
      </w:r>
      <w:r>
        <w:t xml:space="preserve"> </w:t>
      </w:r>
      <w:r>
        <w:rPr>
          <w:iCs/>
          <w:i/>
        </w:rPr>
        <w:t xml:space="preserve">aṭ</w:t>
      </w:r>
      <w:r>
        <w:t xml:space="preserve"> </w:t>
      </w:r>
      <w:r>
        <w:t xml:space="preserve">by</w:t>
      </w:r>
      <w:r>
        <w:t xml:space="preserve"> </w:t>
      </w:r>
      <w:r>
        <w:t xml:space="preserve">“</w:t>
      </w:r>
      <w:r>
        <w:t xml:space="preserve">luṅ-laṅ-lṛṅkṣv aḍ udāttaḥ</w:t>
      </w:r>
      <w:r>
        <w:t xml:space="preserve">”</w:t>
      </w:r>
      <w:r>
        <w:t xml:space="preserve"> </w:t>
      </w:r>
      <w:r>
        <w:t xml:space="preserve">(Pā. 6-4-71):</w:t>
      </w:r>
      <w:r>
        <w:t xml:space="preserve"> </w:t>
      </w:r>
      <w:r>
        <w:rPr>
          <w:iCs/>
          <w:i/>
        </w:rPr>
        <w:t xml:space="preserve">atiras</w:t>
      </w:r>
      <w:r>
        <w:t xml:space="preserve">;</w:t>
      </w:r>
      <w:r>
        <w:t xml:space="preserve"> </w:t>
      </w:r>
      <w:r>
        <w:rPr>
          <w:iCs/>
          <w:i/>
        </w:rPr>
        <w:t xml:space="preserve">ru</w:t>
      </w:r>
      <w:r>
        <w:t xml:space="preserve"> </w:t>
      </w:r>
      <w:r>
        <w:t xml:space="preserve">and visarga.</w:t>
      </w:r>
      <w:r>
        <w:t xml:space="preserve"> </w:t>
      </w:r>
      <w:r>
        <w:rPr>
          <w:bCs/>
          <w:b/>
        </w:rPr>
        <w:t xml:space="preserve">विदुष्टे तस्य (</w:t>
      </w:r>
      <w:r>
        <w:rPr>
          <w:iCs/>
          <w:i/>
          <w:bCs/>
          <w:b/>
        </w:rPr>
        <w:t xml:space="preserve">viduṣ ṭe tasya</w:t>
      </w:r>
      <w:r>
        <w:rPr>
          <w:bCs/>
          <w:b/>
        </w:rPr>
        <w:t xml:space="preserve">)</w:t>
      </w:r>
      <w:r>
        <w:t xml:space="preserve"> </w:t>
      </w:r>
      <w:r>
        <w:t xml:space="preserve">— these three words were explained in the previous mantra; but there [</w:t>
      </w:r>
      <w:r>
        <w:rPr>
          <w:iCs/>
          <w:i/>
        </w:rPr>
        <w:t xml:space="preserve">viduḥ</w:t>
      </w:r>
      <w:r>
        <w:t xml:space="preserve">] stands at the beginning of the fourth pāda, here at the beginning of the third pāda — that is the only difference.</w:t>
      </w:r>
      <w:r>
        <w:t xml:space="preserve"> </w:t>
      </w:r>
      <w:r>
        <w:rPr>
          <w:bCs/>
          <w:b/>
        </w:rPr>
        <w:t xml:space="preserve">मेधिराः (</w:t>
      </w:r>
      <w:r>
        <w:rPr>
          <w:iCs/>
          <w:i/>
          <w:bCs/>
          <w:b/>
        </w:rPr>
        <w:t xml:space="preserve">medhirāḥ</w:t>
      </w:r>
      <w:r>
        <w:rPr>
          <w:bCs/>
          <w:b/>
        </w:rPr>
        <w:t xml:space="preserve">)</w:t>
      </w:r>
      <w:r>
        <w:t xml:space="preserve"> </w:t>
      </w:r>
      <w:r>
        <w:t xml:space="preserve">— root</w:t>
      </w:r>
      <w:r>
        <w:t xml:space="preserve"> </w:t>
      </w:r>
      <w:r>
        <w:rPr>
          <w:iCs/>
          <w:i/>
        </w:rPr>
        <w:t xml:space="preserve">midhṛ medhṛ medhāhiṃsanayoḥ</w:t>
      </w:r>
      <w:r>
        <w:t xml:space="preserve">; after</w:t>
      </w:r>
      <w:r>
        <w:t xml:space="preserve"> </w:t>
      </w:r>
      <w:r>
        <w:rPr>
          <w:iCs/>
          <w:i/>
        </w:rPr>
        <w:t xml:space="preserve">midhṛ</w:t>
      </w:r>
      <w:r>
        <w:t xml:space="preserve"> </w:t>
      </w:r>
      <w:r>
        <w:t xml:space="preserve">the Uṇādi suffix</w:t>
      </w:r>
      <w:r>
        <w:t xml:space="preserve"> </w:t>
      </w:r>
      <w:r>
        <w:rPr>
          <w:iCs/>
          <w:i/>
        </w:rPr>
        <w:t xml:space="preserve">iran</w:t>
      </w:r>
      <w:r>
        <w:t xml:space="preserve">; being</w:t>
      </w:r>
      <w:r>
        <w:t xml:space="preserve"> </w:t>
      </w:r>
      <w:r>
        <w:rPr>
          <w:iCs/>
          <w:i/>
        </w:rPr>
        <w:t xml:space="preserve">nit</w:t>
      </w:r>
      <w:r>
        <w:t xml:space="preserve">, the</w:t>
      </w:r>
      <w:r>
        <w:t xml:space="preserve"> </w:t>
      </w:r>
      <w:r>
        <w:rPr>
          <w:iCs/>
          <w:i/>
        </w:rPr>
        <w:t xml:space="preserve">nit</w:t>
      </w:r>
      <w:r>
        <w:t xml:space="preserve"> </w:t>
      </w:r>
      <w:r>
        <w:t xml:space="preserve">accent.</w:t>
      </w:r>
      <w:r>
        <w:t xml:space="preserve"> </w:t>
      </w:r>
      <w:r>
        <w:rPr>
          <w:bCs/>
          <w:b/>
        </w:rPr>
        <w:t xml:space="preserve">श्रवांसि (</w:t>
      </w:r>
      <w:r>
        <w:rPr>
          <w:iCs/>
          <w:i/>
          <w:bCs/>
          <w:b/>
        </w:rPr>
        <w:t xml:space="preserve">śravāṃsi</w:t>
      </w:r>
      <w:r>
        <w:rPr>
          <w:bCs/>
          <w:b/>
        </w:rPr>
        <w:t xml:space="preserve">)</w:t>
      </w:r>
      <w:r>
        <w:t xml:space="preserve"> </w:t>
      </w:r>
      <w:r>
        <w:t xml:space="preserve">— initial-udātta by</w:t>
      </w:r>
      <w:r>
        <w:t xml:space="preserve"> </w:t>
      </w:r>
      <w:r>
        <w:t xml:space="preserve">“</w:t>
      </w:r>
      <w:r>
        <w:t xml:space="preserve">nab-viṣayasyānisantasya</w:t>
      </w:r>
      <w:r>
        <w:t xml:space="preserve">”</w:t>
      </w:r>
      <w:r>
        <w:t xml:space="preserve"> </w:t>
      </w:r>
      <w:r>
        <w:t xml:space="preserve">(Phiṭ-sū.</w:t>
      </w:r>
      <w:r>
        <w:t xml:space="preserve"> </w:t>
      </w:r>
      <w:r>
        <w:t xml:space="preserve">“</w:t>
      </w:r>
      <w:r>
        <w:t xml:space="preserve">26</w:t>
      </w:r>
      <w:r>
        <w:t xml:space="preserve">”</w:t>
      </w:r>
      <w:r>
        <w:t xml:space="preserve">).</w:t>
      </w:r>
    </w:p>
    <w:p>
      <w:pPr>
        <w:pStyle w:val="BodyText"/>
      </w:pPr>
      <w:r>
        <w:rPr>
          <w:bCs/>
          <w:b/>
        </w:rPr>
        <w:t xml:space="preserve">॥७॥</w:t>
      </w:r>
    </w:p>
    <w:p>
      <w:r>
        <w:pict>
          <v:rect style="width:0;height:1.5pt" o:hralign="center" o:hrstd="t" o:hr="t"/>
        </w:pict>
      </w:r>
    </w:p>
    <w:bookmarkEnd w:id="493"/>
    <w:bookmarkStart w:id="494" w:name="page-479-sūkta-11-rik-8"/>
    <w:p>
      <w:pPr>
        <w:pStyle w:val="Heading3"/>
      </w:pPr>
      <w:r>
        <w:t xml:space="preserve">Page 479 — Sūkta 11, Rik 8</w:t>
      </w:r>
    </w:p>
    <w:p>
      <w:pPr>
        <w:pStyle w:val="FirstParagraph"/>
      </w:pPr>
      <w:r>
        <w:rPr>
          <w:iCs/>
          <w:i/>
        </w:rPr>
        <w:t xml:space="preserve">(Saṃhitā accents as printed; Pada unaccented. Line 2: the stroke stands over स्य of यस्य, as printed.)</w:t>
      </w:r>
    </w:p>
    <w:p>
      <w:pPr>
        <w:pStyle w:val="BodyText"/>
      </w:pPr>
      <w:r>
        <w:rPr>
          <w:bCs/>
          <w:b/>
        </w:rPr>
        <w:t xml:space="preserve">॥ Saṃhitā-pāṭhaḥ ॥</w:t>
      </w:r>
    </w:p>
    <w:p>
      <w:pPr>
        <w:pStyle w:val="BlockText"/>
      </w:pPr>
      <w:r>
        <w:t xml:space="preserve">इन्द्र॒मीशा॑न॒मोज॑सा॒भि स्तोमा॑ अनूषत ।</w:t>
      </w:r>
      <w:r>
        <w:t xml:space="preserve"> </w:t>
      </w:r>
      <w:r>
        <w:t xml:space="preserve">स॒हस्रं यस्य॑ रा॒तय॑ उ॒त वा॒ सन्ति॒ भूय॑सीः ॥८॥</w:t>
      </w:r>
    </w:p>
    <w:p>
      <w:pPr>
        <w:pStyle w:val="BlockText"/>
      </w:pPr>
      <w:r>
        <w:rPr>
          <w:iCs/>
          <w:i/>
        </w:rPr>
        <w:t xml:space="preserve">indram ī́śānam ójasābhí stómā anūṣata |</w:t>
      </w:r>
      <w:r>
        <w:t xml:space="preserve"> </w:t>
      </w:r>
      <w:r>
        <w:rPr>
          <w:iCs/>
          <w:i/>
        </w:rPr>
        <w:t xml:space="preserve">sahásraṃ yásya rātáya utá vā sánti bhū́yasīḥ ||8||</w:t>
      </w:r>
    </w:p>
    <w:p>
      <w:pPr>
        <w:pStyle w:val="FirstParagraph"/>
      </w:pPr>
      <w:r>
        <w:rPr>
          <w:bCs/>
          <w:b/>
        </w:rPr>
        <w:t xml:space="preserve">॥ Pada-pāṭhaḥ ॥</w:t>
      </w:r>
    </w:p>
    <w:p>
      <w:pPr>
        <w:pStyle w:val="BlockText"/>
      </w:pPr>
      <w:r>
        <w:t xml:space="preserve">इन्द्रम् । ईशानम् । ओजसा । अभि । स्तोमाः । अनूषत ॥</w:t>
      </w:r>
      <w:r>
        <w:t xml:space="preserve"> </w:t>
      </w:r>
      <w:r>
        <w:t xml:space="preserve">सहस्रम् । यस्य । रातयः । उत । वा । सन्ति । भूयसीः ॥८॥</w:t>
      </w:r>
    </w:p>
    <w:p>
      <w:pPr>
        <w:pStyle w:val="BlockText"/>
      </w:pPr>
      <w:r>
        <w:rPr>
          <w:iCs/>
          <w:i/>
        </w:rPr>
        <w:t xml:space="preserve">indram | īśānam | ojasā | abhi | stomāḥ | anūṣata ||</w:t>
      </w:r>
      <w:r>
        <w:t xml:space="preserve"> </w:t>
      </w:r>
      <w:r>
        <w:rPr>
          <w:iCs/>
          <w:i/>
        </w:rPr>
        <w:t xml:space="preserve">sahasram | yasya | rātayaḥ | uta | vā | santi | bhūyasīḥ ||8||</w:t>
      </w:r>
    </w:p>
    <w:bookmarkEnd w:id="494"/>
    <w:bookmarkStart w:id="495" w:name="page-479-lower-rik-8-sāyaṇa-bhāṣya"/>
    <w:p>
      <w:pPr>
        <w:pStyle w:val="Heading3"/>
      </w:pPr>
      <w:r>
        <w:t xml:space="preserve">Page 479 (lower) — Rik 8: Sāyaṇa-bhāṣya</w:t>
      </w:r>
    </w:p>
    <w:p>
      <w:pPr>
        <w:pStyle w:val="FirstParagraph"/>
      </w:pPr>
      <w:r>
        <w:rPr>
          <w:bCs/>
          <w:b/>
        </w:rPr>
        <w:t xml:space="preserve">॥ Sāyaṇa-bhāṣyam ॥</w:t>
      </w:r>
      <w:r>
        <w:t xml:space="preserve"> </w:t>
      </w:r>
      <w:r>
        <w:rPr>
          <w:iCs/>
          <w:i/>
        </w:rPr>
        <w:t xml:space="preserve">(runs onto p. 480; the closing</w:t>
      </w:r>
      <w:r>
        <w:rPr>
          <w:iCs/>
          <w:i/>
        </w:rPr>
        <w:t xml:space="preserve"> </w:t>
      </w:r>
      <w:r>
        <w:rPr>
          <w:iCs/>
          <w:i/>
        </w:rPr>
        <w:t xml:space="preserve">“</w:t>
      </w:r>
      <w:r>
        <w:rPr>
          <w:iCs/>
          <w:i/>
        </w:rPr>
        <w:t xml:space="preserve">॥२१॥</w:t>
      </w:r>
      <w:r>
        <w:rPr>
          <w:iCs/>
          <w:i/>
        </w:rPr>
        <w:t xml:space="preserve">”</w:t>
      </w:r>
      <w:r>
        <w:rPr>
          <w:iCs/>
          <w:i/>
        </w:rPr>
        <w:t xml:space="preserve"> </w:t>
      </w:r>
      <w:r>
        <w:rPr>
          <w:iCs/>
          <w:i/>
        </w:rPr>
        <w:t xml:space="preserve">is printed so — the varga number.)</w:t>
      </w:r>
    </w:p>
    <w:p>
      <w:pPr>
        <w:pStyle w:val="BlockText"/>
      </w:pPr>
      <w:r>
        <w:t xml:space="preserve">स्तोमाः स्तोतार ऋत्विज ओजसा बलेनेशानं जगतो नियामकमिन्द्रमभ्यनूषत । सर्वत्र स्तुतवन्तः । यस्येन्द्रस्य रातयो धनदानानि सहस्रं सहस्रसंख्योपेतानि सन्ति । उत वाथवा भूयसीः सहस्रसंख्याया अप्यधिकाः सन्ति । तमिन्द्रमिति पूर्वत्रान्वयः ॥ इन्द्रम् । ऋज्रेन्द्रेत्यादिना रन् । नित्त्वादाद्युदात्तः । ईशानम् । लटः शानच् । अदिप्रभृतिभ्यः शप इति शपो लुक् । धातोरनुदात्तेत्त्वात्तास्यनुदात्तेत्यादिना शानचो ऽनुदात्तत्वम् । ओजसा । नब्विषयत्वादाद्युदात्तः । स्तोमाः । अर्तिस्तुस्वित्यादिना मन्प्रत्ययः । नित्त्वादाद्युदात्तः । अनूषत । णु स्तुतौ । णो नः । लुङ् । व्यत्ययेन झः । तस्यादादेशः । पा. ७-१-५ । च्लेः सिच् । अस्य धातोः कुटादित्वेन सिचो ङित्त्वाद्गुणाभावः । इडभावश्छान्दसः । दीर्घत्वं च । अडागमः । सहस्रम् । कर्दमादीनां च । फि. ३-१० । इति द्वितीयाक्षरमुदात्तम् । रातयः । मन्त्रे वृषेत्यादिना क्तिन्नुदात्तः । उत । प्रातिपदिकस्वरः । वा । चादिरनुदात्तः । सन्ति । प्रत्ययाद्युदात्तत्वम् । तिङ्ङतिङ इति निघातो न भवति यद्वृत्तान्नित्यमिति प्रतिषेधात् । स हि व्यवहिते ऽपि भवतीत्युक्तम् । भूयसीः । सहस्रादतिशयेन बह्व्यो भूयस्यः । अत्र विभक्तव्यस्य सहस्रस्य संनिधिबलादुपपदत्वप्रतीतेर्द्विवचनविभज्योपपदे तरबीयसुनौ । पा. ५-३-५७ । इति बहुशब्दादीयसुन् । बहोर्लोपो भू च बहोः । पा. ६-४-१५८ । इतीकारलोपः । प्रकृतेर्भू इत्यादेशश्च । ईयसुनो नित्त्वादाद्युदात्तत्वम् । उगितश्चेति ङीप् ॥२१॥</w:t>
      </w:r>
    </w:p>
    <w:p>
      <w:pPr>
        <w:pStyle w:val="BlockText"/>
      </w:pPr>
      <w:r>
        <w:rPr>
          <w:iCs/>
          <w:i/>
        </w:rPr>
        <w:t xml:space="preserve">stomāḥ stotāra ṛtvija ojasā baleneśānaṃ jagato niyāmakamindramabhyanūṣata | sarvatra stutavantaḥ | yasyendrasya rātayo dhanadānāni sahasraṃ sahasrasaṃkhyopetāni santi | uta vāthavā bhūyasīḥ sahasrasaṃkhyāyā apyadhikāḥ santi | tamindramiti pūrvatrānvayaḥ || indram | ṛjrendretyādinā ran | nittvādādyudāttaḥ | īśānam | laṭaḥ śānac | adiprabhṛtibhyaḥ śapa iti śapo luk | dhātoranudāttettvāttāsyanudāttetyādinā śānaco ’nudāttatvam | ojasā | nabviṣayatvādādyudāttaḥ | stomāḥ | artistusvityādinā manpratyayaḥ | nittvādādyudāttaḥ | anūṣata | ṇu stutau | ṇo naḥ | luṅ | vyatyayena jhaḥ | tasyādādeśaḥ | pā. 7-1-5 | cleḥ sic | asya dhātoḥ kuṭāditvena sico ṅittvādguṇābhāvaḥ | iḍabhāvaśchāndasaḥ | dīrghatvaṃ ca | aḍāgamaḥ | sahasram | kardamādīnāṃ ca | phi. 3-10 | iti dvitīyākṣaramudāttam | rātayaḥ | mantre vṛṣetyādinā ktinnudāttaḥ | uta | prātipadikasvaraḥ | vā | cādiranudāttaḥ | santi | pratyayādyudāttatvam | tiṅṅatiṅa iti nighāto na bhavati yadvṛttānnityamiti pratiṣedhāt | sa hi vyavahite ’pi bhavatītyuktam | bhūyasīḥ | sahasrādatiśayena bahvyo bhūyasyaḥ | atra vibhaktavyasya sahasrasya saṃnidhibalādupapadatvapratīterdvivacanavibhajyopapade tarabīyasunau | pā. 5-3-57 | iti bahuśabdādīyasun | bahorlopo bhū ca bahoḥ | pā. 6-4-158 | itīkāralopaḥ | prakṛterbhū ityādeśaśca | īyasuno nittvādādyudāttatvam | ugitaśceti ṅīp ||21||</w:t>
      </w:r>
    </w:p>
    <w:p>
      <w:pPr>
        <w:pStyle w:val="FirstParagraph"/>
      </w:pPr>
      <w:r>
        <w:rPr>
          <w:bCs/>
          <w:b/>
        </w:rPr>
        <w:t xml:space="preserve">Translation:</w:t>
      </w:r>
      <w:r>
        <w:t xml:space="preserve"> </w:t>
      </w:r>
      <w:r>
        <w:t xml:space="preserve">“</w:t>
      </w:r>
      <w:r>
        <w:t xml:space="preserve">The</w:t>
      </w:r>
      <w:r>
        <w:t xml:space="preserve"> </w:t>
      </w:r>
      <w:r>
        <w:rPr>
          <w:iCs/>
          <w:i/>
        </w:rPr>
        <w:t xml:space="preserve">stomāḥ</w:t>
      </w:r>
      <w:r>
        <w:t xml:space="preserve"> </w:t>
      </w:r>
      <w:r>
        <w:t xml:space="preserve">— the praisers, the priests — with</w:t>
      </w:r>
      <w:r>
        <w:t xml:space="preserve"> </w:t>
      </w:r>
      <w:r>
        <w:rPr>
          <w:iCs/>
          <w:i/>
        </w:rPr>
        <w:t xml:space="preserve">ojas</w:t>
      </w:r>
      <w:r>
        <w:t xml:space="preserve">, strength,</w:t>
      </w:r>
      <w:r>
        <w:t xml:space="preserve"> </w:t>
      </w:r>
      <w:r>
        <w:rPr>
          <w:iCs/>
          <w:i/>
        </w:rPr>
        <w:t xml:space="preserve">abhy anūṣata</w:t>
      </w:r>
      <w:r>
        <w:t xml:space="preserve">: praised on all sides Indra,</w:t>
      </w:r>
      <w:r>
        <w:t xml:space="preserve"> </w:t>
      </w:r>
      <w:r>
        <w:rPr>
          <w:iCs/>
          <w:i/>
        </w:rPr>
        <w:t xml:space="preserve">īśānam</w:t>
      </w:r>
      <w:r>
        <w:t xml:space="preserve">, the ruler who governs the world;</w:t>
      </w:r>
      <w:r>
        <w:t xml:space="preserve"> </w:t>
      </w:r>
      <w:r>
        <w:rPr>
          <w:iCs/>
          <w:i/>
        </w:rPr>
        <w:t xml:space="preserve">yasya</w:t>
      </w:r>
      <w:r>
        <w:t xml:space="preserve"> </w:t>
      </w:r>
      <w:r>
        <w:t xml:space="preserve">— of which Indra — the</w:t>
      </w:r>
      <w:r>
        <w:t xml:space="preserve"> </w:t>
      </w:r>
      <w:r>
        <w:rPr>
          <w:iCs/>
          <w:i/>
        </w:rPr>
        <w:t xml:space="preserve">rātayaḥ</w:t>
      </w:r>
      <w:r>
        <w:t xml:space="preserve">, gifts of wealth,</w:t>
      </w:r>
      <w:r>
        <w:t xml:space="preserve"> </w:t>
      </w:r>
      <w:r>
        <w:rPr>
          <w:iCs/>
          <w:i/>
        </w:rPr>
        <w:t xml:space="preserve">sahasraṃ santi</w:t>
      </w:r>
      <w:r>
        <w:t xml:space="preserve">, are a thousand in number;</w:t>
      </w:r>
      <w:r>
        <w:t xml:space="preserve"> </w:t>
      </w:r>
      <w:r>
        <w:rPr>
          <w:iCs/>
          <w:i/>
        </w:rPr>
        <w:t xml:space="preserve">uta vā</w:t>
      </w:r>
      <w:r>
        <w:t xml:space="preserve"> </w:t>
      </w:r>
      <w:r>
        <w:t xml:space="preserve">— or —</w:t>
      </w:r>
      <w:r>
        <w:t xml:space="preserve"> </w:t>
      </w:r>
      <w:r>
        <w:rPr>
          <w:iCs/>
          <w:i/>
        </w:rPr>
        <w:t xml:space="preserve">bhūyasīḥ</w:t>
      </w:r>
      <w:r>
        <w:t xml:space="preserve">, are more even than a thousand.</w:t>
      </w:r>
      <w:r>
        <w:t xml:space="preserve"> </w:t>
      </w:r>
      <w:r>
        <w:t xml:space="preserve">‘</w:t>
      </w:r>
      <w:r>
        <w:t xml:space="preserve">That Indra</w:t>
      </w:r>
      <w:r>
        <w:t xml:space="preserve">’</w:t>
      </w:r>
      <w:r>
        <w:t xml:space="preserve"> </w:t>
      </w:r>
      <w:r>
        <w:t xml:space="preserve">is the connection with what precedes.</w:t>
      </w:r>
      <w:r>
        <w:t xml:space="preserve">”</w:t>
      </w:r>
      <w:r>
        <w:t xml:space="preserve"> </w:t>
      </w:r>
      <w:r>
        <w:t xml:space="preserve">(Grammatical tail:</w:t>
      </w:r>
      <w:r>
        <w:t xml:space="preserve"> </w:t>
      </w:r>
      <w:r>
        <w:rPr>
          <w:iCs/>
          <w:i/>
        </w:rPr>
        <w:t xml:space="preserve">indram</w:t>
      </w:r>
      <w:r>
        <w:t xml:space="preserve"> </w:t>
      </w:r>
      <w:r>
        <w:t xml:space="preserve">—</w:t>
      </w:r>
      <w:r>
        <w:t xml:space="preserve"> </w:t>
      </w:r>
      <w:r>
        <w:rPr>
          <w:iCs/>
          <w:i/>
        </w:rPr>
        <w:t xml:space="preserve">ran</w:t>
      </w:r>
      <w:r>
        <w:t xml:space="preserve"> </w:t>
      </w:r>
      <w:r>
        <w:t xml:space="preserve">by</w:t>
      </w:r>
      <w:r>
        <w:t xml:space="preserve"> </w:t>
      </w:r>
      <w:r>
        <w:t xml:space="preserve">“</w:t>
      </w:r>
      <w:r>
        <w:t xml:space="preserve">ṛjrendra…</w:t>
      </w:r>
      <w:r>
        <w:t xml:space="preserve">”</w:t>
      </w:r>
      <w:r>
        <w:t xml:space="preserve">, initial-udātta as</w:t>
      </w:r>
      <w:r>
        <w:t xml:space="preserve"> </w:t>
      </w:r>
      <w:r>
        <w:rPr>
          <w:iCs/>
          <w:i/>
        </w:rPr>
        <w:t xml:space="preserve">nit</w:t>
      </w:r>
      <w:r>
        <w:t xml:space="preserve">;</w:t>
      </w:r>
      <w:r>
        <w:t xml:space="preserve"> </w:t>
      </w:r>
      <w:r>
        <w:rPr>
          <w:iCs/>
          <w:i/>
        </w:rPr>
        <w:t xml:space="preserve">īśānam</w:t>
      </w:r>
      <w:r>
        <w:t xml:space="preserve"> </w:t>
      </w:r>
      <w:r>
        <w:t xml:space="preserve">—</w:t>
      </w:r>
      <w:r>
        <w:t xml:space="preserve"> </w:t>
      </w:r>
      <w:r>
        <w:rPr>
          <w:iCs/>
          <w:i/>
        </w:rPr>
        <w:t xml:space="preserve">śānac</w:t>
      </w:r>
      <w:r>
        <w:t xml:space="preserve"> </w:t>
      </w:r>
      <w:r>
        <w:t xml:space="preserve">for</w:t>
      </w:r>
      <w:r>
        <w:t xml:space="preserve"> </w:t>
      </w:r>
      <w:r>
        <w:rPr>
          <w:iCs/>
          <w:i/>
        </w:rPr>
        <w:t xml:space="preserve">laṭ</w:t>
      </w:r>
      <w:r>
        <w:t xml:space="preserve">,</w:t>
      </w:r>
      <w:r>
        <w:t xml:space="preserve"> </w:t>
      </w:r>
      <w:r>
        <w:rPr>
          <w:iCs/>
          <w:i/>
        </w:rPr>
        <w:t xml:space="preserve">śap</w:t>
      </w:r>
      <w:r>
        <w:t xml:space="preserve"> </w:t>
      </w:r>
      <w:r>
        <w:t xml:space="preserve">dropped, the</w:t>
      </w:r>
      <w:r>
        <w:t xml:space="preserve"> </w:t>
      </w:r>
      <w:r>
        <w:rPr>
          <w:iCs/>
          <w:i/>
        </w:rPr>
        <w:t xml:space="preserve">śānac</w:t>
      </w:r>
      <w:r>
        <w:t xml:space="preserve"> </w:t>
      </w:r>
      <w:r>
        <w:t xml:space="preserve">unaccented because the root is</w:t>
      </w:r>
      <w:r>
        <w:t xml:space="preserve"> </w:t>
      </w:r>
      <w:r>
        <w:rPr>
          <w:iCs/>
          <w:i/>
        </w:rPr>
        <w:t xml:space="preserve">anudātta</w:t>
      </w:r>
      <w:r>
        <w:t xml:space="preserve">-marked (</w:t>
      </w:r>
      <w:r>
        <w:t xml:space="preserve">“</w:t>
      </w:r>
      <w:r>
        <w:t xml:space="preserve">tāsy anudātta…</w:t>
      </w:r>
      <w:r>
        <w:t xml:space="preserve">”</w:t>
      </w:r>
      <w:r>
        <w:t xml:space="preserve">);</w:t>
      </w:r>
      <w:r>
        <w:t xml:space="preserve"> </w:t>
      </w:r>
      <w:r>
        <w:rPr>
          <w:iCs/>
          <w:i/>
        </w:rPr>
        <w:t xml:space="preserve">ojasā</w:t>
      </w:r>
      <w:r>
        <w:t xml:space="preserve"> </w:t>
      </w:r>
      <w:r>
        <w:t xml:space="preserve">initial-udātta as a</w:t>
      </w:r>
      <w:r>
        <w:t xml:space="preserve"> </w:t>
      </w:r>
      <w:r>
        <w:rPr>
          <w:iCs/>
          <w:i/>
        </w:rPr>
        <w:t xml:space="preserve">nab-viṣaya</w:t>
      </w:r>
      <w:r>
        <w:t xml:space="preserve"> </w:t>
      </w:r>
      <w:r>
        <w:t xml:space="preserve">word;</w:t>
      </w:r>
      <w:r>
        <w:t xml:space="preserve"> </w:t>
      </w:r>
      <w:r>
        <w:rPr>
          <w:iCs/>
          <w:i/>
        </w:rPr>
        <w:t xml:space="preserve">stomāḥ</w:t>
      </w:r>
      <w:r>
        <w:t xml:space="preserve"> </w:t>
      </w:r>
      <w:r>
        <w:t xml:space="preserve">—</w:t>
      </w:r>
      <w:r>
        <w:t xml:space="preserve"> </w:t>
      </w:r>
      <w:r>
        <w:rPr>
          <w:iCs/>
          <w:i/>
        </w:rPr>
        <w:t xml:space="preserve">man</w:t>
      </w:r>
      <w:r>
        <w:t xml:space="preserve"> </w:t>
      </w:r>
      <w:r>
        <w:t xml:space="preserve">by</w:t>
      </w:r>
      <w:r>
        <w:t xml:space="preserve"> </w:t>
      </w:r>
      <w:r>
        <w:t xml:space="preserve">“</w:t>
      </w:r>
      <w:r>
        <w:t xml:space="preserve">arti-stu-su…</w:t>
      </w:r>
      <w:r>
        <w:t xml:space="preserve">”</w:t>
      </w:r>
      <w:r>
        <w:t xml:space="preserve">, initial-udātta;</w:t>
      </w:r>
      <w:r>
        <w:t xml:space="preserve"> </w:t>
      </w:r>
      <w:r>
        <w:rPr>
          <w:iCs/>
          <w:i/>
        </w:rPr>
        <w:t xml:space="preserve">anūṣata</w:t>
      </w:r>
      <w:r>
        <w:t xml:space="preserve"> </w:t>
      </w:r>
      <w:r>
        <w:t xml:space="preserve">—</w:t>
      </w:r>
      <w:r>
        <w:t xml:space="preserve"> </w:t>
      </w:r>
      <w:r>
        <w:rPr>
          <w:iCs/>
          <w:i/>
        </w:rPr>
        <w:t xml:space="preserve">ṇu stutau</w:t>
      </w:r>
      <w:r>
        <w:t xml:space="preserve">,</w:t>
      </w:r>
      <w:r>
        <w:t xml:space="preserve"> </w:t>
      </w:r>
      <w:r>
        <w:rPr>
          <w:iCs/>
          <w:i/>
        </w:rPr>
        <w:t xml:space="preserve">n</w:t>
      </w:r>
      <w:r>
        <w:t xml:space="preserve"> </w:t>
      </w:r>
      <w:r>
        <w:t xml:space="preserve">by</w:t>
      </w:r>
      <w:r>
        <w:t xml:space="preserve"> </w:t>
      </w:r>
      <w:r>
        <w:t xml:space="preserve">“</w:t>
      </w:r>
      <w:r>
        <w:t xml:space="preserve">ṇo naḥ</w:t>
      </w:r>
      <w:r>
        <w:t xml:space="preserve">”</w:t>
      </w:r>
      <w:r>
        <w:t xml:space="preserve">,</w:t>
      </w:r>
      <w:r>
        <w:t xml:space="preserve"> </w:t>
      </w:r>
      <w:r>
        <w:rPr>
          <w:iCs/>
          <w:i/>
        </w:rPr>
        <w:t xml:space="preserve">luṅ</w:t>
      </w:r>
      <w:r>
        <w:t xml:space="preserve">,</w:t>
      </w:r>
      <w:r>
        <w:t xml:space="preserve"> </w:t>
      </w:r>
      <w:r>
        <w:rPr>
          <w:iCs/>
          <w:i/>
        </w:rPr>
        <w:t xml:space="preserve">jha</w:t>
      </w:r>
      <w:r>
        <w:t xml:space="preserve"> </w:t>
      </w:r>
      <w:r>
        <w:t xml:space="preserve">by exception,</w:t>
      </w:r>
      <w:r>
        <w:t xml:space="preserve"> </w:t>
      </w:r>
      <w:r>
        <w:rPr>
          <w:iCs/>
          <w:i/>
        </w:rPr>
        <w:t xml:space="preserve">at</w:t>
      </w:r>
      <w:r>
        <w:t xml:space="preserve"> </w:t>
      </w:r>
      <w:r>
        <w:t xml:space="preserve">for it (Pā. 7-1-5),</w:t>
      </w:r>
      <w:r>
        <w:t xml:space="preserve"> </w:t>
      </w:r>
      <w:r>
        <w:rPr>
          <w:iCs/>
          <w:i/>
        </w:rPr>
        <w:t xml:space="preserve">sic</w:t>
      </w:r>
      <w:r>
        <w:t xml:space="preserve"> </w:t>
      </w:r>
      <w:r>
        <w:t xml:space="preserve">for</w:t>
      </w:r>
      <w:r>
        <w:t xml:space="preserve"> </w:t>
      </w:r>
      <w:r>
        <w:rPr>
          <w:iCs/>
          <w:i/>
        </w:rPr>
        <w:t xml:space="preserve">cli</w:t>
      </w:r>
      <w:r>
        <w:t xml:space="preserve">, no</w:t>
      </w:r>
      <w:r>
        <w:t xml:space="preserve"> </w:t>
      </w:r>
      <w:r>
        <w:rPr>
          <w:iCs/>
          <w:i/>
        </w:rPr>
        <w:t xml:space="preserve">guṇa</w:t>
      </w:r>
      <w:r>
        <w:t xml:space="preserve"> </w:t>
      </w:r>
      <w:r>
        <w:t xml:space="preserve">because, the root being</w:t>
      </w:r>
      <w:r>
        <w:t xml:space="preserve"> </w:t>
      </w:r>
      <w:r>
        <w:rPr>
          <w:iCs/>
          <w:i/>
        </w:rPr>
        <w:t xml:space="preserve">kuṭādi</w:t>
      </w:r>
      <w:r>
        <w:t xml:space="preserve">,</w:t>
      </w:r>
      <w:r>
        <w:t xml:space="preserve"> </w:t>
      </w:r>
      <w:r>
        <w:rPr>
          <w:iCs/>
          <w:i/>
        </w:rPr>
        <w:t xml:space="preserve">sic</w:t>
      </w:r>
      <w:r>
        <w:t xml:space="preserve"> </w:t>
      </w:r>
      <w:r>
        <w:t xml:space="preserve">is</w:t>
      </w:r>
      <w:r>
        <w:t xml:space="preserve"> </w:t>
      </w:r>
      <w:r>
        <w:rPr>
          <w:iCs/>
          <w:i/>
        </w:rPr>
        <w:t xml:space="preserve">ṅit</w:t>
      </w:r>
      <w:r>
        <w:t xml:space="preserve">, the absence of</w:t>
      </w:r>
      <w:r>
        <w:t xml:space="preserve"> </w:t>
      </w:r>
      <w:r>
        <w:rPr>
          <w:iCs/>
          <w:i/>
        </w:rPr>
        <w:t xml:space="preserve">iṭ</w:t>
      </w:r>
      <w:r>
        <w:t xml:space="preserve"> </w:t>
      </w:r>
      <w:r>
        <w:t xml:space="preserve">and the lengthening Vedic, augment</w:t>
      </w:r>
      <w:r>
        <w:t xml:space="preserve"> </w:t>
      </w:r>
      <w:r>
        <w:rPr>
          <w:iCs/>
          <w:i/>
        </w:rPr>
        <w:t xml:space="preserve">aṭ</w:t>
      </w:r>
      <w:r>
        <w:t xml:space="preserve">;</w:t>
      </w:r>
      <w:r>
        <w:t xml:space="preserve"> </w:t>
      </w:r>
      <w:r>
        <w:rPr>
          <w:iCs/>
          <w:i/>
        </w:rPr>
        <w:t xml:space="preserve">sahasram</w:t>
      </w:r>
      <w:r>
        <w:t xml:space="preserve"> </w:t>
      </w:r>
      <w:r>
        <w:t xml:space="preserve">— second syllable udātta by</w:t>
      </w:r>
      <w:r>
        <w:t xml:space="preserve"> </w:t>
      </w:r>
      <w:r>
        <w:t xml:space="preserve">“</w:t>
      </w:r>
      <w:r>
        <w:t xml:space="preserve">kardamādīnāṃ ca</w:t>
      </w:r>
      <w:r>
        <w:t xml:space="preserve">”</w:t>
      </w:r>
      <w:r>
        <w:t xml:space="preserve"> </w:t>
      </w:r>
      <w:r>
        <w:t xml:space="preserve">(Phi. 3-10);</w:t>
      </w:r>
      <w:r>
        <w:t xml:space="preserve"> </w:t>
      </w:r>
      <w:r>
        <w:rPr>
          <w:iCs/>
          <w:i/>
        </w:rPr>
        <w:t xml:space="preserve">rātayaḥ</w:t>
      </w:r>
      <w:r>
        <w:t xml:space="preserve"> </w:t>
      </w:r>
      <w:r>
        <w:t xml:space="preserve">—</w:t>
      </w:r>
      <w:r>
        <w:t xml:space="preserve"> </w:t>
      </w:r>
      <w:r>
        <w:rPr>
          <w:iCs/>
          <w:i/>
        </w:rPr>
        <w:t xml:space="preserve">ktin</w:t>
      </w:r>
      <w:r>
        <w:t xml:space="preserve"> </w:t>
      </w:r>
      <w:r>
        <w:t xml:space="preserve">udātta by</w:t>
      </w:r>
      <w:r>
        <w:t xml:space="preserve"> </w:t>
      </w:r>
      <w:r>
        <w:t xml:space="preserve">“</w:t>
      </w:r>
      <w:r>
        <w:t xml:space="preserve">mantre vṛṣa…</w:t>
      </w:r>
      <w:r>
        <w:t xml:space="preserve">”</w:t>
      </w:r>
      <w:r>
        <w:t xml:space="preserve">;</w:t>
      </w:r>
      <w:r>
        <w:t xml:space="preserve"> </w:t>
      </w:r>
      <w:r>
        <w:rPr>
          <w:iCs/>
          <w:i/>
        </w:rPr>
        <w:t xml:space="preserve">uta</w:t>
      </w:r>
      <w:r>
        <w:t xml:space="preserve"> </w:t>
      </w:r>
      <w:r>
        <w:t xml:space="preserve">— the stem accent;</w:t>
      </w:r>
      <w:r>
        <w:t xml:space="preserve"> </w:t>
      </w:r>
      <w:r>
        <w:rPr>
          <w:iCs/>
          <w:i/>
        </w:rPr>
        <w:t xml:space="preserve">vā</w:t>
      </w:r>
      <w:r>
        <w:t xml:space="preserve"> </w:t>
      </w:r>
      <w:r>
        <w:t xml:space="preserve">unaccented as one of the</w:t>
      </w:r>
      <w:r>
        <w:t xml:space="preserve"> </w:t>
      </w:r>
      <w:r>
        <w:rPr>
          <w:iCs/>
          <w:i/>
        </w:rPr>
        <w:t xml:space="preserve">cādi</w:t>
      </w:r>
      <w:r>
        <w:t xml:space="preserve">;</w:t>
      </w:r>
      <w:r>
        <w:t xml:space="preserve"> </w:t>
      </w:r>
      <w:r>
        <w:rPr>
          <w:iCs/>
          <w:i/>
        </w:rPr>
        <w:t xml:space="preserve">santi</w:t>
      </w:r>
      <w:r>
        <w:t xml:space="preserve"> </w:t>
      </w:r>
      <w:r>
        <w:t xml:space="preserve">— initial-udātta of the suffix, and not unaccented by</w:t>
      </w:r>
      <w:r>
        <w:t xml:space="preserve"> </w:t>
      </w:r>
      <w:r>
        <w:t xml:space="preserve">“</w:t>
      </w:r>
      <w:r>
        <w:t xml:space="preserve">tiṅṅ atiṅaḥ</w:t>
      </w:r>
      <w:r>
        <w:t xml:space="preserve">”</w:t>
      </w:r>
      <w:r>
        <w:t xml:space="preserve"> </w:t>
      </w:r>
      <w:r>
        <w:t xml:space="preserve">because of the bar</w:t>
      </w:r>
      <w:r>
        <w:t xml:space="preserve"> </w:t>
      </w:r>
      <w:r>
        <w:t xml:space="preserve">“</w:t>
      </w:r>
      <w:r>
        <w:t xml:space="preserve">yad-vṛttān nityam</w:t>
      </w:r>
      <w:r>
        <w:t xml:space="preserve">”</w:t>
      </w:r>
      <w:r>
        <w:t xml:space="preserve">, which applies even with words between;</w:t>
      </w:r>
      <w:r>
        <w:t xml:space="preserve"> </w:t>
      </w:r>
      <w:r>
        <w:rPr>
          <w:iCs/>
          <w:i/>
        </w:rPr>
        <w:t xml:space="preserve">bhūyasīḥ</w:t>
      </w:r>
      <w:r>
        <w:t xml:space="preserve"> </w:t>
      </w:r>
      <w:r>
        <w:t xml:space="preserve">—</w:t>
      </w:r>
      <w:r>
        <w:t xml:space="preserve"> </w:t>
      </w:r>
      <w:r>
        <w:t xml:space="preserve">“</w:t>
      </w:r>
      <w:r>
        <w:t xml:space="preserve">more than a thousand</w:t>
      </w:r>
      <w:r>
        <w:t xml:space="preserve">”</w:t>
      </w:r>
      <w:r>
        <w:t xml:space="preserve">: since</w:t>
      </w:r>
      <w:r>
        <w:t xml:space="preserve"> </w:t>
      </w:r>
      <w:r>
        <w:rPr>
          <w:iCs/>
          <w:i/>
        </w:rPr>
        <w:t xml:space="preserve">sahasra</w:t>
      </w:r>
      <w:r>
        <w:t xml:space="preserve">, the thing to be divided, is near, it is felt as an</w:t>
      </w:r>
      <w:r>
        <w:t xml:space="preserve"> </w:t>
      </w:r>
      <w:r>
        <w:rPr>
          <w:iCs/>
          <w:i/>
        </w:rPr>
        <w:t xml:space="preserve">upapada</w:t>
      </w:r>
      <w:r>
        <w:t xml:space="preserve">, so</w:t>
      </w:r>
      <w:r>
        <w:t xml:space="preserve"> </w:t>
      </w:r>
      <w:r>
        <w:rPr>
          <w:iCs/>
          <w:i/>
        </w:rPr>
        <w:t xml:space="preserve">īyasun</w:t>
      </w:r>
      <w:r>
        <w:t xml:space="preserve"> </w:t>
      </w:r>
      <w:r>
        <w:t xml:space="preserve">after</w:t>
      </w:r>
      <w:r>
        <w:t xml:space="preserve"> </w:t>
      </w:r>
      <w:r>
        <w:rPr>
          <w:iCs/>
          <w:i/>
        </w:rPr>
        <w:t xml:space="preserve">bahu</w:t>
      </w:r>
      <w:r>
        <w:t xml:space="preserve"> </w:t>
      </w:r>
      <w:r>
        <w:t xml:space="preserve">by</w:t>
      </w:r>
      <w:r>
        <w:t xml:space="preserve"> </w:t>
      </w:r>
      <w:r>
        <w:t xml:space="preserve">“</w:t>
      </w:r>
      <w:r>
        <w:t xml:space="preserve">dvivacana-vibhajyopapade tarab-īyasunau</w:t>
      </w:r>
      <w:r>
        <w:t xml:space="preserve">”</w:t>
      </w:r>
      <w:r>
        <w:t xml:space="preserve"> </w:t>
      </w:r>
      <w:r>
        <w:t xml:space="preserve">(Pā. 5-3-57);</w:t>
      </w:r>
      <w:r>
        <w:t xml:space="preserve"> </w:t>
      </w:r>
      <w:r>
        <w:t xml:space="preserve">“</w:t>
      </w:r>
      <w:r>
        <w:t xml:space="preserve">bahor lopo bhū ca bahoḥ</w:t>
      </w:r>
      <w:r>
        <w:t xml:space="preserve">”</w:t>
      </w:r>
      <w:r>
        <w:t xml:space="preserve"> </w:t>
      </w:r>
      <w:r>
        <w:t xml:space="preserve">(Pā. 6-4-158) drops the</w:t>
      </w:r>
      <w:r>
        <w:t xml:space="preserve"> </w:t>
      </w:r>
      <w:r>
        <w:rPr>
          <w:iCs/>
          <w:i/>
        </w:rPr>
        <w:t xml:space="preserve">ī</w:t>
      </w:r>
      <w:r>
        <w:t xml:space="preserve"> </w:t>
      </w:r>
      <w:r>
        <w:t xml:space="preserve">and gives</w:t>
      </w:r>
      <w:r>
        <w:t xml:space="preserve"> </w:t>
      </w:r>
      <w:r>
        <w:rPr>
          <w:iCs/>
          <w:i/>
        </w:rPr>
        <w:t xml:space="preserve">bhū</w:t>
      </w:r>
      <w:r>
        <w:t xml:space="preserve"> </w:t>
      </w:r>
      <w:r>
        <w:t xml:space="preserve">for the stem; initial-udātta as</w:t>
      </w:r>
      <w:r>
        <w:t xml:space="preserve"> </w:t>
      </w:r>
      <w:r>
        <w:rPr>
          <w:iCs/>
          <w:i/>
        </w:rPr>
        <w:t xml:space="preserve">nit</w:t>
      </w:r>
      <w:r>
        <w:t xml:space="preserve">;</w:t>
      </w:r>
      <w:r>
        <w:t xml:space="preserve"> </w:t>
      </w:r>
      <w:r>
        <w:rPr>
          <w:iCs/>
          <w:i/>
        </w:rPr>
        <w:t xml:space="preserve">ṅīp</w:t>
      </w:r>
      <w:r>
        <w:t xml:space="preserve"> </w:t>
      </w:r>
      <w:r>
        <w:t xml:space="preserve">by</w:t>
      </w:r>
      <w:r>
        <w:t xml:space="preserve"> </w:t>
      </w:r>
      <w:r>
        <w:t xml:space="preserve">“</w:t>
      </w:r>
      <w:r>
        <w:t xml:space="preserve">ugitaś ca</w:t>
      </w:r>
      <w:r>
        <w:t xml:space="preserve">”</w:t>
      </w:r>
      <w:r>
        <w:t xml:space="preserve">.)</w:t>
      </w:r>
    </w:p>
    <w:bookmarkEnd w:id="495"/>
    <w:bookmarkStart w:id="496" w:name="X5c5c0573cf7e46957e41d14e9e9877a1388a202"/>
    <w:p>
      <w:pPr>
        <w:pStyle w:val="Heading3"/>
      </w:pPr>
      <w:r>
        <w:t xml:space="preserve">Page 480 — Rik 8: word-meanings, overall sense, English, Special Topics</w:t>
      </w:r>
    </w:p>
    <w:p>
      <w:pPr>
        <w:pStyle w:val="FirstParagraph"/>
      </w:pPr>
      <w:r>
        <w:rPr>
          <w:bCs/>
          <w:b/>
        </w:rPr>
        <w:t xml:space="preserve">॥ Prati-padārthaḥ ॥</w:t>
      </w:r>
    </w:p>
    <w:p>
      <w:pPr>
        <w:pStyle w:val="BodyText"/>
      </w:pPr>
      <w:r>
        <w:rPr>
          <w:bCs/>
          <w:b/>
        </w:rPr>
        <w:t xml:space="preserve">यस्य (yasya)</w:t>
      </w:r>
      <w:r>
        <w:t xml:space="preserve"> </w:t>
      </w:r>
      <w:r>
        <w:t xml:space="preserve">— of which Indra |</w:t>
      </w:r>
      <w:r>
        <w:t xml:space="preserve"> </w:t>
      </w:r>
      <w:r>
        <w:rPr>
          <w:bCs/>
          <w:b/>
        </w:rPr>
        <w:t xml:space="preserve">रातयः (rātayaḥ)</w:t>
      </w:r>
      <w:r>
        <w:t xml:space="preserve"> </w:t>
      </w:r>
      <w:r>
        <w:t xml:space="preserve">— gifts of wealth |</w:t>
      </w:r>
      <w:r>
        <w:t xml:space="preserve"> </w:t>
      </w:r>
      <w:r>
        <w:rPr>
          <w:bCs/>
          <w:b/>
        </w:rPr>
        <w:t xml:space="preserve">सहस्रम् (sahasram)</w:t>
      </w:r>
      <w:r>
        <w:t xml:space="preserve"> </w:t>
      </w:r>
      <w:r>
        <w:t xml:space="preserve">— as many as thousands |</w:t>
      </w:r>
      <w:r>
        <w:t xml:space="preserve"> </w:t>
      </w:r>
      <w:r>
        <w:rPr>
          <w:bCs/>
          <w:b/>
        </w:rPr>
        <w:t xml:space="preserve">उत वा (uta vā)</w:t>
      </w:r>
      <w:r>
        <w:t xml:space="preserve"> </w:t>
      </w:r>
      <w:r>
        <w:t xml:space="preserve">— or |</w:t>
      </w:r>
      <w:r>
        <w:t xml:space="preserve"> </w:t>
      </w:r>
      <w:r>
        <w:rPr>
          <w:bCs/>
          <w:b/>
        </w:rPr>
        <w:t xml:space="preserve">भूयसीः (bhūyasīḥ)</w:t>
      </w:r>
      <w:r>
        <w:t xml:space="preserve"> </w:t>
      </w:r>
      <w:r>
        <w:t xml:space="preserve">— still more |</w:t>
      </w:r>
      <w:r>
        <w:t xml:space="preserve"> </w:t>
      </w:r>
      <w:r>
        <w:rPr>
          <w:bCs/>
          <w:b/>
        </w:rPr>
        <w:t xml:space="preserve">सन्ति (santi)</w:t>
      </w:r>
      <w:r>
        <w:t xml:space="preserve"> </w:t>
      </w:r>
      <w:r>
        <w:t xml:space="preserve">— are</w:t>
      </w:r>
      <w:r>
        <w:t xml:space="preserve"> </w:t>
      </w:r>
      <w:r>
        <w:rPr>
          <w:iCs/>
          <w:i/>
        </w:rPr>
        <w:t xml:space="preserve">(such)</w:t>
      </w:r>
      <w:r>
        <w:t xml:space="preserve"> </w:t>
      </w:r>
      <w:r>
        <w:t xml:space="preserve">|</w:t>
      </w:r>
      <w:r>
        <w:t xml:space="preserve"> </w:t>
      </w:r>
      <w:r>
        <w:rPr>
          <w:bCs/>
          <w:b/>
        </w:rPr>
        <w:t xml:space="preserve">ईशानम् (īśānam)</w:t>
      </w:r>
      <w:r>
        <w:t xml:space="preserve"> </w:t>
      </w:r>
      <w:r>
        <w:t xml:space="preserve">— who governs the world |</w:t>
      </w:r>
      <w:r>
        <w:t xml:space="preserve"> </w:t>
      </w:r>
      <w:r>
        <w:rPr>
          <w:bCs/>
          <w:b/>
        </w:rPr>
        <w:t xml:space="preserve">इन्द्रम् (indram)</w:t>
      </w:r>
      <w:r>
        <w:t xml:space="preserve"> </w:t>
      </w:r>
      <w:r>
        <w:t xml:space="preserve">— Indra |</w:t>
      </w:r>
      <w:r>
        <w:t xml:space="preserve"> </w:t>
      </w:r>
      <w:r>
        <w:rPr>
          <w:bCs/>
          <w:b/>
        </w:rPr>
        <w:t xml:space="preserve">स्तोमाः (stomāḥ)</w:t>
      </w:r>
      <w:r>
        <w:t xml:space="preserve"> </w:t>
      </w:r>
      <w:r>
        <w:t xml:space="preserve">— the priests who praise |</w:t>
      </w:r>
      <w:r>
        <w:t xml:space="preserve"> </w:t>
      </w:r>
      <w:r>
        <w:rPr>
          <w:bCs/>
          <w:b/>
        </w:rPr>
        <w:t xml:space="preserve">ओजसा (ojasā)</w:t>
      </w:r>
      <w:r>
        <w:t xml:space="preserve"> </w:t>
      </w:r>
      <w:r>
        <w:t xml:space="preserve">— with all the strength they have |</w:t>
      </w:r>
      <w:r>
        <w:t xml:space="preserve"> </w:t>
      </w:r>
      <w:r>
        <w:rPr>
          <w:bCs/>
          <w:b/>
        </w:rPr>
        <w:t xml:space="preserve">अभि अनूषत (abhi anūṣata)</w:t>
      </w:r>
      <w:r>
        <w:t xml:space="preserve"> </w:t>
      </w:r>
      <w:r>
        <w:t xml:space="preserve">— praise.</w:t>
      </w:r>
    </w:p>
    <w:p>
      <w:pPr>
        <w:pStyle w:val="BodyText"/>
      </w:pPr>
      <w:r>
        <w:rPr>
          <w:bCs/>
          <w:b/>
        </w:rPr>
        <w:t xml:space="preserve">॥ Bhāvārthaḥ ॥</w:t>
      </w:r>
    </w:p>
    <w:p>
      <w:pPr>
        <w:pStyle w:val="BodyText"/>
      </w:pPr>
      <w:r>
        <w:t xml:space="preserve">Indra gives to those who praise him wealth and the like to the number of a thousand, or even more. The priests and other people praise such an Indra using all their strength.</w:t>
      </w:r>
    </w:p>
    <w:p>
      <w:pPr>
        <w:pStyle w:val="BodyText"/>
      </w:pPr>
      <w:r>
        <w:rPr>
          <w:bCs/>
          <w:b/>
        </w:rPr>
        <w:t xml:space="preserve">॥ English Translation ॥</w:t>
      </w:r>
      <w:r>
        <w:t xml:space="preserve"> </w:t>
      </w:r>
      <w:r>
        <w:rPr>
          <w:iCs/>
          <w:i/>
        </w:rPr>
        <w:t xml:space="preserve">(as printed in the source)</w:t>
      </w:r>
    </w:p>
    <w:p>
      <w:pPr>
        <w:pStyle w:val="BlockText"/>
      </w:pPr>
      <w:r>
        <w:t xml:space="preserve">The reciters of Sacred hymns praise with all their might Indra, the ruler of the world whose bounties are counted by thousends [sic] or even more.</w:t>
      </w:r>
    </w:p>
    <w:p>
      <w:pPr>
        <w:pStyle w:val="FirstParagraph"/>
      </w:pPr>
      <w:r>
        <w:rPr>
          <w:bCs/>
          <w:b/>
        </w:rPr>
        <w:t xml:space="preserve">Īśānam</w:t>
      </w:r>
      <w:r>
        <w:t xml:space="preserve"> </w:t>
      </w:r>
      <w:r>
        <w:t xml:space="preserve">— the lord, the master of the world:</w:t>
      </w:r>
      <w:r>
        <w:t xml:space="preserve"> </w:t>
      </w:r>
      <w:r>
        <w:t xml:space="preserve">“</w:t>
      </w:r>
      <w:r>
        <w:t xml:space="preserve">Thr [sic] ruler of the world</w:t>
      </w:r>
      <w:r>
        <w:t xml:space="preserve">”</w:t>
      </w:r>
      <w:r>
        <w:t xml:space="preserve"> </w:t>
      </w:r>
      <w:r>
        <w:t xml:space="preserve">[the source’s English].</w:t>
      </w:r>
    </w:p>
    <w:p>
      <w:pPr>
        <w:pStyle w:val="BodyText"/>
      </w:pPr>
      <w:r>
        <w:rPr>
          <w:bCs/>
          <w:b/>
        </w:rPr>
        <w:t xml:space="preserve">॥ Viśeṣa-viṣayagaḷu (Special Topics) ॥</w:t>
      </w:r>
    </w:p>
    <w:p>
      <w:pPr>
        <w:pStyle w:val="BodyText"/>
      </w:pPr>
      <w:r>
        <w:rPr>
          <w:bCs/>
          <w:b/>
        </w:rPr>
        <w:t xml:space="preserve">“</w:t>
      </w:r>
      <w:r>
        <w:rPr>
          <w:bCs/>
          <w:b/>
        </w:rPr>
        <w:t xml:space="preserve">Ojasā</w:t>
      </w:r>
      <w:r>
        <w:rPr>
          <w:bCs/>
          <w:b/>
        </w:rPr>
        <w:t xml:space="preserve">”</w:t>
      </w:r>
      <w:r>
        <w:t xml:space="preserve"> </w:t>
      </w:r>
      <w:r>
        <w:t xml:space="preserve">—</w:t>
      </w:r>
      <w:r>
        <w:t xml:space="preserve"> </w:t>
      </w:r>
      <w:r>
        <w:rPr>
          <w:iCs/>
          <w:i/>
        </w:rPr>
        <w:t xml:space="preserve">balena</w:t>
      </w:r>
      <w:r>
        <w:t xml:space="preserve">:</w:t>
      </w:r>
      <w:r>
        <w:t xml:space="preserve"> </w:t>
      </w:r>
      <w:r>
        <w:t xml:space="preserve">“</w:t>
      </w:r>
      <w:r>
        <w:t xml:space="preserve">with strength, with all the strength they have; with enthusiasm too,</w:t>
      </w:r>
      <w:r>
        <w:t xml:space="preserve">”</w:t>
      </w:r>
      <w:r>
        <w:t xml:space="preserve"> </w:t>
      </w:r>
      <w:r>
        <w:t xml:space="preserve">and so on.</w:t>
      </w:r>
    </w:p>
    <w:p>
      <w:pPr>
        <w:pStyle w:val="BodyText"/>
      </w:pPr>
      <w:r>
        <w:rPr>
          <w:bCs/>
          <w:b/>
        </w:rPr>
        <w:t xml:space="preserve">“</w:t>
      </w:r>
      <w:r>
        <w:rPr>
          <w:bCs/>
          <w:b/>
        </w:rPr>
        <w:t xml:space="preserve">Stomāḥ</w:t>
      </w:r>
      <w:r>
        <w:rPr>
          <w:bCs/>
          <w:b/>
        </w:rPr>
        <w:t xml:space="preserve">”</w:t>
      </w:r>
      <w:r>
        <w:t xml:space="preserve"> </w:t>
      </w:r>
      <w:r>
        <w:t xml:space="preserve">— for this word the Bhāṣyakāra gives the meaning</w:t>
      </w:r>
      <w:r>
        <w:t xml:space="preserve"> </w:t>
      </w:r>
      <w:r>
        <w:rPr>
          <w:iCs/>
          <w:i/>
        </w:rPr>
        <w:t xml:space="preserve">stotāra ṛtvijaḥ</w:t>
      </w:r>
      <w:r>
        <w:t xml:space="preserve">,</w:t>
      </w:r>
      <w:r>
        <w:t xml:space="preserve"> </w:t>
      </w:r>
      <w:r>
        <w:t xml:space="preserve">“</w:t>
      </w:r>
      <w:r>
        <w:t xml:space="preserve">priests who praise.</w:t>
      </w:r>
      <w:r>
        <w:t xml:space="preserve">”</w:t>
      </w:r>
      <w:r>
        <w:t xml:space="preserve"> </w:t>
      </w:r>
      <w:r>
        <w:t xml:space="preserve">When the word</w:t>
      </w:r>
      <w:r>
        <w:t xml:space="preserve"> </w:t>
      </w:r>
      <w:r>
        <w:rPr>
          <w:iCs/>
          <w:i/>
        </w:rPr>
        <w:t xml:space="preserve">stoma</w:t>
      </w:r>
      <w:r>
        <w:t xml:space="preserve"> </w:t>
      </w:r>
      <w:r>
        <w:t xml:space="preserve">is neuter it means</w:t>
      </w:r>
      <w:r>
        <w:t xml:space="preserve"> </w:t>
      </w:r>
      <w:r>
        <w:t xml:space="preserve">“</w:t>
      </w:r>
      <w:r>
        <w:t xml:space="preserve">hymn</w:t>
      </w:r>
      <w:r>
        <w:t xml:space="preserve">”</w:t>
      </w:r>
      <w:r>
        <w:t xml:space="preserve">; when it is masculine,</w:t>
      </w:r>
      <w:r>
        <w:t xml:space="preserve"> </w:t>
      </w:r>
      <w:r>
        <w:t xml:space="preserve">“</w:t>
      </w:r>
      <w:r>
        <w:t xml:space="preserve">those who praise.</w:t>
      </w:r>
      <w:r>
        <w:t xml:space="preserve">”</w:t>
      </w:r>
    </w:p>
    <w:p>
      <w:pPr>
        <w:pStyle w:val="BodyText"/>
      </w:pPr>
      <w:r>
        <w:rPr>
          <w:bCs/>
          <w:b/>
        </w:rPr>
        <w:t xml:space="preserve">“</w:t>
      </w:r>
      <w:r>
        <w:rPr>
          <w:bCs/>
          <w:b/>
        </w:rPr>
        <w:t xml:space="preserve">Sahasram</w:t>
      </w:r>
      <w:r>
        <w:rPr>
          <w:bCs/>
          <w:b/>
        </w:rPr>
        <w:t xml:space="preserve">”</w:t>
      </w:r>
      <w:r>
        <w:t xml:space="preserve"> </w:t>
      </w:r>
      <w:r>
        <w:t xml:space="preserve">— a thousand in number; many.</w:t>
      </w:r>
    </w:p>
    <w:p>
      <w:pPr>
        <w:pStyle w:val="BodyText"/>
      </w:pPr>
      <w:r>
        <w:rPr>
          <w:bCs/>
          <w:b/>
        </w:rPr>
        <w:t xml:space="preserve">“</w:t>
      </w:r>
      <w:r>
        <w:rPr>
          <w:bCs/>
          <w:b/>
        </w:rPr>
        <w:t xml:space="preserve">Bhūyasīḥ</w:t>
      </w:r>
      <w:r>
        <w:rPr>
          <w:bCs/>
          <w:b/>
        </w:rPr>
        <w:t xml:space="preserve">”</w:t>
      </w:r>
      <w:r>
        <w:t xml:space="preserve"> </w:t>
      </w:r>
      <w:r>
        <w:t xml:space="preserve">— more than a thousand; more than can be counted; exceedingly, and so on.</w:t>
      </w:r>
    </w:p>
    <w:bookmarkEnd w:id="496"/>
    <w:bookmarkStart w:id="497" w:name="page-481-rik-8-grammar"/>
    <w:p>
      <w:pPr>
        <w:pStyle w:val="Heading3"/>
      </w:pPr>
      <w:r>
        <w:t xml:space="preserve">Page 481 — Rik 8 grammar</w:t>
      </w:r>
    </w:p>
    <w:p>
      <w:pPr>
        <w:pStyle w:val="FirstParagraph"/>
      </w:pPr>
      <w:r>
        <w:rPr>
          <w:bCs/>
          <w:b/>
        </w:rPr>
        <w:t xml:space="preserve">॥ Vyākaraṇa-prakriyā ॥</w:t>
      </w:r>
      <w:r>
        <w:t xml:space="preserve"> </w:t>
      </w:r>
      <w:r>
        <w:rPr>
          <w:iCs/>
          <w:i/>
        </w:rPr>
        <w:t xml:space="preserve">(grammar pages 481–482, noted briefly; numbers checked against the print)</w:t>
      </w:r>
    </w:p>
    <w:p>
      <w:pPr>
        <w:pStyle w:val="BodyText"/>
      </w:pPr>
      <w:r>
        <w:rPr>
          <w:bCs/>
          <w:b/>
        </w:rPr>
        <w:t xml:space="preserve">इन्द्रम् (</w:t>
      </w:r>
      <w:r>
        <w:rPr>
          <w:iCs/>
          <w:i/>
          <w:bCs/>
          <w:b/>
        </w:rPr>
        <w:t xml:space="preserve">indram</w:t>
      </w:r>
      <w:r>
        <w:rPr>
          <w:bCs/>
          <w:b/>
        </w:rPr>
        <w:t xml:space="preserve">)</w:t>
      </w:r>
      <w:r>
        <w:t xml:space="preserve"> </w:t>
      </w:r>
      <w:r>
        <w:t xml:space="preserve">— the suffix</w:t>
      </w:r>
      <w:r>
        <w:t xml:space="preserve"> </w:t>
      </w:r>
      <w:r>
        <w:rPr>
          <w:iCs/>
          <w:i/>
        </w:rPr>
        <w:t xml:space="preserve">ran</w:t>
      </w:r>
      <w:r>
        <w:t xml:space="preserve"> </w:t>
      </w:r>
      <w:r>
        <w:t xml:space="preserve">by</w:t>
      </w:r>
      <w:r>
        <w:t xml:space="preserve"> </w:t>
      </w:r>
      <w:r>
        <w:t xml:space="preserve">“</w:t>
      </w:r>
      <w:r>
        <w:t xml:space="preserve">ṛjrendrāgra…</w:t>
      </w:r>
      <w:r>
        <w:t xml:space="preserve">”</w:t>
      </w:r>
      <w:r>
        <w:t xml:space="preserve"> </w:t>
      </w:r>
      <w:r>
        <w:t xml:space="preserve">(Uṇ. 2-186); initial-udātta as</w:t>
      </w:r>
      <w:r>
        <w:t xml:space="preserve"> </w:t>
      </w:r>
      <w:r>
        <w:rPr>
          <w:iCs/>
          <w:i/>
        </w:rPr>
        <w:t xml:space="preserve">nit</w:t>
      </w:r>
      <w:r>
        <w:t xml:space="preserve">.</w:t>
      </w:r>
      <w:r>
        <w:t xml:space="preserve"> </w:t>
      </w:r>
      <w:r>
        <w:rPr>
          <w:bCs/>
          <w:b/>
        </w:rPr>
        <w:t xml:space="preserve">ईशानम् (</w:t>
      </w:r>
      <w:r>
        <w:rPr>
          <w:iCs/>
          <w:i/>
          <w:bCs/>
          <w:b/>
        </w:rPr>
        <w:t xml:space="preserve">īśānam</w:t>
      </w:r>
      <w:r>
        <w:rPr>
          <w:bCs/>
          <w:b/>
        </w:rPr>
        <w:t xml:space="preserve">)</w:t>
      </w:r>
      <w:r>
        <w:t xml:space="preserve"> </w:t>
      </w:r>
      <w:r>
        <w:t xml:space="preserve">— root</w:t>
      </w:r>
      <w:r>
        <w:t xml:space="preserve"> </w:t>
      </w:r>
      <w:r>
        <w:rPr>
          <w:iCs/>
          <w:i/>
        </w:rPr>
        <w:t xml:space="preserve">īśa aiśvarye</w:t>
      </w:r>
      <w:r>
        <w:t xml:space="preserve">,</w:t>
      </w:r>
      <w:r>
        <w:t xml:space="preserve"> </w:t>
      </w:r>
      <w:r>
        <w:rPr>
          <w:iCs/>
          <w:i/>
        </w:rPr>
        <w:t xml:space="preserve">anudātta</w:t>
      </w:r>
      <w:r>
        <w:t xml:space="preserve">-marked, hence ātmanepada;</w:t>
      </w:r>
      <w:r>
        <w:t xml:space="preserve"> </w:t>
      </w:r>
      <w:r>
        <w:rPr>
          <w:iCs/>
          <w:i/>
        </w:rPr>
        <w:t xml:space="preserve">laṭ</w:t>
      </w:r>
      <w:r>
        <w:t xml:space="preserve"> </w:t>
      </w:r>
      <w:r>
        <w:t xml:space="preserve">→</w:t>
      </w:r>
      <w:r>
        <w:t xml:space="preserve"> </w:t>
      </w:r>
      <w:r>
        <w:rPr>
          <w:iCs/>
          <w:i/>
        </w:rPr>
        <w:t xml:space="preserve">śānac</w:t>
      </w:r>
      <w:r>
        <w:t xml:space="preserve"> </w:t>
      </w:r>
      <w:r>
        <w:t xml:space="preserve">by</w:t>
      </w:r>
      <w:r>
        <w:t xml:space="preserve"> </w:t>
      </w:r>
      <w:r>
        <w:t xml:space="preserve">“</w:t>
      </w:r>
      <w:r>
        <w:t xml:space="preserve">laṭaḥ śatṛ-śānacau…</w:t>
      </w:r>
      <w:r>
        <w:t xml:space="preserve">”</w:t>
      </w:r>
      <w:r>
        <w:t xml:space="preserve">:</w:t>
      </w:r>
      <w:r>
        <w:t xml:space="preserve"> </w:t>
      </w:r>
      <w:r>
        <w:rPr>
          <w:iCs/>
          <w:i/>
        </w:rPr>
        <w:t xml:space="preserve">īś</w:t>
      </w:r>
      <w:r>
        <w:t xml:space="preserve"> </w:t>
      </w:r>
      <w:r>
        <w:t xml:space="preserve">+</w:t>
      </w:r>
      <w:r>
        <w:t xml:space="preserve"> </w:t>
      </w:r>
      <w:r>
        <w:rPr>
          <w:iCs/>
          <w:i/>
        </w:rPr>
        <w:t xml:space="preserve">āna</w:t>
      </w:r>
      <w:r>
        <w:t xml:space="preserve">;</w:t>
      </w:r>
      <w:r>
        <w:t xml:space="preserve"> </w:t>
      </w:r>
      <w:r>
        <w:rPr>
          <w:iCs/>
          <w:i/>
        </w:rPr>
        <w:t xml:space="preserve">śap</w:t>
      </w:r>
      <w:r>
        <w:t xml:space="preserve"> </w:t>
      </w:r>
      <w:r>
        <w:t xml:space="preserve">dropped by</w:t>
      </w:r>
      <w:r>
        <w:t xml:space="preserve"> </w:t>
      </w:r>
      <w:r>
        <w:t xml:space="preserve">“</w:t>
      </w:r>
      <w:r>
        <w:t xml:space="preserve">adiprabhṛtibhyaḥ śapaḥ</w:t>
      </w:r>
      <w:r>
        <w:t xml:space="preserve">”</w:t>
      </w:r>
      <w:r>
        <w:t xml:space="preserve"> </w:t>
      </w:r>
      <w:r>
        <w:t xml:space="preserve">(Pā. 2-4-72); the</w:t>
      </w:r>
      <w:r>
        <w:t xml:space="preserve"> </w:t>
      </w:r>
      <w:r>
        <w:rPr>
          <w:iCs/>
          <w:i/>
        </w:rPr>
        <w:t xml:space="preserve">śānac</w:t>
      </w:r>
      <w:r>
        <w:t xml:space="preserve">, a</w:t>
      </w:r>
      <w:r>
        <w:t xml:space="preserve"> </w:t>
      </w:r>
      <w:r>
        <w:rPr>
          <w:iCs/>
          <w:i/>
        </w:rPr>
        <w:t xml:space="preserve">sārvadhātuka</w:t>
      </w:r>
      <w:r>
        <w:t xml:space="preserve"> </w:t>
      </w:r>
      <w:r>
        <w:t xml:space="preserve">in place of a</w:t>
      </w:r>
      <w:r>
        <w:t xml:space="preserve"> </w:t>
      </w:r>
      <w:r>
        <w:rPr>
          <w:iCs/>
          <w:i/>
        </w:rPr>
        <w:t xml:space="preserve">lakāra</w:t>
      </w:r>
      <w:r>
        <w:t xml:space="preserve">, unaccented by</w:t>
      </w:r>
      <w:r>
        <w:t xml:space="preserve"> </w:t>
      </w:r>
      <w:r>
        <w:t xml:space="preserve">“</w:t>
      </w:r>
      <w:r>
        <w:t xml:space="preserve">tāsy anudātteṭ…</w:t>
      </w:r>
      <w:r>
        <w:t xml:space="preserve">”</w:t>
      </w:r>
      <w:r>
        <w:t xml:space="preserve"> </w:t>
      </w:r>
      <w:r>
        <w:t xml:space="preserve">(Pā. 6-1-186).</w:t>
      </w:r>
      <w:r>
        <w:t xml:space="preserve"> </w:t>
      </w:r>
      <w:r>
        <w:rPr>
          <w:bCs/>
          <w:b/>
        </w:rPr>
        <w:t xml:space="preserve">ओजसा (</w:t>
      </w:r>
      <w:r>
        <w:rPr>
          <w:iCs/>
          <w:i/>
          <w:bCs/>
          <w:b/>
        </w:rPr>
        <w:t xml:space="preserve">ojasā</w:t>
      </w:r>
      <w:r>
        <w:rPr>
          <w:bCs/>
          <w:b/>
        </w:rPr>
        <w:t xml:space="preserve">)</w:t>
      </w:r>
      <w:r>
        <w:t xml:space="preserve"> </w:t>
      </w:r>
      <w:r>
        <w:t xml:space="preserve">— initial-udātta by</w:t>
      </w:r>
      <w:r>
        <w:t xml:space="preserve"> </w:t>
      </w:r>
      <w:r>
        <w:t xml:space="preserve">“</w:t>
      </w:r>
      <w:r>
        <w:t xml:space="preserve">nab-viṣayasyānisantasya</w:t>
      </w:r>
      <w:r>
        <w:t xml:space="preserve">”</w:t>
      </w:r>
      <w:r>
        <w:t xml:space="preserve"> </w:t>
      </w:r>
      <w:r>
        <w:t xml:space="preserve">(Phiṭ-sū.</w:t>
      </w:r>
      <w:r>
        <w:t xml:space="preserve"> </w:t>
      </w:r>
      <w:r>
        <w:t xml:space="preserve">“</w:t>
      </w:r>
      <w:r>
        <w:t xml:space="preserve">26</w:t>
      </w:r>
      <w:r>
        <w:t xml:space="preserve">”</w:t>
      </w:r>
      <w:r>
        <w:t xml:space="preserve">).</w:t>
      </w:r>
      <w:r>
        <w:t xml:space="preserve"> </w:t>
      </w:r>
      <w:r>
        <w:rPr>
          <w:bCs/>
          <w:b/>
        </w:rPr>
        <w:t xml:space="preserve">स्तोमाः (</w:t>
      </w:r>
      <w:r>
        <w:rPr>
          <w:iCs/>
          <w:i/>
          <w:bCs/>
          <w:b/>
        </w:rPr>
        <w:t xml:space="preserve">stomāḥ</w:t>
      </w:r>
      <w:r>
        <w:rPr>
          <w:bCs/>
          <w:b/>
        </w:rPr>
        <w:t xml:space="preserve">)</w:t>
      </w:r>
      <w:r>
        <w:t xml:space="preserve"> </w:t>
      </w:r>
      <w:r>
        <w:t xml:space="preserve">—</w:t>
      </w:r>
      <w:r>
        <w:t xml:space="preserve"> </w:t>
      </w:r>
      <w:r>
        <w:rPr>
          <w:iCs/>
          <w:i/>
        </w:rPr>
        <w:t xml:space="preserve">man</w:t>
      </w:r>
      <w:r>
        <w:t xml:space="preserve"> </w:t>
      </w:r>
      <w:r>
        <w:t xml:space="preserve">after</w:t>
      </w:r>
      <w:r>
        <w:t xml:space="preserve"> </w:t>
      </w:r>
      <w:r>
        <w:rPr>
          <w:iCs/>
          <w:i/>
        </w:rPr>
        <w:t xml:space="preserve">stu</w:t>
      </w:r>
      <w:r>
        <w:t xml:space="preserve"> </w:t>
      </w:r>
      <w:r>
        <w:t xml:space="preserve">by</w:t>
      </w:r>
      <w:r>
        <w:t xml:space="preserve"> </w:t>
      </w:r>
      <w:r>
        <w:t xml:space="preserve">“</w:t>
      </w:r>
      <w:r>
        <w:t xml:space="preserve">arti-stu-su…</w:t>
      </w:r>
      <w:r>
        <w:t xml:space="preserve">”</w:t>
      </w:r>
      <w:r>
        <w:t xml:space="preserve"> </w:t>
      </w:r>
      <w:r>
        <w:t xml:space="preserve">(Uṇ.</w:t>
      </w:r>
      <w:r>
        <w:t xml:space="preserve"> </w:t>
      </w:r>
      <w:r>
        <w:t xml:space="preserve">“</w:t>
      </w:r>
      <w:r>
        <w:t xml:space="preserve">1-138</w:t>
      </w:r>
      <w:r>
        <w:t xml:space="preserve">”</w:t>
      </w:r>
      <w:r>
        <w:t xml:space="preserve"> </w:t>
      </w:r>
      <w:r>
        <w:t xml:space="preserve">[?]); the</w:t>
      </w:r>
      <w:r>
        <w:t xml:space="preserve"> </w:t>
      </w:r>
      <w:r>
        <w:rPr>
          <w:iCs/>
          <w:i/>
        </w:rPr>
        <w:t xml:space="preserve">nit</w:t>
      </w:r>
      <w:r>
        <w:t xml:space="preserve"> </w:t>
      </w:r>
      <w:r>
        <w:t xml:space="preserve">accent, initial-udātta.</w:t>
      </w:r>
      <w:r>
        <w:t xml:space="preserve"> </w:t>
      </w:r>
      <w:r>
        <w:rPr>
          <w:bCs/>
          <w:b/>
        </w:rPr>
        <w:t xml:space="preserve">अनूषत (</w:t>
      </w:r>
      <w:r>
        <w:rPr>
          <w:iCs/>
          <w:i/>
          <w:bCs/>
          <w:b/>
        </w:rPr>
        <w:t xml:space="preserve">anūṣata</w:t>
      </w:r>
      <w:r>
        <w:rPr>
          <w:bCs/>
          <w:b/>
        </w:rPr>
        <w:t xml:space="preserve">)</w:t>
      </w:r>
      <w:r>
        <w:t xml:space="preserve"> </w:t>
      </w:r>
      <w:r>
        <w:t xml:space="preserve">— root</w:t>
      </w:r>
      <w:r>
        <w:t xml:space="preserve"> </w:t>
      </w:r>
      <w:r>
        <w:rPr>
          <w:iCs/>
          <w:i/>
        </w:rPr>
        <w:t xml:space="preserve">ṇu stutau</w:t>
      </w:r>
      <w:r>
        <w:t xml:space="preserve">;</w:t>
      </w:r>
      <w:r>
        <w:t xml:space="preserve"> </w:t>
      </w:r>
      <w:r>
        <w:rPr>
          <w:iCs/>
          <w:i/>
        </w:rPr>
        <w:t xml:space="preserve">n</w:t>
      </w:r>
      <w:r>
        <w:t xml:space="preserve"> </w:t>
      </w:r>
      <w:r>
        <w:t xml:space="preserve">for</w:t>
      </w:r>
      <w:r>
        <w:t xml:space="preserve"> </w:t>
      </w:r>
      <w:r>
        <w:rPr>
          <w:iCs/>
          <w:i/>
        </w:rPr>
        <w:t xml:space="preserve">ṇ</w:t>
      </w:r>
      <w:r>
        <w:t xml:space="preserve"> </w:t>
      </w:r>
      <w:r>
        <w:t xml:space="preserve">by</w:t>
      </w:r>
      <w:r>
        <w:t xml:space="preserve"> </w:t>
      </w:r>
      <w:r>
        <w:t xml:space="preserve">“</w:t>
      </w:r>
      <w:r>
        <w:t xml:space="preserve">ṇo naḥ</w:t>
      </w:r>
      <w:r>
        <w:t xml:space="preserve">”</w:t>
      </w:r>
      <w:r>
        <w:t xml:space="preserve"> </w:t>
      </w:r>
      <w:r>
        <w:t xml:space="preserve">(Pā. 6-1-65);</w:t>
      </w:r>
      <w:r>
        <w:t xml:space="preserve"> </w:t>
      </w:r>
      <w:r>
        <w:rPr>
          <w:iCs/>
          <w:i/>
        </w:rPr>
        <w:t xml:space="preserve">luṅ</w:t>
      </w:r>
      <w:r>
        <w:t xml:space="preserve">,</w:t>
      </w:r>
      <w:r>
        <w:t xml:space="preserve"> </w:t>
      </w:r>
      <w:r>
        <w:rPr>
          <w:iCs/>
          <w:i/>
        </w:rPr>
        <w:t xml:space="preserve">cli</w:t>
      </w:r>
      <w:r>
        <w:t xml:space="preserve"> </w:t>
      </w:r>
      <w:r>
        <w:t xml:space="preserve">by</w:t>
      </w:r>
      <w:r>
        <w:t xml:space="preserve"> </w:t>
      </w:r>
      <w:r>
        <w:t xml:space="preserve">“</w:t>
      </w:r>
      <w:r>
        <w:t xml:space="preserve">cli luṅi</w:t>
      </w:r>
      <w:r>
        <w:t xml:space="preserve">”</w:t>
      </w:r>
      <w:r>
        <w:t xml:space="preserve"> </w:t>
      </w:r>
      <w:r>
        <w:t xml:space="preserve">(Pā. 3-1-43),</w:t>
      </w:r>
      <w:r>
        <w:t xml:space="preserve"> </w:t>
      </w:r>
      <w:r>
        <w:rPr>
          <w:iCs/>
          <w:i/>
        </w:rPr>
        <w:t xml:space="preserve">sic</w:t>
      </w:r>
      <w:r>
        <w:t xml:space="preserve"> </w:t>
      </w:r>
      <w:r>
        <w:t xml:space="preserve">by</w:t>
      </w:r>
      <w:r>
        <w:t xml:space="preserve"> </w:t>
      </w:r>
      <w:r>
        <w:t xml:space="preserve">“</w:t>
      </w:r>
      <w:r>
        <w:t xml:space="preserve">cleḥ sic</w:t>
      </w:r>
      <w:r>
        <w:t xml:space="preserve">”</w:t>
      </w:r>
      <w:r>
        <w:t xml:space="preserve"> </w:t>
      </w:r>
      <w:r>
        <w:t xml:space="preserve">(3-1-44); the root is</w:t>
      </w:r>
      <w:r>
        <w:t xml:space="preserve"> </w:t>
      </w:r>
      <w:r>
        <w:rPr>
          <w:iCs/>
          <w:i/>
        </w:rPr>
        <w:t xml:space="preserve">parasmaipada</w:t>
      </w:r>
      <w:r>
        <w:t xml:space="preserve">, so the third plural should properly be</w:t>
      </w:r>
      <w:r>
        <w:t xml:space="preserve"> </w:t>
      </w:r>
      <w:r>
        <w:rPr>
          <w:iCs/>
          <w:i/>
        </w:rPr>
        <w:t xml:space="preserve">jhi</w:t>
      </w:r>
      <w:r>
        <w:t xml:space="preserve">, but here by exception the ātmanepada</w:t>
      </w:r>
      <w:r>
        <w:t xml:space="preserve"> </w:t>
      </w:r>
      <w:r>
        <w:rPr>
          <w:iCs/>
          <w:i/>
        </w:rPr>
        <w:t xml:space="preserve">jha</w:t>
      </w:r>
      <w:r>
        <w:t xml:space="preserve"> </w:t>
      </w:r>
      <w:r>
        <w:t xml:space="preserve">comes;</w:t>
      </w:r>
      <w:r>
        <w:t xml:space="preserve"> </w:t>
      </w:r>
      <w:r>
        <w:rPr>
          <w:iCs/>
          <w:i/>
        </w:rPr>
        <w:t xml:space="preserve">at</w:t>
      </w:r>
      <w:r>
        <w:t xml:space="preserve"> </w:t>
      </w:r>
      <w:r>
        <w:t xml:space="preserve">for</w:t>
      </w:r>
      <w:r>
        <w:t xml:space="preserve"> </w:t>
      </w:r>
      <w:r>
        <w:rPr>
          <w:iCs/>
          <w:i/>
        </w:rPr>
        <w:t xml:space="preserve">jh</w:t>
      </w:r>
      <w:r>
        <w:t xml:space="preserve"> </w:t>
      </w:r>
      <w:r>
        <w:t xml:space="preserve">by</w:t>
      </w:r>
      <w:r>
        <w:t xml:space="preserve"> </w:t>
      </w:r>
      <w:r>
        <w:t xml:space="preserve">“</w:t>
      </w:r>
      <w:r>
        <w:t xml:space="preserve">ātmanepadeṣv anataḥ</w:t>
      </w:r>
      <w:r>
        <w:t xml:space="preserve">”</w:t>
      </w:r>
      <w:r>
        <w:t xml:space="preserve"> </w:t>
      </w:r>
      <w:r>
        <w:t xml:space="preserve">(Pā. 7-1-5):</w:t>
      </w:r>
      <w:r>
        <w:t xml:space="preserve"> </w:t>
      </w:r>
      <w:r>
        <w:rPr>
          <w:iCs/>
          <w:i/>
        </w:rPr>
        <w:t xml:space="preserve">nu</w:t>
      </w:r>
      <w:r>
        <w:t xml:space="preserve"> </w:t>
      </w:r>
      <w:r>
        <w:t xml:space="preserve">+</w:t>
      </w:r>
      <w:r>
        <w:t xml:space="preserve"> </w:t>
      </w:r>
      <w:r>
        <w:rPr>
          <w:iCs/>
          <w:i/>
        </w:rPr>
        <w:t xml:space="preserve">s</w:t>
      </w:r>
      <w:r>
        <w:t xml:space="preserve"> </w:t>
      </w:r>
      <w:r>
        <w:t xml:space="preserve">+</w:t>
      </w:r>
      <w:r>
        <w:t xml:space="preserve"> </w:t>
      </w:r>
      <w:r>
        <w:rPr>
          <w:iCs/>
          <w:i/>
        </w:rPr>
        <w:t xml:space="preserve">ata</w:t>
      </w:r>
      <w:r>
        <w:t xml:space="preserve">; the root is in the</w:t>
      </w:r>
      <w:r>
        <w:t xml:space="preserve"> </w:t>
      </w:r>
      <w:r>
        <w:rPr>
          <w:iCs/>
          <w:i/>
        </w:rPr>
        <w:t xml:space="preserve">kuṭādi</w:t>
      </w:r>
      <w:r>
        <w:t xml:space="preserve"> </w:t>
      </w:r>
      <w:r>
        <w:t xml:space="preserve">list, so by</w:t>
      </w:r>
      <w:r>
        <w:t xml:space="preserve"> </w:t>
      </w:r>
      <w:r>
        <w:t xml:space="preserve">“</w:t>
      </w:r>
      <w:r>
        <w:t xml:space="preserve">gāṅ-kuṭādibhyo ’ñṇin ṅit</w:t>
      </w:r>
      <w:r>
        <w:t xml:space="preserve">”</w:t>
      </w:r>
      <w:r>
        <w:t xml:space="preserve"> </w:t>
      </w:r>
      <w:r>
        <w:t xml:space="preserve">(Pā. 1-2-1)</w:t>
      </w:r>
      <w:r>
        <w:t xml:space="preserve"> </w:t>
      </w:r>
      <w:r>
        <w:rPr>
          <w:iCs/>
          <w:i/>
        </w:rPr>
        <w:t xml:space="preserve">sic</w:t>
      </w:r>
      <w:r>
        <w:t xml:space="preserve"> </w:t>
      </w:r>
      <w:r>
        <w:t xml:space="preserve">is</w:t>
      </w:r>
      <w:r>
        <w:t xml:space="preserve"> </w:t>
      </w:r>
      <w:r>
        <w:rPr>
          <w:iCs/>
          <w:i/>
        </w:rPr>
        <w:t xml:space="preserve">ṅit</w:t>
      </w:r>
      <w:r>
        <w:t xml:space="preserve"> </w:t>
      </w:r>
      <w:r>
        <w:t xml:space="preserve">and there is no</w:t>
      </w:r>
      <w:r>
        <w:t xml:space="preserve"> </w:t>
      </w:r>
      <w:r>
        <w:rPr>
          <w:iCs/>
          <w:i/>
        </w:rPr>
        <w:t xml:space="preserve">guṇa</w:t>
      </w:r>
      <w:r>
        <w:t xml:space="preserve">; by Vedic procedure no</w:t>
      </w:r>
      <w:r>
        <w:t xml:space="preserve"> </w:t>
      </w:r>
      <w:r>
        <w:rPr>
          <w:iCs/>
          <w:i/>
        </w:rPr>
        <w:t xml:space="preserve">iṭ</w:t>
      </w:r>
      <w:r>
        <w:t xml:space="preserve">; the lengthening of the root vowel is also Vedic; augment</w:t>
      </w:r>
      <w:r>
        <w:t xml:space="preserve"> </w:t>
      </w:r>
      <w:r>
        <w:rPr>
          <w:iCs/>
          <w:i/>
        </w:rPr>
        <w:t xml:space="preserve">aṭ</w:t>
      </w:r>
      <w:r>
        <w:t xml:space="preserve">:</w:t>
      </w:r>
      <w:r>
        <w:t xml:space="preserve"> </w:t>
      </w:r>
      <w:r>
        <w:rPr>
          <w:iCs/>
          <w:i/>
        </w:rPr>
        <w:t xml:space="preserve">anūṣata</w:t>
      </w:r>
      <w:r>
        <w:t xml:space="preserve">.</w:t>
      </w:r>
      <w:r>
        <w:t xml:space="preserve"> </w:t>
      </w:r>
      <w:r>
        <w:rPr>
          <w:bCs/>
          <w:b/>
        </w:rPr>
        <w:t xml:space="preserve">सहस्रम् (</w:t>
      </w:r>
      <w:r>
        <w:rPr>
          <w:iCs/>
          <w:i/>
          <w:bCs/>
          <w:b/>
        </w:rPr>
        <w:t xml:space="preserve">sahasram</w:t>
      </w:r>
      <w:r>
        <w:rPr>
          <w:bCs/>
          <w:b/>
        </w:rPr>
        <w:t xml:space="preserve">)</w:t>
      </w:r>
      <w:r>
        <w:t xml:space="preserve"> </w:t>
      </w:r>
      <w:r>
        <w:t xml:space="preserve">— by</w:t>
      </w:r>
      <w:r>
        <w:t xml:space="preserve"> </w:t>
      </w:r>
      <w:r>
        <w:t xml:space="preserve">“</w:t>
      </w:r>
      <w:r>
        <w:t xml:space="preserve">kardamādīnāṃ ca</w:t>
      </w:r>
      <w:r>
        <w:t xml:space="preserve">”</w:t>
      </w:r>
      <w:r>
        <w:t xml:space="preserve"> </w:t>
      </w:r>
      <w:r>
        <w:t xml:space="preserve">(Phiṭ-sū.</w:t>
      </w:r>
      <w:r>
        <w:t xml:space="preserve"> </w:t>
      </w:r>
      <w:r>
        <w:t xml:space="preserve">“</w:t>
      </w:r>
      <w:r>
        <w:t xml:space="preserve">59</w:t>
      </w:r>
      <w:r>
        <w:t xml:space="preserve">”</w:t>
      </w:r>
      <w:r>
        <w:t xml:space="preserve"> </w:t>
      </w:r>
      <w:r>
        <w:t xml:space="preserve">[?]) the first or the second syllable is udātta: here the second.</w:t>
      </w:r>
      <w:r>
        <w:t xml:space="preserve"> </w:t>
      </w:r>
      <w:r>
        <w:rPr>
          <w:bCs/>
          <w:b/>
        </w:rPr>
        <w:t xml:space="preserve">रातयः (</w:t>
      </w:r>
      <w:r>
        <w:rPr>
          <w:iCs/>
          <w:i/>
          <w:bCs/>
          <w:b/>
        </w:rPr>
        <w:t xml:space="preserve">rātayaḥ</w:t>
      </w:r>
      <w:r>
        <w:rPr>
          <w:bCs/>
          <w:b/>
        </w:rPr>
        <w:t xml:space="preserve">)</w:t>
      </w:r>
      <w:r>
        <w:t xml:space="preserve"> </w:t>
      </w:r>
      <w:r>
        <w:t xml:space="preserve">— after</w:t>
      </w:r>
      <w:r>
        <w:t xml:space="preserve"> </w:t>
      </w:r>
      <w:r>
        <w:rPr>
          <w:iCs/>
          <w:i/>
        </w:rPr>
        <w:t xml:space="preserve">rā</w:t>
      </w:r>
      <w:r>
        <w:t xml:space="preserve">, the udātta</w:t>
      </w:r>
      <w:r>
        <w:t xml:space="preserve"> </w:t>
      </w:r>
      <w:r>
        <w:rPr>
          <w:iCs/>
          <w:i/>
        </w:rPr>
        <w:t xml:space="preserve">ktin</w:t>
      </w:r>
      <w:r>
        <w:t xml:space="preserve"> </w:t>
      </w:r>
      <w:r>
        <w:t xml:space="preserve">by</w:t>
      </w:r>
      <w:r>
        <w:t xml:space="preserve"> </w:t>
      </w:r>
      <w:r>
        <w:t xml:space="preserve">“</w:t>
      </w:r>
      <w:r>
        <w:t xml:space="preserve">mantre vṛṣeṣa-paca-mana-vida-bhū-vīrā udāttaḥ</w:t>
      </w:r>
      <w:r>
        <w:t xml:space="preserve">”</w:t>
      </w:r>
      <w:r>
        <w:t xml:space="preserve"> </w:t>
      </w:r>
      <w:r>
        <w:t xml:space="preserve">(Pā. 3-3-96).</w:t>
      </w:r>
      <w:r>
        <w:t xml:space="preserve"> </w:t>
      </w:r>
      <w:r>
        <w:rPr>
          <w:bCs/>
          <w:b/>
        </w:rPr>
        <w:t xml:space="preserve">उत (</w:t>
      </w:r>
      <w:r>
        <w:rPr>
          <w:iCs/>
          <w:i/>
          <w:bCs/>
          <w:b/>
        </w:rPr>
        <w:t xml:space="preserve">uta</w:t>
      </w:r>
      <w:r>
        <w:rPr>
          <w:bCs/>
          <w:b/>
        </w:rPr>
        <w:t xml:space="preserve">)</w:t>
      </w:r>
      <w:r>
        <w:t xml:space="preserve"> </w:t>
      </w:r>
      <w:r>
        <w:t xml:space="preserve">— the stem accent.</w:t>
      </w:r>
      <w:r>
        <w:t xml:space="preserve"> </w:t>
      </w:r>
      <w:r>
        <w:rPr>
          <w:bCs/>
          <w:b/>
        </w:rPr>
        <w:t xml:space="preserve">वा (</w:t>
      </w:r>
      <w:r>
        <w:rPr>
          <w:iCs/>
          <w:i/>
          <w:bCs/>
          <w:b/>
        </w:rPr>
        <w:t xml:space="preserve">vā</w:t>
      </w:r>
      <w:r>
        <w:rPr>
          <w:bCs/>
          <w:b/>
        </w:rPr>
        <w:t xml:space="preserve">)</w:t>
      </w:r>
      <w:r>
        <w:t xml:space="preserve"> </w:t>
      </w:r>
      <w:r>
        <w:t xml:space="preserve">— unaccented by</w:t>
      </w:r>
      <w:r>
        <w:t xml:space="preserve"> </w:t>
      </w:r>
      <w:r>
        <w:t xml:space="preserve">“</w:t>
      </w:r>
      <w:r>
        <w:t xml:space="preserve">cādayo ’nudāttāḥ</w:t>
      </w:r>
      <w:r>
        <w:t xml:space="preserve">”</w:t>
      </w:r>
      <w:r>
        <w:t xml:space="preserve"> </w:t>
      </w:r>
      <w:r>
        <w:t xml:space="preserve">(Phiṭ-sū. 84).</w:t>
      </w:r>
      <w:r>
        <w:t xml:space="preserve"> </w:t>
      </w:r>
      <w:r>
        <w:rPr>
          <w:bCs/>
          <w:b/>
        </w:rPr>
        <w:t xml:space="preserve">सन्ति (</w:t>
      </w:r>
      <w:r>
        <w:rPr>
          <w:iCs/>
          <w:i/>
          <w:bCs/>
          <w:b/>
        </w:rPr>
        <w:t xml:space="preserve">santi</w:t>
      </w:r>
      <w:r>
        <w:rPr>
          <w:bCs/>
          <w:b/>
        </w:rPr>
        <w:t xml:space="preserve">)</w:t>
      </w:r>
      <w:r>
        <w:t xml:space="preserve"> </w:t>
      </w:r>
      <w:r>
        <w:t xml:space="preserve">— root</w:t>
      </w:r>
      <w:r>
        <w:t xml:space="preserve"> </w:t>
      </w:r>
      <w:r>
        <w:rPr>
          <w:iCs/>
          <w:i/>
        </w:rPr>
        <w:t xml:space="preserve">as bhuvi</w:t>
      </w:r>
      <w:r>
        <w:t xml:space="preserve">;</w:t>
      </w:r>
      <w:r>
        <w:t xml:space="preserve"> </w:t>
      </w:r>
      <w:r>
        <w:rPr>
          <w:iCs/>
          <w:i/>
        </w:rPr>
        <w:t xml:space="preserve">laṭ</w:t>
      </w:r>
      <w:r>
        <w:t xml:space="preserve">,</w:t>
      </w:r>
      <w:r>
        <w:t xml:space="preserve"> </w:t>
      </w:r>
      <w:r>
        <w:rPr>
          <w:iCs/>
          <w:i/>
        </w:rPr>
        <w:t xml:space="preserve">jhi</w:t>
      </w:r>
      <w:r>
        <w:t xml:space="preserve">,</w:t>
      </w:r>
      <w:r>
        <w:t xml:space="preserve"> </w:t>
      </w:r>
      <w:r>
        <w:rPr>
          <w:iCs/>
          <w:i/>
        </w:rPr>
        <w:t xml:space="preserve">ant</w:t>
      </w:r>
      <w:r>
        <w:t xml:space="preserve"> </w:t>
      </w:r>
      <w:r>
        <w:t xml:space="preserve">for</w:t>
      </w:r>
      <w:r>
        <w:t xml:space="preserve"> </w:t>
      </w:r>
      <w:r>
        <w:rPr>
          <w:iCs/>
          <w:i/>
        </w:rPr>
        <w:t xml:space="preserve">jh</w:t>
      </w:r>
      <w:r>
        <w:t xml:space="preserve">;</w:t>
      </w:r>
      <w:r>
        <w:t xml:space="preserve"> </w:t>
      </w:r>
      <w:r>
        <w:rPr>
          <w:iCs/>
          <w:i/>
        </w:rPr>
        <w:t xml:space="preserve">śap</w:t>
      </w:r>
      <w:r>
        <w:t xml:space="preserve"> </w:t>
      </w:r>
      <w:r>
        <w:t xml:space="preserve">dropped;</w:t>
      </w:r>
      <w:r>
        <w:t xml:space="preserve"> </w:t>
      </w:r>
      <w:r>
        <w:rPr>
          <w:iCs/>
          <w:i/>
        </w:rPr>
        <w:t xml:space="preserve">a</w:t>
      </w:r>
      <w:r>
        <w:t xml:space="preserve"> </w:t>
      </w:r>
      <w:r>
        <w:t xml:space="preserve">of the root dropped by</w:t>
      </w:r>
      <w:r>
        <w:t xml:space="preserve"> </w:t>
      </w:r>
      <w:r>
        <w:t xml:space="preserve">“</w:t>
      </w:r>
      <w:r>
        <w:t xml:space="preserve">śnasor allopaḥ</w:t>
      </w:r>
      <w:r>
        <w:t xml:space="preserve">”</w:t>
      </w:r>
      <w:r>
        <w:t xml:space="preserve"> </w:t>
      </w:r>
      <w:r>
        <w:t xml:space="preserve">(printed</w:t>
      </w:r>
      <w:r>
        <w:t xml:space="preserve"> </w:t>
      </w:r>
      <w:r>
        <w:t xml:space="preserve">“</w:t>
      </w:r>
      <w:r>
        <w:t xml:space="preserve">vā. sū.</w:t>
      </w:r>
      <w:r>
        <w:t xml:space="preserve">”</w:t>
      </w:r>
      <w:r>
        <w:t xml:space="preserve"> </w:t>
      </w:r>
      <w:r>
        <w:t xml:space="preserve">[sic] 6-4-111):</w:t>
      </w:r>
      <w:r>
        <w:t xml:space="preserve"> </w:t>
      </w:r>
      <w:r>
        <w:rPr>
          <w:iCs/>
          <w:i/>
        </w:rPr>
        <w:t xml:space="preserve">santi</w:t>
      </w:r>
      <w:r>
        <w:t xml:space="preserve">, with the accent of the</w:t>
      </w:r>
      <w:r>
        <w:t xml:space="preserve"> </w:t>
      </w:r>
      <w:r>
        <w:rPr>
          <w:iCs/>
          <w:i/>
        </w:rPr>
        <w:t xml:space="preserve">tiṅ</w:t>
      </w:r>
      <w:r>
        <w:t xml:space="preserve"> </w:t>
      </w:r>
      <w:r>
        <w:t xml:space="preserve">suffix. The bar</w:t>
      </w:r>
      <w:r>
        <w:t xml:space="preserve"> </w:t>
      </w:r>
      <w:r>
        <w:t xml:space="preserve">“</w:t>
      </w:r>
      <w:r>
        <w:t xml:space="preserve">yad-vṛttān nityam</w:t>
      </w:r>
      <w:r>
        <w:t xml:space="preserve">”</w:t>
      </w:r>
      <w:r>
        <w:t xml:space="preserve"> </w:t>
      </w:r>
      <w:r>
        <w:t xml:space="preserve">(Pā. 8-1-66), as was explained earlier, applies even when words stand between, because</w:t>
      </w:r>
      <w:r>
        <w:t xml:space="preserve"> </w:t>
      </w:r>
      <w:r>
        <w:rPr>
          <w:iCs/>
          <w:i/>
        </w:rPr>
        <w:t xml:space="preserve">pūjita</w:t>
      </w:r>
      <w:r>
        <w:t xml:space="preserve"> </w:t>
      </w:r>
      <w:r>
        <w:t xml:space="preserve">is taken again in the sūtra</w:t>
      </w:r>
      <w:r>
        <w:t xml:space="preserve"> </w:t>
      </w:r>
      <w:r>
        <w:t xml:space="preserve">“</w:t>
      </w:r>
      <w:r>
        <w:t xml:space="preserve">pūjanāt pūjitam…</w:t>
      </w:r>
      <w:r>
        <w:t xml:space="preserve">”</w:t>
      </w:r>
      <w:r>
        <w:t xml:space="preserve">; so</w:t>
      </w:r>
      <w:r>
        <w:t xml:space="preserve"> </w:t>
      </w:r>
      <w:r>
        <w:t xml:space="preserve">“</w:t>
      </w:r>
      <w:r>
        <w:t xml:space="preserve">tiṅṅ atiṅaḥ</w:t>
      </w:r>
      <w:r>
        <w:t xml:space="preserve">”</w:t>
      </w:r>
      <w:r>
        <w:t xml:space="preserve"> </w:t>
      </w:r>
      <w:r>
        <w:t xml:space="preserve">does not make it unaccented.</w:t>
      </w:r>
    </w:p>
    <w:bookmarkEnd w:id="497"/>
    <w:bookmarkStart w:id="498" w:name="X254d86b143259fbd0957e74c8284727a3880f70"/>
    <w:p>
      <w:pPr>
        <w:pStyle w:val="Heading3"/>
      </w:pPr>
      <w:r>
        <w:t xml:space="preserve">Page 482 — Rik 8 grammar closes; close of Sūkta 11</w:t>
      </w:r>
    </w:p>
    <w:p>
      <w:pPr>
        <w:pStyle w:val="FirstParagraph"/>
      </w:pPr>
      <w:r>
        <w:rPr>
          <w:bCs/>
          <w:b/>
        </w:rPr>
        <w:t xml:space="preserve">भूयसीः (</w:t>
      </w:r>
      <w:r>
        <w:rPr>
          <w:iCs/>
          <w:i/>
          <w:bCs/>
          <w:b/>
        </w:rPr>
        <w:t xml:space="preserve">bhūyasīḥ</w:t>
      </w:r>
      <w:r>
        <w:rPr>
          <w:bCs/>
          <w:b/>
        </w:rPr>
        <w:t xml:space="preserve">)</w:t>
      </w:r>
      <w:r>
        <w:t xml:space="preserve"> </w:t>
      </w:r>
      <w:r>
        <w:t xml:space="preserve">—</w:t>
      </w:r>
      <w:r>
        <w:t xml:space="preserve"> </w:t>
      </w:r>
      <w:r>
        <w:t xml:space="preserve">“</w:t>
      </w:r>
      <w:r>
        <w:t xml:space="preserve">sahasrād api atiśayena bahvyaḥ.</w:t>
      </w:r>
      <w:r>
        <w:t xml:space="preserve">”</w:t>
      </w:r>
      <w:r>
        <w:t xml:space="preserve"> </w:t>
      </w:r>
      <w:r>
        <w:t xml:space="preserve">“</w:t>
      </w:r>
      <w:r>
        <w:t xml:space="preserve">dvivacana-vibhajyopapade tarab-īyasunau</w:t>
      </w:r>
      <w:r>
        <w:t xml:space="preserve">”</w:t>
      </w:r>
      <w:r>
        <w:t xml:space="preserve"> </w:t>
      </w:r>
      <w:r>
        <w:t xml:space="preserve">(Pā. 5-3-57): when a word meaning two or a word for the thing to be divided is the</w:t>
      </w:r>
      <w:r>
        <w:t xml:space="preserve"> </w:t>
      </w:r>
      <w:r>
        <w:rPr>
          <w:iCs/>
          <w:i/>
        </w:rPr>
        <w:t xml:space="preserve">upapada</w:t>
      </w:r>
      <w:r>
        <w:t xml:space="preserve">,</w:t>
      </w:r>
      <w:r>
        <w:t xml:space="preserve"> </w:t>
      </w:r>
      <w:r>
        <w:rPr>
          <w:iCs/>
          <w:i/>
        </w:rPr>
        <w:t xml:space="preserve">tarap</w:t>
      </w:r>
      <w:r>
        <w:t xml:space="preserve"> </w:t>
      </w:r>
      <w:r>
        <w:t xml:space="preserve">and</w:t>
      </w:r>
      <w:r>
        <w:t xml:space="preserve"> </w:t>
      </w:r>
      <w:r>
        <w:rPr>
          <w:iCs/>
          <w:i/>
        </w:rPr>
        <w:t xml:space="preserve">īyasun</w:t>
      </w:r>
      <w:r>
        <w:t xml:space="preserve"> </w:t>
      </w:r>
      <w:r>
        <w:t xml:space="preserve">come in their own sense after a</w:t>
      </w:r>
      <w:r>
        <w:t xml:space="preserve"> </w:t>
      </w:r>
      <w:r>
        <w:rPr>
          <w:iCs/>
          <w:i/>
        </w:rPr>
        <w:t xml:space="preserve">subanta</w:t>
      </w:r>
      <w:r>
        <w:t xml:space="preserve"> </w:t>
      </w:r>
      <w:r>
        <w:t xml:space="preserve">or</w:t>
      </w:r>
      <w:r>
        <w:t xml:space="preserve"> </w:t>
      </w:r>
      <w:r>
        <w:rPr>
          <w:iCs/>
          <w:i/>
        </w:rPr>
        <w:t xml:space="preserve">tiṅanta</w:t>
      </w:r>
      <w:r>
        <w:t xml:space="preserve"> </w:t>
      </w:r>
      <w:r>
        <w:t xml:space="preserve">that expresses superiority of one over the other and denotes the property that makes the division. By</w:t>
      </w:r>
      <w:r>
        <w:t xml:space="preserve"> </w:t>
      </w:r>
      <w:r>
        <w:rPr>
          <w:iCs/>
          <w:i/>
        </w:rPr>
        <w:t xml:space="preserve">upapada</w:t>
      </w:r>
      <w:r>
        <w:t xml:space="preserve"> </w:t>
      </w:r>
      <w:r>
        <w:t xml:space="preserve">is meant a word spoken nearby;</w:t>
      </w:r>
      <w:r>
        <w:t xml:space="preserve"> </w:t>
      </w:r>
      <w:r>
        <w:t xml:space="preserve">“</w:t>
      </w:r>
      <w:r>
        <w:t xml:space="preserve">tatropapadaṃ saptamīstham</w:t>
      </w:r>
      <w:r>
        <w:t xml:space="preserve">”</w:t>
      </w:r>
      <w:r>
        <w:t xml:space="preserve"> </w:t>
      </w:r>
      <w:r>
        <w:t xml:space="preserve">(Pā. 3-1-92) is not meant, since that applies only within the section on roots. The word expressing duality or the thing to be divided need be used only in the analytical phrase; in the</w:t>
      </w:r>
      <w:r>
        <w:t xml:space="preserve"> </w:t>
      </w:r>
      <w:r>
        <w:rPr>
          <w:iCs/>
          <w:i/>
        </w:rPr>
        <w:t xml:space="preserve">taddhita</w:t>
      </w:r>
      <w:r>
        <w:t xml:space="preserve"> </w:t>
      </w:r>
      <w:r>
        <w:t xml:space="preserve">formation its meaning is included, so it need not be used. The sense of the second half of the mantra is that Indra has wealth and grain to the number of a thousand, or wealth exceeding a thousand. With</w:t>
      </w:r>
      <w:r>
        <w:t xml:space="preserve"> </w:t>
      </w:r>
      <w:r>
        <w:rPr>
          <w:iCs/>
          <w:i/>
        </w:rPr>
        <w:t xml:space="preserve">sahasra</w:t>
      </w:r>
      <w:r>
        <w:t xml:space="preserve">, the thing to be divided, as the</w:t>
      </w:r>
      <w:r>
        <w:t xml:space="preserve"> </w:t>
      </w:r>
      <w:r>
        <w:rPr>
          <w:iCs/>
          <w:i/>
        </w:rPr>
        <w:t xml:space="preserve">upapada</w:t>
      </w:r>
      <w:r>
        <w:t xml:space="preserve">, this sūtra gives</w:t>
      </w:r>
      <w:r>
        <w:t xml:space="preserve"> </w:t>
      </w:r>
      <w:r>
        <w:rPr>
          <w:iCs/>
          <w:i/>
        </w:rPr>
        <w:t xml:space="preserve">īyasun</w:t>
      </w:r>
      <w:r>
        <w:t xml:space="preserve"> </w:t>
      </w:r>
      <w:r>
        <w:t xml:space="preserve">after</w:t>
      </w:r>
      <w:r>
        <w:t xml:space="preserve"> </w:t>
      </w:r>
      <w:r>
        <w:rPr>
          <w:iCs/>
          <w:i/>
        </w:rPr>
        <w:t xml:space="preserve">bahu</w:t>
      </w:r>
      <w:r>
        <w:t xml:space="preserve">:</w:t>
      </w:r>
      <w:r>
        <w:t xml:space="preserve"> </w:t>
      </w:r>
      <w:r>
        <w:rPr>
          <w:iCs/>
          <w:i/>
        </w:rPr>
        <w:t xml:space="preserve">bahu</w:t>
      </w:r>
      <w:r>
        <w:t xml:space="preserve"> </w:t>
      </w:r>
      <w:r>
        <w:t xml:space="preserve">+</w:t>
      </w:r>
      <w:r>
        <w:t xml:space="preserve"> </w:t>
      </w:r>
      <w:r>
        <w:rPr>
          <w:iCs/>
          <w:i/>
        </w:rPr>
        <w:t xml:space="preserve">īyas</w:t>
      </w:r>
      <w:r>
        <w:t xml:space="preserve">;</w:t>
      </w:r>
      <w:r>
        <w:t xml:space="preserve"> </w:t>
      </w:r>
      <w:r>
        <w:t xml:space="preserve">“</w:t>
      </w:r>
      <w:r>
        <w:t xml:space="preserve">bahor lopo bhū ca bahoḥ</w:t>
      </w:r>
      <w:r>
        <w:t xml:space="preserve">”</w:t>
      </w:r>
      <w:r>
        <w:t xml:space="preserve"> </w:t>
      </w:r>
      <w:r>
        <w:t xml:space="preserve">(Pā. 6-4-158): after</w:t>
      </w:r>
      <w:r>
        <w:t xml:space="preserve"> </w:t>
      </w:r>
      <w:r>
        <w:rPr>
          <w:iCs/>
          <w:i/>
        </w:rPr>
        <w:t xml:space="preserve">bahu</w:t>
      </w:r>
      <w:r>
        <w:t xml:space="preserve">, the suffixes</w:t>
      </w:r>
      <w:r>
        <w:t xml:space="preserve"> </w:t>
      </w:r>
      <w:r>
        <w:rPr>
          <w:iCs/>
          <w:i/>
        </w:rPr>
        <w:t xml:space="preserve">iman</w:t>
      </w:r>
      <w:r>
        <w:t xml:space="preserve">,</w:t>
      </w:r>
      <w:r>
        <w:t xml:space="preserve"> </w:t>
      </w:r>
      <w:r>
        <w:rPr>
          <w:iCs/>
          <w:i/>
        </w:rPr>
        <w:t xml:space="preserve">iṣṭhan</w:t>
      </w:r>
      <w:r>
        <w:t xml:space="preserve">,</w:t>
      </w:r>
      <w:r>
        <w:t xml:space="preserve"> </w:t>
      </w:r>
      <w:r>
        <w:rPr>
          <w:iCs/>
          <w:i/>
        </w:rPr>
        <w:t xml:space="preserve">īyasun</w:t>
      </w:r>
      <w:r>
        <w:t xml:space="preserve"> </w:t>
      </w:r>
      <w:r>
        <w:t xml:space="preserve">lose [their initial] and</w:t>
      </w:r>
      <w:r>
        <w:t xml:space="preserve"> </w:t>
      </w:r>
      <w:r>
        <w:rPr>
          <w:iCs/>
          <w:i/>
        </w:rPr>
        <w:t xml:space="preserve">bahu</w:t>
      </w:r>
      <w:r>
        <w:t xml:space="preserve"> </w:t>
      </w:r>
      <w:r>
        <w:t xml:space="preserve">is replaced by</w:t>
      </w:r>
      <w:r>
        <w:t xml:space="preserve"> </w:t>
      </w:r>
      <w:r>
        <w:rPr>
          <w:iCs/>
          <w:i/>
        </w:rPr>
        <w:t xml:space="preserve">bhū</w:t>
      </w:r>
      <w:r>
        <w:t xml:space="preserve">; by</w:t>
      </w:r>
      <w:r>
        <w:t xml:space="preserve"> </w:t>
      </w:r>
      <w:r>
        <w:t xml:space="preserve">“</w:t>
      </w:r>
      <w:r>
        <w:t xml:space="preserve">ādeḥ parasya</w:t>
      </w:r>
      <w:r>
        <w:t xml:space="preserve">”</w:t>
      </w:r>
      <w:r>
        <w:t xml:space="preserve"> </w:t>
      </w:r>
      <w:r>
        <w:t xml:space="preserve">(Pā. 1-1-54) the loss falls on the first letter of what follows, so the</w:t>
      </w:r>
      <w:r>
        <w:t xml:space="preserve"> </w:t>
      </w:r>
      <w:r>
        <w:rPr>
          <w:iCs/>
          <w:i/>
        </w:rPr>
        <w:t xml:space="preserve">ī</w:t>
      </w:r>
      <w:r>
        <w:t xml:space="preserve"> </w:t>
      </w:r>
      <w:r>
        <w:t xml:space="preserve">is dropped, and by the same sūtra</w:t>
      </w:r>
      <w:r>
        <w:t xml:space="preserve"> </w:t>
      </w:r>
      <w:r>
        <w:rPr>
          <w:iCs/>
          <w:i/>
        </w:rPr>
        <w:t xml:space="preserve">bhū</w:t>
      </w:r>
      <w:r>
        <w:t xml:space="preserve"> </w:t>
      </w:r>
      <w:r>
        <w:t xml:space="preserve">replaces the stem:</w:t>
      </w:r>
      <w:r>
        <w:t xml:space="preserve"> </w:t>
      </w:r>
      <w:r>
        <w:rPr>
          <w:iCs/>
          <w:i/>
        </w:rPr>
        <w:t xml:space="preserve">bhūyas</w:t>
      </w:r>
      <w:r>
        <w:t xml:space="preserve">;</w:t>
      </w:r>
      <w:r>
        <w:t xml:space="preserve"> </w:t>
      </w:r>
      <w:r>
        <w:rPr>
          <w:iCs/>
          <w:i/>
        </w:rPr>
        <w:t xml:space="preserve">īyasun</w:t>
      </w:r>
      <w:r>
        <w:t xml:space="preserve"> </w:t>
      </w:r>
      <w:r>
        <w:t xml:space="preserve">is</w:t>
      </w:r>
      <w:r>
        <w:t xml:space="preserve"> </w:t>
      </w:r>
      <w:r>
        <w:rPr>
          <w:iCs/>
          <w:i/>
        </w:rPr>
        <w:t xml:space="preserve">nit</w:t>
      </w:r>
      <w:r>
        <w:t xml:space="preserve">, so</w:t>
      </w:r>
      <w:r>
        <w:t xml:space="preserve"> </w:t>
      </w:r>
      <w:r>
        <w:rPr>
          <w:iCs/>
          <w:i/>
        </w:rPr>
        <w:t xml:space="preserve">bhūyas</w:t>
      </w:r>
      <w:r>
        <w:t xml:space="preserve"> </w:t>
      </w:r>
      <w:r>
        <w:t xml:space="preserve">is initial-udātta by</w:t>
      </w:r>
      <w:r>
        <w:t xml:space="preserve"> </w:t>
      </w:r>
      <w:r>
        <w:t xml:space="preserve">“</w:t>
      </w:r>
      <w:r>
        <w:t xml:space="preserve">ñnity ādir nityam</w:t>
      </w:r>
      <w:r>
        <w:t xml:space="preserve">”</w:t>
      </w:r>
      <w:r>
        <w:t xml:space="preserve"> </w:t>
      </w:r>
      <w:r>
        <w:t xml:space="preserve">(Pā. 6-1-197);</w:t>
      </w:r>
      <w:r>
        <w:t xml:space="preserve"> </w:t>
      </w:r>
      <w:r>
        <w:rPr>
          <w:iCs/>
          <w:i/>
        </w:rPr>
        <w:t xml:space="preserve">bhūyas</w:t>
      </w:r>
      <w:r>
        <w:t xml:space="preserve"> </w:t>
      </w:r>
      <w:r>
        <w:t xml:space="preserve">is an</w:t>
      </w:r>
      <w:r>
        <w:t xml:space="preserve"> </w:t>
      </w:r>
      <w:r>
        <w:rPr>
          <w:iCs/>
          <w:i/>
        </w:rPr>
        <w:t xml:space="preserve">ugit</w:t>
      </w:r>
      <w:r>
        <w:t xml:space="preserve"> </w:t>
      </w:r>
      <w:r>
        <w:t xml:space="preserve">stem, so</w:t>
      </w:r>
      <w:r>
        <w:t xml:space="preserve"> </w:t>
      </w:r>
      <w:r>
        <w:t xml:space="preserve">“</w:t>
      </w:r>
      <w:r>
        <w:t xml:space="preserve">ugitaś ca</w:t>
      </w:r>
      <w:r>
        <w:t xml:space="preserve">”</w:t>
      </w:r>
      <w:r>
        <w:t xml:space="preserve"> </w:t>
      </w:r>
      <w:r>
        <w:t xml:space="preserve">(Pā. 4-1-6) gives</w:t>
      </w:r>
      <w:r>
        <w:t xml:space="preserve"> </w:t>
      </w:r>
      <w:r>
        <w:rPr>
          <w:iCs/>
          <w:i/>
        </w:rPr>
        <w:t xml:space="preserve">ṅīp</w:t>
      </w:r>
      <w:r>
        <w:t xml:space="preserve"> </w:t>
      </w:r>
      <w:r>
        <w:t xml:space="preserve">in the feminine; in</w:t>
      </w:r>
      <w:r>
        <w:t xml:space="preserve"> </w:t>
      </w:r>
      <w:r>
        <w:rPr>
          <w:iCs/>
          <w:i/>
        </w:rPr>
        <w:t xml:space="preserve">bhūyas</w:t>
      </w:r>
      <w:r>
        <w:t xml:space="preserve"> </w:t>
      </w:r>
      <w:r>
        <w:t xml:space="preserve">+</w:t>
      </w:r>
      <w:r>
        <w:t xml:space="preserve"> </w:t>
      </w:r>
      <w:r>
        <w:rPr>
          <w:iCs/>
          <w:i/>
        </w:rPr>
        <w:t xml:space="preserve">ṅīp</w:t>
      </w:r>
      <w:r>
        <w:t xml:space="preserve">, the</w:t>
      </w:r>
      <w:r>
        <w:t xml:space="preserve"> </w:t>
      </w:r>
      <w:r>
        <w:rPr>
          <w:iCs/>
          <w:i/>
        </w:rPr>
        <w:t xml:space="preserve">ṅ</w:t>
      </w:r>
      <w:r>
        <w:t xml:space="preserve"> </w:t>
      </w:r>
      <w:r>
        <w:t xml:space="preserve">is</w:t>
      </w:r>
      <w:r>
        <w:t xml:space="preserve"> </w:t>
      </w:r>
      <w:r>
        <w:rPr>
          <w:iCs/>
          <w:i/>
        </w:rPr>
        <w:t xml:space="preserve">it</w:t>
      </w:r>
      <w:r>
        <w:t xml:space="preserve"> </w:t>
      </w:r>
      <w:r>
        <w:t xml:space="preserve">by</w:t>
      </w:r>
      <w:r>
        <w:t xml:space="preserve"> </w:t>
      </w:r>
      <w:r>
        <w:t xml:space="preserve">“</w:t>
      </w:r>
      <w:r>
        <w:t xml:space="preserve">laśakv ataddhite</w:t>
      </w:r>
      <w:r>
        <w:t xml:space="preserve">”</w:t>
      </w:r>
      <w:r>
        <w:t xml:space="preserve"> </w:t>
      </w:r>
      <w:r>
        <w:t xml:space="preserve">and the</w:t>
      </w:r>
      <w:r>
        <w:t xml:space="preserve"> </w:t>
      </w:r>
      <w:r>
        <w:rPr>
          <w:iCs/>
          <w:i/>
        </w:rPr>
        <w:t xml:space="preserve">p</w:t>
      </w:r>
      <w:r>
        <w:t xml:space="preserve"> </w:t>
      </w:r>
      <w:r>
        <w:t xml:space="preserve">by</w:t>
      </w:r>
      <w:r>
        <w:t xml:space="preserve"> </w:t>
      </w:r>
      <w:r>
        <w:t xml:space="preserve">“</w:t>
      </w:r>
      <w:r>
        <w:t xml:space="preserve">halantyam</w:t>
      </w:r>
      <w:r>
        <w:t xml:space="preserve">”</w:t>
      </w:r>
      <w:r>
        <w:t xml:space="preserve"> </w:t>
      </w:r>
      <w:r>
        <w:t xml:space="preserve">(Pā. 1-3-3), dropped by</w:t>
      </w:r>
      <w:r>
        <w:t xml:space="preserve"> </w:t>
      </w:r>
      <w:r>
        <w:t xml:space="preserve">“</w:t>
      </w:r>
      <w:r>
        <w:t xml:space="preserve">tasya lopaḥ</w:t>
      </w:r>
      <w:r>
        <w:t xml:space="preserve">”</w:t>
      </w:r>
      <w:r>
        <w:t xml:space="preserve"> </w:t>
      </w:r>
      <w:r>
        <w:t xml:space="preserve">(Pā. 1-3-9);</w:t>
      </w:r>
      <w:r>
        <w:t xml:space="preserve"> </w:t>
      </w:r>
      <w:r>
        <w:rPr>
          <w:iCs/>
          <w:i/>
        </w:rPr>
        <w:t xml:space="preserve">ṅīp</w:t>
      </w:r>
      <w:r>
        <w:t xml:space="preserve"> </w:t>
      </w:r>
      <w:r>
        <w:t xml:space="preserve">is</w:t>
      </w:r>
      <w:r>
        <w:t xml:space="preserve"> </w:t>
      </w:r>
      <w:r>
        <w:rPr>
          <w:iCs/>
          <w:i/>
        </w:rPr>
        <w:t xml:space="preserve">pit</w:t>
      </w:r>
      <w:r>
        <w:t xml:space="preserve">, so unaccented by</w:t>
      </w:r>
      <w:r>
        <w:t xml:space="preserve"> </w:t>
      </w:r>
      <w:r>
        <w:t xml:space="preserve">“</w:t>
      </w:r>
      <w:r>
        <w:t xml:space="preserve">anudāttau sup-pitau</w:t>
      </w:r>
      <w:r>
        <w:t xml:space="preserve">”</w:t>
      </w:r>
      <w:r>
        <w:t xml:space="preserve"> </w:t>
      </w:r>
      <w:r>
        <w:t xml:space="preserve">(Pā. 3-1-4).</w:t>
      </w:r>
    </w:p>
    <w:p>
      <w:pPr>
        <w:pStyle w:val="BodyText"/>
      </w:pPr>
      <w:r>
        <w:rPr>
          <w:bCs/>
          <w:b/>
        </w:rPr>
        <w:t xml:space="preserve">॥८॥</w:t>
      </w:r>
    </w:p>
    <w:p>
      <w:pPr>
        <w:pStyle w:val="BodyText"/>
      </w:pPr>
      <w:r>
        <w:rPr>
          <w:iCs/>
          <w:i/>
        </w:rPr>
        <w:t xml:space="preserve">(A printed ornament follows. The page carries no separate Sanskrit colophon and no Kannada closing line for this sūkta, unlike Sūkta 10. The next printed page, 483, opens the twelfth sūkta,</w:t>
      </w:r>
      <w:r>
        <w:rPr>
          <w:iCs/>
          <w:i/>
        </w:rPr>
        <w:t xml:space="preserve"> </w:t>
      </w:r>
      <w:r>
        <w:rPr>
          <w:iCs/>
          <w:i/>
        </w:rPr>
        <w:t xml:space="preserve">“</w:t>
      </w:r>
      <w:r>
        <w:rPr>
          <w:iCs/>
          <w:i/>
        </w:rPr>
        <w:t xml:space="preserve">agniṃ dūtaṃ vṛṇīmahe,</w:t>
      </w:r>
      <w:r>
        <w:rPr>
          <w:iCs/>
          <w:i/>
        </w:rPr>
        <w:t xml:space="preserve">”</w:t>
      </w:r>
      <w:r>
        <w:rPr>
          <w:iCs/>
          <w:i/>
        </w:rPr>
        <w:t xml:space="preserve"> </w:t>
      </w:r>
      <w:r>
        <w:rPr>
          <w:iCs/>
          <w:i/>
        </w:rPr>
        <w:t xml:space="preserve">and follows below.)</w:t>
      </w:r>
    </w:p>
    <w:p>
      <w:pPr>
        <w:pStyle w:val="BodyText"/>
      </w:pPr>
      <w:r>
        <w:rPr>
          <w:bCs/>
          <w:b/>
        </w:rPr>
        <w:t xml:space="preserve">End of Sūkta 11.</w:t>
      </w:r>
    </w:p>
    <w:p>
      <w:r>
        <w:pict>
          <v:rect style="width:0;height:1.5pt" o:hralign="center" o:hrstd="t" o:hr="t"/>
        </w:pict>
      </w:r>
    </w:p>
    <w:bookmarkEnd w:id="498"/>
    <w:bookmarkStart w:id="499" w:name="Xac4b189ba58708c99d45e549d6c4335c96d3b7b"/>
    <w:p>
      <w:pPr>
        <w:pStyle w:val="Heading3"/>
      </w:pPr>
      <w:r>
        <w:t xml:space="preserve">Page 483 — opening of Sūkta 12 (fourth anuvāka)</w:t>
      </w:r>
    </w:p>
    <w:p>
      <w:pPr>
        <w:pStyle w:val="FirstParagraph"/>
      </w:pPr>
      <w:r>
        <w:rPr>
          <w:bCs/>
          <w:b/>
        </w:rPr>
        <w:t xml:space="preserve">॥ ಹನ್ನೆರಡನೆಯ ಸೂಕ್ತವು ॥ — Sūkta 12 —</w:t>
      </w:r>
      <w:r>
        <w:rPr>
          <w:bCs/>
          <w:b/>
        </w:rPr>
        <w:t xml:space="preserve"> </w:t>
      </w:r>
      <w:r>
        <w:rPr>
          <w:iCs/>
          <w:i/>
          <w:bCs/>
          <w:b/>
        </w:rPr>
        <w:t xml:space="preserve">“</w:t>
      </w:r>
      <w:r>
        <w:rPr>
          <w:iCs/>
          <w:i/>
          <w:bCs/>
          <w:b/>
        </w:rPr>
        <w:t xml:space="preserve">agniṃ dūtaṃ vṛṇīmahe</w:t>
      </w:r>
      <w:r>
        <w:rPr>
          <w:iCs/>
          <w:i/>
          <w:bCs/>
          <w:b/>
        </w:rPr>
        <w:t xml:space="preserve">”</w:t>
      </w:r>
      <w:r>
        <w:rPr>
          <w:bCs/>
          <w:b/>
        </w:rPr>
        <w:t xml:space="preserve"> </w:t>
      </w:r>
      <w:r>
        <w:rPr>
          <w:bCs/>
          <w:b/>
        </w:rPr>
        <w:t xml:space="preserve">(</w:t>
      </w:r>
      <w:r>
        <w:rPr>
          <w:bCs/>
          <w:b/>
        </w:rPr>
        <w:t xml:space="preserve">“</w:t>
      </w:r>
      <w:r>
        <w:rPr>
          <w:bCs/>
          <w:b/>
        </w:rPr>
        <w:t xml:space="preserve">The Twelfth Sūkta</w:t>
      </w:r>
      <w:r>
        <w:rPr>
          <w:bCs/>
          <w:b/>
        </w:rPr>
        <w:t xml:space="preserve">”</w:t>
      </w:r>
      <w:r>
        <w:rPr>
          <w:bCs/>
          <w:b/>
        </w:rPr>
        <w:t xml:space="preserve">)</w:t>
      </w:r>
    </w:p>
    <w:p>
      <w:pPr>
        <w:pStyle w:val="BodyText"/>
      </w:pPr>
      <w:r>
        <w:rPr>
          <w:bCs/>
          <w:b/>
        </w:rPr>
        <w:t xml:space="preserve">॥ Sāyaṇa-bhāṣyam ॥ (introductory note on the application of the sūkta)</w:t>
      </w:r>
    </w:p>
    <w:p>
      <w:pPr>
        <w:pStyle w:val="BlockText"/>
      </w:pPr>
      <w:r>
        <w:t xml:space="preserve">चतुर्थानुवाके षट् सूक्तानि । तत्राग्निं दूतमित्यादिकस्य द्वादशर्चस्य प्रथमस्य सूक्तस्य कण्वपुत्रो मेधातिथिर्ऋषिः । अपवादाभावादनुवर्तमानं प्राग्घिरण्यस्तूपादित्युक्तं गायत्रमेव छन्दः । अग्निदेवताकत्वं विस्पष्टम् । अत एवानुक्रम्यते । अग्निं द्वादश मेधातिथिः काण्व आग्नेयमग्निनेति पादो द्व्यग्निदैवतो निर्मथ्य आहवनीयश्चेति ॥ विनियोगस्तु । प्रातरनुवाक आग्नेये क्रतौ गायत्रे छन्दस्यग्निं दूतमिति सूक्तम् । अथैतस्या रात्रेर्विवासकाल इति खण्डे ऽग्निमीळे ऽग्निं दूतम् । आ. ४-१३ । इति सूत्रितम् ॥ तथा पृष्ठ्यषडहस्य द्वितीये ऽहनीदमेव सूक्तमाज्यशस्त्रम् । पृष्ठ्यस्याभिप्लवेनोक्ते अहनी इति खण्डे सूत्रितम् । अग्निं दूतमिति द्वितीये । आ. ७-१० । इति ॥ दर्शपूर्णमासयोः सामिधेनीष्वग्निं दूतमित्येका नमः प्रवक्त्र इति खण्डे सूत्रितम् । ईळेन्यो नमस्यस्तिरो ऽग्निं दूतं वृणीमहे ॥ आ. १-२ । इति ॥</w:t>
      </w:r>
    </w:p>
    <w:p>
      <w:pPr>
        <w:pStyle w:val="BlockText"/>
      </w:pPr>
      <w:r>
        <w:rPr>
          <w:iCs/>
          <w:i/>
        </w:rPr>
        <w:t xml:space="preserve">caturthānuvāke ṣaṭ sūktāni | tatrāgniṃ dūtamityādikasya dvādaśarcasya prathamasya sūktasya kaṇvaputro medhātithirṛṣiḥ | apavādābhāvādanuvartamānaṃ prāgghiraṇyastūpādityuktaṃ gāyatrameva chandaḥ | agnidevatākatvaṃ vispaṣṭam | ata evānukramyate | agniṃ dvādaśa medhātithiḥ kāṇva āgneyamagnineti pādo dvyagnidaivato nirmathya āhavanīyaśceti || viniyogastu | prātaranuvāka āgneye kratau gāyatre chandasyagniṃ dūtamiti sūktam | athaitasyā rātrervivāsakāla iti khaṇḍe ’gnimīḷe ’gniṃ dūtam | ā. 4-13 | iti sūtritam || tathā pṛṣṭhyaṣaḍahasya dvitīye ’hanīdameva sūktamājyaśastram | pṛṣṭhyasyābhiplavenokte ahanī iti khaṇḍe sūtritam | agniṃ dūtamiti dvitīye | ā. 7-10 | iti || darśapūrṇamāsayoḥ sāmidhenīṣvagniṃ dūtamityekā namaḥ pravaktra iti khaṇḍe sūtritam | īḷenyo namasyastiro ’gniṃ dūtaṃ vṛṇīmahe || ā. 1-2 | iti ||</w:t>
      </w:r>
    </w:p>
    <w:p>
      <w:pPr>
        <w:pStyle w:val="FirstParagraph"/>
      </w:pPr>
      <w:r>
        <w:rPr>
          <w:bCs/>
          <w:b/>
        </w:rPr>
        <w:t xml:space="preserve">Translation:</w:t>
      </w:r>
      <w:r>
        <w:t xml:space="preserve"> </w:t>
      </w:r>
      <w:r>
        <w:t xml:space="preserve">“</w:t>
      </w:r>
      <w:r>
        <w:t xml:space="preserve">In the fourth anuvāka there are six sūktas. Of these, of the first sūkta, of twelve riks, beginning</w:t>
      </w:r>
      <w:r>
        <w:t xml:space="preserve"> </w:t>
      </w:r>
      <w:r>
        <w:rPr>
          <w:iCs/>
          <w:i/>
        </w:rPr>
        <w:t xml:space="preserve">agniṃ dūtam</w:t>
      </w:r>
      <w:r>
        <w:t xml:space="preserve">, the ṛṣi is Medhātithi, son of Kaṇva. Since there is no exception, the meter is the Gāyatrī that continues, as was said,</w:t>
      </w:r>
      <w:r>
        <w:t xml:space="preserve"> </w:t>
      </w:r>
      <w:r>
        <w:t xml:space="preserve">‘</w:t>
      </w:r>
      <w:r>
        <w:t xml:space="preserve">up to Hiraṇyastūpa.</w:t>
      </w:r>
      <w:r>
        <w:t xml:space="preserve">’</w:t>
      </w:r>
      <w:r>
        <w:t xml:space="preserve"> </w:t>
      </w:r>
      <w:r>
        <w:t xml:space="preserve">That Agni is the deity is clear. Therefore the Anukramaṇī says:</w:t>
      </w:r>
      <w:r>
        <w:t xml:space="preserve"> </w:t>
      </w:r>
      <w:r>
        <w:t xml:space="preserve">‘</w:t>
      </w:r>
      <w:r>
        <w:rPr>
          <w:iCs/>
          <w:i/>
        </w:rPr>
        <w:t xml:space="preserve">agniṃ dvādaśa medhātithiḥ kāṇva āgneyam agnineti pādo dvyagnidaivato nirmathya āhavanīyaś ca</w:t>
      </w:r>
      <w:r>
        <w:t xml:space="preserve">’</w:t>
      </w:r>
      <w:r>
        <w:t xml:space="preserve"> </w:t>
      </w:r>
      <w:r>
        <w:t xml:space="preserve">— [the sūkta]</w:t>
      </w:r>
      <w:r>
        <w:t xml:space="preserve"> </w:t>
      </w:r>
      <w:r>
        <w:rPr>
          <w:iCs/>
          <w:i/>
        </w:rPr>
        <w:t xml:space="preserve">agnim</w:t>
      </w:r>
      <w:r>
        <w:t xml:space="preserve">, twelve [riks], Medhātithi Kāṇva, to Agni; the pāda</w:t>
      </w:r>
      <w:r>
        <w:t xml:space="preserve"> </w:t>
      </w:r>
      <w:r>
        <w:rPr>
          <w:iCs/>
          <w:i/>
        </w:rPr>
        <w:t xml:space="preserve">agninā</w:t>
      </w:r>
      <w:r>
        <w:t xml:space="preserve"> </w:t>
      </w:r>
      <w:r>
        <w:t xml:space="preserve">has two Agnis as deity, the churned [fire] and the Āhavanīya. Its application: in the morning litany (</w:t>
      </w:r>
      <w:r>
        <w:rPr>
          <w:iCs/>
          <w:i/>
        </w:rPr>
        <w:t xml:space="preserve">prātaranuvāka</w:t>
      </w:r>
      <w:r>
        <w:t xml:space="preserve">), in the Āgneya rite, in the Gāyatrī meter, the sūkta</w:t>
      </w:r>
      <w:r>
        <w:t xml:space="preserve"> </w:t>
      </w:r>
      <w:r>
        <w:rPr>
          <w:iCs/>
          <w:i/>
        </w:rPr>
        <w:t xml:space="preserve">agniṃ dūtam</w:t>
      </w:r>
      <w:r>
        <w:t xml:space="preserve">; laid down in the section</w:t>
      </w:r>
      <w:r>
        <w:t xml:space="preserve"> </w:t>
      </w:r>
      <w:r>
        <w:rPr>
          <w:iCs/>
          <w:i/>
        </w:rPr>
        <w:t xml:space="preserve">athaitasyā rātrer vivāsakāle</w:t>
      </w:r>
      <w:r>
        <w:t xml:space="preserve">:</w:t>
      </w:r>
      <w:r>
        <w:t xml:space="preserve"> </w:t>
      </w:r>
      <w:r>
        <w:t xml:space="preserve">‘</w:t>
      </w:r>
      <w:r>
        <w:rPr>
          <w:iCs/>
          <w:i/>
        </w:rPr>
        <w:t xml:space="preserve">agnim īḷe</w:t>
      </w:r>
      <w:r>
        <w:t xml:space="preserve">,</w:t>
      </w:r>
      <w:r>
        <w:t xml:space="preserve"> </w:t>
      </w:r>
      <w:r>
        <w:rPr>
          <w:iCs/>
          <w:i/>
        </w:rPr>
        <w:t xml:space="preserve">agniṃ dūtam</w:t>
      </w:r>
      <w:r>
        <w:t xml:space="preserve">’</w:t>
      </w:r>
      <w:r>
        <w:t xml:space="preserve"> </w:t>
      </w:r>
      <w:r>
        <w:t xml:space="preserve">(Āś. 4-13). Likewise on the second day of the Pṛṣṭhya Ṣaḍaha this same sūkta is the</w:t>
      </w:r>
      <w:r>
        <w:t xml:space="preserve"> </w:t>
      </w:r>
      <w:r>
        <w:rPr>
          <w:iCs/>
          <w:i/>
        </w:rPr>
        <w:t xml:space="preserve">ājya-śastra</w:t>
      </w:r>
      <w:r>
        <w:t xml:space="preserve">; laid down in the section</w:t>
      </w:r>
      <w:r>
        <w:t xml:space="preserve"> </w:t>
      </w:r>
      <w:r>
        <w:rPr>
          <w:iCs/>
          <w:i/>
        </w:rPr>
        <w:t xml:space="preserve">pṛṣṭhyasyābhiplavenokte ahanī</w:t>
      </w:r>
      <w:r>
        <w:t xml:space="preserve">:</w:t>
      </w:r>
      <w:r>
        <w:t xml:space="preserve"> </w:t>
      </w:r>
      <w:r>
        <w:t xml:space="preserve">‘</w:t>
      </w:r>
      <w:r>
        <w:rPr>
          <w:iCs/>
          <w:i/>
        </w:rPr>
        <w:t xml:space="preserve">agniṃ dūtam</w:t>
      </w:r>
      <w:r>
        <w:t xml:space="preserve"> </w:t>
      </w:r>
      <w:r>
        <w:t xml:space="preserve">on the second</w:t>
      </w:r>
      <w:r>
        <w:t xml:space="preserve">’</w:t>
      </w:r>
      <w:r>
        <w:t xml:space="preserve"> </w:t>
      </w:r>
      <w:r>
        <w:t xml:space="preserve">(Āś. 7-10). In the Darśa and Pūrṇamāsa, among the</w:t>
      </w:r>
      <w:r>
        <w:t xml:space="preserve"> </w:t>
      </w:r>
      <w:r>
        <w:rPr>
          <w:iCs/>
          <w:i/>
        </w:rPr>
        <w:t xml:space="preserve">sāmidhenī</w:t>
      </w:r>
      <w:r>
        <w:t xml:space="preserve">s, the single [rik]</w:t>
      </w:r>
      <w:r>
        <w:t xml:space="preserve"> </w:t>
      </w:r>
      <w:r>
        <w:rPr>
          <w:iCs/>
          <w:i/>
        </w:rPr>
        <w:t xml:space="preserve">agniṃ dūtam</w:t>
      </w:r>
      <w:r>
        <w:t xml:space="preserve">; laid down in the section</w:t>
      </w:r>
      <w:r>
        <w:t xml:space="preserve"> </w:t>
      </w:r>
      <w:r>
        <w:rPr>
          <w:iCs/>
          <w:i/>
        </w:rPr>
        <w:t xml:space="preserve">namaḥ pravaktre</w:t>
      </w:r>
      <w:r>
        <w:t xml:space="preserve">:</w:t>
      </w:r>
      <w:r>
        <w:t xml:space="preserve"> </w:t>
      </w:r>
      <w:r>
        <w:t xml:space="preserve">‘</w:t>
      </w:r>
      <w:r>
        <w:rPr>
          <w:iCs/>
          <w:i/>
        </w:rPr>
        <w:t xml:space="preserve">īḷenyo namasyas tiro</w:t>
      </w:r>
      <w:r>
        <w:t xml:space="preserve">,</w:t>
      </w:r>
      <w:r>
        <w:t xml:space="preserve"> </w:t>
      </w:r>
      <w:r>
        <w:rPr>
          <w:iCs/>
          <w:i/>
        </w:rPr>
        <w:t xml:space="preserve">agniṃ dūtaṃ vṛṇīmahe</w:t>
      </w:r>
      <w:r>
        <w:t xml:space="preserve">’</w:t>
      </w:r>
      <w:r>
        <w:t xml:space="preserve"> </w:t>
      </w:r>
      <w:r>
        <w:t xml:space="preserve">(Āś. 1-2).</w:t>
      </w:r>
      <w:r>
        <w:t xml:space="preserve">”</w:t>
      </w:r>
    </w:p>
    <w:p>
      <w:pPr>
        <w:pStyle w:val="BodyText"/>
      </w:pPr>
      <w:r>
        <w:rPr>
          <w:bCs/>
          <w:b/>
        </w:rPr>
        <w:t xml:space="preserve">॥ Anuvāda (Kannada rendering) ॥</w:t>
      </w:r>
      <w:r>
        <w:t xml:space="preserve"> </w:t>
      </w:r>
      <w:r>
        <w:t xml:space="preserve">The fourth anuvāka begins with the twelfth sūkta; this anuvāka has six sūktas. Of these six sūktas, of the first, the sūkta of twelve riks called</w:t>
      </w:r>
      <w:r>
        <w:t xml:space="preserve"> </w:t>
      </w:r>
      <w:r>
        <w:rPr>
          <w:iCs/>
          <w:i/>
        </w:rPr>
        <w:t xml:space="preserve">agniṃ dūtam</w:t>
      </w:r>
      <w:r>
        <w:t xml:space="preserve">, the ṛṣi is Medhātithi, son of Kaṇva; the meter is Gāyatrī; the deity is Agni. This is said in the Anukramaṇikā in the section</w:t>
      </w:r>
      <w:r>
        <w:t xml:space="preserve"> </w:t>
      </w:r>
      <w:r>
        <w:rPr>
          <w:iCs/>
          <w:i/>
        </w:rPr>
        <w:t xml:space="preserve">agniṃ dvādaśa medhātithiḥ kāṇvaḥ</w:t>
      </w:r>
      <w:r>
        <w:t xml:space="preserve">. The order of application: at the time of reciting the mantras of the</w:t>
      </w:r>
      <w:r>
        <w:t xml:space="preserve"> </w:t>
      </w:r>
      <w:r>
        <w:rPr>
          <w:iCs/>
          <w:i/>
        </w:rPr>
        <w:t xml:space="preserve">prātaranuvāka</w:t>
      </w:r>
      <w:r>
        <w:t xml:space="preserve"> </w:t>
      </w:r>
      <w:r>
        <w:t xml:space="preserve">of the Āgneya rite, when the riks in the Gāyatrī meter are recited, this sūkta</w:t>
      </w:r>
      <w:r>
        <w:t xml:space="preserve"> </w:t>
      </w:r>
      <w:r>
        <w:rPr>
          <w:iCs/>
          <w:i/>
        </w:rPr>
        <w:t xml:space="preserve">agniṃ dūtam</w:t>
      </w:r>
      <w:r>
        <w:t xml:space="preserve"> </w:t>
      </w:r>
      <w:r>
        <w:t xml:space="preserve">is to be recited; this is said in the Śrautasūtra of Āśvalāyana in the section</w:t>
      </w:r>
      <w:r>
        <w:t xml:space="preserve"> </w:t>
      </w:r>
      <w:r>
        <w:rPr>
          <w:iCs/>
          <w:i/>
        </w:rPr>
        <w:t xml:space="preserve">athaitasyā rātrer vivāsakāle</w:t>
      </w:r>
      <w:r>
        <w:t xml:space="preserve"> </w:t>
      </w:r>
      <w:r>
        <w:t xml:space="preserve">(Ā. 4-13). And on the second day of the Pṛṣṭhya-ṣaḍaha rite this sūkta is recited as the</w:t>
      </w:r>
      <w:r>
        <w:t xml:space="preserve"> </w:t>
      </w:r>
      <w:r>
        <w:rPr>
          <w:iCs/>
          <w:i/>
        </w:rPr>
        <w:t xml:space="preserve">ājya-śastra</w:t>
      </w:r>
      <w:r>
        <w:t xml:space="preserve"> </w:t>
      </w:r>
      <w:r>
        <w:t xml:space="preserve">mantras; this is said in Āśvalāyana’s sūtra 7-10, in the section</w:t>
      </w:r>
      <w:r>
        <w:t xml:space="preserve"> </w:t>
      </w:r>
      <w:r>
        <w:rPr>
          <w:iCs/>
          <w:i/>
        </w:rPr>
        <w:t xml:space="preserve">pṛṣṭhyasyābhiplavenokte ahanī</w:t>
      </w:r>
      <w:r>
        <w:t xml:space="preserve">, as</w:t>
      </w:r>
      <w:r>
        <w:t xml:space="preserve"> </w:t>
      </w:r>
      <w:r>
        <w:t xml:space="preserve">“</w:t>
      </w:r>
      <w:r>
        <w:rPr>
          <w:iCs/>
          <w:i/>
        </w:rPr>
        <w:t xml:space="preserve">agniṃ dūtam iti dvitīye</w:t>
      </w:r>
      <w:r>
        <w:t xml:space="preserve">.</w:t>
      </w:r>
      <w:r>
        <w:t xml:space="preserve">”</w:t>
      </w:r>
      <w:r>
        <w:t xml:space="preserve"> </w:t>
      </w:r>
      <w:r>
        <w:t xml:space="preserve">And in the Darśapūrṇamāsa sacrifices, when the riks called</w:t>
      </w:r>
      <w:r>
        <w:t xml:space="preserve"> </w:t>
      </w:r>
      <w:r>
        <w:rPr>
          <w:iCs/>
          <w:i/>
        </w:rPr>
        <w:t xml:space="preserve">sāmidhenī</w:t>
      </w:r>
      <w:r>
        <w:t xml:space="preserve"> </w:t>
      </w:r>
      <w:r>
        <w:t xml:space="preserve">are recited, the rik</w:t>
      </w:r>
      <w:r>
        <w:t xml:space="preserve"> </w:t>
      </w:r>
      <w:r>
        <w:rPr>
          <w:iCs/>
          <w:i/>
        </w:rPr>
        <w:t xml:space="preserve">agniṃ dūtam</w:t>
      </w:r>
      <w:r>
        <w:t xml:space="preserve"> </w:t>
      </w:r>
      <w:r>
        <w:t xml:space="preserve">is to be recited, as is said in the section</w:t>
      </w:r>
      <w:r>
        <w:t xml:space="preserve"> </w:t>
      </w:r>
      <w:r>
        <w:rPr>
          <w:iCs/>
          <w:i/>
        </w:rPr>
        <w:t xml:space="preserve">namaḥ pravaktre</w:t>
      </w:r>
      <w:r>
        <w:t xml:space="preserve">; this too is said in section 1-2 of Āśvalāyana’s Śrautasūtra:</w:t>
      </w:r>
      <w:r>
        <w:t xml:space="preserve"> </w:t>
      </w:r>
      <w:r>
        <w:t xml:space="preserve">“</w:t>
      </w:r>
      <w:r>
        <w:rPr>
          <w:iCs/>
          <w:i/>
        </w:rPr>
        <w:t xml:space="preserve">īḷenyo namasyas tiro ’gniṃ dūtaṃ vṛṇīmahe</w:t>
      </w:r>
      <w:r>
        <w:t xml:space="preserve">.</w:t>
      </w:r>
      <w:r>
        <w:t xml:space="preserve">”</w:t>
      </w:r>
    </w:p>
    <w:bookmarkEnd w:id="499"/>
    <w:bookmarkStart w:id="500" w:name="page-484-sūkta-12-rik-1"/>
    <w:p>
      <w:pPr>
        <w:pStyle w:val="Heading3"/>
      </w:pPr>
      <w:r>
        <w:t xml:space="preserve">Page 484 — Sūkta 12, Rik 1</w:t>
      </w:r>
    </w:p>
    <w:p>
      <w:pPr>
        <w:pStyle w:val="FirstParagraph"/>
      </w:pPr>
      <w:r>
        <w:rPr>
          <w:iCs/>
          <w:i/>
        </w:rPr>
        <w:t xml:space="preserve">(Saṃhitā accents as printed; Pada unaccented.)</w:t>
      </w:r>
    </w:p>
    <w:p>
      <w:pPr>
        <w:pStyle w:val="BodyText"/>
      </w:pPr>
      <w:r>
        <w:rPr>
          <w:bCs/>
          <w:b/>
        </w:rPr>
        <w:t xml:space="preserve">॥ ॐ ॥</w:t>
      </w:r>
    </w:p>
    <w:p>
      <w:pPr>
        <w:pStyle w:val="BodyText"/>
      </w:pPr>
      <w:r>
        <w:rPr>
          <w:bCs/>
          <w:b/>
        </w:rPr>
        <w:t xml:space="preserve">॥ Sūkta — 12 ॥</w:t>
      </w:r>
      <w:r>
        <w:t xml:space="preserve"> </w:t>
      </w:r>
      <w:r>
        <w:rPr>
          <w:bCs/>
          <w:b/>
        </w:rPr>
        <w:t xml:space="preserve">॥ Maṇḍala — 1 ॥ Anuvāka — 4 ॥ Sūkta — 12 ॥</w:t>
      </w:r>
      <w:r>
        <w:t xml:space="preserve"> </w:t>
      </w:r>
      <w:r>
        <w:rPr>
          <w:bCs/>
          <w:b/>
        </w:rPr>
        <w:t xml:space="preserve">॥ Aṣṭaka — 1 ॥ Adhyāya — 1 ॥ Varga — 22, 23 ॥</w:t>
      </w:r>
      <w:r>
        <w:t xml:space="preserve"> </w:t>
      </w:r>
      <w:r>
        <w:rPr>
          <w:bCs/>
          <w:b/>
        </w:rPr>
        <w:t xml:space="preserve">॥ Mantras contained in this sūkta: 1–12 ॥</w:t>
      </w:r>
      <w:r>
        <w:t xml:space="preserve"> </w:t>
      </w:r>
      <w:r>
        <w:rPr>
          <w:bCs/>
          <w:b/>
        </w:rPr>
        <w:t xml:space="preserve">॥ Ṛṣi — Medhātithi Kāṇva ॥</w:t>
      </w:r>
      <w:r>
        <w:t xml:space="preserve"> </w:t>
      </w:r>
      <w:r>
        <w:rPr>
          <w:iCs/>
          <w:i/>
        </w:rPr>
        <w:t xml:space="preserve">(printed</w:t>
      </w:r>
      <w:r>
        <w:rPr>
          <w:iCs/>
          <w:i/>
        </w:rPr>
        <w:t xml:space="preserve"> </w:t>
      </w:r>
      <w:r>
        <w:rPr>
          <w:iCs/>
          <w:i/>
        </w:rPr>
        <w:t xml:space="preserve">“</w:t>
      </w:r>
      <w:r>
        <w:rPr>
          <w:iCs/>
          <w:i/>
        </w:rPr>
        <w:t xml:space="preserve">1–12 medhātithiḥ kāṇvaḥ</w:t>
      </w:r>
      <w:r>
        <w:rPr>
          <w:iCs/>
          <w:i/>
        </w:rPr>
        <w:t xml:space="preserve">”</w:t>
      </w:r>
      <w:r>
        <w:rPr>
          <w:iCs/>
          <w:i/>
        </w:rPr>
        <w:t xml:space="preserve">)</w:t>
      </w:r>
      <w:r>
        <w:t xml:space="preserve"> </w:t>
      </w:r>
      <w:r>
        <w:rPr>
          <w:bCs/>
          <w:b/>
        </w:rPr>
        <w:t xml:space="preserve">॥ Devatā — Agni; 6 — Agni Nirmathya and Agni Āhavanīya ॥</w:t>
      </w:r>
      <w:r>
        <w:t xml:space="preserve"> </w:t>
      </w:r>
      <w:r>
        <w:rPr>
          <w:iCs/>
          <w:i/>
        </w:rPr>
        <w:t xml:space="preserve">(printed</w:t>
      </w:r>
      <w:r>
        <w:rPr>
          <w:iCs/>
          <w:i/>
        </w:rPr>
        <w:t xml:space="preserve"> </w:t>
      </w:r>
      <w:r>
        <w:rPr>
          <w:iCs/>
          <w:i/>
        </w:rPr>
        <w:t xml:space="preserve">“</w:t>
      </w:r>
      <w:r>
        <w:rPr>
          <w:iCs/>
          <w:i/>
        </w:rPr>
        <w:t xml:space="preserve">agniḥ | 6 — agnir nirmathyo ’gnir āhavanīyaś ca</w:t>
      </w:r>
      <w:r>
        <w:rPr>
          <w:iCs/>
          <w:i/>
        </w:rPr>
        <w:t xml:space="preserve">”</w:t>
      </w:r>
      <w:r>
        <w:rPr>
          <w:iCs/>
          <w:i/>
        </w:rPr>
        <w:t xml:space="preserve">)</w:t>
      </w:r>
      <w:r>
        <w:t xml:space="preserve"> </w:t>
      </w:r>
      <w:r>
        <w:rPr>
          <w:bCs/>
          <w:b/>
        </w:rPr>
        <w:t xml:space="preserve">॥ Chandaḥ — Gāyatrī ॥</w:t>
      </w:r>
    </w:p>
    <w:p>
      <w:pPr>
        <w:pStyle w:val="BodyText"/>
      </w:pPr>
      <w:r>
        <w:rPr>
          <w:bCs/>
          <w:b/>
        </w:rPr>
        <w:t xml:space="preserve">॥ Saṃhitā-pāṭhaḥ ॥</w:t>
      </w:r>
    </w:p>
    <w:p>
      <w:pPr>
        <w:pStyle w:val="BlockText"/>
      </w:pPr>
      <w:r>
        <w:t xml:space="preserve">अ॒ग्निं दू॒तं वृ॑णीमहे॒ होता॑रं वि॒श्ववे॑दसम् ।</w:t>
      </w:r>
      <w:r>
        <w:t xml:space="preserve"> </w:t>
      </w:r>
      <w:r>
        <w:t xml:space="preserve">अ॒स्य य॒ज्ञस्य॑ सु॒क्रतु॑म् ॥१॥</w:t>
      </w:r>
    </w:p>
    <w:p>
      <w:pPr>
        <w:pStyle w:val="BlockText"/>
      </w:pPr>
      <w:r>
        <w:rPr>
          <w:iCs/>
          <w:i/>
        </w:rPr>
        <w:t xml:space="preserve">agníṃ dūtáṃ vṛṇīmahe hótāraṃ viśvávedasam |</w:t>
      </w:r>
      <w:r>
        <w:t xml:space="preserve"> </w:t>
      </w:r>
      <w:r>
        <w:rPr>
          <w:iCs/>
          <w:i/>
        </w:rPr>
        <w:t xml:space="preserve">asyá yajñásya sukrátum ||1||</w:t>
      </w:r>
    </w:p>
    <w:p>
      <w:pPr>
        <w:pStyle w:val="FirstParagraph"/>
      </w:pPr>
      <w:r>
        <w:rPr>
          <w:bCs/>
          <w:b/>
        </w:rPr>
        <w:t xml:space="preserve">॥ Pada-pāṭhaḥ ॥</w:t>
      </w:r>
    </w:p>
    <w:p>
      <w:pPr>
        <w:pStyle w:val="BlockText"/>
      </w:pPr>
      <w:r>
        <w:t xml:space="preserve">अग्निम् । दूतम् । वृणीमहे । होतारम् । विश्वऽवेदसम् ॥</w:t>
      </w:r>
      <w:r>
        <w:t xml:space="preserve"> </w:t>
      </w:r>
      <w:r>
        <w:t xml:space="preserve">अस्य । यज्ञस्य । सुऽक्रतुम् ॥१॥</w:t>
      </w:r>
    </w:p>
    <w:p>
      <w:pPr>
        <w:pStyle w:val="BlockText"/>
      </w:pPr>
      <w:r>
        <w:rPr>
          <w:iCs/>
          <w:i/>
        </w:rPr>
        <w:t xml:space="preserve">agnim | dūtam | vṛṇīmahe | hotāram | viśva-vedasam ||</w:t>
      </w:r>
      <w:r>
        <w:t xml:space="preserve"> </w:t>
      </w:r>
      <w:r>
        <w:rPr>
          <w:iCs/>
          <w:i/>
        </w:rPr>
        <w:t xml:space="preserve">asya | yajñasya | su-kratum ||1||</w:t>
      </w:r>
    </w:p>
    <w:p>
      <w:pPr>
        <w:pStyle w:val="FirstParagraph"/>
      </w:pPr>
      <w:r>
        <w:rPr>
          <w:bCs/>
          <w:b/>
        </w:rPr>
        <w:t xml:space="preserve">॥ Sāyaṇa-bhāṣyam ॥</w:t>
      </w:r>
    </w:p>
    <w:p>
      <w:pPr>
        <w:pStyle w:val="BlockText"/>
      </w:pPr>
      <w:r>
        <w:t xml:space="preserve">अग्नेर्दूतत्वमेतन्मन्त्रव्याख्याने तैत्तिरीयब्राह्मणे समाम्नायते । अग्निर्देवानां दूत आसीदुशनाः काव्यो ऽसुराणाम् । तै. सं. २-५-८-५ । इति । तादृशं देवदूतमग्निमस्मिन्कर्मणि वृणीमहे । संभजामः । कीदृशम् । होतारं देवानामाह्वातारं विश्ववेदसं सर्वधनोपेतम् अस्य प्रवर्तमानस्य यज्ञस्य निष्पादकत्वेन सुक्रतुं शोभनकर्माणं शोभनप्रज्ञं वा ॥ मघमित्यादिष्वष्टाविंशतिसंख्याकेषु धननामसु वेदस्शब्दः पठितः ॥ होतारम् । ह्वेञ् स्पर्धायां शब्दे च । तृन् । ताच्छील्यादिषु । बहुलं छन्दसीति संप्रसारणे । परपूर्वत्वे गुणः । नित्त्वादाद्युदात्तः । विश्ववेदसम् । बहुव्रीहौ । विश्वं संज्ञायाम् । पा. ६-२-१०६ । इति पूर्वपदान्तोदात्तः । अस्य । ऊडिदमित्यादिना विभक्तेरुदात्तत्वम् । सुक्रतुम् । क्रत्वादयश्च । पा. ६-२-११८ । इत्याद्युदात्तत्वम् ॥</w:t>
      </w:r>
    </w:p>
    <w:p>
      <w:pPr>
        <w:pStyle w:val="BlockText"/>
      </w:pPr>
      <w:r>
        <w:rPr>
          <w:iCs/>
          <w:i/>
        </w:rPr>
        <w:t xml:space="preserve">agner dūtatvam etan-mantra-vyākhyāne taittirīya-brāhmaṇe samāmnāyate | agnir devānāṃ dūta āsīd uśanāḥ kāvyo ’surāṇām | tai. saṃ. 2-5-8-5 | iti | tādṛśaṃ deva-dūtam agnim asmin karmaṇi vṛṇīmahe | saṃbhajāmaḥ | kīdṛśam | hotāraṃ devānām āhvātāraṃ viśvavedasaṃ sarva-dhanopetam asya pravartamānasya yajñasya niṣpādakatvena sukratuṃ śobhana-karmāṇaṃ śobhana-prajñaṃ vā || magham ity-ādiṣv aṣṭāviṃśati-saṃkhyākeṣu dhana-nāmasu vedas-śabdaḥ paṭhitaḥ || hotāram | hveñ spardhāyāṃ śabde ca | tṛn | tācchīlyādiṣu | bahulaṃ chandasīti saṃprasāraṇe | parapūrvatve guṇaḥ | nittvād ādyudāttaḥ | viśvavedasam | bahuvrīhau | viśvaṃ saṃjñāyām | pā. 6-2-106 | iti pūrvapadāntodāttaḥ | asya | ūḍidam ity-ādinā vibhakter udāttatvam | sukratum | kratv-ādayaś ca | pā. 6-2-118 | ity-ādyudāttatvam ||</w:t>
      </w:r>
    </w:p>
    <w:p>
      <w:pPr>
        <w:pStyle w:val="FirstParagraph"/>
      </w:pPr>
      <w:r>
        <w:rPr>
          <w:bCs/>
          <w:b/>
        </w:rPr>
        <w:t xml:space="preserve">Translation:</w:t>
      </w:r>
      <w:r>
        <w:t xml:space="preserve"> </w:t>
      </w:r>
      <w:r>
        <w:t xml:space="preserve">“</w:t>
      </w:r>
      <w:r>
        <w:t xml:space="preserve">That Agni is a messenger is stated in the Taittirīya Brāhmaṇa, in explanation of this mantra:</w:t>
      </w:r>
      <w:r>
        <w:t xml:space="preserve"> </w:t>
      </w:r>
      <w:r>
        <w:t xml:space="preserve">‘</w:t>
      </w:r>
      <w:r>
        <w:t xml:space="preserve">Agni was the messenger of the gods; Uśanas Kāvya, of the asuras</w:t>
      </w:r>
      <w:r>
        <w:t xml:space="preserve">’</w:t>
      </w:r>
      <w:r>
        <w:t xml:space="preserve"> </w:t>
      </w:r>
      <w:r>
        <w:t xml:space="preserve">(Taittirīya Saṃhitā 2-5-8-5). Such an Agni, messenger of the gods, we</w:t>
      </w:r>
      <w:r>
        <w:t xml:space="preserve"> </w:t>
      </w:r>
      <w:r>
        <w:rPr>
          <w:iCs/>
          <w:i/>
        </w:rPr>
        <w:t xml:space="preserve">vṛṇīmahe</w:t>
      </w:r>
      <w:r>
        <w:t xml:space="preserve"> </w:t>
      </w:r>
      <w:r>
        <w:t xml:space="preserve">— choose, serve — in this rite. What kind?</w:t>
      </w:r>
      <w:r>
        <w:t xml:space="preserve"> </w:t>
      </w:r>
      <w:r>
        <w:rPr>
          <w:iCs/>
          <w:i/>
        </w:rPr>
        <w:t xml:space="preserve">Hotāram</w:t>
      </w:r>
      <w:r>
        <w:t xml:space="preserve"> </w:t>
      </w:r>
      <w:r>
        <w:t xml:space="preserve">— the caller of the gods;</w:t>
      </w:r>
      <w:r>
        <w:t xml:space="preserve"> </w:t>
      </w:r>
      <w:r>
        <w:rPr>
          <w:iCs/>
          <w:i/>
        </w:rPr>
        <w:t xml:space="preserve">viśvavedasam</w:t>
      </w:r>
      <w:r>
        <w:t xml:space="preserve"> </w:t>
      </w:r>
      <w:r>
        <w:t xml:space="preserve">— endowed with all wealth;</w:t>
      </w:r>
      <w:r>
        <w:t xml:space="preserve"> </w:t>
      </w:r>
      <w:r>
        <w:rPr>
          <w:iCs/>
          <w:i/>
        </w:rPr>
        <w:t xml:space="preserve">sukratum</w:t>
      </w:r>
      <w:r>
        <w:t xml:space="preserve"> </w:t>
      </w:r>
      <w:r>
        <w:t xml:space="preserve">— as the accomplisher of this rite now in progress, of excellent action, or of excellent wisdom. Among the twenty-eight words for</w:t>
      </w:r>
      <w:r>
        <w:t xml:space="preserve"> </w:t>
      </w:r>
      <w:r>
        <w:t xml:space="preserve">‘</w:t>
      </w:r>
      <w:r>
        <w:t xml:space="preserve">wealth</w:t>
      </w:r>
      <w:r>
        <w:t xml:space="preserve">’</w:t>
      </w:r>
      <w:r>
        <w:t xml:space="preserve"> </w:t>
      </w:r>
      <w:r>
        <w:t xml:space="preserve">beginning with</w:t>
      </w:r>
      <w:r>
        <w:t xml:space="preserve"> </w:t>
      </w:r>
      <w:r>
        <w:rPr>
          <w:iCs/>
          <w:i/>
        </w:rPr>
        <w:t xml:space="preserve">magham</w:t>
      </w:r>
      <w:r>
        <w:t xml:space="preserve">,</w:t>
      </w:r>
      <w:r>
        <w:t xml:space="preserve"> </w:t>
      </w:r>
      <w:r>
        <w:rPr>
          <w:iCs/>
          <w:i/>
        </w:rPr>
        <w:t xml:space="preserve">vedas</w:t>
      </w:r>
      <w:r>
        <w:t xml:space="preserve"> </w:t>
      </w:r>
      <w:r>
        <w:t xml:space="preserve">is read.</w:t>
      </w:r>
      <w:r>
        <w:t xml:space="preserve">”</w:t>
      </w:r>
      <w:r>
        <w:t xml:space="preserve"> </w:t>
      </w:r>
      <w:r>
        <w:rPr>
          <w:iCs/>
          <w:i/>
        </w:rPr>
        <w:t xml:space="preserve">(Grammar noted briefly: that</w:t>
      </w:r>
      <w:r>
        <w:t xml:space="preserve"> </w:t>
      </w:r>
      <w:r>
        <w:t xml:space="preserve">hotṛ</w:t>
      </w:r>
      <w:r>
        <w:t xml:space="preserve"> </w:t>
      </w:r>
      <w:r>
        <w:rPr>
          <w:iCs/>
          <w:i/>
        </w:rPr>
        <w:t xml:space="preserve">is from</w:t>
      </w:r>
      <w:r>
        <w:t xml:space="preserve"> </w:t>
      </w:r>
      <w:r>
        <w:t xml:space="preserve">hveñ</w:t>
      </w:r>
      <w:r>
        <w:t xml:space="preserve"> </w:t>
      </w:r>
      <w:r>
        <w:rPr>
          <w:iCs/>
          <w:i/>
        </w:rPr>
        <w:t xml:space="preserve">with</w:t>
      </w:r>
      <w:r>
        <w:t xml:space="preserve"> </w:t>
      </w:r>
      <w:r>
        <w:t xml:space="preserve">tṛn</w:t>
      </w:r>
      <w:r>
        <w:t xml:space="preserve"> </w:t>
      </w:r>
      <w:r>
        <w:rPr>
          <w:iCs/>
          <w:i/>
        </w:rPr>
        <w:t xml:space="preserve">in the habitual sense, with</w:t>
      </w:r>
      <w:r>
        <w:t xml:space="preserve"> </w:t>
      </w:r>
      <w:r>
        <w:t xml:space="preserve">saṃprasāraṇa</w:t>
      </w:r>
      <w:r>
        <w:rPr>
          <w:iCs/>
          <w:i/>
        </w:rPr>
        <w:t xml:space="preserve">, pūrvarūpa and</w:t>
      </w:r>
      <w:r>
        <w:t xml:space="preserve"> </w:t>
      </w:r>
      <w:r>
        <w:t xml:space="preserve">guṇa</w:t>
      </w:r>
      <w:r>
        <w:rPr>
          <w:iCs/>
          <w:i/>
        </w:rPr>
        <w:t xml:space="preserve">, initial-udātta since</w:t>
      </w:r>
      <w:r>
        <w:t xml:space="preserve"> </w:t>
      </w:r>
      <w:r>
        <w:t xml:space="preserve">nit</w:t>
      </w:r>
      <w:r>
        <w:rPr>
          <w:iCs/>
          <w:i/>
        </w:rPr>
        <w:t xml:space="preserve">; that</w:t>
      </w:r>
      <w:r>
        <w:t xml:space="preserve"> </w:t>
      </w:r>
      <w:r>
        <w:t xml:space="preserve">viśvavedasam</w:t>
      </w:r>
      <w:r>
        <w:t xml:space="preserve"> </w:t>
      </w:r>
      <w:r>
        <w:rPr>
          <w:iCs/>
          <w:i/>
        </w:rPr>
        <w:t xml:space="preserve">is a bahuvrīhi in which</w:t>
      </w:r>
      <w:r>
        <w:t xml:space="preserve"> </w:t>
      </w:r>
      <w:r>
        <w:t xml:space="preserve">viśva</w:t>
      </w:r>
      <w:r>
        <w:rPr>
          <w:iCs/>
          <w:i/>
        </w:rPr>
        <w:t xml:space="preserve">, in a name, ends in udātta (Pā. 6-2-106); that the case-ending of</w:t>
      </w:r>
      <w:r>
        <w:t xml:space="preserve"> </w:t>
      </w:r>
      <w:r>
        <w:t xml:space="preserve">asya</w:t>
      </w:r>
      <w:r>
        <w:t xml:space="preserve"> </w:t>
      </w:r>
      <w:r>
        <w:rPr>
          <w:iCs/>
          <w:i/>
        </w:rPr>
        <w:t xml:space="preserve">is udātta by</w:t>
      </w:r>
      <w:r>
        <w:t xml:space="preserve"> </w:t>
      </w:r>
      <w:r>
        <w:t xml:space="preserve">ūḍ-idam…</w:t>
      </w:r>
      <w:r>
        <w:rPr>
          <w:iCs/>
          <w:i/>
        </w:rPr>
        <w:t xml:space="preserve">; and that</w:t>
      </w:r>
      <w:r>
        <w:t xml:space="preserve"> </w:t>
      </w:r>
      <w:r>
        <w:t xml:space="preserve">sukratu</w:t>
      </w:r>
      <w:r>
        <w:t xml:space="preserve"> </w:t>
      </w:r>
      <w:r>
        <w:rPr>
          <w:iCs/>
          <w:i/>
        </w:rPr>
        <w:t xml:space="preserve">has initial accent by Pā. 6-2-118.)</w:t>
      </w:r>
    </w:p>
    <w:bookmarkEnd w:id="500"/>
    <w:bookmarkStart w:id="501" w:name="X6204da22aff7506209d4bd7c1d783649268b632"/>
    <w:p>
      <w:pPr>
        <w:pStyle w:val="Heading3"/>
      </w:pPr>
      <w:r>
        <w:t xml:space="preserve">Page 485 — Rik 1: word-meanings, overall sense, English, Special Topics</w:t>
      </w:r>
    </w:p>
    <w:p>
      <w:pPr>
        <w:pStyle w:val="FirstParagraph"/>
      </w:pPr>
      <w:r>
        <w:rPr>
          <w:bCs/>
          <w:b/>
        </w:rPr>
        <w:t xml:space="preserve">॥ Prati-padārthaḥ ॥</w:t>
      </w:r>
    </w:p>
    <w:p>
      <w:pPr>
        <w:pStyle w:val="BodyText"/>
      </w:pPr>
      <w:r>
        <w:rPr>
          <w:bCs/>
          <w:b/>
        </w:rPr>
        <w:t xml:space="preserve">दूतम् (dūtam)</w:t>
      </w:r>
      <w:r>
        <w:t xml:space="preserve"> </w:t>
      </w:r>
      <w:r>
        <w:t xml:space="preserve">— the messenger of the gods |</w:t>
      </w:r>
      <w:r>
        <w:t xml:space="preserve"> </w:t>
      </w:r>
      <w:r>
        <w:rPr>
          <w:bCs/>
          <w:b/>
        </w:rPr>
        <w:t xml:space="preserve">होतारम् (hotāram)</w:t>
      </w:r>
      <w:r>
        <w:t xml:space="preserve"> </w:t>
      </w:r>
      <w:r>
        <w:t xml:space="preserve">— one who invokes the gods for sacrifices and the like |</w:t>
      </w:r>
      <w:r>
        <w:t xml:space="preserve"> </w:t>
      </w:r>
      <w:r>
        <w:rPr>
          <w:bCs/>
          <w:b/>
        </w:rPr>
        <w:t xml:space="preserve">विश्ववेदसम् (viśvavedasam)</w:t>
      </w:r>
      <w:r>
        <w:t xml:space="preserve"> </w:t>
      </w:r>
      <w:r>
        <w:t xml:space="preserve">— endowed with all wealth |</w:t>
      </w:r>
      <w:r>
        <w:t xml:space="preserve"> </w:t>
      </w:r>
      <w:r>
        <w:rPr>
          <w:bCs/>
          <w:b/>
        </w:rPr>
        <w:t xml:space="preserve">अस्य यज्ञस्य (asya yajñasya)</w:t>
      </w:r>
      <w:r>
        <w:t xml:space="preserve"> </w:t>
      </w:r>
      <w:r>
        <w:t xml:space="preserve">— of this sacrifice |</w:t>
      </w:r>
      <w:r>
        <w:t xml:space="preserve"> </w:t>
      </w:r>
      <w:r>
        <w:rPr>
          <w:bCs/>
          <w:b/>
        </w:rPr>
        <w:t xml:space="preserve">सुक्रतुम् (sukratum)</w:t>
      </w:r>
      <w:r>
        <w:t xml:space="preserve"> </w:t>
      </w:r>
      <w:r>
        <w:t xml:space="preserve">— the performer of the rite, or one who knows well the procedure of this sacrifice |</w:t>
      </w:r>
      <w:r>
        <w:t xml:space="preserve"> </w:t>
      </w:r>
      <w:r>
        <w:rPr>
          <w:bCs/>
          <w:b/>
        </w:rPr>
        <w:t xml:space="preserve">अग्निम् (agnim)</w:t>
      </w:r>
      <w:r>
        <w:t xml:space="preserve"> </w:t>
      </w:r>
      <w:r>
        <w:t xml:space="preserve">— the deity named Agni |</w:t>
      </w:r>
      <w:r>
        <w:t xml:space="preserve"> </w:t>
      </w:r>
      <w:r>
        <w:rPr>
          <w:iCs/>
          <w:i/>
        </w:rPr>
        <w:t xml:space="preserve">(we)</w:t>
      </w:r>
      <w:r>
        <w:t xml:space="preserve"> </w:t>
      </w:r>
      <w:r>
        <w:rPr>
          <w:bCs/>
          <w:b/>
        </w:rPr>
        <w:t xml:space="preserve">वृणीमहे (vṛṇīmahe)</w:t>
      </w:r>
      <w:r>
        <w:t xml:space="preserve"> </w:t>
      </w:r>
      <w:r>
        <w:t xml:space="preserve">— choose and invoke (call).</w:t>
      </w:r>
    </w:p>
    <w:p>
      <w:pPr>
        <w:pStyle w:val="BodyText"/>
      </w:pPr>
      <w:r>
        <w:rPr>
          <w:bCs/>
          <w:b/>
        </w:rPr>
        <w:t xml:space="preserve">॥ Bhāvārthaḥ ॥</w:t>
      </w:r>
    </w:p>
    <w:p>
      <w:pPr>
        <w:pStyle w:val="BodyText"/>
      </w:pPr>
      <w:r>
        <w:t xml:space="preserve">Agni is the messenger of the gods, and he brings them to the sacrificial rites that we perform. This Agni has abundant wealth, and is the chief performer in this sacrifice, or one who knows well the nature of the rite. Such an Agni we choose (we pray to).</w:t>
      </w:r>
    </w:p>
    <w:p>
      <w:pPr>
        <w:pStyle w:val="BodyText"/>
      </w:pPr>
      <w:r>
        <w:rPr>
          <w:bCs/>
          <w:b/>
        </w:rPr>
        <w:t xml:space="preserve">॥ English Translation ॥</w:t>
      </w:r>
      <w:r>
        <w:t xml:space="preserve"> </w:t>
      </w:r>
      <w:r>
        <w:rPr>
          <w:iCs/>
          <w:i/>
        </w:rPr>
        <w:t xml:space="preserve">(as printed in the source)</w:t>
      </w:r>
    </w:p>
    <w:p>
      <w:pPr>
        <w:pStyle w:val="BlockText"/>
      </w:pPr>
      <w:r>
        <w:t xml:space="preserve">We select (invoke) Agni, the messenger of Gods, their invoker, the possessor of riches, the perfector of this rite or the highly wise.</w:t>
      </w:r>
    </w:p>
    <w:p>
      <w:pPr>
        <w:pStyle w:val="FirstParagraph"/>
      </w:pPr>
      <w:r>
        <w:rPr>
          <w:bCs/>
          <w:b/>
        </w:rPr>
        <w:t xml:space="preserve">॥ Viśeṣa-viṣayagaḷu (Special Topics) ॥</w:t>
      </w:r>
    </w:p>
    <w:p>
      <w:pPr>
        <w:pStyle w:val="BodyText"/>
      </w:pPr>
      <w:r>
        <w:t xml:space="preserve">From this 12th sūkta up to the 23rd sūkta, too, the ṛṣi is Medhātithi, son of Kaṇva. These sūktas are not, like the sūktas of the ṛṣi Madhucchandas explained so far, full of tangles; there is no need to supply special words; they are in a fairly easy style and can be understood by all. The style of language of some ṛṣis is very involved; the style of others is easy to understand. In the order stated earlier, at the beginning there are sūktas addressed to Agni, then sūktas addressed to Indra, and after that sūktas of other deities. The descendants of this ṛṣi are the seers of Sūktas 36–50 in this maṇḍala, of the sūktas of the 8th maṇḍala, and of the 2nd sūkta of the 9th maṇḍala. The rik</w:t>
      </w:r>
      <w:r>
        <w:t xml:space="preserve"> </w:t>
      </w:r>
      <w:r>
        <w:rPr>
          <w:iCs/>
          <w:i/>
        </w:rPr>
        <w:t xml:space="preserve">agniṃ dūtaṃ vṛṇīmahe</w:t>
      </w:r>
      <w:r>
        <w:t xml:space="preserve"> </w:t>
      </w:r>
      <w:r>
        <w:t xml:space="preserve">is read in these places: Taittirīya Saṃhitā 2-5-8-5 and 5-5-6-1 [?]; Tai. Brā. 3-5-2-3; Sāmaveda 1-3; Maitrāyaṇīya Saṃhitā 4-10-2.</w:t>
      </w:r>
    </w:p>
    <w:bookmarkEnd w:id="501"/>
    <w:bookmarkStart w:id="502" w:name="Xdf23d2f733b9881c7fd34a38d0349cc6c3a92a3"/>
    <w:p>
      <w:pPr>
        <w:pStyle w:val="Heading3"/>
      </w:pPr>
      <w:r>
        <w:t xml:space="preserve">Page 486 — Rik 1: Special Topics (continued) and grammar begins</w:t>
      </w:r>
    </w:p>
    <w:p>
      <w:pPr>
        <w:pStyle w:val="FirstParagraph"/>
      </w:pPr>
      <w:r>
        <w:rPr>
          <w:iCs/>
          <w:i/>
        </w:rPr>
        <w:t xml:space="preserve">(The</w:t>
      </w:r>
      <w:r>
        <w:t xml:space="preserve"> </w:t>
      </w:r>
      <w:r>
        <w:t xml:space="preserve">dūtam</w:t>
      </w:r>
      <w:r>
        <w:t xml:space="preserve"> </w:t>
      </w:r>
      <w:r>
        <w:rPr>
          <w:iCs/>
          <w:i/>
        </w:rPr>
        <w:t xml:space="preserve">note begins at the foot of p. 485.)</w:t>
      </w:r>
    </w:p>
    <w:p>
      <w:pPr>
        <w:pStyle w:val="BodyText"/>
      </w:pPr>
      <w:r>
        <w:rPr>
          <w:bCs/>
          <w:b/>
        </w:rPr>
        <w:t xml:space="preserve">“</w:t>
      </w:r>
      <w:r>
        <w:rPr>
          <w:bCs/>
          <w:b/>
        </w:rPr>
        <w:t xml:space="preserve">Dūtam</w:t>
      </w:r>
      <w:r>
        <w:rPr>
          <w:bCs/>
          <w:b/>
        </w:rPr>
        <w:t xml:space="preserve">”</w:t>
      </w:r>
      <w:r>
        <w:t xml:space="preserve"> </w:t>
      </w:r>
      <w:r>
        <w:t xml:space="preserve">— in explaining the word</w:t>
      </w:r>
      <w:r>
        <w:t xml:space="preserve"> </w:t>
      </w:r>
      <w:r>
        <w:rPr>
          <w:iCs/>
          <w:i/>
        </w:rPr>
        <w:t xml:space="preserve">dūta</w:t>
      </w:r>
      <w:r>
        <w:t xml:space="preserve">, the Bhāṣyakāra cites the Yajurveda sentence</w:t>
      </w:r>
      <w:r>
        <w:t xml:space="preserve"> </w:t>
      </w:r>
      <w:r>
        <w:t xml:space="preserve">“</w:t>
      </w:r>
      <w:r>
        <w:rPr>
          <w:iCs/>
          <w:i/>
        </w:rPr>
        <w:t xml:space="preserve">agnir devānāṃ dūta āsīd uśanāḥ kāvyo ’surāṇām</w:t>
      </w:r>
      <w:r>
        <w:t xml:space="preserve">”</w:t>
      </w:r>
      <w:r>
        <w:t xml:space="preserve"> </w:t>
      </w:r>
      <w:r>
        <w:t xml:space="preserve">(printed</w:t>
      </w:r>
      <w:r>
        <w:t xml:space="preserve"> </w:t>
      </w:r>
      <w:r>
        <w:t xml:space="preserve">“</w:t>
      </w:r>
      <w:r>
        <w:t xml:space="preserve">Tai. Saṃ. 3-5-8-5</w:t>
      </w:r>
      <w:r>
        <w:t xml:space="preserve">”</w:t>
      </w:r>
      <w:r>
        <w:t xml:space="preserve">; the bhāṣya gives 2-5-8-5): that is, Agni was the messenger of the gods, and Uśanas, son of Kavi, the messenger of the asuras. And the Yajurveda śruti says</w:t>
      </w:r>
      <w:r>
        <w:t xml:space="preserve"> </w:t>
      </w:r>
      <w:r>
        <w:t xml:space="preserve">“</w:t>
      </w:r>
      <w:r>
        <w:rPr>
          <w:iCs/>
          <w:i/>
        </w:rPr>
        <w:t xml:space="preserve">parokṣaṃ vā anye devāḥ</w:t>
      </w:r>
      <w:r>
        <w:t xml:space="preserve">”</w:t>
      </w:r>
      <w:r>
        <w:t xml:space="preserve"> </w:t>
      </w:r>
      <w:r>
        <w:t xml:space="preserve">— the other gods (those other than Agni) are not visible to us directly. When we humans pour into Agni the oblations we offer, so that they reach the gods, Agni stands between humans and gods, and it is believed that he carries the oblations to the gods. Hence Agni is called the messenger of the gods, as is customary.</w:t>
      </w:r>
    </w:p>
    <w:p>
      <w:pPr>
        <w:pStyle w:val="BodyText"/>
      </w:pPr>
      <w:r>
        <w:rPr>
          <w:bCs/>
          <w:b/>
        </w:rPr>
        <w:t xml:space="preserve">“</w:t>
      </w:r>
      <w:r>
        <w:rPr>
          <w:bCs/>
          <w:b/>
        </w:rPr>
        <w:t xml:space="preserve">Vṛṇīmahe</w:t>
      </w:r>
      <w:r>
        <w:rPr>
          <w:bCs/>
          <w:b/>
        </w:rPr>
        <w:t xml:space="preserve">”</w:t>
      </w:r>
      <w:r>
        <w:t xml:space="preserve"> </w:t>
      </w:r>
      <w:r>
        <w:t xml:space="preserve">—</w:t>
      </w:r>
      <w:r>
        <w:t xml:space="preserve"> </w:t>
      </w:r>
      <w:r>
        <w:t xml:space="preserve">“</w:t>
      </w:r>
      <w:r>
        <w:t xml:space="preserve">we choose; we select;</w:t>
      </w:r>
      <w:r>
        <w:t xml:space="preserve"> </w:t>
      </w:r>
      <w:r>
        <w:rPr>
          <w:iCs/>
          <w:i/>
        </w:rPr>
        <w:t xml:space="preserve">select, choose</w:t>
      </w:r>
      <w:r>
        <w:t xml:space="preserve">”</w:t>
      </w:r>
      <w:r>
        <w:t xml:space="preserve"> </w:t>
      </w:r>
      <w:r>
        <w:t xml:space="preserve">and so on [the source’s own English]. Skandasvāmī explains it as</w:t>
      </w:r>
      <w:r>
        <w:t xml:space="preserve"> </w:t>
      </w:r>
      <w:r>
        <w:t xml:space="preserve">“</w:t>
      </w:r>
      <w:r>
        <w:t xml:space="preserve">we pray.</w:t>
      </w:r>
      <w:r>
        <w:t xml:space="preserve">”</w:t>
      </w:r>
    </w:p>
    <w:p>
      <w:pPr>
        <w:pStyle w:val="BodyText"/>
      </w:pPr>
      <w:r>
        <w:rPr>
          <w:bCs/>
          <w:b/>
        </w:rPr>
        <w:t xml:space="preserve">“</w:t>
      </w:r>
      <w:r>
        <w:rPr>
          <w:bCs/>
          <w:b/>
        </w:rPr>
        <w:t xml:space="preserve">Viśvavedasam</w:t>
      </w:r>
      <w:r>
        <w:rPr>
          <w:bCs/>
          <w:b/>
        </w:rPr>
        <w:t xml:space="preserve">”</w:t>
      </w:r>
      <w:r>
        <w:t xml:space="preserve"> </w:t>
      </w:r>
      <w:r>
        <w:t xml:space="preserve">—</w:t>
      </w:r>
      <w:r>
        <w:t xml:space="preserve"> </w:t>
      </w:r>
      <w:r>
        <w:rPr>
          <w:iCs/>
          <w:i/>
        </w:rPr>
        <w:t xml:space="preserve">sarvadhanopetam</w:t>
      </w:r>
      <w:r>
        <w:t xml:space="preserve"> </w:t>
      </w:r>
      <w:r>
        <w:t xml:space="preserve">—</w:t>
      </w:r>
      <w:r>
        <w:t xml:space="preserve"> </w:t>
      </w:r>
      <w:r>
        <w:t xml:space="preserve">“</w:t>
      </w:r>
      <w:r>
        <w:t xml:space="preserve">endowed with all wealth</w:t>
      </w:r>
      <w:r>
        <w:t xml:space="preserve">”</w:t>
      </w:r>
      <w:r>
        <w:t xml:space="preserve">; the word</w:t>
      </w:r>
      <w:r>
        <w:t xml:space="preserve"> </w:t>
      </w:r>
      <w:r>
        <w:rPr>
          <w:iCs/>
          <w:i/>
        </w:rPr>
        <w:t xml:space="preserve">ratnadhātamam</w:t>
      </w:r>
      <w:r>
        <w:t xml:space="preserve"> </w:t>
      </w:r>
      <w:r>
        <w:t xml:space="preserve">in the first rik of the Ṛgveda,</w:t>
      </w:r>
      <w:r>
        <w:t xml:space="preserve"> </w:t>
      </w:r>
      <w:r>
        <w:rPr>
          <w:iCs/>
          <w:i/>
        </w:rPr>
        <w:t xml:space="preserve">agnim īḷe</w:t>
      </w:r>
      <w:r>
        <w:t xml:space="preserve">, supports this sense.</w:t>
      </w:r>
      <w:r>
        <w:t xml:space="preserve"> </w:t>
      </w:r>
      <w:r>
        <w:rPr>
          <w:iCs/>
          <w:i/>
        </w:rPr>
        <w:t xml:space="preserve">Vedas</w:t>
      </w:r>
      <w:r>
        <w:t xml:space="preserve"> </w:t>
      </w:r>
      <w:r>
        <w:t xml:space="preserve">is read among the twenty-eight words for wealth beginning with</w:t>
      </w:r>
      <w:r>
        <w:t xml:space="preserve"> </w:t>
      </w:r>
      <w:r>
        <w:rPr>
          <w:iCs/>
          <w:i/>
        </w:rPr>
        <w:t xml:space="preserve">magham</w:t>
      </w:r>
      <w:r>
        <w:t xml:space="preserve"> </w:t>
      </w:r>
      <w:r>
        <w:t xml:space="preserve">(printed</w:t>
      </w:r>
      <w:r>
        <w:t xml:space="preserve"> </w:t>
      </w:r>
      <w:r>
        <w:t xml:space="preserve">“</w:t>
      </w:r>
      <w:r>
        <w:t xml:space="preserve">2-3-9</w:t>
      </w:r>
      <w:r>
        <w:t xml:space="preserve">”</w:t>
      </w:r>
      <w:r>
        <w:t xml:space="preserve"> </w:t>
      </w:r>
      <w:r>
        <w:t xml:space="preserve">[?]); so</w:t>
      </w:r>
      <w:r>
        <w:t xml:space="preserve"> </w:t>
      </w:r>
      <w:r>
        <w:rPr>
          <w:iCs/>
          <w:i/>
        </w:rPr>
        <w:t xml:space="preserve">vedas</w:t>
      </w:r>
      <w:r>
        <w:t xml:space="preserve"> </w:t>
      </w:r>
      <w:r>
        <w:t xml:space="preserve">is to be given the sense of wealth.</w:t>
      </w:r>
    </w:p>
    <w:p>
      <w:pPr>
        <w:pStyle w:val="BodyText"/>
      </w:pPr>
      <w:r>
        <w:rPr>
          <w:bCs/>
          <w:b/>
        </w:rPr>
        <w:t xml:space="preserve">“</w:t>
      </w:r>
      <w:r>
        <w:rPr>
          <w:bCs/>
          <w:b/>
        </w:rPr>
        <w:t xml:space="preserve">Sukratum</w:t>
      </w:r>
      <w:r>
        <w:rPr>
          <w:bCs/>
          <w:b/>
        </w:rPr>
        <w:t xml:space="preserve">”</w:t>
      </w:r>
      <w:r>
        <w:t xml:space="preserve"> </w:t>
      </w:r>
      <w:r>
        <w:t xml:space="preserve">—</w:t>
      </w:r>
      <w:r>
        <w:t xml:space="preserve"> </w:t>
      </w:r>
      <w:r>
        <w:rPr>
          <w:iCs/>
          <w:i/>
        </w:rPr>
        <w:t xml:space="preserve">śobhana-karmāṇam</w:t>
      </w:r>
      <w:r>
        <w:t xml:space="preserve"> </w:t>
      </w:r>
      <w:r>
        <w:t xml:space="preserve">or</w:t>
      </w:r>
      <w:r>
        <w:t xml:space="preserve"> </w:t>
      </w:r>
      <w:r>
        <w:rPr>
          <w:iCs/>
          <w:i/>
        </w:rPr>
        <w:t xml:space="preserve">śobhana-prajñam</w:t>
      </w:r>
      <w:r>
        <w:t xml:space="preserve">: one who has good deeds or good wisdom; that is, one who performs the needed acts of sacrifice and brings the sacrificial rite to completion with all its limbs; one of excellent wisdom; one who knows well the nature of the rites of sacrifice and the like. The word</w:t>
      </w:r>
      <w:r>
        <w:t xml:space="preserve"> </w:t>
      </w:r>
      <w:r>
        <w:rPr>
          <w:iCs/>
          <w:i/>
        </w:rPr>
        <w:t xml:space="preserve">kratu</w:t>
      </w:r>
      <w:r>
        <w:t xml:space="preserve"> </w:t>
      </w:r>
      <w:r>
        <w:t xml:space="preserve">is read both among the twenty-six words for</w:t>
      </w:r>
      <w:r>
        <w:t xml:space="preserve"> </w:t>
      </w:r>
      <w:r>
        <w:t xml:space="preserve">‘</w:t>
      </w:r>
      <w:r>
        <w:t xml:space="preserve">work</w:t>
      </w:r>
      <w:r>
        <w:t xml:space="preserve">’</w:t>
      </w:r>
      <w:r>
        <w:t xml:space="preserve"> </w:t>
      </w:r>
      <w:r>
        <w:t xml:space="preserve">beginning with</w:t>
      </w:r>
      <w:r>
        <w:t xml:space="preserve"> </w:t>
      </w:r>
      <w:r>
        <w:rPr>
          <w:iCs/>
          <w:i/>
        </w:rPr>
        <w:t xml:space="preserve">apaḥ</w:t>
      </w:r>
      <w:r>
        <w:t xml:space="preserve"> </w:t>
      </w:r>
      <w:r>
        <w:t xml:space="preserve">(Ni.</w:t>
      </w:r>
      <w:r>
        <w:t xml:space="preserve"> </w:t>
      </w:r>
      <w:r>
        <w:t xml:space="preserve">“</w:t>
      </w:r>
      <w:r>
        <w:t xml:space="preserve">3-1</w:t>
      </w:r>
      <w:r>
        <w:t xml:space="preserve">”</w:t>
      </w:r>
      <w:r>
        <w:t xml:space="preserve"> </w:t>
      </w:r>
      <w:r>
        <w:t xml:space="preserve">[as printed]), and among the eleven words for</w:t>
      </w:r>
      <w:r>
        <w:t xml:space="preserve"> </w:t>
      </w:r>
      <w:r>
        <w:t xml:space="preserve">‘</w:t>
      </w:r>
      <w:r>
        <w:t xml:space="preserve">wisdom</w:t>
      </w:r>
      <w:r>
        <w:t xml:space="preserve">’</w:t>
      </w:r>
      <w:r>
        <w:t xml:space="preserve"> </w:t>
      </w:r>
      <w:r>
        <w:t xml:space="preserve">beginning with</w:t>
      </w:r>
      <w:r>
        <w:t xml:space="preserve"> </w:t>
      </w:r>
      <w:r>
        <w:rPr>
          <w:iCs/>
          <w:i/>
        </w:rPr>
        <w:t xml:space="preserve">ketaḥ</w:t>
      </w:r>
      <w:r>
        <w:t xml:space="preserve"> </w:t>
      </w:r>
      <w:r>
        <w:t xml:space="preserve">(Ni. 3-13), so</w:t>
      </w:r>
      <w:r>
        <w:t xml:space="preserve"> </w:t>
      </w:r>
      <w:r>
        <w:rPr>
          <w:iCs/>
          <w:i/>
        </w:rPr>
        <w:t xml:space="preserve">kratu</w:t>
      </w:r>
      <w:r>
        <w:t xml:space="preserve"> </w:t>
      </w:r>
      <w:r>
        <w:t xml:space="preserve">has two senses, work and wisdom.</w:t>
      </w:r>
    </w:p>
    <w:p>
      <w:pPr>
        <w:pStyle w:val="BodyText"/>
      </w:pPr>
      <w:r>
        <w:rPr>
          <w:bCs/>
          <w:b/>
        </w:rPr>
        <w:t xml:space="preserve">॥ Vyākaraṇa-prakriyā ॥</w:t>
      </w:r>
      <w:r>
        <w:t xml:space="preserve"> </w:t>
      </w:r>
      <w:r>
        <w:rPr>
          <w:iCs/>
          <w:i/>
        </w:rPr>
        <w:t xml:space="preserve">(grammar pages 486–487, noted briefly; numbers checked against the print)</w:t>
      </w:r>
    </w:p>
    <w:p>
      <w:pPr>
        <w:pStyle w:val="BodyText"/>
      </w:pPr>
      <w:r>
        <w:rPr>
          <w:bCs/>
          <w:b/>
        </w:rPr>
        <w:t xml:space="preserve">होतारम् (</w:t>
      </w:r>
      <w:r>
        <w:rPr>
          <w:iCs/>
          <w:i/>
          <w:bCs/>
          <w:b/>
        </w:rPr>
        <w:t xml:space="preserve">hotāram</w:t>
      </w:r>
      <w:r>
        <w:rPr>
          <w:bCs/>
          <w:b/>
        </w:rPr>
        <w:t xml:space="preserve">)</w:t>
      </w:r>
      <w:r>
        <w:t xml:space="preserve"> </w:t>
      </w:r>
      <w:r>
        <w:t xml:space="preserve">— root</w:t>
      </w:r>
      <w:r>
        <w:t xml:space="preserve"> </w:t>
      </w:r>
      <w:r>
        <w:rPr>
          <w:iCs/>
          <w:i/>
        </w:rPr>
        <w:t xml:space="preserve">hveñ spardhāyāṃ śabde ca</w:t>
      </w:r>
      <w:r>
        <w:t xml:space="preserve">;</w:t>
      </w:r>
      <w:r>
        <w:t xml:space="preserve"> </w:t>
      </w:r>
      <w:r>
        <w:rPr>
          <w:iCs/>
          <w:i/>
        </w:rPr>
        <w:t xml:space="preserve">tṛn</w:t>
      </w:r>
      <w:r>
        <w:t xml:space="preserve"> </w:t>
      </w:r>
      <w:r>
        <w:t xml:space="preserve">by</w:t>
      </w:r>
      <w:r>
        <w:t xml:space="preserve"> </w:t>
      </w:r>
      <w:r>
        <w:t xml:space="preserve">“</w:t>
      </w:r>
      <w:r>
        <w:t xml:space="preserve">tṛn</w:t>
      </w:r>
      <w:r>
        <w:t xml:space="preserve">”</w:t>
      </w:r>
      <w:r>
        <w:t xml:space="preserve"> </w:t>
      </w:r>
      <w:r>
        <w:t xml:space="preserve">(Pā. 3-2-135) in the senses of habit, duty and doing it well:</w:t>
      </w:r>
      <w:r>
        <w:t xml:space="preserve"> </w:t>
      </w:r>
      <w:r>
        <w:rPr>
          <w:iCs/>
          <w:i/>
        </w:rPr>
        <w:t xml:space="preserve">hve</w:t>
      </w:r>
      <w:r>
        <w:t xml:space="preserve"> </w:t>
      </w:r>
      <w:r>
        <w:t xml:space="preserve">+</w:t>
      </w:r>
      <w:r>
        <w:t xml:space="preserve"> </w:t>
      </w:r>
      <w:r>
        <w:rPr>
          <w:iCs/>
          <w:i/>
        </w:rPr>
        <w:t xml:space="preserve">tṛ</w:t>
      </w:r>
      <w:r>
        <w:t xml:space="preserve">;</w:t>
      </w:r>
      <w:r>
        <w:t xml:space="preserve"> </w:t>
      </w:r>
      <w:r>
        <w:t xml:space="preserve">“</w:t>
      </w:r>
      <w:r>
        <w:t xml:space="preserve">bahulaṃ chandasi</w:t>
      </w:r>
      <w:r>
        <w:t xml:space="preserve">”</w:t>
      </w:r>
      <w:r>
        <w:t xml:space="preserve"> </w:t>
      </w:r>
      <w:r>
        <w:t xml:space="preserve">(Pā. 6-1-34) gives</w:t>
      </w:r>
      <w:r>
        <w:t xml:space="preserve"> </w:t>
      </w:r>
      <w:r>
        <w:rPr>
          <w:iCs/>
          <w:i/>
        </w:rPr>
        <w:t xml:space="preserve">samprasāraṇa</w:t>
      </w:r>
      <w:r>
        <w:t xml:space="preserve">,</w:t>
      </w:r>
      <w:r>
        <w:t xml:space="preserve"> </w:t>
      </w:r>
      <w:r>
        <w:rPr>
          <w:iCs/>
          <w:i/>
        </w:rPr>
        <w:t xml:space="preserve">u</w:t>
      </w:r>
      <w:r>
        <w:t xml:space="preserve"> </w:t>
      </w:r>
      <w:r>
        <w:t xml:space="preserve">for the</w:t>
      </w:r>
      <w:r>
        <w:t xml:space="preserve"> </w:t>
      </w:r>
      <w:r>
        <w:rPr>
          <w:iCs/>
          <w:i/>
        </w:rPr>
        <w:t xml:space="preserve">v</w:t>
      </w:r>
      <w:r>
        <w:t xml:space="preserve">;</w:t>
      </w:r>
      <w:r>
        <w:t xml:space="preserve"> </w:t>
      </w:r>
      <w:r>
        <w:rPr>
          <w:iCs/>
          <w:i/>
        </w:rPr>
        <w:t xml:space="preserve">pūrvarūpa</w:t>
      </w:r>
      <w:r>
        <w:t xml:space="preserve"> </w:t>
      </w:r>
      <w:r>
        <w:t xml:space="preserve">by</w:t>
      </w:r>
      <w:r>
        <w:t xml:space="preserve"> </w:t>
      </w:r>
      <w:r>
        <w:t xml:space="preserve">“</w:t>
      </w:r>
      <w:r>
        <w:t xml:space="preserve">samprasāraṇāc ca</w:t>
      </w:r>
      <w:r>
        <w:t xml:space="preserve">”</w:t>
      </w:r>
      <w:r>
        <w:t xml:space="preserve"> </w:t>
      </w:r>
      <w:r>
        <w:t xml:space="preserve">(Pā. 6-1-108);</w:t>
      </w:r>
      <w:r>
        <w:t xml:space="preserve"> </w:t>
      </w:r>
      <w:r>
        <w:rPr>
          <w:iCs/>
          <w:i/>
        </w:rPr>
        <w:t xml:space="preserve">hu</w:t>
      </w:r>
      <w:r>
        <w:t xml:space="preserve"> </w:t>
      </w:r>
      <w:r>
        <w:t xml:space="preserve">+</w:t>
      </w:r>
      <w:r>
        <w:t xml:space="preserve"> </w:t>
      </w:r>
      <w:r>
        <w:rPr>
          <w:iCs/>
          <w:i/>
        </w:rPr>
        <w:t xml:space="preserve">tṛ</w:t>
      </w:r>
      <w:r>
        <w:t xml:space="preserve">:</w:t>
      </w:r>
      <w:r>
        <w:t xml:space="preserve"> </w:t>
      </w:r>
      <w:r>
        <w:t xml:space="preserve">“</w:t>
      </w:r>
      <w:r>
        <w:t xml:space="preserve">sārvadhātukārdhadhātukayoḥ</w:t>
      </w:r>
      <w:r>
        <w:t xml:space="preserve">”</w:t>
      </w:r>
      <w:r>
        <w:t xml:space="preserve"> </w:t>
      </w:r>
      <w:r>
        <w:t xml:space="preserve">(Pā. 7-3-84) gives</w:t>
      </w:r>
      <w:r>
        <w:t xml:space="preserve"> </w:t>
      </w:r>
      <w:r>
        <w:rPr>
          <w:iCs/>
          <w:i/>
        </w:rPr>
        <w:t xml:space="preserve">guṇa</w:t>
      </w:r>
      <w:r>
        <w:t xml:space="preserve"> </w:t>
      </w:r>
      <w:r>
        <w:t xml:space="preserve">to an</w:t>
      </w:r>
      <w:r>
        <w:t xml:space="preserve"> </w:t>
      </w:r>
      <w:r>
        <w:rPr>
          <w:iCs/>
          <w:i/>
        </w:rPr>
        <w:t xml:space="preserve">ik</w:t>
      </w:r>
      <w:r>
        <w:t xml:space="preserve">-final stem before these suffixes; by</w:t>
      </w:r>
      <w:r>
        <w:t xml:space="preserve"> </w:t>
      </w:r>
      <w:r>
        <w:t xml:space="preserve">“</w:t>
      </w:r>
      <w:r>
        <w:t xml:space="preserve">tiṅ-śit sārvadhātukam</w:t>
      </w:r>
      <w:r>
        <w:t xml:space="preserve">”</w:t>
      </w:r>
      <w:r>
        <w:t xml:space="preserve"> </w:t>
      </w:r>
      <w:r>
        <w:t xml:space="preserve">(Pā. 3-4-113) the</w:t>
      </w:r>
      <w:r>
        <w:t xml:space="preserve"> </w:t>
      </w:r>
      <w:r>
        <w:rPr>
          <w:iCs/>
          <w:i/>
        </w:rPr>
        <w:t xml:space="preserve">tiṅ</w:t>
      </w:r>
      <w:r>
        <w:t xml:space="preserve"> </w:t>
      </w:r>
      <w:r>
        <w:t xml:space="preserve">endings and</w:t>
      </w:r>
      <w:r>
        <w:t xml:space="preserve"> </w:t>
      </w:r>
      <w:r>
        <w:rPr>
          <w:iCs/>
          <w:i/>
        </w:rPr>
        <w:t xml:space="preserve">ś</w:t>
      </w:r>
      <w:r>
        <w:t xml:space="preserve">-marked suffixes are</w:t>
      </w:r>
      <w:r>
        <w:t xml:space="preserve"> </w:t>
      </w:r>
      <w:r>
        <w:rPr>
          <w:iCs/>
          <w:i/>
        </w:rPr>
        <w:t xml:space="preserve">sārvadhātuka</w:t>
      </w:r>
      <w:r>
        <w:t xml:space="preserve">, and by</w:t>
      </w:r>
      <w:r>
        <w:t xml:space="preserve"> </w:t>
      </w:r>
      <w:r>
        <w:t xml:space="preserve">“</w:t>
      </w:r>
      <w:r>
        <w:t xml:space="preserve">ārdhadhātukaṃ śeṣaḥ</w:t>
      </w:r>
      <w:r>
        <w:t xml:space="preserve">”</w:t>
      </w:r>
      <w:r>
        <w:t xml:space="preserve"> </w:t>
      </w:r>
      <w:r>
        <w:t xml:space="preserve">(Pā. 3-4-114) the other suffixes taught under</w:t>
      </w:r>
      <w:r>
        <w:t xml:space="preserve"> </w:t>
      </w:r>
      <w:r>
        <w:t xml:space="preserve">“</w:t>
      </w:r>
      <w:r>
        <w:t xml:space="preserve">dhātoḥ</w:t>
      </w:r>
      <w:r>
        <w:t xml:space="preserve">”</w:t>
      </w:r>
      <w:r>
        <w:t xml:space="preserve"> </w:t>
      </w:r>
      <w:r>
        <w:t xml:space="preserve">(Pā. 3-1-91) are</w:t>
      </w:r>
      <w:r>
        <w:t xml:space="preserve"> </w:t>
      </w:r>
      <w:r>
        <w:rPr>
          <w:iCs/>
          <w:i/>
        </w:rPr>
        <w:t xml:space="preserve">ārdhadhātuka</w:t>
      </w:r>
      <w:r>
        <w:t xml:space="preserve">;</w:t>
      </w:r>
      <w:r>
        <w:t xml:space="preserve"> </w:t>
      </w:r>
      <w:r>
        <w:rPr>
          <w:iCs/>
          <w:i/>
        </w:rPr>
        <w:t xml:space="preserve">tṛn</w:t>
      </w:r>
      <w:r>
        <w:t xml:space="preserve"> </w:t>
      </w:r>
      <w:r>
        <w:t xml:space="preserve">is neither</w:t>
      </w:r>
      <w:r>
        <w:t xml:space="preserve"> </w:t>
      </w:r>
      <w:r>
        <w:rPr>
          <w:iCs/>
          <w:i/>
        </w:rPr>
        <w:t xml:space="preserve">tiṅ</w:t>
      </w:r>
      <w:r>
        <w:t xml:space="preserve"> </w:t>
      </w:r>
      <w:r>
        <w:t xml:space="preserve">nor</w:t>
      </w:r>
      <w:r>
        <w:t xml:space="preserve"> </w:t>
      </w:r>
      <w:r>
        <w:rPr>
          <w:iCs/>
          <w:i/>
        </w:rPr>
        <w:t xml:space="preserve">śit</w:t>
      </w:r>
      <w:r>
        <w:t xml:space="preserve">, so it is</w:t>
      </w:r>
      <w:r>
        <w:t xml:space="preserve"> </w:t>
      </w:r>
      <w:r>
        <w:rPr>
          <w:iCs/>
          <w:i/>
        </w:rPr>
        <w:t xml:space="preserve">ārdhadhātuka</w:t>
      </w:r>
      <w:r>
        <w:t xml:space="preserve">, and the</w:t>
      </w:r>
      <w:r>
        <w:t xml:space="preserve"> </w:t>
      </w:r>
      <w:r>
        <w:rPr>
          <w:iCs/>
          <w:i/>
        </w:rPr>
        <w:t xml:space="preserve">u</w:t>
      </w:r>
      <w:r>
        <w:t xml:space="preserve"> </w:t>
      </w:r>
      <w:r>
        <w:t xml:space="preserve">of</w:t>
      </w:r>
      <w:r>
        <w:t xml:space="preserve"> </w:t>
      </w:r>
      <w:r>
        <w:rPr>
          <w:iCs/>
          <w:i/>
        </w:rPr>
        <w:t xml:space="preserve">hu</w:t>
      </w:r>
      <w:r>
        <w:t xml:space="preserve"> </w:t>
      </w:r>
      <w:r>
        <w:t xml:space="preserve">takes</w:t>
      </w:r>
      <w:r>
        <w:t xml:space="preserve"> </w:t>
      </w:r>
      <w:r>
        <w:rPr>
          <w:iCs/>
          <w:i/>
        </w:rPr>
        <w:t xml:space="preserve">guṇa</w:t>
      </w:r>
      <w:r>
        <w:t xml:space="preserve">:</w:t>
      </w:r>
      <w:r>
        <w:t xml:space="preserve"> </w:t>
      </w:r>
      <w:r>
        <w:rPr>
          <w:iCs/>
          <w:i/>
        </w:rPr>
        <w:t xml:space="preserve">hotṛ</w:t>
      </w:r>
      <w:r>
        <w:t xml:space="preserve">; then the accusative singular</w:t>
      </w:r>
      <w:r>
        <w:t xml:space="preserve"> </w:t>
      </w:r>
      <w:r>
        <w:rPr>
          <w:iCs/>
          <w:i/>
        </w:rPr>
        <w:t xml:space="preserve">am</w:t>
      </w:r>
      <w:r>
        <w:t xml:space="preserve">:</w:t>
      </w:r>
    </w:p>
    <w:bookmarkEnd w:id="502"/>
    <w:bookmarkStart w:id="503" w:name="page-487-rik-1-grammar-closes"/>
    <w:p>
      <w:pPr>
        <w:pStyle w:val="Heading3"/>
      </w:pPr>
      <w:r>
        <w:t xml:space="preserve">Page 487 — Rik 1 grammar closes</w:t>
      </w:r>
    </w:p>
    <w:p>
      <w:pPr>
        <w:pStyle w:val="FirstParagraph"/>
      </w:pPr>
      <w:r>
        <w:t xml:space="preserve">“</w:t>
      </w:r>
      <w:r>
        <w:t xml:space="preserve">ṛto ṅi-sarvanāmasthānayoḥ</w:t>
      </w:r>
      <w:r>
        <w:t xml:space="preserve">”</w:t>
      </w:r>
      <w:r>
        <w:t xml:space="preserve"> </w:t>
      </w:r>
      <w:r>
        <w:t xml:space="preserve">(Pā. 7-3-110) gives</w:t>
      </w:r>
      <w:r>
        <w:t xml:space="preserve"> </w:t>
      </w:r>
      <w:r>
        <w:rPr>
          <w:iCs/>
          <w:i/>
        </w:rPr>
        <w:t xml:space="preserve">guṇa</w:t>
      </w:r>
      <w:r>
        <w:t xml:space="preserve"> </w:t>
      </w:r>
      <w:r>
        <w:t xml:space="preserve">of the</w:t>
      </w:r>
      <w:r>
        <w:t xml:space="preserve"> </w:t>
      </w:r>
      <w:r>
        <w:rPr>
          <w:iCs/>
          <w:i/>
        </w:rPr>
        <w:t xml:space="preserve">ṛ</w:t>
      </w:r>
      <w:r>
        <w:t xml:space="preserve"> </w:t>
      </w:r>
      <w:r>
        <w:t xml:space="preserve">with</w:t>
      </w:r>
      <w:r>
        <w:t xml:space="preserve"> </w:t>
      </w:r>
      <w:r>
        <w:rPr>
          <w:iCs/>
          <w:i/>
        </w:rPr>
        <w:t xml:space="preserve">r</w:t>
      </w:r>
      <w:r>
        <w:t xml:space="preserve">:</w:t>
      </w:r>
      <w:r>
        <w:t xml:space="preserve"> </w:t>
      </w:r>
      <w:r>
        <w:rPr>
          <w:iCs/>
          <w:i/>
        </w:rPr>
        <w:t xml:space="preserve">hotar</w:t>
      </w:r>
      <w:r>
        <w:t xml:space="preserve"> </w:t>
      </w:r>
      <w:r>
        <w:t xml:space="preserve">+</w:t>
      </w:r>
      <w:r>
        <w:t xml:space="preserve"> </w:t>
      </w:r>
      <w:r>
        <w:rPr>
          <w:iCs/>
          <w:i/>
        </w:rPr>
        <w:t xml:space="preserve">am</w:t>
      </w:r>
      <w:r>
        <w:t xml:space="preserve">;</w:t>
      </w:r>
      <w:r>
        <w:t xml:space="preserve"> </w:t>
      </w:r>
      <w:r>
        <w:t xml:space="preserve">“</w:t>
      </w:r>
      <w:r>
        <w:t xml:space="preserve">ap-tṛn-tṛc…</w:t>
      </w:r>
      <w:r>
        <w:t xml:space="preserve">”</w:t>
      </w:r>
      <w:r>
        <w:t xml:space="preserve"> </w:t>
      </w:r>
      <w:r>
        <w:t xml:space="preserve">(Pā. 6-4-11) lengthens the penultimate:</w:t>
      </w:r>
      <w:r>
        <w:t xml:space="preserve"> </w:t>
      </w:r>
      <w:r>
        <w:rPr>
          <w:iCs/>
          <w:i/>
        </w:rPr>
        <w:t xml:space="preserve">hotāram</w:t>
      </w:r>
      <w:r>
        <w:t xml:space="preserve">;</w:t>
      </w:r>
      <w:r>
        <w:t xml:space="preserve"> </w:t>
      </w:r>
      <w:r>
        <w:rPr>
          <w:iCs/>
          <w:i/>
        </w:rPr>
        <w:t xml:space="preserve">hotṛ</w:t>
      </w:r>
      <w:r>
        <w:t xml:space="preserve"> </w:t>
      </w:r>
      <w:r>
        <w:t xml:space="preserve">initial-udātta by the</w:t>
      </w:r>
      <w:r>
        <w:t xml:space="preserve"> </w:t>
      </w:r>
      <w:r>
        <w:rPr>
          <w:iCs/>
          <w:i/>
        </w:rPr>
        <w:t xml:space="preserve">nit</w:t>
      </w:r>
      <w:r>
        <w:t xml:space="preserve"> </w:t>
      </w:r>
      <w:r>
        <w:t xml:space="preserve">accent.</w:t>
      </w:r>
      <w:r>
        <w:t xml:space="preserve"> </w:t>
      </w:r>
      <w:r>
        <w:rPr>
          <w:bCs/>
          <w:b/>
        </w:rPr>
        <w:t xml:space="preserve">विश्ववेदसम् (</w:t>
      </w:r>
      <w:r>
        <w:rPr>
          <w:iCs/>
          <w:i/>
          <w:bCs/>
          <w:b/>
        </w:rPr>
        <w:t xml:space="preserve">viśvavedasam</w:t>
      </w:r>
      <w:r>
        <w:rPr>
          <w:bCs/>
          <w:b/>
        </w:rPr>
        <w:t xml:space="preserve">)</w:t>
      </w:r>
      <w:r>
        <w:t xml:space="preserve"> </w:t>
      </w:r>
      <w:r>
        <w:t xml:space="preserve">—</w:t>
      </w:r>
      <w:r>
        <w:t xml:space="preserve"> </w:t>
      </w:r>
      <w:r>
        <w:t xml:space="preserve">“</w:t>
      </w:r>
      <w:r>
        <w:t xml:space="preserve">viśvaṃ vedo yasya saḥ</w:t>
      </w:r>
      <w:r>
        <w:t xml:space="preserve">”</w:t>
      </w:r>
      <w:r>
        <w:t xml:space="preserve">: a bahuvrīhi;</w:t>
      </w:r>
      <w:r>
        <w:t xml:space="preserve"> </w:t>
      </w:r>
      <w:r>
        <w:t xml:space="preserve">“</w:t>
      </w:r>
      <w:r>
        <w:t xml:space="preserve">bahuvrīhau viśvaṃ saṃjñāyām</w:t>
      </w:r>
      <w:r>
        <w:t xml:space="preserve">”</w:t>
      </w:r>
      <w:r>
        <w:t xml:space="preserve"> </w:t>
      </w:r>
      <w:r>
        <w:t xml:space="preserve">(Pā. 6-2-106) —</w:t>
      </w:r>
      <w:r>
        <w:t xml:space="preserve"> </w:t>
      </w:r>
      <w:r>
        <w:rPr>
          <w:iCs/>
          <w:i/>
        </w:rPr>
        <w:t xml:space="preserve">viśva</w:t>
      </w:r>
      <w:r>
        <w:t xml:space="preserve"> </w:t>
      </w:r>
      <w:r>
        <w:t xml:space="preserve">as the first member in a name-bahuvrīhi ends in udātta; without this sūtra</w:t>
      </w:r>
      <w:r>
        <w:t xml:space="preserve"> </w:t>
      </w:r>
      <w:r>
        <w:rPr>
          <w:iCs/>
          <w:i/>
        </w:rPr>
        <w:t xml:space="preserve">viśva</w:t>
      </w:r>
      <w:r>
        <w:t xml:space="preserve"> </w:t>
      </w:r>
      <w:r>
        <w:t xml:space="preserve">would be initial-udātta, being a</w:t>
      </w:r>
      <w:r>
        <w:t xml:space="preserve"> </w:t>
      </w:r>
      <w:r>
        <w:rPr>
          <w:iCs/>
          <w:i/>
        </w:rPr>
        <w:t xml:space="preserve">kvan</w:t>
      </w:r>
      <w:r>
        <w:t xml:space="preserve"> </w:t>
      </w:r>
      <w:r>
        <w:t xml:space="preserve">word, and</w:t>
      </w:r>
      <w:r>
        <w:t xml:space="preserve"> </w:t>
      </w:r>
      <w:r>
        <w:t xml:space="preserve">“</w:t>
      </w:r>
      <w:r>
        <w:t xml:space="preserve">bahuvrīhau prakṛtyā pūrvapadam</w:t>
      </w:r>
      <w:r>
        <w:t xml:space="preserve">”</w:t>
      </w:r>
      <w:r>
        <w:t xml:space="preserve"> </w:t>
      </w:r>
      <w:r>
        <w:t xml:space="preserve">(Pā. 6-2-1) would keep that; the sūtra overrides it, so the final syllable is udātta.</w:t>
      </w:r>
      <w:r>
        <w:t xml:space="preserve"> </w:t>
      </w:r>
      <w:r>
        <w:rPr>
          <w:bCs/>
          <w:b/>
        </w:rPr>
        <w:t xml:space="preserve">अस्य (</w:t>
      </w:r>
      <w:r>
        <w:rPr>
          <w:iCs/>
          <w:i/>
          <w:bCs/>
          <w:b/>
        </w:rPr>
        <w:t xml:space="preserve">asya</w:t>
      </w:r>
      <w:r>
        <w:rPr>
          <w:bCs/>
          <w:b/>
        </w:rPr>
        <w:t xml:space="preserve">)</w:t>
      </w:r>
      <w:r>
        <w:t xml:space="preserve"> </w:t>
      </w:r>
      <w:r>
        <w:t xml:space="preserve">— after</w:t>
      </w:r>
      <w:r>
        <w:t xml:space="preserve"> </w:t>
      </w:r>
      <w:r>
        <w:rPr>
          <w:iCs/>
          <w:i/>
        </w:rPr>
        <w:t xml:space="preserve">idam</w:t>
      </w:r>
      <w:r>
        <w:t xml:space="preserve">, the genitive ending is udātta by</w:t>
      </w:r>
      <w:r>
        <w:t xml:space="preserve"> </w:t>
      </w:r>
      <w:r>
        <w:t xml:space="preserve">“</w:t>
      </w:r>
      <w:r>
        <w:t xml:space="preserve">ūḍidam-padādy-appum-raidyubhyaḥ</w:t>
      </w:r>
      <w:r>
        <w:t xml:space="preserve">”</w:t>
      </w:r>
      <w:r>
        <w:t xml:space="preserve"> </w:t>
      </w:r>
      <w:r>
        <w:t xml:space="preserve">(Pā. 6-1-171).</w:t>
      </w:r>
      <w:r>
        <w:t xml:space="preserve"> </w:t>
      </w:r>
      <w:r>
        <w:rPr>
          <w:bCs/>
          <w:b/>
        </w:rPr>
        <w:t xml:space="preserve">सुक्रतुम् (</w:t>
      </w:r>
      <w:r>
        <w:rPr>
          <w:iCs/>
          <w:i/>
          <w:bCs/>
          <w:b/>
        </w:rPr>
        <w:t xml:space="preserve">sukratum</w:t>
      </w:r>
      <w:r>
        <w:rPr>
          <w:bCs/>
          <w:b/>
        </w:rPr>
        <w:t xml:space="preserve">)</w:t>
      </w:r>
      <w:r>
        <w:t xml:space="preserve"> </w:t>
      </w:r>
      <w:r>
        <w:t xml:space="preserve">—</w:t>
      </w:r>
      <w:r>
        <w:t xml:space="preserve"> </w:t>
      </w:r>
      <w:r>
        <w:t xml:space="preserve">“</w:t>
      </w:r>
      <w:r>
        <w:t xml:space="preserve">kratvādayaś ca</w:t>
      </w:r>
      <w:r>
        <w:t xml:space="preserve">”</w:t>
      </w:r>
      <w:r>
        <w:t xml:space="preserve"> </w:t>
      </w:r>
      <w:r>
        <w:t xml:space="preserve">(Pā. 6-2-118): words of the</w:t>
      </w:r>
      <w:r>
        <w:t xml:space="preserve"> </w:t>
      </w:r>
      <w:r>
        <w:rPr>
          <w:iCs/>
          <w:i/>
        </w:rPr>
        <w:t xml:space="preserve">kratu</w:t>
      </w:r>
      <w:r>
        <w:t xml:space="preserve"> </w:t>
      </w:r>
      <w:r>
        <w:t xml:space="preserve">class after</w:t>
      </w:r>
      <w:r>
        <w:t xml:space="preserve"> </w:t>
      </w:r>
      <w:r>
        <w:rPr>
          <w:iCs/>
          <w:i/>
        </w:rPr>
        <w:t xml:space="preserve">su</w:t>
      </w:r>
      <w:r>
        <w:t xml:space="preserve"> </w:t>
      </w:r>
      <w:r>
        <w:t xml:space="preserve">are initial-udātta, so the</w:t>
      </w:r>
      <w:r>
        <w:t xml:space="preserve"> </w:t>
      </w:r>
      <w:r>
        <w:rPr>
          <w:iCs/>
          <w:i/>
        </w:rPr>
        <w:t xml:space="preserve">kratu</w:t>
      </w:r>
      <w:r>
        <w:t xml:space="preserve"> </w:t>
      </w:r>
      <w:r>
        <w:t xml:space="preserve">in</w:t>
      </w:r>
      <w:r>
        <w:t xml:space="preserve"> </w:t>
      </w:r>
      <w:r>
        <w:rPr>
          <w:iCs/>
          <w:i/>
        </w:rPr>
        <w:t xml:space="preserve">sukratu</w:t>
      </w:r>
      <w:r>
        <w:t xml:space="preserve"> </w:t>
      </w:r>
      <w:r>
        <w:t xml:space="preserve">is initial-udātta.</w:t>
      </w:r>
    </w:p>
    <w:p>
      <w:pPr>
        <w:pStyle w:val="BodyText"/>
      </w:pPr>
      <w:r>
        <w:rPr>
          <w:bCs/>
          <w:b/>
        </w:rPr>
        <w:t xml:space="preserve">॥१॥</w:t>
      </w:r>
    </w:p>
    <w:p>
      <w:r>
        <w:pict>
          <v:rect style="width:0;height:1.5pt" o:hralign="center" o:hrstd="t" o:hr="t"/>
        </w:pict>
      </w:r>
    </w:p>
    <w:bookmarkEnd w:id="503"/>
    <w:bookmarkStart w:id="504" w:name="page-487-lower-sūkta-12-rik-2"/>
    <w:p>
      <w:pPr>
        <w:pStyle w:val="Heading3"/>
      </w:pPr>
      <w:r>
        <w:t xml:space="preserve">Page 487 (lower) — Sūkta 12, Rik 2</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अ॒ग्निम॑ग्निं॒ हवी॑मभिः॒ सदा॑ हवन्त वि॒श्पति॑म् ।</w:t>
      </w:r>
      <w:r>
        <w:t xml:space="preserve"> </w:t>
      </w:r>
      <w:r>
        <w:t xml:space="preserve">ह॒व्य॒वाहं॑ पुरुप्रि॒यम् ॥२॥</w:t>
      </w:r>
    </w:p>
    <w:p>
      <w:pPr>
        <w:pStyle w:val="BlockText"/>
      </w:pPr>
      <w:r>
        <w:rPr>
          <w:iCs/>
          <w:i/>
        </w:rPr>
        <w:t xml:space="preserve">agním-agniṃ hávīmabhiḥ sádā havanta viśpátim |</w:t>
      </w:r>
      <w:r>
        <w:t xml:space="preserve"> </w:t>
      </w:r>
      <w:r>
        <w:rPr>
          <w:iCs/>
          <w:i/>
        </w:rPr>
        <w:t xml:space="preserve">havyavā́haṃ purupriyám ||2||</w:t>
      </w:r>
    </w:p>
    <w:p>
      <w:pPr>
        <w:pStyle w:val="FirstParagraph"/>
      </w:pPr>
      <w:r>
        <w:rPr>
          <w:bCs/>
          <w:b/>
        </w:rPr>
        <w:t xml:space="preserve">॥ Pada-pāṭhaḥ ॥</w:t>
      </w:r>
    </w:p>
    <w:p>
      <w:pPr>
        <w:pStyle w:val="BlockText"/>
      </w:pPr>
      <w:r>
        <w:t xml:space="preserve">अग्निम्ऽअग्निम् । हवीमऽभिः । सदा । हवन्त । विश्पतिम् ॥</w:t>
      </w:r>
      <w:r>
        <w:t xml:space="preserve"> </w:t>
      </w:r>
      <w:r>
        <w:t xml:space="preserve">हव्यऽवाहम् । पुरुऽप्रियम् ॥२॥</w:t>
      </w:r>
    </w:p>
    <w:p>
      <w:pPr>
        <w:pStyle w:val="BlockText"/>
      </w:pPr>
      <w:r>
        <w:rPr>
          <w:iCs/>
          <w:i/>
        </w:rPr>
        <w:t xml:space="preserve">agnim-agnim | havīma-bhiḥ | sadā | havanta | viśpatim ||</w:t>
      </w:r>
      <w:r>
        <w:t xml:space="preserve"> </w:t>
      </w:r>
      <w:r>
        <w:rPr>
          <w:iCs/>
          <w:i/>
        </w:rPr>
        <w:t xml:space="preserve">havya-vāham | puru-priyam ||2||</w:t>
      </w:r>
    </w:p>
    <w:p>
      <w:pPr>
        <w:pStyle w:val="FirstParagraph"/>
      </w:pPr>
      <w:r>
        <w:rPr>
          <w:bCs/>
          <w:b/>
        </w:rPr>
        <w:t xml:space="preserve">॥ Sāyaṇa-bhāṣyam ॥</w:t>
      </w:r>
    </w:p>
    <w:p>
      <w:pPr>
        <w:pStyle w:val="BodyText"/>
      </w:pPr>
      <w:r>
        <w:rPr>
          <w:iCs/>
          <w:i/>
        </w:rPr>
        <w:t xml:space="preserve">(The bhāṣya runs onto p. 488.)</w:t>
      </w:r>
    </w:p>
    <w:p>
      <w:pPr>
        <w:pStyle w:val="BlockText"/>
      </w:pPr>
      <w:r>
        <w:t xml:space="preserve">यद्यप्यग्निः स्वरूपेणैक एव तथापि प्रयोगभेदादाहवनीयादिस्थानभेदात्पावकादिविशेषणभेदाद्वा बहुविधत्वमभिप्रेत्याग्निमग्निमिति वीप्सा । तं हवीमभिराह्वानकरणैर्मन्त्रैः सदा हवन्ते । निरन्तरमनुष्ठातार आह्वयन्ति । कीदृशम् । विश्पतिं विशां प्रजानां होत्रादीनां पालकं हव्यवाहं यजमानसमर्पितस्य हविषो देवान्प्रति वोढारं अत एव पुरुप्रियं बहूनां प्रीत्यास्पदम् ॥ अग्निमग्निम् । नित्यवीप्सयोरिति वीप्सायां द्विर्भावः । तस्य परमाम्रेडितमित्युत्तरस्याम्रेडितसंज्ञायामनुदात्तं चेत्यनुदात्तम् । हवीमभिः । ह्वेञ् स्पर्धायां शब्दे च । आह्वानकरणभूतेषु मन्त्रेषु स्वव्यापारस्वातन्त्र्यात्कर्तृत्वविवक्षयान्येभ्यो ऽपि दृश्यन्त इति कर्तरि मनिन् । तस्य छान्दस ईडागमः । बहुलं छन्दसीति धातोः संप्रसारणम् । परपूर्वत्वं गुणावादेशौ । नित्त्वादाद्युदात्तत्वम् । सदा । सर्वैकान्येत्यादिना । पा. ५-३-१५ । सर्वशब्दाद्दाप्रत्ययः । सर्वस्य सो ऽन्यतरस्यां दि । पा. ५-३-६ । इति सभावः । व्यत्ययेनाद्युदात्तत्वम् । हवन्त । ह्वेञो लट् । झस्यान्तादेशः । टेरेत्वाभावश्छान्दसः । शपि बहुलं छन्दसीति संप्रसारणम् । तिङ्ङतिङ इति निघातः । विश्पतिम् । पत्यावैश्वर्य इति पूर्वपदप्रकृतिस्वरे प्राप्ते परादिश्छन्दसि बहुलमित्युत्तरपदाद्युदात्तत्वम् । हव्यवाहम् । वह प्रापणे । वहश्च । पा. ३-२-६४ । इति ण्विप्रत्ययः । कृदुत्तरपदप्रकृतिस्वरत्वम् । पुरुप्रियम् । पुरूणां प्रियम् । समासान्तोदात्तत्वम् ॥</w:t>
      </w:r>
    </w:p>
    <w:p>
      <w:pPr>
        <w:pStyle w:val="BlockText"/>
      </w:pPr>
      <w:r>
        <w:rPr>
          <w:iCs/>
          <w:i/>
        </w:rPr>
        <w:t xml:space="preserve">yadyapyagniḥ svarūpeṇaika eva tathāpi prayogabhedādāhavanīyādisthānabhedātpāvakādiviśeṣaṇabhedādvā bahuvidhatvamabhipretyāgnimagnimiti vīpsā | taṃ havīmabhirāhvānakaraṇairmantraiḥ sadā havante | nirantaramanuṣṭhātāra āhvayanti | kīdṛśam | viśpatiṃ viśāṃ prajānāṃ hotrādīnāṃ pālakaṃ havyavāhaṃ yajamānasamarpitasya haviṣo devānprati voḍhāraṃ ata eva purupriyaṃ bahūnāṃ prītyāspadam || agnimagnim | nityavīpsayoriti vīpsāyāṃ dvirbhāvaḥ | tasya paramāmreḍitamityuttarasyāmreḍitasaṃjñāyāmanudāttaṃ cetyanudāttam | havīmabhiḥ | hveñ spardhāyāṃ śabde ca | āhvānakaraṇabhūteṣu mantreṣu svavyāpārasvātantryātkartṛtvavivakṣayānyebhyo ’pi dṛśyanta iti kartari manin | tasya chāndasa īḍāgamaḥ | bahulaṃ chandasīti dhātoḥ saṃprasāraṇam | parapūrvatvaṃ guṇāvādeśau | nittvādādyudāttatvam | sadā | sarvaikānyetyādinā | pā. 5-3-15 | sarvaśabdāddāpratyayaḥ | sarvasya so ’nyatarasyāṃ di | pā. 5-3-6 | iti sabhāvaḥ | vyatyayenādyudāttatvam | havanta | hveño laṭ | jhasyāntādeśaḥ | ṭeretvābhāvaśchāndasaḥ | śapi bahulaṃ chandasīti saṃprasāraṇam | tiṅṅatiṅa iti nighātaḥ | viśpatim | patyāvaiśvarya iti pūrvapadaprakṛtisvare prāpte parādiśchandasi bahulamityuttarapadādyudāttatvam | havyavāham | vaha prāpaṇe | vahaśca | pā. 3-2-64 | iti ṇvipratyayaḥ | kṛduttarapadaprakṛtisvaratvam | purupriyam | purūṇāṃ priyam | samāsāntodāttatvam ||</w:t>
      </w:r>
    </w:p>
    <w:p>
      <w:pPr>
        <w:pStyle w:val="FirstParagraph"/>
      </w:pPr>
      <w:r>
        <w:rPr>
          <w:bCs/>
          <w:b/>
        </w:rPr>
        <w:t xml:space="preserve">Translation:</w:t>
      </w:r>
      <w:r>
        <w:t xml:space="preserve"> </w:t>
      </w:r>
      <w:r>
        <w:t xml:space="preserve">“</w:t>
      </w:r>
      <w:r>
        <w:t xml:space="preserve">Although Agni is one in his own nature, nevertheless, with a view to his manifoldness — by differences of use, by differences of place such as the</w:t>
      </w:r>
      <w:r>
        <w:t xml:space="preserve"> </w:t>
      </w:r>
      <w:r>
        <w:rPr>
          <w:iCs/>
          <w:i/>
        </w:rPr>
        <w:t xml:space="preserve">āhavanīya</w:t>
      </w:r>
      <w:r>
        <w:t xml:space="preserve"> </w:t>
      </w:r>
      <w:r>
        <w:t xml:space="preserve">[fire] and the rest, or by differences of epithets such as</w:t>
      </w:r>
      <w:r>
        <w:t xml:space="preserve"> </w:t>
      </w:r>
      <w:r>
        <w:rPr>
          <w:iCs/>
          <w:i/>
        </w:rPr>
        <w:t xml:space="preserve">pāvaka</w:t>
      </w:r>
      <w:r>
        <w:t xml:space="preserve"> </w:t>
      </w:r>
      <w:r>
        <w:t xml:space="preserve">[the purifier] — the repetition</w:t>
      </w:r>
      <w:r>
        <w:t xml:space="preserve"> </w:t>
      </w:r>
      <w:r>
        <w:rPr>
          <w:iCs/>
          <w:i/>
        </w:rPr>
        <w:t xml:space="preserve">agnim agnim</w:t>
      </w:r>
      <w:r>
        <w:t xml:space="preserve"> </w:t>
      </w:r>
      <w:r>
        <w:t xml:space="preserve">(</w:t>
      </w:r>
      <w:r>
        <w:t xml:space="preserve">‘</w:t>
      </w:r>
      <w:r>
        <w:t xml:space="preserve">Agni, Agni</w:t>
      </w:r>
      <w:r>
        <w:t xml:space="preserve">’</w:t>
      </w:r>
      <w:r>
        <w:t xml:space="preserve">) is used. Him,</w:t>
      </w:r>
      <w:r>
        <w:t xml:space="preserve"> </w:t>
      </w:r>
      <w:r>
        <w:rPr>
          <w:iCs/>
          <w:i/>
        </w:rPr>
        <w:t xml:space="preserve">havīmabhiḥ</w:t>
      </w:r>
      <w:r>
        <w:t xml:space="preserve"> </w:t>
      </w:r>
      <w:r>
        <w:t xml:space="preserve">— with mantras that serve as the means of invocation — the performers</w:t>
      </w:r>
      <w:r>
        <w:t xml:space="preserve"> </w:t>
      </w:r>
      <w:r>
        <w:rPr>
          <w:iCs/>
          <w:i/>
        </w:rPr>
        <w:t xml:space="preserve">sadā havante</w:t>
      </w:r>
      <w:r>
        <w:t xml:space="preserve"> </w:t>
      </w:r>
      <w:r>
        <w:t xml:space="preserve">— constantly call. What kind of Agni?</w:t>
      </w:r>
      <w:r>
        <w:t xml:space="preserve"> </w:t>
      </w:r>
      <w:r>
        <w:rPr>
          <w:iCs/>
          <w:i/>
        </w:rPr>
        <w:t xml:space="preserve">Viśpatim</w:t>
      </w:r>
      <w:r>
        <w:t xml:space="preserve"> </w:t>
      </w:r>
      <w:r>
        <w:t xml:space="preserve">— protector of the</w:t>
      </w:r>
      <w:r>
        <w:t xml:space="preserve"> </w:t>
      </w:r>
      <w:r>
        <w:rPr>
          <w:iCs/>
          <w:i/>
        </w:rPr>
        <w:t xml:space="preserve">viś</w:t>
      </w:r>
      <w:r>
        <w:t xml:space="preserve">, the people: the hotṛ priests and others;</w:t>
      </w:r>
      <w:r>
        <w:t xml:space="preserve"> </w:t>
      </w:r>
      <w:r>
        <w:rPr>
          <w:iCs/>
          <w:i/>
        </w:rPr>
        <w:t xml:space="preserve">havyavāham</w:t>
      </w:r>
      <w:r>
        <w:t xml:space="preserve"> </w:t>
      </w:r>
      <w:r>
        <w:t xml:space="preserve">— the carrier, to the gods, of the oblation offered by the sacrificer; and therefore</w:t>
      </w:r>
      <w:r>
        <w:t xml:space="preserve"> </w:t>
      </w:r>
      <w:r>
        <w:rPr>
          <w:iCs/>
          <w:i/>
        </w:rPr>
        <w:t xml:space="preserve">purupriyam</w:t>
      </w:r>
      <w:r>
        <w:t xml:space="preserve"> </w:t>
      </w:r>
      <w:r>
        <w:t xml:space="preserve">— the dear one of many.</w:t>
      </w:r>
      <w:r>
        <w:t xml:space="preserve">”</w:t>
      </w:r>
    </w:p>
    <w:bookmarkEnd w:id="504"/>
    <w:bookmarkStart w:id="505" w:name="Xf3225d4a1b34eaa738fddb119d41a429c653eb2"/>
    <w:p>
      <w:pPr>
        <w:pStyle w:val="Heading3"/>
      </w:pPr>
      <w:r>
        <w:t xml:space="preserve">Page 488 — Rik 2: grammatical tail of the bhāṣya, word-meanings, overall sense, English</w:t>
      </w:r>
    </w:p>
    <w:p>
      <w:pPr>
        <w:pStyle w:val="FirstParagraph"/>
      </w:pPr>
      <w:r>
        <w:t xml:space="preserve">(Grammatical tail of the bhāṣya:</w:t>
      </w:r>
      <w:r>
        <w:t xml:space="preserve"> </w:t>
      </w:r>
      <w:r>
        <w:rPr>
          <w:iCs/>
          <w:i/>
        </w:rPr>
        <w:t xml:space="preserve">agnim agnim</w:t>
      </w:r>
      <w:r>
        <w:t xml:space="preserve"> </w:t>
      </w:r>
      <w:r>
        <w:t xml:space="preserve">— doubled in the sense of</w:t>
      </w:r>
      <w:r>
        <w:t xml:space="preserve"> </w:t>
      </w:r>
      <w:r>
        <w:rPr>
          <w:iCs/>
          <w:i/>
        </w:rPr>
        <w:t xml:space="preserve">vīpsā</w:t>
      </w:r>
      <w:r>
        <w:t xml:space="preserve"> </w:t>
      </w:r>
      <w:r>
        <w:t xml:space="preserve">by</w:t>
      </w:r>
      <w:r>
        <w:t xml:space="preserve"> </w:t>
      </w:r>
      <w:r>
        <w:t xml:space="preserve">“</w:t>
      </w:r>
      <w:r>
        <w:t xml:space="preserve">nitya-vīpsayoḥ</w:t>
      </w:r>
      <w:r>
        <w:t xml:space="preserve">”</w:t>
      </w:r>
      <w:r>
        <w:t xml:space="preserve">; the second member is</w:t>
      </w:r>
      <w:r>
        <w:t xml:space="preserve"> </w:t>
      </w:r>
      <w:r>
        <w:rPr>
          <w:iCs/>
          <w:i/>
        </w:rPr>
        <w:t xml:space="preserve">āmreḍita</w:t>
      </w:r>
      <w:r>
        <w:t xml:space="preserve"> </w:t>
      </w:r>
      <w:r>
        <w:t xml:space="preserve">by</w:t>
      </w:r>
      <w:r>
        <w:t xml:space="preserve"> </w:t>
      </w:r>
      <w:r>
        <w:t xml:space="preserve">“</w:t>
      </w:r>
      <w:r>
        <w:t xml:space="preserve">tasya param āmreḍitam</w:t>
      </w:r>
      <w:r>
        <w:t xml:space="preserve">”</w:t>
      </w:r>
      <w:r>
        <w:t xml:space="preserve"> </w:t>
      </w:r>
      <w:r>
        <w:t xml:space="preserve">and unaccented by</w:t>
      </w:r>
      <w:r>
        <w:t xml:space="preserve"> </w:t>
      </w:r>
      <w:r>
        <w:t xml:space="preserve">“</w:t>
      </w:r>
      <w:r>
        <w:t xml:space="preserve">anudāttaṃ ca</w:t>
      </w:r>
      <w:r>
        <w:t xml:space="preserve">”</w:t>
      </w:r>
      <w:r>
        <w:t xml:space="preserve">;</w:t>
      </w:r>
      <w:r>
        <w:t xml:space="preserve"> </w:t>
      </w:r>
      <w:r>
        <w:rPr>
          <w:iCs/>
          <w:i/>
        </w:rPr>
        <w:t xml:space="preserve">havīmabhiḥ</w:t>
      </w:r>
      <w:r>
        <w:t xml:space="preserve"> </w:t>
      </w:r>
      <w:r>
        <w:t xml:space="preserve">—</w:t>
      </w:r>
      <w:r>
        <w:t xml:space="preserve"> </w:t>
      </w:r>
      <w:r>
        <w:rPr>
          <w:iCs/>
          <w:i/>
        </w:rPr>
        <w:t xml:space="preserve">hveñ</w:t>
      </w:r>
      <w:r>
        <w:t xml:space="preserve">,</w:t>
      </w:r>
      <w:r>
        <w:t xml:space="preserve"> </w:t>
      </w:r>
      <w:r>
        <w:rPr>
          <w:iCs/>
          <w:i/>
        </w:rPr>
        <w:t xml:space="preserve">manin</w:t>
      </w:r>
      <w:r>
        <w:t xml:space="preserve"> </w:t>
      </w:r>
      <w:r>
        <w:t xml:space="preserve">in the agent sense by</w:t>
      </w:r>
      <w:r>
        <w:t xml:space="preserve"> </w:t>
      </w:r>
      <w:r>
        <w:t xml:space="preserve">“</w:t>
      </w:r>
      <w:r>
        <w:t xml:space="preserve">anyebhyo ’pi dṛśyante</w:t>
      </w:r>
      <w:r>
        <w:t xml:space="preserve">”</w:t>
      </w:r>
      <w:r>
        <w:t xml:space="preserve">, since the mantras that are instruments of calling are spoken of as independent agents; Vedic</w:t>
      </w:r>
      <w:r>
        <w:t xml:space="preserve"> </w:t>
      </w:r>
      <w:r>
        <w:rPr>
          <w:iCs/>
          <w:i/>
        </w:rPr>
        <w:t xml:space="preserve">ī</w:t>
      </w:r>
      <w:r>
        <w:t xml:space="preserve"> </w:t>
      </w:r>
      <w:r>
        <w:t xml:space="preserve">augment,</w:t>
      </w:r>
      <w:r>
        <w:t xml:space="preserve"> </w:t>
      </w:r>
      <w:r>
        <w:rPr>
          <w:iCs/>
          <w:i/>
        </w:rPr>
        <w:t xml:space="preserve">samprasāraṇa</w:t>
      </w:r>
      <w:r>
        <w:t xml:space="preserve"> </w:t>
      </w:r>
      <w:r>
        <w:t xml:space="preserve">by</w:t>
      </w:r>
      <w:r>
        <w:t xml:space="preserve"> </w:t>
      </w:r>
      <w:r>
        <w:t xml:space="preserve">“</w:t>
      </w:r>
      <w:r>
        <w:t xml:space="preserve">bahulaṃ chandasi</w:t>
      </w:r>
      <w:r>
        <w:t xml:space="preserve">”</w:t>
      </w:r>
      <w:r>
        <w:t xml:space="preserve">,</w:t>
      </w:r>
      <w:r>
        <w:t xml:space="preserve"> </w:t>
      </w:r>
      <w:r>
        <w:rPr>
          <w:iCs/>
          <w:i/>
        </w:rPr>
        <w:t xml:space="preserve">pūrvarūpa</w:t>
      </w:r>
      <w:r>
        <w:t xml:space="preserve">,</w:t>
      </w:r>
      <w:r>
        <w:t xml:space="preserve"> </w:t>
      </w:r>
      <w:r>
        <w:rPr>
          <w:iCs/>
          <w:i/>
        </w:rPr>
        <w:t xml:space="preserve">guṇa</w:t>
      </w:r>
      <w:r>
        <w:t xml:space="preserve"> </w:t>
      </w:r>
      <w:r>
        <w:t xml:space="preserve">and</w:t>
      </w:r>
      <w:r>
        <w:t xml:space="preserve"> </w:t>
      </w:r>
      <w:r>
        <w:rPr>
          <w:iCs/>
          <w:i/>
        </w:rPr>
        <w:t xml:space="preserve">av</w:t>
      </w:r>
      <w:r>
        <w:t xml:space="preserve">; initial-udātta as</w:t>
      </w:r>
      <w:r>
        <w:t xml:space="preserve"> </w:t>
      </w:r>
      <w:r>
        <w:rPr>
          <w:iCs/>
          <w:i/>
        </w:rPr>
        <w:t xml:space="preserve">nit</w:t>
      </w:r>
      <w:r>
        <w:t xml:space="preserve">;</w:t>
      </w:r>
      <w:r>
        <w:t xml:space="preserve"> </w:t>
      </w:r>
      <w:r>
        <w:rPr>
          <w:iCs/>
          <w:i/>
        </w:rPr>
        <w:t xml:space="preserve">sadā</w:t>
      </w:r>
      <w:r>
        <w:t xml:space="preserve"> </w:t>
      </w:r>
      <w:r>
        <w:t xml:space="preserve">—</w:t>
      </w:r>
      <w:r>
        <w:t xml:space="preserve"> </w:t>
      </w:r>
      <w:r>
        <w:rPr>
          <w:iCs/>
          <w:i/>
        </w:rPr>
        <w:t xml:space="preserve">dā</w:t>
      </w:r>
      <w:r>
        <w:t xml:space="preserve"> </w:t>
      </w:r>
      <w:r>
        <w:t xml:space="preserve">after</w:t>
      </w:r>
      <w:r>
        <w:t xml:space="preserve"> </w:t>
      </w:r>
      <w:r>
        <w:rPr>
          <w:iCs/>
          <w:i/>
        </w:rPr>
        <w:t xml:space="preserve">sarva</w:t>
      </w:r>
      <w:r>
        <w:t xml:space="preserve"> </w:t>
      </w:r>
      <w:r>
        <w:t xml:space="preserve">(Pā. 5-3-15),</w:t>
      </w:r>
      <w:r>
        <w:t xml:space="preserve"> </w:t>
      </w:r>
      <w:r>
        <w:rPr>
          <w:iCs/>
          <w:i/>
        </w:rPr>
        <w:t xml:space="preserve">sa</w:t>
      </w:r>
      <w:r>
        <w:t xml:space="preserve"> </w:t>
      </w:r>
      <w:r>
        <w:t xml:space="preserve">for</w:t>
      </w:r>
      <w:r>
        <w:t xml:space="preserve"> </w:t>
      </w:r>
      <w:r>
        <w:rPr>
          <w:iCs/>
          <w:i/>
        </w:rPr>
        <w:t xml:space="preserve">sarva</w:t>
      </w:r>
      <w:r>
        <w:t xml:space="preserve"> </w:t>
      </w:r>
      <w:r>
        <w:t xml:space="preserve">by</w:t>
      </w:r>
      <w:r>
        <w:t xml:space="preserve"> </w:t>
      </w:r>
      <w:r>
        <w:t xml:space="preserve">“</w:t>
      </w:r>
      <w:r>
        <w:t xml:space="preserve">sarvasya so ’nyatarasyāṃ di</w:t>
      </w:r>
      <w:r>
        <w:t xml:space="preserve">”</w:t>
      </w:r>
      <w:r>
        <w:t xml:space="preserve"> </w:t>
      </w:r>
      <w:r>
        <w:t xml:space="preserve">(Pā. 5-3-6), initial-udātta by exception;</w:t>
      </w:r>
      <w:r>
        <w:t xml:space="preserve"> </w:t>
      </w:r>
      <w:r>
        <w:rPr>
          <w:iCs/>
          <w:i/>
        </w:rPr>
        <w:t xml:space="preserve">havanta</w:t>
      </w:r>
      <w:r>
        <w:t xml:space="preserve"> </w:t>
      </w:r>
      <w:r>
        <w:t xml:space="preserve">—</w:t>
      </w:r>
      <w:r>
        <w:t xml:space="preserve"> </w:t>
      </w:r>
      <w:r>
        <w:rPr>
          <w:iCs/>
          <w:i/>
        </w:rPr>
        <w:t xml:space="preserve">laṭ</w:t>
      </w:r>
      <w:r>
        <w:t xml:space="preserve"> </w:t>
      </w:r>
      <w:r>
        <w:t xml:space="preserve">of</w:t>
      </w:r>
      <w:r>
        <w:t xml:space="preserve"> </w:t>
      </w:r>
      <w:r>
        <w:rPr>
          <w:iCs/>
          <w:i/>
        </w:rPr>
        <w:t xml:space="preserve">hveñ</w:t>
      </w:r>
      <w:r>
        <w:t xml:space="preserve">,</w:t>
      </w:r>
      <w:r>
        <w:t xml:space="preserve"> </w:t>
      </w:r>
      <w:r>
        <w:rPr>
          <w:iCs/>
          <w:i/>
        </w:rPr>
        <w:t xml:space="preserve">ant</w:t>
      </w:r>
      <w:r>
        <w:t xml:space="preserve"> </w:t>
      </w:r>
      <w:r>
        <w:t xml:space="preserve">for</w:t>
      </w:r>
      <w:r>
        <w:t xml:space="preserve"> </w:t>
      </w:r>
      <w:r>
        <w:rPr>
          <w:iCs/>
          <w:i/>
        </w:rPr>
        <w:t xml:space="preserve">jha</w:t>
      </w:r>
      <w:r>
        <w:t xml:space="preserve">, no</w:t>
      </w:r>
      <w:r>
        <w:t xml:space="preserve"> </w:t>
      </w:r>
      <w:r>
        <w:rPr>
          <w:iCs/>
          <w:i/>
        </w:rPr>
        <w:t xml:space="preserve">e</w:t>
      </w:r>
      <w:r>
        <w:t xml:space="preserve"> </w:t>
      </w:r>
      <w:r>
        <w:t xml:space="preserve">for the</w:t>
      </w:r>
      <w:r>
        <w:t xml:space="preserve"> </w:t>
      </w:r>
      <w:r>
        <w:rPr>
          <w:iCs/>
          <w:i/>
        </w:rPr>
        <w:t xml:space="preserve">ṭi</w:t>
      </w:r>
      <w:r>
        <w:t xml:space="preserve"> </w:t>
      </w:r>
      <w:r>
        <w:t xml:space="preserve">(Vedic),</w:t>
      </w:r>
      <w:r>
        <w:t xml:space="preserve"> </w:t>
      </w:r>
      <w:r>
        <w:rPr>
          <w:iCs/>
          <w:i/>
        </w:rPr>
        <w:t xml:space="preserve">samprasāraṇa</w:t>
      </w:r>
      <w:r>
        <w:t xml:space="preserve"> </w:t>
      </w:r>
      <w:r>
        <w:t xml:space="preserve">before</w:t>
      </w:r>
      <w:r>
        <w:t xml:space="preserve"> </w:t>
      </w:r>
      <w:r>
        <w:rPr>
          <w:iCs/>
          <w:i/>
        </w:rPr>
        <w:t xml:space="preserve">śap</w:t>
      </w:r>
      <w:r>
        <w:t xml:space="preserve">, unaccented by</w:t>
      </w:r>
      <w:r>
        <w:t xml:space="preserve"> </w:t>
      </w:r>
      <w:r>
        <w:t xml:space="preserve">“</w:t>
      </w:r>
      <w:r>
        <w:t xml:space="preserve">tiṅṅ atiṅaḥ</w:t>
      </w:r>
      <w:r>
        <w:t xml:space="preserve">”</w:t>
      </w:r>
      <w:r>
        <w:t xml:space="preserve">;</w:t>
      </w:r>
      <w:r>
        <w:t xml:space="preserve"> </w:t>
      </w:r>
      <w:r>
        <w:rPr>
          <w:iCs/>
          <w:i/>
        </w:rPr>
        <w:t xml:space="preserve">viśpatim</w:t>
      </w:r>
      <w:r>
        <w:t xml:space="preserve"> </w:t>
      </w:r>
      <w:r>
        <w:t xml:space="preserve">— instead of the first-member accent of</w:t>
      </w:r>
      <w:r>
        <w:t xml:space="preserve"> </w:t>
      </w:r>
      <w:r>
        <w:t xml:space="preserve">“</w:t>
      </w:r>
      <w:r>
        <w:t xml:space="preserve">patyāv aiśvarye</w:t>
      </w:r>
      <w:r>
        <w:t xml:space="preserve">”</w:t>
      </w:r>
      <w:r>
        <w:t xml:space="preserve">,</w:t>
      </w:r>
      <w:r>
        <w:t xml:space="preserve"> </w:t>
      </w:r>
      <w:r>
        <w:t xml:space="preserve">“</w:t>
      </w:r>
      <w:r>
        <w:t xml:space="preserve">parādiś chandasi bahulam</w:t>
      </w:r>
      <w:r>
        <w:t xml:space="preserve">”</w:t>
      </w:r>
      <w:r>
        <w:t xml:space="preserve"> </w:t>
      </w:r>
      <w:r>
        <w:t xml:space="preserve">makes the second member initial-udātta;</w:t>
      </w:r>
      <w:r>
        <w:t xml:space="preserve"> </w:t>
      </w:r>
      <w:r>
        <w:rPr>
          <w:iCs/>
          <w:i/>
        </w:rPr>
        <w:t xml:space="preserve">havyavāham</w:t>
      </w:r>
      <w:r>
        <w:t xml:space="preserve"> </w:t>
      </w:r>
      <w:r>
        <w:t xml:space="preserve">—</w:t>
      </w:r>
      <w:r>
        <w:t xml:space="preserve"> </w:t>
      </w:r>
      <w:r>
        <w:rPr>
          <w:iCs/>
          <w:i/>
        </w:rPr>
        <w:t xml:space="preserve">ṇvi</w:t>
      </w:r>
      <w:r>
        <w:t xml:space="preserve"> </w:t>
      </w:r>
      <w:r>
        <w:t xml:space="preserve">by</w:t>
      </w:r>
      <w:r>
        <w:t xml:space="preserve"> </w:t>
      </w:r>
      <w:r>
        <w:t xml:space="preserve">“</w:t>
      </w:r>
      <w:r>
        <w:t xml:space="preserve">vahaś ca</w:t>
      </w:r>
      <w:r>
        <w:t xml:space="preserve">”</w:t>
      </w:r>
      <w:r>
        <w:t xml:space="preserve"> </w:t>
      </w:r>
      <w:r>
        <w:t xml:space="preserve">(Pā. 3-2-64), the</w:t>
      </w:r>
      <w:r>
        <w:t xml:space="preserve"> </w:t>
      </w:r>
      <w:r>
        <w:rPr>
          <w:iCs/>
          <w:i/>
        </w:rPr>
        <w:t xml:space="preserve">kṛt</w:t>
      </w:r>
      <w:r>
        <w:t xml:space="preserve"> </w:t>
      </w:r>
      <w:r>
        <w:t xml:space="preserve">second member keeping its accent;</w:t>
      </w:r>
      <w:r>
        <w:t xml:space="preserve"> </w:t>
      </w:r>
      <w:r>
        <w:rPr>
          <w:iCs/>
          <w:i/>
        </w:rPr>
        <w:t xml:space="preserve">purupriyam</w:t>
      </w:r>
      <w:r>
        <w:t xml:space="preserve"> </w:t>
      </w:r>
      <w:r>
        <w:t xml:space="preserve">—</w:t>
      </w:r>
      <w:r>
        <w:t xml:space="preserve"> </w:t>
      </w:r>
      <w:r>
        <w:t xml:space="preserve">“</w:t>
      </w:r>
      <w:r>
        <w:t xml:space="preserve">purūṇāṃ priyam,</w:t>
      </w:r>
      <w:r>
        <w:t xml:space="preserve">”</w:t>
      </w:r>
      <w:r>
        <w:t xml:space="preserve"> </w:t>
      </w:r>
      <w:r>
        <w:t xml:space="preserve">the compound final-udātta.)</w:t>
      </w:r>
    </w:p>
    <w:p>
      <w:pPr>
        <w:pStyle w:val="BodyText"/>
      </w:pPr>
      <w:r>
        <w:rPr>
          <w:bCs/>
          <w:b/>
        </w:rPr>
        <w:t xml:space="preserve">॥ Prati-padārthaḥ ॥</w:t>
      </w:r>
    </w:p>
    <w:p>
      <w:pPr>
        <w:pStyle w:val="BodyText"/>
      </w:pPr>
      <w:r>
        <w:rPr>
          <w:bCs/>
          <w:b/>
        </w:rPr>
        <w:t xml:space="preserve">विश्पतिम् (viśpatim)</w:t>
      </w:r>
      <w:r>
        <w:t xml:space="preserve"> </w:t>
      </w:r>
      <w:r>
        <w:t xml:space="preserve">— the lord, the protector, of the people (the hotṛ priests and others) |</w:t>
      </w:r>
      <w:r>
        <w:t xml:space="preserve"> </w:t>
      </w:r>
      <w:r>
        <w:rPr>
          <w:bCs/>
          <w:b/>
        </w:rPr>
        <w:t xml:space="preserve">हव्यवाहम् (havyavāham)</w:t>
      </w:r>
      <w:r>
        <w:t xml:space="preserve"> </w:t>
      </w:r>
      <w:r>
        <w:t xml:space="preserve">— [the one] who carries to the gods the oblations offered by the sacrificer |</w:t>
      </w:r>
      <w:r>
        <w:t xml:space="preserve"> </w:t>
      </w:r>
      <w:r>
        <w:rPr>
          <w:bCs/>
          <w:b/>
        </w:rPr>
        <w:t xml:space="preserve">पुरुप्रियम् (purupriyam)</w:t>
      </w:r>
      <w:r>
        <w:t xml:space="preserve"> </w:t>
      </w:r>
      <w:r>
        <w:t xml:space="preserve">— dear to all |</w:t>
      </w:r>
      <w:r>
        <w:t xml:space="preserve"> </w:t>
      </w:r>
      <w:r>
        <w:rPr>
          <w:bCs/>
          <w:b/>
        </w:rPr>
        <w:t xml:space="preserve">अग्निमग्निम् (agnim-agnim)</w:t>
      </w:r>
      <w:r>
        <w:t xml:space="preserve"> </w:t>
      </w:r>
      <w:r>
        <w:t xml:space="preserve">— to Agni (who is seen in places such as the</w:t>
      </w:r>
      <w:r>
        <w:t xml:space="preserve"> </w:t>
      </w:r>
      <w:r>
        <w:rPr>
          <w:iCs/>
          <w:i/>
        </w:rPr>
        <w:t xml:space="preserve">āhavanīya</w:t>
      </w:r>
      <w:r>
        <w:t xml:space="preserve">) |</w:t>
      </w:r>
      <w:r>
        <w:t xml:space="preserve"> </w:t>
      </w:r>
      <w:r>
        <w:rPr>
          <w:bCs/>
          <w:b/>
        </w:rPr>
        <w:t xml:space="preserve">हवीमभिः (havīmabhiḥ)</w:t>
      </w:r>
      <w:r>
        <w:t xml:space="preserve"> </w:t>
      </w:r>
      <w:r>
        <w:t xml:space="preserve">— with the mantras used for invocation |</w:t>
      </w:r>
      <w:r>
        <w:t xml:space="preserve"> </w:t>
      </w:r>
      <w:r>
        <w:rPr>
          <w:bCs/>
          <w:b/>
        </w:rPr>
        <w:t xml:space="preserve">सदा (sadā)</w:t>
      </w:r>
      <w:r>
        <w:t xml:space="preserve"> </w:t>
      </w:r>
      <w:r>
        <w:t xml:space="preserve">— always |</w:t>
      </w:r>
      <w:r>
        <w:t xml:space="preserve"> </w:t>
      </w:r>
      <w:r>
        <w:rPr>
          <w:bCs/>
          <w:b/>
        </w:rPr>
        <w:t xml:space="preserve">हवन्त (havanta)</w:t>
      </w:r>
      <w:r>
        <w:t xml:space="preserve"> </w:t>
      </w:r>
      <w:r>
        <w:t xml:space="preserve">— [the performers of sacrifices] invoke.</w:t>
      </w:r>
    </w:p>
    <w:p>
      <w:pPr>
        <w:pStyle w:val="BodyText"/>
      </w:pPr>
      <w:r>
        <w:rPr>
          <w:bCs/>
          <w:b/>
        </w:rPr>
        <w:t xml:space="preserve">॥ Bhāvārthaḥ ॥</w:t>
      </w:r>
    </w:p>
    <w:p>
      <w:pPr>
        <w:pStyle w:val="BodyText"/>
      </w:pPr>
      <w:r>
        <w:t xml:space="preserve">Although Agni is one, he appears separately in different places — the</w:t>
      </w:r>
      <w:r>
        <w:t xml:space="preserve"> </w:t>
      </w:r>
      <w:r>
        <w:rPr>
          <w:iCs/>
          <w:i/>
        </w:rPr>
        <w:t xml:space="preserve">āhavanīya</w:t>
      </w:r>
      <w:r>
        <w:t xml:space="preserve">, the</w:t>
      </w:r>
      <w:r>
        <w:t xml:space="preserve"> </w:t>
      </w:r>
      <w:r>
        <w:rPr>
          <w:iCs/>
          <w:i/>
        </w:rPr>
        <w:t xml:space="preserve">gārhapatya</w:t>
      </w:r>
      <w:r>
        <w:t xml:space="preserve"> </w:t>
      </w:r>
      <w:r>
        <w:t xml:space="preserve">and others. He is the protector of all people, beginning with the sacrificer; he carries to the gods the oblations offered in the sacrifice; he is dear to all. The people who perform sacrifices always invoke such an Agni with mantras of invocation.</w:t>
      </w:r>
    </w:p>
    <w:p>
      <w:pPr>
        <w:pStyle w:val="BodyText"/>
      </w:pPr>
      <w:r>
        <w:rPr>
          <w:bCs/>
          <w:b/>
        </w:rPr>
        <w:t xml:space="preserve">॥ English Translation ॥</w:t>
      </w:r>
      <w:r>
        <w:t xml:space="preserve"> </w:t>
      </w:r>
      <w:r>
        <w:rPr>
          <w:iCs/>
          <w:i/>
        </w:rPr>
        <w:t xml:space="preserve">(as printed in the source)</w:t>
      </w:r>
    </w:p>
    <w:p>
      <w:pPr>
        <w:pStyle w:val="BlockText"/>
      </w:pPr>
      <w:r>
        <w:t xml:space="preserve">They (offerers of oblations) constantly invoke Agni and Agni again, the lord of men, the bearer of offerings, the beloved of many.</w:t>
      </w:r>
    </w:p>
    <w:bookmarkEnd w:id="505"/>
    <w:bookmarkStart w:id="506" w:name="X1a8108458601f93bc66c6a8112bd8d242855cec"/>
    <w:p>
      <w:pPr>
        <w:pStyle w:val="Heading3"/>
      </w:pPr>
      <w:r>
        <w:t xml:space="preserve">Page 489 — Rik 2: Special Topics and grammar</w:t>
      </w:r>
    </w:p>
    <w:p>
      <w:pPr>
        <w:pStyle w:val="FirstParagraph"/>
      </w:pPr>
      <w:r>
        <w:rPr>
          <w:bCs/>
          <w:b/>
        </w:rPr>
        <w:t xml:space="preserve">॥ Viśeṣa-viṣayagaḷu (Special Topics) ॥</w:t>
      </w:r>
    </w:p>
    <w:p>
      <w:pPr>
        <w:pStyle w:val="BodyText"/>
      </w:pPr>
      <w:r>
        <w:rPr>
          <w:bCs/>
          <w:b/>
        </w:rPr>
        <w:t xml:space="preserve">“</w:t>
      </w:r>
      <w:r>
        <w:rPr>
          <w:bCs/>
          <w:b/>
        </w:rPr>
        <w:t xml:space="preserve">Agnim-agnim</w:t>
      </w:r>
      <w:r>
        <w:rPr>
          <w:bCs/>
          <w:b/>
        </w:rPr>
        <w:t xml:space="preserve">”</w:t>
      </w:r>
      <w:r>
        <w:t xml:space="preserve"> </w:t>
      </w:r>
      <w:r>
        <w:t xml:space="preserve">—</w:t>
      </w:r>
      <w:r>
        <w:t xml:space="preserve"> </w:t>
      </w:r>
      <w:r>
        <w:t xml:space="preserve">“</w:t>
      </w:r>
      <w:r>
        <w:t xml:space="preserve">nityavīpsayor iti vīpsāyāṃ dvirbhāvaḥ</w:t>
      </w:r>
      <w:r>
        <w:t xml:space="preserve">”</w:t>
      </w:r>
      <w:r>
        <w:t xml:space="preserve">: by pronouncing one word twice the sense</w:t>
      </w:r>
      <w:r>
        <w:t xml:space="preserve"> </w:t>
      </w:r>
      <w:r>
        <w:t xml:space="preserve">“</w:t>
      </w:r>
      <w:r>
        <w:t xml:space="preserve">each one</w:t>
      </w:r>
      <w:r>
        <w:t xml:space="preserve">”</w:t>
      </w:r>
      <w:r>
        <w:t xml:space="preserve"> </w:t>
      </w:r>
      <w:r>
        <w:t xml:space="preserve">is conveyed. Here it means each Agni: the</w:t>
      </w:r>
      <w:r>
        <w:t xml:space="preserve"> </w:t>
      </w:r>
      <w:r>
        <w:rPr>
          <w:iCs/>
          <w:i/>
        </w:rPr>
        <w:t xml:space="preserve">āhavanīya</w:t>
      </w:r>
      <w:r>
        <w:t xml:space="preserve">, the</w:t>
      </w:r>
      <w:r>
        <w:t xml:space="preserve"> </w:t>
      </w:r>
      <w:r>
        <w:rPr>
          <w:iCs/>
          <w:i/>
        </w:rPr>
        <w:t xml:space="preserve">dakṣiṇāgni</w:t>
      </w:r>
      <w:r>
        <w:t xml:space="preserve">, the</w:t>
      </w:r>
      <w:r>
        <w:t xml:space="preserve"> </w:t>
      </w:r>
      <w:r>
        <w:rPr>
          <w:iCs/>
          <w:i/>
        </w:rPr>
        <w:t xml:space="preserve">gārhapatya</w:t>
      </w:r>
      <w:r>
        <w:t xml:space="preserve"> </w:t>
      </w:r>
      <w:r>
        <w:t xml:space="preserve">and the others established in different places in the sacrifices.</w:t>
      </w:r>
    </w:p>
    <w:p>
      <w:pPr>
        <w:pStyle w:val="BodyText"/>
      </w:pPr>
      <w:r>
        <w:rPr>
          <w:bCs/>
          <w:b/>
        </w:rPr>
        <w:t xml:space="preserve">“</w:t>
      </w:r>
      <w:r>
        <w:rPr>
          <w:bCs/>
          <w:b/>
        </w:rPr>
        <w:t xml:space="preserve">Viśpatim</w:t>
      </w:r>
      <w:r>
        <w:rPr>
          <w:bCs/>
          <w:b/>
        </w:rPr>
        <w:t xml:space="preserve">”</w:t>
      </w:r>
      <w:r>
        <w:t xml:space="preserve"> </w:t>
      </w:r>
      <w:r>
        <w:t xml:space="preserve">—</w:t>
      </w:r>
      <w:r>
        <w:t xml:space="preserve"> </w:t>
      </w:r>
      <w:r>
        <w:rPr>
          <w:iCs/>
          <w:i/>
        </w:rPr>
        <w:t xml:space="preserve">viśāṃ prajānāṃ patim</w:t>
      </w:r>
      <w:r>
        <w:t xml:space="preserve">: the lord, the master, of the subjects or people:</w:t>
      </w:r>
      <w:r>
        <w:t xml:space="preserve"> </w:t>
      </w:r>
      <w:r>
        <w:t xml:space="preserve">“</w:t>
      </w:r>
      <w:r>
        <w:t xml:space="preserve">Ruler of men, progeny</w:t>
      </w:r>
      <w:r>
        <w:t xml:space="preserve">”</w:t>
      </w:r>
      <w:r>
        <w:t xml:space="preserve"> </w:t>
      </w:r>
      <w:r>
        <w:t xml:space="preserve">[the source’s English].</w:t>
      </w:r>
    </w:p>
    <w:p>
      <w:pPr>
        <w:pStyle w:val="BodyText"/>
      </w:pPr>
      <w:r>
        <w:rPr>
          <w:bCs/>
          <w:b/>
        </w:rPr>
        <w:t xml:space="preserve">॥ Vyākaraṇa-prakriyā ॥</w:t>
      </w:r>
      <w:r>
        <w:t xml:space="preserve"> </w:t>
      </w:r>
      <w:r>
        <w:rPr>
          <w:iCs/>
          <w:i/>
        </w:rPr>
        <w:t xml:space="preserve">(grammar pages 489–490, noted briefly; numbers checked against the print)</w:t>
      </w:r>
    </w:p>
    <w:p>
      <w:pPr>
        <w:pStyle w:val="BodyText"/>
      </w:pPr>
      <w:r>
        <w:rPr>
          <w:bCs/>
          <w:b/>
        </w:rPr>
        <w:t xml:space="preserve">अग्निमग्निम् (</w:t>
      </w:r>
      <w:r>
        <w:rPr>
          <w:iCs/>
          <w:i/>
          <w:bCs/>
          <w:b/>
        </w:rPr>
        <w:t xml:space="preserve">agnim-agnim</w:t>
      </w:r>
      <w:r>
        <w:rPr>
          <w:bCs/>
          <w:b/>
        </w:rPr>
        <w:t xml:space="preserve">)</w:t>
      </w:r>
      <w:r>
        <w:t xml:space="preserve"> </w:t>
      </w:r>
      <w:r>
        <w:t xml:space="preserve">—</w:t>
      </w:r>
      <w:r>
        <w:t xml:space="preserve"> </w:t>
      </w:r>
      <w:r>
        <w:t xml:space="preserve">“</w:t>
      </w:r>
      <w:r>
        <w:t xml:space="preserve">nitya-vīpsayoḥ</w:t>
      </w:r>
      <w:r>
        <w:t xml:space="preserve">”</w:t>
      </w:r>
      <w:r>
        <w:t xml:space="preserve"> </w:t>
      </w:r>
      <w:r>
        <w:t xml:space="preserve">(Pā. 8-1-4): the word</w:t>
      </w:r>
      <w:r>
        <w:t xml:space="preserve"> </w:t>
      </w:r>
      <w:r>
        <w:rPr>
          <w:iCs/>
          <w:i/>
        </w:rPr>
        <w:t xml:space="preserve">nitya-vīpsayoḥ</w:t>
      </w:r>
      <w:r>
        <w:t xml:space="preserve"> </w:t>
      </w:r>
      <w:r>
        <w:t xml:space="preserve">names the two senses</w:t>
      </w:r>
      <w:r>
        <w:t xml:space="preserve"> </w:t>
      </w:r>
      <w:r>
        <w:rPr>
          <w:iCs/>
          <w:i/>
        </w:rPr>
        <w:t xml:space="preserve">nitya</w:t>
      </w:r>
      <w:r>
        <w:t xml:space="preserve"> </w:t>
      </w:r>
      <w:r>
        <w:t xml:space="preserve">and</w:t>
      </w:r>
      <w:r>
        <w:t xml:space="preserve"> </w:t>
      </w:r>
      <w:r>
        <w:rPr>
          <w:iCs/>
          <w:i/>
        </w:rPr>
        <w:t xml:space="preserve">vīpsā</w:t>
      </w:r>
      <w:r>
        <w:t xml:space="preserve">; since there is an expectation of what comes in which sense — an expectation of the place and of what is enjoined — the sūtra</w:t>
      </w:r>
      <w:r>
        <w:t xml:space="preserve"> </w:t>
      </w:r>
      <w:r>
        <w:t xml:space="preserve">“</w:t>
      </w:r>
      <w:r>
        <w:t xml:space="preserve">sarvasya dve</w:t>
      </w:r>
      <w:r>
        <w:t xml:space="preserve">”</w:t>
      </w:r>
      <w:r>
        <w:t xml:space="preserve"> </w:t>
      </w:r>
      <w:r>
        <w:t xml:space="preserve">(Pā. 8-1-1) is in force as a heading, and the later sūtra</w:t>
      </w:r>
      <w:r>
        <w:t xml:space="preserve"> </w:t>
      </w:r>
      <w:r>
        <w:t xml:space="preserve">“</w:t>
      </w:r>
      <w:r>
        <w:t xml:space="preserve">padasya</w:t>
      </w:r>
      <w:r>
        <w:t xml:space="preserve">”</w:t>
      </w:r>
      <w:r>
        <w:t xml:space="preserve"> </w:t>
      </w:r>
      <w:r>
        <w:t xml:space="preserve">(Pā. 8-1-16) is connected too.</w:t>
      </w:r>
      <w:r>
        <w:t xml:space="preserve"> </w:t>
      </w:r>
      <w:r>
        <w:rPr>
          <w:iCs/>
          <w:i/>
        </w:rPr>
        <w:t xml:space="preserve">Dve</w:t>
      </w:r>
      <w:r>
        <w:t xml:space="preserve"> </w:t>
      </w:r>
      <w:r>
        <w:t xml:space="preserve">is a numeral, so it expects a counted thing, and since this is a grammar of words,</w:t>
      </w:r>
      <w:r>
        <w:t xml:space="preserve"> </w:t>
      </w:r>
      <w:r>
        <w:t xml:space="preserve">“</w:t>
      </w:r>
      <w:r>
        <w:t xml:space="preserve">words</w:t>
      </w:r>
      <w:r>
        <w:t xml:space="preserve">”</w:t>
      </w:r>
      <w:r>
        <w:t xml:space="preserve"> </w:t>
      </w:r>
      <w:r>
        <w:t xml:space="preserve">is understood.</w:t>
      </w:r>
      <w:r>
        <w:t xml:space="preserve"> </w:t>
      </w:r>
      <w:r>
        <w:rPr>
          <w:iCs/>
          <w:i/>
        </w:rPr>
        <w:t xml:space="preserve">Nitya</w:t>
      </w:r>
      <w:r>
        <w:t xml:space="preserve"> </w:t>
      </w:r>
      <w:r>
        <w:t xml:space="preserve">means</w:t>
      </w:r>
      <w:r>
        <w:t xml:space="preserve"> </w:t>
      </w:r>
      <w:r>
        <w:rPr>
          <w:iCs/>
          <w:i/>
        </w:rPr>
        <w:t xml:space="preserve">ābhīkṣṇya</w:t>
      </w:r>
      <w:r>
        <w:t xml:space="preserve">, repetition;</w:t>
      </w:r>
      <w:r>
        <w:t xml:space="preserve"> </w:t>
      </w:r>
      <w:r>
        <w:rPr>
          <w:iCs/>
          <w:i/>
        </w:rPr>
        <w:t xml:space="preserve">vīpsā</w:t>
      </w:r>
      <w:r>
        <w:t xml:space="preserve"> </w:t>
      </w:r>
      <w:r>
        <w:t xml:space="preserve">means the wish to pervade; in verbal cognition only pervasion appears. When repetition or pervasion is to be shown, two words come in place of the whole word: so, with pervasion meant, two words</w:t>
      </w:r>
      <w:r>
        <w:t xml:space="preserve"> </w:t>
      </w:r>
      <w:r>
        <w:rPr>
          <w:iCs/>
          <w:i/>
        </w:rPr>
        <w:t xml:space="preserve">agnim</w:t>
      </w:r>
      <w:r>
        <w:t xml:space="preserve"> </w:t>
      </w:r>
      <w:r>
        <w:t xml:space="preserve">come in place of the one</w:t>
      </w:r>
      <w:r>
        <w:t xml:space="preserve"> </w:t>
      </w:r>
      <w:r>
        <w:rPr>
          <w:iCs/>
          <w:i/>
        </w:rPr>
        <w:t xml:space="preserve">agnim</w:t>
      </w:r>
      <w:r>
        <w:t xml:space="preserve"> </w:t>
      </w:r>
      <w:r>
        <w:t xml:space="preserve">—</w:t>
      </w:r>
      <w:r>
        <w:t xml:space="preserve"> </w:t>
      </w:r>
      <w:r>
        <w:rPr>
          <w:iCs/>
          <w:i/>
        </w:rPr>
        <w:t xml:space="preserve">agnim agnim</w:t>
      </w:r>
      <w:r>
        <w:t xml:space="preserve">,</w:t>
      </w:r>
      <w:r>
        <w:t xml:space="preserve"> </w:t>
      </w:r>
      <w:r>
        <w:t xml:space="preserve">“</w:t>
      </w:r>
      <w:r>
        <w:t xml:space="preserve">each Agni.</w:t>
      </w:r>
      <w:r>
        <w:t xml:space="preserve">”</w:t>
      </w:r>
      <w:r>
        <w:t xml:space="preserve"> </w:t>
      </w:r>
      <w:r>
        <w:t xml:space="preserve">Repetition is a property of an action, so the doubling in that sense comes with a</w:t>
      </w:r>
      <w:r>
        <w:t xml:space="preserve"> </w:t>
      </w:r>
      <w:r>
        <w:rPr>
          <w:iCs/>
          <w:i/>
        </w:rPr>
        <w:t xml:space="preserve">tiṅanta</w:t>
      </w:r>
      <w:r>
        <w:t xml:space="preserve"> </w:t>
      </w:r>
      <w:r>
        <w:t xml:space="preserve">and with a</w:t>
      </w:r>
      <w:r>
        <w:t xml:space="preserve"> </w:t>
      </w:r>
      <w:r>
        <w:rPr>
          <w:iCs/>
          <w:i/>
        </w:rPr>
        <w:t xml:space="preserve">kṛdanta</w:t>
      </w:r>
      <w:r>
        <w:t xml:space="preserve"> </w:t>
      </w:r>
      <w:r>
        <w:t xml:space="preserve">that is an indeclinable. By</w:t>
      </w:r>
      <w:r>
        <w:t xml:space="preserve"> </w:t>
      </w:r>
      <w:r>
        <w:t xml:space="preserve">“</w:t>
      </w:r>
      <w:r>
        <w:t xml:space="preserve">tasya param āmreḍitam</w:t>
      </w:r>
      <w:r>
        <w:t xml:space="preserve">”</w:t>
      </w:r>
      <w:r>
        <w:t xml:space="preserve"> </w:t>
      </w:r>
      <w:r>
        <w:t xml:space="preserve">(Pā. 8-1-2) the second form of the doubled word is named</w:t>
      </w:r>
      <w:r>
        <w:t xml:space="preserve"> </w:t>
      </w:r>
      <w:r>
        <w:rPr>
          <w:iCs/>
          <w:i/>
        </w:rPr>
        <w:t xml:space="preserve">āmreḍita</w:t>
      </w:r>
      <w:r>
        <w:t xml:space="preserve">, and by</w:t>
      </w:r>
      <w:r>
        <w:t xml:space="preserve"> </w:t>
      </w:r>
      <w:r>
        <w:t xml:space="preserve">“</w:t>
      </w:r>
      <w:r>
        <w:t xml:space="preserve">anudāttaṃ ca</w:t>
      </w:r>
      <w:r>
        <w:t xml:space="preserve">”</w:t>
      </w:r>
      <w:r>
        <w:t xml:space="preserve"> </w:t>
      </w:r>
      <w:r>
        <w:t xml:space="preserve">(Pā. 8-1-3) it is unaccented.</w:t>
      </w:r>
      <w:r>
        <w:t xml:space="preserve"> </w:t>
      </w:r>
      <w:r>
        <w:rPr>
          <w:bCs/>
          <w:b/>
        </w:rPr>
        <w:t xml:space="preserve">हवीमभिः (</w:t>
      </w:r>
      <w:r>
        <w:rPr>
          <w:iCs/>
          <w:i/>
          <w:bCs/>
          <w:b/>
        </w:rPr>
        <w:t xml:space="preserve">havīmabhiḥ</w:t>
      </w:r>
      <w:r>
        <w:rPr>
          <w:bCs/>
          <w:b/>
        </w:rPr>
        <w:t xml:space="preserve">)</w:t>
      </w:r>
      <w:r>
        <w:t xml:space="preserve"> </w:t>
      </w:r>
      <w:r>
        <w:t xml:space="preserve">— root</w:t>
      </w:r>
      <w:r>
        <w:t xml:space="preserve"> </w:t>
      </w:r>
      <w:r>
        <w:rPr>
          <w:iCs/>
          <w:i/>
        </w:rPr>
        <w:t xml:space="preserve">hveñ spardhāyāṃ śabde ca</w:t>
      </w:r>
      <w:r>
        <w:t xml:space="preserve">;</w:t>
      </w:r>
      <w:r>
        <w:t xml:space="preserve"> </w:t>
      </w:r>
      <w:r>
        <w:rPr>
          <w:iCs/>
          <w:i/>
        </w:rPr>
        <w:t xml:space="preserve">manin</w:t>
      </w:r>
      <w:r>
        <w:t xml:space="preserve"> </w:t>
      </w:r>
      <w:r>
        <w:t xml:space="preserve">in the agent sense by</w:t>
      </w:r>
      <w:r>
        <w:t xml:space="preserve"> </w:t>
      </w:r>
      <w:r>
        <w:t xml:space="preserve">“</w:t>
      </w:r>
      <w:r>
        <w:t xml:space="preserve">anyebhyo ’pi dṛśyante</w:t>
      </w:r>
      <w:r>
        <w:t xml:space="preserve">”</w:t>
      </w:r>
      <w:r>
        <w:t xml:space="preserve"> </w:t>
      </w:r>
      <w:r>
        <w:t xml:space="preserve">(Pā. 3-2-75). Although the mantras are instruments in calling, by the maxim</w:t>
      </w:r>
      <w:r>
        <w:t xml:space="preserve"> </w:t>
      </w:r>
      <w:r>
        <w:t xml:space="preserve">“</w:t>
      </w:r>
      <w:r>
        <w:t xml:space="preserve">vivakṣātaḥ kārakāṇi bhavanti</w:t>
      </w:r>
      <w:r>
        <w:t xml:space="preserve">”</w:t>
      </w:r>
      <w:r>
        <w:t xml:space="preserve"> </w:t>
      </w:r>
      <w:r>
        <w:t xml:space="preserve">— as in</w:t>
      </w:r>
      <w:r>
        <w:t xml:space="preserve"> </w:t>
      </w:r>
      <w:r>
        <w:rPr>
          <w:iCs/>
          <w:i/>
        </w:rPr>
        <w:t xml:space="preserve">sthālī pacati</w:t>
      </w:r>
      <w:r>
        <w:t xml:space="preserve">, where the pot gets the name of agent — their independence in their own activity is meant, so nothing bars</w:t>
      </w:r>
      <w:r>
        <w:t xml:space="preserve"> </w:t>
      </w:r>
      <w:r>
        <w:rPr>
          <w:iCs/>
          <w:i/>
        </w:rPr>
        <w:t xml:space="preserve">manin</w:t>
      </w:r>
      <w:r>
        <w:t xml:space="preserve"> </w:t>
      </w:r>
      <w:r>
        <w:t xml:space="preserve">in the agent sense:</w:t>
      </w:r>
      <w:r>
        <w:t xml:space="preserve"> </w:t>
      </w:r>
      <w:r>
        <w:rPr>
          <w:iCs/>
          <w:i/>
        </w:rPr>
        <w:t xml:space="preserve">hve</w:t>
      </w:r>
      <w:r>
        <w:t xml:space="preserve"> </w:t>
      </w:r>
      <w:r>
        <w:t xml:space="preserve">+</w:t>
      </w:r>
      <w:r>
        <w:t xml:space="preserve"> </w:t>
      </w:r>
      <w:r>
        <w:rPr>
          <w:iCs/>
          <w:i/>
        </w:rPr>
        <w:t xml:space="preserve">man</w:t>
      </w:r>
      <w:r>
        <w:t xml:space="preserve">; the Vedic augment</w:t>
      </w:r>
      <w:r>
        <w:t xml:space="preserve"> </w:t>
      </w:r>
      <w:r>
        <w:rPr>
          <w:iCs/>
          <w:i/>
        </w:rPr>
        <w:t xml:space="preserve">ī</w:t>
      </w:r>
      <w:r>
        <w:t xml:space="preserve">:</w:t>
      </w:r>
      <w:r>
        <w:t xml:space="preserve"> </w:t>
      </w:r>
      <w:r>
        <w:rPr>
          <w:iCs/>
          <w:i/>
        </w:rPr>
        <w:t xml:space="preserve">hve</w:t>
      </w:r>
      <w:r>
        <w:t xml:space="preserve"> </w:t>
      </w:r>
      <w:r>
        <w:t xml:space="preserve">+</w:t>
      </w:r>
      <w:r>
        <w:t xml:space="preserve"> </w:t>
      </w:r>
      <w:r>
        <w:rPr>
          <w:iCs/>
          <w:i/>
        </w:rPr>
        <w:t xml:space="preserve">īman</w:t>
      </w:r>
      <w:r>
        <w:t xml:space="preserve">;</w:t>
      </w:r>
      <w:r>
        <w:t xml:space="preserve"> </w:t>
      </w:r>
      <w:r>
        <w:t xml:space="preserve">“</w:t>
      </w:r>
      <w:r>
        <w:t xml:space="preserve">bahulaṃ chandasi</w:t>
      </w:r>
      <w:r>
        <w:t xml:space="preserve">”</w:t>
      </w:r>
    </w:p>
    <w:bookmarkEnd w:id="506"/>
    <w:bookmarkStart w:id="507" w:name="page-490-rik-2-grammar-closes"/>
    <w:p>
      <w:pPr>
        <w:pStyle w:val="Heading3"/>
      </w:pPr>
      <w:r>
        <w:t xml:space="preserve">Page 490 — Rik 2 grammar closes</w:t>
      </w:r>
    </w:p>
    <w:p>
      <w:pPr>
        <w:pStyle w:val="FirstParagraph"/>
      </w:pPr>
      <w:r>
        <w:t xml:space="preserve">(Pā. 6-1-34) gives</w:t>
      </w:r>
      <w:r>
        <w:t xml:space="preserve"> </w:t>
      </w:r>
      <w:r>
        <w:rPr>
          <w:iCs/>
          <w:i/>
        </w:rPr>
        <w:t xml:space="preserve">samprasāraṇa</w:t>
      </w:r>
      <w:r>
        <w:t xml:space="preserve">,</w:t>
      </w:r>
      <w:r>
        <w:t xml:space="preserve"> </w:t>
      </w:r>
      <w:r>
        <w:rPr>
          <w:iCs/>
          <w:i/>
        </w:rPr>
        <w:t xml:space="preserve">u</w:t>
      </w:r>
      <w:r>
        <w:t xml:space="preserve"> </w:t>
      </w:r>
      <w:r>
        <w:t xml:space="preserve">for the</w:t>
      </w:r>
      <w:r>
        <w:t xml:space="preserve"> </w:t>
      </w:r>
      <w:r>
        <w:rPr>
          <w:iCs/>
          <w:i/>
        </w:rPr>
        <w:t xml:space="preserve">e</w:t>
      </w:r>
      <w:r>
        <w:t xml:space="preserve">-ending root’s</w:t>
      </w:r>
      <w:r>
        <w:t xml:space="preserve"> </w:t>
      </w:r>
      <w:r>
        <w:rPr>
          <w:iCs/>
          <w:i/>
        </w:rPr>
        <w:t xml:space="preserve">v</w:t>
      </w:r>
      <w:r>
        <w:t xml:space="preserve">,</w:t>
      </w:r>
      <w:r>
        <w:t xml:space="preserve"> </w:t>
      </w:r>
      <w:r>
        <w:rPr>
          <w:iCs/>
          <w:i/>
        </w:rPr>
        <w:t xml:space="preserve">pūrvarūpa</w:t>
      </w:r>
      <w:r>
        <w:t xml:space="preserve">,</w:t>
      </w:r>
      <w:r>
        <w:t xml:space="preserve"> </w:t>
      </w:r>
      <w:r>
        <w:rPr>
          <w:iCs/>
          <w:i/>
        </w:rPr>
        <w:t xml:space="preserve">guṇa</w:t>
      </w:r>
      <w:r>
        <w:t xml:space="preserve">,</w:t>
      </w:r>
      <w:r>
        <w:t xml:space="preserve"> </w:t>
      </w:r>
      <w:r>
        <w:rPr>
          <w:iCs/>
          <w:i/>
        </w:rPr>
        <w:t xml:space="preserve">av</w:t>
      </w:r>
      <w:r>
        <w:t xml:space="preserve">:</w:t>
      </w:r>
      <w:r>
        <w:t xml:space="preserve"> </w:t>
      </w:r>
      <w:r>
        <w:rPr>
          <w:iCs/>
          <w:i/>
        </w:rPr>
        <w:t xml:space="preserve">havīman</w:t>
      </w:r>
      <w:r>
        <w:t xml:space="preserve">; instrumental plural</w:t>
      </w:r>
      <w:r>
        <w:t xml:space="preserve"> </w:t>
      </w:r>
      <w:r>
        <w:rPr>
          <w:iCs/>
          <w:i/>
        </w:rPr>
        <w:t xml:space="preserve">bhis</w:t>
      </w:r>
      <w:r>
        <w:t xml:space="preserve">; by</w:t>
      </w:r>
      <w:r>
        <w:t xml:space="preserve"> </w:t>
      </w:r>
      <w:r>
        <w:t xml:space="preserve">“</w:t>
      </w:r>
      <w:r>
        <w:t xml:space="preserve">svādiṣv asarvanāmasthāne</w:t>
      </w:r>
      <w:r>
        <w:t xml:space="preserve">”</w:t>
      </w:r>
      <w:r>
        <w:t xml:space="preserve"> </w:t>
      </w:r>
      <w:r>
        <w:t xml:space="preserve">(Pā. 1-4-17) [</w:t>
      </w:r>
      <w:r>
        <w:rPr>
          <w:iCs/>
          <w:i/>
        </w:rPr>
        <w:t xml:space="preserve">pada</w:t>
      </w:r>
      <w:r>
        <w:t xml:space="preserve"> </w:t>
      </w:r>
      <w:r>
        <w:t xml:space="preserve">status], loss of</w:t>
      </w:r>
      <w:r>
        <w:t xml:space="preserve"> </w:t>
      </w:r>
      <w:r>
        <w:rPr>
          <w:iCs/>
          <w:i/>
        </w:rPr>
        <w:t xml:space="preserve">n</w:t>
      </w:r>
      <w:r>
        <w:t xml:space="preserve">,</w:t>
      </w:r>
      <w:r>
        <w:t xml:space="preserve"> </w:t>
      </w:r>
      <w:r>
        <w:rPr>
          <w:iCs/>
          <w:i/>
        </w:rPr>
        <w:t xml:space="preserve">ru</w:t>
      </w:r>
      <w:r>
        <w:t xml:space="preserve"> </w:t>
      </w:r>
      <w:r>
        <w:t xml:space="preserve">and visarga:</w:t>
      </w:r>
      <w:r>
        <w:t xml:space="preserve"> </w:t>
      </w:r>
      <w:r>
        <w:rPr>
          <w:iCs/>
          <w:i/>
        </w:rPr>
        <w:t xml:space="preserve">havīmabhiḥ</w:t>
      </w:r>
      <w:r>
        <w:t xml:space="preserve">; initial-udātta by the</w:t>
      </w:r>
      <w:r>
        <w:t xml:space="preserve"> </w:t>
      </w:r>
      <w:r>
        <w:rPr>
          <w:iCs/>
          <w:i/>
        </w:rPr>
        <w:t xml:space="preserve">nit</w:t>
      </w:r>
      <w:r>
        <w:t xml:space="preserve"> </w:t>
      </w:r>
      <w:r>
        <w:t xml:space="preserve">accent.</w:t>
      </w:r>
      <w:r>
        <w:t xml:space="preserve"> </w:t>
      </w:r>
      <w:r>
        <w:rPr>
          <w:bCs/>
          <w:b/>
        </w:rPr>
        <w:t xml:space="preserve">सदा (</w:t>
      </w:r>
      <w:r>
        <w:rPr>
          <w:iCs/>
          <w:i/>
          <w:bCs/>
          <w:b/>
        </w:rPr>
        <w:t xml:space="preserve">sadā</w:t>
      </w:r>
      <w:r>
        <w:rPr>
          <w:bCs/>
          <w:b/>
        </w:rPr>
        <w:t xml:space="preserve">)</w:t>
      </w:r>
      <w:r>
        <w:t xml:space="preserve"> </w:t>
      </w:r>
      <w:r>
        <w:t xml:space="preserve">—</w:t>
      </w:r>
      <w:r>
        <w:t xml:space="preserve"> </w:t>
      </w:r>
      <w:r>
        <w:t xml:space="preserve">“</w:t>
      </w:r>
      <w:r>
        <w:t xml:space="preserve">sarvaikānya-kiṃ-yat-tadaḥ kāle dā</w:t>
      </w:r>
      <w:r>
        <w:t xml:space="preserve">”</w:t>
      </w:r>
      <w:r>
        <w:t xml:space="preserve"> </w:t>
      </w:r>
      <w:r>
        <w:t xml:space="preserve">(Pā. 5-3-15): after</w:t>
      </w:r>
      <w:r>
        <w:t xml:space="preserve"> </w:t>
      </w:r>
      <w:r>
        <w:rPr>
          <w:iCs/>
          <w:i/>
        </w:rPr>
        <w:t xml:space="preserve">sarva</w:t>
      </w:r>
      <w:r>
        <w:t xml:space="preserve">,</w:t>
      </w:r>
      <w:r>
        <w:t xml:space="preserve"> </w:t>
      </w:r>
      <w:r>
        <w:rPr>
          <w:iCs/>
          <w:i/>
        </w:rPr>
        <w:t xml:space="preserve">eka</w:t>
      </w:r>
      <w:r>
        <w:t xml:space="preserve">,</w:t>
      </w:r>
      <w:r>
        <w:t xml:space="preserve"> </w:t>
      </w:r>
      <w:r>
        <w:rPr>
          <w:iCs/>
          <w:i/>
        </w:rPr>
        <w:t xml:space="preserve">anya</w:t>
      </w:r>
      <w:r>
        <w:t xml:space="preserve">,</w:t>
      </w:r>
      <w:r>
        <w:t xml:space="preserve"> </w:t>
      </w:r>
      <w:r>
        <w:rPr>
          <w:iCs/>
          <w:i/>
        </w:rPr>
        <w:t xml:space="preserve">kim</w:t>
      </w:r>
      <w:r>
        <w:t xml:space="preserve">,</w:t>
      </w:r>
      <w:r>
        <w:t xml:space="preserve"> </w:t>
      </w:r>
      <w:r>
        <w:rPr>
          <w:iCs/>
          <w:i/>
        </w:rPr>
        <w:t xml:space="preserve">yad</w:t>
      </w:r>
      <w:r>
        <w:t xml:space="preserve">,</w:t>
      </w:r>
      <w:r>
        <w:t xml:space="preserve"> </w:t>
      </w:r>
      <w:r>
        <w:rPr>
          <w:iCs/>
          <w:i/>
        </w:rPr>
        <w:t xml:space="preserve">tad</w:t>
      </w:r>
      <w:r>
        <w:t xml:space="preserve"> </w:t>
      </w:r>
      <w:r>
        <w:t xml:space="preserve">in the locative sense of time,</w:t>
      </w:r>
      <w:r>
        <w:t xml:space="preserve"> </w:t>
      </w:r>
      <w:r>
        <w:rPr>
          <w:iCs/>
          <w:i/>
        </w:rPr>
        <w:t xml:space="preserve">dā</w:t>
      </w:r>
      <w:r>
        <w:t xml:space="preserve"> </w:t>
      </w:r>
      <w:r>
        <w:t xml:space="preserve">in its own sense:</w:t>
      </w:r>
      <w:r>
        <w:t xml:space="preserve"> </w:t>
      </w:r>
      <w:r>
        <w:rPr>
          <w:iCs/>
          <w:i/>
        </w:rPr>
        <w:t xml:space="preserve">sarva</w:t>
      </w:r>
      <w:r>
        <w:t xml:space="preserve"> </w:t>
      </w:r>
      <w:r>
        <w:t xml:space="preserve">+</w:t>
      </w:r>
      <w:r>
        <w:t xml:space="preserve"> </w:t>
      </w:r>
      <w:r>
        <w:rPr>
          <w:iCs/>
          <w:i/>
        </w:rPr>
        <w:t xml:space="preserve">dā</w:t>
      </w:r>
      <w:r>
        <w:t xml:space="preserve">;</w:t>
      </w:r>
      <w:r>
        <w:t xml:space="preserve"> </w:t>
      </w:r>
      <w:r>
        <w:t xml:space="preserve">“</w:t>
      </w:r>
      <w:r>
        <w:t xml:space="preserve">sarvasya so ’nyatarasyāṃ di</w:t>
      </w:r>
      <w:r>
        <w:t xml:space="preserve">”</w:t>
      </w:r>
      <w:r>
        <w:t xml:space="preserve"> </w:t>
      </w:r>
      <w:r>
        <w:t xml:space="preserve">(Pā. 5-3-6): before a</w:t>
      </w:r>
      <w:r>
        <w:t xml:space="preserve"> </w:t>
      </w:r>
      <w:r>
        <w:rPr>
          <w:iCs/>
          <w:i/>
        </w:rPr>
        <w:t xml:space="preserve">d</w:t>
      </w:r>
      <w:r>
        <w:t xml:space="preserve">-initial suffix of the</w:t>
      </w:r>
      <w:r>
        <w:t xml:space="preserve"> </w:t>
      </w:r>
      <w:r>
        <w:rPr>
          <w:iCs/>
          <w:i/>
        </w:rPr>
        <w:t xml:space="preserve">prāgdiśīya</w:t>
      </w:r>
      <w:r>
        <w:t xml:space="preserve"> </w:t>
      </w:r>
      <w:r>
        <w:t xml:space="preserve">group,</w:t>
      </w:r>
      <w:r>
        <w:t xml:space="preserve"> </w:t>
      </w:r>
      <w:r>
        <w:rPr>
          <w:iCs/>
          <w:i/>
        </w:rPr>
        <w:t xml:space="preserve">sa</w:t>
      </w:r>
      <w:r>
        <w:t xml:space="preserve"> </w:t>
      </w:r>
      <w:r>
        <w:t xml:space="preserve">optionally replaces</w:t>
      </w:r>
      <w:r>
        <w:t xml:space="preserve"> </w:t>
      </w:r>
      <w:r>
        <w:rPr>
          <w:iCs/>
          <w:i/>
        </w:rPr>
        <w:t xml:space="preserve">sarva</w:t>
      </w:r>
      <w:r>
        <w:t xml:space="preserve">:</w:t>
      </w:r>
      <w:r>
        <w:t xml:space="preserve"> </w:t>
      </w:r>
      <w:r>
        <w:rPr>
          <w:iCs/>
          <w:i/>
        </w:rPr>
        <w:t xml:space="preserve">sadā</w:t>
      </w:r>
      <w:r>
        <w:t xml:space="preserve">;</w:t>
      </w:r>
      <w:r>
        <w:t xml:space="preserve"> </w:t>
      </w:r>
      <w:r>
        <w:t xml:space="preserve">“</w:t>
      </w:r>
      <w:r>
        <w:t xml:space="preserve">sarvasmin kāle</w:t>
      </w:r>
      <w:r>
        <w:t xml:space="preserve">”</w:t>
      </w:r>
      <w:r>
        <w:t xml:space="preserve">; properly the suffix accent would make</w:t>
      </w:r>
      <w:r>
        <w:t xml:space="preserve"> </w:t>
      </w:r>
      <w:r>
        <w:rPr>
          <w:iCs/>
          <w:i/>
        </w:rPr>
        <w:t xml:space="preserve">sadā</w:t>
      </w:r>
      <w:r>
        <w:t xml:space="preserve"> </w:t>
      </w:r>
      <w:r>
        <w:t xml:space="preserve">final-udātta, but by exception it is initial-udātta.</w:t>
      </w:r>
      <w:r>
        <w:t xml:space="preserve"> </w:t>
      </w:r>
      <w:r>
        <w:rPr>
          <w:bCs/>
          <w:b/>
        </w:rPr>
        <w:t xml:space="preserve">हवन्त (</w:t>
      </w:r>
      <w:r>
        <w:rPr>
          <w:iCs/>
          <w:i/>
          <w:bCs/>
          <w:b/>
        </w:rPr>
        <w:t xml:space="preserve">havanta</w:t>
      </w:r>
      <w:r>
        <w:rPr>
          <w:bCs/>
          <w:b/>
        </w:rPr>
        <w:t xml:space="preserve">)</w:t>
      </w:r>
      <w:r>
        <w:t xml:space="preserve"> </w:t>
      </w:r>
      <w:r>
        <w:t xml:space="preserve">— root</w:t>
      </w:r>
      <w:r>
        <w:t xml:space="preserve"> </w:t>
      </w:r>
      <w:r>
        <w:rPr>
          <w:iCs/>
          <w:i/>
        </w:rPr>
        <w:t xml:space="preserve">hveñ</w:t>
      </w:r>
      <w:r>
        <w:t xml:space="preserve">;</w:t>
      </w:r>
      <w:r>
        <w:t xml:space="preserve"> </w:t>
      </w:r>
      <w:r>
        <w:rPr>
          <w:iCs/>
          <w:i/>
        </w:rPr>
        <w:t xml:space="preserve">laṭ</w:t>
      </w:r>
      <w:r>
        <w:t xml:space="preserve">,</w:t>
      </w:r>
      <w:r>
        <w:t xml:space="preserve"> </w:t>
      </w:r>
      <w:r>
        <w:rPr>
          <w:iCs/>
          <w:i/>
        </w:rPr>
        <w:t xml:space="preserve">jha</w:t>
      </w:r>
      <w:r>
        <w:t xml:space="preserve">;</w:t>
      </w:r>
      <w:r>
        <w:t xml:space="preserve"> </w:t>
      </w:r>
      <w:r>
        <w:rPr>
          <w:iCs/>
          <w:i/>
        </w:rPr>
        <w:t xml:space="preserve">ant</w:t>
      </w:r>
      <w:r>
        <w:t xml:space="preserve"> </w:t>
      </w:r>
      <w:r>
        <w:t xml:space="preserve">for</w:t>
      </w:r>
      <w:r>
        <w:t xml:space="preserve"> </w:t>
      </w:r>
      <w:r>
        <w:rPr>
          <w:iCs/>
          <w:i/>
        </w:rPr>
        <w:t xml:space="preserve">jh</w:t>
      </w:r>
      <w:r>
        <w:t xml:space="preserve"> </w:t>
      </w:r>
      <w:r>
        <w:t xml:space="preserve">by</w:t>
      </w:r>
      <w:r>
        <w:t xml:space="preserve"> </w:t>
      </w:r>
      <w:r>
        <w:t xml:space="preserve">“</w:t>
      </w:r>
      <w:r>
        <w:t xml:space="preserve">jho ’ntaḥ</w:t>
      </w:r>
      <w:r>
        <w:t xml:space="preserve">”</w:t>
      </w:r>
      <w:r>
        <w:t xml:space="preserve"> </w:t>
      </w:r>
      <w:r>
        <w:t xml:space="preserve">(Pā. 7-1-3); the</w:t>
      </w:r>
      <w:r>
        <w:t xml:space="preserve"> </w:t>
      </w:r>
      <w:r>
        <w:rPr>
          <w:iCs/>
          <w:i/>
        </w:rPr>
        <w:t xml:space="preserve">e</w:t>
      </w:r>
      <w:r>
        <w:t xml:space="preserve"> </w:t>
      </w:r>
      <w:r>
        <w:t xml:space="preserve">that</w:t>
      </w:r>
      <w:r>
        <w:t xml:space="preserve"> </w:t>
      </w:r>
      <w:r>
        <w:t xml:space="preserve">“</w:t>
      </w:r>
      <w:r>
        <w:t xml:space="preserve">ṭita ātmanepadānāṃ ṭere</w:t>
      </w:r>
      <w:r>
        <w:t xml:space="preserve">”</w:t>
      </w:r>
      <w:r>
        <w:t xml:space="preserve"> </w:t>
      </w:r>
      <w:r>
        <w:t xml:space="preserve">(printed</w:t>
      </w:r>
      <w:r>
        <w:t xml:space="preserve"> </w:t>
      </w:r>
      <w:r>
        <w:t xml:space="preserve">“</w:t>
      </w:r>
      <w:r>
        <w:t xml:space="preserve">3-4-79</w:t>
      </w:r>
      <w:r>
        <w:t xml:space="preserve">”</w:t>
      </w:r>
      <w:r>
        <w:t xml:space="preserve"> </w:t>
      </w:r>
      <w:r>
        <w:t xml:space="preserve">[?]) would give is absent as a Vedic form;</w:t>
      </w:r>
      <w:r>
        <w:t xml:space="preserve"> </w:t>
      </w:r>
      <w:r>
        <w:rPr>
          <w:iCs/>
          <w:i/>
        </w:rPr>
        <w:t xml:space="preserve">śap</w:t>
      </w:r>
      <w:r>
        <w:t xml:space="preserve">:</w:t>
      </w:r>
      <w:r>
        <w:t xml:space="preserve"> </w:t>
      </w:r>
      <w:r>
        <w:rPr>
          <w:iCs/>
          <w:i/>
        </w:rPr>
        <w:t xml:space="preserve">hve</w:t>
      </w:r>
      <w:r>
        <w:t xml:space="preserve"> </w:t>
      </w:r>
      <w:r>
        <w:t xml:space="preserve">+</w:t>
      </w:r>
      <w:r>
        <w:t xml:space="preserve"> </w:t>
      </w:r>
      <w:r>
        <w:rPr>
          <w:iCs/>
          <w:i/>
        </w:rPr>
        <w:t xml:space="preserve">a</w:t>
      </w:r>
      <w:r>
        <w:t xml:space="preserve"> </w:t>
      </w:r>
      <w:r>
        <w:t xml:space="preserve">+</w:t>
      </w:r>
      <w:r>
        <w:t xml:space="preserve"> </w:t>
      </w:r>
      <w:r>
        <w:rPr>
          <w:iCs/>
          <w:i/>
        </w:rPr>
        <w:t xml:space="preserve">anta</w:t>
      </w:r>
      <w:r>
        <w:t xml:space="preserve">;</w:t>
      </w:r>
      <w:r>
        <w:t xml:space="preserve"> </w:t>
      </w:r>
      <w:r>
        <w:t xml:space="preserve">“</w:t>
      </w:r>
      <w:r>
        <w:t xml:space="preserve">bahulaṃ chandasi</w:t>
      </w:r>
      <w:r>
        <w:t xml:space="preserve">”</w:t>
      </w:r>
      <w:r>
        <w:t xml:space="preserve"> </w:t>
      </w:r>
      <w:r>
        <w:t xml:space="preserve">(Pā. 6-1-34) gives</w:t>
      </w:r>
      <w:r>
        <w:t xml:space="preserve"> </w:t>
      </w:r>
      <w:r>
        <w:rPr>
          <w:iCs/>
          <w:i/>
        </w:rPr>
        <w:t xml:space="preserve">samprasāraṇa</w:t>
      </w:r>
      <w:r>
        <w:t xml:space="preserve">, then</w:t>
      </w:r>
      <w:r>
        <w:t xml:space="preserve"> </w:t>
      </w:r>
      <w:r>
        <w:rPr>
          <w:iCs/>
          <w:i/>
        </w:rPr>
        <w:t xml:space="preserve">pūrvarūpa</w:t>
      </w:r>
      <w:r>
        <w:t xml:space="preserve">,</w:t>
      </w:r>
      <w:r>
        <w:t xml:space="preserve"> </w:t>
      </w:r>
      <w:r>
        <w:rPr>
          <w:iCs/>
          <w:i/>
        </w:rPr>
        <w:t xml:space="preserve">guṇa</w:t>
      </w:r>
      <w:r>
        <w:t xml:space="preserve">,</w:t>
      </w:r>
      <w:r>
        <w:t xml:space="preserve"> </w:t>
      </w:r>
      <w:r>
        <w:rPr>
          <w:iCs/>
          <w:i/>
        </w:rPr>
        <w:t xml:space="preserve">av</w:t>
      </w:r>
      <w:r>
        <w:t xml:space="preserve">:</w:t>
      </w:r>
      <w:r>
        <w:t xml:space="preserve"> </w:t>
      </w:r>
      <w:r>
        <w:rPr>
          <w:iCs/>
          <w:i/>
        </w:rPr>
        <w:t xml:space="preserve">havanta</w:t>
      </w:r>
      <w:r>
        <w:t xml:space="preserve">; unaccented by</w:t>
      </w:r>
      <w:r>
        <w:t xml:space="preserve"> </w:t>
      </w:r>
      <w:r>
        <w:t xml:space="preserve">“</w:t>
      </w:r>
      <w:r>
        <w:t xml:space="preserve">tiṅṅ atiṅaḥ</w:t>
      </w:r>
      <w:r>
        <w:t xml:space="preserve">”</w:t>
      </w:r>
      <w:r>
        <w:t xml:space="preserve"> </w:t>
      </w:r>
      <w:r>
        <w:t xml:space="preserve">(Pā. 8-1-28).</w:t>
      </w:r>
      <w:r>
        <w:t xml:space="preserve"> </w:t>
      </w:r>
      <w:r>
        <w:rPr>
          <w:bCs/>
          <w:b/>
        </w:rPr>
        <w:t xml:space="preserve">विश्पतिम् (</w:t>
      </w:r>
      <w:r>
        <w:rPr>
          <w:iCs/>
          <w:i/>
          <w:bCs/>
          <w:b/>
        </w:rPr>
        <w:t xml:space="preserve">viśpatim</w:t>
      </w:r>
      <w:r>
        <w:rPr>
          <w:bCs/>
          <w:b/>
        </w:rPr>
        <w:t xml:space="preserve">)</w:t>
      </w:r>
      <w:r>
        <w:t xml:space="preserve"> </w:t>
      </w:r>
      <w:r>
        <w:t xml:space="preserve">—</w:t>
      </w:r>
      <w:r>
        <w:t xml:space="preserve"> </w:t>
      </w:r>
      <w:r>
        <w:t xml:space="preserve">“</w:t>
      </w:r>
      <w:r>
        <w:t xml:space="preserve">patyāv aiśvarye</w:t>
      </w:r>
      <w:r>
        <w:t xml:space="preserve">”</w:t>
      </w:r>
      <w:r>
        <w:t xml:space="preserve"> </w:t>
      </w:r>
      <w:r>
        <w:t xml:space="preserve">(Pā. 6-2-18) would give the first member’s accent; setting it aside,</w:t>
      </w:r>
      <w:r>
        <w:t xml:space="preserve"> </w:t>
      </w:r>
      <w:r>
        <w:t xml:space="preserve">“</w:t>
      </w:r>
      <w:r>
        <w:t xml:space="preserve">parādiś chandasi bahulam</w:t>
      </w:r>
      <w:r>
        <w:t xml:space="preserve">”</w:t>
      </w:r>
      <w:r>
        <w:t xml:space="preserve"> </w:t>
      </w:r>
      <w:r>
        <w:t xml:space="preserve">(printed</w:t>
      </w:r>
      <w:r>
        <w:t xml:space="preserve"> </w:t>
      </w:r>
      <w:r>
        <w:t xml:space="preserve">“</w:t>
      </w:r>
      <w:r>
        <w:t xml:space="preserve">pā. sada.</w:t>
      </w:r>
      <w:r>
        <w:t xml:space="preserve">”</w:t>
      </w:r>
      <w:r>
        <w:t xml:space="preserve"> </w:t>
      </w:r>
      <w:r>
        <w:t xml:space="preserve">[sic] 6-2-199) makes the second member</w:t>
      </w:r>
      <w:r>
        <w:t xml:space="preserve"> </w:t>
      </w:r>
      <w:r>
        <w:rPr>
          <w:iCs/>
          <w:i/>
        </w:rPr>
        <w:t xml:space="preserve">pati</w:t>
      </w:r>
      <w:r>
        <w:t xml:space="preserve"> </w:t>
      </w:r>
      <w:r>
        <w:t xml:space="preserve">initial-udātta.</w:t>
      </w:r>
      <w:r>
        <w:t xml:space="preserve"> </w:t>
      </w:r>
      <w:r>
        <w:rPr>
          <w:bCs/>
          <w:b/>
        </w:rPr>
        <w:t xml:space="preserve">हव्यवाहम् (</w:t>
      </w:r>
      <w:r>
        <w:rPr>
          <w:iCs/>
          <w:i/>
          <w:bCs/>
          <w:b/>
        </w:rPr>
        <w:t xml:space="preserve">havyavāham</w:t>
      </w:r>
      <w:r>
        <w:rPr>
          <w:bCs/>
          <w:b/>
        </w:rPr>
        <w:t xml:space="preserve">)</w:t>
      </w:r>
      <w:r>
        <w:t xml:space="preserve"> </w:t>
      </w:r>
      <w:r>
        <w:t xml:space="preserve">—</w:t>
      </w:r>
      <w:r>
        <w:t xml:space="preserve"> </w:t>
      </w:r>
      <w:r>
        <w:t xml:space="preserve">“</w:t>
      </w:r>
      <w:r>
        <w:t xml:space="preserve">havyaṃ vahati iti havyavāhaḥ, tam</w:t>
      </w:r>
      <w:r>
        <w:t xml:space="preserve">”</w:t>
      </w:r>
      <w:r>
        <w:t xml:space="preserve">; root</w:t>
      </w:r>
      <w:r>
        <w:t xml:space="preserve"> </w:t>
      </w:r>
      <w:r>
        <w:rPr>
          <w:iCs/>
          <w:i/>
        </w:rPr>
        <w:t xml:space="preserve">vaha prāpaṇe</w:t>
      </w:r>
      <w:r>
        <w:t xml:space="preserve">;</w:t>
      </w:r>
      <w:r>
        <w:t xml:space="preserve"> </w:t>
      </w:r>
      <w:r>
        <w:t xml:space="preserve">“</w:t>
      </w:r>
      <w:r>
        <w:t xml:space="preserve">vahaś ca</w:t>
      </w:r>
      <w:r>
        <w:t xml:space="preserve">”</w:t>
      </w:r>
      <w:r>
        <w:t xml:space="preserve"> </w:t>
      </w:r>
      <w:r>
        <w:t xml:space="preserve">(Pā. 3-2-64): in the Veda, with a</w:t>
      </w:r>
      <w:r>
        <w:t xml:space="preserve"> </w:t>
      </w:r>
      <w:r>
        <w:rPr>
          <w:iCs/>
          <w:i/>
        </w:rPr>
        <w:t xml:space="preserve">subanta</w:t>
      </w:r>
      <w:r>
        <w:t xml:space="preserve"> </w:t>
      </w:r>
      <w:r>
        <w:t xml:space="preserve">as</w:t>
      </w:r>
      <w:r>
        <w:t xml:space="preserve"> </w:t>
      </w:r>
      <w:r>
        <w:rPr>
          <w:iCs/>
          <w:i/>
        </w:rPr>
        <w:t xml:space="preserve">upapada</w:t>
      </w:r>
      <w:r>
        <w:t xml:space="preserve">,</w:t>
      </w:r>
      <w:r>
        <w:t xml:space="preserve"> </w:t>
      </w:r>
      <w:r>
        <w:rPr>
          <w:iCs/>
          <w:i/>
        </w:rPr>
        <w:t xml:space="preserve">ṇvi</w:t>
      </w:r>
      <w:r>
        <w:t xml:space="preserve"> </w:t>
      </w:r>
      <w:r>
        <w:t xml:space="preserve">after</w:t>
      </w:r>
      <w:r>
        <w:t xml:space="preserve"> </w:t>
      </w:r>
      <w:r>
        <w:rPr>
          <w:iCs/>
          <w:i/>
        </w:rPr>
        <w:t xml:space="preserve">vah</w:t>
      </w:r>
      <w:r>
        <w:t xml:space="preserve">:</w:t>
      </w:r>
      <w:r>
        <w:t xml:space="preserve"> </w:t>
      </w:r>
      <w:r>
        <w:rPr>
          <w:iCs/>
          <w:i/>
        </w:rPr>
        <w:t xml:space="preserve">havya</w:t>
      </w:r>
      <w:r>
        <w:t xml:space="preserve"> </w:t>
      </w:r>
      <w:r>
        <w:t xml:space="preserve">+</w:t>
      </w:r>
      <w:r>
        <w:t xml:space="preserve"> </w:t>
      </w:r>
      <w:r>
        <w:rPr>
          <w:iCs/>
          <w:i/>
        </w:rPr>
        <w:t xml:space="preserve">am</w:t>
      </w:r>
      <w:r>
        <w:t xml:space="preserve"> </w:t>
      </w:r>
      <w:r>
        <w:t xml:space="preserve">+</w:t>
      </w:r>
      <w:r>
        <w:t xml:space="preserve"> </w:t>
      </w:r>
      <w:r>
        <w:rPr>
          <w:iCs/>
          <w:i/>
        </w:rPr>
        <w:t xml:space="preserve">vah</w:t>
      </w:r>
      <w:r>
        <w:t xml:space="preserve"> </w:t>
      </w:r>
      <w:r>
        <w:t xml:space="preserve">+</w:t>
      </w:r>
      <w:r>
        <w:t xml:space="preserve"> </w:t>
      </w:r>
      <w:r>
        <w:rPr>
          <w:iCs/>
          <w:i/>
        </w:rPr>
        <w:t xml:space="preserve">ṇvi</w:t>
      </w:r>
      <w:r>
        <w:t xml:space="preserve">; properly the non-surface analysis should be shown as</w:t>
      </w:r>
      <w:r>
        <w:t xml:space="preserve"> </w:t>
      </w:r>
      <w:r>
        <w:rPr>
          <w:iCs/>
          <w:i/>
        </w:rPr>
        <w:t xml:space="preserve">havya</w:t>
      </w:r>
      <w:r>
        <w:t xml:space="preserve"> </w:t>
      </w:r>
      <w:r>
        <w:t xml:space="preserve">+</w:t>
      </w:r>
      <w:r>
        <w:t xml:space="preserve"> </w:t>
      </w:r>
      <w:r>
        <w:rPr>
          <w:iCs/>
          <w:i/>
        </w:rPr>
        <w:t xml:space="preserve">as</w:t>
      </w:r>
      <w:r>
        <w:t xml:space="preserve"> </w:t>
      </w:r>
      <w:r>
        <w:rPr>
          <w:iCs/>
          <w:i/>
        </w:rPr>
        <w:t xml:space="preserve">vah</w:t>
      </w:r>
      <w:r>
        <w:t xml:space="preserve"> </w:t>
      </w:r>
      <w:r>
        <w:t xml:space="preserve">+</w:t>
      </w:r>
      <w:r>
        <w:t xml:space="preserve"> </w:t>
      </w:r>
      <w:r>
        <w:rPr>
          <w:iCs/>
          <w:i/>
        </w:rPr>
        <w:t xml:space="preserve">ṇvi</w:t>
      </w:r>
      <w:r>
        <w:t xml:space="preserve">; as a</w:t>
      </w:r>
      <w:r>
        <w:t xml:space="preserve"> </w:t>
      </w:r>
      <w:r>
        <w:rPr>
          <w:iCs/>
          <w:i/>
        </w:rPr>
        <w:t xml:space="preserve">kṛdanta</w:t>
      </w:r>
      <w:r>
        <w:t xml:space="preserve"> </w:t>
      </w:r>
      <w:r>
        <w:t xml:space="preserve">it is a</w:t>
      </w:r>
      <w:r>
        <w:t xml:space="preserve"> </w:t>
      </w:r>
      <w:r>
        <w:rPr>
          <w:iCs/>
          <w:i/>
        </w:rPr>
        <w:t xml:space="preserve">prātipadika</w:t>
      </w:r>
      <w:r>
        <w:t xml:space="preserve">, the</w:t>
      </w:r>
      <w:r>
        <w:t xml:space="preserve"> </w:t>
      </w:r>
      <w:r>
        <w:rPr>
          <w:iCs/>
          <w:i/>
        </w:rPr>
        <w:t xml:space="preserve">sup</w:t>
      </w:r>
      <w:r>
        <w:t xml:space="preserve"> </w:t>
      </w:r>
      <w:r>
        <w:t xml:space="preserve">dropped;</w:t>
      </w:r>
      <w:r>
        <w:t xml:space="preserve"> </w:t>
      </w:r>
      <w:r>
        <w:rPr>
          <w:iCs/>
          <w:i/>
        </w:rPr>
        <w:t xml:space="preserve">ṇvi</w:t>
      </w:r>
      <w:r>
        <w:t xml:space="preserve"> </w:t>
      </w:r>
      <w:r>
        <w:t xml:space="preserve">lost part by part;</w:t>
      </w:r>
      <w:r>
        <w:t xml:space="preserve"> </w:t>
      </w:r>
      <w:r>
        <w:rPr>
          <w:iCs/>
          <w:i/>
        </w:rPr>
        <w:t xml:space="preserve">vṛddhi</w:t>
      </w:r>
      <w:r>
        <w:t xml:space="preserve"> </w:t>
      </w:r>
      <w:r>
        <w:t xml:space="preserve">of the penultimate:</w:t>
      </w:r>
      <w:r>
        <w:t xml:space="preserve"> </w:t>
      </w:r>
      <w:r>
        <w:rPr>
          <w:iCs/>
          <w:i/>
        </w:rPr>
        <w:t xml:space="preserve">havyavāha</w:t>
      </w:r>
      <w:r>
        <w:t xml:space="preserve">, with the accent of the</w:t>
      </w:r>
      <w:r>
        <w:t xml:space="preserve"> </w:t>
      </w:r>
      <w:r>
        <w:rPr>
          <w:iCs/>
          <w:i/>
        </w:rPr>
        <w:t xml:space="preserve">kṛt</w:t>
      </w:r>
      <w:r>
        <w:t xml:space="preserve"> </w:t>
      </w:r>
      <w:r>
        <w:t xml:space="preserve">second member; accusative singular</w:t>
      </w:r>
      <w:r>
        <w:t xml:space="preserve"> </w:t>
      </w:r>
      <w:r>
        <w:rPr>
          <w:iCs/>
          <w:i/>
        </w:rPr>
        <w:t xml:space="preserve">am</w:t>
      </w:r>
      <w:r>
        <w:t xml:space="preserve">:</w:t>
      </w:r>
      <w:r>
        <w:t xml:space="preserve"> </w:t>
      </w:r>
      <w:r>
        <w:rPr>
          <w:iCs/>
          <w:i/>
        </w:rPr>
        <w:t xml:space="preserve">havyavāham</w:t>
      </w:r>
      <w:r>
        <w:t xml:space="preserve">.</w:t>
      </w:r>
      <w:r>
        <w:t xml:space="preserve"> </w:t>
      </w:r>
      <w:r>
        <w:rPr>
          <w:bCs/>
          <w:b/>
        </w:rPr>
        <w:t xml:space="preserve">पुरुप्रियम् (</w:t>
      </w:r>
      <w:r>
        <w:rPr>
          <w:iCs/>
          <w:i/>
          <w:bCs/>
          <w:b/>
        </w:rPr>
        <w:t xml:space="preserve">purupriyam</w:t>
      </w:r>
      <w:r>
        <w:rPr>
          <w:bCs/>
          <w:b/>
        </w:rPr>
        <w:t xml:space="preserve">)</w:t>
      </w:r>
      <w:r>
        <w:t xml:space="preserve"> </w:t>
      </w:r>
      <w:r>
        <w:t xml:space="preserve">—</w:t>
      </w:r>
      <w:r>
        <w:t xml:space="preserve"> </w:t>
      </w:r>
      <w:r>
        <w:t xml:space="preserve">“</w:t>
      </w:r>
      <w:r>
        <w:t xml:space="preserve">purūṇāṃ priyas tam</w:t>
      </w:r>
      <w:r>
        <w:t xml:space="preserve">”</w:t>
      </w:r>
      <w:r>
        <w:t xml:space="preserve">: a genitive tatpuruṣa; final-udātta by</w:t>
      </w:r>
      <w:r>
        <w:t xml:space="preserve"> </w:t>
      </w:r>
      <w:r>
        <w:t xml:space="preserve">“</w:t>
      </w:r>
      <w:r>
        <w:t xml:space="preserve">samāsasya</w:t>
      </w:r>
      <w:r>
        <w:t xml:space="preserve">”</w:t>
      </w:r>
      <w:r>
        <w:t xml:space="preserve"> </w:t>
      </w:r>
      <w:r>
        <w:t xml:space="preserve">(Pā. 6-1-223).</w:t>
      </w:r>
    </w:p>
    <w:p>
      <w:pPr>
        <w:pStyle w:val="BodyText"/>
      </w:pPr>
      <w:r>
        <w:rPr>
          <w:bCs/>
          <w:b/>
        </w:rPr>
        <w:t xml:space="preserve">॥२॥</w:t>
      </w:r>
    </w:p>
    <w:p>
      <w:r>
        <w:pict>
          <v:rect style="width:0;height:1.5pt" o:hralign="center" o:hrstd="t" o:hr="t"/>
        </w:pict>
      </w:r>
    </w:p>
    <w:bookmarkEnd w:id="507"/>
    <w:bookmarkStart w:id="508" w:name="page-491-sūkta-12-rik-3"/>
    <w:p>
      <w:pPr>
        <w:pStyle w:val="Heading3"/>
      </w:pPr>
      <w:r>
        <w:t xml:space="preserve">Page 491 — Sūkta 12, Rik 3</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अग्ने॑ दे॒वाँ इ॒हा व॑ह जज्ञा॒नो वृ॒क्तब॑र्हिषे ।</w:t>
      </w:r>
      <w:r>
        <w:t xml:space="preserve"> </w:t>
      </w:r>
      <w:r>
        <w:t xml:space="preserve">असि॒ होता॑ न॒ ईड्यः॑ ॥३॥</w:t>
      </w:r>
    </w:p>
    <w:p>
      <w:pPr>
        <w:pStyle w:val="BlockText"/>
      </w:pPr>
      <w:r>
        <w:rPr>
          <w:iCs/>
          <w:i/>
        </w:rPr>
        <w:t xml:space="preserve">ágne devā́m̐ ihā́ vaha jajñānó vṛktábarhiṣe |</w:t>
      </w:r>
      <w:r>
        <w:t xml:space="preserve"> </w:t>
      </w:r>
      <w:r>
        <w:rPr>
          <w:iCs/>
          <w:i/>
        </w:rPr>
        <w:t xml:space="preserve">asi hótā na ī́ḍyaḥ ||3||</w:t>
      </w:r>
    </w:p>
    <w:p>
      <w:pPr>
        <w:pStyle w:val="FirstParagraph"/>
      </w:pPr>
      <w:r>
        <w:rPr>
          <w:bCs/>
          <w:b/>
        </w:rPr>
        <w:t xml:space="preserve">॥ Pada-pāṭhaḥ ॥</w:t>
      </w:r>
    </w:p>
    <w:p>
      <w:pPr>
        <w:pStyle w:val="BlockText"/>
      </w:pPr>
      <w:r>
        <w:t xml:space="preserve">अग्ने । देवान् । इह । आ । वह । जज्ञानः । वृक्तऽबर्हिषे ॥</w:t>
      </w:r>
      <w:r>
        <w:t xml:space="preserve"> </w:t>
      </w:r>
      <w:r>
        <w:t xml:space="preserve">असि । होता । नः । ईड्यः ॥३॥</w:t>
      </w:r>
    </w:p>
    <w:p>
      <w:pPr>
        <w:pStyle w:val="BlockText"/>
      </w:pPr>
      <w:r>
        <w:rPr>
          <w:iCs/>
          <w:i/>
        </w:rPr>
        <w:t xml:space="preserve">agne | devān | iha | ā | vaha | jajñānaḥ | vṛkta-barhiṣe ||</w:t>
      </w:r>
      <w:r>
        <w:t xml:space="preserve"> </w:t>
      </w:r>
      <w:r>
        <w:rPr>
          <w:iCs/>
          <w:i/>
        </w:rPr>
        <w:t xml:space="preserve">asi | hotā | naḥ | īḍyaḥ ||3||</w:t>
      </w:r>
    </w:p>
    <w:p>
      <w:pPr>
        <w:pStyle w:val="FirstParagraph"/>
      </w:pPr>
      <w:r>
        <w:rPr>
          <w:bCs/>
          <w:b/>
        </w:rPr>
        <w:t xml:space="preserve">॥ Sāyaṇa-bhāṣyam ॥</w:t>
      </w:r>
    </w:p>
    <w:p>
      <w:pPr>
        <w:pStyle w:val="BlockText"/>
      </w:pPr>
      <w:r>
        <w:t xml:space="preserve">हे अग्ने जज्ञानो ऽरण्योरुत्पन्नस्त्वं वृक्तबर्हिष आस्तरणार्थं छिन्नेन बर्हिषा युक्ताय तं यजमानमनुग्रहीतुमिह कर्मणि हविर्भुजो देवाना वह । सो ऽस्मदर्थं होता देवानामाह्वाता त्वमीड्यः स्तुत्यो ऽसि ॥ देवानित्यत्र संहितायां दीर्घादटि समानपाद इति रुत्वम् । आतो ऽटि नित्यमित्यनुनासिकभावः । जज्ञानः । जनी प्रादुर्भावे । लिटः कानच् । गमहनेत्युपधालोपः । द्विर्वचने ऽचि । पा. १-१-५९ । इति तस्य स्थानिवद्भावाद्द्विर्वचनम् । चित्त्वादन्तोदात्तः । वृक्तबर्हिषे । ओव्रश्चू छेदने । निष्ठेति क्तप्रत्ययः । यस्य विभाषेतीट्प्रतिषेधः । वृक्तं बर्हिर्यस्मै यजमानाय येन वा ऋत्विजा । बहुव्रीहौ पूर्वपदप्रकृतिस्वरः । असि । अस्तेः सिप् । अदिप्रभृतिभ्यः शप इति शपो लुक् । तासस्त्योर्लोपः । पा. ७-४-५० । इति सकारस्य लोपः । पादादित्वान्न निघातः । होता । ह्वयतेस्ताच्छील्यादिषु तृन् । बहुलं छन्दसीति संप्रसारणम् । नित्त्वादाद्युदात्तः । ईड्यः । ईड स्तुतौ । ऋहलोर्ण्यत् । पा. ३-१-१२४ । तित्स्वरिते प्राप्त ईडवन्दवृशंसदुहां ण्यतः । पा. ६-१-२१४ । इत्याद्युदात्तत्वम् ॥</w:t>
      </w:r>
    </w:p>
    <w:p>
      <w:pPr>
        <w:pStyle w:val="BlockText"/>
      </w:pPr>
      <w:r>
        <w:rPr>
          <w:iCs/>
          <w:i/>
        </w:rPr>
        <w:t xml:space="preserve">he agne jajñāno ’raṇyorutpannastvaṃ vṛktabarhiṣa āstaraṇārthaṃ chinnena barhiṣā yuktāya taṃ yajamānamanugrahītumiha karmaṇi havirbhujo devānā vaha | so ’smadarthaṃ hotā devānāmāhvātā tvamīḍyaḥ stutyo ’si || devānityatra saṃhitāyāṃ dīrghādaṭi samānapāda iti rutvam | āto ’ṭi nityamityanunāsikabhāvaḥ | jajñānaḥ | janī prādurbhāve | liṭaḥ kānac | gamahanetyupadhālopaḥ | dvirvacane ’ci | pā. 1-1-59 | iti tasya sthānivadbhāvāddvirvacanam | cittvādantodāttaḥ | vṛktabarhiṣe | ovraścū chedane | niṣṭheti ktapratyayaḥ | yasya vibhāṣetīṭpratiṣedhaḥ | vṛktaṃ barhiryasmai yajamānāya yena vā ṛtvijā | bahuvrīhau pūrvapadaprakṛtisvaraḥ | asi | asteḥ sip | adiprabhṛtibhyaḥ śapa iti śapo luk | tāsastyorlopaḥ | pā. 7-4-50 | iti sakārasya lopaḥ | pādāditvānna nighātaḥ | hotā | hvayatestācchīlyādiṣu tṛn | bahulaṃ chandasīti saṃprasāraṇam | nittvādādyudāttaḥ | īḍyaḥ | īḍa stutau | ṛhalorṇyat | pā. 3-1-124 | titsvarite prāpta īḍavandavṛśaṃsaduhāṃ ṇyataḥ | pā. 6-1-214 | ityādyudāttatvam ||</w:t>
      </w:r>
    </w:p>
    <w:p>
      <w:pPr>
        <w:pStyle w:val="FirstParagraph"/>
      </w:pPr>
      <w:r>
        <w:rPr>
          <w:bCs/>
          <w:b/>
        </w:rPr>
        <w:t xml:space="preserve">Translation:</w:t>
      </w:r>
      <w:r>
        <w:t xml:space="preserve"> </w:t>
      </w:r>
      <w:r>
        <w:t xml:space="preserve">“</w:t>
      </w:r>
      <w:r>
        <w:t xml:space="preserve">O Agni!</w:t>
      </w:r>
      <w:r>
        <w:t xml:space="preserve"> </w:t>
      </w:r>
      <w:r>
        <w:rPr>
          <w:iCs/>
          <w:i/>
        </w:rPr>
        <w:t xml:space="preserve">Jajñānaḥ</w:t>
      </w:r>
      <w:r>
        <w:t xml:space="preserve"> </w:t>
      </w:r>
      <w:r>
        <w:t xml:space="preserve">— born of the two</w:t>
      </w:r>
      <w:r>
        <w:t xml:space="preserve"> </w:t>
      </w:r>
      <w:r>
        <w:rPr>
          <w:iCs/>
          <w:i/>
        </w:rPr>
        <w:t xml:space="preserve">araṇis</w:t>
      </w:r>
      <w:r>
        <w:t xml:space="preserve"> </w:t>
      </w:r>
      <w:r>
        <w:t xml:space="preserve">— you,</w:t>
      </w:r>
      <w:r>
        <w:t xml:space="preserve"> </w:t>
      </w:r>
      <w:r>
        <w:rPr>
          <w:iCs/>
          <w:i/>
        </w:rPr>
        <w:t xml:space="preserve">vṛktabarhiṣe</w:t>
      </w:r>
      <w:r>
        <w:t xml:space="preserve">, for [the sacrificer] who is equipped with</w:t>
      </w:r>
      <w:r>
        <w:t xml:space="preserve"> </w:t>
      </w:r>
      <w:r>
        <w:rPr>
          <w:iCs/>
          <w:i/>
        </w:rPr>
        <w:t xml:space="preserve">barhis</w:t>
      </w:r>
      <w:r>
        <w:t xml:space="preserve"> </w:t>
      </w:r>
      <w:r>
        <w:t xml:space="preserve">cut for strewing, in order to favour that sacrificer, bring here, to this rite, the gods who eat the oblation. You,</w:t>
      </w:r>
      <w:r>
        <w:t xml:space="preserve"> </w:t>
      </w:r>
      <w:r>
        <w:rPr>
          <w:iCs/>
          <w:i/>
        </w:rPr>
        <w:t xml:space="preserve">hotā</w:t>
      </w:r>
      <w:r>
        <w:t xml:space="preserve">, the caller of the gods on our behalf, are</w:t>
      </w:r>
      <w:r>
        <w:t xml:space="preserve"> </w:t>
      </w:r>
      <w:r>
        <w:rPr>
          <w:iCs/>
          <w:i/>
        </w:rPr>
        <w:t xml:space="preserve">īḍyaḥ</w:t>
      </w:r>
      <w:r>
        <w:t xml:space="preserve"> </w:t>
      </w:r>
      <w:r>
        <w:t xml:space="preserve">— worthy of praise.</w:t>
      </w:r>
      <w:r>
        <w:t xml:space="preserve">”</w:t>
      </w:r>
      <w:r>
        <w:t xml:space="preserve"> </w:t>
      </w:r>
      <w:r>
        <w:t xml:space="preserve">(Grammatical tail:</w:t>
      </w:r>
      <w:r>
        <w:t xml:space="preserve"> </w:t>
      </w:r>
      <w:r>
        <w:rPr>
          <w:iCs/>
          <w:i/>
        </w:rPr>
        <w:t xml:space="preserve">devān</w:t>
      </w:r>
      <w:r>
        <w:t xml:space="preserve"> </w:t>
      </w:r>
      <w:r>
        <w:t xml:space="preserve">— in the Saṃhitā</w:t>
      </w:r>
      <w:r>
        <w:t xml:space="preserve"> </w:t>
      </w:r>
      <w:r>
        <w:rPr>
          <w:iCs/>
          <w:i/>
        </w:rPr>
        <w:t xml:space="preserve">ru</w:t>
      </w:r>
      <w:r>
        <w:t xml:space="preserve"> </w:t>
      </w:r>
      <w:r>
        <w:t xml:space="preserve">by</w:t>
      </w:r>
      <w:r>
        <w:t xml:space="preserve"> </w:t>
      </w:r>
      <w:r>
        <w:t xml:space="preserve">“</w:t>
      </w:r>
      <w:r>
        <w:t xml:space="preserve">dīrghād aṭi samānapāde</w:t>
      </w:r>
      <w:r>
        <w:t xml:space="preserve">”</w:t>
      </w:r>
      <w:r>
        <w:t xml:space="preserve">, and nasalization by</w:t>
      </w:r>
      <w:r>
        <w:t xml:space="preserve"> </w:t>
      </w:r>
      <w:r>
        <w:t xml:space="preserve">“</w:t>
      </w:r>
      <w:r>
        <w:t xml:space="preserve">āto ’ṭi nityam</w:t>
      </w:r>
      <w:r>
        <w:t xml:space="preserve">”</w:t>
      </w:r>
      <w:r>
        <w:t xml:space="preserve">;</w:t>
      </w:r>
      <w:r>
        <w:t xml:space="preserve"> </w:t>
      </w:r>
      <w:r>
        <w:rPr>
          <w:iCs/>
          <w:i/>
        </w:rPr>
        <w:t xml:space="preserve">jajñānaḥ</w:t>
      </w:r>
      <w:r>
        <w:t xml:space="preserve"> </w:t>
      </w:r>
      <w:r>
        <w:t xml:space="preserve">—</w:t>
      </w:r>
      <w:r>
        <w:t xml:space="preserve"> </w:t>
      </w:r>
      <w:r>
        <w:rPr>
          <w:iCs/>
          <w:i/>
        </w:rPr>
        <w:t xml:space="preserve">janī prādurbhāve</w:t>
      </w:r>
      <w:r>
        <w:t xml:space="preserve">,</w:t>
      </w:r>
      <w:r>
        <w:t xml:space="preserve"> </w:t>
      </w:r>
      <w:r>
        <w:rPr>
          <w:iCs/>
          <w:i/>
        </w:rPr>
        <w:t xml:space="preserve">kānac</w:t>
      </w:r>
      <w:r>
        <w:t xml:space="preserve"> </w:t>
      </w:r>
      <w:r>
        <w:t xml:space="preserve">for</w:t>
      </w:r>
      <w:r>
        <w:t xml:space="preserve"> </w:t>
      </w:r>
      <w:r>
        <w:rPr>
          <w:iCs/>
          <w:i/>
        </w:rPr>
        <w:t xml:space="preserve">liṭ</w:t>
      </w:r>
      <w:r>
        <w:t xml:space="preserve">, loss of the penultimate by</w:t>
      </w:r>
      <w:r>
        <w:t xml:space="preserve"> </w:t>
      </w:r>
      <w:r>
        <w:t xml:space="preserve">“</w:t>
      </w:r>
      <w:r>
        <w:t xml:space="preserve">gama-hana…</w:t>
      </w:r>
      <w:r>
        <w:t xml:space="preserve">”</w:t>
      </w:r>
      <w:r>
        <w:t xml:space="preserve">, doubling because by</w:t>
      </w:r>
      <w:r>
        <w:t xml:space="preserve"> </w:t>
      </w:r>
      <w:r>
        <w:t xml:space="preserve">“</w:t>
      </w:r>
      <w:r>
        <w:t xml:space="preserve">dvirvacane ’ci</w:t>
      </w:r>
      <w:r>
        <w:t xml:space="preserve">”</w:t>
      </w:r>
      <w:r>
        <w:t xml:space="preserve"> </w:t>
      </w:r>
      <w:r>
        <w:t xml:space="preserve">(Pā. 1-1-59) the lost vowel counts as present, final-udātta as</w:t>
      </w:r>
      <w:r>
        <w:t xml:space="preserve"> </w:t>
      </w:r>
      <w:r>
        <w:rPr>
          <w:iCs/>
          <w:i/>
        </w:rPr>
        <w:t xml:space="preserve">cit</w:t>
      </w:r>
      <w:r>
        <w:t xml:space="preserve">;</w:t>
      </w:r>
      <w:r>
        <w:t xml:space="preserve"> </w:t>
      </w:r>
      <w:r>
        <w:rPr>
          <w:iCs/>
          <w:i/>
        </w:rPr>
        <w:t xml:space="preserve">vṛktabarhiṣe</w:t>
      </w:r>
      <w:r>
        <w:t xml:space="preserve"> </w:t>
      </w:r>
      <w:r>
        <w:t xml:space="preserve">—</w:t>
      </w:r>
      <w:r>
        <w:t xml:space="preserve"> </w:t>
      </w:r>
      <w:r>
        <w:rPr>
          <w:iCs/>
          <w:i/>
        </w:rPr>
        <w:t xml:space="preserve">ovraścū chedane</w:t>
      </w:r>
      <w:r>
        <w:t xml:space="preserve"> </w:t>
      </w:r>
      <w:r>
        <w:t xml:space="preserve">with</w:t>
      </w:r>
      <w:r>
        <w:t xml:space="preserve"> </w:t>
      </w:r>
      <w:r>
        <w:rPr>
          <w:iCs/>
          <w:i/>
        </w:rPr>
        <w:t xml:space="preserve">kta</w:t>
      </w:r>
      <w:r>
        <w:t xml:space="preserve">,</w:t>
      </w:r>
      <w:r>
        <w:t xml:space="preserve"> </w:t>
      </w:r>
      <w:r>
        <w:rPr>
          <w:iCs/>
          <w:i/>
        </w:rPr>
        <w:t xml:space="preserve">iṭ</w:t>
      </w:r>
      <w:r>
        <w:t xml:space="preserve"> </w:t>
      </w:r>
      <w:r>
        <w:t xml:space="preserve">barred by</w:t>
      </w:r>
      <w:r>
        <w:t xml:space="preserve"> </w:t>
      </w:r>
      <w:r>
        <w:t xml:space="preserve">“</w:t>
      </w:r>
      <w:r>
        <w:t xml:space="preserve">yasya vibhāṣā</w:t>
      </w:r>
      <w:r>
        <w:t xml:space="preserve">”</w:t>
      </w:r>
      <w:r>
        <w:t xml:space="preserve">;</w:t>
      </w:r>
      <w:r>
        <w:t xml:space="preserve"> </w:t>
      </w:r>
      <w:r>
        <w:t xml:space="preserve">“</w:t>
      </w:r>
      <w:r>
        <w:t xml:space="preserve">for whom or by whom the</w:t>
      </w:r>
      <w:r>
        <w:t xml:space="preserve"> </w:t>
      </w:r>
      <w:r>
        <w:rPr>
          <w:iCs/>
          <w:i/>
        </w:rPr>
        <w:t xml:space="preserve">barhis</w:t>
      </w:r>
      <w:r>
        <w:t xml:space="preserve"> </w:t>
      </w:r>
      <w:r>
        <w:t xml:space="preserve">has been cut</w:t>
      </w:r>
      <w:r>
        <w:t xml:space="preserve">”</w:t>
      </w:r>
      <w:r>
        <w:t xml:space="preserve">, a bahuvrīhi with the first member’s accent;</w:t>
      </w:r>
      <w:r>
        <w:t xml:space="preserve"> </w:t>
      </w:r>
      <w:r>
        <w:rPr>
          <w:iCs/>
          <w:i/>
        </w:rPr>
        <w:t xml:space="preserve">asi</w:t>
      </w:r>
      <w:r>
        <w:t xml:space="preserve"> </w:t>
      </w:r>
      <w:r>
        <w:t xml:space="preserve">—</w:t>
      </w:r>
      <w:r>
        <w:t xml:space="preserve"> </w:t>
      </w:r>
      <w:r>
        <w:rPr>
          <w:iCs/>
          <w:i/>
        </w:rPr>
        <w:t xml:space="preserve">sip</w:t>
      </w:r>
      <w:r>
        <w:t xml:space="preserve"> </w:t>
      </w:r>
      <w:r>
        <w:t xml:space="preserve">after</w:t>
      </w:r>
      <w:r>
        <w:t xml:space="preserve"> </w:t>
      </w:r>
      <w:r>
        <w:rPr>
          <w:iCs/>
          <w:i/>
        </w:rPr>
        <w:t xml:space="preserve">as</w:t>
      </w:r>
      <w:r>
        <w:t xml:space="preserve">,</w:t>
      </w:r>
      <w:r>
        <w:t xml:space="preserve"> </w:t>
      </w:r>
      <w:r>
        <w:rPr>
          <w:iCs/>
          <w:i/>
        </w:rPr>
        <w:t xml:space="preserve">śap</w:t>
      </w:r>
      <w:r>
        <w:t xml:space="preserve"> </w:t>
      </w:r>
      <w:r>
        <w:t xml:space="preserve">dropped, the</w:t>
      </w:r>
      <w:r>
        <w:t xml:space="preserve"> </w:t>
      </w:r>
      <w:r>
        <w:rPr>
          <w:iCs/>
          <w:i/>
        </w:rPr>
        <w:t xml:space="preserve">s</w:t>
      </w:r>
      <w:r>
        <w:t xml:space="preserve"> </w:t>
      </w:r>
      <w:r>
        <w:t xml:space="preserve">of the root dropped by</w:t>
      </w:r>
      <w:r>
        <w:t xml:space="preserve"> </w:t>
      </w:r>
      <w:r>
        <w:t xml:space="preserve">“</w:t>
      </w:r>
      <w:r>
        <w:t xml:space="preserve">tāsastyor lopaḥ</w:t>
      </w:r>
      <w:r>
        <w:t xml:space="preserve">”</w:t>
      </w:r>
      <w:r>
        <w:t xml:space="preserve"> </w:t>
      </w:r>
      <w:r>
        <w:t xml:space="preserve">(Pā. 7-4-50), not unaccented because it begins the pāda;</w:t>
      </w:r>
      <w:r>
        <w:t xml:space="preserve"> </w:t>
      </w:r>
      <w:r>
        <w:rPr>
          <w:iCs/>
          <w:i/>
        </w:rPr>
        <w:t xml:space="preserve">hotā</w:t>
      </w:r>
      <w:r>
        <w:t xml:space="preserve"> </w:t>
      </w:r>
      <w:r>
        <w:t xml:space="preserve">—</w:t>
      </w:r>
      <w:r>
        <w:t xml:space="preserve"> </w:t>
      </w:r>
      <w:r>
        <w:rPr>
          <w:iCs/>
          <w:i/>
        </w:rPr>
        <w:t xml:space="preserve">tṛn</w:t>
      </w:r>
      <w:r>
        <w:t xml:space="preserve"> </w:t>
      </w:r>
      <w:r>
        <w:t xml:space="preserve">after</w:t>
      </w:r>
      <w:r>
        <w:t xml:space="preserve"> </w:t>
      </w:r>
      <w:r>
        <w:rPr>
          <w:iCs/>
          <w:i/>
        </w:rPr>
        <w:t xml:space="preserve">hve</w:t>
      </w:r>
      <w:r>
        <w:t xml:space="preserve">,</w:t>
      </w:r>
      <w:r>
        <w:t xml:space="preserve"> </w:t>
      </w:r>
      <w:r>
        <w:rPr>
          <w:iCs/>
          <w:i/>
        </w:rPr>
        <w:t xml:space="preserve">samprasāraṇa</w:t>
      </w:r>
      <w:r>
        <w:t xml:space="preserve">, initial-udātta;</w:t>
      </w:r>
      <w:r>
        <w:t xml:space="preserve"> </w:t>
      </w:r>
      <w:r>
        <w:rPr>
          <w:iCs/>
          <w:i/>
        </w:rPr>
        <w:t xml:space="preserve">īḍyaḥ</w:t>
      </w:r>
      <w:r>
        <w:t xml:space="preserve"> </w:t>
      </w:r>
      <w:r>
        <w:t xml:space="preserve">—</w:t>
      </w:r>
      <w:r>
        <w:t xml:space="preserve"> </w:t>
      </w:r>
      <w:r>
        <w:rPr>
          <w:iCs/>
          <w:i/>
        </w:rPr>
        <w:t xml:space="preserve">īḍa stutau</w:t>
      </w:r>
      <w:r>
        <w:t xml:space="preserve">,</w:t>
      </w:r>
      <w:r>
        <w:t xml:space="preserve"> </w:t>
      </w:r>
      <w:r>
        <w:rPr>
          <w:iCs/>
          <w:i/>
        </w:rPr>
        <w:t xml:space="preserve">ṇyat</w:t>
      </w:r>
      <w:r>
        <w:t xml:space="preserve"> </w:t>
      </w:r>
      <w:r>
        <w:t xml:space="preserve">by</w:t>
      </w:r>
      <w:r>
        <w:t xml:space="preserve"> </w:t>
      </w:r>
      <w:r>
        <w:t xml:space="preserve">“</w:t>
      </w:r>
      <w:r>
        <w:t xml:space="preserve">ṛhalor ṇyat</w:t>
      </w:r>
      <w:r>
        <w:t xml:space="preserve">”</w:t>
      </w:r>
      <w:r>
        <w:t xml:space="preserve"> </w:t>
      </w:r>
      <w:r>
        <w:t xml:space="preserve">(Pā. 3-1-124), where the</w:t>
      </w:r>
      <w:r>
        <w:t xml:space="preserve"> </w:t>
      </w:r>
      <w:r>
        <w:rPr>
          <w:iCs/>
          <w:i/>
        </w:rPr>
        <w:t xml:space="preserve">tit</w:t>
      </w:r>
      <w:r>
        <w:t xml:space="preserve"> </w:t>
      </w:r>
      <w:r>
        <w:t xml:space="preserve">svarita would arise</w:t>
      </w:r>
      <w:r>
        <w:t xml:space="preserve"> </w:t>
      </w:r>
      <w:r>
        <w:t xml:space="preserve">“</w:t>
      </w:r>
      <w:r>
        <w:t xml:space="preserve">īḍa-vanda-vṛ-śaṃsa-duhāṃ ṇyataḥ</w:t>
      </w:r>
      <w:r>
        <w:t xml:space="preserve">”</w:t>
      </w:r>
      <w:r>
        <w:t xml:space="preserve"> </w:t>
      </w:r>
      <w:r>
        <w:t xml:space="preserve">(Pā. 6-1-214) gives initial-udātta.)</w:t>
      </w:r>
    </w:p>
    <w:bookmarkEnd w:id="508"/>
    <w:bookmarkStart w:id="509" w:name="Xc8ec4da38e0ffd6f8cb5a255727e26efb67278f"/>
    <w:p>
      <w:pPr>
        <w:pStyle w:val="Heading3"/>
      </w:pPr>
      <w:r>
        <w:t xml:space="preserve">Page 491 (lower) — Rik 3: word-meanings, overall sense, English, Special Topics</w:t>
      </w:r>
    </w:p>
    <w:p>
      <w:pPr>
        <w:pStyle w:val="FirstParagraph"/>
      </w:pPr>
      <w:r>
        <w:rPr>
          <w:bCs/>
          <w:b/>
        </w:rPr>
        <w:t xml:space="preserve">॥ Prati-padārthaḥ ॥</w:t>
      </w:r>
    </w:p>
    <w:p>
      <w:pPr>
        <w:pStyle w:val="BodyText"/>
      </w:pPr>
      <w:r>
        <w:rPr>
          <w:bCs/>
          <w:b/>
        </w:rPr>
        <w:t xml:space="preserve">(हे) अग्ने ((he) agne)</w:t>
      </w:r>
      <w:r>
        <w:t xml:space="preserve"> </w:t>
      </w:r>
      <w:r>
        <w:t xml:space="preserve">— O Agni |</w:t>
      </w:r>
      <w:r>
        <w:t xml:space="preserve"> </w:t>
      </w:r>
      <w:r>
        <w:rPr>
          <w:bCs/>
          <w:b/>
        </w:rPr>
        <w:t xml:space="preserve">जज्ञानः (jajñānaḥ)</w:t>
      </w:r>
      <w:r>
        <w:t xml:space="preserve"> </w:t>
      </w:r>
      <w:r>
        <w:t xml:space="preserve">— [you] born in the</w:t>
      </w:r>
      <w:r>
        <w:t xml:space="preserve"> </w:t>
      </w:r>
      <w:r>
        <w:rPr>
          <w:iCs/>
          <w:i/>
        </w:rPr>
        <w:t xml:space="preserve">araṇi</w:t>
      </w:r>
      <w:r>
        <w:t xml:space="preserve"> </w:t>
      </w:r>
      <w:r>
        <w:t xml:space="preserve">|</w:t>
      </w:r>
      <w:r>
        <w:t xml:space="preserve"> </w:t>
      </w:r>
      <w:r>
        <w:rPr>
          <w:bCs/>
          <w:b/>
        </w:rPr>
        <w:t xml:space="preserve">वृक्तबर्हिषे (vṛktabarhiṣe)</w:t>
      </w:r>
      <w:r>
        <w:t xml:space="preserve"> </w:t>
      </w:r>
      <w:r>
        <w:t xml:space="preserve">— for the sacrificer who has spread the cut sacred grass as seats [for the gods] |</w:t>
      </w:r>
      <w:r>
        <w:t xml:space="preserve"> </w:t>
      </w:r>
      <w:r>
        <w:rPr>
          <w:bCs/>
          <w:b/>
        </w:rPr>
        <w:t xml:space="preserve">इह (iha)</w:t>
      </w:r>
      <w:r>
        <w:t xml:space="preserve"> </w:t>
      </w:r>
      <w:r>
        <w:t xml:space="preserve">— in this rite (sacrifice) |</w:t>
      </w:r>
      <w:r>
        <w:t xml:space="preserve"> </w:t>
      </w:r>
      <w:r>
        <w:rPr>
          <w:bCs/>
          <w:b/>
        </w:rPr>
        <w:t xml:space="preserve">देवान् (devān)</w:t>
      </w:r>
      <w:r>
        <w:t xml:space="preserve"> </w:t>
      </w:r>
      <w:r>
        <w:t xml:space="preserve">— the gods |</w:t>
      </w:r>
      <w:r>
        <w:t xml:space="preserve"> </w:t>
      </w:r>
      <w:r>
        <w:rPr>
          <w:bCs/>
          <w:b/>
        </w:rPr>
        <w:t xml:space="preserve">आ वह (ā vaha)</w:t>
      </w:r>
      <w:r>
        <w:t xml:space="preserve"> </w:t>
      </w:r>
      <w:r>
        <w:t xml:space="preserve">— bring |</w:t>
      </w:r>
      <w:r>
        <w:t xml:space="preserve"> </w:t>
      </w:r>
      <w:r>
        <w:rPr>
          <w:bCs/>
          <w:b/>
        </w:rPr>
        <w:t xml:space="preserve">नः (naḥ)</w:t>
      </w:r>
      <w:r>
        <w:t xml:space="preserve"> </w:t>
      </w:r>
      <w:r>
        <w:t xml:space="preserve">— for us |</w:t>
      </w:r>
      <w:r>
        <w:t xml:space="preserve"> </w:t>
      </w:r>
      <w:r>
        <w:rPr>
          <w:bCs/>
          <w:b/>
        </w:rPr>
        <w:t xml:space="preserve">होता (hotā)</w:t>
      </w:r>
      <w:r>
        <w:t xml:space="preserve"> </w:t>
      </w:r>
      <w:r>
        <w:t xml:space="preserve">— [you] who bring the gods |</w:t>
      </w:r>
      <w:r>
        <w:t xml:space="preserve"> </w:t>
      </w:r>
      <w:r>
        <w:rPr>
          <w:bCs/>
          <w:b/>
        </w:rPr>
        <w:t xml:space="preserve">ईड्यः (īḍyaḥ)</w:t>
      </w:r>
      <w:r>
        <w:t xml:space="preserve"> </w:t>
      </w:r>
      <w:r>
        <w:t xml:space="preserve">— worthy of praise |</w:t>
      </w:r>
      <w:r>
        <w:t xml:space="preserve"> </w:t>
      </w:r>
      <w:r>
        <w:rPr>
          <w:bCs/>
          <w:b/>
        </w:rPr>
        <w:t xml:space="preserve">असि (asi)</w:t>
      </w:r>
      <w:r>
        <w:t xml:space="preserve"> </w:t>
      </w:r>
      <w:r>
        <w:t xml:space="preserve">— you are.</w:t>
      </w:r>
    </w:p>
    <w:bookmarkEnd w:id="509"/>
    <w:bookmarkStart w:id="510" w:name="Xed1ff6c70692235d7027d0f2e0b99603ab249a4"/>
    <w:p>
      <w:pPr>
        <w:pStyle w:val="Heading3"/>
      </w:pPr>
      <w:r>
        <w:t xml:space="preserve">Page 492 — Rik 3: overall sense, English, Special Topics, grammar</w:t>
      </w:r>
    </w:p>
    <w:p>
      <w:pPr>
        <w:pStyle w:val="FirstParagraph"/>
      </w:pPr>
      <w:r>
        <w:rPr>
          <w:bCs/>
          <w:b/>
        </w:rPr>
        <w:t xml:space="preserve">॥ Bhāvārthaḥ ॥</w:t>
      </w:r>
    </w:p>
    <w:p>
      <w:pPr>
        <w:pStyle w:val="BodyText"/>
      </w:pPr>
      <w:r>
        <w:t xml:space="preserve">O Agni! You are born (in the</w:t>
      </w:r>
      <w:r>
        <w:t xml:space="preserve"> </w:t>
      </w:r>
      <w:r>
        <w:rPr>
          <w:iCs/>
          <w:i/>
        </w:rPr>
        <w:t xml:space="preserve">araṇi</w:t>
      </w:r>
      <w:r>
        <w:t xml:space="preserve">). Such as you are, to favour the sacrificer who has spread and made ready the cut</w:t>
      </w:r>
      <w:r>
        <w:t xml:space="preserve"> </w:t>
      </w:r>
      <w:r>
        <w:rPr>
          <w:iCs/>
          <w:i/>
        </w:rPr>
        <w:t xml:space="preserve">darbha</w:t>
      </w:r>
      <w:r>
        <w:t xml:space="preserve"> </w:t>
      </w:r>
      <w:r>
        <w:t xml:space="preserve">for the gods to come and sit on, bring the gods here. For, since you bring the gods, you are worthy of being praised by all of us.</w:t>
      </w:r>
    </w:p>
    <w:p>
      <w:pPr>
        <w:pStyle w:val="BodyText"/>
      </w:pPr>
      <w:r>
        <w:rPr>
          <w:bCs/>
          <w:b/>
        </w:rPr>
        <w:t xml:space="preserve">॥ English Translation ॥</w:t>
      </w:r>
      <w:r>
        <w:t xml:space="preserve"> </w:t>
      </w:r>
      <w:r>
        <w:rPr>
          <w:iCs/>
          <w:i/>
        </w:rPr>
        <w:t xml:space="preserve">(as printed in the source)</w:t>
      </w:r>
    </w:p>
    <w:p>
      <w:pPr>
        <w:pStyle w:val="BlockText"/>
      </w:pPr>
      <w:r>
        <w:t xml:space="preserve">Agni, when born, bring hither the gods for him who has prepared their seats with the clipped sacred grass; you are their invoker for us and are to be adored.</w:t>
      </w:r>
    </w:p>
    <w:p>
      <w:pPr>
        <w:pStyle w:val="FirstParagraph"/>
      </w:pPr>
      <w:r>
        <w:rPr>
          <w:bCs/>
          <w:b/>
        </w:rPr>
        <w:t xml:space="preserve">॥ Viśeṣa-viṣayagaḷu (Special Topics) ॥</w:t>
      </w:r>
    </w:p>
    <w:p>
      <w:pPr>
        <w:pStyle w:val="BodyText"/>
      </w:pPr>
      <w:r>
        <w:rPr>
          <w:bCs/>
          <w:b/>
        </w:rPr>
        <w:t xml:space="preserve">“</w:t>
      </w:r>
      <w:r>
        <w:rPr>
          <w:bCs/>
          <w:b/>
        </w:rPr>
        <w:t xml:space="preserve">Jajñānaḥ</w:t>
      </w:r>
      <w:r>
        <w:rPr>
          <w:bCs/>
          <w:b/>
        </w:rPr>
        <w:t xml:space="preserve">”</w:t>
      </w:r>
      <w:r>
        <w:t xml:space="preserve"> </w:t>
      </w:r>
      <w:r>
        <w:t xml:space="preserve">— born, arisen:</w:t>
      </w:r>
      <w:r>
        <w:t xml:space="preserve"> </w:t>
      </w:r>
      <w:r>
        <w:rPr>
          <w:iCs/>
          <w:i/>
        </w:rPr>
        <w:t xml:space="preserve">born</w:t>
      </w:r>
      <w:r>
        <w:t xml:space="preserve"> </w:t>
      </w:r>
      <w:r>
        <w:t xml:space="preserve">[the source’s English].</w:t>
      </w:r>
      <w:r>
        <w:t xml:space="preserve"> </w:t>
      </w:r>
      <w:r>
        <w:t xml:space="preserve">“</w:t>
      </w:r>
      <w:r>
        <w:t xml:space="preserve">Born Agni</w:t>
      </w:r>
      <w:r>
        <w:t xml:space="preserve">”</w:t>
      </w:r>
      <w:r>
        <w:t xml:space="preserve"> </w:t>
      </w:r>
      <w:r>
        <w:t xml:space="preserve">means: in sacrifices people produce fire by rubbing together two pieces of wood called</w:t>
      </w:r>
      <w:r>
        <w:t xml:space="preserve"> </w:t>
      </w:r>
      <w:r>
        <w:rPr>
          <w:iCs/>
          <w:i/>
        </w:rPr>
        <w:t xml:space="preserve">araṇi</w:t>
      </w:r>
      <w:r>
        <w:t xml:space="preserve">; hence the usage that Agni is born in the</w:t>
      </w:r>
      <w:r>
        <w:t xml:space="preserve"> </w:t>
      </w:r>
      <w:r>
        <w:rPr>
          <w:iCs/>
          <w:i/>
        </w:rPr>
        <w:t xml:space="preserve">araṇi</w:t>
      </w:r>
      <w:r>
        <w:t xml:space="preserve">.</w:t>
      </w:r>
    </w:p>
    <w:p>
      <w:pPr>
        <w:pStyle w:val="BodyText"/>
      </w:pPr>
      <w:r>
        <w:rPr>
          <w:bCs/>
          <w:b/>
        </w:rPr>
        <w:t xml:space="preserve">“</w:t>
      </w:r>
      <w:r>
        <w:rPr>
          <w:bCs/>
          <w:b/>
        </w:rPr>
        <w:t xml:space="preserve">Vṛktabarhiṣe</w:t>
      </w:r>
      <w:r>
        <w:rPr>
          <w:bCs/>
          <w:b/>
        </w:rPr>
        <w:t xml:space="preserve">”</w:t>
      </w:r>
      <w:r>
        <w:t xml:space="preserve"> </w:t>
      </w:r>
      <w:r>
        <w:t xml:space="preserve">— this word has been explained earlier.</w:t>
      </w:r>
      <w:r>
        <w:t xml:space="preserve"> </w:t>
      </w:r>
      <w:r>
        <w:rPr>
          <w:iCs/>
          <w:i/>
        </w:rPr>
        <w:t xml:space="preserve">Barhis</w:t>
      </w:r>
      <w:r>
        <w:t xml:space="preserve"> </w:t>
      </w:r>
      <w:r>
        <w:t xml:space="preserve">is cut</w:t>
      </w:r>
      <w:r>
        <w:t xml:space="preserve"> </w:t>
      </w:r>
      <w:r>
        <w:rPr>
          <w:iCs/>
          <w:i/>
        </w:rPr>
        <w:t xml:space="preserve">darbha</w:t>
      </w:r>
      <w:r>
        <w:t xml:space="preserve">. The sense is</w:t>
      </w:r>
      <w:r>
        <w:t xml:space="preserve"> </w:t>
      </w:r>
      <w:r>
        <w:t xml:space="preserve">“</w:t>
      </w:r>
      <w:r>
        <w:t xml:space="preserve">for the sacrificer who has spread and made ready such</w:t>
      </w:r>
      <w:r>
        <w:t xml:space="preserve"> </w:t>
      </w:r>
      <w:r>
        <w:rPr>
          <w:iCs/>
          <w:i/>
        </w:rPr>
        <w:t xml:space="preserve">darbha</w:t>
      </w:r>
      <w:r>
        <w:t xml:space="preserve"> </w:t>
      </w:r>
      <w:r>
        <w:t xml:space="preserve">for the gods to come and sit on.</w:t>
      </w:r>
      <w:r>
        <w:t xml:space="preserve">”</w:t>
      </w:r>
    </w:p>
    <w:p>
      <w:pPr>
        <w:pStyle w:val="BodyText"/>
      </w:pPr>
      <w:r>
        <w:rPr>
          <w:bCs/>
          <w:b/>
        </w:rPr>
        <w:t xml:space="preserve">॥ Vyākaraṇa-prakriyā ॥</w:t>
      </w:r>
      <w:r>
        <w:t xml:space="preserve"> </w:t>
      </w:r>
      <w:r>
        <w:rPr>
          <w:iCs/>
          <w:i/>
        </w:rPr>
        <w:t xml:space="preserve">(grammar pages 492–494, noted briefly; numbers checked against the print)</w:t>
      </w:r>
    </w:p>
    <w:p>
      <w:pPr>
        <w:pStyle w:val="BodyText"/>
      </w:pPr>
      <w:r>
        <w:rPr>
          <w:bCs/>
          <w:b/>
        </w:rPr>
        <w:t xml:space="preserve">देवान् (</w:t>
      </w:r>
      <w:r>
        <w:rPr>
          <w:iCs/>
          <w:i/>
          <w:bCs/>
          <w:b/>
        </w:rPr>
        <w:t xml:space="preserve">devān</w:t>
      </w:r>
      <w:r>
        <w:rPr>
          <w:bCs/>
          <w:b/>
        </w:rPr>
        <w:t xml:space="preserve">)</w:t>
      </w:r>
      <w:r>
        <w:t xml:space="preserve"> </w:t>
      </w:r>
      <w:r>
        <w:t xml:space="preserve">— in the Saṃhitā an</w:t>
      </w:r>
      <w:r>
        <w:t xml:space="preserve"> </w:t>
      </w:r>
      <w:r>
        <w:rPr>
          <w:iCs/>
          <w:i/>
        </w:rPr>
        <w:t xml:space="preserve">i</w:t>
      </w:r>
      <w:r>
        <w:t xml:space="preserve"> </w:t>
      </w:r>
      <w:r>
        <w:t xml:space="preserve">follows, so</w:t>
      </w:r>
      <w:r>
        <w:t xml:space="preserve"> </w:t>
      </w:r>
      <w:r>
        <w:t xml:space="preserve">“</w:t>
      </w:r>
      <w:r>
        <w:t xml:space="preserve">dīrghād aṭi samānapāde</w:t>
      </w:r>
      <w:r>
        <w:t xml:space="preserve">”</w:t>
      </w:r>
      <w:r>
        <w:t xml:space="preserve"> </w:t>
      </w:r>
      <w:r>
        <w:t xml:space="preserve">(Pā. 8-3-9): when the</w:t>
      </w:r>
      <w:r>
        <w:t xml:space="preserve"> </w:t>
      </w:r>
      <w:r>
        <w:rPr>
          <w:iCs/>
          <w:i/>
        </w:rPr>
        <w:t xml:space="preserve">n</w:t>
      </w:r>
      <w:r>
        <w:t xml:space="preserve"> </w:t>
      </w:r>
      <w:r>
        <w:t xml:space="preserve">and the</w:t>
      </w:r>
      <w:r>
        <w:t xml:space="preserve"> </w:t>
      </w:r>
      <w:r>
        <w:rPr>
          <w:iCs/>
          <w:i/>
        </w:rPr>
        <w:t xml:space="preserve">aṭ</w:t>
      </w:r>
      <w:r>
        <w:t xml:space="preserve"> </w:t>
      </w:r>
      <w:r>
        <w:t xml:space="preserve">letter are in the same pāda, the</w:t>
      </w:r>
      <w:r>
        <w:t xml:space="preserve"> </w:t>
      </w:r>
      <w:r>
        <w:rPr>
          <w:iCs/>
          <w:i/>
        </w:rPr>
        <w:t xml:space="preserve">n</w:t>
      </w:r>
      <w:r>
        <w:t xml:space="preserve"> </w:t>
      </w:r>
      <w:r>
        <w:t xml:space="preserve">after a long vowel is replaced by</w:t>
      </w:r>
      <w:r>
        <w:t xml:space="preserve"> </w:t>
      </w:r>
      <w:r>
        <w:rPr>
          <w:iCs/>
          <w:i/>
        </w:rPr>
        <w:t xml:space="preserve">ru</w:t>
      </w:r>
      <w:r>
        <w:t xml:space="preserve">:</w:t>
      </w:r>
      <w:r>
        <w:t xml:space="preserve"> </w:t>
      </w:r>
      <w:r>
        <w:rPr>
          <w:iCs/>
          <w:i/>
        </w:rPr>
        <w:t xml:space="preserve">devār i</w:t>
      </w:r>
      <w:r>
        <w:t xml:space="preserve">;</w:t>
      </w:r>
      <w:r>
        <w:t xml:space="preserve"> </w:t>
      </w:r>
      <w:r>
        <w:t xml:space="preserve">“</w:t>
      </w:r>
      <w:r>
        <w:t xml:space="preserve">āto ’ṭi nityam</w:t>
      </w:r>
      <w:r>
        <w:t xml:space="preserve">”</w:t>
      </w:r>
      <w:r>
        <w:t xml:space="preserve"> </w:t>
      </w:r>
      <w:r>
        <w:t xml:space="preserve">(printed</w:t>
      </w:r>
      <w:r>
        <w:t xml:space="preserve"> </w:t>
      </w:r>
      <w:r>
        <w:t xml:space="preserve">“</w:t>
      </w:r>
      <w:r>
        <w:t xml:space="preserve">8-3-3</w:t>
      </w:r>
      <w:r>
        <w:t xml:space="preserve">”</w:t>
      </w:r>
      <w:r>
        <w:t xml:space="preserve">): before an</w:t>
      </w:r>
      <w:r>
        <w:t xml:space="preserve"> </w:t>
      </w:r>
      <w:r>
        <w:rPr>
          <w:iCs/>
          <w:i/>
        </w:rPr>
        <w:t xml:space="preserve">aṭ</w:t>
      </w:r>
      <w:r>
        <w:t xml:space="preserve"> </w:t>
      </w:r>
      <w:r>
        <w:t xml:space="preserve">letter, the long</w:t>
      </w:r>
      <w:r>
        <w:t xml:space="preserve"> </w:t>
      </w:r>
      <w:r>
        <w:rPr>
          <w:iCs/>
          <w:i/>
        </w:rPr>
        <w:t xml:space="preserve">ā</w:t>
      </w:r>
      <w:r>
        <w:t xml:space="preserve"> </w:t>
      </w:r>
      <w:r>
        <w:t xml:space="preserve">before the</w:t>
      </w:r>
      <w:r>
        <w:t xml:space="preserve"> </w:t>
      </w:r>
      <w:r>
        <w:rPr>
          <w:iCs/>
          <w:i/>
        </w:rPr>
        <w:t xml:space="preserve">ru</w:t>
      </w:r>
      <w:r>
        <w:t xml:space="preserve"> </w:t>
      </w:r>
      <w:r>
        <w:t xml:space="preserve">is always nasalized; then</w:t>
      </w:r>
      <w:r>
        <w:t xml:space="preserve"> </w:t>
      </w:r>
      <w:r>
        <w:t xml:space="preserve">“</w:t>
      </w:r>
      <w:r>
        <w:t xml:space="preserve">bho-bhago-agho-apūrvasya yo ’śi</w:t>
      </w:r>
      <w:r>
        <w:t xml:space="preserve">”</w:t>
      </w:r>
      <w:r>
        <w:t xml:space="preserve"> </w:t>
      </w:r>
      <w:r>
        <w:t xml:space="preserve">(Pā. 8-3-17) gives</w:t>
      </w:r>
      <w:r>
        <w:t xml:space="preserve"> </w:t>
      </w:r>
      <w:r>
        <w:rPr>
          <w:iCs/>
          <w:i/>
        </w:rPr>
        <w:t xml:space="preserve">y</w:t>
      </w:r>
      <w:r>
        <w:t xml:space="preserve"> </w:t>
      </w:r>
      <w:r>
        <w:t xml:space="preserve">for the</w:t>
      </w:r>
      <w:r>
        <w:t xml:space="preserve"> </w:t>
      </w:r>
      <w:r>
        <w:rPr>
          <w:iCs/>
          <w:i/>
        </w:rPr>
        <w:t xml:space="preserve">r</w:t>
      </w:r>
      <w:r>
        <w:t xml:space="preserve">, and</w:t>
      </w:r>
      <w:r>
        <w:t xml:space="preserve"> </w:t>
      </w:r>
      <w:r>
        <w:t xml:space="preserve">“</w:t>
      </w:r>
      <w:r>
        <w:t xml:space="preserve">lopaḥ śākalyasya</w:t>
      </w:r>
      <w:r>
        <w:t xml:space="preserve">”</w:t>
      </w:r>
      <w:r>
        <w:t xml:space="preserve"> </w:t>
      </w:r>
      <w:r>
        <w:t xml:space="preserve">(Pā. 8-3-19) drops the</w:t>
      </w:r>
      <w:r>
        <w:t xml:space="preserve"> </w:t>
      </w:r>
      <w:r>
        <w:rPr>
          <w:iCs/>
          <w:i/>
        </w:rPr>
        <w:t xml:space="preserve">y</w:t>
      </w:r>
      <w:r>
        <w:t xml:space="preserve">:</w:t>
      </w:r>
      <w:r>
        <w:t xml:space="preserve"> </w:t>
      </w:r>
      <w:r>
        <w:rPr>
          <w:iCs/>
          <w:i/>
        </w:rPr>
        <w:t xml:space="preserve">devām̐ iha</w:t>
      </w:r>
      <w:r>
        <w:t xml:space="preserve">.</w:t>
      </w:r>
      <w:r>
        <w:t xml:space="preserve"> </w:t>
      </w:r>
      <w:r>
        <w:rPr>
          <w:bCs/>
          <w:b/>
        </w:rPr>
        <w:t xml:space="preserve">जज्ञानः (</w:t>
      </w:r>
      <w:r>
        <w:rPr>
          <w:iCs/>
          <w:i/>
          <w:bCs/>
          <w:b/>
        </w:rPr>
        <w:t xml:space="preserve">jajñānaḥ</w:t>
      </w:r>
      <w:r>
        <w:rPr>
          <w:bCs/>
          <w:b/>
        </w:rPr>
        <w:t xml:space="preserve">)</w:t>
      </w:r>
      <w:r>
        <w:t xml:space="preserve"> </w:t>
      </w:r>
      <w:r>
        <w:t xml:space="preserve">— root</w:t>
      </w:r>
      <w:r>
        <w:t xml:space="preserve"> </w:t>
      </w:r>
      <w:r>
        <w:rPr>
          <w:iCs/>
          <w:i/>
        </w:rPr>
        <w:t xml:space="preserve">janī prādurbhāve</w:t>
      </w:r>
      <w:r>
        <w:t xml:space="preserve">;</w:t>
      </w:r>
      <w:r>
        <w:t xml:space="preserve"> </w:t>
      </w:r>
      <w:r>
        <w:rPr>
          <w:iCs/>
          <w:i/>
        </w:rPr>
        <w:t xml:space="preserve">liṭ</w:t>
      </w:r>
      <w:r>
        <w:t xml:space="preserve">, replaced by</w:t>
      </w:r>
      <w:r>
        <w:t xml:space="preserve"> </w:t>
      </w:r>
      <w:r>
        <w:rPr>
          <w:iCs/>
          <w:i/>
        </w:rPr>
        <w:t xml:space="preserve">kānac</w:t>
      </w:r>
      <w:r>
        <w:t xml:space="preserve"> </w:t>
      </w:r>
      <w:r>
        <w:t xml:space="preserve">by</w:t>
      </w:r>
      <w:r>
        <w:t xml:space="preserve"> </w:t>
      </w:r>
      <w:r>
        <w:t xml:space="preserve">“</w:t>
      </w:r>
      <w:r>
        <w:t xml:space="preserve">liṭaḥ kānaj vā</w:t>
      </w:r>
      <w:r>
        <w:t xml:space="preserve">”</w:t>
      </w:r>
      <w:r>
        <w:t xml:space="preserve"> </w:t>
      </w:r>
      <w:r>
        <w:t xml:space="preserve">(Pā. 3-2-106);</w:t>
      </w:r>
      <w:r>
        <w:t xml:space="preserve"> </w:t>
      </w:r>
      <w:r>
        <w:t xml:space="preserve">“</w:t>
      </w:r>
      <w:r>
        <w:t xml:space="preserve">gama-hana-jana-khana-ghasāṃ lopaḥ kṅity anaṅi</w:t>
      </w:r>
      <w:r>
        <w:t xml:space="preserve">”</w:t>
      </w:r>
    </w:p>
    <w:bookmarkEnd w:id="510"/>
    <w:bookmarkStart w:id="511" w:name="page-493-rik-3-grammar-continued"/>
    <w:p>
      <w:pPr>
        <w:pStyle w:val="Heading3"/>
      </w:pPr>
      <w:r>
        <w:t xml:space="preserve">Page 493 — Rik 3 grammar (continued)</w:t>
      </w:r>
    </w:p>
    <w:p>
      <w:pPr>
        <w:pStyle w:val="FirstParagraph"/>
      </w:pPr>
      <w:r>
        <w:t xml:space="preserve">(Pā. 6-4-98): before a vowel-initial</w:t>
      </w:r>
      <w:r>
        <w:t xml:space="preserve"> </w:t>
      </w:r>
      <w:r>
        <w:rPr>
          <w:iCs/>
          <w:i/>
        </w:rPr>
        <w:t xml:space="preserve">kit</w:t>
      </w:r>
      <w:r>
        <w:t xml:space="preserve"> </w:t>
      </w:r>
      <w:r>
        <w:t xml:space="preserve">or</w:t>
      </w:r>
      <w:r>
        <w:t xml:space="preserve"> </w:t>
      </w:r>
      <w:r>
        <w:rPr>
          <w:iCs/>
          <w:i/>
        </w:rPr>
        <w:t xml:space="preserve">ṅit</w:t>
      </w:r>
      <w:r>
        <w:t xml:space="preserve"> </w:t>
      </w:r>
      <w:r>
        <w:t xml:space="preserve">suffix other than</w:t>
      </w:r>
      <w:r>
        <w:t xml:space="preserve"> </w:t>
      </w:r>
      <w:r>
        <w:rPr>
          <w:iCs/>
          <w:i/>
        </w:rPr>
        <w:t xml:space="preserve">aṅ</w:t>
      </w:r>
      <w:r>
        <w:t xml:space="preserve">, the penultimate of</w:t>
      </w:r>
      <w:r>
        <w:t xml:space="preserve"> </w:t>
      </w:r>
      <w:r>
        <w:rPr>
          <w:iCs/>
          <w:i/>
        </w:rPr>
        <w:t xml:space="preserve">gam</w:t>
      </w:r>
      <w:r>
        <w:t xml:space="preserve"> </w:t>
      </w:r>
      <w:r>
        <w:t xml:space="preserve">etc. is dropped, so the</w:t>
      </w:r>
      <w:r>
        <w:t xml:space="preserve"> </w:t>
      </w:r>
      <w:r>
        <w:rPr>
          <w:iCs/>
          <w:i/>
        </w:rPr>
        <w:t xml:space="preserve">a</w:t>
      </w:r>
      <w:r>
        <w:t xml:space="preserve"> </w:t>
      </w:r>
      <w:r>
        <w:t xml:space="preserve">after</w:t>
      </w:r>
      <w:r>
        <w:t xml:space="preserve"> </w:t>
      </w:r>
      <w:r>
        <w:rPr>
          <w:iCs/>
          <w:i/>
        </w:rPr>
        <w:t xml:space="preserve">j</w:t>
      </w:r>
      <w:r>
        <w:t xml:space="preserve"> </w:t>
      </w:r>
      <w:r>
        <w:t xml:space="preserve">is dropped:</w:t>
      </w:r>
      <w:r>
        <w:t xml:space="preserve"> </w:t>
      </w:r>
      <w:r>
        <w:rPr>
          <w:iCs/>
          <w:i/>
        </w:rPr>
        <w:t xml:space="preserve">jn</w:t>
      </w:r>
      <w:r>
        <w:t xml:space="preserve"> </w:t>
      </w:r>
      <w:r>
        <w:t xml:space="preserve">+</w:t>
      </w:r>
      <w:r>
        <w:t xml:space="preserve"> </w:t>
      </w:r>
      <w:r>
        <w:rPr>
          <w:iCs/>
          <w:i/>
        </w:rPr>
        <w:t xml:space="preserve">āna</w:t>
      </w:r>
      <w:r>
        <w:t xml:space="preserve">;</w:t>
      </w:r>
      <w:r>
        <w:t xml:space="preserve"> </w:t>
      </w:r>
      <w:r>
        <w:t xml:space="preserve">“</w:t>
      </w:r>
      <w:r>
        <w:t xml:space="preserve">dvirvacane ’ci</w:t>
      </w:r>
      <w:r>
        <w:t xml:space="preserve">”</w:t>
      </w:r>
      <w:r>
        <w:t xml:space="preserve"> </w:t>
      </w:r>
      <w:r>
        <w:t xml:space="preserve">(Pā. 1-1-59): when a vowel that causes doubling follows, a substitute for a vowel counts as that vowel for doubling, so the dropped</w:t>
      </w:r>
      <w:r>
        <w:t xml:space="preserve"> </w:t>
      </w:r>
      <w:r>
        <w:rPr>
          <w:iCs/>
          <w:i/>
        </w:rPr>
        <w:t xml:space="preserve">a</w:t>
      </w:r>
      <w:r>
        <w:t xml:space="preserve"> </w:t>
      </w:r>
      <w:r>
        <w:t xml:space="preserve">counts as present and</w:t>
      </w:r>
      <w:r>
        <w:t xml:space="preserve"> </w:t>
      </w:r>
      <w:r>
        <w:t xml:space="preserve">“</w:t>
      </w:r>
      <w:r>
        <w:t xml:space="preserve">liṭi dhātor anabhyāsasya</w:t>
      </w:r>
      <w:r>
        <w:t xml:space="preserve">”</w:t>
      </w:r>
      <w:r>
        <w:t xml:space="preserve"> </w:t>
      </w:r>
      <w:r>
        <w:t xml:space="preserve">(Pā. 6-1-8) gives doubling:</w:t>
      </w:r>
      <w:r>
        <w:t xml:space="preserve"> </w:t>
      </w:r>
      <w:r>
        <w:rPr>
          <w:iCs/>
          <w:i/>
        </w:rPr>
        <w:t xml:space="preserve">jan jn āna</w:t>
      </w:r>
      <w:r>
        <w:t xml:space="preserve">;</w:t>
      </w:r>
      <w:r>
        <w:t xml:space="preserve"> </w:t>
      </w:r>
      <w:r>
        <w:t xml:space="preserve">“</w:t>
      </w:r>
      <w:r>
        <w:t xml:space="preserve">halādiḥ śeṣaḥ</w:t>
      </w:r>
      <w:r>
        <w:t xml:space="preserve">”</w:t>
      </w:r>
      <w:r>
        <w:t xml:space="preserve"> </w:t>
      </w:r>
      <w:r>
        <w:t xml:space="preserve">(Pā. 7-4-60) removes the</w:t>
      </w:r>
      <w:r>
        <w:t xml:space="preserve"> </w:t>
      </w:r>
      <w:r>
        <w:rPr>
          <w:iCs/>
          <w:i/>
        </w:rPr>
        <w:t xml:space="preserve">n</w:t>
      </w:r>
      <w:r>
        <w:t xml:space="preserve"> </w:t>
      </w:r>
      <w:r>
        <w:t xml:space="preserve">of the reduplicate; by</w:t>
      </w:r>
      <w:r>
        <w:t xml:space="preserve"> </w:t>
      </w:r>
      <w:r>
        <w:rPr>
          <w:iCs/>
          <w:i/>
        </w:rPr>
        <w:t xml:space="preserve">ścutva</w:t>
      </w:r>
      <w:r>
        <w:t xml:space="preserve"> </w:t>
      </w:r>
      <w:r>
        <w:t xml:space="preserve">the dental nasal</w:t>
      </w:r>
      <w:r>
        <w:t xml:space="preserve"> </w:t>
      </w:r>
      <w:r>
        <w:rPr>
          <w:iCs/>
          <w:i/>
        </w:rPr>
        <w:t xml:space="preserve">n</w:t>
      </w:r>
      <w:r>
        <w:t xml:space="preserve"> </w:t>
      </w:r>
      <w:r>
        <w:t xml:space="preserve">becomes the palatal nasal</w:t>
      </w:r>
      <w:r>
        <w:t xml:space="preserve"> </w:t>
      </w:r>
      <w:r>
        <w:rPr>
          <w:iCs/>
          <w:i/>
        </w:rPr>
        <w:t xml:space="preserve">ñ</w:t>
      </w:r>
      <w:r>
        <w:t xml:space="preserve">:</w:t>
      </w:r>
      <w:r>
        <w:t xml:space="preserve"> </w:t>
      </w:r>
      <w:r>
        <w:rPr>
          <w:iCs/>
          <w:i/>
        </w:rPr>
        <w:t xml:space="preserve">jajñāna</w:t>
      </w:r>
      <w:r>
        <w:t xml:space="preserve">; the suffix being</w:t>
      </w:r>
      <w:r>
        <w:t xml:space="preserve"> </w:t>
      </w:r>
      <w:r>
        <w:rPr>
          <w:iCs/>
          <w:i/>
        </w:rPr>
        <w:t xml:space="preserve">cit</w:t>
      </w:r>
      <w:r>
        <w:t xml:space="preserve">, final-udātta.</w:t>
      </w:r>
      <w:r>
        <w:t xml:space="preserve"> </w:t>
      </w:r>
      <w:r>
        <w:rPr>
          <w:bCs/>
          <w:b/>
        </w:rPr>
        <w:t xml:space="preserve">वृक्तबर्हिषे (</w:t>
      </w:r>
      <w:r>
        <w:rPr>
          <w:iCs/>
          <w:i/>
          <w:bCs/>
          <w:b/>
        </w:rPr>
        <w:t xml:space="preserve">vṛktabarhiṣe</w:t>
      </w:r>
      <w:r>
        <w:rPr>
          <w:bCs/>
          <w:b/>
        </w:rPr>
        <w:t xml:space="preserve">)</w:t>
      </w:r>
      <w:r>
        <w:t xml:space="preserve"> </w:t>
      </w:r>
      <w:r>
        <w:t xml:space="preserve">— root</w:t>
      </w:r>
      <w:r>
        <w:t xml:space="preserve"> </w:t>
      </w:r>
      <w:r>
        <w:rPr>
          <w:iCs/>
          <w:i/>
        </w:rPr>
        <w:t xml:space="preserve">ovraścū chedane</w:t>
      </w:r>
      <w:r>
        <w:t xml:space="preserve">,</w:t>
      </w:r>
      <w:r>
        <w:t xml:space="preserve"> </w:t>
      </w:r>
      <w:r>
        <w:rPr>
          <w:iCs/>
          <w:i/>
        </w:rPr>
        <w:t xml:space="preserve">ūdit</w:t>
      </w:r>
      <w:r>
        <w:t xml:space="preserve">;</w:t>
      </w:r>
      <w:r>
        <w:t xml:space="preserve"> </w:t>
      </w:r>
      <w:r>
        <w:t xml:space="preserve">“</w:t>
      </w:r>
      <w:r>
        <w:t xml:space="preserve">svarati-sūti-sūyati-dhūñ-ūdito vā</w:t>
      </w:r>
      <w:r>
        <w:t xml:space="preserve">”</w:t>
      </w:r>
      <w:r>
        <w:t xml:space="preserve"> </w:t>
      </w:r>
      <w:r>
        <w:t xml:space="preserve">(Pā. 7-2-44): after</w:t>
      </w:r>
      <w:r>
        <w:t xml:space="preserve"> </w:t>
      </w:r>
      <w:r>
        <w:rPr>
          <w:iCs/>
          <w:i/>
        </w:rPr>
        <w:t xml:space="preserve">svṛ</w:t>
      </w:r>
      <w:r>
        <w:t xml:space="preserve"> </w:t>
      </w:r>
      <w:r>
        <w:t xml:space="preserve">etc. and</w:t>
      </w:r>
      <w:r>
        <w:t xml:space="preserve"> </w:t>
      </w:r>
      <w:r>
        <w:rPr>
          <w:iCs/>
          <w:i/>
        </w:rPr>
        <w:t xml:space="preserve">ūdit</w:t>
      </w:r>
      <w:r>
        <w:t xml:space="preserve"> </w:t>
      </w:r>
      <w:r>
        <w:t xml:space="preserve">roots the</w:t>
      </w:r>
      <w:r>
        <w:t xml:space="preserve"> </w:t>
      </w:r>
      <w:r>
        <w:rPr>
          <w:iCs/>
          <w:i/>
        </w:rPr>
        <w:t xml:space="preserve">iṭ</w:t>
      </w:r>
      <w:r>
        <w:t xml:space="preserve"> </w:t>
      </w:r>
      <w:r>
        <w:t xml:space="preserve">augment before a</w:t>
      </w:r>
      <w:r>
        <w:t xml:space="preserve"> </w:t>
      </w:r>
      <w:r>
        <w:rPr>
          <w:iCs/>
          <w:i/>
        </w:rPr>
        <w:t xml:space="preserve">val</w:t>
      </w:r>
      <w:r>
        <w:t xml:space="preserve">-initial</w:t>
      </w:r>
      <w:r>
        <w:t xml:space="preserve"> </w:t>
      </w:r>
      <w:r>
        <w:rPr>
          <w:iCs/>
          <w:i/>
        </w:rPr>
        <w:t xml:space="preserve">ārdhadhātuka</w:t>
      </w:r>
      <w:r>
        <w:t xml:space="preserve"> </w:t>
      </w:r>
      <w:r>
        <w:t xml:space="preserve">is optional; so after</w:t>
      </w:r>
      <w:r>
        <w:t xml:space="preserve"> </w:t>
      </w:r>
      <w:r>
        <w:rPr>
          <w:iCs/>
          <w:i/>
        </w:rPr>
        <w:t xml:space="preserve">kta</w:t>
      </w:r>
      <w:r>
        <w:t xml:space="preserve"> </w:t>
      </w:r>
      <w:r>
        <w:t xml:space="preserve">by</w:t>
      </w:r>
      <w:r>
        <w:t xml:space="preserve"> </w:t>
      </w:r>
      <w:r>
        <w:t xml:space="preserve">“</w:t>
      </w:r>
      <w:r>
        <w:t xml:space="preserve">niṣṭhā</w:t>
      </w:r>
      <w:r>
        <w:t xml:space="preserve">”</w:t>
      </w:r>
      <w:r>
        <w:t xml:space="preserve"> </w:t>
      </w:r>
      <w:r>
        <w:t xml:space="preserve">(Pā. 3-2-102),</w:t>
      </w:r>
      <w:r>
        <w:t xml:space="preserve"> </w:t>
      </w:r>
      <w:r>
        <w:t xml:space="preserve">“</w:t>
      </w:r>
      <w:r>
        <w:t xml:space="preserve">yasya vibhāṣā</w:t>
      </w:r>
      <w:r>
        <w:t xml:space="preserve">”</w:t>
      </w:r>
      <w:r>
        <w:t xml:space="preserve"> </w:t>
      </w:r>
      <w:r>
        <w:t xml:space="preserve">(Pā. 7-2-15) bars</w:t>
      </w:r>
      <w:r>
        <w:t xml:space="preserve"> </w:t>
      </w:r>
      <w:r>
        <w:rPr>
          <w:iCs/>
          <w:i/>
        </w:rPr>
        <w:t xml:space="preserve">iṭ</w:t>
      </w:r>
      <w:r>
        <w:t xml:space="preserve">:</w:t>
      </w:r>
      <w:r>
        <w:t xml:space="preserve"> </w:t>
      </w:r>
      <w:r>
        <w:rPr>
          <w:iCs/>
          <w:i/>
        </w:rPr>
        <w:t xml:space="preserve">vraśc</w:t>
      </w:r>
      <w:r>
        <w:t xml:space="preserve"> </w:t>
      </w:r>
      <w:r>
        <w:t xml:space="preserve">+</w:t>
      </w:r>
      <w:r>
        <w:t xml:space="preserve"> </w:t>
      </w:r>
      <w:r>
        <w:rPr>
          <w:iCs/>
          <w:i/>
        </w:rPr>
        <w:t xml:space="preserve">ta</w:t>
      </w:r>
      <w:r>
        <w:t xml:space="preserve">;</w:t>
      </w:r>
      <w:r>
        <w:t xml:space="preserve"> </w:t>
      </w:r>
      <w:r>
        <w:t xml:space="preserve">“</w:t>
      </w:r>
      <w:r>
        <w:t xml:space="preserve">oditaś ca</w:t>
      </w:r>
      <w:r>
        <w:t xml:space="preserve">”</w:t>
      </w:r>
      <w:r>
        <w:t xml:space="preserve"> </w:t>
      </w:r>
      <w:r>
        <w:t xml:space="preserve">(Pā. 8-2-45): after an</w:t>
      </w:r>
      <w:r>
        <w:t xml:space="preserve"> </w:t>
      </w:r>
      <w:r>
        <w:rPr>
          <w:iCs/>
          <w:i/>
        </w:rPr>
        <w:t xml:space="preserve">o</w:t>
      </w:r>
      <w:r>
        <w:t xml:space="preserve">-marked root the</w:t>
      </w:r>
      <w:r>
        <w:t xml:space="preserve"> </w:t>
      </w:r>
      <w:r>
        <w:rPr>
          <w:iCs/>
          <w:i/>
        </w:rPr>
        <w:t xml:space="preserve">t</w:t>
      </w:r>
      <w:r>
        <w:t xml:space="preserve"> </w:t>
      </w:r>
      <w:r>
        <w:t xml:space="preserve">of</w:t>
      </w:r>
      <w:r>
        <w:t xml:space="preserve"> </w:t>
      </w:r>
      <w:r>
        <w:rPr>
          <w:iCs/>
          <w:i/>
        </w:rPr>
        <w:t xml:space="preserve">kta</w:t>
      </w:r>
      <w:r>
        <w:t xml:space="preserve"> </w:t>
      </w:r>
      <w:r>
        <w:t xml:space="preserve">becomes</w:t>
      </w:r>
      <w:r>
        <w:t xml:space="preserve"> </w:t>
      </w:r>
      <w:r>
        <w:rPr>
          <w:iCs/>
          <w:i/>
        </w:rPr>
        <w:t xml:space="preserve">n</w:t>
      </w:r>
      <w:r>
        <w:t xml:space="preserve">:</w:t>
      </w:r>
      <w:r>
        <w:t xml:space="preserve"> </w:t>
      </w:r>
      <w:r>
        <w:rPr>
          <w:iCs/>
          <w:i/>
        </w:rPr>
        <w:t xml:space="preserve">vraśc</w:t>
      </w:r>
      <w:r>
        <w:t xml:space="preserve"> </w:t>
      </w:r>
      <w:r>
        <w:t xml:space="preserve">+</w:t>
      </w:r>
      <w:r>
        <w:t xml:space="preserve"> </w:t>
      </w:r>
      <w:r>
        <w:rPr>
          <w:iCs/>
          <w:i/>
        </w:rPr>
        <w:t xml:space="preserve">na</w:t>
      </w:r>
      <w:r>
        <w:t xml:space="preserve">;</w:t>
      </w:r>
      <w:r>
        <w:t xml:space="preserve"> </w:t>
      </w:r>
      <w:r>
        <w:t xml:space="preserve">“</w:t>
      </w:r>
      <w:r>
        <w:t xml:space="preserve">grahi-jyā-vayi-vyadhi-vaṣṭi-vicati-vṛścati-pṛcchati-bhṛjjatīnāṃ ṅiti ca</w:t>
      </w:r>
      <w:r>
        <w:t xml:space="preserve">”</w:t>
      </w:r>
      <w:r>
        <w:t xml:space="preserve"> </w:t>
      </w:r>
      <w:r>
        <w:t xml:space="preserve">(Pā. 6-1-16) gives</w:t>
      </w:r>
      <w:r>
        <w:t xml:space="preserve"> </w:t>
      </w:r>
      <w:r>
        <w:rPr>
          <w:iCs/>
          <w:i/>
        </w:rPr>
        <w:t xml:space="preserve">samprasāraṇa</w:t>
      </w:r>
      <w:r>
        <w:t xml:space="preserve">,</w:t>
      </w:r>
      <w:r>
        <w:t xml:space="preserve"> </w:t>
      </w:r>
      <w:r>
        <w:rPr>
          <w:iCs/>
          <w:i/>
        </w:rPr>
        <w:t xml:space="preserve">ṛ</w:t>
      </w:r>
      <w:r>
        <w:t xml:space="preserve"> </w:t>
      </w:r>
      <w:r>
        <w:t xml:space="preserve">for the</w:t>
      </w:r>
      <w:r>
        <w:t xml:space="preserve"> </w:t>
      </w:r>
      <w:r>
        <w:rPr>
          <w:iCs/>
          <w:i/>
        </w:rPr>
        <w:t xml:space="preserve">r</w:t>
      </w:r>
      <w:r>
        <w:t xml:space="preserve">, and</w:t>
      </w:r>
      <w:r>
        <w:t xml:space="preserve"> </w:t>
      </w:r>
      <w:r>
        <w:rPr>
          <w:iCs/>
          <w:i/>
        </w:rPr>
        <w:t xml:space="preserve">pūrvarūpa</w:t>
      </w:r>
      <w:r>
        <w:t xml:space="preserve">:</w:t>
      </w:r>
      <w:r>
        <w:t xml:space="preserve"> </w:t>
      </w:r>
      <w:r>
        <w:rPr>
          <w:iCs/>
          <w:i/>
        </w:rPr>
        <w:t xml:space="preserve">vṛśc</w:t>
      </w:r>
      <w:r>
        <w:t xml:space="preserve"> </w:t>
      </w:r>
      <w:r>
        <w:t xml:space="preserve">+</w:t>
      </w:r>
      <w:r>
        <w:t xml:space="preserve"> </w:t>
      </w:r>
      <w:r>
        <w:rPr>
          <w:iCs/>
          <w:i/>
        </w:rPr>
        <w:t xml:space="preserve">na</w:t>
      </w:r>
      <w:r>
        <w:t xml:space="preserve">;</w:t>
      </w:r>
      <w:r>
        <w:t xml:space="preserve"> </w:t>
      </w:r>
      <w:r>
        <w:t xml:space="preserve">“</w:t>
      </w:r>
      <w:r>
        <w:t xml:space="preserve">skoḥ saṃyogādyor ante ca</w:t>
      </w:r>
      <w:r>
        <w:t xml:space="preserve">”</w:t>
      </w:r>
      <w:r>
        <w:t xml:space="preserve"> </w:t>
      </w:r>
      <w:r>
        <w:t xml:space="preserve">(Pā. 8-2-29): the</w:t>
      </w:r>
      <w:r>
        <w:t xml:space="preserve"> </w:t>
      </w:r>
      <w:r>
        <w:rPr>
          <w:iCs/>
          <w:i/>
        </w:rPr>
        <w:t xml:space="preserve">s</w:t>
      </w:r>
      <w:r>
        <w:t xml:space="preserve"> </w:t>
      </w:r>
      <w:r>
        <w:t xml:space="preserve">or</w:t>
      </w:r>
      <w:r>
        <w:t xml:space="preserve"> </w:t>
      </w:r>
      <w:r>
        <w:rPr>
          <w:iCs/>
          <w:i/>
        </w:rPr>
        <w:t xml:space="preserve">k</w:t>
      </w:r>
      <w:r>
        <w:t xml:space="preserve"> </w:t>
      </w:r>
      <w:r>
        <w:t xml:space="preserve">at the start of a cluster at the end of a</w:t>
      </w:r>
      <w:r>
        <w:t xml:space="preserve"> </w:t>
      </w:r>
      <w:r>
        <w:rPr>
          <w:iCs/>
          <w:i/>
        </w:rPr>
        <w:t xml:space="preserve">pada</w:t>
      </w:r>
      <w:r>
        <w:t xml:space="preserve"> </w:t>
      </w:r>
      <w:r>
        <w:t xml:space="preserve">or before a</w:t>
      </w:r>
      <w:r>
        <w:t xml:space="preserve"> </w:t>
      </w:r>
      <w:r>
        <w:rPr>
          <w:iCs/>
          <w:i/>
        </w:rPr>
        <w:t xml:space="preserve">jhal</w:t>
      </w:r>
      <w:r>
        <w:t xml:space="preserve"> </w:t>
      </w:r>
      <w:r>
        <w:t xml:space="preserve">is dropped — so the</w:t>
      </w:r>
      <w:r>
        <w:t xml:space="preserve"> </w:t>
      </w:r>
      <w:r>
        <w:rPr>
          <w:iCs/>
          <w:i/>
        </w:rPr>
        <w:t xml:space="preserve">s</w:t>
      </w:r>
      <w:r>
        <w:t xml:space="preserve"> </w:t>
      </w:r>
      <w:r>
        <w:t xml:space="preserve">is dropped. In doing this, the</w:t>
      </w:r>
      <w:r>
        <w:t xml:space="preserve"> </w:t>
      </w:r>
      <w:r>
        <w:rPr>
          <w:iCs/>
          <w:i/>
        </w:rPr>
        <w:t xml:space="preserve">n</w:t>
      </w:r>
      <w:r>
        <w:t xml:space="preserve"> </w:t>
      </w:r>
      <w:r>
        <w:t xml:space="preserve">of the</w:t>
      </w:r>
      <w:r>
        <w:t xml:space="preserve"> </w:t>
      </w:r>
      <w:r>
        <w:rPr>
          <w:iCs/>
          <w:i/>
        </w:rPr>
        <w:t xml:space="preserve">niṣṭhā</w:t>
      </w:r>
      <w:r>
        <w:t xml:space="preserve"> </w:t>
      </w:r>
      <w:r>
        <w:t xml:space="preserve">substitute given by</w:t>
      </w:r>
      <w:r>
        <w:t xml:space="preserve"> </w:t>
      </w:r>
      <w:r>
        <w:t xml:space="preserve">“</w:t>
      </w:r>
      <w:r>
        <w:t xml:space="preserve">oditaś ca</w:t>
      </w:r>
      <w:r>
        <w:t xml:space="preserve">”</w:t>
      </w:r>
      <w:r>
        <w:t xml:space="preserve"> </w:t>
      </w:r>
      <w:r>
        <w:t xml:space="preserve">(8-2-45) is</w:t>
      </w:r>
      <w:r>
        <w:t xml:space="preserve"> </w:t>
      </w:r>
      <w:r>
        <w:rPr>
          <w:iCs/>
          <w:i/>
        </w:rPr>
        <w:t xml:space="preserve">asiddha</w:t>
      </w:r>
      <w:r>
        <w:t xml:space="preserve"> </w:t>
      </w:r>
      <w:r>
        <w:t xml:space="preserve">by</w:t>
      </w:r>
      <w:r>
        <w:t xml:space="preserve"> </w:t>
      </w:r>
      <w:r>
        <w:t xml:space="preserve">“</w:t>
      </w:r>
      <w:r>
        <w:t xml:space="preserve">pūrvatrāsiddham</w:t>
      </w:r>
      <w:r>
        <w:t xml:space="preserve">”</w:t>
      </w:r>
      <w:r>
        <w:t xml:space="preserve">, so the cluster counts as standing before a</w:t>
      </w:r>
      <w:r>
        <w:t xml:space="preserve"> </w:t>
      </w:r>
      <w:r>
        <w:rPr>
          <w:iCs/>
          <w:i/>
        </w:rPr>
        <w:t xml:space="preserve">jhal</w:t>
      </w:r>
      <w:r>
        <w:t xml:space="preserve">. By the verse</w:t>
      </w:r>
      <w:r>
        <w:t xml:space="preserve"> </w:t>
      </w:r>
      <w:r>
        <w:t xml:space="preserve">“</w:t>
      </w:r>
      <w:r>
        <w:t xml:space="preserve">nakārajāv anusvāra-pañcamau jhali dhātuṣu | sakārajaḥ śakāraś ce ṣāṭ ṭavargas tavargajaḥ</w:t>
      </w:r>
      <w:r>
        <w:t xml:space="preserve">”</w:t>
      </w:r>
      <w:r>
        <w:t xml:space="preserve"> </w:t>
      </w:r>
      <w:r>
        <w:t xml:space="preserve">— in roots, an anusvāra or fifth-of-class before a</w:t>
      </w:r>
      <w:r>
        <w:t xml:space="preserve"> </w:t>
      </w:r>
      <w:r>
        <w:rPr>
          <w:iCs/>
          <w:i/>
        </w:rPr>
        <w:t xml:space="preserve">jhal</w:t>
      </w:r>
      <w:r>
        <w:t xml:space="preserve"> </w:t>
      </w:r>
      <w:r>
        <w:t xml:space="preserve">comes from</w:t>
      </w:r>
      <w:r>
        <w:t xml:space="preserve"> </w:t>
      </w:r>
      <w:r>
        <w:rPr>
          <w:iCs/>
          <w:i/>
        </w:rPr>
        <w:t xml:space="preserve">n</w:t>
      </w:r>
      <w:r>
        <w:t xml:space="preserve">;</w:t>
      </w:r>
      <w:r>
        <w:t xml:space="preserve"> </w:t>
      </w:r>
      <w:r>
        <w:rPr>
          <w:iCs/>
          <w:i/>
        </w:rPr>
        <w:t xml:space="preserve">ś</w:t>
      </w:r>
      <w:r>
        <w:t xml:space="preserve"> </w:t>
      </w:r>
      <w:r>
        <w:t xml:space="preserve">before</w:t>
      </w:r>
      <w:r>
        <w:t xml:space="preserve"> </w:t>
      </w:r>
      <w:r>
        <w:rPr>
          <w:iCs/>
          <w:i/>
        </w:rPr>
        <w:t xml:space="preserve">c</w:t>
      </w:r>
      <w:r>
        <w:t xml:space="preserve"> </w:t>
      </w:r>
      <w:r>
        <w:t xml:space="preserve">comes from</w:t>
      </w:r>
      <w:r>
        <w:t xml:space="preserve"> </w:t>
      </w:r>
      <w:r>
        <w:rPr>
          <w:iCs/>
          <w:i/>
        </w:rPr>
        <w:t xml:space="preserve">s</w:t>
      </w:r>
      <w:r>
        <w:t xml:space="preserve">; and</w:t>
      </w:r>
      <w:r>
        <w:t xml:space="preserve"> </w:t>
      </w:r>
      <w:r>
        <w:rPr>
          <w:iCs/>
          <w:i/>
        </w:rPr>
        <w:t xml:space="preserve">ṣ</w:t>
      </w:r>
      <w:r>
        <w:t xml:space="preserve"> </w:t>
      </w:r>
      <w:r>
        <w:t xml:space="preserve">with a</w:t>
      </w:r>
      <w:r>
        <w:t xml:space="preserve"> </w:t>
      </w:r>
      <w:r>
        <w:rPr>
          <w:iCs/>
          <w:i/>
        </w:rPr>
        <w:t xml:space="preserve">ṭ</w:t>
      </w:r>
      <w:r>
        <w:t xml:space="preserve">-class letter comes from the</w:t>
      </w:r>
      <w:r>
        <w:t xml:space="preserve"> </w:t>
      </w:r>
      <w:r>
        <w:rPr>
          <w:iCs/>
          <w:i/>
        </w:rPr>
        <w:t xml:space="preserve">t</w:t>
      </w:r>
      <w:r>
        <w:t xml:space="preserve">-class — the</w:t>
      </w:r>
      <w:r>
        <w:t xml:space="preserve"> </w:t>
      </w:r>
      <w:r>
        <w:rPr>
          <w:iCs/>
          <w:i/>
        </w:rPr>
        <w:t xml:space="preserve">ś</w:t>
      </w:r>
      <w:r>
        <w:t xml:space="preserve"> </w:t>
      </w:r>
      <w:r>
        <w:t xml:space="preserve">before</w:t>
      </w:r>
      <w:r>
        <w:t xml:space="preserve"> </w:t>
      </w:r>
      <w:r>
        <w:rPr>
          <w:iCs/>
          <w:i/>
        </w:rPr>
        <w:t xml:space="preserve">c</w:t>
      </w:r>
      <w:r>
        <w:t xml:space="preserve"> </w:t>
      </w:r>
      <w:r>
        <w:t xml:space="preserve">in</w:t>
      </w:r>
      <w:r>
        <w:t xml:space="preserve"> </w:t>
      </w:r>
      <w:r>
        <w:rPr>
          <w:iCs/>
          <w:i/>
        </w:rPr>
        <w:t xml:space="preserve">vraśc</w:t>
      </w:r>
      <w:r>
        <w:t xml:space="preserve"> </w:t>
      </w:r>
      <w:r>
        <w:t xml:space="preserve">is known to come from</w:t>
      </w:r>
      <w:r>
        <w:t xml:space="preserve"> </w:t>
      </w:r>
      <w:r>
        <w:rPr>
          <w:iCs/>
          <w:i/>
        </w:rPr>
        <w:t xml:space="preserve">s</w:t>
      </w:r>
      <w:r>
        <w:t xml:space="preserve">:</w:t>
      </w:r>
      <w:r>
        <w:t xml:space="preserve"> </w:t>
      </w:r>
      <w:r>
        <w:rPr>
          <w:iCs/>
          <w:i/>
        </w:rPr>
        <w:t xml:space="preserve">vras</w:t>
      </w:r>
      <w:r>
        <w:t xml:space="preserve"> </w:t>
      </w:r>
      <w:r>
        <w:t xml:space="preserve">+</w:t>
      </w:r>
      <w:r>
        <w:t xml:space="preserve"> </w:t>
      </w:r>
      <w:r>
        <w:rPr>
          <w:iCs/>
          <w:i/>
        </w:rPr>
        <w:t xml:space="preserve">c</w:t>
      </w:r>
      <w:r>
        <w:t xml:space="preserve">, with</w:t>
      </w:r>
      <w:r>
        <w:t xml:space="preserve"> </w:t>
      </w:r>
      <w:r>
        <w:rPr>
          <w:iCs/>
          <w:i/>
        </w:rPr>
        <w:t xml:space="preserve">ścutva</w:t>
      </w:r>
      <w:r>
        <w:t xml:space="preserve"> </w:t>
      </w:r>
      <w:r>
        <w:t xml:space="preserve">by</w:t>
      </w:r>
      <w:r>
        <w:t xml:space="preserve"> </w:t>
      </w:r>
      <w:r>
        <w:t xml:space="preserve">“</w:t>
      </w:r>
      <w:r>
        <w:t xml:space="preserve">stoḥ ścunā ścuḥ</w:t>
      </w:r>
      <w:r>
        <w:t xml:space="preserve">”</w:t>
      </w:r>
      <w:r>
        <w:t xml:space="preserve"> </w:t>
      </w:r>
      <w:r>
        <w:t xml:space="preserve">(Pā. 8-4-40). When the cluster-initial loss is made, that</w:t>
      </w:r>
      <w:r>
        <w:t xml:space="preserve"> </w:t>
      </w:r>
      <w:r>
        <w:rPr>
          <w:iCs/>
          <w:i/>
        </w:rPr>
        <w:t xml:space="preserve">ś</w:t>
      </w:r>
      <w:r>
        <w:t xml:space="preserve"> </w:t>
      </w:r>
      <w:r>
        <w:t xml:space="preserve">from</w:t>
      </w:r>
      <w:r>
        <w:t xml:space="preserve"> </w:t>
      </w:r>
      <w:r>
        <w:rPr>
          <w:iCs/>
          <w:i/>
        </w:rPr>
        <w:t xml:space="preserve">ścutva</w:t>
      </w:r>
      <w:r>
        <w:t xml:space="preserve"> </w:t>
      </w:r>
      <w:r>
        <w:t xml:space="preserve">is</w:t>
      </w:r>
      <w:r>
        <w:t xml:space="preserve"> </w:t>
      </w:r>
      <w:r>
        <w:rPr>
          <w:iCs/>
          <w:i/>
        </w:rPr>
        <w:t xml:space="preserve">asiddha</w:t>
      </w:r>
      <w:r>
        <w:t xml:space="preserve"> </w:t>
      </w:r>
      <w:r>
        <w:t xml:space="preserve">by</w:t>
      </w:r>
      <w:r>
        <w:t xml:space="preserve"> </w:t>
      </w:r>
      <w:r>
        <w:t xml:space="preserve">“</w:t>
      </w:r>
      <w:r>
        <w:t xml:space="preserve">pūrvatrāsiddham</w:t>
      </w:r>
      <w:r>
        <w:t xml:space="preserve">”</w:t>
      </w:r>
      <w:r>
        <w:t xml:space="preserve">, so the cluster-initial</w:t>
      </w:r>
      <w:r>
        <w:t xml:space="preserve"> </w:t>
      </w:r>
      <w:r>
        <w:rPr>
          <w:iCs/>
          <w:i/>
        </w:rPr>
        <w:t xml:space="preserve">s</w:t>
      </w:r>
      <w:r>
        <w:t xml:space="preserve"> </w:t>
      </w:r>
      <w:r>
        <w:t xml:space="preserve">is found [and dropped]. With the cluster-initial loss,</w:t>
      </w:r>
      <w:r>
        <w:t xml:space="preserve"> </w:t>
      </w:r>
      <w:r>
        <w:rPr>
          <w:iCs/>
          <w:i/>
        </w:rPr>
        <w:t xml:space="preserve">vṛc</w:t>
      </w:r>
      <w:r>
        <w:t xml:space="preserve"> </w:t>
      </w:r>
      <w:r>
        <w:t xml:space="preserve">+</w:t>
      </w:r>
      <w:r>
        <w:t xml:space="preserve"> </w:t>
      </w:r>
      <w:r>
        <w:rPr>
          <w:iCs/>
          <w:i/>
        </w:rPr>
        <w:t xml:space="preserve">na</w:t>
      </w:r>
      <w:r>
        <w:t xml:space="preserve">;</w:t>
      </w:r>
      <w:r>
        <w:t xml:space="preserve"> </w:t>
      </w:r>
      <w:r>
        <w:t xml:space="preserve">“</w:t>
      </w:r>
      <w:r>
        <w:t xml:space="preserve">coḥ kuḥ</w:t>
      </w:r>
      <w:r>
        <w:t xml:space="preserve">”</w:t>
      </w:r>
      <w:r>
        <w:t xml:space="preserve"> </w:t>
      </w:r>
      <w:r>
        <w:t xml:space="preserve">(Pā.</w:t>
      </w:r>
    </w:p>
    <w:bookmarkEnd w:id="511"/>
    <w:bookmarkStart w:id="512" w:name="page-494-rik-3-grammar-closes"/>
    <w:p>
      <w:pPr>
        <w:pStyle w:val="Heading3"/>
      </w:pPr>
      <w:r>
        <w:t xml:space="preserve">Page 494 — Rik 3 grammar closes</w:t>
      </w:r>
    </w:p>
    <w:p>
      <w:pPr>
        <w:pStyle w:val="FirstParagraph"/>
      </w:pPr>
      <w:r>
        <w:t xml:space="preserve">8-2-30): before a</w:t>
      </w:r>
      <w:r>
        <w:t xml:space="preserve"> </w:t>
      </w:r>
      <w:r>
        <w:rPr>
          <w:iCs/>
          <w:i/>
        </w:rPr>
        <w:t xml:space="preserve">jhal</w:t>
      </w:r>
      <w:r>
        <w:t xml:space="preserve"> </w:t>
      </w:r>
      <w:r>
        <w:t xml:space="preserve">or at the end of a</w:t>
      </w:r>
      <w:r>
        <w:t xml:space="preserve"> </w:t>
      </w:r>
      <w:r>
        <w:rPr>
          <w:iCs/>
          <w:i/>
        </w:rPr>
        <w:t xml:space="preserve">pada</w:t>
      </w:r>
      <w:r>
        <w:t xml:space="preserve"> </w:t>
      </w:r>
      <w:r>
        <w:t xml:space="preserve">a palatal becomes a velar, so</w:t>
      </w:r>
      <w:r>
        <w:t xml:space="preserve"> </w:t>
      </w:r>
      <w:r>
        <w:rPr>
          <w:iCs/>
          <w:i/>
        </w:rPr>
        <w:t xml:space="preserve">c</w:t>
      </w:r>
      <w:r>
        <w:t xml:space="preserve"> </w:t>
      </w:r>
      <w:r>
        <w:t xml:space="preserve">→</w:t>
      </w:r>
      <w:r>
        <w:t xml:space="preserve"> </w:t>
      </w:r>
      <w:r>
        <w:rPr>
          <w:iCs/>
          <w:i/>
        </w:rPr>
        <w:t xml:space="preserve">k</w:t>
      </w:r>
      <w:r>
        <w:t xml:space="preserve">; here too, in making the velar, the</w:t>
      </w:r>
      <w:r>
        <w:t xml:space="preserve"> </w:t>
      </w:r>
      <w:r>
        <w:rPr>
          <w:iCs/>
          <w:i/>
        </w:rPr>
        <w:t xml:space="preserve">n</w:t>
      </w:r>
      <w:r>
        <w:t xml:space="preserve"> </w:t>
      </w:r>
      <w:r>
        <w:t xml:space="preserve">is</w:t>
      </w:r>
      <w:r>
        <w:t xml:space="preserve"> </w:t>
      </w:r>
      <w:r>
        <w:rPr>
          <w:iCs/>
          <w:i/>
        </w:rPr>
        <w:t xml:space="preserve">asiddha</w:t>
      </w:r>
      <w:r>
        <w:t xml:space="preserve"> </w:t>
      </w:r>
      <w:r>
        <w:t xml:space="preserve">by</w:t>
      </w:r>
      <w:r>
        <w:t xml:space="preserve"> </w:t>
      </w:r>
      <w:r>
        <w:t xml:space="preserve">“</w:t>
      </w:r>
      <w:r>
        <w:t xml:space="preserve">pūrvatrāsiddham</w:t>
      </w:r>
      <w:r>
        <w:t xml:space="preserve">”</w:t>
      </w:r>
      <w:r>
        <w:t xml:space="preserve">. One may ask why, the</w:t>
      </w:r>
      <w:r>
        <w:t xml:space="preserve"> </w:t>
      </w:r>
      <w:r>
        <w:rPr>
          <w:iCs/>
          <w:i/>
        </w:rPr>
        <w:t xml:space="preserve">n</w:t>
      </w:r>
      <w:r>
        <w:t xml:space="preserve"> </w:t>
      </w:r>
      <w:r>
        <w:t xml:space="preserve">being</w:t>
      </w:r>
      <w:r>
        <w:t xml:space="preserve"> </w:t>
      </w:r>
      <w:r>
        <w:rPr>
          <w:iCs/>
          <w:i/>
        </w:rPr>
        <w:t xml:space="preserve">asiddha</w:t>
      </w:r>
      <w:r>
        <w:t xml:space="preserve">,</w:t>
      </w:r>
      <w:r>
        <w:t xml:space="preserve"> </w:t>
      </w:r>
      <w:r>
        <w:t xml:space="preserve">“</w:t>
      </w:r>
      <w:r>
        <w:t xml:space="preserve">vraśca-bhrasja-sṛja-mṛja-yaja-rāja-bhrāja-cchaśāṃ ṣaḥ</w:t>
      </w:r>
      <w:r>
        <w:t xml:space="preserve">”</w:t>
      </w:r>
      <w:r>
        <w:t xml:space="preserve"> </w:t>
      </w:r>
      <w:r>
        <w:t xml:space="preserve">(Pā. 8-2-36) does not make the</w:t>
      </w:r>
      <w:r>
        <w:t xml:space="preserve"> </w:t>
      </w:r>
      <w:r>
        <w:rPr>
          <w:iCs/>
          <w:i/>
        </w:rPr>
        <w:t xml:space="preserve">c</w:t>
      </w:r>
      <w:r>
        <w:t xml:space="preserve"> </w:t>
      </w:r>
      <w:r>
        <w:t xml:space="preserve">of</w:t>
      </w:r>
      <w:r>
        <w:t xml:space="preserve"> </w:t>
      </w:r>
      <w:r>
        <w:rPr>
          <w:iCs/>
          <w:i/>
        </w:rPr>
        <w:t xml:space="preserve">vraśc</w:t>
      </w:r>
      <w:r>
        <w:t xml:space="preserve"> </w:t>
      </w:r>
      <w:r>
        <w:rPr>
          <w:iCs/>
          <w:i/>
        </w:rPr>
        <w:t xml:space="preserve">ṣ</w:t>
      </w:r>
      <w:r>
        <w:t xml:space="preserve">; but by</w:t>
      </w:r>
      <w:r>
        <w:t xml:space="preserve"> </w:t>
      </w:r>
      <w:r>
        <w:t xml:space="preserve">“</w:t>
      </w:r>
      <w:r>
        <w:t xml:space="preserve">niṣṭhādeśaḥ ṣatva-svara-pratyaya-iḍvidhiṣu siddho vācyaḥ</w:t>
      </w:r>
      <w:r>
        <w:t xml:space="preserve">”</w:t>
      </w:r>
      <w:r>
        <w:t xml:space="preserve"> </w:t>
      </w:r>
      <w:r>
        <w:t xml:space="preserve">(printed</w:t>
      </w:r>
      <w:r>
        <w:t xml:space="preserve"> </w:t>
      </w:r>
      <w:r>
        <w:t xml:space="preserve">“</w:t>
      </w:r>
      <w:r>
        <w:t xml:space="preserve">8-2-6 vā. 6</w:t>
      </w:r>
      <w:r>
        <w:t xml:space="preserve">”</w:t>
      </w:r>
      <w:r>
        <w:t xml:space="preserve">) the</w:t>
      </w:r>
      <w:r>
        <w:t xml:space="preserve"> </w:t>
      </w:r>
      <w:r>
        <w:rPr>
          <w:iCs/>
          <w:i/>
        </w:rPr>
        <w:t xml:space="preserve">niṣṭhā</w:t>
      </w:r>
      <w:r>
        <w:t xml:space="preserve"> </w:t>
      </w:r>
      <w:r>
        <w:t xml:space="preserve">substitute counts as effective for rules of</w:t>
      </w:r>
      <w:r>
        <w:t xml:space="preserve"> </w:t>
      </w:r>
      <w:r>
        <w:rPr>
          <w:iCs/>
          <w:i/>
        </w:rPr>
        <w:t xml:space="preserve">ṣatva</w:t>
      </w:r>
      <w:r>
        <w:t xml:space="preserve"> </w:t>
      </w:r>
      <w:r>
        <w:t xml:space="preserve">and the like, so the</w:t>
      </w:r>
      <w:r>
        <w:t xml:space="preserve"> </w:t>
      </w:r>
      <w:r>
        <w:rPr>
          <w:iCs/>
          <w:i/>
        </w:rPr>
        <w:t xml:space="preserve">n</w:t>
      </w:r>
      <w:r>
        <w:t xml:space="preserve"> </w:t>
      </w:r>
      <w:r>
        <w:t xml:space="preserve">is not</w:t>
      </w:r>
      <w:r>
        <w:t xml:space="preserve"> </w:t>
      </w:r>
      <w:r>
        <w:rPr>
          <w:iCs/>
          <w:i/>
        </w:rPr>
        <w:t xml:space="preserve">asiddha</w:t>
      </w:r>
      <w:r>
        <w:t xml:space="preserve"> </w:t>
      </w:r>
      <w:r>
        <w:t xml:space="preserve">and no</w:t>
      </w:r>
      <w:r>
        <w:t xml:space="preserve"> </w:t>
      </w:r>
      <w:r>
        <w:rPr>
          <w:iCs/>
          <w:i/>
        </w:rPr>
        <w:t xml:space="preserve">ṣ</w:t>
      </w:r>
      <w:r>
        <w:t xml:space="preserve"> </w:t>
      </w:r>
      <w:r>
        <w:t xml:space="preserve">arises. This is made clear in the Mādhavīya Dhātuvṛtti and in the Siddhāntakaumudī. Since</w:t>
      </w:r>
      <w:r>
        <w:t xml:space="preserve"> </w:t>
      </w:r>
      <w:r>
        <w:rPr>
          <w:iCs/>
          <w:i/>
        </w:rPr>
        <w:t xml:space="preserve">nṛnamana</w:t>
      </w:r>
      <w:r>
        <w:t xml:space="preserve"> </w:t>
      </w:r>
      <w:r>
        <w:t xml:space="preserve">is read in the</w:t>
      </w:r>
      <w:r>
        <w:t xml:space="preserve"> </w:t>
      </w:r>
      <w:r>
        <w:rPr>
          <w:iCs/>
          <w:i/>
        </w:rPr>
        <w:t xml:space="preserve">kṣubhnādi</w:t>
      </w:r>
      <w:r>
        <w:t xml:space="preserve"> </w:t>
      </w:r>
      <w:r>
        <w:t xml:space="preserve">group to bar that</w:t>
      </w:r>
      <w:r>
        <w:t xml:space="preserve"> </w:t>
      </w:r>
      <w:r>
        <w:rPr>
          <w:iCs/>
          <w:i/>
        </w:rPr>
        <w:t xml:space="preserve">ṇatva</w:t>
      </w:r>
      <w:r>
        <w:t xml:space="preserve">, the</w:t>
      </w:r>
      <w:r>
        <w:t xml:space="preserve"> </w:t>
      </w:r>
      <w:r>
        <w:rPr>
          <w:iCs/>
          <w:i/>
        </w:rPr>
        <w:t xml:space="preserve">ṛ</w:t>
      </w:r>
      <w:r>
        <w:t xml:space="preserve"> </w:t>
      </w:r>
      <w:r>
        <w:t xml:space="preserve">gives</w:t>
      </w:r>
      <w:r>
        <w:t xml:space="preserve"> </w:t>
      </w:r>
      <w:r>
        <w:rPr>
          <w:iCs/>
          <w:i/>
        </w:rPr>
        <w:t xml:space="preserve">ṇatva</w:t>
      </w:r>
      <w:r>
        <w:t xml:space="preserve"> </w:t>
      </w:r>
      <w:r>
        <w:t xml:space="preserve">by</w:t>
      </w:r>
      <w:r>
        <w:t xml:space="preserve"> </w:t>
      </w:r>
      <w:r>
        <w:t xml:space="preserve">“</w:t>
      </w:r>
      <w:r>
        <w:t xml:space="preserve">aṭ-kupv-āṅ-num-vyavāye ’pi</w:t>
      </w:r>
      <w:r>
        <w:t xml:space="preserve">”</w:t>
      </w:r>
      <w:r>
        <w:t xml:space="preserve"> </w:t>
      </w:r>
      <w:r>
        <w:t xml:space="preserve">(Pā. 8-4-2); so by the sūtra mentioned the</w:t>
      </w:r>
      <w:r>
        <w:t xml:space="preserve"> </w:t>
      </w:r>
      <w:r>
        <w:rPr>
          <w:iCs/>
          <w:i/>
        </w:rPr>
        <w:t xml:space="preserve">n</w:t>
      </w:r>
      <w:r>
        <w:t xml:space="preserve"> </w:t>
      </w:r>
      <w:r>
        <w:t xml:space="preserve">would become</w:t>
      </w:r>
      <w:r>
        <w:t xml:space="preserve"> </w:t>
      </w:r>
      <w:r>
        <w:rPr>
          <w:iCs/>
          <w:i/>
        </w:rPr>
        <w:t xml:space="preserve">ṇ</w:t>
      </w:r>
      <w:r>
        <w:t xml:space="preserve">, and the form should be</w:t>
      </w:r>
      <w:r>
        <w:t xml:space="preserve"> </w:t>
      </w:r>
      <w:r>
        <w:rPr>
          <w:iCs/>
          <w:i/>
        </w:rPr>
        <w:t xml:space="preserve">vṛkṇaḥ</w:t>
      </w:r>
      <w:r>
        <w:t xml:space="preserve">. Here it must be said that, by Vedic procedure, neither the</w:t>
      </w:r>
      <w:r>
        <w:t xml:space="preserve"> </w:t>
      </w:r>
      <w:r>
        <w:rPr>
          <w:iCs/>
          <w:i/>
        </w:rPr>
        <w:t xml:space="preserve">niṣṭhā-natva</w:t>
      </w:r>
      <w:r>
        <w:t xml:space="preserve"> </w:t>
      </w:r>
      <w:r>
        <w:t xml:space="preserve">given by</w:t>
      </w:r>
      <w:r>
        <w:t xml:space="preserve"> </w:t>
      </w:r>
      <w:r>
        <w:t xml:space="preserve">“</w:t>
      </w:r>
      <w:r>
        <w:t xml:space="preserve">oditaś ca</w:t>
      </w:r>
      <w:r>
        <w:t xml:space="preserve">”</w:t>
      </w:r>
      <w:r>
        <w:t xml:space="preserve"> </w:t>
      </w:r>
      <w:r>
        <w:t xml:space="preserve">nor the</w:t>
      </w:r>
      <w:r>
        <w:t xml:space="preserve"> </w:t>
      </w:r>
      <w:r>
        <w:rPr>
          <w:iCs/>
          <w:i/>
        </w:rPr>
        <w:t xml:space="preserve">ṣatva</w:t>
      </w:r>
      <w:r>
        <w:t xml:space="preserve"> </w:t>
      </w:r>
      <w:r>
        <w:t xml:space="preserve">given by</w:t>
      </w:r>
      <w:r>
        <w:t xml:space="preserve"> </w:t>
      </w:r>
      <w:r>
        <w:t xml:space="preserve">“</w:t>
      </w:r>
      <w:r>
        <w:t xml:space="preserve">vraśca-bhrasja…</w:t>
      </w:r>
      <w:r>
        <w:t xml:space="preserve">”</w:t>
      </w:r>
      <w:r>
        <w:t xml:space="preserve"> </w:t>
      </w:r>
      <w:r>
        <w:t xml:space="preserve">(Pā. 8-2-36) applies. So</w:t>
      </w:r>
      <w:r>
        <w:t xml:space="preserve"> </w:t>
      </w:r>
      <w:r>
        <w:rPr>
          <w:iCs/>
          <w:i/>
        </w:rPr>
        <w:t xml:space="preserve">vṛc</w:t>
      </w:r>
      <w:r>
        <w:t xml:space="preserve"> </w:t>
      </w:r>
      <w:r>
        <w:t xml:space="preserve">+</w:t>
      </w:r>
      <w:r>
        <w:t xml:space="preserve"> </w:t>
      </w:r>
      <w:r>
        <w:rPr>
          <w:iCs/>
          <w:i/>
        </w:rPr>
        <w:t xml:space="preserve">ta</w:t>
      </w:r>
      <w:r>
        <w:t xml:space="preserve">, and with the velar the form</w:t>
      </w:r>
      <w:r>
        <w:t xml:space="preserve"> </w:t>
      </w:r>
      <w:r>
        <w:rPr>
          <w:iCs/>
          <w:i/>
        </w:rPr>
        <w:t xml:space="preserve">vṛkta</w:t>
      </w:r>
      <w:r>
        <w:t xml:space="preserve"> </w:t>
      </w:r>
      <w:r>
        <w:t xml:space="preserve">is obtained.</w:t>
      </w:r>
      <w:r>
        <w:t xml:space="preserve"> </w:t>
      </w:r>
      <w:r>
        <w:rPr>
          <w:iCs/>
          <w:i/>
        </w:rPr>
        <w:t xml:space="preserve">Vṛkta</w:t>
      </w:r>
      <w:r>
        <w:t xml:space="preserve"> </w:t>
      </w:r>
      <w:r>
        <w:t xml:space="preserve">is final-udātta by the suffix accent. As a bahuvrīhi,</w:t>
      </w:r>
      <w:r>
        <w:t xml:space="preserve"> </w:t>
      </w:r>
      <w:r>
        <w:t xml:space="preserve">“</w:t>
      </w:r>
      <w:r>
        <w:t xml:space="preserve">vṛktaṃ barhiḥ yasmai yajamānāya</w:t>
      </w:r>
      <w:r>
        <w:t xml:space="preserve">”</w:t>
      </w:r>
      <w:r>
        <w:t xml:space="preserve"> </w:t>
      </w:r>
      <w:r>
        <w:t xml:space="preserve">or</w:t>
      </w:r>
      <w:r>
        <w:t xml:space="preserve"> </w:t>
      </w:r>
      <w:r>
        <w:t xml:space="preserve">“</w:t>
      </w:r>
      <w:r>
        <w:t xml:space="preserve">vṛktaṃ barhiḥ yena ṛtvijā</w:t>
      </w:r>
      <w:r>
        <w:t xml:space="preserve">”</w:t>
      </w:r>
      <w:r>
        <w:t xml:space="preserve">, it takes the first member’s accent by</w:t>
      </w:r>
      <w:r>
        <w:t xml:space="preserve"> </w:t>
      </w:r>
      <w:r>
        <w:t xml:space="preserve">“</w:t>
      </w:r>
      <w:r>
        <w:t xml:space="preserve">bahuvrīhau prakṛtyā pūrvapadam</w:t>
      </w:r>
      <w:r>
        <w:t xml:space="preserve">”</w:t>
      </w:r>
      <w:r>
        <w:t xml:space="preserve"> </w:t>
      </w:r>
      <w:r>
        <w:t xml:space="preserve">(Pā. 6-2-1).</w:t>
      </w:r>
      <w:r>
        <w:t xml:space="preserve"> </w:t>
      </w:r>
      <w:r>
        <w:rPr>
          <w:bCs/>
          <w:b/>
        </w:rPr>
        <w:t xml:space="preserve">असि (</w:t>
      </w:r>
      <w:r>
        <w:rPr>
          <w:iCs/>
          <w:i/>
          <w:bCs/>
          <w:b/>
        </w:rPr>
        <w:t xml:space="preserve">asi</w:t>
      </w:r>
      <w:r>
        <w:rPr>
          <w:bCs/>
          <w:b/>
        </w:rPr>
        <w:t xml:space="preserve">)</w:t>
      </w:r>
      <w:r>
        <w:t xml:space="preserve"> </w:t>
      </w:r>
      <w:r>
        <w:t xml:space="preserve">— root</w:t>
      </w:r>
      <w:r>
        <w:t xml:space="preserve"> </w:t>
      </w:r>
      <w:r>
        <w:rPr>
          <w:iCs/>
          <w:i/>
        </w:rPr>
        <w:t xml:space="preserve">asa bhuvi</w:t>
      </w:r>
      <w:r>
        <w:t xml:space="preserve">;</w:t>
      </w:r>
      <w:r>
        <w:t xml:space="preserve"> </w:t>
      </w:r>
      <w:r>
        <w:rPr>
          <w:iCs/>
          <w:i/>
        </w:rPr>
        <w:t xml:space="preserve">laṭ</w:t>
      </w:r>
      <w:r>
        <w:t xml:space="preserve"> </w:t>
      </w:r>
      <w:r>
        <w:t xml:space="preserve">→</w:t>
      </w:r>
      <w:r>
        <w:t xml:space="preserve"> </w:t>
      </w:r>
      <w:r>
        <w:rPr>
          <w:iCs/>
          <w:i/>
        </w:rPr>
        <w:t xml:space="preserve">sip</w:t>
      </w:r>
      <w:r>
        <w:t xml:space="preserve">; the</w:t>
      </w:r>
      <w:r>
        <w:t xml:space="preserve"> </w:t>
      </w:r>
      <w:r>
        <w:rPr>
          <w:iCs/>
          <w:i/>
        </w:rPr>
        <w:t xml:space="preserve">śap</w:t>
      </w:r>
      <w:r>
        <w:t xml:space="preserve"> </w:t>
      </w:r>
      <w:r>
        <w:t xml:space="preserve">dropped by</w:t>
      </w:r>
      <w:r>
        <w:t xml:space="preserve"> </w:t>
      </w:r>
      <w:r>
        <w:t xml:space="preserve">“</w:t>
      </w:r>
      <w:r>
        <w:t xml:space="preserve">adiprabhṛtibhyaḥ śapaḥ</w:t>
      </w:r>
      <w:r>
        <w:t xml:space="preserve">”</w:t>
      </w:r>
      <w:r>
        <w:t xml:space="preserve"> </w:t>
      </w:r>
      <w:r>
        <w:t xml:space="preserve">(2-4-72);</w:t>
      </w:r>
      <w:r>
        <w:t xml:space="preserve"> </w:t>
      </w:r>
      <w:r>
        <w:t xml:space="preserve">“</w:t>
      </w:r>
      <w:r>
        <w:t xml:space="preserve">tāsastyor lopaḥ</w:t>
      </w:r>
      <w:r>
        <w:t xml:space="preserve">”</w:t>
      </w:r>
      <w:r>
        <w:t xml:space="preserve"> </w:t>
      </w:r>
      <w:r>
        <w:t xml:space="preserve">(Pā. 7-4-50): before an</w:t>
      </w:r>
      <w:r>
        <w:t xml:space="preserve"> </w:t>
      </w:r>
      <w:r>
        <w:rPr>
          <w:iCs/>
          <w:i/>
        </w:rPr>
        <w:t xml:space="preserve">s</w:t>
      </w:r>
      <w:r>
        <w:t xml:space="preserve">-initial suffix the final</w:t>
      </w:r>
      <w:r>
        <w:t xml:space="preserve"> </w:t>
      </w:r>
      <w:r>
        <w:rPr>
          <w:iCs/>
          <w:i/>
        </w:rPr>
        <w:t xml:space="preserve">s</w:t>
      </w:r>
      <w:r>
        <w:t xml:space="preserve"> </w:t>
      </w:r>
      <w:r>
        <w:t xml:space="preserve">of</w:t>
      </w:r>
      <w:r>
        <w:t xml:space="preserve"> </w:t>
      </w:r>
      <w:r>
        <w:rPr>
          <w:iCs/>
          <w:i/>
        </w:rPr>
        <w:t xml:space="preserve">tās</w:t>
      </w:r>
      <w:r>
        <w:t xml:space="preserve"> </w:t>
      </w:r>
      <w:r>
        <w:t xml:space="preserve">and</w:t>
      </w:r>
      <w:r>
        <w:t xml:space="preserve"> </w:t>
      </w:r>
      <w:r>
        <w:rPr>
          <w:iCs/>
          <w:i/>
        </w:rPr>
        <w:t xml:space="preserve">as</w:t>
      </w:r>
      <w:r>
        <w:t xml:space="preserve"> </w:t>
      </w:r>
      <w:r>
        <w:t xml:space="preserve">is dropped:</w:t>
      </w:r>
      <w:r>
        <w:t xml:space="preserve"> </w:t>
      </w:r>
      <w:r>
        <w:rPr>
          <w:iCs/>
          <w:i/>
        </w:rPr>
        <w:t xml:space="preserve">asi</w:t>
      </w:r>
      <w:r>
        <w:t xml:space="preserve">; standing at the beginning of the pāda, it is not unaccented.</w:t>
      </w:r>
      <w:r>
        <w:t xml:space="preserve"> </w:t>
      </w:r>
      <w:r>
        <w:rPr>
          <w:bCs/>
          <w:b/>
        </w:rPr>
        <w:t xml:space="preserve">होता (</w:t>
      </w:r>
      <w:r>
        <w:rPr>
          <w:iCs/>
          <w:i/>
          <w:bCs/>
          <w:b/>
        </w:rPr>
        <w:t xml:space="preserve">hotā</w:t>
      </w:r>
      <w:r>
        <w:rPr>
          <w:bCs/>
          <w:b/>
        </w:rPr>
        <w:t xml:space="preserve">)</w:t>
      </w:r>
      <w:r>
        <w:t xml:space="preserve"> </w:t>
      </w:r>
      <w:r>
        <w:t xml:space="preserve">— root</w:t>
      </w:r>
      <w:r>
        <w:t xml:space="preserve"> </w:t>
      </w:r>
      <w:r>
        <w:rPr>
          <w:iCs/>
          <w:i/>
        </w:rPr>
        <w:t xml:space="preserve">hveñ spardhāyāṃ śabde ca</w:t>
      </w:r>
      <w:r>
        <w:t xml:space="preserve">;</w:t>
      </w:r>
      <w:r>
        <w:t xml:space="preserve"> </w:t>
      </w:r>
      <w:r>
        <w:rPr>
          <w:iCs/>
          <w:i/>
        </w:rPr>
        <w:t xml:space="preserve">tṛn</w:t>
      </w:r>
      <w:r>
        <w:t xml:space="preserve"> </w:t>
      </w:r>
      <w:r>
        <w:t xml:space="preserve">by</w:t>
      </w:r>
      <w:r>
        <w:t xml:space="preserve"> </w:t>
      </w:r>
      <w:r>
        <w:t xml:space="preserve">“</w:t>
      </w:r>
      <w:r>
        <w:t xml:space="preserve">tṛn</w:t>
      </w:r>
      <w:r>
        <w:t xml:space="preserve">”</w:t>
      </w:r>
      <w:r>
        <w:t xml:space="preserve"> </w:t>
      </w:r>
      <w:r>
        <w:t xml:space="preserve">(Pā. 3-2-135) in the senses of habit etc.;</w:t>
      </w:r>
      <w:r>
        <w:t xml:space="preserve"> </w:t>
      </w:r>
      <w:r>
        <w:rPr>
          <w:iCs/>
          <w:i/>
        </w:rPr>
        <w:t xml:space="preserve">samprasāraṇa</w:t>
      </w:r>
      <w:r>
        <w:t xml:space="preserve"> </w:t>
      </w:r>
      <w:r>
        <w:t xml:space="preserve">by</w:t>
      </w:r>
      <w:r>
        <w:t xml:space="preserve"> </w:t>
      </w:r>
      <w:r>
        <w:t xml:space="preserve">“</w:t>
      </w:r>
      <w:r>
        <w:t xml:space="preserve">bahulaṃ chandasi</w:t>
      </w:r>
      <w:r>
        <w:t xml:space="preserve">”</w:t>
      </w:r>
      <w:r>
        <w:t xml:space="preserve"> </w:t>
      </w:r>
      <w:r>
        <w:t xml:space="preserve">(Pā. 6-1-34),</w:t>
      </w:r>
      <w:r>
        <w:t xml:space="preserve"> </w:t>
      </w:r>
      <w:r>
        <w:rPr>
          <w:iCs/>
          <w:i/>
        </w:rPr>
        <w:t xml:space="preserve">pūrvarūpa</w:t>
      </w:r>
      <w:r>
        <w:t xml:space="preserve"> </w:t>
      </w:r>
      <w:r>
        <w:t xml:space="preserve">by</w:t>
      </w:r>
      <w:r>
        <w:t xml:space="preserve"> </w:t>
      </w:r>
      <w:r>
        <w:t xml:space="preserve">“</w:t>
      </w:r>
      <w:r>
        <w:t xml:space="preserve">samprasāraṇāc ca</w:t>
      </w:r>
      <w:r>
        <w:t xml:space="preserve">”</w:t>
      </w:r>
      <w:r>
        <w:t xml:space="preserve">,</w:t>
      </w:r>
      <w:r>
        <w:t xml:space="preserve"> </w:t>
      </w:r>
      <w:r>
        <w:rPr>
          <w:iCs/>
          <w:i/>
        </w:rPr>
        <w:t xml:space="preserve">guṇa</w:t>
      </w:r>
      <w:r>
        <w:t xml:space="preserve">; nominative singular</w:t>
      </w:r>
      <w:r>
        <w:t xml:space="preserve"> </w:t>
      </w:r>
      <w:r>
        <w:rPr>
          <w:iCs/>
          <w:i/>
        </w:rPr>
        <w:t xml:space="preserve">hotā</w:t>
      </w:r>
      <w:r>
        <w:t xml:space="preserve">; initial-udātta by the</w:t>
      </w:r>
      <w:r>
        <w:t xml:space="preserve"> </w:t>
      </w:r>
      <w:r>
        <w:rPr>
          <w:iCs/>
          <w:i/>
        </w:rPr>
        <w:t xml:space="preserve">nit</w:t>
      </w:r>
      <w:r>
        <w:t xml:space="preserve"> </w:t>
      </w:r>
      <w:r>
        <w:t xml:space="preserve">accent.</w:t>
      </w:r>
      <w:r>
        <w:t xml:space="preserve"> </w:t>
      </w:r>
      <w:r>
        <w:rPr>
          <w:bCs/>
          <w:b/>
        </w:rPr>
        <w:t xml:space="preserve">ईड्यः (</w:t>
      </w:r>
      <w:r>
        <w:rPr>
          <w:iCs/>
          <w:i/>
          <w:bCs/>
          <w:b/>
        </w:rPr>
        <w:t xml:space="preserve">īḍyaḥ</w:t>
      </w:r>
      <w:r>
        <w:rPr>
          <w:bCs/>
          <w:b/>
        </w:rPr>
        <w:t xml:space="preserve">)</w:t>
      </w:r>
      <w:r>
        <w:t xml:space="preserve"> </w:t>
      </w:r>
      <w:r>
        <w:t xml:space="preserve">— root</w:t>
      </w:r>
      <w:r>
        <w:t xml:space="preserve"> </w:t>
      </w:r>
      <w:r>
        <w:rPr>
          <w:iCs/>
          <w:i/>
        </w:rPr>
        <w:t xml:space="preserve">īḍa stutau</w:t>
      </w:r>
      <w:r>
        <w:t xml:space="preserve">;</w:t>
      </w:r>
      <w:r>
        <w:t xml:space="preserve"> </w:t>
      </w:r>
      <w:r>
        <w:t xml:space="preserve">“</w:t>
      </w:r>
      <w:r>
        <w:t xml:space="preserve">ṛhalor ṇyat</w:t>
      </w:r>
      <w:r>
        <w:t xml:space="preserve">”</w:t>
      </w:r>
      <w:r>
        <w:t xml:space="preserve"> </w:t>
      </w:r>
      <w:r>
        <w:t xml:space="preserve">(Pā. 3-1-124): after roots ending in</w:t>
      </w:r>
      <w:r>
        <w:t xml:space="preserve"> </w:t>
      </w:r>
      <w:r>
        <w:rPr>
          <w:iCs/>
          <w:i/>
        </w:rPr>
        <w:t xml:space="preserve">ṛ</w:t>
      </w:r>
      <w:r>
        <w:t xml:space="preserve"> </w:t>
      </w:r>
      <w:r>
        <w:t xml:space="preserve">or a consonant,</w:t>
      </w:r>
      <w:r>
        <w:t xml:space="preserve"> </w:t>
      </w:r>
      <w:r>
        <w:rPr>
          <w:iCs/>
          <w:i/>
        </w:rPr>
        <w:t xml:space="preserve">ṇyat</w:t>
      </w:r>
      <w:r>
        <w:t xml:space="preserve">; the svarita that</w:t>
      </w:r>
      <w:r>
        <w:t xml:space="preserve"> </w:t>
      </w:r>
      <w:r>
        <w:t xml:space="preserve">“</w:t>
      </w:r>
      <w:r>
        <w:t xml:space="preserve">tit svaritam</w:t>
      </w:r>
      <w:r>
        <w:t xml:space="preserve">”</w:t>
      </w:r>
      <w:r>
        <w:t xml:space="preserve"> </w:t>
      </w:r>
      <w:r>
        <w:t xml:space="preserve">(Pā. 6-1-185) would give is set aside by</w:t>
      </w:r>
      <w:r>
        <w:t xml:space="preserve"> </w:t>
      </w:r>
      <w:r>
        <w:t xml:space="preserve">“</w:t>
      </w:r>
      <w:r>
        <w:t xml:space="preserve">īḍa-vanda-vṛ-śaṃsa-duhāṃ ṇyataḥ</w:t>
      </w:r>
      <w:r>
        <w:t xml:space="preserve">”</w:t>
      </w:r>
      <w:r>
        <w:t xml:space="preserve"> </w:t>
      </w:r>
      <w:r>
        <w:t xml:space="preserve">(Pā. 6-1-214), which gives initial-udātta.</w:t>
      </w:r>
    </w:p>
    <w:p>
      <w:pPr>
        <w:pStyle w:val="BodyText"/>
      </w:pPr>
      <w:r>
        <w:rPr>
          <w:bCs/>
          <w:b/>
        </w:rPr>
        <w:t xml:space="preserve">॥३॥</w:t>
      </w:r>
    </w:p>
    <w:bookmarkEnd w:id="512"/>
    <w:bookmarkStart w:id="513" w:name="page-495-sūkta-12-rik-4"/>
    <w:p>
      <w:pPr>
        <w:pStyle w:val="Heading3"/>
      </w:pPr>
      <w:r>
        <w:t xml:space="preserve">Page 495 — Sūkta 12, Rik 4</w:t>
      </w:r>
    </w:p>
    <w:p>
      <w:pPr>
        <w:pStyle w:val="FirstParagraph"/>
      </w:pPr>
      <w:r>
        <w:rPr>
          <w:iCs/>
          <w:i/>
        </w:rPr>
        <w:t xml:space="preserve">(Saṃhitā accents as printed; Pada unaccented. No svarita is printed on the final syllables of</w:t>
      </w:r>
      <w:r>
        <w:t xml:space="preserve"> </w:t>
      </w:r>
      <w:r>
        <w:t xml:space="preserve">दूत्यम्</w:t>
      </w:r>
      <w:r>
        <w:t xml:space="preserve"> </w:t>
      </w:r>
      <w:r>
        <w:rPr>
          <w:iCs/>
          <w:i/>
        </w:rPr>
        <w:t xml:space="preserve">and</w:t>
      </w:r>
      <w:r>
        <w:t xml:space="preserve"> </w:t>
      </w:r>
      <w:r>
        <w:t xml:space="preserve">बर्हिषि</w:t>
      </w:r>
      <w:r>
        <w:rPr>
          <w:iCs/>
          <w:i/>
        </w:rPr>
        <w:t xml:space="preserve">.)</w:t>
      </w:r>
    </w:p>
    <w:p>
      <w:pPr>
        <w:pStyle w:val="BodyText"/>
      </w:pPr>
      <w:r>
        <w:rPr>
          <w:bCs/>
          <w:b/>
        </w:rPr>
        <w:t xml:space="preserve">॥ Saṃhitā-pāṭhaḥ ॥</w:t>
      </w:r>
    </w:p>
    <w:p>
      <w:pPr>
        <w:pStyle w:val="BlockText"/>
      </w:pPr>
      <w:r>
        <w:t xml:space="preserve">ताँ उ॑श॒तो वि बो॑धय॒ यद॑ग्ने॒ यासि॑ दू॒त्यम् ।</w:t>
      </w:r>
      <w:r>
        <w:t xml:space="preserve"> </w:t>
      </w:r>
      <w:r>
        <w:t xml:space="preserve">दे॒वैरा स॑त्सि ब॒र्हिषि ॥४॥</w:t>
      </w:r>
    </w:p>
    <w:p>
      <w:pPr>
        <w:pStyle w:val="BlockText"/>
      </w:pPr>
      <w:r>
        <w:rPr>
          <w:iCs/>
          <w:i/>
        </w:rPr>
        <w:t xml:space="preserve">tā́m̐ uśató ví bodhaya yád agne yā́si dūtyám |</w:t>
      </w:r>
      <w:r>
        <w:t xml:space="preserve"> </w:t>
      </w:r>
      <w:r>
        <w:rPr>
          <w:iCs/>
          <w:i/>
        </w:rPr>
        <w:t xml:space="preserve">deváir ā́ satsi barhíṣi ||4||</w:t>
      </w:r>
    </w:p>
    <w:p>
      <w:pPr>
        <w:pStyle w:val="FirstParagraph"/>
      </w:pPr>
      <w:r>
        <w:rPr>
          <w:bCs/>
          <w:b/>
        </w:rPr>
        <w:t xml:space="preserve">॥ Pada-pāṭhaḥ ॥</w:t>
      </w:r>
    </w:p>
    <w:p>
      <w:pPr>
        <w:pStyle w:val="BlockText"/>
      </w:pPr>
      <w:r>
        <w:t xml:space="preserve">तान् । उशतः । वि । बोधय । यत् । अग्ने । यासि । दूत्यम् ॥</w:t>
      </w:r>
      <w:r>
        <w:t xml:space="preserve"> </w:t>
      </w:r>
      <w:r>
        <w:t xml:space="preserve">देवैः । आ । सत्सि । बर्हिषि ॥४॥</w:t>
      </w:r>
    </w:p>
    <w:p>
      <w:pPr>
        <w:pStyle w:val="BlockText"/>
      </w:pPr>
      <w:r>
        <w:rPr>
          <w:iCs/>
          <w:i/>
        </w:rPr>
        <w:t xml:space="preserve">tān | uśataḥ | vi | bodhaya | yat | agne | yāsi | dūtyam ||</w:t>
      </w:r>
      <w:r>
        <w:t xml:space="preserve"> </w:t>
      </w:r>
      <w:r>
        <w:rPr>
          <w:iCs/>
          <w:i/>
        </w:rPr>
        <w:t xml:space="preserve">devaiḥ | ā | satsi | barhiṣi ||4||</w:t>
      </w:r>
    </w:p>
    <w:p>
      <w:pPr>
        <w:pStyle w:val="FirstParagraph"/>
      </w:pPr>
      <w:r>
        <w:rPr>
          <w:bCs/>
          <w:b/>
        </w:rPr>
        <w:t xml:space="preserve">॥ Sāyaṇa-bhāṣyam ॥</w:t>
      </w:r>
    </w:p>
    <w:p>
      <w:pPr>
        <w:pStyle w:val="BlockText"/>
      </w:pPr>
      <w:r>
        <w:t xml:space="preserve">हे अग्ने यद्यस्मात्कारणाद्दूत्यं यासि देवानां दूतकर्म प्राप्नोषि तस्मात्कारणादुशतो हविः कामयमानांस्तान्देवान् हविःस्वीकारार्थं वि बोधय । विबोध्य च बर्हिष्यस्मिन्कर्मणि तैर्देवैः सह आ सत्सि । आसीद । आगत्योपविश ॥ तान् । दीर्घादटि समानपाद इति संहितायां रुत्वम् । आतो ऽटि नित्यमित्यनुनासिकभावः । उशतः । वश कान्तौ । लटः शतृ । अदिप्रभृतिभ्यः शप इति शपो लुक् । ग्रहिज्येत्यादिना संप्रसारणम् । शतुरनुमो नद्यजादी इति विभक्तेरुदात्तत्वम् । यासि । यद्वृत्तान्नित्यमिति निघातप्रतिषेधः । दूत्यम् । दूतस्य भागः कर्म वा दूत्यम् । दूतस्य भागकर्मणी । पा. ४-४-१२० । इति यत् । तस्य तित्स्वरितापवादत्वेन यतो ऽनाव इति प्राप्तमाद्युदात्तत्वं सर्वे विधयश्छन्दसि विकल्प्यन्त इति निवर्तते । अतस्तित्स्वरितमित्येव भवति । शेषनिघातः । सत्सि । सीदसि । षद्लृ विशरणगत्यवसादनेषु । लटः सिपि शपो बहुलं छन्दसीति लुक् । न लुमताङ्गस्येति प्रत्ययलक्षणप्रतिषेधात् पाघ्रेत्यादिना । पा. ७-३-७८ । सीदादेशो न भवति । बर्हिषि । बृह बृहि वृद्धौ । बृंहेर्नलोपश्च । उ. २-११० । इतीसिप्रत्ययः । प्रत्ययस्वरेणेकार उदात्तः ॥</w:t>
      </w:r>
    </w:p>
    <w:p>
      <w:pPr>
        <w:pStyle w:val="BlockText"/>
      </w:pPr>
      <w:r>
        <w:rPr>
          <w:iCs/>
          <w:i/>
        </w:rPr>
        <w:t xml:space="preserve">he agne yadyasmātkāraṇāddūtyaṃ yāsi devānāṃ dūtakarma prāpnoṣi tasmātkāraṇāduśato haviḥ kāmayamānāṃstāndevān haviḥsvīkārārthaṃ vi bodhaya | vibodhya ca barhiṣyasminkarmaṇi tairdevaiḥ saha ā satsi | āsīda | āgatyopaviśa || tān | dīrghādaṭi samānapāda iti saṃhitāyāṃ rutvam | āto ’ṭi nityamityanunāsikabhāvaḥ | uśataḥ | vaśa kāntau | laṭaḥ śatṛ | adiprabhṛtibhyaḥ śapa iti śapo luk | grahijyetyādinā saṃprasāraṇam | śaturanumo nadyajādī iti vibhakterudāttatvam | yāsi | yadvṛttānnityamiti nighātapratiṣedhaḥ | dūtyam | dūtasya bhāgaḥ karma vā dūtyam | dūtasya bhāgakarmaṇī | pā. 4-4-120 | iti yat | tasya titsvaritāpavādatvena yato ’nāva iti prāptamādyudāttatvaṃ sarve vidhayaśchandasi vikalpyanta iti nivartate | atastitsvaritamityeva bhavati | śeṣanighātaḥ | satsi | sīdasi | ṣadlṛ viśaraṇagatyavasādaneṣu | laṭaḥ sipi śapo bahulaṃ chandasīti luk | na lumatāṅgasyeti pratyayalakṣaṇapratiṣedhāt pāghretyādinā | pā. 7-3-78 | sīdādeśo na bhavati | barhiṣi | bṛha bṛhi vṛddhau | bṛṃhernalopaśca | u. 2-110 | itīsipratyayaḥ | pratyayasvareṇekāra udāttaḥ ||</w:t>
      </w:r>
    </w:p>
    <w:p>
      <w:pPr>
        <w:pStyle w:val="FirstParagraph"/>
      </w:pPr>
      <w:r>
        <w:rPr>
          <w:bCs/>
          <w:b/>
        </w:rPr>
        <w:t xml:space="preserve">Translation:</w:t>
      </w:r>
      <w:r>
        <w:t xml:space="preserve"> </w:t>
      </w:r>
      <w:r>
        <w:t xml:space="preserve">“</w:t>
      </w:r>
      <w:r>
        <w:t xml:space="preserve">O Agni! Because you</w:t>
      </w:r>
      <w:r>
        <w:t xml:space="preserve"> </w:t>
      </w:r>
      <w:r>
        <w:rPr>
          <w:iCs/>
          <w:i/>
        </w:rPr>
        <w:t xml:space="preserve">yāsi dūtyam</w:t>
      </w:r>
      <w:r>
        <w:t xml:space="preserve"> </w:t>
      </w:r>
      <w:r>
        <w:t xml:space="preserve">— attain the work of messenger of the gods — therefore</w:t>
      </w:r>
      <w:r>
        <w:t xml:space="preserve"> </w:t>
      </w:r>
      <w:r>
        <w:rPr>
          <w:iCs/>
          <w:i/>
        </w:rPr>
        <w:t xml:space="preserve">uśataḥ</w:t>
      </w:r>
      <w:r>
        <w:t xml:space="preserve"> </w:t>
      </w:r>
      <w:r>
        <w:t xml:space="preserve">— those gods who desire the oblation —</w:t>
      </w:r>
      <w:r>
        <w:t xml:space="preserve"> </w:t>
      </w:r>
      <w:r>
        <w:rPr>
          <w:iCs/>
          <w:i/>
        </w:rPr>
        <w:t xml:space="preserve">vi bodhaya</w:t>
      </w:r>
      <w:r>
        <w:t xml:space="preserve">: awaken them, so as to make them accept the oblation; and having awakened them,</w:t>
      </w:r>
      <w:r>
        <w:t xml:space="preserve"> </w:t>
      </w:r>
      <w:r>
        <w:rPr>
          <w:iCs/>
          <w:i/>
        </w:rPr>
        <w:t xml:space="preserve">ā satsi</w:t>
      </w:r>
      <w:r>
        <w:t xml:space="preserve"> </w:t>
      </w:r>
      <w:r>
        <w:t xml:space="preserve">— sit down — with those gods on the</w:t>
      </w:r>
      <w:r>
        <w:t xml:space="preserve"> </w:t>
      </w:r>
      <w:r>
        <w:rPr>
          <w:iCs/>
          <w:i/>
        </w:rPr>
        <w:t xml:space="preserve">barhis</w:t>
      </w:r>
      <w:r>
        <w:t xml:space="preserve"> </w:t>
      </w:r>
      <w:r>
        <w:t xml:space="preserve">in this rite; come and be seated.</w:t>
      </w:r>
      <w:r>
        <w:t xml:space="preserve">”</w:t>
      </w:r>
      <w:r>
        <w:t xml:space="preserve"> </w:t>
      </w:r>
      <w:r>
        <w:t xml:space="preserve">(Grammatical tail:</w:t>
      </w:r>
      <w:r>
        <w:t xml:space="preserve"> </w:t>
      </w:r>
      <w:r>
        <w:rPr>
          <w:iCs/>
          <w:i/>
        </w:rPr>
        <w:t xml:space="preserve">tān</w:t>
      </w:r>
      <w:r>
        <w:t xml:space="preserve"> </w:t>
      </w:r>
      <w:r>
        <w:t xml:space="preserve">—</w:t>
      </w:r>
      <w:r>
        <w:t xml:space="preserve"> </w:t>
      </w:r>
      <w:r>
        <w:rPr>
          <w:iCs/>
          <w:i/>
        </w:rPr>
        <w:t xml:space="preserve">ru</w:t>
      </w:r>
      <w:r>
        <w:t xml:space="preserve"> </w:t>
      </w:r>
      <w:r>
        <w:t xml:space="preserve">in the Saṃhitā by</w:t>
      </w:r>
      <w:r>
        <w:t xml:space="preserve"> </w:t>
      </w:r>
      <w:r>
        <w:t xml:space="preserve">“</w:t>
      </w:r>
      <w:r>
        <w:t xml:space="preserve">dīrghād aṭi samānapāde</w:t>
      </w:r>
      <w:r>
        <w:t xml:space="preserve">”</w:t>
      </w:r>
      <w:r>
        <w:t xml:space="preserve">, nasalization by</w:t>
      </w:r>
      <w:r>
        <w:t xml:space="preserve"> </w:t>
      </w:r>
      <w:r>
        <w:t xml:space="preserve">“</w:t>
      </w:r>
      <w:r>
        <w:t xml:space="preserve">āto ’ṭi nityam</w:t>
      </w:r>
      <w:r>
        <w:t xml:space="preserve">”</w:t>
      </w:r>
      <w:r>
        <w:t xml:space="preserve">;</w:t>
      </w:r>
      <w:r>
        <w:t xml:space="preserve"> </w:t>
      </w:r>
      <w:r>
        <w:rPr>
          <w:iCs/>
          <w:i/>
        </w:rPr>
        <w:t xml:space="preserve">uśataḥ</w:t>
      </w:r>
      <w:r>
        <w:t xml:space="preserve"> </w:t>
      </w:r>
      <w:r>
        <w:t xml:space="preserve">—</w:t>
      </w:r>
      <w:r>
        <w:t xml:space="preserve"> </w:t>
      </w:r>
      <w:r>
        <w:rPr>
          <w:iCs/>
          <w:i/>
        </w:rPr>
        <w:t xml:space="preserve">vaśa kāntau</w:t>
      </w:r>
      <w:r>
        <w:t xml:space="preserve">,</w:t>
      </w:r>
      <w:r>
        <w:t xml:space="preserve"> </w:t>
      </w:r>
      <w:r>
        <w:rPr>
          <w:iCs/>
          <w:i/>
        </w:rPr>
        <w:t xml:space="preserve">śatṛ</w:t>
      </w:r>
      <w:r>
        <w:t xml:space="preserve">,</w:t>
      </w:r>
      <w:r>
        <w:t xml:space="preserve"> </w:t>
      </w:r>
      <w:r>
        <w:rPr>
          <w:iCs/>
          <w:i/>
        </w:rPr>
        <w:t xml:space="preserve">śap</w:t>
      </w:r>
      <w:r>
        <w:t xml:space="preserve"> </w:t>
      </w:r>
      <w:r>
        <w:t xml:space="preserve">dropped,</w:t>
      </w:r>
      <w:r>
        <w:t xml:space="preserve"> </w:t>
      </w:r>
      <w:r>
        <w:rPr>
          <w:iCs/>
          <w:i/>
        </w:rPr>
        <w:t xml:space="preserve">samprasāraṇa</w:t>
      </w:r>
      <w:r>
        <w:t xml:space="preserve"> </w:t>
      </w:r>
      <w:r>
        <w:t xml:space="preserve">by</w:t>
      </w:r>
      <w:r>
        <w:t xml:space="preserve"> </w:t>
      </w:r>
      <w:r>
        <w:t xml:space="preserve">“</w:t>
      </w:r>
      <w:r>
        <w:t xml:space="preserve">grahi-jyā…</w:t>
      </w:r>
      <w:r>
        <w:t xml:space="preserve">”</w:t>
      </w:r>
      <w:r>
        <w:t xml:space="preserve">, the case ending udātta by</w:t>
      </w:r>
      <w:r>
        <w:t xml:space="preserve"> </w:t>
      </w:r>
      <w:r>
        <w:t xml:space="preserve">“</w:t>
      </w:r>
      <w:r>
        <w:t xml:space="preserve">śatur anumo nady-ajādī</w:t>
      </w:r>
      <w:r>
        <w:t xml:space="preserve">”</w:t>
      </w:r>
      <w:r>
        <w:t xml:space="preserve">;</w:t>
      </w:r>
      <w:r>
        <w:t xml:space="preserve"> </w:t>
      </w:r>
      <w:r>
        <w:rPr>
          <w:iCs/>
          <w:i/>
        </w:rPr>
        <w:t xml:space="preserve">yāsi</w:t>
      </w:r>
      <w:r>
        <w:t xml:space="preserve"> </w:t>
      </w:r>
      <w:r>
        <w:t xml:space="preserve">— not unaccented, by</w:t>
      </w:r>
      <w:r>
        <w:t xml:space="preserve"> </w:t>
      </w:r>
      <w:r>
        <w:t xml:space="preserve">“</w:t>
      </w:r>
      <w:r>
        <w:t xml:space="preserve">yad-vṛttān nityam</w:t>
      </w:r>
      <w:r>
        <w:t xml:space="preserve">”</w:t>
      </w:r>
      <w:r>
        <w:t xml:space="preserve">;</w:t>
      </w:r>
      <w:r>
        <w:t xml:space="preserve"> </w:t>
      </w:r>
      <w:r>
        <w:rPr>
          <w:iCs/>
          <w:i/>
        </w:rPr>
        <w:t xml:space="preserve">dūtyam</w:t>
      </w:r>
      <w:r>
        <w:t xml:space="preserve"> </w:t>
      </w:r>
      <w:r>
        <w:t xml:space="preserve">—</w:t>
      </w:r>
      <w:r>
        <w:t xml:space="preserve"> </w:t>
      </w:r>
      <w:r>
        <w:t xml:space="preserve">“</w:t>
      </w:r>
      <w:r>
        <w:t xml:space="preserve">the share or the work of a messenger</w:t>
      </w:r>
      <w:r>
        <w:t xml:space="preserve">”</w:t>
      </w:r>
      <w:r>
        <w:t xml:space="preserve">,</w:t>
      </w:r>
      <w:r>
        <w:t xml:space="preserve"> </w:t>
      </w:r>
      <w:r>
        <w:rPr>
          <w:iCs/>
          <w:i/>
        </w:rPr>
        <w:t xml:space="preserve">yat</w:t>
      </w:r>
      <w:r>
        <w:t xml:space="preserve"> </w:t>
      </w:r>
      <w:r>
        <w:t xml:space="preserve">by</w:t>
      </w:r>
      <w:r>
        <w:t xml:space="preserve"> </w:t>
      </w:r>
      <w:r>
        <w:t xml:space="preserve">“</w:t>
      </w:r>
      <w:r>
        <w:t xml:space="preserve">dūtasya bhāga-karmaṇī</w:t>
      </w:r>
      <w:r>
        <w:t xml:space="preserve">”</w:t>
      </w:r>
      <w:r>
        <w:t xml:space="preserve"> </w:t>
      </w:r>
      <w:r>
        <w:t xml:space="preserve">(Pā. 4-4-120); the initial accent of</w:t>
      </w:r>
      <w:r>
        <w:t xml:space="preserve"> </w:t>
      </w:r>
      <w:r>
        <w:t xml:space="preserve">“</w:t>
      </w:r>
      <w:r>
        <w:t xml:space="preserve">yato ’nāvaḥ</w:t>
      </w:r>
      <w:r>
        <w:t xml:space="preserve">”</w:t>
      </w:r>
      <w:r>
        <w:t xml:space="preserve">, which would set aside the</w:t>
      </w:r>
      <w:r>
        <w:t xml:space="preserve"> </w:t>
      </w:r>
      <w:r>
        <w:rPr>
          <w:iCs/>
          <w:i/>
        </w:rPr>
        <w:t xml:space="preserve">tit</w:t>
      </w:r>
      <w:r>
        <w:t xml:space="preserve"> </w:t>
      </w:r>
      <w:r>
        <w:t xml:space="preserve">svarita, is withdrawn by</w:t>
      </w:r>
      <w:r>
        <w:t xml:space="preserve"> </w:t>
      </w:r>
      <w:r>
        <w:t xml:space="preserve">“</w:t>
      </w:r>
      <w:r>
        <w:t xml:space="preserve">sarve vidhayaś chandasi vikalpyante</w:t>
      </w:r>
      <w:r>
        <w:t xml:space="preserve">”</w:t>
      </w:r>
      <w:r>
        <w:t xml:space="preserve">, so</w:t>
      </w:r>
      <w:r>
        <w:t xml:space="preserve"> </w:t>
      </w:r>
      <w:r>
        <w:t xml:space="preserve">“</w:t>
      </w:r>
      <w:r>
        <w:t xml:space="preserve">tit svaritam</w:t>
      </w:r>
      <w:r>
        <w:t xml:space="preserve">”</w:t>
      </w:r>
      <w:r>
        <w:t xml:space="preserve"> </w:t>
      </w:r>
      <w:r>
        <w:t xml:space="preserve">holds, the rest unaccented;</w:t>
      </w:r>
      <w:r>
        <w:t xml:space="preserve"> </w:t>
      </w:r>
      <w:r>
        <w:rPr>
          <w:iCs/>
          <w:i/>
        </w:rPr>
        <w:t xml:space="preserve">satsi</w:t>
      </w:r>
      <w:r>
        <w:t xml:space="preserve"> </w:t>
      </w:r>
      <w:r>
        <w:t xml:space="preserve">— =</w:t>
      </w:r>
      <w:r>
        <w:t xml:space="preserve"> </w:t>
      </w:r>
      <w:r>
        <w:rPr>
          <w:iCs/>
          <w:i/>
        </w:rPr>
        <w:t xml:space="preserve">sīdasi</w:t>
      </w:r>
      <w:r>
        <w:t xml:space="preserve">:</w:t>
      </w:r>
      <w:r>
        <w:t xml:space="preserve"> </w:t>
      </w:r>
      <w:r>
        <w:rPr>
          <w:iCs/>
          <w:i/>
        </w:rPr>
        <w:t xml:space="preserve">ṣadḷ</w:t>
      </w:r>
      <w:r>
        <w:t xml:space="preserve">, the</w:t>
      </w:r>
      <w:r>
        <w:t xml:space="preserve"> </w:t>
      </w:r>
      <w:r>
        <w:rPr>
          <w:iCs/>
          <w:i/>
        </w:rPr>
        <w:t xml:space="preserve">śap</w:t>
      </w:r>
      <w:r>
        <w:t xml:space="preserve"> </w:t>
      </w:r>
      <w:r>
        <w:t xml:space="preserve">after</w:t>
      </w:r>
      <w:r>
        <w:t xml:space="preserve"> </w:t>
      </w:r>
      <w:r>
        <w:rPr>
          <w:iCs/>
          <w:i/>
        </w:rPr>
        <w:t xml:space="preserve">sip</w:t>
      </w:r>
      <w:r>
        <w:t xml:space="preserve"> </w:t>
      </w:r>
      <w:r>
        <w:t xml:space="preserve">dropped by</w:t>
      </w:r>
      <w:r>
        <w:t xml:space="preserve"> </w:t>
      </w:r>
      <w:r>
        <w:t xml:space="preserve">“</w:t>
      </w:r>
      <w:r>
        <w:t xml:space="preserve">bahulaṃ chandasi</w:t>
      </w:r>
      <w:r>
        <w:t xml:space="preserve">”</w:t>
      </w:r>
      <w:r>
        <w:t xml:space="preserve">, and since</w:t>
      </w:r>
      <w:r>
        <w:t xml:space="preserve"> </w:t>
      </w:r>
      <w:r>
        <w:t xml:space="preserve">“</w:t>
      </w:r>
      <w:r>
        <w:t xml:space="preserve">na lumatāṅgasya</w:t>
      </w:r>
      <w:r>
        <w:t xml:space="preserve">”</w:t>
      </w:r>
      <w:r>
        <w:t xml:space="preserve"> </w:t>
      </w:r>
      <w:r>
        <w:t xml:space="preserve">bars</w:t>
      </w:r>
      <w:r>
        <w:t xml:space="preserve"> </w:t>
      </w:r>
      <w:r>
        <w:rPr>
          <w:iCs/>
          <w:i/>
        </w:rPr>
        <w:t xml:space="preserve">pratyaya-lakṣaṇa</w:t>
      </w:r>
      <w:r>
        <w:t xml:space="preserve">, the</w:t>
      </w:r>
      <w:r>
        <w:t xml:space="preserve"> </w:t>
      </w:r>
      <w:r>
        <w:rPr>
          <w:iCs/>
          <w:i/>
        </w:rPr>
        <w:t xml:space="preserve">sīd</w:t>
      </w:r>
      <w:r>
        <w:t xml:space="preserve"> </w:t>
      </w:r>
      <w:r>
        <w:t xml:space="preserve">of</w:t>
      </w:r>
      <w:r>
        <w:t xml:space="preserve"> </w:t>
      </w:r>
      <w:r>
        <w:t xml:space="preserve">“</w:t>
      </w:r>
      <w:r>
        <w:t xml:space="preserve">pā-ghrā…</w:t>
      </w:r>
      <w:r>
        <w:t xml:space="preserve">”</w:t>
      </w:r>
      <w:r>
        <w:t xml:space="preserve"> </w:t>
      </w:r>
      <w:r>
        <w:t xml:space="preserve">(Pā. 7-3-78) does not come;</w:t>
      </w:r>
      <w:r>
        <w:t xml:space="preserve"> </w:t>
      </w:r>
      <w:r>
        <w:rPr>
          <w:iCs/>
          <w:i/>
        </w:rPr>
        <w:t xml:space="preserve">barhiṣi</w:t>
      </w:r>
      <w:r>
        <w:t xml:space="preserve"> </w:t>
      </w:r>
      <w:r>
        <w:t xml:space="preserve">—</w:t>
      </w:r>
      <w:r>
        <w:t xml:space="preserve"> </w:t>
      </w:r>
      <w:r>
        <w:rPr>
          <w:iCs/>
          <w:i/>
        </w:rPr>
        <w:t xml:space="preserve">bṛha bṛhi vṛddhau</w:t>
      </w:r>
      <w:r>
        <w:t xml:space="preserve">,</w:t>
      </w:r>
      <w:r>
        <w:t xml:space="preserve"> </w:t>
      </w:r>
      <w:r>
        <w:rPr>
          <w:iCs/>
          <w:i/>
        </w:rPr>
        <w:t xml:space="preserve">isi</w:t>
      </w:r>
      <w:r>
        <w:t xml:space="preserve"> </w:t>
      </w:r>
      <w:r>
        <w:t xml:space="preserve">by</w:t>
      </w:r>
      <w:r>
        <w:t xml:space="preserve"> </w:t>
      </w:r>
      <w:r>
        <w:t xml:space="preserve">“</w:t>
      </w:r>
      <w:r>
        <w:t xml:space="preserve">bṛṃher nalopaś ca</w:t>
      </w:r>
      <w:r>
        <w:t xml:space="preserve">”</w:t>
      </w:r>
      <w:r>
        <w:t xml:space="preserve"> </w:t>
      </w:r>
      <w:r>
        <w:t xml:space="preserve">(Uṇ. 2-110), the</w:t>
      </w:r>
      <w:r>
        <w:t xml:space="preserve"> </w:t>
      </w:r>
      <w:r>
        <w:rPr>
          <w:iCs/>
          <w:i/>
        </w:rPr>
        <w:t xml:space="preserve">i</w:t>
      </w:r>
      <w:r>
        <w:t xml:space="preserve"> </w:t>
      </w:r>
      <w:r>
        <w:t xml:space="preserve">udātta by the suffix accent.)</w:t>
      </w:r>
    </w:p>
    <w:bookmarkEnd w:id="513"/>
    <w:bookmarkStart w:id="514" w:name="page-495-lower-rik-4-word-meanings"/>
    <w:p>
      <w:pPr>
        <w:pStyle w:val="Heading3"/>
      </w:pPr>
      <w:r>
        <w:t xml:space="preserve">Page 495 (lower) — Rik 4: word-meanings</w:t>
      </w:r>
    </w:p>
    <w:p>
      <w:pPr>
        <w:pStyle w:val="FirstParagraph"/>
      </w:pPr>
      <w:r>
        <w:rPr>
          <w:bCs/>
          <w:b/>
        </w:rPr>
        <w:t xml:space="preserve">॥ Prati-padārthaḥ ॥</w:t>
      </w:r>
    </w:p>
    <w:p>
      <w:pPr>
        <w:pStyle w:val="BodyText"/>
      </w:pPr>
      <w:r>
        <w:rPr>
          <w:bCs/>
          <w:b/>
        </w:rPr>
        <w:t xml:space="preserve">(हे) अग्ने ((he) agne)</w:t>
      </w:r>
      <w:r>
        <w:t xml:space="preserve"> </w:t>
      </w:r>
      <w:r>
        <w:t xml:space="preserve">— O Agni |</w:t>
      </w:r>
      <w:r>
        <w:t xml:space="preserve"> </w:t>
      </w:r>
      <w:r>
        <w:rPr>
          <w:bCs/>
          <w:b/>
        </w:rPr>
        <w:t xml:space="preserve">यत् (yat)</w:t>
      </w:r>
      <w:r>
        <w:t xml:space="preserve"> </w:t>
      </w:r>
      <w:r>
        <w:t xml:space="preserve">— for which reason |</w:t>
      </w:r>
      <w:r>
        <w:t xml:space="preserve"> </w:t>
      </w:r>
      <w:r>
        <w:rPr>
          <w:bCs/>
          <w:b/>
        </w:rPr>
        <w:t xml:space="preserve">दूत्यम् (dūtyam)</w:t>
      </w:r>
      <w:r>
        <w:t xml:space="preserve"> </w:t>
      </w:r>
      <w:r>
        <w:t xml:space="preserve">— the state of being a messenger of the gods |</w:t>
      </w:r>
      <w:r>
        <w:t xml:space="preserve"> </w:t>
      </w:r>
      <w:r>
        <w:rPr>
          <w:bCs/>
          <w:b/>
        </w:rPr>
        <w:t xml:space="preserve">यासि (yāsi)</w:t>
      </w:r>
      <w:r>
        <w:t xml:space="preserve"> </w:t>
      </w:r>
      <w:r>
        <w:t xml:space="preserve">— you have attained |</w:t>
      </w:r>
      <w:r>
        <w:t xml:space="preserve"> </w:t>
      </w:r>
      <w:r>
        <w:rPr>
          <w:iCs/>
          <w:i/>
        </w:rPr>
        <w:t xml:space="preserve">(for that reason)</w:t>
      </w:r>
      <w:r>
        <w:t xml:space="preserve"> </w:t>
      </w:r>
      <w:r>
        <w:rPr>
          <w:bCs/>
          <w:b/>
        </w:rPr>
        <w:t xml:space="preserve">उशतः (uśataḥ)</w:t>
      </w:r>
      <w:r>
        <w:t xml:space="preserve"> </w:t>
      </w:r>
      <w:r>
        <w:t xml:space="preserve">— [the gods] who desire the oblation |</w:t>
      </w:r>
      <w:r>
        <w:t xml:space="preserve"> </w:t>
      </w:r>
      <w:r>
        <w:rPr>
          <w:bCs/>
          <w:b/>
        </w:rPr>
        <w:t xml:space="preserve">तान् (tān)</w:t>
      </w:r>
      <w:r>
        <w:t xml:space="preserve"> </w:t>
      </w:r>
      <w:r>
        <w:t xml:space="preserve">— those gods |</w:t>
      </w:r>
      <w:r>
        <w:t xml:space="preserve"> </w:t>
      </w:r>
      <w:r>
        <w:rPr>
          <w:bCs/>
          <w:b/>
        </w:rPr>
        <w:t xml:space="preserve">वि बोधय (vi bodhaya)</w:t>
      </w:r>
      <w:r>
        <w:t xml:space="preserve"> </w:t>
      </w:r>
      <w:r>
        <w:t xml:space="preserve">— awaken (urge) |</w:t>
      </w:r>
      <w:r>
        <w:t xml:space="preserve"> </w:t>
      </w:r>
      <w:r>
        <w:rPr>
          <w:iCs/>
          <w:i/>
        </w:rPr>
        <w:t xml:space="preserve">(then)</w:t>
      </w:r>
      <w:r>
        <w:t xml:space="preserve"> </w:t>
      </w:r>
      <w:r>
        <w:rPr>
          <w:bCs/>
          <w:b/>
        </w:rPr>
        <w:t xml:space="preserve">देवैः (devaiḥ)</w:t>
      </w:r>
      <w:r>
        <w:t xml:space="preserve"> </w:t>
      </w:r>
      <w:r>
        <w:t xml:space="preserve">— together with the gods |</w:t>
      </w:r>
      <w:r>
        <w:t xml:space="preserve"> </w:t>
      </w:r>
      <w:r>
        <w:rPr>
          <w:bCs/>
          <w:b/>
        </w:rPr>
        <w:t xml:space="preserve">बर्हिषि (barhiṣi)</w:t>
      </w:r>
      <w:r>
        <w:t xml:space="preserve"> </w:t>
      </w:r>
      <w:r>
        <w:t xml:space="preserve">— on the</w:t>
      </w:r>
      <w:r>
        <w:t xml:space="preserve"> </w:t>
      </w:r>
      <w:r>
        <w:rPr>
          <w:iCs/>
          <w:i/>
        </w:rPr>
        <w:t xml:space="preserve">darbha</w:t>
      </w:r>
      <w:r>
        <w:t xml:space="preserve"> </w:t>
      </w:r>
      <w:r>
        <w:t xml:space="preserve">grass spread out for seats |</w:t>
      </w:r>
      <w:r>
        <w:t xml:space="preserve"> </w:t>
      </w:r>
      <w:r>
        <w:rPr>
          <w:bCs/>
          <w:b/>
        </w:rPr>
        <w:t xml:space="preserve">आ सत्सि (ā satsi)</w:t>
      </w:r>
      <w:r>
        <w:t xml:space="preserve"> </w:t>
      </w:r>
      <w:r>
        <w:t xml:space="preserve">— sit down.</w:t>
      </w:r>
    </w:p>
    <w:bookmarkEnd w:id="514"/>
    <w:bookmarkStart w:id="515" w:name="Xbc5c71de484aeac6c13830dd79e09e5b7f31ed1"/>
    <w:p>
      <w:pPr>
        <w:pStyle w:val="Heading3"/>
      </w:pPr>
      <w:r>
        <w:t xml:space="preserve">Page 496 — Rik 4: overall sense, English, Special Topics, grammar</w:t>
      </w:r>
    </w:p>
    <w:p>
      <w:pPr>
        <w:pStyle w:val="FirstParagraph"/>
      </w:pPr>
      <w:r>
        <w:rPr>
          <w:bCs/>
          <w:b/>
        </w:rPr>
        <w:t xml:space="preserve">॥ Bhāvārthaḥ ॥</w:t>
      </w:r>
    </w:p>
    <w:p>
      <w:pPr>
        <w:pStyle w:val="BodyText"/>
      </w:pPr>
      <w:r>
        <w:t xml:space="preserve">O Agni! You are the gods’ messenger. Therefore rouse those gods who desire the oblation (in the sacrifices), bring them here, and sit with them on the cut</w:t>
      </w:r>
      <w:r>
        <w:t xml:space="preserve"> </w:t>
      </w:r>
      <w:r>
        <w:rPr>
          <w:iCs/>
          <w:i/>
        </w:rPr>
        <w:t xml:space="preserve">darbha</w:t>
      </w:r>
      <w:r>
        <w:t xml:space="preserve"> </w:t>
      </w:r>
      <w:r>
        <w:t xml:space="preserve">made ready for seats.</w:t>
      </w:r>
    </w:p>
    <w:p>
      <w:pPr>
        <w:pStyle w:val="BodyText"/>
      </w:pPr>
      <w:r>
        <w:rPr>
          <w:bCs/>
          <w:b/>
        </w:rPr>
        <w:t xml:space="preserve">॥ English Translation ॥</w:t>
      </w:r>
      <w:r>
        <w:t xml:space="preserve"> </w:t>
      </w:r>
      <w:r>
        <w:rPr>
          <w:iCs/>
          <w:i/>
        </w:rPr>
        <w:t xml:space="preserve">(as printed in the source)</w:t>
      </w:r>
    </w:p>
    <w:p>
      <w:pPr>
        <w:pStyle w:val="BlockText"/>
      </w:pPr>
      <w:r>
        <w:t xml:space="preserve">O Agni, as you go as messenger of Gods, awaken them desirous of oblations; sit down with them on the sacred grass.</w:t>
      </w:r>
    </w:p>
    <w:p>
      <w:pPr>
        <w:pStyle w:val="FirstParagraph"/>
      </w:pPr>
      <w:r>
        <w:rPr>
          <w:bCs/>
          <w:b/>
        </w:rPr>
        <w:t xml:space="preserve">॥ Viśeṣa-viṣayagaḷu (Special Topics) ॥</w:t>
      </w:r>
    </w:p>
    <w:p>
      <w:pPr>
        <w:pStyle w:val="BodyText"/>
      </w:pPr>
      <w:r>
        <w:rPr>
          <w:bCs/>
          <w:b/>
        </w:rPr>
        <w:t xml:space="preserve">“</w:t>
      </w:r>
      <w:r>
        <w:rPr>
          <w:bCs/>
          <w:b/>
        </w:rPr>
        <w:t xml:space="preserve">Barhiṣi</w:t>
      </w:r>
      <w:r>
        <w:rPr>
          <w:bCs/>
          <w:b/>
        </w:rPr>
        <w:t xml:space="preserve">”</w:t>
      </w:r>
      <w:r>
        <w:t xml:space="preserve"> </w:t>
      </w:r>
      <w:r>
        <w:t xml:space="preserve">—</w:t>
      </w:r>
      <w:r>
        <w:t xml:space="preserve"> </w:t>
      </w:r>
      <w:r>
        <w:t xml:space="preserve">“</w:t>
      </w:r>
      <w:r>
        <w:t xml:space="preserve">for seats</w:t>
      </w:r>
      <w:r>
        <w:t xml:space="preserve">”</w:t>
      </w:r>
      <w:r>
        <w:t xml:space="preserve">: it is the custom to spread</w:t>
      </w:r>
      <w:r>
        <w:t xml:space="preserve"> </w:t>
      </w:r>
      <w:r>
        <w:rPr>
          <w:iCs/>
          <w:i/>
        </w:rPr>
        <w:t xml:space="preserve">darbha</w:t>
      </w:r>
      <w:r>
        <w:t xml:space="preserve"> </w:t>
      </w:r>
      <w:r>
        <w:t xml:space="preserve">cut with its tips so that the gods may sit. Vessels of ghee and the oblations, too, are placed on such spread</w:t>
      </w:r>
      <w:r>
        <w:t xml:space="preserve"> </w:t>
      </w:r>
      <w:r>
        <w:rPr>
          <w:iCs/>
          <w:i/>
        </w:rPr>
        <w:t xml:space="preserve">darbha</w:t>
      </w:r>
      <w:r>
        <w:t xml:space="preserve">; this is held to be best and the custom.</w:t>
      </w:r>
    </w:p>
    <w:p>
      <w:pPr>
        <w:pStyle w:val="BodyText"/>
      </w:pPr>
      <w:r>
        <w:rPr>
          <w:bCs/>
          <w:b/>
        </w:rPr>
        <w:t xml:space="preserve">॥ Vyākaraṇa-prakriyā ॥</w:t>
      </w:r>
      <w:r>
        <w:t xml:space="preserve"> </w:t>
      </w:r>
      <w:r>
        <w:rPr>
          <w:iCs/>
          <w:i/>
        </w:rPr>
        <w:t xml:space="preserve">(grammar pages 496–497, noted briefly; numbers checked against the print)</w:t>
      </w:r>
    </w:p>
    <w:p>
      <w:pPr>
        <w:pStyle w:val="BodyText"/>
      </w:pPr>
      <w:r>
        <w:rPr>
          <w:bCs/>
          <w:b/>
        </w:rPr>
        <w:t xml:space="preserve">तान् (</w:t>
      </w:r>
      <w:r>
        <w:rPr>
          <w:iCs/>
          <w:i/>
          <w:bCs/>
          <w:b/>
        </w:rPr>
        <w:t xml:space="preserve">tān</w:t>
      </w:r>
      <w:r>
        <w:rPr>
          <w:bCs/>
          <w:b/>
        </w:rPr>
        <w:t xml:space="preserve">)</w:t>
      </w:r>
      <w:r>
        <w:t xml:space="preserve"> </w:t>
      </w:r>
      <w:r>
        <w:t xml:space="preserve">— by</w:t>
      </w:r>
      <w:r>
        <w:t xml:space="preserve"> </w:t>
      </w:r>
      <w:r>
        <w:t xml:space="preserve">“</w:t>
      </w:r>
      <w:r>
        <w:t xml:space="preserve">dīrghād aṭi samānapāde</w:t>
      </w:r>
      <w:r>
        <w:t xml:space="preserve">”</w:t>
      </w:r>
      <w:r>
        <w:t xml:space="preserve"> </w:t>
      </w:r>
      <w:r>
        <w:t xml:space="preserve">(Pā. 8-3-9) the</w:t>
      </w:r>
      <w:r>
        <w:t xml:space="preserve"> </w:t>
      </w:r>
      <w:r>
        <w:rPr>
          <w:iCs/>
          <w:i/>
        </w:rPr>
        <w:t xml:space="preserve">n</w:t>
      </w:r>
      <w:r>
        <w:t xml:space="preserve"> </w:t>
      </w:r>
      <w:r>
        <w:t xml:space="preserve">becomes</w:t>
      </w:r>
      <w:r>
        <w:t xml:space="preserve"> </w:t>
      </w:r>
      <w:r>
        <w:rPr>
          <w:iCs/>
          <w:i/>
        </w:rPr>
        <w:t xml:space="preserve">ru</w:t>
      </w:r>
      <w:r>
        <w:t xml:space="preserve"> </w:t>
      </w:r>
      <w:r>
        <w:t xml:space="preserve">in the Saṃhitā; by</w:t>
      </w:r>
      <w:r>
        <w:t xml:space="preserve"> </w:t>
      </w:r>
      <w:r>
        <w:t xml:space="preserve">“</w:t>
      </w:r>
      <w:r>
        <w:t xml:space="preserve">āto ’ṭi nityam</w:t>
      </w:r>
      <w:r>
        <w:t xml:space="preserve">”</w:t>
      </w:r>
      <w:r>
        <w:t xml:space="preserve"> </w:t>
      </w:r>
      <w:r>
        <w:t xml:space="preserve">(printed</w:t>
      </w:r>
      <w:r>
        <w:t xml:space="preserve"> </w:t>
      </w:r>
      <w:r>
        <w:t xml:space="preserve">“</w:t>
      </w:r>
      <w:r>
        <w:t xml:space="preserve">8-3-3</w:t>
      </w:r>
      <w:r>
        <w:t xml:space="preserve">”</w:t>
      </w:r>
      <w:r>
        <w:t xml:space="preserve">) the long</w:t>
      </w:r>
      <w:r>
        <w:t xml:space="preserve"> </w:t>
      </w:r>
      <w:r>
        <w:rPr>
          <w:iCs/>
          <w:i/>
        </w:rPr>
        <w:t xml:space="preserve">ā</w:t>
      </w:r>
      <w:r>
        <w:t xml:space="preserve"> </w:t>
      </w:r>
      <w:r>
        <w:t xml:space="preserve">is nasalized;</w:t>
      </w:r>
      <w:r>
        <w:t xml:space="preserve"> </w:t>
      </w:r>
      <w:r>
        <w:rPr>
          <w:iCs/>
          <w:i/>
        </w:rPr>
        <w:t xml:space="preserve">y</w:t>
      </w:r>
      <w:r>
        <w:t xml:space="preserve"> </w:t>
      </w:r>
      <w:r>
        <w:t xml:space="preserve">by</w:t>
      </w:r>
      <w:r>
        <w:t xml:space="preserve"> </w:t>
      </w:r>
      <w:r>
        <w:t xml:space="preserve">“</w:t>
      </w:r>
      <w:r>
        <w:t xml:space="preserve">bho-bhago…</w:t>
      </w:r>
      <w:r>
        <w:t xml:space="preserve">”</w:t>
      </w:r>
      <w:r>
        <w:t xml:space="preserve"> </w:t>
      </w:r>
      <w:r>
        <w:t xml:space="preserve">(Pā. 8-3-17), and the</w:t>
      </w:r>
      <w:r>
        <w:t xml:space="preserve"> </w:t>
      </w:r>
      <w:r>
        <w:rPr>
          <w:iCs/>
          <w:i/>
        </w:rPr>
        <w:t xml:space="preserve">y</w:t>
      </w:r>
      <w:r>
        <w:t xml:space="preserve"> </w:t>
      </w:r>
      <w:r>
        <w:t xml:space="preserve">dropped by</w:t>
      </w:r>
      <w:r>
        <w:t xml:space="preserve"> </w:t>
      </w:r>
      <w:r>
        <w:t xml:space="preserve">“</w:t>
      </w:r>
      <w:r>
        <w:t xml:space="preserve">lopaḥ śākalyasya</w:t>
      </w:r>
      <w:r>
        <w:t xml:space="preserve">”</w:t>
      </w:r>
      <w:r>
        <w:t xml:space="preserve"> </w:t>
      </w:r>
      <w:r>
        <w:t xml:space="preserve">(Pā. 8-3-19):</w:t>
      </w:r>
      <w:r>
        <w:t xml:space="preserve"> </w:t>
      </w:r>
      <w:r>
        <w:rPr>
          <w:iCs/>
          <w:i/>
        </w:rPr>
        <w:t xml:space="preserve">tām̐ uśataḥ</w:t>
      </w:r>
      <w:r>
        <w:t xml:space="preserve">.</w:t>
      </w:r>
      <w:r>
        <w:t xml:space="preserve"> </w:t>
      </w:r>
      <w:r>
        <w:rPr>
          <w:bCs/>
          <w:b/>
        </w:rPr>
        <w:t xml:space="preserve">उशतः (</w:t>
      </w:r>
      <w:r>
        <w:rPr>
          <w:iCs/>
          <w:i/>
          <w:bCs/>
          <w:b/>
        </w:rPr>
        <w:t xml:space="preserve">uśataḥ</w:t>
      </w:r>
      <w:r>
        <w:rPr>
          <w:bCs/>
          <w:b/>
        </w:rPr>
        <w:t xml:space="preserve">)</w:t>
      </w:r>
      <w:r>
        <w:t xml:space="preserve"> </w:t>
      </w:r>
      <w:r>
        <w:t xml:space="preserve">— root</w:t>
      </w:r>
      <w:r>
        <w:t xml:space="preserve"> </w:t>
      </w:r>
      <w:r>
        <w:rPr>
          <w:iCs/>
          <w:i/>
        </w:rPr>
        <w:t xml:space="preserve">vaśa kāntau</w:t>
      </w:r>
      <w:r>
        <w:t xml:space="preserve">;</w:t>
      </w:r>
      <w:r>
        <w:t xml:space="preserve"> </w:t>
      </w:r>
      <w:r>
        <w:rPr>
          <w:iCs/>
          <w:i/>
        </w:rPr>
        <w:t xml:space="preserve">laṭ</w:t>
      </w:r>
      <w:r>
        <w:t xml:space="preserve"> </w:t>
      </w:r>
      <w:r>
        <w:t xml:space="preserve">→</w:t>
      </w:r>
      <w:r>
        <w:t xml:space="preserve"> </w:t>
      </w:r>
      <w:r>
        <w:rPr>
          <w:iCs/>
          <w:i/>
        </w:rPr>
        <w:t xml:space="preserve">śatṛ</w:t>
      </w:r>
      <w:r>
        <w:t xml:space="preserve"> </w:t>
      </w:r>
      <w:r>
        <w:t xml:space="preserve">by</w:t>
      </w:r>
      <w:r>
        <w:t xml:space="preserve"> </w:t>
      </w:r>
      <w:r>
        <w:t xml:space="preserve">“</w:t>
      </w:r>
      <w:r>
        <w:t xml:space="preserve">laṭaḥ śatṛ…</w:t>
      </w:r>
      <w:r>
        <w:t xml:space="preserve">”</w:t>
      </w:r>
      <w:r>
        <w:t xml:space="preserve"> </w:t>
      </w:r>
      <w:r>
        <w:t xml:space="preserve">(Pā. 3-2-124); the</w:t>
      </w:r>
      <w:r>
        <w:t xml:space="preserve"> </w:t>
      </w:r>
      <w:r>
        <w:rPr>
          <w:iCs/>
          <w:i/>
        </w:rPr>
        <w:t xml:space="preserve">śap</w:t>
      </w:r>
      <w:r>
        <w:t xml:space="preserve"> </w:t>
      </w:r>
      <w:r>
        <w:t xml:space="preserve">dropped by</w:t>
      </w:r>
      <w:r>
        <w:t xml:space="preserve"> </w:t>
      </w:r>
      <w:r>
        <w:t xml:space="preserve">“</w:t>
      </w:r>
      <w:r>
        <w:t xml:space="preserve">adiprabhṛtibhyaḥ śapaḥ</w:t>
      </w:r>
      <w:r>
        <w:t xml:space="preserve">”</w:t>
      </w:r>
      <w:r>
        <w:t xml:space="preserve"> </w:t>
      </w:r>
      <w:r>
        <w:t xml:space="preserve">(Pā. 2-4-72);</w:t>
      </w:r>
      <w:r>
        <w:t xml:space="preserve"> </w:t>
      </w:r>
      <w:r>
        <w:t xml:space="preserve">“</w:t>
      </w:r>
      <w:r>
        <w:t xml:space="preserve">grahi-jyā-vayi-vyadhi-vaṣṭi…</w:t>
      </w:r>
      <w:r>
        <w:t xml:space="preserve">”</w:t>
      </w:r>
      <w:r>
        <w:t xml:space="preserve"> </w:t>
      </w:r>
      <w:r>
        <w:t xml:space="preserve">(Pā. 6-1-16) gives</w:t>
      </w:r>
      <w:r>
        <w:t xml:space="preserve"> </w:t>
      </w:r>
      <w:r>
        <w:rPr>
          <w:iCs/>
          <w:i/>
        </w:rPr>
        <w:t xml:space="preserve">samprasāraṇa</w:t>
      </w:r>
      <w:r>
        <w:t xml:space="preserve">,</w:t>
      </w:r>
      <w:r>
        <w:t xml:space="preserve"> </w:t>
      </w:r>
      <w:r>
        <w:rPr>
          <w:iCs/>
          <w:i/>
        </w:rPr>
        <w:t xml:space="preserve">u</w:t>
      </w:r>
      <w:r>
        <w:t xml:space="preserve"> </w:t>
      </w:r>
      <w:r>
        <w:t xml:space="preserve">for the</w:t>
      </w:r>
      <w:r>
        <w:t xml:space="preserve"> </w:t>
      </w:r>
      <w:r>
        <w:rPr>
          <w:iCs/>
          <w:i/>
        </w:rPr>
        <w:t xml:space="preserve">v</w:t>
      </w:r>
      <w:r>
        <w:t xml:space="preserve">,</w:t>
      </w:r>
      <w:r>
        <w:t xml:space="preserve"> </w:t>
      </w:r>
      <w:r>
        <w:rPr>
          <w:iCs/>
          <w:i/>
        </w:rPr>
        <w:t xml:space="preserve">pūrvarūpa</w:t>
      </w:r>
      <w:r>
        <w:t xml:space="preserve"> </w:t>
      </w:r>
      <w:r>
        <w:t xml:space="preserve">by</w:t>
      </w:r>
      <w:r>
        <w:t xml:space="preserve"> </w:t>
      </w:r>
      <w:r>
        <w:t xml:space="preserve">“</w:t>
      </w:r>
      <w:r>
        <w:t xml:space="preserve">samprasāraṇāc ca</w:t>
      </w:r>
      <w:r>
        <w:t xml:space="preserve">”</w:t>
      </w:r>
      <w:r>
        <w:t xml:space="preserve">:</w:t>
      </w:r>
      <w:r>
        <w:t xml:space="preserve"> </w:t>
      </w:r>
      <w:r>
        <w:rPr>
          <w:iCs/>
          <w:i/>
        </w:rPr>
        <w:t xml:space="preserve">uśat</w:t>
      </w:r>
      <w:r>
        <w:t xml:space="preserve">, accusative plural; the case ending udātta by</w:t>
      </w:r>
      <w:r>
        <w:t xml:space="preserve"> </w:t>
      </w:r>
      <w:r>
        <w:t xml:space="preserve">“</w:t>
      </w:r>
      <w:r>
        <w:t xml:space="preserve">śatur anumo nady-ajādī</w:t>
      </w:r>
      <w:r>
        <w:t xml:space="preserve">”</w:t>
      </w:r>
      <w:r>
        <w:t xml:space="preserve"> </w:t>
      </w:r>
      <w:r>
        <w:t xml:space="preserve">(Pā. 6-1-173).</w:t>
      </w:r>
      <w:r>
        <w:t xml:space="preserve"> </w:t>
      </w:r>
      <w:r>
        <w:rPr>
          <w:bCs/>
          <w:b/>
        </w:rPr>
        <w:t xml:space="preserve">यासि (</w:t>
      </w:r>
      <w:r>
        <w:rPr>
          <w:iCs/>
          <w:i/>
          <w:bCs/>
          <w:b/>
        </w:rPr>
        <w:t xml:space="preserve">yāsi</w:t>
      </w:r>
      <w:r>
        <w:rPr>
          <w:bCs/>
          <w:b/>
        </w:rPr>
        <w:t xml:space="preserve">)</w:t>
      </w:r>
      <w:r>
        <w:t xml:space="preserve"> </w:t>
      </w:r>
      <w:r>
        <w:t xml:space="preserve">— root</w:t>
      </w:r>
      <w:r>
        <w:t xml:space="preserve"> </w:t>
      </w:r>
      <w:r>
        <w:rPr>
          <w:iCs/>
          <w:i/>
        </w:rPr>
        <w:t xml:space="preserve">yā prāpaṇe</w:t>
      </w:r>
      <w:r>
        <w:t xml:space="preserve">;</w:t>
      </w:r>
      <w:r>
        <w:t xml:space="preserve"> </w:t>
      </w:r>
      <w:r>
        <w:rPr>
          <w:iCs/>
          <w:i/>
        </w:rPr>
        <w:t xml:space="preserve">laṭ</w:t>
      </w:r>
      <w:r>
        <w:t xml:space="preserve">, second singular;</w:t>
      </w:r>
      <w:r>
        <w:t xml:space="preserve"> </w:t>
      </w:r>
      <w:r>
        <w:t xml:space="preserve">“</w:t>
      </w:r>
      <w:r>
        <w:t xml:space="preserve">yad-vṛttān nityam</w:t>
      </w:r>
      <w:r>
        <w:t xml:space="preserve">”</w:t>
      </w:r>
      <w:r>
        <w:t xml:space="preserve"> </w:t>
      </w:r>
      <w:r>
        <w:t xml:space="preserve">(Pā. 8-1-66): a</w:t>
      </w:r>
      <w:r>
        <w:t xml:space="preserve"> </w:t>
      </w:r>
      <w:r>
        <w:rPr>
          <w:iCs/>
          <w:i/>
        </w:rPr>
        <w:t xml:space="preserve">tiṅanta</w:t>
      </w:r>
      <w:r>
        <w:t xml:space="preserve"> </w:t>
      </w:r>
      <w:r>
        <w:t xml:space="preserve">after a word containing</w:t>
      </w:r>
      <w:r>
        <w:t xml:space="preserve"> </w:t>
      </w:r>
      <w:r>
        <w:rPr>
          <w:iCs/>
          <w:i/>
        </w:rPr>
        <w:t xml:space="preserve">yad</w:t>
      </w:r>
      <w:r>
        <w:t xml:space="preserve"> </w:t>
      </w:r>
      <w:r>
        <w:t xml:space="preserve">is not unaccented, so</w:t>
      </w:r>
      <w:r>
        <w:t xml:space="preserve"> </w:t>
      </w:r>
      <w:r>
        <w:t xml:space="preserve">“</w:t>
      </w:r>
      <w:r>
        <w:t xml:space="preserve">tiṅṅ atiṅaḥ</w:t>
      </w:r>
      <w:r>
        <w:t xml:space="preserve">”</w:t>
      </w:r>
      <w:r>
        <w:t xml:space="preserve"> </w:t>
      </w:r>
      <w:r>
        <w:t xml:space="preserve">does not apply.</w:t>
      </w:r>
      <w:r>
        <w:t xml:space="preserve"> </w:t>
      </w:r>
      <w:r>
        <w:rPr>
          <w:bCs/>
          <w:b/>
        </w:rPr>
        <w:t xml:space="preserve">दूत्यम् (</w:t>
      </w:r>
      <w:r>
        <w:rPr>
          <w:iCs/>
          <w:i/>
          <w:bCs/>
          <w:b/>
        </w:rPr>
        <w:t xml:space="preserve">dūtyam</w:t>
      </w:r>
      <w:r>
        <w:rPr>
          <w:bCs/>
          <w:b/>
        </w:rPr>
        <w:t xml:space="preserve">)</w:t>
      </w:r>
      <w:r>
        <w:t xml:space="preserve"> </w:t>
      </w:r>
      <w:r>
        <w:t xml:space="preserve">—</w:t>
      </w:r>
      <w:r>
        <w:t xml:space="preserve"> </w:t>
      </w:r>
      <w:r>
        <w:t xml:space="preserve">“</w:t>
      </w:r>
      <w:r>
        <w:t xml:space="preserve">dūtasya bhāvaḥ [sic] karma vā</w:t>
      </w:r>
      <w:r>
        <w:t xml:space="preserve">”</w:t>
      </w:r>
      <w:r>
        <w:t xml:space="preserve">;</w:t>
      </w:r>
      <w:r>
        <w:t xml:space="preserve"> </w:t>
      </w:r>
      <w:r>
        <w:rPr>
          <w:iCs/>
          <w:i/>
        </w:rPr>
        <w:t xml:space="preserve">bhāga</w:t>
      </w:r>
      <w:r>
        <w:t xml:space="preserve"> </w:t>
      </w:r>
      <w:r>
        <w:t xml:space="preserve">means a share,</w:t>
      </w:r>
      <w:r>
        <w:t xml:space="preserve"> </w:t>
      </w:r>
      <w:r>
        <w:rPr>
          <w:iCs/>
          <w:i/>
        </w:rPr>
        <w:t xml:space="preserve">karma</w:t>
      </w:r>
      <w:r>
        <w:t xml:space="preserve"> </w:t>
      </w:r>
      <w:r>
        <w:t xml:space="preserve">an act; in the sense of share it is masculine, in the sense of act neuter, accusative singular.</w:t>
      </w:r>
      <w:r>
        <w:t xml:space="preserve"> </w:t>
      </w:r>
      <w:r>
        <w:t xml:space="preserve">“</w:t>
      </w:r>
      <w:r>
        <w:t xml:space="preserve">dūtasya bhāga-karmaṇī</w:t>
      </w:r>
      <w:r>
        <w:t xml:space="preserve">”</w:t>
      </w:r>
      <w:r>
        <w:t xml:space="preserve"> </w:t>
      </w:r>
      <w:r>
        <w:t xml:space="preserve">(Pā. 4-4-120): after the genitive of</w:t>
      </w:r>
      <w:r>
        <w:t xml:space="preserve"> </w:t>
      </w:r>
      <w:r>
        <w:rPr>
          <w:iCs/>
          <w:i/>
        </w:rPr>
        <w:t xml:space="preserve">dūta</w:t>
      </w:r>
      <w:r>
        <w:t xml:space="preserve">,</w:t>
      </w:r>
      <w:r>
        <w:t xml:space="preserve"> </w:t>
      </w:r>
      <w:r>
        <w:rPr>
          <w:iCs/>
          <w:i/>
        </w:rPr>
        <w:t xml:space="preserve">yat</w:t>
      </w:r>
      <w:r>
        <w:t xml:space="preserve"> </w:t>
      </w:r>
      <w:r>
        <w:t xml:space="preserve">in the senses of share and act;</w:t>
      </w:r>
    </w:p>
    <w:bookmarkEnd w:id="515"/>
    <w:bookmarkStart w:id="516" w:name="page-497-rik-4-grammar-closes"/>
    <w:p>
      <w:pPr>
        <w:pStyle w:val="Heading3"/>
      </w:pPr>
      <w:r>
        <w:t xml:space="preserve">Page 497 — Rik 4 grammar closes</w:t>
      </w:r>
    </w:p>
    <w:p>
      <w:pPr>
        <w:pStyle w:val="FirstParagraph"/>
      </w:pPr>
      <w:r>
        <w:rPr>
          <w:iCs/>
          <w:i/>
        </w:rPr>
        <w:t xml:space="preserve">yat</w:t>
      </w:r>
      <w:r>
        <w:t xml:space="preserve"> </w:t>
      </w:r>
      <w:r>
        <w:t xml:space="preserve">is</w:t>
      </w:r>
      <w:r>
        <w:t xml:space="preserve"> </w:t>
      </w:r>
      <w:r>
        <w:rPr>
          <w:iCs/>
          <w:i/>
        </w:rPr>
        <w:t xml:space="preserve">t</w:t>
      </w:r>
      <w:r>
        <w:t xml:space="preserve">-marked, so by</w:t>
      </w:r>
      <w:r>
        <w:t xml:space="preserve"> </w:t>
      </w:r>
      <w:r>
        <w:t xml:space="preserve">“</w:t>
      </w:r>
      <w:r>
        <w:t xml:space="preserve">tit svaritam</w:t>
      </w:r>
      <w:r>
        <w:t xml:space="preserve">”</w:t>
      </w:r>
      <w:r>
        <w:t xml:space="preserve"> </w:t>
      </w:r>
      <w:r>
        <w:t xml:space="preserve">(Pā. 6-1-185) the svarita would come; setting it aside,</w:t>
      </w:r>
      <w:r>
        <w:t xml:space="preserve"> </w:t>
      </w:r>
      <w:r>
        <w:t xml:space="preserve">“</w:t>
      </w:r>
      <w:r>
        <w:t xml:space="preserve">yato ’nāvaḥ</w:t>
      </w:r>
      <w:r>
        <w:t xml:space="preserve">”</w:t>
      </w:r>
      <w:r>
        <w:t xml:space="preserve"> </w:t>
      </w:r>
      <w:r>
        <w:t xml:space="preserve">(printed</w:t>
      </w:r>
      <w:r>
        <w:t xml:space="preserve"> </w:t>
      </w:r>
      <w:r>
        <w:t xml:space="preserve">“</w:t>
      </w:r>
      <w:r>
        <w:t xml:space="preserve">6-1-213</w:t>
      </w:r>
      <w:r>
        <w:t xml:space="preserve">”</w:t>
      </w:r>
      <w:r>
        <w:t xml:space="preserve">) would give initial-udātta; that is optional by the paribhāṣā</w:t>
      </w:r>
      <w:r>
        <w:t xml:space="preserve"> </w:t>
      </w:r>
      <w:r>
        <w:t xml:space="preserve">“</w:t>
      </w:r>
      <w:r>
        <w:t xml:space="preserve">sarve vidhayaś chandasi vikalpyante</w:t>
      </w:r>
      <w:r>
        <w:t xml:space="preserve">”</w:t>
      </w:r>
      <w:r>
        <w:t xml:space="preserve"> </w:t>
      </w:r>
      <w:r>
        <w:t xml:space="preserve">(printed</w:t>
      </w:r>
      <w:r>
        <w:t xml:space="preserve"> </w:t>
      </w:r>
      <w:r>
        <w:t xml:space="preserve">“</w:t>
      </w:r>
      <w:r>
        <w:t xml:space="preserve">Paribhā. 35</w:t>
      </w:r>
      <w:r>
        <w:t xml:space="preserve">”</w:t>
      </w:r>
      <w:r>
        <w:t xml:space="preserve"> </w:t>
      </w:r>
      <w:r>
        <w:t xml:space="preserve">[?]), so it does not apply, and the svarita stands; the remaining</w:t>
      </w:r>
      <w:r>
        <w:t xml:space="preserve"> </w:t>
      </w:r>
      <w:r>
        <w:rPr>
          <w:iCs/>
          <w:i/>
        </w:rPr>
        <w:t xml:space="preserve">dū</w:t>
      </w:r>
      <w:r>
        <w:t xml:space="preserve"> </w:t>
      </w:r>
      <w:r>
        <w:t xml:space="preserve">is unaccented by</w:t>
      </w:r>
      <w:r>
        <w:t xml:space="preserve"> </w:t>
      </w:r>
      <w:r>
        <w:t xml:space="preserve">“</w:t>
      </w:r>
      <w:r>
        <w:t xml:space="preserve">anudāttaṃ padam ekavarjam</w:t>
      </w:r>
      <w:r>
        <w:t xml:space="preserve">”</w:t>
      </w:r>
      <w:r>
        <w:t xml:space="preserve"> </w:t>
      </w:r>
      <w:r>
        <w:t xml:space="preserve">(Pā. 6-1-158).</w:t>
      </w:r>
      <w:r>
        <w:t xml:space="preserve"> </w:t>
      </w:r>
      <w:r>
        <w:rPr>
          <w:bCs/>
          <w:b/>
        </w:rPr>
        <w:t xml:space="preserve">सत्सि (</w:t>
      </w:r>
      <w:r>
        <w:rPr>
          <w:iCs/>
          <w:i/>
          <w:bCs/>
          <w:b/>
        </w:rPr>
        <w:t xml:space="preserve">satsi</w:t>
      </w:r>
      <w:r>
        <w:rPr>
          <w:bCs/>
          <w:b/>
        </w:rPr>
        <w:t xml:space="preserve">)</w:t>
      </w:r>
      <w:r>
        <w:t xml:space="preserve"> </w:t>
      </w:r>
      <w:r>
        <w:t xml:space="preserve">— meaning</w:t>
      </w:r>
      <w:r>
        <w:t xml:space="preserve"> </w:t>
      </w:r>
      <w:r>
        <w:rPr>
          <w:iCs/>
          <w:i/>
        </w:rPr>
        <w:t xml:space="preserve">sīdasi</w:t>
      </w:r>
      <w:r>
        <w:t xml:space="preserve">; root</w:t>
      </w:r>
      <w:r>
        <w:t xml:space="preserve"> </w:t>
      </w:r>
      <w:r>
        <w:rPr>
          <w:iCs/>
          <w:i/>
        </w:rPr>
        <w:t xml:space="preserve">ṣadḷ viśaraṇa-gaty-avasādaneṣu</w:t>
      </w:r>
      <w:r>
        <w:t xml:space="preserve">;</w:t>
      </w:r>
      <w:r>
        <w:t xml:space="preserve"> </w:t>
      </w:r>
      <w:r>
        <w:rPr>
          <w:iCs/>
          <w:i/>
        </w:rPr>
        <w:t xml:space="preserve">laṭ</w:t>
      </w:r>
      <w:r>
        <w:t xml:space="preserve"> </w:t>
      </w:r>
      <w:r>
        <w:t xml:space="preserve">→ second singular</w:t>
      </w:r>
      <w:r>
        <w:t xml:space="preserve"> </w:t>
      </w:r>
      <w:r>
        <w:rPr>
          <w:iCs/>
          <w:i/>
        </w:rPr>
        <w:t xml:space="preserve">sip</w:t>
      </w:r>
      <w:r>
        <w:t xml:space="preserve">:</w:t>
      </w:r>
      <w:r>
        <w:t xml:space="preserve"> </w:t>
      </w:r>
      <w:r>
        <w:rPr>
          <w:iCs/>
          <w:i/>
        </w:rPr>
        <w:t xml:space="preserve">sad</w:t>
      </w:r>
      <w:r>
        <w:t xml:space="preserve"> </w:t>
      </w:r>
      <w:r>
        <w:t xml:space="preserve">+</w:t>
      </w:r>
      <w:r>
        <w:t xml:space="preserve"> </w:t>
      </w:r>
      <w:r>
        <w:rPr>
          <w:iCs/>
          <w:i/>
        </w:rPr>
        <w:t xml:space="preserve">si</w:t>
      </w:r>
      <w:r>
        <w:t xml:space="preserve">; the</w:t>
      </w:r>
      <w:r>
        <w:t xml:space="preserve"> </w:t>
      </w:r>
      <w:r>
        <w:rPr>
          <w:iCs/>
          <w:i/>
        </w:rPr>
        <w:t xml:space="preserve">śap</w:t>
      </w:r>
      <w:r>
        <w:t xml:space="preserve"> </w:t>
      </w:r>
      <w:r>
        <w:t xml:space="preserve">dropped by</w:t>
      </w:r>
      <w:r>
        <w:t xml:space="preserve"> </w:t>
      </w:r>
      <w:r>
        <w:t xml:space="preserve">“</w:t>
      </w:r>
      <w:r>
        <w:t xml:space="preserve">bahulaṃ chandasi</w:t>
      </w:r>
      <w:r>
        <w:t xml:space="preserve">”</w:t>
      </w:r>
      <w:r>
        <w:t xml:space="preserve"> </w:t>
      </w:r>
      <w:r>
        <w:t xml:space="preserve">(Pā. 2-4-73);</w:t>
      </w:r>
      <w:r>
        <w:t xml:space="preserve"> </w:t>
      </w:r>
      <w:r>
        <w:t xml:space="preserve">“</w:t>
      </w:r>
      <w:r>
        <w:t xml:space="preserve">na lumatāṅgasya</w:t>
      </w:r>
      <w:r>
        <w:t xml:space="preserve">”</w:t>
      </w:r>
      <w:r>
        <w:t xml:space="preserve"> </w:t>
      </w:r>
      <w:r>
        <w:t xml:space="preserve">(Pā. 1-1-63) bars</w:t>
      </w:r>
      <w:r>
        <w:t xml:space="preserve"> </w:t>
      </w:r>
      <w:r>
        <w:rPr>
          <w:iCs/>
          <w:i/>
        </w:rPr>
        <w:t xml:space="preserve">pratyaya-lakṣaṇa</w:t>
      </w:r>
      <w:r>
        <w:t xml:space="preserve">, so the</w:t>
      </w:r>
      <w:r>
        <w:t xml:space="preserve"> </w:t>
      </w:r>
      <w:r>
        <w:rPr>
          <w:iCs/>
          <w:i/>
        </w:rPr>
        <w:t xml:space="preserve">sīda</w:t>
      </w:r>
      <w:r>
        <w:t xml:space="preserve"> </w:t>
      </w:r>
      <w:r>
        <w:t xml:space="preserve">of</w:t>
      </w:r>
      <w:r>
        <w:t xml:space="preserve"> </w:t>
      </w:r>
      <w:r>
        <w:t xml:space="preserve">“</w:t>
      </w:r>
      <w:r>
        <w:t xml:space="preserve">pā-ghrā-dhmā…</w:t>
      </w:r>
      <w:r>
        <w:t xml:space="preserve">”</w:t>
      </w:r>
      <w:r>
        <w:t xml:space="preserve"> </w:t>
      </w:r>
      <w:r>
        <w:t xml:space="preserve">(Pā. 7-3-78) does not come;</w:t>
      </w:r>
      <w:r>
        <w:t xml:space="preserve"> </w:t>
      </w:r>
      <w:r>
        <w:rPr>
          <w:iCs/>
          <w:i/>
        </w:rPr>
        <w:t xml:space="preserve">car</w:t>
      </w:r>
      <w:r>
        <w:t xml:space="preserve"> </w:t>
      </w:r>
      <w:r>
        <w:t xml:space="preserve">by</w:t>
      </w:r>
      <w:r>
        <w:t xml:space="preserve"> </w:t>
      </w:r>
      <w:r>
        <w:t xml:space="preserve">“</w:t>
      </w:r>
      <w:r>
        <w:t xml:space="preserve">khari ca</w:t>
      </w:r>
      <w:r>
        <w:t xml:space="preserve">”</w:t>
      </w:r>
      <w:r>
        <w:t xml:space="preserve"> </w:t>
      </w:r>
      <w:r>
        <w:t xml:space="preserve">(Pā. 8-4-55); wholly unaccented.</w:t>
      </w:r>
      <w:r>
        <w:t xml:space="preserve"> </w:t>
      </w:r>
      <w:r>
        <w:rPr>
          <w:bCs/>
          <w:b/>
        </w:rPr>
        <w:t xml:space="preserve">बर्हिषि (</w:t>
      </w:r>
      <w:r>
        <w:rPr>
          <w:iCs/>
          <w:i/>
          <w:bCs/>
          <w:b/>
        </w:rPr>
        <w:t xml:space="preserve">barhiṣi</w:t>
      </w:r>
      <w:r>
        <w:rPr>
          <w:bCs/>
          <w:b/>
        </w:rPr>
        <w:t xml:space="preserve">)</w:t>
      </w:r>
      <w:r>
        <w:t xml:space="preserve"> </w:t>
      </w:r>
      <w:r>
        <w:t xml:space="preserve">— root</w:t>
      </w:r>
      <w:r>
        <w:t xml:space="preserve"> </w:t>
      </w:r>
      <w:r>
        <w:rPr>
          <w:iCs/>
          <w:i/>
        </w:rPr>
        <w:t xml:space="preserve">bṛha bṛhi vṛddhau</w:t>
      </w:r>
      <w:r>
        <w:t xml:space="preserve">;</w:t>
      </w:r>
      <w:r>
        <w:t xml:space="preserve"> </w:t>
      </w:r>
      <w:r>
        <w:t xml:space="preserve">“</w:t>
      </w:r>
      <w:r>
        <w:t xml:space="preserve">bṛṃher nalopaś ca</w:t>
      </w:r>
      <w:r>
        <w:t xml:space="preserve">”</w:t>
      </w:r>
      <w:r>
        <w:t xml:space="preserve"> </w:t>
      </w:r>
      <w:r>
        <w:t xml:space="preserve">(Uṇ.</w:t>
      </w:r>
      <w:r>
        <w:t xml:space="preserve"> </w:t>
      </w:r>
      <w:r>
        <w:t xml:space="preserve">“</w:t>
      </w:r>
      <w:r>
        <w:t xml:space="preserve">2-266</w:t>
      </w:r>
      <w:r>
        <w:t xml:space="preserve">”</w:t>
      </w:r>
      <w:r>
        <w:t xml:space="preserve"> </w:t>
      </w:r>
      <w:r>
        <w:t xml:space="preserve">[?]; the bhāṣya gives 2-110): after</w:t>
      </w:r>
      <w:r>
        <w:t xml:space="preserve"> </w:t>
      </w:r>
      <w:r>
        <w:rPr>
          <w:iCs/>
          <w:i/>
        </w:rPr>
        <w:t xml:space="preserve">bṛṃh</w:t>
      </w:r>
      <w:r>
        <w:t xml:space="preserve"> </w:t>
      </w:r>
      <w:r>
        <w:t xml:space="preserve">the suffix</w:t>
      </w:r>
      <w:r>
        <w:t xml:space="preserve"> </w:t>
      </w:r>
      <w:r>
        <w:rPr>
          <w:iCs/>
          <w:i/>
        </w:rPr>
        <w:t xml:space="preserve">isi</w:t>
      </w:r>
      <w:r>
        <w:t xml:space="preserve">, with loss of the</w:t>
      </w:r>
      <w:r>
        <w:t xml:space="preserve"> </w:t>
      </w:r>
      <w:r>
        <w:rPr>
          <w:iCs/>
          <w:i/>
        </w:rPr>
        <w:t xml:space="preserve">n</w:t>
      </w:r>
      <w:r>
        <w:t xml:space="preserve">; the</w:t>
      </w:r>
      <w:r>
        <w:t xml:space="preserve"> </w:t>
      </w:r>
      <w:r>
        <w:rPr>
          <w:iCs/>
          <w:i/>
        </w:rPr>
        <w:t xml:space="preserve">n</w:t>
      </w:r>
      <w:r>
        <w:t xml:space="preserve"> </w:t>
      </w:r>
      <w:r>
        <w:t xml:space="preserve">is that of the</w:t>
      </w:r>
      <w:r>
        <w:t xml:space="preserve"> </w:t>
      </w:r>
      <w:r>
        <w:rPr>
          <w:iCs/>
          <w:i/>
        </w:rPr>
        <w:t xml:space="preserve">num</w:t>
      </w:r>
      <w:r>
        <w:t xml:space="preserve"> </w:t>
      </w:r>
      <w:r>
        <w:t xml:space="preserve">augment,</w:t>
      </w:r>
      <w:r>
        <w:t xml:space="preserve"> </w:t>
      </w:r>
      <w:r>
        <w:rPr>
          <w:iCs/>
          <w:i/>
        </w:rPr>
        <w:t xml:space="preserve">bṛhi</w:t>
      </w:r>
      <w:r>
        <w:t xml:space="preserve"> </w:t>
      </w:r>
      <w:r>
        <w:t xml:space="preserve">being</w:t>
      </w:r>
      <w:r>
        <w:t xml:space="preserve"> </w:t>
      </w:r>
      <w:r>
        <w:rPr>
          <w:iCs/>
          <w:i/>
        </w:rPr>
        <w:t xml:space="preserve">idit</w:t>
      </w:r>
      <w:r>
        <w:t xml:space="preserve">, by</w:t>
      </w:r>
      <w:r>
        <w:t xml:space="preserve"> </w:t>
      </w:r>
      <w:r>
        <w:t xml:space="preserve">“</w:t>
      </w:r>
      <w:r>
        <w:t xml:space="preserve">idito num dhātoḥ</w:t>
      </w:r>
      <w:r>
        <w:t xml:space="preserve">”</w:t>
      </w:r>
      <w:r>
        <w:t xml:space="preserve"> </w:t>
      </w:r>
      <w:r>
        <w:t xml:space="preserve">(printed</w:t>
      </w:r>
      <w:r>
        <w:t xml:space="preserve"> </w:t>
      </w:r>
      <w:r>
        <w:t xml:space="preserve">“</w:t>
      </w:r>
      <w:r>
        <w:t xml:space="preserve">7-1-58</w:t>
      </w:r>
      <w:r>
        <w:t xml:space="preserve">”</w:t>
      </w:r>
      <w:r>
        <w:t xml:space="preserve">);</w:t>
      </w:r>
      <w:r>
        <w:t xml:space="preserve"> </w:t>
      </w:r>
      <w:r>
        <w:rPr>
          <w:iCs/>
          <w:i/>
        </w:rPr>
        <w:t xml:space="preserve">bṛh</w:t>
      </w:r>
      <w:r>
        <w:t xml:space="preserve"> </w:t>
      </w:r>
      <w:r>
        <w:t xml:space="preserve">+</w:t>
      </w:r>
      <w:r>
        <w:t xml:space="preserve"> </w:t>
      </w:r>
      <w:r>
        <w:rPr>
          <w:iCs/>
          <w:i/>
        </w:rPr>
        <w:t xml:space="preserve">is</w:t>
      </w:r>
      <w:r>
        <w:t xml:space="preserve">:</w:t>
      </w:r>
      <w:r>
        <w:t xml:space="preserve"> </w:t>
      </w:r>
      <w:r>
        <w:rPr>
          <w:iCs/>
          <w:i/>
        </w:rPr>
        <w:t xml:space="preserve">laghūpadha-guṇa</w:t>
      </w:r>
      <w:r>
        <w:t xml:space="preserve"> </w:t>
      </w:r>
      <w:r>
        <w:t xml:space="preserve">with</w:t>
      </w:r>
      <w:r>
        <w:t xml:space="preserve"> </w:t>
      </w:r>
      <w:r>
        <w:rPr>
          <w:iCs/>
          <w:i/>
        </w:rPr>
        <w:t xml:space="preserve">r</w:t>
      </w:r>
      <w:r>
        <w:t xml:space="preserve">:</w:t>
      </w:r>
      <w:r>
        <w:t xml:space="preserve"> </w:t>
      </w:r>
      <w:r>
        <w:rPr>
          <w:iCs/>
          <w:i/>
        </w:rPr>
        <w:t xml:space="preserve">barhis</w:t>
      </w:r>
      <w:r>
        <w:t xml:space="preserve">; the</w:t>
      </w:r>
      <w:r>
        <w:t xml:space="preserve"> </w:t>
      </w:r>
      <w:r>
        <w:rPr>
          <w:iCs/>
          <w:i/>
        </w:rPr>
        <w:t xml:space="preserve">i</w:t>
      </w:r>
      <w:r>
        <w:t xml:space="preserve"> </w:t>
      </w:r>
      <w:r>
        <w:t xml:space="preserve">udātta by the suffix accent; locative singular</w:t>
      </w:r>
      <w:r>
        <w:t xml:space="preserve"> </w:t>
      </w:r>
      <w:r>
        <w:rPr>
          <w:iCs/>
          <w:i/>
        </w:rPr>
        <w:t xml:space="preserve">barhiṣi</w:t>
      </w:r>
      <w:r>
        <w:t xml:space="preserve">.</w:t>
      </w:r>
    </w:p>
    <w:p>
      <w:pPr>
        <w:pStyle w:val="BodyText"/>
      </w:pPr>
      <w:r>
        <w:rPr>
          <w:bCs/>
          <w:b/>
        </w:rPr>
        <w:t xml:space="preserve">॥४॥</w:t>
      </w:r>
    </w:p>
    <w:p>
      <w:r>
        <w:pict>
          <v:rect style="width:0;height:1.5pt" o:hralign="center" o:hrstd="t" o:hr="t"/>
        </w:pict>
      </w:r>
    </w:p>
    <w:bookmarkEnd w:id="516"/>
    <w:bookmarkStart w:id="517" w:name="page-497-lower-sūkta-12-rik-5"/>
    <w:p>
      <w:pPr>
        <w:pStyle w:val="Heading3"/>
      </w:pPr>
      <w:r>
        <w:t xml:space="preserve">Page 497 (lower) — Sūkta 12, Rik 5</w:t>
      </w:r>
    </w:p>
    <w:p>
      <w:pPr>
        <w:pStyle w:val="FirstParagraph"/>
      </w:pPr>
      <w:r>
        <w:rPr>
          <w:iCs/>
          <w:i/>
        </w:rPr>
        <w:t xml:space="preserve">(Saṃhitā accents as printed; Pada unaccented. Line 2: a stroke is printed over र of रक्षस्विनः as well as over स्वि, with a bar under क्ष — [accent ?].)</w:t>
      </w:r>
    </w:p>
    <w:p>
      <w:pPr>
        <w:pStyle w:val="BodyText"/>
      </w:pPr>
      <w:r>
        <w:rPr>
          <w:bCs/>
          <w:b/>
        </w:rPr>
        <w:t xml:space="preserve">॥ Saṃhitā-pāṭhaḥ ॥</w:t>
      </w:r>
    </w:p>
    <w:p>
      <w:pPr>
        <w:pStyle w:val="BlockText"/>
      </w:pPr>
      <w:r>
        <w:t xml:space="preserve">घृता॑हवन दीदि॒वः प्रति॑ ष्म॒ रिष॑तो दह ।</w:t>
      </w:r>
      <w:r>
        <w:t xml:space="preserve"> </w:t>
      </w:r>
      <w:r>
        <w:t xml:space="preserve">अग्ने॒ त्वं र॑क्ष॒स्वि॑नः ॥५॥ [accent ?]</w:t>
      </w:r>
    </w:p>
    <w:p>
      <w:pPr>
        <w:pStyle w:val="BlockText"/>
      </w:pPr>
      <w:r>
        <w:rPr>
          <w:iCs/>
          <w:i/>
        </w:rPr>
        <w:t xml:space="preserve">ghṛ́tāhavana dīdiváḥ práti ṣma ríṣato daha |</w:t>
      </w:r>
      <w:r>
        <w:t xml:space="preserve"> </w:t>
      </w:r>
      <w:r>
        <w:rPr>
          <w:iCs/>
          <w:i/>
        </w:rPr>
        <w:t xml:space="preserve">agne tváṃ rakṣasvinaḥ ||5||</w:t>
      </w:r>
      <w:r>
        <w:t xml:space="preserve"> </w:t>
      </w:r>
      <w:r>
        <w:t xml:space="preserve">[accent ?]</w:t>
      </w:r>
    </w:p>
    <w:p>
      <w:pPr>
        <w:pStyle w:val="FirstParagraph"/>
      </w:pPr>
      <w:r>
        <w:rPr>
          <w:bCs/>
          <w:b/>
        </w:rPr>
        <w:t xml:space="preserve">॥ Pada-pāṭhaḥ ॥</w:t>
      </w:r>
    </w:p>
    <w:p>
      <w:pPr>
        <w:pStyle w:val="BlockText"/>
      </w:pPr>
      <w:r>
        <w:t xml:space="preserve">घृतऽआहवन । दीदिऽवः । प्रति । स्म । रिषतः । दह ॥</w:t>
      </w:r>
      <w:r>
        <w:t xml:space="preserve"> </w:t>
      </w:r>
      <w:r>
        <w:t xml:space="preserve">अग्ने । त्वम् । रक्षस्विनः ॥५॥</w:t>
      </w:r>
    </w:p>
    <w:p>
      <w:pPr>
        <w:pStyle w:val="BlockText"/>
      </w:pPr>
      <w:r>
        <w:rPr>
          <w:iCs/>
          <w:i/>
        </w:rPr>
        <w:t xml:space="preserve">ghṛta-āhavana | dīdi-vaḥ | prati | sma | riṣataḥ | daha ||</w:t>
      </w:r>
      <w:r>
        <w:t xml:space="preserve"> </w:t>
      </w:r>
      <w:r>
        <w:rPr>
          <w:iCs/>
          <w:i/>
        </w:rPr>
        <w:t xml:space="preserve">agne | tvam | rakṣasvinaḥ ||5||</w:t>
      </w:r>
    </w:p>
    <w:bookmarkEnd w:id="517"/>
    <w:bookmarkStart w:id="518" w:name="X7eb5b21c27a5d7312379f9237d583a5f6a18f70"/>
    <w:p>
      <w:pPr>
        <w:pStyle w:val="Heading3"/>
      </w:pPr>
      <w:r>
        <w:t xml:space="preserve">Page 498 — Rik 5: Sāyaṇa-bhāṣya, word-meanings</w:t>
      </w:r>
    </w:p>
    <w:p>
      <w:pPr>
        <w:pStyle w:val="FirstParagraph"/>
      </w:pPr>
      <w:r>
        <w:rPr>
          <w:bCs/>
          <w:b/>
        </w:rPr>
        <w:t xml:space="preserve">॥ Sāyaṇa-bhāṣyam ॥</w:t>
      </w:r>
    </w:p>
    <w:p>
      <w:pPr>
        <w:pStyle w:val="BodyText"/>
      </w:pPr>
      <w:r>
        <w:rPr>
          <w:iCs/>
          <w:i/>
        </w:rPr>
        <w:t xml:space="preserve">(The bhāṣya and its long grammatical tail fill p. 498.)</w:t>
      </w:r>
    </w:p>
    <w:p>
      <w:pPr>
        <w:pStyle w:val="BlockText"/>
      </w:pPr>
      <w:r>
        <w:t xml:space="preserve">हे घृताहवन घृतेनाहूयमान दीदिवो दीप्यमानाग्ने त्वं रक्षस्विनो रक्षोयुक्तान्रिषतो हिंसकाञ्छत्रून्प्रत्यस्माकं प्रतिकूलान्दह स्म । सर्वथा भस्मीकुरु ॥ घृतेनाहूयते ऽस्मिन्निति करणाधिकरणयोश्चेत्यधिकरणे ल्युट् । अत्र जुहोतेरविवक्षितकर्मत्वेनाकर्मकत्वाद्घृतस्य करणत्वमेव न तु कर्मत्वम् । अतो नैषा तृतीया च होश्छन्दसि । पा. २-३-३ । इति कर्मणि तृतीया । किंतु कर्तृकरणयोस्तृतीया । पा. २-३-१८ । इति करणवाचिन्येव । अतः कर्तृकरणे कृता बहुलम् । पा. २-१-३२ । इति समासः । तत्र पूर्वपदप्रकृतिस्वरापवादे कृदुत्तरपदप्रकृतिस्वरे प्राप्ते प्रातिपदिकावस्थायामेव कृते सति पश्चाद्विभक्त्युत्पन्नायामामन्त्रितस्य चेत्याद्युदात्तत्वम् । दीदिवः । दीव्यतेर्लिटः क्वसुः । तस्य वस्वेकाजाद्घसामिति नियमादिडभावः । द्विर्वचनम् । हलादिः शेषः । उत्तरवकारस्य लोपो व्योर्वलीति लोपः । क्वसुः कित्त्वाद्गुणाभावः । तुजादीनां दीर्घो ऽभ्यासस्य । पा. ६-१-७ । इति दीर्घत्वमभ्यासस्य । संबुद्धावुगिदचामिति नुम् । संयोगान्तस्य लोपः । पा. ८-२-२३ । इति सकारलोपे नकारस्य मतुवसो रु संबुद्धौ छन्दसीति रुत्वम् । विसर्गः । पदात्परत्वादामन्त्रितनिघातः । ननु पूर्वामन्त्रितस्याविद्यमानवत्त्वात्तत्पादादित्वेन न निघातोपपत्तिः । न च नामन्त्रिते समानाधिकरणे सामान्यवचनम् । पा. ८-१-७३ । इत्यविद्यमानवत्त्वप्रतिषेधः । उभयोरग्निपदविशेषणत्वेन विशेषवचनत्वात् । अत एव परस्परमनन्वयेनासामर्थ्यात्समर्थः पदविधिः । पा. २-१-१ । इति च नियमात्पूर्वस्य न पराङ्गवद्भावो येनैकपद्येन निघातः स्यात् । अत एवेडे रन्ते ऽदिते सरस्वतीत्यादौ । तै. सं. ७-१-६-८ । पृथक्पृथगाद्युदात्तत्वमिति । उच्यते । अत्र दीदिव इति नाग्निपदस्य विशेषणं किंतु घृताहवनपदस्यैव द्योतनार्थम् । घृताहवन इति विशेष्यत्वेन विवक्षितत्वात् । विशिष्टस्य तु पश्चादग्निविशेषणता । तत्र दीदिवः पदं प्रति घृताहवनपदस्य विशेष्यत्वान्नामन्त्रिते समानाधिकरण इत्यविद्यमानवत्त्वप्रतिषेधान्निघातोपपत्तिः । अत एव परस्परविशेषणविशेष्यभावेन सामर्थ्यात्सुबामन्त्रित इति पराङ्गवद्भावे शेषनिघातेनापि स्वरोपपत्तिरिति । इडे रन्त इत्यादौ तु नैवं परस्परान्वय इति वैषम्यम् । रिषतः । रुष रिष हिंसार्था इति भौवादिकस्य लटः शत्रादेशे शपि छान्दसो गुणाभावः । तौदादिकस्य वा रुश रिश हिंसायामित्यस्य छान्दसं षत्वम् । विकरणस्य शस्य ङित्त्वाद्गुणाभावः । रक्षस्विनः । रक्षःशब्दादस्मायामेधास्रजो विनिः । पा. ५-२-१२१ । इति मत्वर्थीयो विनिः । तस्य प्रत्ययाद्युदात्तत्वम् ॥</w:t>
      </w:r>
    </w:p>
    <w:p>
      <w:pPr>
        <w:pStyle w:val="BlockText"/>
      </w:pPr>
      <w:r>
        <w:rPr>
          <w:iCs/>
          <w:i/>
        </w:rPr>
        <w:t xml:space="preserve">he ghṛtāhavana ghṛtenāhūyamāna dīdivo dīpyamānāgne tvaṃ rakṣasvino rakṣoyuktānriṣato hiṃsakāñchatrūnpratyasmākaṃ pratikūlāndaha sma | sarvathā bhasmīkuru || ghṛtenāhūyate ’sminniti karaṇādhikaraṇayoścetyadhikaraṇe lyuṭ | atra juhoteravivakṣitakarmatvenākarmakatvādghṛtasya karaṇatvameva na tu karmatvam | ato naiṣā tṛtīyā ca hośchandasi | pā. 2-3-3 | iti karmaṇi tṛtīyā | kiṃtu kartṛkaraṇayostṛtīyā | pā. 2-3-18 | iti karaṇavācinyeva | ataḥ kartṛkaraṇe kṛtā bahulam | pā. 2-1-32 | iti samāsaḥ | tatra pūrvapadaprakṛtisvarāpavāde kṛduttarapadaprakṛtisvare prāpte prātipadikāvasthāyāmeva kṛte sati paścādvibhaktyutpannāyāmāmantritasya cetyādyudāttatvam | dīdivaḥ | dīvyaterliṭaḥ kvasuḥ | tasya vasvekājādghasāmiti niyamādiḍabhāvaḥ | dvirvacanam | halādiḥ śeṣaḥ | uttaravakārasya lopo vyorvalīti lopaḥ | kvasuḥ kittvādguṇābhāvaḥ | tujādīnāṃ dīrgho ’bhyāsasya | pā. 6-1-7 | iti dīrghatvamabhyāsasya | saṃbuddhāvugidacāmiti num | saṃyogāntasya lopaḥ | pā. 8-2-23 | iti sakāralope nakārasya matuvaso ru saṃbuddhau chandasīti rutvam | visargaḥ | padātparatvādāmantritanighātaḥ | nanu pūrvāmantritasyāvidyamānavattvāttatpādāditvena na nighātopapattiḥ | na ca nāmantrite samānādhikaraṇe sāmānyavacanam | pā. 8-1-73 | ityavidyamānavattvapratiṣedhaḥ | ubhayoragnipadaviśeṣaṇatvena viśeṣavacanatvāt | ata eva parasparamananvayenāsāmarthyātsamarthaḥ padavidhiḥ | pā. 2-1-1 | iti ca niyamātpūrvasya na parāṅgavadbhāvo yenaikapadyena nighātaḥ syāt | ata eveḍe rante ’dite sarasvatītyādau | tai. saṃ. 7-1-6-8 | pṛthakpṛthagādyudāttatvamiti | ucyate | atra dīdiva iti nāgnipadasya viśeṣaṇaṃ kiṃtu ghṛtāhavanapadasyaiva dyotanārtham | ghṛtāhavana iti viśeṣyatvena vivakṣitatvāt | viśiṣṭasya tu paścādagniviśeṣaṇatā | tatra dīdivaḥ padaṃ prati ghṛtāhavanapadasya viśeṣyatvānnāmantrite samānādhikaraṇa ityavidyamānavattvapratiṣedhānnighātopapattiḥ | ata eva parasparaviśeṣaṇaviśeṣyabhāvena sāmarthyātsubāmantrita iti parāṅgavadbhāve śeṣanighātenāpi svaropapattiriti | iḍe ranta ityādau tu naivaṃ parasparānvaya iti vaiṣamyam | riṣataḥ | ruṣa riṣa hiṃsārthā iti bhauvādikasya laṭaḥ śatrādeśe śapi chāndaso guṇābhāvaḥ | taudādikasya vā ruśa riśa hiṃsāyāmityasya chāndasaṃ ṣatvam | vikaraṇasya śasya ṅittvādguṇābhāvaḥ | rakṣasvinaḥ | rakṣaḥśabdādasmāyāmedhāsrajo viniḥ | pā. 5-2-121 | iti matvarthīyo viniḥ | tasya pratyayādyudāttatvam ||</w:t>
      </w:r>
    </w:p>
    <w:p>
      <w:pPr>
        <w:pStyle w:val="FirstParagraph"/>
      </w:pPr>
      <w:r>
        <w:rPr>
          <w:bCs/>
          <w:b/>
        </w:rPr>
        <w:t xml:space="preserve">Translation:</w:t>
      </w:r>
      <w:r>
        <w:t xml:space="preserve"> </w:t>
      </w:r>
      <w:r>
        <w:t xml:space="preserve">“</w:t>
      </w:r>
      <w:r>
        <w:t xml:space="preserve">O</w:t>
      </w:r>
      <w:r>
        <w:t xml:space="preserve"> </w:t>
      </w:r>
      <w:r>
        <w:rPr>
          <w:iCs/>
          <w:i/>
        </w:rPr>
        <w:t xml:space="preserve">ghṛtāhavana</w:t>
      </w:r>
      <w:r>
        <w:t xml:space="preserve"> </w:t>
      </w:r>
      <w:r>
        <w:t xml:space="preserve">— O Agni, called with ghee;</w:t>
      </w:r>
      <w:r>
        <w:t xml:space="preserve"> </w:t>
      </w:r>
      <w:r>
        <w:rPr>
          <w:iCs/>
          <w:i/>
        </w:rPr>
        <w:t xml:space="preserve">dīdivaḥ</w:t>
      </w:r>
      <w:r>
        <w:t xml:space="preserve"> </w:t>
      </w:r>
      <w:r>
        <w:t xml:space="preserve">— blazing! You,</w:t>
      </w:r>
      <w:r>
        <w:t xml:space="preserve"> </w:t>
      </w:r>
      <w:r>
        <w:rPr>
          <w:iCs/>
          <w:i/>
        </w:rPr>
        <w:t xml:space="preserve">prati daha sma</w:t>
      </w:r>
      <w:r>
        <w:t xml:space="preserve">: burn on every side — turn into ashes completely — the enemies who are</w:t>
      </w:r>
      <w:r>
        <w:t xml:space="preserve"> </w:t>
      </w:r>
      <w:r>
        <w:rPr>
          <w:iCs/>
          <w:i/>
        </w:rPr>
        <w:t xml:space="preserve">rakṣasvinaḥ</w:t>
      </w:r>
      <w:r>
        <w:t xml:space="preserve">, accompanied by rākṣasas,</w:t>
      </w:r>
      <w:r>
        <w:t xml:space="preserve"> </w:t>
      </w:r>
      <w:r>
        <w:rPr>
          <w:iCs/>
          <w:i/>
        </w:rPr>
        <w:t xml:space="preserve">riṣataḥ</w:t>
      </w:r>
      <w:r>
        <w:t xml:space="preserve">, injurious, hostile to us.</w:t>
      </w:r>
      <w:r>
        <w:t xml:space="preserve">”</w:t>
      </w:r>
      <w:r>
        <w:t xml:space="preserve"> </w:t>
      </w:r>
      <w:r>
        <w:t xml:space="preserve">(Grammatical tail:</w:t>
      </w:r>
      <w:r>
        <w:t xml:space="preserve"> </w:t>
      </w:r>
      <w:r>
        <w:rPr>
          <w:iCs/>
          <w:i/>
        </w:rPr>
        <w:t xml:space="preserve">ghṛtāhavana</w:t>
      </w:r>
      <w:r>
        <w:t xml:space="preserve"> </w:t>
      </w:r>
      <w:r>
        <w:t xml:space="preserve">—</w:t>
      </w:r>
      <w:r>
        <w:t xml:space="preserve"> </w:t>
      </w:r>
      <w:r>
        <w:t xml:space="preserve">“</w:t>
      </w:r>
      <w:r>
        <w:t xml:space="preserve">in whom one is called with ghee</w:t>
      </w:r>
      <w:r>
        <w:t xml:space="preserve">”</w:t>
      </w:r>
      <w:r>
        <w:t xml:space="preserve">:</w:t>
      </w:r>
      <w:r>
        <w:t xml:space="preserve"> </w:t>
      </w:r>
      <w:r>
        <w:rPr>
          <w:iCs/>
          <w:i/>
        </w:rPr>
        <w:t xml:space="preserve">lyuṭ</w:t>
      </w:r>
      <w:r>
        <w:t xml:space="preserve"> </w:t>
      </w:r>
      <w:r>
        <w:t xml:space="preserve">in the locative sense by</w:t>
      </w:r>
      <w:r>
        <w:t xml:space="preserve"> </w:t>
      </w:r>
      <w:r>
        <w:t xml:space="preserve">“</w:t>
      </w:r>
      <w:r>
        <w:t xml:space="preserve">karaṇādhikaraṇayoś ca</w:t>
      </w:r>
      <w:r>
        <w:t xml:space="preserve">”</w:t>
      </w:r>
      <w:r>
        <w:t xml:space="preserve">; since</w:t>
      </w:r>
      <w:r>
        <w:t xml:space="preserve"> </w:t>
      </w:r>
      <w:r>
        <w:rPr>
          <w:iCs/>
          <w:i/>
        </w:rPr>
        <w:t xml:space="preserve">juhoti</w:t>
      </w:r>
      <w:r>
        <w:t xml:space="preserve"> </w:t>
      </w:r>
      <w:r>
        <w:t xml:space="preserve">is here intransitive, its object not being meant, the ghee is an instrument, not an object, so not the object-sense third case of</w:t>
      </w:r>
      <w:r>
        <w:t xml:space="preserve"> </w:t>
      </w:r>
      <w:r>
        <w:t xml:space="preserve">“</w:t>
      </w:r>
      <w:r>
        <w:t xml:space="preserve">tṛtīyā ca hoś chandasi</w:t>
      </w:r>
      <w:r>
        <w:t xml:space="preserve">”</w:t>
      </w:r>
      <w:r>
        <w:t xml:space="preserve"> </w:t>
      </w:r>
      <w:r>
        <w:t xml:space="preserve">(Pā. 2-3-3) but the instrumental of</w:t>
      </w:r>
      <w:r>
        <w:t xml:space="preserve"> </w:t>
      </w:r>
      <w:r>
        <w:t xml:space="preserve">“</w:t>
      </w:r>
      <w:r>
        <w:t xml:space="preserve">kartṛ-karaṇayos tṛtīyā</w:t>
      </w:r>
      <w:r>
        <w:t xml:space="preserve">”</w:t>
      </w:r>
      <w:r>
        <w:t xml:space="preserve"> </w:t>
      </w:r>
      <w:r>
        <w:t xml:space="preserve">(Pā. 2-3-18); compound by</w:t>
      </w:r>
      <w:r>
        <w:t xml:space="preserve"> </w:t>
      </w:r>
      <w:r>
        <w:t xml:space="preserve">“</w:t>
      </w:r>
      <w:r>
        <w:t xml:space="preserve">kartṛ-karaṇe kṛtā bahulam</w:t>
      </w:r>
      <w:r>
        <w:t xml:space="preserve">”</w:t>
      </w:r>
      <w:r>
        <w:t xml:space="preserve"> </w:t>
      </w:r>
      <w:r>
        <w:t xml:space="preserve">(Pā. 2-1-32); the</w:t>
      </w:r>
      <w:r>
        <w:t xml:space="preserve"> </w:t>
      </w:r>
      <w:r>
        <w:rPr>
          <w:iCs/>
          <w:i/>
        </w:rPr>
        <w:t xml:space="preserve">kṛt</w:t>
      </w:r>
      <w:r>
        <w:t xml:space="preserve"> </w:t>
      </w:r>
      <w:r>
        <w:t xml:space="preserve">second-member accent, which sets aside the first-member accent, is made at the stem stage, and after the ending the vocative is initial-udātta by</w:t>
      </w:r>
      <w:r>
        <w:t xml:space="preserve"> </w:t>
      </w:r>
      <w:r>
        <w:t xml:space="preserve">“</w:t>
      </w:r>
      <w:r>
        <w:t xml:space="preserve">āmantritasya ca</w:t>
      </w:r>
      <w:r>
        <w:t xml:space="preserve">”</w:t>
      </w:r>
      <w:r>
        <w:t xml:space="preserve">;</w:t>
      </w:r>
      <w:r>
        <w:t xml:space="preserve"> </w:t>
      </w:r>
      <w:r>
        <w:rPr>
          <w:iCs/>
          <w:i/>
        </w:rPr>
        <w:t xml:space="preserve">dīdivaḥ</w:t>
      </w:r>
      <w:r>
        <w:t xml:space="preserve"> </w:t>
      </w:r>
      <w:r>
        <w:t xml:space="preserve">—</w:t>
      </w:r>
      <w:r>
        <w:t xml:space="preserve"> </w:t>
      </w:r>
      <w:r>
        <w:rPr>
          <w:iCs/>
          <w:i/>
        </w:rPr>
        <w:t xml:space="preserve">kvasu</w:t>
      </w:r>
      <w:r>
        <w:t xml:space="preserve"> </w:t>
      </w:r>
      <w:r>
        <w:t xml:space="preserve">for</w:t>
      </w:r>
      <w:r>
        <w:t xml:space="preserve"> </w:t>
      </w:r>
      <w:r>
        <w:rPr>
          <w:iCs/>
          <w:i/>
        </w:rPr>
        <w:t xml:space="preserve">liṭ</w:t>
      </w:r>
      <w:r>
        <w:t xml:space="preserve"> </w:t>
      </w:r>
      <w:r>
        <w:t xml:space="preserve">of</w:t>
      </w:r>
      <w:r>
        <w:t xml:space="preserve"> </w:t>
      </w:r>
      <w:r>
        <w:rPr>
          <w:iCs/>
          <w:i/>
        </w:rPr>
        <w:t xml:space="preserve">div</w:t>
      </w:r>
      <w:r>
        <w:t xml:space="preserve">, no</w:t>
      </w:r>
      <w:r>
        <w:t xml:space="preserve"> </w:t>
      </w:r>
      <w:r>
        <w:rPr>
          <w:iCs/>
          <w:i/>
        </w:rPr>
        <w:t xml:space="preserve">iṭ</w:t>
      </w:r>
      <w:r>
        <w:t xml:space="preserve"> </w:t>
      </w:r>
      <w:r>
        <w:t xml:space="preserve">by the restriction</w:t>
      </w:r>
      <w:r>
        <w:t xml:space="preserve"> </w:t>
      </w:r>
      <w:r>
        <w:t xml:space="preserve">“</w:t>
      </w:r>
      <w:r>
        <w:t xml:space="preserve">vasv-ekāj-ād-ghasām</w:t>
      </w:r>
      <w:r>
        <w:t xml:space="preserve">”</w:t>
      </w:r>
      <w:r>
        <w:t xml:space="preserve">, doubling,</w:t>
      </w:r>
      <w:r>
        <w:t xml:space="preserve"> </w:t>
      </w:r>
      <w:r>
        <w:t xml:space="preserve">“</w:t>
      </w:r>
      <w:r>
        <w:t xml:space="preserve">halādiḥ śeṣaḥ</w:t>
      </w:r>
      <w:r>
        <w:t xml:space="preserve">”</w:t>
      </w:r>
      <w:r>
        <w:t xml:space="preserve">, the second</w:t>
      </w:r>
      <w:r>
        <w:t xml:space="preserve"> </w:t>
      </w:r>
      <w:r>
        <w:rPr>
          <w:iCs/>
          <w:i/>
        </w:rPr>
        <w:t xml:space="preserve">v</w:t>
      </w:r>
      <w:r>
        <w:t xml:space="preserve"> </w:t>
      </w:r>
      <w:r>
        <w:t xml:space="preserve">dropped by</w:t>
      </w:r>
      <w:r>
        <w:t xml:space="preserve"> </w:t>
      </w:r>
      <w:r>
        <w:t xml:space="preserve">“</w:t>
      </w:r>
      <w:r>
        <w:t xml:space="preserve">lopo vyor vali</w:t>
      </w:r>
      <w:r>
        <w:t xml:space="preserve">”</w:t>
      </w:r>
      <w:r>
        <w:t xml:space="preserve">, no</w:t>
      </w:r>
      <w:r>
        <w:t xml:space="preserve"> </w:t>
      </w:r>
      <w:r>
        <w:rPr>
          <w:iCs/>
          <w:i/>
        </w:rPr>
        <w:t xml:space="preserve">guṇa</w:t>
      </w:r>
      <w:r>
        <w:t xml:space="preserve"> </w:t>
      </w:r>
      <w:r>
        <w:t xml:space="preserve">as</w:t>
      </w:r>
      <w:r>
        <w:t xml:space="preserve"> </w:t>
      </w:r>
      <w:r>
        <w:rPr>
          <w:iCs/>
          <w:i/>
        </w:rPr>
        <w:t xml:space="preserve">kit</w:t>
      </w:r>
      <w:r>
        <w:t xml:space="preserve">, the reduplicate lengthened by</w:t>
      </w:r>
      <w:r>
        <w:t xml:space="preserve"> </w:t>
      </w:r>
      <w:r>
        <w:t xml:space="preserve">“</w:t>
      </w:r>
      <w:r>
        <w:t xml:space="preserve">tujādīnāṃ dīrgho ’bhyāsasya</w:t>
      </w:r>
      <w:r>
        <w:t xml:space="preserve">”</w:t>
      </w:r>
      <w:r>
        <w:t xml:space="preserve"> </w:t>
      </w:r>
      <w:r>
        <w:t xml:space="preserve">(Pā. 6-1-7),</w:t>
      </w:r>
      <w:r>
        <w:t xml:space="preserve"> </w:t>
      </w:r>
      <w:r>
        <w:rPr>
          <w:iCs/>
          <w:i/>
        </w:rPr>
        <w:t xml:space="preserve">num</w:t>
      </w:r>
      <w:r>
        <w:t xml:space="preserve"> </w:t>
      </w:r>
      <w:r>
        <w:t xml:space="preserve">in the vocative, the</w:t>
      </w:r>
      <w:r>
        <w:t xml:space="preserve"> </w:t>
      </w:r>
      <w:r>
        <w:rPr>
          <w:iCs/>
          <w:i/>
        </w:rPr>
        <w:t xml:space="preserve">s</w:t>
      </w:r>
      <w:r>
        <w:t xml:space="preserve"> </w:t>
      </w:r>
      <w:r>
        <w:t xml:space="preserve">dropped (Pā. 8-2-23),</w:t>
      </w:r>
      <w:r>
        <w:t xml:space="preserve"> </w:t>
      </w:r>
      <w:r>
        <w:rPr>
          <w:iCs/>
          <w:i/>
        </w:rPr>
        <w:t xml:space="preserve">ru</w:t>
      </w:r>
      <w:r>
        <w:t xml:space="preserve"> </w:t>
      </w:r>
      <w:r>
        <w:t xml:space="preserve">for the</w:t>
      </w:r>
      <w:r>
        <w:t xml:space="preserve"> </w:t>
      </w:r>
      <w:r>
        <w:rPr>
          <w:iCs/>
          <w:i/>
        </w:rPr>
        <w:t xml:space="preserve">n</w:t>
      </w:r>
      <w:r>
        <w:t xml:space="preserve"> </w:t>
      </w:r>
      <w:r>
        <w:t xml:space="preserve">by</w:t>
      </w:r>
      <w:r>
        <w:t xml:space="preserve"> </w:t>
      </w:r>
      <w:r>
        <w:t xml:space="preserve">“</w:t>
      </w:r>
      <w:r>
        <w:t xml:space="preserve">matuvaso ru saṃbuddhau chandasi</w:t>
      </w:r>
      <w:r>
        <w:t xml:space="preserve">”</w:t>
      </w:r>
      <w:r>
        <w:t xml:space="preserve">, visarga; unaccented as a vocative after a word. Objection: the first vocative being treated as absent,</w:t>
      </w:r>
      <w:r>
        <w:t xml:space="preserve"> </w:t>
      </w:r>
      <w:r>
        <w:rPr>
          <w:iCs/>
          <w:i/>
        </w:rPr>
        <w:t xml:space="preserve">dīdivaḥ</w:t>
      </w:r>
      <w:r>
        <w:t xml:space="preserve"> </w:t>
      </w:r>
      <w:r>
        <w:t xml:space="preserve">would begin the pāda and could not be unaccented; and the bar</w:t>
      </w:r>
      <w:r>
        <w:t xml:space="preserve"> </w:t>
      </w:r>
      <w:r>
        <w:t xml:space="preserve">“</w:t>
      </w:r>
      <w:r>
        <w:t xml:space="preserve">nāmantrite samānādhikaraṇe sāmānyavacanam</w:t>
      </w:r>
      <w:r>
        <w:t xml:space="preserve">”</w:t>
      </w:r>
      <w:r>
        <w:t xml:space="preserve"> </w:t>
      </w:r>
      <w:r>
        <w:t xml:space="preserve">(Pā. 8-1-73) does not apply, since both are specific qualifiers of</w:t>
      </w:r>
      <w:r>
        <w:t xml:space="preserve"> </w:t>
      </w:r>
      <w:r>
        <w:rPr>
          <w:iCs/>
          <w:i/>
        </w:rPr>
        <w:t xml:space="preserve">agni</w:t>
      </w:r>
      <w:r>
        <w:t xml:space="preserve">; for the same reason, lacking mutual connection,</w:t>
      </w:r>
      <w:r>
        <w:t xml:space="preserve"> </w:t>
      </w:r>
      <w:r>
        <w:t xml:space="preserve">“</w:t>
      </w:r>
      <w:r>
        <w:t xml:space="preserve">samarthaḥ padavidhiḥ</w:t>
      </w:r>
      <w:r>
        <w:t xml:space="preserve">”</w:t>
      </w:r>
      <w:r>
        <w:t xml:space="preserve"> </w:t>
      </w:r>
      <w:r>
        <w:t xml:space="preserve">(Pā. 2-1-1) prevents the first from being treated as part of the next, as in</w:t>
      </w:r>
      <w:r>
        <w:t xml:space="preserve"> </w:t>
      </w:r>
      <w:r>
        <w:t xml:space="preserve">“</w:t>
      </w:r>
      <w:r>
        <w:t xml:space="preserve">iḍe rante ’dite sarasvati</w:t>
      </w:r>
      <w:r>
        <w:t xml:space="preserve">”</w:t>
      </w:r>
      <w:r>
        <w:t xml:space="preserve"> </w:t>
      </w:r>
      <w:r>
        <w:t xml:space="preserve">(T.S. 7-1-6-8), where each is initial-udātta. Answer: here</w:t>
      </w:r>
      <w:r>
        <w:t xml:space="preserve"> </w:t>
      </w:r>
      <w:r>
        <w:rPr>
          <w:iCs/>
          <w:i/>
        </w:rPr>
        <w:t xml:space="preserve">dīdiva</w:t>
      </w:r>
      <w:r>
        <w:t xml:space="preserve"> </w:t>
      </w:r>
      <w:r>
        <w:t xml:space="preserve">qualifies not</w:t>
      </w:r>
      <w:r>
        <w:t xml:space="preserve"> </w:t>
      </w:r>
      <w:r>
        <w:rPr>
          <w:iCs/>
          <w:i/>
        </w:rPr>
        <w:t xml:space="preserve">agni</w:t>
      </w:r>
      <w:r>
        <w:t xml:space="preserve"> </w:t>
      </w:r>
      <w:r>
        <w:t xml:space="preserve">but</w:t>
      </w:r>
      <w:r>
        <w:t xml:space="preserve"> </w:t>
      </w:r>
      <w:r>
        <w:rPr>
          <w:iCs/>
          <w:i/>
        </w:rPr>
        <w:t xml:space="preserve">ghṛtāhavana</w:t>
      </w:r>
      <w:r>
        <w:t xml:space="preserve">, which is meant as the qualified term, and the whole then qualifies</w:t>
      </w:r>
      <w:r>
        <w:t xml:space="preserve"> </w:t>
      </w:r>
      <w:r>
        <w:rPr>
          <w:iCs/>
          <w:i/>
        </w:rPr>
        <w:t xml:space="preserve">agni</w:t>
      </w:r>
      <w:r>
        <w:t xml:space="preserve">; so the bar of 8-1-73 applies and the loss of accent is in order, and by the qualifier-qualified relation</w:t>
      </w:r>
      <w:r>
        <w:t xml:space="preserve"> </w:t>
      </w:r>
      <w:r>
        <w:t xml:space="preserve">“</w:t>
      </w:r>
      <w:r>
        <w:t xml:space="preserve">subāmantrite…</w:t>
      </w:r>
      <w:r>
        <w:t xml:space="preserve">”</w:t>
      </w:r>
      <w:r>
        <w:t xml:space="preserve"> </w:t>
      </w:r>
      <w:r>
        <w:t xml:space="preserve">also works; in</w:t>
      </w:r>
      <w:r>
        <w:t xml:space="preserve"> </w:t>
      </w:r>
      <w:r>
        <w:rPr>
          <w:iCs/>
          <w:i/>
        </w:rPr>
        <w:t xml:space="preserve">iḍe rante</w:t>
      </w:r>
      <w:r>
        <w:t xml:space="preserve"> </w:t>
      </w:r>
      <w:r>
        <w:t xml:space="preserve">there is no such mutual connection — hence the difference.</w:t>
      </w:r>
      <w:r>
        <w:t xml:space="preserve"> </w:t>
      </w:r>
      <w:r>
        <w:rPr>
          <w:iCs/>
          <w:i/>
        </w:rPr>
        <w:t xml:space="preserve">riṣataḥ</w:t>
      </w:r>
      <w:r>
        <w:t xml:space="preserve"> </w:t>
      </w:r>
      <w:r>
        <w:t xml:space="preserve">—</w:t>
      </w:r>
      <w:r>
        <w:t xml:space="preserve"> </w:t>
      </w:r>
      <w:r>
        <w:rPr>
          <w:iCs/>
          <w:i/>
        </w:rPr>
        <w:t xml:space="preserve">śatṛ</w:t>
      </w:r>
      <w:r>
        <w:t xml:space="preserve"> </w:t>
      </w:r>
      <w:r>
        <w:t xml:space="preserve">after</w:t>
      </w:r>
      <w:r>
        <w:t xml:space="preserve"> </w:t>
      </w:r>
      <w:r>
        <w:rPr>
          <w:iCs/>
          <w:i/>
        </w:rPr>
        <w:t xml:space="preserve">ruṣa riṣa hiṃsārthāḥ</w:t>
      </w:r>
      <w:r>
        <w:t xml:space="preserve"> </w:t>
      </w:r>
      <w:r>
        <w:t xml:space="preserve">(</w:t>
      </w:r>
      <w:r>
        <w:rPr>
          <w:iCs/>
          <w:i/>
        </w:rPr>
        <w:t xml:space="preserve">bhvādi</w:t>
      </w:r>
      <w:r>
        <w:t xml:space="preserve">), the absence of</w:t>
      </w:r>
      <w:r>
        <w:t xml:space="preserve"> </w:t>
      </w:r>
      <w:r>
        <w:rPr>
          <w:iCs/>
          <w:i/>
        </w:rPr>
        <w:t xml:space="preserve">guṇa</w:t>
      </w:r>
      <w:r>
        <w:t xml:space="preserve"> </w:t>
      </w:r>
      <w:r>
        <w:t xml:space="preserve">with</w:t>
      </w:r>
      <w:r>
        <w:t xml:space="preserve"> </w:t>
      </w:r>
      <w:r>
        <w:rPr>
          <w:iCs/>
          <w:i/>
        </w:rPr>
        <w:t xml:space="preserve">śap</w:t>
      </w:r>
      <w:r>
        <w:t xml:space="preserve"> </w:t>
      </w:r>
      <w:r>
        <w:t xml:space="preserve">Vedic; or from</w:t>
      </w:r>
      <w:r>
        <w:t xml:space="preserve"> </w:t>
      </w:r>
      <w:r>
        <w:rPr>
          <w:iCs/>
          <w:i/>
        </w:rPr>
        <w:t xml:space="preserve">ruśa riśa hiṃsāyām</w:t>
      </w:r>
      <w:r>
        <w:t xml:space="preserve"> </w:t>
      </w:r>
      <w:r>
        <w:t xml:space="preserve">(</w:t>
      </w:r>
      <w:r>
        <w:rPr>
          <w:iCs/>
          <w:i/>
        </w:rPr>
        <w:t xml:space="preserve">tudādi</w:t>
      </w:r>
      <w:r>
        <w:t xml:space="preserve">) with Vedic</w:t>
      </w:r>
      <w:r>
        <w:t xml:space="preserve"> </w:t>
      </w:r>
      <w:r>
        <w:rPr>
          <w:iCs/>
          <w:i/>
        </w:rPr>
        <w:t xml:space="preserve">ṣ</w:t>
      </w:r>
      <w:r>
        <w:t xml:space="preserve">, no</w:t>
      </w:r>
      <w:r>
        <w:t xml:space="preserve"> </w:t>
      </w:r>
      <w:r>
        <w:rPr>
          <w:iCs/>
          <w:i/>
        </w:rPr>
        <w:t xml:space="preserve">guṇa</w:t>
      </w:r>
      <w:r>
        <w:t xml:space="preserve"> </w:t>
      </w:r>
      <w:r>
        <w:t xml:space="preserve">because</w:t>
      </w:r>
      <w:r>
        <w:t xml:space="preserve"> </w:t>
      </w:r>
      <w:r>
        <w:rPr>
          <w:iCs/>
          <w:i/>
        </w:rPr>
        <w:t xml:space="preserve">śa</w:t>
      </w:r>
      <w:r>
        <w:t xml:space="preserve"> </w:t>
      </w:r>
      <w:r>
        <w:t xml:space="preserve">is</w:t>
      </w:r>
      <w:r>
        <w:t xml:space="preserve"> </w:t>
      </w:r>
      <w:r>
        <w:rPr>
          <w:iCs/>
          <w:i/>
        </w:rPr>
        <w:t xml:space="preserve">ṅit</w:t>
      </w:r>
      <w:r>
        <w:t xml:space="preserve">;</w:t>
      </w:r>
      <w:r>
        <w:t xml:space="preserve"> </w:t>
      </w:r>
      <w:r>
        <w:rPr>
          <w:iCs/>
          <w:i/>
        </w:rPr>
        <w:t xml:space="preserve">rakṣasvinaḥ</w:t>
      </w:r>
      <w:r>
        <w:t xml:space="preserve"> </w:t>
      </w:r>
      <w:r>
        <w:t xml:space="preserve">—</w:t>
      </w:r>
      <w:r>
        <w:t xml:space="preserve"> </w:t>
      </w:r>
      <w:r>
        <w:rPr>
          <w:iCs/>
          <w:i/>
        </w:rPr>
        <w:t xml:space="preserve">vini</w:t>
      </w:r>
      <w:r>
        <w:t xml:space="preserve"> </w:t>
      </w:r>
      <w:r>
        <w:t xml:space="preserve">by</w:t>
      </w:r>
      <w:r>
        <w:t xml:space="preserve"> </w:t>
      </w:r>
      <w:r>
        <w:t xml:space="preserve">“</w:t>
      </w:r>
      <w:r>
        <w:t xml:space="preserve">as-māyā-medhā-srajo viniḥ</w:t>
      </w:r>
      <w:r>
        <w:t xml:space="preserve">”</w:t>
      </w:r>
      <w:r>
        <w:t xml:space="preserve"> </w:t>
      </w:r>
      <w:r>
        <w:t xml:space="preserve">(Pā. 5-2-121), initial-udātta of the suffix.)</w:t>
      </w:r>
    </w:p>
    <w:p>
      <w:pPr>
        <w:pStyle w:val="BodyText"/>
      </w:pPr>
      <w:r>
        <w:rPr>
          <w:bCs/>
          <w:b/>
        </w:rPr>
        <w:t xml:space="preserve">॥ Prati-padārthaḥ ॥</w:t>
      </w:r>
    </w:p>
    <w:p>
      <w:pPr>
        <w:pStyle w:val="BodyText"/>
      </w:pPr>
      <w:r>
        <w:rPr>
          <w:bCs/>
          <w:b/>
        </w:rPr>
        <w:t xml:space="preserve">घृताहवन (ghṛtāhavana)</w:t>
      </w:r>
      <w:r>
        <w:t xml:space="preserve"> </w:t>
      </w:r>
      <w:r>
        <w:t xml:space="preserve">— [you] called by offering ghee |</w:t>
      </w:r>
      <w:r>
        <w:t xml:space="preserve"> </w:t>
      </w:r>
      <w:r>
        <w:rPr>
          <w:bCs/>
          <w:b/>
        </w:rPr>
        <w:t xml:space="preserve">दीदिवः (dīdivaḥ)</w:t>
      </w:r>
      <w:r>
        <w:t xml:space="preserve"> </w:t>
      </w:r>
      <w:r>
        <w:t xml:space="preserve">— shining |</w:t>
      </w:r>
      <w:r>
        <w:t xml:space="preserve"> </w:t>
      </w:r>
      <w:r>
        <w:rPr>
          <w:bCs/>
          <w:b/>
        </w:rPr>
        <w:t xml:space="preserve">(हे) अग्ने ((he) agne)</w:t>
      </w:r>
      <w:r>
        <w:t xml:space="preserve"> </w:t>
      </w:r>
      <w:r>
        <w:t xml:space="preserve">— O Agni |</w:t>
      </w:r>
      <w:r>
        <w:t xml:space="preserve"> </w:t>
      </w:r>
      <w:r>
        <w:rPr>
          <w:bCs/>
          <w:b/>
        </w:rPr>
        <w:t xml:space="preserve">त्वम् (tvam)</w:t>
      </w:r>
      <w:r>
        <w:t xml:space="preserve"> </w:t>
      </w:r>
      <w:r>
        <w:t xml:space="preserve">— you |</w:t>
      </w:r>
      <w:r>
        <w:t xml:space="preserve"> </w:t>
      </w:r>
      <w:r>
        <w:rPr>
          <w:bCs/>
          <w:b/>
        </w:rPr>
        <w:t xml:space="preserve">रक्षस्विनः (rakṣasvinaḥ)</w:t>
      </w:r>
      <w:r>
        <w:t xml:space="preserve"> </w:t>
      </w:r>
      <w:r>
        <w:t xml:space="preserve">— accompanied by</w:t>
      </w:r>
      <w:r>
        <w:t xml:space="preserve"> </w:t>
      </w:r>
      <w:r>
        <w:rPr>
          <w:iCs/>
          <w:i/>
        </w:rPr>
        <w:t xml:space="preserve">rākṣasas</w:t>
      </w:r>
      <w:r>
        <w:t xml:space="preserve"> </w:t>
      </w:r>
      <w:r>
        <w:t xml:space="preserve">|</w:t>
      </w:r>
      <w:r>
        <w:t xml:space="preserve"> </w:t>
      </w:r>
      <w:r>
        <w:rPr>
          <w:bCs/>
          <w:b/>
        </w:rPr>
        <w:t xml:space="preserve">रिषतः (riṣataḥ)</w:t>
      </w:r>
      <w:r>
        <w:t xml:space="preserve"> </w:t>
      </w:r>
      <w:r>
        <w:t xml:space="preserve">— who do harm |</w:t>
      </w:r>
      <w:r>
        <w:t xml:space="preserve"> </w:t>
      </w:r>
      <w:r>
        <w:rPr>
          <w:bCs/>
          <w:b/>
        </w:rPr>
        <w:t xml:space="preserve">प्रति (prati)</w:t>
      </w:r>
      <w:r>
        <w:t xml:space="preserve"> </w:t>
      </w:r>
      <w:r>
        <w:t xml:space="preserve">— to us |</w:t>
      </w:r>
      <w:r>
        <w:t xml:space="preserve"> </w:t>
      </w:r>
      <w:r>
        <w:rPr>
          <w:bCs/>
          <w:b/>
        </w:rPr>
        <w:t xml:space="preserve">विरोधिनः (virodhinaḥ)</w:t>
      </w:r>
      <w:r>
        <w:t xml:space="preserve"> </w:t>
      </w:r>
      <w:r>
        <w:t xml:space="preserve">— the enemies |</w:t>
      </w:r>
      <w:r>
        <w:t xml:space="preserve"> </w:t>
      </w:r>
      <w:r>
        <w:rPr>
          <w:bCs/>
          <w:b/>
        </w:rPr>
        <w:t xml:space="preserve">दह स्म (daha sma)</w:t>
      </w:r>
      <w:r>
        <w:t xml:space="preserve"> </w:t>
      </w:r>
      <w:r>
        <w:t xml:space="preserve">— burn them to ashes.</w:t>
      </w:r>
    </w:p>
    <w:bookmarkEnd w:id="518"/>
    <w:bookmarkStart w:id="519" w:name="X23290110a98e3b2d4cf6f6af8111119a37dfe1b"/>
    <w:p>
      <w:pPr>
        <w:pStyle w:val="Heading3"/>
      </w:pPr>
      <w:r>
        <w:t xml:space="preserve">Page 499 — Rik 5: overall sense, English, Special Topics, grammar begins</w:t>
      </w:r>
    </w:p>
    <w:p>
      <w:pPr>
        <w:pStyle w:val="FirstParagraph"/>
      </w:pPr>
      <w:r>
        <w:rPr>
          <w:bCs/>
          <w:b/>
        </w:rPr>
        <w:t xml:space="preserve">॥ Bhāvārthaḥ ॥</w:t>
      </w:r>
    </w:p>
    <w:p>
      <w:pPr>
        <w:pStyle w:val="BodyText"/>
      </w:pPr>
      <w:r>
        <w:t xml:space="preserve">O Agni! When we call you, we make offerings with ghee. Therefore you shine blazing. As such, burn to ashes those enemies of ours who are accompanied by rākṣasas and who do us harm.</w:t>
      </w:r>
    </w:p>
    <w:p>
      <w:pPr>
        <w:pStyle w:val="BodyText"/>
      </w:pPr>
      <w:r>
        <w:rPr>
          <w:bCs/>
          <w:b/>
        </w:rPr>
        <w:t xml:space="preserve">॥ English Translation ॥</w:t>
      </w:r>
      <w:r>
        <w:t xml:space="preserve"> </w:t>
      </w:r>
      <w:r>
        <w:rPr>
          <w:iCs/>
          <w:i/>
        </w:rPr>
        <w:t xml:space="preserve">(as printed in the source)</w:t>
      </w:r>
    </w:p>
    <w:p>
      <w:pPr>
        <w:pStyle w:val="BlockText"/>
      </w:pPr>
      <w:r>
        <w:t xml:space="preserve">Resplendent Agni, invoked by oblations of clarified butter burn down our adversaries defended by evil spirits (Rakshas).</w:t>
      </w:r>
    </w:p>
    <w:p>
      <w:pPr>
        <w:pStyle w:val="FirstParagraph"/>
      </w:pPr>
      <w:r>
        <w:rPr>
          <w:bCs/>
          <w:b/>
        </w:rPr>
        <w:t xml:space="preserve">॥ Viśeṣa-viṣayagaḷu (Special Topics) ॥</w:t>
      </w:r>
    </w:p>
    <w:p>
      <w:pPr>
        <w:pStyle w:val="BodyText"/>
      </w:pPr>
      <w:r>
        <w:rPr>
          <w:bCs/>
          <w:b/>
        </w:rPr>
        <w:t xml:space="preserve">“</w:t>
      </w:r>
      <w:r>
        <w:rPr>
          <w:bCs/>
          <w:b/>
        </w:rPr>
        <w:t xml:space="preserve">Ghṛtāhavana,</w:t>
      </w:r>
      <w:r>
        <w:rPr>
          <w:bCs/>
          <w:b/>
        </w:rPr>
        <w:t xml:space="preserve">”</w:t>
      </w:r>
      <w:r>
        <w:rPr>
          <w:bCs/>
          <w:b/>
        </w:rPr>
        <w:t xml:space="preserve"> </w:t>
      </w:r>
      <w:r>
        <w:rPr>
          <w:bCs/>
          <w:b/>
        </w:rPr>
        <w:t xml:space="preserve">“</w:t>
      </w:r>
      <w:r>
        <w:rPr>
          <w:bCs/>
          <w:b/>
        </w:rPr>
        <w:t xml:space="preserve">dīdivaḥ</w:t>
      </w:r>
      <w:r>
        <w:rPr>
          <w:bCs/>
          <w:b/>
        </w:rPr>
        <w:t xml:space="preserve">”</w:t>
      </w:r>
      <w:r>
        <w:t xml:space="preserve"> </w:t>
      </w:r>
      <w:r>
        <w:t xml:space="preserve">— to call Agni by pouring ghee into him is the custom in sacrifices; and since Agni, when ghee is offered, blazes brightly, the word</w:t>
      </w:r>
      <w:r>
        <w:t xml:space="preserve"> </w:t>
      </w:r>
      <w:r>
        <w:rPr>
          <w:iCs/>
          <w:i/>
        </w:rPr>
        <w:t xml:space="preserve">dīdivaḥ</w:t>
      </w:r>
      <w:r>
        <w:t xml:space="preserve"> </w:t>
      </w:r>
      <w:r>
        <w:t xml:space="preserve">is used here.</w:t>
      </w:r>
    </w:p>
    <w:p>
      <w:pPr>
        <w:pStyle w:val="BodyText"/>
      </w:pPr>
      <w:r>
        <w:rPr>
          <w:bCs/>
          <w:b/>
        </w:rPr>
        <w:t xml:space="preserve">॥ Vyākaraṇa-prakriyā ॥</w:t>
      </w:r>
      <w:r>
        <w:t xml:space="preserve"> </w:t>
      </w:r>
      <w:r>
        <w:rPr>
          <w:iCs/>
          <w:i/>
        </w:rPr>
        <w:t xml:space="preserve">(grammar pages 499–502, noted briefly; numbers checked against the print)</w:t>
      </w:r>
    </w:p>
    <w:p>
      <w:pPr>
        <w:pStyle w:val="BodyText"/>
      </w:pPr>
      <w:r>
        <w:rPr>
          <w:bCs/>
          <w:b/>
        </w:rPr>
        <w:t xml:space="preserve">घृताहवन (</w:t>
      </w:r>
      <w:r>
        <w:rPr>
          <w:iCs/>
          <w:i/>
          <w:bCs/>
          <w:b/>
        </w:rPr>
        <w:t xml:space="preserve">ghṛtāhavana</w:t>
      </w:r>
      <w:r>
        <w:rPr>
          <w:bCs/>
          <w:b/>
        </w:rPr>
        <w:t xml:space="preserve">)</w:t>
      </w:r>
      <w:r>
        <w:t xml:space="preserve"> </w:t>
      </w:r>
      <w:r>
        <w:t xml:space="preserve">— with the analysis</w:t>
      </w:r>
      <w:r>
        <w:t xml:space="preserve"> </w:t>
      </w:r>
      <w:r>
        <w:t xml:space="preserve">“</w:t>
      </w:r>
      <w:r>
        <w:t xml:space="preserve">ghṛtena hūyate asmin</w:t>
      </w:r>
      <w:r>
        <w:t xml:space="preserve">”</w:t>
      </w:r>
      <w:r>
        <w:t xml:space="preserve">,</w:t>
      </w:r>
      <w:r>
        <w:t xml:space="preserve"> </w:t>
      </w:r>
      <w:r>
        <w:t xml:space="preserve">“</w:t>
      </w:r>
      <w:r>
        <w:t xml:space="preserve">karaṇādhikaraṇayoś ca</w:t>
      </w:r>
      <w:r>
        <w:t xml:space="preserve">”</w:t>
      </w:r>
      <w:r>
        <w:t xml:space="preserve"> </w:t>
      </w:r>
      <w:r>
        <w:t xml:space="preserve">(printed</w:t>
      </w:r>
      <w:r>
        <w:t xml:space="preserve"> </w:t>
      </w:r>
      <w:r>
        <w:t xml:space="preserve">“</w:t>
      </w:r>
      <w:r>
        <w:t xml:space="preserve">pā. sū. sū.</w:t>
      </w:r>
      <w:r>
        <w:t xml:space="preserve">”</w:t>
      </w:r>
      <w:r>
        <w:t xml:space="preserve"> </w:t>
      </w:r>
      <w:r>
        <w:t xml:space="preserve">[sic] 3-3-117): after a root,</w:t>
      </w:r>
      <w:r>
        <w:t xml:space="preserve"> </w:t>
      </w:r>
      <w:r>
        <w:rPr>
          <w:iCs/>
          <w:i/>
        </w:rPr>
        <w:t xml:space="preserve">lyuṭ</w:t>
      </w:r>
      <w:r>
        <w:t xml:space="preserve"> </w:t>
      </w:r>
      <w:r>
        <w:t xml:space="preserve">in the senses of instrument and locus; so</w:t>
      </w:r>
      <w:r>
        <w:t xml:space="preserve"> </w:t>
      </w:r>
      <w:r>
        <w:rPr>
          <w:iCs/>
          <w:i/>
        </w:rPr>
        <w:t xml:space="preserve">lyuṭ</w:t>
      </w:r>
      <w:r>
        <w:t xml:space="preserve"> </w:t>
      </w:r>
      <w:r>
        <w:t xml:space="preserve">after</w:t>
      </w:r>
      <w:r>
        <w:t xml:space="preserve"> </w:t>
      </w:r>
      <w:r>
        <w:rPr>
          <w:iCs/>
          <w:i/>
        </w:rPr>
        <w:t xml:space="preserve">hu dānādanayoḥ</w:t>
      </w:r>
      <w:r>
        <w:t xml:space="preserve">;</w:t>
      </w:r>
      <w:r>
        <w:t xml:space="preserve"> </w:t>
      </w:r>
      <w:r>
        <w:rPr>
          <w:iCs/>
          <w:i/>
        </w:rPr>
        <w:t xml:space="preserve">ana</w:t>
      </w:r>
      <w:r>
        <w:t xml:space="preserve"> </w:t>
      </w:r>
      <w:r>
        <w:t xml:space="preserve">by</w:t>
      </w:r>
      <w:r>
        <w:t xml:space="preserve"> </w:t>
      </w:r>
      <w:r>
        <w:t xml:space="preserve">“</w:t>
      </w:r>
      <w:r>
        <w:t xml:space="preserve">yuvor anākau</w:t>
      </w:r>
      <w:r>
        <w:t xml:space="preserve">”</w:t>
      </w:r>
      <w:r>
        <w:t xml:space="preserve"> </w:t>
      </w:r>
      <w:r>
        <w:t xml:space="preserve">(Pā. 7-1-1),</w:t>
      </w:r>
      <w:r>
        <w:t xml:space="preserve"> </w:t>
      </w:r>
      <w:r>
        <w:rPr>
          <w:iCs/>
          <w:i/>
        </w:rPr>
        <w:t xml:space="preserve">guṇa</w:t>
      </w:r>
      <w:r>
        <w:t xml:space="preserve">,</w:t>
      </w:r>
      <w:r>
        <w:t xml:space="preserve"> </w:t>
      </w:r>
      <w:r>
        <w:rPr>
          <w:iCs/>
          <w:i/>
        </w:rPr>
        <w:t xml:space="preserve">av</w:t>
      </w:r>
      <w:r>
        <w:t xml:space="preserve">:</w:t>
      </w:r>
      <w:r>
        <w:t xml:space="preserve"> </w:t>
      </w:r>
      <w:r>
        <w:rPr>
          <w:iCs/>
          <w:i/>
        </w:rPr>
        <w:t xml:space="preserve">havana</w:t>
      </w:r>
      <w:r>
        <w:t xml:space="preserve">. Although the root is transitive, its object is not meant, so it is intransitive; hence the ghee is an instrument in the action of</w:t>
      </w:r>
      <w:r>
        <w:t xml:space="preserve"> </w:t>
      </w:r>
      <w:r>
        <w:rPr>
          <w:iCs/>
          <w:i/>
        </w:rPr>
        <w:t xml:space="preserve">hu</w:t>
      </w:r>
      <w:r>
        <w:t xml:space="preserve">, not an object; not being an object, the third case of</w:t>
      </w:r>
      <w:r>
        <w:t xml:space="preserve"> </w:t>
      </w:r>
      <w:r>
        <w:t xml:space="preserve">“</w:t>
      </w:r>
      <w:r>
        <w:t xml:space="preserve">tṛtīyā ca hoś chandasi</w:t>
      </w:r>
      <w:r>
        <w:t xml:space="preserve">”</w:t>
      </w:r>
      <w:r>
        <w:t xml:space="preserve"> </w:t>
      </w:r>
      <w:r>
        <w:t xml:space="preserve">(Pā. 2-3-3) — in the Veda the third, and by</w:t>
      </w:r>
      <w:r>
        <w:t xml:space="preserve"> </w:t>
      </w:r>
      <w:r>
        <w:rPr>
          <w:iCs/>
          <w:i/>
        </w:rPr>
        <w:t xml:space="preserve">ca</w:t>
      </w:r>
      <w:r>
        <w:t xml:space="preserve"> </w:t>
      </w:r>
      <w:r>
        <w:t xml:space="preserve">the second, case after the object of the action of</w:t>
      </w:r>
      <w:r>
        <w:t xml:space="preserve"> </w:t>
      </w:r>
      <w:r>
        <w:rPr>
          <w:iCs/>
          <w:i/>
        </w:rPr>
        <w:t xml:space="preserve">hu</w:t>
      </w:r>
      <w:r>
        <w:t xml:space="preserve"> </w:t>
      </w:r>
      <w:r>
        <w:t xml:space="preserve">— does not come;</w:t>
      </w:r>
      <w:r>
        <w:t xml:space="preserve"> </w:t>
      </w:r>
      <w:r>
        <w:t xml:space="preserve">“</w:t>
      </w:r>
      <w:r>
        <w:t xml:space="preserve">kartṛ-karaṇayos tṛtīyā</w:t>
      </w:r>
      <w:r>
        <w:t xml:space="preserve">”</w:t>
      </w:r>
      <w:r>
        <w:t xml:space="preserve"> </w:t>
      </w:r>
      <w:r>
        <w:t xml:space="preserve">(Pā. 2-3-18) gives the third case in the instrumental sense:</w:t>
      </w:r>
      <w:r>
        <w:t xml:space="preserve"> </w:t>
      </w:r>
      <w:r>
        <w:rPr>
          <w:iCs/>
          <w:i/>
        </w:rPr>
        <w:t xml:space="preserve">ghṛtena</w:t>
      </w:r>
      <w:r>
        <w:t xml:space="preserve">. This is compounded with the</w:t>
      </w:r>
      <w:r>
        <w:t xml:space="preserve"> </w:t>
      </w:r>
      <w:r>
        <w:rPr>
          <w:iCs/>
          <w:i/>
        </w:rPr>
        <w:t xml:space="preserve">kṛdanta</w:t>
      </w:r>
      <w:r>
        <w:t xml:space="preserve"> </w:t>
      </w:r>
      <w:r>
        <w:rPr>
          <w:iCs/>
          <w:i/>
        </w:rPr>
        <w:t xml:space="preserve">havana</w:t>
      </w:r>
      <w:r>
        <w:t xml:space="preserve"> </w:t>
      </w:r>
      <w:r>
        <w:t xml:space="preserve">by</w:t>
      </w:r>
      <w:r>
        <w:t xml:space="preserve"> </w:t>
      </w:r>
      <w:r>
        <w:t xml:space="preserve">“</w:t>
      </w:r>
      <w:r>
        <w:t xml:space="preserve">kartṛ-karaṇe kṛtā bahulam</w:t>
      </w:r>
      <w:r>
        <w:t xml:space="preserve">”</w:t>
      </w:r>
      <w:r>
        <w:t xml:space="preserve"> </w:t>
      </w:r>
      <w:r>
        <w:t xml:space="preserve">(printed</w:t>
      </w:r>
      <w:r>
        <w:t xml:space="preserve"> </w:t>
      </w:r>
      <w:r>
        <w:t xml:space="preserve">“</w:t>
      </w:r>
      <w:r>
        <w:t xml:space="preserve">Pā. 2-1-3</w:t>
      </w:r>
      <w:r>
        <w:t xml:space="preserve">”</w:t>
      </w:r>
      <w:r>
        <w:t xml:space="preserve"> </w:t>
      </w:r>
      <w:r>
        <w:t xml:space="preserve">at a line end, the last digit not printed; the bhāṣya gives 2-1-32): a third-case</w:t>
      </w:r>
      <w:r>
        <w:t xml:space="preserve"> </w:t>
      </w:r>
      <w:r>
        <w:rPr>
          <w:iCs/>
          <w:i/>
        </w:rPr>
        <w:t xml:space="preserve">subanta</w:t>
      </w:r>
      <w:r>
        <w:t xml:space="preserve"> </w:t>
      </w:r>
      <w:r>
        <w:t xml:space="preserve">in the sense of agent or instrument is compounded with a connected</w:t>
      </w:r>
      <w:r>
        <w:t xml:space="preserve"> </w:t>
      </w:r>
      <w:r>
        <w:rPr>
          <w:iCs/>
          <w:i/>
        </w:rPr>
        <w:t xml:space="preserve">kṛdanta</w:t>
      </w:r>
      <w:r>
        <w:t xml:space="preserve">:</w:t>
      </w:r>
      <w:r>
        <w:t xml:space="preserve"> </w:t>
      </w:r>
      <w:r>
        <w:rPr>
          <w:iCs/>
          <w:i/>
        </w:rPr>
        <w:t xml:space="preserve">ghṛtahavana</w:t>
      </w:r>
      <w:r>
        <w:t xml:space="preserve"> </w:t>
      </w:r>
      <w:r>
        <w:t xml:space="preserve">[sic]. Now</w:t>
      </w:r>
      <w:r>
        <w:t xml:space="preserve"> </w:t>
      </w:r>
      <w:r>
        <w:t xml:space="preserve">“</w:t>
      </w:r>
      <w:r>
        <w:t xml:space="preserve">tatpuruṣe tulyārtha…</w:t>
      </w:r>
      <w:r>
        <w:t xml:space="preserve">”</w:t>
      </w:r>
      <w:r>
        <w:t xml:space="preserve"> </w:t>
      </w:r>
      <w:r>
        <w:t xml:space="preserve">(Pā. 6-2-2) would give the first member’s accent, but setting it aside</w:t>
      </w:r>
      <w:r>
        <w:t xml:space="preserve"> </w:t>
      </w:r>
      <w:r>
        <w:t xml:space="preserve">“</w:t>
      </w:r>
      <w:r>
        <w:t xml:space="preserve">gatikārakopapadāt kṛt</w:t>
      </w:r>
      <w:r>
        <w:t xml:space="preserve">”</w:t>
      </w:r>
      <w:r>
        <w:t xml:space="preserve"> </w:t>
      </w:r>
      <w:r>
        <w:t xml:space="preserve">(Pā. 6-2-139)</w:t>
      </w:r>
    </w:p>
    <w:bookmarkEnd w:id="519"/>
    <w:bookmarkStart w:id="520" w:name="page-500-rik-5-grammar-continued"/>
    <w:p>
      <w:pPr>
        <w:pStyle w:val="Heading3"/>
      </w:pPr>
      <w:r>
        <w:t xml:space="preserve">Page 500 — Rik 5 grammar (continued)</w:t>
      </w:r>
    </w:p>
    <w:p>
      <w:pPr>
        <w:pStyle w:val="FirstParagraph"/>
      </w:pPr>
      <w:r>
        <w:t xml:space="preserve">gives the accent of the</w:t>
      </w:r>
      <w:r>
        <w:t xml:space="preserve"> </w:t>
      </w:r>
      <w:r>
        <w:rPr>
          <w:iCs/>
          <w:i/>
        </w:rPr>
        <w:t xml:space="preserve">kṛt</w:t>
      </w:r>
      <w:r>
        <w:t xml:space="preserve"> </w:t>
      </w:r>
      <w:r>
        <w:t xml:space="preserve">second member at the stem stage itself. Then, on adding the vocative singular,</w:t>
      </w:r>
      <w:r>
        <w:t xml:space="preserve"> </w:t>
      </w:r>
      <w:r>
        <w:t xml:space="preserve">“</w:t>
      </w:r>
      <w:r>
        <w:t xml:space="preserve">eṅ-hrasvāt saṃbuddheḥ</w:t>
      </w:r>
      <w:r>
        <w:t xml:space="preserve">”</w:t>
      </w:r>
      <w:r>
        <w:t xml:space="preserve"> </w:t>
      </w:r>
      <w:r>
        <w:t xml:space="preserve">(Pā. 6-1-69) drops the consonant of the vocative ending after a stem ending in</w:t>
      </w:r>
      <w:r>
        <w:t xml:space="preserve"> </w:t>
      </w:r>
      <w:r>
        <w:rPr>
          <w:iCs/>
          <w:i/>
        </w:rPr>
        <w:t xml:space="preserve">eṅ</w:t>
      </w:r>
      <w:r>
        <w:t xml:space="preserve"> </w:t>
      </w:r>
      <w:r>
        <w:t xml:space="preserve">or a short vowel;</w:t>
      </w:r>
      <w:r>
        <w:t xml:space="preserve"> </w:t>
      </w:r>
      <w:r>
        <w:rPr>
          <w:iCs/>
          <w:i/>
        </w:rPr>
        <w:t xml:space="preserve">ghṛtahavana</w:t>
      </w:r>
      <w:r>
        <w:t xml:space="preserve"> </w:t>
      </w:r>
      <w:r>
        <w:t xml:space="preserve">[sic] becomes a vocative, initial-udātta by</w:t>
      </w:r>
      <w:r>
        <w:t xml:space="preserve"> </w:t>
      </w:r>
      <w:r>
        <w:t xml:space="preserve">“</w:t>
      </w:r>
      <w:r>
        <w:t xml:space="preserve">āmantritasya ca</w:t>
      </w:r>
      <w:r>
        <w:t xml:space="preserve">”</w:t>
      </w:r>
      <w:r>
        <w:t xml:space="preserve"> </w:t>
      </w:r>
      <w:r>
        <w:t xml:space="preserve">(Pā. 6-1-198).</w:t>
      </w:r>
      <w:r>
        <w:t xml:space="preserve"> </w:t>
      </w:r>
      <w:r>
        <w:rPr>
          <w:bCs/>
          <w:b/>
        </w:rPr>
        <w:t xml:space="preserve">दीदिवः (</w:t>
      </w:r>
      <w:r>
        <w:rPr>
          <w:iCs/>
          <w:i/>
          <w:bCs/>
          <w:b/>
        </w:rPr>
        <w:t xml:space="preserve">dīdivaḥ</w:t>
      </w:r>
      <w:r>
        <w:rPr>
          <w:bCs/>
          <w:b/>
        </w:rPr>
        <w:t xml:space="preserve">)</w:t>
      </w:r>
      <w:r>
        <w:t xml:space="preserve"> </w:t>
      </w:r>
      <w:r>
        <w:t xml:space="preserve">— root</w:t>
      </w:r>
      <w:r>
        <w:t xml:space="preserve"> </w:t>
      </w:r>
      <w:r>
        <w:rPr>
          <w:iCs/>
          <w:i/>
        </w:rPr>
        <w:t xml:space="preserve">divu krīḍā-vijigīṣā-vyavahāra-dyuti-moda-mada-svapna-kānti-gatiṣu</w:t>
      </w:r>
      <w:r>
        <w:t xml:space="preserve">;</w:t>
      </w:r>
      <w:r>
        <w:t xml:space="preserve"> </w:t>
      </w:r>
      <w:r>
        <w:rPr>
          <w:iCs/>
          <w:i/>
        </w:rPr>
        <w:t xml:space="preserve">liṭ</w:t>
      </w:r>
      <w:r>
        <w:t xml:space="preserve">, replaced by</w:t>
      </w:r>
      <w:r>
        <w:t xml:space="preserve"> </w:t>
      </w:r>
      <w:r>
        <w:rPr>
          <w:iCs/>
          <w:i/>
        </w:rPr>
        <w:t xml:space="preserve">kvasu</w:t>
      </w:r>
      <w:r>
        <w:t xml:space="preserve"> </w:t>
      </w:r>
      <w:r>
        <w:t xml:space="preserve">by</w:t>
      </w:r>
      <w:r>
        <w:t xml:space="preserve"> </w:t>
      </w:r>
      <w:r>
        <w:t xml:space="preserve">“</w:t>
      </w:r>
      <w:r>
        <w:t xml:space="preserve">kvasuś ca</w:t>
      </w:r>
      <w:r>
        <w:t xml:space="preserve">”</w:t>
      </w:r>
      <w:r>
        <w:t xml:space="preserve"> </w:t>
      </w:r>
      <w:r>
        <w:t xml:space="preserve">(Pā. 3-2-107):</w:t>
      </w:r>
      <w:r>
        <w:t xml:space="preserve"> </w:t>
      </w:r>
      <w:r>
        <w:rPr>
          <w:iCs/>
          <w:i/>
        </w:rPr>
        <w:t xml:space="preserve">div</w:t>
      </w:r>
      <w:r>
        <w:t xml:space="preserve"> </w:t>
      </w:r>
      <w:r>
        <w:t xml:space="preserve">+</w:t>
      </w:r>
      <w:r>
        <w:t xml:space="preserve"> </w:t>
      </w:r>
      <w:r>
        <w:rPr>
          <w:iCs/>
          <w:i/>
        </w:rPr>
        <w:t xml:space="preserve">vas</w:t>
      </w:r>
      <w:r>
        <w:t xml:space="preserve">;</w:t>
      </w:r>
      <w:r>
        <w:t xml:space="preserve"> </w:t>
      </w:r>
      <w:r>
        <w:t xml:space="preserve">“</w:t>
      </w:r>
      <w:r>
        <w:t xml:space="preserve">vasv-ekāj-ād-ghasām</w:t>
      </w:r>
      <w:r>
        <w:t xml:space="preserve">”</w:t>
      </w:r>
      <w:r>
        <w:t xml:space="preserve"> </w:t>
      </w:r>
      <w:r>
        <w:t xml:space="preserve">(Pā. 7-2-67): only after roots that are monosyllabic after doubling, roots in</w:t>
      </w:r>
      <w:r>
        <w:t xml:space="preserve"> </w:t>
      </w:r>
      <w:r>
        <w:rPr>
          <w:iCs/>
          <w:i/>
        </w:rPr>
        <w:t xml:space="preserve">ā</w:t>
      </w:r>
      <w:r>
        <w:t xml:space="preserve">, and</w:t>
      </w:r>
      <w:r>
        <w:t xml:space="preserve"> </w:t>
      </w:r>
      <w:r>
        <w:rPr>
          <w:iCs/>
          <w:i/>
        </w:rPr>
        <w:t xml:space="preserve">ghasḷ</w:t>
      </w:r>
      <w:r>
        <w:t xml:space="preserve"> </w:t>
      </w:r>
      <w:r>
        <w:t xml:space="preserve">does</w:t>
      </w:r>
      <w:r>
        <w:t xml:space="preserve"> </w:t>
      </w:r>
      <w:r>
        <w:rPr>
          <w:iCs/>
          <w:i/>
        </w:rPr>
        <w:t xml:space="preserve">vas</w:t>
      </w:r>
      <w:r>
        <w:t xml:space="preserve"> </w:t>
      </w:r>
      <w:r>
        <w:t xml:space="preserve">take</w:t>
      </w:r>
      <w:r>
        <w:t xml:space="preserve"> </w:t>
      </w:r>
      <w:r>
        <w:rPr>
          <w:iCs/>
          <w:i/>
        </w:rPr>
        <w:t xml:space="preserve">iṭ</w:t>
      </w:r>
      <w:r>
        <w:t xml:space="preserve">; after other roots it does not, so here none; doubling by</w:t>
      </w:r>
      <w:r>
        <w:t xml:space="preserve"> </w:t>
      </w:r>
      <w:r>
        <w:t xml:space="preserve">“</w:t>
      </w:r>
      <w:r>
        <w:t xml:space="preserve">liṭi dhātor anabhyāsasya</w:t>
      </w:r>
      <w:r>
        <w:t xml:space="preserve">”</w:t>
      </w:r>
      <w:r>
        <w:t xml:space="preserve"> </w:t>
      </w:r>
      <w:r>
        <w:t xml:space="preserve">(Pā. 6-1-8):</w:t>
      </w:r>
      <w:r>
        <w:t xml:space="preserve"> </w:t>
      </w:r>
      <w:r>
        <w:rPr>
          <w:iCs/>
          <w:i/>
        </w:rPr>
        <w:t xml:space="preserve">div div</w:t>
      </w:r>
      <w:r>
        <w:t xml:space="preserve"> </w:t>
      </w:r>
      <w:r>
        <w:t xml:space="preserve">+</w:t>
      </w:r>
      <w:r>
        <w:t xml:space="preserve"> </w:t>
      </w:r>
      <w:r>
        <w:rPr>
          <w:iCs/>
          <w:i/>
        </w:rPr>
        <w:t xml:space="preserve">vas</w:t>
      </w:r>
      <w:r>
        <w:t xml:space="preserve">;</w:t>
      </w:r>
      <w:r>
        <w:t xml:space="preserve"> </w:t>
      </w:r>
      <w:r>
        <w:t xml:space="preserve">“</w:t>
      </w:r>
      <w:r>
        <w:t xml:space="preserve">halādiḥ śeṣaḥ</w:t>
      </w:r>
      <w:r>
        <w:t xml:space="preserve">”</w:t>
      </w:r>
      <w:r>
        <w:t xml:space="preserve"> </w:t>
      </w:r>
      <w:r>
        <w:t xml:space="preserve">(printed</w:t>
      </w:r>
      <w:r>
        <w:t xml:space="preserve"> </w:t>
      </w:r>
      <w:r>
        <w:t xml:space="preserve">“</w:t>
      </w:r>
      <w:r>
        <w:t xml:space="preserve">(Pā. sū.) 7-4-60</w:t>
      </w:r>
      <w:r>
        <w:t xml:space="preserve">”</w:t>
      </w:r>
      <w:r>
        <w:t xml:space="preserve">) removes the</w:t>
      </w:r>
      <w:r>
        <w:t xml:space="preserve"> </w:t>
      </w:r>
      <w:r>
        <w:rPr>
          <w:iCs/>
          <w:i/>
        </w:rPr>
        <w:t xml:space="preserve">v</w:t>
      </w:r>
      <w:r>
        <w:t xml:space="preserve"> </w:t>
      </w:r>
      <w:r>
        <w:t xml:space="preserve">of the reduplicate;</w:t>
      </w:r>
      <w:r>
        <w:t xml:space="preserve"> </w:t>
      </w:r>
      <w:r>
        <w:t xml:space="preserve">“</w:t>
      </w:r>
      <w:r>
        <w:t xml:space="preserve">tujādīnāṃ dīrgho ’bhyāsasya</w:t>
      </w:r>
      <w:r>
        <w:t xml:space="preserve">”</w:t>
      </w:r>
      <w:r>
        <w:t xml:space="preserve"> </w:t>
      </w:r>
      <w:r>
        <w:t xml:space="preserve">(Pā. 6-1-7):</w:t>
      </w:r>
      <w:r>
        <w:t xml:space="preserve"> </w:t>
      </w:r>
      <w:r>
        <w:rPr>
          <w:iCs/>
          <w:i/>
        </w:rPr>
        <w:t xml:space="preserve">tujādi</w:t>
      </w:r>
      <w:r>
        <w:t xml:space="preserve"> </w:t>
      </w:r>
      <w:r>
        <w:t xml:space="preserve">is an</w:t>
      </w:r>
      <w:r>
        <w:t xml:space="preserve"> </w:t>
      </w:r>
      <w:r>
        <w:rPr>
          <w:iCs/>
          <w:i/>
        </w:rPr>
        <w:t xml:space="preserve">ākṛtigaṇa</w:t>
      </w:r>
      <w:r>
        <w:t xml:space="preserve">, and the reduplicate of its roots is lengthened in the Veda:</w:t>
      </w:r>
      <w:r>
        <w:t xml:space="preserve"> </w:t>
      </w:r>
      <w:r>
        <w:rPr>
          <w:iCs/>
          <w:i/>
        </w:rPr>
        <w:t xml:space="preserve">dīdiv</w:t>
      </w:r>
      <w:r>
        <w:t xml:space="preserve"> </w:t>
      </w:r>
      <w:r>
        <w:t xml:space="preserve">+</w:t>
      </w:r>
      <w:r>
        <w:t xml:space="preserve"> </w:t>
      </w:r>
      <w:r>
        <w:rPr>
          <w:iCs/>
          <w:i/>
        </w:rPr>
        <w:t xml:space="preserve">vas</w:t>
      </w:r>
      <w:r>
        <w:t xml:space="preserve">;</w:t>
      </w:r>
      <w:r>
        <w:t xml:space="preserve"> </w:t>
      </w:r>
      <w:r>
        <w:t xml:space="preserve">“</w:t>
      </w:r>
      <w:r>
        <w:t xml:space="preserve">lopo vyor vali</w:t>
      </w:r>
      <w:r>
        <w:t xml:space="preserve">”</w:t>
      </w:r>
      <w:r>
        <w:t xml:space="preserve"> </w:t>
      </w:r>
      <w:r>
        <w:t xml:space="preserve">(Pā. 6-1-66) drops</w:t>
      </w:r>
      <w:r>
        <w:t xml:space="preserve"> </w:t>
      </w:r>
      <w:r>
        <w:rPr>
          <w:iCs/>
          <w:i/>
        </w:rPr>
        <w:t xml:space="preserve">v</w:t>
      </w:r>
      <w:r>
        <w:t xml:space="preserve"> </w:t>
      </w:r>
      <w:r>
        <w:t xml:space="preserve">or</w:t>
      </w:r>
      <w:r>
        <w:t xml:space="preserve"> </w:t>
      </w:r>
      <w:r>
        <w:rPr>
          <w:iCs/>
          <w:i/>
        </w:rPr>
        <w:t xml:space="preserve">y</w:t>
      </w:r>
      <w:r>
        <w:t xml:space="preserve"> </w:t>
      </w:r>
      <w:r>
        <w:t xml:space="preserve">before a</w:t>
      </w:r>
      <w:r>
        <w:t xml:space="preserve"> </w:t>
      </w:r>
      <w:r>
        <w:rPr>
          <w:iCs/>
          <w:i/>
        </w:rPr>
        <w:t xml:space="preserve">val</w:t>
      </w:r>
      <w:r>
        <w:t xml:space="preserve"> </w:t>
      </w:r>
      <w:r>
        <w:t xml:space="preserve">letter, so the</w:t>
      </w:r>
      <w:r>
        <w:t xml:space="preserve"> </w:t>
      </w:r>
      <w:r>
        <w:rPr>
          <w:iCs/>
          <w:i/>
        </w:rPr>
        <w:t xml:space="preserve">v</w:t>
      </w:r>
      <w:r>
        <w:t xml:space="preserve"> </w:t>
      </w:r>
      <w:r>
        <w:t xml:space="preserve">of the second</w:t>
      </w:r>
      <w:r>
        <w:t xml:space="preserve"> </w:t>
      </w:r>
      <w:r>
        <w:rPr>
          <w:iCs/>
          <w:i/>
        </w:rPr>
        <w:t xml:space="preserve">div</w:t>
      </w:r>
      <w:r>
        <w:t xml:space="preserve">:</w:t>
      </w:r>
      <w:r>
        <w:t xml:space="preserve"> </w:t>
      </w:r>
      <w:r>
        <w:rPr>
          <w:iCs/>
          <w:i/>
        </w:rPr>
        <w:t xml:space="preserve">dīdivas</w:t>
      </w:r>
      <w:r>
        <w:t xml:space="preserve">;</w:t>
      </w:r>
      <w:r>
        <w:t xml:space="preserve"> </w:t>
      </w:r>
      <w:r>
        <w:rPr>
          <w:iCs/>
          <w:i/>
        </w:rPr>
        <w:t xml:space="preserve">kvasu</w:t>
      </w:r>
      <w:r>
        <w:t xml:space="preserve"> </w:t>
      </w:r>
      <w:r>
        <w:t xml:space="preserve">is</w:t>
      </w:r>
      <w:r>
        <w:t xml:space="preserve"> </w:t>
      </w:r>
      <w:r>
        <w:rPr>
          <w:iCs/>
          <w:i/>
        </w:rPr>
        <w:t xml:space="preserve">kit</w:t>
      </w:r>
      <w:r>
        <w:t xml:space="preserve">, so</w:t>
      </w:r>
      <w:r>
        <w:t xml:space="preserve"> </w:t>
      </w:r>
      <w:r>
        <w:t xml:space="preserve">“</w:t>
      </w:r>
      <w:r>
        <w:t xml:space="preserve">sārvadhātukārdhadhātukayoḥ</w:t>
      </w:r>
      <w:r>
        <w:t xml:space="preserve">”</w:t>
      </w:r>
      <w:r>
        <w:t xml:space="preserve"> </w:t>
      </w:r>
      <w:r>
        <w:t xml:space="preserve">(Pā. 7-3-84) gives no</w:t>
      </w:r>
      <w:r>
        <w:t xml:space="preserve"> </w:t>
      </w:r>
      <w:r>
        <w:rPr>
          <w:iCs/>
          <w:i/>
        </w:rPr>
        <w:t xml:space="preserve">guṇa</w:t>
      </w:r>
      <w:r>
        <w:t xml:space="preserve">. Then the vocative singular</w:t>
      </w:r>
      <w:r>
        <w:t xml:space="preserve"> </w:t>
      </w:r>
      <w:r>
        <w:rPr>
          <w:iCs/>
          <w:i/>
        </w:rPr>
        <w:t xml:space="preserve">su</w:t>
      </w:r>
      <w:r>
        <w:t xml:space="preserve">;</w:t>
      </w:r>
      <w:r>
        <w:t xml:space="preserve"> </w:t>
      </w:r>
      <w:r>
        <w:t xml:space="preserve">“</w:t>
      </w:r>
      <w:r>
        <w:t xml:space="preserve">ugid-acāṃ sarvanāmasthāne ’dhātoḥ</w:t>
      </w:r>
      <w:r>
        <w:t xml:space="preserve">”</w:t>
      </w:r>
      <w:r>
        <w:t xml:space="preserve"> </w:t>
      </w:r>
      <w:r>
        <w:t xml:space="preserve">(Pā. 7-1-70) gives</w:t>
      </w:r>
      <w:r>
        <w:t xml:space="preserve"> </w:t>
      </w:r>
      <w:r>
        <w:rPr>
          <w:iCs/>
          <w:i/>
        </w:rPr>
        <w:t xml:space="preserve">num</w:t>
      </w:r>
      <w:r>
        <w:t xml:space="preserve"> </w:t>
      </w:r>
      <w:r>
        <w:t xml:space="preserve">before a</w:t>
      </w:r>
      <w:r>
        <w:t xml:space="preserve"> </w:t>
      </w:r>
      <w:r>
        <w:rPr>
          <w:iCs/>
          <w:i/>
        </w:rPr>
        <w:t xml:space="preserve">sarvanāmasthāna</w:t>
      </w:r>
      <w:r>
        <w:t xml:space="preserve"> </w:t>
      </w:r>
      <w:r>
        <w:t xml:space="preserve">to</w:t>
      </w:r>
      <w:r>
        <w:t xml:space="preserve"> </w:t>
      </w:r>
      <w:r>
        <w:rPr>
          <w:iCs/>
          <w:i/>
        </w:rPr>
        <w:t xml:space="preserve">ugit</w:t>
      </w:r>
      <w:r>
        <w:t xml:space="preserve"> </w:t>
      </w:r>
      <w:r>
        <w:t xml:space="preserve">non-root stems and to</w:t>
      </w:r>
      <w:r>
        <w:t xml:space="preserve"> </w:t>
      </w:r>
      <w:r>
        <w:rPr>
          <w:iCs/>
          <w:i/>
        </w:rPr>
        <w:t xml:space="preserve">añc</w:t>
      </w:r>
      <w:r>
        <w:t xml:space="preserve"> </w:t>
      </w:r>
      <w:r>
        <w:t xml:space="preserve">that has lost its</w:t>
      </w:r>
      <w:r>
        <w:t xml:space="preserve"> </w:t>
      </w:r>
      <w:r>
        <w:rPr>
          <w:iCs/>
          <w:i/>
        </w:rPr>
        <w:t xml:space="preserve">n</w:t>
      </w:r>
      <w:r>
        <w:t xml:space="preserve">:</w:t>
      </w:r>
      <w:r>
        <w:t xml:space="preserve"> </w:t>
      </w:r>
      <w:r>
        <w:rPr>
          <w:iCs/>
          <w:i/>
        </w:rPr>
        <w:t xml:space="preserve">dīdivans</w:t>
      </w:r>
      <w:r>
        <w:t xml:space="preserve"> </w:t>
      </w:r>
      <w:r>
        <w:t xml:space="preserve">+</w:t>
      </w:r>
      <w:r>
        <w:t xml:space="preserve"> </w:t>
      </w:r>
      <w:r>
        <w:rPr>
          <w:iCs/>
          <w:i/>
        </w:rPr>
        <w:t xml:space="preserve">su</w:t>
      </w:r>
      <w:r>
        <w:t xml:space="preserve">;</w:t>
      </w:r>
      <w:r>
        <w:t xml:space="preserve"> </w:t>
      </w:r>
      <w:r>
        <w:rPr>
          <w:iCs/>
          <w:i/>
        </w:rPr>
        <w:t xml:space="preserve">su</w:t>
      </w:r>
      <w:r>
        <w:t xml:space="preserve"> </w:t>
      </w:r>
      <w:r>
        <w:t xml:space="preserve">dropped by</w:t>
      </w:r>
      <w:r>
        <w:t xml:space="preserve"> </w:t>
      </w:r>
      <w:r>
        <w:t xml:space="preserve">“</w:t>
      </w:r>
      <w:r>
        <w:t xml:space="preserve">hal-ṅyābbhyaḥ</w:t>
      </w:r>
      <w:r>
        <w:t xml:space="preserve">”</w:t>
      </w:r>
      <w:r>
        <w:t xml:space="preserve"> </w:t>
      </w:r>
      <w:r>
        <w:t xml:space="preserve">(Pā. 6-1-68);</w:t>
      </w:r>
      <w:r>
        <w:t xml:space="preserve"> </w:t>
      </w:r>
      <w:r>
        <w:t xml:space="preserve">“</w:t>
      </w:r>
      <w:r>
        <w:t xml:space="preserve">saṃyogāntasya lopaḥ</w:t>
      </w:r>
      <w:r>
        <w:t xml:space="preserve">”</w:t>
      </w:r>
      <w:r>
        <w:t xml:space="preserve"> </w:t>
      </w:r>
      <w:r>
        <w:t xml:space="preserve">(Pā. 8-2-23) drops the</w:t>
      </w:r>
      <w:r>
        <w:t xml:space="preserve"> </w:t>
      </w:r>
      <w:r>
        <w:rPr>
          <w:iCs/>
          <w:i/>
        </w:rPr>
        <w:t xml:space="preserve">s</w:t>
      </w:r>
      <w:r>
        <w:t xml:space="preserve">:</w:t>
      </w:r>
      <w:r>
        <w:t xml:space="preserve"> </w:t>
      </w:r>
      <w:r>
        <w:rPr>
          <w:iCs/>
          <w:i/>
        </w:rPr>
        <w:t xml:space="preserve">dīdivan</w:t>
      </w:r>
      <w:r>
        <w:t xml:space="preserve">;</w:t>
      </w:r>
      <w:r>
        <w:t xml:space="preserve"> </w:t>
      </w:r>
      <w:r>
        <w:t xml:space="preserve">“</w:t>
      </w:r>
      <w:r>
        <w:t xml:space="preserve">matuvaso ru saṃbuddhau chandasi</w:t>
      </w:r>
      <w:r>
        <w:t xml:space="preserve">”</w:t>
      </w:r>
      <w:r>
        <w:t xml:space="preserve"> </w:t>
      </w:r>
      <w:r>
        <w:t xml:space="preserve">(Pā. 8-3-1) gives</w:t>
      </w:r>
      <w:r>
        <w:t xml:space="preserve"> </w:t>
      </w:r>
      <w:r>
        <w:rPr>
          <w:iCs/>
          <w:i/>
        </w:rPr>
        <w:t xml:space="preserve">ru</w:t>
      </w:r>
      <w:r>
        <w:t xml:space="preserve"> </w:t>
      </w:r>
      <w:r>
        <w:t xml:space="preserve">for the final of a</w:t>
      </w:r>
      <w:r>
        <w:t xml:space="preserve"> </w:t>
      </w:r>
      <w:r>
        <w:rPr>
          <w:iCs/>
          <w:i/>
        </w:rPr>
        <w:t xml:space="preserve">matup</w:t>
      </w:r>
      <w:r>
        <w:t xml:space="preserve">- or</w:t>
      </w:r>
      <w:r>
        <w:t xml:space="preserve"> </w:t>
      </w:r>
      <w:r>
        <w:rPr>
          <w:iCs/>
          <w:i/>
        </w:rPr>
        <w:t xml:space="preserve">vasu</w:t>
      </w:r>
      <w:r>
        <w:t xml:space="preserve">-stem before the vocative in the Veda; visarga by</w:t>
      </w:r>
      <w:r>
        <w:t xml:space="preserve"> </w:t>
      </w:r>
      <w:r>
        <w:t xml:space="preserve">“</w:t>
      </w:r>
      <w:r>
        <w:t xml:space="preserve">kharavasānayor visarjanīyaḥ</w:t>
      </w:r>
      <w:r>
        <w:t xml:space="preserve">”</w:t>
      </w:r>
      <w:r>
        <w:t xml:space="preserve"> </w:t>
      </w:r>
      <w:r>
        <w:t xml:space="preserve">(Pā. 8-3-15):</w:t>
      </w:r>
      <w:r>
        <w:t xml:space="preserve"> </w:t>
      </w:r>
      <w:r>
        <w:rPr>
          <w:iCs/>
          <w:i/>
        </w:rPr>
        <w:t xml:space="preserve">dīdivaḥ</w:t>
      </w:r>
      <w:r>
        <w:t xml:space="preserve">. It stands after the word</w:t>
      </w:r>
      <w:r>
        <w:t xml:space="preserve"> </w:t>
      </w:r>
      <w:r>
        <w:rPr>
          <w:iCs/>
          <w:i/>
        </w:rPr>
        <w:t xml:space="preserve">ghṛtāhavana</w:t>
      </w:r>
      <w:r>
        <w:t xml:space="preserve">, so</w:t>
      </w:r>
      <w:r>
        <w:t xml:space="preserve"> </w:t>
      </w:r>
      <w:r>
        <w:t xml:space="preserve">“</w:t>
      </w:r>
      <w:r>
        <w:t xml:space="preserve">āmantritasya ca</w:t>
      </w:r>
      <w:r>
        <w:t xml:space="preserve">”</w:t>
      </w:r>
      <w:r>
        <w:t xml:space="preserve"> </w:t>
      </w:r>
      <w:r>
        <w:t xml:space="preserve">(Pā. 8-1-19) makes it wholly unaccented. But here</w:t>
      </w:r>
      <w:r>
        <w:t xml:space="preserve"> </w:t>
      </w:r>
      <w:r>
        <w:rPr>
          <w:iCs/>
          <w:i/>
        </w:rPr>
        <w:t xml:space="preserve">ghṛtāhavana</w:t>
      </w:r>
      <w:r>
        <w:t xml:space="preserve"> </w:t>
      </w:r>
      <w:r>
        <w:t xml:space="preserve">and</w:t>
      </w:r>
      <w:r>
        <w:t xml:space="preserve"> </w:t>
      </w:r>
      <w:r>
        <w:rPr>
          <w:iCs/>
          <w:i/>
        </w:rPr>
        <w:t xml:space="preserve">dīdivaḥ</w:t>
      </w:r>
      <w:r>
        <w:t xml:space="preserve"> </w:t>
      </w:r>
      <w:r>
        <w:t xml:space="preserve">are both vocatives, and</w:t>
      </w:r>
      <w:r>
        <w:t xml:space="preserve"> </w:t>
      </w:r>
      <w:r>
        <w:t xml:space="preserve">“</w:t>
      </w:r>
      <w:r>
        <w:t xml:space="preserve">āmantritaṃ pūrvam avidyamānavat</w:t>
      </w:r>
      <w:r>
        <w:t xml:space="preserve">”</w:t>
      </w:r>
      <w:r>
        <w:t xml:space="preserve"> </w:t>
      </w:r>
      <w:r>
        <w:t xml:space="preserve">(Pā. 8-1-72) treats the earlier vocative as absent; then the second vocative does not stand after a word, so how could the eighth-chapter loss of accent apply? [For]</w:t>
      </w:r>
      <w:r>
        <w:t xml:space="preserve"> </w:t>
      </w:r>
      <w:r>
        <w:t xml:space="preserve">“</w:t>
      </w:r>
      <w:r>
        <w:t xml:space="preserve">nāmantrite samānādhikaraṇe sāmānyavacanam</w:t>
      </w:r>
      <w:r>
        <w:t xml:space="preserve">”</w:t>
      </w:r>
      <w:r>
        <w:t xml:space="preserve"> </w:t>
      </w:r>
      <w:r>
        <w:t xml:space="preserve">(Pā. 8-1-73) —</w:t>
      </w:r>
      <w:r>
        <w:t xml:space="preserve"> </w:t>
      </w:r>
      <w:r>
        <w:rPr>
          <w:iCs/>
          <w:i/>
        </w:rPr>
        <w:t xml:space="preserve">sāmānyavacana</w:t>
      </w:r>
      <w:r>
        <w:t xml:space="preserve"> </w:t>
      </w:r>
      <w:r>
        <w:t xml:space="preserve">means the word for the qualified —</w:t>
      </w:r>
    </w:p>
    <w:bookmarkEnd w:id="520"/>
    <w:bookmarkStart w:id="521" w:name="page-501-rik-5-grammar-continued"/>
    <w:p>
      <w:pPr>
        <w:pStyle w:val="Heading3"/>
      </w:pPr>
      <w:r>
        <w:t xml:space="preserve">Page 501 — Rik 5 grammar (continued)</w:t>
      </w:r>
    </w:p>
    <w:p>
      <w:pPr>
        <w:pStyle w:val="FirstParagraph"/>
      </w:pPr>
      <w:r>
        <w:t xml:space="preserve">when a vocative in apposition expressing a qualifier follows, the vocative that expresses the qualified is not treated as absent; so the bar would apply, and with the</w:t>
      </w:r>
      <w:r>
        <w:t xml:space="preserve"> </w:t>
      </w:r>
      <w:r>
        <w:t xml:space="preserve">“</w:t>
      </w:r>
      <w:r>
        <w:t xml:space="preserve">absent</w:t>
      </w:r>
      <w:r>
        <w:t xml:space="preserve">”</w:t>
      </w:r>
      <w:r>
        <w:t xml:space="preserve"> </w:t>
      </w:r>
      <w:r>
        <w:t xml:space="preserve">treatment not arising, the word would follow another word and the eighth-chapter loss of accent would be in order — but this cannot be said, because here both vocatives</w:t>
      </w:r>
      <w:r>
        <w:t xml:space="preserve"> </w:t>
      </w:r>
      <w:r>
        <w:rPr>
          <w:iCs/>
          <w:i/>
        </w:rPr>
        <w:t xml:space="preserve">ghṛtāhavana</w:t>
      </w:r>
      <w:r>
        <w:t xml:space="preserve"> </w:t>
      </w:r>
      <w:r>
        <w:t xml:space="preserve">and</w:t>
      </w:r>
      <w:r>
        <w:t xml:space="preserve"> </w:t>
      </w:r>
      <w:r>
        <w:rPr>
          <w:iCs/>
          <w:i/>
        </w:rPr>
        <w:t xml:space="preserve">dīdivaḥ</w:t>
      </w:r>
      <w:r>
        <w:t xml:space="preserve"> </w:t>
      </w:r>
      <w:r>
        <w:t xml:space="preserve">qualify</w:t>
      </w:r>
      <w:r>
        <w:t xml:space="preserve"> </w:t>
      </w:r>
      <w:r>
        <w:rPr>
          <w:iCs/>
          <w:i/>
        </w:rPr>
        <w:t xml:space="preserve">agne</w:t>
      </w:r>
      <w:r>
        <w:t xml:space="preserve">:</w:t>
      </w:r>
      <w:r>
        <w:t xml:space="preserve"> </w:t>
      </w:r>
      <w:r>
        <w:rPr>
          <w:iCs/>
          <w:i/>
        </w:rPr>
        <w:t xml:space="preserve">agne</w:t>
      </w:r>
      <w:r>
        <w:t xml:space="preserve"> </w:t>
      </w:r>
      <w:r>
        <w:t xml:space="preserve">is the general term and both are specific terms, so the bar does not apply. In the same way both vocatives are connected with</w:t>
      </w:r>
      <w:r>
        <w:t xml:space="preserve"> </w:t>
      </w:r>
      <w:r>
        <w:rPr>
          <w:iCs/>
          <w:i/>
        </w:rPr>
        <w:t xml:space="preserve">agne</w:t>
      </w:r>
      <w:r>
        <w:t xml:space="preserve">, not with each other; lacking mutual connection, they lack</w:t>
      </w:r>
      <w:r>
        <w:t xml:space="preserve"> </w:t>
      </w:r>
      <w:r>
        <w:rPr>
          <w:iCs/>
          <w:i/>
        </w:rPr>
        <w:t xml:space="preserve">sāmarthya</w:t>
      </w:r>
      <w:r>
        <w:t xml:space="preserve">, the capacity of conveying a joint sense. The treatment of a</w:t>
      </w:r>
      <w:r>
        <w:t xml:space="preserve"> </w:t>
      </w:r>
      <w:r>
        <w:rPr>
          <w:iCs/>
          <w:i/>
        </w:rPr>
        <w:t xml:space="preserve">subanta</w:t>
      </w:r>
      <w:r>
        <w:t xml:space="preserve"> </w:t>
      </w:r>
      <w:r>
        <w:t xml:space="preserve">before a vocative as part of the following vocative for accent, given by</w:t>
      </w:r>
      <w:r>
        <w:t xml:space="preserve"> </w:t>
      </w:r>
      <w:r>
        <w:t xml:space="preserve">“</w:t>
      </w:r>
      <w:r>
        <w:t xml:space="preserve">subāmantrite parāṅgavat svare</w:t>
      </w:r>
      <w:r>
        <w:t xml:space="preserve">”</w:t>
      </w:r>
      <w:r>
        <w:t xml:space="preserve"> </w:t>
      </w:r>
      <w:r>
        <w:t xml:space="preserve">(Pā. 2-1-2), is a rule about words, and by the paribhāṣā</w:t>
      </w:r>
      <w:r>
        <w:t xml:space="preserve"> </w:t>
      </w:r>
      <w:r>
        <w:t xml:space="preserve">“</w:t>
      </w:r>
      <w:r>
        <w:t xml:space="preserve">samarthaḥ padavidhiḥ</w:t>
      </w:r>
      <w:r>
        <w:t xml:space="preserve">”</w:t>
      </w:r>
      <w:r>
        <w:t xml:space="preserve"> </w:t>
      </w:r>
      <w:r>
        <w:t xml:space="preserve">(Pā. 2-1-1) it applies only where there is</w:t>
      </w:r>
      <w:r>
        <w:t xml:space="preserve"> </w:t>
      </w:r>
      <w:r>
        <w:rPr>
          <w:iCs/>
          <w:i/>
        </w:rPr>
        <w:t xml:space="preserve">sāmarthya</w:t>
      </w:r>
      <w:r>
        <w:t xml:space="preserve">; here neither has it, so the</w:t>
      </w:r>
      <w:r>
        <w:t xml:space="preserve"> </w:t>
      </w:r>
      <w:r>
        <w:rPr>
          <w:iCs/>
          <w:i/>
        </w:rPr>
        <w:t xml:space="preserve">parāṅgavat</w:t>
      </w:r>
      <w:r>
        <w:t xml:space="preserve"> </w:t>
      </w:r>
      <w:r>
        <w:t xml:space="preserve">treatment does not arise either, and one cannot say that, treating</w:t>
      </w:r>
      <w:r>
        <w:t xml:space="preserve"> </w:t>
      </w:r>
      <w:r>
        <w:rPr>
          <w:iCs/>
          <w:i/>
        </w:rPr>
        <w:t xml:space="preserve">ghṛtāhavana dīdiva</w:t>
      </w:r>
      <w:r>
        <w:t xml:space="preserve"> </w:t>
      </w:r>
      <w:r>
        <w:t xml:space="preserve">as one word, the sixth-chapter</w:t>
      </w:r>
      <w:r>
        <w:t xml:space="preserve"> </w:t>
      </w:r>
      <w:r>
        <w:t xml:space="preserve">“</w:t>
      </w:r>
      <w:r>
        <w:t xml:space="preserve">āmantritasya ca</w:t>
      </w:r>
      <w:r>
        <w:t xml:space="preserve">”</w:t>
      </w:r>
      <w:r>
        <w:t xml:space="preserve"> </w:t>
      </w:r>
      <w:r>
        <w:t xml:space="preserve">(Pā. 6-1-198) makes</w:t>
      </w:r>
      <w:r>
        <w:t xml:space="preserve"> </w:t>
      </w:r>
      <w:r>
        <w:rPr>
          <w:iCs/>
          <w:i/>
        </w:rPr>
        <w:t xml:space="preserve">ghṛ</w:t>
      </w:r>
      <w:r>
        <w:t xml:space="preserve"> </w:t>
      </w:r>
      <w:r>
        <w:t xml:space="preserve">udātta and</w:t>
      </w:r>
      <w:r>
        <w:t xml:space="preserve"> </w:t>
      </w:r>
      <w:r>
        <w:t xml:space="preserve">“</w:t>
      </w:r>
      <w:r>
        <w:t xml:space="preserve">anudāttaṃ padam ekavarjam</w:t>
      </w:r>
      <w:r>
        <w:t xml:space="preserve">”</w:t>
      </w:r>
      <w:r>
        <w:t xml:space="preserve"> </w:t>
      </w:r>
      <w:r>
        <w:t xml:space="preserve">(Pā. 6-1-158) the rest unaccented. Hence, just as in the mantra</w:t>
      </w:r>
      <w:r>
        <w:t xml:space="preserve"> </w:t>
      </w:r>
      <w:r>
        <w:t xml:space="preserve">“</w:t>
      </w:r>
      <w:r>
        <w:t xml:space="preserve">iḍe rante ’dite sarasvati</w:t>
      </w:r>
      <w:r>
        <w:t xml:space="preserve">”</w:t>
      </w:r>
      <w:r>
        <w:t xml:space="preserve"> </w:t>
      </w:r>
      <w:r>
        <w:t xml:space="preserve">(Tai. Saṃ. 7-1-6-8), where there is no mutual connection, each vocative is initial-udātta by the sixth-chapter sūtra, so here too each should be separately initial-udātta — how then is the eighth-chapter loss of accent justified? So one may object. The answer: here</w:t>
      </w:r>
      <w:r>
        <w:t xml:space="preserve"> </w:t>
      </w:r>
      <w:r>
        <w:rPr>
          <w:iCs/>
          <w:i/>
        </w:rPr>
        <w:t xml:space="preserve">dīdivaḥ</w:t>
      </w:r>
      <w:r>
        <w:t xml:space="preserve"> </w:t>
      </w:r>
      <w:r>
        <w:t xml:space="preserve">is not a qualifier of</w:t>
      </w:r>
      <w:r>
        <w:t xml:space="preserve"> </w:t>
      </w:r>
      <w:r>
        <w:rPr>
          <w:iCs/>
          <w:i/>
        </w:rPr>
        <w:t xml:space="preserve">agne</w:t>
      </w:r>
      <w:r>
        <w:t xml:space="preserve"> </w:t>
      </w:r>
      <w:r>
        <w:t xml:space="preserve">but of</w:t>
      </w:r>
      <w:r>
        <w:t xml:space="preserve"> </w:t>
      </w:r>
      <w:r>
        <w:rPr>
          <w:iCs/>
          <w:i/>
        </w:rPr>
        <w:t xml:space="preserve">ghṛtāhavana</w:t>
      </w:r>
      <w:r>
        <w:t xml:space="preserve">;</w:t>
      </w:r>
      <w:r>
        <w:t xml:space="preserve"> </w:t>
      </w:r>
      <w:r>
        <w:rPr>
          <w:iCs/>
          <w:i/>
        </w:rPr>
        <w:t xml:space="preserve">ghṛtāhavana</w:t>
      </w:r>
      <w:r>
        <w:t xml:space="preserve"> </w:t>
      </w:r>
      <w:r>
        <w:t xml:space="preserve">is meant as the qualified term, and then the qualified-plus-qualifier</w:t>
      </w:r>
      <w:r>
        <w:t xml:space="preserve"> </w:t>
      </w:r>
      <w:r>
        <w:rPr>
          <w:iCs/>
          <w:i/>
        </w:rPr>
        <w:t xml:space="preserve">dīdivaḥ ghṛtāhavana</w:t>
      </w:r>
      <w:r>
        <w:t xml:space="preserve"> </w:t>
      </w:r>
      <w:r>
        <w:t xml:space="preserve">becomes a qualifier of</w:t>
      </w:r>
      <w:r>
        <w:t xml:space="preserve"> </w:t>
      </w:r>
      <w:r>
        <w:rPr>
          <w:iCs/>
          <w:i/>
        </w:rPr>
        <w:t xml:space="preserve">agne</w:t>
      </w:r>
      <w:r>
        <w:t xml:space="preserve">. With reference to</w:t>
      </w:r>
      <w:r>
        <w:t xml:space="preserve"> </w:t>
      </w:r>
      <w:r>
        <w:rPr>
          <w:iCs/>
          <w:i/>
        </w:rPr>
        <w:t xml:space="preserve">dīdivaḥ</w:t>
      </w:r>
      <w:r>
        <w:t xml:space="preserve">,</w:t>
      </w:r>
      <w:r>
        <w:t xml:space="preserve"> </w:t>
      </w:r>
      <w:r>
        <w:rPr>
          <w:iCs/>
          <w:i/>
        </w:rPr>
        <w:t xml:space="preserve">ghṛtāhavana</w:t>
      </w:r>
      <w:r>
        <w:t xml:space="preserve"> </w:t>
      </w:r>
      <w:r>
        <w:t xml:space="preserve">is the qualified, hence the general term; so</w:t>
      </w:r>
      <w:r>
        <w:t xml:space="preserve"> </w:t>
      </w:r>
      <w:r>
        <w:t xml:space="preserve">“</w:t>
      </w:r>
      <w:r>
        <w:t xml:space="preserve">nāmantrite samānādhikaraṇe sāmānyavacanam</w:t>
      </w:r>
      <w:r>
        <w:t xml:space="preserve">”</w:t>
      </w:r>
      <w:r>
        <w:t xml:space="preserve"> </w:t>
      </w:r>
      <w:r>
        <w:t xml:space="preserve">(Pā. 8-1-73) bars the</w:t>
      </w:r>
      <w:r>
        <w:t xml:space="preserve"> </w:t>
      </w:r>
      <w:r>
        <w:t xml:space="preserve">“</w:t>
      </w:r>
      <w:r>
        <w:t xml:space="preserve">absent</w:t>
      </w:r>
      <w:r>
        <w:t xml:space="preserve">”</w:t>
      </w:r>
      <w:r>
        <w:t xml:space="preserve"> </w:t>
      </w:r>
      <w:r>
        <w:t xml:space="preserve">treatment, the word follows another word, and the eighth-chapter loss of accent is in order. In this way</w:t>
      </w:r>
      <w:r>
        <w:t xml:space="preserve"> </w:t>
      </w:r>
      <w:r>
        <w:rPr>
          <w:iCs/>
          <w:i/>
        </w:rPr>
        <w:t xml:space="preserve">dīdivaḥ</w:t>
      </w:r>
      <w:r>
        <w:t xml:space="preserve"> </w:t>
      </w:r>
      <w:r>
        <w:t xml:space="preserve">and</w:t>
      </w:r>
      <w:r>
        <w:t xml:space="preserve"> </w:t>
      </w:r>
      <w:r>
        <w:rPr>
          <w:iCs/>
          <w:i/>
        </w:rPr>
        <w:t xml:space="preserve">ghṛtāhavana</w:t>
      </w:r>
      <w:r>
        <w:t xml:space="preserve"> </w:t>
      </w:r>
      <w:r>
        <w:t xml:space="preserve">are mutually connected and have</w:t>
      </w:r>
      <w:r>
        <w:t xml:space="preserve"> </w:t>
      </w:r>
      <w:r>
        <w:rPr>
          <w:iCs/>
          <w:i/>
        </w:rPr>
        <w:t xml:space="preserve">sāmarthya</w:t>
      </w:r>
      <w:r>
        <w:t xml:space="preserve">, so</w:t>
      </w:r>
      <w:r>
        <w:t xml:space="preserve"> </w:t>
      </w:r>
      <w:r>
        <w:t xml:space="preserve">“</w:t>
      </w:r>
      <w:r>
        <w:t xml:space="preserve">subāmantrite parāṅgavat svare</w:t>
      </w:r>
      <w:r>
        <w:t xml:space="preserve">”</w:t>
      </w:r>
      <w:r>
        <w:t xml:space="preserve"> </w:t>
      </w:r>
      <w:r>
        <w:t xml:space="preserve">(Pā. 2-1-2) gives the</w:t>
      </w:r>
      <w:r>
        <w:t xml:space="preserve"> </w:t>
      </w:r>
      <w:r>
        <w:rPr>
          <w:iCs/>
          <w:i/>
        </w:rPr>
        <w:t xml:space="preserve">parāṅgavat</w:t>
      </w:r>
      <w:r>
        <w:t xml:space="preserve"> </w:t>
      </w:r>
      <w:r>
        <w:t xml:space="preserve">treatment too; with it,</w:t>
      </w:r>
      <w:r>
        <w:t xml:space="preserve"> </w:t>
      </w:r>
      <w:r>
        <w:rPr>
          <w:iCs/>
          <w:i/>
        </w:rPr>
        <w:t xml:space="preserve">ghṛtāhavana dīdivaḥ</w:t>
      </w:r>
      <w:r>
        <w:t xml:space="preserve"> </w:t>
      </w:r>
      <w:r>
        <w:t xml:space="preserve">count as one word, so the sixth-chapter</w:t>
      </w:r>
      <w:r>
        <w:t xml:space="preserve"> </w:t>
      </w:r>
      <w:r>
        <w:t xml:space="preserve">“</w:t>
      </w:r>
      <w:r>
        <w:t xml:space="preserve">āmantritasya ca</w:t>
      </w:r>
      <w:r>
        <w:t xml:space="preserve">”</w:t>
      </w:r>
      <w:r>
        <w:t xml:space="preserve"> </w:t>
      </w:r>
      <w:r>
        <w:t xml:space="preserve">makes</w:t>
      </w:r>
      <w:r>
        <w:t xml:space="preserve"> </w:t>
      </w:r>
      <w:r>
        <w:rPr>
          <w:iCs/>
          <w:i/>
        </w:rPr>
        <w:t xml:space="preserve">ghṛ</w:t>
      </w:r>
      <w:r>
        <w:t xml:space="preserve"> </w:t>
      </w:r>
      <w:r>
        <w:t xml:space="preserve">udātta and</w:t>
      </w:r>
      <w:r>
        <w:t xml:space="preserve"> </w:t>
      </w:r>
      <w:r>
        <w:t xml:space="preserve">“</w:t>
      </w:r>
      <w:r>
        <w:t xml:space="preserve">anudāttaṃ padam ekavarjam</w:t>
      </w:r>
      <w:r>
        <w:t xml:space="preserve">”</w:t>
      </w:r>
      <w:r>
        <w:t xml:space="preserve"> </w:t>
      </w:r>
      <w:r>
        <w:t xml:space="preserve">(Pā. 6-1-158) the rest unaccented; in this way too</w:t>
      </w:r>
      <w:r>
        <w:t xml:space="preserve"> </w:t>
      </w:r>
      <w:r>
        <w:rPr>
          <w:iCs/>
          <w:i/>
        </w:rPr>
        <w:t xml:space="preserve">dīdivaḥ</w:t>
      </w:r>
      <w:r>
        <w:t xml:space="preserve"> </w:t>
      </w:r>
      <w:r>
        <w:t xml:space="preserve">is wholly unaccented. In</w:t>
      </w:r>
      <w:r>
        <w:t xml:space="preserve"> </w:t>
      </w:r>
      <w:r>
        <w:t xml:space="preserve">“</w:t>
      </w:r>
      <w:r>
        <w:t xml:space="preserve">iḍe rante ’dite sarasvati</w:t>
      </w:r>
      <w:r>
        <w:t xml:space="preserve">”</w:t>
      </w:r>
      <w:r>
        <w:t xml:space="preserve"> </w:t>
      </w:r>
      <w:r>
        <w:t xml:space="preserve">(Tai. Saṃ. 7-1-6-8) there is no such mutual connection, so the full loss of accent does not arise there, and each vocative by the sixth-chapter sūtra</w:t>
      </w:r>
    </w:p>
    <w:bookmarkEnd w:id="521"/>
    <w:bookmarkStart w:id="522" w:name="page-502-rik-5-grammar-closes"/>
    <w:p>
      <w:pPr>
        <w:pStyle w:val="Heading3"/>
      </w:pPr>
      <w:r>
        <w:t xml:space="preserve">Page 502 — Rik 5 grammar closes</w:t>
      </w:r>
    </w:p>
    <w:p>
      <w:pPr>
        <w:pStyle w:val="FirstParagraph"/>
      </w:pPr>
      <w:r>
        <w:t xml:space="preserve">is initial-udātta. Thus between</w:t>
      </w:r>
      <w:r>
        <w:t xml:space="preserve"> </w:t>
      </w:r>
      <w:r>
        <w:rPr>
          <w:iCs/>
          <w:i/>
        </w:rPr>
        <w:t xml:space="preserve">ghṛtāhavana dīdivaḥ</w:t>
      </w:r>
      <w:r>
        <w:t xml:space="preserve"> </w:t>
      </w:r>
      <w:r>
        <w:t xml:space="preserve">and</w:t>
      </w:r>
      <w:r>
        <w:t xml:space="preserve"> </w:t>
      </w:r>
      <w:r>
        <w:rPr>
          <w:iCs/>
          <w:i/>
        </w:rPr>
        <w:t xml:space="preserve">iḍe rante</w:t>
      </w:r>
      <w:r>
        <w:t xml:space="preserve"> </w:t>
      </w:r>
      <w:r>
        <w:t xml:space="preserve">there is the difference of the presence and absence of mutual connection.</w:t>
      </w:r>
      <w:r>
        <w:t xml:space="preserve"> </w:t>
      </w:r>
      <w:r>
        <w:rPr>
          <w:bCs/>
          <w:b/>
        </w:rPr>
        <w:t xml:space="preserve">रिषतः (</w:t>
      </w:r>
      <w:r>
        <w:rPr>
          <w:iCs/>
          <w:i/>
          <w:bCs/>
          <w:b/>
        </w:rPr>
        <w:t xml:space="preserve">riṣataḥ</w:t>
      </w:r>
      <w:r>
        <w:rPr>
          <w:bCs/>
          <w:b/>
        </w:rPr>
        <w:t xml:space="preserve">)</w:t>
      </w:r>
      <w:r>
        <w:t xml:space="preserve"> </w:t>
      </w:r>
      <w:r>
        <w:t xml:space="preserve">— root</w:t>
      </w:r>
      <w:r>
        <w:t xml:space="preserve"> </w:t>
      </w:r>
      <w:r>
        <w:rPr>
          <w:iCs/>
          <w:i/>
        </w:rPr>
        <w:t xml:space="preserve">ruṣa riṣa hiṃsārthāḥ</w:t>
      </w:r>
      <w:r>
        <w:t xml:space="preserve">, in the</w:t>
      </w:r>
      <w:r>
        <w:t xml:space="preserve"> </w:t>
      </w:r>
      <w:r>
        <w:rPr>
          <w:iCs/>
          <w:i/>
        </w:rPr>
        <w:t xml:space="preserve">bhvādi</w:t>
      </w:r>
      <w:r>
        <w:t xml:space="preserve"> </w:t>
      </w:r>
      <w:r>
        <w:t xml:space="preserve">(first) class;</w:t>
      </w:r>
      <w:r>
        <w:t xml:space="preserve"> </w:t>
      </w:r>
      <w:r>
        <w:rPr>
          <w:iCs/>
          <w:i/>
        </w:rPr>
        <w:t xml:space="preserve">laṭ</w:t>
      </w:r>
      <w:r>
        <w:t xml:space="preserve">, replaced by</w:t>
      </w:r>
      <w:r>
        <w:t xml:space="preserve"> </w:t>
      </w:r>
      <w:r>
        <w:rPr>
          <w:iCs/>
          <w:i/>
        </w:rPr>
        <w:t xml:space="preserve">śatṛ</w:t>
      </w:r>
      <w:r>
        <w:t xml:space="preserve"> </w:t>
      </w:r>
      <w:r>
        <w:t xml:space="preserve">by</w:t>
      </w:r>
      <w:r>
        <w:t xml:space="preserve"> </w:t>
      </w:r>
      <w:r>
        <w:t xml:space="preserve">“</w:t>
      </w:r>
      <w:r>
        <w:t xml:space="preserve">laṭaḥ śatṛ-śānacau…</w:t>
      </w:r>
      <w:r>
        <w:t xml:space="preserve">”</w:t>
      </w:r>
      <w:r>
        <w:t xml:space="preserve"> </w:t>
      </w:r>
      <w:r>
        <w:t xml:space="preserve">(Pā. 3-2-124); the vikaraṇa</w:t>
      </w:r>
      <w:r>
        <w:t xml:space="preserve"> </w:t>
      </w:r>
      <w:r>
        <w:rPr>
          <w:iCs/>
          <w:i/>
        </w:rPr>
        <w:t xml:space="preserve">śap</w:t>
      </w:r>
      <w:r>
        <w:t xml:space="preserve"> </w:t>
      </w:r>
      <w:r>
        <w:t xml:space="preserve">by</w:t>
      </w:r>
      <w:r>
        <w:t xml:space="preserve"> </w:t>
      </w:r>
      <w:r>
        <w:t xml:space="preserve">“</w:t>
      </w:r>
      <w:r>
        <w:t xml:space="preserve">kartari śap</w:t>
      </w:r>
      <w:r>
        <w:t xml:space="preserve">”</w:t>
      </w:r>
      <w:r>
        <w:t xml:space="preserve"> </w:t>
      </w:r>
      <w:r>
        <w:t xml:space="preserve">(Pā. 3-1-68); with it the</w:t>
      </w:r>
      <w:r>
        <w:t xml:space="preserve"> </w:t>
      </w:r>
      <w:r>
        <w:rPr>
          <w:iCs/>
          <w:i/>
        </w:rPr>
        <w:t xml:space="preserve">laghūpadha-guṇa</w:t>
      </w:r>
      <w:r>
        <w:t xml:space="preserve"> </w:t>
      </w:r>
      <w:r>
        <w:t xml:space="preserve">of</w:t>
      </w:r>
      <w:r>
        <w:t xml:space="preserve"> </w:t>
      </w:r>
      <w:r>
        <w:t xml:space="preserve">“</w:t>
      </w:r>
      <w:r>
        <w:t xml:space="preserve">puganta-laghūpadhasya ca</w:t>
      </w:r>
      <w:r>
        <w:t xml:space="preserve">”</w:t>
      </w:r>
      <w:r>
        <w:t xml:space="preserve"> </w:t>
      </w:r>
      <w:r>
        <w:t xml:space="preserve">(Pā. 7-3-86) would arise, but by Vedic procedure there is no</w:t>
      </w:r>
      <w:r>
        <w:t xml:space="preserve"> </w:t>
      </w:r>
      <w:r>
        <w:rPr>
          <w:iCs/>
          <w:i/>
        </w:rPr>
        <w:t xml:space="preserve">guṇa</w:t>
      </w:r>
      <w:r>
        <w:t xml:space="preserve">:</w:t>
      </w:r>
      <w:r>
        <w:t xml:space="preserve"> </w:t>
      </w:r>
      <w:r>
        <w:rPr>
          <w:iCs/>
          <w:i/>
        </w:rPr>
        <w:t xml:space="preserve">riṣ</w:t>
      </w:r>
      <w:r>
        <w:t xml:space="preserve"> </w:t>
      </w:r>
      <w:r>
        <w:t xml:space="preserve">+</w:t>
      </w:r>
      <w:r>
        <w:t xml:space="preserve"> </w:t>
      </w:r>
      <w:r>
        <w:rPr>
          <w:iCs/>
          <w:i/>
        </w:rPr>
        <w:t xml:space="preserve">a</w:t>
      </w:r>
      <w:r>
        <w:t xml:space="preserve"> </w:t>
      </w:r>
      <w:r>
        <w:t xml:space="preserve">+</w:t>
      </w:r>
      <w:r>
        <w:t xml:space="preserve"> </w:t>
      </w:r>
      <w:r>
        <w:rPr>
          <w:iCs/>
          <w:i/>
        </w:rPr>
        <w:t xml:space="preserve">at</w:t>
      </w:r>
      <w:r>
        <w:t xml:space="preserve">;</w:t>
      </w:r>
      <w:r>
        <w:t xml:space="preserve"> </w:t>
      </w:r>
      <w:r>
        <w:rPr>
          <w:iCs/>
          <w:i/>
        </w:rPr>
        <w:t xml:space="preserve">pararūpa</w:t>
      </w:r>
      <w:r>
        <w:t xml:space="preserve"> </w:t>
      </w:r>
      <w:r>
        <w:t xml:space="preserve">of the two</w:t>
      </w:r>
      <w:r>
        <w:t xml:space="preserve"> </w:t>
      </w:r>
      <w:r>
        <w:rPr>
          <w:iCs/>
          <w:i/>
        </w:rPr>
        <w:t xml:space="preserve">a</w:t>
      </w:r>
      <w:r>
        <w:t xml:space="preserve">’s by</w:t>
      </w:r>
      <w:r>
        <w:t xml:space="preserve"> </w:t>
      </w:r>
      <w:r>
        <w:t xml:space="preserve">“</w:t>
      </w:r>
      <w:r>
        <w:t xml:space="preserve">ato guṇe</w:t>
      </w:r>
      <w:r>
        <w:t xml:space="preserve">”</w:t>
      </w:r>
      <w:r>
        <w:t xml:space="preserve"> </w:t>
      </w:r>
      <w:r>
        <w:t xml:space="preserve">(Pā. 6-1-97):</w:t>
      </w:r>
      <w:r>
        <w:t xml:space="preserve"> </w:t>
      </w:r>
      <w:r>
        <w:rPr>
          <w:iCs/>
          <w:i/>
        </w:rPr>
        <w:t xml:space="preserve">riṣat</w:t>
      </w:r>
      <w:r>
        <w:t xml:space="preserve">. Or the root</w:t>
      </w:r>
      <w:r>
        <w:t xml:space="preserve"> </w:t>
      </w:r>
      <w:r>
        <w:rPr>
          <w:iCs/>
          <w:i/>
        </w:rPr>
        <w:t xml:space="preserve">ruśa riśa hiṃsāyām</w:t>
      </w:r>
      <w:r>
        <w:t xml:space="preserve">, in the</w:t>
      </w:r>
      <w:r>
        <w:t xml:space="preserve"> </w:t>
      </w:r>
      <w:r>
        <w:rPr>
          <w:iCs/>
          <w:i/>
        </w:rPr>
        <w:t xml:space="preserve">tudādi</w:t>
      </w:r>
      <w:r>
        <w:t xml:space="preserve"> </w:t>
      </w:r>
      <w:r>
        <w:t xml:space="preserve">class: with</w:t>
      </w:r>
      <w:r>
        <w:t xml:space="preserve"> </w:t>
      </w:r>
      <w:r>
        <w:rPr>
          <w:iCs/>
          <w:i/>
        </w:rPr>
        <w:t xml:space="preserve">śatṛ</w:t>
      </w:r>
      <w:r>
        <w:t xml:space="preserve"> </w:t>
      </w:r>
      <w:r>
        <w:t xml:space="preserve">for</w:t>
      </w:r>
      <w:r>
        <w:t xml:space="preserve"> </w:t>
      </w:r>
      <w:r>
        <w:rPr>
          <w:iCs/>
          <w:i/>
        </w:rPr>
        <w:t xml:space="preserve">laṭ</w:t>
      </w:r>
      <w:r>
        <w:t xml:space="preserve">, the vikaraṇa</w:t>
      </w:r>
      <w:r>
        <w:t xml:space="preserve"> </w:t>
      </w:r>
      <w:r>
        <w:rPr>
          <w:iCs/>
          <w:i/>
        </w:rPr>
        <w:t xml:space="preserve">śa</w:t>
      </w:r>
      <w:r>
        <w:t xml:space="preserve"> </w:t>
      </w:r>
      <w:r>
        <w:t xml:space="preserve">by</w:t>
      </w:r>
      <w:r>
        <w:t xml:space="preserve"> </w:t>
      </w:r>
      <w:r>
        <w:t xml:space="preserve">“</w:t>
      </w:r>
      <w:r>
        <w:t xml:space="preserve">tudādibhyaḥ śaḥ</w:t>
      </w:r>
      <w:r>
        <w:t xml:space="preserve">”</w:t>
      </w:r>
      <w:r>
        <w:t xml:space="preserve"> </w:t>
      </w:r>
      <w:r>
        <w:t xml:space="preserve">(Pā. 3-1-77); it is</w:t>
      </w:r>
      <w:r>
        <w:t xml:space="preserve"> </w:t>
      </w:r>
      <w:r>
        <w:rPr>
          <w:iCs/>
          <w:i/>
        </w:rPr>
        <w:t xml:space="preserve">apit</w:t>
      </w:r>
      <w:r>
        <w:t xml:space="preserve">, so</w:t>
      </w:r>
      <w:r>
        <w:t xml:space="preserve"> </w:t>
      </w:r>
      <w:r>
        <w:rPr>
          <w:iCs/>
          <w:i/>
        </w:rPr>
        <w:t xml:space="preserve">ṅit</w:t>
      </w:r>
      <w:r>
        <w:t xml:space="preserve"> </w:t>
      </w:r>
      <w:r>
        <w:t xml:space="preserve">by</w:t>
      </w:r>
      <w:r>
        <w:t xml:space="preserve"> </w:t>
      </w:r>
      <w:r>
        <w:t xml:space="preserve">“</w:t>
      </w:r>
      <w:r>
        <w:t xml:space="preserve">sārvadhātukam apit</w:t>
      </w:r>
      <w:r>
        <w:t xml:space="preserve">”</w:t>
      </w:r>
      <w:r>
        <w:t xml:space="preserve"> </w:t>
      </w:r>
      <w:r>
        <w:t xml:space="preserve">(Pā. 1-2-4), and</w:t>
      </w:r>
      <w:r>
        <w:t xml:space="preserve"> </w:t>
      </w:r>
      <w:r>
        <w:t xml:space="preserve">“</w:t>
      </w:r>
      <w:r>
        <w:t xml:space="preserve">kṅiti ca</w:t>
      </w:r>
      <w:r>
        <w:t xml:space="preserve">”</w:t>
      </w:r>
      <w:r>
        <w:t xml:space="preserve"> </w:t>
      </w:r>
      <w:r>
        <w:t xml:space="preserve">(Pā. 1-1-5) bars the</w:t>
      </w:r>
      <w:r>
        <w:t xml:space="preserve"> </w:t>
      </w:r>
      <w:r>
        <w:rPr>
          <w:iCs/>
          <w:i/>
        </w:rPr>
        <w:t xml:space="preserve">laghūpadha-guṇa</w:t>
      </w:r>
      <w:r>
        <w:t xml:space="preserve">; the</w:t>
      </w:r>
      <w:r>
        <w:t xml:space="preserve"> </w:t>
      </w:r>
      <w:r>
        <w:rPr>
          <w:iCs/>
          <w:i/>
        </w:rPr>
        <w:t xml:space="preserve">ṣ</w:t>
      </w:r>
      <w:r>
        <w:t xml:space="preserve"> </w:t>
      </w:r>
      <w:r>
        <w:t xml:space="preserve">here comes by Vedic procedure;</w:t>
      </w:r>
      <w:r>
        <w:t xml:space="preserve"> </w:t>
      </w:r>
      <w:r>
        <w:rPr>
          <w:iCs/>
          <w:i/>
        </w:rPr>
        <w:t xml:space="preserve">pararūpa</w:t>
      </w:r>
      <w:r>
        <w:t xml:space="preserve">:</w:t>
      </w:r>
      <w:r>
        <w:t xml:space="preserve"> </w:t>
      </w:r>
      <w:r>
        <w:rPr>
          <w:iCs/>
          <w:i/>
        </w:rPr>
        <w:t xml:space="preserve">riṣat</w:t>
      </w:r>
      <w:r>
        <w:t xml:space="preserve">; either way the accusative plural is</w:t>
      </w:r>
      <w:r>
        <w:t xml:space="preserve"> </w:t>
      </w:r>
      <w:r>
        <w:rPr>
          <w:iCs/>
          <w:i/>
        </w:rPr>
        <w:t xml:space="preserve">riṣataḥ</w:t>
      </w:r>
      <w:r>
        <w:t xml:space="preserve">.</w:t>
      </w:r>
      <w:r>
        <w:t xml:space="preserve"> </w:t>
      </w:r>
      <w:r>
        <w:rPr>
          <w:bCs/>
          <w:b/>
        </w:rPr>
        <w:t xml:space="preserve">रक्षस्विनः (</w:t>
      </w:r>
      <w:r>
        <w:rPr>
          <w:iCs/>
          <w:i/>
          <w:bCs/>
          <w:b/>
        </w:rPr>
        <w:t xml:space="preserve">rakṣasvinaḥ</w:t>
      </w:r>
      <w:r>
        <w:rPr>
          <w:bCs/>
          <w:b/>
        </w:rPr>
        <w:t xml:space="preserve">)</w:t>
      </w:r>
      <w:r>
        <w:t xml:space="preserve"> </w:t>
      </w:r>
      <w:r>
        <w:t xml:space="preserve">—</w:t>
      </w:r>
      <w:r>
        <w:t xml:space="preserve"> </w:t>
      </w:r>
      <w:r>
        <w:rPr>
          <w:iCs/>
          <w:i/>
        </w:rPr>
        <w:t xml:space="preserve">rakṣas</w:t>
      </w:r>
      <w:r>
        <w:t xml:space="preserve"> </w:t>
      </w:r>
      <w:r>
        <w:t xml:space="preserve">ends in</w:t>
      </w:r>
      <w:r>
        <w:t xml:space="preserve"> </w:t>
      </w:r>
      <w:r>
        <w:rPr>
          <w:iCs/>
          <w:i/>
        </w:rPr>
        <w:t xml:space="preserve">as</w:t>
      </w:r>
      <w:r>
        <w:t xml:space="preserve">, so</w:t>
      </w:r>
      <w:r>
        <w:t xml:space="preserve"> </w:t>
      </w:r>
      <w:r>
        <w:t xml:space="preserve">“</w:t>
      </w:r>
      <w:r>
        <w:t xml:space="preserve">as-māyā-medhā-srajo viniḥ</w:t>
      </w:r>
      <w:r>
        <w:t xml:space="preserve">”</w:t>
      </w:r>
      <w:r>
        <w:t xml:space="preserve"> </w:t>
      </w:r>
      <w:r>
        <w:t xml:space="preserve">(Pā. 5-2-121) gives</w:t>
      </w:r>
      <w:r>
        <w:t xml:space="preserve"> </w:t>
      </w:r>
      <w:r>
        <w:rPr>
          <w:iCs/>
          <w:i/>
        </w:rPr>
        <w:t xml:space="preserve">vini</w:t>
      </w:r>
      <w:r>
        <w:t xml:space="preserve"> </w:t>
      </w:r>
      <w:r>
        <w:t xml:space="preserve">in the possessive sense after words in</w:t>
      </w:r>
      <w:r>
        <w:t xml:space="preserve"> </w:t>
      </w:r>
      <w:r>
        <w:rPr>
          <w:iCs/>
          <w:i/>
        </w:rPr>
        <w:t xml:space="preserve">as</w:t>
      </w:r>
      <w:r>
        <w:t xml:space="preserve"> </w:t>
      </w:r>
      <w:r>
        <w:t xml:space="preserve">and after</w:t>
      </w:r>
      <w:r>
        <w:t xml:space="preserve"> </w:t>
      </w:r>
      <w:r>
        <w:rPr>
          <w:iCs/>
          <w:i/>
        </w:rPr>
        <w:t xml:space="preserve">māyā</w:t>
      </w:r>
      <w:r>
        <w:t xml:space="preserve">,</w:t>
      </w:r>
      <w:r>
        <w:t xml:space="preserve"> </w:t>
      </w:r>
      <w:r>
        <w:rPr>
          <w:iCs/>
          <w:i/>
        </w:rPr>
        <w:t xml:space="preserve">medhā</w:t>
      </w:r>
      <w:r>
        <w:t xml:space="preserve">,</w:t>
      </w:r>
      <w:r>
        <w:t xml:space="preserve"> </w:t>
      </w:r>
      <w:r>
        <w:rPr>
          <w:iCs/>
          <w:i/>
        </w:rPr>
        <w:t xml:space="preserve">sraj</w:t>
      </w:r>
      <w:r>
        <w:t xml:space="preserve">:</w:t>
      </w:r>
      <w:r>
        <w:t xml:space="preserve"> </w:t>
      </w:r>
      <w:r>
        <w:rPr>
          <w:iCs/>
          <w:i/>
        </w:rPr>
        <w:t xml:space="preserve">rakṣasvin</w:t>
      </w:r>
      <w:r>
        <w:t xml:space="preserve">; accusative plural</w:t>
      </w:r>
      <w:r>
        <w:t xml:space="preserve"> </w:t>
      </w:r>
      <w:r>
        <w:rPr>
          <w:iCs/>
          <w:i/>
        </w:rPr>
        <w:t xml:space="preserve">śas</w:t>
      </w:r>
      <w:r>
        <w:t xml:space="preserve">:</w:t>
      </w:r>
      <w:r>
        <w:t xml:space="preserve"> </w:t>
      </w:r>
      <w:r>
        <w:rPr>
          <w:iCs/>
          <w:i/>
        </w:rPr>
        <w:t xml:space="preserve">rakṣasvinaḥ</w:t>
      </w:r>
      <w:r>
        <w:t xml:space="preserve">, initial-udātta by the suffix accent.</w:t>
      </w:r>
    </w:p>
    <w:p>
      <w:pPr>
        <w:pStyle w:val="BodyText"/>
      </w:pPr>
      <w:r>
        <w:rPr>
          <w:bCs/>
          <w:b/>
        </w:rPr>
        <w:t xml:space="preserve">॥५॥</w:t>
      </w:r>
    </w:p>
    <w:p>
      <w:r>
        <w:pict>
          <v:rect style="width:0;height:1.5pt" o:hralign="center" o:hrstd="t" o:hr="t"/>
        </w:pict>
      </w:r>
    </w:p>
    <w:bookmarkEnd w:id="522"/>
    <w:bookmarkStart w:id="523" w:name="page-502-sūkta-12-rik-6"/>
    <w:p>
      <w:pPr>
        <w:pStyle w:val="Heading3"/>
      </w:pPr>
      <w:r>
        <w:t xml:space="preserve">Page 502 — Sūkta 12, Rik 6</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अ॒ग्निना॒ग्निः समि॑ध्यते क॒विर्गृ॒हप॑ति॒र्युवा॑ ।</w:t>
      </w:r>
      <w:r>
        <w:t xml:space="preserve"> </w:t>
      </w:r>
      <w:r>
        <w:t xml:space="preserve">ह॒व्य॒वाड्जु॒ह्वा॑स्यः ॥६॥</w:t>
      </w:r>
    </w:p>
    <w:p>
      <w:pPr>
        <w:pStyle w:val="BlockText"/>
      </w:pPr>
      <w:r>
        <w:rPr>
          <w:iCs/>
          <w:i/>
        </w:rPr>
        <w:t xml:space="preserve">agnínāgníḥ sámidhyate kavír gṛhápatir yúvā |</w:t>
      </w:r>
      <w:r>
        <w:t xml:space="preserve"> </w:t>
      </w:r>
      <w:r>
        <w:rPr>
          <w:iCs/>
          <w:i/>
        </w:rPr>
        <w:t xml:space="preserve">havyavā́ḍ juhvāsyaḥ ||6||</w:t>
      </w:r>
    </w:p>
    <w:p>
      <w:pPr>
        <w:pStyle w:val="FirstParagraph"/>
      </w:pPr>
      <w:r>
        <w:rPr>
          <w:bCs/>
          <w:b/>
        </w:rPr>
        <w:t xml:space="preserve">॥ Pada-pāṭhaḥ ॥</w:t>
      </w:r>
    </w:p>
    <w:p>
      <w:pPr>
        <w:pStyle w:val="BlockText"/>
      </w:pPr>
      <w:r>
        <w:t xml:space="preserve">अग्निना । अग्निः । सम् । इध्यते । कविः । गृहऽपतिः । युवा ॥</w:t>
      </w:r>
      <w:r>
        <w:t xml:space="preserve"> </w:t>
      </w:r>
      <w:r>
        <w:t xml:space="preserve">हव्यऽवाट् । जुहुऽआस्यः ॥६॥</w:t>
      </w:r>
    </w:p>
    <w:p>
      <w:pPr>
        <w:pStyle w:val="BlockText"/>
      </w:pPr>
      <w:r>
        <w:rPr>
          <w:iCs/>
          <w:i/>
        </w:rPr>
        <w:t xml:space="preserve">agninā | agniḥ | sam | idhyate | kaviḥ | gṛha-patiḥ | yuvā ||</w:t>
      </w:r>
      <w:r>
        <w:t xml:space="preserve"> </w:t>
      </w:r>
      <w:r>
        <w:rPr>
          <w:iCs/>
          <w:i/>
        </w:rPr>
        <w:t xml:space="preserve">havya-vāṭ | juhu-āsyaḥ ||6||</w:t>
      </w:r>
    </w:p>
    <w:bookmarkEnd w:id="523"/>
    <w:bookmarkStart w:id="524" w:name="page-503-rik-6-sāyaṇa-bhāṣya"/>
    <w:p>
      <w:pPr>
        <w:pStyle w:val="Heading3"/>
      </w:pPr>
      <w:r>
        <w:t xml:space="preserve">Page 503 — Rik 6: Sāyaṇa-bhāṣya</w:t>
      </w:r>
    </w:p>
    <w:p>
      <w:pPr>
        <w:pStyle w:val="FirstParagraph"/>
      </w:pPr>
      <w:r>
        <w:rPr>
          <w:bCs/>
          <w:b/>
        </w:rPr>
        <w:t xml:space="preserve">॥ Sāyaṇa-bhāṣyam ॥</w:t>
      </w:r>
      <w:r>
        <w:t xml:space="preserve"> </w:t>
      </w:r>
      <w:r>
        <w:rPr>
          <w:iCs/>
          <w:i/>
        </w:rPr>
        <w:t xml:space="preserve">(the closing</w:t>
      </w:r>
      <w:r>
        <w:rPr>
          <w:iCs/>
          <w:i/>
        </w:rPr>
        <w:t xml:space="preserve"> </w:t>
      </w:r>
      <w:r>
        <w:rPr>
          <w:iCs/>
          <w:i/>
        </w:rPr>
        <w:t xml:space="preserve">“</w:t>
      </w:r>
      <w:r>
        <w:rPr>
          <w:iCs/>
          <w:i/>
        </w:rPr>
        <w:t xml:space="preserve">॥२२॥</w:t>
      </w:r>
      <w:r>
        <w:rPr>
          <w:iCs/>
          <w:i/>
        </w:rPr>
        <w:t xml:space="preserve">”</w:t>
      </w:r>
      <w:r>
        <w:rPr>
          <w:iCs/>
          <w:i/>
        </w:rPr>
        <w:t xml:space="preserve"> </w:t>
      </w:r>
      <w:r>
        <w:rPr>
          <w:iCs/>
          <w:i/>
        </w:rPr>
        <w:t xml:space="preserve">is the varga number)</w:t>
      </w:r>
    </w:p>
    <w:p>
      <w:pPr>
        <w:pStyle w:val="BlockText"/>
      </w:pPr>
      <w:r>
        <w:t xml:space="preserve">अग्निमन्थने ऽग्निनाग्निः समिध्यत इत्येषानुवचनीया । प्रातर्वैश्वदेव्यां प्रैषित इति खण्डे सूत्रितम् । अग्निनाग्निः समिध्यते त्वं ह्यग्ने अग्निना । आ. २-१६ । इति ॥ एषैवाग्निमत इत्यस्यानुवाक्या । अथाग्नेय्या इति खण्डे ऽग्नावग्निप्रणयन इत्युपक्रम्य सूत्रितम् । यद्वो वयं प्रमिनाम व्रतान्यग्निनाग्निः समिध्यते । आ. ३-१३ । इति ॥</w:t>
      </w:r>
    </w:p>
    <w:p>
      <w:pPr>
        <w:pStyle w:val="BlockText"/>
      </w:pPr>
      <w:r>
        <w:rPr>
          <w:iCs/>
          <w:i/>
        </w:rPr>
        <w:t xml:space="preserve">agnimanthane ’gnināgniḥ samidhyata ityeṣānuvacanīyā | prātarvaiśvadevyāṃ praiṣita iti khaṇḍe sūtritam | agnināgniḥ samidhyate tvaṃ hyagne agninā | ā. 2-16 | iti || eṣaivāgnimata ityasyānuvākyā | athāgneyyā iti khaṇḍe ’gnāvagnipraṇayana ityupakramya sūtritam | yadvo vayaṃ pramināma vratānyagnināgniḥ samidhyate | ā. 3-13 | iti ||</w:t>
      </w:r>
    </w:p>
    <w:p>
      <w:pPr>
        <w:pStyle w:val="BlockText"/>
      </w:pPr>
      <w:r>
        <w:t xml:space="preserve">अग्निराहवनीयाख्यस्तस्मिन्नुपक्षिप्यमाणेनाग्निना निर्मथ्येन प्रणीतेन वा सह समिध्यते । सम्यग्दीप्यते । कीदृशो ऽग्निः । कविर्मेधावी गृहपतिर्यजमानगृहस्य पालको युवा नित्यतरुणो हव्यवाट् हविषो वोढा जुह्वास्यो जुहूरूपेण मुखेन युक्तः ॥ गृहपतिः । पत्यावैश्वर्य इति पूर्वपदप्रकृतिस्वरत्वम् । युवा । यु मिश्रणे । कनिन्युवृषितक्षिराजिधन्विद्युप्रतिदिव इति कनिन् । नित्त्वादाद्युदात्तः । हव्यं वहतीति हव्यवाट् । वहश्चेति ण्विप्रत्ययः । णित्त्वादुपधावृद्धिः । गतिकारकोपपदात्कृदुत्तरपदप्रकृतिस्वरत्वम् । जुह्वास्यः । हूयते ऽनयेति जुहूः । हुवः श्लुवच्च । उ. २-६० । इति क्विप् । तत्संनियोगाद्दीर्घः । श्लुवद्भावाद्द्विर्भावः । चुत्वजश्त्वे । प्रातिपदिकस्वरेणान्तोदात्तः । जुहूरास्यं यस्येति बहुव्रीहौ पूर्वपदप्रकृतिस्वरत्वेन स एव शिष्यते । शेषनिघातः । यणादेश उदात्तस्वरितयोर्यणः स्वरितो ऽनुदात्तस्य । पा. ८-२-४ । इत्याकारः स्वरितः ॥२२॥</w:t>
      </w:r>
    </w:p>
    <w:p>
      <w:pPr>
        <w:pStyle w:val="BlockText"/>
      </w:pPr>
      <w:r>
        <w:rPr>
          <w:iCs/>
          <w:i/>
        </w:rPr>
        <w:t xml:space="preserve">agnirāhavanīyākhyastasminnupakṣipyamāṇenāgninā nirmathyena praṇītena vā saha samidhyate | samyagdīpyate | kīdṛśo ’gniḥ | kavirmedhāvī gṛhapatiryajamānagṛhasya pālako yuvā nityataruṇo havyavāṭ haviṣo voḍhā juhvāsyo juhūrūpeṇa mukhena yuktaḥ || gṛhapatiḥ | patyāvaiśvarya iti pūrvapadaprakṛtisvaratvam | yuvā | yu miśraṇe | kaninyuvṛṣitakṣirājidhanvidyupratidiva iti kanin | nittvādādyudāttaḥ | havyaṃ vahatīti havyavāṭ | vahaśceti ṇvipratyayaḥ | ṇittvādupadhāvṛddhiḥ | gatikārakopapadātkṛduttarapadaprakṛtisvaratvam | juhvāsyaḥ | hūyate ’nayeti juhūḥ | huvaḥ śluvacca | u. 2-60 | iti kvip | tatsaṃniyogāddīrghaḥ | śluvadbhāvāddvirbhāvaḥ | cutvajaśtve | prātipadikasvareṇāntodāttaḥ | juhūrāsyaṃ yasyeti bahuvrīhau pūrvapadaprakṛtisvaratvena sa eva śiṣyate | śeṣanighātaḥ | yaṇādeśa udāttasvaritayoryaṇaḥ svarito ’nudāttasya | pā. 8-2-4 | ityākāraḥ svaritaḥ ||22||</w:t>
      </w:r>
    </w:p>
    <w:p>
      <w:pPr>
        <w:pStyle w:val="FirstParagraph"/>
      </w:pPr>
      <w:r>
        <w:rPr>
          <w:bCs/>
          <w:b/>
        </w:rPr>
        <w:t xml:space="preserve">Translation:</w:t>
      </w:r>
      <w:r>
        <w:t xml:space="preserve"> </w:t>
      </w:r>
      <w:r>
        <w:t xml:space="preserve">“</w:t>
      </w:r>
      <w:r>
        <w:t xml:space="preserve">In the rite of the churning of fire, this [rik]</w:t>
      </w:r>
      <w:r>
        <w:t xml:space="preserve"> </w:t>
      </w:r>
      <w:r>
        <w:rPr>
          <w:iCs/>
          <w:i/>
        </w:rPr>
        <w:t xml:space="preserve">agninā agniḥ samidhyate</w:t>
      </w:r>
      <w:r>
        <w:t xml:space="preserve"> </w:t>
      </w:r>
      <w:r>
        <w:t xml:space="preserve">is the</w:t>
      </w:r>
      <w:r>
        <w:t xml:space="preserve"> </w:t>
      </w:r>
      <w:r>
        <w:rPr>
          <w:iCs/>
          <w:i/>
        </w:rPr>
        <w:t xml:space="preserve">anuvacanīya</w:t>
      </w:r>
      <w:r>
        <w:t xml:space="preserve">; in the section</w:t>
      </w:r>
      <w:r>
        <w:t xml:space="preserve"> </w:t>
      </w:r>
      <w:r>
        <w:t xml:space="preserve">‘</w:t>
      </w:r>
      <w:r>
        <w:rPr>
          <w:iCs/>
          <w:i/>
        </w:rPr>
        <w:t xml:space="preserve">prātarvaiśvadevyāṃ praiṣite</w:t>
      </w:r>
      <w:r>
        <w:t xml:space="preserve">’</w:t>
      </w:r>
      <w:r>
        <w:t xml:space="preserve"> </w:t>
      </w:r>
      <w:r>
        <w:t xml:space="preserve">it is laid down:</w:t>
      </w:r>
      <w:r>
        <w:t xml:space="preserve"> </w:t>
      </w:r>
      <w:r>
        <w:t xml:space="preserve">‘</w:t>
      </w:r>
      <w:r>
        <w:rPr>
          <w:iCs/>
          <w:i/>
        </w:rPr>
        <w:t xml:space="preserve">agninā agniḥ samidhyate</w:t>
      </w:r>
      <w:r>
        <w:t xml:space="preserve">;</w:t>
      </w:r>
      <w:r>
        <w:t xml:space="preserve"> </w:t>
      </w:r>
      <w:r>
        <w:rPr>
          <w:iCs/>
          <w:i/>
        </w:rPr>
        <w:t xml:space="preserve">tvaṃ hy agne agninā</w:t>
      </w:r>
      <w:r>
        <w:t xml:space="preserve">’</w:t>
      </w:r>
      <w:r>
        <w:t xml:space="preserve"> </w:t>
      </w:r>
      <w:r>
        <w:t xml:space="preserve">(Āśv. 2-16); and this very rik is the</w:t>
      </w:r>
      <w:r>
        <w:t xml:space="preserve"> </w:t>
      </w:r>
      <w:r>
        <w:rPr>
          <w:iCs/>
          <w:i/>
        </w:rPr>
        <w:t xml:space="preserve">anuvākyā</w:t>
      </w:r>
      <w:r>
        <w:t xml:space="preserve"> </w:t>
      </w:r>
      <w:r>
        <w:t xml:space="preserve">of the Agnimat [offering]; in the section</w:t>
      </w:r>
      <w:r>
        <w:t xml:space="preserve"> </w:t>
      </w:r>
      <w:r>
        <w:t xml:space="preserve">‘</w:t>
      </w:r>
      <w:r>
        <w:rPr>
          <w:iCs/>
          <w:i/>
        </w:rPr>
        <w:t xml:space="preserve">athāgneyyāḥ</w:t>
      </w:r>
      <w:r>
        <w:t xml:space="preserve">,</w:t>
      </w:r>
      <w:r>
        <w:t xml:space="preserve">’</w:t>
      </w:r>
      <w:r>
        <w:t xml:space="preserve"> </w:t>
      </w:r>
      <w:r>
        <w:t xml:space="preserve">beginning with the</w:t>
      </w:r>
      <w:r>
        <w:t xml:space="preserve"> </w:t>
      </w:r>
      <w:r>
        <w:rPr>
          <w:iCs/>
          <w:i/>
        </w:rPr>
        <w:t xml:space="preserve">agnipraṇayana</w:t>
      </w:r>
      <w:r>
        <w:t xml:space="preserve">, it is laid down:</w:t>
      </w:r>
      <w:r>
        <w:t xml:space="preserve"> </w:t>
      </w:r>
      <w:r>
        <w:t xml:space="preserve">‘</w:t>
      </w:r>
      <w:r>
        <w:rPr>
          <w:iCs/>
          <w:i/>
        </w:rPr>
        <w:t xml:space="preserve">yad vo vayaṃ pramināma vratāni</w:t>
      </w:r>
      <w:r>
        <w:t xml:space="preserve">;</w:t>
      </w:r>
      <w:r>
        <w:t xml:space="preserve"> </w:t>
      </w:r>
      <w:r>
        <w:rPr>
          <w:iCs/>
          <w:i/>
        </w:rPr>
        <w:t xml:space="preserve">agninā agniḥ samidhyate</w:t>
      </w:r>
      <w:r>
        <w:t xml:space="preserve">’</w:t>
      </w:r>
      <w:r>
        <w:t xml:space="preserve"> </w:t>
      </w:r>
      <w:r>
        <w:t xml:space="preserve">(Āśv. 3-13). The fire called Āhavanīya is</w:t>
      </w:r>
      <w:r>
        <w:t xml:space="preserve"> </w:t>
      </w:r>
      <w:r>
        <w:rPr>
          <w:iCs/>
          <w:i/>
        </w:rPr>
        <w:t xml:space="preserve">samidhyate</w:t>
      </w:r>
      <w:r>
        <w:t xml:space="preserve"> </w:t>
      </w:r>
      <w:r>
        <w:t xml:space="preserve">— well kindled — together with the fire, churned or brought forward, that is being put into it. What is the fire like?</w:t>
      </w:r>
      <w:r>
        <w:t xml:space="preserve"> </w:t>
      </w:r>
      <w:r>
        <w:rPr>
          <w:iCs/>
          <w:i/>
        </w:rPr>
        <w:t xml:space="preserve">Kaviḥ</w:t>
      </w:r>
      <w:r>
        <w:t xml:space="preserve"> </w:t>
      </w:r>
      <w:r>
        <w:t xml:space="preserve">— wise;</w:t>
      </w:r>
      <w:r>
        <w:t xml:space="preserve"> </w:t>
      </w:r>
      <w:r>
        <w:rPr>
          <w:iCs/>
          <w:i/>
        </w:rPr>
        <w:t xml:space="preserve">gṛhapatiḥ</w:t>
      </w:r>
      <w:r>
        <w:t xml:space="preserve"> </w:t>
      </w:r>
      <w:r>
        <w:t xml:space="preserve">— the protector of the sacrificer’s house;</w:t>
      </w:r>
      <w:r>
        <w:t xml:space="preserve"> </w:t>
      </w:r>
      <w:r>
        <w:rPr>
          <w:iCs/>
          <w:i/>
        </w:rPr>
        <w:t xml:space="preserve">yuvā</w:t>
      </w:r>
      <w:r>
        <w:t xml:space="preserve"> </w:t>
      </w:r>
      <w:r>
        <w:t xml:space="preserve">— ever young;</w:t>
      </w:r>
      <w:r>
        <w:t xml:space="preserve"> </w:t>
      </w:r>
      <w:r>
        <w:rPr>
          <w:iCs/>
          <w:i/>
        </w:rPr>
        <w:t xml:space="preserve">havyavāṭ</w:t>
      </w:r>
      <w:r>
        <w:t xml:space="preserve"> </w:t>
      </w:r>
      <w:r>
        <w:t xml:space="preserve">— the bearer of the oblation;</w:t>
      </w:r>
      <w:r>
        <w:t xml:space="preserve"> </w:t>
      </w:r>
      <w:r>
        <w:rPr>
          <w:iCs/>
          <w:i/>
        </w:rPr>
        <w:t xml:space="preserve">juhvāsyaḥ</w:t>
      </w:r>
      <w:r>
        <w:t xml:space="preserve"> </w:t>
      </w:r>
      <w:r>
        <w:t xml:space="preserve">— having as its mouth the</w:t>
      </w:r>
      <w:r>
        <w:t xml:space="preserve"> </w:t>
      </w:r>
      <w:r>
        <w:rPr>
          <w:iCs/>
          <w:i/>
        </w:rPr>
        <w:t xml:space="preserve">juhū</w:t>
      </w:r>
      <w:r>
        <w:t xml:space="preserve">, the sacrificial ladle.</w:t>
      </w:r>
      <w:r>
        <w:t xml:space="preserve">”</w:t>
      </w:r>
      <w:r>
        <w:t xml:space="preserve"> </w:t>
      </w:r>
      <w:r>
        <w:t xml:space="preserve">(Grammatical tail:</w:t>
      </w:r>
      <w:r>
        <w:t xml:space="preserve"> </w:t>
      </w:r>
      <w:r>
        <w:rPr>
          <w:iCs/>
          <w:i/>
        </w:rPr>
        <w:t xml:space="preserve">gṛhapatiḥ</w:t>
      </w:r>
      <w:r>
        <w:t xml:space="preserve"> </w:t>
      </w:r>
      <w:r>
        <w:t xml:space="preserve">— the first member’s accent by</w:t>
      </w:r>
      <w:r>
        <w:t xml:space="preserve"> </w:t>
      </w:r>
      <w:r>
        <w:t xml:space="preserve">“</w:t>
      </w:r>
      <w:r>
        <w:t xml:space="preserve">patyāv aiśvarye</w:t>
      </w:r>
      <w:r>
        <w:t xml:space="preserve">”</w:t>
      </w:r>
      <w:r>
        <w:t xml:space="preserve">;</w:t>
      </w:r>
      <w:r>
        <w:t xml:space="preserve"> </w:t>
      </w:r>
      <w:r>
        <w:rPr>
          <w:iCs/>
          <w:i/>
        </w:rPr>
        <w:t xml:space="preserve">yuvā</w:t>
      </w:r>
      <w:r>
        <w:t xml:space="preserve"> </w:t>
      </w:r>
      <w:r>
        <w:t xml:space="preserve">—</w:t>
      </w:r>
      <w:r>
        <w:t xml:space="preserve"> </w:t>
      </w:r>
      <w:r>
        <w:rPr>
          <w:iCs/>
          <w:i/>
        </w:rPr>
        <w:t xml:space="preserve">yu miśraṇe</w:t>
      </w:r>
      <w:r>
        <w:t xml:space="preserve"> </w:t>
      </w:r>
      <w:r>
        <w:t xml:space="preserve">with</w:t>
      </w:r>
      <w:r>
        <w:t xml:space="preserve"> </w:t>
      </w:r>
      <w:r>
        <w:rPr>
          <w:iCs/>
          <w:i/>
        </w:rPr>
        <w:t xml:space="preserve">kanin</w:t>
      </w:r>
      <w:r>
        <w:t xml:space="preserve">, initial-udātta as</w:t>
      </w:r>
      <w:r>
        <w:t xml:space="preserve"> </w:t>
      </w:r>
      <w:r>
        <w:rPr>
          <w:iCs/>
          <w:i/>
        </w:rPr>
        <w:t xml:space="preserve">nit</w:t>
      </w:r>
      <w:r>
        <w:t xml:space="preserve">;</w:t>
      </w:r>
      <w:r>
        <w:t xml:space="preserve"> </w:t>
      </w:r>
      <w:r>
        <w:rPr>
          <w:iCs/>
          <w:i/>
        </w:rPr>
        <w:t xml:space="preserve">havyavāṭ</w:t>
      </w:r>
      <w:r>
        <w:t xml:space="preserve"> </w:t>
      </w:r>
      <w:r>
        <w:t xml:space="preserve">—</w:t>
      </w:r>
      <w:r>
        <w:t xml:space="preserve"> </w:t>
      </w:r>
      <w:r>
        <w:t xml:space="preserve">“</w:t>
      </w:r>
      <w:r>
        <w:t xml:space="preserve">he carries the oblation</w:t>
      </w:r>
      <w:r>
        <w:t xml:space="preserve">”</w:t>
      </w:r>
      <w:r>
        <w:t xml:space="preserve">,</w:t>
      </w:r>
      <w:r>
        <w:t xml:space="preserve"> </w:t>
      </w:r>
      <w:r>
        <w:rPr>
          <w:iCs/>
          <w:i/>
        </w:rPr>
        <w:t xml:space="preserve">ṇvi</w:t>
      </w:r>
      <w:r>
        <w:t xml:space="preserve"> </w:t>
      </w:r>
      <w:r>
        <w:t xml:space="preserve">by</w:t>
      </w:r>
      <w:r>
        <w:t xml:space="preserve"> </w:t>
      </w:r>
      <w:r>
        <w:t xml:space="preserve">“</w:t>
      </w:r>
      <w:r>
        <w:t xml:space="preserve">vahaś ca</w:t>
      </w:r>
      <w:r>
        <w:t xml:space="preserve">”</w:t>
      </w:r>
      <w:r>
        <w:t xml:space="preserve">,</w:t>
      </w:r>
      <w:r>
        <w:t xml:space="preserve"> </w:t>
      </w:r>
      <w:r>
        <w:rPr>
          <w:iCs/>
          <w:i/>
        </w:rPr>
        <w:t xml:space="preserve">vṛddhi</w:t>
      </w:r>
      <w:r>
        <w:t xml:space="preserve"> </w:t>
      </w:r>
      <w:r>
        <w:t xml:space="preserve">of the penultimate as</w:t>
      </w:r>
      <w:r>
        <w:t xml:space="preserve"> </w:t>
      </w:r>
      <w:r>
        <w:rPr>
          <w:iCs/>
          <w:i/>
        </w:rPr>
        <w:t xml:space="preserve">ṇit</w:t>
      </w:r>
      <w:r>
        <w:t xml:space="preserve">, the</w:t>
      </w:r>
      <w:r>
        <w:t xml:space="preserve"> </w:t>
      </w:r>
      <w:r>
        <w:rPr>
          <w:iCs/>
          <w:i/>
        </w:rPr>
        <w:t xml:space="preserve">kṛt</w:t>
      </w:r>
      <w:r>
        <w:t xml:space="preserve"> </w:t>
      </w:r>
      <w:r>
        <w:t xml:space="preserve">second-member accent by</w:t>
      </w:r>
      <w:r>
        <w:t xml:space="preserve"> </w:t>
      </w:r>
      <w:r>
        <w:t xml:space="preserve">“</w:t>
      </w:r>
      <w:r>
        <w:t xml:space="preserve">gati-kārakopapadāt kṛt</w:t>
      </w:r>
      <w:r>
        <w:t xml:space="preserve">”</w:t>
      </w:r>
      <w:r>
        <w:t xml:space="preserve">;</w:t>
      </w:r>
      <w:r>
        <w:t xml:space="preserve"> </w:t>
      </w:r>
      <w:r>
        <w:rPr>
          <w:iCs/>
          <w:i/>
        </w:rPr>
        <w:t xml:space="preserve">juhvāsyaḥ</w:t>
      </w:r>
      <w:r>
        <w:t xml:space="preserve"> </w:t>
      </w:r>
      <w:r>
        <w:t xml:space="preserve">—</w:t>
      </w:r>
      <w:r>
        <w:t xml:space="preserve"> </w:t>
      </w:r>
      <w:r>
        <w:rPr>
          <w:iCs/>
          <w:i/>
        </w:rPr>
        <w:t xml:space="preserve">juhū</w:t>
      </w:r>
      <w:r>
        <w:t xml:space="preserve"> </w:t>
      </w:r>
      <w:r>
        <w:t xml:space="preserve">“</w:t>
      </w:r>
      <w:r>
        <w:t xml:space="preserve">that with which one offers</w:t>
      </w:r>
      <w:r>
        <w:t xml:space="preserve">”</w:t>
      </w:r>
      <w:r>
        <w:t xml:space="preserve">:</w:t>
      </w:r>
      <w:r>
        <w:t xml:space="preserve"> </w:t>
      </w:r>
      <w:r>
        <w:rPr>
          <w:iCs/>
          <w:i/>
        </w:rPr>
        <w:t xml:space="preserve">kvip</w:t>
      </w:r>
      <w:r>
        <w:t xml:space="preserve"> </w:t>
      </w:r>
      <w:r>
        <w:t xml:space="preserve">by</w:t>
      </w:r>
      <w:r>
        <w:t xml:space="preserve"> </w:t>
      </w:r>
      <w:r>
        <w:t xml:space="preserve">“</w:t>
      </w:r>
      <w:r>
        <w:t xml:space="preserve">huvaḥ śluvac ca</w:t>
      </w:r>
      <w:r>
        <w:t xml:space="preserve">”</w:t>
      </w:r>
      <w:r>
        <w:t xml:space="preserve"> </w:t>
      </w:r>
      <w:r>
        <w:t xml:space="preserve">(Uṇ. 2-60), the lengthening that goes with it, doubling as if after</w:t>
      </w:r>
      <w:r>
        <w:t xml:space="preserve"> </w:t>
      </w:r>
      <w:r>
        <w:rPr>
          <w:iCs/>
          <w:i/>
        </w:rPr>
        <w:t xml:space="preserve">ślu</w:t>
      </w:r>
      <w:r>
        <w:t xml:space="preserve">,</w:t>
      </w:r>
      <w:r>
        <w:t xml:space="preserve"> </w:t>
      </w:r>
      <w:r>
        <w:rPr>
          <w:iCs/>
          <w:i/>
        </w:rPr>
        <w:t xml:space="preserve">c</w:t>
      </w:r>
      <w:r>
        <w:t xml:space="preserve">-series and</w:t>
      </w:r>
      <w:r>
        <w:t xml:space="preserve"> </w:t>
      </w:r>
      <w:r>
        <w:rPr>
          <w:iCs/>
          <w:i/>
        </w:rPr>
        <w:t xml:space="preserve">jaś</w:t>
      </w:r>
      <w:r>
        <w:t xml:space="preserve">, final-udātta by the stem accent; in the bahuvrīhi</w:t>
      </w:r>
      <w:r>
        <w:t xml:space="preserve"> </w:t>
      </w:r>
      <w:r>
        <w:t xml:space="preserve">“</w:t>
      </w:r>
      <w:r>
        <w:t xml:space="preserve">whose mouth is the</w:t>
      </w:r>
      <w:r>
        <w:t xml:space="preserve"> </w:t>
      </w:r>
      <w:r>
        <w:rPr>
          <w:iCs/>
          <w:i/>
        </w:rPr>
        <w:t xml:space="preserve">juhū</w:t>
      </w:r>
      <w:r>
        <w:t xml:space="preserve">”</w:t>
      </w:r>
      <w:r>
        <w:t xml:space="preserve"> </w:t>
      </w:r>
      <w:r>
        <w:t xml:space="preserve">that accent alone remains, the rest unaccented; after the</w:t>
      </w:r>
      <w:r>
        <w:t xml:space="preserve"> </w:t>
      </w:r>
      <w:r>
        <w:rPr>
          <w:iCs/>
          <w:i/>
        </w:rPr>
        <w:t xml:space="preserve">yaṇ</w:t>
      </w:r>
      <w:r>
        <w:t xml:space="preserve"> </w:t>
      </w:r>
      <w:r>
        <w:t xml:space="preserve">substitute the</w:t>
      </w:r>
      <w:r>
        <w:t xml:space="preserve"> </w:t>
      </w:r>
      <w:r>
        <w:rPr>
          <w:iCs/>
          <w:i/>
        </w:rPr>
        <w:t xml:space="preserve">ā</w:t>
      </w:r>
      <w:r>
        <w:t xml:space="preserve"> </w:t>
      </w:r>
      <w:r>
        <w:t xml:space="preserve">is svarita by</w:t>
      </w:r>
      <w:r>
        <w:t xml:space="preserve"> </w:t>
      </w:r>
      <w:r>
        <w:t xml:space="preserve">“</w:t>
      </w:r>
      <w:r>
        <w:t xml:space="preserve">udātta-svaritayor yaṇaḥ svarito ’nudāttasya</w:t>
      </w:r>
      <w:r>
        <w:t xml:space="preserve">”</w:t>
      </w:r>
      <w:r>
        <w:t xml:space="preserve"> </w:t>
      </w:r>
      <w:r>
        <w:t xml:space="preserve">(Pā. 8-2-4).)</w:t>
      </w:r>
    </w:p>
    <w:bookmarkEnd w:id="524"/>
    <w:bookmarkStart w:id="525" w:name="X078415b27a05899a652dfa65e170274ba17cbc2"/>
    <w:p>
      <w:pPr>
        <w:pStyle w:val="Heading3"/>
      </w:pPr>
      <w:r>
        <w:t xml:space="preserve">Page 503 (lower) — Rik 6: word-meanings, overall sense</w:t>
      </w:r>
    </w:p>
    <w:p>
      <w:pPr>
        <w:pStyle w:val="FirstParagraph"/>
      </w:pPr>
      <w:r>
        <w:rPr>
          <w:bCs/>
          <w:b/>
        </w:rPr>
        <w:t xml:space="preserve">॥ Prati-padārthaḥ ॥</w:t>
      </w:r>
    </w:p>
    <w:p>
      <w:pPr>
        <w:pStyle w:val="BodyText"/>
      </w:pPr>
      <w:r>
        <w:rPr>
          <w:bCs/>
          <w:b/>
        </w:rPr>
        <w:t xml:space="preserve">अग्निः (agniḥ)</w:t>
      </w:r>
      <w:r>
        <w:t xml:space="preserve"> </w:t>
      </w:r>
      <w:r>
        <w:t xml:space="preserve">— the fire called Āhavanīya |</w:t>
      </w:r>
      <w:r>
        <w:t xml:space="preserve"> </w:t>
      </w:r>
      <w:r>
        <w:rPr>
          <w:bCs/>
          <w:b/>
        </w:rPr>
        <w:t xml:space="preserve">अग्निना (agninā)</w:t>
      </w:r>
      <w:r>
        <w:t xml:space="preserve"> </w:t>
      </w:r>
      <w:r>
        <w:t xml:space="preserve">— by the fire churned out of the</w:t>
      </w:r>
      <w:r>
        <w:t xml:space="preserve"> </w:t>
      </w:r>
      <w:r>
        <w:rPr>
          <w:iCs/>
          <w:i/>
        </w:rPr>
        <w:t xml:space="preserve">araṇi</w:t>
      </w:r>
      <w:r>
        <w:t xml:space="preserve"> </w:t>
      </w:r>
      <w:r>
        <w:t xml:space="preserve">|</w:t>
      </w:r>
      <w:r>
        <w:t xml:space="preserve"> </w:t>
      </w:r>
      <w:r>
        <w:rPr>
          <w:bCs/>
          <w:b/>
        </w:rPr>
        <w:t xml:space="preserve">सम् इध्यते (sam idhyate)</w:t>
      </w:r>
      <w:r>
        <w:t xml:space="preserve"> </w:t>
      </w:r>
      <w:r>
        <w:t xml:space="preserve">— is kindled, blazes well |</w:t>
      </w:r>
      <w:r>
        <w:t xml:space="preserve"> </w:t>
      </w:r>
      <w:r>
        <w:rPr>
          <w:iCs/>
          <w:i/>
        </w:rPr>
        <w:t xml:space="preserve">(such a fire)</w:t>
      </w:r>
      <w:r>
        <w:t xml:space="preserve"> </w:t>
      </w:r>
      <w:r>
        <w:rPr>
          <w:bCs/>
          <w:b/>
        </w:rPr>
        <w:t xml:space="preserve">कविः (kaviḥ)</w:t>
      </w:r>
      <w:r>
        <w:t xml:space="preserve"> </w:t>
      </w:r>
      <w:r>
        <w:t xml:space="preserve">— wise, discerning |</w:t>
      </w:r>
      <w:r>
        <w:t xml:space="preserve"> </w:t>
      </w:r>
      <w:r>
        <w:rPr>
          <w:bCs/>
          <w:b/>
        </w:rPr>
        <w:t xml:space="preserve">गृहपतिः (gṛhapatiḥ)</w:t>
      </w:r>
      <w:r>
        <w:t xml:space="preserve"> </w:t>
      </w:r>
      <w:r>
        <w:t xml:space="preserve">— protector of the sacrificer’s house |</w:t>
      </w:r>
      <w:r>
        <w:t xml:space="preserve"> </w:t>
      </w:r>
      <w:r>
        <w:rPr>
          <w:bCs/>
          <w:b/>
        </w:rPr>
        <w:t xml:space="preserve">युवा (yuvā)</w:t>
      </w:r>
      <w:r>
        <w:t xml:space="preserve"> </w:t>
      </w:r>
      <w:r>
        <w:t xml:space="preserve">— ever youthful |</w:t>
      </w:r>
      <w:r>
        <w:t xml:space="preserve"> </w:t>
      </w:r>
      <w:r>
        <w:rPr>
          <w:bCs/>
          <w:b/>
        </w:rPr>
        <w:t xml:space="preserve">हव्यवाट् (havyavāṭ)</w:t>
      </w:r>
      <w:r>
        <w:t xml:space="preserve"> </w:t>
      </w:r>
      <w:r>
        <w:t xml:space="preserve">— one who carries the oblation to the gods |</w:t>
      </w:r>
      <w:r>
        <w:t xml:space="preserve"> </w:t>
      </w:r>
      <w:r>
        <w:rPr>
          <w:bCs/>
          <w:b/>
        </w:rPr>
        <w:t xml:space="preserve">जुह्वास्यः (juhvāsyaḥ)</w:t>
      </w:r>
      <w:r>
        <w:t xml:space="preserve"> </w:t>
      </w:r>
      <w:r>
        <w:t xml:space="preserve">— one whose mouth is the</w:t>
      </w:r>
      <w:r>
        <w:t xml:space="preserve"> </w:t>
      </w:r>
      <w:r>
        <w:rPr>
          <w:iCs/>
          <w:i/>
        </w:rPr>
        <w:t xml:space="preserve">juhū</w:t>
      </w:r>
      <w:r>
        <w:t xml:space="preserve"> </w:t>
      </w:r>
      <w:r>
        <w:t xml:space="preserve">[ladle].</w:t>
      </w:r>
    </w:p>
    <w:p>
      <w:pPr>
        <w:pStyle w:val="BodyText"/>
      </w:pPr>
      <w:r>
        <w:rPr>
          <w:bCs/>
          <w:b/>
        </w:rPr>
        <w:t xml:space="preserve">॥ Bhāvārthaḥ ॥</w:t>
      </w:r>
    </w:p>
    <w:p>
      <w:pPr>
        <w:pStyle w:val="BodyText"/>
      </w:pPr>
      <w:r>
        <w:t xml:space="preserve">At the beginning of the sacrifice, they produce fire by churning in the</w:t>
      </w:r>
      <w:r>
        <w:t xml:space="preserve"> </w:t>
      </w:r>
      <w:r>
        <w:rPr>
          <w:iCs/>
          <w:i/>
        </w:rPr>
        <w:t xml:space="preserve">araṇi</w:t>
      </w:r>
      <w:r>
        <w:t xml:space="preserve">; with that fire they kindle the other fires, the Gārhapatya and the rest. Such a fire is very wise, a protector of the sacrificer’s house, ever youthful, a bearer of the oblation to the gods; the instrument of offering called</w:t>
      </w:r>
      <w:r>
        <w:t xml:space="preserve"> </w:t>
      </w:r>
      <w:r>
        <w:rPr>
          <w:iCs/>
          <w:i/>
        </w:rPr>
        <w:t xml:space="preserve">juhū</w:t>
      </w:r>
      <w:r>
        <w:t xml:space="preserve"> </w:t>
      </w:r>
      <w:r>
        <w:t xml:space="preserve">is his mouth.</w:t>
      </w:r>
    </w:p>
    <w:bookmarkEnd w:id="525"/>
    <w:bookmarkStart w:id="526" w:name="page-504-rik-6-english-special-topics"/>
    <w:p>
      <w:pPr>
        <w:pStyle w:val="Heading3"/>
      </w:pPr>
      <w:r>
        <w:t xml:space="preserve">Page 504 — Rik 6: English, Special Topics</w:t>
      </w:r>
    </w:p>
    <w:p>
      <w:pPr>
        <w:pStyle w:val="FirstParagraph"/>
      </w:pPr>
      <w:r>
        <w:rPr>
          <w:bCs/>
          <w:b/>
        </w:rPr>
        <w:t xml:space="preserve">॥ English Translation ॥</w:t>
      </w:r>
      <w:r>
        <w:t xml:space="preserve"> </w:t>
      </w:r>
      <w:r>
        <w:rPr>
          <w:iCs/>
          <w:i/>
        </w:rPr>
        <w:t xml:space="preserve">(as printed in the source)</w:t>
      </w:r>
    </w:p>
    <w:p>
      <w:pPr>
        <w:pStyle w:val="BlockText"/>
      </w:pPr>
      <w:r>
        <w:t xml:space="preserve">Agni is kindlod [sic] by Agni, the ever young and wise, the gaurdian [sic] of the dwelling (of the Sacrificer) the bearer of offerings, whose mouth is the sacrificial spoon.</w:t>
      </w:r>
    </w:p>
    <w:p>
      <w:pPr>
        <w:pStyle w:val="FirstParagraph"/>
      </w:pPr>
      <w:r>
        <w:rPr>
          <w:bCs/>
          <w:b/>
        </w:rPr>
        <w:t xml:space="preserve">॥ Viśeṣa-viṣayagaḷu (Special Topics) ॥</w:t>
      </w:r>
    </w:p>
    <w:p>
      <w:pPr>
        <w:pStyle w:val="BodyText"/>
      </w:pPr>
      <w:r>
        <w:rPr>
          <w:bCs/>
          <w:b/>
        </w:rPr>
        <w:t xml:space="preserve">“</w:t>
      </w:r>
      <w:r>
        <w:rPr>
          <w:bCs/>
          <w:b/>
        </w:rPr>
        <w:t xml:space="preserve">Agninā, agniḥ</w:t>
      </w:r>
      <w:r>
        <w:rPr>
          <w:bCs/>
          <w:b/>
        </w:rPr>
        <w:t xml:space="preserve">”</w:t>
      </w:r>
      <w:r>
        <w:t xml:space="preserve"> </w:t>
      </w:r>
      <w:r>
        <w:t xml:space="preserve">— one fire being kindled from another means: at the start of the sacrifice, with the fire produced by rubbing and churning the piece of wood called</w:t>
      </w:r>
      <w:r>
        <w:t xml:space="preserve"> </w:t>
      </w:r>
      <w:r>
        <w:rPr>
          <w:iCs/>
          <w:i/>
        </w:rPr>
        <w:t xml:space="preserve">araṇi</w:t>
      </w:r>
      <w:r>
        <w:t xml:space="preserve">, they kindle the other fires. In the sacrifice the fire must be produced from the</w:t>
      </w:r>
      <w:r>
        <w:t xml:space="preserve"> </w:t>
      </w:r>
      <w:r>
        <w:rPr>
          <w:iCs/>
          <w:i/>
        </w:rPr>
        <w:t xml:space="preserve">araṇi</w:t>
      </w:r>
      <w:r>
        <w:t xml:space="preserve"> </w:t>
      </w:r>
      <w:r>
        <w:t xml:space="preserve">itself, while reciting this rik; fire already produced and kept ready in some other way is not used in the sacrifice.</w:t>
      </w:r>
    </w:p>
    <w:p>
      <w:pPr>
        <w:pStyle w:val="BodyText"/>
      </w:pPr>
      <w:r>
        <w:t xml:space="preserve">The order of application of this rik is as follows: at the time of the churning of fire, the rik</w:t>
      </w:r>
      <w:r>
        <w:t xml:space="preserve"> </w:t>
      </w:r>
      <w:r>
        <w:rPr>
          <w:iCs/>
          <w:i/>
        </w:rPr>
        <w:t xml:space="preserve">agninā agniḥ samidhyate</w:t>
      </w:r>
      <w:r>
        <w:t xml:space="preserve"> </w:t>
      </w:r>
      <w:r>
        <w:t xml:space="preserve">is to be recited. This is stated in the Āśvalāyana Śrauta-sūtra, in the section</w:t>
      </w:r>
      <w:r>
        <w:t xml:space="preserve"> </w:t>
      </w:r>
      <w:r>
        <w:rPr>
          <w:iCs/>
          <w:i/>
        </w:rPr>
        <w:t xml:space="preserve">prātarvaiśvadevyāṃ praiṣite</w:t>
      </w:r>
      <w:r>
        <w:t xml:space="preserve">, which says that the riks</w:t>
      </w:r>
      <w:r>
        <w:t xml:space="preserve"> </w:t>
      </w:r>
      <w:r>
        <w:rPr>
          <w:iCs/>
          <w:i/>
        </w:rPr>
        <w:t xml:space="preserve">agninā agniḥ samidhyate</w:t>
      </w:r>
      <w:r>
        <w:t xml:space="preserve"> </w:t>
      </w:r>
      <w:r>
        <w:t xml:space="preserve">(Ṛg. Saṃ. 1-12-6) and</w:t>
      </w:r>
      <w:r>
        <w:t xml:space="preserve"> </w:t>
      </w:r>
      <w:r>
        <w:rPr>
          <w:iCs/>
          <w:i/>
        </w:rPr>
        <w:t xml:space="preserve">tvaṃ hy agne agninā</w:t>
      </w:r>
      <w:r>
        <w:t xml:space="preserve"> </w:t>
      </w:r>
      <w:r>
        <w:t xml:space="preserve">are to be recited; and this rik is also used as the</w:t>
      </w:r>
      <w:r>
        <w:t xml:space="preserve"> </w:t>
      </w:r>
      <w:r>
        <w:rPr>
          <w:iCs/>
          <w:i/>
        </w:rPr>
        <w:t xml:space="preserve">puronuvākyā</w:t>
      </w:r>
      <w:r>
        <w:t xml:space="preserve">. And the Āśvalāyana Śrauta-sūtra, in the section</w:t>
      </w:r>
      <w:r>
        <w:t xml:space="preserve"> </w:t>
      </w:r>
      <w:r>
        <w:rPr>
          <w:iCs/>
          <w:i/>
        </w:rPr>
        <w:t xml:space="preserve">athāgneyyāḥ</w:t>
      </w:r>
      <w:r>
        <w:t xml:space="preserve">, in the sūtra</w:t>
      </w:r>
      <w:r>
        <w:t xml:space="preserve"> </w:t>
      </w:r>
      <w:r>
        <w:rPr>
          <w:iCs/>
          <w:i/>
        </w:rPr>
        <w:t xml:space="preserve">agnāv agnipraṇayane</w:t>
      </w:r>
      <w:r>
        <w:t xml:space="preserve">, says that the rik</w:t>
      </w:r>
      <w:r>
        <w:t xml:space="preserve"> </w:t>
      </w:r>
      <w:r>
        <w:rPr>
          <w:iCs/>
          <w:i/>
        </w:rPr>
        <w:t xml:space="preserve">yad vo vayaṃ pramināma</w:t>
      </w:r>
      <w:r>
        <w:t xml:space="preserve"> </w:t>
      </w:r>
      <w:r>
        <w:t xml:space="preserve">(Ṛg. Saṃ. 10-2-4) is to be used as the</w:t>
      </w:r>
      <w:r>
        <w:t xml:space="preserve"> </w:t>
      </w:r>
      <w:r>
        <w:rPr>
          <w:iCs/>
          <w:i/>
        </w:rPr>
        <w:t xml:space="preserve">yājyā</w:t>
      </w:r>
      <w:r>
        <w:t xml:space="preserve"> </w:t>
      </w:r>
      <w:r>
        <w:t xml:space="preserve">mantra, and the rik</w:t>
      </w:r>
      <w:r>
        <w:t xml:space="preserve"> </w:t>
      </w:r>
      <w:r>
        <w:rPr>
          <w:iCs/>
          <w:i/>
        </w:rPr>
        <w:t xml:space="preserve">agninā agniḥ samidhyate</w:t>
      </w:r>
      <w:r>
        <w:t xml:space="preserve"> </w:t>
      </w:r>
      <w:r>
        <w:t xml:space="preserve">(Ṛg. Saṃ. 1-12-6) is the</w:t>
      </w:r>
      <w:r>
        <w:t xml:space="preserve"> </w:t>
      </w:r>
      <w:r>
        <w:rPr>
          <w:iCs/>
          <w:i/>
        </w:rPr>
        <w:t xml:space="preserve">puronuvākyā</w:t>
      </w:r>
      <w:r>
        <w:t xml:space="preserve"> </w:t>
      </w:r>
      <w:r>
        <w:t xml:space="preserve">mantra.</w:t>
      </w:r>
    </w:p>
    <w:p>
      <w:pPr>
        <w:pStyle w:val="BodyText"/>
      </w:pPr>
      <w:r>
        <w:rPr>
          <w:bCs/>
          <w:b/>
        </w:rPr>
        <w:t xml:space="preserve">“</w:t>
      </w:r>
      <w:r>
        <w:rPr>
          <w:bCs/>
          <w:b/>
        </w:rPr>
        <w:t xml:space="preserve">Kaviḥ</w:t>
      </w:r>
      <w:r>
        <w:rPr>
          <w:bCs/>
          <w:b/>
        </w:rPr>
        <w:t xml:space="preserve">”</w:t>
      </w:r>
      <w:r>
        <w:t xml:space="preserve"> </w:t>
      </w:r>
      <w:r>
        <w:t xml:space="preserve">— wise, intelligent, discerning:</w:t>
      </w:r>
      <w:r>
        <w:t xml:space="preserve"> </w:t>
      </w:r>
      <w:r>
        <w:rPr>
          <w:iCs/>
          <w:i/>
        </w:rPr>
        <w:t xml:space="preserve">the wise etc.</w:t>
      </w:r>
      <w:r>
        <w:t xml:space="preserve"> </w:t>
      </w:r>
      <w:r>
        <w:t xml:space="preserve">[the source’s English].</w:t>
      </w:r>
    </w:p>
    <w:p>
      <w:pPr>
        <w:pStyle w:val="BodyText"/>
      </w:pPr>
      <w:r>
        <w:rPr>
          <w:bCs/>
          <w:b/>
        </w:rPr>
        <w:t xml:space="preserve">“</w:t>
      </w:r>
      <w:r>
        <w:rPr>
          <w:bCs/>
          <w:b/>
        </w:rPr>
        <w:t xml:space="preserve">Gṛhapatiḥ</w:t>
      </w:r>
      <w:r>
        <w:rPr>
          <w:bCs/>
          <w:b/>
        </w:rPr>
        <w:t xml:space="preserve">”</w:t>
      </w:r>
      <w:r>
        <w:t xml:space="preserve"> </w:t>
      </w:r>
      <w:r>
        <w:t xml:space="preserve">—</w:t>
      </w:r>
      <w:r>
        <w:t xml:space="preserve"> </w:t>
      </w:r>
      <w:r>
        <w:rPr>
          <w:iCs/>
          <w:i/>
        </w:rPr>
        <w:t xml:space="preserve">yajamāna-gṛhasya pālakaḥ</w:t>
      </w:r>
      <w:r>
        <w:t xml:space="preserve"> </w:t>
      </w:r>
      <w:r>
        <w:t xml:space="preserve">— the protector of the sacrificer’s house: it is the</w:t>
      </w:r>
      <w:r>
        <w:t xml:space="preserve"> </w:t>
      </w:r>
      <w:r>
        <w:rPr>
          <w:iCs/>
          <w:i/>
        </w:rPr>
        <w:t xml:space="preserve">āhitāgni</w:t>
      </w:r>
      <w:r>
        <w:t xml:space="preserve"> </w:t>
      </w:r>
      <w:r>
        <w:t xml:space="preserve">— one who performs sacrifices and has established the sacred fires — who is meant. An</w:t>
      </w:r>
      <w:r>
        <w:t xml:space="preserve"> </w:t>
      </w:r>
      <w:r>
        <w:rPr>
          <w:iCs/>
          <w:i/>
        </w:rPr>
        <w:t xml:space="preserve">āhitāgni</w:t>
      </w:r>
      <w:r>
        <w:t xml:space="preserve"> </w:t>
      </w:r>
      <w:r>
        <w:t xml:space="preserve">is one who has produced fire at the start of his sacrificial life by the rite called</w:t>
      </w:r>
      <w:r>
        <w:t xml:space="preserve"> </w:t>
      </w:r>
      <w:r>
        <w:rPr>
          <w:iCs/>
          <w:i/>
        </w:rPr>
        <w:t xml:space="preserve">agnyādhāna</w:t>
      </w:r>
      <w:r>
        <w:t xml:space="preserve"> </w:t>
      </w:r>
      <w:r>
        <w:t xml:space="preserve">and used it in the sacrifices that follow. The fire thus consecrated must be protected as long as he lives. Therefore, since Agni is always in the sacrificer’s house and is favourable to the sacrifices he performs, the custom of calling Agni</w:t>
      </w:r>
      <w:r>
        <w:t xml:space="preserve"> </w:t>
      </w:r>
      <w:r>
        <w:rPr>
          <w:iCs/>
          <w:i/>
        </w:rPr>
        <w:t xml:space="preserve">gṛhapati</w:t>
      </w:r>
      <w:r>
        <w:t xml:space="preserve"> </w:t>
      </w:r>
      <w:r>
        <w:t xml:space="preserve">may have arisen. The word</w:t>
      </w:r>
      <w:r>
        <w:t xml:space="preserve"> </w:t>
      </w:r>
      <w:r>
        <w:rPr>
          <w:iCs/>
          <w:i/>
        </w:rPr>
        <w:t xml:space="preserve">gṛhapatiḥ</w:t>
      </w:r>
      <w:r>
        <w:t xml:space="preserve"> </w:t>
      </w:r>
      <w:r>
        <w:t xml:space="preserve">is read in the riks Ṛ. Saṃ. 1-12-6; 1-36-5; 1-60-4; 2-1-2; 4-9-4; 6-15-13; 6-48-8; 7-16-5; 8-60-19; 10-122-1; the word</w:t>
      </w:r>
      <w:r>
        <w:t xml:space="preserve"> </w:t>
      </w:r>
      <w:r>
        <w:rPr>
          <w:iCs/>
          <w:i/>
        </w:rPr>
        <w:t xml:space="preserve">gṛhapatim</w:t>
      </w:r>
      <w:r>
        <w:t xml:space="preserve"> </w:t>
      </w:r>
      <w:r>
        <w:t xml:space="preserve">in the riks Ṛ. Saṃ. 4-11-5; 5-8-1; 5-8-2; 6-16-42; 6-53-2; 6-1-1 [?]; 10-118-6; and the word</w:t>
      </w:r>
      <w:r>
        <w:t xml:space="preserve"> </w:t>
      </w:r>
      <w:r>
        <w:rPr>
          <w:iCs/>
          <w:i/>
        </w:rPr>
        <w:t xml:space="preserve">gṛhapate</w:t>
      </w:r>
      <w:r>
        <w:t xml:space="preserve"> </w:t>
      </w:r>
      <w:r>
        <w:t xml:space="preserve">in the rik 6-15-19.</w:t>
      </w:r>
    </w:p>
    <w:bookmarkEnd w:id="526"/>
    <w:bookmarkStart w:id="527" w:name="X9879c767ae340983fd046e492d93ff22c21543e"/>
    <w:p>
      <w:pPr>
        <w:pStyle w:val="Heading3"/>
      </w:pPr>
      <w:r>
        <w:t xml:space="preserve">Page 505 — Rik 6: Special Topics (continued) and grammar</w:t>
      </w:r>
    </w:p>
    <w:p>
      <w:pPr>
        <w:pStyle w:val="FirstParagraph"/>
      </w:pPr>
      <w:r>
        <w:rPr>
          <w:bCs/>
          <w:b/>
        </w:rPr>
        <w:t xml:space="preserve">“</w:t>
      </w:r>
      <w:r>
        <w:rPr>
          <w:bCs/>
          <w:b/>
        </w:rPr>
        <w:t xml:space="preserve">Yuvā</w:t>
      </w:r>
      <w:r>
        <w:rPr>
          <w:bCs/>
          <w:b/>
        </w:rPr>
        <w:t xml:space="preserve">”</w:t>
      </w:r>
      <w:r>
        <w:t xml:space="preserve"> </w:t>
      </w:r>
      <w:r>
        <w:t xml:space="preserve">—</w:t>
      </w:r>
      <w:r>
        <w:t xml:space="preserve"> </w:t>
      </w:r>
      <w:r>
        <w:rPr>
          <w:iCs/>
          <w:i/>
        </w:rPr>
        <w:t xml:space="preserve">nityataruṇa</w:t>
      </w:r>
      <w:r>
        <w:t xml:space="preserve">: always young. Since Agni is always blazing, kindled by oblations such as ghee and</w:t>
      </w:r>
      <w:r>
        <w:t xml:space="preserve"> </w:t>
      </w:r>
      <w:r>
        <w:rPr>
          <w:iCs/>
          <w:i/>
        </w:rPr>
        <w:t xml:space="preserve">samidh</w:t>
      </w:r>
      <w:r>
        <w:t xml:space="preserve"> </w:t>
      </w:r>
      <w:r>
        <w:t xml:space="preserve">sticks and other sacrificial substances, he is always shining with flames. Because he always shines in the same way, it is customary to call Agni</w:t>
      </w:r>
      <w:r>
        <w:t xml:space="preserve"> </w:t>
      </w:r>
      <w:r>
        <w:rPr>
          <w:iCs/>
          <w:i/>
        </w:rPr>
        <w:t xml:space="preserve">yuvā</w:t>
      </w:r>
      <w:r>
        <w:t xml:space="preserve">, young.</w:t>
      </w:r>
    </w:p>
    <w:p>
      <w:pPr>
        <w:pStyle w:val="BodyText"/>
      </w:pPr>
      <w:r>
        <w:rPr>
          <w:bCs/>
          <w:b/>
        </w:rPr>
        <w:t xml:space="preserve">“</w:t>
      </w:r>
      <w:r>
        <w:rPr>
          <w:bCs/>
          <w:b/>
        </w:rPr>
        <w:t xml:space="preserve">Havyavāṭ</w:t>
      </w:r>
      <w:r>
        <w:rPr>
          <w:bCs/>
          <w:b/>
        </w:rPr>
        <w:t xml:space="preserve">”</w:t>
      </w:r>
      <w:r>
        <w:t xml:space="preserve"> </w:t>
      </w:r>
      <w:r>
        <w:t xml:space="preserve">—</w:t>
      </w:r>
      <w:r>
        <w:t xml:space="preserve"> </w:t>
      </w:r>
      <w:r>
        <w:rPr>
          <w:iCs/>
          <w:i/>
        </w:rPr>
        <w:t xml:space="preserve">havyaṃ vahatīti havyavāṭ</w:t>
      </w:r>
      <w:r>
        <w:t xml:space="preserve">: because he carries to the gods the oblations offered in the fire, he is</w:t>
      </w:r>
      <w:r>
        <w:t xml:space="preserve"> </w:t>
      </w:r>
      <w:r>
        <w:rPr>
          <w:iCs/>
          <w:i/>
        </w:rPr>
        <w:t xml:space="preserve">havyavāṭ</w:t>
      </w:r>
      <w:r>
        <w:t xml:space="preserve">:</w:t>
      </w:r>
      <w:r>
        <w:t xml:space="preserve"> </w:t>
      </w:r>
      <w:r>
        <w:t xml:space="preserve">“</w:t>
      </w:r>
      <w:r>
        <w:t xml:space="preserve">he who carries the oblation.</w:t>
      </w:r>
      <w:r>
        <w:t xml:space="preserve">”</w:t>
      </w:r>
    </w:p>
    <w:p>
      <w:pPr>
        <w:pStyle w:val="BodyText"/>
      </w:pPr>
      <w:r>
        <w:rPr>
          <w:bCs/>
          <w:b/>
        </w:rPr>
        <w:t xml:space="preserve">“</w:t>
      </w:r>
      <w:r>
        <w:rPr>
          <w:bCs/>
          <w:b/>
        </w:rPr>
        <w:t xml:space="preserve">Juhvāsyaḥ</w:t>
      </w:r>
      <w:r>
        <w:rPr>
          <w:bCs/>
          <w:b/>
        </w:rPr>
        <w:t xml:space="preserve">”</w:t>
      </w:r>
      <w:r>
        <w:t xml:space="preserve"> </w:t>
      </w:r>
      <w:r>
        <w:t xml:space="preserve">—</w:t>
      </w:r>
      <w:r>
        <w:t xml:space="preserve"> </w:t>
      </w:r>
      <w:r>
        <w:rPr>
          <w:iCs/>
          <w:i/>
        </w:rPr>
        <w:t xml:space="preserve">juhū</w:t>
      </w:r>
      <w:r>
        <w:t xml:space="preserve"> </w:t>
      </w:r>
      <w:r>
        <w:t xml:space="preserve">is the wooden vessel shaped like a ladle (</w:t>
      </w:r>
      <w:r>
        <w:rPr>
          <w:iCs/>
          <w:i/>
        </w:rPr>
        <w:t xml:space="preserve">sauṭu</w:t>
      </w:r>
      <w:r>
        <w:t xml:space="preserve">), of a stated length, used when offering ghee in sacrifices; the method of making this sacrificial instrument, its shape and dimensions, the material and manner of its making, and such things are explained in the Śulba-sūtras. When the</w:t>
      </w:r>
      <w:r>
        <w:t xml:space="preserve"> </w:t>
      </w:r>
      <w:r>
        <w:rPr>
          <w:iCs/>
          <w:i/>
        </w:rPr>
        <w:t xml:space="preserve">juhū</w:t>
      </w:r>
      <w:r>
        <w:t xml:space="preserve"> </w:t>
      </w:r>
      <w:r>
        <w:t xml:space="preserve">is filled with ghee and poured out, the flames of Agni, called his seven tongues, lap it up; so Agni is</w:t>
      </w:r>
      <w:r>
        <w:t xml:space="preserve"> </w:t>
      </w:r>
      <w:r>
        <w:rPr>
          <w:iCs/>
          <w:i/>
        </w:rPr>
        <w:t xml:space="preserve">juhvāsyaḥ</w:t>
      </w:r>
      <w:r>
        <w:t xml:space="preserve">:</w:t>
      </w:r>
      <w:r>
        <w:t xml:space="preserve"> </w:t>
      </w:r>
      <w:r>
        <w:t xml:space="preserve">“</w:t>
      </w:r>
      <w:r>
        <w:t xml:space="preserve">one whose mouth is the</w:t>
      </w:r>
      <w:r>
        <w:t xml:space="preserve"> </w:t>
      </w:r>
      <w:r>
        <w:rPr>
          <w:iCs/>
          <w:i/>
        </w:rPr>
        <w:t xml:space="preserve">juhū</w:t>
      </w:r>
      <w:r>
        <w:t xml:space="preserve">,</w:t>
      </w:r>
      <w:r>
        <w:t xml:space="preserve">”</w:t>
      </w:r>
      <w:r>
        <w:t xml:space="preserve"> </w:t>
      </w:r>
      <w:r>
        <w:t xml:space="preserve">or</w:t>
      </w:r>
      <w:r>
        <w:t xml:space="preserve"> </w:t>
      </w:r>
      <w:r>
        <w:t xml:space="preserve">“</w:t>
      </w:r>
      <w:r>
        <w:t xml:space="preserve">one who has a</w:t>
      </w:r>
      <w:r>
        <w:t xml:space="preserve"> </w:t>
      </w:r>
      <w:r>
        <w:rPr>
          <w:iCs/>
          <w:i/>
        </w:rPr>
        <w:t xml:space="preserve">juhū</w:t>
      </w:r>
      <w:r>
        <w:t xml:space="preserve">-vessel in his mouth,</w:t>
      </w:r>
      <w:r>
        <w:t xml:space="preserve">”</w:t>
      </w:r>
      <w:r>
        <w:t xml:space="preserve"> </w:t>
      </w:r>
      <w:r>
        <w:t xml:space="preserve">or</w:t>
      </w:r>
      <w:r>
        <w:t xml:space="preserve"> </w:t>
      </w:r>
      <w:r>
        <w:t xml:space="preserve">“</w:t>
      </w:r>
      <w:r>
        <w:t xml:space="preserve">one whose mouth takes the form of the vessel</w:t>
      </w:r>
      <w:r>
        <w:t xml:space="preserve"> </w:t>
      </w:r>
      <w:r>
        <w:rPr>
          <w:iCs/>
          <w:i/>
        </w:rPr>
        <w:t xml:space="preserve">juhū</w:t>
      </w:r>
      <w:r>
        <w:t xml:space="preserve">”</w:t>
      </w:r>
      <w:r>
        <w:t xml:space="preserve"> </w:t>
      </w:r>
      <w:r>
        <w:t xml:space="preserve">— it is customary to call him so.</w:t>
      </w:r>
    </w:p>
    <w:p>
      <w:pPr>
        <w:pStyle w:val="BodyText"/>
      </w:pPr>
      <w:r>
        <w:rPr>
          <w:bCs/>
          <w:b/>
        </w:rPr>
        <w:t xml:space="preserve">॥ Vyākaraṇa-prakriyā ॥</w:t>
      </w:r>
      <w:r>
        <w:t xml:space="preserve"> </w:t>
      </w:r>
      <w:r>
        <w:rPr>
          <w:iCs/>
          <w:i/>
        </w:rPr>
        <w:t xml:space="preserve">(grammar pages 505–506, noted briefly; numbers checked against the print)</w:t>
      </w:r>
    </w:p>
    <w:p>
      <w:pPr>
        <w:pStyle w:val="BodyText"/>
      </w:pPr>
      <w:r>
        <w:rPr>
          <w:bCs/>
          <w:b/>
        </w:rPr>
        <w:t xml:space="preserve">गृहपतिः (</w:t>
      </w:r>
      <w:r>
        <w:rPr>
          <w:iCs/>
          <w:i/>
          <w:bCs/>
          <w:b/>
        </w:rPr>
        <w:t xml:space="preserve">gṛhapatiḥ</w:t>
      </w:r>
      <w:r>
        <w:rPr>
          <w:bCs/>
          <w:b/>
        </w:rPr>
        <w:t xml:space="preserve">)</w:t>
      </w:r>
      <w:r>
        <w:t xml:space="preserve"> </w:t>
      </w:r>
      <w:r>
        <w:t xml:space="preserve">—</w:t>
      </w:r>
      <w:r>
        <w:t xml:space="preserve"> </w:t>
      </w:r>
      <w:r>
        <w:t xml:space="preserve">“</w:t>
      </w:r>
      <w:r>
        <w:t xml:space="preserve">patyāv aiśvarye</w:t>
      </w:r>
      <w:r>
        <w:t xml:space="preserve">”</w:t>
      </w:r>
      <w:r>
        <w:t xml:space="preserve"> </w:t>
      </w:r>
      <w:r>
        <w:t xml:space="preserve">(Pā. 6-2-18): in a tatpuruṣa, when</w:t>
      </w:r>
      <w:r>
        <w:t xml:space="preserve"> </w:t>
      </w:r>
      <w:r>
        <w:rPr>
          <w:iCs/>
          <w:i/>
        </w:rPr>
        <w:t xml:space="preserve">pati</w:t>
      </w:r>
      <w:r>
        <w:t xml:space="preserve"> </w:t>
      </w:r>
      <w:r>
        <w:t xml:space="preserve">in the sense of lordship is the second member, the first member keeps its own accent.</w:t>
      </w:r>
      <w:r>
        <w:t xml:space="preserve"> </w:t>
      </w:r>
      <w:r>
        <w:rPr>
          <w:iCs/>
          <w:i/>
        </w:rPr>
        <w:t xml:space="preserve">Gṛha</w:t>
      </w:r>
      <w:r>
        <w:t xml:space="preserve"> </w:t>
      </w:r>
      <w:r>
        <w:t xml:space="preserve">here:</w:t>
      </w:r>
      <w:r>
        <w:t xml:space="preserve"> </w:t>
      </w:r>
      <w:r>
        <w:t xml:space="preserve">“</w:t>
      </w:r>
      <w:r>
        <w:t xml:space="preserve">gehe kaḥ</w:t>
      </w:r>
      <w:r>
        <w:t xml:space="preserve">”</w:t>
      </w:r>
      <w:r>
        <w:t xml:space="preserve"> </w:t>
      </w:r>
      <w:r>
        <w:t xml:space="preserve">(printed</w:t>
      </w:r>
      <w:r>
        <w:t xml:space="preserve"> </w:t>
      </w:r>
      <w:r>
        <w:t xml:space="preserve">“</w:t>
      </w:r>
      <w:r>
        <w:t xml:space="preserve">Pā. sū. 3-1 44</w:t>
      </w:r>
      <w:r>
        <w:t xml:space="preserve">”</w:t>
      </w:r>
      <w:r>
        <w:t xml:space="preserve"> </w:t>
      </w:r>
      <w:r>
        <w:t xml:space="preserve">[sic]): when a house is the agent,</w:t>
      </w:r>
      <w:r>
        <w:t xml:space="preserve"> </w:t>
      </w:r>
      <w:r>
        <w:rPr>
          <w:iCs/>
          <w:i/>
        </w:rPr>
        <w:t xml:space="preserve">ka</w:t>
      </w:r>
      <w:r>
        <w:t xml:space="preserve"> </w:t>
      </w:r>
      <w:r>
        <w:t xml:space="preserve">after</w:t>
      </w:r>
      <w:r>
        <w:t xml:space="preserve"> </w:t>
      </w:r>
      <w:r>
        <w:rPr>
          <w:iCs/>
          <w:i/>
        </w:rPr>
        <w:t xml:space="preserve">grah</w:t>
      </w:r>
      <w:r>
        <w:t xml:space="preserve">; so with</w:t>
      </w:r>
      <w:r>
        <w:t xml:space="preserve"> </w:t>
      </w:r>
      <w:r>
        <w:rPr>
          <w:iCs/>
          <w:i/>
        </w:rPr>
        <w:t xml:space="preserve">ka</w:t>
      </w:r>
      <w:r>
        <w:t xml:space="preserve"> </w:t>
      </w:r>
      <w:r>
        <w:t xml:space="preserve">after</w:t>
      </w:r>
      <w:r>
        <w:t xml:space="preserve"> </w:t>
      </w:r>
      <w:r>
        <w:rPr>
          <w:iCs/>
          <w:i/>
        </w:rPr>
        <w:t xml:space="preserve">grah</w:t>
      </w:r>
      <w:r>
        <w:t xml:space="preserve">,</w:t>
      </w:r>
      <w:r>
        <w:t xml:space="preserve"> </w:t>
      </w:r>
      <w:r>
        <w:rPr>
          <w:iCs/>
          <w:i/>
        </w:rPr>
        <w:t xml:space="preserve">samprasāraṇa</w:t>
      </w:r>
      <w:r>
        <w:t xml:space="preserve"> </w:t>
      </w:r>
      <w:r>
        <w:t xml:space="preserve">by</w:t>
      </w:r>
      <w:r>
        <w:t xml:space="preserve"> </w:t>
      </w:r>
      <w:r>
        <w:t xml:space="preserve">“</w:t>
      </w:r>
      <w:r>
        <w:t xml:space="preserve">grahi-jyā-vayi…</w:t>
      </w:r>
      <w:r>
        <w:t xml:space="preserve">”</w:t>
      </w:r>
      <w:r>
        <w:t xml:space="preserve"> </w:t>
      </w:r>
      <w:r>
        <w:t xml:space="preserve">(Pā. 6-1-16) gives</w:t>
      </w:r>
      <w:r>
        <w:t xml:space="preserve"> </w:t>
      </w:r>
      <w:r>
        <w:rPr>
          <w:iCs/>
          <w:i/>
        </w:rPr>
        <w:t xml:space="preserve">gṛha</w:t>
      </w:r>
      <w:r>
        <w:t xml:space="preserve">. Or the root</w:t>
      </w:r>
      <w:r>
        <w:t xml:space="preserve"> </w:t>
      </w:r>
      <w:r>
        <w:rPr>
          <w:iCs/>
          <w:i/>
        </w:rPr>
        <w:t xml:space="preserve">gṛhū grahaṇe</w:t>
      </w:r>
      <w:r>
        <w:t xml:space="preserve">, in the</w:t>
      </w:r>
      <w:r>
        <w:t xml:space="preserve"> </w:t>
      </w:r>
      <w:r>
        <w:rPr>
          <w:iCs/>
          <w:i/>
        </w:rPr>
        <w:t xml:space="preserve">bhvādi</w:t>
      </w:r>
      <w:r>
        <w:t xml:space="preserve"> </w:t>
      </w:r>
      <w:r>
        <w:t xml:space="preserve">class, with</w:t>
      </w:r>
      <w:r>
        <w:t xml:space="preserve"> </w:t>
      </w:r>
      <w:r>
        <w:rPr>
          <w:iCs/>
          <w:i/>
        </w:rPr>
        <w:t xml:space="preserve">ka</w:t>
      </w:r>
      <w:r>
        <w:t xml:space="preserve"> </w:t>
      </w:r>
      <w:r>
        <w:t xml:space="preserve">conditioned by the penultimate</w:t>
      </w:r>
      <w:r>
        <w:t xml:space="preserve"> </w:t>
      </w:r>
      <w:r>
        <w:rPr>
          <w:iCs/>
          <w:i/>
        </w:rPr>
        <w:t xml:space="preserve">ik</w:t>
      </w:r>
      <w:r>
        <w:t xml:space="preserve"> </w:t>
      </w:r>
      <w:r>
        <w:t xml:space="preserve">by</w:t>
      </w:r>
      <w:r>
        <w:t xml:space="preserve"> </w:t>
      </w:r>
      <w:r>
        <w:t xml:space="preserve">“</w:t>
      </w:r>
      <w:r>
        <w:t xml:space="preserve">igupadha-jñā-prī-kiraḥ kaḥ</w:t>
      </w:r>
      <w:r>
        <w:t xml:space="preserve">”</w:t>
      </w:r>
      <w:r>
        <w:t xml:space="preserve"> </w:t>
      </w:r>
      <w:r>
        <w:t xml:space="preserve">(Pā. 3-1-135), also gives</w:t>
      </w:r>
      <w:r>
        <w:t xml:space="preserve"> </w:t>
      </w:r>
      <w:r>
        <w:rPr>
          <w:iCs/>
          <w:i/>
        </w:rPr>
        <w:t xml:space="preserve">gṛha</w:t>
      </w:r>
      <w:r>
        <w:t xml:space="preserve">. Either way</w:t>
      </w:r>
      <w:r>
        <w:t xml:space="preserve"> </w:t>
      </w:r>
      <w:r>
        <w:rPr>
          <w:iCs/>
          <w:i/>
        </w:rPr>
        <w:t xml:space="preserve">gṛha</w:t>
      </w:r>
      <w:r>
        <w:t xml:space="preserve"> </w:t>
      </w:r>
      <w:r>
        <w:t xml:space="preserve">is final-udātta by the suffix accent, and</w:t>
      </w:r>
      <w:r>
        <w:t xml:space="preserve"> </w:t>
      </w:r>
      <w:r>
        <w:t xml:space="preserve">“</w:t>
      </w:r>
      <w:r>
        <w:t xml:space="preserve">patyāv aiśvarye</w:t>
      </w:r>
      <w:r>
        <w:t xml:space="preserve">”</w:t>
      </w:r>
      <w:r>
        <w:t xml:space="preserve"> </w:t>
      </w:r>
      <w:r>
        <w:t xml:space="preserve">keeps that accent.</w:t>
      </w:r>
      <w:r>
        <w:t xml:space="preserve"> </w:t>
      </w:r>
      <w:r>
        <w:rPr>
          <w:bCs/>
          <w:b/>
        </w:rPr>
        <w:t xml:space="preserve">युवा (</w:t>
      </w:r>
      <w:r>
        <w:rPr>
          <w:iCs/>
          <w:i/>
          <w:bCs/>
          <w:b/>
        </w:rPr>
        <w:t xml:space="preserve">yuvā</w:t>
      </w:r>
      <w:r>
        <w:rPr>
          <w:bCs/>
          <w:b/>
        </w:rPr>
        <w:t xml:space="preserve">)</w:t>
      </w:r>
      <w:r>
        <w:t xml:space="preserve"> </w:t>
      </w:r>
      <w:r>
        <w:t xml:space="preserve">— root</w:t>
      </w:r>
      <w:r>
        <w:t xml:space="preserve"> </w:t>
      </w:r>
      <w:r>
        <w:rPr>
          <w:iCs/>
          <w:i/>
        </w:rPr>
        <w:t xml:space="preserve">yu miśraṇe</w:t>
      </w:r>
      <w:r>
        <w:t xml:space="preserve">;</w:t>
      </w:r>
      <w:r>
        <w:t xml:space="preserve"> </w:t>
      </w:r>
      <w:r>
        <w:t xml:space="preserve">“</w:t>
      </w:r>
      <w:r>
        <w:t xml:space="preserve">kanin yu-vṛṣi-takṣi-rāji-dhanvi-dyu-pratidivaḥ</w:t>
      </w:r>
      <w:r>
        <w:t xml:space="preserve">”</w:t>
      </w:r>
      <w:r>
        <w:t xml:space="preserve"> </w:t>
      </w:r>
      <w:r>
        <w:t xml:space="preserve">(Uṇ.</w:t>
      </w:r>
      <w:r>
        <w:t xml:space="preserve"> </w:t>
      </w:r>
      <w:r>
        <w:t xml:space="preserve">“</w:t>
      </w:r>
      <w:r>
        <w:t xml:space="preserve">1-154</w:t>
      </w:r>
      <w:r>
        <w:t xml:space="preserve">”</w:t>
      </w:r>
      <w:r>
        <w:t xml:space="preserve">) gives</w:t>
      </w:r>
      <w:r>
        <w:t xml:space="preserve"> </w:t>
      </w:r>
      <w:r>
        <w:rPr>
          <w:iCs/>
          <w:i/>
        </w:rPr>
        <w:t xml:space="preserve">kanin</w:t>
      </w:r>
      <w:r>
        <w:t xml:space="preserve"> </w:t>
      </w:r>
      <w:r>
        <w:t xml:space="preserve">after</w:t>
      </w:r>
      <w:r>
        <w:t xml:space="preserve"> </w:t>
      </w:r>
      <w:r>
        <w:rPr>
          <w:iCs/>
          <w:i/>
        </w:rPr>
        <w:t xml:space="preserve">yu</w:t>
      </w:r>
      <w:r>
        <w:t xml:space="preserve">;</w:t>
      </w:r>
      <w:r>
        <w:t xml:space="preserve"> </w:t>
      </w:r>
      <w:r>
        <w:rPr>
          <w:iCs/>
          <w:i/>
        </w:rPr>
        <w:t xml:space="preserve">yuvan</w:t>
      </w:r>
      <w:r>
        <w:t xml:space="preserve"> </w:t>
      </w:r>
      <w:r>
        <w:t xml:space="preserve">initial-udātta by the</w:t>
      </w:r>
      <w:r>
        <w:t xml:space="preserve"> </w:t>
      </w:r>
      <w:r>
        <w:rPr>
          <w:iCs/>
          <w:i/>
        </w:rPr>
        <w:t xml:space="preserve">nit</w:t>
      </w:r>
      <w:r>
        <w:t xml:space="preserve"> </w:t>
      </w:r>
      <w:r>
        <w:t xml:space="preserve">accent; in the nominative singular, loss of</w:t>
      </w:r>
      <w:r>
        <w:t xml:space="preserve"> </w:t>
      </w:r>
      <w:r>
        <w:rPr>
          <w:iCs/>
          <w:i/>
        </w:rPr>
        <w:t xml:space="preserve">su</w:t>
      </w:r>
      <w:r>
        <w:t xml:space="preserve">, lengthening of the penultimate and loss of</w:t>
      </w:r>
      <w:r>
        <w:t xml:space="preserve"> </w:t>
      </w:r>
      <w:r>
        <w:rPr>
          <w:iCs/>
          <w:i/>
        </w:rPr>
        <w:t xml:space="preserve">n</w:t>
      </w:r>
      <w:r>
        <w:t xml:space="preserve">:</w:t>
      </w:r>
      <w:r>
        <w:t xml:space="preserve"> </w:t>
      </w:r>
      <w:r>
        <w:rPr>
          <w:iCs/>
          <w:i/>
        </w:rPr>
        <w:t xml:space="preserve">yuvā</w:t>
      </w:r>
      <w:r>
        <w:t xml:space="preserve">.</w:t>
      </w:r>
      <w:r>
        <w:t xml:space="preserve"> </w:t>
      </w:r>
      <w:r>
        <w:rPr>
          <w:bCs/>
          <w:b/>
        </w:rPr>
        <w:t xml:space="preserve">हव्यवाट् (</w:t>
      </w:r>
      <w:r>
        <w:rPr>
          <w:iCs/>
          <w:i/>
          <w:bCs/>
          <w:b/>
        </w:rPr>
        <w:t xml:space="preserve">havyavāṭ</w:t>
      </w:r>
      <w:r>
        <w:rPr>
          <w:bCs/>
          <w:b/>
        </w:rPr>
        <w:t xml:space="preserve">)</w:t>
      </w:r>
      <w:r>
        <w:t xml:space="preserve"> </w:t>
      </w:r>
      <w:r>
        <w:t xml:space="preserve">—</w:t>
      </w:r>
      <w:r>
        <w:t xml:space="preserve"> </w:t>
      </w:r>
      <w:r>
        <w:t xml:space="preserve">“</w:t>
      </w:r>
      <w:r>
        <w:t xml:space="preserve">havyaṃ vahati iti havyavāṭ</w:t>
      </w:r>
      <w:r>
        <w:t xml:space="preserve">”</w:t>
      </w:r>
      <w:r>
        <w:t xml:space="preserve">: with</w:t>
      </w:r>
      <w:r>
        <w:t xml:space="preserve"> </w:t>
      </w:r>
      <w:r>
        <w:rPr>
          <w:iCs/>
          <w:i/>
        </w:rPr>
        <w:t xml:space="preserve">havya</w:t>
      </w:r>
      <w:r>
        <w:t xml:space="preserve"> </w:t>
      </w:r>
      <w:r>
        <w:t xml:space="preserve">as</w:t>
      </w:r>
      <w:r>
        <w:t xml:space="preserve"> </w:t>
      </w:r>
      <w:r>
        <w:rPr>
          <w:iCs/>
          <w:i/>
        </w:rPr>
        <w:t xml:space="preserve">upapada</w:t>
      </w:r>
      <w:r>
        <w:t xml:space="preserve">, after the root</w:t>
      </w:r>
      <w:r>
        <w:t xml:space="preserve"> </w:t>
      </w:r>
      <w:r>
        <w:rPr>
          <w:iCs/>
          <w:i/>
        </w:rPr>
        <w:t xml:space="preserve">vah</w:t>
      </w:r>
      <w:r>
        <w:t xml:space="preserve"> </w:t>
      </w:r>
      <w:r>
        <w:t xml:space="preserve">“</w:t>
      </w:r>
      <w:r>
        <w:t xml:space="preserve">vahaś ca</w:t>
      </w:r>
      <w:r>
        <w:t xml:space="preserve">”</w:t>
      </w:r>
      <w:r>
        <w:t xml:space="preserve"> </w:t>
      </w:r>
      <w:r>
        <w:t xml:space="preserve">(printed</w:t>
      </w:r>
      <w:r>
        <w:t xml:space="preserve"> </w:t>
      </w:r>
      <w:r>
        <w:t xml:space="preserve">“</w:t>
      </w:r>
      <w:r>
        <w:t xml:space="preserve">Pā. sū. 4-2-64</w:t>
      </w:r>
      <w:r>
        <w:t xml:space="preserve">”</w:t>
      </w:r>
      <w:r>
        <w:t xml:space="preserve"> </w:t>
      </w:r>
      <w:r>
        <w:t xml:space="preserve">[sic]; the bhāṣya says</w:t>
      </w:r>
      <w:r>
        <w:t xml:space="preserve"> </w:t>
      </w:r>
      <w:r>
        <w:rPr>
          <w:iCs/>
          <w:i/>
        </w:rPr>
        <w:t xml:space="preserve">vahaś ca</w:t>
      </w:r>
      <w:r>
        <w:t xml:space="preserve">, Pā. 3-2-64) gives</w:t>
      </w:r>
      <w:r>
        <w:t xml:space="preserve"> </w:t>
      </w:r>
      <w:r>
        <w:rPr>
          <w:iCs/>
          <w:i/>
        </w:rPr>
        <w:t xml:space="preserve">ṇvi</w:t>
      </w:r>
      <w:r>
        <w:t xml:space="preserve"> </w:t>
      </w:r>
      <w:r>
        <w:t xml:space="preserve">in the Veda when a</w:t>
      </w:r>
      <w:r>
        <w:t xml:space="preserve"> </w:t>
      </w:r>
      <w:r>
        <w:rPr>
          <w:iCs/>
          <w:i/>
        </w:rPr>
        <w:t xml:space="preserve">subanta</w:t>
      </w:r>
      <w:r>
        <w:t xml:space="preserve"> </w:t>
      </w:r>
      <w:r>
        <w:t xml:space="preserve">is the</w:t>
      </w:r>
      <w:r>
        <w:t xml:space="preserve"> </w:t>
      </w:r>
      <w:r>
        <w:rPr>
          <w:iCs/>
          <w:i/>
        </w:rPr>
        <w:t xml:space="preserve">upapada</w:t>
      </w:r>
      <w:r>
        <w:t xml:space="preserve">; some hold that this</w:t>
      </w:r>
      <w:r>
        <w:t xml:space="preserve"> </w:t>
      </w:r>
      <w:r>
        <w:rPr>
          <w:iCs/>
          <w:i/>
        </w:rPr>
        <w:t xml:space="preserve">ṇvi</w:t>
      </w:r>
      <w:r>
        <w:t xml:space="preserve"> </w:t>
      </w:r>
      <w:r>
        <w:t xml:space="preserve">is used in the classical language too, as the Śekharakāra states;</w:t>
      </w:r>
    </w:p>
    <w:bookmarkEnd w:id="527"/>
    <w:bookmarkStart w:id="528" w:name="page-506-rik-6-grammar-closes"/>
    <w:p>
      <w:pPr>
        <w:pStyle w:val="Heading3"/>
      </w:pPr>
      <w:r>
        <w:t xml:space="preserve">Page 506 — Rik 6 grammar closes</w:t>
      </w:r>
    </w:p>
    <w:p>
      <w:pPr>
        <w:pStyle w:val="FirstParagraph"/>
      </w:pPr>
      <w:r>
        <w:t xml:space="preserve">the suffix being</w:t>
      </w:r>
      <w:r>
        <w:t xml:space="preserve"> </w:t>
      </w:r>
      <w:r>
        <w:rPr>
          <w:iCs/>
          <w:i/>
        </w:rPr>
        <w:t xml:space="preserve">ṇit</w:t>
      </w:r>
      <w:r>
        <w:t xml:space="preserve">,</w:t>
      </w:r>
      <w:r>
        <w:t xml:space="preserve"> </w:t>
      </w:r>
      <w:r>
        <w:t xml:space="preserve">“</w:t>
      </w:r>
      <w:r>
        <w:t xml:space="preserve">ata upadhāyāḥ</w:t>
      </w:r>
      <w:r>
        <w:t xml:space="preserve">”</w:t>
      </w:r>
      <w:r>
        <w:t xml:space="preserve"> </w:t>
      </w:r>
      <w:r>
        <w:t xml:space="preserve">(printed</w:t>
      </w:r>
      <w:r>
        <w:t xml:space="preserve"> </w:t>
      </w:r>
      <w:r>
        <w:t xml:space="preserve">“</w:t>
      </w:r>
      <w:r>
        <w:t xml:space="preserve">71-116</w:t>
      </w:r>
      <w:r>
        <w:t xml:space="preserve">”</w:t>
      </w:r>
      <w:r>
        <w:t xml:space="preserve"> </w:t>
      </w:r>
      <w:r>
        <w:t xml:space="preserve">[sic]) gives</w:t>
      </w:r>
      <w:r>
        <w:t xml:space="preserve"> </w:t>
      </w:r>
      <w:r>
        <w:rPr>
          <w:iCs/>
          <w:i/>
        </w:rPr>
        <w:t xml:space="preserve">vṛddhi</w:t>
      </w:r>
      <w:r>
        <w:t xml:space="preserve"> </w:t>
      </w:r>
      <w:r>
        <w:t xml:space="preserve">of the penultimate; all the letters of</w:t>
      </w:r>
      <w:r>
        <w:t xml:space="preserve"> </w:t>
      </w:r>
      <w:r>
        <w:rPr>
          <w:iCs/>
          <w:i/>
        </w:rPr>
        <w:t xml:space="preserve">ṇvi</w:t>
      </w:r>
      <w:r>
        <w:t xml:space="preserve"> </w:t>
      </w:r>
      <w:r>
        <w:t xml:space="preserve">are lost:</w:t>
      </w:r>
      <w:r>
        <w:t xml:space="preserve"> </w:t>
      </w:r>
      <w:r>
        <w:rPr>
          <w:iCs/>
          <w:i/>
        </w:rPr>
        <w:t xml:space="preserve">havyavāh</w:t>
      </w:r>
      <w:r>
        <w:t xml:space="preserve">;</w:t>
      </w:r>
      <w:r>
        <w:t xml:space="preserve"> </w:t>
      </w:r>
      <w:r>
        <w:rPr>
          <w:iCs/>
          <w:i/>
        </w:rPr>
        <w:t xml:space="preserve">vāh</w:t>
      </w:r>
      <w:r>
        <w:t xml:space="preserve"> </w:t>
      </w:r>
      <w:r>
        <w:t xml:space="preserve">is final-udātta by the root accent; even after compounding,</w:t>
      </w:r>
      <w:r>
        <w:t xml:space="preserve"> </w:t>
      </w:r>
      <w:r>
        <w:t xml:space="preserve">“</w:t>
      </w:r>
      <w:r>
        <w:t xml:space="preserve">gati-kārakopapadāt kṛt</w:t>
      </w:r>
      <w:r>
        <w:t xml:space="preserve">”</w:t>
      </w:r>
      <w:r>
        <w:t xml:space="preserve"> </w:t>
      </w:r>
      <w:r>
        <w:t xml:space="preserve">(Pā. 6-2-139) keeps that accent as that of the</w:t>
      </w:r>
      <w:r>
        <w:t xml:space="preserve"> </w:t>
      </w:r>
      <w:r>
        <w:rPr>
          <w:iCs/>
          <w:i/>
        </w:rPr>
        <w:t xml:space="preserve">kṛt</w:t>
      </w:r>
      <w:r>
        <w:t xml:space="preserve"> </w:t>
      </w:r>
      <w:r>
        <w:t xml:space="preserve">second member. Then the nominative singular</w:t>
      </w:r>
      <w:r>
        <w:t xml:space="preserve"> </w:t>
      </w:r>
      <w:r>
        <w:rPr>
          <w:iCs/>
          <w:i/>
        </w:rPr>
        <w:t xml:space="preserve">su</w:t>
      </w:r>
      <w:r>
        <w:t xml:space="preserve"> </w:t>
      </w:r>
      <w:r>
        <w:t xml:space="preserve">is dropped by</w:t>
      </w:r>
      <w:r>
        <w:t xml:space="preserve"> </w:t>
      </w:r>
      <w:r>
        <w:t xml:space="preserve">“</w:t>
      </w:r>
      <w:r>
        <w:t xml:space="preserve">hal-ṅyābbhyaḥ</w:t>
      </w:r>
      <w:r>
        <w:t xml:space="preserve">”</w:t>
      </w:r>
      <w:r>
        <w:t xml:space="preserve"> </w:t>
      </w:r>
      <w:r>
        <w:t xml:space="preserve">(Pā. 6-1-68);</w:t>
      </w:r>
      <w:r>
        <w:t xml:space="preserve"> </w:t>
      </w:r>
      <w:r>
        <w:t xml:space="preserve">“</w:t>
      </w:r>
      <w:r>
        <w:t xml:space="preserve">ho ḍhaḥ</w:t>
      </w:r>
      <w:r>
        <w:t xml:space="preserve">”</w:t>
      </w:r>
      <w:r>
        <w:t xml:space="preserve"> </w:t>
      </w:r>
      <w:r>
        <w:t xml:space="preserve">(Pā. 8-2-31) gives</w:t>
      </w:r>
      <w:r>
        <w:t xml:space="preserve"> </w:t>
      </w:r>
      <w:r>
        <w:rPr>
          <w:iCs/>
          <w:i/>
        </w:rPr>
        <w:t xml:space="preserve">ḍh</w:t>
      </w:r>
      <w:r>
        <w:t xml:space="preserve"> </w:t>
      </w:r>
      <w:r>
        <w:t xml:space="preserve">for an</w:t>
      </w:r>
      <w:r>
        <w:t xml:space="preserve"> </w:t>
      </w:r>
      <w:r>
        <w:rPr>
          <w:iCs/>
          <w:i/>
        </w:rPr>
        <w:t xml:space="preserve">h</w:t>
      </w:r>
      <w:r>
        <w:t xml:space="preserve"> </w:t>
      </w:r>
      <w:r>
        <w:t xml:space="preserve">before a</w:t>
      </w:r>
      <w:r>
        <w:t xml:space="preserve"> </w:t>
      </w:r>
      <w:r>
        <w:rPr>
          <w:iCs/>
          <w:i/>
        </w:rPr>
        <w:t xml:space="preserve">jhal</w:t>
      </w:r>
      <w:r>
        <w:t xml:space="preserve"> </w:t>
      </w:r>
      <w:r>
        <w:t xml:space="preserve">or at the end of a</w:t>
      </w:r>
      <w:r>
        <w:t xml:space="preserve"> </w:t>
      </w:r>
      <w:r>
        <w:rPr>
          <w:iCs/>
          <w:i/>
        </w:rPr>
        <w:t xml:space="preserve">pada</w:t>
      </w:r>
      <w:r>
        <w:t xml:space="preserve">:</w:t>
      </w:r>
      <w:r>
        <w:t xml:space="preserve"> </w:t>
      </w:r>
      <w:r>
        <w:rPr>
          <w:iCs/>
          <w:i/>
        </w:rPr>
        <w:t xml:space="preserve">havyavāḍh</w:t>
      </w:r>
      <w:r>
        <w:t xml:space="preserve">;</w:t>
      </w:r>
      <w:r>
        <w:t xml:space="preserve"> </w:t>
      </w:r>
      <w:r>
        <w:rPr>
          <w:iCs/>
          <w:i/>
        </w:rPr>
        <w:t xml:space="preserve">jaśtva</w:t>
      </w:r>
      <w:r>
        <w:t xml:space="preserve"> </w:t>
      </w:r>
      <w:r>
        <w:t xml:space="preserve">by</w:t>
      </w:r>
      <w:r>
        <w:t xml:space="preserve"> </w:t>
      </w:r>
      <w:r>
        <w:t xml:space="preserve">“</w:t>
      </w:r>
      <w:r>
        <w:t xml:space="preserve">jhalāṃ jaśo ’nte</w:t>
      </w:r>
      <w:r>
        <w:t xml:space="preserve">”</w:t>
      </w:r>
      <w:r>
        <w:t xml:space="preserve"> </w:t>
      </w:r>
      <w:r>
        <w:t xml:space="preserve">(Pā. 8-2-39),</w:t>
      </w:r>
      <w:r>
        <w:t xml:space="preserve"> </w:t>
      </w:r>
      <w:r>
        <w:rPr>
          <w:iCs/>
          <w:i/>
        </w:rPr>
        <w:t xml:space="preserve">ḍ</w:t>
      </w:r>
      <w:r>
        <w:t xml:space="preserve">;</w:t>
      </w:r>
      <w:r>
        <w:t xml:space="preserve"> </w:t>
      </w:r>
      <w:r>
        <w:rPr>
          <w:iCs/>
          <w:i/>
        </w:rPr>
        <w:t xml:space="preserve">car</w:t>
      </w:r>
      <w:r>
        <w:t xml:space="preserve"> </w:t>
      </w:r>
      <w:r>
        <w:t xml:space="preserve">by</w:t>
      </w:r>
      <w:r>
        <w:t xml:space="preserve"> </w:t>
      </w:r>
      <w:r>
        <w:t xml:space="preserve">“</w:t>
      </w:r>
      <w:r>
        <w:t xml:space="preserve">vāvasāne</w:t>
      </w:r>
      <w:r>
        <w:t xml:space="preserve">”</w:t>
      </w:r>
      <w:r>
        <w:t xml:space="preserve"> </w:t>
      </w:r>
      <w:r>
        <w:t xml:space="preserve">(Pā. 8-4-56):</w:t>
      </w:r>
      <w:r>
        <w:t xml:space="preserve"> </w:t>
      </w:r>
      <w:r>
        <w:rPr>
          <w:iCs/>
          <w:i/>
        </w:rPr>
        <w:t xml:space="preserve">havyavāṭ</w:t>
      </w:r>
      <w:r>
        <w:t xml:space="preserve">.</w:t>
      </w:r>
      <w:r>
        <w:t xml:space="preserve"> </w:t>
      </w:r>
      <w:r>
        <w:rPr>
          <w:bCs/>
          <w:b/>
        </w:rPr>
        <w:t xml:space="preserve">जुह्वास्यः (</w:t>
      </w:r>
      <w:r>
        <w:rPr>
          <w:iCs/>
          <w:i/>
          <w:bCs/>
          <w:b/>
        </w:rPr>
        <w:t xml:space="preserve">juhvāsyaḥ</w:t>
      </w:r>
      <w:r>
        <w:rPr>
          <w:bCs/>
          <w:b/>
        </w:rPr>
        <w:t xml:space="preserve">)</w:t>
      </w:r>
      <w:r>
        <w:t xml:space="preserve"> </w:t>
      </w:r>
      <w:r>
        <w:t xml:space="preserve">—</w:t>
      </w:r>
      <w:r>
        <w:t xml:space="preserve"> </w:t>
      </w:r>
      <w:r>
        <w:t xml:space="preserve">“</w:t>
      </w:r>
      <w:r>
        <w:t xml:space="preserve">hūyate ’nena iti juhūḥ</w:t>
      </w:r>
      <w:r>
        <w:t xml:space="preserve">”</w:t>
      </w:r>
      <w:r>
        <w:t xml:space="preserve">:</w:t>
      </w:r>
      <w:r>
        <w:t xml:space="preserve"> </w:t>
      </w:r>
      <w:r>
        <w:t xml:space="preserve">“</w:t>
      </w:r>
      <w:r>
        <w:t xml:space="preserve">huvaḥ śluvac ca</w:t>
      </w:r>
      <w:r>
        <w:t xml:space="preserve">”</w:t>
      </w:r>
      <w:r>
        <w:t xml:space="preserve"> </w:t>
      </w:r>
      <w:r>
        <w:t xml:space="preserve">(Uṇ.</w:t>
      </w:r>
      <w:r>
        <w:t xml:space="preserve"> </w:t>
      </w:r>
      <w:r>
        <w:t xml:space="preserve">“</w:t>
      </w:r>
      <w:r>
        <w:t xml:space="preserve">2-215</w:t>
      </w:r>
      <w:r>
        <w:t xml:space="preserve">”</w:t>
      </w:r>
      <w:r>
        <w:t xml:space="preserve"> </w:t>
      </w:r>
      <w:r>
        <w:t xml:space="preserve">[?]; the bhāṣya gives 2-60): after</w:t>
      </w:r>
      <w:r>
        <w:t xml:space="preserve"> </w:t>
      </w:r>
      <w:r>
        <w:rPr>
          <w:iCs/>
          <w:i/>
        </w:rPr>
        <w:t xml:space="preserve">hu dānādanayoḥ</w:t>
      </w:r>
      <w:r>
        <w:t xml:space="preserve">,</w:t>
      </w:r>
      <w:r>
        <w:t xml:space="preserve"> </w:t>
      </w:r>
      <w:r>
        <w:rPr>
          <w:iCs/>
          <w:i/>
        </w:rPr>
        <w:t xml:space="preserve">kvip</w:t>
      </w:r>
      <w:r>
        <w:t xml:space="preserve">, the lengthening of the root and</w:t>
      </w:r>
      <w:r>
        <w:t xml:space="preserve"> </w:t>
      </w:r>
      <w:r>
        <w:rPr>
          <w:iCs/>
          <w:i/>
        </w:rPr>
        <w:t xml:space="preserve">ślu</w:t>
      </w:r>
      <w:r>
        <w:t xml:space="preserve">-like treatment of the suffix:</w:t>
      </w:r>
      <w:r>
        <w:t xml:space="preserve"> </w:t>
      </w:r>
      <w:r>
        <w:rPr>
          <w:iCs/>
          <w:i/>
        </w:rPr>
        <w:t xml:space="preserve">hu</w:t>
      </w:r>
      <w:r>
        <w:t xml:space="preserve"> </w:t>
      </w:r>
      <w:r>
        <w:t xml:space="preserve">+</w:t>
      </w:r>
      <w:r>
        <w:t xml:space="preserve"> </w:t>
      </w:r>
      <w:r>
        <w:rPr>
          <w:iCs/>
          <w:i/>
        </w:rPr>
        <w:t xml:space="preserve">kvip</w:t>
      </w:r>
      <w:r>
        <w:t xml:space="preserve">, the lengthening by this sūtra itself:</w:t>
      </w:r>
      <w:r>
        <w:t xml:space="preserve"> </w:t>
      </w:r>
      <w:r>
        <w:rPr>
          <w:iCs/>
          <w:i/>
        </w:rPr>
        <w:t xml:space="preserve">hū</w:t>
      </w:r>
      <w:r>
        <w:t xml:space="preserve">; the</w:t>
      </w:r>
      <w:r>
        <w:t xml:space="preserve"> </w:t>
      </w:r>
      <w:r>
        <w:rPr>
          <w:iCs/>
          <w:i/>
        </w:rPr>
        <w:t xml:space="preserve">kvip</w:t>
      </w:r>
      <w:r>
        <w:t xml:space="preserve"> </w:t>
      </w:r>
      <w:r>
        <w:t xml:space="preserve">being like</w:t>
      </w:r>
      <w:r>
        <w:t xml:space="preserve"> </w:t>
      </w:r>
      <w:r>
        <w:rPr>
          <w:iCs/>
          <w:i/>
        </w:rPr>
        <w:t xml:space="preserve">ślu</w:t>
      </w:r>
      <w:r>
        <w:t xml:space="preserve">, doubling by</w:t>
      </w:r>
      <w:r>
        <w:t xml:space="preserve"> </w:t>
      </w:r>
      <w:r>
        <w:t xml:space="preserve">“</w:t>
      </w:r>
      <w:r>
        <w:t xml:space="preserve">ślau</w:t>
      </w:r>
      <w:r>
        <w:t xml:space="preserve">”</w:t>
      </w:r>
      <w:r>
        <w:t xml:space="preserve"> </w:t>
      </w:r>
      <w:r>
        <w:t xml:space="preserve">(Pā. 6-1-10); the reduplicate shortened by</w:t>
      </w:r>
      <w:r>
        <w:t xml:space="preserve"> </w:t>
      </w:r>
      <w:r>
        <w:t xml:space="preserve">“</w:t>
      </w:r>
      <w:r>
        <w:t xml:space="preserve">hrasvaḥ</w:t>
      </w:r>
      <w:r>
        <w:t xml:space="preserve">”</w:t>
      </w:r>
      <w:r>
        <w:t xml:space="preserve"> </w:t>
      </w:r>
      <w:r>
        <w:t xml:space="preserve">(Pā. 7-4-59); for its</w:t>
      </w:r>
      <w:r>
        <w:t xml:space="preserve"> </w:t>
      </w:r>
      <w:r>
        <w:rPr>
          <w:iCs/>
          <w:i/>
        </w:rPr>
        <w:t xml:space="preserve">h</w:t>
      </w:r>
      <w:r>
        <w:t xml:space="preserve">,</w:t>
      </w:r>
      <w:r>
        <w:t xml:space="preserve"> </w:t>
      </w:r>
      <w:r>
        <w:t xml:space="preserve">“</w:t>
      </w:r>
      <w:r>
        <w:t xml:space="preserve">kuhoś cuḥ</w:t>
      </w:r>
      <w:r>
        <w:t xml:space="preserve">”</w:t>
      </w:r>
      <w:r>
        <w:t xml:space="preserve"> </w:t>
      </w:r>
      <w:r>
        <w:t xml:space="preserve">(Pā. 7-4-62) gives a palatal —</w:t>
      </w:r>
      <w:r>
        <w:t xml:space="preserve"> </w:t>
      </w:r>
      <w:r>
        <w:rPr>
          <w:iCs/>
          <w:i/>
        </w:rPr>
        <w:t xml:space="preserve">jh</w:t>
      </w:r>
      <w:r>
        <w:t xml:space="preserve">, the voiced aspirate matching</w:t>
      </w:r>
      <w:r>
        <w:t xml:space="preserve"> </w:t>
      </w:r>
      <w:r>
        <w:rPr>
          <w:iCs/>
          <w:i/>
        </w:rPr>
        <w:t xml:space="preserve">h</w:t>
      </w:r>
      <w:r>
        <w:t xml:space="preserve">;</w:t>
      </w:r>
      <w:r>
        <w:t xml:space="preserve"> </w:t>
      </w:r>
      <w:r>
        <w:rPr>
          <w:iCs/>
          <w:i/>
        </w:rPr>
        <w:t xml:space="preserve">jaś</w:t>
      </w:r>
      <w:r>
        <w:t xml:space="preserve"> </w:t>
      </w:r>
      <w:r>
        <w:t xml:space="preserve">by</w:t>
      </w:r>
      <w:r>
        <w:t xml:space="preserve"> </w:t>
      </w:r>
      <w:r>
        <w:t xml:space="preserve">“</w:t>
      </w:r>
      <w:r>
        <w:t xml:space="preserve">abhyāse car ca</w:t>
      </w:r>
      <w:r>
        <w:t xml:space="preserve">”</w:t>
      </w:r>
      <w:r>
        <w:t xml:space="preserve"> </w:t>
      </w:r>
      <w:r>
        <w:t xml:space="preserve">(Pā. 8-4-54):</w:t>
      </w:r>
      <w:r>
        <w:t xml:space="preserve"> </w:t>
      </w:r>
      <w:r>
        <w:rPr>
          <w:iCs/>
          <w:i/>
        </w:rPr>
        <w:t xml:space="preserve">j</w:t>
      </w:r>
      <w:r>
        <w:t xml:space="preserve">:</w:t>
      </w:r>
      <w:r>
        <w:t xml:space="preserve"> </w:t>
      </w:r>
      <w:r>
        <w:rPr>
          <w:iCs/>
          <w:i/>
        </w:rPr>
        <w:t xml:space="preserve">juhū</w:t>
      </w:r>
      <w:r>
        <w:t xml:space="preserve">; the</w:t>
      </w:r>
      <w:r>
        <w:t xml:space="preserve"> </w:t>
      </w:r>
      <w:r>
        <w:rPr>
          <w:iCs/>
          <w:i/>
        </w:rPr>
        <w:t xml:space="preserve">kvip</w:t>
      </w:r>
      <w:r>
        <w:t xml:space="preserve"> </w:t>
      </w:r>
      <w:r>
        <w:t xml:space="preserve">is lost; final-udātta by the stem accent. In the bahuvrīhi</w:t>
      </w:r>
      <w:r>
        <w:t xml:space="preserve"> </w:t>
      </w:r>
      <w:r>
        <w:t xml:space="preserve">“</w:t>
      </w:r>
      <w:r>
        <w:t xml:space="preserve">juhūḥ āsyaṃ yasya saḥ juhvāsyaḥ</w:t>
      </w:r>
      <w:r>
        <w:t xml:space="preserve">”</w:t>
      </w:r>
      <w:r>
        <w:t xml:space="preserve">,</w:t>
      </w:r>
      <w:r>
        <w:t xml:space="preserve"> </w:t>
      </w:r>
      <w:r>
        <w:t xml:space="preserve">“</w:t>
      </w:r>
      <w:r>
        <w:t xml:space="preserve">bahuvrīhau prakṛtyā pūrvapadam</w:t>
      </w:r>
      <w:r>
        <w:t xml:space="preserve">”</w:t>
      </w:r>
      <w:r>
        <w:t xml:space="preserve"> </w:t>
      </w:r>
      <w:r>
        <w:t xml:space="preserve">(Pā. 6-2-1) keeps the first member’s accent; by</w:t>
      </w:r>
      <w:r>
        <w:t xml:space="preserve"> </w:t>
      </w:r>
      <w:r>
        <w:t xml:space="preserve">“</w:t>
      </w:r>
      <w:r>
        <w:t xml:space="preserve">anudāttaṃ padam ekavarjam</w:t>
      </w:r>
      <w:r>
        <w:t xml:space="preserve">”</w:t>
      </w:r>
      <w:r>
        <w:t xml:space="preserve"> </w:t>
      </w:r>
      <w:r>
        <w:t xml:space="preserve">(Pā. 6-1-158) the rest except the</w:t>
      </w:r>
      <w:r>
        <w:t xml:space="preserve"> </w:t>
      </w:r>
      <w:r>
        <w:rPr>
          <w:iCs/>
          <w:i/>
        </w:rPr>
        <w:t xml:space="preserve">ū</w:t>
      </w:r>
      <w:r>
        <w:t xml:space="preserve"> </w:t>
      </w:r>
      <w:r>
        <w:t xml:space="preserve">are unaccented; the udātta</w:t>
      </w:r>
      <w:r>
        <w:t xml:space="preserve"> </w:t>
      </w:r>
      <w:r>
        <w:rPr>
          <w:iCs/>
          <w:i/>
        </w:rPr>
        <w:t xml:space="preserve">ū</w:t>
      </w:r>
      <w:r>
        <w:t xml:space="preserve"> </w:t>
      </w:r>
      <w:r>
        <w:t xml:space="preserve">becomes</w:t>
      </w:r>
      <w:r>
        <w:t xml:space="preserve"> </w:t>
      </w:r>
      <w:r>
        <w:rPr>
          <w:iCs/>
          <w:i/>
        </w:rPr>
        <w:t xml:space="preserve">v</w:t>
      </w:r>
      <w:r>
        <w:t xml:space="preserve"> </w:t>
      </w:r>
      <w:r>
        <w:t xml:space="preserve">by</w:t>
      </w:r>
      <w:r>
        <w:t xml:space="preserve"> </w:t>
      </w:r>
      <w:r>
        <w:t xml:space="preserve">“</w:t>
      </w:r>
      <w:r>
        <w:t xml:space="preserve">iko yaṇ aci</w:t>
      </w:r>
      <w:r>
        <w:t xml:space="preserve">”</w:t>
      </w:r>
      <w:r>
        <w:t xml:space="preserve"> </w:t>
      </w:r>
      <w:r>
        <w:t xml:space="preserve">(Pā. 6-1-77); and</w:t>
      </w:r>
      <w:r>
        <w:t xml:space="preserve"> </w:t>
      </w:r>
      <w:r>
        <w:t xml:space="preserve">“</w:t>
      </w:r>
      <w:r>
        <w:t xml:space="preserve">udātta-svaritayor yaṇaḥ svarito ’nudāttasya</w:t>
      </w:r>
      <w:r>
        <w:t xml:space="preserve">”</w:t>
      </w:r>
      <w:r>
        <w:t xml:space="preserve"> </w:t>
      </w:r>
      <w:r>
        <w:t xml:space="preserve">(Pā. 8-2-4) makes the unaccented vowel after a</w:t>
      </w:r>
      <w:r>
        <w:t xml:space="preserve"> </w:t>
      </w:r>
      <w:r>
        <w:rPr>
          <w:iCs/>
          <w:i/>
        </w:rPr>
        <w:t xml:space="preserve">yaṇ</w:t>
      </w:r>
      <w:r>
        <w:t xml:space="preserve"> </w:t>
      </w:r>
      <w:r>
        <w:t xml:space="preserve">that replaced an udātta or svarita svarita: so the</w:t>
      </w:r>
      <w:r>
        <w:t xml:space="preserve"> </w:t>
      </w:r>
      <w:r>
        <w:rPr>
          <w:iCs/>
          <w:i/>
        </w:rPr>
        <w:t xml:space="preserve">ā</w:t>
      </w:r>
      <w:r>
        <w:t xml:space="preserve"> </w:t>
      </w:r>
      <w:r>
        <w:t xml:space="preserve">is svarita.</w:t>
      </w:r>
    </w:p>
    <w:p>
      <w:pPr>
        <w:pStyle w:val="BodyText"/>
      </w:pPr>
      <w:r>
        <w:rPr>
          <w:bCs/>
          <w:b/>
        </w:rPr>
        <w:t xml:space="preserve">॥६॥</w:t>
      </w:r>
    </w:p>
    <w:p>
      <w:r>
        <w:pict>
          <v:rect style="width:0;height:1.5pt" o:hralign="center" o:hrstd="t" o:hr="t"/>
        </w:pict>
      </w:r>
    </w:p>
    <w:bookmarkEnd w:id="528"/>
    <w:bookmarkStart w:id="529" w:name="page-506-sūkta-12-rik-7"/>
    <w:p>
      <w:pPr>
        <w:pStyle w:val="Heading3"/>
      </w:pPr>
      <w:r>
        <w:t xml:space="preserve">Page 506 — Sūkta 12, Rik 7</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क॒विम॒ग्निमुप॑ स्तुहि स॒त्यध॑र्माणमध्व॒रे ।</w:t>
      </w:r>
      <w:r>
        <w:t xml:space="preserve"> </w:t>
      </w:r>
      <w:r>
        <w:t xml:space="preserve">दे॒वम॑मीव॒चात॑नम् ॥७॥</w:t>
      </w:r>
    </w:p>
    <w:p>
      <w:pPr>
        <w:pStyle w:val="BlockText"/>
      </w:pPr>
      <w:r>
        <w:rPr>
          <w:iCs/>
          <w:i/>
        </w:rPr>
        <w:t xml:space="preserve">kavím agním úpa stuhi satyádharmāṇam adhvaré |</w:t>
      </w:r>
      <w:r>
        <w:t xml:space="preserve"> </w:t>
      </w:r>
      <w:r>
        <w:rPr>
          <w:iCs/>
          <w:i/>
        </w:rPr>
        <w:t xml:space="preserve">devám amīvacā́tanam ||7||</w:t>
      </w:r>
    </w:p>
    <w:p>
      <w:pPr>
        <w:pStyle w:val="FirstParagraph"/>
      </w:pPr>
      <w:r>
        <w:rPr>
          <w:bCs/>
          <w:b/>
        </w:rPr>
        <w:t xml:space="preserve">॥ Pada-pāṭhaḥ ॥</w:t>
      </w:r>
    </w:p>
    <w:p>
      <w:pPr>
        <w:pStyle w:val="BlockText"/>
      </w:pPr>
      <w:r>
        <w:t xml:space="preserve">कविम् । अग्निम् । उप । स्तुहि । सत्यऽधर्माणम् । अध्वरे ॥</w:t>
      </w:r>
      <w:r>
        <w:t xml:space="preserve"> </w:t>
      </w:r>
      <w:r>
        <w:t xml:space="preserve">देवम् । अमीवऽचातनम् ॥७॥</w:t>
      </w:r>
    </w:p>
    <w:p>
      <w:pPr>
        <w:pStyle w:val="BlockText"/>
      </w:pPr>
      <w:r>
        <w:rPr>
          <w:iCs/>
          <w:i/>
        </w:rPr>
        <w:t xml:space="preserve">kavim | agnim | upa | stuhi | satya-dharmāṇam | adhvare ||</w:t>
      </w:r>
      <w:r>
        <w:t xml:space="preserve"> </w:t>
      </w:r>
      <w:r>
        <w:rPr>
          <w:iCs/>
          <w:i/>
        </w:rPr>
        <w:t xml:space="preserve">devam | amīva-cātanam ||7||</w:t>
      </w:r>
    </w:p>
    <w:bookmarkEnd w:id="529"/>
    <w:bookmarkStart w:id="530" w:name="X36fadd66a2bdf76fff92f8c9ea1279952db89cd"/>
    <w:p>
      <w:pPr>
        <w:pStyle w:val="Heading3"/>
      </w:pPr>
      <w:r>
        <w:t xml:space="preserve">Page 507 — Rik 7: Sāyaṇa-bhāṣya, word-meanings, overall sense</w:t>
      </w:r>
    </w:p>
    <w:p>
      <w:pPr>
        <w:pStyle w:val="FirstParagraph"/>
      </w:pPr>
      <w:r>
        <w:rPr>
          <w:bCs/>
          <w:b/>
        </w:rPr>
        <w:t xml:space="preserve">॥ Sāyaṇa-bhāṣyam ॥</w:t>
      </w:r>
    </w:p>
    <w:p>
      <w:pPr>
        <w:pStyle w:val="BlockText"/>
      </w:pPr>
      <w:r>
        <w:t xml:space="preserve">हे स्तोतृसंघ अध्वरे क्रतावग्निमुपस्तुहि । उपेत्य स्तुतिं कुरु । कीदृशम् । कविं मेधाविनं सत्यधर्माणं सत्यवदनरूपेण धर्मेणोपेतं देवं द्योतमानममीवचातनममीवानां हिंसकानां शत्रूणां रोगाणां वा घातकम् ॥ सत्यं धर्मो यस्येति सत्यधर्मा । धर्मादनिच् केवलात् । पा. ५-४-१२४ । इत्यनिच् समासान्तः । अन्तःपदेन तस्य समासत्वाभिधानाद्बहुव्रीहौ पूर्वपदप्रकृतिस्वरत्वे शेषनिघातेनानुदात्तत्वम् । अमीवशब्दो ऽम रोग इत्यस्मात् शेवायहूजिह्वाग्रीवाप्वामीवाः । उ. १-१५४ । इति वन्प्रत्यय ईडागमश्च निपातितः । नित्त्वादाद्युदात्तः । चतेः चदे याचने चेत्यस्माद्धिंसार्थात् । णिजन्तान्नन्द्यादित्वात् ल्युः । पा. ३-१-१३४ । योरनादेशः । पा. ७-१-१ । णेरनिटीति णेर्लोपः । लितीति धातोरकारस्योदात्तत्वम् । न च स्वरे कर्तव्ये णिलोपस्य स्थानिवद्भावः । न पदान्तद्विर्वचनेत्यादिना प्रतिषेधात् । पा. १-१-५८ । अमीवानां चातन इति समासे कृदुत्तरपदप्रकृतिस्वरेण स एव शिष्यते ॥</w:t>
      </w:r>
    </w:p>
    <w:p>
      <w:pPr>
        <w:pStyle w:val="BlockText"/>
      </w:pPr>
      <w:r>
        <w:rPr>
          <w:iCs/>
          <w:i/>
        </w:rPr>
        <w:t xml:space="preserve">he stotṛsaṃgha adhvare kratāvagnimupastuhi | upetya stutiṃ kuru | kīdṛśam | kaviṃ medhāvinaṃ satyadharmāṇaṃ satyavadanarūpeṇa dharmeṇopetaṃ devaṃ dyotamānamamīvacātanamamīvānāṃ hiṃsakānāṃ śatrūṇāṃ rogāṇāṃ vā ghātakam || satyaṃ dharmo yasyeti satyadharmā | dharmādanic kevalāt | pā. 5-4-124 | ityanic samāsāntaḥ | antaḥpadena tasya samāsatvābhidhānādbahuvrīhau pūrvapadaprakṛtisvaratve śeṣanighātenānudāttatvam | amīvaśabdo ’ma roga ityasmāt śevāyahūjihvāgrīvāpvāmīvāḥ | u. 1-154 | iti vanpratyaya īḍāgamaśca nipātitaḥ | nittvādādyudāttaḥ | cateḥ cade yācane cetyasmāddhiṃsārthāt | ṇijantānnandyāditvāt lyuḥ | pā. 3-1-134 | yoranādeśaḥ | pā. 7-1-1 | ṇeraniṭīti ṇerlopaḥ | litīti dhātorakārasyodāttatvam | na ca svare kartavye ṇilopasya sthānivadbhāvaḥ | na padāntadvirvacanetyādinā pratiṣedhāt | pā. 1-1-58 | amīvānāṃ cātana iti samāse kṛduttarapadaprakṛtisvareṇa sa eva śiṣyate ||</w:t>
      </w:r>
    </w:p>
    <w:p>
      <w:pPr>
        <w:pStyle w:val="FirstParagraph"/>
      </w:pPr>
      <w:r>
        <w:rPr>
          <w:bCs/>
          <w:b/>
        </w:rPr>
        <w:t xml:space="preserve">Translation:</w:t>
      </w:r>
      <w:r>
        <w:t xml:space="preserve"> </w:t>
      </w:r>
      <w:r>
        <w:t xml:space="preserve">“</w:t>
      </w:r>
      <w:r>
        <w:t xml:space="preserve">O company of praisers! In the</w:t>
      </w:r>
      <w:r>
        <w:t xml:space="preserve"> </w:t>
      </w:r>
      <w:r>
        <w:rPr>
          <w:iCs/>
          <w:i/>
        </w:rPr>
        <w:t xml:space="preserve">adhvara</w:t>
      </w:r>
      <w:r>
        <w:t xml:space="preserve">, the sacrifice,</w:t>
      </w:r>
      <w:r>
        <w:t xml:space="preserve"> </w:t>
      </w:r>
      <w:r>
        <w:rPr>
          <w:iCs/>
          <w:i/>
        </w:rPr>
        <w:t xml:space="preserve">upa stuhi</w:t>
      </w:r>
      <w:r>
        <w:t xml:space="preserve"> </w:t>
      </w:r>
      <w:r>
        <w:t xml:space="preserve">— approaching, sing praise to Agni. What kind of Agni?</w:t>
      </w:r>
      <w:r>
        <w:t xml:space="preserve"> </w:t>
      </w:r>
      <w:r>
        <w:rPr>
          <w:iCs/>
          <w:i/>
        </w:rPr>
        <w:t xml:space="preserve">Kavim</w:t>
      </w:r>
      <w:r>
        <w:t xml:space="preserve"> </w:t>
      </w:r>
      <w:r>
        <w:t xml:space="preserve">— wise;</w:t>
      </w:r>
      <w:r>
        <w:t xml:space="preserve"> </w:t>
      </w:r>
      <w:r>
        <w:rPr>
          <w:iCs/>
          <w:i/>
        </w:rPr>
        <w:t xml:space="preserve">satyadharmāṇam</w:t>
      </w:r>
      <w:r>
        <w:t xml:space="preserve"> </w:t>
      </w:r>
      <w:r>
        <w:t xml:space="preserve">— endowed with the nature of speaking truth;</w:t>
      </w:r>
      <w:r>
        <w:t xml:space="preserve"> </w:t>
      </w:r>
      <w:r>
        <w:rPr>
          <w:iCs/>
          <w:i/>
        </w:rPr>
        <w:t xml:space="preserve">devam</w:t>
      </w:r>
      <w:r>
        <w:t xml:space="preserve"> </w:t>
      </w:r>
      <w:r>
        <w:t xml:space="preserve">— shining;</w:t>
      </w:r>
      <w:r>
        <w:t xml:space="preserve"> </w:t>
      </w:r>
      <w:r>
        <w:rPr>
          <w:iCs/>
          <w:i/>
        </w:rPr>
        <w:t xml:space="preserve">amīvacātanam</w:t>
      </w:r>
      <w:r>
        <w:t xml:space="preserve"> </w:t>
      </w:r>
      <w:r>
        <w:t xml:space="preserve">— the destroyer of the</w:t>
      </w:r>
      <w:r>
        <w:t xml:space="preserve"> </w:t>
      </w:r>
      <w:r>
        <w:rPr>
          <w:iCs/>
          <w:i/>
        </w:rPr>
        <w:t xml:space="preserve">amīvas</w:t>
      </w:r>
      <w:r>
        <w:t xml:space="preserve">, of those who harm, of enemies or of diseases.</w:t>
      </w:r>
      <w:r>
        <w:t xml:space="preserve">”</w:t>
      </w:r>
      <w:r>
        <w:t xml:space="preserve"> </w:t>
      </w:r>
      <w:r>
        <w:t xml:space="preserve">(Grammatical tail:</w:t>
      </w:r>
      <w:r>
        <w:t xml:space="preserve"> </w:t>
      </w:r>
      <w:r>
        <w:rPr>
          <w:iCs/>
          <w:i/>
        </w:rPr>
        <w:t xml:space="preserve">satyadharmā</w:t>
      </w:r>
      <w:r>
        <w:t xml:space="preserve"> </w:t>
      </w:r>
      <w:r>
        <w:t xml:space="preserve">—</w:t>
      </w:r>
      <w:r>
        <w:t xml:space="preserve"> </w:t>
      </w:r>
      <w:r>
        <w:t xml:space="preserve">“</w:t>
      </w:r>
      <w:r>
        <w:t xml:space="preserve">whose dharma is truth</w:t>
      </w:r>
      <w:r>
        <w:t xml:space="preserve">”</w:t>
      </w:r>
      <w:r>
        <w:t xml:space="preserve">: the</w:t>
      </w:r>
      <w:r>
        <w:t xml:space="preserve"> </w:t>
      </w:r>
      <w:r>
        <w:rPr>
          <w:iCs/>
          <w:i/>
        </w:rPr>
        <w:t xml:space="preserve">samāsānta</w:t>
      </w:r>
      <w:r>
        <w:t xml:space="preserve"> </w:t>
      </w:r>
      <w:r>
        <w:rPr>
          <w:iCs/>
          <w:i/>
        </w:rPr>
        <w:t xml:space="preserve">anic</w:t>
      </w:r>
      <w:r>
        <w:t xml:space="preserve"> </w:t>
      </w:r>
      <w:r>
        <w:t xml:space="preserve">by</w:t>
      </w:r>
      <w:r>
        <w:t xml:space="preserve"> </w:t>
      </w:r>
      <w:r>
        <w:t xml:space="preserve">“</w:t>
      </w:r>
      <w:r>
        <w:t xml:space="preserve">dharmād anic kevalāt</w:t>
      </w:r>
      <w:r>
        <w:t xml:space="preserve">”</w:t>
      </w:r>
      <w:r>
        <w:t xml:space="preserve"> </w:t>
      </w:r>
      <w:r>
        <w:t xml:space="preserve">(Pā. 5-4-124); since it is taught as part of the compound, the bahuvrīhi keeps the first member’s accent and the rest is unaccented;</w:t>
      </w:r>
      <w:r>
        <w:t xml:space="preserve"> </w:t>
      </w:r>
      <w:r>
        <w:rPr>
          <w:iCs/>
          <w:i/>
        </w:rPr>
        <w:t xml:space="preserve">amīva</w:t>
      </w:r>
      <w:r>
        <w:t xml:space="preserve"> </w:t>
      </w:r>
      <w:r>
        <w:t xml:space="preserve">— from</w:t>
      </w:r>
      <w:r>
        <w:t xml:space="preserve"> </w:t>
      </w:r>
      <w:r>
        <w:rPr>
          <w:iCs/>
          <w:i/>
        </w:rPr>
        <w:t xml:space="preserve">ama roge</w:t>
      </w:r>
      <w:r>
        <w:t xml:space="preserve">, formed irregularly with</w:t>
      </w:r>
      <w:r>
        <w:t xml:space="preserve"> </w:t>
      </w:r>
      <w:r>
        <w:rPr>
          <w:iCs/>
          <w:i/>
        </w:rPr>
        <w:t xml:space="preserve">van</w:t>
      </w:r>
      <w:r>
        <w:t xml:space="preserve"> </w:t>
      </w:r>
      <w:r>
        <w:t xml:space="preserve">and the augment</w:t>
      </w:r>
      <w:r>
        <w:t xml:space="preserve"> </w:t>
      </w:r>
      <w:r>
        <w:rPr>
          <w:iCs/>
          <w:i/>
        </w:rPr>
        <w:t xml:space="preserve">ī</w:t>
      </w:r>
      <w:r>
        <w:t xml:space="preserve"> </w:t>
      </w:r>
      <w:r>
        <w:t xml:space="preserve">by</w:t>
      </w:r>
      <w:r>
        <w:t xml:space="preserve"> </w:t>
      </w:r>
      <w:r>
        <w:t xml:space="preserve">“</w:t>
      </w:r>
      <w:r>
        <w:t xml:space="preserve">śevā-yahū-jihvā-grīvā-pvāmīvāḥ</w:t>
      </w:r>
      <w:r>
        <w:t xml:space="preserve">”</w:t>
      </w:r>
      <w:r>
        <w:t xml:space="preserve"> </w:t>
      </w:r>
      <w:r>
        <w:t xml:space="preserve">(Uṇ. 1-154), initial-udātta as</w:t>
      </w:r>
      <w:r>
        <w:t xml:space="preserve"> </w:t>
      </w:r>
      <w:r>
        <w:rPr>
          <w:iCs/>
          <w:i/>
        </w:rPr>
        <w:t xml:space="preserve">nit</w:t>
      </w:r>
      <w:r>
        <w:t xml:space="preserve">;</w:t>
      </w:r>
      <w:r>
        <w:t xml:space="preserve"> </w:t>
      </w:r>
      <w:r>
        <w:rPr>
          <w:iCs/>
          <w:i/>
        </w:rPr>
        <w:t xml:space="preserve">cātana</w:t>
      </w:r>
      <w:r>
        <w:t xml:space="preserve"> </w:t>
      </w:r>
      <w:r>
        <w:t xml:space="preserve">— from</w:t>
      </w:r>
      <w:r>
        <w:t xml:space="preserve"> </w:t>
      </w:r>
      <w:r>
        <w:rPr>
          <w:iCs/>
          <w:i/>
        </w:rPr>
        <w:t xml:space="preserve">cate</w:t>
      </w:r>
      <w:r>
        <w:t xml:space="preserve">/</w:t>
      </w:r>
      <w:r>
        <w:rPr>
          <w:iCs/>
          <w:i/>
        </w:rPr>
        <w:t xml:space="preserve">cade yācane</w:t>
      </w:r>
      <w:r>
        <w:t xml:space="preserve"> </w:t>
      </w:r>
      <w:r>
        <w:t xml:space="preserve">in the sense of hurting, with</w:t>
      </w:r>
      <w:r>
        <w:t xml:space="preserve"> </w:t>
      </w:r>
      <w:r>
        <w:rPr>
          <w:iCs/>
          <w:i/>
        </w:rPr>
        <w:t xml:space="preserve">ṇic</w:t>
      </w:r>
      <w:r>
        <w:t xml:space="preserve">,</w:t>
      </w:r>
      <w:r>
        <w:t xml:space="preserve"> </w:t>
      </w:r>
      <w:r>
        <w:rPr>
          <w:iCs/>
          <w:i/>
        </w:rPr>
        <w:t xml:space="preserve">lyu</w:t>
      </w:r>
      <w:r>
        <w:t xml:space="preserve"> </w:t>
      </w:r>
      <w:r>
        <w:t xml:space="preserve">as one of the</w:t>
      </w:r>
      <w:r>
        <w:t xml:space="preserve"> </w:t>
      </w:r>
      <w:r>
        <w:rPr>
          <w:iCs/>
          <w:i/>
        </w:rPr>
        <w:t xml:space="preserve">nandyādi</w:t>
      </w:r>
      <w:r>
        <w:t xml:space="preserve"> </w:t>
      </w:r>
      <w:r>
        <w:t xml:space="preserve">(Pā. 3-1-134),</w:t>
      </w:r>
      <w:r>
        <w:t xml:space="preserve"> </w:t>
      </w:r>
      <w:r>
        <w:rPr>
          <w:iCs/>
          <w:i/>
        </w:rPr>
        <w:t xml:space="preserve">ana</w:t>
      </w:r>
      <w:r>
        <w:t xml:space="preserve"> </w:t>
      </w:r>
      <w:r>
        <w:t xml:space="preserve">for</w:t>
      </w:r>
      <w:r>
        <w:t xml:space="preserve"> </w:t>
      </w:r>
      <w:r>
        <w:rPr>
          <w:iCs/>
          <w:i/>
        </w:rPr>
        <w:t xml:space="preserve">yu</w:t>
      </w:r>
      <w:r>
        <w:t xml:space="preserve"> </w:t>
      </w:r>
      <w:r>
        <w:t xml:space="preserve">(Pā. 7-1-1),</w:t>
      </w:r>
      <w:r>
        <w:t xml:space="preserve"> </w:t>
      </w:r>
      <w:r>
        <w:rPr>
          <w:iCs/>
          <w:i/>
        </w:rPr>
        <w:t xml:space="preserve">ṇi</w:t>
      </w:r>
      <w:r>
        <w:t xml:space="preserve"> </w:t>
      </w:r>
      <w:r>
        <w:t xml:space="preserve">dropped by</w:t>
      </w:r>
      <w:r>
        <w:t xml:space="preserve"> </w:t>
      </w:r>
      <w:r>
        <w:t xml:space="preserve">“</w:t>
      </w:r>
      <w:r>
        <w:t xml:space="preserve">ṇer aniṭi</w:t>
      </w:r>
      <w:r>
        <w:t xml:space="preserve">”</w:t>
      </w:r>
      <w:r>
        <w:t xml:space="preserve">, the root’s</w:t>
      </w:r>
      <w:r>
        <w:t xml:space="preserve"> </w:t>
      </w:r>
      <w:r>
        <w:rPr>
          <w:iCs/>
          <w:i/>
        </w:rPr>
        <w:t xml:space="preserve">a</w:t>
      </w:r>
      <w:r>
        <w:t xml:space="preserve"> </w:t>
      </w:r>
      <w:r>
        <w:t xml:space="preserve">udātta by</w:t>
      </w:r>
      <w:r>
        <w:t xml:space="preserve"> </w:t>
      </w:r>
      <w:r>
        <w:t xml:space="preserve">“</w:t>
      </w:r>
      <w:r>
        <w:t xml:space="preserve">liti</w:t>
      </w:r>
      <w:r>
        <w:t xml:space="preserve">”</w:t>
      </w:r>
      <w:r>
        <w:t xml:space="preserve">; the loss of</w:t>
      </w:r>
      <w:r>
        <w:t xml:space="preserve"> </w:t>
      </w:r>
      <w:r>
        <w:rPr>
          <w:iCs/>
          <w:i/>
        </w:rPr>
        <w:t xml:space="preserve">ṇi</w:t>
      </w:r>
      <w:r>
        <w:t xml:space="preserve"> </w:t>
      </w:r>
      <w:r>
        <w:t xml:space="preserve">is not treated as present for accent, by the bar</w:t>
      </w:r>
      <w:r>
        <w:t xml:space="preserve"> </w:t>
      </w:r>
      <w:r>
        <w:t xml:space="preserve">“</w:t>
      </w:r>
      <w:r>
        <w:t xml:space="preserve">na padānta-dvirvacana…</w:t>
      </w:r>
      <w:r>
        <w:t xml:space="preserve">”</w:t>
      </w:r>
      <w:r>
        <w:t xml:space="preserve"> </w:t>
      </w:r>
      <w:r>
        <w:t xml:space="preserve">(Pā. 1-1-58); in the compound</w:t>
      </w:r>
      <w:r>
        <w:t xml:space="preserve"> </w:t>
      </w:r>
      <w:r>
        <w:t xml:space="preserve">“</w:t>
      </w:r>
      <w:r>
        <w:t xml:space="preserve">amīvānāṃ cātanaḥ</w:t>
      </w:r>
      <w:r>
        <w:t xml:space="preserve">”</w:t>
      </w:r>
      <w:r>
        <w:t xml:space="preserve"> </w:t>
      </w:r>
      <w:r>
        <w:t xml:space="preserve">the</w:t>
      </w:r>
      <w:r>
        <w:t xml:space="preserve"> </w:t>
      </w:r>
      <w:r>
        <w:rPr>
          <w:iCs/>
          <w:i/>
        </w:rPr>
        <w:t xml:space="preserve">kṛt</w:t>
      </w:r>
      <w:r>
        <w:t xml:space="preserve"> </w:t>
      </w:r>
      <w:r>
        <w:t xml:space="preserve">second member keeps that accent.)</w:t>
      </w:r>
    </w:p>
    <w:p>
      <w:pPr>
        <w:pStyle w:val="BodyText"/>
      </w:pPr>
      <w:r>
        <w:rPr>
          <w:bCs/>
          <w:b/>
        </w:rPr>
        <w:t xml:space="preserve">॥ Prati-padārthaḥ ॥</w:t>
      </w:r>
    </w:p>
    <w:p>
      <w:pPr>
        <w:pStyle w:val="BodyText"/>
      </w:pPr>
      <w:r>
        <w:rPr>
          <w:iCs/>
          <w:i/>
        </w:rPr>
        <w:t xml:space="preserve">(O priests and others who sing praise!)</w:t>
      </w:r>
      <w:r>
        <w:t xml:space="preserve"> </w:t>
      </w:r>
      <w:r>
        <w:rPr>
          <w:bCs/>
          <w:b/>
        </w:rPr>
        <w:t xml:space="preserve">कविम् (kavim)</w:t>
      </w:r>
      <w:r>
        <w:t xml:space="preserve"> </w:t>
      </w:r>
      <w:r>
        <w:t xml:space="preserve">— the wise one |</w:t>
      </w:r>
      <w:r>
        <w:t xml:space="preserve"> </w:t>
      </w:r>
      <w:r>
        <w:rPr>
          <w:bCs/>
          <w:b/>
        </w:rPr>
        <w:t xml:space="preserve">सत्यधर्माणम् (satyadharmāṇam)</w:t>
      </w:r>
      <w:r>
        <w:t xml:space="preserve"> </w:t>
      </w:r>
      <w:r>
        <w:t xml:space="preserve">— whose nature is truth and dharma |</w:t>
      </w:r>
      <w:r>
        <w:t xml:space="preserve"> </w:t>
      </w:r>
      <w:r>
        <w:rPr>
          <w:bCs/>
          <w:b/>
        </w:rPr>
        <w:t xml:space="preserve">देवम् (devam)</w:t>
      </w:r>
      <w:r>
        <w:t xml:space="preserve"> </w:t>
      </w:r>
      <w:r>
        <w:t xml:space="preserve">— shining |</w:t>
      </w:r>
      <w:r>
        <w:t xml:space="preserve"> </w:t>
      </w:r>
      <w:r>
        <w:rPr>
          <w:bCs/>
          <w:b/>
        </w:rPr>
        <w:t xml:space="preserve">अमीवचातनम् (amīvacātanam)</w:t>
      </w:r>
      <w:r>
        <w:t xml:space="preserve"> </w:t>
      </w:r>
      <w:r>
        <w:t xml:space="preserve">— the destroyer of enemies, or the destroyer of diseases |</w:t>
      </w:r>
      <w:r>
        <w:t xml:space="preserve"> </w:t>
      </w:r>
      <w:r>
        <w:rPr>
          <w:bCs/>
          <w:b/>
        </w:rPr>
        <w:t xml:space="preserve">अग्निम् (agnim)</w:t>
      </w:r>
      <w:r>
        <w:t xml:space="preserve"> </w:t>
      </w:r>
      <w:r>
        <w:t xml:space="preserve">— Agni |</w:t>
      </w:r>
      <w:r>
        <w:t xml:space="preserve"> </w:t>
      </w:r>
      <w:r>
        <w:rPr>
          <w:bCs/>
          <w:b/>
        </w:rPr>
        <w:t xml:space="preserve">अध्वरे (adhvare)</w:t>
      </w:r>
      <w:r>
        <w:t xml:space="preserve"> </w:t>
      </w:r>
      <w:r>
        <w:t xml:space="preserve">— in the sacrificial rite |</w:t>
      </w:r>
      <w:r>
        <w:t xml:space="preserve"> </w:t>
      </w:r>
      <w:r>
        <w:rPr>
          <w:bCs/>
          <w:b/>
        </w:rPr>
        <w:t xml:space="preserve">उपस्तुहि (upastuhi)</w:t>
      </w:r>
      <w:r>
        <w:t xml:space="preserve"> </w:t>
      </w:r>
      <w:r>
        <w:t xml:space="preserve">— standing near, praise [him].</w:t>
      </w:r>
    </w:p>
    <w:p>
      <w:pPr>
        <w:pStyle w:val="BodyText"/>
      </w:pPr>
      <w:r>
        <w:rPr>
          <w:bCs/>
          <w:b/>
        </w:rPr>
        <w:t xml:space="preserve">॥ Bhāvārthaḥ ॥</w:t>
      </w:r>
    </w:p>
    <w:p>
      <w:pPr>
        <w:pStyle w:val="BodyText"/>
      </w:pPr>
      <w:r>
        <w:t xml:space="preserve">O priests and others! This Agni whom you are praising is very wise, of the nature of truth and dharma (or whose dharma — conduct — is truth itself), shining, a destroyer of enemies or a remover of diseases and such troubles. Stand near this Agni in the rite we perform and praise him.</w:t>
      </w:r>
    </w:p>
    <w:bookmarkEnd w:id="530"/>
    <w:bookmarkStart w:id="531" w:name="X55f8491c93c685d9bfd5ab019b886ae49ecf220"/>
    <w:p>
      <w:pPr>
        <w:pStyle w:val="Heading3"/>
      </w:pPr>
      <w:r>
        <w:t xml:space="preserve">Page 508 — Rik 7: English, Special Topics, grammar</w:t>
      </w:r>
    </w:p>
    <w:p>
      <w:pPr>
        <w:pStyle w:val="FirstParagraph"/>
      </w:pPr>
      <w:r>
        <w:rPr>
          <w:bCs/>
          <w:b/>
        </w:rPr>
        <w:t xml:space="preserve">॥ English Translation ॥</w:t>
      </w:r>
      <w:r>
        <w:t xml:space="preserve"> </w:t>
      </w:r>
      <w:r>
        <w:rPr>
          <w:iCs/>
          <w:i/>
        </w:rPr>
        <w:t xml:space="preserve">(as printed in the source)</w:t>
      </w:r>
    </w:p>
    <w:p>
      <w:pPr>
        <w:pStyle w:val="BlockText"/>
      </w:pPr>
      <w:r>
        <w:t xml:space="preserve">Praise, in the sacr’fice [sic], Agni, the wise, the observer of truth, the radiant, the remover of disease.</w:t>
      </w:r>
    </w:p>
    <w:p>
      <w:pPr>
        <w:pStyle w:val="FirstParagraph"/>
      </w:pPr>
      <w:r>
        <w:rPr>
          <w:bCs/>
          <w:b/>
        </w:rPr>
        <w:t xml:space="preserve">॥ Viśeṣa-viṣayagaḷu (Special Topics) ॥</w:t>
      </w:r>
    </w:p>
    <w:p>
      <w:pPr>
        <w:pStyle w:val="BodyText"/>
      </w:pPr>
      <w:r>
        <w:t xml:space="preserve">This rik is addressed to the priests who are praising Agni.</w:t>
      </w:r>
    </w:p>
    <w:p>
      <w:pPr>
        <w:pStyle w:val="BodyText"/>
      </w:pPr>
      <w:r>
        <w:rPr>
          <w:bCs/>
          <w:b/>
        </w:rPr>
        <w:t xml:space="preserve">“</w:t>
      </w:r>
      <w:r>
        <w:rPr>
          <w:bCs/>
          <w:b/>
        </w:rPr>
        <w:t xml:space="preserve">Satyadharmāṇam</w:t>
      </w:r>
      <w:r>
        <w:rPr>
          <w:bCs/>
          <w:b/>
        </w:rPr>
        <w:t xml:space="preserve">”</w:t>
      </w:r>
      <w:r>
        <w:t xml:space="preserve"> </w:t>
      </w:r>
      <w:r>
        <w:t xml:space="preserve">—</w:t>
      </w:r>
      <w:r>
        <w:t xml:space="preserve"> </w:t>
      </w:r>
      <w:r>
        <w:rPr>
          <w:iCs/>
          <w:i/>
        </w:rPr>
        <w:t xml:space="preserve">satyaṃ dharmo yasya</w:t>
      </w:r>
      <w:r>
        <w:t xml:space="preserve">: truth itself is his nature; or</w:t>
      </w:r>
      <w:r>
        <w:t xml:space="preserve"> </w:t>
      </w:r>
      <w:r>
        <w:rPr>
          <w:iCs/>
          <w:i/>
        </w:rPr>
        <w:t xml:space="preserve">satyavadana-rūpeṇa dharmeṇopetam</w:t>
      </w:r>
      <w:r>
        <w:t xml:space="preserve"> </w:t>
      </w:r>
      <w:r>
        <w:t xml:space="preserve">— one whose nature is to speak only the truth.</w:t>
      </w:r>
    </w:p>
    <w:p>
      <w:pPr>
        <w:pStyle w:val="BodyText"/>
      </w:pPr>
      <w:r>
        <w:rPr>
          <w:bCs/>
          <w:b/>
        </w:rPr>
        <w:t xml:space="preserve">“</w:t>
      </w:r>
      <w:r>
        <w:rPr>
          <w:bCs/>
          <w:b/>
        </w:rPr>
        <w:t xml:space="preserve">Amīvacātanam</w:t>
      </w:r>
      <w:r>
        <w:rPr>
          <w:bCs/>
          <w:b/>
        </w:rPr>
        <w:t xml:space="preserve">”</w:t>
      </w:r>
      <w:r>
        <w:t xml:space="preserve"> </w:t>
      </w:r>
      <w:r>
        <w:t xml:space="preserve">—</w:t>
      </w:r>
      <w:r>
        <w:t xml:space="preserve"> </w:t>
      </w:r>
      <w:r>
        <w:rPr>
          <w:iCs/>
          <w:i/>
        </w:rPr>
        <w:t xml:space="preserve">amīvānāṃ hiṃsakānāṃ śatrūṇāṃ rogāṇāṃ vā ghātakam</w:t>
      </w:r>
      <w:r>
        <w:t xml:space="preserve"> </w:t>
      </w:r>
      <w:r>
        <w:t xml:space="preserve">—</w:t>
      </w:r>
      <w:r>
        <w:t xml:space="preserve"> </w:t>
      </w:r>
      <w:r>
        <w:t xml:space="preserve">“</w:t>
      </w:r>
      <w:r>
        <w:t xml:space="preserve">the destroyer of enemies or of diseases.</w:t>
      </w:r>
      <w:r>
        <w:t xml:space="preserve">”</w:t>
      </w:r>
      <w:r>
        <w:t xml:space="preserve"> </w:t>
      </w:r>
      <w:r>
        <w:t xml:space="preserve">This word occurs not only in this rik but in these riks too:</w:t>
      </w:r>
    </w:p>
    <w:p>
      <w:pPr>
        <w:pStyle w:val="BlockText"/>
      </w:pPr>
      <w:r>
        <w:t xml:space="preserve">विप्रः स उच्यते भिषग्रक्षोहामीवचातनः ।</w:t>
      </w:r>
      <w:r>
        <w:t xml:space="preserve"> </w:t>
      </w:r>
      <w:r>
        <w:rPr>
          <w:iCs/>
          <w:i/>
        </w:rPr>
        <w:t xml:space="preserve">vipraḥ sa ucyate bhiṣag rakṣohāmīvacātanaḥ |</w:t>
      </w:r>
      <w:r>
        <w:t xml:space="preserve"> </w:t>
      </w:r>
      <w:r>
        <w:t xml:space="preserve">(Ṛ. Saṃ. 10-97-6)</w:t>
      </w:r>
      <w:r>
        <w:t xml:space="preserve"> </w:t>
      </w:r>
      <w:r>
        <w:rPr>
          <w:iCs/>
          <w:i/>
        </w:rPr>
        <w:t xml:space="preserve">(</w:t>
      </w:r>
      <w:r>
        <w:rPr>
          <w:iCs/>
          <w:i/>
        </w:rPr>
        <w:t xml:space="preserve">“</w:t>
      </w:r>
      <w:r>
        <w:rPr>
          <w:iCs/>
          <w:i/>
        </w:rPr>
        <w:t xml:space="preserve">He is called the sage, the physician, slayer of rākṣasas, driver-out of disease.</w:t>
      </w:r>
      <w:r>
        <w:rPr>
          <w:iCs/>
          <w:i/>
        </w:rPr>
        <w:t xml:space="preserve">”</w:t>
      </w:r>
      <w:r>
        <w:rPr>
          <w:iCs/>
          <w:i/>
        </w:rPr>
        <w:t xml:space="preserve"> </w:t>
      </w:r>
      <w:r>
        <w:rPr>
          <w:iCs/>
          <w:i/>
        </w:rPr>
        <w:t xml:space="preserve">— mine and tentative.)</w:t>
      </w:r>
    </w:p>
    <w:p>
      <w:pPr>
        <w:pStyle w:val="BlockText"/>
      </w:pPr>
      <w:r>
        <w:t xml:space="preserve">आपो इद्वा उ भेषजीरापो अमीवचातनीः ।</w:t>
      </w:r>
      <w:r>
        <w:t xml:space="preserve"> </w:t>
      </w:r>
      <w:r>
        <w:rPr>
          <w:iCs/>
          <w:i/>
        </w:rPr>
        <w:t xml:space="preserve">āpo id vā u bheṣajīr āpo amīvacātanīḥ |</w:t>
      </w:r>
      <w:r>
        <w:t xml:space="preserve"> </w:t>
      </w:r>
      <w:r>
        <w:t xml:space="preserve">(Ṛ. Saṃ. 10-137-6)</w:t>
      </w:r>
      <w:r>
        <w:t xml:space="preserve"> </w:t>
      </w:r>
      <w:r>
        <w:rPr>
          <w:iCs/>
          <w:i/>
        </w:rPr>
        <w:t xml:space="preserve">(</w:t>
      </w:r>
      <w:r>
        <w:rPr>
          <w:iCs/>
          <w:i/>
        </w:rPr>
        <w:t xml:space="preserve">“</w:t>
      </w:r>
      <w:r>
        <w:rPr>
          <w:iCs/>
          <w:i/>
        </w:rPr>
        <w:t xml:space="preserve">The waters are indeed healing, the waters are expellers of disease.</w:t>
      </w:r>
      <w:r>
        <w:rPr>
          <w:iCs/>
          <w:i/>
        </w:rPr>
        <w:t xml:space="preserve">”</w:t>
      </w:r>
      <w:r>
        <w:rPr>
          <w:iCs/>
          <w:i/>
        </w:rPr>
        <w:t xml:space="preserve"> </w:t>
      </w:r>
      <w:r>
        <w:rPr>
          <w:iCs/>
          <w:i/>
        </w:rPr>
        <w:t xml:space="preserve">— mine and tentative.)</w:t>
      </w:r>
    </w:p>
    <w:p>
      <w:pPr>
        <w:pStyle w:val="FirstParagraph"/>
      </w:pPr>
      <w:r>
        <w:t xml:space="preserve">In the first example, the words</w:t>
      </w:r>
      <w:r>
        <w:t xml:space="preserve"> </w:t>
      </w:r>
      <w:r>
        <w:rPr>
          <w:iCs/>
          <w:i/>
        </w:rPr>
        <w:t xml:space="preserve">bhiṣak</w:t>
      </w:r>
      <w:r>
        <w:t xml:space="preserve"> </w:t>
      </w:r>
      <w:r>
        <w:t xml:space="preserve">and</w:t>
      </w:r>
      <w:r>
        <w:t xml:space="preserve"> </w:t>
      </w:r>
      <w:r>
        <w:rPr>
          <w:iCs/>
          <w:i/>
        </w:rPr>
        <w:t xml:space="preserve">rakṣohā</w:t>
      </w:r>
      <w:r>
        <w:t xml:space="preserve"> </w:t>
      </w:r>
      <w:r>
        <w:t xml:space="preserve">support the sense of</w:t>
      </w:r>
      <w:r>
        <w:t xml:space="preserve"> </w:t>
      </w:r>
      <w:r>
        <w:t xml:space="preserve">“</w:t>
      </w:r>
      <w:r>
        <w:t xml:space="preserve">destroyer of diseases and of enemies.</w:t>
      </w:r>
      <w:r>
        <w:t xml:space="preserve">”</w:t>
      </w:r>
      <w:r>
        <w:t xml:space="preserve"> </w:t>
      </w:r>
      <w:r>
        <w:t xml:space="preserve">In the second example the word</w:t>
      </w:r>
      <w:r>
        <w:t xml:space="preserve"> </w:t>
      </w:r>
      <w:r>
        <w:rPr>
          <w:iCs/>
          <w:i/>
        </w:rPr>
        <w:t xml:space="preserve">bheṣajīḥ</w:t>
      </w:r>
      <w:r>
        <w:t xml:space="preserve"> </w:t>
      </w:r>
      <w:r>
        <w:t xml:space="preserve">indicates the removal of disease; hence for this word the sense</w:t>
      </w:r>
      <w:r>
        <w:t xml:space="preserve"> </w:t>
      </w:r>
      <w:r>
        <w:t xml:space="preserve">“</w:t>
      </w:r>
      <w:r>
        <w:t xml:space="preserve">remover of disease</w:t>
      </w:r>
      <w:r>
        <w:t xml:space="preserve">”</w:t>
      </w:r>
      <w:r>
        <w:t xml:space="preserve"> </w:t>
      </w:r>
      <w:r>
        <w:t xml:space="preserve">fits well.</w:t>
      </w:r>
    </w:p>
    <w:p>
      <w:pPr>
        <w:pStyle w:val="BodyText"/>
      </w:pPr>
      <w:r>
        <w:rPr>
          <w:bCs/>
          <w:b/>
        </w:rPr>
        <w:t xml:space="preserve">॥ Vyākaraṇa-prakriyā ॥</w:t>
      </w:r>
      <w:r>
        <w:t xml:space="preserve"> </w:t>
      </w:r>
      <w:r>
        <w:rPr>
          <w:iCs/>
          <w:i/>
        </w:rPr>
        <w:t xml:space="preserve">(grammar pages 508–509, noted briefly; numbers checked against the print)</w:t>
      </w:r>
    </w:p>
    <w:p>
      <w:pPr>
        <w:pStyle w:val="BodyText"/>
      </w:pPr>
      <w:r>
        <w:rPr>
          <w:bCs/>
          <w:b/>
        </w:rPr>
        <w:t xml:space="preserve">सत्यधर्माणम् (</w:t>
      </w:r>
      <w:r>
        <w:rPr>
          <w:iCs/>
          <w:i/>
          <w:bCs/>
          <w:b/>
        </w:rPr>
        <w:t xml:space="preserve">satyadharmāṇam</w:t>
      </w:r>
      <w:r>
        <w:rPr>
          <w:bCs/>
          <w:b/>
        </w:rPr>
        <w:t xml:space="preserve">)</w:t>
      </w:r>
      <w:r>
        <w:t xml:space="preserve"> </w:t>
      </w:r>
      <w:r>
        <w:t xml:space="preserve">—</w:t>
      </w:r>
      <w:r>
        <w:t xml:space="preserve"> </w:t>
      </w:r>
      <w:r>
        <w:t xml:space="preserve">“</w:t>
      </w:r>
      <w:r>
        <w:t xml:space="preserve">satyaṃ dharmaḥ yasya saḥ satyadharmā</w:t>
      </w:r>
      <w:r>
        <w:t xml:space="preserve">”</w:t>
      </w:r>
      <w:r>
        <w:t xml:space="preserve">, a bahuvrīhi.</w:t>
      </w:r>
      <w:r>
        <w:t xml:space="preserve"> </w:t>
      </w:r>
      <w:r>
        <w:t xml:space="preserve">“</w:t>
      </w:r>
      <w:r>
        <w:t xml:space="preserve">dharmād anic kevalāt</w:t>
      </w:r>
      <w:r>
        <w:t xml:space="preserve">”</w:t>
      </w:r>
      <w:r>
        <w:t xml:space="preserve"> </w:t>
      </w:r>
      <w:r>
        <w:t xml:space="preserve">(Pā. 5-4-124): after a bahuvrīhi ending in</w:t>
      </w:r>
      <w:r>
        <w:t xml:space="preserve"> </w:t>
      </w:r>
      <w:r>
        <w:rPr>
          <w:iCs/>
          <w:i/>
        </w:rPr>
        <w:t xml:space="preserve">dharma</w:t>
      </w:r>
      <w:r>
        <w:t xml:space="preserve"> </w:t>
      </w:r>
      <w:r>
        <w:t xml:space="preserve">that follows a bare (</w:t>
      </w:r>
      <w:r>
        <w:rPr>
          <w:iCs/>
          <w:i/>
        </w:rPr>
        <w:t xml:space="preserve">kevala</w:t>
      </w:r>
      <w:r>
        <w:t xml:space="preserve">) first member,</w:t>
      </w:r>
      <w:r>
        <w:t xml:space="preserve"> </w:t>
      </w:r>
      <w:r>
        <w:rPr>
          <w:iCs/>
          <w:i/>
        </w:rPr>
        <w:t xml:space="preserve">anic</w:t>
      </w:r>
      <w:r>
        <w:t xml:space="preserve"> </w:t>
      </w:r>
      <w:r>
        <w:t xml:space="preserve">comes and becomes the final part of the compound;</w:t>
      </w:r>
      <w:r>
        <w:t xml:space="preserve"> </w:t>
      </w:r>
      <w:r>
        <w:rPr>
          <w:iCs/>
          <w:i/>
        </w:rPr>
        <w:t xml:space="preserve">kevala</w:t>
      </w:r>
      <w:r>
        <w:t xml:space="preserve"> </w:t>
      </w:r>
      <w:r>
        <w:t xml:space="preserve">means not accompanied by any word other than the second member:</w:t>
      </w:r>
      <w:r>
        <w:t xml:space="preserve"> </w:t>
      </w:r>
      <w:r>
        <w:rPr>
          <w:iCs/>
          <w:i/>
        </w:rPr>
        <w:t xml:space="preserve">satyadharma</w:t>
      </w:r>
      <w:r>
        <w:t xml:space="preserve"> </w:t>
      </w:r>
      <w:r>
        <w:t xml:space="preserve">+</w:t>
      </w:r>
      <w:r>
        <w:t xml:space="preserve"> </w:t>
      </w:r>
      <w:r>
        <w:rPr>
          <w:iCs/>
          <w:i/>
        </w:rPr>
        <w:t xml:space="preserve">an</w:t>
      </w:r>
      <w:r>
        <w:t xml:space="preserve">; the final</w:t>
      </w:r>
      <w:r>
        <w:t xml:space="preserve"> </w:t>
      </w:r>
      <w:r>
        <w:rPr>
          <w:iCs/>
          <w:i/>
        </w:rPr>
        <w:t xml:space="preserve">a</w:t>
      </w:r>
      <w:r>
        <w:t xml:space="preserve"> </w:t>
      </w:r>
      <w:r>
        <w:t xml:space="preserve">of</w:t>
      </w:r>
      <w:r>
        <w:t xml:space="preserve"> </w:t>
      </w:r>
      <w:r>
        <w:rPr>
          <w:iCs/>
          <w:i/>
        </w:rPr>
        <w:t xml:space="preserve">dharma</w:t>
      </w:r>
      <w:r>
        <w:t xml:space="preserve"> </w:t>
      </w:r>
      <w:r>
        <w:t xml:space="preserve">dropped by</w:t>
      </w:r>
      <w:r>
        <w:t xml:space="preserve"> </w:t>
      </w:r>
      <w:r>
        <w:t xml:space="preserve">“</w:t>
      </w:r>
      <w:r>
        <w:t xml:space="preserve">yasyeti ca</w:t>
      </w:r>
      <w:r>
        <w:t xml:space="preserve">”</w:t>
      </w:r>
      <w:r>
        <w:t xml:space="preserve"> </w:t>
      </w:r>
      <w:r>
        <w:t xml:space="preserve">(Pā. 6-4-148):</w:t>
      </w:r>
      <w:r>
        <w:t xml:space="preserve"> </w:t>
      </w:r>
      <w:r>
        <w:rPr>
          <w:iCs/>
          <w:i/>
        </w:rPr>
        <w:t xml:space="preserve">satyadharman</w:t>
      </w:r>
      <w:r>
        <w:t xml:space="preserve">. By</w:t>
      </w:r>
      <w:r>
        <w:t xml:space="preserve"> </w:t>
      </w:r>
      <w:r>
        <w:t xml:space="preserve">“</w:t>
      </w:r>
      <w:r>
        <w:t xml:space="preserve">samāsāntāḥ</w:t>
      </w:r>
      <w:r>
        <w:t xml:space="preserve">”</w:t>
      </w:r>
      <w:r>
        <w:t xml:space="preserve"> </w:t>
      </w:r>
      <w:r>
        <w:t xml:space="preserve">(Pā. 5-4-68)</w:t>
      </w:r>
      <w:r>
        <w:t xml:space="preserve"> </w:t>
      </w:r>
      <w:r>
        <w:rPr>
          <w:iCs/>
          <w:i/>
        </w:rPr>
        <w:t xml:space="preserve">anic</w:t>
      </w:r>
      <w:r>
        <w:t xml:space="preserve"> </w:t>
      </w:r>
      <w:r>
        <w:t xml:space="preserve">is joined to the compound as its final part, so the first member keeps its accent and the rest is unaccented by the rule for the remainder.</w:t>
      </w:r>
      <w:r>
        <w:t xml:space="preserve"> </w:t>
      </w:r>
      <w:r>
        <w:rPr>
          <w:bCs/>
          <w:b/>
        </w:rPr>
        <w:t xml:space="preserve">अमीवचातनम् (</w:t>
      </w:r>
      <w:r>
        <w:rPr>
          <w:iCs/>
          <w:i/>
          <w:bCs/>
          <w:b/>
        </w:rPr>
        <w:t xml:space="preserve">amīvacātanam</w:t>
      </w:r>
      <w:r>
        <w:rPr>
          <w:bCs/>
          <w:b/>
        </w:rPr>
        <w:t xml:space="preserve">)</w:t>
      </w:r>
      <w:r>
        <w:t xml:space="preserve"> </w:t>
      </w:r>
      <w:r>
        <w:t xml:space="preserve">— the word</w:t>
      </w:r>
      <w:r>
        <w:t xml:space="preserve"> </w:t>
      </w:r>
      <w:r>
        <w:rPr>
          <w:iCs/>
          <w:i/>
        </w:rPr>
        <w:t xml:space="preserve">amīva</w:t>
      </w:r>
      <w:r>
        <w:t xml:space="preserve">: after the root</w:t>
      </w:r>
      <w:r>
        <w:t xml:space="preserve"> </w:t>
      </w:r>
      <w:r>
        <w:rPr>
          <w:iCs/>
          <w:i/>
        </w:rPr>
        <w:t xml:space="preserve">ama roge</w:t>
      </w:r>
      <w:r>
        <w:t xml:space="preserve">,</w:t>
      </w:r>
      <w:r>
        <w:t xml:space="preserve"> </w:t>
      </w:r>
      <w:r>
        <w:t xml:space="preserve">“</w:t>
      </w:r>
      <w:r>
        <w:t xml:space="preserve">śeva-yahva-jihvā-grīvā-pvāmīvāḥ</w:t>
      </w:r>
      <w:r>
        <w:t xml:space="preserve">”</w:t>
      </w:r>
      <w:r>
        <w:t xml:space="preserve"> </w:t>
      </w:r>
      <w:r>
        <w:t xml:space="preserve">(Uṇ.</w:t>
      </w:r>
      <w:r>
        <w:t xml:space="preserve"> </w:t>
      </w:r>
      <w:r>
        <w:t xml:space="preserve">“</w:t>
      </w:r>
      <w:r>
        <w:t xml:space="preserve">1-152</w:t>
      </w:r>
      <w:r>
        <w:t xml:space="preserve">”</w:t>
      </w:r>
      <w:r>
        <w:t xml:space="preserve">; the bhāṣya gives 1-154): these words are formed irregularly with</w:t>
      </w:r>
      <w:r>
        <w:t xml:space="preserve"> </w:t>
      </w:r>
      <w:r>
        <w:rPr>
          <w:iCs/>
          <w:i/>
        </w:rPr>
        <w:t xml:space="preserve">van</w:t>
      </w:r>
      <w:r>
        <w:t xml:space="preserve">.</w:t>
      </w:r>
    </w:p>
    <w:bookmarkEnd w:id="531"/>
    <w:bookmarkStart w:id="532" w:name="page-509-rik-7-grammar-closes"/>
    <w:p>
      <w:pPr>
        <w:pStyle w:val="Heading3"/>
      </w:pPr>
      <w:r>
        <w:t xml:space="preserve">Page 509 — Rik 7 grammar closes</w:t>
      </w:r>
    </w:p>
    <w:p>
      <w:pPr>
        <w:pStyle w:val="FirstParagraph"/>
      </w:pPr>
      <w:r>
        <w:t xml:space="preserve">After</w:t>
      </w:r>
      <w:r>
        <w:t xml:space="preserve"> </w:t>
      </w:r>
      <w:r>
        <w:rPr>
          <w:iCs/>
          <w:i/>
        </w:rPr>
        <w:t xml:space="preserve">śīṅ svapne</w:t>
      </w:r>
      <w:r>
        <w:t xml:space="preserve">,</w:t>
      </w:r>
      <w:r>
        <w:t xml:space="preserve"> </w:t>
      </w:r>
      <w:r>
        <w:rPr>
          <w:iCs/>
          <w:i/>
        </w:rPr>
        <w:t xml:space="preserve">van</w:t>
      </w:r>
      <w:r>
        <w:t xml:space="preserve"> </w:t>
      </w:r>
      <w:r>
        <w:t xml:space="preserve">with</w:t>
      </w:r>
      <w:r>
        <w:t xml:space="preserve"> </w:t>
      </w:r>
      <w:r>
        <w:rPr>
          <w:iCs/>
          <w:i/>
        </w:rPr>
        <w:t xml:space="preserve">guṇa</w:t>
      </w:r>
      <w:r>
        <w:t xml:space="preserve"> </w:t>
      </w:r>
      <w:r>
        <w:t xml:space="preserve">gives</w:t>
      </w:r>
      <w:r>
        <w:t xml:space="preserve"> </w:t>
      </w:r>
      <w:r>
        <w:rPr>
          <w:iCs/>
          <w:i/>
        </w:rPr>
        <w:t xml:space="preserve">śeva</w:t>
      </w:r>
      <w:r>
        <w:t xml:space="preserve">; here final-udātta is laid down irregularly; otherwise, by</w:t>
      </w:r>
      <w:r>
        <w:t xml:space="preserve"> </w:t>
      </w:r>
      <w:r>
        <w:t xml:space="preserve">“</w:t>
      </w:r>
      <w:r>
        <w:t xml:space="preserve">iṇ-śībhyāṃ van</w:t>
      </w:r>
      <w:r>
        <w:t xml:space="preserve">”</w:t>
      </w:r>
      <w:r>
        <w:t xml:space="preserve"> </w:t>
      </w:r>
      <w:r>
        <w:t xml:space="preserve">(Uṇ. 1-150)</w:t>
      </w:r>
      <w:r>
        <w:t xml:space="preserve"> </w:t>
      </w:r>
      <w:r>
        <w:rPr>
          <w:iCs/>
          <w:i/>
        </w:rPr>
        <w:t xml:space="preserve">van</w:t>
      </w:r>
      <w:r>
        <w:t xml:space="preserve"> </w:t>
      </w:r>
      <w:r>
        <w:t xml:space="preserve">would come and the</w:t>
      </w:r>
      <w:r>
        <w:t xml:space="preserve"> </w:t>
      </w:r>
      <w:r>
        <w:rPr>
          <w:iCs/>
          <w:i/>
        </w:rPr>
        <w:t xml:space="preserve">nit</w:t>
      </w:r>
      <w:r>
        <w:t xml:space="preserve"> </w:t>
      </w:r>
      <w:r>
        <w:t xml:space="preserve">accent would make it initial-udātta.</w:t>
      </w:r>
      <w:r>
        <w:t xml:space="preserve"> </w:t>
      </w:r>
      <w:r>
        <w:t xml:space="preserve">“</w:t>
      </w:r>
      <w:r>
        <w:t xml:space="preserve">yānti anena iti yahvaḥ</w:t>
      </w:r>
      <w:r>
        <w:t xml:space="preserve">”</w:t>
      </w:r>
      <w:r>
        <w:t xml:space="preserve">: after</w:t>
      </w:r>
      <w:r>
        <w:t xml:space="preserve"> </w:t>
      </w:r>
      <w:r>
        <w:rPr>
          <w:iCs/>
          <w:i/>
        </w:rPr>
        <w:t xml:space="preserve">yā prāpaṇe</w:t>
      </w:r>
      <w:r>
        <w:t xml:space="preserve">,</w:t>
      </w:r>
      <w:r>
        <w:t xml:space="preserve"> </w:t>
      </w:r>
      <w:r>
        <w:rPr>
          <w:iCs/>
          <w:i/>
        </w:rPr>
        <w:t xml:space="preserve">van</w:t>
      </w:r>
      <w:r>
        <w:t xml:space="preserve"> </w:t>
      </w:r>
      <w:r>
        <w:t xml:space="preserve">with the</w:t>
      </w:r>
      <w:r>
        <w:t xml:space="preserve"> </w:t>
      </w:r>
      <w:r>
        <w:rPr>
          <w:iCs/>
          <w:i/>
        </w:rPr>
        <w:t xml:space="preserve">huk</w:t>
      </w:r>
      <w:r>
        <w:t xml:space="preserve"> </w:t>
      </w:r>
      <w:r>
        <w:t xml:space="preserve">augment and shortening, irregularly:</w:t>
      </w:r>
      <w:r>
        <w:t xml:space="preserve"> </w:t>
      </w:r>
      <w:r>
        <w:rPr>
          <w:iCs/>
          <w:i/>
        </w:rPr>
        <w:t xml:space="preserve">yahva</w:t>
      </w:r>
      <w:r>
        <w:t xml:space="preserve">.</w:t>
      </w:r>
      <w:r>
        <w:t xml:space="preserve"> </w:t>
      </w:r>
      <w:r>
        <w:t xml:space="preserve">“</w:t>
      </w:r>
      <w:r>
        <w:t xml:space="preserve">lihanti anayā iti jihvā</w:t>
      </w:r>
      <w:r>
        <w:t xml:space="preserve">”</w:t>
      </w:r>
      <w:r>
        <w:t xml:space="preserve">: after</w:t>
      </w:r>
      <w:r>
        <w:t xml:space="preserve"> </w:t>
      </w:r>
      <w:r>
        <w:rPr>
          <w:iCs/>
          <w:i/>
        </w:rPr>
        <w:t xml:space="preserve">liha āsvādane</w:t>
      </w:r>
      <w:r>
        <w:t xml:space="preserve">,</w:t>
      </w:r>
      <w:r>
        <w:t xml:space="preserve"> </w:t>
      </w:r>
      <w:r>
        <w:rPr>
          <w:iCs/>
          <w:i/>
        </w:rPr>
        <w:t xml:space="preserve">van</w:t>
      </w:r>
      <w:r>
        <w:t xml:space="preserve"> </w:t>
      </w:r>
      <w:r>
        <w:t xml:space="preserve">with</w:t>
      </w:r>
      <w:r>
        <w:t xml:space="preserve"> </w:t>
      </w:r>
      <w:r>
        <w:rPr>
          <w:iCs/>
          <w:i/>
        </w:rPr>
        <w:t xml:space="preserve">j</w:t>
      </w:r>
      <w:r>
        <w:t xml:space="preserve"> </w:t>
      </w:r>
      <w:r>
        <w:t xml:space="preserve">for the</w:t>
      </w:r>
      <w:r>
        <w:t xml:space="preserve"> </w:t>
      </w:r>
      <w:r>
        <w:rPr>
          <w:iCs/>
          <w:i/>
        </w:rPr>
        <w:t xml:space="preserve">l</w:t>
      </w:r>
      <w:r>
        <w:t xml:space="preserve"> </w:t>
      </w:r>
      <w:r>
        <w:t xml:space="preserve">and no</w:t>
      </w:r>
      <w:r>
        <w:t xml:space="preserve"> </w:t>
      </w:r>
      <w:r>
        <w:rPr>
          <w:iCs/>
          <w:i/>
        </w:rPr>
        <w:t xml:space="preserve">guṇa</w:t>
      </w:r>
      <w:r>
        <w:t xml:space="preserve">, irregularly.</w:t>
      </w:r>
      <w:r>
        <w:t xml:space="preserve"> </w:t>
      </w:r>
      <w:r>
        <w:t xml:space="preserve">“</w:t>
      </w:r>
      <w:r>
        <w:t xml:space="preserve">giranti anayā iti grīvā</w:t>
      </w:r>
      <w:r>
        <w:t xml:space="preserve">”</w:t>
      </w:r>
      <w:r>
        <w:t xml:space="preserve">: after</w:t>
      </w:r>
      <w:r>
        <w:t xml:space="preserve"> </w:t>
      </w:r>
      <w:r>
        <w:rPr>
          <w:iCs/>
          <w:i/>
        </w:rPr>
        <w:t xml:space="preserve">gṝ nigaraṇe</w:t>
      </w:r>
      <w:r>
        <w:t xml:space="preserve">,</w:t>
      </w:r>
      <w:r>
        <w:t xml:space="preserve"> </w:t>
      </w:r>
      <w:r>
        <w:rPr>
          <w:iCs/>
          <w:i/>
        </w:rPr>
        <w:t xml:space="preserve">van</w:t>
      </w:r>
      <w:r>
        <w:t xml:space="preserve"> </w:t>
      </w:r>
      <w:r>
        <w:t xml:space="preserve">with the augment</w:t>
      </w:r>
      <w:r>
        <w:t xml:space="preserve"> </w:t>
      </w:r>
      <w:r>
        <w:rPr>
          <w:iCs/>
          <w:i/>
        </w:rPr>
        <w:t xml:space="preserve">ī</w:t>
      </w:r>
      <w:r>
        <w:t xml:space="preserve">, irregularly;</w:t>
      </w:r>
      <w:r>
        <w:t xml:space="preserve"> </w:t>
      </w:r>
      <w:r>
        <w:rPr>
          <w:iCs/>
          <w:i/>
        </w:rPr>
        <w:t xml:space="preserve">gṛ</w:t>
      </w:r>
      <w:r>
        <w:t xml:space="preserve"> </w:t>
      </w:r>
      <w:r>
        <w:t xml:space="preserve">+</w:t>
      </w:r>
      <w:r>
        <w:t xml:space="preserve"> </w:t>
      </w:r>
      <w:r>
        <w:rPr>
          <w:iCs/>
          <w:i/>
        </w:rPr>
        <w:t xml:space="preserve">īva</w:t>
      </w:r>
      <w:r>
        <w:t xml:space="preserve"> </w:t>
      </w:r>
      <w:r>
        <w:t xml:space="preserve">with</w:t>
      </w:r>
      <w:r>
        <w:t xml:space="preserve"> </w:t>
      </w:r>
      <w:r>
        <w:rPr>
          <w:iCs/>
          <w:i/>
        </w:rPr>
        <w:t xml:space="preserve">yaṇ</w:t>
      </w:r>
      <w:r>
        <w:t xml:space="preserve">:</w:t>
      </w:r>
      <w:r>
        <w:t xml:space="preserve"> </w:t>
      </w:r>
      <w:r>
        <w:rPr>
          <w:iCs/>
          <w:i/>
        </w:rPr>
        <w:t xml:space="preserve">grīva</w:t>
      </w:r>
      <w:r>
        <w:t xml:space="preserve">. After</w:t>
      </w:r>
      <w:r>
        <w:t xml:space="preserve"> </w:t>
      </w:r>
      <w:r>
        <w:rPr>
          <w:iCs/>
          <w:i/>
        </w:rPr>
        <w:t xml:space="preserve">āpḷ vyāptau</w:t>
      </w:r>
      <w:r>
        <w:t xml:space="preserve">,</w:t>
      </w:r>
      <w:r>
        <w:t xml:space="preserve"> </w:t>
      </w:r>
      <w:r>
        <w:rPr>
          <w:iCs/>
          <w:i/>
        </w:rPr>
        <w:t xml:space="preserve">van</w:t>
      </w:r>
      <w:r>
        <w:t xml:space="preserve">:</w:t>
      </w:r>
      <w:r>
        <w:t xml:space="preserve"> </w:t>
      </w:r>
      <w:r>
        <w:rPr>
          <w:iCs/>
          <w:i/>
        </w:rPr>
        <w:t xml:space="preserve">āpva</w:t>
      </w:r>
      <w:r>
        <w:t xml:space="preserve">. After</w:t>
      </w:r>
      <w:r>
        <w:t xml:space="preserve"> </w:t>
      </w:r>
      <w:r>
        <w:rPr>
          <w:iCs/>
          <w:i/>
        </w:rPr>
        <w:t xml:space="preserve">ama</w:t>
      </w:r>
      <w:r>
        <w:t xml:space="preserve">,</w:t>
      </w:r>
      <w:r>
        <w:t xml:space="preserve"> </w:t>
      </w:r>
      <w:r>
        <w:rPr>
          <w:iCs/>
          <w:i/>
        </w:rPr>
        <w:t xml:space="preserve">van</w:t>
      </w:r>
      <w:r>
        <w:t xml:space="preserve"> </w:t>
      </w:r>
      <w:r>
        <w:t xml:space="preserve">with the augment</w:t>
      </w:r>
      <w:r>
        <w:t xml:space="preserve"> </w:t>
      </w:r>
      <w:r>
        <w:rPr>
          <w:iCs/>
          <w:i/>
        </w:rPr>
        <w:t xml:space="preserve">ī</w:t>
      </w:r>
      <w:r>
        <w:t xml:space="preserve">, irregularly:</w:t>
      </w:r>
      <w:r>
        <w:t xml:space="preserve"> </w:t>
      </w:r>
      <w:r>
        <w:rPr>
          <w:iCs/>
          <w:i/>
        </w:rPr>
        <w:t xml:space="preserve">amīva</w:t>
      </w:r>
      <w:r>
        <w:t xml:space="preserve">;</w:t>
      </w:r>
      <w:r>
        <w:t xml:space="preserve"> </w:t>
      </w:r>
      <w:r>
        <w:rPr>
          <w:iCs/>
          <w:i/>
        </w:rPr>
        <w:t xml:space="preserve">van</w:t>
      </w:r>
      <w:r>
        <w:t xml:space="preserve"> </w:t>
      </w:r>
      <w:r>
        <w:t xml:space="preserve">is</w:t>
      </w:r>
      <w:r>
        <w:t xml:space="preserve"> </w:t>
      </w:r>
      <w:r>
        <w:rPr>
          <w:iCs/>
          <w:i/>
        </w:rPr>
        <w:t xml:space="preserve">nit</w:t>
      </w:r>
      <w:r>
        <w:t xml:space="preserve">, so initial-udātta by the</w:t>
      </w:r>
      <w:r>
        <w:t xml:space="preserve"> </w:t>
      </w:r>
      <w:r>
        <w:rPr>
          <w:iCs/>
          <w:i/>
        </w:rPr>
        <w:t xml:space="preserve">nit</w:t>
      </w:r>
      <w:r>
        <w:t xml:space="preserve"> </w:t>
      </w:r>
      <w:r>
        <w:t xml:space="preserve">accent.</w:t>
      </w:r>
      <w:r>
        <w:t xml:space="preserve"> </w:t>
      </w:r>
      <w:r>
        <w:rPr>
          <w:iCs/>
          <w:i/>
        </w:rPr>
        <w:t xml:space="preserve">Cātana</w:t>
      </w:r>
      <w:r>
        <w:t xml:space="preserve">: the root</w:t>
      </w:r>
      <w:r>
        <w:t xml:space="preserve"> </w:t>
      </w:r>
      <w:r>
        <w:rPr>
          <w:iCs/>
          <w:i/>
        </w:rPr>
        <w:t xml:space="preserve">cate cade yācane ca</w:t>
      </w:r>
      <w:r>
        <w:t xml:space="preserve"> </w:t>
      </w:r>
      <w:r>
        <w:t xml:space="preserve">is also in the sense of hurting; after it</w:t>
      </w:r>
      <w:r>
        <w:t xml:space="preserve"> </w:t>
      </w:r>
      <w:r>
        <w:rPr>
          <w:iCs/>
          <w:i/>
        </w:rPr>
        <w:t xml:space="preserve">ṇic</w:t>
      </w:r>
      <w:r>
        <w:t xml:space="preserve">;</w:t>
      </w:r>
      <w:r>
        <w:t xml:space="preserve"> </w:t>
      </w:r>
      <w:r>
        <w:rPr>
          <w:iCs/>
          <w:i/>
        </w:rPr>
        <w:t xml:space="preserve">vṛddhi</w:t>
      </w:r>
      <w:r>
        <w:t xml:space="preserve"> </w:t>
      </w:r>
      <w:r>
        <w:t xml:space="preserve">of the penultimate by</w:t>
      </w:r>
      <w:r>
        <w:t xml:space="preserve"> </w:t>
      </w:r>
      <w:r>
        <w:t xml:space="preserve">“</w:t>
      </w:r>
      <w:r>
        <w:t xml:space="preserve">ata upadhāyāḥ</w:t>
      </w:r>
      <w:r>
        <w:t xml:space="preserve">”</w:t>
      </w:r>
      <w:r>
        <w:t xml:space="preserve"> </w:t>
      </w:r>
      <w:r>
        <w:t xml:space="preserve">(printed</w:t>
      </w:r>
      <w:r>
        <w:t xml:space="preserve"> </w:t>
      </w:r>
      <w:r>
        <w:t xml:space="preserve">“</w:t>
      </w:r>
      <w:r>
        <w:t xml:space="preserve">7-1-116</w:t>
      </w:r>
      <w:r>
        <w:t xml:space="preserve">”</w:t>
      </w:r>
      <w:r>
        <w:t xml:space="preserve"> </w:t>
      </w:r>
      <w:r>
        <w:t xml:space="preserve">[sic]):</w:t>
      </w:r>
      <w:r>
        <w:t xml:space="preserve"> </w:t>
      </w:r>
      <w:r>
        <w:rPr>
          <w:iCs/>
          <w:i/>
        </w:rPr>
        <w:t xml:space="preserve">cāt</w:t>
      </w:r>
      <w:r>
        <w:t xml:space="preserve"> </w:t>
      </w:r>
      <w:r>
        <w:t xml:space="preserve">+</w:t>
      </w:r>
      <w:r>
        <w:t xml:space="preserve"> </w:t>
      </w:r>
      <w:r>
        <w:rPr>
          <w:iCs/>
          <w:i/>
        </w:rPr>
        <w:t xml:space="preserve">i</w:t>
      </w:r>
      <w:r>
        <w:t xml:space="preserve">;</w:t>
      </w:r>
      <w:r>
        <w:t xml:space="preserve"> </w:t>
      </w:r>
      <w:r>
        <w:rPr>
          <w:iCs/>
          <w:i/>
        </w:rPr>
        <w:t xml:space="preserve">lyu</w:t>
      </w:r>
      <w:r>
        <w:t xml:space="preserve"> </w:t>
      </w:r>
      <w:r>
        <w:t xml:space="preserve">by</w:t>
      </w:r>
      <w:r>
        <w:t xml:space="preserve"> </w:t>
      </w:r>
      <w:r>
        <w:t xml:space="preserve">“</w:t>
      </w:r>
      <w:r>
        <w:t xml:space="preserve">nandi-grahi-pacādibhyo lyu-ṇiny-acaḥ</w:t>
      </w:r>
      <w:r>
        <w:t xml:space="preserve">”</w:t>
      </w:r>
      <w:r>
        <w:t xml:space="preserve"> </w:t>
      </w:r>
      <w:r>
        <w:t xml:space="preserve">(Pā. 3-1-134);</w:t>
      </w:r>
      <w:r>
        <w:t xml:space="preserve"> </w:t>
      </w:r>
      <w:r>
        <w:rPr>
          <w:iCs/>
          <w:i/>
        </w:rPr>
        <w:t xml:space="preserve">ana</w:t>
      </w:r>
      <w:r>
        <w:t xml:space="preserve"> </w:t>
      </w:r>
      <w:r>
        <w:t xml:space="preserve">for it by</w:t>
      </w:r>
      <w:r>
        <w:t xml:space="preserve"> </w:t>
      </w:r>
      <w:r>
        <w:t xml:space="preserve">“</w:t>
      </w:r>
      <w:r>
        <w:t xml:space="preserve">yuvor anākau</w:t>
      </w:r>
      <w:r>
        <w:t xml:space="preserve">”</w:t>
      </w:r>
      <w:r>
        <w:t xml:space="preserve"> </w:t>
      </w:r>
      <w:r>
        <w:t xml:space="preserve">(Pā. 7-1-1);</w:t>
      </w:r>
      <w:r>
        <w:t xml:space="preserve"> </w:t>
      </w:r>
      <w:r>
        <w:rPr>
          <w:iCs/>
          <w:i/>
        </w:rPr>
        <w:t xml:space="preserve">ṇic</w:t>
      </w:r>
      <w:r>
        <w:t xml:space="preserve"> </w:t>
      </w:r>
      <w:r>
        <w:t xml:space="preserve">dropped by</w:t>
      </w:r>
      <w:r>
        <w:t xml:space="preserve"> </w:t>
      </w:r>
      <w:r>
        <w:t xml:space="preserve">“</w:t>
      </w:r>
      <w:r>
        <w:t xml:space="preserve">ṇer aniṭi</w:t>
      </w:r>
      <w:r>
        <w:t xml:space="preserve">”</w:t>
      </w:r>
      <w:r>
        <w:t xml:space="preserve"> </w:t>
      </w:r>
      <w:r>
        <w:t xml:space="preserve">(Pā. 6-4-51):</w:t>
      </w:r>
      <w:r>
        <w:t xml:space="preserve"> </w:t>
      </w:r>
      <w:r>
        <w:rPr>
          <w:iCs/>
          <w:i/>
        </w:rPr>
        <w:t xml:space="preserve">cātana</w:t>
      </w:r>
      <w:r>
        <w:t xml:space="preserve">; by</w:t>
      </w:r>
      <w:r>
        <w:t xml:space="preserve"> </w:t>
      </w:r>
      <w:r>
        <w:t xml:space="preserve">“</w:t>
      </w:r>
      <w:r>
        <w:t xml:space="preserve">liti</w:t>
      </w:r>
      <w:r>
        <w:t xml:space="preserve">”</w:t>
      </w:r>
      <w:r>
        <w:t xml:space="preserve"> </w:t>
      </w:r>
      <w:r>
        <w:t xml:space="preserve">(Pā. 6-1-193) the vowel before an</w:t>
      </w:r>
      <w:r>
        <w:t xml:space="preserve"> </w:t>
      </w:r>
      <w:r>
        <w:rPr>
          <w:iCs/>
          <w:i/>
        </w:rPr>
        <w:t xml:space="preserve">l</w:t>
      </w:r>
      <w:r>
        <w:t xml:space="preserve">-marked suffix is udātta, so the</w:t>
      </w:r>
      <w:r>
        <w:t xml:space="preserve"> </w:t>
      </w:r>
      <w:r>
        <w:rPr>
          <w:iCs/>
          <w:i/>
        </w:rPr>
        <w:t xml:space="preserve">ā</w:t>
      </w:r>
      <w:r>
        <w:t xml:space="preserve"> </w:t>
      </w:r>
      <w:r>
        <w:t xml:space="preserve">of</w:t>
      </w:r>
      <w:r>
        <w:t xml:space="preserve"> </w:t>
      </w:r>
      <w:r>
        <w:rPr>
          <w:iCs/>
          <w:i/>
        </w:rPr>
        <w:t xml:space="preserve">cāt</w:t>
      </w:r>
      <w:r>
        <w:t xml:space="preserve"> </w:t>
      </w:r>
      <w:r>
        <w:t xml:space="preserve">is udātta. Here, in making the accent, the loss of</w:t>
      </w:r>
      <w:r>
        <w:t xml:space="preserve"> </w:t>
      </w:r>
      <w:r>
        <w:rPr>
          <w:iCs/>
          <w:i/>
        </w:rPr>
        <w:t xml:space="preserve">ṇi</w:t>
      </w:r>
      <w:r>
        <w:t xml:space="preserve">, conditioned by what follows, would by</w:t>
      </w:r>
      <w:r>
        <w:t xml:space="preserve"> </w:t>
      </w:r>
      <w:r>
        <w:t xml:space="preserve">“</w:t>
      </w:r>
      <w:r>
        <w:t xml:space="preserve">acaḥ parasmin pūrvavidhau</w:t>
      </w:r>
      <w:r>
        <w:t xml:space="preserve">”</w:t>
      </w:r>
      <w:r>
        <w:t xml:space="preserve"> </w:t>
      </w:r>
      <w:r>
        <w:t xml:space="preserve">(Pā. 1-1-57) count as present — a substitute for a vowel, conditioned by what follows, counts as the original when an operation is made on what precedes it; that</w:t>
      </w:r>
      <w:r>
        <w:t xml:space="preserve"> </w:t>
      </w:r>
      <w:r>
        <w:rPr>
          <w:iCs/>
          <w:i/>
        </w:rPr>
        <w:t xml:space="preserve">sthānivadbhāva</w:t>
      </w:r>
      <w:r>
        <w:t xml:space="preserve"> </w:t>
      </w:r>
      <w:r>
        <w:t xml:space="preserve">is barred by</w:t>
      </w:r>
      <w:r>
        <w:t xml:space="preserve"> </w:t>
      </w:r>
      <w:r>
        <w:t xml:space="preserve">“</w:t>
      </w:r>
      <w:r>
        <w:t xml:space="preserve">na padānta-dvirvacana-vare-yalopa-svara-savarṇānusvāra-dīrgha-jaś-car-vidhiṣu</w:t>
      </w:r>
      <w:r>
        <w:t xml:space="preserve">”</w:t>
      </w:r>
      <w:r>
        <w:t xml:space="preserve"> </w:t>
      </w:r>
      <w:r>
        <w:t xml:space="preserve">(Pā. 1-1-58), so it does not arise. As the genitive tatpuruṣa</w:t>
      </w:r>
      <w:r>
        <w:t xml:space="preserve"> </w:t>
      </w:r>
      <w:r>
        <w:t xml:space="preserve">“</w:t>
      </w:r>
      <w:r>
        <w:t xml:space="preserve">amīvānāṃ cātanaḥ</w:t>
      </w:r>
      <w:r>
        <w:t xml:space="preserve">”</w:t>
      </w:r>
      <w:r>
        <w:t xml:space="preserve">, by</w:t>
      </w:r>
      <w:r>
        <w:t xml:space="preserve"> </w:t>
      </w:r>
      <w:r>
        <w:t xml:space="preserve">“</w:t>
      </w:r>
      <w:r>
        <w:t xml:space="preserve">gati-kārakopapadāt kṛt</w:t>
      </w:r>
      <w:r>
        <w:t xml:space="preserve">”</w:t>
      </w:r>
      <w:r>
        <w:t xml:space="preserve"> </w:t>
      </w:r>
      <w:r>
        <w:t xml:space="preserve">(Pā. 6-2-139) the</w:t>
      </w:r>
      <w:r>
        <w:t xml:space="preserve"> </w:t>
      </w:r>
      <w:r>
        <w:rPr>
          <w:iCs/>
          <w:i/>
        </w:rPr>
        <w:t xml:space="preserve">kṛt</w:t>
      </w:r>
      <w:r>
        <w:t xml:space="preserve"> </w:t>
      </w:r>
      <w:r>
        <w:t xml:space="preserve">second member keeps that accent.</w:t>
      </w:r>
    </w:p>
    <w:p>
      <w:pPr>
        <w:pStyle w:val="BodyText"/>
      </w:pPr>
      <w:r>
        <w:rPr>
          <w:bCs/>
          <w:b/>
        </w:rPr>
        <w:t xml:space="preserve">॥७॥</w:t>
      </w:r>
    </w:p>
    <w:p>
      <w:r>
        <w:pict>
          <v:rect style="width:0;height:1.5pt" o:hralign="center" o:hrstd="t" o:hr="t"/>
        </w:pict>
      </w:r>
    </w:p>
    <w:bookmarkEnd w:id="532"/>
    <w:bookmarkStart w:id="533" w:name="page-509-lower-sūkta-12-rik-8"/>
    <w:p>
      <w:pPr>
        <w:pStyle w:val="Heading3"/>
      </w:pPr>
      <w:r>
        <w:t xml:space="preserve">Page 509 (lower) — Sūkta 12, Rik 8</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यस्त्वाम॑ग्ने ह॒विष्प॑तिर्दू॒तं दे॑व सप॒र्यति॑ ।</w:t>
      </w:r>
      <w:r>
        <w:t xml:space="preserve"> </w:t>
      </w:r>
      <w:r>
        <w:t xml:space="preserve">तस्य॑ स्म प्रावि॒ता भ॑व ॥८॥</w:t>
      </w:r>
    </w:p>
    <w:p>
      <w:pPr>
        <w:pStyle w:val="BlockText"/>
      </w:pPr>
      <w:r>
        <w:rPr>
          <w:iCs/>
          <w:i/>
        </w:rPr>
        <w:t xml:space="preserve">yas tvā́m agne havíṣpatir dūtáṃ deva saparyáti |</w:t>
      </w:r>
      <w:r>
        <w:t xml:space="preserve"> </w:t>
      </w:r>
      <w:r>
        <w:rPr>
          <w:iCs/>
          <w:i/>
        </w:rPr>
        <w:t xml:space="preserve">tásya sma prāvitā́ bhava ||8||</w:t>
      </w:r>
    </w:p>
    <w:p>
      <w:pPr>
        <w:pStyle w:val="FirstParagraph"/>
      </w:pPr>
      <w:r>
        <w:rPr>
          <w:bCs/>
          <w:b/>
        </w:rPr>
        <w:t xml:space="preserve">॥ Pada-pāṭhaḥ ॥</w:t>
      </w:r>
    </w:p>
    <w:p>
      <w:pPr>
        <w:pStyle w:val="BlockText"/>
      </w:pPr>
      <w:r>
        <w:t xml:space="preserve">यः । त्वाम् । अग्ने । हविःऽपतिः । दूतम् । देव । सपर्यति ॥</w:t>
      </w:r>
      <w:r>
        <w:t xml:space="preserve"> </w:t>
      </w:r>
      <w:r>
        <w:t xml:space="preserve">तस्य । स्म । प्रऽअविता । भव ॥८॥</w:t>
      </w:r>
    </w:p>
    <w:p>
      <w:pPr>
        <w:pStyle w:val="BlockText"/>
      </w:pPr>
      <w:r>
        <w:rPr>
          <w:iCs/>
          <w:i/>
        </w:rPr>
        <w:t xml:space="preserve">yaḥ | tvām | agne | haviḥ-patiḥ | dūtam | deva | saparyati ||</w:t>
      </w:r>
      <w:r>
        <w:t xml:space="preserve"> </w:t>
      </w:r>
      <w:r>
        <w:rPr>
          <w:iCs/>
          <w:i/>
        </w:rPr>
        <w:t xml:space="preserve">tasya | sma | pra-avitā | bhava ||8||</w:t>
      </w:r>
    </w:p>
    <w:bookmarkEnd w:id="533"/>
    <w:bookmarkStart w:id="534" w:name="X78084e46c89f3c394d7b4aa31453dbad137c05b"/>
    <w:p>
      <w:pPr>
        <w:pStyle w:val="Heading3"/>
      </w:pPr>
      <w:r>
        <w:t xml:space="preserve">Page 510 — Rik 8: Sāyaṇa-bhāṣya, word-meanings, English</w:t>
      </w:r>
    </w:p>
    <w:p>
      <w:pPr>
        <w:pStyle w:val="FirstParagraph"/>
      </w:pPr>
      <w:r>
        <w:rPr>
          <w:bCs/>
          <w:b/>
        </w:rPr>
        <w:t xml:space="preserve">॥ Sāyaṇa-bhāṣyam ॥</w:t>
      </w:r>
    </w:p>
    <w:p>
      <w:pPr>
        <w:pStyle w:val="BlockText"/>
      </w:pPr>
      <w:r>
        <w:t xml:space="preserve">हे अग्ने देव यो हविष्पतिर्यजमानो देवदूतं त्वां सपर्यति परिचरति तस्य यजमानस्य प्राविता भव स्म । अवश्यं रक्षको भव ॥ हूयत इति हविः । अर्चिशुचीत्यादिना । उ. २-१०९ । इसिः । प्रत्ययस्वरेणेकार उदात्तः । हविषः पतिर्हविष्पतिः । नित्यं समासे ऽनुत्तरपदस्थस्य । पा. ८-३-४५ । इति षत्वम् । पत्यावैश्वर्ये इति पूर्वपदप्रकृतिस्वरत्वम् । सपरशब्दात्कण्ड्वादिभ्यो यक् । पा. ३-१-२७ । इति यक् । धातुप्रकरणाद्गुणप्रतिषेधाद्यर्थात्कः कित्त्वाच्च सपरशब्दस्य धातुत्वात्ततो विहितस्य यक आर्धधातुकत्वे सत्यतो लोप इति लोपः । सनाद्यन्ता धातव इति धातुसंज्ञायां तिप् । कर्तरि शप् । तस्मिन्पूर्वस्यातो गुण इति पररूपत्वम् । यकः प्रत्ययस्वरेणोदात्तत्वम् । शपा सह यकैकादेश उदात्तेनोदात्त इत्युदात्तत्वम् । तिङ्ङतिङ इति निघातो न भवति यद्वृत्तान्नित्यमिति प्रतिषेधात् ॥</w:t>
      </w:r>
    </w:p>
    <w:p>
      <w:pPr>
        <w:pStyle w:val="BlockText"/>
      </w:pPr>
      <w:r>
        <w:rPr>
          <w:iCs/>
          <w:i/>
        </w:rPr>
        <w:t xml:space="preserve">he agne deva yo haviṣpatiryajamāno devadūtaṃ tvāṃ saparyati paricarati tasya yajamānasya prāvitā bhava sma | avaśyaṃ rakṣako bhava || hūyata iti haviḥ | arciśucītyādinā | u. 2-109 | isiḥ | pratyayasvareṇekāra udāttaḥ | haviṣaḥ patirhaviṣpatiḥ | nityaṃ samāse ’nuttarapadasthasya | pā. 8-3-45 | iti ṣatvam | patyāvaiśvarye iti pūrvapadaprakṛtisvaratvam | saparaśabdātkaṇḍvādibhyo yak | pā. 3-1-27 | iti yak | dhātuprakaraṇādguṇapratiṣedhādyarthātkaḥ kittvācca saparaśabdasya dhātutvāttato vihitasya yaka ārdhadhātukatve satyato lopa iti lopaḥ | sanādyantā dhātava iti dhātusaṃjñāyāṃ tip | kartari śap | tasminpūrvasyāto guṇa iti pararūpatvam | yakaḥ pratyayasvareṇodāttatvam | śapā saha yakaikādeśa udāttenodātta ityudāttatvam | tiṅṅatiṅa iti nighāto na bhavati yadvṛttānnityamiti pratiṣedhāt ||</w:t>
      </w:r>
    </w:p>
    <w:p>
      <w:pPr>
        <w:pStyle w:val="FirstParagraph"/>
      </w:pPr>
      <w:r>
        <w:rPr>
          <w:bCs/>
          <w:b/>
        </w:rPr>
        <w:t xml:space="preserve">Translation:</w:t>
      </w:r>
      <w:r>
        <w:t xml:space="preserve"> </w:t>
      </w:r>
      <w:r>
        <w:t xml:space="preserve">“</w:t>
      </w:r>
      <w:r>
        <w:t xml:space="preserve">O Agni, O god! The sacrificer who is</w:t>
      </w:r>
      <w:r>
        <w:t xml:space="preserve"> </w:t>
      </w:r>
      <w:r>
        <w:rPr>
          <w:iCs/>
          <w:i/>
        </w:rPr>
        <w:t xml:space="preserve">haviṣpati</w:t>
      </w:r>
      <w:r>
        <w:t xml:space="preserve"> </w:t>
      </w:r>
      <w:r>
        <w:t xml:space="preserve">— lord of the oblation — and</w:t>
      </w:r>
      <w:r>
        <w:t xml:space="preserve"> </w:t>
      </w:r>
      <w:r>
        <w:rPr>
          <w:iCs/>
          <w:i/>
        </w:rPr>
        <w:t xml:space="preserve">saparyati</w:t>
      </w:r>
      <w:r>
        <w:t xml:space="preserve">, serves you, the messenger of the gods: of that sacrificer,</w:t>
      </w:r>
      <w:r>
        <w:t xml:space="preserve"> </w:t>
      </w:r>
      <w:r>
        <w:rPr>
          <w:iCs/>
          <w:i/>
        </w:rPr>
        <w:t xml:space="preserve">prāvitā bhava sma</w:t>
      </w:r>
      <w:r>
        <w:t xml:space="preserve"> </w:t>
      </w:r>
      <w:r>
        <w:t xml:space="preserve">— be the protector; surely be his protector.</w:t>
      </w:r>
      <w:r>
        <w:t xml:space="preserve">”</w:t>
      </w:r>
      <w:r>
        <w:t xml:space="preserve"> </w:t>
      </w:r>
      <w:r>
        <w:rPr>
          <w:iCs/>
          <w:i/>
        </w:rPr>
        <w:t xml:space="preserve">(Grammar noted briefly: that</w:t>
      </w:r>
      <w:r>
        <w:t xml:space="preserve"> </w:t>
      </w:r>
      <w:r>
        <w:t xml:space="preserve">haviḥ</w:t>
      </w:r>
      <w:r>
        <w:t xml:space="preserve"> </w:t>
      </w:r>
      <w:r>
        <w:rPr>
          <w:iCs/>
          <w:i/>
        </w:rPr>
        <w:t xml:space="preserve">is</w:t>
      </w:r>
      <w:r>
        <w:rPr>
          <w:iCs/>
          <w:i/>
        </w:rPr>
        <w:t xml:space="preserve"> </w:t>
      </w:r>
      <w:r>
        <w:rPr>
          <w:iCs/>
          <w:i/>
        </w:rPr>
        <w:t xml:space="preserve">“</w:t>
      </w:r>
      <w:r>
        <w:rPr>
          <w:iCs/>
          <w:i/>
        </w:rPr>
        <w:t xml:space="preserve">that which is offered,</w:t>
      </w:r>
      <w:r>
        <w:rPr>
          <w:iCs/>
          <w:i/>
        </w:rPr>
        <w:t xml:space="preserve">”</w:t>
      </w:r>
      <w:r>
        <w:rPr>
          <w:iCs/>
          <w:i/>
        </w:rPr>
        <w:t xml:space="preserve"> </w:t>
      </w:r>
      <w:r>
        <w:rPr>
          <w:iCs/>
          <w:i/>
        </w:rPr>
        <w:t xml:space="preserve">with</w:t>
      </w:r>
      <w:r>
        <w:t xml:space="preserve"> </w:t>
      </w:r>
      <w:r>
        <w:t xml:space="preserve">isi</w:t>
      </w:r>
      <w:r>
        <w:t xml:space="preserve"> </w:t>
      </w:r>
      <w:r>
        <w:rPr>
          <w:iCs/>
          <w:i/>
        </w:rPr>
        <w:t xml:space="preserve">(Uṇ. 2-109);</w:t>
      </w:r>
      <w:r>
        <w:t xml:space="preserve"> </w:t>
      </w:r>
      <w:r>
        <w:t xml:space="preserve">haviṣpati</w:t>
      </w:r>
      <w:r>
        <w:t xml:space="preserve"> </w:t>
      </w:r>
      <w:r>
        <w:rPr>
          <w:iCs/>
          <w:i/>
        </w:rPr>
        <w:t xml:space="preserve">has the visarga turned to</w:t>
      </w:r>
      <w:r>
        <w:t xml:space="preserve"> </w:t>
      </w:r>
      <w:r>
        <w:t xml:space="preserve">ṣ</w:t>
      </w:r>
      <w:r>
        <w:t xml:space="preserve"> </w:t>
      </w:r>
      <w:r>
        <w:rPr>
          <w:iCs/>
          <w:i/>
        </w:rPr>
        <w:t xml:space="preserve">by Pā. 8-3-45, keeping the first member’s accent;</w:t>
      </w:r>
      <w:r>
        <w:t xml:space="preserve"> </w:t>
      </w:r>
      <w:r>
        <w:t xml:space="preserve">saparyati</w:t>
      </w:r>
      <w:r>
        <w:t xml:space="preserve"> </w:t>
      </w:r>
      <w:r>
        <w:rPr>
          <w:iCs/>
          <w:i/>
        </w:rPr>
        <w:t xml:space="preserve">is a denominative from</w:t>
      </w:r>
      <w:r>
        <w:t xml:space="preserve"> </w:t>
      </w:r>
      <w:r>
        <w:t xml:space="preserve">sapara</w:t>
      </w:r>
      <w:r>
        <w:t xml:space="preserve"> </w:t>
      </w:r>
      <w:r>
        <w:rPr>
          <w:iCs/>
          <w:i/>
        </w:rPr>
        <w:t xml:space="preserve">in the</w:t>
      </w:r>
      <w:r>
        <w:t xml:space="preserve"> </w:t>
      </w:r>
      <w:r>
        <w:t xml:space="preserve">kaṇḍvādi</w:t>
      </w:r>
      <w:r>
        <w:t xml:space="preserve"> </w:t>
      </w:r>
      <w:r>
        <w:rPr>
          <w:iCs/>
          <w:i/>
        </w:rPr>
        <w:t xml:space="preserve">class with</w:t>
      </w:r>
      <w:r>
        <w:t xml:space="preserve"> </w:t>
      </w:r>
      <w:r>
        <w:t xml:space="preserve">yak</w:t>
      </w:r>
      <w:r>
        <w:t xml:space="preserve"> </w:t>
      </w:r>
      <w:r>
        <w:rPr>
          <w:iCs/>
          <w:i/>
        </w:rPr>
        <w:t xml:space="preserve">(Pā. 3-1-27); and the verb is not lowered because a relative word</w:t>
      </w:r>
      <w:r>
        <w:t xml:space="preserve"> </w:t>
      </w:r>
      <w:r>
        <w:t xml:space="preserve">yaḥ</w:t>
      </w:r>
      <w:r>
        <w:t xml:space="preserve"> </w:t>
      </w:r>
      <w:r>
        <w:rPr>
          <w:iCs/>
          <w:i/>
        </w:rPr>
        <w:t xml:space="preserve">precedes it.)</w:t>
      </w:r>
    </w:p>
    <w:p>
      <w:pPr>
        <w:pStyle w:val="BodyText"/>
      </w:pPr>
      <w:r>
        <w:rPr>
          <w:bCs/>
          <w:b/>
        </w:rPr>
        <w:t xml:space="preserve">॥ Prati-padārthaḥ ॥</w:t>
      </w:r>
    </w:p>
    <w:p>
      <w:pPr>
        <w:pStyle w:val="BodyText"/>
      </w:pPr>
      <w:r>
        <w:rPr>
          <w:bCs/>
          <w:b/>
        </w:rPr>
        <w:t xml:space="preserve">देव (deva)</w:t>
      </w:r>
      <w:r>
        <w:t xml:space="preserve"> </w:t>
      </w:r>
      <w:r>
        <w:t xml:space="preserve">— shining |</w:t>
      </w:r>
      <w:r>
        <w:t xml:space="preserve"> </w:t>
      </w:r>
      <w:r>
        <w:rPr>
          <w:bCs/>
          <w:b/>
        </w:rPr>
        <w:t xml:space="preserve">(हे) अग्ने ((he) agne)</w:t>
      </w:r>
      <w:r>
        <w:t xml:space="preserve"> </w:t>
      </w:r>
      <w:r>
        <w:t xml:space="preserve">— O Agni |</w:t>
      </w:r>
      <w:r>
        <w:t xml:space="preserve"> </w:t>
      </w:r>
      <w:r>
        <w:rPr>
          <w:bCs/>
          <w:b/>
        </w:rPr>
        <w:t xml:space="preserve">हविष्पतिः (haviṣpatiḥ)</w:t>
      </w:r>
      <w:r>
        <w:t xml:space="preserve"> </w:t>
      </w:r>
      <w:r>
        <w:t xml:space="preserve">— the sacrificer who offers you oblations |</w:t>
      </w:r>
      <w:r>
        <w:t xml:space="preserve"> </w:t>
      </w:r>
      <w:r>
        <w:rPr>
          <w:bCs/>
          <w:b/>
        </w:rPr>
        <w:t xml:space="preserve">दूतम् (dūtam)</w:t>
      </w:r>
      <w:r>
        <w:t xml:space="preserve"> </w:t>
      </w:r>
      <w:r>
        <w:t xml:space="preserve">— messenger of the gods |</w:t>
      </w:r>
      <w:r>
        <w:t xml:space="preserve"> </w:t>
      </w:r>
      <w:r>
        <w:rPr>
          <w:bCs/>
          <w:b/>
        </w:rPr>
        <w:t xml:space="preserve">त्वाम् (tvām)</w:t>
      </w:r>
      <w:r>
        <w:t xml:space="preserve"> </w:t>
      </w:r>
      <w:r>
        <w:t xml:space="preserve">— you |</w:t>
      </w:r>
      <w:r>
        <w:t xml:space="preserve"> </w:t>
      </w:r>
      <w:r>
        <w:rPr>
          <w:bCs/>
          <w:b/>
        </w:rPr>
        <w:t xml:space="preserve">सपर्यति (saparyati)</w:t>
      </w:r>
      <w:r>
        <w:t xml:space="preserve"> </w:t>
      </w:r>
      <w:r>
        <w:t xml:space="preserve">— worships (serves) |</w:t>
      </w:r>
      <w:r>
        <w:t xml:space="preserve"> </w:t>
      </w:r>
      <w:r>
        <w:rPr>
          <w:bCs/>
          <w:b/>
        </w:rPr>
        <w:t xml:space="preserve">तस्य (tasya)</w:t>
      </w:r>
      <w:r>
        <w:t xml:space="preserve"> </w:t>
      </w:r>
      <w:r>
        <w:t xml:space="preserve">— of that sacrificer |</w:t>
      </w:r>
      <w:r>
        <w:t xml:space="preserve"> </w:t>
      </w:r>
      <w:r>
        <w:rPr>
          <w:bCs/>
          <w:b/>
        </w:rPr>
        <w:t xml:space="preserve">प्राविता (prāvitā)</w:t>
      </w:r>
      <w:r>
        <w:t xml:space="preserve"> </w:t>
      </w:r>
      <w:r>
        <w:t xml:space="preserve">— as chief protector |</w:t>
      </w:r>
      <w:r>
        <w:t xml:space="preserve"> </w:t>
      </w:r>
      <w:r>
        <w:rPr>
          <w:bCs/>
          <w:b/>
        </w:rPr>
        <w:t xml:space="preserve">भव स्म (bhava sma)</w:t>
      </w:r>
      <w:r>
        <w:t xml:space="preserve"> </w:t>
      </w:r>
      <w:r>
        <w:t xml:space="preserve">— be.</w:t>
      </w:r>
    </w:p>
    <w:p>
      <w:pPr>
        <w:pStyle w:val="BodyText"/>
      </w:pPr>
      <w:r>
        <w:rPr>
          <w:bCs/>
          <w:b/>
        </w:rPr>
        <w:t xml:space="preserve">॥ Bhāvārthaḥ ॥</w:t>
      </w:r>
    </w:p>
    <w:p>
      <w:pPr>
        <w:pStyle w:val="BodyText"/>
      </w:pPr>
      <w:r>
        <w:t xml:space="preserve">O shining Agni! The sacrificer who offers oblations to you worships you, the messenger of the gods. Protect such a sacrificer without fail.</w:t>
      </w:r>
    </w:p>
    <w:p>
      <w:pPr>
        <w:pStyle w:val="BodyText"/>
      </w:pPr>
      <w:r>
        <w:rPr>
          <w:bCs/>
          <w:b/>
        </w:rPr>
        <w:t xml:space="preserve">॥ English Translation ॥</w:t>
      </w:r>
      <w:r>
        <w:t xml:space="preserve"> </w:t>
      </w:r>
      <w:r>
        <w:rPr>
          <w:iCs/>
          <w:i/>
        </w:rPr>
        <w:t xml:space="preserve">(as printed in the source)</w:t>
      </w:r>
    </w:p>
    <w:p>
      <w:pPr>
        <w:pStyle w:val="BlockText"/>
      </w:pPr>
      <w:r>
        <w:t xml:space="preserve">Be the protector, O Agni of the master (offerer] [sic] of sacrificial food, who worships you O God, as his messenger.</w:t>
      </w:r>
    </w:p>
    <w:bookmarkEnd w:id="534"/>
    <w:bookmarkStart w:id="535" w:name="Xfa7e3ae4dbd5d01d11093f8e5a80d26b52ad293"/>
    <w:p>
      <w:pPr>
        <w:pStyle w:val="Heading3"/>
      </w:pPr>
      <w:r>
        <w:t xml:space="preserve">Page 511 — Rik 8: Special Topics and grammar</w:t>
      </w:r>
    </w:p>
    <w:p>
      <w:pPr>
        <w:pStyle w:val="FirstParagraph"/>
      </w:pPr>
      <w:r>
        <w:rPr>
          <w:bCs/>
          <w:b/>
        </w:rPr>
        <w:t xml:space="preserve">॥ Viśeṣa-viṣayagaḷu (Special Topics) ॥</w:t>
      </w:r>
    </w:p>
    <w:p>
      <w:pPr>
        <w:pStyle w:val="BodyText"/>
      </w:pPr>
      <w:r>
        <w:rPr>
          <w:bCs/>
          <w:b/>
        </w:rPr>
        <w:t xml:space="preserve">“</w:t>
      </w:r>
      <w:r>
        <w:rPr>
          <w:bCs/>
          <w:b/>
        </w:rPr>
        <w:t xml:space="preserve">Haviṣpatiḥ</w:t>
      </w:r>
      <w:r>
        <w:rPr>
          <w:bCs/>
          <w:b/>
        </w:rPr>
        <w:t xml:space="preserve">”</w:t>
      </w:r>
      <w:r>
        <w:t xml:space="preserve"> </w:t>
      </w:r>
      <w:r>
        <w:t xml:space="preserve">—</w:t>
      </w:r>
      <w:r>
        <w:t xml:space="preserve"> </w:t>
      </w:r>
      <w:r>
        <w:rPr>
          <w:iCs/>
          <w:i/>
        </w:rPr>
        <w:t xml:space="preserve">haviṣaḥ patiḥ</w:t>
      </w:r>
      <w:r>
        <w:t xml:space="preserve"> </w:t>
      </w:r>
      <w:r>
        <w:t xml:space="preserve">—</w:t>
      </w:r>
      <w:r>
        <w:t xml:space="preserve"> </w:t>
      </w:r>
      <w:r>
        <w:t xml:space="preserve">“</w:t>
      </w:r>
      <w:r>
        <w:t xml:space="preserve">the master of the oblation</w:t>
      </w:r>
      <w:r>
        <w:t xml:space="preserve">”</w:t>
      </w:r>
      <w:r>
        <w:t xml:space="preserve">, that is, one who offers the oblation:</w:t>
      </w:r>
      <w:r>
        <w:t xml:space="preserve"> </w:t>
      </w:r>
      <w:r>
        <w:rPr>
          <w:iCs/>
          <w:i/>
        </w:rPr>
        <w:t xml:space="preserve">offerer of oblations</w:t>
      </w:r>
      <w:r>
        <w:t xml:space="preserve"> </w:t>
      </w:r>
      <w:r>
        <w:t xml:space="preserve">[the source’s English].</w:t>
      </w:r>
    </w:p>
    <w:p>
      <w:pPr>
        <w:pStyle w:val="BodyText"/>
      </w:pPr>
      <w:r>
        <w:rPr>
          <w:bCs/>
          <w:b/>
        </w:rPr>
        <w:t xml:space="preserve">“</w:t>
      </w:r>
      <w:r>
        <w:rPr>
          <w:bCs/>
          <w:b/>
        </w:rPr>
        <w:t xml:space="preserve">Prāvitā</w:t>
      </w:r>
      <w:r>
        <w:rPr>
          <w:bCs/>
          <w:b/>
        </w:rPr>
        <w:t xml:space="preserve">”</w:t>
      </w:r>
      <w:r>
        <w:t xml:space="preserve"> </w:t>
      </w:r>
      <w:r>
        <w:t xml:space="preserve">— [protector] in a special way, or the chief protector.</w:t>
      </w:r>
    </w:p>
    <w:p>
      <w:pPr>
        <w:pStyle w:val="BodyText"/>
      </w:pPr>
      <w:r>
        <w:rPr>
          <w:bCs/>
          <w:b/>
        </w:rPr>
        <w:t xml:space="preserve">॥ Vyākaraṇa-prakriyā ॥</w:t>
      </w:r>
      <w:r>
        <w:t xml:space="preserve"> </w:t>
      </w:r>
      <w:r>
        <w:rPr>
          <w:iCs/>
          <w:i/>
        </w:rPr>
        <w:t xml:space="preserve">(grammar pages 511–512, noted briefly; numbers checked against the print)</w:t>
      </w:r>
    </w:p>
    <w:p>
      <w:pPr>
        <w:pStyle w:val="BodyText"/>
      </w:pPr>
      <w:r>
        <w:rPr>
          <w:bCs/>
          <w:b/>
        </w:rPr>
        <w:t xml:space="preserve">हविष्पतिः (</w:t>
      </w:r>
      <w:r>
        <w:rPr>
          <w:iCs/>
          <w:i/>
          <w:bCs/>
          <w:b/>
        </w:rPr>
        <w:t xml:space="preserve">haviṣpatiḥ</w:t>
      </w:r>
      <w:r>
        <w:rPr>
          <w:bCs/>
          <w:b/>
        </w:rPr>
        <w:t xml:space="preserve">)</w:t>
      </w:r>
      <w:r>
        <w:t xml:space="preserve"> </w:t>
      </w:r>
      <w:r>
        <w:t xml:space="preserve">—</w:t>
      </w:r>
      <w:r>
        <w:t xml:space="preserve"> </w:t>
      </w:r>
      <w:r>
        <w:t xml:space="preserve">“</w:t>
      </w:r>
      <w:r>
        <w:t xml:space="preserve">hūyate iti haviḥ</w:t>
      </w:r>
      <w:r>
        <w:t xml:space="preserve">”</w:t>
      </w:r>
      <w:r>
        <w:t xml:space="preserve">:</w:t>
      </w:r>
      <w:r>
        <w:t xml:space="preserve"> </w:t>
      </w:r>
      <w:r>
        <w:t xml:space="preserve">“</w:t>
      </w:r>
      <w:r>
        <w:t xml:space="preserve">arci-śuci-hu-sṛpi-chādi-chardibhya isiḥ</w:t>
      </w:r>
      <w:r>
        <w:t xml:space="preserve">”</w:t>
      </w:r>
      <w:r>
        <w:t xml:space="preserve"> </w:t>
      </w:r>
      <w:r>
        <w:t xml:space="preserve">(Uṇ.</w:t>
      </w:r>
      <w:r>
        <w:t xml:space="preserve"> </w:t>
      </w:r>
      <w:r>
        <w:t xml:space="preserve">“</w:t>
      </w:r>
      <w:r>
        <w:t xml:space="preserve">2-265</w:t>
      </w:r>
      <w:r>
        <w:t xml:space="preserve">”</w:t>
      </w:r>
      <w:r>
        <w:t xml:space="preserve"> </w:t>
      </w:r>
      <w:r>
        <w:t xml:space="preserve">[?]; the bhāṣya gives 2-109): after</w:t>
      </w:r>
      <w:r>
        <w:t xml:space="preserve"> </w:t>
      </w:r>
      <w:r>
        <w:rPr>
          <w:iCs/>
          <w:i/>
        </w:rPr>
        <w:t xml:space="preserve">arca pūjāyām</w:t>
      </w:r>
      <w:r>
        <w:t xml:space="preserve">,</w:t>
      </w:r>
      <w:r>
        <w:t xml:space="preserve"> </w:t>
      </w:r>
      <w:r>
        <w:rPr>
          <w:iCs/>
          <w:i/>
        </w:rPr>
        <w:t xml:space="preserve">śuca śoke</w:t>
      </w:r>
      <w:r>
        <w:t xml:space="preserve">,</w:t>
      </w:r>
      <w:r>
        <w:t xml:space="preserve"> </w:t>
      </w:r>
      <w:r>
        <w:rPr>
          <w:iCs/>
          <w:i/>
        </w:rPr>
        <w:t xml:space="preserve">hu dānādanayoḥ</w:t>
      </w:r>
      <w:r>
        <w:t xml:space="preserve">,</w:t>
      </w:r>
      <w:r>
        <w:t xml:space="preserve"> </w:t>
      </w:r>
      <w:r>
        <w:rPr>
          <w:iCs/>
          <w:i/>
        </w:rPr>
        <w:t xml:space="preserve">sṛpḷ gatau</w:t>
      </w:r>
      <w:r>
        <w:t xml:space="preserve">,</w:t>
      </w:r>
      <w:r>
        <w:t xml:space="preserve"> </w:t>
      </w:r>
      <w:r>
        <w:rPr>
          <w:iCs/>
          <w:i/>
        </w:rPr>
        <w:t xml:space="preserve">chadi apavāraṇe</w:t>
      </w:r>
      <w:r>
        <w:t xml:space="preserve"> </w:t>
      </w:r>
      <w:r>
        <w:t xml:space="preserve">in its</w:t>
      </w:r>
      <w:r>
        <w:t xml:space="preserve"> </w:t>
      </w:r>
      <w:r>
        <w:rPr>
          <w:iCs/>
          <w:i/>
        </w:rPr>
        <w:t xml:space="preserve">ṇic</w:t>
      </w:r>
      <w:r>
        <w:t xml:space="preserve"> </w:t>
      </w:r>
      <w:r>
        <w:t xml:space="preserve">form, and</w:t>
      </w:r>
      <w:r>
        <w:t xml:space="preserve"> </w:t>
      </w:r>
      <w:r>
        <w:rPr>
          <w:iCs/>
          <w:i/>
        </w:rPr>
        <w:t xml:space="preserve">charda vamane</w:t>
      </w:r>
      <w:r>
        <w:t xml:space="preserve">, the suffix</w:t>
      </w:r>
      <w:r>
        <w:t xml:space="preserve"> </w:t>
      </w:r>
      <w:r>
        <w:rPr>
          <w:iCs/>
          <w:i/>
        </w:rPr>
        <w:t xml:space="preserve">isi</w:t>
      </w:r>
      <w:r>
        <w:t xml:space="preserve">; so</w:t>
      </w:r>
      <w:r>
        <w:t xml:space="preserve"> </w:t>
      </w:r>
      <w:r>
        <w:rPr>
          <w:iCs/>
          <w:i/>
        </w:rPr>
        <w:t xml:space="preserve">isi</w:t>
      </w:r>
      <w:r>
        <w:t xml:space="preserve"> </w:t>
      </w:r>
      <w:r>
        <w:t xml:space="preserve">after</w:t>
      </w:r>
      <w:r>
        <w:t xml:space="preserve"> </w:t>
      </w:r>
      <w:r>
        <w:rPr>
          <w:iCs/>
          <w:i/>
        </w:rPr>
        <w:t xml:space="preserve">hu</w:t>
      </w:r>
      <w:r>
        <w:t xml:space="preserve">:</w:t>
      </w:r>
      <w:r>
        <w:t xml:space="preserve"> </w:t>
      </w:r>
      <w:r>
        <w:rPr>
          <w:iCs/>
          <w:i/>
        </w:rPr>
        <w:t xml:space="preserve">hu</w:t>
      </w:r>
      <w:r>
        <w:t xml:space="preserve"> </w:t>
      </w:r>
      <w:r>
        <w:t xml:space="preserve">+</w:t>
      </w:r>
      <w:r>
        <w:t xml:space="preserve"> </w:t>
      </w:r>
      <w:r>
        <w:rPr>
          <w:iCs/>
          <w:i/>
        </w:rPr>
        <w:t xml:space="preserve">is</w:t>
      </w:r>
      <w:r>
        <w:t xml:space="preserve">,</w:t>
      </w:r>
      <w:r>
        <w:t xml:space="preserve"> </w:t>
      </w:r>
      <w:r>
        <w:rPr>
          <w:iCs/>
          <w:i/>
        </w:rPr>
        <w:t xml:space="preserve">guṇa</w:t>
      </w:r>
      <w:r>
        <w:t xml:space="preserve"> </w:t>
      </w:r>
      <w:r>
        <w:t xml:space="preserve">and</w:t>
      </w:r>
      <w:r>
        <w:t xml:space="preserve"> </w:t>
      </w:r>
      <w:r>
        <w:rPr>
          <w:iCs/>
          <w:i/>
        </w:rPr>
        <w:t xml:space="preserve">av</w:t>
      </w:r>
      <w:r>
        <w:t xml:space="preserve">:</w:t>
      </w:r>
      <w:r>
        <w:t xml:space="preserve"> </w:t>
      </w:r>
      <w:r>
        <w:rPr>
          <w:iCs/>
          <w:i/>
        </w:rPr>
        <w:t xml:space="preserve">havis</w:t>
      </w:r>
      <w:r>
        <w:t xml:space="preserve">; nominative singular</w:t>
      </w:r>
      <w:r>
        <w:t xml:space="preserve"> </w:t>
      </w:r>
      <w:r>
        <w:rPr>
          <w:iCs/>
          <w:i/>
        </w:rPr>
        <w:t xml:space="preserve">haviḥ</w:t>
      </w:r>
      <w:r>
        <w:t xml:space="preserve">; the</w:t>
      </w:r>
      <w:r>
        <w:t xml:space="preserve"> </w:t>
      </w:r>
      <w:r>
        <w:rPr>
          <w:iCs/>
          <w:i/>
        </w:rPr>
        <w:t xml:space="preserve">i</w:t>
      </w:r>
      <w:r>
        <w:t xml:space="preserve"> </w:t>
      </w:r>
      <w:r>
        <w:t xml:space="preserve">udātta by the suffix accent.</w:t>
      </w:r>
      <w:r>
        <w:t xml:space="preserve"> </w:t>
      </w:r>
      <w:r>
        <w:t xml:space="preserve">“</w:t>
      </w:r>
      <w:r>
        <w:t xml:space="preserve">haviṣaḥ patiḥ</w:t>
      </w:r>
      <w:r>
        <w:t xml:space="preserve">”</w:t>
      </w:r>
      <w:r>
        <w:t xml:space="preserve">, a genitive tatpuruṣa;</w:t>
      </w:r>
      <w:r>
        <w:t xml:space="preserve"> </w:t>
      </w:r>
      <w:r>
        <w:rPr>
          <w:iCs/>
          <w:i/>
        </w:rPr>
        <w:t xml:space="preserve">ru</w:t>
      </w:r>
      <w:r>
        <w:t xml:space="preserve"> </w:t>
      </w:r>
      <w:r>
        <w:t xml:space="preserve">and visarga for the</w:t>
      </w:r>
      <w:r>
        <w:t xml:space="preserve"> </w:t>
      </w:r>
      <w:r>
        <w:rPr>
          <w:iCs/>
          <w:i/>
        </w:rPr>
        <w:t xml:space="preserve">s</w:t>
      </w:r>
      <w:r>
        <w:t xml:space="preserve">:</w:t>
      </w:r>
      <w:r>
        <w:t xml:space="preserve"> </w:t>
      </w:r>
      <w:r>
        <w:rPr>
          <w:iCs/>
          <w:i/>
        </w:rPr>
        <w:t xml:space="preserve">haviḥ patiḥ</w:t>
      </w:r>
      <w:r>
        <w:t xml:space="preserve">. Now</w:t>
      </w:r>
      <w:r>
        <w:t xml:space="preserve"> </w:t>
      </w:r>
      <w:r>
        <w:t xml:space="preserve">“</w:t>
      </w:r>
      <w:r>
        <w:t xml:space="preserve">nityaṃ samāse ’nuttarapadasthasya</w:t>
      </w:r>
      <w:r>
        <w:t xml:space="preserve">”</w:t>
      </w:r>
      <w:r>
        <w:t xml:space="preserve"> </w:t>
      </w:r>
      <w:r>
        <w:t xml:space="preserve">(Pā. 8-3-45): in a compound, before a</w:t>
      </w:r>
      <w:r>
        <w:t xml:space="preserve"> </w:t>
      </w:r>
      <w:r>
        <w:rPr>
          <w:iCs/>
          <w:i/>
        </w:rPr>
        <w:t xml:space="preserve">k</w:t>
      </w:r>
      <w:r>
        <w:t xml:space="preserve">- or</w:t>
      </w:r>
      <w:r>
        <w:t xml:space="preserve"> </w:t>
      </w:r>
      <w:r>
        <w:rPr>
          <w:iCs/>
          <w:i/>
        </w:rPr>
        <w:t xml:space="preserve">p</w:t>
      </w:r>
      <w:r>
        <w:t xml:space="preserve">-class letter, the visarga of</w:t>
      </w:r>
      <w:r>
        <w:t xml:space="preserve"> </w:t>
      </w:r>
      <w:r>
        <w:rPr>
          <w:iCs/>
          <w:i/>
        </w:rPr>
        <w:t xml:space="preserve">is</w:t>
      </w:r>
      <w:r>
        <w:t xml:space="preserve"> </w:t>
      </w:r>
      <w:r>
        <w:t xml:space="preserve">or</w:t>
      </w:r>
      <w:r>
        <w:t xml:space="preserve"> </w:t>
      </w:r>
      <w:r>
        <w:rPr>
          <w:iCs/>
          <w:i/>
        </w:rPr>
        <w:t xml:space="preserve">us</w:t>
      </w:r>
      <w:r>
        <w:t xml:space="preserve"> </w:t>
      </w:r>
      <w:r>
        <w:t xml:space="preserve">not in the second member always becomes</w:t>
      </w:r>
      <w:r>
        <w:t xml:space="preserve"> </w:t>
      </w:r>
      <w:r>
        <w:rPr>
          <w:iCs/>
          <w:i/>
        </w:rPr>
        <w:t xml:space="preserve">ṣ</w:t>
      </w:r>
      <w:r>
        <w:t xml:space="preserve">; so the visarga of the suffix</w:t>
      </w:r>
      <w:r>
        <w:t xml:space="preserve"> </w:t>
      </w:r>
      <w:r>
        <w:rPr>
          <w:iCs/>
          <w:i/>
        </w:rPr>
        <w:t xml:space="preserve">is</w:t>
      </w:r>
      <w:r>
        <w:t xml:space="preserve"> </w:t>
      </w:r>
      <w:r>
        <w:t xml:space="preserve">before the</w:t>
      </w:r>
      <w:r>
        <w:t xml:space="preserve"> </w:t>
      </w:r>
      <w:r>
        <w:rPr>
          <w:iCs/>
          <w:i/>
        </w:rPr>
        <w:t xml:space="preserve">p</w:t>
      </w:r>
      <w:r>
        <w:t xml:space="preserve">:</w:t>
      </w:r>
      <w:r>
        <w:t xml:space="preserve"> </w:t>
      </w:r>
      <w:r>
        <w:rPr>
          <w:iCs/>
          <w:i/>
        </w:rPr>
        <w:t xml:space="preserve">haviṣpatiḥ</w:t>
      </w:r>
      <w:r>
        <w:t xml:space="preserve">; the first member’s accent by</w:t>
      </w:r>
      <w:r>
        <w:t xml:space="preserve"> </w:t>
      </w:r>
      <w:r>
        <w:t xml:space="preserve">“</w:t>
      </w:r>
      <w:r>
        <w:t xml:space="preserve">patyāv aiśvarye</w:t>
      </w:r>
      <w:r>
        <w:t xml:space="preserve">”</w:t>
      </w:r>
      <w:r>
        <w:t xml:space="preserve"> </w:t>
      </w:r>
      <w:r>
        <w:t xml:space="preserve">(Pā. 6-2-18).</w:t>
      </w:r>
      <w:r>
        <w:t xml:space="preserve"> </w:t>
      </w:r>
      <w:r>
        <w:rPr>
          <w:bCs/>
          <w:b/>
        </w:rPr>
        <w:t xml:space="preserve">सपर्यति (</w:t>
      </w:r>
      <w:r>
        <w:rPr>
          <w:iCs/>
          <w:i/>
          <w:bCs/>
          <w:b/>
        </w:rPr>
        <w:t xml:space="preserve">saparyati</w:t>
      </w:r>
      <w:r>
        <w:rPr>
          <w:bCs/>
          <w:b/>
        </w:rPr>
        <w:t xml:space="preserve">)</w:t>
      </w:r>
      <w:r>
        <w:t xml:space="preserve"> </w:t>
      </w:r>
      <w:r>
        <w:t xml:space="preserve">— the word</w:t>
      </w:r>
      <w:r>
        <w:t xml:space="preserve"> </w:t>
      </w:r>
      <w:r>
        <w:rPr>
          <w:iCs/>
          <w:i/>
        </w:rPr>
        <w:t xml:space="preserve">sapara</w:t>
      </w:r>
      <w:r>
        <w:t xml:space="preserve"> </w:t>
      </w:r>
      <w:r>
        <w:t xml:space="preserve">is read in the</w:t>
      </w:r>
      <w:r>
        <w:t xml:space="preserve"> </w:t>
      </w:r>
      <w:r>
        <w:rPr>
          <w:iCs/>
          <w:i/>
        </w:rPr>
        <w:t xml:space="preserve">kaṇḍvādi</w:t>
      </w:r>
      <w:r>
        <w:t xml:space="preserve"> </w:t>
      </w:r>
      <w:r>
        <w:t xml:space="preserve">group, so</w:t>
      </w:r>
      <w:r>
        <w:t xml:space="preserve"> </w:t>
      </w:r>
      <w:r>
        <w:t xml:space="preserve">“</w:t>
      </w:r>
      <w:r>
        <w:t xml:space="preserve">kaṇḍvādibhyo yak</w:t>
      </w:r>
      <w:r>
        <w:t xml:space="preserve">”</w:t>
      </w:r>
      <w:r>
        <w:t xml:space="preserve"> </w:t>
      </w:r>
      <w:r>
        <w:t xml:space="preserve">(printed</w:t>
      </w:r>
      <w:r>
        <w:t xml:space="preserve"> </w:t>
      </w:r>
      <w:r>
        <w:t xml:space="preserve">“</w:t>
      </w:r>
      <w:r>
        <w:t xml:space="preserve">vā. 3-1-27</w:t>
      </w:r>
      <w:r>
        <w:t xml:space="preserve">”</w:t>
      </w:r>
      <w:r>
        <w:t xml:space="preserve">): after the roots read in the</w:t>
      </w:r>
      <w:r>
        <w:t xml:space="preserve"> </w:t>
      </w:r>
      <w:r>
        <w:rPr>
          <w:iCs/>
          <w:i/>
        </w:rPr>
        <w:t xml:space="preserve">kaṇḍvādi</w:t>
      </w:r>
      <w:r>
        <w:t xml:space="preserve"> </w:t>
      </w:r>
      <w:r>
        <w:t xml:space="preserve">group the suffix</w:t>
      </w:r>
      <w:r>
        <w:t xml:space="preserve"> </w:t>
      </w:r>
      <w:r>
        <w:rPr>
          <w:iCs/>
          <w:i/>
        </w:rPr>
        <w:t xml:space="preserve">yak</w:t>
      </w:r>
      <w:r>
        <w:t xml:space="preserve">; so</w:t>
      </w:r>
      <w:r>
        <w:t xml:space="preserve"> </w:t>
      </w:r>
      <w:r>
        <w:rPr>
          <w:iCs/>
          <w:i/>
        </w:rPr>
        <w:t xml:space="preserve">yak</w:t>
      </w:r>
      <w:r>
        <w:t xml:space="preserve"> </w:t>
      </w:r>
      <w:r>
        <w:t xml:space="preserve">after</w:t>
      </w:r>
      <w:r>
        <w:t xml:space="preserve"> </w:t>
      </w:r>
      <w:r>
        <w:rPr>
          <w:iCs/>
          <w:i/>
        </w:rPr>
        <w:t xml:space="preserve">sapara</w:t>
      </w:r>
      <w:r>
        <w:t xml:space="preserve">. The words in the</w:t>
      </w:r>
      <w:r>
        <w:t xml:space="preserve"> </w:t>
      </w:r>
      <w:r>
        <w:rPr>
          <w:iCs/>
          <w:i/>
        </w:rPr>
        <w:t xml:space="preserve">kaṇḍvādi</w:t>
      </w:r>
      <w:r>
        <w:t xml:space="preserve"> </w:t>
      </w:r>
      <w:r>
        <w:t xml:space="preserve">group have both the name</w:t>
      </w:r>
      <w:r>
        <w:t xml:space="preserve"> </w:t>
      </w:r>
      <w:r>
        <w:rPr>
          <w:iCs/>
          <w:i/>
        </w:rPr>
        <w:t xml:space="preserve">dhātu</w:t>
      </w:r>
      <w:r>
        <w:t xml:space="preserve"> </w:t>
      </w:r>
      <w:r>
        <w:t xml:space="preserve">and the name</w:t>
      </w:r>
      <w:r>
        <w:t xml:space="preserve"> </w:t>
      </w:r>
      <w:r>
        <w:rPr>
          <w:iCs/>
          <w:i/>
        </w:rPr>
        <w:t xml:space="preserve">prātipadika</w:t>
      </w:r>
      <w:r>
        <w:t xml:space="preserve">; this is clear in the Mahābhāṣya:</w:t>
      </w:r>
    </w:p>
    <w:p>
      <w:pPr>
        <w:pStyle w:val="BlockText"/>
      </w:pPr>
      <w:r>
        <w:t xml:space="preserve">धातुप्रकरणाद्धातुः कस्य चासञ्जनादपि ।</w:t>
      </w:r>
      <w:r>
        <w:t xml:space="preserve"> </w:t>
      </w:r>
      <w:r>
        <w:t xml:space="preserve">आह चायमिमं दीर्घं मन्ये धातुर्विभाषितः ॥</w:t>
      </w:r>
    </w:p>
    <w:p>
      <w:pPr>
        <w:pStyle w:val="BlockText"/>
      </w:pPr>
      <w:r>
        <w:rPr>
          <w:iCs/>
          <w:i/>
        </w:rPr>
        <w:t xml:space="preserve">dhātuprakaraṇād dhātuḥ kasya cāsañjanād api |</w:t>
      </w:r>
      <w:r>
        <w:t xml:space="preserve"> </w:t>
      </w:r>
      <w:r>
        <w:rPr>
          <w:iCs/>
          <w:i/>
        </w:rPr>
        <w:t xml:space="preserve">āha cāyam imaṃ dīrghaṃ manye dhātur vibhāṣitaḥ ||</w:t>
      </w:r>
    </w:p>
    <w:p>
      <w:pPr>
        <w:pStyle w:val="FirstParagraph"/>
      </w:pPr>
      <w:r>
        <w:t xml:space="preserve">(printed</w:t>
      </w:r>
      <w:r>
        <w:t xml:space="preserve"> </w:t>
      </w:r>
      <w:r>
        <w:t xml:space="preserve">“</w:t>
      </w:r>
      <w:r>
        <w:t xml:space="preserve">pā. sū. ma. 3-1-27</w:t>
      </w:r>
      <w:r>
        <w:t xml:space="preserve">”</w:t>
      </w:r>
      <w:r>
        <w:t xml:space="preserve">). Because the group is in the section on roots, the</w:t>
      </w:r>
      <w:r>
        <w:t xml:space="preserve"> </w:t>
      </w:r>
      <w:r>
        <w:rPr>
          <w:iCs/>
          <w:i/>
        </w:rPr>
        <w:t xml:space="preserve">kaṇḍvādi</w:t>
      </w:r>
      <w:r>
        <w:t xml:space="preserve"> </w:t>
      </w:r>
      <w:r>
        <w:t xml:space="preserve">are roots; and because the</w:t>
      </w:r>
      <w:r>
        <w:t xml:space="preserve"> </w:t>
      </w:r>
      <w:r>
        <w:rPr>
          <w:iCs/>
          <w:i/>
        </w:rPr>
        <w:t xml:space="preserve">k</w:t>
      </w:r>
      <w:r>
        <w:t xml:space="preserve"> </w:t>
      </w:r>
      <w:r>
        <w:t xml:space="preserve">is attached to</w:t>
      </w:r>
      <w:r>
        <w:t xml:space="preserve"> </w:t>
      </w:r>
      <w:r>
        <w:rPr>
          <w:iCs/>
          <w:i/>
        </w:rPr>
        <w:t xml:space="preserve">yak</w:t>
      </w:r>
      <w:r>
        <w:t xml:space="preserve">, they are roots too: if one grants that they are roots, the</w:t>
      </w:r>
      <w:r>
        <w:t xml:space="preserve"> </w:t>
      </w:r>
      <w:r>
        <w:rPr>
          <w:iCs/>
          <w:i/>
        </w:rPr>
        <w:t xml:space="preserve">yak</w:t>
      </w:r>
      <w:r>
        <w:t xml:space="preserve"> </w:t>
      </w:r>
      <w:r>
        <w:t xml:space="preserve">added to them is</w:t>
      </w:r>
      <w:r>
        <w:t xml:space="preserve"> </w:t>
      </w:r>
      <w:r>
        <w:rPr>
          <w:iCs/>
          <w:i/>
        </w:rPr>
        <w:t xml:space="preserve">ārdhadhātuka</w:t>
      </w:r>
      <w:r>
        <w:t xml:space="preserve">, and when</w:t>
      </w:r>
      <w:r>
        <w:t xml:space="preserve"> </w:t>
      </w:r>
      <w:r>
        <w:rPr>
          <w:iCs/>
          <w:i/>
        </w:rPr>
        <w:t xml:space="preserve">guṇa</w:t>
      </w:r>
      <w:r>
        <w:t xml:space="preserve"> </w:t>
      </w:r>
      <w:r>
        <w:t xml:space="preserve">would arise, the</w:t>
      </w:r>
      <w:r>
        <w:t xml:space="preserve"> </w:t>
      </w:r>
      <w:r>
        <w:rPr>
          <w:iCs/>
          <w:i/>
        </w:rPr>
        <w:t xml:space="preserve">k</w:t>
      </w:r>
      <w:r>
        <w:t xml:space="preserve"> </w:t>
      </w:r>
      <w:r>
        <w:t xml:space="preserve">serves to bar it — otherwise the</w:t>
      </w:r>
      <w:r>
        <w:t xml:space="preserve"> </w:t>
      </w:r>
      <w:r>
        <w:rPr>
          <w:iCs/>
          <w:i/>
        </w:rPr>
        <w:t xml:space="preserve">k</w:t>
      </w:r>
      <w:r>
        <w:t xml:space="preserve"> </w:t>
      </w:r>
      <w:r>
        <w:t xml:space="preserve">would be useless. If they are simply roots, the long vowel in</w:t>
      </w:r>
      <w:r>
        <w:t xml:space="preserve"> </w:t>
      </w:r>
      <w:r>
        <w:rPr>
          <w:iCs/>
          <w:i/>
        </w:rPr>
        <w:t xml:space="preserve">kaṇḍūya</w:t>
      </w:r>
      <w:r>
        <w:t xml:space="preserve"> </w:t>
      </w:r>
      <w:r>
        <w:t xml:space="preserve">would come by</w:t>
      </w:r>
      <w:r>
        <w:t xml:space="preserve"> </w:t>
      </w:r>
      <w:r>
        <w:t xml:space="preserve">“</w:t>
      </w:r>
      <w:r>
        <w:t xml:space="preserve">akṛt-sārvadhātukayor dīrghaḥ</w:t>
      </w:r>
      <w:r>
        <w:t xml:space="preserve">”</w:t>
      </w:r>
      <w:r>
        <w:t xml:space="preserve"> </w:t>
      </w:r>
      <w:r>
        <w:t xml:space="preserve">(printed</w:t>
      </w:r>
      <w:r>
        <w:t xml:space="preserve"> </w:t>
      </w:r>
      <w:r>
        <w:t xml:space="preserve">“</w:t>
      </w:r>
      <w:r>
        <w:t xml:space="preserve">7-4-2</w:t>
      </w:r>
      <w:r>
        <w:t xml:space="preserve">”</w:t>
      </w:r>
      <w:r>
        <w:t xml:space="preserve"> </w:t>
      </w:r>
      <w:r>
        <w:t xml:space="preserve">[sic]; the sūtra is 7-4-25), so the long vowel read in the</w:t>
      </w:r>
      <w:r>
        <w:t xml:space="preserve"> </w:t>
      </w:r>
      <w:r>
        <w:rPr>
          <w:iCs/>
          <w:i/>
        </w:rPr>
        <w:t xml:space="preserve">gaṇapāṭha</w:t>
      </w:r>
      <w:r>
        <w:t xml:space="preserve"> </w:t>
      </w:r>
      <w:r>
        <w:t xml:space="preserve">as</w:t>
      </w:r>
      <w:r>
        <w:t xml:space="preserve"> </w:t>
      </w:r>
      <w:r>
        <w:rPr>
          <w:iCs/>
          <w:i/>
        </w:rPr>
        <w:t xml:space="preserve">kaṇḍū</w:t>
      </w:r>
      <w:r>
        <w:t xml:space="preserve"> </w:t>
      </w:r>
      <w:r>
        <w:t xml:space="preserve">would be useless; if the root-name is optional, then when it does not apply</w:t>
      </w:r>
      <w:r>
        <w:t xml:space="preserve"> </w:t>
      </w:r>
      <w:r>
        <w:rPr>
          <w:iCs/>
          <w:i/>
        </w:rPr>
        <w:t xml:space="preserve">yak</w:t>
      </w:r>
      <w:r>
        <w:t xml:space="preserve"> </w:t>
      </w:r>
      <w:r>
        <w:t xml:space="preserve">does not come, and the long vowel read is useful for being heard. So the conclusion is that the</w:t>
      </w:r>
      <w:r>
        <w:t xml:space="preserve"> </w:t>
      </w:r>
      <w:r>
        <w:rPr>
          <w:iCs/>
          <w:i/>
        </w:rPr>
        <w:t xml:space="preserve">kaṇḍvādi</w:t>
      </w:r>
      <w:r>
        <w:t xml:space="preserve"> </w:t>
      </w:r>
      <w:r>
        <w:t xml:space="preserve">words take the name</w:t>
      </w:r>
      <w:r>
        <w:t xml:space="preserve"> </w:t>
      </w:r>
      <w:r>
        <w:rPr>
          <w:iCs/>
          <w:i/>
        </w:rPr>
        <w:t xml:space="preserve">dhātu</w:t>
      </w:r>
      <w:r>
        <w:t xml:space="preserve"> </w:t>
      </w:r>
      <w:r>
        <w:t xml:space="preserve">optionally, and the name</w:t>
      </w:r>
      <w:r>
        <w:t xml:space="preserve"> </w:t>
      </w:r>
      <w:r>
        <w:rPr>
          <w:iCs/>
          <w:i/>
        </w:rPr>
        <w:t xml:space="preserve">prātipadika</w:t>
      </w:r>
      <w:r>
        <w:t xml:space="preserve"> </w:t>
      </w:r>
      <w:r>
        <w:t xml:space="preserve">when that is absent.</w:t>
      </w:r>
    </w:p>
    <w:bookmarkEnd w:id="535"/>
    <w:bookmarkStart w:id="536" w:name="page-512-rik-8-grammar-closes"/>
    <w:p>
      <w:pPr>
        <w:pStyle w:val="Heading3"/>
      </w:pPr>
      <w:r>
        <w:t xml:space="preserve">Page 512 — Rik 8 grammar closes</w:t>
      </w:r>
    </w:p>
    <w:p>
      <w:pPr>
        <w:pStyle w:val="FirstParagraph"/>
      </w:pPr>
      <w:r>
        <w:t xml:space="preserve">Here, taking</w:t>
      </w:r>
      <w:r>
        <w:t xml:space="preserve"> </w:t>
      </w:r>
      <w:r>
        <w:rPr>
          <w:iCs/>
          <w:i/>
        </w:rPr>
        <w:t xml:space="preserve">sapara</w:t>
      </w:r>
      <w:r>
        <w:t xml:space="preserve"> </w:t>
      </w:r>
      <w:r>
        <w:t xml:space="preserve">as a root, the</w:t>
      </w:r>
      <w:r>
        <w:t xml:space="preserve"> </w:t>
      </w:r>
      <w:r>
        <w:rPr>
          <w:iCs/>
          <w:i/>
        </w:rPr>
        <w:t xml:space="preserve">yak</w:t>
      </w:r>
      <w:r>
        <w:t xml:space="preserve"> </w:t>
      </w:r>
      <w:r>
        <w:t xml:space="preserve">added to it is</w:t>
      </w:r>
      <w:r>
        <w:t xml:space="preserve"> </w:t>
      </w:r>
      <w:r>
        <w:rPr>
          <w:iCs/>
          <w:i/>
        </w:rPr>
        <w:t xml:space="preserve">ārdhadhātuka</w:t>
      </w:r>
      <w:r>
        <w:t xml:space="preserve"> </w:t>
      </w:r>
      <w:r>
        <w:t xml:space="preserve">by</w:t>
      </w:r>
      <w:r>
        <w:t xml:space="preserve"> </w:t>
      </w:r>
      <w:r>
        <w:t xml:space="preserve">“</w:t>
      </w:r>
      <w:r>
        <w:t xml:space="preserve">ārdhadhātukaṃ śeṣaḥ</w:t>
      </w:r>
      <w:r>
        <w:t xml:space="preserve">”</w:t>
      </w:r>
      <w:r>
        <w:t xml:space="preserve"> </w:t>
      </w:r>
      <w:r>
        <w:t xml:space="preserve">(Pā. 3-4-114); so</w:t>
      </w:r>
      <w:r>
        <w:t xml:space="preserve"> </w:t>
      </w:r>
      <w:r>
        <w:t xml:space="preserve">“</w:t>
      </w:r>
      <w:r>
        <w:t xml:space="preserve">ato lopaḥ</w:t>
      </w:r>
      <w:r>
        <w:t xml:space="preserve">”</w:t>
      </w:r>
      <w:r>
        <w:t xml:space="preserve"> </w:t>
      </w:r>
      <w:r>
        <w:t xml:space="preserve">(Pā. 6-4-48) drops the final</w:t>
      </w:r>
      <w:r>
        <w:t xml:space="preserve"> </w:t>
      </w:r>
      <w:r>
        <w:rPr>
          <w:iCs/>
          <w:i/>
        </w:rPr>
        <w:t xml:space="preserve">a</w:t>
      </w:r>
      <w:r>
        <w:t xml:space="preserve"> </w:t>
      </w:r>
      <w:r>
        <w:t xml:space="preserve">of</w:t>
      </w:r>
      <w:r>
        <w:t xml:space="preserve"> </w:t>
      </w:r>
      <w:r>
        <w:rPr>
          <w:iCs/>
          <w:i/>
        </w:rPr>
        <w:t xml:space="preserve">sapara</w:t>
      </w:r>
      <w:r>
        <w:t xml:space="preserve">:</w:t>
      </w:r>
      <w:r>
        <w:t xml:space="preserve"> </w:t>
      </w:r>
      <w:r>
        <w:rPr>
          <w:iCs/>
          <w:i/>
        </w:rPr>
        <w:t xml:space="preserve">saparya</w:t>
      </w:r>
      <w:r>
        <w:t xml:space="preserve">; it is a root by</w:t>
      </w:r>
      <w:r>
        <w:t xml:space="preserve"> </w:t>
      </w:r>
      <w:r>
        <w:t xml:space="preserve">“</w:t>
      </w:r>
      <w:r>
        <w:t xml:space="preserve">sanādyantā dhātavaḥ</w:t>
      </w:r>
      <w:r>
        <w:t xml:space="preserve">”</w:t>
      </w:r>
      <w:r>
        <w:t xml:space="preserve"> </w:t>
      </w:r>
      <w:r>
        <w:t xml:space="preserve">(Pā. 3-1-32); then</w:t>
      </w:r>
      <w:r>
        <w:t xml:space="preserve"> </w:t>
      </w:r>
      <w:r>
        <w:rPr>
          <w:iCs/>
          <w:i/>
        </w:rPr>
        <w:t xml:space="preserve">laṭ</w:t>
      </w:r>
      <w:r>
        <w:t xml:space="preserve">, replaced by third singular</w:t>
      </w:r>
      <w:r>
        <w:t xml:space="preserve"> </w:t>
      </w:r>
      <w:r>
        <w:rPr>
          <w:iCs/>
          <w:i/>
        </w:rPr>
        <w:t xml:space="preserve">tip</w:t>
      </w:r>
      <w:r>
        <w:t xml:space="preserve">; the vikaraṇa</w:t>
      </w:r>
      <w:r>
        <w:t xml:space="preserve"> </w:t>
      </w:r>
      <w:r>
        <w:rPr>
          <w:iCs/>
          <w:i/>
        </w:rPr>
        <w:t xml:space="preserve">śap</w:t>
      </w:r>
      <w:r>
        <w:t xml:space="preserve"> </w:t>
      </w:r>
      <w:r>
        <w:t xml:space="preserve">by</w:t>
      </w:r>
      <w:r>
        <w:t xml:space="preserve"> </w:t>
      </w:r>
      <w:r>
        <w:t xml:space="preserve">“</w:t>
      </w:r>
      <w:r>
        <w:t xml:space="preserve">kartari śap</w:t>
      </w:r>
      <w:r>
        <w:t xml:space="preserve">”</w:t>
      </w:r>
      <w:r>
        <w:t xml:space="preserve"> </w:t>
      </w:r>
      <w:r>
        <w:t xml:space="preserve">(Pā. 3-1-68):</w:t>
      </w:r>
      <w:r>
        <w:t xml:space="preserve"> </w:t>
      </w:r>
      <w:r>
        <w:rPr>
          <w:iCs/>
          <w:i/>
        </w:rPr>
        <w:t xml:space="preserve">saparya</w:t>
      </w:r>
      <w:r>
        <w:t xml:space="preserve"> </w:t>
      </w:r>
      <w:r>
        <w:t xml:space="preserve">+</w:t>
      </w:r>
      <w:r>
        <w:t xml:space="preserve"> </w:t>
      </w:r>
      <w:r>
        <w:rPr>
          <w:iCs/>
          <w:i/>
        </w:rPr>
        <w:t xml:space="preserve">a</w:t>
      </w:r>
      <w:r>
        <w:t xml:space="preserve"> </w:t>
      </w:r>
      <w:r>
        <w:t xml:space="preserve">+</w:t>
      </w:r>
      <w:r>
        <w:t xml:space="preserve"> </w:t>
      </w:r>
      <w:r>
        <w:rPr>
          <w:iCs/>
          <w:i/>
        </w:rPr>
        <w:t xml:space="preserve">ti</w:t>
      </w:r>
      <w:r>
        <w:t xml:space="preserve">;</w:t>
      </w:r>
      <w:r>
        <w:t xml:space="preserve"> </w:t>
      </w:r>
      <w:r>
        <w:t xml:space="preserve">“</w:t>
      </w:r>
      <w:r>
        <w:t xml:space="preserve">ato guṇe</w:t>
      </w:r>
      <w:r>
        <w:t xml:space="preserve">”</w:t>
      </w:r>
      <w:r>
        <w:t xml:space="preserve"> </w:t>
      </w:r>
      <w:r>
        <w:t xml:space="preserve">(Pā. 6-1-97) gives</w:t>
      </w:r>
      <w:r>
        <w:t xml:space="preserve"> </w:t>
      </w:r>
      <w:r>
        <w:rPr>
          <w:iCs/>
          <w:i/>
        </w:rPr>
        <w:t xml:space="preserve">pararūpa</w:t>
      </w:r>
      <w:r>
        <w:t xml:space="preserve"> </w:t>
      </w:r>
      <w:r>
        <w:t xml:space="preserve">of the root’s final</w:t>
      </w:r>
      <w:r>
        <w:t xml:space="preserve"> </w:t>
      </w:r>
      <w:r>
        <w:rPr>
          <w:iCs/>
          <w:i/>
        </w:rPr>
        <w:t xml:space="preserve">a</w:t>
      </w:r>
      <w:r>
        <w:t xml:space="preserve"> </w:t>
      </w:r>
      <w:r>
        <w:t xml:space="preserve">and the</w:t>
      </w:r>
      <w:r>
        <w:t xml:space="preserve"> </w:t>
      </w:r>
      <w:r>
        <w:rPr>
          <w:iCs/>
          <w:i/>
        </w:rPr>
        <w:t xml:space="preserve">a</w:t>
      </w:r>
      <w:r>
        <w:t xml:space="preserve"> </w:t>
      </w:r>
      <w:r>
        <w:t xml:space="preserve">of</w:t>
      </w:r>
      <w:r>
        <w:t xml:space="preserve"> </w:t>
      </w:r>
      <w:r>
        <w:rPr>
          <w:iCs/>
          <w:i/>
        </w:rPr>
        <w:t xml:space="preserve">śap</w:t>
      </w:r>
      <w:r>
        <w:t xml:space="preserve">:</w:t>
      </w:r>
      <w:r>
        <w:t xml:space="preserve"> </w:t>
      </w:r>
      <w:r>
        <w:rPr>
          <w:iCs/>
          <w:i/>
        </w:rPr>
        <w:t xml:space="preserve">saparyati</w:t>
      </w:r>
      <w:r>
        <w:t xml:space="preserve">; udātta by the suffix accent of</w:t>
      </w:r>
      <w:r>
        <w:t xml:space="preserve"> </w:t>
      </w:r>
      <w:r>
        <w:rPr>
          <w:iCs/>
          <w:i/>
        </w:rPr>
        <w:t xml:space="preserve">yak</w:t>
      </w:r>
      <w:r>
        <w:t xml:space="preserve">; the</w:t>
      </w:r>
      <w:r>
        <w:t xml:space="preserve"> </w:t>
      </w:r>
      <w:r>
        <w:rPr>
          <w:iCs/>
          <w:i/>
        </w:rPr>
        <w:t xml:space="preserve">a</w:t>
      </w:r>
      <w:r>
        <w:t xml:space="preserve"> </w:t>
      </w:r>
      <w:r>
        <w:t xml:space="preserve">formed as a single substitute with the</w:t>
      </w:r>
      <w:r>
        <w:t xml:space="preserve"> </w:t>
      </w:r>
      <w:r>
        <w:rPr>
          <w:iCs/>
          <w:i/>
        </w:rPr>
        <w:t xml:space="preserve">a</w:t>
      </w:r>
      <w:r>
        <w:t xml:space="preserve"> </w:t>
      </w:r>
      <w:r>
        <w:t xml:space="preserve">of</w:t>
      </w:r>
      <w:r>
        <w:t xml:space="preserve"> </w:t>
      </w:r>
      <w:r>
        <w:rPr>
          <w:iCs/>
          <w:i/>
        </w:rPr>
        <w:t xml:space="preserve">śap</w:t>
      </w:r>
      <w:r>
        <w:t xml:space="preserve"> </w:t>
      </w:r>
      <w:r>
        <w:t xml:space="preserve">is udātta by</w:t>
      </w:r>
      <w:r>
        <w:t xml:space="preserve"> </w:t>
      </w:r>
      <w:r>
        <w:t xml:space="preserve">“</w:t>
      </w:r>
      <w:r>
        <w:t xml:space="preserve">ekādeśa udāttenodāttaḥ</w:t>
      </w:r>
      <w:r>
        <w:t xml:space="preserve">”</w:t>
      </w:r>
      <w:r>
        <w:t xml:space="preserve"> </w:t>
      </w:r>
      <w:r>
        <w:t xml:space="preserve">(Pā. 8-2-5). Since</w:t>
      </w:r>
      <w:r>
        <w:t xml:space="preserve"> </w:t>
      </w:r>
      <w:r>
        <w:t xml:space="preserve">“</w:t>
      </w:r>
      <w:r>
        <w:t xml:space="preserve">yad-vṛttān nityam</w:t>
      </w:r>
      <w:r>
        <w:t xml:space="preserve">”</w:t>
      </w:r>
      <w:r>
        <w:t xml:space="preserve"> </w:t>
      </w:r>
      <w:r>
        <w:t xml:space="preserve">(Pā. 8-1-66) bars it,</w:t>
      </w:r>
      <w:r>
        <w:t xml:space="preserve"> </w:t>
      </w:r>
      <w:r>
        <w:t xml:space="preserve">“</w:t>
      </w:r>
      <w:r>
        <w:t xml:space="preserve">tiṅṅ atiṅaḥ</w:t>
      </w:r>
      <w:r>
        <w:t xml:space="preserve">”</w:t>
      </w:r>
      <w:r>
        <w:t xml:space="preserve"> </w:t>
      </w:r>
      <w:r>
        <w:t xml:space="preserve">(Pā. 8-1-28) does not make it wholly unaccented; the other vowels are unaccented by</w:t>
      </w:r>
      <w:r>
        <w:t xml:space="preserve"> </w:t>
      </w:r>
      <w:r>
        <w:t xml:space="preserve">“</w:t>
      </w:r>
      <w:r>
        <w:t xml:space="preserve">anudāttaṃ padam ekavarjam</w:t>
      </w:r>
      <w:r>
        <w:t xml:space="preserve">”</w:t>
      </w:r>
      <w:r>
        <w:t xml:space="preserve"> </w:t>
      </w:r>
      <w:r>
        <w:t xml:space="preserve">(Pā. 6-1-158), and the</w:t>
      </w:r>
      <w:r>
        <w:t xml:space="preserve"> </w:t>
      </w:r>
      <w:r>
        <w:rPr>
          <w:iCs/>
          <w:i/>
        </w:rPr>
        <w:t xml:space="preserve">i</w:t>
      </w:r>
      <w:r>
        <w:t xml:space="preserve"> </w:t>
      </w:r>
      <w:r>
        <w:t xml:space="preserve">of</w:t>
      </w:r>
      <w:r>
        <w:t xml:space="preserve"> </w:t>
      </w:r>
      <w:r>
        <w:rPr>
          <w:iCs/>
          <w:i/>
        </w:rPr>
        <w:t xml:space="preserve">ti</w:t>
      </w:r>
      <w:r>
        <w:t xml:space="preserve"> </w:t>
      </w:r>
      <w:r>
        <w:t xml:space="preserve">becomes svarita by</w:t>
      </w:r>
      <w:r>
        <w:t xml:space="preserve"> </w:t>
      </w:r>
      <w:r>
        <w:t xml:space="preserve">“</w:t>
      </w:r>
      <w:r>
        <w:t xml:space="preserve">udāttād anudāttasya svaritaḥ</w:t>
      </w:r>
      <w:r>
        <w:t xml:space="preserve">”</w:t>
      </w:r>
      <w:r>
        <w:t xml:space="preserve"> </w:t>
      </w:r>
      <w:r>
        <w:t xml:space="preserve">(Pā. 8-4-66).</w:t>
      </w:r>
    </w:p>
    <w:p>
      <w:pPr>
        <w:pStyle w:val="BodyText"/>
      </w:pPr>
      <w:r>
        <w:rPr>
          <w:bCs/>
          <w:b/>
        </w:rPr>
        <w:t xml:space="preserve">॥८॥</w:t>
      </w:r>
    </w:p>
    <w:p>
      <w:r>
        <w:pict>
          <v:rect style="width:0;height:1.5pt" o:hralign="center" o:hrstd="t" o:hr="t"/>
        </w:pict>
      </w:r>
    </w:p>
    <w:bookmarkEnd w:id="536"/>
    <w:bookmarkStart w:id="537" w:name="page-512-lower-sūkta-12-rik-9"/>
    <w:p>
      <w:pPr>
        <w:pStyle w:val="Heading3"/>
      </w:pPr>
      <w:r>
        <w:t xml:space="preserve">Page 512 (lower) — Sūkta 12, Rik 9</w:t>
      </w:r>
    </w:p>
    <w:p>
      <w:pPr>
        <w:pStyle w:val="FirstParagraph"/>
      </w:pPr>
      <w:r>
        <w:rPr>
          <w:iCs/>
          <w:i/>
        </w:rPr>
        <w:t xml:space="preserve">(Saṃhitā accents as printed; Pada unaccented. Line 1: the stroke over हविष्माँ stands beside the candrabindu, as printed.)</w:t>
      </w:r>
    </w:p>
    <w:p>
      <w:pPr>
        <w:pStyle w:val="BodyText"/>
      </w:pPr>
      <w:r>
        <w:rPr>
          <w:bCs/>
          <w:b/>
        </w:rPr>
        <w:t xml:space="preserve">॥ Saṃhitā-pāṭhaḥ ॥</w:t>
      </w:r>
    </w:p>
    <w:p>
      <w:pPr>
        <w:pStyle w:val="BlockText"/>
      </w:pPr>
      <w:r>
        <w:t xml:space="preserve">यो अ॒ग्निं दे॒ववी॑तये ह॒विष्माँ॑ आ॒विवा॑सति ।</w:t>
      </w:r>
      <w:r>
        <w:t xml:space="preserve"> </w:t>
      </w:r>
      <w:r>
        <w:t xml:space="preserve">तस्मै॑ पावक मृळय ॥९॥</w:t>
      </w:r>
    </w:p>
    <w:p>
      <w:pPr>
        <w:pStyle w:val="BlockText"/>
      </w:pPr>
      <w:r>
        <w:rPr>
          <w:iCs/>
          <w:i/>
        </w:rPr>
        <w:t xml:space="preserve">yo agníṃ devávītaye havíṣmām̐ āvívāsati |</w:t>
      </w:r>
      <w:r>
        <w:t xml:space="preserve"> </w:t>
      </w:r>
      <w:r>
        <w:rPr>
          <w:iCs/>
          <w:i/>
        </w:rPr>
        <w:t xml:space="preserve">tásmai pāvaka mṛḷaya ||9||</w:t>
      </w:r>
    </w:p>
    <w:p>
      <w:pPr>
        <w:pStyle w:val="FirstParagraph"/>
      </w:pPr>
      <w:r>
        <w:rPr>
          <w:bCs/>
          <w:b/>
        </w:rPr>
        <w:t xml:space="preserve">॥ Pada-pāṭhaḥ ॥</w:t>
      </w:r>
    </w:p>
    <w:p>
      <w:pPr>
        <w:pStyle w:val="BlockText"/>
      </w:pPr>
      <w:r>
        <w:t xml:space="preserve">यः । अग्निम् । देवऽवीतये । हविष्मान् । आऽविवासति ॥</w:t>
      </w:r>
      <w:r>
        <w:t xml:space="preserve"> </w:t>
      </w:r>
      <w:r>
        <w:t xml:space="preserve">तस्मै । पावक । मृळय ॥९॥</w:t>
      </w:r>
    </w:p>
    <w:p>
      <w:pPr>
        <w:pStyle w:val="BlockText"/>
      </w:pPr>
      <w:r>
        <w:rPr>
          <w:iCs/>
          <w:i/>
        </w:rPr>
        <w:t xml:space="preserve">yaḥ | agnim | deva-vītaye | haviṣmān | ā-vivāsati ||</w:t>
      </w:r>
      <w:r>
        <w:t xml:space="preserve"> </w:t>
      </w:r>
      <w:r>
        <w:rPr>
          <w:iCs/>
          <w:i/>
        </w:rPr>
        <w:t xml:space="preserve">tasmai | pāvaka | mṛḷaya ||9||</w:t>
      </w:r>
    </w:p>
    <w:p>
      <w:pPr>
        <w:pStyle w:val="FirstParagraph"/>
      </w:pPr>
      <w:r>
        <w:rPr>
          <w:bCs/>
          <w:b/>
        </w:rPr>
        <w:t xml:space="preserve">॥ Sāyaṇa-bhāṣyam ॥</w:t>
      </w:r>
      <w:r>
        <w:t xml:space="preserve"> </w:t>
      </w:r>
      <w:r>
        <w:rPr>
          <w:iCs/>
          <w:i/>
        </w:rPr>
        <w:t xml:space="preserve">(runs onto p. 513)</w:t>
      </w:r>
    </w:p>
    <w:p>
      <w:pPr>
        <w:pStyle w:val="BlockText"/>
      </w:pPr>
      <w:r>
        <w:t xml:space="preserve">गार्हपत्याहवनीययोः परस्परसंसर्गे विहितस्य हविषो याज्या यो अग्निं देववीतय इत्येषा । अथाग्नेय्या इष्टय इति खण्डे सूत्रितम् । यो अग्निं देववीतये कुवित्सु नो गविष्टये । आ. ३-१३ । इति ॥</w:t>
      </w:r>
    </w:p>
    <w:p>
      <w:pPr>
        <w:pStyle w:val="BlockText"/>
      </w:pPr>
      <w:r>
        <w:rPr>
          <w:iCs/>
          <w:i/>
        </w:rPr>
        <w:t xml:space="preserve">gārhapatyāhavanīyayoḥ parasparasaṃsarge vihitasya haviṣo yājyā yo agniṃ devavītaya ityeṣā | athāgneyyā iṣṭaya iti khaṇḍe sūtritam | yo agniṃ devavītaye kuvitsu no gaviṣṭaye | ā. 3-13 | iti ||</w:t>
      </w:r>
    </w:p>
    <w:p>
      <w:pPr>
        <w:pStyle w:val="BlockText"/>
      </w:pPr>
      <w:r>
        <w:t xml:space="preserve">हविष्मान्हविर्युक्तो यो यजमानो देववीतये देवानां हविर्भक्षणहेतुयोगार्थमग्निमाविवासति अग्नेः समीपे विशेषेणागत्य परिचर्यां करोति हे पावकाग्ने तस्मै मृळय । तं यजमानं सुखय ॥ देववीतये । वी गतिप्रजनकान्त्यशनखादनेष्वित्यस्मादशनार्थात्क्तिन् । देवानां वीतिर्यस्मिन्यागे स देववीतिः । बहुव्रीहौ पूर्वपदप्रकृतिस्वरत्वम् । हविष्मान् । नब्विषयस्यानिसन्तस्येति पर्युदासाद्धविःशब्दो ऽन्तोदात्तः । मतुपः सर्वानुदात्तत्वात्स एव शिष्यते । आविवासति । वा गतिगन्धनयोः । अस्मादन्तर्भावितण्यर्थादागमयितुमिच्छतीत्यर्थे सन् । आह्वाने चाप [?] परिचर्यायां पर्यवस्यतीति विवासतिशब्दः परिचर्यार्थे निघण्टौ पठितः । द्विर्भावः । अभ्यासस्य ह्रस्वः । सन्यतः । पा. ७-४-७९ । इतीत्त्वम् । ञ्नित्यादिर्नित्यमित्याद्युदात्तत्वम् । तिङ्ङतिङ इति निघातो न भवति । यद्वृत्तान्नित्यमिति प्रतिषेधात् । तिङि चोदात्तवति । पा. ८-१-७१ । इत्याङो निघातः । सह सुपा । पा. २-१-४ । इत्यत्र सहेति योगविभागादाङस्तिङा सह समासे समासान्तोदात्तत्वे प्राप्ते परादिश्छन्दसि बहुलमित्युत्तरपदाद्युदात्तत्वम् । तस्मै । क्रियाग्रहणं कर्तव्यम् । पा. १-४-३२-१ । इति संप्रदाने चतुर्थी ॥</w:t>
      </w:r>
    </w:p>
    <w:p>
      <w:pPr>
        <w:pStyle w:val="BlockText"/>
      </w:pPr>
      <w:r>
        <w:rPr>
          <w:iCs/>
          <w:i/>
        </w:rPr>
        <w:t xml:space="preserve">haviṣmānhaviryukto yo yajamāno devavītaye devānāṃ havirbhakṣaṇahetuyogārthamagnimāvivāsati agneḥ samīpe viśeṣeṇāgatya paricaryāṃ karoti he pāvakāgne tasmai mṛḷaya | taṃ yajamānaṃ sukhaya || devavītaye | vī gatiprajanakāntyaśanakhādaneṣvityasmādaśanārthātktin | devānāṃ vītiryasminyāge sa devavītiḥ | bahuvrīhau pūrvapadaprakṛtisvaratvam | haviṣmān | nabviṣayasyānisantasyeti paryudāsāddhaviḥśabdo ’ntodāttaḥ | matupaḥ sarvānudāttatvātsa eva śiṣyate | āvivāsati | vā gatigandhanayoḥ | asmādantarbhāvitaṇyarthādāgamayitumicchatītyarthe san | āhvāne cāpa [?] paricaryāyāṃ paryavasyatīti vivāsatiśabdaḥ paricaryārthe nighaṇṭau paṭhitaḥ | dvirbhāvaḥ | abhyāsasya hrasvaḥ | sanyataḥ | pā. 7-4-79 | itīttvam | ñnityādirnityamityādyudāttatvam | tiṅṅatiṅa iti nighāto na bhavati | yadvṛttānnityamiti pratiṣedhāt | tiṅi codāttavati | pā. 8-1-71 | ityāṅo nighātaḥ | saha supā | pā. 2-1-4 | ityatra saheti yogavibhāgādāṅastiṅā saha samāse samāsāntodāttatve prāpte parādiśchandasi bahulamityuttarapadādyudāttatvam | tasmai | kriyāgrahaṇaṃ kartavyam | pā. 1-4-32-1 | iti saṃpradāne caturthī ||</w:t>
      </w:r>
    </w:p>
    <w:p>
      <w:pPr>
        <w:pStyle w:val="FirstParagraph"/>
      </w:pPr>
      <w:r>
        <w:rPr>
          <w:bCs/>
          <w:b/>
        </w:rPr>
        <w:t xml:space="preserve">Translation:</w:t>
      </w:r>
      <w:r>
        <w:t xml:space="preserve"> </w:t>
      </w:r>
      <w:r>
        <w:t xml:space="preserve">“</w:t>
      </w:r>
      <w:r>
        <w:t xml:space="preserve">For the oblation prescribed at the mutual contact of the Gārhapatya and Āhavanīya [fires], this [rik]</w:t>
      </w:r>
      <w:r>
        <w:t xml:space="preserve"> </w:t>
      </w:r>
      <w:r>
        <w:rPr>
          <w:iCs/>
          <w:i/>
        </w:rPr>
        <w:t xml:space="preserve">yo agniṃ devavītaye</w:t>
      </w:r>
      <w:r>
        <w:t xml:space="preserve"> </w:t>
      </w:r>
      <w:r>
        <w:t xml:space="preserve">is the</w:t>
      </w:r>
      <w:r>
        <w:t xml:space="preserve"> </w:t>
      </w:r>
      <w:r>
        <w:rPr>
          <w:iCs/>
          <w:i/>
        </w:rPr>
        <w:t xml:space="preserve">yājyā</w:t>
      </w:r>
      <w:r>
        <w:t xml:space="preserve">; laid down in the section</w:t>
      </w:r>
      <w:r>
        <w:t xml:space="preserve"> </w:t>
      </w:r>
      <w:r>
        <w:rPr>
          <w:iCs/>
          <w:i/>
        </w:rPr>
        <w:t xml:space="preserve">athāgneyyā iṣṭayaḥ</w:t>
      </w:r>
      <w:r>
        <w:t xml:space="preserve">:</w:t>
      </w:r>
      <w:r>
        <w:t xml:space="preserve"> </w:t>
      </w:r>
      <w:r>
        <w:t xml:space="preserve">‘</w:t>
      </w:r>
      <w:r>
        <w:rPr>
          <w:iCs/>
          <w:i/>
        </w:rPr>
        <w:t xml:space="preserve">yo agniṃ devavītaye</w:t>
      </w:r>
      <w:r>
        <w:t xml:space="preserve">;</w:t>
      </w:r>
      <w:r>
        <w:t xml:space="preserve"> </w:t>
      </w:r>
      <w:r>
        <w:rPr>
          <w:iCs/>
          <w:i/>
        </w:rPr>
        <w:t xml:space="preserve">kuvit su no gaviṣṭaye</w:t>
      </w:r>
      <w:r>
        <w:t xml:space="preserve">’</w:t>
      </w:r>
      <w:r>
        <w:t xml:space="preserve"> </w:t>
      </w:r>
      <w:r>
        <w:t xml:space="preserve">(Āśv. 3-13). The sacrificer who,</w:t>
      </w:r>
      <w:r>
        <w:t xml:space="preserve"> </w:t>
      </w:r>
      <w:r>
        <w:rPr>
          <w:iCs/>
          <w:i/>
        </w:rPr>
        <w:t xml:space="preserve">haviṣmān</w:t>
      </w:r>
      <w:r>
        <w:t xml:space="preserve"> </w:t>
      </w:r>
      <w:r>
        <w:t xml:space="preserve">— having an oblation —</w:t>
      </w:r>
      <w:r>
        <w:t xml:space="preserve"> </w:t>
      </w:r>
      <w:r>
        <w:rPr>
          <w:iCs/>
          <w:i/>
        </w:rPr>
        <w:t xml:space="preserve">devavītaye</w:t>
      </w:r>
      <w:r>
        <w:t xml:space="preserve">, for the purpose of the gods’ eating of the oblation,</w:t>
      </w:r>
      <w:r>
        <w:t xml:space="preserve"> </w:t>
      </w:r>
      <w:r>
        <w:rPr>
          <w:iCs/>
          <w:i/>
        </w:rPr>
        <w:t xml:space="preserve">āvivāsati</w:t>
      </w:r>
      <w:r>
        <w:t xml:space="preserve"> </w:t>
      </w:r>
      <w:r>
        <w:t xml:space="preserve">Agni — comes specially near Agni and serves him: O</w:t>
      </w:r>
      <w:r>
        <w:t xml:space="preserve"> </w:t>
      </w:r>
      <w:r>
        <w:rPr>
          <w:iCs/>
          <w:i/>
        </w:rPr>
        <w:t xml:space="preserve">pāvaka</w:t>
      </w:r>
      <w:r>
        <w:t xml:space="preserve">, Agni,</w:t>
      </w:r>
      <w:r>
        <w:t xml:space="preserve"> </w:t>
      </w:r>
      <w:r>
        <w:rPr>
          <w:iCs/>
          <w:i/>
        </w:rPr>
        <w:t xml:space="preserve">tasmai mṛḷaya</w:t>
      </w:r>
      <w:r>
        <w:t xml:space="preserve"> </w:t>
      </w:r>
      <w:r>
        <w:t xml:space="preserve">— make that sacrificer happy.</w:t>
      </w:r>
      <w:r>
        <w:t xml:space="preserve">”</w:t>
      </w:r>
      <w:r>
        <w:t xml:space="preserve"> </w:t>
      </w:r>
      <w:r>
        <w:t xml:space="preserve">(Grammatical tail, on p. 513:</w:t>
      </w:r>
      <w:r>
        <w:t xml:space="preserve"> </w:t>
      </w:r>
      <w:r>
        <w:rPr>
          <w:iCs/>
          <w:i/>
        </w:rPr>
        <w:t xml:space="preserve">devavītaye</w:t>
      </w:r>
      <w:r>
        <w:t xml:space="preserve"> </w:t>
      </w:r>
      <w:r>
        <w:t xml:space="preserve">—</w:t>
      </w:r>
      <w:r>
        <w:t xml:space="preserve"> </w:t>
      </w:r>
      <w:r>
        <w:rPr>
          <w:iCs/>
          <w:i/>
        </w:rPr>
        <w:t xml:space="preserve">ktin</w:t>
      </w:r>
      <w:r>
        <w:t xml:space="preserve"> </w:t>
      </w:r>
      <w:r>
        <w:t xml:space="preserve">after</w:t>
      </w:r>
      <w:r>
        <w:t xml:space="preserve"> </w:t>
      </w:r>
      <w:r>
        <w:rPr>
          <w:iCs/>
          <w:i/>
        </w:rPr>
        <w:t xml:space="preserve">vī</w:t>
      </w:r>
      <w:r>
        <w:t xml:space="preserve"> </w:t>
      </w:r>
      <w:r>
        <w:t xml:space="preserve">in the sense of eating;</w:t>
      </w:r>
      <w:r>
        <w:t xml:space="preserve"> </w:t>
      </w:r>
      <w:r>
        <w:t xml:space="preserve">“</w:t>
      </w:r>
      <w:r>
        <w:t xml:space="preserve">that sacrifice in which there is the eating of the gods</w:t>
      </w:r>
      <w:r>
        <w:t xml:space="preserve">”</w:t>
      </w:r>
      <w:r>
        <w:t xml:space="preserve">, a bahuvrīhi with the first member’s accent;</w:t>
      </w:r>
      <w:r>
        <w:t xml:space="preserve"> </w:t>
      </w:r>
      <w:r>
        <w:rPr>
          <w:iCs/>
          <w:i/>
        </w:rPr>
        <w:t xml:space="preserve">haviṣmān</w:t>
      </w:r>
      <w:r>
        <w:t xml:space="preserve"> </w:t>
      </w:r>
      <w:r>
        <w:t xml:space="preserve">—</w:t>
      </w:r>
      <w:r>
        <w:t xml:space="preserve"> </w:t>
      </w:r>
      <w:r>
        <w:rPr>
          <w:iCs/>
          <w:i/>
        </w:rPr>
        <w:t xml:space="preserve">havis</w:t>
      </w:r>
      <w:r>
        <w:t xml:space="preserve"> </w:t>
      </w:r>
      <w:r>
        <w:t xml:space="preserve">is final-udātta, being excluded by</w:t>
      </w:r>
      <w:r>
        <w:t xml:space="preserve"> </w:t>
      </w:r>
      <w:r>
        <w:t xml:space="preserve">“</w:t>
      </w:r>
      <w:r>
        <w:t xml:space="preserve">nab-viṣayasyānisantasya</w:t>
      </w:r>
      <w:r>
        <w:t xml:space="preserve">”</w:t>
      </w:r>
      <w:r>
        <w:t xml:space="preserve">, and since</w:t>
      </w:r>
      <w:r>
        <w:t xml:space="preserve"> </w:t>
      </w:r>
      <w:r>
        <w:rPr>
          <w:iCs/>
          <w:i/>
        </w:rPr>
        <w:t xml:space="preserve">matup</w:t>
      </w:r>
      <w:r>
        <w:t xml:space="preserve"> </w:t>
      </w:r>
      <w:r>
        <w:t xml:space="preserve">is wholly unaccented that accent alone remains;</w:t>
      </w:r>
      <w:r>
        <w:t xml:space="preserve"> </w:t>
      </w:r>
      <w:r>
        <w:rPr>
          <w:iCs/>
          <w:i/>
        </w:rPr>
        <w:t xml:space="preserve">āvivāsati</w:t>
      </w:r>
      <w:r>
        <w:t xml:space="preserve"> </w:t>
      </w:r>
      <w:r>
        <w:t xml:space="preserve">— from</w:t>
      </w:r>
      <w:r>
        <w:t xml:space="preserve"> </w:t>
      </w:r>
      <w:r>
        <w:rPr>
          <w:iCs/>
          <w:i/>
        </w:rPr>
        <w:t xml:space="preserve">vā gatigandhanayoḥ</w:t>
      </w:r>
      <w:r>
        <w:t xml:space="preserve"> </w:t>
      </w:r>
      <w:r>
        <w:t xml:space="preserve">with the causative sense included,</w:t>
      </w:r>
      <w:r>
        <w:t xml:space="preserve"> </w:t>
      </w:r>
      <w:r>
        <w:rPr>
          <w:iCs/>
          <w:i/>
        </w:rPr>
        <w:t xml:space="preserve">san</w:t>
      </w:r>
      <w:r>
        <w:t xml:space="preserve"> </w:t>
      </w:r>
      <w:r>
        <w:t xml:space="preserve">in the sense</w:t>
      </w:r>
      <w:r>
        <w:t xml:space="preserve"> </w:t>
      </w:r>
      <w:r>
        <w:t xml:space="preserve">“</w:t>
      </w:r>
      <w:r>
        <w:t xml:space="preserve">wishes to bring</w:t>
      </w:r>
      <w:r>
        <w:t xml:space="preserve">”</w:t>
      </w:r>
      <w:r>
        <w:t xml:space="preserve">; ending in calling and service,</w:t>
      </w:r>
      <w:r>
        <w:t xml:space="preserve"> </w:t>
      </w:r>
      <w:r>
        <w:rPr>
          <w:iCs/>
          <w:i/>
        </w:rPr>
        <w:t xml:space="preserve">vivāsati</w:t>
      </w:r>
      <w:r>
        <w:t xml:space="preserve"> </w:t>
      </w:r>
      <w:r>
        <w:t xml:space="preserve">is read in the Nighaṇṭu among words for service; doubling, shortening of the reduplicate,</w:t>
      </w:r>
      <w:r>
        <w:t xml:space="preserve"> </w:t>
      </w:r>
      <w:r>
        <w:rPr>
          <w:iCs/>
          <w:i/>
        </w:rPr>
        <w:t xml:space="preserve">i</w:t>
      </w:r>
      <w:r>
        <w:t xml:space="preserve"> </w:t>
      </w:r>
      <w:r>
        <w:t xml:space="preserve">by</w:t>
      </w:r>
      <w:r>
        <w:t xml:space="preserve"> </w:t>
      </w:r>
      <w:r>
        <w:t xml:space="preserve">“</w:t>
      </w:r>
      <w:r>
        <w:t xml:space="preserve">sanyataḥ</w:t>
      </w:r>
      <w:r>
        <w:t xml:space="preserve">”</w:t>
      </w:r>
      <w:r>
        <w:t xml:space="preserve"> </w:t>
      </w:r>
      <w:r>
        <w:t xml:space="preserve">(Pā. 7-4-79), initial-udātta by</w:t>
      </w:r>
      <w:r>
        <w:t xml:space="preserve"> </w:t>
      </w:r>
      <w:r>
        <w:t xml:space="preserve">“</w:t>
      </w:r>
      <w:r>
        <w:t xml:space="preserve">ñnity ādir nityam</w:t>
      </w:r>
      <w:r>
        <w:t xml:space="preserve">”</w:t>
      </w:r>
      <w:r>
        <w:t xml:space="preserve">; not unaccented, by</w:t>
      </w:r>
      <w:r>
        <w:t xml:space="preserve"> </w:t>
      </w:r>
      <w:r>
        <w:t xml:space="preserve">“</w:t>
      </w:r>
      <w:r>
        <w:t xml:space="preserve">yad-vṛttān nityam</w:t>
      </w:r>
      <w:r>
        <w:t xml:space="preserve">”</w:t>
      </w:r>
      <w:r>
        <w:t xml:space="preserve">; the</w:t>
      </w:r>
      <w:r>
        <w:t xml:space="preserve"> </w:t>
      </w:r>
      <w:r>
        <w:rPr>
          <w:iCs/>
          <w:i/>
        </w:rPr>
        <w:t xml:space="preserve">āṅ</w:t>
      </w:r>
      <w:r>
        <w:t xml:space="preserve"> </w:t>
      </w:r>
      <w:r>
        <w:t xml:space="preserve">unaccented by</w:t>
      </w:r>
      <w:r>
        <w:t xml:space="preserve"> </w:t>
      </w:r>
      <w:r>
        <w:t xml:space="preserve">“</w:t>
      </w:r>
      <w:r>
        <w:t xml:space="preserve">tiṅi codāttavati</w:t>
      </w:r>
      <w:r>
        <w:t xml:space="preserve">”</w:t>
      </w:r>
      <w:r>
        <w:t xml:space="preserve"> </w:t>
      </w:r>
      <w:r>
        <w:t xml:space="preserve">(Pā. 8-1-71); by splitting off</w:t>
      </w:r>
      <w:r>
        <w:t xml:space="preserve"> </w:t>
      </w:r>
      <w:r>
        <w:rPr>
          <w:iCs/>
          <w:i/>
        </w:rPr>
        <w:t xml:space="preserve">saha</w:t>
      </w:r>
      <w:r>
        <w:t xml:space="preserve"> </w:t>
      </w:r>
      <w:r>
        <w:t xml:space="preserve">in</w:t>
      </w:r>
      <w:r>
        <w:t xml:space="preserve"> </w:t>
      </w:r>
      <w:r>
        <w:t xml:space="preserve">“</w:t>
      </w:r>
      <w:r>
        <w:t xml:space="preserve">saha supā</w:t>
      </w:r>
      <w:r>
        <w:t xml:space="preserve">”</w:t>
      </w:r>
      <w:r>
        <w:t xml:space="preserve"> </w:t>
      </w:r>
      <w:r>
        <w:t xml:space="preserve">(Pā. 2-1-4)</w:t>
      </w:r>
      <w:r>
        <w:t xml:space="preserve"> </w:t>
      </w:r>
      <w:r>
        <w:rPr>
          <w:iCs/>
          <w:i/>
        </w:rPr>
        <w:t xml:space="preserve">āṅ</w:t>
      </w:r>
      <w:r>
        <w:t xml:space="preserve"> </w:t>
      </w:r>
      <w:r>
        <w:t xml:space="preserve">compounds with the</w:t>
      </w:r>
      <w:r>
        <w:t xml:space="preserve"> </w:t>
      </w:r>
      <w:r>
        <w:rPr>
          <w:iCs/>
          <w:i/>
        </w:rPr>
        <w:t xml:space="preserve">tiṅanta</w:t>
      </w:r>
      <w:r>
        <w:t xml:space="preserve">, and instead of the compound-final udātta</w:t>
      </w:r>
      <w:r>
        <w:t xml:space="preserve"> </w:t>
      </w:r>
      <w:r>
        <w:t xml:space="preserve">“</w:t>
      </w:r>
      <w:r>
        <w:t xml:space="preserve">parādiś chandasi bahulam</w:t>
      </w:r>
      <w:r>
        <w:t xml:space="preserve">”</w:t>
      </w:r>
      <w:r>
        <w:t xml:space="preserve"> </w:t>
      </w:r>
      <w:r>
        <w:t xml:space="preserve">makes the second member initial-udātta;</w:t>
      </w:r>
      <w:r>
        <w:t xml:space="preserve"> </w:t>
      </w:r>
      <w:r>
        <w:rPr>
          <w:iCs/>
          <w:i/>
        </w:rPr>
        <w:t xml:space="preserve">tasmai</w:t>
      </w:r>
      <w:r>
        <w:t xml:space="preserve"> </w:t>
      </w:r>
      <w:r>
        <w:t xml:space="preserve">— the dative of the</w:t>
      </w:r>
      <w:r>
        <w:t xml:space="preserve"> </w:t>
      </w:r>
      <w:r>
        <w:rPr>
          <w:iCs/>
          <w:i/>
        </w:rPr>
        <w:t xml:space="preserve">sampradāna</w:t>
      </w:r>
      <w:r>
        <w:t xml:space="preserve"> </w:t>
      </w:r>
      <w:r>
        <w:t xml:space="preserve">by the vārttika</w:t>
      </w:r>
      <w:r>
        <w:t xml:space="preserve"> </w:t>
      </w:r>
      <w:r>
        <w:t xml:space="preserve">“</w:t>
      </w:r>
      <w:r>
        <w:t xml:space="preserve">kriyāgrahaṇaṃ kartavyam</w:t>
      </w:r>
      <w:r>
        <w:t xml:space="preserve">”</w:t>
      </w:r>
      <w:r>
        <w:t xml:space="preserve"> </w:t>
      </w:r>
      <w:r>
        <w:t xml:space="preserve">(Pā. 1-4-32-1).)</w:t>
      </w:r>
    </w:p>
    <w:bookmarkEnd w:id="537"/>
    <w:bookmarkStart w:id="538" w:name="X936455dcfe4a5201770c3d1e003f937c2bc76ad"/>
    <w:p>
      <w:pPr>
        <w:pStyle w:val="Heading3"/>
      </w:pPr>
      <w:r>
        <w:t xml:space="preserve">Page 513 — Rik 9: word-meanings, overall sense, English, Special Topics</w:t>
      </w:r>
    </w:p>
    <w:p>
      <w:pPr>
        <w:pStyle w:val="FirstParagraph"/>
      </w:pPr>
      <w:r>
        <w:rPr>
          <w:bCs/>
          <w:b/>
        </w:rPr>
        <w:t xml:space="preserve">॥ Prati-padārthaḥ ॥</w:t>
      </w:r>
    </w:p>
    <w:p>
      <w:pPr>
        <w:pStyle w:val="BodyText"/>
      </w:pPr>
      <w:r>
        <w:rPr>
          <w:bCs/>
          <w:b/>
        </w:rPr>
        <w:t xml:space="preserve">हविष्मान् (haviṣmān)</w:t>
      </w:r>
      <w:r>
        <w:t xml:space="preserve"> </w:t>
      </w:r>
      <w:r>
        <w:t xml:space="preserve">— endowed with the oblation |</w:t>
      </w:r>
      <w:r>
        <w:t xml:space="preserve"> </w:t>
      </w:r>
      <w:r>
        <w:rPr>
          <w:bCs/>
          <w:b/>
        </w:rPr>
        <w:t xml:space="preserve">यः (yaḥ)</w:t>
      </w:r>
      <w:r>
        <w:t xml:space="preserve"> </w:t>
      </w:r>
      <w:r>
        <w:t xml:space="preserve">— which sacrificer |</w:t>
      </w:r>
      <w:r>
        <w:t xml:space="preserve"> </w:t>
      </w:r>
      <w:r>
        <w:rPr>
          <w:bCs/>
          <w:b/>
        </w:rPr>
        <w:t xml:space="preserve">देववीतये (devavītaye)</w:t>
      </w:r>
      <w:r>
        <w:t xml:space="preserve"> </w:t>
      </w:r>
      <w:r>
        <w:t xml:space="preserve">— in order to offer the oblation to the gods |</w:t>
      </w:r>
      <w:r>
        <w:t xml:space="preserve"> </w:t>
      </w:r>
      <w:r>
        <w:rPr>
          <w:bCs/>
          <w:b/>
        </w:rPr>
        <w:t xml:space="preserve">अग्निम् (agnim)</w:t>
      </w:r>
      <w:r>
        <w:t xml:space="preserve"> </w:t>
      </w:r>
      <w:r>
        <w:t xml:space="preserve">— Agni, you |</w:t>
      </w:r>
      <w:r>
        <w:t xml:space="preserve"> </w:t>
      </w:r>
      <w:r>
        <w:rPr>
          <w:bCs/>
          <w:b/>
        </w:rPr>
        <w:t xml:space="preserve">आविवासति (āvivāsati)</w:t>
      </w:r>
      <w:r>
        <w:t xml:space="preserve"> </w:t>
      </w:r>
      <w:r>
        <w:t xml:space="preserve">— draws near and serves |</w:t>
      </w:r>
      <w:r>
        <w:t xml:space="preserve"> </w:t>
      </w:r>
      <w:r>
        <w:rPr>
          <w:bCs/>
          <w:b/>
        </w:rPr>
        <w:t xml:space="preserve">तस्मै (tasmai)</w:t>
      </w:r>
      <w:r>
        <w:t xml:space="preserve"> </w:t>
      </w:r>
      <w:r>
        <w:t xml:space="preserve">— for that sacrificer |</w:t>
      </w:r>
      <w:r>
        <w:t xml:space="preserve"> </w:t>
      </w:r>
      <w:r>
        <w:rPr>
          <w:iCs/>
          <w:i/>
        </w:rPr>
        <w:t xml:space="preserve">(O)</w:t>
      </w:r>
      <w:r>
        <w:t xml:space="preserve"> </w:t>
      </w:r>
      <w:r>
        <w:rPr>
          <w:bCs/>
          <w:b/>
        </w:rPr>
        <w:t xml:space="preserve">पावक (pāvaka)</w:t>
      </w:r>
      <w:r>
        <w:t xml:space="preserve"> </w:t>
      </w:r>
      <w:r>
        <w:t xml:space="preserve">— Agni, who purifies all |</w:t>
      </w:r>
      <w:r>
        <w:t xml:space="preserve"> </w:t>
      </w:r>
      <w:r>
        <w:rPr>
          <w:bCs/>
          <w:b/>
        </w:rPr>
        <w:t xml:space="preserve">मृळय (mṛḷaya)</w:t>
      </w:r>
      <w:r>
        <w:t xml:space="preserve"> </w:t>
      </w:r>
      <w:r>
        <w:t xml:space="preserve">— grant happiness.</w:t>
      </w:r>
    </w:p>
    <w:p>
      <w:pPr>
        <w:pStyle w:val="BodyText"/>
      </w:pPr>
      <w:r>
        <w:rPr>
          <w:bCs/>
          <w:b/>
        </w:rPr>
        <w:t xml:space="preserve">॥ Bhāvārthaḥ ॥</w:t>
      </w:r>
    </w:p>
    <w:p>
      <w:pPr>
        <w:pStyle w:val="BodyText"/>
      </w:pPr>
      <w:r>
        <w:t xml:space="preserve">O Agni, you purify all things! To offer the oblation to the gods through you, the sacrificer comes to you and serves you. Give such a sacrificer happiness.</w:t>
      </w:r>
    </w:p>
    <w:p>
      <w:pPr>
        <w:pStyle w:val="BodyText"/>
      </w:pPr>
      <w:r>
        <w:rPr>
          <w:bCs/>
          <w:b/>
        </w:rPr>
        <w:t xml:space="preserve">॥ English Translation ॥</w:t>
      </w:r>
      <w:r>
        <w:t xml:space="preserve"> </w:t>
      </w:r>
      <w:r>
        <w:rPr>
          <w:iCs/>
          <w:i/>
        </w:rPr>
        <w:t xml:space="preserve">(as printed in the source)</w:t>
      </w:r>
    </w:p>
    <w:p>
      <w:pPr>
        <w:pStyle w:val="BlockText"/>
      </w:pPr>
      <w:r>
        <w:t xml:space="preserve">Be merciful, O purifier, to the man who, presenting oblations for the gratification of gods, approaches Agni.</w:t>
      </w:r>
    </w:p>
    <w:p>
      <w:pPr>
        <w:pStyle w:val="FirstParagraph"/>
      </w:pPr>
      <w:r>
        <w:rPr>
          <w:bCs/>
          <w:b/>
        </w:rPr>
        <w:t xml:space="preserve">॥ Viśeṣa-viṣayagaḷu (Special Topics) ॥</w:t>
      </w:r>
    </w:p>
    <w:p>
      <w:pPr>
        <w:pStyle w:val="BodyText"/>
      </w:pPr>
      <w:r>
        <w:t xml:space="preserve">When the sacrificer has come to the fires in the two fire-pits, the Gārhapatya and the Āhavanīya, he recites this rik and, offering the oblation, performs the</w:t>
      </w:r>
      <w:r>
        <w:t xml:space="preserve"> </w:t>
      </w:r>
      <w:r>
        <w:rPr>
          <w:iCs/>
          <w:i/>
        </w:rPr>
        <w:t xml:space="preserve">homa</w:t>
      </w:r>
      <w:r>
        <w:t xml:space="preserve">. At that time this rik is used as a</w:t>
      </w:r>
      <w:r>
        <w:t xml:space="preserve"> </w:t>
      </w:r>
      <w:r>
        <w:rPr>
          <w:iCs/>
          <w:i/>
        </w:rPr>
        <w:t xml:space="preserve">yājyā</w:t>
      </w:r>
      <w:r>
        <w:t xml:space="preserve"> </w:t>
      </w:r>
      <w:r>
        <w:t xml:space="preserve">mantra. In this connection the Āśvalāyana Śrauta-sūtra</w:t>
      </w:r>
    </w:p>
    <w:bookmarkEnd w:id="538"/>
    <w:bookmarkStart w:id="539" w:name="X2f7d6415b5de123bd38c3e38f8725394ffcd02c"/>
    <w:p>
      <w:pPr>
        <w:pStyle w:val="Heading3"/>
      </w:pPr>
      <w:r>
        <w:t xml:space="preserve">Page 514 — Rik 9: Special Topics (continued) and grammar</w:t>
      </w:r>
    </w:p>
    <w:p>
      <w:pPr>
        <w:pStyle w:val="FirstParagraph"/>
      </w:pPr>
      <w:r>
        <w:t xml:space="preserve">(Ā. 3-13), in the section</w:t>
      </w:r>
      <w:r>
        <w:t xml:space="preserve"> </w:t>
      </w:r>
      <w:r>
        <w:rPr>
          <w:iCs/>
          <w:i/>
        </w:rPr>
        <w:t xml:space="preserve">athāgneyyā iṣṭayaḥ</w:t>
      </w:r>
      <w:r>
        <w:t xml:space="preserve">, says that the riks</w:t>
      </w:r>
      <w:r>
        <w:t xml:space="preserve"> </w:t>
      </w:r>
      <w:r>
        <w:rPr>
          <w:iCs/>
          <w:i/>
        </w:rPr>
        <w:t xml:space="preserve">yo agniṃ devavītaye</w:t>
      </w:r>
      <w:r>
        <w:t xml:space="preserve"> </w:t>
      </w:r>
      <w:r>
        <w:t xml:space="preserve">(Ṛ. Saṃ. 1-12-9) and</w:t>
      </w:r>
      <w:r>
        <w:t xml:space="preserve"> </w:t>
      </w:r>
      <w:r>
        <w:rPr>
          <w:iCs/>
          <w:i/>
        </w:rPr>
        <w:t xml:space="preserve">kuvit su no gaviṣṭaye</w:t>
      </w:r>
      <w:r>
        <w:t xml:space="preserve"> </w:t>
      </w:r>
      <w:r>
        <w:t xml:space="preserve">(Ṛ. Saṃ. 8-75-11) are to be used as the</w:t>
      </w:r>
      <w:r>
        <w:t xml:space="preserve"> </w:t>
      </w:r>
      <w:r>
        <w:rPr>
          <w:iCs/>
          <w:i/>
        </w:rPr>
        <w:t xml:space="preserve">yājyā</w:t>
      </w:r>
      <w:r>
        <w:t xml:space="preserve"> </w:t>
      </w:r>
      <w:r>
        <w:t xml:space="preserve">and</w:t>
      </w:r>
      <w:r>
        <w:t xml:space="preserve"> </w:t>
      </w:r>
      <w:r>
        <w:rPr>
          <w:iCs/>
          <w:i/>
        </w:rPr>
        <w:t xml:space="preserve">puronuvākyā</w:t>
      </w:r>
      <w:r>
        <w:t xml:space="preserve"> </w:t>
      </w:r>
      <w:r>
        <w:t xml:space="preserve">mantras.</w:t>
      </w:r>
    </w:p>
    <w:p>
      <w:pPr>
        <w:pStyle w:val="BodyText"/>
      </w:pPr>
      <w:r>
        <w:rPr>
          <w:bCs/>
          <w:b/>
        </w:rPr>
        <w:t xml:space="preserve">“</w:t>
      </w:r>
      <w:r>
        <w:rPr>
          <w:bCs/>
          <w:b/>
        </w:rPr>
        <w:t xml:space="preserve">Devavītaye</w:t>
      </w:r>
      <w:r>
        <w:rPr>
          <w:bCs/>
          <w:b/>
        </w:rPr>
        <w:t xml:space="preserve">”</w:t>
      </w:r>
      <w:r>
        <w:t xml:space="preserve"> </w:t>
      </w:r>
      <w:r>
        <w:t xml:space="preserve">—</w:t>
      </w:r>
      <w:r>
        <w:t xml:space="preserve"> </w:t>
      </w:r>
      <w:r>
        <w:rPr>
          <w:iCs/>
          <w:i/>
        </w:rPr>
        <w:t xml:space="preserve">devānāṃ havir-bhakṣaṇa-hetu-yogārtham</w:t>
      </w:r>
      <w:r>
        <w:t xml:space="preserve"> </w:t>
      </w:r>
      <w:r>
        <w:t xml:space="preserve">—</w:t>
      </w:r>
      <w:r>
        <w:t xml:space="preserve"> </w:t>
      </w:r>
      <w:r>
        <w:t xml:space="preserve">“</w:t>
      </w:r>
      <w:r>
        <w:t xml:space="preserve">for the sake of bringing about the gods’ eating of the oblation</w:t>
      </w:r>
      <w:r>
        <w:t xml:space="preserve">”</w:t>
      </w:r>
      <w:r>
        <w:t xml:space="preserve">: to make an offering to the gods. Since the gods other than Agni are not seen by the eye, one must offer the oblation to them through Agni by pouring it into fire; therefore the sacrificer brings the oblation near Agni, serves him, and prays: this is the idea.</w:t>
      </w:r>
      <w:r>
        <w:t xml:space="preserve"> </w:t>
      </w:r>
      <w:r>
        <w:rPr>
          <w:bCs/>
          <w:b/>
        </w:rPr>
        <w:t xml:space="preserve">Skandasvāmī</w:t>
      </w:r>
      <w:r>
        <w:t xml:space="preserve"> </w:t>
      </w:r>
      <w:r>
        <w:t xml:space="preserve">gives for this word</w:t>
      </w:r>
      <w:r>
        <w:t xml:space="preserve"> </w:t>
      </w:r>
      <w:r>
        <w:rPr>
          <w:iCs/>
          <w:i/>
        </w:rPr>
        <w:t xml:space="preserve">devān prati gamanāya, devānāṃ vā havir-bhakṣaṇāya</w:t>
      </w:r>
      <w:r>
        <w:t xml:space="preserve">: that is, for going to the gods as messenger on the sacrificer’s behalf, and for calling the gods to eat the oblation.</w:t>
      </w:r>
    </w:p>
    <w:p>
      <w:pPr>
        <w:pStyle w:val="BodyText"/>
      </w:pPr>
      <w:r>
        <w:rPr>
          <w:bCs/>
          <w:b/>
        </w:rPr>
        <w:t xml:space="preserve">“</w:t>
      </w:r>
      <w:r>
        <w:rPr>
          <w:bCs/>
          <w:b/>
        </w:rPr>
        <w:t xml:space="preserve">Haviṣmān</w:t>
      </w:r>
      <w:r>
        <w:rPr>
          <w:bCs/>
          <w:b/>
        </w:rPr>
        <w:t xml:space="preserve">”</w:t>
      </w:r>
      <w:r>
        <w:t xml:space="preserve"> </w:t>
      </w:r>
      <w:r>
        <w:t xml:space="preserve">— one who has prepared the oblation to be offered to the gods and has brought it along.</w:t>
      </w:r>
    </w:p>
    <w:p>
      <w:pPr>
        <w:pStyle w:val="BodyText"/>
      </w:pPr>
      <w:r>
        <w:rPr>
          <w:bCs/>
          <w:b/>
        </w:rPr>
        <w:t xml:space="preserve">“</w:t>
      </w:r>
      <w:r>
        <w:rPr>
          <w:bCs/>
          <w:b/>
        </w:rPr>
        <w:t xml:space="preserve">Āvivāsati</w:t>
      </w:r>
      <w:r>
        <w:rPr>
          <w:bCs/>
          <w:b/>
        </w:rPr>
        <w:t xml:space="preserve">”</w:t>
      </w:r>
      <w:r>
        <w:t xml:space="preserve"> </w:t>
      </w:r>
      <w:r>
        <w:t xml:space="preserve">—</w:t>
      </w:r>
      <w:r>
        <w:t xml:space="preserve"> </w:t>
      </w:r>
      <w:r>
        <w:rPr>
          <w:iCs/>
          <w:i/>
        </w:rPr>
        <w:t xml:space="preserve">samīpe viśeṣeṇāgatya paricaryāṃ karoti</w:t>
      </w:r>
      <w:r>
        <w:t xml:space="preserve"> </w:t>
      </w:r>
      <w:r>
        <w:t xml:space="preserve">—</w:t>
      </w:r>
      <w:r>
        <w:t xml:space="preserve"> </w:t>
      </w:r>
      <w:r>
        <w:t xml:space="preserve">“</w:t>
      </w:r>
      <w:r>
        <w:t xml:space="preserve">comes near and serves specially</w:t>
      </w:r>
      <w:r>
        <w:t xml:space="preserve">”</w:t>
      </w:r>
      <w:r>
        <w:t xml:space="preserve"> </w:t>
      </w:r>
      <w:r>
        <w:t xml:space="preserve">[the source’s English:</w:t>
      </w:r>
      <w:r>
        <w:t xml:space="preserve"> </w:t>
      </w:r>
      <w:r>
        <w:t xml:space="preserve">“</w:t>
      </w:r>
      <w:r>
        <w:t xml:space="preserve">Approaches you for presenting oblations</w:t>
      </w:r>
      <w:r>
        <w:t xml:space="preserve">”</w:t>
      </w:r>
      <w:r>
        <w:t xml:space="preserve">].</w:t>
      </w:r>
    </w:p>
    <w:p>
      <w:pPr>
        <w:pStyle w:val="BodyText"/>
      </w:pPr>
      <w:r>
        <w:rPr>
          <w:bCs/>
          <w:b/>
        </w:rPr>
        <w:t xml:space="preserve">“</w:t>
      </w:r>
      <w:r>
        <w:rPr>
          <w:bCs/>
          <w:b/>
        </w:rPr>
        <w:t xml:space="preserve">Pāvaka</w:t>
      </w:r>
      <w:r>
        <w:rPr>
          <w:bCs/>
          <w:b/>
        </w:rPr>
        <w:t xml:space="preserve">”</w:t>
      </w:r>
      <w:r>
        <w:t xml:space="preserve"> </w:t>
      </w:r>
      <w:r>
        <w:t xml:space="preserve">— one who purifies;</w:t>
      </w:r>
      <w:r>
        <w:t xml:space="preserve"> </w:t>
      </w:r>
      <w:r>
        <w:rPr>
          <w:iCs/>
          <w:i/>
        </w:rPr>
        <w:t xml:space="preserve">purifier</w:t>
      </w:r>
      <w:r>
        <w:t xml:space="preserve">; or one who blazes brilliantly:</w:t>
      </w:r>
      <w:r>
        <w:t xml:space="preserve"> </w:t>
      </w:r>
      <w:r>
        <w:rPr>
          <w:iCs/>
          <w:i/>
        </w:rPr>
        <w:t xml:space="preserve">resplendent</w:t>
      </w:r>
      <w:r>
        <w:t xml:space="preserve"> </w:t>
      </w:r>
      <w:r>
        <w:t xml:space="preserve">[the source’s English]. The word is used especially in addressing Agni.</w:t>
      </w:r>
    </w:p>
    <w:p>
      <w:pPr>
        <w:pStyle w:val="BodyText"/>
      </w:pPr>
      <w:r>
        <w:rPr>
          <w:bCs/>
          <w:b/>
        </w:rPr>
        <w:t xml:space="preserve">“</w:t>
      </w:r>
      <w:r>
        <w:rPr>
          <w:bCs/>
          <w:b/>
        </w:rPr>
        <w:t xml:space="preserve">Mṛḷaya</w:t>
      </w:r>
      <w:r>
        <w:rPr>
          <w:bCs/>
          <w:b/>
        </w:rPr>
        <w:t xml:space="preserve">”</w:t>
      </w:r>
      <w:r>
        <w:t xml:space="preserve"> </w:t>
      </w:r>
      <w:r>
        <w:t xml:space="preserve">—</w:t>
      </w:r>
      <w:r>
        <w:t xml:space="preserve"> </w:t>
      </w:r>
      <w:r>
        <w:rPr>
          <w:iCs/>
          <w:i/>
        </w:rPr>
        <w:t xml:space="preserve">sukhaya</w:t>
      </w:r>
      <w:r>
        <w:t xml:space="preserve">,</w:t>
      </w:r>
      <w:r>
        <w:t xml:space="preserve"> </w:t>
      </w:r>
      <w:r>
        <w:rPr>
          <w:iCs/>
          <w:i/>
        </w:rPr>
        <w:t xml:space="preserve">sukham utpādaya</w:t>
      </w:r>
      <w:r>
        <w:t xml:space="preserve">: give happiness.</w:t>
      </w:r>
    </w:p>
    <w:p>
      <w:pPr>
        <w:pStyle w:val="BodyText"/>
      </w:pPr>
      <w:r>
        <w:rPr>
          <w:bCs/>
          <w:b/>
        </w:rPr>
        <w:t xml:space="preserve">॥ Vyākaraṇa-prakriyā ॥</w:t>
      </w:r>
      <w:r>
        <w:t xml:space="preserve"> </w:t>
      </w:r>
      <w:r>
        <w:rPr>
          <w:iCs/>
          <w:i/>
        </w:rPr>
        <w:t xml:space="preserve">(grammar pages 514–515, noted briefly; numbers checked against the print)</w:t>
      </w:r>
    </w:p>
    <w:p>
      <w:pPr>
        <w:pStyle w:val="BodyText"/>
      </w:pPr>
      <w:r>
        <w:rPr>
          <w:bCs/>
          <w:b/>
        </w:rPr>
        <w:t xml:space="preserve">देववीतये (</w:t>
      </w:r>
      <w:r>
        <w:rPr>
          <w:iCs/>
          <w:i/>
          <w:bCs/>
          <w:b/>
        </w:rPr>
        <w:t xml:space="preserve">devavītaye</w:t>
      </w:r>
      <w:r>
        <w:rPr>
          <w:bCs/>
          <w:b/>
        </w:rPr>
        <w:t xml:space="preserve">)</w:t>
      </w:r>
      <w:r>
        <w:t xml:space="preserve"> </w:t>
      </w:r>
      <w:r>
        <w:t xml:space="preserve">— root</w:t>
      </w:r>
      <w:r>
        <w:t xml:space="preserve"> </w:t>
      </w:r>
      <w:r>
        <w:rPr>
          <w:iCs/>
          <w:i/>
        </w:rPr>
        <w:t xml:space="preserve">vī gati-prajana-kānty-aśana-khādaneṣu</w:t>
      </w:r>
      <w:r>
        <w:t xml:space="preserve">; after this root in the sense of eating,</w:t>
      </w:r>
      <w:r>
        <w:t xml:space="preserve"> </w:t>
      </w:r>
      <w:r>
        <w:rPr>
          <w:iCs/>
          <w:i/>
        </w:rPr>
        <w:t xml:space="preserve">ktin</w:t>
      </w:r>
      <w:r>
        <w:t xml:space="preserve"> </w:t>
      </w:r>
      <w:r>
        <w:t xml:space="preserve">by</w:t>
      </w:r>
      <w:r>
        <w:t xml:space="preserve"> </w:t>
      </w:r>
      <w:r>
        <w:t xml:space="preserve">“</w:t>
      </w:r>
      <w:r>
        <w:t xml:space="preserve">striyāṃ ktin</w:t>
      </w:r>
      <w:r>
        <w:t xml:space="preserve">”</w:t>
      </w:r>
      <w:r>
        <w:t xml:space="preserve"> </w:t>
      </w:r>
      <w:r>
        <w:t xml:space="preserve">(Pā. 3-3-94); the suffix being</w:t>
      </w:r>
      <w:r>
        <w:t xml:space="preserve"> </w:t>
      </w:r>
      <w:r>
        <w:rPr>
          <w:iCs/>
          <w:i/>
        </w:rPr>
        <w:t xml:space="preserve">kit</w:t>
      </w:r>
      <w:r>
        <w:t xml:space="preserve">, no</w:t>
      </w:r>
      <w:r>
        <w:t xml:space="preserve"> </w:t>
      </w:r>
      <w:r>
        <w:rPr>
          <w:iCs/>
          <w:i/>
        </w:rPr>
        <w:t xml:space="preserve">guṇa</w:t>
      </w:r>
      <w:r>
        <w:t xml:space="preserve">:</w:t>
      </w:r>
      <w:r>
        <w:t xml:space="preserve"> </w:t>
      </w:r>
      <w:r>
        <w:rPr>
          <w:iCs/>
          <w:i/>
        </w:rPr>
        <w:t xml:space="preserve">vīti</w:t>
      </w:r>
      <w:r>
        <w:t xml:space="preserve">.</w:t>
      </w:r>
      <w:r>
        <w:t xml:space="preserve"> </w:t>
      </w:r>
      <w:r>
        <w:t xml:space="preserve">“</w:t>
      </w:r>
      <w:r>
        <w:t xml:space="preserve">devānāṃ vītiḥ yasmin yāge saḥ devavītiḥ</w:t>
      </w:r>
      <w:r>
        <w:t xml:space="preserve">”</w:t>
      </w:r>
      <w:r>
        <w:t xml:space="preserve">, a bahuvrīhi, keeps the first member’s accent by</w:t>
      </w:r>
      <w:r>
        <w:t xml:space="preserve"> </w:t>
      </w:r>
      <w:r>
        <w:t xml:space="preserve">“</w:t>
      </w:r>
      <w:r>
        <w:t xml:space="preserve">bahuvrīhau prakṛtyā pūrvapadam</w:t>
      </w:r>
      <w:r>
        <w:t xml:space="preserve">”</w:t>
      </w:r>
      <w:r>
        <w:t xml:space="preserve"> </w:t>
      </w:r>
      <w:r>
        <w:t xml:space="preserve">(Pā. 6-2-1). The word</w:t>
      </w:r>
      <w:r>
        <w:t xml:space="preserve"> </w:t>
      </w:r>
      <w:r>
        <w:rPr>
          <w:iCs/>
          <w:i/>
        </w:rPr>
        <w:t xml:space="preserve">haviḥ</w:t>
      </w:r>
      <w:r>
        <w:t xml:space="preserve">, although neuter, ends in</w:t>
      </w:r>
      <w:r>
        <w:t xml:space="preserve"> </w:t>
      </w:r>
      <w:r>
        <w:rPr>
          <w:iCs/>
          <w:i/>
        </w:rPr>
        <w:t xml:space="preserve">is</w:t>
      </w:r>
      <w:r>
        <w:t xml:space="preserve">, so, being excluded by the word</w:t>
      </w:r>
      <w:r>
        <w:t xml:space="preserve"> </w:t>
      </w:r>
      <w:r>
        <w:rPr>
          <w:iCs/>
          <w:i/>
        </w:rPr>
        <w:t xml:space="preserve">anisantasya</w:t>
      </w:r>
      <w:r>
        <w:t xml:space="preserve">, it does not become initial-udātta by</w:t>
      </w:r>
      <w:r>
        <w:t xml:space="preserve"> </w:t>
      </w:r>
      <w:r>
        <w:t xml:space="preserve">“</w:t>
      </w:r>
      <w:r>
        <w:t xml:space="preserve">nab-viṣayasyānisantasya</w:t>
      </w:r>
      <w:r>
        <w:t xml:space="preserve">”</w:t>
      </w:r>
      <w:r>
        <w:t xml:space="preserve"> </w:t>
      </w:r>
      <w:r>
        <w:t xml:space="preserve">(Phiṭ-sū.</w:t>
      </w:r>
      <w:r>
        <w:t xml:space="preserve"> </w:t>
      </w:r>
      <w:r>
        <w:t xml:space="preserve">“</w:t>
      </w:r>
      <w:r>
        <w:t xml:space="preserve">26</w:t>
      </w:r>
      <w:r>
        <w:t xml:space="preserve">”</w:t>
      </w:r>
      <w:r>
        <w:t xml:space="preserve">); it is final-udātta by the suffix accent.</w:t>
      </w:r>
      <w:r>
        <w:t xml:space="preserve"> </w:t>
      </w:r>
      <w:r>
        <w:rPr>
          <w:bCs/>
          <w:b/>
        </w:rPr>
        <w:t xml:space="preserve">हविष्मान् (</w:t>
      </w:r>
      <w:r>
        <w:rPr>
          <w:iCs/>
          <w:i/>
          <w:bCs/>
          <w:b/>
        </w:rPr>
        <w:t xml:space="preserve">haviṣmān</w:t>
      </w:r>
      <w:r>
        <w:rPr>
          <w:bCs/>
          <w:b/>
        </w:rPr>
        <w:t xml:space="preserve">)</w:t>
      </w:r>
      <w:r>
        <w:t xml:space="preserve"> </w:t>
      </w:r>
      <w:r>
        <w:t xml:space="preserve">—</w:t>
      </w:r>
      <w:r>
        <w:t xml:space="preserve"> </w:t>
      </w:r>
      <w:r>
        <w:t xml:space="preserve">“</w:t>
      </w:r>
      <w:r>
        <w:t xml:space="preserve">haviḥ asya asti</w:t>
      </w:r>
      <w:r>
        <w:t xml:space="preserve">”</w:t>
      </w:r>
      <w:r>
        <w:t xml:space="preserve">:</w:t>
      </w:r>
      <w:r>
        <w:t xml:space="preserve"> </w:t>
      </w:r>
      <w:r>
        <w:rPr>
          <w:iCs/>
          <w:i/>
        </w:rPr>
        <w:t xml:space="preserve">matup</w:t>
      </w:r>
      <w:r>
        <w:t xml:space="preserve"> </w:t>
      </w:r>
      <w:r>
        <w:t xml:space="preserve">after it by</w:t>
      </w:r>
      <w:r>
        <w:t xml:space="preserve"> </w:t>
      </w:r>
      <w:r>
        <w:t xml:space="preserve">“</w:t>
      </w:r>
      <w:r>
        <w:t xml:space="preserve">tad asyāsty asminn iti matup</w:t>
      </w:r>
      <w:r>
        <w:t xml:space="preserve">”</w:t>
      </w:r>
      <w:r>
        <w:t xml:space="preserve"> </w:t>
      </w:r>
      <w:r>
        <w:t xml:space="preserve">(Pā. 5-2-94); being</w:t>
      </w:r>
      <w:r>
        <w:t xml:space="preserve"> </w:t>
      </w:r>
      <w:r>
        <w:rPr>
          <w:iCs/>
          <w:i/>
        </w:rPr>
        <w:t xml:space="preserve">pit</w:t>
      </w:r>
      <w:r>
        <w:t xml:space="preserve">, it is unaccented by</w:t>
      </w:r>
      <w:r>
        <w:t xml:space="preserve"> </w:t>
      </w:r>
      <w:r>
        <w:t xml:space="preserve">“</w:t>
      </w:r>
      <w:r>
        <w:t xml:space="preserve">anudāttau sup-pitau</w:t>
      </w:r>
      <w:r>
        <w:t xml:space="preserve">”</w:t>
      </w:r>
      <w:r>
        <w:t xml:space="preserve"> </w:t>
      </w:r>
      <w:r>
        <w:t xml:space="preserve">(Pā. 3-1-4); so the final udātta of</w:t>
      </w:r>
      <w:r>
        <w:t xml:space="preserve"> </w:t>
      </w:r>
      <w:r>
        <w:rPr>
          <w:iCs/>
          <w:i/>
        </w:rPr>
        <w:t xml:space="preserve">haviḥ</w:t>
      </w:r>
      <w:r>
        <w:t xml:space="preserve"> </w:t>
      </w:r>
      <w:r>
        <w:t xml:space="preserve">alone remains.</w:t>
      </w:r>
    </w:p>
    <w:bookmarkEnd w:id="539"/>
    <w:bookmarkStart w:id="540" w:name="page-515-rik-9-grammar-closes"/>
    <w:p>
      <w:pPr>
        <w:pStyle w:val="Heading3"/>
      </w:pPr>
      <w:r>
        <w:t xml:space="preserve">Page 515 — Rik 9 grammar closes</w:t>
      </w:r>
    </w:p>
    <w:p>
      <w:pPr>
        <w:pStyle w:val="FirstParagraph"/>
      </w:pPr>
      <w:r>
        <w:rPr>
          <w:bCs/>
          <w:b/>
        </w:rPr>
        <w:t xml:space="preserve">आविवासति (</w:t>
      </w:r>
      <w:r>
        <w:rPr>
          <w:iCs/>
          <w:i/>
          <w:bCs/>
          <w:b/>
        </w:rPr>
        <w:t xml:space="preserve">āvivāsati</w:t>
      </w:r>
      <w:r>
        <w:rPr>
          <w:bCs/>
          <w:b/>
        </w:rPr>
        <w:t xml:space="preserve">)</w:t>
      </w:r>
      <w:r>
        <w:t xml:space="preserve"> </w:t>
      </w:r>
      <w:r>
        <w:t xml:space="preserve">— root</w:t>
      </w:r>
      <w:r>
        <w:t xml:space="preserve"> </w:t>
      </w:r>
      <w:r>
        <w:rPr>
          <w:iCs/>
          <w:i/>
        </w:rPr>
        <w:t xml:space="preserve">vā gatigandhanayoḥ</w:t>
      </w:r>
      <w:r>
        <w:t xml:space="preserve">; with the causative sense included, in the sense</w:t>
      </w:r>
      <w:r>
        <w:t xml:space="preserve"> </w:t>
      </w:r>
      <w:r>
        <w:t xml:space="preserve">“</w:t>
      </w:r>
      <w:r>
        <w:t xml:space="preserve">wishes to bring</w:t>
      </w:r>
      <w:r>
        <w:t xml:space="preserve">”</w:t>
      </w:r>
      <w:r>
        <w:t xml:space="preserve">,</w:t>
      </w:r>
      <w:r>
        <w:t xml:space="preserve"> </w:t>
      </w:r>
      <w:r>
        <w:t xml:space="preserve">“</w:t>
      </w:r>
      <w:r>
        <w:t xml:space="preserve">dhātoḥ karmaṇaḥ samāna-kartṛkād icchāyāṃ vā</w:t>
      </w:r>
      <w:r>
        <w:t xml:space="preserve">”</w:t>
      </w:r>
      <w:r>
        <w:t xml:space="preserve"> </w:t>
      </w:r>
      <w:r>
        <w:t xml:space="preserve">(Pā. 3-1-7) gives</w:t>
      </w:r>
      <w:r>
        <w:t xml:space="preserve"> </w:t>
      </w:r>
      <w:r>
        <w:rPr>
          <w:iCs/>
          <w:i/>
        </w:rPr>
        <w:t xml:space="preserve">san</w:t>
      </w:r>
      <w:r>
        <w:t xml:space="preserve">; the wish to call ends in the sense of service; therefore in the Nighaṇṭu (Ni.</w:t>
      </w:r>
      <w:r>
        <w:t xml:space="preserve"> </w:t>
      </w:r>
      <w:r>
        <w:t xml:space="preserve">“</w:t>
      </w:r>
      <w:r>
        <w:t xml:space="preserve">3-5-10</w:t>
      </w:r>
      <w:r>
        <w:t xml:space="preserve">”</w:t>
      </w:r>
      <w:r>
        <w:t xml:space="preserve">) the word</w:t>
      </w:r>
      <w:r>
        <w:t xml:space="preserve"> </w:t>
      </w:r>
      <w:r>
        <w:rPr>
          <w:iCs/>
          <w:i/>
        </w:rPr>
        <w:t xml:space="preserve">vivāsati</w:t>
      </w:r>
      <w:r>
        <w:t xml:space="preserve"> </w:t>
      </w:r>
      <w:r>
        <w:t xml:space="preserve">is read in the sense of service.</w:t>
      </w:r>
      <w:r>
        <w:t xml:space="preserve"> </w:t>
      </w:r>
      <w:r>
        <w:rPr>
          <w:iCs/>
          <w:i/>
        </w:rPr>
        <w:t xml:space="preserve">vā</w:t>
      </w:r>
      <w:r>
        <w:t xml:space="preserve"> </w:t>
      </w:r>
      <w:r>
        <w:t xml:space="preserve">+</w:t>
      </w:r>
      <w:r>
        <w:t xml:space="preserve"> </w:t>
      </w:r>
      <w:r>
        <w:rPr>
          <w:iCs/>
          <w:i/>
        </w:rPr>
        <w:t xml:space="preserve">sa</w:t>
      </w:r>
      <w:r>
        <w:t xml:space="preserve">: doubling by</w:t>
      </w:r>
      <w:r>
        <w:t xml:space="preserve"> </w:t>
      </w:r>
      <w:r>
        <w:t xml:space="preserve">“</w:t>
      </w:r>
      <w:r>
        <w:t xml:space="preserve">sanyaṅoḥ</w:t>
      </w:r>
      <w:r>
        <w:t xml:space="preserve">”</w:t>
      </w:r>
      <w:r>
        <w:t xml:space="preserve"> </w:t>
      </w:r>
      <w:r>
        <w:t xml:space="preserve">(Pā. 6-1-9); the reduplicate shortened by</w:t>
      </w:r>
      <w:r>
        <w:t xml:space="preserve"> </w:t>
      </w:r>
      <w:r>
        <w:t xml:space="preserve">“</w:t>
      </w:r>
      <w:r>
        <w:t xml:space="preserve">hrasvaḥ</w:t>
      </w:r>
      <w:r>
        <w:t xml:space="preserve">”</w:t>
      </w:r>
      <w:r>
        <w:t xml:space="preserve"> </w:t>
      </w:r>
      <w:r>
        <w:t xml:space="preserve">(Pā. 7-4-59);</w:t>
      </w:r>
      <w:r>
        <w:t xml:space="preserve"> </w:t>
      </w:r>
      <w:r>
        <w:t xml:space="preserve">“</w:t>
      </w:r>
      <w:r>
        <w:t xml:space="preserve">sanyataḥ</w:t>
      </w:r>
      <w:r>
        <w:t xml:space="preserve">”</w:t>
      </w:r>
      <w:r>
        <w:t xml:space="preserve"> </w:t>
      </w:r>
      <w:r>
        <w:t xml:space="preserve">(Pā. 7-4-79): before</w:t>
      </w:r>
      <w:r>
        <w:t xml:space="preserve"> </w:t>
      </w:r>
      <w:r>
        <w:rPr>
          <w:iCs/>
          <w:i/>
        </w:rPr>
        <w:t xml:space="preserve">san</w:t>
      </w:r>
      <w:r>
        <w:t xml:space="preserve"> </w:t>
      </w:r>
      <w:r>
        <w:t xml:space="preserve">the</w:t>
      </w:r>
      <w:r>
        <w:t xml:space="preserve"> </w:t>
      </w:r>
      <w:r>
        <w:rPr>
          <w:iCs/>
          <w:i/>
        </w:rPr>
        <w:t xml:space="preserve">a</w:t>
      </w:r>
      <w:r>
        <w:t xml:space="preserve"> </w:t>
      </w:r>
      <w:r>
        <w:t xml:space="preserve">of the reduplicate becomes</w:t>
      </w:r>
      <w:r>
        <w:t xml:space="preserve"> </w:t>
      </w:r>
      <w:r>
        <w:rPr>
          <w:iCs/>
          <w:i/>
        </w:rPr>
        <w:t xml:space="preserve">i</w:t>
      </w:r>
      <w:r>
        <w:t xml:space="preserve">:</w:t>
      </w:r>
      <w:r>
        <w:t xml:space="preserve"> </w:t>
      </w:r>
      <w:r>
        <w:rPr>
          <w:iCs/>
          <w:i/>
        </w:rPr>
        <w:t xml:space="preserve">vivāsa</w:t>
      </w:r>
      <w:r>
        <w:t xml:space="preserve">;</w:t>
      </w:r>
      <w:r>
        <w:t xml:space="preserve"> </w:t>
      </w:r>
      <w:r>
        <w:rPr>
          <w:iCs/>
          <w:i/>
        </w:rPr>
        <w:t xml:space="preserve">san</w:t>
      </w:r>
      <w:r>
        <w:t xml:space="preserve"> </w:t>
      </w:r>
      <w:r>
        <w:t xml:space="preserve">is</w:t>
      </w:r>
      <w:r>
        <w:t xml:space="preserve"> </w:t>
      </w:r>
      <w:r>
        <w:rPr>
          <w:iCs/>
          <w:i/>
        </w:rPr>
        <w:t xml:space="preserve">nit</w:t>
      </w:r>
      <w:r>
        <w:t xml:space="preserve">, so by</w:t>
      </w:r>
      <w:r>
        <w:t xml:space="preserve"> </w:t>
      </w:r>
      <w:r>
        <w:t xml:space="preserve">“</w:t>
      </w:r>
      <w:r>
        <w:t xml:space="preserve">ñnity ādir nityam</w:t>
      </w:r>
      <w:r>
        <w:t xml:space="preserve">”</w:t>
      </w:r>
      <w:r>
        <w:t xml:space="preserve"> </w:t>
      </w:r>
      <w:r>
        <w:t xml:space="preserve">(Pā. 6-1-197)</w:t>
      </w:r>
      <w:r>
        <w:t xml:space="preserve"> </w:t>
      </w:r>
      <w:r>
        <w:rPr>
          <w:iCs/>
          <w:i/>
        </w:rPr>
        <w:t xml:space="preserve">vivāsa</w:t>
      </w:r>
      <w:r>
        <w:t xml:space="preserve"> </w:t>
      </w:r>
      <w:r>
        <w:t xml:space="preserve">is initial-udātta; root-name by</w:t>
      </w:r>
      <w:r>
        <w:t xml:space="preserve"> </w:t>
      </w:r>
      <w:r>
        <w:t xml:space="preserve">“</w:t>
      </w:r>
      <w:r>
        <w:t xml:space="preserve">sanādyantā dhātavaḥ</w:t>
      </w:r>
      <w:r>
        <w:t xml:space="preserve">”</w:t>
      </w:r>
      <w:r>
        <w:t xml:space="preserve"> </w:t>
      </w:r>
      <w:r>
        <w:t xml:space="preserve">(Pā. 3-1-32); then</w:t>
      </w:r>
      <w:r>
        <w:t xml:space="preserve"> </w:t>
      </w:r>
      <w:r>
        <w:rPr>
          <w:iCs/>
          <w:i/>
        </w:rPr>
        <w:t xml:space="preserve">laṭ</w:t>
      </w:r>
      <w:r>
        <w:t xml:space="preserve">,</w:t>
      </w:r>
      <w:r>
        <w:t xml:space="preserve"> </w:t>
      </w:r>
      <w:r>
        <w:rPr>
          <w:iCs/>
          <w:i/>
        </w:rPr>
        <w:t xml:space="preserve">tip</w:t>
      </w:r>
      <w:r>
        <w:t xml:space="preserve">, the vikaraṇa</w:t>
      </w:r>
      <w:r>
        <w:t xml:space="preserve"> </w:t>
      </w:r>
      <w:r>
        <w:rPr>
          <w:iCs/>
          <w:i/>
        </w:rPr>
        <w:t xml:space="preserve">śap</w:t>
      </w:r>
      <w:r>
        <w:t xml:space="preserve"> </w:t>
      </w:r>
      <w:r>
        <w:t xml:space="preserve">and</w:t>
      </w:r>
      <w:r>
        <w:t xml:space="preserve"> </w:t>
      </w:r>
      <w:r>
        <w:rPr>
          <w:iCs/>
          <w:i/>
        </w:rPr>
        <w:t xml:space="preserve">pararūpa</w:t>
      </w:r>
      <w:r>
        <w:t xml:space="preserve">:</w:t>
      </w:r>
      <w:r>
        <w:t xml:space="preserve"> </w:t>
      </w:r>
      <w:r>
        <w:rPr>
          <w:iCs/>
          <w:i/>
        </w:rPr>
        <w:t xml:space="preserve">vivāsati</w:t>
      </w:r>
      <w:r>
        <w:t xml:space="preserve">. Since</w:t>
      </w:r>
      <w:r>
        <w:t xml:space="preserve"> </w:t>
      </w:r>
      <w:r>
        <w:t xml:space="preserve">“</w:t>
      </w:r>
      <w:r>
        <w:t xml:space="preserve">yad-vṛttān nityam</w:t>
      </w:r>
      <w:r>
        <w:t xml:space="preserve">”</w:t>
      </w:r>
      <w:r>
        <w:t xml:space="preserve"> </w:t>
      </w:r>
      <w:r>
        <w:t xml:space="preserve">(Pā. 8-1-66) bars it,</w:t>
      </w:r>
      <w:r>
        <w:t xml:space="preserve"> </w:t>
      </w:r>
      <w:r>
        <w:t xml:space="preserve">“</w:t>
      </w:r>
      <w:r>
        <w:t xml:space="preserve">tiṅṅ atiṅaḥ</w:t>
      </w:r>
      <w:r>
        <w:t xml:space="preserve">”</w:t>
      </w:r>
      <w:r>
        <w:t xml:space="preserve"> </w:t>
      </w:r>
      <w:r>
        <w:t xml:space="preserve">does not make it wholly unaccented. The preverb</w:t>
      </w:r>
      <w:r>
        <w:t xml:space="preserve"> </w:t>
      </w:r>
      <w:r>
        <w:rPr>
          <w:iCs/>
          <w:i/>
        </w:rPr>
        <w:t xml:space="preserve">ā</w:t>
      </w:r>
      <w:r>
        <w:t xml:space="preserve"> </w:t>
      </w:r>
      <w:r>
        <w:t xml:space="preserve">is unaccented by</w:t>
      </w:r>
      <w:r>
        <w:t xml:space="preserve"> </w:t>
      </w:r>
      <w:r>
        <w:t xml:space="preserve">“</w:t>
      </w:r>
      <w:r>
        <w:t xml:space="preserve">tiṅi codāttavati</w:t>
      </w:r>
      <w:r>
        <w:t xml:space="preserve">”</w:t>
      </w:r>
      <w:r>
        <w:t xml:space="preserve"> </w:t>
      </w:r>
      <w:r>
        <w:t xml:space="preserve">(Pā. 8-1-71) — a word with the name</w:t>
      </w:r>
      <w:r>
        <w:t xml:space="preserve"> </w:t>
      </w:r>
      <w:r>
        <w:rPr>
          <w:iCs/>
          <w:i/>
        </w:rPr>
        <w:t xml:space="preserve">gati</w:t>
      </w:r>
      <w:r>
        <w:t xml:space="preserve"> </w:t>
      </w:r>
      <w:r>
        <w:t xml:space="preserve">is unaccented before a</w:t>
      </w:r>
      <w:r>
        <w:t xml:space="preserve"> </w:t>
      </w:r>
      <w:r>
        <w:rPr>
          <w:iCs/>
          <w:i/>
        </w:rPr>
        <w:t xml:space="preserve">tiṅanta</w:t>
      </w:r>
      <w:r>
        <w:t xml:space="preserve"> </w:t>
      </w:r>
      <w:r>
        <w:t xml:space="preserve">that has an udātta; this is an exception to</w:t>
      </w:r>
      <w:r>
        <w:t xml:space="preserve"> </w:t>
      </w:r>
      <w:r>
        <w:t xml:space="preserve">“</w:t>
      </w:r>
      <w:r>
        <w:t xml:space="preserve">nipātā ādyudāttāḥ</w:t>
      </w:r>
      <w:r>
        <w:t xml:space="preserve">”</w:t>
      </w:r>
      <w:r>
        <w:t xml:space="preserve">. In</w:t>
      </w:r>
      <w:r>
        <w:t xml:space="preserve"> </w:t>
      </w:r>
      <w:r>
        <w:t xml:space="preserve">“</w:t>
      </w:r>
      <w:r>
        <w:t xml:space="preserve">saha supā</w:t>
      </w:r>
      <w:r>
        <w:t xml:space="preserve">”</w:t>
      </w:r>
      <w:r>
        <w:t xml:space="preserve"> </w:t>
      </w:r>
      <w:r>
        <w:t xml:space="preserve">(Pā. 2-1-4) the sūtra is split at</w:t>
      </w:r>
      <w:r>
        <w:t xml:space="preserve"> </w:t>
      </w:r>
      <w:r>
        <w:rPr>
          <w:iCs/>
          <w:i/>
        </w:rPr>
        <w:t xml:space="preserve">saha</w:t>
      </w:r>
      <w:r>
        <w:t xml:space="preserve">, so the</w:t>
      </w:r>
      <w:r>
        <w:t xml:space="preserve"> </w:t>
      </w:r>
      <w:r>
        <w:rPr>
          <w:iCs/>
          <w:i/>
        </w:rPr>
        <w:t xml:space="preserve">āṅ</w:t>
      </w:r>
      <w:r>
        <w:t xml:space="preserve"> </w:t>
      </w:r>
      <w:r>
        <w:t xml:space="preserve">is compounded with the</w:t>
      </w:r>
      <w:r>
        <w:t xml:space="preserve"> </w:t>
      </w:r>
      <w:r>
        <w:rPr>
          <w:iCs/>
          <w:i/>
        </w:rPr>
        <w:t xml:space="preserve">tiṅanta</w:t>
      </w:r>
      <w:r>
        <w:t xml:space="preserve">; the final-udātta of</w:t>
      </w:r>
      <w:r>
        <w:t xml:space="preserve"> </w:t>
      </w:r>
      <w:r>
        <w:t xml:space="preserve">“</w:t>
      </w:r>
      <w:r>
        <w:t xml:space="preserve">samāsasya</w:t>
      </w:r>
      <w:r>
        <w:t xml:space="preserve">”</w:t>
      </w:r>
      <w:r>
        <w:t xml:space="preserve"> </w:t>
      </w:r>
      <w:r>
        <w:t xml:space="preserve">(Pā. 6-1-223) would arise, but</w:t>
      </w:r>
      <w:r>
        <w:t xml:space="preserve"> </w:t>
      </w:r>
      <w:r>
        <w:t xml:space="preserve">“</w:t>
      </w:r>
      <w:r>
        <w:t xml:space="preserve">parādiś chandasi bahulam</w:t>
      </w:r>
      <w:r>
        <w:t xml:space="preserve">”</w:t>
      </w:r>
      <w:r>
        <w:t xml:space="preserve"> </w:t>
      </w:r>
      <w:r>
        <w:t xml:space="preserve">(printed</w:t>
      </w:r>
      <w:r>
        <w:t xml:space="preserve"> </w:t>
      </w:r>
      <w:r>
        <w:t xml:space="preserve">“</w:t>
      </w:r>
      <w:r>
        <w:t xml:space="preserve">6-2-19</w:t>
      </w:r>
      <w:r>
        <w:t xml:space="preserve">”</w:t>
      </w:r>
      <w:r>
        <w:t xml:space="preserve"> </w:t>
      </w:r>
      <w:r>
        <w:t xml:space="preserve">[sic]; the sūtra is 6-2-199) sets it aside and makes the first syllable of the second member udātta.</w:t>
      </w:r>
      <w:r>
        <w:t xml:space="preserve"> </w:t>
      </w:r>
      <w:r>
        <w:rPr>
          <w:bCs/>
          <w:b/>
        </w:rPr>
        <w:t xml:space="preserve">तस्मै (</w:t>
      </w:r>
      <w:r>
        <w:rPr>
          <w:iCs/>
          <w:i/>
          <w:bCs/>
          <w:b/>
        </w:rPr>
        <w:t xml:space="preserve">tasmai</w:t>
      </w:r>
      <w:r>
        <w:rPr>
          <w:bCs/>
          <w:b/>
        </w:rPr>
        <w:t xml:space="preserve">)</w:t>
      </w:r>
      <w:r>
        <w:t xml:space="preserve"> </w:t>
      </w:r>
      <w:r>
        <w:t xml:space="preserve">—</w:t>
      </w:r>
      <w:r>
        <w:t xml:space="preserve"> </w:t>
      </w:r>
      <w:r>
        <w:t xml:space="preserve">“</w:t>
      </w:r>
      <w:r>
        <w:t xml:space="preserve">karmaṇā yam abhipraiti sa sampradānam</w:t>
      </w:r>
      <w:r>
        <w:t xml:space="preserve">”</w:t>
      </w:r>
      <w:r>
        <w:t xml:space="preserve"> </w:t>
      </w:r>
      <w:r>
        <w:t xml:space="preserve">(Pā. 1-4-32): the one the doer wishes to connect with the object of the act of giving takes the name of the</w:t>
      </w:r>
      <w:r>
        <w:t xml:space="preserve"> </w:t>
      </w:r>
      <w:r>
        <w:rPr>
          <w:iCs/>
          <w:i/>
        </w:rPr>
        <w:t xml:space="preserve">kāraka</w:t>
      </w:r>
      <w:r>
        <w:t xml:space="preserve"> </w:t>
      </w:r>
      <w:r>
        <w:rPr>
          <w:iCs/>
          <w:i/>
        </w:rPr>
        <w:t xml:space="preserve">sampradāna</w:t>
      </w:r>
      <w:r>
        <w:t xml:space="preserve"> </w:t>
      </w:r>
      <w:r>
        <w:t xml:space="preserve">— in effect, the one for whom the thing given is meant. On this sūtra the Bhāṣyakāra says</w:t>
      </w:r>
      <w:r>
        <w:t xml:space="preserve"> </w:t>
      </w:r>
      <w:r>
        <w:t xml:space="preserve">“</w:t>
      </w:r>
      <w:r>
        <w:t xml:space="preserve">kriyāgrahaṇaṃ kartavyam</w:t>
      </w:r>
      <w:r>
        <w:t xml:space="preserve">”</w:t>
      </w:r>
      <w:r>
        <w:t xml:space="preserve"> </w:t>
      </w:r>
      <w:r>
        <w:t xml:space="preserve">(printed</w:t>
      </w:r>
      <w:r>
        <w:t xml:space="preserve"> </w:t>
      </w:r>
      <w:r>
        <w:t xml:space="preserve">“</w:t>
      </w:r>
      <w:r>
        <w:t xml:space="preserve">pā. sū. ma. 1-4-32-1</w:t>
      </w:r>
      <w:r>
        <w:t xml:space="preserve">”</w:t>
      </w:r>
      <w:r>
        <w:t xml:space="preserve">): the vārttika means that the one for whom an action is meant takes the name</w:t>
      </w:r>
      <w:r>
        <w:t xml:space="preserve"> </w:t>
      </w:r>
      <w:r>
        <w:rPr>
          <w:iCs/>
          <w:i/>
        </w:rPr>
        <w:t xml:space="preserve">sampradāna</w:t>
      </w:r>
      <w:r>
        <w:t xml:space="preserve">. Here, since</w:t>
      </w:r>
      <w:r>
        <w:t xml:space="preserve"> </w:t>
      </w:r>
      <w:r>
        <w:rPr>
          <w:iCs/>
          <w:i/>
        </w:rPr>
        <w:t xml:space="preserve">tat</w:t>
      </w:r>
      <w:r>
        <w:t xml:space="preserve"> </w:t>
      </w:r>
      <w:r>
        <w:t xml:space="preserve">is the one for whom the act of making happy, expressed by the root</w:t>
      </w:r>
      <w:r>
        <w:t xml:space="preserve"> </w:t>
      </w:r>
      <w:r>
        <w:rPr>
          <w:iCs/>
          <w:i/>
        </w:rPr>
        <w:t xml:space="preserve">mṛḍaya</w:t>
      </w:r>
      <w:r>
        <w:t xml:space="preserve">, is meant, it is</w:t>
      </w:r>
      <w:r>
        <w:t xml:space="preserve"> </w:t>
      </w:r>
      <w:r>
        <w:rPr>
          <w:iCs/>
          <w:i/>
        </w:rPr>
        <w:t xml:space="preserve">sampradāna</w:t>
      </w:r>
      <w:r>
        <w:t xml:space="preserve">, and</w:t>
      </w:r>
      <w:r>
        <w:t xml:space="preserve"> </w:t>
      </w:r>
      <w:r>
        <w:t xml:space="preserve">“</w:t>
      </w:r>
      <w:r>
        <w:t xml:space="preserve">caturthī sampradāne</w:t>
      </w:r>
      <w:r>
        <w:t xml:space="preserve">”</w:t>
      </w:r>
      <w:r>
        <w:t xml:space="preserve"> </w:t>
      </w:r>
      <w:r>
        <w:t xml:space="preserve">(printed</w:t>
      </w:r>
      <w:r>
        <w:t xml:space="preserve"> </w:t>
      </w:r>
      <w:r>
        <w:t xml:space="preserve">“</w:t>
      </w:r>
      <w:r>
        <w:t xml:space="preserve">5-2-3-1-13</w:t>
      </w:r>
      <w:r>
        <w:t xml:space="preserve">”</w:t>
      </w:r>
      <w:r>
        <w:t xml:space="preserve"> </w:t>
      </w:r>
      <w:r>
        <w:t xml:space="preserve">[sic]; the sūtra is 2-3-13) gives the dative.</w:t>
      </w:r>
      <w:r>
        <w:t xml:space="preserve"> </w:t>
      </w:r>
      <w:r>
        <w:rPr>
          <w:bCs/>
          <w:b/>
        </w:rPr>
        <w:t xml:space="preserve">मृळय (</w:t>
      </w:r>
      <w:r>
        <w:rPr>
          <w:iCs/>
          <w:i/>
          <w:bCs/>
          <w:b/>
        </w:rPr>
        <w:t xml:space="preserve">mṛḷaya</w:t>
      </w:r>
      <w:r>
        <w:rPr>
          <w:bCs/>
          <w:b/>
        </w:rPr>
        <w:t xml:space="preserve">)</w:t>
      </w:r>
      <w:r>
        <w:t xml:space="preserve"> </w:t>
      </w:r>
      <w:r>
        <w:t xml:space="preserve">— root</w:t>
      </w:r>
      <w:r>
        <w:t xml:space="preserve"> </w:t>
      </w:r>
      <w:r>
        <w:rPr>
          <w:iCs/>
          <w:i/>
        </w:rPr>
        <w:t xml:space="preserve">mṛḍa sukhane</w:t>
      </w:r>
      <w:r>
        <w:t xml:space="preserve">,</w:t>
      </w:r>
      <w:r>
        <w:t xml:space="preserve"> </w:t>
      </w:r>
      <w:r>
        <w:rPr>
          <w:iCs/>
          <w:i/>
        </w:rPr>
        <w:t xml:space="preserve">ṇic</w:t>
      </w:r>
      <w:r>
        <w:t xml:space="preserve">-ending;</w:t>
      </w:r>
      <w:r>
        <w:t xml:space="preserve"> </w:t>
      </w:r>
      <w:r>
        <w:rPr>
          <w:iCs/>
          <w:i/>
        </w:rPr>
        <w:t xml:space="preserve">loṭ</w:t>
      </w:r>
      <w:r>
        <w:t xml:space="preserve">, second singular</w:t>
      </w:r>
      <w:r>
        <w:t xml:space="preserve"> </w:t>
      </w:r>
      <w:r>
        <w:rPr>
          <w:iCs/>
          <w:i/>
        </w:rPr>
        <w:t xml:space="preserve">sip</w:t>
      </w:r>
      <w:r>
        <w:t xml:space="preserve">, replaced by</w:t>
      </w:r>
      <w:r>
        <w:t xml:space="preserve"> </w:t>
      </w:r>
      <w:r>
        <w:rPr>
          <w:iCs/>
          <w:i/>
        </w:rPr>
        <w:t xml:space="preserve">hi</w:t>
      </w:r>
      <w:r>
        <w:t xml:space="preserve">; the vikaraṇa</w:t>
      </w:r>
      <w:r>
        <w:t xml:space="preserve"> </w:t>
      </w:r>
      <w:r>
        <w:rPr>
          <w:iCs/>
          <w:i/>
        </w:rPr>
        <w:t xml:space="preserve">śap</w:t>
      </w:r>
      <w:r>
        <w:t xml:space="preserve">,</w:t>
      </w:r>
      <w:r>
        <w:t xml:space="preserve"> </w:t>
      </w:r>
      <w:r>
        <w:rPr>
          <w:iCs/>
          <w:i/>
        </w:rPr>
        <w:t xml:space="preserve">guṇa</w:t>
      </w:r>
      <w:r>
        <w:t xml:space="preserve">,</w:t>
      </w:r>
      <w:r>
        <w:t xml:space="preserve"> </w:t>
      </w:r>
      <w:r>
        <w:rPr>
          <w:iCs/>
          <w:i/>
        </w:rPr>
        <w:t xml:space="preserve">ay</w:t>
      </w:r>
      <w:r>
        <w:t xml:space="preserve">;</w:t>
      </w:r>
      <w:r>
        <w:t xml:space="preserve"> </w:t>
      </w:r>
      <w:r>
        <w:rPr>
          <w:iCs/>
          <w:i/>
        </w:rPr>
        <w:t xml:space="preserve">hi</w:t>
      </w:r>
      <w:r>
        <w:t xml:space="preserve"> </w:t>
      </w:r>
      <w:r>
        <w:t xml:space="preserve">dropped by</w:t>
      </w:r>
      <w:r>
        <w:t xml:space="preserve"> </w:t>
      </w:r>
      <w:r>
        <w:t xml:space="preserve">“</w:t>
      </w:r>
      <w:r>
        <w:t xml:space="preserve">ato heḥ</w:t>
      </w:r>
      <w:r>
        <w:t xml:space="preserve">”</w:t>
      </w:r>
      <w:r>
        <w:t xml:space="preserve"> </w:t>
      </w:r>
      <w:r>
        <w:t xml:space="preserve">(Pā. 6-4-105);</w:t>
      </w:r>
      <w:r>
        <w:t xml:space="preserve"> </w:t>
      </w:r>
      <w:r>
        <w:rPr>
          <w:iCs/>
          <w:i/>
        </w:rPr>
        <w:t xml:space="preserve">ḷ</w:t>
      </w:r>
      <w:r>
        <w:t xml:space="preserve"> </w:t>
      </w:r>
      <w:r>
        <w:t xml:space="preserve">for the</w:t>
      </w:r>
      <w:r>
        <w:t xml:space="preserve"> </w:t>
      </w:r>
      <w:r>
        <w:rPr>
          <w:iCs/>
          <w:i/>
        </w:rPr>
        <w:t xml:space="preserve">ḍ</w:t>
      </w:r>
      <w:r>
        <w:t xml:space="preserve">:</w:t>
      </w:r>
      <w:r>
        <w:t xml:space="preserve"> </w:t>
      </w:r>
      <w:r>
        <w:rPr>
          <w:iCs/>
          <w:i/>
        </w:rPr>
        <w:t xml:space="preserve">mṛḷaya</w:t>
      </w:r>
      <w:r>
        <w:t xml:space="preserve">.</w:t>
      </w:r>
    </w:p>
    <w:p>
      <w:pPr>
        <w:pStyle w:val="BodyText"/>
      </w:pPr>
      <w:r>
        <w:rPr>
          <w:bCs/>
          <w:b/>
        </w:rPr>
        <w:t xml:space="preserve">॥९॥</w:t>
      </w:r>
    </w:p>
    <w:bookmarkEnd w:id="540"/>
    <w:bookmarkStart w:id="541" w:name="page-516-sūkta-12-rik-10"/>
    <w:p>
      <w:pPr>
        <w:pStyle w:val="Heading3"/>
      </w:pPr>
      <w:r>
        <w:t xml:space="preserve">Page 516 — Sūkta 12, Rik 10</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स नः॑ पावक दीदि॒वो ऽग्ने॑ दे॒वाँ इ॒हा व॑ह ।</w:t>
      </w:r>
      <w:r>
        <w:t xml:space="preserve"> </w:t>
      </w:r>
      <w:r>
        <w:t xml:space="preserve">उप॑ य॒ज्ञं ह॒विश्च॑ नः ॥१०॥</w:t>
      </w:r>
    </w:p>
    <w:p>
      <w:pPr>
        <w:pStyle w:val="BlockText"/>
      </w:pPr>
      <w:r>
        <w:rPr>
          <w:iCs/>
          <w:i/>
        </w:rPr>
        <w:t xml:space="preserve">sá naḥ pāvaka dīdivó ’gne devā́m̐ ihā́ vaha |</w:t>
      </w:r>
      <w:r>
        <w:t xml:space="preserve"> </w:t>
      </w:r>
      <w:r>
        <w:rPr>
          <w:iCs/>
          <w:i/>
        </w:rPr>
        <w:t xml:space="preserve">úpa yajñáṃ havíś ca naḥ ||10||</w:t>
      </w:r>
    </w:p>
    <w:p>
      <w:pPr>
        <w:pStyle w:val="FirstParagraph"/>
      </w:pPr>
      <w:r>
        <w:rPr>
          <w:bCs/>
          <w:b/>
        </w:rPr>
        <w:t xml:space="preserve">॥ Pada-pāṭhaḥ ॥</w:t>
      </w:r>
    </w:p>
    <w:p>
      <w:pPr>
        <w:pStyle w:val="BlockText"/>
      </w:pPr>
      <w:r>
        <w:t xml:space="preserve">सः । नः । पावक । दीदिवः । अग्ने । देवान् । इह । आ । वह ॥</w:t>
      </w:r>
      <w:r>
        <w:t xml:space="preserve"> </w:t>
      </w:r>
      <w:r>
        <w:t xml:space="preserve">उप । यज्ञम् । हविः । च । नः ॥१०॥</w:t>
      </w:r>
    </w:p>
    <w:p>
      <w:pPr>
        <w:pStyle w:val="BlockText"/>
      </w:pPr>
      <w:r>
        <w:rPr>
          <w:iCs/>
          <w:i/>
        </w:rPr>
        <w:t xml:space="preserve">saḥ | naḥ | pāvaka | dīdivaḥ | agne | devān | iha | ā | vaha ||</w:t>
      </w:r>
      <w:r>
        <w:t xml:space="preserve"> </w:t>
      </w:r>
      <w:r>
        <w:rPr>
          <w:iCs/>
          <w:i/>
        </w:rPr>
        <w:t xml:space="preserve">upa | yajñam | haviḥ | ca | naḥ ||10||</w:t>
      </w:r>
    </w:p>
    <w:p>
      <w:pPr>
        <w:pStyle w:val="FirstParagraph"/>
      </w:pPr>
      <w:r>
        <w:rPr>
          <w:bCs/>
          <w:b/>
        </w:rPr>
        <w:t xml:space="preserve">॥ Sāyaṇa-bhāṣyam ॥</w:t>
      </w:r>
    </w:p>
    <w:p>
      <w:pPr>
        <w:pStyle w:val="BlockText"/>
      </w:pPr>
      <w:r>
        <w:t xml:space="preserve">पवमानेष्टावग्नेः पावकस्यानुवाक्या स नः पावक दीदिव इति । पौर्णमासेनेष्टिपशुसोमा उपदिष्टा इति खण्डे सूत्रितम् । स नः पावक दीदिवो ऽग्ने पावक रोचिषा । आ. २-१ । इति ॥</w:t>
      </w:r>
    </w:p>
    <w:p>
      <w:pPr>
        <w:pStyle w:val="BlockText"/>
      </w:pPr>
      <w:r>
        <w:rPr>
          <w:iCs/>
          <w:i/>
        </w:rPr>
        <w:t xml:space="preserve">pavamāneṣṭāvagneḥ pāvakasyānuvākyā sa naḥ pāvaka dīdiva iti | paurṇamāseneṣṭipaśusomā upadiṣṭā iti khaṇḍe sūtritam | sa naḥ pāvaka dīdivo ’gne pāvaka rociṣā | ā. 2-1 | iti ||</w:t>
      </w:r>
    </w:p>
    <w:p>
      <w:pPr>
        <w:pStyle w:val="BlockText"/>
      </w:pPr>
      <w:r>
        <w:t xml:space="preserve">हे दीदिवो दीप्यमान पावक शोधकाग्ने स त्वं नो ऽस्मदर्थमिह देवयजनदेशे देवाना वह । ततो नो ऽस्मदीयं यज्ञं तत्रत्यं हविश्चोप देवसमीपे प्रापयेति शेषः ॥ दीदिवः । दिवु क्रीडादौ । छन्दसि लुङ्लङ्लिट इति वर्तमाने लिट् । क्वसुः । द्विर्भावो हलादिशेषः । तुजादीनां दीर्घो ऽभ्यासस्येत्यभ्यासस्य दीर्घत्वम् । वस्वेकाजाद्घसामिति नियमाद्वसोरिट्प्रतिषेधः । लोपो व्योर्वलीति वकारलोपः । संबुद्धावुगिदचामित्यादिना नुम् । हल्ङ्यादिलोपः संयोगान्तलोपः । मतुवसोरिति रुत्वम् । विसर्गः । अग्ने । पादादित्वान्न निघातः । देवाँ इहेत्यत्र दीर्घादटि समानपाद इति रुत्वम् । आतो ऽटि नित्यमित्याकारस्यानुनासिकः । भोभगोअघोअपूर्वस्य यो ऽशीति रोर्यकारः । लोपः शाकल्यस्येति यकारलोपः । तस्यासिद्धत्वादाद्गुणो न भवति । इह । इदमो हः । पा. ५-३-११ । इति सप्तम्यन्ताद्धप्रत्ययः । इदम इश् । पा. ५-३-३ । तद्धितान्तत्वात्प्रातिपदिकत्वे सुपो धातुप्रातिपदिकयोः । पा. २-४-७१ । इति सप्तम्या लुक् । तद्धितश्चासर्वविभक्तिः । पा. १-१-३८ । इत्यव्ययसंज्ञायामव्ययादाप्सुपः । पा. २-४-८२ । इत्युत्तरस्याः सप्तम्या लुक् । चकारः प्रत्ययस्वरेणोदात्तः ॥</w:t>
      </w:r>
    </w:p>
    <w:p>
      <w:pPr>
        <w:pStyle w:val="BlockText"/>
      </w:pPr>
      <w:r>
        <w:rPr>
          <w:iCs/>
          <w:i/>
        </w:rPr>
        <w:t xml:space="preserve">he dīdivo dīpyamāna pāvaka śodhakāgne sa tvaṃ no ’smadarthamiha devayajanadeśe devānā vaha | tato no ’smadīyaṃ yajñaṃ tatratyaṃ haviścopa devasamīpe prāpayeti śeṣaḥ || dīdivaḥ | divu krīḍādau | chandasi luṅlaṅliṭa iti vartamāne liṭ | kvasuḥ | dvirbhāvo halādiśeṣaḥ | tujādīnāṃ dīrgho ’bhyāsasyetyabhyāsasya dīrghatvam | vasvekājādghasāmiti niyamādvasoriṭpratiṣedhaḥ | lopo vyorvalīti vakāralopaḥ | saṃbuddhāvugidacāmityādinā num | halṅyādilopaḥ saṃyogāntalopaḥ | matuvasoriti rutvam | visargaḥ | agne | pādāditvānna nighātaḥ | devā~ ihetyatra dīrghādaṭi samānapāda iti rutvam | āto ’ṭi nityamityākārasyānunāsikaḥ | bhobhagoaghoapūrvasya yo ’śīti roryakāraḥ | lopaḥ śākalyasyeti yakāralopaḥ | tasyāsiddhatvādādguṇo na bhavati | iha | idamo haḥ | pā. 5-3-11 | iti saptamyantāddhapratyayaḥ | idama iś | pā. 5-3-3 | taddhitāntatvātprātipadikatve supo dhātuprātipadikayoḥ | pā. 2-4-71 | iti saptamyā luk | taddhitaścāsarvavibhaktiḥ | pā. 1-1-38 | ityavyayasaṃjñāyāmavyayādāpsupaḥ | pā. 2-4-82 | ityuttarasyāḥ saptamyā luk | cakāraḥ pratyayasvareṇodāttaḥ ||</w:t>
      </w:r>
    </w:p>
    <w:p>
      <w:pPr>
        <w:pStyle w:val="FirstParagraph"/>
      </w:pPr>
      <w:r>
        <w:rPr>
          <w:bCs/>
          <w:b/>
        </w:rPr>
        <w:t xml:space="preserve">Translation:</w:t>
      </w:r>
      <w:r>
        <w:t xml:space="preserve"> </w:t>
      </w:r>
      <w:r>
        <w:t xml:space="preserve">“</w:t>
      </w:r>
      <w:r>
        <w:t xml:space="preserve">In the</w:t>
      </w:r>
      <w:r>
        <w:t xml:space="preserve"> </w:t>
      </w:r>
      <w:r>
        <w:rPr>
          <w:iCs/>
          <w:i/>
        </w:rPr>
        <w:t xml:space="preserve">pavamāneṣṭi</w:t>
      </w:r>
      <w:r>
        <w:t xml:space="preserve">, this is the</w:t>
      </w:r>
      <w:r>
        <w:t xml:space="preserve"> </w:t>
      </w:r>
      <w:r>
        <w:rPr>
          <w:iCs/>
          <w:i/>
        </w:rPr>
        <w:t xml:space="preserve">anuvākyā</w:t>
      </w:r>
      <w:r>
        <w:t xml:space="preserve"> </w:t>
      </w:r>
      <w:r>
        <w:t xml:space="preserve">of Agni Pāvaka:</w:t>
      </w:r>
      <w:r>
        <w:t xml:space="preserve"> </w:t>
      </w:r>
      <w:r>
        <w:rPr>
          <w:iCs/>
          <w:i/>
        </w:rPr>
        <w:t xml:space="preserve">sa naḥ pāvaka dīdivaḥ</w:t>
      </w:r>
      <w:r>
        <w:t xml:space="preserve">. In the section</w:t>
      </w:r>
      <w:r>
        <w:t xml:space="preserve"> </w:t>
      </w:r>
      <w:r>
        <w:t xml:space="preserve">‘</w:t>
      </w:r>
      <w:r>
        <w:rPr>
          <w:iCs/>
          <w:i/>
        </w:rPr>
        <w:t xml:space="preserve">paurṇamāseneṣṭi-paśu-somāḥ upadiṣṭāḥ</w:t>
      </w:r>
      <w:r>
        <w:t xml:space="preserve">’</w:t>
      </w:r>
      <w:r>
        <w:t xml:space="preserve"> </w:t>
      </w:r>
      <w:r>
        <w:t xml:space="preserve">it is laid down:</w:t>
      </w:r>
      <w:r>
        <w:t xml:space="preserve"> </w:t>
      </w:r>
      <w:r>
        <w:t xml:space="preserve">‘</w:t>
      </w:r>
      <w:r>
        <w:rPr>
          <w:iCs/>
          <w:i/>
        </w:rPr>
        <w:t xml:space="preserve">sa naḥ pāvaka dīdivo</w:t>
      </w:r>
      <w:r>
        <w:t xml:space="preserve">,</w:t>
      </w:r>
      <w:r>
        <w:t xml:space="preserve"> </w:t>
      </w:r>
      <w:r>
        <w:rPr>
          <w:iCs/>
          <w:i/>
        </w:rPr>
        <w:t xml:space="preserve">agne pāvaka rociṣā</w:t>
      </w:r>
      <w:r>
        <w:t xml:space="preserve">’</w:t>
      </w:r>
      <w:r>
        <w:t xml:space="preserve"> </w:t>
      </w:r>
      <w:r>
        <w:t xml:space="preserve">(Āśv. 2-1). O</w:t>
      </w:r>
      <w:r>
        <w:t xml:space="preserve"> </w:t>
      </w:r>
      <w:r>
        <w:rPr>
          <w:iCs/>
          <w:i/>
        </w:rPr>
        <w:t xml:space="preserve">dīdivaḥ</w:t>
      </w:r>
      <w:r>
        <w:t xml:space="preserve"> </w:t>
      </w:r>
      <w:r>
        <w:t xml:space="preserve">— O blazing, O</w:t>
      </w:r>
      <w:r>
        <w:t xml:space="preserve"> </w:t>
      </w:r>
      <w:r>
        <w:rPr>
          <w:iCs/>
          <w:i/>
        </w:rPr>
        <w:t xml:space="preserve">pāvaka</w:t>
      </w:r>
      <w:r>
        <w:t xml:space="preserve">, O purifying Agni! Being such, bring the gods</w:t>
      </w:r>
      <w:r>
        <w:t xml:space="preserve"> </w:t>
      </w:r>
      <w:r>
        <w:rPr>
          <w:iCs/>
          <w:i/>
        </w:rPr>
        <w:t xml:space="preserve">iha</w:t>
      </w:r>
      <w:r>
        <w:t xml:space="preserve"> </w:t>
      </w:r>
      <w:r>
        <w:t xml:space="preserve">— here, to the sacrificial ground — for our sake; and then convey our sacrifice and the oblation in it to the gods’ presence — so the sentence is to be completed.</w:t>
      </w:r>
      <w:r>
        <w:t xml:space="preserve">”</w:t>
      </w:r>
      <w:r>
        <w:t xml:space="preserve"> </w:t>
      </w:r>
      <w:r>
        <w:t xml:space="preserve">(Grammatical tail:</w:t>
      </w:r>
      <w:r>
        <w:t xml:space="preserve"> </w:t>
      </w:r>
      <w:r>
        <w:rPr>
          <w:iCs/>
          <w:i/>
        </w:rPr>
        <w:t xml:space="preserve">dīdivaḥ</w:t>
      </w:r>
      <w:r>
        <w:t xml:space="preserve"> </w:t>
      </w:r>
      <w:r>
        <w:t xml:space="preserve">—</w:t>
      </w:r>
      <w:r>
        <w:t xml:space="preserve"> </w:t>
      </w:r>
      <w:r>
        <w:rPr>
          <w:iCs/>
          <w:i/>
        </w:rPr>
        <w:t xml:space="preserve">divu krīḍādau</w:t>
      </w:r>
      <w:r>
        <w:t xml:space="preserve">,</w:t>
      </w:r>
      <w:r>
        <w:t xml:space="preserve"> </w:t>
      </w:r>
      <w:r>
        <w:rPr>
          <w:iCs/>
          <w:i/>
        </w:rPr>
        <w:t xml:space="preserve">liṭ</w:t>
      </w:r>
      <w:r>
        <w:t xml:space="preserve"> </w:t>
      </w:r>
      <w:r>
        <w:t xml:space="preserve">in the present sense by</w:t>
      </w:r>
      <w:r>
        <w:t xml:space="preserve"> </w:t>
      </w:r>
      <w:r>
        <w:t xml:space="preserve">“</w:t>
      </w:r>
      <w:r>
        <w:t xml:space="preserve">chandasi luṅ-laṅ-liṭaḥ</w:t>
      </w:r>
      <w:r>
        <w:t xml:space="preserve">”</w:t>
      </w:r>
      <w:r>
        <w:t xml:space="preserve">,</w:t>
      </w:r>
      <w:r>
        <w:t xml:space="preserve"> </w:t>
      </w:r>
      <w:r>
        <w:rPr>
          <w:iCs/>
          <w:i/>
        </w:rPr>
        <w:t xml:space="preserve">kvasu</w:t>
      </w:r>
      <w:r>
        <w:t xml:space="preserve">, doubling,</w:t>
      </w:r>
      <w:r>
        <w:t xml:space="preserve"> </w:t>
      </w:r>
      <w:r>
        <w:t xml:space="preserve">“</w:t>
      </w:r>
      <w:r>
        <w:t xml:space="preserve">halādiḥ śeṣaḥ</w:t>
      </w:r>
      <w:r>
        <w:t xml:space="preserve">”</w:t>
      </w:r>
      <w:r>
        <w:t xml:space="preserve">, the reduplicate lengthened by</w:t>
      </w:r>
      <w:r>
        <w:t xml:space="preserve"> </w:t>
      </w:r>
      <w:r>
        <w:t xml:space="preserve">“</w:t>
      </w:r>
      <w:r>
        <w:t xml:space="preserve">tujādīnāṃ dīrgho ’bhyāsasya</w:t>
      </w:r>
      <w:r>
        <w:t xml:space="preserve">”</w:t>
      </w:r>
      <w:r>
        <w:t xml:space="preserve">,</w:t>
      </w:r>
      <w:r>
        <w:t xml:space="preserve"> </w:t>
      </w:r>
      <w:r>
        <w:rPr>
          <w:iCs/>
          <w:i/>
        </w:rPr>
        <w:t xml:space="preserve">iṭ</w:t>
      </w:r>
      <w:r>
        <w:t xml:space="preserve"> </w:t>
      </w:r>
      <w:r>
        <w:t xml:space="preserve">for</w:t>
      </w:r>
      <w:r>
        <w:t xml:space="preserve"> </w:t>
      </w:r>
      <w:r>
        <w:rPr>
          <w:iCs/>
          <w:i/>
        </w:rPr>
        <w:t xml:space="preserve">vas</w:t>
      </w:r>
      <w:r>
        <w:t xml:space="preserve"> </w:t>
      </w:r>
      <w:r>
        <w:t xml:space="preserve">barred by the restriction</w:t>
      </w:r>
      <w:r>
        <w:t xml:space="preserve"> </w:t>
      </w:r>
      <w:r>
        <w:t xml:space="preserve">“</w:t>
      </w:r>
      <w:r>
        <w:t xml:space="preserve">vasv-ekāj-ād-ghasām</w:t>
      </w:r>
      <w:r>
        <w:t xml:space="preserve">”</w:t>
      </w:r>
      <w:r>
        <w:t xml:space="preserve">, the</w:t>
      </w:r>
      <w:r>
        <w:t xml:space="preserve"> </w:t>
      </w:r>
      <w:r>
        <w:rPr>
          <w:iCs/>
          <w:i/>
        </w:rPr>
        <w:t xml:space="preserve">v</w:t>
      </w:r>
      <w:r>
        <w:t xml:space="preserve"> </w:t>
      </w:r>
      <w:r>
        <w:t xml:space="preserve">dropped by</w:t>
      </w:r>
      <w:r>
        <w:t xml:space="preserve"> </w:t>
      </w:r>
      <w:r>
        <w:t xml:space="preserve">“</w:t>
      </w:r>
      <w:r>
        <w:t xml:space="preserve">lopo vyor vali</w:t>
      </w:r>
      <w:r>
        <w:t xml:space="preserve">”</w:t>
      </w:r>
      <w:r>
        <w:t xml:space="preserve">,</w:t>
      </w:r>
      <w:r>
        <w:t xml:space="preserve"> </w:t>
      </w:r>
      <w:r>
        <w:rPr>
          <w:iCs/>
          <w:i/>
        </w:rPr>
        <w:t xml:space="preserve">num</w:t>
      </w:r>
      <w:r>
        <w:t xml:space="preserve"> </w:t>
      </w:r>
      <w:r>
        <w:t xml:space="preserve">in the vocative, loss of the endings and of the final,</w:t>
      </w:r>
      <w:r>
        <w:t xml:space="preserve"> </w:t>
      </w:r>
      <w:r>
        <w:rPr>
          <w:iCs/>
          <w:i/>
        </w:rPr>
        <w:t xml:space="preserve">ru</w:t>
      </w:r>
      <w:r>
        <w:t xml:space="preserve"> </w:t>
      </w:r>
      <w:r>
        <w:t xml:space="preserve">by</w:t>
      </w:r>
      <w:r>
        <w:t xml:space="preserve"> </w:t>
      </w:r>
      <w:r>
        <w:t xml:space="preserve">“</w:t>
      </w:r>
      <w:r>
        <w:t xml:space="preserve">matuvasoḥ…</w:t>
      </w:r>
      <w:r>
        <w:t xml:space="preserve">”</w:t>
      </w:r>
      <w:r>
        <w:t xml:space="preserve">, visarga;</w:t>
      </w:r>
      <w:r>
        <w:t xml:space="preserve"> </w:t>
      </w:r>
      <w:r>
        <w:rPr>
          <w:iCs/>
          <w:i/>
        </w:rPr>
        <w:t xml:space="preserve">agne</w:t>
      </w:r>
      <w:r>
        <w:t xml:space="preserve"> </w:t>
      </w:r>
      <w:r>
        <w:t xml:space="preserve">— not unaccented, as it begins a pāda;</w:t>
      </w:r>
      <w:r>
        <w:t xml:space="preserve"> </w:t>
      </w:r>
      <w:r>
        <w:rPr>
          <w:iCs/>
          <w:i/>
        </w:rPr>
        <w:t xml:space="preserve">devām̐ iha</w:t>
      </w:r>
      <w:r>
        <w:t xml:space="preserve"> </w:t>
      </w:r>
      <w:r>
        <w:t xml:space="preserve">—</w:t>
      </w:r>
      <w:r>
        <w:t xml:space="preserve"> </w:t>
      </w:r>
      <w:r>
        <w:rPr>
          <w:iCs/>
          <w:i/>
        </w:rPr>
        <w:t xml:space="preserve">ru</w:t>
      </w:r>
      <w:r>
        <w:t xml:space="preserve"> </w:t>
      </w:r>
      <w:r>
        <w:t xml:space="preserve">by</w:t>
      </w:r>
      <w:r>
        <w:t xml:space="preserve"> </w:t>
      </w:r>
      <w:r>
        <w:t xml:space="preserve">“</w:t>
      </w:r>
      <w:r>
        <w:t xml:space="preserve">dīrghād aṭi samānapāde</w:t>
      </w:r>
      <w:r>
        <w:t xml:space="preserve">”</w:t>
      </w:r>
      <w:r>
        <w:t xml:space="preserve">, nasalization of the</w:t>
      </w:r>
      <w:r>
        <w:t xml:space="preserve"> </w:t>
      </w:r>
      <w:r>
        <w:rPr>
          <w:iCs/>
          <w:i/>
        </w:rPr>
        <w:t xml:space="preserve">ā</w:t>
      </w:r>
      <w:r>
        <w:t xml:space="preserve"> </w:t>
      </w:r>
      <w:r>
        <w:t xml:space="preserve">by</w:t>
      </w:r>
      <w:r>
        <w:t xml:space="preserve"> </w:t>
      </w:r>
      <w:r>
        <w:t xml:space="preserve">“</w:t>
      </w:r>
      <w:r>
        <w:t xml:space="preserve">āto ’ṭi nityam</w:t>
      </w:r>
      <w:r>
        <w:t xml:space="preserve">”</w:t>
      </w:r>
      <w:r>
        <w:t xml:space="preserve">,</w:t>
      </w:r>
      <w:r>
        <w:t xml:space="preserve"> </w:t>
      </w:r>
      <w:r>
        <w:rPr>
          <w:iCs/>
          <w:i/>
        </w:rPr>
        <w:t xml:space="preserve">y</w:t>
      </w:r>
      <w:r>
        <w:t xml:space="preserve"> </w:t>
      </w:r>
      <w:r>
        <w:t xml:space="preserve">by</w:t>
      </w:r>
      <w:r>
        <w:t xml:space="preserve"> </w:t>
      </w:r>
      <w:r>
        <w:t xml:space="preserve">“</w:t>
      </w:r>
      <w:r>
        <w:t xml:space="preserve">bho-bhago…</w:t>
      </w:r>
      <w:r>
        <w:t xml:space="preserve">”</w:t>
      </w:r>
      <w:r>
        <w:t xml:space="preserve">, dropped by</w:t>
      </w:r>
      <w:r>
        <w:t xml:space="preserve"> </w:t>
      </w:r>
      <w:r>
        <w:t xml:space="preserve">“</w:t>
      </w:r>
      <w:r>
        <w:t xml:space="preserve">lopaḥ śākalyasya</w:t>
      </w:r>
      <w:r>
        <w:t xml:space="preserve">”</w:t>
      </w:r>
      <w:r>
        <w:t xml:space="preserve">, and since that loss is</w:t>
      </w:r>
      <w:r>
        <w:t xml:space="preserve"> </w:t>
      </w:r>
      <w:r>
        <w:rPr>
          <w:iCs/>
          <w:i/>
        </w:rPr>
        <w:t xml:space="preserve">asiddha</w:t>
      </w:r>
      <w:r>
        <w:t xml:space="preserve"> </w:t>
      </w:r>
      <w:r>
        <w:t xml:space="preserve">there is no</w:t>
      </w:r>
      <w:r>
        <w:t xml:space="preserve"> </w:t>
      </w:r>
      <w:r>
        <w:rPr>
          <w:iCs/>
          <w:i/>
        </w:rPr>
        <w:t xml:space="preserve">guṇa</w:t>
      </w:r>
      <w:r>
        <w:t xml:space="preserve"> </w:t>
      </w:r>
      <w:r>
        <w:t xml:space="preserve">of</w:t>
      </w:r>
      <w:r>
        <w:t xml:space="preserve"> </w:t>
      </w:r>
      <w:r>
        <w:rPr>
          <w:iCs/>
          <w:i/>
        </w:rPr>
        <w:t xml:space="preserve">ā</w:t>
      </w:r>
      <w:r>
        <w:t xml:space="preserve"> </w:t>
      </w:r>
      <w:r>
        <w:t xml:space="preserve">+</w:t>
      </w:r>
      <w:r>
        <w:t xml:space="preserve"> </w:t>
      </w:r>
      <w:r>
        <w:rPr>
          <w:iCs/>
          <w:i/>
        </w:rPr>
        <w:t xml:space="preserve">i</w:t>
      </w:r>
      <w:r>
        <w:t xml:space="preserve">;</w:t>
      </w:r>
      <w:r>
        <w:t xml:space="preserve"> </w:t>
      </w:r>
      <w:r>
        <w:rPr>
          <w:iCs/>
          <w:i/>
        </w:rPr>
        <w:t xml:space="preserve">iha</w:t>
      </w:r>
      <w:r>
        <w:t xml:space="preserve"> </w:t>
      </w:r>
      <w:r>
        <w:t xml:space="preserve">—</w:t>
      </w:r>
      <w:r>
        <w:t xml:space="preserve"> </w:t>
      </w:r>
      <w:r>
        <w:rPr>
          <w:iCs/>
          <w:i/>
        </w:rPr>
        <w:t xml:space="preserve">ha</w:t>
      </w:r>
      <w:r>
        <w:t xml:space="preserve"> </w:t>
      </w:r>
      <w:r>
        <w:t xml:space="preserve">in the locative sense after</w:t>
      </w:r>
      <w:r>
        <w:t xml:space="preserve"> </w:t>
      </w:r>
      <w:r>
        <w:rPr>
          <w:iCs/>
          <w:i/>
        </w:rPr>
        <w:t xml:space="preserve">idam</w:t>
      </w:r>
      <w:r>
        <w:t xml:space="preserve"> </w:t>
      </w:r>
      <w:r>
        <w:t xml:space="preserve">by</w:t>
      </w:r>
      <w:r>
        <w:t xml:space="preserve"> </w:t>
      </w:r>
      <w:r>
        <w:t xml:space="preserve">“</w:t>
      </w:r>
      <w:r>
        <w:t xml:space="preserve">idamo haḥ</w:t>
      </w:r>
      <w:r>
        <w:t xml:space="preserve">”</w:t>
      </w:r>
      <w:r>
        <w:t xml:space="preserve"> </w:t>
      </w:r>
      <w:r>
        <w:t xml:space="preserve">(Pā. 5-3-11),</w:t>
      </w:r>
      <w:r>
        <w:t xml:space="preserve"> </w:t>
      </w:r>
      <w:r>
        <w:rPr>
          <w:iCs/>
          <w:i/>
        </w:rPr>
        <w:t xml:space="preserve">iś</w:t>
      </w:r>
      <w:r>
        <w:t xml:space="preserve"> </w:t>
      </w:r>
      <w:r>
        <w:t xml:space="preserve">for</w:t>
      </w:r>
      <w:r>
        <w:t xml:space="preserve"> </w:t>
      </w:r>
      <w:r>
        <w:rPr>
          <w:iCs/>
          <w:i/>
        </w:rPr>
        <w:t xml:space="preserve">idam</w:t>
      </w:r>
      <w:r>
        <w:t xml:space="preserve"> </w:t>
      </w:r>
      <w:r>
        <w:t xml:space="preserve">(Pā. 5-3-3), as a</w:t>
      </w:r>
      <w:r>
        <w:t xml:space="preserve"> </w:t>
      </w:r>
      <w:r>
        <w:rPr>
          <w:iCs/>
          <w:i/>
        </w:rPr>
        <w:t xml:space="preserve">taddhita</w:t>
      </w:r>
      <w:r>
        <w:t xml:space="preserve">-ending stem the locative is dropped (Pā. 2-4-71), it is an indeclinable by</w:t>
      </w:r>
      <w:r>
        <w:t xml:space="preserve"> </w:t>
      </w:r>
      <w:r>
        <w:t xml:space="preserve">“</w:t>
      </w:r>
      <w:r>
        <w:t xml:space="preserve">taddhitaś cāsarvavibhaktiḥ</w:t>
      </w:r>
      <w:r>
        <w:t xml:space="preserve">”</w:t>
      </w:r>
      <w:r>
        <w:t xml:space="preserve"> </w:t>
      </w:r>
      <w:r>
        <w:t xml:space="preserve">(Pā. 1-1-38), and the following locative is dropped by</w:t>
      </w:r>
      <w:r>
        <w:t xml:space="preserve"> </w:t>
      </w:r>
      <w:r>
        <w:t xml:space="preserve">“</w:t>
      </w:r>
      <w:r>
        <w:t xml:space="preserve">avyayād āp-supaḥ</w:t>
      </w:r>
      <w:r>
        <w:t xml:space="preserve">”</w:t>
      </w:r>
      <w:r>
        <w:t xml:space="preserve"> </w:t>
      </w:r>
      <w:r>
        <w:t xml:space="preserve">(Pā. 2-4-82); the</w:t>
      </w:r>
      <w:r>
        <w:t xml:space="preserve"> </w:t>
      </w:r>
      <w:r>
        <w:t xml:space="preserve">“</w:t>
      </w:r>
      <w:r>
        <w:rPr>
          <w:iCs/>
          <w:i/>
        </w:rPr>
        <w:t xml:space="preserve">c</w:t>
      </w:r>
      <w:r>
        <w:t xml:space="preserve">”</w:t>
      </w:r>
      <w:r>
        <w:t xml:space="preserve"> </w:t>
      </w:r>
      <w:r>
        <w:t xml:space="preserve">[sic, as printed:</w:t>
      </w:r>
      <w:r>
        <w:t xml:space="preserve"> </w:t>
      </w:r>
      <w:r>
        <w:rPr>
          <w:iCs/>
          <w:i/>
        </w:rPr>
        <w:t xml:space="preserve">cakāraḥ</w:t>
      </w:r>
      <w:r>
        <w:t xml:space="preserve">] is udātta by the suffix accent.)</w:t>
      </w:r>
    </w:p>
    <w:bookmarkEnd w:id="541"/>
    <w:bookmarkStart w:id="542" w:name="Xa7ec21e5e18b93357d68861e366951300f5748c"/>
    <w:p>
      <w:pPr>
        <w:pStyle w:val="Heading3"/>
      </w:pPr>
      <w:r>
        <w:t xml:space="preserve">Page 517 — Rik 10: word-meanings, overall sense, English, Special Topics</w:t>
      </w:r>
    </w:p>
    <w:p>
      <w:pPr>
        <w:pStyle w:val="FirstParagraph"/>
      </w:pPr>
      <w:r>
        <w:rPr>
          <w:bCs/>
          <w:b/>
        </w:rPr>
        <w:t xml:space="preserve">॥ Prati-padārthaḥ ॥</w:t>
      </w:r>
    </w:p>
    <w:p>
      <w:pPr>
        <w:pStyle w:val="BodyText"/>
      </w:pPr>
      <w:r>
        <w:rPr>
          <w:bCs/>
          <w:b/>
        </w:rPr>
        <w:t xml:space="preserve">दीदिवः (dīdivaḥ)</w:t>
      </w:r>
      <w:r>
        <w:t xml:space="preserve"> </w:t>
      </w:r>
      <w:r>
        <w:t xml:space="preserve">— shining |</w:t>
      </w:r>
      <w:r>
        <w:t xml:space="preserve"> </w:t>
      </w:r>
      <w:r>
        <w:rPr>
          <w:bCs/>
          <w:b/>
        </w:rPr>
        <w:t xml:space="preserve">(हे) पावक ((he) pāvaka)</w:t>
      </w:r>
      <w:r>
        <w:t xml:space="preserve"> </w:t>
      </w:r>
      <w:r>
        <w:t xml:space="preserve">— O Agni, who purifies |</w:t>
      </w:r>
      <w:r>
        <w:t xml:space="preserve"> </w:t>
      </w:r>
      <w:r>
        <w:rPr>
          <w:bCs/>
          <w:b/>
        </w:rPr>
        <w:t xml:space="preserve">सः (saḥ)</w:t>
      </w:r>
      <w:r>
        <w:t xml:space="preserve"> </w:t>
      </w:r>
      <w:r>
        <w:t xml:space="preserve">— such as you are |</w:t>
      </w:r>
      <w:r>
        <w:t xml:space="preserve"> </w:t>
      </w:r>
      <w:r>
        <w:rPr>
          <w:bCs/>
          <w:b/>
        </w:rPr>
        <w:t xml:space="preserve">नः (naḥ)</w:t>
      </w:r>
      <w:r>
        <w:t xml:space="preserve"> </w:t>
      </w:r>
      <w:r>
        <w:t xml:space="preserve">— to us (on our behalf) |</w:t>
      </w:r>
      <w:r>
        <w:t xml:space="preserve"> </w:t>
      </w:r>
      <w:r>
        <w:rPr>
          <w:bCs/>
          <w:b/>
        </w:rPr>
        <w:t xml:space="preserve">इह (iha)</w:t>
      </w:r>
      <w:r>
        <w:t xml:space="preserve"> </w:t>
      </w:r>
      <w:r>
        <w:t xml:space="preserve">— to this sacrificial ground |</w:t>
      </w:r>
      <w:r>
        <w:t xml:space="preserve"> </w:t>
      </w:r>
      <w:r>
        <w:rPr>
          <w:bCs/>
          <w:b/>
        </w:rPr>
        <w:t xml:space="preserve">देवान् (devān)</w:t>
      </w:r>
      <w:r>
        <w:t xml:space="preserve"> </w:t>
      </w:r>
      <w:r>
        <w:t xml:space="preserve">— the gods |</w:t>
      </w:r>
      <w:r>
        <w:t xml:space="preserve"> </w:t>
      </w:r>
      <w:r>
        <w:rPr>
          <w:bCs/>
          <w:b/>
        </w:rPr>
        <w:t xml:space="preserve">आ वह (ā vaha)</w:t>
      </w:r>
      <w:r>
        <w:t xml:space="preserve"> </w:t>
      </w:r>
      <w:r>
        <w:t xml:space="preserve">— bring |</w:t>
      </w:r>
      <w:r>
        <w:t xml:space="preserve"> </w:t>
      </w:r>
      <w:r>
        <w:rPr>
          <w:iCs/>
          <w:i/>
        </w:rPr>
        <w:t xml:space="preserve">(and then)</w:t>
      </w:r>
      <w:r>
        <w:t xml:space="preserve"> </w:t>
      </w:r>
      <w:r>
        <w:rPr>
          <w:bCs/>
          <w:b/>
        </w:rPr>
        <w:t xml:space="preserve">नः (naḥ)</w:t>
      </w:r>
      <w:r>
        <w:t xml:space="preserve"> </w:t>
      </w:r>
      <w:r>
        <w:t xml:space="preserve">— our |</w:t>
      </w:r>
      <w:r>
        <w:t xml:space="preserve"> </w:t>
      </w:r>
      <w:r>
        <w:rPr>
          <w:bCs/>
          <w:b/>
        </w:rPr>
        <w:t xml:space="preserve">यज्ञम् (yajñam)</w:t>
      </w:r>
      <w:r>
        <w:t xml:space="preserve"> </w:t>
      </w:r>
      <w:r>
        <w:t xml:space="preserve">— sacrifice |</w:t>
      </w:r>
      <w:r>
        <w:t xml:space="preserve"> </w:t>
      </w:r>
      <w:r>
        <w:rPr>
          <w:bCs/>
          <w:b/>
        </w:rPr>
        <w:t xml:space="preserve">हविः च (haviḥ ca)</w:t>
      </w:r>
      <w:r>
        <w:t xml:space="preserve"> </w:t>
      </w:r>
      <w:r>
        <w:t xml:space="preserve">— and the oblation we offer |</w:t>
      </w:r>
      <w:r>
        <w:t xml:space="preserve"> </w:t>
      </w:r>
      <w:r>
        <w:rPr>
          <w:bCs/>
          <w:b/>
        </w:rPr>
        <w:t xml:space="preserve">उप (upa)</w:t>
      </w:r>
      <w:r>
        <w:t xml:space="preserve"> </w:t>
      </w:r>
      <w:r>
        <w:t xml:space="preserve">— to the gods’ side |</w:t>
      </w:r>
      <w:r>
        <w:t xml:space="preserve"> </w:t>
      </w:r>
      <w:r>
        <w:rPr>
          <w:iCs/>
          <w:i/>
        </w:rPr>
        <w:t xml:space="preserve">(carry it so that it reaches them)</w:t>
      </w:r>
      <w:r>
        <w:t xml:space="preserve">.</w:t>
      </w:r>
    </w:p>
    <w:p>
      <w:pPr>
        <w:pStyle w:val="BodyText"/>
      </w:pPr>
      <w:r>
        <w:rPr>
          <w:bCs/>
          <w:b/>
        </w:rPr>
        <w:t xml:space="preserve">॥ Bhāvārthaḥ ॥</w:t>
      </w:r>
    </w:p>
    <w:p>
      <w:pPr>
        <w:pStyle w:val="BodyText"/>
      </w:pPr>
      <w:r>
        <w:t xml:space="preserve">O Agni! You blaze and shine; you purify all. Such as you are, bring the gods to this sacrificial ground that we are making, and make the sacrifice we perform for the gods, and the oblation we offer them, go and reach them.</w:t>
      </w:r>
    </w:p>
    <w:p>
      <w:pPr>
        <w:pStyle w:val="BodyText"/>
      </w:pPr>
      <w:r>
        <w:rPr>
          <w:bCs/>
          <w:b/>
        </w:rPr>
        <w:t xml:space="preserve">॥ English Translation ॥</w:t>
      </w:r>
      <w:r>
        <w:t xml:space="preserve"> </w:t>
      </w:r>
      <w:r>
        <w:rPr>
          <w:iCs/>
          <w:i/>
        </w:rPr>
        <w:t xml:space="preserve">(as printed in the source)</w:t>
      </w:r>
    </w:p>
    <w:p>
      <w:pPr>
        <w:pStyle w:val="BlockText"/>
      </w:pPr>
      <w:r>
        <w:t xml:space="preserve">O Agni, resplendent and purifier, conduct the gods hither to us, to our sacrifice and to our oblations.</w:t>
      </w:r>
    </w:p>
    <w:p>
      <w:pPr>
        <w:pStyle w:val="FirstParagraph"/>
      </w:pPr>
      <w:r>
        <w:rPr>
          <w:bCs/>
          <w:b/>
        </w:rPr>
        <w:t xml:space="preserve">॥ Viśeṣa-viṣayagaḷu (Special Topics) ॥</w:t>
      </w:r>
    </w:p>
    <w:p>
      <w:pPr>
        <w:pStyle w:val="BodyText"/>
      </w:pPr>
      <w:r>
        <w:t xml:space="preserve">The application of this rik: in the</w:t>
      </w:r>
      <w:r>
        <w:t xml:space="preserve"> </w:t>
      </w:r>
      <w:r>
        <w:rPr>
          <w:iCs/>
          <w:i/>
        </w:rPr>
        <w:t xml:space="preserve">pavamāneṣṭi</w:t>
      </w:r>
      <w:r>
        <w:t xml:space="preserve"> </w:t>
      </w:r>
      <w:r>
        <w:t xml:space="preserve">— the sacrifice in which Agni named Pāvaka is addressed — this rik is used as the</w:t>
      </w:r>
      <w:r>
        <w:t xml:space="preserve"> </w:t>
      </w:r>
      <w:r>
        <w:rPr>
          <w:iCs/>
          <w:i/>
        </w:rPr>
        <w:t xml:space="preserve">puronuvākyā</w:t>
      </w:r>
      <w:r>
        <w:t xml:space="preserve"> </w:t>
      </w:r>
      <w:r>
        <w:t xml:space="preserve">mantra when making the offering. This is stated in the Āśvalāyana Śrauta-sūtra (Ā. 2-1), in the section beginning</w:t>
      </w:r>
      <w:r>
        <w:t xml:space="preserve"> </w:t>
      </w:r>
      <w:r>
        <w:rPr>
          <w:iCs/>
          <w:i/>
        </w:rPr>
        <w:t xml:space="preserve">paurṇamāseneṣṭi-paśu-somā upadiṣṭāḥ</w:t>
      </w:r>
      <w:r>
        <w:t xml:space="preserve">, where the riks</w:t>
      </w:r>
      <w:r>
        <w:t xml:space="preserve"> </w:t>
      </w:r>
      <w:r>
        <w:rPr>
          <w:iCs/>
          <w:i/>
        </w:rPr>
        <w:t xml:space="preserve">sa naḥ pāvaka dīdivaḥ</w:t>
      </w:r>
      <w:r>
        <w:t xml:space="preserve"> </w:t>
      </w:r>
      <w:r>
        <w:t xml:space="preserve">(Ṛ. Saṃ. 1-12-10) and</w:t>
      </w:r>
      <w:r>
        <w:t xml:space="preserve"> </w:t>
      </w:r>
      <w:r>
        <w:rPr>
          <w:iCs/>
          <w:i/>
        </w:rPr>
        <w:t xml:space="preserve">agne pāvaka rociṣā</w:t>
      </w:r>
      <w:r>
        <w:t xml:space="preserve"> </w:t>
      </w:r>
      <w:r>
        <w:t xml:space="preserve">(Ṛ. Saṃ. 5-26-1) are to be recited as the</w:t>
      </w:r>
      <w:r>
        <w:t xml:space="preserve"> </w:t>
      </w:r>
      <w:r>
        <w:rPr>
          <w:iCs/>
          <w:i/>
        </w:rPr>
        <w:t xml:space="preserve">yājyā</w:t>
      </w:r>
      <w:r>
        <w:t xml:space="preserve"> </w:t>
      </w:r>
      <w:r>
        <w:t xml:space="preserve">and</w:t>
      </w:r>
      <w:r>
        <w:t xml:space="preserve"> </w:t>
      </w:r>
      <w:r>
        <w:rPr>
          <w:iCs/>
          <w:i/>
        </w:rPr>
        <w:t xml:space="preserve">puronuvākyā</w:t>
      </w:r>
      <w:r>
        <w:t xml:space="preserve"> </w:t>
      </w:r>
      <w:r>
        <w:t xml:space="preserve">riks respectively.</w:t>
      </w:r>
    </w:p>
    <w:p>
      <w:pPr>
        <w:pStyle w:val="BodyText"/>
      </w:pPr>
      <w:r>
        <w:rPr>
          <w:bCs/>
          <w:b/>
        </w:rPr>
        <w:t xml:space="preserve">॥ Vyākaraṇa-prakriyā ॥</w:t>
      </w:r>
      <w:r>
        <w:t xml:space="preserve"> </w:t>
      </w:r>
      <w:r>
        <w:rPr>
          <w:iCs/>
          <w:i/>
        </w:rPr>
        <w:t xml:space="preserve">(grammar pages 517–519, noted briefly; numbers checked against the print)</w:t>
      </w:r>
    </w:p>
    <w:p>
      <w:pPr>
        <w:pStyle w:val="BodyText"/>
      </w:pPr>
      <w:r>
        <w:rPr>
          <w:bCs/>
          <w:b/>
        </w:rPr>
        <w:t xml:space="preserve">दीदिवः (</w:t>
      </w:r>
      <w:r>
        <w:rPr>
          <w:iCs/>
          <w:i/>
          <w:bCs/>
          <w:b/>
        </w:rPr>
        <w:t xml:space="preserve">dīdivaḥ</w:t>
      </w:r>
      <w:r>
        <w:rPr>
          <w:bCs/>
          <w:b/>
        </w:rPr>
        <w:t xml:space="preserve">)</w:t>
      </w:r>
      <w:r>
        <w:t xml:space="preserve"> </w:t>
      </w:r>
      <w:r>
        <w:t xml:space="preserve">— root</w:t>
      </w:r>
      <w:r>
        <w:t xml:space="preserve"> </w:t>
      </w:r>
      <w:r>
        <w:rPr>
          <w:iCs/>
          <w:i/>
        </w:rPr>
        <w:t xml:space="preserve">divu krīḍā-vijigīṣā-vyavahāra-dyuti-moda-mada-svapna-kānti-gatiṣu</w:t>
      </w:r>
      <w:r>
        <w:t xml:space="preserve">; after it, by</w:t>
      </w:r>
      <w:r>
        <w:t xml:space="preserve"> </w:t>
      </w:r>
      <w:r>
        <w:t xml:space="preserve">“</w:t>
      </w:r>
      <w:r>
        <w:t xml:space="preserve">chandasi luṅ-laṅ-liṭaḥ</w:t>
      </w:r>
      <w:r>
        <w:t xml:space="preserve">”</w:t>
      </w:r>
      <w:r>
        <w:t xml:space="preserve"> </w:t>
      </w:r>
      <w:r>
        <w:t xml:space="preserve">(Pā. 3-4-6),</w:t>
      </w:r>
      <w:r>
        <w:t xml:space="preserve"> </w:t>
      </w:r>
      <w:r>
        <w:rPr>
          <w:iCs/>
          <w:i/>
        </w:rPr>
        <w:t xml:space="preserve">liṭ</w:t>
      </w:r>
      <w:r>
        <w:t xml:space="preserve"> </w:t>
      </w:r>
      <w:r>
        <w:t xml:space="preserve">in the present sense;</w:t>
      </w:r>
      <w:r>
        <w:t xml:space="preserve"> </w:t>
      </w:r>
      <w:r>
        <w:rPr>
          <w:iCs/>
          <w:i/>
        </w:rPr>
        <w:t xml:space="preserve">kvasu</w:t>
      </w:r>
      <w:r>
        <w:t xml:space="preserve"> </w:t>
      </w:r>
      <w:r>
        <w:t xml:space="preserve">for it by</w:t>
      </w:r>
      <w:r>
        <w:t xml:space="preserve"> </w:t>
      </w:r>
      <w:r>
        <w:t xml:space="preserve">“</w:t>
      </w:r>
      <w:r>
        <w:t xml:space="preserve">kvasuś ca</w:t>
      </w:r>
      <w:r>
        <w:t xml:space="preserve">”</w:t>
      </w:r>
      <w:r>
        <w:t xml:space="preserve"> </w:t>
      </w:r>
      <w:r>
        <w:t xml:space="preserve">(Pā. 3-2-107); doubling by</w:t>
      </w:r>
      <w:r>
        <w:t xml:space="preserve"> </w:t>
      </w:r>
      <w:r>
        <w:t xml:space="preserve">“</w:t>
      </w:r>
      <w:r>
        <w:t xml:space="preserve">liṭi dhātor anabhyāsasya</w:t>
      </w:r>
      <w:r>
        <w:t xml:space="preserve">”</w:t>
      </w:r>
      <w:r>
        <w:t xml:space="preserve"> </w:t>
      </w:r>
      <w:r>
        <w:t xml:space="preserve">(Pā. 6-1-8);</w:t>
      </w:r>
      <w:r>
        <w:t xml:space="preserve"> </w:t>
      </w:r>
      <w:r>
        <w:t xml:space="preserve">“</w:t>
      </w:r>
      <w:r>
        <w:t xml:space="preserve">halādiḥ śeṣaḥ</w:t>
      </w:r>
      <w:r>
        <w:t xml:space="preserve">”</w:t>
      </w:r>
      <w:r>
        <w:t xml:space="preserve"> </w:t>
      </w:r>
      <w:r>
        <w:t xml:space="preserve">(printed</w:t>
      </w:r>
      <w:r>
        <w:t xml:space="preserve"> </w:t>
      </w:r>
      <w:r>
        <w:t xml:space="preserve">“</w:t>
      </w:r>
      <w:r>
        <w:t xml:space="preserve">7-4-69</w:t>
      </w:r>
      <w:r>
        <w:t xml:space="preserve">”</w:t>
      </w:r>
      <w:r>
        <w:t xml:space="preserve"> </w:t>
      </w:r>
      <w:r>
        <w:t xml:space="preserve">[?]) removes the</w:t>
      </w:r>
      <w:r>
        <w:t xml:space="preserve"> </w:t>
      </w:r>
      <w:r>
        <w:rPr>
          <w:iCs/>
          <w:i/>
        </w:rPr>
        <w:t xml:space="preserve">v</w:t>
      </w:r>
      <w:r>
        <w:t xml:space="preserve"> </w:t>
      </w:r>
      <w:r>
        <w:t xml:space="preserve">of the reduplicate;</w:t>
      </w:r>
      <w:r>
        <w:t xml:space="preserve"> </w:t>
      </w:r>
      <w:r>
        <w:t xml:space="preserve">“</w:t>
      </w:r>
      <w:r>
        <w:t xml:space="preserve">tujādīnāṃ dīrgho ’bhyāsasya</w:t>
      </w:r>
      <w:r>
        <w:t xml:space="preserve">”</w:t>
      </w:r>
      <w:r>
        <w:t xml:space="preserve"> </w:t>
      </w:r>
      <w:r>
        <w:t xml:space="preserve">(Pā. 6-1-7) lengthens the reduplicate:</w:t>
      </w:r>
    </w:p>
    <w:bookmarkEnd w:id="542"/>
    <w:bookmarkStart w:id="543" w:name="page-518-rik-10-grammar-continued"/>
    <w:p>
      <w:pPr>
        <w:pStyle w:val="Heading3"/>
      </w:pPr>
      <w:r>
        <w:t xml:space="preserve">Page 518 — Rik 10 grammar (continued)</w:t>
      </w:r>
    </w:p>
    <w:p>
      <w:pPr>
        <w:pStyle w:val="FirstParagraph"/>
      </w:pPr>
      <w:r>
        <w:rPr>
          <w:iCs/>
          <w:i/>
        </w:rPr>
        <w:t xml:space="preserve">dīdiv</w:t>
      </w:r>
      <w:r>
        <w:t xml:space="preserve"> </w:t>
      </w:r>
      <w:r>
        <w:t xml:space="preserve">+</w:t>
      </w:r>
      <w:r>
        <w:t xml:space="preserve"> </w:t>
      </w:r>
      <w:r>
        <w:rPr>
          <w:iCs/>
          <w:i/>
        </w:rPr>
        <w:t xml:space="preserve">vas</w:t>
      </w:r>
      <w:r>
        <w:t xml:space="preserve">. Now</w:t>
      </w:r>
      <w:r>
        <w:t xml:space="preserve"> </w:t>
      </w:r>
      <w:r>
        <w:t xml:space="preserve">“</w:t>
      </w:r>
      <w:r>
        <w:t xml:space="preserve">ārdhadhātukasyeḍ valādeḥ</w:t>
      </w:r>
      <w:r>
        <w:t xml:space="preserve">”</w:t>
      </w:r>
      <w:r>
        <w:t xml:space="preserve"> </w:t>
      </w:r>
      <w:r>
        <w:t xml:space="preserve">(Pā. 7-2-35) would give the augment</w:t>
      </w:r>
      <w:r>
        <w:t xml:space="preserve"> </w:t>
      </w:r>
      <w:r>
        <w:rPr>
          <w:iCs/>
          <w:i/>
        </w:rPr>
        <w:t xml:space="preserve">iṭ</w:t>
      </w:r>
      <w:r>
        <w:t xml:space="preserve">, but by the restriction</w:t>
      </w:r>
      <w:r>
        <w:t xml:space="preserve"> </w:t>
      </w:r>
      <w:r>
        <w:t xml:space="preserve">“</w:t>
      </w:r>
      <w:r>
        <w:t xml:space="preserve">vasv-ekāj-ād-ghasām</w:t>
      </w:r>
      <w:r>
        <w:t xml:space="preserve">”</w:t>
      </w:r>
      <w:r>
        <w:t xml:space="preserve"> </w:t>
      </w:r>
      <w:r>
        <w:t xml:space="preserve">(7-2-67) it does not come.</w:t>
      </w:r>
      <w:r>
        <w:t xml:space="preserve"> </w:t>
      </w:r>
      <w:r>
        <w:t xml:space="preserve">“</w:t>
      </w:r>
      <w:r>
        <w:t xml:space="preserve">lopo vyor vali</w:t>
      </w:r>
      <w:r>
        <w:t xml:space="preserve">”</w:t>
      </w:r>
      <w:r>
        <w:t xml:space="preserve"> </w:t>
      </w:r>
      <w:r>
        <w:t xml:space="preserve">(Pā. 6-1-66) drops the</w:t>
      </w:r>
      <w:r>
        <w:t xml:space="preserve"> </w:t>
      </w:r>
      <w:r>
        <w:rPr>
          <w:iCs/>
          <w:i/>
        </w:rPr>
        <w:t xml:space="preserve">v</w:t>
      </w:r>
      <w:r>
        <w:t xml:space="preserve"> </w:t>
      </w:r>
      <w:r>
        <w:t xml:space="preserve">in the second part; to</w:t>
      </w:r>
      <w:r>
        <w:t xml:space="preserve"> </w:t>
      </w:r>
      <w:r>
        <w:rPr>
          <w:iCs/>
          <w:i/>
        </w:rPr>
        <w:t xml:space="preserve">dīdivas</w:t>
      </w:r>
      <w:r>
        <w:t xml:space="preserve"> </w:t>
      </w:r>
      <w:r>
        <w:t xml:space="preserve">the vocative singular</w:t>
      </w:r>
      <w:r>
        <w:t xml:space="preserve"> </w:t>
      </w:r>
      <w:r>
        <w:rPr>
          <w:iCs/>
          <w:i/>
        </w:rPr>
        <w:t xml:space="preserve">su</w:t>
      </w:r>
      <w:r>
        <w:t xml:space="preserve"> </w:t>
      </w:r>
      <w:r>
        <w:t xml:space="preserve">is added;</w:t>
      </w:r>
      <w:r>
        <w:t xml:space="preserve"> </w:t>
      </w:r>
      <w:r>
        <w:t xml:space="preserve">“</w:t>
      </w:r>
      <w:r>
        <w:t xml:space="preserve">ugid-acāṃ sarvanāmasthāne ’dhātoḥ</w:t>
      </w:r>
      <w:r>
        <w:t xml:space="preserve">”</w:t>
      </w:r>
      <w:r>
        <w:t xml:space="preserve"> </w:t>
      </w:r>
      <w:r>
        <w:t xml:space="preserve">(printed</w:t>
      </w:r>
      <w:r>
        <w:t xml:space="preserve"> </w:t>
      </w:r>
      <w:r>
        <w:t xml:space="preserve">“</w:t>
      </w:r>
      <w:r>
        <w:t xml:space="preserve">Pā. su. 6-1-70</w:t>
      </w:r>
      <w:r>
        <w:t xml:space="preserve">”</w:t>
      </w:r>
      <w:r>
        <w:t xml:space="preserve"> </w:t>
      </w:r>
      <w:r>
        <w:t xml:space="preserve">[sic]; the sūtra is 7-1-70) [gives</w:t>
      </w:r>
      <w:r>
        <w:t xml:space="preserve"> </w:t>
      </w:r>
      <w:r>
        <w:rPr>
          <w:iCs/>
          <w:i/>
        </w:rPr>
        <w:t xml:space="preserve">num</w:t>
      </w:r>
      <w:r>
        <w:t xml:space="preserve">];</w:t>
      </w:r>
      <w:r>
        <w:t xml:space="preserve"> </w:t>
      </w:r>
      <w:r>
        <w:rPr>
          <w:iCs/>
          <w:i/>
        </w:rPr>
        <w:t xml:space="preserve">su</w:t>
      </w:r>
      <w:r>
        <w:t xml:space="preserve"> </w:t>
      </w:r>
      <w:r>
        <w:t xml:space="preserve">dropped [by</w:t>
      </w:r>
      <w:r>
        <w:t xml:space="preserve"> </w:t>
      </w:r>
      <w:r>
        <w:t xml:space="preserve">“</w:t>
      </w:r>
      <w:r>
        <w:t xml:space="preserve">hal-ṅyābbhyaḥ</w:t>
      </w:r>
      <w:r>
        <w:t xml:space="preserve">”</w:t>
      </w:r>
      <w:r>
        <w:t xml:space="preserve">];</w:t>
      </w:r>
      <w:r>
        <w:t xml:space="preserve"> </w:t>
      </w:r>
      <w:r>
        <w:t xml:space="preserve">“</w:t>
      </w:r>
      <w:r>
        <w:t xml:space="preserve">saṃyogāntasya lopaḥ</w:t>
      </w:r>
      <w:r>
        <w:t xml:space="preserve">”</w:t>
      </w:r>
      <w:r>
        <w:t xml:space="preserve"> </w:t>
      </w:r>
      <w:r>
        <w:t xml:space="preserve">(Pā. 8-2-23) drops the</w:t>
      </w:r>
      <w:r>
        <w:t xml:space="preserve"> </w:t>
      </w:r>
      <w:r>
        <w:rPr>
          <w:iCs/>
          <w:i/>
        </w:rPr>
        <w:t xml:space="preserve">s</w:t>
      </w:r>
      <w:r>
        <w:t xml:space="preserve">; it is a</w:t>
      </w:r>
      <w:r>
        <w:t xml:space="preserve"> </w:t>
      </w:r>
      <w:r>
        <w:rPr>
          <w:iCs/>
          <w:i/>
        </w:rPr>
        <w:t xml:space="preserve">vas</w:t>
      </w:r>
      <w:r>
        <w:t xml:space="preserve">-ending stem, so</w:t>
      </w:r>
      <w:r>
        <w:t xml:space="preserve"> </w:t>
      </w:r>
      <w:r>
        <w:t xml:space="preserve">“</w:t>
      </w:r>
      <w:r>
        <w:t xml:space="preserve">matuvaso ru saṃbuddhau chandasi</w:t>
      </w:r>
      <w:r>
        <w:t xml:space="preserve">”</w:t>
      </w:r>
      <w:r>
        <w:t xml:space="preserve"> </w:t>
      </w:r>
      <w:r>
        <w:t xml:space="preserve">gives</w:t>
      </w:r>
      <w:r>
        <w:t xml:space="preserve"> </w:t>
      </w:r>
      <w:r>
        <w:rPr>
          <w:iCs/>
          <w:i/>
        </w:rPr>
        <w:t xml:space="preserve">ru</w:t>
      </w:r>
      <w:r>
        <w:t xml:space="preserve"> </w:t>
      </w:r>
      <w:r>
        <w:t xml:space="preserve">for the</w:t>
      </w:r>
      <w:r>
        <w:t xml:space="preserve"> </w:t>
      </w:r>
      <w:r>
        <w:rPr>
          <w:iCs/>
          <w:i/>
        </w:rPr>
        <w:t xml:space="preserve">n</w:t>
      </w:r>
      <w:r>
        <w:t xml:space="preserve">, and</w:t>
      </w:r>
      <w:r>
        <w:t xml:space="preserve"> </w:t>
      </w:r>
      <w:r>
        <w:t xml:space="preserve">“</w:t>
      </w:r>
      <w:r>
        <w:t xml:space="preserve">kharavasānayor visarjanīyaḥ</w:t>
      </w:r>
      <w:r>
        <w:t xml:space="preserve">”</w:t>
      </w:r>
      <w:r>
        <w:t xml:space="preserve"> </w:t>
      </w:r>
      <w:r>
        <w:t xml:space="preserve">(Pā. 8-3-15) the visarga:</w:t>
      </w:r>
      <w:r>
        <w:t xml:space="preserve"> </w:t>
      </w:r>
      <w:r>
        <w:rPr>
          <w:iCs/>
          <w:i/>
        </w:rPr>
        <w:t xml:space="preserve">dīdivaḥ</w:t>
      </w:r>
      <w:r>
        <w:t xml:space="preserve">.</w:t>
      </w:r>
      <w:r>
        <w:t xml:space="preserve"> </w:t>
      </w:r>
      <w:r>
        <w:rPr>
          <w:bCs/>
          <w:b/>
        </w:rPr>
        <w:t xml:space="preserve">अग्ने (</w:t>
      </w:r>
      <w:r>
        <w:rPr>
          <w:iCs/>
          <w:i/>
          <w:bCs/>
          <w:b/>
        </w:rPr>
        <w:t xml:space="preserve">agne</w:t>
      </w:r>
      <w:r>
        <w:rPr>
          <w:bCs/>
          <w:b/>
        </w:rPr>
        <w:t xml:space="preserve">)</w:t>
      </w:r>
      <w:r>
        <w:t xml:space="preserve"> </w:t>
      </w:r>
      <w:r>
        <w:t xml:space="preserve">— it stands at the beginning of the second pāda, so the eighth-chapter loss of accent does not apply.</w:t>
      </w:r>
      <w:r>
        <w:t xml:space="preserve"> </w:t>
      </w:r>
      <w:r>
        <w:rPr>
          <w:bCs/>
          <w:b/>
        </w:rPr>
        <w:t xml:space="preserve">देवाँ इह (</w:t>
      </w:r>
      <w:r>
        <w:rPr>
          <w:iCs/>
          <w:i/>
          <w:bCs/>
          <w:b/>
        </w:rPr>
        <w:t xml:space="preserve">devām̐ iha</w:t>
      </w:r>
      <w:r>
        <w:rPr>
          <w:bCs/>
          <w:b/>
        </w:rPr>
        <w:t xml:space="preserve">)</w:t>
      </w:r>
      <w:r>
        <w:t xml:space="preserve"> </w:t>
      </w:r>
      <w:r>
        <w:t xml:space="preserve">— of</w:t>
      </w:r>
      <w:r>
        <w:t xml:space="preserve"> </w:t>
      </w:r>
      <w:r>
        <w:rPr>
          <w:iCs/>
          <w:i/>
        </w:rPr>
        <w:t xml:space="preserve">deva</w:t>
      </w:r>
      <w:r>
        <w:t xml:space="preserve">, accusative plural</w:t>
      </w:r>
      <w:r>
        <w:t xml:space="preserve"> </w:t>
      </w:r>
      <w:r>
        <w:rPr>
          <w:iCs/>
          <w:i/>
        </w:rPr>
        <w:t xml:space="preserve">devān</w:t>
      </w:r>
      <w:r>
        <w:t xml:space="preserve">. In the Saṃhitā,</w:t>
      </w:r>
      <w:r>
        <w:t xml:space="preserve"> </w:t>
      </w:r>
      <w:r>
        <w:t xml:space="preserve">“</w:t>
      </w:r>
      <w:r>
        <w:t xml:space="preserve">dīrghād aṭi samānapāde</w:t>
      </w:r>
      <w:r>
        <w:t xml:space="preserve">”</w:t>
      </w:r>
      <w:r>
        <w:t xml:space="preserve"> </w:t>
      </w:r>
      <w:r>
        <w:t xml:space="preserve">(Pā. 8-3-9): when the</w:t>
      </w:r>
      <w:r>
        <w:t xml:space="preserve"> </w:t>
      </w:r>
      <w:r>
        <w:rPr>
          <w:iCs/>
          <w:i/>
        </w:rPr>
        <w:t xml:space="preserve">n</w:t>
      </w:r>
      <w:r>
        <w:t xml:space="preserve"> </w:t>
      </w:r>
      <w:r>
        <w:t xml:space="preserve">and the</w:t>
      </w:r>
      <w:r>
        <w:t xml:space="preserve"> </w:t>
      </w:r>
      <w:r>
        <w:rPr>
          <w:iCs/>
          <w:i/>
        </w:rPr>
        <w:t xml:space="preserve">aṭ</w:t>
      </w:r>
      <w:r>
        <w:t xml:space="preserve"> </w:t>
      </w:r>
      <w:r>
        <w:t xml:space="preserve">letter are in the same pāda and the letter before the</w:t>
      </w:r>
      <w:r>
        <w:t xml:space="preserve"> </w:t>
      </w:r>
      <w:r>
        <w:rPr>
          <w:iCs/>
          <w:i/>
        </w:rPr>
        <w:t xml:space="preserve">n</w:t>
      </w:r>
      <w:r>
        <w:t xml:space="preserve"> </w:t>
      </w:r>
      <w:r>
        <w:t xml:space="preserve">is long, the</w:t>
      </w:r>
      <w:r>
        <w:t xml:space="preserve"> </w:t>
      </w:r>
      <w:r>
        <w:rPr>
          <w:iCs/>
          <w:i/>
        </w:rPr>
        <w:t xml:space="preserve">n</w:t>
      </w:r>
      <w:r>
        <w:t xml:space="preserve"> </w:t>
      </w:r>
      <w:r>
        <w:t xml:space="preserve">becomes</w:t>
      </w:r>
      <w:r>
        <w:t xml:space="preserve"> </w:t>
      </w:r>
      <w:r>
        <w:rPr>
          <w:iCs/>
          <w:i/>
        </w:rPr>
        <w:t xml:space="preserve">ru</w:t>
      </w:r>
      <w:r>
        <w:t xml:space="preserve">:</w:t>
      </w:r>
      <w:r>
        <w:t xml:space="preserve"> </w:t>
      </w:r>
      <w:r>
        <w:rPr>
          <w:iCs/>
          <w:i/>
        </w:rPr>
        <w:t xml:space="preserve">devār</w:t>
      </w:r>
      <w:r>
        <w:t xml:space="preserve"> </w:t>
      </w:r>
      <w:r>
        <w:t xml:space="preserve">+</w:t>
      </w:r>
      <w:r>
        <w:t xml:space="preserve"> </w:t>
      </w:r>
      <w:r>
        <w:rPr>
          <w:iCs/>
          <w:i/>
        </w:rPr>
        <w:t xml:space="preserve">iha</w:t>
      </w:r>
      <w:r>
        <w:t xml:space="preserve">.</w:t>
      </w:r>
      <w:r>
        <w:t xml:space="preserve"> </w:t>
      </w:r>
      <w:r>
        <w:t xml:space="preserve">“</w:t>
      </w:r>
      <w:r>
        <w:t xml:space="preserve">āto ’ṭi nityam</w:t>
      </w:r>
      <w:r>
        <w:t xml:space="preserve">”</w:t>
      </w:r>
      <w:r>
        <w:t xml:space="preserve"> </w:t>
      </w:r>
      <w:r>
        <w:t xml:space="preserve">(printed</w:t>
      </w:r>
      <w:r>
        <w:t xml:space="preserve"> </w:t>
      </w:r>
      <w:r>
        <w:t xml:space="preserve">“</w:t>
      </w:r>
      <w:r>
        <w:t xml:space="preserve">8-3-3</w:t>
      </w:r>
      <w:r>
        <w:t xml:space="preserve">”</w:t>
      </w:r>
      <w:r>
        <w:t xml:space="preserve">) then always nasalizes the long</w:t>
      </w:r>
      <w:r>
        <w:t xml:space="preserve"> </w:t>
      </w:r>
      <w:r>
        <w:rPr>
          <w:iCs/>
          <w:i/>
        </w:rPr>
        <w:t xml:space="preserve">ā</w:t>
      </w:r>
      <w:r>
        <w:t xml:space="preserve"> </w:t>
      </w:r>
      <w:r>
        <w:t xml:space="preserve">before the</w:t>
      </w:r>
      <w:r>
        <w:t xml:space="preserve"> </w:t>
      </w:r>
      <w:r>
        <w:rPr>
          <w:iCs/>
          <w:i/>
        </w:rPr>
        <w:t xml:space="preserve">ru</w:t>
      </w:r>
      <w:r>
        <w:t xml:space="preserve"> </w:t>
      </w:r>
      <w:r>
        <w:t xml:space="preserve">when an</w:t>
      </w:r>
      <w:r>
        <w:t xml:space="preserve"> </w:t>
      </w:r>
      <w:r>
        <w:rPr>
          <w:iCs/>
          <w:i/>
        </w:rPr>
        <w:t xml:space="preserve">aṭ</w:t>
      </w:r>
      <w:r>
        <w:t xml:space="preserve"> </w:t>
      </w:r>
      <w:r>
        <w:t xml:space="preserve">letter follows:</w:t>
      </w:r>
      <w:r>
        <w:t xml:space="preserve"> </w:t>
      </w:r>
      <w:r>
        <w:rPr>
          <w:iCs/>
          <w:i/>
        </w:rPr>
        <w:t xml:space="preserve">devām̐r</w:t>
      </w:r>
      <w:r>
        <w:t xml:space="preserve"> </w:t>
      </w:r>
      <w:r>
        <w:t xml:space="preserve">+</w:t>
      </w:r>
      <w:r>
        <w:t xml:space="preserve"> </w:t>
      </w:r>
      <w:r>
        <w:rPr>
          <w:iCs/>
          <w:i/>
        </w:rPr>
        <w:t xml:space="preserve">iha</w:t>
      </w:r>
      <w:r>
        <w:t xml:space="preserve">.</w:t>
      </w:r>
      <w:r>
        <w:t xml:space="preserve"> </w:t>
      </w:r>
      <w:r>
        <w:t xml:space="preserve">“</w:t>
      </w:r>
      <w:r>
        <w:t xml:space="preserve">bho-bhago-agho-apūrvasya yo ’śi</w:t>
      </w:r>
      <w:r>
        <w:t xml:space="preserve">”</w:t>
      </w:r>
      <w:r>
        <w:t xml:space="preserve"> </w:t>
      </w:r>
      <w:r>
        <w:t xml:space="preserve">(Pā. 8-3-17): before an</w:t>
      </w:r>
      <w:r>
        <w:t xml:space="preserve"> </w:t>
      </w:r>
      <w:r>
        <w:rPr>
          <w:iCs/>
          <w:i/>
        </w:rPr>
        <w:t xml:space="preserve">aś</w:t>
      </w:r>
      <w:r>
        <w:t xml:space="preserve"> </w:t>
      </w:r>
      <w:r>
        <w:t xml:space="preserve">letter,</w:t>
      </w:r>
      <w:r>
        <w:t xml:space="preserve"> </w:t>
      </w:r>
      <w:r>
        <w:rPr>
          <w:iCs/>
          <w:i/>
        </w:rPr>
        <w:t xml:space="preserve">ru</w:t>
      </w:r>
      <w:r>
        <w:t xml:space="preserve"> </w:t>
      </w:r>
      <w:r>
        <w:t xml:space="preserve">preceded by</w:t>
      </w:r>
      <w:r>
        <w:t xml:space="preserve"> </w:t>
      </w:r>
      <w:r>
        <w:rPr>
          <w:iCs/>
          <w:i/>
        </w:rPr>
        <w:t xml:space="preserve">bho</w:t>
      </w:r>
      <w:r>
        <w:t xml:space="preserve">,</w:t>
      </w:r>
      <w:r>
        <w:t xml:space="preserve"> </w:t>
      </w:r>
      <w:r>
        <w:rPr>
          <w:iCs/>
          <w:i/>
        </w:rPr>
        <w:t xml:space="preserve">bhago</w:t>
      </w:r>
      <w:r>
        <w:t xml:space="preserve">,</w:t>
      </w:r>
      <w:r>
        <w:t xml:space="preserve"> </w:t>
      </w:r>
      <w:r>
        <w:rPr>
          <w:iCs/>
          <w:i/>
        </w:rPr>
        <w:t xml:space="preserve">agho</w:t>
      </w:r>
      <w:r>
        <w:t xml:space="preserve"> </w:t>
      </w:r>
      <w:r>
        <w:t xml:space="preserve">or an</w:t>
      </w:r>
      <w:r>
        <w:t xml:space="preserve"> </w:t>
      </w:r>
      <w:r>
        <w:rPr>
          <w:iCs/>
          <w:i/>
        </w:rPr>
        <w:t xml:space="preserve">a</w:t>
      </w:r>
      <w:r>
        <w:t xml:space="preserve">-vowel becomes</w:t>
      </w:r>
      <w:r>
        <w:t xml:space="preserve"> </w:t>
      </w:r>
      <w:r>
        <w:rPr>
          <w:iCs/>
          <w:i/>
        </w:rPr>
        <w:t xml:space="preserve">y</w:t>
      </w:r>
      <w:r>
        <w:t xml:space="preserve">:</w:t>
      </w:r>
      <w:r>
        <w:t xml:space="preserve"> </w:t>
      </w:r>
      <w:r>
        <w:rPr>
          <w:iCs/>
          <w:i/>
        </w:rPr>
        <w:t xml:space="preserve">devāy iha</w:t>
      </w:r>
      <w:r>
        <w:t xml:space="preserve">.</w:t>
      </w:r>
      <w:r>
        <w:t xml:space="preserve"> </w:t>
      </w:r>
      <w:r>
        <w:t xml:space="preserve">“</w:t>
      </w:r>
      <w:r>
        <w:t xml:space="preserve">lopaḥ śākalyasya</w:t>
      </w:r>
      <w:r>
        <w:t xml:space="preserve">”</w:t>
      </w:r>
      <w:r>
        <w:t xml:space="preserve"> </w:t>
      </w:r>
      <w:r>
        <w:t xml:space="preserve">(Pā. 8-3-19):</w:t>
      </w:r>
      <w:r>
        <w:t xml:space="preserve"> </w:t>
      </w:r>
      <w:r>
        <w:rPr>
          <w:iCs/>
          <w:i/>
        </w:rPr>
        <w:t xml:space="preserve">y</w:t>
      </w:r>
      <w:r>
        <w:t xml:space="preserve"> </w:t>
      </w:r>
      <w:r>
        <w:t xml:space="preserve">and</w:t>
      </w:r>
      <w:r>
        <w:t xml:space="preserve"> </w:t>
      </w:r>
      <w:r>
        <w:rPr>
          <w:iCs/>
          <w:i/>
        </w:rPr>
        <w:t xml:space="preserve">v</w:t>
      </w:r>
      <w:r>
        <w:t xml:space="preserve"> </w:t>
      </w:r>
      <w:r>
        <w:t xml:space="preserve">preceded by an</w:t>
      </w:r>
      <w:r>
        <w:t xml:space="preserve"> </w:t>
      </w:r>
      <w:r>
        <w:rPr>
          <w:iCs/>
          <w:i/>
        </w:rPr>
        <w:t xml:space="preserve">a</w:t>
      </w:r>
      <w:r>
        <w:t xml:space="preserve">-vowel and at the end of a word are optionally dropped before an</w:t>
      </w:r>
      <w:r>
        <w:t xml:space="preserve"> </w:t>
      </w:r>
      <w:r>
        <w:rPr>
          <w:iCs/>
          <w:i/>
        </w:rPr>
        <w:t xml:space="preserve">aś</w:t>
      </w:r>
      <w:r>
        <w:t xml:space="preserve"> </w:t>
      </w:r>
      <w:r>
        <w:t xml:space="preserve">letter: the</w:t>
      </w:r>
      <w:r>
        <w:t xml:space="preserve"> </w:t>
      </w:r>
      <w:r>
        <w:rPr>
          <w:iCs/>
          <w:i/>
        </w:rPr>
        <w:t xml:space="preserve">y</w:t>
      </w:r>
      <w:r>
        <w:t xml:space="preserve"> </w:t>
      </w:r>
      <w:r>
        <w:t xml:space="preserve">is dropped:</w:t>
      </w:r>
      <w:r>
        <w:t xml:space="preserve"> </w:t>
      </w:r>
      <w:r>
        <w:rPr>
          <w:iCs/>
          <w:i/>
        </w:rPr>
        <w:t xml:space="preserve">devām̐ + iha</w:t>
      </w:r>
      <w:r>
        <w:t xml:space="preserve">. Now</w:t>
      </w:r>
      <w:r>
        <w:t xml:space="preserve"> </w:t>
      </w:r>
      <w:r>
        <w:rPr>
          <w:iCs/>
          <w:i/>
        </w:rPr>
        <w:t xml:space="preserve">ā</w:t>
      </w:r>
      <w:r>
        <w:t xml:space="preserve"> </w:t>
      </w:r>
      <w:r>
        <w:t xml:space="preserve">+</w:t>
      </w:r>
      <w:r>
        <w:t xml:space="preserve"> </w:t>
      </w:r>
      <w:r>
        <w:rPr>
          <w:iCs/>
          <w:i/>
        </w:rPr>
        <w:t xml:space="preserve">i</w:t>
      </w:r>
      <w:r>
        <w:t xml:space="preserve"> </w:t>
      </w:r>
      <w:r>
        <w:t xml:space="preserve">would take</w:t>
      </w:r>
      <w:r>
        <w:t xml:space="preserve"> </w:t>
      </w:r>
      <w:r>
        <w:rPr>
          <w:iCs/>
          <w:i/>
        </w:rPr>
        <w:t xml:space="preserve">guṇa</w:t>
      </w:r>
      <w:r>
        <w:t xml:space="preserve"> </w:t>
      </w:r>
      <w:r>
        <w:t xml:space="preserve">by</w:t>
      </w:r>
      <w:r>
        <w:t xml:space="preserve"> </w:t>
      </w:r>
      <w:r>
        <w:t xml:space="preserve">“</w:t>
      </w:r>
      <w:r>
        <w:t xml:space="preserve">ād guṇaḥ</w:t>
      </w:r>
      <w:r>
        <w:t xml:space="preserve">”</w:t>
      </w:r>
      <w:r>
        <w:t xml:space="preserve"> </w:t>
      </w:r>
      <w:r>
        <w:t xml:space="preserve">(Pā. 6-1-87), but by</w:t>
      </w:r>
      <w:r>
        <w:t xml:space="preserve"> </w:t>
      </w:r>
      <w:r>
        <w:t xml:space="preserve">“</w:t>
      </w:r>
      <w:r>
        <w:t xml:space="preserve">pūrvatrāsiddham</w:t>
      </w:r>
      <w:r>
        <w:t xml:space="preserve">”</w:t>
      </w:r>
      <w:r>
        <w:t xml:space="preserve"> </w:t>
      </w:r>
      <w:r>
        <w:t xml:space="preserve">(Pā. 8-2-1) the loss of</w:t>
      </w:r>
      <w:r>
        <w:t xml:space="preserve"> </w:t>
      </w:r>
      <w:r>
        <w:rPr>
          <w:iCs/>
          <w:i/>
        </w:rPr>
        <w:t xml:space="preserve">y</w:t>
      </w:r>
      <w:r>
        <w:t xml:space="preserve"> </w:t>
      </w:r>
      <w:r>
        <w:t xml:space="preserve">is</w:t>
      </w:r>
      <w:r>
        <w:t xml:space="preserve"> </w:t>
      </w:r>
      <w:r>
        <w:rPr>
          <w:iCs/>
          <w:i/>
        </w:rPr>
        <w:t xml:space="preserve">asiddha</w:t>
      </w:r>
      <w:r>
        <w:t xml:space="preserve"> </w:t>
      </w:r>
      <w:r>
        <w:t xml:space="preserve">when</w:t>
      </w:r>
      <w:r>
        <w:t xml:space="preserve"> </w:t>
      </w:r>
      <w:r>
        <w:rPr>
          <w:iCs/>
          <w:i/>
        </w:rPr>
        <w:t xml:space="preserve">guṇa</w:t>
      </w:r>
      <w:r>
        <w:t xml:space="preserve"> </w:t>
      </w:r>
      <w:r>
        <w:t xml:space="preserve">is to be made, so the</w:t>
      </w:r>
      <w:r>
        <w:t xml:space="preserve"> </w:t>
      </w:r>
      <w:r>
        <w:rPr>
          <w:iCs/>
          <w:i/>
        </w:rPr>
        <w:t xml:space="preserve">ā</w:t>
      </w:r>
      <w:r>
        <w:t xml:space="preserve"> </w:t>
      </w:r>
      <w:r>
        <w:t xml:space="preserve">is followed by</w:t>
      </w:r>
      <w:r>
        <w:t xml:space="preserve"> </w:t>
      </w:r>
      <w:r>
        <w:rPr>
          <w:iCs/>
          <w:i/>
        </w:rPr>
        <w:t xml:space="preserve">y</w:t>
      </w:r>
      <w:r>
        <w:t xml:space="preserve">, not by</w:t>
      </w:r>
      <w:r>
        <w:t xml:space="preserve"> </w:t>
      </w:r>
      <w:r>
        <w:rPr>
          <w:iCs/>
          <w:i/>
        </w:rPr>
        <w:t xml:space="preserve">i</w:t>
      </w:r>
      <w:r>
        <w:t xml:space="preserve">; hence no</w:t>
      </w:r>
      <w:r>
        <w:t xml:space="preserve"> </w:t>
      </w:r>
      <w:r>
        <w:rPr>
          <w:iCs/>
          <w:i/>
        </w:rPr>
        <w:t xml:space="preserve">guṇa</w:t>
      </w:r>
      <w:r>
        <w:t xml:space="preserve">.</w:t>
      </w:r>
      <w:r>
        <w:t xml:space="preserve"> </w:t>
      </w:r>
      <w:r>
        <w:rPr>
          <w:bCs/>
          <w:b/>
        </w:rPr>
        <w:t xml:space="preserve">इह (</w:t>
      </w:r>
      <w:r>
        <w:rPr>
          <w:iCs/>
          <w:i/>
          <w:bCs/>
          <w:b/>
        </w:rPr>
        <w:t xml:space="preserve">iha</w:t>
      </w:r>
      <w:r>
        <w:rPr>
          <w:bCs/>
          <w:b/>
        </w:rPr>
        <w:t xml:space="preserve">)</w:t>
      </w:r>
      <w:r>
        <w:t xml:space="preserve"> </w:t>
      </w:r>
      <w:r>
        <w:t xml:space="preserve">—</w:t>
      </w:r>
      <w:r>
        <w:t xml:space="preserve"> </w:t>
      </w:r>
      <w:r>
        <w:t xml:space="preserve">“</w:t>
      </w:r>
      <w:r>
        <w:t xml:space="preserve">idamo haḥ</w:t>
      </w:r>
      <w:r>
        <w:t xml:space="preserve">”</w:t>
      </w:r>
      <w:r>
        <w:t xml:space="preserve"> </w:t>
      </w:r>
      <w:r>
        <w:t xml:space="preserve">(Pā. 5-3-11): after a locative of</w:t>
      </w:r>
      <w:r>
        <w:t xml:space="preserve"> </w:t>
      </w:r>
      <w:r>
        <w:rPr>
          <w:iCs/>
          <w:i/>
        </w:rPr>
        <w:t xml:space="preserve">idam</w:t>
      </w:r>
      <w:r>
        <w:t xml:space="preserve">, the suffix</w:t>
      </w:r>
      <w:r>
        <w:t xml:space="preserve"> </w:t>
      </w:r>
      <w:r>
        <w:rPr>
          <w:iCs/>
          <w:i/>
        </w:rPr>
        <w:t xml:space="preserve">ha</w:t>
      </w:r>
      <w:r>
        <w:t xml:space="preserve">:</w:t>
      </w:r>
      <w:r>
        <w:t xml:space="preserve"> </w:t>
      </w:r>
      <w:r>
        <w:rPr>
          <w:iCs/>
          <w:i/>
        </w:rPr>
        <w:t xml:space="preserve">idam</w:t>
      </w:r>
      <w:r>
        <w:t xml:space="preserve"> </w:t>
      </w:r>
      <w:r>
        <w:t xml:space="preserve">+</w:t>
      </w:r>
      <w:r>
        <w:t xml:space="preserve"> </w:t>
      </w:r>
      <w:r>
        <w:rPr>
          <w:iCs/>
          <w:i/>
        </w:rPr>
        <w:t xml:space="preserve">ṅi</w:t>
      </w:r>
      <w:r>
        <w:t xml:space="preserve"> </w:t>
      </w:r>
      <w:r>
        <w:t xml:space="preserve">+</w:t>
      </w:r>
      <w:r>
        <w:t xml:space="preserve"> </w:t>
      </w:r>
      <w:r>
        <w:rPr>
          <w:iCs/>
          <w:i/>
        </w:rPr>
        <w:t xml:space="preserve">ha</w:t>
      </w:r>
      <w:r>
        <w:t xml:space="preserve">;</w:t>
      </w:r>
      <w:r>
        <w:t xml:space="preserve"> </w:t>
      </w:r>
      <w:r>
        <w:rPr>
          <w:iCs/>
          <w:i/>
        </w:rPr>
        <w:t xml:space="preserve">idam</w:t>
      </w:r>
      <w:r>
        <w:t xml:space="preserve">,</w:t>
      </w:r>
      <w:r>
        <w:t xml:space="preserve"> </w:t>
      </w:r>
      <w:r>
        <w:rPr>
          <w:iCs/>
          <w:i/>
        </w:rPr>
        <w:t xml:space="preserve">ṅi</w:t>
      </w:r>
      <w:r>
        <w:t xml:space="preserve">,</w:t>
      </w:r>
      <w:r>
        <w:t xml:space="preserve"> </w:t>
      </w:r>
      <w:r>
        <w:rPr>
          <w:iCs/>
          <w:i/>
        </w:rPr>
        <w:t xml:space="preserve">ha</w:t>
      </w:r>
      <w:r>
        <w:t xml:space="preserve"> </w:t>
      </w:r>
      <w:r>
        <w:t xml:space="preserve">being a</w:t>
      </w:r>
      <w:r>
        <w:t xml:space="preserve"> </w:t>
      </w:r>
      <w:r>
        <w:rPr>
          <w:iCs/>
          <w:i/>
        </w:rPr>
        <w:t xml:space="preserve">taddhita</w:t>
      </w:r>
      <w:r>
        <w:t xml:space="preserve">-ending, it is a</w:t>
      </w:r>
      <w:r>
        <w:t xml:space="preserve"> </w:t>
      </w:r>
      <w:r>
        <w:rPr>
          <w:iCs/>
          <w:i/>
        </w:rPr>
        <w:t xml:space="preserve">prātipadika</w:t>
      </w:r>
      <w:r>
        <w:t xml:space="preserve"> </w:t>
      </w:r>
      <w:r>
        <w:t xml:space="preserve">by</w:t>
      </w:r>
      <w:r>
        <w:t xml:space="preserve"> </w:t>
      </w:r>
      <w:r>
        <w:t xml:space="preserve">“</w:t>
      </w:r>
      <w:r>
        <w:t xml:space="preserve">kṛt-taddhita-samāsāś ca</w:t>
      </w:r>
      <w:r>
        <w:t xml:space="preserve">”</w:t>
      </w:r>
      <w:r>
        <w:t xml:space="preserve"> </w:t>
      </w:r>
      <w:r>
        <w:t xml:space="preserve">(Pā. 1-2-46); the</w:t>
      </w:r>
      <w:r>
        <w:t xml:space="preserve"> </w:t>
      </w:r>
      <w:r>
        <w:rPr>
          <w:iCs/>
          <w:i/>
        </w:rPr>
        <w:t xml:space="preserve">sup</w:t>
      </w:r>
      <w:r>
        <w:t xml:space="preserve"> </w:t>
      </w:r>
      <w:r>
        <w:rPr>
          <w:iCs/>
          <w:i/>
        </w:rPr>
        <w:t xml:space="preserve">ṅi</w:t>
      </w:r>
      <w:r>
        <w:t xml:space="preserve"> </w:t>
      </w:r>
      <w:r>
        <w:t xml:space="preserve">inside the</w:t>
      </w:r>
      <w:r>
        <w:t xml:space="preserve"> </w:t>
      </w:r>
      <w:r>
        <w:rPr>
          <w:iCs/>
          <w:i/>
        </w:rPr>
        <w:t xml:space="preserve">prātipadika</w:t>
      </w:r>
      <w:r>
        <w:t xml:space="preserve"> </w:t>
      </w:r>
      <w:r>
        <w:t xml:space="preserve">is dropped by</w:t>
      </w:r>
      <w:r>
        <w:t xml:space="preserve"> </w:t>
      </w:r>
      <w:r>
        <w:t xml:space="preserve">“</w:t>
      </w:r>
      <w:r>
        <w:t xml:space="preserve">supo dhātu-prātipadikayoḥ</w:t>
      </w:r>
      <w:r>
        <w:t xml:space="preserve">”</w:t>
      </w:r>
      <w:r>
        <w:t xml:space="preserve"> </w:t>
      </w:r>
      <w:r>
        <w:t xml:space="preserve">(2-4-71); then</w:t>
      </w:r>
      <w:r>
        <w:t xml:space="preserve"> </w:t>
      </w:r>
      <w:r>
        <w:t xml:space="preserve">“</w:t>
      </w:r>
      <w:r>
        <w:t xml:space="preserve">idam iś</w:t>
      </w:r>
      <w:r>
        <w:t xml:space="preserve">”</w:t>
      </w:r>
      <w:r>
        <w:t xml:space="preserve"> </w:t>
      </w:r>
      <w:r>
        <w:t xml:space="preserve">(printed</w:t>
      </w:r>
      <w:r>
        <w:t xml:space="preserve"> </w:t>
      </w:r>
      <w:r>
        <w:t xml:space="preserve">“</w:t>
      </w:r>
      <w:r>
        <w:t xml:space="preserve">5-33</w:t>
      </w:r>
      <w:r>
        <w:t xml:space="preserve">”</w:t>
      </w:r>
      <w:r>
        <w:t xml:space="preserve"> </w:t>
      </w:r>
      <w:r>
        <w:t xml:space="preserve">[sic]; the sūtra is 5-3-3) gives</w:t>
      </w:r>
      <w:r>
        <w:t xml:space="preserve"> </w:t>
      </w:r>
      <w:r>
        <w:rPr>
          <w:iCs/>
          <w:i/>
        </w:rPr>
        <w:t xml:space="preserve">iś</w:t>
      </w:r>
      <w:r>
        <w:t xml:space="preserve"> </w:t>
      </w:r>
      <w:r>
        <w:t xml:space="preserve">for</w:t>
      </w:r>
      <w:r>
        <w:t xml:space="preserve"> </w:t>
      </w:r>
      <w:r>
        <w:rPr>
          <w:iCs/>
          <w:i/>
        </w:rPr>
        <w:t xml:space="preserve">idam</w:t>
      </w:r>
      <w:r>
        <w:t xml:space="preserve"> </w:t>
      </w:r>
      <w:r>
        <w:t xml:space="preserve">before a</w:t>
      </w:r>
      <w:r>
        <w:t xml:space="preserve"> </w:t>
      </w:r>
      <w:r>
        <w:rPr>
          <w:iCs/>
          <w:i/>
        </w:rPr>
        <w:t xml:space="preserve">prāgdiśīya</w:t>
      </w:r>
      <w:r>
        <w:t xml:space="preserve"> </w:t>
      </w:r>
      <w:r>
        <w:t xml:space="preserve">suffix;</w:t>
      </w:r>
    </w:p>
    <w:bookmarkEnd w:id="543"/>
    <w:bookmarkStart w:id="544" w:name="page-519-rik-10-grammar-closes"/>
    <w:p>
      <w:pPr>
        <w:pStyle w:val="Heading3"/>
      </w:pPr>
      <w:r>
        <w:t xml:space="preserve">Page 519 — Rik 10 grammar closes</w:t>
      </w:r>
    </w:p>
    <w:p>
      <w:pPr>
        <w:pStyle w:val="FirstParagraph"/>
      </w:pPr>
      <w:r>
        <w:t xml:space="preserve">it is</w:t>
      </w:r>
      <w:r>
        <w:t xml:space="preserve"> </w:t>
      </w:r>
      <w:r>
        <w:rPr>
          <w:iCs/>
          <w:i/>
        </w:rPr>
        <w:t xml:space="preserve">śit</w:t>
      </w:r>
      <w:r>
        <w:t xml:space="preserve">, so by</w:t>
      </w:r>
      <w:r>
        <w:t xml:space="preserve"> </w:t>
      </w:r>
      <w:r>
        <w:t xml:space="preserve">“</w:t>
      </w:r>
      <w:r>
        <w:t xml:space="preserve">anekāl śit sarvasya</w:t>
      </w:r>
      <w:r>
        <w:t xml:space="preserve">”</w:t>
      </w:r>
      <w:r>
        <w:t xml:space="preserve"> </w:t>
      </w:r>
      <w:r>
        <w:t xml:space="preserve">(Pā. 1-1-55) it replaces the whole:</w:t>
      </w:r>
      <w:r>
        <w:t xml:space="preserve"> </w:t>
      </w:r>
      <w:r>
        <w:rPr>
          <w:iCs/>
          <w:i/>
        </w:rPr>
        <w:t xml:space="preserve">iha</w:t>
      </w:r>
      <w:r>
        <w:t xml:space="preserve">.</w:t>
      </w:r>
      <w:r>
        <w:t xml:space="preserve"> </w:t>
      </w:r>
      <w:r>
        <w:t xml:space="preserve">“</w:t>
      </w:r>
      <w:r>
        <w:t xml:space="preserve">taddhitaś cāsarvavibhaktiḥ</w:t>
      </w:r>
      <w:r>
        <w:t xml:space="preserve">”</w:t>
      </w:r>
      <w:r>
        <w:t xml:space="preserve"> </w:t>
      </w:r>
      <w:r>
        <w:t xml:space="preserve">(Pā. 1-1-38): a</w:t>
      </w:r>
      <w:r>
        <w:t xml:space="preserve"> </w:t>
      </w:r>
      <w:r>
        <w:rPr>
          <w:iCs/>
          <w:i/>
        </w:rPr>
        <w:t xml:space="preserve">taddhita</w:t>
      </w:r>
      <w:r>
        <w:t xml:space="preserve">-ending after which not all case endings in the three numbers arise, but only those of the singular, is an indeclinable; so</w:t>
      </w:r>
      <w:r>
        <w:t xml:space="preserve"> </w:t>
      </w:r>
      <w:r>
        <w:rPr>
          <w:iCs/>
          <w:i/>
        </w:rPr>
        <w:t xml:space="preserve">iha</w:t>
      </w:r>
      <w:r>
        <w:t xml:space="preserve"> </w:t>
      </w:r>
      <w:r>
        <w:t xml:space="preserve">is an indeclinable, and the locative singular</w:t>
      </w:r>
      <w:r>
        <w:t xml:space="preserve"> </w:t>
      </w:r>
      <w:r>
        <w:rPr>
          <w:iCs/>
          <w:i/>
        </w:rPr>
        <w:t xml:space="preserve">ṅi</w:t>
      </w:r>
      <w:r>
        <w:t xml:space="preserve"> </w:t>
      </w:r>
      <w:r>
        <w:t xml:space="preserve">after it is dropped by</w:t>
      </w:r>
      <w:r>
        <w:t xml:space="preserve"> </w:t>
      </w:r>
      <w:r>
        <w:t xml:space="preserve">“</w:t>
      </w:r>
      <w:r>
        <w:t xml:space="preserve">avyayād āp-supaḥ</w:t>
      </w:r>
      <w:r>
        <w:t xml:space="preserve">”</w:t>
      </w:r>
      <w:r>
        <w:t xml:space="preserve"> </w:t>
      </w:r>
      <w:r>
        <w:t xml:space="preserve">(Pā. 2-4-82). The</w:t>
      </w:r>
      <w:r>
        <w:t xml:space="preserve"> </w:t>
      </w:r>
      <w:r>
        <w:rPr>
          <w:iCs/>
          <w:i/>
        </w:rPr>
        <w:t xml:space="preserve">a</w:t>
      </w:r>
      <w:r>
        <w:t xml:space="preserve"> </w:t>
      </w:r>
      <w:r>
        <w:t xml:space="preserve">is udātta by</w:t>
      </w:r>
      <w:r>
        <w:t xml:space="preserve"> </w:t>
      </w:r>
      <w:r>
        <w:t xml:space="preserve">“</w:t>
      </w:r>
      <w:r>
        <w:t xml:space="preserve">ādyudāttaś ca</w:t>
      </w:r>
      <w:r>
        <w:t xml:space="preserve">”</w:t>
      </w:r>
      <w:r>
        <w:t xml:space="preserve"> </w:t>
      </w:r>
      <w:r>
        <w:t xml:space="preserve">(Pā. 3-1-3).</w:t>
      </w:r>
    </w:p>
    <w:p>
      <w:pPr>
        <w:pStyle w:val="BodyText"/>
      </w:pPr>
      <w:r>
        <w:rPr>
          <w:bCs/>
          <w:b/>
        </w:rPr>
        <w:t xml:space="preserve">॥१०॥</w:t>
      </w:r>
    </w:p>
    <w:p>
      <w:r>
        <w:pict>
          <v:rect style="width:0;height:1.5pt" o:hralign="center" o:hrstd="t" o:hr="t"/>
        </w:pict>
      </w:r>
    </w:p>
    <w:bookmarkEnd w:id="544"/>
    <w:bookmarkStart w:id="545" w:name="page-519-lower-sūkta-12-rik-11"/>
    <w:p>
      <w:pPr>
        <w:pStyle w:val="Heading3"/>
      </w:pPr>
      <w:r>
        <w:t xml:space="preserve">Page 519 (lower) — Sūkta 12, Rik 11</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स नः॒ स्तवा॑न॒ आ भ॑र गाय॒त्रेण॒ नवी॑यसा ।</w:t>
      </w:r>
      <w:r>
        <w:t xml:space="preserve"> </w:t>
      </w:r>
      <w:r>
        <w:t xml:space="preserve">र॒यिं वी॒रव॑ती॒मिषं॑ ॥११॥</w:t>
      </w:r>
    </w:p>
    <w:p>
      <w:pPr>
        <w:pStyle w:val="BlockText"/>
      </w:pPr>
      <w:r>
        <w:rPr>
          <w:iCs/>
          <w:i/>
        </w:rPr>
        <w:t xml:space="preserve">sa naḥ stávāna ā́ bhara gāyatréṇa návīyasā |</w:t>
      </w:r>
      <w:r>
        <w:t xml:space="preserve"> </w:t>
      </w:r>
      <w:r>
        <w:rPr>
          <w:iCs/>
          <w:i/>
        </w:rPr>
        <w:t xml:space="preserve">rayíṃ vīrávatīm íṣaṃ ||11||</w:t>
      </w:r>
    </w:p>
    <w:p>
      <w:pPr>
        <w:pStyle w:val="FirstParagraph"/>
      </w:pPr>
      <w:r>
        <w:rPr>
          <w:bCs/>
          <w:b/>
        </w:rPr>
        <w:t xml:space="preserve">॥ Pada-pāṭhaḥ ॥</w:t>
      </w:r>
    </w:p>
    <w:p>
      <w:pPr>
        <w:pStyle w:val="BlockText"/>
      </w:pPr>
      <w:r>
        <w:t xml:space="preserve">सः । नः । स्तवानः । आ । भर । गायत्रेण । नवीयसा ॥</w:t>
      </w:r>
      <w:r>
        <w:t xml:space="preserve"> </w:t>
      </w:r>
      <w:r>
        <w:t xml:space="preserve">रयिम् । वीरऽवतीम् । इषम् ॥११॥</w:t>
      </w:r>
    </w:p>
    <w:p>
      <w:pPr>
        <w:pStyle w:val="BlockText"/>
      </w:pPr>
      <w:r>
        <w:rPr>
          <w:iCs/>
          <w:i/>
        </w:rPr>
        <w:t xml:space="preserve">saḥ | naḥ | stavānaḥ | ā | bhara | gāyatreṇa | navīyasā ||</w:t>
      </w:r>
      <w:r>
        <w:t xml:space="preserve"> </w:t>
      </w:r>
      <w:r>
        <w:rPr>
          <w:iCs/>
          <w:i/>
        </w:rPr>
        <w:t xml:space="preserve">rayim | vīra-vatīm | iṣam ||11||</w:t>
      </w:r>
    </w:p>
    <w:p>
      <w:pPr>
        <w:pStyle w:val="FirstParagraph"/>
      </w:pPr>
      <w:r>
        <w:rPr>
          <w:bCs/>
          <w:b/>
        </w:rPr>
        <w:t xml:space="preserve">॥ Sāyaṇa-bhāṣyam ॥</w:t>
      </w:r>
      <w:r>
        <w:t xml:space="preserve"> </w:t>
      </w:r>
      <w:r>
        <w:rPr>
          <w:iCs/>
          <w:i/>
        </w:rPr>
        <w:t xml:space="preserve">(runs onto p. 520)</w:t>
      </w:r>
    </w:p>
    <w:p>
      <w:pPr>
        <w:pStyle w:val="BlockText"/>
      </w:pPr>
      <w:r>
        <w:t xml:space="preserve">हे अग्ने नवीयसा नवतरेण पूर्वैरप्यसंपादितेन गायत्रेण गायत्रीच्छन्दस्केनानेन सूक्तेन स्तवानः स्तूयमानः स त्वं नो ऽस्मदर्थं रयिं धनं वीरवतीं शूरपुत्रप्रभृत्यपत्ययुक्तामिषमन्नं चा भर । संपादय ॥ स्तवानः । ष्टुञ् स्तुतौ । धात्वादेः षः सः । स्वरितञित इत्यात्मनेपदम् । लटः शानच् । कर्तरि शप् । बहुलं छन्दसीति लुगभावः । गुणावादेशौ । आने मुक् । पा. ७-२-८२ । इति मुगभावो ऽनित्यमागमशासनमित्यागमानुशासनस्यानित्यत्वात् । शपः पित्त्वादनुदात्तत्वम् । शानचश्चित्त्वादन्तोदात्तस्याप्यदुपदेशाच्छपः परत्वाल्लसार्वधातुकानुदात्तत्वम् । धातुस्वर एव शिष्यते । भर । हृग्रहोर्भश्छन्दसि । पा. ८-२-३२-१ । इति भत्वम् । गायत्रेण । गायत्र्याः संबन्धि गायत्रम् । तस्येदम् । पा. ४-३-१२० । इत्यण्प्रत्ययः । प्रत्ययस्वरः । नवीयसा । नवशब्दादातिशायनिक ईयसुन्प्रत्ययः । नित्त्वादाद्युदात्तः । वीरवतीम् । मतुब्ङीपोः पित्त्वादनुदात्तत्वम् । अकारः प्रातिपदिकस्वरेणोदात्तः ॥</w:t>
      </w:r>
    </w:p>
    <w:p>
      <w:pPr>
        <w:pStyle w:val="BlockText"/>
      </w:pPr>
      <w:r>
        <w:rPr>
          <w:iCs/>
          <w:i/>
        </w:rPr>
        <w:t xml:space="preserve">he agne navīyasā navatareṇa pūrvairapyasaṃpāditena gāyatreṇa gāyatrīcchandaskenānena sūktena stavānaḥ stūyamānaḥ sa tvaṃ no ’smadarthaṃ rayiṃ dhanaṃ vīravatīṃ śūraputraprabhṛtyapatyayuktāmiṣamannaṃ cā bhara | saṃpādaya || stavānaḥ | ṣṭuñ stutau | dhātvādeḥ ṣaḥ saḥ | svaritañita ityātmanepadam | laṭaḥ śānac | kartari śap | bahulaṃ chandasīti lugabhāvaḥ | guṇāvādeśau | āne muk | pā. 7-2-82 | iti mugabhāvo ’nityamāgamaśāsanamityāgamānuśāsanasyānityatvāt | śapaḥ pittvādanudāttatvam | śānacaścittvādantodāttasyāpyadupadeśācchapaḥ paratvāllasārvadhātukānudāttatvam | dhātusvara eva śiṣyate | bhara | hṛgrahorbhaśchandasi | pā. 8-2-32-1 | iti bhatvam | gāyatreṇa | gāyatryāḥ saṃbandhi gāyatram | tasyedam | pā. 4-3-120 | ityaṇpratyayaḥ | pratyayasvaraḥ | navīyasā | navaśabdādātiśāyanika īyasunpratyayaḥ | nittvādādyudāttaḥ | vīravatīm | matubṅīpoḥ pittvādanudāttatvam | akāraḥ prātipadikasvareṇodāttaḥ ||</w:t>
      </w:r>
    </w:p>
    <w:p>
      <w:pPr>
        <w:pStyle w:val="FirstParagraph"/>
      </w:pPr>
      <w:r>
        <w:rPr>
          <w:bCs/>
          <w:b/>
        </w:rPr>
        <w:t xml:space="preserve">Translation:</w:t>
      </w:r>
      <w:r>
        <w:t xml:space="preserve"> </w:t>
      </w:r>
      <w:r>
        <w:t xml:space="preserve">“</w:t>
      </w:r>
      <w:r>
        <w:t xml:space="preserve">O Agni!</w:t>
      </w:r>
      <w:r>
        <w:t xml:space="preserve"> </w:t>
      </w:r>
      <w:r>
        <w:rPr>
          <w:iCs/>
          <w:i/>
        </w:rPr>
        <w:t xml:space="preserve">Stavānaḥ</w:t>
      </w:r>
      <w:r>
        <w:t xml:space="preserve"> </w:t>
      </w:r>
      <w:r>
        <w:t xml:space="preserve">— being praised — by this sūkta in the Gāyatrī meter,</w:t>
      </w:r>
      <w:r>
        <w:t xml:space="preserve"> </w:t>
      </w:r>
      <w:r>
        <w:rPr>
          <w:iCs/>
          <w:i/>
        </w:rPr>
        <w:t xml:space="preserve">gāyatreṇa</w:t>
      </w:r>
      <w:r>
        <w:t xml:space="preserve">,</w:t>
      </w:r>
      <w:r>
        <w:t xml:space="preserve"> </w:t>
      </w:r>
      <w:r>
        <w:rPr>
          <w:iCs/>
          <w:i/>
        </w:rPr>
        <w:t xml:space="preserve">navīyasā</w:t>
      </w:r>
      <w:r>
        <w:t xml:space="preserve"> </w:t>
      </w:r>
      <w:r>
        <w:t xml:space="preserve">— newer, not composed even by earlier [poets] — you, for our sake,</w:t>
      </w:r>
      <w:r>
        <w:t xml:space="preserve"> </w:t>
      </w:r>
      <w:r>
        <w:rPr>
          <w:iCs/>
          <w:i/>
        </w:rPr>
        <w:t xml:space="preserve">ā bhara</w:t>
      </w:r>
      <w:r>
        <w:t xml:space="preserve">: provide</w:t>
      </w:r>
      <w:r>
        <w:t xml:space="preserve"> </w:t>
      </w:r>
      <w:r>
        <w:rPr>
          <w:iCs/>
          <w:i/>
        </w:rPr>
        <w:t xml:space="preserve">rayim</w:t>
      </w:r>
      <w:r>
        <w:t xml:space="preserve">, wealth, and</w:t>
      </w:r>
      <w:r>
        <w:t xml:space="preserve"> </w:t>
      </w:r>
      <w:r>
        <w:rPr>
          <w:iCs/>
          <w:i/>
        </w:rPr>
        <w:t xml:space="preserve">iṣam</w:t>
      </w:r>
      <w:r>
        <w:t xml:space="preserve">, food, that is</w:t>
      </w:r>
      <w:r>
        <w:t xml:space="preserve"> </w:t>
      </w:r>
      <w:r>
        <w:rPr>
          <w:iCs/>
          <w:i/>
        </w:rPr>
        <w:t xml:space="preserve">vīravatīm</w:t>
      </w:r>
      <w:r>
        <w:t xml:space="preserve"> </w:t>
      </w:r>
      <w:r>
        <w:t xml:space="preserve">— accompanied by offspring such as brave sons.</w:t>
      </w:r>
      <w:r>
        <w:t xml:space="preserve">”</w:t>
      </w:r>
      <w:r>
        <w:t xml:space="preserve"> </w:t>
      </w:r>
      <w:r>
        <w:t xml:space="preserve">(Grammatical tail:</w:t>
      </w:r>
      <w:r>
        <w:t xml:space="preserve"> </w:t>
      </w:r>
      <w:r>
        <w:rPr>
          <w:iCs/>
          <w:i/>
        </w:rPr>
        <w:t xml:space="preserve">stavānaḥ</w:t>
      </w:r>
      <w:r>
        <w:t xml:space="preserve"> </w:t>
      </w:r>
      <w:r>
        <w:t xml:space="preserve">—</w:t>
      </w:r>
      <w:r>
        <w:t xml:space="preserve"> </w:t>
      </w:r>
      <w:r>
        <w:rPr>
          <w:iCs/>
          <w:i/>
        </w:rPr>
        <w:t xml:space="preserve">ṣṭuñ stutau</w:t>
      </w:r>
      <w:r>
        <w:t xml:space="preserve">,</w:t>
      </w:r>
      <w:r>
        <w:t xml:space="preserve"> </w:t>
      </w:r>
      <w:r>
        <w:rPr>
          <w:iCs/>
          <w:i/>
        </w:rPr>
        <w:t xml:space="preserve">s</w:t>
      </w:r>
      <w:r>
        <w:t xml:space="preserve"> </w:t>
      </w:r>
      <w:r>
        <w:t xml:space="preserve">for</w:t>
      </w:r>
      <w:r>
        <w:t xml:space="preserve"> </w:t>
      </w:r>
      <w:r>
        <w:rPr>
          <w:iCs/>
          <w:i/>
        </w:rPr>
        <w:t xml:space="preserve">ṣ</w:t>
      </w:r>
      <w:r>
        <w:t xml:space="preserve">, ātmanepada by</w:t>
      </w:r>
      <w:r>
        <w:t xml:space="preserve"> </w:t>
      </w:r>
      <w:r>
        <w:t xml:space="preserve">“</w:t>
      </w:r>
      <w:r>
        <w:t xml:space="preserve">svaritañitaḥ…</w:t>
      </w:r>
      <w:r>
        <w:t xml:space="preserve">”</w:t>
      </w:r>
      <w:r>
        <w:t xml:space="preserve">,</w:t>
      </w:r>
      <w:r>
        <w:t xml:space="preserve"> </w:t>
      </w:r>
      <w:r>
        <w:rPr>
          <w:iCs/>
          <w:i/>
        </w:rPr>
        <w:t xml:space="preserve">śānac</w:t>
      </w:r>
      <w:r>
        <w:t xml:space="preserve"> </w:t>
      </w:r>
      <w:r>
        <w:t xml:space="preserve">for</w:t>
      </w:r>
      <w:r>
        <w:t xml:space="preserve"> </w:t>
      </w:r>
      <w:r>
        <w:rPr>
          <w:iCs/>
          <w:i/>
        </w:rPr>
        <w:t xml:space="preserve">laṭ</w:t>
      </w:r>
      <w:r>
        <w:t xml:space="preserve">,</w:t>
      </w:r>
      <w:r>
        <w:t xml:space="preserve"> </w:t>
      </w:r>
      <w:r>
        <w:rPr>
          <w:iCs/>
          <w:i/>
        </w:rPr>
        <w:t xml:space="preserve">śap</w:t>
      </w:r>
      <w:r>
        <w:t xml:space="preserve">, its loss not made (</w:t>
      </w:r>
      <w:r>
        <w:t xml:space="preserve">“</w:t>
      </w:r>
      <w:r>
        <w:t xml:space="preserve">bahulaṃ chandasi</w:t>
      </w:r>
      <w:r>
        <w:t xml:space="preserve">”</w:t>
      </w:r>
      <w:r>
        <w:t xml:space="preserve">),</w:t>
      </w:r>
      <w:r>
        <w:t xml:space="preserve"> </w:t>
      </w:r>
      <w:r>
        <w:rPr>
          <w:iCs/>
          <w:i/>
        </w:rPr>
        <w:t xml:space="preserve">guṇa</w:t>
      </w:r>
      <w:r>
        <w:t xml:space="preserve"> </w:t>
      </w:r>
      <w:r>
        <w:t xml:space="preserve">and</w:t>
      </w:r>
      <w:r>
        <w:t xml:space="preserve"> </w:t>
      </w:r>
      <w:r>
        <w:rPr>
          <w:iCs/>
          <w:i/>
        </w:rPr>
        <w:t xml:space="preserve">av</w:t>
      </w:r>
      <w:r>
        <w:t xml:space="preserve">; the</w:t>
      </w:r>
      <w:r>
        <w:t xml:space="preserve"> </w:t>
      </w:r>
      <w:r>
        <w:rPr>
          <w:iCs/>
          <w:i/>
        </w:rPr>
        <w:t xml:space="preserve">muk</w:t>
      </w:r>
      <w:r>
        <w:t xml:space="preserve"> </w:t>
      </w:r>
      <w:r>
        <w:t xml:space="preserve">of</w:t>
      </w:r>
      <w:r>
        <w:t xml:space="preserve"> </w:t>
      </w:r>
      <w:r>
        <w:t xml:space="preserve">“</w:t>
      </w:r>
      <w:r>
        <w:t xml:space="preserve">āne muk</w:t>
      </w:r>
      <w:r>
        <w:t xml:space="preserve">”</w:t>
      </w:r>
      <w:r>
        <w:t xml:space="preserve"> </w:t>
      </w:r>
      <w:r>
        <w:t xml:space="preserve">(Pā. 7-2-82) is absent because rules prescribing augments are not binding (</w:t>
      </w:r>
      <w:r>
        <w:t xml:space="preserve">“</w:t>
      </w:r>
      <w:r>
        <w:t xml:space="preserve">anityam āgamaśāsanam</w:t>
      </w:r>
      <w:r>
        <w:t xml:space="preserve">”</w:t>
      </w:r>
      <w:r>
        <w:t xml:space="preserve">);</w:t>
      </w:r>
      <w:r>
        <w:t xml:space="preserve"> </w:t>
      </w:r>
      <w:r>
        <w:rPr>
          <w:iCs/>
          <w:i/>
        </w:rPr>
        <w:t xml:space="preserve">śap</w:t>
      </w:r>
      <w:r>
        <w:t xml:space="preserve"> </w:t>
      </w:r>
      <w:r>
        <w:t xml:space="preserve">unaccented as</w:t>
      </w:r>
      <w:r>
        <w:t xml:space="preserve"> </w:t>
      </w:r>
      <w:r>
        <w:rPr>
          <w:iCs/>
          <w:i/>
        </w:rPr>
        <w:t xml:space="preserve">pit</w:t>
      </w:r>
      <w:r>
        <w:t xml:space="preserve">; the</w:t>
      </w:r>
      <w:r>
        <w:t xml:space="preserve"> </w:t>
      </w:r>
      <w:r>
        <w:rPr>
          <w:iCs/>
          <w:i/>
        </w:rPr>
        <w:t xml:space="preserve">śānac</w:t>
      </w:r>
      <w:r>
        <w:t xml:space="preserve">, though final-udātta as</w:t>
      </w:r>
      <w:r>
        <w:t xml:space="preserve"> </w:t>
      </w:r>
      <w:r>
        <w:rPr>
          <w:iCs/>
          <w:i/>
        </w:rPr>
        <w:t xml:space="preserve">cit</w:t>
      </w:r>
      <w:r>
        <w:t xml:space="preserve">, coming after the</w:t>
      </w:r>
      <w:r>
        <w:t xml:space="preserve"> </w:t>
      </w:r>
      <w:r>
        <w:rPr>
          <w:iCs/>
          <w:i/>
        </w:rPr>
        <w:t xml:space="preserve">a</w:t>
      </w:r>
      <w:r>
        <w:t xml:space="preserve">-ending</w:t>
      </w:r>
      <w:r>
        <w:t xml:space="preserve"> </w:t>
      </w:r>
      <w:r>
        <w:rPr>
          <w:iCs/>
          <w:i/>
        </w:rPr>
        <w:t xml:space="preserve">śap</w:t>
      </w:r>
      <w:r>
        <w:t xml:space="preserve"> </w:t>
      </w:r>
      <w:r>
        <w:t xml:space="preserve">is unaccented as a</w:t>
      </w:r>
      <w:r>
        <w:t xml:space="preserve"> </w:t>
      </w:r>
      <w:r>
        <w:rPr>
          <w:iCs/>
          <w:i/>
        </w:rPr>
        <w:t xml:space="preserve">lasārvadhātuka</w:t>
      </w:r>
      <w:r>
        <w:t xml:space="preserve">, so the root accent alone remains;</w:t>
      </w:r>
      <w:r>
        <w:t xml:space="preserve"> </w:t>
      </w:r>
      <w:r>
        <w:rPr>
          <w:iCs/>
          <w:i/>
        </w:rPr>
        <w:t xml:space="preserve">bhara</w:t>
      </w:r>
      <w:r>
        <w:t xml:space="preserve"> </w:t>
      </w:r>
      <w:r>
        <w:t xml:space="preserve">—</w:t>
      </w:r>
      <w:r>
        <w:t xml:space="preserve"> </w:t>
      </w:r>
      <w:r>
        <w:rPr>
          <w:iCs/>
          <w:i/>
        </w:rPr>
        <w:t xml:space="preserve">bh</w:t>
      </w:r>
      <w:r>
        <w:t xml:space="preserve"> </w:t>
      </w:r>
      <w:r>
        <w:t xml:space="preserve">by</w:t>
      </w:r>
      <w:r>
        <w:t xml:space="preserve"> </w:t>
      </w:r>
      <w:r>
        <w:t xml:space="preserve">“</w:t>
      </w:r>
      <w:r>
        <w:t xml:space="preserve">hṛgrahor bhaś chandasi</w:t>
      </w:r>
      <w:r>
        <w:t xml:space="preserve">”</w:t>
      </w:r>
      <w:r>
        <w:t xml:space="preserve"> </w:t>
      </w:r>
      <w:r>
        <w:t xml:space="preserve">(Pā. 8-2-32-1);</w:t>
      </w:r>
      <w:r>
        <w:t xml:space="preserve"> </w:t>
      </w:r>
      <w:r>
        <w:rPr>
          <w:iCs/>
          <w:i/>
        </w:rPr>
        <w:t xml:space="preserve">gāyatreṇa</w:t>
      </w:r>
      <w:r>
        <w:t xml:space="preserve"> </w:t>
      </w:r>
      <w:r>
        <w:t xml:space="preserve">—</w:t>
      </w:r>
      <w:r>
        <w:t xml:space="preserve"> </w:t>
      </w:r>
      <w:r>
        <w:rPr>
          <w:iCs/>
          <w:i/>
        </w:rPr>
        <w:t xml:space="preserve">aṇ</w:t>
      </w:r>
      <w:r>
        <w:t xml:space="preserve"> </w:t>
      </w:r>
      <w:r>
        <w:t xml:space="preserve">by</w:t>
      </w:r>
      <w:r>
        <w:t xml:space="preserve"> </w:t>
      </w:r>
      <w:r>
        <w:t xml:space="preserve">“</w:t>
      </w:r>
      <w:r>
        <w:t xml:space="preserve">tasyedam</w:t>
      </w:r>
      <w:r>
        <w:t xml:space="preserve">”</w:t>
      </w:r>
      <w:r>
        <w:t xml:space="preserve"> </w:t>
      </w:r>
      <w:r>
        <w:t xml:space="preserve">(Pā. 4-3-120), suffix accent;</w:t>
      </w:r>
      <w:r>
        <w:t xml:space="preserve"> </w:t>
      </w:r>
      <w:r>
        <w:rPr>
          <w:iCs/>
          <w:i/>
        </w:rPr>
        <w:t xml:space="preserve">navīyasā</w:t>
      </w:r>
      <w:r>
        <w:t xml:space="preserve"> </w:t>
      </w:r>
      <w:r>
        <w:t xml:space="preserve">—</w:t>
      </w:r>
      <w:r>
        <w:t xml:space="preserve"> </w:t>
      </w:r>
      <w:r>
        <w:rPr>
          <w:iCs/>
          <w:i/>
        </w:rPr>
        <w:t xml:space="preserve">īyasun</w:t>
      </w:r>
      <w:r>
        <w:t xml:space="preserve"> </w:t>
      </w:r>
      <w:r>
        <w:t xml:space="preserve">in the comparative sense after</w:t>
      </w:r>
      <w:r>
        <w:t xml:space="preserve"> </w:t>
      </w:r>
      <w:r>
        <w:rPr>
          <w:iCs/>
          <w:i/>
        </w:rPr>
        <w:t xml:space="preserve">nava</w:t>
      </w:r>
      <w:r>
        <w:t xml:space="preserve">, initial-udātta as</w:t>
      </w:r>
      <w:r>
        <w:t xml:space="preserve"> </w:t>
      </w:r>
      <w:r>
        <w:rPr>
          <w:iCs/>
          <w:i/>
        </w:rPr>
        <w:t xml:space="preserve">nit</w:t>
      </w:r>
      <w:r>
        <w:t xml:space="preserve">;</w:t>
      </w:r>
      <w:r>
        <w:t xml:space="preserve"> </w:t>
      </w:r>
      <w:r>
        <w:rPr>
          <w:iCs/>
          <w:i/>
        </w:rPr>
        <w:t xml:space="preserve">vīravatīm</w:t>
      </w:r>
      <w:r>
        <w:t xml:space="preserve"> </w:t>
      </w:r>
      <w:r>
        <w:t xml:space="preserve">—</w:t>
      </w:r>
      <w:r>
        <w:t xml:space="preserve"> </w:t>
      </w:r>
      <w:r>
        <w:rPr>
          <w:iCs/>
          <w:i/>
        </w:rPr>
        <w:t xml:space="preserve">matup</w:t>
      </w:r>
      <w:r>
        <w:t xml:space="preserve"> </w:t>
      </w:r>
      <w:r>
        <w:t xml:space="preserve">and</w:t>
      </w:r>
      <w:r>
        <w:t xml:space="preserve"> </w:t>
      </w:r>
      <w:r>
        <w:rPr>
          <w:iCs/>
          <w:i/>
        </w:rPr>
        <w:t xml:space="preserve">ṅīp</w:t>
      </w:r>
      <w:r>
        <w:t xml:space="preserve"> </w:t>
      </w:r>
      <w:r>
        <w:t xml:space="preserve">unaccented as</w:t>
      </w:r>
      <w:r>
        <w:t xml:space="preserve"> </w:t>
      </w:r>
      <w:r>
        <w:rPr>
          <w:iCs/>
          <w:i/>
        </w:rPr>
        <w:t xml:space="preserve">pit</w:t>
      </w:r>
      <w:r>
        <w:t xml:space="preserve">, the</w:t>
      </w:r>
      <w:r>
        <w:t xml:space="preserve"> </w:t>
      </w:r>
      <w:r>
        <w:rPr>
          <w:iCs/>
          <w:i/>
        </w:rPr>
        <w:t xml:space="preserve">a</w:t>
      </w:r>
      <w:r>
        <w:t xml:space="preserve"> </w:t>
      </w:r>
      <w:r>
        <w:t xml:space="preserve">udātta by the stem accent.)</w:t>
      </w:r>
    </w:p>
    <w:bookmarkEnd w:id="545"/>
    <w:bookmarkStart w:id="546" w:name="X2765f2e3077c68bdb075869b6bb3ad8ff4c28ce"/>
    <w:p>
      <w:pPr>
        <w:pStyle w:val="Heading3"/>
      </w:pPr>
      <w:r>
        <w:t xml:space="preserve">Page 520 — Rik 11: word-meanings, overall sense, English, Special Topics</w:t>
      </w:r>
    </w:p>
    <w:p>
      <w:pPr>
        <w:pStyle w:val="FirstParagraph"/>
      </w:pPr>
      <w:r>
        <w:rPr>
          <w:bCs/>
          <w:b/>
        </w:rPr>
        <w:t xml:space="preserve">॥ Prati-padārthaḥ ॥</w:t>
      </w:r>
    </w:p>
    <w:p>
      <w:pPr>
        <w:pStyle w:val="BodyText"/>
      </w:pPr>
      <w:r>
        <w:rPr>
          <w:iCs/>
          <w:i/>
        </w:rPr>
        <w:t xml:space="preserve">(O Agni!)</w:t>
      </w:r>
      <w:r>
        <w:t xml:space="preserve"> </w:t>
      </w:r>
      <w:r>
        <w:rPr>
          <w:bCs/>
          <w:b/>
        </w:rPr>
        <w:t xml:space="preserve">गायत्रेण (gāyatreṇa)</w:t>
      </w:r>
      <w:r>
        <w:t xml:space="preserve"> </w:t>
      </w:r>
      <w:r>
        <w:t xml:space="preserve">— composed in the Gāyatrī meter |</w:t>
      </w:r>
      <w:r>
        <w:t xml:space="preserve"> </w:t>
      </w:r>
      <w:r>
        <w:rPr>
          <w:bCs/>
          <w:b/>
        </w:rPr>
        <w:t xml:space="preserve">नवीयसा (navīyasā)</w:t>
      </w:r>
      <w:r>
        <w:t xml:space="preserve"> </w:t>
      </w:r>
      <w:r>
        <w:t xml:space="preserve">— new, that is, with the hymn not used by us until now (newly composed) |</w:t>
      </w:r>
      <w:r>
        <w:t xml:space="preserve"> </w:t>
      </w:r>
      <w:r>
        <w:rPr>
          <w:bCs/>
          <w:b/>
        </w:rPr>
        <w:t xml:space="preserve">स्तवानः (stavānaḥ)</w:t>
      </w:r>
      <w:r>
        <w:t xml:space="preserve"> </w:t>
      </w:r>
      <w:r>
        <w:t xml:space="preserve">— being praised |</w:t>
      </w:r>
      <w:r>
        <w:t xml:space="preserve"> </w:t>
      </w:r>
      <w:r>
        <w:rPr>
          <w:bCs/>
          <w:b/>
        </w:rPr>
        <w:t xml:space="preserve">सः (saḥ)</w:t>
      </w:r>
      <w:r>
        <w:t xml:space="preserve"> </w:t>
      </w:r>
      <w:r>
        <w:t xml:space="preserve">— such as you are |</w:t>
      </w:r>
      <w:r>
        <w:t xml:space="preserve"> </w:t>
      </w:r>
      <w:r>
        <w:rPr>
          <w:bCs/>
          <w:b/>
        </w:rPr>
        <w:t xml:space="preserve">नः (naḥ)</w:t>
      </w:r>
      <w:r>
        <w:t xml:space="preserve"> </w:t>
      </w:r>
      <w:r>
        <w:t xml:space="preserve">— to us |</w:t>
      </w:r>
      <w:r>
        <w:t xml:space="preserve"> </w:t>
      </w:r>
      <w:r>
        <w:rPr>
          <w:bCs/>
          <w:b/>
        </w:rPr>
        <w:t xml:space="preserve">रयिम् (rayim)</w:t>
      </w:r>
      <w:r>
        <w:t xml:space="preserve"> </w:t>
      </w:r>
      <w:r>
        <w:t xml:space="preserve">— wealth |</w:t>
      </w:r>
      <w:r>
        <w:t xml:space="preserve"> </w:t>
      </w:r>
      <w:r>
        <w:rPr>
          <w:bCs/>
          <w:b/>
        </w:rPr>
        <w:t xml:space="preserve">वीरवतीम् (vīravatīm)</w:t>
      </w:r>
      <w:r>
        <w:t xml:space="preserve"> </w:t>
      </w:r>
      <w:r>
        <w:t xml:space="preserve">— [that is accompanied by] brave sons and others |</w:t>
      </w:r>
      <w:r>
        <w:t xml:space="preserve"> </w:t>
      </w:r>
      <w:r>
        <w:rPr>
          <w:bCs/>
          <w:b/>
        </w:rPr>
        <w:t xml:space="preserve">इषम् (iṣam)</w:t>
      </w:r>
      <w:r>
        <w:t xml:space="preserve"> </w:t>
      </w:r>
      <w:r>
        <w:t xml:space="preserve">— food |</w:t>
      </w:r>
      <w:r>
        <w:t xml:space="preserve"> </w:t>
      </w:r>
      <w:r>
        <w:rPr>
          <w:bCs/>
          <w:b/>
        </w:rPr>
        <w:t xml:space="preserve">आ भर (ā bhara)</w:t>
      </w:r>
      <w:r>
        <w:t xml:space="preserve"> </w:t>
      </w:r>
      <w:r>
        <w:t xml:space="preserve">— bring.</w:t>
      </w:r>
    </w:p>
    <w:p>
      <w:pPr>
        <w:pStyle w:val="BodyText"/>
      </w:pPr>
      <w:r>
        <w:rPr>
          <w:bCs/>
          <w:b/>
        </w:rPr>
        <w:t xml:space="preserve">॥ Bhāvārthaḥ ॥</w:t>
      </w:r>
    </w:p>
    <w:p>
      <w:pPr>
        <w:pStyle w:val="BodyText"/>
      </w:pPr>
      <w:r>
        <w:t xml:space="preserve">O Agni! We are praising you with this hymn just now newly composed in the Gāyatrī meter. Praised thus, give us wealth, valiant people, and food and other nourishment.</w:t>
      </w:r>
    </w:p>
    <w:p>
      <w:pPr>
        <w:pStyle w:val="BodyText"/>
      </w:pPr>
      <w:r>
        <w:rPr>
          <w:bCs/>
          <w:b/>
        </w:rPr>
        <w:t xml:space="preserve">॥ English Translation ॥</w:t>
      </w:r>
      <w:r>
        <w:t xml:space="preserve"> </w:t>
      </w:r>
      <w:r>
        <w:rPr>
          <w:iCs/>
          <w:i/>
        </w:rPr>
        <w:t xml:space="preserve">(as printed in the source)</w:t>
      </w:r>
    </w:p>
    <w:p>
      <w:pPr>
        <w:pStyle w:val="BlockText"/>
      </w:pPr>
      <w:r>
        <w:t xml:space="preserve">Thus praised by us with our new Gayatra hymn, bring us wealth, valiant men and food.</w:t>
      </w:r>
    </w:p>
    <w:p>
      <w:pPr>
        <w:pStyle w:val="FirstParagraph"/>
      </w:pPr>
      <w:r>
        <w:rPr>
          <w:bCs/>
          <w:b/>
        </w:rPr>
        <w:t xml:space="preserve">॥ Viśeṣa-viṣayagaḷu (Special Topics) ॥</w:t>
      </w:r>
    </w:p>
    <w:p>
      <w:pPr>
        <w:pStyle w:val="BodyText"/>
      </w:pPr>
      <w:r>
        <w:rPr>
          <w:bCs/>
          <w:b/>
        </w:rPr>
        <w:t xml:space="preserve">“</w:t>
      </w:r>
      <w:r>
        <w:rPr>
          <w:bCs/>
          <w:b/>
        </w:rPr>
        <w:t xml:space="preserve">Ā bhara</w:t>
      </w:r>
      <w:r>
        <w:rPr>
          <w:bCs/>
          <w:b/>
        </w:rPr>
        <w:t xml:space="preserve">”</w:t>
      </w:r>
      <w:r>
        <w:t xml:space="preserve"> </w:t>
      </w:r>
      <w:r>
        <w:t xml:space="preserve">—</w:t>
      </w:r>
      <w:r>
        <w:t xml:space="preserve"> </w:t>
      </w:r>
      <w:r>
        <w:t xml:space="preserve">“</w:t>
      </w:r>
      <w:r>
        <w:t xml:space="preserve">bring, give.</w:t>
      </w:r>
      <w:r>
        <w:t xml:space="preserve">”</w:t>
      </w:r>
      <w:r>
        <w:t xml:space="preserve"> </w:t>
      </w:r>
      <w:r>
        <w:t xml:space="preserve">The use of the word</w:t>
      </w:r>
      <w:r>
        <w:t xml:space="preserve"> </w:t>
      </w:r>
      <w:r>
        <w:rPr>
          <w:iCs/>
          <w:i/>
        </w:rPr>
        <w:t xml:space="preserve">bhara</w:t>
      </w:r>
      <w:r>
        <w:t xml:space="preserve"> </w:t>
      </w:r>
      <w:r>
        <w:t xml:space="preserve">in the sense</w:t>
      </w:r>
      <w:r>
        <w:t xml:space="preserve"> </w:t>
      </w:r>
      <w:r>
        <w:t xml:space="preserve">“</w:t>
      </w:r>
      <w:r>
        <w:t xml:space="preserve">give</w:t>
      </w:r>
      <w:r>
        <w:t xml:space="preserve">”</w:t>
      </w:r>
      <w:r>
        <w:t xml:space="preserve"> </w:t>
      </w:r>
      <w:r>
        <w:t xml:space="preserve">is a special established usage in the Ṛgveda:</w:t>
      </w:r>
    </w:p>
    <w:p>
      <w:pPr>
        <w:pStyle w:val="BlockText"/>
      </w:pPr>
      <w:r>
        <w:t xml:space="preserve">सुपेशसं वाजमा भरा नः प्रातर्मक्षू धियावसुर्जगम्यात् ।</w:t>
      </w:r>
      <w:r>
        <w:t xml:space="preserve"> </w:t>
      </w:r>
      <w:r>
        <w:rPr>
          <w:iCs/>
          <w:i/>
        </w:rPr>
        <w:t xml:space="preserve">supeśasaṃ vājam ā bharā naḥ prātar makṣū dhiyāvasur jagamyāt |</w:t>
      </w:r>
      <w:r>
        <w:t xml:space="preserve"> </w:t>
      </w:r>
      <w:r>
        <w:t xml:space="preserve">(Ṛ. Sa. 1-63-9)</w:t>
      </w:r>
      <w:r>
        <w:t xml:space="preserve"> </w:t>
      </w:r>
      <w:r>
        <w:rPr>
          <w:iCs/>
          <w:i/>
        </w:rPr>
        <w:t xml:space="preserve">(</w:t>
      </w:r>
      <w:r>
        <w:rPr>
          <w:iCs/>
          <w:i/>
        </w:rPr>
        <w:t xml:space="preserve">“</w:t>
      </w:r>
      <w:r>
        <w:rPr>
          <w:iCs/>
          <w:i/>
        </w:rPr>
        <w:t xml:space="preserve">Bring us well-adorned strength; may the one rich in insight come at dawn quickly</w:t>
      </w:r>
      <w:r>
        <w:rPr>
          <w:iCs/>
          <w:i/>
        </w:rPr>
        <w:t xml:space="preserve">”</w:t>
      </w:r>
      <w:r>
        <w:rPr>
          <w:iCs/>
          <w:i/>
        </w:rPr>
        <w:t xml:space="preserve"> </w:t>
      </w:r>
      <w:r>
        <w:rPr>
          <w:iCs/>
          <w:i/>
        </w:rPr>
        <w:t xml:space="preserve">— mine and tentative.)</w:t>
      </w:r>
    </w:p>
    <w:p>
      <w:pPr>
        <w:pStyle w:val="BlockText"/>
      </w:pPr>
      <w:r>
        <w:t xml:space="preserve">विश्वा अग्ने अभियुजो विहत्या शत्रूयतामा भरा भोजनानि ।</w:t>
      </w:r>
      <w:r>
        <w:t xml:space="preserve"> </w:t>
      </w:r>
      <w:r>
        <w:rPr>
          <w:iCs/>
          <w:i/>
        </w:rPr>
        <w:t xml:space="preserve">viśvā agne abhiyujo vihatyā śatrūyatām ā bharā bhojanāni |</w:t>
      </w:r>
      <w:r>
        <w:t xml:space="preserve"> </w:t>
      </w:r>
      <w:r>
        <w:t xml:space="preserve">(Ṛ. Saṃ. 5-4-5)</w:t>
      </w:r>
      <w:r>
        <w:t xml:space="preserve"> </w:t>
      </w:r>
      <w:r>
        <w:rPr>
          <w:iCs/>
          <w:i/>
        </w:rPr>
        <w:t xml:space="preserve">(</w:t>
      </w:r>
      <w:r>
        <w:rPr>
          <w:iCs/>
          <w:i/>
        </w:rPr>
        <w:t xml:space="preserve">“</w:t>
      </w:r>
      <w:r>
        <w:rPr>
          <w:iCs/>
          <w:i/>
        </w:rPr>
        <w:t xml:space="preserve">O Agni, having struck down all attackers, bring us the foods of those who treat us as foes.</w:t>
      </w:r>
      <w:r>
        <w:rPr>
          <w:iCs/>
          <w:i/>
        </w:rPr>
        <w:t xml:space="preserve">”</w:t>
      </w:r>
      <w:r>
        <w:rPr>
          <w:iCs/>
          <w:i/>
        </w:rPr>
        <w:t xml:space="preserve"> </w:t>
      </w:r>
      <w:r>
        <w:rPr>
          <w:iCs/>
          <w:i/>
        </w:rPr>
        <w:t xml:space="preserve">— mine and tentative.)</w:t>
      </w:r>
    </w:p>
    <w:p>
      <w:pPr>
        <w:pStyle w:val="BlockText"/>
      </w:pPr>
      <w:r>
        <w:t xml:space="preserve">सुवीरं रयिमा भर जातवेदो विचर्षणे ।</w:t>
      </w:r>
      <w:r>
        <w:t xml:space="preserve"> </w:t>
      </w:r>
      <w:r>
        <w:rPr>
          <w:iCs/>
          <w:i/>
        </w:rPr>
        <w:t xml:space="preserve">suvīraṃ rayim ā bhara jātavedo vicarṣaṇe |</w:t>
      </w:r>
      <w:r>
        <w:t xml:space="preserve"> </w:t>
      </w:r>
      <w:r>
        <w:t xml:space="preserve">(Ṛ. Saṃ. 6-16-29)</w:t>
      </w:r>
      <w:r>
        <w:t xml:space="preserve"> </w:t>
      </w:r>
      <w:r>
        <w:rPr>
          <w:iCs/>
          <w:i/>
        </w:rPr>
        <w:t xml:space="preserve">(</w:t>
      </w:r>
      <w:r>
        <w:rPr>
          <w:iCs/>
          <w:i/>
        </w:rPr>
        <w:t xml:space="preserve">“</w:t>
      </w:r>
      <w:r>
        <w:rPr>
          <w:iCs/>
          <w:i/>
        </w:rPr>
        <w:t xml:space="preserve">Bring wealth with fine heroes, O Jātavedas, O all-seeing.</w:t>
      </w:r>
      <w:r>
        <w:rPr>
          <w:iCs/>
          <w:i/>
        </w:rPr>
        <w:t xml:space="preserve">”</w:t>
      </w:r>
      <w:r>
        <w:rPr>
          <w:iCs/>
          <w:i/>
        </w:rPr>
        <w:t xml:space="preserve"> </w:t>
      </w:r>
      <w:r>
        <w:rPr>
          <w:iCs/>
          <w:i/>
        </w:rPr>
        <w:t xml:space="preserve">— mine and tentative.)</w:t>
      </w:r>
    </w:p>
    <w:p>
      <w:pPr>
        <w:pStyle w:val="FirstParagraph"/>
      </w:pPr>
      <w:r>
        <w:t xml:space="preserve">and many other examples can be given.</w:t>
      </w:r>
    </w:p>
    <w:bookmarkEnd w:id="546"/>
    <w:bookmarkStart w:id="547" w:name="X15383cb56b4ae4d1d88e340fecd4a8a87ebd296"/>
    <w:p>
      <w:pPr>
        <w:pStyle w:val="Heading3"/>
      </w:pPr>
      <w:r>
        <w:t xml:space="preserve">Page 521 — Rik 11: Special Topics (continued) and grammar</w:t>
      </w:r>
    </w:p>
    <w:p>
      <w:pPr>
        <w:pStyle w:val="FirstParagraph"/>
      </w:pPr>
      <w:r>
        <w:rPr>
          <w:bCs/>
          <w:b/>
        </w:rPr>
        <w:t xml:space="preserve">“</w:t>
      </w:r>
      <w:r>
        <w:rPr>
          <w:bCs/>
          <w:b/>
        </w:rPr>
        <w:t xml:space="preserve">Gāyatreṇa</w:t>
      </w:r>
      <w:r>
        <w:rPr>
          <w:bCs/>
          <w:b/>
        </w:rPr>
        <w:t xml:space="preserve">”</w:t>
      </w:r>
      <w:r>
        <w:t xml:space="preserve"> </w:t>
      </w:r>
      <w:r>
        <w:t xml:space="preserve">— the Bhāṣyakāra explains it as</w:t>
      </w:r>
      <w:r>
        <w:t xml:space="preserve"> </w:t>
      </w:r>
      <w:r>
        <w:t xml:space="preserve">“</w:t>
      </w:r>
      <w:r>
        <w:t xml:space="preserve">endowed with the Gāyatrī meter.</w:t>
      </w:r>
      <w:r>
        <w:t xml:space="preserve">”</w:t>
      </w:r>
      <w:r>
        <w:t xml:space="preserve"> </w:t>
      </w:r>
      <w:r>
        <w:t xml:space="preserve">Besides this there is also a Sāman-mantra called</w:t>
      </w:r>
      <w:r>
        <w:t xml:space="preserve"> </w:t>
      </w:r>
      <w:r>
        <w:rPr>
          <w:iCs/>
          <w:i/>
        </w:rPr>
        <w:t xml:space="preserve">gāyatra</w:t>
      </w:r>
      <w:r>
        <w:t xml:space="preserve">; and</w:t>
      </w:r>
      <w:r>
        <w:t xml:space="preserve"> </w:t>
      </w:r>
      <w:r>
        <w:rPr>
          <w:iCs/>
          <w:i/>
        </w:rPr>
        <w:t xml:space="preserve">gāyatreṇa</w:t>
      </w:r>
      <w:r>
        <w:t xml:space="preserve"> </w:t>
      </w:r>
      <w:r>
        <w:t xml:space="preserve">may be given the sense</w:t>
      </w:r>
      <w:r>
        <w:t xml:space="preserve"> </w:t>
      </w:r>
      <w:r>
        <w:t xml:space="preserve">“</w:t>
      </w:r>
      <w:r>
        <w:t xml:space="preserve">while singing.</w:t>
      </w:r>
      <w:r>
        <w:t xml:space="preserve">”</w:t>
      </w:r>
    </w:p>
    <w:p>
      <w:pPr>
        <w:pStyle w:val="BodyText"/>
      </w:pPr>
      <w:r>
        <w:rPr>
          <w:bCs/>
          <w:b/>
        </w:rPr>
        <w:t xml:space="preserve">“</w:t>
      </w:r>
      <w:r>
        <w:rPr>
          <w:bCs/>
          <w:b/>
        </w:rPr>
        <w:t xml:space="preserve">Navīyasā</w:t>
      </w:r>
      <w:r>
        <w:rPr>
          <w:bCs/>
          <w:b/>
        </w:rPr>
        <w:t xml:space="preserve">”</w:t>
      </w:r>
      <w:r>
        <w:t xml:space="preserve"> </w:t>
      </w:r>
      <w:r>
        <w:t xml:space="preserve">— new, newly composed, not used before:</w:t>
      </w:r>
      <w:r>
        <w:t xml:space="preserve"> </w:t>
      </w:r>
      <w:r>
        <w:t xml:space="preserve">“</w:t>
      </w:r>
      <w:r>
        <w:t xml:space="preserve">used now for the first time.</w:t>
      </w:r>
      <w:r>
        <w:t xml:space="preserve">”</w:t>
      </w:r>
      <w:r>
        <w:t xml:space="preserve"> </w:t>
      </w:r>
      <w:r>
        <w:t xml:space="preserve">The sense is that the poet says this hymn, composed anew, is being used by him now for the first time. After a sūkta or a rik is composed, many people recite it again and again to praise [the deity]; but he says that with this sūkta he is making praise for the very first time.</w:t>
      </w:r>
    </w:p>
    <w:p>
      <w:pPr>
        <w:pStyle w:val="BodyText"/>
      </w:pPr>
      <w:r>
        <w:rPr>
          <w:bCs/>
          <w:b/>
        </w:rPr>
        <w:t xml:space="preserve">“</w:t>
      </w:r>
      <w:r>
        <w:rPr>
          <w:bCs/>
          <w:b/>
        </w:rPr>
        <w:t xml:space="preserve">Vīravatīm</w:t>
      </w:r>
      <w:r>
        <w:rPr>
          <w:bCs/>
          <w:b/>
        </w:rPr>
        <w:t xml:space="preserve">”</w:t>
      </w:r>
      <w:r>
        <w:t xml:space="preserve"> </w:t>
      </w:r>
      <w:r>
        <w:t xml:space="preserve">— this word is an adjective of the word</w:t>
      </w:r>
      <w:r>
        <w:t xml:space="preserve"> </w:t>
      </w:r>
      <w:r>
        <w:rPr>
          <w:iCs/>
          <w:i/>
        </w:rPr>
        <w:t xml:space="preserve">iṣam</w:t>
      </w:r>
      <w:r>
        <w:t xml:space="preserve">; so</w:t>
      </w:r>
      <w:r>
        <w:t xml:space="preserve"> </w:t>
      </w:r>
      <w:r>
        <w:t xml:space="preserve">“</w:t>
      </w:r>
      <w:r>
        <w:t xml:space="preserve">give food and other nourishment accompanied by brave offspring — sons, grandsons and so on — servants and kinsfolk</w:t>
      </w:r>
      <w:r>
        <w:t xml:space="preserve">”</w:t>
      </w:r>
      <w:r>
        <w:t xml:space="preserve">: the chief idea is</w:t>
      </w:r>
      <w:r>
        <w:t xml:space="preserve"> </w:t>
      </w:r>
      <w:r>
        <w:t xml:space="preserve">“</w:t>
      </w:r>
      <w:r>
        <w:t xml:space="preserve">grant us brave people, and food and the like.</w:t>
      </w:r>
      <w:r>
        <w:t xml:space="preserve">”</w:t>
      </w:r>
    </w:p>
    <w:p>
      <w:pPr>
        <w:pStyle w:val="BodyText"/>
      </w:pPr>
      <w:r>
        <w:rPr>
          <w:bCs/>
          <w:b/>
        </w:rPr>
        <w:t xml:space="preserve">॥ Vyākaraṇa-prakriyā ॥</w:t>
      </w:r>
      <w:r>
        <w:t xml:space="preserve"> </w:t>
      </w:r>
      <w:r>
        <w:rPr>
          <w:iCs/>
          <w:i/>
        </w:rPr>
        <w:t xml:space="preserve">(grammar pages 521–522, noted briefly; numbers checked against the print)</w:t>
      </w:r>
    </w:p>
    <w:p>
      <w:pPr>
        <w:pStyle w:val="BodyText"/>
      </w:pPr>
      <w:r>
        <w:rPr>
          <w:bCs/>
          <w:b/>
        </w:rPr>
        <w:t xml:space="preserve">स्तवानः (</w:t>
      </w:r>
      <w:r>
        <w:rPr>
          <w:iCs/>
          <w:i/>
          <w:bCs/>
          <w:b/>
        </w:rPr>
        <w:t xml:space="preserve">stavānaḥ</w:t>
      </w:r>
      <w:r>
        <w:rPr>
          <w:bCs/>
          <w:b/>
        </w:rPr>
        <w:t xml:space="preserve">)</w:t>
      </w:r>
      <w:r>
        <w:t xml:space="preserve"> </w:t>
      </w:r>
      <w:r>
        <w:t xml:space="preserve">— root</w:t>
      </w:r>
      <w:r>
        <w:t xml:space="preserve"> </w:t>
      </w:r>
      <w:r>
        <w:rPr>
          <w:iCs/>
          <w:i/>
        </w:rPr>
        <w:t xml:space="preserve">ṣṭuñ stutau</w:t>
      </w:r>
      <w:r>
        <w:t xml:space="preserve">;</w:t>
      </w:r>
      <w:r>
        <w:t xml:space="preserve"> </w:t>
      </w:r>
      <w:r>
        <w:rPr>
          <w:iCs/>
          <w:i/>
        </w:rPr>
        <w:t xml:space="preserve">s</w:t>
      </w:r>
      <w:r>
        <w:t xml:space="preserve"> </w:t>
      </w:r>
      <w:r>
        <w:t xml:space="preserve">for</w:t>
      </w:r>
      <w:r>
        <w:t xml:space="preserve"> </w:t>
      </w:r>
      <w:r>
        <w:rPr>
          <w:iCs/>
          <w:i/>
        </w:rPr>
        <w:t xml:space="preserve">ṣ</w:t>
      </w:r>
      <w:r>
        <w:t xml:space="preserve"> </w:t>
      </w:r>
      <w:r>
        <w:t xml:space="preserve">by</w:t>
      </w:r>
      <w:r>
        <w:t xml:space="preserve"> </w:t>
      </w:r>
      <w:r>
        <w:t xml:space="preserve">“</w:t>
      </w:r>
      <w:r>
        <w:t xml:space="preserve">dhātvādeḥ ṣaḥ saḥ</w:t>
      </w:r>
      <w:r>
        <w:t xml:space="preserve">”</w:t>
      </w:r>
      <w:r>
        <w:t xml:space="preserve"> </w:t>
      </w:r>
      <w:r>
        <w:t xml:space="preserve">(Pā. 6-1-64), and the</w:t>
      </w:r>
      <w:r>
        <w:t xml:space="preserve"> </w:t>
      </w:r>
      <w:r>
        <w:rPr>
          <w:iCs/>
          <w:i/>
        </w:rPr>
        <w:t xml:space="preserve">ṭ</w:t>
      </w:r>
      <w:r>
        <w:t xml:space="preserve"> </w:t>
      </w:r>
      <w:r>
        <w:t xml:space="preserve">that came by</w:t>
      </w:r>
      <w:r>
        <w:t xml:space="preserve"> </w:t>
      </w:r>
      <w:r>
        <w:rPr>
          <w:iCs/>
          <w:i/>
        </w:rPr>
        <w:t xml:space="preserve">ṣṭutva</w:t>
      </w:r>
      <w:r>
        <w:t xml:space="preserve"> </w:t>
      </w:r>
      <w:r>
        <w:t xml:space="preserve">reverts:</w:t>
      </w:r>
      <w:r>
        <w:t xml:space="preserve"> </w:t>
      </w:r>
      <w:r>
        <w:rPr>
          <w:iCs/>
          <w:i/>
        </w:rPr>
        <w:t xml:space="preserve">stu</w:t>
      </w:r>
      <w:r>
        <w:t xml:space="preserve">.</w:t>
      </w:r>
      <w:r>
        <w:t xml:space="preserve"> </w:t>
      </w:r>
      <w:r>
        <w:t xml:space="preserve">“</w:t>
      </w:r>
      <w:r>
        <w:t xml:space="preserve">svaritañitaḥ kartrabhiprāye kriyāphale</w:t>
      </w:r>
      <w:r>
        <w:t xml:space="preserve">”</w:t>
      </w:r>
      <w:r>
        <w:t xml:space="preserve"> </w:t>
      </w:r>
      <w:r>
        <w:t xml:space="preserve">(Pā. 1-3-72): when the fruit of the action goes to the agent, after a</w:t>
      </w:r>
      <w:r>
        <w:t xml:space="preserve"> </w:t>
      </w:r>
      <w:r>
        <w:rPr>
          <w:iCs/>
          <w:i/>
        </w:rPr>
        <w:t xml:space="preserve">svarita</w:t>
      </w:r>
      <w:r>
        <w:t xml:space="preserve">-marked or</w:t>
      </w:r>
      <w:r>
        <w:t xml:space="preserve"> </w:t>
      </w:r>
      <w:r>
        <w:rPr>
          <w:iCs/>
          <w:i/>
        </w:rPr>
        <w:t xml:space="preserve">ñ</w:t>
      </w:r>
      <w:r>
        <w:t xml:space="preserve">-marked root the ātmanepada comes in place of the</w:t>
      </w:r>
      <w:r>
        <w:t xml:space="preserve"> </w:t>
      </w:r>
      <w:r>
        <w:rPr>
          <w:iCs/>
          <w:i/>
        </w:rPr>
        <w:t xml:space="preserve">lakāra</w:t>
      </w:r>
      <w:r>
        <w:t xml:space="preserve">;</w:t>
      </w:r>
      <w:r>
        <w:t xml:space="preserve"> </w:t>
      </w:r>
      <w:r>
        <w:rPr>
          <w:iCs/>
          <w:i/>
        </w:rPr>
        <w:t xml:space="preserve">stu</w:t>
      </w:r>
      <w:r>
        <w:t xml:space="preserve"> </w:t>
      </w:r>
      <w:r>
        <w:t xml:space="preserve">is</w:t>
      </w:r>
      <w:r>
        <w:t xml:space="preserve"> </w:t>
      </w:r>
      <w:r>
        <w:rPr>
          <w:iCs/>
          <w:i/>
        </w:rPr>
        <w:t xml:space="preserve">ñit</w:t>
      </w:r>
      <w:r>
        <w:t xml:space="preserve">, so ātmanepada. Then</w:t>
      </w:r>
      <w:r>
        <w:t xml:space="preserve"> </w:t>
      </w:r>
      <w:r>
        <w:rPr>
          <w:iCs/>
          <w:i/>
        </w:rPr>
        <w:t xml:space="preserve">laṭ</w:t>
      </w:r>
      <w:r>
        <w:t xml:space="preserve">, replaced by the ātmanepada</w:t>
      </w:r>
      <w:r>
        <w:t xml:space="preserve"> </w:t>
      </w:r>
      <w:r>
        <w:rPr>
          <w:iCs/>
          <w:i/>
        </w:rPr>
        <w:t xml:space="preserve">śānac</w:t>
      </w:r>
      <w:r>
        <w:t xml:space="preserve"> </w:t>
      </w:r>
      <w:r>
        <w:t xml:space="preserve">by</w:t>
      </w:r>
      <w:r>
        <w:t xml:space="preserve"> </w:t>
      </w:r>
      <w:r>
        <w:t xml:space="preserve">“</w:t>
      </w:r>
      <w:r>
        <w:t xml:space="preserve">laṭaḥ śatṛ-śānacāv aprathamā-samānādhikaraṇe</w:t>
      </w:r>
      <w:r>
        <w:t xml:space="preserve">”</w:t>
      </w:r>
      <w:r>
        <w:t xml:space="preserve"> </w:t>
      </w:r>
      <w:r>
        <w:t xml:space="preserve">(printed</w:t>
      </w:r>
      <w:r>
        <w:t xml:space="preserve"> </w:t>
      </w:r>
      <w:r>
        <w:t xml:space="preserve">“</w:t>
      </w:r>
      <w:r>
        <w:t xml:space="preserve">1-3-72</w:t>
      </w:r>
      <w:r>
        <w:t xml:space="preserve">”</w:t>
      </w:r>
      <w:r>
        <w:t xml:space="preserve"> </w:t>
      </w:r>
      <w:r>
        <w:t xml:space="preserve">[sic]; the sūtra is 3-2-124):</w:t>
      </w:r>
      <w:r>
        <w:t xml:space="preserve"> </w:t>
      </w:r>
      <w:r>
        <w:rPr>
          <w:iCs/>
          <w:i/>
        </w:rPr>
        <w:t xml:space="preserve">stu</w:t>
      </w:r>
      <w:r>
        <w:t xml:space="preserve"> </w:t>
      </w:r>
      <w:r>
        <w:t xml:space="preserve">+</w:t>
      </w:r>
      <w:r>
        <w:t xml:space="preserve"> </w:t>
      </w:r>
      <w:r>
        <w:rPr>
          <w:iCs/>
          <w:i/>
        </w:rPr>
        <w:t xml:space="preserve">a</w:t>
      </w:r>
      <w:r>
        <w:t xml:space="preserve"> </w:t>
      </w:r>
      <w:r>
        <w:t xml:space="preserve">+</w:t>
      </w:r>
      <w:r>
        <w:t xml:space="preserve"> </w:t>
      </w:r>
      <w:r>
        <w:rPr>
          <w:iCs/>
          <w:i/>
        </w:rPr>
        <w:t xml:space="preserve">āna</w:t>
      </w:r>
      <w:r>
        <w:t xml:space="preserve">; the</w:t>
      </w:r>
      <w:r>
        <w:t xml:space="preserve"> </w:t>
      </w:r>
      <w:r>
        <w:rPr>
          <w:iCs/>
          <w:i/>
        </w:rPr>
        <w:t xml:space="preserve">luk</w:t>
      </w:r>
      <w:r>
        <w:t xml:space="preserve"> </w:t>
      </w:r>
      <w:r>
        <w:t xml:space="preserve">that</w:t>
      </w:r>
      <w:r>
        <w:t xml:space="preserve"> </w:t>
      </w:r>
      <w:r>
        <w:t xml:space="preserve">“</w:t>
      </w:r>
      <w:r>
        <w:t xml:space="preserve">adiprabhṛtibhyaḥ śapaḥ</w:t>
      </w:r>
      <w:r>
        <w:t xml:space="preserve">”</w:t>
      </w:r>
      <w:r>
        <w:t xml:space="preserve"> </w:t>
      </w:r>
      <w:r>
        <w:t xml:space="preserve">(printed</w:t>
      </w:r>
      <w:r>
        <w:t xml:space="preserve"> </w:t>
      </w:r>
      <w:r>
        <w:t xml:space="preserve">“</w:t>
      </w:r>
      <w:r>
        <w:t xml:space="preserve">3-1-68</w:t>
      </w:r>
      <w:r>
        <w:t xml:space="preserve">”</w:t>
      </w:r>
      <w:r>
        <w:t xml:space="preserve"> </w:t>
      </w:r>
      <w:r>
        <w:t xml:space="preserve">[sic]; the sūtra is 2-4-72) would give does not come, because</w:t>
      </w:r>
      <w:r>
        <w:t xml:space="preserve"> </w:t>
      </w:r>
      <w:r>
        <w:t xml:space="preserve">“</w:t>
      </w:r>
      <w:r>
        <w:t xml:space="preserve">bahulaṃ chandasi</w:t>
      </w:r>
      <w:r>
        <w:t xml:space="preserve">”</w:t>
      </w:r>
      <w:r>
        <w:t xml:space="preserve"> </w:t>
      </w:r>
      <w:r>
        <w:t xml:space="preserve">(Pā. 2-4-73) contains the word</w:t>
      </w:r>
      <w:r>
        <w:t xml:space="preserve"> </w:t>
      </w:r>
      <w:r>
        <w:rPr>
          <w:iCs/>
          <w:i/>
        </w:rPr>
        <w:t xml:space="preserve">bahula</w:t>
      </w:r>
      <w:r>
        <w:t xml:space="preserve">;</w:t>
      </w:r>
      <w:r>
        <w:t xml:space="preserve"> </w:t>
      </w:r>
      <w:r>
        <w:rPr>
          <w:iCs/>
          <w:i/>
        </w:rPr>
        <w:t xml:space="preserve">guṇa</w:t>
      </w:r>
      <w:r>
        <w:t xml:space="preserve"> </w:t>
      </w:r>
      <w:r>
        <w:t xml:space="preserve">by</w:t>
      </w:r>
      <w:r>
        <w:t xml:space="preserve"> </w:t>
      </w:r>
      <w:r>
        <w:t xml:space="preserve">“</w:t>
      </w:r>
      <w:r>
        <w:t xml:space="preserve">sārvadhātukārdhadhātukayoḥ</w:t>
      </w:r>
      <w:r>
        <w:t xml:space="preserve">”</w:t>
      </w:r>
      <w:r>
        <w:t xml:space="preserve"> </w:t>
      </w:r>
      <w:r>
        <w:t xml:space="preserve">(Pā. 7-3-84),</w:t>
      </w:r>
      <w:r>
        <w:t xml:space="preserve"> </w:t>
      </w:r>
      <w:r>
        <w:rPr>
          <w:iCs/>
          <w:i/>
        </w:rPr>
        <w:t xml:space="preserve">av</w:t>
      </w:r>
      <w:r>
        <w:t xml:space="preserve"> </w:t>
      </w:r>
      <w:r>
        <w:t xml:space="preserve">by</w:t>
      </w:r>
      <w:r>
        <w:t xml:space="preserve"> </w:t>
      </w:r>
      <w:r>
        <w:t xml:space="preserve">“</w:t>
      </w:r>
      <w:r>
        <w:t xml:space="preserve">eco ’yavāyāvaḥ</w:t>
      </w:r>
      <w:r>
        <w:t xml:space="preserve">”</w:t>
      </w:r>
      <w:r>
        <w:t xml:space="preserve"> </w:t>
      </w:r>
      <w:r>
        <w:t xml:space="preserve">(no number printed):</w:t>
      </w:r>
      <w:r>
        <w:t xml:space="preserve"> </w:t>
      </w:r>
      <w:r>
        <w:rPr>
          <w:iCs/>
          <w:i/>
        </w:rPr>
        <w:t xml:space="preserve">stava</w:t>
      </w:r>
      <w:r>
        <w:t xml:space="preserve"> </w:t>
      </w:r>
      <w:r>
        <w:t xml:space="preserve">+</w:t>
      </w:r>
      <w:r>
        <w:t xml:space="preserve"> </w:t>
      </w:r>
      <w:r>
        <w:rPr>
          <w:iCs/>
          <w:i/>
        </w:rPr>
        <w:t xml:space="preserve">āna</w:t>
      </w:r>
      <w:r>
        <w:t xml:space="preserve">. By</w:t>
      </w:r>
      <w:r>
        <w:t xml:space="preserve"> </w:t>
      </w:r>
      <w:r>
        <w:t xml:space="preserve">“</w:t>
      </w:r>
      <w:r>
        <w:t xml:space="preserve">anityam āgamaśāsanam</w:t>
      </w:r>
      <w:r>
        <w:t xml:space="preserve">”</w:t>
      </w:r>
      <w:r>
        <w:t xml:space="preserve"> </w:t>
      </w:r>
      <w:r>
        <w:t xml:space="preserve">(printed</w:t>
      </w:r>
      <w:r>
        <w:t xml:space="preserve"> </w:t>
      </w:r>
      <w:r>
        <w:t xml:space="preserve">“</w:t>
      </w:r>
      <w:r>
        <w:t xml:space="preserve">Paribhā. 96</w:t>
      </w:r>
      <w:r>
        <w:t xml:space="preserve">”</w:t>
      </w:r>
      <w:r>
        <w:t xml:space="preserve"> </w:t>
      </w:r>
      <w:r>
        <w:t xml:space="preserve">[?]) a rule prescribing an augment is not binding, so the</w:t>
      </w:r>
      <w:r>
        <w:t xml:space="preserve"> </w:t>
      </w:r>
      <w:r>
        <w:rPr>
          <w:iCs/>
          <w:i/>
        </w:rPr>
        <w:t xml:space="preserve">muk</w:t>
      </w:r>
      <w:r>
        <w:t xml:space="preserve"> </w:t>
      </w:r>
      <w:r>
        <w:t xml:space="preserve">of</w:t>
      </w:r>
      <w:r>
        <w:t xml:space="preserve"> </w:t>
      </w:r>
      <w:r>
        <w:t xml:space="preserve">“</w:t>
      </w:r>
      <w:r>
        <w:t xml:space="preserve">āne muk</w:t>
      </w:r>
      <w:r>
        <w:t xml:space="preserve">”</w:t>
      </w:r>
      <w:r>
        <w:t xml:space="preserve"> </w:t>
      </w:r>
      <w:r>
        <w:t xml:space="preserve">(Pā. 7-2-82) for an</w:t>
      </w:r>
      <w:r>
        <w:t xml:space="preserve"> </w:t>
      </w:r>
      <w:r>
        <w:rPr>
          <w:iCs/>
          <w:i/>
        </w:rPr>
        <w:t xml:space="preserve">a</w:t>
      </w:r>
      <w:r>
        <w:t xml:space="preserve">-ending stem before</w:t>
      </w:r>
      <w:r>
        <w:t xml:space="preserve"> </w:t>
      </w:r>
      <w:r>
        <w:rPr>
          <w:iCs/>
          <w:i/>
        </w:rPr>
        <w:t xml:space="preserve">āna</w:t>
      </w:r>
      <w:r>
        <w:t xml:space="preserve"> </w:t>
      </w:r>
      <w:r>
        <w:t xml:space="preserve">does not come;</w:t>
      </w:r>
      <w:r>
        <w:t xml:space="preserve"> </w:t>
      </w:r>
      <w:r>
        <w:rPr>
          <w:iCs/>
          <w:i/>
        </w:rPr>
        <w:t xml:space="preserve">savarṇa</w:t>
      </w:r>
      <w:r>
        <w:t xml:space="preserve">-lengthening:</w:t>
      </w:r>
      <w:r>
        <w:t xml:space="preserve"> </w:t>
      </w:r>
      <w:r>
        <w:rPr>
          <w:iCs/>
          <w:i/>
        </w:rPr>
        <w:t xml:space="preserve">stavāna</w:t>
      </w:r>
      <w:r>
        <w:t xml:space="preserve">. The</w:t>
      </w:r>
      <w:r>
        <w:t xml:space="preserve"> </w:t>
      </w:r>
      <w:r>
        <w:rPr>
          <w:iCs/>
          <w:i/>
        </w:rPr>
        <w:t xml:space="preserve">śap</w:t>
      </w:r>
      <w:r>
        <w:t xml:space="preserve">, being</w:t>
      </w:r>
      <w:r>
        <w:t xml:space="preserve"> </w:t>
      </w:r>
      <w:r>
        <w:rPr>
          <w:iCs/>
          <w:i/>
        </w:rPr>
        <w:t xml:space="preserve">pit</w:t>
      </w:r>
      <w:r>
        <w:t xml:space="preserve">, is unaccented; the</w:t>
      </w:r>
      <w:r>
        <w:t xml:space="preserve"> </w:t>
      </w:r>
      <w:r>
        <w:rPr>
          <w:iCs/>
          <w:i/>
        </w:rPr>
        <w:t xml:space="preserve">śānac</w:t>
      </w:r>
      <w:r>
        <w:t xml:space="preserve"> </w:t>
      </w:r>
      <w:r>
        <w:t xml:space="preserve">stands after the</w:t>
      </w:r>
      <w:r>
        <w:t xml:space="preserve"> </w:t>
      </w:r>
      <w:r>
        <w:rPr>
          <w:iCs/>
          <w:i/>
        </w:rPr>
        <w:t xml:space="preserve">śap</w:t>
      </w:r>
      <w:r>
        <w:t xml:space="preserve">, which ends in</w:t>
      </w:r>
      <w:r>
        <w:t xml:space="preserve"> </w:t>
      </w:r>
      <w:r>
        <w:rPr>
          <w:iCs/>
          <w:i/>
        </w:rPr>
        <w:t xml:space="preserve">a</w:t>
      </w:r>
      <w:r>
        <w:t xml:space="preserve"> </w:t>
      </w:r>
      <w:r>
        <w:t xml:space="preserve">in the</w:t>
      </w:r>
      <w:r>
        <w:t xml:space="preserve"> </w:t>
      </w:r>
      <w:r>
        <w:rPr>
          <w:iCs/>
          <w:i/>
        </w:rPr>
        <w:t xml:space="preserve">upadeśa</w:t>
      </w:r>
      <w:r>
        <w:t xml:space="preserve">, so</w:t>
      </w:r>
      <w:r>
        <w:t xml:space="preserve"> </w:t>
      </w:r>
      <w:r>
        <w:t xml:space="preserve">“</w:t>
      </w:r>
      <w:r>
        <w:t xml:space="preserve">tāsy anudātten-ṅid-ad-upadeśāt…</w:t>
      </w:r>
      <w:r>
        <w:t xml:space="preserve">”</w:t>
      </w:r>
      <w:r>
        <w:t xml:space="preserve"> </w:t>
      </w:r>
      <w:r>
        <w:t xml:space="preserve">(Pā. 6-1-186) makes this</w:t>
      </w:r>
      <w:r>
        <w:t xml:space="preserve"> </w:t>
      </w:r>
      <w:r>
        <w:rPr>
          <w:iCs/>
          <w:i/>
        </w:rPr>
        <w:t xml:space="preserve">lasārvadhātuka</w:t>
      </w:r>
      <w:r>
        <w:t xml:space="preserve"> </w:t>
      </w:r>
      <w:r>
        <w:t xml:space="preserve">unaccented; by</w:t>
      </w:r>
      <w:r>
        <w:t xml:space="preserve"> </w:t>
      </w:r>
      <w:r>
        <w:t xml:space="preserve">“</w:t>
      </w:r>
      <w:r>
        <w:t xml:space="preserve">dhātoḥ</w:t>
      </w:r>
      <w:r>
        <w:t xml:space="preserve">”</w:t>
      </w:r>
      <w:r>
        <w:t xml:space="preserve"> </w:t>
      </w:r>
      <w:r>
        <w:t xml:space="preserve">(Pā. 6-1-162) the root</w:t>
      </w:r>
      <w:r>
        <w:t xml:space="preserve"> </w:t>
      </w:r>
      <w:r>
        <w:rPr>
          <w:iCs/>
          <w:i/>
        </w:rPr>
        <w:t xml:space="preserve">stu</w:t>
      </w:r>
      <w:r>
        <w:t xml:space="preserve"> </w:t>
      </w:r>
      <w:r>
        <w:t xml:space="preserve">is udātta, and that accent stands.</w:t>
      </w:r>
      <w:r>
        <w:t xml:space="preserve"> </w:t>
      </w:r>
      <w:r>
        <w:rPr>
          <w:bCs/>
          <w:b/>
        </w:rPr>
        <w:t xml:space="preserve">भर (</w:t>
      </w:r>
      <w:r>
        <w:rPr>
          <w:iCs/>
          <w:i/>
          <w:bCs/>
          <w:b/>
        </w:rPr>
        <w:t xml:space="preserve">bhara</w:t>
      </w:r>
      <w:r>
        <w:rPr>
          <w:bCs/>
          <w:b/>
        </w:rPr>
        <w:t xml:space="preserve">)</w:t>
      </w:r>
      <w:r>
        <w:t xml:space="preserve"> </w:t>
      </w:r>
      <w:r>
        <w:t xml:space="preserve">— root</w:t>
      </w:r>
      <w:r>
        <w:t xml:space="preserve"> </w:t>
      </w:r>
      <w:r>
        <w:rPr>
          <w:iCs/>
          <w:i/>
        </w:rPr>
        <w:t xml:space="preserve">hṛñ haraṇe</w:t>
      </w:r>
      <w:r>
        <w:t xml:space="preserve">;</w:t>
      </w:r>
      <w:r>
        <w:t xml:space="preserve"> </w:t>
      </w:r>
      <w:r>
        <w:rPr>
          <w:iCs/>
          <w:i/>
        </w:rPr>
        <w:t xml:space="preserve">loṭ</w:t>
      </w:r>
      <w:r>
        <w:t xml:space="preserve">, second singular</w:t>
      </w:r>
      <w:r>
        <w:t xml:space="preserve"> </w:t>
      </w:r>
      <w:r>
        <w:rPr>
          <w:iCs/>
          <w:i/>
        </w:rPr>
        <w:t xml:space="preserve">sip</w:t>
      </w:r>
      <w:r>
        <w:t xml:space="preserve">, replaced by</w:t>
      </w:r>
      <w:r>
        <w:t xml:space="preserve"> </w:t>
      </w:r>
      <w:r>
        <w:rPr>
          <w:iCs/>
          <w:i/>
        </w:rPr>
        <w:t xml:space="preserve">hi</w:t>
      </w:r>
      <w:r>
        <w:t xml:space="preserve"> </w:t>
      </w:r>
      <w:r>
        <w:t xml:space="preserve">by</w:t>
      </w:r>
      <w:r>
        <w:t xml:space="preserve"> </w:t>
      </w:r>
      <w:r>
        <w:t xml:space="preserve">“</w:t>
      </w:r>
      <w:r>
        <w:t xml:space="preserve">ser hy apic ca</w:t>
      </w:r>
      <w:r>
        <w:t xml:space="preserve">”</w:t>
      </w:r>
      <w:r>
        <w:t xml:space="preserve"> </w:t>
      </w:r>
      <w:r>
        <w:t xml:space="preserve">(Pā. 3-4-87); the vikaraṇa</w:t>
      </w:r>
      <w:r>
        <w:t xml:space="preserve"> </w:t>
      </w:r>
      <w:r>
        <w:rPr>
          <w:iCs/>
          <w:i/>
        </w:rPr>
        <w:t xml:space="preserve">śap</w:t>
      </w:r>
      <w:r>
        <w:t xml:space="preserve">,</w:t>
      </w:r>
      <w:r>
        <w:t xml:space="preserve"> </w:t>
      </w:r>
      <w:r>
        <w:rPr>
          <w:iCs/>
          <w:i/>
        </w:rPr>
        <w:t xml:space="preserve">guṇa</w:t>
      </w:r>
      <w:r>
        <w:t xml:space="preserve"> </w:t>
      </w:r>
      <w:r>
        <w:t xml:space="preserve">with</w:t>
      </w:r>
      <w:r>
        <w:t xml:space="preserve"> </w:t>
      </w:r>
      <w:r>
        <w:rPr>
          <w:iCs/>
          <w:i/>
        </w:rPr>
        <w:t xml:space="preserve">r</w:t>
      </w:r>
      <w:r>
        <w:t xml:space="preserve">:</w:t>
      </w:r>
      <w:r>
        <w:t xml:space="preserve"> </w:t>
      </w:r>
      <w:r>
        <w:rPr>
          <w:iCs/>
          <w:i/>
        </w:rPr>
        <w:t xml:space="preserve">har</w:t>
      </w:r>
      <w:r>
        <w:t xml:space="preserve"> </w:t>
      </w:r>
      <w:r>
        <w:t xml:space="preserve">+</w:t>
      </w:r>
      <w:r>
        <w:t xml:space="preserve"> </w:t>
      </w:r>
      <w:r>
        <w:rPr>
          <w:iCs/>
          <w:i/>
        </w:rPr>
        <w:t xml:space="preserve">a</w:t>
      </w:r>
      <w:r>
        <w:t xml:space="preserve"> </w:t>
      </w:r>
      <w:r>
        <w:t xml:space="preserve">+</w:t>
      </w:r>
      <w:r>
        <w:t xml:space="preserve"> </w:t>
      </w:r>
      <w:r>
        <w:rPr>
          <w:iCs/>
          <w:i/>
        </w:rPr>
        <w:t xml:space="preserve">hi</w:t>
      </w:r>
      <w:r>
        <w:t xml:space="preserve">;</w:t>
      </w:r>
    </w:p>
    <w:bookmarkEnd w:id="547"/>
    <w:bookmarkStart w:id="548" w:name="page-522-rik-11-grammar-closes"/>
    <w:p>
      <w:pPr>
        <w:pStyle w:val="Heading3"/>
      </w:pPr>
      <w:r>
        <w:t xml:space="preserve">Page 522 — Rik 11 grammar closes</w:t>
      </w:r>
    </w:p>
    <w:p>
      <w:pPr>
        <w:pStyle w:val="FirstParagraph"/>
      </w:pPr>
      <w:r>
        <w:rPr>
          <w:iCs/>
          <w:i/>
        </w:rPr>
        <w:t xml:space="preserve">hi</w:t>
      </w:r>
      <w:r>
        <w:t xml:space="preserve"> </w:t>
      </w:r>
      <w:r>
        <w:t xml:space="preserve">dropped by</w:t>
      </w:r>
      <w:r>
        <w:t xml:space="preserve"> </w:t>
      </w:r>
      <w:r>
        <w:t xml:space="preserve">“</w:t>
      </w:r>
      <w:r>
        <w:t xml:space="preserve">ato heḥ</w:t>
      </w:r>
      <w:r>
        <w:t xml:space="preserve">”</w:t>
      </w:r>
      <w:r>
        <w:t xml:space="preserve"> </w:t>
      </w:r>
      <w:r>
        <w:t xml:space="preserve">(Pā. 6-4-105). On the sūtra</w:t>
      </w:r>
      <w:r>
        <w:t xml:space="preserve"> </w:t>
      </w:r>
      <w:r>
        <w:t xml:space="preserve">“</w:t>
      </w:r>
      <w:r>
        <w:t xml:space="preserve">dāder dhātor ghaḥ</w:t>
      </w:r>
      <w:r>
        <w:t xml:space="preserve">”</w:t>
      </w:r>
      <w:r>
        <w:t xml:space="preserve"> </w:t>
      </w:r>
      <w:r>
        <w:t xml:space="preserve">(no number printed),</w:t>
      </w:r>
      <w:r>
        <w:t xml:space="preserve"> </w:t>
      </w:r>
      <w:r>
        <w:t xml:space="preserve">“</w:t>
      </w:r>
      <w:r>
        <w:t xml:space="preserve">hṛ-grahor bhaś chandasi</w:t>
      </w:r>
      <w:r>
        <w:t xml:space="preserve">”</w:t>
      </w:r>
      <w:r>
        <w:t xml:space="preserve"> </w:t>
      </w:r>
      <w:r>
        <w:t xml:space="preserve">(printed</w:t>
      </w:r>
      <w:r>
        <w:t xml:space="preserve"> </w:t>
      </w:r>
      <w:r>
        <w:t xml:space="preserve">“</w:t>
      </w:r>
      <w:r>
        <w:t xml:space="preserve">8-2-31</w:t>
      </w:r>
      <w:r>
        <w:t xml:space="preserve">”</w:t>
      </w:r>
      <w:r>
        <w:t xml:space="preserve">; the bhāṣya gives 8-2-32-1): in the Veda the</w:t>
      </w:r>
      <w:r>
        <w:t xml:space="preserve"> </w:t>
      </w:r>
      <w:r>
        <w:rPr>
          <w:iCs/>
          <w:i/>
        </w:rPr>
        <w:t xml:space="preserve">h</w:t>
      </w:r>
      <w:r>
        <w:t xml:space="preserve"> </w:t>
      </w:r>
      <w:r>
        <w:t xml:space="preserve">of</w:t>
      </w:r>
      <w:r>
        <w:t xml:space="preserve"> </w:t>
      </w:r>
      <w:r>
        <w:rPr>
          <w:iCs/>
          <w:i/>
        </w:rPr>
        <w:t xml:space="preserve">hṛñ haraṇe</w:t>
      </w:r>
      <w:r>
        <w:t xml:space="preserve"> </w:t>
      </w:r>
      <w:r>
        <w:t xml:space="preserve">and</w:t>
      </w:r>
      <w:r>
        <w:t xml:space="preserve"> </w:t>
      </w:r>
      <w:r>
        <w:rPr>
          <w:iCs/>
          <w:i/>
        </w:rPr>
        <w:t xml:space="preserve">graha upādāne</w:t>
      </w:r>
      <w:r>
        <w:t xml:space="preserve"> </w:t>
      </w:r>
      <w:r>
        <w:t xml:space="preserve">becomes</w:t>
      </w:r>
      <w:r>
        <w:t xml:space="preserve"> </w:t>
      </w:r>
      <w:r>
        <w:rPr>
          <w:iCs/>
          <w:i/>
        </w:rPr>
        <w:t xml:space="preserve">bh</w:t>
      </w:r>
      <w:r>
        <w:t xml:space="preserve">:</w:t>
      </w:r>
      <w:r>
        <w:t xml:space="preserve"> </w:t>
      </w:r>
      <w:r>
        <w:rPr>
          <w:iCs/>
          <w:i/>
        </w:rPr>
        <w:t xml:space="preserve">bhara</w:t>
      </w:r>
      <w:r>
        <w:t xml:space="preserve">.</w:t>
      </w:r>
      <w:r>
        <w:t xml:space="preserve"> </w:t>
      </w:r>
      <w:r>
        <w:rPr>
          <w:bCs/>
          <w:b/>
        </w:rPr>
        <w:t xml:space="preserve">गायत्रेण (</w:t>
      </w:r>
      <w:r>
        <w:rPr>
          <w:iCs/>
          <w:i/>
          <w:bCs/>
          <w:b/>
        </w:rPr>
        <w:t xml:space="preserve">gāyatreṇa</w:t>
      </w:r>
      <w:r>
        <w:rPr>
          <w:bCs/>
          <w:b/>
        </w:rPr>
        <w:t xml:space="preserve">)</w:t>
      </w:r>
      <w:r>
        <w:t xml:space="preserve"> </w:t>
      </w:r>
      <w:r>
        <w:t xml:space="preserve">—</w:t>
      </w:r>
      <w:r>
        <w:t xml:space="preserve"> </w:t>
      </w:r>
      <w:r>
        <w:t xml:space="preserve">“</w:t>
      </w:r>
      <w:r>
        <w:t xml:space="preserve">gāyatryāḥ idam (saṃbandhi)</w:t>
      </w:r>
      <w:r>
        <w:t xml:space="preserve">”</w:t>
      </w:r>
      <w:r>
        <w:t xml:space="preserve">:</w:t>
      </w:r>
      <w:r>
        <w:t xml:space="preserve"> </w:t>
      </w:r>
      <w:r>
        <w:t xml:space="preserve">“</w:t>
      </w:r>
      <w:r>
        <w:t xml:space="preserve">tasyedam</w:t>
      </w:r>
      <w:r>
        <w:t xml:space="preserve">”</w:t>
      </w:r>
      <w:r>
        <w:t xml:space="preserve"> </w:t>
      </w:r>
      <w:r>
        <w:t xml:space="preserve">(Pā. 4-3-120) gives</w:t>
      </w:r>
      <w:r>
        <w:t xml:space="preserve"> </w:t>
      </w:r>
      <w:r>
        <w:rPr>
          <w:iCs/>
          <w:i/>
        </w:rPr>
        <w:t xml:space="preserve">aṇ</w:t>
      </w:r>
      <w:r>
        <w:t xml:space="preserve"> </w:t>
      </w:r>
      <w:r>
        <w:t xml:space="preserve">in the sense</w:t>
      </w:r>
      <w:r>
        <w:t xml:space="preserve"> </w:t>
      </w:r>
      <w:r>
        <w:t xml:space="preserve">“</w:t>
      </w:r>
      <w:r>
        <w:t xml:space="preserve">this belongs to it</w:t>
      </w:r>
      <w:r>
        <w:t xml:space="preserve">”</w:t>
      </w:r>
      <w:r>
        <w:t xml:space="preserve"> </w:t>
      </w:r>
      <w:r>
        <w:t xml:space="preserve">after the genitive of a stem:</w:t>
      </w:r>
      <w:r>
        <w:t xml:space="preserve"> </w:t>
      </w:r>
      <w:r>
        <w:rPr>
          <w:iCs/>
          <w:i/>
        </w:rPr>
        <w:t xml:space="preserve">gāyatrī</w:t>
      </w:r>
      <w:r>
        <w:t xml:space="preserve"> </w:t>
      </w:r>
      <w:r>
        <w:t xml:space="preserve">+</w:t>
      </w:r>
      <w:r>
        <w:t xml:space="preserve"> </w:t>
      </w:r>
      <w:r>
        <w:rPr>
          <w:iCs/>
          <w:i/>
        </w:rPr>
        <w:t xml:space="preserve">a</w:t>
      </w:r>
      <w:r>
        <w:t xml:space="preserve">; the</w:t>
      </w:r>
      <w:r>
        <w:t xml:space="preserve"> </w:t>
      </w:r>
      <w:r>
        <w:rPr>
          <w:iCs/>
          <w:i/>
        </w:rPr>
        <w:t xml:space="preserve">ī</w:t>
      </w:r>
      <w:r>
        <w:t xml:space="preserve"> </w:t>
      </w:r>
      <w:r>
        <w:t xml:space="preserve">dropped by</w:t>
      </w:r>
      <w:r>
        <w:t xml:space="preserve"> </w:t>
      </w:r>
      <w:r>
        <w:t xml:space="preserve">“</w:t>
      </w:r>
      <w:r>
        <w:t xml:space="preserve">yasyeti ca</w:t>
      </w:r>
      <w:r>
        <w:t xml:space="preserve">”</w:t>
      </w:r>
      <w:r>
        <w:t xml:space="preserve"> </w:t>
      </w:r>
      <w:r>
        <w:t xml:space="preserve">(Pā. 6-4-148):</w:t>
      </w:r>
      <w:r>
        <w:t xml:space="preserve"> </w:t>
      </w:r>
      <w:r>
        <w:rPr>
          <w:iCs/>
          <w:i/>
        </w:rPr>
        <w:t xml:space="preserve">gāyatra</w:t>
      </w:r>
      <w:r>
        <w:t xml:space="preserve">, final-udātta by the suffix accent; instrumental singular</w:t>
      </w:r>
      <w:r>
        <w:t xml:space="preserve"> </w:t>
      </w:r>
      <w:r>
        <w:rPr>
          <w:iCs/>
          <w:i/>
        </w:rPr>
        <w:t xml:space="preserve">ṭā</w:t>
      </w:r>
      <w:r>
        <w:t xml:space="preserve">, replaced by</w:t>
      </w:r>
      <w:r>
        <w:t xml:space="preserve"> </w:t>
      </w:r>
      <w:r>
        <w:rPr>
          <w:iCs/>
          <w:i/>
        </w:rPr>
        <w:t xml:space="preserve">ina</w:t>
      </w:r>
      <w:r>
        <w:t xml:space="preserve"> </w:t>
      </w:r>
      <w:r>
        <w:t xml:space="preserve">by</w:t>
      </w:r>
      <w:r>
        <w:t xml:space="preserve"> </w:t>
      </w:r>
      <w:r>
        <w:t xml:space="preserve">“</w:t>
      </w:r>
      <w:r>
        <w:t xml:space="preserve">ṭā-ṅasi-ṅasām inātsyāḥ</w:t>
      </w:r>
      <w:r>
        <w:t xml:space="preserve">”</w:t>
      </w:r>
      <w:r>
        <w:t xml:space="preserve"> </w:t>
      </w:r>
      <w:r>
        <w:t xml:space="preserve">(Pā. 7-1-12);</w:t>
      </w:r>
      <w:r>
        <w:t xml:space="preserve"> </w:t>
      </w:r>
      <w:r>
        <w:rPr>
          <w:iCs/>
          <w:i/>
        </w:rPr>
        <w:t xml:space="preserve">guṇa</w:t>
      </w:r>
      <w:r>
        <w:t xml:space="preserve">;</w:t>
      </w:r>
      <w:r>
        <w:t xml:space="preserve"> </w:t>
      </w:r>
      <w:r>
        <w:t xml:space="preserve">“</w:t>
      </w:r>
      <w:r>
        <w:t xml:space="preserve">aṭ-kupv-āṅ-num-vyavāye ’pi</w:t>
      </w:r>
      <w:r>
        <w:t xml:space="preserve">”</w:t>
      </w:r>
      <w:r>
        <w:t xml:space="preserve"> </w:t>
      </w:r>
      <w:r>
        <w:t xml:space="preserve">(Pā. 8-4-2) gives</w:t>
      </w:r>
      <w:r>
        <w:t xml:space="preserve"> </w:t>
      </w:r>
      <w:r>
        <w:rPr>
          <w:iCs/>
          <w:i/>
        </w:rPr>
        <w:t xml:space="preserve">ṇ</w:t>
      </w:r>
      <w:r>
        <w:t xml:space="preserve">:</w:t>
      </w:r>
      <w:r>
        <w:t xml:space="preserve"> </w:t>
      </w:r>
      <w:r>
        <w:rPr>
          <w:iCs/>
          <w:i/>
        </w:rPr>
        <w:t xml:space="preserve">gāyatreṇa</w:t>
      </w:r>
      <w:r>
        <w:t xml:space="preserve">.</w:t>
      </w:r>
      <w:r>
        <w:t xml:space="preserve"> </w:t>
      </w:r>
      <w:r>
        <w:rPr>
          <w:bCs/>
          <w:b/>
        </w:rPr>
        <w:t xml:space="preserve">नवीयसा (</w:t>
      </w:r>
      <w:r>
        <w:rPr>
          <w:iCs/>
          <w:i/>
          <w:bCs/>
          <w:b/>
        </w:rPr>
        <w:t xml:space="preserve">navīyasā</w:t>
      </w:r>
      <w:r>
        <w:rPr>
          <w:bCs/>
          <w:b/>
        </w:rPr>
        <w:t xml:space="preserve">)</w:t>
      </w:r>
      <w:r>
        <w:t xml:space="preserve"> </w:t>
      </w:r>
      <w:r>
        <w:t xml:space="preserve">— in the comparative sense,</w:t>
      </w:r>
      <w:r>
        <w:t xml:space="preserve"> </w:t>
      </w:r>
      <w:r>
        <w:t xml:space="preserve">“</w:t>
      </w:r>
      <w:r>
        <w:t xml:space="preserve">dvivacana-vibhajyopapade tarab-īyasunau</w:t>
      </w:r>
      <w:r>
        <w:t xml:space="preserve">”</w:t>
      </w:r>
      <w:r>
        <w:t xml:space="preserve"> </w:t>
      </w:r>
      <w:r>
        <w:t xml:space="preserve">(Pā. 5-3-57) gives</w:t>
      </w:r>
      <w:r>
        <w:t xml:space="preserve"> </w:t>
      </w:r>
      <w:r>
        <w:rPr>
          <w:iCs/>
          <w:i/>
        </w:rPr>
        <w:t xml:space="preserve">īyasun</w:t>
      </w:r>
      <w:r>
        <w:t xml:space="preserve"> </w:t>
      </w:r>
      <w:r>
        <w:t xml:space="preserve">after</w:t>
      </w:r>
      <w:r>
        <w:t xml:space="preserve"> </w:t>
      </w:r>
      <w:r>
        <w:rPr>
          <w:iCs/>
          <w:i/>
        </w:rPr>
        <w:t xml:space="preserve">nava</w:t>
      </w:r>
      <w:r>
        <w:t xml:space="preserve">; the</w:t>
      </w:r>
      <w:r>
        <w:t xml:space="preserve"> </w:t>
      </w:r>
      <w:r>
        <w:rPr>
          <w:iCs/>
          <w:i/>
        </w:rPr>
        <w:t xml:space="preserve">a</w:t>
      </w:r>
      <w:r>
        <w:t xml:space="preserve"> </w:t>
      </w:r>
      <w:r>
        <w:t xml:space="preserve">dropped by</w:t>
      </w:r>
      <w:r>
        <w:t xml:space="preserve"> </w:t>
      </w:r>
      <w:r>
        <w:t xml:space="preserve">“</w:t>
      </w:r>
      <w:r>
        <w:t xml:space="preserve">yasyeti ca</w:t>
      </w:r>
      <w:r>
        <w:t xml:space="preserve">”</w:t>
      </w:r>
      <w:r>
        <w:t xml:space="preserve">; instrumental singular</w:t>
      </w:r>
      <w:r>
        <w:t xml:space="preserve"> </w:t>
      </w:r>
      <w:r>
        <w:rPr>
          <w:iCs/>
          <w:i/>
        </w:rPr>
        <w:t xml:space="preserve">ṭā</w:t>
      </w:r>
      <w:r>
        <w:t xml:space="preserve">:</w:t>
      </w:r>
      <w:r>
        <w:t xml:space="preserve"> </w:t>
      </w:r>
      <w:r>
        <w:rPr>
          <w:iCs/>
          <w:i/>
        </w:rPr>
        <w:t xml:space="preserve">navīyasā</w:t>
      </w:r>
      <w:r>
        <w:t xml:space="preserve">;</w:t>
      </w:r>
      <w:r>
        <w:t xml:space="preserve"> </w:t>
      </w:r>
      <w:r>
        <w:rPr>
          <w:iCs/>
          <w:i/>
        </w:rPr>
        <w:t xml:space="preserve">īyasun</w:t>
      </w:r>
      <w:r>
        <w:t xml:space="preserve"> </w:t>
      </w:r>
      <w:r>
        <w:t xml:space="preserve">is</w:t>
      </w:r>
      <w:r>
        <w:t xml:space="preserve"> </w:t>
      </w:r>
      <w:r>
        <w:rPr>
          <w:iCs/>
          <w:i/>
        </w:rPr>
        <w:t xml:space="preserve">nit</w:t>
      </w:r>
      <w:r>
        <w:t xml:space="preserve">, so</w:t>
      </w:r>
      <w:r>
        <w:t xml:space="preserve"> </w:t>
      </w:r>
      <w:r>
        <w:rPr>
          <w:iCs/>
          <w:i/>
        </w:rPr>
        <w:t xml:space="preserve">navīyas</w:t>
      </w:r>
      <w:r>
        <w:t xml:space="preserve"> </w:t>
      </w:r>
      <w:r>
        <w:t xml:space="preserve">is initial-udātta by the</w:t>
      </w:r>
      <w:r>
        <w:t xml:space="preserve"> </w:t>
      </w:r>
      <w:r>
        <w:rPr>
          <w:iCs/>
          <w:i/>
        </w:rPr>
        <w:t xml:space="preserve">nit</w:t>
      </w:r>
      <w:r>
        <w:t xml:space="preserve"> </w:t>
      </w:r>
      <w:r>
        <w:t xml:space="preserve">accent.</w:t>
      </w:r>
      <w:r>
        <w:t xml:space="preserve"> </w:t>
      </w:r>
      <w:r>
        <w:rPr>
          <w:bCs/>
          <w:b/>
        </w:rPr>
        <w:t xml:space="preserve">वीरवतीम् (</w:t>
      </w:r>
      <w:r>
        <w:rPr>
          <w:iCs/>
          <w:i/>
          <w:bCs/>
          <w:b/>
        </w:rPr>
        <w:t xml:space="preserve">vīravatīm</w:t>
      </w:r>
      <w:r>
        <w:rPr>
          <w:bCs/>
          <w:b/>
        </w:rPr>
        <w:t xml:space="preserve">)</w:t>
      </w:r>
      <w:r>
        <w:t xml:space="preserve"> </w:t>
      </w:r>
      <w:r>
        <w:t xml:space="preserve">—</w:t>
      </w:r>
      <w:r>
        <w:t xml:space="preserve"> </w:t>
      </w:r>
      <w:r>
        <w:t xml:space="preserve">“</w:t>
      </w:r>
      <w:r>
        <w:t xml:space="preserve">vīrāḥ asyāḥ santi</w:t>
      </w:r>
      <w:r>
        <w:t xml:space="preserve">”</w:t>
      </w:r>
      <w:r>
        <w:t xml:space="preserve">:</w:t>
      </w:r>
      <w:r>
        <w:t xml:space="preserve"> </w:t>
      </w:r>
      <w:r>
        <w:t xml:space="preserve">“</w:t>
      </w:r>
      <w:r>
        <w:t xml:space="preserve">tad asyāsty asminn iti matup</w:t>
      </w:r>
      <w:r>
        <w:t xml:space="preserve">”</w:t>
      </w:r>
      <w:r>
        <w:t xml:space="preserve"> </w:t>
      </w:r>
      <w:r>
        <w:t xml:space="preserve">(Pā. 5-2-94) gives</w:t>
      </w:r>
      <w:r>
        <w:t xml:space="preserve"> </w:t>
      </w:r>
      <w:r>
        <w:rPr>
          <w:iCs/>
          <w:i/>
        </w:rPr>
        <w:t xml:space="preserve">matup</w:t>
      </w:r>
      <w:r>
        <w:t xml:space="preserve"> </w:t>
      </w:r>
      <w:r>
        <w:t xml:space="preserve">after</w:t>
      </w:r>
      <w:r>
        <w:t xml:space="preserve"> </w:t>
      </w:r>
      <w:r>
        <w:rPr>
          <w:iCs/>
          <w:i/>
        </w:rPr>
        <w:t xml:space="preserve">vīra</w:t>
      </w:r>
      <w:r>
        <w:t xml:space="preserve">;</w:t>
      </w:r>
      <w:r>
        <w:t xml:space="preserve"> </w:t>
      </w:r>
      <w:r>
        <w:rPr>
          <w:iCs/>
          <w:i/>
        </w:rPr>
        <w:t xml:space="preserve">matup</w:t>
      </w:r>
      <w:r>
        <w:t xml:space="preserve"> </w:t>
      </w:r>
      <w:r>
        <w:t xml:space="preserve">is</w:t>
      </w:r>
      <w:r>
        <w:t xml:space="preserve"> </w:t>
      </w:r>
      <w:r>
        <w:rPr>
          <w:iCs/>
          <w:i/>
        </w:rPr>
        <w:t xml:space="preserve">ugit</w:t>
      </w:r>
      <w:r>
        <w:t xml:space="preserve">, so in the feminine</w:t>
      </w:r>
      <w:r>
        <w:t xml:space="preserve"> </w:t>
      </w:r>
      <w:r>
        <w:t xml:space="preserve">“</w:t>
      </w:r>
      <w:r>
        <w:t xml:space="preserve">ugitaś ca</w:t>
      </w:r>
      <w:r>
        <w:t xml:space="preserve">”</w:t>
      </w:r>
      <w:r>
        <w:t xml:space="preserve"> </w:t>
      </w:r>
      <w:r>
        <w:t xml:space="preserve">(printed</w:t>
      </w:r>
      <w:r>
        <w:t xml:space="preserve"> </w:t>
      </w:r>
      <w:r>
        <w:t xml:space="preserve">“</w:t>
      </w:r>
      <w:r>
        <w:t xml:space="preserve">6-3-45</w:t>
      </w:r>
      <w:r>
        <w:t xml:space="preserve">”</w:t>
      </w:r>
      <w:r>
        <w:t xml:space="preserve"> </w:t>
      </w:r>
      <w:r>
        <w:t xml:space="preserve">[?] [sic]; the sūtra is 4-1-6) gives</w:t>
      </w:r>
      <w:r>
        <w:t xml:space="preserve"> </w:t>
      </w:r>
      <w:r>
        <w:rPr>
          <w:iCs/>
          <w:i/>
        </w:rPr>
        <w:t xml:space="preserve">ṅīp</w:t>
      </w:r>
      <w:r>
        <w:t xml:space="preserve"> </w:t>
      </w:r>
      <w:r>
        <w:t xml:space="preserve">after an</w:t>
      </w:r>
      <w:r>
        <w:t xml:space="preserve"> </w:t>
      </w:r>
      <w:r>
        <w:rPr>
          <w:iCs/>
          <w:i/>
        </w:rPr>
        <w:t xml:space="preserve">ugit</w:t>
      </w:r>
      <w:r>
        <w:t xml:space="preserve">-ending stem.</w:t>
      </w:r>
      <w:r>
        <w:t xml:space="preserve"> </w:t>
      </w:r>
      <w:r>
        <w:rPr>
          <w:iCs/>
          <w:i/>
        </w:rPr>
        <w:t xml:space="preserve">Vīra</w:t>
      </w:r>
      <w:r>
        <w:t xml:space="preserve"> </w:t>
      </w:r>
      <w:r>
        <w:t xml:space="preserve">ends in</w:t>
      </w:r>
      <w:r>
        <w:t xml:space="preserve"> </w:t>
      </w:r>
      <w:r>
        <w:rPr>
          <w:iCs/>
          <w:i/>
        </w:rPr>
        <w:t xml:space="preserve">a</w:t>
      </w:r>
      <w:r>
        <w:t xml:space="preserve">, so</w:t>
      </w:r>
      <w:r>
        <w:t xml:space="preserve"> </w:t>
      </w:r>
      <w:r>
        <w:t xml:space="preserve">“</w:t>
      </w:r>
      <w:r>
        <w:t xml:space="preserve">mād upadhāyāś ca mator vo ’yavādibhyaḥ</w:t>
      </w:r>
      <w:r>
        <w:t xml:space="preserve">”</w:t>
      </w:r>
      <w:r>
        <w:t xml:space="preserve"> </w:t>
      </w:r>
      <w:r>
        <w:t xml:space="preserve">(Pā. 8-2-9) gives</w:t>
      </w:r>
      <w:r>
        <w:t xml:space="preserve"> </w:t>
      </w:r>
      <w:r>
        <w:rPr>
          <w:iCs/>
          <w:i/>
        </w:rPr>
        <w:t xml:space="preserve">v</w:t>
      </w:r>
      <w:r>
        <w:t xml:space="preserve"> </w:t>
      </w:r>
      <w:r>
        <w:t xml:space="preserve">for the</w:t>
      </w:r>
      <w:r>
        <w:t xml:space="preserve"> </w:t>
      </w:r>
      <w:r>
        <w:rPr>
          <w:iCs/>
          <w:i/>
        </w:rPr>
        <w:t xml:space="preserve">m</w:t>
      </w:r>
      <w:r>
        <w:t xml:space="preserve"> </w:t>
      </w:r>
      <w:r>
        <w:t xml:space="preserve">of</w:t>
      </w:r>
      <w:r>
        <w:t xml:space="preserve"> </w:t>
      </w:r>
      <w:r>
        <w:rPr>
          <w:iCs/>
          <w:i/>
        </w:rPr>
        <w:t xml:space="preserve">matup</w:t>
      </w:r>
      <w:r>
        <w:t xml:space="preserve"> </w:t>
      </w:r>
      <w:r>
        <w:t xml:space="preserve">after a stem ending in or having as penultimate</w:t>
      </w:r>
      <w:r>
        <w:t xml:space="preserve"> </w:t>
      </w:r>
      <w:r>
        <w:rPr>
          <w:iCs/>
          <w:i/>
        </w:rPr>
        <w:t xml:space="preserve">m</w:t>
      </w:r>
      <w:r>
        <w:t xml:space="preserve"> </w:t>
      </w:r>
      <w:r>
        <w:t xml:space="preserve">or</w:t>
      </w:r>
      <w:r>
        <w:t xml:space="preserve"> </w:t>
      </w:r>
      <w:r>
        <w:rPr>
          <w:iCs/>
          <w:i/>
        </w:rPr>
        <w:t xml:space="preserve">a</w:t>
      </w:r>
      <w:r>
        <w:t xml:space="preserve">, other than</w:t>
      </w:r>
      <w:r>
        <w:t xml:space="preserve"> </w:t>
      </w:r>
      <w:r>
        <w:rPr>
          <w:iCs/>
          <w:i/>
        </w:rPr>
        <w:t xml:space="preserve">yava</w:t>
      </w:r>
      <w:r>
        <w:t xml:space="preserve"> </w:t>
      </w:r>
      <w:r>
        <w:t xml:space="preserve">etc.:</w:t>
      </w:r>
      <w:r>
        <w:t xml:space="preserve"> </w:t>
      </w:r>
      <w:r>
        <w:rPr>
          <w:iCs/>
          <w:i/>
        </w:rPr>
        <w:t xml:space="preserve">vīravatī</w:t>
      </w:r>
      <w:r>
        <w:t xml:space="preserve">.</w:t>
      </w:r>
      <w:r>
        <w:t xml:space="preserve"> </w:t>
      </w:r>
      <w:r>
        <w:rPr>
          <w:iCs/>
          <w:i/>
        </w:rPr>
        <w:t xml:space="preserve">Matup</w:t>
      </w:r>
      <w:r>
        <w:t xml:space="preserve"> </w:t>
      </w:r>
      <w:r>
        <w:t xml:space="preserve">and</w:t>
      </w:r>
      <w:r>
        <w:t xml:space="preserve"> </w:t>
      </w:r>
      <w:r>
        <w:rPr>
          <w:iCs/>
          <w:i/>
        </w:rPr>
        <w:t xml:space="preserve">ṅīp</w:t>
      </w:r>
      <w:r>
        <w:t xml:space="preserve"> </w:t>
      </w:r>
      <w:r>
        <w:t xml:space="preserve">are both</w:t>
      </w:r>
      <w:r>
        <w:t xml:space="preserve"> </w:t>
      </w:r>
      <w:r>
        <w:rPr>
          <w:iCs/>
          <w:i/>
        </w:rPr>
        <w:t xml:space="preserve">pit</w:t>
      </w:r>
      <w:r>
        <w:t xml:space="preserve">, hence unaccented; the</w:t>
      </w:r>
      <w:r>
        <w:t xml:space="preserve"> </w:t>
      </w:r>
      <w:r>
        <w:rPr>
          <w:iCs/>
          <w:i/>
        </w:rPr>
        <w:t xml:space="preserve">a</w:t>
      </w:r>
      <w:r>
        <w:t xml:space="preserve"> </w:t>
      </w:r>
      <w:r>
        <w:t xml:space="preserve">in</w:t>
      </w:r>
      <w:r>
        <w:t xml:space="preserve"> </w:t>
      </w:r>
      <w:r>
        <w:rPr>
          <w:iCs/>
          <w:i/>
        </w:rPr>
        <w:t xml:space="preserve">vīra</w:t>
      </w:r>
      <w:r>
        <w:t xml:space="preserve"> </w:t>
      </w:r>
      <w:r>
        <w:t xml:space="preserve">is udātta by the stem accent of</w:t>
      </w:r>
      <w:r>
        <w:t xml:space="preserve"> </w:t>
      </w:r>
      <w:r>
        <w:t xml:space="preserve">“</w:t>
      </w:r>
      <w:r>
        <w:t xml:space="preserve">phiṣo ’nta udāttaḥ</w:t>
      </w:r>
      <w:r>
        <w:t xml:space="preserve">”</w:t>
      </w:r>
      <w:r>
        <w:t xml:space="preserve"> </w:t>
      </w:r>
      <w:r>
        <w:t xml:space="preserve">(Phi. sū. 1).</w:t>
      </w:r>
    </w:p>
    <w:p>
      <w:pPr>
        <w:pStyle w:val="BodyText"/>
      </w:pPr>
      <w:r>
        <w:rPr>
          <w:bCs/>
          <w:b/>
        </w:rPr>
        <w:t xml:space="preserve">॥११॥</w:t>
      </w:r>
    </w:p>
    <w:bookmarkEnd w:id="548"/>
    <w:bookmarkStart w:id="549" w:name="page-522-lower-sūkta-12-rik-12-the-last"/>
    <w:p>
      <w:pPr>
        <w:pStyle w:val="Heading3"/>
      </w:pPr>
      <w:r>
        <w:t xml:space="preserve">Page 522 (lower) — Sūkta 12, Rik 12 (the last)</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अग्ने॑ शु॒क्रेण॑ शो॒चिषा॒ विश्वा॑भिर्दे॒वहू॑तिभिः ।</w:t>
      </w:r>
      <w:r>
        <w:t xml:space="preserve"> </w:t>
      </w:r>
      <w:r>
        <w:t xml:space="preserve">इ॒मं स्तोमं॑ जुषस्व नः ॥१२॥</w:t>
      </w:r>
    </w:p>
    <w:p>
      <w:pPr>
        <w:pStyle w:val="BlockText"/>
      </w:pPr>
      <w:r>
        <w:rPr>
          <w:iCs/>
          <w:i/>
        </w:rPr>
        <w:t xml:space="preserve">ágne śukréṇa śocíṣā víśvābhir deváhūtibhiḥ |</w:t>
      </w:r>
      <w:r>
        <w:t xml:space="preserve"> </w:t>
      </w:r>
      <w:r>
        <w:rPr>
          <w:iCs/>
          <w:i/>
        </w:rPr>
        <w:t xml:space="preserve">imáṃ stómaṃ juṣasva naḥ ||12||</w:t>
      </w:r>
    </w:p>
    <w:p>
      <w:pPr>
        <w:pStyle w:val="FirstParagraph"/>
      </w:pPr>
      <w:r>
        <w:rPr>
          <w:bCs/>
          <w:b/>
        </w:rPr>
        <w:t xml:space="preserve">॥ Pada-pāṭhaḥ ॥</w:t>
      </w:r>
    </w:p>
    <w:p>
      <w:pPr>
        <w:pStyle w:val="BlockText"/>
      </w:pPr>
      <w:r>
        <w:t xml:space="preserve">अग्ने । शुक्रेण । शोचिषा । विश्वाभिः । देवऽहूतिऽभिः ॥</w:t>
      </w:r>
      <w:r>
        <w:t xml:space="preserve"> </w:t>
      </w:r>
      <w:r>
        <w:t xml:space="preserve">इमम् । स्तोमम् । जुषस्व । नः ॥१२॥</w:t>
      </w:r>
    </w:p>
    <w:p>
      <w:pPr>
        <w:pStyle w:val="BlockText"/>
      </w:pPr>
      <w:r>
        <w:rPr>
          <w:iCs/>
          <w:i/>
        </w:rPr>
        <w:t xml:space="preserve">agne | śukreṇa | śociṣā | viśvābhiḥ | deva-hūti-bhiḥ ||</w:t>
      </w:r>
      <w:r>
        <w:t xml:space="preserve"> </w:t>
      </w:r>
      <w:r>
        <w:rPr>
          <w:iCs/>
          <w:i/>
        </w:rPr>
        <w:t xml:space="preserve">imam | stomam | juṣasva | naḥ ||12||</w:t>
      </w:r>
    </w:p>
    <w:bookmarkEnd w:id="549"/>
    <w:bookmarkStart w:id="550" w:name="X8a96b2ca9d718aa269a317a2cf811d8b5db3483"/>
    <w:p>
      <w:pPr>
        <w:pStyle w:val="Heading3"/>
      </w:pPr>
      <w:r>
        <w:t xml:space="preserve">Page 523 — Rik 12: Sāyaṇa-bhāṣya, word-meanings, overall sense, English, Special Topics</w:t>
      </w:r>
    </w:p>
    <w:p>
      <w:pPr>
        <w:pStyle w:val="FirstParagraph"/>
      </w:pPr>
      <w:r>
        <w:rPr>
          <w:bCs/>
          <w:b/>
        </w:rPr>
        <w:t xml:space="preserve">॥ Sāyaṇa-bhāṣyam ॥</w:t>
      </w:r>
      <w:r>
        <w:t xml:space="preserve"> </w:t>
      </w:r>
      <w:r>
        <w:rPr>
          <w:iCs/>
          <w:i/>
        </w:rPr>
        <w:t xml:space="preserve">(the closing</w:t>
      </w:r>
      <w:r>
        <w:rPr>
          <w:iCs/>
          <w:i/>
        </w:rPr>
        <w:t xml:space="preserve"> </w:t>
      </w:r>
      <w:r>
        <w:rPr>
          <w:iCs/>
          <w:i/>
        </w:rPr>
        <w:t xml:space="preserve">“</w:t>
      </w:r>
      <w:r>
        <w:rPr>
          <w:iCs/>
          <w:i/>
        </w:rPr>
        <w:t xml:space="preserve">॥२३॥</w:t>
      </w:r>
      <w:r>
        <w:rPr>
          <w:iCs/>
          <w:i/>
        </w:rPr>
        <w:t xml:space="preserve">”</w:t>
      </w:r>
      <w:r>
        <w:rPr>
          <w:iCs/>
          <w:i/>
        </w:rPr>
        <w:t xml:space="preserve"> </w:t>
      </w:r>
      <w:r>
        <w:rPr>
          <w:iCs/>
          <w:i/>
        </w:rPr>
        <w:t xml:space="preserve">is the varga number)</w:t>
      </w:r>
    </w:p>
    <w:p>
      <w:pPr>
        <w:pStyle w:val="BlockText"/>
      </w:pPr>
      <w:r>
        <w:t xml:space="preserve">हे अग्ने शुक्रेण शोचिषा त्वदीयश्वेतवर्णदीप्त्या विश्वाभिर्देवहूतिभिस्त्वत्कृतसर्वदेवताह्वानसाधनस्तोत्रैश्च युक्तस्त्वं नो ऽस्मदीयमिमं स्तोमं स्तोत्रविशेषं जुषस्व । सेवस्व ॥ विश्वशब्दो विशेः क्वन्नन्तो नित्त्वादाद्युदात्तः । देवहूतिभिः । देवशब्दः पचाद्यजन्तः । चित्त्वादन्तोदात्तः । देवानां हूतय आह्वानान्यासु स्तुतिष्विति देवहूतयः स्तुतयः । बहुव्रीहौ पूर्वपदप्रकृतिस्वरत्वम् । स्तूयते ऽनेनेति स्तोमः । अर्तिस्तुस्वित्यादिना मन् । नित्त्वादाद्युदात्तः ॥२३॥</w:t>
      </w:r>
    </w:p>
    <w:p>
      <w:pPr>
        <w:pStyle w:val="BlockText"/>
      </w:pPr>
      <w:r>
        <w:rPr>
          <w:iCs/>
          <w:i/>
        </w:rPr>
        <w:t xml:space="preserve">he agne śukreṇa śociṣā tvadīyaśvetavarṇadīptyā viśvābhirdevahūtibhistvatkṛtasarvadevatāhvānasādhanastotraiśca yuktastvaṃ no ’smadīyamimaṃ stomaṃ stotraviśeṣaṃ juṣasva | sevasva || viśvaśabdo viśeḥ kvannanto nittvādādyudāttaḥ | devahūtibhiḥ | devaśabdaḥ pacādyajantaḥ | cittvādantodāttaḥ | devānāṃ hūtaya āhvānānyāsu stutiṣviti devahūtayaḥ stutayaḥ | bahuvrīhau pūrvapadaprakṛtisvaratvam | stūyate ’neneti stomaḥ | artistusvityādinā man | nittvādādyudāttaḥ ||23||</w:t>
      </w:r>
    </w:p>
    <w:p>
      <w:pPr>
        <w:pStyle w:val="FirstParagraph"/>
      </w:pPr>
      <w:r>
        <w:rPr>
          <w:bCs/>
          <w:b/>
        </w:rPr>
        <w:t xml:space="preserve">Translation:</w:t>
      </w:r>
      <w:r>
        <w:t xml:space="preserve"> </w:t>
      </w:r>
      <w:r>
        <w:t xml:space="preserve">“</w:t>
      </w:r>
      <w:r>
        <w:t xml:space="preserve">O Agni! You, endowed</w:t>
      </w:r>
      <w:r>
        <w:t xml:space="preserve"> </w:t>
      </w:r>
      <w:r>
        <w:rPr>
          <w:iCs/>
          <w:i/>
        </w:rPr>
        <w:t xml:space="preserve">śukreṇa śociṣā</w:t>
      </w:r>
      <w:r>
        <w:t xml:space="preserve"> </w:t>
      </w:r>
      <w:r>
        <w:t xml:space="preserve">— with your white-coloured radiance — and</w:t>
      </w:r>
      <w:r>
        <w:t xml:space="preserve"> </w:t>
      </w:r>
      <w:r>
        <w:rPr>
          <w:iCs/>
          <w:i/>
        </w:rPr>
        <w:t xml:space="preserve">viśvābhiḥ devahūtibhiḥ</w:t>
      </w:r>
      <w:r>
        <w:t xml:space="preserve"> </w:t>
      </w:r>
      <w:r>
        <w:t xml:space="preserve">— with the hymns made by you that are the means of calling all the gods —</w:t>
      </w:r>
      <w:r>
        <w:t xml:space="preserve"> </w:t>
      </w:r>
      <w:r>
        <w:rPr>
          <w:iCs/>
          <w:i/>
        </w:rPr>
        <w:t xml:space="preserve">juṣasva</w:t>
      </w:r>
      <w:r>
        <w:t xml:space="preserve">: serve, accept,</w:t>
      </w:r>
      <w:r>
        <w:t xml:space="preserve"> </w:t>
      </w:r>
      <w:r>
        <w:rPr>
          <w:iCs/>
          <w:i/>
        </w:rPr>
        <w:t xml:space="preserve">imaṃ stomam</w:t>
      </w:r>
      <w:r>
        <w:t xml:space="preserve">, this special hymn of ours.</w:t>
      </w:r>
      <w:r>
        <w:t xml:space="preserve">”</w:t>
      </w:r>
      <w:r>
        <w:t xml:space="preserve"> </w:t>
      </w:r>
      <w:r>
        <w:t xml:space="preserve">(Grammatical tail:</w:t>
      </w:r>
      <w:r>
        <w:t xml:space="preserve"> </w:t>
      </w:r>
      <w:r>
        <w:rPr>
          <w:iCs/>
          <w:i/>
        </w:rPr>
        <w:t xml:space="preserve">viśva</w:t>
      </w:r>
      <w:r>
        <w:t xml:space="preserve"> </w:t>
      </w:r>
      <w:r>
        <w:t xml:space="preserve">ends in</w:t>
      </w:r>
      <w:r>
        <w:t xml:space="preserve"> </w:t>
      </w:r>
      <w:r>
        <w:rPr>
          <w:iCs/>
          <w:i/>
        </w:rPr>
        <w:t xml:space="preserve">kvan</w:t>
      </w:r>
      <w:r>
        <w:t xml:space="preserve"> </w:t>
      </w:r>
      <w:r>
        <w:t xml:space="preserve">after</w:t>
      </w:r>
      <w:r>
        <w:t xml:space="preserve"> </w:t>
      </w:r>
      <w:r>
        <w:rPr>
          <w:iCs/>
          <w:i/>
        </w:rPr>
        <w:t xml:space="preserve">viś</w:t>
      </w:r>
      <w:r>
        <w:t xml:space="preserve">, initial-udātta as</w:t>
      </w:r>
      <w:r>
        <w:t xml:space="preserve"> </w:t>
      </w:r>
      <w:r>
        <w:rPr>
          <w:iCs/>
          <w:i/>
        </w:rPr>
        <w:t xml:space="preserve">nit</w:t>
      </w:r>
      <w:r>
        <w:t xml:space="preserve">;</w:t>
      </w:r>
      <w:r>
        <w:t xml:space="preserve"> </w:t>
      </w:r>
      <w:r>
        <w:rPr>
          <w:iCs/>
          <w:i/>
        </w:rPr>
        <w:t xml:space="preserve">devahūtibhiḥ</w:t>
      </w:r>
      <w:r>
        <w:t xml:space="preserve"> </w:t>
      </w:r>
      <w:r>
        <w:t xml:space="preserve">—</w:t>
      </w:r>
      <w:r>
        <w:t xml:space="preserve"> </w:t>
      </w:r>
      <w:r>
        <w:rPr>
          <w:iCs/>
          <w:i/>
        </w:rPr>
        <w:t xml:space="preserve">deva</w:t>
      </w:r>
      <w:r>
        <w:t xml:space="preserve"> </w:t>
      </w:r>
      <w:r>
        <w:t xml:space="preserve">ends in</w:t>
      </w:r>
      <w:r>
        <w:t xml:space="preserve"> </w:t>
      </w:r>
      <w:r>
        <w:rPr>
          <w:iCs/>
          <w:i/>
        </w:rPr>
        <w:t xml:space="preserve">ac</w:t>
      </w:r>
      <w:r>
        <w:t xml:space="preserve"> </w:t>
      </w:r>
      <w:r>
        <w:t xml:space="preserve">of the</w:t>
      </w:r>
      <w:r>
        <w:t xml:space="preserve"> </w:t>
      </w:r>
      <w:r>
        <w:rPr>
          <w:iCs/>
          <w:i/>
        </w:rPr>
        <w:t xml:space="preserve">pacādi</w:t>
      </w:r>
      <w:r>
        <w:t xml:space="preserve"> </w:t>
      </w:r>
      <w:r>
        <w:t xml:space="preserve">group, final-udātta as</w:t>
      </w:r>
      <w:r>
        <w:t xml:space="preserve"> </w:t>
      </w:r>
      <w:r>
        <w:rPr>
          <w:iCs/>
          <w:i/>
        </w:rPr>
        <w:t xml:space="preserve">cit</w:t>
      </w:r>
      <w:r>
        <w:t xml:space="preserve">;</w:t>
      </w:r>
      <w:r>
        <w:t xml:space="preserve"> </w:t>
      </w:r>
      <w:r>
        <w:t xml:space="preserve">“</w:t>
      </w:r>
      <w:r>
        <w:t xml:space="preserve">the hymns in which there are callings of the gods</w:t>
      </w:r>
      <w:r>
        <w:t xml:space="preserve">”</w:t>
      </w:r>
      <w:r>
        <w:t xml:space="preserve">, a bahuvrīhi with the first member’s accent;</w:t>
      </w:r>
      <w:r>
        <w:t xml:space="preserve"> </w:t>
      </w:r>
      <w:r>
        <w:rPr>
          <w:iCs/>
          <w:i/>
        </w:rPr>
        <w:t xml:space="preserve">stoma</w:t>
      </w:r>
      <w:r>
        <w:t xml:space="preserve"> </w:t>
      </w:r>
      <w:r>
        <w:t xml:space="preserve">—</w:t>
      </w:r>
      <w:r>
        <w:t xml:space="preserve"> </w:t>
      </w:r>
      <w:r>
        <w:t xml:space="preserve">“</w:t>
      </w:r>
      <w:r>
        <w:t xml:space="preserve">that by which one praises</w:t>
      </w:r>
      <w:r>
        <w:t xml:space="preserve">”</w:t>
      </w:r>
      <w:r>
        <w:t xml:space="preserve">,</w:t>
      </w:r>
      <w:r>
        <w:t xml:space="preserve"> </w:t>
      </w:r>
      <w:r>
        <w:rPr>
          <w:iCs/>
          <w:i/>
        </w:rPr>
        <w:t xml:space="preserve">man</w:t>
      </w:r>
      <w:r>
        <w:t xml:space="preserve"> </w:t>
      </w:r>
      <w:r>
        <w:t xml:space="preserve">by</w:t>
      </w:r>
      <w:r>
        <w:t xml:space="preserve"> </w:t>
      </w:r>
      <w:r>
        <w:t xml:space="preserve">“</w:t>
      </w:r>
      <w:r>
        <w:t xml:space="preserve">arti-stu-su…</w:t>
      </w:r>
      <w:r>
        <w:t xml:space="preserve">”</w:t>
      </w:r>
      <w:r>
        <w:t xml:space="preserve">, initial-udātta as</w:t>
      </w:r>
      <w:r>
        <w:t xml:space="preserve"> </w:t>
      </w:r>
      <w:r>
        <w:rPr>
          <w:iCs/>
          <w:i/>
        </w:rPr>
        <w:t xml:space="preserve">nit</w:t>
      </w:r>
      <w:r>
        <w:t xml:space="preserve">.)</w:t>
      </w:r>
    </w:p>
    <w:p>
      <w:pPr>
        <w:pStyle w:val="BodyText"/>
      </w:pPr>
      <w:r>
        <w:rPr>
          <w:bCs/>
          <w:b/>
        </w:rPr>
        <w:t xml:space="preserve">॥ Prati-padārthaḥ ॥</w:t>
      </w:r>
    </w:p>
    <w:p>
      <w:pPr>
        <w:pStyle w:val="BodyText"/>
      </w:pPr>
      <w:r>
        <w:rPr>
          <w:bCs/>
          <w:b/>
        </w:rPr>
        <w:t xml:space="preserve">(हे) अग्ने ((he) agne)</w:t>
      </w:r>
      <w:r>
        <w:t xml:space="preserve"> </w:t>
      </w:r>
      <w:r>
        <w:t xml:space="preserve">— O Agni |</w:t>
      </w:r>
      <w:r>
        <w:t xml:space="preserve"> </w:t>
      </w:r>
      <w:r>
        <w:rPr>
          <w:bCs/>
          <w:b/>
        </w:rPr>
        <w:t xml:space="preserve">शुक्रेण (śukreṇa)</w:t>
      </w:r>
      <w:r>
        <w:t xml:space="preserve"> </w:t>
      </w:r>
      <w:r>
        <w:t xml:space="preserve">— endowed with white colour |</w:t>
      </w:r>
      <w:r>
        <w:t xml:space="preserve"> </w:t>
      </w:r>
      <w:r>
        <w:rPr>
          <w:bCs/>
          <w:b/>
        </w:rPr>
        <w:t xml:space="preserve">शोचिषा (śociṣā)</w:t>
      </w:r>
      <w:r>
        <w:t xml:space="preserve"> </w:t>
      </w:r>
      <w:r>
        <w:t xml:space="preserve">— by your radiance |</w:t>
      </w:r>
      <w:r>
        <w:t xml:space="preserve"> </w:t>
      </w:r>
      <w:r>
        <w:rPr>
          <w:bCs/>
          <w:b/>
        </w:rPr>
        <w:t xml:space="preserve">विश्वाभिः (viśvābhiḥ)</w:t>
      </w:r>
      <w:r>
        <w:t xml:space="preserve"> </w:t>
      </w:r>
      <w:r>
        <w:t xml:space="preserve">— all |</w:t>
      </w:r>
      <w:r>
        <w:t xml:space="preserve"> </w:t>
      </w:r>
      <w:r>
        <w:rPr>
          <w:bCs/>
          <w:b/>
        </w:rPr>
        <w:t xml:space="preserve">देवहूतिभिः (devahūtibhiḥ)</w:t>
      </w:r>
      <w:r>
        <w:t xml:space="preserve"> </w:t>
      </w:r>
      <w:r>
        <w:t xml:space="preserve">— and by the hymns that are the means of calling the gods |</w:t>
      </w:r>
      <w:r>
        <w:t xml:space="preserve"> </w:t>
      </w:r>
      <w:r>
        <w:rPr>
          <w:iCs/>
          <w:i/>
        </w:rPr>
        <w:t xml:space="preserve">(you, endowed with these)</w:t>
      </w:r>
      <w:r>
        <w:t xml:space="preserve"> </w:t>
      </w:r>
      <w:r>
        <w:rPr>
          <w:bCs/>
          <w:b/>
        </w:rPr>
        <w:t xml:space="preserve">नः (naḥ)</w:t>
      </w:r>
      <w:r>
        <w:t xml:space="preserve"> </w:t>
      </w:r>
      <w:r>
        <w:t xml:space="preserve">— our |</w:t>
      </w:r>
      <w:r>
        <w:t xml:space="preserve"> </w:t>
      </w:r>
      <w:r>
        <w:rPr>
          <w:bCs/>
          <w:b/>
        </w:rPr>
        <w:t xml:space="preserve">इमं स्तोमम् (imaṃ stomam)</w:t>
      </w:r>
      <w:r>
        <w:t xml:space="preserve"> </w:t>
      </w:r>
      <w:r>
        <w:t xml:space="preserve">— this special hymn |</w:t>
      </w:r>
      <w:r>
        <w:t xml:space="preserve"> </w:t>
      </w:r>
      <w:r>
        <w:rPr>
          <w:bCs/>
          <w:b/>
        </w:rPr>
        <w:t xml:space="preserve">जुषस्व (juṣasva)</w:t>
      </w:r>
      <w:r>
        <w:t xml:space="preserve"> </w:t>
      </w:r>
      <w:r>
        <w:t xml:space="preserve">— serve (accept).</w:t>
      </w:r>
    </w:p>
    <w:p>
      <w:pPr>
        <w:pStyle w:val="BodyText"/>
      </w:pPr>
      <w:r>
        <w:rPr>
          <w:bCs/>
          <w:b/>
        </w:rPr>
        <w:t xml:space="preserve">॥ Bhāvārthaḥ ॥</w:t>
      </w:r>
    </w:p>
    <w:p>
      <w:pPr>
        <w:pStyle w:val="BodyText"/>
      </w:pPr>
      <w:r>
        <w:t xml:space="preserve">O Agni! You shine with a white-glowing radiance; and the hymns for calling the gods we make only through you. Such as you are, hear this hymn that we make and be satisfied (be glad).</w:t>
      </w:r>
    </w:p>
    <w:p>
      <w:pPr>
        <w:pStyle w:val="BodyText"/>
      </w:pPr>
      <w:r>
        <w:rPr>
          <w:bCs/>
          <w:b/>
        </w:rPr>
        <w:t xml:space="preserve">॥ English Translation ॥</w:t>
      </w:r>
      <w:r>
        <w:t xml:space="preserve"> </w:t>
      </w:r>
      <w:r>
        <w:rPr>
          <w:iCs/>
          <w:i/>
        </w:rPr>
        <w:t xml:space="preserve">(as printed in the source)</w:t>
      </w:r>
    </w:p>
    <w:p>
      <w:pPr>
        <w:pStyle w:val="BlockText"/>
      </w:pPr>
      <w:r>
        <w:t xml:space="preserve">Agni. [sic] with your bright splendour. [sic] be pleased through all our invocations of the gods, with this our praise.</w:t>
      </w:r>
    </w:p>
    <w:p>
      <w:pPr>
        <w:pStyle w:val="FirstParagraph"/>
      </w:pPr>
      <w:r>
        <w:rPr>
          <w:bCs/>
          <w:b/>
        </w:rPr>
        <w:t xml:space="preserve">॥ Viśeṣa-viṣayagaḷu (Special Topics) ॥</w:t>
      </w:r>
    </w:p>
    <w:p>
      <w:pPr>
        <w:pStyle w:val="BodyText"/>
      </w:pPr>
      <w:r>
        <w:rPr>
          <w:bCs/>
          <w:b/>
        </w:rPr>
        <w:t xml:space="preserve">“</w:t>
      </w:r>
      <w:r>
        <w:rPr>
          <w:bCs/>
          <w:b/>
        </w:rPr>
        <w:t xml:space="preserve">Śukreṇa śociṣā</w:t>
      </w:r>
      <w:r>
        <w:rPr>
          <w:bCs/>
          <w:b/>
        </w:rPr>
        <w:t xml:space="preserve">”</w:t>
      </w:r>
      <w:r>
        <w:t xml:space="preserve"> </w:t>
      </w:r>
      <w:r>
        <w:t xml:space="preserve">—</w:t>
      </w:r>
      <w:r>
        <w:t xml:space="preserve"> </w:t>
      </w:r>
      <w:r>
        <w:rPr>
          <w:iCs/>
          <w:i/>
        </w:rPr>
        <w:t xml:space="preserve">śukla-varṇena kāntyā</w:t>
      </w:r>
      <w:r>
        <w:t xml:space="preserve">:</w:t>
      </w:r>
      <w:r>
        <w:t xml:space="preserve"> </w:t>
      </w:r>
      <w:r>
        <w:t xml:space="preserve">“</w:t>
      </w:r>
      <w:r>
        <w:t xml:space="preserve">with a white-coloured radiance.</w:t>
      </w:r>
      <w:r>
        <w:t xml:space="preserve">”</w:t>
      </w:r>
      <w:r>
        <w:t xml:space="preserve"> </w:t>
      </w:r>
      <w:r>
        <w:t xml:space="preserve">When Agni burns blazing, its light spreads all around; the custom is to describe that light or radiance as white. Senses such as</w:t>
      </w:r>
      <w:r>
        <w:t xml:space="preserve"> </w:t>
      </w:r>
      <w:r>
        <w:t xml:space="preserve">“</w:t>
      </w:r>
      <w:r>
        <w:t xml:space="preserve">Radiance, bright splendour</w:t>
      </w:r>
      <w:r>
        <w:t xml:space="preserve">”</w:t>
      </w:r>
      <w:r>
        <w:t xml:space="preserve"> </w:t>
      </w:r>
      <w:r>
        <w:t xml:space="preserve">[the source’s English] may be given.</w:t>
      </w:r>
    </w:p>
    <w:bookmarkEnd w:id="550"/>
    <w:bookmarkStart w:id="551" w:name="X203b50d83de5cfef3f9f053b8e5ac6538811950"/>
    <w:p>
      <w:pPr>
        <w:pStyle w:val="Heading3"/>
      </w:pPr>
      <w:r>
        <w:t xml:space="preserve">Page 524 — Rik 12: Special Topics (continued) and grammar; close of Sūkta 12</w:t>
      </w:r>
    </w:p>
    <w:p>
      <w:pPr>
        <w:pStyle w:val="FirstParagraph"/>
      </w:pPr>
      <w:r>
        <w:rPr>
          <w:bCs/>
          <w:b/>
        </w:rPr>
        <w:t xml:space="preserve">“</w:t>
      </w:r>
      <w:r>
        <w:rPr>
          <w:bCs/>
          <w:b/>
        </w:rPr>
        <w:t xml:space="preserve">Devahūtibhiḥ</w:t>
      </w:r>
      <w:r>
        <w:rPr>
          <w:bCs/>
          <w:b/>
        </w:rPr>
        <w:t xml:space="preserve">”</w:t>
      </w:r>
      <w:r>
        <w:t xml:space="preserve"> </w:t>
      </w:r>
      <w:r>
        <w:t xml:space="preserve">—</w:t>
      </w:r>
      <w:r>
        <w:t xml:space="preserve"> </w:t>
      </w:r>
      <w:r>
        <w:rPr>
          <w:iCs/>
          <w:i/>
        </w:rPr>
        <w:t xml:space="preserve">devānāṃ hūtaya āhvānāny āsu stutiṣv iti devahūtayaḥ | tvatkṛta-devatāhvāna-sādhana-stotrair yuktaḥ</w:t>
      </w:r>
      <w:r>
        <w:t xml:space="preserve">: people recite hymns to call the gods; since those hymns reach the gods through Agni, the idea is</w:t>
      </w:r>
      <w:r>
        <w:t xml:space="preserve"> </w:t>
      </w:r>
      <w:r>
        <w:t xml:space="preserve">“</w:t>
      </w:r>
      <w:r>
        <w:t xml:space="preserve">Agni, endowed with the hymns that are the means of calling the gods.</w:t>
      </w:r>
      <w:r>
        <w:t xml:space="preserve">”</w:t>
      </w:r>
    </w:p>
    <w:p>
      <w:pPr>
        <w:pStyle w:val="BodyText"/>
      </w:pPr>
      <w:r>
        <w:rPr>
          <w:bCs/>
          <w:b/>
        </w:rPr>
        <w:t xml:space="preserve">“</w:t>
      </w:r>
      <w:r>
        <w:rPr>
          <w:bCs/>
          <w:b/>
        </w:rPr>
        <w:t xml:space="preserve">Juṣasva</w:t>
      </w:r>
      <w:r>
        <w:rPr>
          <w:bCs/>
          <w:b/>
        </w:rPr>
        <w:t xml:space="preserve">”</w:t>
      </w:r>
      <w:r>
        <w:t xml:space="preserve"> </w:t>
      </w:r>
      <w:r>
        <w:t xml:space="preserve">—</w:t>
      </w:r>
      <w:r>
        <w:t xml:space="preserve"> </w:t>
      </w:r>
      <w:r>
        <w:rPr>
          <w:iCs/>
          <w:i/>
        </w:rPr>
        <w:t xml:space="preserve">sevasva</w:t>
      </w:r>
      <w:r>
        <w:t xml:space="preserve">;</w:t>
      </w:r>
      <w:r>
        <w:t xml:space="preserve"> </w:t>
      </w:r>
      <w:r>
        <w:rPr>
          <w:iCs/>
          <w:i/>
        </w:rPr>
        <w:t xml:space="preserve">juṣī prītisevanayoḥ</w:t>
      </w:r>
      <w:r>
        <w:t xml:space="preserve">:</w:t>
      </w:r>
      <w:r>
        <w:t xml:space="preserve"> </w:t>
      </w:r>
      <w:r>
        <w:t xml:space="preserve">“</w:t>
      </w:r>
      <w:r>
        <w:t xml:space="preserve">serve</w:t>
      </w:r>
      <w:r>
        <w:t xml:space="preserve">”</w:t>
      </w:r>
      <w:r>
        <w:t xml:space="preserve">, that is, hear the hymns we make, be glad, be satisfied.</w:t>
      </w:r>
    </w:p>
    <w:p>
      <w:pPr>
        <w:pStyle w:val="BodyText"/>
      </w:pPr>
      <w:r>
        <w:rPr>
          <w:bCs/>
          <w:b/>
        </w:rPr>
        <w:t xml:space="preserve">॥ Vyākaraṇa-prakriyā ॥</w:t>
      </w:r>
      <w:r>
        <w:t xml:space="preserve"> </w:t>
      </w:r>
      <w:r>
        <w:rPr>
          <w:iCs/>
          <w:i/>
        </w:rPr>
        <w:t xml:space="preserve">(grammar page, noted briefly; numbers checked against the print)</w:t>
      </w:r>
    </w:p>
    <w:p>
      <w:pPr>
        <w:pStyle w:val="BodyText"/>
      </w:pPr>
      <w:r>
        <w:rPr>
          <w:bCs/>
          <w:b/>
        </w:rPr>
        <w:t xml:space="preserve">विश्वाभिः (</w:t>
      </w:r>
      <w:r>
        <w:rPr>
          <w:iCs/>
          <w:i/>
          <w:bCs/>
          <w:b/>
        </w:rPr>
        <w:t xml:space="preserve">viśvābhiḥ</w:t>
      </w:r>
      <w:r>
        <w:rPr>
          <w:bCs/>
          <w:b/>
        </w:rPr>
        <w:t xml:space="preserve">)</w:t>
      </w:r>
      <w:r>
        <w:t xml:space="preserve"> </w:t>
      </w:r>
      <w:r>
        <w:t xml:space="preserve">—</w:t>
      </w:r>
      <w:r>
        <w:t xml:space="preserve"> </w:t>
      </w:r>
      <w:r>
        <w:t xml:space="preserve">“</w:t>
      </w:r>
      <w:r>
        <w:t xml:space="preserve">aśū-pruṣi-laṭi-kaṇi-khaṭi-viśibhyaḥ kvan</w:t>
      </w:r>
      <w:r>
        <w:t xml:space="preserve">”</w:t>
      </w:r>
      <w:r>
        <w:t xml:space="preserve"> </w:t>
      </w:r>
      <w:r>
        <w:t xml:space="preserve">(Uṇ. 1-1-49 [sic]; elsewhere 1-149): after</w:t>
      </w:r>
      <w:r>
        <w:t xml:space="preserve"> </w:t>
      </w:r>
      <w:r>
        <w:rPr>
          <w:iCs/>
          <w:i/>
        </w:rPr>
        <w:t xml:space="preserve">viśa praveśane</w:t>
      </w:r>
      <w:r>
        <w:t xml:space="preserve"> </w:t>
      </w:r>
      <w:r>
        <w:t xml:space="preserve">the suffix</w:t>
      </w:r>
      <w:r>
        <w:t xml:space="preserve"> </w:t>
      </w:r>
      <w:r>
        <w:rPr>
          <w:iCs/>
          <w:i/>
        </w:rPr>
        <w:t xml:space="preserve">kvan</w:t>
      </w:r>
      <w:r>
        <w:t xml:space="preserve">; initial-udātta by the</w:t>
      </w:r>
      <w:r>
        <w:t xml:space="preserve"> </w:t>
      </w:r>
      <w:r>
        <w:rPr>
          <w:iCs/>
          <w:i/>
        </w:rPr>
        <w:t xml:space="preserve">nit</w:t>
      </w:r>
      <w:r>
        <w:t xml:space="preserve"> </w:t>
      </w:r>
      <w:r>
        <w:t xml:space="preserve">accent;</w:t>
      </w:r>
      <w:r>
        <w:t xml:space="preserve"> </w:t>
      </w:r>
      <w:r>
        <w:rPr>
          <w:iCs/>
          <w:i/>
        </w:rPr>
        <w:t xml:space="preserve">ṭāp</w:t>
      </w:r>
      <w:r>
        <w:t xml:space="preserve">,</w:t>
      </w:r>
      <w:r>
        <w:t xml:space="preserve"> </w:t>
      </w:r>
      <w:r>
        <w:rPr>
          <w:iCs/>
          <w:i/>
        </w:rPr>
        <w:t xml:space="preserve">savarṇa</w:t>
      </w:r>
      <w:r>
        <w:t xml:space="preserve">-lengthening, instrumental plural</w:t>
      </w:r>
      <w:r>
        <w:t xml:space="preserve"> </w:t>
      </w:r>
      <w:r>
        <w:rPr>
          <w:iCs/>
          <w:i/>
        </w:rPr>
        <w:t xml:space="preserve">bhis</w:t>
      </w:r>
      <w:r>
        <w:t xml:space="preserve">,</w:t>
      </w:r>
      <w:r>
        <w:t xml:space="preserve"> </w:t>
      </w:r>
      <w:r>
        <w:rPr>
          <w:iCs/>
          <w:i/>
        </w:rPr>
        <w:t xml:space="preserve">ru</w:t>
      </w:r>
      <w:r>
        <w:t xml:space="preserve"> </w:t>
      </w:r>
      <w:r>
        <w:t xml:space="preserve">and visarga:</w:t>
      </w:r>
      <w:r>
        <w:t xml:space="preserve"> </w:t>
      </w:r>
      <w:r>
        <w:rPr>
          <w:iCs/>
          <w:i/>
        </w:rPr>
        <w:t xml:space="preserve">viśvābhiḥ</w:t>
      </w:r>
      <w:r>
        <w:t xml:space="preserve">.</w:t>
      </w:r>
      <w:r>
        <w:t xml:space="preserve"> </w:t>
      </w:r>
      <w:r>
        <w:rPr>
          <w:bCs/>
          <w:b/>
        </w:rPr>
        <w:t xml:space="preserve">देवहूतिभिः (</w:t>
      </w:r>
      <w:r>
        <w:rPr>
          <w:iCs/>
          <w:i/>
          <w:bCs/>
          <w:b/>
        </w:rPr>
        <w:t xml:space="preserve">devahūtibhiḥ</w:t>
      </w:r>
      <w:r>
        <w:rPr>
          <w:bCs/>
          <w:b/>
        </w:rPr>
        <w:t xml:space="preserve">)</w:t>
      </w:r>
      <w:r>
        <w:t xml:space="preserve"> </w:t>
      </w:r>
      <w:r>
        <w:t xml:space="preserve">—</w:t>
      </w:r>
      <w:r>
        <w:t xml:space="preserve"> </w:t>
      </w:r>
      <w:r>
        <w:t xml:space="preserve">“</w:t>
      </w:r>
      <w:r>
        <w:t xml:space="preserve">nandi-grahi-pacādibhyo lyu-ṇiny-acaḥ</w:t>
      </w:r>
      <w:r>
        <w:t xml:space="preserve">”</w:t>
      </w:r>
      <w:r>
        <w:t xml:space="preserve"> </w:t>
      </w:r>
      <w:r>
        <w:t xml:space="preserve">(Pā. 3-1-134) gives</w:t>
      </w:r>
      <w:r>
        <w:t xml:space="preserve"> </w:t>
      </w:r>
      <w:r>
        <w:rPr>
          <w:iCs/>
          <w:i/>
        </w:rPr>
        <w:t xml:space="preserve">ac</w:t>
      </w:r>
      <w:r>
        <w:t xml:space="preserve"> </w:t>
      </w:r>
      <w:r>
        <w:t xml:space="preserve">after</w:t>
      </w:r>
      <w:r>
        <w:t xml:space="preserve"> </w:t>
      </w:r>
      <w:r>
        <w:rPr>
          <w:iCs/>
          <w:i/>
        </w:rPr>
        <w:t xml:space="preserve">div</w:t>
      </w:r>
      <w:r>
        <w:t xml:space="preserve">;</w:t>
      </w:r>
      <w:r>
        <w:t xml:space="preserve"> </w:t>
      </w:r>
      <w:r>
        <w:rPr>
          <w:iCs/>
          <w:i/>
        </w:rPr>
        <w:t xml:space="preserve">laghūpadha-guṇa</w:t>
      </w:r>
      <w:r>
        <w:t xml:space="preserve">:</w:t>
      </w:r>
      <w:r>
        <w:t xml:space="preserve"> </w:t>
      </w:r>
      <w:r>
        <w:rPr>
          <w:iCs/>
          <w:i/>
        </w:rPr>
        <w:t xml:space="preserve">deva</w:t>
      </w:r>
      <w:r>
        <w:t xml:space="preserve">; the suffix being</w:t>
      </w:r>
      <w:r>
        <w:t xml:space="preserve"> </w:t>
      </w:r>
      <w:r>
        <w:rPr>
          <w:iCs/>
          <w:i/>
        </w:rPr>
        <w:t xml:space="preserve">cit</w:t>
      </w:r>
      <w:r>
        <w:t xml:space="preserve">, final-udātta by</w:t>
      </w:r>
      <w:r>
        <w:t xml:space="preserve"> </w:t>
      </w:r>
      <w:r>
        <w:t xml:space="preserve">“</w:t>
      </w:r>
      <w:r>
        <w:t xml:space="preserve">citaḥ</w:t>
      </w:r>
      <w:r>
        <w:t xml:space="preserve">”</w:t>
      </w:r>
      <w:r>
        <w:t xml:space="preserve"> </w:t>
      </w:r>
      <w:r>
        <w:t xml:space="preserve">(Pā. 6-1-163). After</w:t>
      </w:r>
      <w:r>
        <w:t xml:space="preserve"> </w:t>
      </w:r>
      <w:r>
        <w:rPr>
          <w:iCs/>
          <w:i/>
        </w:rPr>
        <w:t xml:space="preserve">hveñ spardhāyāṃ śabde ca</w:t>
      </w:r>
      <w:r>
        <w:t xml:space="preserve">,</w:t>
      </w:r>
      <w:r>
        <w:t xml:space="preserve"> </w:t>
      </w:r>
      <w:r>
        <w:t xml:space="preserve">“</w:t>
      </w:r>
      <w:r>
        <w:t xml:space="preserve">striyāṃ ktin</w:t>
      </w:r>
      <w:r>
        <w:t xml:space="preserve">”</w:t>
      </w:r>
      <w:r>
        <w:t xml:space="preserve"> </w:t>
      </w:r>
      <w:r>
        <w:t xml:space="preserve">(Pā. 3-3-94) gives</w:t>
      </w:r>
      <w:r>
        <w:t xml:space="preserve"> </w:t>
      </w:r>
      <w:r>
        <w:rPr>
          <w:iCs/>
          <w:i/>
        </w:rPr>
        <w:t xml:space="preserve">ktin</w:t>
      </w:r>
      <w:r>
        <w:t xml:space="preserve">; the suffix being</w:t>
      </w:r>
      <w:r>
        <w:t xml:space="preserve"> </w:t>
      </w:r>
      <w:r>
        <w:rPr>
          <w:iCs/>
          <w:i/>
        </w:rPr>
        <w:t xml:space="preserve">kit</w:t>
      </w:r>
      <w:r>
        <w:t xml:space="preserve">,</w:t>
      </w:r>
      <w:r>
        <w:t xml:space="preserve"> </w:t>
      </w:r>
      <w:r>
        <w:t xml:space="preserve">“</w:t>
      </w:r>
      <w:r>
        <w:t xml:space="preserve">vaci-svapi-yajādīnāṃ kiti</w:t>
      </w:r>
      <w:r>
        <w:t xml:space="preserve">”</w:t>
      </w:r>
      <w:r>
        <w:t xml:space="preserve"> </w:t>
      </w:r>
      <w:r>
        <w:t xml:space="preserve">(Pā. 6-1-15) gives</w:t>
      </w:r>
      <w:r>
        <w:t xml:space="preserve"> </w:t>
      </w:r>
      <w:r>
        <w:rPr>
          <w:iCs/>
          <w:i/>
        </w:rPr>
        <w:t xml:space="preserve">samprasāraṇa</w:t>
      </w:r>
      <w:r>
        <w:t xml:space="preserve"> </w:t>
      </w:r>
      <w:r>
        <w:t xml:space="preserve">—</w:t>
      </w:r>
      <w:r>
        <w:t xml:space="preserve"> </w:t>
      </w:r>
      <w:r>
        <w:rPr>
          <w:iCs/>
          <w:i/>
        </w:rPr>
        <w:t xml:space="preserve">u</w:t>
      </w:r>
      <w:r>
        <w:t xml:space="preserve"> </w:t>
      </w:r>
      <w:r>
        <w:t xml:space="preserve">for the</w:t>
      </w:r>
      <w:r>
        <w:t xml:space="preserve"> </w:t>
      </w:r>
      <w:r>
        <w:rPr>
          <w:iCs/>
          <w:i/>
        </w:rPr>
        <w:t xml:space="preserve">v</w:t>
      </w:r>
      <w:r>
        <w:t xml:space="preserve"> </w:t>
      </w:r>
      <w:r>
        <w:t xml:space="preserve">— to</w:t>
      </w:r>
      <w:r>
        <w:t xml:space="preserve"> </w:t>
      </w:r>
      <w:r>
        <w:rPr>
          <w:iCs/>
          <w:i/>
        </w:rPr>
        <w:t xml:space="preserve">hveñ</w:t>
      </w:r>
      <w:r>
        <w:t xml:space="preserve">, which is in the</w:t>
      </w:r>
      <w:r>
        <w:t xml:space="preserve"> </w:t>
      </w:r>
      <w:r>
        <w:rPr>
          <w:iCs/>
          <w:i/>
        </w:rPr>
        <w:t xml:space="preserve">yajādi</w:t>
      </w:r>
      <w:r>
        <w:t xml:space="preserve"> </w:t>
      </w:r>
      <w:r>
        <w:t xml:space="preserve">list; the</w:t>
      </w:r>
      <w:r>
        <w:t xml:space="preserve"> </w:t>
      </w:r>
      <w:r>
        <w:rPr>
          <w:iCs/>
          <w:i/>
        </w:rPr>
        <w:t xml:space="preserve">yajādi</w:t>
      </w:r>
      <w:r>
        <w:t xml:space="preserve"> </w:t>
      </w:r>
      <w:r>
        <w:t xml:space="preserve">roots are counted in the verse</w:t>
      </w:r>
      <w:r>
        <w:t xml:space="preserve"> </w:t>
      </w:r>
      <w:r>
        <w:t xml:space="preserve">“</w:t>
      </w:r>
      <w:r>
        <w:t xml:space="preserve">yajir vapir vahiś caiva vasir veñ vyeñ ity api | hveñ vadiḥ śvayatiś caiva yajādyāḥ syur ime nava</w:t>
      </w:r>
      <w:r>
        <w:t xml:space="preserve">”</w:t>
      </w:r>
      <w:r>
        <w:t xml:space="preserve">.</w:t>
      </w:r>
      <w:r>
        <w:t xml:space="preserve"> </w:t>
      </w:r>
      <w:r>
        <w:t xml:space="preserve">“</w:t>
      </w:r>
      <w:r>
        <w:t xml:space="preserve">samprasāraṇāc ca</w:t>
      </w:r>
      <w:r>
        <w:t xml:space="preserve">”</w:t>
      </w:r>
      <w:r>
        <w:t xml:space="preserve">,</w:t>
      </w:r>
      <w:r>
        <w:t xml:space="preserve"> </w:t>
      </w:r>
      <w:r>
        <w:rPr>
          <w:iCs/>
          <w:i/>
        </w:rPr>
        <w:t xml:space="preserve">pūrvarūpa</w:t>
      </w:r>
      <w:r>
        <w:t xml:space="preserve">, and</w:t>
      </w:r>
      <w:r>
        <w:t xml:space="preserve"> </w:t>
      </w:r>
      <w:r>
        <w:t xml:space="preserve">“</w:t>
      </w:r>
      <w:r>
        <w:t xml:space="preserve">halaḥ</w:t>
      </w:r>
      <w:r>
        <w:t xml:space="preserve">”</w:t>
      </w:r>
      <w:r>
        <w:t xml:space="preserve"> </w:t>
      </w:r>
      <w:r>
        <w:t xml:space="preserve">(printed</w:t>
      </w:r>
      <w:r>
        <w:t xml:space="preserve"> </w:t>
      </w:r>
      <w:r>
        <w:t xml:space="preserve">“</w:t>
      </w:r>
      <w:r>
        <w:t xml:space="preserve">6-4-2</w:t>
      </w:r>
      <w:r>
        <w:t xml:space="preserve">”</w:t>
      </w:r>
      <w:r>
        <w:t xml:space="preserve">) gives the lengthening:</w:t>
      </w:r>
      <w:r>
        <w:t xml:space="preserve"> </w:t>
      </w:r>
      <w:r>
        <w:rPr>
          <w:iCs/>
          <w:i/>
        </w:rPr>
        <w:t xml:space="preserve">hūti</w:t>
      </w:r>
      <w:r>
        <w:t xml:space="preserve">,</w:t>
      </w:r>
      <w:r>
        <w:t xml:space="preserve"> </w:t>
      </w:r>
      <w:r>
        <w:t xml:space="preserve">“</w:t>
      </w:r>
      <w:r>
        <w:t xml:space="preserve">calling</w:t>
      </w:r>
      <w:r>
        <w:t xml:space="preserve">”</w:t>
      </w:r>
      <w:r>
        <w:t xml:space="preserve">.</w:t>
      </w:r>
      <w:r>
        <w:t xml:space="preserve"> </w:t>
      </w:r>
      <w:r>
        <w:t xml:space="preserve">“</w:t>
      </w:r>
      <w:r>
        <w:t xml:space="preserve">devānāṃ hūtayaḥ āsu stutiṣu santi iti devahūtayaḥ</w:t>
      </w:r>
      <w:r>
        <w:t xml:space="preserve">”</w:t>
      </w:r>
      <w:r>
        <w:t xml:space="preserve">, a bahuvrīhi: the hymns in which there are callings of the gods are</w:t>
      </w:r>
      <w:r>
        <w:t xml:space="preserve"> </w:t>
      </w:r>
      <w:r>
        <w:rPr>
          <w:iCs/>
          <w:i/>
        </w:rPr>
        <w:t xml:space="preserve">devahūtayaḥ</w:t>
      </w:r>
      <w:r>
        <w:t xml:space="preserve">; the first member’s accent by</w:t>
      </w:r>
      <w:r>
        <w:t xml:space="preserve"> </w:t>
      </w:r>
      <w:r>
        <w:t xml:space="preserve">“</w:t>
      </w:r>
      <w:r>
        <w:t xml:space="preserve">bahuvrīhau prakṛtyā pūrvapadam</w:t>
      </w:r>
      <w:r>
        <w:t xml:space="preserve">”</w:t>
      </w:r>
      <w:r>
        <w:t xml:space="preserve"> </w:t>
      </w:r>
      <w:r>
        <w:t xml:space="preserve">(Pā. 6-2-1).</w:t>
      </w:r>
      <w:r>
        <w:t xml:space="preserve"> </w:t>
      </w:r>
      <w:r>
        <w:rPr>
          <w:bCs/>
          <w:b/>
        </w:rPr>
        <w:t xml:space="preserve">स्तोमम् (</w:t>
      </w:r>
      <w:r>
        <w:rPr>
          <w:iCs/>
          <w:i/>
          <w:bCs/>
          <w:b/>
        </w:rPr>
        <w:t xml:space="preserve">stomam</w:t>
      </w:r>
      <w:r>
        <w:rPr>
          <w:bCs/>
          <w:b/>
        </w:rPr>
        <w:t xml:space="preserve">)</w:t>
      </w:r>
      <w:r>
        <w:t xml:space="preserve"> </w:t>
      </w:r>
      <w:r>
        <w:t xml:space="preserve">—</w:t>
      </w:r>
      <w:r>
        <w:t xml:space="preserve"> </w:t>
      </w:r>
      <w:r>
        <w:t xml:space="preserve">“</w:t>
      </w:r>
      <w:r>
        <w:t xml:space="preserve">arti-stu-su-hu-sṛ-dhṛ-kṣi-kṣu-bhā-yā-vā-padi-yakṣi-nībhyo man</w:t>
      </w:r>
      <w:r>
        <w:t xml:space="preserve">”</w:t>
      </w:r>
      <w:r>
        <w:t xml:space="preserve"> </w:t>
      </w:r>
      <w:r>
        <w:t xml:space="preserve">(Uṇ. 1-138):</w:t>
      </w:r>
      <w:r>
        <w:t xml:space="preserve"> </w:t>
      </w:r>
      <w:r>
        <w:rPr>
          <w:iCs/>
          <w:i/>
        </w:rPr>
        <w:t xml:space="preserve">man</w:t>
      </w:r>
      <w:r>
        <w:t xml:space="preserve"> </w:t>
      </w:r>
      <w:r>
        <w:t xml:space="preserve">after</w:t>
      </w:r>
      <w:r>
        <w:t xml:space="preserve"> </w:t>
      </w:r>
      <w:r>
        <w:rPr>
          <w:iCs/>
          <w:i/>
        </w:rPr>
        <w:t xml:space="preserve">stu</w:t>
      </w:r>
      <w:r>
        <w:t xml:space="preserve">;</w:t>
      </w:r>
      <w:r>
        <w:t xml:space="preserve"> </w:t>
      </w:r>
      <w:r>
        <w:rPr>
          <w:iCs/>
          <w:i/>
        </w:rPr>
        <w:t xml:space="preserve">guṇa</w:t>
      </w:r>
      <w:r>
        <w:t xml:space="preserve"> </w:t>
      </w:r>
      <w:r>
        <w:t xml:space="preserve">by</w:t>
      </w:r>
      <w:r>
        <w:t xml:space="preserve"> </w:t>
      </w:r>
      <w:r>
        <w:t xml:space="preserve">“</w:t>
      </w:r>
      <w:r>
        <w:t xml:space="preserve">sārvadhātukārdhadhātukayoḥ</w:t>
      </w:r>
      <w:r>
        <w:t xml:space="preserve">”</w:t>
      </w:r>
      <w:r>
        <w:t xml:space="preserve"> </w:t>
      </w:r>
      <w:r>
        <w:t xml:space="preserve">(Pā. 7-3-84):</w:t>
      </w:r>
      <w:r>
        <w:t xml:space="preserve"> </w:t>
      </w:r>
      <w:r>
        <w:rPr>
          <w:iCs/>
          <w:i/>
        </w:rPr>
        <w:t xml:space="preserve">stoma</w:t>
      </w:r>
      <w:r>
        <w:t xml:space="preserve">; the suffix being</w:t>
      </w:r>
      <w:r>
        <w:t xml:space="preserve"> </w:t>
      </w:r>
      <w:r>
        <w:rPr>
          <w:iCs/>
          <w:i/>
        </w:rPr>
        <w:t xml:space="preserve">nit</w:t>
      </w:r>
      <w:r>
        <w:t xml:space="preserve">, initial-udātta by</w:t>
      </w:r>
      <w:r>
        <w:t xml:space="preserve"> </w:t>
      </w:r>
      <w:r>
        <w:t xml:space="preserve">“</w:t>
      </w:r>
      <w:r>
        <w:t xml:space="preserve">ñnity ādir nityam</w:t>
      </w:r>
      <w:r>
        <w:t xml:space="preserve">”</w:t>
      </w:r>
      <w:r>
        <w:t xml:space="preserve"> </w:t>
      </w:r>
      <w:r>
        <w:t xml:space="preserve">(Pā. 6-1-197).</w:t>
      </w:r>
    </w:p>
    <w:p>
      <w:pPr>
        <w:pStyle w:val="BodyText"/>
      </w:pPr>
      <w:r>
        <w:rPr>
          <w:bCs/>
          <w:b/>
        </w:rPr>
        <w:t xml:space="preserve">॥१२॥</w:t>
      </w:r>
    </w:p>
    <w:p>
      <w:pPr>
        <w:pStyle w:val="BodyText"/>
      </w:pPr>
      <w:r>
        <w:rPr>
          <w:iCs/>
          <w:i/>
        </w:rPr>
        <w:t xml:space="preserve">(A printed ornament follows. The page carries no Sanskrit or Kannada colophon for this sūkta. The next printed page, 525, opens the thirteenth sūkta,</w:t>
      </w:r>
      <w:r>
        <w:rPr>
          <w:iCs/>
          <w:i/>
        </w:rPr>
        <w:t xml:space="preserve"> </w:t>
      </w:r>
      <w:r>
        <w:rPr>
          <w:iCs/>
          <w:i/>
        </w:rPr>
        <w:t xml:space="preserve">“</w:t>
      </w:r>
      <w:r>
        <w:rPr>
          <w:iCs/>
          <w:i/>
        </w:rPr>
        <w:t xml:space="preserve">suśamiddho na ā vaha,</w:t>
      </w:r>
      <w:r>
        <w:rPr>
          <w:iCs/>
          <w:i/>
        </w:rPr>
        <w:t xml:space="preserve">”</w:t>
      </w:r>
      <w:r>
        <w:rPr>
          <w:iCs/>
          <w:i/>
        </w:rPr>
        <w:t xml:space="preserve"> </w:t>
      </w:r>
      <w:r>
        <w:rPr>
          <w:iCs/>
          <w:i/>
        </w:rPr>
        <w:t xml:space="preserve">which the table of contents calls an Āpri-sūkta.)</w:t>
      </w:r>
    </w:p>
    <w:p>
      <w:pPr>
        <w:pStyle w:val="BodyText"/>
      </w:pPr>
      <w:r>
        <w:rPr>
          <w:bCs/>
          <w:b/>
        </w:rPr>
        <w:t xml:space="preserve">End of Sūkta 12.</w:t>
      </w:r>
    </w:p>
    <w:p>
      <w:r>
        <w:pict>
          <v:rect style="width:0;height:1.5pt" o:hralign="center" o:hrstd="t" o:hr="t"/>
        </w:pict>
      </w:r>
    </w:p>
    <w:bookmarkEnd w:id="551"/>
    <w:bookmarkStart w:id="552" w:name="X1616d05bd5688c509eb315b777502af24837f03"/>
    <w:p>
      <w:pPr>
        <w:pStyle w:val="Heading3"/>
      </w:pPr>
      <w:r>
        <w:t xml:space="preserve">Page 525 — opening of Sūkta 13 (fourth anuvāka), an Āpri-sūkta</w:t>
      </w:r>
    </w:p>
    <w:p>
      <w:pPr>
        <w:pStyle w:val="FirstParagraph"/>
      </w:pPr>
      <w:r>
        <w:rPr>
          <w:bCs/>
          <w:b/>
        </w:rPr>
        <w:t xml:space="preserve">॥ ಹದಿಮೂರನೆಯ ಸೂಕ್ತವು ॥ — Sūkta 13 —</w:t>
      </w:r>
      <w:r>
        <w:rPr>
          <w:bCs/>
          <w:b/>
        </w:rPr>
        <w:t xml:space="preserve"> </w:t>
      </w:r>
      <w:r>
        <w:rPr>
          <w:iCs/>
          <w:i/>
          <w:bCs/>
          <w:b/>
        </w:rPr>
        <w:t xml:space="preserve">“</w:t>
      </w:r>
      <w:r>
        <w:rPr>
          <w:iCs/>
          <w:i/>
          <w:bCs/>
          <w:b/>
        </w:rPr>
        <w:t xml:space="preserve">suśamiddho na ā vaha</w:t>
      </w:r>
      <w:r>
        <w:rPr>
          <w:iCs/>
          <w:i/>
          <w:bCs/>
          <w:b/>
        </w:rPr>
        <w:t xml:space="preserve">”</w:t>
      </w:r>
      <w:r>
        <w:rPr>
          <w:bCs/>
          <w:b/>
        </w:rPr>
        <w:t xml:space="preserve"> </w:t>
      </w:r>
      <w:r>
        <w:rPr>
          <w:bCs/>
          <w:b/>
        </w:rPr>
        <w:t xml:space="preserve">(</w:t>
      </w:r>
      <w:r>
        <w:rPr>
          <w:bCs/>
          <w:b/>
        </w:rPr>
        <w:t xml:space="preserve">“</w:t>
      </w:r>
      <w:r>
        <w:rPr>
          <w:bCs/>
          <w:b/>
        </w:rPr>
        <w:t xml:space="preserve">The Thirteenth Sūkta</w:t>
      </w:r>
      <w:r>
        <w:rPr>
          <w:bCs/>
          <w:b/>
        </w:rPr>
        <w:t xml:space="preserve">”</w:t>
      </w:r>
      <w:r>
        <w:rPr>
          <w:bCs/>
          <w:b/>
        </w:rPr>
        <w:t xml:space="preserve">)</w:t>
      </w:r>
    </w:p>
    <w:p>
      <w:pPr>
        <w:pStyle w:val="BodyText"/>
      </w:pPr>
      <w:r>
        <w:rPr>
          <w:bCs/>
          <w:b/>
        </w:rPr>
        <w:t xml:space="preserve">॥ Sāyaṇa-bhāṣyam ॥ (introductory note on the application of the sūkta)</w:t>
      </w:r>
    </w:p>
    <w:p>
      <w:pPr>
        <w:pStyle w:val="BlockText"/>
      </w:pPr>
      <w:r>
        <w:t xml:space="preserve">सुसमिद्ध इत्यादिकं द्वादशर्चं द्वितीयमाप्रीसूक्तम् । तस्य काण्वो मेधातिथिर्ऋषिः । गायत्रं छन्दः । प्रत्यृचं प्रतीयमानाः समिद्धतनूनपादादिका द्वादश देवताः । तथा चानुक्रमणिकायामृक्संख्यामृषिं छन्दश्चानुवृत्तिबलात्सिद्धवत्कृत्य देवता उदाहृताः । सुसमिद्ध इतीध्मः समिद्धो वाग्निस्तनूनपान्नराशंस इळो बर्हिर्देवीर्द्वार उषासानक्ता दैव्यौ होतारौ प्रचेतसौ तिस्रो देव्यः सरस्वतीळाभारत्यस्त्वष्टा वनस्पतिः स्वाहाकृतय इति प्रत्यृचं देवता एतदाप्रीसूक्तमिति ॥ विनियोगस्तु । पशौ सुसमिद्धो न आ वहेति काण्वमाप्रीसूक्तम् । एकादश प्रयाजा इति खण्डे सूत्रितम् । समिद्धो अद्येति सर्वेषां यथर्षि वा । आ. ३-२ । इति ॥</w:t>
      </w:r>
    </w:p>
    <w:p>
      <w:pPr>
        <w:pStyle w:val="BlockText"/>
      </w:pPr>
      <w:r>
        <w:rPr>
          <w:iCs/>
          <w:i/>
        </w:rPr>
        <w:t xml:space="preserve">susamiddha ityādikaṃ dvādaśarcaṃ dvitīyamāprīsūktam | tasya kāṇvo medhātithirṛṣiḥ | gāyatraṃ chandaḥ | pratyṛcaṃ pratīyamānāḥ samiddhatanūnapādādikā dvādaśa devatāḥ | tathā cānukramaṇikāyāmṛksaṃkhyāmṛṣiṃ chandaścānuvṛttibalātsiddhavatkṛtya devatā udāhṛtāḥ | susamiddha itīdhmaḥ samiddho vāgnistanūnapānnarāśaṃsa iḷo barhirdevīrdvāra uṣāsānaktā daivyau hotārau pracetasau tisro devyaḥ sarasvatīḷābhāratyastvaṣṭā vanaspatiḥ svāhākṛtaya iti pratyṛcaṃ devatā etadāprīsūktamiti || viniyogastu | paśau susamiddho na ā vaheti kāṇvamāprīsūktam | ekādaśa prayājā iti khaṇḍe sūtritam | samiddho adyeti sarveṣāṃ yatharṣi vā | ā. 3-2 | iti ||</w:t>
      </w:r>
    </w:p>
    <w:p>
      <w:pPr>
        <w:pStyle w:val="FirstParagraph"/>
      </w:pPr>
      <w:r>
        <w:rPr>
          <w:bCs/>
          <w:b/>
        </w:rPr>
        <w:t xml:space="preserve">Translation:</w:t>
      </w:r>
      <w:r>
        <w:t xml:space="preserve"> </w:t>
      </w:r>
      <w:r>
        <w:t xml:space="preserve">“</w:t>
      </w:r>
      <w:r>
        <w:t xml:space="preserve">The twelve-rik sūkta beginning</w:t>
      </w:r>
      <w:r>
        <w:t xml:space="preserve"> </w:t>
      </w:r>
      <w:r>
        <w:rPr>
          <w:iCs/>
          <w:i/>
        </w:rPr>
        <w:t xml:space="preserve">susamiddha</w:t>
      </w:r>
      <w:r>
        <w:t xml:space="preserve"> </w:t>
      </w:r>
      <w:r>
        <w:t xml:space="preserve">is the second Āpri-sūkta. Its ṛṣi is Medhātithi Kāṇva; the meter is Gāyatrī; the twelve deities, one for each rik, are known in order beginning with</w:t>
      </w:r>
      <w:r>
        <w:t xml:space="preserve"> </w:t>
      </w:r>
      <w:r>
        <w:rPr>
          <w:iCs/>
          <w:i/>
        </w:rPr>
        <w:t xml:space="preserve">samiddha</w:t>
      </w:r>
      <w:r>
        <w:t xml:space="preserve"> </w:t>
      </w:r>
      <w:r>
        <w:t xml:space="preserve">[Agni] and</w:t>
      </w:r>
      <w:r>
        <w:t xml:space="preserve"> </w:t>
      </w:r>
      <w:r>
        <w:rPr>
          <w:iCs/>
          <w:i/>
        </w:rPr>
        <w:t xml:space="preserve">tanūnapāt</w:t>
      </w:r>
      <w:r>
        <w:t xml:space="preserve">. So in the Anukramaṇikā, treating the number of riks, the ṛṣi and the meter as established by continuation, the deities are cited:</w:t>
      </w:r>
      <w:r>
        <w:t xml:space="preserve"> </w:t>
      </w:r>
      <w:r>
        <w:t xml:space="preserve">‘</w:t>
      </w:r>
      <w:r>
        <w:rPr>
          <w:iCs/>
          <w:i/>
        </w:rPr>
        <w:t xml:space="preserve">susamiddha</w:t>
      </w:r>
      <w:r>
        <w:t xml:space="preserve">’</w:t>
      </w:r>
      <w:r>
        <w:t xml:space="preserve"> </w:t>
      </w:r>
      <w:r>
        <w:t xml:space="preserve">—</w:t>
      </w:r>
      <w:r>
        <w:t xml:space="preserve"> </w:t>
      </w:r>
      <w:r>
        <w:rPr>
          <w:iCs/>
          <w:i/>
        </w:rPr>
        <w:t xml:space="preserve">idhma</w:t>
      </w:r>
      <w:r>
        <w:t xml:space="preserve"> </w:t>
      </w:r>
      <w:r>
        <w:t xml:space="preserve">[fuel] or</w:t>
      </w:r>
      <w:r>
        <w:t xml:space="preserve"> </w:t>
      </w:r>
      <w:r>
        <w:rPr>
          <w:iCs/>
          <w:i/>
        </w:rPr>
        <w:t xml:space="preserve">samiddha</w:t>
      </w:r>
      <w:r>
        <w:t xml:space="preserve"> </w:t>
      </w:r>
      <w:r>
        <w:t xml:space="preserve">[Agni kindled];</w:t>
      </w:r>
      <w:r>
        <w:t xml:space="preserve"> </w:t>
      </w:r>
      <w:r>
        <w:rPr>
          <w:iCs/>
          <w:i/>
        </w:rPr>
        <w:t xml:space="preserve">tanūnapāt</w:t>
      </w:r>
      <w:r>
        <w:t xml:space="preserve">;</w:t>
      </w:r>
      <w:r>
        <w:t xml:space="preserve"> </w:t>
      </w:r>
      <w:r>
        <w:rPr>
          <w:iCs/>
          <w:i/>
        </w:rPr>
        <w:t xml:space="preserve">narāśaṃsa</w:t>
      </w:r>
      <w:r>
        <w:t xml:space="preserve">;</w:t>
      </w:r>
      <w:r>
        <w:t xml:space="preserve"> </w:t>
      </w:r>
      <w:r>
        <w:rPr>
          <w:iCs/>
          <w:i/>
        </w:rPr>
        <w:t xml:space="preserve">iḷaḥ</w:t>
      </w:r>
      <w:r>
        <w:t xml:space="preserve">;</w:t>
      </w:r>
      <w:r>
        <w:t xml:space="preserve"> </w:t>
      </w:r>
      <w:r>
        <w:rPr>
          <w:iCs/>
          <w:i/>
        </w:rPr>
        <w:t xml:space="preserve">barhiḥ</w:t>
      </w:r>
      <w:r>
        <w:t xml:space="preserve">;</w:t>
      </w:r>
      <w:r>
        <w:t xml:space="preserve"> </w:t>
      </w:r>
      <w:r>
        <w:rPr>
          <w:iCs/>
          <w:i/>
        </w:rPr>
        <w:t xml:space="preserve">devīr dvāraḥ</w:t>
      </w:r>
      <w:r>
        <w:t xml:space="preserve">;</w:t>
      </w:r>
      <w:r>
        <w:t xml:space="preserve"> </w:t>
      </w:r>
      <w:r>
        <w:rPr>
          <w:iCs/>
          <w:i/>
        </w:rPr>
        <w:t xml:space="preserve">uṣāsānaktā</w:t>
      </w:r>
      <w:r>
        <w:t xml:space="preserve">;</w:t>
      </w:r>
      <w:r>
        <w:t xml:space="preserve"> </w:t>
      </w:r>
      <w:r>
        <w:rPr>
          <w:iCs/>
          <w:i/>
        </w:rPr>
        <w:t xml:space="preserve">daivyau hotārau pracetasau</w:t>
      </w:r>
      <w:r>
        <w:t xml:space="preserve">;</w:t>
      </w:r>
      <w:r>
        <w:t xml:space="preserve"> </w:t>
      </w:r>
      <w:r>
        <w:rPr>
          <w:iCs/>
          <w:i/>
        </w:rPr>
        <w:t xml:space="preserve">tisro devyaḥ</w:t>
      </w:r>
      <w:r>
        <w:t xml:space="preserve"> </w:t>
      </w:r>
      <w:r>
        <w:t xml:space="preserve">— Sarasvatī, Iḷā, Bhāratī;</w:t>
      </w:r>
      <w:r>
        <w:t xml:space="preserve"> </w:t>
      </w:r>
      <w:r>
        <w:rPr>
          <w:iCs/>
          <w:i/>
        </w:rPr>
        <w:t xml:space="preserve">tvaṣṭā</w:t>
      </w:r>
      <w:r>
        <w:t xml:space="preserve">;</w:t>
      </w:r>
      <w:r>
        <w:t xml:space="preserve"> </w:t>
      </w:r>
      <w:r>
        <w:rPr>
          <w:iCs/>
          <w:i/>
        </w:rPr>
        <w:t xml:space="preserve">vanaspatiḥ</w:t>
      </w:r>
      <w:r>
        <w:t xml:space="preserve">;</w:t>
      </w:r>
      <w:r>
        <w:t xml:space="preserve"> </w:t>
      </w:r>
      <w:r>
        <w:rPr>
          <w:iCs/>
          <w:i/>
        </w:rPr>
        <w:t xml:space="preserve">svāhākṛtayaḥ</w:t>
      </w:r>
      <w:r>
        <w:t xml:space="preserve"> </w:t>
      </w:r>
      <w:r>
        <w:t xml:space="preserve">— this is the Āpri-sūkta. Its application: in the animal sacrifice, the Kāṇva Āpri-sūkta</w:t>
      </w:r>
      <w:r>
        <w:t xml:space="preserve"> </w:t>
      </w:r>
      <w:r>
        <w:rPr>
          <w:iCs/>
          <w:i/>
        </w:rPr>
        <w:t xml:space="preserve">susamiddho na ā vaha</w:t>
      </w:r>
      <w:r>
        <w:t xml:space="preserve">; it is laid down in the section</w:t>
      </w:r>
      <w:r>
        <w:t xml:space="preserve"> </w:t>
      </w:r>
      <w:r>
        <w:t xml:space="preserve">‘</w:t>
      </w:r>
      <w:r>
        <w:t xml:space="preserve">the eleven</w:t>
      </w:r>
      <w:r>
        <w:t xml:space="preserve"> </w:t>
      </w:r>
      <w:r>
        <w:rPr>
          <w:iCs/>
          <w:i/>
        </w:rPr>
        <w:t xml:space="preserve">prayājas</w:t>
      </w:r>
      <w:r>
        <w:t xml:space="preserve">’</w:t>
      </w:r>
      <w:r>
        <w:t xml:space="preserve">:</w:t>
      </w:r>
      <w:r>
        <w:t xml:space="preserve"> </w:t>
      </w:r>
      <w:r>
        <w:t xml:space="preserve">‘</w:t>
      </w:r>
      <w:r>
        <w:rPr>
          <w:iCs/>
          <w:i/>
        </w:rPr>
        <w:t xml:space="preserve">samiddho adya</w:t>
      </w:r>
      <w:r>
        <w:t xml:space="preserve">’</w:t>
      </w:r>
      <w:r>
        <w:t xml:space="preserve"> </w:t>
      </w:r>
      <w:r>
        <w:t xml:space="preserve">for all, or according to the ṛṣi (Āśv. 3-2).</w:t>
      </w:r>
      <w:r>
        <w:t xml:space="preserve">”</w:t>
      </w:r>
    </w:p>
    <w:p>
      <w:pPr>
        <w:pStyle w:val="BodyText"/>
      </w:pPr>
      <w:r>
        <w:rPr>
          <w:bCs/>
          <w:b/>
        </w:rPr>
        <w:t xml:space="preserve">॥ Anuvāda (Kannada rendering) ॥</w:t>
      </w:r>
      <w:r>
        <w:t xml:space="preserve"> </w:t>
      </w:r>
      <w:r>
        <w:t xml:space="preserve">The twelve-rik sūkta that begins with</w:t>
      </w:r>
      <w:r>
        <w:t xml:space="preserve"> </w:t>
      </w:r>
      <w:r>
        <w:rPr>
          <w:iCs/>
          <w:i/>
        </w:rPr>
        <w:t xml:space="preserve">susamiddha</w:t>
      </w:r>
      <w:r>
        <w:t xml:space="preserve"> </w:t>
      </w:r>
      <w:r>
        <w:t xml:space="preserve">is the second sūkta in this fourth anuvāka. It is called an</w:t>
      </w:r>
      <w:r>
        <w:t xml:space="preserve"> </w:t>
      </w:r>
      <w:r>
        <w:rPr>
          <w:bCs/>
          <w:b/>
        </w:rPr>
        <w:t xml:space="preserve">Āpri-sūkta</w:t>
      </w:r>
      <w:r>
        <w:t xml:space="preserve">. Its ṛṣi is Medhātithi Kāṇva; its meter is Gāyatrī. For each rik there is a different deity — twelve in all, beginning with</w:t>
      </w:r>
      <w:r>
        <w:t xml:space="preserve"> </w:t>
      </w:r>
      <w:r>
        <w:rPr>
          <w:iCs/>
          <w:i/>
        </w:rPr>
        <w:t xml:space="preserve">idhma-samiddha</w:t>
      </w:r>
      <w:r>
        <w:t xml:space="preserve"> </w:t>
      </w:r>
      <w:r>
        <w:t xml:space="preserve">Agni and</w:t>
      </w:r>
      <w:r>
        <w:t xml:space="preserve"> </w:t>
      </w:r>
      <w:r>
        <w:rPr>
          <w:iCs/>
          <w:i/>
        </w:rPr>
        <w:t xml:space="preserve">tanūnapāt</w:t>
      </w:r>
      <w:r>
        <w:t xml:space="preserve">. The Anukramaṇikā too, noting the number of riks, the ṛṣi and the meter, lists the deities: in the sūkta</w:t>
      </w:r>
      <w:r>
        <w:t xml:space="preserve"> </w:t>
      </w:r>
      <w:r>
        <w:rPr>
          <w:iCs/>
          <w:i/>
        </w:rPr>
        <w:t xml:space="preserve">susamiddha</w:t>
      </w:r>
      <w:r>
        <w:t xml:space="preserve">, for the riks in order: (1)</w:t>
      </w:r>
      <w:r>
        <w:t xml:space="preserve"> </w:t>
      </w:r>
      <w:r>
        <w:rPr>
          <w:iCs/>
          <w:i/>
        </w:rPr>
        <w:t xml:space="preserve">idhmaḥ samiddho ’gnir vā</w:t>
      </w:r>
      <w:r>
        <w:t xml:space="preserve">, (2)</w:t>
      </w:r>
      <w:r>
        <w:t xml:space="preserve"> </w:t>
      </w:r>
      <w:r>
        <w:rPr>
          <w:iCs/>
          <w:i/>
        </w:rPr>
        <w:t xml:space="preserve">tanūnapāt</w:t>
      </w:r>
      <w:r>
        <w:t xml:space="preserve">, (3)</w:t>
      </w:r>
      <w:r>
        <w:t xml:space="preserve"> </w:t>
      </w:r>
      <w:r>
        <w:rPr>
          <w:iCs/>
          <w:i/>
        </w:rPr>
        <w:t xml:space="preserve">narāśaṃsaḥ</w:t>
      </w:r>
      <w:r>
        <w:t xml:space="preserve">, (4)</w:t>
      </w:r>
      <w:r>
        <w:t xml:space="preserve"> </w:t>
      </w:r>
      <w:r>
        <w:rPr>
          <w:iCs/>
          <w:i/>
        </w:rPr>
        <w:t xml:space="preserve">iḷaḥ</w:t>
      </w:r>
      <w:r>
        <w:t xml:space="preserve">, (5)</w:t>
      </w:r>
      <w:r>
        <w:t xml:space="preserve"> </w:t>
      </w:r>
      <w:r>
        <w:rPr>
          <w:iCs/>
          <w:i/>
        </w:rPr>
        <w:t xml:space="preserve">barhiḥ</w:t>
      </w:r>
      <w:r>
        <w:t xml:space="preserve">, (6)</w:t>
      </w:r>
      <w:r>
        <w:t xml:space="preserve"> </w:t>
      </w:r>
      <w:r>
        <w:rPr>
          <w:iCs/>
          <w:i/>
        </w:rPr>
        <w:t xml:space="preserve">devīr dvāraḥ</w:t>
      </w:r>
      <w:r>
        <w:t xml:space="preserve">, (7)</w:t>
      </w:r>
      <w:r>
        <w:t xml:space="preserve"> </w:t>
      </w:r>
      <w:r>
        <w:rPr>
          <w:iCs/>
          <w:i/>
        </w:rPr>
        <w:t xml:space="preserve">uṣāsānaktā</w:t>
      </w:r>
      <w:r>
        <w:t xml:space="preserve">, (8)</w:t>
      </w:r>
      <w:r>
        <w:t xml:space="preserve"> </w:t>
      </w:r>
      <w:r>
        <w:rPr>
          <w:iCs/>
          <w:i/>
        </w:rPr>
        <w:t xml:space="preserve">daivyā hotārā pracetasau</w:t>
      </w:r>
      <w:r>
        <w:t xml:space="preserve">, (9)</w:t>
      </w:r>
      <w:r>
        <w:t xml:space="preserve"> </w:t>
      </w:r>
      <w:r>
        <w:rPr>
          <w:iCs/>
          <w:i/>
        </w:rPr>
        <w:t xml:space="preserve">tisro devyaḥ sarasvatī bhāratī iḷā</w:t>
      </w:r>
      <w:r>
        <w:t xml:space="preserve">, (10)</w:t>
      </w:r>
      <w:r>
        <w:t xml:space="preserve"> </w:t>
      </w:r>
      <w:r>
        <w:rPr>
          <w:iCs/>
          <w:i/>
        </w:rPr>
        <w:t xml:space="preserve">tvaṣṭā</w:t>
      </w:r>
      <w:r>
        <w:t xml:space="preserve">, (11)</w:t>
      </w:r>
      <w:r>
        <w:t xml:space="preserve"> </w:t>
      </w:r>
      <w:r>
        <w:rPr>
          <w:iCs/>
          <w:i/>
        </w:rPr>
        <w:t xml:space="preserve">vanaspatiḥ</w:t>
      </w:r>
      <w:r>
        <w:t xml:space="preserve">, (12)</w:t>
      </w:r>
      <w:r>
        <w:t xml:space="preserve"> </w:t>
      </w:r>
      <w:r>
        <w:rPr>
          <w:iCs/>
          <w:i/>
        </w:rPr>
        <w:t xml:space="preserve">svāhākṛtayaḥ</w:t>
      </w:r>
      <w:r>
        <w:t xml:space="preserve"> </w:t>
      </w:r>
      <w:r>
        <w:t xml:space="preserve">— twelve deities; hence it is well known as an Āpri-sūkta. Application: in the animal sacrifice (</w:t>
      </w:r>
      <w:r>
        <w:rPr>
          <w:iCs/>
          <w:i/>
        </w:rPr>
        <w:t xml:space="preserve">paśuyāga</w:t>
      </w:r>
      <w:r>
        <w:t xml:space="preserve">), when performing the eleven</w:t>
      </w:r>
      <w:r>
        <w:t xml:space="preserve"> </w:t>
      </w:r>
      <w:r>
        <w:rPr>
          <w:iCs/>
          <w:i/>
        </w:rPr>
        <w:t xml:space="preserve">prayāja</w:t>
      </w:r>
      <w:r>
        <w:t xml:space="preserve"> </w:t>
      </w:r>
      <w:r>
        <w:t xml:space="preserve">offerings, the Āpri-sūkta of Kaṇva’s family is used; Āśvalāyana’s Śrauta-sūtra treats this in the section</w:t>
      </w:r>
      <w:r>
        <w:t xml:space="preserve"> </w:t>
      </w:r>
      <w:r>
        <w:t xml:space="preserve">“</w:t>
      </w:r>
      <w:r>
        <w:t xml:space="preserve">the eleven prayājas,</w:t>
      </w:r>
      <w:r>
        <w:t xml:space="preserve">”</w:t>
      </w:r>
      <w:r>
        <w:t xml:space="preserve"> </w:t>
      </w:r>
      <w:r>
        <w:t xml:space="preserve">by the sūtra</w:t>
      </w:r>
      <w:r>
        <w:t xml:space="preserve"> </w:t>
      </w:r>
      <w:r>
        <w:rPr>
          <w:iCs/>
          <w:i/>
        </w:rPr>
        <w:t xml:space="preserve">samiddho adya sarveṣāṃ yathā-rṣi vā</w:t>
      </w:r>
      <w:r>
        <w:t xml:space="preserve"> </w:t>
      </w:r>
      <w:r>
        <w:t xml:space="preserve">(Ā. 3-2).</w:t>
      </w:r>
    </w:p>
    <w:bookmarkEnd w:id="552"/>
    <w:bookmarkStart w:id="553" w:name="page-526-sūkta-13-rik-1"/>
    <w:p>
      <w:pPr>
        <w:pStyle w:val="Heading3"/>
      </w:pPr>
      <w:r>
        <w:t xml:space="preserve">Page 526 — Sūkta 13, Rik 1</w:t>
      </w:r>
    </w:p>
    <w:p>
      <w:pPr>
        <w:pStyle w:val="FirstParagraph"/>
      </w:pPr>
      <w:r>
        <w:rPr>
          <w:iCs/>
          <w:i/>
        </w:rPr>
        <w:t xml:space="preserve">(Saṃhitā accents as printed; Pada unaccented. The Pada prints</w:t>
      </w:r>
      <w:r>
        <w:t xml:space="preserve"> </w:t>
      </w:r>
      <w:r>
        <w:t xml:space="preserve">होतरिति</w:t>
      </w:r>
      <w:r>
        <w:t xml:space="preserve"> </w:t>
      </w:r>
      <w:r>
        <w:rPr>
          <w:iCs/>
          <w:i/>
        </w:rPr>
        <w:t xml:space="preserve">(hotar iti) for</w:t>
      </w:r>
      <w:r>
        <w:t xml:space="preserve"> </w:t>
      </w:r>
      <w:r>
        <w:t xml:space="preserve">होतः</w:t>
      </w:r>
      <w:r>
        <w:rPr>
          <w:iCs/>
          <w:i/>
        </w:rPr>
        <w:t xml:space="preserve">, as printed.)</w:t>
      </w:r>
    </w:p>
    <w:p>
      <w:pPr>
        <w:pStyle w:val="BodyText"/>
      </w:pPr>
      <w:r>
        <w:rPr>
          <w:bCs/>
          <w:b/>
        </w:rPr>
        <w:t xml:space="preserve">॥ ॐ ॥</w:t>
      </w:r>
    </w:p>
    <w:p>
      <w:pPr>
        <w:pStyle w:val="BodyText"/>
      </w:pPr>
      <w:r>
        <w:rPr>
          <w:bCs/>
          <w:b/>
        </w:rPr>
        <w:t xml:space="preserve">॥ Sūkta — 13 ॥</w:t>
      </w:r>
      <w:r>
        <w:t xml:space="preserve"> </w:t>
      </w:r>
      <w:r>
        <w:rPr>
          <w:bCs/>
          <w:b/>
        </w:rPr>
        <w:t xml:space="preserve">॥ Maṇḍala — 1 ॥ Anuvāka — 4 ॥ Sūkta — 13 ॥</w:t>
      </w:r>
      <w:r>
        <w:t xml:space="preserve"> </w:t>
      </w:r>
      <w:r>
        <w:rPr>
          <w:bCs/>
          <w:b/>
        </w:rPr>
        <w:t xml:space="preserve">॥ Aṣṭaka — 1 ॥ Adhyāya — 1 ॥ Varga — 24, 25 ॥</w:t>
      </w:r>
      <w:r>
        <w:t xml:space="preserve"> </w:t>
      </w:r>
      <w:r>
        <w:rPr>
          <w:bCs/>
          <w:b/>
        </w:rPr>
        <w:t xml:space="preserve">॥ Mantras contained in this sūkta: 1–12 ॥</w:t>
      </w:r>
      <w:r>
        <w:t xml:space="preserve"> </w:t>
      </w:r>
      <w:r>
        <w:rPr>
          <w:bCs/>
          <w:b/>
        </w:rPr>
        <w:t xml:space="preserve">॥ Ṛṣi — Medhātithi Kāṇva ॥</w:t>
      </w:r>
      <w:r>
        <w:t xml:space="preserve"> </w:t>
      </w:r>
      <w:r>
        <w:rPr>
          <w:bCs/>
          <w:b/>
        </w:rPr>
        <w:t xml:space="preserve">॥ Devatā — (1) idhmaḥ samiddho ’gniḥ; (2) tanūnapāt; (3) narāśaṃsaḥ; (4) iḷaḥ; (5) barhiḥ; (6) devīr dvāraḥ; (7) uṣāsānaktā; (8) daivyā hotārā pracetasau; (9) tisro devyaḥ — sarasvatī, iḷā, bhāratī; (10) tvaṣṭā; (11) vanaspatiḥ; (12) svāhākṛtayaḥ ॥</w:t>
      </w:r>
      <w:r>
        <w:t xml:space="preserve"> </w:t>
      </w:r>
      <w:r>
        <w:rPr>
          <w:iCs/>
          <w:i/>
        </w:rPr>
        <w:t xml:space="preserve">(as printed, rik by rik)</w:t>
      </w:r>
      <w:r>
        <w:t xml:space="preserve"> </w:t>
      </w:r>
      <w:r>
        <w:rPr>
          <w:bCs/>
          <w:b/>
        </w:rPr>
        <w:t xml:space="preserve">॥ Chandaḥ — Gāyatrī ॥</w:t>
      </w:r>
    </w:p>
    <w:p>
      <w:pPr>
        <w:pStyle w:val="BodyText"/>
      </w:pPr>
      <w:r>
        <w:rPr>
          <w:bCs/>
          <w:b/>
        </w:rPr>
        <w:t xml:space="preserve">॥ Saṃhitā-pāṭhaḥ ॥</w:t>
      </w:r>
    </w:p>
    <w:p>
      <w:pPr>
        <w:pStyle w:val="BlockText"/>
      </w:pPr>
      <w:r>
        <w:t xml:space="preserve">सुस॑मिद्धो न॒ आ व॑ह दे॒वाँ अ॑ग्ने ह॒विष्म॑ते ।</w:t>
      </w:r>
      <w:r>
        <w:t xml:space="preserve"> </w:t>
      </w:r>
      <w:r>
        <w:t xml:space="preserve">होतः॑ पावक॒ यक्षि॑ च ॥१॥</w:t>
      </w:r>
    </w:p>
    <w:p>
      <w:pPr>
        <w:pStyle w:val="BlockText"/>
      </w:pPr>
      <w:r>
        <w:rPr>
          <w:iCs/>
          <w:i/>
        </w:rPr>
        <w:t xml:space="preserve">súsamiddho na ā́ vaha devā́m̐ agne havíṣmate |</w:t>
      </w:r>
      <w:r>
        <w:t xml:space="preserve"> </w:t>
      </w:r>
      <w:r>
        <w:rPr>
          <w:iCs/>
          <w:i/>
        </w:rPr>
        <w:t xml:space="preserve">hótaḥ pāvaka yákṣi ca ||1||</w:t>
      </w:r>
    </w:p>
    <w:p>
      <w:pPr>
        <w:pStyle w:val="FirstParagraph"/>
      </w:pPr>
      <w:r>
        <w:rPr>
          <w:bCs/>
          <w:b/>
        </w:rPr>
        <w:t xml:space="preserve">॥ Pada-pāṭhaḥ ॥</w:t>
      </w:r>
    </w:p>
    <w:p>
      <w:pPr>
        <w:pStyle w:val="BlockText"/>
      </w:pPr>
      <w:r>
        <w:t xml:space="preserve">सुऽसमिद्धः । नः । आ । वह । देवान् । अग्ने । हविष्मते ॥</w:t>
      </w:r>
      <w:r>
        <w:t xml:space="preserve"> </w:t>
      </w:r>
      <w:r>
        <w:t xml:space="preserve">होतरिति । पावक । यक्षि । च ॥१॥</w:t>
      </w:r>
    </w:p>
    <w:p>
      <w:pPr>
        <w:pStyle w:val="BlockText"/>
      </w:pPr>
      <w:r>
        <w:rPr>
          <w:iCs/>
          <w:i/>
        </w:rPr>
        <w:t xml:space="preserve">su-samiddhaḥ | naḥ | ā | vaha | devān | agne | haviṣmate ||</w:t>
      </w:r>
      <w:r>
        <w:t xml:space="preserve"> </w:t>
      </w:r>
      <w:r>
        <w:rPr>
          <w:iCs/>
          <w:i/>
        </w:rPr>
        <w:t xml:space="preserve">hotar iti | pāvaka | yakṣi | ca ||1||</w:t>
      </w:r>
    </w:p>
    <w:p>
      <w:pPr>
        <w:pStyle w:val="FirstParagraph"/>
      </w:pPr>
      <w:r>
        <w:rPr>
          <w:bCs/>
          <w:b/>
        </w:rPr>
        <w:t xml:space="preserve">॥ Sāyaṇa-bhāṣyam ॥</w:t>
      </w:r>
      <w:r>
        <w:t xml:space="preserve"> </w:t>
      </w:r>
      <w:r>
        <w:rPr>
          <w:iCs/>
          <w:i/>
        </w:rPr>
        <w:t xml:space="preserve">(runs onto p. 527)</w:t>
      </w:r>
    </w:p>
    <w:p>
      <w:pPr>
        <w:pStyle w:val="BlockText"/>
      </w:pPr>
      <w:r>
        <w:t xml:space="preserve">हे अग्ने सुसमिद्धनामकस्त्वं नो ऽस्मदीयाय हविष्मते यजमानाय तदनुग्रहार्थं देवाना वह । हे पावक शोधक होतर्होमनिष्पादकाग्ने यक्षि च । यज च ॥ सुसमिद्धः । समः क्रियाविशेषणत्वेन गतिसंज्ञकत्वात्प्रादिसमासः । शोभनवाचिनः सुशब्दस्य तु विशेषणं विशेष्येण बहुलम् । पा. २-१-५७ । इति समिद्धपदेन कर्मधारयसमासः । सुशब्दः प्रातिपदिकस्वरेणोदात्तः । कर्मधारये ऽनिष्ठा । पा. ६-२-४६ । इति पूर्वपदप्रकृतिस्वरत्वम् । क्रियाविशेषणत्वे हि सुशब्दस्य गतित्वात्प्रादिसमासे गतिरनन्तर इति समो यदुदात्तत्वं तदेव कृदुत्तरपदप्रकृतिस्वरत्वेन स्थास्यतीति सुशब्दो ऽनुदात्तः स्यात् । देवाँ अग्ने । पूर्ववद्रुत्वानुनासिके । हविष्मते । हविरस्यास्तीति मतुप् । तसौ मत्वर्थे । पा. १-४-१९ । इति भत्वेन पदत्वस्य बाधितत्वान्न रुत्वम् । होतःपावकशब्दयोरामन्त्रितयोः पृथक्पृथगेव क्रियान्वये परस्परमसामर्थ्यात्पराङ्गवद्भावाभावान्न तन्निबन्धनमैकस्वर्यम् । न च द्वितीयस्यामन्त्रितस्याष्टमिकनिघातेनैकस्वर्यम् । आमन्त्रितं पूर्वमविद्यमानवदिति पूर्वस्याविद्यमानवत्त्वेन पदात्परत्वाभावात्पादादित्वाच्च । परस्परसामानाधिकरण्ये ऽपि होतरित्यस्य विशेषणत्वे समानमेवाविद्यमानवत्त्वम् । अत एवाविद्यमानवत्त्वात्सामर्थ्ये ऽपि न पराङ्गवद्भाव इति नैकस्वर्यसिद्धिः । अतो होतरिति विशेष्यम् । अतः पुनातीति पावक इत्यवयवप्रसिद्धिस्वीकारेण विशेषणत्वाद्धोतरिति विशेष्यम् । तच्च सामान्यवचनमिति नामन्त्रिते समानाधिकरण इत्यविद्यमानवत्त्वप्रतिषेधात्पदात्परत्वादपादादित्वाच्च द्वितीयामन्त्रितस्याष्टमिकनिघातेन वा पराङ्गवद्भावे सति शेषनिघातेन वा सर्वानुदात्तत्वसिद्धिः । यक्षि । यजेर्लोटः सिपि बहुलं छन्दसीति शपो लुक् । व्रश्चादिना षत्वम् । षढोः कः सि । पा. ८-२-४१ । इति कत्वम् । सेर्हिरादेशश्छान्दसत्वान्न भवति । सिपः पित्त्वेनानुदात्तत्वाद्धातुस्वर एव शिष्यते । न च तिङ्ङतिङ इति निघातः । पूर्वस्य पावकेत्यामन्त्रितस्याविद्यमानवत्त्वेन पदादपरत्वात् । अत एव तस्याव्यवधायकत्वेन होतरित्यपेक्ष्य निघातः स्यादिति चेन्न । यक्षिपदापेक्षया होतरित्यस्यापि पूर्वत्वेनाविद्यमानवत्त्वात् । ननु नामन्त्रिते समानाधिकरण इति तस्य निषिद्धमविद्यमानवत्त्वम् । न च पावकपदस्याविद्यमानवत्त्वेन समानाधिकरणपरत्वाभावः । यक्षिपदस्यैव हि कार्यं प्रति पावकपदं पूर्वत्वादविद्यमानवत्स्यात् । होतःपदकार्यमविद्यमानवत्त्वप्रतिषेधं प्रति तु परत्वाद्विद्यमानवदेवेति भवत्येव होतरित्यस्याविद्यमानवत्त्वप्रतिषेधः । अतस्तस्य विद्यमानवत्त्वात्तदपेक्षया यक्षीत्यस्य निघातः प्राप्नोत्येव । सत्यम् । अत्र यक्षीत्यस्य चशब्दपरत्वाच्चादिषु च । ८-१-५८ । इति निघातप्रतिषेधो भविष्यतीत्यदोषः ॥</w:t>
      </w:r>
    </w:p>
    <w:p>
      <w:pPr>
        <w:pStyle w:val="BlockText"/>
      </w:pPr>
      <w:r>
        <w:rPr>
          <w:iCs/>
          <w:i/>
        </w:rPr>
        <w:t xml:space="preserve">he agne susamiddhanāmakastvaṃ no ’smadīyāya haviṣmate yajamānāya tadanugrahārthaṃ devānā vaha | he pāvaka śodhaka hotarhomaniṣpādakāgne yakṣi ca | yaja ca || susamiddhaḥ | samaḥ kriyāviśeṣaṇatvena gatisaṃjñakatvātprādisamāsaḥ | śobhanavācinaḥ suśabdasya tu viśeṣaṇaṃ viśeṣyeṇa bahulam | pā. 2-1-57 | iti samiddhapadena karmadhārayasamāsaḥ | suśabdaḥ prātipadikasvareṇodāttaḥ | karmadhāraye ’niṣṭhā | pā. 6-2-46 | iti pūrvapadaprakṛtisvaratvam | kriyāviśeṣaṇatve hi suśabdasya gatitvātprādisamāse gatiranantara iti samo yadudāttatvaṃ tadeva kṛduttarapadaprakṛtisvaratvena sthāsyatīti suśabdo ’nudāttaḥ syāt | devā~ agne | pūrvavadrutvānunāsike | haviṣmate | havirasyāstīti matup | tasau matvarthe | pā. 1-4-19 | iti bhatvena padatvasya bādhitatvānna rutvam | hotaḥpāvakaśabdayorāmantritayoḥ pṛthakpṛthageva kriyānvaye parasparamasāmarthyātparāṅgavadbhāvābhāvānna tannibandhanamaikasvaryam | na ca dvitīyasyāmantritasyāṣṭamikanighātenaikasvaryam | āmantritaṃ pūrvamavidyamānavaditi pūrvasyāvidyamānavattvena padātparatvābhāvātpādāditvācca | parasparasāmānādhikaraṇye ’pi hotarityasya viśeṣaṇatve samānamevāvidyamānavattvam | ata evāvidyamānavattvātsāmarthye ’pi na parāṅgavadbhāva iti naikasvaryasiddhiḥ | ato hotariti viśeṣyam | ataḥ punātīti pāvaka ityavayavaprasiddhisvīkāreṇa viśeṣaṇatvāddhotariti viśeṣyam | tacca sāmānyavacanamiti nāmantrite samānādhikaraṇa ityavidyamānavattvapratiṣedhātpadātparatvādapādāditvācca dvitīyāmantritasyāṣṭamikanighātena vā parāṅgavadbhāve sati śeṣanighātena vā sarvānudāttatvasiddhiḥ | yakṣi | yajerloṭaḥ sipi bahulaṃ chandasīti śapo luk | vraścādinā ṣatvam | ṣaḍhoḥ kaḥ si | pā. 8-2-41 | iti katvam | serhirādeśaśchāndasatvānna bhavati | sipaḥ pittvenānudāttatvāddhātusvara eva śiṣyate | na ca tiṅṅatiṅa iti nighātaḥ | pūrvasya pāvaketyāmantritasyāvidyamānavattvena padādaparatvāt | ata eva tasyāvyavadhāyakatvena hotarityapekṣya nighātaḥ syāditi cenna | yakṣipadāpekṣayā hotarityasyāpi pūrvatvenāvidyamānavattvāt | nanu nāmantrite samānādhikaraṇa iti tasya niṣiddhamavidyamānavattvam | na ca pāvakapadasyāvidyamānavattvena samānādhikaraṇaparatvābhāvaḥ | yakṣipadasyaiva hi kāryaṃ prati pāvakapadaṃ pūrvatvādavidyamānavatsyāt | hotaḥpadakāryamavidyamānavattvapratiṣedhaṃ prati tu paratvādvidyamānavadeveti bhavatyeva hotarityasyāvidyamānavattvapratiṣedhaḥ | atastasya vidyamānavattvāttadapekṣayā yakṣītyasya nighātaḥ prāpnotyeva | satyam | atra yakṣītyasya caśabdaparatvāccādiṣu ca | 8-1-58 | iti nighātapratiṣedho bhaviṣyatītyadoṣaḥ ||</w:t>
      </w:r>
    </w:p>
    <w:p>
      <w:pPr>
        <w:pStyle w:val="FirstParagraph"/>
      </w:pPr>
      <w:r>
        <w:rPr>
          <w:bCs/>
          <w:b/>
        </w:rPr>
        <w:t xml:space="preserve">Translation:</w:t>
      </w:r>
      <w:r>
        <w:t xml:space="preserve"> </w:t>
      </w:r>
      <w:r>
        <w:t xml:space="preserve">“</w:t>
      </w:r>
      <w:r>
        <w:t xml:space="preserve">O Agni! You, who bear the name</w:t>
      </w:r>
      <w:r>
        <w:t xml:space="preserve"> </w:t>
      </w:r>
      <w:r>
        <w:rPr>
          <w:iCs/>
          <w:i/>
        </w:rPr>
        <w:t xml:space="preserve">Susamiddha</w:t>
      </w:r>
      <w:r>
        <w:t xml:space="preserve">, bring the gods, to favour him, for our sacrificer who is</w:t>
      </w:r>
      <w:r>
        <w:t xml:space="preserve"> </w:t>
      </w:r>
      <w:r>
        <w:rPr>
          <w:iCs/>
          <w:i/>
        </w:rPr>
        <w:t xml:space="preserve">haviṣmat</w:t>
      </w:r>
      <w:r>
        <w:t xml:space="preserve"> </w:t>
      </w:r>
      <w:r>
        <w:t xml:space="preserve">— possessed of the oblation. O</w:t>
      </w:r>
      <w:r>
        <w:t xml:space="preserve"> </w:t>
      </w:r>
      <w:r>
        <w:rPr>
          <w:iCs/>
          <w:i/>
        </w:rPr>
        <w:t xml:space="preserve">pāvaka</w:t>
      </w:r>
      <w:r>
        <w:t xml:space="preserve">, purifier! O</w:t>
      </w:r>
      <w:r>
        <w:t xml:space="preserve"> </w:t>
      </w:r>
      <w:r>
        <w:rPr>
          <w:iCs/>
          <w:i/>
        </w:rPr>
        <w:t xml:space="preserve">hotar</w:t>
      </w:r>
      <w:r>
        <w:t xml:space="preserve">, accomplisher of the</w:t>
      </w:r>
      <w:r>
        <w:t xml:space="preserve"> </w:t>
      </w:r>
      <w:r>
        <w:rPr>
          <w:iCs/>
          <w:i/>
        </w:rPr>
        <w:t xml:space="preserve">homa</w:t>
      </w:r>
      <w:r>
        <w:t xml:space="preserve">!</w:t>
      </w:r>
      <w:r>
        <w:t xml:space="preserve"> </w:t>
      </w:r>
      <w:r>
        <w:rPr>
          <w:iCs/>
          <w:i/>
        </w:rPr>
        <w:t xml:space="preserve">Yakṣi ca</w:t>
      </w:r>
      <w:r>
        <w:t xml:space="preserve"> </w:t>
      </w:r>
      <w:r>
        <w:t xml:space="preserve">— and sacrifice.</w:t>
      </w:r>
      <w:r>
        <w:t xml:space="preserve">”</w:t>
      </w:r>
      <w:r>
        <w:t xml:space="preserve"> </w:t>
      </w:r>
      <w:r>
        <w:t xml:space="preserve">(Grammatical tail:</w:t>
      </w:r>
      <w:r>
        <w:t xml:space="preserve"> </w:t>
      </w:r>
      <w:r>
        <w:rPr>
          <w:iCs/>
          <w:i/>
        </w:rPr>
        <w:t xml:space="preserve">susamiddhaḥ</w:t>
      </w:r>
      <w:r>
        <w:t xml:space="preserve"> </w:t>
      </w:r>
      <w:r>
        <w:t xml:space="preserve">—</w:t>
      </w:r>
      <w:r>
        <w:t xml:space="preserve"> </w:t>
      </w:r>
      <w:r>
        <w:rPr>
          <w:iCs/>
          <w:i/>
        </w:rPr>
        <w:t xml:space="preserve">sam</w:t>
      </w:r>
      <w:r>
        <w:t xml:space="preserve">, as a qualifier of the action, is a</w:t>
      </w:r>
      <w:r>
        <w:t xml:space="preserve"> </w:t>
      </w:r>
      <w:r>
        <w:rPr>
          <w:iCs/>
          <w:i/>
        </w:rPr>
        <w:t xml:space="preserve">gati</w:t>
      </w:r>
      <w:r>
        <w:t xml:space="preserve">, giving a</w:t>
      </w:r>
      <w:r>
        <w:t xml:space="preserve"> </w:t>
      </w:r>
      <w:r>
        <w:rPr>
          <w:iCs/>
          <w:i/>
        </w:rPr>
        <w:t xml:space="preserve">prādi</w:t>
      </w:r>
      <w:r>
        <w:t xml:space="preserve"> </w:t>
      </w:r>
      <w:r>
        <w:t xml:space="preserve">compound;</w:t>
      </w:r>
      <w:r>
        <w:t xml:space="preserve"> </w:t>
      </w:r>
      <w:r>
        <w:rPr>
          <w:iCs/>
          <w:i/>
        </w:rPr>
        <w:t xml:space="preserve">su</w:t>
      </w:r>
      <w:r>
        <w:t xml:space="preserve">, meaning</w:t>
      </w:r>
      <w:r>
        <w:t xml:space="preserve"> </w:t>
      </w:r>
      <w:r>
        <w:t xml:space="preserve">“</w:t>
      </w:r>
      <w:r>
        <w:t xml:space="preserve">good</w:t>
      </w:r>
      <w:r>
        <w:t xml:space="preserve">”</w:t>
      </w:r>
      <w:r>
        <w:t xml:space="preserve">, is compounded with</w:t>
      </w:r>
      <w:r>
        <w:t xml:space="preserve"> </w:t>
      </w:r>
      <w:r>
        <w:rPr>
          <w:iCs/>
          <w:i/>
        </w:rPr>
        <w:t xml:space="preserve">samiddha</w:t>
      </w:r>
      <w:r>
        <w:t xml:space="preserve"> </w:t>
      </w:r>
      <w:r>
        <w:t xml:space="preserve">as a karmadhāraya by</w:t>
      </w:r>
      <w:r>
        <w:t xml:space="preserve"> </w:t>
      </w:r>
      <w:r>
        <w:t xml:space="preserve">“</w:t>
      </w:r>
      <w:r>
        <w:t xml:space="preserve">viśeṣaṇaṃ viśeṣyeṇa bahulam</w:t>
      </w:r>
      <w:r>
        <w:t xml:space="preserve">”</w:t>
      </w:r>
      <w:r>
        <w:t xml:space="preserve"> </w:t>
      </w:r>
      <w:r>
        <w:t xml:space="preserve">(Pā. 2-1-57);</w:t>
      </w:r>
      <w:r>
        <w:t xml:space="preserve"> </w:t>
      </w:r>
      <w:r>
        <w:rPr>
          <w:iCs/>
          <w:i/>
        </w:rPr>
        <w:t xml:space="preserve">su</w:t>
      </w:r>
      <w:r>
        <w:t xml:space="preserve"> </w:t>
      </w:r>
      <w:r>
        <w:t xml:space="preserve">is udātta by the stem accent, and</w:t>
      </w:r>
      <w:r>
        <w:t xml:space="preserve"> </w:t>
      </w:r>
      <w:r>
        <w:t xml:space="preserve">“</w:t>
      </w:r>
      <w:r>
        <w:t xml:space="preserve">karmadhāraye ’niṣṭhā</w:t>
      </w:r>
      <w:r>
        <w:t xml:space="preserve">”</w:t>
      </w:r>
      <w:r>
        <w:t xml:space="preserve"> </w:t>
      </w:r>
      <w:r>
        <w:t xml:space="preserve">(Pā. 6-2-46) keeps the first member’s accent; were</w:t>
      </w:r>
      <w:r>
        <w:t xml:space="preserve"> </w:t>
      </w:r>
      <w:r>
        <w:rPr>
          <w:iCs/>
          <w:i/>
        </w:rPr>
        <w:t xml:space="preserve">su</w:t>
      </w:r>
      <w:r>
        <w:t xml:space="preserve"> </w:t>
      </w:r>
      <w:r>
        <w:t xml:space="preserve">a qualifier of the action, it would be a</w:t>
      </w:r>
      <w:r>
        <w:t xml:space="preserve"> </w:t>
      </w:r>
      <w:r>
        <w:rPr>
          <w:iCs/>
          <w:i/>
        </w:rPr>
        <w:t xml:space="preserve">gati</w:t>
      </w:r>
      <w:r>
        <w:t xml:space="preserve">, the udātta of</w:t>
      </w:r>
      <w:r>
        <w:t xml:space="preserve"> </w:t>
      </w:r>
      <w:r>
        <w:rPr>
          <w:iCs/>
          <w:i/>
        </w:rPr>
        <w:t xml:space="preserve">sam</w:t>
      </w:r>
      <w:r>
        <w:t xml:space="preserve"> </w:t>
      </w:r>
      <w:r>
        <w:t xml:space="preserve">by</w:t>
      </w:r>
      <w:r>
        <w:t xml:space="preserve"> </w:t>
      </w:r>
      <w:r>
        <w:t xml:space="preserve">“</w:t>
      </w:r>
      <w:r>
        <w:t xml:space="preserve">gatir anantaraḥ</w:t>
      </w:r>
      <w:r>
        <w:t xml:space="preserve">”</w:t>
      </w:r>
      <w:r>
        <w:t xml:space="preserve"> </w:t>
      </w:r>
      <w:r>
        <w:t xml:space="preserve">would stand as the accent of the</w:t>
      </w:r>
      <w:r>
        <w:t xml:space="preserve"> </w:t>
      </w:r>
      <w:r>
        <w:rPr>
          <w:iCs/>
          <w:i/>
        </w:rPr>
        <w:t xml:space="preserve">kṛt</w:t>
      </w:r>
      <w:r>
        <w:t xml:space="preserve"> </w:t>
      </w:r>
      <w:r>
        <w:t xml:space="preserve">second member, and</w:t>
      </w:r>
      <w:r>
        <w:t xml:space="preserve"> </w:t>
      </w:r>
      <w:r>
        <w:rPr>
          <w:iCs/>
          <w:i/>
        </w:rPr>
        <w:t xml:space="preserve">su</w:t>
      </w:r>
      <w:r>
        <w:t xml:space="preserve"> </w:t>
      </w:r>
      <w:r>
        <w:t xml:space="preserve">would be unaccented.</w:t>
      </w:r>
      <w:r>
        <w:t xml:space="preserve"> </w:t>
      </w:r>
      <w:r>
        <w:rPr>
          <w:iCs/>
          <w:i/>
        </w:rPr>
        <w:t xml:space="preserve">devām̐ agne</w:t>
      </w:r>
      <w:r>
        <w:t xml:space="preserve"> </w:t>
      </w:r>
      <w:r>
        <w:t xml:space="preserve">—</w:t>
      </w:r>
      <w:r>
        <w:t xml:space="preserve"> </w:t>
      </w:r>
      <w:r>
        <w:rPr>
          <w:iCs/>
          <w:i/>
        </w:rPr>
        <w:t xml:space="preserve">ru</w:t>
      </w:r>
      <w:r>
        <w:t xml:space="preserve"> </w:t>
      </w:r>
      <w:r>
        <w:t xml:space="preserve">and nasalization as before.</w:t>
      </w:r>
      <w:r>
        <w:t xml:space="preserve"> </w:t>
      </w:r>
      <w:r>
        <w:rPr>
          <w:iCs/>
          <w:i/>
        </w:rPr>
        <w:t xml:space="preserve">haviṣmate</w:t>
      </w:r>
      <w:r>
        <w:t xml:space="preserve"> </w:t>
      </w:r>
      <w:r>
        <w:t xml:space="preserve">—</w:t>
      </w:r>
      <w:r>
        <w:t xml:space="preserve"> </w:t>
      </w:r>
      <w:r>
        <w:rPr>
          <w:iCs/>
          <w:i/>
        </w:rPr>
        <w:t xml:space="preserve">matup</w:t>
      </w:r>
      <w:r>
        <w:t xml:space="preserve">;</w:t>
      </w:r>
      <w:r>
        <w:t xml:space="preserve"> </w:t>
      </w:r>
      <w:r>
        <w:rPr>
          <w:iCs/>
          <w:i/>
        </w:rPr>
        <w:t xml:space="preserve">bha</w:t>
      </w:r>
      <w:r>
        <w:t xml:space="preserve"> </w:t>
      </w:r>
      <w:r>
        <w:t xml:space="preserve">status by</w:t>
      </w:r>
      <w:r>
        <w:t xml:space="preserve"> </w:t>
      </w:r>
      <w:r>
        <w:t xml:space="preserve">“</w:t>
      </w:r>
      <w:r>
        <w:t xml:space="preserve">tasau matvarthe</w:t>
      </w:r>
      <w:r>
        <w:t xml:space="preserve">”</w:t>
      </w:r>
      <w:r>
        <w:t xml:space="preserve"> </w:t>
      </w:r>
      <w:r>
        <w:t xml:space="preserve">(Pā. 1-4-19) bars</w:t>
      </w:r>
      <w:r>
        <w:t xml:space="preserve"> </w:t>
      </w:r>
      <w:r>
        <w:rPr>
          <w:iCs/>
          <w:i/>
        </w:rPr>
        <w:t xml:space="preserve">pada</w:t>
      </w:r>
      <w:r>
        <w:t xml:space="preserve"> </w:t>
      </w:r>
      <w:r>
        <w:t xml:space="preserve">status, so no</w:t>
      </w:r>
      <w:r>
        <w:t xml:space="preserve"> </w:t>
      </w:r>
      <w:r>
        <w:rPr>
          <w:iCs/>
          <w:i/>
        </w:rPr>
        <w:t xml:space="preserve">ru</w:t>
      </w:r>
      <w:r>
        <w:t xml:space="preserve">. The vocatives</w:t>
      </w:r>
      <w:r>
        <w:t xml:space="preserve"> </w:t>
      </w:r>
      <w:r>
        <w:rPr>
          <w:iCs/>
          <w:i/>
        </w:rPr>
        <w:t xml:space="preserve">hotar</w:t>
      </w:r>
      <w:r>
        <w:t xml:space="preserve"> </w:t>
      </w:r>
      <w:r>
        <w:t xml:space="preserve">and</w:t>
      </w:r>
      <w:r>
        <w:t xml:space="preserve"> </w:t>
      </w:r>
      <w:r>
        <w:rPr>
          <w:iCs/>
          <w:i/>
        </w:rPr>
        <w:t xml:space="preserve">pāvaka</w:t>
      </w:r>
      <w:r>
        <w:t xml:space="preserve">, each connected separately with the verb, lack mutual capacity, so they are not treated as one word; nor is the second unaccented by the eighth-chapter rule, since by</w:t>
      </w:r>
      <w:r>
        <w:t xml:space="preserve"> </w:t>
      </w:r>
      <w:r>
        <w:t xml:space="preserve">“</w:t>
      </w:r>
      <w:r>
        <w:t xml:space="preserve">āmantritaṃ pūrvam avidyamānavat</w:t>
      </w:r>
      <w:r>
        <w:t xml:space="preserve">”</w:t>
      </w:r>
      <w:r>
        <w:t xml:space="preserve"> </w:t>
      </w:r>
      <w:r>
        <w:t xml:space="preserve">the first counts as absent and the second would begin the pāda. Even if they are in apposition, if</w:t>
      </w:r>
      <w:r>
        <w:t xml:space="preserve"> </w:t>
      </w:r>
      <w:r>
        <w:rPr>
          <w:iCs/>
          <w:i/>
        </w:rPr>
        <w:t xml:space="preserve">hotar</w:t>
      </w:r>
      <w:r>
        <w:t xml:space="preserve"> </w:t>
      </w:r>
      <w:r>
        <w:t xml:space="preserve">is the qualifier the</w:t>
      </w:r>
      <w:r>
        <w:t xml:space="preserve"> </w:t>
      </w:r>
      <w:r>
        <w:t xml:space="preserve">“</w:t>
      </w:r>
      <w:r>
        <w:t xml:space="preserve">absent</w:t>
      </w:r>
      <w:r>
        <w:t xml:space="preserve">”</w:t>
      </w:r>
      <w:r>
        <w:t xml:space="preserve"> </w:t>
      </w:r>
      <w:r>
        <w:t xml:space="preserve">treatment is the same. So</w:t>
      </w:r>
      <w:r>
        <w:t xml:space="preserve"> </w:t>
      </w:r>
      <w:r>
        <w:rPr>
          <w:iCs/>
          <w:i/>
        </w:rPr>
        <w:t xml:space="preserve">hotar</w:t>
      </w:r>
      <w:r>
        <w:t xml:space="preserve"> </w:t>
      </w:r>
      <w:r>
        <w:t xml:space="preserve">is the qualified term, and</w:t>
      </w:r>
      <w:r>
        <w:t xml:space="preserve"> </w:t>
      </w:r>
      <w:r>
        <w:rPr>
          <w:iCs/>
          <w:i/>
        </w:rPr>
        <w:t xml:space="preserve">pāvaka</w:t>
      </w:r>
      <w:r>
        <w:t xml:space="preserve"> </w:t>
      </w:r>
      <w:r>
        <w:t xml:space="preserve">—</w:t>
      </w:r>
      <w:r>
        <w:t xml:space="preserve"> </w:t>
      </w:r>
      <w:r>
        <w:t xml:space="preserve">“</w:t>
      </w:r>
      <w:r>
        <w:t xml:space="preserve">he purifies</w:t>
      </w:r>
      <w:r>
        <w:t xml:space="preserve">”</w:t>
      </w:r>
      <w:r>
        <w:t xml:space="preserve"> </w:t>
      </w:r>
      <w:r>
        <w:t xml:space="preserve">— the qualifier; the qualified is the general term, so</w:t>
      </w:r>
      <w:r>
        <w:t xml:space="preserve"> </w:t>
      </w:r>
      <w:r>
        <w:t xml:space="preserve">“</w:t>
      </w:r>
      <w:r>
        <w:t xml:space="preserve">nāmantrite samānādhikaraṇe</w:t>
      </w:r>
      <w:r>
        <w:t xml:space="preserve">”</w:t>
      </w:r>
      <w:r>
        <w:t xml:space="preserve"> </w:t>
      </w:r>
      <w:r>
        <w:t xml:space="preserve">bars the</w:t>
      </w:r>
      <w:r>
        <w:t xml:space="preserve"> </w:t>
      </w:r>
      <w:r>
        <w:t xml:space="preserve">“</w:t>
      </w:r>
      <w:r>
        <w:t xml:space="preserve">absent</w:t>
      </w:r>
      <w:r>
        <w:t xml:space="preserve">”</w:t>
      </w:r>
      <w:r>
        <w:t xml:space="preserve"> </w:t>
      </w:r>
      <w:r>
        <w:t xml:space="preserve">treatment, the second vocative follows a word and does not begin the pāda, and it becomes wholly unaccented either by the eighth-chapter rule or, with the</w:t>
      </w:r>
      <w:r>
        <w:t xml:space="preserve"> </w:t>
      </w:r>
      <w:r>
        <w:rPr>
          <w:iCs/>
          <w:i/>
        </w:rPr>
        <w:t xml:space="preserve">parāṅgavat</w:t>
      </w:r>
      <w:r>
        <w:t xml:space="preserve"> </w:t>
      </w:r>
      <w:r>
        <w:t xml:space="preserve">treatment, by the rule for the remainder.</w:t>
      </w:r>
      <w:r>
        <w:t xml:space="preserve"> </w:t>
      </w:r>
      <w:r>
        <w:rPr>
          <w:iCs/>
          <w:i/>
        </w:rPr>
        <w:t xml:space="preserve">yakṣi</w:t>
      </w:r>
      <w:r>
        <w:t xml:space="preserve"> </w:t>
      </w:r>
      <w:r>
        <w:t xml:space="preserve">—</w:t>
      </w:r>
      <w:r>
        <w:t xml:space="preserve"> </w:t>
      </w:r>
      <w:r>
        <w:rPr>
          <w:iCs/>
          <w:i/>
        </w:rPr>
        <w:t xml:space="preserve">loṭ</w:t>
      </w:r>
      <w:r>
        <w:t xml:space="preserve"> </w:t>
      </w:r>
      <w:r>
        <w:t xml:space="preserve">of</w:t>
      </w:r>
      <w:r>
        <w:t xml:space="preserve"> </w:t>
      </w:r>
      <w:r>
        <w:rPr>
          <w:iCs/>
          <w:i/>
        </w:rPr>
        <w:t xml:space="preserve">yaj</w:t>
      </w:r>
      <w:r>
        <w:t xml:space="preserve">,</w:t>
      </w:r>
      <w:r>
        <w:t xml:space="preserve"> </w:t>
      </w:r>
      <w:r>
        <w:rPr>
          <w:iCs/>
          <w:i/>
        </w:rPr>
        <w:t xml:space="preserve">śap</w:t>
      </w:r>
      <w:r>
        <w:t xml:space="preserve"> </w:t>
      </w:r>
      <w:r>
        <w:t xml:space="preserve">dropped after</w:t>
      </w:r>
      <w:r>
        <w:t xml:space="preserve"> </w:t>
      </w:r>
      <w:r>
        <w:rPr>
          <w:iCs/>
          <w:i/>
        </w:rPr>
        <w:t xml:space="preserve">sip</w:t>
      </w:r>
      <w:r>
        <w:t xml:space="preserve"> </w:t>
      </w:r>
      <w:r>
        <w:t xml:space="preserve">by</w:t>
      </w:r>
      <w:r>
        <w:t xml:space="preserve"> </w:t>
      </w:r>
      <w:r>
        <w:t xml:space="preserve">“</w:t>
      </w:r>
      <w:r>
        <w:t xml:space="preserve">bahulaṃ chandasi</w:t>
      </w:r>
      <w:r>
        <w:t xml:space="preserve">”</w:t>
      </w:r>
      <w:r>
        <w:t xml:space="preserve">,</w:t>
      </w:r>
      <w:r>
        <w:t xml:space="preserve"> </w:t>
      </w:r>
      <w:r>
        <w:rPr>
          <w:iCs/>
          <w:i/>
        </w:rPr>
        <w:t xml:space="preserve">ṣ</w:t>
      </w:r>
      <w:r>
        <w:t xml:space="preserve"> </w:t>
      </w:r>
      <w:r>
        <w:t xml:space="preserve">by</w:t>
      </w:r>
      <w:r>
        <w:t xml:space="preserve"> </w:t>
      </w:r>
      <w:r>
        <w:t xml:space="preserve">“</w:t>
      </w:r>
      <w:r>
        <w:t xml:space="preserve">vraśca…</w:t>
      </w:r>
      <w:r>
        <w:t xml:space="preserve">”</w:t>
      </w:r>
      <w:r>
        <w:t xml:space="preserve">,</w:t>
      </w:r>
      <w:r>
        <w:t xml:space="preserve"> </w:t>
      </w:r>
      <w:r>
        <w:rPr>
          <w:iCs/>
          <w:i/>
        </w:rPr>
        <w:t xml:space="preserve">k</w:t>
      </w:r>
      <w:r>
        <w:t xml:space="preserve"> </w:t>
      </w:r>
      <w:r>
        <w:t xml:space="preserve">by</w:t>
      </w:r>
      <w:r>
        <w:t xml:space="preserve"> </w:t>
      </w:r>
      <w:r>
        <w:t xml:space="preserve">“</w:t>
      </w:r>
      <w:r>
        <w:t xml:space="preserve">ṣaḍhoḥ kaḥ si</w:t>
      </w:r>
      <w:r>
        <w:t xml:space="preserve">”</w:t>
      </w:r>
      <w:r>
        <w:t xml:space="preserve"> </w:t>
      </w:r>
      <w:r>
        <w:t xml:space="preserve">(Pā. 8-2-41), no</w:t>
      </w:r>
      <w:r>
        <w:t xml:space="preserve"> </w:t>
      </w:r>
      <w:r>
        <w:rPr>
          <w:iCs/>
          <w:i/>
        </w:rPr>
        <w:t xml:space="preserve">hi</w:t>
      </w:r>
      <w:r>
        <w:t xml:space="preserve"> </w:t>
      </w:r>
      <w:r>
        <w:t xml:space="preserve">for</w:t>
      </w:r>
      <w:r>
        <w:t xml:space="preserve"> </w:t>
      </w:r>
      <w:r>
        <w:rPr>
          <w:iCs/>
          <w:i/>
        </w:rPr>
        <w:t xml:space="preserve">si</w:t>
      </w:r>
      <w:r>
        <w:t xml:space="preserve"> </w:t>
      </w:r>
      <w:r>
        <w:t xml:space="preserve">(Vedic);</w:t>
      </w:r>
      <w:r>
        <w:t xml:space="preserve"> </w:t>
      </w:r>
      <w:r>
        <w:rPr>
          <w:iCs/>
          <w:i/>
        </w:rPr>
        <w:t xml:space="preserve">sip</w:t>
      </w:r>
      <w:r>
        <w:t xml:space="preserve"> </w:t>
      </w:r>
      <w:r>
        <w:t xml:space="preserve">unaccented as</w:t>
      </w:r>
      <w:r>
        <w:t xml:space="preserve"> </w:t>
      </w:r>
      <w:r>
        <w:rPr>
          <w:iCs/>
          <w:i/>
        </w:rPr>
        <w:t xml:space="preserve">pit</w:t>
      </w:r>
      <w:r>
        <w:t xml:space="preserve">, so the root accent stands. Objection:</w:t>
      </w:r>
      <w:r>
        <w:t xml:space="preserve"> </w:t>
      </w:r>
      <w:r>
        <w:t xml:space="preserve">“</w:t>
      </w:r>
      <w:r>
        <w:t xml:space="preserve">tiṅṅ atiṅaḥ</w:t>
      </w:r>
      <w:r>
        <w:t xml:space="preserve">”</w:t>
      </w:r>
      <w:r>
        <w:t xml:space="preserve"> </w:t>
      </w:r>
      <w:r>
        <w:t xml:space="preserve">does not apply, since the vocative</w:t>
      </w:r>
      <w:r>
        <w:t xml:space="preserve"> </w:t>
      </w:r>
      <w:r>
        <w:rPr>
          <w:iCs/>
          <w:i/>
        </w:rPr>
        <w:t xml:space="preserve">pāvaka</w:t>
      </w:r>
      <w:r>
        <w:t xml:space="preserve"> </w:t>
      </w:r>
      <w:r>
        <w:t xml:space="preserve">before it counts as absent, so</w:t>
      </w:r>
      <w:r>
        <w:t xml:space="preserve"> </w:t>
      </w:r>
      <w:r>
        <w:rPr>
          <w:iCs/>
          <w:i/>
        </w:rPr>
        <w:t xml:space="preserve">yakṣi</w:t>
      </w:r>
      <w:r>
        <w:t xml:space="preserve"> </w:t>
      </w:r>
      <w:r>
        <w:t xml:space="preserve">does not follow a word — nor does it follow</w:t>
      </w:r>
      <w:r>
        <w:t xml:space="preserve"> </w:t>
      </w:r>
      <w:r>
        <w:rPr>
          <w:iCs/>
          <w:i/>
        </w:rPr>
        <w:t xml:space="preserve">hotar</w:t>
      </w:r>
      <w:r>
        <w:t xml:space="preserve">, which also counts as absent with respect to</w:t>
      </w:r>
      <w:r>
        <w:t xml:space="preserve"> </w:t>
      </w:r>
      <w:r>
        <w:rPr>
          <w:iCs/>
          <w:i/>
        </w:rPr>
        <w:t xml:space="preserve">yakṣi</w:t>
      </w:r>
      <w:r>
        <w:t xml:space="preserve">. But</w:t>
      </w:r>
      <w:r>
        <w:t xml:space="preserve"> </w:t>
      </w:r>
      <w:r>
        <w:t xml:space="preserve">“</w:t>
      </w:r>
      <w:r>
        <w:t xml:space="preserve">nāmantrite samānādhikaraṇe</w:t>
      </w:r>
      <w:r>
        <w:t xml:space="preserve">”</w:t>
      </w:r>
      <w:r>
        <w:t xml:space="preserve"> </w:t>
      </w:r>
      <w:r>
        <w:t xml:space="preserve">has barred the</w:t>
      </w:r>
      <w:r>
        <w:t xml:space="preserve"> </w:t>
      </w:r>
      <w:r>
        <w:t xml:space="preserve">“</w:t>
      </w:r>
      <w:r>
        <w:t xml:space="preserve">absent</w:t>
      </w:r>
      <w:r>
        <w:t xml:space="preserve">”</w:t>
      </w:r>
      <w:r>
        <w:t xml:space="preserve"> </w:t>
      </w:r>
      <w:r>
        <w:t xml:space="preserve">treatment of</w:t>
      </w:r>
      <w:r>
        <w:t xml:space="preserve"> </w:t>
      </w:r>
      <w:r>
        <w:rPr>
          <w:iCs/>
          <w:i/>
        </w:rPr>
        <w:t xml:space="preserve">hotar</w:t>
      </w:r>
      <w:r>
        <w:t xml:space="preserve">; with respect to</w:t>
      </w:r>
      <w:r>
        <w:t xml:space="preserve"> </w:t>
      </w:r>
      <w:r>
        <w:rPr>
          <w:iCs/>
          <w:i/>
        </w:rPr>
        <w:t xml:space="preserve">yakṣi</w:t>
      </w:r>
      <w:r>
        <w:t xml:space="preserve"> </w:t>
      </w:r>
      <w:r>
        <w:t xml:space="preserve">only</w:t>
      </w:r>
      <w:r>
        <w:t xml:space="preserve"> </w:t>
      </w:r>
      <w:r>
        <w:rPr>
          <w:iCs/>
          <w:i/>
        </w:rPr>
        <w:t xml:space="preserve">pāvaka</w:t>
      </w:r>
      <w:r>
        <w:t xml:space="preserve"> </w:t>
      </w:r>
      <w:r>
        <w:t xml:space="preserve">counts as absent, while for the bar on</w:t>
      </w:r>
      <w:r>
        <w:t xml:space="preserve"> </w:t>
      </w:r>
      <w:r>
        <w:rPr>
          <w:iCs/>
          <w:i/>
        </w:rPr>
        <w:t xml:space="preserve">hotar</w:t>
      </w:r>
      <w:r>
        <w:t xml:space="preserve"> </w:t>
      </w:r>
      <w:r>
        <w:t xml:space="preserve">it counts as present; so</w:t>
      </w:r>
      <w:r>
        <w:t xml:space="preserve"> </w:t>
      </w:r>
      <w:r>
        <w:rPr>
          <w:iCs/>
          <w:i/>
        </w:rPr>
        <w:t xml:space="preserve">hotar</w:t>
      </w:r>
      <w:r>
        <w:t xml:space="preserve"> </w:t>
      </w:r>
      <w:r>
        <w:t xml:space="preserve">is present and</w:t>
      </w:r>
      <w:r>
        <w:t xml:space="preserve"> </w:t>
      </w:r>
      <w:r>
        <w:rPr>
          <w:iCs/>
          <w:i/>
        </w:rPr>
        <w:t xml:space="preserve">yakṣi</w:t>
      </w:r>
      <w:r>
        <w:t xml:space="preserve"> </w:t>
      </w:r>
      <w:r>
        <w:t xml:space="preserve">would be unaccented after it. True; but since</w:t>
      </w:r>
      <w:r>
        <w:t xml:space="preserve"> </w:t>
      </w:r>
      <w:r>
        <w:rPr>
          <w:iCs/>
          <w:i/>
        </w:rPr>
        <w:t xml:space="preserve">yakṣi</w:t>
      </w:r>
      <w:r>
        <w:t xml:space="preserve"> </w:t>
      </w:r>
      <w:r>
        <w:t xml:space="preserve">is followed by</w:t>
      </w:r>
      <w:r>
        <w:t xml:space="preserve"> </w:t>
      </w:r>
      <w:r>
        <w:rPr>
          <w:iCs/>
          <w:i/>
        </w:rPr>
        <w:t xml:space="preserve">ca</w:t>
      </w:r>
      <w:r>
        <w:t xml:space="preserve">,</w:t>
      </w:r>
      <w:r>
        <w:t xml:space="preserve"> </w:t>
      </w:r>
      <w:r>
        <w:t xml:space="preserve">“</w:t>
      </w:r>
      <w:r>
        <w:t xml:space="preserve">cādiṣu ca</w:t>
      </w:r>
      <w:r>
        <w:t xml:space="preserve">”</w:t>
      </w:r>
      <w:r>
        <w:t xml:space="preserve"> </w:t>
      </w:r>
      <w:r>
        <w:t xml:space="preserve">(8-1-58) bars the loss of accent — so there is no fault.)</w:t>
      </w:r>
    </w:p>
    <w:bookmarkEnd w:id="553"/>
    <w:bookmarkStart w:id="554" w:name="page-527-lower-rik-1-word-meanings"/>
    <w:p>
      <w:pPr>
        <w:pStyle w:val="Heading3"/>
      </w:pPr>
      <w:r>
        <w:t xml:space="preserve">Page 527 (lower) — Rik 1: word-meanings</w:t>
      </w:r>
    </w:p>
    <w:p>
      <w:pPr>
        <w:pStyle w:val="FirstParagraph"/>
      </w:pPr>
      <w:r>
        <w:rPr>
          <w:bCs/>
          <w:b/>
        </w:rPr>
        <w:t xml:space="preserve">॥ Prati-padārthaḥ ॥</w:t>
      </w:r>
    </w:p>
    <w:p>
      <w:pPr>
        <w:pStyle w:val="BodyText"/>
      </w:pPr>
      <w:r>
        <w:rPr>
          <w:bCs/>
          <w:b/>
        </w:rPr>
        <w:t xml:space="preserve">(हे) अग्ने ((he) agne)</w:t>
      </w:r>
      <w:r>
        <w:t xml:space="preserve"> </w:t>
      </w:r>
      <w:r>
        <w:t xml:space="preserve">— O Agni |</w:t>
      </w:r>
      <w:r>
        <w:t xml:space="preserve"> </w:t>
      </w:r>
      <w:r>
        <w:rPr>
          <w:bCs/>
          <w:b/>
        </w:rPr>
        <w:t xml:space="preserve">सुसमिद्धः (susamiddhaḥ)</w:t>
      </w:r>
      <w:r>
        <w:t xml:space="preserve"> </w:t>
      </w:r>
      <w:r>
        <w:t xml:space="preserve">— [you, named] thoroughly kindled (well lit) |</w:t>
      </w:r>
      <w:r>
        <w:t xml:space="preserve"> </w:t>
      </w:r>
      <w:r>
        <w:rPr>
          <w:bCs/>
          <w:b/>
        </w:rPr>
        <w:t xml:space="preserve">नः (naḥ)</w:t>
      </w:r>
      <w:r>
        <w:t xml:space="preserve"> </w:t>
      </w:r>
      <w:r>
        <w:t xml:space="preserve">— to our |</w:t>
      </w:r>
      <w:r>
        <w:t xml:space="preserve"> </w:t>
      </w:r>
      <w:r>
        <w:rPr>
          <w:bCs/>
          <w:b/>
        </w:rPr>
        <w:t xml:space="preserve">हविष्मते (haviṣmate)</w:t>
      </w:r>
      <w:r>
        <w:t xml:space="preserve"> </w:t>
      </w:r>
      <w:r>
        <w:t xml:space="preserve">— sacrificer who is endowed with the oblation |</w:t>
      </w:r>
      <w:r>
        <w:t xml:space="preserve"> </w:t>
      </w:r>
      <w:r>
        <w:rPr>
          <w:iCs/>
          <w:i/>
        </w:rPr>
        <w:t xml:space="preserve">(for the purpose of favouring)</w:t>
      </w:r>
      <w:r>
        <w:t xml:space="preserve"> </w:t>
      </w:r>
      <w:r>
        <w:rPr>
          <w:bCs/>
          <w:b/>
        </w:rPr>
        <w:t xml:space="preserve">देवान् (devān)</w:t>
      </w:r>
      <w:r>
        <w:t xml:space="preserve"> </w:t>
      </w:r>
      <w:r>
        <w:t xml:space="preserve">— the gods |</w:t>
      </w:r>
      <w:r>
        <w:t xml:space="preserve"> </w:t>
      </w:r>
      <w:r>
        <w:rPr>
          <w:bCs/>
          <w:b/>
        </w:rPr>
        <w:t xml:space="preserve">आ वह (ā vaha)</w:t>
      </w:r>
      <w:r>
        <w:t xml:space="preserve"> </w:t>
      </w:r>
      <w:r>
        <w:t xml:space="preserve">— bring here |</w:t>
      </w:r>
      <w:r>
        <w:t xml:space="preserve"> </w:t>
      </w:r>
      <w:r>
        <w:rPr>
          <w:bCs/>
          <w:b/>
        </w:rPr>
        <w:t xml:space="preserve">(हे) पावक ((he) pāvaka)</w:t>
      </w:r>
      <w:r>
        <w:t xml:space="preserve"> </w:t>
      </w:r>
      <w:r>
        <w:t xml:space="preserve">— O purifier |</w:t>
      </w:r>
      <w:r>
        <w:t xml:space="preserve"> </w:t>
      </w:r>
      <w:r>
        <w:rPr>
          <w:bCs/>
          <w:b/>
        </w:rPr>
        <w:t xml:space="preserve">(हे) होतः ((he) hotaḥ)</w:t>
      </w:r>
      <w:r>
        <w:t xml:space="preserve"> </w:t>
      </w:r>
      <w:r>
        <w:t xml:space="preserve">— O Agni, accomplisher of the</w:t>
      </w:r>
      <w:r>
        <w:t xml:space="preserve"> </w:t>
      </w:r>
      <w:r>
        <w:rPr>
          <w:iCs/>
          <w:i/>
        </w:rPr>
        <w:t xml:space="preserve">homa</w:t>
      </w:r>
      <w:r>
        <w:t xml:space="preserve"> </w:t>
      </w:r>
      <w:r>
        <w:t xml:space="preserve">|</w:t>
      </w:r>
      <w:r>
        <w:t xml:space="preserve"> </w:t>
      </w:r>
      <w:r>
        <w:rPr>
          <w:bCs/>
          <w:b/>
        </w:rPr>
        <w:t xml:space="preserve">यक्षि च (yakṣi ca)</w:t>
      </w:r>
      <w:r>
        <w:t xml:space="preserve"> </w:t>
      </w:r>
      <w:r>
        <w:t xml:space="preserve">— and accomplish the sacrifice.</w:t>
      </w:r>
    </w:p>
    <w:bookmarkEnd w:id="554"/>
    <w:bookmarkStart w:id="555" w:name="X65395ab1cae9e2e368ec3d4e5d97d1e2cc8bd2a"/>
    <w:p>
      <w:pPr>
        <w:pStyle w:val="Heading3"/>
      </w:pPr>
      <w:r>
        <w:t xml:space="preserve">Page 528 — Rik 1: overall sense, English, Special Topics</w:t>
      </w:r>
    </w:p>
    <w:p>
      <w:pPr>
        <w:pStyle w:val="FirstParagraph"/>
      </w:pPr>
      <w:r>
        <w:rPr>
          <w:bCs/>
          <w:b/>
        </w:rPr>
        <w:t xml:space="preserve">॥ Bhāvārthaḥ ॥</w:t>
      </w:r>
    </w:p>
    <w:p>
      <w:pPr>
        <w:pStyle w:val="BodyText"/>
      </w:pPr>
      <w:r>
        <w:t xml:space="preserve">O Agni! They call you</w:t>
      </w:r>
      <w:r>
        <w:t xml:space="preserve"> </w:t>
      </w:r>
      <w:r>
        <w:rPr>
          <w:iCs/>
          <w:i/>
        </w:rPr>
        <w:t xml:space="preserve">Susamiddha</w:t>
      </w:r>
      <w:r>
        <w:t xml:space="preserve">, because you are well kindled and blaze brightly. Such as you are, bring the gods here to favour our sacrificer, who has prepared the oblation, and bring this sacrifice to completion.</w:t>
      </w:r>
    </w:p>
    <w:p>
      <w:pPr>
        <w:pStyle w:val="BodyText"/>
      </w:pPr>
      <w:r>
        <w:rPr>
          <w:bCs/>
          <w:b/>
        </w:rPr>
        <w:t xml:space="preserve">॥ English Translation ॥</w:t>
      </w:r>
      <w:r>
        <w:t xml:space="preserve"> </w:t>
      </w:r>
      <w:r>
        <w:rPr>
          <w:iCs/>
          <w:i/>
        </w:rPr>
        <w:t xml:space="preserve">(as printed in the source)</w:t>
      </w:r>
    </w:p>
    <w:p>
      <w:pPr>
        <w:pStyle w:val="BlockText"/>
      </w:pPr>
      <w:r>
        <w:t xml:space="preserve">Being well lighted, O Agni, invoker and purifier, bring hither the gods to the offerer of our oblations and perform the sacrifice.</w:t>
      </w:r>
    </w:p>
    <w:p>
      <w:pPr>
        <w:pStyle w:val="FirstParagraph"/>
      </w:pPr>
      <w:r>
        <w:rPr>
          <w:bCs/>
          <w:b/>
        </w:rPr>
        <w:t xml:space="preserve">॥ Viśeṣa-viṣayagaḷu (Special Topics) ॥</w:t>
      </w:r>
    </w:p>
    <w:p>
      <w:pPr>
        <w:pStyle w:val="BodyText"/>
      </w:pPr>
      <w:r>
        <w:t xml:space="preserve">This is an</w:t>
      </w:r>
      <w:r>
        <w:t xml:space="preserve"> </w:t>
      </w:r>
      <w:r>
        <w:rPr>
          <w:bCs/>
          <w:b/>
        </w:rPr>
        <w:t xml:space="preserve">Āpri-sūkta</w:t>
      </w:r>
      <w:r>
        <w:t xml:space="preserve">. We have given a short account of the Āpri-sūktas on pages 73–74. On this subject the great sage Yāska says in his Nirukta:</w:t>
      </w:r>
    </w:p>
    <w:p>
      <w:pPr>
        <w:pStyle w:val="BlockText"/>
      </w:pPr>
      <w:r>
        <w:t xml:space="preserve">अथात आप्रियः । आप्रियः कस्मादाप्नोतेः प्रीणातेर्वा । आप्रीभिराप्रीणातीति च ब्राह्मणम् ॥</w:t>
      </w:r>
    </w:p>
    <w:p>
      <w:pPr>
        <w:pStyle w:val="BlockText"/>
      </w:pPr>
      <w:r>
        <w:rPr>
          <w:iCs/>
          <w:i/>
        </w:rPr>
        <w:t xml:space="preserve">athāta āpriyaḥ | āpriyaḥ kasmādāpnoteḥ prīṇātervā | āprībhirāprīṇātīti ca brāhmaṇam ||</w:t>
      </w:r>
    </w:p>
    <w:p>
      <w:pPr>
        <w:pStyle w:val="FirstParagraph"/>
      </w:pPr>
      <w:r>
        <w:t xml:space="preserve">That is,</w:t>
      </w:r>
      <w:r>
        <w:t xml:space="preserve"> </w:t>
      </w:r>
      <w:r>
        <w:rPr>
          <w:iCs/>
          <w:i/>
        </w:rPr>
        <w:t xml:space="preserve">āpriya</w:t>
      </w:r>
      <w:r>
        <w:t xml:space="preserve"> </w:t>
      </w:r>
      <w:r>
        <w:t xml:space="preserve">means</w:t>
      </w:r>
      <w:r>
        <w:t xml:space="preserve"> </w:t>
      </w:r>
      <w:r>
        <w:t xml:space="preserve">“</w:t>
      </w:r>
      <w:r>
        <w:t xml:space="preserve">being pleased</w:t>
      </w:r>
      <w:r>
        <w:t xml:space="preserve">”</w:t>
      </w:r>
      <w:r>
        <w:t xml:space="preserve">: because the gods are pleased by these sūktas, they came to be called</w:t>
      </w:r>
      <w:r>
        <w:t xml:space="preserve"> </w:t>
      </w:r>
      <w:r>
        <w:rPr>
          <w:iCs/>
          <w:i/>
        </w:rPr>
        <w:t xml:space="preserve">āprī-sūktas</w:t>
      </w:r>
      <w:r>
        <w:t xml:space="preserve">; and he cites the Brāhmaṇa sentence</w:t>
      </w:r>
      <w:r>
        <w:t xml:space="preserve"> </w:t>
      </w:r>
      <w:r>
        <w:rPr>
          <w:iCs/>
          <w:i/>
        </w:rPr>
        <w:t xml:space="preserve">āprībhir āprīṇāti ca</w:t>
      </w:r>
      <w:r>
        <w:t xml:space="preserve">.</w:t>
      </w:r>
    </w:p>
    <w:p>
      <w:pPr>
        <w:pStyle w:val="BodyText"/>
      </w:pPr>
      <w:r>
        <w:rPr>
          <w:bCs/>
          <w:b/>
        </w:rPr>
        <w:t xml:space="preserve">“</w:t>
      </w:r>
      <w:r>
        <w:rPr>
          <w:bCs/>
          <w:b/>
        </w:rPr>
        <w:t xml:space="preserve">Susamiddhaḥ</w:t>
      </w:r>
      <w:r>
        <w:rPr>
          <w:bCs/>
          <w:b/>
        </w:rPr>
        <w:t xml:space="preserve">”</w:t>
      </w:r>
      <w:r>
        <w:t xml:space="preserve"> </w:t>
      </w:r>
      <w:r>
        <w:t xml:space="preserve">— the deity of this rik is Agni, called by the name</w:t>
      </w:r>
      <w:r>
        <w:t xml:space="preserve"> </w:t>
      </w:r>
      <w:r>
        <w:rPr>
          <w:iCs/>
          <w:i/>
        </w:rPr>
        <w:t xml:space="preserve">samiddha</w:t>
      </w:r>
      <w:r>
        <w:t xml:space="preserve">. Here</w:t>
      </w:r>
      <w:r>
        <w:t xml:space="preserve"> </w:t>
      </w:r>
      <w:r>
        <w:rPr>
          <w:iCs/>
          <w:i/>
        </w:rPr>
        <w:t xml:space="preserve">su</w:t>
      </w:r>
      <w:r>
        <w:t xml:space="preserve"> </w:t>
      </w:r>
      <w:r>
        <w:t xml:space="preserve">= well;</w:t>
      </w:r>
      <w:r>
        <w:t xml:space="preserve"> </w:t>
      </w:r>
      <w:r>
        <w:rPr>
          <w:iCs/>
          <w:i/>
        </w:rPr>
        <w:t xml:space="preserve">sam</w:t>
      </w:r>
      <w:r>
        <w:t xml:space="preserve"> </w:t>
      </w:r>
      <w:r>
        <w:t xml:space="preserve">= fully;</w:t>
      </w:r>
      <w:r>
        <w:t xml:space="preserve"> </w:t>
      </w:r>
      <w:r>
        <w:rPr>
          <w:iCs/>
          <w:i/>
        </w:rPr>
        <w:t xml:space="preserve">iddhaḥ</w:t>
      </w:r>
      <w:r>
        <w:t xml:space="preserve"> </w:t>
      </w:r>
      <w:r>
        <w:t xml:space="preserve">= kindled: that is the sense of the parts: that is, well kindled, blazing up and burning brightly —</w:t>
      </w:r>
      <w:r>
        <w:t xml:space="preserve"> </w:t>
      </w:r>
      <w:r>
        <w:t xml:space="preserve">“</w:t>
      </w:r>
      <w:r>
        <w:t xml:space="preserve">the thoroughly kindled</w:t>
      </w:r>
      <w:r>
        <w:t xml:space="preserve">”</w:t>
      </w:r>
      <w:r>
        <w:t xml:space="preserve"> </w:t>
      </w:r>
      <w:r>
        <w:t xml:space="preserve">[the source’s English]. When the animal offering is made, since Agni must be burning well, it may be the custom to address Agni in this way. Although the first five riks of this Āpri-sūkta have deities of different names, they are all called by Agni’s names. On this, Yāska</w:t>
      </w:r>
    </w:p>
    <w:p>
      <w:pPr>
        <w:pStyle w:val="BlockText"/>
      </w:pPr>
      <w:r>
        <w:t xml:space="preserve">इध्मः । तासामिध्मः प्रथमागामी भवति । इध्मः समिन्धनात् । यज्ञेध्म इति कात्थक्यः । अग्निरिति शाकपूणिः ॥</w:t>
      </w:r>
    </w:p>
    <w:p>
      <w:pPr>
        <w:pStyle w:val="BlockText"/>
      </w:pPr>
      <w:r>
        <w:rPr>
          <w:iCs/>
          <w:i/>
        </w:rPr>
        <w:t xml:space="preserve">idhmaḥ | tāsāmidhmaḥ prathamāgāmī bhavati | idhmaḥ samindhanāt | yajñedhma iti kātthakyaḥ | agniriti śākapūṇiḥ ||</w:t>
      </w:r>
    </w:p>
    <w:p>
      <w:pPr>
        <w:pStyle w:val="FirstParagraph"/>
      </w:pPr>
      <w:r>
        <w:t xml:space="preserve">says. That is, among these five names of Agni,</w:t>
      </w:r>
      <w:r>
        <w:t xml:space="preserve"> </w:t>
      </w:r>
      <w:r>
        <w:rPr>
          <w:iCs/>
          <w:i/>
        </w:rPr>
        <w:t xml:space="preserve">samiddha</w:t>
      </w:r>
      <w:r>
        <w:t xml:space="preserve"> </w:t>
      </w:r>
      <w:r>
        <w:t xml:space="preserve">is the first; for the</w:t>
      </w:r>
      <w:r>
        <w:t xml:space="preserve"> </w:t>
      </w:r>
      <w:r>
        <w:rPr>
          <w:iCs/>
          <w:i/>
        </w:rPr>
        <w:t xml:space="preserve">idhma</w:t>
      </w:r>
      <w:r>
        <w:t xml:space="preserve"> </w:t>
      </w:r>
      <w:r>
        <w:t xml:space="preserve">(firewood,</w:t>
      </w:r>
      <w:r>
        <w:t xml:space="preserve"> </w:t>
      </w:r>
      <w:r>
        <w:rPr>
          <w:iCs/>
          <w:i/>
        </w:rPr>
        <w:t xml:space="preserve">fuel</w:t>
      </w:r>
      <w:r>
        <w:t xml:space="preserve">) is the first means of kindling Agni; Yāska says that Kātthakya takes the word as the</w:t>
      </w:r>
      <w:r>
        <w:t xml:space="preserve"> </w:t>
      </w:r>
      <w:r>
        <w:rPr>
          <w:iCs/>
          <w:i/>
        </w:rPr>
        <w:t xml:space="preserve">idhma</w:t>
      </w:r>
      <w:r>
        <w:t xml:space="preserve"> </w:t>
      </w:r>
      <w:r>
        <w:t xml:space="preserve">— the</w:t>
      </w:r>
      <w:r>
        <w:t xml:space="preserve"> </w:t>
      </w:r>
      <w:r>
        <w:rPr>
          <w:iCs/>
          <w:i/>
        </w:rPr>
        <w:t xml:space="preserve">samidh</w:t>
      </w:r>
      <w:r>
        <w:t xml:space="preserve"> </w:t>
      </w:r>
      <w:r>
        <w:t xml:space="preserve">sticks used in the sacrifice — and Śākapūṇi as Agni (Ni. 8-4).</w:t>
      </w:r>
    </w:p>
    <w:bookmarkEnd w:id="555"/>
    <w:bookmarkStart w:id="556" w:name="Xcdf9dc9832a2dd43bb591f641001caa3f03b6c8"/>
    <w:p>
      <w:pPr>
        <w:pStyle w:val="Heading3"/>
      </w:pPr>
      <w:r>
        <w:t xml:space="preserve">Page 529 — Rik 1: Special Topics (continued) and grammar</w:t>
      </w:r>
    </w:p>
    <w:p>
      <w:pPr>
        <w:pStyle w:val="FirstParagraph"/>
      </w:pPr>
      <w:r>
        <w:rPr>
          <w:bCs/>
          <w:b/>
        </w:rPr>
        <w:t xml:space="preserve">“</w:t>
      </w:r>
      <w:r>
        <w:rPr>
          <w:bCs/>
          <w:b/>
        </w:rPr>
        <w:t xml:space="preserve">Hotaḥ</w:t>
      </w:r>
      <w:r>
        <w:rPr>
          <w:bCs/>
          <w:b/>
        </w:rPr>
        <w:t xml:space="preserve">”</w:t>
      </w:r>
      <w:r>
        <w:t xml:space="preserve"> </w:t>
      </w:r>
      <w:r>
        <w:t xml:space="preserve">—</w:t>
      </w:r>
      <w:r>
        <w:t xml:space="preserve"> </w:t>
      </w:r>
      <w:r>
        <w:rPr>
          <w:iCs/>
          <w:i/>
        </w:rPr>
        <w:t xml:space="preserve">homaniṣpādakaḥ</w:t>
      </w:r>
      <w:r>
        <w:t xml:space="preserve">: the chief vessel-bearer in the</w:t>
      </w:r>
      <w:r>
        <w:t xml:space="preserve"> </w:t>
      </w:r>
      <w:r>
        <w:rPr>
          <w:iCs/>
          <w:i/>
        </w:rPr>
        <w:t xml:space="preserve">homa</w:t>
      </w:r>
      <w:r>
        <w:t xml:space="preserve">, the carrier [of the oblation], or the one who invokes the gods.</w:t>
      </w:r>
    </w:p>
    <w:p>
      <w:pPr>
        <w:pStyle w:val="BodyText"/>
      </w:pPr>
      <w:r>
        <w:rPr>
          <w:bCs/>
          <w:b/>
        </w:rPr>
        <w:t xml:space="preserve">“</w:t>
      </w:r>
      <w:r>
        <w:rPr>
          <w:bCs/>
          <w:b/>
        </w:rPr>
        <w:t xml:space="preserve">Pāvaka</w:t>
      </w:r>
      <w:r>
        <w:rPr>
          <w:bCs/>
          <w:b/>
        </w:rPr>
        <w:t xml:space="preserve">”</w:t>
      </w:r>
      <w:r>
        <w:t xml:space="preserve"> </w:t>
      </w:r>
      <w:r>
        <w:t xml:space="preserve">—</w:t>
      </w:r>
      <w:r>
        <w:t xml:space="preserve"> </w:t>
      </w:r>
      <w:r>
        <w:rPr>
          <w:iCs/>
          <w:i/>
        </w:rPr>
        <w:t xml:space="preserve">śodhaka</w:t>
      </w:r>
      <w:r>
        <w:t xml:space="preserve">: the purifier, the one who makes holy; or the one who shines brightly.</w:t>
      </w:r>
    </w:p>
    <w:p>
      <w:pPr>
        <w:pStyle w:val="BodyText"/>
      </w:pPr>
      <w:r>
        <w:rPr>
          <w:bCs/>
          <w:b/>
        </w:rPr>
        <w:t xml:space="preserve">“</w:t>
      </w:r>
      <w:r>
        <w:rPr>
          <w:bCs/>
          <w:b/>
        </w:rPr>
        <w:t xml:space="preserve">Yakṣi</w:t>
      </w:r>
      <w:r>
        <w:rPr>
          <w:bCs/>
          <w:b/>
        </w:rPr>
        <w:t xml:space="preserve">”</w:t>
      </w:r>
      <w:r>
        <w:t xml:space="preserve"> </w:t>
      </w:r>
      <w:r>
        <w:t xml:space="preserve">—</w:t>
      </w:r>
      <w:r>
        <w:t xml:space="preserve"> </w:t>
      </w:r>
      <w:r>
        <w:t xml:space="preserve">“</w:t>
      </w:r>
      <w:r>
        <w:t xml:space="preserve">perform the sacrifice.</w:t>
      </w:r>
      <w:r>
        <w:t xml:space="preserve">”</w:t>
      </w:r>
      <w:r>
        <w:t xml:space="preserve"> </w:t>
      </w:r>
      <w:r>
        <w:t xml:space="preserve">The reason the poet prays Agni to</w:t>
      </w:r>
      <w:r>
        <w:t xml:space="preserve"> </w:t>
      </w:r>
      <w:r>
        <w:t xml:space="preserve">“</w:t>
      </w:r>
      <w:r>
        <w:t xml:space="preserve">sacrifice</w:t>
      </w:r>
      <w:r>
        <w:t xml:space="preserve">”</w:t>
      </w:r>
      <w:r>
        <w:t xml:space="preserve"> </w:t>
      </w:r>
      <w:r>
        <w:t xml:space="preserve">is that without Agni there is no sacrifice. Therefore, having called the gods to the sacrificial ground, making [Agni] pour the oblation into the fire so that it reaches the gods, and acting as the chief vessel-bearer so that the sacrifice is completed with all its limbs — in this sense the seer prays Agni,</w:t>
      </w:r>
      <w:r>
        <w:t xml:space="preserve"> </w:t>
      </w:r>
      <w:r>
        <w:t xml:space="preserve">“</w:t>
      </w:r>
      <w:r>
        <w:t xml:space="preserve">perform the sacrifice.</w:t>
      </w:r>
      <w:r>
        <w:t xml:space="preserve">”</w:t>
      </w:r>
    </w:p>
    <w:p>
      <w:pPr>
        <w:pStyle w:val="BodyText"/>
      </w:pPr>
      <w:r>
        <w:rPr>
          <w:bCs/>
          <w:b/>
        </w:rPr>
        <w:t xml:space="preserve">॥ Vyākaraṇa-prakriyā ॥</w:t>
      </w:r>
      <w:r>
        <w:t xml:space="preserve"> </w:t>
      </w:r>
      <w:r>
        <w:rPr>
          <w:iCs/>
          <w:i/>
        </w:rPr>
        <w:t xml:space="preserve">(grammar pages 529–532, noted briefly; numbers checked against the print)</w:t>
      </w:r>
    </w:p>
    <w:p>
      <w:pPr>
        <w:pStyle w:val="BodyText"/>
      </w:pPr>
      <w:r>
        <w:rPr>
          <w:bCs/>
          <w:b/>
        </w:rPr>
        <w:t xml:space="preserve">सुसमिद्धः (</w:t>
      </w:r>
      <w:r>
        <w:rPr>
          <w:iCs/>
          <w:i/>
          <w:bCs/>
          <w:b/>
        </w:rPr>
        <w:t xml:space="preserve">susamiddhaḥ</w:t>
      </w:r>
      <w:r>
        <w:rPr>
          <w:bCs/>
          <w:b/>
        </w:rPr>
        <w:t xml:space="preserve">)</w:t>
      </w:r>
      <w:r>
        <w:t xml:space="preserve"> </w:t>
      </w:r>
      <w:r>
        <w:t xml:space="preserve">— root</w:t>
      </w:r>
      <w:r>
        <w:t xml:space="preserve"> </w:t>
      </w:r>
      <w:r>
        <w:rPr>
          <w:iCs/>
          <w:i/>
        </w:rPr>
        <w:t xml:space="preserve">ñi indhī dīptau</w:t>
      </w:r>
      <w:r>
        <w:t xml:space="preserve">,</w:t>
      </w:r>
      <w:r>
        <w:t xml:space="preserve"> </w:t>
      </w:r>
      <w:r>
        <w:rPr>
          <w:iCs/>
          <w:i/>
        </w:rPr>
        <w:t xml:space="preserve">rudhādi</w:t>
      </w:r>
      <w:r>
        <w:t xml:space="preserve">; after it</w:t>
      </w:r>
      <w:r>
        <w:t xml:space="preserve"> </w:t>
      </w:r>
      <w:r>
        <w:rPr>
          <w:iCs/>
          <w:i/>
        </w:rPr>
        <w:t xml:space="preserve">kta</w:t>
      </w:r>
      <w:r>
        <w:t xml:space="preserve">; by</w:t>
      </w:r>
      <w:r>
        <w:t xml:space="preserve"> </w:t>
      </w:r>
      <w:r>
        <w:t xml:space="preserve">“</w:t>
      </w:r>
      <w:r>
        <w:t xml:space="preserve">anidatāṃ hala upadhāyāḥ kṅiti</w:t>
      </w:r>
      <w:r>
        <w:t xml:space="preserve">”</w:t>
      </w:r>
      <w:r>
        <w:t xml:space="preserve"> </w:t>
      </w:r>
      <w:r>
        <w:t xml:space="preserve">(Pā. 6-4-24), before a</w:t>
      </w:r>
      <w:r>
        <w:t xml:space="preserve"> </w:t>
      </w:r>
      <w:r>
        <w:rPr>
          <w:iCs/>
          <w:i/>
        </w:rPr>
        <w:t xml:space="preserve">kit</w:t>
      </w:r>
      <w:r>
        <w:t xml:space="preserve"> </w:t>
      </w:r>
      <w:r>
        <w:t xml:space="preserve">or</w:t>
      </w:r>
      <w:r>
        <w:t xml:space="preserve"> </w:t>
      </w:r>
      <w:r>
        <w:rPr>
          <w:iCs/>
          <w:i/>
        </w:rPr>
        <w:t xml:space="preserve">ṅit</w:t>
      </w:r>
      <w:r>
        <w:t xml:space="preserve"> </w:t>
      </w:r>
      <w:r>
        <w:t xml:space="preserve">suffix the penultimate</w:t>
      </w:r>
      <w:r>
        <w:t xml:space="preserve"> </w:t>
      </w:r>
      <w:r>
        <w:rPr>
          <w:iCs/>
          <w:i/>
        </w:rPr>
        <w:t xml:space="preserve">n</w:t>
      </w:r>
      <w:r>
        <w:t xml:space="preserve"> </w:t>
      </w:r>
      <w:r>
        <w:t xml:space="preserve">of a consonant-ending stem that is not</w:t>
      </w:r>
      <w:r>
        <w:t xml:space="preserve"> </w:t>
      </w:r>
      <w:r>
        <w:rPr>
          <w:iCs/>
          <w:i/>
        </w:rPr>
        <w:t xml:space="preserve">idit</w:t>
      </w:r>
      <w:r>
        <w:t xml:space="preserve"> </w:t>
      </w:r>
      <w:r>
        <w:t xml:space="preserve">is dropped:</w:t>
      </w:r>
      <w:r>
        <w:t xml:space="preserve"> </w:t>
      </w:r>
      <w:r>
        <w:rPr>
          <w:iCs/>
          <w:i/>
        </w:rPr>
        <w:t xml:space="preserve">idh</w:t>
      </w:r>
      <w:r>
        <w:t xml:space="preserve"> </w:t>
      </w:r>
      <w:r>
        <w:t xml:space="preserve">+</w:t>
      </w:r>
      <w:r>
        <w:t xml:space="preserve"> </w:t>
      </w:r>
      <w:r>
        <w:rPr>
          <w:iCs/>
          <w:i/>
        </w:rPr>
        <w:t xml:space="preserve">ta</w:t>
      </w:r>
      <w:r>
        <w:t xml:space="preserve">;</w:t>
      </w:r>
      <w:r>
        <w:t xml:space="preserve"> </w:t>
      </w:r>
      <w:r>
        <w:t xml:space="preserve">“</w:t>
      </w:r>
      <w:r>
        <w:t xml:space="preserve">jhaṣas tathor dho ’dhaḥ</w:t>
      </w:r>
      <w:r>
        <w:t xml:space="preserve">”</w:t>
      </w:r>
      <w:r>
        <w:t xml:space="preserve"> </w:t>
      </w:r>
      <w:r>
        <w:t xml:space="preserve">(Pā. 8-2-40) gives</w:t>
      </w:r>
      <w:r>
        <w:t xml:space="preserve"> </w:t>
      </w:r>
      <w:r>
        <w:rPr>
          <w:iCs/>
          <w:i/>
        </w:rPr>
        <w:t xml:space="preserve">dh</w:t>
      </w:r>
      <w:r>
        <w:t xml:space="preserve"> </w:t>
      </w:r>
      <w:r>
        <w:t xml:space="preserve">for the</w:t>
      </w:r>
      <w:r>
        <w:t xml:space="preserve"> </w:t>
      </w:r>
      <w:r>
        <w:rPr>
          <w:iCs/>
          <w:i/>
        </w:rPr>
        <w:t xml:space="preserve">t</w:t>
      </w:r>
      <w:r>
        <w:t xml:space="preserve">, and</w:t>
      </w:r>
      <w:r>
        <w:t xml:space="preserve"> </w:t>
      </w:r>
      <w:r>
        <w:rPr>
          <w:iCs/>
          <w:i/>
        </w:rPr>
        <w:t xml:space="preserve">jaśtva</w:t>
      </w:r>
      <w:r>
        <w:t xml:space="preserve">:</w:t>
      </w:r>
      <w:r>
        <w:t xml:space="preserve"> </w:t>
      </w:r>
      <w:r>
        <w:rPr>
          <w:iCs/>
          <w:i/>
        </w:rPr>
        <w:t xml:space="preserve">iddha</w:t>
      </w:r>
      <w:r>
        <w:t xml:space="preserve">.</w:t>
      </w:r>
      <w:r>
        <w:t xml:space="preserve"> </w:t>
      </w:r>
      <w:r>
        <w:rPr>
          <w:iCs/>
          <w:i/>
        </w:rPr>
        <w:t xml:space="preserve">Sam</w:t>
      </w:r>
      <w:r>
        <w:t xml:space="preserve">, qualifying the action, has the name</w:t>
      </w:r>
      <w:r>
        <w:t xml:space="preserve"> </w:t>
      </w:r>
      <w:r>
        <w:rPr>
          <w:iCs/>
          <w:i/>
        </w:rPr>
        <w:t xml:space="preserve">gati</w:t>
      </w:r>
      <w:r>
        <w:t xml:space="preserve">, and is compounded with</w:t>
      </w:r>
      <w:r>
        <w:t xml:space="preserve"> </w:t>
      </w:r>
      <w:r>
        <w:rPr>
          <w:iCs/>
          <w:i/>
        </w:rPr>
        <w:t xml:space="preserve">iddhaḥ</w:t>
      </w:r>
      <w:r>
        <w:t xml:space="preserve"> </w:t>
      </w:r>
      <w:r>
        <w:t xml:space="preserve">by</w:t>
      </w:r>
      <w:r>
        <w:t xml:space="preserve"> </w:t>
      </w:r>
      <w:r>
        <w:t xml:space="preserve">“</w:t>
      </w:r>
      <w:r>
        <w:t xml:space="preserve">kugatiprādayaḥ</w:t>
      </w:r>
      <w:r>
        <w:t xml:space="preserve">”</w:t>
      </w:r>
      <w:r>
        <w:t xml:space="preserve"> </w:t>
      </w:r>
      <w:r>
        <w:t xml:space="preserve">(Pā. 2-2-18).</w:t>
      </w:r>
      <w:r>
        <w:t xml:space="preserve"> </w:t>
      </w:r>
      <w:r>
        <w:rPr>
          <w:iCs/>
          <w:i/>
        </w:rPr>
        <w:t xml:space="preserve">Su</w:t>
      </w:r>
      <w:r>
        <w:t xml:space="preserve"> </w:t>
      </w:r>
      <w:r>
        <w:t xml:space="preserve">here is a</w:t>
      </w:r>
      <w:r>
        <w:t xml:space="preserve"> </w:t>
      </w:r>
      <w:r>
        <w:rPr>
          <w:iCs/>
          <w:i/>
        </w:rPr>
        <w:t xml:space="preserve">prātipadika</w:t>
      </w:r>
      <w:r>
        <w:t xml:space="preserve"> </w:t>
      </w:r>
      <w:r>
        <w:t xml:space="preserve">meaning</w:t>
      </w:r>
      <w:r>
        <w:t xml:space="preserve"> </w:t>
      </w:r>
      <w:r>
        <w:t xml:space="preserve">“</w:t>
      </w:r>
      <w:r>
        <w:t xml:space="preserve">good</w:t>
      </w:r>
      <w:r>
        <w:t xml:space="preserve">”</w:t>
      </w:r>
      <w:r>
        <w:t xml:space="preserve">, not a</w:t>
      </w:r>
      <w:r>
        <w:t xml:space="preserve"> </w:t>
      </w:r>
      <w:r>
        <w:rPr>
          <w:iCs/>
          <w:i/>
        </w:rPr>
        <w:t xml:space="preserve">gati</w:t>
      </w:r>
      <w:r>
        <w:t xml:space="preserve">; it is compounded with</w:t>
      </w:r>
      <w:r>
        <w:t xml:space="preserve"> </w:t>
      </w:r>
      <w:r>
        <w:rPr>
          <w:iCs/>
          <w:i/>
        </w:rPr>
        <w:t xml:space="preserve">samiddha</w:t>
      </w:r>
      <w:r>
        <w:t xml:space="preserve"> </w:t>
      </w:r>
      <w:r>
        <w:t xml:space="preserve">as a karmadhāraya by</w:t>
      </w:r>
      <w:r>
        <w:t xml:space="preserve"> </w:t>
      </w:r>
      <w:r>
        <w:t xml:space="preserve">“</w:t>
      </w:r>
      <w:r>
        <w:t xml:space="preserve">viśeṣaṇaṃ viśeṣyeṇa bahulam</w:t>
      </w:r>
      <w:r>
        <w:t xml:space="preserve">”</w:t>
      </w:r>
      <w:r>
        <w:t xml:space="preserve"> </w:t>
      </w:r>
      <w:r>
        <w:t xml:space="preserve">(Pā. 2-1-57).</w:t>
      </w:r>
      <w:r>
        <w:t xml:space="preserve"> </w:t>
      </w:r>
      <w:r>
        <w:rPr>
          <w:iCs/>
          <w:i/>
        </w:rPr>
        <w:t xml:space="preserve">Su</w:t>
      </w:r>
      <w:r>
        <w:t xml:space="preserve"> </w:t>
      </w:r>
      <w:r>
        <w:t xml:space="preserve">is final-udātta by the stem accent; by</w:t>
      </w:r>
      <w:r>
        <w:t xml:space="preserve"> </w:t>
      </w:r>
      <w:r>
        <w:t xml:space="preserve">“</w:t>
      </w:r>
      <w:r>
        <w:t xml:space="preserve">karmadhāraye ’niṣṭhā</w:t>
      </w:r>
      <w:r>
        <w:t xml:space="preserve">”</w:t>
      </w:r>
      <w:r>
        <w:t xml:space="preserve"> </w:t>
      </w:r>
      <w:r>
        <w:t xml:space="preserve">(printed</w:t>
      </w:r>
      <w:r>
        <w:t xml:space="preserve"> </w:t>
      </w:r>
      <w:r>
        <w:t xml:space="preserve">“</w:t>
      </w:r>
      <w:r>
        <w:t xml:space="preserve">6-2 46</w:t>
      </w:r>
      <w:r>
        <w:t xml:space="preserve">”</w:t>
      </w:r>
      <w:r>
        <w:t xml:space="preserve">), in a karmadhāraya with a</w:t>
      </w:r>
      <w:r>
        <w:t xml:space="preserve"> </w:t>
      </w:r>
      <w:r>
        <w:rPr>
          <w:iCs/>
          <w:i/>
        </w:rPr>
        <w:t xml:space="preserve">kta</w:t>
      </w:r>
      <w:r>
        <w:t xml:space="preserve">-ending second member, a first member that is not a</w:t>
      </w:r>
      <w:r>
        <w:t xml:space="preserve"> </w:t>
      </w:r>
      <w:r>
        <w:rPr>
          <w:iCs/>
          <w:i/>
        </w:rPr>
        <w:t xml:space="preserve">niṣṭhā</w:t>
      </w:r>
      <w:r>
        <w:t xml:space="preserve"> </w:t>
      </w:r>
      <w:r>
        <w:t xml:space="preserve">keeps its own accent, so the udātta of</w:t>
      </w:r>
      <w:r>
        <w:t xml:space="preserve"> </w:t>
      </w:r>
      <w:r>
        <w:rPr>
          <w:iCs/>
          <w:i/>
        </w:rPr>
        <w:t xml:space="preserve">su</w:t>
      </w:r>
      <w:r>
        <w:t xml:space="preserve"> </w:t>
      </w:r>
      <w:r>
        <w:t xml:space="preserve">stands, the other vowels unaccented by the rule for the remainder; the</w:t>
      </w:r>
      <w:r>
        <w:t xml:space="preserve"> </w:t>
      </w:r>
      <w:r>
        <w:rPr>
          <w:iCs/>
          <w:i/>
        </w:rPr>
        <w:t xml:space="preserve">sa</w:t>
      </w:r>
      <w:r>
        <w:t xml:space="preserve"> </w:t>
      </w:r>
      <w:r>
        <w:t xml:space="preserve">after</w:t>
      </w:r>
      <w:r>
        <w:t xml:space="preserve"> </w:t>
      </w:r>
      <w:r>
        <w:rPr>
          <w:iCs/>
          <w:i/>
        </w:rPr>
        <w:t xml:space="preserve">su</w:t>
      </w:r>
      <w:r>
        <w:t xml:space="preserve"> </w:t>
      </w:r>
      <w:r>
        <w:t xml:space="preserve">is svarita by</w:t>
      </w:r>
      <w:r>
        <w:t xml:space="preserve"> </w:t>
      </w:r>
      <w:r>
        <w:t xml:space="preserve">“</w:t>
      </w:r>
      <w:r>
        <w:t xml:space="preserve">udāttād anudāttasya svaritaḥ</w:t>
      </w:r>
      <w:r>
        <w:t xml:space="preserve">”</w:t>
      </w:r>
      <w:r>
        <w:t xml:space="preserve"> </w:t>
      </w:r>
      <w:r>
        <w:t xml:space="preserve">(Pā. 8-4-66), and the following vowels are</w:t>
      </w:r>
      <w:r>
        <w:t xml:space="preserve"> </w:t>
      </w:r>
      <w:r>
        <w:rPr>
          <w:iCs/>
          <w:i/>
        </w:rPr>
        <w:t xml:space="preserve">pracaya</w:t>
      </w:r>
      <w:r>
        <w:t xml:space="preserve"> </w:t>
      </w:r>
      <w:r>
        <w:t xml:space="preserve">by</w:t>
      </w:r>
      <w:r>
        <w:t xml:space="preserve"> </w:t>
      </w:r>
      <w:r>
        <w:t xml:space="preserve">“</w:t>
      </w:r>
      <w:r>
        <w:t xml:space="preserve">svaritāt saṃhitāyām anudāttānām</w:t>
      </w:r>
      <w:r>
        <w:t xml:space="preserve">”</w:t>
      </w:r>
      <w:r>
        <w:t xml:space="preserve"> </w:t>
      </w:r>
      <w:r>
        <w:t xml:space="preserve">(Pā. 1-2-39). If, like</w:t>
      </w:r>
      <w:r>
        <w:t xml:space="preserve"> </w:t>
      </w:r>
      <w:r>
        <w:rPr>
          <w:iCs/>
          <w:i/>
        </w:rPr>
        <w:t xml:space="preserve">sam</w:t>
      </w:r>
      <w:r>
        <w:t xml:space="preserve">,</w:t>
      </w:r>
      <w:r>
        <w:t xml:space="preserve"> </w:t>
      </w:r>
      <w:r>
        <w:rPr>
          <w:iCs/>
          <w:i/>
        </w:rPr>
        <w:t xml:space="preserve">su</w:t>
      </w:r>
      <w:r>
        <w:t xml:space="preserve"> </w:t>
      </w:r>
      <w:r>
        <w:t xml:space="preserve">too were taken as qualifying the action, it would be a</w:t>
      </w:r>
      <w:r>
        <w:t xml:space="preserve"> </w:t>
      </w:r>
      <w:r>
        <w:rPr>
          <w:iCs/>
          <w:i/>
        </w:rPr>
        <w:t xml:space="preserve">gati</w:t>
      </w:r>
      <w:r>
        <w:t xml:space="preserve"> </w:t>
      </w:r>
      <w:r>
        <w:t xml:space="preserve">and give a</w:t>
      </w:r>
      <w:r>
        <w:t xml:space="preserve"> </w:t>
      </w:r>
      <w:r>
        <w:rPr>
          <w:iCs/>
          <w:i/>
        </w:rPr>
        <w:t xml:space="preserve">prādi</w:t>
      </w:r>
      <w:r>
        <w:t xml:space="preserve"> </w:t>
      </w:r>
      <w:r>
        <w:t xml:space="preserve">compound; by</w:t>
      </w:r>
      <w:r>
        <w:t xml:space="preserve"> </w:t>
      </w:r>
      <w:r>
        <w:t xml:space="preserve">“</w:t>
      </w:r>
      <w:r>
        <w:t xml:space="preserve">gatir anantaraḥ</w:t>
      </w:r>
      <w:r>
        <w:t xml:space="preserve">”</w:t>
      </w:r>
      <w:r>
        <w:t xml:space="preserve"> </w:t>
      </w:r>
      <w:r>
        <w:t xml:space="preserve">(Pā. 6-2-49), before a</w:t>
      </w:r>
      <w:r>
        <w:t xml:space="preserve"> </w:t>
      </w:r>
      <w:r>
        <w:rPr>
          <w:iCs/>
          <w:i/>
        </w:rPr>
        <w:t xml:space="preserve">kta</w:t>
      </w:r>
      <w:r>
        <w:t xml:space="preserve">-ending in the object sense an immediately preceding</w:t>
      </w:r>
      <w:r>
        <w:t xml:space="preserve"> </w:t>
      </w:r>
      <w:r>
        <w:rPr>
          <w:iCs/>
          <w:i/>
        </w:rPr>
        <w:t xml:space="preserve">gati</w:t>
      </w:r>
      <w:r>
        <w:t xml:space="preserve"> </w:t>
      </w:r>
      <w:r>
        <w:t xml:space="preserve">keeps its accent, so</w:t>
      </w:r>
      <w:r>
        <w:t xml:space="preserve"> </w:t>
      </w:r>
      <w:r>
        <w:rPr>
          <w:iCs/>
          <w:i/>
        </w:rPr>
        <w:t xml:space="preserve">sam</w:t>
      </w:r>
      <w:r>
        <w:t xml:space="preserve"> </w:t>
      </w:r>
      <w:r>
        <w:t xml:space="preserve">would be udātta; even after compounding, by</w:t>
      </w:r>
      <w:r>
        <w:t xml:space="preserve"> </w:t>
      </w:r>
      <w:r>
        <w:t xml:space="preserve">“</w:t>
      </w:r>
      <w:r>
        <w:t xml:space="preserve">gati-kārakopapadāt kṛt</w:t>
      </w:r>
      <w:r>
        <w:t xml:space="preserve">”</w:t>
      </w:r>
      <w:r>
        <w:t xml:space="preserve"> </w:t>
      </w:r>
      <w:r>
        <w:t xml:space="preserve">(Pā. 6-2-139) the accent of the</w:t>
      </w:r>
      <w:r>
        <w:t xml:space="preserve"> </w:t>
      </w:r>
      <w:r>
        <w:rPr>
          <w:iCs/>
          <w:i/>
        </w:rPr>
        <w:t xml:space="preserve">kṛt</w:t>
      </w:r>
      <w:r>
        <w:t xml:space="preserve"> </w:t>
      </w:r>
      <w:r>
        <w:t xml:space="preserve">second member would have to stand, and</w:t>
      </w:r>
      <w:r>
        <w:t xml:space="preserve"> </w:t>
      </w:r>
      <w:r>
        <w:rPr>
          <w:iCs/>
          <w:i/>
        </w:rPr>
        <w:t xml:space="preserve">su</w:t>
      </w:r>
      <w:r>
        <w:t xml:space="preserve"> </w:t>
      </w:r>
      <w:r>
        <w:t xml:space="preserve">would be unaccented by the rule for the remainder. So</w:t>
      </w:r>
      <w:r>
        <w:t xml:space="preserve"> </w:t>
      </w:r>
      <w:r>
        <w:rPr>
          <w:iCs/>
          <w:i/>
        </w:rPr>
        <w:t xml:space="preserve">su</w:t>
      </w:r>
      <w:r>
        <w:t xml:space="preserve"> </w:t>
      </w:r>
      <w:r>
        <w:t xml:space="preserve">is not taken as qualifying the action but as a</w:t>
      </w:r>
      <w:r>
        <w:t xml:space="preserve"> </w:t>
      </w:r>
      <w:r>
        <w:rPr>
          <w:iCs/>
          <w:i/>
        </w:rPr>
        <w:t xml:space="preserve">prātipadika</w:t>
      </w:r>
      <w:r>
        <w:t xml:space="preserve"> </w:t>
      </w:r>
      <w:r>
        <w:t xml:space="preserve">meaning</w:t>
      </w:r>
      <w:r>
        <w:t xml:space="preserve"> </w:t>
      </w:r>
      <w:r>
        <w:t xml:space="preserve">“</w:t>
      </w:r>
      <w:r>
        <w:t xml:space="preserve">good</w:t>
      </w:r>
      <w:r>
        <w:t xml:space="preserve">”</w:t>
      </w:r>
      <w:r>
        <w:t xml:space="preserve">, and the desired initial udātta of</w:t>
      </w:r>
      <w:r>
        <w:t xml:space="preserve"> </w:t>
      </w:r>
      <w:r>
        <w:rPr>
          <w:iCs/>
          <w:i/>
        </w:rPr>
        <w:t xml:space="preserve">susamiddha</w:t>
      </w:r>
      <w:r>
        <w:t xml:space="preserve"> </w:t>
      </w:r>
      <w:r>
        <w:t xml:space="preserve">is obtained.</w:t>
      </w:r>
    </w:p>
    <w:bookmarkEnd w:id="556"/>
    <w:bookmarkStart w:id="557" w:name="page-530-rik-1-grammar-continued"/>
    <w:p>
      <w:pPr>
        <w:pStyle w:val="Heading3"/>
      </w:pPr>
      <w:r>
        <w:t xml:space="preserve">Page 530 — Rik 1 grammar (continued)</w:t>
      </w:r>
    </w:p>
    <w:p>
      <w:pPr>
        <w:pStyle w:val="FirstParagraph"/>
      </w:pPr>
      <w:r>
        <w:rPr>
          <w:iCs/>
          <w:i/>
        </w:rPr>
        <w:t xml:space="preserve">Su</w:t>
      </w:r>
      <w:r>
        <w:t xml:space="preserve"> </w:t>
      </w:r>
      <w:r>
        <w:t xml:space="preserve">does not qualify the action. Even granting it is a</w:t>
      </w:r>
      <w:r>
        <w:t xml:space="preserve"> </w:t>
      </w:r>
      <w:r>
        <w:rPr>
          <w:iCs/>
          <w:i/>
        </w:rPr>
        <w:t xml:space="preserve">prātipadika</w:t>
      </w:r>
      <w:r>
        <w:t xml:space="preserve"> </w:t>
      </w:r>
      <w:r>
        <w:t xml:space="preserve">meaning</w:t>
      </w:r>
      <w:r>
        <w:t xml:space="preserve"> </w:t>
      </w:r>
      <w:r>
        <w:t xml:space="preserve">“</w:t>
      </w:r>
      <w:r>
        <w:t xml:space="preserve">good</w:t>
      </w:r>
      <w:r>
        <w:t xml:space="preserve">”</w:t>
      </w:r>
      <w:r>
        <w:t xml:space="preserve">, the first-member accent of</w:t>
      </w:r>
      <w:r>
        <w:t xml:space="preserve"> </w:t>
      </w:r>
      <w:r>
        <w:t xml:space="preserve">“</w:t>
      </w:r>
      <w:r>
        <w:t xml:space="preserve">karmadhāraye ’niṣṭhā</w:t>
      </w:r>
      <w:r>
        <w:t xml:space="preserve">”</w:t>
      </w:r>
      <w:r>
        <w:t xml:space="preserve"> </w:t>
      </w:r>
      <w:r>
        <w:t xml:space="preserve">does not arise here: that sūtra applies only where the compound is the one specifically prescribed with</w:t>
      </w:r>
      <w:r>
        <w:t xml:space="preserve"> </w:t>
      </w:r>
      <w:r>
        <w:rPr>
          <w:iCs/>
          <w:i/>
        </w:rPr>
        <w:t xml:space="preserve">kta</w:t>
      </w:r>
      <w:r>
        <w:t xml:space="preserve">-endings by</w:t>
      </w:r>
      <w:r>
        <w:t xml:space="preserve"> </w:t>
      </w:r>
      <w:r>
        <w:t xml:space="preserve">“</w:t>
      </w:r>
      <w:r>
        <w:t xml:space="preserve">śreṇyādayaḥ kṛtādibhiḥ</w:t>
      </w:r>
      <w:r>
        <w:t xml:space="preserve">”</w:t>
      </w:r>
      <w:r>
        <w:t xml:space="preserve"> </w:t>
      </w:r>
      <w:r>
        <w:t xml:space="preserve">(printed</w:t>
      </w:r>
      <w:r>
        <w:t xml:space="preserve"> </w:t>
      </w:r>
      <w:r>
        <w:t xml:space="preserve">“</w:t>
      </w:r>
      <w:r>
        <w:t xml:space="preserve">2-1-59</w:t>
      </w:r>
      <w:r>
        <w:t xml:space="preserve">”</w:t>
      </w:r>
      <w:r>
        <w:t xml:space="preserve">). That is why in</w:t>
      </w:r>
      <w:r>
        <w:t xml:space="preserve"> </w:t>
      </w:r>
      <w:r>
        <w:t xml:space="preserve">“</w:t>
      </w:r>
      <w:r>
        <w:t xml:space="preserve">mahān vrīhy-aparāhṇa-gṛṣṭīṣvāsa-jābāla-bhāra-bhārata-hailihila-raurava-pravṛddheṣu</w:t>
      </w:r>
      <w:r>
        <w:t xml:space="preserve">”</w:t>
      </w:r>
      <w:r>
        <w:t xml:space="preserve"> </w:t>
      </w:r>
      <w:r>
        <w:t xml:space="preserve">(Pā. 6-2-38) —</w:t>
      </w:r>
      <w:r>
        <w:t xml:space="preserve"> </w:t>
      </w:r>
      <w:r>
        <w:rPr>
          <w:iCs/>
          <w:i/>
        </w:rPr>
        <w:t xml:space="preserve">mahat</w:t>
      </w:r>
      <w:r>
        <w:t xml:space="preserve"> </w:t>
      </w:r>
      <w:r>
        <w:t xml:space="preserve">keeps its own accent before these ten words,</w:t>
      </w:r>
      <w:r>
        <w:t xml:space="preserve"> </w:t>
      </w:r>
      <w:r>
        <w:rPr>
          <w:iCs/>
          <w:i/>
        </w:rPr>
        <w:t xml:space="preserve">vrīhi</w:t>
      </w:r>
      <w:r>
        <w:t xml:space="preserve"> </w:t>
      </w:r>
      <w:r>
        <w:t xml:space="preserve">and the rest — the mention of</w:t>
      </w:r>
      <w:r>
        <w:t xml:space="preserve"> </w:t>
      </w:r>
      <w:r>
        <w:rPr>
          <w:iCs/>
          <w:i/>
        </w:rPr>
        <w:t xml:space="preserve">pravṛddha</w:t>
      </w:r>
      <w:r>
        <w:t xml:space="preserve"> </w:t>
      </w:r>
      <w:r>
        <w:t xml:space="preserve">has a purpose; otherwise in</w:t>
      </w:r>
      <w:r>
        <w:t xml:space="preserve"> </w:t>
      </w:r>
      <w:r>
        <w:rPr>
          <w:iCs/>
          <w:i/>
        </w:rPr>
        <w:t xml:space="preserve">mahāpravṛddha</w:t>
      </w:r>
      <w:r>
        <w:t xml:space="preserve"> </w:t>
      </w:r>
      <w:r>
        <w:t xml:space="preserve">“</w:t>
      </w:r>
      <w:r>
        <w:t xml:space="preserve">karmadhāraye ’niṣṭhā</w:t>
      </w:r>
      <w:r>
        <w:t xml:space="preserve">”</w:t>
      </w:r>
      <w:r>
        <w:t xml:space="preserve"> </w:t>
      </w:r>
      <w:r>
        <w:t xml:space="preserve">(6-2-46) would already give the first-member accent, and the mention of</w:t>
      </w:r>
      <w:r>
        <w:t xml:space="preserve"> </w:t>
      </w:r>
      <w:r>
        <w:rPr>
          <w:iCs/>
          <w:i/>
        </w:rPr>
        <w:t xml:space="preserve">pravṛddha</w:t>
      </w:r>
      <w:r>
        <w:t xml:space="preserve"> </w:t>
      </w:r>
      <w:r>
        <w:t xml:space="preserve">would be useless. This point is clear in the Mahābhāṣya on the sūtra</w:t>
      </w:r>
      <w:r>
        <w:t xml:space="preserve"> </w:t>
      </w:r>
      <w:r>
        <w:rPr>
          <w:iCs/>
          <w:i/>
        </w:rPr>
        <w:t xml:space="preserve">mahān vrīhi</w:t>
      </w:r>
      <w:r>
        <w:t xml:space="preserve">; the lines there are:</w:t>
      </w:r>
    </w:p>
    <w:p>
      <w:pPr>
        <w:pStyle w:val="BlockText"/>
      </w:pPr>
      <w:r>
        <w:t xml:space="preserve">किमर्थं महतः प्रवृद्धशब्द उत्तरपदे पूर्वपदप्रकृतिस्वरत्वमुच्यते ? न कर्मधारये ऽनिष्ठेत्येव सिद्धम् ? न सिध्यति । किं कारणम् ? । श्रेण्यादिसमास इत्येवं तत् । किं पुनः कारणं श्रेण्यादिसमास इत्येवं तत् ? इह मा भूत् महानिलनिष्को [?] दक्षिणा दीयत इति ।</w:t>
      </w:r>
    </w:p>
    <w:p>
      <w:pPr>
        <w:pStyle w:val="BlockText"/>
      </w:pPr>
      <w:r>
        <w:rPr>
          <w:iCs/>
          <w:i/>
        </w:rPr>
        <w:t xml:space="preserve">kimarthaṃ mahataḥ pravṛddhaśabda uttarapade pūrvapadaprakṛtisvaratvamucyate ? na karmadhāraye ’niṣṭhetyeva siddham ? na sidhyati | kiṃ kāraṇam ? | śreṇyādisamāsa ityevaṃ tat | kiṃ punaḥ kāraṇaṃ śreṇyādisamāsa ityevaṃ tat ? iha mā bhūt mahānilaniṣko [?] dakṣiṇā dīyata iti |</w:t>
      </w:r>
    </w:p>
    <w:p>
      <w:pPr>
        <w:pStyle w:val="FirstParagraph"/>
      </w:pPr>
      <w:r>
        <w:t xml:space="preserve">In the Kaiyaṭa, taking up the words</w:t>
      </w:r>
      <w:r>
        <w:t xml:space="preserve"> </w:t>
      </w:r>
      <w:r>
        <w:rPr>
          <w:iCs/>
          <w:i/>
        </w:rPr>
        <w:t xml:space="preserve">śreṇyādisamāsa iti</w:t>
      </w:r>
      <w:r>
        <w:t xml:space="preserve">, the explanation is:</w:t>
      </w:r>
    </w:p>
    <w:p>
      <w:pPr>
        <w:pStyle w:val="BlockText"/>
      </w:pPr>
      <w:r>
        <w:t xml:space="preserve">लक्षणप्रतिपदोक्तपरिभाषया क्तान्तेन प्रतिपदोक्तो यः कर्मधारयस्तस्य ग्रहणमित्यर्थः</w:t>
      </w:r>
    </w:p>
    <w:p>
      <w:pPr>
        <w:pStyle w:val="BlockText"/>
      </w:pPr>
      <w:r>
        <w:rPr>
          <w:iCs/>
          <w:i/>
        </w:rPr>
        <w:t xml:space="preserve">lakṣaṇapratipadoktaparibhāṣayā ktāntena pratipadokto yaḥ karmadhārayastasya grahaṇamityarthaḥ</w:t>
      </w:r>
    </w:p>
    <w:p>
      <w:pPr>
        <w:pStyle w:val="FirstParagraph"/>
      </w:pPr>
      <w:r>
        <w:t xml:space="preserve">So, just as in</w:t>
      </w:r>
      <w:r>
        <w:t xml:space="preserve"> </w:t>
      </w:r>
      <w:r>
        <w:rPr>
          <w:iCs/>
          <w:i/>
        </w:rPr>
        <w:t xml:space="preserve">mahāpravṛddha</w:t>
      </w:r>
      <w:r>
        <w:t xml:space="preserve">, formed by</w:t>
      </w:r>
      <w:r>
        <w:t xml:space="preserve"> </w:t>
      </w:r>
      <w:r>
        <w:t xml:space="preserve">“</w:t>
      </w:r>
      <w:r>
        <w:t xml:space="preserve">san-mahat-paramottamotkṛṣṭāḥ pūjyamānaiḥ</w:t>
      </w:r>
      <w:r>
        <w:t xml:space="preserve">”</w:t>
      </w:r>
      <w:r>
        <w:t xml:space="preserve"> </w:t>
      </w:r>
      <w:r>
        <w:t xml:space="preserve">(Pā. 2-1-61), so in</w:t>
      </w:r>
      <w:r>
        <w:t xml:space="preserve"> </w:t>
      </w:r>
      <w:r>
        <w:rPr>
          <w:iCs/>
          <w:i/>
        </w:rPr>
        <w:t xml:space="preserve">susamiddhaḥ</w:t>
      </w:r>
      <w:r>
        <w:t xml:space="preserve">, compounded by</w:t>
      </w:r>
      <w:r>
        <w:t xml:space="preserve"> </w:t>
      </w:r>
      <w:r>
        <w:t xml:space="preserve">“</w:t>
      </w:r>
      <w:r>
        <w:t xml:space="preserve">viśeṣaṇaṃ viśeṣyeṇa bahulam</w:t>
      </w:r>
      <w:r>
        <w:t xml:space="preserve">”</w:t>
      </w:r>
      <w:r>
        <w:t xml:space="preserve"> </w:t>
      </w:r>
      <w:r>
        <w:t xml:space="preserve">(printed</w:t>
      </w:r>
      <w:r>
        <w:t xml:space="preserve"> </w:t>
      </w:r>
      <w:r>
        <w:t xml:space="preserve">“</w:t>
      </w:r>
      <w:r>
        <w:t xml:space="preserve">2-1-52</w:t>
      </w:r>
      <w:r>
        <w:t xml:space="preserve">”</w:t>
      </w:r>
      <w:r>
        <w:t xml:space="preserve"> </w:t>
      </w:r>
      <w:r>
        <w:t xml:space="preserve">[?]),</w:t>
      </w:r>
      <w:r>
        <w:t xml:space="preserve"> </w:t>
      </w:r>
      <w:r>
        <w:t xml:space="preserve">“</w:t>
      </w:r>
      <w:r>
        <w:t xml:space="preserve">karmadhāraye ’niṣṭhā</w:t>
      </w:r>
      <w:r>
        <w:t xml:space="preserve">”</w:t>
      </w:r>
      <w:r>
        <w:t xml:space="preserve"> </w:t>
      </w:r>
      <w:r>
        <w:t xml:space="preserve">(Pā. 6-2-46) does not apply. The root</w:t>
      </w:r>
      <w:r>
        <w:t xml:space="preserve"> </w:t>
      </w:r>
      <w:r>
        <w:rPr>
          <w:iCs/>
          <w:i/>
        </w:rPr>
        <w:t xml:space="preserve">indhī</w:t>
      </w:r>
      <w:r>
        <w:t xml:space="preserve"> </w:t>
      </w:r>
      <w:r>
        <w:t xml:space="preserve">means</w:t>
      </w:r>
      <w:r>
        <w:t xml:space="preserve"> </w:t>
      </w:r>
      <w:r>
        <w:t xml:space="preserve">“</w:t>
      </w:r>
      <w:r>
        <w:t xml:space="preserve">to shine</w:t>
      </w:r>
      <w:r>
        <w:t xml:space="preserve">”</w:t>
      </w:r>
      <w:r>
        <w:t xml:space="preserve">, so it is intransitive, and the</w:t>
      </w:r>
      <w:r>
        <w:t xml:space="preserve"> </w:t>
      </w:r>
      <w:r>
        <w:rPr>
          <w:iCs/>
          <w:i/>
        </w:rPr>
        <w:t xml:space="preserve">kta</w:t>
      </w:r>
      <w:r>
        <w:t xml:space="preserve"> </w:t>
      </w:r>
      <w:r>
        <w:t xml:space="preserve">after it can only be in the sense of the state, not of the object; therefore, on the view that</w:t>
      </w:r>
      <w:r>
        <w:t xml:space="preserve"> </w:t>
      </w:r>
      <w:r>
        <w:rPr>
          <w:iCs/>
          <w:i/>
        </w:rPr>
        <w:t xml:space="preserve">sam</w:t>
      </w:r>
      <w:r>
        <w:t xml:space="preserve"> </w:t>
      </w:r>
      <w:r>
        <w:t xml:space="preserve">qualifies the action, deriving the udātta of</w:t>
      </w:r>
      <w:r>
        <w:t xml:space="preserve"> </w:t>
      </w:r>
      <w:r>
        <w:rPr>
          <w:iCs/>
          <w:i/>
        </w:rPr>
        <w:t xml:space="preserve">sam</w:t>
      </w:r>
      <w:r>
        <w:t xml:space="preserve"> </w:t>
      </w:r>
      <w:r>
        <w:t xml:space="preserve">by</w:t>
      </w:r>
      <w:r>
        <w:t xml:space="preserve"> </w:t>
      </w:r>
      <w:r>
        <w:t xml:space="preserve">“</w:t>
      </w:r>
      <w:r>
        <w:t xml:space="preserve">gatir anantaraḥ</w:t>
      </w:r>
      <w:r>
        <w:t xml:space="preserve">”</w:t>
      </w:r>
      <w:r>
        <w:t xml:space="preserve"> </w:t>
      </w:r>
      <w:r>
        <w:t xml:space="preserve">(Pā. 6-2-49) is not right. Even granting that derivation on the strength of the upasarga, it is proper to derive the udātta of</w:t>
      </w:r>
      <w:r>
        <w:t xml:space="preserve"> </w:t>
      </w:r>
      <w:r>
        <w:rPr>
          <w:iCs/>
          <w:i/>
        </w:rPr>
        <w:t xml:space="preserve">sam</w:t>
      </w:r>
      <w:r>
        <w:t xml:space="preserve"> </w:t>
      </w:r>
      <w:r>
        <w:t xml:space="preserve">in the second compound by the same rule; since the special accent of</w:t>
      </w:r>
      <w:r>
        <w:t xml:space="preserve"> </w:t>
      </w:r>
      <w:r>
        <w:rPr>
          <w:iCs/>
          <w:i/>
        </w:rPr>
        <w:t xml:space="preserve">thātha</w:t>
      </w:r>
      <w:r>
        <w:t xml:space="preserve">… stays alert, the accent of the</w:t>
      </w:r>
      <w:r>
        <w:t xml:space="preserve"> </w:t>
      </w:r>
      <w:r>
        <w:rPr>
          <w:iCs/>
          <w:i/>
        </w:rPr>
        <w:t xml:space="preserve">kṛt</w:t>
      </w:r>
      <w:r>
        <w:t xml:space="preserve"> </w:t>
      </w:r>
      <w:r>
        <w:t xml:space="preserve">second member does not apply. The</w:t>
      </w:r>
      <w:r>
        <w:t xml:space="preserve"> </w:t>
      </w:r>
      <w:r>
        <w:rPr>
          <w:iCs/>
          <w:i/>
        </w:rPr>
        <w:t xml:space="preserve">dāsībhārādi</w:t>
      </w:r>
      <w:r>
        <w:t xml:space="preserve"> </w:t>
      </w:r>
      <w:r>
        <w:t xml:space="preserve">group (printed</w:t>
      </w:r>
      <w:r>
        <w:t xml:space="preserve"> </w:t>
      </w:r>
      <w:r>
        <w:t xml:space="preserve">“</w:t>
      </w:r>
      <w:r>
        <w:t xml:space="preserve">6-2-42</w:t>
      </w:r>
      <w:r>
        <w:t xml:space="preserve">”</w:t>
      </w:r>
      <w:r>
        <w:t xml:space="preserve">) is an</w:t>
      </w:r>
      <w:r>
        <w:t xml:space="preserve"> </w:t>
      </w:r>
      <w:r>
        <w:rPr>
          <w:iCs/>
          <w:i/>
        </w:rPr>
        <w:t xml:space="preserve">ākṛtigaṇa</w:t>
      </w:r>
      <w:r>
        <w:t xml:space="preserve">; it is proper to include</w:t>
      </w:r>
      <w:r>
        <w:t xml:space="preserve"> </w:t>
      </w:r>
      <w:r>
        <w:rPr>
          <w:iCs/>
          <w:i/>
        </w:rPr>
        <w:t xml:space="preserve">susamiddha</w:t>
      </w:r>
      <w:r>
        <w:t xml:space="preserve"> </w:t>
      </w:r>
      <w:r>
        <w:t xml:space="preserve">in it and so derive the first-member accent.</w:t>
      </w:r>
      <w:r>
        <w:t xml:space="preserve"> </w:t>
      </w:r>
      <w:r>
        <w:rPr>
          <w:bCs/>
          <w:b/>
        </w:rPr>
        <w:t xml:space="preserve">देवाँ अग्ने (</w:t>
      </w:r>
      <w:r>
        <w:rPr>
          <w:iCs/>
          <w:i/>
          <w:bCs/>
          <w:b/>
        </w:rPr>
        <w:t xml:space="preserve">devām̐ agne</w:t>
      </w:r>
      <w:r>
        <w:rPr>
          <w:bCs/>
          <w:b/>
        </w:rPr>
        <w:t xml:space="preserve">)</w:t>
      </w:r>
      <w:r>
        <w:t xml:space="preserve"> </w:t>
      </w:r>
      <w:r>
        <w:t xml:space="preserve">—</w:t>
      </w:r>
      <w:r>
        <w:t xml:space="preserve"> </w:t>
      </w:r>
      <w:r>
        <w:rPr>
          <w:iCs/>
          <w:i/>
        </w:rPr>
        <w:t xml:space="preserve">ru</w:t>
      </w:r>
      <w:r>
        <w:t xml:space="preserve"> </w:t>
      </w:r>
      <w:r>
        <w:t xml:space="preserve">and nasalization as before.</w:t>
      </w:r>
      <w:r>
        <w:t xml:space="preserve"> </w:t>
      </w:r>
      <w:r>
        <w:rPr>
          <w:bCs/>
          <w:b/>
        </w:rPr>
        <w:t xml:space="preserve">हविष्मते (</w:t>
      </w:r>
      <w:r>
        <w:rPr>
          <w:iCs/>
          <w:i/>
          <w:bCs/>
          <w:b/>
        </w:rPr>
        <w:t xml:space="preserve">haviṣmate</w:t>
      </w:r>
      <w:r>
        <w:rPr>
          <w:bCs/>
          <w:b/>
        </w:rPr>
        <w:t xml:space="preserve">)</w:t>
      </w:r>
      <w:r>
        <w:t xml:space="preserve"> </w:t>
      </w:r>
      <w:r>
        <w:t xml:space="preserve">—</w:t>
      </w:r>
      <w:r>
        <w:t xml:space="preserve"> </w:t>
      </w:r>
      <w:r>
        <w:t xml:space="preserve">“</w:t>
      </w:r>
      <w:r>
        <w:t xml:space="preserve">haviḥ asya asti</w:t>
      </w:r>
      <w:r>
        <w:t xml:space="preserve">”</w:t>
      </w:r>
      <w:r>
        <w:t xml:space="preserve">:</w:t>
      </w:r>
      <w:r>
        <w:t xml:space="preserve"> </w:t>
      </w:r>
      <w:r>
        <w:rPr>
          <w:iCs/>
          <w:i/>
        </w:rPr>
        <w:t xml:space="preserve">matup</w:t>
      </w:r>
      <w:r>
        <w:t xml:space="preserve"> </w:t>
      </w:r>
      <w:r>
        <w:t xml:space="preserve">by</w:t>
      </w:r>
      <w:r>
        <w:t xml:space="preserve"> </w:t>
      </w:r>
      <w:r>
        <w:t xml:space="preserve">“</w:t>
      </w:r>
      <w:r>
        <w:t xml:space="preserve">tad asyāsty asminn iti matup</w:t>
      </w:r>
      <w:r>
        <w:t xml:space="preserve">”</w:t>
      </w:r>
      <w:r>
        <w:t xml:space="preserve"> </w:t>
      </w:r>
      <w:r>
        <w:t xml:space="preserve">(Pā. 5-2-94); in</w:t>
      </w:r>
      <w:r>
        <w:t xml:space="preserve"> </w:t>
      </w:r>
      <w:r>
        <w:rPr>
          <w:iCs/>
          <w:i/>
        </w:rPr>
        <w:t xml:space="preserve">havis</w:t>
      </w:r>
      <w:r>
        <w:t xml:space="preserve"> </w:t>
      </w:r>
      <w:r>
        <w:t xml:space="preserve">+</w:t>
      </w:r>
      <w:r>
        <w:t xml:space="preserve"> </w:t>
      </w:r>
      <w:r>
        <w:rPr>
          <w:iCs/>
          <w:i/>
        </w:rPr>
        <w:t xml:space="preserve">mate</w:t>
      </w:r>
      <w:r>
        <w:t xml:space="preserve">,</w:t>
      </w:r>
      <w:r>
        <w:t xml:space="preserve"> </w:t>
      </w:r>
      <w:r>
        <w:t xml:space="preserve">“</w:t>
      </w:r>
      <w:r>
        <w:t xml:space="preserve">tasau matvarthe</w:t>
      </w:r>
      <w:r>
        <w:t xml:space="preserve">”</w:t>
      </w:r>
      <w:r>
        <w:t xml:space="preserve"> </w:t>
      </w:r>
      <w:r>
        <w:t xml:space="preserve">(Pā. 1-4-19) gives the name</w:t>
      </w:r>
      <w:r>
        <w:t xml:space="preserve"> </w:t>
      </w:r>
      <w:r>
        <w:rPr>
          <w:iCs/>
          <w:i/>
        </w:rPr>
        <w:t xml:space="preserve">bha</w:t>
      </w:r>
      <w:r>
        <w:t xml:space="preserve"> </w:t>
      </w:r>
      <w:r>
        <w:t xml:space="preserve">to stems ending in</w:t>
      </w:r>
      <w:r>
        <w:t xml:space="preserve"> </w:t>
      </w:r>
      <w:r>
        <w:rPr>
          <w:iCs/>
          <w:i/>
        </w:rPr>
        <w:t xml:space="preserve">t</w:t>
      </w:r>
      <w:r>
        <w:t xml:space="preserve"> </w:t>
      </w:r>
      <w:r>
        <w:t xml:space="preserve">or</w:t>
      </w:r>
      <w:r>
        <w:t xml:space="preserve"> </w:t>
      </w:r>
      <w:r>
        <w:rPr>
          <w:iCs/>
          <w:i/>
        </w:rPr>
        <w:t xml:space="preserve">s</w:t>
      </w:r>
      <w:r>
        <w:t xml:space="preserve"> </w:t>
      </w:r>
      <w:r>
        <w:t xml:space="preserve">before a possessive suffix, and this</w:t>
      </w:r>
      <w:r>
        <w:t xml:space="preserve"> </w:t>
      </w:r>
      <w:r>
        <w:rPr>
          <w:iCs/>
          <w:i/>
        </w:rPr>
        <w:t xml:space="preserve">bha</w:t>
      </w:r>
      <w:r>
        <w:t xml:space="preserve"> </w:t>
      </w:r>
      <w:r>
        <w:t xml:space="preserve">bars the name</w:t>
      </w:r>
      <w:r>
        <w:t xml:space="preserve"> </w:t>
      </w:r>
      <w:r>
        <w:rPr>
          <w:iCs/>
          <w:i/>
        </w:rPr>
        <w:t xml:space="preserve">pada</w:t>
      </w:r>
      <w:r>
        <w:t xml:space="preserve">; so the</w:t>
      </w:r>
      <w:r>
        <w:t xml:space="preserve"> </w:t>
      </w:r>
      <w:r>
        <w:rPr>
          <w:iCs/>
          <w:i/>
        </w:rPr>
        <w:t xml:space="preserve">ru</w:t>
      </w:r>
      <w:r>
        <w:t xml:space="preserve"> </w:t>
      </w:r>
      <w:r>
        <w:t xml:space="preserve">of</w:t>
      </w:r>
      <w:r>
        <w:t xml:space="preserve"> </w:t>
      </w:r>
      <w:r>
        <w:t xml:space="preserve">“</w:t>
      </w:r>
      <w:r>
        <w:t xml:space="preserve">sasajuṣo ruḥ</w:t>
      </w:r>
      <w:r>
        <w:t xml:space="preserve">”</w:t>
      </w:r>
      <w:r>
        <w:t xml:space="preserve"> </w:t>
      </w:r>
      <w:r>
        <w:t xml:space="preserve">(Pā. 8-2-66) does not come.</w:t>
      </w:r>
    </w:p>
    <w:bookmarkEnd w:id="557"/>
    <w:bookmarkStart w:id="558" w:name="page-531-rik-1-grammar-continued"/>
    <w:p>
      <w:pPr>
        <w:pStyle w:val="Heading3"/>
      </w:pPr>
      <w:r>
        <w:t xml:space="preserve">Page 531 — Rik 1 grammar (continued)</w:t>
      </w:r>
    </w:p>
    <w:p>
      <w:pPr>
        <w:pStyle w:val="FirstParagraph"/>
      </w:pPr>
      <w:r>
        <w:rPr>
          <w:bCs/>
          <w:b/>
        </w:rPr>
        <w:t xml:space="preserve">होतः पावक (</w:t>
      </w:r>
      <w:r>
        <w:rPr>
          <w:iCs/>
          <w:i/>
          <w:bCs/>
          <w:b/>
        </w:rPr>
        <w:t xml:space="preserve">hotaḥ pāvaka</w:t>
      </w:r>
      <w:r>
        <w:rPr>
          <w:bCs/>
          <w:b/>
        </w:rPr>
        <w:t xml:space="preserve">)</w:t>
      </w:r>
      <w:r>
        <w:t xml:space="preserve"> </w:t>
      </w:r>
      <w:r>
        <w:t xml:space="preserve">— both words are vocatives. If each is said to connect separately with the action alone, they have no mutual connection and so no</w:t>
      </w:r>
      <w:r>
        <w:t xml:space="preserve"> </w:t>
      </w:r>
      <w:r>
        <w:rPr>
          <w:iCs/>
          <w:i/>
        </w:rPr>
        <w:t xml:space="preserve">sāmarthya</w:t>
      </w:r>
      <w:r>
        <w:t xml:space="preserve">, hence no</w:t>
      </w:r>
      <w:r>
        <w:t xml:space="preserve"> </w:t>
      </w:r>
      <w:r>
        <w:rPr>
          <w:iCs/>
          <w:i/>
        </w:rPr>
        <w:t xml:space="preserve">parāṅgavat</w:t>
      </w:r>
      <w:r>
        <w:t xml:space="preserve"> </w:t>
      </w:r>
      <w:r>
        <w:t xml:space="preserve">treatment; so one cannot say that, by that treatment, the sixth-chapter sūtra makes the</w:t>
      </w:r>
      <w:r>
        <w:t xml:space="preserve"> </w:t>
      </w:r>
      <w:r>
        <w:rPr>
          <w:iCs/>
          <w:i/>
        </w:rPr>
        <w:t xml:space="preserve">o</w:t>
      </w:r>
      <w:r>
        <w:t xml:space="preserve"> </w:t>
      </w:r>
      <w:r>
        <w:t xml:space="preserve">udātta and the rest unaccented by the rule for the remainder, giving a single accent. By</w:t>
      </w:r>
      <w:r>
        <w:t xml:space="preserve"> </w:t>
      </w:r>
      <w:r>
        <w:t xml:space="preserve">“</w:t>
      </w:r>
      <w:r>
        <w:t xml:space="preserve">āmantritaṃ pūrvam avidyamānavat</w:t>
      </w:r>
      <w:r>
        <w:t xml:space="preserve">”</w:t>
      </w:r>
      <w:r>
        <w:t xml:space="preserve"> </w:t>
      </w:r>
      <w:r>
        <w:t xml:space="preserve">(Pā. 8-1-72) the first vocative counts as absent, so the second does not follow a word and also begins the pāda; so</w:t>
      </w:r>
      <w:r>
        <w:t xml:space="preserve"> </w:t>
      </w:r>
      <w:r>
        <w:t xml:space="preserve">“</w:t>
      </w:r>
      <w:r>
        <w:t xml:space="preserve">āmantritasya ca</w:t>
      </w:r>
      <w:r>
        <w:t xml:space="preserve">”</w:t>
      </w:r>
      <w:r>
        <w:t xml:space="preserve"> </w:t>
      </w:r>
      <w:r>
        <w:t xml:space="preserve">(Pā. 8-1-19) cannot make it wholly unaccented. Now consider them as mutually connected. If</w:t>
      </w:r>
      <w:r>
        <w:t xml:space="preserve"> </w:t>
      </w:r>
      <w:r>
        <w:rPr>
          <w:iCs/>
          <w:i/>
        </w:rPr>
        <w:t xml:space="preserve">hotaḥ</w:t>
      </w:r>
      <w:r>
        <w:t xml:space="preserve"> </w:t>
      </w:r>
      <w:r>
        <w:t xml:space="preserve">is taken as the qualifier, the first counts as absent just as before; and because of that, even with</w:t>
      </w:r>
      <w:r>
        <w:t xml:space="preserve"> </w:t>
      </w:r>
      <w:r>
        <w:rPr>
          <w:iCs/>
          <w:i/>
        </w:rPr>
        <w:t xml:space="preserve">sāmarthya</w:t>
      </w:r>
      <w:r>
        <w:t xml:space="preserve"> </w:t>
      </w:r>
      <w:r>
        <w:t xml:space="preserve">from the mutual connection there is no</w:t>
      </w:r>
      <w:r>
        <w:t xml:space="preserve"> </w:t>
      </w:r>
      <w:r>
        <w:rPr>
          <w:iCs/>
          <w:i/>
        </w:rPr>
        <w:t xml:space="preserve">parāṅgavat</w:t>
      </w:r>
      <w:r>
        <w:t xml:space="preserve"> </w:t>
      </w:r>
      <w:r>
        <w:t xml:space="preserve">treatment; so in this case too the single unaccented form is not obtained. Therefore, accepting the familiar sense of the parts,</w:t>
      </w:r>
      <w:r>
        <w:t xml:space="preserve"> </w:t>
      </w:r>
      <w:r>
        <w:t xml:space="preserve">“</w:t>
      </w:r>
      <w:r>
        <w:t xml:space="preserve">punāti iti pāvakaḥ</w:t>
      </w:r>
      <w:r>
        <w:t xml:space="preserve">”</w:t>
      </w:r>
      <w:r>
        <w:t xml:space="preserve">,</w:t>
      </w:r>
      <w:r>
        <w:t xml:space="preserve"> </w:t>
      </w:r>
      <w:r>
        <w:rPr>
          <w:iCs/>
          <w:i/>
        </w:rPr>
        <w:t xml:space="preserve">pāvaka</w:t>
      </w:r>
      <w:r>
        <w:t xml:space="preserve"> </w:t>
      </w:r>
      <w:r>
        <w:t xml:space="preserve">must be taken as the qualifier and</w:t>
      </w:r>
      <w:r>
        <w:t xml:space="preserve"> </w:t>
      </w:r>
      <w:r>
        <w:rPr>
          <w:iCs/>
          <w:i/>
        </w:rPr>
        <w:t xml:space="preserve">hotaḥ</w:t>
      </w:r>
      <w:r>
        <w:t xml:space="preserve"> </w:t>
      </w:r>
      <w:r>
        <w:t xml:space="preserve">as the qualified.</w:t>
      </w:r>
      <w:r>
        <w:t xml:space="preserve"> </w:t>
      </w:r>
      <w:r>
        <w:rPr>
          <w:iCs/>
          <w:i/>
        </w:rPr>
        <w:t xml:space="preserve">Hotaḥ</w:t>
      </w:r>
      <w:r>
        <w:t xml:space="preserve">, being the qualified, is the general term; so</w:t>
      </w:r>
      <w:r>
        <w:t xml:space="preserve"> </w:t>
      </w:r>
      <w:r>
        <w:t xml:space="preserve">“</w:t>
      </w:r>
      <w:r>
        <w:t xml:space="preserve">nāmantrite samānādhikaraṇe sāmānyavacanam</w:t>
      </w:r>
      <w:r>
        <w:t xml:space="preserve">”</w:t>
      </w:r>
      <w:r>
        <w:t xml:space="preserve"> </w:t>
      </w:r>
      <w:r>
        <w:t xml:space="preserve">(Pā. 8-1-73) bars the</w:t>
      </w:r>
      <w:r>
        <w:t xml:space="preserve"> </w:t>
      </w:r>
      <w:r>
        <w:t xml:space="preserve">“</w:t>
      </w:r>
      <w:r>
        <w:t xml:space="preserve">absent</w:t>
      </w:r>
      <w:r>
        <w:t xml:space="preserve">”</w:t>
      </w:r>
      <w:r>
        <w:t xml:space="preserve"> </w:t>
      </w:r>
      <w:r>
        <w:t xml:space="preserve">treatment. Thus the second vocative follows a word and is not at the beginning of the pāda, so the eighth-chapter loss of accent applies. Or, with the</w:t>
      </w:r>
      <w:r>
        <w:t xml:space="preserve"> </w:t>
      </w:r>
      <w:r>
        <w:rPr>
          <w:iCs/>
          <w:i/>
        </w:rPr>
        <w:t xml:space="preserve">parāṅgavat</w:t>
      </w:r>
      <w:r>
        <w:t xml:space="preserve"> </w:t>
      </w:r>
      <w:r>
        <w:t xml:space="preserve">treatment by</w:t>
      </w:r>
      <w:r>
        <w:t xml:space="preserve"> </w:t>
      </w:r>
      <w:r>
        <w:t xml:space="preserve">“</w:t>
      </w:r>
      <w:r>
        <w:t xml:space="preserve">subāmantrite…</w:t>
      </w:r>
      <w:r>
        <w:t xml:space="preserve">”</w:t>
      </w:r>
      <w:r>
        <w:t xml:space="preserve"> </w:t>
      </w:r>
      <w:r>
        <w:t xml:space="preserve">(printed</w:t>
      </w:r>
      <w:r>
        <w:t xml:space="preserve"> </w:t>
      </w:r>
      <w:r>
        <w:t xml:space="preserve">“</w:t>
      </w:r>
      <w:r>
        <w:t xml:space="preserve">2-1-2</w:t>
      </w:r>
      <w:r>
        <w:t xml:space="preserve">”</w:t>
      </w:r>
      <w:r>
        <w:t xml:space="preserve">), the sixth-chapter</w:t>
      </w:r>
      <w:r>
        <w:t xml:space="preserve"> </w:t>
      </w:r>
      <w:r>
        <w:t xml:space="preserve">“</w:t>
      </w:r>
      <w:r>
        <w:t xml:space="preserve">āmantritasya ca</w:t>
      </w:r>
      <w:r>
        <w:t xml:space="preserve">”</w:t>
      </w:r>
      <w:r>
        <w:t xml:space="preserve"> </w:t>
      </w:r>
      <w:r>
        <w:t xml:space="preserve">(Pā. 6-1-198) makes the</w:t>
      </w:r>
      <w:r>
        <w:t xml:space="preserve"> </w:t>
      </w:r>
      <w:r>
        <w:rPr>
          <w:iCs/>
          <w:i/>
        </w:rPr>
        <w:t xml:space="preserve">o</w:t>
      </w:r>
      <w:r>
        <w:t xml:space="preserve"> </w:t>
      </w:r>
      <w:r>
        <w:t xml:space="preserve">udātta and</w:t>
      </w:r>
      <w:r>
        <w:t xml:space="preserve"> </w:t>
      </w:r>
      <w:r>
        <w:t xml:space="preserve">“</w:t>
      </w:r>
      <w:r>
        <w:t xml:space="preserve">anudāttaṃ padam ekavarjam</w:t>
      </w:r>
      <w:r>
        <w:t xml:space="preserve">”</w:t>
      </w:r>
      <w:r>
        <w:t xml:space="preserve"> </w:t>
      </w:r>
      <w:r>
        <w:t xml:space="preserve">(Pā. 6-1-158), the rule for the remainder, makes all the other vowels unaccented.</w:t>
      </w:r>
      <w:r>
        <w:t xml:space="preserve"> </w:t>
      </w:r>
      <w:r>
        <w:rPr>
          <w:bCs/>
          <w:b/>
        </w:rPr>
        <w:t xml:space="preserve">यक्षि (</w:t>
      </w:r>
      <w:r>
        <w:rPr>
          <w:iCs/>
          <w:i/>
          <w:bCs/>
          <w:b/>
        </w:rPr>
        <w:t xml:space="preserve">yakṣi</w:t>
      </w:r>
      <w:r>
        <w:rPr>
          <w:bCs/>
          <w:b/>
        </w:rPr>
        <w:t xml:space="preserve">)</w:t>
      </w:r>
      <w:r>
        <w:t xml:space="preserve"> </w:t>
      </w:r>
      <w:r>
        <w:t xml:space="preserve">— root</w:t>
      </w:r>
      <w:r>
        <w:t xml:space="preserve"> </w:t>
      </w:r>
      <w:r>
        <w:rPr>
          <w:iCs/>
          <w:i/>
        </w:rPr>
        <w:t xml:space="preserve">yaja deva-pūjā-saṅgatikaraṇa-dāneṣu</w:t>
      </w:r>
      <w:r>
        <w:t xml:space="preserve">;</w:t>
      </w:r>
      <w:r>
        <w:t xml:space="preserve"> </w:t>
      </w:r>
      <w:r>
        <w:rPr>
          <w:iCs/>
          <w:i/>
        </w:rPr>
        <w:t xml:space="preserve">loṭ</w:t>
      </w:r>
      <w:r>
        <w:t xml:space="preserve">, second singular</w:t>
      </w:r>
      <w:r>
        <w:t xml:space="preserve"> </w:t>
      </w:r>
      <w:r>
        <w:rPr>
          <w:iCs/>
          <w:i/>
        </w:rPr>
        <w:t xml:space="preserve">sip</w:t>
      </w:r>
      <w:r>
        <w:t xml:space="preserve">; being Vedic, the</w:t>
      </w:r>
      <w:r>
        <w:t xml:space="preserve"> </w:t>
      </w:r>
      <w:r>
        <w:rPr>
          <w:iCs/>
          <w:i/>
        </w:rPr>
        <w:t xml:space="preserve">hi</w:t>
      </w:r>
      <w:r>
        <w:t xml:space="preserve"> </w:t>
      </w:r>
      <w:r>
        <w:t xml:space="preserve">of</w:t>
      </w:r>
      <w:r>
        <w:t xml:space="preserve"> </w:t>
      </w:r>
      <w:r>
        <w:t xml:space="preserve">“</w:t>
      </w:r>
      <w:r>
        <w:t xml:space="preserve">ser hy apic ca</w:t>
      </w:r>
      <w:r>
        <w:t xml:space="preserve">”</w:t>
      </w:r>
      <w:r>
        <w:t xml:space="preserve"> </w:t>
      </w:r>
      <w:r>
        <w:t xml:space="preserve">(Pā. 3-4-87) does not replace</w:t>
      </w:r>
      <w:r>
        <w:t xml:space="preserve"> </w:t>
      </w:r>
      <w:r>
        <w:rPr>
          <w:iCs/>
          <w:i/>
        </w:rPr>
        <w:t xml:space="preserve">si</w:t>
      </w:r>
      <w:r>
        <w:t xml:space="preserve">; the vikaraṇa</w:t>
      </w:r>
      <w:r>
        <w:t xml:space="preserve"> </w:t>
      </w:r>
      <w:r>
        <w:rPr>
          <w:iCs/>
          <w:i/>
        </w:rPr>
        <w:t xml:space="preserve">śap</w:t>
      </w:r>
      <w:r>
        <w:t xml:space="preserve"> </w:t>
      </w:r>
      <w:r>
        <w:t xml:space="preserve">is dropped by</w:t>
      </w:r>
      <w:r>
        <w:t xml:space="preserve"> </w:t>
      </w:r>
      <w:r>
        <w:t xml:space="preserve">“</w:t>
      </w:r>
      <w:r>
        <w:t xml:space="preserve">bahulaṃ chandasi</w:t>
      </w:r>
      <w:r>
        <w:t xml:space="preserve">”</w:t>
      </w:r>
      <w:r>
        <w:t xml:space="preserve"> </w:t>
      </w:r>
      <w:r>
        <w:t xml:space="preserve">(Pā. 2-4-73); in</w:t>
      </w:r>
      <w:r>
        <w:t xml:space="preserve"> </w:t>
      </w:r>
      <w:r>
        <w:rPr>
          <w:iCs/>
          <w:i/>
        </w:rPr>
        <w:t xml:space="preserve">yaj</w:t>
      </w:r>
      <w:r>
        <w:t xml:space="preserve"> </w:t>
      </w:r>
      <w:r>
        <w:t xml:space="preserve">+</w:t>
      </w:r>
      <w:r>
        <w:t xml:space="preserve"> </w:t>
      </w:r>
      <w:r>
        <w:rPr>
          <w:iCs/>
          <w:i/>
        </w:rPr>
        <w:t xml:space="preserve">si</w:t>
      </w:r>
      <w:r>
        <w:t xml:space="preserve">,</w:t>
      </w:r>
      <w:r>
        <w:t xml:space="preserve"> </w:t>
      </w:r>
      <w:r>
        <w:t xml:space="preserve">“</w:t>
      </w:r>
      <w:r>
        <w:t xml:space="preserve">vraśca-bhrasja-sṛja-mṛja-yaja-rāja-bhrāja-cchaśāṃ ṣaḥ</w:t>
      </w:r>
      <w:r>
        <w:t xml:space="preserve">”</w:t>
      </w:r>
      <w:r>
        <w:t xml:space="preserve"> </w:t>
      </w:r>
      <w:r>
        <w:t xml:space="preserve">(Pā. 8-2-36) gives</w:t>
      </w:r>
      <w:r>
        <w:t xml:space="preserve"> </w:t>
      </w:r>
      <w:r>
        <w:rPr>
          <w:iCs/>
          <w:i/>
        </w:rPr>
        <w:t xml:space="preserve">ṣ</w:t>
      </w:r>
      <w:r>
        <w:t xml:space="preserve"> </w:t>
      </w:r>
      <w:r>
        <w:t xml:space="preserve">for the</w:t>
      </w:r>
      <w:r>
        <w:t xml:space="preserve"> </w:t>
      </w:r>
      <w:r>
        <w:rPr>
          <w:iCs/>
          <w:i/>
        </w:rPr>
        <w:t xml:space="preserve">j</w:t>
      </w:r>
      <w:r>
        <w:t xml:space="preserve">;</w:t>
      </w:r>
      <w:r>
        <w:t xml:space="preserve"> </w:t>
      </w:r>
      <w:r>
        <w:t xml:space="preserve">“</w:t>
      </w:r>
      <w:r>
        <w:t xml:space="preserve">ṣaḍhoḥ kaḥ si</w:t>
      </w:r>
      <w:r>
        <w:t xml:space="preserve">”</w:t>
      </w:r>
      <w:r>
        <w:t xml:space="preserve"> </w:t>
      </w:r>
      <w:r>
        <w:t xml:space="preserve">(Pā. 8-2-41): before</w:t>
      </w:r>
      <w:r>
        <w:t xml:space="preserve"> </w:t>
      </w:r>
      <w:r>
        <w:rPr>
          <w:iCs/>
          <w:i/>
        </w:rPr>
        <w:t xml:space="preserve">s</w:t>
      </w:r>
      <w:r>
        <w:t xml:space="preserve">,</w:t>
      </w:r>
      <w:r>
        <w:t xml:space="preserve"> </w:t>
      </w:r>
      <w:r>
        <w:rPr>
          <w:iCs/>
          <w:i/>
        </w:rPr>
        <w:t xml:space="preserve">ṣ</w:t>
      </w:r>
      <w:r>
        <w:t xml:space="preserve"> </w:t>
      </w:r>
      <w:r>
        <w:t xml:space="preserve">and</w:t>
      </w:r>
      <w:r>
        <w:t xml:space="preserve"> </w:t>
      </w:r>
      <w:r>
        <w:rPr>
          <w:iCs/>
          <w:i/>
        </w:rPr>
        <w:t xml:space="preserve">ḍh</w:t>
      </w:r>
      <w:r>
        <w:t xml:space="preserve"> </w:t>
      </w:r>
      <w:r>
        <w:t xml:space="preserve">become</w:t>
      </w:r>
      <w:r>
        <w:t xml:space="preserve"> </w:t>
      </w:r>
      <w:r>
        <w:rPr>
          <w:iCs/>
          <w:i/>
        </w:rPr>
        <w:t xml:space="preserve">k</w:t>
      </w:r>
      <w:r>
        <w:t xml:space="preserve">;</w:t>
      </w:r>
      <w:r>
        <w:t xml:space="preserve"> </w:t>
      </w:r>
      <w:r>
        <w:rPr>
          <w:iCs/>
          <w:i/>
        </w:rPr>
        <w:t xml:space="preserve">ṣ</w:t>
      </w:r>
      <w:r>
        <w:t xml:space="preserve"> </w:t>
      </w:r>
      <w:r>
        <w:t xml:space="preserve">for the</w:t>
      </w:r>
      <w:r>
        <w:t xml:space="preserve"> </w:t>
      </w:r>
      <w:r>
        <w:rPr>
          <w:iCs/>
          <w:i/>
        </w:rPr>
        <w:t xml:space="preserve">s</w:t>
      </w:r>
      <w:r>
        <w:t xml:space="preserve"> </w:t>
      </w:r>
      <w:r>
        <w:t xml:space="preserve">by</w:t>
      </w:r>
      <w:r>
        <w:t xml:space="preserve"> </w:t>
      </w:r>
      <w:r>
        <w:t xml:space="preserve">“</w:t>
      </w:r>
      <w:r>
        <w:t xml:space="preserve">ādeśa-pratyayayoḥ</w:t>
      </w:r>
      <w:r>
        <w:t xml:space="preserve">”</w:t>
      </w:r>
      <w:r>
        <w:t xml:space="preserve"> </w:t>
      </w:r>
      <w:r>
        <w:t xml:space="preserve">(Pā. 8-3-59):</w:t>
      </w:r>
      <w:r>
        <w:t xml:space="preserve"> </w:t>
      </w:r>
      <w:r>
        <w:rPr>
          <w:iCs/>
          <w:i/>
        </w:rPr>
        <w:t xml:space="preserve">yakṣi</w:t>
      </w:r>
      <w:r>
        <w:t xml:space="preserve">.</w:t>
      </w:r>
      <w:r>
        <w:t xml:space="preserve"> </w:t>
      </w:r>
      <w:r>
        <w:rPr>
          <w:iCs/>
          <w:i/>
        </w:rPr>
        <w:t xml:space="preserve">Sip</w:t>
      </w:r>
      <w:r>
        <w:t xml:space="preserve">, being</w:t>
      </w:r>
      <w:r>
        <w:t xml:space="preserve"> </w:t>
      </w:r>
      <w:r>
        <w:rPr>
          <w:iCs/>
          <w:i/>
        </w:rPr>
        <w:t xml:space="preserve">pit</w:t>
      </w:r>
      <w:r>
        <w:t xml:space="preserve">, is unaccented by</w:t>
      </w:r>
      <w:r>
        <w:t xml:space="preserve"> </w:t>
      </w:r>
      <w:r>
        <w:t xml:space="preserve">“</w:t>
      </w:r>
      <w:r>
        <w:t xml:space="preserve">anudāttau sup-pitau</w:t>
      </w:r>
      <w:r>
        <w:t xml:space="preserve">”</w:t>
      </w:r>
      <w:r>
        <w:t xml:space="preserve"> </w:t>
      </w:r>
      <w:r>
        <w:t xml:space="preserve">(Pā. 3-1-4); hence the root accent stands. Before</w:t>
      </w:r>
      <w:r>
        <w:t xml:space="preserve"> </w:t>
      </w:r>
      <w:r>
        <w:rPr>
          <w:iCs/>
          <w:i/>
        </w:rPr>
        <w:t xml:space="preserve">yakṣi</w:t>
      </w:r>
      <w:r>
        <w:t xml:space="preserve"> </w:t>
      </w:r>
      <w:r>
        <w:t xml:space="preserve">stands</w:t>
      </w:r>
      <w:r>
        <w:t xml:space="preserve"> </w:t>
      </w:r>
      <w:r>
        <w:rPr>
          <w:iCs/>
          <w:i/>
        </w:rPr>
        <w:t xml:space="preserve">pāvaka</w:t>
      </w:r>
      <w:r>
        <w:t xml:space="preserve">, a vocative; by</w:t>
      </w:r>
      <w:r>
        <w:t xml:space="preserve"> </w:t>
      </w:r>
      <w:r>
        <w:t xml:space="preserve">“</w:t>
      </w:r>
      <w:r>
        <w:t xml:space="preserve">āmantritaṃ pūrvam avidyamānavat</w:t>
      </w:r>
      <w:r>
        <w:t xml:space="preserve">”</w:t>
      </w:r>
      <w:r>
        <w:t xml:space="preserve"> </w:t>
      </w:r>
      <w:r>
        <w:t xml:space="preserve">(Pā. 8-1-72) it counts as absent, so</w:t>
      </w:r>
      <w:r>
        <w:t xml:space="preserve"> </w:t>
      </w:r>
      <w:r>
        <w:rPr>
          <w:iCs/>
          <w:i/>
        </w:rPr>
        <w:t xml:space="preserve">yakṣi</w:t>
      </w:r>
      <w:r>
        <w:t xml:space="preserve"> </w:t>
      </w:r>
      <w:r>
        <w:t xml:space="preserve">does not follow a word that is not a</w:t>
      </w:r>
      <w:r>
        <w:t xml:space="preserve"> </w:t>
      </w:r>
      <w:r>
        <w:rPr>
          <w:iCs/>
          <w:i/>
        </w:rPr>
        <w:t xml:space="preserve">tiṅanta</w:t>
      </w:r>
      <w:r>
        <w:t xml:space="preserve">, and</w:t>
      </w:r>
      <w:r>
        <w:t xml:space="preserve"> </w:t>
      </w:r>
      <w:r>
        <w:t xml:space="preserve">“</w:t>
      </w:r>
      <w:r>
        <w:t xml:space="preserve">tiṅṅ atiṅaḥ</w:t>
      </w:r>
      <w:r>
        <w:t xml:space="preserve">”</w:t>
      </w:r>
      <w:r>
        <w:t xml:space="preserve"> </w:t>
      </w:r>
      <w:r>
        <w:t xml:space="preserve">does not make it wholly unaccented. For</w:t>
      </w:r>
      <w:r>
        <w:t xml:space="preserve"> </w:t>
      </w:r>
      <w:r>
        <w:rPr>
          <w:iCs/>
          <w:i/>
        </w:rPr>
        <w:t xml:space="preserve">yakṣi</w:t>
      </w:r>
      <w:r>
        <w:t xml:space="preserve">,</w:t>
      </w:r>
    </w:p>
    <w:bookmarkEnd w:id="558"/>
    <w:bookmarkStart w:id="559" w:name="page-532-rik-1-grammar-closes"/>
    <w:p>
      <w:pPr>
        <w:pStyle w:val="Heading3"/>
      </w:pPr>
      <w:r>
        <w:t xml:space="preserve">Page 532 — Rik 1 grammar closes</w:t>
      </w:r>
    </w:p>
    <w:p>
      <w:pPr>
        <w:pStyle w:val="FirstParagraph"/>
      </w:pPr>
      <w:r>
        <w:t xml:space="preserve">since</w:t>
      </w:r>
      <w:r>
        <w:t xml:space="preserve"> </w:t>
      </w:r>
      <w:r>
        <w:rPr>
          <w:iCs/>
          <w:i/>
        </w:rPr>
        <w:t xml:space="preserve">pāvaka</w:t>
      </w:r>
      <w:r>
        <w:t xml:space="preserve"> </w:t>
      </w:r>
      <w:r>
        <w:t xml:space="preserve">counts as absent, it cannot intervene; so one may say that, coming after the word</w:t>
      </w:r>
      <w:r>
        <w:t xml:space="preserve"> </w:t>
      </w:r>
      <w:r>
        <w:rPr>
          <w:iCs/>
          <w:i/>
        </w:rPr>
        <w:t xml:space="preserve">hotaḥ</w:t>
      </w:r>
      <w:r>
        <w:t xml:space="preserve">, it should be wholly unaccented. But with respect to</w:t>
      </w:r>
      <w:r>
        <w:t xml:space="preserve"> </w:t>
      </w:r>
      <w:r>
        <w:rPr>
          <w:iCs/>
          <w:i/>
        </w:rPr>
        <w:t xml:space="preserve">yakṣi</w:t>
      </w:r>
      <w:r>
        <w:t xml:space="preserve">,</w:t>
      </w:r>
      <w:r>
        <w:t xml:space="preserve"> </w:t>
      </w:r>
      <w:r>
        <w:rPr>
          <w:iCs/>
          <w:i/>
        </w:rPr>
        <w:t xml:space="preserve">hotaḥ</w:t>
      </w:r>
      <w:r>
        <w:t xml:space="preserve"> </w:t>
      </w:r>
      <w:r>
        <w:t xml:space="preserve">too is an earlier word, so by</w:t>
      </w:r>
      <w:r>
        <w:t xml:space="preserve"> </w:t>
      </w:r>
      <w:r>
        <w:t xml:space="preserve">“</w:t>
      </w:r>
      <w:r>
        <w:t xml:space="preserve">āmantritaṃ pūrvam avidyamānavat</w:t>
      </w:r>
      <w:r>
        <w:t xml:space="preserve">”</w:t>
      </w:r>
      <w:r>
        <w:t xml:space="preserve"> </w:t>
      </w:r>
      <w:r>
        <w:t xml:space="preserve">it too counts as absent; hence even with</w:t>
      </w:r>
      <w:r>
        <w:t xml:space="preserve"> </w:t>
      </w:r>
      <w:r>
        <w:rPr>
          <w:iCs/>
          <w:i/>
        </w:rPr>
        <w:t xml:space="preserve">hotaḥ</w:t>
      </w:r>
      <w:r>
        <w:t xml:space="preserve"> </w:t>
      </w:r>
      <w:r>
        <w:t xml:space="preserve">as the condition, the full loss of accent does not come. But in deriving the accent of</w:t>
      </w:r>
      <w:r>
        <w:t xml:space="preserve"> </w:t>
      </w:r>
      <w:r>
        <w:rPr>
          <w:iCs/>
          <w:i/>
        </w:rPr>
        <w:t xml:space="preserve">hotaḥ</w:t>
      </w:r>
      <w:r>
        <w:t xml:space="preserve"> </w:t>
      </w:r>
      <w:r>
        <w:t xml:space="preserve">and</w:t>
      </w:r>
      <w:r>
        <w:t xml:space="preserve"> </w:t>
      </w:r>
      <w:r>
        <w:rPr>
          <w:iCs/>
          <w:i/>
        </w:rPr>
        <w:t xml:space="preserve">pāvaka</w:t>
      </w:r>
      <w:r>
        <w:t xml:space="preserve">,</w:t>
      </w:r>
      <w:r>
        <w:t xml:space="preserve"> </w:t>
      </w:r>
      <w:r>
        <w:rPr>
          <w:iCs/>
          <w:i/>
        </w:rPr>
        <w:t xml:space="preserve">hotaḥ</w:t>
      </w:r>
      <w:r>
        <w:t xml:space="preserve"> </w:t>
      </w:r>
      <w:r>
        <w:t xml:space="preserve">was said to be the qualified and</w:t>
      </w:r>
      <w:r>
        <w:t xml:space="preserve"> </w:t>
      </w:r>
      <w:r>
        <w:rPr>
          <w:iCs/>
          <w:i/>
        </w:rPr>
        <w:t xml:space="preserve">pāvaka</w:t>
      </w:r>
      <w:r>
        <w:t xml:space="preserve">, by the familiar sense of its parts, the qualifier; so by</w:t>
      </w:r>
      <w:r>
        <w:t xml:space="preserve"> </w:t>
      </w:r>
      <w:r>
        <w:t xml:space="preserve">“</w:t>
      </w:r>
      <w:r>
        <w:t xml:space="preserve">nāmantrite samānādhikaraṇe sāmānyavacanam</w:t>
      </w:r>
      <w:r>
        <w:t xml:space="preserve">”</w:t>
      </w:r>
      <w:r>
        <w:t xml:space="preserve"> </w:t>
      </w:r>
      <w:r>
        <w:t xml:space="preserve">(Pā. 8-1-73) the</w:t>
      </w:r>
      <w:r>
        <w:t xml:space="preserve"> </w:t>
      </w:r>
      <w:r>
        <w:t xml:space="preserve">“</w:t>
      </w:r>
      <w:r>
        <w:t xml:space="preserve">absent</w:t>
      </w:r>
      <w:r>
        <w:t xml:space="preserve">”</w:t>
      </w:r>
      <w:r>
        <w:t xml:space="preserve"> </w:t>
      </w:r>
      <w:r>
        <w:t xml:space="preserve">treatment of</w:t>
      </w:r>
      <w:r>
        <w:t xml:space="preserve"> </w:t>
      </w:r>
      <w:r>
        <w:rPr>
          <w:iCs/>
          <w:i/>
        </w:rPr>
        <w:t xml:space="preserve">hotaḥ</w:t>
      </w:r>
      <w:r>
        <w:t xml:space="preserve"> </w:t>
      </w:r>
      <w:r>
        <w:t xml:space="preserve">is barred. One cannot say that the following</w:t>
      </w:r>
      <w:r>
        <w:t xml:space="preserve"> </w:t>
      </w:r>
      <w:r>
        <w:rPr>
          <w:iCs/>
          <w:i/>
        </w:rPr>
        <w:t xml:space="preserve">pāvaka</w:t>
      </w:r>
      <w:r>
        <w:t xml:space="preserve">, counting as absent, gives no following appositive vocative and so no occasion for the bar: for</w:t>
      </w:r>
      <w:r>
        <w:t xml:space="preserve"> </w:t>
      </w:r>
      <w:r>
        <w:rPr>
          <w:iCs/>
          <w:i/>
        </w:rPr>
        <w:t xml:space="preserve">pāvaka</w:t>
      </w:r>
      <w:r>
        <w:t xml:space="preserve"> </w:t>
      </w:r>
      <w:r>
        <w:t xml:space="preserve">counts as absent only when an operation is made on</w:t>
      </w:r>
      <w:r>
        <w:t xml:space="preserve"> </w:t>
      </w:r>
      <w:r>
        <w:rPr>
          <w:iCs/>
          <w:i/>
        </w:rPr>
        <w:t xml:space="preserve">yakṣi</w:t>
      </w:r>
      <w:r>
        <w:t xml:space="preserve">, for which it is an earlier word; when the bar on</w:t>
      </w:r>
      <w:r>
        <w:t xml:space="preserve"> </w:t>
      </w:r>
      <w:r>
        <w:rPr>
          <w:iCs/>
          <w:i/>
        </w:rPr>
        <w:t xml:space="preserve">hotaḥ</w:t>
      </w:r>
      <w:r>
        <w:t xml:space="preserve">’s</w:t>
      </w:r>
      <w:r>
        <w:t xml:space="preserve"> </w:t>
      </w:r>
      <w:r>
        <w:t xml:space="preserve">“</w:t>
      </w:r>
      <w:r>
        <w:t xml:space="preserve">absent</w:t>
      </w:r>
      <w:r>
        <w:t xml:space="preserve">”</w:t>
      </w:r>
      <w:r>
        <w:t xml:space="preserve"> </w:t>
      </w:r>
      <w:r>
        <w:t xml:space="preserve">treatment is being made,</w:t>
      </w:r>
      <w:r>
        <w:t xml:space="preserve"> </w:t>
      </w:r>
      <w:r>
        <w:rPr>
          <w:iCs/>
          <w:i/>
        </w:rPr>
        <w:t xml:space="preserve">pāvaka</w:t>
      </w:r>
      <w:r>
        <w:t xml:space="preserve"> </w:t>
      </w:r>
      <w:r>
        <w:t xml:space="preserve">is later than</w:t>
      </w:r>
      <w:r>
        <w:t xml:space="preserve"> </w:t>
      </w:r>
      <w:r>
        <w:rPr>
          <w:iCs/>
          <w:i/>
        </w:rPr>
        <w:t xml:space="preserve">hotaḥ</w:t>
      </w:r>
      <w:r>
        <w:t xml:space="preserve">, not earlier, so it does not then count as absent. So an appositive vocative does follow, the bar of</w:t>
      </w:r>
      <w:r>
        <w:t xml:space="preserve"> </w:t>
      </w:r>
      <w:r>
        <w:t xml:space="preserve">“</w:t>
      </w:r>
      <w:r>
        <w:t xml:space="preserve">nāmantrite…</w:t>
      </w:r>
      <w:r>
        <w:t xml:space="preserve">”</w:t>
      </w:r>
      <w:r>
        <w:t xml:space="preserve"> </w:t>
      </w:r>
      <w:r>
        <w:t xml:space="preserve">applies, and</w:t>
      </w:r>
      <w:r>
        <w:t xml:space="preserve"> </w:t>
      </w:r>
      <w:r>
        <w:rPr>
          <w:iCs/>
          <w:i/>
        </w:rPr>
        <w:t xml:space="preserve">hotaḥ</w:t>
      </w:r>
      <w:r>
        <w:t xml:space="preserve"> </w:t>
      </w:r>
      <w:r>
        <w:t xml:space="preserve">does not count as absent. Thus</w:t>
      </w:r>
      <w:r>
        <w:t xml:space="preserve"> </w:t>
      </w:r>
      <w:r>
        <w:rPr>
          <w:iCs/>
          <w:i/>
        </w:rPr>
        <w:t xml:space="preserve">yakṣi</w:t>
      </w:r>
      <w:r>
        <w:t xml:space="preserve"> </w:t>
      </w:r>
      <w:r>
        <w:t xml:space="preserve">follows the word</w:t>
      </w:r>
      <w:r>
        <w:t xml:space="preserve"> </w:t>
      </w:r>
      <w:r>
        <w:rPr>
          <w:iCs/>
          <w:i/>
        </w:rPr>
        <w:t xml:space="preserve">hotaḥ</w:t>
      </w:r>
      <w:r>
        <w:t xml:space="preserve">, and</w:t>
      </w:r>
      <w:r>
        <w:t xml:space="preserve"> </w:t>
      </w:r>
      <w:r>
        <w:t xml:space="preserve">“</w:t>
      </w:r>
      <w:r>
        <w:t xml:space="preserve">tiṅṅ atiṅaḥ</w:t>
      </w:r>
      <w:r>
        <w:t xml:space="preserve">”</w:t>
      </w:r>
      <w:r>
        <w:t xml:space="preserve"> </w:t>
      </w:r>
      <w:r>
        <w:t xml:space="preserve">should make it wholly unaccented — that is true. But here</w:t>
      </w:r>
      <w:r>
        <w:t xml:space="preserve"> </w:t>
      </w:r>
      <w:r>
        <w:rPr>
          <w:iCs/>
          <w:i/>
        </w:rPr>
        <w:t xml:space="preserve">yakṣi</w:t>
      </w:r>
      <w:r>
        <w:t xml:space="preserve"> </w:t>
      </w:r>
      <w:r>
        <w:t xml:space="preserve">is followed by the word</w:t>
      </w:r>
      <w:r>
        <w:t xml:space="preserve"> </w:t>
      </w:r>
      <w:r>
        <w:rPr>
          <w:iCs/>
          <w:i/>
        </w:rPr>
        <w:t xml:space="preserve">ca</w:t>
      </w:r>
      <w:r>
        <w:t xml:space="preserve">; so</w:t>
      </w:r>
      <w:r>
        <w:t xml:space="preserve"> </w:t>
      </w:r>
      <w:r>
        <w:t xml:space="preserve">“</w:t>
      </w:r>
      <w:r>
        <w:t xml:space="preserve">cādiṣu ca</w:t>
      </w:r>
      <w:r>
        <w:t xml:space="preserve">”</w:t>
      </w:r>
      <w:r>
        <w:t xml:space="preserve"> </w:t>
      </w:r>
      <w:r>
        <w:t xml:space="preserve">(Pā. 8-1-58) — a</w:t>
      </w:r>
      <w:r>
        <w:t xml:space="preserve"> </w:t>
      </w:r>
      <w:r>
        <w:rPr>
          <w:iCs/>
          <w:i/>
        </w:rPr>
        <w:t xml:space="preserve">tiṅanta</w:t>
      </w:r>
      <w:r>
        <w:t xml:space="preserve"> </w:t>
      </w:r>
      <w:r>
        <w:t xml:space="preserve">is not unaccented before the five words</w:t>
      </w:r>
      <w:r>
        <w:t xml:space="preserve"> </w:t>
      </w:r>
      <w:r>
        <w:rPr>
          <w:iCs/>
          <w:i/>
        </w:rPr>
        <w:t xml:space="preserve">ca</w:t>
      </w:r>
      <w:r>
        <w:t xml:space="preserve">,</w:t>
      </w:r>
      <w:r>
        <w:t xml:space="preserve"> </w:t>
      </w:r>
      <w:r>
        <w:rPr>
          <w:iCs/>
          <w:i/>
        </w:rPr>
        <w:t xml:space="preserve">vā</w:t>
      </w:r>
      <w:r>
        <w:t xml:space="preserve">,</w:t>
      </w:r>
      <w:r>
        <w:t xml:space="preserve"> </w:t>
      </w:r>
      <w:r>
        <w:rPr>
          <w:iCs/>
          <w:i/>
        </w:rPr>
        <w:t xml:space="preserve">ha</w:t>
      </w:r>
      <w:r>
        <w:t xml:space="preserve">,</w:t>
      </w:r>
      <w:r>
        <w:t xml:space="preserve"> </w:t>
      </w:r>
      <w:r>
        <w:rPr>
          <w:iCs/>
          <w:i/>
        </w:rPr>
        <w:t xml:space="preserve">aha</w:t>
      </w:r>
      <w:r>
        <w:t xml:space="preserve">,</w:t>
      </w:r>
      <w:r>
        <w:t xml:space="preserve"> </w:t>
      </w:r>
      <w:r>
        <w:rPr>
          <w:iCs/>
          <w:i/>
        </w:rPr>
        <w:t xml:space="preserve">eva</w:t>
      </w:r>
      <w:r>
        <w:t xml:space="preserve"> </w:t>
      </w:r>
      <w:r>
        <w:t xml:space="preserve">— bars</w:t>
      </w:r>
      <w:r>
        <w:t xml:space="preserve"> </w:t>
      </w:r>
      <w:r>
        <w:t xml:space="preserve">“</w:t>
      </w:r>
      <w:r>
        <w:t xml:space="preserve">tiṅṅ atiṅaḥ</w:t>
      </w:r>
      <w:r>
        <w:t xml:space="preserve">”</w:t>
      </w:r>
      <w:r>
        <w:t xml:space="preserve"> </w:t>
      </w:r>
      <w:r>
        <w:t xml:space="preserve">(Pā. 8-1-28); so</w:t>
      </w:r>
      <w:r>
        <w:t xml:space="preserve"> </w:t>
      </w:r>
      <w:r>
        <w:rPr>
          <w:iCs/>
          <w:i/>
        </w:rPr>
        <w:t xml:space="preserve">yakṣi</w:t>
      </w:r>
      <w:r>
        <w:t xml:space="preserve"> </w:t>
      </w:r>
      <w:r>
        <w:t xml:space="preserve">is not wholly unaccented, and, as said before, the root accent alone stands.</w:t>
      </w:r>
    </w:p>
    <w:p>
      <w:pPr>
        <w:pStyle w:val="BodyText"/>
      </w:pPr>
      <w:r>
        <w:rPr>
          <w:bCs/>
          <w:b/>
        </w:rPr>
        <w:t xml:space="preserve">॥१॥</w:t>
      </w:r>
    </w:p>
    <w:p>
      <w:r>
        <w:pict>
          <v:rect style="width:0;height:1.5pt" o:hralign="center" o:hrstd="t" o:hr="t"/>
        </w:pict>
      </w:r>
    </w:p>
    <w:bookmarkEnd w:id="559"/>
    <w:bookmarkStart w:id="560" w:name="page-532-lower-sūkta-13-rik-2"/>
    <w:p>
      <w:pPr>
        <w:pStyle w:val="Heading3"/>
      </w:pPr>
      <w:r>
        <w:t xml:space="preserve">Page 532 (lower) — Sūkta 13, Rik 2</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मधु॑मन्तं तनूनपाद्य॒ज्ञं दे॒वेषु॑ नः कवे ।</w:t>
      </w:r>
      <w:r>
        <w:t xml:space="preserve"> </w:t>
      </w:r>
      <w:r>
        <w:t xml:space="preserve">अ॒द्या कृ॑णुहि वी॒त॑ये ॥२॥</w:t>
      </w:r>
    </w:p>
    <w:p>
      <w:pPr>
        <w:pStyle w:val="BlockText"/>
      </w:pPr>
      <w:r>
        <w:rPr>
          <w:iCs/>
          <w:i/>
        </w:rPr>
        <w:t xml:space="preserve">mádhumantaṃ tanūnapād yajñáṃ devéṣu naḥ kave |</w:t>
      </w:r>
      <w:r>
        <w:t xml:space="preserve"> </w:t>
      </w:r>
      <w:r>
        <w:rPr>
          <w:iCs/>
          <w:i/>
        </w:rPr>
        <w:t xml:space="preserve">adyā́ kṛṇuhi vītaye ||2||</w:t>
      </w:r>
    </w:p>
    <w:p>
      <w:pPr>
        <w:pStyle w:val="FirstParagraph"/>
      </w:pPr>
      <w:r>
        <w:rPr>
          <w:bCs/>
          <w:b/>
        </w:rPr>
        <w:t xml:space="preserve">॥ Pada-pāṭhaḥ ॥</w:t>
      </w:r>
    </w:p>
    <w:p>
      <w:pPr>
        <w:pStyle w:val="BlockText"/>
      </w:pPr>
      <w:r>
        <w:t xml:space="preserve">मधुऽमन्तम् । तनूऽनपात् । यज्ञम् । देवेषु । नः । कवे ॥</w:t>
      </w:r>
      <w:r>
        <w:t xml:space="preserve"> </w:t>
      </w:r>
      <w:r>
        <w:t xml:space="preserve">अद्य । कृणुहि । वीतये ॥२॥</w:t>
      </w:r>
    </w:p>
    <w:p>
      <w:pPr>
        <w:pStyle w:val="BlockText"/>
      </w:pPr>
      <w:r>
        <w:rPr>
          <w:iCs/>
          <w:i/>
        </w:rPr>
        <w:t xml:space="preserve">madhu-mantam | tanū-napāt | yajñam | deveṣu | naḥ | kave ||</w:t>
      </w:r>
      <w:r>
        <w:t xml:space="preserve"> </w:t>
      </w:r>
      <w:r>
        <w:rPr>
          <w:iCs/>
          <w:i/>
        </w:rPr>
        <w:t xml:space="preserve">adya | kṛṇuhi | vītaye ||2||</w:t>
      </w:r>
    </w:p>
    <w:bookmarkEnd w:id="560"/>
    <w:bookmarkStart w:id="561" w:name="X9d20f344c3e0fdcda81377951b468ae61394c8b"/>
    <w:p>
      <w:pPr>
        <w:pStyle w:val="Heading3"/>
      </w:pPr>
      <w:r>
        <w:t xml:space="preserve">Page 533 — Rik 2: Sāyaṇa-bhāṣya, word-meanings, overall sense, English</w:t>
      </w:r>
    </w:p>
    <w:p>
      <w:pPr>
        <w:pStyle w:val="FirstParagraph"/>
      </w:pPr>
      <w:r>
        <w:rPr>
          <w:bCs/>
          <w:b/>
        </w:rPr>
        <w:t xml:space="preserve">॥ Sāyaṇa-bhāṣyam ॥</w:t>
      </w:r>
    </w:p>
    <w:p>
      <w:pPr>
        <w:pStyle w:val="BlockText"/>
      </w:pPr>
      <w:r>
        <w:t xml:space="preserve">हे कवे मेधाविन्नग्ने तनूनपादेतन्नामकस्त्वमद्यास्मिन्दिने नो ऽस्मदीयं मधुमन्तं रसवन्तं यज्ञं हविर्वीतये भक्षणार्थं देवेषु कृणुहि । कुरु । प्रापयेत्यर्थः ॥ मधुमन्तम् । फलिपाटिनमिमनिजनां गुक्पटिनाकिधतश्च । उ. १-१९ । इति मन्यतेरुप्रत्ययो धकारश्चान्तादेशः । निदित्यनुवृत्तेः प्रत्ययस्य नित्त्वादाद्युदात्तो मधुशब्दः । तनूनपात् । आमन्त्रितनिघातः । अद्य । सद्यःपरुदित्यादिनास्मिन्काल इत्यर्थे द्यप्रत्ययान्तो निपातितः । प्रत्ययस्वरेणान्तोदात्तः । तद्धितश्चासर्वविभक्तिरित्यव्ययत्वादव्ययादाप्सुप इत्युपरि सप्तम्या लुक् । संहितायामन्येषामपि दृश्यत इति दीर्घत्वम् । कृणुहि । कृवि हिंसाकरणयोश्च । इदितो नुम् धातोरिति नुम् । लोटः सेर्हिरादेशः । धिन्विकृण्व्योरच्चेति शपो ऽपवादो विकरण उप्रत्ययः । तत्संनियोगेन वकारस्याकारः । तस्यातो लोप इति लोपः । तस्य स्थानिवद्भावाल्लघूपधगुणो न भवति । उतश्च प्रत्ययादसंयोगपूर्वात् । पा. ६-४-१०६ । इति हेर्लुग्न भवत्युतश्च प्रत्ययाच्छन्दो वा वचनम् । पा. ६-४-१०६-१ । इति वचनात् । तिङ्ङतिङ इति निघातः । वीतये । मन्त्रे वृषेषपचमनविदभूवीरा उदात्त इति क्तिन्नुदात्तः ॥</w:t>
      </w:r>
    </w:p>
    <w:p>
      <w:pPr>
        <w:pStyle w:val="BlockText"/>
      </w:pPr>
      <w:r>
        <w:rPr>
          <w:iCs/>
          <w:i/>
        </w:rPr>
        <w:t xml:space="preserve">he kave medhāvinnagne tanūnapādetannāmakastvamadyāsmindine no ’smadīyaṃ madhumantaṃ rasavantaṃ yajñaṃ havirvītaye bhakṣaṇārthaṃ deveṣu kṛṇuhi | kuru | prāpayetyarthaḥ || madhumantam | phalipāṭinamimanijanāṃ gukpaṭinākidhataśca | u. 1-19 | iti manyaterupratyayo dhakāraścāntādeśaḥ | nidityanuvṛtteḥ pratyayasya nittvādādyudātto madhuśabdaḥ | tanūnapāt | āmantritanighātaḥ | adya | sadyaḥparudityādināsminkāla ityarthe dyapratyayānto nipātitaḥ | pratyayasvareṇāntodāttaḥ | taddhitaścāsarvavibhaktirityavyayatvādavyayādāpsupa ityupari saptamyā luk | saṃhitāyāmanyeṣāmapi dṛśyata iti dīrghatvam | kṛṇuhi | kṛvi hiṃsākaraṇayośca | idito num dhātoriti num | loṭaḥ serhirādeśaḥ | dhinvikṛṇvyoracceti śapo ’pavādo vikaraṇa upratyayaḥ | tatsaṃniyogena vakārasyākāraḥ | tasyāto lopa iti lopaḥ | tasya sthānivadbhāvāllaghūpadhaguṇo na bhavati | utaśca pratyayādasaṃyogapūrvāt | pā. 6-4-106 | iti herlugna bhavatyutaśca pratyayācchando vā vacanam | pā. 6-4-106-1 | iti vacanāt | tiṅṅatiṅa iti nighātaḥ | vītaye | mantre vṛṣeṣapacamanavidabhūvīrā udātta iti ktinnudāttaḥ ||</w:t>
      </w:r>
    </w:p>
    <w:p>
      <w:pPr>
        <w:pStyle w:val="FirstParagraph"/>
      </w:pPr>
      <w:r>
        <w:rPr>
          <w:bCs/>
          <w:b/>
        </w:rPr>
        <w:t xml:space="preserve">Translation:</w:t>
      </w:r>
      <w:r>
        <w:t xml:space="preserve"> </w:t>
      </w:r>
      <w:r>
        <w:t xml:space="preserve">“</w:t>
      </w:r>
      <w:r>
        <w:t xml:space="preserve">O</w:t>
      </w:r>
      <w:r>
        <w:t xml:space="preserve"> </w:t>
      </w:r>
      <w:r>
        <w:rPr>
          <w:iCs/>
          <w:i/>
        </w:rPr>
        <w:t xml:space="preserve">kave</w:t>
      </w:r>
      <w:r>
        <w:t xml:space="preserve"> </w:t>
      </w:r>
      <w:r>
        <w:t xml:space="preserve">— wise Agni — you who bear the name</w:t>
      </w:r>
      <w:r>
        <w:t xml:space="preserve"> </w:t>
      </w:r>
      <w:r>
        <w:rPr>
          <w:iCs/>
          <w:i/>
        </w:rPr>
        <w:t xml:space="preserve">Tanūnapāt</w:t>
      </w:r>
      <w:r>
        <w:t xml:space="preserve">,</w:t>
      </w:r>
      <w:r>
        <w:t xml:space="preserve"> </w:t>
      </w:r>
      <w:r>
        <w:rPr>
          <w:iCs/>
          <w:i/>
        </w:rPr>
        <w:t xml:space="preserve">adya</w:t>
      </w:r>
      <w:r>
        <w:t xml:space="preserve"> </w:t>
      </w:r>
      <w:r>
        <w:t xml:space="preserve">— on this day —</w:t>
      </w:r>
      <w:r>
        <w:t xml:space="preserve"> </w:t>
      </w:r>
      <w:r>
        <w:rPr>
          <w:iCs/>
          <w:i/>
        </w:rPr>
        <w:t xml:space="preserve">deveṣu kṛṇuhi</w:t>
      </w:r>
      <w:r>
        <w:t xml:space="preserve">, make among the gods — that is, cause to reach them — our</w:t>
      </w:r>
      <w:r>
        <w:t xml:space="preserve"> </w:t>
      </w:r>
      <w:r>
        <w:rPr>
          <w:iCs/>
          <w:i/>
        </w:rPr>
        <w:t xml:space="preserve">madhumantam</w:t>
      </w:r>
      <w:r>
        <w:t xml:space="preserve">, flavourful,</w:t>
      </w:r>
      <w:r>
        <w:t xml:space="preserve"> </w:t>
      </w:r>
      <w:r>
        <w:rPr>
          <w:iCs/>
          <w:i/>
        </w:rPr>
        <w:t xml:space="preserve">yajñam</w:t>
      </w:r>
      <w:r>
        <w:t xml:space="preserve">, oblation,</w:t>
      </w:r>
      <w:r>
        <w:t xml:space="preserve"> </w:t>
      </w:r>
      <w:r>
        <w:rPr>
          <w:iCs/>
          <w:i/>
        </w:rPr>
        <w:t xml:space="preserve">vītaye</w:t>
      </w:r>
      <w:r>
        <w:t xml:space="preserve">, for their eating.</w:t>
      </w:r>
      <w:r>
        <w:t xml:space="preserve">”</w:t>
      </w:r>
      <w:r>
        <w:t xml:space="preserve"> </w:t>
      </w:r>
      <w:r>
        <w:t xml:space="preserve">(Grammatical tail:</w:t>
      </w:r>
      <w:r>
        <w:t xml:space="preserve"> </w:t>
      </w:r>
      <w:r>
        <w:rPr>
          <w:iCs/>
          <w:i/>
        </w:rPr>
        <w:t xml:space="preserve">madhumantam</w:t>
      </w:r>
      <w:r>
        <w:t xml:space="preserve"> </w:t>
      </w:r>
      <w:r>
        <w:t xml:space="preserve">— the suffix</w:t>
      </w:r>
      <w:r>
        <w:t xml:space="preserve"> </w:t>
      </w:r>
      <w:r>
        <w:rPr>
          <w:iCs/>
          <w:i/>
        </w:rPr>
        <w:t xml:space="preserve">u</w:t>
      </w:r>
      <w:r>
        <w:t xml:space="preserve"> </w:t>
      </w:r>
      <w:r>
        <w:t xml:space="preserve">after</w:t>
      </w:r>
      <w:r>
        <w:t xml:space="preserve"> </w:t>
      </w:r>
      <w:r>
        <w:rPr>
          <w:iCs/>
          <w:i/>
        </w:rPr>
        <w:t xml:space="preserve">man</w:t>
      </w:r>
      <w:r>
        <w:t xml:space="preserve"> </w:t>
      </w:r>
      <w:r>
        <w:t xml:space="preserve">by</w:t>
      </w:r>
      <w:r>
        <w:t xml:space="preserve"> </w:t>
      </w:r>
      <w:r>
        <w:t xml:space="preserve">“</w:t>
      </w:r>
      <w:r>
        <w:t xml:space="preserve">phali-pāṭi-nami-mani-janāṃ guk-paṭi-nāki-dhataś ca</w:t>
      </w:r>
      <w:r>
        <w:t xml:space="preserve">”</w:t>
      </w:r>
      <w:r>
        <w:t xml:space="preserve"> </w:t>
      </w:r>
      <w:r>
        <w:t xml:space="preserve">(Uṇ. 1-19), with</w:t>
      </w:r>
      <w:r>
        <w:t xml:space="preserve"> </w:t>
      </w:r>
      <w:r>
        <w:rPr>
          <w:iCs/>
          <w:i/>
        </w:rPr>
        <w:t xml:space="preserve">dh</w:t>
      </w:r>
      <w:r>
        <w:t xml:space="preserve"> </w:t>
      </w:r>
      <w:r>
        <w:t xml:space="preserve">for the final; since</w:t>
      </w:r>
      <w:r>
        <w:t xml:space="preserve"> </w:t>
      </w:r>
      <w:r>
        <w:rPr>
          <w:iCs/>
          <w:i/>
        </w:rPr>
        <w:t xml:space="preserve">nit</w:t>
      </w:r>
      <w:r>
        <w:t xml:space="preserve"> </w:t>
      </w:r>
      <w:r>
        <w:t xml:space="preserve">is carried over,</w:t>
      </w:r>
      <w:r>
        <w:t xml:space="preserve"> </w:t>
      </w:r>
      <w:r>
        <w:rPr>
          <w:iCs/>
          <w:i/>
        </w:rPr>
        <w:t xml:space="preserve">madhu</w:t>
      </w:r>
      <w:r>
        <w:t xml:space="preserve"> </w:t>
      </w:r>
      <w:r>
        <w:t xml:space="preserve">is initial-udātta;</w:t>
      </w:r>
      <w:r>
        <w:t xml:space="preserve"> </w:t>
      </w:r>
      <w:r>
        <w:rPr>
          <w:iCs/>
          <w:i/>
        </w:rPr>
        <w:t xml:space="preserve">tanūnapāt</w:t>
      </w:r>
      <w:r>
        <w:t xml:space="preserve"> </w:t>
      </w:r>
      <w:r>
        <w:t xml:space="preserve">— unaccented as a vocative;</w:t>
      </w:r>
      <w:r>
        <w:t xml:space="preserve"> </w:t>
      </w:r>
      <w:r>
        <w:rPr>
          <w:iCs/>
          <w:i/>
        </w:rPr>
        <w:t xml:space="preserve">adya</w:t>
      </w:r>
      <w:r>
        <w:t xml:space="preserve"> </w:t>
      </w:r>
      <w:r>
        <w:t xml:space="preserve">— formed irregularly with</w:t>
      </w:r>
      <w:r>
        <w:t xml:space="preserve"> </w:t>
      </w:r>
      <w:r>
        <w:rPr>
          <w:iCs/>
          <w:i/>
        </w:rPr>
        <w:t xml:space="preserve">dya</w:t>
      </w:r>
      <w:r>
        <w:t xml:space="preserve"> </w:t>
      </w:r>
      <w:r>
        <w:t xml:space="preserve">in the sense</w:t>
      </w:r>
      <w:r>
        <w:t xml:space="preserve"> </w:t>
      </w:r>
      <w:r>
        <w:t xml:space="preserve">“</w:t>
      </w:r>
      <w:r>
        <w:t xml:space="preserve">at this time</w:t>
      </w:r>
      <w:r>
        <w:t xml:space="preserve">”</w:t>
      </w:r>
      <w:r>
        <w:t xml:space="preserve"> </w:t>
      </w:r>
      <w:r>
        <w:t xml:space="preserve">by</w:t>
      </w:r>
      <w:r>
        <w:t xml:space="preserve"> </w:t>
      </w:r>
      <w:r>
        <w:t xml:space="preserve">“</w:t>
      </w:r>
      <w:r>
        <w:t xml:space="preserve">sadyaḥ-parut…</w:t>
      </w:r>
      <w:r>
        <w:t xml:space="preserve">”</w:t>
      </w:r>
      <w:r>
        <w:t xml:space="preserve">, final-udātta by the suffix accent; an indeclinable by</w:t>
      </w:r>
      <w:r>
        <w:t xml:space="preserve"> </w:t>
      </w:r>
      <w:r>
        <w:t xml:space="preserve">“</w:t>
      </w:r>
      <w:r>
        <w:t xml:space="preserve">taddhitaś cāsarvavibhaktiḥ</w:t>
      </w:r>
      <w:r>
        <w:t xml:space="preserve">”</w:t>
      </w:r>
      <w:r>
        <w:t xml:space="preserve">, so the locative after it is dropped by</w:t>
      </w:r>
      <w:r>
        <w:t xml:space="preserve"> </w:t>
      </w:r>
      <w:r>
        <w:t xml:space="preserve">“</w:t>
      </w:r>
      <w:r>
        <w:t xml:space="preserve">avyayād āp-supaḥ</w:t>
      </w:r>
      <w:r>
        <w:t xml:space="preserve">”</w:t>
      </w:r>
      <w:r>
        <w:t xml:space="preserve">; lengthened in the Saṃhitā by</w:t>
      </w:r>
      <w:r>
        <w:t xml:space="preserve"> </w:t>
      </w:r>
      <w:r>
        <w:t xml:space="preserve">“</w:t>
      </w:r>
      <w:r>
        <w:t xml:space="preserve">anyeṣām api dṛśyate</w:t>
      </w:r>
      <w:r>
        <w:t xml:space="preserve">”</w:t>
      </w:r>
      <w:r>
        <w:t xml:space="preserve">;</w:t>
      </w:r>
      <w:r>
        <w:t xml:space="preserve"> </w:t>
      </w:r>
      <w:r>
        <w:rPr>
          <w:iCs/>
          <w:i/>
        </w:rPr>
        <w:t xml:space="preserve">kṛṇuhi</w:t>
      </w:r>
      <w:r>
        <w:t xml:space="preserve"> </w:t>
      </w:r>
      <w:r>
        <w:t xml:space="preserve">—</w:t>
      </w:r>
      <w:r>
        <w:t xml:space="preserve"> </w:t>
      </w:r>
      <w:r>
        <w:rPr>
          <w:iCs/>
          <w:i/>
        </w:rPr>
        <w:t xml:space="preserve">kṛvi hiṃsākaraṇayoś ca</w:t>
      </w:r>
      <w:r>
        <w:t xml:space="preserve">,</w:t>
      </w:r>
      <w:r>
        <w:t xml:space="preserve"> </w:t>
      </w:r>
      <w:r>
        <w:rPr>
          <w:iCs/>
          <w:i/>
        </w:rPr>
        <w:t xml:space="preserve">num</w:t>
      </w:r>
      <w:r>
        <w:t xml:space="preserve"> </w:t>
      </w:r>
      <w:r>
        <w:t xml:space="preserve">by</w:t>
      </w:r>
      <w:r>
        <w:t xml:space="preserve"> </w:t>
      </w:r>
      <w:r>
        <w:t xml:space="preserve">“</w:t>
      </w:r>
      <w:r>
        <w:t xml:space="preserve">idito num dhātoḥ</w:t>
      </w:r>
      <w:r>
        <w:t xml:space="preserve">”</w:t>
      </w:r>
      <w:r>
        <w:t xml:space="preserve">,</w:t>
      </w:r>
      <w:r>
        <w:t xml:space="preserve"> </w:t>
      </w:r>
      <w:r>
        <w:rPr>
          <w:iCs/>
          <w:i/>
        </w:rPr>
        <w:t xml:space="preserve">hi</w:t>
      </w:r>
      <w:r>
        <w:t xml:space="preserve"> </w:t>
      </w:r>
      <w:r>
        <w:t xml:space="preserve">for</w:t>
      </w:r>
      <w:r>
        <w:t xml:space="preserve"> </w:t>
      </w:r>
      <w:r>
        <w:rPr>
          <w:iCs/>
          <w:i/>
        </w:rPr>
        <w:t xml:space="preserve">si</w:t>
      </w:r>
      <w:r>
        <w:t xml:space="preserve"> </w:t>
      </w:r>
      <w:r>
        <w:t xml:space="preserve">of</w:t>
      </w:r>
      <w:r>
        <w:t xml:space="preserve"> </w:t>
      </w:r>
      <w:r>
        <w:rPr>
          <w:iCs/>
          <w:i/>
        </w:rPr>
        <w:t xml:space="preserve">loṭ</w:t>
      </w:r>
      <w:r>
        <w:t xml:space="preserve">, the vikaraṇa</w:t>
      </w:r>
      <w:r>
        <w:t xml:space="preserve"> </w:t>
      </w:r>
      <w:r>
        <w:rPr>
          <w:iCs/>
          <w:i/>
        </w:rPr>
        <w:t xml:space="preserve">u</w:t>
      </w:r>
      <w:r>
        <w:t xml:space="preserve"> </w:t>
      </w:r>
      <w:r>
        <w:t xml:space="preserve">instead of</w:t>
      </w:r>
      <w:r>
        <w:t xml:space="preserve"> </w:t>
      </w:r>
      <w:r>
        <w:rPr>
          <w:iCs/>
          <w:i/>
        </w:rPr>
        <w:t xml:space="preserve">śap</w:t>
      </w:r>
      <w:r>
        <w:t xml:space="preserve"> </w:t>
      </w:r>
      <w:r>
        <w:t xml:space="preserve">by</w:t>
      </w:r>
      <w:r>
        <w:t xml:space="preserve"> </w:t>
      </w:r>
      <w:r>
        <w:t xml:space="preserve">“</w:t>
      </w:r>
      <w:r>
        <w:t xml:space="preserve">dhinvi-kṛṇvyor a ca</w:t>
      </w:r>
      <w:r>
        <w:t xml:space="preserve">”</w:t>
      </w:r>
      <w:r>
        <w:t xml:space="preserve">,</w:t>
      </w:r>
      <w:r>
        <w:t xml:space="preserve"> </w:t>
      </w:r>
      <w:r>
        <w:rPr>
          <w:iCs/>
          <w:i/>
        </w:rPr>
        <w:t xml:space="preserve">a</w:t>
      </w:r>
      <w:r>
        <w:t xml:space="preserve"> </w:t>
      </w:r>
      <w:r>
        <w:t xml:space="preserve">for the</w:t>
      </w:r>
      <w:r>
        <w:t xml:space="preserve"> </w:t>
      </w:r>
      <w:r>
        <w:rPr>
          <w:iCs/>
          <w:i/>
        </w:rPr>
        <w:t xml:space="preserve">v</w:t>
      </w:r>
      <w:r>
        <w:t xml:space="preserve"> </w:t>
      </w:r>
      <w:r>
        <w:t xml:space="preserve">along with it, dropped by</w:t>
      </w:r>
      <w:r>
        <w:t xml:space="preserve"> </w:t>
      </w:r>
      <w:r>
        <w:t xml:space="preserve">“</w:t>
      </w:r>
      <w:r>
        <w:t xml:space="preserve">ato lopaḥ</w:t>
      </w:r>
      <w:r>
        <w:t xml:space="preserve">”</w:t>
      </w:r>
      <w:r>
        <w:t xml:space="preserve">, and since that loss counts as present there is no penultimate</w:t>
      </w:r>
      <w:r>
        <w:t xml:space="preserve"> </w:t>
      </w:r>
      <w:r>
        <w:rPr>
          <w:iCs/>
          <w:i/>
        </w:rPr>
        <w:t xml:space="preserve">guṇa</w:t>
      </w:r>
      <w:r>
        <w:t xml:space="preserve">; the loss of</w:t>
      </w:r>
      <w:r>
        <w:t xml:space="preserve"> </w:t>
      </w:r>
      <w:r>
        <w:rPr>
          <w:iCs/>
          <w:i/>
        </w:rPr>
        <w:t xml:space="preserve">hi</w:t>
      </w:r>
      <w:r>
        <w:t xml:space="preserve"> </w:t>
      </w:r>
      <w:r>
        <w:t xml:space="preserve">by</w:t>
      </w:r>
      <w:r>
        <w:t xml:space="preserve"> </w:t>
      </w:r>
      <w:r>
        <w:t xml:space="preserve">“</w:t>
      </w:r>
      <w:r>
        <w:t xml:space="preserve">utaś ca pratyayād asaṃyogapūrvāt</w:t>
      </w:r>
      <w:r>
        <w:t xml:space="preserve">”</w:t>
      </w:r>
      <w:r>
        <w:t xml:space="preserve"> </w:t>
      </w:r>
      <w:r>
        <w:t xml:space="preserve">(Pā. 6-4-106) does not take place, by the vārttika</w:t>
      </w:r>
      <w:r>
        <w:t xml:space="preserve"> </w:t>
      </w:r>
      <w:r>
        <w:t xml:space="preserve">“</w:t>
      </w:r>
      <w:r>
        <w:t xml:space="preserve">utaś ca pratyayāc chando vā vacanam</w:t>
      </w:r>
      <w:r>
        <w:t xml:space="preserve">”</w:t>
      </w:r>
      <w:r>
        <w:t xml:space="preserve"> </w:t>
      </w:r>
      <w:r>
        <w:t xml:space="preserve">(Pā. 6-4-106-1); unaccented by</w:t>
      </w:r>
      <w:r>
        <w:t xml:space="preserve"> </w:t>
      </w:r>
      <w:r>
        <w:t xml:space="preserve">“</w:t>
      </w:r>
      <w:r>
        <w:t xml:space="preserve">tiṅṅ atiṅaḥ</w:t>
      </w:r>
      <w:r>
        <w:t xml:space="preserve">”</w:t>
      </w:r>
      <w:r>
        <w:t xml:space="preserve">;</w:t>
      </w:r>
      <w:r>
        <w:t xml:space="preserve"> </w:t>
      </w:r>
      <w:r>
        <w:rPr>
          <w:iCs/>
          <w:i/>
        </w:rPr>
        <w:t xml:space="preserve">vītaye</w:t>
      </w:r>
      <w:r>
        <w:t xml:space="preserve"> </w:t>
      </w:r>
      <w:r>
        <w:t xml:space="preserve">—</w:t>
      </w:r>
      <w:r>
        <w:t xml:space="preserve"> </w:t>
      </w:r>
      <w:r>
        <w:rPr>
          <w:iCs/>
          <w:i/>
        </w:rPr>
        <w:t xml:space="preserve">ktin</w:t>
      </w:r>
      <w:r>
        <w:t xml:space="preserve"> </w:t>
      </w:r>
      <w:r>
        <w:t xml:space="preserve">udātta by</w:t>
      </w:r>
      <w:r>
        <w:t xml:space="preserve"> </w:t>
      </w:r>
      <w:r>
        <w:t xml:space="preserve">“</w:t>
      </w:r>
      <w:r>
        <w:t xml:space="preserve">mantre vṛṣeṣa…</w:t>
      </w:r>
      <w:r>
        <w:t xml:space="preserve">”</w:t>
      </w:r>
      <w:r>
        <w:t xml:space="preserve">.)</w:t>
      </w:r>
    </w:p>
    <w:p>
      <w:pPr>
        <w:pStyle w:val="BodyText"/>
      </w:pPr>
      <w:r>
        <w:rPr>
          <w:bCs/>
          <w:b/>
        </w:rPr>
        <w:t xml:space="preserve">॥ Prati-padārthaḥ ॥</w:t>
      </w:r>
    </w:p>
    <w:p>
      <w:pPr>
        <w:pStyle w:val="BodyText"/>
      </w:pPr>
      <w:r>
        <w:rPr>
          <w:bCs/>
          <w:b/>
        </w:rPr>
        <w:t xml:space="preserve">(हे) कवे ((he) kave)</w:t>
      </w:r>
      <w:r>
        <w:t xml:space="preserve"> </w:t>
      </w:r>
      <w:r>
        <w:t xml:space="preserve">— O wise Agni |</w:t>
      </w:r>
      <w:r>
        <w:t xml:space="preserve"> </w:t>
      </w:r>
      <w:r>
        <w:rPr>
          <w:bCs/>
          <w:b/>
        </w:rPr>
        <w:t xml:space="preserve">तनूनपात् (tanūnapāt)</w:t>
      </w:r>
      <w:r>
        <w:t xml:space="preserve"> </w:t>
      </w:r>
      <w:r>
        <w:t xml:space="preserve">— you named Tanūnapāt |</w:t>
      </w:r>
      <w:r>
        <w:t xml:space="preserve"> </w:t>
      </w:r>
      <w:r>
        <w:rPr>
          <w:bCs/>
          <w:b/>
        </w:rPr>
        <w:t xml:space="preserve">अद्य (adya)</w:t>
      </w:r>
      <w:r>
        <w:t xml:space="preserve"> </w:t>
      </w:r>
      <w:r>
        <w:t xml:space="preserve">— this day, now |</w:t>
      </w:r>
      <w:r>
        <w:t xml:space="preserve"> </w:t>
      </w:r>
      <w:r>
        <w:rPr>
          <w:bCs/>
          <w:b/>
        </w:rPr>
        <w:t xml:space="preserve">नः (naḥ)</w:t>
      </w:r>
      <w:r>
        <w:t xml:space="preserve"> </w:t>
      </w:r>
      <w:r>
        <w:t xml:space="preserve">— our |</w:t>
      </w:r>
      <w:r>
        <w:t xml:space="preserve"> </w:t>
      </w:r>
      <w:r>
        <w:rPr>
          <w:bCs/>
          <w:b/>
        </w:rPr>
        <w:t xml:space="preserve">मधुमन्तम् (madhumantam)</w:t>
      </w:r>
      <w:r>
        <w:t xml:space="preserve"> </w:t>
      </w:r>
      <w:r>
        <w:t xml:space="preserve">— tasty like honey |</w:t>
      </w:r>
      <w:r>
        <w:t xml:space="preserve"> </w:t>
      </w:r>
      <w:r>
        <w:rPr>
          <w:bCs/>
          <w:b/>
        </w:rPr>
        <w:t xml:space="preserve">यज्ञम् (yajñam)</w:t>
      </w:r>
      <w:r>
        <w:t xml:space="preserve"> </w:t>
      </w:r>
      <w:r>
        <w:t xml:space="preserve">— that is, the oblation offered in the sacrifice |</w:t>
      </w:r>
      <w:r>
        <w:t xml:space="preserve"> </w:t>
      </w:r>
      <w:r>
        <w:rPr>
          <w:bCs/>
          <w:b/>
        </w:rPr>
        <w:t xml:space="preserve">वीतये (vītaye)</w:t>
      </w:r>
      <w:r>
        <w:t xml:space="preserve"> </w:t>
      </w:r>
      <w:r>
        <w:t xml:space="preserve">— for the gods to eat |</w:t>
      </w:r>
      <w:r>
        <w:t xml:space="preserve"> </w:t>
      </w:r>
      <w:r>
        <w:rPr>
          <w:bCs/>
          <w:b/>
        </w:rPr>
        <w:t xml:space="preserve">देवेषु (deveṣu)</w:t>
      </w:r>
      <w:r>
        <w:t xml:space="preserve"> </w:t>
      </w:r>
      <w:r>
        <w:t xml:space="preserve">— among the gods |</w:t>
      </w:r>
      <w:r>
        <w:t xml:space="preserve"> </w:t>
      </w:r>
      <w:r>
        <w:rPr>
          <w:bCs/>
          <w:b/>
        </w:rPr>
        <w:t xml:space="preserve">कृणुहि (kṛṇuhi)</w:t>
      </w:r>
      <w:r>
        <w:t xml:space="preserve"> </w:t>
      </w:r>
      <w:r>
        <w:t xml:space="preserve">— make (that is, offer).</w:t>
      </w:r>
    </w:p>
    <w:p>
      <w:pPr>
        <w:pStyle w:val="BodyText"/>
      </w:pPr>
      <w:r>
        <w:rPr>
          <w:bCs/>
          <w:b/>
        </w:rPr>
        <w:t xml:space="preserve">॥ Bhāvārthaḥ ॥</w:t>
      </w:r>
    </w:p>
    <w:p>
      <w:pPr>
        <w:pStyle w:val="BodyText"/>
      </w:pPr>
      <w:r>
        <w:t xml:space="preserve">O Agni, you are wise, and you are also called Tanūnapāt. Such as you are, today offer to the gods, for their eating, the sacrifice we are performing (or the oblation belonging to the sacrifice).</w:t>
      </w:r>
    </w:p>
    <w:p>
      <w:pPr>
        <w:pStyle w:val="BodyText"/>
      </w:pPr>
      <w:r>
        <w:rPr>
          <w:bCs/>
          <w:b/>
        </w:rPr>
        <w:t xml:space="preserve">॥ English Translation ॥</w:t>
      </w:r>
      <w:r>
        <w:t xml:space="preserve"> </w:t>
      </w:r>
      <w:r>
        <w:rPr>
          <w:iCs/>
          <w:i/>
        </w:rPr>
        <w:t xml:space="preserve">(as printed in the source)</w:t>
      </w:r>
    </w:p>
    <w:p>
      <w:pPr>
        <w:pStyle w:val="BlockText"/>
      </w:pPr>
      <w:r>
        <w:t xml:space="preserve">Wise Agni, also called Tanunapat present, this day our well-flavoured sacrifice to the gods that they may feast.</w:t>
      </w:r>
    </w:p>
    <w:bookmarkEnd w:id="561"/>
    <w:bookmarkStart w:id="562" w:name="page-534-rik-2-special-topics"/>
    <w:p>
      <w:pPr>
        <w:pStyle w:val="Heading3"/>
      </w:pPr>
      <w:r>
        <w:t xml:space="preserve">Page 534 — Rik 2: Special Topics</w:t>
      </w:r>
    </w:p>
    <w:p>
      <w:pPr>
        <w:pStyle w:val="FirstParagraph"/>
      </w:pPr>
      <w:r>
        <w:rPr>
          <w:bCs/>
          <w:b/>
        </w:rPr>
        <w:t xml:space="preserve">॥ Viśeṣa-viṣayagaḷu (Special Topics) ॥</w:t>
      </w:r>
    </w:p>
    <w:p>
      <w:pPr>
        <w:pStyle w:val="BodyText"/>
      </w:pPr>
      <w:r>
        <w:rPr>
          <w:bCs/>
          <w:b/>
        </w:rPr>
        <w:t xml:space="preserve">“</w:t>
      </w:r>
      <w:r>
        <w:rPr>
          <w:bCs/>
          <w:b/>
        </w:rPr>
        <w:t xml:space="preserve">Madhumantam</w:t>
      </w:r>
      <w:r>
        <w:rPr>
          <w:bCs/>
          <w:b/>
        </w:rPr>
        <w:t xml:space="preserve">”</w:t>
      </w:r>
      <w:r>
        <w:t xml:space="preserve"> </w:t>
      </w:r>
      <w:r>
        <w:t xml:space="preserve">—</w:t>
      </w:r>
      <w:r>
        <w:t xml:space="preserve"> </w:t>
      </w:r>
      <w:r>
        <w:rPr>
          <w:iCs/>
          <w:i/>
        </w:rPr>
        <w:t xml:space="preserve">rasavantam</w:t>
      </w:r>
      <w:r>
        <w:t xml:space="preserve">: tasty, sweet like honey:</w:t>
      </w:r>
      <w:r>
        <w:t xml:space="preserve"> </w:t>
      </w:r>
      <w:r>
        <w:rPr>
          <w:iCs/>
          <w:i/>
        </w:rPr>
        <w:t xml:space="preserve">well-flavoured, rich in honey</w:t>
      </w:r>
      <w:r>
        <w:t xml:space="preserve"> </w:t>
      </w:r>
      <w:r>
        <w:t xml:space="preserve">[the source’s English]. The author of the</w:t>
      </w:r>
      <w:r>
        <w:t xml:space="preserve"> </w:t>
      </w:r>
      <w:r>
        <w:rPr>
          <w:iCs/>
          <w:i/>
        </w:rPr>
        <w:t xml:space="preserve">Vedārthayatna</w:t>
      </w:r>
      <w:r>
        <w:t xml:space="preserve"> </w:t>
      </w:r>
      <w:r>
        <w:t xml:space="preserve">takes</w:t>
      </w:r>
      <w:r>
        <w:t xml:space="preserve"> </w:t>
      </w:r>
      <w:r>
        <w:rPr>
          <w:iCs/>
          <w:i/>
        </w:rPr>
        <w:t xml:space="preserve">madhu</w:t>
      </w:r>
      <w:r>
        <w:t xml:space="preserve"> </w:t>
      </w:r>
      <w:r>
        <w:t xml:space="preserve">as Soma and explains</w:t>
      </w:r>
      <w:r>
        <w:t xml:space="preserve"> </w:t>
      </w:r>
      <w:r>
        <w:t xml:space="preserve">“</w:t>
      </w:r>
      <w:r>
        <w:t xml:space="preserve">the oblation joined with Soma-juice.</w:t>
      </w:r>
      <w:r>
        <w:t xml:space="preserve">”</w:t>
      </w:r>
      <w:r>
        <w:t xml:space="preserve"> </w:t>
      </w:r>
      <w:r>
        <w:t xml:space="preserve">In support of this sense he gives as an example the rik</w:t>
      </w:r>
    </w:p>
    <w:p>
      <w:pPr>
        <w:pStyle w:val="BodyText"/>
      </w:pPr>
      <w:r>
        <w:rPr>
          <w:iCs/>
          <w:i/>
        </w:rPr>
        <w:t xml:space="preserve">(Ṛ. Saṃ. 1-15-11.)</w:t>
      </w:r>
    </w:p>
    <w:p>
      <w:pPr>
        <w:pStyle w:val="BlockText"/>
      </w:pPr>
      <w:r>
        <w:t xml:space="preserve">अश्विना पिबतं मधु दीद्यग्नी शुचिव्रता ।</w:t>
      </w:r>
    </w:p>
    <w:p>
      <w:pPr>
        <w:pStyle w:val="BlockText"/>
      </w:pPr>
      <w:r>
        <w:rPr>
          <w:iCs/>
          <w:i/>
        </w:rPr>
        <w:t xml:space="preserve">aśvinā pibataṃ madhu dīdyagnī śucivratā |</w:t>
      </w:r>
    </w:p>
    <w:p>
      <w:pPr>
        <w:pStyle w:val="FirstParagraph"/>
      </w:pPr>
      <w:r>
        <w:rPr>
          <w:iCs/>
          <w:i/>
        </w:rPr>
        <w:t xml:space="preserve">(</w:t>
      </w:r>
      <w:r>
        <w:rPr>
          <w:iCs/>
          <w:i/>
        </w:rPr>
        <w:t xml:space="preserve">“</w:t>
      </w:r>
      <w:r>
        <w:rPr>
          <w:iCs/>
          <w:i/>
        </w:rPr>
        <w:t xml:space="preserve">O Aśvins, of bright fires and pure vows, drink the honey</w:t>
      </w:r>
      <w:r>
        <w:rPr>
          <w:iCs/>
          <w:i/>
        </w:rPr>
        <w:t xml:space="preserve">”</w:t>
      </w:r>
      <w:r>
        <w:rPr>
          <w:iCs/>
          <w:i/>
        </w:rPr>
        <w:t xml:space="preserve"> </w:t>
      </w:r>
      <w:r>
        <w:rPr>
          <w:iCs/>
          <w:i/>
        </w:rPr>
        <w:t xml:space="preserve">— mine and tentative.)</w:t>
      </w:r>
    </w:p>
    <w:p>
      <w:pPr>
        <w:pStyle w:val="BodyText"/>
      </w:pPr>
      <w:r>
        <w:t xml:space="preserve">In explaining this rik Sāyaṇa plainly says</w:t>
      </w:r>
      <w:r>
        <w:t xml:space="preserve"> </w:t>
      </w:r>
      <w:r>
        <w:rPr>
          <w:iCs/>
          <w:i/>
        </w:rPr>
        <w:t xml:space="preserve">madhu-mādhuryopetaṃ somam</w:t>
      </w:r>
      <w:r>
        <w:t xml:space="preserve">,</w:t>
      </w:r>
      <w:r>
        <w:t xml:space="preserve"> </w:t>
      </w:r>
      <w:r>
        <w:t xml:space="preserve">“</w:t>
      </w:r>
      <w:r>
        <w:t xml:space="preserve">the sweet Soma-juice.</w:t>
      </w:r>
      <w:r>
        <w:t xml:space="preserve">”</w:t>
      </w:r>
      <w:r>
        <w:t xml:space="preserve"> </w:t>
      </w:r>
      <w:r>
        <w:t xml:space="preserve">Besides this, in explaining the rik</w:t>
      </w:r>
    </w:p>
    <w:p>
      <w:pPr>
        <w:pStyle w:val="BodyText"/>
      </w:pPr>
      <w:r>
        <w:rPr>
          <w:iCs/>
          <w:i/>
        </w:rPr>
        <w:t xml:space="preserve">(Ṛ. Saṃ. 9-73-2.)</w:t>
      </w:r>
    </w:p>
    <w:p>
      <w:pPr>
        <w:pStyle w:val="BlockText"/>
      </w:pPr>
      <w:r>
        <w:t xml:space="preserve">मधोर्धाराभिर्जनयन्तो अर्कमित्प्रियामिन्द्रस्य तन्वमवीवृधन् ।</w:t>
      </w:r>
    </w:p>
    <w:p>
      <w:pPr>
        <w:pStyle w:val="BlockText"/>
      </w:pPr>
      <w:r>
        <w:rPr>
          <w:iCs/>
          <w:i/>
        </w:rPr>
        <w:t xml:space="preserve">madhordhārābhirjanayanto arkamitpriyāmindrasya tanvamavīvṛdhan |</w:t>
      </w:r>
    </w:p>
    <w:p>
      <w:pPr>
        <w:pStyle w:val="FirstParagraph"/>
      </w:pPr>
      <w:r>
        <w:rPr>
          <w:iCs/>
          <w:i/>
        </w:rPr>
        <w:t xml:space="preserve">(</w:t>
      </w:r>
      <w:r>
        <w:rPr>
          <w:iCs/>
          <w:i/>
        </w:rPr>
        <w:t xml:space="preserve">“</w:t>
      </w:r>
      <w:r>
        <w:rPr>
          <w:iCs/>
          <w:i/>
        </w:rPr>
        <w:t xml:space="preserve">Producing the hymn with streams of honey, they have increased the dear body of Indra</w:t>
      </w:r>
      <w:r>
        <w:rPr>
          <w:iCs/>
          <w:i/>
        </w:rPr>
        <w:t xml:space="preserve">”</w:t>
      </w:r>
      <w:r>
        <w:rPr>
          <w:iCs/>
          <w:i/>
        </w:rPr>
        <w:t xml:space="preserve"> </w:t>
      </w:r>
      <w:r>
        <w:rPr>
          <w:iCs/>
          <w:i/>
        </w:rPr>
        <w:t xml:space="preserve">— mine and tentative.)</w:t>
      </w:r>
    </w:p>
    <w:p>
      <w:pPr>
        <w:pStyle w:val="BodyText"/>
      </w:pPr>
      <w:r>
        <w:t xml:space="preserve">the Bhāṣyakāra gives the word</w:t>
      </w:r>
      <w:r>
        <w:t xml:space="preserve"> </w:t>
      </w:r>
      <w:r>
        <w:rPr>
          <w:iCs/>
          <w:i/>
        </w:rPr>
        <w:t xml:space="preserve">madhoḥ</w:t>
      </w:r>
      <w:r>
        <w:t xml:space="preserve"> </w:t>
      </w:r>
      <w:r>
        <w:t xml:space="preserve">the sense</w:t>
      </w:r>
      <w:r>
        <w:t xml:space="preserve"> </w:t>
      </w:r>
      <w:r>
        <w:rPr>
          <w:iCs/>
          <w:i/>
        </w:rPr>
        <w:t xml:space="preserve">madakarasya somasya</w:t>
      </w:r>
      <w:r>
        <w:t xml:space="preserve">,</w:t>
      </w:r>
      <w:r>
        <w:t xml:space="preserve"> </w:t>
      </w:r>
      <w:r>
        <w:t xml:space="preserve">“</w:t>
      </w:r>
      <w:r>
        <w:t xml:space="preserve">of the Soma-juice that causes exhilaration.</w:t>
      </w:r>
      <w:r>
        <w:t xml:space="preserve">”</w:t>
      </w:r>
      <w:r>
        <w:t xml:space="preserve"> </w:t>
      </w:r>
      <w:r>
        <w:t xml:space="preserve">There are many riks in the Ṛgveda that give</w:t>
      </w:r>
      <w:r>
        <w:t xml:space="preserve"> </w:t>
      </w:r>
      <w:r>
        <w:rPr>
          <w:iCs/>
          <w:i/>
        </w:rPr>
        <w:t xml:space="preserve">madhu</w:t>
      </w:r>
      <w:r>
        <w:t xml:space="preserve"> </w:t>
      </w:r>
      <w:r>
        <w:t xml:space="preserve">the sense of Soma-juice; so the word</w:t>
      </w:r>
      <w:r>
        <w:t xml:space="preserve"> </w:t>
      </w:r>
      <w:r>
        <w:rPr>
          <w:iCs/>
          <w:i/>
        </w:rPr>
        <w:t xml:space="preserve">madhumantam</w:t>
      </w:r>
      <w:r>
        <w:t xml:space="preserve"> </w:t>
      </w:r>
      <w:r>
        <w:t xml:space="preserve">can be given the sense</w:t>
      </w:r>
      <w:r>
        <w:t xml:space="preserve"> </w:t>
      </w:r>
      <w:r>
        <w:t xml:space="preserve">“</w:t>
      </w:r>
      <w:r>
        <w:t xml:space="preserve">accompanied by Soma-juice.</w:t>
      </w:r>
      <w:r>
        <w:t xml:space="preserve">”</w:t>
      </w:r>
    </w:p>
    <w:p>
      <w:pPr>
        <w:pStyle w:val="BodyText"/>
      </w:pPr>
      <w:r>
        <w:rPr>
          <w:bCs/>
          <w:b/>
        </w:rPr>
        <w:t xml:space="preserve">“</w:t>
      </w:r>
      <w:r>
        <w:rPr>
          <w:bCs/>
          <w:b/>
        </w:rPr>
        <w:t xml:space="preserve">Tanūnapāt</w:t>
      </w:r>
      <w:r>
        <w:rPr>
          <w:bCs/>
          <w:b/>
        </w:rPr>
        <w:t xml:space="preserve">”</w:t>
      </w:r>
      <w:r>
        <w:t xml:space="preserve"> </w:t>
      </w:r>
      <w:r>
        <w:t xml:space="preserve">— this word too is another name of Agni. Some explain it as</w:t>
      </w:r>
      <w:r>
        <w:t xml:space="preserve"> </w:t>
      </w:r>
      <w:r>
        <w:t xml:space="preserve">“</w:t>
      </w:r>
      <w:r>
        <w:t xml:space="preserve">one born from himself.</w:t>
      </w:r>
      <w:r>
        <w:t xml:space="preserve">”</w:t>
      </w:r>
      <w:r>
        <w:t xml:space="preserve"> </w:t>
      </w:r>
      <w:r>
        <w:t xml:space="preserve">In support of this sense they cite the rik</w:t>
      </w:r>
      <w:r>
        <w:t xml:space="preserve"> </w:t>
      </w:r>
      <w:r>
        <w:rPr>
          <w:iCs/>
          <w:i/>
        </w:rPr>
        <w:t xml:space="preserve">agninā agniḥ samidhyate</w:t>
      </w:r>
      <w:r>
        <w:t xml:space="preserve"> </w:t>
      </w:r>
      <w:r>
        <w:t xml:space="preserve">—</w:t>
      </w:r>
      <w:r>
        <w:t xml:space="preserve"> </w:t>
      </w:r>
      <w:r>
        <w:t xml:space="preserve">“</w:t>
      </w:r>
      <w:r>
        <w:t xml:space="preserve">fire is kindled by (another) fire</w:t>
      </w:r>
      <w:r>
        <w:t xml:space="preserve">”</w:t>
      </w:r>
      <w:r>
        <w:t xml:space="preserve">; and since in the Nirukta the word</w:t>
      </w:r>
      <w:r>
        <w:t xml:space="preserve"> </w:t>
      </w:r>
      <w:r>
        <w:rPr>
          <w:iCs/>
          <w:i/>
        </w:rPr>
        <w:t xml:space="preserve">napāt</w:t>
      </w:r>
      <w:r>
        <w:t xml:space="preserve"> </w:t>
      </w:r>
      <w:r>
        <w:t xml:space="preserve">is read among the fifteen words for offspring beginning with</w:t>
      </w:r>
      <w:r>
        <w:t xml:space="preserve"> </w:t>
      </w:r>
      <w:r>
        <w:rPr>
          <w:iCs/>
          <w:i/>
        </w:rPr>
        <w:t xml:space="preserve">tuk</w:t>
      </w:r>
      <w:r>
        <w:t xml:space="preserve">,</w:t>
      </w:r>
      <w:r>
        <w:t xml:space="preserve"> </w:t>
      </w:r>
      <w:r>
        <w:rPr>
          <w:iCs/>
          <w:i/>
        </w:rPr>
        <w:t xml:space="preserve">tokam</w:t>
      </w:r>
      <w:r>
        <w:t xml:space="preserve"> </w:t>
      </w:r>
      <w:r>
        <w:t xml:space="preserve">(Ni. 2-2),</w:t>
      </w:r>
      <w:r>
        <w:t xml:space="preserve"> </w:t>
      </w:r>
      <w:r>
        <w:rPr>
          <w:iCs/>
          <w:i/>
        </w:rPr>
        <w:t xml:space="preserve">napāt</w:t>
      </w:r>
      <w:r>
        <w:t xml:space="preserve"> </w:t>
      </w:r>
      <w:r>
        <w:t xml:space="preserve">means a son:</w:t>
      </w:r>
      <w:r>
        <w:t xml:space="preserve"> </w:t>
      </w:r>
      <w:r>
        <w:rPr>
          <w:iCs/>
          <w:i/>
        </w:rPr>
        <w:t xml:space="preserve">tanū</w:t>
      </w:r>
      <w:r>
        <w:t xml:space="preserve"> </w:t>
      </w:r>
      <w:r>
        <w:t xml:space="preserve">= from one’s own body,</w:t>
      </w:r>
      <w:r>
        <w:t xml:space="preserve"> </w:t>
      </w:r>
      <w:r>
        <w:rPr>
          <w:iCs/>
          <w:i/>
        </w:rPr>
        <w:t xml:space="preserve">napāt</w:t>
      </w:r>
      <w:r>
        <w:t xml:space="preserve"> </w:t>
      </w:r>
      <w:r>
        <w:t xml:space="preserve">= one born. And the great sage Yāska, explaining the word</w:t>
      </w:r>
      <w:r>
        <w:t xml:space="preserve"> </w:t>
      </w:r>
      <w:r>
        <w:rPr>
          <w:iCs/>
          <w:i/>
        </w:rPr>
        <w:t xml:space="preserve">tanūnapāt</w:t>
      </w:r>
      <w:r>
        <w:t xml:space="preserve"> </w:t>
      </w:r>
      <w:r>
        <w:t xml:space="preserve">in the Daivatakāṇḍa of his Nirukta, says:</w:t>
      </w:r>
    </w:p>
    <w:p>
      <w:pPr>
        <w:pStyle w:val="BlockText"/>
      </w:pPr>
      <w:r>
        <w:t xml:space="preserve">तनूनपात् । तनूनपादाज्यमिति कात्थक्यः । नपादित्यनन्तरायाः प्रजाया नामधेयं निर्णततमा भवति । गौरत्र तनूरुच्यते । तता अस्यां भोगाः तस्याः पयो जायते पयस आज्यं जायते ॥</w:t>
      </w:r>
      <w:r>
        <w:t xml:space="preserve"> </w:t>
      </w:r>
      <w:r>
        <w:t xml:space="preserve">अग्निरिति शाकपूणिः । आपो ऽत्र तन्व उच्यन्ते । तता अन्तरिक्षे ताभ्य ओषधिवनस्पतयो जायन्त ओषधिवनस्पतिभ्य एष जायते ॥</w:t>
      </w:r>
    </w:p>
    <w:p>
      <w:pPr>
        <w:pStyle w:val="BlockText"/>
      </w:pPr>
      <w:r>
        <w:rPr>
          <w:iCs/>
          <w:i/>
        </w:rPr>
        <w:t xml:space="preserve">tanūnapāt | tanūnapādājyamiti kātthakyaḥ | napādityanantarāyāḥ prajāyā nāmadheyaṃ nirṇatatamā bhavati | gauratra tanūrucyate | tatā asyāṃ bhogāḥ tasyāḥ payo jāyate payasa ājyaṃ jāyate ||</w:t>
      </w:r>
      <w:r>
        <w:t xml:space="preserve"> </w:t>
      </w:r>
      <w:r>
        <w:rPr>
          <w:iCs/>
          <w:i/>
        </w:rPr>
        <w:t xml:space="preserve">agniriti śākapūṇiḥ | āpo ’tra tanva ucyante | tatā antarikṣe tābhya oṣadhivanaspatayo jāyanta oṣadhivanaspatibhya eṣa jāyate ||</w:t>
      </w:r>
    </w:p>
    <w:p>
      <w:pPr>
        <w:pStyle w:val="FirstParagraph"/>
      </w:pPr>
      <w:r>
        <w:t xml:space="preserve">(Ni. 8-5)</w:t>
      </w:r>
    </w:p>
    <w:bookmarkEnd w:id="562"/>
    <w:bookmarkStart w:id="563" w:name="X05821af29e197d1cc7b8f85f077dbd8c7a8afb0"/>
    <w:p>
      <w:pPr>
        <w:pStyle w:val="Heading3"/>
      </w:pPr>
      <w:r>
        <w:t xml:space="preserve">Page 535 — Rik 2: Special Topics (continued) and grammar</w:t>
      </w:r>
    </w:p>
    <w:p>
      <w:pPr>
        <w:pStyle w:val="FirstParagraph"/>
      </w:pPr>
      <w:r>
        <w:t xml:space="preserve">The idea is this: Kātthakya says</w:t>
      </w:r>
      <w:r>
        <w:t xml:space="preserve"> </w:t>
      </w:r>
      <w:r>
        <w:rPr>
          <w:iCs/>
          <w:i/>
        </w:rPr>
        <w:t xml:space="preserve">tanūnapāt</w:t>
      </w:r>
      <w:r>
        <w:t xml:space="preserve"> </w:t>
      </w:r>
      <w:r>
        <w:t xml:space="preserve">means</w:t>
      </w:r>
      <w:r>
        <w:t xml:space="preserve"> </w:t>
      </w:r>
      <w:r>
        <w:rPr>
          <w:iCs/>
          <w:i/>
        </w:rPr>
        <w:t xml:space="preserve">ājya</w:t>
      </w:r>
      <w:r>
        <w:t xml:space="preserve"> </w:t>
      </w:r>
      <w:r>
        <w:t xml:space="preserve">(melted ghee). In support he says</w:t>
      </w:r>
      <w:r>
        <w:t xml:space="preserve"> </w:t>
      </w:r>
      <w:r>
        <w:rPr>
          <w:iCs/>
          <w:i/>
        </w:rPr>
        <w:t xml:space="preserve">tanūḥ</w:t>
      </w:r>
      <w:r>
        <w:t xml:space="preserve"> </w:t>
      </w:r>
      <w:r>
        <w:t xml:space="preserve">=</w:t>
      </w:r>
      <w:r>
        <w:t xml:space="preserve"> </w:t>
      </w:r>
      <w:r>
        <w:rPr>
          <w:iCs/>
          <w:i/>
        </w:rPr>
        <w:t xml:space="preserve">gauḥ</w:t>
      </w:r>
      <w:r>
        <w:t xml:space="preserve">, the cow, and</w:t>
      </w:r>
      <w:r>
        <w:t xml:space="preserve"> </w:t>
      </w:r>
      <w:r>
        <w:rPr>
          <w:iCs/>
          <w:i/>
        </w:rPr>
        <w:t xml:space="preserve">napāt</w:t>
      </w:r>
      <w:r>
        <w:t xml:space="preserve"> </w:t>
      </w:r>
      <w:r>
        <w:t xml:space="preserve">=</w:t>
      </w:r>
      <w:r>
        <w:t xml:space="preserve"> </w:t>
      </w:r>
      <w:r>
        <w:rPr>
          <w:iCs/>
          <w:i/>
        </w:rPr>
        <w:t xml:space="preserve">prajā</w:t>
      </w:r>
      <w:r>
        <w:t xml:space="preserve">,</w:t>
      </w:r>
      <w:r>
        <w:t xml:space="preserve"> </w:t>
      </w:r>
      <w:r>
        <w:t xml:space="preserve">“</w:t>
      </w:r>
      <w:r>
        <w:t xml:space="preserve">born</w:t>
      </w:r>
      <w:r>
        <w:t xml:space="preserve">”</w:t>
      </w:r>
      <w:r>
        <w:t xml:space="preserve">: so</w:t>
      </w:r>
      <w:r>
        <w:t xml:space="preserve"> </w:t>
      </w:r>
      <w:r>
        <w:t xml:space="preserve">“</w:t>
      </w:r>
      <w:r>
        <w:t xml:space="preserve">from the cow</w:t>
      </w:r>
      <w:r>
        <w:t xml:space="preserve">”</w:t>
      </w:r>
      <w:r>
        <w:t xml:space="preserve"> </w:t>
      </w:r>
      <w:r>
        <w:t xml:space="preserve">(</w:t>
      </w:r>
      <w:r>
        <w:rPr>
          <w:iCs/>
          <w:i/>
        </w:rPr>
        <w:t xml:space="preserve">tanū</w:t>
      </w:r>
      <w:r>
        <w:t xml:space="preserve">)</w:t>
      </w:r>
      <w:r>
        <w:t xml:space="preserve"> </w:t>
      </w:r>
      <w:r>
        <w:t xml:space="preserve">“</w:t>
      </w:r>
      <w:r>
        <w:t xml:space="preserve">born</w:t>
      </w:r>
      <w:r>
        <w:t xml:space="preserve">”</w:t>
      </w:r>
      <w:r>
        <w:t xml:space="preserve"> </w:t>
      </w:r>
      <w:r>
        <w:t xml:space="preserve">(</w:t>
      </w:r>
      <w:r>
        <w:rPr>
          <w:iCs/>
          <w:i/>
        </w:rPr>
        <w:t xml:space="preserve">napāt</w:t>
      </w:r>
      <w:r>
        <w:t xml:space="preserve">) is milk, and what comes from milk is ghee or</w:t>
      </w:r>
      <w:r>
        <w:t xml:space="preserve"> </w:t>
      </w:r>
      <w:r>
        <w:rPr>
          <w:iCs/>
          <w:i/>
        </w:rPr>
        <w:t xml:space="preserve">ājya</w:t>
      </w:r>
      <w:r>
        <w:t xml:space="preserve">; thus he supports the sense</w:t>
      </w:r>
      <w:r>
        <w:t xml:space="preserve"> </w:t>
      </w:r>
      <w:r>
        <w:rPr>
          <w:iCs/>
          <w:i/>
        </w:rPr>
        <w:t xml:space="preserve">ājya</w:t>
      </w:r>
      <w:r>
        <w:t xml:space="preserve"> </w:t>
      </w:r>
      <w:r>
        <w:t xml:space="preserve">for</w:t>
      </w:r>
      <w:r>
        <w:t xml:space="preserve"> </w:t>
      </w:r>
      <w:r>
        <w:rPr>
          <w:iCs/>
          <w:i/>
        </w:rPr>
        <w:t xml:space="preserve">tanūnapāt</w:t>
      </w:r>
      <w:r>
        <w:t xml:space="preserve">. As an example of this sense he gives the rik</w:t>
      </w:r>
    </w:p>
    <w:p>
      <w:pPr>
        <w:pStyle w:val="BodyText"/>
      </w:pPr>
      <w:r>
        <w:rPr>
          <w:iCs/>
          <w:i/>
        </w:rPr>
        <w:t xml:space="preserve">(Ṛ. Saṃ. 10-110-2.)</w:t>
      </w:r>
    </w:p>
    <w:p>
      <w:pPr>
        <w:pStyle w:val="BlockText"/>
      </w:pPr>
      <w:r>
        <w:t xml:space="preserve">तनूनपात्पथ ऋतस्य यानान्मध्वा समञ्जन्त्स्वदया सुजिह्व ।</w:t>
      </w:r>
      <w:r>
        <w:t xml:space="preserve"> </w:t>
      </w:r>
      <w:r>
        <w:t xml:space="preserve">मन्मानि धीभिरुत यज्ञमृन्धन्देवत्रा च कृणुह्यध्वरं नः ॥</w:t>
      </w:r>
    </w:p>
    <w:p>
      <w:pPr>
        <w:pStyle w:val="BlockText"/>
      </w:pPr>
      <w:r>
        <w:rPr>
          <w:iCs/>
          <w:i/>
        </w:rPr>
        <w:t xml:space="preserve">tanūnapātpatha ṛtasya yānānmadhvā samañjantsvadayā sujihva |</w:t>
      </w:r>
      <w:r>
        <w:t xml:space="preserve"> </w:t>
      </w:r>
      <w:r>
        <w:rPr>
          <w:iCs/>
          <w:i/>
        </w:rPr>
        <w:t xml:space="preserve">manmāni dhībhiruta yajñamṛndhandevatrā ca kṛṇuhyadhvaraṃ naḥ ||</w:t>
      </w:r>
    </w:p>
    <w:p>
      <w:pPr>
        <w:pStyle w:val="FirstParagraph"/>
      </w:pPr>
      <w:r>
        <w:rPr>
          <w:iCs/>
          <w:i/>
        </w:rPr>
        <w:t xml:space="preserve">(</w:t>
      </w:r>
      <w:r>
        <w:rPr>
          <w:iCs/>
          <w:i/>
        </w:rPr>
        <w:t xml:space="preserve">“</w:t>
      </w:r>
      <w:r>
        <w:rPr>
          <w:iCs/>
          <w:i/>
        </w:rPr>
        <w:t xml:space="preserve">O Tanūnapāt, anointing the paths of order with honey, make them sweet, O fair-tongued; prospering our thoughts and our sacrifice with insights, make our rite go to the gods</w:t>
      </w:r>
      <w:r>
        <w:rPr>
          <w:iCs/>
          <w:i/>
        </w:rPr>
        <w:t xml:space="preserve">”</w:t>
      </w:r>
      <w:r>
        <w:rPr>
          <w:iCs/>
          <w:i/>
        </w:rPr>
        <w:t xml:space="preserve"> </w:t>
      </w:r>
      <w:r>
        <w:rPr>
          <w:iCs/>
          <w:i/>
        </w:rPr>
        <w:t xml:space="preserve">— mine and tentative.)</w:t>
      </w:r>
    </w:p>
    <w:p>
      <w:pPr>
        <w:pStyle w:val="BodyText"/>
      </w:pPr>
      <w:r>
        <w:t xml:space="preserve">Since this rik too is in an Āpri-sūkta, there is room for doubt whether the sense</w:t>
      </w:r>
      <w:r>
        <w:t xml:space="preserve"> </w:t>
      </w:r>
      <w:r>
        <w:rPr>
          <w:iCs/>
          <w:i/>
        </w:rPr>
        <w:t xml:space="preserve">ājya</w:t>
      </w:r>
      <w:r>
        <w:t xml:space="preserve"> </w:t>
      </w:r>
      <w:r>
        <w:t xml:space="preserve">fits the word</w:t>
      </w:r>
      <w:r>
        <w:t xml:space="preserve"> </w:t>
      </w:r>
      <w:r>
        <w:rPr>
          <w:iCs/>
          <w:i/>
        </w:rPr>
        <w:t xml:space="preserve">tanūnapāt</w:t>
      </w:r>
      <w:r>
        <w:t xml:space="preserve"> </w:t>
      </w:r>
      <w:r>
        <w:t xml:space="preserve">in it. According to Śākapūṇi’s view,</w:t>
      </w:r>
      <w:r>
        <w:t xml:space="preserve"> </w:t>
      </w:r>
      <w:r>
        <w:rPr>
          <w:iCs/>
          <w:i/>
        </w:rPr>
        <w:t xml:space="preserve">tanūnapāt</w:t>
      </w:r>
      <w:r>
        <w:t xml:space="preserve"> </w:t>
      </w:r>
      <w:r>
        <w:t xml:space="preserve">is Agni: here</w:t>
      </w:r>
      <w:r>
        <w:t xml:space="preserve"> </w:t>
      </w:r>
      <w:r>
        <w:rPr>
          <w:iCs/>
          <w:i/>
        </w:rPr>
        <w:t xml:space="preserve">tanū</w:t>
      </w:r>
      <w:r>
        <w:t xml:space="preserve"> </w:t>
      </w:r>
      <w:r>
        <w:t xml:space="preserve">means water. Water falls as rain and from it plants and trees are produced; since Agni is born from a tree (the piece of wood called</w:t>
      </w:r>
      <w:r>
        <w:t xml:space="preserve"> </w:t>
      </w:r>
      <w:r>
        <w:rPr>
          <w:iCs/>
          <w:i/>
        </w:rPr>
        <w:t xml:space="preserve">araṇi</w:t>
      </w:r>
      <w:r>
        <w:t xml:space="preserve">), Agni is called</w:t>
      </w:r>
      <w:r>
        <w:t xml:space="preserve"> </w:t>
      </w:r>
      <w:r>
        <w:rPr>
          <w:iCs/>
          <w:i/>
        </w:rPr>
        <w:t xml:space="preserve">tanūnapāt</w:t>
      </w:r>
      <w:r>
        <w:t xml:space="preserve">.</w:t>
      </w:r>
    </w:p>
    <w:p>
      <w:pPr>
        <w:pStyle w:val="BodyText"/>
      </w:pPr>
      <w:r>
        <w:rPr>
          <w:bCs/>
          <w:b/>
        </w:rPr>
        <w:t xml:space="preserve">॥ Vyākaraṇa-prakriyā ॥</w:t>
      </w:r>
      <w:r>
        <w:t xml:space="preserve"> </w:t>
      </w:r>
      <w:r>
        <w:rPr>
          <w:iCs/>
          <w:i/>
        </w:rPr>
        <w:t xml:space="preserve">(grammar pages 535–537, noted briefly; numbers checked against the print)</w:t>
      </w:r>
    </w:p>
    <w:p>
      <w:pPr>
        <w:pStyle w:val="BodyText"/>
      </w:pPr>
      <w:r>
        <w:rPr>
          <w:bCs/>
          <w:b/>
        </w:rPr>
        <w:t xml:space="preserve">मधुमन्तम् (</w:t>
      </w:r>
      <w:r>
        <w:rPr>
          <w:iCs/>
          <w:i/>
          <w:bCs/>
          <w:b/>
        </w:rPr>
        <w:t xml:space="preserve">madhumantam</w:t>
      </w:r>
      <w:r>
        <w:rPr>
          <w:bCs/>
          <w:b/>
        </w:rPr>
        <w:t xml:space="preserve">)</w:t>
      </w:r>
      <w:r>
        <w:t xml:space="preserve"> </w:t>
      </w:r>
      <w:r>
        <w:t xml:space="preserve">—</w:t>
      </w:r>
      <w:r>
        <w:t xml:space="preserve"> </w:t>
      </w:r>
      <w:r>
        <w:t xml:space="preserve">“</w:t>
      </w:r>
      <w:r>
        <w:t xml:space="preserve">phali-pāṭi-nami-mani-janāṃ guk-paṭi-nāki-dhataś ca</w:t>
      </w:r>
      <w:r>
        <w:t xml:space="preserve">”</w:t>
      </w:r>
      <w:r>
        <w:t xml:space="preserve"> </w:t>
      </w:r>
      <w:r>
        <w:t xml:space="preserve">(Uṇ. sū.</w:t>
      </w:r>
      <w:r>
        <w:t xml:space="preserve"> </w:t>
      </w:r>
      <w:r>
        <w:t xml:space="preserve">“</w:t>
      </w:r>
      <w:r>
        <w:t xml:space="preserve">1-18</w:t>
      </w:r>
      <w:r>
        <w:t xml:space="preserve">”</w:t>
      </w:r>
      <w:r>
        <w:t xml:space="preserve">): after</w:t>
      </w:r>
      <w:r>
        <w:t xml:space="preserve"> </w:t>
      </w:r>
      <w:r>
        <w:rPr>
          <w:iCs/>
          <w:i/>
        </w:rPr>
        <w:t xml:space="preserve">phala niṣpattau</w:t>
      </w:r>
      <w:r>
        <w:t xml:space="preserve">,</w:t>
      </w:r>
      <w:r>
        <w:t xml:space="preserve"> </w:t>
      </w:r>
      <w:r>
        <w:rPr>
          <w:iCs/>
          <w:i/>
        </w:rPr>
        <w:t xml:space="preserve">paṭa gatau</w:t>
      </w:r>
      <w:r>
        <w:t xml:space="preserve"> </w:t>
      </w:r>
      <w:r>
        <w:t xml:space="preserve">in its</w:t>
      </w:r>
      <w:r>
        <w:t xml:space="preserve"> </w:t>
      </w:r>
      <w:r>
        <w:rPr>
          <w:iCs/>
          <w:i/>
        </w:rPr>
        <w:t xml:space="preserve">ṇic</w:t>
      </w:r>
      <w:r>
        <w:t xml:space="preserve"> </w:t>
      </w:r>
      <w:r>
        <w:t xml:space="preserve">form,</w:t>
      </w:r>
      <w:r>
        <w:t xml:space="preserve"> </w:t>
      </w:r>
      <w:r>
        <w:rPr>
          <w:iCs/>
          <w:i/>
        </w:rPr>
        <w:t xml:space="preserve">ṇama prahvatve śabde</w:t>
      </w:r>
      <w:r>
        <w:t xml:space="preserve">,</w:t>
      </w:r>
      <w:r>
        <w:t xml:space="preserve"> </w:t>
      </w:r>
      <w:r>
        <w:rPr>
          <w:iCs/>
          <w:i/>
        </w:rPr>
        <w:t xml:space="preserve">mana jñāne</w:t>
      </w:r>
      <w:r>
        <w:t xml:space="preserve"> </w:t>
      </w:r>
      <w:r>
        <w:t xml:space="preserve">and</w:t>
      </w:r>
      <w:r>
        <w:t xml:space="preserve"> </w:t>
      </w:r>
      <w:r>
        <w:rPr>
          <w:iCs/>
          <w:i/>
        </w:rPr>
        <w:t xml:space="preserve">janī prādurbhāve</w:t>
      </w:r>
      <w:r>
        <w:t xml:space="preserve"> </w:t>
      </w:r>
      <w:r>
        <w:t xml:space="preserve">the suffix</w:t>
      </w:r>
      <w:r>
        <w:t xml:space="preserve"> </w:t>
      </w:r>
      <w:r>
        <w:rPr>
          <w:iCs/>
          <w:i/>
        </w:rPr>
        <w:t xml:space="preserve">u</w:t>
      </w:r>
      <w:r>
        <w:t xml:space="preserve">, which is</w:t>
      </w:r>
      <w:r>
        <w:t xml:space="preserve"> </w:t>
      </w:r>
      <w:r>
        <w:rPr>
          <w:iCs/>
          <w:i/>
        </w:rPr>
        <w:t xml:space="preserve">nit</w:t>
      </w:r>
      <w:r>
        <w:t xml:space="preserve">;</w:t>
      </w:r>
      <w:r>
        <w:t xml:space="preserve"> </w:t>
      </w:r>
      <w:r>
        <w:rPr>
          <w:iCs/>
          <w:i/>
        </w:rPr>
        <w:t xml:space="preserve">phal</w:t>
      </w:r>
      <w:r>
        <w:t xml:space="preserve"> </w:t>
      </w:r>
      <w:r>
        <w:t xml:space="preserve">takes the augment</w:t>
      </w:r>
      <w:r>
        <w:t xml:space="preserve"> </w:t>
      </w:r>
      <w:r>
        <w:rPr>
          <w:iCs/>
          <w:i/>
        </w:rPr>
        <w:t xml:space="preserve">guk</w:t>
      </w:r>
      <w:r>
        <w:t xml:space="preserve">, and the others, in order, the substitutes</w:t>
      </w:r>
      <w:r>
        <w:t xml:space="preserve"> </w:t>
      </w:r>
      <w:r>
        <w:rPr>
          <w:iCs/>
          <w:i/>
        </w:rPr>
        <w:t xml:space="preserve">paṭ</w:t>
      </w:r>
      <w:r>
        <w:t xml:space="preserve">,</w:t>
      </w:r>
      <w:r>
        <w:t xml:space="preserve"> </w:t>
      </w:r>
      <w:r>
        <w:rPr>
          <w:iCs/>
          <w:i/>
        </w:rPr>
        <w:t xml:space="preserve">nāki</w:t>
      </w:r>
      <w:r>
        <w:t xml:space="preserve">,</w:t>
      </w:r>
      <w:r>
        <w:t xml:space="preserve"> </w:t>
      </w:r>
      <w:r>
        <w:rPr>
          <w:iCs/>
          <w:i/>
        </w:rPr>
        <w:t xml:space="preserve">dh</w:t>
      </w:r>
      <w:r>
        <w:t xml:space="preserve">,</w:t>
      </w:r>
      <w:r>
        <w:t xml:space="preserve"> </w:t>
      </w:r>
      <w:r>
        <w:rPr>
          <w:iCs/>
          <w:i/>
        </w:rPr>
        <w:t xml:space="preserve">t</w:t>
      </w:r>
      <w:r>
        <w:t xml:space="preserve">: that is the sense of the sūtra. By the maxim</w:t>
      </w:r>
      <w:r>
        <w:t xml:space="preserve"> </w:t>
      </w:r>
      <w:r>
        <w:t xml:space="preserve">“</w:t>
      </w:r>
      <w:r>
        <w:t xml:space="preserve">ekāpi ṣaṣṭhī viṣayabhedād bhidyate</w:t>
      </w:r>
      <w:r>
        <w:t xml:space="preserve">”</w:t>
      </w:r>
      <w:r>
        <w:t xml:space="preserve"> </w:t>
      </w:r>
      <w:r>
        <w:t xml:space="preserve">— one genitive gives different senses by difference of topic — the genitive connected with</w:t>
      </w:r>
      <w:r>
        <w:t xml:space="preserve"> </w:t>
      </w:r>
      <w:r>
        <w:rPr>
          <w:iCs/>
          <w:i/>
        </w:rPr>
        <w:t xml:space="preserve">phali</w:t>
      </w:r>
      <w:r>
        <w:t xml:space="preserve"> </w:t>
      </w:r>
      <w:r>
        <w:t xml:space="preserve">is a genitive of the part for the augment</w:t>
      </w:r>
      <w:r>
        <w:t xml:space="preserve"> </w:t>
      </w:r>
      <w:r>
        <w:rPr>
          <w:iCs/>
          <w:i/>
        </w:rPr>
        <w:t xml:space="preserve">guk</w:t>
      </w:r>
      <w:r>
        <w:t xml:space="preserve">, while in the other four, where the substitutes</w:t>
      </w:r>
      <w:r>
        <w:t xml:space="preserve"> </w:t>
      </w:r>
      <w:r>
        <w:rPr>
          <w:iCs/>
          <w:i/>
        </w:rPr>
        <w:t xml:space="preserve">paṭ</w:t>
      </w:r>
      <w:r>
        <w:t xml:space="preserve"> </w:t>
      </w:r>
      <w:r>
        <w:t xml:space="preserve">etc. are prescribed, it is a genitive of the place; and in the case of the substitutes</w:t>
      </w:r>
      <w:r>
        <w:t xml:space="preserve"> </w:t>
      </w:r>
      <w:r>
        <w:rPr>
          <w:iCs/>
          <w:i/>
        </w:rPr>
        <w:t xml:space="preserve">dh</w:t>
      </w:r>
      <w:r>
        <w:t xml:space="preserve"> </w:t>
      </w:r>
      <w:r>
        <w:t xml:space="preserve">and</w:t>
      </w:r>
      <w:r>
        <w:t xml:space="preserve"> </w:t>
      </w:r>
      <w:r>
        <w:rPr>
          <w:iCs/>
          <w:i/>
        </w:rPr>
        <w:t xml:space="preserve">t</w:t>
      </w:r>
      <w:r>
        <w:t xml:space="preserve"> </w:t>
      </w:r>
      <w:r>
        <w:t xml:space="preserve">it denotes a substitute for the final of</w:t>
      </w:r>
      <w:r>
        <w:t xml:space="preserve"> </w:t>
      </w:r>
      <w:r>
        <w:rPr>
          <w:iCs/>
          <w:i/>
        </w:rPr>
        <w:t xml:space="preserve">man</w:t>
      </w:r>
      <w:r>
        <w:t xml:space="preserve"> </w:t>
      </w:r>
      <w:r>
        <w:t xml:space="preserve">and</w:t>
      </w:r>
      <w:r>
        <w:t xml:space="preserve"> </w:t>
      </w:r>
      <w:r>
        <w:rPr>
          <w:iCs/>
          <w:i/>
        </w:rPr>
        <w:t xml:space="preserve">jan</w:t>
      </w:r>
      <w:r>
        <w:t xml:space="preserve">. So with</w:t>
      </w:r>
      <w:r>
        <w:t xml:space="preserve"> </w:t>
      </w:r>
      <w:r>
        <w:rPr>
          <w:iCs/>
          <w:i/>
        </w:rPr>
        <w:t xml:space="preserve">u</w:t>
      </w:r>
      <w:r>
        <w:t xml:space="preserve"> </w:t>
      </w:r>
      <w:r>
        <w:t xml:space="preserve">after</w:t>
      </w:r>
      <w:r>
        <w:t xml:space="preserve"> </w:t>
      </w:r>
      <w:r>
        <w:rPr>
          <w:iCs/>
          <w:i/>
        </w:rPr>
        <w:t xml:space="preserve">man</w:t>
      </w:r>
      <w:r>
        <w:t xml:space="preserve">:</w:t>
      </w:r>
      <w:r>
        <w:t xml:space="preserve"> </w:t>
      </w:r>
      <w:r>
        <w:rPr>
          <w:iCs/>
          <w:i/>
        </w:rPr>
        <w:t xml:space="preserve">man</w:t>
      </w:r>
      <w:r>
        <w:t xml:space="preserve"> </w:t>
      </w:r>
      <w:r>
        <w:t xml:space="preserve">+</w:t>
      </w:r>
      <w:r>
        <w:t xml:space="preserve"> </w:t>
      </w:r>
      <w:r>
        <w:rPr>
          <w:iCs/>
          <w:i/>
        </w:rPr>
        <w:t xml:space="preserve">u</w:t>
      </w:r>
      <w:r>
        <w:t xml:space="preserve">,</w:t>
      </w:r>
      <w:r>
        <w:t xml:space="preserve"> </w:t>
      </w:r>
      <w:r>
        <w:rPr>
          <w:iCs/>
          <w:i/>
        </w:rPr>
        <w:t xml:space="preserve">dh</w:t>
      </w:r>
      <w:r>
        <w:t xml:space="preserve"> </w:t>
      </w:r>
      <w:r>
        <w:t xml:space="preserve">for the</w:t>
      </w:r>
      <w:r>
        <w:t xml:space="preserve"> </w:t>
      </w:r>
      <w:r>
        <w:rPr>
          <w:iCs/>
          <w:i/>
        </w:rPr>
        <w:t xml:space="preserve">n</w:t>
      </w:r>
      <w:r>
        <w:t xml:space="preserve">:</w:t>
      </w:r>
      <w:r>
        <w:t xml:space="preserve"> </w:t>
      </w:r>
      <w:r>
        <w:rPr>
          <w:iCs/>
          <w:i/>
        </w:rPr>
        <w:t xml:space="preserve">madhu</w:t>
      </w:r>
      <w:r>
        <w:t xml:space="preserve">. The suffix being</w:t>
      </w:r>
      <w:r>
        <w:t xml:space="preserve"> </w:t>
      </w:r>
      <w:r>
        <w:rPr>
          <w:iCs/>
          <w:i/>
        </w:rPr>
        <w:t xml:space="preserve">nit</w:t>
      </w:r>
      <w:r>
        <w:t xml:space="preserve">,</w:t>
      </w:r>
      <w:r>
        <w:t xml:space="preserve"> </w:t>
      </w:r>
      <w:r>
        <w:rPr>
          <w:iCs/>
          <w:i/>
        </w:rPr>
        <w:t xml:space="preserve">madhu</w:t>
      </w:r>
      <w:r>
        <w:t xml:space="preserve"> </w:t>
      </w:r>
      <w:r>
        <w:t xml:space="preserve">is initial-udātta by</w:t>
      </w:r>
      <w:r>
        <w:t xml:space="preserve"> </w:t>
      </w:r>
      <w:r>
        <w:t xml:space="preserve">“</w:t>
      </w:r>
      <w:r>
        <w:t xml:space="preserve">ñnity ādir nityam</w:t>
      </w:r>
      <w:r>
        <w:t xml:space="preserve">”</w:t>
      </w:r>
      <w:r>
        <w:t xml:space="preserve"> </w:t>
      </w:r>
      <w:r>
        <w:t xml:space="preserve">(Pā. 6-1-197);</w:t>
      </w:r>
      <w:r>
        <w:t xml:space="preserve"> </w:t>
      </w:r>
      <w:r>
        <w:rPr>
          <w:iCs/>
          <w:i/>
        </w:rPr>
        <w:t xml:space="preserve">nit</w:t>
      </w:r>
      <w:r>
        <w:t xml:space="preserve"> </w:t>
      </w:r>
      <w:r>
        <w:t xml:space="preserve">is carried over from</w:t>
      </w:r>
      <w:r>
        <w:t xml:space="preserve"> </w:t>
      </w:r>
      <w:r>
        <w:t xml:space="preserve">“</w:t>
      </w:r>
      <w:r>
        <w:t xml:space="preserve">dhānye nit</w:t>
      </w:r>
      <w:r>
        <w:t xml:space="preserve">”</w:t>
      </w:r>
      <w:r>
        <w:t xml:space="preserve"> </w:t>
      </w:r>
      <w:r>
        <w:t xml:space="preserve">(Uṇ. sū. 1-9) into</w:t>
      </w:r>
      <w:r>
        <w:t xml:space="preserve"> </w:t>
      </w:r>
      <w:r>
        <w:rPr>
          <w:iCs/>
          <w:i/>
        </w:rPr>
        <w:t xml:space="preserve">phali-pāṭi</w:t>
      </w:r>
      <w:r>
        <w:t xml:space="preserve">….</w:t>
      </w:r>
      <w:r>
        <w:t xml:space="preserve"> </w:t>
      </w:r>
      <w:r>
        <w:rPr>
          <w:bCs/>
          <w:b/>
        </w:rPr>
        <w:t xml:space="preserve">तनूनपात् (</w:t>
      </w:r>
      <w:r>
        <w:rPr>
          <w:iCs/>
          <w:i/>
          <w:bCs/>
          <w:b/>
        </w:rPr>
        <w:t xml:space="preserve">tanūnapāt</w:t>
      </w:r>
      <w:r>
        <w:rPr>
          <w:bCs/>
          <w:b/>
        </w:rPr>
        <w:t xml:space="preserve">)</w:t>
      </w:r>
      <w:r>
        <w:t xml:space="preserve"> </w:t>
      </w:r>
      <w:r>
        <w:t xml:space="preserve">— it is a vocative; so the eighth-chapter</w:t>
      </w:r>
      <w:r>
        <w:t xml:space="preserve"> </w:t>
      </w:r>
      <w:r>
        <w:t xml:space="preserve">“</w:t>
      </w:r>
      <w:r>
        <w:t xml:space="preserve">āmantritasya ca</w:t>
      </w:r>
      <w:r>
        <w:t xml:space="preserve">”</w:t>
      </w:r>
      <w:r>
        <w:t xml:space="preserve"> </w:t>
      </w:r>
      <w:r>
        <w:t xml:space="preserve">(printed</w:t>
      </w:r>
      <w:r>
        <w:t xml:space="preserve"> </w:t>
      </w:r>
      <w:r>
        <w:t xml:space="preserve">“</w:t>
      </w:r>
      <w:r>
        <w:t xml:space="preserve">Pā. sū. 1-19</w:t>
      </w:r>
      <w:r>
        <w:t xml:space="preserve">”</w:t>
      </w:r>
      <w:r>
        <w:t xml:space="preserve"> </w:t>
      </w:r>
      <w:r>
        <w:t xml:space="preserve">[sic]; the sūtra is 8-1-19) makes it wholly unaccented.</w:t>
      </w:r>
      <w:r>
        <w:t xml:space="preserve"> </w:t>
      </w:r>
      <w:r>
        <w:rPr>
          <w:bCs/>
          <w:b/>
        </w:rPr>
        <w:t xml:space="preserve">अद्य (</w:t>
      </w:r>
      <w:r>
        <w:rPr>
          <w:iCs/>
          <w:i/>
          <w:bCs/>
          <w:b/>
        </w:rPr>
        <w:t xml:space="preserve">adya</w:t>
      </w:r>
      <w:r>
        <w:rPr>
          <w:bCs/>
          <w:b/>
        </w:rPr>
        <w:t xml:space="preserve">)</w:t>
      </w:r>
      <w:r>
        <w:t xml:space="preserve"> </w:t>
      </w:r>
      <w:r>
        <w:t xml:space="preserve">— analysed</w:t>
      </w:r>
      <w:r>
        <w:t xml:space="preserve"> </w:t>
      </w:r>
      <w:r>
        <w:t xml:space="preserve">“</w:t>
      </w:r>
      <w:r>
        <w:t xml:space="preserve">asmin kāle</w:t>
      </w:r>
      <w:r>
        <w:t xml:space="preserve">”</w:t>
      </w:r>
      <w:r>
        <w:t xml:space="preserve">; formed irregularly by</w:t>
      </w:r>
      <w:r>
        <w:t xml:space="preserve"> </w:t>
      </w:r>
      <w:r>
        <w:t xml:space="preserve">“</w:t>
      </w:r>
      <w:r>
        <w:t xml:space="preserve">sadyaḥ-parut-parāry-aiṣamaḥ-paredyavy-adya…</w:t>
      </w:r>
      <w:r>
        <w:t xml:space="preserve">”</w:t>
      </w:r>
      <w:r>
        <w:t xml:space="preserve"> </w:t>
      </w:r>
      <w:r>
        <w:t xml:space="preserve">(Pā. 5-3-22).</w:t>
      </w:r>
      <w:r>
        <w:t xml:space="preserve"> </w:t>
      </w:r>
      <w:r>
        <w:t xml:space="preserve">“</w:t>
      </w:r>
      <w:r>
        <w:t xml:space="preserve">idamo ’š dyaś ca</w:t>
      </w:r>
      <w:r>
        <w:t xml:space="preserve">”</w:t>
      </w:r>
      <w:r>
        <w:t xml:space="preserve">: that is, after</w:t>
      </w:r>
      <w:r>
        <w:t xml:space="preserve"> </w:t>
      </w:r>
      <w:r>
        <w:rPr>
          <w:iCs/>
          <w:i/>
        </w:rPr>
        <w:t xml:space="preserve">idam</w:t>
      </w:r>
      <w:r>
        <w:t xml:space="preserve"> </w:t>
      </w:r>
      <w:r>
        <w:t xml:space="preserve">in the locative the suffix</w:t>
      </w:r>
      <w:r>
        <w:t xml:space="preserve"> </w:t>
      </w:r>
      <w:r>
        <w:rPr>
          <w:iCs/>
          <w:i/>
        </w:rPr>
        <w:t xml:space="preserve">dya</w:t>
      </w:r>
      <w:r>
        <w:t xml:space="preserve">, ending in</w:t>
      </w:r>
      <w:r>
        <w:t xml:space="preserve"> </w:t>
      </w:r>
      <w:r>
        <w:rPr>
          <w:iCs/>
          <w:i/>
        </w:rPr>
        <w:t xml:space="preserve">a</w:t>
      </w:r>
      <w:r>
        <w:t xml:space="preserve">, comes,</w:t>
      </w:r>
    </w:p>
    <w:bookmarkEnd w:id="563"/>
    <w:bookmarkStart w:id="564" w:name="page-536-rik-2-grammar-continued"/>
    <w:p>
      <w:pPr>
        <w:pStyle w:val="Heading3"/>
      </w:pPr>
      <w:r>
        <w:t xml:space="preserve">Page 536 — Rik 2 grammar (continued)</w:t>
      </w:r>
    </w:p>
    <w:p>
      <w:pPr>
        <w:pStyle w:val="FirstParagraph"/>
      </w:pPr>
      <w:r>
        <w:t xml:space="preserve">and</w:t>
      </w:r>
      <w:r>
        <w:t xml:space="preserve"> </w:t>
      </w:r>
      <w:r>
        <w:rPr>
          <w:iCs/>
          <w:i/>
        </w:rPr>
        <w:t xml:space="preserve">aś</w:t>
      </w:r>
      <w:r>
        <w:t xml:space="preserve"> </w:t>
      </w:r>
      <w:r>
        <w:t xml:space="preserve">replaces</w:t>
      </w:r>
      <w:r>
        <w:t xml:space="preserve"> </w:t>
      </w:r>
      <w:r>
        <w:rPr>
          <w:iCs/>
          <w:i/>
        </w:rPr>
        <w:t xml:space="preserve">idam</w:t>
      </w:r>
      <w:r>
        <w:t xml:space="preserve">: that is the sense of the Bhāṣya sentence. So with</w:t>
      </w:r>
      <w:r>
        <w:t xml:space="preserve"> </w:t>
      </w:r>
      <w:r>
        <w:rPr>
          <w:iCs/>
          <w:i/>
        </w:rPr>
        <w:t xml:space="preserve">dya</w:t>
      </w:r>
      <w:r>
        <w:t xml:space="preserve"> </w:t>
      </w:r>
      <w:r>
        <w:t xml:space="preserve">after the locative of</w:t>
      </w:r>
      <w:r>
        <w:t xml:space="preserve"> </w:t>
      </w:r>
      <w:r>
        <w:rPr>
          <w:iCs/>
          <w:i/>
        </w:rPr>
        <w:t xml:space="preserve">idam</w:t>
      </w:r>
      <w:r>
        <w:t xml:space="preserve">:</w:t>
      </w:r>
      <w:r>
        <w:t xml:space="preserve"> </w:t>
      </w:r>
      <w:r>
        <w:rPr>
          <w:iCs/>
          <w:i/>
        </w:rPr>
        <w:t xml:space="preserve">idam</w:t>
      </w:r>
      <w:r>
        <w:t xml:space="preserve"> </w:t>
      </w:r>
      <w:r>
        <w:t xml:space="preserve">+</w:t>
      </w:r>
      <w:r>
        <w:t xml:space="preserve"> </w:t>
      </w:r>
      <w:r>
        <w:rPr>
          <w:iCs/>
          <w:i/>
        </w:rPr>
        <w:t xml:space="preserve">ṅi</w:t>
      </w:r>
      <w:r>
        <w:t xml:space="preserve"> </w:t>
      </w:r>
      <w:r>
        <w:t xml:space="preserve">+</w:t>
      </w:r>
      <w:r>
        <w:t xml:space="preserve"> </w:t>
      </w:r>
      <w:r>
        <w:rPr>
          <w:iCs/>
          <w:i/>
        </w:rPr>
        <w:t xml:space="preserve">dya</w:t>
      </w:r>
      <w:r>
        <w:t xml:space="preserve">; as a</w:t>
      </w:r>
      <w:r>
        <w:t xml:space="preserve"> </w:t>
      </w:r>
      <w:r>
        <w:rPr>
          <w:iCs/>
          <w:i/>
        </w:rPr>
        <w:t xml:space="preserve">taddhita</w:t>
      </w:r>
      <w:r>
        <w:t xml:space="preserve">-ending it gets the name</w:t>
      </w:r>
      <w:r>
        <w:t xml:space="preserve"> </w:t>
      </w:r>
      <w:r>
        <w:rPr>
          <w:iCs/>
          <w:i/>
        </w:rPr>
        <w:t xml:space="preserve">prātipadika</w:t>
      </w:r>
      <w:r>
        <w:t xml:space="preserve">;</w:t>
      </w:r>
      <w:r>
        <w:t xml:space="preserve"> </w:t>
      </w:r>
      <w:r>
        <w:t xml:space="preserve">“</w:t>
      </w:r>
      <w:r>
        <w:t xml:space="preserve">supo dhātu-prātipadikayoḥ</w:t>
      </w:r>
      <w:r>
        <w:t xml:space="preserve">”</w:t>
      </w:r>
      <w:r>
        <w:t xml:space="preserve"> </w:t>
      </w:r>
      <w:r>
        <w:t xml:space="preserve">(printed</w:t>
      </w:r>
      <w:r>
        <w:t xml:space="preserve"> </w:t>
      </w:r>
      <w:r>
        <w:t xml:space="preserve">“</w:t>
      </w:r>
      <w:r>
        <w:t xml:space="preserve">24-71</w:t>
      </w:r>
      <w:r>
        <w:t xml:space="preserve">”</w:t>
      </w:r>
      <w:r>
        <w:t xml:space="preserve"> </w:t>
      </w:r>
      <w:r>
        <w:t xml:space="preserve">[sic]; the sūtra is 2-4-71) drops the</w:t>
      </w:r>
      <w:r>
        <w:t xml:space="preserve"> </w:t>
      </w:r>
      <w:r>
        <w:rPr>
          <w:iCs/>
          <w:i/>
        </w:rPr>
        <w:t xml:space="preserve">ṅi</w:t>
      </w:r>
      <w:r>
        <w:t xml:space="preserve">;</w:t>
      </w:r>
      <w:r>
        <w:t xml:space="preserve"> </w:t>
      </w:r>
      <w:r>
        <w:rPr>
          <w:iCs/>
          <w:i/>
        </w:rPr>
        <w:t xml:space="preserve">aś</w:t>
      </w:r>
      <w:r>
        <w:t xml:space="preserve"> </w:t>
      </w:r>
      <w:r>
        <w:t xml:space="preserve">replaces</w:t>
      </w:r>
      <w:r>
        <w:t xml:space="preserve"> </w:t>
      </w:r>
      <w:r>
        <w:rPr>
          <w:iCs/>
          <w:i/>
        </w:rPr>
        <w:t xml:space="preserve">idam</w:t>
      </w:r>
      <w:r>
        <w:t xml:space="preserve">, and being</w:t>
      </w:r>
      <w:r>
        <w:t xml:space="preserve"> </w:t>
      </w:r>
      <w:r>
        <w:rPr>
          <w:iCs/>
          <w:i/>
        </w:rPr>
        <w:t xml:space="preserve">śit</w:t>
      </w:r>
      <w:r>
        <w:t xml:space="preserve"> </w:t>
      </w:r>
      <w:r>
        <w:t xml:space="preserve">it replaces the whole:</w:t>
      </w:r>
      <w:r>
        <w:t xml:space="preserve"> </w:t>
      </w:r>
      <w:r>
        <w:rPr>
          <w:iCs/>
          <w:i/>
        </w:rPr>
        <w:t xml:space="preserve">adya</w:t>
      </w:r>
      <w:r>
        <w:t xml:space="preserve">, final-udātta by the suffix accent.</w:t>
      </w:r>
      <w:r>
        <w:t xml:space="preserve"> </w:t>
      </w:r>
      <w:r>
        <w:t xml:space="preserve">“</w:t>
      </w:r>
      <w:r>
        <w:t xml:space="preserve">taddhitaś cāsarvavibhaktiḥ</w:t>
      </w:r>
      <w:r>
        <w:t xml:space="preserve">”</w:t>
      </w:r>
      <w:r>
        <w:t xml:space="preserve"> </w:t>
      </w:r>
      <w:r>
        <w:t xml:space="preserve">(Pā. 1-1-38): in</w:t>
      </w:r>
      <w:r>
        <w:t xml:space="preserve"> </w:t>
      </w:r>
      <w:r>
        <w:rPr>
          <w:iCs/>
          <w:i/>
        </w:rPr>
        <w:t xml:space="preserve">asarvavibhaktiḥ</w:t>
      </w:r>
      <w:r>
        <w:t xml:space="preserve"> </w:t>
      </w:r>
      <w:r>
        <w:t xml:space="preserve">a bahuvrīhi must be made; there the plural analysis</w:t>
      </w:r>
      <w:r>
        <w:t xml:space="preserve"> </w:t>
      </w:r>
      <w:r>
        <w:t xml:space="preserve">“</w:t>
      </w:r>
      <w:r>
        <w:t xml:space="preserve">sarvā vibhaktayo yasmāt na bhavanti saḥ</w:t>
      </w:r>
      <w:r>
        <w:t xml:space="preserve">”</w:t>
      </w:r>
      <w:r>
        <w:t xml:space="preserve"> </w:t>
      </w:r>
      <w:r>
        <w:t xml:space="preserve">is not possible. For in the Mahābhāṣya on this very sūtra, breaking up the arrangement of</w:t>
      </w:r>
      <w:r>
        <w:t xml:space="preserve"> </w:t>
      </w:r>
      <w:r>
        <w:t xml:space="preserve">“</w:t>
      </w:r>
      <w:r>
        <w:t xml:space="preserve">dvy-ekayor dvivacanaikavacane</w:t>
      </w:r>
      <w:r>
        <w:t xml:space="preserve">”</w:t>
      </w:r>
      <w:r>
        <w:t xml:space="preserve"> </w:t>
      </w:r>
      <w:r>
        <w:t xml:space="preserve">(Pā. 1-4-22) and</w:t>
      </w:r>
      <w:r>
        <w:t xml:space="preserve"> </w:t>
      </w:r>
      <w:r>
        <w:t xml:space="preserve">“</w:t>
      </w:r>
      <w:r>
        <w:t xml:space="preserve">bahuṣu bahuvacanam</w:t>
      </w:r>
      <w:r>
        <w:t xml:space="preserve">”</w:t>
      </w:r>
      <w:r>
        <w:t xml:space="preserve"> </w:t>
      </w:r>
      <w:r>
        <w:t xml:space="preserve">(printed</w:t>
      </w:r>
      <w:r>
        <w:t xml:space="preserve"> </w:t>
      </w:r>
      <w:r>
        <w:t xml:space="preserve">“</w:t>
      </w:r>
      <w:r>
        <w:t xml:space="preserve">1-4-21</w:t>
      </w:r>
      <w:r>
        <w:t xml:space="preserve">”</w:t>
      </w:r>
      <w:r>
        <w:t xml:space="preserve">), the sūtras are rearranged as</w:t>
      </w:r>
      <w:r>
        <w:t xml:space="preserve"> </w:t>
      </w:r>
      <w:r>
        <w:rPr>
          <w:iCs/>
          <w:i/>
        </w:rPr>
        <w:t xml:space="preserve">ekavacanam</w:t>
      </w:r>
      <w:r>
        <w:t xml:space="preserve">,</w:t>
      </w:r>
      <w:r>
        <w:t xml:space="preserve"> </w:t>
      </w:r>
      <w:r>
        <w:rPr>
          <w:iCs/>
          <w:i/>
        </w:rPr>
        <w:t xml:space="preserve">dvayor dvivacanam</w:t>
      </w:r>
      <w:r>
        <w:t xml:space="preserve">,</w:t>
      </w:r>
      <w:r>
        <w:t xml:space="preserve"> </w:t>
      </w:r>
      <w:r>
        <w:rPr>
          <w:iCs/>
          <w:i/>
        </w:rPr>
        <w:t xml:space="preserve">bahuṣu bahuvacanam</w:t>
      </w:r>
      <w:r>
        <w:t xml:space="preserve">, and it is established that the singular comes as the general rule, and the dual and plural set it aside where duality and plurality appear. Here</w:t>
      </w:r>
      <w:r>
        <w:t xml:space="preserve"> </w:t>
      </w:r>
      <w:r>
        <w:rPr>
          <w:iCs/>
          <w:i/>
        </w:rPr>
        <w:t xml:space="preserve">ekavacanam</w:t>
      </w:r>
      <w:r>
        <w:t xml:space="preserve"> </w:t>
      </w:r>
      <w:r>
        <w:t xml:space="preserve">yields the sense that the singular comes after stems ending in</w:t>
      </w:r>
      <w:r>
        <w:t xml:space="preserve"> </w:t>
      </w:r>
      <w:r>
        <w:rPr>
          <w:iCs/>
          <w:i/>
        </w:rPr>
        <w:t xml:space="preserve">ṅī</w:t>
      </w:r>
      <w:r>
        <w:t xml:space="preserve">,</w:t>
      </w:r>
      <w:r>
        <w:t xml:space="preserve"> </w:t>
      </w:r>
      <w:r>
        <w:rPr>
          <w:iCs/>
          <w:i/>
        </w:rPr>
        <w:t xml:space="preserve">āp</w:t>
      </w:r>
      <w:r>
        <w:t xml:space="preserve"> </w:t>
      </w:r>
      <w:r>
        <w:t xml:space="preserve">and the</w:t>
      </w:r>
      <w:r>
        <w:t xml:space="preserve"> </w:t>
      </w:r>
      <w:r>
        <w:rPr>
          <w:iCs/>
          <w:i/>
        </w:rPr>
        <w:t xml:space="preserve">prātipadika</w:t>
      </w:r>
      <w:r>
        <w:t xml:space="preserve">; by this general rule, where duality and plurality do not appear, the singular comes; so whether there is singularity or not, the singular comes. Since in duality and plurality the dual and plural come merely by being prescribed, where duality etc. do not appear the singular arises; so</w:t>
      </w:r>
      <w:r>
        <w:t xml:space="preserve"> </w:t>
      </w:r>
      <w:r>
        <w:rPr>
          <w:iCs/>
          <w:i/>
        </w:rPr>
        <w:t xml:space="preserve">ekavacanam</w:t>
      </w:r>
      <w:r>
        <w:t xml:space="preserve">, being otherwise useless, teaches that the singular comes even where no sense of object etc. is present. So, after indeclinables, which have no connection with gender and number, the singular, operating without restriction, comes in every case. That is why the use of the</w:t>
      </w:r>
      <w:r>
        <w:t xml:space="preserve"> </w:t>
      </w:r>
      <w:r>
        <w:rPr>
          <w:iCs/>
          <w:i/>
        </w:rPr>
        <w:t xml:space="preserve">pratyāhāra</w:t>
      </w:r>
      <w:r>
        <w:t xml:space="preserve"> </w:t>
      </w:r>
      <w:r>
        <w:t xml:space="preserve">in</w:t>
      </w:r>
      <w:r>
        <w:t xml:space="preserve"> </w:t>
      </w:r>
      <w:r>
        <w:rPr>
          <w:iCs/>
          <w:i/>
        </w:rPr>
        <w:t xml:space="preserve">avyayād āp-supaḥ</w:t>
      </w:r>
      <w:r>
        <w:t xml:space="preserve"> </w:t>
      </w:r>
      <w:r>
        <w:t xml:space="preserve">is meaningful. In this way all case endings come after an indeclinable. So the plural analysis</w:t>
      </w:r>
      <w:r>
        <w:t xml:space="preserve"> </w:t>
      </w:r>
      <w:r>
        <w:t xml:space="preserve">“</w:t>
      </w:r>
      <w:r>
        <w:t xml:space="preserve">sarvā vibhaktayo yasmān na bhavanti</w:t>
      </w:r>
      <w:r>
        <w:t xml:space="preserve">”</w:t>
      </w:r>
      <w:r>
        <w:t xml:space="preserve"> </w:t>
      </w:r>
      <w:r>
        <w:t xml:space="preserve">cannot be made; the result is:</w:t>
      </w:r>
      <w:r>
        <w:t xml:space="preserve"> </w:t>
      </w:r>
      <w:r>
        <w:t xml:space="preserve">“</w:t>
      </w:r>
      <w:r>
        <w:t xml:space="preserve">sarvā vacanatrayātmikā vibhaktir yasmān notpadyate kintu ekavacanāny evotpadyante sa taddhitāntaḥ avyayasaṃjñako bhavati</w:t>
      </w:r>
      <w:r>
        <w:t xml:space="preserve">”</w:t>
      </w:r>
      <w:r>
        <w:t xml:space="preserve"> </w:t>
      </w:r>
      <w:r>
        <w:t xml:space="preserve">— a</w:t>
      </w:r>
      <w:r>
        <w:t xml:space="preserve"> </w:t>
      </w:r>
      <w:r>
        <w:rPr>
          <w:iCs/>
          <w:i/>
        </w:rPr>
        <w:t xml:space="preserve">taddhita</w:t>
      </w:r>
      <w:r>
        <w:t xml:space="preserve">-ending after which not all case endings in the three numbers arise, but only the singular, takes the name</w:t>
      </w:r>
      <w:r>
        <w:t xml:space="preserve"> </w:t>
      </w:r>
      <w:r>
        <w:rPr>
          <w:iCs/>
          <w:i/>
        </w:rPr>
        <w:t xml:space="preserve">avyaya</w:t>
      </w:r>
      <w:r>
        <w:t xml:space="preserve">: this is the settled sense of the sūtra. In</w:t>
      </w:r>
      <w:r>
        <w:t xml:space="preserve"> </w:t>
      </w:r>
      <w:r>
        <w:rPr>
          <w:iCs/>
          <w:i/>
        </w:rPr>
        <w:t xml:space="preserve">adya</w:t>
      </w:r>
      <w:r>
        <w:t xml:space="preserve">, once this sūtra gives the name</w:t>
      </w:r>
      <w:r>
        <w:t xml:space="preserve"> </w:t>
      </w:r>
      <w:r>
        <w:rPr>
          <w:iCs/>
          <w:i/>
        </w:rPr>
        <w:t xml:space="preserve">avyaya</w:t>
      </w:r>
      <w:r>
        <w:t xml:space="preserve">, the locative singular after it is dropped by</w:t>
      </w:r>
      <w:r>
        <w:t xml:space="preserve"> </w:t>
      </w:r>
      <w:r>
        <w:t xml:space="preserve">“</w:t>
      </w:r>
      <w:r>
        <w:t xml:space="preserve">avyayād āp-supaḥ</w:t>
      </w:r>
      <w:r>
        <w:t xml:space="preserve">”</w:t>
      </w:r>
      <w:r>
        <w:t xml:space="preserve"> </w:t>
      </w:r>
      <w:r>
        <w:t xml:space="preserve">(Pā. 2-4-82); in the Saṃhitā</w:t>
      </w:r>
      <w:r>
        <w:t xml:space="preserve"> </w:t>
      </w:r>
      <w:r>
        <w:t xml:space="preserve">“</w:t>
      </w:r>
      <w:r>
        <w:t xml:space="preserve">anyeṣām api dṛśyate</w:t>
      </w:r>
      <w:r>
        <w:t xml:space="preserve">”</w:t>
      </w:r>
      <w:r>
        <w:t xml:space="preserve"> </w:t>
      </w:r>
      <w:r>
        <w:t xml:space="preserve">(printed</w:t>
      </w:r>
      <w:r>
        <w:t xml:space="preserve"> </w:t>
      </w:r>
      <w:r>
        <w:t xml:space="preserve">“</w:t>
      </w:r>
      <w:r>
        <w:t xml:space="preserve">7-3-137</w:t>
      </w:r>
      <w:r>
        <w:t xml:space="preserve">”</w:t>
      </w:r>
      <w:r>
        <w:t xml:space="preserve"> </w:t>
      </w:r>
      <w:r>
        <w:t xml:space="preserve">[sic], with the same first digit as</w:t>
      </w:r>
      <w:r>
        <w:t xml:space="preserve"> </w:t>
      </w:r>
      <w:r>
        <w:t xml:space="preserve">“</w:t>
      </w:r>
      <w:r>
        <w:t xml:space="preserve">7-1-58</w:t>
      </w:r>
      <w:r>
        <w:t xml:space="preserve">”</w:t>
      </w:r>
      <w:r>
        <w:t xml:space="preserve"> </w:t>
      </w:r>
      <w:r>
        <w:t xml:space="preserve">below; the sūtra is 6-3-137) lengthens it.</w:t>
      </w:r>
      <w:r>
        <w:t xml:space="preserve"> </w:t>
      </w:r>
      <w:r>
        <w:rPr>
          <w:bCs/>
          <w:b/>
        </w:rPr>
        <w:t xml:space="preserve">कृणुहि (</w:t>
      </w:r>
      <w:r>
        <w:rPr>
          <w:iCs/>
          <w:i/>
          <w:bCs/>
          <w:b/>
        </w:rPr>
        <w:t xml:space="preserve">kṛṇuhi</w:t>
      </w:r>
      <w:r>
        <w:rPr>
          <w:bCs/>
          <w:b/>
        </w:rPr>
        <w:t xml:space="preserve">)</w:t>
      </w:r>
      <w:r>
        <w:t xml:space="preserve"> </w:t>
      </w:r>
      <w:r>
        <w:t xml:space="preserve">— root</w:t>
      </w:r>
      <w:r>
        <w:t xml:space="preserve"> </w:t>
      </w:r>
      <w:r>
        <w:rPr>
          <w:iCs/>
          <w:i/>
        </w:rPr>
        <w:t xml:space="preserve">kṛvi hiṃsākaraṇayoś ca</w:t>
      </w:r>
      <w:r>
        <w:t xml:space="preserve">;</w:t>
      </w:r>
      <w:r>
        <w:t xml:space="preserve"> </w:t>
      </w:r>
      <w:r>
        <w:rPr>
          <w:iCs/>
          <w:i/>
        </w:rPr>
        <w:t xml:space="preserve">num</w:t>
      </w:r>
      <w:r>
        <w:t xml:space="preserve"> </w:t>
      </w:r>
      <w:r>
        <w:t xml:space="preserve">by</w:t>
      </w:r>
      <w:r>
        <w:t xml:space="preserve"> </w:t>
      </w:r>
      <w:r>
        <w:t xml:space="preserve">“</w:t>
      </w:r>
      <w:r>
        <w:t xml:space="preserve">idito num dhātoḥ</w:t>
      </w:r>
      <w:r>
        <w:t xml:space="preserve">”</w:t>
      </w:r>
      <w:r>
        <w:t xml:space="preserve"> </w:t>
      </w:r>
      <w:r>
        <w:t xml:space="preserve">(Pā. 7-1-58):</w:t>
      </w:r>
      <w:r>
        <w:t xml:space="preserve"> </w:t>
      </w:r>
      <w:r>
        <w:rPr>
          <w:iCs/>
          <w:i/>
        </w:rPr>
        <w:t xml:space="preserve">kṛnv</w:t>
      </w:r>
      <w:r>
        <w:t xml:space="preserve">;</w:t>
      </w:r>
      <w:r>
        <w:t xml:space="preserve"> </w:t>
      </w:r>
      <w:r>
        <w:rPr>
          <w:iCs/>
          <w:i/>
        </w:rPr>
        <w:t xml:space="preserve">loṭ</w:t>
      </w:r>
      <w:r>
        <w:t xml:space="preserve">, second singular</w:t>
      </w:r>
      <w:r>
        <w:t xml:space="preserve"> </w:t>
      </w:r>
      <w:r>
        <w:rPr>
          <w:iCs/>
          <w:i/>
        </w:rPr>
        <w:t xml:space="preserve">sip</w:t>
      </w:r>
      <w:r>
        <w:t xml:space="preserve">, replaced by</w:t>
      </w:r>
      <w:r>
        <w:t xml:space="preserve"> </w:t>
      </w:r>
      <w:r>
        <w:rPr>
          <w:iCs/>
          <w:i/>
        </w:rPr>
        <w:t xml:space="preserve">hi</w:t>
      </w:r>
      <w:r>
        <w:t xml:space="preserve">; in place of the vikaraṇa</w:t>
      </w:r>
      <w:r>
        <w:t xml:space="preserve"> </w:t>
      </w:r>
      <w:r>
        <w:rPr>
          <w:iCs/>
          <w:i/>
        </w:rPr>
        <w:t xml:space="preserve">śap</w:t>
      </w:r>
      <w:r>
        <w:t xml:space="preserve"> </w:t>
      </w:r>
      <w:r>
        <w:t xml:space="preserve">the vikaraṇa</w:t>
      </w:r>
      <w:r>
        <w:t xml:space="preserve"> </w:t>
      </w:r>
      <w:r>
        <w:rPr>
          <w:iCs/>
          <w:i/>
        </w:rPr>
        <w:t xml:space="preserve">u</w:t>
      </w:r>
      <w:r>
        <w:t xml:space="preserve"> </w:t>
      </w:r>
      <w:r>
        <w:t xml:space="preserve">by</w:t>
      </w:r>
      <w:r>
        <w:t xml:space="preserve"> </w:t>
      </w:r>
      <w:r>
        <w:t xml:space="preserve">“</w:t>
      </w:r>
      <w:r>
        <w:t xml:space="preserve">dhinvi-kṛṇvyor a ca</w:t>
      </w:r>
      <w:r>
        <w:t xml:space="preserve">”</w:t>
      </w:r>
    </w:p>
    <w:bookmarkEnd w:id="564"/>
    <w:bookmarkStart w:id="565" w:name="page-537-rik-2-grammar-closes"/>
    <w:p>
      <w:pPr>
        <w:pStyle w:val="Heading3"/>
      </w:pPr>
      <w:r>
        <w:t xml:space="preserve">Page 537 — Rik 2 grammar closes</w:t>
      </w:r>
    </w:p>
    <w:p>
      <w:pPr>
        <w:pStyle w:val="FirstParagraph"/>
      </w:pPr>
      <w:r>
        <w:t xml:space="preserve">(Pā. 3-1-80): after</w:t>
      </w:r>
      <w:r>
        <w:t xml:space="preserve"> </w:t>
      </w:r>
      <w:r>
        <w:rPr>
          <w:iCs/>
          <w:i/>
        </w:rPr>
        <w:t xml:space="preserve">dhinv</w:t>
      </w:r>
      <w:r>
        <w:t xml:space="preserve"> </w:t>
      </w:r>
      <w:r>
        <w:t xml:space="preserve">and</w:t>
      </w:r>
      <w:r>
        <w:t xml:space="preserve"> </w:t>
      </w:r>
      <w:r>
        <w:rPr>
          <w:iCs/>
          <w:i/>
        </w:rPr>
        <w:t xml:space="preserve">kṛṇv</w:t>
      </w:r>
      <w:r>
        <w:t xml:space="preserve">, where</w:t>
      </w:r>
      <w:r>
        <w:t xml:space="preserve"> </w:t>
      </w:r>
      <w:r>
        <w:rPr>
          <w:iCs/>
          <w:i/>
        </w:rPr>
        <w:t xml:space="preserve">śap</w:t>
      </w:r>
      <w:r>
        <w:t xml:space="preserve"> </w:t>
      </w:r>
      <w:r>
        <w:t xml:space="preserve">would come, the suffix</w:t>
      </w:r>
      <w:r>
        <w:t xml:space="preserve"> </w:t>
      </w:r>
      <w:r>
        <w:rPr>
          <w:iCs/>
          <w:i/>
        </w:rPr>
        <w:t xml:space="preserve">u</w:t>
      </w:r>
      <w:r>
        <w:t xml:space="preserve">, and</w:t>
      </w:r>
      <w:r>
        <w:t xml:space="preserve"> </w:t>
      </w:r>
      <w:r>
        <w:rPr>
          <w:iCs/>
          <w:i/>
        </w:rPr>
        <w:t xml:space="preserve">a</w:t>
      </w:r>
      <w:r>
        <w:t xml:space="preserve"> </w:t>
      </w:r>
      <w:r>
        <w:t xml:space="preserve">as the substitute for their final; so the</w:t>
      </w:r>
      <w:r>
        <w:t xml:space="preserve"> </w:t>
      </w:r>
      <w:r>
        <w:rPr>
          <w:iCs/>
          <w:i/>
        </w:rPr>
        <w:t xml:space="preserve">v</w:t>
      </w:r>
      <w:r>
        <w:t xml:space="preserve"> </w:t>
      </w:r>
      <w:r>
        <w:t xml:space="preserve">becomes</w:t>
      </w:r>
      <w:r>
        <w:t xml:space="preserve"> </w:t>
      </w:r>
      <w:r>
        <w:rPr>
          <w:iCs/>
          <w:i/>
        </w:rPr>
        <w:t xml:space="preserve">a</w:t>
      </w:r>
      <w:r>
        <w:t xml:space="preserve">:</w:t>
      </w:r>
      <w:r>
        <w:t xml:space="preserve"> </w:t>
      </w:r>
      <w:r>
        <w:rPr>
          <w:iCs/>
          <w:i/>
        </w:rPr>
        <w:t xml:space="preserve">kṛna</w:t>
      </w:r>
      <w:r>
        <w:t xml:space="preserve"> </w:t>
      </w:r>
      <w:r>
        <w:t xml:space="preserve">+</w:t>
      </w:r>
      <w:r>
        <w:t xml:space="preserve"> </w:t>
      </w:r>
      <w:r>
        <w:rPr>
          <w:iCs/>
          <w:i/>
        </w:rPr>
        <w:t xml:space="preserve">u</w:t>
      </w:r>
      <w:r>
        <w:t xml:space="preserve"> </w:t>
      </w:r>
      <w:r>
        <w:t xml:space="preserve">+</w:t>
      </w:r>
      <w:r>
        <w:t xml:space="preserve"> </w:t>
      </w:r>
      <w:r>
        <w:rPr>
          <w:iCs/>
          <w:i/>
        </w:rPr>
        <w:t xml:space="preserve">hi</w:t>
      </w:r>
      <w:r>
        <w:t xml:space="preserve">;</w:t>
      </w:r>
      <w:r>
        <w:t xml:space="preserve"> </w:t>
      </w:r>
      <w:r>
        <w:t xml:space="preserve">“</w:t>
      </w:r>
      <w:r>
        <w:t xml:space="preserve">ato lopaḥ</w:t>
      </w:r>
      <w:r>
        <w:t xml:space="preserve">”</w:t>
      </w:r>
      <w:r>
        <w:t xml:space="preserve"> </w:t>
      </w:r>
      <w:r>
        <w:t xml:space="preserve">(Pā. 6-4-48) drops the</w:t>
      </w:r>
      <w:r>
        <w:t xml:space="preserve"> </w:t>
      </w:r>
      <w:r>
        <w:rPr>
          <w:iCs/>
          <w:i/>
        </w:rPr>
        <w:t xml:space="preserve">a</w:t>
      </w:r>
      <w:r>
        <w:t xml:space="preserve">; that loss counts as present, so there is no</w:t>
      </w:r>
      <w:r>
        <w:t xml:space="preserve"> </w:t>
      </w:r>
      <w:r>
        <w:rPr>
          <w:iCs/>
          <w:i/>
        </w:rPr>
        <w:t xml:space="preserve">laghūpadha-guṇa</w:t>
      </w:r>
      <w:r>
        <w:t xml:space="preserve">. Here</w:t>
      </w:r>
      <w:r>
        <w:t xml:space="preserve"> </w:t>
      </w:r>
      <w:r>
        <w:t xml:space="preserve">“</w:t>
      </w:r>
      <w:r>
        <w:t xml:space="preserve">utaś ca pratyayād asaṃyogapūrvāt</w:t>
      </w:r>
      <w:r>
        <w:t xml:space="preserve">”</w:t>
      </w:r>
      <w:r>
        <w:t xml:space="preserve"> </w:t>
      </w:r>
      <w:r>
        <w:t xml:space="preserve">(Pā. 6-4-106) would drop the</w:t>
      </w:r>
      <w:r>
        <w:t xml:space="preserve"> </w:t>
      </w:r>
      <w:r>
        <w:rPr>
          <w:iCs/>
          <w:i/>
        </w:rPr>
        <w:t xml:space="preserve">hi</w:t>
      </w:r>
      <w:r>
        <w:t xml:space="preserve">; but by</w:t>
      </w:r>
      <w:r>
        <w:t xml:space="preserve"> </w:t>
      </w:r>
      <w:r>
        <w:t xml:space="preserve">“</w:t>
      </w:r>
      <w:r>
        <w:t xml:space="preserve">utaś ca pratyayāc chando vā vacanam</w:t>
      </w:r>
      <w:r>
        <w:t xml:space="preserve">”</w:t>
      </w:r>
      <w:r>
        <w:t xml:space="preserve"> </w:t>
      </w:r>
      <w:r>
        <w:t xml:space="preserve">(Pā. 6-4-106-1) the loss of</w:t>
      </w:r>
      <w:r>
        <w:t xml:space="preserve"> </w:t>
      </w:r>
      <w:r>
        <w:rPr>
          <w:iCs/>
          <w:i/>
        </w:rPr>
        <w:t xml:space="preserve">hi</w:t>
      </w:r>
      <w:r>
        <w:t xml:space="preserve"> </w:t>
      </w:r>
      <w:r>
        <w:t xml:space="preserve">prescribed by that sūtra is optional in the Veda, so it is not dropped. By</w:t>
      </w:r>
      <w:r>
        <w:t xml:space="preserve"> </w:t>
      </w:r>
      <w:r>
        <w:t xml:space="preserve">“</w:t>
      </w:r>
      <w:r>
        <w:t xml:space="preserve">ṛvarṇān nasya ṇatvaṃ vācyam</w:t>
      </w:r>
      <w:r>
        <w:t xml:space="preserve">”</w:t>
      </w:r>
      <w:r>
        <w:t xml:space="preserve"> </w:t>
      </w:r>
      <w:r>
        <w:t xml:space="preserve">the</w:t>
      </w:r>
      <w:r>
        <w:t xml:space="preserve"> </w:t>
      </w:r>
      <w:r>
        <w:rPr>
          <w:iCs/>
          <w:i/>
        </w:rPr>
        <w:t xml:space="preserve">n</w:t>
      </w:r>
      <w:r>
        <w:t xml:space="preserve"> </w:t>
      </w:r>
      <w:r>
        <w:t xml:space="preserve">becomes</w:t>
      </w:r>
      <w:r>
        <w:t xml:space="preserve"> </w:t>
      </w:r>
      <w:r>
        <w:rPr>
          <w:iCs/>
          <w:i/>
        </w:rPr>
        <w:t xml:space="preserve">ṇ</w:t>
      </w:r>
      <w:r>
        <w:t xml:space="preserve">:</w:t>
      </w:r>
      <w:r>
        <w:t xml:space="preserve"> </w:t>
      </w:r>
      <w:r>
        <w:rPr>
          <w:iCs/>
          <w:i/>
        </w:rPr>
        <w:t xml:space="preserve">kṛṇuhi</w:t>
      </w:r>
      <w:r>
        <w:t xml:space="preserve">; wholly unaccented by</w:t>
      </w:r>
      <w:r>
        <w:t xml:space="preserve"> </w:t>
      </w:r>
      <w:r>
        <w:t xml:space="preserve">“</w:t>
      </w:r>
      <w:r>
        <w:t xml:space="preserve">tiṅṅ atiṅaḥ</w:t>
      </w:r>
      <w:r>
        <w:t xml:space="preserve">”</w:t>
      </w:r>
      <w:r>
        <w:t xml:space="preserve"> </w:t>
      </w:r>
      <w:r>
        <w:t xml:space="preserve">(Pā. 8-1-28).</w:t>
      </w:r>
      <w:r>
        <w:t xml:space="preserve"> </w:t>
      </w:r>
      <w:r>
        <w:rPr>
          <w:bCs/>
          <w:b/>
        </w:rPr>
        <w:t xml:space="preserve">वीतये (</w:t>
      </w:r>
      <w:r>
        <w:rPr>
          <w:iCs/>
          <w:i/>
          <w:bCs/>
          <w:b/>
        </w:rPr>
        <w:t xml:space="preserve">vītaye</w:t>
      </w:r>
      <w:r>
        <w:rPr>
          <w:bCs/>
          <w:b/>
        </w:rPr>
        <w:t xml:space="preserve">)</w:t>
      </w:r>
      <w:r>
        <w:t xml:space="preserve"> </w:t>
      </w:r>
      <w:r>
        <w:t xml:space="preserve">— by</w:t>
      </w:r>
      <w:r>
        <w:t xml:space="preserve"> </w:t>
      </w:r>
      <w:r>
        <w:t xml:space="preserve">“</w:t>
      </w:r>
      <w:r>
        <w:t xml:space="preserve">mantre vṛṣeṣa-paca-mana-vida-bhū-vīrā udāttaḥ</w:t>
      </w:r>
      <w:r>
        <w:t xml:space="preserve">”</w:t>
      </w:r>
      <w:r>
        <w:t xml:space="preserve"> </w:t>
      </w:r>
      <w:r>
        <w:t xml:space="preserve">(Pā. 3-3-96) the suffix</w:t>
      </w:r>
      <w:r>
        <w:t xml:space="preserve"> </w:t>
      </w:r>
      <w:r>
        <w:rPr>
          <w:iCs/>
          <w:i/>
        </w:rPr>
        <w:t xml:space="preserve">ktin</w:t>
      </w:r>
      <w:r>
        <w:t xml:space="preserve"> </w:t>
      </w:r>
      <w:r>
        <w:t xml:space="preserve">is udātta.</w:t>
      </w:r>
    </w:p>
    <w:p>
      <w:pPr>
        <w:pStyle w:val="BodyText"/>
      </w:pPr>
      <w:r>
        <w:rPr>
          <w:bCs/>
          <w:b/>
        </w:rPr>
        <w:t xml:space="preserve">॥२॥</w:t>
      </w:r>
    </w:p>
    <w:p>
      <w:r>
        <w:pict>
          <v:rect style="width:0;height:1.5pt" o:hralign="center" o:hrstd="t" o:hr="t"/>
        </w:pict>
      </w:r>
    </w:p>
    <w:bookmarkEnd w:id="565"/>
    <w:bookmarkStart w:id="566" w:name="page-537-lower-sūkta-13-rik-3"/>
    <w:p>
      <w:pPr>
        <w:pStyle w:val="Heading3"/>
      </w:pPr>
      <w:r>
        <w:t xml:space="preserve">Page 537 (lower) — Sūkta 13, Rik 3</w:t>
      </w:r>
    </w:p>
    <w:p>
      <w:pPr>
        <w:pStyle w:val="FirstParagraph"/>
      </w:pPr>
      <w:r>
        <w:rPr>
          <w:iCs/>
          <w:i/>
        </w:rPr>
        <w:t xml:space="preserve">(Saṃhitā accents as printed; Pada unaccented. Line 1: bars under रा, मि and म, none visible under प्रि; line 2: the bar stands under वि of हविष्कृतम्, not under ह — [accent ?] on both lines.)</w:t>
      </w:r>
    </w:p>
    <w:p>
      <w:pPr>
        <w:pStyle w:val="BodyText"/>
      </w:pPr>
      <w:r>
        <w:rPr>
          <w:bCs/>
          <w:b/>
        </w:rPr>
        <w:t xml:space="preserve">॥ Saṃhitā-pāṭhaḥ ॥</w:t>
      </w:r>
    </w:p>
    <w:p>
      <w:pPr>
        <w:pStyle w:val="BlockText"/>
      </w:pPr>
      <w:r>
        <w:t xml:space="preserve">नरा॒शंस॑मि॒ह प्रियम॒स्मिन्य॒ज्ञ उप॑ ह्वये । [accent ?]</w:t>
      </w:r>
      <w:r>
        <w:t xml:space="preserve"> </w:t>
      </w:r>
      <w:r>
        <w:t xml:space="preserve">मधु॑जिह्वं हवि॒ष्कृत॑म् ॥३॥ [accent ?]</w:t>
      </w:r>
    </w:p>
    <w:p>
      <w:pPr>
        <w:pStyle w:val="BlockText"/>
      </w:pPr>
      <w:r>
        <w:rPr>
          <w:iCs/>
          <w:i/>
        </w:rPr>
        <w:t xml:space="preserve">narāśáṃsam ihá priyam asmín yajñá úpa hvaye |</w:t>
      </w:r>
      <w:r>
        <w:t xml:space="preserve"> </w:t>
      </w:r>
      <w:r>
        <w:t xml:space="preserve">[accent ?]</w:t>
      </w:r>
      <w:r>
        <w:t xml:space="preserve"> </w:t>
      </w:r>
      <w:r>
        <w:rPr>
          <w:iCs/>
          <w:i/>
        </w:rPr>
        <w:t xml:space="preserve">mádhujihvaṃ haviṣkṛ́tam ||3||</w:t>
      </w:r>
      <w:r>
        <w:t xml:space="preserve"> </w:t>
      </w:r>
      <w:r>
        <w:t xml:space="preserve">[accent ?]</w:t>
      </w:r>
    </w:p>
    <w:p>
      <w:pPr>
        <w:pStyle w:val="FirstParagraph"/>
      </w:pPr>
      <w:r>
        <w:rPr>
          <w:bCs/>
          <w:b/>
        </w:rPr>
        <w:t xml:space="preserve">॥ Pada-pāṭhaḥ ॥</w:t>
      </w:r>
    </w:p>
    <w:p>
      <w:pPr>
        <w:pStyle w:val="BlockText"/>
      </w:pPr>
      <w:r>
        <w:t xml:space="preserve">नराशंसम् । इह । प्रियम् । अस्मिन् । यज्ञे । उप । ह्वये ॥</w:t>
      </w:r>
      <w:r>
        <w:t xml:space="preserve"> </w:t>
      </w:r>
      <w:r>
        <w:t xml:space="preserve">मधुऽजिह्वम् । हविःऽकृतम् ॥३॥</w:t>
      </w:r>
    </w:p>
    <w:p>
      <w:pPr>
        <w:pStyle w:val="BlockText"/>
      </w:pPr>
      <w:r>
        <w:rPr>
          <w:iCs/>
          <w:i/>
        </w:rPr>
        <w:t xml:space="preserve">narāśaṃsam | iha | priyam | asmin | yajñe | upa | hvaye ||</w:t>
      </w:r>
      <w:r>
        <w:t xml:space="preserve"> </w:t>
      </w:r>
      <w:r>
        <w:rPr>
          <w:iCs/>
          <w:i/>
        </w:rPr>
        <w:t xml:space="preserve">madhu-jihvam | haviḥ-kṛtam ||3||</w:t>
      </w:r>
    </w:p>
    <w:p>
      <w:pPr>
        <w:pStyle w:val="FirstParagraph"/>
      </w:pPr>
      <w:r>
        <w:rPr>
          <w:bCs/>
          <w:b/>
        </w:rPr>
        <w:t xml:space="preserve">॥ Sāyaṇa-bhāṣyam ॥</w:t>
      </w:r>
    </w:p>
    <w:p>
      <w:pPr>
        <w:pStyle w:val="BlockText"/>
      </w:pPr>
      <w:r>
        <w:t xml:space="preserve">इह देवयजनदेशे ऽस्मिन्प्रवर्तमाने यज्ञे नराशंसनामकमग्निमुप ह्वये । आह्वयामि । कीदृशम् । प्रियं देवानां प्रीतिहेतुं मधुजिह्वं मधुरभाषिजिह्वोपेतं माधुर्यरसास्वादकजिह्वोपेतं वा हविष्कृतं हविषो निष्पादकम् ॥ नरशब्दो नॄ नये इत्यस्मादबन्तः । प्रत्ययस्य पित्त्वाद्धातुस्वर एव शिष्यते । शंसन्त्यस्मिन्निति शंसः । हलश्च । पा. ३-३-१२१ । इत्यधिकरणे घञ् । नराणां शंस इति समासे कृदुत्तरपदप्रकृतिस्वरत्वे प्राप्त उभे वनस्पत्यादिषु युगपत् । पा. ६-२-१४० । इति पूर्वोत्तरपदे प्रकृतिस्वरे भवतः । अत एव वनस्पत्यादिषु पाठान्नरशब्दस्य दीर्घत्वम् । इह । इदमो ह इति ह-प्रत्ययः । इदम इशितीशादेशः । प्रत्ययस्वरः । प्रियम् । प्रीणातीति प्रियः । इगुपधज्ञाप्रीकिरः क इति कः । प्रत्ययस्वरः । अस्मिन् । ऊडिदमित्यादिना विभक्तेरुदात्तत्वम् । ह्वये । निघातः । मधुजिह्वम् । मधुशब्दस्याद्युदात्तत्वमुक्तम् । बहुव्रीहौ पूर्वपदप्रकृतिस्वरेण स एव शिष्यते । हविष्कृतम् । हविः करोतीति हविष्कृत् । क्विपि ह्रस्वस्य तुक् । नित्यं समासे ऽनुत्तरपदस्थस्येति षत्वम् । कृदुत्तरपदप्रकृतिस्वरत्वम् ॥</w:t>
      </w:r>
    </w:p>
    <w:p>
      <w:pPr>
        <w:pStyle w:val="BlockText"/>
      </w:pPr>
      <w:r>
        <w:rPr>
          <w:iCs/>
          <w:i/>
        </w:rPr>
        <w:t xml:space="preserve">iha devayajanadeśe ’sminpravartamāne yajñe narāśaṃsanāmakamagnimupa hvaye | āhvayāmi | kīdṛśam | priyaṃ devānāṃ prītihetuṃ madhujihvaṃ madhurabhāṣijihvopetaṃ mādhuryarasāsvādakajihvopetaṃ vā haviṣkṛtaṃ haviṣo niṣpādakam || naraśabdo nṝ naye ityasmādabantaḥ | pratyayasya pittvāddhātusvara eva śiṣyate | śaṃsantyasminniti śaṃsaḥ | halaśca | pā. 3-3-121 | ityadhikaraṇe ghañ | narāṇāṃ śaṃsa iti samāse kṛduttarapadaprakṛtisvaratve prāpta ubhe vanaspatyādiṣu yugapat | pā. 6-2-140 | iti pūrvottarapade prakṛtisvare bhavataḥ | ata eva vanaspatyādiṣu pāṭhānnaraśabdasya dīrghatvam | iha | idamo ha iti ha-pratyayaḥ | idama iśitīśādeśaḥ | pratyayasvaraḥ | priyam | prīṇātīti priyaḥ | igupadhajñāprīkiraḥ ka iti kaḥ | pratyayasvaraḥ | asmin | ūḍidamityādinā vibhakterudāttatvam | hvaye | nighātaḥ | madhujihvam | madhuśabdasyādyudāttatvamuktam | bahuvrīhau pūrvapadaprakṛtisvareṇa sa eva śiṣyate | haviṣkṛtam | haviḥ karotīti haviṣkṛt | kvipi hrasvasya tuk | nityaṃ samāse ’nuttarapadasthasyeti ṣatvam | kṛduttarapadaprakṛtisvaratvam ||</w:t>
      </w:r>
    </w:p>
    <w:p>
      <w:pPr>
        <w:pStyle w:val="FirstParagraph"/>
      </w:pPr>
      <w:r>
        <w:rPr>
          <w:bCs/>
          <w:b/>
        </w:rPr>
        <w:t xml:space="preserve">Translation:</w:t>
      </w:r>
      <w:r>
        <w:t xml:space="preserve"> </w:t>
      </w:r>
      <w:r>
        <w:t xml:space="preserve">“</w:t>
      </w:r>
      <w:r>
        <w:t xml:space="preserve">Here, in this sacrifice now in progress, at the place of worship of the gods,</w:t>
      </w:r>
      <w:r>
        <w:t xml:space="preserve"> </w:t>
      </w:r>
      <w:r>
        <w:rPr>
          <w:iCs/>
          <w:i/>
        </w:rPr>
        <w:t xml:space="preserve">upa hvaye</w:t>
      </w:r>
      <w:r>
        <w:t xml:space="preserve"> </w:t>
      </w:r>
      <w:r>
        <w:t xml:space="preserve">— I invoke — the fire named</w:t>
      </w:r>
      <w:r>
        <w:t xml:space="preserve"> </w:t>
      </w:r>
      <w:r>
        <w:rPr>
          <w:iCs/>
          <w:i/>
        </w:rPr>
        <w:t xml:space="preserve">Narāśaṃsa</w:t>
      </w:r>
      <w:r>
        <w:t xml:space="preserve">. What is he like?</w:t>
      </w:r>
      <w:r>
        <w:t xml:space="preserve"> </w:t>
      </w:r>
      <w:r>
        <w:rPr>
          <w:iCs/>
          <w:i/>
        </w:rPr>
        <w:t xml:space="preserve">Priyam</w:t>
      </w:r>
      <w:r>
        <w:t xml:space="preserve"> </w:t>
      </w:r>
      <w:r>
        <w:t xml:space="preserve">— the cause of delight to the gods;</w:t>
      </w:r>
      <w:r>
        <w:t xml:space="preserve"> </w:t>
      </w:r>
      <w:r>
        <w:rPr>
          <w:iCs/>
          <w:i/>
        </w:rPr>
        <w:t xml:space="preserve">madhujihvam</w:t>
      </w:r>
      <w:r>
        <w:t xml:space="preserve"> </w:t>
      </w:r>
      <w:r>
        <w:t xml:space="preserve">— having a tongue that speaks sweetly, or a tongue that tastes the flavour of sweetness;</w:t>
      </w:r>
      <w:r>
        <w:t xml:space="preserve"> </w:t>
      </w:r>
      <w:r>
        <w:rPr>
          <w:iCs/>
          <w:i/>
        </w:rPr>
        <w:t xml:space="preserve">haviṣkṛtam</w:t>
      </w:r>
      <w:r>
        <w:t xml:space="preserve"> </w:t>
      </w:r>
      <w:r>
        <w:t xml:space="preserve">— the accomplisher of the oblation.</w:t>
      </w:r>
      <w:r>
        <w:t xml:space="preserve">”</w:t>
      </w:r>
      <w:r>
        <w:t xml:space="preserve"> </w:t>
      </w:r>
      <w:r>
        <w:t xml:space="preserve">(Grammatical tail:</w:t>
      </w:r>
      <w:r>
        <w:t xml:space="preserve"> </w:t>
      </w:r>
      <w:r>
        <w:rPr>
          <w:iCs/>
          <w:i/>
        </w:rPr>
        <w:t xml:space="preserve">nara</w:t>
      </w:r>
      <w:r>
        <w:t xml:space="preserve"> </w:t>
      </w:r>
      <w:r>
        <w:t xml:space="preserve">— from</w:t>
      </w:r>
      <w:r>
        <w:t xml:space="preserve"> </w:t>
      </w:r>
      <w:r>
        <w:rPr>
          <w:iCs/>
          <w:i/>
        </w:rPr>
        <w:t xml:space="preserve">nṝ naye</w:t>
      </w:r>
      <w:r>
        <w:t xml:space="preserve"> </w:t>
      </w:r>
      <w:r>
        <w:t xml:space="preserve">with</w:t>
      </w:r>
      <w:r>
        <w:t xml:space="preserve"> </w:t>
      </w:r>
      <w:r>
        <w:rPr>
          <w:iCs/>
          <w:i/>
        </w:rPr>
        <w:t xml:space="preserve">ap</w:t>
      </w:r>
      <w:r>
        <w:t xml:space="preserve">; the suffix being</w:t>
      </w:r>
      <w:r>
        <w:t xml:space="preserve"> </w:t>
      </w:r>
      <w:r>
        <w:rPr>
          <w:iCs/>
          <w:i/>
        </w:rPr>
        <w:t xml:space="preserve">pit</w:t>
      </w:r>
      <w:r>
        <w:t xml:space="preserve">, the root accent alone remains;</w:t>
      </w:r>
      <w:r>
        <w:t xml:space="preserve"> </w:t>
      </w:r>
      <w:r>
        <w:rPr>
          <w:iCs/>
          <w:i/>
        </w:rPr>
        <w:t xml:space="preserve">śaṃsa</w:t>
      </w:r>
      <w:r>
        <w:t xml:space="preserve"> </w:t>
      </w:r>
      <w:r>
        <w:t xml:space="preserve">—</w:t>
      </w:r>
      <w:r>
        <w:t xml:space="preserve"> </w:t>
      </w:r>
      <w:r>
        <w:t xml:space="preserve">“</w:t>
      </w:r>
      <w:r>
        <w:t xml:space="preserve">they recite in it</w:t>
      </w:r>
      <w:r>
        <w:t xml:space="preserve">”</w:t>
      </w:r>
      <w:r>
        <w:t xml:space="preserve">,</w:t>
      </w:r>
      <w:r>
        <w:t xml:space="preserve"> </w:t>
      </w:r>
      <w:r>
        <w:rPr>
          <w:iCs/>
          <w:i/>
        </w:rPr>
        <w:t xml:space="preserve">ghañ</w:t>
      </w:r>
      <w:r>
        <w:t xml:space="preserve"> </w:t>
      </w:r>
      <w:r>
        <w:t xml:space="preserve">in the locative sense by</w:t>
      </w:r>
      <w:r>
        <w:t xml:space="preserve"> </w:t>
      </w:r>
      <w:r>
        <w:t xml:space="preserve">“</w:t>
      </w:r>
      <w:r>
        <w:t xml:space="preserve">halaś ca</w:t>
      </w:r>
      <w:r>
        <w:t xml:space="preserve">”</w:t>
      </w:r>
      <w:r>
        <w:t xml:space="preserve"> </w:t>
      </w:r>
      <w:r>
        <w:t xml:space="preserve">(Pā. 3-3-121); in the compound</w:t>
      </w:r>
      <w:r>
        <w:t xml:space="preserve"> </w:t>
      </w:r>
      <w:r>
        <w:t xml:space="preserve">“</w:t>
      </w:r>
      <w:r>
        <w:t xml:space="preserve">narāṇāṃ śaṃsaḥ</w:t>
      </w:r>
      <w:r>
        <w:t xml:space="preserve">”</w:t>
      </w:r>
      <w:r>
        <w:t xml:space="preserve">, where the</w:t>
      </w:r>
      <w:r>
        <w:t xml:space="preserve"> </w:t>
      </w:r>
      <w:r>
        <w:rPr>
          <w:iCs/>
          <w:i/>
        </w:rPr>
        <w:t xml:space="preserve">kṛt</w:t>
      </w:r>
      <w:r>
        <w:t xml:space="preserve"> </w:t>
      </w:r>
      <w:r>
        <w:t xml:space="preserve">second-member accent would come,</w:t>
      </w:r>
      <w:r>
        <w:t xml:space="preserve"> </w:t>
      </w:r>
      <w:r>
        <w:t xml:space="preserve">“</w:t>
      </w:r>
      <w:r>
        <w:t xml:space="preserve">ubhe vanaspatyādiṣu yugapat</w:t>
      </w:r>
      <w:r>
        <w:t xml:space="preserve">”</w:t>
      </w:r>
      <w:r>
        <w:t xml:space="preserve"> </w:t>
      </w:r>
      <w:r>
        <w:t xml:space="preserve">(Pā. 6-2-140) gives both members their own accents at once, and from its reading in the</w:t>
      </w:r>
      <w:r>
        <w:t xml:space="preserve"> </w:t>
      </w:r>
      <w:r>
        <w:rPr>
          <w:iCs/>
          <w:i/>
        </w:rPr>
        <w:t xml:space="preserve">vanaspatyādi</w:t>
      </w:r>
      <w:r>
        <w:t xml:space="preserve"> </w:t>
      </w:r>
      <w:r>
        <w:t xml:space="preserve">group</w:t>
      </w:r>
      <w:r>
        <w:t xml:space="preserve"> </w:t>
      </w:r>
      <w:r>
        <w:rPr>
          <w:iCs/>
          <w:i/>
        </w:rPr>
        <w:t xml:space="preserve">nara</w:t>
      </w:r>
      <w:r>
        <w:t xml:space="preserve"> </w:t>
      </w:r>
      <w:r>
        <w:t xml:space="preserve">is lengthened;</w:t>
      </w:r>
      <w:r>
        <w:t xml:space="preserve"> </w:t>
      </w:r>
      <w:r>
        <w:rPr>
          <w:iCs/>
          <w:i/>
        </w:rPr>
        <w:t xml:space="preserve">iha</w:t>
      </w:r>
      <w:r>
        <w:t xml:space="preserve"> </w:t>
      </w:r>
      <w:r>
        <w:t xml:space="preserve">—</w:t>
      </w:r>
      <w:r>
        <w:t xml:space="preserve"> </w:t>
      </w:r>
      <w:r>
        <w:rPr>
          <w:iCs/>
          <w:i/>
        </w:rPr>
        <w:t xml:space="preserve">ha</w:t>
      </w:r>
      <w:r>
        <w:t xml:space="preserve"> </w:t>
      </w:r>
      <w:r>
        <w:t xml:space="preserve">by</w:t>
      </w:r>
      <w:r>
        <w:t xml:space="preserve"> </w:t>
      </w:r>
      <w:r>
        <w:t xml:space="preserve">“</w:t>
      </w:r>
      <w:r>
        <w:t xml:space="preserve">idamo haḥ</w:t>
      </w:r>
      <w:r>
        <w:t xml:space="preserve">”</w:t>
      </w:r>
      <w:r>
        <w:t xml:space="preserve">,</w:t>
      </w:r>
      <w:r>
        <w:t xml:space="preserve"> </w:t>
      </w:r>
      <w:r>
        <w:rPr>
          <w:iCs/>
          <w:i/>
        </w:rPr>
        <w:t xml:space="preserve">iś</w:t>
      </w:r>
      <w:r>
        <w:t xml:space="preserve"> </w:t>
      </w:r>
      <w:r>
        <w:t xml:space="preserve">for</w:t>
      </w:r>
      <w:r>
        <w:t xml:space="preserve"> </w:t>
      </w:r>
      <w:r>
        <w:rPr>
          <w:iCs/>
          <w:i/>
        </w:rPr>
        <w:t xml:space="preserve">idam</w:t>
      </w:r>
      <w:r>
        <w:t xml:space="preserve"> </w:t>
      </w:r>
      <w:r>
        <w:t xml:space="preserve">by</w:t>
      </w:r>
      <w:r>
        <w:t xml:space="preserve"> </w:t>
      </w:r>
      <w:r>
        <w:t xml:space="preserve">“</w:t>
      </w:r>
      <w:r>
        <w:t xml:space="preserve">idama iś</w:t>
      </w:r>
      <w:r>
        <w:t xml:space="preserve">”</w:t>
      </w:r>
      <w:r>
        <w:t xml:space="preserve">, suffix accent;</w:t>
      </w:r>
      <w:r>
        <w:t xml:space="preserve"> </w:t>
      </w:r>
      <w:r>
        <w:rPr>
          <w:iCs/>
          <w:i/>
        </w:rPr>
        <w:t xml:space="preserve">priyam</w:t>
      </w:r>
      <w:r>
        <w:t xml:space="preserve"> </w:t>
      </w:r>
      <w:r>
        <w:t xml:space="preserve">—</w:t>
      </w:r>
      <w:r>
        <w:t xml:space="preserve"> </w:t>
      </w:r>
      <w:r>
        <w:t xml:space="preserve">“</w:t>
      </w:r>
      <w:r>
        <w:t xml:space="preserve">he pleases</w:t>
      </w:r>
      <w:r>
        <w:t xml:space="preserve">”</w:t>
      </w:r>
      <w:r>
        <w:t xml:space="preserve">,</w:t>
      </w:r>
      <w:r>
        <w:t xml:space="preserve"> </w:t>
      </w:r>
      <w:r>
        <w:rPr>
          <w:iCs/>
          <w:i/>
        </w:rPr>
        <w:t xml:space="preserve">ka</w:t>
      </w:r>
      <w:r>
        <w:t xml:space="preserve"> </w:t>
      </w:r>
      <w:r>
        <w:t xml:space="preserve">by</w:t>
      </w:r>
      <w:r>
        <w:t xml:space="preserve"> </w:t>
      </w:r>
      <w:r>
        <w:t xml:space="preserve">“</w:t>
      </w:r>
      <w:r>
        <w:t xml:space="preserve">igupadha-jñā-prī-kiraḥ kaḥ</w:t>
      </w:r>
      <w:r>
        <w:t xml:space="preserve">”</w:t>
      </w:r>
      <w:r>
        <w:t xml:space="preserve">, suffix accent;</w:t>
      </w:r>
      <w:r>
        <w:t xml:space="preserve"> </w:t>
      </w:r>
      <w:r>
        <w:rPr>
          <w:iCs/>
          <w:i/>
        </w:rPr>
        <w:t xml:space="preserve">asmin</w:t>
      </w:r>
      <w:r>
        <w:t xml:space="preserve"> </w:t>
      </w:r>
      <w:r>
        <w:t xml:space="preserve">— the case ending udātta by</w:t>
      </w:r>
      <w:r>
        <w:t xml:space="preserve"> </w:t>
      </w:r>
      <w:r>
        <w:t xml:space="preserve">“</w:t>
      </w:r>
      <w:r>
        <w:t xml:space="preserve">ūḍ-idam…</w:t>
      </w:r>
      <w:r>
        <w:t xml:space="preserve">”</w:t>
      </w:r>
      <w:r>
        <w:t xml:space="preserve">;</w:t>
      </w:r>
      <w:r>
        <w:t xml:space="preserve"> </w:t>
      </w:r>
      <w:r>
        <w:rPr>
          <w:iCs/>
          <w:i/>
        </w:rPr>
        <w:t xml:space="preserve">hvaye</w:t>
      </w:r>
      <w:r>
        <w:t xml:space="preserve"> </w:t>
      </w:r>
      <w:r>
        <w:t xml:space="preserve">— unaccented;</w:t>
      </w:r>
      <w:r>
        <w:t xml:space="preserve"> </w:t>
      </w:r>
      <w:r>
        <w:rPr>
          <w:iCs/>
          <w:i/>
        </w:rPr>
        <w:t xml:space="preserve">madhujihvam</w:t>
      </w:r>
      <w:r>
        <w:t xml:space="preserve"> </w:t>
      </w:r>
      <w:r>
        <w:t xml:space="preserve">—</w:t>
      </w:r>
      <w:r>
        <w:t xml:space="preserve"> </w:t>
      </w:r>
      <w:r>
        <w:rPr>
          <w:iCs/>
          <w:i/>
        </w:rPr>
        <w:t xml:space="preserve">madhu</w:t>
      </w:r>
      <w:r>
        <w:t xml:space="preserve"> </w:t>
      </w:r>
      <w:r>
        <w:t xml:space="preserve">initial-udātta as said, and in the bahuvrīhi that accent alone remains;</w:t>
      </w:r>
      <w:r>
        <w:t xml:space="preserve"> </w:t>
      </w:r>
      <w:r>
        <w:rPr>
          <w:iCs/>
          <w:i/>
        </w:rPr>
        <w:t xml:space="preserve">haviṣkṛtam</w:t>
      </w:r>
      <w:r>
        <w:t xml:space="preserve"> </w:t>
      </w:r>
      <w:r>
        <w:t xml:space="preserve">—</w:t>
      </w:r>
      <w:r>
        <w:t xml:space="preserve"> </w:t>
      </w:r>
      <w:r>
        <w:t xml:space="preserve">“</w:t>
      </w:r>
      <w:r>
        <w:t xml:space="preserve">he makes the oblation</w:t>
      </w:r>
      <w:r>
        <w:t xml:space="preserve">”</w:t>
      </w:r>
      <w:r>
        <w:t xml:space="preserve">,</w:t>
      </w:r>
      <w:r>
        <w:t xml:space="preserve"> </w:t>
      </w:r>
      <w:r>
        <w:rPr>
          <w:iCs/>
          <w:i/>
        </w:rPr>
        <w:t xml:space="preserve">tuk</w:t>
      </w:r>
      <w:r>
        <w:t xml:space="preserve"> </w:t>
      </w:r>
      <w:r>
        <w:t xml:space="preserve">for the short vowel before</w:t>
      </w:r>
      <w:r>
        <w:t xml:space="preserve"> </w:t>
      </w:r>
      <w:r>
        <w:rPr>
          <w:iCs/>
          <w:i/>
        </w:rPr>
        <w:t xml:space="preserve">kvip</w:t>
      </w:r>
      <w:r>
        <w:t xml:space="preserve">,</w:t>
      </w:r>
      <w:r>
        <w:t xml:space="preserve"> </w:t>
      </w:r>
      <w:r>
        <w:rPr>
          <w:iCs/>
          <w:i/>
        </w:rPr>
        <w:t xml:space="preserve">ṣ</w:t>
      </w:r>
      <w:r>
        <w:t xml:space="preserve"> </w:t>
      </w:r>
      <w:r>
        <w:t xml:space="preserve">by</w:t>
      </w:r>
      <w:r>
        <w:t xml:space="preserve"> </w:t>
      </w:r>
      <w:r>
        <w:t xml:space="preserve">“</w:t>
      </w:r>
      <w:r>
        <w:t xml:space="preserve">nityaṃ samāse ’nuttarapadasthasya</w:t>
      </w:r>
      <w:r>
        <w:t xml:space="preserve">”</w:t>
      </w:r>
      <w:r>
        <w:t xml:space="preserve">, the</w:t>
      </w:r>
      <w:r>
        <w:t xml:space="preserve"> </w:t>
      </w:r>
      <w:r>
        <w:rPr>
          <w:iCs/>
          <w:i/>
        </w:rPr>
        <w:t xml:space="preserve">kṛt</w:t>
      </w:r>
      <w:r>
        <w:t xml:space="preserve"> </w:t>
      </w:r>
      <w:r>
        <w:t xml:space="preserve">second-member accent.)</w:t>
      </w:r>
    </w:p>
    <w:bookmarkEnd w:id="566"/>
    <w:bookmarkStart w:id="567" w:name="X9fcc95d5d7ba5c845301130cbafeef2beca96b4"/>
    <w:p>
      <w:pPr>
        <w:pStyle w:val="Heading3"/>
      </w:pPr>
      <w:r>
        <w:t xml:space="preserve">Page 538 — Rik 3: word-meanings, overall sense, English, Special Topics begin</w:t>
      </w:r>
    </w:p>
    <w:p>
      <w:pPr>
        <w:pStyle w:val="FirstParagraph"/>
      </w:pPr>
      <w:r>
        <w:rPr>
          <w:bCs/>
          <w:b/>
        </w:rPr>
        <w:t xml:space="preserve">॥ Prati-padārthaḥ ॥</w:t>
      </w:r>
    </w:p>
    <w:p>
      <w:pPr>
        <w:pStyle w:val="BodyText"/>
      </w:pPr>
      <w:r>
        <w:rPr>
          <w:bCs/>
          <w:b/>
        </w:rPr>
        <w:t xml:space="preserve">इह (iha)</w:t>
      </w:r>
      <w:r>
        <w:t xml:space="preserve"> </w:t>
      </w:r>
      <w:r>
        <w:t xml:space="preserve">— at this sacrificial ground |</w:t>
      </w:r>
      <w:r>
        <w:t xml:space="preserve"> </w:t>
      </w:r>
      <w:r>
        <w:rPr>
          <w:bCs/>
          <w:b/>
        </w:rPr>
        <w:t xml:space="preserve">अस्मिन् यज्ञे (asmin yajñe)</w:t>
      </w:r>
      <w:r>
        <w:t xml:space="preserve"> </w:t>
      </w:r>
      <w:r>
        <w:t xml:space="preserve">— in this sacrifice that we perform |</w:t>
      </w:r>
      <w:r>
        <w:t xml:space="preserve"> </w:t>
      </w:r>
      <w:r>
        <w:rPr>
          <w:bCs/>
          <w:b/>
        </w:rPr>
        <w:t xml:space="preserve">प्रियम् (priyam)</w:t>
      </w:r>
      <w:r>
        <w:t xml:space="preserve"> </w:t>
      </w:r>
      <w:r>
        <w:t xml:space="preserve">— dear to the gods |</w:t>
      </w:r>
      <w:r>
        <w:t xml:space="preserve"> </w:t>
      </w:r>
      <w:r>
        <w:rPr>
          <w:bCs/>
          <w:b/>
        </w:rPr>
        <w:t xml:space="preserve">मधुजिह्वम् (madhujihvam)</w:t>
      </w:r>
      <w:r>
        <w:t xml:space="preserve"> </w:t>
      </w:r>
      <w:r>
        <w:t xml:space="preserve">— who has a tongue that speaks sweetly, or that tastes sweet juice |</w:t>
      </w:r>
      <w:r>
        <w:t xml:space="preserve"> </w:t>
      </w:r>
      <w:r>
        <w:rPr>
          <w:bCs/>
          <w:b/>
        </w:rPr>
        <w:t xml:space="preserve">हविष्कृतम् (haviṣkṛtam)</w:t>
      </w:r>
      <w:r>
        <w:t xml:space="preserve"> </w:t>
      </w:r>
      <w:r>
        <w:t xml:space="preserve">— who makes (cooks) the oblation |</w:t>
      </w:r>
      <w:r>
        <w:t xml:space="preserve"> </w:t>
      </w:r>
      <w:r>
        <w:rPr>
          <w:bCs/>
          <w:b/>
        </w:rPr>
        <w:t xml:space="preserve">नराशंसम् (narāśaṃsam)</w:t>
      </w:r>
      <w:r>
        <w:t xml:space="preserve"> </w:t>
      </w:r>
      <w:r>
        <w:t xml:space="preserve">— Agni, called by the name Narāśaṃsa |</w:t>
      </w:r>
      <w:r>
        <w:t xml:space="preserve"> </w:t>
      </w:r>
      <w:r>
        <w:rPr>
          <w:bCs/>
          <w:b/>
        </w:rPr>
        <w:t xml:space="preserve">उप ह्वये (upa hvaye)</w:t>
      </w:r>
      <w:r>
        <w:t xml:space="preserve"> </w:t>
      </w:r>
      <w:r>
        <w:t xml:space="preserve">— I invoke.</w:t>
      </w:r>
    </w:p>
    <w:p>
      <w:pPr>
        <w:pStyle w:val="BodyText"/>
      </w:pPr>
      <w:r>
        <w:rPr>
          <w:bCs/>
          <w:b/>
        </w:rPr>
        <w:t xml:space="preserve">॥ Bhāvārthaḥ ॥</w:t>
      </w:r>
    </w:p>
    <w:p>
      <w:pPr>
        <w:pStyle w:val="BodyText"/>
      </w:pPr>
      <w:r>
        <w:t xml:space="preserve">O Agni called</w:t>
      </w:r>
      <w:r>
        <w:t xml:space="preserve"> </w:t>
      </w:r>
      <w:r>
        <w:rPr>
          <w:iCs/>
          <w:i/>
        </w:rPr>
        <w:t xml:space="preserve">Narāśaṃsa</w:t>
      </w:r>
      <w:r>
        <w:t xml:space="preserve">! You are dear to the gods; you speak sweetly, or you taste the sweet oblation; you cook the oblation and make it ready. Such a Narāśaṃsa I now call in this sacrifice that we perform.</w:t>
      </w:r>
    </w:p>
    <w:p>
      <w:pPr>
        <w:pStyle w:val="BodyText"/>
      </w:pPr>
      <w:r>
        <w:rPr>
          <w:bCs/>
          <w:b/>
        </w:rPr>
        <w:t xml:space="preserve">॥ English Translation ॥</w:t>
      </w:r>
      <w:r>
        <w:t xml:space="preserve"> </w:t>
      </w:r>
      <w:r>
        <w:rPr>
          <w:iCs/>
          <w:i/>
        </w:rPr>
        <w:t xml:space="preserve">(as printed in the source)</w:t>
      </w:r>
    </w:p>
    <w:p>
      <w:pPr>
        <w:pStyle w:val="BlockText"/>
      </w:pPr>
      <w:r>
        <w:t xml:space="preserve">I invoke here at this sacrifice Narasamsa, the beloved one, the sweet-tongoned [sic], preparer of sacrifcial [sic] food.</w:t>
      </w:r>
    </w:p>
    <w:p>
      <w:pPr>
        <w:pStyle w:val="FirstParagraph"/>
      </w:pPr>
      <w:r>
        <w:rPr>
          <w:bCs/>
          <w:b/>
        </w:rPr>
        <w:t xml:space="preserve">॥ Viśeṣa-viṣayagaḷu (Special Topics) ॥</w:t>
      </w:r>
    </w:p>
    <w:p>
      <w:pPr>
        <w:pStyle w:val="BodyText"/>
      </w:pPr>
      <w:r>
        <w:t xml:space="preserve">The deity of this rik is Narāśaṃsa — that is, Agni, called by that name. Yāska’s explanation of the word runs as follows:</w:t>
      </w:r>
    </w:p>
    <w:p>
      <w:pPr>
        <w:pStyle w:val="BlockText"/>
      </w:pPr>
      <w:r>
        <w:t xml:space="preserve">(१) नराशंसः । नराशंसो यज्ञ इति कात्थक्यः । नरा अस्मिन्नासीनाः शंसन्ति ॥</w:t>
      </w:r>
    </w:p>
    <w:p>
      <w:pPr>
        <w:pStyle w:val="BlockText"/>
      </w:pPr>
      <w:r>
        <w:rPr>
          <w:iCs/>
          <w:i/>
        </w:rPr>
        <w:t xml:space="preserve">(1) narāśaṃsaḥ | narāśaṃso yajña iti kātthakyaḥ | narā asminnāsīnāḥ śaṃsanti ||</w:t>
      </w:r>
    </w:p>
    <w:bookmarkEnd w:id="567"/>
    <w:bookmarkStart w:id="568" w:name="page-539-rik-3-special-topics-continued"/>
    <w:p>
      <w:pPr>
        <w:pStyle w:val="Heading3"/>
      </w:pPr>
      <w:r>
        <w:t xml:space="preserve">Page 539 — Rik 3: Special Topics (continued)</w:t>
      </w:r>
    </w:p>
    <w:p>
      <w:pPr>
        <w:pStyle w:val="BlockText"/>
      </w:pPr>
      <w:r>
        <w:t xml:space="preserve">(२) अग्निरिति शाकपूणिः । नर्यैः प्रशस्यो भवति ॥</w:t>
      </w:r>
    </w:p>
    <w:p>
      <w:pPr>
        <w:pStyle w:val="BlockText"/>
      </w:pPr>
      <w:r>
        <w:rPr>
          <w:iCs/>
          <w:i/>
        </w:rPr>
        <w:t xml:space="preserve">(2) agniriti śākapūṇiḥ | naryaiḥ praśasyo bhavati ||</w:t>
      </w:r>
    </w:p>
    <w:p>
      <w:pPr>
        <w:pStyle w:val="FirstParagraph"/>
      </w:pPr>
      <w:r>
        <w:t xml:space="preserve">Two different senses of the word</w:t>
      </w:r>
      <w:r>
        <w:t xml:space="preserve"> </w:t>
      </w:r>
      <w:r>
        <w:rPr>
          <w:iCs/>
          <w:i/>
        </w:rPr>
        <w:t xml:space="preserve">narāśaṃsa</w:t>
      </w:r>
      <w:r>
        <w:t xml:space="preserve"> </w:t>
      </w:r>
      <w:r>
        <w:t xml:space="preserve">are thus given: (1)</w:t>
      </w:r>
      <w:r>
        <w:t xml:space="preserve"> </w:t>
      </w:r>
      <w:r>
        <w:rPr>
          <w:iCs/>
          <w:i/>
        </w:rPr>
        <w:t xml:space="preserve">narāśaṃsa</w:t>
      </w:r>
      <w:r>
        <w:t xml:space="preserve"> </w:t>
      </w:r>
      <w:r>
        <w:t xml:space="preserve">means the sacrifice: because in this sacrifice</w:t>
      </w:r>
      <w:r>
        <w:t xml:space="preserve"> </w:t>
      </w:r>
      <w:r>
        <w:rPr>
          <w:iCs/>
          <w:i/>
        </w:rPr>
        <w:t xml:space="preserve">narāḥ</w:t>
      </w:r>
      <w:r>
        <w:t xml:space="preserve">, men, sitting down,</w:t>
      </w:r>
      <w:r>
        <w:t xml:space="preserve"> </w:t>
      </w:r>
      <w:r>
        <w:rPr>
          <w:iCs/>
          <w:i/>
        </w:rPr>
        <w:t xml:space="preserve">śaṃsanti</w:t>
      </w:r>
      <w:r>
        <w:t xml:space="preserve">, praise (Agni or the gods), this rite is called</w:t>
      </w:r>
      <w:r>
        <w:t xml:space="preserve"> </w:t>
      </w:r>
      <w:r>
        <w:rPr>
          <w:iCs/>
          <w:i/>
        </w:rPr>
        <w:t xml:space="preserve">yajña</w:t>
      </w:r>
      <w:r>
        <w:t xml:space="preserve"> </w:t>
      </w:r>
      <w:r>
        <w:t xml:space="preserve">— this is Kātthakya’s view; (2) because he is praised by men, Agni is called</w:t>
      </w:r>
      <w:r>
        <w:t xml:space="preserve"> </w:t>
      </w:r>
      <w:r>
        <w:rPr>
          <w:iCs/>
          <w:i/>
        </w:rPr>
        <w:t xml:space="preserve">narāśaṃsa</w:t>
      </w:r>
      <w:r>
        <w:t xml:space="preserve"> </w:t>
      </w:r>
      <w:r>
        <w:t xml:space="preserve">— this is Śākapūṇi’s view. The second explanation is the fitting one here.</w:t>
      </w:r>
      <w:r>
        <w:t xml:space="preserve"> </w:t>
      </w:r>
      <w:r>
        <w:rPr>
          <w:bCs/>
          <w:b/>
        </w:rPr>
        <w:t xml:space="preserve">Skandasvāmī</w:t>
      </w:r>
      <w:r>
        <w:t xml:space="preserve"> </w:t>
      </w:r>
      <w:r>
        <w:t xml:space="preserve">says:</w:t>
      </w:r>
      <w:r>
        <w:t xml:space="preserve"> </w:t>
      </w:r>
      <w:r>
        <w:rPr>
          <w:iCs/>
          <w:i/>
        </w:rPr>
        <w:t xml:space="preserve">naraiḥ praśasyata iti narāśaṃso ’gniḥ taṃ narāśaṃsam</w:t>
      </w:r>
      <w:r>
        <w:t xml:space="preserve"> </w:t>
      </w:r>
      <w:r>
        <w:t xml:space="preserve">—</w:t>
      </w:r>
      <w:r>
        <w:t xml:space="preserve"> </w:t>
      </w:r>
      <w:r>
        <w:t xml:space="preserve">“</w:t>
      </w:r>
      <w:r>
        <w:t xml:space="preserve">he who is praised by men is</w:t>
      </w:r>
      <w:r>
        <w:t xml:space="preserve"> </w:t>
      </w:r>
      <w:r>
        <w:rPr>
          <w:iCs/>
          <w:i/>
        </w:rPr>
        <w:t xml:space="preserve">narāśaṃsa</w:t>
      </w:r>
      <w:r>
        <w:t xml:space="preserve">, Agni; that Narāśaṃsa [I invoke].</w:t>
      </w:r>
      <w:r>
        <w:t xml:space="preserve">”</w:t>
      </w:r>
    </w:p>
    <w:p>
      <w:pPr>
        <w:pStyle w:val="BodyText"/>
      </w:pPr>
      <w:r>
        <w:rPr>
          <w:bCs/>
          <w:b/>
        </w:rPr>
        <w:t xml:space="preserve">“</w:t>
      </w:r>
      <w:r>
        <w:rPr>
          <w:bCs/>
          <w:b/>
        </w:rPr>
        <w:t xml:space="preserve">Priyam</w:t>
      </w:r>
      <w:r>
        <w:rPr>
          <w:bCs/>
          <w:b/>
        </w:rPr>
        <w:t xml:space="preserve">”</w:t>
      </w:r>
      <w:r>
        <w:t xml:space="preserve"> </w:t>
      </w:r>
      <w:r>
        <w:t xml:space="preserve">— the Bhāṣyakāra explains</w:t>
      </w:r>
      <w:r>
        <w:t xml:space="preserve"> </w:t>
      </w:r>
      <w:r>
        <w:rPr>
          <w:iCs/>
          <w:i/>
        </w:rPr>
        <w:t xml:space="preserve">devānāṃ priyam</w:t>
      </w:r>
      <w:r>
        <w:t xml:space="preserve">,</w:t>
      </w:r>
      <w:r>
        <w:t xml:space="preserve"> </w:t>
      </w:r>
      <w:r>
        <w:t xml:space="preserve">“</w:t>
      </w:r>
      <w:r>
        <w:t xml:space="preserve">dear to the gods</w:t>
      </w:r>
      <w:r>
        <w:t xml:space="preserve">”</w:t>
      </w:r>
      <w:r>
        <w:t xml:space="preserve">; Skandasvāmī explains</w:t>
      </w:r>
      <w:r>
        <w:t xml:space="preserve"> </w:t>
      </w:r>
      <w:r>
        <w:rPr>
          <w:iCs/>
          <w:i/>
        </w:rPr>
        <w:t xml:space="preserve">manuṣyāṇāṃ priyam</w:t>
      </w:r>
      <w:r>
        <w:t xml:space="preserve">,</w:t>
      </w:r>
      <w:r>
        <w:t xml:space="preserve"> </w:t>
      </w:r>
      <w:r>
        <w:t xml:space="preserve">“</w:t>
      </w:r>
      <w:r>
        <w:t xml:space="preserve">dear to men.</w:t>
      </w:r>
      <w:r>
        <w:t xml:space="preserve">”</w:t>
      </w:r>
      <w:r>
        <w:t xml:space="preserve"> </w:t>
      </w:r>
      <w:r>
        <w:t xml:space="preserve">Both senses are fitting.</w:t>
      </w:r>
    </w:p>
    <w:bookmarkEnd w:id="568"/>
    <w:bookmarkStart w:id="569" w:name="X54946b7593170be98cb3afd8a12d47ff8940ed4"/>
    <w:p>
      <w:pPr>
        <w:pStyle w:val="Heading3"/>
      </w:pPr>
      <w:r>
        <w:t xml:space="preserve">Page 540 — Rik 3: Special Topics (continued) and grammar</w:t>
      </w:r>
    </w:p>
    <w:p>
      <w:pPr>
        <w:pStyle w:val="FirstParagraph"/>
      </w:pPr>
      <w:r>
        <w:rPr>
          <w:bCs/>
          <w:b/>
        </w:rPr>
        <w:t xml:space="preserve">“</w:t>
      </w:r>
      <w:r>
        <w:rPr>
          <w:bCs/>
          <w:b/>
        </w:rPr>
        <w:t xml:space="preserve">Madhujihvam</w:t>
      </w:r>
      <w:r>
        <w:rPr>
          <w:bCs/>
          <w:b/>
        </w:rPr>
        <w:t xml:space="preserve">”</w:t>
      </w:r>
      <w:r>
        <w:t xml:space="preserve"> </w:t>
      </w:r>
      <w:r>
        <w:t xml:space="preserve">—</w:t>
      </w:r>
      <w:r>
        <w:t xml:space="preserve"> </w:t>
      </w:r>
      <w:r>
        <w:rPr>
          <w:iCs/>
          <w:i/>
        </w:rPr>
        <w:t xml:space="preserve">madhura-bhāṣi-jihvopetam</w:t>
      </w:r>
      <w:r>
        <w:t xml:space="preserve">,</w:t>
      </w:r>
      <w:r>
        <w:t xml:space="preserve"> </w:t>
      </w:r>
      <w:r>
        <w:t xml:space="preserve">“</w:t>
      </w:r>
      <w:r>
        <w:t xml:space="preserve">having a tongue that speaks sweetly</w:t>
      </w:r>
      <w:r>
        <w:t xml:space="preserve">”</w:t>
      </w:r>
      <w:r>
        <w:t xml:space="preserve">, and</w:t>
      </w:r>
      <w:r>
        <w:t xml:space="preserve"> </w:t>
      </w:r>
      <w:r>
        <w:rPr>
          <w:iCs/>
          <w:i/>
        </w:rPr>
        <w:t xml:space="preserve">mādhurya-rasāsvādaka-jihvopetam</w:t>
      </w:r>
      <w:r>
        <w:t xml:space="preserve">,</w:t>
      </w:r>
      <w:r>
        <w:t xml:space="preserve"> </w:t>
      </w:r>
      <w:r>
        <w:t xml:space="preserve">“</w:t>
      </w:r>
      <w:r>
        <w:t xml:space="preserve">having a tongue that tastes the sweet flavour (of the oblation, the</w:t>
      </w:r>
      <w:r>
        <w:t xml:space="preserve"> </w:t>
      </w:r>
      <w:r>
        <w:rPr>
          <w:iCs/>
          <w:i/>
        </w:rPr>
        <w:t xml:space="preserve">ājya</w:t>
      </w:r>
      <w:r>
        <w:t xml:space="preserve"> </w:t>
      </w:r>
      <w:r>
        <w:t xml:space="preserve">and the other</w:t>
      </w:r>
      <w:r>
        <w:t xml:space="preserve"> </w:t>
      </w:r>
      <w:r>
        <w:rPr>
          <w:iCs/>
          <w:i/>
        </w:rPr>
        <w:t xml:space="preserve">homa</w:t>
      </w:r>
      <w:r>
        <w:t xml:space="preserve"> </w:t>
      </w:r>
      <w:r>
        <w:t xml:space="preserve">substances)</w:t>
      </w:r>
      <w:r>
        <w:t xml:space="preserve">”</w:t>
      </w:r>
      <w:r>
        <w:t xml:space="preserve">: so the Bhāṣyakāra explains.</w:t>
      </w:r>
      <w:r>
        <w:t xml:space="preserve"> </w:t>
      </w:r>
      <w:r>
        <w:rPr>
          <w:bCs/>
          <w:b/>
        </w:rPr>
        <w:t xml:space="preserve">Skandasvāmī</w:t>
      </w:r>
      <w:r>
        <w:t xml:space="preserve"> </w:t>
      </w:r>
      <w:r>
        <w:t xml:space="preserve">says</w:t>
      </w:r>
      <w:r>
        <w:t xml:space="preserve"> </w:t>
      </w:r>
      <w:r>
        <w:rPr>
          <w:iCs/>
          <w:i/>
        </w:rPr>
        <w:t xml:space="preserve">madhujihvaḥ</w:t>
      </w:r>
      <w:r>
        <w:t xml:space="preserve"> </w:t>
      </w:r>
      <w:r>
        <w:t xml:space="preserve">=</w:t>
      </w:r>
    </w:p>
    <w:p>
      <w:pPr>
        <w:pStyle w:val="BlockText"/>
      </w:pPr>
      <w:r>
        <w:t xml:space="preserve">नित्यमुत्सृष्टानां हविषां भक्षयिता । अथवा जिह्वेति वाङ्नाम मध्वी जिह्वा यस्य स मधुजिह्वः । होतृत्वाद्ध्यग्नेर्देवतानां स्तावकत्वादस्ति मधुवाक्त्वम् । सुभगवचनमित्यर्थः ॥</w:t>
      </w:r>
    </w:p>
    <w:p>
      <w:pPr>
        <w:pStyle w:val="BlockText"/>
      </w:pPr>
      <w:r>
        <w:rPr>
          <w:iCs/>
          <w:i/>
        </w:rPr>
        <w:t xml:space="preserve">nityamutsṛṣṭānāṃ haviṣāṃ bhakṣayitā | athavā jihveti vāṅnāma madhvī jihvā yasya sa madhujihvaḥ | hotṛtvāddhyagnerdevatānāṃ stāvakatvādasti madhuvāktvam | subhagavacanamityarthaḥ ||</w:t>
      </w:r>
    </w:p>
    <w:p>
      <w:pPr>
        <w:pStyle w:val="FirstParagraph"/>
      </w:pPr>
      <w:r>
        <w:t xml:space="preserve">— one who always eats the tasty or sweet oblation;</w:t>
      </w:r>
      <w:r>
        <w:t xml:space="preserve"> </w:t>
      </w:r>
      <w:r>
        <w:rPr>
          <w:iCs/>
          <w:i/>
        </w:rPr>
        <w:t xml:space="preserve">jihvā</w:t>
      </w:r>
      <w:r>
        <w:t xml:space="preserve"> </w:t>
      </w:r>
      <w:r>
        <w:t xml:space="preserve">means speech, words; so</w:t>
      </w:r>
      <w:r>
        <w:t xml:space="preserve"> </w:t>
      </w:r>
      <w:r>
        <w:rPr>
          <w:iCs/>
          <w:i/>
        </w:rPr>
        <w:t xml:space="preserve">madhujihvaḥ</w:t>
      </w:r>
      <w:r>
        <w:t xml:space="preserve"> </w:t>
      </w:r>
      <w:r>
        <w:t xml:space="preserve">is one who speaks good words, words that give delight to the ear. Since Agni, when calling the gods, speaks sweet words addressed to them, he is called</w:t>
      </w:r>
      <w:r>
        <w:t xml:space="preserve"> </w:t>
      </w:r>
      <w:r>
        <w:rPr>
          <w:iCs/>
          <w:i/>
        </w:rPr>
        <w:t xml:space="preserve">madhujihva</w:t>
      </w:r>
      <w:r>
        <w:t xml:space="preserve">: Skandasvāmī thus states, in another way, the same two senses the Bhāṣyakāra gave. Senses such as</w:t>
      </w:r>
      <w:r>
        <w:t xml:space="preserve"> </w:t>
      </w:r>
      <w:r>
        <w:t xml:space="preserve">“</w:t>
      </w:r>
      <w:r>
        <w:t xml:space="preserve">Honey-tongoned, sweet-longoned</w:t>
      </w:r>
      <w:r>
        <w:t xml:space="preserve">”</w:t>
      </w:r>
      <w:r>
        <w:t xml:space="preserve"> </w:t>
      </w:r>
      <w:r>
        <w:t xml:space="preserve">[sic] [the source’s English] may be given.</w:t>
      </w:r>
    </w:p>
    <w:p>
      <w:pPr>
        <w:pStyle w:val="BodyText"/>
      </w:pPr>
      <w:r>
        <w:rPr>
          <w:bCs/>
          <w:b/>
        </w:rPr>
        <w:t xml:space="preserve">“</w:t>
      </w:r>
      <w:r>
        <w:rPr>
          <w:bCs/>
          <w:b/>
        </w:rPr>
        <w:t xml:space="preserve">Haviṣkṛtam</w:t>
      </w:r>
      <w:r>
        <w:rPr>
          <w:bCs/>
          <w:b/>
        </w:rPr>
        <w:t xml:space="preserve">”</w:t>
      </w:r>
      <w:r>
        <w:t xml:space="preserve"> </w:t>
      </w:r>
      <w:r>
        <w:t xml:space="preserve">—</w:t>
      </w:r>
      <w:r>
        <w:t xml:space="preserve"> </w:t>
      </w:r>
      <w:r>
        <w:rPr>
          <w:iCs/>
          <w:i/>
        </w:rPr>
        <w:t xml:space="preserve">haviṣo niṣpādakam</w:t>
      </w:r>
      <w:r>
        <w:t xml:space="preserve">:</w:t>
      </w:r>
      <w:r>
        <w:t xml:space="preserve"> </w:t>
      </w:r>
      <w:r>
        <w:t xml:space="preserve">“</w:t>
      </w:r>
      <w:r>
        <w:t xml:space="preserve">the maker of the oblation, one who prepares the oblation</w:t>
      </w:r>
      <w:r>
        <w:t xml:space="preserve">”</w:t>
      </w:r>
      <w:r>
        <w:t xml:space="preserve">: when the oblation is made, it must be placed on Agni and cooked; hence Agni is said to make the oblation. [The source’s English:</w:t>
      </w:r>
      <w:r>
        <w:t xml:space="preserve"> </w:t>
      </w:r>
      <w:r>
        <w:t xml:space="preserve">“</w:t>
      </w:r>
      <w:r>
        <w:t xml:space="preserve">Preparer of sacrifical [sic] food.</w:t>
      </w:r>
      <w:r>
        <w:t xml:space="preserve">”</w:t>
      </w:r>
      <w:r>
        <w:t xml:space="preserve">]</w:t>
      </w:r>
    </w:p>
    <w:p>
      <w:pPr>
        <w:pStyle w:val="BodyText"/>
      </w:pPr>
      <w:r>
        <w:rPr>
          <w:bCs/>
          <w:b/>
        </w:rPr>
        <w:t xml:space="preserve">॥ Vyākaraṇa-prakriyā ॥</w:t>
      </w:r>
      <w:r>
        <w:t xml:space="preserve"> </w:t>
      </w:r>
      <w:r>
        <w:rPr>
          <w:iCs/>
          <w:i/>
        </w:rPr>
        <w:t xml:space="preserve">(grammar pages 540–541, noted briefly; numbers checked against the print)</w:t>
      </w:r>
    </w:p>
    <w:p>
      <w:pPr>
        <w:pStyle w:val="BodyText"/>
      </w:pPr>
      <w:r>
        <w:rPr>
          <w:bCs/>
          <w:b/>
        </w:rPr>
        <w:t xml:space="preserve">नराशंसम् (</w:t>
      </w:r>
      <w:r>
        <w:rPr>
          <w:iCs/>
          <w:i/>
          <w:bCs/>
          <w:b/>
        </w:rPr>
        <w:t xml:space="preserve">narāśaṃsam</w:t>
      </w:r>
      <w:r>
        <w:rPr>
          <w:bCs/>
          <w:b/>
        </w:rPr>
        <w:t xml:space="preserve">)</w:t>
      </w:r>
      <w:r>
        <w:t xml:space="preserve"> </w:t>
      </w:r>
      <w:r>
        <w:t xml:space="preserve">— root</w:t>
      </w:r>
      <w:r>
        <w:t xml:space="preserve"> </w:t>
      </w:r>
      <w:r>
        <w:rPr>
          <w:iCs/>
          <w:i/>
        </w:rPr>
        <w:t xml:space="preserve">nṝ</w:t>
      </w:r>
      <w:r>
        <w:t xml:space="preserve"> </w:t>
      </w:r>
      <w:r>
        <w:t xml:space="preserve">[?]</w:t>
      </w:r>
      <w:r>
        <w:t xml:space="preserve"> </w:t>
      </w:r>
      <w:r>
        <w:rPr>
          <w:iCs/>
          <w:i/>
        </w:rPr>
        <w:t xml:space="preserve">naye</w:t>
      </w:r>
      <w:r>
        <w:t xml:space="preserve">; by</w:t>
      </w:r>
      <w:r>
        <w:t xml:space="preserve"> </w:t>
      </w:r>
      <w:r>
        <w:t xml:space="preserve">“</w:t>
      </w:r>
      <w:r>
        <w:t xml:space="preserve">ṛdorap</w:t>
      </w:r>
      <w:r>
        <w:t xml:space="preserve">”</w:t>
      </w:r>
      <w:r>
        <w:t xml:space="preserve"> </w:t>
      </w:r>
      <w:r>
        <w:t xml:space="preserve">(printed</w:t>
      </w:r>
      <w:r>
        <w:t xml:space="preserve"> </w:t>
      </w:r>
      <w:r>
        <w:t xml:space="preserve">“</w:t>
      </w:r>
      <w:r>
        <w:t xml:space="preserve">vā. sū.</w:t>
      </w:r>
      <w:r>
        <w:t xml:space="preserve">”</w:t>
      </w:r>
      <w:r>
        <w:t xml:space="preserve"> </w:t>
      </w:r>
      <w:r>
        <w:t xml:space="preserve">[sic] 3-3-57), after roots ending in</w:t>
      </w:r>
      <w:r>
        <w:t xml:space="preserve"> </w:t>
      </w:r>
      <w:r>
        <w:rPr>
          <w:iCs/>
          <w:i/>
        </w:rPr>
        <w:t xml:space="preserve">ṝ</w:t>
      </w:r>
      <w:r>
        <w:t xml:space="preserve"> </w:t>
      </w:r>
      <w:r>
        <w:t xml:space="preserve">or</w:t>
      </w:r>
      <w:r>
        <w:t xml:space="preserve"> </w:t>
      </w:r>
      <w:r>
        <w:rPr>
          <w:iCs/>
          <w:i/>
        </w:rPr>
        <w:t xml:space="preserve">u</w:t>
      </w:r>
      <w:r>
        <w:t xml:space="preserve">,</w:t>
      </w:r>
      <w:r>
        <w:t xml:space="preserve"> </w:t>
      </w:r>
      <w:r>
        <w:rPr>
          <w:iCs/>
          <w:i/>
        </w:rPr>
        <w:t xml:space="preserve">ap</w:t>
      </w:r>
      <w:r>
        <w:t xml:space="preserve"> </w:t>
      </w:r>
      <w:r>
        <w:t xml:space="preserve">comes both in the sense of the state and for a</w:t>
      </w:r>
      <w:r>
        <w:t xml:space="preserve"> </w:t>
      </w:r>
      <w:r>
        <w:rPr>
          <w:iCs/>
          <w:i/>
        </w:rPr>
        <w:t xml:space="preserve">kāraka</w:t>
      </w:r>
      <w:r>
        <w:t xml:space="preserve"> </w:t>
      </w:r>
      <w:r>
        <w:t xml:space="preserve">other than the agent; so</w:t>
      </w:r>
      <w:r>
        <w:t xml:space="preserve"> </w:t>
      </w:r>
      <w:r>
        <w:rPr>
          <w:iCs/>
          <w:i/>
        </w:rPr>
        <w:t xml:space="preserve">ap</w:t>
      </w:r>
      <w:r>
        <w:t xml:space="preserve"> </w:t>
      </w:r>
      <w:r>
        <w:t xml:space="preserve">after</w:t>
      </w:r>
      <w:r>
        <w:t xml:space="preserve"> </w:t>
      </w:r>
      <w:r>
        <w:rPr>
          <w:iCs/>
          <w:i/>
        </w:rPr>
        <w:t xml:space="preserve">nṝ</w:t>
      </w:r>
      <w:r>
        <w:t xml:space="preserve">:</w:t>
      </w:r>
      <w:r>
        <w:t xml:space="preserve"> </w:t>
      </w:r>
      <w:r>
        <w:rPr>
          <w:iCs/>
          <w:i/>
        </w:rPr>
        <w:t xml:space="preserve">nṝ</w:t>
      </w:r>
      <w:r>
        <w:t xml:space="preserve"> </w:t>
      </w:r>
      <w:r>
        <w:t xml:space="preserve">+</w:t>
      </w:r>
      <w:r>
        <w:t xml:space="preserve"> </w:t>
      </w:r>
      <w:r>
        <w:rPr>
          <w:iCs/>
          <w:i/>
        </w:rPr>
        <w:t xml:space="preserve">a</w:t>
      </w:r>
      <w:r>
        <w:t xml:space="preserve">,</w:t>
      </w:r>
      <w:r>
        <w:t xml:space="preserve"> </w:t>
      </w:r>
      <w:r>
        <w:rPr>
          <w:iCs/>
          <w:i/>
        </w:rPr>
        <w:t xml:space="preserve">guṇa</w:t>
      </w:r>
    </w:p>
    <w:bookmarkEnd w:id="569"/>
    <w:bookmarkStart w:id="570" w:name="page-541-rik-3-grammar-closes"/>
    <w:p>
      <w:pPr>
        <w:pStyle w:val="Heading3"/>
      </w:pPr>
      <w:r>
        <w:t xml:space="preserve">Page 541 — Rik 3 grammar closes</w:t>
      </w:r>
    </w:p>
    <w:p>
      <w:pPr>
        <w:pStyle w:val="FirstParagraph"/>
      </w:pPr>
      <w:r>
        <w:t xml:space="preserve">with</w:t>
      </w:r>
      <w:r>
        <w:t xml:space="preserve"> </w:t>
      </w:r>
      <w:r>
        <w:rPr>
          <w:iCs/>
          <w:i/>
        </w:rPr>
        <w:t xml:space="preserve">r</w:t>
      </w:r>
      <w:r>
        <w:t xml:space="preserve">:</w:t>
      </w:r>
      <w:r>
        <w:t xml:space="preserve"> </w:t>
      </w:r>
      <w:r>
        <w:rPr>
          <w:iCs/>
          <w:i/>
        </w:rPr>
        <w:t xml:space="preserve">nara</w:t>
      </w:r>
      <w:r>
        <w:t xml:space="preserve">. The suffix being</w:t>
      </w:r>
      <w:r>
        <w:t xml:space="preserve"> </w:t>
      </w:r>
      <w:r>
        <w:rPr>
          <w:iCs/>
          <w:i/>
        </w:rPr>
        <w:t xml:space="preserve">pit</w:t>
      </w:r>
      <w:r>
        <w:t xml:space="preserve">, it is unaccented; the</w:t>
      </w:r>
      <w:r>
        <w:t xml:space="preserve"> </w:t>
      </w:r>
      <w:r>
        <w:rPr>
          <w:iCs/>
          <w:i/>
        </w:rPr>
        <w:t xml:space="preserve">a</w:t>
      </w:r>
      <w:r>
        <w:t xml:space="preserve"> </w:t>
      </w:r>
      <w:r>
        <w:t xml:space="preserve">after the</w:t>
      </w:r>
      <w:r>
        <w:t xml:space="preserve"> </w:t>
      </w:r>
      <w:r>
        <w:rPr>
          <w:iCs/>
          <w:i/>
        </w:rPr>
        <w:t xml:space="preserve">n</w:t>
      </w:r>
      <w:r>
        <w:t xml:space="preserve"> </w:t>
      </w:r>
      <w:r>
        <w:t xml:space="preserve">stays udātta by the root accent.</w:t>
      </w:r>
      <w:r>
        <w:t xml:space="preserve"> </w:t>
      </w:r>
      <w:r>
        <w:t xml:space="preserve">“</w:t>
      </w:r>
      <w:r>
        <w:t xml:space="preserve">śaṃsanti asmin iti śaṃsaḥ</w:t>
      </w:r>
      <w:r>
        <w:t xml:space="preserve">”</w:t>
      </w:r>
      <w:r>
        <w:t xml:space="preserve">:</w:t>
      </w:r>
      <w:r>
        <w:t xml:space="preserve"> </w:t>
      </w:r>
      <w:r>
        <w:t xml:space="preserve">“</w:t>
      </w:r>
      <w:r>
        <w:t xml:space="preserve">halaś ca</w:t>
      </w:r>
      <w:r>
        <w:t xml:space="preserve">”</w:t>
      </w:r>
      <w:r>
        <w:t xml:space="preserve"> </w:t>
      </w:r>
      <w:r>
        <w:t xml:space="preserve">(Pā. 3-3-121) — after a consonant-ending root,</w:t>
      </w:r>
      <w:r>
        <w:t xml:space="preserve"> </w:t>
      </w:r>
      <w:r>
        <w:rPr>
          <w:iCs/>
          <w:i/>
        </w:rPr>
        <w:t xml:space="preserve">ghañ</w:t>
      </w:r>
      <w:r>
        <w:t xml:space="preserve"> </w:t>
      </w:r>
      <w:r>
        <w:t xml:space="preserve">— gives</w:t>
      </w:r>
      <w:r>
        <w:t xml:space="preserve"> </w:t>
      </w:r>
      <w:r>
        <w:rPr>
          <w:iCs/>
          <w:i/>
        </w:rPr>
        <w:t xml:space="preserve">ghañ</w:t>
      </w:r>
      <w:r>
        <w:t xml:space="preserve"> </w:t>
      </w:r>
      <w:r>
        <w:t xml:space="preserve">after</w:t>
      </w:r>
      <w:r>
        <w:t xml:space="preserve"> </w:t>
      </w:r>
      <w:r>
        <w:rPr>
          <w:iCs/>
          <w:i/>
        </w:rPr>
        <w:t xml:space="preserve">śaṃs</w:t>
      </w:r>
      <w:r>
        <w:t xml:space="preserve"> </w:t>
      </w:r>
      <w:r>
        <w:t xml:space="preserve">in the locative sense;</w:t>
      </w:r>
      <w:r>
        <w:t xml:space="preserve"> </w:t>
      </w:r>
      <w:r>
        <w:rPr>
          <w:iCs/>
          <w:i/>
        </w:rPr>
        <w:t xml:space="preserve">śaṃsa</w:t>
      </w:r>
      <w:r>
        <w:t xml:space="preserve"> </w:t>
      </w:r>
      <w:r>
        <w:t xml:space="preserve">is initial-udātta by</w:t>
      </w:r>
      <w:r>
        <w:t xml:space="preserve"> </w:t>
      </w:r>
      <w:r>
        <w:t xml:space="preserve">“</w:t>
      </w:r>
      <w:r>
        <w:t xml:space="preserve">ñnity ādir nityam</w:t>
      </w:r>
      <w:r>
        <w:t xml:space="preserve">”</w:t>
      </w:r>
      <w:r>
        <w:t xml:space="preserve"> </w:t>
      </w:r>
      <w:r>
        <w:t xml:space="preserve">(Pā. 6-1-197). On compounding</w:t>
      </w:r>
      <w:r>
        <w:t xml:space="preserve"> </w:t>
      </w:r>
      <w:r>
        <w:t xml:space="preserve">“</w:t>
      </w:r>
      <w:r>
        <w:t xml:space="preserve">narāṇāṃ śaṃsaḥ</w:t>
      </w:r>
      <w:r>
        <w:t xml:space="preserve">”</w:t>
      </w:r>
      <w:r>
        <w:t xml:space="preserve">,</w:t>
      </w:r>
      <w:r>
        <w:t xml:space="preserve"> </w:t>
      </w:r>
      <w:r>
        <w:t xml:space="preserve">“</w:t>
      </w:r>
      <w:r>
        <w:t xml:space="preserve">gati-kārakopapadāt kṛt</w:t>
      </w:r>
      <w:r>
        <w:t xml:space="preserve">”</w:t>
      </w:r>
      <w:r>
        <w:t xml:space="preserve"> </w:t>
      </w:r>
      <w:r>
        <w:t xml:space="preserve">(Pā. 6-2-139) would give the</w:t>
      </w:r>
      <w:r>
        <w:t xml:space="preserve"> </w:t>
      </w:r>
      <w:r>
        <w:rPr>
          <w:iCs/>
          <w:i/>
        </w:rPr>
        <w:t xml:space="preserve">kṛt</w:t>
      </w:r>
      <w:r>
        <w:t xml:space="preserve"> </w:t>
      </w:r>
      <w:r>
        <w:t xml:space="preserve">second-member accent; setting it aside,</w:t>
      </w:r>
      <w:r>
        <w:t xml:space="preserve"> </w:t>
      </w:r>
      <w:r>
        <w:t xml:space="preserve">“</w:t>
      </w:r>
      <w:r>
        <w:t xml:space="preserve">thātha-ghañ-ktāj-abitra-kāṇām</w:t>
      </w:r>
      <w:r>
        <w:t xml:space="preserve">”</w:t>
      </w:r>
      <w:r>
        <w:t xml:space="preserve"> </w:t>
      </w:r>
      <w:r>
        <w:t xml:space="preserve">(Pā. 6-2-144) would make the second member final-udātta; setting that aside, since</w:t>
      </w:r>
      <w:r>
        <w:t xml:space="preserve"> </w:t>
      </w:r>
      <w:r>
        <w:rPr>
          <w:iCs/>
          <w:i/>
        </w:rPr>
        <w:t xml:space="preserve">narāśaṃsa</w:t>
      </w:r>
      <w:r>
        <w:t xml:space="preserve"> </w:t>
      </w:r>
      <w:r>
        <w:t xml:space="preserve">is read in the</w:t>
      </w:r>
      <w:r>
        <w:t xml:space="preserve"> </w:t>
      </w:r>
      <w:r>
        <w:rPr>
          <w:iCs/>
          <w:i/>
        </w:rPr>
        <w:t xml:space="preserve">vanaspatyādi</w:t>
      </w:r>
      <w:r>
        <w:t xml:space="preserve"> </w:t>
      </w:r>
      <w:r>
        <w:t xml:space="preserve">group,</w:t>
      </w:r>
      <w:r>
        <w:t xml:space="preserve"> </w:t>
      </w:r>
      <w:r>
        <w:t xml:space="preserve">“</w:t>
      </w:r>
      <w:r>
        <w:t xml:space="preserve">ubhe vanaspatyādiṣu yugapat</w:t>
      </w:r>
      <w:r>
        <w:t xml:space="preserve">”</w:t>
      </w:r>
      <w:r>
        <w:t xml:space="preserve"> </w:t>
      </w:r>
      <w:r>
        <w:t xml:space="preserve">(Pā. 6-2-140) — in the words of this group the first and second members both keep their own accents at once — gives both members their own accent together. Because in this</w:t>
      </w:r>
      <w:r>
        <w:t xml:space="preserve"> </w:t>
      </w:r>
      <w:r>
        <w:rPr>
          <w:iCs/>
          <w:i/>
        </w:rPr>
        <w:t xml:space="preserve">vanaspatyādi</w:t>
      </w:r>
      <w:r>
        <w:t xml:space="preserve"> </w:t>
      </w:r>
      <w:r>
        <w:t xml:space="preserve">group</w:t>
      </w:r>
      <w:r>
        <w:t xml:space="preserve"> </w:t>
      </w:r>
      <w:r>
        <w:rPr>
          <w:iCs/>
          <w:i/>
        </w:rPr>
        <w:t xml:space="preserve">nara</w:t>
      </w:r>
      <w:r>
        <w:t xml:space="preserve"> </w:t>
      </w:r>
      <w:r>
        <w:t xml:space="preserve">is read lengthened as</w:t>
      </w:r>
      <w:r>
        <w:t xml:space="preserve"> </w:t>
      </w:r>
      <w:r>
        <w:rPr>
          <w:iCs/>
          <w:i/>
        </w:rPr>
        <w:t xml:space="preserve">narāśaṃsa</w:t>
      </w:r>
      <w:r>
        <w:t xml:space="preserve">,</w:t>
      </w:r>
      <w:r>
        <w:t xml:space="preserve"> </w:t>
      </w:r>
      <w:r>
        <w:rPr>
          <w:iCs/>
          <w:i/>
        </w:rPr>
        <w:t xml:space="preserve">nara</w:t>
      </w:r>
      <w:r>
        <w:t xml:space="preserve"> </w:t>
      </w:r>
      <w:r>
        <w:t xml:space="preserve">is lengthened; the author of the Kaumudī too explains the lengthening in this way as irregular formation. Some derive the lengthening of the first member from</w:t>
      </w:r>
      <w:r>
        <w:t xml:space="preserve"> </w:t>
      </w:r>
      <w:r>
        <w:t xml:space="preserve">“</w:t>
      </w:r>
      <w:r>
        <w:t xml:space="preserve">anyeṣām api dṛśyate</w:t>
      </w:r>
      <w:r>
        <w:t xml:space="preserve">”</w:t>
      </w:r>
      <w:r>
        <w:t xml:space="preserve"> </w:t>
      </w:r>
      <w:r>
        <w:t xml:space="preserve">(Pā. 6-3-137).</w:t>
      </w:r>
      <w:r>
        <w:t xml:space="preserve"> </w:t>
      </w:r>
      <w:r>
        <w:rPr>
          <w:bCs/>
          <w:b/>
        </w:rPr>
        <w:t xml:space="preserve">इह (</w:t>
      </w:r>
      <w:r>
        <w:rPr>
          <w:iCs/>
          <w:i/>
          <w:bCs/>
          <w:b/>
        </w:rPr>
        <w:t xml:space="preserve">iha</w:t>
      </w:r>
      <w:r>
        <w:rPr>
          <w:bCs/>
          <w:b/>
        </w:rPr>
        <w:t xml:space="preserve">)</w:t>
      </w:r>
      <w:r>
        <w:t xml:space="preserve"> </w:t>
      </w:r>
      <w:r>
        <w:t xml:space="preserve">—</w:t>
      </w:r>
      <w:r>
        <w:t xml:space="preserve"> </w:t>
      </w:r>
      <w:r>
        <w:t xml:space="preserve">“</w:t>
      </w:r>
      <w:r>
        <w:t xml:space="preserve">idamo haḥ</w:t>
      </w:r>
      <w:r>
        <w:t xml:space="preserve">”</w:t>
      </w:r>
      <w:r>
        <w:t xml:space="preserve"> </w:t>
      </w:r>
      <w:r>
        <w:t xml:space="preserve">(Pā. 5-3-11): after a locative of</w:t>
      </w:r>
      <w:r>
        <w:t xml:space="preserve"> </w:t>
      </w:r>
      <w:r>
        <w:rPr>
          <w:iCs/>
          <w:i/>
        </w:rPr>
        <w:t xml:space="preserve">idam</w:t>
      </w:r>
      <w:r>
        <w:t xml:space="preserve"> </w:t>
      </w:r>
      <w:r>
        <w:t xml:space="preserve">the suffix</w:t>
      </w:r>
      <w:r>
        <w:t xml:space="preserve"> </w:t>
      </w:r>
      <w:r>
        <w:rPr>
          <w:iCs/>
          <w:i/>
        </w:rPr>
        <w:t xml:space="preserve">ha</w:t>
      </w:r>
      <w:r>
        <w:t xml:space="preserve">:</w:t>
      </w:r>
      <w:r>
        <w:t xml:space="preserve"> </w:t>
      </w:r>
      <w:r>
        <w:rPr>
          <w:iCs/>
          <w:i/>
        </w:rPr>
        <w:t xml:space="preserve">idam</w:t>
      </w:r>
      <w:r>
        <w:t xml:space="preserve"> </w:t>
      </w:r>
      <w:r>
        <w:t xml:space="preserve">+</w:t>
      </w:r>
      <w:r>
        <w:t xml:space="preserve"> </w:t>
      </w:r>
      <w:r>
        <w:rPr>
          <w:iCs/>
          <w:i/>
        </w:rPr>
        <w:t xml:space="preserve">ṅi</w:t>
      </w:r>
      <w:r>
        <w:t xml:space="preserve"> </w:t>
      </w:r>
      <w:r>
        <w:t xml:space="preserve">+</w:t>
      </w:r>
      <w:r>
        <w:t xml:space="preserve"> </w:t>
      </w:r>
      <w:r>
        <w:rPr>
          <w:iCs/>
          <w:i/>
        </w:rPr>
        <w:t xml:space="preserve">ha</w:t>
      </w:r>
      <w:r>
        <w:t xml:space="preserve">;</w:t>
      </w:r>
      <w:r>
        <w:t xml:space="preserve"> </w:t>
      </w:r>
      <w:r>
        <w:rPr>
          <w:iCs/>
          <w:i/>
        </w:rPr>
        <w:t xml:space="preserve">luk</w:t>
      </w:r>
      <w:r>
        <w:t xml:space="preserve"> </w:t>
      </w:r>
      <w:r>
        <w:t xml:space="preserve">of</w:t>
      </w:r>
      <w:r>
        <w:t xml:space="preserve"> </w:t>
      </w:r>
      <w:r>
        <w:rPr>
          <w:iCs/>
          <w:i/>
        </w:rPr>
        <w:t xml:space="preserve">ṅi</w:t>
      </w:r>
      <w:r>
        <w:t xml:space="preserve">;</w:t>
      </w:r>
      <w:r>
        <w:t xml:space="preserve"> </w:t>
      </w:r>
      <w:r>
        <w:rPr>
          <w:iCs/>
          <w:i/>
        </w:rPr>
        <w:t xml:space="preserve">iś</w:t>
      </w:r>
      <w:r>
        <w:t xml:space="preserve"> </w:t>
      </w:r>
      <w:r>
        <w:t xml:space="preserve">for</w:t>
      </w:r>
      <w:r>
        <w:t xml:space="preserve"> </w:t>
      </w:r>
      <w:r>
        <w:rPr>
          <w:iCs/>
          <w:i/>
        </w:rPr>
        <w:t xml:space="preserve">idam</w:t>
      </w:r>
      <w:r>
        <w:t xml:space="preserve"> </w:t>
      </w:r>
      <w:r>
        <w:t xml:space="preserve">by</w:t>
      </w:r>
      <w:r>
        <w:t xml:space="preserve"> </w:t>
      </w:r>
      <w:r>
        <w:t xml:space="preserve">“</w:t>
      </w:r>
      <w:r>
        <w:t xml:space="preserve">idama iś</w:t>
      </w:r>
      <w:r>
        <w:t xml:space="preserve">”</w:t>
      </w:r>
      <w:r>
        <w:t xml:space="preserve"> </w:t>
      </w:r>
      <w:r>
        <w:t xml:space="preserve">(Pā. 5-3-3):</w:t>
      </w:r>
      <w:r>
        <w:t xml:space="preserve"> </w:t>
      </w:r>
      <w:r>
        <w:rPr>
          <w:iCs/>
          <w:i/>
        </w:rPr>
        <w:t xml:space="preserve">iha</w:t>
      </w:r>
      <w:r>
        <w:t xml:space="preserve">; the suffix accent.</w:t>
      </w:r>
      <w:r>
        <w:t xml:space="preserve"> </w:t>
      </w:r>
      <w:r>
        <w:rPr>
          <w:bCs/>
          <w:b/>
        </w:rPr>
        <w:t xml:space="preserve">प्रियम् (</w:t>
      </w:r>
      <w:r>
        <w:rPr>
          <w:iCs/>
          <w:i/>
          <w:bCs/>
          <w:b/>
        </w:rPr>
        <w:t xml:space="preserve">priyam</w:t>
      </w:r>
      <w:r>
        <w:rPr>
          <w:bCs/>
          <w:b/>
        </w:rPr>
        <w:t xml:space="preserve">)</w:t>
      </w:r>
      <w:r>
        <w:t xml:space="preserve"> </w:t>
      </w:r>
      <w:r>
        <w:t xml:space="preserve">—</w:t>
      </w:r>
      <w:r>
        <w:t xml:space="preserve"> </w:t>
      </w:r>
      <w:r>
        <w:t xml:space="preserve">“</w:t>
      </w:r>
      <w:r>
        <w:t xml:space="preserve">prīṇāti iti priyaḥ</w:t>
      </w:r>
      <w:r>
        <w:t xml:space="preserve">”</w:t>
      </w:r>
      <w:r>
        <w:t xml:space="preserve">:</w:t>
      </w:r>
      <w:r>
        <w:t xml:space="preserve"> </w:t>
      </w:r>
      <w:r>
        <w:t xml:space="preserve">“</w:t>
      </w:r>
      <w:r>
        <w:t xml:space="preserve">igupadha-jñā-prī-kiraḥ kaḥ</w:t>
      </w:r>
      <w:r>
        <w:t xml:space="preserve">”</w:t>
      </w:r>
      <w:r>
        <w:t xml:space="preserve"> </w:t>
      </w:r>
      <w:r>
        <w:t xml:space="preserve">(Pā. 3-1-135): after roots with</w:t>
      </w:r>
      <w:r>
        <w:t xml:space="preserve"> </w:t>
      </w:r>
      <w:r>
        <w:rPr>
          <w:iCs/>
          <w:i/>
        </w:rPr>
        <w:t xml:space="preserve">ik</w:t>
      </w:r>
      <w:r>
        <w:t xml:space="preserve"> </w:t>
      </w:r>
      <w:r>
        <w:t xml:space="preserve">as penultimate and after</w:t>
      </w:r>
      <w:r>
        <w:t xml:space="preserve"> </w:t>
      </w:r>
      <w:r>
        <w:rPr>
          <w:iCs/>
          <w:i/>
        </w:rPr>
        <w:t xml:space="preserve">jñā avabodhane</w:t>
      </w:r>
      <w:r>
        <w:t xml:space="preserve">,</w:t>
      </w:r>
      <w:r>
        <w:t xml:space="preserve"> </w:t>
      </w:r>
      <w:r>
        <w:rPr>
          <w:iCs/>
          <w:i/>
        </w:rPr>
        <w:t xml:space="preserve">prīñ tarpaṇe</w:t>
      </w:r>
      <w:r>
        <w:t xml:space="preserve"> </w:t>
      </w:r>
      <w:r>
        <w:t xml:space="preserve">and</w:t>
      </w:r>
      <w:r>
        <w:t xml:space="preserve"> </w:t>
      </w:r>
      <w:r>
        <w:rPr>
          <w:iCs/>
          <w:i/>
        </w:rPr>
        <w:t xml:space="preserve">kṝ vikṣepe</w:t>
      </w:r>
      <w:r>
        <w:t xml:space="preserve">, the suffix</w:t>
      </w:r>
      <w:r>
        <w:t xml:space="preserve"> </w:t>
      </w:r>
      <w:r>
        <w:rPr>
          <w:iCs/>
          <w:i/>
        </w:rPr>
        <w:t xml:space="preserve">ka</w:t>
      </w:r>
      <w:r>
        <w:t xml:space="preserve">; so</w:t>
      </w:r>
      <w:r>
        <w:t xml:space="preserve"> </w:t>
      </w:r>
      <w:r>
        <w:rPr>
          <w:iCs/>
          <w:i/>
        </w:rPr>
        <w:t xml:space="preserve">ka</w:t>
      </w:r>
      <w:r>
        <w:t xml:space="preserve"> </w:t>
      </w:r>
      <w:r>
        <w:t xml:space="preserve">after</w:t>
      </w:r>
      <w:r>
        <w:t xml:space="preserve"> </w:t>
      </w:r>
      <w:r>
        <w:rPr>
          <w:iCs/>
          <w:i/>
        </w:rPr>
        <w:t xml:space="preserve">prīñ tarpaṇe</w:t>
      </w:r>
      <w:r>
        <w:t xml:space="preserve">; being</w:t>
      </w:r>
      <w:r>
        <w:t xml:space="preserve"> </w:t>
      </w:r>
      <w:r>
        <w:rPr>
          <w:iCs/>
          <w:i/>
        </w:rPr>
        <w:t xml:space="preserve">kit</w:t>
      </w:r>
      <w:r>
        <w:t xml:space="preserve">, no</w:t>
      </w:r>
      <w:r>
        <w:t xml:space="preserve"> </w:t>
      </w:r>
      <w:r>
        <w:rPr>
          <w:iCs/>
          <w:i/>
        </w:rPr>
        <w:t xml:space="preserve">guṇa</w:t>
      </w:r>
      <w:r>
        <w:t xml:space="preserve">;</w:t>
      </w:r>
      <w:r>
        <w:t xml:space="preserve"> </w:t>
      </w:r>
      <w:r>
        <w:rPr>
          <w:iCs/>
          <w:i/>
        </w:rPr>
        <w:t xml:space="preserve">iyaṅ</w:t>
      </w:r>
      <w:r>
        <w:t xml:space="preserve"> </w:t>
      </w:r>
      <w:r>
        <w:t xml:space="preserve">by</w:t>
      </w:r>
      <w:r>
        <w:t xml:space="preserve"> </w:t>
      </w:r>
      <w:r>
        <w:t xml:space="preserve">“</w:t>
      </w:r>
      <w:r>
        <w:t xml:space="preserve">aci śnu-dhātu-bhruvāṃ yvor iyaṅ-uvaṅau</w:t>
      </w:r>
      <w:r>
        <w:t xml:space="preserve">”</w:t>
      </w:r>
      <w:r>
        <w:t xml:space="preserve"> </w:t>
      </w:r>
      <w:r>
        <w:t xml:space="preserve">(Pā. 6-4-77):</w:t>
      </w:r>
      <w:r>
        <w:t xml:space="preserve"> </w:t>
      </w:r>
      <w:r>
        <w:rPr>
          <w:iCs/>
          <w:i/>
        </w:rPr>
        <w:t xml:space="preserve">priya</w:t>
      </w:r>
      <w:r>
        <w:t xml:space="preserve">; the suffix accent.</w:t>
      </w:r>
      <w:r>
        <w:t xml:space="preserve"> </w:t>
      </w:r>
      <w:r>
        <w:rPr>
          <w:iCs/>
          <w:i/>
        </w:rPr>
        <w:t xml:space="preserve">Asmin</w:t>
      </w:r>
      <w:r>
        <w:t xml:space="preserve">: by</w:t>
      </w:r>
      <w:r>
        <w:t xml:space="preserve"> </w:t>
      </w:r>
      <w:r>
        <w:t xml:space="preserve">“</w:t>
      </w:r>
      <w:r>
        <w:t xml:space="preserve">ūḍ-idam-padādy-ap-pum-rai-dyubhyaḥ</w:t>
      </w:r>
      <w:r>
        <w:t xml:space="preserve">”</w:t>
      </w:r>
      <w:r>
        <w:t xml:space="preserve"> </w:t>
      </w:r>
      <w:r>
        <w:t xml:space="preserve">(printed</w:t>
      </w:r>
      <w:r>
        <w:t xml:space="preserve"> </w:t>
      </w:r>
      <w:r>
        <w:t xml:space="preserve">“</w:t>
      </w:r>
      <w:r>
        <w:t xml:space="preserve">6-1-71</w:t>
      </w:r>
      <w:r>
        <w:t xml:space="preserve">”</w:t>
      </w:r>
      <w:r>
        <w:t xml:space="preserve"> </w:t>
      </w:r>
      <w:r>
        <w:t xml:space="preserve">[sic]; the sūtra is 6-1-171) the case ending is udātta.</w:t>
      </w:r>
      <w:r>
        <w:t xml:space="preserve"> </w:t>
      </w:r>
      <w:r>
        <w:rPr>
          <w:bCs/>
          <w:b/>
        </w:rPr>
        <w:t xml:space="preserve">ह्वये (</w:t>
      </w:r>
      <w:r>
        <w:rPr>
          <w:iCs/>
          <w:i/>
          <w:bCs/>
          <w:b/>
        </w:rPr>
        <w:t xml:space="preserve">hvaye</w:t>
      </w:r>
      <w:r>
        <w:rPr>
          <w:bCs/>
          <w:b/>
        </w:rPr>
        <w:t xml:space="preserve">)</w:t>
      </w:r>
      <w:r>
        <w:t xml:space="preserve"> </w:t>
      </w:r>
      <w:r>
        <w:t xml:space="preserve">— root</w:t>
      </w:r>
      <w:r>
        <w:t xml:space="preserve"> </w:t>
      </w:r>
      <w:r>
        <w:rPr>
          <w:iCs/>
          <w:i/>
        </w:rPr>
        <w:t xml:space="preserve">hveñ spardhāyāṃ śabde ca</w:t>
      </w:r>
      <w:r>
        <w:t xml:space="preserve">; being</w:t>
      </w:r>
      <w:r>
        <w:t xml:space="preserve"> </w:t>
      </w:r>
      <w:r>
        <w:rPr>
          <w:iCs/>
          <w:i/>
        </w:rPr>
        <w:t xml:space="preserve">ñit</w:t>
      </w:r>
      <w:r>
        <w:t xml:space="preserve">, it is</w:t>
      </w:r>
      <w:r>
        <w:t xml:space="preserve"> </w:t>
      </w:r>
      <w:r>
        <w:rPr>
          <w:iCs/>
          <w:i/>
        </w:rPr>
        <w:t xml:space="preserve">ubhayapadin</w:t>
      </w:r>
      <w:r>
        <w:t xml:space="preserve">; ātmanepada</w:t>
      </w:r>
      <w:r>
        <w:t xml:space="preserve"> </w:t>
      </w:r>
      <w:r>
        <w:rPr>
          <w:iCs/>
          <w:i/>
        </w:rPr>
        <w:t xml:space="preserve">laṭ</w:t>
      </w:r>
      <w:r>
        <w:t xml:space="preserve">, first singular</w:t>
      </w:r>
      <w:r>
        <w:t xml:space="preserve"> </w:t>
      </w:r>
      <w:r>
        <w:rPr>
          <w:iCs/>
          <w:i/>
        </w:rPr>
        <w:t xml:space="preserve">iṭ</w:t>
      </w:r>
      <w:r>
        <w:t xml:space="preserve">;</w:t>
      </w:r>
      <w:r>
        <w:t xml:space="preserve"> </w:t>
      </w:r>
      <w:r>
        <w:t xml:space="preserve">“</w:t>
      </w:r>
      <w:r>
        <w:t xml:space="preserve">ṭita ātmanepadānāṃ ṭere</w:t>
      </w:r>
      <w:r>
        <w:t xml:space="preserve">”</w:t>
      </w:r>
      <w:r>
        <w:t xml:space="preserve"> </w:t>
      </w:r>
      <w:r>
        <w:t xml:space="preserve">(Pā. 3-4-79) gives</w:t>
      </w:r>
      <w:r>
        <w:t xml:space="preserve"> </w:t>
      </w:r>
      <w:r>
        <w:rPr>
          <w:iCs/>
          <w:i/>
        </w:rPr>
        <w:t xml:space="preserve">e</w:t>
      </w:r>
      <w:r>
        <w:t xml:space="preserve"> </w:t>
      </w:r>
      <w:r>
        <w:t xml:space="preserve">for it;</w:t>
      </w:r>
      <w:r>
        <w:t xml:space="preserve"> </w:t>
      </w:r>
      <w:r>
        <w:rPr>
          <w:iCs/>
          <w:i/>
        </w:rPr>
        <w:t xml:space="preserve">pararūpa</w:t>
      </w:r>
      <w:r>
        <w:t xml:space="preserve"> </w:t>
      </w:r>
      <w:r>
        <w:t xml:space="preserve">with the</w:t>
      </w:r>
      <w:r>
        <w:t xml:space="preserve"> </w:t>
      </w:r>
      <w:r>
        <w:rPr>
          <w:iCs/>
          <w:i/>
        </w:rPr>
        <w:t xml:space="preserve">śap</w:t>
      </w:r>
      <w:r>
        <w:t xml:space="preserve"> </w:t>
      </w:r>
      <w:r>
        <w:t xml:space="preserve">of</w:t>
      </w:r>
      <w:r>
        <w:t xml:space="preserve"> </w:t>
      </w:r>
      <w:r>
        <w:t xml:space="preserve">“</w:t>
      </w:r>
      <w:r>
        <w:t xml:space="preserve">kartari śap</w:t>
      </w:r>
      <w:r>
        <w:t xml:space="preserve">”</w:t>
      </w:r>
      <w:r>
        <w:t xml:space="preserve">:</w:t>
      </w:r>
      <w:r>
        <w:t xml:space="preserve"> </w:t>
      </w:r>
      <w:r>
        <w:rPr>
          <w:iCs/>
          <w:i/>
        </w:rPr>
        <w:t xml:space="preserve">hvaye</w:t>
      </w:r>
      <w:r>
        <w:t xml:space="preserve">; wholly unaccented by</w:t>
      </w:r>
      <w:r>
        <w:t xml:space="preserve"> </w:t>
      </w:r>
      <w:r>
        <w:t xml:space="preserve">“</w:t>
      </w:r>
      <w:r>
        <w:t xml:space="preserve">tiṅṅ atiṅaḥ</w:t>
      </w:r>
      <w:r>
        <w:t xml:space="preserve">”</w:t>
      </w:r>
      <w:r>
        <w:t xml:space="preserve">.</w:t>
      </w:r>
      <w:r>
        <w:t xml:space="preserve"> </w:t>
      </w:r>
      <w:r>
        <w:rPr>
          <w:bCs/>
          <w:b/>
        </w:rPr>
        <w:t xml:space="preserve">मधुजिह्वम् (</w:t>
      </w:r>
      <w:r>
        <w:rPr>
          <w:iCs/>
          <w:i/>
          <w:bCs/>
          <w:b/>
        </w:rPr>
        <w:t xml:space="preserve">madhujihvam</w:t>
      </w:r>
      <w:r>
        <w:rPr>
          <w:bCs/>
          <w:b/>
        </w:rPr>
        <w:t xml:space="preserve">)</w:t>
      </w:r>
      <w:r>
        <w:t xml:space="preserve"> </w:t>
      </w:r>
      <w:r>
        <w:t xml:space="preserve">—</w:t>
      </w:r>
      <w:r>
        <w:t xml:space="preserve"> </w:t>
      </w:r>
      <w:r>
        <w:rPr>
          <w:iCs/>
          <w:i/>
        </w:rPr>
        <w:t xml:space="preserve">madhu</w:t>
      </w:r>
      <w:r>
        <w:t xml:space="preserve"> </w:t>
      </w:r>
      <w:r>
        <w:t xml:space="preserve">was said in the previous mantra to be initial-udātta;</w:t>
      </w:r>
      <w:r>
        <w:t xml:space="preserve"> </w:t>
      </w:r>
      <w:r>
        <w:t xml:space="preserve">“</w:t>
      </w:r>
      <w:r>
        <w:t xml:space="preserve">madhu jihvā yasya saḥ</w:t>
      </w:r>
      <w:r>
        <w:t xml:space="preserve">”</w:t>
      </w:r>
      <w:r>
        <w:t xml:space="preserve">, a bahuvrīhi; by</w:t>
      </w:r>
      <w:r>
        <w:t xml:space="preserve"> </w:t>
      </w:r>
      <w:r>
        <w:t xml:space="preserve">“</w:t>
      </w:r>
      <w:r>
        <w:t xml:space="preserve">bahuvrīhau prakṛtyā pūrvapadam</w:t>
      </w:r>
      <w:r>
        <w:t xml:space="preserve">”</w:t>
      </w:r>
      <w:r>
        <w:t xml:space="preserve"> </w:t>
      </w:r>
      <w:r>
        <w:t xml:space="preserve">(Pā. 6-2-1) the first-member accent stands.</w:t>
      </w:r>
      <w:r>
        <w:t xml:space="preserve"> </w:t>
      </w:r>
      <w:r>
        <w:rPr>
          <w:bCs/>
          <w:b/>
        </w:rPr>
        <w:t xml:space="preserve">हविष्कृतम् (</w:t>
      </w:r>
      <w:r>
        <w:rPr>
          <w:iCs/>
          <w:i/>
          <w:bCs/>
          <w:b/>
        </w:rPr>
        <w:t xml:space="preserve">haviṣkṛtam</w:t>
      </w:r>
      <w:r>
        <w:rPr>
          <w:bCs/>
          <w:b/>
        </w:rPr>
        <w:t xml:space="preserve">)</w:t>
      </w:r>
      <w:r>
        <w:t xml:space="preserve"> </w:t>
      </w:r>
      <w:r>
        <w:t xml:space="preserve">—</w:t>
      </w:r>
      <w:r>
        <w:t xml:space="preserve"> </w:t>
      </w:r>
      <w:r>
        <w:t xml:space="preserve">“</w:t>
      </w:r>
      <w:r>
        <w:t xml:space="preserve">haviḥ karoti</w:t>
      </w:r>
      <w:r>
        <w:t xml:space="preserve">”</w:t>
      </w:r>
      <w:r>
        <w:t xml:space="preserve">; after</w:t>
      </w:r>
      <w:r>
        <w:t xml:space="preserve"> </w:t>
      </w:r>
      <w:r>
        <w:rPr>
          <w:iCs/>
          <w:i/>
        </w:rPr>
        <w:t xml:space="preserve">ḍukṛñ</w:t>
      </w:r>
      <w:r>
        <w:t xml:space="preserve"> </w:t>
      </w:r>
      <w:r>
        <w:t xml:space="preserve">with</w:t>
      </w:r>
      <w:r>
        <w:t xml:space="preserve"> </w:t>
      </w:r>
      <w:r>
        <w:rPr>
          <w:iCs/>
          <w:i/>
        </w:rPr>
        <w:t xml:space="preserve">havis</w:t>
      </w:r>
      <w:r>
        <w:t xml:space="preserve"> </w:t>
      </w:r>
      <w:r>
        <w:t xml:space="preserve">as</w:t>
      </w:r>
      <w:r>
        <w:t xml:space="preserve"> </w:t>
      </w:r>
      <w:r>
        <w:rPr>
          <w:iCs/>
          <w:i/>
        </w:rPr>
        <w:t xml:space="preserve">upapada</w:t>
      </w:r>
      <w:r>
        <w:t xml:space="preserve">,</w:t>
      </w:r>
      <w:r>
        <w:t xml:space="preserve"> </w:t>
      </w:r>
      <w:r>
        <w:t xml:space="preserve">“</w:t>
      </w:r>
      <w:r>
        <w:t xml:space="preserve">kvip ca</w:t>
      </w:r>
      <w:r>
        <w:t xml:space="preserve">”</w:t>
      </w:r>
      <w:r>
        <w:t xml:space="preserve"> </w:t>
      </w:r>
      <w:r>
        <w:t xml:space="preserve">(Pā. 3-2-76) gives</w:t>
      </w:r>
      <w:r>
        <w:t xml:space="preserve"> </w:t>
      </w:r>
      <w:r>
        <w:rPr>
          <w:iCs/>
          <w:i/>
        </w:rPr>
        <w:t xml:space="preserve">kvip</w:t>
      </w:r>
      <w:r>
        <w:t xml:space="preserve">; as a</w:t>
      </w:r>
      <w:r>
        <w:t xml:space="preserve"> </w:t>
      </w:r>
      <w:r>
        <w:rPr>
          <w:iCs/>
          <w:i/>
        </w:rPr>
        <w:t xml:space="preserve">kṛdanta</w:t>
      </w:r>
      <w:r>
        <w:t xml:space="preserve"> </w:t>
      </w:r>
      <w:r>
        <w:t xml:space="preserve">it is a</w:t>
      </w:r>
      <w:r>
        <w:t xml:space="preserve"> </w:t>
      </w:r>
      <w:r>
        <w:rPr>
          <w:iCs/>
          <w:i/>
        </w:rPr>
        <w:t xml:space="preserve">prātipadika</w:t>
      </w:r>
      <w:r>
        <w:t xml:space="preserve">; the</w:t>
      </w:r>
      <w:r>
        <w:t xml:space="preserve"> </w:t>
      </w:r>
      <w:r>
        <w:rPr>
          <w:iCs/>
          <w:i/>
        </w:rPr>
        <w:t xml:space="preserve">sup</w:t>
      </w:r>
      <w:r>
        <w:t xml:space="preserve"> </w:t>
      </w:r>
      <w:r>
        <w:t xml:space="preserve">dropped, the</w:t>
      </w:r>
      <w:r>
        <w:t xml:space="preserve"> </w:t>
      </w:r>
      <w:r>
        <w:rPr>
          <w:iCs/>
          <w:i/>
        </w:rPr>
        <w:t xml:space="preserve">kvip</w:t>
      </w:r>
      <w:r>
        <w:t xml:space="preserve"> </w:t>
      </w:r>
      <w:r>
        <w:t xml:space="preserve">lost; before</w:t>
      </w:r>
      <w:r>
        <w:t xml:space="preserve"> </w:t>
      </w:r>
      <w:r>
        <w:rPr>
          <w:iCs/>
          <w:i/>
        </w:rPr>
        <w:t xml:space="preserve">havis</w:t>
      </w:r>
      <w:r>
        <w:t xml:space="preserve"> </w:t>
      </w:r>
      <w:r>
        <w:t xml:space="preserve">+</w:t>
      </w:r>
      <w:r>
        <w:t xml:space="preserve"> </w:t>
      </w:r>
      <w:r>
        <w:rPr>
          <w:iCs/>
          <w:i/>
        </w:rPr>
        <w:t xml:space="preserve">kṛ</w:t>
      </w:r>
      <w:r>
        <w:t xml:space="preserve">,</w:t>
      </w:r>
      <w:r>
        <w:t xml:space="preserve"> </w:t>
      </w:r>
      <w:r>
        <w:t xml:space="preserve">“</w:t>
      </w:r>
      <w:r>
        <w:t xml:space="preserve">hrasvasya piti kṛti tuk</w:t>
      </w:r>
      <w:r>
        <w:t xml:space="preserve">”</w:t>
      </w:r>
      <w:r>
        <w:t xml:space="preserve"> </w:t>
      </w:r>
      <w:r>
        <w:t xml:space="preserve">(Pā. 6-1-71) gives</w:t>
      </w:r>
      <w:r>
        <w:t xml:space="preserve"> </w:t>
      </w:r>
      <w:r>
        <w:rPr>
          <w:iCs/>
          <w:i/>
        </w:rPr>
        <w:t xml:space="preserve">tuk</w:t>
      </w:r>
      <w:r>
        <w:t xml:space="preserve"> </w:t>
      </w:r>
      <w:r>
        <w:t xml:space="preserve">to a stem ending in a short vowel before a</w:t>
      </w:r>
      <w:r>
        <w:t xml:space="preserve"> </w:t>
      </w:r>
      <w:r>
        <w:rPr>
          <w:iCs/>
          <w:i/>
        </w:rPr>
        <w:t xml:space="preserve">p</w:t>
      </w:r>
      <w:r>
        <w:t xml:space="preserve">-marked</w:t>
      </w:r>
      <w:r>
        <w:t xml:space="preserve"> </w:t>
      </w:r>
      <w:r>
        <w:rPr>
          <w:iCs/>
          <w:i/>
        </w:rPr>
        <w:t xml:space="preserve">kṛt</w:t>
      </w:r>
      <w:r>
        <w:t xml:space="preserve">; by the paribhāṣā</w:t>
      </w:r>
      <w:r>
        <w:t xml:space="preserve"> </w:t>
      </w:r>
      <w:r>
        <w:t xml:space="preserve">“</w:t>
      </w:r>
      <w:r>
        <w:t xml:space="preserve">ādyantau ṭakitau</w:t>
      </w:r>
      <w:r>
        <w:t xml:space="preserve">”</w:t>
      </w:r>
      <w:r>
        <w:t xml:space="preserve"> </w:t>
      </w:r>
      <w:r>
        <w:t xml:space="preserve">it is added at the end:</w:t>
      </w:r>
      <w:r>
        <w:t xml:space="preserve"> </w:t>
      </w:r>
      <w:r>
        <w:rPr>
          <w:iCs/>
          <w:i/>
        </w:rPr>
        <w:t xml:space="preserve">havis</w:t>
      </w:r>
      <w:r>
        <w:t xml:space="preserve"> </w:t>
      </w:r>
      <w:r>
        <w:t xml:space="preserve">+</w:t>
      </w:r>
      <w:r>
        <w:t xml:space="preserve"> </w:t>
      </w:r>
      <w:r>
        <w:rPr>
          <w:iCs/>
          <w:i/>
        </w:rPr>
        <w:t xml:space="preserve">kṛt</w:t>
      </w:r>
      <w:r>
        <w:t xml:space="preserve">;</w:t>
      </w:r>
      <w:r>
        <w:t xml:space="preserve"> </w:t>
      </w:r>
      <w:r>
        <w:rPr>
          <w:iCs/>
          <w:i/>
        </w:rPr>
        <w:t xml:space="preserve">ru</w:t>
      </w:r>
      <w:r>
        <w:t xml:space="preserve"> </w:t>
      </w:r>
      <w:r>
        <w:t xml:space="preserve">and visarga for the</w:t>
      </w:r>
      <w:r>
        <w:t xml:space="preserve"> </w:t>
      </w:r>
      <w:r>
        <w:rPr>
          <w:iCs/>
          <w:i/>
        </w:rPr>
        <w:t xml:space="preserve">s</w:t>
      </w:r>
      <w:r>
        <w:t xml:space="preserve">;</w:t>
      </w:r>
      <w:r>
        <w:t xml:space="preserve"> </w:t>
      </w:r>
      <w:r>
        <w:t xml:space="preserve">“</w:t>
      </w:r>
      <w:r>
        <w:t xml:space="preserve">nityaṃ samāse ’nuttarapadasthasya</w:t>
      </w:r>
      <w:r>
        <w:t xml:space="preserve">”</w:t>
      </w:r>
      <w:r>
        <w:t xml:space="preserve"> </w:t>
      </w:r>
      <w:r>
        <w:t xml:space="preserve">(Pā. 8-3-45) turns the visarga into</w:t>
      </w:r>
      <w:r>
        <w:t xml:space="preserve"> </w:t>
      </w:r>
      <w:r>
        <w:rPr>
          <w:iCs/>
          <w:i/>
        </w:rPr>
        <w:t xml:space="preserve">ṣ</w:t>
      </w:r>
      <w:r>
        <w:t xml:space="preserve">:</w:t>
      </w:r>
      <w:r>
        <w:t xml:space="preserve"> </w:t>
      </w:r>
      <w:r>
        <w:rPr>
          <w:iCs/>
          <w:i/>
        </w:rPr>
        <w:t xml:space="preserve">haviṣkṛt</w:t>
      </w:r>
      <w:r>
        <w:t xml:space="preserve">. By</w:t>
      </w:r>
      <w:r>
        <w:t xml:space="preserve"> </w:t>
      </w:r>
      <w:r>
        <w:t xml:space="preserve">“</w:t>
      </w:r>
      <w:r>
        <w:t xml:space="preserve">gati-kārakopapadāt kṛt</w:t>
      </w:r>
      <w:r>
        <w:t xml:space="preserve">”</w:t>
      </w:r>
      <w:r>
        <w:t xml:space="preserve"> </w:t>
      </w:r>
      <w:r>
        <w:t xml:space="preserve">(printed</w:t>
      </w:r>
      <w:r>
        <w:t xml:space="preserve"> </w:t>
      </w:r>
      <w:r>
        <w:t xml:space="preserve">“</w:t>
      </w:r>
      <w:r>
        <w:t xml:space="preserve">6-2 139</w:t>
      </w:r>
      <w:r>
        <w:t xml:space="preserve">”</w:t>
      </w:r>
      <w:r>
        <w:t xml:space="preserve">) the</w:t>
      </w:r>
      <w:r>
        <w:t xml:space="preserve"> </w:t>
      </w:r>
      <w:r>
        <w:rPr>
          <w:iCs/>
          <w:i/>
        </w:rPr>
        <w:t xml:space="preserve">kṛt</w:t>
      </w:r>
      <w:r>
        <w:t xml:space="preserve"> </w:t>
      </w:r>
      <w:r>
        <w:t xml:space="preserve">second member keeps its accent, final-udātta; the</w:t>
      </w:r>
      <w:r>
        <w:t xml:space="preserve"> </w:t>
      </w:r>
      <w:r>
        <w:rPr>
          <w:iCs/>
          <w:i/>
        </w:rPr>
        <w:t xml:space="preserve">kṛt</w:t>
      </w:r>
      <w:r>
        <w:t xml:space="preserve"> </w:t>
      </w:r>
      <w:r>
        <w:t xml:space="preserve">is final-udātta by the root accent; after it</w:t>
      </w:r>
      <w:r>
        <w:t xml:space="preserve"> </w:t>
      </w:r>
      <w:r>
        <w:rPr>
          <w:iCs/>
          <w:i/>
        </w:rPr>
        <w:t xml:space="preserve">am</w:t>
      </w:r>
      <w:r>
        <w:t xml:space="preserve">, unaccented as a</w:t>
      </w:r>
      <w:r>
        <w:t xml:space="preserve"> </w:t>
      </w:r>
      <w:r>
        <w:rPr>
          <w:iCs/>
          <w:i/>
        </w:rPr>
        <w:t xml:space="preserve">sup</w:t>
      </w:r>
      <w:r>
        <w:t xml:space="preserve">, then svarita by</w:t>
      </w:r>
      <w:r>
        <w:t xml:space="preserve"> </w:t>
      </w:r>
      <w:r>
        <w:t xml:space="preserve">“</w:t>
      </w:r>
      <w:r>
        <w:t xml:space="preserve">udāttād anudāttasya svaritaḥ</w:t>
      </w:r>
      <w:r>
        <w:t xml:space="preserve">”</w:t>
      </w:r>
      <w:r>
        <w:t xml:space="preserve">.</w:t>
      </w:r>
    </w:p>
    <w:p>
      <w:pPr>
        <w:pStyle w:val="BodyText"/>
      </w:pPr>
      <w:r>
        <w:rPr>
          <w:bCs/>
          <w:b/>
        </w:rPr>
        <w:t xml:space="preserve">॥३॥</w:t>
      </w:r>
    </w:p>
    <w:p>
      <w:r>
        <w:pict>
          <v:rect style="width:0;height:1.5pt" o:hralign="center" o:hrstd="t" o:hr="t"/>
        </w:pict>
      </w:r>
    </w:p>
    <w:bookmarkEnd w:id="570"/>
    <w:bookmarkStart w:id="571" w:name="page-541-lower-sūkta-13-rik-4"/>
    <w:p>
      <w:pPr>
        <w:pStyle w:val="Heading3"/>
      </w:pPr>
      <w:r>
        <w:t xml:space="preserve">Page 541 (lower) — Sūkta 13, Rik 4</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अग्ने॑ सु॒खत॑मे॒ रथे॑ दे॒वाँ ई॑ळि॒त आ व॑ह ।</w:t>
      </w:r>
      <w:r>
        <w:t xml:space="preserve"> </w:t>
      </w:r>
      <w:r>
        <w:t xml:space="preserve">असि॒ होता॒ मनु॑र्हितः ॥४॥</w:t>
      </w:r>
    </w:p>
    <w:p>
      <w:pPr>
        <w:pStyle w:val="BlockText"/>
      </w:pPr>
      <w:r>
        <w:rPr>
          <w:iCs/>
          <w:i/>
        </w:rPr>
        <w:t xml:space="preserve">ágne sukhátame ráthe devā́m̐ īḷitá ā́ vaha |</w:t>
      </w:r>
      <w:r>
        <w:t xml:space="preserve"> </w:t>
      </w:r>
      <w:r>
        <w:rPr>
          <w:iCs/>
          <w:i/>
        </w:rPr>
        <w:t xml:space="preserve">asi hótā mánur hitaḥ ||4||</w:t>
      </w:r>
    </w:p>
    <w:p>
      <w:pPr>
        <w:pStyle w:val="FirstParagraph"/>
      </w:pPr>
      <w:r>
        <w:rPr>
          <w:bCs/>
          <w:b/>
        </w:rPr>
        <w:t xml:space="preserve">॥ Pada-pāṭhaḥ ॥</w:t>
      </w:r>
    </w:p>
    <w:p>
      <w:pPr>
        <w:pStyle w:val="BlockText"/>
      </w:pPr>
      <w:r>
        <w:t xml:space="preserve">अग्ने । सुखऽतमे । रथे । देवान् । ईळितः । आ । वह ॥</w:t>
      </w:r>
      <w:r>
        <w:t xml:space="preserve"> </w:t>
      </w:r>
      <w:r>
        <w:t xml:space="preserve">असि । होता । मनुःऽहितः ॥४॥</w:t>
      </w:r>
    </w:p>
    <w:p>
      <w:pPr>
        <w:pStyle w:val="BlockText"/>
      </w:pPr>
      <w:r>
        <w:rPr>
          <w:iCs/>
          <w:i/>
        </w:rPr>
        <w:t xml:space="preserve">agne | sukha-tame | rathe | devān | īḷitaḥ | ā | vaha ||</w:t>
      </w:r>
      <w:r>
        <w:t xml:space="preserve"> </w:t>
      </w:r>
      <w:r>
        <w:rPr>
          <w:iCs/>
          <w:i/>
        </w:rPr>
        <w:t xml:space="preserve">asi | hotā | manuḥ-hitaḥ ||4||</w:t>
      </w:r>
    </w:p>
    <w:p>
      <w:pPr>
        <w:pStyle w:val="FirstParagraph"/>
      </w:pPr>
      <w:r>
        <w:rPr>
          <w:bCs/>
          <w:b/>
        </w:rPr>
        <w:t xml:space="preserve">॥ Sāyaṇa-bhāṣyam ॥</w:t>
      </w:r>
      <w:r>
        <w:t xml:space="preserve"> </w:t>
      </w:r>
      <w:r>
        <w:rPr>
          <w:iCs/>
          <w:i/>
        </w:rPr>
        <w:t xml:space="preserve">(runs onto p. 542)</w:t>
      </w:r>
    </w:p>
    <w:p>
      <w:pPr>
        <w:pStyle w:val="BlockText"/>
      </w:pPr>
      <w:r>
        <w:t xml:space="preserve">इट्शब्दाभिधेय हे अग्ने ईळितो ऽस्माभिः स्तुतः सन्सुखतमे ऽतिशयेन सुखहेतौ कस्मिंश्चिद्रथे देवान्स्थापयित्वा कर्मभूमावा वह । इट्शब्दाभिधेयत्वमत्र सूचयितुमीळित इति विशेषणम् । मनुर्हितो मनुना मन्त्रेण मनुष्येण वा यजमानादिरूपेण हितो ऽत्र स्थापितस्त्वं होता देवानामाह्वातासि ॥ सुखतमे । सुखमस्मिन्नस्तीति मतुप् । तस्य गुणवचनेभ्यो मतुपो लुग्वक्तव्यः । पा. ५-२-९४-३ । इति लुक् । अतिशयेन सुखः सुखतमः । तमपो ऽनुदात्तत्वात्प्रातिपदिकस्वरः । रथे । रमु क्रीडायाम् । रमन्ते ऽस्मिन्निति रथः । हनिकुषिनीरमिकाशिभ्यः क्थन् । उ. २-२ । इति क्थन् । एकाच उपदेशे ऽनुदात्तात् । पा. ७-२-१० । इतीट्प्रतिषेधः । अनुदात्तोपदेशेत्यादिना । पा. ६-४-३७ । मकारलोपः । नित्त्वादाद्युदात्तत्वम् । ईळितः । ईड स्तुतौ । निष्ठेति क्तः । इडागमः । तस्यागमा अनुदात्ता इत्यनुदात्तः । प्रत्ययस्वरः । देवानिति नकारस्य संहितायां दीर्घादटि समानपाद इति रुत्वम् । आतो ऽटि नित्यमित्याकारस्यानुनासिकभावः । भोभगो इत्यादिना रोर्यत्वम् । तस्य लोपः शाकल्यस्येति लोपः । तस्यासिद्धत्वादाद्गुणो न भवति । आ । निपातत्वादाद्युदात्तः । असि । अस भुवि । लटः सिप् । अदिप्रभृतिभ्यः शप इति शपो लुक् । तासस्त्योर्लोप इति सकारस्य लोपः । होता । ताच्छील्ये तृन् । सौ ऋदुशनसित्यादिना । पा. ७-१-९४ । अनङ् । ङित्त्वादन्तादेशः । अप्तृन्नित्यादिना । पा. ६-४-११ । उपधादीर्घः । हल्ङ्यादिलोपनलोपौ । नित्त्वादाद्युदात्तः । मनुर्हितः । मन्यत इति मनुः । मन ज्ञाने । शॄस्वृस्निहित्रप्यसिवसिहनिक्लिदिबन्धिमनिभ्यश्च । उ. १-१० । इत्युप्रत्ययः । तत्र निदित्यनुवृत्तेर्नित्त्वादाद्युदात्तः । हितः । दधातेर्निष्ठेति कर्मणि क्तः । दधातेर्हिः । पा. ७-४-४२ । इति हिरादेशः । मनुना हित इति समासे तृतीयायाः स्थाने सुपां सुलुगित्यादिना स्वित्यादेशः [?] । तस्य रुत्वम् । लुगभावश्छान्दसः । तृतीया कर्मणीति पूर्वपदप्रकृतिस्वरत्वम् ॥</w:t>
      </w:r>
    </w:p>
    <w:p>
      <w:pPr>
        <w:pStyle w:val="BlockText"/>
      </w:pPr>
      <w:r>
        <w:rPr>
          <w:iCs/>
          <w:i/>
        </w:rPr>
        <w:t xml:space="preserve">iṭśabdābhidheya he agne īḷito ’smābhiḥ stutaḥ sansukhatame ’tiśayena sukhahetau kasmiṃścidrathe devānsthāpayitvā karmabhūmāvā vaha | iṭśabdābhidheyatvamatra sūcayitumīḷita iti viśeṣaṇam | manurhito manunā mantreṇa manuṣyeṇa vā yajamānādirūpeṇa hito ’tra sthāpitastvaṃ hotā devānāmāhvātāsi || sukhatame | sukhamasminnastīti matup | tasya guṇavacanebhyo matupo lugvaktavyaḥ | pā. 5-2-94-3 | iti luk | atiśayena sukhaḥ sukhatamaḥ | tamapo ’nudāttatvātprātipadikasvaraḥ | rathe | ramu krīḍāyām | ramante ’sminniti rathaḥ | hanikuṣinīramikāśibhyaḥ kthan | u. 2-2 | iti kthan | ekāca upadeśe ’nudāttāt | pā. 7-2-10 | itīṭpratiṣedhaḥ | anudāttopadeśetyādinā | pā. 6-4-37 | makāralopaḥ | nittvādādyudāttatvam | īḷitaḥ | īḍa stutau | niṣṭheti ktaḥ | iḍāgamaḥ | tasyāgamā anudāttā ityanudāttaḥ | pratyayasvaraḥ | devāniti nakārasya saṃhitāyāṃ dīrghādaṭi samānapāda iti rutvam | āto ’ṭi nityamityākārasyānunāsikabhāvaḥ | bhobhago ityādinā roryatvam | tasya lopaḥ śākalyasyeti lopaḥ | tasyāsiddhatvādādguṇo na bhavati | ā | nipātatvādādyudāttaḥ | asi | asa bhuvi | laṭaḥ sip | adiprabhṛtibhyaḥ śapa iti śapo luk | tāsastyorlopa iti sakārasya lopaḥ | hotā | tācchīlye tṛn | sau ṛduśanasityādinā | pā. 7-1-94 | anaṅ | ṅittvādantādeśaḥ | aptṛnnityādinā | pā. 6-4-11 | upadhādīrghaḥ | halṅyādilopanalopau | nittvādādyudāttaḥ | manurhitaḥ | manyata iti manuḥ | mana jñāne | śṝsvṛsnihitrapyasivasihaniklidibandhimanibhyaśca | u. 1-10 | ityupratyayaḥ | tatra nidityanuvṛtternittvādādyudāttaḥ | hitaḥ | dadhāterniṣṭheti karmaṇi ktaḥ | dadhāterhiḥ | pā. 7-4-42 | iti hirādeśaḥ | manunā hita iti samāse tṛtīyāyāḥ sthāne supāṃ sulugityādinā svityādeśaḥ [?] | tasya rutvam | lugabhāvaśchāndasaḥ | tṛtīyā karmaṇīti pūrvapadaprakṛtisvaratvam ||</w:t>
      </w:r>
    </w:p>
    <w:p>
      <w:pPr>
        <w:pStyle w:val="FirstParagraph"/>
      </w:pPr>
      <w:r>
        <w:rPr>
          <w:bCs/>
          <w:b/>
        </w:rPr>
        <w:t xml:space="preserve">Translation:</w:t>
      </w:r>
      <w:r>
        <w:t xml:space="preserve"> </w:t>
      </w:r>
      <w:r>
        <w:t xml:space="preserve">“</w:t>
      </w:r>
      <w:r>
        <w:t xml:space="preserve">O Agni, denoted by the word</w:t>
      </w:r>
      <w:r>
        <w:t xml:space="preserve"> </w:t>
      </w:r>
      <w:r>
        <w:rPr>
          <w:iCs/>
          <w:i/>
        </w:rPr>
        <w:t xml:space="preserve">Iṭ</w:t>
      </w:r>
      <w:r>
        <w:t xml:space="preserve">! Being</w:t>
      </w:r>
      <w:r>
        <w:t xml:space="preserve"> </w:t>
      </w:r>
      <w:r>
        <w:rPr>
          <w:iCs/>
          <w:i/>
        </w:rPr>
        <w:t xml:space="preserve">īḷitaḥ</w:t>
      </w:r>
      <w:r>
        <w:t xml:space="preserve"> </w:t>
      </w:r>
      <w:r>
        <w:t xml:space="preserve">— praised by us —</w:t>
      </w:r>
      <w:r>
        <w:t xml:space="preserve"> </w:t>
      </w:r>
      <w:r>
        <w:rPr>
          <w:iCs/>
          <w:i/>
        </w:rPr>
        <w:t xml:space="preserve">ā vaha</w:t>
      </w:r>
      <w:r>
        <w:t xml:space="preserve">: having seated the gods in some</w:t>
      </w:r>
      <w:r>
        <w:t xml:space="preserve"> </w:t>
      </w:r>
      <w:r>
        <w:rPr>
          <w:iCs/>
          <w:i/>
        </w:rPr>
        <w:t xml:space="preserve">sukhatame</w:t>
      </w:r>
      <w:r>
        <w:t xml:space="preserve"> </w:t>
      </w:r>
      <w:r>
        <w:t xml:space="preserve">chariot, the greatest cause of ease, bring them to the place of the rite. The epithet</w:t>
      </w:r>
      <w:r>
        <w:t xml:space="preserve"> </w:t>
      </w:r>
      <w:r>
        <w:rPr>
          <w:iCs/>
          <w:i/>
        </w:rPr>
        <w:t xml:space="preserve">īḷitaḥ</w:t>
      </w:r>
      <w:r>
        <w:t xml:space="preserve"> </w:t>
      </w:r>
      <w:r>
        <w:t xml:space="preserve">is used here to indicate that [you] are denoted by the word</w:t>
      </w:r>
      <w:r>
        <w:t xml:space="preserve"> </w:t>
      </w:r>
      <w:r>
        <w:rPr>
          <w:iCs/>
          <w:i/>
        </w:rPr>
        <w:t xml:space="preserve">Iṭ</w:t>
      </w:r>
      <w:r>
        <w:t xml:space="preserve">.</w:t>
      </w:r>
      <w:r>
        <w:t xml:space="preserve"> </w:t>
      </w:r>
      <w:r>
        <w:rPr>
          <w:iCs/>
          <w:i/>
        </w:rPr>
        <w:t xml:space="preserve">Manurhitaḥ</w:t>
      </w:r>
      <w:r>
        <w:t xml:space="preserve"> </w:t>
      </w:r>
      <w:r>
        <w:t xml:space="preserve">— placed here by</w:t>
      </w:r>
      <w:r>
        <w:t xml:space="preserve"> </w:t>
      </w:r>
      <w:r>
        <w:rPr>
          <w:iCs/>
          <w:i/>
        </w:rPr>
        <w:t xml:space="preserve">manu</w:t>
      </w:r>
      <w:r>
        <w:t xml:space="preserve">, the mantra, or by man in the form of the sacrificer and the rest — you are</w:t>
      </w:r>
      <w:r>
        <w:t xml:space="preserve"> </w:t>
      </w:r>
      <w:r>
        <w:rPr>
          <w:iCs/>
          <w:i/>
        </w:rPr>
        <w:t xml:space="preserve">hotā</w:t>
      </w:r>
      <w:r>
        <w:t xml:space="preserve">, the invoker of the gods.</w:t>
      </w:r>
      <w:r>
        <w:t xml:space="preserve">”</w:t>
      </w:r>
      <w:r>
        <w:t xml:space="preserve"> </w:t>
      </w:r>
      <w:r>
        <w:t xml:space="preserve">(Grammatical tail, partly on p. 542:</w:t>
      </w:r>
      <w:r>
        <w:t xml:space="preserve"> </w:t>
      </w:r>
      <w:r>
        <w:rPr>
          <w:iCs/>
          <w:i/>
        </w:rPr>
        <w:t xml:space="preserve">sukhatame</w:t>
      </w:r>
      <w:r>
        <w:t xml:space="preserve"> </w:t>
      </w:r>
      <w:r>
        <w:t xml:space="preserve">—</w:t>
      </w:r>
      <w:r>
        <w:t xml:space="preserve"> </w:t>
      </w:r>
      <w:r>
        <w:rPr>
          <w:iCs/>
          <w:i/>
        </w:rPr>
        <w:t xml:space="preserve">matup</w:t>
      </w:r>
      <w:r>
        <w:t xml:space="preserve"> </w:t>
      </w:r>
      <w:r>
        <w:t xml:space="preserve">“</w:t>
      </w:r>
      <w:r>
        <w:t xml:space="preserve">there is happiness in it</w:t>
      </w:r>
      <w:r>
        <w:t xml:space="preserve">”</w:t>
      </w:r>
      <w:r>
        <w:t xml:space="preserve">, dropped by the vārttika</w:t>
      </w:r>
      <w:r>
        <w:t xml:space="preserve"> </w:t>
      </w:r>
      <w:r>
        <w:t xml:space="preserve">“</w:t>
      </w:r>
      <w:r>
        <w:t xml:space="preserve">guṇavacanebhyo matupo lug vaktavyaḥ</w:t>
      </w:r>
      <w:r>
        <w:t xml:space="preserve">”</w:t>
      </w:r>
      <w:r>
        <w:t xml:space="preserve"> </w:t>
      </w:r>
      <w:r>
        <w:t xml:space="preserve">(Pā. 5-2-94-3);</w:t>
      </w:r>
      <w:r>
        <w:t xml:space="preserve"> </w:t>
      </w:r>
      <w:r>
        <w:t xml:space="preserve">“</w:t>
      </w:r>
      <w:r>
        <w:t xml:space="preserve">exceedingly</w:t>
      </w:r>
      <w:r>
        <w:t xml:space="preserve"> </w:t>
      </w:r>
      <w:r>
        <w:rPr>
          <w:iCs/>
          <w:i/>
        </w:rPr>
        <w:t xml:space="preserve">sukha</w:t>
      </w:r>
      <w:r>
        <w:t xml:space="preserve">”</w:t>
      </w:r>
      <w:r>
        <w:t xml:space="preserve">:</w:t>
      </w:r>
      <w:r>
        <w:t xml:space="preserve"> </w:t>
      </w:r>
      <w:r>
        <w:rPr>
          <w:iCs/>
          <w:i/>
        </w:rPr>
        <w:t xml:space="preserve">sukhatama</w:t>
      </w:r>
      <w:r>
        <w:t xml:space="preserve">;</w:t>
      </w:r>
      <w:r>
        <w:t xml:space="preserve"> </w:t>
      </w:r>
      <w:r>
        <w:rPr>
          <w:iCs/>
          <w:i/>
        </w:rPr>
        <w:t xml:space="preserve">tamap</w:t>
      </w:r>
      <w:r>
        <w:t xml:space="preserve"> </w:t>
      </w:r>
      <w:r>
        <w:t xml:space="preserve">being unaccented, the stem accent stands;</w:t>
      </w:r>
      <w:r>
        <w:t xml:space="preserve"> </w:t>
      </w:r>
      <w:r>
        <w:rPr>
          <w:iCs/>
          <w:i/>
        </w:rPr>
        <w:t xml:space="preserve">rathe</w:t>
      </w:r>
      <w:r>
        <w:t xml:space="preserve"> </w:t>
      </w:r>
      <w:r>
        <w:t xml:space="preserve">—</w:t>
      </w:r>
      <w:r>
        <w:t xml:space="preserve"> </w:t>
      </w:r>
      <w:r>
        <w:rPr>
          <w:iCs/>
          <w:i/>
        </w:rPr>
        <w:t xml:space="preserve">ramu krīḍāyām</w:t>
      </w:r>
      <w:r>
        <w:t xml:space="preserve">,</w:t>
      </w:r>
      <w:r>
        <w:t xml:space="preserve"> </w:t>
      </w:r>
      <w:r>
        <w:t xml:space="preserve">“</w:t>
      </w:r>
      <w:r>
        <w:t xml:space="preserve">they delight in it</w:t>
      </w:r>
      <w:r>
        <w:t xml:space="preserve">”</w:t>
      </w:r>
      <w:r>
        <w:t xml:space="preserve">,</w:t>
      </w:r>
      <w:r>
        <w:t xml:space="preserve"> </w:t>
      </w:r>
      <w:r>
        <w:rPr>
          <w:iCs/>
          <w:i/>
        </w:rPr>
        <w:t xml:space="preserve">kthan</w:t>
      </w:r>
      <w:r>
        <w:t xml:space="preserve"> </w:t>
      </w:r>
      <w:r>
        <w:t xml:space="preserve">by</w:t>
      </w:r>
      <w:r>
        <w:t xml:space="preserve"> </w:t>
      </w:r>
      <w:r>
        <w:t xml:space="preserve">“</w:t>
      </w:r>
      <w:r>
        <w:t xml:space="preserve">hani-kuṣi-nī-rami-kāśibhyaḥ kthan</w:t>
      </w:r>
      <w:r>
        <w:t xml:space="preserve">”</w:t>
      </w:r>
      <w:r>
        <w:t xml:space="preserve"> </w:t>
      </w:r>
      <w:r>
        <w:t xml:space="preserve">(Uṇ. 2-2),</w:t>
      </w:r>
      <w:r>
        <w:t xml:space="preserve"> </w:t>
      </w:r>
      <w:r>
        <w:rPr>
          <w:iCs/>
          <w:i/>
        </w:rPr>
        <w:t xml:space="preserve">iṭ</w:t>
      </w:r>
      <w:r>
        <w:t xml:space="preserve"> </w:t>
      </w:r>
      <w:r>
        <w:t xml:space="preserve">barred by</w:t>
      </w:r>
      <w:r>
        <w:t xml:space="preserve"> </w:t>
      </w:r>
      <w:r>
        <w:t xml:space="preserve">“</w:t>
      </w:r>
      <w:r>
        <w:t xml:space="preserve">ekāca upadeśe ’nudāttāt</w:t>
      </w:r>
      <w:r>
        <w:t xml:space="preserve">”</w:t>
      </w:r>
      <w:r>
        <w:t xml:space="preserve"> </w:t>
      </w:r>
      <w:r>
        <w:t xml:space="preserve">(Pā. 7-2-10), the</w:t>
      </w:r>
      <w:r>
        <w:t xml:space="preserve"> </w:t>
      </w:r>
      <w:r>
        <w:rPr>
          <w:iCs/>
          <w:i/>
        </w:rPr>
        <w:t xml:space="preserve">m</w:t>
      </w:r>
      <w:r>
        <w:t xml:space="preserve"> </w:t>
      </w:r>
      <w:r>
        <w:t xml:space="preserve">dropped by</w:t>
      </w:r>
      <w:r>
        <w:t xml:space="preserve"> </w:t>
      </w:r>
      <w:r>
        <w:t xml:space="preserve">“</w:t>
      </w:r>
      <w:r>
        <w:t xml:space="preserve">anudāttopadeśa…</w:t>
      </w:r>
      <w:r>
        <w:t xml:space="preserve">”</w:t>
      </w:r>
      <w:r>
        <w:t xml:space="preserve"> </w:t>
      </w:r>
      <w:r>
        <w:t xml:space="preserve">(Pā. 6-4-37), initial-udātta as</w:t>
      </w:r>
      <w:r>
        <w:t xml:space="preserve"> </w:t>
      </w:r>
      <w:r>
        <w:rPr>
          <w:iCs/>
          <w:i/>
        </w:rPr>
        <w:t xml:space="preserve">nit</w:t>
      </w:r>
      <w:r>
        <w:t xml:space="preserve">;</w:t>
      </w:r>
      <w:r>
        <w:t xml:space="preserve"> </w:t>
      </w:r>
      <w:r>
        <w:rPr>
          <w:iCs/>
          <w:i/>
        </w:rPr>
        <w:t xml:space="preserve">īḷitaḥ</w:t>
      </w:r>
      <w:r>
        <w:t xml:space="preserve"> </w:t>
      </w:r>
      <w:r>
        <w:t xml:space="preserve">—</w:t>
      </w:r>
      <w:r>
        <w:t xml:space="preserve"> </w:t>
      </w:r>
      <w:r>
        <w:rPr>
          <w:iCs/>
          <w:i/>
        </w:rPr>
        <w:t xml:space="preserve">īḍa stutau</w:t>
      </w:r>
      <w:r>
        <w:t xml:space="preserve">,</w:t>
      </w:r>
      <w:r>
        <w:t xml:space="preserve"> </w:t>
      </w:r>
      <w:r>
        <w:rPr>
          <w:iCs/>
          <w:i/>
        </w:rPr>
        <w:t xml:space="preserve">kta</w:t>
      </w:r>
      <w:r>
        <w:t xml:space="preserve">, the augment</w:t>
      </w:r>
      <w:r>
        <w:t xml:space="preserve"> </w:t>
      </w:r>
      <w:r>
        <w:rPr>
          <w:iCs/>
          <w:i/>
        </w:rPr>
        <w:t xml:space="preserve">iṭ</w:t>
      </w:r>
      <w:r>
        <w:t xml:space="preserve"> </w:t>
      </w:r>
      <w:r>
        <w:t xml:space="preserve">unaccented as an augment, the suffix accent;</w:t>
      </w:r>
      <w:r>
        <w:t xml:space="preserve"> </w:t>
      </w:r>
      <w:r>
        <w:rPr>
          <w:iCs/>
          <w:i/>
        </w:rPr>
        <w:t xml:space="preserve">devān</w:t>
      </w:r>
      <w:r>
        <w:t xml:space="preserve"> </w:t>
      </w:r>
      <w:r>
        <w:t xml:space="preserve">— in the Saṃhitā</w:t>
      </w:r>
      <w:r>
        <w:t xml:space="preserve"> </w:t>
      </w:r>
      <w:r>
        <w:rPr>
          <w:iCs/>
          <w:i/>
        </w:rPr>
        <w:t xml:space="preserve">ru</w:t>
      </w:r>
      <w:r>
        <w:t xml:space="preserve"> </w:t>
      </w:r>
      <w:r>
        <w:t xml:space="preserve">by</w:t>
      </w:r>
      <w:r>
        <w:t xml:space="preserve"> </w:t>
      </w:r>
      <w:r>
        <w:t xml:space="preserve">“</w:t>
      </w:r>
      <w:r>
        <w:t xml:space="preserve">dīrghād aṭi samānapāde</w:t>
      </w:r>
      <w:r>
        <w:t xml:space="preserve">”</w:t>
      </w:r>
      <w:r>
        <w:t xml:space="preserve">, nasalization of the</w:t>
      </w:r>
      <w:r>
        <w:t xml:space="preserve"> </w:t>
      </w:r>
      <w:r>
        <w:rPr>
          <w:iCs/>
          <w:i/>
        </w:rPr>
        <w:t xml:space="preserve">ā</w:t>
      </w:r>
      <w:r>
        <w:t xml:space="preserve"> </w:t>
      </w:r>
      <w:r>
        <w:t xml:space="preserve">by</w:t>
      </w:r>
      <w:r>
        <w:t xml:space="preserve"> </w:t>
      </w:r>
      <w:r>
        <w:t xml:space="preserve">“</w:t>
      </w:r>
      <w:r>
        <w:t xml:space="preserve">āto ’ṭi nityam</w:t>
      </w:r>
      <w:r>
        <w:t xml:space="preserve">”</w:t>
      </w:r>
      <w:r>
        <w:t xml:space="preserve">,</w:t>
      </w:r>
      <w:r>
        <w:t xml:space="preserve"> </w:t>
      </w:r>
      <w:r>
        <w:rPr>
          <w:iCs/>
          <w:i/>
        </w:rPr>
        <w:t xml:space="preserve">y</w:t>
      </w:r>
      <w:r>
        <w:t xml:space="preserve"> </w:t>
      </w:r>
      <w:r>
        <w:t xml:space="preserve">by</w:t>
      </w:r>
      <w:r>
        <w:t xml:space="preserve"> </w:t>
      </w:r>
      <w:r>
        <w:t xml:space="preserve">“</w:t>
      </w:r>
      <w:r>
        <w:t xml:space="preserve">bho-bhago…</w:t>
      </w:r>
      <w:r>
        <w:t xml:space="preserve">”</w:t>
      </w:r>
      <w:r>
        <w:t xml:space="preserve">, dropped by</w:t>
      </w:r>
      <w:r>
        <w:t xml:space="preserve"> </w:t>
      </w:r>
      <w:r>
        <w:t xml:space="preserve">“</w:t>
      </w:r>
      <w:r>
        <w:t xml:space="preserve">lopaḥ śākalyasya</w:t>
      </w:r>
      <w:r>
        <w:t xml:space="preserve">”</w:t>
      </w:r>
      <w:r>
        <w:t xml:space="preserve">, and since that loss is</w:t>
      </w:r>
      <w:r>
        <w:t xml:space="preserve"> </w:t>
      </w:r>
      <w:r>
        <w:rPr>
          <w:iCs/>
          <w:i/>
        </w:rPr>
        <w:t xml:space="preserve">asiddha</w:t>
      </w:r>
      <w:r>
        <w:t xml:space="preserve"> </w:t>
      </w:r>
      <w:r>
        <w:t xml:space="preserve">there is no</w:t>
      </w:r>
      <w:r>
        <w:t xml:space="preserve"> </w:t>
      </w:r>
      <w:r>
        <w:rPr>
          <w:iCs/>
          <w:i/>
        </w:rPr>
        <w:t xml:space="preserve">guṇa</w:t>
      </w:r>
      <w:r>
        <w:t xml:space="preserve">;</w:t>
      </w:r>
      <w:r>
        <w:t xml:space="preserve"> </w:t>
      </w:r>
      <w:r>
        <w:rPr>
          <w:iCs/>
          <w:i/>
        </w:rPr>
        <w:t xml:space="preserve">ā</w:t>
      </w:r>
      <w:r>
        <w:t xml:space="preserve"> </w:t>
      </w:r>
      <w:r>
        <w:t xml:space="preserve">— initial-udātta as a particle;</w:t>
      </w:r>
      <w:r>
        <w:t xml:space="preserve"> </w:t>
      </w:r>
      <w:r>
        <w:rPr>
          <w:iCs/>
          <w:i/>
        </w:rPr>
        <w:t xml:space="preserve">asi</w:t>
      </w:r>
      <w:r>
        <w:t xml:space="preserve"> </w:t>
      </w:r>
      <w:r>
        <w:t xml:space="preserve">—</w:t>
      </w:r>
      <w:r>
        <w:t xml:space="preserve"> </w:t>
      </w:r>
      <w:r>
        <w:rPr>
          <w:iCs/>
          <w:i/>
        </w:rPr>
        <w:t xml:space="preserve">sip</w:t>
      </w:r>
      <w:r>
        <w:t xml:space="preserve"> </w:t>
      </w:r>
      <w:r>
        <w:t xml:space="preserve">after</w:t>
      </w:r>
      <w:r>
        <w:t xml:space="preserve"> </w:t>
      </w:r>
      <w:r>
        <w:rPr>
          <w:iCs/>
          <w:i/>
        </w:rPr>
        <w:t xml:space="preserve">asa bhuvi</w:t>
      </w:r>
      <w:r>
        <w:t xml:space="preserve">,</w:t>
      </w:r>
      <w:r>
        <w:t xml:space="preserve"> </w:t>
      </w:r>
      <w:r>
        <w:rPr>
          <w:iCs/>
          <w:i/>
        </w:rPr>
        <w:t xml:space="preserve">śap</w:t>
      </w:r>
      <w:r>
        <w:t xml:space="preserve"> </w:t>
      </w:r>
      <w:r>
        <w:t xml:space="preserve">dropped, the</w:t>
      </w:r>
      <w:r>
        <w:t xml:space="preserve"> </w:t>
      </w:r>
      <w:r>
        <w:rPr>
          <w:iCs/>
          <w:i/>
        </w:rPr>
        <w:t xml:space="preserve">s</w:t>
      </w:r>
      <w:r>
        <w:t xml:space="preserve"> </w:t>
      </w:r>
      <w:r>
        <w:t xml:space="preserve">dropped by</w:t>
      </w:r>
      <w:r>
        <w:t xml:space="preserve"> </w:t>
      </w:r>
      <w:r>
        <w:t xml:space="preserve">“</w:t>
      </w:r>
      <w:r>
        <w:t xml:space="preserve">tāsastyor lopaḥ</w:t>
      </w:r>
      <w:r>
        <w:t xml:space="preserve">”</w:t>
      </w:r>
      <w:r>
        <w:t xml:space="preserve">;</w:t>
      </w:r>
      <w:r>
        <w:t xml:space="preserve"> </w:t>
      </w:r>
      <w:r>
        <w:rPr>
          <w:iCs/>
          <w:i/>
        </w:rPr>
        <w:t xml:space="preserve">hotā</w:t>
      </w:r>
      <w:r>
        <w:t xml:space="preserve"> </w:t>
      </w:r>
      <w:r>
        <w:t xml:space="preserve">—</w:t>
      </w:r>
      <w:r>
        <w:t xml:space="preserve"> </w:t>
      </w:r>
      <w:r>
        <w:rPr>
          <w:iCs/>
          <w:i/>
        </w:rPr>
        <w:t xml:space="preserve">tṛn</w:t>
      </w:r>
      <w:r>
        <w:t xml:space="preserve"> </w:t>
      </w:r>
      <w:r>
        <w:t xml:space="preserve">in the habitual sense,</w:t>
      </w:r>
      <w:r>
        <w:t xml:space="preserve"> </w:t>
      </w:r>
      <w:r>
        <w:rPr>
          <w:iCs/>
          <w:i/>
        </w:rPr>
        <w:t xml:space="preserve">anaṅ</w:t>
      </w:r>
      <w:r>
        <w:t xml:space="preserve"> </w:t>
      </w:r>
      <w:r>
        <w:t xml:space="preserve">by</w:t>
      </w:r>
      <w:r>
        <w:t xml:space="preserve"> </w:t>
      </w:r>
      <w:r>
        <w:t xml:space="preserve">“</w:t>
      </w:r>
      <w:r>
        <w:t xml:space="preserve">ṛd-uśanas…</w:t>
      </w:r>
      <w:r>
        <w:t xml:space="preserve">”</w:t>
      </w:r>
      <w:r>
        <w:t xml:space="preserve"> </w:t>
      </w:r>
      <w:r>
        <w:t xml:space="preserve">(Pā. 7-1-94), replacing the final as</w:t>
      </w:r>
      <w:r>
        <w:t xml:space="preserve"> </w:t>
      </w:r>
      <w:r>
        <w:rPr>
          <w:iCs/>
          <w:i/>
        </w:rPr>
        <w:t xml:space="preserve">ṅit</w:t>
      </w:r>
      <w:r>
        <w:t xml:space="preserve">, lengthening of the penultimate by</w:t>
      </w:r>
      <w:r>
        <w:t xml:space="preserve"> </w:t>
      </w:r>
      <w:r>
        <w:t xml:space="preserve">“</w:t>
      </w:r>
      <w:r>
        <w:t xml:space="preserve">ap-tṛn…</w:t>
      </w:r>
      <w:r>
        <w:t xml:space="preserve">”</w:t>
      </w:r>
      <w:r>
        <w:t xml:space="preserve"> </w:t>
      </w:r>
      <w:r>
        <w:t xml:space="preserve">(Pā. 6-4-11), loss of</w:t>
      </w:r>
      <w:r>
        <w:t xml:space="preserve"> </w:t>
      </w:r>
      <w:r>
        <w:rPr>
          <w:iCs/>
          <w:i/>
        </w:rPr>
        <w:t xml:space="preserve">su</w:t>
      </w:r>
      <w:r>
        <w:t xml:space="preserve"> </w:t>
      </w:r>
      <w:r>
        <w:t xml:space="preserve">and of</w:t>
      </w:r>
      <w:r>
        <w:t xml:space="preserve"> </w:t>
      </w:r>
      <w:r>
        <w:rPr>
          <w:iCs/>
          <w:i/>
        </w:rPr>
        <w:t xml:space="preserve">n</w:t>
      </w:r>
      <w:r>
        <w:t xml:space="preserve">, initial-udātta as</w:t>
      </w:r>
      <w:r>
        <w:t xml:space="preserve"> </w:t>
      </w:r>
      <w:r>
        <w:rPr>
          <w:iCs/>
          <w:i/>
        </w:rPr>
        <w:t xml:space="preserve">nit</w:t>
      </w:r>
      <w:r>
        <w:t xml:space="preserve">;</w:t>
      </w:r>
      <w:r>
        <w:t xml:space="preserve"> </w:t>
      </w:r>
      <w:r>
        <w:rPr>
          <w:iCs/>
          <w:i/>
        </w:rPr>
        <w:t xml:space="preserve">manurhitaḥ</w:t>
      </w:r>
      <w:r>
        <w:t xml:space="preserve"> </w:t>
      </w:r>
      <w:r>
        <w:t xml:space="preserve">—</w:t>
      </w:r>
      <w:r>
        <w:t xml:space="preserve"> </w:t>
      </w:r>
      <w:r>
        <w:rPr>
          <w:iCs/>
          <w:i/>
        </w:rPr>
        <w:t xml:space="preserve">manu</w:t>
      </w:r>
      <w:r>
        <w:t xml:space="preserve"> </w:t>
      </w:r>
      <w:r>
        <w:t xml:space="preserve">“</w:t>
      </w:r>
      <w:r>
        <w:t xml:space="preserve">he thinks</w:t>
      </w:r>
      <w:r>
        <w:t xml:space="preserve">”</w:t>
      </w:r>
      <w:r>
        <w:t xml:space="preserve">, from</w:t>
      </w:r>
      <w:r>
        <w:t xml:space="preserve"> </w:t>
      </w:r>
      <w:r>
        <w:rPr>
          <w:iCs/>
          <w:i/>
        </w:rPr>
        <w:t xml:space="preserve">mana jñāne</w:t>
      </w:r>
      <w:r>
        <w:t xml:space="preserve"> </w:t>
      </w:r>
      <w:r>
        <w:t xml:space="preserve">with</w:t>
      </w:r>
      <w:r>
        <w:t xml:space="preserve"> </w:t>
      </w:r>
      <w:r>
        <w:rPr>
          <w:iCs/>
          <w:i/>
        </w:rPr>
        <w:t xml:space="preserve">u</w:t>
      </w:r>
      <w:r>
        <w:t xml:space="preserve"> </w:t>
      </w:r>
      <w:r>
        <w:t xml:space="preserve">by</w:t>
      </w:r>
      <w:r>
        <w:t xml:space="preserve"> </w:t>
      </w:r>
      <w:r>
        <w:t xml:space="preserve">“</w:t>
      </w:r>
      <w:r>
        <w:t xml:space="preserve">śṝ-svṛ-snihi-trapy-asi-vasi-hani-kliḍi-bandhi-manibhyaś ca</w:t>
      </w:r>
      <w:r>
        <w:t xml:space="preserve">”</w:t>
      </w:r>
      <w:r>
        <w:t xml:space="preserve"> </w:t>
      </w:r>
      <w:r>
        <w:t xml:space="preserve">(Uṇ. 1-10), initial-udātta as</w:t>
      </w:r>
      <w:r>
        <w:t xml:space="preserve"> </w:t>
      </w:r>
      <w:r>
        <w:rPr>
          <w:iCs/>
          <w:i/>
        </w:rPr>
        <w:t xml:space="preserve">nit</w:t>
      </w:r>
      <w:r>
        <w:t xml:space="preserve"> </w:t>
      </w:r>
      <w:r>
        <w:t xml:space="preserve">is carried over;</w:t>
      </w:r>
      <w:r>
        <w:t xml:space="preserve"> </w:t>
      </w:r>
      <w:r>
        <w:rPr>
          <w:iCs/>
          <w:i/>
        </w:rPr>
        <w:t xml:space="preserve">hita</w:t>
      </w:r>
      <w:r>
        <w:t xml:space="preserve"> </w:t>
      </w:r>
      <w:r>
        <w:t xml:space="preserve">—</w:t>
      </w:r>
      <w:r>
        <w:t xml:space="preserve"> </w:t>
      </w:r>
      <w:r>
        <w:rPr>
          <w:iCs/>
          <w:i/>
        </w:rPr>
        <w:t xml:space="preserve">kta</w:t>
      </w:r>
      <w:r>
        <w:t xml:space="preserve"> </w:t>
      </w:r>
      <w:r>
        <w:t xml:space="preserve">after</w:t>
      </w:r>
      <w:r>
        <w:t xml:space="preserve"> </w:t>
      </w:r>
      <w:r>
        <w:rPr>
          <w:iCs/>
          <w:i/>
        </w:rPr>
        <w:t xml:space="preserve">dhā</w:t>
      </w:r>
      <w:r>
        <w:t xml:space="preserve"> </w:t>
      </w:r>
      <w:r>
        <w:t xml:space="preserve">in the object sense,</w:t>
      </w:r>
      <w:r>
        <w:t xml:space="preserve"> </w:t>
      </w:r>
      <w:r>
        <w:rPr>
          <w:iCs/>
          <w:i/>
        </w:rPr>
        <w:t xml:space="preserve">hi</w:t>
      </w:r>
      <w:r>
        <w:t xml:space="preserve"> </w:t>
      </w:r>
      <w:r>
        <w:t xml:space="preserve">by</w:t>
      </w:r>
      <w:r>
        <w:t xml:space="preserve"> </w:t>
      </w:r>
      <w:r>
        <w:t xml:space="preserve">“</w:t>
      </w:r>
      <w:r>
        <w:t xml:space="preserve">dadhāter hiḥ</w:t>
      </w:r>
      <w:r>
        <w:t xml:space="preserve">”</w:t>
      </w:r>
      <w:r>
        <w:t xml:space="preserve"> </w:t>
      </w:r>
      <w:r>
        <w:t xml:space="preserve">(Pā. 7-4-42); in the compound</w:t>
      </w:r>
      <w:r>
        <w:t xml:space="preserve"> </w:t>
      </w:r>
      <w:r>
        <w:t xml:space="preserve">“</w:t>
      </w:r>
      <w:r>
        <w:t xml:space="preserve">placed by Manu</w:t>
      </w:r>
      <w:r>
        <w:t xml:space="preserve">”</w:t>
      </w:r>
      <w:r>
        <w:t xml:space="preserve">, the substitute</w:t>
      </w:r>
      <w:r>
        <w:t xml:space="preserve"> </w:t>
      </w:r>
      <w:r>
        <w:rPr>
          <w:iCs/>
          <w:i/>
        </w:rPr>
        <w:t xml:space="preserve">su</w:t>
      </w:r>
      <w:r>
        <w:t xml:space="preserve"> </w:t>
      </w:r>
      <w:r>
        <w:t xml:space="preserve">[?] for the third case by</w:t>
      </w:r>
      <w:r>
        <w:t xml:space="preserve"> </w:t>
      </w:r>
      <w:r>
        <w:t xml:space="preserve">“</w:t>
      </w:r>
      <w:r>
        <w:t xml:space="preserve">supāṃ suluk…</w:t>
      </w:r>
      <w:r>
        <w:t xml:space="preserve">”</w:t>
      </w:r>
      <w:r>
        <w:t xml:space="preserve">, with</w:t>
      </w:r>
      <w:r>
        <w:t xml:space="preserve"> </w:t>
      </w:r>
      <w:r>
        <w:rPr>
          <w:iCs/>
          <w:i/>
        </w:rPr>
        <w:t xml:space="preserve">ru</w:t>
      </w:r>
      <w:r>
        <w:t xml:space="preserve"> </w:t>
      </w:r>
      <w:r>
        <w:t xml:space="preserve">— the absence of</w:t>
      </w:r>
      <w:r>
        <w:t xml:space="preserve"> </w:t>
      </w:r>
      <w:r>
        <w:rPr>
          <w:iCs/>
          <w:i/>
        </w:rPr>
        <w:t xml:space="preserve">luk</w:t>
      </w:r>
      <w:r>
        <w:t xml:space="preserve"> </w:t>
      </w:r>
      <w:r>
        <w:t xml:space="preserve">being Vedic; the first member’s accent by</w:t>
      </w:r>
      <w:r>
        <w:t xml:space="preserve"> </w:t>
      </w:r>
      <w:r>
        <w:t xml:space="preserve">“</w:t>
      </w:r>
      <w:r>
        <w:t xml:space="preserve">tṛtīyā karmaṇi</w:t>
      </w:r>
      <w:r>
        <w:t xml:space="preserve">”</w:t>
      </w:r>
      <w:r>
        <w:t xml:space="preserve">.)</w:t>
      </w:r>
    </w:p>
    <w:bookmarkEnd w:id="571"/>
    <w:bookmarkStart w:id="572" w:name="X7faed13d0b585f5edf7e78f774f255365f0c8ef"/>
    <w:p>
      <w:pPr>
        <w:pStyle w:val="Heading3"/>
      </w:pPr>
      <w:r>
        <w:t xml:space="preserve">Page 542 — Rik 4: word-meanings, overall sense, English</w:t>
      </w:r>
    </w:p>
    <w:p>
      <w:pPr>
        <w:pStyle w:val="FirstParagraph"/>
      </w:pPr>
      <w:r>
        <w:rPr>
          <w:bCs/>
          <w:b/>
        </w:rPr>
        <w:t xml:space="preserve">॥ Prati-padārthaḥ ॥</w:t>
      </w:r>
    </w:p>
    <w:p>
      <w:pPr>
        <w:pStyle w:val="BodyText"/>
      </w:pPr>
      <w:r>
        <w:rPr>
          <w:bCs/>
          <w:b/>
        </w:rPr>
        <w:t xml:space="preserve">(हे) अग्ने ((he) agne)</w:t>
      </w:r>
      <w:r>
        <w:t xml:space="preserve"> </w:t>
      </w:r>
      <w:r>
        <w:t xml:space="preserve">— O Agni, called by the name</w:t>
      </w:r>
      <w:r>
        <w:t xml:space="preserve"> </w:t>
      </w:r>
      <w:r>
        <w:rPr>
          <w:iCs/>
          <w:i/>
        </w:rPr>
        <w:t xml:space="preserve">Iṭ</w:t>
      </w:r>
      <w:r>
        <w:t xml:space="preserve"> </w:t>
      </w:r>
      <w:r>
        <w:t xml:space="preserve">|</w:t>
      </w:r>
      <w:r>
        <w:t xml:space="preserve"> </w:t>
      </w:r>
      <w:r>
        <w:rPr>
          <w:bCs/>
          <w:b/>
        </w:rPr>
        <w:t xml:space="preserve">ईळितः (īḷitaḥ)</w:t>
      </w:r>
      <w:r>
        <w:t xml:space="preserve"> </w:t>
      </w:r>
      <w:r>
        <w:t xml:space="preserve">— praised by us |</w:t>
      </w:r>
      <w:r>
        <w:t xml:space="preserve"> </w:t>
      </w:r>
      <w:r>
        <w:rPr>
          <w:bCs/>
          <w:b/>
        </w:rPr>
        <w:t xml:space="preserve">देवान् (devān)</w:t>
      </w:r>
      <w:r>
        <w:t xml:space="preserve"> </w:t>
      </w:r>
      <w:r>
        <w:t xml:space="preserve">— the gods |</w:t>
      </w:r>
      <w:r>
        <w:t xml:space="preserve"> </w:t>
      </w:r>
      <w:r>
        <w:rPr>
          <w:bCs/>
          <w:b/>
        </w:rPr>
        <w:t xml:space="preserve">सुखतमे (sukhatame)</w:t>
      </w:r>
      <w:r>
        <w:t xml:space="preserve"> </w:t>
      </w:r>
      <w:r>
        <w:t xml:space="preserve">— [in a chariot] that gives the greatest comfort |</w:t>
      </w:r>
      <w:r>
        <w:t xml:space="preserve"> </w:t>
      </w:r>
      <w:r>
        <w:rPr>
          <w:bCs/>
          <w:b/>
        </w:rPr>
        <w:t xml:space="preserve">रथे (rathe)</w:t>
      </w:r>
      <w:r>
        <w:t xml:space="preserve"> </w:t>
      </w:r>
      <w:r>
        <w:t xml:space="preserve">— in a chariot |</w:t>
      </w:r>
      <w:r>
        <w:t xml:space="preserve"> </w:t>
      </w:r>
      <w:r>
        <w:rPr>
          <w:iCs/>
          <w:i/>
        </w:rPr>
        <w:t xml:space="preserve">(having seated them)</w:t>
      </w:r>
      <w:r>
        <w:t xml:space="preserve"> </w:t>
      </w:r>
      <w:r>
        <w:rPr>
          <w:bCs/>
          <w:b/>
        </w:rPr>
        <w:t xml:space="preserve">आ वह (ā vaha)</w:t>
      </w:r>
      <w:r>
        <w:t xml:space="preserve"> </w:t>
      </w:r>
      <w:r>
        <w:t xml:space="preserve">— bring |</w:t>
      </w:r>
      <w:r>
        <w:t xml:space="preserve"> </w:t>
      </w:r>
      <w:r>
        <w:rPr>
          <w:iCs/>
          <w:i/>
        </w:rPr>
        <w:t xml:space="preserve">(for)</w:t>
      </w:r>
      <w:r>
        <w:t xml:space="preserve"> </w:t>
      </w:r>
      <w:r>
        <w:rPr>
          <w:bCs/>
          <w:b/>
        </w:rPr>
        <w:t xml:space="preserve">मनुर्हितः (manurhitaḥ)</w:t>
      </w:r>
      <w:r>
        <w:t xml:space="preserve"> </w:t>
      </w:r>
      <w:r>
        <w:t xml:space="preserve">— [you are] placed by the mantra, or by men — the sacrificer and the rest |</w:t>
      </w:r>
      <w:r>
        <w:t xml:space="preserve"> </w:t>
      </w:r>
      <w:r>
        <w:rPr>
          <w:bCs/>
          <w:b/>
        </w:rPr>
        <w:t xml:space="preserve">होता (hotā)</w:t>
      </w:r>
      <w:r>
        <w:t xml:space="preserve"> </w:t>
      </w:r>
      <w:r>
        <w:t xml:space="preserve">— the invoker of the gods |</w:t>
      </w:r>
      <w:r>
        <w:t xml:space="preserve"> </w:t>
      </w:r>
      <w:r>
        <w:rPr>
          <w:bCs/>
          <w:b/>
        </w:rPr>
        <w:t xml:space="preserve">असि (asi)</w:t>
      </w:r>
      <w:r>
        <w:t xml:space="preserve"> </w:t>
      </w:r>
      <w:r>
        <w:t xml:space="preserve">— you are.</w:t>
      </w:r>
    </w:p>
    <w:p>
      <w:pPr>
        <w:pStyle w:val="BodyText"/>
      </w:pPr>
      <w:r>
        <w:rPr>
          <w:bCs/>
          <w:b/>
        </w:rPr>
        <w:t xml:space="preserve">॥ Bhāvārthaḥ ॥</w:t>
      </w:r>
    </w:p>
    <w:p>
      <w:pPr>
        <w:pStyle w:val="BodyText"/>
      </w:pPr>
      <w:r>
        <w:t xml:space="preserve">O Agni, they call you</w:t>
      </w:r>
      <w:r>
        <w:t xml:space="preserve"> </w:t>
      </w:r>
      <w:r>
        <w:rPr>
          <w:iCs/>
          <w:i/>
        </w:rPr>
        <w:t xml:space="preserve">Iṭ</w:t>
      </w:r>
      <w:r>
        <w:t xml:space="preserve"> </w:t>
      </w:r>
      <w:r>
        <w:t xml:space="preserve">(</w:t>
      </w:r>
      <w:r>
        <w:rPr>
          <w:iCs/>
          <w:i/>
        </w:rPr>
        <w:t xml:space="preserve">Iḷa</w:t>
      </w:r>
      <w:r>
        <w:t xml:space="preserve">), because you are praised by us (men). Such as you are, seat the gods in a chariot that gives comfort and bring them here; for the sacrificer has placed you as the</w:t>
      </w:r>
      <w:r>
        <w:t xml:space="preserve"> </w:t>
      </w:r>
      <w:r>
        <w:rPr>
          <w:iCs/>
          <w:i/>
        </w:rPr>
        <w:t xml:space="preserve">hotṛ</w:t>
      </w:r>
      <w:r>
        <w:t xml:space="preserve">, to invoke the gods.</w:t>
      </w:r>
    </w:p>
    <w:p>
      <w:pPr>
        <w:pStyle w:val="BodyText"/>
      </w:pPr>
      <w:r>
        <w:rPr>
          <w:bCs/>
          <w:b/>
        </w:rPr>
        <w:t xml:space="preserve">॥ English Translation ॥</w:t>
      </w:r>
      <w:r>
        <w:t xml:space="preserve"> </w:t>
      </w:r>
      <w:r>
        <w:rPr>
          <w:iCs/>
          <w:i/>
        </w:rPr>
        <w:t xml:space="preserve">(as printed in the source)</w:t>
      </w:r>
    </w:p>
    <w:p>
      <w:pPr>
        <w:pStyle w:val="BlockText"/>
      </w:pPr>
      <w:r>
        <w:t xml:space="preserve">O Agni (called Ila) being praised (by men) conduct the gods hither in an easy-moving chariot; for you are the invoker instituted by men.</w:t>
      </w:r>
    </w:p>
    <w:bookmarkEnd w:id="572"/>
    <w:bookmarkStart w:id="573" w:name="Xffdd17c602d51c517732286086d122691b6ff2b"/>
    <w:p>
      <w:pPr>
        <w:pStyle w:val="Heading3"/>
      </w:pPr>
      <w:r>
        <w:t xml:space="preserve">Page 543 — Rik 4: Special Topics and grammar</w:t>
      </w:r>
    </w:p>
    <w:p>
      <w:pPr>
        <w:pStyle w:val="FirstParagraph"/>
      </w:pPr>
      <w:r>
        <w:rPr>
          <w:bCs/>
          <w:b/>
        </w:rPr>
        <w:t xml:space="preserve">॥ Viśeṣa-viṣayagaḷu (Special Topics) ॥</w:t>
      </w:r>
    </w:p>
    <w:p>
      <w:pPr>
        <w:pStyle w:val="BodyText"/>
      </w:pPr>
      <w:r>
        <w:t xml:space="preserve">Yāska’s explanation:</w:t>
      </w:r>
    </w:p>
    <w:p>
      <w:pPr>
        <w:pStyle w:val="BlockText"/>
      </w:pPr>
      <w:r>
        <w:t xml:space="preserve">ईळः । ईळ ईट्टेः स्तुतिकर्मण इन्धतेर्वा ॥</w:t>
      </w:r>
    </w:p>
    <w:p>
      <w:pPr>
        <w:pStyle w:val="BlockText"/>
      </w:pPr>
      <w:r>
        <w:rPr>
          <w:iCs/>
          <w:i/>
        </w:rPr>
        <w:t xml:space="preserve">īḷaḥ | īḷa īṭṭeḥ stutikarmaṇa indhatervā ||</w:t>
      </w:r>
    </w:p>
    <w:p>
      <w:pPr>
        <w:pStyle w:val="FirstParagraph"/>
      </w:pPr>
      <w:r>
        <w:t xml:space="preserve">—</w:t>
      </w:r>
      <w:r>
        <w:t xml:space="preserve"> </w:t>
      </w:r>
      <w:r>
        <w:rPr>
          <w:iCs/>
          <w:i/>
        </w:rPr>
        <w:t xml:space="preserve">īḷaḥ</w:t>
      </w:r>
      <w:r>
        <w:t xml:space="preserve">, or the word</w:t>
      </w:r>
      <w:r>
        <w:t xml:space="preserve"> </w:t>
      </w:r>
      <w:r>
        <w:rPr>
          <w:iCs/>
          <w:i/>
        </w:rPr>
        <w:t xml:space="preserve">īḷita</w:t>
      </w:r>
      <w:r>
        <w:t xml:space="preserve">, is formed from the root</w:t>
      </w:r>
      <w:r>
        <w:t xml:space="preserve"> </w:t>
      </w:r>
      <w:r>
        <w:rPr>
          <w:iCs/>
          <w:i/>
        </w:rPr>
        <w:t xml:space="preserve">īḍa stutau</w:t>
      </w:r>
      <w:r>
        <w:t xml:space="preserve">,</w:t>
      </w:r>
      <w:r>
        <w:t xml:space="preserve"> </w:t>
      </w:r>
      <w:r>
        <w:t xml:space="preserve">“</w:t>
      </w:r>
      <w:r>
        <w:t xml:space="preserve">to praise</w:t>
      </w:r>
      <w:r>
        <w:t xml:space="preserve">”</w:t>
      </w:r>
      <w:r>
        <w:t xml:space="preserve">; since he is praised, Agni is called</w:t>
      </w:r>
      <w:r>
        <w:t xml:space="preserve"> </w:t>
      </w:r>
      <w:r>
        <w:rPr>
          <w:iCs/>
          <w:i/>
        </w:rPr>
        <w:t xml:space="preserve">Īḷa</w:t>
      </w:r>
      <w:r>
        <w:t xml:space="preserve">.</w:t>
      </w:r>
    </w:p>
    <w:p>
      <w:pPr>
        <w:pStyle w:val="BodyText"/>
      </w:pPr>
      <w:r>
        <w:rPr>
          <w:bCs/>
          <w:b/>
        </w:rPr>
        <w:t xml:space="preserve">“</w:t>
      </w:r>
      <w:r>
        <w:rPr>
          <w:bCs/>
          <w:b/>
        </w:rPr>
        <w:t xml:space="preserve">Sukhatame</w:t>
      </w:r>
      <w:r>
        <w:rPr>
          <w:bCs/>
          <w:b/>
        </w:rPr>
        <w:t xml:space="preserve">”</w:t>
      </w:r>
      <w:r>
        <w:t xml:space="preserve"> </w:t>
      </w:r>
      <w:r>
        <w:t xml:space="preserve">—</w:t>
      </w:r>
      <w:r>
        <w:t xml:space="preserve"> </w:t>
      </w:r>
      <w:r>
        <w:rPr>
          <w:iCs/>
          <w:i/>
        </w:rPr>
        <w:t xml:space="preserve">sukham asminn asti</w:t>
      </w:r>
      <w:r>
        <w:t xml:space="preserve"> </w:t>
      </w:r>
      <w:r>
        <w:t xml:space="preserve">—</w:t>
      </w:r>
      <w:r>
        <w:t xml:space="preserve"> </w:t>
      </w:r>
      <w:r>
        <w:t xml:space="preserve">“</w:t>
      </w:r>
      <w:r>
        <w:t xml:space="preserve">that in which there is comfort</w:t>
      </w:r>
      <w:r>
        <w:t xml:space="preserve">”</w:t>
      </w:r>
      <w:r>
        <w:t xml:space="preserve">;</w:t>
      </w:r>
      <w:r>
        <w:t xml:space="preserve"> </w:t>
      </w:r>
      <w:r>
        <w:rPr>
          <w:iCs/>
          <w:i/>
        </w:rPr>
        <w:t xml:space="preserve">atiśayena sukhaḥ sukhatamaḥ</w:t>
      </w:r>
      <w:r>
        <w:t xml:space="preserve">:</w:t>
      </w:r>
      <w:r>
        <w:t xml:space="preserve"> </w:t>
      </w:r>
      <w:r>
        <w:rPr>
          <w:iCs/>
          <w:i/>
        </w:rPr>
        <w:t xml:space="preserve">atiśayena sukhahetau (kasmiṃścid rathe)</w:t>
      </w:r>
      <w:r>
        <w:t xml:space="preserve">: a chariot that gives great comfort, that does not jolt when moving, in which soft seats and the like have been laid ready for sitting, and which is comfortable for travelling — an</w:t>
      </w:r>
      <w:r>
        <w:t xml:space="preserve"> </w:t>
      </w:r>
      <w:r>
        <w:rPr>
          <w:iCs/>
          <w:i/>
        </w:rPr>
        <w:t xml:space="preserve">easy-moving chariot</w:t>
      </w:r>
      <w:r>
        <w:t xml:space="preserve"> </w:t>
      </w:r>
      <w:r>
        <w:t xml:space="preserve">[the source’s English].</w:t>
      </w:r>
    </w:p>
    <w:p>
      <w:pPr>
        <w:pStyle w:val="BodyText"/>
      </w:pPr>
      <w:r>
        <w:rPr>
          <w:bCs/>
          <w:b/>
        </w:rPr>
        <w:t xml:space="preserve">“</w:t>
      </w:r>
      <w:r>
        <w:rPr>
          <w:bCs/>
          <w:b/>
        </w:rPr>
        <w:t xml:space="preserve">Rathe</w:t>
      </w:r>
      <w:r>
        <w:rPr>
          <w:bCs/>
          <w:b/>
        </w:rPr>
        <w:t xml:space="preserve">”</w:t>
      </w:r>
      <w:r>
        <w:t xml:space="preserve"> </w:t>
      </w:r>
      <w:r>
        <w:t xml:space="preserve">—</w:t>
      </w:r>
      <w:r>
        <w:t xml:space="preserve"> </w:t>
      </w:r>
      <w:r>
        <w:rPr>
          <w:iCs/>
          <w:i/>
        </w:rPr>
        <w:t xml:space="preserve">ramu krīḍāyām; ramante ’smin iti rathaḥ</w:t>
      </w:r>
      <w:r>
        <w:t xml:space="preserve">:</w:t>
      </w:r>
      <w:r>
        <w:t xml:space="preserve"> </w:t>
      </w:r>
      <w:r>
        <w:t xml:space="preserve">“</w:t>
      </w:r>
      <w:r>
        <w:t xml:space="preserve">since people sit in it and travel with delight, it is called</w:t>
      </w:r>
      <w:r>
        <w:t xml:space="preserve"> </w:t>
      </w:r>
      <w:r>
        <w:rPr>
          <w:iCs/>
          <w:i/>
        </w:rPr>
        <w:t xml:space="preserve">ratha</w:t>
      </w:r>
      <w:r>
        <w:t xml:space="preserve">.</w:t>
      </w:r>
      <w:r>
        <w:t xml:space="preserve">”</w:t>
      </w:r>
    </w:p>
    <w:p>
      <w:pPr>
        <w:pStyle w:val="BodyText"/>
      </w:pPr>
      <w:r>
        <w:rPr>
          <w:bCs/>
          <w:b/>
        </w:rPr>
        <w:t xml:space="preserve">“</w:t>
      </w:r>
      <w:r>
        <w:rPr>
          <w:bCs/>
          <w:b/>
        </w:rPr>
        <w:t xml:space="preserve">Īḷitaḥ</w:t>
      </w:r>
      <w:r>
        <w:rPr>
          <w:bCs/>
          <w:b/>
        </w:rPr>
        <w:t xml:space="preserve">”</w:t>
      </w:r>
      <w:r>
        <w:t xml:space="preserve"> </w:t>
      </w:r>
      <w:r>
        <w:t xml:space="preserve">—</w:t>
      </w:r>
      <w:r>
        <w:t xml:space="preserve"> </w:t>
      </w:r>
      <w:r>
        <w:rPr>
          <w:iCs/>
          <w:i/>
        </w:rPr>
        <w:t xml:space="preserve">īḍa stutau</w:t>
      </w:r>
      <w:r>
        <w:t xml:space="preserve">: praised;</w:t>
      </w:r>
      <w:r>
        <w:t xml:space="preserve"> </w:t>
      </w:r>
      <w:r>
        <w:rPr>
          <w:iCs/>
          <w:i/>
        </w:rPr>
        <w:t xml:space="preserve">praised, adored etc.</w:t>
      </w:r>
      <w:r>
        <w:t xml:space="preserve"> </w:t>
      </w:r>
      <w:r>
        <w:t xml:space="preserve">[the source’s English].</w:t>
      </w:r>
    </w:p>
    <w:p>
      <w:pPr>
        <w:pStyle w:val="BodyText"/>
      </w:pPr>
      <w:r>
        <w:rPr>
          <w:bCs/>
          <w:b/>
        </w:rPr>
        <w:t xml:space="preserve">“</w:t>
      </w:r>
      <w:r>
        <w:rPr>
          <w:bCs/>
          <w:b/>
        </w:rPr>
        <w:t xml:space="preserve">Hotā</w:t>
      </w:r>
      <w:r>
        <w:rPr>
          <w:bCs/>
          <w:b/>
        </w:rPr>
        <w:t xml:space="preserve">”</w:t>
      </w:r>
      <w:r>
        <w:t xml:space="preserve"> </w:t>
      </w:r>
      <w:r>
        <w:t xml:space="preserve">—</w:t>
      </w:r>
      <w:r>
        <w:t xml:space="preserve"> </w:t>
      </w:r>
      <w:r>
        <w:rPr>
          <w:iCs/>
          <w:i/>
        </w:rPr>
        <w:t xml:space="preserve">devānām āhvātā</w:t>
      </w:r>
      <w:r>
        <w:t xml:space="preserve">: one who calls the gods to the sacrificial ground.</w:t>
      </w:r>
    </w:p>
    <w:p>
      <w:pPr>
        <w:pStyle w:val="BodyText"/>
      </w:pPr>
      <w:r>
        <w:rPr>
          <w:bCs/>
          <w:b/>
        </w:rPr>
        <w:t xml:space="preserve">“</w:t>
      </w:r>
      <w:r>
        <w:rPr>
          <w:bCs/>
          <w:b/>
        </w:rPr>
        <w:t xml:space="preserve">Manurhitaḥ</w:t>
      </w:r>
      <w:r>
        <w:rPr>
          <w:bCs/>
          <w:b/>
        </w:rPr>
        <w:t xml:space="preserve">”</w:t>
      </w:r>
      <w:r>
        <w:t xml:space="preserve"> </w:t>
      </w:r>
      <w:r>
        <w:t xml:space="preserve">—</w:t>
      </w:r>
      <w:r>
        <w:t xml:space="preserve"> </w:t>
      </w:r>
      <w:r>
        <w:rPr>
          <w:iCs/>
          <w:i/>
        </w:rPr>
        <w:t xml:space="preserve">manunā mantreṇa, yajamānādi-rūpeṇa manuṣyeṇa vā sthāpitaḥ</w:t>
      </w:r>
      <w:r>
        <w:t xml:space="preserve"> </w:t>
      </w:r>
      <w:r>
        <w:t xml:space="preserve">—</w:t>
      </w:r>
      <w:r>
        <w:t xml:space="preserve"> </w:t>
      </w:r>
      <w:r>
        <w:t xml:space="preserve">“</w:t>
      </w:r>
      <w:r>
        <w:t xml:space="preserve">established by Manu, i.e., by a mantra, or by a man in the form of the sacrificer and others</w:t>
      </w:r>
      <w:r>
        <w:t xml:space="preserve">”</w:t>
      </w:r>
      <w:r>
        <w:t xml:space="preserve">; that is, placed with a mantra, or appointed by the sacrificer who is a man (</w:t>
      </w:r>
      <w:r>
        <w:rPr>
          <w:iCs/>
          <w:i/>
        </w:rPr>
        <w:t xml:space="preserve">prārthita</w:t>
      </w:r>
      <w:r>
        <w:t xml:space="preserve">, requested;</w:t>
      </w:r>
      <w:r>
        <w:t xml:space="preserve"> </w:t>
      </w:r>
      <w:r>
        <w:rPr>
          <w:iCs/>
          <w:i/>
        </w:rPr>
        <w:t xml:space="preserve">niyamita</w:t>
      </w:r>
      <w:r>
        <w:t xml:space="preserve">, appointed).</w:t>
      </w:r>
      <w:r>
        <w:t xml:space="preserve"> </w:t>
      </w:r>
      <w:r>
        <w:rPr>
          <w:bCs/>
          <w:b/>
        </w:rPr>
        <w:t xml:space="preserve">Skandasvāmī</w:t>
      </w:r>
      <w:r>
        <w:t xml:space="preserve"> </w:t>
      </w:r>
      <w:r>
        <w:t xml:space="preserve">gives the senses</w:t>
      </w:r>
      <w:r>
        <w:t xml:space="preserve"> </w:t>
      </w:r>
      <w:r>
        <w:rPr>
          <w:iCs/>
          <w:i/>
        </w:rPr>
        <w:t xml:space="preserve">prajāpatinā nihitaḥ</w:t>
      </w:r>
      <w:r>
        <w:t xml:space="preserve">,</w:t>
      </w:r>
      <w:r>
        <w:t xml:space="preserve"> </w:t>
      </w:r>
      <w:r>
        <w:t xml:space="preserve">“</w:t>
      </w:r>
      <w:r>
        <w:t xml:space="preserve">placed by Prajāpati (Brahmā)</w:t>
      </w:r>
      <w:r>
        <w:t xml:space="preserve">”</w:t>
      </w:r>
      <w:r>
        <w:t xml:space="preserve">, and</w:t>
      </w:r>
      <w:r>
        <w:t xml:space="preserve"> </w:t>
      </w:r>
      <w:r>
        <w:rPr>
          <w:iCs/>
          <w:i/>
        </w:rPr>
        <w:t xml:space="preserve">manuṣyeṣu nihitaḥ upakāraka ity arthaḥ</w:t>
      </w:r>
      <w:r>
        <w:t xml:space="preserve">,</w:t>
      </w:r>
      <w:r>
        <w:t xml:space="preserve"> </w:t>
      </w:r>
      <w:r>
        <w:t xml:space="preserve">“</w:t>
      </w:r>
      <w:r>
        <w:t xml:space="preserve">placed (by the gods) among men</w:t>
      </w:r>
      <w:r>
        <w:t xml:space="preserve">”</w:t>
      </w:r>
      <w:r>
        <w:t xml:space="preserve"> </w:t>
      </w:r>
      <w:r>
        <w:t xml:space="preserve">— that is, placed on earth among men to help them, one who does men good. The Western scholar</w:t>
      </w:r>
      <w:r>
        <w:t xml:space="preserve"> </w:t>
      </w:r>
      <w:r>
        <w:rPr>
          <w:bCs/>
          <w:b/>
        </w:rPr>
        <w:t xml:space="preserve">Oldenberg</w:t>
      </w:r>
      <w:r>
        <w:t xml:space="preserve"> </w:t>
      </w:r>
      <w:r>
        <w:t xml:space="preserve">explains this word as</w:t>
      </w:r>
      <w:r>
        <w:t xml:space="preserve"> </w:t>
      </w:r>
      <w:r>
        <w:t xml:space="preserve">“</w:t>
      </w:r>
      <w:r>
        <w:t xml:space="preserve">Instituted by Manus,</w:t>
      </w:r>
      <w:r>
        <w:t xml:space="preserve">”</w:t>
      </w:r>
      <w:r>
        <w:t xml:space="preserve"> </w:t>
      </w:r>
      <w:r>
        <w:t xml:space="preserve">not by men [the source’s English].</w:t>
      </w:r>
    </w:p>
    <w:p>
      <w:pPr>
        <w:pStyle w:val="BodyText"/>
      </w:pPr>
      <w:r>
        <w:rPr>
          <w:bCs/>
          <w:b/>
        </w:rPr>
        <w:t xml:space="preserve">॥ Vyākaraṇa-prakriyā ॥</w:t>
      </w:r>
      <w:r>
        <w:t xml:space="preserve"> </w:t>
      </w:r>
      <w:r>
        <w:rPr>
          <w:iCs/>
          <w:i/>
        </w:rPr>
        <w:t xml:space="preserve">(grammar pages 543–546, noted briefly; numbers checked against the print)</w:t>
      </w:r>
    </w:p>
    <w:p>
      <w:pPr>
        <w:pStyle w:val="BodyText"/>
      </w:pPr>
      <w:r>
        <w:rPr>
          <w:bCs/>
          <w:b/>
        </w:rPr>
        <w:t xml:space="preserve">सुखतमे (</w:t>
      </w:r>
      <w:r>
        <w:rPr>
          <w:iCs/>
          <w:i/>
          <w:bCs/>
          <w:b/>
        </w:rPr>
        <w:t xml:space="preserve">sukhatame</w:t>
      </w:r>
      <w:r>
        <w:rPr>
          <w:bCs/>
          <w:b/>
        </w:rPr>
        <w:t xml:space="preserve">)</w:t>
      </w:r>
      <w:r>
        <w:t xml:space="preserve"> </w:t>
      </w:r>
      <w:r>
        <w:t xml:space="preserve">— analysed</w:t>
      </w:r>
      <w:r>
        <w:t xml:space="preserve"> </w:t>
      </w:r>
      <w:r>
        <w:t xml:space="preserve">“</w:t>
      </w:r>
      <w:r>
        <w:t xml:space="preserve">sukham asmin asti</w:t>
      </w:r>
      <w:r>
        <w:t xml:space="preserve">”</w:t>
      </w:r>
      <w:r>
        <w:t xml:space="preserve">; after the quality-word</w:t>
      </w:r>
      <w:r>
        <w:t xml:space="preserve"> </w:t>
      </w:r>
      <w:r>
        <w:rPr>
          <w:iCs/>
          <w:i/>
        </w:rPr>
        <w:t xml:space="preserve">sukha</w:t>
      </w:r>
      <w:r>
        <w:t xml:space="preserve">,</w:t>
      </w:r>
      <w:r>
        <w:t xml:space="preserve"> </w:t>
      </w:r>
      <w:r>
        <w:t xml:space="preserve">“</w:t>
      </w:r>
      <w:r>
        <w:t xml:space="preserve">tad asyāsty asminn iti matup</w:t>
      </w:r>
      <w:r>
        <w:t xml:space="preserve">”</w:t>
      </w:r>
      <w:r>
        <w:t xml:space="preserve"> </w:t>
      </w:r>
      <w:r>
        <w:t xml:space="preserve">(Pā. 5-2-94) gives</w:t>
      </w:r>
      <w:r>
        <w:t xml:space="preserve"> </w:t>
      </w:r>
      <w:r>
        <w:rPr>
          <w:iCs/>
          <w:i/>
        </w:rPr>
        <w:t xml:space="preserve">matup</w:t>
      </w:r>
      <w:r>
        <w:t xml:space="preserve">;</w:t>
      </w:r>
      <w:r>
        <w:t xml:space="preserve"> </w:t>
      </w:r>
      <w:r>
        <w:t xml:space="preserve">“</w:t>
      </w:r>
      <w:r>
        <w:t xml:space="preserve">guṇavacanebhyo matupo lug iṣṭaḥ</w:t>
      </w:r>
      <w:r>
        <w:t xml:space="preserve">”</w:t>
      </w:r>
      <w:r>
        <w:t xml:space="preserve"> </w:t>
      </w:r>
      <w:r>
        <w:t xml:space="preserve">(printed</w:t>
      </w:r>
      <w:r>
        <w:t xml:space="preserve"> </w:t>
      </w:r>
      <w:r>
        <w:t xml:space="preserve">“</w:t>
      </w:r>
      <w:r>
        <w:t xml:space="preserve">Pā. sū. 5-2-94 vā. 3</w:t>
      </w:r>
      <w:r>
        <w:t xml:space="preserve">”</w:t>
      </w:r>
      <w:r>
        <w:t xml:space="preserve">) drops it; then after the quality-word</w:t>
      </w:r>
      <w:r>
        <w:t xml:space="preserve"> </w:t>
      </w:r>
      <w:r>
        <w:rPr>
          <w:iCs/>
          <w:i/>
        </w:rPr>
        <w:t xml:space="preserve">sukha</w:t>
      </w:r>
      <w:r>
        <w:t xml:space="preserve">, in the sense of excess,</w:t>
      </w:r>
      <w:r>
        <w:t xml:space="preserve"> </w:t>
      </w:r>
      <w:r>
        <w:t xml:space="preserve">“</w:t>
      </w:r>
      <w:r>
        <w:t xml:space="preserve">atiśāyane tamab-iṣṭhanau</w:t>
      </w:r>
      <w:r>
        <w:t xml:space="preserve">”</w:t>
      </w:r>
      <w:r>
        <w:t xml:space="preserve"> </w:t>
      </w:r>
      <w:r>
        <w:t xml:space="preserve">(Pā. 5-3-55) gives</w:t>
      </w:r>
      <w:r>
        <w:t xml:space="preserve"> </w:t>
      </w:r>
      <w:r>
        <w:rPr>
          <w:iCs/>
          <w:i/>
        </w:rPr>
        <w:t xml:space="preserve">tamap</w:t>
      </w:r>
      <w:r>
        <w:t xml:space="preserve">:</w:t>
      </w:r>
      <w:r>
        <w:t xml:space="preserve"> </w:t>
      </w:r>
      <w:r>
        <w:rPr>
          <w:iCs/>
          <w:i/>
        </w:rPr>
        <w:t xml:space="preserve">sukhatama</w:t>
      </w:r>
      <w:r>
        <w:t xml:space="preserve">;</w:t>
      </w:r>
      <w:r>
        <w:t xml:space="preserve"> </w:t>
      </w:r>
      <w:r>
        <w:rPr>
          <w:iCs/>
          <w:i/>
        </w:rPr>
        <w:t xml:space="preserve">matup</w:t>
      </w:r>
      <w:r>
        <w:t xml:space="preserve"> </w:t>
      </w:r>
      <w:r>
        <w:t xml:space="preserve">[sic, for</w:t>
      </w:r>
      <w:r>
        <w:t xml:space="preserve"> </w:t>
      </w:r>
      <w:r>
        <w:rPr>
          <w:iCs/>
          <w:i/>
        </w:rPr>
        <w:t xml:space="preserve">tamap</w:t>
      </w:r>
      <w:r>
        <w:t xml:space="preserve">], being</w:t>
      </w:r>
      <w:r>
        <w:t xml:space="preserve"> </w:t>
      </w:r>
      <w:r>
        <w:rPr>
          <w:iCs/>
          <w:i/>
        </w:rPr>
        <w:t xml:space="preserve">pit</w:t>
      </w:r>
      <w:r>
        <w:t xml:space="preserve">, is unaccented; the stem accent alone stands.</w:t>
      </w:r>
    </w:p>
    <w:bookmarkEnd w:id="573"/>
    <w:bookmarkStart w:id="574" w:name="page-544-rik-4-grammar-continued"/>
    <w:p>
      <w:pPr>
        <w:pStyle w:val="Heading3"/>
      </w:pPr>
      <w:r>
        <w:t xml:space="preserve">Page 544 — Rik 4 grammar (continued)</w:t>
      </w:r>
    </w:p>
    <w:p>
      <w:pPr>
        <w:pStyle w:val="FirstParagraph"/>
      </w:pPr>
      <w:r>
        <w:rPr>
          <w:bCs/>
          <w:b/>
        </w:rPr>
        <w:t xml:space="preserve">रथे (</w:t>
      </w:r>
      <w:r>
        <w:rPr>
          <w:iCs/>
          <w:i/>
          <w:bCs/>
          <w:b/>
        </w:rPr>
        <w:t xml:space="preserve">rathe</w:t>
      </w:r>
      <w:r>
        <w:rPr>
          <w:bCs/>
          <w:b/>
        </w:rPr>
        <w:t xml:space="preserve">)</w:t>
      </w:r>
      <w:r>
        <w:t xml:space="preserve"> </w:t>
      </w:r>
      <w:r>
        <w:t xml:space="preserve">— analysed</w:t>
      </w:r>
      <w:r>
        <w:t xml:space="preserve"> </w:t>
      </w:r>
      <w:r>
        <w:t xml:space="preserve">“</w:t>
      </w:r>
      <w:r>
        <w:t xml:space="preserve">ramante asmin</w:t>
      </w:r>
      <w:r>
        <w:t xml:space="preserve">”</w:t>
      </w:r>
      <w:r>
        <w:t xml:space="preserve">; root</w:t>
      </w:r>
      <w:r>
        <w:t xml:space="preserve"> </w:t>
      </w:r>
      <w:r>
        <w:rPr>
          <w:iCs/>
          <w:i/>
        </w:rPr>
        <w:t xml:space="preserve">ramu krīḍāyām</w:t>
      </w:r>
      <w:r>
        <w:t xml:space="preserve">; after it</w:t>
      </w:r>
      <w:r>
        <w:t xml:space="preserve"> </w:t>
      </w:r>
      <w:r>
        <w:t xml:space="preserve">“</w:t>
      </w:r>
      <w:r>
        <w:t xml:space="preserve">hani-kuṣi-nī-rami-kāśibhyaḥ kthan</w:t>
      </w:r>
      <w:r>
        <w:t xml:space="preserve">”</w:t>
      </w:r>
      <w:r>
        <w:t xml:space="preserve"> </w:t>
      </w:r>
      <w:r>
        <w:t xml:space="preserve">(Uṇ. sū.</w:t>
      </w:r>
      <w:r>
        <w:t xml:space="preserve"> </w:t>
      </w:r>
      <w:r>
        <w:t xml:space="preserve">“</w:t>
      </w:r>
      <w:r>
        <w:t xml:space="preserve">2-159</w:t>
      </w:r>
      <w:r>
        <w:t xml:space="preserve">”</w:t>
      </w:r>
      <w:r>
        <w:t xml:space="preserve"> </w:t>
      </w:r>
      <w:r>
        <w:t xml:space="preserve">[?]; the bhāṣya gives 2-2): after</w:t>
      </w:r>
      <w:r>
        <w:t xml:space="preserve"> </w:t>
      </w:r>
      <w:r>
        <w:rPr>
          <w:iCs/>
          <w:i/>
        </w:rPr>
        <w:t xml:space="preserve">hana hiṃsāgatyoḥ</w:t>
      </w:r>
      <w:r>
        <w:t xml:space="preserve">,</w:t>
      </w:r>
      <w:r>
        <w:t xml:space="preserve"> </w:t>
      </w:r>
      <w:r>
        <w:rPr>
          <w:iCs/>
          <w:i/>
        </w:rPr>
        <w:t xml:space="preserve">kuṣa niṣkarṣe</w:t>
      </w:r>
      <w:r>
        <w:t xml:space="preserve">,</w:t>
      </w:r>
      <w:r>
        <w:t xml:space="preserve"> </w:t>
      </w:r>
      <w:r>
        <w:rPr>
          <w:iCs/>
          <w:i/>
        </w:rPr>
        <w:t xml:space="preserve">ṇīñ prāpaṇe</w:t>
      </w:r>
      <w:r>
        <w:t xml:space="preserve">,</w:t>
      </w:r>
      <w:r>
        <w:t xml:space="preserve"> </w:t>
      </w:r>
      <w:r>
        <w:rPr>
          <w:iCs/>
          <w:i/>
        </w:rPr>
        <w:t xml:space="preserve">ramu krīḍāyām</w:t>
      </w:r>
      <w:r>
        <w:t xml:space="preserve">,</w:t>
      </w:r>
      <w:r>
        <w:t xml:space="preserve"> </w:t>
      </w:r>
      <w:r>
        <w:rPr>
          <w:iCs/>
          <w:i/>
        </w:rPr>
        <w:t xml:space="preserve">kāśṛ dīptau</w:t>
      </w:r>
      <w:r>
        <w:t xml:space="preserve"> </w:t>
      </w:r>
      <w:r>
        <w:t xml:space="preserve">the suffix</w:t>
      </w:r>
      <w:r>
        <w:t xml:space="preserve"> </w:t>
      </w:r>
      <w:r>
        <w:rPr>
          <w:iCs/>
          <w:i/>
        </w:rPr>
        <w:t xml:space="preserve">kthan</w:t>
      </w:r>
      <w:r>
        <w:t xml:space="preserve">:</w:t>
      </w:r>
      <w:r>
        <w:t xml:space="preserve"> </w:t>
      </w:r>
      <w:r>
        <w:rPr>
          <w:iCs/>
          <w:i/>
        </w:rPr>
        <w:t xml:space="preserve">ram</w:t>
      </w:r>
      <w:r>
        <w:t xml:space="preserve"> </w:t>
      </w:r>
      <w:r>
        <w:t xml:space="preserve">+</w:t>
      </w:r>
      <w:r>
        <w:t xml:space="preserve"> </w:t>
      </w:r>
      <w:r>
        <w:rPr>
          <w:iCs/>
          <w:i/>
        </w:rPr>
        <w:t xml:space="preserve">tha</w:t>
      </w:r>
      <w:r>
        <w:t xml:space="preserve">; before this</w:t>
      </w:r>
      <w:r>
        <w:t xml:space="preserve"> </w:t>
      </w:r>
      <w:r>
        <w:rPr>
          <w:iCs/>
          <w:i/>
        </w:rPr>
        <w:t xml:space="preserve">ārdhadhātuka</w:t>
      </w:r>
      <w:r>
        <w:t xml:space="preserve"> </w:t>
      </w:r>
      <w:r>
        <w:rPr>
          <w:iCs/>
          <w:i/>
        </w:rPr>
        <w:t xml:space="preserve">tha</w:t>
      </w:r>
      <w:r>
        <w:t xml:space="preserve">,</w:t>
      </w:r>
      <w:r>
        <w:t xml:space="preserve"> </w:t>
      </w:r>
      <w:r>
        <w:t xml:space="preserve">“</w:t>
      </w:r>
      <w:r>
        <w:t xml:space="preserve">ārdhadhātukasyeḍ valādeḥ</w:t>
      </w:r>
      <w:r>
        <w:t xml:space="preserve">”</w:t>
      </w:r>
      <w:r>
        <w:t xml:space="preserve"> </w:t>
      </w:r>
      <w:r>
        <w:t xml:space="preserve">(Pā. 7-2-35) would give</w:t>
      </w:r>
      <w:r>
        <w:t xml:space="preserve"> </w:t>
      </w:r>
      <w:r>
        <w:rPr>
          <w:iCs/>
          <w:i/>
        </w:rPr>
        <w:t xml:space="preserve">iṭ</w:t>
      </w:r>
      <w:r>
        <w:t xml:space="preserve">.</w:t>
      </w:r>
      <w:r>
        <w:t xml:space="preserve"> </w:t>
      </w:r>
      <w:r>
        <w:rPr>
          <w:iCs/>
          <w:i/>
        </w:rPr>
        <w:t xml:space="preserve">Ram</w:t>
      </w:r>
      <w:r>
        <w:t xml:space="preserve"> </w:t>
      </w:r>
      <w:r>
        <w:t xml:space="preserve">is counted in the</w:t>
      </w:r>
      <w:r>
        <w:t xml:space="preserve"> </w:t>
      </w:r>
      <w:r>
        <w:rPr>
          <w:iCs/>
          <w:i/>
        </w:rPr>
        <w:t xml:space="preserve">kārikā</w:t>
      </w:r>
      <w:r>
        <w:t xml:space="preserve"> </w:t>
      </w:r>
      <w:r>
        <w:t xml:space="preserve">listing the</w:t>
      </w:r>
      <w:r>
        <w:t xml:space="preserve"> </w:t>
      </w:r>
      <w:r>
        <w:rPr>
          <w:iCs/>
          <w:i/>
        </w:rPr>
        <w:t xml:space="preserve">anudātta</w:t>
      </w:r>
      <w:r>
        <w:t xml:space="preserve"> </w:t>
      </w:r>
      <w:r>
        <w:t xml:space="preserve">roots —</w:t>
      </w:r>
      <w:r>
        <w:t xml:space="preserve"> </w:t>
      </w:r>
      <w:r>
        <w:t xml:space="preserve">“</w:t>
      </w:r>
      <w:r>
        <w:t xml:space="preserve">lip lup vap śap svap sṛpi yabh rabh labh gam nam yamo ramiḥ</w:t>
      </w:r>
      <w:r>
        <w:t xml:space="preserve">”</w:t>
      </w:r>
      <w:r>
        <w:t xml:space="preserve"> </w:t>
      </w:r>
      <w:r>
        <w:t xml:space="preserve">— so it is</w:t>
      </w:r>
      <w:r>
        <w:t xml:space="preserve"> </w:t>
      </w:r>
      <w:r>
        <w:rPr>
          <w:iCs/>
          <w:i/>
        </w:rPr>
        <w:t xml:space="preserve">anudātta</w:t>
      </w:r>
      <w:r>
        <w:t xml:space="preserve"> </w:t>
      </w:r>
      <w:r>
        <w:t xml:space="preserve">in the</w:t>
      </w:r>
      <w:r>
        <w:t xml:space="preserve"> </w:t>
      </w:r>
      <w:r>
        <w:rPr>
          <w:iCs/>
          <w:i/>
        </w:rPr>
        <w:t xml:space="preserve">upadeśa</w:t>
      </w:r>
      <w:r>
        <w:t xml:space="preserve"> </w:t>
      </w:r>
      <w:r>
        <w:t xml:space="preserve">and monosyllabic; therefore</w:t>
      </w:r>
      <w:r>
        <w:t xml:space="preserve"> </w:t>
      </w:r>
      <w:r>
        <w:t xml:space="preserve">“</w:t>
      </w:r>
      <w:r>
        <w:t xml:space="preserve">ekāca upadeśe ’nudāttāt</w:t>
      </w:r>
      <w:r>
        <w:t xml:space="preserve">”</w:t>
      </w:r>
      <w:r>
        <w:t xml:space="preserve"> </w:t>
      </w:r>
      <w:r>
        <w:t xml:space="preserve">(Pā. 7-2-10) bars</w:t>
      </w:r>
      <w:r>
        <w:t xml:space="preserve"> </w:t>
      </w:r>
      <w:r>
        <w:rPr>
          <w:iCs/>
          <w:i/>
        </w:rPr>
        <w:t xml:space="preserve">iṭ</w:t>
      </w:r>
      <w:r>
        <w:t xml:space="preserve"> </w:t>
      </w:r>
      <w:r>
        <w:t xml:space="preserve">before a</w:t>
      </w:r>
      <w:r>
        <w:t xml:space="preserve"> </w:t>
      </w:r>
      <w:r>
        <w:rPr>
          <w:iCs/>
          <w:i/>
        </w:rPr>
        <w:t xml:space="preserve">val</w:t>
      </w:r>
      <w:r>
        <w:t xml:space="preserve">-initial</w:t>
      </w:r>
      <w:r>
        <w:t xml:space="preserve"> </w:t>
      </w:r>
      <w:r>
        <w:rPr>
          <w:iCs/>
          <w:i/>
        </w:rPr>
        <w:t xml:space="preserve">ārdhadhātuka</w:t>
      </w:r>
      <w:r>
        <w:t xml:space="preserve">. Then</w:t>
      </w:r>
      <w:r>
        <w:t xml:space="preserve"> </w:t>
      </w:r>
      <w:r>
        <w:t xml:space="preserve">“</w:t>
      </w:r>
      <w:r>
        <w:t xml:space="preserve">anudāttopadeśa-vanati-tanoty-ādīnām anunāsikalopo jhali kṅiti</w:t>
      </w:r>
      <w:r>
        <w:t xml:space="preserve">”</w:t>
      </w:r>
      <w:r>
        <w:t xml:space="preserve"> </w:t>
      </w:r>
      <w:r>
        <w:t xml:space="preserve">(printed</w:t>
      </w:r>
      <w:r>
        <w:t xml:space="preserve"> </w:t>
      </w:r>
      <w:r>
        <w:t xml:space="preserve">“</w:t>
      </w:r>
      <w:r>
        <w:t xml:space="preserve">6-4-32</w:t>
      </w:r>
      <w:r>
        <w:t xml:space="preserve">”</w:t>
      </w:r>
      <w:r>
        <w:t xml:space="preserve"> </w:t>
      </w:r>
      <w:r>
        <w:t xml:space="preserve">[?]; the bhāṣya gives 6-4-37): before a</w:t>
      </w:r>
      <w:r>
        <w:t xml:space="preserve"> </w:t>
      </w:r>
      <w:r>
        <w:rPr>
          <w:iCs/>
          <w:i/>
        </w:rPr>
        <w:t xml:space="preserve">jhal</w:t>
      </w:r>
      <w:r>
        <w:t xml:space="preserve">-initial</w:t>
      </w:r>
      <w:r>
        <w:t xml:space="preserve"> </w:t>
      </w:r>
      <w:r>
        <w:rPr>
          <w:iCs/>
          <w:i/>
        </w:rPr>
        <w:t xml:space="preserve">kit</w:t>
      </w:r>
      <w:r>
        <w:t xml:space="preserve"> </w:t>
      </w:r>
      <w:r>
        <w:t xml:space="preserve">or</w:t>
      </w:r>
      <w:r>
        <w:t xml:space="preserve"> </w:t>
      </w:r>
      <w:r>
        <w:rPr>
          <w:iCs/>
          <w:i/>
        </w:rPr>
        <w:t xml:space="preserve">ṅit</w:t>
      </w:r>
      <w:r>
        <w:t xml:space="preserve"> </w:t>
      </w:r>
      <w:r>
        <w:t xml:space="preserve">suffix, the final nasal of</w:t>
      </w:r>
      <w:r>
        <w:t xml:space="preserve"> </w:t>
      </w:r>
      <w:r>
        <w:rPr>
          <w:iCs/>
          <w:i/>
        </w:rPr>
        <w:t xml:space="preserve">anudātta</w:t>
      </w:r>
      <w:r>
        <w:t xml:space="preserve">-</w:t>
      </w:r>
      <w:r>
        <w:rPr>
          <w:iCs/>
          <w:i/>
        </w:rPr>
        <w:t xml:space="preserve">upadeśa</w:t>
      </w:r>
      <w:r>
        <w:t xml:space="preserve"> </w:t>
      </w:r>
      <w:r>
        <w:t xml:space="preserve">roots and others, and the final of</w:t>
      </w:r>
      <w:r>
        <w:t xml:space="preserve"> </w:t>
      </w:r>
      <w:r>
        <w:rPr>
          <w:iCs/>
          <w:i/>
        </w:rPr>
        <w:t xml:space="preserve">van</w:t>
      </w:r>
      <w:r>
        <w:t xml:space="preserve">, is dropped: the</w:t>
      </w:r>
      <w:r>
        <w:t xml:space="preserve"> </w:t>
      </w:r>
      <w:r>
        <w:rPr>
          <w:iCs/>
          <w:i/>
        </w:rPr>
        <w:t xml:space="preserve">m</w:t>
      </w:r>
      <w:r>
        <w:t xml:space="preserve"> </w:t>
      </w:r>
      <w:r>
        <w:t xml:space="preserve">is dropped:</w:t>
      </w:r>
      <w:r>
        <w:t xml:space="preserve"> </w:t>
      </w:r>
      <w:r>
        <w:rPr>
          <w:iCs/>
          <w:i/>
        </w:rPr>
        <w:t xml:space="preserve">ratha</w:t>
      </w:r>
      <w:r>
        <w:t xml:space="preserve">. The suffix being</w:t>
      </w:r>
      <w:r>
        <w:t xml:space="preserve"> </w:t>
      </w:r>
      <w:r>
        <w:rPr>
          <w:iCs/>
          <w:i/>
        </w:rPr>
        <w:t xml:space="preserve">nit</w:t>
      </w:r>
      <w:r>
        <w:t xml:space="preserve">,</w:t>
      </w:r>
      <w:r>
        <w:t xml:space="preserve"> </w:t>
      </w:r>
      <w:r>
        <w:rPr>
          <w:iCs/>
          <w:i/>
        </w:rPr>
        <w:t xml:space="preserve">ratha</w:t>
      </w:r>
      <w:r>
        <w:t xml:space="preserve"> </w:t>
      </w:r>
      <w:r>
        <w:t xml:space="preserve">is initial-udātta by</w:t>
      </w:r>
      <w:r>
        <w:t xml:space="preserve"> </w:t>
      </w:r>
      <w:r>
        <w:t xml:space="preserve">“</w:t>
      </w:r>
      <w:r>
        <w:t xml:space="preserve">ñnity ādir nityam</w:t>
      </w:r>
      <w:r>
        <w:t xml:space="preserve">”</w:t>
      </w:r>
      <w:r>
        <w:t xml:space="preserve"> </w:t>
      </w:r>
      <w:r>
        <w:t xml:space="preserve">(printed</w:t>
      </w:r>
      <w:r>
        <w:t xml:space="preserve"> </w:t>
      </w:r>
      <w:r>
        <w:t xml:space="preserve">“</w:t>
      </w:r>
      <w:r>
        <w:t xml:space="preserve">6-7-193</w:t>
      </w:r>
      <w:r>
        <w:t xml:space="preserve">”</w:t>
      </w:r>
      <w:r>
        <w:t xml:space="preserve"> </w:t>
      </w:r>
      <w:r>
        <w:t xml:space="preserve">[?] [sic]; the sūtra is 6-1-197).</w:t>
      </w:r>
      <w:r>
        <w:t xml:space="preserve"> </w:t>
      </w:r>
      <w:r>
        <w:rPr>
          <w:bCs/>
          <w:b/>
        </w:rPr>
        <w:t xml:space="preserve">ईळितः (</w:t>
      </w:r>
      <w:r>
        <w:rPr>
          <w:iCs/>
          <w:i/>
          <w:bCs/>
          <w:b/>
        </w:rPr>
        <w:t xml:space="preserve">īḷitaḥ</w:t>
      </w:r>
      <w:r>
        <w:rPr>
          <w:bCs/>
          <w:b/>
        </w:rPr>
        <w:t xml:space="preserve">)</w:t>
      </w:r>
      <w:r>
        <w:t xml:space="preserve"> </w:t>
      </w:r>
      <w:r>
        <w:t xml:space="preserve">— root</w:t>
      </w:r>
      <w:r>
        <w:t xml:space="preserve"> </w:t>
      </w:r>
      <w:r>
        <w:rPr>
          <w:iCs/>
          <w:i/>
        </w:rPr>
        <w:t xml:space="preserve">īḍa stutau</w:t>
      </w:r>
      <w:r>
        <w:t xml:space="preserve">; after it</w:t>
      </w:r>
      <w:r>
        <w:t xml:space="preserve"> </w:t>
      </w:r>
      <w:r>
        <w:rPr>
          <w:iCs/>
          <w:i/>
        </w:rPr>
        <w:t xml:space="preserve">kta</w:t>
      </w:r>
      <w:r>
        <w:t xml:space="preserve"> </w:t>
      </w:r>
      <w:r>
        <w:t xml:space="preserve">by</w:t>
      </w:r>
      <w:r>
        <w:t xml:space="preserve"> </w:t>
      </w:r>
      <w:r>
        <w:t xml:space="preserve">“</w:t>
      </w:r>
      <w:r>
        <w:t xml:space="preserve">niṣṭhā</w:t>
      </w:r>
      <w:r>
        <w:t xml:space="preserve">”</w:t>
      </w:r>
      <w:r>
        <w:t xml:space="preserve"> </w:t>
      </w:r>
      <w:r>
        <w:t xml:space="preserve">(printed</w:t>
      </w:r>
      <w:r>
        <w:t xml:space="preserve"> </w:t>
      </w:r>
      <w:r>
        <w:t xml:space="preserve">“</w:t>
      </w:r>
      <w:r>
        <w:t xml:space="preserve">3-2-10</w:t>
      </w:r>
      <w:r>
        <w:t xml:space="preserve">”</w:t>
      </w:r>
      <w:r>
        <w:t xml:space="preserve"> </w:t>
      </w:r>
      <w:r>
        <w:t xml:space="preserve">[sic]; the sūtra is 3-2-102);</w:t>
      </w:r>
      <w:r>
        <w:t xml:space="preserve"> </w:t>
      </w:r>
      <w:r>
        <w:rPr>
          <w:iCs/>
          <w:i/>
        </w:rPr>
        <w:t xml:space="preserve">iṭ</w:t>
      </w:r>
      <w:r>
        <w:t xml:space="preserve"> </w:t>
      </w:r>
      <w:r>
        <w:t xml:space="preserve">by</w:t>
      </w:r>
      <w:r>
        <w:t xml:space="preserve"> </w:t>
      </w:r>
      <w:r>
        <w:t xml:space="preserve">“</w:t>
      </w:r>
      <w:r>
        <w:t xml:space="preserve">ārdhadhātukasyeḍ valādeḥ</w:t>
      </w:r>
      <w:r>
        <w:t xml:space="preserve">”</w:t>
      </w:r>
      <w:r>
        <w:t xml:space="preserve"> </w:t>
      </w:r>
      <w:r>
        <w:t xml:space="preserve">(Pā. 7-2-35); by the tradition</w:t>
      </w:r>
      <w:r>
        <w:t xml:space="preserve"> </w:t>
      </w:r>
      <w:r>
        <w:t xml:space="preserve">“</w:t>
      </w:r>
      <w:r>
        <w:t xml:space="preserve">ajmadhyastha-ḍakārasya ḷakāraṃ bahvṛcā jaguḥ</w:t>
      </w:r>
      <w:r>
        <w:t xml:space="preserve">”</w:t>
      </w:r>
      <w:r>
        <w:t xml:space="preserve">, or by</w:t>
      </w:r>
      <w:r>
        <w:t xml:space="preserve"> </w:t>
      </w:r>
      <w:r>
        <w:t xml:space="preserve">“</w:t>
      </w:r>
      <w:r>
        <w:t xml:space="preserve">dvayoś cāsya svarayoḥ</w:t>
      </w:r>
      <w:r>
        <w:t xml:space="preserve">”</w:t>
      </w:r>
      <w:r>
        <w:t xml:space="preserve"> </w:t>
      </w:r>
      <w:r>
        <w:t xml:space="preserve">(printed</w:t>
      </w:r>
      <w:r>
        <w:t xml:space="preserve"> </w:t>
      </w:r>
      <w:r>
        <w:t xml:space="preserve">“</w:t>
      </w:r>
      <w:r>
        <w:t xml:space="preserve">Prā. śā.</w:t>
      </w:r>
      <w:r>
        <w:t xml:space="preserve">”</w:t>
      </w:r>
      <w:r>
        <w:t xml:space="preserve">),</w:t>
      </w:r>
      <w:r>
        <w:t xml:space="preserve"> </w:t>
      </w:r>
      <w:r>
        <w:rPr>
          <w:iCs/>
          <w:i/>
        </w:rPr>
        <w:t xml:space="preserve">ḷ</w:t>
      </w:r>
      <w:r>
        <w:t xml:space="preserve"> </w:t>
      </w:r>
      <w:r>
        <w:t xml:space="preserve">for the</w:t>
      </w:r>
      <w:r>
        <w:t xml:space="preserve"> </w:t>
      </w:r>
      <w:r>
        <w:rPr>
          <w:iCs/>
          <w:i/>
        </w:rPr>
        <w:t xml:space="preserve">ḍ</w:t>
      </w:r>
      <w:r>
        <w:t xml:space="preserve">; the</w:t>
      </w:r>
      <w:r>
        <w:t xml:space="preserve"> </w:t>
      </w:r>
      <w:r>
        <w:rPr>
          <w:iCs/>
          <w:i/>
        </w:rPr>
        <w:t xml:space="preserve">i</w:t>
      </w:r>
      <w:r>
        <w:t xml:space="preserve"> </w:t>
      </w:r>
      <w:r>
        <w:t xml:space="preserve">that came by the augment is unaccented by</w:t>
      </w:r>
      <w:r>
        <w:t xml:space="preserve"> </w:t>
      </w:r>
      <w:r>
        <w:t xml:space="preserve">“</w:t>
      </w:r>
      <w:r>
        <w:t xml:space="preserve">āgamā anudāttāḥ</w:t>
      </w:r>
      <w:r>
        <w:t xml:space="preserve">”</w:t>
      </w:r>
      <w:r>
        <w:t xml:space="preserve">; the suffix accent stands.</w:t>
      </w:r>
      <w:r>
        <w:t xml:space="preserve"> </w:t>
      </w:r>
      <w:r>
        <w:rPr>
          <w:bCs/>
          <w:b/>
        </w:rPr>
        <w:t xml:space="preserve">देवान् (</w:t>
      </w:r>
      <w:r>
        <w:rPr>
          <w:iCs/>
          <w:i/>
          <w:bCs/>
          <w:b/>
        </w:rPr>
        <w:t xml:space="preserve">devān</w:t>
      </w:r>
      <w:r>
        <w:rPr>
          <w:bCs/>
          <w:b/>
        </w:rPr>
        <w:t xml:space="preserve">)</w:t>
      </w:r>
      <w:r>
        <w:t xml:space="preserve"> </w:t>
      </w:r>
      <w:r>
        <w:t xml:space="preserve">— in the Saṃhitā</w:t>
      </w:r>
      <w:r>
        <w:t xml:space="preserve"> </w:t>
      </w:r>
      <w:r>
        <w:t xml:space="preserve">“</w:t>
      </w:r>
      <w:r>
        <w:t xml:space="preserve">dīrghād aṭi samānapāde</w:t>
      </w:r>
      <w:r>
        <w:t xml:space="preserve">”</w:t>
      </w:r>
      <w:r>
        <w:t xml:space="preserve"> </w:t>
      </w:r>
      <w:r>
        <w:t xml:space="preserve">(Pā. 8-3-9) gives</w:t>
      </w:r>
      <w:r>
        <w:t xml:space="preserve"> </w:t>
      </w:r>
      <w:r>
        <w:rPr>
          <w:iCs/>
          <w:i/>
        </w:rPr>
        <w:t xml:space="preserve">ru</w:t>
      </w:r>
      <w:r>
        <w:t xml:space="preserve"> </w:t>
      </w:r>
      <w:r>
        <w:t xml:space="preserve">for the</w:t>
      </w:r>
      <w:r>
        <w:t xml:space="preserve"> </w:t>
      </w:r>
      <w:r>
        <w:rPr>
          <w:iCs/>
          <w:i/>
        </w:rPr>
        <w:t xml:space="preserve">n</w:t>
      </w:r>
      <w:r>
        <w:t xml:space="preserve">;</w:t>
      </w:r>
      <w:r>
        <w:t xml:space="preserve"> </w:t>
      </w:r>
      <w:r>
        <w:t xml:space="preserve">“</w:t>
      </w:r>
      <w:r>
        <w:t xml:space="preserve">āto ’ṭi nityam</w:t>
      </w:r>
      <w:r>
        <w:t xml:space="preserve">”</w:t>
      </w:r>
      <w:r>
        <w:t xml:space="preserve"> </w:t>
      </w:r>
      <w:r>
        <w:t xml:space="preserve">(printed</w:t>
      </w:r>
      <w:r>
        <w:t xml:space="preserve"> </w:t>
      </w:r>
      <w:r>
        <w:t xml:space="preserve">“</w:t>
      </w:r>
      <w:r>
        <w:t xml:space="preserve">8-3-3</w:t>
      </w:r>
      <w:r>
        <w:t xml:space="preserve">”</w:t>
      </w:r>
      <w:r>
        <w:t xml:space="preserve">) nasalizes the</w:t>
      </w:r>
      <w:r>
        <w:t xml:space="preserve"> </w:t>
      </w:r>
      <w:r>
        <w:rPr>
          <w:iCs/>
          <w:i/>
        </w:rPr>
        <w:t xml:space="preserve">ā</w:t>
      </w:r>
      <w:r>
        <w:t xml:space="preserve">;</w:t>
      </w:r>
      <w:r>
        <w:t xml:space="preserve"> </w:t>
      </w:r>
      <w:r>
        <w:t xml:space="preserve">“</w:t>
      </w:r>
      <w:r>
        <w:t xml:space="preserve">bho-bhago-agho-apūrvasya yo ’śi</w:t>
      </w:r>
      <w:r>
        <w:t xml:space="preserve">”</w:t>
      </w:r>
      <w:r>
        <w:t xml:space="preserve"> </w:t>
      </w:r>
      <w:r>
        <w:t xml:space="preserve">(Pā. 8-3-17) gives</w:t>
      </w:r>
      <w:r>
        <w:t xml:space="preserve"> </w:t>
      </w:r>
      <w:r>
        <w:rPr>
          <w:iCs/>
          <w:i/>
        </w:rPr>
        <w:t xml:space="preserve">y</w:t>
      </w:r>
      <w:r>
        <w:t xml:space="preserve"> </w:t>
      </w:r>
      <w:r>
        <w:t xml:space="preserve">for the</w:t>
      </w:r>
      <w:r>
        <w:t xml:space="preserve"> </w:t>
      </w:r>
      <w:r>
        <w:rPr>
          <w:iCs/>
          <w:i/>
        </w:rPr>
        <w:t xml:space="preserve">ru</w:t>
      </w:r>
      <w:r>
        <w:t xml:space="preserve">; the loss of</w:t>
      </w:r>
      <w:r>
        <w:t xml:space="preserve"> </w:t>
      </w:r>
      <w:r>
        <w:rPr>
          <w:iCs/>
          <w:i/>
        </w:rPr>
        <w:t xml:space="preserve">y</w:t>
      </w:r>
      <w:r>
        <w:t xml:space="preserve"> </w:t>
      </w:r>
      <w:r>
        <w:t xml:space="preserve">by</w:t>
      </w:r>
      <w:r>
        <w:t xml:space="preserve"> </w:t>
      </w:r>
      <w:r>
        <w:t xml:space="preserve">“</w:t>
      </w:r>
      <w:r>
        <w:t xml:space="preserve">lopaḥ śākalyasya</w:t>
      </w:r>
      <w:r>
        <w:t xml:space="preserve">”</w:t>
      </w:r>
      <w:r>
        <w:t xml:space="preserve"> </w:t>
      </w:r>
      <w:r>
        <w:t xml:space="preserve">(Pā. 8-3-19) is</w:t>
      </w:r>
      <w:r>
        <w:t xml:space="preserve"> </w:t>
      </w:r>
      <w:r>
        <w:rPr>
          <w:iCs/>
          <w:i/>
        </w:rPr>
        <w:t xml:space="preserve">asiddha</w:t>
      </w:r>
      <w:r>
        <w:t xml:space="preserve">, so</w:t>
      </w:r>
      <w:r>
        <w:t xml:space="preserve"> </w:t>
      </w:r>
      <w:r>
        <w:t xml:space="preserve">“</w:t>
      </w:r>
      <w:r>
        <w:t xml:space="preserve">ād guṇaḥ</w:t>
      </w:r>
      <w:r>
        <w:t xml:space="preserve">”</w:t>
      </w:r>
      <w:r>
        <w:t xml:space="preserve"> </w:t>
      </w:r>
      <w:r>
        <w:t xml:space="preserve">(Pā. 6-1-87) gives no</w:t>
      </w:r>
      <w:r>
        <w:t xml:space="preserve"> </w:t>
      </w:r>
      <w:r>
        <w:rPr>
          <w:iCs/>
          <w:i/>
        </w:rPr>
        <w:t xml:space="preserve">guṇa</w:t>
      </w:r>
      <w:r>
        <w:t xml:space="preserve">.</w:t>
      </w:r>
      <w:r>
        <w:t xml:space="preserve"> </w:t>
      </w:r>
      <w:r>
        <w:rPr>
          <w:bCs/>
          <w:b/>
        </w:rPr>
        <w:t xml:space="preserve">आ (</w:t>
      </w:r>
      <w:r>
        <w:rPr>
          <w:iCs/>
          <w:i/>
          <w:bCs/>
          <w:b/>
        </w:rPr>
        <w:t xml:space="preserve">ā</w:t>
      </w:r>
      <w:r>
        <w:rPr>
          <w:bCs/>
          <w:b/>
        </w:rPr>
        <w:t xml:space="preserve">)</w:t>
      </w:r>
      <w:r>
        <w:t xml:space="preserve"> </w:t>
      </w:r>
      <w:r>
        <w:t xml:space="preserve">— a</w:t>
      </w:r>
      <w:r>
        <w:t xml:space="preserve"> </w:t>
      </w:r>
      <w:r>
        <w:rPr>
          <w:iCs/>
          <w:i/>
        </w:rPr>
        <w:t xml:space="preserve">nipāta</w:t>
      </w:r>
      <w:r>
        <w:t xml:space="preserve">, so initial-udātta by</w:t>
      </w:r>
      <w:r>
        <w:t xml:space="preserve"> </w:t>
      </w:r>
      <w:r>
        <w:t xml:space="preserve">“</w:t>
      </w:r>
      <w:r>
        <w:t xml:space="preserve">nipātā ādyudāttāḥ</w:t>
      </w:r>
      <w:r>
        <w:t xml:space="preserve">”</w:t>
      </w:r>
      <w:r>
        <w:t xml:space="preserve">.</w:t>
      </w:r>
      <w:r>
        <w:t xml:space="preserve"> </w:t>
      </w:r>
      <w:r>
        <w:rPr>
          <w:bCs/>
          <w:b/>
        </w:rPr>
        <w:t xml:space="preserve">असि (</w:t>
      </w:r>
      <w:r>
        <w:rPr>
          <w:iCs/>
          <w:i/>
          <w:bCs/>
          <w:b/>
        </w:rPr>
        <w:t xml:space="preserve">asi</w:t>
      </w:r>
      <w:r>
        <w:rPr>
          <w:bCs/>
          <w:b/>
        </w:rPr>
        <w:t xml:space="preserve">)</w:t>
      </w:r>
      <w:r>
        <w:t xml:space="preserve"> </w:t>
      </w:r>
      <w:r>
        <w:t xml:space="preserve">— root</w:t>
      </w:r>
      <w:r>
        <w:t xml:space="preserve"> </w:t>
      </w:r>
      <w:r>
        <w:rPr>
          <w:iCs/>
          <w:i/>
        </w:rPr>
        <w:t xml:space="preserve">asa bhuvi</w:t>
      </w:r>
      <w:r>
        <w:t xml:space="preserve">; after it</w:t>
      </w:r>
      <w:r>
        <w:t xml:space="preserve"> </w:t>
      </w:r>
      <w:r>
        <w:rPr>
          <w:iCs/>
          <w:i/>
        </w:rPr>
        <w:t xml:space="preserve">laṭ</w:t>
      </w:r>
      <w:r>
        <w:t xml:space="preserve">, replaced by the second singular</w:t>
      </w:r>
      <w:r>
        <w:t xml:space="preserve"> </w:t>
      </w:r>
      <w:r>
        <w:rPr>
          <w:iCs/>
          <w:i/>
        </w:rPr>
        <w:t xml:space="preserve">sip</w:t>
      </w:r>
      <w:r>
        <w:t xml:space="preserve">; the</w:t>
      </w:r>
      <w:r>
        <w:t xml:space="preserve"> </w:t>
      </w:r>
      <w:r>
        <w:rPr>
          <w:iCs/>
          <w:i/>
        </w:rPr>
        <w:t xml:space="preserve">śap</w:t>
      </w:r>
      <w:r>
        <w:t xml:space="preserve"> </w:t>
      </w:r>
      <w:r>
        <w:t xml:space="preserve">of</w:t>
      </w:r>
      <w:r>
        <w:t xml:space="preserve"> </w:t>
      </w:r>
      <w:r>
        <w:t xml:space="preserve">“</w:t>
      </w:r>
      <w:r>
        <w:t xml:space="preserve">kartari śap</w:t>
      </w:r>
      <w:r>
        <w:t xml:space="preserve">”</w:t>
      </w:r>
      <w:r>
        <w:t xml:space="preserve"> </w:t>
      </w:r>
      <w:r>
        <w:t xml:space="preserve">(Pā. 3-1-68) is dropped by</w:t>
      </w:r>
      <w:r>
        <w:t xml:space="preserve"> </w:t>
      </w:r>
      <w:r>
        <w:t xml:space="preserve">“</w:t>
      </w:r>
      <w:r>
        <w:t xml:space="preserve">adiprabhṛtibhyaḥ…</w:t>
      </w:r>
      <w:r>
        <w:t xml:space="preserve">”</w:t>
      </w:r>
      <w:r>
        <w:t xml:space="preserve"> </w:t>
      </w:r>
      <w:r>
        <w:t xml:space="preserve">(Pā. 2-4-72);</w:t>
      </w:r>
      <w:r>
        <w:t xml:space="preserve"> </w:t>
      </w:r>
      <w:r>
        <w:t xml:space="preserve">“</w:t>
      </w:r>
      <w:r>
        <w:t xml:space="preserve">tāsastyor lopaḥ</w:t>
      </w:r>
      <w:r>
        <w:t xml:space="preserve">”</w:t>
      </w:r>
      <w:r>
        <w:t xml:space="preserve"> </w:t>
      </w:r>
      <w:r>
        <w:t xml:space="preserve">(Pā. 7-4-50): before an</w:t>
      </w:r>
      <w:r>
        <w:t xml:space="preserve"> </w:t>
      </w:r>
      <w:r>
        <w:rPr>
          <w:iCs/>
          <w:i/>
        </w:rPr>
        <w:t xml:space="preserve">s</w:t>
      </w:r>
      <w:r>
        <w:t xml:space="preserve">-initial suffix the final of</w:t>
      </w:r>
      <w:r>
        <w:t xml:space="preserve"> </w:t>
      </w:r>
      <w:r>
        <w:rPr>
          <w:iCs/>
          <w:i/>
        </w:rPr>
        <w:t xml:space="preserve">tās</w:t>
      </w:r>
      <w:r>
        <w:t xml:space="preserve"> </w:t>
      </w:r>
      <w:r>
        <w:t xml:space="preserve">and of</w:t>
      </w:r>
      <w:r>
        <w:t xml:space="preserve"> </w:t>
      </w:r>
      <w:r>
        <w:rPr>
          <w:iCs/>
          <w:i/>
        </w:rPr>
        <w:t xml:space="preserve">as</w:t>
      </w:r>
      <w:r>
        <w:t xml:space="preserve"> </w:t>
      </w:r>
      <w:r>
        <w:t xml:space="preserve">is dropped, so the</w:t>
      </w:r>
      <w:r>
        <w:t xml:space="preserve"> </w:t>
      </w:r>
      <w:r>
        <w:rPr>
          <w:iCs/>
          <w:i/>
        </w:rPr>
        <w:t xml:space="preserve">s</w:t>
      </w:r>
      <w:r>
        <w:t xml:space="preserve"> </w:t>
      </w:r>
      <w:r>
        <w:t xml:space="preserve">of</w:t>
      </w:r>
      <w:r>
        <w:t xml:space="preserve"> </w:t>
      </w:r>
      <w:r>
        <w:rPr>
          <w:iCs/>
          <w:i/>
        </w:rPr>
        <w:t xml:space="preserve">as</w:t>
      </w:r>
    </w:p>
    <w:bookmarkEnd w:id="574"/>
    <w:bookmarkStart w:id="575" w:name="page-545-rik-4-grammar-continued"/>
    <w:p>
      <w:pPr>
        <w:pStyle w:val="Heading3"/>
      </w:pPr>
      <w:r>
        <w:t xml:space="preserve">Page 545 — Rik 4 grammar (continued)</w:t>
      </w:r>
    </w:p>
    <w:p>
      <w:pPr>
        <w:pStyle w:val="FirstParagraph"/>
      </w:pPr>
      <w:r>
        <w:t xml:space="preserve">is dropped:</w:t>
      </w:r>
      <w:r>
        <w:t xml:space="preserve"> </w:t>
      </w:r>
      <w:r>
        <w:rPr>
          <w:iCs/>
          <w:i/>
        </w:rPr>
        <w:t xml:space="preserve">asi</w:t>
      </w:r>
      <w:r>
        <w:t xml:space="preserve">. Standing at the beginning of the pāda, it is not made wholly unaccented by</w:t>
      </w:r>
      <w:r>
        <w:t xml:space="preserve"> </w:t>
      </w:r>
      <w:r>
        <w:t xml:space="preserve">“</w:t>
      </w:r>
      <w:r>
        <w:t xml:space="preserve">tiṅṅ atiṅaḥ</w:t>
      </w:r>
      <w:r>
        <w:t xml:space="preserve">”</w:t>
      </w:r>
      <w:r>
        <w:t xml:space="preserve"> </w:t>
      </w:r>
      <w:r>
        <w:t xml:space="preserve">(Pā. 8-1-28).</w:t>
      </w:r>
      <w:r>
        <w:t xml:space="preserve"> </w:t>
      </w:r>
      <w:r>
        <w:rPr>
          <w:iCs/>
          <w:i/>
        </w:rPr>
        <w:t xml:space="preserve">Sip</w:t>
      </w:r>
      <w:r>
        <w:t xml:space="preserve">, being</w:t>
      </w:r>
      <w:r>
        <w:t xml:space="preserve"> </w:t>
      </w:r>
      <w:r>
        <w:rPr>
          <w:iCs/>
          <w:i/>
        </w:rPr>
        <w:t xml:space="preserve">pit</w:t>
      </w:r>
      <w:r>
        <w:t xml:space="preserve">, is unaccented; the root accent stands.</w:t>
      </w:r>
      <w:r>
        <w:t xml:space="preserve"> </w:t>
      </w:r>
      <w:r>
        <w:rPr>
          <w:bCs/>
          <w:b/>
        </w:rPr>
        <w:t xml:space="preserve">होता (</w:t>
      </w:r>
      <w:r>
        <w:rPr>
          <w:iCs/>
          <w:i/>
          <w:bCs/>
          <w:b/>
        </w:rPr>
        <w:t xml:space="preserve">hotā</w:t>
      </w:r>
      <w:r>
        <w:rPr>
          <w:bCs/>
          <w:b/>
        </w:rPr>
        <w:t xml:space="preserve">)</w:t>
      </w:r>
      <w:r>
        <w:t xml:space="preserve"> </w:t>
      </w:r>
      <w:r>
        <w:t xml:space="preserve">— root</w:t>
      </w:r>
      <w:r>
        <w:t xml:space="preserve"> </w:t>
      </w:r>
      <w:r>
        <w:rPr>
          <w:iCs/>
          <w:i/>
        </w:rPr>
        <w:t xml:space="preserve">hveñ spardhāyāṃ śabde ca</w:t>
      </w:r>
      <w:r>
        <w:t xml:space="preserve">; after it, under the heading</w:t>
      </w:r>
      <w:r>
        <w:t xml:space="preserve"> </w:t>
      </w:r>
      <w:r>
        <w:t xml:space="preserve">“</w:t>
      </w:r>
      <w:r>
        <w:t xml:space="preserve">ā kves tacchīla-taddharma-tatsādhukāriṣu</w:t>
      </w:r>
      <w:r>
        <w:t xml:space="preserve">”</w:t>
      </w:r>
      <w:r>
        <w:t xml:space="preserve"> </w:t>
      </w:r>
      <w:r>
        <w:t xml:space="preserve">(Pā. 3-2-134),</w:t>
      </w:r>
      <w:r>
        <w:t xml:space="preserve"> </w:t>
      </w:r>
      <w:r>
        <w:rPr>
          <w:iCs/>
          <w:i/>
        </w:rPr>
        <w:t xml:space="preserve">tṛn</w:t>
      </w:r>
      <w:r>
        <w:t xml:space="preserve"> </w:t>
      </w:r>
      <w:r>
        <w:t xml:space="preserve">by</w:t>
      </w:r>
      <w:r>
        <w:t xml:space="preserve"> </w:t>
      </w:r>
      <w:r>
        <w:t xml:space="preserve">“</w:t>
      </w:r>
      <w:r>
        <w:t xml:space="preserve">tṛn</w:t>
      </w:r>
      <w:r>
        <w:t xml:space="preserve">”</w:t>
      </w:r>
      <w:r>
        <w:t xml:space="preserve"> </w:t>
      </w:r>
      <w:r>
        <w:t xml:space="preserve">(Pā. 3-2-135);</w:t>
      </w:r>
      <w:r>
        <w:t xml:space="preserve"> </w:t>
      </w:r>
      <w:r>
        <w:rPr>
          <w:iCs/>
          <w:i/>
        </w:rPr>
        <w:t xml:space="preserve">samprasāraṇa</w:t>
      </w:r>
      <w:r>
        <w:t xml:space="preserve"> </w:t>
      </w:r>
      <w:r>
        <w:t xml:space="preserve">by</w:t>
      </w:r>
      <w:r>
        <w:t xml:space="preserve"> </w:t>
      </w:r>
      <w:r>
        <w:t xml:space="preserve">“</w:t>
      </w:r>
      <w:r>
        <w:t xml:space="preserve">bahulaṃ chandasi</w:t>
      </w:r>
      <w:r>
        <w:t xml:space="preserve">”</w:t>
      </w:r>
      <w:r>
        <w:t xml:space="preserve"> </w:t>
      </w:r>
      <w:r>
        <w:t xml:space="preserve">(Pā. 6-1-34);</w:t>
      </w:r>
      <w:r>
        <w:t xml:space="preserve"> </w:t>
      </w:r>
      <w:r>
        <w:rPr>
          <w:iCs/>
          <w:i/>
        </w:rPr>
        <w:t xml:space="preserve">pūrvarūpa</w:t>
      </w:r>
      <w:r>
        <w:t xml:space="preserve"> </w:t>
      </w:r>
      <w:r>
        <w:t xml:space="preserve">by</w:t>
      </w:r>
      <w:r>
        <w:t xml:space="preserve"> </w:t>
      </w:r>
      <w:r>
        <w:t xml:space="preserve">“</w:t>
      </w:r>
      <w:r>
        <w:t xml:space="preserve">samprasāraṇāc ca</w:t>
      </w:r>
      <w:r>
        <w:t xml:space="preserve">”</w:t>
      </w:r>
      <w:r>
        <w:t xml:space="preserve"> </w:t>
      </w:r>
      <w:r>
        <w:t xml:space="preserve">(printed</w:t>
      </w:r>
      <w:r>
        <w:t xml:space="preserve"> </w:t>
      </w:r>
      <w:r>
        <w:t xml:space="preserve">“</w:t>
      </w:r>
      <w:r>
        <w:t xml:space="preserve">6-8-108</w:t>
      </w:r>
      <w:r>
        <w:t xml:space="preserve">”</w:t>
      </w:r>
      <w:r>
        <w:t xml:space="preserve"> </w:t>
      </w:r>
      <w:r>
        <w:t xml:space="preserve">[sic]; the sūtra is 6-1-108);</w:t>
      </w:r>
      <w:r>
        <w:t xml:space="preserve"> </w:t>
      </w:r>
      <w:r>
        <w:rPr>
          <w:iCs/>
          <w:i/>
        </w:rPr>
        <w:t xml:space="preserve">guṇa</w:t>
      </w:r>
      <w:r>
        <w:t xml:space="preserve"> </w:t>
      </w:r>
      <w:r>
        <w:t xml:space="preserve">of the</w:t>
      </w:r>
      <w:r>
        <w:t xml:space="preserve"> </w:t>
      </w:r>
      <w:r>
        <w:rPr>
          <w:iCs/>
          <w:i/>
        </w:rPr>
        <w:t xml:space="preserve">u</w:t>
      </w:r>
      <w:r>
        <w:t xml:space="preserve"> </w:t>
      </w:r>
      <w:r>
        <w:t xml:space="preserve">by</w:t>
      </w:r>
      <w:r>
        <w:t xml:space="preserve"> </w:t>
      </w:r>
      <w:r>
        <w:t xml:space="preserve">“</w:t>
      </w:r>
      <w:r>
        <w:t xml:space="preserve">sārvadhātukārdhadhātukayoḥ</w:t>
      </w:r>
      <w:r>
        <w:t xml:space="preserve">”</w:t>
      </w:r>
      <w:r>
        <w:t xml:space="preserve"> </w:t>
      </w:r>
      <w:r>
        <w:t xml:space="preserve">(Pā. 7-3-84):</w:t>
      </w:r>
      <w:r>
        <w:t xml:space="preserve"> </w:t>
      </w:r>
      <w:r>
        <w:rPr>
          <w:iCs/>
          <w:i/>
        </w:rPr>
        <w:t xml:space="preserve">hotṛ</w:t>
      </w:r>
      <w:r>
        <w:t xml:space="preserve">; then the nominative singular</w:t>
      </w:r>
      <w:r>
        <w:t xml:space="preserve"> </w:t>
      </w:r>
      <w:r>
        <w:rPr>
          <w:iCs/>
          <w:i/>
        </w:rPr>
        <w:t xml:space="preserve">su</w:t>
      </w:r>
      <w:r>
        <w:t xml:space="preserve">;</w:t>
      </w:r>
      <w:r>
        <w:t xml:space="preserve"> </w:t>
      </w:r>
      <w:r>
        <w:t xml:space="preserve">“</w:t>
      </w:r>
      <w:r>
        <w:t xml:space="preserve">ṛd-uśanas-purudaṃso-’nehasāṃ ca</w:t>
      </w:r>
      <w:r>
        <w:t xml:space="preserve">”</w:t>
      </w:r>
      <w:r>
        <w:t xml:space="preserve"> </w:t>
      </w:r>
      <w:r>
        <w:t xml:space="preserve">(Pā. 7-1-94): before</w:t>
      </w:r>
      <w:r>
        <w:t xml:space="preserve"> </w:t>
      </w:r>
      <w:r>
        <w:rPr>
          <w:iCs/>
          <w:i/>
        </w:rPr>
        <w:t xml:space="preserve">su</w:t>
      </w:r>
      <w:r>
        <w:t xml:space="preserve"> </w:t>
      </w:r>
      <w:r>
        <w:t xml:space="preserve">other than the vocative, stems ending in</w:t>
      </w:r>
      <w:r>
        <w:t xml:space="preserve"> </w:t>
      </w:r>
      <w:r>
        <w:rPr>
          <w:iCs/>
          <w:i/>
        </w:rPr>
        <w:t xml:space="preserve">ṛ</w:t>
      </w:r>
      <w:r>
        <w:t xml:space="preserve"> </w:t>
      </w:r>
      <w:r>
        <w:t xml:space="preserve">and</w:t>
      </w:r>
      <w:r>
        <w:t xml:space="preserve"> </w:t>
      </w:r>
      <w:r>
        <w:rPr>
          <w:iCs/>
          <w:i/>
        </w:rPr>
        <w:t xml:space="preserve">uśanas</w:t>
      </w:r>
      <w:r>
        <w:t xml:space="preserve">,</w:t>
      </w:r>
      <w:r>
        <w:t xml:space="preserve"> </w:t>
      </w:r>
      <w:r>
        <w:rPr>
          <w:iCs/>
          <w:i/>
        </w:rPr>
        <w:t xml:space="preserve">purudaṃsas</w:t>
      </w:r>
      <w:r>
        <w:t xml:space="preserve">,</w:t>
      </w:r>
      <w:r>
        <w:t xml:space="preserve"> </w:t>
      </w:r>
      <w:r>
        <w:rPr>
          <w:iCs/>
          <w:i/>
        </w:rPr>
        <w:t xml:space="preserve">anehas</w:t>
      </w:r>
      <w:r>
        <w:t xml:space="preserve"> </w:t>
      </w:r>
      <w:r>
        <w:t xml:space="preserve">take the substitute</w:t>
      </w:r>
      <w:r>
        <w:t xml:space="preserve"> </w:t>
      </w:r>
      <w:r>
        <w:rPr>
          <w:iCs/>
          <w:i/>
        </w:rPr>
        <w:t xml:space="preserve">anaṅ</w:t>
      </w:r>
      <w:r>
        <w:t xml:space="preserve">; although it has more than one letter, being</w:t>
      </w:r>
      <w:r>
        <w:t xml:space="preserve"> </w:t>
      </w:r>
      <w:r>
        <w:rPr>
          <w:iCs/>
          <w:i/>
        </w:rPr>
        <w:t xml:space="preserve">ṅit</w:t>
      </w:r>
      <w:r>
        <w:t xml:space="preserve"> </w:t>
      </w:r>
      <w:r>
        <w:t xml:space="preserve">it replaces the final by</w:t>
      </w:r>
      <w:r>
        <w:t xml:space="preserve"> </w:t>
      </w:r>
      <w:r>
        <w:t xml:space="preserve">“</w:t>
      </w:r>
      <w:r>
        <w:t xml:space="preserve">ṅic ca</w:t>
      </w:r>
      <w:r>
        <w:t xml:space="preserve">”</w:t>
      </w:r>
      <w:r>
        <w:t xml:space="preserve"> </w:t>
      </w:r>
      <w:r>
        <w:t xml:space="preserve">(Pā. 1-1-53):</w:t>
      </w:r>
      <w:r>
        <w:t xml:space="preserve"> </w:t>
      </w:r>
      <w:r>
        <w:rPr>
          <w:iCs/>
          <w:i/>
        </w:rPr>
        <w:t xml:space="preserve">hotan</w:t>
      </w:r>
      <w:r>
        <w:t xml:space="preserve"> </w:t>
      </w:r>
      <w:r>
        <w:t xml:space="preserve">+</w:t>
      </w:r>
      <w:r>
        <w:t xml:space="preserve"> </w:t>
      </w:r>
      <w:r>
        <w:rPr>
          <w:iCs/>
          <w:i/>
        </w:rPr>
        <w:t xml:space="preserve">s</w:t>
      </w:r>
      <w:r>
        <w:t xml:space="preserve">;</w:t>
      </w:r>
      <w:r>
        <w:t xml:space="preserve"> </w:t>
      </w:r>
      <w:r>
        <w:t xml:space="preserve">“</w:t>
      </w:r>
      <w:r>
        <w:t xml:space="preserve">ap-tṛn-tṛc-svasṛ-naptṛ-neṣṭṛ-tvaṣṭṛ-kṣattṛ-hotṛ-potṛ-praśāstṝṇām</w:t>
      </w:r>
      <w:r>
        <w:t xml:space="preserve">”</w:t>
      </w:r>
      <w:r>
        <w:t xml:space="preserve"> </w:t>
      </w:r>
      <w:r>
        <w:t xml:space="preserve">(Pā. 6-4-11) lengthens the penultimate before a</w:t>
      </w:r>
      <w:r>
        <w:t xml:space="preserve"> </w:t>
      </w:r>
      <w:r>
        <w:rPr>
          <w:iCs/>
          <w:i/>
        </w:rPr>
        <w:t xml:space="preserve">sarvanāmasthāna</w:t>
      </w:r>
      <w:r>
        <w:t xml:space="preserve"> </w:t>
      </w:r>
      <w:r>
        <w:t xml:space="preserve">other than the vocative:</w:t>
      </w:r>
      <w:r>
        <w:t xml:space="preserve"> </w:t>
      </w:r>
      <w:r>
        <w:rPr>
          <w:iCs/>
          <w:i/>
        </w:rPr>
        <w:t xml:space="preserve">hotān</w:t>
      </w:r>
      <w:r>
        <w:t xml:space="preserve"> </w:t>
      </w:r>
      <w:r>
        <w:t xml:space="preserve">+</w:t>
      </w:r>
      <w:r>
        <w:t xml:space="preserve"> </w:t>
      </w:r>
      <w:r>
        <w:rPr>
          <w:iCs/>
          <w:i/>
        </w:rPr>
        <w:t xml:space="preserve">s</w:t>
      </w:r>
      <w:r>
        <w:t xml:space="preserve">;</w:t>
      </w:r>
      <w:r>
        <w:t xml:space="preserve"> </w:t>
      </w:r>
      <w:r>
        <w:rPr>
          <w:iCs/>
          <w:i/>
        </w:rPr>
        <w:t xml:space="preserve">su</w:t>
      </w:r>
      <w:r>
        <w:t xml:space="preserve"> </w:t>
      </w:r>
      <w:r>
        <w:t xml:space="preserve">dropped by</w:t>
      </w:r>
      <w:r>
        <w:t xml:space="preserve"> </w:t>
      </w:r>
      <w:r>
        <w:t xml:space="preserve">“</w:t>
      </w:r>
      <w:r>
        <w:t xml:space="preserve">hal-ṅyābbhyaḥ</w:t>
      </w:r>
      <w:r>
        <w:t xml:space="preserve">”</w:t>
      </w:r>
      <w:r>
        <w:t xml:space="preserve"> </w:t>
      </w:r>
      <w:r>
        <w:t xml:space="preserve">(Pā. 6-1-68),</w:t>
      </w:r>
      <w:r>
        <w:t xml:space="preserve"> </w:t>
      </w:r>
      <w:r>
        <w:rPr>
          <w:iCs/>
          <w:i/>
        </w:rPr>
        <w:t xml:space="preserve">n</w:t>
      </w:r>
      <w:r>
        <w:t xml:space="preserve"> </w:t>
      </w:r>
      <w:r>
        <w:t xml:space="preserve">dropped by</w:t>
      </w:r>
      <w:r>
        <w:t xml:space="preserve"> </w:t>
      </w:r>
      <w:r>
        <w:t xml:space="preserve">“</w:t>
      </w:r>
      <w:r>
        <w:t xml:space="preserve">nalopaḥ prātipadikāntasya</w:t>
      </w:r>
      <w:r>
        <w:t xml:space="preserve">”</w:t>
      </w:r>
      <w:r>
        <w:t xml:space="preserve"> </w:t>
      </w:r>
      <w:r>
        <w:t xml:space="preserve">(Pā. 8-2-7):</w:t>
      </w:r>
      <w:r>
        <w:t xml:space="preserve"> </w:t>
      </w:r>
      <w:r>
        <w:rPr>
          <w:iCs/>
          <w:i/>
        </w:rPr>
        <w:t xml:space="preserve">hotā</w:t>
      </w:r>
      <w:r>
        <w:t xml:space="preserve">; ending in an</w:t>
      </w:r>
      <w:r>
        <w:t xml:space="preserve"> </w:t>
      </w:r>
      <w:r>
        <w:rPr>
          <w:iCs/>
          <w:i/>
        </w:rPr>
        <w:t xml:space="preserve">n</w:t>
      </w:r>
      <w:r>
        <w:t xml:space="preserve">-marked suffix, it is initial-udātta by</w:t>
      </w:r>
      <w:r>
        <w:t xml:space="preserve"> </w:t>
      </w:r>
      <w:r>
        <w:t xml:space="preserve">“</w:t>
      </w:r>
      <w:r>
        <w:t xml:space="preserve">ñnity ādir nityam</w:t>
      </w:r>
      <w:r>
        <w:t xml:space="preserve">”</w:t>
      </w:r>
      <w:r>
        <w:t xml:space="preserve"> </w:t>
      </w:r>
      <w:r>
        <w:t xml:space="preserve">(Pā. 6-1-197).</w:t>
      </w:r>
      <w:r>
        <w:t xml:space="preserve"> </w:t>
      </w:r>
      <w:r>
        <w:rPr>
          <w:bCs/>
          <w:b/>
        </w:rPr>
        <w:t xml:space="preserve">मनुर्हितः (</w:t>
      </w:r>
      <w:r>
        <w:rPr>
          <w:iCs/>
          <w:i/>
          <w:bCs/>
          <w:b/>
        </w:rPr>
        <w:t xml:space="preserve">manurhitaḥ</w:t>
      </w:r>
      <w:r>
        <w:rPr>
          <w:bCs/>
          <w:b/>
        </w:rPr>
        <w:t xml:space="preserve">)</w:t>
      </w:r>
      <w:r>
        <w:t xml:space="preserve"> </w:t>
      </w:r>
      <w:r>
        <w:t xml:space="preserve">—</w:t>
      </w:r>
      <w:r>
        <w:t xml:space="preserve"> </w:t>
      </w:r>
      <w:r>
        <w:t xml:space="preserve">“</w:t>
      </w:r>
      <w:r>
        <w:t xml:space="preserve">manyate iti manuḥ</w:t>
      </w:r>
      <w:r>
        <w:t xml:space="preserve">”</w:t>
      </w:r>
      <w:r>
        <w:t xml:space="preserve">: root</w:t>
      </w:r>
      <w:r>
        <w:t xml:space="preserve"> </w:t>
      </w:r>
      <w:r>
        <w:rPr>
          <w:iCs/>
          <w:i/>
        </w:rPr>
        <w:t xml:space="preserve">mana jñāne</w:t>
      </w:r>
      <w:r>
        <w:t xml:space="preserve">;</w:t>
      </w:r>
      <w:r>
        <w:t xml:space="preserve"> </w:t>
      </w:r>
      <w:r>
        <w:t xml:space="preserve">“</w:t>
      </w:r>
      <w:r>
        <w:t xml:space="preserve">śṝ-svṛ-snihi-trapy-asi-vasi-hani-kliḍi-bandhi-manibhyaś ca</w:t>
      </w:r>
      <w:r>
        <w:t xml:space="preserve">”</w:t>
      </w:r>
      <w:r>
        <w:t xml:space="preserve"> </w:t>
      </w:r>
      <w:r>
        <w:t xml:space="preserve">(Uṇ. sū.</w:t>
      </w:r>
      <w:r>
        <w:t xml:space="preserve"> </w:t>
      </w:r>
      <w:r>
        <w:t xml:space="preserve">“</w:t>
      </w:r>
      <w:r>
        <w:t xml:space="preserve">1-10</w:t>
      </w:r>
      <w:r>
        <w:t xml:space="preserve">”</w:t>
      </w:r>
      <w:r>
        <w:t xml:space="preserve">): after</w:t>
      </w:r>
      <w:r>
        <w:t xml:space="preserve"> </w:t>
      </w:r>
      <w:r>
        <w:rPr>
          <w:iCs/>
          <w:i/>
        </w:rPr>
        <w:t xml:space="preserve">śṝ hiṃsāyām</w:t>
      </w:r>
      <w:r>
        <w:t xml:space="preserve">,</w:t>
      </w:r>
      <w:r>
        <w:t xml:space="preserve"> </w:t>
      </w:r>
      <w:r>
        <w:rPr>
          <w:iCs/>
          <w:i/>
        </w:rPr>
        <w:t xml:space="preserve">svṛ śabdopatāpayoḥ</w:t>
      </w:r>
      <w:r>
        <w:t xml:space="preserve">,</w:t>
      </w:r>
      <w:r>
        <w:t xml:space="preserve"> </w:t>
      </w:r>
      <w:r>
        <w:rPr>
          <w:iCs/>
          <w:i/>
        </w:rPr>
        <w:t xml:space="preserve">ṣṇiha upatāpe</w:t>
      </w:r>
      <w:r>
        <w:t xml:space="preserve">,</w:t>
      </w:r>
      <w:r>
        <w:t xml:space="preserve"> </w:t>
      </w:r>
      <w:r>
        <w:rPr>
          <w:iCs/>
          <w:i/>
        </w:rPr>
        <w:t xml:space="preserve">trapūṣ lajjāyām</w:t>
      </w:r>
      <w:r>
        <w:t xml:space="preserve">,</w:t>
      </w:r>
      <w:r>
        <w:t xml:space="preserve"> </w:t>
      </w:r>
      <w:r>
        <w:rPr>
          <w:iCs/>
          <w:i/>
        </w:rPr>
        <w:t xml:space="preserve">asu kṣepaṇe</w:t>
      </w:r>
      <w:r>
        <w:t xml:space="preserve">,</w:t>
      </w:r>
      <w:r>
        <w:t xml:space="preserve"> </w:t>
      </w:r>
      <w:r>
        <w:rPr>
          <w:iCs/>
          <w:i/>
        </w:rPr>
        <w:t xml:space="preserve">vasa nivāse</w:t>
      </w:r>
      <w:r>
        <w:t xml:space="preserve">,</w:t>
      </w:r>
      <w:r>
        <w:t xml:space="preserve"> </w:t>
      </w:r>
      <w:r>
        <w:rPr>
          <w:iCs/>
          <w:i/>
        </w:rPr>
        <w:t xml:space="preserve">hana hiṃsāgatyoḥ</w:t>
      </w:r>
      <w:r>
        <w:t xml:space="preserve">,</w:t>
      </w:r>
      <w:r>
        <w:t xml:space="preserve"> </w:t>
      </w:r>
      <w:r>
        <w:rPr>
          <w:iCs/>
          <w:i/>
        </w:rPr>
        <w:t xml:space="preserve">klidū ārdrībhāve</w:t>
      </w:r>
      <w:r>
        <w:t xml:space="preserve">,</w:t>
      </w:r>
      <w:r>
        <w:t xml:space="preserve"> </w:t>
      </w:r>
      <w:r>
        <w:rPr>
          <w:iCs/>
          <w:i/>
        </w:rPr>
        <w:t xml:space="preserve">bandha bandhane</w:t>
      </w:r>
      <w:r>
        <w:t xml:space="preserve">,</w:t>
      </w:r>
      <w:r>
        <w:t xml:space="preserve"> </w:t>
      </w:r>
      <w:r>
        <w:rPr>
          <w:iCs/>
          <w:i/>
        </w:rPr>
        <w:t xml:space="preserve">mana jñāne</w:t>
      </w:r>
      <w:r>
        <w:t xml:space="preserve"> </w:t>
      </w:r>
      <w:r>
        <w:t xml:space="preserve">the suffix</w:t>
      </w:r>
      <w:r>
        <w:t xml:space="preserve"> </w:t>
      </w:r>
      <w:r>
        <w:rPr>
          <w:iCs/>
          <w:i/>
        </w:rPr>
        <w:t xml:space="preserve">u</w:t>
      </w:r>
      <w:r>
        <w:t xml:space="preserve">, which is</w:t>
      </w:r>
      <w:r>
        <w:t xml:space="preserve"> </w:t>
      </w:r>
      <w:r>
        <w:rPr>
          <w:iCs/>
          <w:i/>
        </w:rPr>
        <w:t xml:space="preserve">nit</w:t>
      </w:r>
      <w:r>
        <w:t xml:space="preserve"> </w:t>
      </w:r>
      <w:r>
        <w:t xml:space="preserve">— this sense follows from carrying over</w:t>
      </w:r>
      <w:r>
        <w:t xml:space="preserve"> </w:t>
      </w:r>
      <w:r>
        <w:rPr>
          <w:iCs/>
          <w:i/>
        </w:rPr>
        <w:t xml:space="preserve">nit</w:t>
      </w:r>
      <w:r>
        <w:t xml:space="preserve"> </w:t>
      </w:r>
      <w:r>
        <w:t xml:space="preserve">from</w:t>
      </w:r>
      <w:r>
        <w:t xml:space="preserve"> </w:t>
      </w:r>
      <w:r>
        <w:t xml:space="preserve">“</w:t>
      </w:r>
      <w:r>
        <w:t xml:space="preserve">dhānye nit</w:t>
      </w:r>
      <w:r>
        <w:t xml:space="preserve">”</w:t>
      </w:r>
      <w:r>
        <w:t xml:space="preserve"> </w:t>
      </w:r>
      <w:r>
        <w:t xml:space="preserve">(Uṇ. sū. 1-9); so by this sūtra</w:t>
      </w:r>
      <w:r>
        <w:t xml:space="preserve"> </w:t>
      </w:r>
      <w:r>
        <w:rPr>
          <w:iCs/>
          <w:i/>
        </w:rPr>
        <w:t xml:space="preserve">u</w:t>
      </w:r>
      <w:r>
        <w:t xml:space="preserve">, and the</w:t>
      </w:r>
      <w:r>
        <w:t xml:space="preserve"> </w:t>
      </w:r>
      <w:r>
        <w:rPr>
          <w:iCs/>
          <w:i/>
        </w:rPr>
        <w:t xml:space="preserve">nit</w:t>
      </w:r>
      <w:r>
        <w:t xml:space="preserve"> </w:t>
      </w:r>
      <w:r>
        <w:t xml:space="preserve">accent makes it initial-udātta:</w:t>
      </w:r>
      <w:r>
        <w:t xml:space="preserve"> </w:t>
      </w:r>
      <w:r>
        <w:rPr>
          <w:iCs/>
          <w:i/>
        </w:rPr>
        <w:t xml:space="preserve">manu</w:t>
      </w:r>
      <w:r>
        <w:t xml:space="preserve">.</w:t>
      </w:r>
      <w:r>
        <w:t xml:space="preserve"> </w:t>
      </w:r>
      <w:r>
        <w:rPr>
          <w:iCs/>
          <w:i/>
        </w:rPr>
        <w:t xml:space="preserve">Hitaḥ</w:t>
      </w:r>
      <w:r>
        <w:t xml:space="preserve">: root</w:t>
      </w:r>
      <w:r>
        <w:t xml:space="preserve"> </w:t>
      </w:r>
      <w:r>
        <w:rPr>
          <w:iCs/>
          <w:i/>
        </w:rPr>
        <w:t xml:space="preserve">ḍudhāñ dhāraṇapoṣaṇayoḥ</w:t>
      </w:r>
      <w:r>
        <w:t xml:space="preserve">;</w:t>
      </w:r>
      <w:r>
        <w:t xml:space="preserve"> </w:t>
      </w:r>
      <w:r>
        <w:rPr>
          <w:iCs/>
          <w:i/>
        </w:rPr>
        <w:t xml:space="preserve">kta</w:t>
      </w:r>
      <w:r>
        <w:t xml:space="preserve"> </w:t>
      </w:r>
      <w:r>
        <w:t xml:space="preserve">in the object sense by</w:t>
      </w:r>
      <w:r>
        <w:t xml:space="preserve"> </w:t>
      </w:r>
      <w:r>
        <w:t xml:space="preserve">“</w:t>
      </w:r>
      <w:r>
        <w:t xml:space="preserve">niṣṭhā</w:t>
      </w:r>
      <w:r>
        <w:t xml:space="preserve">”</w:t>
      </w:r>
      <w:r>
        <w:t xml:space="preserve"> </w:t>
      </w:r>
      <w:r>
        <w:t xml:space="preserve">(printed</w:t>
      </w:r>
      <w:r>
        <w:t xml:space="preserve"> </w:t>
      </w:r>
      <w:r>
        <w:t xml:space="preserve">“</w:t>
      </w:r>
      <w:r>
        <w:t xml:space="preserve">3-2-102</w:t>
      </w:r>
      <w:r>
        <w:t xml:space="preserve">”</w:t>
      </w:r>
      <w:r>
        <w:t xml:space="preserve">);</w:t>
      </w:r>
      <w:r>
        <w:t xml:space="preserve"> </w:t>
      </w:r>
      <w:r>
        <w:t xml:space="preserve">“</w:t>
      </w:r>
      <w:r>
        <w:t xml:space="preserve">dadhāter hiḥ</w:t>
      </w:r>
      <w:r>
        <w:t xml:space="preserve">”</w:t>
      </w:r>
      <w:r>
        <w:t xml:space="preserve"> </w:t>
      </w:r>
      <w:r>
        <w:t xml:space="preserve">(Pā. 7-4-42): before a</w:t>
      </w:r>
      <w:r>
        <w:t xml:space="preserve"> </w:t>
      </w:r>
      <w:r>
        <w:rPr>
          <w:iCs/>
          <w:i/>
        </w:rPr>
        <w:t xml:space="preserve">t</w:t>
      </w:r>
      <w:r>
        <w:t xml:space="preserve">-initial</w:t>
      </w:r>
      <w:r>
        <w:t xml:space="preserve"> </w:t>
      </w:r>
      <w:r>
        <w:rPr>
          <w:iCs/>
          <w:i/>
        </w:rPr>
        <w:t xml:space="preserve">kit</w:t>
      </w:r>
      <w:r>
        <w:t xml:space="preserve"> </w:t>
      </w:r>
      <w:r>
        <w:t xml:space="preserve">suffix,</w:t>
      </w:r>
      <w:r>
        <w:t xml:space="preserve"> </w:t>
      </w:r>
      <w:r>
        <w:rPr>
          <w:iCs/>
          <w:i/>
        </w:rPr>
        <w:t xml:space="preserve">hi</w:t>
      </w:r>
      <w:r>
        <w:t xml:space="preserve"> </w:t>
      </w:r>
      <w:r>
        <w:t xml:space="preserve">replaces</w:t>
      </w:r>
      <w:r>
        <w:t xml:space="preserve"> </w:t>
      </w:r>
      <w:r>
        <w:rPr>
          <w:iCs/>
          <w:i/>
        </w:rPr>
        <w:t xml:space="preserve">dhā</w:t>
      </w:r>
      <w:r>
        <w:t xml:space="preserve">:</w:t>
      </w:r>
      <w:r>
        <w:t xml:space="preserve"> </w:t>
      </w:r>
      <w:r>
        <w:rPr>
          <w:iCs/>
          <w:i/>
        </w:rPr>
        <w:t xml:space="preserve">hita</w:t>
      </w:r>
      <w:r>
        <w:t xml:space="preserve">. Then</w:t>
      </w:r>
      <w:r>
        <w:t xml:space="preserve"> </w:t>
      </w:r>
      <w:r>
        <w:t xml:space="preserve">“</w:t>
      </w:r>
      <w:r>
        <w:t xml:space="preserve">manunā hitaḥ</w:t>
      </w:r>
      <w:r>
        <w:t xml:space="preserve">”</w:t>
      </w:r>
      <w:r>
        <w:t xml:space="preserve">,</w:t>
      </w:r>
    </w:p>
    <w:bookmarkEnd w:id="575"/>
    <w:bookmarkStart w:id="576" w:name="page-546-rik-4-grammar-closes"/>
    <w:p>
      <w:pPr>
        <w:pStyle w:val="Heading3"/>
      </w:pPr>
      <w:r>
        <w:t xml:space="preserve">Page 546 — Rik 4 grammar closes</w:t>
      </w:r>
    </w:p>
    <w:p>
      <w:pPr>
        <w:pStyle w:val="FirstParagraph"/>
      </w:pPr>
      <w:r>
        <w:t xml:space="preserve">a third-case tatpuruṣa:</w:t>
      </w:r>
      <w:r>
        <w:t xml:space="preserve"> </w:t>
      </w:r>
      <w:r>
        <w:rPr>
          <w:iCs/>
          <w:i/>
        </w:rPr>
        <w:t xml:space="preserve">manu</w:t>
      </w:r>
      <w:r>
        <w:t xml:space="preserve"> </w:t>
      </w:r>
      <w:r>
        <w:t xml:space="preserve">+</w:t>
      </w:r>
      <w:r>
        <w:t xml:space="preserve"> </w:t>
      </w:r>
      <w:r>
        <w:rPr>
          <w:iCs/>
          <w:i/>
        </w:rPr>
        <w:t xml:space="preserve">ṭā</w:t>
      </w:r>
      <w:r>
        <w:t xml:space="preserve"> </w:t>
      </w:r>
      <w:r>
        <w:t xml:space="preserve">+</w:t>
      </w:r>
      <w:r>
        <w:t xml:space="preserve"> </w:t>
      </w:r>
      <w:r>
        <w:rPr>
          <w:iCs/>
          <w:i/>
        </w:rPr>
        <w:t xml:space="preserve">hita</w:t>
      </w:r>
      <w:r>
        <w:t xml:space="preserve"> </w:t>
      </w:r>
      <w:r>
        <w:t xml:space="preserve">+</w:t>
      </w:r>
      <w:r>
        <w:t xml:space="preserve"> </w:t>
      </w:r>
      <w:r>
        <w:rPr>
          <w:iCs/>
          <w:i/>
        </w:rPr>
        <w:t xml:space="preserve">su</w:t>
      </w:r>
      <w:r>
        <w:t xml:space="preserve">; for the instrumental</w:t>
      </w:r>
      <w:r>
        <w:t xml:space="preserve"> </w:t>
      </w:r>
      <w:r>
        <w:rPr>
          <w:iCs/>
          <w:i/>
        </w:rPr>
        <w:t xml:space="preserve">ṭā</w:t>
      </w:r>
      <w:r>
        <w:t xml:space="preserve">,</w:t>
      </w:r>
      <w:r>
        <w:t xml:space="preserve"> </w:t>
      </w:r>
      <w:r>
        <w:t xml:space="preserve">“</w:t>
      </w:r>
      <w:r>
        <w:t xml:space="preserve">supāṃ su-luk…</w:t>
      </w:r>
      <w:r>
        <w:t xml:space="preserve">”</w:t>
      </w:r>
      <w:r>
        <w:t xml:space="preserve"> </w:t>
      </w:r>
      <w:r>
        <w:t xml:space="preserve">(printed</w:t>
      </w:r>
      <w:r>
        <w:t xml:space="preserve"> </w:t>
      </w:r>
      <w:r>
        <w:t xml:space="preserve">“</w:t>
      </w:r>
      <w:r>
        <w:t xml:space="preserve">7-1-39</w:t>
      </w:r>
      <w:r>
        <w:t xml:space="preserve">”</w:t>
      </w:r>
      <w:r>
        <w:t xml:space="preserve">) gives the substitute</w:t>
      </w:r>
      <w:r>
        <w:t xml:space="preserve"> </w:t>
      </w:r>
      <w:r>
        <w:rPr>
          <w:iCs/>
          <w:i/>
        </w:rPr>
        <w:t xml:space="preserve">su</w:t>
      </w:r>
      <w:r>
        <w:t xml:space="preserve">:</w:t>
      </w:r>
      <w:r>
        <w:t xml:space="preserve"> </w:t>
      </w:r>
      <w:r>
        <w:rPr>
          <w:iCs/>
          <w:i/>
        </w:rPr>
        <w:t xml:space="preserve">manu</w:t>
      </w:r>
      <w:r>
        <w:t xml:space="preserve"> </w:t>
      </w:r>
      <w:r>
        <w:t xml:space="preserve">+</w:t>
      </w:r>
      <w:r>
        <w:t xml:space="preserve"> </w:t>
      </w:r>
      <w:r>
        <w:rPr>
          <w:iCs/>
          <w:i/>
        </w:rPr>
        <w:t xml:space="preserve">s</w:t>
      </w:r>
      <w:r>
        <w:t xml:space="preserve"> </w:t>
      </w:r>
      <w:r>
        <w:t xml:space="preserve">+</w:t>
      </w:r>
      <w:r>
        <w:t xml:space="preserve"> </w:t>
      </w:r>
      <w:r>
        <w:rPr>
          <w:iCs/>
          <w:i/>
        </w:rPr>
        <w:t xml:space="preserve">hita</w:t>
      </w:r>
      <w:r>
        <w:t xml:space="preserve">;</w:t>
      </w:r>
      <w:r>
        <w:t xml:space="preserve"> </w:t>
      </w:r>
      <w:r>
        <w:rPr>
          <w:iCs/>
          <w:i/>
        </w:rPr>
        <w:t xml:space="preserve">ru</w:t>
      </w:r>
      <w:r>
        <w:t xml:space="preserve"> </w:t>
      </w:r>
      <w:r>
        <w:t xml:space="preserve">by</w:t>
      </w:r>
      <w:r>
        <w:t xml:space="preserve"> </w:t>
      </w:r>
      <w:r>
        <w:t xml:space="preserve">“</w:t>
      </w:r>
      <w:r>
        <w:t xml:space="preserve">sasajuṣo ruḥ</w:t>
      </w:r>
      <w:r>
        <w:t xml:space="preserve">”</w:t>
      </w:r>
      <w:r>
        <w:t xml:space="preserve"> </w:t>
      </w:r>
      <w:r>
        <w:t xml:space="preserve">(Pā. 8-2-66):</w:t>
      </w:r>
      <w:r>
        <w:t xml:space="preserve"> </w:t>
      </w:r>
      <w:r>
        <w:rPr>
          <w:iCs/>
          <w:i/>
        </w:rPr>
        <w:t xml:space="preserve">manur hita</w:t>
      </w:r>
      <w:r>
        <w:t xml:space="preserve">. By</w:t>
      </w:r>
      <w:r>
        <w:t xml:space="preserve"> </w:t>
      </w:r>
      <w:r>
        <w:rPr>
          <w:iCs/>
          <w:i/>
        </w:rPr>
        <w:t xml:space="preserve">sthānivadbhāva</w:t>
      </w:r>
      <w:r>
        <w:t xml:space="preserve"> </w:t>
      </w:r>
      <w:r>
        <w:t xml:space="preserve">the</w:t>
      </w:r>
      <w:r>
        <w:t xml:space="preserve"> </w:t>
      </w:r>
      <w:r>
        <w:rPr>
          <w:iCs/>
          <w:i/>
        </w:rPr>
        <w:t xml:space="preserve">ru</w:t>
      </w:r>
      <w:r>
        <w:t xml:space="preserve"> </w:t>
      </w:r>
      <w:r>
        <w:t xml:space="preserve">is still a</w:t>
      </w:r>
      <w:r>
        <w:t xml:space="preserve"> </w:t>
      </w:r>
      <w:r>
        <w:rPr>
          <w:iCs/>
          <w:i/>
        </w:rPr>
        <w:t xml:space="preserve">sup</w:t>
      </w:r>
      <w:r>
        <w:t xml:space="preserve">, so</w:t>
      </w:r>
      <w:r>
        <w:t xml:space="preserve"> </w:t>
      </w:r>
      <w:r>
        <w:t xml:space="preserve">“</w:t>
      </w:r>
      <w:r>
        <w:t xml:space="preserve">supo dhātu-prātipadikayoḥ</w:t>
      </w:r>
      <w:r>
        <w:t xml:space="preserve">”</w:t>
      </w:r>
      <w:r>
        <w:t xml:space="preserve"> </w:t>
      </w:r>
      <w:r>
        <w:t xml:space="preserve">(Pā. 2-4-71) would drop it; but in the Veda, by</w:t>
      </w:r>
      <w:r>
        <w:t xml:space="preserve"> </w:t>
      </w:r>
      <w:r>
        <w:t xml:space="preserve">“</w:t>
      </w:r>
      <w:r>
        <w:t xml:space="preserve">sarve vidhayaś chandasi vikalpyante</w:t>
      </w:r>
      <w:r>
        <w:t xml:space="preserve">”</w:t>
      </w:r>
      <w:r>
        <w:t xml:space="preserve"> </w:t>
      </w:r>
      <w:r>
        <w:t xml:space="preserve">(printed</w:t>
      </w:r>
      <w:r>
        <w:t xml:space="preserve"> </w:t>
      </w:r>
      <w:r>
        <w:t xml:space="preserve">“</w:t>
      </w:r>
      <w:r>
        <w:t xml:space="preserve">Paribhā. 35</w:t>
      </w:r>
      <w:r>
        <w:t xml:space="preserve">”</w:t>
      </w:r>
      <w:r>
        <w:t xml:space="preserve">), every rule is optional, so the</w:t>
      </w:r>
      <w:r>
        <w:t xml:space="preserve"> </w:t>
      </w:r>
      <w:r>
        <w:rPr>
          <w:iCs/>
          <w:i/>
        </w:rPr>
        <w:t xml:space="preserve">luk</w:t>
      </w:r>
      <w:r>
        <w:t xml:space="preserve"> </w:t>
      </w:r>
      <w:r>
        <w:t xml:space="preserve">does not come here.</w:t>
      </w:r>
      <w:r>
        <w:t xml:space="preserve"> </w:t>
      </w:r>
      <w:r>
        <w:t xml:space="preserve">“</w:t>
      </w:r>
      <w:r>
        <w:t xml:space="preserve">samāsasya</w:t>
      </w:r>
      <w:r>
        <w:t xml:space="preserve">”</w:t>
      </w:r>
      <w:r>
        <w:t xml:space="preserve"> </w:t>
      </w:r>
      <w:r>
        <w:t xml:space="preserve">(Pā. 6-1-223) would give the final udātta; setting it aside,</w:t>
      </w:r>
      <w:r>
        <w:t xml:space="preserve"> </w:t>
      </w:r>
      <w:r>
        <w:t xml:space="preserve">“</w:t>
      </w:r>
      <w:r>
        <w:t xml:space="preserve">tatpuruṣe tulyārtha…</w:t>
      </w:r>
      <w:r>
        <w:t xml:space="preserve">”</w:t>
      </w:r>
      <w:r>
        <w:t xml:space="preserve"> </w:t>
      </w:r>
      <w:r>
        <w:t xml:space="preserve">(Pā. 6-2-2) would give the first-member accent; setting that aside,</w:t>
      </w:r>
      <w:r>
        <w:t xml:space="preserve"> </w:t>
      </w:r>
      <w:r>
        <w:t xml:space="preserve">“</w:t>
      </w:r>
      <w:r>
        <w:t xml:space="preserve">gati-kārakopapadāt kṛt</w:t>
      </w:r>
      <w:r>
        <w:t xml:space="preserve">”</w:t>
      </w:r>
      <w:r>
        <w:t xml:space="preserve"> </w:t>
      </w:r>
      <w:r>
        <w:t xml:space="preserve">(Pā. 6-2-139) the accent of the</w:t>
      </w:r>
      <w:r>
        <w:t xml:space="preserve"> </w:t>
      </w:r>
      <w:r>
        <w:rPr>
          <w:iCs/>
          <w:i/>
        </w:rPr>
        <w:t xml:space="preserve">kṛt</w:t>
      </w:r>
      <w:r>
        <w:t xml:space="preserve"> </w:t>
      </w:r>
      <w:r>
        <w:t xml:space="preserve">second member; setting that aside too,</w:t>
      </w:r>
      <w:r>
        <w:t xml:space="preserve"> </w:t>
      </w:r>
      <w:r>
        <w:t xml:space="preserve">“</w:t>
      </w:r>
      <w:r>
        <w:t xml:space="preserve">thātha-ghañ-ktāj-abitra-kāṇām</w:t>
      </w:r>
      <w:r>
        <w:t xml:space="preserve">”</w:t>
      </w:r>
      <w:r>
        <w:t xml:space="preserve"> </w:t>
      </w:r>
      <w:r>
        <w:t xml:space="preserve">(printed</w:t>
      </w:r>
      <w:r>
        <w:t xml:space="preserve"> </w:t>
      </w:r>
      <w:r>
        <w:t xml:space="preserve">“</w:t>
      </w:r>
      <w:r>
        <w:t xml:space="preserve">6-2-1-144</w:t>
      </w:r>
      <w:r>
        <w:t xml:space="preserve">”</w:t>
      </w:r>
      <w:r>
        <w:t xml:space="preserve"> </w:t>
      </w:r>
      <w:r>
        <w:t xml:space="preserve">[sic]) the final udātta of a</w:t>
      </w:r>
      <w:r>
        <w:t xml:space="preserve"> </w:t>
      </w:r>
      <w:r>
        <w:rPr>
          <w:iCs/>
          <w:i/>
        </w:rPr>
        <w:t xml:space="preserve">kta</w:t>
      </w:r>
      <w:r>
        <w:t xml:space="preserve">-ending after a</w:t>
      </w:r>
      <w:r>
        <w:t xml:space="preserve"> </w:t>
      </w:r>
      <w:r>
        <w:rPr>
          <w:iCs/>
          <w:i/>
        </w:rPr>
        <w:t xml:space="preserve">kāraka</w:t>
      </w:r>
      <w:r>
        <w:t xml:space="preserve">; and setting that aside,</w:t>
      </w:r>
      <w:r>
        <w:t xml:space="preserve"> </w:t>
      </w:r>
      <w:r>
        <w:t xml:space="preserve">“</w:t>
      </w:r>
      <w:r>
        <w:t xml:space="preserve">tṛtīyā karmaṇi</w:t>
      </w:r>
      <w:r>
        <w:t xml:space="preserve">”</w:t>
      </w:r>
      <w:r>
        <w:t xml:space="preserve"> </w:t>
      </w:r>
      <w:r>
        <w:t xml:space="preserve">(Pā. 6-2-48) — before a</w:t>
      </w:r>
      <w:r>
        <w:t xml:space="preserve"> </w:t>
      </w:r>
      <w:r>
        <w:rPr>
          <w:iCs/>
          <w:i/>
        </w:rPr>
        <w:t xml:space="preserve">kta</w:t>
      </w:r>
      <w:r>
        <w:t xml:space="preserve">-ending in the object sense, a third-case first member keeps its accent — gives the first-member accent. That is, in</w:t>
      </w:r>
      <w:r>
        <w:t xml:space="preserve"> </w:t>
      </w:r>
      <w:r>
        <w:rPr>
          <w:iCs/>
          <w:i/>
        </w:rPr>
        <w:t xml:space="preserve">manurhita</w:t>
      </w:r>
      <w:r>
        <w:t xml:space="preserve"> </w:t>
      </w:r>
      <w:r>
        <w:t xml:space="preserve">the</w:t>
      </w:r>
      <w:r>
        <w:t xml:space="preserve"> </w:t>
      </w:r>
      <w:r>
        <w:rPr>
          <w:iCs/>
          <w:i/>
        </w:rPr>
        <w:t xml:space="preserve">a</w:t>
      </w:r>
      <w:r>
        <w:t xml:space="preserve"> </w:t>
      </w:r>
      <w:r>
        <w:t xml:space="preserve">after the</w:t>
      </w:r>
      <w:r>
        <w:t xml:space="preserve"> </w:t>
      </w:r>
      <w:r>
        <w:rPr>
          <w:iCs/>
          <w:i/>
        </w:rPr>
        <w:t xml:space="preserve">m</w:t>
      </w:r>
      <w:r>
        <w:t xml:space="preserve"> </w:t>
      </w:r>
      <w:r>
        <w:t xml:space="preserve">alone is udātta; the other vowels are unaccented by</w:t>
      </w:r>
      <w:r>
        <w:t xml:space="preserve"> </w:t>
      </w:r>
      <w:r>
        <w:t xml:space="preserve">“</w:t>
      </w:r>
      <w:r>
        <w:t xml:space="preserve">anudāttaṃ padam ekavarjam</w:t>
      </w:r>
      <w:r>
        <w:t xml:space="preserve">”</w:t>
      </w:r>
      <w:r>
        <w:t xml:space="preserve"> </w:t>
      </w:r>
      <w:r>
        <w:t xml:space="preserve">(Pā. 6-1-158); then the second vowel, the</w:t>
      </w:r>
      <w:r>
        <w:t xml:space="preserve"> </w:t>
      </w:r>
      <w:r>
        <w:rPr>
          <w:iCs/>
          <w:i/>
        </w:rPr>
        <w:t xml:space="preserve">u</w:t>
      </w:r>
      <w:r>
        <w:t xml:space="preserve">, becomes svarita by</w:t>
      </w:r>
      <w:r>
        <w:t xml:space="preserve"> </w:t>
      </w:r>
      <w:r>
        <w:t xml:space="preserve">“</w:t>
      </w:r>
      <w:r>
        <w:t xml:space="preserve">udāttād anudāttasya svaritaḥ</w:t>
      </w:r>
      <w:r>
        <w:t xml:space="preserve">”</w:t>
      </w:r>
      <w:r>
        <w:t xml:space="preserve"> </w:t>
      </w:r>
      <w:r>
        <w:t xml:space="preserve">(Pā. 8-4-66), and the rest become</w:t>
      </w:r>
      <w:r>
        <w:t xml:space="preserve"> </w:t>
      </w:r>
      <w:r>
        <w:rPr>
          <w:iCs/>
          <w:i/>
        </w:rPr>
        <w:t xml:space="preserve">pracaya</w:t>
      </w:r>
      <w:r>
        <w:t xml:space="preserve"> </w:t>
      </w:r>
      <w:r>
        <w:t xml:space="preserve">by</w:t>
      </w:r>
      <w:r>
        <w:t xml:space="preserve"> </w:t>
      </w:r>
      <w:r>
        <w:t xml:space="preserve">“</w:t>
      </w:r>
      <w:r>
        <w:t xml:space="preserve">svaritāt saṃhitāyām anudāttānām</w:t>
      </w:r>
      <w:r>
        <w:t xml:space="preserve">”</w:t>
      </w:r>
      <w:r>
        <w:t xml:space="preserve"> </w:t>
      </w:r>
      <w:r>
        <w:t xml:space="preserve">(Pā. 1-2-39).</w:t>
      </w:r>
    </w:p>
    <w:p>
      <w:pPr>
        <w:pStyle w:val="BodyText"/>
      </w:pPr>
      <w:r>
        <w:rPr>
          <w:bCs/>
          <w:b/>
        </w:rPr>
        <w:t xml:space="preserve">॥४॥</w:t>
      </w:r>
    </w:p>
    <w:p>
      <w:r>
        <w:pict>
          <v:rect style="width:0;height:1.5pt" o:hralign="center" o:hrstd="t" o:hr="t"/>
        </w:pict>
      </w:r>
    </w:p>
    <w:bookmarkEnd w:id="576"/>
    <w:bookmarkStart w:id="577" w:name="page-546-lower-sūkta-13-rik-5"/>
    <w:p>
      <w:pPr>
        <w:pStyle w:val="Heading3"/>
      </w:pPr>
      <w:r>
        <w:t xml:space="preserve">Page 546 (lower) — Sūkta 13, Rik 5</w:t>
      </w:r>
    </w:p>
    <w:p>
      <w:pPr>
        <w:pStyle w:val="FirstParagraph"/>
      </w:pPr>
      <w:r>
        <w:rPr>
          <w:bCs/>
          <w:b/>
        </w:rPr>
        <w:t xml:space="preserve">॥ Saṃhitā-pāṭhaḥ ॥</w:t>
      </w:r>
    </w:p>
    <w:p>
      <w:pPr>
        <w:pStyle w:val="BlockText"/>
      </w:pPr>
      <w:r>
        <w:t xml:space="preserve">स्तृ॒णी॒त ब॒र्हिरा॑नु॒षग्घृ॒तपृ॑ष्ठं मनीषिणः ।</w:t>
      </w:r>
      <w:r>
        <w:t xml:space="preserve"> </w:t>
      </w:r>
      <w:r>
        <w:t xml:space="preserve">य॒त्रा॒मृत॑स्य॒ चक्ष॑णम् ॥५॥</w:t>
      </w:r>
    </w:p>
    <w:p>
      <w:pPr>
        <w:pStyle w:val="BlockText"/>
      </w:pPr>
      <w:r>
        <w:rPr>
          <w:iCs/>
          <w:i/>
        </w:rPr>
        <w:t xml:space="preserve">stṛṇītá barhír ānuṣág ghṛtápṛṣṭhaṃ manīṣiṇaḥ |</w:t>
      </w:r>
      <w:r>
        <w:t xml:space="preserve"> </w:t>
      </w:r>
      <w:r>
        <w:rPr>
          <w:iCs/>
          <w:i/>
        </w:rPr>
        <w:t xml:space="preserve">yatrāmṛ́tasya cákṣaṇam ||5||</w:t>
      </w:r>
    </w:p>
    <w:p>
      <w:pPr>
        <w:pStyle w:val="FirstParagraph"/>
      </w:pPr>
      <w:r>
        <w:rPr>
          <w:iCs/>
          <w:i/>
        </w:rPr>
        <w:t xml:space="preserve">(Saṃhitā accents as printed; Pada unaccented. The bar under the first syllable of line 2 is not clearly printed; the conjunct of</w:t>
      </w:r>
      <w:r>
        <w:t xml:space="preserve"> </w:t>
      </w:r>
      <w:r>
        <w:t xml:space="preserve">मृ</w:t>
      </w:r>
      <w:r>
        <w:t xml:space="preserve"> </w:t>
      </w:r>
      <w:r>
        <w:rPr>
          <w:iCs/>
          <w:i/>
        </w:rPr>
        <w:t xml:space="preserve">in</w:t>
      </w:r>
      <w:r>
        <w:t xml:space="preserve"> </w:t>
      </w:r>
      <w:r>
        <w:t xml:space="preserve">यत्रामृतस्य</w:t>
      </w:r>
      <w:r>
        <w:t xml:space="preserve"> </w:t>
      </w:r>
      <w:r>
        <w:rPr>
          <w:iCs/>
          <w:i/>
        </w:rPr>
        <w:t xml:space="preserve">is printed in an unusual form, here read as</w:t>
      </w:r>
      <w:r>
        <w:t xml:space="preserve"> </w:t>
      </w:r>
      <w:r>
        <w:t xml:space="preserve">मृ</w:t>
      </w:r>
      <w:r>
        <w:rPr>
          <w:iCs/>
          <w:i/>
        </w:rPr>
        <w:t xml:space="preserve">.)</w:t>
      </w:r>
    </w:p>
    <w:p>
      <w:pPr>
        <w:pStyle w:val="BodyText"/>
      </w:pPr>
      <w:r>
        <w:rPr>
          <w:bCs/>
          <w:b/>
        </w:rPr>
        <w:t xml:space="preserve">॥ Pada-pāṭhaḥ ॥</w:t>
      </w:r>
    </w:p>
    <w:p>
      <w:pPr>
        <w:pStyle w:val="BlockText"/>
      </w:pPr>
      <w:r>
        <w:t xml:space="preserve">स्तृणीत । बर्हिः । आनुषक् । घृतऽपृष्ठम् । मनीषिणः ॥</w:t>
      </w:r>
      <w:r>
        <w:t xml:space="preserve"> </w:t>
      </w:r>
      <w:r>
        <w:t xml:space="preserve">यत्र । अमृतस्य । चक्षणम् ॥५॥</w:t>
      </w:r>
    </w:p>
    <w:p>
      <w:pPr>
        <w:pStyle w:val="BlockText"/>
      </w:pPr>
      <w:r>
        <w:rPr>
          <w:iCs/>
          <w:i/>
        </w:rPr>
        <w:t xml:space="preserve">stṛṇīta | barhiḥ | ānuṣak | ghṛta-pṛṣṭham | manīṣiṇaḥ ||</w:t>
      </w:r>
      <w:r>
        <w:t xml:space="preserve"> </w:t>
      </w:r>
      <w:r>
        <w:rPr>
          <w:iCs/>
          <w:i/>
        </w:rPr>
        <w:t xml:space="preserve">yatra | amṛtasya | cakṣaṇam ||5||</w:t>
      </w:r>
    </w:p>
    <w:bookmarkEnd w:id="577"/>
    <w:bookmarkStart w:id="578" w:name="Xd42e3d33dd0e0a60a34660ecdf43bdfa83e922b"/>
    <w:p>
      <w:pPr>
        <w:pStyle w:val="Heading3"/>
      </w:pPr>
      <w:r>
        <w:t xml:space="preserve">Page 547 — Rik 5: Sāyaṇa-bhāṣya and word-meanings</w:t>
      </w:r>
    </w:p>
    <w:p>
      <w:pPr>
        <w:pStyle w:val="FirstParagraph"/>
      </w:pPr>
      <w:r>
        <w:rPr>
          <w:bCs/>
          <w:b/>
        </w:rPr>
        <w:t xml:space="preserve">॥ Sāyaṇa-bhāṣyam ॥</w:t>
      </w:r>
    </w:p>
    <w:p>
      <w:pPr>
        <w:pStyle w:val="BlockText"/>
      </w:pPr>
      <w:r>
        <w:t xml:space="preserve">हे मनीषिणो बुद्धिमन्त ऋत्विजो बर्हिर्दर्भं स्तृणीत । वेदेरुपर्याच्छादयत । अत्रापि बर्हिर्नामको ऽग्निः सूच्यते । कीदृशं बर्हिरास्तरणीयम् । आनुषगनुक्रमेण सक्तं परस्परं संबद्धं घृतपृष्ठम् । घृतपूर्णानां स्रुचां बर्हिष्यासादितत्वाद्घृतं पृष्ठ उपरिभागे यस्य बर्हिषस्तद्घृतपृष्ठम् । यत्र यस्मिन्बर्हिष्यमृतस्यामृतसमानस्य घृतस्य चक्षणं दर्शनं भवति । यद्वा । मरणरहितस्य देवस्य बर्हिर्नामकस्याग्नेर्दर्शनं भवति । तद्बर्हिः स्तृणीतेति पूर्वत्रान्वयः ॥ स्तृणीत । स्तृञ् आच्छादने । लोण्मध्यमपुरुषस्य बहुवचनम् । लोटो लङ्वत् । पा. ३-४-८५ । तस्थस्थमिपाम् । पा. ३-४-१०१ । इति थस्य तादेशः । क्र्यादिभ्यः श्ना । ई हल्यघोः । पा. ६-४-११३ । इतीत्त्वम् । ऋवर्णाच्चेति वक्तव्यम् । का. ८-४-१-१ । इति णत्वम् । प्वादीनां ह्रस्वः । पा. ७-३-८० । इति धातोर्ह्रस्वत्वम् । सतिशिष्टस्वरबलीयस्त्वमन्यत्र विकरणेभ्यः । अतस्तिङ एव प्रत्ययस्वरेणोदात्तत्वम् । बर्हिः । बृंहेर्नलोपश्च । उ. २-११० । इतीसिप्रत्ययनलोपौ । प्रत्ययस्वरः । आनुषक् । आ समन्तादनुषजतीत्यानुषक् । षञ्ज सङ्गे । धात्वादेः षः सः । क्विप्चेति क्विप् । अनिदिताम् । पा. ६-४-२४ । इति लोपः । आङन्वोरुपसर्गयोः प्राक्प्रयोगः । गतिसमासः । उपसर्गात्सुनोतीत्यादिना षत्वम् । घृतपृष्ठम् । घृ क्षरणदीप्त्योः । निष्ठेति क्तः । प्रत्ययस्वरेणोदात्तः । घृतयुक्तं पृष्ठमस्येति बहुव्रीहौ पूर्वपदप्रकृतिस्वरत्वम् । मनीषिणः । आमन्त्रितनिघातः । अमृतस्य । न विद्यते मृतं मरणमस्मिन्नित्यमृतम् । बहुव्रीहौ पूर्वपदप्रकृतिस्वरत्वं बाधित्वा नञ्सुभ्यामित्युत्तरपदान्तोदात्तत्वे प्राप्ते नञो जरमरमित्रमृताः । पा. ६-२-११६ । इत्युत्तरपदाद्युदात्तत्वम् । चक्षणम् । चक्षिङ् व्यक्तायां वाचि । वागभिव्यक्तिवाची धातुरिहाभिव्यक्तिमात्रं लक्षयति । ल्युट् च । पा. ३-३-११५ । इति भावे ल्युट् । योरनादेशः । तस्यार्धधातुकत्वाच्चक्षिङः ख्याञ् । पा. २-४-५४ । इति ख्याञादेशे प्राप्ते ऽसनयोश्च । पा. २-४-५४-१० । इति प्रतिषेधः ॥</w:t>
      </w:r>
    </w:p>
    <w:p>
      <w:pPr>
        <w:pStyle w:val="BlockText"/>
      </w:pPr>
      <w:r>
        <w:rPr>
          <w:iCs/>
          <w:i/>
        </w:rPr>
        <w:t xml:space="preserve">he manīṣiṇo buddhimanta ṛtvijo barhirdarbhaṃ stṛṇīta | vederuparyācchādayata | atrāpi barhirnāmako ’gniḥ sūcyate | kīdṛśaṃ barhirāstaraṇīyam | ānuṣaganukrameṇa saktaṃ parasparaṃ saṃbaddhaṃ ghṛtapṛṣṭham | ghṛtapūrṇānāṃ srucāṃ barhiṣyāsāditatvādghṛtaṃ pṛṣṭha uparibhāge yasya barhiṣastadghṛtapṛṣṭham | yatra yasminbarhiṣyamṛtasyāmṛtasamānasya ghṛtasya cakṣaṇaṃ darśanaṃ bhavati | yadvā | maraṇarahitasya devasya barhirnāmakasyāgnerdarśanaṃ bhavati | tadbarhiḥ stṛṇīteti pūrvatrānvayaḥ || stṛṇīta | stṛñ ācchādane | loṇmadhyamapuruṣasya bahuvacanam | loṭo laṅvat | pā. 3-4-85 | tasthasthamipām | pā. 3-4-101 | iti thasya tādeśaḥ | kryādibhyaḥ śnā | ī halyaghoḥ | pā. 6-4-113 | itīttvam | ṛvarṇācceti vaktavyam | kā. 8-4-1-1 | iti ṇatvam | pvādīnāṃ hrasvaḥ | pā. 7-3-80 | iti dhātorhrasvatvam | satiśiṣṭasvarabalīyastvamanyatra vikaraṇebhyaḥ | atastiṅa eva pratyayasvareṇodāttatvam | barhiḥ | bṛṃhernalopaśca | u. 2-110 | itīsipratyayanalopau | pratyayasvaraḥ | ānuṣak | ā samantādanuṣajatītyānuṣak | ṣañja saṅge | dhātvādeḥ ṣaḥ saḥ | kvipceti kvip | aniditām | pā. 6-4-24 | iti lopaḥ | āṅanvorupasargayoḥ prākprayogaḥ | gatisamāsaḥ | upasargātsunotītyādinā ṣatvam | ghṛtapṛṣṭham | ghṛ kṣaraṇadīptyoḥ | niṣṭheti ktaḥ | pratyayasvareṇodāttaḥ | ghṛtayuktaṃ pṛṣṭhamasyeti bahuvrīhau pūrvapadaprakṛtisvaratvam | manīṣiṇaḥ | āmantritanighātaḥ | amṛtasya | na vidyate mṛtaṃ maraṇamasminnityamṛtam | bahuvrīhau pūrvapadaprakṛtisvaratvaṃ bādhitvā nañsubhyāmityuttarapadāntodāttatve prāpte naño jaramaramitramṛtāḥ | pā. 6-2-116 | ityuttarapadādyudāttatvam | cakṣaṇam | cakṣiṅ vyaktāyāṃ vāci | vāgabhivyaktivācī dhāturihābhivyaktimātraṃ lakṣayati | lyuṭ ca | pā. 3-3-115 | iti bhāve lyuṭ | yoranādeśaḥ | tasyārdhadhātukatvāccakṣiṅaḥ khyāñ | pā. 2-4-54 | iti khyāñādeśe prāpte ’sanayośca | pā. 2-4-54-10 | iti pratiṣedhaḥ ||</w:t>
      </w:r>
    </w:p>
    <w:p>
      <w:pPr>
        <w:pStyle w:val="FirstParagraph"/>
      </w:pPr>
      <w:r>
        <w:rPr>
          <w:bCs/>
          <w:b/>
        </w:rPr>
        <w:t xml:space="preserve">Translation:</w:t>
      </w:r>
      <w:r>
        <w:t xml:space="preserve"> </w:t>
      </w:r>
      <w:r>
        <w:t xml:space="preserve">“</w:t>
      </w:r>
      <w:r>
        <w:t xml:space="preserve">O</w:t>
      </w:r>
      <w:r>
        <w:t xml:space="preserve"> </w:t>
      </w:r>
      <w:r>
        <w:rPr>
          <w:iCs/>
          <w:i/>
        </w:rPr>
        <w:t xml:space="preserve">manīṣiṇaḥ</w:t>
      </w:r>
      <w:r>
        <w:t xml:space="preserve">, wise priests!</w:t>
      </w:r>
      <w:r>
        <w:t xml:space="preserve"> </w:t>
      </w:r>
      <w:r>
        <w:rPr>
          <w:iCs/>
          <w:i/>
        </w:rPr>
        <w:t xml:space="preserve">Barhiḥ stṛṇīta</w:t>
      </w:r>
      <w:r>
        <w:t xml:space="preserve"> </w:t>
      </w:r>
      <w:r>
        <w:t xml:space="preserve">— spread the</w:t>
      </w:r>
      <w:r>
        <w:t xml:space="preserve"> </w:t>
      </w:r>
      <w:r>
        <w:rPr>
          <w:iCs/>
          <w:i/>
        </w:rPr>
        <w:t xml:space="preserve">darbha</w:t>
      </w:r>
      <w:r>
        <w:t xml:space="preserve">; cover [the top of] the altar with it. Here too the fire named</w:t>
      </w:r>
      <w:r>
        <w:t xml:space="preserve"> </w:t>
      </w:r>
      <w:r>
        <w:rPr>
          <w:iCs/>
          <w:i/>
        </w:rPr>
        <w:t xml:space="preserve">Barhis</w:t>
      </w:r>
      <w:r>
        <w:t xml:space="preserve"> </w:t>
      </w:r>
      <w:r>
        <w:t xml:space="preserve">is indicated. What kind of</w:t>
      </w:r>
      <w:r>
        <w:t xml:space="preserve"> </w:t>
      </w:r>
      <w:r>
        <w:rPr>
          <w:iCs/>
          <w:i/>
        </w:rPr>
        <w:t xml:space="preserve">barhis</w:t>
      </w:r>
      <w:r>
        <w:t xml:space="preserve">, the one to be strewn?</w:t>
      </w:r>
      <w:r>
        <w:t xml:space="preserve"> </w:t>
      </w:r>
      <w:r>
        <w:rPr>
          <w:iCs/>
          <w:i/>
        </w:rPr>
        <w:t xml:space="preserve">Ānuṣak</w:t>
      </w:r>
      <w:r>
        <w:t xml:space="preserve"> </w:t>
      </w:r>
      <w:r>
        <w:t xml:space="preserve">— attached in order, connected with one another;</w:t>
      </w:r>
      <w:r>
        <w:t xml:space="preserve"> </w:t>
      </w:r>
      <w:r>
        <w:rPr>
          <w:iCs/>
          <w:i/>
        </w:rPr>
        <w:t xml:space="preserve">ghṛtapṛṣṭham</w:t>
      </w:r>
      <w:r>
        <w:t xml:space="preserve"> </w:t>
      </w:r>
      <w:r>
        <w:t xml:space="preserve">— since the ladles full of ghee are set down on the</w:t>
      </w:r>
      <w:r>
        <w:t xml:space="preserve"> </w:t>
      </w:r>
      <w:r>
        <w:rPr>
          <w:iCs/>
          <w:i/>
        </w:rPr>
        <w:t xml:space="preserve">barhis</w:t>
      </w:r>
      <w:r>
        <w:t xml:space="preserve">, the</w:t>
      </w:r>
      <w:r>
        <w:t xml:space="preserve"> </w:t>
      </w:r>
      <w:r>
        <w:rPr>
          <w:iCs/>
          <w:i/>
        </w:rPr>
        <w:t xml:space="preserve">barhis</w:t>
      </w:r>
      <w:r>
        <w:t xml:space="preserve"> </w:t>
      </w:r>
      <w:r>
        <w:t xml:space="preserve">whose</w:t>
      </w:r>
      <w:r>
        <w:t xml:space="preserve"> </w:t>
      </w:r>
      <w:r>
        <w:rPr>
          <w:iCs/>
          <w:i/>
        </w:rPr>
        <w:t xml:space="preserve">pṛṣṭha</w:t>
      </w:r>
      <w:r>
        <w:t xml:space="preserve">, upper part, has ghee.</w:t>
      </w:r>
      <w:r>
        <w:t xml:space="preserve"> </w:t>
      </w:r>
      <w:r>
        <w:rPr>
          <w:iCs/>
          <w:i/>
        </w:rPr>
        <w:t xml:space="preserve">Yatra</w:t>
      </w:r>
      <w:r>
        <w:t xml:space="preserve"> </w:t>
      </w:r>
      <w:r>
        <w:t xml:space="preserve">— on which</w:t>
      </w:r>
      <w:r>
        <w:t xml:space="preserve"> </w:t>
      </w:r>
      <w:r>
        <w:rPr>
          <w:iCs/>
          <w:i/>
        </w:rPr>
        <w:t xml:space="preserve">barhis</w:t>
      </w:r>
      <w:r>
        <w:t xml:space="preserve"> </w:t>
      </w:r>
      <w:r>
        <w:t xml:space="preserve">— there is</w:t>
      </w:r>
      <w:r>
        <w:t xml:space="preserve"> </w:t>
      </w:r>
      <w:r>
        <w:rPr>
          <w:iCs/>
          <w:i/>
        </w:rPr>
        <w:t xml:space="preserve">cakṣaṇam</w:t>
      </w:r>
      <w:r>
        <w:t xml:space="preserve">, the sight,</w:t>
      </w:r>
      <w:r>
        <w:t xml:space="preserve"> </w:t>
      </w:r>
      <w:r>
        <w:rPr>
          <w:iCs/>
          <w:i/>
        </w:rPr>
        <w:t xml:space="preserve">amṛtasya</w:t>
      </w:r>
      <w:r>
        <w:t xml:space="preserve">, of the ghee, which is like ambrosia; or, the sight of the deathless god, the Agni named</w:t>
      </w:r>
      <w:r>
        <w:t xml:space="preserve"> </w:t>
      </w:r>
      <w:r>
        <w:rPr>
          <w:iCs/>
          <w:i/>
        </w:rPr>
        <w:t xml:space="preserve">Barhis</w:t>
      </w:r>
      <w:r>
        <w:t xml:space="preserve">: spread that</w:t>
      </w:r>
      <w:r>
        <w:t xml:space="preserve"> </w:t>
      </w:r>
      <w:r>
        <w:rPr>
          <w:iCs/>
          <w:i/>
        </w:rPr>
        <w:t xml:space="preserve">barhis</w:t>
      </w:r>
      <w:r>
        <w:t xml:space="preserve"> </w:t>
      </w:r>
      <w:r>
        <w:t xml:space="preserve">— this is the connection with what precedes.</w:t>
      </w:r>
      <w:r>
        <w:t xml:space="preserve">”</w:t>
      </w:r>
      <w:r>
        <w:t xml:space="preserve"> </w:t>
      </w:r>
      <w:r>
        <w:t xml:space="preserve">(Grammatical tail:</w:t>
      </w:r>
      <w:r>
        <w:t xml:space="preserve"> </w:t>
      </w:r>
      <w:r>
        <w:rPr>
          <w:iCs/>
          <w:i/>
        </w:rPr>
        <w:t xml:space="preserve">stṛṇīta</w:t>
      </w:r>
      <w:r>
        <w:t xml:space="preserve"> </w:t>
      </w:r>
      <w:r>
        <w:t xml:space="preserve">—</w:t>
      </w:r>
      <w:r>
        <w:t xml:space="preserve"> </w:t>
      </w:r>
      <w:r>
        <w:rPr>
          <w:iCs/>
          <w:i/>
        </w:rPr>
        <w:t xml:space="preserve">stṛñ ācchādane</w:t>
      </w:r>
      <w:r>
        <w:t xml:space="preserve">,</w:t>
      </w:r>
      <w:r>
        <w:t xml:space="preserve"> </w:t>
      </w:r>
      <w:r>
        <w:rPr>
          <w:iCs/>
          <w:i/>
        </w:rPr>
        <w:t xml:space="preserve">loṭ</w:t>
      </w:r>
      <w:r>
        <w:t xml:space="preserve"> </w:t>
      </w:r>
      <w:r>
        <w:t xml:space="preserve">second plural, treated like</w:t>
      </w:r>
      <w:r>
        <w:t xml:space="preserve"> </w:t>
      </w:r>
      <w:r>
        <w:rPr>
          <w:iCs/>
          <w:i/>
        </w:rPr>
        <w:t xml:space="preserve">laṅ</w:t>
      </w:r>
      <w:r>
        <w:t xml:space="preserve"> </w:t>
      </w:r>
      <w:r>
        <w:t xml:space="preserve">by</w:t>
      </w:r>
      <w:r>
        <w:t xml:space="preserve"> </w:t>
      </w:r>
      <w:r>
        <w:t xml:space="preserve">“</w:t>
      </w:r>
      <w:r>
        <w:t xml:space="preserve">loṭo laṅvat</w:t>
      </w:r>
      <w:r>
        <w:t xml:space="preserve">”</w:t>
      </w:r>
      <w:r>
        <w:t xml:space="preserve"> </w:t>
      </w:r>
      <w:r>
        <w:t xml:space="preserve">(Pā. 3-4-85),</w:t>
      </w:r>
      <w:r>
        <w:t xml:space="preserve"> </w:t>
      </w:r>
      <w:r>
        <w:rPr>
          <w:iCs/>
          <w:i/>
        </w:rPr>
        <w:t xml:space="preserve">ta</w:t>
      </w:r>
      <w:r>
        <w:t xml:space="preserve"> </w:t>
      </w:r>
      <w:r>
        <w:t xml:space="preserve">for</w:t>
      </w:r>
      <w:r>
        <w:t xml:space="preserve"> </w:t>
      </w:r>
      <w:r>
        <w:rPr>
          <w:iCs/>
          <w:i/>
        </w:rPr>
        <w:t xml:space="preserve">tha</w:t>
      </w:r>
      <w:r>
        <w:t xml:space="preserve"> </w:t>
      </w:r>
      <w:r>
        <w:t xml:space="preserve">by</w:t>
      </w:r>
      <w:r>
        <w:t xml:space="preserve"> </w:t>
      </w:r>
      <w:r>
        <w:t xml:space="preserve">“</w:t>
      </w:r>
      <w:r>
        <w:t xml:space="preserve">tas-thas-tha-mipām…</w:t>
      </w:r>
      <w:r>
        <w:t xml:space="preserve">”</w:t>
      </w:r>
      <w:r>
        <w:t xml:space="preserve"> </w:t>
      </w:r>
      <w:r>
        <w:t xml:space="preserve">(Pā. 3-4-101),</w:t>
      </w:r>
      <w:r>
        <w:t xml:space="preserve"> </w:t>
      </w:r>
      <w:r>
        <w:rPr>
          <w:iCs/>
          <w:i/>
        </w:rPr>
        <w:t xml:space="preserve">śnā</w:t>
      </w:r>
      <w:r>
        <w:t xml:space="preserve"> </w:t>
      </w:r>
      <w:r>
        <w:t xml:space="preserve">of the</w:t>
      </w:r>
      <w:r>
        <w:t xml:space="preserve"> </w:t>
      </w:r>
      <w:r>
        <w:rPr>
          <w:iCs/>
          <w:i/>
        </w:rPr>
        <w:t xml:space="preserve">kryādi</w:t>
      </w:r>
      <w:r>
        <w:t xml:space="preserve">,</w:t>
      </w:r>
      <w:r>
        <w:t xml:space="preserve"> </w:t>
      </w:r>
      <w:r>
        <w:rPr>
          <w:iCs/>
          <w:i/>
        </w:rPr>
        <w:t xml:space="preserve">ī</w:t>
      </w:r>
      <w:r>
        <w:t xml:space="preserve"> </w:t>
      </w:r>
      <w:r>
        <w:t xml:space="preserve">by</w:t>
      </w:r>
      <w:r>
        <w:t xml:space="preserve"> </w:t>
      </w:r>
      <w:r>
        <w:t xml:space="preserve">“</w:t>
      </w:r>
      <w:r>
        <w:t xml:space="preserve">ī haly aghoḥ</w:t>
      </w:r>
      <w:r>
        <w:t xml:space="preserve">”</w:t>
      </w:r>
      <w:r>
        <w:t xml:space="preserve"> </w:t>
      </w:r>
      <w:r>
        <w:t xml:space="preserve">(Pā. 6-4-113),</w:t>
      </w:r>
      <w:r>
        <w:t xml:space="preserve"> </w:t>
      </w:r>
      <w:r>
        <w:rPr>
          <w:iCs/>
          <w:i/>
        </w:rPr>
        <w:t xml:space="preserve">ṇ</w:t>
      </w:r>
      <w:r>
        <w:t xml:space="preserve"> </w:t>
      </w:r>
      <w:r>
        <w:t xml:space="preserve">by the vārttika</w:t>
      </w:r>
      <w:r>
        <w:t xml:space="preserve"> </w:t>
      </w:r>
      <w:r>
        <w:t xml:space="preserve">“</w:t>
      </w:r>
      <w:r>
        <w:t xml:space="preserve">ṛvarṇāc ca</w:t>
      </w:r>
      <w:r>
        <w:t xml:space="preserve">”</w:t>
      </w:r>
      <w:r>
        <w:t xml:space="preserve"> </w:t>
      </w:r>
      <w:r>
        <w:t xml:space="preserve">(Kā. 8-4-1-1), the root shortened by</w:t>
      </w:r>
      <w:r>
        <w:t xml:space="preserve"> </w:t>
      </w:r>
      <w:r>
        <w:t xml:space="preserve">“</w:t>
      </w:r>
      <w:r>
        <w:t xml:space="preserve">pvādīnāṃ hrasvaḥ</w:t>
      </w:r>
      <w:r>
        <w:t xml:space="preserve">”</w:t>
      </w:r>
      <w:r>
        <w:t xml:space="preserve"> </w:t>
      </w:r>
      <w:r>
        <w:t xml:space="preserve">(Pā. 7-3-80); by</w:t>
      </w:r>
      <w:r>
        <w:t xml:space="preserve"> </w:t>
      </w:r>
      <w:r>
        <w:t xml:space="preserve">“</w:t>
      </w:r>
      <w:r>
        <w:t xml:space="preserve">sati śiṣṭa-svara-balīyastvam anyatra vikaraṇebhyaḥ</w:t>
      </w:r>
      <w:r>
        <w:t xml:space="preserve">”</w:t>
      </w:r>
      <w:r>
        <w:t xml:space="preserve"> </w:t>
      </w:r>
      <w:r>
        <w:t xml:space="preserve">the</w:t>
      </w:r>
      <w:r>
        <w:t xml:space="preserve"> </w:t>
      </w:r>
      <w:r>
        <w:rPr>
          <w:iCs/>
          <w:i/>
        </w:rPr>
        <w:t xml:space="preserve">tiṅ</w:t>
      </w:r>
      <w:r>
        <w:t xml:space="preserve"> </w:t>
      </w:r>
      <w:r>
        <w:t xml:space="preserve">alone is udātta by the suffix accent;</w:t>
      </w:r>
      <w:r>
        <w:t xml:space="preserve"> </w:t>
      </w:r>
      <w:r>
        <w:rPr>
          <w:iCs/>
          <w:i/>
        </w:rPr>
        <w:t xml:space="preserve">barhiḥ</w:t>
      </w:r>
      <w:r>
        <w:t xml:space="preserve"> </w:t>
      </w:r>
      <w:r>
        <w:t xml:space="preserve">—</w:t>
      </w:r>
      <w:r>
        <w:t xml:space="preserve"> </w:t>
      </w:r>
      <w:r>
        <w:rPr>
          <w:iCs/>
          <w:i/>
        </w:rPr>
        <w:t xml:space="preserve">isi</w:t>
      </w:r>
      <w:r>
        <w:t xml:space="preserve"> </w:t>
      </w:r>
      <w:r>
        <w:t xml:space="preserve">with loss of</w:t>
      </w:r>
      <w:r>
        <w:t xml:space="preserve"> </w:t>
      </w:r>
      <w:r>
        <w:rPr>
          <w:iCs/>
          <w:i/>
        </w:rPr>
        <w:t xml:space="preserve">n</w:t>
      </w:r>
      <w:r>
        <w:t xml:space="preserve"> </w:t>
      </w:r>
      <w:r>
        <w:t xml:space="preserve">by</w:t>
      </w:r>
      <w:r>
        <w:t xml:space="preserve"> </w:t>
      </w:r>
      <w:r>
        <w:t xml:space="preserve">“</w:t>
      </w:r>
      <w:r>
        <w:t xml:space="preserve">bṛṃher nalopaś ca</w:t>
      </w:r>
      <w:r>
        <w:t xml:space="preserve">”</w:t>
      </w:r>
      <w:r>
        <w:t xml:space="preserve"> </w:t>
      </w:r>
      <w:r>
        <w:t xml:space="preserve">(Uṇ. 2-110), suffix accent;</w:t>
      </w:r>
      <w:r>
        <w:t xml:space="preserve"> </w:t>
      </w:r>
      <w:r>
        <w:rPr>
          <w:iCs/>
          <w:i/>
        </w:rPr>
        <w:t xml:space="preserve">ānuṣak</w:t>
      </w:r>
      <w:r>
        <w:t xml:space="preserve"> </w:t>
      </w:r>
      <w:r>
        <w:t xml:space="preserve">—</w:t>
      </w:r>
      <w:r>
        <w:t xml:space="preserve"> </w:t>
      </w:r>
      <w:r>
        <w:t xml:space="preserve">“</w:t>
      </w:r>
      <w:r>
        <w:t xml:space="preserve">it clings all around</w:t>
      </w:r>
      <w:r>
        <w:t xml:space="preserve">”</w:t>
      </w:r>
      <w:r>
        <w:t xml:space="preserve">:</w:t>
      </w:r>
      <w:r>
        <w:t xml:space="preserve"> </w:t>
      </w:r>
      <w:r>
        <w:rPr>
          <w:iCs/>
          <w:i/>
        </w:rPr>
        <w:t xml:space="preserve">ṣañja saṅge</w:t>
      </w:r>
      <w:r>
        <w:t xml:space="preserve">,</w:t>
      </w:r>
      <w:r>
        <w:t xml:space="preserve"> </w:t>
      </w:r>
      <w:r>
        <w:rPr>
          <w:iCs/>
          <w:i/>
        </w:rPr>
        <w:t xml:space="preserve">s</w:t>
      </w:r>
      <w:r>
        <w:t xml:space="preserve"> </w:t>
      </w:r>
      <w:r>
        <w:t xml:space="preserve">for</w:t>
      </w:r>
      <w:r>
        <w:t xml:space="preserve"> </w:t>
      </w:r>
      <w:r>
        <w:rPr>
          <w:iCs/>
          <w:i/>
        </w:rPr>
        <w:t xml:space="preserve">ṣ</w:t>
      </w:r>
      <w:r>
        <w:t xml:space="preserve">,</w:t>
      </w:r>
      <w:r>
        <w:t xml:space="preserve"> </w:t>
      </w:r>
      <w:r>
        <w:rPr>
          <w:iCs/>
          <w:i/>
        </w:rPr>
        <w:t xml:space="preserve">kvip</w:t>
      </w:r>
      <w:r>
        <w:t xml:space="preserve">, the</w:t>
      </w:r>
      <w:r>
        <w:t xml:space="preserve"> </w:t>
      </w:r>
      <w:r>
        <w:rPr>
          <w:iCs/>
          <w:i/>
        </w:rPr>
        <w:t xml:space="preserve">n</w:t>
      </w:r>
      <w:r>
        <w:t xml:space="preserve"> </w:t>
      </w:r>
      <w:r>
        <w:t xml:space="preserve">dropped (Pā. 6-4-24), the upasargas</w:t>
      </w:r>
      <w:r>
        <w:t xml:space="preserve"> </w:t>
      </w:r>
      <w:r>
        <w:rPr>
          <w:iCs/>
          <w:i/>
        </w:rPr>
        <w:t xml:space="preserve">āṅ</w:t>
      </w:r>
      <w:r>
        <w:t xml:space="preserve"> </w:t>
      </w:r>
      <w:r>
        <w:t xml:space="preserve">and</w:t>
      </w:r>
      <w:r>
        <w:t xml:space="preserve"> </w:t>
      </w:r>
      <w:r>
        <w:rPr>
          <w:iCs/>
          <w:i/>
        </w:rPr>
        <w:t xml:space="preserve">anu</w:t>
      </w:r>
      <w:r>
        <w:t xml:space="preserve"> </w:t>
      </w:r>
      <w:r>
        <w:t xml:space="preserve">placed before, a</w:t>
      </w:r>
      <w:r>
        <w:t xml:space="preserve"> </w:t>
      </w:r>
      <w:r>
        <w:rPr>
          <w:iCs/>
          <w:i/>
        </w:rPr>
        <w:t xml:space="preserve">gati</w:t>
      </w:r>
      <w:r>
        <w:t xml:space="preserve"> </w:t>
      </w:r>
      <w:r>
        <w:t xml:space="preserve">compound,</w:t>
      </w:r>
      <w:r>
        <w:t xml:space="preserve"> </w:t>
      </w:r>
      <w:r>
        <w:rPr>
          <w:iCs/>
          <w:i/>
        </w:rPr>
        <w:t xml:space="preserve">ṣ</w:t>
      </w:r>
      <w:r>
        <w:t xml:space="preserve"> </w:t>
      </w:r>
      <w:r>
        <w:t xml:space="preserve">by</w:t>
      </w:r>
      <w:r>
        <w:t xml:space="preserve"> </w:t>
      </w:r>
      <w:r>
        <w:t xml:space="preserve">“</w:t>
      </w:r>
      <w:r>
        <w:t xml:space="preserve">upasargāt sunoti…</w:t>
      </w:r>
      <w:r>
        <w:t xml:space="preserve">”</w:t>
      </w:r>
      <w:r>
        <w:t xml:space="preserve">;</w:t>
      </w:r>
      <w:r>
        <w:t xml:space="preserve"> </w:t>
      </w:r>
      <w:r>
        <w:rPr>
          <w:iCs/>
          <w:i/>
        </w:rPr>
        <w:t xml:space="preserve">ghṛtapṛṣṭham</w:t>
      </w:r>
      <w:r>
        <w:t xml:space="preserve"> </w:t>
      </w:r>
      <w:r>
        <w:t xml:space="preserve">—</w:t>
      </w:r>
      <w:r>
        <w:t xml:space="preserve"> </w:t>
      </w:r>
      <w:r>
        <w:rPr>
          <w:iCs/>
          <w:i/>
        </w:rPr>
        <w:t xml:space="preserve">ghṛ kṣaraṇadīptyoḥ</w:t>
      </w:r>
      <w:r>
        <w:t xml:space="preserve"> </w:t>
      </w:r>
      <w:r>
        <w:t xml:space="preserve">with</w:t>
      </w:r>
      <w:r>
        <w:t xml:space="preserve"> </w:t>
      </w:r>
      <w:r>
        <w:rPr>
          <w:iCs/>
          <w:i/>
        </w:rPr>
        <w:t xml:space="preserve">kta</w:t>
      </w:r>
      <w:r>
        <w:t xml:space="preserve">, suffix accent;</w:t>
      </w:r>
      <w:r>
        <w:t xml:space="preserve"> </w:t>
      </w:r>
      <w:r>
        <w:t xml:space="preserve">“</w:t>
      </w:r>
      <w:r>
        <w:t xml:space="preserve">whose back is joined with ghee</w:t>
      </w:r>
      <w:r>
        <w:t xml:space="preserve">”</w:t>
      </w:r>
      <w:r>
        <w:t xml:space="preserve">, a bahuvrīhi with the first member’s accent;</w:t>
      </w:r>
      <w:r>
        <w:t xml:space="preserve"> </w:t>
      </w:r>
      <w:r>
        <w:rPr>
          <w:iCs/>
          <w:i/>
        </w:rPr>
        <w:t xml:space="preserve">manīṣiṇaḥ</w:t>
      </w:r>
      <w:r>
        <w:t xml:space="preserve"> </w:t>
      </w:r>
      <w:r>
        <w:t xml:space="preserve">— unaccented as a vocative;</w:t>
      </w:r>
      <w:r>
        <w:t xml:space="preserve"> </w:t>
      </w:r>
      <w:r>
        <w:rPr>
          <w:iCs/>
          <w:i/>
        </w:rPr>
        <w:t xml:space="preserve">amṛtasya</w:t>
      </w:r>
      <w:r>
        <w:t xml:space="preserve"> </w:t>
      </w:r>
      <w:r>
        <w:t xml:space="preserve">—</w:t>
      </w:r>
      <w:r>
        <w:t xml:space="preserve"> </w:t>
      </w:r>
      <w:r>
        <w:t xml:space="preserve">“</w:t>
      </w:r>
      <w:r>
        <w:t xml:space="preserve">in which there is no death</w:t>
      </w:r>
      <w:r>
        <w:t xml:space="preserve">”</w:t>
      </w:r>
      <w:r>
        <w:t xml:space="preserve">; instead of the first-member accent, and of the final udātta of</w:t>
      </w:r>
      <w:r>
        <w:t xml:space="preserve"> </w:t>
      </w:r>
      <w:r>
        <w:t xml:space="preserve">“</w:t>
      </w:r>
      <w:r>
        <w:t xml:space="preserve">nañ-subhyām</w:t>
      </w:r>
      <w:r>
        <w:t xml:space="preserve">”</w:t>
      </w:r>
      <w:r>
        <w:t xml:space="preserve">,</w:t>
      </w:r>
      <w:r>
        <w:t xml:space="preserve"> </w:t>
      </w:r>
      <w:r>
        <w:t xml:space="preserve">“</w:t>
      </w:r>
      <w:r>
        <w:t xml:space="preserve">nañ jara-mara-mitra-mṛtāḥ</w:t>
      </w:r>
      <w:r>
        <w:t xml:space="preserve">”</w:t>
      </w:r>
      <w:r>
        <w:t xml:space="preserve"> </w:t>
      </w:r>
      <w:r>
        <w:t xml:space="preserve">(Pā. 6-2-116) makes the second member initial-udātta;</w:t>
      </w:r>
      <w:r>
        <w:t xml:space="preserve"> </w:t>
      </w:r>
      <w:r>
        <w:rPr>
          <w:iCs/>
          <w:i/>
        </w:rPr>
        <w:t xml:space="preserve">cakṣaṇam</w:t>
      </w:r>
      <w:r>
        <w:t xml:space="preserve"> </w:t>
      </w:r>
      <w:r>
        <w:t xml:space="preserve">—</w:t>
      </w:r>
      <w:r>
        <w:t xml:space="preserve"> </w:t>
      </w:r>
      <w:r>
        <w:rPr>
          <w:iCs/>
          <w:i/>
        </w:rPr>
        <w:t xml:space="preserve">cakṣiṅ vyaktāyāṃ vāci</w:t>
      </w:r>
      <w:r>
        <w:t xml:space="preserve">, a root meaning manifestation of speech, here indicating mere manifestation;</w:t>
      </w:r>
      <w:r>
        <w:t xml:space="preserve"> </w:t>
      </w:r>
      <w:r>
        <w:rPr>
          <w:iCs/>
          <w:i/>
        </w:rPr>
        <w:t xml:space="preserve">lyuṭ</w:t>
      </w:r>
      <w:r>
        <w:t xml:space="preserve"> </w:t>
      </w:r>
      <w:r>
        <w:t xml:space="preserve">in the sense of the state by</w:t>
      </w:r>
      <w:r>
        <w:t xml:space="preserve"> </w:t>
      </w:r>
      <w:r>
        <w:t xml:space="preserve">“</w:t>
      </w:r>
      <w:r>
        <w:t xml:space="preserve">lyuṭ ca</w:t>
      </w:r>
      <w:r>
        <w:t xml:space="preserve">”</w:t>
      </w:r>
      <w:r>
        <w:t xml:space="preserve"> </w:t>
      </w:r>
      <w:r>
        <w:t xml:space="preserve">(Pā. 3-3-115),</w:t>
      </w:r>
      <w:r>
        <w:t xml:space="preserve"> </w:t>
      </w:r>
      <w:r>
        <w:rPr>
          <w:iCs/>
          <w:i/>
        </w:rPr>
        <w:t xml:space="preserve">ana</w:t>
      </w:r>
      <w:r>
        <w:t xml:space="preserve"> </w:t>
      </w:r>
      <w:r>
        <w:t xml:space="preserve">for</w:t>
      </w:r>
      <w:r>
        <w:t xml:space="preserve"> </w:t>
      </w:r>
      <w:r>
        <w:rPr>
          <w:iCs/>
          <w:i/>
        </w:rPr>
        <w:t xml:space="preserve">yu</w:t>
      </w:r>
      <w:r>
        <w:t xml:space="preserve">; the</w:t>
      </w:r>
      <w:r>
        <w:t xml:space="preserve"> </w:t>
      </w:r>
      <w:r>
        <w:rPr>
          <w:iCs/>
          <w:i/>
        </w:rPr>
        <w:t xml:space="preserve">khyāñ</w:t>
      </w:r>
      <w:r>
        <w:t xml:space="preserve"> </w:t>
      </w:r>
      <w:r>
        <w:t xml:space="preserve">of</w:t>
      </w:r>
      <w:r>
        <w:t xml:space="preserve"> </w:t>
      </w:r>
      <w:r>
        <w:t xml:space="preserve">“</w:t>
      </w:r>
      <w:r>
        <w:t xml:space="preserve">cakṣiṅaḥ khyāñ</w:t>
      </w:r>
      <w:r>
        <w:t xml:space="preserve">”</w:t>
      </w:r>
      <w:r>
        <w:t xml:space="preserve"> </w:t>
      </w:r>
      <w:r>
        <w:t xml:space="preserve">(Pā. 2-4-54) that would come before an</w:t>
      </w:r>
      <w:r>
        <w:t xml:space="preserve"> </w:t>
      </w:r>
      <w:r>
        <w:rPr>
          <w:iCs/>
          <w:i/>
        </w:rPr>
        <w:t xml:space="preserve">ārdhadhātuka</w:t>
      </w:r>
      <w:r>
        <w:t xml:space="preserve"> </w:t>
      </w:r>
      <w:r>
        <w:t xml:space="preserve">is barred by</w:t>
      </w:r>
      <w:r>
        <w:t xml:space="preserve"> </w:t>
      </w:r>
      <w:r>
        <w:t xml:space="preserve">“</w:t>
      </w:r>
      <w:r>
        <w:t xml:space="preserve">asanayoś ca</w:t>
      </w:r>
      <w:r>
        <w:t xml:space="preserve">”</w:t>
      </w:r>
      <w:r>
        <w:t xml:space="preserve"> </w:t>
      </w:r>
      <w:r>
        <w:t xml:space="preserve">(Pā. 2-4-54-10).)</w:t>
      </w:r>
    </w:p>
    <w:p>
      <w:pPr>
        <w:pStyle w:val="BodyText"/>
      </w:pPr>
      <w:r>
        <w:rPr>
          <w:bCs/>
          <w:b/>
        </w:rPr>
        <w:t xml:space="preserve">॥ Prati-padārthaḥ ॥</w:t>
      </w:r>
    </w:p>
    <w:p>
      <w:pPr>
        <w:pStyle w:val="BodyText"/>
      </w:pPr>
      <w:r>
        <w:rPr>
          <w:iCs/>
          <w:i/>
        </w:rPr>
        <w:t xml:space="preserve">(O)</w:t>
      </w:r>
      <w:r>
        <w:t xml:space="preserve"> </w:t>
      </w:r>
      <w:r>
        <w:rPr>
          <w:bCs/>
          <w:b/>
        </w:rPr>
        <w:t xml:space="preserve">मनीषिणः (manīṣiṇaḥ)</w:t>
      </w:r>
      <w:r>
        <w:t xml:space="preserve"> </w:t>
      </w:r>
      <w:r>
        <w:t xml:space="preserve">— wise priests |</w:t>
      </w:r>
      <w:r>
        <w:t xml:space="preserve"> </w:t>
      </w:r>
      <w:r>
        <w:rPr>
          <w:bCs/>
          <w:b/>
        </w:rPr>
        <w:t xml:space="preserve">आनुषक् (ānuṣak)</w:t>
      </w:r>
      <w:r>
        <w:t xml:space="preserve"> </w:t>
      </w:r>
      <w:r>
        <w:t xml:space="preserve">— in sequence, one touching the next (so that they lie close together) |</w:t>
      </w:r>
      <w:r>
        <w:t xml:space="preserve"> </w:t>
      </w:r>
      <w:r>
        <w:rPr>
          <w:bCs/>
          <w:b/>
        </w:rPr>
        <w:t xml:space="preserve">घृतपृष्ठम् (ghṛtapṛṣṭham)</w:t>
      </w:r>
      <w:r>
        <w:t xml:space="preserve"> </w:t>
      </w:r>
      <w:r>
        <w:t xml:space="preserve">— sprinkled with ghee (or water) on the upper part |</w:t>
      </w:r>
      <w:r>
        <w:t xml:space="preserve"> </w:t>
      </w:r>
      <w:r>
        <w:rPr>
          <w:bCs/>
          <w:b/>
        </w:rPr>
        <w:t xml:space="preserve">यत्र (yatra)</w:t>
      </w:r>
      <w:r>
        <w:t xml:space="preserve"> </w:t>
      </w:r>
      <w:r>
        <w:t xml:space="preserve">— on which</w:t>
      </w:r>
      <w:r>
        <w:t xml:space="preserve"> </w:t>
      </w:r>
      <w:r>
        <w:rPr>
          <w:iCs/>
          <w:i/>
        </w:rPr>
        <w:t xml:space="preserve">barhis</w:t>
      </w:r>
      <w:r>
        <w:t xml:space="preserve"> </w:t>
      </w:r>
      <w:r>
        <w:t xml:space="preserve">|</w:t>
      </w:r>
      <w:r>
        <w:t xml:space="preserve"> </w:t>
      </w:r>
      <w:r>
        <w:rPr>
          <w:bCs/>
          <w:b/>
        </w:rPr>
        <w:t xml:space="preserve">अमृतस्य (amṛtasya)</w:t>
      </w:r>
      <w:r>
        <w:t xml:space="preserve"> </w:t>
      </w:r>
      <w:r>
        <w:t xml:space="preserve">— [of] the ghee equal to ambrosia, or of the deathless god [Agni] named</w:t>
      </w:r>
      <w:r>
        <w:t xml:space="preserve"> </w:t>
      </w:r>
      <w:r>
        <w:rPr>
          <w:iCs/>
          <w:i/>
        </w:rPr>
        <w:t xml:space="preserve">Barhis</w:t>
      </w:r>
      <w:r>
        <w:t xml:space="preserve"> </w:t>
      </w:r>
      <w:r>
        <w:t xml:space="preserve">|</w:t>
      </w:r>
      <w:r>
        <w:t xml:space="preserve"> </w:t>
      </w:r>
      <w:r>
        <w:rPr>
          <w:bCs/>
          <w:b/>
        </w:rPr>
        <w:t xml:space="preserve">चक्षणम् (cakṣaṇam)</w:t>
      </w:r>
      <w:r>
        <w:t xml:space="preserve"> </w:t>
      </w:r>
      <w:r>
        <w:t xml:space="preserve">— sight |</w:t>
      </w:r>
      <w:r>
        <w:t xml:space="preserve"> </w:t>
      </w:r>
      <w:r>
        <w:rPr>
          <w:bCs/>
          <w:b/>
        </w:rPr>
        <w:t xml:space="preserve">बर्हिः (barhiḥ)</w:t>
      </w:r>
      <w:r>
        <w:t xml:space="preserve"> </w:t>
      </w:r>
      <w:r>
        <w:t xml:space="preserve">— the</w:t>
      </w:r>
      <w:r>
        <w:t xml:space="preserve"> </w:t>
      </w:r>
      <w:r>
        <w:rPr>
          <w:iCs/>
          <w:i/>
        </w:rPr>
        <w:t xml:space="preserve">kuśa</w:t>
      </w:r>
      <w:r>
        <w:t xml:space="preserve"> </w:t>
      </w:r>
      <w:r>
        <w:t xml:space="preserve">grass with its ends cut |</w:t>
      </w:r>
      <w:r>
        <w:t xml:space="preserve"> </w:t>
      </w:r>
      <w:r>
        <w:rPr>
          <w:bCs/>
          <w:b/>
        </w:rPr>
        <w:t xml:space="preserve">स्तृणीत (stṛṇīta)</w:t>
      </w:r>
      <w:r>
        <w:t xml:space="preserve"> </w:t>
      </w:r>
      <w:r>
        <w:t xml:space="preserve">— spread (over the altar).</w:t>
      </w:r>
    </w:p>
    <w:bookmarkEnd w:id="578"/>
    <w:bookmarkStart w:id="579" w:name="Xcb8ecb56e73907fa1304fde57a6f9ccc9c9af76"/>
    <w:p>
      <w:pPr>
        <w:pStyle w:val="Heading3"/>
      </w:pPr>
      <w:r>
        <w:t xml:space="preserve">Page 548 — Rik 5: overall sense, English, Special Topics</w:t>
      </w:r>
    </w:p>
    <w:p>
      <w:pPr>
        <w:pStyle w:val="FirstParagraph"/>
      </w:pPr>
      <w:r>
        <w:rPr>
          <w:bCs/>
          <w:b/>
        </w:rPr>
        <w:t xml:space="preserve">॥ Bhāvārthaḥ ॥</w:t>
      </w:r>
    </w:p>
    <w:p>
      <w:pPr>
        <w:pStyle w:val="BodyText"/>
      </w:pPr>
      <w:r>
        <w:t xml:space="preserve">O wise priests! Spread the</w:t>
      </w:r>
      <w:r>
        <w:t xml:space="preserve"> </w:t>
      </w:r>
      <w:r>
        <w:rPr>
          <w:iCs/>
          <w:i/>
        </w:rPr>
        <w:t xml:space="preserve">darbha</w:t>
      </w:r>
      <w:r>
        <w:t xml:space="preserve"> </w:t>
      </w:r>
      <w:r>
        <w:t xml:space="preserve">on the altar as a seat, for the fire called</w:t>
      </w:r>
      <w:r>
        <w:t xml:space="preserve"> </w:t>
      </w:r>
      <w:r>
        <w:rPr>
          <w:iCs/>
          <w:i/>
        </w:rPr>
        <w:t xml:space="preserve">Barhis</w:t>
      </w:r>
      <w:r>
        <w:t xml:space="preserve"> </w:t>
      </w:r>
      <w:r>
        <w:t xml:space="preserve">to come and sit. When spreading it, lay it close together so that it is soft. It must be moistened with ghee or water and be soft. The ghee on it, or the fire called</w:t>
      </w:r>
      <w:r>
        <w:t xml:space="preserve"> </w:t>
      </w:r>
      <w:r>
        <w:rPr>
          <w:iCs/>
          <w:i/>
        </w:rPr>
        <w:t xml:space="preserve">Barhis</w:t>
      </w:r>
      <w:r>
        <w:t xml:space="preserve">, must be visible to all. Spread the</w:t>
      </w:r>
      <w:r>
        <w:t xml:space="preserve"> </w:t>
      </w:r>
      <w:r>
        <w:rPr>
          <w:iCs/>
          <w:i/>
        </w:rPr>
        <w:t xml:space="preserve">darbha</w:t>
      </w:r>
      <w:r>
        <w:t xml:space="preserve"> </w:t>
      </w:r>
      <w:r>
        <w:t xml:space="preserve">called</w:t>
      </w:r>
      <w:r>
        <w:t xml:space="preserve"> </w:t>
      </w:r>
      <w:r>
        <w:rPr>
          <w:iCs/>
          <w:i/>
        </w:rPr>
        <w:t xml:space="preserve">kuśa</w:t>
      </w:r>
      <w:r>
        <w:t xml:space="preserve"> </w:t>
      </w:r>
      <w:r>
        <w:t xml:space="preserve">well on the altar in this way.</w:t>
      </w:r>
    </w:p>
    <w:p>
      <w:pPr>
        <w:pStyle w:val="BodyText"/>
      </w:pPr>
      <w:r>
        <w:rPr>
          <w:bCs/>
          <w:b/>
        </w:rPr>
        <w:t xml:space="preserve">॥ English Translation ॥</w:t>
      </w:r>
      <w:r>
        <w:t xml:space="preserve"> </w:t>
      </w:r>
      <w:r>
        <w:rPr>
          <w:iCs/>
          <w:i/>
        </w:rPr>
        <w:t xml:space="preserve">(as printed in the source)</w:t>
      </w:r>
    </w:p>
    <w:p>
      <w:pPr>
        <w:pStyle w:val="BlockText"/>
      </w:pPr>
      <w:r>
        <w:t xml:space="preserve">Strew, learned priests, in due order, the sacrificial grass the back (or surface) of which is sprinkled with clarified butter (or water), that we may see the immortal ones thereon.</w:t>
      </w:r>
    </w:p>
    <w:p>
      <w:pPr>
        <w:pStyle w:val="FirstParagraph"/>
      </w:pPr>
      <w:r>
        <w:rPr>
          <w:bCs/>
          <w:b/>
        </w:rPr>
        <w:t xml:space="preserve">॥ Viśeṣa-viṣayagaḷu (Special Topics) ॥</w:t>
      </w:r>
    </w:p>
    <w:p>
      <w:pPr>
        <w:pStyle w:val="BodyText"/>
      </w:pPr>
      <w:r>
        <w:t xml:space="preserve">The sense of this rik is somewhat involved. Yāska explains the word</w:t>
      </w:r>
      <w:r>
        <w:t xml:space="preserve"> </w:t>
      </w:r>
      <w:r>
        <w:rPr>
          <w:iCs/>
          <w:i/>
        </w:rPr>
        <w:t xml:space="preserve">barhiḥ</w:t>
      </w:r>
      <w:r>
        <w:t xml:space="preserve"> </w:t>
      </w:r>
      <w:r>
        <w:t xml:space="preserve">as</w:t>
      </w:r>
      <w:r>
        <w:t xml:space="preserve"> </w:t>
      </w:r>
      <w:r>
        <w:rPr>
          <w:iCs/>
          <w:i/>
        </w:rPr>
        <w:t xml:space="preserve">barhiḥ paribarhaṇāt</w:t>
      </w:r>
      <w:r>
        <w:t xml:space="preserve">:</w:t>
      </w:r>
    </w:p>
    <w:p>
      <w:pPr>
        <w:pStyle w:val="BlockText"/>
      </w:pPr>
      <w:r>
        <w:t xml:space="preserve">बर्हिः प्रसिद्धमेव कुशमयं यज्ञाङ्गम् । परिबर्हणात्परिच्छेदनाल्लूनं हि तद्भवति ।</w:t>
      </w:r>
    </w:p>
    <w:p>
      <w:pPr>
        <w:pStyle w:val="BlockText"/>
      </w:pPr>
      <w:r>
        <w:rPr>
          <w:iCs/>
          <w:i/>
        </w:rPr>
        <w:t xml:space="preserve">barhiḥ prasiddhameva kuśamayaṃ yajñāṅgam | paribarhaṇātparicchedanāllūnaṃ hi tadbhavati |</w:t>
      </w:r>
    </w:p>
    <w:p>
      <w:pPr>
        <w:pStyle w:val="FirstParagraph"/>
      </w:pPr>
      <w:r>
        <w:t xml:space="preserve">That is,</w:t>
      </w:r>
      <w:r>
        <w:t xml:space="preserve"> </w:t>
      </w:r>
      <w:r>
        <w:rPr>
          <w:iCs/>
          <w:i/>
        </w:rPr>
        <w:t xml:space="preserve">barhis</w:t>
      </w:r>
      <w:r>
        <w:t xml:space="preserve"> </w:t>
      </w:r>
      <w:r>
        <w:t xml:space="preserve">is the</w:t>
      </w:r>
      <w:r>
        <w:t xml:space="preserve"> </w:t>
      </w:r>
      <w:r>
        <w:rPr>
          <w:iCs/>
          <w:i/>
        </w:rPr>
        <w:t xml:space="preserve">kuśa</w:t>
      </w:r>
      <w:r>
        <w:t xml:space="preserve"> </w:t>
      </w:r>
      <w:r>
        <w:t xml:space="preserve">grass with its tip cut off, used in the sacrifice;</w:t>
      </w:r>
      <w:r>
        <w:t xml:space="preserve"> </w:t>
      </w:r>
      <w:r>
        <w:rPr>
          <w:iCs/>
          <w:i/>
        </w:rPr>
        <w:t xml:space="preserve">paribarhaṇa</w:t>
      </w:r>
      <w:r>
        <w:t xml:space="preserve"> </w:t>
      </w:r>
      <w:r>
        <w:t xml:space="preserve">means cutting; since its tip has been cut, such</w:t>
      </w:r>
      <w:r>
        <w:t xml:space="preserve"> </w:t>
      </w:r>
      <w:r>
        <w:rPr>
          <w:iCs/>
          <w:i/>
        </w:rPr>
        <w:t xml:space="preserve">darbha</w:t>
      </w:r>
      <w:r>
        <w:t xml:space="preserve"> </w:t>
      </w:r>
      <w:r>
        <w:t xml:space="preserve">is called</w:t>
      </w:r>
      <w:r>
        <w:t xml:space="preserve"> </w:t>
      </w:r>
      <w:r>
        <w:rPr>
          <w:iCs/>
          <w:i/>
        </w:rPr>
        <w:t xml:space="preserve">barhiḥ</w:t>
      </w:r>
      <w:r>
        <w:t xml:space="preserve">. Or</w:t>
      </w:r>
      <w:r>
        <w:t xml:space="preserve"> </w:t>
      </w:r>
      <w:r>
        <w:rPr>
          <w:iCs/>
          <w:i/>
        </w:rPr>
        <w:t xml:space="preserve">barhiḥ</w:t>
      </w:r>
      <w:r>
        <w:t xml:space="preserve"> </w:t>
      </w:r>
      <w:r>
        <w:t xml:space="preserve">is from</w:t>
      </w:r>
    </w:p>
    <w:p>
      <w:pPr>
        <w:pStyle w:val="BlockText"/>
      </w:pPr>
      <w:r>
        <w:t xml:space="preserve">प्रवृज्यते = प्रच्छिद्यते लूयते अथवा प्रवृज्यते = प्रस्तीर्यते ॥</w:t>
      </w:r>
    </w:p>
    <w:p>
      <w:pPr>
        <w:pStyle w:val="BlockText"/>
      </w:pPr>
      <w:r>
        <w:rPr>
          <w:iCs/>
          <w:i/>
        </w:rPr>
        <w:t xml:space="preserve">pravṛjyate = pracchidyate lūyate athavā pravṛjyate = prastīryate ||</w:t>
      </w:r>
    </w:p>
    <w:p>
      <w:pPr>
        <w:pStyle w:val="FirstParagraph"/>
      </w:pPr>
      <w:r>
        <w:t xml:space="preserve">— because it is cut, or because it is spread, it may be said to be called</w:t>
      </w:r>
      <w:r>
        <w:t xml:space="preserve"> </w:t>
      </w:r>
      <w:r>
        <w:rPr>
          <w:iCs/>
          <w:i/>
        </w:rPr>
        <w:t xml:space="preserve">barhiḥ</w:t>
      </w:r>
      <w:r>
        <w:t xml:space="preserve">. In support of this sense Yāska cites the rik</w:t>
      </w:r>
    </w:p>
    <w:p>
      <w:pPr>
        <w:pStyle w:val="BodyText"/>
      </w:pPr>
      <w:r>
        <w:rPr>
          <w:iCs/>
          <w:i/>
        </w:rPr>
        <w:t xml:space="preserve">(Ṛ. Saṃ. 10-110-4.)</w:t>
      </w:r>
    </w:p>
    <w:p>
      <w:pPr>
        <w:pStyle w:val="BlockText"/>
      </w:pPr>
      <w:r>
        <w:t xml:space="preserve">प्राचीनं बर्हिः प्रदिशा पृथिव्या वस्तोरस्या वृज्यते अग्रे अह्नाम् ।</w:t>
      </w:r>
      <w:r>
        <w:t xml:space="preserve"> </w:t>
      </w:r>
      <w:r>
        <w:t xml:space="preserve">व्यु प्रथते वितरं वरीयो देवेभ्यो अदितये स्योनम् ॥</w:t>
      </w:r>
    </w:p>
    <w:p>
      <w:pPr>
        <w:pStyle w:val="BlockText"/>
      </w:pPr>
      <w:r>
        <w:rPr>
          <w:iCs/>
          <w:i/>
        </w:rPr>
        <w:t xml:space="preserve">prācīnaṃ barhiḥ pradiśā pṛthivyā vastorasyā vṛjyate agre ahnām |</w:t>
      </w:r>
      <w:r>
        <w:t xml:space="preserve"> </w:t>
      </w:r>
      <w:r>
        <w:rPr>
          <w:iCs/>
          <w:i/>
        </w:rPr>
        <w:t xml:space="preserve">vyu prathate vitaraṃ varīyo devebhyo aditaye syonam ||</w:t>
      </w:r>
    </w:p>
    <w:p>
      <w:pPr>
        <w:pStyle w:val="FirstParagraph"/>
      </w:pPr>
      <w:r>
        <w:rPr>
          <w:iCs/>
          <w:i/>
        </w:rPr>
        <w:t xml:space="preserve">(</w:t>
      </w:r>
      <w:r>
        <w:rPr>
          <w:iCs/>
          <w:i/>
        </w:rPr>
        <w:t xml:space="preserve">“</w:t>
      </w:r>
      <w:r>
        <w:rPr>
          <w:iCs/>
          <w:i/>
        </w:rPr>
        <w:t xml:space="preserve">The barhis is cut, eastward-pointing, at the dawn of days, by the direction of this earth, for its covering; it spreads wide, wider and broader, pleasant for the gods and for Aditi</w:t>
      </w:r>
      <w:r>
        <w:rPr>
          <w:iCs/>
          <w:i/>
        </w:rPr>
        <w:t xml:space="preserve">”</w:t>
      </w:r>
      <w:r>
        <w:rPr>
          <w:iCs/>
          <w:i/>
        </w:rPr>
        <w:t xml:space="preserve"> </w:t>
      </w:r>
      <w:r>
        <w:rPr>
          <w:iCs/>
          <w:i/>
        </w:rPr>
        <w:t xml:space="preserve">— mine and tentative.)</w:t>
      </w:r>
    </w:p>
    <w:p>
      <w:pPr>
        <w:pStyle w:val="BodyText"/>
      </w:pPr>
      <w:r>
        <w:t xml:space="preserve">and by way of explanation:</w:t>
      </w:r>
    </w:p>
    <w:p>
      <w:pPr>
        <w:pStyle w:val="BlockText"/>
      </w:pPr>
      <w:r>
        <w:t xml:space="preserve">प्राचीनं बर्हिः प्रदिशा पृथिव्या वसनायास्याः प्रवृज्यते अग्रे अह्नां बर्हिः पूर्वाह्णे तद्विप्रथते वितरं विकीर्णतरमिति वा विस्तीर्णतरमिति वा वरीयो वरतरमुरुतरं वा देवेभ्यश्चादितये च स्योनम् । स्योनमिति सुखनाम स्यतेरवस्यन्त्येतत्सेवितव्यं भवतीति वा ॥</w:t>
      </w:r>
    </w:p>
    <w:p>
      <w:pPr>
        <w:pStyle w:val="BlockText"/>
      </w:pPr>
      <w:r>
        <w:rPr>
          <w:iCs/>
          <w:i/>
        </w:rPr>
        <w:t xml:space="preserve">prācīnaṃ barhiḥ pradiśā pṛthivyā vasanāyāsyāḥ pravṛjyate agre ahnāṃ barhiḥ pūrvāhṇe tadviprathate vitaraṃ vikīrṇataramiti vā vistīrṇataramiti vā varīyo varataramurutaraṃ vā devebhyaścāditaye ca syonam | syonamiti sukhanāma syateravasyantyetatsevitavyaṃ bhavatīti vā ||</w:t>
      </w:r>
    </w:p>
    <w:bookmarkEnd w:id="579"/>
    <w:bookmarkStart w:id="580" w:name="page-549-rik-5-special-topics-continued"/>
    <w:p>
      <w:pPr>
        <w:pStyle w:val="Heading3"/>
      </w:pPr>
      <w:r>
        <w:t xml:space="preserve">Page 549 — Rik 5: Special Topics (continued)</w:t>
      </w:r>
    </w:p>
    <w:p>
      <w:pPr>
        <w:pStyle w:val="FirstParagraph"/>
      </w:pPr>
      <w:r>
        <w:t xml:space="preserve">he says. From this explanation the word</w:t>
      </w:r>
      <w:r>
        <w:t xml:space="preserve"> </w:t>
      </w:r>
      <w:r>
        <w:rPr>
          <w:iCs/>
          <w:i/>
        </w:rPr>
        <w:t xml:space="preserve">barhiḥ</w:t>
      </w:r>
      <w:r>
        <w:t xml:space="preserve"> </w:t>
      </w:r>
      <w:r>
        <w:t xml:space="preserve">means cut</w:t>
      </w:r>
      <w:r>
        <w:t xml:space="preserve"> </w:t>
      </w:r>
      <w:r>
        <w:rPr>
          <w:iCs/>
          <w:i/>
        </w:rPr>
        <w:t xml:space="preserve">darbha</w:t>
      </w:r>
      <w:r>
        <w:t xml:space="preserve"> </w:t>
      </w:r>
      <w:r>
        <w:t xml:space="preserve">spread well and widely. Such cut</w:t>
      </w:r>
      <w:r>
        <w:t xml:space="preserve"> </w:t>
      </w:r>
      <w:r>
        <w:rPr>
          <w:iCs/>
          <w:i/>
        </w:rPr>
        <w:t xml:space="preserve">darbha</w:t>
      </w:r>
      <w:r>
        <w:t xml:space="preserve"> </w:t>
      </w:r>
      <w:r>
        <w:t xml:space="preserve">is spread and made ready in the sacrifice for two reasons: one, to set the</w:t>
      </w:r>
      <w:r>
        <w:t xml:space="preserve"> </w:t>
      </w:r>
      <w:r>
        <w:rPr>
          <w:iCs/>
          <w:i/>
        </w:rPr>
        <w:t xml:space="preserve">ājya</w:t>
      </w:r>
      <w:r>
        <w:t xml:space="preserve">-vessel (the ghee vessel) and the</w:t>
      </w:r>
      <w:r>
        <w:t xml:space="preserve"> </w:t>
      </w:r>
      <w:r>
        <w:rPr>
          <w:iCs/>
          <w:i/>
        </w:rPr>
        <w:t xml:space="preserve">sruk</w:t>
      </w:r>
      <w:r>
        <w:t xml:space="preserve"> </w:t>
      </w:r>
      <w:r>
        <w:t xml:space="preserve">in front of Agni; two, as a seat for the invoked gods to come and sit on. Performing rites seated on a</w:t>
      </w:r>
      <w:r>
        <w:t xml:space="preserve"> </w:t>
      </w:r>
      <w:r>
        <w:rPr>
          <w:iCs/>
          <w:i/>
        </w:rPr>
        <w:t xml:space="preserve">darbha</w:t>
      </w:r>
      <w:r>
        <w:t xml:space="preserve"> </w:t>
      </w:r>
      <w:r>
        <w:t xml:space="preserve">seat is counted best. So the practice is to spread the cut</w:t>
      </w:r>
      <w:r>
        <w:t xml:space="preserve"> </w:t>
      </w:r>
      <w:r>
        <w:rPr>
          <w:iCs/>
          <w:i/>
        </w:rPr>
        <w:t xml:space="preserve">darbha</w:t>
      </w:r>
      <w:r>
        <w:t xml:space="preserve"> </w:t>
      </w:r>
      <w:r>
        <w:t xml:space="preserve">called</w:t>
      </w:r>
      <w:r>
        <w:t xml:space="preserve"> </w:t>
      </w:r>
      <w:r>
        <w:rPr>
          <w:iCs/>
          <w:i/>
        </w:rPr>
        <w:t xml:space="preserve">barhiḥ</w:t>
      </w:r>
      <w:r>
        <w:t xml:space="preserve"> </w:t>
      </w:r>
      <w:r>
        <w:t xml:space="preserve">on one part of the sacrificial altar and make a seat ready for the gods to sit on. The five spoken of so far —</w:t>
      </w:r>
      <w:r>
        <w:t xml:space="preserve"> </w:t>
      </w:r>
      <w:r>
        <w:rPr>
          <w:iCs/>
          <w:i/>
        </w:rPr>
        <w:t xml:space="preserve">samiddha</w:t>
      </w:r>
      <w:r>
        <w:t xml:space="preserve">,</w:t>
      </w:r>
      <w:r>
        <w:t xml:space="preserve"> </w:t>
      </w:r>
      <w:r>
        <w:rPr>
          <w:iCs/>
          <w:i/>
        </w:rPr>
        <w:t xml:space="preserve">tanūnapāt</w:t>
      </w:r>
      <w:r>
        <w:t xml:space="preserve">,</w:t>
      </w:r>
      <w:r>
        <w:t xml:space="preserve"> </w:t>
      </w:r>
      <w:r>
        <w:rPr>
          <w:iCs/>
          <w:i/>
        </w:rPr>
        <w:t xml:space="preserve">narāśaṃsa</w:t>
      </w:r>
      <w:r>
        <w:t xml:space="preserve">,</w:t>
      </w:r>
      <w:r>
        <w:t xml:space="preserve"> </w:t>
      </w:r>
      <w:r>
        <w:rPr>
          <w:iCs/>
          <w:i/>
        </w:rPr>
        <w:t xml:space="preserve">iḷa</w:t>
      </w:r>
      <w:r>
        <w:t xml:space="preserve">,</w:t>
      </w:r>
      <w:r>
        <w:t xml:space="preserve"> </w:t>
      </w:r>
      <w:r>
        <w:rPr>
          <w:iCs/>
          <w:i/>
        </w:rPr>
        <w:t xml:space="preserve">barhiḥ</w:t>
      </w:r>
      <w:r>
        <w:t xml:space="preserve"> </w:t>
      </w:r>
      <w:r>
        <w:t xml:space="preserve">— are all thought of as different forms of Agni, and with these names they offer</w:t>
      </w:r>
      <w:r>
        <w:t xml:space="preserve"> </w:t>
      </w:r>
      <w:r>
        <w:rPr>
          <w:iCs/>
          <w:i/>
        </w:rPr>
        <w:t xml:space="preserve">homa</w:t>
      </w:r>
      <w:r>
        <w:t xml:space="preserve"> </w:t>
      </w:r>
      <w:r>
        <w:t xml:space="preserve">in the animal sacrifice.</w:t>
      </w:r>
    </w:p>
    <w:p>
      <w:pPr>
        <w:pStyle w:val="BodyText"/>
      </w:pPr>
      <w:r>
        <w:rPr>
          <w:bCs/>
          <w:b/>
        </w:rPr>
        <w:t xml:space="preserve">“</w:t>
      </w:r>
      <w:r>
        <w:rPr>
          <w:bCs/>
          <w:b/>
        </w:rPr>
        <w:t xml:space="preserve">Ānuṣak</w:t>
      </w:r>
      <w:r>
        <w:rPr>
          <w:bCs/>
          <w:b/>
        </w:rPr>
        <w:t xml:space="preserve">”</w:t>
      </w:r>
      <w:r>
        <w:t xml:space="preserve"> </w:t>
      </w:r>
      <w:r>
        <w:t xml:space="preserve">—</w:t>
      </w:r>
      <w:r>
        <w:t xml:space="preserve"> </w:t>
      </w:r>
      <w:r>
        <w:rPr>
          <w:iCs/>
          <w:i/>
        </w:rPr>
        <w:t xml:space="preserve">anukrameṇa saktaṃ parasparaṃ saṃbaddham</w:t>
      </w:r>
      <w:r>
        <w:t xml:space="preserve">: so that the</w:t>
      </w:r>
      <w:r>
        <w:t xml:space="preserve"> </w:t>
      </w:r>
      <w:r>
        <w:rPr>
          <w:iCs/>
          <w:i/>
        </w:rPr>
        <w:t xml:space="preserve">darbha</w:t>
      </w:r>
      <w:r>
        <w:t xml:space="preserve"> </w:t>
      </w:r>
      <w:r>
        <w:t xml:space="preserve">blades touch one another, connected with each other — that is, close together, not sparse. If a few blades are laid sparsely, it will not be soft; the idea is that the seat is soft when the</w:t>
      </w:r>
      <w:r>
        <w:t xml:space="preserve"> </w:t>
      </w:r>
      <w:r>
        <w:rPr>
          <w:iCs/>
          <w:i/>
        </w:rPr>
        <w:t xml:space="preserve">darbha</w:t>
      </w:r>
      <w:r>
        <w:t xml:space="preserve"> </w:t>
      </w:r>
      <w:r>
        <w:t xml:space="preserve">is laid much and close together.</w:t>
      </w:r>
    </w:p>
    <w:p>
      <w:pPr>
        <w:pStyle w:val="BodyText"/>
      </w:pPr>
      <w:r>
        <w:rPr>
          <w:bCs/>
          <w:b/>
        </w:rPr>
        <w:t xml:space="preserve">“</w:t>
      </w:r>
      <w:r>
        <w:rPr>
          <w:bCs/>
          <w:b/>
        </w:rPr>
        <w:t xml:space="preserve">Ghṛtapṛṣṭham</w:t>
      </w:r>
      <w:r>
        <w:rPr>
          <w:bCs/>
          <w:b/>
        </w:rPr>
        <w:t xml:space="preserve">”</w:t>
      </w:r>
      <w:r>
        <w:t xml:space="preserve"> </w:t>
      </w:r>
      <w:r>
        <w:t xml:space="preserve">—</w:t>
      </w:r>
      <w:r>
        <w:t xml:space="preserve"> </w:t>
      </w:r>
      <w:r>
        <w:rPr>
          <w:iCs/>
          <w:i/>
        </w:rPr>
        <w:t xml:space="preserve">ghṛ kṣaraṇadīptyoḥ</w:t>
      </w:r>
      <w:r>
        <w:t xml:space="preserve">;</w:t>
      </w:r>
      <w:r>
        <w:t xml:space="preserve"> </w:t>
      </w:r>
      <w:r>
        <w:rPr>
          <w:iCs/>
          <w:i/>
        </w:rPr>
        <w:t xml:space="preserve">ghṛtayuktaṃ pṛṣṭham asya</w:t>
      </w:r>
      <w:r>
        <w:t xml:space="preserve">: smeared with ghee, or moistened, or sprinkled with water. The word</w:t>
      </w:r>
      <w:r>
        <w:t xml:space="preserve"> </w:t>
      </w:r>
      <w:r>
        <w:rPr>
          <w:iCs/>
          <w:i/>
        </w:rPr>
        <w:t xml:space="preserve">ghṛta</w:t>
      </w:r>
      <w:r>
        <w:t xml:space="preserve"> </w:t>
      </w:r>
      <w:r>
        <w:t xml:space="preserve">also means water (Ni. 1-12). The practice is to sprinkle water so that the dry</w:t>
      </w:r>
      <w:r>
        <w:t xml:space="preserve"> </w:t>
      </w:r>
      <w:r>
        <w:rPr>
          <w:iCs/>
          <w:i/>
        </w:rPr>
        <w:t xml:space="preserve">darbha</w:t>
      </w:r>
      <w:r>
        <w:t xml:space="preserve"> </w:t>
      </w:r>
      <w:r>
        <w:t xml:space="preserve">becomes soft.</w:t>
      </w:r>
    </w:p>
    <w:p>
      <w:pPr>
        <w:pStyle w:val="BodyText"/>
      </w:pPr>
      <w:r>
        <w:rPr>
          <w:bCs/>
          <w:b/>
        </w:rPr>
        <w:t xml:space="preserve">“</w:t>
      </w:r>
      <w:r>
        <w:rPr>
          <w:bCs/>
          <w:b/>
        </w:rPr>
        <w:t xml:space="preserve">Amṛtasya</w:t>
      </w:r>
      <w:r>
        <w:rPr>
          <w:bCs/>
          <w:b/>
        </w:rPr>
        <w:t xml:space="preserve">”</w:t>
      </w:r>
      <w:r>
        <w:t xml:space="preserve"> </w:t>
      </w:r>
      <w:r>
        <w:t xml:space="preserve">—</w:t>
      </w:r>
      <w:r>
        <w:t xml:space="preserve"> </w:t>
      </w:r>
      <w:r>
        <w:rPr>
          <w:iCs/>
          <w:i/>
        </w:rPr>
        <w:t xml:space="preserve">na vidyate mṛtaṃ maraṇam asminn ity amṛtam</w:t>
      </w:r>
      <w:r>
        <w:t xml:space="preserve">: free from death, that is, the god Agni; or, as the Bhāṣyakāra says, ghee, which is like ambrosia.</w:t>
      </w:r>
    </w:p>
    <w:p>
      <w:pPr>
        <w:pStyle w:val="BodyText"/>
      </w:pPr>
      <w:r>
        <w:rPr>
          <w:bCs/>
          <w:b/>
        </w:rPr>
        <w:t xml:space="preserve">“</w:t>
      </w:r>
      <w:r>
        <w:rPr>
          <w:bCs/>
          <w:b/>
        </w:rPr>
        <w:t xml:space="preserve">Cakṣaṇam</w:t>
      </w:r>
      <w:r>
        <w:rPr>
          <w:bCs/>
          <w:b/>
        </w:rPr>
        <w:t xml:space="preserve">”</w:t>
      </w:r>
      <w:r>
        <w:t xml:space="preserve"> </w:t>
      </w:r>
      <w:r>
        <w:t xml:space="preserve">—</w:t>
      </w:r>
      <w:r>
        <w:t xml:space="preserve"> </w:t>
      </w:r>
      <w:r>
        <w:rPr>
          <w:iCs/>
          <w:i/>
        </w:rPr>
        <w:t xml:space="preserve">cakṣiṅ vyaktāyāṃ vāci</w:t>
      </w:r>
      <w:r>
        <w:t xml:space="preserve">: becoming manifest, appearing. What the right sense of the words</w:t>
      </w:r>
      <w:r>
        <w:t xml:space="preserve"> </w:t>
      </w:r>
      <w:r>
        <w:rPr>
          <w:iCs/>
          <w:i/>
        </w:rPr>
        <w:t xml:space="preserve">amṛtasya cakṣaṇam</w:t>
      </w:r>
      <w:r>
        <w:t xml:space="preserve"> </w:t>
      </w:r>
      <w:r>
        <w:t xml:space="preserve">is, is not clear; the seer’s intention too cannot be properly known. Although we have given the meaning current in tradition for these words, the main intention in the seer’s mind is not clear.</w:t>
      </w:r>
    </w:p>
    <w:p>
      <w:pPr>
        <w:pStyle w:val="BodyText"/>
      </w:pPr>
      <w:r>
        <w:rPr>
          <w:bCs/>
          <w:b/>
        </w:rPr>
        <w:t xml:space="preserve">॥ Vyākaraṇa-prakriyā ॥</w:t>
      </w:r>
      <w:r>
        <w:t xml:space="preserve"> </w:t>
      </w:r>
      <w:r>
        <w:rPr>
          <w:iCs/>
          <w:i/>
        </w:rPr>
        <w:t xml:space="preserve">(grammar pages 549–551, noted briefly; numbers checked against the print)</w:t>
      </w:r>
    </w:p>
    <w:p>
      <w:pPr>
        <w:pStyle w:val="BodyText"/>
      </w:pPr>
      <w:r>
        <w:rPr>
          <w:bCs/>
          <w:b/>
        </w:rPr>
        <w:t xml:space="preserve">स्तृणीत (</w:t>
      </w:r>
      <w:r>
        <w:rPr>
          <w:iCs/>
          <w:i/>
          <w:bCs/>
          <w:b/>
        </w:rPr>
        <w:t xml:space="preserve">stṛṇīta</w:t>
      </w:r>
      <w:r>
        <w:rPr>
          <w:bCs/>
          <w:b/>
        </w:rPr>
        <w:t xml:space="preserve">)</w:t>
      </w:r>
      <w:r>
        <w:t xml:space="preserve"> </w:t>
      </w:r>
      <w:r>
        <w:t xml:space="preserve">—</w:t>
      </w:r>
      <w:r>
        <w:t xml:space="preserve"> </w:t>
      </w:r>
      <w:r>
        <w:rPr>
          <w:iCs/>
          <w:i/>
        </w:rPr>
        <w:t xml:space="preserve">stṝñ ācchādane</w:t>
      </w:r>
      <w:r>
        <w:t xml:space="preserve">, a root of the</w:t>
      </w:r>
      <w:r>
        <w:t xml:space="preserve"> </w:t>
      </w:r>
      <w:r>
        <w:rPr>
          <w:iCs/>
          <w:i/>
        </w:rPr>
        <w:t xml:space="preserve">kryādi</w:t>
      </w:r>
      <w:r>
        <w:t xml:space="preserve"> </w:t>
      </w:r>
      <w:r>
        <w:t xml:space="preserve">class; after it the</w:t>
      </w:r>
      <w:r>
        <w:t xml:space="preserve"> </w:t>
      </w:r>
      <w:r>
        <w:rPr>
          <w:iCs/>
          <w:i/>
        </w:rPr>
        <w:t xml:space="preserve">loṭ</w:t>
      </w:r>
      <w:r>
        <w:t xml:space="preserve"> </w:t>
      </w:r>
      <w:r>
        <w:rPr>
          <w:iCs/>
          <w:i/>
        </w:rPr>
        <w:t xml:space="preserve">parasmaipada</w:t>
      </w:r>
      <w:r>
        <w:t xml:space="preserve"> </w:t>
      </w:r>
      <w:r>
        <w:t xml:space="preserve">second plural</w:t>
      </w:r>
      <w:r>
        <w:t xml:space="preserve"> </w:t>
      </w:r>
      <w:r>
        <w:rPr>
          <w:iCs/>
          <w:i/>
        </w:rPr>
        <w:t xml:space="preserve">tha</w:t>
      </w:r>
      <w:r>
        <w:t xml:space="preserve">:</w:t>
      </w:r>
      <w:r>
        <w:t xml:space="preserve"> </w:t>
      </w:r>
      <w:r>
        <w:rPr>
          <w:iCs/>
          <w:i/>
        </w:rPr>
        <w:t xml:space="preserve">stṝ</w:t>
      </w:r>
      <w:r>
        <w:t xml:space="preserve"> </w:t>
      </w:r>
      <w:r>
        <w:t xml:space="preserve">+</w:t>
      </w:r>
      <w:r>
        <w:t xml:space="preserve"> </w:t>
      </w:r>
      <w:r>
        <w:rPr>
          <w:iCs/>
          <w:i/>
        </w:rPr>
        <w:t xml:space="preserve">tha</w:t>
      </w:r>
      <w:r>
        <w:t xml:space="preserve">; by</w:t>
      </w:r>
      <w:r>
        <w:t xml:space="preserve"> </w:t>
      </w:r>
      <w:r>
        <w:t xml:space="preserve">“</w:t>
      </w:r>
      <w:r>
        <w:t xml:space="preserve">loṭo laṅvat</w:t>
      </w:r>
      <w:r>
        <w:t xml:space="preserve">”</w:t>
      </w:r>
      <w:r>
        <w:t xml:space="preserve"> </w:t>
      </w:r>
      <w:r>
        <w:t xml:space="preserve">(Pā. 3-4-85) the operations of</w:t>
      </w:r>
      <w:r>
        <w:t xml:space="preserve"> </w:t>
      </w:r>
      <w:r>
        <w:rPr>
          <w:iCs/>
          <w:i/>
        </w:rPr>
        <w:t xml:space="preserve">laṅ</w:t>
      </w:r>
      <w:r>
        <w:t xml:space="preserve"> </w:t>
      </w:r>
      <w:r>
        <w:t xml:space="preserve">apply to</w:t>
      </w:r>
      <w:r>
        <w:t xml:space="preserve"> </w:t>
      </w:r>
      <w:r>
        <w:rPr>
          <w:iCs/>
          <w:i/>
        </w:rPr>
        <w:t xml:space="preserve">loṭ</w:t>
      </w:r>
      <w:r>
        <w:t xml:space="preserve">, so</w:t>
      </w:r>
      <w:r>
        <w:t xml:space="preserve"> </w:t>
      </w:r>
      <w:r>
        <w:t xml:space="preserve">“</w:t>
      </w:r>
      <w:r>
        <w:t xml:space="preserve">tas-thas-tha-mipāṃ tān-tan-tāmaḥ</w:t>
      </w:r>
      <w:r>
        <w:t xml:space="preserve">”</w:t>
      </w:r>
      <w:r>
        <w:t xml:space="preserve"> </w:t>
      </w:r>
      <w:r>
        <w:t xml:space="preserve">(Pā. 3-4-101) — for</w:t>
      </w:r>
      <w:r>
        <w:t xml:space="preserve"> </w:t>
      </w:r>
      <w:r>
        <w:rPr>
          <w:iCs/>
          <w:i/>
        </w:rPr>
        <w:t xml:space="preserve">tas</w:t>
      </w:r>
      <w:r>
        <w:t xml:space="preserve">,</w:t>
      </w:r>
      <w:r>
        <w:t xml:space="preserve"> </w:t>
      </w:r>
      <w:r>
        <w:rPr>
          <w:iCs/>
          <w:i/>
        </w:rPr>
        <w:t xml:space="preserve">thas</w:t>
      </w:r>
      <w:r>
        <w:t xml:space="preserve">,</w:t>
      </w:r>
      <w:r>
        <w:t xml:space="preserve"> </w:t>
      </w:r>
      <w:r>
        <w:rPr>
          <w:iCs/>
          <w:i/>
        </w:rPr>
        <w:t xml:space="preserve">tha</w:t>
      </w:r>
      <w:r>
        <w:t xml:space="preserve">,</w:t>
      </w:r>
      <w:r>
        <w:t xml:space="preserve"> </w:t>
      </w:r>
      <w:r>
        <w:rPr>
          <w:iCs/>
          <w:i/>
        </w:rPr>
        <w:t xml:space="preserve">mip</w:t>
      </w:r>
      <w:r>
        <w:t xml:space="preserve"> </w:t>
      </w:r>
      <w:r>
        <w:t xml:space="preserve">in place of a</w:t>
      </w:r>
      <w:r>
        <w:t xml:space="preserve"> </w:t>
      </w:r>
      <w:r>
        <w:rPr>
          <w:iCs/>
          <w:i/>
        </w:rPr>
        <w:t xml:space="preserve">ṅit</w:t>
      </w:r>
      <w:r>
        <w:t xml:space="preserve"> </w:t>
      </w:r>
      <w:r>
        <w:rPr>
          <w:iCs/>
          <w:i/>
        </w:rPr>
        <w:t xml:space="preserve">lakāra</w:t>
      </w:r>
      <w:r>
        <w:t xml:space="preserve">, the four substitutes</w:t>
      </w:r>
      <w:r>
        <w:t xml:space="preserve"> </w:t>
      </w:r>
      <w:r>
        <w:rPr>
          <w:iCs/>
          <w:i/>
        </w:rPr>
        <w:t xml:space="preserve">tām</w:t>
      </w:r>
      <w:r>
        <w:t xml:space="preserve">,</w:t>
      </w:r>
      <w:r>
        <w:t xml:space="preserve"> </w:t>
      </w:r>
      <w:r>
        <w:rPr>
          <w:iCs/>
          <w:i/>
        </w:rPr>
        <w:t xml:space="preserve">tam</w:t>
      </w:r>
      <w:r>
        <w:t xml:space="preserve">,</w:t>
      </w:r>
      <w:r>
        <w:t xml:space="preserve"> </w:t>
      </w:r>
      <w:r>
        <w:rPr>
          <w:iCs/>
          <w:i/>
        </w:rPr>
        <w:t xml:space="preserve">ta</w:t>
      </w:r>
      <w:r>
        <w:t xml:space="preserve">,</w:t>
      </w:r>
      <w:r>
        <w:t xml:space="preserve"> </w:t>
      </w:r>
      <w:r>
        <w:rPr>
          <w:iCs/>
          <w:i/>
        </w:rPr>
        <w:t xml:space="preserve">am</w:t>
      </w:r>
      <w:r>
        <w:t xml:space="preserve"> </w:t>
      </w:r>
      <w:r>
        <w:t xml:space="preserve">in order — gives</w:t>
      </w:r>
      <w:r>
        <w:t xml:space="preserve"> </w:t>
      </w:r>
      <w:r>
        <w:rPr>
          <w:iCs/>
          <w:i/>
        </w:rPr>
        <w:t xml:space="preserve">ta</w:t>
      </w:r>
      <w:r>
        <w:t xml:space="preserve"> </w:t>
      </w:r>
      <w:r>
        <w:t xml:space="preserve">for</w:t>
      </w:r>
      <w:r>
        <w:t xml:space="preserve"> </w:t>
      </w:r>
      <w:r>
        <w:rPr>
          <w:iCs/>
          <w:i/>
        </w:rPr>
        <w:t xml:space="preserve">tha</w:t>
      </w:r>
      <w:r>
        <w:t xml:space="preserve">.</w:t>
      </w:r>
      <w:r>
        <w:t xml:space="preserve"> </w:t>
      </w:r>
      <w:r>
        <w:t xml:space="preserve">“</w:t>
      </w:r>
      <w:r>
        <w:t xml:space="preserve">kryādibhyaḥ śnā</w:t>
      </w:r>
      <w:r>
        <w:t xml:space="preserve">”</w:t>
      </w:r>
      <w:r>
        <w:t xml:space="preserve"> </w:t>
      </w:r>
      <w:r>
        <w:t xml:space="preserve">(Pā. 3-1-81): before a</w:t>
      </w:r>
      <w:r>
        <w:t xml:space="preserve"> </w:t>
      </w:r>
      <w:r>
        <w:rPr>
          <w:iCs/>
          <w:i/>
        </w:rPr>
        <w:t xml:space="preserve">sārvadhātuka</w:t>
      </w:r>
      <w:r>
        <w:t xml:space="preserve"> </w:t>
      </w:r>
      <w:r>
        <w:t xml:space="preserve">in the agent sense,</w:t>
      </w:r>
    </w:p>
    <w:bookmarkEnd w:id="580"/>
    <w:bookmarkStart w:id="581" w:name="page-550-rik-5-grammar-continued"/>
    <w:p>
      <w:pPr>
        <w:pStyle w:val="Heading3"/>
      </w:pPr>
      <w:r>
        <w:t xml:space="preserve">Page 550 — Rik 5 grammar (continued)</w:t>
      </w:r>
    </w:p>
    <w:p>
      <w:pPr>
        <w:pStyle w:val="FirstParagraph"/>
      </w:pPr>
      <w:r>
        <w:t xml:space="preserve">after the roots of the</w:t>
      </w:r>
      <w:r>
        <w:t xml:space="preserve"> </w:t>
      </w:r>
      <w:r>
        <w:rPr>
          <w:iCs/>
          <w:i/>
        </w:rPr>
        <w:t xml:space="preserve">kryādi</w:t>
      </w:r>
      <w:r>
        <w:t xml:space="preserve"> </w:t>
      </w:r>
      <w:r>
        <w:t xml:space="preserve">group, the vikaraṇa</w:t>
      </w:r>
      <w:r>
        <w:t xml:space="preserve"> </w:t>
      </w:r>
      <w:r>
        <w:rPr>
          <w:iCs/>
          <w:i/>
        </w:rPr>
        <w:t xml:space="preserve">śnā</w:t>
      </w:r>
      <w:r>
        <w:t xml:space="preserve"> </w:t>
      </w:r>
      <w:r>
        <w:t xml:space="preserve">in its own sense:</w:t>
      </w:r>
      <w:r>
        <w:t xml:space="preserve"> </w:t>
      </w:r>
      <w:r>
        <w:rPr>
          <w:iCs/>
          <w:i/>
        </w:rPr>
        <w:t xml:space="preserve">stṝ</w:t>
      </w:r>
      <w:r>
        <w:t xml:space="preserve"> </w:t>
      </w:r>
      <w:r>
        <w:t xml:space="preserve">+</w:t>
      </w:r>
      <w:r>
        <w:t xml:space="preserve"> </w:t>
      </w:r>
      <w:r>
        <w:rPr>
          <w:iCs/>
          <w:i/>
        </w:rPr>
        <w:t xml:space="preserve">nā</w:t>
      </w:r>
      <w:r>
        <w:t xml:space="preserve"> </w:t>
      </w:r>
      <w:r>
        <w:t xml:space="preserve">+</w:t>
      </w:r>
      <w:r>
        <w:t xml:space="preserve"> </w:t>
      </w:r>
      <w:r>
        <w:rPr>
          <w:iCs/>
          <w:i/>
        </w:rPr>
        <w:t xml:space="preserve">ta</w:t>
      </w:r>
      <w:r>
        <w:t xml:space="preserve">.</w:t>
      </w:r>
      <w:r>
        <w:t xml:space="preserve"> </w:t>
      </w:r>
      <w:r>
        <w:t xml:space="preserve">“</w:t>
      </w:r>
      <w:r>
        <w:t xml:space="preserve">ī haly aghoḥ</w:t>
      </w:r>
      <w:r>
        <w:t xml:space="preserve">”</w:t>
      </w:r>
      <w:r>
        <w:t xml:space="preserve"> </w:t>
      </w:r>
      <w:r>
        <w:t xml:space="preserve">(printed</w:t>
      </w:r>
      <w:r>
        <w:t xml:space="preserve"> </w:t>
      </w:r>
      <w:r>
        <w:t xml:space="preserve">“</w:t>
      </w:r>
      <w:r>
        <w:t xml:space="preserve">6-4-11</w:t>
      </w:r>
      <w:r>
        <w:t xml:space="preserve">”</w:t>
      </w:r>
      <w:r>
        <w:t xml:space="preserve"> </w:t>
      </w:r>
      <w:r>
        <w:t xml:space="preserve">[sic]; the sūtra is 6-4-113): before a consonant-initial</w:t>
      </w:r>
      <w:r>
        <w:t xml:space="preserve"> </w:t>
      </w:r>
      <w:r>
        <w:rPr>
          <w:iCs/>
          <w:i/>
        </w:rPr>
        <w:t xml:space="preserve">kit</w:t>
      </w:r>
      <w:r>
        <w:t xml:space="preserve"> </w:t>
      </w:r>
      <w:r>
        <w:t xml:space="preserve">or</w:t>
      </w:r>
      <w:r>
        <w:t xml:space="preserve"> </w:t>
      </w:r>
      <w:r>
        <w:rPr>
          <w:iCs/>
          <w:i/>
        </w:rPr>
        <w:t xml:space="preserve">ṅit</w:t>
      </w:r>
      <w:r>
        <w:t xml:space="preserve"> </w:t>
      </w:r>
      <w:r>
        <w:rPr>
          <w:iCs/>
          <w:i/>
        </w:rPr>
        <w:t xml:space="preserve">sārvadhātuka</w:t>
      </w:r>
      <w:r>
        <w:t xml:space="preserve">, the</w:t>
      </w:r>
      <w:r>
        <w:t xml:space="preserve"> </w:t>
      </w:r>
      <w:r>
        <w:rPr>
          <w:iCs/>
          <w:i/>
        </w:rPr>
        <w:t xml:space="preserve">ā</w:t>
      </w:r>
      <w:r>
        <w:t xml:space="preserve"> </w:t>
      </w:r>
      <w:r>
        <w:t xml:space="preserve">of</w:t>
      </w:r>
      <w:r>
        <w:t xml:space="preserve"> </w:t>
      </w:r>
      <w:r>
        <w:rPr>
          <w:iCs/>
          <w:i/>
        </w:rPr>
        <w:t xml:space="preserve">śnā</w:t>
      </w:r>
      <w:r>
        <w:t xml:space="preserve"> </w:t>
      </w:r>
      <w:r>
        <w:t xml:space="preserve">and of a reduplicated root not named</w:t>
      </w:r>
      <w:r>
        <w:t xml:space="preserve"> </w:t>
      </w:r>
      <w:r>
        <w:rPr>
          <w:iCs/>
          <w:i/>
        </w:rPr>
        <w:t xml:space="preserve">ghu</w:t>
      </w:r>
      <w:r>
        <w:t xml:space="preserve"> </w:t>
      </w:r>
      <w:r>
        <w:t xml:space="preserve">becomes</w:t>
      </w:r>
      <w:r>
        <w:t xml:space="preserve"> </w:t>
      </w:r>
      <w:r>
        <w:rPr>
          <w:iCs/>
          <w:i/>
        </w:rPr>
        <w:t xml:space="preserve">ī</w:t>
      </w:r>
      <w:r>
        <w:t xml:space="preserve">:</w:t>
      </w:r>
      <w:r>
        <w:t xml:space="preserve"> </w:t>
      </w:r>
      <w:r>
        <w:rPr>
          <w:iCs/>
          <w:i/>
        </w:rPr>
        <w:t xml:space="preserve">stṝ</w:t>
      </w:r>
      <w:r>
        <w:t xml:space="preserve"> </w:t>
      </w:r>
      <w:r>
        <w:t xml:space="preserve">+</w:t>
      </w:r>
      <w:r>
        <w:t xml:space="preserve"> </w:t>
      </w:r>
      <w:r>
        <w:rPr>
          <w:iCs/>
          <w:i/>
        </w:rPr>
        <w:t xml:space="preserve">nī</w:t>
      </w:r>
      <w:r>
        <w:t xml:space="preserve"> </w:t>
      </w:r>
      <w:r>
        <w:t xml:space="preserve">+</w:t>
      </w:r>
      <w:r>
        <w:t xml:space="preserve"> </w:t>
      </w:r>
      <w:r>
        <w:rPr>
          <w:iCs/>
          <w:i/>
        </w:rPr>
        <w:t xml:space="preserve">ta</w:t>
      </w:r>
      <w:r>
        <w:t xml:space="preserve">;</w:t>
      </w:r>
      <w:r>
        <w:t xml:space="preserve"> </w:t>
      </w:r>
      <w:r>
        <w:t xml:space="preserve">“</w:t>
      </w:r>
      <w:r>
        <w:t xml:space="preserve">pvādīnāṃ hrasvaḥ</w:t>
      </w:r>
      <w:r>
        <w:t xml:space="preserve">”</w:t>
      </w:r>
      <w:r>
        <w:t xml:space="preserve"> </w:t>
      </w:r>
      <w:r>
        <w:t xml:space="preserve">(Pā. 7-3-80) shortens the root’s</w:t>
      </w:r>
      <w:r>
        <w:t xml:space="preserve"> </w:t>
      </w:r>
      <w:r>
        <w:rPr>
          <w:iCs/>
          <w:i/>
        </w:rPr>
        <w:t xml:space="preserve">ṝ</w:t>
      </w:r>
      <w:r>
        <w:t xml:space="preserve">;</w:t>
      </w:r>
      <w:r>
        <w:t xml:space="preserve"> </w:t>
      </w:r>
      <w:r>
        <w:t xml:space="preserve">“</w:t>
      </w:r>
      <w:r>
        <w:t xml:space="preserve">ṛvarṇāc ceti vaktavyam</w:t>
      </w:r>
      <w:r>
        <w:t xml:space="preserve">”</w:t>
      </w:r>
      <w:r>
        <w:t xml:space="preserve"> </w:t>
      </w:r>
      <w:r>
        <w:t xml:space="preserve">(printed</w:t>
      </w:r>
      <w:r>
        <w:t xml:space="preserve"> </w:t>
      </w:r>
      <w:r>
        <w:t xml:space="preserve">“</w:t>
      </w:r>
      <w:r>
        <w:t xml:space="preserve">8-4-1-1</w:t>
      </w:r>
      <w:r>
        <w:t xml:space="preserve">”</w:t>
      </w:r>
      <w:r>
        <w:t xml:space="preserve">) gives</w:t>
      </w:r>
      <w:r>
        <w:t xml:space="preserve"> </w:t>
      </w:r>
      <w:r>
        <w:rPr>
          <w:iCs/>
          <w:i/>
        </w:rPr>
        <w:t xml:space="preserve">ṇ</w:t>
      </w:r>
      <w:r>
        <w:t xml:space="preserve"> </w:t>
      </w:r>
      <w:r>
        <w:t xml:space="preserve">for the</w:t>
      </w:r>
      <w:r>
        <w:t xml:space="preserve"> </w:t>
      </w:r>
      <w:r>
        <w:rPr>
          <w:iCs/>
          <w:i/>
        </w:rPr>
        <w:t xml:space="preserve">n</w:t>
      </w:r>
      <w:r>
        <w:t xml:space="preserve">:</w:t>
      </w:r>
      <w:r>
        <w:t xml:space="preserve"> </w:t>
      </w:r>
      <w:r>
        <w:rPr>
          <w:iCs/>
          <w:i/>
        </w:rPr>
        <w:t xml:space="preserve">stṛṇīta</w:t>
      </w:r>
      <w:r>
        <w:t xml:space="preserve">. Standing at the beginning of the pāda, it is not made wholly unaccented by</w:t>
      </w:r>
      <w:r>
        <w:t xml:space="preserve"> </w:t>
      </w:r>
      <w:r>
        <w:t xml:space="preserve">“</w:t>
      </w:r>
      <w:r>
        <w:t xml:space="preserve">tiṅṅ atiṅaḥ</w:t>
      </w:r>
      <w:r>
        <w:t xml:space="preserve">”</w:t>
      </w:r>
      <w:r>
        <w:t xml:space="preserve">. Although the accent of the suffix</w:t>
      </w:r>
      <w:r>
        <w:t xml:space="preserve"> </w:t>
      </w:r>
      <w:r>
        <w:rPr>
          <w:iCs/>
          <w:i/>
        </w:rPr>
        <w:t xml:space="preserve">śnā</w:t>
      </w:r>
      <w:r>
        <w:t xml:space="preserve"> </w:t>
      </w:r>
      <w:r>
        <w:t xml:space="preserve">is</w:t>
      </w:r>
      <w:r>
        <w:t xml:space="preserve"> </w:t>
      </w:r>
      <w:r>
        <w:t xml:space="preserve">“</w:t>
      </w:r>
      <w:r>
        <w:rPr>
          <w:iCs/>
          <w:i/>
        </w:rPr>
        <w:t xml:space="preserve">sati śiṣṭa</w:t>
      </w:r>
      <w:r>
        <w:t xml:space="preserve">”</w:t>
      </w:r>
      <w:r>
        <w:t xml:space="preserve">, that is, it comes last, being a vikaraṇa it does not prevail, according to the statement</w:t>
      </w:r>
      <w:r>
        <w:t xml:space="preserve"> </w:t>
      </w:r>
      <w:r>
        <w:t xml:space="preserve">“</w:t>
      </w:r>
      <w:r>
        <w:t xml:space="preserve">sati-śiṣṭa-svara-balīyastvam anyatra vikaraṇebhyaḥ</w:t>
      </w:r>
      <w:r>
        <w:t xml:space="preserve">”</w:t>
      </w:r>
      <w:r>
        <w:t xml:space="preserve">; so the</w:t>
      </w:r>
      <w:r>
        <w:t xml:space="preserve"> </w:t>
      </w:r>
      <w:r>
        <w:rPr>
          <w:iCs/>
          <w:i/>
        </w:rPr>
        <w:t xml:space="preserve">tiṅ</w:t>
      </w:r>
      <w:r>
        <w:t xml:space="preserve"> </w:t>
      </w:r>
      <w:r>
        <w:t xml:space="preserve">suffix</w:t>
      </w:r>
      <w:r>
        <w:t xml:space="preserve"> </w:t>
      </w:r>
      <w:r>
        <w:rPr>
          <w:iCs/>
          <w:i/>
        </w:rPr>
        <w:t xml:space="preserve">ta</w:t>
      </w:r>
      <w:r>
        <w:t xml:space="preserve"> </w:t>
      </w:r>
      <w:r>
        <w:t xml:space="preserve">alone is udātta by the suffix accent.</w:t>
      </w:r>
      <w:r>
        <w:t xml:space="preserve"> </w:t>
      </w:r>
      <w:r>
        <w:rPr>
          <w:bCs/>
          <w:b/>
        </w:rPr>
        <w:t xml:space="preserve">बर्हिः (</w:t>
      </w:r>
      <w:r>
        <w:rPr>
          <w:iCs/>
          <w:i/>
          <w:bCs/>
          <w:b/>
        </w:rPr>
        <w:t xml:space="preserve">barhiḥ</w:t>
      </w:r>
      <w:r>
        <w:rPr>
          <w:bCs/>
          <w:b/>
        </w:rPr>
        <w:t xml:space="preserve">)</w:t>
      </w:r>
      <w:r>
        <w:t xml:space="preserve"> </w:t>
      </w:r>
      <w:r>
        <w:t xml:space="preserve">—</w:t>
      </w:r>
      <w:r>
        <w:t xml:space="preserve"> </w:t>
      </w:r>
      <w:r>
        <w:rPr>
          <w:iCs/>
          <w:i/>
        </w:rPr>
        <w:t xml:space="preserve">bṛhi vṛddhau</w:t>
      </w:r>
      <w:r>
        <w:t xml:space="preserve">, a root that is</w:t>
      </w:r>
      <w:r>
        <w:t xml:space="preserve"> </w:t>
      </w:r>
      <w:r>
        <w:rPr>
          <w:iCs/>
          <w:i/>
        </w:rPr>
        <w:t xml:space="preserve">idit</w:t>
      </w:r>
      <w:r>
        <w:t xml:space="preserve">; so</w:t>
      </w:r>
      <w:r>
        <w:t xml:space="preserve"> </w:t>
      </w:r>
      <w:r>
        <w:rPr>
          <w:iCs/>
          <w:i/>
        </w:rPr>
        <w:t xml:space="preserve">num</w:t>
      </w:r>
      <w:r>
        <w:t xml:space="preserve"> </w:t>
      </w:r>
      <w:r>
        <w:t xml:space="preserve">by</w:t>
      </w:r>
      <w:r>
        <w:t xml:space="preserve"> </w:t>
      </w:r>
      <w:r>
        <w:t xml:space="preserve">“</w:t>
      </w:r>
      <w:r>
        <w:t xml:space="preserve">idito num dhātoḥ</w:t>
      </w:r>
      <w:r>
        <w:t xml:space="preserve">”</w:t>
      </w:r>
      <w:r>
        <w:t xml:space="preserve"> </w:t>
      </w:r>
      <w:r>
        <w:t xml:space="preserve">(printed</w:t>
      </w:r>
      <w:r>
        <w:t xml:space="preserve"> </w:t>
      </w:r>
      <w:r>
        <w:t xml:space="preserve">“</w:t>
      </w:r>
      <w:r>
        <w:t xml:space="preserve">7-1-58</w:t>
      </w:r>
      <w:r>
        <w:t xml:space="preserve">”</w:t>
      </w:r>
      <w:r>
        <w:t xml:space="preserve">); after it</w:t>
      </w:r>
      <w:r>
        <w:t xml:space="preserve"> </w:t>
      </w:r>
      <w:r>
        <w:t xml:space="preserve">“</w:t>
      </w:r>
      <w:r>
        <w:t xml:space="preserve">bṛṃher nalopaś ca</w:t>
      </w:r>
      <w:r>
        <w:t xml:space="preserve">”</w:t>
      </w:r>
      <w:r>
        <w:t xml:space="preserve"> </w:t>
      </w:r>
      <w:r>
        <w:t xml:space="preserve">(Uṇ. sū.</w:t>
      </w:r>
      <w:r>
        <w:t xml:space="preserve"> </w:t>
      </w:r>
      <w:r>
        <w:t xml:space="preserve">“</w:t>
      </w:r>
      <w:r>
        <w:t xml:space="preserve">2–266</w:t>
      </w:r>
      <w:r>
        <w:t xml:space="preserve">”</w:t>
      </w:r>
      <w:r>
        <w:t xml:space="preserve"> </w:t>
      </w:r>
      <w:r>
        <w:t xml:space="preserve">[sic]; the bhāṣya gives 2-110): after</w:t>
      </w:r>
      <w:r>
        <w:t xml:space="preserve"> </w:t>
      </w:r>
      <w:r>
        <w:rPr>
          <w:iCs/>
          <w:i/>
        </w:rPr>
        <w:t xml:space="preserve">bṛhi</w:t>
      </w:r>
      <w:r>
        <w:t xml:space="preserve"> </w:t>
      </w:r>
      <w:r>
        <w:t xml:space="preserve">both the suffix</w:t>
      </w:r>
      <w:r>
        <w:t xml:space="preserve"> </w:t>
      </w:r>
      <w:r>
        <w:rPr>
          <w:iCs/>
          <w:i/>
        </w:rPr>
        <w:t xml:space="preserve">isi</w:t>
      </w:r>
      <w:r>
        <w:t xml:space="preserve"> </w:t>
      </w:r>
      <w:r>
        <w:t xml:space="preserve">and the loss of</w:t>
      </w:r>
      <w:r>
        <w:t xml:space="preserve"> </w:t>
      </w:r>
      <w:r>
        <w:rPr>
          <w:iCs/>
          <w:i/>
        </w:rPr>
        <w:t xml:space="preserve">n</w:t>
      </w:r>
      <w:r>
        <w:t xml:space="preserve">:</w:t>
      </w:r>
      <w:r>
        <w:t xml:space="preserve"> </w:t>
      </w:r>
      <w:r>
        <w:rPr>
          <w:iCs/>
          <w:i/>
        </w:rPr>
        <w:t xml:space="preserve">bṛh</w:t>
      </w:r>
      <w:r>
        <w:t xml:space="preserve"> </w:t>
      </w:r>
      <w:r>
        <w:t xml:space="preserve">+</w:t>
      </w:r>
      <w:r>
        <w:t xml:space="preserve"> </w:t>
      </w:r>
      <w:r>
        <w:rPr>
          <w:iCs/>
          <w:i/>
        </w:rPr>
        <w:t xml:space="preserve">is</w:t>
      </w:r>
      <w:r>
        <w:t xml:space="preserve">;</w:t>
      </w:r>
      <w:r>
        <w:t xml:space="preserve"> </w:t>
      </w:r>
      <w:r>
        <w:rPr>
          <w:iCs/>
          <w:i/>
        </w:rPr>
        <w:t xml:space="preserve">laghūpadha-guṇa</w:t>
      </w:r>
      <w:r>
        <w:t xml:space="preserve"> </w:t>
      </w:r>
      <w:r>
        <w:t xml:space="preserve">with</w:t>
      </w:r>
      <w:r>
        <w:t xml:space="preserve"> </w:t>
      </w:r>
      <w:r>
        <w:rPr>
          <w:iCs/>
          <w:i/>
        </w:rPr>
        <w:t xml:space="preserve">r</w:t>
      </w:r>
      <w:r>
        <w:t xml:space="preserve">:</w:t>
      </w:r>
      <w:r>
        <w:t xml:space="preserve"> </w:t>
      </w:r>
      <w:r>
        <w:rPr>
          <w:iCs/>
          <w:i/>
        </w:rPr>
        <w:t xml:space="preserve">barhis</w:t>
      </w:r>
      <w:r>
        <w:t xml:space="preserve">; the suffix accent; accusative singular</w:t>
      </w:r>
      <w:r>
        <w:t xml:space="preserve"> </w:t>
      </w:r>
      <w:r>
        <w:rPr>
          <w:iCs/>
          <w:i/>
        </w:rPr>
        <w:t xml:space="preserve">barhiḥ</w:t>
      </w:r>
      <w:r>
        <w:t xml:space="preserve">.</w:t>
      </w:r>
      <w:r>
        <w:t xml:space="preserve"> </w:t>
      </w:r>
      <w:r>
        <w:rPr>
          <w:bCs/>
          <w:b/>
        </w:rPr>
        <w:t xml:space="preserve">आनुषक् (</w:t>
      </w:r>
      <w:r>
        <w:rPr>
          <w:iCs/>
          <w:i/>
          <w:bCs/>
          <w:b/>
        </w:rPr>
        <w:t xml:space="preserve">ānuṣak</w:t>
      </w:r>
      <w:r>
        <w:rPr>
          <w:bCs/>
          <w:b/>
        </w:rPr>
        <w:t xml:space="preserve">)</w:t>
      </w:r>
      <w:r>
        <w:t xml:space="preserve"> </w:t>
      </w:r>
      <w:r>
        <w:t xml:space="preserve">—</w:t>
      </w:r>
      <w:r>
        <w:t xml:space="preserve"> </w:t>
      </w:r>
      <w:r>
        <w:t xml:space="preserve">“</w:t>
      </w:r>
      <w:r>
        <w:t xml:space="preserve">ā samantāt anuṣajati iti ānuṣak</w:t>
      </w:r>
      <w:r>
        <w:t xml:space="preserve">”</w:t>
      </w:r>
      <w:r>
        <w:t xml:space="preserve">: root</w:t>
      </w:r>
      <w:r>
        <w:t xml:space="preserve"> </w:t>
      </w:r>
      <w:r>
        <w:rPr>
          <w:iCs/>
          <w:i/>
        </w:rPr>
        <w:t xml:space="preserve">ṣañja saṅge</w:t>
      </w:r>
      <w:r>
        <w:t xml:space="preserve">;</w:t>
      </w:r>
      <w:r>
        <w:t xml:space="preserve"> </w:t>
      </w:r>
      <w:r>
        <w:rPr>
          <w:iCs/>
          <w:i/>
        </w:rPr>
        <w:t xml:space="preserve">s</w:t>
      </w:r>
      <w:r>
        <w:t xml:space="preserve"> </w:t>
      </w:r>
      <w:r>
        <w:t xml:space="preserve">for</w:t>
      </w:r>
      <w:r>
        <w:t xml:space="preserve"> </w:t>
      </w:r>
      <w:r>
        <w:rPr>
          <w:iCs/>
          <w:i/>
        </w:rPr>
        <w:t xml:space="preserve">ṣ</w:t>
      </w:r>
      <w:r>
        <w:t xml:space="preserve"> </w:t>
      </w:r>
      <w:r>
        <w:t xml:space="preserve">by</w:t>
      </w:r>
      <w:r>
        <w:t xml:space="preserve"> </w:t>
      </w:r>
      <w:r>
        <w:t xml:space="preserve">“</w:t>
      </w:r>
      <w:r>
        <w:t xml:space="preserve">dhātvādeḥ ṣaḥ saḥ</w:t>
      </w:r>
      <w:r>
        <w:t xml:space="preserve">”</w:t>
      </w:r>
      <w:r>
        <w:t xml:space="preserve"> </w:t>
      </w:r>
      <w:r>
        <w:t xml:space="preserve">(Pā. 6-1-64);</w:t>
      </w:r>
      <w:r>
        <w:t xml:space="preserve"> </w:t>
      </w:r>
      <w:r>
        <w:rPr>
          <w:iCs/>
          <w:i/>
        </w:rPr>
        <w:t xml:space="preserve">kvip</w:t>
      </w:r>
      <w:r>
        <w:t xml:space="preserve"> </w:t>
      </w:r>
      <w:r>
        <w:t xml:space="preserve">by</w:t>
      </w:r>
      <w:r>
        <w:t xml:space="preserve"> </w:t>
      </w:r>
      <w:r>
        <w:t xml:space="preserve">“</w:t>
      </w:r>
      <w:r>
        <w:t xml:space="preserve">kvip ca</w:t>
      </w:r>
      <w:r>
        <w:t xml:space="preserve">”</w:t>
      </w:r>
      <w:r>
        <w:t xml:space="preserve"> </w:t>
      </w:r>
      <w:r>
        <w:t xml:space="preserve">(Pā. 3-2-76), which is lost entirely;</w:t>
      </w:r>
      <w:r>
        <w:t xml:space="preserve"> </w:t>
      </w:r>
      <w:r>
        <w:t xml:space="preserve">“</w:t>
      </w:r>
      <w:r>
        <w:t xml:space="preserve">anidatāṃ hala upadhāyāḥ kṅiti</w:t>
      </w:r>
      <w:r>
        <w:t xml:space="preserve">”</w:t>
      </w:r>
      <w:r>
        <w:t xml:space="preserve"> </w:t>
      </w:r>
      <w:r>
        <w:t xml:space="preserve">(Pā. 6-4-24) drops the</w:t>
      </w:r>
      <w:r>
        <w:t xml:space="preserve"> </w:t>
      </w:r>
      <w:r>
        <w:rPr>
          <w:iCs/>
          <w:i/>
        </w:rPr>
        <w:t xml:space="preserve">n</w:t>
      </w:r>
      <w:r>
        <w:t xml:space="preserve">; the upasargas</w:t>
      </w:r>
      <w:r>
        <w:t xml:space="preserve"> </w:t>
      </w:r>
      <w:r>
        <w:rPr>
          <w:iCs/>
          <w:i/>
        </w:rPr>
        <w:t xml:space="preserve">āṅ</w:t>
      </w:r>
      <w:r>
        <w:t xml:space="preserve"> </w:t>
      </w:r>
      <w:r>
        <w:t xml:space="preserve">and</w:t>
      </w:r>
      <w:r>
        <w:t xml:space="preserve"> </w:t>
      </w:r>
      <w:r>
        <w:rPr>
          <w:iCs/>
          <w:i/>
        </w:rPr>
        <w:t xml:space="preserve">anu</w:t>
      </w:r>
      <w:r>
        <w:t xml:space="preserve"> </w:t>
      </w:r>
      <w:r>
        <w:t xml:space="preserve">are used before it in order:</w:t>
      </w:r>
      <w:r>
        <w:t xml:space="preserve"> </w:t>
      </w:r>
      <w:r>
        <w:rPr>
          <w:iCs/>
          <w:i/>
        </w:rPr>
        <w:t xml:space="preserve">ā</w:t>
      </w:r>
      <w:r>
        <w:t xml:space="preserve"> </w:t>
      </w:r>
      <w:r>
        <w:t xml:space="preserve">+</w:t>
      </w:r>
      <w:r>
        <w:t xml:space="preserve"> </w:t>
      </w:r>
      <w:r>
        <w:rPr>
          <w:iCs/>
          <w:i/>
        </w:rPr>
        <w:t xml:space="preserve">anu</w:t>
      </w:r>
      <w:r>
        <w:t xml:space="preserve"> </w:t>
      </w:r>
      <w:r>
        <w:t xml:space="preserve">+</w:t>
      </w:r>
      <w:r>
        <w:t xml:space="preserve"> </w:t>
      </w:r>
      <w:r>
        <w:rPr>
          <w:iCs/>
          <w:i/>
        </w:rPr>
        <w:t xml:space="preserve">saj</w:t>
      </w:r>
      <w:r>
        <w:t xml:space="preserve">, a</w:t>
      </w:r>
      <w:r>
        <w:t xml:space="preserve"> </w:t>
      </w:r>
      <w:r>
        <w:rPr>
          <w:iCs/>
          <w:i/>
        </w:rPr>
        <w:t xml:space="preserve">gati</w:t>
      </w:r>
      <w:r>
        <w:t xml:space="preserve"> </w:t>
      </w:r>
      <w:r>
        <w:t xml:space="preserve">compound by</w:t>
      </w:r>
      <w:r>
        <w:t xml:space="preserve"> </w:t>
      </w:r>
      <w:r>
        <w:t xml:space="preserve">“</w:t>
      </w:r>
      <w:r>
        <w:t xml:space="preserve">kugatiprādayaḥ</w:t>
      </w:r>
      <w:r>
        <w:t xml:space="preserve">”</w:t>
      </w:r>
      <w:r>
        <w:t xml:space="preserve"> </w:t>
      </w:r>
      <w:r>
        <w:t xml:space="preserve">(Pā. 2-2-18);</w:t>
      </w:r>
      <w:r>
        <w:t xml:space="preserve"> </w:t>
      </w:r>
      <w:r>
        <w:rPr>
          <w:iCs/>
          <w:i/>
        </w:rPr>
        <w:t xml:space="preserve">savarṇa</w:t>
      </w:r>
      <w:r>
        <w:t xml:space="preserve">-lengthening of</w:t>
      </w:r>
      <w:r>
        <w:t xml:space="preserve"> </w:t>
      </w:r>
      <w:r>
        <w:rPr>
          <w:iCs/>
          <w:i/>
        </w:rPr>
        <w:t xml:space="preserve">ā anu</w:t>
      </w:r>
      <w:r>
        <w:t xml:space="preserve">;</w:t>
      </w:r>
      <w:r>
        <w:t xml:space="preserve"> </w:t>
      </w:r>
      <w:r>
        <w:rPr>
          <w:iCs/>
          <w:i/>
        </w:rPr>
        <w:t xml:space="preserve">ṣ</w:t>
      </w:r>
      <w:r>
        <w:t xml:space="preserve"> </w:t>
      </w:r>
      <w:r>
        <w:t xml:space="preserve">for the</w:t>
      </w:r>
      <w:r>
        <w:t xml:space="preserve"> </w:t>
      </w:r>
      <w:r>
        <w:rPr>
          <w:iCs/>
          <w:i/>
        </w:rPr>
        <w:t xml:space="preserve">s</w:t>
      </w:r>
      <w:r>
        <w:t xml:space="preserve"> </w:t>
      </w:r>
      <w:r>
        <w:t xml:space="preserve">by</w:t>
      </w:r>
      <w:r>
        <w:t xml:space="preserve"> </w:t>
      </w:r>
      <w:r>
        <w:t xml:space="preserve">“</w:t>
      </w:r>
      <w:r>
        <w:t xml:space="preserve">upasargāt sunoti-suvati…</w:t>
      </w:r>
      <w:r>
        <w:t xml:space="preserve">”</w:t>
      </w:r>
      <w:r>
        <w:t xml:space="preserve"> </w:t>
      </w:r>
      <w:r>
        <w:t xml:space="preserve">(Pā. 8-3-65); then the accusative singular</w:t>
      </w:r>
      <w:r>
        <w:t xml:space="preserve"> </w:t>
      </w:r>
      <w:r>
        <w:rPr>
          <w:iCs/>
          <w:i/>
        </w:rPr>
        <w:t xml:space="preserve">am</w:t>
      </w:r>
      <w:r>
        <w:t xml:space="preserve">, dropped by</w:t>
      </w:r>
      <w:r>
        <w:t xml:space="preserve"> </w:t>
      </w:r>
      <w:r>
        <w:t xml:space="preserve">“</w:t>
      </w:r>
      <w:r>
        <w:t xml:space="preserve">svamor napuṃsakāt</w:t>
      </w:r>
      <w:r>
        <w:t xml:space="preserve">”</w:t>
      </w:r>
      <w:r>
        <w:t xml:space="preserve"> </w:t>
      </w:r>
      <w:r>
        <w:t xml:space="preserve">(Pā. 7-1-23) after a neuter stem;</w:t>
      </w:r>
      <w:r>
        <w:t xml:space="preserve"> </w:t>
      </w:r>
      <w:r>
        <w:rPr>
          <w:iCs/>
          <w:i/>
        </w:rPr>
        <w:t xml:space="preserve">k</w:t>
      </w:r>
      <w:r>
        <w:t xml:space="preserve">-series by</w:t>
      </w:r>
      <w:r>
        <w:t xml:space="preserve"> </w:t>
      </w:r>
      <w:r>
        <w:t xml:space="preserve">“</w:t>
      </w:r>
      <w:r>
        <w:t xml:space="preserve">coḥ kuḥ</w:t>
      </w:r>
      <w:r>
        <w:t xml:space="preserve">”</w:t>
      </w:r>
      <w:r>
        <w:t xml:space="preserve"> </w:t>
      </w:r>
      <w:r>
        <w:t xml:space="preserve">(Pā. 8-2-30):</w:t>
      </w:r>
      <w:r>
        <w:t xml:space="preserve"> </w:t>
      </w:r>
      <w:r>
        <w:rPr>
          <w:iCs/>
          <w:i/>
        </w:rPr>
        <w:t xml:space="preserve">g</w:t>
      </w:r>
      <w:r>
        <w:t xml:space="preserve"> </w:t>
      </w:r>
      <w:r>
        <w:t xml:space="preserve">for the voiced palatal</w:t>
      </w:r>
      <w:r>
        <w:t xml:space="preserve"> </w:t>
      </w:r>
      <w:r>
        <w:rPr>
          <w:iCs/>
          <w:i/>
        </w:rPr>
        <w:t xml:space="preserve">j</w:t>
      </w:r>
      <w:r>
        <w:t xml:space="preserve">;</w:t>
      </w:r>
      <w:r>
        <w:t xml:space="preserve"> </w:t>
      </w:r>
      <w:r>
        <w:rPr>
          <w:iCs/>
          <w:i/>
        </w:rPr>
        <w:t xml:space="preserve">jaś</w:t>
      </w:r>
      <w:r>
        <w:t xml:space="preserve"> </w:t>
      </w:r>
      <w:r>
        <w:t xml:space="preserve">by</w:t>
      </w:r>
      <w:r>
        <w:t xml:space="preserve"> </w:t>
      </w:r>
      <w:r>
        <w:t xml:space="preserve">“</w:t>
      </w:r>
      <w:r>
        <w:t xml:space="preserve">jhalāṃ jaśo ’nte</w:t>
      </w:r>
      <w:r>
        <w:t xml:space="preserve">”</w:t>
      </w:r>
      <w:r>
        <w:t xml:space="preserve"> </w:t>
      </w:r>
      <w:r>
        <w:t xml:space="preserve">(Pā. 8-2-39);</w:t>
      </w:r>
      <w:r>
        <w:t xml:space="preserve"> </w:t>
      </w:r>
      <w:r>
        <w:rPr>
          <w:iCs/>
          <w:i/>
        </w:rPr>
        <w:t xml:space="preserve">car</w:t>
      </w:r>
      <w:r>
        <w:t xml:space="preserve"> </w:t>
      </w:r>
      <w:r>
        <w:t xml:space="preserve">by</w:t>
      </w:r>
      <w:r>
        <w:t xml:space="preserve"> </w:t>
      </w:r>
      <w:r>
        <w:t xml:space="preserve">“</w:t>
      </w:r>
      <w:r>
        <w:t xml:space="preserve">vāvasāne</w:t>
      </w:r>
      <w:r>
        <w:t xml:space="preserve">”</w:t>
      </w:r>
      <w:r>
        <w:t xml:space="preserve"> </w:t>
      </w:r>
      <w:r>
        <w:t xml:space="preserve">(Pā. 8-4-56):</w:t>
      </w:r>
      <w:r>
        <w:t xml:space="preserve"> </w:t>
      </w:r>
      <w:r>
        <w:rPr>
          <w:iCs/>
          <w:i/>
        </w:rPr>
        <w:t xml:space="preserve">k</w:t>
      </w:r>
      <w:r>
        <w:t xml:space="preserve"> </w:t>
      </w:r>
      <w:r>
        <w:t xml:space="preserve">for</w:t>
      </w:r>
      <w:r>
        <w:t xml:space="preserve"> </w:t>
      </w:r>
      <w:r>
        <w:rPr>
          <w:iCs/>
          <w:i/>
        </w:rPr>
        <w:t xml:space="preserve">g</w:t>
      </w:r>
      <w:r>
        <w:t xml:space="preserve">:</w:t>
      </w:r>
      <w:r>
        <w:t xml:space="preserve"> </w:t>
      </w:r>
      <w:r>
        <w:rPr>
          <w:iCs/>
          <w:i/>
        </w:rPr>
        <w:t xml:space="preserve">ānuṣak</w:t>
      </w:r>
      <w:r>
        <w:t xml:space="preserve">.</w:t>
      </w:r>
      <w:r>
        <w:t xml:space="preserve"> </w:t>
      </w:r>
      <w:r>
        <w:rPr>
          <w:bCs/>
          <w:b/>
        </w:rPr>
        <w:t xml:space="preserve">घृतपृष्ठम् (</w:t>
      </w:r>
      <w:r>
        <w:rPr>
          <w:iCs/>
          <w:i/>
          <w:bCs/>
          <w:b/>
        </w:rPr>
        <w:t xml:space="preserve">ghṛtapṛṣṭham</w:t>
      </w:r>
      <w:r>
        <w:rPr>
          <w:bCs/>
          <w:b/>
        </w:rPr>
        <w:t xml:space="preserve">)</w:t>
      </w:r>
      <w:r>
        <w:t xml:space="preserve"> </w:t>
      </w:r>
      <w:r>
        <w:t xml:space="preserve">— root</w:t>
      </w:r>
      <w:r>
        <w:t xml:space="preserve"> </w:t>
      </w:r>
      <w:r>
        <w:rPr>
          <w:iCs/>
          <w:i/>
        </w:rPr>
        <w:t xml:space="preserve">ghṛ kṣaraṇadīptyoḥ</w:t>
      </w:r>
      <w:r>
        <w:t xml:space="preserve">;</w:t>
      </w:r>
      <w:r>
        <w:t xml:space="preserve"> </w:t>
      </w:r>
      <w:r>
        <w:rPr>
          <w:iCs/>
          <w:i/>
        </w:rPr>
        <w:t xml:space="preserve">kta</w:t>
      </w:r>
      <w:r>
        <w:t xml:space="preserve"> </w:t>
      </w:r>
      <w:r>
        <w:t xml:space="preserve">by</w:t>
      </w:r>
      <w:r>
        <w:t xml:space="preserve"> </w:t>
      </w:r>
      <w:r>
        <w:t xml:space="preserve">“</w:t>
      </w:r>
      <w:r>
        <w:t xml:space="preserve">niṣṭhā</w:t>
      </w:r>
      <w:r>
        <w:t xml:space="preserve">”</w:t>
      </w:r>
      <w:r>
        <w:t xml:space="preserve"> </w:t>
      </w:r>
      <w:r>
        <w:t xml:space="preserve">(Pā. 3-2-102);</w:t>
      </w:r>
      <w:r>
        <w:t xml:space="preserve"> </w:t>
      </w:r>
      <w:r>
        <w:rPr>
          <w:iCs/>
          <w:i/>
        </w:rPr>
        <w:t xml:space="preserve">ghṛta</w:t>
      </w:r>
      <w:r>
        <w:t xml:space="preserve"> </w:t>
      </w:r>
      <w:r>
        <w:t xml:space="preserve">is final-udātta by the suffix accent;</w:t>
      </w:r>
      <w:r>
        <w:t xml:space="preserve"> </w:t>
      </w:r>
      <w:r>
        <w:t xml:space="preserve">“</w:t>
      </w:r>
      <w:r>
        <w:t xml:space="preserve">ghṛtayuktaṃ pṛṣṭham asya</w:t>
      </w:r>
      <w:r>
        <w:t xml:space="preserve">”</w:t>
      </w:r>
      <w:r>
        <w:t xml:space="preserve">, a bahuvrīhi; the first-member accent by</w:t>
      </w:r>
      <w:r>
        <w:t xml:space="preserve"> </w:t>
      </w:r>
      <w:r>
        <w:t xml:space="preserve">“</w:t>
      </w:r>
      <w:r>
        <w:t xml:space="preserve">bahuvrīhau prakṛtyā pūrvapadam</w:t>
      </w:r>
      <w:r>
        <w:t xml:space="preserve">”</w:t>
      </w:r>
      <w:r>
        <w:t xml:space="preserve"> </w:t>
      </w:r>
      <w:r>
        <w:t xml:space="preserve">(Pā. 6-2-1).</w:t>
      </w:r>
      <w:r>
        <w:t xml:space="preserve"> </w:t>
      </w:r>
      <w:r>
        <w:rPr>
          <w:bCs/>
          <w:b/>
        </w:rPr>
        <w:t xml:space="preserve">मनीषिणः (</w:t>
      </w:r>
      <w:r>
        <w:rPr>
          <w:iCs/>
          <w:i/>
          <w:bCs/>
          <w:b/>
        </w:rPr>
        <w:t xml:space="preserve">manīṣiṇaḥ</w:t>
      </w:r>
      <w:r>
        <w:rPr>
          <w:bCs/>
          <w:b/>
        </w:rPr>
        <w:t xml:space="preserve">)</w:t>
      </w:r>
      <w:r>
        <w:t xml:space="preserve"> </w:t>
      </w:r>
      <w:r>
        <w:t xml:space="preserve">— a vocative, hence unaccented by the eighth-chapter rule.</w:t>
      </w:r>
    </w:p>
    <w:bookmarkEnd w:id="581"/>
    <w:bookmarkStart w:id="582" w:name="page-551-rik-5-grammar-closes"/>
    <w:p>
      <w:pPr>
        <w:pStyle w:val="Heading3"/>
      </w:pPr>
      <w:r>
        <w:t xml:space="preserve">Page 551 — Rik 5 grammar closes</w:t>
      </w:r>
    </w:p>
    <w:p>
      <w:pPr>
        <w:pStyle w:val="FirstParagraph"/>
      </w:pPr>
      <w:r>
        <w:rPr>
          <w:bCs/>
          <w:b/>
        </w:rPr>
        <w:t xml:space="preserve">अमृतस्य (</w:t>
      </w:r>
      <w:r>
        <w:rPr>
          <w:iCs/>
          <w:i/>
          <w:bCs/>
          <w:b/>
        </w:rPr>
        <w:t xml:space="preserve">amṛtasya</w:t>
      </w:r>
      <w:r>
        <w:rPr>
          <w:bCs/>
          <w:b/>
        </w:rPr>
        <w:t xml:space="preserve">)</w:t>
      </w:r>
      <w:r>
        <w:t xml:space="preserve"> </w:t>
      </w:r>
      <w:r>
        <w:t xml:space="preserve">— analysed</w:t>
      </w:r>
      <w:r>
        <w:t xml:space="preserve"> </w:t>
      </w:r>
      <w:r>
        <w:t xml:space="preserve">“</w:t>
      </w:r>
      <w:r>
        <w:t xml:space="preserve">na vidyate mṛtaṃ maraṇam asmin</w:t>
      </w:r>
      <w:r>
        <w:t xml:space="preserve">”</w:t>
      </w:r>
      <w:r>
        <w:t xml:space="preserve">.</w:t>
      </w:r>
      <w:r>
        <w:t xml:space="preserve"> </w:t>
      </w:r>
      <w:r>
        <w:rPr>
          <w:iCs/>
          <w:i/>
        </w:rPr>
        <w:t xml:space="preserve">Amṛta</w:t>
      </w:r>
      <w:r>
        <w:t xml:space="preserve"> </w:t>
      </w:r>
      <w:r>
        <w:t xml:space="preserve">being a bahuvrīhi, the first-member accent would come; setting it aside,</w:t>
      </w:r>
      <w:r>
        <w:t xml:space="preserve"> </w:t>
      </w:r>
      <w:r>
        <w:t xml:space="preserve">“</w:t>
      </w:r>
      <w:r>
        <w:t xml:space="preserve">nañ-subhyām</w:t>
      </w:r>
      <w:r>
        <w:t xml:space="preserve">”</w:t>
      </w:r>
      <w:r>
        <w:t xml:space="preserve"> </w:t>
      </w:r>
      <w:r>
        <w:t xml:space="preserve">(Pā. 6-2-172) — in a bahuvrīhi the second member after</w:t>
      </w:r>
      <w:r>
        <w:t xml:space="preserve"> </w:t>
      </w:r>
      <w:r>
        <w:rPr>
          <w:iCs/>
          <w:i/>
        </w:rPr>
        <w:t xml:space="preserve">nañ</w:t>
      </w:r>
      <w:r>
        <w:t xml:space="preserve"> </w:t>
      </w:r>
      <w:r>
        <w:t xml:space="preserve">or</w:t>
      </w:r>
      <w:r>
        <w:t xml:space="preserve"> </w:t>
      </w:r>
      <w:r>
        <w:rPr>
          <w:iCs/>
          <w:i/>
        </w:rPr>
        <w:t xml:space="preserve">su</w:t>
      </w:r>
      <w:r>
        <w:t xml:space="preserve"> </w:t>
      </w:r>
      <w:r>
        <w:t xml:space="preserve">is final-udātta — would give the final udātta; setting that aside too,</w:t>
      </w:r>
      <w:r>
        <w:t xml:space="preserve"> </w:t>
      </w:r>
      <w:r>
        <w:t xml:space="preserve">“</w:t>
      </w:r>
      <w:r>
        <w:t xml:space="preserve">nañ jara-mara-mitra-mṛtāḥ</w:t>
      </w:r>
      <w:r>
        <w:t xml:space="preserve">”</w:t>
      </w:r>
      <w:r>
        <w:t xml:space="preserve"> </w:t>
      </w:r>
      <w:r>
        <w:t xml:space="preserve">(Pā. 6-2-116) — in a bahuvrīhi, after</w:t>
      </w:r>
      <w:r>
        <w:t xml:space="preserve"> </w:t>
      </w:r>
      <w:r>
        <w:rPr>
          <w:iCs/>
          <w:i/>
        </w:rPr>
        <w:t xml:space="preserve">nañ</w:t>
      </w:r>
      <w:r>
        <w:t xml:space="preserve">, the words</w:t>
      </w:r>
      <w:r>
        <w:t xml:space="preserve"> </w:t>
      </w:r>
      <w:r>
        <w:rPr>
          <w:iCs/>
          <w:i/>
        </w:rPr>
        <w:t xml:space="preserve">jara</w:t>
      </w:r>
      <w:r>
        <w:t xml:space="preserve">,</w:t>
      </w:r>
      <w:r>
        <w:t xml:space="preserve"> </w:t>
      </w:r>
      <w:r>
        <w:rPr>
          <w:iCs/>
          <w:i/>
        </w:rPr>
        <w:t xml:space="preserve">mara</w:t>
      </w:r>
      <w:r>
        <w:t xml:space="preserve">,</w:t>
      </w:r>
      <w:r>
        <w:t xml:space="preserve"> </w:t>
      </w:r>
      <w:r>
        <w:rPr>
          <w:iCs/>
          <w:i/>
        </w:rPr>
        <w:t xml:space="preserve">mitra</w:t>
      </w:r>
      <w:r>
        <w:t xml:space="preserve">,</w:t>
      </w:r>
      <w:r>
        <w:t xml:space="preserve"> </w:t>
      </w:r>
      <w:r>
        <w:rPr>
          <w:iCs/>
          <w:i/>
        </w:rPr>
        <w:t xml:space="preserve">mṛta</w:t>
      </w:r>
      <w:r>
        <w:t xml:space="preserve"> </w:t>
      </w:r>
      <w:r>
        <w:t xml:space="preserve">are initial-udātta — makes the second member initial-udātta.</w:t>
      </w:r>
      <w:r>
        <w:t xml:space="preserve"> </w:t>
      </w:r>
      <w:r>
        <w:rPr>
          <w:bCs/>
          <w:b/>
        </w:rPr>
        <w:t xml:space="preserve">चक्षणम् (</w:t>
      </w:r>
      <w:r>
        <w:rPr>
          <w:iCs/>
          <w:i/>
          <w:bCs/>
          <w:b/>
        </w:rPr>
        <w:t xml:space="preserve">cakṣaṇam</w:t>
      </w:r>
      <w:r>
        <w:rPr>
          <w:bCs/>
          <w:b/>
        </w:rPr>
        <w:t xml:space="preserve">)</w:t>
      </w:r>
      <w:r>
        <w:t xml:space="preserve"> </w:t>
      </w:r>
      <w:r>
        <w:t xml:space="preserve">—</w:t>
      </w:r>
      <w:r>
        <w:t xml:space="preserve"> </w:t>
      </w:r>
      <w:r>
        <w:rPr>
          <w:iCs/>
          <w:i/>
        </w:rPr>
        <w:t xml:space="preserve">cakṣiṅ vyaktāyāṃ vāci</w:t>
      </w:r>
      <w:r>
        <w:t xml:space="preserve">, a root which can denote the manifestation of speech; here by implication it conveys only manifestation. After it, by</w:t>
      </w:r>
      <w:r>
        <w:t xml:space="preserve"> </w:t>
      </w:r>
      <w:r>
        <w:t xml:space="preserve">“</w:t>
      </w:r>
      <w:r>
        <w:t xml:space="preserve">lyuṭ ca</w:t>
      </w:r>
      <w:r>
        <w:t xml:space="preserve">”</w:t>
      </w:r>
      <w:r>
        <w:t xml:space="preserve"> </w:t>
      </w:r>
      <w:r>
        <w:t xml:space="preserve">(Pā. 3-3-115) — after a root, in the neuter, in the sense of the state, the suffixes</w:t>
      </w:r>
      <w:r>
        <w:t xml:space="preserve"> </w:t>
      </w:r>
      <w:r>
        <w:rPr>
          <w:iCs/>
          <w:i/>
        </w:rPr>
        <w:t xml:space="preserve">lyuṭ</w:t>
      </w:r>
      <w:r>
        <w:t xml:space="preserve"> </w:t>
      </w:r>
      <w:r>
        <w:t xml:space="preserve">and</w:t>
      </w:r>
      <w:r>
        <w:t xml:space="preserve"> </w:t>
      </w:r>
      <w:r>
        <w:rPr>
          <w:iCs/>
          <w:i/>
        </w:rPr>
        <w:t xml:space="preserve">kta</w:t>
      </w:r>
      <w:r>
        <w:t xml:space="preserve"> </w:t>
      </w:r>
      <w:r>
        <w:t xml:space="preserve">—</w:t>
      </w:r>
      <w:r>
        <w:t xml:space="preserve"> </w:t>
      </w:r>
      <w:r>
        <w:rPr>
          <w:iCs/>
          <w:i/>
        </w:rPr>
        <w:t xml:space="preserve">lyuṭ</w:t>
      </w:r>
      <w:r>
        <w:t xml:space="preserve"> </w:t>
      </w:r>
      <w:r>
        <w:t xml:space="preserve">comes; the</w:t>
      </w:r>
      <w:r>
        <w:t xml:space="preserve"> </w:t>
      </w:r>
      <w:r>
        <w:rPr>
          <w:iCs/>
          <w:i/>
        </w:rPr>
        <w:t xml:space="preserve">l</w:t>
      </w:r>
      <w:r>
        <w:t xml:space="preserve"> </w:t>
      </w:r>
      <w:r>
        <w:t xml:space="preserve">and</w:t>
      </w:r>
      <w:r>
        <w:t xml:space="preserve"> </w:t>
      </w:r>
      <w:r>
        <w:rPr>
          <w:iCs/>
          <w:i/>
        </w:rPr>
        <w:t xml:space="preserve">ṭ</w:t>
      </w:r>
      <w:r>
        <w:t xml:space="preserve"> </w:t>
      </w:r>
      <w:r>
        <w:t xml:space="preserve">are</w:t>
      </w:r>
      <w:r>
        <w:t xml:space="preserve"> </w:t>
      </w:r>
      <w:r>
        <w:rPr>
          <w:iCs/>
          <w:i/>
        </w:rPr>
        <w:t xml:space="preserve">it</w:t>
      </w:r>
      <w:r>
        <w:t xml:space="preserve"> </w:t>
      </w:r>
      <w:r>
        <w:t xml:space="preserve">and dropped;</w:t>
      </w:r>
      <w:r>
        <w:t xml:space="preserve"> </w:t>
      </w:r>
      <w:r>
        <w:rPr>
          <w:iCs/>
          <w:i/>
        </w:rPr>
        <w:t xml:space="preserve">ana</w:t>
      </w:r>
      <w:r>
        <w:t xml:space="preserve"> </w:t>
      </w:r>
      <w:r>
        <w:t xml:space="preserve">for</w:t>
      </w:r>
      <w:r>
        <w:t xml:space="preserve"> </w:t>
      </w:r>
      <w:r>
        <w:rPr>
          <w:iCs/>
          <w:i/>
        </w:rPr>
        <w:t xml:space="preserve">yu</w:t>
      </w:r>
      <w:r>
        <w:t xml:space="preserve"> </w:t>
      </w:r>
      <w:r>
        <w:t xml:space="preserve">by</w:t>
      </w:r>
      <w:r>
        <w:t xml:space="preserve"> </w:t>
      </w:r>
      <w:r>
        <w:t xml:space="preserve">“</w:t>
      </w:r>
      <w:r>
        <w:t xml:space="preserve">yuvor anākau</w:t>
      </w:r>
      <w:r>
        <w:t xml:space="preserve">”</w:t>
      </w:r>
      <w:r>
        <w:t xml:space="preserve"> </w:t>
      </w:r>
      <w:r>
        <w:t xml:space="preserve">(printed</w:t>
      </w:r>
      <w:r>
        <w:t xml:space="preserve"> </w:t>
      </w:r>
      <w:r>
        <w:t xml:space="preserve">“</w:t>
      </w:r>
      <w:r>
        <w:t xml:space="preserve">2-1-1</w:t>
      </w:r>
      <w:r>
        <w:t xml:space="preserve">”</w:t>
      </w:r>
      <w:r>
        <w:t xml:space="preserve"> </w:t>
      </w:r>
      <w:r>
        <w:t xml:space="preserve">[sic]; the sūtra is 7-1-1):</w:t>
      </w:r>
      <w:r>
        <w:t xml:space="preserve"> </w:t>
      </w:r>
      <w:r>
        <w:rPr>
          <w:iCs/>
          <w:i/>
        </w:rPr>
        <w:t xml:space="preserve">cakṣ</w:t>
      </w:r>
      <w:r>
        <w:t xml:space="preserve"> </w:t>
      </w:r>
      <w:r>
        <w:t xml:space="preserve">+</w:t>
      </w:r>
      <w:r>
        <w:t xml:space="preserve"> </w:t>
      </w:r>
      <w:r>
        <w:rPr>
          <w:iCs/>
          <w:i/>
        </w:rPr>
        <w:t xml:space="preserve">ana</w:t>
      </w:r>
      <w:r>
        <w:t xml:space="preserve">;</w:t>
      </w:r>
      <w:r>
        <w:t xml:space="preserve"> </w:t>
      </w:r>
      <w:r>
        <w:rPr>
          <w:iCs/>
          <w:i/>
        </w:rPr>
        <w:t xml:space="preserve">ana</w:t>
      </w:r>
      <w:r>
        <w:t xml:space="preserve"> </w:t>
      </w:r>
      <w:r>
        <w:t xml:space="preserve">is an</w:t>
      </w:r>
      <w:r>
        <w:t xml:space="preserve"> </w:t>
      </w:r>
      <w:r>
        <w:rPr>
          <w:iCs/>
          <w:i/>
        </w:rPr>
        <w:t xml:space="preserve">ārdhadhātuka</w:t>
      </w:r>
      <w:r>
        <w:t xml:space="preserve">, so by</w:t>
      </w:r>
      <w:r>
        <w:t xml:space="preserve"> </w:t>
      </w:r>
      <w:r>
        <w:t xml:space="preserve">“</w:t>
      </w:r>
      <w:r>
        <w:t xml:space="preserve">cakṣiṅaḥ khyāñ</w:t>
      </w:r>
      <w:r>
        <w:t xml:space="preserve">”</w:t>
      </w:r>
      <w:r>
        <w:t xml:space="preserve"> </w:t>
      </w:r>
      <w:r>
        <w:t xml:space="preserve">(Pā. 2-4-54) — before an</w:t>
      </w:r>
      <w:r>
        <w:t xml:space="preserve"> </w:t>
      </w:r>
      <w:r>
        <w:rPr>
          <w:iCs/>
          <w:i/>
        </w:rPr>
        <w:t xml:space="preserve">ārdhadhātuka</w:t>
      </w:r>
      <w:r>
        <w:t xml:space="preserve"> </w:t>
      </w:r>
      <w:r>
        <w:rPr>
          <w:iCs/>
          <w:i/>
        </w:rPr>
        <w:t xml:space="preserve">cakṣiṅ</w:t>
      </w:r>
      <w:r>
        <w:t xml:space="preserve"> </w:t>
      </w:r>
      <w:r>
        <w:t xml:space="preserve">is replaced by</w:t>
      </w:r>
      <w:r>
        <w:t xml:space="preserve"> </w:t>
      </w:r>
      <w:r>
        <w:rPr>
          <w:iCs/>
          <w:i/>
        </w:rPr>
        <w:t xml:space="preserve">khyāñ</w:t>
      </w:r>
      <w:r>
        <w:t xml:space="preserve"> </w:t>
      </w:r>
      <w:r>
        <w:t xml:space="preserve">— the substitute</w:t>
      </w:r>
      <w:r>
        <w:t xml:space="preserve"> </w:t>
      </w:r>
      <w:r>
        <w:rPr>
          <w:iCs/>
          <w:i/>
        </w:rPr>
        <w:t xml:space="preserve">khyāñ</w:t>
      </w:r>
      <w:r>
        <w:t xml:space="preserve"> </w:t>
      </w:r>
      <w:r>
        <w:t xml:space="preserve">would arise; but</w:t>
      </w:r>
      <w:r>
        <w:t xml:space="preserve"> </w:t>
      </w:r>
      <w:r>
        <w:t xml:space="preserve">“</w:t>
      </w:r>
      <w:r>
        <w:t xml:space="preserve">asanayoś ca</w:t>
      </w:r>
      <w:r>
        <w:t xml:space="preserve">”</w:t>
      </w:r>
      <w:r>
        <w:t xml:space="preserve"> </w:t>
      </w:r>
      <w:r>
        <w:t xml:space="preserve">(printed</w:t>
      </w:r>
      <w:r>
        <w:t xml:space="preserve"> </w:t>
      </w:r>
      <w:r>
        <w:t xml:space="preserve">“</w:t>
      </w:r>
      <w:r>
        <w:t xml:space="preserve">Pā. sū. 2-4-54 vā. 10</w:t>
      </w:r>
      <w:r>
        <w:t xml:space="preserve">”</w:t>
      </w:r>
      <w:r>
        <w:t xml:space="preserve">) — before the suffixes</w:t>
      </w:r>
      <w:r>
        <w:t xml:space="preserve"> </w:t>
      </w:r>
      <w:r>
        <w:rPr>
          <w:iCs/>
          <w:i/>
        </w:rPr>
        <w:t xml:space="preserve">as</w:t>
      </w:r>
      <w:r>
        <w:t xml:space="preserve"> </w:t>
      </w:r>
      <w:r>
        <w:t xml:space="preserve">and</w:t>
      </w:r>
      <w:r>
        <w:t xml:space="preserve"> </w:t>
      </w:r>
      <w:r>
        <w:rPr>
          <w:iCs/>
          <w:i/>
        </w:rPr>
        <w:t xml:space="preserve">ana</w:t>
      </w:r>
      <w:r>
        <w:t xml:space="preserve">,</w:t>
      </w:r>
      <w:r>
        <w:t xml:space="preserve"> </w:t>
      </w:r>
      <w:r>
        <w:rPr>
          <w:iCs/>
          <w:i/>
        </w:rPr>
        <w:t xml:space="preserve">cakṣiṅ</w:t>
      </w:r>
      <w:r>
        <w:t xml:space="preserve"> </w:t>
      </w:r>
      <w:r>
        <w:t xml:space="preserve">does not take</w:t>
      </w:r>
      <w:r>
        <w:t xml:space="preserve"> </w:t>
      </w:r>
      <w:r>
        <w:rPr>
          <w:iCs/>
          <w:i/>
        </w:rPr>
        <w:t xml:space="preserve">khyāñ</w:t>
      </w:r>
      <w:r>
        <w:t xml:space="preserve"> </w:t>
      </w:r>
      <w:r>
        <w:t xml:space="preserve">— bars it, so</w:t>
      </w:r>
      <w:r>
        <w:t xml:space="preserve"> </w:t>
      </w:r>
      <w:r>
        <w:rPr>
          <w:iCs/>
          <w:i/>
        </w:rPr>
        <w:t xml:space="preserve">khyāñ</w:t>
      </w:r>
      <w:r>
        <w:t xml:space="preserve"> </w:t>
      </w:r>
      <w:r>
        <w:t xml:space="preserve">does not come. Here the Kaiyaṭa, by</w:t>
      </w:r>
      <w:r>
        <w:t xml:space="preserve"> </w:t>
      </w:r>
      <w:r>
        <w:t xml:space="preserve">“</w:t>
      </w:r>
      <w:r>
        <w:t xml:space="preserve">anudāttetaś ca halādeḥ</w:t>
      </w:r>
      <w:r>
        <w:t xml:space="preserve">”</w:t>
      </w:r>
      <w:r>
        <w:t xml:space="preserve"> </w:t>
      </w:r>
      <w:r>
        <w:t xml:space="preserve">(Pā. 3-2-149), gives the suffix</w:t>
      </w:r>
      <w:r>
        <w:t xml:space="preserve"> </w:t>
      </w:r>
      <w:r>
        <w:rPr>
          <w:iCs/>
          <w:i/>
        </w:rPr>
        <w:t xml:space="preserve">yuc</w:t>
      </w:r>
      <w:r>
        <w:t xml:space="preserve"> </w:t>
      </w:r>
      <w:r>
        <w:t xml:space="preserve">and derives</w:t>
      </w:r>
      <w:r>
        <w:t xml:space="preserve"> </w:t>
      </w:r>
      <w:r>
        <w:rPr>
          <w:iCs/>
          <w:i/>
        </w:rPr>
        <w:t xml:space="preserve">vicakṣaṇaḥ</w:t>
      </w:r>
      <w:r>
        <w:t xml:space="preserve">; on that view</w:t>
      </w:r>
      <w:r>
        <w:t xml:space="preserve"> </w:t>
      </w:r>
      <w:r>
        <w:rPr>
          <w:iCs/>
          <w:i/>
        </w:rPr>
        <w:t xml:space="preserve">vicakṣaṇa</w:t>
      </w:r>
      <w:r>
        <w:t xml:space="preserve"> </w:t>
      </w:r>
      <w:r>
        <w:t xml:space="preserve">is final-udātta. On the</w:t>
      </w:r>
      <w:r>
        <w:t xml:space="preserve"> </w:t>
      </w:r>
      <w:r>
        <w:rPr>
          <w:iCs/>
          <w:i/>
        </w:rPr>
        <w:t xml:space="preserve">lyuṭ</w:t>
      </w:r>
      <w:r>
        <w:t xml:space="preserve"> </w:t>
      </w:r>
      <w:r>
        <w:t xml:space="preserve">view</w:t>
      </w:r>
      <w:r>
        <w:t xml:space="preserve"> </w:t>
      </w:r>
      <w:r>
        <w:t xml:space="preserve">“</w:t>
      </w:r>
      <w:r>
        <w:t xml:space="preserve">liti</w:t>
      </w:r>
      <w:r>
        <w:t xml:space="preserve">”</w:t>
      </w:r>
      <w:r>
        <w:t xml:space="preserve"> </w:t>
      </w:r>
      <w:r>
        <w:t xml:space="preserve">makes [the</w:t>
      </w:r>
      <w:r>
        <w:t xml:space="preserve"> </w:t>
      </w:r>
      <w:r>
        <w:rPr>
          <w:iCs/>
          <w:i/>
        </w:rPr>
        <w:t xml:space="preserve">ca</w:t>
      </w:r>
      <w:r>
        <w:t xml:space="preserve">] udātta; the other two</w:t>
      </w:r>
      <w:r>
        <w:t xml:space="preserve"> </w:t>
      </w:r>
      <w:r>
        <w:rPr>
          <w:iCs/>
          <w:i/>
        </w:rPr>
        <w:t xml:space="preserve">a</w:t>
      </w:r>
      <w:r>
        <w:t xml:space="preserve">’s are unaccented by the rule for the remainder; then by</w:t>
      </w:r>
      <w:r>
        <w:t xml:space="preserve"> </w:t>
      </w:r>
      <w:r>
        <w:t xml:space="preserve">“</w:t>
      </w:r>
      <w:r>
        <w:t xml:space="preserve">udāttād anudāttasya svaritaḥ</w:t>
      </w:r>
      <w:r>
        <w:t xml:space="preserve">”</w:t>
      </w:r>
      <w:r>
        <w:t xml:space="preserve"> </w:t>
      </w:r>
      <w:r>
        <w:t xml:space="preserve">the second</w:t>
      </w:r>
      <w:r>
        <w:t xml:space="preserve"> </w:t>
      </w:r>
      <w:r>
        <w:rPr>
          <w:iCs/>
          <w:i/>
        </w:rPr>
        <w:t xml:space="preserve">a</w:t>
      </w:r>
      <w:r>
        <w:t xml:space="preserve"> </w:t>
      </w:r>
      <w:r>
        <w:t xml:space="preserve">is svarita, and by</w:t>
      </w:r>
      <w:r>
        <w:t xml:space="preserve"> </w:t>
      </w:r>
      <w:r>
        <w:t xml:space="preserve">“</w:t>
      </w:r>
      <w:r>
        <w:t xml:space="preserve">svaritāt saṃhitāyām anudāttānām</w:t>
      </w:r>
      <w:r>
        <w:t xml:space="preserve">”</w:t>
      </w:r>
      <w:r>
        <w:t xml:space="preserve"> </w:t>
      </w:r>
      <w:r>
        <w:t xml:space="preserve">the third</w:t>
      </w:r>
      <w:r>
        <w:t xml:space="preserve"> </w:t>
      </w:r>
      <w:r>
        <w:rPr>
          <w:iCs/>
          <w:i/>
        </w:rPr>
        <w:t xml:space="preserve">a</w:t>
      </w:r>
      <w:r>
        <w:t xml:space="preserve"> </w:t>
      </w:r>
      <w:r>
        <w:t xml:space="preserve">is</w:t>
      </w:r>
      <w:r>
        <w:t xml:space="preserve"> </w:t>
      </w:r>
      <w:r>
        <w:rPr>
          <w:iCs/>
          <w:i/>
        </w:rPr>
        <w:t xml:space="preserve">pracaya</w:t>
      </w:r>
      <w:r>
        <w:t xml:space="preserve">. It is to get this accent that</w:t>
      </w:r>
      <w:r>
        <w:t xml:space="preserve"> </w:t>
      </w:r>
      <w:r>
        <w:rPr>
          <w:iCs/>
          <w:i/>
        </w:rPr>
        <w:t xml:space="preserve">lyuṭ</w:t>
      </w:r>
      <w:r>
        <w:t xml:space="preserve"> </w:t>
      </w:r>
      <w:r>
        <w:t xml:space="preserve">is described here.</w:t>
      </w:r>
    </w:p>
    <w:p>
      <w:pPr>
        <w:pStyle w:val="BodyText"/>
      </w:pPr>
      <w:r>
        <w:rPr>
          <w:bCs/>
          <w:b/>
        </w:rPr>
        <w:t xml:space="preserve">॥५॥</w:t>
      </w:r>
    </w:p>
    <w:p>
      <w:r>
        <w:pict>
          <v:rect style="width:0;height:1.5pt" o:hralign="center" o:hrstd="t" o:hr="t"/>
        </w:pict>
      </w:r>
    </w:p>
    <w:bookmarkEnd w:id="582"/>
    <w:bookmarkStart w:id="583" w:name="page-551-lower-sūkta-13-rik-6"/>
    <w:p>
      <w:pPr>
        <w:pStyle w:val="Heading3"/>
      </w:pPr>
      <w:r>
        <w:t xml:space="preserve">Page 551 (lower) — Sūkta 13, Rik 6</w:t>
      </w:r>
    </w:p>
    <w:p>
      <w:pPr>
        <w:pStyle w:val="FirstParagraph"/>
      </w:pPr>
      <w:r>
        <w:rPr>
          <w:iCs/>
          <w:i/>
        </w:rPr>
        <w:t xml:space="preserve">(Saṃhitā accents as printed; Pada unaccented. Line 2: the bar under द्या of अद्या, as printed; the svarita on the last syllable of</w:t>
      </w:r>
      <w:r>
        <w:t xml:space="preserve"> </w:t>
      </w:r>
      <w:r>
        <w:t xml:space="preserve">नूनम्</w:t>
      </w:r>
      <w:r>
        <w:t xml:space="preserve"> </w:t>
      </w:r>
      <w:r>
        <w:rPr>
          <w:iCs/>
          <w:i/>
        </w:rPr>
        <w:t xml:space="preserve">is not printed.)</w:t>
      </w:r>
    </w:p>
    <w:p>
      <w:pPr>
        <w:pStyle w:val="BodyText"/>
      </w:pPr>
      <w:r>
        <w:rPr>
          <w:bCs/>
          <w:b/>
        </w:rPr>
        <w:t xml:space="preserve">॥ Saṃhitā-pāṭhaḥ ॥</w:t>
      </w:r>
    </w:p>
    <w:p>
      <w:pPr>
        <w:pStyle w:val="BlockText"/>
      </w:pPr>
      <w:r>
        <w:t xml:space="preserve">वि श्र॑यन्तामृता॒वृधो॒ द्वारो॑ दे॒वीर॑स॒श्चतः॑ ।</w:t>
      </w:r>
      <w:r>
        <w:t xml:space="preserve"> </w:t>
      </w:r>
      <w:r>
        <w:t xml:space="preserve">अ॒द्या नू॒नं च॒ यष्ट॑वे ॥६॥</w:t>
      </w:r>
    </w:p>
    <w:p>
      <w:pPr>
        <w:pStyle w:val="BlockText"/>
      </w:pPr>
      <w:r>
        <w:rPr>
          <w:iCs/>
          <w:i/>
        </w:rPr>
        <w:t xml:space="preserve">ví śrayantām ṛtāvṛ́dho dvā́ro devī́r asaścátaḥ |</w:t>
      </w:r>
      <w:r>
        <w:t xml:space="preserve"> </w:t>
      </w:r>
      <w:r>
        <w:rPr>
          <w:iCs/>
          <w:i/>
        </w:rPr>
        <w:t xml:space="preserve">adyā́ nūnáṃ ca yáṣṭave ||6||</w:t>
      </w:r>
    </w:p>
    <w:p>
      <w:pPr>
        <w:pStyle w:val="FirstParagraph"/>
      </w:pPr>
      <w:r>
        <w:rPr>
          <w:bCs/>
          <w:b/>
        </w:rPr>
        <w:t xml:space="preserve">॥ Pada-pāṭhaḥ ॥</w:t>
      </w:r>
    </w:p>
    <w:p>
      <w:pPr>
        <w:pStyle w:val="BlockText"/>
      </w:pPr>
      <w:r>
        <w:t xml:space="preserve">वि । श्रयन्ताम् । ऋतऽवृधः । द्वारः । देवीः । असश्चतः ॥</w:t>
      </w:r>
      <w:r>
        <w:t xml:space="preserve"> </w:t>
      </w:r>
      <w:r>
        <w:t xml:space="preserve">अद्य । नूनम् । च । यष्टवे ॥६॥</w:t>
      </w:r>
    </w:p>
    <w:p>
      <w:pPr>
        <w:pStyle w:val="BlockText"/>
      </w:pPr>
      <w:r>
        <w:rPr>
          <w:iCs/>
          <w:i/>
        </w:rPr>
        <w:t xml:space="preserve">vi | śrayantām | ṛta-vṛdhaḥ | dvāraḥ | devīḥ | asaścataḥ ||</w:t>
      </w:r>
      <w:r>
        <w:t xml:space="preserve"> </w:t>
      </w:r>
      <w:r>
        <w:rPr>
          <w:iCs/>
          <w:i/>
        </w:rPr>
        <w:t xml:space="preserve">adya | nūnam | ca | yaṣṭave ||6||</w:t>
      </w:r>
    </w:p>
    <w:bookmarkEnd w:id="583"/>
    <w:bookmarkStart w:id="584" w:name="X7dc081d3074ee06c528eb04861efeb93e6e4694"/>
    <w:p>
      <w:pPr>
        <w:pStyle w:val="Heading3"/>
      </w:pPr>
      <w:r>
        <w:t xml:space="preserve">Page 552 — Rik 6: Sāyaṇa-bhāṣya, word-meanings, overall sense</w:t>
      </w:r>
    </w:p>
    <w:p>
      <w:pPr>
        <w:pStyle w:val="FirstParagraph"/>
      </w:pPr>
      <w:r>
        <w:rPr>
          <w:bCs/>
          <w:b/>
        </w:rPr>
        <w:t xml:space="preserve">॥ Sāyaṇa-bhāṣyam ॥</w:t>
      </w:r>
    </w:p>
    <w:p>
      <w:pPr>
        <w:pStyle w:val="BlockText"/>
      </w:pPr>
      <w:r>
        <w:t xml:space="preserve">द्वारो यज्ञशालाद्वाराणि वि श्रयन्ताम् । कपाटोद्घाटनेन विव्रियन्ताम् । कीदृश्यः । ऋतावृध ऋतस्य सत्यस्य यज्ञस्य वा वर्धयित्र्यो देवीर्द्योतमाना असश्चतो ऽसक्ताः । उद्घाटनेन प्रवेष्टृपुरुषसङ्गरहिताः । यद्वा । असश्चतः प्रवेष्टृपुरुषरहितान्यज्ञगृहांस्तत्पुरुषप्रवेशाय द्वाराभिमानिन्य एतत्संज्ञिका अग्निविशेषमूर्तयो वि श्रयन्ताम् । विशेषेण सेवन्ताम् । द्वारसेवया तत्र पुरुषप्रवेशेन वा किं प्रयोजनमिति तदुच्यते । अद्यास्मिन्दिने नूनमवश्यं यष्टवे यष्टुम् । चकाराद्दिनान्तरेष्वपीति द्रष्टव्यम् ॥ ऋतावृधः । ऋतं वर्धयन्तीत्यर्थे वृधेरन्तर्भावितण्यर्थात्क्विप्चेति क्विप् । उपपदसमासः । अन्येषामपि दृश्यत इति पूर्वपदस्य दीर्घत्वम् । वृधिर्धातुस्वरेणोदात्तः । समासे कृदुत्तरपदप्रकृतिस्वरत्वेन स एव शिष्यते । देवीः । वा छन्दसीति पूर्वसवर्णदीर्घत्वम् । देवशब्दात्पचाद्यजन्तात्पुंयोगादाख्यायाम् । पा. ४-१-४८ । इति ङीष् । प्रत्ययस्वरेणोदात्तः । विभक्त्या सहैकादेश उदात्तेनोदात्त इत्युदात्तः । असश्चतः । ग्लुञ्चु षस्ज गतौ । जकारस्य व्यत्ययेन चकारः । लटः शत्रादेशः । द्वाराभावे न विद्यन्ते सश्चन्तो गच्छन्तो येषु प्राग्वंशादिषु तानसश्चतः । अद्य । सद्यःपरुदित्यादिना द्यप्रत्ययान्तो निपातितः । तद्धितश्चासर्वविभक्तिरित्यव्ययसंज्ञकत्वात्परस्या विभक्तेर्लुक् । प्रत्ययस्वरेणान्तोदात्तः । संहितायामन्येषामपि दृश्यत इति दीर्घत्वम् । नूनम् । एवमादीनामन्त इत्यन्तोदात्तत्वम् । यष्टवे । यजेस्तुमर्थे सेसेनित्यादिना । पा. ३-४-९ । तवेन्प्रत्ययः । व्रश्चादिना षत्वम् । नित्त्वादाद्युदात्तः ॥</w:t>
      </w:r>
    </w:p>
    <w:p>
      <w:pPr>
        <w:pStyle w:val="BlockText"/>
      </w:pPr>
      <w:r>
        <w:rPr>
          <w:iCs/>
          <w:i/>
        </w:rPr>
        <w:t xml:space="preserve">dvāro yajñaśālādvārāṇi vi śrayantām | kapāṭodghāṭanena vivriyantām | kīdṛśyaḥ | ṛtāvṛdha ṛtasya satyasya yajñasya vā vardhayitryo devīrdyotamānā asaścato ’saktāḥ | udghāṭanena praveṣṭṛpuruṣasaṅgarahitāḥ | yadvā | asaścataḥ praveṣṭṛpuruṣarahitānyajñagṛhāṃstatpuruṣapraveśāya dvārābhimāninya etatsaṃjñikā agniviśeṣamūrtayo vi śrayantām | viśeṣeṇa sevantām | dvārasevayā tatra puruṣapraveśena vā kiṃ prayojanamiti taducyate | adyāsmindine nūnamavaśyaṃ yaṣṭave yaṣṭum | cakārāddināntareṣvapīti draṣṭavyam || ṛtāvṛdhaḥ | ṛtaṃ vardhayantītyarthe vṛdherantarbhāvitaṇyarthātkvipceti kvip | upapadasamāsaḥ | anyeṣāmapi dṛśyata iti pūrvapadasya dīrghatvam | vṛdhirdhātusvareṇodāttaḥ | samāse kṛduttarapadaprakṛtisvaratvena sa eva śiṣyate | devīḥ | vā chandasīti pūrvasavarṇadīrghatvam | devaśabdātpacādyajantātpuṃyogādākhyāyām | pā. 4-1-48 | iti ṅīṣ | pratyayasvareṇodāttaḥ | vibhaktyā sahaikādeśa udāttenodātta ityudāttaḥ | asaścataḥ | gluñcu ṣasja gatau | jakārasya vyatyayena cakāraḥ | laṭaḥ śatrādeśaḥ | dvārābhāve na vidyante saścanto gacchanto yeṣu prāgvaṃśādiṣu tānasaścataḥ | adya | sadyaḥparudityādinā dyapratyayānto nipātitaḥ | taddhitaścāsarvavibhaktirityavyayasaṃjñakatvātparasyā vibhakterluk | pratyayasvareṇāntodāttaḥ | saṃhitāyāmanyeṣāmapi dṛśyata iti dīrghatvam | nūnam | evamādīnāmanta ityantodāttatvam | yaṣṭave | yajestumarthe sesenityādinā | pā. 3-4-9 | tavenpratyayaḥ | vraścādinā ṣatvam | nittvādādyudāttaḥ ||</w:t>
      </w:r>
    </w:p>
    <w:p>
      <w:pPr>
        <w:pStyle w:val="FirstParagraph"/>
      </w:pPr>
      <w:r>
        <w:rPr>
          <w:bCs/>
          <w:b/>
        </w:rPr>
        <w:t xml:space="preserve">Translation:</w:t>
      </w:r>
      <w:r>
        <w:t xml:space="preserve"> </w:t>
      </w:r>
      <w:r>
        <w:t xml:space="preserve">“</w:t>
      </w:r>
      <w:r>
        <w:t xml:space="preserve">May the</w:t>
      </w:r>
      <w:r>
        <w:t xml:space="preserve"> </w:t>
      </w:r>
      <w:r>
        <w:rPr>
          <w:iCs/>
          <w:i/>
        </w:rPr>
        <w:t xml:space="preserve">dvāraḥ</w:t>
      </w:r>
      <w:r>
        <w:t xml:space="preserve"> </w:t>
      </w:r>
      <w:r>
        <w:t xml:space="preserve">— the doors of the sacrificial hall —</w:t>
      </w:r>
      <w:r>
        <w:t xml:space="preserve"> </w:t>
      </w:r>
      <w:r>
        <w:rPr>
          <w:iCs/>
          <w:i/>
        </w:rPr>
        <w:t xml:space="preserve">vi śrayantām</w:t>
      </w:r>
      <w:r>
        <w:t xml:space="preserve">: be opened by the opening of their leaves. What kind?</w:t>
      </w:r>
      <w:r>
        <w:t xml:space="preserve"> </w:t>
      </w:r>
      <w:r>
        <w:rPr>
          <w:iCs/>
          <w:i/>
        </w:rPr>
        <w:t xml:space="preserve">Ṛtāvṛdhaḥ</w:t>
      </w:r>
      <w:r>
        <w:t xml:space="preserve"> </w:t>
      </w:r>
      <w:r>
        <w:t xml:space="preserve">— increasers of</w:t>
      </w:r>
      <w:r>
        <w:t xml:space="preserve"> </w:t>
      </w:r>
      <w:r>
        <w:rPr>
          <w:iCs/>
          <w:i/>
        </w:rPr>
        <w:t xml:space="preserve">ṛta</w:t>
      </w:r>
      <w:r>
        <w:t xml:space="preserve">, truth or the sacrifice;</w:t>
      </w:r>
      <w:r>
        <w:t xml:space="preserve"> </w:t>
      </w:r>
      <w:r>
        <w:rPr>
          <w:iCs/>
          <w:i/>
        </w:rPr>
        <w:t xml:space="preserve">devīḥ</w:t>
      </w:r>
      <w:r>
        <w:t xml:space="preserve"> </w:t>
      </w:r>
      <w:r>
        <w:t xml:space="preserve">— shining;</w:t>
      </w:r>
      <w:r>
        <w:t xml:space="preserve"> </w:t>
      </w:r>
      <w:r>
        <w:rPr>
          <w:iCs/>
          <w:i/>
        </w:rPr>
        <w:t xml:space="preserve">asaścataḥ</w:t>
      </w:r>
      <w:r>
        <w:t xml:space="preserve"> </w:t>
      </w:r>
      <w:r>
        <w:t xml:space="preserve">— unattached: by being opened, free of contact with the persons who enter. Or else: may the special forms of Agni, presiding over the doors and called by this name,</w:t>
      </w:r>
      <w:r>
        <w:t xml:space="preserve"> </w:t>
      </w:r>
      <w:r>
        <w:rPr>
          <w:iCs/>
          <w:i/>
        </w:rPr>
        <w:t xml:space="preserve">vi śrayantām</w:t>
      </w:r>
      <w:r>
        <w:t xml:space="preserve"> </w:t>
      </w:r>
      <w:r>
        <w:t xml:space="preserve">— specially serve — the sacrificial houses hitherto without persons entering, for those persons to enter. What is the purpose of serving the doors or of persons entering there? That is told:</w:t>
      </w:r>
      <w:r>
        <w:t xml:space="preserve"> </w:t>
      </w:r>
      <w:r>
        <w:rPr>
          <w:iCs/>
          <w:i/>
        </w:rPr>
        <w:t xml:space="preserve">adya</w:t>
      </w:r>
      <w:r>
        <w:t xml:space="preserve">, on this day,</w:t>
      </w:r>
      <w:r>
        <w:t xml:space="preserve"> </w:t>
      </w:r>
      <w:r>
        <w:rPr>
          <w:iCs/>
          <w:i/>
        </w:rPr>
        <w:t xml:space="preserve">nūnam</w:t>
      </w:r>
      <w:r>
        <w:t xml:space="preserve">, without fail,</w:t>
      </w:r>
      <w:r>
        <w:t xml:space="preserve"> </w:t>
      </w:r>
      <w:r>
        <w:rPr>
          <w:iCs/>
          <w:i/>
        </w:rPr>
        <w:t xml:space="preserve">yaṣṭave</w:t>
      </w:r>
      <w:r>
        <w:t xml:space="preserve">, to sacrifice; from the word</w:t>
      </w:r>
      <w:r>
        <w:t xml:space="preserve"> </w:t>
      </w:r>
      <w:r>
        <w:rPr>
          <w:iCs/>
          <w:i/>
        </w:rPr>
        <w:t xml:space="preserve">ca</w:t>
      </w:r>
      <w:r>
        <w:t xml:space="preserve">, on other days too, it is to be understood.</w:t>
      </w:r>
      <w:r>
        <w:t xml:space="preserve">”</w:t>
      </w:r>
      <w:r>
        <w:t xml:space="preserve"> </w:t>
      </w:r>
      <w:r>
        <w:t xml:space="preserve">(Grammatical tail:</w:t>
      </w:r>
      <w:r>
        <w:t xml:space="preserve"> </w:t>
      </w:r>
      <w:r>
        <w:rPr>
          <w:iCs/>
          <w:i/>
        </w:rPr>
        <w:t xml:space="preserve">ṛtāvṛdhaḥ</w:t>
      </w:r>
      <w:r>
        <w:t xml:space="preserve"> </w:t>
      </w:r>
      <w:r>
        <w:t xml:space="preserve">—</w:t>
      </w:r>
      <w:r>
        <w:t xml:space="preserve"> </w:t>
      </w:r>
      <w:r>
        <w:t xml:space="preserve">“</w:t>
      </w:r>
      <w:r>
        <w:t xml:space="preserve">they increase</w:t>
      </w:r>
      <w:r>
        <w:t xml:space="preserve"> </w:t>
      </w:r>
      <w:r>
        <w:rPr>
          <w:iCs/>
          <w:i/>
        </w:rPr>
        <w:t xml:space="preserve">ṛta</w:t>
      </w:r>
      <w:r>
        <w:t xml:space="preserve">”</w:t>
      </w:r>
      <w:r>
        <w:t xml:space="preserve">:</w:t>
      </w:r>
      <w:r>
        <w:t xml:space="preserve"> </w:t>
      </w:r>
      <w:r>
        <w:rPr>
          <w:iCs/>
          <w:i/>
        </w:rPr>
        <w:t xml:space="preserve">kvip</w:t>
      </w:r>
      <w:r>
        <w:t xml:space="preserve"> </w:t>
      </w:r>
      <w:r>
        <w:t xml:space="preserve">after</w:t>
      </w:r>
      <w:r>
        <w:t xml:space="preserve"> </w:t>
      </w:r>
      <w:r>
        <w:rPr>
          <w:iCs/>
          <w:i/>
        </w:rPr>
        <w:t xml:space="preserve">vṛdh</w:t>
      </w:r>
      <w:r>
        <w:t xml:space="preserve"> </w:t>
      </w:r>
      <w:r>
        <w:t xml:space="preserve">with the causative sense included, by</w:t>
      </w:r>
      <w:r>
        <w:t xml:space="preserve"> </w:t>
      </w:r>
      <w:r>
        <w:t xml:space="preserve">“</w:t>
      </w:r>
      <w:r>
        <w:t xml:space="preserve">kvip ca</w:t>
      </w:r>
      <w:r>
        <w:t xml:space="preserve">”</w:t>
      </w:r>
      <w:r>
        <w:t xml:space="preserve">; an</w:t>
      </w:r>
      <w:r>
        <w:t xml:space="preserve"> </w:t>
      </w:r>
      <w:r>
        <w:rPr>
          <w:iCs/>
          <w:i/>
        </w:rPr>
        <w:t xml:space="preserve">upapada</w:t>
      </w:r>
      <w:r>
        <w:t xml:space="preserve"> </w:t>
      </w:r>
      <w:r>
        <w:t xml:space="preserve">compound; the first member lengthened by</w:t>
      </w:r>
      <w:r>
        <w:t xml:space="preserve"> </w:t>
      </w:r>
      <w:r>
        <w:t xml:space="preserve">“</w:t>
      </w:r>
      <w:r>
        <w:t xml:space="preserve">anyeṣām api dṛśyate</w:t>
      </w:r>
      <w:r>
        <w:t xml:space="preserve">”</w:t>
      </w:r>
      <w:r>
        <w:t xml:space="preserve">;</w:t>
      </w:r>
      <w:r>
        <w:t xml:space="preserve"> </w:t>
      </w:r>
      <w:r>
        <w:rPr>
          <w:iCs/>
          <w:i/>
        </w:rPr>
        <w:t xml:space="preserve">vṛdh</w:t>
      </w:r>
      <w:r>
        <w:t xml:space="preserve"> </w:t>
      </w:r>
      <w:r>
        <w:t xml:space="preserve">udātta by the root accent, which alone remains in the compound as the</w:t>
      </w:r>
      <w:r>
        <w:t xml:space="preserve"> </w:t>
      </w:r>
      <w:r>
        <w:rPr>
          <w:iCs/>
          <w:i/>
        </w:rPr>
        <w:t xml:space="preserve">kṛt</w:t>
      </w:r>
      <w:r>
        <w:t xml:space="preserve"> </w:t>
      </w:r>
      <w:r>
        <w:t xml:space="preserve">second member’s accent;</w:t>
      </w:r>
      <w:r>
        <w:t xml:space="preserve"> </w:t>
      </w:r>
      <w:r>
        <w:rPr>
          <w:iCs/>
          <w:i/>
        </w:rPr>
        <w:t xml:space="preserve">devīḥ</w:t>
      </w:r>
      <w:r>
        <w:t xml:space="preserve"> </w:t>
      </w:r>
      <w:r>
        <w:t xml:space="preserve">—</w:t>
      </w:r>
      <w:r>
        <w:t xml:space="preserve"> </w:t>
      </w:r>
      <w:r>
        <w:rPr>
          <w:iCs/>
          <w:i/>
        </w:rPr>
        <w:t xml:space="preserve">pūrvasavarṇa</w:t>
      </w:r>
      <w:r>
        <w:t xml:space="preserve"> </w:t>
      </w:r>
      <w:r>
        <w:t xml:space="preserve">lengthening by</w:t>
      </w:r>
      <w:r>
        <w:t xml:space="preserve"> </w:t>
      </w:r>
      <w:r>
        <w:t xml:space="preserve">“</w:t>
      </w:r>
      <w:r>
        <w:t xml:space="preserve">vā chandasi</w:t>
      </w:r>
      <w:r>
        <w:t xml:space="preserve">”</w:t>
      </w:r>
      <w:r>
        <w:t xml:space="preserve">;</w:t>
      </w:r>
      <w:r>
        <w:t xml:space="preserve"> </w:t>
      </w:r>
      <w:r>
        <w:rPr>
          <w:iCs/>
          <w:i/>
        </w:rPr>
        <w:t xml:space="preserve">ṅīṣ</w:t>
      </w:r>
      <w:r>
        <w:t xml:space="preserve"> </w:t>
      </w:r>
      <w:r>
        <w:t xml:space="preserve">after</w:t>
      </w:r>
      <w:r>
        <w:t xml:space="preserve"> </w:t>
      </w:r>
      <w:r>
        <w:rPr>
          <w:iCs/>
          <w:i/>
        </w:rPr>
        <w:t xml:space="preserve">deva</w:t>
      </w:r>
      <w:r>
        <w:t xml:space="preserve">, an</w:t>
      </w:r>
      <w:r>
        <w:t xml:space="preserve"> </w:t>
      </w:r>
      <w:r>
        <w:rPr>
          <w:iCs/>
          <w:i/>
        </w:rPr>
        <w:t xml:space="preserve">ac</w:t>
      </w:r>
      <w:r>
        <w:t xml:space="preserve">-ending of the</w:t>
      </w:r>
      <w:r>
        <w:t xml:space="preserve"> </w:t>
      </w:r>
      <w:r>
        <w:rPr>
          <w:iCs/>
          <w:i/>
        </w:rPr>
        <w:t xml:space="preserve">pacādi</w:t>
      </w:r>
      <w:r>
        <w:t xml:space="preserve">, by</w:t>
      </w:r>
      <w:r>
        <w:t xml:space="preserve"> </w:t>
      </w:r>
      <w:r>
        <w:t xml:space="preserve">“</w:t>
      </w:r>
      <w:r>
        <w:t xml:space="preserve">puṃyogād ākhyāyām</w:t>
      </w:r>
      <w:r>
        <w:t xml:space="preserve">”</w:t>
      </w:r>
      <w:r>
        <w:t xml:space="preserve"> </w:t>
      </w:r>
      <w:r>
        <w:t xml:space="preserve">(Pā. 4-1-48); udātta by the suffix accent, and the single substitute with the case ending udātta by</w:t>
      </w:r>
      <w:r>
        <w:t xml:space="preserve"> </w:t>
      </w:r>
      <w:r>
        <w:t xml:space="preserve">“</w:t>
      </w:r>
      <w:r>
        <w:t xml:space="preserve">ekādeśa udāttenodāttaḥ</w:t>
      </w:r>
      <w:r>
        <w:t xml:space="preserve">”</w:t>
      </w:r>
      <w:r>
        <w:t xml:space="preserve">;</w:t>
      </w:r>
      <w:r>
        <w:t xml:space="preserve"> </w:t>
      </w:r>
      <w:r>
        <w:rPr>
          <w:iCs/>
          <w:i/>
        </w:rPr>
        <w:t xml:space="preserve">asaścataḥ</w:t>
      </w:r>
      <w:r>
        <w:t xml:space="preserve"> </w:t>
      </w:r>
      <w:r>
        <w:t xml:space="preserve">— from</w:t>
      </w:r>
      <w:r>
        <w:t xml:space="preserve"> </w:t>
      </w:r>
      <w:r>
        <w:rPr>
          <w:iCs/>
          <w:i/>
        </w:rPr>
        <w:t xml:space="preserve">gluñcu ṣasja gatau</w:t>
      </w:r>
      <w:r>
        <w:t xml:space="preserve">,</w:t>
      </w:r>
      <w:r>
        <w:t xml:space="preserve"> </w:t>
      </w:r>
      <w:r>
        <w:rPr>
          <w:iCs/>
          <w:i/>
        </w:rPr>
        <w:t xml:space="preserve">c</w:t>
      </w:r>
      <w:r>
        <w:t xml:space="preserve"> </w:t>
      </w:r>
      <w:r>
        <w:t xml:space="preserve">for the</w:t>
      </w:r>
      <w:r>
        <w:t xml:space="preserve"> </w:t>
      </w:r>
      <w:r>
        <w:rPr>
          <w:iCs/>
          <w:i/>
        </w:rPr>
        <w:t xml:space="preserve">j</w:t>
      </w:r>
      <w:r>
        <w:t xml:space="preserve"> </w:t>
      </w:r>
      <w:r>
        <w:t xml:space="preserve">by exception,</w:t>
      </w:r>
      <w:r>
        <w:t xml:space="preserve"> </w:t>
      </w:r>
      <w:r>
        <w:rPr>
          <w:iCs/>
          <w:i/>
        </w:rPr>
        <w:t xml:space="preserve">śatṛ</w:t>
      </w:r>
      <w:r>
        <w:t xml:space="preserve"> </w:t>
      </w:r>
      <w:r>
        <w:t xml:space="preserve">for</w:t>
      </w:r>
      <w:r>
        <w:t xml:space="preserve"> </w:t>
      </w:r>
      <w:r>
        <w:rPr>
          <w:iCs/>
          <w:i/>
        </w:rPr>
        <w:t xml:space="preserve">laṭ</w:t>
      </w:r>
      <w:r>
        <w:t xml:space="preserve">:</w:t>
      </w:r>
      <w:r>
        <w:t xml:space="preserve"> </w:t>
      </w:r>
      <w:r>
        <w:t xml:space="preserve">“</w:t>
      </w:r>
      <w:r>
        <w:t xml:space="preserve">those in which there are no goers, as the</w:t>
      </w:r>
      <w:r>
        <w:t xml:space="preserve"> </w:t>
      </w:r>
      <w:r>
        <w:rPr>
          <w:iCs/>
          <w:i/>
        </w:rPr>
        <w:t xml:space="preserve">prāgvaṃśa</w:t>
      </w:r>
      <w:r>
        <w:t xml:space="preserve"> </w:t>
      </w:r>
      <w:r>
        <w:t xml:space="preserve">and other [halls] in the absence of doors</w:t>
      </w:r>
      <w:r>
        <w:t xml:space="preserve">”</w:t>
      </w:r>
      <w:r>
        <w:t xml:space="preserve">;</w:t>
      </w:r>
      <w:r>
        <w:t xml:space="preserve"> </w:t>
      </w:r>
      <w:r>
        <w:rPr>
          <w:iCs/>
          <w:i/>
        </w:rPr>
        <w:t xml:space="preserve">adya</w:t>
      </w:r>
      <w:r>
        <w:t xml:space="preserve"> </w:t>
      </w:r>
      <w:r>
        <w:t xml:space="preserve">— formed irregularly with</w:t>
      </w:r>
      <w:r>
        <w:t xml:space="preserve"> </w:t>
      </w:r>
      <w:r>
        <w:rPr>
          <w:iCs/>
          <w:i/>
        </w:rPr>
        <w:t xml:space="preserve">dya</w:t>
      </w:r>
      <w:r>
        <w:t xml:space="preserve"> </w:t>
      </w:r>
      <w:r>
        <w:t xml:space="preserve">by</w:t>
      </w:r>
      <w:r>
        <w:t xml:space="preserve"> </w:t>
      </w:r>
      <w:r>
        <w:t xml:space="preserve">“</w:t>
      </w:r>
      <w:r>
        <w:t xml:space="preserve">sadyaḥ-parut…</w:t>
      </w:r>
      <w:r>
        <w:t xml:space="preserve">”</w:t>
      </w:r>
      <w:r>
        <w:t xml:space="preserve">, an indeclinable by</w:t>
      </w:r>
      <w:r>
        <w:t xml:space="preserve"> </w:t>
      </w:r>
      <w:r>
        <w:t xml:space="preserve">“</w:t>
      </w:r>
      <w:r>
        <w:t xml:space="preserve">taddhitaś cāsarvavibhaktiḥ</w:t>
      </w:r>
      <w:r>
        <w:t xml:space="preserve">”</w:t>
      </w:r>
      <w:r>
        <w:t xml:space="preserve">, so the ending after it is dropped, final-udātta, lengthened in the Saṃhitā;</w:t>
      </w:r>
      <w:r>
        <w:t xml:space="preserve"> </w:t>
      </w:r>
      <w:r>
        <w:rPr>
          <w:iCs/>
          <w:i/>
        </w:rPr>
        <w:t xml:space="preserve">nūnam</w:t>
      </w:r>
      <w:r>
        <w:t xml:space="preserve"> </w:t>
      </w:r>
      <w:r>
        <w:t xml:space="preserve">— final-udātta by</w:t>
      </w:r>
      <w:r>
        <w:t xml:space="preserve"> </w:t>
      </w:r>
      <w:r>
        <w:t xml:space="preserve">“</w:t>
      </w:r>
      <w:r>
        <w:t xml:space="preserve">evamādīnām antaḥ</w:t>
      </w:r>
      <w:r>
        <w:t xml:space="preserve">”</w:t>
      </w:r>
      <w:r>
        <w:t xml:space="preserve">;</w:t>
      </w:r>
      <w:r>
        <w:t xml:space="preserve"> </w:t>
      </w:r>
      <w:r>
        <w:rPr>
          <w:iCs/>
          <w:i/>
        </w:rPr>
        <w:t xml:space="preserve">yaṣṭave</w:t>
      </w:r>
      <w:r>
        <w:t xml:space="preserve"> </w:t>
      </w:r>
      <w:r>
        <w:t xml:space="preserve">—</w:t>
      </w:r>
      <w:r>
        <w:t xml:space="preserve"> </w:t>
      </w:r>
      <w:r>
        <w:rPr>
          <w:iCs/>
          <w:i/>
        </w:rPr>
        <w:t xml:space="preserve">taven</w:t>
      </w:r>
      <w:r>
        <w:t xml:space="preserve"> </w:t>
      </w:r>
      <w:r>
        <w:t xml:space="preserve">in the sense of</w:t>
      </w:r>
      <w:r>
        <w:t xml:space="preserve"> </w:t>
      </w:r>
      <w:r>
        <w:rPr>
          <w:iCs/>
          <w:i/>
        </w:rPr>
        <w:t xml:space="preserve">tumun</w:t>
      </w:r>
      <w:r>
        <w:t xml:space="preserve"> </w:t>
      </w:r>
      <w:r>
        <w:t xml:space="preserve">by</w:t>
      </w:r>
      <w:r>
        <w:t xml:space="preserve"> </w:t>
      </w:r>
      <w:r>
        <w:t xml:space="preserve">“</w:t>
      </w:r>
      <w:r>
        <w:t xml:space="preserve">se-sen…</w:t>
      </w:r>
      <w:r>
        <w:t xml:space="preserve">”</w:t>
      </w:r>
      <w:r>
        <w:t xml:space="preserve"> </w:t>
      </w:r>
      <w:r>
        <w:t xml:space="preserve">(Pā. 3-4-9),</w:t>
      </w:r>
      <w:r>
        <w:t xml:space="preserve"> </w:t>
      </w:r>
      <w:r>
        <w:rPr>
          <w:iCs/>
          <w:i/>
        </w:rPr>
        <w:t xml:space="preserve">ṣ</w:t>
      </w:r>
      <w:r>
        <w:t xml:space="preserve"> </w:t>
      </w:r>
      <w:r>
        <w:t xml:space="preserve">by</w:t>
      </w:r>
      <w:r>
        <w:t xml:space="preserve"> </w:t>
      </w:r>
      <w:r>
        <w:t xml:space="preserve">“</w:t>
      </w:r>
      <w:r>
        <w:t xml:space="preserve">vraśca…</w:t>
      </w:r>
      <w:r>
        <w:t xml:space="preserve">”</w:t>
      </w:r>
      <w:r>
        <w:t xml:space="preserve">, initial-udātta as</w:t>
      </w:r>
      <w:r>
        <w:t xml:space="preserve"> </w:t>
      </w:r>
      <w:r>
        <w:rPr>
          <w:iCs/>
          <w:i/>
        </w:rPr>
        <w:t xml:space="preserve">nit</w:t>
      </w:r>
      <w:r>
        <w:t xml:space="preserve">.)</w:t>
      </w:r>
    </w:p>
    <w:p>
      <w:pPr>
        <w:pStyle w:val="BodyText"/>
      </w:pPr>
      <w:r>
        <w:rPr>
          <w:bCs/>
          <w:b/>
        </w:rPr>
        <w:t xml:space="preserve">॥ Prati-padārthaḥ ॥</w:t>
      </w:r>
    </w:p>
    <w:p>
      <w:pPr>
        <w:pStyle w:val="BodyText"/>
      </w:pPr>
      <w:r>
        <w:rPr>
          <w:bCs/>
          <w:b/>
        </w:rPr>
        <w:t xml:space="preserve">अद्य (adya)</w:t>
      </w:r>
      <w:r>
        <w:t xml:space="preserve"> </w:t>
      </w:r>
      <w:r>
        <w:t xml:space="preserve">— today (now itself) |</w:t>
      </w:r>
      <w:r>
        <w:t xml:space="preserve"> </w:t>
      </w:r>
      <w:r>
        <w:rPr>
          <w:bCs/>
          <w:b/>
        </w:rPr>
        <w:t xml:space="preserve">नूनम् (nūnam)</w:t>
      </w:r>
      <w:r>
        <w:t xml:space="preserve"> </w:t>
      </w:r>
      <w:r>
        <w:t xml:space="preserve">— certainly |</w:t>
      </w:r>
      <w:r>
        <w:t xml:space="preserve"> </w:t>
      </w:r>
      <w:r>
        <w:rPr>
          <w:bCs/>
          <w:b/>
        </w:rPr>
        <w:t xml:space="preserve">यष्टवे च (yaṣṭave ca)</w:t>
      </w:r>
      <w:r>
        <w:t xml:space="preserve"> </w:t>
      </w:r>
      <w:r>
        <w:t xml:space="preserve">— in order that [we] may perform the sacrifice |</w:t>
      </w:r>
      <w:r>
        <w:t xml:space="preserve"> </w:t>
      </w:r>
      <w:r>
        <w:rPr>
          <w:bCs/>
          <w:b/>
        </w:rPr>
        <w:t xml:space="preserve">ऋतावृधः (ṛtāvṛdhaḥ)</w:t>
      </w:r>
      <w:r>
        <w:t xml:space="preserve"> </w:t>
      </w:r>
      <w:r>
        <w:t xml:space="preserve">— helping the sacrifice to go forward |</w:t>
      </w:r>
      <w:r>
        <w:t xml:space="preserve"> </w:t>
      </w:r>
      <w:r>
        <w:rPr>
          <w:bCs/>
          <w:b/>
        </w:rPr>
        <w:t xml:space="preserve">देवीः (devīḥ)</w:t>
      </w:r>
      <w:r>
        <w:t xml:space="preserve"> </w:t>
      </w:r>
      <w:r>
        <w:t xml:space="preserve">— shining (making light) |</w:t>
      </w:r>
      <w:r>
        <w:t xml:space="preserve"> </w:t>
      </w:r>
      <w:r>
        <w:rPr>
          <w:bCs/>
          <w:b/>
        </w:rPr>
        <w:t xml:space="preserve">असश्चतः (asaścataḥ)</w:t>
      </w:r>
      <w:r>
        <w:t xml:space="preserve"> </w:t>
      </w:r>
      <w:r>
        <w:t xml:space="preserve">— free of contact, that is, entered by no one until now |</w:t>
      </w:r>
      <w:r>
        <w:t xml:space="preserve"> </w:t>
      </w:r>
      <w:r>
        <w:rPr>
          <w:bCs/>
          <w:b/>
        </w:rPr>
        <w:t xml:space="preserve">द्वारः (dvāraḥ)</w:t>
      </w:r>
      <w:r>
        <w:t xml:space="preserve"> </w:t>
      </w:r>
      <w:r>
        <w:t xml:space="preserve">— the doors (gates) of the sacrificial hall |</w:t>
      </w:r>
      <w:r>
        <w:t xml:space="preserve"> </w:t>
      </w:r>
      <w:r>
        <w:rPr>
          <w:bCs/>
          <w:b/>
        </w:rPr>
        <w:t xml:space="preserve">वि श्रयन्ताम् (vi śrayantām)</w:t>
      </w:r>
      <w:r>
        <w:t xml:space="preserve"> </w:t>
      </w:r>
      <w:r>
        <w:t xml:space="preserve">— be opened.</w:t>
      </w:r>
    </w:p>
    <w:p>
      <w:pPr>
        <w:pStyle w:val="BodyText"/>
      </w:pPr>
      <w:r>
        <w:rPr>
          <w:bCs/>
          <w:b/>
        </w:rPr>
        <w:t xml:space="preserve">॥ Bhāvārthaḥ ॥</w:t>
      </w:r>
    </w:p>
    <w:p>
      <w:pPr>
        <w:pStyle w:val="BodyText"/>
      </w:pPr>
      <w:r>
        <w:t xml:space="preserve">The doors of the sacrificial hall make it well lit and help the sacrifice go forward. Until now (that is, today) no one has entered this sacrificial hall. May such doors of the sacrificial hall be opened now, without delay, for the sacrifice we perform.</w:t>
      </w:r>
    </w:p>
    <w:bookmarkEnd w:id="584"/>
    <w:bookmarkStart w:id="585" w:name="page-553-rik-6-english-special-topics"/>
    <w:p>
      <w:pPr>
        <w:pStyle w:val="Heading3"/>
      </w:pPr>
      <w:r>
        <w:t xml:space="preserve">Page 553 — Rik 6: English, Special Topics</w:t>
      </w:r>
    </w:p>
    <w:p>
      <w:pPr>
        <w:pStyle w:val="FirstParagraph"/>
      </w:pPr>
      <w:r>
        <w:rPr>
          <w:bCs/>
          <w:b/>
        </w:rPr>
        <w:t xml:space="preserve">॥ English Translation ॥</w:t>
      </w:r>
      <w:r>
        <w:t xml:space="preserve"> </w:t>
      </w:r>
      <w:r>
        <w:rPr>
          <w:iCs/>
          <w:i/>
        </w:rPr>
        <w:t xml:space="preserve">(as printed in the source)</w:t>
      </w:r>
    </w:p>
    <w:p>
      <w:pPr>
        <w:pStyle w:val="BlockText"/>
      </w:pPr>
      <w:r>
        <w:t xml:space="preserve">Let the divine doors, the promoters of the sacred rite, hitherto unentered be set open; for certainly to-day the sacrifice is to be performed.</w:t>
      </w:r>
    </w:p>
    <w:p>
      <w:pPr>
        <w:pStyle w:val="FirstParagraph"/>
      </w:pPr>
      <w:r>
        <w:rPr>
          <w:bCs/>
          <w:b/>
        </w:rPr>
        <w:t xml:space="preserve">॥ Viśeṣa-viṣayagaḷu (Special Topics) ॥</w:t>
      </w:r>
    </w:p>
    <w:p>
      <w:pPr>
        <w:pStyle w:val="BodyText"/>
      </w:pPr>
      <w:r>
        <w:t xml:space="preserve">When entering the sacrificial hall the sacrificer and the priests pray to the doors of the hall. Although all the riks of this sūkta are addressed to Agni, in this rik</w:t>
      </w:r>
      <w:r>
        <w:t xml:space="preserve"> </w:t>
      </w:r>
      <w:r>
        <w:rPr>
          <w:iCs/>
          <w:i/>
        </w:rPr>
        <w:t xml:space="preserve">devīr dvāraḥ</w:t>
      </w:r>
      <w:r>
        <w:t xml:space="preserve"> </w:t>
      </w:r>
      <w:r>
        <w:t xml:space="preserve">—</w:t>
      </w:r>
      <w:r>
        <w:t xml:space="preserve"> </w:t>
      </w:r>
      <w:r>
        <w:t xml:space="preserve">“</w:t>
      </w:r>
      <w:r>
        <w:t xml:space="preserve">the divine doors</w:t>
      </w:r>
      <w:r>
        <w:t xml:space="preserve">”</w:t>
      </w:r>
      <w:r>
        <w:t xml:space="preserve"> </w:t>
      </w:r>
      <w:r>
        <w:t xml:space="preserve">— the door-deities (that is, the deities who preside over the doors) are prayed to. Yāska’s explanation:</w:t>
      </w:r>
    </w:p>
    <w:p>
      <w:pPr>
        <w:pStyle w:val="BlockText"/>
      </w:pPr>
      <w:r>
        <w:t xml:space="preserve">द्वारः । द्वारो जवतेर्वा द्रवतेर्वा वारयतेर्वा ॥</w:t>
      </w:r>
      <w:r>
        <w:t xml:space="preserve"> </w:t>
      </w:r>
      <w:r>
        <w:t xml:space="preserve">अग्निरिति शाकपूणिः ॥</w:t>
      </w:r>
    </w:p>
    <w:p>
      <w:pPr>
        <w:pStyle w:val="BlockText"/>
      </w:pPr>
      <w:r>
        <w:rPr>
          <w:iCs/>
          <w:i/>
        </w:rPr>
        <w:t xml:space="preserve">dvāraḥ | dvāro javatervā dravatervā vārayatervā ||</w:t>
      </w:r>
      <w:r>
        <w:t xml:space="preserve"> </w:t>
      </w:r>
      <w:r>
        <w:rPr>
          <w:iCs/>
          <w:i/>
        </w:rPr>
        <w:t xml:space="preserve">agniriti śākapūṇiḥ ||</w:t>
      </w:r>
    </w:p>
    <w:p>
      <w:pPr>
        <w:pStyle w:val="FirstParagraph"/>
      </w:pPr>
      <w:r>
        <w:rPr>
          <w:iCs/>
          <w:i/>
        </w:rPr>
        <w:t xml:space="preserve">Dvāra</w:t>
      </w:r>
      <w:r>
        <w:t xml:space="preserve"> </w:t>
      </w:r>
      <w:r>
        <w:t xml:space="preserve">is that by which one enters, goes inside, or that which stops one going inside; so it is called</w:t>
      </w:r>
      <w:r>
        <w:t xml:space="preserve"> </w:t>
      </w:r>
      <w:r>
        <w:rPr>
          <w:iCs/>
          <w:i/>
        </w:rPr>
        <w:t xml:space="preserve">dvāra</w:t>
      </w:r>
      <w:r>
        <w:t xml:space="preserve">. Śākapūṇi’s view is that</w:t>
      </w:r>
      <w:r>
        <w:t xml:space="preserve"> </w:t>
      </w:r>
      <w:r>
        <w:rPr>
          <w:iCs/>
          <w:i/>
        </w:rPr>
        <w:t xml:space="preserve">dvāra</w:t>
      </w:r>
      <w:r>
        <w:t xml:space="preserve"> </w:t>
      </w:r>
      <w:r>
        <w:t xml:space="preserve">is Agni: since Agni is the form in which the</w:t>
      </w:r>
      <w:r>
        <w:t xml:space="preserve"> </w:t>
      </w:r>
      <w:r>
        <w:rPr>
          <w:iCs/>
          <w:i/>
        </w:rPr>
        <w:t xml:space="preserve">homa</w:t>
      </w:r>
      <w:r>
        <w:t xml:space="preserve"> </w:t>
      </w:r>
      <w:r>
        <w:t xml:space="preserve">is made, the doors of the</w:t>
      </w:r>
      <w:r>
        <w:t xml:space="preserve"> </w:t>
      </w:r>
      <w:r>
        <w:rPr>
          <w:iCs/>
          <w:i/>
        </w:rPr>
        <w:t xml:space="preserve">homa</w:t>
      </w:r>
      <w:r>
        <w:t xml:space="preserve">-chamber are also called</w:t>
      </w:r>
      <w:r>
        <w:t xml:space="preserve"> </w:t>
      </w:r>
      <w:r>
        <w:t xml:space="preserve">“</w:t>
      </w:r>
      <w:r>
        <w:t xml:space="preserve">special forms of Agni.</w:t>
      </w:r>
      <w:r>
        <w:t xml:space="preserve">”</w:t>
      </w:r>
      <w:r>
        <w:t xml:space="preserve"> </w:t>
      </w:r>
      <w:r>
        <w:rPr>
          <w:iCs/>
          <w:i/>
        </w:rPr>
        <w:t xml:space="preserve">The doors of the chamber in which the oblation is offered, said to be personifications of Agni</w:t>
      </w:r>
      <w:r>
        <w:t xml:space="preserve"> </w:t>
      </w:r>
      <w:r>
        <w:t xml:space="preserve">[the source’s English].</w:t>
      </w:r>
    </w:p>
    <w:p>
      <w:pPr>
        <w:pStyle w:val="BodyText"/>
      </w:pPr>
      <w:r>
        <w:rPr>
          <w:bCs/>
          <w:b/>
        </w:rPr>
        <w:t xml:space="preserve">“</w:t>
      </w:r>
      <w:r>
        <w:rPr>
          <w:bCs/>
          <w:b/>
        </w:rPr>
        <w:t xml:space="preserve">Viśrayantām</w:t>
      </w:r>
      <w:r>
        <w:rPr>
          <w:bCs/>
          <w:b/>
        </w:rPr>
        <w:t xml:space="preserve">”</w:t>
      </w:r>
      <w:r>
        <w:t xml:space="preserve"> </w:t>
      </w:r>
      <w:r>
        <w:t xml:space="preserve">—</w:t>
      </w:r>
      <w:r>
        <w:t xml:space="preserve"> </w:t>
      </w:r>
      <w:r>
        <w:rPr>
          <w:iCs/>
          <w:i/>
        </w:rPr>
        <w:t xml:space="preserve">kapāṭodghāṭanena vivriyantām | vivṛtā bhavantu</w:t>
      </w:r>
      <w:r>
        <w:t xml:space="preserve">: let the doors be opened well.</w:t>
      </w:r>
    </w:p>
    <w:p>
      <w:pPr>
        <w:pStyle w:val="BodyText"/>
      </w:pPr>
      <w:r>
        <w:rPr>
          <w:bCs/>
          <w:b/>
        </w:rPr>
        <w:t xml:space="preserve">“</w:t>
      </w:r>
      <w:r>
        <w:rPr>
          <w:bCs/>
          <w:b/>
        </w:rPr>
        <w:t xml:space="preserve">Ṛtāvṛdhaḥ</w:t>
      </w:r>
      <w:r>
        <w:rPr>
          <w:bCs/>
          <w:b/>
        </w:rPr>
        <w:t xml:space="preserve">”</w:t>
      </w:r>
      <w:r>
        <w:t xml:space="preserve"> </w:t>
      </w:r>
      <w:r>
        <w:t xml:space="preserve">—</w:t>
      </w:r>
      <w:r>
        <w:t xml:space="preserve"> </w:t>
      </w:r>
      <w:r>
        <w:rPr>
          <w:iCs/>
          <w:i/>
        </w:rPr>
        <w:t xml:space="preserve">ṛtaṃ (yajñaṃ) vardhayantīti ṛtāvṛdhaḥ</w:t>
      </w:r>
      <w:r>
        <w:t xml:space="preserve">: helpful for the sacrifice to go forward — that is, by [letting one] enter the sacrificial hall, they help to carry out the</w:t>
      </w:r>
      <w:r>
        <w:t xml:space="preserve"> </w:t>
      </w:r>
      <w:r>
        <w:rPr>
          <w:iCs/>
          <w:i/>
        </w:rPr>
        <w:t xml:space="preserve">homa</w:t>
      </w:r>
      <w:r>
        <w:t xml:space="preserve"> </w:t>
      </w:r>
      <w:r>
        <w:t xml:space="preserve">and the other acts to be done in the sacrifice.</w:t>
      </w:r>
    </w:p>
    <w:p>
      <w:pPr>
        <w:pStyle w:val="BodyText"/>
      </w:pPr>
      <w:r>
        <w:rPr>
          <w:bCs/>
          <w:b/>
        </w:rPr>
        <w:t xml:space="preserve">“</w:t>
      </w:r>
      <w:r>
        <w:rPr>
          <w:bCs/>
          <w:b/>
        </w:rPr>
        <w:t xml:space="preserve">Devīḥ</w:t>
      </w:r>
      <w:r>
        <w:rPr>
          <w:bCs/>
          <w:b/>
        </w:rPr>
        <w:t xml:space="preserve">”</w:t>
      </w:r>
      <w:r>
        <w:t xml:space="preserve"> </w:t>
      </w:r>
      <w:r>
        <w:t xml:space="preserve">—</w:t>
      </w:r>
      <w:r>
        <w:t xml:space="preserve"> </w:t>
      </w:r>
      <w:r>
        <w:rPr>
          <w:iCs/>
          <w:i/>
        </w:rPr>
        <w:t xml:space="preserve">dyotamānāḥ</w:t>
      </w:r>
      <w:r>
        <w:t xml:space="preserve">:</w:t>
      </w:r>
      <w:r>
        <w:t xml:space="preserve"> </w:t>
      </w:r>
      <w:r>
        <w:t xml:space="preserve">“</w:t>
      </w:r>
      <w:r>
        <w:t xml:space="preserve">shining, making light well</w:t>
      </w:r>
      <w:r>
        <w:t xml:space="preserve">”</w:t>
      </w:r>
      <w:r>
        <w:t xml:space="preserve">: when the door is opened, light naturally fills the room. Whether the word</w:t>
      </w:r>
      <w:r>
        <w:t xml:space="preserve"> </w:t>
      </w:r>
      <w:r>
        <w:rPr>
          <w:iCs/>
          <w:i/>
        </w:rPr>
        <w:t xml:space="preserve">devīḥ</w:t>
      </w:r>
      <w:r>
        <w:t xml:space="preserve"> </w:t>
      </w:r>
      <w:r>
        <w:t xml:space="preserve">is understood as an adjective of</w:t>
      </w:r>
      <w:r>
        <w:t xml:space="preserve"> </w:t>
      </w:r>
      <w:r>
        <w:rPr>
          <w:iCs/>
          <w:i/>
        </w:rPr>
        <w:t xml:space="preserve">dvāraḥ</w:t>
      </w:r>
      <w:r>
        <w:t xml:space="preserve">, or both words are taken in the sense</w:t>
      </w:r>
      <w:r>
        <w:t xml:space="preserve"> </w:t>
      </w:r>
      <w:r>
        <w:t xml:space="preserve">“</w:t>
      </w:r>
      <w:r>
        <w:t xml:space="preserve">the deities presiding over the doors,</w:t>
      </w:r>
      <w:r>
        <w:t xml:space="preserve">”</w:t>
      </w:r>
      <w:r>
        <w:t xml:space="preserve"> </w:t>
      </w:r>
      <w:r>
        <w:t xml:space="preserve">either use is possible; for in the Anukramaṇikā the deity of this rik is named</w:t>
      </w:r>
      <w:r>
        <w:t xml:space="preserve"> </w:t>
      </w:r>
      <w:r>
        <w:rPr>
          <w:iCs/>
          <w:i/>
        </w:rPr>
        <w:t xml:space="preserve">devīr dvāraḥ</w:t>
      </w:r>
      <w:r>
        <w:t xml:space="preserve">.</w:t>
      </w:r>
    </w:p>
    <w:bookmarkEnd w:id="585"/>
    <w:bookmarkStart w:id="586" w:name="Xea591729354a7bcb00b919545842ef1c8c91def"/>
    <w:p>
      <w:pPr>
        <w:pStyle w:val="Heading3"/>
      </w:pPr>
      <w:r>
        <w:t xml:space="preserve">Page 554 — Rik 6: Special Topics (continued) and grammar</w:t>
      </w:r>
    </w:p>
    <w:p>
      <w:pPr>
        <w:pStyle w:val="FirstParagraph"/>
      </w:pPr>
      <w:r>
        <w:rPr>
          <w:bCs/>
          <w:b/>
        </w:rPr>
        <w:t xml:space="preserve">“</w:t>
      </w:r>
      <w:r>
        <w:rPr>
          <w:bCs/>
          <w:b/>
        </w:rPr>
        <w:t xml:space="preserve">Asaścataḥ</w:t>
      </w:r>
      <w:r>
        <w:rPr>
          <w:bCs/>
          <w:b/>
        </w:rPr>
        <w:t xml:space="preserve">”</w:t>
      </w:r>
      <w:r>
        <w:t xml:space="preserve"> </w:t>
      </w:r>
      <w:r>
        <w:t xml:space="preserve">—</w:t>
      </w:r>
      <w:r>
        <w:t xml:space="preserve"> </w:t>
      </w:r>
      <w:r>
        <w:rPr>
          <w:iCs/>
          <w:i/>
        </w:rPr>
        <w:t xml:space="preserve">dvārābhāve saścanto gacchanto yeṣu | na saścataḥ asaścataḥ</w:t>
      </w:r>
      <w:r>
        <w:t xml:space="preserve">: free of entry, entered by no one, or which stop those who would enter — such senses may be given.</w:t>
      </w:r>
    </w:p>
    <w:p>
      <w:pPr>
        <w:pStyle w:val="BodyText"/>
      </w:pPr>
      <w:r>
        <w:rPr>
          <w:bCs/>
          <w:b/>
        </w:rPr>
        <w:t xml:space="preserve">“</w:t>
      </w:r>
      <w:r>
        <w:rPr>
          <w:bCs/>
          <w:b/>
        </w:rPr>
        <w:t xml:space="preserve">Adyā</w:t>
      </w:r>
      <w:r>
        <w:rPr>
          <w:bCs/>
          <w:b/>
        </w:rPr>
        <w:t xml:space="preserve">”</w:t>
      </w:r>
      <w:r>
        <w:t xml:space="preserve"> </w:t>
      </w:r>
      <w:r>
        <w:t xml:space="preserve">—</w:t>
      </w:r>
      <w:r>
        <w:t xml:space="preserve"> </w:t>
      </w:r>
      <w:r>
        <w:t xml:space="preserve">“</w:t>
      </w:r>
      <w:r>
        <w:t xml:space="preserve">now, today; this time at which we are performing this sacrifice.</w:t>
      </w:r>
      <w:r>
        <w:t xml:space="preserve">”</w:t>
      </w:r>
      <w:r>
        <w:t xml:space="preserve"> </w:t>
      </w:r>
      <w:r>
        <w:t xml:space="preserve">The final vowel is lengthened in the Saṃhitā for the convenience of the meter.</w:t>
      </w:r>
    </w:p>
    <w:p>
      <w:pPr>
        <w:pStyle w:val="BodyText"/>
      </w:pPr>
      <w:r>
        <w:rPr>
          <w:bCs/>
          <w:b/>
        </w:rPr>
        <w:t xml:space="preserve">“</w:t>
      </w:r>
      <w:r>
        <w:rPr>
          <w:bCs/>
          <w:b/>
        </w:rPr>
        <w:t xml:space="preserve">Nūnam</w:t>
      </w:r>
      <w:r>
        <w:rPr>
          <w:bCs/>
          <w:b/>
        </w:rPr>
        <w:t xml:space="preserve">”</w:t>
      </w:r>
      <w:r>
        <w:t xml:space="preserve"> </w:t>
      </w:r>
      <w:r>
        <w:t xml:space="preserve">—</w:t>
      </w:r>
      <w:r>
        <w:t xml:space="preserve"> </w:t>
      </w:r>
      <w:r>
        <w:t xml:space="preserve">“</w:t>
      </w:r>
      <w:r>
        <w:t xml:space="preserve">necessarily, certainly, without fail</w:t>
      </w:r>
      <w:r>
        <w:t xml:space="preserve">”</w:t>
      </w:r>
      <w:r>
        <w:t xml:space="preserve"> </w:t>
      </w:r>
      <w:r>
        <w:t xml:space="preserve">[the source’s English:</w:t>
      </w:r>
      <w:r>
        <w:t xml:space="preserve"> </w:t>
      </w:r>
      <w:r>
        <w:rPr>
          <w:iCs/>
          <w:i/>
        </w:rPr>
        <w:t xml:space="preserve">certainly, without fail</w:t>
      </w:r>
      <w:r>
        <w:t xml:space="preserve">].</w:t>
      </w:r>
    </w:p>
    <w:p>
      <w:pPr>
        <w:pStyle w:val="BodyText"/>
      </w:pPr>
      <w:r>
        <w:rPr>
          <w:bCs/>
          <w:b/>
        </w:rPr>
        <w:t xml:space="preserve">“</w:t>
      </w:r>
      <w:r>
        <w:rPr>
          <w:bCs/>
          <w:b/>
        </w:rPr>
        <w:t xml:space="preserve">Ca</w:t>
      </w:r>
      <w:r>
        <w:rPr>
          <w:bCs/>
          <w:b/>
        </w:rPr>
        <w:t xml:space="preserve">”</w:t>
      </w:r>
      <w:r>
        <w:t xml:space="preserve"> </w:t>
      </w:r>
      <w:r>
        <w:t xml:space="preserve">— this word has no special sense here; looking at it one way, there is no need of it in this rik. The Bhāṣyakāra gives the sense</w:t>
      </w:r>
      <w:r>
        <w:t xml:space="preserve"> </w:t>
      </w:r>
      <w:r>
        <w:rPr>
          <w:iCs/>
          <w:i/>
        </w:rPr>
        <w:t xml:space="preserve">dinānteṣv api</w:t>
      </w:r>
      <w:r>
        <w:t xml:space="preserve"> </w:t>
      </w:r>
      <w:r>
        <w:t xml:space="preserve">—</w:t>
      </w:r>
      <w:r>
        <w:t xml:space="preserve"> </w:t>
      </w:r>
      <w:r>
        <w:t xml:space="preserve">“</w:t>
      </w:r>
      <w:r>
        <w:t xml:space="preserve">on other days too.</w:t>
      </w:r>
      <w:r>
        <w:t xml:space="preserve">”</w:t>
      </w:r>
    </w:p>
    <w:p>
      <w:pPr>
        <w:pStyle w:val="BodyText"/>
      </w:pPr>
      <w:r>
        <w:rPr>
          <w:bCs/>
          <w:b/>
        </w:rPr>
        <w:t xml:space="preserve">॥ Vyākaraṇa-prakriyā ॥</w:t>
      </w:r>
      <w:r>
        <w:t xml:space="preserve"> </w:t>
      </w:r>
      <w:r>
        <w:rPr>
          <w:iCs/>
          <w:i/>
        </w:rPr>
        <w:t xml:space="preserve">(grammar pages 554–555, noted briefly; numbers checked against the print)</w:t>
      </w:r>
    </w:p>
    <w:p>
      <w:pPr>
        <w:pStyle w:val="BodyText"/>
      </w:pPr>
      <w:r>
        <w:rPr>
          <w:bCs/>
          <w:b/>
        </w:rPr>
        <w:t xml:space="preserve">ऋतावृधः (</w:t>
      </w:r>
      <w:r>
        <w:rPr>
          <w:iCs/>
          <w:i/>
          <w:bCs/>
          <w:b/>
        </w:rPr>
        <w:t xml:space="preserve">ṛtāvṛdhaḥ</w:t>
      </w:r>
      <w:r>
        <w:rPr>
          <w:bCs/>
          <w:b/>
        </w:rPr>
        <w:t xml:space="preserve">)</w:t>
      </w:r>
      <w:r>
        <w:t xml:space="preserve"> </w:t>
      </w:r>
      <w:r>
        <w:t xml:space="preserve">— in the sense</w:t>
      </w:r>
      <w:r>
        <w:t xml:space="preserve"> </w:t>
      </w:r>
      <w:r>
        <w:t xml:space="preserve">“</w:t>
      </w:r>
      <w:r>
        <w:t xml:space="preserve">ṛtaṃ vardhayanti</w:t>
      </w:r>
      <w:r>
        <w:t xml:space="preserve">”</w:t>
      </w:r>
      <w:r>
        <w:t xml:space="preserve">, after the root</w:t>
      </w:r>
      <w:r>
        <w:t xml:space="preserve"> </w:t>
      </w:r>
      <w:r>
        <w:rPr>
          <w:iCs/>
          <w:i/>
        </w:rPr>
        <w:t xml:space="preserve">vṛdh</w:t>
      </w:r>
      <w:r>
        <w:t xml:space="preserve"> </w:t>
      </w:r>
      <w:r>
        <w:t xml:space="preserve">with the causative sense included,</w:t>
      </w:r>
      <w:r>
        <w:t xml:space="preserve"> </w:t>
      </w:r>
      <w:r>
        <w:rPr>
          <w:iCs/>
          <w:i/>
        </w:rPr>
        <w:t xml:space="preserve">kvip</w:t>
      </w:r>
      <w:r>
        <w:t xml:space="preserve"> </w:t>
      </w:r>
      <w:r>
        <w:t xml:space="preserve">by</w:t>
      </w:r>
      <w:r>
        <w:t xml:space="preserve"> </w:t>
      </w:r>
      <w:r>
        <w:t xml:space="preserve">“</w:t>
      </w:r>
      <w:r>
        <w:t xml:space="preserve">kvip ca</w:t>
      </w:r>
      <w:r>
        <w:t xml:space="preserve">”</w:t>
      </w:r>
      <w:r>
        <w:t xml:space="preserve"> </w:t>
      </w:r>
      <w:r>
        <w:t xml:space="preserve">(Pā. 3-2-76);</w:t>
      </w:r>
      <w:r>
        <w:t xml:space="preserve"> </w:t>
      </w:r>
      <w:r>
        <w:t xml:space="preserve">“</w:t>
      </w:r>
      <w:r>
        <w:t xml:space="preserve">upapadam atiṅ</w:t>
      </w:r>
      <w:r>
        <w:t xml:space="preserve">”</w:t>
      </w:r>
      <w:r>
        <w:t xml:space="preserve"> </w:t>
      </w:r>
      <w:r>
        <w:t xml:space="preserve">(Pā. 2-2-19): an</w:t>
      </w:r>
      <w:r>
        <w:t xml:space="preserve"> </w:t>
      </w:r>
      <w:r>
        <w:rPr>
          <w:iCs/>
          <w:i/>
        </w:rPr>
        <w:t xml:space="preserve">upapada</w:t>
      </w:r>
      <w:r>
        <w:t xml:space="preserve"> </w:t>
      </w:r>
      <w:r>
        <w:t xml:space="preserve">that is a</w:t>
      </w:r>
      <w:r>
        <w:t xml:space="preserve"> </w:t>
      </w:r>
      <w:r>
        <w:rPr>
          <w:iCs/>
          <w:i/>
        </w:rPr>
        <w:t xml:space="preserve">subanta</w:t>
      </w:r>
      <w:r>
        <w:t xml:space="preserve"> </w:t>
      </w:r>
      <w:r>
        <w:t xml:space="preserve">is always compounded with the connected word — so a compound;</w:t>
      </w:r>
      <w:r>
        <w:t xml:space="preserve"> </w:t>
      </w:r>
      <w:r>
        <w:t xml:space="preserve">“</w:t>
      </w:r>
      <w:r>
        <w:t xml:space="preserve">anyeṣām api dṛśyate</w:t>
      </w:r>
      <w:r>
        <w:t xml:space="preserve">”</w:t>
      </w:r>
      <w:r>
        <w:t xml:space="preserve"> </w:t>
      </w:r>
      <w:r>
        <w:t xml:space="preserve">(Pā. 6-3-137) lengthens the first member.</w:t>
      </w:r>
      <w:r>
        <w:t xml:space="preserve"> </w:t>
      </w:r>
      <w:r>
        <w:rPr>
          <w:iCs/>
          <w:i/>
        </w:rPr>
        <w:t xml:space="preserve">Vṛdh</w:t>
      </w:r>
      <w:r>
        <w:t xml:space="preserve"> </w:t>
      </w:r>
      <w:r>
        <w:t xml:space="preserve">is udātta by the root accent; once compounded,</w:t>
      </w:r>
      <w:r>
        <w:t xml:space="preserve"> </w:t>
      </w:r>
      <w:r>
        <w:t xml:space="preserve">“</w:t>
      </w:r>
      <w:r>
        <w:t xml:space="preserve">gati-kārakopapadāt kṛt</w:t>
      </w:r>
      <w:r>
        <w:t xml:space="preserve">”</w:t>
      </w:r>
      <w:r>
        <w:t xml:space="preserve"> </w:t>
      </w:r>
      <w:r>
        <w:t xml:space="preserve">(Pā. 6-2-139) gives the accent of the</w:t>
      </w:r>
      <w:r>
        <w:t xml:space="preserve"> </w:t>
      </w:r>
      <w:r>
        <w:rPr>
          <w:iCs/>
          <w:i/>
        </w:rPr>
        <w:t xml:space="preserve">kṛt</w:t>
      </w:r>
      <w:r>
        <w:t xml:space="preserve"> </w:t>
      </w:r>
      <w:r>
        <w:t xml:space="preserve">second member, and that same accent stands. Nominative plural.</w:t>
      </w:r>
      <w:r>
        <w:t xml:space="preserve"> </w:t>
      </w:r>
      <w:r>
        <w:rPr>
          <w:bCs/>
          <w:b/>
        </w:rPr>
        <w:t xml:space="preserve">देवीः (</w:t>
      </w:r>
      <w:r>
        <w:rPr>
          <w:iCs/>
          <w:i/>
          <w:bCs/>
          <w:b/>
        </w:rPr>
        <w:t xml:space="preserve">devīḥ</w:t>
      </w:r>
      <w:r>
        <w:rPr>
          <w:bCs/>
          <w:b/>
        </w:rPr>
        <w:t xml:space="preserve">)</w:t>
      </w:r>
      <w:r>
        <w:t xml:space="preserve"> </w:t>
      </w:r>
      <w:r>
        <w:t xml:space="preserve">— the word</w:t>
      </w:r>
      <w:r>
        <w:t xml:space="preserve"> </w:t>
      </w:r>
      <w:r>
        <w:rPr>
          <w:iCs/>
          <w:i/>
        </w:rPr>
        <w:t xml:space="preserve">deva</w:t>
      </w:r>
      <w:r>
        <w:t xml:space="preserve"> </w:t>
      </w:r>
      <w:r>
        <w:t xml:space="preserve">is formed from</w:t>
      </w:r>
      <w:r>
        <w:t xml:space="preserve"> </w:t>
      </w:r>
      <w:r>
        <w:rPr>
          <w:iCs/>
          <w:i/>
        </w:rPr>
        <w:t xml:space="preserve">divu krīḍādau</w:t>
      </w:r>
      <w:r>
        <w:t xml:space="preserve"> </w:t>
      </w:r>
      <w:r>
        <w:t xml:space="preserve">with the suffix</w:t>
      </w:r>
      <w:r>
        <w:t xml:space="preserve"> </w:t>
      </w:r>
      <w:r>
        <w:rPr>
          <w:iCs/>
          <w:i/>
        </w:rPr>
        <w:t xml:space="preserve">ac</w:t>
      </w:r>
      <w:r>
        <w:t xml:space="preserve"> </w:t>
      </w:r>
      <w:r>
        <w:t xml:space="preserve">by</w:t>
      </w:r>
      <w:r>
        <w:t xml:space="preserve"> </w:t>
      </w:r>
      <w:r>
        <w:t xml:space="preserve">“</w:t>
      </w:r>
      <w:r>
        <w:t xml:space="preserve">nandi-grahi-pacādibhyo lyu-ṇiny-acaḥ</w:t>
      </w:r>
      <w:r>
        <w:t xml:space="preserve">”</w:t>
      </w:r>
      <w:r>
        <w:t xml:space="preserve"> </w:t>
      </w:r>
      <w:r>
        <w:t xml:space="preserve">(printed</w:t>
      </w:r>
      <w:r>
        <w:t xml:space="preserve"> </w:t>
      </w:r>
      <w:r>
        <w:t xml:space="preserve">“</w:t>
      </w:r>
      <w:r>
        <w:t xml:space="preserve">vā. sū.</w:t>
      </w:r>
      <w:r>
        <w:t xml:space="preserve">”</w:t>
      </w:r>
      <w:r>
        <w:t xml:space="preserve"> </w:t>
      </w:r>
      <w:r>
        <w:t xml:space="preserve">[sic] 3-1-134); so it is final-udātta by</w:t>
      </w:r>
      <w:r>
        <w:t xml:space="preserve"> </w:t>
      </w:r>
      <w:r>
        <w:t xml:space="preserve">“</w:t>
      </w:r>
      <w:r>
        <w:t xml:space="preserve">citaḥ</w:t>
      </w:r>
      <w:r>
        <w:t xml:space="preserve">”</w:t>
      </w:r>
      <w:r>
        <w:t xml:space="preserve">. After it</w:t>
      </w:r>
      <w:r>
        <w:t xml:space="preserve"> </w:t>
      </w:r>
      <w:r>
        <w:t xml:space="preserve">“</w:t>
      </w:r>
      <w:r>
        <w:t xml:space="preserve">puṃyogād ākhyāyām</w:t>
      </w:r>
      <w:r>
        <w:t xml:space="preserve">”</w:t>
      </w:r>
      <w:r>
        <w:t xml:space="preserve"> </w:t>
      </w:r>
      <w:r>
        <w:t xml:space="preserve">(Pā. 4-1-48): a word well known in the masculine, when used by implication in the feminine through connection with a man, takes</w:t>
      </w:r>
      <w:r>
        <w:t xml:space="preserve"> </w:t>
      </w:r>
      <w:r>
        <w:rPr>
          <w:iCs/>
          <w:i/>
        </w:rPr>
        <w:t xml:space="preserve">ṅīṣ</w:t>
      </w:r>
      <w:r>
        <w:t xml:space="preserve"> </w:t>
      </w:r>
      <w:r>
        <w:t xml:space="preserve">(the connection with a man being that of marriage, or of being begotten) — so when</w:t>
      </w:r>
      <w:r>
        <w:t xml:space="preserve"> </w:t>
      </w:r>
      <w:r>
        <w:rPr>
          <w:iCs/>
          <w:i/>
        </w:rPr>
        <w:t xml:space="preserve">devasya strī</w:t>
      </w:r>
      <w:r>
        <w:t xml:space="preserve"> </w:t>
      </w:r>
      <w:r>
        <w:t xml:space="preserve">is meant,</w:t>
      </w:r>
      <w:r>
        <w:t xml:space="preserve"> </w:t>
      </w:r>
      <w:r>
        <w:rPr>
          <w:iCs/>
          <w:i/>
        </w:rPr>
        <w:t xml:space="preserve">ṅīṣ</w:t>
      </w:r>
      <w:r>
        <w:t xml:space="preserve"> </w:t>
      </w:r>
      <w:r>
        <w:t xml:space="preserve">comes:</w:t>
      </w:r>
      <w:r>
        <w:t xml:space="preserve"> </w:t>
      </w:r>
      <w:r>
        <w:rPr>
          <w:iCs/>
          <w:i/>
        </w:rPr>
        <w:t xml:space="preserve">deva</w:t>
      </w:r>
      <w:r>
        <w:t xml:space="preserve"> </w:t>
      </w:r>
      <w:r>
        <w:t xml:space="preserve">+</w:t>
      </w:r>
      <w:r>
        <w:t xml:space="preserve"> </w:t>
      </w:r>
      <w:r>
        <w:rPr>
          <w:iCs/>
          <w:i/>
        </w:rPr>
        <w:t xml:space="preserve">ī</w:t>
      </w:r>
      <w:r>
        <w:t xml:space="preserve">;</w:t>
      </w:r>
      <w:r>
        <w:t xml:space="preserve"> </w:t>
      </w:r>
      <w:r>
        <w:t xml:space="preserve">“</w:t>
      </w:r>
      <w:r>
        <w:t xml:space="preserve">yasyeti ca</w:t>
      </w:r>
      <w:r>
        <w:t xml:space="preserve">”</w:t>
      </w:r>
      <w:r>
        <w:t xml:space="preserve"> </w:t>
      </w:r>
      <w:r>
        <w:t xml:space="preserve">(Pā. 6-4-148) drops the</w:t>
      </w:r>
      <w:r>
        <w:t xml:space="preserve"> </w:t>
      </w:r>
      <w:r>
        <w:rPr>
          <w:iCs/>
          <w:i/>
        </w:rPr>
        <w:t xml:space="preserve">a</w:t>
      </w:r>
      <w:r>
        <w:t xml:space="preserve">; the</w:t>
      </w:r>
      <w:r>
        <w:t xml:space="preserve"> </w:t>
      </w:r>
      <w:r>
        <w:rPr>
          <w:iCs/>
          <w:i/>
        </w:rPr>
        <w:t xml:space="preserve">ī</w:t>
      </w:r>
      <w:r>
        <w:t xml:space="preserve"> </w:t>
      </w:r>
      <w:r>
        <w:t xml:space="preserve">is udātta by the suffix accent. Then the nominative plural</w:t>
      </w:r>
      <w:r>
        <w:t xml:space="preserve"> </w:t>
      </w:r>
      <w:r>
        <w:rPr>
          <w:iCs/>
          <w:i/>
        </w:rPr>
        <w:t xml:space="preserve">jas</w:t>
      </w:r>
      <w:r>
        <w:t xml:space="preserve">; the</w:t>
      </w:r>
      <w:r>
        <w:t xml:space="preserve"> </w:t>
      </w:r>
      <w:r>
        <w:rPr>
          <w:iCs/>
          <w:i/>
        </w:rPr>
        <w:t xml:space="preserve">pūrvasavarṇa</w:t>
      </w:r>
      <w:r>
        <w:t xml:space="preserve">-lengthening of</w:t>
      </w:r>
      <w:r>
        <w:t xml:space="preserve"> </w:t>
      </w:r>
      <w:r>
        <w:t xml:space="preserve">“</w:t>
      </w:r>
      <w:r>
        <w:t xml:space="preserve">prathamayoḥ pūrvasavarṇaḥ</w:t>
      </w:r>
      <w:r>
        <w:t xml:space="preserve">”</w:t>
      </w:r>
      <w:r>
        <w:t xml:space="preserve"> </w:t>
      </w:r>
      <w:r>
        <w:t xml:space="preserve">(Pā. 6-1-102) is barred by</w:t>
      </w:r>
      <w:r>
        <w:t xml:space="preserve"> </w:t>
      </w:r>
      <w:r>
        <w:t xml:space="preserve">“</w:t>
      </w:r>
      <w:r>
        <w:t xml:space="preserve">dīrghāj jasi ca</w:t>
      </w:r>
      <w:r>
        <w:t xml:space="preserve">”</w:t>
      </w:r>
      <w:r>
        <w:t xml:space="preserve"> </w:t>
      </w:r>
      <w:r>
        <w:t xml:space="preserve">(Pā. 6-1-105); yet by</w:t>
      </w:r>
      <w:r>
        <w:t xml:space="preserve"> </w:t>
      </w:r>
      <w:r>
        <w:t xml:space="preserve">“</w:t>
      </w:r>
      <w:r>
        <w:t xml:space="preserve">vā chandasi</w:t>
      </w:r>
      <w:r>
        <w:t xml:space="preserve">”</w:t>
      </w:r>
      <w:r>
        <w:t xml:space="preserve"> </w:t>
      </w:r>
      <w:r>
        <w:t xml:space="preserve">(printed</w:t>
      </w:r>
      <w:r>
        <w:t xml:space="preserve"> </w:t>
      </w:r>
      <w:r>
        <w:t xml:space="preserve">“</w:t>
      </w:r>
      <w:r>
        <w:t xml:space="preserve">3-4-88</w:t>
      </w:r>
      <w:r>
        <w:t xml:space="preserve">”</w:t>
      </w:r>
      <w:r>
        <w:t xml:space="preserve"> </w:t>
      </w:r>
      <w:r>
        <w:t xml:space="preserve">[sic]; the sūtra is 6-1-106) the</w:t>
      </w:r>
      <w:r>
        <w:t xml:space="preserve"> </w:t>
      </w:r>
      <w:r>
        <w:rPr>
          <w:iCs/>
          <w:i/>
        </w:rPr>
        <w:t xml:space="preserve">pūrvasavarṇa</w:t>
      </w:r>
      <w:r>
        <w:t xml:space="preserve">-lengthening comes as a single substitute, and that single substitute is udātta by</w:t>
      </w:r>
      <w:r>
        <w:t xml:space="preserve"> </w:t>
      </w:r>
      <w:r>
        <w:t xml:space="preserve">“</w:t>
      </w:r>
      <w:r>
        <w:t xml:space="preserve">ekādeśa udāttenodāttaḥ</w:t>
      </w:r>
      <w:r>
        <w:t xml:space="preserve">”</w:t>
      </w:r>
      <w:r>
        <w:t xml:space="preserve"> </w:t>
      </w:r>
      <w:r>
        <w:t xml:space="preserve">(Pā. 8-2-5).</w:t>
      </w:r>
    </w:p>
    <w:bookmarkEnd w:id="586"/>
    <w:bookmarkStart w:id="587" w:name="page-555-rik-6-grammar-closes"/>
    <w:p>
      <w:pPr>
        <w:pStyle w:val="Heading3"/>
      </w:pPr>
      <w:r>
        <w:t xml:space="preserve">Page 555 — Rik 6 grammar closes</w:t>
      </w:r>
    </w:p>
    <w:p>
      <w:pPr>
        <w:pStyle w:val="FirstParagraph"/>
      </w:pPr>
      <w:r>
        <w:rPr>
          <w:bCs/>
          <w:b/>
        </w:rPr>
        <w:t xml:space="preserve">असश्चतः (</w:t>
      </w:r>
      <w:r>
        <w:rPr>
          <w:iCs/>
          <w:i/>
          <w:bCs/>
          <w:b/>
        </w:rPr>
        <w:t xml:space="preserve">asaścataḥ</w:t>
      </w:r>
      <w:r>
        <w:rPr>
          <w:bCs/>
          <w:b/>
        </w:rPr>
        <w:t xml:space="preserve">)</w:t>
      </w:r>
      <w:r>
        <w:t xml:space="preserve"> </w:t>
      </w:r>
      <w:r>
        <w:t xml:space="preserve">— root</w:t>
      </w:r>
      <w:r>
        <w:t xml:space="preserve"> </w:t>
      </w:r>
      <w:r>
        <w:rPr>
          <w:iCs/>
          <w:i/>
        </w:rPr>
        <w:t xml:space="preserve">gluñcu ṣasja gatau</w:t>
      </w:r>
      <w:r>
        <w:t xml:space="preserve">;</w:t>
      </w:r>
      <w:r>
        <w:t xml:space="preserve"> </w:t>
      </w:r>
      <w:r>
        <w:rPr>
          <w:iCs/>
          <w:i/>
        </w:rPr>
        <w:t xml:space="preserve">c</w:t>
      </w:r>
      <w:r>
        <w:t xml:space="preserve"> </w:t>
      </w:r>
      <w:r>
        <w:t xml:space="preserve">for the</w:t>
      </w:r>
      <w:r>
        <w:t xml:space="preserve"> </w:t>
      </w:r>
      <w:r>
        <w:rPr>
          <w:iCs/>
          <w:i/>
        </w:rPr>
        <w:t xml:space="preserve">j</w:t>
      </w:r>
      <w:r>
        <w:t xml:space="preserve"> </w:t>
      </w:r>
      <w:r>
        <w:t xml:space="preserve">by exception;</w:t>
      </w:r>
      <w:r>
        <w:t xml:space="preserve"> </w:t>
      </w:r>
      <w:r>
        <w:rPr>
          <w:iCs/>
          <w:i/>
        </w:rPr>
        <w:t xml:space="preserve">s</w:t>
      </w:r>
      <w:r>
        <w:t xml:space="preserve"> </w:t>
      </w:r>
      <w:r>
        <w:t xml:space="preserve">for the</w:t>
      </w:r>
      <w:r>
        <w:t xml:space="preserve"> </w:t>
      </w:r>
      <w:r>
        <w:rPr>
          <w:iCs/>
          <w:i/>
        </w:rPr>
        <w:t xml:space="preserve">ṣ</w:t>
      </w:r>
      <w:r>
        <w:t xml:space="preserve"> </w:t>
      </w:r>
      <w:r>
        <w:t xml:space="preserve">by</w:t>
      </w:r>
      <w:r>
        <w:t xml:space="preserve"> </w:t>
      </w:r>
      <w:r>
        <w:t xml:space="preserve">“</w:t>
      </w:r>
      <w:r>
        <w:t xml:space="preserve">dhātvādeḥ ṣaḥ saḥ</w:t>
      </w:r>
      <w:r>
        <w:t xml:space="preserve">”</w:t>
      </w:r>
      <w:r>
        <w:t xml:space="preserve"> </w:t>
      </w:r>
      <w:r>
        <w:t xml:space="preserve">(Pā. 6-1-64); then</w:t>
      </w:r>
      <w:r>
        <w:t xml:space="preserve"> </w:t>
      </w:r>
      <w:r>
        <w:rPr>
          <w:iCs/>
          <w:i/>
        </w:rPr>
        <w:t xml:space="preserve">laṭ</w:t>
      </w:r>
      <w:r>
        <w:t xml:space="preserve">, replaced by</w:t>
      </w:r>
      <w:r>
        <w:t xml:space="preserve"> </w:t>
      </w:r>
      <w:r>
        <w:rPr>
          <w:iCs/>
          <w:i/>
        </w:rPr>
        <w:t xml:space="preserve">śatṛ</w:t>
      </w:r>
      <w:r>
        <w:t xml:space="preserve"> </w:t>
      </w:r>
      <w:r>
        <w:t xml:space="preserve">by</w:t>
      </w:r>
      <w:r>
        <w:t xml:space="preserve"> </w:t>
      </w:r>
      <w:r>
        <w:t xml:space="preserve">“</w:t>
      </w:r>
      <w:r>
        <w:t xml:space="preserve">laṭaḥ śatṛ…</w:t>
      </w:r>
      <w:r>
        <w:t xml:space="preserve">”</w:t>
      </w:r>
      <w:r>
        <w:t xml:space="preserve"> </w:t>
      </w:r>
      <w:r>
        <w:t xml:space="preserve">(Pā. 3-2-124); the vikaraṇa</w:t>
      </w:r>
      <w:r>
        <w:t xml:space="preserve"> </w:t>
      </w:r>
      <w:r>
        <w:rPr>
          <w:iCs/>
          <w:i/>
        </w:rPr>
        <w:t xml:space="preserve">śap</w:t>
      </w:r>
      <w:r>
        <w:t xml:space="preserve">:</w:t>
      </w:r>
      <w:r>
        <w:t xml:space="preserve"> </w:t>
      </w:r>
      <w:r>
        <w:rPr>
          <w:iCs/>
          <w:i/>
        </w:rPr>
        <w:t xml:space="preserve">sasc</w:t>
      </w:r>
      <w:r>
        <w:t xml:space="preserve"> </w:t>
      </w:r>
      <w:r>
        <w:t xml:space="preserve">+</w:t>
      </w:r>
      <w:r>
        <w:t xml:space="preserve"> </w:t>
      </w:r>
      <w:r>
        <w:rPr>
          <w:iCs/>
          <w:i/>
        </w:rPr>
        <w:t xml:space="preserve">a</w:t>
      </w:r>
      <w:r>
        <w:t xml:space="preserve"> </w:t>
      </w:r>
      <w:r>
        <w:t xml:space="preserve">+</w:t>
      </w:r>
      <w:r>
        <w:t xml:space="preserve"> </w:t>
      </w:r>
      <w:r>
        <w:rPr>
          <w:iCs/>
          <w:i/>
        </w:rPr>
        <w:t xml:space="preserve">at</w:t>
      </w:r>
      <w:r>
        <w:t xml:space="preserve">;</w:t>
      </w:r>
      <w:r>
        <w:t xml:space="preserve"> </w:t>
      </w:r>
      <w:r>
        <w:rPr>
          <w:iCs/>
          <w:i/>
        </w:rPr>
        <w:t xml:space="preserve">pararūpa</w:t>
      </w:r>
      <w:r>
        <w:t xml:space="preserve"> </w:t>
      </w:r>
      <w:r>
        <w:t xml:space="preserve">by</w:t>
      </w:r>
      <w:r>
        <w:t xml:space="preserve"> </w:t>
      </w:r>
      <w:r>
        <w:t xml:space="preserve">“</w:t>
      </w:r>
      <w:r>
        <w:t xml:space="preserve">ato guṇe</w:t>
      </w:r>
      <w:r>
        <w:t xml:space="preserve">”</w:t>
      </w:r>
      <w:r>
        <w:t xml:space="preserve">:</w:t>
      </w:r>
      <w:r>
        <w:t xml:space="preserve"> </w:t>
      </w:r>
      <w:r>
        <w:rPr>
          <w:iCs/>
          <w:i/>
        </w:rPr>
        <w:t xml:space="preserve">sascat</w:t>
      </w:r>
      <w:r>
        <w:t xml:space="preserve">.</w:t>
      </w:r>
      <w:r>
        <w:t xml:space="preserve"> </w:t>
      </w:r>
      <w:r>
        <w:t xml:space="preserve">“</w:t>
      </w:r>
      <w:r>
        <w:t xml:space="preserve">dvārābhāvena na vidyante saścantaḥ gacchantaḥ yeṣu prāgvaṃśādiṣu, tān</w:t>
      </w:r>
      <w:r>
        <w:t xml:space="preserve">”</w:t>
      </w:r>
      <w:r>
        <w:t xml:space="preserve"> </w:t>
      </w:r>
      <w:r>
        <w:t xml:space="preserve">— so the analysis; with the accusative plural</w:t>
      </w:r>
      <w:r>
        <w:t xml:space="preserve"> </w:t>
      </w:r>
      <w:r>
        <w:rPr>
          <w:iCs/>
          <w:i/>
        </w:rPr>
        <w:t xml:space="preserve">śas</w:t>
      </w:r>
      <w:r>
        <w:t xml:space="preserve">:</w:t>
      </w:r>
      <w:r>
        <w:t xml:space="preserve"> </w:t>
      </w:r>
      <w:r>
        <w:rPr>
          <w:iCs/>
          <w:i/>
        </w:rPr>
        <w:t xml:space="preserve">asaścataḥ</w:t>
      </w:r>
      <w:r>
        <w:t xml:space="preserve">.</w:t>
      </w:r>
      <w:r>
        <w:t xml:space="preserve"> </w:t>
      </w:r>
      <w:r>
        <w:rPr>
          <w:bCs/>
          <w:b/>
        </w:rPr>
        <w:t xml:space="preserve">अद्य (</w:t>
      </w:r>
      <w:r>
        <w:rPr>
          <w:iCs/>
          <w:i/>
          <w:bCs/>
          <w:b/>
        </w:rPr>
        <w:t xml:space="preserve">adya</w:t>
      </w:r>
      <w:r>
        <w:rPr>
          <w:bCs/>
          <w:b/>
        </w:rPr>
        <w:t xml:space="preserve">)</w:t>
      </w:r>
      <w:r>
        <w:t xml:space="preserve"> </w:t>
      </w:r>
      <w:r>
        <w:t xml:space="preserve">— formed irregularly, as ending in the suffix</w:t>
      </w:r>
      <w:r>
        <w:t xml:space="preserve"> </w:t>
      </w:r>
      <w:r>
        <w:rPr>
          <w:iCs/>
          <w:i/>
        </w:rPr>
        <w:t xml:space="preserve">dya</w:t>
      </w:r>
      <w:r>
        <w:t xml:space="preserve">, by the sūtra</w:t>
      </w:r>
      <w:r>
        <w:t xml:space="preserve"> </w:t>
      </w:r>
      <w:r>
        <w:t xml:space="preserve">“</w:t>
      </w:r>
      <w:r>
        <w:t xml:space="preserve">sadyaḥ parut…</w:t>
      </w:r>
      <w:r>
        <w:t xml:space="preserve">”</w:t>
      </w:r>
      <w:r>
        <w:t xml:space="preserve"> </w:t>
      </w:r>
      <w:r>
        <w:t xml:space="preserve">(Pā. 5-3-22). Since it has the name</w:t>
      </w:r>
      <w:r>
        <w:t xml:space="preserve"> </w:t>
      </w:r>
      <w:r>
        <w:rPr>
          <w:iCs/>
          <w:i/>
        </w:rPr>
        <w:t xml:space="preserve">avyaya</w:t>
      </w:r>
      <w:r>
        <w:t xml:space="preserve"> </w:t>
      </w:r>
      <w:r>
        <w:t xml:space="preserve">by</w:t>
      </w:r>
      <w:r>
        <w:t xml:space="preserve"> </w:t>
      </w:r>
      <w:r>
        <w:t xml:space="preserve">“</w:t>
      </w:r>
      <w:r>
        <w:t xml:space="preserve">taddhitaś cāsarvavibhaktiḥ</w:t>
      </w:r>
      <w:r>
        <w:t xml:space="preserve">”</w:t>
      </w:r>
      <w:r>
        <w:t xml:space="preserve"> </w:t>
      </w:r>
      <w:r>
        <w:t xml:space="preserve">(Pā. 1-1-38), the locative singular</w:t>
      </w:r>
      <w:r>
        <w:t xml:space="preserve"> </w:t>
      </w:r>
      <w:r>
        <w:rPr>
          <w:iCs/>
          <w:i/>
        </w:rPr>
        <w:t xml:space="preserve">ṅi</w:t>
      </w:r>
      <w:r>
        <w:t xml:space="preserve"> </w:t>
      </w:r>
      <w:r>
        <w:t xml:space="preserve">after it is dropped by</w:t>
      </w:r>
      <w:r>
        <w:t xml:space="preserve"> </w:t>
      </w:r>
      <w:r>
        <w:t xml:space="preserve">“</w:t>
      </w:r>
      <w:r>
        <w:t xml:space="preserve">avyayād āp-supaḥ</w:t>
      </w:r>
      <w:r>
        <w:t xml:space="preserve">”</w:t>
      </w:r>
      <w:r>
        <w:t xml:space="preserve"> </w:t>
      </w:r>
      <w:r>
        <w:t xml:space="preserve">(Pā. 2-4-82). It is final-udātta by the suffix accent; in the Saṃhitā it is lengthened by</w:t>
      </w:r>
      <w:r>
        <w:t xml:space="preserve"> </w:t>
      </w:r>
      <w:r>
        <w:t xml:space="preserve">“</w:t>
      </w:r>
      <w:r>
        <w:t xml:space="preserve">anyeṣām api dṛśyate</w:t>
      </w:r>
      <w:r>
        <w:t xml:space="preserve">”</w:t>
      </w:r>
      <w:r>
        <w:t xml:space="preserve"> </w:t>
      </w:r>
      <w:r>
        <w:t xml:space="preserve">(Pā. 6-3-137).</w:t>
      </w:r>
      <w:r>
        <w:t xml:space="preserve"> </w:t>
      </w:r>
      <w:r>
        <w:rPr>
          <w:bCs/>
          <w:b/>
        </w:rPr>
        <w:t xml:space="preserve">नूनम् (</w:t>
      </w:r>
      <w:r>
        <w:rPr>
          <w:iCs/>
          <w:i/>
          <w:bCs/>
          <w:b/>
        </w:rPr>
        <w:t xml:space="preserve">nūnam</w:t>
      </w:r>
      <w:r>
        <w:rPr>
          <w:bCs/>
          <w:b/>
        </w:rPr>
        <w:t xml:space="preserve">)</w:t>
      </w:r>
      <w:r>
        <w:t xml:space="preserve"> </w:t>
      </w:r>
      <w:r>
        <w:t xml:space="preserve">— final-udātta by</w:t>
      </w:r>
      <w:r>
        <w:t xml:space="preserve"> </w:t>
      </w:r>
      <w:r>
        <w:t xml:space="preserve">“</w:t>
      </w:r>
      <w:r>
        <w:t xml:space="preserve">evādīnām antaḥ</w:t>
      </w:r>
      <w:r>
        <w:t xml:space="preserve">”</w:t>
      </w:r>
      <w:r>
        <w:t xml:space="preserve"> </w:t>
      </w:r>
      <w:r>
        <w:t xml:space="preserve">(printed</w:t>
      </w:r>
      <w:r>
        <w:t xml:space="preserve"> </w:t>
      </w:r>
      <w:r>
        <w:t xml:space="preserve">“</w:t>
      </w:r>
      <w:r>
        <w:t xml:space="preserve">pā. sū. 82</w:t>
      </w:r>
      <w:r>
        <w:t xml:space="preserve">”</w:t>
      </w:r>
      <w:r>
        <w:t xml:space="preserve">).</w:t>
      </w:r>
      <w:r>
        <w:t xml:space="preserve"> </w:t>
      </w:r>
      <w:r>
        <w:rPr>
          <w:bCs/>
          <w:b/>
        </w:rPr>
        <w:t xml:space="preserve">यष्टवे (</w:t>
      </w:r>
      <w:r>
        <w:rPr>
          <w:iCs/>
          <w:i/>
          <w:bCs/>
          <w:b/>
        </w:rPr>
        <w:t xml:space="preserve">yaṣṭave</w:t>
      </w:r>
      <w:r>
        <w:rPr>
          <w:bCs/>
          <w:b/>
        </w:rPr>
        <w:t xml:space="preserve">)</w:t>
      </w:r>
      <w:r>
        <w:t xml:space="preserve"> </w:t>
      </w:r>
      <w:r>
        <w:t xml:space="preserve">— root</w:t>
      </w:r>
      <w:r>
        <w:t xml:space="preserve"> </w:t>
      </w:r>
      <w:r>
        <w:rPr>
          <w:iCs/>
          <w:i/>
        </w:rPr>
        <w:t xml:space="preserve">yaja devapūjādau</w:t>
      </w:r>
      <w:r>
        <w:t xml:space="preserve">; after it</w:t>
      </w:r>
      <w:r>
        <w:t xml:space="preserve"> </w:t>
      </w:r>
      <w:r>
        <w:t xml:space="preserve">“</w:t>
      </w:r>
      <w:r>
        <w:t xml:space="preserve">tumarthe se-sen-ase-asen-kse-kasen-adhyai-adhyain-kadhyai-kadhyain-śadhyai-śadhyain-tavai-taveṅ-tavenaḥ</w:t>
      </w:r>
      <w:r>
        <w:t xml:space="preserve">”</w:t>
      </w:r>
      <w:r>
        <w:t xml:space="preserve"> </w:t>
      </w:r>
      <w:r>
        <w:t xml:space="preserve">(Pā. 3-4-9) gives</w:t>
      </w:r>
      <w:r>
        <w:t xml:space="preserve"> </w:t>
      </w:r>
      <w:r>
        <w:rPr>
          <w:iCs/>
          <w:i/>
        </w:rPr>
        <w:t xml:space="preserve">taven</w:t>
      </w:r>
      <w:r>
        <w:t xml:space="preserve"> </w:t>
      </w:r>
      <w:r>
        <w:t xml:space="preserve">in the sense of</w:t>
      </w:r>
      <w:r>
        <w:t xml:space="preserve"> </w:t>
      </w:r>
      <w:r>
        <w:rPr>
          <w:iCs/>
          <w:i/>
        </w:rPr>
        <w:t xml:space="preserve">tumun</w:t>
      </w:r>
      <w:r>
        <w:t xml:space="preserve">:</w:t>
      </w:r>
      <w:r>
        <w:t xml:space="preserve"> </w:t>
      </w:r>
      <w:r>
        <w:rPr>
          <w:iCs/>
          <w:i/>
        </w:rPr>
        <w:t xml:space="preserve">yaj</w:t>
      </w:r>
      <w:r>
        <w:t xml:space="preserve"> </w:t>
      </w:r>
      <w:r>
        <w:t xml:space="preserve">+</w:t>
      </w:r>
      <w:r>
        <w:t xml:space="preserve"> </w:t>
      </w:r>
      <w:r>
        <w:rPr>
          <w:iCs/>
          <w:i/>
        </w:rPr>
        <w:t xml:space="preserve">tave</w:t>
      </w:r>
      <w:r>
        <w:t xml:space="preserve">;</w:t>
      </w:r>
      <w:r>
        <w:t xml:space="preserve"> </w:t>
      </w:r>
      <w:r>
        <w:t xml:space="preserve">“</w:t>
      </w:r>
      <w:r>
        <w:t xml:space="preserve">vraśca-bhrasja-sṛja-mṛja-yaja-rāja-bhrāja-cchaśāṃ ṣaḥ</w:t>
      </w:r>
      <w:r>
        <w:t xml:space="preserve">”</w:t>
      </w:r>
      <w:r>
        <w:t xml:space="preserve"> </w:t>
      </w:r>
      <w:r>
        <w:t xml:space="preserve">(Pā. 8-2-36) gives</w:t>
      </w:r>
      <w:r>
        <w:t xml:space="preserve"> </w:t>
      </w:r>
      <w:r>
        <w:rPr>
          <w:iCs/>
          <w:i/>
        </w:rPr>
        <w:t xml:space="preserve">ṣ</w:t>
      </w:r>
      <w:r>
        <w:t xml:space="preserve"> </w:t>
      </w:r>
      <w:r>
        <w:t xml:space="preserve">for the</w:t>
      </w:r>
      <w:r>
        <w:t xml:space="preserve"> </w:t>
      </w:r>
      <w:r>
        <w:rPr>
          <w:iCs/>
          <w:i/>
        </w:rPr>
        <w:t xml:space="preserve">j</w:t>
      </w:r>
      <w:r>
        <w:t xml:space="preserve">;</w:t>
      </w:r>
      <w:r>
        <w:t xml:space="preserve"> </w:t>
      </w:r>
      <w:r>
        <w:rPr>
          <w:iCs/>
          <w:i/>
        </w:rPr>
        <w:t xml:space="preserve">ṣṭutva</w:t>
      </w:r>
      <w:r>
        <w:t xml:space="preserve"> </w:t>
      </w:r>
      <w:r>
        <w:t xml:space="preserve">by</w:t>
      </w:r>
      <w:r>
        <w:t xml:space="preserve"> </w:t>
      </w:r>
      <w:r>
        <w:t xml:space="preserve">“</w:t>
      </w:r>
      <w:r>
        <w:t xml:space="preserve">ṣṭunā ṣṭuḥ</w:t>
      </w:r>
      <w:r>
        <w:t xml:space="preserve">”</w:t>
      </w:r>
      <w:r>
        <w:t xml:space="preserve"> </w:t>
      </w:r>
      <w:r>
        <w:t xml:space="preserve">(Pā. 8-4-41) gives</w:t>
      </w:r>
      <w:r>
        <w:t xml:space="preserve"> </w:t>
      </w:r>
      <w:r>
        <w:rPr>
          <w:iCs/>
          <w:i/>
        </w:rPr>
        <w:t xml:space="preserve">ṭ</w:t>
      </w:r>
      <w:r>
        <w:t xml:space="preserve"> </w:t>
      </w:r>
      <w:r>
        <w:t xml:space="preserve">for the</w:t>
      </w:r>
      <w:r>
        <w:t xml:space="preserve"> </w:t>
      </w:r>
      <w:r>
        <w:rPr>
          <w:iCs/>
          <w:i/>
        </w:rPr>
        <w:t xml:space="preserve">t</w:t>
      </w:r>
      <w:r>
        <w:t xml:space="preserve">:</w:t>
      </w:r>
      <w:r>
        <w:t xml:space="preserve"> </w:t>
      </w:r>
      <w:r>
        <w:rPr>
          <w:iCs/>
          <w:i/>
        </w:rPr>
        <w:t xml:space="preserve">yaṣṭave</w:t>
      </w:r>
      <w:r>
        <w:t xml:space="preserve">; the suffix being</w:t>
      </w:r>
      <w:r>
        <w:t xml:space="preserve"> </w:t>
      </w:r>
      <w:r>
        <w:rPr>
          <w:iCs/>
          <w:i/>
        </w:rPr>
        <w:t xml:space="preserve">nit</w:t>
      </w:r>
      <w:r>
        <w:t xml:space="preserve">, it is initial-udātta by the</w:t>
      </w:r>
      <w:r>
        <w:t xml:space="preserve"> </w:t>
      </w:r>
      <w:r>
        <w:rPr>
          <w:iCs/>
          <w:i/>
        </w:rPr>
        <w:t xml:space="preserve">nit</w:t>
      </w:r>
      <w:r>
        <w:t xml:space="preserve"> </w:t>
      </w:r>
      <w:r>
        <w:t xml:space="preserve">accent.</w:t>
      </w:r>
    </w:p>
    <w:p>
      <w:pPr>
        <w:pStyle w:val="BodyText"/>
      </w:pPr>
      <w:r>
        <w:rPr>
          <w:bCs/>
          <w:b/>
        </w:rPr>
        <w:t xml:space="preserve">॥६॥</w:t>
      </w:r>
    </w:p>
    <w:p>
      <w:r>
        <w:pict>
          <v:rect style="width:0;height:1.5pt" o:hralign="center" o:hrstd="t" o:hr="t"/>
        </w:pict>
      </w:r>
    </w:p>
    <w:bookmarkEnd w:id="587"/>
    <w:bookmarkStart w:id="588" w:name="page-555-lower-sūkta-13-rik-7"/>
    <w:p>
      <w:pPr>
        <w:pStyle w:val="Heading3"/>
      </w:pPr>
      <w:r>
        <w:t xml:space="preserve">Page 555 (lower) — Sūkta 13, Rik 7</w:t>
      </w:r>
    </w:p>
    <w:p>
      <w:pPr>
        <w:pStyle w:val="FirstParagraph"/>
      </w:pPr>
      <w:r>
        <w:rPr>
          <w:iCs/>
          <w:i/>
        </w:rPr>
        <w:t xml:space="preserve">(Saṃhitā accents as printed; Pada unaccented. Line 1: the bars are crowded under नक्तो and सास्मि — [accent ?].)</w:t>
      </w:r>
    </w:p>
    <w:p>
      <w:pPr>
        <w:pStyle w:val="BodyText"/>
      </w:pPr>
      <w:r>
        <w:rPr>
          <w:bCs/>
          <w:b/>
        </w:rPr>
        <w:t xml:space="preserve">॥ Saṃhitā-pāṭhaḥ ॥</w:t>
      </w:r>
    </w:p>
    <w:p>
      <w:pPr>
        <w:pStyle w:val="BlockText"/>
      </w:pPr>
      <w:r>
        <w:t xml:space="preserve">न॒क्तो॒षासा॑ सु॒पेश॑सा॒स्मिन्य॒ज्ञ उप॑ ह्वये । [accent ?]</w:t>
      </w:r>
      <w:r>
        <w:t xml:space="preserve"> </w:t>
      </w:r>
      <w:r>
        <w:t xml:space="preserve">इ॒दं नो॑ ब॒र्हिरा॒स॑दे ॥७॥</w:t>
      </w:r>
    </w:p>
    <w:p>
      <w:pPr>
        <w:pStyle w:val="BlockText"/>
      </w:pPr>
      <w:r>
        <w:rPr>
          <w:iCs/>
          <w:i/>
        </w:rPr>
        <w:t xml:space="preserve">naktoṣā́sā supéśasāsmín yajñá úpa hvaye |</w:t>
      </w:r>
      <w:r>
        <w:t xml:space="preserve"> </w:t>
      </w:r>
      <w:r>
        <w:t xml:space="preserve">[accent ?]</w:t>
      </w:r>
      <w:r>
        <w:t xml:space="preserve"> </w:t>
      </w:r>
      <w:r>
        <w:rPr>
          <w:iCs/>
          <w:i/>
        </w:rPr>
        <w:t xml:space="preserve">idáṃ no barhír āsade ||7||</w:t>
      </w:r>
    </w:p>
    <w:p>
      <w:pPr>
        <w:pStyle w:val="FirstParagraph"/>
      </w:pPr>
      <w:r>
        <w:rPr>
          <w:bCs/>
          <w:b/>
        </w:rPr>
        <w:t xml:space="preserve">॥ Pada-pāṭhaḥ ॥</w:t>
      </w:r>
    </w:p>
    <w:p>
      <w:pPr>
        <w:pStyle w:val="BlockText"/>
      </w:pPr>
      <w:r>
        <w:t xml:space="preserve">नक्तोषसा । सुऽपेशसा । अस्मिन् । यज्ञे । उप । ह्वये ॥</w:t>
      </w:r>
      <w:r>
        <w:t xml:space="preserve"> </w:t>
      </w:r>
      <w:r>
        <w:t xml:space="preserve">इदम् । नः । बर्हिः । आऽसदे ॥७॥</w:t>
      </w:r>
    </w:p>
    <w:p>
      <w:pPr>
        <w:pStyle w:val="BlockText"/>
      </w:pPr>
      <w:r>
        <w:rPr>
          <w:iCs/>
          <w:i/>
        </w:rPr>
        <w:t xml:space="preserve">naktoṣasā | su-peśasā | asmin | yajñe | upa | hvaye ||</w:t>
      </w:r>
      <w:r>
        <w:t xml:space="preserve"> </w:t>
      </w:r>
      <w:r>
        <w:rPr>
          <w:iCs/>
          <w:i/>
        </w:rPr>
        <w:t xml:space="preserve">idam | naḥ | barhiḥ | ā-sade ||7||</w:t>
      </w:r>
    </w:p>
    <w:p>
      <w:pPr>
        <w:pStyle w:val="FirstParagraph"/>
      </w:pPr>
      <w:r>
        <w:rPr>
          <w:bCs/>
          <w:b/>
        </w:rPr>
        <w:t xml:space="preserve">॥ Sāyaṇa-bhāṣyam ॥</w:t>
      </w:r>
      <w:r>
        <w:t xml:space="preserve"> </w:t>
      </w:r>
      <w:r>
        <w:rPr>
          <w:iCs/>
          <w:i/>
        </w:rPr>
        <w:t xml:space="preserve">(runs onto p. 556)</w:t>
      </w:r>
    </w:p>
    <w:p>
      <w:pPr>
        <w:pStyle w:val="BlockText"/>
      </w:pPr>
      <w:r>
        <w:t xml:space="preserve">नक्तशब्द उषःशब्दश्च लोके कालविशेषवाचिनौ । इह तु तत्कालाभिमानि वह्निमूर्तिद्वये प्रयुज्येते । नक्तोषासा नक्तोषो नामिके वह्निमूर्ती अस्मिन्प्रवर्तमाने यज्ञकर्मण्युप ह्वये । आह्वयामि । किमर्थम् । नो ऽस्मदीयमिदं वेद्यामास्तीर्णं बर्हिर्दर्भमासदे । आसत्तुम् । प्राप्तुम् । कीदृशौ । सुपेशसा शोभनरूपयुक्ते ॥ नक्तं चोषाश्च नक्तोषसा । द्वितीयाद्विवचनस्य सुपां सुलुगित्याकारः । मलोप उपधादीर्घश्छान्दसौ । देवताद्वन्द्वे च । पा. ६-२-१४१ । इति पूर्वोत्तरपदयोर्युगपत्प्रकृतिस्वरत्वम् । सुपेशसा । शोभनं पेशो रूपं ययोस्ते । पूर्ववदाकारः । पेशःशब्दो नब्विषयत्वादाद्युदात्तः । बहुव्रीहौ नञ्सुभ्यामित्युत्तरपदान्तोदात्तत्वस्यापवादत्वेनाद्युदात्तं द्व्यच्छन्दसि । पा. ६-२-११९ । इत्युत्तरपदाद्युदात्तत्वम् । अस्मिन् । ऊडिदमित्यादिना विभक्तिरुदात्ता । आसदे । षद्लृ विशरणगत्यवसादनेषु । धात्वादेः षः सः । आङ्पूर्वादस्मात्संपदादिभ्यो भावे क्विप् । पा. ३-३-१०८-९ । प्रादिसमासः । कृदुत्तरपदप्रकृतिस्वरत्वम् ॥</w:t>
      </w:r>
    </w:p>
    <w:p>
      <w:pPr>
        <w:pStyle w:val="BlockText"/>
      </w:pPr>
      <w:r>
        <w:rPr>
          <w:iCs/>
          <w:i/>
        </w:rPr>
        <w:t xml:space="preserve">naktaśabda uṣaḥśabdaśca loke kālaviśeṣavācinau | iha tu tatkālābhimāni vahnimūrtidvaye prayujyete | naktoṣāsā naktoṣo nāmike vahnimūrtī asminpravartamāne yajñakarmaṇyupa hvaye | āhvayāmi | kimartham | no ’smadīyamidaṃ vedyāmāstīrṇaṃ barhirdarbhamāsade | āsattum | prāptum | kīdṛśau | supeśasā śobhanarūpayukte || naktaṃ coṣāśca naktoṣasā | dvitīyādvivacanasya supāṃ sulugityākāraḥ | malopa upadhādīrghaśchāndasau | devatādvandve ca | pā. 6-2-141 | iti pūrvottarapadayoryugapatprakṛtisvaratvam | supeśasā | śobhanaṃ peśo rūpaṃ yayoste | pūrvavadākāraḥ | peśaḥśabdo nabviṣayatvādādyudāttaḥ | bahuvrīhau nañsubhyāmityuttarapadāntodāttatvasyāpavādatvenādyudāttaṃ dvyacchandasi | pā. 6-2-119 | ityuttarapadādyudāttatvam | asmin | ūḍidamityādinā vibhaktirudāttā | āsade | ṣadlṛ viśaraṇagatyavasādaneṣu | dhātvādeḥ ṣaḥ saḥ | āṅpūrvādasmātsaṃpadādibhyo bhāve kvip | pā. 3-3-108-9 | prādisamāsaḥ | kṛduttarapadaprakṛtisvaratvam ||</w:t>
      </w:r>
    </w:p>
    <w:p>
      <w:pPr>
        <w:pStyle w:val="FirstParagraph"/>
      </w:pPr>
      <w:r>
        <w:rPr>
          <w:bCs/>
          <w:b/>
        </w:rPr>
        <w:t xml:space="preserve">Translation:</w:t>
      </w:r>
      <w:r>
        <w:t xml:space="preserve"> </w:t>
      </w:r>
      <w:r>
        <w:t xml:space="preserve">“</w:t>
      </w:r>
      <w:r>
        <w:t xml:space="preserve">The words</w:t>
      </w:r>
      <w:r>
        <w:t xml:space="preserve"> </w:t>
      </w:r>
      <w:r>
        <w:rPr>
          <w:iCs/>
          <w:i/>
        </w:rPr>
        <w:t xml:space="preserve">nakta</w:t>
      </w:r>
      <w:r>
        <w:t xml:space="preserve"> </w:t>
      </w:r>
      <w:r>
        <w:t xml:space="preserve">and</w:t>
      </w:r>
      <w:r>
        <w:t xml:space="preserve"> </w:t>
      </w:r>
      <w:r>
        <w:rPr>
          <w:iCs/>
          <w:i/>
        </w:rPr>
        <w:t xml:space="preserve">uṣas</w:t>
      </w:r>
      <w:r>
        <w:t xml:space="preserve"> </w:t>
      </w:r>
      <w:r>
        <w:t xml:space="preserve">in ordinary use denote particular times; here, however, they are used of the pair of fire-forms presiding over those times.</w:t>
      </w:r>
      <w:r>
        <w:t xml:space="preserve"> </w:t>
      </w:r>
      <w:r>
        <w:rPr>
          <w:iCs/>
          <w:i/>
        </w:rPr>
        <w:t xml:space="preserve">Naktoṣāsā</w:t>
      </w:r>
      <w:r>
        <w:t xml:space="preserve"> </w:t>
      </w:r>
      <w:r>
        <w:t xml:space="preserve">— the two fire-forms named Night and Dawn — I</w:t>
      </w:r>
      <w:r>
        <w:t xml:space="preserve"> </w:t>
      </w:r>
      <w:r>
        <w:rPr>
          <w:iCs/>
          <w:i/>
        </w:rPr>
        <w:t xml:space="preserve">upa hvaye</w:t>
      </w:r>
      <w:r>
        <w:t xml:space="preserve">, call, in this sacrificial rite now in progress. For what?</w:t>
      </w:r>
      <w:r>
        <w:t xml:space="preserve"> </w:t>
      </w:r>
      <w:r>
        <w:rPr>
          <w:iCs/>
          <w:i/>
        </w:rPr>
        <w:t xml:space="preserve">Naḥ idaṃ barhiḥ āsade</w:t>
      </w:r>
      <w:r>
        <w:t xml:space="preserve"> </w:t>
      </w:r>
      <w:r>
        <w:t xml:space="preserve">— to sit on, to reach, this our</w:t>
      </w:r>
      <w:r>
        <w:t xml:space="preserve"> </w:t>
      </w:r>
      <w:r>
        <w:rPr>
          <w:iCs/>
          <w:i/>
        </w:rPr>
        <w:t xml:space="preserve">darbha</w:t>
      </w:r>
      <w:r>
        <w:t xml:space="preserve"> </w:t>
      </w:r>
      <w:r>
        <w:t xml:space="preserve">spread on the altar. What are they like?</w:t>
      </w:r>
      <w:r>
        <w:t xml:space="preserve"> </w:t>
      </w:r>
      <w:r>
        <w:rPr>
          <w:iCs/>
          <w:i/>
        </w:rPr>
        <w:t xml:space="preserve">Supeśasā</w:t>
      </w:r>
      <w:r>
        <w:t xml:space="preserve"> </w:t>
      </w:r>
      <w:r>
        <w:t xml:space="preserve">— endowed with beautiful form.</w:t>
      </w:r>
      <w:r>
        <w:t xml:space="preserve">”</w:t>
      </w:r>
      <w:r>
        <w:t xml:space="preserve"> </w:t>
      </w:r>
      <w:r>
        <w:t xml:space="preserve">(Grammatical tail:</w:t>
      </w:r>
      <w:r>
        <w:t xml:space="preserve"> </w:t>
      </w:r>
      <w:r>
        <w:rPr>
          <w:iCs/>
          <w:i/>
        </w:rPr>
        <w:t xml:space="preserve">naktoṣasā</w:t>
      </w:r>
      <w:r>
        <w:t xml:space="preserve"> </w:t>
      </w:r>
      <w:r>
        <w:t xml:space="preserve">—</w:t>
      </w:r>
      <w:r>
        <w:t xml:space="preserve"> </w:t>
      </w:r>
      <w:r>
        <w:t xml:space="preserve">“</w:t>
      </w:r>
      <w:r>
        <w:t xml:space="preserve">night and dawn</w:t>
      </w:r>
      <w:r>
        <w:t xml:space="preserve">”</w:t>
      </w:r>
      <w:r>
        <w:t xml:space="preserve">:</w:t>
      </w:r>
      <w:r>
        <w:t xml:space="preserve"> </w:t>
      </w:r>
      <w:r>
        <w:rPr>
          <w:iCs/>
          <w:i/>
        </w:rPr>
        <w:t xml:space="preserve">ā</w:t>
      </w:r>
      <w:r>
        <w:t xml:space="preserve"> </w:t>
      </w:r>
      <w:r>
        <w:t xml:space="preserve">for the accusative dual ending by</w:t>
      </w:r>
      <w:r>
        <w:t xml:space="preserve"> </w:t>
      </w:r>
      <w:r>
        <w:t xml:space="preserve">“</w:t>
      </w:r>
      <w:r>
        <w:t xml:space="preserve">supāṃ suluk…</w:t>
      </w:r>
      <w:r>
        <w:t xml:space="preserve">”</w:t>
      </w:r>
      <w:r>
        <w:t xml:space="preserve">; the loss of</w:t>
      </w:r>
      <w:r>
        <w:t xml:space="preserve"> </w:t>
      </w:r>
      <w:r>
        <w:rPr>
          <w:iCs/>
          <w:i/>
        </w:rPr>
        <w:t xml:space="preserve">m</w:t>
      </w:r>
      <w:r>
        <w:t xml:space="preserve"> </w:t>
      </w:r>
      <w:r>
        <w:t xml:space="preserve">and the lengthening of the penultimate are Vedic; by</w:t>
      </w:r>
      <w:r>
        <w:t xml:space="preserve"> </w:t>
      </w:r>
      <w:r>
        <w:t xml:space="preserve">“</w:t>
      </w:r>
      <w:r>
        <w:t xml:space="preserve">devatādvandve ca</w:t>
      </w:r>
      <w:r>
        <w:t xml:space="preserve">”</w:t>
      </w:r>
      <w:r>
        <w:t xml:space="preserve"> </w:t>
      </w:r>
      <w:r>
        <w:t xml:space="preserve">(Pā. 6-2-141) both members keep their own accents at once;</w:t>
      </w:r>
      <w:r>
        <w:t xml:space="preserve"> </w:t>
      </w:r>
      <w:r>
        <w:rPr>
          <w:iCs/>
          <w:i/>
        </w:rPr>
        <w:t xml:space="preserve">supeśasā</w:t>
      </w:r>
      <w:r>
        <w:t xml:space="preserve"> </w:t>
      </w:r>
      <w:r>
        <w:t xml:space="preserve">—</w:t>
      </w:r>
      <w:r>
        <w:t xml:space="preserve"> </w:t>
      </w:r>
      <w:r>
        <w:t xml:space="preserve">“</w:t>
      </w:r>
      <w:r>
        <w:t xml:space="preserve">whose</w:t>
      </w:r>
      <w:r>
        <w:t xml:space="preserve"> </w:t>
      </w:r>
      <w:r>
        <w:rPr>
          <w:iCs/>
          <w:i/>
        </w:rPr>
        <w:t xml:space="preserve">peśas</w:t>
      </w:r>
      <w:r>
        <w:t xml:space="preserve">, form, is beautiful</w:t>
      </w:r>
      <w:r>
        <w:t xml:space="preserve">”</w:t>
      </w:r>
      <w:r>
        <w:t xml:space="preserve">,</w:t>
      </w:r>
      <w:r>
        <w:t xml:space="preserve"> </w:t>
      </w:r>
      <w:r>
        <w:rPr>
          <w:iCs/>
          <w:i/>
        </w:rPr>
        <w:t xml:space="preserve">ā</w:t>
      </w:r>
      <w:r>
        <w:t xml:space="preserve"> </w:t>
      </w:r>
      <w:r>
        <w:t xml:space="preserve">as before;</w:t>
      </w:r>
      <w:r>
        <w:t xml:space="preserve"> </w:t>
      </w:r>
      <w:r>
        <w:rPr>
          <w:iCs/>
          <w:i/>
        </w:rPr>
        <w:t xml:space="preserve">peśas</w:t>
      </w:r>
      <w:r>
        <w:t xml:space="preserve"> </w:t>
      </w:r>
      <w:r>
        <w:t xml:space="preserve">initial-udātta as a</w:t>
      </w:r>
      <w:r>
        <w:t xml:space="preserve"> </w:t>
      </w:r>
      <w:r>
        <w:rPr>
          <w:iCs/>
          <w:i/>
        </w:rPr>
        <w:t xml:space="preserve">nab-viṣaya</w:t>
      </w:r>
      <w:r>
        <w:t xml:space="preserve"> </w:t>
      </w:r>
      <w:r>
        <w:t xml:space="preserve">word; in the bahuvrīhi, setting aside the second member’s final udātta of</w:t>
      </w:r>
      <w:r>
        <w:t xml:space="preserve"> </w:t>
      </w:r>
      <w:r>
        <w:t xml:space="preserve">“</w:t>
      </w:r>
      <w:r>
        <w:t xml:space="preserve">nañ-subhyām</w:t>
      </w:r>
      <w:r>
        <w:t xml:space="preserve">”</w:t>
      </w:r>
      <w:r>
        <w:t xml:space="preserve">,</w:t>
      </w:r>
      <w:r>
        <w:t xml:space="preserve"> </w:t>
      </w:r>
      <w:r>
        <w:t xml:space="preserve">“</w:t>
      </w:r>
      <w:r>
        <w:t xml:space="preserve">ādyudāttaṃ dvyac chandasi</w:t>
      </w:r>
      <w:r>
        <w:t xml:space="preserve">”</w:t>
      </w:r>
      <w:r>
        <w:t xml:space="preserve"> </w:t>
      </w:r>
      <w:r>
        <w:t xml:space="preserve">(Pā. 6-2-119) makes the second member initial-udātta;</w:t>
      </w:r>
      <w:r>
        <w:t xml:space="preserve"> </w:t>
      </w:r>
      <w:r>
        <w:rPr>
          <w:iCs/>
          <w:i/>
        </w:rPr>
        <w:t xml:space="preserve">asmin</w:t>
      </w:r>
      <w:r>
        <w:t xml:space="preserve"> </w:t>
      </w:r>
      <w:r>
        <w:t xml:space="preserve">— the case ending udātta by</w:t>
      </w:r>
      <w:r>
        <w:t xml:space="preserve"> </w:t>
      </w:r>
      <w:r>
        <w:t xml:space="preserve">“</w:t>
      </w:r>
      <w:r>
        <w:t xml:space="preserve">ūḍ-idam…</w:t>
      </w:r>
      <w:r>
        <w:t xml:space="preserve">”</w:t>
      </w:r>
      <w:r>
        <w:t xml:space="preserve">;</w:t>
      </w:r>
      <w:r>
        <w:t xml:space="preserve"> </w:t>
      </w:r>
      <w:r>
        <w:rPr>
          <w:iCs/>
          <w:i/>
        </w:rPr>
        <w:t xml:space="preserve">āsade</w:t>
      </w:r>
      <w:r>
        <w:t xml:space="preserve"> </w:t>
      </w:r>
      <w:r>
        <w:t xml:space="preserve">—</w:t>
      </w:r>
      <w:r>
        <w:t xml:space="preserve"> </w:t>
      </w:r>
      <w:r>
        <w:rPr>
          <w:iCs/>
          <w:i/>
        </w:rPr>
        <w:t xml:space="preserve">ṣadḷ</w:t>
      </w:r>
      <w:r>
        <w:t xml:space="preserve">,</w:t>
      </w:r>
      <w:r>
        <w:t xml:space="preserve"> </w:t>
      </w:r>
      <w:r>
        <w:rPr>
          <w:iCs/>
          <w:i/>
        </w:rPr>
        <w:t xml:space="preserve">s</w:t>
      </w:r>
      <w:r>
        <w:t xml:space="preserve"> </w:t>
      </w:r>
      <w:r>
        <w:t xml:space="preserve">for</w:t>
      </w:r>
      <w:r>
        <w:t xml:space="preserve"> </w:t>
      </w:r>
      <w:r>
        <w:rPr>
          <w:iCs/>
          <w:i/>
        </w:rPr>
        <w:t xml:space="preserve">ṣ</w:t>
      </w:r>
      <w:r>
        <w:t xml:space="preserve">,</w:t>
      </w:r>
      <w:r>
        <w:t xml:space="preserve"> </w:t>
      </w:r>
      <w:r>
        <w:rPr>
          <w:iCs/>
          <w:i/>
        </w:rPr>
        <w:t xml:space="preserve">kvip</w:t>
      </w:r>
      <w:r>
        <w:t xml:space="preserve"> </w:t>
      </w:r>
      <w:r>
        <w:t xml:space="preserve">in the sense of the state after</w:t>
      </w:r>
      <w:r>
        <w:t xml:space="preserve"> </w:t>
      </w:r>
      <w:r>
        <w:rPr>
          <w:iCs/>
          <w:i/>
        </w:rPr>
        <w:t xml:space="preserve">sad</w:t>
      </w:r>
      <w:r>
        <w:t xml:space="preserve"> </w:t>
      </w:r>
      <w:r>
        <w:t xml:space="preserve">with</w:t>
      </w:r>
      <w:r>
        <w:t xml:space="preserve"> </w:t>
      </w:r>
      <w:r>
        <w:rPr>
          <w:iCs/>
          <w:i/>
        </w:rPr>
        <w:t xml:space="preserve">āṅ</w:t>
      </w:r>
      <w:r>
        <w:t xml:space="preserve">, by</w:t>
      </w:r>
      <w:r>
        <w:t xml:space="preserve"> </w:t>
      </w:r>
      <w:r>
        <w:t xml:space="preserve">“</w:t>
      </w:r>
      <w:r>
        <w:t xml:space="preserve">sampadādibhyaḥ</w:t>
      </w:r>
      <w:r>
        <w:t xml:space="preserve">”</w:t>
      </w:r>
      <w:r>
        <w:t xml:space="preserve"> </w:t>
      </w:r>
      <w:r>
        <w:t xml:space="preserve">(Pā. 3-3-108-9), a</w:t>
      </w:r>
      <w:r>
        <w:t xml:space="preserve"> </w:t>
      </w:r>
      <w:r>
        <w:rPr>
          <w:iCs/>
          <w:i/>
        </w:rPr>
        <w:t xml:space="preserve">prādi</w:t>
      </w:r>
      <w:r>
        <w:t xml:space="preserve"> </w:t>
      </w:r>
      <w:r>
        <w:t xml:space="preserve">compound, the</w:t>
      </w:r>
      <w:r>
        <w:t xml:space="preserve"> </w:t>
      </w:r>
      <w:r>
        <w:rPr>
          <w:iCs/>
          <w:i/>
        </w:rPr>
        <w:t xml:space="preserve">kṛt</w:t>
      </w:r>
      <w:r>
        <w:t xml:space="preserve"> </w:t>
      </w:r>
      <w:r>
        <w:t xml:space="preserve">second-member accent.)</w:t>
      </w:r>
    </w:p>
    <w:bookmarkEnd w:id="588"/>
    <w:bookmarkStart w:id="589" w:name="X5c167310e4274ae81ac98803512162542f9b5ad"/>
    <w:p>
      <w:pPr>
        <w:pStyle w:val="Heading3"/>
      </w:pPr>
      <w:r>
        <w:t xml:space="preserve">Page 556 — Rik 7: word-meanings, overall sense, English</w:t>
      </w:r>
    </w:p>
    <w:p>
      <w:pPr>
        <w:pStyle w:val="FirstParagraph"/>
      </w:pPr>
      <w:r>
        <w:rPr>
          <w:bCs/>
          <w:b/>
        </w:rPr>
        <w:t xml:space="preserve">॥ Prati-padārthaḥ ॥</w:t>
      </w:r>
    </w:p>
    <w:p>
      <w:pPr>
        <w:pStyle w:val="BodyText"/>
      </w:pPr>
      <w:r>
        <w:rPr>
          <w:bCs/>
          <w:b/>
        </w:rPr>
        <w:t xml:space="preserve">नः (naḥ)</w:t>
      </w:r>
      <w:r>
        <w:t xml:space="preserve"> </w:t>
      </w:r>
      <w:r>
        <w:t xml:space="preserve">— our |</w:t>
      </w:r>
      <w:r>
        <w:t xml:space="preserve"> </w:t>
      </w:r>
      <w:r>
        <w:rPr>
          <w:bCs/>
          <w:b/>
        </w:rPr>
        <w:t xml:space="preserve">इदम् (idam)</w:t>
      </w:r>
      <w:r>
        <w:t xml:space="preserve"> </w:t>
      </w:r>
      <w:r>
        <w:t xml:space="preserve">— this, spread on the altar |</w:t>
      </w:r>
      <w:r>
        <w:t xml:space="preserve"> </w:t>
      </w:r>
      <w:r>
        <w:rPr>
          <w:bCs/>
          <w:b/>
        </w:rPr>
        <w:t xml:space="preserve">बर्हिः (barhiḥ)</w:t>
      </w:r>
      <w:r>
        <w:t xml:space="preserve"> </w:t>
      </w:r>
      <w:r>
        <w:t xml:space="preserve">— the</w:t>
      </w:r>
      <w:r>
        <w:t xml:space="preserve"> </w:t>
      </w:r>
      <w:r>
        <w:rPr>
          <w:iCs/>
          <w:i/>
        </w:rPr>
        <w:t xml:space="preserve">darbha</w:t>
      </w:r>
      <w:r>
        <w:t xml:space="preserve"> </w:t>
      </w:r>
      <w:r>
        <w:t xml:space="preserve">grass prepared as a seat |</w:t>
      </w:r>
      <w:r>
        <w:t xml:space="preserve"> </w:t>
      </w:r>
      <w:r>
        <w:rPr>
          <w:bCs/>
          <w:b/>
        </w:rPr>
        <w:t xml:space="preserve">आसदे (āsade)</w:t>
      </w:r>
      <w:r>
        <w:t xml:space="preserve"> </w:t>
      </w:r>
      <w:r>
        <w:t xml:space="preserve">— in order that they may come and sit [on] it (that is, to sit on the</w:t>
      </w:r>
      <w:r>
        <w:t xml:space="preserve"> </w:t>
      </w:r>
      <w:r>
        <w:rPr>
          <w:iCs/>
          <w:i/>
        </w:rPr>
        <w:t xml:space="preserve">darbha</w:t>
      </w:r>
      <w:r>
        <w:t xml:space="preserve"> </w:t>
      </w:r>
      <w:r>
        <w:t xml:space="preserve">that we have spread) |</w:t>
      </w:r>
      <w:r>
        <w:t xml:space="preserve"> </w:t>
      </w:r>
      <w:r>
        <w:rPr>
          <w:bCs/>
          <w:b/>
        </w:rPr>
        <w:t xml:space="preserve">सुपेशसा (supeśasā)</w:t>
      </w:r>
      <w:r>
        <w:t xml:space="preserve"> </w:t>
      </w:r>
      <w:r>
        <w:t xml:space="preserve">— endowed with beautiful forms |</w:t>
      </w:r>
      <w:r>
        <w:t xml:space="preserve"> </w:t>
      </w:r>
      <w:r>
        <w:rPr>
          <w:bCs/>
          <w:b/>
        </w:rPr>
        <w:t xml:space="preserve">नक्तोषासा (naktoṣāsā)</w:t>
      </w:r>
      <w:r>
        <w:t xml:space="preserve"> </w:t>
      </w:r>
      <w:r>
        <w:t xml:space="preserve">— the deities of night and dawn (or the presiding deities of those times) |</w:t>
      </w:r>
      <w:r>
        <w:t xml:space="preserve"> </w:t>
      </w:r>
      <w:r>
        <w:rPr>
          <w:bCs/>
          <w:b/>
        </w:rPr>
        <w:t xml:space="preserve">अस्मिन् यज्ञे (asmin yajñe)</w:t>
      </w:r>
      <w:r>
        <w:t xml:space="preserve"> </w:t>
      </w:r>
      <w:r>
        <w:t xml:space="preserve">— in this sacrifice now proceeding |</w:t>
      </w:r>
      <w:r>
        <w:t xml:space="preserve"> </w:t>
      </w:r>
      <w:r>
        <w:rPr>
          <w:bCs/>
          <w:b/>
        </w:rPr>
        <w:t xml:space="preserve">उप ह्वये (upa hvaye)</w:t>
      </w:r>
      <w:r>
        <w:t xml:space="preserve"> </w:t>
      </w:r>
      <w:r>
        <w:t xml:space="preserve">— I invoke.</w:t>
      </w:r>
    </w:p>
    <w:p>
      <w:pPr>
        <w:pStyle w:val="BodyText"/>
      </w:pPr>
      <w:r>
        <w:rPr>
          <w:bCs/>
          <w:b/>
        </w:rPr>
        <w:t xml:space="preserve">॥ Bhāvārthaḥ ॥</w:t>
      </w:r>
    </w:p>
    <w:p>
      <w:pPr>
        <w:pStyle w:val="BodyText"/>
      </w:pPr>
      <w:r>
        <w:t xml:space="preserve">In the sacrifice we are performing we have spread</w:t>
      </w:r>
      <w:r>
        <w:t xml:space="preserve"> </w:t>
      </w:r>
      <w:r>
        <w:rPr>
          <w:iCs/>
          <w:i/>
        </w:rPr>
        <w:t xml:space="preserve">darbha</w:t>
      </w:r>
      <w:r>
        <w:t xml:space="preserve"> </w:t>
      </w:r>
      <w:r>
        <w:t xml:space="preserve">on the altar and made a seat ready. To come and sit on this seat, I now call in the sacrifice in progress the deities who shine with excellent forms (the deities called</w:t>
      </w:r>
      <w:r>
        <w:t xml:space="preserve"> </w:t>
      </w:r>
      <w:r>
        <w:rPr>
          <w:iCs/>
          <w:i/>
        </w:rPr>
        <w:t xml:space="preserve">Naktoṣāsā</w:t>
      </w:r>
      <w:r>
        <w:t xml:space="preserve">, presiding over night and the morning time).</w:t>
      </w:r>
    </w:p>
    <w:p>
      <w:pPr>
        <w:pStyle w:val="BodyText"/>
      </w:pPr>
      <w:r>
        <w:rPr>
          <w:bCs/>
          <w:b/>
        </w:rPr>
        <w:t xml:space="preserve">॥ English Translation ॥</w:t>
      </w:r>
      <w:r>
        <w:t xml:space="preserve"> </w:t>
      </w:r>
      <w:r>
        <w:rPr>
          <w:iCs/>
          <w:i/>
        </w:rPr>
        <w:t xml:space="preserve">(as printed in the source)</w:t>
      </w:r>
    </w:p>
    <w:p>
      <w:pPr>
        <w:pStyle w:val="BlockText"/>
      </w:pPr>
      <w:r>
        <w:t xml:space="preserve">I invoke here at this sacrifice Night and Dawn, the beautifully adorned goddesses, that they may sit down on this our sacrificial grass.</w:t>
      </w:r>
    </w:p>
    <w:bookmarkEnd w:id="589"/>
    <w:bookmarkStart w:id="590" w:name="page-557-rik-7-special-topics"/>
    <w:p>
      <w:pPr>
        <w:pStyle w:val="Heading3"/>
      </w:pPr>
      <w:r>
        <w:t xml:space="preserve">Page 557 — Rik 7: Special Topics</w:t>
      </w:r>
    </w:p>
    <w:p>
      <w:pPr>
        <w:pStyle w:val="FirstParagraph"/>
      </w:pPr>
      <w:r>
        <w:rPr>
          <w:bCs/>
          <w:b/>
        </w:rPr>
        <w:t xml:space="preserve">॥ Viśeṣa-viṣayagaḷu (Special Topics) ॥</w:t>
      </w:r>
    </w:p>
    <w:p>
      <w:pPr>
        <w:pStyle w:val="BodyText"/>
      </w:pPr>
      <w:r>
        <w:t xml:space="preserve">In this rik the presiding deities of night and of the morning time, called</w:t>
      </w:r>
      <w:r>
        <w:t xml:space="preserve"> </w:t>
      </w:r>
      <w:r>
        <w:rPr>
          <w:iCs/>
          <w:i/>
        </w:rPr>
        <w:t xml:space="preserve">Naktoṣāsā</w:t>
      </w:r>
      <w:r>
        <w:t xml:space="preserve">, are invoked. Yāska’s explanation of the word</w:t>
      </w:r>
      <w:r>
        <w:t xml:space="preserve"> </w:t>
      </w:r>
      <w:r>
        <w:rPr>
          <w:iCs/>
          <w:i/>
        </w:rPr>
        <w:t xml:space="preserve">naktoṣasā</w:t>
      </w:r>
      <w:r>
        <w:t xml:space="preserve"> </w:t>
      </w:r>
      <w:r>
        <w:t xml:space="preserve">is as follows:</w:t>
      </w:r>
    </w:p>
    <w:p>
      <w:pPr>
        <w:pStyle w:val="BlockText"/>
      </w:pPr>
      <w:r>
        <w:t xml:space="preserve">उषासानक्ता । उषासानक्तोषाश्च नक्ता चोषा व्याख्याता । नक्तेति रात्रिनामानक्ति भूतान्यवश्यायेनापि वा नक्ताव्यक्तवर्णा ॥</w:t>
      </w:r>
    </w:p>
    <w:p>
      <w:pPr>
        <w:pStyle w:val="BlockText"/>
      </w:pPr>
      <w:r>
        <w:rPr>
          <w:iCs/>
          <w:i/>
        </w:rPr>
        <w:t xml:space="preserve">uṣāsānaktā | uṣāsānaktoṣāśca naktā coṣā vyākhyātā | nakteti rātrināmānakti bhūtānyavaśyāyenāpi vā naktāvyaktavarṇā ||</w:t>
      </w:r>
    </w:p>
    <w:p>
      <w:pPr>
        <w:pStyle w:val="FirstParagraph"/>
      </w:pPr>
      <w:r>
        <w:t xml:space="preserve">Although read in two ways,</w:t>
      </w:r>
      <w:r>
        <w:t xml:space="preserve"> </w:t>
      </w:r>
      <w:r>
        <w:rPr>
          <w:iCs/>
          <w:i/>
        </w:rPr>
        <w:t xml:space="preserve">naktoṣāsā</w:t>
      </w:r>
      <w:r>
        <w:t xml:space="preserve"> </w:t>
      </w:r>
      <w:r>
        <w:t xml:space="preserve">and</w:t>
      </w:r>
      <w:r>
        <w:t xml:space="preserve"> </w:t>
      </w:r>
      <w:r>
        <w:rPr>
          <w:iCs/>
          <w:i/>
        </w:rPr>
        <w:t xml:space="preserve">uṣāsānaktā</w:t>
      </w:r>
      <w:r>
        <w:t xml:space="preserve">, the sense is one. We have given the explanation of the word</w:t>
      </w:r>
      <w:r>
        <w:t xml:space="preserve"> </w:t>
      </w:r>
      <w:r>
        <w:rPr>
          <w:iCs/>
          <w:i/>
        </w:rPr>
        <w:t xml:space="preserve">uṣas</w:t>
      </w:r>
      <w:r>
        <w:t xml:space="preserve"> </w:t>
      </w:r>
      <w:r>
        <w:t xml:space="preserve">earlier.</w:t>
      </w:r>
      <w:r>
        <w:t xml:space="preserve"> </w:t>
      </w:r>
      <w:r>
        <w:rPr>
          <w:iCs/>
          <w:i/>
        </w:rPr>
        <w:t xml:space="preserve">Naktā</w:t>
      </w:r>
      <w:r>
        <w:t xml:space="preserve"> </w:t>
      </w:r>
      <w:r>
        <w:t xml:space="preserve">is a name of night; for</w:t>
      </w:r>
      <w:r>
        <w:t xml:space="preserve"> </w:t>
      </w:r>
      <w:r>
        <w:rPr>
          <w:iCs/>
          <w:i/>
        </w:rPr>
        <w:t xml:space="preserve">naktā</w:t>
      </w:r>
      <w:r>
        <w:t xml:space="preserve"> </w:t>
      </w:r>
      <w:r>
        <w:t xml:space="preserve">means</w:t>
      </w:r>
      <w:r>
        <w:t xml:space="preserve"> </w:t>
      </w:r>
      <w:r>
        <w:rPr>
          <w:iCs/>
          <w:i/>
        </w:rPr>
        <w:t xml:space="preserve">avyaktavarṇā</w:t>
      </w:r>
      <w:r>
        <w:t xml:space="preserve">,</w:t>
      </w:r>
      <w:r>
        <w:t xml:space="preserve"> </w:t>
      </w:r>
      <w:r>
        <w:t xml:space="preserve">“</w:t>
      </w:r>
      <w:r>
        <w:t xml:space="preserve">of indistinct colour</w:t>
      </w:r>
      <w:r>
        <w:t xml:space="preserve">”</w:t>
      </w:r>
      <w:r>
        <w:t xml:space="preserve">: because of the darkness things are indistinct, not clearly seen; so the night, joined with darkness, is called</w:t>
      </w:r>
      <w:r>
        <w:t xml:space="preserve"> </w:t>
      </w:r>
      <w:r>
        <w:rPr>
          <w:iCs/>
          <w:i/>
        </w:rPr>
        <w:t xml:space="preserve">naktā</w:t>
      </w:r>
      <w:r>
        <w:t xml:space="preserve">, and in this night-time living beings are unable to do their work.</w:t>
      </w:r>
    </w:p>
    <w:p>
      <w:pPr>
        <w:pStyle w:val="BlockText"/>
      </w:pPr>
      <w:r>
        <w:t xml:space="preserve">अनक्ति क्लेदयति भूतानि अवश्यायेन इति । अपि वा नक्ता अव्यक्तवर्णा । यथा अहः सर्वमभिव्यक्तरूपं भवति न तथा रात्रिः ॥</w:t>
      </w:r>
    </w:p>
    <w:p>
      <w:pPr>
        <w:pStyle w:val="BlockText"/>
      </w:pPr>
      <w:r>
        <w:rPr>
          <w:iCs/>
          <w:i/>
        </w:rPr>
        <w:t xml:space="preserve">anakti kledayati bhūtāni avaśyāyena iti | api vā naktā avyaktavarṇā | yathā ahaḥ sarvamabhivyaktarūpaṃ bhavati na tathā rātriḥ ||</w:t>
      </w:r>
    </w:p>
    <w:p>
      <w:pPr>
        <w:pStyle w:val="FirstParagraph"/>
      </w:pPr>
      <w:r>
        <w:t xml:space="preserve">The darkness gives living beings trouble, leaving no room for their activities to go on properly; so the night joined with such darkness is called</w:t>
      </w:r>
      <w:r>
        <w:t xml:space="preserve"> </w:t>
      </w:r>
      <w:r>
        <w:rPr>
          <w:iCs/>
          <w:i/>
        </w:rPr>
        <w:t xml:space="preserve">naktā</w:t>
      </w:r>
      <w:r>
        <w:t xml:space="preserve">; or, since nothing is clearly seen and all is indistinct, it is called</w:t>
      </w:r>
      <w:r>
        <w:t xml:space="preserve"> </w:t>
      </w:r>
      <w:r>
        <w:rPr>
          <w:iCs/>
          <w:i/>
        </w:rPr>
        <w:t xml:space="preserve">naktā</w:t>
      </w:r>
      <w:r>
        <w:t xml:space="preserve">. By day the forms of all things are seen clearly; at night they are not seen so. Therefore he explained that the night-time is called</w:t>
      </w:r>
      <w:r>
        <w:t xml:space="preserve"> </w:t>
      </w:r>
      <w:r>
        <w:rPr>
          <w:iCs/>
          <w:i/>
        </w:rPr>
        <w:t xml:space="preserve">naktā</w:t>
      </w:r>
      <w:r>
        <w:t xml:space="preserve"> </w:t>
      </w:r>
      <w:r>
        <w:t xml:space="preserve">(Ni. 8-11).</w:t>
      </w:r>
    </w:p>
    <w:p>
      <w:pPr>
        <w:pStyle w:val="BodyText"/>
      </w:pPr>
      <w:r>
        <w:t xml:space="preserve">He says that he has already explained the word</w:t>
      </w:r>
      <w:r>
        <w:t xml:space="preserve"> </w:t>
      </w:r>
      <w:r>
        <w:rPr>
          <w:iCs/>
          <w:i/>
        </w:rPr>
        <w:t xml:space="preserve">uṣas</w:t>
      </w:r>
      <w:r>
        <w:t xml:space="preserve">; that explanation runs:</w:t>
      </w:r>
      <w:r>
        <w:t xml:space="preserve"> </w:t>
      </w:r>
      <w:r>
        <w:t xml:space="preserve">“</w:t>
      </w:r>
      <w:r>
        <w:rPr>
          <w:iCs/>
          <w:i/>
        </w:rPr>
        <w:t xml:space="preserve">vibhāvarī</w:t>
      </w:r>
      <w:r>
        <w:t xml:space="preserve">,</w:t>
      </w:r>
      <w:r>
        <w:t xml:space="preserve"> </w:t>
      </w:r>
      <w:r>
        <w:rPr>
          <w:iCs/>
          <w:i/>
        </w:rPr>
        <w:t xml:space="preserve">sūnarī</w:t>
      </w:r>
      <w:r>
        <w:t xml:space="preserve"> </w:t>
      </w:r>
      <w:r>
        <w:t xml:space="preserve">and the other sixteen words are names of dawn</w:t>
      </w:r>
      <w:r>
        <w:t xml:space="preserve">”</w:t>
      </w:r>
      <w:r>
        <w:t xml:space="preserve"> </w:t>
      </w:r>
      <w:r>
        <w:t xml:space="preserve">(printed</w:t>
      </w:r>
      <w:r>
        <w:t xml:space="preserve"> </w:t>
      </w:r>
      <w:r>
        <w:t xml:space="preserve">“</w:t>
      </w:r>
      <w:r>
        <w:t xml:space="preserve">2-19</w:t>
      </w:r>
      <w:r>
        <w:t xml:space="preserve">”</w:t>
      </w:r>
      <w:r>
        <w:t xml:space="preserve">), and</w:t>
      </w:r>
    </w:p>
    <w:p>
      <w:pPr>
        <w:pStyle w:val="BlockText"/>
      </w:pPr>
      <w:r>
        <w:t xml:space="preserve">उषाः कस्मादुच्छतीति सत्या रात्रेरपरः कालः ॥</w:t>
      </w:r>
    </w:p>
    <w:p>
      <w:pPr>
        <w:pStyle w:val="BlockText"/>
      </w:pPr>
      <w:r>
        <w:rPr>
          <w:iCs/>
          <w:i/>
        </w:rPr>
        <w:t xml:space="preserve">uṣāḥ kasmāducchatīti satyā rātreraparaḥ kālaḥ ||</w:t>
      </w:r>
    </w:p>
    <w:p>
      <w:pPr>
        <w:pStyle w:val="FirstParagraph"/>
      </w:pPr>
      <w:r>
        <w:t xml:space="preserve">Because it removes the darkness of night it is called</w:t>
      </w:r>
      <w:r>
        <w:t xml:space="preserve"> </w:t>
      </w:r>
      <w:r>
        <w:rPr>
          <w:iCs/>
          <w:i/>
        </w:rPr>
        <w:t xml:space="preserve">uṣas</w:t>
      </w:r>
      <w:r>
        <w:t xml:space="preserve">; that is, the latter time of the night, its last part. In support of this sense he gives an example:</w:t>
      </w:r>
    </w:p>
    <w:p>
      <w:pPr>
        <w:pStyle w:val="BodyText"/>
      </w:pPr>
      <w:r>
        <w:rPr>
          <w:iCs/>
          <w:i/>
        </w:rPr>
        <w:t xml:space="preserve">(Ṛ. Saṃ. 1-113-1.)</w:t>
      </w:r>
    </w:p>
    <w:p>
      <w:pPr>
        <w:pStyle w:val="BlockText"/>
      </w:pPr>
      <w:r>
        <w:t xml:space="preserve">इदं श्रेष्ठं ज्योतिषां ज्योतिरागाच्चित्रः प्रकेतो अजनिष्ट विभ्वा ।</w:t>
      </w:r>
      <w:r>
        <w:t xml:space="preserve"> </w:t>
      </w:r>
      <w:r>
        <w:t xml:space="preserve">यथा प्रसूता सवितुः सवायँ एवा रात्र्युषसे योनिमारैक् ॥</w:t>
      </w:r>
    </w:p>
    <w:p>
      <w:pPr>
        <w:pStyle w:val="BlockText"/>
      </w:pPr>
      <w:r>
        <w:rPr>
          <w:iCs/>
          <w:i/>
        </w:rPr>
        <w:t xml:space="preserve">idaṃ śreṣṭhaṃ jyotiṣāṃ jyotirāgāccitraḥ praketo ajaniṣṭa vibhvā |</w:t>
      </w:r>
      <w:r>
        <w:t xml:space="preserve"> </w:t>
      </w:r>
      <w:r>
        <w:rPr>
          <w:iCs/>
          <w:i/>
        </w:rPr>
        <w:t xml:space="preserve">yathā prasūtā savituḥ savāya~ evā rātryuṣase yonimāraik ||</w:t>
      </w:r>
    </w:p>
    <w:p>
      <w:pPr>
        <w:pStyle w:val="FirstParagraph"/>
      </w:pPr>
      <w:r>
        <w:rPr>
          <w:iCs/>
          <w:i/>
        </w:rPr>
        <w:t xml:space="preserve">(</w:t>
      </w:r>
      <w:r>
        <w:rPr>
          <w:iCs/>
          <w:i/>
        </w:rPr>
        <w:t xml:space="preserve">“</w:t>
      </w:r>
      <w:r>
        <w:rPr>
          <w:iCs/>
          <w:i/>
        </w:rPr>
        <w:t xml:space="preserve">This best light of lights has come; the bright sign is born, far-reaching. As [Night] was set in motion for Savitṛ’s impulse, so has Night given up her womb to Dawn</w:t>
      </w:r>
      <w:r>
        <w:rPr>
          <w:iCs/>
          <w:i/>
        </w:rPr>
        <w:t xml:space="preserve">”</w:t>
      </w:r>
      <w:r>
        <w:rPr>
          <w:iCs/>
          <w:i/>
        </w:rPr>
        <w:t xml:space="preserve"> </w:t>
      </w:r>
      <w:r>
        <w:rPr>
          <w:iCs/>
          <w:i/>
        </w:rPr>
        <w:t xml:space="preserve">— mine and tentative.)</w:t>
      </w:r>
    </w:p>
    <w:p>
      <w:pPr>
        <w:pStyle w:val="BodyText"/>
      </w:pPr>
      <w:r>
        <w:t xml:space="preserve">The Nirukta of this rik:</w:t>
      </w:r>
    </w:p>
    <w:bookmarkEnd w:id="590"/>
    <w:bookmarkStart w:id="591" w:name="page-558-rik-7-special-topics-continued"/>
    <w:p>
      <w:pPr>
        <w:pStyle w:val="Heading3"/>
      </w:pPr>
      <w:r>
        <w:t xml:space="preserve">Page 558 — Rik 7: Special Topics (continued)</w:t>
      </w:r>
    </w:p>
    <w:p>
      <w:pPr>
        <w:pStyle w:val="BlockText"/>
      </w:pPr>
      <w:r>
        <w:t xml:space="preserve">इदं श्रेष्ठं ज्योतिषां ज्योतिरागमत् । चित्रं प्रकेतनं प्रज्ञाततममजनिष्ट विभूततमं यथा प्रसूता सवितुः प्रसवाय रात्रिरादित्यस्य । एवं रात्र्युषसे योनिमरिचत्स्थानम् । स्त्रीयोनिरभियुत एनां गर्भः ॥</w:t>
      </w:r>
    </w:p>
    <w:p>
      <w:pPr>
        <w:pStyle w:val="BlockText"/>
      </w:pPr>
      <w:r>
        <w:rPr>
          <w:iCs/>
          <w:i/>
        </w:rPr>
        <w:t xml:space="preserve">idaṃ śreṣṭhaṃ jyotiṣāṃ jyotirāgamat | citraṃ praketanaṃ prajñātatamamajaniṣṭa vibhūtatamaṃ yathā prasūtā savituḥ prasavāya rātrirādityasya | evaṃ rātryuṣase yonimaricatsthānam | strīyonirabhiyuta enāṃ garbhaḥ ||</w:t>
      </w:r>
    </w:p>
    <w:p>
      <w:pPr>
        <w:pStyle w:val="FirstParagraph"/>
      </w:pPr>
      <w:r>
        <w:t xml:space="preserve">The best and exceedingly bright light of the sun is rising. The dawn-time, which comes before the sun’s light, appears ahead of the light like its banner (</w:t>
      </w:r>
      <w:r>
        <w:rPr>
          <w:iCs/>
          <w:i/>
        </w:rPr>
        <w:t xml:space="preserve">niketana</w:t>
      </w:r>
      <w:r>
        <w:t xml:space="preserve">, its flag). For, just as the sun’s light, shining all day, becomes at the time of setting the</w:t>
      </w:r>
      <w:r>
        <w:t xml:space="preserve"> </w:t>
      </w:r>
      <w:r>
        <w:rPr>
          <w:iCs/>
          <w:i/>
        </w:rPr>
        <w:t xml:space="preserve">yoni</w:t>
      </w:r>
      <w:r>
        <w:t xml:space="preserve"> </w:t>
      </w:r>
      <w:r>
        <w:t xml:space="preserve">— the cause — for night, so night at the end of its own time becomes the</w:t>
      </w:r>
      <w:r>
        <w:t xml:space="preserve"> </w:t>
      </w:r>
      <w:r>
        <w:rPr>
          <w:iCs/>
          <w:i/>
        </w:rPr>
        <w:t xml:space="preserve">yoni</w:t>
      </w:r>
      <w:r>
        <w:t xml:space="preserve">, the cause, for the dawn-time.</w:t>
      </w:r>
      <w:r>
        <w:t xml:space="preserve"> </w:t>
      </w:r>
      <w:r>
        <w:rPr>
          <w:iCs/>
          <w:i/>
        </w:rPr>
        <w:t xml:space="preserve">Yoni</w:t>
      </w:r>
      <w:r>
        <w:t xml:space="preserve"> </w:t>
      </w:r>
      <w:r>
        <w:t xml:space="preserve">means a place of birth. The chief idea is that at the end of the day night, and at the end of night dawn, keep coming round in a cycle of change. So</w:t>
      </w:r>
      <w:r>
        <w:t xml:space="preserve"> </w:t>
      </w:r>
      <w:r>
        <w:rPr>
          <w:iCs/>
          <w:i/>
        </w:rPr>
        <w:t xml:space="preserve">uṣas</w:t>
      </w:r>
      <w:r>
        <w:t xml:space="preserve"> </w:t>
      </w:r>
      <w:r>
        <w:t xml:space="preserve">means the brightness, the light, that spreads through all the quarters and appears before sunrise, after the night has passed.</w:t>
      </w:r>
    </w:p>
    <w:p>
      <w:pPr>
        <w:pStyle w:val="BodyText"/>
      </w:pPr>
      <w:r>
        <w:t xml:space="preserve">The Bhāṣyakāra’s (Sāyaṇa’s) explanation:</w:t>
      </w:r>
      <w:r>
        <w:t xml:space="preserve"> </w:t>
      </w:r>
      <w:r>
        <w:t xml:space="preserve">“</w:t>
      </w:r>
      <w:r>
        <w:rPr>
          <w:iCs/>
          <w:i/>
        </w:rPr>
        <w:t xml:space="preserve">naktaśabda uṣaḥśabdaś ca loke kālaviśeṣavācinau | iha tu tatkālābhimānivahnimūrtidvaye prayujyete | naktoṣāsā naktoṣonāmike vahnimūrtī</w:t>
      </w:r>
      <w:r>
        <w:t xml:space="preserve">”</w:t>
      </w:r>
      <w:r>
        <w:t xml:space="preserve"> </w:t>
      </w:r>
      <w:r>
        <w:t xml:space="preserve">— that is, the two words</w:t>
      </w:r>
      <w:r>
        <w:t xml:space="preserve"> </w:t>
      </w:r>
      <w:r>
        <w:rPr>
          <w:iCs/>
          <w:i/>
        </w:rPr>
        <w:t xml:space="preserve">nakta</w:t>
      </w:r>
      <w:r>
        <w:t xml:space="preserve"> </w:t>
      </w:r>
      <w:r>
        <w:t xml:space="preserve">(night) and</w:t>
      </w:r>
      <w:r>
        <w:t xml:space="preserve"> </w:t>
      </w:r>
      <w:r>
        <w:rPr>
          <w:iCs/>
          <w:i/>
        </w:rPr>
        <w:t xml:space="preserve">uṣas</w:t>
      </w:r>
      <w:r>
        <w:t xml:space="preserve"> </w:t>
      </w:r>
      <w:r>
        <w:t xml:space="preserve">(the morning time) have, in ordinary usage, the sense of denoting particular times, night and the morning time; here, that is, in this rik or in the Ṛgveda, these words convey the sense of the presiding deities of night and of the morning time. Hence the words</w:t>
      </w:r>
      <w:r>
        <w:t xml:space="preserve"> </w:t>
      </w:r>
      <w:r>
        <w:rPr>
          <w:iCs/>
          <w:i/>
        </w:rPr>
        <w:t xml:space="preserve">naktoṣāsā</w:t>
      </w:r>
      <w:r>
        <w:t xml:space="preserve"> </w:t>
      </w:r>
      <w:r>
        <w:t xml:space="preserve">or</w:t>
      </w:r>
      <w:r>
        <w:t xml:space="preserve"> </w:t>
      </w:r>
      <w:r>
        <w:rPr>
          <w:iCs/>
          <w:i/>
        </w:rPr>
        <w:t xml:space="preserve">uṣāsānaktā</w:t>
      </w:r>
      <w:r>
        <w:t xml:space="preserve"> </w:t>
      </w:r>
      <w:r>
        <w:t xml:space="preserve">are used in the sense of two forms (</w:t>
      </w:r>
      <w:r>
        <w:rPr>
          <w:iCs/>
          <w:i/>
        </w:rPr>
        <w:t xml:space="preserve">mūrti</w:t>
      </w:r>
      <w:r>
        <w:t xml:space="preserve">) of Agni that are the presiding deities of night and of the morning time. The word</w:t>
      </w:r>
      <w:r>
        <w:t xml:space="preserve"> </w:t>
      </w:r>
      <w:r>
        <w:rPr>
          <w:iCs/>
          <w:i/>
        </w:rPr>
        <w:t xml:space="preserve">supeśasā</w:t>
      </w:r>
      <w:r>
        <w:t xml:space="preserve"> </w:t>
      </w:r>
      <w:r>
        <w:t xml:space="preserve">(having a fine form or shape) used in this rik supports this sense: since night and the morning time are divisions of time, they have neither form nor shape; on the view that they are the presiding deities of those times, a form can be ascribed to those deities. Since the rik makes such a statement, it must be understood that here the presiding deities of those times are meant. The</w:t>
      </w:r>
      <w:r>
        <w:t xml:space="preserve"> </w:t>
      </w:r>
      <w:r>
        <w:rPr>
          <w:iCs/>
          <w:i/>
        </w:rPr>
        <w:t xml:space="preserve">ṣa</w:t>
      </w:r>
      <w:r>
        <w:t xml:space="preserve"> </w:t>
      </w:r>
      <w:r>
        <w:t xml:space="preserve">in the word</w:t>
      </w:r>
      <w:r>
        <w:t xml:space="preserve"> </w:t>
      </w:r>
      <w:r>
        <w:rPr>
          <w:iCs/>
          <w:i/>
        </w:rPr>
        <w:t xml:space="preserve">naktoṣasā</w:t>
      </w:r>
      <w:r>
        <w:t xml:space="preserve"> </w:t>
      </w:r>
      <w:r>
        <w:t xml:space="preserve">is lengthened for the convenience of the metre.</w:t>
      </w:r>
    </w:p>
    <w:p>
      <w:pPr>
        <w:pStyle w:val="BodyText"/>
      </w:pPr>
      <w:r>
        <w:rPr>
          <w:bCs/>
          <w:b/>
        </w:rPr>
        <w:t xml:space="preserve">“</w:t>
      </w:r>
      <w:r>
        <w:rPr>
          <w:bCs/>
          <w:b/>
        </w:rPr>
        <w:t xml:space="preserve">Supeśasā</w:t>
      </w:r>
      <w:r>
        <w:rPr>
          <w:bCs/>
          <w:b/>
        </w:rPr>
        <w:t xml:space="preserve">”</w:t>
      </w:r>
      <w:r>
        <w:t xml:space="preserve"> </w:t>
      </w:r>
      <w:r>
        <w:t xml:space="preserve">— since the word</w:t>
      </w:r>
      <w:r>
        <w:t xml:space="preserve"> </w:t>
      </w:r>
      <w:r>
        <w:rPr>
          <w:iCs/>
          <w:i/>
        </w:rPr>
        <w:t xml:space="preserve">peśas</w:t>
      </w:r>
      <w:r>
        <w:t xml:space="preserve"> </w:t>
      </w:r>
      <w:r>
        <w:t xml:space="preserve">is read among the sixteen words for form,</w:t>
      </w:r>
      <w:r>
        <w:t xml:space="preserve"> </w:t>
      </w:r>
      <w:r>
        <w:rPr>
          <w:iCs/>
          <w:i/>
        </w:rPr>
        <w:t xml:space="preserve">nirṇik</w:t>
      </w:r>
      <w:r>
        <w:t xml:space="preserve">,</w:t>
      </w:r>
      <w:r>
        <w:t xml:space="preserve"> </w:t>
      </w:r>
      <w:r>
        <w:rPr>
          <w:iCs/>
          <w:i/>
        </w:rPr>
        <w:t xml:space="preserve">vavriḥ</w:t>
      </w:r>
      <w:r>
        <w:t xml:space="preserve"> </w:t>
      </w:r>
      <w:r>
        <w:t xml:space="preserve">and the rest,</w:t>
      </w:r>
      <w:r>
        <w:t xml:space="preserve"> </w:t>
      </w:r>
      <w:r>
        <w:rPr>
          <w:iCs/>
          <w:i/>
        </w:rPr>
        <w:t xml:space="preserve">peśas</w:t>
      </w:r>
      <w:r>
        <w:t xml:space="preserve"> </w:t>
      </w:r>
      <w:r>
        <w:t xml:space="preserve">means form; so</w:t>
      </w:r>
      <w:r>
        <w:t xml:space="preserve"> </w:t>
      </w:r>
      <w:r>
        <w:rPr>
          <w:iCs/>
          <w:i/>
        </w:rPr>
        <w:t xml:space="preserve">supeśasā</w:t>
      </w:r>
      <w:r>
        <w:t xml:space="preserve"> </w:t>
      </w:r>
      <w:r>
        <w:t xml:space="preserve">=</w:t>
      </w:r>
      <w:r>
        <w:t xml:space="preserve"> </w:t>
      </w:r>
      <w:r>
        <w:rPr>
          <w:iCs/>
          <w:i/>
        </w:rPr>
        <w:t xml:space="preserve">śobhanarūpayukte</w:t>
      </w:r>
      <w:r>
        <w:t xml:space="preserve">, endowed with beautiful form, lovely.</w:t>
      </w:r>
    </w:p>
    <w:p>
      <w:pPr>
        <w:pStyle w:val="BodyText"/>
      </w:pPr>
      <w:r>
        <w:rPr>
          <w:bCs/>
          <w:b/>
        </w:rPr>
        <w:t xml:space="preserve">“</w:t>
      </w:r>
      <w:r>
        <w:rPr>
          <w:bCs/>
          <w:b/>
        </w:rPr>
        <w:t xml:space="preserve">Āsade</w:t>
      </w:r>
      <w:r>
        <w:rPr>
          <w:bCs/>
          <w:b/>
        </w:rPr>
        <w:t xml:space="preserve">”</w:t>
      </w:r>
      <w:r>
        <w:t xml:space="preserve"> </w:t>
      </w:r>
      <w:r>
        <w:t xml:space="preserve">—</w:t>
      </w:r>
      <w:r>
        <w:t xml:space="preserve"> </w:t>
      </w:r>
      <w:r>
        <w:rPr>
          <w:iCs/>
          <w:i/>
        </w:rPr>
        <w:t xml:space="preserve">ṣadḷ viśaraṇagatyavasādaneṣu</w:t>
      </w:r>
      <w:r>
        <w:t xml:space="preserve">:</w:t>
      </w:r>
      <w:r>
        <w:t xml:space="preserve"> </w:t>
      </w:r>
      <w:r>
        <w:t xml:space="preserve">“</w:t>
      </w:r>
      <w:r>
        <w:t xml:space="preserve">for reaching</w:t>
      </w:r>
      <w:r>
        <w:t xml:space="preserve">”</w:t>
      </w:r>
      <w:r>
        <w:t xml:space="preserve">, that is, for coming and sitting.</w:t>
      </w:r>
    </w:p>
    <w:bookmarkEnd w:id="591"/>
    <w:bookmarkStart w:id="592" w:name="page-559-rik-7-grammar"/>
    <w:p>
      <w:pPr>
        <w:pStyle w:val="Heading3"/>
      </w:pPr>
      <w:r>
        <w:t xml:space="preserve">Page 559 — Rik 7 grammar</w:t>
      </w:r>
    </w:p>
    <w:p>
      <w:pPr>
        <w:pStyle w:val="FirstParagraph"/>
      </w:pPr>
      <w:r>
        <w:rPr>
          <w:bCs/>
          <w:b/>
        </w:rPr>
        <w:t xml:space="preserve">॥ Vyākaraṇa-prakriyā ॥</w:t>
      </w:r>
      <w:r>
        <w:t xml:space="preserve"> </w:t>
      </w:r>
      <w:r>
        <w:rPr>
          <w:iCs/>
          <w:i/>
        </w:rPr>
        <w:t xml:space="preserve">(grammar page, noted briefly; numbers checked against the print)</w:t>
      </w:r>
    </w:p>
    <w:p>
      <w:pPr>
        <w:pStyle w:val="BodyText"/>
      </w:pPr>
      <w:r>
        <w:rPr>
          <w:bCs/>
          <w:b/>
        </w:rPr>
        <w:t xml:space="preserve">नक्तोषसा (</w:t>
      </w:r>
      <w:r>
        <w:rPr>
          <w:iCs/>
          <w:i/>
          <w:bCs/>
          <w:b/>
        </w:rPr>
        <w:t xml:space="preserve">naktoṣasā</w:t>
      </w:r>
      <w:r>
        <w:rPr>
          <w:bCs/>
          <w:b/>
        </w:rPr>
        <w:t xml:space="preserve">)</w:t>
      </w:r>
      <w:r>
        <w:t xml:space="preserve"> </w:t>
      </w:r>
      <w:r>
        <w:t xml:space="preserve">—</w:t>
      </w:r>
      <w:r>
        <w:t xml:space="preserve"> </w:t>
      </w:r>
      <w:r>
        <w:t xml:space="preserve">“</w:t>
      </w:r>
      <w:r>
        <w:t xml:space="preserve">naktaṃ ca uṣaś ca naktoṣasā</w:t>
      </w:r>
      <w:r>
        <w:t xml:space="preserve">”</w:t>
      </w:r>
      <w:r>
        <w:t xml:space="preserve">: a dvandva; after it the accusative dual</w:t>
      </w:r>
      <w:r>
        <w:t xml:space="preserve"> </w:t>
      </w:r>
      <w:r>
        <w:rPr>
          <w:iCs/>
          <w:i/>
        </w:rPr>
        <w:t xml:space="preserve">auṭ</w:t>
      </w:r>
      <w:r>
        <w:t xml:space="preserve">;</w:t>
      </w:r>
      <w:r>
        <w:t xml:space="preserve"> </w:t>
      </w:r>
      <w:r>
        <w:t xml:space="preserve">“</w:t>
      </w:r>
      <w:r>
        <w:t xml:space="preserve">supāṃ su-luk…</w:t>
      </w:r>
      <w:r>
        <w:t xml:space="preserve">”</w:t>
      </w:r>
      <w:r>
        <w:t xml:space="preserve"> </w:t>
      </w:r>
      <w:r>
        <w:t xml:space="preserve">(printed</w:t>
      </w:r>
      <w:r>
        <w:t xml:space="preserve"> </w:t>
      </w:r>
      <w:r>
        <w:t xml:space="preserve">“</w:t>
      </w:r>
      <w:r>
        <w:t xml:space="preserve">7-1-39</w:t>
      </w:r>
      <w:r>
        <w:t xml:space="preserve">”</w:t>
      </w:r>
      <w:r>
        <w:t xml:space="preserve">) gives the substitute</w:t>
      </w:r>
      <w:r>
        <w:t xml:space="preserve"> </w:t>
      </w:r>
      <w:r>
        <w:rPr>
          <w:iCs/>
          <w:i/>
        </w:rPr>
        <w:t xml:space="preserve">ā</w:t>
      </w:r>
      <w:r>
        <w:t xml:space="preserve">; the loss of the</w:t>
      </w:r>
      <w:r>
        <w:t xml:space="preserve"> </w:t>
      </w:r>
      <w:r>
        <w:rPr>
          <w:iCs/>
          <w:i/>
        </w:rPr>
        <w:t xml:space="preserve">m</w:t>
      </w:r>
      <w:r>
        <w:t xml:space="preserve"> </w:t>
      </w:r>
      <w:r>
        <w:t xml:space="preserve">of</w:t>
      </w:r>
      <w:r>
        <w:t xml:space="preserve"> </w:t>
      </w:r>
      <w:r>
        <w:rPr>
          <w:iCs/>
          <w:i/>
        </w:rPr>
        <w:t xml:space="preserve">naktam</w:t>
      </w:r>
      <w:r>
        <w:t xml:space="preserve"> </w:t>
      </w:r>
      <w:r>
        <w:t xml:space="preserve">and the lengthening of the penultimate</w:t>
      </w:r>
      <w:r>
        <w:t xml:space="preserve"> </w:t>
      </w:r>
      <w:r>
        <w:rPr>
          <w:iCs/>
          <w:i/>
        </w:rPr>
        <w:t xml:space="preserve">a</w:t>
      </w:r>
      <w:r>
        <w:t xml:space="preserve"> </w:t>
      </w:r>
      <w:r>
        <w:t xml:space="preserve">of</w:t>
      </w:r>
      <w:r>
        <w:t xml:space="preserve"> </w:t>
      </w:r>
      <w:r>
        <w:rPr>
          <w:iCs/>
          <w:i/>
        </w:rPr>
        <w:t xml:space="preserve">uṣas</w:t>
      </w:r>
      <w:r>
        <w:t xml:space="preserve"> </w:t>
      </w:r>
      <w:r>
        <w:t xml:space="preserve">both come as Vedic forms;</w:t>
      </w:r>
      <w:r>
        <w:t xml:space="preserve"> </w:t>
      </w:r>
      <w:r>
        <w:t xml:space="preserve">“</w:t>
      </w:r>
      <w:r>
        <w:t xml:space="preserve">devatādvandve ca</w:t>
      </w:r>
      <w:r>
        <w:t xml:space="preserve">”</w:t>
      </w:r>
      <w:r>
        <w:t xml:space="preserve"> </w:t>
      </w:r>
      <w:r>
        <w:t xml:space="preserve">(Pā. 6-2-141): in a dvandva of words for deities, the first and second members both keep their own accent at once — so both members keep their own accent.</w:t>
      </w:r>
      <w:r>
        <w:t xml:space="preserve"> </w:t>
      </w:r>
      <w:r>
        <w:rPr>
          <w:bCs/>
          <w:b/>
        </w:rPr>
        <w:t xml:space="preserve">सुपेशसा (</w:t>
      </w:r>
      <w:r>
        <w:rPr>
          <w:iCs/>
          <w:i/>
          <w:bCs/>
          <w:b/>
        </w:rPr>
        <w:t xml:space="preserve">supeśasā</w:t>
      </w:r>
      <w:r>
        <w:rPr>
          <w:bCs/>
          <w:b/>
        </w:rPr>
        <w:t xml:space="preserve">)</w:t>
      </w:r>
      <w:r>
        <w:t xml:space="preserve"> </w:t>
      </w:r>
      <w:r>
        <w:t xml:space="preserve">—</w:t>
      </w:r>
      <w:r>
        <w:t xml:space="preserve"> </w:t>
      </w:r>
      <w:r>
        <w:t xml:space="preserve">“</w:t>
      </w:r>
      <w:r>
        <w:t xml:space="preserve">śobhanaṃ peśaḥ yayoḥ te</w:t>
      </w:r>
      <w:r>
        <w:t xml:space="preserve">”</w:t>
      </w:r>
      <w:r>
        <w:t xml:space="preserve">; as before,</w:t>
      </w:r>
      <w:r>
        <w:t xml:space="preserve"> </w:t>
      </w:r>
      <w:r>
        <w:rPr>
          <w:iCs/>
          <w:i/>
        </w:rPr>
        <w:t xml:space="preserve">ā</w:t>
      </w:r>
      <w:r>
        <w:t xml:space="preserve"> </w:t>
      </w:r>
      <w:r>
        <w:t xml:space="preserve">for the accusative dual;</w:t>
      </w:r>
      <w:r>
        <w:t xml:space="preserve"> </w:t>
      </w:r>
      <w:r>
        <w:rPr>
          <w:iCs/>
          <w:i/>
        </w:rPr>
        <w:t xml:space="preserve">peśas</w:t>
      </w:r>
      <w:r>
        <w:t xml:space="preserve"> </w:t>
      </w:r>
      <w:r>
        <w:t xml:space="preserve">is neuter, so initial-udātta by</w:t>
      </w:r>
      <w:r>
        <w:t xml:space="preserve"> </w:t>
      </w:r>
      <w:r>
        <w:t xml:space="preserve">“</w:t>
      </w:r>
      <w:r>
        <w:t xml:space="preserve">nab-viṣayasyānisantasya</w:t>
      </w:r>
      <w:r>
        <w:t xml:space="preserve">”</w:t>
      </w:r>
      <w:r>
        <w:t xml:space="preserve"> </w:t>
      </w:r>
      <w:r>
        <w:t xml:space="preserve">(Phi. sū.</w:t>
      </w:r>
      <w:r>
        <w:t xml:space="preserve"> </w:t>
      </w:r>
      <w:r>
        <w:t xml:space="preserve">“</w:t>
      </w:r>
      <w:r>
        <w:t xml:space="preserve">2-26</w:t>
      </w:r>
      <w:r>
        <w:t xml:space="preserve">”</w:t>
      </w:r>
      <w:r>
        <w:t xml:space="preserve">). In the bahuvrīhi,</w:t>
      </w:r>
      <w:r>
        <w:t xml:space="preserve"> </w:t>
      </w:r>
      <w:r>
        <w:t xml:space="preserve">“</w:t>
      </w:r>
      <w:r>
        <w:t xml:space="preserve">bahuvrīhau prakṛtyā pūrvapadam</w:t>
      </w:r>
      <w:r>
        <w:t xml:space="preserve">”</w:t>
      </w:r>
      <w:r>
        <w:t xml:space="preserve"> </w:t>
      </w:r>
      <w:r>
        <w:t xml:space="preserve">would give the first member’s accent; setting it aside,</w:t>
      </w:r>
      <w:r>
        <w:t xml:space="preserve"> </w:t>
      </w:r>
      <w:r>
        <w:t xml:space="preserve">“</w:t>
      </w:r>
      <w:r>
        <w:t xml:space="preserve">nañ-subhyām</w:t>
      </w:r>
      <w:r>
        <w:t xml:space="preserve">”</w:t>
      </w:r>
      <w:r>
        <w:t xml:space="preserve"> </w:t>
      </w:r>
      <w:r>
        <w:t xml:space="preserve">(Pā. 6-2-172) would make the second member final-udātta; setting that aside too,</w:t>
      </w:r>
      <w:r>
        <w:t xml:space="preserve"> </w:t>
      </w:r>
      <w:r>
        <w:t xml:space="preserve">“</w:t>
      </w:r>
      <w:r>
        <w:t xml:space="preserve">ādyudāttaṃ dvyac chandasi</w:t>
      </w:r>
      <w:r>
        <w:t xml:space="preserve">”</w:t>
      </w:r>
      <w:r>
        <w:t xml:space="preserve"> </w:t>
      </w:r>
      <w:r>
        <w:t xml:space="preserve">(Pā. 6-2-119) — in a bahuvrīhi, a second member that is initial-udātta and of two syllables stays initial-udātta after</w:t>
      </w:r>
      <w:r>
        <w:t xml:space="preserve"> </w:t>
      </w:r>
      <w:r>
        <w:rPr>
          <w:iCs/>
          <w:i/>
        </w:rPr>
        <w:t xml:space="preserve">su</w:t>
      </w:r>
      <w:r>
        <w:t xml:space="preserve"> </w:t>
      </w:r>
      <w:r>
        <w:t xml:space="preserve">— so</w:t>
      </w:r>
      <w:r>
        <w:t xml:space="preserve"> </w:t>
      </w:r>
      <w:r>
        <w:rPr>
          <w:iCs/>
          <w:i/>
        </w:rPr>
        <w:t xml:space="preserve">peśas</w:t>
      </w:r>
      <w:r>
        <w:t xml:space="preserve"> </w:t>
      </w:r>
      <w:r>
        <w:t xml:space="preserve">is initial-udātta.</w:t>
      </w:r>
      <w:r>
        <w:t xml:space="preserve"> </w:t>
      </w:r>
      <w:r>
        <w:rPr>
          <w:bCs/>
          <w:b/>
        </w:rPr>
        <w:t xml:space="preserve">अस्मिन् (</w:t>
      </w:r>
      <w:r>
        <w:rPr>
          <w:iCs/>
          <w:i/>
          <w:bCs/>
          <w:b/>
        </w:rPr>
        <w:t xml:space="preserve">asmin</w:t>
      </w:r>
      <w:r>
        <w:rPr>
          <w:bCs/>
          <w:b/>
        </w:rPr>
        <w:t xml:space="preserve">)</w:t>
      </w:r>
      <w:r>
        <w:t xml:space="preserve"> </w:t>
      </w:r>
      <w:r>
        <w:t xml:space="preserve">— the case ending udātta by</w:t>
      </w:r>
      <w:r>
        <w:t xml:space="preserve"> </w:t>
      </w:r>
      <w:r>
        <w:t xml:space="preserve">“</w:t>
      </w:r>
      <w:r>
        <w:t xml:space="preserve">ūḍ-idam-padādy-ap-pum-rai-dyubhyaḥ</w:t>
      </w:r>
      <w:r>
        <w:t xml:space="preserve">”</w:t>
      </w:r>
      <w:r>
        <w:t xml:space="preserve"> </w:t>
      </w:r>
      <w:r>
        <w:t xml:space="preserve">(printed</w:t>
      </w:r>
      <w:r>
        <w:t xml:space="preserve"> </w:t>
      </w:r>
      <w:r>
        <w:t xml:space="preserve">“</w:t>
      </w:r>
      <w:r>
        <w:t xml:space="preserve">pā. mā.</w:t>
      </w:r>
      <w:r>
        <w:t xml:space="preserve">”</w:t>
      </w:r>
      <w:r>
        <w:t xml:space="preserve"> </w:t>
      </w:r>
      <w:r>
        <w:t xml:space="preserve">[sic] 6-1-171).</w:t>
      </w:r>
      <w:r>
        <w:t xml:space="preserve"> </w:t>
      </w:r>
      <w:r>
        <w:rPr>
          <w:bCs/>
          <w:b/>
        </w:rPr>
        <w:t xml:space="preserve">आसदे (</w:t>
      </w:r>
      <w:r>
        <w:rPr>
          <w:iCs/>
          <w:i/>
          <w:bCs/>
          <w:b/>
        </w:rPr>
        <w:t xml:space="preserve">āsade</w:t>
      </w:r>
      <w:r>
        <w:rPr>
          <w:bCs/>
          <w:b/>
        </w:rPr>
        <w:t xml:space="preserve">)</w:t>
      </w:r>
      <w:r>
        <w:t xml:space="preserve"> </w:t>
      </w:r>
      <w:r>
        <w:t xml:space="preserve">—</w:t>
      </w:r>
      <w:r>
        <w:t xml:space="preserve"> </w:t>
      </w:r>
      <w:r>
        <w:rPr>
          <w:iCs/>
          <w:i/>
        </w:rPr>
        <w:t xml:space="preserve">ṣadḷ viśaraṇa-gaty-avasādaneṣu</w:t>
      </w:r>
      <w:r>
        <w:t xml:space="preserve">;</w:t>
      </w:r>
      <w:r>
        <w:t xml:space="preserve"> </w:t>
      </w:r>
      <w:r>
        <w:rPr>
          <w:iCs/>
          <w:i/>
        </w:rPr>
        <w:t xml:space="preserve">s</w:t>
      </w:r>
      <w:r>
        <w:t xml:space="preserve"> </w:t>
      </w:r>
      <w:r>
        <w:t xml:space="preserve">for</w:t>
      </w:r>
      <w:r>
        <w:t xml:space="preserve"> </w:t>
      </w:r>
      <w:r>
        <w:rPr>
          <w:iCs/>
          <w:i/>
        </w:rPr>
        <w:t xml:space="preserve">ṣ</w:t>
      </w:r>
      <w:r>
        <w:t xml:space="preserve"> </w:t>
      </w:r>
      <w:r>
        <w:t xml:space="preserve">by</w:t>
      </w:r>
      <w:r>
        <w:t xml:space="preserve"> </w:t>
      </w:r>
      <w:r>
        <w:t xml:space="preserve">“</w:t>
      </w:r>
      <w:r>
        <w:t xml:space="preserve">dhātvādeḥ ṣaḥ saḥ</w:t>
      </w:r>
      <w:r>
        <w:t xml:space="preserve">”</w:t>
      </w:r>
      <w:r>
        <w:t xml:space="preserve"> </w:t>
      </w:r>
      <w:r>
        <w:t xml:space="preserve">(Pā. 6-1-64); by</w:t>
      </w:r>
      <w:r>
        <w:t xml:space="preserve"> </w:t>
      </w:r>
      <w:r>
        <w:t xml:space="preserve">“</w:t>
      </w:r>
      <w:r>
        <w:t xml:space="preserve">sampadādibhyaḥ kvip</w:t>
      </w:r>
      <w:r>
        <w:t xml:space="preserve">”</w:t>
      </w:r>
      <w:r>
        <w:t xml:space="preserve"> </w:t>
      </w:r>
      <w:r>
        <w:t xml:space="preserve">(printed</w:t>
      </w:r>
      <w:r>
        <w:t xml:space="preserve"> </w:t>
      </w:r>
      <w:r>
        <w:t xml:space="preserve">“</w:t>
      </w:r>
      <w:r>
        <w:t xml:space="preserve">Pā. sū. 3-3-108 vā. 9</w:t>
      </w:r>
      <w:r>
        <w:t xml:space="preserve">”</w:t>
      </w:r>
      <w:r>
        <w:t xml:space="preserve">)</w:t>
      </w:r>
      <w:r>
        <w:t xml:space="preserve"> </w:t>
      </w:r>
      <w:r>
        <w:rPr>
          <w:iCs/>
          <w:i/>
        </w:rPr>
        <w:t xml:space="preserve">kvip</w:t>
      </w:r>
      <w:r>
        <w:t xml:space="preserve"> </w:t>
      </w:r>
      <w:r>
        <w:t xml:space="preserve">in the sense of the state after</w:t>
      </w:r>
      <w:r>
        <w:t xml:space="preserve"> </w:t>
      </w:r>
      <w:r>
        <w:rPr>
          <w:iCs/>
          <w:i/>
        </w:rPr>
        <w:t xml:space="preserve">sad</w:t>
      </w:r>
      <w:r>
        <w:t xml:space="preserve"> </w:t>
      </w:r>
      <w:r>
        <w:t xml:space="preserve">preceded by</w:t>
      </w:r>
      <w:r>
        <w:t xml:space="preserve"> </w:t>
      </w:r>
      <w:r>
        <w:rPr>
          <w:iCs/>
          <w:i/>
        </w:rPr>
        <w:t xml:space="preserve">āṅ</w:t>
      </w:r>
      <w:r>
        <w:t xml:space="preserve">;</w:t>
      </w:r>
      <w:r>
        <w:t xml:space="preserve"> </w:t>
      </w:r>
      <w:r>
        <w:rPr>
          <w:iCs/>
          <w:i/>
        </w:rPr>
        <w:t xml:space="preserve">sad</w:t>
      </w:r>
      <w:r>
        <w:t xml:space="preserve"> </w:t>
      </w:r>
      <w:r>
        <w:t xml:space="preserve">is udātta by the root accent; with</w:t>
      </w:r>
      <w:r>
        <w:t xml:space="preserve"> </w:t>
      </w:r>
      <w:r>
        <w:rPr>
          <w:iCs/>
          <w:i/>
        </w:rPr>
        <w:t xml:space="preserve">āṅ</w:t>
      </w:r>
      <w:r>
        <w:t xml:space="preserve">, a</w:t>
      </w:r>
      <w:r>
        <w:t xml:space="preserve"> </w:t>
      </w:r>
      <w:r>
        <w:rPr>
          <w:iCs/>
          <w:i/>
        </w:rPr>
        <w:t xml:space="preserve">prādi</w:t>
      </w:r>
      <w:r>
        <w:t xml:space="preserve"> </w:t>
      </w:r>
      <w:r>
        <w:t xml:space="preserve">compound by</w:t>
      </w:r>
      <w:r>
        <w:t xml:space="preserve"> </w:t>
      </w:r>
      <w:r>
        <w:t xml:space="preserve">“</w:t>
      </w:r>
      <w:r>
        <w:t xml:space="preserve">kugatiprādayaḥ</w:t>
      </w:r>
      <w:r>
        <w:t xml:space="preserve">”</w:t>
      </w:r>
      <w:r>
        <w:t xml:space="preserve"> </w:t>
      </w:r>
      <w:r>
        <w:t xml:space="preserve">(Pā. 2-2-18); in</w:t>
      </w:r>
      <w:r>
        <w:t xml:space="preserve"> </w:t>
      </w:r>
      <w:r>
        <w:rPr>
          <w:iCs/>
          <w:i/>
        </w:rPr>
        <w:t xml:space="preserve">āsad</w:t>
      </w:r>
      <w:r>
        <w:t xml:space="preserve">, by</w:t>
      </w:r>
      <w:r>
        <w:t xml:space="preserve"> </w:t>
      </w:r>
      <w:r>
        <w:t xml:space="preserve">“</w:t>
      </w:r>
      <w:r>
        <w:t xml:space="preserve">gati-kārakopapadāt kṛt</w:t>
      </w:r>
      <w:r>
        <w:t xml:space="preserve">”</w:t>
      </w:r>
      <w:r>
        <w:t xml:space="preserve"> </w:t>
      </w:r>
      <w:r>
        <w:t xml:space="preserve">(printed</w:t>
      </w:r>
      <w:r>
        <w:t xml:space="preserve"> </w:t>
      </w:r>
      <w:r>
        <w:t xml:space="preserve">“</w:t>
      </w:r>
      <w:r>
        <w:t xml:space="preserve">6-2-9139</w:t>
      </w:r>
      <w:r>
        <w:t xml:space="preserve">”</w:t>
      </w:r>
      <w:r>
        <w:t xml:space="preserve"> </w:t>
      </w:r>
      <w:r>
        <w:t xml:space="preserve">[sic]) that same accent stands as the</w:t>
      </w:r>
      <w:r>
        <w:t xml:space="preserve"> </w:t>
      </w:r>
      <w:r>
        <w:rPr>
          <w:iCs/>
          <w:i/>
        </w:rPr>
        <w:t xml:space="preserve">kṛt</w:t>
      </w:r>
      <w:r>
        <w:t xml:space="preserve"> </w:t>
      </w:r>
      <w:r>
        <w:t xml:space="preserve">second member’s; then the dative singular</w:t>
      </w:r>
      <w:r>
        <w:t xml:space="preserve"> </w:t>
      </w:r>
      <w:r>
        <w:rPr>
          <w:iCs/>
          <w:i/>
        </w:rPr>
        <w:t xml:space="preserve">ṅe</w:t>
      </w:r>
      <w:r>
        <w:t xml:space="preserve">, unaccented as a</w:t>
      </w:r>
      <w:r>
        <w:t xml:space="preserve"> </w:t>
      </w:r>
      <w:r>
        <w:rPr>
          <w:iCs/>
          <w:i/>
        </w:rPr>
        <w:t xml:space="preserve">sup</w:t>
      </w:r>
      <w:r>
        <w:t xml:space="preserve">, made svarita by</w:t>
      </w:r>
      <w:r>
        <w:t xml:space="preserve"> </w:t>
      </w:r>
      <w:r>
        <w:t xml:space="preserve">“</w:t>
      </w:r>
      <w:r>
        <w:t xml:space="preserve">udāttād anudāttasya</w:t>
      </w:r>
      <w:r>
        <w:t xml:space="preserve">”</w:t>
      </w:r>
      <w:r>
        <w:t xml:space="preserve"> </w:t>
      </w:r>
      <w:r>
        <w:t xml:space="preserve">(Pā. 8-4-66).</w:t>
      </w:r>
    </w:p>
    <w:p>
      <w:pPr>
        <w:pStyle w:val="BodyText"/>
      </w:pPr>
      <w:r>
        <w:rPr>
          <w:bCs/>
          <w:b/>
        </w:rPr>
        <w:t xml:space="preserve">॥७॥</w:t>
      </w:r>
    </w:p>
    <w:p>
      <w:r>
        <w:pict>
          <v:rect style="width:0;height:1.5pt" o:hralign="center" o:hrstd="t" o:hr="t"/>
        </w:pict>
      </w:r>
    </w:p>
    <w:bookmarkEnd w:id="592"/>
    <w:bookmarkStart w:id="593" w:name="page-559-lower-sūkta-13-rik-8"/>
    <w:p>
      <w:pPr>
        <w:pStyle w:val="Heading3"/>
      </w:pPr>
      <w:r>
        <w:t xml:space="preserve">Page 559 (lower) — Sūkta 13, Rik 8</w:t>
      </w:r>
    </w:p>
    <w:p>
      <w:pPr>
        <w:pStyle w:val="FirstParagraph"/>
      </w:pPr>
      <w:r>
        <w:rPr>
          <w:iCs/>
          <w:i/>
        </w:rPr>
        <w:t xml:space="preserve">(Saṃhitā accents as printed; Pada unaccented. Line 1: the first stroke stands over सु, not over ता — [accent ?].)</w:t>
      </w:r>
    </w:p>
    <w:p>
      <w:pPr>
        <w:pStyle w:val="BodyText"/>
      </w:pPr>
      <w:r>
        <w:rPr>
          <w:bCs/>
          <w:b/>
        </w:rPr>
        <w:t xml:space="preserve">॥ Saṃhitā-pāṭhaḥ ॥</w:t>
      </w:r>
    </w:p>
    <w:p>
      <w:pPr>
        <w:pStyle w:val="BlockText"/>
      </w:pPr>
      <w:r>
        <w:t xml:space="preserve">ता सु॑जि॒ह्वा उप॑ ह्वये॒ होता॑रा॒ दैव्या॑ क॒वी । [accent ?]</w:t>
      </w:r>
      <w:r>
        <w:t xml:space="preserve"> </w:t>
      </w:r>
      <w:r>
        <w:t xml:space="preserve">य॒ज्ञं नो॑ यक्षतामि॒मम् ॥८॥</w:t>
      </w:r>
    </w:p>
    <w:p>
      <w:pPr>
        <w:pStyle w:val="BlockText"/>
      </w:pPr>
      <w:r>
        <w:rPr>
          <w:iCs/>
          <w:i/>
        </w:rPr>
        <w:t xml:space="preserve">tā́ sujihvā́ úpa hvaye hótārā dáivyā kavī́ |</w:t>
      </w:r>
      <w:r>
        <w:t xml:space="preserve"> </w:t>
      </w:r>
      <w:r>
        <w:t xml:space="preserve">[accent ?]</w:t>
      </w:r>
      <w:r>
        <w:t xml:space="preserve"> </w:t>
      </w:r>
      <w:r>
        <w:rPr>
          <w:iCs/>
          <w:i/>
        </w:rPr>
        <w:t xml:space="preserve">yajñáṃ no yakṣatām imám ||8||</w:t>
      </w:r>
    </w:p>
    <w:p>
      <w:pPr>
        <w:pStyle w:val="FirstParagraph"/>
      </w:pPr>
      <w:r>
        <w:rPr>
          <w:bCs/>
          <w:b/>
        </w:rPr>
        <w:t xml:space="preserve">॥ Pada-pāṭhaḥ ॥</w:t>
      </w:r>
    </w:p>
    <w:p>
      <w:pPr>
        <w:pStyle w:val="BlockText"/>
      </w:pPr>
      <w:r>
        <w:t xml:space="preserve">ता । सुऽजिह्वौ । उप । ह्वये । होतारा । दैव्या । कवी इति ॥</w:t>
      </w:r>
      <w:r>
        <w:t xml:space="preserve"> </w:t>
      </w:r>
      <w:r>
        <w:t xml:space="preserve">यज्ञम् । नः । यक्षताम् । इमम् ॥८॥</w:t>
      </w:r>
    </w:p>
    <w:p>
      <w:pPr>
        <w:pStyle w:val="BlockText"/>
      </w:pPr>
      <w:r>
        <w:rPr>
          <w:iCs/>
          <w:i/>
        </w:rPr>
        <w:t xml:space="preserve">tā | su-jihvau | upa | hvaye | hotārā | daivyā | kavī iti ||</w:t>
      </w:r>
      <w:r>
        <w:t xml:space="preserve"> </w:t>
      </w:r>
      <w:r>
        <w:rPr>
          <w:iCs/>
          <w:i/>
        </w:rPr>
        <w:t xml:space="preserve">yajñam | naḥ | yakṣatām | imam ||8||</w:t>
      </w:r>
    </w:p>
    <w:bookmarkEnd w:id="593"/>
    <w:bookmarkStart w:id="594" w:name="X96ef0fff773a1977f86046d8a7c64d78b02a987"/>
    <w:p>
      <w:pPr>
        <w:pStyle w:val="Heading3"/>
      </w:pPr>
      <w:r>
        <w:t xml:space="preserve">Page 560 — Rik 8: Sāyaṇa-bhāṣya, word-meanings, overall sense</w:t>
      </w:r>
    </w:p>
    <w:p>
      <w:pPr>
        <w:pStyle w:val="FirstParagraph"/>
      </w:pPr>
      <w:r>
        <w:rPr>
          <w:bCs/>
          <w:b/>
        </w:rPr>
        <w:t xml:space="preserve">॥ Sāyaṇa-bhāṣyam ॥</w:t>
      </w:r>
    </w:p>
    <w:p>
      <w:pPr>
        <w:pStyle w:val="BlockText"/>
      </w:pPr>
      <w:r>
        <w:t xml:space="preserve">तच्छब्दो ऽत्र सर्वनामत्वात्प्रसिद्धार्थवाची । ता तौ याज्ञिकानां प्रसिद्धौ द्वावग्नी उप ह्वये । आह्वयामि । नो ऽस्मदीयमिमं यज्ञं यक्षताम् । तावुभौ यजतामनुतिष्ठताम् । कीदृशौ । सुजिह्वौ शोभनजिह्वोपेतौ । प्रियवचनौ शोभनज्वालौ वेत्यर्थः । होतारौ होमनिष्पादकौ दैव्या दैव्यौ देवसंबन्धिनौ । अत एवेमावग्नी दैव्यहोतृनामकौ । कवी मेधाविनौ ॥ ता तौ । द्वितीयाद्विवचनस्य सुपां सुलुगित्याकारः । एकादेश उदात्तेनोदात्त इत्युदात्तः । सुजिह्वौ । शोभना जिह्वा ययोस्तौ । नञ्सुभ्यामित्युत्तरपदान्तोदात्तत्वम् । पूर्वपद एकादेशस्वरः । संहितायामावादेशः । वस्य लोपः शाकल्यस्येति लोपः । होतारा । जुहोतेस्तृन् । द्विवचने ऋतो ङि । पा. ७-३-११० । इति गुणः । अप्तृन्नित्युपधादीर्घः । पूर्ववदाकारः । नित्त्वादाद्युदात्तः । दैव्या । देवानामिमौ । देवाद्यञञौ । पा. ४-१-८५-३ । इति यञ् । यस्येति चेत्यकारलोपः । ञ्नित्यादिर्नित्यमित्याद्युदात्तः । पूर्ववदाकारः । यक्षताम् । यजताम् । लोटि शपि परतः सिब्बहुलं लेटीति बहुलग्रहणात्सिप् । कुत्वचर्त्वषत्वानि ॥</w:t>
      </w:r>
    </w:p>
    <w:p>
      <w:pPr>
        <w:pStyle w:val="BlockText"/>
      </w:pPr>
      <w:r>
        <w:rPr>
          <w:iCs/>
          <w:i/>
        </w:rPr>
        <w:t xml:space="preserve">tacchabdo ’tra sarvanāmatvātprasiddhārthavācī | tā tau yājñikānāṃ prasiddhau dvāvagnī upa hvaye | āhvayāmi | no ’smadīyamimaṃ yajñaṃ yakṣatām | tāvubhau yajatāmanutiṣṭhatām | kīdṛśau | sujihvau śobhanajihvopetau | priyavacanau śobhanajvālau vetyarthaḥ | hotārau homaniṣpādakau daivyā daivyau devasaṃbandhinau | ata evemāvagnī daivyahotṛnāmakau | kavī medhāvinau || tā tau | dvitīyādvivacanasya supāṃ sulugityākāraḥ | ekādeśa udāttenodātta ityudāttaḥ | sujihvau | śobhanā jihvā yayostau | nañsubhyāmityuttarapadāntodāttatvam | pūrvapada ekādeśasvaraḥ | saṃhitāyāmāvādeśaḥ | vasya lopaḥ śākalyasyeti lopaḥ | hotārā | juhotestṛn | dvivacane ṛto ṅi | pā. 7-3-110 | iti guṇaḥ | aptṛnnityupadhādīrghaḥ | pūrvavadākāraḥ | nittvādādyudāttaḥ | daivyā | devānāmimau | devādyañañau | pā. 4-1-85-3 | iti yañ | yasyeti cetyakāralopaḥ | ñnityādirnityamityādyudāttaḥ | pūrvavadākāraḥ | yakṣatām | yajatām | loṭi śapi parataḥ sibbahulaṃ leṭīti bahulagrahaṇātsip | kutvacartvaṣatvāni ||</w:t>
      </w:r>
    </w:p>
    <w:p>
      <w:pPr>
        <w:pStyle w:val="FirstParagraph"/>
      </w:pPr>
      <w:r>
        <w:rPr>
          <w:bCs/>
          <w:b/>
        </w:rPr>
        <w:t xml:space="preserve">Translation:</w:t>
      </w:r>
      <w:r>
        <w:t xml:space="preserve"> </w:t>
      </w:r>
      <w:r>
        <w:t xml:space="preserve">“</w:t>
      </w:r>
      <w:r>
        <w:t xml:space="preserve">The word</w:t>
      </w:r>
      <w:r>
        <w:t xml:space="preserve"> </w:t>
      </w:r>
      <w:r>
        <w:rPr>
          <w:iCs/>
          <w:i/>
        </w:rPr>
        <w:t xml:space="preserve">tad</w:t>
      </w:r>
      <w:r>
        <w:t xml:space="preserve"> </w:t>
      </w:r>
      <w:r>
        <w:t xml:space="preserve">here, being a pronoun, denotes what is well known.</w:t>
      </w:r>
      <w:r>
        <w:t xml:space="preserve"> </w:t>
      </w:r>
      <w:r>
        <w:rPr>
          <w:iCs/>
          <w:i/>
        </w:rPr>
        <w:t xml:space="preserve">Tā</w:t>
      </w:r>
      <w:r>
        <w:t xml:space="preserve"> </w:t>
      </w:r>
      <w:r>
        <w:t xml:space="preserve">— those two fires well known to the sacrificers — I</w:t>
      </w:r>
      <w:r>
        <w:t xml:space="preserve"> </w:t>
      </w:r>
      <w:r>
        <w:rPr>
          <w:iCs/>
          <w:i/>
        </w:rPr>
        <w:t xml:space="preserve">upa hvaye</w:t>
      </w:r>
      <w:r>
        <w:t xml:space="preserve">, call. May they both</w:t>
      </w:r>
      <w:r>
        <w:t xml:space="preserve"> </w:t>
      </w:r>
      <w:r>
        <w:rPr>
          <w:iCs/>
          <w:i/>
        </w:rPr>
        <w:t xml:space="preserve">yakṣatām</w:t>
      </w:r>
      <w:r>
        <w:t xml:space="preserve">, perform,</w:t>
      </w:r>
      <w:r>
        <w:t xml:space="preserve"> </w:t>
      </w:r>
      <w:r>
        <w:rPr>
          <w:iCs/>
          <w:i/>
        </w:rPr>
        <w:t xml:space="preserve">imaṃ yajñam</w:t>
      </w:r>
      <w:r>
        <w:t xml:space="preserve">, this our sacrifice. What kind?</w:t>
      </w:r>
      <w:r>
        <w:t xml:space="preserve"> </w:t>
      </w:r>
      <w:r>
        <w:rPr>
          <w:iCs/>
          <w:i/>
        </w:rPr>
        <w:t xml:space="preserve">Sujihvā</w:t>
      </w:r>
      <w:r>
        <w:t xml:space="preserve"> </w:t>
      </w:r>
      <w:r>
        <w:t xml:space="preserve">— endowed with good tongues, that is, of pleasant speech or of fine flames;</w:t>
      </w:r>
      <w:r>
        <w:t xml:space="preserve"> </w:t>
      </w:r>
      <w:r>
        <w:rPr>
          <w:iCs/>
          <w:i/>
        </w:rPr>
        <w:t xml:space="preserve">hotārā</w:t>
      </w:r>
      <w:r>
        <w:t xml:space="preserve"> </w:t>
      </w:r>
      <w:r>
        <w:t xml:space="preserve">— accomplishers of the</w:t>
      </w:r>
      <w:r>
        <w:t xml:space="preserve"> </w:t>
      </w:r>
      <w:r>
        <w:rPr>
          <w:iCs/>
          <w:i/>
        </w:rPr>
        <w:t xml:space="preserve">homa</w:t>
      </w:r>
      <w:r>
        <w:t xml:space="preserve">;</w:t>
      </w:r>
      <w:r>
        <w:t xml:space="preserve"> </w:t>
      </w:r>
      <w:r>
        <w:rPr>
          <w:iCs/>
          <w:i/>
        </w:rPr>
        <w:t xml:space="preserve">daivyā</w:t>
      </w:r>
      <w:r>
        <w:t xml:space="preserve"> </w:t>
      </w:r>
      <w:r>
        <w:t xml:space="preserve">— belonging to the gods; hence these two fires bear the name</w:t>
      </w:r>
      <w:r>
        <w:t xml:space="preserve"> </w:t>
      </w:r>
      <w:r>
        <w:rPr>
          <w:iCs/>
          <w:i/>
        </w:rPr>
        <w:t xml:space="preserve">Daivya-hotṛ</w:t>
      </w:r>
      <w:r>
        <w:t xml:space="preserve">;</w:t>
      </w:r>
      <w:r>
        <w:t xml:space="preserve"> </w:t>
      </w:r>
      <w:r>
        <w:rPr>
          <w:iCs/>
          <w:i/>
        </w:rPr>
        <w:t xml:space="preserve">kavī</w:t>
      </w:r>
      <w:r>
        <w:t xml:space="preserve"> </w:t>
      </w:r>
      <w:r>
        <w:t xml:space="preserve">— wise.</w:t>
      </w:r>
      <w:r>
        <w:t xml:space="preserve">”</w:t>
      </w:r>
      <w:r>
        <w:t xml:space="preserve"> </w:t>
      </w:r>
      <w:r>
        <w:t xml:space="preserve">(Grammatical tail:</w:t>
      </w:r>
      <w:r>
        <w:t xml:space="preserve"> </w:t>
      </w:r>
      <w:r>
        <w:rPr>
          <w:iCs/>
          <w:i/>
        </w:rPr>
        <w:t xml:space="preserve">tā</w:t>
      </w:r>
      <w:r>
        <w:t xml:space="preserve"> </w:t>
      </w:r>
      <w:r>
        <w:t xml:space="preserve">=</w:t>
      </w:r>
      <w:r>
        <w:t xml:space="preserve"> </w:t>
      </w:r>
      <w:r>
        <w:rPr>
          <w:iCs/>
          <w:i/>
        </w:rPr>
        <w:t xml:space="preserve">tau</w:t>
      </w:r>
      <w:r>
        <w:t xml:space="preserve">,</w:t>
      </w:r>
      <w:r>
        <w:t xml:space="preserve"> </w:t>
      </w:r>
      <w:r>
        <w:rPr>
          <w:iCs/>
          <w:i/>
        </w:rPr>
        <w:t xml:space="preserve">ā</w:t>
      </w:r>
      <w:r>
        <w:t xml:space="preserve"> </w:t>
      </w:r>
      <w:r>
        <w:t xml:space="preserve">for the accusative dual by</w:t>
      </w:r>
      <w:r>
        <w:t xml:space="preserve"> </w:t>
      </w:r>
      <w:r>
        <w:t xml:space="preserve">“</w:t>
      </w:r>
      <w:r>
        <w:t xml:space="preserve">supāṃ suluk…</w:t>
      </w:r>
      <w:r>
        <w:t xml:space="preserve">”</w:t>
      </w:r>
      <w:r>
        <w:t xml:space="preserve">, udātta by</w:t>
      </w:r>
      <w:r>
        <w:t xml:space="preserve"> </w:t>
      </w:r>
      <w:r>
        <w:t xml:space="preserve">“</w:t>
      </w:r>
      <w:r>
        <w:t xml:space="preserve">ekādeśa udāttenodāttaḥ</w:t>
      </w:r>
      <w:r>
        <w:t xml:space="preserve">”</w:t>
      </w:r>
      <w:r>
        <w:t xml:space="preserve">;</w:t>
      </w:r>
      <w:r>
        <w:t xml:space="preserve"> </w:t>
      </w:r>
      <w:r>
        <w:rPr>
          <w:iCs/>
          <w:i/>
        </w:rPr>
        <w:t xml:space="preserve">sujihvau</w:t>
      </w:r>
      <w:r>
        <w:t xml:space="preserve"> </w:t>
      </w:r>
      <w:r>
        <w:t xml:space="preserve">—</w:t>
      </w:r>
      <w:r>
        <w:t xml:space="preserve"> </w:t>
      </w:r>
      <w:r>
        <w:t xml:space="preserve">“</w:t>
      </w:r>
      <w:r>
        <w:t xml:space="preserve">whose tongue is fine</w:t>
      </w:r>
      <w:r>
        <w:t xml:space="preserve">”</w:t>
      </w:r>
      <w:r>
        <w:t xml:space="preserve">, the second member final-udātta by</w:t>
      </w:r>
      <w:r>
        <w:t xml:space="preserve"> </w:t>
      </w:r>
      <w:r>
        <w:t xml:space="preserve">“</w:t>
      </w:r>
      <w:r>
        <w:t xml:space="preserve">nañ-subhyām</w:t>
      </w:r>
      <w:r>
        <w:t xml:space="preserve">”</w:t>
      </w:r>
      <w:r>
        <w:t xml:space="preserve">, the single-substitute accent in the first member [?]; in the Saṃhitā</w:t>
      </w:r>
      <w:r>
        <w:t xml:space="preserve"> </w:t>
      </w:r>
      <w:r>
        <w:rPr>
          <w:iCs/>
          <w:i/>
        </w:rPr>
        <w:t xml:space="preserve">āv</w:t>
      </w:r>
      <w:r>
        <w:t xml:space="preserve">, and the</w:t>
      </w:r>
      <w:r>
        <w:t xml:space="preserve"> </w:t>
      </w:r>
      <w:r>
        <w:rPr>
          <w:iCs/>
          <w:i/>
        </w:rPr>
        <w:t xml:space="preserve">v</w:t>
      </w:r>
      <w:r>
        <w:t xml:space="preserve"> </w:t>
      </w:r>
      <w:r>
        <w:t xml:space="preserve">dropped by</w:t>
      </w:r>
      <w:r>
        <w:t xml:space="preserve"> </w:t>
      </w:r>
      <w:r>
        <w:t xml:space="preserve">“</w:t>
      </w:r>
      <w:r>
        <w:t xml:space="preserve">lopaḥ śākalyasya</w:t>
      </w:r>
      <w:r>
        <w:t xml:space="preserve">”</w:t>
      </w:r>
      <w:r>
        <w:t xml:space="preserve">;</w:t>
      </w:r>
      <w:r>
        <w:t xml:space="preserve"> </w:t>
      </w:r>
      <w:r>
        <w:rPr>
          <w:iCs/>
          <w:i/>
        </w:rPr>
        <w:t xml:space="preserve">hotārā</w:t>
      </w:r>
      <w:r>
        <w:t xml:space="preserve"> </w:t>
      </w:r>
      <w:r>
        <w:t xml:space="preserve">—</w:t>
      </w:r>
      <w:r>
        <w:t xml:space="preserve"> </w:t>
      </w:r>
      <w:r>
        <w:rPr>
          <w:iCs/>
          <w:i/>
        </w:rPr>
        <w:t xml:space="preserve">tṛn</w:t>
      </w:r>
      <w:r>
        <w:t xml:space="preserve"> </w:t>
      </w:r>
      <w:r>
        <w:t xml:space="preserve">after</w:t>
      </w:r>
      <w:r>
        <w:t xml:space="preserve"> </w:t>
      </w:r>
      <w:r>
        <w:rPr>
          <w:iCs/>
          <w:i/>
        </w:rPr>
        <w:t xml:space="preserve">hu</w:t>
      </w:r>
      <w:r>
        <w:t xml:space="preserve">,</w:t>
      </w:r>
      <w:r>
        <w:t xml:space="preserve"> </w:t>
      </w:r>
      <w:r>
        <w:rPr>
          <w:iCs/>
          <w:i/>
        </w:rPr>
        <w:t xml:space="preserve">guṇa</w:t>
      </w:r>
      <w:r>
        <w:t xml:space="preserve"> </w:t>
      </w:r>
      <w:r>
        <w:t xml:space="preserve">in the dual by</w:t>
      </w:r>
      <w:r>
        <w:t xml:space="preserve"> </w:t>
      </w:r>
      <w:r>
        <w:t xml:space="preserve">“</w:t>
      </w:r>
      <w:r>
        <w:t xml:space="preserve">ṛto ṅi…</w:t>
      </w:r>
      <w:r>
        <w:t xml:space="preserve">”</w:t>
      </w:r>
      <w:r>
        <w:t xml:space="preserve"> </w:t>
      </w:r>
      <w:r>
        <w:t xml:space="preserve">(Pā. 7-3-110), lengthening of the penultimate by</w:t>
      </w:r>
      <w:r>
        <w:t xml:space="preserve"> </w:t>
      </w:r>
      <w:r>
        <w:t xml:space="preserve">“</w:t>
      </w:r>
      <w:r>
        <w:t xml:space="preserve">ap-tṛn…</w:t>
      </w:r>
      <w:r>
        <w:t xml:space="preserve">”</w:t>
      </w:r>
      <w:r>
        <w:t xml:space="preserve">,</w:t>
      </w:r>
      <w:r>
        <w:t xml:space="preserve"> </w:t>
      </w:r>
      <w:r>
        <w:rPr>
          <w:iCs/>
          <w:i/>
        </w:rPr>
        <w:t xml:space="preserve">ā</w:t>
      </w:r>
      <w:r>
        <w:t xml:space="preserve"> </w:t>
      </w:r>
      <w:r>
        <w:t xml:space="preserve">as before, initial-udātta as</w:t>
      </w:r>
      <w:r>
        <w:t xml:space="preserve"> </w:t>
      </w:r>
      <w:r>
        <w:rPr>
          <w:iCs/>
          <w:i/>
        </w:rPr>
        <w:t xml:space="preserve">nit</w:t>
      </w:r>
      <w:r>
        <w:t xml:space="preserve">;</w:t>
      </w:r>
      <w:r>
        <w:t xml:space="preserve"> </w:t>
      </w:r>
      <w:r>
        <w:rPr>
          <w:iCs/>
          <w:i/>
        </w:rPr>
        <w:t xml:space="preserve">daivyā</w:t>
      </w:r>
      <w:r>
        <w:t xml:space="preserve"> </w:t>
      </w:r>
      <w:r>
        <w:t xml:space="preserve">—</w:t>
      </w:r>
      <w:r>
        <w:t xml:space="preserve"> </w:t>
      </w:r>
      <w:r>
        <w:t xml:space="preserve">“</w:t>
      </w:r>
      <w:r>
        <w:t xml:space="preserve">these two belong to the gods</w:t>
      </w:r>
      <w:r>
        <w:t xml:space="preserve">”</w:t>
      </w:r>
      <w:r>
        <w:t xml:space="preserve">,</w:t>
      </w:r>
      <w:r>
        <w:t xml:space="preserve"> </w:t>
      </w:r>
      <w:r>
        <w:rPr>
          <w:iCs/>
          <w:i/>
        </w:rPr>
        <w:t xml:space="preserve">yañ</w:t>
      </w:r>
      <w:r>
        <w:t xml:space="preserve"> </w:t>
      </w:r>
      <w:r>
        <w:t xml:space="preserve">by</w:t>
      </w:r>
      <w:r>
        <w:t xml:space="preserve"> </w:t>
      </w:r>
      <w:r>
        <w:t xml:space="preserve">“</w:t>
      </w:r>
      <w:r>
        <w:t xml:space="preserve">devād yañ-añau</w:t>
      </w:r>
      <w:r>
        <w:t xml:space="preserve">”</w:t>
      </w:r>
      <w:r>
        <w:t xml:space="preserve"> </w:t>
      </w:r>
      <w:r>
        <w:t xml:space="preserve">(Pā. 4-1-85-3), the</w:t>
      </w:r>
      <w:r>
        <w:t xml:space="preserve"> </w:t>
      </w:r>
      <w:r>
        <w:rPr>
          <w:iCs/>
          <w:i/>
        </w:rPr>
        <w:t xml:space="preserve">a</w:t>
      </w:r>
      <w:r>
        <w:t xml:space="preserve"> </w:t>
      </w:r>
      <w:r>
        <w:t xml:space="preserve">dropped by</w:t>
      </w:r>
      <w:r>
        <w:t xml:space="preserve"> </w:t>
      </w:r>
      <w:r>
        <w:t xml:space="preserve">“</w:t>
      </w:r>
      <w:r>
        <w:t xml:space="preserve">yasyeti ca</w:t>
      </w:r>
      <w:r>
        <w:t xml:space="preserve">”</w:t>
      </w:r>
      <w:r>
        <w:t xml:space="preserve">, initial-udātta by</w:t>
      </w:r>
      <w:r>
        <w:t xml:space="preserve"> </w:t>
      </w:r>
      <w:r>
        <w:t xml:space="preserve">“</w:t>
      </w:r>
      <w:r>
        <w:t xml:space="preserve">ñnity ādir nityam</w:t>
      </w:r>
      <w:r>
        <w:t xml:space="preserve">”</w:t>
      </w:r>
      <w:r>
        <w:t xml:space="preserve">,</w:t>
      </w:r>
      <w:r>
        <w:t xml:space="preserve"> </w:t>
      </w:r>
      <w:r>
        <w:rPr>
          <w:iCs/>
          <w:i/>
        </w:rPr>
        <w:t xml:space="preserve">ā</w:t>
      </w:r>
      <w:r>
        <w:t xml:space="preserve"> </w:t>
      </w:r>
      <w:r>
        <w:t xml:space="preserve">as before;</w:t>
      </w:r>
      <w:r>
        <w:t xml:space="preserve"> </w:t>
      </w:r>
      <w:r>
        <w:rPr>
          <w:iCs/>
          <w:i/>
        </w:rPr>
        <w:t xml:space="preserve">yakṣatām</w:t>
      </w:r>
      <w:r>
        <w:t xml:space="preserve"> </w:t>
      </w:r>
      <w:r>
        <w:t xml:space="preserve">=</w:t>
      </w:r>
      <w:r>
        <w:t xml:space="preserve"> </w:t>
      </w:r>
      <w:r>
        <w:rPr>
          <w:iCs/>
          <w:i/>
        </w:rPr>
        <w:t xml:space="preserve">yajatām</w:t>
      </w:r>
      <w:r>
        <w:t xml:space="preserve">: with</w:t>
      </w:r>
      <w:r>
        <w:t xml:space="preserve"> </w:t>
      </w:r>
      <w:r>
        <w:rPr>
          <w:iCs/>
          <w:i/>
        </w:rPr>
        <w:t xml:space="preserve">śap</w:t>
      </w:r>
      <w:r>
        <w:t xml:space="preserve"> </w:t>
      </w:r>
      <w:r>
        <w:t xml:space="preserve">following in</w:t>
      </w:r>
      <w:r>
        <w:t xml:space="preserve"> </w:t>
      </w:r>
      <w:r>
        <w:rPr>
          <w:iCs/>
          <w:i/>
        </w:rPr>
        <w:t xml:space="preserve">loṭ</w:t>
      </w:r>
      <w:r>
        <w:t xml:space="preserve">,</w:t>
      </w:r>
      <w:r>
        <w:t xml:space="preserve"> </w:t>
      </w:r>
      <w:r>
        <w:rPr>
          <w:iCs/>
          <w:i/>
        </w:rPr>
        <w:t xml:space="preserve">sip</w:t>
      </w:r>
      <w:r>
        <w:t xml:space="preserve"> </w:t>
      </w:r>
      <w:r>
        <w:t xml:space="preserve">by the word</w:t>
      </w:r>
      <w:r>
        <w:t xml:space="preserve"> </w:t>
      </w:r>
      <w:r>
        <w:rPr>
          <w:iCs/>
          <w:i/>
        </w:rPr>
        <w:t xml:space="preserve">bahula</w:t>
      </w:r>
      <w:r>
        <w:t xml:space="preserve"> </w:t>
      </w:r>
      <w:r>
        <w:t xml:space="preserve">in</w:t>
      </w:r>
      <w:r>
        <w:t xml:space="preserve"> </w:t>
      </w:r>
      <w:r>
        <w:t xml:space="preserve">“</w:t>
      </w:r>
      <w:r>
        <w:t xml:space="preserve">sib bahulaṃ leṭi</w:t>
      </w:r>
      <w:r>
        <w:t xml:space="preserve">”</w:t>
      </w:r>
      <w:r>
        <w:t xml:space="preserve">;</w:t>
      </w:r>
      <w:r>
        <w:t xml:space="preserve"> </w:t>
      </w:r>
      <w:r>
        <w:rPr>
          <w:iCs/>
          <w:i/>
        </w:rPr>
        <w:t xml:space="preserve">k</w:t>
      </w:r>
      <w:r>
        <w:t xml:space="preserve">,</w:t>
      </w:r>
      <w:r>
        <w:t xml:space="preserve"> </w:t>
      </w:r>
      <w:r>
        <w:rPr>
          <w:iCs/>
          <w:i/>
        </w:rPr>
        <w:t xml:space="preserve">car</w:t>
      </w:r>
      <w:r>
        <w:t xml:space="preserve"> </w:t>
      </w:r>
      <w:r>
        <w:t xml:space="preserve">and</w:t>
      </w:r>
      <w:r>
        <w:t xml:space="preserve"> </w:t>
      </w:r>
      <w:r>
        <w:rPr>
          <w:iCs/>
          <w:i/>
        </w:rPr>
        <w:t xml:space="preserve">ṣ</w:t>
      </w:r>
      <w:r>
        <w:t xml:space="preserve">.)</w:t>
      </w:r>
    </w:p>
    <w:p>
      <w:pPr>
        <w:pStyle w:val="BodyText"/>
      </w:pPr>
      <w:r>
        <w:rPr>
          <w:bCs/>
          <w:b/>
        </w:rPr>
        <w:t xml:space="preserve">॥ Prati-padārthaḥ ॥</w:t>
      </w:r>
    </w:p>
    <w:p>
      <w:pPr>
        <w:pStyle w:val="BodyText"/>
      </w:pPr>
      <w:r>
        <w:rPr>
          <w:bCs/>
          <w:b/>
        </w:rPr>
        <w:t xml:space="preserve">सुजिह्वा (sujihvā)</w:t>
      </w:r>
      <w:r>
        <w:t xml:space="preserve"> </w:t>
      </w:r>
      <w:r>
        <w:t xml:space="preserve">— having excellent tongues, that is, speaking pleasant words or having fine flames |</w:t>
      </w:r>
      <w:r>
        <w:t xml:space="preserve"> </w:t>
      </w:r>
      <w:r>
        <w:rPr>
          <w:bCs/>
          <w:b/>
        </w:rPr>
        <w:t xml:space="preserve">कवी (kavī)</w:t>
      </w:r>
      <w:r>
        <w:t xml:space="preserve"> </w:t>
      </w:r>
      <w:r>
        <w:t xml:space="preserve">— wise |</w:t>
      </w:r>
      <w:r>
        <w:t xml:space="preserve"> </w:t>
      </w:r>
      <w:r>
        <w:rPr>
          <w:bCs/>
          <w:b/>
        </w:rPr>
        <w:t xml:space="preserve">ता (tā)</w:t>
      </w:r>
      <w:r>
        <w:t xml:space="preserve"> </w:t>
      </w:r>
      <w:r>
        <w:t xml:space="preserve">— those, well known in the rites of sacrifice |</w:t>
      </w:r>
      <w:r>
        <w:t xml:space="preserve"> </w:t>
      </w:r>
      <w:r>
        <w:rPr>
          <w:bCs/>
          <w:b/>
        </w:rPr>
        <w:t xml:space="preserve">दैव्या (daivyā)</w:t>
      </w:r>
      <w:r>
        <w:t xml:space="preserve"> </w:t>
      </w:r>
      <w:r>
        <w:t xml:space="preserve">— belonging to the gods |</w:t>
      </w:r>
      <w:r>
        <w:t xml:space="preserve"> </w:t>
      </w:r>
      <w:r>
        <w:rPr>
          <w:bCs/>
          <w:b/>
        </w:rPr>
        <w:t xml:space="preserve">होतारा (hotārā)</w:t>
      </w:r>
      <w:r>
        <w:t xml:space="preserve"> </w:t>
      </w:r>
      <w:r>
        <w:t xml:space="preserve">— accomplishers of the</w:t>
      </w:r>
      <w:r>
        <w:t xml:space="preserve"> </w:t>
      </w:r>
      <w:r>
        <w:rPr>
          <w:iCs/>
          <w:i/>
        </w:rPr>
        <w:t xml:space="preserve">homa</w:t>
      </w:r>
      <w:r>
        <w:t xml:space="preserve"> </w:t>
      </w:r>
      <w:r>
        <w:t xml:space="preserve">|</w:t>
      </w:r>
      <w:r>
        <w:t xml:space="preserve"> </w:t>
      </w:r>
      <w:r>
        <w:rPr>
          <w:iCs/>
          <w:i/>
        </w:rPr>
        <w:t xml:space="preserve">(the two fire-forms called Daivya-hotārā)</w:t>
      </w:r>
      <w:r>
        <w:t xml:space="preserve"> </w:t>
      </w:r>
      <w:r>
        <w:rPr>
          <w:bCs/>
          <w:b/>
        </w:rPr>
        <w:t xml:space="preserve">उप ह्वये (upa hvaye)</w:t>
      </w:r>
      <w:r>
        <w:t xml:space="preserve"> </w:t>
      </w:r>
      <w:r>
        <w:t xml:space="preserve">— I invoke (near me) |</w:t>
      </w:r>
      <w:r>
        <w:t xml:space="preserve"> </w:t>
      </w:r>
      <w:r>
        <w:rPr>
          <w:bCs/>
          <w:b/>
        </w:rPr>
        <w:t xml:space="preserve">नः (naḥ)</w:t>
      </w:r>
      <w:r>
        <w:t xml:space="preserve"> </w:t>
      </w:r>
      <w:r>
        <w:t xml:space="preserve">— our (i.e., that we perform) |</w:t>
      </w:r>
      <w:r>
        <w:t xml:space="preserve"> </w:t>
      </w:r>
      <w:r>
        <w:rPr>
          <w:bCs/>
          <w:b/>
        </w:rPr>
        <w:t xml:space="preserve">इमं यज्ञम् (imaṃ yajñam)</w:t>
      </w:r>
      <w:r>
        <w:t xml:space="preserve"> </w:t>
      </w:r>
      <w:r>
        <w:t xml:space="preserve">— this sacrifice |</w:t>
      </w:r>
      <w:r>
        <w:t xml:space="preserve"> </w:t>
      </w:r>
      <w:r>
        <w:rPr>
          <w:bCs/>
          <w:b/>
        </w:rPr>
        <w:t xml:space="preserve">यक्षताम् (yakṣatām)</w:t>
      </w:r>
      <w:r>
        <w:t xml:space="preserve"> </w:t>
      </w:r>
      <w:r>
        <w:t xml:space="preserve">— may they perform.</w:t>
      </w:r>
    </w:p>
    <w:p>
      <w:pPr>
        <w:pStyle w:val="BodyText"/>
      </w:pPr>
      <w:r>
        <w:rPr>
          <w:bCs/>
          <w:b/>
        </w:rPr>
        <w:t xml:space="preserve">॥ Bhāvārthaḥ ॥</w:t>
      </w:r>
    </w:p>
    <w:p>
      <w:pPr>
        <w:pStyle w:val="BodyText"/>
      </w:pPr>
      <w:r>
        <w:t xml:space="preserve">The two deities called</w:t>
      </w:r>
      <w:r>
        <w:t xml:space="preserve"> </w:t>
      </w:r>
      <w:r>
        <w:rPr>
          <w:iCs/>
          <w:i/>
        </w:rPr>
        <w:t xml:space="preserve">Daivyā Hotārā</w:t>
      </w:r>
      <w:r>
        <w:t xml:space="preserve"> </w:t>
      </w:r>
      <w:r>
        <w:t xml:space="preserve">(special forms of Agni) speak pleasant words (or are joined with brightly blazing flames), are very wise, and are expert in the</w:t>
      </w:r>
      <w:r>
        <w:t xml:space="preserve"> </w:t>
      </w:r>
      <w:r>
        <w:rPr>
          <w:iCs/>
          <w:i/>
        </w:rPr>
        <w:t xml:space="preserve">hotṛ</w:t>
      </w:r>
      <w:r>
        <w:t xml:space="preserve"> </w:t>
      </w:r>
      <w:r>
        <w:t xml:space="preserve">work. I call such divine deities named</w:t>
      </w:r>
      <w:r>
        <w:t xml:space="preserve"> </w:t>
      </w:r>
      <w:r>
        <w:rPr>
          <w:iCs/>
          <w:i/>
        </w:rPr>
        <w:t xml:space="preserve">Daivyā Hotārā</w:t>
      </w:r>
      <w:r>
        <w:t xml:space="preserve">; may they come here, take the place of the</w:t>
      </w:r>
      <w:r>
        <w:t xml:space="preserve"> </w:t>
      </w:r>
      <w:r>
        <w:rPr>
          <w:iCs/>
          <w:i/>
        </w:rPr>
        <w:t xml:space="preserve">hotṛ</w:t>
      </w:r>
      <w:r>
        <w:t xml:space="preserve">, and carry out the sacrificial rite we are performing.</w:t>
      </w:r>
    </w:p>
    <w:bookmarkEnd w:id="594"/>
    <w:bookmarkStart w:id="595" w:name="page-561-rik-8-english-special-topics"/>
    <w:p>
      <w:pPr>
        <w:pStyle w:val="Heading3"/>
      </w:pPr>
      <w:r>
        <w:t xml:space="preserve">Page 561 — Rik 8: English, Special Topics</w:t>
      </w:r>
    </w:p>
    <w:p>
      <w:pPr>
        <w:pStyle w:val="FirstParagraph"/>
      </w:pPr>
      <w:r>
        <w:rPr>
          <w:bCs/>
          <w:b/>
        </w:rPr>
        <w:t xml:space="preserve">॥ English Translation ॥</w:t>
      </w:r>
      <w:r>
        <w:t xml:space="preserve"> </w:t>
      </w:r>
      <w:r>
        <w:rPr>
          <w:iCs/>
          <w:i/>
        </w:rPr>
        <w:t xml:space="preserve">(as printed in the source)</w:t>
      </w:r>
    </w:p>
    <w:p>
      <w:pPr>
        <w:pStyle w:val="BlockText"/>
      </w:pPr>
      <w:r>
        <w:t xml:space="preserve">I invoke those Daivya and Hotara, those two divine hotries [sic] who are good-tongued and wise. May they perform this our sacrifice.</w:t>
      </w:r>
    </w:p>
    <w:p>
      <w:pPr>
        <w:pStyle w:val="FirstParagraph"/>
      </w:pPr>
      <w:r>
        <w:rPr>
          <w:bCs/>
          <w:b/>
        </w:rPr>
        <w:t xml:space="preserve">॥ Viśeṣa-viṣayagaḷu (Special Topics) ॥</w:t>
      </w:r>
    </w:p>
    <w:p>
      <w:pPr>
        <w:pStyle w:val="BodyText"/>
      </w:pPr>
      <w:r>
        <w:t xml:space="preserve">On the words</w:t>
      </w:r>
      <w:r>
        <w:t xml:space="preserve"> </w:t>
      </w:r>
      <w:r>
        <w:rPr>
          <w:iCs/>
          <w:i/>
        </w:rPr>
        <w:t xml:space="preserve">daivyā hotārā</w:t>
      </w:r>
      <w:r>
        <w:t xml:space="preserve">, Yāska’s explanation:</w:t>
      </w:r>
    </w:p>
    <w:p>
      <w:pPr>
        <w:pStyle w:val="BlockText"/>
      </w:pPr>
      <w:r>
        <w:t xml:space="preserve">दैव्या होतारा दैव्यौ होतारावयं चाग्निरसौ च मध्यमः ॥</w:t>
      </w:r>
    </w:p>
    <w:p>
      <w:pPr>
        <w:pStyle w:val="BlockText"/>
      </w:pPr>
      <w:r>
        <w:rPr>
          <w:iCs/>
          <w:i/>
        </w:rPr>
        <w:t xml:space="preserve">daivyā hotārā daivyau hotārāvayaṃ cāgnirasau ca madhyamaḥ ||</w:t>
      </w:r>
    </w:p>
    <w:p>
      <w:pPr>
        <w:pStyle w:val="FirstParagraph"/>
      </w:pPr>
      <w:r>
        <w:t xml:space="preserve">That is, the word points to Agni himself. Since Agni calls the gods, Agni stands in the middle between gods and men; in this matter he gives an example:</w:t>
      </w:r>
    </w:p>
    <w:p>
      <w:pPr>
        <w:pStyle w:val="BodyText"/>
      </w:pPr>
      <w:r>
        <w:rPr>
          <w:iCs/>
          <w:i/>
        </w:rPr>
        <w:t xml:space="preserve">(Ṛ. Saṃ.</w:t>
      </w:r>
      <w:r>
        <w:rPr>
          <w:iCs/>
          <w:i/>
        </w:rPr>
        <w:t xml:space="preserve"> </w:t>
      </w:r>
      <w:r>
        <w:rPr>
          <w:iCs/>
          <w:i/>
        </w:rPr>
        <w:t xml:space="preserve">“</w:t>
      </w:r>
      <w:r>
        <w:rPr>
          <w:iCs/>
          <w:i/>
        </w:rPr>
        <w:t xml:space="preserve">10-110-7</w:t>
      </w:r>
      <w:r>
        <w:rPr>
          <w:iCs/>
          <w:i/>
        </w:rPr>
        <w:t xml:space="preserve">”</w:t>
      </w:r>
      <w:r>
        <w:rPr>
          <w:iCs/>
          <w:i/>
        </w:rPr>
        <w:t xml:space="preserve"> </w:t>
      </w:r>
      <w:r>
        <w:rPr>
          <w:iCs/>
          <w:i/>
        </w:rPr>
        <w:t xml:space="preserve">[?]; the last digit is unclear.)</w:t>
      </w:r>
    </w:p>
    <w:p>
      <w:pPr>
        <w:pStyle w:val="BlockText"/>
      </w:pPr>
      <w:r>
        <w:t xml:space="preserve">दैव्या होतारा प्रथमा सुवाचा मिमाना यज्ञं मनुषो यजध्यै ।</w:t>
      </w:r>
      <w:r>
        <w:t xml:space="preserve"> </w:t>
      </w:r>
      <w:r>
        <w:t xml:space="preserve">प्रचोदयन्ता विदथेषु कारू प्राचीनं ज्योतिः प्रदिशा दिशन्ता ॥</w:t>
      </w:r>
    </w:p>
    <w:p>
      <w:pPr>
        <w:pStyle w:val="BlockText"/>
      </w:pPr>
      <w:r>
        <w:rPr>
          <w:iCs/>
          <w:i/>
        </w:rPr>
        <w:t xml:space="preserve">daivyā hotārā prathamā suvācā mimānā yajñaṃ manuṣo yajadhyai |</w:t>
      </w:r>
      <w:r>
        <w:t xml:space="preserve"> </w:t>
      </w:r>
      <w:r>
        <w:rPr>
          <w:iCs/>
          <w:i/>
        </w:rPr>
        <w:t xml:space="preserve">pracodayantā vidatheṣu kārū prācīnaṃ jyotiḥ pradiśā diśantā ||</w:t>
      </w:r>
    </w:p>
    <w:p>
      <w:pPr>
        <w:pStyle w:val="FirstParagraph"/>
      </w:pPr>
      <w:r>
        <w:rPr>
          <w:iCs/>
          <w:i/>
        </w:rPr>
        <w:t xml:space="preserve">(</w:t>
      </w:r>
      <w:r>
        <w:rPr>
          <w:iCs/>
          <w:i/>
        </w:rPr>
        <w:t xml:space="preserve">“</w:t>
      </w:r>
      <w:r>
        <w:rPr>
          <w:iCs/>
          <w:i/>
        </w:rPr>
        <w:t xml:space="preserve">The two divine invokers, the first, fair-spoken, measuring out the sacrifice for man to worship, urging on, the two doers at the gatherings, pointing out the eastern light by direction</w:t>
      </w:r>
      <w:r>
        <w:rPr>
          <w:iCs/>
          <w:i/>
        </w:rPr>
        <w:t xml:space="preserve">”</w:t>
      </w:r>
      <w:r>
        <w:rPr>
          <w:iCs/>
          <w:i/>
        </w:rPr>
        <w:t xml:space="preserve"> </w:t>
      </w:r>
      <w:r>
        <w:rPr>
          <w:iCs/>
          <w:i/>
        </w:rPr>
        <w:t xml:space="preserve">— mine and tentative.)</w:t>
      </w:r>
    </w:p>
    <w:p>
      <w:pPr>
        <w:pStyle w:val="BodyText"/>
      </w:pPr>
      <w:r>
        <w:t xml:space="preserve">Durgācārya’s commentary on it:</w:t>
      </w:r>
    </w:p>
    <w:p>
      <w:pPr>
        <w:pStyle w:val="BlockText"/>
      </w:pPr>
      <w:r>
        <w:t xml:space="preserve">यावेतौ दैव्यौ होतारौ । देवेषु भवौ दैव्यौ देवावेव दैव्यौ । स्वार्थ एव तद्धितः । मनुष्यहोतारावपेक्ष्य । दैव्या होतारौ होतृमैत्रावरुणौ इति विशेषणम् । होतारा होतारावाह्वातारौ देवानां वाय्वग्नी । प्रथमा प्रथमौ मुख्यौ मनुष्यहोतारावपेक्ष्य । सुवाचा सुवाचौ प्रशस्तवाचौ सुस्तुतौ । मिमाना यज्ञं यज्ञनिर्मातारौ नित्यम् । मनुषः मनुष्यस्य यजध्यै यजनाय । प्रचोदयन्ता प्रचोदयमानौ । विदथेषु यज्ञेषु । कारू कर्तारौ । इत्यादि</w:t>
      </w:r>
    </w:p>
    <w:p>
      <w:pPr>
        <w:pStyle w:val="BlockText"/>
      </w:pPr>
      <w:r>
        <w:rPr>
          <w:iCs/>
          <w:i/>
        </w:rPr>
        <w:t xml:space="preserve">yāvetau daivyau hotārau | deveṣu bhavau daivyau devāveva daivyau | svārtha eva taddhitaḥ | manuṣyahotārāvapekṣya | daivyā hotārau hotṛmaitrāvaruṇau iti viśeṣaṇam | hotārā hotārāvāhvātārau devānāṃ vāyvagnī | prathamā prathamau mukhyau manuṣyahotārāvapekṣya | suvācā suvācau praśastavācau sustutau | mimānā yajñaṃ yajñanirmātārau nityam | manuṣaḥ manuṣyasya yajadhyai yajanāya | pracodayantā pracodayamānau | vidatheṣu yajñeṣu | kārū kartārau | ityādi</w:t>
      </w:r>
    </w:p>
    <w:p>
      <w:pPr>
        <w:pStyle w:val="FirstParagraph"/>
      </w:pPr>
      <w:r>
        <w:t xml:space="preserve">The chief idea: for the gods, Agni and Vāyu are known as the</w:t>
      </w:r>
      <w:r>
        <w:t xml:space="preserve"> </w:t>
      </w:r>
      <w:r>
        <w:rPr>
          <w:iCs/>
          <w:i/>
        </w:rPr>
        <w:t xml:space="preserve">hotṛs</w:t>
      </w:r>
      <w:r>
        <w:t xml:space="preserve">; for men, the priests Hotṛ and Maitrāvaruṇa are known as the</w:t>
      </w:r>
      <w:r>
        <w:t xml:space="preserve"> </w:t>
      </w:r>
      <w:r>
        <w:rPr>
          <w:iCs/>
          <w:i/>
        </w:rPr>
        <w:t xml:space="preserve">hotṛs</w:t>
      </w:r>
      <w:r>
        <w:t xml:space="preserve">. Since Agni, or Agni and Vāyu, stand between the gods and men and make a connection between them, Agni is called</w:t>
      </w:r>
      <w:r>
        <w:t xml:space="preserve"> </w:t>
      </w:r>
      <w:r>
        <w:t xml:space="preserve">“</w:t>
      </w:r>
      <w:r>
        <w:t xml:space="preserve">the middle one</w:t>
      </w:r>
      <w:r>
        <w:t xml:space="preserve">”</w:t>
      </w:r>
      <w:r>
        <w:t xml:space="preserve">. The name of these deities,</w:t>
      </w:r>
      <w:r>
        <w:t xml:space="preserve"> </w:t>
      </w:r>
      <w:r>
        <w:rPr>
          <w:iCs/>
          <w:i/>
        </w:rPr>
        <w:t xml:space="preserve">daivyā hotārā</w:t>
      </w:r>
      <w:r>
        <w:t xml:space="preserve">, apart from the Āpri-sūktas, is read only in the two riks</w:t>
      </w:r>
    </w:p>
    <w:p>
      <w:pPr>
        <w:pStyle w:val="BodyText"/>
      </w:pPr>
      <w:r>
        <w:rPr>
          <w:iCs/>
          <w:i/>
        </w:rPr>
        <w:t xml:space="preserve">(Ṛ. Saṃ. 10-65-10.)</w:t>
      </w:r>
    </w:p>
    <w:p>
      <w:pPr>
        <w:pStyle w:val="BlockText"/>
      </w:pPr>
      <w:r>
        <w:t xml:space="preserve">त्वष्टारं वायुमृभवो य ओहते दैव्या होतारा उषसं स्वस्तये ॥</w:t>
      </w:r>
    </w:p>
    <w:p>
      <w:pPr>
        <w:pStyle w:val="BlockText"/>
      </w:pPr>
      <w:r>
        <w:rPr>
          <w:iCs/>
          <w:i/>
        </w:rPr>
        <w:t xml:space="preserve">tvaṣṭāraṃ vāyumṛbhavo ya ohate daivyā hotārā uṣasaṃ svastaye ||</w:t>
      </w:r>
    </w:p>
    <w:bookmarkEnd w:id="595"/>
    <w:bookmarkStart w:id="596" w:name="X3786528a1b2419fa5cd7b1c07185a514ca6920a"/>
    <w:p>
      <w:pPr>
        <w:pStyle w:val="Heading3"/>
      </w:pPr>
      <w:r>
        <w:t xml:space="preserve">Page 562 — Rik 8: Special Topics (continued) and grammar</w:t>
      </w:r>
    </w:p>
    <w:p>
      <w:pPr>
        <w:pStyle w:val="FirstParagraph"/>
      </w:pPr>
      <w:r>
        <w:rPr>
          <w:iCs/>
          <w:i/>
        </w:rPr>
        <w:t xml:space="preserve">(Ṛ. Saṃ. 10-66-13.)</w:t>
      </w:r>
    </w:p>
    <w:p>
      <w:pPr>
        <w:pStyle w:val="BlockText"/>
      </w:pPr>
      <w:r>
        <w:t xml:space="preserve">दैव्या होतारा प्रथमा पुरोहित ऋतस्य पन्थामन्वेमि साधुया ॥</w:t>
      </w:r>
    </w:p>
    <w:p>
      <w:pPr>
        <w:pStyle w:val="BlockText"/>
      </w:pPr>
      <w:r>
        <w:rPr>
          <w:iCs/>
          <w:i/>
        </w:rPr>
        <w:t xml:space="preserve">daivyā hotārā prathamā purohita ṛtasya panthāmanvemi sādhuyā ||</w:t>
      </w:r>
    </w:p>
    <w:p>
      <w:pPr>
        <w:pStyle w:val="FirstParagraph"/>
      </w:pPr>
      <w:r>
        <w:t xml:space="preserve">In the rik Ṛ. Saṃ.</w:t>
      </w:r>
      <w:r>
        <w:t xml:space="preserve"> </w:t>
      </w:r>
      <w:r>
        <w:t xml:space="preserve">“</w:t>
      </w:r>
      <w:r>
        <w:t xml:space="preserve">7-2-7</w:t>
      </w:r>
      <w:r>
        <w:t xml:space="preserve">”</w:t>
      </w:r>
      <w:r>
        <w:t xml:space="preserve"> </w:t>
      </w:r>
      <w:r>
        <w:t xml:space="preserve">[?] they are also called</w:t>
      </w:r>
      <w:r>
        <w:t xml:space="preserve"> </w:t>
      </w:r>
      <w:r>
        <w:rPr>
          <w:iCs/>
          <w:i/>
        </w:rPr>
        <w:t xml:space="preserve">jātavedasā</w:t>
      </w:r>
      <w:r>
        <w:t xml:space="preserve">, and in the rik Ṛ. Saṃ.</w:t>
      </w:r>
      <w:r>
        <w:t xml:space="preserve"> </w:t>
      </w:r>
      <w:r>
        <w:t xml:space="preserve">“</w:t>
      </w:r>
      <w:r>
        <w:t xml:space="preserve">10-70-7</w:t>
      </w:r>
      <w:r>
        <w:t xml:space="preserve">”</w:t>
      </w:r>
      <w:r>
        <w:t xml:space="preserve"> </w:t>
      </w:r>
      <w:r>
        <w:t xml:space="preserve">[?]</w:t>
      </w:r>
      <w:r>
        <w:t xml:space="preserve"> </w:t>
      </w:r>
      <w:r>
        <w:rPr>
          <w:iCs/>
          <w:i/>
        </w:rPr>
        <w:t xml:space="preserve">purohitau</w:t>
      </w:r>
      <w:r>
        <w:t xml:space="preserve"> </w:t>
      </w:r>
      <w:r>
        <w:t xml:space="preserve">(the repeated digit is the same glyph in both, read as 7). And since the words in the riks just cited —</w:t>
      </w:r>
      <w:r>
        <w:t xml:space="preserve"> </w:t>
      </w:r>
      <w:r>
        <w:rPr>
          <w:iCs/>
          <w:i/>
        </w:rPr>
        <w:t xml:space="preserve">mimānā yajñaṃ manuṣo yajadhyai</w:t>
      </w:r>
      <w:r>
        <w:t xml:space="preserve">,</w:t>
      </w:r>
      <w:r>
        <w:t xml:space="preserve"> </w:t>
      </w:r>
      <w:r>
        <w:rPr>
          <w:iCs/>
          <w:i/>
        </w:rPr>
        <w:t xml:space="preserve">yajñeṣu mānuṣeṣu kārū</w:t>
      </w:r>
      <w:r>
        <w:t xml:space="preserve">, and</w:t>
      </w:r>
      <w:r>
        <w:t xml:space="preserve"> </w:t>
      </w:r>
      <w:r>
        <w:rPr>
          <w:iCs/>
          <w:i/>
        </w:rPr>
        <w:t xml:space="preserve">pracodayantā vidatheṣu kārū</w:t>
      </w:r>
      <w:r>
        <w:t xml:space="preserve"> </w:t>
      </w:r>
      <w:r>
        <w:t xml:space="preserve">— say that these deities carry out or urge on the sacrifices men perform, calling them</w:t>
      </w:r>
      <w:r>
        <w:t xml:space="preserve"> </w:t>
      </w:r>
      <w:r>
        <w:rPr>
          <w:iCs/>
          <w:i/>
        </w:rPr>
        <w:t xml:space="preserve">purohitas</w:t>
      </w:r>
      <w:r>
        <w:t xml:space="preserve"> </w:t>
      </w:r>
      <w:r>
        <w:t xml:space="preserve">is natural. Among the gods the</w:t>
      </w:r>
      <w:r>
        <w:t xml:space="preserve"> </w:t>
      </w:r>
      <w:r>
        <w:rPr>
          <w:iCs/>
          <w:i/>
        </w:rPr>
        <w:t xml:space="preserve">hotṛs</w:t>
      </w:r>
      <w:r>
        <w:t xml:space="preserve"> </w:t>
      </w:r>
      <w:r>
        <w:t xml:space="preserve">are Agni and Vāyu; among men the Hotṛ and his helper-priest, the Maitrāvaruṇa, are called the</w:t>
      </w:r>
      <w:r>
        <w:t xml:space="preserve"> </w:t>
      </w:r>
      <w:r>
        <w:rPr>
          <w:iCs/>
          <w:i/>
        </w:rPr>
        <w:t xml:space="preserve">hotṛs</w:t>
      </w:r>
      <w:r>
        <w:t xml:space="preserve">. This Maitrāvaruṇa, by the</w:t>
      </w:r>
      <w:r>
        <w:t xml:space="preserve"> </w:t>
      </w:r>
      <w:r>
        <w:rPr>
          <w:iCs/>
          <w:i/>
        </w:rPr>
        <w:t xml:space="preserve">praiṣa</w:t>
      </w:r>
      <w:r>
        <w:t xml:space="preserve"> </w:t>
      </w:r>
      <w:r>
        <w:t xml:space="preserve">mantras, directs the other priests to do their several tasks. In the Yajurveda (Tai. Saṃ. 6-1-, the rest of the number left blank in the print) it is said:</w:t>
      </w:r>
      <w:r>
        <w:t xml:space="preserve"> </w:t>
      </w:r>
      <w:r>
        <w:t xml:space="preserve">“</w:t>
      </w:r>
      <w:r>
        <w:t xml:space="preserve">मैत्रावरुणो हि पुरस्तादृत्विग्भ्यो वाचं विभजति</w:t>
      </w:r>
      <w:r>
        <w:t xml:space="preserve">”</w:t>
      </w:r>
      <w:r>
        <w:t xml:space="preserve"> </w:t>
      </w:r>
      <w:r>
        <w:t xml:space="preserve">(</w:t>
      </w:r>
      <w:r>
        <w:rPr>
          <w:iCs/>
          <w:i/>
        </w:rPr>
        <w:t xml:space="preserve">maitrāvaruṇo hi purastādṛtvigbhyo vācaṃ vibhajati</w:t>
      </w:r>
      <w:r>
        <w:t xml:space="preserve">).</w:t>
      </w:r>
    </w:p>
    <w:p>
      <w:pPr>
        <w:pStyle w:val="BodyText"/>
      </w:pPr>
      <w:r>
        <w:rPr>
          <w:bCs/>
          <w:b/>
        </w:rPr>
        <w:t xml:space="preserve">“</w:t>
      </w:r>
      <w:r>
        <w:rPr>
          <w:bCs/>
          <w:b/>
        </w:rPr>
        <w:t xml:space="preserve">Sujihvā</w:t>
      </w:r>
      <w:r>
        <w:rPr>
          <w:bCs/>
          <w:b/>
        </w:rPr>
        <w:t xml:space="preserve">”</w:t>
      </w:r>
      <w:r>
        <w:t xml:space="preserve"> </w:t>
      </w:r>
      <w:r>
        <w:t xml:space="preserve">—</w:t>
      </w:r>
      <w:r>
        <w:t xml:space="preserve"> </w:t>
      </w:r>
      <w:r>
        <w:rPr>
          <w:iCs/>
          <w:i/>
        </w:rPr>
        <w:t xml:space="preserve">sujihvau — śobhanā jihvā yayos tau sujihvau | śobhanajihvopetau, priyavacanau, śobhanajvālau vā</w:t>
      </w:r>
      <w:r>
        <w:t xml:space="preserve">: having excellent tongues, speaking pleasant words, or, if said of Agni, having excellent flames.</w:t>
      </w:r>
    </w:p>
    <w:p>
      <w:pPr>
        <w:pStyle w:val="BodyText"/>
      </w:pPr>
      <w:r>
        <w:rPr>
          <w:bCs/>
          <w:b/>
        </w:rPr>
        <w:t xml:space="preserve">“</w:t>
      </w:r>
      <w:r>
        <w:rPr>
          <w:bCs/>
          <w:b/>
        </w:rPr>
        <w:t xml:space="preserve">Yakṣatām</w:t>
      </w:r>
      <w:r>
        <w:rPr>
          <w:bCs/>
          <w:b/>
        </w:rPr>
        <w:t xml:space="preserve">”</w:t>
      </w:r>
      <w:r>
        <w:t xml:space="preserve"> </w:t>
      </w:r>
      <w:r>
        <w:t xml:space="preserve">—</w:t>
      </w:r>
      <w:r>
        <w:t xml:space="preserve"> </w:t>
      </w:r>
      <w:r>
        <w:rPr>
          <w:iCs/>
          <w:i/>
        </w:rPr>
        <w:t xml:space="preserve">yajatām</w:t>
      </w:r>
      <w:r>
        <w:t xml:space="preserve">: may they sacrifice, that is, carry the sacrifice through.</w:t>
      </w:r>
    </w:p>
    <w:p>
      <w:pPr>
        <w:pStyle w:val="BodyText"/>
      </w:pPr>
      <w:r>
        <w:rPr>
          <w:bCs/>
          <w:b/>
        </w:rPr>
        <w:t xml:space="preserve">॥ Vyākaraṇa-prakriyā ॥</w:t>
      </w:r>
      <w:r>
        <w:t xml:space="preserve"> </w:t>
      </w:r>
      <w:r>
        <w:rPr>
          <w:iCs/>
          <w:i/>
        </w:rPr>
        <w:t xml:space="preserve">(grammar pages 562–563, noted briefly; numbers checked against the print)</w:t>
      </w:r>
    </w:p>
    <w:p>
      <w:pPr>
        <w:pStyle w:val="BodyText"/>
      </w:pPr>
      <w:r>
        <w:rPr>
          <w:bCs/>
          <w:b/>
        </w:rPr>
        <w:t xml:space="preserve">ता (</w:t>
      </w:r>
      <w:r>
        <w:rPr>
          <w:iCs/>
          <w:i/>
          <w:bCs/>
          <w:b/>
        </w:rPr>
        <w:t xml:space="preserve">tā</w:t>
      </w:r>
      <w:r>
        <w:rPr>
          <w:bCs/>
          <w:b/>
        </w:rPr>
        <w:t xml:space="preserve">)</w:t>
      </w:r>
      <w:r>
        <w:t xml:space="preserve"> </w:t>
      </w:r>
      <w:r>
        <w:t xml:space="preserve">— meaning</w:t>
      </w:r>
      <w:r>
        <w:t xml:space="preserve"> </w:t>
      </w:r>
      <w:r>
        <w:rPr>
          <w:iCs/>
          <w:i/>
        </w:rPr>
        <w:t xml:space="preserve">tau</w:t>
      </w:r>
      <w:r>
        <w:t xml:space="preserve">. After</w:t>
      </w:r>
      <w:r>
        <w:t xml:space="preserve"> </w:t>
      </w:r>
      <w:r>
        <w:rPr>
          <w:iCs/>
          <w:i/>
        </w:rPr>
        <w:t xml:space="preserve">tad</w:t>
      </w:r>
      <w:r>
        <w:t xml:space="preserve">, the accusative dual</w:t>
      </w:r>
      <w:r>
        <w:t xml:space="preserve"> </w:t>
      </w:r>
      <w:r>
        <w:rPr>
          <w:iCs/>
          <w:i/>
        </w:rPr>
        <w:t xml:space="preserve">auṭ</w:t>
      </w:r>
      <w:r>
        <w:t xml:space="preserve">; for it</w:t>
      </w:r>
      <w:r>
        <w:t xml:space="preserve"> </w:t>
      </w:r>
      <w:r>
        <w:t xml:space="preserve">“</w:t>
      </w:r>
      <w:r>
        <w:t xml:space="preserve">supāṃ suluk…</w:t>
      </w:r>
      <w:r>
        <w:t xml:space="preserve">”</w:t>
      </w:r>
      <w:r>
        <w:t xml:space="preserve"> </w:t>
      </w:r>
      <w:r>
        <w:t xml:space="preserve">(printed</w:t>
      </w:r>
      <w:r>
        <w:t xml:space="preserve"> </w:t>
      </w:r>
      <w:r>
        <w:t xml:space="preserve">“</w:t>
      </w:r>
      <w:r>
        <w:t xml:space="preserve">7-1-39</w:t>
      </w:r>
      <w:r>
        <w:t xml:space="preserve">”</w:t>
      </w:r>
      <w:r>
        <w:t xml:space="preserve">) gives</w:t>
      </w:r>
      <w:r>
        <w:t xml:space="preserve"> </w:t>
      </w:r>
      <w:r>
        <w:rPr>
          <w:iCs/>
          <w:i/>
        </w:rPr>
        <w:t xml:space="preserve">ā</w:t>
      </w:r>
      <w:r>
        <w:t xml:space="preserve">;</w:t>
      </w:r>
      <w:r>
        <w:t xml:space="preserve"> </w:t>
      </w:r>
      <w:r>
        <w:t xml:space="preserve">“</w:t>
      </w:r>
      <w:r>
        <w:t xml:space="preserve">tyadādīnām aḥ</w:t>
      </w:r>
      <w:r>
        <w:t xml:space="preserve">”</w:t>
      </w:r>
      <w:r>
        <w:t xml:space="preserve"> </w:t>
      </w:r>
      <w:r>
        <w:t xml:space="preserve">(printed</w:t>
      </w:r>
      <w:r>
        <w:t xml:space="preserve"> </w:t>
      </w:r>
      <w:r>
        <w:t xml:space="preserve">“</w:t>
      </w:r>
      <w:r>
        <w:t xml:space="preserve">7-2-102</w:t>
      </w:r>
      <w:r>
        <w:t xml:space="preserve">”</w:t>
      </w:r>
      <w:r>
        <w:t xml:space="preserve">) gives</w:t>
      </w:r>
      <w:r>
        <w:t xml:space="preserve"> </w:t>
      </w:r>
      <w:r>
        <w:rPr>
          <w:iCs/>
          <w:i/>
        </w:rPr>
        <w:t xml:space="preserve">a</w:t>
      </w:r>
      <w:r>
        <w:t xml:space="preserve"> </w:t>
      </w:r>
      <w:r>
        <w:t xml:space="preserve">for the</w:t>
      </w:r>
      <w:r>
        <w:t xml:space="preserve"> </w:t>
      </w:r>
      <w:r>
        <w:rPr>
          <w:iCs/>
          <w:i/>
        </w:rPr>
        <w:t xml:space="preserve">d</w:t>
      </w:r>
      <w:r>
        <w:t xml:space="preserve">;</w:t>
      </w:r>
      <w:r>
        <w:t xml:space="preserve"> </w:t>
      </w:r>
      <w:r>
        <w:rPr>
          <w:iCs/>
          <w:i/>
        </w:rPr>
        <w:t xml:space="preserve">pararūpa</w:t>
      </w:r>
      <w:r>
        <w:t xml:space="preserve"> </w:t>
      </w:r>
      <w:r>
        <w:t xml:space="preserve">by</w:t>
      </w:r>
      <w:r>
        <w:t xml:space="preserve"> </w:t>
      </w:r>
      <w:r>
        <w:t xml:space="preserve">“</w:t>
      </w:r>
      <w:r>
        <w:t xml:space="preserve">ato guṇe</w:t>
      </w:r>
      <w:r>
        <w:t xml:space="preserve">”</w:t>
      </w:r>
      <w:r>
        <w:t xml:space="preserve"> </w:t>
      </w:r>
      <w:r>
        <w:t xml:space="preserve">(printed</w:t>
      </w:r>
      <w:r>
        <w:t xml:space="preserve"> </w:t>
      </w:r>
      <w:r>
        <w:t xml:space="preserve">“</w:t>
      </w:r>
      <w:r>
        <w:t xml:space="preserve">6-1-96</w:t>
      </w:r>
      <w:r>
        <w:t xml:space="preserve">”</w:t>
      </w:r>
      <w:r>
        <w:t xml:space="preserve"> </w:t>
      </w:r>
      <w:r>
        <w:t xml:space="preserve">[sic]; the sūtra is 6-1-97);</w:t>
      </w:r>
      <w:r>
        <w:t xml:space="preserve"> </w:t>
      </w:r>
      <w:r>
        <w:rPr>
          <w:iCs/>
          <w:i/>
        </w:rPr>
        <w:t xml:space="preserve">savarṇa</w:t>
      </w:r>
      <w:r>
        <w:t xml:space="preserve">-lengthening; by</w:t>
      </w:r>
      <w:r>
        <w:t xml:space="preserve"> </w:t>
      </w:r>
      <w:r>
        <w:t xml:space="preserve">“</w:t>
      </w:r>
      <w:r>
        <w:t xml:space="preserve">ekādeśa udāttenodāttaḥ</w:t>
      </w:r>
      <w:r>
        <w:t xml:space="preserve">”</w:t>
      </w:r>
      <w:r>
        <w:t xml:space="preserve"> </w:t>
      </w:r>
      <w:r>
        <w:t xml:space="preserve">(Pā. 8-2-5) the</w:t>
      </w:r>
      <w:r>
        <w:t xml:space="preserve"> </w:t>
      </w:r>
      <w:r>
        <w:rPr>
          <w:iCs/>
          <w:i/>
        </w:rPr>
        <w:t xml:space="preserve">ā</w:t>
      </w:r>
      <w:r>
        <w:t xml:space="preserve"> </w:t>
      </w:r>
      <w:r>
        <w:t xml:space="preserve">formed by the single substitute is udātta.</w:t>
      </w:r>
      <w:r>
        <w:t xml:space="preserve"> </w:t>
      </w:r>
      <w:r>
        <w:rPr>
          <w:bCs/>
          <w:b/>
        </w:rPr>
        <w:t xml:space="preserve">सुजिह्वा (</w:t>
      </w:r>
      <w:r>
        <w:rPr>
          <w:iCs/>
          <w:i/>
          <w:bCs/>
          <w:b/>
        </w:rPr>
        <w:t xml:space="preserve">sujihvā</w:t>
      </w:r>
      <w:r>
        <w:rPr>
          <w:bCs/>
          <w:b/>
        </w:rPr>
        <w:t xml:space="preserve">)</w:t>
      </w:r>
      <w:r>
        <w:t xml:space="preserve"> </w:t>
      </w:r>
      <w:r>
        <w:t xml:space="preserve">—</w:t>
      </w:r>
      <w:r>
        <w:t xml:space="preserve"> </w:t>
      </w:r>
      <w:r>
        <w:t xml:space="preserve">“</w:t>
      </w:r>
      <w:r>
        <w:t xml:space="preserve">śobhanā jihvā yayoḥ tau</w:t>
      </w:r>
      <w:r>
        <w:t xml:space="preserve">”</w:t>
      </w:r>
      <w:r>
        <w:t xml:space="preserve">;</w:t>
      </w:r>
      <w:r>
        <w:t xml:space="preserve"> </w:t>
      </w:r>
      <w:r>
        <w:rPr>
          <w:iCs/>
          <w:i/>
        </w:rPr>
        <w:t xml:space="preserve">jihvā</w:t>
      </w:r>
      <w:r>
        <w:t xml:space="preserve"> </w:t>
      </w:r>
      <w:r>
        <w:t xml:space="preserve">is formed irregularly with</w:t>
      </w:r>
      <w:r>
        <w:t xml:space="preserve"> </w:t>
      </w:r>
      <w:r>
        <w:rPr>
          <w:iCs/>
          <w:i/>
        </w:rPr>
        <w:t xml:space="preserve">van</w:t>
      </w:r>
      <w:r>
        <w:t xml:space="preserve"> </w:t>
      </w:r>
      <w:r>
        <w:t xml:space="preserve">by</w:t>
      </w:r>
      <w:r>
        <w:t xml:space="preserve"> </w:t>
      </w:r>
      <w:r>
        <w:t xml:space="preserve">“</w:t>
      </w:r>
      <w:r>
        <w:t xml:space="preserve">śeva-yahva-jihvā-grīvā-pvāmīvāḥ</w:t>
      </w:r>
      <w:r>
        <w:t xml:space="preserve">”</w:t>
      </w:r>
      <w:r>
        <w:t xml:space="preserve"> </w:t>
      </w:r>
      <w:r>
        <w:t xml:space="preserve">(printed</w:t>
      </w:r>
      <w:r>
        <w:t xml:space="preserve"> </w:t>
      </w:r>
      <w:r>
        <w:t xml:space="preserve">“</w:t>
      </w:r>
      <w:r>
        <w:t xml:space="preserve">Pā. sū. 1-152</w:t>
      </w:r>
      <w:r>
        <w:t xml:space="preserve">”</w:t>
      </w:r>
      <w:r>
        <w:t xml:space="preserve"> </w:t>
      </w:r>
      <w:r>
        <w:t xml:space="preserve">[sic, an Uṇādi sūtra]):</w:t>
      </w:r>
      <w:r>
        <w:t xml:space="preserve"> </w:t>
      </w:r>
      <w:r>
        <w:t xml:space="preserve">“</w:t>
      </w:r>
      <w:r>
        <w:t xml:space="preserve">lihanti anayā iti jihvā</w:t>
      </w:r>
      <w:r>
        <w:t xml:space="preserve">”</w:t>
      </w:r>
      <w:r>
        <w:t xml:space="preserve">; root</w:t>
      </w:r>
      <w:r>
        <w:t xml:space="preserve"> </w:t>
      </w:r>
      <w:r>
        <w:rPr>
          <w:iCs/>
          <w:i/>
        </w:rPr>
        <w:t xml:space="preserve">liha āsvādane</w:t>
      </w:r>
      <w:r>
        <w:t xml:space="preserve">, with</w:t>
      </w:r>
      <w:r>
        <w:t xml:space="preserve"> </w:t>
      </w:r>
      <w:r>
        <w:rPr>
          <w:iCs/>
          <w:i/>
        </w:rPr>
        <w:t xml:space="preserve">van</w:t>
      </w:r>
      <w:r>
        <w:t xml:space="preserve">,</w:t>
      </w:r>
      <w:r>
        <w:t xml:space="preserve"> </w:t>
      </w:r>
      <w:r>
        <w:rPr>
          <w:iCs/>
          <w:i/>
        </w:rPr>
        <w:t xml:space="preserve">j</w:t>
      </w:r>
      <w:r>
        <w:t xml:space="preserve"> </w:t>
      </w:r>
      <w:r>
        <w:t xml:space="preserve">for the</w:t>
      </w:r>
      <w:r>
        <w:t xml:space="preserve"> </w:t>
      </w:r>
      <w:r>
        <w:rPr>
          <w:iCs/>
          <w:i/>
        </w:rPr>
        <w:t xml:space="preserve">l</w:t>
      </w:r>
      <w:r>
        <w:t xml:space="preserve">, and the absence of</w:t>
      </w:r>
      <w:r>
        <w:t xml:space="preserve"> </w:t>
      </w:r>
      <w:r>
        <w:rPr>
          <w:iCs/>
          <w:i/>
        </w:rPr>
        <w:t xml:space="preserve">guṇa</w:t>
      </w:r>
      <w:r>
        <w:t xml:space="preserve"> </w:t>
      </w:r>
      <w:r>
        <w:t xml:space="preserve">also irregular;</w:t>
      </w:r>
      <w:r>
        <w:t xml:space="preserve"> </w:t>
      </w:r>
      <w:r>
        <w:rPr>
          <w:iCs/>
          <w:i/>
        </w:rPr>
        <w:t xml:space="preserve">jihvā</w:t>
      </w:r>
      <w:r>
        <w:t xml:space="preserve"> </w:t>
      </w:r>
      <w:r>
        <w:t xml:space="preserve">is initial-udātta by the</w:t>
      </w:r>
      <w:r>
        <w:t xml:space="preserve"> </w:t>
      </w:r>
      <w:r>
        <w:rPr>
          <w:iCs/>
          <w:i/>
        </w:rPr>
        <w:t xml:space="preserve">nit</w:t>
      </w:r>
      <w:r>
        <w:t xml:space="preserve"> </w:t>
      </w:r>
      <w:r>
        <w:t xml:space="preserve">accent. In the bahuvrīhi, instead of the first-member accent,</w:t>
      </w:r>
      <w:r>
        <w:t xml:space="preserve"> </w:t>
      </w:r>
      <w:r>
        <w:t xml:space="preserve">“</w:t>
      </w:r>
      <w:r>
        <w:t xml:space="preserve">nañ-subhyām</w:t>
      </w:r>
      <w:r>
        <w:t xml:space="preserve">”</w:t>
      </w:r>
      <w:r>
        <w:t xml:space="preserve"> </w:t>
      </w:r>
      <w:r>
        <w:t xml:space="preserve">(Pā. 6-2-172) makes the second member</w:t>
      </w:r>
      <w:r>
        <w:t xml:space="preserve"> </w:t>
      </w:r>
      <w:r>
        <w:rPr>
          <w:iCs/>
          <w:i/>
        </w:rPr>
        <w:t xml:space="preserve">jihvā</w:t>
      </w:r>
      <w:r>
        <w:t xml:space="preserve"> </w:t>
      </w:r>
      <w:r>
        <w:t xml:space="preserve">final-udātta. Then the accusative dual</w:t>
      </w:r>
      <w:r>
        <w:t xml:space="preserve"> </w:t>
      </w:r>
      <w:r>
        <w:rPr>
          <w:iCs/>
          <w:i/>
        </w:rPr>
        <w:t xml:space="preserve">auṭ</w:t>
      </w:r>
      <w:r>
        <w:t xml:space="preserve">:</w:t>
      </w:r>
      <w:r>
        <w:t xml:space="preserve"> </w:t>
      </w:r>
      <w:r>
        <w:rPr>
          <w:iCs/>
          <w:i/>
        </w:rPr>
        <w:t xml:space="preserve">sujihva</w:t>
      </w:r>
      <w:r>
        <w:t xml:space="preserve"> </w:t>
      </w:r>
      <w:r>
        <w:t xml:space="preserve">+</w:t>
      </w:r>
      <w:r>
        <w:t xml:space="preserve"> </w:t>
      </w:r>
      <w:r>
        <w:rPr>
          <w:iCs/>
          <w:i/>
        </w:rPr>
        <w:t xml:space="preserve">au</w:t>
      </w:r>
      <w:r>
        <w:t xml:space="preserve">; the</w:t>
      </w:r>
      <w:r>
        <w:t xml:space="preserve"> </w:t>
      </w:r>
      <w:r>
        <w:rPr>
          <w:iCs/>
          <w:i/>
        </w:rPr>
        <w:t xml:space="preserve">vṛddhi</w:t>
      </w:r>
      <w:r>
        <w:t xml:space="preserve"> </w:t>
      </w:r>
      <w:r>
        <w:t xml:space="preserve">of</w:t>
      </w:r>
      <w:r>
        <w:t xml:space="preserve"> </w:t>
      </w:r>
      <w:r>
        <w:t xml:space="preserve">“</w:t>
      </w:r>
      <w:r>
        <w:t xml:space="preserve">vṛddhir eci</w:t>
      </w:r>
      <w:r>
        <w:t xml:space="preserve">”</w:t>
      </w:r>
      <w:r>
        <w:t xml:space="preserve"> </w:t>
      </w:r>
      <w:r>
        <w:t xml:space="preserve">(Pā. 6-1-88) would arise but “prathama-</w:t>
      </w:r>
    </w:p>
    <w:bookmarkEnd w:id="596"/>
    <w:bookmarkStart w:id="597" w:name="page-563-rik-8-grammar-closes"/>
    <w:p>
      <w:pPr>
        <w:pStyle w:val="Heading3"/>
      </w:pPr>
      <w:r>
        <w:t xml:space="preserve">Page 563 — Rik 8 grammar closes</w:t>
      </w:r>
    </w:p>
    <w:p>
      <w:pPr>
        <w:pStyle w:val="FirstParagraph"/>
      </w:pPr>
      <w:r>
        <w:t xml:space="preserve">yoḥ pūrvasavarṇaḥ” (Pā. 6-1-102) would give the</w:t>
      </w:r>
      <w:r>
        <w:t xml:space="preserve"> </w:t>
      </w:r>
      <w:r>
        <w:rPr>
          <w:iCs/>
          <w:i/>
        </w:rPr>
        <w:t xml:space="preserve">pūrvasavarṇa</w:t>
      </w:r>
      <w:r>
        <w:t xml:space="preserve">-lengthening instead; that is barred by</w:t>
      </w:r>
      <w:r>
        <w:t xml:space="preserve"> </w:t>
      </w:r>
      <w:r>
        <w:t xml:space="preserve">“</w:t>
      </w:r>
      <w:r>
        <w:t xml:space="preserve">nādici</w:t>
      </w:r>
      <w:r>
        <w:t xml:space="preserve">”</w:t>
      </w:r>
      <w:r>
        <w:t xml:space="preserve"> </w:t>
      </w:r>
      <w:r>
        <w:t xml:space="preserve">(Pā. 6-1-104) — no</w:t>
      </w:r>
      <w:r>
        <w:t xml:space="preserve"> </w:t>
      </w:r>
      <w:r>
        <w:rPr>
          <w:iCs/>
          <w:i/>
        </w:rPr>
        <w:t xml:space="preserve">pūrvasavarṇa</w:t>
      </w:r>
      <w:r>
        <w:t xml:space="preserve">-lengthening after</w:t>
      </w:r>
      <w:r>
        <w:t xml:space="preserve"> </w:t>
      </w:r>
      <w:r>
        <w:rPr>
          <w:iCs/>
          <w:i/>
        </w:rPr>
        <w:t xml:space="preserve">a</w:t>
      </w:r>
      <w:r>
        <w:t xml:space="preserve"> </w:t>
      </w:r>
      <w:r>
        <w:t xml:space="preserve">before an</w:t>
      </w:r>
      <w:r>
        <w:t xml:space="preserve"> </w:t>
      </w:r>
      <w:r>
        <w:rPr>
          <w:iCs/>
          <w:i/>
        </w:rPr>
        <w:t xml:space="preserve">ic</w:t>
      </w:r>
      <w:r>
        <w:t xml:space="preserve"> </w:t>
      </w:r>
      <w:r>
        <w:t xml:space="preserve">vowel — so</w:t>
      </w:r>
      <w:r>
        <w:t xml:space="preserve"> </w:t>
      </w:r>
      <w:r>
        <w:t xml:space="preserve">“</w:t>
      </w:r>
      <w:r>
        <w:t xml:space="preserve">vṛddhir eci</w:t>
      </w:r>
      <w:r>
        <w:t xml:space="preserve">”</w:t>
      </w:r>
      <w:r>
        <w:t xml:space="preserve"> </w:t>
      </w:r>
      <w:r>
        <w:t xml:space="preserve">makes the</w:t>
      </w:r>
      <w:r>
        <w:t xml:space="preserve"> </w:t>
      </w:r>
      <w:r>
        <w:rPr>
          <w:iCs/>
          <w:i/>
        </w:rPr>
        <w:t xml:space="preserve">vṛddhi</w:t>
      </w:r>
      <w:r>
        <w:t xml:space="preserve"> </w:t>
      </w:r>
      <w:r>
        <w:t xml:space="preserve">as the single substitute:</w:t>
      </w:r>
      <w:r>
        <w:t xml:space="preserve"> </w:t>
      </w:r>
      <w:r>
        <w:rPr>
          <w:iCs/>
          <w:i/>
        </w:rPr>
        <w:t xml:space="preserve">sujihvau</w:t>
      </w:r>
      <w:r>
        <w:t xml:space="preserve">. By</w:t>
      </w:r>
      <w:r>
        <w:t xml:space="preserve"> </w:t>
      </w:r>
      <w:r>
        <w:t xml:space="preserve">“</w:t>
      </w:r>
      <w:r>
        <w:t xml:space="preserve">ekādeśa udāttenodāttaḥ</w:t>
      </w:r>
      <w:r>
        <w:t xml:space="preserve">”</w:t>
      </w:r>
      <w:r>
        <w:t xml:space="preserve"> </w:t>
      </w:r>
      <w:r>
        <w:t xml:space="preserve">the</w:t>
      </w:r>
      <w:r>
        <w:t xml:space="preserve"> </w:t>
      </w:r>
      <w:r>
        <w:rPr>
          <w:iCs/>
          <w:i/>
        </w:rPr>
        <w:t xml:space="preserve">au</w:t>
      </w:r>
      <w:r>
        <w:t xml:space="preserve"> </w:t>
      </w:r>
      <w:r>
        <w:t xml:space="preserve">formed by the</w:t>
      </w:r>
      <w:r>
        <w:t xml:space="preserve"> </w:t>
      </w:r>
      <w:r>
        <w:rPr>
          <w:iCs/>
          <w:i/>
        </w:rPr>
        <w:t xml:space="preserve">vṛddhi</w:t>
      </w:r>
      <w:r>
        <w:t xml:space="preserve"> </w:t>
      </w:r>
      <w:r>
        <w:t xml:space="preserve">single substitute is udātta. Since the word</w:t>
      </w:r>
      <w:r>
        <w:t xml:space="preserve"> </w:t>
      </w:r>
      <w:r>
        <w:rPr>
          <w:iCs/>
          <w:i/>
        </w:rPr>
        <w:t xml:space="preserve">upa</w:t>
      </w:r>
      <w:r>
        <w:t xml:space="preserve"> </w:t>
      </w:r>
      <w:r>
        <w:t xml:space="preserve">follows</w:t>
      </w:r>
      <w:r>
        <w:t xml:space="preserve"> </w:t>
      </w:r>
      <w:r>
        <w:rPr>
          <w:iCs/>
          <w:i/>
        </w:rPr>
        <w:t xml:space="preserve">sujihvau</w:t>
      </w:r>
      <w:r>
        <w:t xml:space="preserve">, in the Saṃhitā</w:t>
      </w:r>
      <w:r>
        <w:t xml:space="preserve"> </w:t>
      </w:r>
      <w:r>
        <w:t xml:space="preserve">“</w:t>
      </w:r>
      <w:r>
        <w:t xml:space="preserve">eco ’yavāyāvaḥ</w:t>
      </w:r>
      <w:r>
        <w:t xml:space="preserve">”</w:t>
      </w:r>
      <w:r>
        <w:t xml:space="preserve"> </w:t>
      </w:r>
      <w:r>
        <w:t xml:space="preserve">(Pā. 6-1-78) gives</w:t>
      </w:r>
      <w:r>
        <w:t xml:space="preserve"> </w:t>
      </w:r>
      <w:r>
        <w:rPr>
          <w:iCs/>
          <w:i/>
        </w:rPr>
        <w:t xml:space="preserve">āv</w:t>
      </w:r>
      <w:r>
        <w:t xml:space="preserve"> </w:t>
      </w:r>
      <w:r>
        <w:t xml:space="preserve">for the</w:t>
      </w:r>
      <w:r>
        <w:t xml:space="preserve"> </w:t>
      </w:r>
      <w:r>
        <w:rPr>
          <w:iCs/>
          <w:i/>
        </w:rPr>
        <w:t xml:space="preserve">au</w:t>
      </w:r>
      <w:r>
        <w:t xml:space="preserve">:</w:t>
      </w:r>
      <w:r>
        <w:t xml:space="preserve"> </w:t>
      </w:r>
      <w:r>
        <w:rPr>
          <w:iCs/>
          <w:i/>
        </w:rPr>
        <w:t xml:space="preserve">sujihvāv</w:t>
      </w:r>
      <w:r>
        <w:t xml:space="preserve"> </w:t>
      </w:r>
      <w:r>
        <w:t xml:space="preserve">+</w:t>
      </w:r>
      <w:r>
        <w:t xml:space="preserve"> </w:t>
      </w:r>
      <w:r>
        <w:rPr>
          <w:iCs/>
          <w:i/>
        </w:rPr>
        <w:t xml:space="preserve">upa</w:t>
      </w:r>
      <w:r>
        <w:t xml:space="preserve">;</w:t>
      </w:r>
      <w:r>
        <w:t xml:space="preserve"> </w:t>
      </w:r>
      <w:r>
        <w:t xml:space="preserve">“</w:t>
      </w:r>
      <w:r>
        <w:t xml:space="preserve">lopaḥ śākalyasya</w:t>
      </w:r>
      <w:r>
        <w:t xml:space="preserve">”</w:t>
      </w:r>
      <w:r>
        <w:t xml:space="preserve"> </w:t>
      </w:r>
      <w:r>
        <w:t xml:space="preserve">(Pā. 8-3-19) drops the</w:t>
      </w:r>
      <w:r>
        <w:t xml:space="preserve"> </w:t>
      </w:r>
      <w:r>
        <w:rPr>
          <w:iCs/>
          <w:i/>
        </w:rPr>
        <w:t xml:space="preserve">v</w:t>
      </w:r>
      <w:r>
        <w:t xml:space="preserve">; when</w:t>
      </w:r>
      <w:r>
        <w:t xml:space="preserve"> </w:t>
      </w:r>
      <w:r>
        <w:rPr>
          <w:iCs/>
          <w:i/>
        </w:rPr>
        <w:t xml:space="preserve">guṇa</w:t>
      </w:r>
      <w:r>
        <w:t xml:space="preserve"> </w:t>
      </w:r>
      <w:r>
        <w:t xml:space="preserve">by</w:t>
      </w:r>
      <w:r>
        <w:t xml:space="preserve"> </w:t>
      </w:r>
      <w:r>
        <w:t xml:space="preserve">“</w:t>
      </w:r>
      <w:r>
        <w:t xml:space="preserve">ād guṇaḥ</w:t>
      </w:r>
      <w:r>
        <w:t xml:space="preserve">”</w:t>
      </w:r>
      <w:r>
        <w:t xml:space="preserve"> </w:t>
      </w:r>
      <w:r>
        <w:t xml:space="preserve">is to be made, this loss is</w:t>
      </w:r>
      <w:r>
        <w:t xml:space="preserve"> </w:t>
      </w:r>
      <w:r>
        <w:rPr>
          <w:iCs/>
          <w:i/>
        </w:rPr>
        <w:t xml:space="preserve">asiddha</w:t>
      </w:r>
      <w:r>
        <w:t xml:space="preserve"> </w:t>
      </w:r>
      <w:r>
        <w:t xml:space="preserve">by</w:t>
      </w:r>
      <w:r>
        <w:t xml:space="preserve"> </w:t>
      </w:r>
      <w:r>
        <w:t xml:space="preserve">“</w:t>
      </w:r>
      <w:r>
        <w:t xml:space="preserve">pūrvatrāsiddham</w:t>
      </w:r>
      <w:r>
        <w:t xml:space="preserve">”</w:t>
      </w:r>
      <w:r>
        <w:t xml:space="preserve"> </w:t>
      </w:r>
      <w:r>
        <w:t xml:space="preserve">(Pā. 8-2-1), so the</w:t>
      </w:r>
      <w:r>
        <w:t xml:space="preserve"> </w:t>
      </w:r>
      <w:r>
        <w:rPr>
          <w:iCs/>
          <w:i/>
        </w:rPr>
        <w:t xml:space="preserve">v</w:t>
      </w:r>
      <w:r>
        <w:t xml:space="preserve"> </w:t>
      </w:r>
      <w:r>
        <w:t xml:space="preserve">intervenes and there is no</w:t>
      </w:r>
      <w:r>
        <w:t xml:space="preserve"> </w:t>
      </w:r>
      <w:r>
        <w:rPr>
          <w:iCs/>
          <w:i/>
        </w:rPr>
        <w:t xml:space="preserve">guṇa</w:t>
      </w:r>
      <w:r>
        <w:t xml:space="preserve">.</w:t>
      </w:r>
      <w:r>
        <w:t xml:space="preserve"> </w:t>
      </w:r>
      <w:r>
        <w:rPr>
          <w:bCs/>
          <w:b/>
        </w:rPr>
        <w:t xml:space="preserve">होतारा (</w:t>
      </w:r>
      <w:r>
        <w:rPr>
          <w:iCs/>
          <w:i/>
          <w:bCs/>
          <w:b/>
        </w:rPr>
        <w:t xml:space="preserve">hotārā</w:t>
      </w:r>
      <w:r>
        <w:rPr>
          <w:bCs/>
          <w:b/>
        </w:rPr>
        <w:t xml:space="preserve">)</w:t>
      </w:r>
      <w:r>
        <w:t xml:space="preserve"> </w:t>
      </w:r>
      <w:r>
        <w:t xml:space="preserve">—</w:t>
      </w:r>
      <w:r>
        <w:t xml:space="preserve"> </w:t>
      </w:r>
      <w:r>
        <w:rPr>
          <w:iCs/>
          <w:i/>
        </w:rPr>
        <w:t xml:space="preserve">hu dānādanayoḥ</w:t>
      </w:r>
      <w:r>
        <w:t xml:space="preserve">, a root of the</w:t>
      </w:r>
      <w:r>
        <w:t xml:space="preserve"> </w:t>
      </w:r>
      <w:r>
        <w:rPr>
          <w:iCs/>
          <w:i/>
        </w:rPr>
        <w:t xml:space="preserve">juhotyādi</w:t>
      </w:r>
      <w:r>
        <w:t xml:space="preserve"> </w:t>
      </w:r>
      <w:r>
        <w:t xml:space="preserve">class; after it</w:t>
      </w:r>
      <w:r>
        <w:t xml:space="preserve"> </w:t>
      </w:r>
      <w:r>
        <w:rPr>
          <w:iCs/>
          <w:i/>
        </w:rPr>
        <w:t xml:space="preserve">tṛn</w:t>
      </w:r>
      <w:r>
        <w:t xml:space="preserve">;</w:t>
      </w:r>
      <w:r>
        <w:t xml:space="preserve"> </w:t>
      </w:r>
      <w:r>
        <w:rPr>
          <w:iCs/>
          <w:i/>
        </w:rPr>
        <w:t xml:space="preserve">laghūpadha-guṇa</w:t>
      </w:r>
      <w:r>
        <w:t xml:space="preserve">; the nominative dual</w:t>
      </w:r>
      <w:r>
        <w:t xml:space="preserve"> </w:t>
      </w:r>
      <w:r>
        <w:rPr>
          <w:iCs/>
          <w:i/>
        </w:rPr>
        <w:t xml:space="preserve">au</w:t>
      </w:r>
      <w:r>
        <w:t xml:space="preserve">:</w:t>
      </w:r>
      <w:r>
        <w:t xml:space="preserve"> </w:t>
      </w:r>
      <w:r>
        <w:rPr>
          <w:iCs/>
          <w:i/>
        </w:rPr>
        <w:t xml:space="preserve">hotṛ</w:t>
      </w:r>
      <w:r>
        <w:t xml:space="preserve"> </w:t>
      </w:r>
      <w:r>
        <w:t xml:space="preserve">+</w:t>
      </w:r>
      <w:r>
        <w:t xml:space="preserve"> </w:t>
      </w:r>
      <w:r>
        <w:rPr>
          <w:iCs/>
          <w:i/>
        </w:rPr>
        <w:t xml:space="preserve">au</w:t>
      </w:r>
      <w:r>
        <w:t xml:space="preserve">;</w:t>
      </w:r>
      <w:r>
        <w:t xml:space="preserve"> </w:t>
      </w:r>
      <w:r>
        <w:t xml:space="preserve">“</w:t>
      </w:r>
      <w:r>
        <w:t xml:space="preserve">ṛto ṅi-sarvanāmasthānayoḥ</w:t>
      </w:r>
      <w:r>
        <w:t xml:space="preserve">”</w:t>
      </w:r>
      <w:r>
        <w:t xml:space="preserve"> </w:t>
      </w:r>
      <w:r>
        <w:t xml:space="preserve">(printed</w:t>
      </w:r>
      <w:r>
        <w:t xml:space="preserve"> </w:t>
      </w:r>
      <w:r>
        <w:t xml:space="preserve">“</w:t>
      </w:r>
      <w:r>
        <w:t xml:space="preserve">7-3-110</w:t>
      </w:r>
      <w:r>
        <w:t xml:space="preserve">”</w:t>
      </w:r>
      <w:r>
        <w:t xml:space="preserve">) gives</w:t>
      </w:r>
      <w:r>
        <w:t xml:space="preserve"> </w:t>
      </w:r>
      <w:r>
        <w:rPr>
          <w:iCs/>
          <w:i/>
        </w:rPr>
        <w:t xml:space="preserve">guṇa</w:t>
      </w:r>
      <w:r>
        <w:t xml:space="preserve"> </w:t>
      </w:r>
      <w:r>
        <w:t xml:space="preserve">with</w:t>
      </w:r>
      <w:r>
        <w:t xml:space="preserve"> </w:t>
      </w:r>
      <w:r>
        <w:rPr>
          <w:iCs/>
          <w:i/>
        </w:rPr>
        <w:t xml:space="preserve">r</w:t>
      </w:r>
      <w:r>
        <w:t xml:space="preserve">;</w:t>
      </w:r>
      <w:r>
        <w:t xml:space="preserve"> </w:t>
      </w:r>
      <w:r>
        <w:t xml:space="preserve">“</w:t>
      </w:r>
      <w:r>
        <w:t xml:space="preserve">ap-tṛn-tṛc-svasṛ…</w:t>
      </w:r>
      <w:r>
        <w:t xml:space="preserve">”</w:t>
      </w:r>
      <w:r>
        <w:t xml:space="preserve"> </w:t>
      </w:r>
      <w:r>
        <w:t xml:space="preserve">(Pā. 6-4-11) lengthens the penultimate:</w:t>
      </w:r>
      <w:r>
        <w:t xml:space="preserve"> </w:t>
      </w:r>
      <w:r>
        <w:rPr>
          <w:iCs/>
          <w:i/>
        </w:rPr>
        <w:t xml:space="preserve">hotārau</w:t>
      </w:r>
      <w:r>
        <w:t xml:space="preserve">;</w:t>
      </w:r>
      <w:r>
        <w:t xml:space="preserve"> </w:t>
      </w:r>
      <w:r>
        <w:t xml:space="preserve">“</w:t>
      </w:r>
      <w:r>
        <w:t xml:space="preserve">supāṃ suluk</w:t>
      </w:r>
      <w:r>
        <w:t xml:space="preserve">”</w:t>
      </w:r>
      <w:r>
        <w:t xml:space="preserve"> </w:t>
      </w:r>
      <w:r>
        <w:t xml:space="preserve">gives</w:t>
      </w:r>
      <w:r>
        <w:t xml:space="preserve"> </w:t>
      </w:r>
      <w:r>
        <w:rPr>
          <w:iCs/>
          <w:i/>
        </w:rPr>
        <w:t xml:space="preserve">ā</w:t>
      </w:r>
      <w:r>
        <w:t xml:space="preserve"> </w:t>
      </w:r>
      <w:r>
        <w:t xml:space="preserve">for the</w:t>
      </w:r>
      <w:r>
        <w:t xml:space="preserve"> </w:t>
      </w:r>
      <w:r>
        <w:rPr>
          <w:iCs/>
          <w:i/>
        </w:rPr>
        <w:t xml:space="preserve">au</w:t>
      </w:r>
      <w:r>
        <w:t xml:space="preserve">:</w:t>
      </w:r>
      <w:r>
        <w:t xml:space="preserve"> </w:t>
      </w:r>
      <w:r>
        <w:rPr>
          <w:iCs/>
          <w:i/>
        </w:rPr>
        <w:t xml:space="preserve">hotārā</w:t>
      </w:r>
      <w:r>
        <w:t xml:space="preserve">;</w:t>
      </w:r>
      <w:r>
        <w:t xml:space="preserve"> </w:t>
      </w:r>
      <w:r>
        <w:rPr>
          <w:iCs/>
          <w:i/>
        </w:rPr>
        <w:t xml:space="preserve">hotṛ</w:t>
      </w:r>
      <w:r>
        <w:t xml:space="preserve">, ending in an</w:t>
      </w:r>
      <w:r>
        <w:t xml:space="preserve"> </w:t>
      </w:r>
      <w:r>
        <w:rPr>
          <w:iCs/>
          <w:i/>
        </w:rPr>
        <w:t xml:space="preserve">n</w:t>
      </w:r>
      <w:r>
        <w:t xml:space="preserve">-marked suffix, is initial-udātta by</w:t>
      </w:r>
      <w:r>
        <w:t xml:space="preserve"> </w:t>
      </w:r>
      <w:r>
        <w:t xml:space="preserve">“</w:t>
      </w:r>
      <w:r>
        <w:t xml:space="preserve">ñnity ādir nityam</w:t>
      </w:r>
      <w:r>
        <w:t xml:space="preserve">”</w:t>
      </w:r>
      <w:r>
        <w:t xml:space="preserve"> </w:t>
      </w:r>
      <w:r>
        <w:t xml:space="preserve">(Pā. 6-1-197).</w:t>
      </w:r>
      <w:r>
        <w:t xml:space="preserve"> </w:t>
      </w:r>
      <w:r>
        <w:rPr>
          <w:bCs/>
          <w:b/>
        </w:rPr>
        <w:t xml:space="preserve">दैव्या (</w:t>
      </w:r>
      <w:r>
        <w:rPr>
          <w:iCs/>
          <w:i/>
          <w:bCs/>
          <w:b/>
        </w:rPr>
        <w:t xml:space="preserve">daivyā</w:t>
      </w:r>
      <w:r>
        <w:rPr>
          <w:bCs/>
          <w:b/>
        </w:rPr>
        <w:t xml:space="preserve">)</w:t>
      </w:r>
      <w:r>
        <w:t xml:space="preserve"> </w:t>
      </w:r>
      <w:r>
        <w:t xml:space="preserve">— after</w:t>
      </w:r>
      <w:r>
        <w:t xml:space="preserve"> </w:t>
      </w:r>
      <w:r>
        <w:rPr>
          <w:iCs/>
          <w:i/>
        </w:rPr>
        <w:t xml:space="preserve">div</w:t>
      </w:r>
      <w:r>
        <w:t xml:space="preserve">, the suffix</w:t>
      </w:r>
      <w:r>
        <w:t xml:space="preserve"> </w:t>
      </w:r>
      <w:r>
        <w:rPr>
          <w:iCs/>
          <w:i/>
        </w:rPr>
        <w:t xml:space="preserve">ac</w:t>
      </w:r>
      <w:r>
        <w:t xml:space="preserve"> </w:t>
      </w:r>
      <w:r>
        <w:t xml:space="preserve">by</w:t>
      </w:r>
      <w:r>
        <w:t xml:space="preserve"> </w:t>
      </w:r>
      <w:r>
        <w:t xml:space="preserve">“</w:t>
      </w:r>
      <w:r>
        <w:t xml:space="preserve">nandigrahi…</w:t>
      </w:r>
      <w:r>
        <w:t xml:space="preserve">”</w:t>
      </w:r>
      <w:r>
        <w:t xml:space="preserve"> </w:t>
      </w:r>
      <w:r>
        <w:t xml:space="preserve">(Pā. 3-1-134);</w:t>
      </w:r>
      <w:r>
        <w:t xml:space="preserve"> </w:t>
      </w:r>
      <w:r>
        <w:rPr>
          <w:iCs/>
          <w:i/>
        </w:rPr>
        <w:t xml:space="preserve">laghūpadha-guṇa</w:t>
      </w:r>
      <w:r>
        <w:t xml:space="preserve">;</w:t>
      </w:r>
      <w:r>
        <w:t xml:space="preserve"> </w:t>
      </w:r>
      <w:r>
        <w:rPr>
          <w:iCs/>
          <w:i/>
        </w:rPr>
        <w:t xml:space="preserve">deva</w:t>
      </w:r>
      <w:r>
        <w:t xml:space="preserve"> </w:t>
      </w:r>
      <w:r>
        <w:t xml:space="preserve">final-udātta by the</w:t>
      </w:r>
      <w:r>
        <w:t xml:space="preserve"> </w:t>
      </w:r>
      <w:r>
        <w:rPr>
          <w:iCs/>
          <w:i/>
        </w:rPr>
        <w:t xml:space="preserve">cit</w:t>
      </w:r>
      <w:r>
        <w:t xml:space="preserve"> </w:t>
      </w:r>
      <w:r>
        <w:t xml:space="preserve">accent.</w:t>
      </w:r>
      <w:r>
        <w:t xml:space="preserve"> </w:t>
      </w:r>
      <w:r>
        <w:t xml:space="preserve">“</w:t>
      </w:r>
      <w:r>
        <w:t xml:space="preserve">devād yañ-añau</w:t>
      </w:r>
      <w:r>
        <w:t xml:space="preserve">”</w:t>
      </w:r>
      <w:r>
        <w:t xml:space="preserve"> </w:t>
      </w:r>
      <w:r>
        <w:t xml:space="preserve">(printed</w:t>
      </w:r>
      <w:r>
        <w:t xml:space="preserve"> </w:t>
      </w:r>
      <w:r>
        <w:t xml:space="preserve">“</w:t>
      </w:r>
      <w:r>
        <w:t xml:space="preserve">Pā. sū. 4-1-85 vā. 3</w:t>
      </w:r>
      <w:r>
        <w:t xml:space="preserve">”</w:t>
      </w:r>
      <w:r>
        <w:t xml:space="preserve">): after</w:t>
      </w:r>
      <w:r>
        <w:t xml:space="preserve"> </w:t>
      </w:r>
      <w:r>
        <w:rPr>
          <w:iCs/>
          <w:i/>
        </w:rPr>
        <w:t xml:space="preserve">deva</w:t>
      </w:r>
      <w:r>
        <w:t xml:space="preserve">, in the senses of the</w:t>
      </w:r>
      <w:r>
        <w:t xml:space="preserve"> </w:t>
      </w:r>
      <w:r>
        <w:rPr>
          <w:iCs/>
          <w:i/>
        </w:rPr>
        <w:t xml:space="preserve">prāgdīvyatīya</w:t>
      </w:r>
      <w:r>
        <w:t xml:space="preserve"> </w:t>
      </w:r>
      <w:r>
        <w:t xml:space="preserve">section, the suffixes</w:t>
      </w:r>
      <w:r>
        <w:t xml:space="preserve"> </w:t>
      </w:r>
      <w:r>
        <w:rPr>
          <w:iCs/>
          <w:i/>
        </w:rPr>
        <w:t xml:space="preserve">yañ</w:t>
      </w:r>
      <w:r>
        <w:t xml:space="preserve"> </w:t>
      </w:r>
      <w:r>
        <w:t xml:space="preserve">and</w:t>
      </w:r>
      <w:r>
        <w:t xml:space="preserve"> </w:t>
      </w:r>
      <w:r>
        <w:rPr>
          <w:iCs/>
          <w:i/>
        </w:rPr>
        <w:t xml:space="preserve">añ</w:t>
      </w:r>
      <w:r>
        <w:t xml:space="preserve">; with</w:t>
      </w:r>
      <w:r>
        <w:t xml:space="preserve"> </w:t>
      </w:r>
      <w:r>
        <w:t xml:space="preserve">“</w:t>
      </w:r>
      <w:r>
        <w:t xml:space="preserve">devasya imau</w:t>
      </w:r>
      <w:r>
        <w:t xml:space="preserve">”</w:t>
      </w:r>
      <w:r>
        <w:t xml:space="preserve"> </w:t>
      </w:r>
      <w:r>
        <w:t xml:space="preserve">meant,</w:t>
      </w:r>
      <w:r>
        <w:t xml:space="preserve"> </w:t>
      </w:r>
      <w:r>
        <w:rPr>
          <w:iCs/>
          <w:i/>
        </w:rPr>
        <w:t xml:space="preserve">yañ</w:t>
      </w:r>
      <w:r>
        <w:t xml:space="preserve">;</w:t>
      </w:r>
      <w:r>
        <w:t xml:space="preserve"> </w:t>
      </w:r>
      <w:r>
        <w:t xml:space="preserve">“</w:t>
      </w:r>
      <w:r>
        <w:t xml:space="preserve">taddhiteṣv acām ādeḥ</w:t>
      </w:r>
      <w:r>
        <w:t xml:space="preserve">”</w:t>
      </w:r>
      <w:r>
        <w:t xml:space="preserve"> </w:t>
      </w:r>
      <w:r>
        <w:t xml:space="preserve">(Pā. 7-2-117) gives</w:t>
      </w:r>
      <w:r>
        <w:t xml:space="preserve"> </w:t>
      </w:r>
      <w:r>
        <w:rPr>
          <w:iCs/>
          <w:i/>
        </w:rPr>
        <w:t xml:space="preserve">vṛddhi</w:t>
      </w:r>
      <w:r>
        <w:t xml:space="preserve"> </w:t>
      </w:r>
      <w:r>
        <w:t xml:space="preserve">of the first vowel,</w:t>
      </w:r>
      <w:r>
        <w:t xml:space="preserve"> </w:t>
      </w:r>
      <w:r>
        <w:rPr>
          <w:iCs/>
          <w:i/>
        </w:rPr>
        <w:t xml:space="preserve">ai</w:t>
      </w:r>
      <w:r>
        <w:t xml:space="preserve"> </w:t>
      </w:r>
      <w:r>
        <w:t xml:space="preserve">for the</w:t>
      </w:r>
      <w:r>
        <w:t xml:space="preserve"> </w:t>
      </w:r>
      <w:r>
        <w:rPr>
          <w:iCs/>
          <w:i/>
        </w:rPr>
        <w:t xml:space="preserve">e</w:t>
      </w:r>
      <w:r>
        <w:t xml:space="preserve">;</w:t>
      </w:r>
      <w:r>
        <w:t xml:space="preserve"> </w:t>
      </w:r>
      <w:r>
        <w:t xml:space="preserve">“</w:t>
      </w:r>
      <w:r>
        <w:t xml:space="preserve">yasyeti ca</w:t>
      </w:r>
      <w:r>
        <w:t xml:space="preserve">”</w:t>
      </w:r>
      <w:r>
        <w:t xml:space="preserve"> </w:t>
      </w:r>
      <w:r>
        <w:t xml:space="preserve">(Pā. 6-4-148) drops the</w:t>
      </w:r>
      <w:r>
        <w:t xml:space="preserve"> </w:t>
      </w:r>
      <w:r>
        <w:rPr>
          <w:iCs/>
          <w:i/>
        </w:rPr>
        <w:t xml:space="preserve">a</w:t>
      </w:r>
      <w:r>
        <w:t xml:space="preserve"> </w:t>
      </w:r>
      <w:r>
        <w:t xml:space="preserve">before the suffix;</w:t>
      </w:r>
      <w:r>
        <w:t xml:space="preserve"> </w:t>
      </w:r>
      <w:r>
        <w:rPr>
          <w:iCs/>
          <w:i/>
        </w:rPr>
        <w:t xml:space="preserve">daivya</w:t>
      </w:r>
      <w:r>
        <w:t xml:space="preserve"> </w:t>
      </w:r>
      <w:r>
        <w:t xml:space="preserve">initial-udātta by</w:t>
      </w:r>
      <w:r>
        <w:t xml:space="preserve"> </w:t>
      </w:r>
      <w:r>
        <w:t xml:space="preserve">“</w:t>
      </w:r>
      <w:r>
        <w:t xml:space="preserve">ñnity ādir nityam</w:t>
      </w:r>
      <w:r>
        <w:t xml:space="preserve">”</w:t>
      </w:r>
      <w:r>
        <w:t xml:space="preserve"> </w:t>
      </w:r>
      <w:r>
        <w:t xml:space="preserve">(Pā. 6-1-197); then</w:t>
      </w:r>
      <w:r>
        <w:t xml:space="preserve"> </w:t>
      </w:r>
      <w:r>
        <w:rPr>
          <w:iCs/>
          <w:i/>
        </w:rPr>
        <w:t xml:space="preserve">au</w:t>
      </w:r>
      <w:r>
        <w:t xml:space="preserve">, replaced by</w:t>
      </w:r>
      <w:r>
        <w:t xml:space="preserve"> </w:t>
      </w:r>
      <w:r>
        <w:rPr>
          <w:iCs/>
          <w:i/>
        </w:rPr>
        <w:t xml:space="preserve">ā</w:t>
      </w:r>
      <w:r>
        <w:t xml:space="preserve"> </w:t>
      </w:r>
      <w:r>
        <w:t xml:space="preserve">as before,</w:t>
      </w:r>
      <w:r>
        <w:t xml:space="preserve"> </w:t>
      </w:r>
      <w:r>
        <w:rPr>
          <w:iCs/>
          <w:i/>
        </w:rPr>
        <w:t xml:space="preserve">savarṇa</w:t>
      </w:r>
      <w:r>
        <w:t xml:space="preserve">-lengthening:</w:t>
      </w:r>
      <w:r>
        <w:t xml:space="preserve"> </w:t>
      </w:r>
      <w:r>
        <w:rPr>
          <w:iCs/>
          <w:i/>
        </w:rPr>
        <w:t xml:space="preserve">daivyā</w:t>
      </w:r>
      <w:r>
        <w:t xml:space="preserve">.</w:t>
      </w:r>
      <w:r>
        <w:t xml:space="preserve"> </w:t>
      </w:r>
      <w:r>
        <w:rPr>
          <w:bCs/>
          <w:b/>
        </w:rPr>
        <w:t xml:space="preserve">यक्षताम् (</w:t>
      </w:r>
      <w:r>
        <w:rPr>
          <w:iCs/>
          <w:i/>
          <w:bCs/>
          <w:b/>
        </w:rPr>
        <w:t xml:space="preserve">yakṣatām</w:t>
      </w:r>
      <w:r>
        <w:rPr>
          <w:bCs/>
          <w:b/>
        </w:rPr>
        <w:t xml:space="preserve">)</w:t>
      </w:r>
      <w:r>
        <w:t xml:space="preserve"> </w:t>
      </w:r>
      <w:r>
        <w:t xml:space="preserve">—</w:t>
      </w:r>
      <w:r>
        <w:t xml:space="preserve"> </w:t>
      </w:r>
      <w:r>
        <w:rPr>
          <w:iCs/>
          <w:i/>
        </w:rPr>
        <w:t xml:space="preserve">yaja devapūjādau</w:t>
      </w:r>
      <w:r>
        <w:t xml:space="preserve">; after it</w:t>
      </w:r>
      <w:r>
        <w:t xml:space="preserve"> </w:t>
      </w:r>
      <w:r>
        <w:rPr>
          <w:iCs/>
          <w:i/>
        </w:rPr>
        <w:t xml:space="preserve">loṭ</w:t>
      </w:r>
      <w:r>
        <w:t xml:space="preserve">, third dual</w:t>
      </w:r>
      <w:r>
        <w:t xml:space="preserve"> </w:t>
      </w:r>
      <w:r>
        <w:rPr>
          <w:iCs/>
          <w:i/>
        </w:rPr>
        <w:t xml:space="preserve">tas</w:t>
      </w:r>
      <w:r>
        <w:t xml:space="preserve">; by</w:t>
      </w:r>
      <w:r>
        <w:t xml:space="preserve"> </w:t>
      </w:r>
      <w:r>
        <w:t xml:space="preserve">“</w:t>
      </w:r>
      <w:r>
        <w:t xml:space="preserve">loṭo laṅvat</w:t>
      </w:r>
      <w:r>
        <w:t xml:space="preserve">”</w:t>
      </w:r>
      <w:r>
        <w:t xml:space="preserve"> </w:t>
      </w:r>
      <w:r>
        <w:t xml:space="preserve">the treatment of</w:t>
      </w:r>
      <w:r>
        <w:t xml:space="preserve"> </w:t>
      </w:r>
      <w:r>
        <w:rPr>
          <w:iCs/>
          <w:i/>
        </w:rPr>
        <w:t xml:space="preserve">laṅ</w:t>
      </w:r>
      <w:r>
        <w:t xml:space="preserve">, so</w:t>
      </w:r>
      <w:r>
        <w:t xml:space="preserve"> </w:t>
      </w:r>
      <w:r>
        <w:rPr>
          <w:iCs/>
          <w:i/>
        </w:rPr>
        <w:t xml:space="preserve">tām</w:t>
      </w:r>
      <w:r>
        <w:t xml:space="preserve"> </w:t>
      </w:r>
      <w:r>
        <w:t xml:space="preserve">for it by</w:t>
      </w:r>
      <w:r>
        <w:t xml:space="preserve"> </w:t>
      </w:r>
      <w:r>
        <w:t xml:space="preserve">“</w:t>
      </w:r>
      <w:r>
        <w:t xml:space="preserve">tas-thas-tha-mipāṃ tān-tan-tāmaḥ</w:t>
      </w:r>
      <w:r>
        <w:t xml:space="preserve">”</w:t>
      </w:r>
      <w:r>
        <w:t xml:space="preserve">; the vikaraṇa</w:t>
      </w:r>
      <w:r>
        <w:t xml:space="preserve"> </w:t>
      </w:r>
      <w:r>
        <w:rPr>
          <w:iCs/>
          <w:i/>
        </w:rPr>
        <w:t xml:space="preserve">śap</w:t>
      </w:r>
      <w:r>
        <w:t xml:space="preserve">:</w:t>
      </w:r>
      <w:r>
        <w:t xml:space="preserve"> </w:t>
      </w:r>
      <w:r>
        <w:rPr>
          <w:iCs/>
          <w:i/>
        </w:rPr>
        <w:t xml:space="preserve">yaj</w:t>
      </w:r>
      <w:r>
        <w:t xml:space="preserve"> </w:t>
      </w:r>
      <w:r>
        <w:t xml:space="preserve">+</w:t>
      </w:r>
      <w:r>
        <w:t xml:space="preserve"> </w:t>
      </w:r>
      <w:r>
        <w:rPr>
          <w:iCs/>
          <w:i/>
        </w:rPr>
        <w:t xml:space="preserve">a</w:t>
      </w:r>
      <w:r>
        <w:t xml:space="preserve"> </w:t>
      </w:r>
      <w:r>
        <w:t xml:space="preserve">+</w:t>
      </w:r>
      <w:r>
        <w:t xml:space="preserve"> </w:t>
      </w:r>
      <w:r>
        <w:rPr>
          <w:iCs/>
          <w:i/>
        </w:rPr>
        <w:t xml:space="preserve">tām</w:t>
      </w:r>
      <w:r>
        <w:t xml:space="preserve">; since the sūtra</w:t>
      </w:r>
      <w:r>
        <w:t xml:space="preserve"> </w:t>
      </w:r>
      <w:r>
        <w:t xml:space="preserve">“</w:t>
      </w:r>
      <w:r>
        <w:t xml:space="preserve">sib bahulaṃ leṭi</w:t>
      </w:r>
      <w:r>
        <w:t xml:space="preserve">”</w:t>
      </w:r>
      <w:r>
        <w:t xml:space="preserve"> </w:t>
      </w:r>
      <w:r>
        <w:t xml:space="preserve">(Pā. 3-1-34) contains the word</w:t>
      </w:r>
      <w:r>
        <w:t xml:space="preserve"> </w:t>
      </w:r>
      <w:r>
        <w:rPr>
          <w:iCs/>
          <w:i/>
        </w:rPr>
        <w:t xml:space="preserve">bahula</w:t>
      </w:r>
      <w:r>
        <w:t xml:space="preserve">,</w:t>
      </w:r>
      <w:r>
        <w:t xml:space="preserve"> </w:t>
      </w:r>
      <w:r>
        <w:rPr>
          <w:iCs/>
          <w:i/>
        </w:rPr>
        <w:t xml:space="preserve">sip</w:t>
      </w:r>
      <w:r>
        <w:t xml:space="preserve"> </w:t>
      </w:r>
      <w:r>
        <w:t xml:space="preserve">comes before the vikaraṇa</w:t>
      </w:r>
      <w:r>
        <w:t xml:space="preserve"> </w:t>
      </w:r>
      <w:r>
        <w:rPr>
          <w:iCs/>
          <w:i/>
        </w:rPr>
        <w:t xml:space="preserve">śap</w:t>
      </w:r>
      <w:r>
        <w:t xml:space="preserve">:</w:t>
      </w:r>
      <w:r>
        <w:t xml:space="preserve"> </w:t>
      </w:r>
      <w:r>
        <w:rPr>
          <w:iCs/>
          <w:i/>
        </w:rPr>
        <w:t xml:space="preserve">yaj</w:t>
      </w:r>
      <w:r>
        <w:t xml:space="preserve"> </w:t>
      </w:r>
      <w:r>
        <w:t xml:space="preserve">+</w:t>
      </w:r>
      <w:r>
        <w:t xml:space="preserve"> </w:t>
      </w:r>
      <w:r>
        <w:rPr>
          <w:iCs/>
          <w:i/>
        </w:rPr>
        <w:t xml:space="preserve">s</w:t>
      </w:r>
      <w:r>
        <w:t xml:space="preserve"> </w:t>
      </w:r>
      <w:r>
        <w:t xml:space="preserve">+</w:t>
      </w:r>
      <w:r>
        <w:t xml:space="preserve"> </w:t>
      </w:r>
      <w:r>
        <w:rPr>
          <w:iCs/>
          <w:i/>
        </w:rPr>
        <w:t xml:space="preserve">a</w:t>
      </w:r>
      <w:r>
        <w:t xml:space="preserve"> </w:t>
      </w:r>
      <w:r>
        <w:t xml:space="preserve">+</w:t>
      </w:r>
      <w:r>
        <w:t xml:space="preserve"> </w:t>
      </w:r>
      <w:r>
        <w:rPr>
          <w:iCs/>
          <w:i/>
        </w:rPr>
        <w:t xml:space="preserve">tām</w:t>
      </w:r>
      <w:r>
        <w:t xml:space="preserve">;</w:t>
      </w:r>
      <w:r>
        <w:t xml:space="preserve"> </w:t>
      </w:r>
      <w:r>
        <w:rPr>
          <w:iCs/>
          <w:i/>
        </w:rPr>
        <w:t xml:space="preserve">k</w:t>
      </w:r>
      <w:r>
        <w:t xml:space="preserve">-series by</w:t>
      </w:r>
      <w:r>
        <w:t xml:space="preserve"> </w:t>
      </w:r>
      <w:r>
        <w:t xml:space="preserve">“</w:t>
      </w:r>
      <w:r>
        <w:t xml:space="preserve">coḥ kuḥ</w:t>
      </w:r>
      <w:r>
        <w:t xml:space="preserve">”</w:t>
      </w:r>
      <w:r>
        <w:t xml:space="preserve">:</w:t>
      </w:r>
      <w:r>
        <w:t xml:space="preserve"> </w:t>
      </w:r>
      <w:r>
        <w:rPr>
          <w:iCs/>
          <w:i/>
        </w:rPr>
        <w:t xml:space="preserve">g</w:t>
      </w:r>
      <w:r>
        <w:t xml:space="preserve"> </w:t>
      </w:r>
      <w:r>
        <w:t xml:space="preserve">for the</w:t>
      </w:r>
      <w:r>
        <w:t xml:space="preserve"> </w:t>
      </w:r>
      <w:r>
        <w:rPr>
          <w:iCs/>
          <w:i/>
        </w:rPr>
        <w:t xml:space="preserve">j</w:t>
      </w:r>
      <w:r>
        <w:t xml:space="preserve">;</w:t>
      </w:r>
      <w:r>
        <w:t xml:space="preserve"> </w:t>
      </w:r>
      <w:r>
        <w:rPr>
          <w:iCs/>
          <w:i/>
        </w:rPr>
        <w:t xml:space="preserve">car</w:t>
      </w:r>
      <w:r>
        <w:t xml:space="preserve"> </w:t>
      </w:r>
      <w:r>
        <w:t xml:space="preserve">by</w:t>
      </w:r>
      <w:r>
        <w:t xml:space="preserve"> </w:t>
      </w:r>
      <w:r>
        <w:t xml:space="preserve">“</w:t>
      </w:r>
      <w:r>
        <w:t xml:space="preserve">khari ca</w:t>
      </w:r>
      <w:r>
        <w:t xml:space="preserve">”</w:t>
      </w:r>
      <w:r>
        <w:t xml:space="preserve"> </w:t>
      </w:r>
      <w:r>
        <w:t xml:space="preserve">(printed</w:t>
      </w:r>
      <w:r>
        <w:t xml:space="preserve"> </w:t>
      </w:r>
      <w:r>
        <w:t xml:space="preserve">“</w:t>
      </w:r>
      <w:r>
        <w:t xml:space="preserve">8-4-55</w:t>
      </w:r>
      <w:r>
        <w:t xml:space="preserve">”</w:t>
      </w:r>
      <w:r>
        <w:t xml:space="preserve">):</w:t>
      </w:r>
      <w:r>
        <w:t xml:space="preserve"> </w:t>
      </w:r>
      <w:r>
        <w:rPr>
          <w:iCs/>
          <w:i/>
        </w:rPr>
        <w:t xml:space="preserve">k</w:t>
      </w:r>
      <w:r>
        <w:t xml:space="preserve"> </w:t>
      </w:r>
      <w:r>
        <w:t xml:space="preserve">for</w:t>
      </w:r>
      <w:r>
        <w:t xml:space="preserve"> </w:t>
      </w:r>
      <w:r>
        <w:rPr>
          <w:iCs/>
          <w:i/>
        </w:rPr>
        <w:t xml:space="preserve">g</w:t>
      </w:r>
      <w:r>
        <w:t xml:space="preserve">;</w:t>
      </w:r>
      <w:r>
        <w:t xml:space="preserve"> </w:t>
      </w:r>
      <w:r>
        <w:rPr>
          <w:iCs/>
          <w:i/>
        </w:rPr>
        <w:t xml:space="preserve">ṣ</w:t>
      </w:r>
      <w:r>
        <w:t xml:space="preserve"> </w:t>
      </w:r>
      <w:r>
        <w:t xml:space="preserve">for the</w:t>
      </w:r>
      <w:r>
        <w:t xml:space="preserve"> </w:t>
      </w:r>
      <w:r>
        <w:rPr>
          <w:iCs/>
          <w:i/>
        </w:rPr>
        <w:t xml:space="preserve">s</w:t>
      </w:r>
      <w:r>
        <w:t xml:space="preserve"> </w:t>
      </w:r>
      <w:r>
        <w:t xml:space="preserve">by</w:t>
      </w:r>
      <w:r>
        <w:t xml:space="preserve"> </w:t>
      </w:r>
      <w:r>
        <w:t xml:space="preserve">“</w:t>
      </w:r>
      <w:r>
        <w:t xml:space="preserve">ādeśa-pratyayayoḥ</w:t>
      </w:r>
      <w:r>
        <w:t xml:space="preserve">”</w:t>
      </w:r>
      <w:r>
        <w:t xml:space="preserve"> </w:t>
      </w:r>
      <w:r>
        <w:t xml:space="preserve">(printed</w:t>
      </w:r>
      <w:r>
        <w:t xml:space="preserve"> </w:t>
      </w:r>
      <w:r>
        <w:t xml:space="preserve">“</w:t>
      </w:r>
      <w:r>
        <w:t xml:space="preserve">8-3-5?</w:t>
      </w:r>
      <w:r>
        <w:t xml:space="preserve">”</w:t>
      </w:r>
      <w:r>
        <w:t xml:space="preserve"> </w:t>
      </w:r>
      <w:r>
        <w:t xml:space="preserve">[?]):</w:t>
      </w:r>
      <w:r>
        <w:t xml:space="preserve"> </w:t>
      </w:r>
      <w:r>
        <w:rPr>
          <w:iCs/>
          <w:i/>
        </w:rPr>
        <w:t xml:space="preserve">yakṣatām</w:t>
      </w:r>
      <w:r>
        <w:t xml:space="preserve">; wholly unaccented by</w:t>
      </w:r>
      <w:r>
        <w:t xml:space="preserve"> </w:t>
      </w:r>
      <w:r>
        <w:t xml:space="preserve">“</w:t>
      </w:r>
      <w:r>
        <w:t xml:space="preserve">tiṅṅ atiṅaḥ</w:t>
      </w:r>
      <w:r>
        <w:t xml:space="preserve">”</w:t>
      </w:r>
      <w:r>
        <w:t xml:space="preserve">.</w:t>
      </w:r>
    </w:p>
    <w:p>
      <w:pPr>
        <w:pStyle w:val="BodyText"/>
      </w:pPr>
      <w:r>
        <w:rPr>
          <w:bCs/>
          <w:b/>
        </w:rPr>
        <w:t xml:space="preserve">॥८॥</w:t>
      </w:r>
    </w:p>
    <w:p>
      <w:r>
        <w:pict>
          <v:rect style="width:0;height:1.5pt" o:hralign="center" o:hrstd="t" o:hr="t"/>
        </w:pict>
      </w:r>
    </w:p>
    <w:bookmarkEnd w:id="597"/>
    <w:bookmarkStart w:id="598" w:name="page-564-sūkta-13-rik-9"/>
    <w:p>
      <w:pPr>
        <w:pStyle w:val="Heading3"/>
      </w:pPr>
      <w:r>
        <w:t xml:space="preserve">Page 564 — Sūkta 13, Rik 9</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इळा॒ सर॑स्वती म॒ही ति॒स्रो दे॒वीर्म॑यो॒भुवः॑ ।</w:t>
      </w:r>
      <w:r>
        <w:t xml:space="preserve"> </w:t>
      </w:r>
      <w:r>
        <w:t xml:space="preserve">ब॒र्हिः सी॑दन्त्व॒स्रिधः॑ ॥९॥</w:t>
      </w:r>
    </w:p>
    <w:p>
      <w:pPr>
        <w:pStyle w:val="BlockText"/>
      </w:pPr>
      <w:r>
        <w:rPr>
          <w:iCs/>
          <w:i/>
        </w:rPr>
        <w:t xml:space="preserve">iḷā sárasvatī mahī́ tisró devī́r mayobhúvaḥ |</w:t>
      </w:r>
      <w:r>
        <w:t xml:space="preserve"> </w:t>
      </w:r>
      <w:r>
        <w:rPr>
          <w:iCs/>
          <w:i/>
        </w:rPr>
        <w:t xml:space="preserve">barhíḥ sīdantv asrídhaḥ ||9||</w:t>
      </w:r>
    </w:p>
    <w:p>
      <w:pPr>
        <w:pStyle w:val="FirstParagraph"/>
      </w:pPr>
      <w:r>
        <w:rPr>
          <w:bCs/>
          <w:b/>
        </w:rPr>
        <w:t xml:space="preserve">॥ Pada-pāṭhaḥ ॥</w:t>
      </w:r>
    </w:p>
    <w:p>
      <w:pPr>
        <w:pStyle w:val="BlockText"/>
      </w:pPr>
      <w:r>
        <w:t xml:space="preserve">इळा । सरस्वती । मही । तिस्रः । देवीः । मयःऽभुवः ॥</w:t>
      </w:r>
      <w:r>
        <w:t xml:space="preserve"> </w:t>
      </w:r>
      <w:r>
        <w:t xml:space="preserve">बर्हिः । सीदन्तु । अस्रिधः ॥९॥</w:t>
      </w:r>
    </w:p>
    <w:p>
      <w:pPr>
        <w:pStyle w:val="BlockText"/>
      </w:pPr>
      <w:r>
        <w:rPr>
          <w:iCs/>
          <w:i/>
        </w:rPr>
        <w:t xml:space="preserve">iḷā | sarasvatī | mahī | tisraḥ | devīḥ | mayaḥ-bhuvaḥ ||</w:t>
      </w:r>
      <w:r>
        <w:t xml:space="preserve"> </w:t>
      </w:r>
      <w:r>
        <w:rPr>
          <w:iCs/>
          <w:i/>
        </w:rPr>
        <w:t xml:space="preserve">barhiḥ | sīdantu | asridhaḥ ||9||</w:t>
      </w:r>
    </w:p>
    <w:p>
      <w:pPr>
        <w:pStyle w:val="FirstParagraph"/>
      </w:pPr>
      <w:r>
        <w:rPr>
          <w:bCs/>
          <w:b/>
        </w:rPr>
        <w:t xml:space="preserve">॥ Sāyaṇa-bhāṣyam ॥</w:t>
      </w:r>
    </w:p>
    <w:p>
      <w:pPr>
        <w:pStyle w:val="BlockText"/>
      </w:pPr>
      <w:r>
        <w:t xml:space="preserve">अत्र महीशब्दो महत्त्वगुणयुक्तां भारतीमाचष्टे ऽन्येष्वाप्रीसूक्तेषु सदृशेष्विळा सरस्वती भारतीत्याम्नातत्वात् । इळादिशब्दाभिधेया वह्निमूर्तयस्तिस्रो देवीर्दीप्यमाना बर्हिर्वेद्यामास्तीर्णं सीदन्तु । प्राप्नुवन्तु । कीदृश्यः । मयोभुवः सुखोत्पादिका अस्रिधः शोषेण क्षयेण वा रहिताः ॥ इळा । ईड स्तुतौ । छान्दसं ह्रस्वत्वं । क्विप् । धातुस्वरः । टापं चापि हलन्तानां यथा वाचा दिशा निशेति टाप् । सरस्वती । सरोऽसुनन्तो नित्त्वादाद्युदात्तः । तदस्यास्तीति मतुप् । आदुपधत्वाद्वत्वं । तसौ मत्वर्थ इति भत्वेन पदत्वस्य बाधितत्वाद्रुत्वाद्यभावः । उगितश्चेति ङीप् । मतुब्ङीपौ पित्त्वादनुदात्तौ । मही । महतीशब्दे तकारलोपश्छान्दसः । यस्येति चेत्यकारलोपः । उदात्तनिवृत्तिस्वरेण ङीप उदात्तत्वं । तिस्रः । त्रिशब्दाज्जसि त्रिचतुरोः स्त्रियां तिसृचतसृ । पा. ७-२-९९ । इति तिस्रादेशः । अचि र ऋतः । पा. ७-२-१०० । इति रेफादेशः । तिसृभ्यो जसः । पा. ६-१-१६६ । इति जस उदात्तत्वं । देवीः । देवानां पत्न्यो देव्यः पुंयोगादाख्यायामिति ङीष् । यस्येति चेत्यकार लोपः । प्रत्ययस्वरेण ङीष उदात्तत्वं । जसि दीर्घाज्जसि च । पा. ६-१-१०४ [?] । इति निषिद्धं दीर्घत्वं । वा छन्दसीति पक्षेऽभ्यनुज्ञायते । मयोभुवः । मीञ् हिंसायां । हिनस्ति दुःखमिति सुखं मयः । तद्भावयन्तीति मयोभुवः । अन्तर्भावितण्यर्थाद्भुवः क्विप् । कृदुत्तरपदप्रकृतिस्वरत्वं । बर्हिः । बृंहेर्नलोपश्चेति इसिप्रत्ययः । प्रत्ययस्वरः । सीदन्तु । षद्लृ विशरणादौ । पाघ्रेत्यादिना सीदादेशः । अस्रिधः । स्रिधेर्हिंसार्थस्य शोषणार्थस्य वा सम्पदादिभ्यो भावे क्विपि नञा बहुव्रीहिः । पूर्वपदप्रकृतिस्वरं बाधित्वा नञ्सुभ्यामित्युत्तरपदान्तोदात्तत्वं ॥</w:t>
      </w:r>
    </w:p>
    <w:p>
      <w:pPr>
        <w:pStyle w:val="BlockText"/>
      </w:pPr>
      <w:r>
        <w:rPr>
          <w:iCs/>
          <w:i/>
        </w:rPr>
        <w:t xml:space="preserve">atra mahīśabdo mahattvaguṇayuktāṃ bhāratīmācaṣṭe ’nyeṣvāprīsūkteṣu sadṛśeṣviḷā sarasvatī bhāratītyāmnātatvāt | iḷādiśabdābhidheyā vahnimūrtayastisro devīrdīpyamānā barhirvedyāmāstīrṇaṃ sīdantu | prāpnuvantu | kīdṛśyaḥ | mayobhuvaḥ sukhotpādikā asridhaḥ śoṣeṇa kṣayeṇa vā rahitāḥ || iḷā | īḍa stutau | chāndasaṃ hrasvatvaṃ | kvip | dhātusvaraḥ | ṭāpaṃ cāpi halantānāṃ yathā vācā diśā niśeti ṭāp | sarasvatī | saro ’sunanto nittvādādyudāttaḥ | tadasyāstīti matup | ādupadhatvādvatvaṃ | tasau matvartha iti bhatvena padatvasya bādhitatvādrutvādyabhāvaḥ | ugitaśceti ṅīp | matubṅīpau pittvādanudāttau | mahī | mahatīśabde takāralopaśchāndasaḥ | yasyeti cetyakāralopaḥ | udāttanivṛttisvareṇa ṅīpa udāttatvaṃ | tisraḥ | triśabdājjasi tricaturoḥ striyāṃ tisṛcatasṛ | pā. 7-2-99 | iti tisrādeśaḥ | aci ra ṛtaḥ | pā. 7-2-100 | iti rephādeśaḥ | tisṛbhyo jasaḥ | pā. 6-1-166 | iti jasa udāttatvaṃ | devīḥ | devānāṃ patnyo devyaḥ puṃyogādākhyāyāmiti ṅīṣ | yasyeti cetyakāra lopaḥ | pratyayasvareṇa ṅīṣa udāttatvaṃ | jasi dīrghājjasi ca | pā. 6-1-104 [?] | iti niṣiddhaṃ dīrghatvaṃ | vā chandasīti pakṣe ’bhyanujñāyate | mayobhuvaḥ | mīñ hiṃsāyāṃ | hinasti duḥkhamiti sukhaṃ mayaḥ | tadbhāvayantīti mayobhuvaḥ | antarbhāvitaṇyarthādbhuvaḥ kvip | kṛduttarapadaprakṛtisvaratvaṃ | barhiḥ | bṛṃhernalopaśceti isipratyayaḥ | pratyayasvaraḥ | sīdantu | ṣadlṛ viśaraṇādau | pāghretyādinā sīdādeśaḥ | asridhaḥ | sridherhiṃsārthasya śoṣaṇārthasya vā sampadādibhyo bhāve kvipi nañā bahuvrīhiḥ | pūrvapadaprakṛtisvaraṃ bādhitvā nañsubhyāmityuttarapadāntodāttatvaṃ ||</w:t>
      </w:r>
    </w:p>
    <w:p>
      <w:pPr>
        <w:pStyle w:val="FirstParagraph"/>
      </w:pPr>
      <w:r>
        <w:rPr>
          <w:bCs/>
          <w:b/>
        </w:rPr>
        <w:t xml:space="preserve">Translation:</w:t>
      </w:r>
      <w:r>
        <w:t xml:space="preserve"> </w:t>
      </w:r>
      <w:r>
        <w:t xml:space="preserve">“</w:t>
      </w:r>
      <w:r>
        <w:t xml:space="preserve">Here the word</w:t>
      </w:r>
      <w:r>
        <w:t xml:space="preserve"> </w:t>
      </w:r>
      <w:r>
        <w:rPr>
          <w:iCs/>
          <w:i/>
        </w:rPr>
        <w:t xml:space="preserve">mahī</w:t>
      </w:r>
      <w:r>
        <w:t xml:space="preserve"> </w:t>
      </w:r>
      <w:r>
        <w:t xml:space="preserve">denotes</w:t>
      </w:r>
      <w:r>
        <w:t xml:space="preserve"> </w:t>
      </w:r>
      <w:r>
        <w:rPr>
          <w:iCs/>
          <w:i/>
        </w:rPr>
        <w:t xml:space="preserve">Bhāratī</w:t>
      </w:r>
      <w:r>
        <w:t xml:space="preserve">, endowed with the quality of greatness, since in other Āprī-sūktas, which are similar,</w:t>
      </w:r>
      <w:r>
        <w:t xml:space="preserve"> </w:t>
      </w:r>
      <w:r>
        <w:rPr>
          <w:iCs/>
          <w:i/>
        </w:rPr>
        <w:t xml:space="preserve">Iḷā, Sarasvatī, Bhāratī</w:t>
      </w:r>
      <w:r>
        <w:t xml:space="preserve"> </w:t>
      </w:r>
      <w:r>
        <w:t xml:space="preserve">are recited. The three shining goddesses, forms of Fire denoted by the words</w:t>
      </w:r>
      <w:r>
        <w:t xml:space="preserve"> </w:t>
      </w:r>
      <w:r>
        <w:rPr>
          <w:iCs/>
          <w:i/>
        </w:rPr>
        <w:t xml:space="preserve">Iḷā</w:t>
      </w:r>
      <w:r>
        <w:t xml:space="preserve"> </w:t>
      </w:r>
      <w:r>
        <w:t xml:space="preserve">and the rest,</w:t>
      </w:r>
      <w:r>
        <w:t xml:space="preserve"> </w:t>
      </w:r>
      <w:r>
        <w:rPr>
          <w:iCs/>
          <w:i/>
        </w:rPr>
        <w:t xml:space="preserve">sīdantu</w:t>
      </w:r>
      <w:r>
        <w:t xml:space="preserve">: may sit, may reach, the</w:t>
      </w:r>
      <w:r>
        <w:t xml:space="preserve"> </w:t>
      </w:r>
      <w:r>
        <w:rPr>
          <w:iCs/>
          <w:i/>
        </w:rPr>
        <w:t xml:space="preserve">barhis</w:t>
      </w:r>
      <w:r>
        <w:t xml:space="preserve"> </w:t>
      </w:r>
      <w:r>
        <w:t xml:space="preserve">spread on the altar. What are they like?</w:t>
      </w:r>
      <w:r>
        <w:t xml:space="preserve"> </w:t>
      </w:r>
      <w:r>
        <w:rPr>
          <w:iCs/>
          <w:i/>
        </w:rPr>
        <w:t xml:space="preserve">Mayobhuvaḥ</w:t>
      </w:r>
      <w:r>
        <w:t xml:space="preserve">: producing happiness;</w:t>
      </w:r>
      <w:r>
        <w:t xml:space="preserve"> </w:t>
      </w:r>
      <w:r>
        <w:rPr>
          <w:iCs/>
          <w:i/>
        </w:rPr>
        <w:t xml:space="preserve">asridhaḥ</w:t>
      </w:r>
      <w:r>
        <w:t xml:space="preserve">: free of drying up or of decay.</w:t>
      </w:r>
      <w:r>
        <w:t xml:space="preserve">”</w:t>
      </w:r>
      <w:r>
        <w:t xml:space="preserve"> </w:t>
      </w:r>
      <w:r>
        <w:t xml:space="preserve">(Grammatical tail:</w:t>
      </w:r>
      <w:r>
        <w:t xml:space="preserve"> </w:t>
      </w:r>
      <w:r>
        <w:rPr>
          <w:iCs/>
          <w:i/>
        </w:rPr>
        <w:t xml:space="preserve">iḷā</w:t>
      </w:r>
      <w:r>
        <w:t xml:space="preserve"> </w:t>
      </w:r>
      <w:r>
        <w:t xml:space="preserve">from</w:t>
      </w:r>
      <w:r>
        <w:t xml:space="preserve"> </w:t>
      </w:r>
      <w:r>
        <w:rPr>
          <w:iCs/>
          <w:i/>
        </w:rPr>
        <w:t xml:space="preserve">īḍ</w:t>
      </w:r>
      <w:r>
        <w:t xml:space="preserve"> </w:t>
      </w:r>
      <w:r>
        <w:t xml:space="preserve">‘</w:t>
      </w:r>
      <w:r>
        <w:t xml:space="preserve">to praise</w:t>
      </w:r>
      <w:r>
        <w:t xml:space="preserve">’</w:t>
      </w:r>
      <w:r>
        <w:t xml:space="preserve">, the shortening Vedic,</w:t>
      </w:r>
      <w:r>
        <w:t xml:space="preserve"> </w:t>
      </w:r>
      <w:r>
        <w:rPr>
          <w:iCs/>
          <w:i/>
        </w:rPr>
        <w:t xml:space="preserve">kvip</w:t>
      </w:r>
      <w:r>
        <w:t xml:space="preserve">,</w:t>
      </w:r>
      <w:r>
        <w:t xml:space="preserve"> </w:t>
      </w:r>
      <w:r>
        <w:rPr>
          <w:iCs/>
          <w:i/>
        </w:rPr>
        <w:t xml:space="preserve">ṭāp</w:t>
      </w:r>
      <w:r>
        <w:t xml:space="preserve"> </w:t>
      </w:r>
      <w:r>
        <w:t xml:space="preserve">as in</w:t>
      </w:r>
      <w:r>
        <w:t xml:space="preserve"> </w:t>
      </w:r>
      <w:r>
        <w:rPr>
          <w:iCs/>
          <w:i/>
        </w:rPr>
        <w:t xml:space="preserve">vācā, diśā, niśā</w:t>
      </w:r>
      <w:r>
        <w:t xml:space="preserve">;</w:t>
      </w:r>
      <w:r>
        <w:t xml:space="preserve"> </w:t>
      </w:r>
      <w:r>
        <w:rPr>
          <w:iCs/>
          <w:i/>
        </w:rPr>
        <w:t xml:space="preserve">sarasvatī</w:t>
      </w:r>
      <w:r>
        <w:t xml:space="preserve"> </w:t>
      </w:r>
      <w:r>
        <w:t xml:space="preserve">from</w:t>
      </w:r>
      <w:r>
        <w:t xml:space="preserve"> </w:t>
      </w:r>
      <w:r>
        <w:rPr>
          <w:iCs/>
          <w:i/>
        </w:rPr>
        <w:t xml:space="preserve">saras</w:t>
      </w:r>
      <w:r>
        <w:t xml:space="preserve"> </w:t>
      </w:r>
      <w:r>
        <w:t xml:space="preserve">(</w:t>
      </w:r>
      <w:r>
        <w:rPr>
          <w:iCs/>
          <w:i/>
        </w:rPr>
        <w:t xml:space="preserve">asun</w:t>
      </w:r>
      <w:r>
        <w:t xml:space="preserve">) with</w:t>
      </w:r>
      <w:r>
        <w:t xml:space="preserve"> </w:t>
      </w:r>
      <w:r>
        <w:rPr>
          <w:iCs/>
          <w:i/>
        </w:rPr>
        <w:t xml:space="preserve">matup</w:t>
      </w:r>
      <w:r>
        <w:t xml:space="preserve"> </w:t>
      </w:r>
      <w:r>
        <w:t xml:space="preserve">and</w:t>
      </w:r>
      <w:r>
        <w:t xml:space="preserve"> </w:t>
      </w:r>
      <w:r>
        <w:rPr>
          <w:iCs/>
          <w:i/>
        </w:rPr>
        <w:t xml:space="preserve">ṅīp</w:t>
      </w:r>
      <w:r>
        <w:t xml:space="preserve">;</w:t>
      </w:r>
      <w:r>
        <w:t xml:space="preserve"> </w:t>
      </w:r>
      <w:r>
        <w:rPr>
          <w:iCs/>
          <w:i/>
        </w:rPr>
        <w:t xml:space="preserve">mahī</w:t>
      </w:r>
      <w:r>
        <w:t xml:space="preserve"> </w:t>
      </w:r>
      <w:r>
        <w:t xml:space="preserve">with the Vedic loss of the</w:t>
      </w:r>
      <w:r>
        <w:t xml:space="preserve"> </w:t>
      </w:r>
      <w:r>
        <w:rPr>
          <w:iCs/>
          <w:i/>
        </w:rPr>
        <w:t xml:space="preserve">t</w:t>
      </w:r>
      <w:r>
        <w:t xml:space="preserve"> </w:t>
      </w:r>
      <w:r>
        <w:t xml:space="preserve">of</w:t>
      </w:r>
      <w:r>
        <w:t xml:space="preserve"> </w:t>
      </w:r>
      <w:r>
        <w:rPr>
          <w:iCs/>
          <w:i/>
        </w:rPr>
        <w:t xml:space="preserve">mahatī</w:t>
      </w:r>
      <w:r>
        <w:t xml:space="preserve">;</w:t>
      </w:r>
      <w:r>
        <w:t xml:space="preserve"> </w:t>
      </w:r>
      <w:r>
        <w:rPr>
          <w:iCs/>
          <w:i/>
        </w:rPr>
        <w:t xml:space="preserve">tisraḥ</w:t>
      </w:r>
      <w:r>
        <w:t xml:space="preserve"> </w:t>
      </w:r>
      <w:r>
        <w:t xml:space="preserve">with</w:t>
      </w:r>
      <w:r>
        <w:t xml:space="preserve"> </w:t>
      </w:r>
      <w:r>
        <w:rPr>
          <w:iCs/>
          <w:i/>
        </w:rPr>
        <w:t xml:space="preserve">tisṛ</w:t>
      </w:r>
      <w:r>
        <w:t xml:space="preserve"> </w:t>
      </w:r>
      <w:r>
        <w:t xml:space="preserve">(Pā. 7-2-99) and</w:t>
      </w:r>
      <w:r>
        <w:t xml:space="preserve"> </w:t>
      </w:r>
      <w:r>
        <w:rPr>
          <w:iCs/>
          <w:i/>
        </w:rPr>
        <w:t xml:space="preserve">r</w:t>
      </w:r>
      <w:r>
        <w:t xml:space="preserve"> </w:t>
      </w:r>
      <w:r>
        <w:t xml:space="preserve">(Pā. 7-2-100), the case ending udātta by Pā. 6-1-166;</w:t>
      </w:r>
      <w:r>
        <w:t xml:space="preserve"> </w:t>
      </w:r>
      <w:r>
        <w:rPr>
          <w:iCs/>
          <w:i/>
        </w:rPr>
        <w:t xml:space="preserve">devīḥ</w:t>
      </w:r>
      <w:r>
        <w:t xml:space="preserve"> </w:t>
      </w:r>
      <w:r>
        <w:t xml:space="preserve">with</w:t>
      </w:r>
      <w:r>
        <w:t xml:space="preserve"> </w:t>
      </w:r>
      <w:r>
        <w:rPr>
          <w:iCs/>
          <w:i/>
        </w:rPr>
        <w:t xml:space="preserve">ṅīṣ</w:t>
      </w:r>
      <w:r>
        <w:t xml:space="preserve">, the lengthening barred by</w:t>
      </w:r>
      <w:r>
        <w:t xml:space="preserve"> </w:t>
      </w:r>
      <w:r>
        <w:t xml:space="preserve">“</w:t>
      </w:r>
      <w:r>
        <w:t xml:space="preserve">6-1-104</w:t>
      </w:r>
      <w:r>
        <w:t xml:space="preserve">”</w:t>
      </w:r>
      <w:r>
        <w:t xml:space="preserve"> </w:t>
      </w:r>
      <w:r>
        <w:t xml:space="preserve">[?] but allowed optionally in the Veda;</w:t>
      </w:r>
      <w:r>
        <w:t xml:space="preserve"> </w:t>
      </w:r>
      <w:r>
        <w:rPr>
          <w:iCs/>
          <w:i/>
        </w:rPr>
        <w:t xml:space="preserve">mayobhuvaḥ</w:t>
      </w:r>
      <w:r>
        <w:t xml:space="preserve"> </w:t>
      </w:r>
      <w:r>
        <w:t xml:space="preserve">‘</w:t>
      </w:r>
      <w:r>
        <w:t xml:space="preserve">causing happiness to be</w:t>
      </w:r>
      <w:r>
        <w:t xml:space="preserve">’</w:t>
      </w:r>
      <w:r>
        <w:t xml:space="preserve">, from</w:t>
      </w:r>
      <w:r>
        <w:t xml:space="preserve"> </w:t>
      </w:r>
      <w:r>
        <w:rPr>
          <w:iCs/>
          <w:i/>
        </w:rPr>
        <w:t xml:space="preserve">bhū</w:t>
      </w:r>
      <w:r>
        <w:t xml:space="preserve"> </w:t>
      </w:r>
      <w:r>
        <w:t xml:space="preserve">with</w:t>
      </w:r>
      <w:r>
        <w:t xml:space="preserve"> </w:t>
      </w:r>
      <w:r>
        <w:rPr>
          <w:iCs/>
          <w:i/>
        </w:rPr>
        <w:t xml:space="preserve">kvip</w:t>
      </w:r>
      <w:r>
        <w:t xml:space="preserve">;</w:t>
      </w:r>
      <w:r>
        <w:t xml:space="preserve"> </w:t>
      </w:r>
      <w:r>
        <w:rPr>
          <w:iCs/>
          <w:i/>
        </w:rPr>
        <w:t xml:space="preserve">barhiḥ</w:t>
      </w:r>
      <w:r>
        <w:t xml:space="preserve"> </w:t>
      </w:r>
      <w:r>
        <w:t xml:space="preserve">with the suffix</w:t>
      </w:r>
      <w:r>
        <w:t xml:space="preserve"> </w:t>
      </w:r>
      <w:r>
        <w:rPr>
          <w:iCs/>
          <w:i/>
        </w:rPr>
        <w:t xml:space="preserve">isi</w:t>
      </w:r>
      <w:r>
        <w:t xml:space="preserve">;</w:t>
      </w:r>
      <w:r>
        <w:t xml:space="preserve"> </w:t>
      </w:r>
      <w:r>
        <w:rPr>
          <w:iCs/>
          <w:i/>
        </w:rPr>
        <w:t xml:space="preserve">sīdantu</w:t>
      </w:r>
      <w:r>
        <w:t xml:space="preserve"> </w:t>
      </w:r>
      <w:r>
        <w:t xml:space="preserve">with</w:t>
      </w:r>
      <w:r>
        <w:t xml:space="preserve"> </w:t>
      </w:r>
      <w:r>
        <w:rPr>
          <w:iCs/>
          <w:i/>
        </w:rPr>
        <w:t xml:space="preserve">sīd</w:t>
      </w:r>
      <w:r>
        <w:t xml:space="preserve"> </w:t>
      </w:r>
      <w:r>
        <w:t xml:space="preserve">for</w:t>
      </w:r>
      <w:r>
        <w:t xml:space="preserve"> </w:t>
      </w:r>
      <w:r>
        <w:rPr>
          <w:iCs/>
          <w:i/>
        </w:rPr>
        <w:t xml:space="preserve">sad</w:t>
      </w:r>
      <w:r>
        <w:t xml:space="preserve">;</w:t>
      </w:r>
      <w:r>
        <w:t xml:space="preserve"> </w:t>
      </w:r>
      <w:r>
        <w:rPr>
          <w:iCs/>
          <w:i/>
        </w:rPr>
        <w:t xml:space="preserve">asridhaḥ</w:t>
      </w:r>
      <w:r>
        <w:t xml:space="preserve">, a bahuvrīhi with</w:t>
      </w:r>
      <w:r>
        <w:t xml:space="preserve"> </w:t>
      </w:r>
      <w:r>
        <w:rPr>
          <w:iCs/>
          <w:i/>
        </w:rPr>
        <w:t xml:space="preserve">nañ</w:t>
      </w:r>
      <w:r>
        <w:t xml:space="preserve">, final udātta.)</w:t>
      </w:r>
    </w:p>
    <w:bookmarkEnd w:id="598"/>
    <w:bookmarkStart w:id="599" w:name="X552f25430950d363a631ec33a235ebcdf87819a"/>
    <w:p>
      <w:pPr>
        <w:pStyle w:val="Heading3"/>
      </w:pPr>
      <w:r>
        <w:t xml:space="preserve">Page 565 — Rik 9: word-meanings, overall sense, English, Special Topics</w:t>
      </w:r>
    </w:p>
    <w:p>
      <w:pPr>
        <w:pStyle w:val="FirstParagraph"/>
      </w:pPr>
      <w:r>
        <w:rPr>
          <w:bCs/>
          <w:b/>
        </w:rPr>
        <w:t xml:space="preserve">॥ Prati-padārthaḥ ॥</w:t>
      </w:r>
    </w:p>
    <w:p>
      <w:pPr>
        <w:pStyle w:val="BodyText"/>
      </w:pPr>
      <w:r>
        <w:rPr>
          <w:bCs/>
          <w:b/>
        </w:rPr>
        <w:t xml:space="preserve">मयोभुवः (mayobhuvaḥ)</w:t>
      </w:r>
      <w:r>
        <w:t xml:space="preserve"> </w:t>
      </w:r>
      <w:r>
        <w:t xml:space="preserve">— giving happiness |</w:t>
      </w:r>
      <w:r>
        <w:t xml:space="preserve"> </w:t>
      </w:r>
      <w:r>
        <w:rPr>
          <w:bCs/>
          <w:b/>
        </w:rPr>
        <w:t xml:space="preserve">अस्रिधः (asridhaḥ)</w:t>
      </w:r>
      <w:r>
        <w:t xml:space="preserve"> </w:t>
      </w:r>
      <w:r>
        <w:t xml:space="preserve">— not cruel, or doing no harm |</w:t>
      </w:r>
      <w:r>
        <w:t xml:space="preserve"> </w:t>
      </w:r>
      <w:r>
        <w:rPr>
          <w:bCs/>
          <w:b/>
        </w:rPr>
        <w:t xml:space="preserve">इळा (iḷā)</w:t>
      </w:r>
      <w:r>
        <w:t xml:space="preserve"> </w:t>
      </w:r>
      <w:r>
        <w:t xml:space="preserve">— the goddess named</w:t>
      </w:r>
      <w:r>
        <w:t xml:space="preserve"> </w:t>
      </w:r>
      <w:r>
        <w:rPr>
          <w:iCs/>
          <w:i/>
        </w:rPr>
        <w:t xml:space="preserve">Iḷā</w:t>
      </w:r>
      <w:r>
        <w:t xml:space="preserve"> </w:t>
      </w:r>
      <w:r>
        <w:t xml:space="preserve">|</w:t>
      </w:r>
      <w:r>
        <w:t xml:space="preserve"> </w:t>
      </w:r>
      <w:r>
        <w:rPr>
          <w:bCs/>
          <w:b/>
        </w:rPr>
        <w:t xml:space="preserve">सरस्वती (sarasvatī)</w:t>
      </w:r>
      <w:r>
        <w:t xml:space="preserve"> </w:t>
      </w:r>
      <w:r>
        <w:t xml:space="preserve">— the goddess</w:t>
      </w:r>
      <w:r>
        <w:t xml:space="preserve"> </w:t>
      </w:r>
      <w:r>
        <w:rPr>
          <w:iCs/>
          <w:i/>
        </w:rPr>
        <w:t xml:space="preserve">Sarasvatī</w:t>
      </w:r>
      <w:r>
        <w:t xml:space="preserve"> </w:t>
      </w:r>
      <w:r>
        <w:t xml:space="preserve">|</w:t>
      </w:r>
      <w:r>
        <w:t xml:space="preserve"> </w:t>
      </w:r>
      <w:r>
        <w:rPr>
          <w:bCs/>
          <w:b/>
        </w:rPr>
        <w:t xml:space="preserve">मही (mahī)</w:t>
      </w:r>
      <w:r>
        <w:t xml:space="preserve"> </w:t>
      </w:r>
      <w:r>
        <w:t xml:space="preserve">— the goddess [named</w:t>
      </w:r>
      <w:r>
        <w:t xml:space="preserve"> </w:t>
      </w:r>
      <w:r>
        <w:rPr>
          <w:iCs/>
          <w:i/>
        </w:rPr>
        <w:t xml:space="preserve">Bhāratī</w:t>
      </w:r>
      <w:r>
        <w:t xml:space="preserve">] endowed with the quality of greatness |</w:t>
      </w:r>
      <w:r>
        <w:t xml:space="preserve"> </w:t>
      </w:r>
      <w:r>
        <w:rPr>
          <w:bCs/>
          <w:b/>
        </w:rPr>
        <w:t xml:space="preserve">तिस्रः देवीः (tisraḥ devīḥ)</w:t>
      </w:r>
      <w:r>
        <w:t xml:space="preserve"> </w:t>
      </w:r>
      <w:r>
        <w:t xml:space="preserve">— these three goddesses, forms of Agni, shining, called by the words</w:t>
      </w:r>
      <w:r>
        <w:t xml:space="preserve"> </w:t>
      </w:r>
      <w:r>
        <w:rPr>
          <w:iCs/>
          <w:i/>
        </w:rPr>
        <w:t xml:space="preserve">Iḷā</w:t>
      </w:r>
      <w:r>
        <w:t xml:space="preserve"> </w:t>
      </w:r>
      <w:r>
        <w:t xml:space="preserve">and the rest |</w:t>
      </w:r>
      <w:r>
        <w:t xml:space="preserve"> </w:t>
      </w:r>
      <w:r>
        <w:rPr>
          <w:bCs/>
          <w:b/>
        </w:rPr>
        <w:t xml:space="preserve">बर्हिः (barhiḥ)</w:t>
      </w:r>
      <w:r>
        <w:t xml:space="preserve"> </w:t>
      </w:r>
      <w:r>
        <w:t xml:space="preserve">— the</w:t>
      </w:r>
      <w:r>
        <w:t xml:space="preserve"> </w:t>
      </w:r>
      <w:r>
        <w:rPr>
          <w:iCs/>
          <w:i/>
        </w:rPr>
        <w:t xml:space="preserve">darbha</w:t>
      </w:r>
      <w:r>
        <w:t xml:space="preserve"> </w:t>
      </w:r>
      <w:r>
        <w:t xml:space="preserve">spread on the altar as a seat |</w:t>
      </w:r>
      <w:r>
        <w:t xml:space="preserve"> </w:t>
      </w:r>
      <w:r>
        <w:rPr>
          <w:bCs/>
          <w:b/>
        </w:rPr>
        <w:t xml:space="preserve">सीदन्तु (sīdantu)</w:t>
      </w:r>
      <w:r>
        <w:t xml:space="preserve"> </w:t>
      </w:r>
      <w:r>
        <w:t xml:space="preserve">— may they sit (that is, may they come and sit on the</w:t>
      </w:r>
      <w:r>
        <w:t xml:space="preserve"> </w:t>
      </w:r>
      <w:r>
        <w:rPr>
          <w:iCs/>
          <w:i/>
        </w:rPr>
        <w:t xml:space="preserve">darbha</w:t>
      </w:r>
      <w:r>
        <w:t xml:space="preserve">).</w:t>
      </w:r>
    </w:p>
    <w:p>
      <w:pPr>
        <w:pStyle w:val="BodyText"/>
      </w:pPr>
      <w:r>
        <w:rPr>
          <w:bCs/>
          <w:b/>
        </w:rPr>
        <w:t xml:space="preserve">॥ Bhāvārthaḥ ॥</w:t>
      </w:r>
    </w:p>
    <w:p>
      <w:pPr>
        <w:pStyle w:val="BodyText"/>
      </w:pPr>
      <w:r>
        <w:t xml:space="preserve">May the three goddesses</w:t>
      </w:r>
      <w:r>
        <w:t xml:space="preserve"> </w:t>
      </w:r>
      <w:r>
        <w:rPr>
          <w:iCs/>
          <w:i/>
        </w:rPr>
        <w:t xml:space="preserve">Iḷā</w:t>
      </w:r>
      <w:r>
        <w:t xml:space="preserve">,</w:t>
      </w:r>
      <w:r>
        <w:t xml:space="preserve"> </w:t>
      </w:r>
      <w:r>
        <w:rPr>
          <w:iCs/>
          <w:i/>
        </w:rPr>
        <w:t xml:space="preserve">Sarasvatī</w:t>
      </w:r>
      <w:r>
        <w:t xml:space="preserve"> </w:t>
      </w:r>
      <w:r>
        <w:t xml:space="preserve">and</w:t>
      </w:r>
      <w:r>
        <w:t xml:space="preserve"> </w:t>
      </w:r>
      <w:r>
        <w:rPr>
          <w:iCs/>
          <w:i/>
        </w:rPr>
        <w:t xml:space="preserve">Bhāratī</w:t>
      </w:r>
      <w:r>
        <w:t xml:space="preserve"> </w:t>
      </w:r>
      <w:r>
        <w:t xml:space="preserve">(</w:t>
      </w:r>
      <w:r>
        <w:rPr>
          <w:iCs/>
          <w:i/>
        </w:rPr>
        <w:t xml:space="preserve">Mahī</w:t>
      </w:r>
      <w:r>
        <w:t xml:space="preserve">) — who are forms of Agni, shine brilliantly, give happiness to all, and harm none — come to the</w:t>
      </w:r>
      <w:r>
        <w:t xml:space="preserve"> </w:t>
      </w:r>
      <w:r>
        <w:rPr>
          <w:iCs/>
          <w:i/>
        </w:rPr>
        <w:t xml:space="preserve">darbha</w:t>
      </w:r>
      <w:r>
        <w:t xml:space="preserve"> </w:t>
      </w:r>
      <w:r>
        <w:t xml:space="preserve">spread on the sacrificial altar as a seat and sit upon it.</w:t>
      </w:r>
    </w:p>
    <w:p>
      <w:pPr>
        <w:pStyle w:val="BodyText"/>
      </w:pPr>
      <w:r>
        <w:rPr>
          <w:bCs/>
          <w:b/>
        </w:rPr>
        <w:t xml:space="preserve">॥ English Translation ॥</w:t>
      </w:r>
      <w:r>
        <w:t xml:space="preserve"> </w:t>
      </w:r>
      <w:r>
        <w:rPr>
          <w:iCs/>
          <w:i/>
        </w:rPr>
        <w:t xml:space="preserve">(as printed in the source)</w:t>
      </w:r>
    </w:p>
    <w:p>
      <w:pPr>
        <w:pStyle w:val="BlockText"/>
      </w:pPr>
      <w:r>
        <w:t xml:space="preserve">May Ila, Saraswati, Mahi (Bharati), the three comfort-giving and unhurting goddesses sit on the sacrificial grass.</w:t>
      </w:r>
    </w:p>
    <w:p>
      <w:pPr>
        <w:pStyle w:val="FirstParagraph"/>
      </w:pPr>
      <w:r>
        <w:rPr>
          <w:bCs/>
          <w:b/>
        </w:rPr>
        <w:t xml:space="preserve">॥ Viśeṣa-viṣayagaḷu (Special Topics) ॥</w:t>
      </w:r>
    </w:p>
    <w:p>
      <w:pPr>
        <w:pStyle w:val="BodyText"/>
      </w:pPr>
      <w:r>
        <w:t xml:space="preserve">On</w:t>
      </w:r>
      <w:r>
        <w:t xml:space="preserve"> </w:t>
      </w:r>
      <w:r>
        <w:rPr>
          <w:iCs/>
          <w:i/>
        </w:rPr>
        <w:t xml:space="preserve">tisro devīḥ</w:t>
      </w:r>
      <w:r>
        <w:t xml:space="preserve"> </w:t>
      </w:r>
      <w:r>
        <w:t xml:space="preserve">Yāska says only</w:t>
      </w:r>
    </w:p>
    <w:p>
      <w:pPr>
        <w:pStyle w:val="BlockText"/>
      </w:pPr>
      <w:r>
        <w:t xml:space="preserve">तिस्रो देवीः । तिस्रो देवीस्तिस्रो देव्यः ॥</w:t>
      </w:r>
    </w:p>
    <w:p>
      <w:pPr>
        <w:pStyle w:val="BlockText"/>
      </w:pPr>
      <w:r>
        <w:rPr>
          <w:iCs/>
          <w:i/>
        </w:rPr>
        <w:t xml:space="preserve">tisro devīḥ | tisro devīstisro devyaḥ ||</w:t>
      </w:r>
    </w:p>
    <w:p>
      <w:pPr>
        <w:pStyle w:val="FirstParagraph"/>
      </w:pPr>
      <w:r>
        <w:t xml:space="preserve">and in the Ṛk he gives as an example,</w:t>
      </w:r>
    </w:p>
    <w:p>
      <w:pPr>
        <w:pStyle w:val="BlockText"/>
      </w:pPr>
      <w:r>
        <w:t xml:space="preserve">आ नो यज्ञं भारती तूयमेत्विळा मनुष्वदिह चेतयन्ती ।</w:t>
      </w:r>
      <w:r>
        <w:t xml:space="preserve"> </w:t>
      </w:r>
      <w:r>
        <w:t xml:space="preserve">तिस्रो देवीर्बर्हिरेदं स्योनं सरस्वती स्वपसः सदन्तु ॥</w:t>
      </w:r>
    </w:p>
    <w:p>
      <w:pPr>
        <w:pStyle w:val="BlockText"/>
      </w:pPr>
      <w:r>
        <w:rPr>
          <w:iCs/>
          <w:i/>
        </w:rPr>
        <w:t xml:space="preserve">ā no yajñaṃ bhāratī tūyametviḷā manuṣvadiha cetayantī |</w:t>
      </w:r>
      <w:r>
        <w:t xml:space="preserve"> </w:t>
      </w:r>
      <w:r>
        <w:rPr>
          <w:iCs/>
          <w:i/>
        </w:rPr>
        <w:t xml:space="preserve">tisro devīrbarhiredaṃ syonaṃ sarasvatī svapasaḥ sadantu ||</w:t>
      </w:r>
    </w:p>
    <w:p>
      <w:pPr>
        <w:pStyle w:val="FirstParagraph"/>
      </w:pPr>
      <w:r>
        <w:rPr>
          <w:iCs/>
          <w:i/>
        </w:rPr>
        <w:t xml:space="preserve">(Ṛ. Saṃ. 10-110-8.)</w:t>
      </w:r>
      <w:r>
        <w:t xml:space="preserve"> </w:t>
      </w:r>
      <w:r>
        <w:rPr>
          <w:iCs/>
          <w:i/>
        </w:rPr>
        <w:t xml:space="preserve">(</w:t>
      </w:r>
      <w:r>
        <w:rPr>
          <w:iCs/>
          <w:i/>
        </w:rPr>
        <w:t xml:space="preserve">“</w:t>
      </w:r>
      <w:r>
        <w:rPr>
          <w:iCs/>
          <w:i/>
        </w:rPr>
        <w:t xml:space="preserve">May Bhāratī come quickly to our sacrifice, and Iḷā, awakening [us] here like Manu; may the three goddesses, Sarasvatī and the skilful ones, sit on this pleasant barhis</w:t>
      </w:r>
      <w:r>
        <w:rPr>
          <w:iCs/>
          <w:i/>
        </w:rPr>
        <w:t xml:space="preserve">”</w:t>
      </w:r>
      <w:r>
        <w:rPr>
          <w:iCs/>
          <w:i/>
        </w:rPr>
        <w:t xml:space="preserve"> </w:t>
      </w:r>
      <w:r>
        <w:rPr>
          <w:iCs/>
          <w:i/>
        </w:rPr>
        <w:t xml:space="preserve">— mine and tentative.)</w:t>
      </w:r>
    </w:p>
    <w:p>
      <w:pPr>
        <w:pStyle w:val="BodyText"/>
      </w:pPr>
      <w:r>
        <w:t xml:space="preserve">he explains:</w:t>
      </w:r>
    </w:p>
    <w:p>
      <w:pPr>
        <w:pStyle w:val="BlockText"/>
      </w:pPr>
      <w:r>
        <w:t xml:space="preserve">ऐतु नो यज्ञं भारती क्षिप्रम् । भरत आदित्यस्तस्य भा इळा च मनुष्वदिह चेतयमाना तिस्रो देव्यो बर्हिरिदं सुखं सरस्वती च सकर्माण [?] आसीदन्तु ॥</w:t>
      </w:r>
    </w:p>
    <w:p>
      <w:pPr>
        <w:pStyle w:val="BlockText"/>
      </w:pPr>
      <w:r>
        <w:rPr>
          <w:iCs/>
          <w:i/>
        </w:rPr>
        <w:t xml:space="preserve">aitu no yajñaṃ bhāratī kṣipram | bharata ādityastasya bhā iḷā ca manuṣvadiha cetayamānā tisro devyo barhiridaṃ sukhaṃ sarasvatī ca sakarmāṇa [?] āsīdantu ||</w:t>
      </w:r>
    </w:p>
    <w:p>
      <w:pPr>
        <w:pStyle w:val="FirstParagraph"/>
      </w:pPr>
      <w:r>
        <w:t xml:space="preserve">That is:</w:t>
      </w:r>
    </w:p>
    <w:bookmarkEnd w:id="599"/>
    <w:bookmarkStart w:id="600" w:name="page-566-rik-9-special-topics-continued"/>
    <w:p>
      <w:pPr>
        <w:pStyle w:val="Heading3"/>
      </w:pPr>
      <w:r>
        <w:t xml:space="preserve">Page 566 — Rik 9: Special Topics (continued)</w:t>
      </w:r>
    </w:p>
    <w:p>
      <w:pPr>
        <w:pStyle w:val="FirstParagraph"/>
      </w:pPr>
      <w:r>
        <w:rPr>
          <w:bCs/>
          <w:b/>
        </w:rPr>
        <w:t xml:space="preserve">Bhāratī</w:t>
      </w:r>
      <w:r>
        <w:t xml:space="preserve">:</w:t>
      </w:r>
      <w:r>
        <w:t xml:space="preserve"> </w:t>
      </w:r>
      <w:r>
        <w:rPr>
          <w:iCs/>
          <w:i/>
        </w:rPr>
        <w:t xml:space="preserve">Bharata</w:t>
      </w:r>
      <w:r>
        <w:t xml:space="preserve"> </w:t>
      </w:r>
      <w:r>
        <w:t xml:space="preserve">is one of the twelve Ādityas; the lustre of the Āditya is called</w:t>
      </w:r>
      <w:r>
        <w:t xml:space="preserve"> </w:t>
      </w:r>
      <w:r>
        <w:rPr>
          <w:iCs/>
          <w:i/>
        </w:rPr>
        <w:t xml:space="preserve">bhā</w:t>
      </w:r>
      <w:r>
        <w:t xml:space="preserve">. So</w:t>
      </w:r>
      <w:r>
        <w:t xml:space="preserve"> </w:t>
      </w:r>
      <w:r>
        <w:rPr>
          <w:iCs/>
          <w:i/>
        </w:rPr>
        <w:t xml:space="preserve">bhāratī</w:t>
      </w:r>
      <w:r>
        <w:t xml:space="preserve"> </w:t>
      </w:r>
      <w:r>
        <w:t xml:space="preserve">is the light of the sun, or the fire that is in the orb of the sun in the form of light.</w:t>
      </w:r>
    </w:p>
    <w:p>
      <w:pPr>
        <w:pStyle w:val="BodyText"/>
      </w:pPr>
      <w:r>
        <w:rPr>
          <w:bCs/>
          <w:b/>
        </w:rPr>
        <w:t xml:space="preserve">Iḷā</w:t>
      </w:r>
      <w:r>
        <w:t xml:space="preserve">:</w:t>
      </w:r>
      <w:r>
        <w:t xml:space="preserve"> </w:t>
      </w:r>
      <w:r>
        <w:rPr>
          <w:iCs/>
          <w:i/>
        </w:rPr>
        <w:t xml:space="preserve">iḷā</w:t>
      </w:r>
      <w:r>
        <w:t xml:space="preserve"> </w:t>
      </w:r>
      <w:r>
        <w:t xml:space="preserve">is the earth.</w:t>
      </w:r>
      <w:r>
        <w:t xml:space="preserve"> </w:t>
      </w:r>
      <w:r>
        <w:rPr>
          <w:iCs/>
          <w:i/>
        </w:rPr>
        <w:t xml:space="preserve">Manuṣvat cetayantī</w:t>
      </w:r>
      <w:r>
        <w:t xml:space="preserve">: having the power of urging, as men do; that is, since she gives food and other nourishment and wealth to the men on the earth,</w:t>
      </w:r>
      <w:r>
        <w:t xml:space="preserve"> </w:t>
      </w:r>
      <w:r>
        <w:rPr>
          <w:iCs/>
          <w:i/>
        </w:rPr>
        <w:t xml:space="preserve">Iḷā</w:t>
      </w:r>
      <w:r>
        <w:t xml:space="preserve"> </w:t>
      </w:r>
      <w:r>
        <w:t xml:space="preserve">is a particular form of the Agni that is in the earth-region.</w:t>
      </w:r>
    </w:p>
    <w:p>
      <w:pPr>
        <w:pStyle w:val="BodyText"/>
      </w:pPr>
      <w:r>
        <w:rPr>
          <w:bCs/>
          <w:b/>
        </w:rPr>
        <w:t xml:space="preserve">Sarasvatī</w:t>
      </w:r>
      <w:r>
        <w:t xml:space="preserve">: since she is the presiding deity of the lightning in the atmosphere,</w:t>
      </w:r>
      <w:r>
        <w:t xml:space="preserve"> </w:t>
      </w:r>
      <w:r>
        <w:rPr>
          <w:iCs/>
          <w:i/>
        </w:rPr>
        <w:t xml:space="preserve">Sarasvatī</w:t>
      </w:r>
      <w:r>
        <w:t xml:space="preserve"> </w:t>
      </w:r>
      <w:r>
        <w:t xml:space="preserve">is said to be the form of Agni that is in the atmosphere.</w:t>
      </w:r>
    </w:p>
    <w:p>
      <w:pPr>
        <w:pStyle w:val="BodyText"/>
      </w:pPr>
      <w:r>
        <w:t xml:space="preserve">So it is the custom to call the three goddesses</w:t>
      </w:r>
      <w:r>
        <w:t xml:space="preserve"> </w:t>
      </w:r>
      <w:r>
        <w:rPr>
          <w:iCs/>
          <w:i/>
        </w:rPr>
        <w:t xml:space="preserve">Iḷā, Sarasvatī, Bhāratī</w:t>
      </w:r>
      <w:r>
        <w:t xml:space="preserve"> </w:t>
      </w:r>
      <w:r>
        <w:t xml:space="preserve">the three forms of the fire in heaven, atmosphere and earth. (See pages</w:t>
      </w:r>
      <w:r>
        <w:t xml:space="preserve"> </w:t>
      </w:r>
      <w:r>
        <w:t xml:space="preserve">“</w:t>
      </w:r>
      <w:r>
        <w:t xml:space="preserve">74–75</w:t>
      </w:r>
      <w:r>
        <w:t xml:space="preserve">”</w:t>
      </w:r>
      <w:r>
        <w:t xml:space="preserve"> </w:t>
      </w:r>
      <w:r>
        <w:t xml:space="preserve">[?].)</w:t>
      </w:r>
    </w:p>
    <w:p>
      <w:pPr>
        <w:pStyle w:val="BodyText"/>
      </w:pPr>
      <w:r>
        <w:rPr>
          <w:bCs/>
          <w:b/>
        </w:rPr>
        <w:t xml:space="preserve">Mahī</w:t>
      </w:r>
      <w:r>
        <w:t xml:space="preserve">:</w:t>
      </w:r>
    </w:p>
    <w:p>
      <w:pPr>
        <w:pStyle w:val="BlockText"/>
      </w:pPr>
      <w:r>
        <w:t xml:space="preserve">महीशब्दो महत्त्वगुणयुक्तां भारतीमाचष्टे ऽन्येष्वाप्रीसूक्तेषु सदृशेष्विळा सरस्वती भारतीत्याम्नातत्वात् ॥</w:t>
      </w:r>
    </w:p>
    <w:p>
      <w:pPr>
        <w:pStyle w:val="BlockText"/>
      </w:pPr>
      <w:r>
        <w:rPr>
          <w:iCs/>
          <w:i/>
        </w:rPr>
        <w:t xml:space="preserve">mahīśabdo mahattvaguṇayuktāṃ bhāratīmācaṣṭe ’nyeṣvāprīsūkteṣu sadṛśeṣviḷā sarasvatī bhāratītyāmnātatvāt ||</w:t>
      </w:r>
    </w:p>
    <w:p>
      <w:pPr>
        <w:pStyle w:val="FirstParagraph"/>
      </w:pPr>
      <w:r>
        <w:t xml:space="preserve">That is, the word</w:t>
      </w:r>
      <w:r>
        <w:t xml:space="preserve"> </w:t>
      </w:r>
      <w:r>
        <w:rPr>
          <w:iCs/>
          <w:i/>
        </w:rPr>
        <w:t xml:space="preserve">mahī</w:t>
      </w:r>
      <w:r>
        <w:t xml:space="preserve"> </w:t>
      </w:r>
      <w:r>
        <w:t xml:space="preserve">in this Ṛk means</w:t>
      </w:r>
      <w:r>
        <w:t xml:space="preserve"> </w:t>
      </w:r>
      <w:r>
        <w:rPr>
          <w:iCs/>
          <w:i/>
        </w:rPr>
        <w:t xml:space="preserve">Bhāratī</w:t>
      </w:r>
      <w:r>
        <w:t xml:space="preserve">, endowed with the quality of greatness. For in the Āprī-sūktas, in the Ṛks that speak of</w:t>
      </w:r>
      <w:r>
        <w:t xml:space="preserve"> </w:t>
      </w:r>
      <w:r>
        <w:rPr>
          <w:iCs/>
          <w:i/>
        </w:rPr>
        <w:t xml:space="preserve">tisro devīḥ</w:t>
      </w:r>
      <w:r>
        <w:t xml:space="preserve">, the names of the three goddesses</w:t>
      </w:r>
      <w:r>
        <w:t xml:space="preserve"> </w:t>
      </w:r>
      <w:r>
        <w:rPr>
          <w:iCs/>
          <w:i/>
        </w:rPr>
        <w:t xml:space="preserve">Iḷā, Sarasvatī, Bhāratī</w:t>
      </w:r>
      <w:r>
        <w:t xml:space="preserve"> </w:t>
      </w:r>
      <w:r>
        <w:t xml:space="preserve">are stated plainly. In this Ṛk only the two names</w:t>
      </w:r>
      <w:r>
        <w:t xml:space="preserve"> </w:t>
      </w:r>
      <w:r>
        <w:rPr>
          <w:iCs/>
          <w:i/>
        </w:rPr>
        <w:t xml:space="preserve">Iḷā</w:t>
      </w:r>
      <w:r>
        <w:t xml:space="preserve"> </w:t>
      </w:r>
      <w:r>
        <w:t xml:space="preserve">and</w:t>
      </w:r>
      <w:r>
        <w:t xml:space="preserve"> </w:t>
      </w:r>
      <w:r>
        <w:rPr>
          <w:iCs/>
          <w:i/>
        </w:rPr>
        <w:t xml:space="preserve">Sarasvatī</w:t>
      </w:r>
      <w:r>
        <w:t xml:space="preserve"> </w:t>
      </w:r>
      <w:r>
        <w:t xml:space="preserve">are given, and in the place of the other</w:t>
      </w:r>
      <w:r>
        <w:t xml:space="preserve"> </w:t>
      </w:r>
      <w:r>
        <w:rPr>
          <w:iCs/>
          <w:i/>
        </w:rPr>
        <w:t xml:space="preserve">mahī</w:t>
      </w:r>
      <w:r>
        <w:t xml:space="preserve"> </w:t>
      </w:r>
      <w:r>
        <w:t xml:space="preserve">is said, so there is no doubt that the word</w:t>
      </w:r>
      <w:r>
        <w:t xml:space="preserve"> </w:t>
      </w:r>
      <w:r>
        <w:rPr>
          <w:iCs/>
          <w:i/>
        </w:rPr>
        <w:t xml:space="preserve">mahī</w:t>
      </w:r>
      <w:r>
        <w:t xml:space="preserve"> </w:t>
      </w:r>
      <w:r>
        <w:t xml:space="preserve">points to the name</w:t>
      </w:r>
      <w:r>
        <w:t xml:space="preserve"> </w:t>
      </w:r>
      <w:r>
        <w:rPr>
          <w:iCs/>
          <w:i/>
        </w:rPr>
        <w:t xml:space="preserve">Bhāratī</w:t>
      </w:r>
      <w:r>
        <w:t xml:space="preserve">. Some Western scholars think that the word</w:t>
      </w:r>
      <w:r>
        <w:t xml:space="preserve"> </w:t>
      </w:r>
      <w:r>
        <w:rPr>
          <w:iCs/>
          <w:i/>
        </w:rPr>
        <w:t xml:space="preserve">mahī</w:t>
      </w:r>
      <w:r>
        <w:t xml:space="preserve"> </w:t>
      </w:r>
      <w:r>
        <w:t xml:space="preserve">denotes a separate deity named</w:t>
      </w:r>
      <w:r>
        <w:t xml:space="preserve"> </w:t>
      </w:r>
      <w:r>
        <w:rPr>
          <w:iCs/>
          <w:i/>
        </w:rPr>
        <w:t xml:space="preserve">Mahī</w:t>
      </w:r>
      <w:r>
        <w:t xml:space="preserve">. That is not right. The word</w:t>
      </w:r>
      <w:r>
        <w:t xml:space="preserve"> </w:t>
      </w:r>
      <w:r>
        <w:rPr>
          <w:iCs/>
          <w:i/>
        </w:rPr>
        <w:t xml:space="preserve">mahī</w:t>
      </w:r>
      <w:r>
        <w:t xml:space="preserve"> </w:t>
      </w:r>
      <w:r>
        <w:t xml:space="preserve">may have been used in place of the word</w:t>
      </w:r>
      <w:r>
        <w:t xml:space="preserve"> </w:t>
      </w:r>
      <w:r>
        <w:rPr>
          <w:iCs/>
          <w:i/>
        </w:rPr>
        <w:t xml:space="preserve">bhāratī</w:t>
      </w:r>
      <w:r>
        <w:t xml:space="preserve"> </w:t>
      </w:r>
      <w:r>
        <w:t xml:space="preserve">for the sake of the metre.</w:t>
      </w:r>
    </w:p>
    <w:p>
      <w:pPr>
        <w:pStyle w:val="BodyText"/>
      </w:pPr>
      <w:r>
        <w:rPr>
          <w:bCs/>
          <w:b/>
        </w:rPr>
        <w:t xml:space="preserve">Barhiḥ sīdantu</w:t>
      </w:r>
      <w:r>
        <w:t xml:space="preserve">:</w:t>
      </w:r>
      <w:r>
        <w:t xml:space="preserve"> </w:t>
      </w:r>
      <w:r>
        <w:rPr>
          <w:iCs/>
          <w:i/>
        </w:rPr>
        <w:t xml:space="preserve">वेद्यामास्तीर्णं प्राप्नुवन्तु</w:t>
      </w:r>
      <w:r>
        <w:t xml:space="preserve"> </w:t>
      </w:r>
      <w:r>
        <w:t xml:space="preserve">(</w:t>
      </w:r>
      <w:r>
        <w:rPr>
          <w:iCs/>
          <w:i/>
        </w:rPr>
        <w:t xml:space="preserve">vedyāmāstīrṇaṃ prāpnuvantu</w:t>
      </w:r>
      <w:r>
        <w:t xml:space="preserve">,</w:t>
      </w:r>
      <w:r>
        <w:t xml:space="preserve"> </w:t>
      </w:r>
      <w:r>
        <w:t xml:space="preserve">“</w:t>
      </w:r>
      <w:r>
        <w:t xml:space="preserve">may they reach what is spread on the altar</w:t>
      </w:r>
      <w:r>
        <w:t xml:space="preserve">”</w:t>
      </w:r>
      <w:r>
        <w:t xml:space="preserve">): may they reach the</w:t>
      </w:r>
      <w:r>
        <w:t xml:space="preserve"> </w:t>
      </w:r>
      <w:r>
        <w:rPr>
          <w:iCs/>
          <w:i/>
        </w:rPr>
        <w:t xml:space="preserve">darbha</w:t>
      </w:r>
      <w:r>
        <w:t xml:space="preserve"> </w:t>
      </w:r>
      <w:r>
        <w:t xml:space="preserve">spread as a seat, that is, may they sit on the seat of</w:t>
      </w:r>
      <w:r>
        <w:t xml:space="preserve"> </w:t>
      </w:r>
      <w:r>
        <w:rPr>
          <w:iCs/>
          <w:i/>
        </w:rPr>
        <w:t xml:space="preserve">darbha</w:t>
      </w:r>
      <w:r>
        <w:t xml:space="preserve">: that is the sense.</w:t>
      </w:r>
    </w:p>
    <w:p>
      <w:pPr>
        <w:pStyle w:val="BodyText"/>
      </w:pPr>
      <w:r>
        <w:rPr>
          <w:bCs/>
          <w:b/>
        </w:rPr>
        <w:t xml:space="preserve">Iḷā, sarasvatī, mahī</w:t>
      </w:r>
      <w:r>
        <w:t xml:space="preserve">:</w:t>
      </w:r>
    </w:p>
    <w:p>
      <w:pPr>
        <w:pStyle w:val="BlockText"/>
      </w:pPr>
      <w:r>
        <w:t xml:space="preserve">ईड स्तुतौ । सर अस्यास्तीति । मही महती, तकारलोपश्छान्दसः ॥</w:t>
      </w:r>
    </w:p>
    <w:p>
      <w:pPr>
        <w:pStyle w:val="BlockText"/>
      </w:pPr>
      <w:r>
        <w:rPr>
          <w:iCs/>
          <w:i/>
        </w:rPr>
        <w:t xml:space="preserve">īḍa stutau | sara asyāstīti | mahī mahatī, takāralopaśchāndasaḥ ||</w:t>
      </w:r>
    </w:p>
    <w:p>
      <w:pPr>
        <w:pStyle w:val="FirstParagraph"/>
      </w:pPr>
      <w:r>
        <w:t xml:space="preserve">Since she is praised she is</w:t>
      </w:r>
      <w:r>
        <w:t xml:space="preserve"> </w:t>
      </w:r>
      <w:r>
        <w:rPr>
          <w:iCs/>
          <w:i/>
        </w:rPr>
        <w:t xml:space="preserve">iḍā</w:t>
      </w:r>
      <w:r>
        <w:t xml:space="preserve">; since she has</w:t>
      </w:r>
      <w:r>
        <w:t xml:space="preserve"> </w:t>
      </w:r>
      <w:r>
        <w:rPr>
          <w:iCs/>
          <w:i/>
        </w:rPr>
        <w:t xml:space="preserve">saras</w:t>
      </w:r>
      <w:r>
        <w:t xml:space="preserve"> </w:t>
      </w:r>
      <w:r>
        <w:t xml:space="preserve">(water) she is</w:t>
      </w:r>
      <w:r>
        <w:t xml:space="preserve"> </w:t>
      </w:r>
      <w:r>
        <w:rPr>
          <w:iCs/>
          <w:i/>
        </w:rPr>
        <w:t xml:space="preserve">sarasvatī</w:t>
      </w:r>
      <w:r>
        <w:t xml:space="preserve">; and since the</w:t>
      </w:r>
      <w:r>
        <w:t xml:space="preserve"> </w:t>
      </w:r>
      <w:r>
        <w:rPr>
          <w:iCs/>
          <w:i/>
        </w:rPr>
        <w:t xml:space="preserve">t</w:t>
      </w:r>
      <w:r>
        <w:t xml:space="preserve"> </w:t>
      </w:r>
      <w:r>
        <w:t xml:space="preserve">of the word</w:t>
      </w:r>
      <w:r>
        <w:t xml:space="preserve"> </w:t>
      </w:r>
      <w:r>
        <w:rPr>
          <w:iCs/>
          <w:i/>
        </w:rPr>
        <w:t xml:space="preserve">mahatī</w:t>
      </w:r>
      <w:r>
        <w:t xml:space="preserve"> </w:t>
      </w:r>
      <w:r>
        <w:t xml:space="preserve">has dropped for the sake of the metre, she is</w:t>
      </w:r>
      <w:r>
        <w:t xml:space="preserve"> </w:t>
      </w:r>
      <w:r>
        <w:rPr>
          <w:iCs/>
          <w:i/>
        </w:rPr>
        <w:t xml:space="preserve">mahī</w:t>
      </w:r>
      <w:r>
        <w:t xml:space="preserve">, endowed with greatness (</w:t>
      </w:r>
      <w:r>
        <w:rPr>
          <w:iCs/>
          <w:i/>
        </w:rPr>
        <w:t xml:space="preserve">Bhāratī</w:t>
      </w:r>
      <w:r>
        <w:t xml:space="preserve">): this is the derivation of the parts of these words.</w:t>
      </w:r>
    </w:p>
    <w:bookmarkEnd w:id="600"/>
    <w:bookmarkStart w:id="601" w:name="X1decfb037cfa0730fe81aa872c617ab3bdb1d04"/>
    <w:p>
      <w:pPr>
        <w:pStyle w:val="Heading3"/>
      </w:pPr>
      <w:r>
        <w:t xml:space="preserve">Page 567 — Rik 9: Special Topics (end) and grammar</w:t>
      </w:r>
    </w:p>
    <w:p>
      <w:pPr>
        <w:pStyle w:val="FirstParagraph"/>
      </w:pPr>
      <w:r>
        <w:rPr>
          <w:bCs/>
          <w:b/>
        </w:rPr>
        <w:t xml:space="preserve">Devīḥ</w:t>
      </w:r>
      <w:r>
        <w:t xml:space="preserve">:</w:t>
      </w:r>
    </w:p>
    <w:p>
      <w:pPr>
        <w:pStyle w:val="BlockText"/>
      </w:pPr>
      <w:r>
        <w:t xml:space="preserve">देवानां पत्न्यो देव्यः । ताः । अथवा देवीः दीप्यमानाः ॥</w:t>
      </w:r>
    </w:p>
    <w:p>
      <w:pPr>
        <w:pStyle w:val="BlockText"/>
      </w:pPr>
      <w:r>
        <w:rPr>
          <w:iCs/>
          <w:i/>
        </w:rPr>
        <w:t xml:space="preserve">devānāṃ patnyo devyaḥ | tāḥ | athavā devīḥ dīpyamānāḥ ||</w:t>
      </w:r>
    </w:p>
    <w:p>
      <w:pPr>
        <w:pStyle w:val="FirstParagraph"/>
      </w:pPr>
      <w:r>
        <w:t xml:space="preserve">Since they are the wives of the gods, or since they shine, these deities are called</w:t>
      </w:r>
      <w:r>
        <w:t xml:space="preserve"> </w:t>
      </w:r>
      <w:r>
        <w:rPr>
          <w:iCs/>
          <w:i/>
        </w:rPr>
        <w:t xml:space="preserve">devīḥ</w:t>
      </w:r>
      <w:r>
        <w:t xml:space="preserve">.</w:t>
      </w:r>
    </w:p>
    <w:p>
      <w:pPr>
        <w:pStyle w:val="BodyText"/>
      </w:pPr>
      <w:r>
        <w:rPr>
          <w:bCs/>
          <w:b/>
        </w:rPr>
        <w:t xml:space="preserve">Mayobhuvaḥ</w:t>
      </w:r>
      <w:r>
        <w:t xml:space="preserve">:</w:t>
      </w:r>
    </w:p>
    <w:p>
      <w:pPr>
        <w:pStyle w:val="BlockText"/>
      </w:pPr>
      <w:r>
        <w:t xml:space="preserve">मीञ् हिंसायाम् । हिनस्ति दुःखमिति सुखं मयः । तद्भावयन्तीति मयोभुवः ।</w:t>
      </w:r>
    </w:p>
    <w:p>
      <w:pPr>
        <w:pStyle w:val="BlockText"/>
      </w:pPr>
      <w:r>
        <w:rPr>
          <w:iCs/>
          <w:i/>
        </w:rPr>
        <w:t xml:space="preserve">mīñ hiṃsāyām | hinasti duḥkhamiti sukhaṃ mayaḥ | tadbhāvayantīti mayobhuvaḥ |</w:t>
      </w:r>
    </w:p>
    <w:p>
      <w:pPr>
        <w:pStyle w:val="FirstParagraph"/>
      </w:pPr>
      <w:r>
        <w:t xml:space="preserve">The root</w:t>
      </w:r>
      <w:r>
        <w:t xml:space="preserve"> </w:t>
      </w:r>
      <w:r>
        <w:rPr>
          <w:iCs/>
          <w:i/>
        </w:rPr>
        <w:t xml:space="preserve">mīñ</w:t>
      </w:r>
      <w:r>
        <w:t xml:space="preserve"> </w:t>
      </w:r>
      <w:r>
        <w:t xml:space="preserve">means to harm; to make sorrow. What is free of sorrow is happiness. Since they make happiness, the form</w:t>
      </w:r>
      <w:r>
        <w:t xml:space="preserve"> </w:t>
      </w:r>
      <w:r>
        <w:rPr>
          <w:iCs/>
          <w:i/>
        </w:rPr>
        <w:t xml:space="preserve">mayobhuvaḥ</w:t>
      </w:r>
      <w:r>
        <w:t xml:space="preserve"> </w:t>
      </w:r>
      <w:r>
        <w:t xml:space="preserve">is derived.</w:t>
      </w:r>
    </w:p>
    <w:p>
      <w:pPr>
        <w:pStyle w:val="BodyText"/>
      </w:pPr>
      <w:r>
        <w:rPr>
          <w:bCs/>
          <w:b/>
        </w:rPr>
        <w:t xml:space="preserve">Asridhaḥ</w:t>
      </w:r>
      <w:r>
        <w:t xml:space="preserve">:</w:t>
      </w:r>
    </w:p>
    <w:p>
      <w:pPr>
        <w:pStyle w:val="BlockText"/>
      </w:pPr>
      <w:r>
        <w:t xml:space="preserve">स्रिधेर्हिंसार्थस्य शोषणार्थस्य वा भावे क्विप् । शोषेण क्षयेण वा रहिताः ॥</w:t>
      </w:r>
    </w:p>
    <w:p>
      <w:pPr>
        <w:pStyle w:val="BlockText"/>
      </w:pPr>
      <w:r>
        <w:rPr>
          <w:iCs/>
          <w:i/>
        </w:rPr>
        <w:t xml:space="preserve">sridherhiṃsārthasya śoṣaṇārthasya vā bhāve kvip | śoṣeṇa kṣayeṇa vā rahitāḥ ||</w:t>
      </w:r>
    </w:p>
    <w:p>
      <w:pPr>
        <w:pStyle w:val="FirstParagraph"/>
      </w:pPr>
      <w:r>
        <w:t xml:space="preserve">The root</w:t>
      </w:r>
      <w:r>
        <w:t xml:space="preserve"> </w:t>
      </w:r>
      <w:r>
        <w:rPr>
          <w:iCs/>
          <w:i/>
        </w:rPr>
        <w:t xml:space="preserve">sridh</w:t>
      </w:r>
      <w:r>
        <w:t xml:space="preserve"> </w:t>
      </w:r>
      <w:r>
        <w:t xml:space="preserve">means to harm, to dry up.</w:t>
      </w:r>
      <w:r>
        <w:t xml:space="preserve"> </w:t>
      </w:r>
      <w:r>
        <w:rPr>
          <w:iCs/>
          <w:i/>
        </w:rPr>
        <w:t xml:space="preserve">Asridhaḥ</w:t>
      </w:r>
      <w:r>
        <w:t xml:space="preserve"> </w:t>
      </w:r>
      <w:r>
        <w:t xml:space="preserve">means those who are not cruel, free of drying up, free of decay.</w:t>
      </w:r>
    </w:p>
    <w:p>
      <w:pPr>
        <w:pStyle w:val="BodyText"/>
      </w:pPr>
      <w:r>
        <w:rPr>
          <w:bCs/>
          <w:b/>
        </w:rPr>
        <w:t xml:space="preserve">॥ Vyākaraṇa-prakriyā ॥</w:t>
      </w:r>
      <w:r>
        <w:t xml:space="preserve"> </w:t>
      </w:r>
      <w:r>
        <w:rPr>
          <w:iCs/>
          <w:i/>
        </w:rPr>
        <w:t xml:space="preserve">(grammar pages 567–569, noted briefly)</w:t>
      </w:r>
    </w:p>
    <w:p>
      <w:pPr>
        <w:pStyle w:val="BodyText"/>
      </w:pPr>
      <w:r>
        <w:rPr>
          <w:bCs/>
          <w:b/>
        </w:rPr>
        <w:t xml:space="preserve">इळा (</w:t>
      </w:r>
      <w:r>
        <w:rPr>
          <w:iCs/>
          <w:i/>
          <w:bCs/>
          <w:b/>
        </w:rPr>
        <w:t xml:space="preserve">iḷā</w:t>
      </w:r>
      <w:r>
        <w:rPr>
          <w:bCs/>
          <w:b/>
        </w:rPr>
        <w:t xml:space="preserve">)</w:t>
      </w:r>
      <w:r>
        <w:t xml:space="preserve">: root</w:t>
      </w:r>
      <w:r>
        <w:t xml:space="preserve"> </w:t>
      </w:r>
      <w:r>
        <w:rPr>
          <w:iCs/>
          <w:i/>
        </w:rPr>
        <w:t xml:space="preserve">īḍa stutau</w:t>
      </w:r>
      <w:r>
        <w:t xml:space="preserve">, the</w:t>
      </w:r>
      <w:r>
        <w:t xml:space="preserve"> </w:t>
      </w:r>
      <w:r>
        <w:rPr>
          <w:iCs/>
          <w:i/>
        </w:rPr>
        <w:t xml:space="preserve">ī</w:t>
      </w:r>
      <w:r>
        <w:t xml:space="preserve"> </w:t>
      </w:r>
      <w:r>
        <w:t xml:space="preserve">shortened in the Veda;</w:t>
      </w:r>
      <w:r>
        <w:t xml:space="preserve"> </w:t>
      </w:r>
      <w:r>
        <w:rPr>
          <w:iCs/>
          <w:i/>
        </w:rPr>
        <w:t xml:space="preserve">kvip</w:t>
      </w:r>
      <w:r>
        <w:t xml:space="preserve"> </w:t>
      </w:r>
      <w:r>
        <w:t xml:space="preserve">by</w:t>
      </w:r>
      <w:r>
        <w:t xml:space="preserve"> </w:t>
      </w:r>
      <w:r>
        <w:t xml:space="preserve">“</w:t>
      </w:r>
      <w:r>
        <w:t xml:space="preserve">kvip ca</w:t>
      </w:r>
      <w:r>
        <w:t xml:space="preserve">”</w:t>
      </w:r>
      <w:r>
        <w:t xml:space="preserve"> </w:t>
      </w:r>
      <w:r>
        <w:t xml:space="preserve">(Pā. sū. 3-2-76), dropped; final udātta by</w:t>
      </w:r>
      <w:r>
        <w:t xml:space="preserve"> </w:t>
      </w:r>
      <w:r>
        <w:t xml:space="preserve">“</w:t>
      </w:r>
      <w:r>
        <w:t xml:space="preserve">dhātoḥ</w:t>
      </w:r>
      <w:r>
        <w:t xml:space="preserve">”</w:t>
      </w:r>
      <w:r>
        <w:t xml:space="preserve"> </w:t>
      </w:r>
      <w:r>
        <w:t xml:space="preserve">(Pā. sū. 6-1-162);</w:t>
      </w:r>
      <w:r>
        <w:t xml:space="preserve"> </w:t>
      </w:r>
      <w:r>
        <w:rPr>
          <w:iCs/>
          <w:i/>
        </w:rPr>
        <w:t xml:space="preserve">ḍ</w:t>
      </w:r>
      <w:r>
        <w:t xml:space="preserve"> </w:t>
      </w:r>
      <w:r>
        <w:t xml:space="preserve">→</w:t>
      </w:r>
      <w:r>
        <w:t xml:space="preserve"> </w:t>
      </w:r>
      <w:r>
        <w:rPr>
          <w:iCs/>
          <w:i/>
        </w:rPr>
        <w:t xml:space="preserve">ḷ</w:t>
      </w:r>
      <w:r>
        <w:t xml:space="preserve"> </w:t>
      </w:r>
      <w:r>
        <w:t xml:space="preserve">by</w:t>
      </w:r>
      <w:r>
        <w:t xml:space="preserve"> </w:t>
      </w:r>
      <w:r>
        <w:t xml:space="preserve">“</w:t>
      </w:r>
      <w:r>
        <w:t xml:space="preserve">dvayoś cāsya svarayoḥ</w:t>
      </w:r>
      <w:r>
        <w:t xml:space="preserve">”</w:t>
      </w:r>
      <w:r>
        <w:t xml:space="preserve"> </w:t>
      </w:r>
      <w:r>
        <w:t xml:space="preserve">(Prātiśākhya); the verse</w:t>
      </w:r>
      <w:r>
        <w:t xml:space="preserve"> </w:t>
      </w:r>
      <w:r>
        <w:t xml:space="preserve">“</w:t>
      </w:r>
      <w:r>
        <w:t xml:space="preserve">vaṣṭi bhāgurir allopam avāpyor upasargayoḥ | āpaṃ caiva halantānāṃ yathā vācā niśā diśā</w:t>
      </w:r>
      <w:r>
        <w:t xml:space="preserve">”</w:t>
      </w:r>
      <w:r>
        <w:t xml:space="preserve"> </w:t>
      </w:r>
      <w:r>
        <w:t xml:space="preserve">(Kau.</w:t>
      </w:r>
      <w:r>
        <w:t xml:space="preserve"> </w:t>
      </w:r>
      <w:r>
        <w:t xml:space="preserve">“</w:t>
      </w:r>
      <w:r>
        <w:t xml:space="preserve">2-4-82</w:t>
      </w:r>
      <w:r>
        <w:t xml:space="preserve">”</w:t>
      </w:r>
      <w:r>
        <w:t xml:space="preserve"> </w:t>
      </w:r>
      <w:r>
        <w:t xml:space="preserve">[?]): Bhāguri drops the</w:t>
      </w:r>
      <w:r>
        <w:t xml:space="preserve"> </w:t>
      </w:r>
      <w:r>
        <w:rPr>
          <w:iCs/>
          <w:i/>
        </w:rPr>
        <w:t xml:space="preserve">a</w:t>
      </w:r>
      <w:r>
        <w:t xml:space="preserve"> </w:t>
      </w:r>
      <w:r>
        <w:t xml:space="preserve">of</w:t>
      </w:r>
      <w:r>
        <w:t xml:space="preserve"> </w:t>
      </w:r>
      <w:r>
        <w:rPr>
          <w:iCs/>
          <w:i/>
        </w:rPr>
        <w:t xml:space="preserve">ava</w:t>
      </w:r>
      <w:r>
        <w:t xml:space="preserve"> </w:t>
      </w:r>
      <w:r>
        <w:t xml:space="preserve">and</w:t>
      </w:r>
      <w:r>
        <w:t xml:space="preserve"> </w:t>
      </w:r>
      <w:r>
        <w:rPr>
          <w:iCs/>
          <w:i/>
        </w:rPr>
        <w:t xml:space="preserve">api</w:t>
      </w:r>
      <w:r>
        <w:t xml:space="preserve"> </w:t>
      </w:r>
      <w:r>
        <w:t xml:space="preserve">(</w:t>
      </w:r>
      <w:r>
        <w:rPr>
          <w:iCs/>
          <w:i/>
        </w:rPr>
        <w:t xml:space="preserve">vagāhaḥ</w:t>
      </w:r>
      <w:r>
        <w:t xml:space="preserve">,</w:t>
      </w:r>
      <w:r>
        <w:t xml:space="preserve"> </w:t>
      </w:r>
      <w:r>
        <w:rPr>
          <w:iCs/>
          <w:i/>
        </w:rPr>
        <w:t xml:space="preserve">pidhānam</w:t>
      </w:r>
      <w:r>
        <w:t xml:space="preserve">) and adds</w:t>
      </w:r>
      <w:r>
        <w:t xml:space="preserve"> </w:t>
      </w:r>
      <w:r>
        <w:rPr>
          <w:iCs/>
          <w:i/>
        </w:rPr>
        <w:t xml:space="preserve">āp</w:t>
      </w:r>
      <w:r>
        <w:t xml:space="preserve"> </w:t>
      </w:r>
      <w:r>
        <w:t xml:space="preserve">after consonant stems, so</w:t>
      </w:r>
      <w:r>
        <w:t xml:space="preserve"> </w:t>
      </w:r>
      <w:r>
        <w:rPr>
          <w:iCs/>
          <w:i/>
        </w:rPr>
        <w:t xml:space="preserve">iḷ</w:t>
      </w:r>
      <w:r>
        <w:t xml:space="preserve"> </w:t>
      </w:r>
      <w:r>
        <w:t xml:space="preserve">+</w:t>
      </w:r>
      <w:r>
        <w:t xml:space="preserve"> </w:t>
      </w:r>
      <w:r>
        <w:rPr>
          <w:iCs/>
          <w:i/>
        </w:rPr>
        <w:t xml:space="preserve">ṭāp</w:t>
      </w:r>
      <w:r>
        <w:t xml:space="preserve"> </w:t>
      </w:r>
      <w:r>
        <w:t xml:space="preserve">gives</w:t>
      </w:r>
      <w:r>
        <w:t xml:space="preserve"> </w:t>
      </w:r>
      <w:r>
        <w:rPr>
          <w:iCs/>
          <w:i/>
        </w:rPr>
        <w:t xml:space="preserve">iḷā</w:t>
      </w:r>
      <w:r>
        <w:t xml:space="preserve">.</w:t>
      </w:r>
      <w:r>
        <w:t xml:space="preserve"> </w:t>
      </w:r>
      <w:r>
        <w:rPr>
          <w:bCs/>
          <w:b/>
        </w:rPr>
        <w:t xml:space="preserve">सरस्वती (</w:t>
      </w:r>
      <w:r>
        <w:rPr>
          <w:iCs/>
          <w:i/>
          <w:bCs/>
          <w:b/>
        </w:rPr>
        <w:t xml:space="preserve">sarasvatī</w:t>
      </w:r>
      <w:r>
        <w:rPr>
          <w:bCs/>
          <w:b/>
        </w:rPr>
        <w:t xml:space="preserve">)</w:t>
      </w:r>
      <w:r>
        <w:t xml:space="preserve">:</w:t>
      </w:r>
      <w:r>
        <w:t xml:space="preserve"> </w:t>
      </w:r>
      <w:r>
        <w:rPr>
          <w:iCs/>
          <w:i/>
        </w:rPr>
        <w:t xml:space="preserve">sṛ</w:t>
      </w:r>
      <w:r>
        <w:t xml:space="preserve"> </w:t>
      </w:r>
      <w:r>
        <w:t xml:space="preserve">+</w:t>
      </w:r>
      <w:r>
        <w:t xml:space="preserve"> </w:t>
      </w:r>
      <w:r>
        <w:rPr>
          <w:iCs/>
          <w:i/>
        </w:rPr>
        <w:t xml:space="preserve">asun</w:t>
      </w:r>
      <w:r>
        <w:t xml:space="preserve"> </w:t>
      </w:r>
      <w:r>
        <w:t xml:space="preserve">by</w:t>
      </w:r>
      <w:r>
        <w:t xml:space="preserve"> </w:t>
      </w:r>
      <w:r>
        <w:t xml:space="preserve">“</w:t>
      </w:r>
      <w:r>
        <w:t xml:space="preserve">sarvadhātubhyo ’sun</w:t>
      </w:r>
      <w:r>
        <w:t xml:space="preserve">”</w:t>
      </w:r>
      <w:r>
        <w:t xml:space="preserve"> </w:t>
      </w:r>
      <w:r>
        <w:t xml:space="preserve">(Uṇ. sū.</w:t>
      </w:r>
      <w:r>
        <w:t xml:space="preserve"> </w:t>
      </w:r>
      <w:r>
        <w:t xml:space="preserve">“</w:t>
      </w:r>
      <w:r>
        <w:t xml:space="preserve">4-628</w:t>
      </w:r>
      <w:r>
        <w:t xml:space="preserve">”</w:t>
      </w:r>
      <w:r>
        <w:t xml:space="preserve"> </w:t>
      </w:r>
      <w:r>
        <w:t xml:space="preserve">[?]),</w:t>
      </w:r>
      <w:r>
        <w:t xml:space="preserve"> </w:t>
      </w:r>
      <w:r>
        <w:rPr>
          <w:iCs/>
          <w:i/>
        </w:rPr>
        <w:t xml:space="preserve">guṇa</w:t>
      </w:r>
      <w:r>
        <w:t xml:space="preserve">,</w:t>
      </w:r>
      <w:r>
        <w:t xml:space="preserve"> </w:t>
      </w:r>
      <w:r>
        <w:rPr>
          <w:iCs/>
          <w:i/>
        </w:rPr>
        <w:t xml:space="preserve">raparatva</w:t>
      </w:r>
      <w:r>
        <w:t xml:space="preserve">:</w:t>
      </w:r>
      <w:r>
        <w:t xml:space="preserve"> </w:t>
      </w:r>
      <w:r>
        <w:rPr>
          <w:iCs/>
          <w:i/>
        </w:rPr>
        <w:t xml:space="preserve">saras</w:t>
      </w:r>
      <w:r>
        <w:t xml:space="preserve">, initial udātta (</w:t>
      </w:r>
      <w:r>
        <w:rPr>
          <w:iCs/>
          <w:i/>
        </w:rPr>
        <w:t xml:space="preserve">nit</w:t>
      </w:r>
      <w:r>
        <w:t xml:space="preserve">);</w:t>
      </w:r>
      <w:r>
        <w:t xml:space="preserve"> </w:t>
      </w:r>
      <w:r>
        <w:rPr>
          <w:iCs/>
          <w:i/>
        </w:rPr>
        <w:t xml:space="preserve">matup</w:t>
      </w:r>
      <w:r>
        <w:t xml:space="preserve"> </w:t>
      </w:r>
      <w:r>
        <w:t xml:space="preserve">by</w:t>
      </w:r>
      <w:r>
        <w:t xml:space="preserve"> </w:t>
      </w:r>
      <w:r>
        <w:t xml:space="preserve">“</w:t>
      </w:r>
      <w:r>
        <w:t xml:space="preserve">tad asyāsty asminn iti matup</w:t>
      </w:r>
      <w:r>
        <w:t xml:space="preserve">”</w:t>
      </w:r>
      <w:r>
        <w:t xml:space="preserve"> </w:t>
      </w:r>
      <w:r>
        <w:t xml:space="preserve">(Pā. sū. 5-2-94);</w:t>
      </w:r>
      <w:r>
        <w:t xml:space="preserve"> </w:t>
      </w:r>
      <w:r>
        <w:rPr>
          <w:iCs/>
          <w:i/>
        </w:rPr>
        <w:t xml:space="preserve">m</w:t>
      </w:r>
      <w:r>
        <w:t xml:space="preserve"> </w:t>
      </w:r>
      <w:r>
        <w:t xml:space="preserve">→</w:t>
      </w:r>
      <w:r>
        <w:t xml:space="preserve"> </w:t>
      </w:r>
      <w:r>
        <w:rPr>
          <w:iCs/>
          <w:i/>
        </w:rPr>
        <w:t xml:space="preserve">v</w:t>
      </w:r>
      <w:r>
        <w:t xml:space="preserve"> </w:t>
      </w:r>
      <w:r>
        <w:t xml:space="preserve">by</w:t>
      </w:r>
      <w:r>
        <w:t xml:space="preserve"> </w:t>
      </w:r>
      <w:r>
        <w:t xml:space="preserve">“</w:t>
      </w:r>
      <w:r>
        <w:t xml:space="preserve">mādupadhāyāś ca</w:t>
      </w:r>
      <w:r>
        <w:t xml:space="preserve">”</w:t>
      </w:r>
      <w:r>
        <w:t xml:space="preserve"> </w:t>
      </w:r>
      <w:r>
        <w:t xml:space="preserve">(Pā. sū. 8-2-9);</w:t>
      </w:r>
      <w:r>
        <w:t xml:space="preserve"> </w:t>
      </w:r>
      <w:r>
        <w:rPr>
          <w:iCs/>
          <w:i/>
        </w:rPr>
        <w:t xml:space="preserve">bha</w:t>
      </w:r>
      <w:r>
        <w:t xml:space="preserve"> </w:t>
      </w:r>
      <w:r>
        <w:t xml:space="preserve">by</w:t>
      </w:r>
      <w:r>
        <w:t xml:space="preserve"> </w:t>
      </w:r>
      <w:r>
        <w:t xml:space="preserve">“</w:t>
      </w:r>
      <w:r>
        <w:t xml:space="preserve">tasau matvarthe</w:t>
      </w:r>
      <w:r>
        <w:t xml:space="preserve">”</w:t>
      </w:r>
      <w:r>
        <w:t xml:space="preserve"> </w:t>
      </w:r>
      <w:r>
        <w:t xml:space="preserve">(Pā. sū. 1-4-19), so</w:t>
      </w:r>
      <w:r>
        <w:t xml:space="preserve"> </w:t>
      </w:r>
      <w:r>
        <w:t xml:space="preserve">“</w:t>
      </w:r>
      <w:r>
        <w:t xml:space="preserve">sasajuṣo ruḥ</w:t>
      </w:r>
      <w:r>
        <w:t xml:space="preserve">”</w:t>
      </w:r>
      <w:r>
        <w:t xml:space="preserve"> </w:t>
      </w:r>
      <w:r>
        <w:t xml:space="preserve">(Pā. sū. 8-2-66) does not apply;</w:t>
      </w:r>
      <w:r>
        <w:t xml:space="preserve"> </w:t>
      </w:r>
      <w:r>
        <w:rPr>
          <w:iCs/>
          <w:i/>
        </w:rPr>
        <w:t xml:space="preserve">ṅīp</w:t>
      </w:r>
      <w:r>
        <w:t xml:space="preserve"> </w:t>
      </w:r>
      <w:r>
        <w:t xml:space="preserve">by</w:t>
      </w:r>
      <w:r>
        <w:t xml:space="preserve"> </w:t>
      </w:r>
      <w:r>
        <w:t xml:space="preserve">“</w:t>
      </w:r>
      <w:r>
        <w:t xml:space="preserve">ugitaś ca</w:t>
      </w:r>
      <w:r>
        <w:t xml:space="preserve">”</w:t>
      </w:r>
      <w:r>
        <w:t xml:space="preserve"> </w:t>
      </w:r>
      <w:r>
        <w:t xml:space="preserve">(Pā. sū.</w:t>
      </w:r>
      <w:r>
        <w:t xml:space="preserve"> </w:t>
      </w:r>
      <w:r>
        <w:t xml:space="preserve">“</w:t>
      </w:r>
      <w:r>
        <w:t xml:space="preserve">6-3-45</w:t>
      </w:r>
      <w:r>
        <w:t xml:space="preserve">”</w:t>
      </w:r>
      <w:r>
        <w:t xml:space="preserve"> </w:t>
      </w:r>
      <w:r>
        <w:t xml:space="preserve">[?]);</w:t>
      </w:r>
      <w:r>
        <w:t xml:space="preserve"> </w:t>
      </w:r>
      <w:r>
        <w:rPr>
          <w:iCs/>
          <w:i/>
        </w:rPr>
        <w:t xml:space="preserve">matup</w:t>
      </w:r>
      <w:r>
        <w:t xml:space="preserve"> </w:t>
      </w:r>
      <w:r>
        <w:t xml:space="preserve">and</w:t>
      </w:r>
      <w:r>
        <w:t xml:space="preserve"> </w:t>
      </w:r>
      <w:r>
        <w:rPr>
          <w:iCs/>
          <w:i/>
        </w:rPr>
        <w:t xml:space="preserve">ṅīp</w:t>
      </w:r>
      <w:r>
        <w:t xml:space="preserve"> </w:t>
      </w:r>
      <w:r>
        <w:t xml:space="preserve">both unaccented.</w:t>
      </w:r>
    </w:p>
    <w:bookmarkEnd w:id="601"/>
    <w:bookmarkStart w:id="602" w:name="page-568-rik-9-grammar-continued"/>
    <w:p>
      <w:pPr>
        <w:pStyle w:val="Heading3"/>
      </w:pPr>
      <w:r>
        <w:t xml:space="preserve">Page 568 — Rik 9: grammar (continued)</w:t>
      </w:r>
    </w:p>
    <w:p>
      <w:pPr>
        <w:pStyle w:val="FirstParagraph"/>
      </w:pPr>
      <w:r>
        <w:rPr>
          <w:bCs/>
          <w:b/>
        </w:rPr>
        <w:t xml:space="preserve">मही (</w:t>
      </w:r>
      <w:r>
        <w:rPr>
          <w:iCs/>
          <w:i/>
          <w:bCs/>
          <w:b/>
        </w:rPr>
        <w:t xml:space="preserve">mahī</w:t>
      </w:r>
      <w:r>
        <w:rPr>
          <w:bCs/>
          <w:b/>
        </w:rPr>
        <w:t xml:space="preserve">)</w:t>
      </w:r>
      <w:r>
        <w:t xml:space="preserve">: the</w:t>
      </w:r>
      <w:r>
        <w:t xml:space="preserve"> </w:t>
      </w:r>
      <w:r>
        <w:rPr>
          <w:iCs/>
          <w:i/>
        </w:rPr>
        <w:t xml:space="preserve">t</w:t>
      </w:r>
      <w:r>
        <w:t xml:space="preserve"> </w:t>
      </w:r>
      <w:r>
        <w:t xml:space="preserve">of</w:t>
      </w:r>
      <w:r>
        <w:t xml:space="preserve"> </w:t>
      </w:r>
      <w:r>
        <w:rPr>
          <w:iCs/>
          <w:i/>
        </w:rPr>
        <w:t xml:space="preserve">mahatī</w:t>
      </w:r>
      <w:r>
        <w:t xml:space="preserve"> </w:t>
      </w:r>
      <w:r>
        <w:t xml:space="preserve">dropped in the Veda, the</w:t>
      </w:r>
      <w:r>
        <w:t xml:space="preserve"> </w:t>
      </w:r>
      <w:r>
        <w:rPr>
          <w:iCs/>
          <w:i/>
        </w:rPr>
        <w:t xml:space="preserve">a</w:t>
      </w:r>
      <w:r>
        <w:t xml:space="preserve"> </w:t>
      </w:r>
      <w:r>
        <w:t xml:space="preserve">after</w:t>
      </w:r>
      <w:r>
        <w:t xml:space="preserve"> </w:t>
      </w:r>
      <w:r>
        <w:rPr>
          <w:iCs/>
          <w:i/>
        </w:rPr>
        <w:t xml:space="preserve">h</w:t>
      </w:r>
      <w:r>
        <w:t xml:space="preserve"> </w:t>
      </w:r>
      <w:r>
        <w:t xml:space="preserve">dropped by</w:t>
      </w:r>
      <w:r>
        <w:t xml:space="preserve"> </w:t>
      </w:r>
      <w:r>
        <w:t xml:space="preserve">“</w:t>
      </w:r>
      <w:r>
        <w:t xml:space="preserve">yasyeti ca</w:t>
      </w:r>
      <w:r>
        <w:t xml:space="preserve">”</w:t>
      </w:r>
      <w:r>
        <w:t xml:space="preserve"> </w:t>
      </w:r>
      <w:r>
        <w:t xml:space="preserve">(Pā. sū. 6-4-148); the</w:t>
      </w:r>
      <w:r>
        <w:t xml:space="preserve"> </w:t>
      </w:r>
      <w:r>
        <w:rPr>
          <w:iCs/>
          <w:i/>
        </w:rPr>
        <w:t xml:space="preserve">ī</w:t>
      </w:r>
      <w:r>
        <w:t xml:space="preserve"> </w:t>
      </w:r>
      <w:r>
        <w:t xml:space="preserve">udātta by</w:t>
      </w:r>
      <w:r>
        <w:t xml:space="preserve"> </w:t>
      </w:r>
      <w:r>
        <w:t xml:space="preserve">“</w:t>
      </w:r>
      <w:r>
        <w:t xml:space="preserve">anudāttasya ca yatrodāttalopaḥ</w:t>
      </w:r>
      <w:r>
        <w:t xml:space="preserve">”</w:t>
      </w:r>
      <w:r>
        <w:t xml:space="preserve"> </w:t>
      </w:r>
      <w:r>
        <w:t xml:space="preserve">(Pā. sū. 6-1-161).</w:t>
      </w:r>
      <w:r>
        <w:t xml:space="preserve"> </w:t>
      </w:r>
      <w:r>
        <w:rPr>
          <w:bCs/>
          <w:b/>
        </w:rPr>
        <w:t xml:space="preserve">तिस्रः (</w:t>
      </w:r>
      <w:r>
        <w:rPr>
          <w:iCs/>
          <w:i/>
          <w:bCs/>
          <w:b/>
        </w:rPr>
        <w:t xml:space="preserve">tisraḥ</w:t>
      </w:r>
      <w:r>
        <w:rPr>
          <w:bCs/>
          <w:b/>
        </w:rPr>
        <w:t xml:space="preserve">)</w:t>
      </w:r>
      <w:r>
        <w:t xml:space="preserve">:</w:t>
      </w:r>
      <w:r>
        <w:t xml:space="preserve"> </w:t>
      </w:r>
      <w:r>
        <w:rPr>
          <w:iCs/>
          <w:i/>
        </w:rPr>
        <w:t xml:space="preserve">tri</w:t>
      </w:r>
      <w:r>
        <w:t xml:space="preserve"> </w:t>
      </w:r>
      <w:r>
        <w:t xml:space="preserve">+</w:t>
      </w:r>
      <w:r>
        <w:t xml:space="preserve"> </w:t>
      </w:r>
      <w:r>
        <w:rPr>
          <w:iCs/>
          <w:i/>
        </w:rPr>
        <w:t xml:space="preserve">jas</w:t>
      </w:r>
      <w:r>
        <w:t xml:space="preserve">;</w:t>
      </w:r>
      <w:r>
        <w:t xml:space="preserve"> </w:t>
      </w:r>
      <w:r>
        <w:rPr>
          <w:iCs/>
          <w:i/>
        </w:rPr>
        <w:t xml:space="preserve">tisṛ</w:t>
      </w:r>
      <w:r>
        <w:t xml:space="preserve"> </w:t>
      </w:r>
      <w:r>
        <w:t xml:space="preserve">by</w:t>
      </w:r>
      <w:r>
        <w:t xml:space="preserve"> </w:t>
      </w:r>
      <w:r>
        <w:t xml:space="preserve">“</w:t>
      </w:r>
      <w:r>
        <w:t xml:space="preserve">tricaturoḥ striyāṃ tisṛcatasṛ</w:t>
      </w:r>
      <w:r>
        <w:t xml:space="preserve">”</w:t>
      </w:r>
      <w:r>
        <w:t xml:space="preserve"> </w:t>
      </w:r>
      <w:r>
        <w:t xml:space="preserve">(Pā. sū. 7-2-99); the</w:t>
      </w:r>
      <w:r>
        <w:t xml:space="preserve"> </w:t>
      </w:r>
      <w:r>
        <w:rPr>
          <w:iCs/>
          <w:i/>
        </w:rPr>
        <w:t xml:space="preserve">guṇa</w:t>
      </w:r>
      <w:r>
        <w:t xml:space="preserve"> </w:t>
      </w:r>
      <w:r>
        <w:t xml:space="preserve">of</w:t>
      </w:r>
      <w:r>
        <w:t xml:space="preserve"> </w:t>
      </w:r>
      <w:r>
        <w:t xml:space="preserve">“</w:t>
      </w:r>
      <w:r>
        <w:t xml:space="preserve">ṛto ṅisarvanāmasthānayoḥ</w:t>
      </w:r>
      <w:r>
        <w:t xml:space="preserve">”</w:t>
      </w:r>
      <w:r>
        <w:t xml:space="preserve"> </w:t>
      </w:r>
      <w:r>
        <w:t xml:space="preserve">(Pā. sū. 6-3-110 [as printed]) is set aside by</w:t>
      </w:r>
      <w:r>
        <w:t xml:space="preserve"> </w:t>
      </w:r>
      <w:r>
        <w:t xml:space="preserve">“</w:t>
      </w:r>
      <w:r>
        <w:t xml:space="preserve">aci ra ṛtaḥ</w:t>
      </w:r>
      <w:r>
        <w:t xml:space="preserve">”</w:t>
      </w:r>
      <w:r>
        <w:t xml:space="preserve"> </w:t>
      </w:r>
      <w:r>
        <w:t xml:space="preserve">(Pā. sū. 7-2-100), giving</w:t>
      </w:r>
      <w:r>
        <w:t xml:space="preserve"> </w:t>
      </w:r>
      <w:r>
        <w:rPr>
          <w:iCs/>
          <w:i/>
        </w:rPr>
        <w:t xml:space="preserve">r</w:t>
      </w:r>
      <w:r>
        <w:t xml:space="preserve">;</w:t>
      </w:r>
      <w:r>
        <w:t xml:space="preserve"> </w:t>
      </w:r>
      <w:r>
        <w:rPr>
          <w:iCs/>
          <w:i/>
        </w:rPr>
        <w:t xml:space="preserve">ru</w:t>
      </w:r>
      <w:r>
        <w:t xml:space="preserve">, visarga;</w:t>
      </w:r>
      <w:r>
        <w:t xml:space="preserve"> </w:t>
      </w:r>
      <w:r>
        <w:rPr>
          <w:iCs/>
          <w:i/>
        </w:rPr>
        <w:t xml:space="preserve">jas</w:t>
      </w:r>
      <w:r>
        <w:t xml:space="preserve"> </w:t>
      </w:r>
      <w:r>
        <w:t xml:space="preserve">unaccented by</w:t>
      </w:r>
      <w:r>
        <w:t xml:space="preserve"> </w:t>
      </w:r>
      <w:r>
        <w:t xml:space="preserve">“</w:t>
      </w:r>
      <w:r>
        <w:t xml:space="preserve">anudāttau suppitau</w:t>
      </w:r>
      <w:r>
        <w:t xml:space="preserve">”</w:t>
      </w:r>
      <w:r>
        <w:t xml:space="preserve">,</w:t>
      </w:r>
      <w:r>
        <w:t xml:space="preserve"> </w:t>
      </w:r>
      <w:r>
        <w:rPr>
          <w:iCs/>
          <w:i/>
        </w:rPr>
        <w:t xml:space="preserve">tisṛ</w:t>
      </w:r>
      <w:r>
        <w:t xml:space="preserve"> </w:t>
      </w:r>
      <w:r>
        <w:t xml:space="preserve">final udātta like</w:t>
      </w:r>
      <w:r>
        <w:t xml:space="preserve"> </w:t>
      </w:r>
      <w:r>
        <w:rPr>
          <w:iCs/>
          <w:i/>
        </w:rPr>
        <w:t xml:space="preserve">tri</w:t>
      </w:r>
      <w:r>
        <w:t xml:space="preserve"> </w:t>
      </w:r>
      <w:r>
        <w:t xml:space="preserve">(</w:t>
      </w:r>
      <w:r>
        <w:rPr>
          <w:iCs/>
          <w:i/>
        </w:rPr>
        <w:t xml:space="preserve">sthānivadbhāva</w:t>
      </w:r>
      <w:r>
        <w:t xml:space="preserve">); the svarita of</w:t>
      </w:r>
      <w:r>
        <w:t xml:space="preserve"> </w:t>
      </w:r>
      <w:r>
        <w:t xml:space="preserve">“</w:t>
      </w:r>
      <w:r>
        <w:t xml:space="preserve">udāttasvaritayor yaṇaḥ svarito ’nudāttasya</w:t>
      </w:r>
      <w:r>
        <w:t xml:space="preserve">”</w:t>
      </w:r>
      <w:r>
        <w:t xml:space="preserve"> </w:t>
      </w:r>
      <w:r>
        <w:t xml:space="preserve">is overridden by</w:t>
      </w:r>
      <w:r>
        <w:t xml:space="preserve"> </w:t>
      </w:r>
      <w:r>
        <w:t xml:space="preserve">“</w:t>
      </w:r>
      <w:r>
        <w:t xml:space="preserve">tisṛbhyo jasaḥ</w:t>
      </w:r>
      <w:r>
        <w:t xml:space="preserve">”</w:t>
      </w:r>
      <w:r>
        <w:t xml:space="preserve"> </w:t>
      </w:r>
      <w:r>
        <w:t xml:space="preserve">(Pā. sū.</w:t>
      </w:r>
      <w:r>
        <w:t xml:space="preserve"> </w:t>
      </w:r>
      <w:r>
        <w:t xml:space="preserve">“</w:t>
      </w:r>
      <w:r>
        <w:t xml:space="preserve">7-1-166</w:t>
      </w:r>
      <w:r>
        <w:t xml:space="preserve">”</w:t>
      </w:r>
      <w:r>
        <w:t xml:space="preserve"> </w:t>
      </w:r>
      <w:r>
        <w:t xml:space="preserve">[?]), making</w:t>
      </w:r>
      <w:r>
        <w:t xml:space="preserve"> </w:t>
      </w:r>
      <w:r>
        <w:rPr>
          <w:iCs/>
          <w:i/>
        </w:rPr>
        <w:t xml:space="preserve">jas</w:t>
      </w:r>
      <w:r>
        <w:t xml:space="preserve"> </w:t>
      </w:r>
      <w:r>
        <w:t xml:space="preserve">udātta.</w:t>
      </w:r>
      <w:r>
        <w:t xml:space="preserve"> </w:t>
      </w:r>
      <w:r>
        <w:rPr>
          <w:bCs/>
          <w:b/>
        </w:rPr>
        <w:t xml:space="preserve">देवीः (</w:t>
      </w:r>
      <w:r>
        <w:rPr>
          <w:iCs/>
          <w:i/>
          <w:bCs/>
          <w:b/>
        </w:rPr>
        <w:t xml:space="preserve">devīḥ</w:t>
      </w:r>
      <w:r>
        <w:rPr>
          <w:bCs/>
          <w:b/>
        </w:rPr>
        <w:t xml:space="preserve">)</w:t>
      </w:r>
      <w:r>
        <w:t xml:space="preserve">:</w:t>
      </w:r>
      <w:r>
        <w:t xml:space="preserve"> </w:t>
      </w:r>
      <w:r>
        <w:rPr>
          <w:iCs/>
          <w:i/>
        </w:rPr>
        <w:t xml:space="preserve">deva</w:t>
      </w:r>
      <w:r>
        <w:t xml:space="preserve"> </w:t>
      </w:r>
      <w:r>
        <w:t xml:space="preserve">(</w:t>
      </w:r>
      <w:r>
        <w:rPr>
          <w:iCs/>
          <w:i/>
        </w:rPr>
        <w:t xml:space="preserve">ac</w:t>
      </w:r>
      <w:r>
        <w:t xml:space="preserve">-ending);</w:t>
      </w:r>
      <w:r>
        <w:t xml:space="preserve"> </w:t>
      </w:r>
      <w:r>
        <w:rPr>
          <w:iCs/>
          <w:i/>
        </w:rPr>
        <w:t xml:space="preserve">ṅīṣ</w:t>
      </w:r>
      <w:r>
        <w:t xml:space="preserve"> </w:t>
      </w:r>
      <w:r>
        <w:t xml:space="preserve">by</w:t>
      </w:r>
      <w:r>
        <w:t xml:space="preserve"> </w:t>
      </w:r>
      <w:r>
        <w:t xml:space="preserve">“</w:t>
      </w:r>
      <w:r>
        <w:t xml:space="preserve">puṃyogād ākhyāyām</w:t>
      </w:r>
      <w:r>
        <w:t xml:space="preserve">”</w:t>
      </w:r>
      <w:r>
        <w:t xml:space="preserve"> </w:t>
      </w:r>
      <w:r>
        <w:t xml:space="preserve">(Pā. sū. 4-1-48);</w:t>
      </w:r>
      <w:r>
        <w:t xml:space="preserve"> </w:t>
      </w:r>
      <w:r>
        <w:rPr>
          <w:iCs/>
          <w:i/>
        </w:rPr>
        <w:t xml:space="preserve">a</w:t>
      </w:r>
      <w:r>
        <w:t xml:space="preserve"> </w:t>
      </w:r>
      <w:r>
        <w:t xml:space="preserve">dropped by</w:t>
      </w:r>
      <w:r>
        <w:t xml:space="preserve"> </w:t>
      </w:r>
      <w:r>
        <w:t xml:space="preserve">“</w:t>
      </w:r>
      <w:r>
        <w:t xml:space="preserve">yasyeti ca</w:t>
      </w:r>
      <w:r>
        <w:t xml:space="preserve">”</w:t>
      </w:r>
      <w:r>
        <w:t xml:space="preserve"> </w:t>
      </w:r>
      <w:r>
        <w:t xml:space="preserve">(6-4-148);</w:t>
      </w:r>
      <w:r>
        <w:t xml:space="preserve"> </w:t>
      </w:r>
      <w:r>
        <w:rPr>
          <w:iCs/>
          <w:i/>
        </w:rPr>
        <w:t xml:space="preserve">ṅīṣ</w:t>
      </w:r>
      <w:r>
        <w:t xml:space="preserve"> </w:t>
      </w:r>
      <w:r>
        <w:t xml:space="preserve">udātta; the</w:t>
      </w:r>
      <w:r>
        <w:t xml:space="preserve"> </w:t>
      </w:r>
      <w:r>
        <w:rPr>
          <w:iCs/>
          <w:i/>
        </w:rPr>
        <w:t xml:space="preserve">pūrvasavarṇa</w:t>
      </w:r>
      <w:r>
        <w:t xml:space="preserve"> </w:t>
      </w:r>
      <w:r>
        <w:t xml:space="preserve">lengthening of</w:t>
      </w:r>
      <w:r>
        <w:t xml:space="preserve"> </w:t>
      </w:r>
      <w:r>
        <w:t xml:space="preserve">“</w:t>
      </w:r>
      <w:r>
        <w:t xml:space="preserve">prathamayoḥ pūrvasavarṇaḥ</w:t>
      </w:r>
      <w:r>
        <w:t xml:space="preserve">”</w:t>
      </w:r>
      <w:r>
        <w:t xml:space="preserve"> </w:t>
      </w:r>
      <w:r>
        <w:t xml:space="preserve">(Pā. sū. 6-1-102) is barred by</w:t>
      </w:r>
      <w:r>
        <w:t xml:space="preserve"> </w:t>
      </w:r>
      <w:r>
        <w:t xml:space="preserve">“</w:t>
      </w:r>
      <w:r>
        <w:t xml:space="preserve">dīrghāj jasi ca</w:t>
      </w:r>
      <w:r>
        <w:t xml:space="preserve">”</w:t>
      </w:r>
      <w:r>
        <w:t xml:space="preserve"> </w:t>
      </w:r>
      <w:r>
        <w:t xml:space="preserve">(Pā. sū.</w:t>
      </w:r>
      <w:r>
        <w:t xml:space="preserve"> </w:t>
      </w:r>
      <w:r>
        <w:t xml:space="preserve">“</w:t>
      </w:r>
      <w:r>
        <w:t xml:space="preserve">6-?-104</w:t>
      </w:r>
      <w:r>
        <w:t xml:space="preserve">”</w:t>
      </w:r>
      <w:r>
        <w:t xml:space="preserve"> </w:t>
      </w:r>
      <w:r>
        <w:t xml:space="preserve">[?]) but allowed optionally by</w:t>
      </w:r>
      <w:r>
        <w:t xml:space="preserve"> </w:t>
      </w:r>
      <w:r>
        <w:t xml:space="preserve">“</w:t>
      </w:r>
      <w:r>
        <w:t xml:space="preserve">vā chandasi</w:t>
      </w:r>
      <w:r>
        <w:t xml:space="preserve">”</w:t>
      </w:r>
      <w:r>
        <w:t xml:space="preserve"> </w:t>
      </w:r>
      <w:r>
        <w:t xml:space="preserve">(Pā. sū. 6-1-106);</w:t>
      </w:r>
      <w:r>
        <w:t xml:space="preserve"> </w:t>
      </w:r>
      <w:r>
        <w:rPr>
          <w:iCs/>
          <w:i/>
        </w:rPr>
        <w:t xml:space="preserve">ru</w:t>
      </w:r>
      <w:r>
        <w:t xml:space="preserve">, visarga.</w:t>
      </w:r>
      <w:r>
        <w:t xml:space="preserve"> </w:t>
      </w:r>
      <w:r>
        <w:rPr>
          <w:bCs/>
          <w:b/>
        </w:rPr>
        <w:t xml:space="preserve">मयोभुवः (</w:t>
      </w:r>
      <w:r>
        <w:rPr>
          <w:iCs/>
          <w:i/>
          <w:bCs/>
          <w:b/>
        </w:rPr>
        <w:t xml:space="preserve">mayobhuvaḥ</w:t>
      </w:r>
      <w:r>
        <w:rPr>
          <w:bCs/>
          <w:b/>
        </w:rPr>
        <w:t xml:space="preserve">)</w:t>
      </w:r>
      <w:r>
        <w:t xml:space="preserve">:</w:t>
      </w:r>
      <w:r>
        <w:t xml:space="preserve"> </w:t>
      </w:r>
      <w:r>
        <w:rPr>
          <w:iCs/>
          <w:i/>
        </w:rPr>
        <w:t xml:space="preserve">mīñ hiṃsāyām</w:t>
      </w:r>
      <w:r>
        <w:t xml:space="preserve"> </w:t>
      </w:r>
      <w:r>
        <w:t xml:space="preserve">(</w:t>
      </w:r>
      <w:r>
        <w:rPr>
          <w:iCs/>
          <w:i/>
        </w:rPr>
        <w:t xml:space="preserve">kryādi</w:t>
      </w:r>
      <w:r>
        <w:t xml:space="preserve">),</w:t>
      </w:r>
      <w:r>
        <w:t xml:space="preserve"> </w:t>
      </w:r>
      <w:r>
        <w:t xml:space="preserve">“</w:t>
      </w:r>
      <w:r>
        <w:t xml:space="preserve">mināti hinasti duḥkham</w:t>
      </w:r>
      <w:r>
        <w:t xml:space="preserve">”</w:t>
      </w:r>
      <w:r>
        <w:t xml:space="preserve"> </w:t>
      </w:r>
      <w:r>
        <w:t xml:space="preserve">(that which drives sorrow away);</w:t>
      </w:r>
      <w:r>
        <w:t xml:space="preserve"> </w:t>
      </w:r>
      <w:r>
        <w:rPr>
          <w:iCs/>
          <w:i/>
        </w:rPr>
        <w:t xml:space="preserve">asun</w:t>
      </w:r>
      <w:r>
        <w:t xml:space="preserve"> </w:t>
      </w:r>
      <w:r>
        <w:t xml:space="preserve">by</w:t>
      </w:r>
      <w:r>
        <w:t xml:space="preserve"> </w:t>
      </w:r>
      <w:r>
        <w:t xml:space="preserve">“</w:t>
      </w:r>
      <w:r>
        <w:t xml:space="preserve">sarvadhātubhyo ’sun</w:t>
      </w:r>
      <w:r>
        <w:t xml:space="preserve">”</w:t>
      </w:r>
      <w:r>
        <w:t xml:space="preserve"> </w:t>
      </w:r>
      <w:r>
        <w:t xml:space="preserve">(Uṇ. sū.</w:t>
      </w:r>
      <w:r>
        <w:t xml:space="preserve"> </w:t>
      </w:r>
      <w:r>
        <w:t xml:space="preserve">“</w:t>
      </w:r>
      <w:r>
        <w:t xml:space="preserve">4-628</w:t>
      </w:r>
      <w:r>
        <w:t xml:space="preserve">”</w:t>
      </w:r>
      <w:r>
        <w:t xml:space="preserve"> </w:t>
      </w:r>
      <w:r>
        <w:t xml:space="preserve">[?]),</w:t>
      </w:r>
      <w:r>
        <w:t xml:space="preserve"> </w:t>
      </w:r>
      <w:r>
        <w:rPr>
          <w:iCs/>
          <w:i/>
        </w:rPr>
        <w:t xml:space="preserve">guṇa</w:t>
      </w:r>
      <w:r>
        <w:t xml:space="preserve">,</w:t>
      </w:r>
      <w:r>
        <w:t xml:space="preserve"> </w:t>
      </w:r>
      <w:r>
        <w:rPr>
          <w:iCs/>
          <w:i/>
        </w:rPr>
        <w:t xml:space="preserve">ay</w:t>
      </w:r>
      <w:r>
        <w:t xml:space="preserve">:</w:t>
      </w:r>
      <w:r>
        <w:t xml:space="preserve"> </w:t>
      </w:r>
      <w:r>
        <w:rPr>
          <w:iCs/>
          <w:i/>
        </w:rPr>
        <w:t xml:space="preserve">mayas</w:t>
      </w:r>
      <w:r>
        <w:t xml:space="preserve"> </w:t>
      </w:r>
      <w:r>
        <w:t xml:space="preserve">“</w:t>
      </w:r>
      <w:r>
        <w:t xml:space="preserve">happiness</w:t>
      </w:r>
      <w:r>
        <w:t xml:space="preserve">”</w:t>
      </w:r>
      <w:r>
        <w:t xml:space="preserve">;</w:t>
      </w:r>
      <w:r>
        <w:t xml:space="preserve"> </w:t>
      </w:r>
      <w:r>
        <w:t xml:space="preserve">“</w:t>
      </w:r>
      <w:r>
        <w:t xml:space="preserve">mayaḥ bhāvayanti</w:t>
      </w:r>
      <w:r>
        <w:t xml:space="preserve">”</w:t>
      </w:r>
      <w:r>
        <w:t xml:space="preserve">:</w:t>
      </w:r>
      <w:r>
        <w:t xml:space="preserve"> </w:t>
      </w:r>
      <w:r>
        <w:rPr>
          <w:iCs/>
          <w:i/>
        </w:rPr>
        <w:t xml:space="preserve">bhū</w:t>
      </w:r>
      <w:r>
        <w:t xml:space="preserve"> </w:t>
      </w:r>
      <w:r>
        <w:t xml:space="preserve">with the inner causative +</w:t>
      </w:r>
      <w:r>
        <w:t xml:space="preserve"> </w:t>
      </w:r>
      <w:r>
        <w:rPr>
          <w:iCs/>
          <w:i/>
        </w:rPr>
        <w:t xml:space="preserve">kvip</w:t>
      </w:r>
      <w:r>
        <w:t xml:space="preserve"> </w:t>
      </w:r>
      <w:r>
        <w:t xml:space="preserve">by</w:t>
      </w:r>
      <w:r>
        <w:t xml:space="preserve"> </w:t>
      </w:r>
      <w:r>
        <w:t xml:space="preserve">“</w:t>
      </w:r>
      <w:r>
        <w:t xml:space="preserve">kvip ca</w:t>
      </w:r>
      <w:r>
        <w:t xml:space="preserve">”</w:t>
      </w:r>
      <w:r>
        <w:t xml:space="preserve"> </w:t>
      </w:r>
      <w:r>
        <w:t xml:space="preserve">(Pā. sū. 3-2-76);</w:t>
      </w:r>
      <w:r>
        <w:t xml:space="preserve"> </w:t>
      </w:r>
      <w:r>
        <w:rPr>
          <w:iCs/>
          <w:i/>
        </w:rPr>
        <w:t xml:space="preserve">uvaṅ</w:t>
      </w:r>
      <w:r>
        <w:t xml:space="preserve"> </w:t>
      </w:r>
      <w:r>
        <w:t xml:space="preserve">by</w:t>
      </w:r>
      <w:r>
        <w:t xml:space="preserve"> </w:t>
      </w:r>
      <w:r>
        <w:t xml:space="preserve">“</w:t>
      </w:r>
      <w:r>
        <w:t xml:space="preserve">aci śnu…</w:t>
      </w:r>
      <w:r>
        <w:t xml:space="preserve">”</w:t>
      </w:r>
      <w:r>
        <w:t xml:space="preserve"> </w:t>
      </w:r>
      <w:r>
        <w:t xml:space="preserve">(Pā. sū. 6-4-77);</w:t>
      </w:r>
      <w:r>
        <w:t xml:space="preserve"> </w:t>
      </w:r>
      <w:r>
        <w:rPr>
          <w:iCs/>
          <w:i/>
        </w:rPr>
        <w:t xml:space="preserve">ru</w:t>
      </w:r>
      <w:r>
        <w:t xml:space="preserve">,</w:t>
      </w:r>
      <w:r>
        <w:t xml:space="preserve"> </w:t>
      </w:r>
      <w:r>
        <w:rPr>
          <w:iCs/>
          <w:i/>
        </w:rPr>
        <w:t xml:space="preserve">u</w:t>
      </w:r>
      <w:r>
        <w:t xml:space="preserve">,</w:t>
      </w:r>
      <w:r>
        <w:t xml:space="preserve"> </w:t>
      </w:r>
      <w:r>
        <w:rPr>
          <w:iCs/>
          <w:i/>
        </w:rPr>
        <w:t xml:space="preserve">guṇa</w:t>
      </w:r>
      <w:r>
        <w:t xml:space="preserve">; final udātta of the</w:t>
      </w:r>
      <w:r>
        <w:t xml:space="preserve"> </w:t>
      </w:r>
      <w:r>
        <w:rPr>
          <w:iCs/>
          <w:i/>
        </w:rPr>
        <w:t xml:space="preserve">kṛt</w:t>
      </w:r>
      <w:r>
        <w:t xml:space="preserve"> </w:t>
      </w:r>
      <w:r>
        <w:t xml:space="preserve">member by</w:t>
      </w:r>
      <w:r>
        <w:t xml:space="preserve"> </w:t>
      </w:r>
      <w:r>
        <w:t xml:space="preserve">“</w:t>
      </w:r>
      <w:r>
        <w:t xml:space="preserve">gatikārakopapadāt kṛt</w:t>
      </w:r>
      <w:r>
        <w:t xml:space="preserve">”</w:t>
      </w:r>
      <w:r>
        <w:t xml:space="preserve"> </w:t>
      </w:r>
      <w:r>
        <w:t xml:space="preserve">(Pā. sū. 6-2-139).</w:t>
      </w:r>
    </w:p>
    <w:bookmarkEnd w:id="602"/>
    <w:bookmarkStart w:id="603" w:name="page-569-rik-9-grammar-end"/>
    <w:p>
      <w:pPr>
        <w:pStyle w:val="Heading3"/>
      </w:pPr>
      <w:r>
        <w:t xml:space="preserve">Page 569 — Rik 9: grammar (end)</w:t>
      </w:r>
    </w:p>
    <w:p>
      <w:pPr>
        <w:pStyle w:val="FirstParagraph"/>
      </w:pPr>
      <w:r>
        <w:rPr>
          <w:bCs/>
          <w:b/>
        </w:rPr>
        <w:t xml:space="preserve">बर्हिः (</w:t>
      </w:r>
      <w:r>
        <w:rPr>
          <w:iCs/>
          <w:i/>
          <w:bCs/>
          <w:b/>
        </w:rPr>
        <w:t xml:space="preserve">barhiḥ</w:t>
      </w:r>
      <w:r>
        <w:rPr>
          <w:bCs/>
          <w:b/>
        </w:rPr>
        <w:t xml:space="preserve">)</w:t>
      </w:r>
      <w:r>
        <w:t xml:space="preserve">:</w:t>
      </w:r>
      <w:r>
        <w:t xml:space="preserve"> </w:t>
      </w:r>
      <w:r>
        <w:rPr>
          <w:iCs/>
          <w:i/>
        </w:rPr>
        <w:t xml:space="preserve">bṛhi vṛddhau</w:t>
      </w:r>
      <w:r>
        <w:t xml:space="preserve">,</w:t>
      </w:r>
      <w:r>
        <w:t xml:space="preserve"> </w:t>
      </w:r>
      <w:r>
        <w:rPr>
          <w:iCs/>
          <w:i/>
        </w:rPr>
        <w:t xml:space="preserve">idit</w:t>
      </w:r>
      <w:r>
        <w:t xml:space="preserve">, so</w:t>
      </w:r>
      <w:r>
        <w:t xml:space="preserve"> </w:t>
      </w:r>
      <w:r>
        <w:rPr>
          <w:iCs/>
          <w:i/>
        </w:rPr>
        <w:t xml:space="preserve">num</w:t>
      </w:r>
      <w:r>
        <w:t xml:space="preserve">;</w:t>
      </w:r>
      <w:r>
        <w:t xml:space="preserve"> </w:t>
      </w:r>
      <w:r>
        <w:rPr>
          <w:iCs/>
          <w:i/>
        </w:rPr>
        <w:t xml:space="preserve">isi</w:t>
      </w:r>
      <w:r>
        <w:t xml:space="preserve"> </w:t>
      </w:r>
      <w:r>
        <w:t xml:space="preserve">and loss of</w:t>
      </w:r>
      <w:r>
        <w:t xml:space="preserve"> </w:t>
      </w:r>
      <w:r>
        <w:rPr>
          <w:iCs/>
          <w:i/>
        </w:rPr>
        <w:t xml:space="preserve">n</w:t>
      </w:r>
      <w:r>
        <w:t xml:space="preserve"> </w:t>
      </w:r>
      <w:r>
        <w:t xml:space="preserve">by</w:t>
      </w:r>
      <w:r>
        <w:t xml:space="preserve"> </w:t>
      </w:r>
      <w:r>
        <w:t xml:space="preserve">“</w:t>
      </w:r>
      <w:r>
        <w:t xml:space="preserve">bṛṃher nalopaś ca</w:t>
      </w:r>
      <w:r>
        <w:t xml:space="preserve">”</w:t>
      </w:r>
      <w:r>
        <w:t xml:space="preserve"> </w:t>
      </w:r>
      <w:r>
        <w:t xml:space="preserve">(Uṇ. sū.</w:t>
      </w:r>
      <w:r>
        <w:t xml:space="preserve"> </w:t>
      </w:r>
      <w:r>
        <w:t xml:space="preserve">“</w:t>
      </w:r>
      <w:r>
        <w:t xml:space="preserve">2-266</w:t>
      </w:r>
      <w:r>
        <w:t xml:space="preserve">”</w:t>
      </w:r>
      <w:r>
        <w:t xml:space="preserve"> </w:t>
      </w:r>
      <w:r>
        <w:t xml:space="preserve">[?]);</w:t>
      </w:r>
      <w:r>
        <w:t xml:space="preserve"> </w:t>
      </w:r>
      <w:r>
        <w:rPr>
          <w:iCs/>
          <w:i/>
        </w:rPr>
        <w:t xml:space="preserve">laghūpadha-guṇa</w:t>
      </w:r>
      <w:r>
        <w:t xml:space="preserve">; final udātta by the suffix accent.</w:t>
      </w:r>
      <w:r>
        <w:t xml:space="preserve"> </w:t>
      </w:r>
      <w:r>
        <w:rPr>
          <w:bCs/>
          <w:b/>
        </w:rPr>
        <w:t xml:space="preserve">सीदन्तु (</w:t>
      </w:r>
      <w:r>
        <w:rPr>
          <w:iCs/>
          <w:i/>
          <w:bCs/>
          <w:b/>
        </w:rPr>
        <w:t xml:space="preserve">sīdantu</w:t>
      </w:r>
      <w:r>
        <w:rPr>
          <w:bCs/>
          <w:b/>
        </w:rPr>
        <w:t xml:space="preserve">)</w:t>
      </w:r>
      <w:r>
        <w:t xml:space="preserve">:</w:t>
      </w:r>
      <w:r>
        <w:t xml:space="preserve"> </w:t>
      </w:r>
      <w:r>
        <w:rPr>
          <w:iCs/>
          <w:i/>
        </w:rPr>
        <w:t xml:space="preserve">ṣadḷ viśaraṇagatyavasādaneṣu</w:t>
      </w:r>
      <w:r>
        <w:t xml:space="preserve">,</w:t>
      </w:r>
      <w:r>
        <w:t xml:space="preserve"> </w:t>
      </w:r>
      <w:r>
        <w:rPr>
          <w:iCs/>
          <w:i/>
        </w:rPr>
        <w:t xml:space="preserve">ṣ</w:t>
      </w:r>
      <w:r>
        <w:t xml:space="preserve"> </w:t>
      </w:r>
      <w:r>
        <w:t xml:space="preserve">→</w:t>
      </w:r>
      <w:r>
        <w:t xml:space="preserve"> </w:t>
      </w:r>
      <w:r>
        <w:rPr>
          <w:iCs/>
          <w:i/>
        </w:rPr>
        <w:t xml:space="preserve">s</w:t>
      </w:r>
      <w:r>
        <w:t xml:space="preserve"> </w:t>
      </w:r>
      <w:r>
        <w:t xml:space="preserve">by</w:t>
      </w:r>
      <w:r>
        <w:t xml:space="preserve"> </w:t>
      </w:r>
      <w:r>
        <w:t xml:space="preserve">“</w:t>
      </w:r>
      <w:r>
        <w:t xml:space="preserve">dhātvādeḥ ṣaḥ saḥ</w:t>
      </w:r>
      <w:r>
        <w:t xml:space="preserve">”</w:t>
      </w:r>
      <w:r>
        <w:t xml:space="preserve">;</w:t>
      </w:r>
      <w:r>
        <w:t xml:space="preserve"> </w:t>
      </w:r>
      <w:r>
        <w:rPr>
          <w:iCs/>
          <w:i/>
        </w:rPr>
        <w:t xml:space="preserve">loṭ</w:t>
      </w:r>
      <w:r>
        <w:t xml:space="preserve"> </w:t>
      </w:r>
      <w:r>
        <w:t xml:space="preserve">3rd plural</w:t>
      </w:r>
      <w:r>
        <w:t xml:space="preserve"> </w:t>
      </w:r>
      <w:r>
        <w:rPr>
          <w:iCs/>
          <w:i/>
        </w:rPr>
        <w:t xml:space="preserve">jhi</w:t>
      </w:r>
      <w:r>
        <w:t xml:space="preserve">,</w:t>
      </w:r>
      <w:r>
        <w:t xml:space="preserve"> </w:t>
      </w:r>
      <w:r>
        <w:rPr>
          <w:iCs/>
          <w:i/>
        </w:rPr>
        <w:t xml:space="preserve">jh</w:t>
      </w:r>
      <w:r>
        <w:t xml:space="preserve"> </w:t>
      </w:r>
      <w:r>
        <w:t xml:space="preserve">→</w:t>
      </w:r>
      <w:r>
        <w:t xml:space="preserve"> </w:t>
      </w:r>
      <w:r>
        <w:rPr>
          <w:iCs/>
          <w:i/>
        </w:rPr>
        <w:t xml:space="preserve">ant</w:t>
      </w:r>
      <w:r>
        <w:t xml:space="preserve"> </w:t>
      </w:r>
      <w:r>
        <w:t xml:space="preserve">by</w:t>
      </w:r>
      <w:r>
        <w:t xml:space="preserve"> </w:t>
      </w:r>
      <w:r>
        <w:t xml:space="preserve">“</w:t>
      </w:r>
      <w:r>
        <w:t xml:space="preserve">jho ’ntaḥ</w:t>
      </w:r>
      <w:r>
        <w:t xml:space="preserve">”</w:t>
      </w:r>
      <w:r>
        <w:t xml:space="preserve"> </w:t>
      </w:r>
      <w:r>
        <w:t xml:space="preserve">(Pā. sū. 7-1-3);</w:t>
      </w:r>
      <w:r>
        <w:t xml:space="preserve"> </w:t>
      </w:r>
      <w:r>
        <w:rPr>
          <w:iCs/>
          <w:i/>
        </w:rPr>
        <w:t xml:space="preserve">u</w:t>
      </w:r>
      <w:r>
        <w:t xml:space="preserve"> </w:t>
      </w:r>
      <w:r>
        <w:t xml:space="preserve">by</w:t>
      </w:r>
      <w:r>
        <w:t xml:space="preserve"> </w:t>
      </w:r>
      <w:r>
        <w:t xml:space="preserve">“</w:t>
      </w:r>
      <w:r>
        <w:t xml:space="preserve">eruḥ</w:t>
      </w:r>
      <w:r>
        <w:t xml:space="preserve">”</w:t>
      </w:r>
      <w:r>
        <w:t xml:space="preserve"> </w:t>
      </w:r>
      <w:r>
        <w:t xml:space="preserve">(Pā. sū. 3-4-86);</w:t>
      </w:r>
      <w:r>
        <w:t xml:space="preserve"> </w:t>
      </w:r>
      <w:r>
        <w:rPr>
          <w:iCs/>
          <w:i/>
        </w:rPr>
        <w:t xml:space="preserve">śap</w:t>
      </w:r>
      <w:r>
        <w:t xml:space="preserve">;</w:t>
      </w:r>
      <w:r>
        <w:t xml:space="preserve"> </w:t>
      </w:r>
      <w:r>
        <w:rPr>
          <w:iCs/>
          <w:i/>
        </w:rPr>
        <w:t xml:space="preserve">sīda</w:t>
      </w:r>
      <w:r>
        <w:t xml:space="preserve"> </w:t>
      </w:r>
      <w:r>
        <w:t xml:space="preserve">by</w:t>
      </w:r>
      <w:r>
        <w:t xml:space="preserve"> </w:t>
      </w:r>
      <w:r>
        <w:t xml:space="preserve">“</w:t>
      </w:r>
      <w:r>
        <w:t xml:space="preserve">pāghrādhmā…</w:t>
      </w:r>
      <w:r>
        <w:t xml:space="preserve">”</w:t>
      </w:r>
      <w:r>
        <w:t xml:space="preserve"> </w:t>
      </w:r>
      <w:r>
        <w:t xml:space="preserve">(Pā. sū. 7-3-78); wholly unaccented by</w:t>
      </w:r>
      <w:r>
        <w:t xml:space="preserve"> </w:t>
      </w:r>
      <w:r>
        <w:t xml:space="preserve">“</w:t>
      </w:r>
      <w:r>
        <w:t xml:space="preserve">tiṅṅatiṅaḥ</w:t>
      </w:r>
      <w:r>
        <w:t xml:space="preserve">”</w:t>
      </w:r>
      <w:r>
        <w:t xml:space="preserve">.</w:t>
      </w:r>
      <w:r>
        <w:t xml:space="preserve"> </w:t>
      </w:r>
      <w:r>
        <w:rPr>
          <w:bCs/>
          <w:b/>
        </w:rPr>
        <w:t xml:space="preserve">अस्रिधः (</w:t>
      </w:r>
      <w:r>
        <w:rPr>
          <w:iCs/>
          <w:i/>
          <w:bCs/>
          <w:b/>
        </w:rPr>
        <w:t xml:space="preserve">asridhaḥ</w:t>
      </w:r>
      <w:r>
        <w:rPr>
          <w:bCs/>
          <w:b/>
        </w:rPr>
        <w:t xml:space="preserve">)</w:t>
      </w:r>
      <w:r>
        <w:t xml:space="preserve">:</w:t>
      </w:r>
      <w:r>
        <w:t xml:space="preserve"> </w:t>
      </w:r>
      <w:r>
        <w:rPr>
          <w:iCs/>
          <w:i/>
        </w:rPr>
        <w:t xml:space="preserve">sridh</w:t>
      </w:r>
      <w:r>
        <w:t xml:space="preserve"> </w:t>
      </w:r>
      <w:r>
        <w:t xml:space="preserve">(harm or drying up) +</w:t>
      </w:r>
      <w:r>
        <w:t xml:space="preserve"> </w:t>
      </w:r>
      <w:r>
        <w:rPr>
          <w:iCs/>
          <w:i/>
        </w:rPr>
        <w:t xml:space="preserve">kvip</w:t>
      </w:r>
      <w:r>
        <w:t xml:space="preserve"> </w:t>
      </w:r>
      <w:r>
        <w:t xml:space="preserve">by</w:t>
      </w:r>
      <w:r>
        <w:t xml:space="preserve"> </w:t>
      </w:r>
      <w:r>
        <w:t xml:space="preserve">“</w:t>
      </w:r>
      <w:r>
        <w:t xml:space="preserve">sampadādibhyaḥ kvip</w:t>
      </w:r>
      <w:r>
        <w:t xml:space="preserve">”</w:t>
      </w:r>
      <w:r>
        <w:t xml:space="preserve"> </w:t>
      </w:r>
      <w:r>
        <w:t xml:space="preserve">(Pā. sū. vā.</w:t>
      </w:r>
      <w:r>
        <w:t xml:space="preserve"> </w:t>
      </w:r>
      <w:r>
        <w:t xml:space="preserve">“</w:t>
      </w:r>
      <w:r>
        <w:t xml:space="preserve">0-3-108-9</w:t>
      </w:r>
      <w:r>
        <w:t xml:space="preserve">”</w:t>
      </w:r>
      <w:r>
        <w:t xml:space="preserve"> </w:t>
      </w:r>
      <w:r>
        <w:t xml:space="preserve">[?]);</w:t>
      </w:r>
      <w:r>
        <w:t xml:space="preserve"> </w:t>
      </w:r>
      <w:r>
        <w:t xml:space="preserve">“</w:t>
      </w:r>
      <w:r>
        <w:t xml:space="preserve">na vidyate sridh yāsāṃ tāḥ</w:t>
      </w:r>
      <w:r>
        <w:t xml:space="preserve">”</w:t>
      </w:r>
      <w:r>
        <w:t xml:space="preserve">: bahuvrīhi; the first-member accent of</w:t>
      </w:r>
      <w:r>
        <w:t xml:space="preserve"> </w:t>
      </w:r>
      <w:r>
        <w:t xml:space="preserve">“</w:t>
      </w:r>
      <w:r>
        <w:t xml:space="preserve">bahuvrīhau prakṛtyā pūrvapadam</w:t>
      </w:r>
      <w:r>
        <w:t xml:space="preserve">”</w:t>
      </w:r>
      <w:r>
        <w:t xml:space="preserve"> </w:t>
      </w:r>
      <w:r>
        <w:t xml:space="preserve">(Pā. sū. 6-2-1) is overridden by</w:t>
      </w:r>
      <w:r>
        <w:t xml:space="preserve"> </w:t>
      </w:r>
      <w:r>
        <w:t xml:space="preserve">“</w:t>
      </w:r>
      <w:r>
        <w:t xml:space="preserve">nañsubhyām</w:t>
      </w:r>
      <w:r>
        <w:t xml:space="preserve">”</w:t>
      </w:r>
      <w:r>
        <w:t xml:space="preserve"> </w:t>
      </w:r>
      <w:r>
        <w:t xml:space="preserve">(Pā. sū. 6-2-172), final udātta on the second member.</w:t>
      </w:r>
    </w:p>
    <w:p>
      <w:pPr>
        <w:pStyle w:val="BodyText"/>
      </w:pPr>
      <w:r>
        <w:rPr>
          <w:bCs/>
          <w:b/>
        </w:rPr>
        <w:t xml:space="preserve">॥९॥</w:t>
      </w:r>
    </w:p>
    <w:p>
      <w:r>
        <w:pict>
          <v:rect style="width:0;height:1.5pt" o:hralign="center" o:hrstd="t" o:hr="t"/>
        </w:pict>
      </w:r>
    </w:p>
    <w:bookmarkEnd w:id="603"/>
    <w:bookmarkStart w:id="604" w:name="page-569-sūkta-13-rik-10"/>
    <w:p>
      <w:pPr>
        <w:pStyle w:val="Heading3"/>
      </w:pPr>
      <w:r>
        <w:t xml:space="preserve">Page 569 — Sūkta 13, Rik 10</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इ॒ह त्वष्टा॑रमग्रि॒यं वि॒श्वरू॑प॒मुप॑ ह्वये ।</w:t>
      </w:r>
      <w:r>
        <w:t xml:space="preserve"> </w:t>
      </w:r>
      <w:r>
        <w:t xml:space="preserve">अ॒स्माक॑मस्तु॒ केव॑लः ॥१०॥</w:t>
      </w:r>
    </w:p>
    <w:p>
      <w:pPr>
        <w:pStyle w:val="BlockText"/>
      </w:pPr>
      <w:r>
        <w:rPr>
          <w:iCs/>
          <w:i/>
        </w:rPr>
        <w:t xml:space="preserve">ihá tváṣṭāram agriyáṃ viśvárūpam úpa hvaye |</w:t>
      </w:r>
      <w:r>
        <w:t xml:space="preserve"> </w:t>
      </w:r>
      <w:r>
        <w:rPr>
          <w:iCs/>
          <w:i/>
        </w:rPr>
        <w:t xml:space="preserve">asmā́kam astu kévalaḥ ||10||</w:t>
      </w:r>
    </w:p>
    <w:p>
      <w:pPr>
        <w:pStyle w:val="FirstParagraph"/>
      </w:pPr>
      <w:r>
        <w:rPr>
          <w:bCs/>
          <w:b/>
        </w:rPr>
        <w:t xml:space="preserve">॥ Pada-pāṭhaḥ ॥</w:t>
      </w:r>
    </w:p>
    <w:p>
      <w:pPr>
        <w:pStyle w:val="BlockText"/>
      </w:pPr>
      <w:r>
        <w:t xml:space="preserve">इह । त्वष्टारम् । अग्रियम् । विश्वऽरूपम् । उप । ह्वये ॥</w:t>
      </w:r>
      <w:r>
        <w:t xml:space="preserve"> </w:t>
      </w:r>
      <w:r>
        <w:t xml:space="preserve">अस्माकम् । अस्तु । केवलः ॥१०॥</w:t>
      </w:r>
    </w:p>
    <w:p>
      <w:pPr>
        <w:pStyle w:val="BlockText"/>
      </w:pPr>
      <w:r>
        <w:rPr>
          <w:iCs/>
          <w:i/>
        </w:rPr>
        <w:t xml:space="preserve">iha | tvaṣṭāram | agriyam | viśva-rūpam | upa | hvaye ||</w:t>
      </w:r>
      <w:r>
        <w:t xml:space="preserve"> </w:t>
      </w:r>
      <w:r>
        <w:rPr>
          <w:iCs/>
          <w:i/>
        </w:rPr>
        <w:t xml:space="preserve">asmākam | astu | kevalaḥ ||10||</w:t>
      </w:r>
    </w:p>
    <w:p>
      <w:pPr>
        <w:pStyle w:val="FirstParagraph"/>
      </w:pPr>
      <w:r>
        <w:rPr>
          <w:bCs/>
          <w:b/>
        </w:rPr>
        <w:t xml:space="preserve">॥ Sāyaṇa-bhāṣyam ॥</w:t>
      </w:r>
    </w:p>
    <w:p>
      <w:pPr>
        <w:pStyle w:val="BlockText"/>
      </w:pPr>
      <w:r>
        <w:t xml:space="preserve">पत्नीसंयाजे त्वष्टुः पुरोनुवाक्येह त्वष्टारमग्रियमिति । शं युवाकाय संप्रेषित इति खण्डे सूत्रितम् । सं ते पयांसि समु यन्तु वाजा इह त्वष्टारमग्रियम् । आ. १-१० ॥ इति ॥</w:t>
      </w:r>
    </w:p>
    <w:p>
      <w:pPr>
        <w:pStyle w:val="BlockText"/>
      </w:pPr>
      <w:r>
        <w:rPr>
          <w:iCs/>
          <w:i/>
        </w:rPr>
        <w:t xml:space="preserve">patnīsaṃyāje tvaṣṭuḥ puronuvākyeha tvaṣṭāramagriyamiti | śaṃ yuvākāya saṃpreṣita iti khaṇḍe sūtritam | saṃ te payāṃsi samu yantu vājā iha tvaṣṭāramagriyam | ā. 1-10 || iti ||</w:t>
      </w:r>
    </w:p>
    <w:bookmarkEnd w:id="604"/>
    <w:bookmarkStart w:id="605" w:name="X61e63fec8d6b1de159d4bcf642e7f8a71a8d888"/>
    <w:p>
      <w:pPr>
        <w:pStyle w:val="Heading3"/>
      </w:pPr>
      <w:r>
        <w:t xml:space="preserve">Page 570 — Rik 10: bhāṣya (continued), word-meanings, overall sense, English</w:t>
      </w:r>
    </w:p>
    <w:p>
      <w:pPr>
        <w:pStyle w:val="BlockText"/>
      </w:pPr>
      <w:r>
        <w:t xml:space="preserve">त्वष्टारं त्वष्टृनामकमग्निमिह कर्मण्युपह्वये । कीदृशम् । अग्रियं श्रेष्ठं विश्वरूपं बहुविधरूपोपेतं । सो ऽस्माकं केवलो ऽसाधारणो ऽस्तु । इतरयजमानेभ्यो ऽप्यधिकमनुग्रहं करोत्वित्यर्थः ॥ त्वष्टारं । तक्षू त्वक्षू तनूकरणे । तृन् । स्वरतिसूतिसूयतिधूञूदितो वा । पा. ७-२-४४ । इतीडभावपक्षे स्कोः संयोगाद्योरन्ते च । पा. ८-२-२९ । इति ककारलोपः । ष्टुत्वं । द्वितीयैकवचने ऋतो ङिसर्वनामस्थानयोरिति गुणे ऽप्तृन्नित्यादिनोपधाया दीर्घः । तृनो नित्त्वादाद्युदात्तत्वं । अग्रियं । अग्रादित्यनुवृत्तौ घच्छौ च । पा. ४-४-११७ [?] । इति घच् । आयनेयीनीत्यादिना । पा. ७-१-२ । घकारस्य इयादेशः । यस्येति लोपः । आयनादिषूपदेशिवद्वचनं स्वरसिद्ध्यर्थं । पा. ७-१-२-१ । इत्युपदेशिवद्भावात्प्रत्ययाद्युदात्तत्वा[?]द्घचश्चित्त्वादन्तोदात्तत्वं । विश्वरूपं । विश्वानि रूपाणि त्वष्टृत्पन्नत्वेन यस्य । त्वष्टा वै पशूनां मिथुनानां रूपकृत् । तै. सं. ६-१-८-५ [?] । इति श्रुतेः । विश्वशब्दस्याद्युदात्तत्वात्पूर्वपदप्रकृतिस्वरत्वे प्राप्ते बहुव्रीहौ विश्वं संज्ञायां । पा. ६-२-१०६ । इति पूर्वपदान्तोदात्तत्वं । अस्माकं । असु क्षेपणे । युष्यसिभ्यां मदिक् । उ. १-१३८ [?] । प्रत्ययस्वरेणान्तोदात्तः । षष्ठीबहुवचनमाम् । अत्र परमपि योऽचि । पा. ७-२-८९ । इति यत्वं बाधित्वा नित्यत्वात्प्रतिपदविधित्वाच्च साम आकमादेशे कृते । पा. ७-१-३३ । अनादेश इति निषेधेन । पा. ७-२-८६ । यत्वाभावाच्छेषे लोप इति दकारलोपे ऽकारान्तत्वेन पश्चात्प्राप्तस्यापि सुटः । पा. ७-१-५२ । साम इति निर्देशे स्थानिन्यन्तर्भावेन निवृत्तिः । एवमर्थ एव हि साम इति ससुट्कनिर्देशः । केवलः । वृषादेराकृतिगणत्वादाद्युदात्तः ॥</w:t>
      </w:r>
    </w:p>
    <w:p>
      <w:pPr>
        <w:pStyle w:val="BlockText"/>
      </w:pPr>
      <w:r>
        <w:rPr>
          <w:iCs/>
          <w:i/>
        </w:rPr>
        <w:t xml:space="preserve">tvaṣṭāraṃ tvaṣṭṛnāmakamagnimiha karmaṇyupahvaye | kīdṛśam | agriyaṃ śreṣṭhaṃ viśvarūpaṃ bahuvidharūpopetaṃ | so ’smākaṃ kevalo ’sādhāraṇo ’stu | itarayajamānebhyo ’pyadhikamanugrahaṃ karotvityarthaḥ || tvaṣṭāraṃ | takṣū tvakṣū tanūkaraṇe | tṛn | svaratisūtisūyatidhūñūdito vā | pā. 7-2-44 | itīḍabhāvapakṣe skoḥ saṃyogādyorante ca | pā. 8-2-29 | iti kakāralopaḥ | ṣṭutvaṃ | dvitīyaikavacane ṛto ṅisarvanāmasthānayoriti guṇe ’ptṛnnityādinopadhāyā dīrghaḥ | tṛno nittvādādyudāttatvaṃ | agriyaṃ | agrādityanuvṛttau ghacchau ca | pā. 4-4-117 [?] | iti ghac | āyaneyīnītyādinā | pā. 7-1-2 | ghakārasya iyādeśaḥ | yasyeti lopaḥ | āyanādiṣūpadeśivadvacanaṃ svarasiddhyarthaṃ | pā. 7-1-2-1 | ityupadeśivadbhāvātpratyayādyudāttatvā[?]dghacaścittvādantodāttatvaṃ | viśvarūpaṃ | viśvāni rūpāṇi tvaṣṭṛtpannatvena yasya | tvaṣṭā vai paśūnāṃ mithunānāṃ rūpakṛt | tai. saṃ. 6-1-8-5 [?] | iti śruteḥ | viśvaśabdasyādyudāttatvātpūrvapadaprakṛtisvaratve prāpte bahuvrīhau viśvaṃ saṃjñāyāṃ | pā. 6-2-106 | iti pūrvapadāntodāttatvaṃ | asmākaṃ | asu kṣepaṇe | yuṣyasibhyāṃ madik | u. 1-138 [?] | pratyayasvareṇāntodāttaḥ | ṣaṣṭhībahuvacanamām | atra paramapi yo ’ci | pā. 7-2-89 | iti yatvaṃ bādhitvā nityatvātpratipadavidhitvācca sāma ākamādeśe kṛte | pā. 7-1-33 | anādeśa iti niṣedhena | pā. 7-2-86 | yatvābhāvāccheṣe lopa iti dakāralope ’kārāntatvena paścātprāptasyāpi suṭaḥ | pā. 7-1-52 | sāma iti nirdeśe sthāninyantarbhāvena nivṛttiḥ | evamartha eva hi sāma iti sasuṭkanirdeśaḥ | kevalaḥ | vṛṣāderākṛtigaṇatvādādyudāttaḥ ||</w:t>
      </w:r>
    </w:p>
    <w:p>
      <w:pPr>
        <w:pStyle w:val="FirstParagraph"/>
      </w:pPr>
      <w:r>
        <w:rPr>
          <w:bCs/>
          <w:b/>
        </w:rPr>
        <w:t xml:space="preserve">Translation:</w:t>
      </w:r>
      <w:r>
        <w:t xml:space="preserve"> </w:t>
      </w:r>
      <w:r>
        <w:t xml:space="preserve">“</w:t>
      </w:r>
      <w:r>
        <w:t xml:space="preserve">In the</w:t>
      </w:r>
      <w:r>
        <w:t xml:space="preserve"> </w:t>
      </w:r>
      <w:r>
        <w:rPr>
          <w:iCs/>
          <w:i/>
        </w:rPr>
        <w:t xml:space="preserve">patnīsaṃyāja</w:t>
      </w:r>
      <w:r>
        <w:t xml:space="preserve">,</w:t>
      </w:r>
      <w:r>
        <w:t xml:space="preserve"> </w:t>
      </w:r>
      <w:r>
        <w:rPr>
          <w:iCs/>
          <w:i/>
        </w:rPr>
        <w:t xml:space="preserve">iha tvaṣṭāram agriyam</w:t>
      </w:r>
      <w:r>
        <w:t xml:space="preserve"> </w:t>
      </w:r>
      <w:r>
        <w:t xml:space="preserve">is Tvaṣṭṛ’s</w:t>
      </w:r>
      <w:r>
        <w:t xml:space="preserve"> </w:t>
      </w:r>
      <w:r>
        <w:rPr>
          <w:iCs/>
          <w:i/>
        </w:rPr>
        <w:t xml:space="preserve">puronuvākyā</w:t>
      </w:r>
      <w:r>
        <w:t xml:space="preserve">. It is laid down in the section</w:t>
      </w:r>
      <w:r>
        <w:t xml:space="preserve"> </w:t>
      </w:r>
      <w:r>
        <w:t xml:space="preserve">‘</w:t>
      </w:r>
      <w:r>
        <w:rPr>
          <w:iCs/>
          <w:i/>
        </w:rPr>
        <w:t xml:space="preserve">śaṃ yuvākāya saṃpreṣite</w:t>
      </w:r>
      <w:r>
        <w:t xml:space="preserve">’</w:t>
      </w:r>
      <w:r>
        <w:t xml:space="preserve">:</w:t>
      </w:r>
      <w:r>
        <w:t xml:space="preserve"> </w:t>
      </w:r>
      <w:r>
        <w:t xml:space="preserve">‘</w:t>
      </w:r>
      <w:r>
        <w:rPr>
          <w:iCs/>
          <w:i/>
        </w:rPr>
        <w:t xml:space="preserve">saṃ te payāṃsi sam u yantu vājā</w:t>
      </w:r>
      <w:r>
        <w:t xml:space="preserve">,</w:t>
      </w:r>
      <w:r>
        <w:t xml:space="preserve"> </w:t>
      </w:r>
      <w:r>
        <w:rPr>
          <w:iCs/>
          <w:i/>
        </w:rPr>
        <w:t xml:space="preserve">iha tvaṣṭāram agriyam</w:t>
      </w:r>
      <w:r>
        <w:t xml:space="preserve">’</w:t>
      </w:r>
      <w:r>
        <w:t xml:space="preserve"> </w:t>
      </w:r>
      <w:r>
        <w:t xml:space="preserve">(Āśv. 1-10). I invoke here, in this rite,</w:t>
      </w:r>
      <w:r>
        <w:t xml:space="preserve"> </w:t>
      </w:r>
      <w:r>
        <w:rPr>
          <w:iCs/>
          <w:i/>
        </w:rPr>
        <w:t xml:space="preserve">tvaṣṭāram</w:t>
      </w:r>
      <w:r>
        <w:t xml:space="preserve">, the fire named Tvaṣṭṛ. What kind?</w:t>
      </w:r>
      <w:r>
        <w:t xml:space="preserve"> </w:t>
      </w:r>
      <w:r>
        <w:rPr>
          <w:iCs/>
          <w:i/>
        </w:rPr>
        <w:t xml:space="preserve">Agriyam</w:t>
      </w:r>
      <w:r>
        <w:t xml:space="preserve">: the best;</w:t>
      </w:r>
      <w:r>
        <w:t xml:space="preserve"> </w:t>
      </w:r>
      <w:r>
        <w:rPr>
          <w:iCs/>
          <w:i/>
        </w:rPr>
        <w:t xml:space="preserve">viśvarūpam</w:t>
      </w:r>
      <w:r>
        <w:t xml:space="preserve">: endowed with forms of many kinds. May he be</w:t>
      </w:r>
      <w:r>
        <w:t xml:space="preserve"> </w:t>
      </w:r>
      <w:r>
        <w:rPr>
          <w:iCs/>
          <w:i/>
        </w:rPr>
        <w:t xml:space="preserve">asmākaṃ kevalaḥ</w:t>
      </w:r>
      <w:r>
        <w:t xml:space="preserve">, ours alone: that is, may he show us more favour than he shows other sacrificers.</w:t>
      </w:r>
      <w:r>
        <w:t xml:space="preserve">”</w:t>
      </w:r>
      <w:r>
        <w:t xml:space="preserve"> </w:t>
      </w:r>
      <w:r>
        <w:t xml:space="preserve">(Grammatical tail:</w:t>
      </w:r>
      <w:r>
        <w:t xml:space="preserve"> </w:t>
      </w:r>
      <w:r>
        <w:rPr>
          <w:iCs/>
          <w:i/>
        </w:rPr>
        <w:t xml:space="preserve">tvaṣṭāram</w:t>
      </w:r>
      <w:r>
        <w:t xml:space="preserve"> </w:t>
      </w:r>
      <w:r>
        <w:t xml:space="preserve">from</w:t>
      </w:r>
      <w:r>
        <w:t xml:space="preserve"> </w:t>
      </w:r>
      <w:r>
        <w:rPr>
          <w:iCs/>
          <w:i/>
        </w:rPr>
        <w:t xml:space="preserve">tvakṣū</w:t>
      </w:r>
      <w:r>
        <w:t xml:space="preserve"> </w:t>
      </w:r>
      <w:r>
        <w:t xml:space="preserve">with</w:t>
      </w:r>
      <w:r>
        <w:t xml:space="preserve"> </w:t>
      </w:r>
      <w:r>
        <w:rPr>
          <w:iCs/>
          <w:i/>
        </w:rPr>
        <w:t xml:space="preserve">tṛn</w:t>
      </w:r>
      <w:r>
        <w:t xml:space="preserve">,</w:t>
      </w:r>
      <w:r>
        <w:t xml:space="preserve"> </w:t>
      </w:r>
      <w:r>
        <w:rPr>
          <w:iCs/>
          <w:i/>
        </w:rPr>
        <w:t xml:space="preserve">iṭ</w:t>
      </w:r>
      <w:r>
        <w:t xml:space="preserve"> </w:t>
      </w:r>
      <w:r>
        <w:t xml:space="preserve">optional by Pā. 7-2-44,</w:t>
      </w:r>
      <w:r>
        <w:t xml:space="preserve"> </w:t>
      </w:r>
      <w:r>
        <w:rPr>
          <w:iCs/>
          <w:i/>
        </w:rPr>
        <w:t xml:space="preserve">k</w:t>
      </w:r>
      <w:r>
        <w:t xml:space="preserve"> </w:t>
      </w:r>
      <w:r>
        <w:t xml:space="preserve">dropped by Pā. 8-2-29,</w:t>
      </w:r>
      <w:r>
        <w:t xml:space="preserve"> </w:t>
      </w:r>
      <w:r>
        <w:rPr>
          <w:iCs/>
          <w:i/>
        </w:rPr>
        <w:t xml:space="preserve">ṣṭutva</w:t>
      </w:r>
      <w:r>
        <w:t xml:space="preserve">,</w:t>
      </w:r>
      <w:r>
        <w:t xml:space="preserve"> </w:t>
      </w:r>
      <w:r>
        <w:rPr>
          <w:iCs/>
          <w:i/>
        </w:rPr>
        <w:t xml:space="preserve">guṇa</w:t>
      </w:r>
      <w:r>
        <w:t xml:space="preserve">, lengthening of the penultimate, initial udātta because</w:t>
      </w:r>
      <w:r>
        <w:t xml:space="preserve"> </w:t>
      </w:r>
      <w:r>
        <w:rPr>
          <w:iCs/>
          <w:i/>
        </w:rPr>
        <w:t xml:space="preserve">tṛn</w:t>
      </w:r>
      <w:r>
        <w:t xml:space="preserve"> </w:t>
      </w:r>
      <w:r>
        <w:t xml:space="preserve">is</w:t>
      </w:r>
      <w:r>
        <w:t xml:space="preserve"> </w:t>
      </w:r>
      <w:r>
        <w:rPr>
          <w:iCs/>
          <w:i/>
        </w:rPr>
        <w:t xml:space="preserve">nit</w:t>
      </w:r>
      <w:r>
        <w:t xml:space="preserve">;</w:t>
      </w:r>
      <w:r>
        <w:t xml:space="preserve"> </w:t>
      </w:r>
      <w:r>
        <w:rPr>
          <w:iCs/>
          <w:i/>
        </w:rPr>
        <w:t xml:space="preserve">agriyam</w:t>
      </w:r>
      <w:r>
        <w:t xml:space="preserve"> </w:t>
      </w:r>
      <w:r>
        <w:t xml:space="preserve">with</w:t>
      </w:r>
      <w:r>
        <w:t xml:space="preserve"> </w:t>
      </w:r>
      <w:r>
        <w:rPr>
          <w:iCs/>
          <w:i/>
        </w:rPr>
        <w:t xml:space="preserve">gha</w:t>
      </w:r>
      <w:r>
        <w:t xml:space="preserve"> </w:t>
      </w:r>
      <w:r>
        <w:t xml:space="preserve">(Pā.</w:t>
      </w:r>
      <w:r>
        <w:t xml:space="preserve"> </w:t>
      </w:r>
      <w:r>
        <w:t xml:space="preserve">“</w:t>
      </w:r>
      <w:r>
        <w:t xml:space="preserve">4-4-117</w:t>
      </w:r>
      <w:r>
        <w:t xml:space="preserve">”</w:t>
      </w:r>
      <w:r>
        <w:t xml:space="preserve"> </w:t>
      </w:r>
      <w:r>
        <w:t xml:space="preserve">[?]),</w:t>
      </w:r>
      <w:r>
        <w:t xml:space="preserve"> </w:t>
      </w:r>
      <w:r>
        <w:rPr>
          <w:iCs/>
          <w:i/>
        </w:rPr>
        <w:t xml:space="preserve">iya</w:t>
      </w:r>
      <w:r>
        <w:t xml:space="preserve"> </w:t>
      </w:r>
      <w:r>
        <w:t xml:space="preserve">for</w:t>
      </w:r>
      <w:r>
        <w:t xml:space="preserve"> </w:t>
      </w:r>
      <w:r>
        <w:rPr>
          <w:iCs/>
          <w:i/>
        </w:rPr>
        <w:t xml:space="preserve">gh</w:t>
      </w:r>
      <w:r>
        <w:t xml:space="preserve"> </w:t>
      </w:r>
      <w:r>
        <w:t xml:space="preserve">(Pā. 7-1-2), treated as in</w:t>
      </w:r>
      <w:r>
        <w:t xml:space="preserve"> </w:t>
      </w:r>
      <w:r>
        <w:rPr>
          <w:iCs/>
          <w:i/>
        </w:rPr>
        <w:t xml:space="preserve">upadeśa</w:t>
      </w:r>
      <w:r>
        <w:t xml:space="preserve"> </w:t>
      </w:r>
      <w:r>
        <w:t xml:space="preserve">by the vārttika 7-1-2-1, final udātta because</w:t>
      </w:r>
      <w:r>
        <w:t xml:space="preserve"> </w:t>
      </w:r>
      <w:r>
        <w:rPr>
          <w:iCs/>
          <w:i/>
        </w:rPr>
        <w:t xml:space="preserve">ghac</w:t>
      </w:r>
      <w:r>
        <w:t xml:space="preserve"> </w:t>
      </w:r>
      <w:r>
        <w:t xml:space="preserve">is</w:t>
      </w:r>
      <w:r>
        <w:t xml:space="preserve"> </w:t>
      </w:r>
      <w:r>
        <w:rPr>
          <w:iCs/>
          <w:i/>
        </w:rPr>
        <w:t xml:space="preserve">cit</w:t>
      </w:r>
      <w:r>
        <w:t xml:space="preserve">;</w:t>
      </w:r>
      <w:r>
        <w:t xml:space="preserve"> </w:t>
      </w:r>
      <w:r>
        <w:rPr>
          <w:iCs/>
          <w:i/>
        </w:rPr>
        <w:t xml:space="preserve">viśvarūpam</w:t>
      </w:r>
      <w:r>
        <w:t xml:space="preserve">, a bahuvrīhi, the first member final-udātta by Pā. 6-2-106, the sense supported by T.S.</w:t>
      </w:r>
      <w:r>
        <w:t xml:space="preserve"> </w:t>
      </w:r>
      <w:r>
        <w:t xml:space="preserve">“</w:t>
      </w:r>
      <w:r>
        <w:t xml:space="preserve">6-1-8-5</w:t>
      </w:r>
      <w:r>
        <w:t xml:space="preserve">”</w:t>
      </w:r>
      <w:r>
        <w:t xml:space="preserve"> </w:t>
      </w:r>
      <w:r>
        <w:t xml:space="preserve">[?];</w:t>
      </w:r>
      <w:r>
        <w:t xml:space="preserve"> </w:t>
      </w:r>
      <w:r>
        <w:rPr>
          <w:iCs/>
          <w:i/>
        </w:rPr>
        <w:t xml:space="preserve">asmākam</w:t>
      </w:r>
      <w:r>
        <w:t xml:space="preserve"> </w:t>
      </w:r>
      <w:r>
        <w:t xml:space="preserve">from</w:t>
      </w:r>
      <w:r>
        <w:t xml:space="preserve"> </w:t>
      </w:r>
      <w:r>
        <w:rPr>
          <w:iCs/>
          <w:i/>
        </w:rPr>
        <w:t xml:space="preserve">as</w:t>
      </w:r>
      <w:r>
        <w:t xml:space="preserve"> </w:t>
      </w:r>
      <w:r>
        <w:t xml:space="preserve">with</w:t>
      </w:r>
      <w:r>
        <w:t xml:space="preserve"> </w:t>
      </w:r>
      <w:r>
        <w:rPr>
          <w:iCs/>
          <w:i/>
        </w:rPr>
        <w:t xml:space="preserve">madik</w:t>
      </w:r>
      <w:r>
        <w:t xml:space="preserve"> </w:t>
      </w:r>
      <w:r>
        <w:t xml:space="preserve">(Uṇ.</w:t>
      </w:r>
      <w:r>
        <w:t xml:space="preserve"> </w:t>
      </w:r>
      <w:r>
        <w:t xml:space="preserve">“</w:t>
      </w:r>
      <w:r>
        <w:t xml:space="preserve">1-138</w:t>
      </w:r>
      <w:r>
        <w:t xml:space="preserve">”</w:t>
      </w:r>
      <w:r>
        <w:t xml:space="preserve"> </w:t>
      </w:r>
      <w:r>
        <w:t xml:space="preserve">[?]),</w:t>
      </w:r>
      <w:r>
        <w:t xml:space="preserve"> </w:t>
      </w:r>
      <w:r>
        <w:rPr>
          <w:iCs/>
          <w:i/>
        </w:rPr>
        <w:t xml:space="preserve">ākam</w:t>
      </w:r>
      <w:r>
        <w:t xml:space="preserve"> </w:t>
      </w:r>
      <w:r>
        <w:t xml:space="preserve">for</w:t>
      </w:r>
      <w:r>
        <w:t xml:space="preserve"> </w:t>
      </w:r>
      <w:r>
        <w:rPr>
          <w:iCs/>
          <w:i/>
        </w:rPr>
        <w:t xml:space="preserve">sām</w:t>
      </w:r>
      <w:r>
        <w:t xml:space="preserve"> </w:t>
      </w:r>
      <w:r>
        <w:t xml:space="preserve">by Pā. 7-1-33 overriding</w:t>
      </w:r>
      <w:r>
        <w:t xml:space="preserve"> </w:t>
      </w:r>
      <w:r>
        <w:rPr>
          <w:iCs/>
          <w:i/>
        </w:rPr>
        <w:t xml:space="preserve">yatva</w:t>
      </w:r>
      <w:r>
        <w:t xml:space="preserve"> </w:t>
      </w:r>
      <w:r>
        <w:t xml:space="preserve">(7-2-89, 7-2-86),</w:t>
      </w:r>
      <w:r>
        <w:t xml:space="preserve"> </w:t>
      </w:r>
      <w:r>
        <w:rPr>
          <w:iCs/>
          <w:i/>
        </w:rPr>
        <w:t xml:space="preserve">suṭ</w:t>
      </w:r>
      <w:r>
        <w:t xml:space="preserve"> </w:t>
      </w:r>
      <w:r>
        <w:t xml:space="preserve">(7-1-52) excluded by the form</w:t>
      </w:r>
      <w:r>
        <w:t xml:space="preserve"> </w:t>
      </w:r>
      <w:r>
        <w:rPr>
          <w:iCs/>
          <w:i/>
        </w:rPr>
        <w:t xml:space="preserve">sāma</w:t>
      </w:r>
      <w:r>
        <w:t xml:space="preserve"> </w:t>
      </w:r>
      <w:r>
        <w:t xml:space="preserve">with</w:t>
      </w:r>
      <w:r>
        <w:t xml:space="preserve"> </w:t>
      </w:r>
      <w:r>
        <w:rPr>
          <w:iCs/>
          <w:i/>
        </w:rPr>
        <w:t xml:space="preserve">suṭ</w:t>
      </w:r>
      <w:r>
        <w:t xml:space="preserve"> </w:t>
      </w:r>
      <w:r>
        <w:t xml:space="preserve">in the sūtra;</w:t>
      </w:r>
      <w:r>
        <w:t xml:space="preserve"> </w:t>
      </w:r>
      <w:r>
        <w:rPr>
          <w:iCs/>
          <w:i/>
        </w:rPr>
        <w:t xml:space="preserve">kevalaḥ</w:t>
      </w:r>
      <w:r>
        <w:t xml:space="preserve">, initial udātta as of the</w:t>
      </w:r>
      <w:r>
        <w:t xml:space="preserve"> </w:t>
      </w:r>
      <w:r>
        <w:rPr>
          <w:iCs/>
          <w:i/>
        </w:rPr>
        <w:t xml:space="preserve">vṛṣādi</w:t>
      </w:r>
      <w:r>
        <w:t xml:space="preserve"> </w:t>
      </w:r>
      <w:r>
        <w:t xml:space="preserve">class.)</w:t>
      </w:r>
    </w:p>
    <w:p>
      <w:pPr>
        <w:pStyle w:val="BodyText"/>
      </w:pPr>
      <w:r>
        <w:rPr>
          <w:bCs/>
          <w:b/>
        </w:rPr>
        <w:t xml:space="preserve">॥ Prati-padārthaḥ ॥</w:t>
      </w:r>
    </w:p>
    <w:p>
      <w:pPr>
        <w:pStyle w:val="BodyText"/>
      </w:pPr>
      <w:r>
        <w:rPr>
          <w:bCs/>
          <w:b/>
        </w:rPr>
        <w:t xml:space="preserve">अग्रियम् (agriyam)</w:t>
      </w:r>
      <w:r>
        <w:t xml:space="preserve"> </w:t>
      </w:r>
      <w:r>
        <w:t xml:space="preserve">— the foremost |</w:t>
      </w:r>
      <w:r>
        <w:t xml:space="preserve"> </w:t>
      </w:r>
      <w:r>
        <w:rPr>
          <w:bCs/>
          <w:b/>
        </w:rPr>
        <w:t xml:space="preserve">विश्वरूपम् (viśvarūpam)</w:t>
      </w:r>
      <w:r>
        <w:t xml:space="preserve"> </w:t>
      </w:r>
      <w:r>
        <w:t xml:space="preserve">— having forms of many kinds |</w:t>
      </w:r>
      <w:r>
        <w:t xml:space="preserve"> </w:t>
      </w:r>
      <w:r>
        <w:rPr>
          <w:bCs/>
          <w:b/>
        </w:rPr>
        <w:t xml:space="preserve">त्वष्टारम् (tvaṣṭāram)</w:t>
      </w:r>
      <w:r>
        <w:t xml:space="preserve"> </w:t>
      </w:r>
      <w:r>
        <w:t xml:space="preserve">— the deity named Tvaṣṭṛ (a special form of Agni) |</w:t>
      </w:r>
      <w:r>
        <w:t xml:space="preserve"> </w:t>
      </w:r>
      <w:r>
        <w:rPr>
          <w:bCs/>
          <w:b/>
        </w:rPr>
        <w:t xml:space="preserve">इह (iha)</w:t>
      </w:r>
      <w:r>
        <w:t xml:space="preserve"> </w:t>
      </w:r>
      <w:r>
        <w:t xml:space="preserve">— in this sacrifice |</w:t>
      </w:r>
      <w:r>
        <w:t xml:space="preserve"> </w:t>
      </w:r>
      <w:r>
        <w:rPr>
          <w:bCs/>
          <w:b/>
        </w:rPr>
        <w:t xml:space="preserve">उप ह्वये (upa hvaye)</w:t>
      </w:r>
      <w:r>
        <w:t xml:space="preserve"> </w:t>
      </w:r>
      <w:r>
        <w:t xml:space="preserve">— I invoke |</w:t>
      </w:r>
      <w:r>
        <w:t xml:space="preserve"> </w:t>
      </w:r>
      <w:r>
        <w:rPr>
          <w:iCs/>
          <w:i/>
        </w:rPr>
        <w:t xml:space="preserve">(that Tvaṣṭṛ)</w:t>
      </w:r>
      <w:r>
        <w:t xml:space="preserve"> </w:t>
      </w:r>
      <w:r>
        <w:rPr>
          <w:bCs/>
          <w:b/>
        </w:rPr>
        <w:t xml:space="preserve">अस्माकम् (asmākam)</w:t>
      </w:r>
      <w:r>
        <w:t xml:space="preserve"> </w:t>
      </w:r>
      <w:r>
        <w:t xml:space="preserve">— to us (in our regard) |</w:t>
      </w:r>
      <w:r>
        <w:t xml:space="preserve"> </w:t>
      </w:r>
      <w:r>
        <w:rPr>
          <w:bCs/>
          <w:b/>
        </w:rPr>
        <w:t xml:space="preserve">केवलः (kevalaḥ)</w:t>
      </w:r>
      <w:r>
        <w:t xml:space="preserve"> </w:t>
      </w:r>
      <w:r>
        <w:t xml:space="preserve">— [being] uniquely, very attached |</w:t>
      </w:r>
      <w:r>
        <w:t xml:space="preserve"> </w:t>
      </w:r>
      <w:r>
        <w:rPr>
          <w:bCs/>
          <w:b/>
        </w:rPr>
        <w:t xml:space="preserve">अस्तु (astu)</w:t>
      </w:r>
      <w:r>
        <w:t xml:space="preserve"> </w:t>
      </w:r>
      <w:r>
        <w:t xml:space="preserve">— may he be.</w:t>
      </w:r>
    </w:p>
    <w:p>
      <w:pPr>
        <w:pStyle w:val="BodyText"/>
      </w:pPr>
      <w:r>
        <w:rPr>
          <w:bCs/>
          <w:b/>
        </w:rPr>
        <w:t xml:space="preserve">॥ Bhāvārthaḥ ॥</w:t>
      </w:r>
    </w:p>
    <w:p>
      <w:pPr>
        <w:pStyle w:val="BodyText"/>
      </w:pPr>
      <w:r>
        <w:t xml:space="preserve">The deity named Tvaṣṭṛ is the foremost among the gods. He has many kinds of forms (shapes), and is the maker of things. I call such a deity to this sacrifice. May he be exceedingly kind to us.</w:t>
      </w:r>
    </w:p>
    <w:p>
      <w:pPr>
        <w:pStyle w:val="BodyText"/>
      </w:pPr>
      <w:r>
        <w:rPr>
          <w:bCs/>
          <w:b/>
        </w:rPr>
        <w:t xml:space="preserve">॥ English Translation ॥</w:t>
      </w:r>
      <w:r>
        <w:t xml:space="preserve"> </w:t>
      </w:r>
      <w:r>
        <w:rPr>
          <w:iCs/>
          <w:i/>
        </w:rPr>
        <w:t xml:space="preserve">(as printed in the source)</w:t>
      </w:r>
    </w:p>
    <w:p>
      <w:pPr>
        <w:pStyle w:val="BlockText"/>
      </w:pPr>
      <w:r>
        <w:t xml:space="preserve">I invoke Twashtir, the foremost and the multi.form [sic] here. May he be soley [sic] ours.</w:t>
      </w:r>
    </w:p>
    <w:bookmarkEnd w:id="605"/>
    <w:bookmarkStart w:id="606" w:name="page-571-rik-10-special-topics"/>
    <w:p>
      <w:pPr>
        <w:pStyle w:val="Heading3"/>
      </w:pPr>
      <w:r>
        <w:t xml:space="preserve">Page 571 — Rik 10: Special Topics</w:t>
      </w:r>
    </w:p>
    <w:p>
      <w:pPr>
        <w:pStyle w:val="FirstParagraph"/>
      </w:pPr>
      <w:r>
        <w:rPr>
          <w:bCs/>
          <w:b/>
        </w:rPr>
        <w:t xml:space="preserve">॥ Viśeṣa-viṣayagaḷu (Special Topics) ॥</w:t>
      </w:r>
    </w:p>
    <w:p>
      <w:pPr>
        <w:pStyle w:val="BodyText"/>
      </w:pPr>
      <w:r>
        <w:t xml:space="preserve">The application of this mantra: in the</w:t>
      </w:r>
      <w:r>
        <w:t xml:space="preserve"> </w:t>
      </w:r>
      <w:r>
        <w:rPr>
          <w:iCs/>
          <w:i/>
        </w:rPr>
        <w:t xml:space="preserve">homa</w:t>
      </w:r>
      <w:r>
        <w:t xml:space="preserve"> </w:t>
      </w:r>
      <w:r>
        <w:t xml:space="preserve">called</w:t>
      </w:r>
      <w:r>
        <w:t xml:space="preserve"> </w:t>
      </w:r>
      <w:r>
        <w:rPr>
          <w:iCs/>
          <w:i/>
        </w:rPr>
        <w:t xml:space="preserve">patnīsaṃyāja</w:t>
      </w:r>
      <w:r>
        <w:t xml:space="preserve"> </w:t>
      </w:r>
      <w:r>
        <w:t xml:space="preserve">in the sacrifice, the Ṛk</w:t>
      </w:r>
      <w:r>
        <w:t xml:space="preserve"> </w:t>
      </w:r>
      <w:r>
        <w:rPr>
          <w:iCs/>
          <w:i/>
        </w:rPr>
        <w:t xml:space="preserve">iha tvaṣṭāram agriyam</w:t>
      </w:r>
      <w:r>
        <w:t xml:space="preserve"> </w:t>
      </w:r>
      <w:r>
        <w:t xml:space="preserve">is used as the</w:t>
      </w:r>
      <w:r>
        <w:t xml:space="preserve"> </w:t>
      </w:r>
      <w:r>
        <w:rPr>
          <w:iCs/>
          <w:i/>
        </w:rPr>
        <w:t xml:space="preserve">puronuvākyā</w:t>
      </w:r>
      <w:r>
        <w:t xml:space="preserve"> </w:t>
      </w:r>
      <w:r>
        <w:t xml:space="preserve">mantra. In the Āśvalāyana Śrauta-sūtra, in the section</w:t>
      </w:r>
      <w:r>
        <w:t xml:space="preserve"> </w:t>
      </w:r>
      <w:r>
        <w:rPr>
          <w:iCs/>
          <w:i/>
        </w:rPr>
        <w:t xml:space="preserve">śaṃ yuvākāya saṃpreṣite</w:t>
      </w:r>
      <w:r>
        <w:t xml:space="preserve">, it is said that the Ṛks</w:t>
      </w:r>
      <w:r>
        <w:t xml:space="preserve"> </w:t>
      </w:r>
      <w:r>
        <w:rPr>
          <w:iCs/>
          <w:i/>
        </w:rPr>
        <w:t xml:space="preserve">saṃ te payāṃsi sam u yantu vājā</w:t>
      </w:r>
      <w:r>
        <w:t xml:space="preserve"> </w:t>
      </w:r>
      <w:r>
        <w:t xml:space="preserve">and</w:t>
      </w:r>
      <w:r>
        <w:t xml:space="preserve"> </w:t>
      </w:r>
      <w:r>
        <w:rPr>
          <w:iCs/>
          <w:i/>
        </w:rPr>
        <w:t xml:space="preserve">iha tvaṣṭāram agriyam</w:t>
      </w:r>
      <w:r>
        <w:t xml:space="preserve"> </w:t>
      </w:r>
      <w:r>
        <w:t xml:space="preserve">(Ṛ. Saṃ. 1-13-10) are to be used as</w:t>
      </w:r>
      <w:r>
        <w:t xml:space="preserve"> </w:t>
      </w:r>
      <w:r>
        <w:rPr>
          <w:iCs/>
          <w:i/>
        </w:rPr>
        <w:t xml:space="preserve">yājyā</w:t>
      </w:r>
      <w:r>
        <w:t xml:space="preserve"> </w:t>
      </w:r>
      <w:r>
        <w:t xml:space="preserve">and</w:t>
      </w:r>
      <w:r>
        <w:t xml:space="preserve"> </w:t>
      </w:r>
      <w:r>
        <w:rPr>
          <w:iCs/>
          <w:i/>
        </w:rPr>
        <w:t xml:space="preserve">puronuvākyā</w:t>
      </w:r>
      <w:r>
        <w:t xml:space="preserve"> </w:t>
      </w:r>
      <w:r>
        <w:t xml:space="preserve">mantras (Āśv. sū. 1-10). Yāska’s explanation:</w:t>
      </w:r>
    </w:p>
    <w:p>
      <w:pPr>
        <w:pStyle w:val="BlockText"/>
      </w:pPr>
      <w:r>
        <w:t xml:space="preserve">त्वष्टा । त्वष्टा तूर्णमश्नुत इति नैरुक्ताः । त्विषेर्वा स्याद्दीप्तिकर्मणस्त्वक्षतेर्वा स्यात्करोतिकर्मणः ॥ माध्यमिकस्त्वष्टेत्याहुर्मध्यमे च स्थाने समाम्नातः । अग्निरिति शाकपूणिः ॥</w:t>
      </w:r>
    </w:p>
    <w:p>
      <w:pPr>
        <w:pStyle w:val="BlockText"/>
      </w:pPr>
      <w:r>
        <w:rPr>
          <w:iCs/>
          <w:i/>
        </w:rPr>
        <w:t xml:space="preserve">tvaṣṭā | tvaṣṭā tūrṇamaśnuta iti nairuktāḥ | tviṣervā syāddīptikarmaṇastvakṣatervā syātkarotikarmaṇaḥ || mādhyamikastvaṣṭetyāhurmadhyame ca sthāne samāmnātaḥ | agniriti śākapūṇiḥ ||</w:t>
      </w:r>
    </w:p>
    <w:p>
      <w:pPr>
        <w:pStyle w:val="FirstParagraph"/>
      </w:pPr>
      <w:r>
        <w:rPr>
          <w:iCs/>
          <w:i/>
        </w:rPr>
        <w:t xml:space="preserve">(Ni. 8-14.)</w:t>
      </w:r>
    </w:p>
    <w:p>
      <w:pPr>
        <w:pStyle w:val="BodyText"/>
      </w:pPr>
      <w:r>
        <w:t xml:space="preserve">That is, the etymologists say the word</w:t>
      </w:r>
      <w:r>
        <w:t xml:space="preserve"> </w:t>
      </w:r>
      <w:r>
        <w:rPr>
          <w:iCs/>
          <w:i/>
        </w:rPr>
        <w:t xml:space="preserve">tvaṣṭā</w:t>
      </w:r>
      <w:r>
        <w:t xml:space="preserve"> </w:t>
      </w:r>
      <w:r>
        <w:t xml:space="preserve">means one who pervades quickly; or one who shines; or one who makes things (crafts? [the source’s own question mark]); some say he is</w:t>
      </w:r>
      <w:r>
        <w:t xml:space="preserve"> </w:t>
      </w:r>
      <w:r>
        <w:rPr>
          <w:iCs/>
          <w:i/>
        </w:rPr>
        <w:t xml:space="preserve">mādhyamika</w:t>
      </w:r>
      <w:r>
        <w:t xml:space="preserve">, that is, one who is between heaven and earth; Śākapūṇi says he is Agni.</w:t>
      </w:r>
    </w:p>
    <w:p>
      <w:pPr>
        <w:pStyle w:val="BodyText"/>
      </w:pPr>
      <w:r>
        <w:t xml:space="preserve">Some also say that Tvaṣṭṛ, like Viśvakarman, is the craftsman of the gods. For in the Ṛk Yāska gives as an example,</w:t>
      </w:r>
    </w:p>
    <w:p>
      <w:pPr>
        <w:pStyle w:val="BlockText"/>
      </w:pPr>
      <w:r>
        <w:t xml:space="preserve">य इमे द्यावापृथिवी जनित्री रूपैरपिंशद्भुवनानि विश्वा ।</w:t>
      </w:r>
      <w:r>
        <w:t xml:space="preserve"> </w:t>
      </w:r>
      <w:r>
        <w:t xml:space="preserve">तमद्य होतरिषितो यजीयान् देवं त्वष्टारमिह यक्षि विद्वान् ॥</w:t>
      </w:r>
    </w:p>
    <w:p>
      <w:pPr>
        <w:pStyle w:val="BlockText"/>
      </w:pPr>
      <w:r>
        <w:rPr>
          <w:iCs/>
          <w:i/>
        </w:rPr>
        <w:t xml:space="preserve">ya ime dyāvāpṛthivī janitrī rūpairapiṃśadbhuvanāni viśvā |</w:t>
      </w:r>
      <w:r>
        <w:t xml:space="preserve"> </w:t>
      </w:r>
      <w:r>
        <w:rPr>
          <w:iCs/>
          <w:i/>
        </w:rPr>
        <w:t xml:space="preserve">tamadya hotariṣito yajīyān devaṃ tvaṣṭāramiha yakṣi vidvān ||</w:t>
      </w:r>
    </w:p>
    <w:p>
      <w:pPr>
        <w:pStyle w:val="FirstParagraph"/>
      </w:pPr>
      <w:r>
        <w:rPr>
          <w:iCs/>
          <w:i/>
        </w:rPr>
        <w:t xml:space="preserve">(Ṛ. Saṃ. 10-110-9.)</w:t>
      </w:r>
      <w:r>
        <w:t xml:space="preserve"> </w:t>
      </w:r>
      <w:r>
        <w:rPr>
          <w:iCs/>
          <w:i/>
        </w:rPr>
        <w:t xml:space="preserve">(</w:t>
      </w:r>
      <w:r>
        <w:rPr>
          <w:iCs/>
          <w:i/>
        </w:rPr>
        <w:t xml:space="preserve">“</w:t>
      </w:r>
      <w:r>
        <w:rPr>
          <w:iCs/>
          <w:i/>
        </w:rPr>
        <w:t xml:space="preserve">He who adorned with forms these two, heaven and earth, the begetters, and all the worlds: that god Tvaṣṭṛ, O hotṛ, urged on today, best at sacrificing, knowing, worship here</w:t>
      </w:r>
      <w:r>
        <w:rPr>
          <w:iCs/>
          <w:i/>
        </w:rPr>
        <w:t xml:space="preserve">”</w:t>
      </w:r>
      <w:r>
        <w:rPr>
          <w:iCs/>
          <w:i/>
        </w:rPr>
        <w:t xml:space="preserve"> </w:t>
      </w:r>
      <w:r>
        <w:rPr>
          <w:iCs/>
          <w:i/>
        </w:rPr>
        <w:t xml:space="preserve">— mine and tentative.)</w:t>
      </w:r>
    </w:p>
    <w:p>
      <w:pPr>
        <w:pStyle w:val="BodyText"/>
      </w:pPr>
      <w:r>
        <w:t xml:space="preserve">it is said that Tvaṣṭṛ is the maker of heaven and earth and the cause of the form, beauty, intelligence, growth and so on suited to each of the beings in all the worlds. Besides this, Śruti (Yajurveda) sentences such as</w:t>
      </w:r>
    </w:p>
    <w:p>
      <w:pPr>
        <w:pStyle w:val="BlockText"/>
      </w:pPr>
      <w:r>
        <w:t xml:space="preserve">त्वष्टा वै पशूनां मिथुनानां रूपकृत्</w:t>
      </w:r>
    </w:p>
    <w:p>
      <w:pPr>
        <w:pStyle w:val="BlockText"/>
      </w:pPr>
      <w:r>
        <w:rPr>
          <w:iCs/>
          <w:i/>
        </w:rPr>
        <w:t xml:space="preserve">tvaṣṭā vai paśūnāṃ mithunānāṃ rūpakṛt</w:t>
      </w:r>
    </w:p>
    <w:p>
      <w:pPr>
        <w:pStyle w:val="FirstParagraph"/>
      </w:pPr>
      <w:r>
        <w:rPr>
          <w:iCs/>
          <w:i/>
        </w:rPr>
        <w:t xml:space="preserve">(T.S.</w:t>
      </w:r>
      <w:r>
        <w:rPr>
          <w:iCs/>
          <w:i/>
        </w:rPr>
        <w:t xml:space="preserve"> </w:t>
      </w:r>
      <w:r>
        <w:rPr>
          <w:iCs/>
          <w:i/>
        </w:rPr>
        <w:t xml:space="preserve">“</w:t>
      </w:r>
      <w:r>
        <w:rPr>
          <w:iCs/>
          <w:i/>
        </w:rPr>
        <w:t xml:space="preserve">6-1-8-5</w:t>
      </w:r>
      <w:r>
        <w:rPr>
          <w:iCs/>
          <w:i/>
        </w:rPr>
        <w:t xml:space="preserve">”</w:t>
      </w:r>
      <w:r>
        <w:rPr>
          <w:iCs/>
          <w:i/>
        </w:rPr>
        <w:t xml:space="preserve"> </w:t>
      </w:r>
      <w:r>
        <w:rPr>
          <w:iCs/>
          <w:i/>
        </w:rPr>
        <w:t xml:space="preserve">[?];</w:t>
      </w:r>
      <w:r>
        <w:rPr>
          <w:iCs/>
          <w:i/>
        </w:rPr>
        <w:t xml:space="preserve"> </w:t>
      </w:r>
      <w:r>
        <w:rPr>
          <w:iCs/>
          <w:i/>
        </w:rPr>
        <w:t xml:space="preserve">“</w:t>
      </w:r>
      <w:r>
        <w:rPr>
          <w:iCs/>
          <w:i/>
        </w:rPr>
        <w:t xml:space="preserve">Tvaṣṭṛ is the maker of the forms of paired animals</w:t>
      </w:r>
      <w:r>
        <w:rPr>
          <w:iCs/>
          <w:i/>
        </w:rPr>
        <w:t xml:space="preserve">”</w:t>
      </w:r>
      <w:r>
        <w:rPr>
          <w:iCs/>
          <w:i/>
        </w:rPr>
        <w:t xml:space="preserve">),</w:t>
      </w:r>
    </w:p>
    <w:p>
      <w:pPr>
        <w:pStyle w:val="BlockText"/>
      </w:pPr>
      <w:r>
        <w:t xml:space="preserve">त्वष्टा रूपाणामधिपतिः</w:t>
      </w:r>
    </w:p>
    <w:p>
      <w:pPr>
        <w:pStyle w:val="BlockText"/>
      </w:pPr>
      <w:r>
        <w:rPr>
          <w:iCs/>
          <w:i/>
        </w:rPr>
        <w:t xml:space="preserve">tvaṣṭā rūpāṇāmadhipatiḥ</w:t>
      </w:r>
    </w:p>
    <w:p>
      <w:pPr>
        <w:pStyle w:val="FirstParagraph"/>
      </w:pPr>
      <w:r>
        <w:rPr>
          <w:iCs/>
          <w:i/>
        </w:rPr>
        <w:t xml:space="preserve">(T.S.</w:t>
      </w:r>
      <w:r>
        <w:rPr>
          <w:iCs/>
          <w:i/>
        </w:rPr>
        <w:t xml:space="preserve"> </w:t>
      </w:r>
      <w:r>
        <w:rPr>
          <w:iCs/>
          <w:i/>
        </w:rPr>
        <w:t xml:space="preserve">“</w:t>
      </w:r>
      <w:r>
        <w:rPr>
          <w:iCs/>
          <w:i/>
        </w:rPr>
        <w:t xml:space="preserve">3-3-</w:t>
      </w:r>
      <w:r>
        <w:rPr>
          <w:iCs/>
          <w:i/>
        </w:rPr>
        <w:t xml:space="preserve">”</w:t>
      </w:r>
      <w:r>
        <w:rPr>
          <w:iCs/>
          <w:i/>
        </w:rPr>
        <w:t xml:space="preserve">, the rest not printed;</w:t>
      </w:r>
      <w:r>
        <w:rPr>
          <w:iCs/>
          <w:i/>
        </w:rPr>
        <w:t xml:space="preserve"> </w:t>
      </w:r>
      <w:r>
        <w:rPr>
          <w:iCs/>
          <w:i/>
        </w:rPr>
        <w:t xml:space="preserve">“</w:t>
      </w:r>
      <w:r>
        <w:rPr>
          <w:iCs/>
          <w:i/>
        </w:rPr>
        <w:t xml:space="preserve">Tvaṣṭṛ is the lord of forms</w:t>
      </w:r>
      <w:r>
        <w:rPr>
          <w:iCs/>
          <w:i/>
        </w:rPr>
        <w:t xml:space="preserve">”</w:t>
      </w:r>
      <w:r>
        <w:rPr>
          <w:iCs/>
          <w:i/>
        </w:rPr>
        <w:t xml:space="preserve">),</w:t>
      </w:r>
    </w:p>
    <w:p>
      <w:pPr>
        <w:pStyle w:val="BlockText"/>
      </w:pPr>
      <w:r>
        <w:t xml:space="preserve">त्वष्टा रूपाणि विकरोति</w:t>
      </w:r>
    </w:p>
    <w:p>
      <w:pPr>
        <w:pStyle w:val="BlockText"/>
      </w:pPr>
      <w:r>
        <w:rPr>
          <w:iCs/>
          <w:i/>
        </w:rPr>
        <w:t xml:space="preserve">tvaṣṭā rūpāṇi vikaroti</w:t>
      </w:r>
    </w:p>
    <w:p>
      <w:pPr>
        <w:pStyle w:val="FirstParagraph"/>
      </w:pPr>
      <w:r>
        <w:rPr>
          <w:iCs/>
          <w:i/>
        </w:rPr>
        <w:t xml:space="preserve">(</w:t>
      </w:r>
      <w:r>
        <w:rPr>
          <w:iCs/>
          <w:i/>
        </w:rPr>
        <w:t xml:space="preserve">“</w:t>
      </w:r>
      <w:r>
        <w:rPr>
          <w:iCs/>
          <w:i/>
        </w:rPr>
        <w:t xml:space="preserve">Tvaṣṭṛ shapes forms</w:t>
      </w:r>
      <w:r>
        <w:rPr>
          <w:iCs/>
          <w:i/>
        </w:rPr>
        <w:t xml:space="preserve">”</w:t>
      </w:r>
      <w:r>
        <w:rPr>
          <w:iCs/>
          <w:i/>
        </w:rPr>
        <w:t xml:space="preserve">)</w:t>
      </w:r>
      <w:r>
        <w:t xml:space="preserve"> </w:t>
      </w:r>
      <w:r>
        <w:t xml:space="preserve">set out Tvaṣṭṛ’s skill in making things. And</w:t>
      </w:r>
    </w:p>
    <w:p>
      <w:pPr>
        <w:pStyle w:val="BlockText"/>
      </w:pPr>
      <w:r>
        <w:t xml:space="preserve">मह्यं त्वष्टा वज्रमतक्षदायसं मयि देवासो ऽवृजन्नपि क्रतुम् ॥</w:t>
      </w:r>
    </w:p>
    <w:p>
      <w:pPr>
        <w:pStyle w:val="BlockText"/>
      </w:pPr>
      <w:r>
        <w:rPr>
          <w:iCs/>
          <w:i/>
        </w:rPr>
        <w:t xml:space="preserve">mahyaṃ tvaṣṭā vajramatakṣadāyasaṃ mayi devāso ’vṛjannapi kratum ||</w:t>
      </w:r>
    </w:p>
    <w:p>
      <w:pPr>
        <w:pStyle w:val="FirstParagraph"/>
      </w:pPr>
      <w:r>
        <w:rPr>
          <w:iCs/>
          <w:i/>
        </w:rPr>
        <w:t xml:space="preserve">(Ṛ. Saṃ. 10-48-3.)</w:t>
      </w:r>
      <w:r>
        <w:t xml:space="preserve"> </w:t>
      </w:r>
      <w:r>
        <w:rPr>
          <w:iCs/>
          <w:i/>
        </w:rPr>
        <w:t xml:space="preserve">(</w:t>
      </w:r>
      <w:r>
        <w:rPr>
          <w:iCs/>
          <w:i/>
        </w:rPr>
        <w:t xml:space="preserve">“</w:t>
      </w:r>
      <w:r>
        <w:rPr>
          <w:iCs/>
          <w:i/>
        </w:rPr>
        <w:t xml:space="preserve">For me Tvaṣṭṛ fashioned the iron thunderbolt; in me the gods placed resolve</w:t>
      </w:r>
      <w:r>
        <w:rPr>
          <w:iCs/>
          <w:i/>
        </w:rPr>
        <w:t xml:space="preserve">”</w:t>
      </w:r>
      <w:r>
        <w:rPr>
          <w:iCs/>
          <w:i/>
        </w:rPr>
        <w:t xml:space="preserve"> </w:t>
      </w:r>
      <w:r>
        <w:rPr>
          <w:iCs/>
          <w:i/>
        </w:rPr>
        <w:t xml:space="preserve">— mine and tentative.)</w:t>
      </w:r>
    </w:p>
    <w:p>
      <w:pPr>
        <w:pStyle w:val="BodyText"/>
      </w:pPr>
      <w:r>
        <w:t xml:space="preserve">Indra says,</w:t>
      </w:r>
      <w:r>
        <w:t xml:space="preserve"> </w:t>
      </w:r>
      <w:r>
        <w:t xml:space="preserve">“</w:t>
      </w:r>
      <w:r>
        <w:t xml:space="preserve">Tvaṣṭṛ made me the thunderbolt-weapon of steel.</w:t>
      </w:r>
      <w:r>
        <w:t xml:space="preserve">”</w:t>
      </w:r>
      <w:r>
        <w:t xml:space="preserve"> </w:t>
      </w:r>
      <w:r>
        <w:t xml:space="preserve">Many mantras of the Ṛgveda say that he made the sacrificial materials the gods need and many other things.</w:t>
      </w:r>
    </w:p>
    <w:bookmarkEnd w:id="606"/>
    <w:bookmarkStart w:id="607" w:name="X46404fc8d2f047b5970f239a8f774b54fba9a0d"/>
    <w:p>
      <w:pPr>
        <w:pStyle w:val="Heading3"/>
      </w:pPr>
      <w:r>
        <w:t xml:space="preserve">Page 572 — Rik 10: Special Topics (end) and grammar</w:t>
      </w:r>
    </w:p>
    <w:p>
      <w:pPr>
        <w:pStyle w:val="FirstParagraph"/>
      </w:pPr>
      <w:r>
        <w:t xml:space="preserve">Tvaṣṭṛ is well known as one of the twelve Ādityas. That is why Yāska explained the sense as</w:t>
      </w:r>
      <w:r>
        <w:t xml:space="preserve"> </w:t>
      </w:r>
      <w:r>
        <w:t xml:space="preserve">“</w:t>
      </w:r>
      <w:r>
        <w:t xml:space="preserve">the shining one</w:t>
      </w:r>
      <w:r>
        <w:t xml:space="preserve">”</w:t>
      </w:r>
      <w:r>
        <w:t xml:space="preserve">.</w:t>
      </w:r>
    </w:p>
    <w:p>
      <w:pPr>
        <w:pStyle w:val="BodyText"/>
      </w:pPr>
      <w:r>
        <w:rPr>
          <w:bCs/>
          <w:b/>
        </w:rPr>
        <w:t xml:space="preserve">Agriyam</w:t>
      </w:r>
      <w:r>
        <w:t xml:space="preserve">:</w:t>
      </w:r>
      <w:r>
        <w:t xml:space="preserve"> </w:t>
      </w:r>
      <w:r>
        <w:rPr>
          <w:iCs/>
          <w:i/>
        </w:rPr>
        <w:t xml:space="preserve">śreṣṭham</w:t>
      </w:r>
      <w:r>
        <w:t xml:space="preserve">,</w:t>
      </w:r>
      <w:r>
        <w:t xml:space="preserve"> </w:t>
      </w:r>
      <w:r>
        <w:rPr>
          <w:iCs/>
          <w:i/>
        </w:rPr>
        <w:t xml:space="preserve">pradhānam</w:t>
      </w:r>
      <w:r>
        <w:t xml:space="preserve">: the best, the chief.</w:t>
      </w:r>
    </w:p>
    <w:p>
      <w:pPr>
        <w:pStyle w:val="BodyText"/>
      </w:pPr>
      <w:r>
        <w:rPr>
          <w:bCs/>
          <w:b/>
        </w:rPr>
        <w:t xml:space="preserve">Viśvarūpam</w:t>
      </w:r>
      <w:r>
        <w:t xml:space="preserve">:</w:t>
      </w:r>
    </w:p>
    <w:p>
      <w:pPr>
        <w:pStyle w:val="BlockText"/>
      </w:pPr>
      <w:r>
        <w:t xml:space="preserve">विश्वानि रूपाणि त्वष्टृत्पन्नत्वेन यस्य ॥</w:t>
      </w:r>
    </w:p>
    <w:p>
      <w:pPr>
        <w:pStyle w:val="BlockText"/>
      </w:pPr>
      <w:r>
        <w:rPr>
          <w:iCs/>
          <w:i/>
        </w:rPr>
        <w:t xml:space="preserve">viśvāni rūpāṇi tvaṣṭṛtpannatvena yasya ||</w:t>
      </w:r>
    </w:p>
    <w:p>
      <w:pPr>
        <w:pStyle w:val="FirstParagraph"/>
      </w:pPr>
      <w:r>
        <w:t xml:space="preserve">Since he is the cause and maker of many forms, he is called</w:t>
      </w:r>
      <w:r>
        <w:t xml:space="preserve"> </w:t>
      </w:r>
      <w:r>
        <w:rPr>
          <w:iCs/>
          <w:i/>
        </w:rPr>
        <w:t xml:space="preserve">viśvarūpa</w:t>
      </w:r>
      <w:r>
        <w:t xml:space="preserve">.</w:t>
      </w:r>
    </w:p>
    <w:p>
      <w:pPr>
        <w:pStyle w:val="BodyText"/>
      </w:pPr>
      <w:r>
        <w:rPr>
          <w:bCs/>
          <w:b/>
        </w:rPr>
        <w:t xml:space="preserve">Asmākam astu kevalaḥ</w:t>
      </w:r>
      <w:r>
        <w:t xml:space="preserve">: the third quarter of this Ṛk,</w:t>
      </w:r>
      <w:r>
        <w:t xml:space="preserve"> </w:t>
      </w:r>
      <w:r>
        <w:rPr>
          <w:iCs/>
          <w:i/>
        </w:rPr>
        <w:t xml:space="preserve">asmākam astu kevalaḥ</w:t>
      </w:r>
      <w:r>
        <w:t xml:space="preserve">, is found also in the Ṛk Ṛ. Saṃ. 1-7-10, where it refers to Indra. Its sense is</w:t>
      </w:r>
      <w:r>
        <w:t xml:space="preserve"> </w:t>
      </w:r>
      <w:r>
        <w:t xml:space="preserve">“</w:t>
      </w:r>
      <w:r>
        <w:t xml:space="preserve">may he be our chief benefactor</w:t>
      </w:r>
      <w:r>
        <w:t xml:space="preserve">”</w:t>
      </w:r>
      <w:r>
        <w:t xml:space="preserve">.</w:t>
      </w:r>
    </w:p>
    <w:p>
      <w:pPr>
        <w:pStyle w:val="BodyText"/>
      </w:pPr>
      <w:r>
        <w:rPr>
          <w:bCs/>
          <w:b/>
        </w:rPr>
        <w:t xml:space="preserve">॥ Vyākaraṇa-prakriyā ॥</w:t>
      </w:r>
      <w:r>
        <w:t xml:space="preserve"> </w:t>
      </w:r>
      <w:r>
        <w:rPr>
          <w:iCs/>
          <w:i/>
        </w:rPr>
        <w:t xml:space="preserve">(grammar pages 572–575, noted briefly)</w:t>
      </w:r>
    </w:p>
    <w:p>
      <w:pPr>
        <w:pStyle w:val="BodyText"/>
      </w:pPr>
      <w:r>
        <w:rPr>
          <w:bCs/>
          <w:b/>
        </w:rPr>
        <w:t xml:space="preserve">त्वष्टारम् (</w:t>
      </w:r>
      <w:r>
        <w:rPr>
          <w:iCs/>
          <w:i/>
          <w:bCs/>
          <w:b/>
        </w:rPr>
        <w:t xml:space="preserve">tvaṣṭāram</w:t>
      </w:r>
      <w:r>
        <w:rPr>
          <w:bCs/>
          <w:b/>
        </w:rPr>
        <w:t xml:space="preserve">)</w:t>
      </w:r>
      <w:r>
        <w:t xml:space="preserve">:</w:t>
      </w:r>
      <w:r>
        <w:t xml:space="preserve"> </w:t>
      </w:r>
      <w:r>
        <w:rPr>
          <w:iCs/>
          <w:i/>
        </w:rPr>
        <w:t xml:space="preserve">takṣū tvakṣū tanūkaraṇe</w:t>
      </w:r>
      <w:r>
        <w:t xml:space="preserve">;</w:t>
      </w:r>
      <w:r>
        <w:t xml:space="preserve"> </w:t>
      </w:r>
      <w:r>
        <w:rPr>
          <w:iCs/>
          <w:i/>
        </w:rPr>
        <w:t xml:space="preserve">tvakṣū</w:t>
      </w:r>
      <w:r>
        <w:t xml:space="preserve"> </w:t>
      </w:r>
      <w:r>
        <w:t xml:space="preserve">+</w:t>
      </w:r>
      <w:r>
        <w:t xml:space="preserve"> </w:t>
      </w:r>
      <w:r>
        <w:rPr>
          <w:iCs/>
          <w:i/>
        </w:rPr>
        <w:t xml:space="preserve">tṛn</w:t>
      </w:r>
      <w:r>
        <w:t xml:space="preserve">; the root is</w:t>
      </w:r>
      <w:r>
        <w:t xml:space="preserve"> </w:t>
      </w:r>
      <w:r>
        <w:rPr>
          <w:iCs/>
          <w:i/>
        </w:rPr>
        <w:t xml:space="preserve">ūdit</w:t>
      </w:r>
      <w:r>
        <w:t xml:space="preserve">, so by</w:t>
      </w:r>
      <w:r>
        <w:t xml:space="preserve"> </w:t>
      </w:r>
      <w:r>
        <w:t xml:space="preserve">“</w:t>
      </w:r>
      <w:r>
        <w:t xml:space="preserve">svaratisūtisūyatidhūñūdito vā</w:t>
      </w:r>
      <w:r>
        <w:t xml:space="preserve">”</w:t>
      </w:r>
      <w:r>
        <w:t xml:space="preserve"> </w:t>
      </w:r>
      <w:r>
        <w:t xml:space="preserve">(Pā. sū. 7-2-44)</w:t>
      </w:r>
      <w:r>
        <w:t xml:space="preserve"> </w:t>
      </w:r>
      <w:r>
        <w:rPr>
          <w:iCs/>
          <w:i/>
        </w:rPr>
        <w:t xml:space="preserve">iṭ</w:t>
      </w:r>
      <w:r>
        <w:t xml:space="preserve"> </w:t>
      </w:r>
      <w:r>
        <w:t xml:space="preserve">is optional; without</w:t>
      </w:r>
      <w:r>
        <w:t xml:space="preserve"> </w:t>
      </w:r>
      <w:r>
        <w:rPr>
          <w:iCs/>
          <w:i/>
        </w:rPr>
        <w:t xml:space="preserve">iṭ</w:t>
      </w:r>
      <w:r>
        <w:t xml:space="preserve">,</w:t>
      </w:r>
      <w:r>
        <w:t xml:space="preserve"> </w:t>
      </w:r>
      <w:r>
        <w:rPr>
          <w:iCs/>
          <w:i/>
        </w:rPr>
        <w:t xml:space="preserve">tvakṣ</w:t>
      </w:r>
      <w:r>
        <w:t xml:space="preserve"> </w:t>
      </w:r>
      <w:r>
        <w:t xml:space="preserve">+</w:t>
      </w:r>
      <w:r>
        <w:t xml:space="preserve"> </w:t>
      </w:r>
      <w:r>
        <w:rPr>
          <w:iCs/>
          <w:i/>
        </w:rPr>
        <w:t xml:space="preserve">tṛ</w:t>
      </w:r>
      <w:r>
        <w:t xml:space="preserve">: by</w:t>
      </w:r>
      <w:r>
        <w:t xml:space="preserve"> </w:t>
      </w:r>
      <w:r>
        <w:t xml:space="preserve">“</w:t>
      </w:r>
      <w:r>
        <w:t xml:space="preserve">skoḥ saṃyogādyor ante ca</w:t>
      </w:r>
      <w:r>
        <w:t xml:space="preserve">”</w:t>
      </w:r>
      <w:r>
        <w:t xml:space="preserve"> </w:t>
      </w:r>
      <w:r>
        <w:t xml:space="preserve">(Pā. sū. 8-2-29) the</w:t>
      </w:r>
      <w:r>
        <w:t xml:space="preserve"> </w:t>
      </w:r>
      <w:r>
        <w:rPr>
          <w:iCs/>
          <w:i/>
        </w:rPr>
        <w:t xml:space="preserve">s</w:t>
      </w:r>
      <w:r>
        <w:t xml:space="preserve"> </w:t>
      </w:r>
      <w:r>
        <w:t xml:space="preserve">or</w:t>
      </w:r>
      <w:r>
        <w:t xml:space="preserve"> </w:t>
      </w:r>
      <w:r>
        <w:rPr>
          <w:iCs/>
          <w:i/>
        </w:rPr>
        <w:t xml:space="preserve">k</w:t>
      </w:r>
      <w:r>
        <w:t xml:space="preserve"> </w:t>
      </w:r>
      <w:r>
        <w:t xml:space="preserve">at the start of a conjunct at the end of a</w:t>
      </w:r>
      <w:r>
        <w:t xml:space="preserve"> </w:t>
      </w:r>
      <w:r>
        <w:rPr>
          <w:iCs/>
          <w:i/>
        </w:rPr>
        <w:t xml:space="preserve">pada</w:t>
      </w:r>
      <w:r>
        <w:t xml:space="preserve"> </w:t>
      </w:r>
      <w:r>
        <w:t xml:space="preserve">or before a</w:t>
      </w:r>
      <w:r>
        <w:t xml:space="preserve"> </w:t>
      </w:r>
      <w:r>
        <w:rPr>
          <w:iCs/>
          <w:i/>
        </w:rPr>
        <w:t xml:space="preserve">jhal</w:t>
      </w:r>
      <w:r>
        <w:t xml:space="preserve"> </w:t>
      </w:r>
      <w:r>
        <w:t xml:space="preserve">drops, so</w:t>
      </w:r>
      <w:r>
        <w:t xml:space="preserve"> </w:t>
      </w:r>
      <w:r>
        <w:rPr>
          <w:iCs/>
          <w:i/>
        </w:rPr>
        <w:t xml:space="preserve">k</w:t>
      </w:r>
      <w:r>
        <w:t xml:space="preserve"> </w:t>
      </w:r>
      <w:r>
        <w:t xml:space="preserve">drops:</w:t>
      </w:r>
      <w:r>
        <w:t xml:space="preserve"> </w:t>
      </w:r>
      <w:r>
        <w:rPr>
          <w:iCs/>
          <w:i/>
        </w:rPr>
        <w:t xml:space="preserve">tvaṣ</w:t>
      </w:r>
      <w:r>
        <w:t xml:space="preserve"> </w:t>
      </w:r>
      <w:r>
        <w:t xml:space="preserve">+</w:t>
      </w:r>
      <w:r>
        <w:t xml:space="preserve"> </w:t>
      </w:r>
      <w:r>
        <w:rPr>
          <w:iCs/>
          <w:i/>
        </w:rPr>
        <w:t xml:space="preserve">tṛ</w:t>
      </w:r>
      <w:r>
        <w:t xml:space="preserve">;</w:t>
      </w:r>
      <w:r>
        <w:t xml:space="preserve"> </w:t>
      </w:r>
      <w:r>
        <w:t xml:space="preserve">“</w:t>
      </w:r>
      <w:r>
        <w:t xml:space="preserve">ṣṭunā ṣṭuḥ</w:t>
      </w:r>
      <w:r>
        <w:t xml:space="preserve">”</w:t>
      </w:r>
      <w:r>
        <w:t xml:space="preserve"> </w:t>
      </w:r>
      <w:r>
        <w:t xml:space="preserve">(Pā. sū. 8-4-41) gives</w:t>
      </w:r>
      <w:r>
        <w:t xml:space="preserve"> </w:t>
      </w:r>
      <w:r>
        <w:rPr>
          <w:iCs/>
          <w:i/>
        </w:rPr>
        <w:t xml:space="preserve">ṭ</w:t>
      </w:r>
      <w:r>
        <w:t xml:space="preserve">:</w:t>
      </w:r>
      <w:r>
        <w:t xml:space="preserve"> </w:t>
      </w:r>
      <w:r>
        <w:rPr>
          <w:iCs/>
          <w:i/>
        </w:rPr>
        <w:t xml:space="preserve">tvaṣṭṛ</w:t>
      </w:r>
      <w:r>
        <w:t xml:space="preserve">; accusative singular</w:t>
      </w:r>
      <w:r>
        <w:t xml:space="preserve"> </w:t>
      </w:r>
      <w:r>
        <w:rPr>
          <w:iCs/>
          <w:i/>
        </w:rPr>
        <w:t xml:space="preserve">am</w:t>
      </w:r>
      <w:r>
        <w:t xml:space="preserve">;</w:t>
      </w:r>
      <w:r>
        <w:t xml:space="preserve"> </w:t>
      </w:r>
      <w:r>
        <w:rPr>
          <w:iCs/>
          <w:i/>
        </w:rPr>
        <w:t xml:space="preserve">guṇa</w:t>
      </w:r>
      <w:r>
        <w:t xml:space="preserve"> </w:t>
      </w:r>
      <w:r>
        <w:t xml:space="preserve">by</w:t>
      </w:r>
      <w:r>
        <w:t xml:space="preserve"> </w:t>
      </w:r>
      <w:r>
        <w:t xml:space="preserve">“</w:t>
      </w:r>
      <w:r>
        <w:t xml:space="preserve">ṛto ṅisarvanāmasthānayoḥ</w:t>
      </w:r>
      <w:r>
        <w:t xml:space="preserve">”</w:t>
      </w:r>
      <w:r>
        <w:t xml:space="preserve"> </w:t>
      </w:r>
      <w:r>
        <w:t xml:space="preserve">(Pā. sū. 7-3-110),</w:t>
      </w:r>
      <w:r>
        <w:t xml:space="preserve"> </w:t>
      </w:r>
      <w:r>
        <w:rPr>
          <w:iCs/>
          <w:i/>
        </w:rPr>
        <w:t xml:space="preserve">r</w:t>
      </w:r>
      <w:r>
        <w:t xml:space="preserve"> </w:t>
      </w:r>
      <w:r>
        <w:t xml:space="preserve">by</w:t>
      </w:r>
      <w:r>
        <w:t xml:space="preserve"> </w:t>
      </w:r>
      <w:r>
        <w:t xml:space="preserve">“</w:t>
      </w:r>
      <w:r>
        <w:t xml:space="preserve">uraṇ raparaḥ</w:t>
      </w:r>
      <w:r>
        <w:t xml:space="preserve">”</w:t>
      </w:r>
      <w:r>
        <w:t xml:space="preserve"> </w:t>
      </w:r>
      <w:r>
        <w:t xml:space="preserve">(Pā. sū. 1-1-51); penultimate lengthened by</w:t>
      </w:r>
      <w:r>
        <w:t xml:space="preserve"> </w:t>
      </w:r>
      <w:r>
        <w:t xml:space="preserve">“</w:t>
      </w:r>
      <w:r>
        <w:t xml:space="preserve">ap tṛn tṛc…</w:t>
      </w:r>
      <w:r>
        <w:t xml:space="preserve">”</w:t>
      </w:r>
      <w:r>
        <w:t xml:space="preserve"> </w:t>
      </w:r>
      <w:r>
        <w:t xml:space="preserve">(Pā. sū. 6-4-11):</w:t>
      </w:r>
      <w:r>
        <w:t xml:space="preserve"> </w:t>
      </w:r>
      <w:r>
        <w:rPr>
          <w:iCs/>
          <w:i/>
        </w:rPr>
        <w:t xml:space="preserve">tvaṣṭāram</w:t>
      </w:r>
      <w:r>
        <w:t xml:space="preserve">;</w:t>
      </w:r>
      <w:r>
        <w:t xml:space="preserve"> </w:t>
      </w:r>
      <w:r>
        <w:rPr>
          <w:iCs/>
          <w:i/>
        </w:rPr>
        <w:t xml:space="preserve">tṛn</w:t>
      </w:r>
      <w:r>
        <w:t xml:space="preserve"> </w:t>
      </w:r>
      <w:r>
        <w:t xml:space="preserve">is</w:t>
      </w:r>
      <w:r>
        <w:t xml:space="preserve"> </w:t>
      </w:r>
      <w:r>
        <w:rPr>
          <w:iCs/>
          <w:i/>
        </w:rPr>
        <w:t xml:space="preserve">nit</w:t>
      </w:r>
      <w:r>
        <w:t xml:space="preserve">, so initial udātta.</w:t>
      </w:r>
      <w:r>
        <w:t xml:space="preserve"> </w:t>
      </w:r>
      <w:r>
        <w:rPr>
          <w:bCs/>
          <w:b/>
        </w:rPr>
        <w:t xml:space="preserve">अग्रियम् (</w:t>
      </w:r>
      <w:r>
        <w:rPr>
          <w:iCs/>
          <w:i/>
          <w:bCs/>
          <w:b/>
        </w:rPr>
        <w:t xml:space="preserve">agriyam</w:t>
      </w:r>
      <w:r>
        <w:rPr>
          <w:bCs/>
          <w:b/>
        </w:rPr>
        <w:t xml:space="preserve">)</w:t>
      </w:r>
      <w:r>
        <w:t xml:space="preserve">:</w:t>
      </w:r>
      <w:r>
        <w:t xml:space="preserve"> </w:t>
      </w:r>
      <w:r>
        <w:t xml:space="preserve">“</w:t>
      </w:r>
      <w:r>
        <w:t xml:space="preserve">ghacchau ca</w:t>
      </w:r>
      <w:r>
        <w:t xml:space="preserve">”</w:t>
      </w:r>
      <w:r>
        <w:t xml:space="preserve"> </w:t>
      </w:r>
      <w:r>
        <w:t xml:space="preserve">(Pā. sū.</w:t>
      </w:r>
      <w:r>
        <w:t xml:space="preserve"> </w:t>
      </w:r>
      <w:r>
        <w:t xml:space="preserve">“</w:t>
      </w:r>
      <w:r>
        <w:t xml:space="preserve">4-4-117</w:t>
      </w:r>
      <w:r>
        <w:t xml:space="preserve">”</w:t>
      </w:r>
      <w:r>
        <w:t xml:space="preserve"> </w:t>
      </w:r>
      <w:r>
        <w:t xml:space="preserve">[?]) with</w:t>
      </w:r>
      <w:r>
        <w:t xml:space="preserve"> </w:t>
      </w:r>
      <w:r>
        <w:rPr>
          <w:iCs/>
          <w:i/>
        </w:rPr>
        <w:t xml:space="preserve">agrāt</w:t>
      </w:r>
      <w:r>
        <w:t xml:space="preserve"> </w:t>
      </w:r>
      <w:r>
        <w:t xml:space="preserve">carried on from</w:t>
      </w:r>
      <w:r>
        <w:t xml:space="preserve"> </w:t>
      </w:r>
      <w:r>
        <w:t xml:space="preserve">“</w:t>
      </w:r>
      <w:r>
        <w:t xml:space="preserve">agrād yat</w:t>
      </w:r>
      <w:r>
        <w:t xml:space="preserve">”</w:t>
      </w:r>
      <w:r>
        <w:t xml:space="preserve"> </w:t>
      </w:r>
      <w:r>
        <w:t xml:space="preserve">(Pā. sū. 4-4-116): after</w:t>
      </w:r>
      <w:r>
        <w:t xml:space="preserve"> </w:t>
      </w:r>
      <w:r>
        <w:rPr>
          <w:iCs/>
          <w:i/>
        </w:rPr>
        <w:t xml:space="preserve">agra</w:t>
      </w:r>
      <w:r>
        <w:t xml:space="preserve"> </w:t>
      </w:r>
      <w:r>
        <w:t xml:space="preserve">in the locative, in the sense</w:t>
      </w:r>
      <w:r>
        <w:t xml:space="preserve"> </w:t>
      </w:r>
      <w:r>
        <w:rPr>
          <w:iCs/>
          <w:i/>
        </w:rPr>
        <w:t xml:space="preserve">bhavaḥ</w:t>
      </w:r>
      <w:r>
        <w:t xml:space="preserve">,</w:t>
      </w:r>
      <w:r>
        <w:t xml:space="preserve"> </w:t>
      </w:r>
      <w:r>
        <w:rPr>
          <w:iCs/>
          <w:i/>
        </w:rPr>
        <w:t xml:space="preserve">ghac</w:t>
      </w:r>
      <w:r>
        <w:t xml:space="preserve"> </w:t>
      </w:r>
      <w:r>
        <w:t xml:space="preserve">and</w:t>
      </w:r>
      <w:r>
        <w:t xml:space="preserve"> </w:t>
      </w:r>
      <w:r>
        <w:rPr>
          <w:iCs/>
          <w:i/>
        </w:rPr>
        <w:t xml:space="preserve">cha</w:t>
      </w:r>
      <w:r>
        <w:t xml:space="preserve">;</w:t>
      </w:r>
      <w:r>
        <w:t xml:space="preserve"> </w:t>
      </w:r>
      <w:r>
        <w:rPr>
          <w:iCs/>
          <w:i/>
        </w:rPr>
        <w:t xml:space="preserve">agra</w:t>
      </w:r>
      <w:r>
        <w:t xml:space="preserve"> </w:t>
      </w:r>
      <w:r>
        <w:t xml:space="preserve">+</w:t>
      </w:r>
      <w:r>
        <w:t xml:space="preserve"> </w:t>
      </w:r>
      <w:r>
        <w:rPr>
          <w:iCs/>
          <w:i/>
        </w:rPr>
        <w:t xml:space="preserve">gha</w:t>
      </w:r>
      <w:r>
        <w:t xml:space="preserve">; by</w:t>
      </w:r>
      <w:r>
        <w:t xml:space="preserve"> </w:t>
      </w:r>
      <w:r>
        <w:t xml:space="preserve">“</w:t>
      </w:r>
      <w:r>
        <w:t xml:space="preserve">āyaneyīnīyiyaḥ phaḍhakhachaghāṃ pratyayādīnām</w:t>
      </w:r>
      <w:r>
        <w:t xml:space="preserve">”</w:t>
      </w:r>
      <w:r>
        <w:t xml:space="preserve"> </w:t>
      </w:r>
      <w:r>
        <w:t xml:space="preserve">(Pā. sū. 7-1-2)</w:t>
      </w:r>
      <w:r>
        <w:t xml:space="preserve"> </w:t>
      </w:r>
      <w:r>
        <w:rPr>
          <w:iCs/>
          <w:i/>
        </w:rPr>
        <w:t xml:space="preserve">gh</w:t>
      </w:r>
      <w:r>
        <w:t xml:space="preserve"> </w:t>
      </w:r>
      <w:r>
        <w:t xml:space="preserve">→</w:t>
      </w:r>
      <w:r>
        <w:t xml:space="preserve"> </w:t>
      </w:r>
      <w:r>
        <w:rPr>
          <w:iCs/>
          <w:i/>
        </w:rPr>
        <w:t xml:space="preserve">iy</w:t>
      </w:r>
      <w:r>
        <w:t xml:space="preserve">:</w:t>
      </w:r>
      <w:r>
        <w:t xml:space="preserve"> </w:t>
      </w:r>
      <w:r>
        <w:rPr>
          <w:iCs/>
          <w:i/>
        </w:rPr>
        <w:t xml:space="preserve">agra</w:t>
      </w:r>
      <w:r>
        <w:t xml:space="preserve"> </w:t>
      </w:r>
      <w:r>
        <w:t xml:space="preserve">+</w:t>
      </w:r>
      <w:r>
        <w:t xml:space="preserve"> </w:t>
      </w:r>
      <w:r>
        <w:rPr>
          <w:iCs/>
          <w:i/>
        </w:rPr>
        <w:t xml:space="preserve">iy</w:t>
      </w:r>
      <w:r>
        <w:t xml:space="preserve"> </w:t>
      </w:r>
      <w:r>
        <w:t xml:space="preserve">+</w:t>
      </w:r>
      <w:r>
        <w:t xml:space="preserve"> </w:t>
      </w:r>
      <w:r>
        <w:rPr>
          <w:iCs/>
          <w:i/>
        </w:rPr>
        <w:t xml:space="preserve">a</w:t>
      </w:r>
      <w:r>
        <w:t xml:space="preserve">;</w:t>
      </w:r>
      <w:r>
        <w:t xml:space="preserve"> </w:t>
      </w:r>
      <w:r>
        <w:rPr>
          <w:iCs/>
          <w:i/>
        </w:rPr>
        <w:t xml:space="preserve">a</w:t>
      </w:r>
      <w:r>
        <w:t xml:space="preserve"> </w:t>
      </w:r>
      <w:r>
        <w:t xml:space="preserve">dropped by</w:t>
      </w:r>
      <w:r>
        <w:t xml:space="preserve"> </w:t>
      </w:r>
      <w:r>
        <w:t xml:space="preserve">“</w:t>
      </w:r>
      <w:r>
        <w:t xml:space="preserve">yasyeti ca</w:t>
      </w:r>
      <w:r>
        <w:t xml:space="preserve">”</w:t>
      </w:r>
      <w:r>
        <w:t xml:space="preserve"> </w:t>
      </w:r>
      <w:r>
        <w:t xml:space="preserve">(Pā. sū. 6-4-148):</w:t>
      </w:r>
      <w:r>
        <w:t xml:space="preserve"> </w:t>
      </w:r>
      <w:r>
        <w:rPr>
          <w:iCs/>
          <w:i/>
        </w:rPr>
        <w:t xml:space="preserve">agriya</w:t>
      </w:r>
      <w:r>
        <w:t xml:space="preserve">. The question of its accent follows:</w:t>
      </w:r>
    </w:p>
    <w:bookmarkEnd w:id="607"/>
    <w:bookmarkStart w:id="608" w:name="page-573-rik-10-grammar-continued"/>
    <w:p>
      <w:pPr>
        <w:pStyle w:val="Heading3"/>
      </w:pPr>
      <w:r>
        <w:t xml:space="preserve">Page 573 — Rik 10: grammar (continued)</w:t>
      </w:r>
    </w:p>
    <w:p>
      <w:pPr>
        <w:pStyle w:val="FirstParagraph"/>
      </w:pPr>
      <w:r>
        <w:t xml:space="preserve">These replacements fall on</w:t>
      </w:r>
      <w:r>
        <w:t xml:space="preserve"> </w:t>
      </w:r>
      <w:r>
        <w:rPr>
          <w:iCs/>
          <w:i/>
        </w:rPr>
        <w:t xml:space="preserve">ph</w:t>
      </w:r>
      <w:r>
        <w:t xml:space="preserve"> </w:t>
      </w:r>
      <w:r>
        <w:t xml:space="preserve">and the other consonants that begin suffixes; here</w:t>
      </w:r>
      <w:r>
        <w:t xml:space="preserve"> </w:t>
      </w:r>
      <w:r>
        <w:rPr>
          <w:iCs/>
          <w:i/>
        </w:rPr>
        <w:t xml:space="preserve">gh</w:t>
      </w:r>
      <w:r>
        <w:t xml:space="preserve"> </w:t>
      </w:r>
      <w:r>
        <w:t xml:space="preserve">becomes</w:t>
      </w:r>
      <w:r>
        <w:t xml:space="preserve"> </w:t>
      </w:r>
      <w:r>
        <w:rPr>
          <w:iCs/>
          <w:i/>
        </w:rPr>
        <w:t xml:space="preserve">iy</w:t>
      </w:r>
      <w:r>
        <w:t xml:space="preserve">. Being taught under the</w:t>
      </w:r>
      <w:r>
        <w:t xml:space="preserve"> </w:t>
      </w:r>
      <w:r>
        <w:rPr>
          <w:iCs/>
          <w:i/>
        </w:rPr>
        <w:t xml:space="preserve">aṅga</w:t>
      </w:r>
      <w:r>
        <w:t xml:space="preserve"> </w:t>
      </w:r>
      <w:r>
        <w:t xml:space="preserve">heading, they depend on both stem and suffix, so they are</w:t>
      </w:r>
      <w:r>
        <w:t xml:space="preserve"> </w:t>
      </w:r>
      <w:r>
        <w:rPr>
          <w:iCs/>
          <w:i/>
        </w:rPr>
        <w:t xml:space="preserve">bahiraṅga</w:t>
      </w:r>
      <w:r>
        <w:t xml:space="preserve">;</w:t>
      </w:r>
      <w:r>
        <w:t xml:space="preserve"> </w:t>
      </w:r>
      <w:r>
        <w:t xml:space="preserve">“</w:t>
      </w:r>
      <w:r>
        <w:t xml:space="preserve">ādyudāttaś ca</w:t>
      </w:r>
      <w:r>
        <w:t xml:space="preserve">”</w:t>
      </w:r>
      <w:r>
        <w:t xml:space="preserve"> </w:t>
      </w:r>
      <w:r>
        <w:t xml:space="preserve">(Pā. sū. 3-1-3) does not depend on the stem, so it is</w:t>
      </w:r>
      <w:r>
        <w:t xml:space="preserve"> </w:t>
      </w:r>
      <w:r>
        <w:rPr>
          <w:iCs/>
          <w:i/>
        </w:rPr>
        <w:t xml:space="preserve">antaraṅga</w:t>
      </w:r>
      <w:r>
        <w:t xml:space="preserve">, and the initial udātta comes before the</w:t>
      </w:r>
      <w:r>
        <w:t xml:space="preserve"> </w:t>
      </w:r>
      <w:r>
        <w:rPr>
          <w:iCs/>
          <w:i/>
        </w:rPr>
        <w:t xml:space="preserve">āyan</w:t>
      </w:r>
      <w:r>
        <w:t xml:space="preserve">-type replacements.</w:t>
      </w:r>
      <w:r>
        <w:t xml:space="preserve"> </w:t>
      </w:r>
      <w:r>
        <w:t xml:space="preserve">“</w:t>
      </w:r>
      <w:r>
        <w:t xml:space="preserve">pratyayaḥ</w:t>
      </w:r>
      <w:r>
        <w:t xml:space="preserve">”</w:t>
      </w:r>
      <w:r>
        <w:t xml:space="preserve"> </w:t>
      </w:r>
      <w:r>
        <w:t xml:space="preserve">(Pā. sū. 3-1-1),</w:t>
      </w:r>
      <w:r>
        <w:t xml:space="preserve"> </w:t>
      </w:r>
      <w:r>
        <w:t xml:space="preserve">“</w:t>
      </w:r>
      <w:r>
        <w:t xml:space="preserve">paraś ca</w:t>
      </w:r>
      <w:r>
        <w:t xml:space="preserve">”</w:t>
      </w:r>
      <w:r>
        <w:t xml:space="preserve"> </w:t>
      </w:r>
      <w:r>
        <w:t xml:space="preserve">(Pā. sū. 3-1-2) and</w:t>
      </w:r>
      <w:r>
        <w:t xml:space="preserve"> </w:t>
      </w:r>
      <w:r>
        <w:t xml:space="preserve">“</w:t>
      </w:r>
      <w:r>
        <w:t xml:space="preserve">ādyudāttaś ca</w:t>
      </w:r>
      <w:r>
        <w:t xml:space="preserve">”</w:t>
      </w:r>
      <w:r>
        <w:t xml:space="preserve"> </w:t>
      </w:r>
      <w:r>
        <w:t xml:space="preserve">(Pā. sū. 3-1-3) all govern suffix rules, so the initial udātta is tied to the introduction of the suffix: first the accent of</w:t>
      </w:r>
      <w:r>
        <w:t xml:space="preserve"> </w:t>
      </w:r>
      <w:r>
        <w:rPr>
          <w:iCs/>
          <w:i/>
        </w:rPr>
        <w:t xml:space="preserve">ghac</w:t>
      </w:r>
      <w:r>
        <w:t xml:space="preserve">, then</w:t>
      </w:r>
      <w:r>
        <w:t xml:space="preserve"> </w:t>
      </w:r>
      <w:r>
        <w:rPr>
          <w:iCs/>
          <w:i/>
        </w:rPr>
        <w:t xml:space="preserve">iy</w:t>
      </w:r>
      <w:r>
        <w:t xml:space="preserve"> </w:t>
      </w:r>
      <w:r>
        <w:t xml:space="preserve">for</w:t>
      </w:r>
      <w:r>
        <w:t xml:space="preserve"> </w:t>
      </w:r>
      <w:r>
        <w:rPr>
          <w:iCs/>
          <w:i/>
        </w:rPr>
        <w:t xml:space="preserve">gh</w:t>
      </w:r>
      <w:r>
        <w:t xml:space="preserve">.</w:t>
      </w:r>
      <w:r>
        <w:t xml:space="preserve"> </w:t>
      </w:r>
      <w:r>
        <w:rPr>
          <w:iCs/>
          <w:i/>
        </w:rPr>
        <w:t xml:space="preserve">Gh</w:t>
      </w:r>
      <w:r>
        <w:t xml:space="preserve"> </w:t>
      </w:r>
      <w:r>
        <w:t xml:space="preserve">is a consonant and has no accent; the replacement too comes in, by</w:t>
      </w:r>
      <w:r>
        <w:t xml:space="preserve"> </w:t>
      </w:r>
      <w:r>
        <w:rPr>
          <w:iCs/>
          <w:i/>
        </w:rPr>
        <w:t xml:space="preserve">āntaratamya</w:t>
      </w:r>
      <w:r>
        <w:t xml:space="preserve">, without accent. The Bhāṣyakāra says this:</w:t>
      </w:r>
    </w:p>
    <w:p>
      <w:pPr>
        <w:pStyle w:val="BlockText"/>
      </w:pPr>
      <w:r>
        <w:t xml:space="preserve">अक्रियमाणे ह्युपदेशिवद्भावे प्रत्ययसंज्ञासन्नियोगेनाद्युदात्तत्वे कृते ऽन्तर्यत आदेशा अस्वरकाणामस्वरकाः स्युः</w:t>
      </w:r>
    </w:p>
    <w:p>
      <w:pPr>
        <w:pStyle w:val="BlockText"/>
      </w:pPr>
      <w:r>
        <w:rPr>
          <w:iCs/>
          <w:i/>
        </w:rPr>
        <w:t xml:space="preserve">akriyamāṇe hyupadeśivadbhāve pratyayasaṃjñāsanniyogenādyudāttatve kṛte ’ntaryata ādeśā asvarakāṇāmasvarakāḥ syuḥ</w:t>
      </w:r>
    </w:p>
    <w:p>
      <w:pPr>
        <w:pStyle w:val="FirstParagraph"/>
      </w:pPr>
      <w:r>
        <w:rPr>
          <w:iCs/>
          <w:i/>
        </w:rPr>
        <w:t xml:space="preserve">(7-1-2 MB.)</w:t>
      </w:r>
      <w:r>
        <w:t xml:space="preserve"> </w:t>
      </w:r>
      <w:r>
        <w:t xml:space="preserve">Though without accent when they come in, a sound cannot be uttered without accent, so by</w:t>
      </w:r>
      <w:r>
        <w:t xml:space="preserve"> </w:t>
      </w:r>
      <w:r>
        <w:t xml:space="preserve">“</w:t>
      </w:r>
      <w:r>
        <w:t xml:space="preserve">anudāttaṃ padam ekavarjam</w:t>
      </w:r>
      <w:r>
        <w:t xml:space="preserve">”</w:t>
      </w:r>
      <w:r>
        <w:t xml:space="preserve"> </w:t>
      </w:r>
      <w:r>
        <w:t xml:space="preserve">the replacements must be unaccented.</w:t>
      </w:r>
      <w:r>
        <w:t xml:space="preserve"> </w:t>
      </w:r>
      <w:r>
        <w:rPr>
          <w:iCs/>
          <w:i/>
        </w:rPr>
        <w:t xml:space="preserve">Asvarakāṇām asvarakāḥ syuḥ</w:t>
      </w:r>
      <w:r>
        <w:t xml:space="preserve"> </w:t>
      </w:r>
      <w:r>
        <w:t xml:space="preserve">can also be explained another way: uttering an anudātta causes slackness of the limbs, softness of tone and wideness of the throat; the same happens in uttering a consonant; but since consonants are not fit for it they take no anudātta. So consonants have the property of the anudātta, not of the udātta;</w:t>
      </w:r>
      <w:r>
        <w:t xml:space="preserve"> </w:t>
      </w:r>
      <w:r>
        <w:rPr>
          <w:iCs/>
          <w:i/>
        </w:rPr>
        <w:t xml:space="preserve">svara</w:t>
      </w:r>
      <w:r>
        <w:t xml:space="preserve"> </w:t>
      </w:r>
      <w:r>
        <w:t xml:space="preserve">in</w:t>
      </w:r>
      <w:r>
        <w:t xml:space="preserve"> </w:t>
      </w:r>
      <w:r>
        <w:rPr>
          <w:iCs/>
          <w:i/>
        </w:rPr>
        <w:t xml:space="preserve">asvarakāṇām</w:t>
      </w:r>
      <w:r>
        <w:t xml:space="preserve"> </w:t>
      </w:r>
      <w:r>
        <w:t xml:space="preserve">is taken as udātta: for consonants without udātta, replacements without the desired udātta, that is, anudātta replacements, come in. So the</w:t>
      </w:r>
      <w:r>
        <w:t xml:space="preserve"> </w:t>
      </w:r>
      <w:r>
        <w:rPr>
          <w:iCs/>
          <w:i/>
        </w:rPr>
        <w:t xml:space="preserve">iy</w:t>
      </w:r>
      <w:r>
        <w:t xml:space="preserve"> </w:t>
      </w:r>
      <w:r>
        <w:t xml:space="preserve">for</w:t>
      </w:r>
      <w:r>
        <w:t xml:space="preserve"> </w:t>
      </w:r>
      <w:r>
        <w:rPr>
          <w:iCs/>
          <w:i/>
        </w:rPr>
        <w:t xml:space="preserve">gh</w:t>
      </w:r>
      <w:r>
        <w:t xml:space="preserve"> </w:t>
      </w:r>
      <w:r>
        <w:t xml:space="preserve">here would have to be anudātta. Hence the Vārttikakāra says</w:t>
      </w:r>
      <w:r>
        <w:t xml:space="preserve"> </w:t>
      </w:r>
      <w:r>
        <w:t xml:space="preserve">“</w:t>
      </w:r>
      <w:r>
        <w:t xml:space="preserve">āyanādiṣūpadeśivadvacanaṃ svarasiddhyartham</w:t>
      </w:r>
      <w:r>
        <w:t xml:space="preserve">”</w:t>
      </w:r>
      <w:r>
        <w:t xml:space="preserve"> </w:t>
      </w:r>
      <w:r>
        <w:t xml:space="preserve">(Pā. sū. 7-1-2-1): for the sake of the accent the</w:t>
      </w:r>
      <w:r>
        <w:t xml:space="preserve"> </w:t>
      </w:r>
      <w:r>
        <w:rPr>
          <w:iCs/>
          <w:i/>
        </w:rPr>
        <w:t xml:space="preserve">āyan</w:t>
      </w:r>
      <w:r>
        <w:t xml:space="preserve">-type replacement must be said to come in at the time the suffix is taught. Then, if</w:t>
      </w:r>
      <w:r>
        <w:t xml:space="preserve"> </w:t>
      </w:r>
      <w:r>
        <w:rPr>
          <w:iCs/>
          <w:i/>
        </w:rPr>
        <w:t xml:space="preserve">iya</w:t>
      </w:r>
      <w:r>
        <w:t xml:space="preserve"> </w:t>
      </w:r>
      <w:r>
        <w:t xml:space="preserve">comes in when the suffix arises, in</w:t>
      </w:r>
      <w:r>
        <w:t xml:space="preserve"> </w:t>
      </w:r>
      <w:r>
        <w:rPr>
          <w:iCs/>
          <w:i/>
        </w:rPr>
        <w:t xml:space="preserve">agra</w:t>
      </w:r>
      <w:r>
        <w:t xml:space="preserve"> </w:t>
      </w:r>
      <w:r>
        <w:t xml:space="preserve">+</w:t>
      </w:r>
      <w:r>
        <w:t xml:space="preserve"> </w:t>
      </w:r>
      <w:r>
        <w:rPr>
          <w:iCs/>
          <w:i/>
        </w:rPr>
        <w:t xml:space="preserve">iya</w:t>
      </w:r>
      <w:r>
        <w:t xml:space="preserve"> </w:t>
      </w:r>
      <w:r>
        <w:t xml:space="preserve">the suffix-initial udātta is overridden by the</w:t>
      </w:r>
      <w:r>
        <w:t xml:space="preserve"> </w:t>
      </w:r>
      <w:r>
        <w:rPr>
          <w:iCs/>
          <w:i/>
        </w:rPr>
        <w:t xml:space="preserve">cit</w:t>
      </w:r>
      <w:r>
        <w:t xml:space="preserve"> </w:t>
      </w:r>
      <w:r>
        <w:t xml:space="preserve">marker,</w:t>
      </w:r>
      <w:r>
        <w:t xml:space="preserve"> </w:t>
      </w:r>
      <w:r>
        <w:t xml:space="preserve">“</w:t>
      </w:r>
      <w:r>
        <w:t xml:space="preserve">citaḥ</w:t>
      </w:r>
      <w:r>
        <w:t xml:space="preserve">”</w:t>
      </w:r>
      <w:r>
        <w:t xml:space="preserve"> </w:t>
      </w:r>
      <w:r>
        <w:t xml:space="preserve">(Pā. sū. 6-1-163), and</w:t>
      </w:r>
      <w:r>
        <w:t xml:space="preserve"> </w:t>
      </w:r>
      <w:r>
        <w:rPr>
          <w:iCs/>
          <w:i/>
        </w:rPr>
        <w:t xml:space="preserve">iya</w:t>
      </w:r>
      <w:r>
        <w:t xml:space="preserve"> </w:t>
      </w:r>
      <w:r>
        <w:t xml:space="preserve">is final udātta. Otherwise, if the replacements, being</w:t>
      </w:r>
      <w:r>
        <w:t xml:space="preserve"> </w:t>
      </w:r>
      <w:r>
        <w:rPr>
          <w:iCs/>
          <w:i/>
        </w:rPr>
        <w:t xml:space="preserve">bahiraṅga</w:t>
      </w:r>
      <w:r>
        <w:t xml:space="preserve">, did not come first, the</w:t>
      </w:r>
      <w:r>
        <w:t xml:space="preserve"> </w:t>
      </w:r>
      <w:r>
        <w:rPr>
          <w:iCs/>
          <w:i/>
        </w:rPr>
        <w:t xml:space="preserve">cit</w:t>
      </w:r>
      <w:r>
        <w:t xml:space="preserve"> </w:t>
      </w:r>
      <w:r>
        <w:t xml:space="preserve">marker in</w:t>
      </w:r>
      <w:r>
        <w:t xml:space="preserve"> </w:t>
      </w:r>
      <w:r>
        <w:t xml:space="preserve">“</w:t>
      </w:r>
      <w:r>
        <w:t xml:space="preserve">ghacchau ca</w:t>
      </w:r>
      <w:r>
        <w:t xml:space="preserve">”</w:t>
      </w:r>
      <w:r>
        <w:t xml:space="preserve"> </w:t>
      </w:r>
      <w:r>
        <w:t xml:space="preserve">would be useless: with</w:t>
      </w:r>
      <w:r>
        <w:t xml:space="preserve"> </w:t>
      </w:r>
      <w:r>
        <w:rPr>
          <w:iCs/>
          <w:i/>
        </w:rPr>
        <w:t xml:space="preserve">agra</w:t>
      </w:r>
      <w:r>
        <w:t xml:space="preserve"> </w:t>
      </w:r>
      <w:r>
        <w:t xml:space="preserve">+</w:t>
      </w:r>
      <w:r>
        <w:t xml:space="preserve"> </w:t>
      </w:r>
      <w:r>
        <w:rPr>
          <w:iCs/>
          <w:i/>
        </w:rPr>
        <w:t xml:space="preserve">gha</w:t>
      </w:r>
      <w:r>
        <w:t xml:space="preserve"> </w:t>
      </w:r>
      <w:r>
        <w:t xml:space="preserve">the suffix-initial udātta would come, and after the udātta</w:t>
      </w:r>
      <w:r>
        <w:t xml:space="preserve"> </w:t>
      </w:r>
      <w:r>
        <w:rPr>
          <w:iCs/>
          <w:i/>
        </w:rPr>
        <w:t xml:space="preserve">a</w:t>
      </w:r>
      <w:r>
        <w:t xml:space="preserve"> </w:t>
      </w:r>
      <w:r>
        <w:t xml:space="preserve">the anudātta</w:t>
      </w:r>
      <w:r>
        <w:t xml:space="preserve"> </w:t>
      </w:r>
      <w:r>
        <w:rPr>
          <w:iCs/>
          <w:i/>
        </w:rPr>
        <w:t xml:space="preserve">iy</w:t>
      </w:r>
      <w:r>
        <w:t xml:space="preserve"> </w:t>
      </w:r>
      <w:r>
        <w:t xml:space="preserve">would come, so</w:t>
      </w:r>
      <w:r>
        <w:t xml:space="preserve"> </w:t>
      </w:r>
      <w:r>
        <w:rPr>
          <w:iCs/>
          <w:i/>
        </w:rPr>
        <w:t xml:space="preserve">iya</w:t>
      </w:r>
      <w:r>
        <w:t xml:space="preserve"> </w:t>
      </w:r>
      <w:r>
        <w:t xml:space="preserve">would be final udātta anyway, and the</w:t>
      </w:r>
      <w:r>
        <w:t xml:space="preserve"> </w:t>
      </w:r>
      <w:r>
        <w:rPr>
          <w:iCs/>
          <w:i/>
        </w:rPr>
        <w:t xml:space="preserve">cit</w:t>
      </w:r>
      <w:r>
        <w:t xml:space="preserve"> </w:t>
      </w:r>
      <w:r>
        <w:t xml:space="preserve">marker would be pointless.</w:t>
      </w:r>
      <w:r>
        <w:t xml:space="preserve"> </w:t>
      </w:r>
      <w:r>
        <w:rPr>
          <w:iCs/>
          <w:i/>
        </w:rPr>
        <w:t xml:space="preserve">Vyarthaṃ sat kiṃcid arthaṃ jñāpayati</w:t>
      </w:r>
      <w:r>
        <w:t xml:space="preserve">: a useless</w:t>
      </w:r>
    </w:p>
    <w:bookmarkEnd w:id="608"/>
    <w:bookmarkStart w:id="609" w:name="page-574-rik-10-grammar-continued"/>
    <w:p>
      <w:pPr>
        <w:pStyle w:val="Heading3"/>
      </w:pPr>
      <w:r>
        <w:t xml:space="preserve">Page 574 — Rik 10: grammar (continued)</w:t>
      </w:r>
    </w:p>
    <w:p>
      <w:pPr>
        <w:pStyle w:val="FirstParagraph"/>
      </w:pPr>
      <w:r>
        <w:t xml:space="preserve">word, so as to have a purpose, makes something known, here a statement: that in the state of</w:t>
      </w:r>
      <w:r>
        <w:t xml:space="preserve"> </w:t>
      </w:r>
      <w:r>
        <w:rPr>
          <w:iCs/>
          <w:i/>
        </w:rPr>
        <w:t xml:space="preserve">upadeśa</w:t>
      </w:r>
      <w:r>
        <w:t xml:space="preserve"> </w:t>
      </w:r>
      <w:r>
        <w:t xml:space="preserve">the</w:t>
      </w:r>
      <w:r>
        <w:t xml:space="preserve"> </w:t>
      </w:r>
      <w:r>
        <w:rPr>
          <w:iCs/>
          <w:i/>
        </w:rPr>
        <w:t xml:space="preserve">āyan</w:t>
      </w:r>
      <w:r>
        <w:t xml:space="preserve">-type replacements already come in. The Uddyotakāra explains it:</w:t>
      </w:r>
    </w:p>
    <w:p>
      <w:pPr>
        <w:pStyle w:val="BlockText"/>
      </w:pPr>
      <w:r>
        <w:t xml:space="preserve">प्रत्ययसम्बन्ध्यादेशानामुत्पत्तिसन्नियोगशिष्टकार्यादपि पूर्वं प्रवृत्तिर्ज्ञाप्यते इति भाष्यार्थः</w:t>
      </w:r>
    </w:p>
    <w:p>
      <w:pPr>
        <w:pStyle w:val="BlockText"/>
      </w:pPr>
      <w:r>
        <w:rPr>
          <w:iCs/>
          <w:i/>
        </w:rPr>
        <w:t xml:space="preserve">pratyayasambandhyādeśānāmutpattisanniyogaśiṣṭakāryādapi pūrvaṃ pravṛttirjñāpyate iti bhāṣyārthaḥ</w:t>
      </w:r>
    </w:p>
    <w:p>
      <w:pPr>
        <w:pStyle w:val="FirstParagraph"/>
      </w:pPr>
      <w:r>
        <w:t xml:space="preserve">That is, it is made known by the</w:t>
      </w:r>
      <w:r>
        <w:t xml:space="preserve"> </w:t>
      </w:r>
      <w:r>
        <w:rPr>
          <w:iCs/>
          <w:i/>
        </w:rPr>
        <w:t xml:space="preserve">cit</w:t>
      </w:r>
      <w:r>
        <w:t xml:space="preserve"> </w:t>
      </w:r>
      <w:r>
        <w:t xml:space="preserve">marker that the</w:t>
      </w:r>
      <w:r>
        <w:t xml:space="preserve"> </w:t>
      </w:r>
      <w:r>
        <w:rPr>
          <w:iCs/>
          <w:i/>
        </w:rPr>
        <w:t xml:space="preserve">āyan</w:t>
      </w:r>
      <w:r>
        <w:t xml:space="preserve">-type replacements tied to the suffix come in even before the initial udātta tied to the arising of the suffix. Now, if there were no</w:t>
      </w:r>
      <w:r>
        <w:t xml:space="preserve"> </w:t>
      </w:r>
      <w:r>
        <w:rPr>
          <w:iCs/>
          <w:i/>
        </w:rPr>
        <w:t xml:space="preserve">cit</w:t>
      </w:r>
      <w:r>
        <w:t xml:space="preserve"> </w:t>
      </w:r>
      <w:r>
        <w:t xml:space="preserve">marker, then with</w:t>
      </w:r>
      <w:r>
        <w:t xml:space="preserve"> </w:t>
      </w:r>
      <w:r>
        <w:rPr>
          <w:iCs/>
          <w:i/>
        </w:rPr>
        <w:t xml:space="preserve">agra</w:t>
      </w:r>
      <w:r>
        <w:t xml:space="preserve"> </w:t>
      </w:r>
      <w:r>
        <w:t xml:space="preserve">+</w:t>
      </w:r>
      <w:r>
        <w:t xml:space="preserve"> </w:t>
      </w:r>
      <w:r>
        <w:rPr>
          <w:iCs/>
          <w:i/>
        </w:rPr>
        <w:t xml:space="preserve">gha</w:t>
      </w:r>
      <w:r>
        <w:t xml:space="preserve">,</w:t>
      </w:r>
      <w:r>
        <w:t xml:space="preserve"> </w:t>
      </w:r>
      <w:r>
        <w:rPr>
          <w:iCs/>
          <w:i/>
        </w:rPr>
        <w:t xml:space="preserve">iya</w:t>
      </w:r>
      <w:r>
        <w:t xml:space="preserve"> </w:t>
      </w:r>
      <w:r>
        <w:t xml:space="preserve">would come in before the initial udātta, and with</w:t>
      </w:r>
      <w:r>
        <w:t xml:space="preserve"> </w:t>
      </w:r>
      <w:r>
        <w:rPr>
          <w:iCs/>
          <w:i/>
        </w:rPr>
        <w:t xml:space="preserve">agra</w:t>
      </w:r>
      <w:r>
        <w:t xml:space="preserve"> </w:t>
      </w:r>
      <w:r>
        <w:t xml:space="preserve">+</w:t>
      </w:r>
      <w:r>
        <w:t xml:space="preserve"> </w:t>
      </w:r>
      <w:r>
        <w:rPr>
          <w:iCs/>
          <w:i/>
        </w:rPr>
        <w:t xml:space="preserve">iya</w:t>
      </w:r>
      <w:r>
        <w:t xml:space="preserve"> </w:t>
      </w:r>
      <w:r>
        <w:t xml:space="preserve">the initial udātta would make the</w:t>
      </w:r>
      <w:r>
        <w:t xml:space="preserve"> </w:t>
      </w:r>
      <w:r>
        <w:rPr>
          <w:iCs/>
          <w:i/>
        </w:rPr>
        <w:t xml:space="preserve">i</w:t>
      </w:r>
      <w:r>
        <w:t xml:space="preserve"> </w:t>
      </w:r>
      <w:r>
        <w:t xml:space="preserve">udātta, whereas in the Śruti the</w:t>
      </w:r>
      <w:r>
        <w:t xml:space="preserve"> </w:t>
      </w:r>
      <w:r>
        <w:rPr>
          <w:iCs/>
          <w:i/>
        </w:rPr>
        <w:t xml:space="preserve">a</w:t>
      </w:r>
      <w:r>
        <w:t xml:space="preserve"> </w:t>
      </w:r>
      <w:r>
        <w:t xml:space="preserve">is udātta. So the</w:t>
      </w:r>
      <w:r>
        <w:t xml:space="preserve"> </w:t>
      </w:r>
      <w:r>
        <w:rPr>
          <w:iCs/>
          <w:i/>
        </w:rPr>
        <w:t xml:space="preserve">cit</w:t>
      </w:r>
      <w:r>
        <w:t xml:space="preserve"> </w:t>
      </w:r>
      <w:r>
        <w:t xml:space="preserve">marker serves the final udātta, and the</w:t>
      </w:r>
      <w:r>
        <w:t xml:space="preserve"> </w:t>
      </w:r>
      <w:r>
        <w:rPr>
          <w:iCs/>
          <w:i/>
        </w:rPr>
        <w:t xml:space="preserve">upadeśivad</w:t>
      </w:r>
      <w:r>
        <w:t xml:space="preserve"> </w:t>
      </w:r>
      <w:r>
        <w:t xml:space="preserve">statement is not needed. The Vārttikakāra himself says this in</w:t>
      </w:r>
      <w:r>
        <w:t xml:space="preserve"> </w:t>
      </w:r>
      <w:r>
        <w:t xml:space="preserve">“</w:t>
      </w:r>
      <w:r>
        <w:t xml:space="preserve">na vā kvacic citkaraṇāt</w:t>
      </w:r>
      <w:r>
        <w:t xml:space="preserve">”</w:t>
      </w:r>
      <w:r>
        <w:t xml:space="preserve"> </w:t>
      </w:r>
      <w:r>
        <w:t xml:space="preserve">(Pā. sū. 7-1-2-2). Thus</w:t>
      </w:r>
      <w:r>
        <w:t xml:space="preserve"> </w:t>
      </w:r>
      <w:r>
        <w:rPr>
          <w:iCs/>
          <w:i/>
        </w:rPr>
        <w:t xml:space="preserve">agriya</w:t>
      </w:r>
      <w:r>
        <w:t xml:space="preserve"> </w:t>
      </w:r>
      <w:r>
        <w:t xml:space="preserve">is final udātta.</w:t>
      </w:r>
    </w:p>
    <w:p>
      <w:pPr>
        <w:pStyle w:val="BodyText"/>
      </w:pPr>
      <w:r>
        <w:rPr>
          <w:bCs/>
          <w:b/>
        </w:rPr>
        <w:t xml:space="preserve">विश्वरूपम् (</w:t>
      </w:r>
      <w:r>
        <w:rPr>
          <w:iCs/>
          <w:i/>
          <w:bCs/>
          <w:b/>
        </w:rPr>
        <w:t xml:space="preserve">viśvarūpam</w:t>
      </w:r>
      <w:r>
        <w:rPr>
          <w:bCs/>
          <w:b/>
        </w:rPr>
        <w:t xml:space="preserve">)</w:t>
      </w:r>
      <w:r>
        <w:t xml:space="preserve">:</w:t>
      </w:r>
      <w:r>
        <w:t xml:space="preserve"> </w:t>
      </w:r>
      <w:r>
        <w:t xml:space="preserve">“</w:t>
      </w:r>
      <w:r>
        <w:t xml:space="preserve">viśvāni rūpāṇi tvaṣṭuḥ utpannatvena yasya saḥ viśvarūpaḥ</w:t>
      </w:r>
      <w:r>
        <w:t xml:space="preserve">”</w:t>
      </w:r>
      <w:r>
        <w:t xml:space="preserve">, a bahuvrīhi; the Śruti</w:t>
      </w:r>
      <w:r>
        <w:t xml:space="preserve"> </w:t>
      </w:r>
      <w:r>
        <w:t xml:space="preserve">“</w:t>
      </w:r>
      <w:r>
        <w:t xml:space="preserve">tvaṣṭā vai paśūnāṃ mithunānāṃ rūpakṛt</w:t>
      </w:r>
      <w:r>
        <w:t xml:space="preserve">”</w:t>
      </w:r>
      <w:r>
        <w:t xml:space="preserve"> </w:t>
      </w:r>
      <w:r>
        <w:t xml:space="preserve">(Tai. Śru. Saṃ.</w:t>
      </w:r>
      <w:r>
        <w:t xml:space="preserve"> </w:t>
      </w:r>
      <w:r>
        <w:t xml:space="preserve">“</w:t>
      </w:r>
      <w:r>
        <w:t xml:space="preserve">6-1-8-5</w:t>
      </w:r>
      <w:r>
        <w:t xml:space="preserve">”</w:t>
      </w:r>
      <w:r>
        <w:t xml:space="preserve"> </w:t>
      </w:r>
      <w:r>
        <w:t xml:space="preserve">[?]) shows the sense</w:t>
      </w:r>
      <w:r>
        <w:t xml:space="preserve"> </w:t>
      </w:r>
      <w:r>
        <w:t xml:space="preserve">“</w:t>
      </w:r>
      <w:r>
        <w:t xml:space="preserve">produced by Tvaṣṭṛ</w:t>
      </w:r>
      <w:r>
        <w:t xml:space="preserve">”</w:t>
      </w:r>
      <w:r>
        <w:t xml:space="preserve">;</w:t>
      </w:r>
      <w:r>
        <w:t xml:space="preserve"> </w:t>
      </w:r>
      <w:r>
        <w:rPr>
          <w:iCs/>
          <w:i/>
        </w:rPr>
        <w:t xml:space="preserve">viśva</w:t>
      </w:r>
      <w:r>
        <w:t xml:space="preserve"> </w:t>
      </w:r>
      <w:r>
        <w:t xml:space="preserve">is</w:t>
      </w:r>
      <w:r>
        <w:t xml:space="preserve"> </w:t>
      </w:r>
      <w:r>
        <w:rPr>
          <w:iCs/>
          <w:i/>
        </w:rPr>
        <w:t xml:space="preserve">viś</w:t>
      </w:r>
      <w:r>
        <w:t xml:space="preserve"> </w:t>
      </w:r>
      <w:r>
        <w:t xml:space="preserve">+</w:t>
      </w:r>
      <w:r>
        <w:t xml:space="preserve"> </w:t>
      </w:r>
      <w:r>
        <w:rPr>
          <w:iCs/>
          <w:i/>
        </w:rPr>
        <w:t xml:space="preserve">kvan</w:t>
      </w:r>
      <w:r>
        <w:t xml:space="preserve">, initial udātta (</w:t>
      </w:r>
      <w:r>
        <w:rPr>
          <w:iCs/>
          <w:i/>
        </w:rPr>
        <w:t xml:space="preserve">nit</w:t>
      </w:r>
      <w:r>
        <w:t xml:space="preserve">); the first-member accent of</w:t>
      </w:r>
      <w:r>
        <w:t xml:space="preserve"> </w:t>
      </w:r>
      <w:r>
        <w:t xml:space="preserve">“</w:t>
      </w:r>
      <w:r>
        <w:t xml:space="preserve">bahuvrīhau prakṛtyā pūrvapadam</w:t>
      </w:r>
      <w:r>
        <w:t xml:space="preserve">”</w:t>
      </w:r>
      <w:r>
        <w:t xml:space="preserve"> </w:t>
      </w:r>
      <w:r>
        <w:t xml:space="preserve">(Pā. sū. 6-2-1) is overridden by</w:t>
      </w:r>
      <w:r>
        <w:t xml:space="preserve"> </w:t>
      </w:r>
      <w:r>
        <w:t xml:space="preserve">“</w:t>
      </w:r>
      <w:r>
        <w:t xml:space="preserve">bahuvrīhau viśvaṃ saṃjñāyām</w:t>
      </w:r>
      <w:r>
        <w:t xml:space="preserve">”</w:t>
      </w:r>
      <w:r>
        <w:t xml:space="preserve"> </w:t>
      </w:r>
      <w:r>
        <w:t xml:space="preserve">(Pā. sū. 6-2-106): in a bahuvrīhi that is a name, the first member</w:t>
      </w:r>
      <w:r>
        <w:t xml:space="preserve"> </w:t>
      </w:r>
      <w:r>
        <w:rPr>
          <w:iCs/>
          <w:i/>
        </w:rPr>
        <w:t xml:space="preserve">viśva</w:t>
      </w:r>
      <w:r>
        <w:t xml:space="preserve"> </w:t>
      </w:r>
      <w:r>
        <w:t xml:space="preserve">is final udātta.</w:t>
      </w:r>
    </w:p>
    <w:p>
      <w:pPr>
        <w:pStyle w:val="BodyText"/>
      </w:pPr>
      <w:r>
        <w:rPr>
          <w:bCs/>
          <w:b/>
        </w:rPr>
        <w:t xml:space="preserve">अस्माकम् (</w:t>
      </w:r>
      <w:r>
        <w:rPr>
          <w:iCs/>
          <w:i/>
          <w:bCs/>
          <w:b/>
        </w:rPr>
        <w:t xml:space="preserve">asmākam</w:t>
      </w:r>
      <w:r>
        <w:rPr>
          <w:bCs/>
          <w:b/>
        </w:rPr>
        <w:t xml:space="preserve">)</w:t>
      </w:r>
      <w:r>
        <w:t xml:space="preserve">:</w:t>
      </w:r>
      <w:r>
        <w:t xml:space="preserve"> </w:t>
      </w:r>
      <w:r>
        <w:rPr>
          <w:iCs/>
          <w:i/>
        </w:rPr>
        <w:t xml:space="preserve">asu kṣepaṇe</w:t>
      </w:r>
      <w:r>
        <w:t xml:space="preserve">;</w:t>
      </w:r>
      <w:r>
        <w:t xml:space="preserve"> </w:t>
      </w:r>
      <w:r>
        <w:t xml:space="preserve">“</w:t>
      </w:r>
      <w:r>
        <w:t xml:space="preserve">yuṣyasibhyāṃ madik</w:t>
      </w:r>
      <w:r>
        <w:t xml:space="preserve">”</w:t>
      </w:r>
      <w:r>
        <w:t xml:space="preserve"> </w:t>
      </w:r>
      <w:r>
        <w:t xml:space="preserve">(Uṇ. sū.</w:t>
      </w:r>
      <w:r>
        <w:t xml:space="preserve"> </w:t>
      </w:r>
      <w:r>
        <w:t xml:space="preserve">“</w:t>
      </w:r>
      <w:r>
        <w:t xml:space="preserve">1-136</w:t>
      </w:r>
      <w:r>
        <w:t xml:space="preserve">”</w:t>
      </w:r>
      <w:r>
        <w:t xml:space="preserve"> </w:t>
      </w:r>
      <w:r>
        <w:t xml:space="preserve">[?]):</w:t>
      </w:r>
      <w:r>
        <w:t xml:space="preserve"> </w:t>
      </w:r>
      <w:r>
        <w:rPr>
          <w:iCs/>
          <w:i/>
        </w:rPr>
        <w:t xml:space="preserve">madik</w:t>
      </w:r>
      <w:r>
        <w:t xml:space="preserve"> </w:t>
      </w:r>
      <w:r>
        <w:t xml:space="preserve">after</w:t>
      </w:r>
      <w:r>
        <w:t xml:space="preserve"> </w:t>
      </w:r>
      <w:r>
        <w:rPr>
          <w:iCs/>
          <w:i/>
        </w:rPr>
        <w:t xml:space="preserve">yuṣ</w:t>
      </w:r>
      <w:r>
        <w:t xml:space="preserve"> </w:t>
      </w:r>
      <w:r>
        <w:t xml:space="preserve">and</w:t>
      </w:r>
      <w:r>
        <w:t xml:space="preserve"> </w:t>
      </w:r>
      <w:r>
        <w:rPr>
          <w:iCs/>
          <w:i/>
        </w:rPr>
        <w:t xml:space="preserve">as</w:t>
      </w:r>
      <w:r>
        <w:t xml:space="preserve">:</w:t>
      </w:r>
      <w:r>
        <w:t xml:space="preserve"> </w:t>
      </w:r>
      <w:r>
        <w:rPr>
          <w:iCs/>
          <w:i/>
        </w:rPr>
        <w:t xml:space="preserve">asmad</w:t>
      </w:r>
      <w:r>
        <w:t xml:space="preserve">, final udātta by the suffix accent; genitive plural</w:t>
      </w:r>
      <w:r>
        <w:t xml:space="preserve"> </w:t>
      </w:r>
      <w:r>
        <w:rPr>
          <w:iCs/>
          <w:i/>
        </w:rPr>
        <w:t xml:space="preserve">ām</w:t>
      </w:r>
      <w:r>
        <w:t xml:space="preserve">:</w:t>
      </w:r>
      <w:r>
        <w:t xml:space="preserve"> </w:t>
      </w:r>
      <w:r>
        <w:rPr>
          <w:iCs/>
          <w:i/>
        </w:rPr>
        <w:t xml:space="preserve">asmad</w:t>
      </w:r>
      <w:r>
        <w:t xml:space="preserve"> </w:t>
      </w:r>
      <w:r>
        <w:t xml:space="preserve">+</w:t>
      </w:r>
      <w:r>
        <w:t xml:space="preserve"> </w:t>
      </w:r>
      <w:r>
        <w:rPr>
          <w:iCs/>
          <w:i/>
        </w:rPr>
        <w:t xml:space="preserve">ām</w:t>
      </w:r>
      <w:r>
        <w:t xml:space="preserve">.</w:t>
      </w:r>
      <w:r>
        <w:t xml:space="preserve"> </w:t>
      </w:r>
      <w:r>
        <w:t xml:space="preserve">“</w:t>
      </w:r>
      <w:r>
        <w:t xml:space="preserve">yo ’ci</w:t>
      </w:r>
      <w:r>
        <w:t xml:space="preserve">”</w:t>
      </w:r>
      <w:r>
        <w:t xml:space="preserve"> </w:t>
      </w:r>
      <w:r>
        <w:t xml:space="preserve">(Pā. sū. 7-2-89) gives</w:t>
      </w:r>
      <w:r>
        <w:t xml:space="preserve"> </w:t>
      </w:r>
      <w:r>
        <w:rPr>
          <w:iCs/>
          <w:i/>
        </w:rPr>
        <w:t xml:space="preserve">y</w:t>
      </w:r>
      <w:r>
        <w:t xml:space="preserve"> </w:t>
      </w:r>
      <w:r>
        <w:t xml:space="preserve">for</w:t>
      </w:r>
      <w:r>
        <w:t xml:space="preserve"> </w:t>
      </w:r>
      <w:r>
        <w:rPr>
          <w:iCs/>
          <w:i/>
        </w:rPr>
        <w:t xml:space="preserve">yuṣmad</w:t>
      </w:r>
      <w:r>
        <w:t xml:space="preserve">/</w:t>
      </w:r>
      <w:r>
        <w:rPr>
          <w:iCs/>
          <w:i/>
        </w:rPr>
        <w:t xml:space="preserve">asmad</w:t>
      </w:r>
      <w:r>
        <w:t xml:space="preserve"> </w:t>
      </w:r>
      <w:r>
        <w:t xml:space="preserve">before a vowel-initial ending without a replacement;</w:t>
      </w:r>
      <w:r>
        <w:t xml:space="preserve"> </w:t>
      </w:r>
      <w:r>
        <w:t xml:space="preserve">“</w:t>
      </w:r>
      <w:r>
        <w:t xml:space="preserve">sāma ākam</w:t>
      </w:r>
      <w:r>
        <w:t xml:space="preserve">”</w:t>
      </w:r>
      <w:r>
        <w:t xml:space="preserve"> </w:t>
      </w:r>
      <w:r>
        <w:t xml:space="preserve">(Pā. sū. 7-1-33) gives</w:t>
      </w:r>
      <w:r>
        <w:t xml:space="preserve"> </w:t>
      </w:r>
      <w:r>
        <w:rPr>
          <w:iCs/>
          <w:i/>
        </w:rPr>
        <w:t xml:space="preserve">ākam</w:t>
      </w:r>
      <w:r>
        <w:t xml:space="preserve"> </w:t>
      </w:r>
      <w:r>
        <w:t xml:space="preserve">for</w:t>
      </w:r>
      <w:r>
        <w:t xml:space="preserve"> </w:t>
      </w:r>
      <w:r>
        <w:rPr>
          <w:iCs/>
          <w:i/>
        </w:rPr>
        <w:t xml:space="preserve">sām</w:t>
      </w:r>
      <w:r>
        <w:t xml:space="preserve"> </w:t>
      </w:r>
      <w:r>
        <w:t xml:space="preserve">after them;</w:t>
      </w:r>
      <w:r>
        <w:t xml:space="preserve"> </w:t>
      </w:r>
      <w:r>
        <w:t xml:space="preserve">“</w:t>
      </w:r>
      <w:r>
        <w:t xml:space="preserve">yo ’ci</w:t>
      </w:r>
      <w:r>
        <w:t xml:space="preserve">”</w:t>
      </w:r>
      <w:r>
        <w:t xml:space="preserve"> </w:t>
      </w:r>
      <w:r>
        <w:t xml:space="preserve">is the later rule, so by the paribhāṣā</w:t>
      </w:r>
      <w:r>
        <w:t xml:space="preserve"> </w:t>
      </w:r>
      <w:r>
        <w:t xml:space="preserve">“</w:t>
      </w:r>
      <w:r>
        <w:t xml:space="preserve">vipratiṣedhe paraṃ kāryam</w:t>
      </w:r>
      <w:r>
        <w:t xml:space="preserve">”</w:t>
      </w:r>
      <w:r>
        <w:t xml:space="preserve"> </w:t>
      </w:r>
      <w:r>
        <w:t xml:space="preserve">(Pā. sū. 1-4-2)</w:t>
      </w:r>
      <w:r>
        <w:t xml:space="preserve"> </w:t>
      </w:r>
      <w:r>
        <w:rPr>
          <w:iCs/>
          <w:i/>
        </w:rPr>
        <w:t xml:space="preserve">yatva</w:t>
      </w:r>
      <w:r>
        <w:t xml:space="preserve"> </w:t>
      </w:r>
      <w:r>
        <w:t xml:space="preserve">would apply; but</w:t>
      </w:r>
      <w:r>
        <w:t xml:space="preserve"> </w:t>
      </w:r>
      <w:r>
        <w:t xml:space="preserve">“</w:t>
      </w:r>
      <w:r>
        <w:t xml:space="preserve">sāma ākam</w:t>
      </w:r>
      <w:r>
        <w:t xml:space="preserve">”</w:t>
      </w:r>
      <w:r>
        <w:t xml:space="preserve"> </w:t>
      </w:r>
      <w:r>
        <w:t xml:space="preserve">(Pā. sū. 7-1-33) is</w:t>
      </w:r>
      <w:r>
        <w:t xml:space="preserve"> </w:t>
      </w:r>
      <w:r>
        <w:rPr>
          <w:iCs/>
          <w:i/>
        </w:rPr>
        <w:t xml:space="preserve">nitya</w:t>
      </w:r>
      <w:r>
        <w:t xml:space="preserve">:</w:t>
      </w:r>
      <w:r>
        <w:t xml:space="preserve"> </w:t>
      </w:r>
      <w:r>
        <w:rPr>
          <w:iCs/>
          <w:i/>
        </w:rPr>
        <w:t xml:space="preserve">ākam</w:t>
      </w:r>
      <w:r>
        <w:t xml:space="preserve"> </w:t>
      </w:r>
      <w:r>
        <w:t xml:space="preserve">comes whether or not</w:t>
      </w:r>
      <w:r>
        <w:t xml:space="preserve"> </w:t>
      </w:r>
      <w:r>
        <w:rPr>
          <w:iCs/>
          <w:i/>
        </w:rPr>
        <w:t xml:space="preserve">yatva</w:t>
      </w:r>
      <w:r>
        <w:t xml:space="preserve"> </w:t>
      </w:r>
      <w:r>
        <w:t xml:space="preserve">is made; so</w:t>
      </w:r>
      <w:r>
        <w:t xml:space="preserve"> </w:t>
      </w:r>
      <w:r>
        <w:rPr>
          <w:iCs/>
          <w:i/>
        </w:rPr>
        <w:t xml:space="preserve">ākam</w:t>
      </w:r>
      <w:r>
        <w:t xml:space="preserve"> </w:t>
      </w:r>
      <w:r>
        <w:t xml:space="preserve">applies in both cases. Since</w:t>
      </w:r>
    </w:p>
    <w:bookmarkEnd w:id="609"/>
    <w:bookmarkStart w:id="610" w:name="page-575-rik-10-grammar-end"/>
    <w:p>
      <w:pPr>
        <w:pStyle w:val="Heading3"/>
      </w:pPr>
      <w:r>
        <w:t xml:space="preserve">Page 575 — Rik 10: grammar (end)</w:t>
      </w:r>
    </w:p>
    <w:p>
      <w:pPr>
        <w:pStyle w:val="FirstParagraph"/>
      </w:pPr>
      <w:r>
        <w:t xml:space="preserve">it is</w:t>
      </w:r>
      <w:r>
        <w:t xml:space="preserve"> </w:t>
      </w:r>
      <w:r>
        <w:rPr>
          <w:iCs/>
          <w:i/>
        </w:rPr>
        <w:t xml:space="preserve">nitya</w:t>
      </w:r>
      <w:r>
        <w:t xml:space="preserve">, even though</w:t>
      </w:r>
      <w:r>
        <w:t xml:space="preserve"> </w:t>
      </w:r>
      <w:r>
        <w:rPr>
          <w:iCs/>
          <w:i/>
        </w:rPr>
        <w:t xml:space="preserve">yatva</w:t>
      </w:r>
      <w:r>
        <w:t xml:space="preserve"> </w:t>
      </w:r>
      <w:r>
        <w:t xml:space="preserve">had the prior claim, once</w:t>
      </w:r>
      <w:r>
        <w:t xml:space="preserve"> </w:t>
      </w:r>
      <w:r>
        <w:rPr>
          <w:iCs/>
          <w:i/>
        </w:rPr>
        <w:t xml:space="preserve">ākam</w:t>
      </w:r>
      <w:r>
        <w:t xml:space="preserve"> </w:t>
      </w:r>
      <w:r>
        <w:t xml:space="preserve">has come</w:t>
      </w:r>
      <w:r>
        <w:t xml:space="preserve"> </w:t>
      </w:r>
      <w:r>
        <w:t xml:space="preserve">“</w:t>
      </w:r>
      <w:r>
        <w:t xml:space="preserve">yo ’ci</w:t>
      </w:r>
      <w:r>
        <w:t xml:space="preserve">”</w:t>
      </w:r>
      <w:r>
        <w:t xml:space="preserve"> </w:t>
      </w:r>
      <w:r>
        <w:t xml:space="preserve">does not apply, for it applies before an ending that has no replacement, and after</w:t>
      </w:r>
      <w:r>
        <w:t xml:space="preserve"> </w:t>
      </w:r>
      <w:r>
        <w:rPr>
          <w:iCs/>
          <w:i/>
        </w:rPr>
        <w:t xml:space="preserve">ākam</w:t>
      </w:r>
      <w:r>
        <w:t xml:space="preserve"> </w:t>
      </w:r>
      <w:r>
        <w:t xml:space="preserve">the ending has one; so the</w:t>
      </w:r>
      <w:r>
        <w:t xml:space="preserve"> </w:t>
      </w:r>
      <w:r>
        <w:rPr>
          <w:iCs/>
          <w:i/>
        </w:rPr>
        <w:t xml:space="preserve">nitya</w:t>
      </w:r>
      <w:r>
        <w:t xml:space="preserve"> </w:t>
      </w:r>
      <w:r>
        <w:t xml:space="preserve">rule, applicable whether or not the other applies, is not blocked by</w:t>
      </w:r>
      <w:r>
        <w:t xml:space="preserve"> </w:t>
      </w:r>
      <w:r>
        <w:t xml:space="preserve">“</w:t>
      </w:r>
      <w:r>
        <w:t xml:space="preserve">yo ’ci</w:t>
      </w:r>
      <w:r>
        <w:t xml:space="preserve">”</w:t>
      </w:r>
      <w:r>
        <w:t xml:space="preserve">. So by</w:t>
      </w:r>
      <w:r>
        <w:t xml:space="preserve"> </w:t>
      </w:r>
      <w:r>
        <w:t xml:space="preserve">“</w:t>
      </w:r>
      <w:r>
        <w:t xml:space="preserve">paranityāntaraṅgāpavādānām uttarottaraṃ balīyaḥ</w:t>
      </w:r>
      <w:r>
        <w:t xml:space="preserve">”</w:t>
      </w:r>
      <w:r>
        <w:t xml:space="preserve"> </w:t>
      </w:r>
      <w:r>
        <w:t xml:space="preserve">(paribhāṣā</w:t>
      </w:r>
      <w:r>
        <w:t xml:space="preserve"> </w:t>
      </w:r>
      <w:r>
        <w:t xml:space="preserve">“</w:t>
      </w:r>
      <w:r>
        <w:t xml:space="preserve">38</w:t>
      </w:r>
      <w:r>
        <w:t xml:space="preserve">”</w:t>
      </w:r>
      <w:r>
        <w:t xml:space="preserve"> </w:t>
      </w:r>
      <w:r>
        <w:t xml:space="preserve">[?]) the</w:t>
      </w:r>
      <w:r>
        <w:t xml:space="preserve"> </w:t>
      </w:r>
      <w:r>
        <w:rPr>
          <w:iCs/>
          <w:i/>
        </w:rPr>
        <w:t xml:space="preserve">nitya</w:t>
      </w:r>
      <w:r>
        <w:t xml:space="preserve"> </w:t>
      </w:r>
      <w:r>
        <w:rPr>
          <w:iCs/>
          <w:i/>
        </w:rPr>
        <w:t xml:space="preserve">ākam</w:t>
      </w:r>
      <w:r>
        <w:t xml:space="preserve"> </w:t>
      </w:r>
      <w:r>
        <w:t xml:space="preserve">overrides the later</w:t>
      </w:r>
      <w:r>
        <w:t xml:space="preserve"> </w:t>
      </w:r>
      <w:r>
        <w:rPr>
          <w:iCs/>
          <w:i/>
        </w:rPr>
        <w:t xml:space="preserve">yatva</w:t>
      </w:r>
      <w:r>
        <w:t xml:space="preserve">; being</w:t>
      </w:r>
      <w:r>
        <w:t xml:space="preserve"> </w:t>
      </w:r>
      <w:r>
        <w:rPr>
          <w:iCs/>
          <w:i/>
        </w:rPr>
        <w:t xml:space="preserve">pratipadokta</w:t>
      </w:r>
      <w:r>
        <w:t xml:space="preserve">,</w:t>
      </w:r>
      <w:r>
        <w:t xml:space="preserve"> </w:t>
      </w:r>
      <w:r>
        <w:rPr>
          <w:iCs/>
          <w:i/>
        </w:rPr>
        <w:t xml:space="preserve">ākam</w:t>
      </w:r>
      <w:r>
        <w:t xml:space="preserve"> </w:t>
      </w:r>
      <w:r>
        <w:t xml:space="preserve">is also stronger than</w:t>
      </w:r>
      <w:r>
        <w:t xml:space="preserve"> </w:t>
      </w:r>
      <w:r>
        <w:rPr>
          <w:iCs/>
          <w:i/>
        </w:rPr>
        <w:t xml:space="preserve">yatva</w:t>
      </w:r>
      <w:r>
        <w:t xml:space="preserve">. Here with</w:t>
      </w:r>
      <w:r>
        <w:t xml:space="preserve"> </w:t>
      </w:r>
      <w:r>
        <w:rPr>
          <w:iCs/>
          <w:i/>
        </w:rPr>
        <w:t xml:space="preserve">asmad</w:t>
      </w:r>
      <w:r>
        <w:t xml:space="preserve"> </w:t>
      </w:r>
      <w:r>
        <w:t xml:space="preserve">+</w:t>
      </w:r>
      <w:r>
        <w:t xml:space="preserve"> </w:t>
      </w:r>
      <w:r>
        <w:rPr>
          <w:iCs/>
          <w:i/>
        </w:rPr>
        <w:t xml:space="preserve">ām</w:t>
      </w:r>
      <w:r>
        <w:t xml:space="preserve"> </w:t>
      </w:r>
      <w:r>
        <w:t xml:space="preserve">there is no</w:t>
      </w:r>
      <w:r>
        <w:t xml:space="preserve"> </w:t>
      </w:r>
      <w:r>
        <w:rPr>
          <w:iCs/>
          <w:i/>
        </w:rPr>
        <w:t xml:space="preserve">sām</w:t>
      </w:r>
      <w:r>
        <w:t xml:space="preserve">: the</w:t>
      </w:r>
      <w:r>
        <w:t xml:space="preserve"> </w:t>
      </w:r>
      <w:r>
        <w:rPr>
          <w:iCs/>
          <w:i/>
        </w:rPr>
        <w:t xml:space="preserve">ām</w:t>
      </w:r>
      <w:r>
        <w:t xml:space="preserve"> </w:t>
      </w:r>
      <w:r>
        <w:t xml:space="preserve">would get the augment</w:t>
      </w:r>
      <w:r>
        <w:t xml:space="preserve"> </w:t>
      </w:r>
      <w:r>
        <w:rPr>
          <w:iCs/>
          <w:i/>
        </w:rPr>
        <w:t xml:space="preserve">suṭ</w:t>
      </w:r>
      <w:r>
        <w:t xml:space="preserve"> </w:t>
      </w:r>
      <w:r>
        <w:t xml:space="preserve">by</w:t>
      </w:r>
      <w:r>
        <w:t xml:space="preserve"> </w:t>
      </w:r>
      <w:r>
        <w:t xml:space="preserve">“</w:t>
      </w:r>
      <w:r>
        <w:t xml:space="preserve">āmi sarvanāmnaḥ suṭ</w:t>
      </w:r>
      <w:r>
        <w:t xml:space="preserve">”</w:t>
      </w:r>
      <w:r>
        <w:t xml:space="preserve"> </w:t>
      </w:r>
      <w:r>
        <w:t xml:space="preserve">(Pā. sū. 7-1-52) after a pronoun ending in</w:t>
      </w:r>
      <w:r>
        <w:t xml:space="preserve"> </w:t>
      </w:r>
      <w:r>
        <w:rPr>
          <w:iCs/>
          <w:i/>
        </w:rPr>
        <w:t xml:space="preserve">a</w:t>
      </w:r>
      <w:r>
        <w:t xml:space="preserve">, giving</w:t>
      </w:r>
      <w:r>
        <w:t xml:space="preserve"> </w:t>
      </w:r>
      <w:r>
        <w:rPr>
          <w:iCs/>
          <w:i/>
        </w:rPr>
        <w:t xml:space="preserve">sām</w:t>
      </w:r>
      <w:r>
        <w:t xml:space="preserve">. Since</w:t>
      </w:r>
      <w:r>
        <w:t xml:space="preserve"> </w:t>
      </w:r>
      <w:r>
        <w:rPr>
          <w:iCs/>
          <w:i/>
        </w:rPr>
        <w:t xml:space="preserve">yatva</w:t>
      </w:r>
      <w:r>
        <w:t xml:space="preserve"> </w:t>
      </w:r>
      <w:r>
        <w:t xml:space="preserve">comes before</w:t>
      </w:r>
      <w:r>
        <w:t xml:space="preserve"> </w:t>
      </w:r>
      <w:r>
        <w:rPr>
          <w:iCs/>
          <w:i/>
        </w:rPr>
        <w:t xml:space="preserve">ākam</w:t>
      </w:r>
      <w:r>
        <w:t xml:space="preserve">,</w:t>
      </w:r>
      <w:r>
        <w:t xml:space="preserve"> </w:t>
      </w:r>
      <w:r>
        <w:t xml:space="preserve">“</w:t>
      </w:r>
      <w:r>
        <w:t xml:space="preserve">śeṣe lopaḥ</w:t>
      </w:r>
      <w:r>
        <w:t xml:space="preserve">”</w:t>
      </w:r>
      <w:r>
        <w:t xml:space="preserve"> </w:t>
      </w:r>
      <w:r>
        <w:t xml:space="preserve">(Pā. sū. 7-2-90) does not apply, so the stem does not end in</w:t>
      </w:r>
      <w:r>
        <w:t xml:space="preserve"> </w:t>
      </w:r>
      <w:r>
        <w:rPr>
          <w:iCs/>
          <w:i/>
        </w:rPr>
        <w:t xml:space="preserve">a</w:t>
      </w:r>
      <w:r>
        <w:t xml:space="preserve">, and stating</w:t>
      </w:r>
      <w:r>
        <w:t xml:space="preserve"> </w:t>
      </w:r>
      <w:r>
        <w:rPr>
          <w:iCs/>
          <w:i/>
        </w:rPr>
        <w:t xml:space="preserve">sām</w:t>
      </w:r>
      <w:r>
        <w:t xml:space="preserve"> </w:t>
      </w:r>
      <w:r>
        <w:t xml:space="preserve">with</w:t>
      </w:r>
      <w:r>
        <w:t xml:space="preserve"> </w:t>
      </w:r>
      <w:r>
        <w:rPr>
          <w:iCs/>
          <w:i/>
        </w:rPr>
        <w:t xml:space="preserve">suṭ</w:t>
      </w:r>
      <w:r>
        <w:t xml:space="preserve"> </w:t>
      </w:r>
      <w:r>
        <w:t xml:space="preserve">in the sūtra may seem useless. But if the sūtra had been made</w:t>
      </w:r>
      <w:r>
        <w:t xml:space="preserve"> </w:t>
      </w:r>
      <w:r>
        <w:t xml:space="preserve">“</w:t>
      </w:r>
      <w:r>
        <w:t xml:space="preserve">āma ākam</w:t>
      </w:r>
      <w:r>
        <w:t xml:space="preserve">”</w:t>
      </w:r>
      <w:r>
        <w:t xml:space="preserve"> </w:t>
      </w:r>
      <w:r>
        <w:t xml:space="preserve">without</w:t>
      </w:r>
      <w:r>
        <w:t xml:space="preserve"> </w:t>
      </w:r>
      <w:r>
        <w:rPr>
          <w:iCs/>
          <w:i/>
        </w:rPr>
        <w:t xml:space="preserve">suṭ</w:t>
      </w:r>
      <w:r>
        <w:t xml:space="preserve">, then after</w:t>
      </w:r>
      <w:r>
        <w:t xml:space="preserve"> </w:t>
      </w:r>
      <w:r>
        <w:rPr>
          <w:iCs/>
          <w:i/>
        </w:rPr>
        <w:t xml:space="preserve">ākam</w:t>
      </w:r>
      <w:r>
        <w:t xml:space="preserve">, by</w:t>
      </w:r>
      <w:r>
        <w:t xml:space="preserve"> </w:t>
      </w:r>
      <w:r>
        <w:rPr>
          <w:iCs/>
          <w:i/>
        </w:rPr>
        <w:t xml:space="preserve">sthānivadbhāva</w:t>
      </w:r>
      <w:r>
        <w:t xml:space="preserve">,</w:t>
      </w:r>
      <w:r>
        <w:t xml:space="preserve"> </w:t>
      </w:r>
      <w:r>
        <w:rPr>
          <w:iCs/>
          <w:i/>
        </w:rPr>
        <w:t xml:space="preserve">ākam</w:t>
      </w:r>
      <w:r>
        <w:t xml:space="preserve"> </w:t>
      </w:r>
      <w:r>
        <w:t xml:space="preserve">would count as</w:t>
      </w:r>
      <w:r>
        <w:t xml:space="preserve"> </w:t>
      </w:r>
      <w:r>
        <w:rPr>
          <w:iCs/>
          <w:i/>
        </w:rPr>
        <w:t xml:space="preserve">ām</w:t>
      </w:r>
      <w:r>
        <w:t xml:space="preserve">, and where</w:t>
      </w:r>
      <w:r>
        <w:t xml:space="preserve"> </w:t>
      </w:r>
      <w:r>
        <w:t xml:space="preserve">“</w:t>
      </w:r>
      <w:r>
        <w:t xml:space="preserve">śeṣe lopaḥ</w:t>
      </w:r>
      <w:r>
        <w:t xml:space="preserve">”</w:t>
      </w:r>
      <w:r>
        <w:t xml:space="preserve"> </w:t>
      </w:r>
      <w:r>
        <w:t xml:space="preserve">(Pā. sū. 7-2-90) drops the final</w:t>
      </w:r>
      <w:r>
        <w:t xml:space="preserve"> </w:t>
      </w:r>
      <w:r>
        <w:rPr>
          <w:iCs/>
          <w:i/>
        </w:rPr>
        <w:t xml:space="preserve">d</w:t>
      </w:r>
      <w:r>
        <w:t xml:space="preserve">,</w:t>
      </w:r>
      <w:r>
        <w:t xml:space="preserve"> </w:t>
      </w:r>
      <w:r>
        <w:rPr>
          <w:iCs/>
          <w:i/>
        </w:rPr>
        <w:t xml:space="preserve">suṭ</w:t>
      </w:r>
      <w:r>
        <w:t xml:space="preserve"> </w:t>
      </w:r>
      <w:r>
        <w:t xml:space="preserve">would have to come; to prevent that</w:t>
      </w:r>
      <w:r>
        <w:t xml:space="preserve"> </w:t>
      </w:r>
      <w:r>
        <w:rPr>
          <w:iCs/>
          <w:i/>
        </w:rPr>
        <w:t xml:space="preserve">suṭ</w:t>
      </w:r>
      <w:r>
        <w:t xml:space="preserve"> </w:t>
      </w:r>
      <w:r>
        <w:t xml:space="preserve">the sūtra states it with</w:t>
      </w:r>
      <w:r>
        <w:t xml:space="preserve"> </w:t>
      </w:r>
      <w:r>
        <w:rPr>
          <w:iCs/>
          <w:i/>
        </w:rPr>
        <w:t xml:space="preserve">suṭ</w:t>
      </w:r>
      <w:r>
        <w:t xml:space="preserve">. Stated with</w:t>
      </w:r>
      <w:r>
        <w:t xml:space="preserve"> </w:t>
      </w:r>
      <w:r>
        <w:rPr>
          <w:iCs/>
          <w:i/>
        </w:rPr>
        <w:t xml:space="preserve">suṭ</w:t>
      </w:r>
      <w:r>
        <w:t xml:space="preserve">,</w:t>
      </w:r>
      <w:r>
        <w:t xml:space="preserve"> </w:t>
      </w:r>
      <w:r>
        <w:rPr>
          <w:iCs/>
          <w:i/>
        </w:rPr>
        <w:t xml:space="preserve">suṭ</w:t>
      </w:r>
      <w:r>
        <w:t xml:space="preserve"> </w:t>
      </w:r>
      <w:r>
        <w:t xml:space="preserve">too counts as the original, so the</w:t>
      </w:r>
      <w:r>
        <w:t xml:space="preserve"> </w:t>
      </w:r>
      <w:r>
        <w:rPr>
          <w:iCs/>
          <w:i/>
        </w:rPr>
        <w:t xml:space="preserve">suṭ</w:t>
      </w:r>
      <w:r>
        <w:t xml:space="preserve"> </w:t>
      </w:r>
      <w:r>
        <w:t xml:space="preserve">that would come later is excluded, and the statement with</w:t>
      </w:r>
      <w:r>
        <w:t xml:space="preserve"> </w:t>
      </w:r>
      <w:r>
        <w:rPr>
          <w:iCs/>
          <w:i/>
        </w:rPr>
        <w:t xml:space="preserve">suṭ</w:t>
      </w:r>
      <w:r>
        <w:t xml:space="preserve"> </w:t>
      </w:r>
      <w:r>
        <w:t xml:space="preserve">has its use. On the view that</w:t>
      </w:r>
      <w:r>
        <w:t xml:space="preserve"> </w:t>
      </w:r>
      <w:r>
        <w:t xml:space="preserve">“</w:t>
      </w:r>
      <w:r>
        <w:t xml:space="preserve">śeṣe lopaḥ</w:t>
      </w:r>
      <w:r>
        <w:t xml:space="preserve">”</w:t>
      </w:r>
      <w:r>
        <w:t xml:space="preserve"> </w:t>
      </w:r>
      <w:r>
        <w:t xml:space="preserve">drops the</w:t>
      </w:r>
      <w:r>
        <w:t xml:space="preserve"> </w:t>
      </w:r>
      <w:r>
        <w:rPr>
          <w:iCs/>
          <w:i/>
        </w:rPr>
        <w:t xml:space="preserve">ṭi</w:t>
      </w:r>
      <w:r>
        <w:t xml:space="preserve">, the statement with</w:t>
      </w:r>
      <w:r>
        <w:t xml:space="preserve"> </w:t>
      </w:r>
      <w:r>
        <w:rPr>
          <w:iCs/>
          <w:i/>
        </w:rPr>
        <w:t xml:space="preserve">suṭ</w:t>
      </w:r>
      <w:r>
        <w:t xml:space="preserve"> </w:t>
      </w:r>
      <w:r>
        <w:t xml:space="preserve">is not needed.</w:t>
      </w:r>
    </w:p>
    <w:p>
      <w:pPr>
        <w:pStyle w:val="BodyText"/>
      </w:pPr>
      <w:r>
        <w:rPr>
          <w:bCs/>
          <w:b/>
        </w:rPr>
        <w:t xml:space="preserve">केवलः (</w:t>
      </w:r>
      <w:r>
        <w:rPr>
          <w:iCs/>
          <w:i/>
          <w:bCs/>
          <w:b/>
        </w:rPr>
        <w:t xml:space="preserve">kevalaḥ</w:t>
      </w:r>
      <w:r>
        <w:rPr>
          <w:bCs/>
          <w:b/>
        </w:rPr>
        <w:t xml:space="preserve">)</w:t>
      </w:r>
      <w:r>
        <w:t xml:space="preserve">:</w:t>
      </w:r>
      <w:r>
        <w:t xml:space="preserve"> </w:t>
      </w:r>
      <w:r>
        <w:rPr>
          <w:iCs/>
          <w:i/>
        </w:rPr>
        <w:t xml:space="preserve">vṛṣādi</w:t>
      </w:r>
      <w:r>
        <w:t xml:space="preserve"> </w:t>
      </w:r>
      <w:r>
        <w:t xml:space="preserve">is an</w:t>
      </w:r>
      <w:r>
        <w:t xml:space="preserve"> </w:t>
      </w:r>
      <w:r>
        <w:rPr>
          <w:iCs/>
          <w:i/>
        </w:rPr>
        <w:t xml:space="preserve">ākṛtigaṇa</w:t>
      </w:r>
      <w:r>
        <w:t xml:space="preserve">, so by</w:t>
      </w:r>
      <w:r>
        <w:t xml:space="preserve"> </w:t>
      </w:r>
      <w:r>
        <w:t xml:space="preserve">“</w:t>
      </w:r>
      <w:r>
        <w:t xml:space="preserve">vṛṣādīnāṃ ca</w:t>
      </w:r>
      <w:r>
        <w:t xml:space="preserve">”</w:t>
      </w:r>
      <w:r>
        <w:t xml:space="preserve"> </w:t>
      </w:r>
      <w:r>
        <w:t xml:space="preserve">(Pā. sū. 6-1-203) it is final udātta [as printed; the bhāṣya on p. 570 says initial udātta].</w:t>
      </w:r>
    </w:p>
    <w:p>
      <w:pPr>
        <w:pStyle w:val="BodyText"/>
      </w:pPr>
      <w:r>
        <w:rPr>
          <w:bCs/>
          <w:b/>
        </w:rPr>
        <w:t xml:space="preserve">॥१०॥</w:t>
      </w:r>
    </w:p>
    <w:p>
      <w:r>
        <w:pict>
          <v:rect style="width:0;height:1.5pt" o:hralign="center" o:hrstd="t" o:hr="t"/>
        </w:pict>
      </w:r>
    </w:p>
    <w:bookmarkEnd w:id="610"/>
    <w:bookmarkStart w:id="611" w:name="page-575-sūkta-13-rik-11"/>
    <w:p>
      <w:pPr>
        <w:pStyle w:val="Heading3"/>
      </w:pPr>
      <w:r>
        <w:t xml:space="preserve">Page 575 — Sūkta 13, Rik 11</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अव॑ सृजा वनस्पते॒ देव॑ दे॒वेभ्यो॑ ह॒विः ।</w:t>
      </w:r>
      <w:r>
        <w:t xml:space="preserve"> </w:t>
      </w:r>
      <w:r>
        <w:t xml:space="preserve">प्र दा॒तुर॑स्तु॒ चेत॑नम् ॥११॥</w:t>
      </w:r>
    </w:p>
    <w:p>
      <w:pPr>
        <w:pStyle w:val="BlockText"/>
      </w:pPr>
      <w:r>
        <w:rPr>
          <w:iCs/>
          <w:i/>
        </w:rPr>
        <w:t xml:space="preserve">áva sṛjā vanaspate déva devébhyo havíḥ |</w:t>
      </w:r>
      <w:r>
        <w:t xml:space="preserve"> </w:t>
      </w:r>
      <w:r>
        <w:rPr>
          <w:iCs/>
          <w:i/>
        </w:rPr>
        <w:t xml:space="preserve">pra dātúr astu cétanam ||11||</w:t>
      </w:r>
    </w:p>
    <w:p>
      <w:pPr>
        <w:pStyle w:val="FirstParagraph"/>
      </w:pPr>
      <w:r>
        <w:rPr>
          <w:bCs/>
          <w:b/>
        </w:rPr>
        <w:t xml:space="preserve">॥ Pada-pāṭhaḥ ॥</w:t>
      </w:r>
    </w:p>
    <w:p>
      <w:pPr>
        <w:pStyle w:val="BlockText"/>
      </w:pPr>
      <w:r>
        <w:t xml:space="preserve">अव । सृज । वनस्पते । देव । देवेभ्यः । हविः ॥</w:t>
      </w:r>
      <w:r>
        <w:t xml:space="preserve"> </w:t>
      </w:r>
      <w:r>
        <w:t xml:space="preserve">प्र । दातुः । अस्तु । चेतनम् ॥११॥</w:t>
      </w:r>
    </w:p>
    <w:p>
      <w:pPr>
        <w:pStyle w:val="BlockText"/>
      </w:pPr>
      <w:r>
        <w:rPr>
          <w:iCs/>
          <w:i/>
        </w:rPr>
        <w:t xml:space="preserve">ava | sṛja | vanaspate | deva | devebhyaḥ | haviḥ ||</w:t>
      </w:r>
      <w:r>
        <w:t xml:space="preserve"> </w:t>
      </w:r>
      <w:r>
        <w:rPr>
          <w:iCs/>
          <w:i/>
        </w:rPr>
        <w:t xml:space="preserve">pra | dātuḥ | astu | cetanam ||11||</w:t>
      </w:r>
    </w:p>
    <w:bookmarkEnd w:id="611"/>
    <w:bookmarkStart w:id="612" w:name="X5bd66c7e6a93b20e9a15d561dffa802b2480f86"/>
    <w:p>
      <w:pPr>
        <w:pStyle w:val="Heading3"/>
      </w:pPr>
      <w:r>
        <w:t xml:space="preserve">Page 576 — Rik 11: bhāṣya, word-meanings, overall sense, English, Special Topics</w:t>
      </w:r>
    </w:p>
    <w:p>
      <w:pPr>
        <w:pStyle w:val="FirstParagraph"/>
      </w:pPr>
      <w:r>
        <w:rPr>
          <w:bCs/>
          <w:b/>
        </w:rPr>
        <w:t xml:space="preserve">॥ Sāyaṇa-bhāṣyam ॥</w:t>
      </w:r>
    </w:p>
    <w:p>
      <w:pPr>
        <w:pStyle w:val="BlockText"/>
      </w:pPr>
      <w:r>
        <w:t xml:space="preserve">हे वनस्पते एतन्नामकाग्ने देव हविर्भुग्भ्यो देवेभ्यो ऽस्मदीयं हविरव सृज । समर्पयेत्यर्थः । प्र दातुर्यजमानस्य चेतनं परलोकविषयं विज्ञानं त्वत्प्रसादादस्तु ॥ वनस्पते । आमन्त्रितनिघातः । देव । पादादित्वान्न निघातः । षाष्ठिकमामन्त्रिताद्युदात्तत्वं । हविः । इसः प्रत्ययस्वरः । दातुः । ददातेस्तृच् । चित इत्यन्तोदात्तः । जसि ऋत उत् । पा. ६-१-१११ । इत्युत्वं । एकादेशो रपरत्वं च । रात्सस्य । पा. ८-२-२४ । इति सलोपः । एकादेशस्वरेणोकार उदात्तः । चेतनं । चिती संज्ञाने । करणे ल्युट् । योरनादेशः । लघूपधगुणः । लितीति प्रत्ययात्पूर्वस्योदात्तत्वं ॥</w:t>
      </w:r>
    </w:p>
    <w:p>
      <w:pPr>
        <w:pStyle w:val="BlockText"/>
      </w:pPr>
      <w:r>
        <w:rPr>
          <w:iCs/>
          <w:i/>
        </w:rPr>
        <w:t xml:space="preserve">he vanaspate etannāmakāgne deva havirbhugbhyo devebhyo ’smadīyaṃ havirava sṛja | samarpayetyarthaḥ | pra dāturyajamānasya cetanaṃ paralokaviṣayaṃ vijñānaṃ tvatprasādādastu || vanaspate | āmantritanighātaḥ | deva | pādāditvānna nighātaḥ | ṣāṣṭhikamāmantritādyudāttatvaṃ | haviḥ | isaḥ pratyayasvaraḥ | dātuḥ | dadātestṛc | cita ityantodāttaḥ | jasi ṛta ut | pā. 6-1-111 | ityutvaṃ | ekādeśo raparatvaṃ ca | rātsasya | pā. 8-2-24 | iti salopaḥ | ekādeśasvareṇokāra udāttaḥ | cetanaṃ | citī saṃjñāne | karaṇe lyuṭ | yoranādeśaḥ | laghūpadhaguṇaḥ | litīti pratyayātpūrvasyodāttatvaṃ ||</w:t>
      </w:r>
    </w:p>
    <w:p>
      <w:pPr>
        <w:pStyle w:val="FirstParagraph"/>
      </w:pPr>
      <w:r>
        <w:rPr>
          <w:bCs/>
          <w:b/>
        </w:rPr>
        <w:t xml:space="preserve">Translation:</w:t>
      </w:r>
      <w:r>
        <w:t xml:space="preserve"> </w:t>
      </w:r>
      <w:r>
        <w:t xml:space="preserve">“</w:t>
      </w:r>
      <w:r>
        <w:t xml:space="preserve">O</w:t>
      </w:r>
      <w:r>
        <w:t xml:space="preserve"> </w:t>
      </w:r>
      <w:r>
        <w:rPr>
          <w:iCs/>
          <w:i/>
        </w:rPr>
        <w:t xml:space="preserve">vanaspate</w:t>
      </w:r>
      <w:r>
        <w:t xml:space="preserve">, Agni of this name, O god,</w:t>
      </w:r>
      <w:r>
        <w:t xml:space="preserve"> </w:t>
      </w:r>
      <w:r>
        <w:rPr>
          <w:iCs/>
          <w:i/>
        </w:rPr>
        <w:t xml:space="preserve">ava sṛja</w:t>
      </w:r>
      <w:r>
        <w:t xml:space="preserve">: release, that is, deliver, our oblation to the gods who eat oblations. By your favour may there be for the giver, the sacrificer,</w:t>
      </w:r>
      <w:r>
        <w:t xml:space="preserve"> </w:t>
      </w:r>
      <w:r>
        <w:rPr>
          <w:iCs/>
          <w:i/>
        </w:rPr>
        <w:t xml:space="preserve">cetanam</w:t>
      </w:r>
      <w:r>
        <w:t xml:space="preserve">: knowledge concerning the other world.</w:t>
      </w:r>
      <w:r>
        <w:t xml:space="preserve">”</w:t>
      </w:r>
      <w:r>
        <w:t xml:space="preserve"> </w:t>
      </w:r>
      <w:r>
        <w:t xml:space="preserve">(Grammatical tail:</w:t>
      </w:r>
      <w:r>
        <w:t xml:space="preserve"> </w:t>
      </w:r>
      <w:r>
        <w:rPr>
          <w:iCs/>
          <w:i/>
        </w:rPr>
        <w:t xml:space="preserve">vanaspate</w:t>
      </w:r>
      <w:r>
        <w:t xml:space="preserve"> </w:t>
      </w:r>
      <w:r>
        <w:t xml:space="preserve">lowered as a vocative;</w:t>
      </w:r>
      <w:r>
        <w:t xml:space="preserve"> </w:t>
      </w:r>
      <w:r>
        <w:rPr>
          <w:iCs/>
          <w:i/>
        </w:rPr>
        <w:t xml:space="preserve">deva</w:t>
      </w:r>
      <w:r>
        <w:t xml:space="preserve"> </w:t>
      </w:r>
      <w:r>
        <w:t xml:space="preserve">not lowered at the head of a pāda, initial udātta by the</w:t>
      </w:r>
      <w:r>
        <w:t xml:space="preserve"> </w:t>
      </w:r>
      <w:r>
        <w:rPr>
          <w:iCs/>
          <w:i/>
        </w:rPr>
        <w:t xml:space="preserve">ṣāṣṭhika</w:t>
      </w:r>
      <w:r>
        <w:t xml:space="preserve"> </w:t>
      </w:r>
      <w:r>
        <w:t xml:space="preserve">rule;</w:t>
      </w:r>
      <w:r>
        <w:t xml:space="preserve"> </w:t>
      </w:r>
      <w:r>
        <w:rPr>
          <w:iCs/>
          <w:i/>
        </w:rPr>
        <w:t xml:space="preserve">haviḥ</w:t>
      </w:r>
      <w:r>
        <w:t xml:space="preserve"> </w:t>
      </w:r>
      <w:r>
        <w:t xml:space="preserve">with the accent of the suffix</w:t>
      </w:r>
      <w:r>
        <w:t xml:space="preserve"> </w:t>
      </w:r>
      <w:r>
        <w:rPr>
          <w:iCs/>
          <w:i/>
        </w:rPr>
        <w:t xml:space="preserve">is</w:t>
      </w:r>
      <w:r>
        <w:t xml:space="preserve">;</w:t>
      </w:r>
      <w:r>
        <w:t xml:space="preserve"> </w:t>
      </w:r>
      <w:r>
        <w:rPr>
          <w:iCs/>
          <w:i/>
        </w:rPr>
        <w:t xml:space="preserve">dātuḥ</w:t>
      </w:r>
      <w:r>
        <w:t xml:space="preserve"> </w:t>
      </w:r>
      <w:r>
        <w:t xml:space="preserve">from</w:t>
      </w:r>
      <w:r>
        <w:t xml:space="preserve"> </w:t>
      </w:r>
      <w:r>
        <w:rPr>
          <w:iCs/>
          <w:i/>
        </w:rPr>
        <w:t xml:space="preserve">dā</w:t>
      </w:r>
      <w:r>
        <w:t xml:space="preserve"> </w:t>
      </w:r>
      <w:r>
        <w:t xml:space="preserve">with</w:t>
      </w:r>
      <w:r>
        <w:t xml:space="preserve"> </w:t>
      </w:r>
      <w:r>
        <w:rPr>
          <w:iCs/>
          <w:i/>
        </w:rPr>
        <w:t xml:space="preserve">tṛc</w:t>
      </w:r>
      <w:r>
        <w:t xml:space="preserve">, final udātta (</w:t>
      </w:r>
      <w:r>
        <w:rPr>
          <w:iCs/>
          <w:i/>
        </w:rPr>
        <w:t xml:space="preserve">cit</w:t>
      </w:r>
      <w:r>
        <w:t xml:space="preserve">),</w:t>
      </w:r>
      <w:r>
        <w:t xml:space="preserve"> </w:t>
      </w:r>
      <w:r>
        <w:rPr>
          <w:iCs/>
          <w:i/>
        </w:rPr>
        <w:t xml:space="preserve">ut</w:t>
      </w:r>
      <w:r>
        <w:t xml:space="preserve"> </w:t>
      </w:r>
      <w:r>
        <w:t xml:space="preserve">by Pā. 6-1-111,</w:t>
      </w:r>
      <w:r>
        <w:t xml:space="preserve"> </w:t>
      </w:r>
      <w:r>
        <w:rPr>
          <w:iCs/>
          <w:i/>
        </w:rPr>
        <w:t xml:space="preserve">s</w:t>
      </w:r>
      <w:r>
        <w:t xml:space="preserve"> </w:t>
      </w:r>
      <w:r>
        <w:t xml:space="preserve">dropped by</w:t>
      </w:r>
      <w:r>
        <w:t xml:space="preserve"> </w:t>
      </w:r>
      <w:r>
        <w:t xml:space="preserve">“</w:t>
      </w:r>
      <w:r>
        <w:t xml:space="preserve">rātsasya</w:t>
      </w:r>
      <w:r>
        <w:t xml:space="preserve">”</w:t>
      </w:r>
      <w:r>
        <w:t xml:space="preserve"> </w:t>
      </w:r>
      <w:r>
        <w:t xml:space="preserve">(Pā. 8-2-24), the</w:t>
      </w:r>
      <w:r>
        <w:t xml:space="preserve"> </w:t>
      </w:r>
      <w:r>
        <w:rPr>
          <w:iCs/>
          <w:i/>
        </w:rPr>
        <w:t xml:space="preserve">u</w:t>
      </w:r>
      <w:r>
        <w:t xml:space="preserve"> </w:t>
      </w:r>
      <w:r>
        <w:t xml:space="preserve">udātta;</w:t>
      </w:r>
      <w:r>
        <w:t xml:space="preserve"> </w:t>
      </w:r>
      <w:r>
        <w:rPr>
          <w:iCs/>
          <w:i/>
        </w:rPr>
        <w:t xml:space="preserve">cetanam</w:t>
      </w:r>
      <w:r>
        <w:t xml:space="preserve"> </w:t>
      </w:r>
      <w:r>
        <w:t xml:space="preserve">from</w:t>
      </w:r>
      <w:r>
        <w:t xml:space="preserve"> </w:t>
      </w:r>
      <w:r>
        <w:rPr>
          <w:iCs/>
          <w:i/>
        </w:rPr>
        <w:t xml:space="preserve">citī saṃjñāne</w:t>
      </w:r>
      <w:r>
        <w:t xml:space="preserve"> </w:t>
      </w:r>
      <w:r>
        <w:t xml:space="preserve">with</w:t>
      </w:r>
      <w:r>
        <w:t xml:space="preserve"> </w:t>
      </w:r>
      <w:r>
        <w:rPr>
          <w:iCs/>
          <w:i/>
        </w:rPr>
        <w:t xml:space="preserve">lyuṭ</w:t>
      </w:r>
      <w:r>
        <w:t xml:space="preserve"> </w:t>
      </w:r>
      <w:r>
        <w:t xml:space="preserve">in the instrumental sense,</w:t>
      </w:r>
      <w:r>
        <w:t xml:space="preserve"> </w:t>
      </w:r>
      <w:r>
        <w:rPr>
          <w:iCs/>
          <w:i/>
        </w:rPr>
        <w:t xml:space="preserve">guṇa</w:t>
      </w:r>
      <w:r>
        <w:t xml:space="preserve">, udātta before the suffix by</w:t>
      </w:r>
      <w:r>
        <w:t xml:space="preserve"> </w:t>
      </w:r>
      <w:r>
        <w:t xml:space="preserve">“</w:t>
      </w:r>
      <w:r>
        <w:t xml:space="preserve">liti</w:t>
      </w:r>
      <w:r>
        <w:t xml:space="preserve">”</w:t>
      </w:r>
      <w:r>
        <w:t xml:space="preserve">.)</w:t>
      </w:r>
    </w:p>
    <w:p>
      <w:pPr>
        <w:pStyle w:val="BodyText"/>
      </w:pPr>
      <w:r>
        <w:rPr>
          <w:bCs/>
          <w:b/>
        </w:rPr>
        <w:t xml:space="preserve">॥ Prati-padārthaḥ ॥</w:t>
      </w:r>
    </w:p>
    <w:p>
      <w:pPr>
        <w:pStyle w:val="BodyText"/>
      </w:pPr>
      <w:r>
        <w:rPr>
          <w:bCs/>
          <w:b/>
        </w:rPr>
        <w:t xml:space="preserve">देव (deva)</w:t>
      </w:r>
      <w:r>
        <w:t xml:space="preserve"> </w:t>
      </w:r>
      <w:r>
        <w:t xml:space="preserve">— shining |</w:t>
      </w:r>
      <w:r>
        <w:t xml:space="preserve"> </w:t>
      </w:r>
      <w:r>
        <w:rPr>
          <w:bCs/>
          <w:b/>
        </w:rPr>
        <w:t xml:space="preserve">वनस्पते (vanaspate)</w:t>
      </w:r>
      <w:r>
        <w:t xml:space="preserve"> </w:t>
      </w:r>
      <w:r>
        <w:t xml:space="preserve">— O Agni, named</w:t>
      </w:r>
      <w:r>
        <w:t xml:space="preserve"> </w:t>
      </w:r>
      <w:r>
        <w:rPr>
          <w:iCs/>
          <w:i/>
        </w:rPr>
        <w:t xml:space="preserve">Vanaspati</w:t>
      </w:r>
      <w:r>
        <w:t xml:space="preserve"> </w:t>
      </w:r>
      <w:r>
        <w:t xml:space="preserve">|</w:t>
      </w:r>
      <w:r>
        <w:t xml:space="preserve"> </w:t>
      </w:r>
      <w:r>
        <w:rPr>
          <w:bCs/>
          <w:b/>
        </w:rPr>
        <w:t xml:space="preserve">देवेभ्यः (devebhyaḥ)</w:t>
      </w:r>
      <w:r>
        <w:t xml:space="preserve"> </w:t>
      </w:r>
      <w:r>
        <w:t xml:space="preserve">— to the gods |</w:t>
      </w:r>
      <w:r>
        <w:t xml:space="preserve"> </w:t>
      </w:r>
      <w:r>
        <w:rPr>
          <w:bCs/>
          <w:b/>
        </w:rPr>
        <w:t xml:space="preserve">हविः (haviḥ)</w:t>
      </w:r>
      <w:r>
        <w:t xml:space="preserve"> </w:t>
      </w:r>
      <w:r>
        <w:t xml:space="preserve">— the oblation that we have prepared |</w:t>
      </w:r>
      <w:r>
        <w:t xml:space="preserve"> </w:t>
      </w:r>
      <w:r>
        <w:rPr>
          <w:bCs/>
          <w:b/>
        </w:rPr>
        <w:t xml:space="preserve">अव सृज (ava sṛja)</w:t>
      </w:r>
      <w:r>
        <w:t xml:space="preserve"> </w:t>
      </w:r>
      <w:r>
        <w:t xml:space="preserve">— convey, offer |</w:t>
      </w:r>
      <w:r>
        <w:t xml:space="preserve"> </w:t>
      </w:r>
      <w:r>
        <w:rPr>
          <w:bCs/>
          <w:b/>
        </w:rPr>
        <w:t xml:space="preserve">दातुः (dātuḥ)</w:t>
      </w:r>
      <w:r>
        <w:t xml:space="preserve"> </w:t>
      </w:r>
      <w:r>
        <w:t xml:space="preserve">— to the sacrificer who gives the oblation to the gods |</w:t>
      </w:r>
      <w:r>
        <w:t xml:space="preserve"> </w:t>
      </w:r>
      <w:r>
        <w:rPr>
          <w:bCs/>
          <w:b/>
        </w:rPr>
        <w:t xml:space="preserve">चेतनम् (cetanam)</w:t>
      </w:r>
      <w:r>
        <w:t xml:space="preserve"> </w:t>
      </w:r>
      <w:r>
        <w:t xml:space="preserve">— excellent knowledge (concerning the other world) |</w:t>
      </w:r>
      <w:r>
        <w:t xml:space="preserve"> </w:t>
      </w:r>
      <w:r>
        <w:rPr>
          <w:bCs/>
          <w:b/>
        </w:rPr>
        <w:t xml:space="preserve">अस्तु (astu)</w:t>
      </w:r>
      <w:r>
        <w:t xml:space="preserve"> </w:t>
      </w:r>
      <w:r>
        <w:t xml:space="preserve">— [by your favour] may there be.</w:t>
      </w:r>
    </w:p>
    <w:p>
      <w:pPr>
        <w:pStyle w:val="BodyText"/>
      </w:pPr>
      <w:r>
        <w:rPr>
          <w:bCs/>
          <w:b/>
        </w:rPr>
        <w:t xml:space="preserve">॥ Bhāvārthaḥ ॥</w:t>
      </w:r>
    </w:p>
    <w:p>
      <w:pPr>
        <w:pStyle w:val="BodyText"/>
      </w:pPr>
      <w:r>
        <w:t xml:space="preserve">O Vanaspati, or Agni named Vanaspati, deliver to the gods the oblation we give, and by your favour may excellent knowledge come to the sacrificer who gives the oblation.</w:t>
      </w:r>
    </w:p>
    <w:p>
      <w:pPr>
        <w:pStyle w:val="BodyText"/>
      </w:pPr>
      <w:r>
        <w:rPr>
          <w:bCs/>
          <w:b/>
        </w:rPr>
        <w:t xml:space="preserve">॥ English Translation ॥</w:t>
      </w:r>
      <w:r>
        <w:t xml:space="preserve"> </w:t>
      </w:r>
      <w:r>
        <w:rPr>
          <w:iCs/>
          <w:i/>
        </w:rPr>
        <w:t xml:space="preserve">(as printed in the source)</w:t>
      </w:r>
    </w:p>
    <w:p>
      <w:pPr>
        <w:pStyle w:val="BlockText"/>
      </w:pPr>
      <w:r>
        <w:t xml:space="preserve">Present, divine Vanaspati, our oblation to the gods, and may trne [sic] knowledge be the reward of the giver.</w:t>
      </w:r>
    </w:p>
    <w:p>
      <w:pPr>
        <w:pStyle w:val="FirstParagraph"/>
      </w:pPr>
      <w:r>
        <w:rPr>
          <w:bCs/>
          <w:b/>
        </w:rPr>
        <w:t xml:space="preserve">॥ Viśeṣa-viṣayagaḷu (Special Topics) ॥</w:t>
      </w:r>
    </w:p>
    <w:p>
      <w:pPr>
        <w:pStyle w:val="BodyText"/>
      </w:pPr>
      <w:r>
        <w:rPr>
          <w:bCs/>
          <w:b/>
        </w:rPr>
        <w:t xml:space="preserve">Vanaspate</w:t>
      </w:r>
      <w:r>
        <w:t xml:space="preserve">: Yāska’s explanation of the word</w:t>
      </w:r>
      <w:r>
        <w:t xml:space="preserve"> </w:t>
      </w:r>
      <w:r>
        <w:rPr>
          <w:iCs/>
          <w:i/>
        </w:rPr>
        <w:t xml:space="preserve">vanaspati</w:t>
      </w:r>
      <w:r>
        <w:t xml:space="preserve">:</w:t>
      </w:r>
    </w:p>
    <w:p>
      <w:pPr>
        <w:pStyle w:val="BlockText"/>
      </w:pPr>
      <w:r>
        <w:t xml:space="preserve">वनस्पत इत्येनमाहैष हि वनानां पाता वा पालयिता वा । वनं वनोतेः ॥</w:t>
      </w:r>
    </w:p>
    <w:p>
      <w:pPr>
        <w:pStyle w:val="BlockText"/>
      </w:pPr>
      <w:r>
        <w:rPr>
          <w:iCs/>
          <w:i/>
        </w:rPr>
        <w:t xml:space="preserve">vanaspata ityenamāhaiṣa hi vanānāṃ pātā vā pālayitā vā | vanaṃ vanoteḥ ||</w:t>
      </w:r>
    </w:p>
    <w:p>
      <w:pPr>
        <w:pStyle w:val="FirstParagraph"/>
      </w:pPr>
      <w:r>
        <w:rPr>
          <w:iCs/>
          <w:i/>
        </w:rPr>
        <w:t xml:space="preserve">(Ni. 8-3.)</w:t>
      </w:r>
    </w:p>
    <w:p>
      <w:pPr>
        <w:pStyle w:val="BlockText"/>
      </w:pPr>
      <w:r>
        <w:t xml:space="preserve">तत्को वनस्पतिः । यूप इति कात्थक्यः । अग्निरिति शाकपूणिः ॥</w:t>
      </w:r>
    </w:p>
    <w:p>
      <w:pPr>
        <w:pStyle w:val="BlockText"/>
      </w:pPr>
      <w:r>
        <w:rPr>
          <w:iCs/>
          <w:i/>
        </w:rPr>
        <w:t xml:space="preserve">tatko vanaspatiḥ | yūpa iti kātthakyaḥ | agniriti śākapūṇiḥ ||</w:t>
      </w:r>
    </w:p>
    <w:p>
      <w:pPr>
        <w:pStyle w:val="FirstParagraph"/>
      </w:pPr>
      <w:r>
        <w:rPr>
          <w:iCs/>
          <w:i/>
        </w:rPr>
        <w:t xml:space="preserve">(Ni. 8-18.)</w:t>
      </w:r>
    </w:p>
    <w:bookmarkEnd w:id="612"/>
    <w:bookmarkStart w:id="613" w:name="X5d3696832a0e0b4edf70c3aadb80067bb2091f2"/>
    <w:p>
      <w:pPr>
        <w:pStyle w:val="Heading3"/>
      </w:pPr>
      <w:r>
        <w:t xml:space="preserve">Page 577 — Rik 11: Special Topics (continued) and grammar</w:t>
      </w:r>
    </w:p>
    <w:p>
      <w:pPr>
        <w:pStyle w:val="FirstParagraph"/>
      </w:pPr>
      <w:r>
        <w:t xml:space="preserve">That is, Agni himself is called</w:t>
      </w:r>
      <w:r>
        <w:t xml:space="preserve"> </w:t>
      </w:r>
      <w:r>
        <w:rPr>
          <w:iCs/>
          <w:i/>
        </w:rPr>
        <w:t xml:space="preserve">vanaspati</w:t>
      </w:r>
      <w:r>
        <w:t xml:space="preserve">. For Agni is the protector or guardian of the woods: though Agni is present within the tree he does not burn it, so he is called its guardian. Or, since it serves for wood and other means of the sacrifice, it is called</w:t>
      </w:r>
      <w:r>
        <w:t xml:space="preserve"> </w:t>
      </w:r>
      <w:r>
        <w:rPr>
          <w:iCs/>
          <w:i/>
        </w:rPr>
        <w:t xml:space="preserve">vana</w:t>
      </w:r>
      <w:r>
        <w:t xml:space="preserve">.</w:t>
      </w:r>
      <w:r>
        <w:t xml:space="preserve"> </w:t>
      </w:r>
      <w:r>
        <w:rPr>
          <w:iCs/>
          <w:i/>
        </w:rPr>
        <w:t xml:space="preserve">Vanaspati</w:t>
      </w:r>
      <w:r>
        <w:t xml:space="preserve"> </w:t>
      </w:r>
      <w:r>
        <w:t xml:space="preserve">means king of trees, a large tree. Which deity is</w:t>
      </w:r>
      <w:r>
        <w:t xml:space="preserve"> </w:t>
      </w:r>
      <w:r>
        <w:rPr>
          <w:iCs/>
          <w:i/>
        </w:rPr>
        <w:t xml:space="preserve">vanaspati</w:t>
      </w:r>
      <w:r>
        <w:t xml:space="preserve">? Kātthakya’s view is that it is the wooden post set up to tie the animal at the sacrifice; Śākapūṇi’s view is that</w:t>
      </w:r>
      <w:r>
        <w:t xml:space="preserve"> </w:t>
      </w:r>
      <w:r>
        <w:rPr>
          <w:iCs/>
          <w:i/>
        </w:rPr>
        <w:t xml:space="preserve">vanaspati</w:t>
      </w:r>
      <w:r>
        <w:t xml:space="preserve"> </w:t>
      </w:r>
      <w:r>
        <w:t xml:space="preserve">is Agni.</w:t>
      </w:r>
    </w:p>
    <w:p>
      <w:pPr>
        <w:pStyle w:val="BodyText"/>
      </w:pPr>
      <w:r>
        <w:t xml:space="preserve">To support Kātthakya’s view Yāska gives a Ṛk as an example:</w:t>
      </w:r>
    </w:p>
    <w:p>
      <w:pPr>
        <w:pStyle w:val="BlockText"/>
      </w:pPr>
      <w:r>
        <w:t xml:space="preserve">अञ्जन्ति त्वामध्वरे देवयन्तो वनस्पते मधुना दैव्येन ॥</w:t>
      </w:r>
    </w:p>
    <w:p>
      <w:pPr>
        <w:pStyle w:val="BlockText"/>
      </w:pPr>
      <w:r>
        <w:rPr>
          <w:iCs/>
          <w:i/>
        </w:rPr>
        <w:t xml:space="preserve">añjanti tvāmadhvare devayanto vanaspate madhunā daivyena ||</w:t>
      </w:r>
    </w:p>
    <w:p>
      <w:pPr>
        <w:pStyle w:val="FirstParagraph"/>
      </w:pPr>
      <w:r>
        <w:rPr>
          <w:iCs/>
          <w:i/>
        </w:rPr>
        <w:t xml:space="preserve">(Ṛ. Saṃ. 3-8-1.)</w:t>
      </w:r>
      <w:r>
        <w:t xml:space="preserve"> </w:t>
      </w:r>
      <w:r>
        <w:t xml:space="preserve">That is,</w:t>
      </w:r>
      <w:r>
        <w:t xml:space="preserve"> </w:t>
      </w:r>
      <w:r>
        <w:t xml:space="preserve">“</w:t>
      </w:r>
      <w:r>
        <w:t xml:space="preserve">O Vanaspati (sacrificial post), at the sacrifice the priests and sacrificer anoint you with ghee purified by mantras</w:t>
      </w:r>
      <w:r>
        <w:t xml:space="preserve">”</w:t>
      </w:r>
      <w:r>
        <w:t xml:space="preserve">: the post to which the animal is tied is addressed. And in the 3rd, 6th and 11th Ṛks of the same sūkta</w:t>
      </w:r>
      <w:r>
        <w:t xml:space="preserve"> </w:t>
      </w:r>
      <w:r>
        <w:rPr>
          <w:iCs/>
          <w:i/>
        </w:rPr>
        <w:t xml:space="preserve">vanaspati</w:t>
      </w:r>
      <w:r>
        <w:t xml:space="preserve"> </w:t>
      </w:r>
      <w:r>
        <w:t xml:space="preserve">is addressed as the sacrificial post; besides, it is well known that the post is the deity of that sūkta. In the eleventh Ṛk of that sūkta,</w:t>
      </w:r>
    </w:p>
    <w:p>
      <w:pPr>
        <w:pStyle w:val="BlockText"/>
      </w:pPr>
      <w:r>
        <w:t xml:space="preserve">वनस्पते शतवल्शो वि रोह सहस्रवल्शा वि वयं रुहेम</w:t>
      </w:r>
    </w:p>
    <w:p>
      <w:pPr>
        <w:pStyle w:val="BlockText"/>
      </w:pPr>
      <w:r>
        <w:rPr>
          <w:iCs/>
          <w:i/>
        </w:rPr>
        <w:t xml:space="preserve">vanaspate śatavalśo vi roha sahasravalśā vi vayaṃ ruhema</w:t>
      </w:r>
    </w:p>
    <w:p>
      <w:pPr>
        <w:pStyle w:val="FirstParagraph"/>
      </w:pPr>
      <w:r>
        <w:t xml:space="preserve">that is,</w:t>
      </w:r>
      <w:r>
        <w:t xml:space="preserve"> </w:t>
      </w:r>
      <w:r>
        <w:t xml:space="preserve">“</w:t>
      </w:r>
      <w:r>
        <w:t xml:space="preserve">O Vanaspati, grow with hundreds and thousands of shoots (in places)</w:t>
      </w:r>
      <w:r>
        <w:t xml:space="preserve">”</w:t>
      </w:r>
      <w:r>
        <w:t xml:space="preserve">, which fits the tree</w:t>
      </w:r>
      <w:r>
        <w:t xml:space="preserve"> </w:t>
      </w:r>
      <w:r>
        <w:rPr>
          <w:iCs/>
          <w:i/>
        </w:rPr>
        <w:t xml:space="preserve">vanaspati</w:t>
      </w:r>
      <w:r>
        <w:t xml:space="preserve">. In the Ṛk Ṛ. Saṃ.</w:t>
      </w:r>
      <w:r>
        <w:t xml:space="preserve"> </w:t>
      </w:r>
      <w:r>
        <w:t xml:space="preserve">“</w:t>
      </w:r>
      <w:r>
        <w:t xml:space="preserve">10-70-10</w:t>
      </w:r>
      <w:r>
        <w:t xml:space="preserve">”</w:t>
      </w:r>
      <w:r>
        <w:t xml:space="preserve"> </w:t>
      </w:r>
      <w:r>
        <w:t xml:space="preserve">[?],</w:t>
      </w:r>
    </w:p>
    <w:p>
      <w:pPr>
        <w:pStyle w:val="BlockText"/>
      </w:pPr>
      <w:r>
        <w:t xml:space="preserve">वनस्पते रशनया नियूय</w:t>
      </w:r>
    </w:p>
    <w:p>
      <w:pPr>
        <w:pStyle w:val="BlockText"/>
      </w:pPr>
      <w:r>
        <w:rPr>
          <w:iCs/>
          <w:i/>
        </w:rPr>
        <w:t xml:space="preserve">vanaspate raśanayā niyūya</w:t>
      </w:r>
    </w:p>
    <w:p>
      <w:pPr>
        <w:pStyle w:val="FirstParagraph"/>
      </w:pPr>
      <w:r>
        <w:t xml:space="preserve">“</w:t>
      </w:r>
      <w:r>
        <w:t xml:space="preserve">O Vanaspati, having tied the animal with the rope</w:t>
      </w:r>
      <w:r>
        <w:t xml:space="preserve">”</w:t>
      </w:r>
      <w:r>
        <w:t xml:space="preserve">, confirms the sense</w:t>
      </w:r>
      <w:r>
        <w:t xml:space="preserve"> </w:t>
      </w:r>
      <w:r>
        <w:t xml:space="preserve">“</w:t>
      </w:r>
      <w:r>
        <w:t xml:space="preserve">sacrificial post</w:t>
      </w:r>
      <w:r>
        <w:t xml:space="preserve">”</w:t>
      </w:r>
      <w:r>
        <w:t xml:space="preserve"> </w:t>
      </w:r>
      <w:r>
        <w:t xml:space="preserve">for the word</w:t>
      </w:r>
      <w:r>
        <w:t xml:space="preserve"> </w:t>
      </w:r>
      <w:r>
        <w:rPr>
          <w:iCs/>
          <w:i/>
        </w:rPr>
        <w:t xml:space="preserve">vanaspati</w:t>
      </w:r>
      <w:r>
        <w:t xml:space="preserve">. So</w:t>
      </w:r>
      <w:r>
        <w:t xml:space="preserve"> </w:t>
      </w:r>
      <w:r>
        <w:rPr>
          <w:iCs/>
          <w:i/>
        </w:rPr>
        <w:t xml:space="preserve">vanaspati</w:t>
      </w:r>
      <w:r>
        <w:t xml:space="preserve"> </w:t>
      </w:r>
      <w:r>
        <w:t xml:space="preserve">means the sacrificial post;</w:t>
      </w:r>
      <w:r>
        <w:t xml:space="preserve"> </w:t>
      </w:r>
      <w:r>
        <w:t xml:space="preserve">“</w:t>
      </w:r>
      <w:r>
        <w:t xml:space="preserve">Agni</w:t>
      </w:r>
      <w:r>
        <w:t xml:space="preserve">”</w:t>
      </w:r>
      <w:r>
        <w:t xml:space="preserve"> </w:t>
      </w:r>
      <w:r>
        <w:t xml:space="preserve">is an indirect sense.</w:t>
      </w:r>
    </w:p>
    <w:p>
      <w:pPr>
        <w:pStyle w:val="BodyText"/>
      </w:pPr>
      <w:r>
        <w:rPr>
          <w:bCs/>
          <w:b/>
        </w:rPr>
        <w:t xml:space="preserve">Dātuḥ</w:t>
      </w:r>
      <w:r>
        <w:t xml:space="preserve">:</w:t>
      </w:r>
      <w:r>
        <w:t xml:space="preserve"> </w:t>
      </w:r>
      <w:r>
        <w:rPr>
          <w:iCs/>
          <w:i/>
        </w:rPr>
        <w:t xml:space="preserve">हविःप्रदातुः यजमानस्य</w:t>
      </w:r>
      <w:r>
        <w:t xml:space="preserve"> </w:t>
      </w:r>
      <w:r>
        <w:t xml:space="preserve">(</w:t>
      </w:r>
      <w:r>
        <w:rPr>
          <w:iCs/>
          <w:i/>
        </w:rPr>
        <w:t xml:space="preserve">haviḥpradātuḥ yajamānasya</w:t>
      </w:r>
      <w:r>
        <w:t xml:space="preserve">): of the sacrificer who offers the oblation.</w:t>
      </w:r>
    </w:p>
    <w:p>
      <w:pPr>
        <w:pStyle w:val="BodyText"/>
      </w:pPr>
      <w:r>
        <w:rPr>
          <w:bCs/>
          <w:b/>
        </w:rPr>
        <w:t xml:space="preserve">Cetanam</w:t>
      </w:r>
      <w:r>
        <w:t xml:space="preserve">:</w:t>
      </w:r>
      <w:r>
        <w:t xml:space="preserve"> </w:t>
      </w:r>
      <w:r>
        <w:rPr>
          <w:iCs/>
          <w:i/>
        </w:rPr>
        <w:t xml:space="preserve">परलोकविषयं विज्ञानं</w:t>
      </w:r>
      <w:r>
        <w:t xml:space="preserve"> </w:t>
      </w:r>
      <w:r>
        <w:t xml:space="preserve">(</w:t>
      </w:r>
      <w:r>
        <w:rPr>
          <w:iCs/>
          <w:i/>
        </w:rPr>
        <w:t xml:space="preserve">paralokaviṣayaṃ vijñānaṃ</w:t>
      </w:r>
      <w:r>
        <w:t xml:space="preserve">): the Bhāṣyakāra says it is knowledge concerning the other world.</w:t>
      </w:r>
      <w:r>
        <w:t xml:space="preserve"> </w:t>
      </w:r>
      <w:r>
        <w:rPr>
          <w:iCs/>
          <w:i/>
        </w:rPr>
        <w:t xml:space="preserve">Cetana</w:t>
      </w:r>
      <w:r>
        <w:t xml:space="preserve"> </w:t>
      </w:r>
      <w:r>
        <w:t xml:space="preserve">means knowledge, understanding, discrimination. Veṅkaṭamādhava says</w:t>
      </w:r>
    </w:p>
    <w:p>
      <w:pPr>
        <w:pStyle w:val="BlockText"/>
      </w:pPr>
      <w:r>
        <w:t xml:space="preserve">दातुर्यजमानस्य प्रज्ञापनं देवेषु त्वया निवेदितस्य</w:t>
      </w:r>
    </w:p>
    <w:p>
      <w:pPr>
        <w:pStyle w:val="BlockText"/>
      </w:pPr>
      <w:r>
        <w:rPr>
          <w:iCs/>
          <w:i/>
        </w:rPr>
        <w:t xml:space="preserve">dāturyajamānasya prajñāpanaṃ deveṣu tvayā niveditasya</w:t>
      </w:r>
    </w:p>
    <w:p>
      <w:pPr>
        <w:pStyle w:val="FirstParagraph"/>
      </w:pPr>
      <w:r>
        <w:t xml:space="preserve">that is,</w:t>
      </w:r>
      <w:r>
        <w:t xml:space="preserve"> </w:t>
      </w:r>
      <w:r>
        <w:t xml:space="preserve">“</w:t>
      </w:r>
      <w:r>
        <w:t xml:space="preserve">you must make the gods aware concerning the sacrificer</w:t>
      </w:r>
      <w:r>
        <w:t xml:space="preserve">”</w:t>
      </w:r>
      <w:r>
        <w:t xml:space="preserve">.</w:t>
      </w:r>
    </w:p>
    <w:p>
      <w:pPr>
        <w:pStyle w:val="BodyText"/>
      </w:pPr>
      <w:r>
        <w:rPr>
          <w:bCs/>
          <w:b/>
        </w:rPr>
        <w:t xml:space="preserve">॥ Vyākaraṇa-prakriyā ॥</w:t>
      </w:r>
      <w:r>
        <w:t xml:space="preserve"> </w:t>
      </w:r>
      <w:r>
        <w:rPr>
          <w:iCs/>
          <w:i/>
        </w:rPr>
        <w:t xml:space="preserve">(grammar pages 577–578, noted briefly)</w:t>
      </w:r>
    </w:p>
    <w:p>
      <w:pPr>
        <w:pStyle w:val="BodyText"/>
      </w:pPr>
      <w:r>
        <w:rPr>
          <w:bCs/>
          <w:b/>
        </w:rPr>
        <w:t xml:space="preserve">वनस्पते (</w:t>
      </w:r>
      <w:r>
        <w:rPr>
          <w:iCs/>
          <w:i/>
          <w:bCs/>
          <w:b/>
        </w:rPr>
        <w:t xml:space="preserve">vanaspate</w:t>
      </w:r>
      <w:r>
        <w:rPr>
          <w:bCs/>
          <w:b/>
        </w:rPr>
        <w:t xml:space="preserve">)</w:t>
      </w:r>
      <w:r>
        <w:t xml:space="preserve">: wholly unaccented by</w:t>
      </w:r>
      <w:r>
        <w:t xml:space="preserve"> </w:t>
      </w:r>
      <w:r>
        <w:t xml:space="preserve">“</w:t>
      </w:r>
      <w:r>
        <w:t xml:space="preserve">āmantritasya ca</w:t>
      </w:r>
      <w:r>
        <w:t xml:space="preserve">”</w:t>
      </w:r>
      <w:r>
        <w:t xml:space="preserve"> </w:t>
      </w:r>
      <w:r>
        <w:t xml:space="preserve">(Pā. sū. 8-1-19).</w:t>
      </w:r>
      <w:r>
        <w:t xml:space="preserve"> </w:t>
      </w:r>
      <w:r>
        <w:rPr>
          <w:bCs/>
          <w:b/>
        </w:rPr>
        <w:t xml:space="preserve">देव (</w:t>
      </w:r>
      <w:r>
        <w:rPr>
          <w:iCs/>
          <w:i/>
          <w:bCs/>
          <w:b/>
        </w:rPr>
        <w:t xml:space="preserve">deva</w:t>
      </w:r>
      <w:r>
        <w:rPr>
          <w:bCs/>
          <w:b/>
        </w:rPr>
        <w:t xml:space="preserve">)</w:t>
      </w:r>
      <w:r>
        <w:t xml:space="preserve">: it stands at the head of the second pāda, so the prohibition</w:t>
      </w:r>
      <w:r>
        <w:t xml:space="preserve"> </w:t>
      </w:r>
      <w:r>
        <w:t xml:space="preserve">“</w:t>
      </w:r>
      <w:r>
        <w:t xml:space="preserve">apādādau</w:t>
      </w:r>
      <w:r>
        <w:t xml:space="preserve">”</w:t>
      </w:r>
      <w:r>
        <w:t xml:space="preserve"> </w:t>
      </w:r>
      <w:r>
        <w:t xml:space="preserve">(Pā. sū. 8-1-18) stops the lowering, and the sixth-adhyāya rule</w:t>
      </w:r>
      <w:r>
        <w:t xml:space="preserve"> </w:t>
      </w:r>
      <w:r>
        <w:t xml:space="preserve">“</w:t>
      </w:r>
      <w:r>
        <w:t xml:space="preserve">āmantritasya ca</w:t>
      </w:r>
      <w:r>
        <w:t xml:space="preserve">”</w:t>
      </w:r>
      <w:r>
        <w:t xml:space="preserve"> </w:t>
      </w:r>
      <w:r>
        <w:t xml:space="preserve">(Pā. sū. 6-1-198) gives initial udātta.</w:t>
      </w:r>
    </w:p>
    <w:bookmarkEnd w:id="613"/>
    <w:bookmarkStart w:id="614" w:name="page-578-rik-11-grammar-end"/>
    <w:p>
      <w:pPr>
        <w:pStyle w:val="Heading3"/>
      </w:pPr>
      <w:r>
        <w:t xml:space="preserve">Page 578 — Rik 11: grammar (end)</w:t>
      </w:r>
    </w:p>
    <w:p>
      <w:pPr>
        <w:pStyle w:val="FirstParagraph"/>
      </w:pPr>
      <w:r>
        <w:rPr>
          <w:bCs/>
          <w:b/>
        </w:rPr>
        <w:t xml:space="preserve">हविः (</w:t>
      </w:r>
      <w:r>
        <w:rPr>
          <w:iCs/>
          <w:i/>
          <w:bCs/>
          <w:b/>
        </w:rPr>
        <w:t xml:space="preserve">haviḥ</w:t>
      </w:r>
      <w:r>
        <w:rPr>
          <w:bCs/>
          <w:b/>
        </w:rPr>
        <w:t xml:space="preserve">)</w:t>
      </w:r>
      <w:r>
        <w:t xml:space="preserve">:</w:t>
      </w:r>
      <w:r>
        <w:t xml:space="preserve"> </w:t>
      </w:r>
      <w:r>
        <w:rPr>
          <w:iCs/>
          <w:i/>
        </w:rPr>
        <w:t xml:space="preserve">hu dānādanayoḥ</w:t>
      </w:r>
      <w:r>
        <w:t xml:space="preserve">;</w:t>
      </w:r>
      <w:r>
        <w:t xml:space="preserve"> </w:t>
      </w:r>
      <w:r>
        <w:rPr>
          <w:iCs/>
          <w:i/>
        </w:rPr>
        <w:t xml:space="preserve">isi</w:t>
      </w:r>
      <w:r>
        <w:t xml:space="preserve"> </w:t>
      </w:r>
      <w:r>
        <w:t xml:space="preserve">by</w:t>
      </w:r>
      <w:r>
        <w:t xml:space="preserve"> </w:t>
      </w:r>
      <w:r>
        <w:t xml:space="preserve">“</w:t>
      </w:r>
      <w:r>
        <w:t xml:space="preserve">arciśucihu…</w:t>
      </w:r>
      <w:r>
        <w:t xml:space="preserve">”</w:t>
      </w:r>
      <w:r>
        <w:t xml:space="preserve"> </w:t>
      </w:r>
      <w:r>
        <w:t xml:space="preserve">(Uṇ. sū.</w:t>
      </w:r>
      <w:r>
        <w:t xml:space="preserve"> </w:t>
      </w:r>
      <w:r>
        <w:t xml:space="preserve">“</w:t>
      </w:r>
      <w:r>
        <w:t xml:space="preserve">2-266</w:t>
      </w:r>
      <w:r>
        <w:t xml:space="preserve">”</w:t>
      </w:r>
      <w:r>
        <w:t xml:space="preserve"> </w:t>
      </w:r>
      <w:r>
        <w:t xml:space="preserve">[?]);</w:t>
      </w:r>
      <w:r>
        <w:t xml:space="preserve"> </w:t>
      </w:r>
      <w:r>
        <w:rPr>
          <w:iCs/>
          <w:i/>
        </w:rPr>
        <w:t xml:space="preserve">guṇa</w:t>
      </w:r>
      <w:r>
        <w:t xml:space="preserve">. The</w:t>
      </w:r>
      <w:r>
        <w:t xml:space="preserve"> </w:t>
      </w:r>
      <w:r>
        <w:rPr>
          <w:iCs/>
          <w:i/>
        </w:rPr>
        <w:t xml:space="preserve">paryudāsa</w:t>
      </w:r>
      <w:r>
        <w:t xml:space="preserve"> </w:t>
      </w:r>
      <w:r>
        <w:t xml:space="preserve">“</w:t>
      </w:r>
      <w:r>
        <w:t xml:space="preserve">anisantasya</w:t>
      </w:r>
      <w:r>
        <w:t xml:space="preserve">”</w:t>
      </w:r>
      <w:r>
        <w:t xml:space="preserve">: the verse</w:t>
      </w:r>
    </w:p>
    <w:p>
      <w:pPr>
        <w:pStyle w:val="BlockText"/>
      </w:pPr>
      <w:r>
        <w:t xml:space="preserve">प्रसज्यप्रतिषेधो ऽयं क्रियया सह यत्र नञ् । पर्युदासस्तु विज्ञेयो यत्रोत्तरपदेन नञ् ॥</w:t>
      </w:r>
    </w:p>
    <w:p>
      <w:pPr>
        <w:pStyle w:val="BlockText"/>
      </w:pPr>
      <w:r>
        <w:rPr>
          <w:iCs/>
          <w:i/>
        </w:rPr>
        <w:t xml:space="preserve">prasajyapratiṣedho ’yaṃ kriyayā saha yatra nañ | paryudāsastu vijñeyo yatrottarapadena nañ ||</w:t>
      </w:r>
    </w:p>
    <w:p>
      <w:pPr>
        <w:pStyle w:val="FirstParagraph"/>
      </w:pPr>
      <w:r>
        <w:t xml:space="preserve">explains that where</w:t>
      </w:r>
      <w:r>
        <w:t xml:space="preserve"> </w:t>
      </w:r>
      <w:r>
        <w:rPr>
          <w:iCs/>
          <w:i/>
        </w:rPr>
        <w:t xml:space="preserve">nañ</w:t>
      </w:r>
      <w:r>
        <w:t xml:space="preserve"> </w:t>
      </w:r>
      <w:r>
        <w:t xml:space="preserve">is construed with the verb it is a</w:t>
      </w:r>
      <w:r>
        <w:t xml:space="preserve"> </w:t>
      </w:r>
      <w:r>
        <w:rPr>
          <w:iCs/>
          <w:i/>
        </w:rPr>
        <w:t xml:space="preserve">prasajya-pratiṣedha</w:t>
      </w:r>
      <w:r>
        <w:t xml:space="preserve">, where with the following member (</w:t>
      </w:r>
      <w:r>
        <w:rPr>
          <w:iCs/>
          <w:i/>
        </w:rPr>
        <w:t xml:space="preserve">n’is</w:t>
      </w:r>
      <w:r>
        <w:t xml:space="preserve">,</w:t>
      </w:r>
      <w:r>
        <w:t xml:space="preserve"> </w:t>
      </w:r>
      <w:r>
        <w:rPr>
          <w:iCs/>
          <w:i/>
        </w:rPr>
        <w:t xml:space="preserve">anis</w:t>
      </w:r>
      <w:r>
        <w:t xml:space="preserve">) a</w:t>
      </w:r>
      <w:r>
        <w:t xml:space="preserve"> </w:t>
      </w:r>
      <w:r>
        <w:rPr>
          <w:iCs/>
          <w:i/>
        </w:rPr>
        <w:t xml:space="preserve">paryudāsa</w:t>
      </w:r>
      <w:r>
        <w:t xml:space="preserve">. A</w:t>
      </w:r>
      <w:r>
        <w:t xml:space="preserve"> </w:t>
      </w:r>
      <w:r>
        <w:rPr>
          <w:iCs/>
          <w:i/>
        </w:rPr>
        <w:t xml:space="preserve">prasajya-pratiṣedha</w:t>
      </w:r>
      <w:r>
        <w:t xml:space="preserve"> </w:t>
      </w:r>
      <w:r>
        <w:t xml:space="preserve">always brings three faults (supplying a fitting verb, a compound of an unconnected word, splitting the sentence), so it is taken only where a</w:t>
      </w:r>
      <w:r>
        <w:t xml:space="preserve"> </w:t>
      </w:r>
      <w:r>
        <w:rPr>
          <w:iCs/>
          <w:i/>
        </w:rPr>
        <w:t xml:space="preserve">paryudāsa</w:t>
      </w:r>
      <w:r>
        <w:t xml:space="preserve"> </w:t>
      </w:r>
      <w:r>
        <w:t xml:space="preserve">cannot be; here the</w:t>
      </w:r>
      <w:r>
        <w:t xml:space="preserve"> </w:t>
      </w:r>
      <w:r>
        <w:rPr>
          <w:iCs/>
          <w:i/>
        </w:rPr>
        <w:t xml:space="preserve">paryudāsa</w:t>
      </w:r>
      <w:r>
        <w:t xml:space="preserve"> </w:t>
      </w:r>
      <w:r>
        <w:t xml:space="preserve">is taken. So</w:t>
      </w:r>
      <w:r>
        <w:t xml:space="preserve"> </w:t>
      </w:r>
      <w:r>
        <w:t xml:space="preserve">“</w:t>
      </w:r>
      <w:r>
        <w:t xml:space="preserve">nabviṣayasyānisantasya</w:t>
      </w:r>
      <w:r>
        <w:t xml:space="preserve">”</w:t>
      </w:r>
      <w:r>
        <w:t xml:space="preserve"> </w:t>
      </w:r>
      <w:r>
        <w:t xml:space="preserve">(Phi. sū.) means: the beginning of a neuter stem other than one ending in</w:t>
      </w:r>
      <w:r>
        <w:t xml:space="preserve"> </w:t>
      </w:r>
      <w:r>
        <w:rPr>
          <w:iCs/>
          <w:i/>
        </w:rPr>
        <w:t xml:space="preserve">is</w:t>
      </w:r>
      <w:r>
        <w:t xml:space="preserve"> </w:t>
      </w:r>
      <w:r>
        <w:t xml:space="preserve">is udātta.</w:t>
      </w:r>
      <w:r>
        <w:t xml:space="preserve"> </w:t>
      </w:r>
      <w:r>
        <w:rPr>
          <w:iCs/>
          <w:i/>
        </w:rPr>
        <w:t xml:space="preserve">Havis</w:t>
      </w:r>
      <w:r>
        <w:t xml:space="preserve"> </w:t>
      </w:r>
      <w:r>
        <w:t xml:space="preserve">ends in</w:t>
      </w:r>
      <w:r>
        <w:t xml:space="preserve"> </w:t>
      </w:r>
      <w:r>
        <w:rPr>
          <w:iCs/>
          <w:i/>
        </w:rPr>
        <w:t xml:space="preserve">is</w:t>
      </w:r>
      <w:r>
        <w:t xml:space="preserve">, so this rule gives no initial udātta; the suffix accent stands, and</w:t>
      </w:r>
      <w:r>
        <w:t xml:space="preserve"> </w:t>
      </w:r>
      <w:r>
        <w:rPr>
          <w:iCs/>
          <w:i/>
        </w:rPr>
        <w:t xml:space="preserve">haviḥ</w:t>
      </w:r>
      <w:r>
        <w:t xml:space="preserve"> </w:t>
      </w:r>
      <w:r>
        <w:t xml:space="preserve">is final udātta.</w:t>
      </w:r>
      <w:r>
        <w:t xml:space="preserve"> </w:t>
      </w:r>
      <w:r>
        <w:rPr>
          <w:bCs/>
          <w:b/>
        </w:rPr>
        <w:t xml:space="preserve">दातुः (</w:t>
      </w:r>
      <w:r>
        <w:rPr>
          <w:iCs/>
          <w:i/>
          <w:bCs/>
          <w:b/>
        </w:rPr>
        <w:t xml:space="preserve">dātuḥ</w:t>
      </w:r>
      <w:r>
        <w:rPr>
          <w:bCs/>
          <w:b/>
        </w:rPr>
        <w:t xml:space="preserve">)</w:t>
      </w:r>
      <w:r>
        <w:t xml:space="preserve">:</w:t>
      </w:r>
      <w:r>
        <w:t xml:space="preserve"> </w:t>
      </w:r>
      <w:r>
        <w:rPr>
          <w:iCs/>
          <w:i/>
        </w:rPr>
        <w:t xml:space="preserve">ḍudāñ dāne</w:t>
      </w:r>
      <w:r>
        <w:t xml:space="preserve">;</w:t>
      </w:r>
      <w:r>
        <w:t xml:space="preserve"> </w:t>
      </w:r>
      <w:r>
        <w:rPr>
          <w:iCs/>
          <w:i/>
        </w:rPr>
        <w:t xml:space="preserve">tṛc</w:t>
      </w:r>
      <w:r>
        <w:t xml:space="preserve"> </w:t>
      </w:r>
      <w:r>
        <w:t xml:space="preserve">by</w:t>
      </w:r>
      <w:r>
        <w:t xml:space="preserve"> </w:t>
      </w:r>
      <w:r>
        <w:t xml:space="preserve">“</w:t>
      </w:r>
      <w:r>
        <w:t xml:space="preserve">ṇvultṛcau</w:t>
      </w:r>
      <w:r>
        <w:t xml:space="preserve">”</w:t>
      </w:r>
      <w:r>
        <w:t xml:space="preserve"> </w:t>
      </w:r>
      <w:r>
        <w:t xml:space="preserve">(Pā. sū. 3-1-133);</w:t>
      </w:r>
      <w:r>
        <w:t xml:space="preserve"> </w:t>
      </w:r>
      <w:r>
        <w:rPr>
          <w:iCs/>
          <w:i/>
        </w:rPr>
        <w:t xml:space="preserve">cit</w:t>
      </w:r>
      <w:r>
        <w:t xml:space="preserve">, so final udātta by</w:t>
      </w:r>
      <w:r>
        <w:t xml:space="preserve"> </w:t>
      </w:r>
      <w:r>
        <w:t xml:space="preserve">“</w:t>
      </w:r>
      <w:r>
        <w:t xml:space="preserve">citaḥ</w:t>
      </w:r>
      <w:r>
        <w:t xml:space="preserve">”</w:t>
      </w:r>
      <w:r>
        <w:t xml:space="preserve"> </w:t>
      </w:r>
      <w:r>
        <w:t xml:space="preserve">(Pā. sū. 6-1-163); genitive singular</w:t>
      </w:r>
      <w:r>
        <w:t xml:space="preserve"> </w:t>
      </w:r>
      <w:r>
        <w:t xml:space="preserve">“</w:t>
      </w:r>
      <w:r>
        <w:t xml:space="preserve">jas</w:t>
      </w:r>
      <w:r>
        <w:t xml:space="preserve">”</w:t>
      </w:r>
      <w:r>
        <w:t xml:space="preserve"> </w:t>
      </w:r>
      <w:r>
        <w:t xml:space="preserve">[as printed, for</w:t>
      </w:r>
      <w:r>
        <w:t xml:space="preserve"> </w:t>
      </w:r>
      <w:r>
        <w:rPr>
          <w:iCs/>
          <w:i/>
        </w:rPr>
        <w:t xml:space="preserve">ṅas</w:t>
      </w:r>
      <w:r>
        <w:t xml:space="preserve">];</w:t>
      </w:r>
      <w:r>
        <w:t xml:space="preserve"> </w:t>
      </w:r>
      <w:r>
        <w:t xml:space="preserve">“</w:t>
      </w:r>
      <w:r>
        <w:t xml:space="preserve">ṛta ut</w:t>
      </w:r>
      <w:r>
        <w:t xml:space="preserve">”</w:t>
      </w:r>
      <w:r>
        <w:t xml:space="preserve"> </w:t>
      </w:r>
      <w:r>
        <w:t xml:space="preserve">(Pā. sū. 6-1-111):</w:t>
      </w:r>
      <w:r>
        <w:t xml:space="preserve"> </w:t>
      </w:r>
      <w:r>
        <w:rPr>
          <w:iCs/>
          <w:i/>
        </w:rPr>
        <w:t xml:space="preserve">u</w:t>
      </w:r>
      <w:r>
        <w:t xml:space="preserve"> </w:t>
      </w:r>
      <w:r>
        <w:t xml:space="preserve">as single replacement for</w:t>
      </w:r>
      <w:r>
        <w:t xml:space="preserve"> </w:t>
      </w:r>
      <w:r>
        <w:rPr>
          <w:iCs/>
          <w:i/>
        </w:rPr>
        <w:t xml:space="preserve">ṛ</w:t>
      </w:r>
      <w:r>
        <w:t xml:space="preserve"> </w:t>
      </w:r>
      <w:r>
        <w:t xml:space="preserve">+</w:t>
      </w:r>
      <w:r>
        <w:t xml:space="preserve"> </w:t>
      </w:r>
      <w:r>
        <w:rPr>
          <w:iCs/>
          <w:i/>
        </w:rPr>
        <w:t xml:space="preserve">a</w:t>
      </w:r>
      <w:r>
        <w:t xml:space="preserve">;</w:t>
      </w:r>
      <w:r>
        <w:t xml:space="preserve"> </w:t>
      </w:r>
      <w:r>
        <w:rPr>
          <w:iCs/>
          <w:i/>
        </w:rPr>
        <w:t xml:space="preserve">r</w:t>
      </w:r>
      <w:r>
        <w:t xml:space="preserve"> </w:t>
      </w:r>
      <w:r>
        <w:t xml:space="preserve">after it by</w:t>
      </w:r>
      <w:r>
        <w:t xml:space="preserve"> </w:t>
      </w:r>
      <w:r>
        <w:t xml:space="preserve">“</w:t>
      </w:r>
      <w:r>
        <w:t xml:space="preserve">uraṇ raparaḥ</w:t>
      </w:r>
      <w:r>
        <w:t xml:space="preserve">”</w:t>
      </w:r>
      <w:r>
        <w:t xml:space="preserve"> </w:t>
      </w:r>
      <w:r>
        <w:t xml:space="preserve">(Pā. sū. 1-1-51):</w:t>
      </w:r>
      <w:r>
        <w:t xml:space="preserve"> </w:t>
      </w:r>
      <w:r>
        <w:rPr>
          <w:iCs/>
          <w:i/>
        </w:rPr>
        <w:t xml:space="preserve">dātur</w:t>
      </w:r>
      <w:r>
        <w:t xml:space="preserve"> </w:t>
      </w:r>
      <w:r>
        <w:t xml:space="preserve">+</w:t>
      </w:r>
      <w:r>
        <w:t xml:space="preserve"> </w:t>
      </w:r>
      <w:r>
        <w:rPr>
          <w:iCs/>
          <w:i/>
        </w:rPr>
        <w:t xml:space="preserve">s</w:t>
      </w:r>
      <w:r>
        <w:t xml:space="preserve">;</w:t>
      </w:r>
      <w:r>
        <w:t xml:space="preserve"> </w:t>
      </w:r>
      <w:r>
        <w:t xml:space="preserve">“</w:t>
      </w:r>
      <w:r>
        <w:t xml:space="preserve">rātsasya</w:t>
      </w:r>
      <w:r>
        <w:t xml:space="preserve">”</w:t>
      </w:r>
      <w:r>
        <w:t xml:space="preserve"> </w:t>
      </w:r>
      <w:r>
        <w:t xml:space="preserve">(Pā. sū. 8-2-24) drops the final member of a conjunct after</w:t>
      </w:r>
      <w:r>
        <w:t xml:space="preserve"> </w:t>
      </w:r>
      <w:r>
        <w:rPr>
          <w:iCs/>
          <w:i/>
        </w:rPr>
        <w:t xml:space="preserve">r</w:t>
      </w:r>
      <w:r>
        <w:t xml:space="preserve">, here the</w:t>
      </w:r>
      <w:r>
        <w:t xml:space="preserve"> </w:t>
      </w:r>
      <w:r>
        <w:rPr>
          <w:iCs/>
          <w:i/>
        </w:rPr>
        <w:t xml:space="preserve">s</w:t>
      </w:r>
      <w:r>
        <w:t xml:space="preserve">. Though</w:t>
      </w:r>
      <w:r>
        <w:t xml:space="preserve"> </w:t>
      </w:r>
      <w:r>
        <w:t xml:space="preserve">“</w:t>
      </w:r>
      <w:r>
        <w:t xml:space="preserve">saṃyogāntasya lopaḥ</w:t>
      </w:r>
      <w:r>
        <w:t xml:space="preserve">”</w:t>
      </w:r>
      <w:r>
        <w:t xml:space="preserve"> </w:t>
      </w:r>
      <w:r>
        <w:t xml:space="preserve">(Pā. sū. 8-2-23) could drop the</w:t>
      </w:r>
      <w:r>
        <w:t xml:space="preserve"> </w:t>
      </w:r>
      <w:r>
        <w:rPr>
          <w:iCs/>
          <w:i/>
        </w:rPr>
        <w:t xml:space="preserve">s</w:t>
      </w:r>
      <w:r>
        <w:t xml:space="preserve">, this sūtra is needed as a restriction: after</w:t>
      </w:r>
      <w:r>
        <w:t xml:space="preserve"> </w:t>
      </w:r>
      <w:r>
        <w:rPr>
          <w:iCs/>
          <w:i/>
        </w:rPr>
        <w:t xml:space="preserve">r</w:t>
      </w:r>
      <w:r>
        <w:t xml:space="preserve"> </w:t>
      </w:r>
      <w:r>
        <w:t xml:space="preserve">only</w:t>
      </w:r>
      <w:r>
        <w:t xml:space="preserve"> </w:t>
      </w:r>
      <w:r>
        <w:rPr>
          <w:iCs/>
          <w:i/>
        </w:rPr>
        <w:t xml:space="preserve">s</w:t>
      </w:r>
      <w:r>
        <w:t xml:space="preserve"> </w:t>
      </w:r>
      <w:r>
        <w:t xml:space="preserve">is dropped, so in</w:t>
      </w:r>
      <w:r>
        <w:t xml:space="preserve"> </w:t>
      </w:r>
      <w:r>
        <w:rPr>
          <w:iCs/>
          <w:i/>
        </w:rPr>
        <w:t xml:space="preserve">ūrk</w:t>
      </w:r>
      <w:r>
        <w:t xml:space="preserve"> </w:t>
      </w:r>
      <w:r>
        <w:t xml:space="preserve">the</w:t>
      </w:r>
      <w:r>
        <w:t xml:space="preserve"> </w:t>
      </w:r>
      <w:r>
        <w:rPr>
          <w:iCs/>
          <w:i/>
        </w:rPr>
        <w:t xml:space="preserve">k</w:t>
      </w:r>
      <w:r>
        <w:t xml:space="preserve"> </w:t>
      </w:r>
      <w:r>
        <w:t xml:space="preserve">is not dropped. Visarga:</w:t>
      </w:r>
      <w:r>
        <w:t xml:space="preserve"> </w:t>
      </w:r>
      <w:r>
        <w:rPr>
          <w:iCs/>
          <w:i/>
        </w:rPr>
        <w:t xml:space="preserve">dātuḥ</w:t>
      </w:r>
      <w:r>
        <w:t xml:space="preserve">; the</w:t>
      </w:r>
      <w:r>
        <w:t xml:space="preserve"> </w:t>
      </w:r>
      <w:r>
        <w:rPr>
          <w:iCs/>
          <w:i/>
        </w:rPr>
        <w:t xml:space="preserve">u</w:t>
      </w:r>
      <w:r>
        <w:t xml:space="preserve"> </w:t>
      </w:r>
      <w:r>
        <w:t xml:space="preserve">udātta by</w:t>
      </w:r>
      <w:r>
        <w:t xml:space="preserve"> </w:t>
      </w:r>
      <w:r>
        <w:t xml:space="preserve">“</w:t>
      </w:r>
      <w:r>
        <w:t xml:space="preserve">ekādeśa udāttenodāttaḥ</w:t>
      </w:r>
      <w:r>
        <w:t xml:space="preserve">”</w:t>
      </w:r>
      <w:r>
        <w:t xml:space="preserve"> </w:t>
      </w:r>
      <w:r>
        <w:t xml:space="preserve">(Pā. sū. 8-2-5).</w:t>
      </w:r>
      <w:r>
        <w:t xml:space="preserve"> </w:t>
      </w:r>
      <w:r>
        <w:rPr>
          <w:bCs/>
          <w:b/>
        </w:rPr>
        <w:t xml:space="preserve">चेतनम् (</w:t>
      </w:r>
      <w:r>
        <w:rPr>
          <w:iCs/>
          <w:i/>
          <w:bCs/>
          <w:b/>
        </w:rPr>
        <w:t xml:space="preserve">cetanam</w:t>
      </w:r>
      <w:r>
        <w:rPr>
          <w:bCs/>
          <w:b/>
        </w:rPr>
        <w:t xml:space="preserve">)</w:t>
      </w:r>
      <w:r>
        <w:t xml:space="preserve">:</w:t>
      </w:r>
      <w:r>
        <w:t xml:space="preserve"> </w:t>
      </w:r>
      <w:r>
        <w:rPr>
          <w:iCs/>
          <w:i/>
        </w:rPr>
        <w:t xml:space="preserve">citī saṃjñāne</w:t>
      </w:r>
      <w:r>
        <w:t xml:space="preserve">;</w:t>
      </w:r>
      <w:r>
        <w:t xml:space="preserve"> </w:t>
      </w:r>
      <w:r>
        <w:rPr>
          <w:iCs/>
          <w:i/>
        </w:rPr>
        <w:t xml:space="preserve">lyuṭ</w:t>
      </w:r>
      <w:r>
        <w:t xml:space="preserve"> </w:t>
      </w:r>
      <w:r>
        <w:t xml:space="preserve">in the instrumental sense by</w:t>
      </w:r>
      <w:r>
        <w:t xml:space="preserve"> </w:t>
      </w:r>
      <w:r>
        <w:t xml:space="preserve">“</w:t>
      </w:r>
      <w:r>
        <w:t xml:space="preserve">karaṇādhikaraṇayoś ca</w:t>
      </w:r>
      <w:r>
        <w:t xml:space="preserve">”</w:t>
      </w:r>
      <w:r>
        <w:t xml:space="preserve"> </w:t>
      </w:r>
      <w:r>
        <w:t xml:space="preserve">(Pā. sū. 3-3-117);</w:t>
      </w:r>
      <w:r>
        <w:t xml:space="preserve"> </w:t>
      </w:r>
      <w:r>
        <w:rPr>
          <w:iCs/>
          <w:i/>
        </w:rPr>
        <w:t xml:space="preserve">ana</w:t>
      </w:r>
      <w:r>
        <w:t xml:space="preserve"> </w:t>
      </w:r>
      <w:r>
        <w:t xml:space="preserve">for</w:t>
      </w:r>
      <w:r>
        <w:t xml:space="preserve"> </w:t>
      </w:r>
      <w:r>
        <w:rPr>
          <w:iCs/>
          <w:i/>
        </w:rPr>
        <w:t xml:space="preserve">yu</w:t>
      </w:r>
      <w:r>
        <w:t xml:space="preserve"> </w:t>
      </w:r>
      <w:r>
        <w:t xml:space="preserve">by</w:t>
      </w:r>
      <w:r>
        <w:t xml:space="preserve"> </w:t>
      </w:r>
      <w:r>
        <w:t xml:space="preserve">“</w:t>
      </w:r>
      <w:r>
        <w:t xml:space="preserve">yuvor anākau</w:t>
      </w:r>
      <w:r>
        <w:t xml:space="preserve">”</w:t>
      </w:r>
      <w:r>
        <w:t xml:space="preserve"> </w:t>
      </w:r>
      <w:r>
        <w:t xml:space="preserve">(Pā. sū. 7-1-1);</w:t>
      </w:r>
      <w:r>
        <w:t xml:space="preserve"> </w:t>
      </w:r>
      <w:r>
        <w:rPr>
          <w:iCs/>
          <w:i/>
        </w:rPr>
        <w:t xml:space="preserve">laghūpadha-guṇa</w:t>
      </w:r>
      <w:r>
        <w:t xml:space="preserve"> </w:t>
      </w:r>
      <w:r>
        <w:t xml:space="preserve">by</w:t>
      </w:r>
      <w:r>
        <w:t xml:space="preserve"> </w:t>
      </w:r>
      <w:r>
        <w:t xml:space="preserve">“</w:t>
      </w:r>
      <w:r>
        <w:t xml:space="preserve">pugantalaghūpadhasya ca</w:t>
      </w:r>
      <w:r>
        <w:t xml:space="preserve">”</w:t>
      </w:r>
      <w:r>
        <w:t xml:space="preserve"> </w:t>
      </w:r>
      <w:r>
        <w:t xml:space="preserve">(Pā. sū. 7-3-86):</w:t>
      </w:r>
      <w:r>
        <w:t xml:space="preserve"> </w:t>
      </w:r>
      <w:r>
        <w:rPr>
          <w:iCs/>
          <w:i/>
        </w:rPr>
        <w:t xml:space="preserve">cetana</w:t>
      </w:r>
      <w:r>
        <w:t xml:space="preserve">; the</w:t>
      </w:r>
      <w:r>
        <w:t xml:space="preserve"> </w:t>
      </w:r>
      <w:r>
        <w:rPr>
          <w:iCs/>
          <w:i/>
        </w:rPr>
        <w:t xml:space="preserve">e</w:t>
      </w:r>
      <w:r>
        <w:t xml:space="preserve"> </w:t>
      </w:r>
      <w:r>
        <w:t xml:space="preserve">before the suffix udātta by</w:t>
      </w:r>
      <w:r>
        <w:t xml:space="preserve"> </w:t>
      </w:r>
      <w:r>
        <w:t xml:space="preserve">“</w:t>
      </w:r>
      <w:r>
        <w:t xml:space="preserve">liti</w:t>
      </w:r>
      <w:r>
        <w:t xml:space="preserve">”</w:t>
      </w:r>
      <w:r>
        <w:t xml:space="preserve"> </w:t>
      </w:r>
      <w:r>
        <w:t xml:space="preserve">(Pā. sū. 6-1-193).</w:t>
      </w:r>
    </w:p>
    <w:p>
      <w:pPr>
        <w:pStyle w:val="BodyText"/>
      </w:pPr>
      <w:r>
        <w:rPr>
          <w:bCs/>
          <w:b/>
        </w:rPr>
        <w:t xml:space="preserve">॥११॥</w:t>
      </w:r>
    </w:p>
    <w:p>
      <w:r>
        <w:pict>
          <v:rect style="width:0;height:1.5pt" o:hralign="center" o:hrstd="t" o:hr="t"/>
        </w:pict>
      </w:r>
    </w:p>
    <w:bookmarkEnd w:id="614"/>
    <w:bookmarkStart w:id="615" w:name="page-579-sūkta-13-rik-12-the-last"/>
    <w:p>
      <w:pPr>
        <w:pStyle w:val="Heading3"/>
      </w:pPr>
      <w:r>
        <w:t xml:space="preserve">Page 579 — Sūkta 13, Rik 12 (the last)</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स्वाहा॑ य॒ज्ञं कृ॑णोत॒नेन्द्रा॑य॒ यज्व॑नो गृ॒हे ।</w:t>
      </w:r>
      <w:r>
        <w:t xml:space="preserve"> </w:t>
      </w:r>
      <w:r>
        <w:t xml:space="preserve">तत्र॑ दे॒वाँ उप॑ ह्वये ॥१२॥</w:t>
      </w:r>
    </w:p>
    <w:p>
      <w:pPr>
        <w:pStyle w:val="BlockText"/>
      </w:pPr>
      <w:r>
        <w:rPr>
          <w:iCs/>
          <w:i/>
        </w:rPr>
        <w:t xml:space="preserve">svā́hā yajñáṃ kṛṇotanéndrāya yájvano gṛhé |</w:t>
      </w:r>
      <w:r>
        <w:t xml:space="preserve"> </w:t>
      </w:r>
      <w:r>
        <w:rPr>
          <w:iCs/>
          <w:i/>
        </w:rPr>
        <w:t xml:space="preserve">tátra devā́m̐ úpa hvaye ||12||</w:t>
      </w:r>
    </w:p>
    <w:p>
      <w:pPr>
        <w:pStyle w:val="FirstParagraph"/>
      </w:pPr>
      <w:r>
        <w:rPr>
          <w:bCs/>
          <w:b/>
        </w:rPr>
        <w:t xml:space="preserve">॥ Pada-pāṭhaḥ ॥</w:t>
      </w:r>
    </w:p>
    <w:p>
      <w:pPr>
        <w:pStyle w:val="BlockText"/>
      </w:pPr>
      <w:r>
        <w:t xml:space="preserve">स्वाहा । यज्ञम् । कृणोतन । इन्द्राय । यज्वनः । गृहे ॥</w:t>
      </w:r>
      <w:r>
        <w:t xml:space="preserve"> </w:t>
      </w:r>
      <w:r>
        <w:t xml:space="preserve">तत्र । देवान् । उप । ह्वये ॥१२॥</w:t>
      </w:r>
    </w:p>
    <w:p>
      <w:pPr>
        <w:pStyle w:val="BlockText"/>
      </w:pPr>
      <w:r>
        <w:rPr>
          <w:iCs/>
          <w:i/>
        </w:rPr>
        <w:t xml:space="preserve">svāhā | yajñam | kṛṇotana | indrāya | yajvanaḥ | gṛhe ||</w:t>
      </w:r>
      <w:r>
        <w:t xml:space="preserve"> </w:t>
      </w:r>
      <w:r>
        <w:rPr>
          <w:iCs/>
          <w:i/>
        </w:rPr>
        <w:t xml:space="preserve">tatra | devān | upa | hvaye ||12||</w:t>
      </w:r>
    </w:p>
    <w:p>
      <w:pPr>
        <w:pStyle w:val="FirstParagraph"/>
      </w:pPr>
      <w:r>
        <w:rPr>
          <w:bCs/>
          <w:b/>
        </w:rPr>
        <w:t xml:space="preserve">॥ Sāyaṇa-bhāṣyam ॥</w:t>
      </w:r>
    </w:p>
    <w:p>
      <w:pPr>
        <w:pStyle w:val="BlockText"/>
      </w:pPr>
      <w:r>
        <w:t xml:space="preserve">स्वाहाशब्दो हविष्प्रदानवाची सन् एतन्नामकमग्निविशेषं लक्षयति । तदग्निसम्पादितं यज्ञमिन्द्रायेन्द्रतुष्ट्यर्थं यज्वनो यजमानस्य गृहे ऋत्विजः कृणोतन । कुरुत । तत्र यज्ञे देवानुप ह्वये ॥ कृणोतन । कृवि हिंसाकरणयोश्च । इदित्त्वान्नुम् । लोण्मध्यमबहुवचनस्य तस्थस्थमिपामिति तादेशः । तप्तनप्तनथनाश्च । पा. ७-१-४५ । इति तनबादेशः । शपि प्राप्ते धिन्विकृण्व्योरच्चेत्युप्रत्ययः । तत्सन्नियोगेन वकारस्य चाकारः । तस्यातो लोप इति लोपः । तस्याचः परस्मिन्निति स्थानिवद्भावादृकारस्य लघूपधगुणो न भवति । तनपः पित्त्वेनाङित्त्वादुकारस्य गुणः । इन्द्राय । ऋज्रेन्द्रेत्यादिना रन् । नित्त्वादाद्युदात्तः । यज्वनः । यज देवपूजासङ्गतिकरणदानेषु । सुयजोर्ङ्वनिप् । पा. ३-२-१०३ । जसि भसंज्ञायामल्लोपे प्राप्ते न संयोगाद्वमन्तात् । पा. ६-४-१३७ । इति निषेधः । वनिपः पित्त्वेन धातुस्वर एव शिष्यते । गृहे । ग्रह उपादाने । गेहे कः । पा. ३-१-१४४ । इति कप्रत्ययः । ग्रहिज्येत्यादिना । पा. ६-१-१६ । सम्प्रसारणं । परपूर्वत्वं । प्रत्ययस्वरः । तत्र । त्रल् । लितीति प्रत्ययात्पूर्वस्योदात्तत्वं । देवाँ उपेत्यत्र संहितायां दीर्घादटीति नकारस्य रुत्वं । आतोऽटि नित्यमित्याकारस्यानुनासिकादेशः । भोभगो इति यत्वं । तस्य लोपः शाकल्यस्येति लोपः ॥ २४ ॥</w:t>
      </w:r>
    </w:p>
    <w:p>
      <w:pPr>
        <w:pStyle w:val="BlockText"/>
      </w:pPr>
      <w:r>
        <w:rPr>
          <w:iCs/>
          <w:i/>
        </w:rPr>
        <w:t xml:space="preserve">svāhāśabdo haviṣpradānavācī san etannāmakamagniviśeṣaṃ lakṣayati | tadagnisampāditaṃ yajñamindrāyendratuṣṭyarthaṃ yajvano yajamānasya gṛhe ṛtvijaḥ kṛṇotana | kuruta | tatra yajñe devānupa hvaye || kṛṇotana | kṛvi hiṃsākaraṇayośca | idittvānnum | loṇmadhyamabahuvacanasya tasthasthamipāmiti tādeśaḥ | taptanaptanathanāśca | pā. 7-1-45 | iti tanabādeśaḥ | śapi prāpte dhinvikṛṇvyoraccetyupratyayaḥ | tatsanniyogena vakārasya cākāraḥ | tasyāto lopa iti lopaḥ | tasyācaḥ parasminniti sthānivadbhāvādṛkārasya laghūpadhaguṇo na bhavati | tanapaḥ pittvenāṅittvādukārasya guṇaḥ | indrāya | ṛjrendretyādinā ran | nittvādādyudāttaḥ | yajvanaḥ | yaja devapūjāsaṅgatikaraṇadāneṣu | suyajorṅvanip | pā. 3-2-103 | jasi bhasaṃjñāyāmallope prāpte na saṃyogādvamantāt | pā. 6-4-137 | iti niṣedhaḥ | vanipaḥ pittvena dhātusvara eva śiṣyate | gṛhe | graha upādāne | gehe kaḥ | pā. 3-1-144 | iti kapratyayaḥ | grahijyetyādinā | pā. 6-1-16 | samprasāraṇaṃ | parapūrvatvaṃ | pratyayasvaraḥ | tatra | tral | litīti pratyayātpūrvasyodāttatvaṃ | devā~ upetyatra saṃhitāyāṃ dīrghādaṭīti nakārasya rutvaṃ | āto ’ṭi nityamityākārasyānunāsikādeśaḥ | bhobhago iti yatvaṃ | tasya lopaḥ śākalyasyeti lopaḥ || 24 ||</w:t>
      </w:r>
    </w:p>
    <w:p>
      <w:pPr>
        <w:pStyle w:val="FirstParagraph"/>
      </w:pPr>
      <w:r>
        <w:rPr>
          <w:bCs/>
          <w:b/>
        </w:rPr>
        <w:t xml:space="preserve">Translation:</w:t>
      </w:r>
      <w:r>
        <w:t xml:space="preserve"> </w:t>
      </w:r>
      <w:r>
        <w:t xml:space="preserve">“</w:t>
      </w:r>
      <w:r>
        <w:t xml:space="preserve">The word</w:t>
      </w:r>
      <w:r>
        <w:t xml:space="preserve"> </w:t>
      </w:r>
      <w:r>
        <w:rPr>
          <w:iCs/>
          <w:i/>
        </w:rPr>
        <w:t xml:space="preserve">svāhā</w:t>
      </w:r>
      <w:r>
        <w:t xml:space="preserve">, which denotes the giving of an oblation, indicates the particular fire of that name. O priests,</w:t>
      </w:r>
      <w:r>
        <w:t xml:space="preserve"> </w:t>
      </w:r>
      <w:r>
        <w:rPr>
          <w:iCs/>
          <w:i/>
        </w:rPr>
        <w:t xml:space="preserve">kṛṇotana</w:t>
      </w:r>
      <w:r>
        <w:t xml:space="preserve">, perform, in the house of the</w:t>
      </w:r>
      <w:r>
        <w:t xml:space="preserve"> </w:t>
      </w:r>
      <w:r>
        <w:rPr>
          <w:iCs/>
          <w:i/>
        </w:rPr>
        <w:t xml:space="preserve">yajvan</w:t>
      </w:r>
      <w:r>
        <w:t xml:space="preserve">, the sacrificer, the sacrifice brought about by that fire, for Indra, for Indra’s satisfaction. In that sacrifice I invoke the gods.</w:t>
      </w:r>
      <w:r>
        <w:t xml:space="preserve">”</w:t>
      </w:r>
      <w:r>
        <w:t xml:space="preserve"> </w:t>
      </w:r>
      <w:r>
        <w:t xml:space="preserve">(Grammatical tail:</w:t>
      </w:r>
      <w:r>
        <w:t xml:space="preserve"> </w:t>
      </w:r>
      <w:r>
        <w:rPr>
          <w:iCs/>
          <w:i/>
        </w:rPr>
        <w:t xml:space="preserve">kṛṇotana</w:t>
      </w:r>
      <w:r>
        <w:t xml:space="preserve"> </w:t>
      </w:r>
      <w:r>
        <w:t xml:space="preserve">from</w:t>
      </w:r>
      <w:r>
        <w:t xml:space="preserve"> </w:t>
      </w:r>
      <w:r>
        <w:rPr>
          <w:iCs/>
          <w:i/>
        </w:rPr>
        <w:t xml:space="preserve">kṛvi</w:t>
      </w:r>
      <w:r>
        <w:t xml:space="preserve"> </w:t>
      </w:r>
      <w:r>
        <w:t xml:space="preserve">with</w:t>
      </w:r>
      <w:r>
        <w:t xml:space="preserve"> </w:t>
      </w:r>
      <w:r>
        <w:rPr>
          <w:iCs/>
          <w:i/>
        </w:rPr>
        <w:t xml:space="preserve">num</w:t>
      </w:r>
      <w:r>
        <w:t xml:space="preserve">,</w:t>
      </w:r>
      <w:r>
        <w:t xml:space="preserve"> </w:t>
      </w:r>
      <w:r>
        <w:rPr>
          <w:iCs/>
          <w:i/>
        </w:rPr>
        <w:t xml:space="preserve">ta</w:t>
      </w:r>
      <w:r>
        <w:t xml:space="preserve"> </w:t>
      </w:r>
      <w:r>
        <w:t xml:space="preserve">for</w:t>
      </w:r>
      <w:r>
        <w:t xml:space="preserve"> </w:t>
      </w:r>
      <w:r>
        <w:rPr>
          <w:iCs/>
          <w:i/>
        </w:rPr>
        <w:t xml:space="preserve">tha</w:t>
      </w:r>
      <w:r>
        <w:t xml:space="preserve"> </w:t>
      </w:r>
      <w:r>
        <w:t xml:space="preserve">and</w:t>
      </w:r>
      <w:r>
        <w:t xml:space="preserve"> </w:t>
      </w:r>
      <w:r>
        <w:rPr>
          <w:iCs/>
          <w:i/>
        </w:rPr>
        <w:t xml:space="preserve">tana</w:t>
      </w:r>
      <w:r>
        <w:t xml:space="preserve"> </w:t>
      </w:r>
      <w:r>
        <w:t xml:space="preserve">for it (Pā. 7-1-45), the suffix</w:t>
      </w:r>
      <w:r>
        <w:t xml:space="preserve"> </w:t>
      </w:r>
      <w:r>
        <w:rPr>
          <w:iCs/>
          <w:i/>
        </w:rPr>
        <w:t xml:space="preserve">u</w:t>
      </w:r>
      <w:r>
        <w:t xml:space="preserve"> </w:t>
      </w:r>
      <w:r>
        <w:t xml:space="preserve">in place of</w:t>
      </w:r>
      <w:r>
        <w:t xml:space="preserve"> </w:t>
      </w:r>
      <w:r>
        <w:rPr>
          <w:iCs/>
          <w:i/>
        </w:rPr>
        <w:t xml:space="preserve">śap</w:t>
      </w:r>
      <w:r>
        <w:t xml:space="preserve"> </w:t>
      </w:r>
      <w:r>
        <w:t xml:space="preserve">with</w:t>
      </w:r>
      <w:r>
        <w:t xml:space="preserve"> </w:t>
      </w:r>
      <w:r>
        <w:rPr>
          <w:iCs/>
          <w:i/>
        </w:rPr>
        <w:t xml:space="preserve">a</w:t>
      </w:r>
      <w:r>
        <w:t xml:space="preserve"> </w:t>
      </w:r>
      <w:r>
        <w:t xml:space="preserve">for the</w:t>
      </w:r>
      <w:r>
        <w:t xml:space="preserve"> </w:t>
      </w:r>
      <w:r>
        <w:rPr>
          <w:iCs/>
          <w:i/>
        </w:rPr>
        <w:t xml:space="preserve">v</w:t>
      </w:r>
      <w:r>
        <w:t xml:space="preserve">, then loss of that</w:t>
      </w:r>
      <w:r>
        <w:t xml:space="preserve"> </w:t>
      </w:r>
      <w:r>
        <w:rPr>
          <w:iCs/>
          <w:i/>
        </w:rPr>
        <w:t xml:space="preserve">a</w:t>
      </w:r>
      <w:r>
        <w:t xml:space="preserve">, no</w:t>
      </w:r>
      <w:r>
        <w:t xml:space="preserve"> </w:t>
      </w:r>
      <w:r>
        <w:rPr>
          <w:iCs/>
          <w:i/>
        </w:rPr>
        <w:t xml:space="preserve">guṇa</w:t>
      </w:r>
      <w:r>
        <w:t xml:space="preserve"> </w:t>
      </w:r>
      <w:r>
        <w:t xml:space="preserve">of the</w:t>
      </w:r>
      <w:r>
        <w:t xml:space="preserve"> </w:t>
      </w:r>
      <w:r>
        <w:rPr>
          <w:iCs/>
          <w:i/>
        </w:rPr>
        <w:t xml:space="preserve">ṛ</w:t>
      </w:r>
      <w:r>
        <w:t xml:space="preserve"> </w:t>
      </w:r>
      <w:r>
        <w:t xml:space="preserve">by</w:t>
      </w:r>
      <w:r>
        <w:t xml:space="preserve"> </w:t>
      </w:r>
      <w:r>
        <w:rPr>
          <w:iCs/>
          <w:i/>
        </w:rPr>
        <w:t xml:space="preserve">sthānivadbhāva</w:t>
      </w:r>
      <w:r>
        <w:t xml:space="preserve">,</w:t>
      </w:r>
      <w:r>
        <w:t xml:space="preserve"> </w:t>
      </w:r>
      <w:r>
        <w:rPr>
          <w:iCs/>
          <w:i/>
        </w:rPr>
        <w:t xml:space="preserve">guṇa</w:t>
      </w:r>
      <w:r>
        <w:t xml:space="preserve"> </w:t>
      </w:r>
      <w:r>
        <w:t xml:space="preserve">of the</w:t>
      </w:r>
      <w:r>
        <w:t xml:space="preserve"> </w:t>
      </w:r>
      <w:r>
        <w:rPr>
          <w:iCs/>
          <w:i/>
        </w:rPr>
        <w:t xml:space="preserve">u</w:t>
      </w:r>
      <w:r>
        <w:t xml:space="preserve"> </w:t>
      </w:r>
      <w:r>
        <w:t xml:space="preserve">since</w:t>
      </w:r>
      <w:r>
        <w:t xml:space="preserve"> </w:t>
      </w:r>
      <w:r>
        <w:rPr>
          <w:iCs/>
          <w:i/>
        </w:rPr>
        <w:t xml:space="preserve">tanap</w:t>
      </w:r>
      <w:r>
        <w:t xml:space="preserve"> </w:t>
      </w:r>
      <w:r>
        <w:t xml:space="preserve">is</w:t>
      </w:r>
      <w:r>
        <w:t xml:space="preserve"> </w:t>
      </w:r>
      <w:r>
        <w:rPr>
          <w:iCs/>
          <w:i/>
        </w:rPr>
        <w:t xml:space="preserve">pit</w:t>
      </w:r>
      <w:r>
        <w:t xml:space="preserve">;</w:t>
      </w:r>
      <w:r>
        <w:t xml:space="preserve"> </w:t>
      </w:r>
      <w:r>
        <w:rPr>
          <w:iCs/>
          <w:i/>
        </w:rPr>
        <w:t xml:space="preserve">indrāya</w:t>
      </w:r>
      <w:r>
        <w:t xml:space="preserve"> </w:t>
      </w:r>
      <w:r>
        <w:t xml:space="preserve">with</w:t>
      </w:r>
      <w:r>
        <w:t xml:space="preserve"> </w:t>
      </w:r>
      <w:r>
        <w:rPr>
          <w:iCs/>
          <w:i/>
        </w:rPr>
        <w:t xml:space="preserve">ran</w:t>
      </w:r>
      <w:r>
        <w:t xml:space="preserve">, initial udātta;</w:t>
      </w:r>
      <w:r>
        <w:t xml:space="preserve"> </w:t>
      </w:r>
      <w:r>
        <w:rPr>
          <w:iCs/>
          <w:i/>
        </w:rPr>
        <w:t xml:space="preserve">yajvanaḥ</w:t>
      </w:r>
      <w:r>
        <w:t xml:space="preserve"> </w:t>
      </w:r>
      <w:r>
        <w:t xml:space="preserve">with</w:t>
      </w:r>
      <w:r>
        <w:t xml:space="preserve"> </w:t>
      </w:r>
      <w:r>
        <w:rPr>
          <w:iCs/>
          <w:i/>
        </w:rPr>
        <w:t xml:space="preserve">ṅvanip</w:t>
      </w:r>
      <w:r>
        <w:t xml:space="preserve"> </w:t>
      </w:r>
      <w:r>
        <w:t xml:space="preserve">(Pā. 3-2-103), the loss of</w:t>
      </w:r>
      <w:r>
        <w:t xml:space="preserve"> </w:t>
      </w:r>
      <w:r>
        <w:rPr>
          <w:iCs/>
          <w:i/>
        </w:rPr>
        <w:t xml:space="preserve">a</w:t>
      </w:r>
      <w:r>
        <w:t xml:space="preserve"> </w:t>
      </w:r>
      <w:r>
        <w:t xml:space="preserve">barred by Pā. 6-4-137 (</w:t>
      </w:r>
      <w:r>
        <w:t xml:space="preserve">“</w:t>
      </w:r>
      <w:r>
        <w:t xml:space="preserve">jasi</w:t>
      </w:r>
      <w:r>
        <w:t xml:space="preserve">”</w:t>
      </w:r>
      <w:r>
        <w:t xml:space="preserve"> </w:t>
      </w:r>
      <w:r>
        <w:t xml:space="preserve">as printed for</w:t>
      </w:r>
      <w:r>
        <w:t xml:space="preserve"> </w:t>
      </w:r>
      <w:r>
        <w:rPr>
          <w:iCs/>
          <w:i/>
        </w:rPr>
        <w:t xml:space="preserve">ṅasi</w:t>
      </w:r>
      <w:r>
        <w:t xml:space="preserve">), the root accent;</w:t>
      </w:r>
      <w:r>
        <w:t xml:space="preserve"> </w:t>
      </w:r>
      <w:r>
        <w:rPr>
          <w:iCs/>
          <w:i/>
        </w:rPr>
        <w:t xml:space="preserve">gṛhe</w:t>
      </w:r>
      <w:r>
        <w:t xml:space="preserve"> </w:t>
      </w:r>
      <w:r>
        <w:t xml:space="preserve">from</w:t>
      </w:r>
      <w:r>
        <w:t xml:space="preserve"> </w:t>
      </w:r>
      <w:r>
        <w:rPr>
          <w:iCs/>
          <w:i/>
        </w:rPr>
        <w:t xml:space="preserve">grah</w:t>
      </w:r>
      <w:r>
        <w:t xml:space="preserve"> </w:t>
      </w:r>
      <w:r>
        <w:t xml:space="preserve">with</w:t>
      </w:r>
      <w:r>
        <w:t xml:space="preserve"> </w:t>
      </w:r>
      <w:r>
        <w:rPr>
          <w:iCs/>
          <w:i/>
        </w:rPr>
        <w:t xml:space="preserve">ka</w:t>
      </w:r>
      <w:r>
        <w:t xml:space="preserve"> </w:t>
      </w:r>
      <w:r>
        <w:t xml:space="preserve">(Pā. 3-1-144) and</w:t>
      </w:r>
      <w:r>
        <w:t xml:space="preserve"> </w:t>
      </w:r>
      <w:r>
        <w:rPr>
          <w:iCs/>
          <w:i/>
        </w:rPr>
        <w:t xml:space="preserve">saṃprasāraṇa</w:t>
      </w:r>
      <w:r>
        <w:t xml:space="preserve"> </w:t>
      </w:r>
      <w:r>
        <w:t xml:space="preserve">(Pā. 6-1-16);</w:t>
      </w:r>
      <w:r>
        <w:t xml:space="preserve"> </w:t>
      </w:r>
      <w:r>
        <w:rPr>
          <w:iCs/>
          <w:i/>
        </w:rPr>
        <w:t xml:space="preserve">tatra</w:t>
      </w:r>
      <w:r>
        <w:t xml:space="preserve"> </w:t>
      </w:r>
      <w:r>
        <w:t xml:space="preserve">with</w:t>
      </w:r>
      <w:r>
        <w:t xml:space="preserve"> </w:t>
      </w:r>
      <w:r>
        <w:rPr>
          <w:iCs/>
          <w:i/>
        </w:rPr>
        <w:t xml:space="preserve">tral</w:t>
      </w:r>
      <w:r>
        <w:t xml:space="preserve">, udātta before the</w:t>
      </w:r>
      <w:r>
        <w:t xml:space="preserve"> </w:t>
      </w:r>
      <w:r>
        <w:rPr>
          <w:iCs/>
          <w:i/>
        </w:rPr>
        <w:t xml:space="preserve">l</w:t>
      </w:r>
      <w:r>
        <w:t xml:space="preserve">-marked suffix;</w:t>
      </w:r>
      <w:r>
        <w:t xml:space="preserve"> </w:t>
      </w:r>
      <w:r>
        <w:rPr>
          <w:iCs/>
          <w:i/>
        </w:rPr>
        <w:t xml:space="preserve">devām̐ upa</w:t>
      </w:r>
      <w:r>
        <w:t xml:space="preserve">:</w:t>
      </w:r>
      <w:r>
        <w:t xml:space="preserve"> </w:t>
      </w:r>
      <w:r>
        <w:rPr>
          <w:iCs/>
          <w:i/>
        </w:rPr>
        <w:t xml:space="preserve">ru</w:t>
      </w:r>
      <w:r>
        <w:t xml:space="preserve"> </w:t>
      </w:r>
      <w:r>
        <w:t xml:space="preserve">for the</w:t>
      </w:r>
      <w:r>
        <w:t xml:space="preserve"> </w:t>
      </w:r>
      <w:r>
        <w:rPr>
          <w:iCs/>
          <w:i/>
        </w:rPr>
        <w:t xml:space="preserve">n</w:t>
      </w:r>
      <w:r>
        <w:t xml:space="preserve">, nasal</w:t>
      </w:r>
      <w:r>
        <w:t xml:space="preserve"> </w:t>
      </w:r>
      <w:r>
        <w:rPr>
          <w:iCs/>
          <w:i/>
        </w:rPr>
        <w:t xml:space="preserve">ā</w:t>
      </w:r>
      <w:r>
        <w:t xml:space="preserve">,</w:t>
      </w:r>
      <w:r>
        <w:t xml:space="preserve"> </w:t>
      </w:r>
      <w:r>
        <w:rPr>
          <w:iCs/>
          <w:i/>
        </w:rPr>
        <w:t xml:space="preserve">y</w:t>
      </w:r>
      <w:r>
        <w:t xml:space="preserve">, then its loss. The closing</w:t>
      </w:r>
      <w:r>
        <w:t xml:space="preserve"> </w:t>
      </w:r>
      <w:r>
        <w:t xml:space="preserve">“</w:t>
      </w:r>
      <w:r>
        <w:t xml:space="preserve">24</w:t>
      </w:r>
      <w:r>
        <w:t xml:space="preserve">”</w:t>
      </w:r>
      <w:r>
        <w:t xml:space="preserve"> </w:t>
      </w:r>
      <w:r>
        <w:t xml:space="preserve">is the varga number.)</w:t>
      </w:r>
    </w:p>
    <w:bookmarkEnd w:id="615"/>
    <w:bookmarkStart w:id="616" w:name="X8f384f020afd09da3d92243ba567598e003568d"/>
    <w:p>
      <w:pPr>
        <w:pStyle w:val="Heading3"/>
      </w:pPr>
      <w:r>
        <w:t xml:space="preserve">Page 580 — Rik 12: word-meanings (begun on p. 579), overall sense, English, Special Topics</w:t>
      </w:r>
    </w:p>
    <w:p>
      <w:pPr>
        <w:pStyle w:val="FirstParagraph"/>
      </w:pPr>
      <w:r>
        <w:rPr>
          <w:bCs/>
          <w:b/>
        </w:rPr>
        <w:t xml:space="preserve">॥ Prati-padārthaḥ ॥</w:t>
      </w:r>
    </w:p>
    <w:p>
      <w:pPr>
        <w:pStyle w:val="BodyText"/>
      </w:pPr>
      <w:r>
        <w:rPr>
          <w:iCs/>
          <w:i/>
        </w:rPr>
        <w:t xml:space="preserve">(O priests!)</w:t>
      </w:r>
      <w:r>
        <w:t xml:space="preserve"> </w:t>
      </w:r>
      <w:r>
        <w:rPr>
          <w:bCs/>
          <w:b/>
        </w:rPr>
        <w:t xml:space="preserve">इन्द्राय (indrāya)</w:t>
      </w:r>
      <w:r>
        <w:t xml:space="preserve"> </w:t>
      </w:r>
      <w:r>
        <w:t xml:space="preserve">— for Indra’s satisfaction |</w:t>
      </w:r>
      <w:r>
        <w:t xml:space="preserve"> </w:t>
      </w:r>
      <w:r>
        <w:rPr>
          <w:bCs/>
          <w:b/>
        </w:rPr>
        <w:t xml:space="preserve">यज्वनः (yajvanaḥ)</w:t>
      </w:r>
      <w:r>
        <w:t xml:space="preserve"> </w:t>
      </w:r>
      <w:r>
        <w:t xml:space="preserve">— of the sacrificer who performs the sacrifice |</w:t>
      </w:r>
      <w:r>
        <w:t xml:space="preserve"> </w:t>
      </w:r>
      <w:r>
        <w:rPr>
          <w:bCs/>
          <w:b/>
        </w:rPr>
        <w:t xml:space="preserve">गृहे (gṛhe)</w:t>
      </w:r>
      <w:r>
        <w:t xml:space="preserve"> </w:t>
      </w:r>
      <w:r>
        <w:t xml:space="preserve">— in the house (the sacrificial hall) |</w:t>
      </w:r>
      <w:r>
        <w:t xml:space="preserve"> </w:t>
      </w:r>
      <w:r>
        <w:rPr>
          <w:bCs/>
          <w:b/>
        </w:rPr>
        <w:t xml:space="preserve">स्वाहा (svāhā)</w:t>
      </w:r>
      <w:r>
        <w:t xml:space="preserve"> </w:t>
      </w:r>
      <w:r>
        <w:t xml:space="preserve">— [performed] by the utterance</w:t>
      </w:r>
      <w:r>
        <w:t xml:space="preserve"> </w:t>
      </w:r>
      <w:r>
        <w:rPr>
          <w:iCs/>
          <w:i/>
        </w:rPr>
        <w:t xml:space="preserve">svāhā</w:t>
      </w:r>
      <w:r>
        <w:t xml:space="preserve"> </w:t>
      </w:r>
      <w:r>
        <w:t xml:space="preserve">(or</w:t>
      </w:r>
      <w:r>
        <w:t xml:space="preserve"> </w:t>
      </w:r>
      <w:r>
        <w:rPr>
          <w:iCs/>
          <w:i/>
        </w:rPr>
        <w:t xml:space="preserve">svāhā</w:t>
      </w:r>
      <w:r>
        <w:t xml:space="preserve">, the fire named Svāhā, accomplishing it) |</w:t>
      </w:r>
      <w:r>
        <w:t xml:space="preserve"> </w:t>
      </w:r>
      <w:r>
        <w:rPr>
          <w:bCs/>
          <w:b/>
        </w:rPr>
        <w:t xml:space="preserve">यज्ञम् (yajñam)</w:t>
      </w:r>
      <w:r>
        <w:t xml:space="preserve"> </w:t>
      </w:r>
      <w:r>
        <w:t xml:space="preserve">— the sacrifice |</w:t>
      </w:r>
      <w:r>
        <w:t xml:space="preserve"> </w:t>
      </w:r>
      <w:r>
        <w:rPr>
          <w:bCs/>
          <w:b/>
        </w:rPr>
        <w:t xml:space="preserve">कृणोतन (kṛṇotana)</w:t>
      </w:r>
      <w:r>
        <w:t xml:space="preserve"> </w:t>
      </w:r>
      <w:r>
        <w:t xml:space="preserve">— perform |</w:t>
      </w:r>
      <w:r>
        <w:t xml:space="preserve"> </w:t>
      </w:r>
      <w:r>
        <w:rPr>
          <w:bCs/>
          <w:b/>
        </w:rPr>
        <w:t xml:space="preserve">तत्र (tatra)</w:t>
      </w:r>
      <w:r>
        <w:t xml:space="preserve"> </w:t>
      </w:r>
      <w:r>
        <w:t xml:space="preserve">— to that sacrificial ground |</w:t>
      </w:r>
      <w:r>
        <w:t xml:space="preserve"> </w:t>
      </w:r>
      <w:r>
        <w:rPr>
          <w:bCs/>
          <w:b/>
        </w:rPr>
        <w:t xml:space="preserve">देवान् (devān)</w:t>
      </w:r>
      <w:r>
        <w:t xml:space="preserve"> </w:t>
      </w:r>
      <w:r>
        <w:t xml:space="preserve">— the gods |</w:t>
      </w:r>
      <w:r>
        <w:t xml:space="preserve"> </w:t>
      </w:r>
      <w:r>
        <w:rPr>
          <w:bCs/>
          <w:b/>
        </w:rPr>
        <w:t xml:space="preserve">उप ह्वये (upa hvaye)</w:t>
      </w:r>
      <w:r>
        <w:t xml:space="preserve"> </w:t>
      </w:r>
      <w:r>
        <w:t xml:space="preserve">— I invoke.</w:t>
      </w:r>
    </w:p>
    <w:p>
      <w:pPr>
        <w:pStyle w:val="BodyText"/>
      </w:pPr>
      <w:r>
        <w:rPr>
          <w:bCs/>
          <w:b/>
        </w:rPr>
        <w:t xml:space="preserve">॥ Bhāvārthaḥ ॥</w:t>
      </w:r>
    </w:p>
    <w:p>
      <w:pPr>
        <w:pStyle w:val="BodyText"/>
      </w:pPr>
      <w:r>
        <w:t xml:space="preserve">O priests, the</w:t>
      </w:r>
      <w:r>
        <w:t xml:space="preserve"> </w:t>
      </w:r>
      <w:r>
        <w:rPr>
          <w:iCs/>
          <w:i/>
        </w:rPr>
        <w:t xml:space="preserve">adhvaryu</w:t>
      </w:r>
      <w:r>
        <w:t xml:space="preserve"> </w:t>
      </w:r>
      <w:r>
        <w:t xml:space="preserve">and the others! In the sacrificer’s house, perform the sacrifice for Indra’s satisfaction with the cry</w:t>
      </w:r>
      <w:r>
        <w:t xml:space="preserve"> </w:t>
      </w:r>
      <w:r>
        <w:rPr>
          <w:iCs/>
          <w:i/>
        </w:rPr>
        <w:t xml:space="preserve">svāhā</w:t>
      </w:r>
      <w:r>
        <w:t xml:space="preserve">; or perform it, offering the oblations belonging to the fire named</w:t>
      </w:r>
      <w:r>
        <w:t xml:space="preserve"> </w:t>
      </w:r>
      <w:r>
        <w:rPr>
          <w:iCs/>
          <w:i/>
        </w:rPr>
        <w:t xml:space="preserve">Svāhā</w:t>
      </w:r>
      <w:r>
        <w:t xml:space="preserve">. For that I call the gods there.</w:t>
      </w:r>
    </w:p>
    <w:p>
      <w:pPr>
        <w:pStyle w:val="BodyText"/>
      </w:pPr>
      <w:r>
        <w:rPr>
          <w:bCs/>
          <w:b/>
        </w:rPr>
        <w:t xml:space="preserve">॥ English Translation ॥</w:t>
      </w:r>
      <w:r>
        <w:t xml:space="preserve"> </w:t>
      </w:r>
      <w:r>
        <w:rPr>
          <w:iCs/>
          <w:i/>
        </w:rPr>
        <w:t xml:space="preserve">(as printed in the source)</w:t>
      </w:r>
    </w:p>
    <w:p>
      <w:pPr>
        <w:pStyle w:val="BlockText"/>
      </w:pPr>
      <w:r>
        <w:t xml:space="preserve">Perform the sacrifice to Indra conveyed through swaha in the house of the sacrificer. I invoke the gods thither.</w:t>
      </w:r>
    </w:p>
    <w:p>
      <w:pPr>
        <w:pStyle w:val="FirstParagraph"/>
      </w:pPr>
      <w:r>
        <w:rPr>
          <w:bCs/>
          <w:b/>
        </w:rPr>
        <w:t xml:space="preserve">॥ Viśeṣa-viṣayagaḷu (Special Topics) ॥</w:t>
      </w:r>
    </w:p>
    <w:p>
      <w:pPr>
        <w:pStyle w:val="BodyText"/>
      </w:pPr>
      <w:r>
        <w:rPr>
          <w:bCs/>
          <w:b/>
        </w:rPr>
        <w:t xml:space="preserve">Svāhā</w:t>
      </w:r>
      <w:r>
        <w:t xml:space="preserve">: Yāska’s explanation:</w:t>
      </w:r>
    </w:p>
    <w:p>
      <w:pPr>
        <w:pStyle w:val="BlockText"/>
      </w:pPr>
      <w:r>
        <w:t xml:space="preserve">स्वाहाकृतयः । स्वाहाकृतयः स्वाहेत्येतत् सु आहेति वा । स्वा वागाहेति वा । स्वं प्राहेति वा । स्वाहुतं हविर्जुहोतीति वा ॥</w:t>
      </w:r>
    </w:p>
    <w:p>
      <w:pPr>
        <w:pStyle w:val="BlockText"/>
      </w:pPr>
      <w:r>
        <w:rPr>
          <w:iCs/>
          <w:i/>
        </w:rPr>
        <w:t xml:space="preserve">svāhākṛtayaḥ | svāhākṛtayaḥ svāhetyetat su āheti vā | svā vāgāheti vā | svaṃ prāheti vā | svāhutaṃ havirjuhotīti vā ||</w:t>
      </w:r>
    </w:p>
    <w:p>
      <w:pPr>
        <w:pStyle w:val="FirstParagraph"/>
      </w:pPr>
      <w:r>
        <w:rPr>
          <w:iCs/>
          <w:i/>
        </w:rPr>
        <w:t xml:space="preserve">(No Nirukta number is printed.)</w:t>
      </w:r>
      <w:r>
        <w:t xml:space="preserve"> </w:t>
      </w:r>
      <w:r>
        <w:t xml:space="preserve">The word</w:t>
      </w:r>
      <w:r>
        <w:t xml:space="preserve"> </w:t>
      </w:r>
      <w:r>
        <w:rPr>
          <w:iCs/>
          <w:i/>
        </w:rPr>
        <w:t xml:space="preserve">svāhā</w:t>
      </w:r>
      <w:r>
        <w:t xml:space="preserve"> </w:t>
      </w:r>
      <w:r>
        <w:t xml:space="preserve">has four different senses of its parts:</w:t>
      </w:r>
    </w:p>
    <w:p>
      <w:pPr>
        <w:numPr>
          <w:ilvl w:val="0"/>
          <w:numId w:val="1049"/>
        </w:numPr>
      </w:pPr>
      <w:r>
        <w:rPr>
          <w:iCs/>
          <w:i/>
        </w:rPr>
        <w:t xml:space="preserve">su āheti vā</w:t>
      </w:r>
      <w:r>
        <w:t xml:space="preserve">:</w:t>
      </w:r>
      <w:r>
        <w:t xml:space="preserve"> </w:t>
      </w:r>
      <w:r>
        <w:rPr>
          <w:iCs/>
          <w:i/>
        </w:rPr>
        <w:t xml:space="preserve">su</w:t>
      </w:r>
      <w:r>
        <w:t xml:space="preserve"> </w:t>
      </w:r>
      <w:r>
        <w:t xml:space="preserve">= well,</w:t>
      </w:r>
      <w:r>
        <w:t xml:space="preserve"> </w:t>
      </w:r>
      <w:r>
        <w:rPr>
          <w:iCs/>
          <w:i/>
        </w:rPr>
        <w:t xml:space="preserve">āha</w:t>
      </w:r>
      <w:r>
        <w:t xml:space="preserve"> </w:t>
      </w:r>
      <w:r>
        <w:t xml:space="preserve">= says: since it is uttered well, or clearly, it is called</w:t>
      </w:r>
      <w:r>
        <w:t xml:space="preserve"> </w:t>
      </w:r>
      <w:r>
        <w:rPr>
          <w:iCs/>
          <w:i/>
        </w:rPr>
        <w:t xml:space="preserve">svāhā</w:t>
      </w:r>
      <w:r>
        <w:t xml:space="preserve">.</w:t>
      </w:r>
    </w:p>
    <w:p>
      <w:pPr>
        <w:numPr>
          <w:ilvl w:val="0"/>
          <w:numId w:val="1049"/>
        </w:numPr>
      </w:pPr>
      <w:r>
        <w:rPr>
          <w:iCs/>
          <w:i/>
        </w:rPr>
        <w:t xml:space="preserve">svā vāg āheti vā</w:t>
      </w:r>
      <w:r>
        <w:t xml:space="preserve">:</w:t>
      </w:r>
      <w:r>
        <w:t xml:space="preserve"> </w:t>
      </w:r>
      <w:r>
        <w:rPr>
          <w:iCs/>
          <w:i/>
        </w:rPr>
        <w:t xml:space="preserve">svā</w:t>
      </w:r>
      <w:r>
        <w:t xml:space="preserve"> </w:t>
      </w:r>
      <w:r>
        <w:t xml:space="preserve">= one’s own,</w:t>
      </w:r>
      <w:r>
        <w:t xml:space="preserve"> </w:t>
      </w:r>
      <w:r>
        <w:rPr>
          <w:iCs/>
          <w:i/>
        </w:rPr>
        <w:t xml:space="preserve">vāk</w:t>
      </w:r>
      <w:r>
        <w:t xml:space="preserve"> </w:t>
      </w:r>
      <w:r>
        <w:t xml:space="preserve">= speech. There is the Śruti (Brāhmaṇa) sentence</w:t>
      </w:r>
    </w:p>
    <w:p>
      <w:pPr>
        <w:pStyle w:val="BlockText"/>
      </w:pPr>
      <w:r>
        <w:t xml:space="preserve">तं स्वा वागभ्यवदज्जुहुधीति तत्स्वाहाकारस्य जन्म</w:t>
      </w:r>
    </w:p>
    <w:p>
      <w:pPr>
        <w:pStyle w:val="BlockText"/>
      </w:pPr>
      <w:r>
        <w:rPr>
          <w:iCs/>
          <w:i/>
        </w:rPr>
        <w:t xml:space="preserve">taṃ svā vāgabhyavadajjuhudhīti tatsvāhākārasya janma</w:t>
      </w:r>
    </w:p>
    <w:p>
      <w:pPr>
        <w:pStyle w:val="FirstParagraph"/>
      </w:pPr>
      <w:r>
        <w:t xml:space="preserve">(</w:t>
      </w:r>
      <w:r>
        <w:t xml:space="preserve">“</w:t>
      </w:r>
      <w:r>
        <w:t xml:space="preserve">his own speech said to him,</w:t>
      </w:r>
      <w:r>
        <w:t xml:space="preserve"> </w:t>
      </w:r>
      <w:r>
        <w:t xml:space="preserve">‘</w:t>
      </w:r>
      <w:r>
        <w:t xml:space="preserve">offer!</w:t>
      </w:r>
      <w:r>
        <w:t xml:space="preserve">’</w:t>
      </w:r>
      <w:r>
        <w:t xml:space="preserve">; that is the birth of the</w:t>
      </w:r>
      <w:r>
        <w:t xml:space="preserve"> </w:t>
      </w:r>
      <w:r>
        <w:rPr>
          <w:iCs/>
          <w:i/>
        </w:rPr>
        <w:t xml:space="preserve">svāhākāra</w:t>
      </w:r>
      <w:r>
        <w:t xml:space="preserve">”</w:t>
      </w:r>
      <w:r>
        <w:t xml:space="preserve"> </w:t>
      </w:r>
      <w:r>
        <w:t xml:space="preserve">— mine and tentative). That is, since the one who makes the</w:t>
      </w:r>
      <w:r>
        <w:t xml:space="preserve"> </w:t>
      </w:r>
      <w:r>
        <w:rPr>
          <w:iCs/>
          <w:i/>
        </w:rPr>
        <w:t xml:space="preserve">homa</w:t>
      </w:r>
      <w:r>
        <w:t xml:space="preserve"> </w:t>
      </w:r>
      <w:r>
        <w:t xml:space="preserve">himself adds the word</w:t>
      </w:r>
      <w:r>
        <w:t xml:space="preserve"> </w:t>
      </w:r>
      <w:r>
        <w:rPr>
          <w:iCs/>
          <w:i/>
        </w:rPr>
        <w:t xml:space="preserve">svāhā</w:t>
      </w:r>
      <w:r>
        <w:t xml:space="preserve"> </w:t>
      </w:r>
      <w:r>
        <w:t xml:space="preserve">at the end of the Ṛk, the Vedic mantra, it is called</w:t>
      </w:r>
      <w:r>
        <w:t xml:space="preserve"> </w:t>
      </w:r>
      <w:r>
        <w:rPr>
          <w:iCs/>
          <w:i/>
        </w:rPr>
        <w:t xml:space="preserve">svāhā</w:t>
      </w:r>
      <w:r>
        <w:t xml:space="preserve">.</w:t>
      </w:r>
    </w:p>
    <w:p>
      <w:pPr>
        <w:numPr>
          <w:ilvl w:val="0"/>
          <w:numId w:val="1050"/>
        </w:numPr>
      </w:pPr>
      <w:r>
        <w:rPr>
          <w:iCs/>
          <w:i/>
        </w:rPr>
        <w:t xml:space="preserve">svaṃ prāheti vā</w:t>
      </w:r>
      <w:r>
        <w:t xml:space="preserve">: here</w:t>
      </w:r>
      <w:r>
        <w:t xml:space="preserve"> </w:t>
      </w:r>
      <w:r>
        <w:rPr>
          <w:iCs/>
          <w:i/>
        </w:rPr>
        <w:t xml:space="preserve">svam</w:t>
      </w:r>
      <w:r>
        <w:t xml:space="preserve"> </w:t>
      </w:r>
      <w:r>
        <w:t xml:space="preserve">= his own oblation;</w:t>
      </w:r>
      <w:r>
        <w:t xml:space="preserve"> </w:t>
      </w:r>
      <w:r>
        <w:rPr>
          <w:iCs/>
          <w:i/>
        </w:rPr>
        <w:t xml:space="preserve">āha</w:t>
      </w:r>
      <w:r>
        <w:t xml:space="preserve">: he says that he offers it in the fire. So it is called</w:t>
      </w:r>
      <w:r>
        <w:t xml:space="preserve"> </w:t>
      </w:r>
      <w:r>
        <w:rPr>
          <w:iCs/>
          <w:i/>
        </w:rPr>
        <w:t xml:space="preserve">svāhā</w:t>
      </w:r>
      <w:r>
        <w:t xml:space="preserve">.</w:t>
      </w:r>
    </w:p>
    <w:p>
      <w:pPr>
        <w:numPr>
          <w:ilvl w:val="0"/>
          <w:numId w:val="1050"/>
        </w:numPr>
      </w:pPr>
      <w:r>
        <w:rPr>
          <w:iCs/>
          <w:i/>
        </w:rPr>
        <w:t xml:space="preserve">svāhutaṃ havir juhotīti vā</w:t>
      </w:r>
      <w:r>
        <w:t xml:space="preserve">: since he offers the oblation he has offered by uttering the word</w:t>
      </w:r>
      <w:r>
        <w:t xml:space="preserve"> </w:t>
      </w:r>
      <w:r>
        <w:rPr>
          <w:iCs/>
          <w:i/>
        </w:rPr>
        <w:t xml:space="preserve">svāhā</w:t>
      </w:r>
      <w:r>
        <w:t xml:space="preserve">, that is, since he gives the oblation into the fire, it is called</w:t>
      </w:r>
      <w:r>
        <w:t xml:space="preserve"> </w:t>
      </w:r>
      <w:r>
        <w:rPr>
          <w:iCs/>
          <w:i/>
        </w:rPr>
        <w:t xml:space="preserve">svāhā</w:t>
      </w:r>
      <w:r>
        <w:t xml:space="preserve">.</w:t>
      </w:r>
    </w:p>
    <w:p>
      <w:pPr>
        <w:pStyle w:val="FirstParagraph"/>
      </w:pPr>
      <w:r>
        <w:t xml:space="preserve">For the sense of the</w:t>
      </w:r>
      <w:r>
        <w:t xml:space="preserve"> </w:t>
      </w:r>
      <w:r>
        <w:rPr>
          <w:iCs/>
          <w:i/>
        </w:rPr>
        <w:t xml:space="preserve">svāhākāra</w:t>
      </w:r>
      <w:r>
        <w:t xml:space="preserve"> </w:t>
      </w:r>
      <w:r>
        <w:t xml:space="preserve">Yāska gives this Ṛk as an example:</w:t>
      </w:r>
    </w:p>
    <w:bookmarkEnd w:id="616"/>
    <w:bookmarkStart w:id="617" w:name="X0e70149bd2fed8980f4a498923987caf7416b43"/>
    <w:p>
      <w:pPr>
        <w:pStyle w:val="Heading3"/>
      </w:pPr>
      <w:r>
        <w:t xml:space="preserve">Page 581 — Rik 12: Special Topics (continued) and grammar</w:t>
      </w:r>
    </w:p>
    <w:p>
      <w:pPr>
        <w:pStyle w:val="BlockText"/>
      </w:pPr>
      <w:r>
        <w:t xml:space="preserve">सद्यो जातो व्यमिमीत यज्ञमग्निर्देवानामभवत्पुरोगाः ।</w:t>
      </w:r>
      <w:r>
        <w:t xml:space="preserve"> </w:t>
      </w:r>
      <w:r>
        <w:t xml:space="preserve">अस्य होतुः प्रदिश्यृतस्य वाचि स्वाहाकृतं हविरदन्तु देवाः ॥</w:t>
      </w:r>
    </w:p>
    <w:p>
      <w:pPr>
        <w:pStyle w:val="BlockText"/>
      </w:pPr>
      <w:r>
        <w:rPr>
          <w:iCs/>
          <w:i/>
        </w:rPr>
        <w:t xml:space="preserve">sadyo jāto vyamimīta yajñamagnirdevānāmabhavatpurogāḥ |</w:t>
      </w:r>
      <w:r>
        <w:t xml:space="preserve"> </w:t>
      </w:r>
      <w:r>
        <w:rPr>
          <w:iCs/>
          <w:i/>
        </w:rPr>
        <w:t xml:space="preserve">asya hotuḥ pradiśyṛtasya vāci svāhākṛtaṃ haviradantu devāḥ ||</w:t>
      </w:r>
    </w:p>
    <w:p>
      <w:pPr>
        <w:pStyle w:val="FirstParagraph"/>
      </w:pPr>
      <w:r>
        <w:rPr>
          <w:iCs/>
          <w:i/>
        </w:rPr>
        <w:t xml:space="preserve">(Ṛ. Saṃ. 10-110-11.)</w:t>
      </w:r>
      <w:r>
        <w:t xml:space="preserve"> </w:t>
      </w:r>
      <w:r>
        <w:rPr>
          <w:iCs/>
          <w:i/>
        </w:rPr>
        <w:t xml:space="preserve">(</w:t>
      </w:r>
      <w:r>
        <w:rPr>
          <w:iCs/>
          <w:i/>
        </w:rPr>
        <w:t xml:space="preserve">“</w:t>
      </w:r>
      <w:r>
        <w:rPr>
          <w:iCs/>
          <w:i/>
        </w:rPr>
        <w:t xml:space="preserve">Born at once, Agni measured out the sacrifice and became the leader of the gods; at the word of this hotṛ, in the direction of order, let the gods eat the oblation made with svāhā</w:t>
      </w:r>
      <w:r>
        <w:rPr>
          <w:iCs/>
          <w:i/>
        </w:rPr>
        <w:t xml:space="preserve">”</w:t>
      </w:r>
      <w:r>
        <w:rPr>
          <w:iCs/>
          <w:i/>
        </w:rPr>
        <w:t xml:space="preserve"> </w:t>
      </w:r>
      <w:r>
        <w:rPr>
          <w:iCs/>
          <w:i/>
        </w:rPr>
        <w:t xml:space="preserve">— mine and tentative.)</w:t>
      </w:r>
    </w:p>
    <w:p>
      <w:pPr>
        <w:pStyle w:val="BodyText"/>
      </w:pPr>
      <w:r>
        <w:t xml:space="preserve">Its chief sense: Agni, just born (that is, now established at the sacrifice), sits before the gods, carries out the duty of the</w:t>
      </w:r>
      <w:r>
        <w:t xml:space="preserve"> </w:t>
      </w:r>
      <w:r>
        <w:rPr>
          <w:iCs/>
          <w:i/>
        </w:rPr>
        <w:t xml:space="preserve">hotṛ</w:t>
      </w:r>
      <w:r>
        <w:t xml:space="preserve">, that is, the work of calling the gods, and brings the sacrifice to completion. May the gods eat the oblation that such a</w:t>
      </w:r>
      <w:r>
        <w:t xml:space="preserve"> </w:t>
      </w:r>
      <w:r>
        <w:rPr>
          <w:iCs/>
          <w:i/>
        </w:rPr>
        <w:t xml:space="preserve">hotṛ</w:t>
      </w:r>
      <w:r>
        <w:t xml:space="preserve">, being in the eastern quarter, offers with the word</w:t>
      </w:r>
      <w:r>
        <w:t xml:space="preserve"> </w:t>
      </w:r>
      <w:r>
        <w:rPr>
          <w:iCs/>
          <w:i/>
        </w:rPr>
        <w:t xml:space="preserve">svāhā</w:t>
      </w:r>
      <w:r>
        <w:t xml:space="preserve">. So</w:t>
      </w:r>
      <w:r>
        <w:t xml:space="preserve"> </w:t>
      </w:r>
      <w:r>
        <w:rPr>
          <w:iCs/>
          <w:i/>
        </w:rPr>
        <w:t xml:space="preserve">svāhā</w:t>
      </w:r>
      <w:r>
        <w:t xml:space="preserve"> </w:t>
      </w:r>
      <w:r>
        <w:t xml:space="preserve">is the name of the word uttered at the end of the mantra when the oblation is offered, for the gods’ pleasure, into the fire set up in due form for the sacrifice.</w:t>
      </w:r>
    </w:p>
    <w:p>
      <w:pPr>
        <w:pStyle w:val="BodyText"/>
      </w:pPr>
      <w:r>
        <w:t xml:space="preserve">In some Āprī-sūktas the plural</w:t>
      </w:r>
      <w:r>
        <w:t xml:space="preserve"> </w:t>
      </w:r>
      <w:r>
        <w:rPr>
          <w:iCs/>
          <w:i/>
        </w:rPr>
        <w:t xml:space="preserve">svāhākṛtayaḥ</w:t>
      </w:r>
      <w:r>
        <w:t xml:space="preserve"> </w:t>
      </w:r>
      <w:r>
        <w:t xml:space="preserve">is used: since the word</w:t>
      </w:r>
      <w:r>
        <w:t xml:space="preserve"> </w:t>
      </w:r>
      <w:r>
        <w:rPr>
          <w:iCs/>
          <w:i/>
        </w:rPr>
        <w:t xml:space="preserve">svāhā</w:t>
      </w:r>
      <w:r>
        <w:t xml:space="preserve"> </w:t>
      </w:r>
      <w:r>
        <w:t xml:space="preserve">is added also to the eleven</w:t>
      </w:r>
      <w:r>
        <w:t xml:space="preserve"> </w:t>
      </w:r>
      <w:r>
        <w:rPr>
          <w:iCs/>
          <w:i/>
        </w:rPr>
        <w:t xml:space="preserve">prayāja</w:t>
      </w:r>
      <w:r>
        <w:t xml:space="preserve"> </w:t>
      </w:r>
      <w:r>
        <w:t xml:space="preserve">mantras used in offering to the eleven deities of the sūkta, the plural</w:t>
      </w:r>
      <w:r>
        <w:t xml:space="preserve"> </w:t>
      </w:r>
      <w:r>
        <w:rPr>
          <w:iCs/>
          <w:i/>
        </w:rPr>
        <w:t xml:space="preserve">svāhākṛtayaḥ</w:t>
      </w:r>
      <w:r>
        <w:t xml:space="preserve"> </w:t>
      </w:r>
      <w:r>
        <w:t xml:space="preserve">is used.</w:t>
      </w:r>
    </w:p>
    <w:p>
      <w:pPr>
        <w:pStyle w:val="BodyText"/>
      </w:pPr>
      <w:r>
        <w:t xml:space="preserve">In the Purāṇas and other works the word</w:t>
      </w:r>
      <w:r>
        <w:t xml:space="preserve"> </w:t>
      </w:r>
      <w:r>
        <w:rPr>
          <w:iCs/>
          <w:i/>
        </w:rPr>
        <w:t xml:space="preserve">svāhā</w:t>
      </w:r>
      <w:r>
        <w:t xml:space="preserve"> </w:t>
      </w:r>
      <w:r>
        <w:t xml:space="preserve">is used in another sense. The Mahābhārata says that the daughter of Bṛhaspati, the son of the sage Aṅgiras, is Svāhā; the Purāṇas say that the goddess Svāhā is the daughter of Dakṣa Prajāpati and the wife of Agni.</w:t>
      </w:r>
    </w:p>
    <w:p>
      <w:pPr>
        <w:pStyle w:val="BodyText"/>
      </w:pPr>
      <w:r>
        <w:rPr>
          <w:bCs/>
          <w:b/>
        </w:rPr>
        <w:t xml:space="preserve">॥ Vyākaraṇa-prakriyā ॥</w:t>
      </w:r>
      <w:r>
        <w:t xml:space="preserve"> </w:t>
      </w:r>
      <w:r>
        <w:rPr>
          <w:iCs/>
          <w:i/>
        </w:rPr>
        <w:t xml:space="preserve">(grammar pages 581–583, noted briefly)</w:t>
      </w:r>
    </w:p>
    <w:p>
      <w:pPr>
        <w:pStyle w:val="BodyText"/>
      </w:pPr>
      <w:r>
        <w:rPr>
          <w:bCs/>
          <w:b/>
        </w:rPr>
        <w:t xml:space="preserve">कृणोतन (</w:t>
      </w:r>
      <w:r>
        <w:rPr>
          <w:iCs/>
          <w:i/>
          <w:bCs/>
          <w:b/>
        </w:rPr>
        <w:t xml:space="preserve">kṛṇotana</w:t>
      </w:r>
      <w:r>
        <w:rPr>
          <w:bCs/>
          <w:b/>
        </w:rPr>
        <w:t xml:space="preserve">)</w:t>
      </w:r>
      <w:r>
        <w:t xml:space="preserve">:</w:t>
      </w:r>
      <w:r>
        <w:t xml:space="preserve"> </w:t>
      </w:r>
      <w:r>
        <w:rPr>
          <w:iCs/>
          <w:i/>
        </w:rPr>
        <w:t xml:space="preserve">kṛvi hiṃsākaraṇayoś ca</w:t>
      </w:r>
      <w:r>
        <w:t xml:space="preserve">,</w:t>
      </w:r>
      <w:r>
        <w:t xml:space="preserve"> </w:t>
      </w:r>
      <w:r>
        <w:rPr>
          <w:iCs/>
          <w:i/>
        </w:rPr>
        <w:t xml:space="preserve">idit</w:t>
      </w:r>
      <w:r>
        <w:t xml:space="preserve">, so</w:t>
      </w:r>
      <w:r>
        <w:t xml:space="preserve"> </w:t>
      </w:r>
      <w:r>
        <w:rPr>
          <w:iCs/>
          <w:i/>
        </w:rPr>
        <w:t xml:space="preserve">num</w:t>
      </w:r>
      <w:r>
        <w:t xml:space="preserve"> </w:t>
      </w:r>
      <w:r>
        <w:t xml:space="preserve">by</w:t>
      </w:r>
      <w:r>
        <w:t xml:space="preserve"> </w:t>
      </w:r>
      <w:r>
        <w:t xml:space="preserve">“</w:t>
      </w:r>
      <w:r>
        <w:t xml:space="preserve">idito num dhātoḥ</w:t>
      </w:r>
      <w:r>
        <w:t xml:space="preserve">”</w:t>
      </w:r>
      <w:r>
        <w:t xml:space="preserve">:</w:t>
      </w:r>
      <w:r>
        <w:t xml:space="preserve"> </w:t>
      </w:r>
      <w:r>
        <w:rPr>
          <w:iCs/>
          <w:i/>
        </w:rPr>
        <w:t xml:space="preserve">kṛnv</w:t>
      </w:r>
      <w:r>
        <w:t xml:space="preserve">;</w:t>
      </w:r>
      <w:r>
        <w:t xml:space="preserve"> </w:t>
      </w:r>
      <w:r>
        <w:rPr>
          <w:iCs/>
          <w:i/>
        </w:rPr>
        <w:t xml:space="preserve">loṭ</w:t>
      </w:r>
      <w:r>
        <w:t xml:space="preserve"> </w:t>
      </w:r>
      <w:r>
        <w:t xml:space="preserve">2nd plural</w:t>
      </w:r>
      <w:r>
        <w:t xml:space="preserve"> </w:t>
      </w:r>
      <w:r>
        <w:rPr>
          <w:iCs/>
          <w:i/>
        </w:rPr>
        <w:t xml:space="preserve">tha</w:t>
      </w:r>
      <w:r>
        <w:t xml:space="preserve">; with</w:t>
      </w:r>
      <w:r>
        <w:t xml:space="preserve"> </w:t>
      </w:r>
      <w:r>
        <w:rPr>
          <w:iCs/>
          <w:i/>
        </w:rPr>
        <w:t xml:space="preserve">laṅvadbhāva</w:t>
      </w:r>
      <w:r>
        <w:t xml:space="preserve"> </w:t>
      </w:r>
      <w:r>
        <w:t xml:space="preserve">by</w:t>
      </w:r>
      <w:r>
        <w:t xml:space="preserve"> </w:t>
      </w:r>
      <w:r>
        <w:t xml:space="preserve">“</w:t>
      </w:r>
      <w:r>
        <w:t xml:space="preserve">loṭo laṅvat</w:t>
      </w:r>
      <w:r>
        <w:t xml:space="preserve">”</w:t>
      </w:r>
      <w:r>
        <w:t xml:space="preserve"> </w:t>
      </w:r>
      <w:r>
        <w:t xml:space="preserve">(Pā. sū. 3-4-85),</w:t>
      </w:r>
      <w:r>
        <w:t xml:space="preserve"> </w:t>
      </w:r>
      <w:r>
        <w:rPr>
          <w:iCs/>
          <w:i/>
        </w:rPr>
        <w:t xml:space="preserve">ta</w:t>
      </w:r>
      <w:r>
        <w:t xml:space="preserve"> </w:t>
      </w:r>
      <w:r>
        <w:t xml:space="preserve">for</w:t>
      </w:r>
      <w:r>
        <w:t xml:space="preserve"> </w:t>
      </w:r>
      <w:r>
        <w:rPr>
          <w:iCs/>
          <w:i/>
        </w:rPr>
        <w:t xml:space="preserve">tha</w:t>
      </w:r>
      <w:r>
        <w:t xml:space="preserve"> </w:t>
      </w:r>
      <w:r>
        <w:t xml:space="preserve">by</w:t>
      </w:r>
      <w:r>
        <w:t xml:space="preserve"> </w:t>
      </w:r>
      <w:r>
        <w:t xml:space="preserve">“</w:t>
      </w:r>
      <w:r>
        <w:t xml:space="preserve">tasthasthamipāṃ tāṃtaṃtāmaḥ</w:t>
      </w:r>
      <w:r>
        <w:t xml:space="preserve">”</w:t>
      </w:r>
      <w:r>
        <w:t xml:space="preserve"> </w:t>
      </w:r>
      <w:r>
        <w:t xml:space="preserve">(Pā.</w:t>
      </w:r>
      <w:r>
        <w:t xml:space="preserve"> </w:t>
      </w:r>
      <w:r>
        <w:t xml:space="preserve">“</w:t>
      </w:r>
      <w:r>
        <w:t xml:space="preserve">śū.</w:t>
      </w:r>
      <w:r>
        <w:t xml:space="preserve">”</w:t>
      </w:r>
      <w:r>
        <w:t xml:space="preserve"> </w:t>
      </w:r>
      <w:r>
        <w:t xml:space="preserve">[sic] 3-4-101);</w:t>
      </w:r>
      <w:r>
        <w:t xml:space="preserve"> </w:t>
      </w:r>
      <w:r>
        <w:t xml:space="preserve">“</w:t>
      </w:r>
      <w:r>
        <w:t xml:space="preserve">taptanaptanathanāś ca</w:t>
      </w:r>
      <w:r>
        <w:t xml:space="preserve">”</w:t>
      </w:r>
      <w:r>
        <w:t xml:space="preserve"> </w:t>
      </w:r>
      <w:r>
        <w:t xml:space="preserve">(Pā. sū. 7-1-45) gives four replacements of that</w:t>
      </w:r>
      <w:r>
        <w:t xml:space="preserve"> </w:t>
      </w:r>
      <w:r>
        <w:rPr>
          <w:iCs/>
          <w:i/>
        </w:rPr>
        <w:t xml:space="preserve">t</w:t>
      </w:r>
      <w:r>
        <w:t xml:space="preserve"> </w:t>
      </w:r>
      <w:r>
        <w:t xml:space="preserve">in the</w:t>
      </w:r>
      <w:r>
        <w:t xml:space="preserve"> </w:t>
      </w:r>
      <w:r>
        <w:rPr>
          <w:iCs/>
          <w:i/>
        </w:rPr>
        <w:t xml:space="preserve">loṭ</w:t>
      </w:r>
      <w:r>
        <w:t xml:space="preserve"> </w:t>
      </w:r>
      <w:r>
        <w:t xml:space="preserve">2nd person (</w:t>
      </w:r>
      <w:r>
        <w:rPr>
          <w:iCs/>
          <w:i/>
        </w:rPr>
        <w:t xml:space="preserve">tap</w:t>
      </w:r>
      <w:r>
        <w:t xml:space="preserve">,</w:t>
      </w:r>
      <w:r>
        <w:t xml:space="preserve"> </w:t>
      </w:r>
      <w:r>
        <w:rPr>
          <w:iCs/>
          <w:i/>
        </w:rPr>
        <w:t xml:space="preserve">tanap</w:t>
      </w:r>
      <w:r>
        <w:t xml:space="preserve">,</w:t>
      </w:r>
      <w:r>
        <w:t xml:space="preserve"> </w:t>
      </w:r>
      <w:r>
        <w:rPr>
          <w:iCs/>
          <w:i/>
        </w:rPr>
        <w:t xml:space="preserve">tana</w:t>
      </w:r>
      <w:r>
        <w:t xml:space="preserve">,</w:t>
      </w:r>
      <w:r>
        <w:t xml:space="preserve"> </w:t>
      </w:r>
      <w:r>
        <w:rPr>
          <w:iCs/>
          <w:i/>
        </w:rPr>
        <w:t xml:space="preserve">thana</w:t>
      </w:r>
      <w:r>
        <w:t xml:space="preserve">), here</w:t>
      </w:r>
      <w:r>
        <w:t xml:space="preserve"> </w:t>
      </w:r>
      <w:r>
        <w:rPr>
          <w:iCs/>
          <w:i/>
        </w:rPr>
        <w:t xml:space="preserve">tanap</w:t>
      </w:r>
      <w:r>
        <w:t xml:space="preserve">:</w:t>
      </w:r>
      <w:r>
        <w:t xml:space="preserve"> </w:t>
      </w:r>
      <w:r>
        <w:rPr>
          <w:iCs/>
          <w:i/>
        </w:rPr>
        <w:t xml:space="preserve">kṛnv</w:t>
      </w:r>
      <w:r>
        <w:t xml:space="preserve"> </w:t>
      </w:r>
      <w:r>
        <w:t xml:space="preserve">+</w:t>
      </w:r>
      <w:r>
        <w:t xml:space="preserve"> </w:t>
      </w:r>
      <w:r>
        <w:rPr>
          <w:iCs/>
          <w:i/>
        </w:rPr>
        <w:t xml:space="preserve">tana</w:t>
      </w:r>
      <w:r>
        <w:t xml:space="preserve">;</w:t>
      </w:r>
      <w:r>
        <w:t xml:space="preserve"> </w:t>
      </w:r>
      <w:r>
        <w:rPr>
          <w:iCs/>
          <w:i/>
        </w:rPr>
        <w:t xml:space="preserve">śap</w:t>
      </w:r>
      <w:r>
        <w:t xml:space="preserve"> </w:t>
      </w:r>
      <w:r>
        <w:t xml:space="preserve">by</w:t>
      </w:r>
      <w:r>
        <w:t xml:space="preserve"> </w:t>
      </w:r>
      <w:r>
        <w:t xml:space="preserve">“</w:t>
      </w:r>
      <w:r>
        <w:t xml:space="preserve">kartari śap</w:t>
      </w:r>
      <w:r>
        <w:t xml:space="preserve">”</w:t>
      </w:r>
      <w:r>
        <w:t xml:space="preserve"> </w:t>
      </w:r>
      <w:r>
        <w:t xml:space="preserve">would come, but</w:t>
      </w:r>
      <w:r>
        <w:t xml:space="preserve"> </w:t>
      </w:r>
      <w:r>
        <w:t xml:space="preserve">“</w:t>
      </w:r>
      <w:r>
        <w:t xml:space="preserve">dhinvikṛṇvyor a ca</w:t>
      </w:r>
      <w:r>
        <w:t xml:space="preserve">”</w:t>
      </w:r>
      <w:r>
        <w:t xml:space="preserve"> </w:t>
      </w:r>
      <w:r>
        <w:t xml:space="preserve">(Pā. sū. 3-1-80) gives</w:t>
      </w:r>
      <w:r>
        <w:t xml:space="preserve"> </w:t>
      </w:r>
      <w:r>
        <w:rPr>
          <w:iCs/>
          <w:i/>
        </w:rPr>
        <w:t xml:space="preserve">a</w:t>
      </w:r>
      <w:r>
        <w:t xml:space="preserve"> </w:t>
      </w:r>
      <w:r>
        <w:t xml:space="preserve">for the last letter of</w:t>
      </w:r>
      <w:r>
        <w:t xml:space="preserve"> </w:t>
      </w:r>
      <w:r>
        <w:rPr>
          <w:iCs/>
          <w:i/>
        </w:rPr>
        <w:t xml:space="preserve">dhinv</w:t>
      </w:r>
      <w:r>
        <w:t xml:space="preserve">,</w:t>
      </w:r>
      <w:r>
        <w:t xml:space="preserve"> </w:t>
      </w:r>
      <w:r>
        <w:rPr>
          <w:iCs/>
          <w:i/>
        </w:rPr>
        <w:t xml:space="preserve">kṛṇv</w:t>
      </w:r>
      <w:r>
        <w:t xml:space="preserve"> </w:t>
      </w:r>
      <w:r>
        <w:t xml:space="preserve">and, in the place of</w:t>
      </w:r>
      <w:r>
        <w:t xml:space="preserve"> </w:t>
      </w:r>
      <w:r>
        <w:rPr>
          <w:iCs/>
          <w:i/>
        </w:rPr>
        <w:t xml:space="preserve">śap</w:t>
      </w:r>
      <w:r>
        <w:t xml:space="preserve">, the suffix</w:t>
      </w:r>
      <w:r>
        <w:t xml:space="preserve"> </w:t>
      </w:r>
      <w:r>
        <w:rPr>
          <w:iCs/>
          <w:i/>
        </w:rPr>
        <w:t xml:space="preserve">u</w:t>
      </w:r>
      <w:r>
        <w:t xml:space="preserve">:</w:t>
      </w:r>
      <w:r>
        <w:t xml:space="preserve"> </w:t>
      </w:r>
      <w:r>
        <w:rPr>
          <w:iCs/>
          <w:i/>
        </w:rPr>
        <w:t xml:space="preserve">kṛna</w:t>
      </w:r>
      <w:r>
        <w:t xml:space="preserve"> </w:t>
      </w:r>
      <w:r>
        <w:t xml:space="preserve">+</w:t>
      </w:r>
      <w:r>
        <w:t xml:space="preserve"> </w:t>
      </w:r>
      <w:r>
        <w:rPr>
          <w:iCs/>
          <w:i/>
        </w:rPr>
        <w:t xml:space="preserve">u</w:t>
      </w:r>
      <w:r>
        <w:t xml:space="preserve"> </w:t>
      </w:r>
      <w:r>
        <w:t xml:space="preserve">+</w:t>
      </w:r>
      <w:r>
        <w:t xml:space="preserve"> </w:t>
      </w:r>
      <w:r>
        <w:rPr>
          <w:iCs/>
          <w:i/>
        </w:rPr>
        <w:t xml:space="preserve">tana</w:t>
      </w:r>
      <w:r>
        <w:t xml:space="preserve">;</w:t>
      </w:r>
      <w:r>
        <w:t xml:space="preserve"> </w:t>
      </w:r>
      <w:r>
        <w:t xml:space="preserve">“</w:t>
      </w:r>
      <w:r>
        <w:t xml:space="preserve">ato lopaḥ</w:t>
      </w:r>
      <w:r>
        <w:t xml:space="preserve">”</w:t>
      </w:r>
      <w:r>
        <w:t xml:space="preserve"> </w:t>
      </w:r>
      <w:r>
        <w:t xml:space="preserve">(Pā. sū. 6-4-48) drops the</w:t>
      </w:r>
      <w:r>
        <w:t xml:space="preserve"> </w:t>
      </w:r>
      <w:r>
        <w:rPr>
          <w:iCs/>
          <w:i/>
        </w:rPr>
        <w:t xml:space="preserve">a</w:t>
      </w:r>
      <w:r>
        <w:t xml:space="preserve"> </w:t>
      </w:r>
      <w:r>
        <w:t xml:space="preserve">of what ends in</w:t>
      </w:r>
      <w:r>
        <w:t xml:space="preserve"> </w:t>
      </w:r>
      <w:r>
        <w:rPr>
          <w:iCs/>
          <w:i/>
        </w:rPr>
        <w:t xml:space="preserve">a</w:t>
      </w:r>
      <w:r>
        <w:t xml:space="preserve"> </w:t>
      </w:r>
      <w:r>
        <w:t xml:space="preserve">at the time the</w:t>
      </w:r>
      <w:r>
        <w:t xml:space="preserve"> </w:t>
      </w:r>
      <w:r>
        <w:rPr>
          <w:iCs/>
          <w:i/>
        </w:rPr>
        <w:t xml:space="preserve">ārdhadhātuka</w:t>
      </w:r>
      <w:r>
        <w:t xml:space="preserve"> </w:t>
      </w:r>
      <w:r>
        <w:t xml:space="preserve">suffix is taught,</w:t>
      </w:r>
    </w:p>
    <w:bookmarkEnd w:id="617"/>
    <w:bookmarkStart w:id="618" w:name="page-582-rik-12-grammar-continued"/>
    <w:p>
      <w:pPr>
        <w:pStyle w:val="Heading3"/>
      </w:pPr>
      <w:r>
        <w:t xml:space="preserve">Page 582 — Rik 12: grammar (continued)</w:t>
      </w:r>
    </w:p>
    <w:p>
      <w:pPr>
        <w:pStyle w:val="FirstParagraph"/>
      </w:pPr>
      <w:r>
        <w:t xml:space="preserve">so the</w:t>
      </w:r>
      <w:r>
        <w:t xml:space="preserve"> </w:t>
      </w:r>
      <w:r>
        <w:rPr>
          <w:iCs/>
          <w:i/>
        </w:rPr>
        <w:t xml:space="preserve">a</w:t>
      </w:r>
      <w:r>
        <w:t xml:space="preserve"> </w:t>
      </w:r>
      <w:r>
        <w:t xml:space="preserve">of</w:t>
      </w:r>
      <w:r>
        <w:t xml:space="preserve"> </w:t>
      </w:r>
      <w:r>
        <w:rPr>
          <w:iCs/>
          <w:i/>
        </w:rPr>
        <w:t xml:space="preserve">kṛna</w:t>
      </w:r>
      <w:r>
        <w:t xml:space="preserve"> </w:t>
      </w:r>
      <w:r>
        <w:t xml:space="preserve">drops; for this loss</w:t>
      </w:r>
      <w:r>
        <w:t xml:space="preserve"> </w:t>
      </w:r>
      <w:r>
        <w:t xml:space="preserve">“</w:t>
      </w:r>
      <w:r>
        <w:t xml:space="preserve">acaḥ parasmin pūrvavidhau</w:t>
      </w:r>
      <w:r>
        <w:t xml:space="preserve">”</w:t>
      </w:r>
      <w:r>
        <w:t xml:space="preserve"> </w:t>
      </w:r>
      <w:r>
        <w:t xml:space="preserve">(Pā. sū. 1-1-57) gives</w:t>
      </w:r>
      <w:r>
        <w:t xml:space="preserve"> </w:t>
      </w:r>
      <w:r>
        <w:rPr>
          <w:iCs/>
          <w:i/>
        </w:rPr>
        <w:t xml:space="preserve">sthānivadbhāva</w:t>
      </w:r>
      <w:r>
        <w:t xml:space="preserve">, so the</w:t>
      </w:r>
      <w:r>
        <w:t xml:space="preserve"> </w:t>
      </w:r>
      <w:r>
        <w:rPr>
          <w:iCs/>
          <w:i/>
        </w:rPr>
        <w:t xml:space="preserve">ṛ</w:t>
      </w:r>
      <w:r>
        <w:t xml:space="preserve"> </w:t>
      </w:r>
      <w:r>
        <w:t xml:space="preserve">gets no</w:t>
      </w:r>
      <w:r>
        <w:t xml:space="preserve"> </w:t>
      </w:r>
      <w:r>
        <w:rPr>
          <w:iCs/>
          <w:i/>
        </w:rPr>
        <w:t xml:space="preserve">laghūpadha-guṇa</w:t>
      </w:r>
      <w:r>
        <w:t xml:space="preserve">.</w:t>
      </w:r>
      <w:r>
        <w:t xml:space="preserve"> </w:t>
      </w:r>
      <w:r>
        <w:rPr>
          <w:iCs/>
          <w:i/>
        </w:rPr>
        <w:t xml:space="preserve">Tanap</w:t>
      </w:r>
      <w:r>
        <w:t xml:space="preserve"> </w:t>
      </w:r>
      <w:r>
        <w:t xml:space="preserve">is</w:t>
      </w:r>
      <w:r>
        <w:t xml:space="preserve"> </w:t>
      </w:r>
      <w:r>
        <w:rPr>
          <w:iCs/>
          <w:i/>
        </w:rPr>
        <w:t xml:space="preserve">pit</w:t>
      </w:r>
      <w:r>
        <w:t xml:space="preserve">, so by the exclusion</w:t>
      </w:r>
      <w:r>
        <w:t xml:space="preserve"> </w:t>
      </w:r>
      <w:r>
        <w:rPr>
          <w:iCs/>
          <w:i/>
        </w:rPr>
        <w:t xml:space="preserve">apit</w:t>
      </w:r>
      <w:r>
        <w:t xml:space="preserve"> </w:t>
      </w:r>
      <w:r>
        <w:t xml:space="preserve">in</w:t>
      </w:r>
      <w:r>
        <w:t xml:space="preserve"> </w:t>
      </w:r>
      <w:r>
        <w:t xml:space="preserve">“</w:t>
      </w:r>
      <w:r>
        <w:t xml:space="preserve">sārvadhātukam apit</w:t>
      </w:r>
      <w:r>
        <w:t xml:space="preserve">”</w:t>
      </w:r>
      <w:r>
        <w:t xml:space="preserve"> </w:t>
      </w:r>
      <w:r>
        <w:t xml:space="preserve">(Pā. sū. 1-2-4) it does not become</w:t>
      </w:r>
      <w:r>
        <w:t xml:space="preserve"> </w:t>
      </w:r>
      <w:r>
        <w:rPr>
          <w:iCs/>
          <w:i/>
        </w:rPr>
        <w:t xml:space="preserve">ṅit</w:t>
      </w:r>
      <w:r>
        <w:t xml:space="preserve">, and</w:t>
      </w:r>
      <w:r>
        <w:t xml:space="preserve"> </w:t>
      </w:r>
      <w:r>
        <w:t xml:space="preserve">“</w:t>
      </w:r>
      <w:r>
        <w:t xml:space="preserve">kṅiti ca</w:t>
      </w:r>
      <w:r>
        <w:t xml:space="preserve">”</w:t>
      </w:r>
      <w:r>
        <w:t xml:space="preserve"> </w:t>
      </w:r>
      <w:r>
        <w:t xml:space="preserve">(Pā. sū. 1-1-5) does not bar the</w:t>
      </w:r>
      <w:r>
        <w:t xml:space="preserve"> </w:t>
      </w:r>
      <w:r>
        <w:rPr>
          <w:iCs/>
          <w:i/>
        </w:rPr>
        <w:t xml:space="preserve">guṇa</w:t>
      </w:r>
      <w:r>
        <w:t xml:space="preserve">; by</w:t>
      </w:r>
      <w:r>
        <w:t xml:space="preserve"> </w:t>
      </w:r>
      <w:r>
        <w:t xml:space="preserve">“</w:t>
      </w:r>
      <w:r>
        <w:t xml:space="preserve">sārvadhātukārdhadhātukayoḥ</w:t>
      </w:r>
      <w:r>
        <w:t xml:space="preserve">”</w:t>
      </w:r>
      <w:r>
        <w:t xml:space="preserve"> </w:t>
      </w:r>
      <w:r>
        <w:t xml:space="preserve">(Pā. sū. 7-3-84) the</w:t>
      </w:r>
      <w:r>
        <w:t xml:space="preserve"> </w:t>
      </w:r>
      <w:r>
        <w:rPr>
          <w:iCs/>
          <w:i/>
        </w:rPr>
        <w:t xml:space="preserve">u</w:t>
      </w:r>
      <w:r>
        <w:t xml:space="preserve"> </w:t>
      </w:r>
      <w:r>
        <w:t xml:space="preserve">takes</w:t>
      </w:r>
      <w:r>
        <w:t xml:space="preserve"> </w:t>
      </w:r>
      <w:r>
        <w:rPr>
          <w:iCs/>
          <w:i/>
        </w:rPr>
        <w:t xml:space="preserve">guṇa</w:t>
      </w:r>
      <w:r>
        <w:t xml:space="preserve">,</w:t>
      </w:r>
      <w:r>
        <w:t xml:space="preserve"> </w:t>
      </w:r>
      <w:r>
        <w:rPr>
          <w:iCs/>
          <w:i/>
        </w:rPr>
        <w:t xml:space="preserve">o</w:t>
      </w:r>
      <w:r>
        <w:t xml:space="preserve">;</w:t>
      </w:r>
      <w:r>
        <w:t xml:space="preserve"> </w:t>
      </w:r>
      <w:r>
        <w:rPr>
          <w:iCs/>
          <w:i/>
        </w:rPr>
        <w:t xml:space="preserve">ṇ</w:t>
      </w:r>
      <w:r>
        <w:t xml:space="preserve"> </w:t>
      </w:r>
      <w:r>
        <w:t xml:space="preserve">for</w:t>
      </w:r>
      <w:r>
        <w:t xml:space="preserve"> </w:t>
      </w:r>
      <w:r>
        <w:rPr>
          <w:iCs/>
          <w:i/>
        </w:rPr>
        <w:t xml:space="preserve">n</w:t>
      </w:r>
      <w:r>
        <w:t xml:space="preserve"> </w:t>
      </w:r>
      <w:r>
        <w:t xml:space="preserve">by</w:t>
      </w:r>
      <w:r>
        <w:t xml:space="preserve"> </w:t>
      </w:r>
      <w:r>
        <w:t xml:space="preserve">“</w:t>
      </w:r>
      <w:r>
        <w:t xml:space="preserve">ṛvarṇān nasya ṇatvaṃ vaktavyam</w:t>
      </w:r>
      <w:r>
        <w:t xml:space="preserve">”</w:t>
      </w:r>
      <w:r>
        <w:t xml:space="preserve"> </w:t>
      </w:r>
      <w:r>
        <w:t xml:space="preserve">(Pā. sū. 8-4-1-1):</w:t>
      </w:r>
      <w:r>
        <w:t xml:space="preserve"> </w:t>
      </w:r>
      <w:r>
        <w:rPr>
          <w:iCs/>
          <w:i/>
        </w:rPr>
        <w:t xml:space="preserve">kṛṇotana</w:t>
      </w:r>
      <w:r>
        <w:t xml:space="preserve">; wholly unaccented by</w:t>
      </w:r>
      <w:r>
        <w:t xml:space="preserve"> </w:t>
      </w:r>
      <w:r>
        <w:t xml:space="preserve">“</w:t>
      </w:r>
      <w:r>
        <w:t xml:space="preserve">tiṅṅatiṅaḥ</w:t>
      </w:r>
      <w:r>
        <w:t xml:space="preserve">”</w:t>
      </w:r>
      <w:r>
        <w:t xml:space="preserve">.</w:t>
      </w:r>
      <w:r>
        <w:t xml:space="preserve"> </w:t>
      </w:r>
      <w:r>
        <w:rPr>
          <w:bCs/>
          <w:b/>
        </w:rPr>
        <w:t xml:space="preserve">इन्द्राय (</w:t>
      </w:r>
      <w:r>
        <w:rPr>
          <w:iCs/>
          <w:i/>
          <w:bCs/>
          <w:b/>
        </w:rPr>
        <w:t xml:space="preserve">indrāya</w:t>
      </w:r>
      <w:r>
        <w:rPr>
          <w:bCs/>
          <w:b/>
        </w:rPr>
        <w:t xml:space="preserve">)</w:t>
      </w:r>
      <w:r>
        <w:t xml:space="preserve">:</w:t>
      </w:r>
      <w:r>
        <w:t xml:space="preserve"> </w:t>
      </w:r>
      <w:r>
        <w:rPr>
          <w:iCs/>
          <w:i/>
        </w:rPr>
        <w:t xml:space="preserve">idi paramaiśvarye</w:t>
      </w:r>
      <w:r>
        <w:t xml:space="preserve">,</w:t>
      </w:r>
      <w:r>
        <w:t xml:space="preserve"> </w:t>
      </w:r>
      <w:r>
        <w:rPr>
          <w:iCs/>
          <w:i/>
        </w:rPr>
        <w:t xml:space="preserve">num</w:t>
      </w:r>
      <w:r>
        <w:t xml:space="preserve">;</w:t>
      </w:r>
      <w:r>
        <w:t xml:space="preserve"> </w:t>
      </w:r>
      <w:r>
        <w:rPr>
          <w:iCs/>
          <w:i/>
        </w:rPr>
        <w:t xml:space="preserve">ran</w:t>
      </w:r>
      <w:r>
        <w:t xml:space="preserve"> </w:t>
      </w:r>
      <w:r>
        <w:t xml:space="preserve">by</w:t>
      </w:r>
      <w:r>
        <w:t xml:space="preserve"> </w:t>
      </w:r>
      <w:r>
        <w:t xml:space="preserve">“</w:t>
      </w:r>
      <w:r>
        <w:t xml:space="preserve">ṛjrendrāgra…</w:t>
      </w:r>
      <w:r>
        <w:t xml:space="preserve">”</w:t>
      </w:r>
      <w:r>
        <w:t xml:space="preserve"> </w:t>
      </w:r>
      <w:r>
        <w:t xml:space="preserve">(Uṇ. sū. 2-186); the suffix is</w:t>
      </w:r>
      <w:r>
        <w:t xml:space="preserve"> </w:t>
      </w:r>
      <w:r>
        <w:rPr>
          <w:iCs/>
          <w:i/>
        </w:rPr>
        <w:t xml:space="preserve">nit</w:t>
      </w:r>
      <w:r>
        <w:t xml:space="preserve">, so by</w:t>
      </w:r>
      <w:r>
        <w:t xml:space="preserve"> </w:t>
      </w:r>
      <w:r>
        <w:t xml:space="preserve">“</w:t>
      </w:r>
      <w:r>
        <w:t xml:space="preserve">ñnityādir nityam</w:t>
      </w:r>
      <w:r>
        <w:t xml:space="preserve">”</w:t>
      </w:r>
      <w:r>
        <w:t xml:space="preserve"> </w:t>
      </w:r>
      <w:r>
        <w:t xml:space="preserve">(Pā. sū. 6-1-197)</w:t>
      </w:r>
      <w:r>
        <w:t xml:space="preserve"> </w:t>
      </w:r>
      <w:r>
        <w:rPr>
          <w:iCs/>
          <w:i/>
        </w:rPr>
        <w:t xml:space="preserve">indra</w:t>
      </w:r>
      <w:r>
        <w:t xml:space="preserve"> </w:t>
      </w:r>
      <w:r>
        <w:t xml:space="preserve">is initial udātta.</w:t>
      </w:r>
      <w:r>
        <w:t xml:space="preserve"> </w:t>
      </w:r>
      <w:r>
        <w:rPr>
          <w:bCs/>
          <w:b/>
        </w:rPr>
        <w:t xml:space="preserve">यज्वनः (</w:t>
      </w:r>
      <w:r>
        <w:rPr>
          <w:iCs/>
          <w:i/>
          <w:bCs/>
          <w:b/>
        </w:rPr>
        <w:t xml:space="preserve">yajvanaḥ</w:t>
      </w:r>
      <w:r>
        <w:rPr>
          <w:bCs/>
          <w:b/>
        </w:rPr>
        <w:t xml:space="preserve">)</w:t>
      </w:r>
      <w:r>
        <w:t xml:space="preserve">:</w:t>
      </w:r>
      <w:r>
        <w:t xml:space="preserve"> </w:t>
      </w:r>
      <w:r>
        <w:rPr>
          <w:iCs/>
          <w:i/>
        </w:rPr>
        <w:t xml:space="preserve">yaja devapūjāsaṅgatikaraṇadāneṣu</w:t>
      </w:r>
      <w:r>
        <w:t xml:space="preserve">;</w:t>
      </w:r>
      <w:r>
        <w:t xml:space="preserve"> </w:t>
      </w:r>
      <w:r>
        <w:t xml:space="preserve">“</w:t>
      </w:r>
      <w:r>
        <w:t xml:space="preserve">suyajor ṅvanip</w:t>
      </w:r>
      <w:r>
        <w:t xml:space="preserve">”</w:t>
      </w:r>
      <w:r>
        <w:t xml:space="preserve"> </w:t>
      </w:r>
      <w:r>
        <w:t xml:space="preserve">(Pā. sū. 3-2-103): after</w:t>
      </w:r>
      <w:r>
        <w:t xml:space="preserve"> </w:t>
      </w:r>
      <w:r>
        <w:rPr>
          <w:iCs/>
          <w:i/>
        </w:rPr>
        <w:t xml:space="preserve">ṣuñ abhiṣave</w:t>
      </w:r>
      <w:r>
        <w:t xml:space="preserve"> </w:t>
      </w:r>
      <w:r>
        <w:t xml:space="preserve">and</w:t>
      </w:r>
      <w:r>
        <w:t xml:space="preserve"> </w:t>
      </w:r>
      <w:r>
        <w:rPr>
          <w:iCs/>
          <w:i/>
        </w:rPr>
        <w:t xml:space="preserve">yaja devapūjādau</w:t>
      </w:r>
      <w:r>
        <w:t xml:space="preserve">,</w:t>
      </w:r>
      <w:r>
        <w:t xml:space="preserve"> </w:t>
      </w:r>
      <w:r>
        <w:rPr>
          <w:iCs/>
          <w:i/>
        </w:rPr>
        <w:t xml:space="preserve">ṅvanip</w:t>
      </w:r>
      <w:r>
        <w:t xml:space="preserve"> </w:t>
      </w:r>
      <w:r>
        <w:t xml:space="preserve">in the past sense;</w:t>
      </w:r>
      <w:r>
        <w:t xml:space="preserve"> </w:t>
      </w:r>
      <w:r>
        <w:rPr>
          <w:iCs/>
          <w:i/>
        </w:rPr>
        <w:t xml:space="preserve">van</w:t>
      </w:r>
      <w:r>
        <w:t xml:space="preserve"> </w:t>
      </w:r>
      <w:r>
        <w:t xml:space="preserve">remains;</w:t>
      </w:r>
      <w:r>
        <w:t xml:space="preserve"> </w:t>
      </w:r>
      <w:r>
        <w:rPr>
          <w:iCs/>
          <w:i/>
        </w:rPr>
        <w:t xml:space="preserve">yajvan</w:t>
      </w:r>
      <w:r>
        <w:t xml:space="preserve"> </w:t>
      </w:r>
      <w:r>
        <w:t xml:space="preserve">+</w:t>
      </w:r>
      <w:r>
        <w:t xml:space="preserve"> </w:t>
      </w:r>
      <w:r>
        <w:rPr>
          <w:iCs/>
          <w:i/>
        </w:rPr>
        <w:t xml:space="preserve">as</w:t>
      </w:r>
      <w:r>
        <w:t xml:space="preserve"> </w:t>
      </w:r>
      <w:r>
        <w:t xml:space="preserve">(genitive singular,</w:t>
      </w:r>
      <w:r>
        <w:t xml:space="preserve"> </w:t>
      </w:r>
      <w:r>
        <w:t xml:space="preserve">“</w:t>
      </w:r>
      <w:r>
        <w:t xml:space="preserve">jas</w:t>
      </w:r>
      <w:r>
        <w:t xml:space="preserve">”</w:t>
      </w:r>
      <w:r>
        <w:t xml:space="preserve"> </w:t>
      </w:r>
      <w:r>
        <w:t xml:space="preserve">[as printed, for</w:t>
      </w:r>
      <w:r>
        <w:t xml:space="preserve"> </w:t>
      </w:r>
      <w:r>
        <w:rPr>
          <w:iCs/>
          <w:i/>
        </w:rPr>
        <w:t xml:space="preserve">ṅas</w:t>
      </w:r>
      <w:r>
        <w:t xml:space="preserve">]);</w:t>
      </w:r>
      <w:r>
        <w:t xml:space="preserve"> </w:t>
      </w:r>
      <w:r>
        <w:rPr>
          <w:iCs/>
          <w:i/>
        </w:rPr>
        <w:t xml:space="preserve">bha</w:t>
      </w:r>
      <w:r>
        <w:t xml:space="preserve"> </w:t>
      </w:r>
      <w:r>
        <w:t xml:space="preserve">by</w:t>
      </w:r>
      <w:r>
        <w:t xml:space="preserve"> </w:t>
      </w:r>
      <w:r>
        <w:t xml:space="preserve">“</w:t>
      </w:r>
      <w:r>
        <w:t xml:space="preserve">yaci bham</w:t>
      </w:r>
      <w:r>
        <w:t xml:space="preserve">”</w:t>
      </w:r>
      <w:r>
        <w:t xml:space="preserve"> </w:t>
      </w:r>
      <w:r>
        <w:t xml:space="preserve">(Pā. sū. 1-4-18); so</w:t>
      </w:r>
      <w:r>
        <w:t xml:space="preserve"> </w:t>
      </w:r>
      <w:r>
        <w:t xml:space="preserve">“</w:t>
      </w:r>
      <w:r>
        <w:t xml:space="preserve">allopo ’naḥ</w:t>
      </w:r>
      <w:r>
        <w:t xml:space="preserve">”</w:t>
      </w:r>
      <w:r>
        <w:t xml:space="preserve"> </w:t>
      </w:r>
      <w:r>
        <w:t xml:space="preserve">(Pā. sū. 6-4-134) would drop the</w:t>
      </w:r>
      <w:r>
        <w:t xml:space="preserve"> </w:t>
      </w:r>
      <w:r>
        <w:rPr>
          <w:iCs/>
          <w:i/>
        </w:rPr>
        <w:t xml:space="preserve">a</w:t>
      </w:r>
      <w:r>
        <w:t xml:space="preserve"> </w:t>
      </w:r>
      <w:r>
        <w:t xml:space="preserve">of an</w:t>
      </w:r>
      <w:r>
        <w:t xml:space="preserve"> </w:t>
      </w:r>
      <w:r>
        <w:rPr>
          <w:iCs/>
          <w:i/>
        </w:rPr>
        <w:t xml:space="preserve">an</w:t>
      </w:r>
      <w:r>
        <w:t xml:space="preserve"> </w:t>
      </w:r>
      <w:r>
        <w:t xml:space="preserve">that is part of the stem before a vowel- or</w:t>
      </w:r>
      <w:r>
        <w:t xml:space="preserve"> </w:t>
      </w:r>
      <w:r>
        <w:rPr>
          <w:iCs/>
          <w:i/>
        </w:rPr>
        <w:t xml:space="preserve">y</w:t>
      </w:r>
      <w:r>
        <w:t xml:space="preserve">-initial ending other than the</w:t>
      </w:r>
      <w:r>
        <w:t xml:space="preserve"> </w:t>
      </w:r>
      <w:r>
        <w:rPr>
          <w:iCs/>
          <w:i/>
        </w:rPr>
        <w:t xml:space="preserve">sarvanāmasthāna</w:t>
      </w:r>
      <w:r>
        <w:t xml:space="preserve">, but</w:t>
      </w:r>
      <w:r>
        <w:t xml:space="preserve"> </w:t>
      </w:r>
      <w:r>
        <w:t xml:space="preserve">“</w:t>
      </w:r>
      <w:r>
        <w:t xml:space="preserve">na saṃyogād vamantāt</w:t>
      </w:r>
      <w:r>
        <w:t xml:space="preserve">”</w:t>
      </w:r>
      <w:r>
        <w:t xml:space="preserve"> </w:t>
      </w:r>
      <w:r>
        <w:t xml:space="preserve">(Pā. sū. 6-4-137) bars the loss of the</w:t>
      </w:r>
      <w:r>
        <w:t xml:space="preserve"> </w:t>
      </w:r>
      <w:r>
        <w:rPr>
          <w:iCs/>
          <w:i/>
        </w:rPr>
        <w:t xml:space="preserve">a</w:t>
      </w:r>
      <w:r>
        <w:t xml:space="preserve"> </w:t>
      </w:r>
      <w:r>
        <w:t xml:space="preserve">of</w:t>
      </w:r>
      <w:r>
        <w:t xml:space="preserve"> </w:t>
      </w:r>
      <w:r>
        <w:rPr>
          <w:iCs/>
          <w:i/>
        </w:rPr>
        <w:t xml:space="preserve">an</w:t>
      </w:r>
      <w:r>
        <w:t xml:space="preserve"> </w:t>
      </w:r>
      <w:r>
        <w:t xml:space="preserve">after a conjunct ending in</w:t>
      </w:r>
      <w:r>
        <w:t xml:space="preserve"> </w:t>
      </w:r>
      <w:r>
        <w:rPr>
          <w:iCs/>
          <w:i/>
        </w:rPr>
        <w:t xml:space="preserve">v</w:t>
      </w:r>
      <w:r>
        <w:t xml:space="preserve"> </w:t>
      </w:r>
      <w:r>
        <w:t xml:space="preserve">or</w:t>
      </w:r>
      <w:r>
        <w:t xml:space="preserve"> </w:t>
      </w:r>
      <w:r>
        <w:rPr>
          <w:iCs/>
          <w:i/>
        </w:rPr>
        <w:t xml:space="preserve">m</w:t>
      </w:r>
      <w:r>
        <w:t xml:space="preserve">, so after</w:t>
      </w:r>
      <w:r>
        <w:t xml:space="preserve"> </w:t>
      </w:r>
      <w:r>
        <w:rPr>
          <w:iCs/>
          <w:i/>
        </w:rPr>
        <w:t xml:space="preserve">jv</w:t>
      </w:r>
      <w:r>
        <w:t xml:space="preserve"> </w:t>
      </w:r>
      <w:r>
        <w:t xml:space="preserve">it does not drop.</w:t>
      </w:r>
      <w:r>
        <w:t xml:space="preserve"> </w:t>
      </w:r>
      <w:r>
        <w:rPr>
          <w:bCs/>
          <w:b/>
        </w:rPr>
        <w:t xml:space="preserve">गृहे (</w:t>
      </w:r>
      <w:r>
        <w:rPr>
          <w:iCs/>
          <w:i/>
          <w:bCs/>
          <w:b/>
        </w:rPr>
        <w:t xml:space="preserve">gṛhe</w:t>
      </w:r>
      <w:r>
        <w:rPr>
          <w:bCs/>
          <w:b/>
        </w:rPr>
        <w:t xml:space="preserve">)</w:t>
      </w:r>
      <w:r>
        <w:t xml:space="preserve">:</w:t>
      </w:r>
      <w:r>
        <w:t xml:space="preserve"> </w:t>
      </w:r>
      <w:r>
        <w:rPr>
          <w:iCs/>
          <w:i/>
        </w:rPr>
        <w:t xml:space="preserve">ka</w:t>
      </w:r>
      <w:r>
        <w:t xml:space="preserve"> </w:t>
      </w:r>
      <w:r>
        <w:t xml:space="preserve">by</w:t>
      </w:r>
      <w:r>
        <w:t xml:space="preserve"> </w:t>
      </w:r>
      <w:r>
        <w:t xml:space="preserve">“</w:t>
      </w:r>
      <w:r>
        <w:t xml:space="preserve">gehe kaḥ</w:t>
      </w:r>
      <w:r>
        <w:t xml:space="preserve">”</w:t>
      </w:r>
      <w:r>
        <w:t xml:space="preserve"> </w:t>
      </w:r>
      <w:r>
        <w:t xml:space="preserve">(Pā. sū. 3-1-144); the</w:t>
      </w:r>
      <w:r>
        <w:t xml:space="preserve"> </w:t>
      </w:r>
      <w:r>
        <w:rPr>
          <w:iCs/>
          <w:i/>
        </w:rPr>
        <w:t xml:space="preserve">k</w:t>
      </w:r>
      <w:r>
        <w:t xml:space="preserve"> </w:t>
      </w:r>
      <w:r>
        <w:t xml:space="preserve">is</w:t>
      </w:r>
      <w:r>
        <w:t xml:space="preserve"> </w:t>
      </w:r>
      <w:r>
        <w:rPr>
          <w:iCs/>
          <w:i/>
        </w:rPr>
        <w:t xml:space="preserve">it</w:t>
      </w:r>
      <w:r>
        <w:t xml:space="preserve"> </w:t>
      </w:r>
      <w:r>
        <w:t xml:space="preserve">by</w:t>
      </w:r>
      <w:r>
        <w:t xml:space="preserve"> </w:t>
      </w:r>
      <w:r>
        <w:t xml:space="preserve">“</w:t>
      </w:r>
      <w:r>
        <w:t xml:space="preserve">laśakvataddhite</w:t>
      </w:r>
      <w:r>
        <w:t xml:space="preserve">”</w:t>
      </w:r>
      <w:r>
        <w:t xml:space="preserve"> </w:t>
      </w:r>
      <w:r>
        <w:t xml:space="preserve">(Pā. sū. 1-3-8) and drops by</w:t>
      </w:r>
      <w:r>
        <w:t xml:space="preserve"> </w:t>
      </w:r>
      <w:r>
        <w:t xml:space="preserve">“</w:t>
      </w:r>
      <w:r>
        <w:t xml:space="preserve">tasya lopaḥ</w:t>
      </w:r>
      <w:r>
        <w:t xml:space="preserve">”</w:t>
      </w:r>
      <w:r>
        <w:t xml:space="preserve">;</w:t>
      </w:r>
      <w:r>
        <w:t xml:space="preserve"> </w:t>
      </w:r>
      <w:r>
        <w:t xml:space="preserve">“</w:t>
      </w:r>
      <w:r>
        <w:t xml:space="preserve">grahijyāvayivyadhivaṣṭivicativṛścatipṛcchatibhṛjjatīnāṃ ṅiti ca</w:t>
      </w:r>
      <w:r>
        <w:t xml:space="preserve">”</w:t>
      </w:r>
      <w:r>
        <w:t xml:space="preserve"> </w:t>
      </w:r>
      <w:r>
        <w:t xml:space="preserve">(Pā. sū. 6-1-16) gives</w:t>
      </w:r>
      <w:r>
        <w:t xml:space="preserve"> </w:t>
      </w:r>
      <w:r>
        <w:rPr>
          <w:iCs/>
          <w:i/>
        </w:rPr>
        <w:t xml:space="preserve">saṃprasāraṇa</w:t>
      </w:r>
      <w:r>
        <w:t xml:space="preserve">,</w:t>
      </w:r>
      <w:r>
        <w:t xml:space="preserve"> </w:t>
      </w:r>
      <w:r>
        <w:rPr>
          <w:iCs/>
          <w:i/>
        </w:rPr>
        <w:t xml:space="preserve">ṛ</w:t>
      </w:r>
      <w:r>
        <w:t xml:space="preserve"> </w:t>
      </w:r>
      <w:r>
        <w:t xml:space="preserve">for the</w:t>
      </w:r>
      <w:r>
        <w:t xml:space="preserve"> </w:t>
      </w:r>
      <w:r>
        <w:rPr>
          <w:iCs/>
          <w:i/>
        </w:rPr>
        <w:t xml:space="preserve">r</w:t>
      </w:r>
      <w:r>
        <w:t xml:space="preserve">; by</w:t>
      </w:r>
      <w:r>
        <w:t xml:space="preserve"> </w:t>
      </w:r>
      <w:r>
        <w:t xml:space="preserve">“</w:t>
      </w:r>
      <w:r>
        <w:t xml:space="preserve">igyaṇaḥ saṃprasāraṇam</w:t>
      </w:r>
      <w:r>
        <w:t xml:space="preserve">”</w:t>
      </w:r>
      <w:r>
        <w:t xml:space="preserve"> </w:t>
      </w:r>
      <w:r>
        <w:t xml:space="preserve">(Pā. sū. 1-1-45)</w:t>
      </w:r>
      <w:r>
        <w:t xml:space="preserve"> </w:t>
      </w:r>
      <w:r>
        <w:rPr>
          <w:iCs/>
          <w:i/>
        </w:rPr>
        <w:t xml:space="preserve">i, u, ṛ, ḷ</w:t>
      </w:r>
      <w:r>
        <w:t xml:space="preserve"> </w:t>
      </w:r>
      <w:r>
        <w:t xml:space="preserve">in place of</w:t>
      </w:r>
      <w:r>
        <w:t xml:space="preserve"> </w:t>
      </w:r>
      <w:r>
        <w:rPr>
          <w:iCs/>
          <w:i/>
        </w:rPr>
        <w:t xml:space="preserve">y, v, r, l</w:t>
      </w:r>
      <w:r>
        <w:t xml:space="preserve"> </w:t>
      </w:r>
      <w:r>
        <w:t xml:space="preserve">are called</w:t>
      </w:r>
      <w:r>
        <w:t xml:space="preserve"> </w:t>
      </w:r>
      <w:r>
        <w:rPr>
          <w:iCs/>
          <w:i/>
        </w:rPr>
        <w:t xml:space="preserve">saṃprasāraṇa</w:t>
      </w:r>
      <w:r>
        <w:t xml:space="preserve">;</w:t>
      </w:r>
      <w:r>
        <w:t xml:space="preserve"> </w:t>
      </w:r>
      <w:r>
        <w:t xml:space="preserve">“</w:t>
      </w:r>
      <w:r>
        <w:t xml:space="preserve">saṃprasāraṇāc ca</w:t>
      </w:r>
      <w:r>
        <w:t xml:space="preserve">”</w:t>
      </w:r>
      <w:r>
        <w:t xml:space="preserve"> </w:t>
      </w:r>
      <w:r>
        <w:t xml:space="preserve">(Pā. sū. 6-1-108) gives</w:t>
      </w:r>
      <w:r>
        <w:t xml:space="preserve"> </w:t>
      </w:r>
      <w:r>
        <w:rPr>
          <w:iCs/>
          <w:i/>
        </w:rPr>
        <w:t xml:space="preserve">pūrvarūpa</w:t>
      </w:r>
      <w:r>
        <w:t xml:space="preserve"> </w:t>
      </w:r>
      <w:r>
        <w:t xml:space="preserve">of</w:t>
      </w:r>
      <w:r>
        <w:t xml:space="preserve"> </w:t>
      </w:r>
      <w:r>
        <w:rPr>
          <w:iCs/>
          <w:i/>
        </w:rPr>
        <w:t xml:space="preserve">ṛ</w:t>
      </w:r>
      <w:r>
        <w:t xml:space="preserve"> </w:t>
      </w:r>
      <w:r>
        <w:t xml:space="preserve">and</w:t>
      </w:r>
      <w:r>
        <w:t xml:space="preserve"> </w:t>
      </w:r>
      <w:r>
        <w:rPr>
          <w:iCs/>
          <w:i/>
        </w:rPr>
        <w:t xml:space="preserve">a</w:t>
      </w:r>
      <w:r>
        <w:t xml:space="preserve">:</w:t>
      </w:r>
      <w:r>
        <w:t xml:space="preserve"> </w:t>
      </w:r>
      <w:r>
        <w:rPr>
          <w:iCs/>
          <w:i/>
        </w:rPr>
        <w:t xml:space="preserve">gṛha</w:t>
      </w:r>
      <w:r>
        <w:t xml:space="preserve">, locative singular</w:t>
      </w:r>
      <w:r>
        <w:t xml:space="preserve"> </w:t>
      </w:r>
      <w:r>
        <w:rPr>
          <w:iCs/>
          <w:i/>
        </w:rPr>
        <w:t xml:space="preserve">gṛhe</w:t>
      </w:r>
      <w:r>
        <w:t xml:space="preserve">; the accent of the suffix</w:t>
      </w:r>
      <w:r>
        <w:t xml:space="preserve"> </w:t>
      </w:r>
      <w:r>
        <w:rPr>
          <w:iCs/>
          <w:i/>
        </w:rPr>
        <w:t xml:space="preserve">ka</w:t>
      </w:r>
      <w:r>
        <w:t xml:space="preserve">.</w:t>
      </w:r>
      <w:r>
        <w:t xml:space="preserve"> </w:t>
      </w:r>
      <w:r>
        <w:rPr>
          <w:bCs/>
          <w:b/>
        </w:rPr>
        <w:t xml:space="preserve">तत्र (</w:t>
      </w:r>
      <w:r>
        <w:rPr>
          <w:iCs/>
          <w:i/>
          <w:bCs/>
          <w:b/>
        </w:rPr>
        <w:t xml:space="preserve">tatra</w:t>
      </w:r>
      <w:r>
        <w:rPr>
          <w:bCs/>
          <w:b/>
        </w:rPr>
        <w:t xml:space="preserve">)</w:t>
      </w:r>
      <w:r>
        <w:t xml:space="preserve">:</w:t>
      </w:r>
      <w:r>
        <w:t xml:space="preserve"> </w:t>
      </w:r>
      <w:r>
        <w:t xml:space="preserve">“</w:t>
      </w:r>
      <w:r>
        <w:t xml:space="preserve">saptamyās tral</w:t>
      </w:r>
      <w:r>
        <w:t xml:space="preserve">”</w:t>
      </w:r>
      <w:r>
        <w:t xml:space="preserve"> </w:t>
      </w:r>
      <w:r>
        <w:t xml:space="preserve">(Pā. sū. 5-3-10):</w:t>
      </w:r>
      <w:r>
        <w:t xml:space="preserve"> </w:t>
      </w:r>
      <w:r>
        <w:rPr>
          <w:iCs/>
          <w:i/>
        </w:rPr>
        <w:t xml:space="preserve">tral</w:t>
      </w:r>
      <w:r>
        <w:t xml:space="preserve"> </w:t>
      </w:r>
      <w:r>
        <w:t xml:space="preserve">after</w:t>
      </w:r>
      <w:r>
        <w:t xml:space="preserve"> </w:t>
      </w:r>
      <w:r>
        <w:rPr>
          <w:iCs/>
          <w:i/>
        </w:rPr>
        <w:t xml:space="preserve">tad</w:t>
      </w:r>
      <w:r>
        <w:t xml:space="preserve"> </w:t>
      </w:r>
      <w:r>
        <w:t xml:space="preserve">in the locative; ending in a</w:t>
      </w:r>
      <w:r>
        <w:t xml:space="preserve"> </w:t>
      </w:r>
      <w:r>
        <w:rPr>
          <w:iCs/>
          <w:i/>
        </w:rPr>
        <w:t xml:space="preserve">taddhita</w:t>
      </w:r>
      <w:r>
        <w:t xml:space="preserve">, it is a</w:t>
      </w:r>
      <w:r>
        <w:t xml:space="preserve"> </w:t>
      </w:r>
      <w:r>
        <w:rPr>
          <w:iCs/>
          <w:i/>
        </w:rPr>
        <w:t xml:space="preserve">prātipadika</w:t>
      </w:r>
      <w:r>
        <w:t xml:space="preserve"> </w:t>
      </w:r>
      <w:r>
        <w:t xml:space="preserve">by</w:t>
      </w:r>
      <w:r>
        <w:t xml:space="preserve"> </w:t>
      </w:r>
      <w:r>
        <w:t xml:space="preserve">“</w:t>
      </w:r>
      <w:r>
        <w:t xml:space="preserve">kṛttaddhitasamāsāś ca</w:t>
      </w:r>
      <w:r>
        <w:t xml:space="preserve">”</w:t>
      </w:r>
      <w:r>
        <w:t xml:space="preserve">, the ending dropped by</w:t>
      </w:r>
      <w:r>
        <w:t xml:space="preserve"> </w:t>
      </w:r>
      <w:r>
        <w:t xml:space="preserve">“</w:t>
      </w:r>
      <w:r>
        <w:t xml:space="preserve">supo dhātuprātipadikayoḥ</w:t>
      </w:r>
      <w:r>
        <w:t xml:space="preserve">”</w:t>
      </w:r>
      <w:r>
        <w:t xml:space="preserve">, and by</w:t>
      </w:r>
      <w:r>
        <w:t xml:space="preserve"> </w:t>
      </w:r>
      <w:r>
        <w:t xml:space="preserve">“</w:t>
      </w:r>
      <w:r>
        <w:t xml:space="preserve">prāg diśo vibhaktiḥ</w:t>
      </w:r>
      <w:r>
        <w:t xml:space="preserve">”</w:t>
      </w:r>
      <w:r>
        <w:t xml:space="preserve"> </w:t>
      </w:r>
      <w:r>
        <w:rPr>
          <w:iCs/>
          <w:i/>
        </w:rPr>
        <w:t xml:space="preserve">tral</w:t>
      </w:r>
      <w:r>
        <w:t xml:space="preserve"> </w:t>
      </w:r>
      <w:r>
        <w:t xml:space="preserve">is called</w:t>
      </w:r>
      <w:r>
        <w:t xml:space="preserve"> </w:t>
      </w:r>
      <w:r>
        <w:rPr>
          <w:iCs/>
          <w:i/>
        </w:rPr>
        <w:t xml:space="preserve">vibhakti</w:t>
      </w:r>
      <w:r>
        <w:t xml:space="preserve">; so before it</w:t>
      </w:r>
      <w:r>
        <w:t xml:space="preserve"> </w:t>
      </w:r>
      <w:r>
        <w:t xml:space="preserve">“</w:t>
      </w:r>
      <w:r>
        <w:t xml:space="preserve">tyadādīnām aḥ</w:t>
      </w:r>
      <w:r>
        <w:t xml:space="preserve">”</w:t>
      </w:r>
      <w:r>
        <w:t xml:space="preserve"> </w:t>
      </w:r>
      <w:r>
        <w:t xml:space="preserve">(Pā. sū. 7-2-102) gives</w:t>
      </w:r>
    </w:p>
    <w:bookmarkEnd w:id="618"/>
    <w:bookmarkStart w:id="619" w:name="Xc700d33f489c716a2fb53ce6319c0e16a32e656"/>
    <w:p>
      <w:pPr>
        <w:pStyle w:val="Heading3"/>
      </w:pPr>
      <w:r>
        <w:t xml:space="preserve">Page 583 — Rik 12: grammar (end); close of Sūkta 13</w:t>
      </w:r>
    </w:p>
    <w:p>
      <w:pPr>
        <w:pStyle w:val="FirstParagraph"/>
      </w:pPr>
      <w:r>
        <w:rPr>
          <w:iCs/>
          <w:i/>
        </w:rPr>
        <w:t xml:space="preserve">a</w:t>
      </w:r>
      <w:r>
        <w:t xml:space="preserve"> </w:t>
      </w:r>
      <w:r>
        <w:t xml:space="preserve">for the</w:t>
      </w:r>
      <w:r>
        <w:t xml:space="preserve"> </w:t>
      </w:r>
      <w:r>
        <w:rPr>
          <w:iCs/>
          <w:i/>
        </w:rPr>
        <w:t xml:space="preserve">d</w:t>
      </w:r>
      <w:r>
        <w:t xml:space="preserve">:</w:t>
      </w:r>
      <w:r>
        <w:t xml:space="preserve"> </w:t>
      </w:r>
      <w:r>
        <w:rPr>
          <w:iCs/>
          <w:i/>
        </w:rPr>
        <w:t xml:space="preserve">ta</w:t>
      </w:r>
      <w:r>
        <w:t xml:space="preserve"> </w:t>
      </w:r>
      <w:r>
        <w:t xml:space="preserve">+</w:t>
      </w:r>
      <w:r>
        <w:t xml:space="preserve"> </w:t>
      </w:r>
      <w:r>
        <w:rPr>
          <w:iCs/>
          <w:i/>
        </w:rPr>
        <w:t xml:space="preserve">a</w:t>
      </w:r>
      <w:r>
        <w:t xml:space="preserve"> </w:t>
      </w:r>
      <w:r>
        <w:t xml:space="preserve">+</w:t>
      </w:r>
      <w:r>
        <w:t xml:space="preserve"> </w:t>
      </w:r>
      <w:r>
        <w:rPr>
          <w:iCs/>
          <w:i/>
        </w:rPr>
        <w:t xml:space="preserve">tra</w:t>
      </w:r>
      <w:r>
        <w:t xml:space="preserve">;</w:t>
      </w:r>
      <w:r>
        <w:t xml:space="preserve"> </w:t>
      </w:r>
      <w:r>
        <w:rPr>
          <w:iCs/>
          <w:i/>
        </w:rPr>
        <w:t xml:space="preserve">pararūpa</w:t>
      </w:r>
      <w:r>
        <w:t xml:space="preserve"> </w:t>
      </w:r>
      <w:r>
        <w:t xml:space="preserve">by</w:t>
      </w:r>
      <w:r>
        <w:t xml:space="preserve"> </w:t>
      </w:r>
      <w:r>
        <w:t xml:space="preserve">“</w:t>
      </w:r>
      <w:r>
        <w:t xml:space="preserve">ato guṇe</w:t>
      </w:r>
      <w:r>
        <w:t xml:space="preserve">”</w:t>
      </w:r>
      <w:r>
        <w:t xml:space="preserve"> </w:t>
      </w:r>
      <w:r>
        <w:t xml:space="preserve">(Pā. sū. 6-1-97):</w:t>
      </w:r>
      <w:r>
        <w:t xml:space="preserve"> </w:t>
      </w:r>
      <w:r>
        <w:rPr>
          <w:iCs/>
          <w:i/>
        </w:rPr>
        <w:t xml:space="preserve">tatra</w:t>
      </w:r>
      <w:r>
        <w:t xml:space="preserve">; by</w:t>
      </w:r>
      <w:r>
        <w:t xml:space="preserve"> </w:t>
      </w:r>
      <w:r>
        <w:t xml:space="preserve">“</w:t>
      </w:r>
      <w:r>
        <w:t xml:space="preserve">liti</w:t>
      </w:r>
      <w:r>
        <w:t xml:space="preserve">”</w:t>
      </w:r>
      <w:r>
        <w:t xml:space="preserve"> </w:t>
      </w:r>
      <w:r>
        <w:t xml:space="preserve">(6-1-193) the syllable before</w:t>
      </w:r>
      <w:r>
        <w:t xml:space="preserve"> </w:t>
      </w:r>
      <w:r>
        <w:rPr>
          <w:iCs/>
          <w:i/>
        </w:rPr>
        <w:t xml:space="preserve">tral</w:t>
      </w:r>
      <w:r>
        <w:t xml:space="preserve"> </w:t>
      </w:r>
      <w:r>
        <w:t xml:space="preserve">is udātta.</w:t>
      </w:r>
      <w:r>
        <w:t xml:space="preserve"> </w:t>
      </w:r>
      <w:r>
        <w:rPr>
          <w:bCs/>
          <w:b/>
        </w:rPr>
        <w:t xml:space="preserve">देवाँ उप (</w:t>
      </w:r>
      <w:r>
        <w:rPr>
          <w:iCs/>
          <w:i/>
          <w:bCs/>
          <w:b/>
        </w:rPr>
        <w:t xml:space="preserve">devām̐ upa</w:t>
      </w:r>
      <w:r>
        <w:rPr>
          <w:bCs/>
          <w:b/>
        </w:rPr>
        <w:t xml:space="preserve">)</w:t>
      </w:r>
      <w:r>
        <w:t xml:space="preserve">:</w:t>
      </w:r>
      <w:r>
        <w:t xml:space="preserve"> </w:t>
      </w:r>
      <w:r>
        <w:rPr>
          <w:iCs/>
          <w:i/>
        </w:rPr>
        <w:t xml:space="preserve">deva</w:t>
      </w:r>
      <w:r>
        <w:t xml:space="preserve"> </w:t>
      </w:r>
      <w:r>
        <w:t xml:space="preserve">from</w:t>
      </w:r>
      <w:r>
        <w:t xml:space="preserve"> </w:t>
      </w:r>
      <w:r>
        <w:rPr>
          <w:iCs/>
          <w:i/>
        </w:rPr>
        <w:t xml:space="preserve">div</w:t>
      </w:r>
      <w:r>
        <w:t xml:space="preserve"> </w:t>
      </w:r>
      <w:r>
        <w:t xml:space="preserve">with</w:t>
      </w:r>
      <w:r>
        <w:t xml:space="preserve"> </w:t>
      </w:r>
      <w:r>
        <w:rPr>
          <w:iCs/>
          <w:i/>
        </w:rPr>
        <w:t xml:space="preserve">ac</w:t>
      </w:r>
      <w:r>
        <w:t xml:space="preserve"> </w:t>
      </w:r>
      <w:r>
        <w:t xml:space="preserve">by the</w:t>
      </w:r>
      <w:r>
        <w:t xml:space="preserve"> </w:t>
      </w:r>
      <w:r>
        <w:rPr>
          <w:iCs/>
          <w:i/>
        </w:rPr>
        <w:t xml:space="preserve">pacādi</w:t>
      </w:r>
      <w:r>
        <w:t xml:space="preserve"> </w:t>
      </w:r>
      <w:r>
        <w:t xml:space="preserve">rule (Pā. sū. 3-1-134) and</w:t>
      </w:r>
      <w:r>
        <w:t xml:space="preserve"> </w:t>
      </w:r>
      <w:r>
        <w:rPr>
          <w:iCs/>
          <w:i/>
        </w:rPr>
        <w:t xml:space="preserve">laghūpadha-guṇa</w:t>
      </w:r>
      <w:r>
        <w:t xml:space="preserve"> </w:t>
      </w:r>
      <w:r>
        <w:t xml:space="preserve">(Pā. sū. 7-3-86); accusative plural</w:t>
      </w:r>
      <w:r>
        <w:t xml:space="preserve"> </w:t>
      </w:r>
      <w:r>
        <w:rPr>
          <w:iCs/>
          <w:i/>
        </w:rPr>
        <w:t xml:space="preserve">śas</w:t>
      </w:r>
      <w:r>
        <w:t xml:space="preserve">:</w:t>
      </w:r>
      <w:r>
        <w:t xml:space="preserve"> </w:t>
      </w:r>
      <w:r>
        <w:rPr>
          <w:iCs/>
          <w:i/>
        </w:rPr>
        <w:t xml:space="preserve">deva</w:t>
      </w:r>
      <w:r>
        <w:t xml:space="preserve"> </w:t>
      </w:r>
      <w:r>
        <w:t xml:space="preserve">+</w:t>
      </w:r>
      <w:r>
        <w:t xml:space="preserve"> </w:t>
      </w:r>
      <w:r>
        <w:rPr>
          <w:iCs/>
          <w:i/>
        </w:rPr>
        <w:t xml:space="preserve">as</w:t>
      </w:r>
      <w:r>
        <w:t xml:space="preserve">;</w:t>
      </w:r>
      <w:r>
        <w:t xml:space="preserve"> </w:t>
      </w:r>
      <w:r>
        <w:rPr>
          <w:iCs/>
          <w:i/>
        </w:rPr>
        <w:t xml:space="preserve">pūrvasavarṇa-dīrgha</w:t>
      </w:r>
      <w:r>
        <w:t xml:space="preserve"> </w:t>
      </w:r>
      <w:r>
        <w:t xml:space="preserve">by</w:t>
      </w:r>
      <w:r>
        <w:t xml:space="preserve"> </w:t>
      </w:r>
      <w:r>
        <w:t xml:space="preserve">“</w:t>
      </w:r>
      <w:r>
        <w:t xml:space="preserve">prathamayoḥ pūrvasavarṇaḥ</w:t>
      </w:r>
      <w:r>
        <w:t xml:space="preserve">”</w:t>
      </w:r>
      <w:r>
        <w:t xml:space="preserve"> </w:t>
      </w:r>
      <w:r>
        <w:t xml:space="preserve">(Pā. sū. 6-1-102):</w:t>
      </w:r>
      <w:r>
        <w:t xml:space="preserve"> </w:t>
      </w:r>
      <w:r>
        <w:rPr>
          <w:iCs/>
          <w:i/>
        </w:rPr>
        <w:t xml:space="preserve">devās</w:t>
      </w:r>
      <w:r>
        <w:t xml:space="preserve">;</w:t>
      </w:r>
      <w:r>
        <w:t xml:space="preserve"> </w:t>
      </w:r>
      <w:r>
        <w:t xml:space="preserve">“</w:t>
      </w:r>
      <w:r>
        <w:t xml:space="preserve">tasmāc chaso naḥ puṃsi</w:t>
      </w:r>
      <w:r>
        <w:t xml:space="preserve">”</w:t>
      </w:r>
      <w:r>
        <w:t xml:space="preserve"> </w:t>
      </w:r>
      <w:r>
        <w:t xml:space="preserve">(Pā. sū. 6-1-103):</w:t>
      </w:r>
      <w:r>
        <w:t xml:space="preserve"> </w:t>
      </w:r>
      <w:r>
        <w:rPr>
          <w:iCs/>
          <w:i/>
        </w:rPr>
        <w:t xml:space="preserve">n</w:t>
      </w:r>
      <w:r>
        <w:t xml:space="preserve"> </w:t>
      </w:r>
      <w:r>
        <w:t xml:space="preserve">for the</w:t>
      </w:r>
      <w:r>
        <w:t xml:space="preserve"> </w:t>
      </w:r>
      <w:r>
        <w:rPr>
          <w:iCs/>
          <w:i/>
        </w:rPr>
        <w:t xml:space="preserve">s</w:t>
      </w:r>
      <w:r>
        <w:t xml:space="preserve"> </w:t>
      </w:r>
      <w:r>
        <w:t xml:space="preserve">of</w:t>
      </w:r>
      <w:r>
        <w:t xml:space="preserve"> </w:t>
      </w:r>
      <w:r>
        <w:rPr>
          <w:iCs/>
          <w:i/>
        </w:rPr>
        <w:t xml:space="preserve">śas</w:t>
      </w:r>
      <w:r>
        <w:t xml:space="preserve">:</w:t>
      </w:r>
      <w:r>
        <w:t xml:space="preserve"> </w:t>
      </w:r>
      <w:r>
        <w:rPr>
          <w:iCs/>
          <w:i/>
        </w:rPr>
        <w:t xml:space="preserve">devān</w:t>
      </w:r>
      <w:r>
        <w:t xml:space="preserve">; in the Saṃhitā, before</w:t>
      </w:r>
      <w:r>
        <w:t xml:space="preserve"> </w:t>
      </w:r>
      <w:r>
        <w:rPr>
          <w:iCs/>
          <w:i/>
        </w:rPr>
        <w:t xml:space="preserve">upa</w:t>
      </w:r>
      <w:r>
        <w:t xml:space="preserve">,</w:t>
      </w:r>
      <w:r>
        <w:t xml:space="preserve"> </w:t>
      </w:r>
      <w:r>
        <w:t xml:space="preserve">“</w:t>
      </w:r>
      <w:r>
        <w:t xml:space="preserve">dīrghād aṭi samānapāde</w:t>
      </w:r>
      <w:r>
        <w:t xml:space="preserve">”</w:t>
      </w:r>
      <w:r>
        <w:t xml:space="preserve"> </w:t>
      </w:r>
      <w:r>
        <w:t xml:space="preserve">(Pā. sū. 8-3-9) gives</w:t>
      </w:r>
      <w:r>
        <w:t xml:space="preserve"> </w:t>
      </w:r>
      <w:r>
        <w:rPr>
          <w:iCs/>
          <w:i/>
        </w:rPr>
        <w:t xml:space="preserve">ru</w:t>
      </w:r>
      <w:r>
        <w:t xml:space="preserve"> </w:t>
      </w:r>
      <w:r>
        <w:t xml:space="preserve">for the</w:t>
      </w:r>
      <w:r>
        <w:t xml:space="preserve"> </w:t>
      </w:r>
      <w:r>
        <w:rPr>
          <w:iCs/>
          <w:i/>
        </w:rPr>
        <w:t xml:space="preserve">n</w:t>
      </w:r>
      <w:r>
        <w:t xml:space="preserve">:</w:t>
      </w:r>
      <w:r>
        <w:t xml:space="preserve"> </w:t>
      </w:r>
      <w:r>
        <w:rPr>
          <w:iCs/>
          <w:i/>
        </w:rPr>
        <w:t xml:space="preserve">devār</w:t>
      </w:r>
      <w:r>
        <w:t xml:space="preserve"> </w:t>
      </w:r>
      <w:r>
        <w:t xml:space="preserve">+</w:t>
      </w:r>
      <w:r>
        <w:t xml:space="preserve"> </w:t>
      </w:r>
      <w:r>
        <w:rPr>
          <w:iCs/>
          <w:i/>
        </w:rPr>
        <w:t xml:space="preserve">upa</w:t>
      </w:r>
      <w:r>
        <w:t xml:space="preserve">;</w:t>
      </w:r>
      <w:r>
        <w:t xml:space="preserve"> </w:t>
      </w:r>
      <w:r>
        <w:t xml:space="preserve">“</w:t>
      </w:r>
      <w:r>
        <w:t xml:space="preserve">āto ’ṭi nityam</w:t>
      </w:r>
      <w:r>
        <w:t xml:space="preserve">”</w:t>
      </w:r>
      <w:r>
        <w:t xml:space="preserve"> </w:t>
      </w:r>
      <w:r>
        <w:t xml:space="preserve">(Pā. sū. 8-3-3) nasalises the</w:t>
      </w:r>
      <w:r>
        <w:t xml:space="preserve"> </w:t>
      </w:r>
      <w:r>
        <w:rPr>
          <w:iCs/>
          <w:i/>
        </w:rPr>
        <w:t xml:space="preserve">ā</w:t>
      </w:r>
      <w:r>
        <w:t xml:space="preserve"> </w:t>
      </w:r>
      <w:r>
        <w:t xml:space="preserve">before the</w:t>
      </w:r>
      <w:r>
        <w:t xml:space="preserve"> </w:t>
      </w:r>
      <w:r>
        <w:rPr>
          <w:iCs/>
          <w:i/>
        </w:rPr>
        <w:t xml:space="preserve">r</w:t>
      </w:r>
      <w:r>
        <w:t xml:space="preserve">;</w:t>
      </w:r>
      <w:r>
        <w:t xml:space="preserve"> </w:t>
      </w:r>
      <w:r>
        <w:t xml:space="preserve">“</w:t>
      </w:r>
      <w:r>
        <w:t xml:space="preserve">bhobhagoaghoapūrvasya yo ’śi</w:t>
      </w:r>
      <w:r>
        <w:t xml:space="preserve">”</w:t>
      </w:r>
      <w:r>
        <w:t xml:space="preserve"> </w:t>
      </w:r>
      <w:r>
        <w:t xml:space="preserve">(Pā. sū. 8-3-17) gives</w:t>
      </w:r>
      <w:r>
        <w:t xml:space="preserve"> </w:t>
      </w:r>
      <w:r>
        <w:rPr>
          <w:iCs/>
          <w:i/>
        </w:rPr>
        <w:t xml:space="preserve">y</w:t>
      </w:r>
      <w:r>
        <w:t xml:space="preserve"> </w:t>
      </w:r>
      <w:r>
        <w:t xml:space="preserve">for the</w:t>
      </w:r>
      <w:r>
        <w:t xml:space="preserve"> </w:t>
      </w:r>
      <w:r>
        <w:rPr>
          <w:iCs/>
          <w:i/>
        </w:rPr>
        <w:t xml:space="preserve">ru</w:t>
      </w:r>
      <w:r>
        <w:t xml:space="preserve">:</w:t>
      </w:r>
      <w:r>
        <w:t xml:space="preserve"> </w:t>
      </w:r>
      <w:r>
        <w:rPr>
          <w:iCs/>
          <w:i/>
        </w:rPr>
        <w:t xml:space="preserve">devāy</w:t>
      </w:r>
      <w:r>
        <w:t xml:space="preserve"> </w:t>
      </w:r>
      <w:r>
        <w:t xml:space="preserve">+</w:t>
      </w:r>
      <w:r>
        <w:t xml:space="preserve"> </w:t>
      </w:r>
      <w:r>
        <w:rPr>
          <w:iCs/>
          <w:i/>
        </w:rPr>
        <w:t xml:space="preserve">upa</w:t>
      </w:r>
      <w:r>
        <w:t xml:space="preserve">;</w:t>
      </w:r>
      <w:r>
        <w:t xml:space="preserve"> </w:t>
      </w:r>
      <w:r>
        <w:t xml:space="preserve">“</w:t>
      </w:r>
      <w:r>
        <w:t xml:space="preserve">lopaḥ śākalyasya</w:t>
      </w:r>
      <w:r>
        <w:t xml:space="preserve">”</w:t>
      </w:r>
      <w:r>
        <w:t xml:space="preserve"> </w:t>
      </w:r>
      <w:r>
        <w:t xml:space="preserve">(Pā. sū. 8-3-19) drops the</w:t>
      </w:r>
      <w:r>
        <w:t xml:space="preserve"> </w:t>
      </w:r>
      <w:r>
        <w:rPr>
          <w:iCs/>
          <w:i/>
        </w:rPr>
        <w:t xml:space="preserve">y</w:t>
      </w:r>
      <w:r>
        <w:t xml:space="preserve">:</w:t>
      </w:r>
      <w:r>
        <w:t xml:space="preserve"> </w:t>
      </w:r>
      <w:r>
        <w:rPr>
          <w:iCs/>
          <w:i/>
        </w:rPr>
        <w:t xml:space="preserve">devā</w:t>
      </w:r>
      <w:r>
        <w:t xml:space="preserve"> </w:t>
      </w:r>
      <w:r>
        <w:t xml:space="preserve">+</w:t>
      </w:r>
      <w:r>
        <w:t xml:space="preserve"> </w:t>
      </w:r>
      <w:r>
        <w:rPr>
          <w:iCs/>
          <w:i/>
        </w:rPr>
        <w:t xml:space="preserve">upa</w:t>
      </w:r>
      <w:r>
        <w:t xml:space="preserve">;</w:t>
      </w:r>
      <w:r>
        <w:t xml:space="preserve"> </w:t>
      </w:r>
      <w:r>
        <w:t xml:space="preserve">“</w:t>
      </w:r>
      <w:r>
        <w:t xml:space="preserve">ād guṇaḥ</w:t>
      </w:r>
      <w:r>
        <w:t xml:space="preserve">”</w:t>
      </w:r>
      <w:r>
        <w:t xml:space="preserve"> </w:t>
      </w:r>
      <w:r>
        <w:t xml:space="preserve">(Pā. sū. 6-1-87) would give</w:t>
      </w:r>
      <w:r>
        <w:t xml:space="preserve"> </w:t>
      </w:r>
      <w:r>
        <w:rPr>
          <w:iCs/>
          <w:i/>
        </w:rPr>
        <w:t xml:space="preserve">o</w:t>
      </w:r>
      <w:r>
        <w:t xml:space="preserve">, but by</w:t>
      </w:r>
      <w:r>
        <w:t xml:space="preserve"> </w:t>
      </w:r>
      <w:r>
        <w:t xml:space="preserve">“</w:t>
      </w:r>
      <w:r>
        <w:t xml:space="preserve">pūrvatrāsiddham</w:t>
      </w:r>
      <w:r>
        <w:t xml:space="preserve">”</w:t>
      </w:r>
      <w:r>
        <w:t xml:space="preserve"> </w:t>
      </w:r>
      <w:r>
        <w:t xml:space="preserve">(Pā. sū. 8-2-1) the loss of</w:t>
      </w:r>
      <w:r>
        <w:t xml:space="preserve"> </w:t>
      </w:r>
      <w:r>
        <w:rPr>
          <w:iCs/>
          <w:i/>
        </w:rPr>
        <w:t xml:space="preserve">y</w:t>
      </w:r>
      <w:r>
        <w:t xml:space="preserve"> </w:t>
      </w:r>
      <w:r>
        <w:t xml:space="preserve">is treated as not done for the</w:t>
      </w:r>
      <w:r>
        <w:t xml:space="preserve"> </w:t>
      </w:r>
      <w:r>
        <w:rPr>
          <w:iCs/>
          <w:i/>
        </w:rPr>
        <w:t xml:space="preserve">guṇa</w:t>
      </w:r>
      <w:r>
        <w:t xml:space="preserve">, so the</w:t>
      </w:r>
      <w:r>
        <w:t xml:space="preserve"> </w:t>
      </w:r>
      <w:r>
        <w:rPr>
          <w:iCs/>
          <w:i/>
        </w:rPr>
        <w:t xml:space="preserve">y</w:t>
      </w:r>
      <w:r>
        <w:t xml:space="preserve"> </w:t>
      </w:r>
      <w:r>
        <w:t xml:space="preserve">counts as standing after the</w:t>
      </w:r>
      <w:r>
        <w:t xml:space="preserve"> </w:t>
      </w:r>
      <w:r>
        <w:rPr>
          <w:iCs/>
          <w:i/>
        </w:rPr>
        <w:t xml:space="preserve">a</w:t>
      </w:r>
      <w:r>
        <w:t xml:space="preserve">, no vowel follows it, and there is no</w:t>
      </w:r>
      <w:r>
        <w:t xml:space="preserve"> </w:t>
      </w:r>
      <w:r>
        <w:rPr>
          <w:iCs/>
          <w:i/>
        </w:rPr>
        <w:t xml:space="preserve">guṇa</w:t>
      </w:r>
      <w:r>
        <w:t xml:space="preserve">.</w:t>
      </w:r>
    </w:p>
    <w:p>
      <w:pPr>
        <w:pStyle w:val="BodyText"/>
      </w:pPr>
      <w:r>
        <w:rPr>
          <w:bCs/>
          <w:b/>
        </w:rPr>
        <w:t xml:space="preserve">॥१२॥</w:t>
      </w:r>
    </w:p>
    <w:p>
      <w:pPr>
        <w:pStyle w:val="BodyText"/>
      </w:pPr>
      <w:r>
        <w:rPr>
          <w:iCs/>
          <w:i/>
        </w:rPr>
        <w:t xml:space="preserve">(A printed ornament follows; the page has no colophon for Sūkta 13. Then on the same page the Fourteenth Sūkta begins.)</w:t>
      </w:r>
    </w:p>
    <w:p>
      <w:pPr>
        <w:pStyle w:val="BodyText"/>
      </w:pPr>
      <w:r>
        <w:rPr>
          <w:bCs/>
          <w:b/>
        </w:rPr>
        <w:t xml:space="preserve">End of Sūkta 13.</w:t>
      </w:r>
    </w:p>
    <w:bookmarkEnd w:id="619"/>
    <w:bookmarkEnd w:id="620"/>
    <w:bookmarkStart w:id="674" w:name="X404d32b4e0be6074d722e45b99f1ed77a587d26"/>
    <w:p>
      <w:pPr>
        <w:pStyle w:val="Heading2"/>
      </w:pPr>
      <w:r>
        <w:t xml:space="preserve">॥ ಹದಿನಾಲ್ಕನೆಯ ಸೂಕ್ತವು ॥ — Sūkta 14 —</w:t>
      </w:r>
      <w:r>
        <w:t xml:space="preserve"> </w:t>
      </w:r>
      <w:r>
        <w:rPr>
          <w:iCs/>
          <w:i/>
        </w:rPr>
        <w:t xml:space="preserve">“</w:t>
      </w:r>
      <w:r>
        <w:rPr>
          <w:iCs/>
          <w:i/>
        </w:rPr>
        <w:t xml:space="preserve">aibhir agne duvo giraḥ</w:t>
      </w:r>
      <w:r>
        <w:rPr>
          <w:iCs/>
          <w:i/>
        </w:rPr>
        <w:t xml:space="preserve">”</w:t>
      </w:r>
      <w:r>
        <w:t xml:space="preserve"> </w:t>
      </w:r>
      <w:r>
        <w:t xml:space="preserve">(</w:t>
      </w:r>
      <w:r>
        <w:t xml:space="preserve">“</w:t>
      </w:r>
      <w:r>
        <w:t xml:space="preserve">The Fourteenth Sūkta</w:t>
      </w:r>
      <w:r>
        <w:t xml:space="preserve">”</w:t>
      </w:r>
      <w:r>
        <w:t xml:space="preserve">)</w:t>
      </w:r>
    </w:p>
    <w:p>
      <w:pPr>
        <w:pStyle w:val="FirstParagraph"/>
      </w:pPr>
      <w:r>
        <w:rPr>
          <w:iCs/>
          <w:i/>
        </w:rPr>
        <w:t xml:space="preserve">(Table-of-contents title:</w:t>
      </w:r>
      <w:r>
        <w:rPr>
          <w:iCs/>
          <w:i/>
        </w:rPr>
        <w:t xml:space="preserve"> </w:t>
      </w:r>
      <w:r>
        <w:rPr>
          <w:iCs/>
          <w:i/>
        </w:rPr>
        <w:t xml:space="preserve">“</w:t>
      </w:r>
      <w:r>
        <w:rPr>
          <w:iCs/>
          <w:i/>
        </w:rPr>
        <w:t xml:space="preserve">babhrur agne</w:t>
      </w:r>
      <w:r>
        <w:rPr>
          <w:iCs/>
          <w:i/>
        </w:rPr>
        <w:t xml:space="preserve">”</w:t>
      </w:r>
      <w:r>
        <w:rPr>
          <w:iCs/>
          <w:i/>
        </w:rPr>
        <w:t xml:space="preserve"> </w:t>
      </w:r>
      <w:r>
        <w:rPr>
          <w:iCs/>
          <w:i/>
        </w:rPr>
        <w:t xml:space="preserve">— see the open flags; the sūkta itself begins</w:t>
      </w:r>
      <w:r>
        <w:t xml:space="preserve"> </w:t>
      </w:r>
      <w:r>
        <w:t xml:space="preserve">aibhir agne duvo giraḥ</w:t>
      </w:r>
      <w:r>
        <w:rPr>
          <w:iCs/>
          <w:i/>
        </w:rPr>
        <w:t xml:space="preserve">.)</w:t>
      </w:r>
    </w:p>
    <w:p>
      <w:pPr>
        <w:pStyle w:val="BodyText"/>
      </w:pPr>
      <w:r>
        <w:rPr>
          <w:bCs/>
          <w:b/>
        </w:rPr>
        <w:t xml:space="preserve">॥ Sāyaṇa-bhāṣyam ॥</w:t>
      </w:r>
      <w:r>
        <w:t xml:space="preserve"> </w:t>
      </w:r>
      <w:r>
        <w:rPr>
          <w:iCs/>
          <w:i/>
        </w:rPr>
        <w:t xml:space="preserve">(introductory note on the application of the sūkta; printed p. 583, after the close of Sūkta 13)</w:t>
      </w:r>
    </w:p>
    <w:p>
      <w:pPr>
        <w:pStyle w:val="BlockText"/>
      </w:pPr>
      <w:r>
        <w:t xml:space="preserve">ऐभिरग्न इत्यादिकस्य द्वादशर्चस्य तृतीयसूक्तस्य ऋषिच्छन्दसी पूर्ववत् । तच्च सूक्तं बहुदेवताकम् । अत एवानुक्रम्यते । ऐभिर्वैश्वदेवमिति ॥ विनियोगस्तु । व्यूढद्वादशाहस्य प्रथमे छन्दोमे तृतीयसवने वैश्वदेवशस्त्र ऐभिरग्ने दुवो गिर इति सूक्तम् ॥ तथा च सूत्रितम् । अथ छन्दोमाः समुद्रादूर्मिरित्युपक्रम्यैभिरग्ने दुवो गिर इति वैश्वदेवम् । आ. ८-९१ [?] । इति ॥</w:t>
      </w:r>
    </w:p>
    <w:p>
      <w:pPr>
        <w:pStyle w:val="BlockText"/>
      </w:pPr>
      <w:r>
        <w:rPr>
          <w:iCs/>
          <w:i/>
        </w:rPr>
        <w:t xml:space="preserve">aibhiragna ityādikasya dvādaśarcasya tṛtīyasūktasya ṛṣicchandasī pūrvavat | tacca sūktaṃ bahudevatākam | ata evānukramyate | aibhirvaiśvadevamiti || viniyogastu | vyūḍhadvādaśāhasya prathame chandome tṛtīyasavane vaiśvadevaśastra aibhiragne duvo gira iti sūktam || tathā ca sūtritam | atha chandomāḥ samudrādūrmirityupakramyaibhiragne duvo gira iti vaiśvadevam | ā. 8-91 [?] | iti ||</w:t>
      </w:r>
    </w:p>
    <w:p>
      <w:pPr>
        <w:pStyle w:val="FirstParagraph"/>
      </w:pPr>
      <w:r>
        <w:rPr>
          <w:bCs/>
          <w:b/>
        </w:rPr>
        <w:t xml:space="preserve">Translation:</w:t>
      </w:r>
      <w:r>
        <w:t xml:space="preserve"> </w:t>
      </w:r>
      <w:r>
        <w:t xml:space="preserve">“</w:t>
      </w:r>
      <w:r>
        <w:t xml:space="preserve">The sūkta of twelve Ṛks beginning</w:t>
      </w:r>
      <w:r>
        <w:t xml:space="preserve"> </w:t>
      </w:r>
      <w:r>
        <w:rPr>
          <w:iCs/>
          <w:i/>
        </w:rPr>
        <w:t xml:space="preserve">aibhir agne</w:t>
      </w:r>
      <w:r>
        <w:t xml:space="preserve">, the third sūkta [of the anuvāka]: its ṛṣi and metre are as before. That sūkta has many deities; that is why the Anukramaṇikā says only</w:t>
      </w:r>
      <w:r>
        <w:t xml:space="preserve"> </w:t>
      </w:r>
      <w:r>
        <w:rPr>
          <w:iCs/>
          <w:i/>
        </w:rPr>
        <w:t xml:space="preserve">aibhir vaiśvadevam</w:t>
      </w:r>
      <w:r>
        <w:t xml:space="preserve">. Its application: in the first</w:t>
      </w:r>
      <w:r>
        <w:t xml:space="preserve"> </w:t>
      </w:r>
      <w:r>
        <w:rPr>
          <w:iCs/>
          <w:i/>
        </w:rPr>
        <w:t xml:space="preserve">chandoma</w:t>
      </w:r>
      <w:r>
        <w:t xml:space="preserve"> </w:t>
      </w:r>
      <w:r>
        <w:t xml:space="preserve">day of the</w:t>
      </w:r>
      <w:r>
        <w:t xml:space="preserve"> </w:t>
      </w:r>
      <w:r>
        <w:rPr>
          <w:iCs/>
          <w:i/>
        </w:rPr>
        <w:t xml:space="preserve">vyūḍha-dvādaśāha</w:t>
      </w:r>
      <w:r>
        <w:t xml:space="preserve">, at the third pressing, in the</w:t>
      </w:r>
      <w:r>
        <w:t xml:space="preserve"> </w:t>
      </w:r>
      <w:r>
        <w:rPr>
          <w:iCs/>
          <w:i/>
        </w:rPr>
        <w:t xml:space="preserve">vaiśvadeva-śastra</w:t>
      </w:r>
      <w:r>
        <w:t xml:space="preserve">, the sūkta</w:t>
      </w:r>
      <w:r>
        <w:t xml:space="preserve"> </w:t>
      </w:r>
      <w:r>
        <w:rPr>
          <w:iCs/>
          <w:i/>
        </w:rPr>
        <w:t xml:space="preserve">aibhir agne duvo giraḥ</w:t>
      </w:r>
      <w:r>
        <w:t xml:space="preserve">. So it is laid down in the Sūtra:</w:t>
      </w:r>
      <w:r>
        <w:t xml:space="preserve"> </w:t>
      </w:r>
      <w:r>
        <w:t xml:space="preserve">‘</w:t>
      </w:r>
      <w:r>
        <w:t xml:space="preserve">Now the</w:t>
      </w:r>
      <w:r>
        <w:t xml:space="preserve"> </w:t>
      </w:r>
      <w:r>
        <w:rPr>
          <w:iCs/>
          <w:i/>
        </w:rPr>
        <w:t xml:space="preserve">chandomas</w:t>
      </w:r>
      <w:r>
        <w:t xml:space="preserve">: beginning with</w:t>
      </w:r>
      <w:r>
        <w:t xml:space="preserve"> </w:t>
      </w:r>
      <w:r>
        <w:rPr>
          <w:iCs/>
          <w:i/>
        </w:rPr>
        <w:t xml:space="preserve">samudrād ūrmiḥ</w:t>
      </w:r>
      <w:r>
        <w:t xml:space="preserve">, …</w:t>
      </w:r>
      <w:r>
        <w:t xml:space="preserve"> </w:t>
      </w:r>
      <w:r>
        <w:rPr>
          <w:iCs/>
          <w:i/>
        </w:rPr>
        <w:t xml:space="preserve">aibhir agne duvo giraḥ</w:t>
      </w:r>
      <w:r>
        <w:t xml:space="preserve"> </w:t>
      </w:r>
      <w:r>
        <w:t xml:space="preserve">is the Vaiśvadeva</w:t>
      </w:r>
      <w:r>
        <w:t xml:space="preserve">’</w:t>
      </w:r>
      <w:r>
        <w:t xml:space="preserve"> </w:t>
      </w:r>
      <w:r>
        <w:t xml:space="preserve">(Āśv.</w:t>
      </w:r>
      <w:r>
        <w:t xml:space="preserve">”</w:t>
      </w:r>
      <w:r>
        <w:t xml:space="preserve">8-91” [?] as printed in the Sanskrit; the Kannada below gives 8-9).”</w:t>
      </w:r>
    </w:p>
    <w:p>
      <w:pPr>
        <w:pStyle w:val="BodyText"/>
      </w:pPr>
      <w:r>
        <w:rPr>
          <w:bCs/>
          <w:b/>
        </w:rPr>
        <w:t xml:space="preserve">॥ Anuvāda (Kannada rendering) ॥</w:t>
      </w:r>
      <w:r>
        <w:t xml:space="preserve"> </w:t>
      </w:r>
      <w:r>
        <w:t xml:space="preserve">In the fourth anuvāka, the third sūkta,</w:t>
      </w:r>
      <w:r>
        <w:t xml:space="preserve"> </w:t>
      </w:r>
      <w:r>
        <w:rPr>
          <w:iCs/>
          <w:i/>
        </w:rPr>
        <w:t xml:space="preserve">aibhir agne</w:t>
      </w:r>
      <w:r>
        <w:t xml:space="preserve">, has twelve Ṛks. Its ṛṣi and metre are as in the preceding sūkta. Since it has many deities the sūkta is</w:t>
      </w:r>
      <w:r>
        <w:t xml:space="preserve"> </w:t>
      </w:r>
      <w:r>
        <w:rPr>
          <w:iCs/>
          <w:i/>
        </w:rPr>
        <w:t xml:space="preserve">bahudevatāka</w:t>
      </w:r>
      <w:r>
        <w:t xml:space="preserve">; so the Anukramaṇikā calls it a sūkta to the Viśvedevas. Application: in the first</w:t>
      </w:r>
      <w:r>
        <w:t xml:space="preserve"> </w:t>
      </w:r>
      <w:r>
        <w:rPr>
          <w:iCs/>
          <w:i/>
        </w:rPr>
        <w:t xml:space="preserve">chandoma</w:t>
      </w:r>
      <w:r>
        <w:t xml:space="preserve"> </w:t>
      </w:r>
      <w:r>
        <w:t xml:space="preserve">of the</w:t>
      </w:r>
      <w:r>
        <w:t xml:space="preserve"> </w:t>
      </w:r>
      <w:r>
        <w:rPr>
          <w:iCs/>
          <w:i/>
        </w:rPr>
        <w:t xml:space="preserve">vyūḍha-dvādaśāha</w:t>
      </w:r>
      <w:r>
        <w:t xml:space="preserve"> </w:t>
      </w:r>
      <w:r>
        <w:t xml:space="preserve">sacrifice, at the third pressing,</w:t>
      </w:r>
    </w:p>
    <w:bookmarkStart w:id="621" w:name="page-584-sūkta-14-rik-1"/>
    <w:p>
      <w:pPr>
        <w:pStyle w:val="Heading3"/>
      </w:pPr>
      <w:r>
        <w:t xml:space="preserve">Page 584 — Sūkta 14, Rik 1</w:t>
      </w:r>
    </w:p>
    <w:p>
      <w:pPr>
        <w:pStyle w:val="FirstParagraph"/>
      </w:pPr>
      <w:r>
        <w:t xml:space="preserve">when the</w:t>
      </w:r>
      <w:r>
        <w:t xml:space="preserve"> </w:t>
      </w:r>
      <w:r>
        <w:rPr>
          <w:iCs/>
          <w:i/>
        </w:rPr>
        <w:t xml:space="preserve">vaiśvadeva-śastra</w:t>
      </w:r>
      <w:r>
        <w:t xml:space="preserve"> </w:t>
      </w:r>
      <w:r>
        <w:t xml:space="preserve">mantras are recited, the sūkta</w:t>
      </w:r>
      <w:r>
        <w:t xml:space="preserve"> </w:t>
      </w:r>
      <w:r>
        <w:rPr>
          <w:iCs/>
          <w:i/>
        </w:rPr>
        <w:t xml:space="preserve">aibhir agne duvo giraḥ</w:t>
      </w:r>
      <w:r>
        <w:t xml:space="preserve"> </w:t>
      </w:r>
      <w:r>
        <w:t xml:space="preserve">is to be recited. In the Āśvalāyana Śrauta-sūtra,</w:t>
      </w:r>
      <w:r>
        <w:t xml:space="preserve"> </w:t>
      </w:r>
      <w:r>
        <w:rPr>
          <w:iCs/>
          <w:i/>
        </w:rPr>
        <w:t xml:space="preserve">atha chandomāḥ samudrād ūrmir ity upakramyaibhir agne duvo gira iti vaiśvadevam</w:t>
      </w:r>
      <w:r>
        <w:t xml:space="preserve">: that is, the mantras beginning with</w:t>
      </w:r>
      <w:r>
        <w:t xml:space="preserve"> </w:t>
      </w:r>
      <w:r>
        <w:rPr>
          <w:iCs/>
          <w:i/>
        </w:rPr>
        <w:t xml:space="preserve">samudrād ūrmiḥ</w:t>
      </w:r>
      <w:r>
        <w:t xml:space="preserve"> </w:t>
      </w:r>
      <w:r>
        <w:t xml:space="preserve">and going on to</w:t>
      </w:r>
      <w:r>
        <w:t xml:space="preserve"> </w:t>
      </w:r>
      <w:r>
        <w:rPr>
          <w:iCs/>
          <w:i/>
        </w:rPr>
        <w:t xml:space="preserve">aibhir agne duvo giraḥ</w:t>
      </w:r>
      <w:r>
        <w:t xml:space="preserve"> </w:t>
      </w:r>
      <w:r>
        <w:t xml:space="preserve">are called</w:t>
      </w:r>
      <w:r>
        <w:t xml:space="preserve"> </w:t>
      </w:r>
      <w:r>
        <w:rPr>
          <w:iCs/>
          <w:i/>
        </w:rPr>
        <w:t xml:space="preserve">chandoma</w:t>
      </w:r>
      <w:r>
        <w:t xml:space="preserve"> </w:t>
      </w:r>
      <w:r>
        <w:t xml:space="preserve">mantras. (Ā. sū. 8-9.)</w:t>
      </w:r>
    </w:p>
    <w:p>
      <w:pPr>
        <w:pStyle w:val="BodyText"/>
      </w:pPr>
      <w:r>
        <w:rPr>
          <w:bCs/>
          <w:b/>
        </w:rPr>
        <w:t xml:space="preserve">॥ ॐ ॥</w:t>
      </w:r>
    </w:p>
    <w:p>
      <w:pPr>
        <w:pStyle w:val="BodyText"/>
      </w:pPr>
      <w:r>
        <w:rPr>
          <w:bCs/>
          <w:b/>
        </w:rPr>
        <w:t xml:space="preserve">॥ Sūkta — 14 ॥</w:t>
      </w:r>
      <w:r>
        <w:t xml:space="preserve"> </w:t>
      </w:r>
      <w:r>
        <w:rPr>
          <w:bCs/>
          <w:b/>
        </w:rPr>
        <w:t xml:space="preserve">॥ Maṇḍala — 1 ॥ Anuvāka — 4 ॥ Sūkta — 14 ॥</w:t>
      </w:r>
      <w:r>
        <w:t xml:space="preserve"> </w:t>
      </w:r>
      <w:r>
        <w:rPr>
          <w:bCs/>
          <w:b/>
        </w:rPr>
        <w:t xml:space="preserve">॥ Aṣṭaka — 1 ॥ Adhyāya — 1 ॥ Varga — 26, 27 ॥</w:t>
      </w:r>
      <w:r>
        <w:t xml:space="preserve"> </w:t>
      </w:r>
      <w:r>
        <w:rPr>
          <w:iCs/>
          <w:i/>
        </w:rPr>
        <w:t xml:space="preserve">(as printed; Ṛk 13.12 closed with varga 24)</w:t>
      </w:r>
      <w:r>
        <w:t xml:space="preserve"> </w:t>
      </w:r>
      <w:r>
        <w:rPr>
          <w:bCs/>
          <w:b/>
        </w:rPr>
        <w:t xml:space="preserve">॥ Mantras contained in this sūkta: 1–12 ॥</w:t>
      </w:r>
      <w:r>
        <w:t xml:space="preserve"> </w:t>
      </w:r>
      <w:r>
        <w:rPr>
          <w:bCs/>
          <w:b/>
        </w:rPr>
        <w:t xml:space="preserve">॥ Ṛṣi — Medhātithi Kāṇva ॥</w:t>
      </w:r>
      <w:r>
        <w:t xml:space="preserve"> </w:t>
      </w:r>
      <w:r>
        <w:rPr>
          <w:bCs/>
          <w:b/>
        </w:rPr>
        <w:t xml:space="preserve">॥ Devatā —</w:t>
      </w:r>
    </w:p>
    <w:p>
      <w:pPr>
        <w:pStyle w:val="BlockText"/>
      </w:pPr>
      <w:r>
        <w:t xml:space="preserve">विश्वे देवाः (विश्वैर्देवैः सहितो ऽग्निः । ३- इन्द्रवायुबृहस्पतिमित्राग्निपूषभगादित्यमरुद्गणाः । १०- विश्वदेवाग्नीन्द्रवायुमित्रधामानि । ११. अग्निः)</w:t>
      </w:r>
    </w:p>
    <w:p>
      <w:pPr>
        <w:pStyle w:val="BlockText"/>
      </w:pPr>
      <w:r>
        <w:rPr>
          <w:iCs/>
          <w:i/>
        </w:rPr>
        <w:t xml:space="preserve">viśve devāḥ (viśvairdevaiḥ sahito ’gniḥ | 3- indravāyubṛhaspatimitrāgnipūṣabhagādityamarudgaṇāḥ | 10- viśvadevāgnīndravāyumitradhāmāni | 11. agniḥ)</w:t>
      </w:r>
    </w:p>
    <w:p>
      <w:pPr>
        <w:pStyle w:val="FirstParagraph"/>
      </w:pPr>
      <w:r>
        <w:rPr>
          <w:iCs/>
          <w:i/>
        </w:rPr>
        <w:t xml:space="preserve">(</w:t>
      </w:r>
      <w:r>
        <w:rPr>
          <w:iCs/>
          <w:i/>
        </w:rPr>
        <w:t xml:space="preserve">“</w:t>
      </w:r>
      <w:r>
        <w:rPr>
          <w:iCs/>
          <w:i/>
        </w:rPr>
        <w:t xml:space="preserve">The Viśvedevas (Agni together with all the gods); 3 [as printed; i.e. from Ṛk 3]: Indra, Vāyu, Bṛhaspati, Mitra, Agni, Pūṣan, Bhaga, the Ādityas and the host of Maruts; 10: the Viśvedevas, Agni, Indra, Vāyu and the abodes of Mitra; 11: Agni.</w:t>
      </w:r>
      <w:r>
        <w:rPr>
          <w:iCs/>
          <w:i/>
        </w:rPr>
        <w:t xml:space="preserve">”</w:t>
      </w:r>
      <w:r>
        <w:rPr>
          <w:iCs/>
          <w:i/>
        </w:rPr>
        <w:t xml:space="preserve">)</w:t>
      </w:r>
      <w:r>
        <w:t xml:space="preserve"> </w:t>
      </w:r>
      <w:r>
        <w:rPr>
          <w:bCs/>
          <w:b/>
        </w:rPr>
        <w:t xml:space="preserve">॥</w:t>
      </w:r>
      <w:r>
        <w:t xml:space="preserve"> </w:t>
      </w:r>
      <w:r>
        <w:rPr>
          <w:bCs/>
          <w:b/>
        </w:rPr>
        <w:t xml:space="preserve">॥ Chandaḥ — Gāyatrī ॥</w:t>
      </w:r>
    </w:p>
    <w:p>
      <w:pPr>
        <w:pStyle w:val="BodyText"/>
      </w:pPr>
      <w:r>
        <w:rPr>
          <w:iCs/>
          <w:i/>
        </w:rPr>
        <w:t xml:space="preserve">(Saṃhitā accents as printed; Pada unaccented.)</w:t>
      </w:r>
    </w:p>
    <w:p>
      <w:pPr>
        <w:pStyle w:val="BodyText"/>
      </w:pPr>
      <w:r>
        <w:rPr>
          <w:bCs/>
          <w:b/>
        </w:rPr>
        <w:t xml:space="preserve">॥ Saṃhitā-pāṭhaḥ ॥</w:t>
      </w:r>
    </w:p>
    <w:p>
      <w:pPr>
        <w:pStyle w:val="BlockText"/>
      </w:pPr>
      <w:r>
        <w:t xml:space="preserve">ऐभि॑रग्ने॒ दुवो॒ गिरो॒ विश्वे॑भिः॒ सोम॑पीतये ।</w:t>
      </w:r>
      <w:r>
        <w:t xml:space="preserve"> </w:t>
      </w:r>
      <w:r>
        <w:t xml:space="preserve">दे॒वेभि॑र्याहि॒ यक्षि॑ च ॥१॥</w:t>
      </w:r>
    </w:p>
    <w:p>
      <w:pPr>
        <w:pStyle w:val="BlockText"/>
      </w:pPr>
      <w:r>
        <w:rPr>
          <w:iCs/>
          <w:i/>
        </w:rPr>
        <w:t xml:space="preserve">áibhir agne dúvo gíro víśvebhiḥ sómapītaye |</w:t>
      </w:r>
      <w:r>
        <w:t xml:space="preserve"> </w:t>
      </w:r>
      <w:r>
        <w:rPr>
          <w:iCs/>
          <w:i/>
        </w:rPr>
        <w:t xml:space="preserve">devébhir yāhi yákṣi ca ||1||</w:t>
      </w:r>
    </w:p>
    <w:p>
      <w:pPr>
        <w:pStyle w:val="FirstParagraph"/>
      </w:pPr>
      <w:r>
        <w:rPr>
          <w:bCs/>
          <w:b/>
        </w:rPr>
        <w:t xml:space="preserve">॥ Pada-pāṭhaḥ ॥</w:t>
      </w:r>
    </w:p>
    <w:p>
      <w:pPr>
        <w:pStyle w:val="BlockText"/>
      </w:pPr>
      <w:r>
        <w:t xml:space="preserve">आ । एभिः । अग्ने । दुवः । गिरः । विश्वेभिः । सोमऽपीतये ॥</w:t>
      </w:r>
      <w:r>
        <w:t xml:space="preserve"> </w:t>
      </w:r>
      <w:r>
        <w:t xml:space="preserve">देवेभिः । याहि । यक्षि । च ॥१॥</w:t>
      </w:r>
    </w:p>
    <w:p>
      <w:pPr>
        <w:pStyle w:val="BlockText"/>
      </w:pPr>
      <w:r>
        <w:rPr>
          <w:iCs/>
          <w:i/>
        </w:rPr>
        <w:t xml:space="preserve">ā | ebhiḥ | agne | duvaḥ | giraḥ | viśvebhiḥ | soma ’pītaye ||</w:t>
      </w:r>
      <w:r>
        <w:t xml:space="preserve"> </w:t>
      </w:r>
      <w:r>
        <w:rPr>
          <w:iCs/>
          <w:i/>
        </w:rPr>
        <w:t xml:space="preserve">devebhiḥ | yāhi | yakṣi | ca ||1||</w:t>
      </w:r>
    </w:p>
    <w:bookmarkEnd w:id="621"/>
    <w:bookmarkStart w:id="622" w:name="X23cf26cbce4ab1083633fd01cf67a77b5f6ac47"/>
    <w:p>
      <w:pPr>
        <w:pStyle w:val="Heading3"/>
      </w:pPr>
      <w:r>
        <w:t xml:space="preserve">Page 585 — Rik 1: bhāṣya, word-meanings, overall sense, English</w:t>
      </w:r>
    </w:p>
    <w:p>
      <w:pPr>
        <w:pStyle w:val="FirstParagraph"/>
      </w:pPr>
      <w:r>
        <w:rPr>
          <w:bCs/>
          <w:b/>
        </w:rPr>
        <w:t xml:space="preserve">॥ Sāyaṇa-bhāṣyam ॥</w:t>
      </w:r>
    </w:p>
    <w:p>
      <w:pPr>
        <w:pStyle w:val="BlockText"/>
      </w:pPr>
      <w:r>
        <w:t xml:space="preserve">हे अग्ने एभिरस्मिन्यज्ञे सम्भावितैर्विश्वेभिर्देवेभिः सर्वैर्देवैः सह सोमपीतये सोमपानोपेतयागार्थं दुवो ऽस्मदीयां परिचर्यां गिरो ऽस्मदीयाः स्तुतीश्च प्रत्या याहि । आगच्छ । यक्षि च । आगत्य यज च ॥ एभिः । पूर्वनिर्दिष्टानां देवानामिदमा परामर्शादिदमो ऽन्वादेशे ऽशनुदात्तस्तृतीयादौ । पा. २-४-३२ । इत्यशनुदात्तः । शित्त्वात्सर्वादेशः । नेदमदसोरकोः । पा. ७-१-११ । इति भिस ऐसादेशाभावः । विभक्तिरनुदात्तैव । न चोडिदमित्यादिना विभक्तेरुदात्तत्वं तत्रान्तोदात्तादित्यधिकारात् । दुवः । नब्विषयस्यानिसन्तस्येत्याद्युदात्तत्वं । विश्वेभिः । विश्वशब्दो विशेः क्वनन्तो नित्त्वादाद्युदात्तः । बहुलं छन्दसीति भिस ऐस् न भवति । बहुवचने झल्येत् । पा. ७-३-१०३ । इत्येत्वं । सोमपीतये । सोमशब्दो ऽर्तिस्तुस्वित्यादिना मनन्तो नित्त्वादाद्युदात्तः । सोमस्य पीतिर्यस्मिन्यागे स सोमपीतिः । तस्मै । तादर्थ्ये चतुर्थी । देवेभिः । बहुलं छन्दसीति भिस ऐसादेशाभावः । बहुवचने झल्येदित्येत्वं । यक्षि । यजेर्लोटः सिप् । बहुलं छन्दसीति शपो लुक् । व्रश्चादिना षत्वं । षढोः कः सीति कत्वं । सेर्ह्यादेशश्छान्दसत्वान्न भवति । सिपः पित्त्वेनानुदात्तत्वाद्धातुस्वर एव ॥</w:t>
      </w:r>
    </w:p>
    <w:p>
      <w:pPr>
        <w:pStyle w:val="BlockText"/>
      </w:pPr>
      <w:r>
        <w:rPr>
          <w:iCs/>
          <w:i/>
        </w:rPr>
        <w:t xml:space="preserve">he agne ebhirasminyajñe sambhāvitairviśvebhirdevebhiḥ sarvairdevaiḥ saha somapītaye somapānopetayāgārthaṃ duvo ’smadīyāṃ paricaryāṃ giro ’smadīyāḥ stutīśca pratyā yāhi | āgaccha | yakṣi ca | āgatya yaja ca || ebhiḥ | pūrvanirdiṣṭānāṃ devānāmidamā parāmarśādidamo ’nvādeśe ’śanudāttastṛtīyādau | pā. 2-4-32 | ityaśanudāttaḥ | śittvātsarvādeśaḥ | nedamadasorakoḥ | pā. 7-1-11 | iti bhisa aisādeśābhāvaḥ | vibhaktiranudāttaiva | na coḍidamityādinā vibhakterudāttatvaṃ tatrāntodāttādityadhikārāt | duvaḥ | nabviṣayasyānisantasyetyādyudāttatvaṃ | viśvebhiḥ | viśvaśabdo viśeḥ kvananto nittvādādyudāttaḥ | bahulaṃ chandasīti bhisa ais na bhavati | bahuvacane jhalyet | pā. 7-3-103 | ityetvaṃ | somapītaye | somaśabdo ’rtistusvityādinā mananto nittvādādyudāttaḥ | somasya pītiryasminyāge sa somapītiḥ | tasmai | tādarthye caturthī | devebhiḥ | bahulaṃ chandasīti bhisa aisādeśābhāvaḥ | bahuvacane jhalyedityetvaṃ | yakṣi | yajerloṭaḥ sip | bahulaṃ chandasīti śapo luk | vraścādinā ṣatvaṃ | ṣaḍhoḥ kaḥ sīti katvaṃ | serhyādeśaśchāndasatvānna bhavati | sipaḥ pittvenānudāttatvāddhātusvara eva ||</w:t>
      </w:r>
    </w:p>
    <w:p>
      <w:pPr>
        <w:pStyle w:val="FirstParagraph"/>
      </w:pPr>
      <w:r>
        <w:rPr>
          <w:bCs/>
          <w:b/>
        </w:rPr>
        <w:t xml:space="preserve">Translation:</w:t>
      </w:r>
      <w:r>
        <w:t xml:space="preserve"> </w:t>
      </w:r>
      <w:r>
        <w:t xml:space="preserve">“</w:t>
      </w:r>
      <w:r>
        <w:t xml:space="preserve">O Agni, together with these,</w:t>
      </w:r>
      <w:r>
        <w:t xml:space="preserve"> </w:t>
      </w:r>
      <w:r>
        <w:rPr>
          <w:iCs/>
          <w:i/>
        </w:rPr>
        <w:t xml:space="preserve">viśvebhir devebhiḥ</w:t>
      </w:r>
      <w:r>
        <w:t xml:space="preserve">, all the gods honoured at this sacrifice,</w:t>
      </w:r>
      <w:r>
        <w:t xml:space="preserve"> </w:t>
      </w:r>
      <w:r>
        <w:rPr>
          <w:iCs/>
          <w:i/>
        </w:rPr>
        <w:t xml:space="preserve">somapītaye</w:t>
      </w:r>
      <w:r>
        <w:t xml:space="preserve">, for the sacrifice that has the drinking of soma, come towards</w:t>
      </w:r>
      <w:r>
        <w:t xml:space="preserve"> </w:t>
      </w:r>
      <w:r>
        <w:rPr>
          <w:iCs/>
          <w:i/>
        </w:rPr>
        <w:t xml:space="preserve">duvaḥ</w:t>
      </w:r>
      <w:r>
        <w:t xml:space="preserve">, our service, and</w:t>
      </w:r>
      <w:r>
        <w:t xml:space="preserve"> </w:t>
      </w:r>
      <w:r>
        <w:rPr>
          <w:iCs/>
          <w:i/>
        </w:rPr>
        <w:t xml:space="preserve">giraḥ</w:t>
      </w:r>
      <w:r>
        <w:t xml:space="preserve">, our praises.</w:t>
      </w:r>
      <w:r>
        <w:t xml:space="preserve"> </w:t>
      </w:r>
      <w:r>
        <w:rPr>
          <w:iCs/>
          <w:i/>
        </w:rPr>
        <w:t xml:space="preserve">Yāhi</w:t>
      </w:r>
      <w:r>
        <w:t xml:space="preserve">: come.</w:t>
      </w:r>
      <w:r>
        <w:t xml:space="preserve"> </w:t>
      </w:r>
      <w:r>
        <w:rPr>
          <w:iCs/>
          <w:i/>
        </w:rPr>
        <w:t xml:space="preserve">Yakṣi ca</w:t>
      </w:r>
      <w:r>
        <w:t xml:space="preserve">: and having come, sacrifice.</w:t>
      </w:r>
      <w:r>
        <w:t xml:space="preserve">”</w:t>
      </w:r>
      <w:r>
        <w:t xml:space="preserve"> </w:t>
      </w:r>
      <w:r>
        <w:t xml:space="preserve">(Grammatical tail:</w:t>
      </w:r>
      <w:r>
        <w:t xml:space="preserve"> </w:t>
      </w:r>
      <w:r>
        <w:rPr>
          <w:iCs/>
          <w:i/>
        </w:rPr>
        <w:t xml:space="preserve">ebhiḥ</w:t>
      </w:r>
      <w:r>
        <w:t xml:space="preserve">:</w:t>
      </w:r>
      <w:r>
        <w:t xml:space="preserve"> </w:t>
      </w:r>
      <w:r>
        <w:rPr>
          <w:iCs/>
          <w:i/>
        </w:rPr>
        <w:t xml:space="preserve">idam</w:t>
      </w:r>
      <w:r>
        <w:t xml:space="preserve"> </w:t>
      </w:r>
      <w:r>
        <w:t xml:space="preserve">refers back to the gods named before, so in</w:t>
      </w:r>
      <w:r>
        <w:t xml:space="preserve"> </w:t>
      </w:r>
      <w:r>
        <w:rPr>
          <w:iCs/>
          <w:i/>
        </w:rPr>
        <w:t xml:space="preserve">anvādeśa</w:t>
      </w:r>
      <w:r>
        <w:t xml:space="preserve"> </w:t>
      </w:r>
      <w:r>
        <w:t xml:space="preserve">it takes the unaccented</w:t>
      </w:r>
      <w:r>
        <w:t xml:space="preserve"> </w:t>
      </w:r>
      <w:r>
        <w:rPr>
          <w:iCs/>
          <w:i/>
        </w:rPr>
        <w:t xml:space="preserve">aś</w:t>
      </w:r>
      <w:r>
        <w:t xml:space="preserve"> </w:t>
      </w:r>
      <w:r>
        <w:t xml:space="preserve">(Pā. 2-4-32), replacing the whole word since it is</w:t>
      </w:r>
      <w:r>
        <w:t xml:space="preserve"> </w:t>
      </w:r>
      <w:r>
        <w:rPr>
          <w:iCs/>
          <w:i/>
        </w:rPr>
        <w:t xml:space="preserve">śit</w:t>
      </w:r>
      <w:r>
        <w:t xml:space="preserve">;</w:t>
      </w:r>
      <w:r>
        <w:t xml:space="preserve"> </w:t>
      </w:r>
      <w:r>
        <w:rPr>
          <w:iCs/>
          <w:i/>
        </w:rPr>
        <w:t xml:space="preserve">ais</w:t>
      </w:r>
      <w:r>
        <w:t xml:space="preserve"> </w:t>
      </w:r>
      <w:r>
        <w:t xml:space="preserve">for</w:t>
      </w:r>
      <w:r>
        <w:t xml:space="preserve"> </w:t>
      </w:r>
      <w:r>
        <w:rPr>
          <w:iCs/>
          <w:i/>
        </w:rPr>
        <w:t xml:space="preserve">bhis</w:t>
      </w:r>
      <w:r>
        <w:t xml:space="preserve"> </w:t>
      </w:r>
      <w:r>
        <w:t xml:space="preserve">is barred by Pā. 7-1-11; the ending stays unaccented, since the rule</w:t>
      </w:r>
      <w:r>
        <w:t xml:space="preserve"> </w:t>
      </w:r>
      <w:r>
        <w:rPr>
          <w:iCs/>
          <w:i/>
        </w:rPr>
        <w:t xml:space="preserve">ūḍidam…</w:t>
      </w:r>
      <w:r>
        <w:t xml:space="preserve"> </w:t>
      </w:r>
      <w:r>
        <w:t xml:space="preserve">applies only after a final-udātta stem;</w:t>
      </w:r>
      <w:r>
        <w:t xml:space="preserve"> </w:t>
      </w:r>
      <w:r>
        <w:rPr>
          <w:iCs/>
          <w:i/>
        </w:rPr>
        <w:t xml:space="preserve">duvaḥ</w:t>
      </w:r>
      <w:r>
        <w:t xml:space="preserve"> </w:t>
      </w:r>
      <w:r>
        <w:t xml:space="preserve">initial udātta by</w:t>
      </w:r>
      <w:r>
        <w:t xml:space="preserve"> </w:t>
      </w:r>
      <w:r>
        <w:rPr>
          <w:iCs/>
          <w:i/>
        </w:rPr>
        <w:t xml:space="preserve">nabviṣayasyānisantasya</w:t>
      </w:r>
      <w:r>
        <w:t xml:space="preserve">;</w:t>
      </w:r>
      <w:r>
        <w:t xml:space="preserve"> </w:t>
      </w:r>
      <w:r>
        <w:rPr>
          <w:iCs/>
          <w:i/>
        </w:rPr>
        <w:t xml:space="preserve">viśvebhiḥ</w:t>
      </w:r>
      <w:r>
        <w:t xml:space="preserve">:</w:t>
      </w:r>
      <w:r>
        <w:t xml:space="preserve"> </w:t>
      </w:r>
      <w:r>
        <w:rPr>
          <w:iCs/>
          <w:i/>
        </w:rPr>
        <w:t xml:space="preserve">viśva</w:t>
      </w:r>
      <w:r>
        <w:t xml:space="preserve"> </w:t>
      </w:r>
      <w:r>
        <w:t xml:space="preserve">from</w:t>
      </w:r>
      <w:r>
        <w:t xml:space="preserve"> </w:t>
      </w:r>
      <w:r>
        <w:rPr>
          <w:iCs/>
          <w:i/>
        </w:rPr>
        <w:t xml:space="preserve">viś</w:t>
      </w:r>
      <w:r>
        <w:t xml:space="preserve"> </w:t>
      </w:r>
      <w:r>
        <w:t xml:space="preserve">with</w:t>
      </w:r>
      <w:r>
        <w:t xml:space="preserve"> </w:t>
      </w:r>
      <w:r>
        <w:rPr>
          <w:iCs/>
          <w:i/>
        </w:rPr>
        <w:t xml:space="preserve">kvan</w:t>
      </w:r>
      <w:r>
        <w:t xml:space="preserve">, initial udātta (</w:t>
      </w:r>
      <w:r>
        <w:rPr>
          <w:iCs/>
          <w:i/>
        </w:rPr>
        <w:t xml:space="preserve">nit</w:t>
      </w:r>
      <w:r>
        <w:t xml:space="preserve">), no</w:t>
      </w:r>
      <w:r>
        <w:t xml:space="preserve"> </w:t>
      </w:r>
      <w:r>
        <w:rPr>
          <w:iCs/>
          <w:i/>
        </w:rPr>
        <w:t xml:space="preserve">ais</w:t>
      </w:r>
      <w:r>
        <w:t xml:space="preserve"> </w:t>
      </w:r>
      <w:r>
        <w:t xml:space="preserve">by</w:t>
      </w:r>
      <w:r>
        <w:t xml:space="preserve"> </w:t>
      </w:r>
      <w:r>
        <w:rPr>
          <w:iCs/>
          <w:i/>
        </w:rPr>
        <w:t xml:space="preserve">bahulaṃ chandasi</w:t>
      </w:r>
      <w:r>
        <w:t xml:space="preserve">,</w:t>
      </w:r>
      <w:r>
        <w:t xml:space="preserve"> </w:t>
      </w:r>
      <w:r>
        <w:rPr>
          <w:iCs/>
          <w:i/>
        </w:rPr>
        <w:t xml:space="preserve">e</w:t>
      </w:r>
      <w:r>
        <w:t xml:space="preserve"> </w:t>
      </w:r>
      <w:r>
        <w:t xml:space="preserve">by Pā. 7-3-103;</w:t>
      </w:r>
      <w:r>
        <w:t xml:space="preserve"> </w:t>
      </w:r>
      <w:r>
        <w:rPr>
          <w:iCs/>
          <w:i/>
        </w:rPr>
        <w:t xml:space="preserve">somapītaye</w:t>
      </w:r>
      <w:r>
        <w:t xml:space="preserve">:</w:t>
      </w:r>
      <w:r>
        <w:t xml:space="preserve"> </w:t>
      </w:r>
      <w:r>
        <w:rPr>
          <w:iCs/>
          <w:i/>
        </w:rPr>
        <w:t xml:space="preserve">soma</w:t>
      </w:r>
      <w:r>
        <w:t xml:space="preserve"> </w:t>
      </w:r>
      <w:r>
        <w:t xml:space="preserve">with</w:t>
      </w:r>
      <w:r>
        <w:t xml:space="preserve"> </w:t>
      </w:r>
      <w:r>
        <w:rPr>
          <w:iCs/>
          <w:i/>
        </w:rPr>
        <w:t xml:space="preserve">man</w:t>
      </w:r>
      <w:r>
        <w:t xml:space="preserve">, initial udātta;</w:t>
      </w:r>
      <w:r>
        <w:t xml:space="preserve"> </w:t>
      </w:r>
      <w:r>
        <w:rPr>
          <w:iCs/>
          <w:i/>
        </w:rPr>
        <w:t xml:space="preserve">somapīti</w:t>
      </w:r>
      <w:r>
        <w:t xml:space="preserve"> </w:t>
      </w:r>
      <w:r>
        <w:t xml:space="preserve">“</w:t>
      </w:r>
      <w:r>
        <w:t xml:space="preserve">the sacrifice in which there is the drinking of soma</w:t>
      </w:r>
      <w:r>
        <w:t xml:space="preserve">”</w:t>
      </w:r>
      <w:r>
        <w:t xml:space="preserve">, dative of purpose;</w:t>
      </w:r>
      <w:r>
        <w:t xml:space="preserve"> </w:t>
      </w:r>
      <w:r>
        <w:rPr>
          <w:iCs/>
          <w:i/>
        </w:rPr>
        <w:t xml:space="preserve">devebhiḥ</w:t>
      </w:r>
      <w:r>
        <w:t xml:space="preserve"> </w:t>
      </w:r>
      <w:r>
        <w:t xml:space="preserve">likewise;</w:t>
      </w:r>
      <w:r>
        <w:t xml:space="preserve"> </w:t>
      </w:r>
      <w:r>
        <w:rPr>
          <w:iCs/>
          <w:i/>
        </w:rPr>
        <w:t xml:space="preserve">yakṣi</w:t>
      </w:r>
      <w:r>
        <w:t xml:space="preserve">:</w:t>
      </w:r>
      <w:r>
        <w:t xml:space="preserve"> </w:t>
      </w:r>
      <w:r>
        <w:rPr>
          <w:iCs/>
          <w:i/>
        </w:rPr>
        <w:t xml:space="preserve">yaj</w:t>
      </w:r>
      <w:r>
        <w:t xml:space="preserve">,</w:t>
      </w:r>
      <w:r>
        <w:t xml:space="preserve"> </w:t>
      </w:r>
      <w:r>
        <w:rPr>
          <w:iCs/>
          <w:i/>
        </w:rPr>
        <w:t xml:space="preserve">loṭ</w:t>
      </w:r>
      <w:r>
        <w:t xml:space="preserve">,</w:t>
      </w:r>
      <w:r>
        <w:t xml:space="preserve"> </w:t>
      </w:r>
      <w:r>
        <w:rPr>
          <w:iCs/>
          <w:i/>
        </w:rPr>
        <w:t xml:space="preserve">sip</w:t>
      </w:r>
      <w:r>
        <w:t xml:space="preserve">,</w:t>
      </w:r>
      <w:r>
        <w:t xml:space="preserve"> </w:t>
      </w:r>
      <w:r>
        <w:rPr>
          <w:iCs/>
          <w:i/>
        </w:rPr>
        <w:t xml:space="preserve">śap</w:t>
      </w:r>
      <w:r>
        <w:t xml:space="preserve"> </w:t>
      </w:r>
      <w:r>
        <w:t xml:space="preserve">dropped,</w:t>
      </w:r>
      <w:r>
        <w:t xml:space="preserve"> </w:t>
      </w:r>
      <w:r>
        <w:rPr>
          <w:iCs/>
          <w:i/>
        </w:rPr>
        <w:t xml:space="preserve">ṣ</w:t>
      </w:r>
      <w:r>
        <w:t xml:space="preserve"> </w:t>
      </w:r>
      <w:r>
        <w:t xml:space="preserve">and then</w:t>
      </w:r>
      <w:r>
        <w:t xml:space="preserve"> </w:t>
      </w:r>
      <w:r>
        <w:rPr>
          <w:iCs/>
          <w:i/>
        </w:rPr>
        <w:t xml:space="preserve">k</w:t>
      </w:r>
      <w:r>
        <w:t xml:space="preserve"> </w:t>
      </w:r>
      <w:r>
        <w:t xml:space="preserve">(</w:t>
      </w:r>
      <w:r>
        <w:rPr>
          <w:iCs/>
          <w:i/>
        </w:rPr>
        <w:t xml:space="preserve">ṣaḍhoḥ kaḥ si</w:t>
      </w:r>
      <w:r>
        <w:t xml:space="preserve">),</w:t>
      </w:r>
      <w:r>
        <w:t xml:space="preserve"> </w:t>
      </w:r>
      <w:r>
        <w:rPr>
          <w:iCs/>
          <w:i/>
        </w:rPr>
        <w:t xml:space="preserve">hi</w:t>
      </w:r>
      <w:r>
        <w:t xml:space="preserve"> </w:t>
      </w:r>
      <w:r>
        <w:t xml:space="preserve">for</w:t>
      </w:r>
      <w:r>
        <w:t xml:space="preserve"> </w:t>
      </w:r>
      <w:r>
        <w:rPr>
          <w:iCs/>
          <w:i/>
        </w:rPr>
        <w:t xml:space="preserve">si</w:t>
      </w:r>
      <w:r>
        <w:t xml:space="preserve"> </w:t>
      </w:r>
      <w:r>
        <w:t xml:space="preserve">not made, being Vedic; the root accent,</w:t>
      </w:r>
      <w:r>
        <w:t xml:space="preserve"> </w:t>
      </w:r>
      <w:r>
        <w:rPr>
          <w:iCs/>
          <w:i/>
        </w:rPr>
        <w:t xml:space="preserve">sip</w:t>
      </w:r>
      <w:r>
        <w:t xml:space="preserve"> </w:t>
      </w:r>
      <w:r>
        <w:t xml:space="preserve">being unaccented.)</w:t>
      </w:r>
    </w:p>
    <w:p>
      <w:pPr>
        <w:pStyle w:val="BodyText"/>
      </w:pPr>
      <w:r>
        <w:rPr>
          <w:bCs/>
          <w:b/>
        </w:rPr>
        <w:t xml:space="preserve">॥ Prati-padārthaḥ ॥</w:t>
      </w:r>
      <w:r>
        <w:t xml:space="preserve"> </w:t>
      </w:r>
      <w:r>
        <w:rPr>
          <w:iCs/>
          <w:i/>
        </w:rPr>
        <w:t xml:space="preserve">(Kannada)</w:t>
      </w:r>
    </w:p>
    <w:p>
      <w:pPr>
        <w:pStyle w:val="BodyText"/>
      </w:pPr>
      <w:r>
        <w:rPr>
          <w:bCs/>
          <w:b/>
        </w:rPr>
        <w:t xml:space="preserve">(हे) अग्ने ((he) agne)</w:t>
      </w:r>
      <w:r>
        <w:t xml:space="preserve"> </w:t>
      </w:r>
      <w:r>
        <w:t xml:space="preserve">— O Agni |</w:t>
      </w:r>
      <w:r>
        <w:t xml:space="preserve"> </w:t>
      </w:r>
      <w:r>
        <w:rPr>
          <w:bCs/>
          <w:b/>
        </w:rPr>
        <w:t xml:space="preserve">एभिः (ebhiḥ)</w:t>
      </w:r>
      <w:r>
        <w:t xml:space="preserve"> </w:t>
      </w:r>
      <w:r>
        <w:t xml:space="preserve">— these [gods], honoured at this our sacrifice (Kannada</w:t>
      </w:r>
      <w:r>
        <w:t xml:space="preserve"> </w:t>
      </w:r>
      <w:r>
        <w:rPr>
          <w:iCs/>
          <w:i/>
        </w:rPr>
        <w:t xml:space="preserve">saṃbhāvitarāda</w:t>
      </w:r>
      <w:r>
        <w:t xml:space="preserve">) |</w:t>
      </w:r>
      <w:r>
        <w:t xml:space="preserve"> </w:t>
      </w:r>
      <w:r>
        <w:rPr>
          <w:bCs/>
          <w:b/>
        </w:rPr>
        <w:t xml:space="preserve">विश्वेभिः (viśvebhiḥ)</w:t>
      </w:r>
      <w:r>
        <w:t xml:space="preserve"> </w:t>
      </w:r>
      <w:r>
        <w:t xml:space="preserve">— all |</w:t>
      </w:r>
      <w:r>
        <w:t xml:space="preserve"> </w:t>
      </w:r>
      <w:r>
        <w:rPr>
          <w:bCs/>
          <w:b/>
        </w:rPr>
        <w:t xml:space="preserve">देवेभिः (devebhiḥ)</w:t>
      </w:r>
      <w:r>
        <w:t xml:space="preserve"> </w:t>
      </w:r>
      <w:r>
        <w:t xml:space="preserve">— with the gods |</w:t>
      </w:r>
      <w:r>
        <w:t xml:space="preserve"> </w:t>
      </w:r>
      <w:r>
        <w:rPr>
          <w:bCs/>
          <w:b/>
        </w:rPr>
        <w:t xml:space="preserve">दुवः (duvaḥ)</w:t>
      </w:r>
      <w:r>
        <w:t xml:space="preserve"> </w:t>
      </w:r>
      <w:r>
        <w:t xml:space="preserve">— the service (</w:t>
      </w:r>
      <w:r>
        <w:rPr>
          <w:iCs/>
          <w:i/>
        </w:rPr>
        <w:t xml:space="preserve">śuśrūṣā</w:t>
      </w:r>
      <w:r>
        <w:t xml:space="preserve">) that we render |</w:t>
      </w:r>
      <w:r>
        <w:t xml:space="preserve"> </w:t>
      </w:r>
      <w:r>
        <w:rPr>
          <w:bCs/>
          <w:b/>
        </w:rPr>
        <w:t xml:space="preserve">गिरः (giraḥ)</w:t>
      </w:r>
      <w:r>
        <w:t xml:space="preserve"> </w:t>
      </w:r>
      <w:r>
        <w:t xml:space="preserve">— words in the form of hymns of praise |</w:t>
      </w:r>
      <w:r>
        <w:t xml:space="preserve"> </w:t>
      </w:r>
      <w:r>
        <w:rPr>
          <w:bCs/>
          <w:b/>
        </w:rPr>
        <w:t xml:space="preserve">सोमपीतये (somapītaye)</w:t>
      </w:r>
      <w:r>
        <w:t xml:space="preserve"> </w:t>
      </w:r>
      <w:r>
        <w:t xml:space="preserve">— for the drinking of soma |</w:t>
      </w:r>
      <w:r>
        <w:t xml:space="preserve"> </w:t>
      </w:r>
      <w:r>
        <w:rPr>
          <w:bCs/>
          <w:b/>
        </w:rPr>
        <w:t xml:space="preserve">प्रति आ याहि (prati ā yāhi)</w:t>
      </w:r>
      <w:r>
        <w:t xml:space="preserve"> </w:t>
      </w:r>
      <w:r>
        <w:t xml:space="preserve">— come so as to receive |</w:t>
      </w:r>
      <w:r>
        <w:t xml:space="preserve"> </w:t>
      </w:r>
      <w:r>
        <w:rPr>
          <w:bCs/>
          <w:b/>
        </w:rPr>
        <w:t xml:space="preserve">यक्षि च (yakṣi ca)</w:t>
      </w:r>
      <w:r>
        <w:t xml:space="preserve"> </w:t>
      </w:r>
      <w:r>
        <w:t xml:space="preserve">— and bring the sacrifice to completion.</w:t>
      </w:r>
    </w:p>
    <w:p>
      <w:pPr>
        <w:pStyle w:val="BodyText"/>
      </w:pPr>
      <w:r>
        <w:rPr>
          <w:bCs/>
          <w:b/>
        </w:rPr>
        <w:t xml:space="preserve">॥ Bhāvārthaḥ ॥</w:t>
      </w:r>
    </w:p>
    <w:p>
      <w:pPr>
        <w:pStyle w:val="BodyText"/>
      </w:pPr>
      <w:r>
        <w:t xml:space="preserve">O Agni, come with all the gods, to receive the service we render in this our sacrifice and the hymns of praise, and to drink the soma. After you have come, bring this sacrificial act to completion in all its parts.</w:t>
      </w:r>
    </w:p>
    <w:p>
      <w:pPr>
        <w:pStyle w:val="BodyText"/>
      </w:pPr>
      <w:r>
        <w:rPr>
          <w:bCs/>
          <w:b/>
        </w:rPr>
        <w:t xml:space="preserve">॥ English Translation ॥</w:t>
      </w:r>
      <w:r>
        <w:t xml:space="preserve"> </w:t>
      </w:r>
      <w:r>
        <w:rPr>
          <w:iCs/>
          <w:i/>
        </w:rPr>
        <w:t xml:space="preserve">(as printed in the source)</w:t>
      </w:r>
    </w:p>
    <w:p>
      <w:pPr>
        <w:pStyle w:val="BlockText"/>
      </w:pPr>
      <w:r>
        <w:t xml:space="preserve">Come, Agni with all those gods to receive our adoration and praises and for drinking soma; and also perform the sacrifice.</w:t>
      </w:r>
    </w:p>
    <w:p>
      <w:pPr>
        <w:pStyle w:val="FirstParagraph"/>
      </w:pPr>
      <w:r>
        <w:rPr>
          <w:iCs/>
          <w:i/>
        </w:rPr>
        <w:t xml:space="preserve">(At the foot of the page, outside the text:</w:t>
      </w:r>
      <w:r>
        <w:rPr>
          <w:iCs/>
          <w:i/>
        </w:rPr>
        <w:t xml:space="preserve"> </w:t>
      </w:r>
      <w:r>
        <w:rPr>
          <w:iCs/>
          <w:i/>
        </w:rPr>
        <w:t xml:space="preserve">“</w:t>
      </w:r>
      <w:r>
        <w:rPr>
          <w:iCs/>
          <w:i/>
        </w:rPr>
        <w:t xml:space="preserve">74</w:t>
      </w:r>
      <w:r>
        <w:rPr>
          <w:iCs/>
          <w:i/>
        </w:rPr>
        <w:t xml:space="preserve">”</w:t>
      </w:r>
      <w:r>
        <w:rPr>
          <w:iCs/>
          <w:i/>
        </w:rPr>
        <w:t xml:space="preserve">, probably a printer’s sheet mark.)</w:t>
      </w:r>
    </w:p>
    <w:bookmarkEnd w:id="622"/>
    <w:bookmarkStart w:id="623" w:name="page-586-rik-1-grammar"/>
    <w:p>
      <w:pPr>
        <w:pStyle w:val="Heading3"/>
      </w:pPr>
      <w:r>
        <w:t xml:space="preserve">Page 586 — Rik 1: grammar</w:t>
      </w:r>
    </w:p>
    <w:p>
      <w:pPr>
        <w:pStyle w:val="FirstParagraph"/>
      </w:pPr>
      <w:r>
        <w:rPr>
          <w:bCs/>
          <w:b/>
        </w:rPr>
        <w:t xml:space="preserve">॥ Vyākaraṇa-prakriyā ॥</w:t>
      </w:r>
      <w:r>
        <w:t xml:space="preserve"> </w:t>
      </w:r>
      <w:r>
        <w:rPr>
          <w:iCs/>
          <w:i/>
        </w:rPr>
        <w:t xml:space="preserve">(grammar pages 586–588, noted briefly)</w:t>
      </w:r>
    </w:p>
    <w:p>
      <w:pPr>
        <w:pStyle w:val="BodyText"/>
      </w:pPr>
      <w:r>
        <w:rPr>
          <w:bCs/>
          <w:b/>
        </w:rPr>
        <w:t xml:space="preserve">एभिः (</w:t>
      </w:r>
      <w:r>
        <w:rPr>
          <w:iCs/>
          <w:i/>
          <w:bCs/>
          <w:b/>
        </w:rPr>
        <w:t xml:space="preserve">ebhiḥ</w:t>
      </w:r>
      <w:r>
        <w:rPr>
          <w:bCs/>
          <w:b/>
        </w:rPr>
        <w:t xml:space="preserve">)</w:t>
      </w:r>
      <w:r>
        <w:t xml:space="preserve">:</w:t>
      </w:r>
      <w:r>
        <w:t xml:space="preserve"> </w:t>
      </w:r>
      <w:r>
        <w:rPr>
          <w:iCs/>
          <w:i/>
        </w:rPr>
        <w:t xml:space="preserve">idam</w:t>
      </w:r>
      <w:r>
        <w:t xml:space="preserve"> </w:t>
      </w:r>
      <w:r>
        <w:t xml:space="preserve">+</w:t>
      </w:r>
      <w:r>
        <w:t xml:space="preserve"> </w:t>
      </w:r>
      <w:r>
        <w:rPr>
          <w:iCs/>
          <w:i/>
        </w:rPr>
        <w:t xml:space="preserve">bhis</w:t>
      </w:r>
      <w:r>
        <w:t xml:space="preserve">;</w:t>
      </w:r>
      <w:r>
        <w:t xml:space="preserve"> </w:t>
      </w:r>
      <w:r>
        <w:rPr>
          <w:iCs/>
          <w:i/>
        </w:rPr>
        <w:t xml:space="preserve">idam</w:t>
      </w:r>
      <w:r>
        <w:t xml:space="preserve"> </w:t>
      </w:r>
      <w:r>
        <w:t xml:space="preserve">refers to the deities mentioned before, so there is</w:t>
      </w:r>
      <w:r>
        <w:t xml:space="preserve"> </w:t>
      </w:r>
      <w:r>
        <w:rPr>
          <w:iCs/>
          <w:i/>
        </w:rPr>
        <w:t xml:space="preserve">anvādeśa</w:t>
      </w:r>
      <w:r>
        <w:t xml:space="preserve">; hence by</w:t>
      </w:r>
      <w:r>
        <w:t xml:space="preserve"> </w:t>
      </w:r>
      <w:r>
        <w:t xml:space="preserve">“</w:t>
      </w:r>
      <w:r>
        <w:t xml:space="preserve">idamo ’nvādeśe ’śanudāttas tṛtīyādau</w:t>
      </w:r>
      <w:r>
        <w:t xml:space="preserve">”</w:t>
      </w:r>
      <w:r>
        <w:t xml:space="preserve"> </w:t>
      </w:r>
      <w:r>
        <w:t xml:space="preserve">(Pā. sū. 2-4-32) the unaccented replacement</w:t>
      </w:r>
      <w:r>
        <w:t xml:space="preserve"> </w:t>
      </w:r>
      <w:r>
        <w:rPr>
          <w:iCs/>
          <w:i/>
        </w:rPr>
        <w:t xml:space="preserve">aś</w:t>
      </w:r>
      <w:r>
        <w:t xml:space="preserve"> </w:t>
      </w:r>
      <w:r>
        <w:t xml:space="preserve">comes for</w:t>
      </w:r>
      <w:r>
        <w:t xml:space="preserve"> </w:t>
      </w:r>
      <w:r>
        <w:rPr>
          <w:iCs/>
          <w:i/>
        </w:rPr>
        <w:t xml:space="preserve">idam</w:t>
      </w:r>
      <w:r>
        <w:t xml:space="preserve">; being</w:t>
      </w:r>
      <w:r>
        <w:t xml:space="preserve"> </w:t>
      </w:r>
      <w:r>
        <w:rPr>
          <w:iCs/>
          <w:i/>
        </w:rPr>
        <w:t xml:space="preserve">śit</w:t>
      </w:r>
      <w:r>
        <w:t xml:space="preserve">, it replaces the whole word by</w:t>
      </w:r>
      <w:r>
        <w:t xml:space="preserve"> </w:t>
      </w:r>
      <w:r>
        <w:t xml:space="preserve">“</w:t>
      </w:r>
      <w:r>
        <w:t xml:space="preserve">anekāl śit sarvasya</w:t>
      </w:r>
      <w:r>
        <w:t xml:space="preserve">”</w:t>
      </w:r>
      <w:r>
        <w:t xml:space="preserve">:</w:t>
      </w:r>
      <w:r>
        <w:t xml:space="preserve"> </w:t>
      </w:r>
      <w:r>
        <w:rPr>
          <w:iCs/>
          <w:i/>
        </w:rPr>
        <w:t xml:space="preserve">a</w:t>
      </w:r>
      <w:r>
        <w:t xml:space="preserve"> </w:t>
      </w:r>
      <w:r>
        <w:t xml:space="preserve">+</w:t>
      </w:r>
      <w:r>
        <w:t xml:space="preserve"> </w:t>
      </w:r>
      <w:r>
        <w:rPr>
          <w:iCs/>
          <w:i/>
        </w:rPr>
        <w:t xml:space="preserve">bhis</w:t>
      </w:r>
      <w:r>
        <w:t xml:space="preserve">;</w:t>
      </w:r>
      <w:r>
        <w:t xml:space="preserve"> </w:t>
      </w:r>
      <w:r>
        <w:t xml:space="preserve">“</w:t>
      </w:r>
      <w:r>
        <w:t xml:space="preserve">ato bhisa ais</w:t>
      </w:r>
      <w:r>
        <w:t xml:space="preserve">”</w:t>
      </w:r>
      <w:r>
        <w:t xml:space="preserve"> </w:t>
      </w:r>
      <w:r>
        <w:t xml:space="preserve">(Pā. sū. 7-1-9) would give</w:t>
      </w:r>
      <w:r>
        <w:t xml:space="preserve"> </w:t>
      </w:r>
      <w:r>
        <w:rPr>
          <w:iCs/>
          <w:i/>
        </w:rPr>
        <w:t xml:space="preserve">ais</w:t>
      </w:r>
      <w:r>
        <w:t xml:space="preserve">, but</w:t>
      </w:r>
      <w:r>
        <w:t xml:space="preserve"> </w:t>
      </w:r>
      <w:r>
        <w:t xml:space="preserve">“</w:t>
      </w:r>
      <w:r>
        <w:t xml:space="preserve">nedamadasor akoḥ</w:t>
      </w:r>
      <w:r>
        <w:t xml:space="preserve">”</w:t>
      </w:r>
      <w:r>
        <w:t xml:space="preserve"> </w:t>
      </w:r>
      <w:r>
        <w:t xml:space="preserve">(Pā. sū. 7-1-11) bars</w:t>
      </w:r>
      <w:r>
        <w:t xml:space="preserve"> </w:t>
      </w:r>
      <w:r>
        <w:rPr>
          <w:iCs/>
          <w:i/>
        </w:rPr>
        <w:t xml:space="preserve">ais</w:t>
      </w:r>
      <w:r>
        <w:t xml:space="preserve"> </w:t>
      </w:r>
      <w:r>
        <w:t xml:space="preserve">after</w:t>
      </w:r>
      <w:r>
        <w:t xml:space="preserve"> </w:t>
      </w:r>
      <w:r>
        <w:rPr>
          <w:iCs/>
          <w:i/>
        </w:rPr>
        <w:t xml:space="preserve">idam</w:t>
      </w:r>
      <w:r>
        <w:t xml:space="preserve"> </w:t>
      </w:r>
      <w:r>
        <w:t xml:space="preserve">and</w:t>
      </w:r>
      <w:r>
        <w:t xml:space="preserve"> </w:t>
      </w:r>
      <w:r>
        <w:rPr>
          <w:iCs/>
          <w:i/>
        </w:rPr>
        <w:t xml:space="preserve">adas</w:t>
      </w:r>
      <w:r>
        <w:t xml:space="preserve"> </w:t>
      </w:r>
      <w:r>
        <w:t xml:space="preserve">without the</w:t>
      </w:r>
      <w:r>
        <w:t xml:space="preserve"> </w:t>
      </w:r>
      <w:r>
        <w:rPr>
          <w:iCs/>
          <w:i/>
        </w:rPr>
        <w:t xml:space="preserve">k</w:t>
      </w:r>
      <w:r>
        <w:t xml:space="preserve"> </w:t>
      </w:r>
      <w:r>
        <w:t xml:space="preserve">(of</w:t>
      </w:r>
      <w:r>
        <w:t xml:space="preserve"> </w:t>
      </w:r>
      <w:r>
        <w:rPr>
          <w:iCs/>
          <w:i/>
        </w:rPr>
        <w:t xml:space="preserve">aka</w:t>
      </w:r>
      <w:r>
        <w:t xml:space="preserve">); so no</w:t>
      </w:r>
      <w:r>
        <w:t xml:space="preserve"> </w:t>
      </w:r>
      <w:r>
        <w:rPr>
          <w:iCs/>
          <w:i/>
        </w:rPr>
        <w:t xml:space="preserve">ais</w:t>
      </w:r>
      <w:r>
        <w:t xml:space="preserve">.</w:t>
      </w:r>
      <w:r>
        <w:t xml:space="preserve"> </w:t>
      </w:r>
      <w:r>
        <w:t xml:space="preserve">“</w:t>
      </w:r>
      <w:r>
        <w:t xml:space="preserve">bahuvacane jhaly et</w:t>
      </w:r>
      <w:r>
        <w:t xml:space="preserve">”</w:t>
      </w:r>
      <w:r>
        <w:t xml:space="preserve"> </w:t>
      </w:r>
      <w:r>
        <w:t xml:space="preserve">(Pā. sū. 7-3-103) gives</w:t>
      </w:r>
      <w:r>
        <w:t xml:space="preserve"> </w:t>
      </w:r>
      <w:r>
        <w:rPr>
          <w:iCs/>
          <w:i/>
        </w:rPr>
        <w:t xml:space="preserve">e</w:t>
      </w:r>
      <w:r>
        <w:t xml:space="preserve"> </w:t>
      </w:r>
      <w:r>
        <w:t xml:space="preserve">to the</w:t>
      </w:r>
      <w:r>
        <w:t xml:space="preserve"> </w:t>
      </w:r>
      <w:r>
        <w:rPr>
          <w:iCs/>
          <w:i/>
        </w:rPr>
        <w:t xml:space="preserve">a</w:t>
      </w:r>
      <w:r>
        <w:t xml:space="preserve">-final stem before a</w:t>
      </w:r>
      <w:r>
        <w:t xml:space="preserve"> </w:t>
      </w:r>
      <w:r>
        <w:rPr>
          <w:iCs/>
          <w:i/>
        </w:rPr>
        <w:t xml:space="preserve">jhal</w:t>
      </w:r>
      <w:r>
        <w:t xml:space="preserve">-initial plural ending:</w:t>
      </w:r>
      <w:r>
        <w:t xml:space="preserve"> </w:t>
      </w:r>
      <w:r>
        <w:rPr>
          <w:iCs/>
          <w:i/>
        </w:rPr>
        <w:t xml:space="preserve">e</w:t>
      </w:r>
      <w:r>
        <w:t xml:space="preserve"> </w:t>
      </w:r>
      <w:r>
        <w:t xml:space="preserve">+</w:t>
      </w:r>
      <w:r>
        <w:t xml:space="preserve"> </w:t>
      </w:r>
      <w:r>
        <w:rPr>
          <w:iCs/>
          <w:i/>
        </w:rPr>
        <w:t xml:space="preserve">bhis</w:t>
      </w:r>
      <w:r>
        <w:t xml:space="preserve">,</w:t>
      </w:r>
      <w:r>
        <w:t xml:space="preserve"> </w:t>
      </w:r>
      <w:r>
        <w:rPr>
          <w:iCs/>
          <w:i/>
        </w:rPr>
        <w:t xml:space="preserve">ru</w:t>
      </w:r>
      <w:r>
        <w:t xml:space="preserve">, visarga:</w:t>
      </w:r>
      <w:r>
        <w:t xml:space="preserve"> </w:t>
      </w:r>
      <w:r>
        <w:rPr>
          <w:iCs/>
          <w:i/>
        </w:rPr>
        <w:t xml:space="preserve">ebhiḥ</w:t>
      </w:r>
      <w:r>
        <w:t xml:space="preserve">.</w:t>
      </w:r>
      <w:r>
        <w:t xml:space="preserve"> </w:t>
      </w:r>
      <w:r>
        <w:t xml:space="preserve">“</w:t>
      </w:r>
      <w:r>
        <w:t xml:space="preserve">ūḍidampadādyappumraidyubhyaḥ</w:t>
      </w:r>
      <w:r>
        <w:t xml:space="preserve">”</w:t>
      </w:r>
      <w:r>
        <w:t xml:space="preserve"> </w:t>
      </w:r>
      <w:r>
        <w:t xml:space="preserve">(Pā. sū. 6-1-171): here, by</w:t>
      </w:r>
      <w:r>
        <w:t xml:space="preserve"> </w:t>
      </w:r>
      <w:r>
        <w:t xml:space="preserve">“</w:t>
      </w:r>
      <w:r>
        <w:t xml:space="preserve">sāv ekācas tṛtīyādir vibhaktiḥ</w:t>
      </w:r>
      <w:r>
        <w:t xml:space="preserve">”</w:t>
      </w:r>
      <w:r>
        <w:t xml:space="preserve"> </w:t>
      </w:r>
      <w:r>
        <w:t xml:space="preserve">(Pā. sū. 6-1-168),</w:t>
      </w:r>
      <w:r>
        <w:t xml:space="preserve"> </w:t>
      </w:r>
      <w:r>
        <w:rPr>
          <w:iCs/>
          <w:i/>
        </w:rPr>
        <w:t xml:space="preserve">ekācaḥ</w:t>
      </w:r>
      <w:r>
        <w:t xml:space="preserve">, and by</w:t>
      </w:r>
      <w:r>
        <w:t xml:space="preserve"> </w:t>
      </w:r>
      <w:r>
        <w:t xml:space="preserve">“</w:t>
      </w:r>
      <w:r>
        <w:t xml:space="preserve">antodāttād uttarapadād anyatarasyām anityasamāse</w:t>
      </w:r>
      <w:r>
        <w:t xml:space="preserve">”</w:t>
      </w:r>
      <w:r>
        <w:t xml:space="preserve"> </w:t>
      </w:r>
      <w:r>
        <w:t xml:space="preserve">(Pā. sū. 6-1-169),</w:t>
      </w:r>
      <w:r>
        <w:t xml:space="preserve"> </w:t>
      </w:r>
      <w:r>
        <w:rPr>
          <w:iCs/>
          <w:i/>
        </w:rPr>
        <w:t xml:space="preserve">antodāttāt</w:t>
      </w:r>
      <w:r>
        <w:t xml:space="preserve">, are carried on, so the sūtra means: a non-</w:t>
      </w:r>
      <w:r>
        <w:rPr>
          <w:iCs/>
          <w:i/>
        </w:rPr>
        <w:t xml:space="preserve">sarvanāmasthāna</w:t>
      </w:r>
      <w:r>
        <w:t xml:space="preserve"> </w:t>
      </w:r>
      <w:r>
        <w:t xml:space="preserve">ending after</w:t>
      </w:r>
      <w:r>
        <w:t xml:space="preserve"> </w:t>
      </w:r>
      <w:r>
        <w:rPr>
          <w:iCs/>
          <w:i/>
        </w:rPr>
        <w:t xml:space="preserve">idam</w:t>
      </w:r>
      <w:r>
        <w:t xml:space="preserve"> </w:t>
      </w:r>
      <w:r>
        <w:t xml:space="preserve">and the rest, when they have one vowel and are final-udātta, is udātta. Here</w:t>
      </w:r>
      <w:r>
        <w:t xml:space="preserve"> </w:t>
      </w:r>
      <w:r>
        <w:rPr>
          <w:iCs/>
          <w:i/>
        </w:rPr>
        <w:t xml:space="preserve">aś</w:t>
      </w:r>
      <w:r>
        <w:t xml:space="preserve"> </w:t>
      </w:r>
      <w:r>
        <w:t xml:space="preserve">is an unaccented replacement, and</w:t>
      </w:r>
      <w:r>
        <w:t xml:space="preserve"> </w:t>
      </w:r>
      <w:r>
        <w:rPr>
          <w:iCs/>
          <w:i/>
        </w:rPr>
        <w:t xml:space="preserve">e</w:t>
      </w:r>
      <w:r>
        <w:t xml:space="preserve"> </w:t>
      </w:r>
      <w:r>
        <w:t xml:space="preserve">is not final-udātta even though by</w:t>
      </w:r>
      <w:r>
        <w:t xml:space="preserve"> </w:t>
      </w:r>
      <w:r>
        <w:rPr>
          <w:iCs/>
          <w:i/>
        </w:rPr>
        <w:t xml:space="preserve">sthānivadbhāva</w:t>
      </w:r>
      <w:r>
        <w:t xml:space="preserve"> </w:t>
      </w:r>
      <w:r>
        <w:t xml:space="preserve">it counts as</w:t>
      </w:r>
      <w:r>
        <w:t xml:space="preserve"> </w:t>
      </w:r>
      <w:r>
        <w:rPr>
          <w:iCs/>
          <w:i/>
        </w:rPr>
        <w:t xml:space="preserve">idam</w:t>
      </w:r>
      <w:r>
        <w:t xml:space="preserve">; so this sūtra gives the ending no udātta, and by</w:t>
      </w:r>
      <w:r>
        <w:t xml:space="preserve"> </w:t>
      </w:r>
      <w:r>
        <w:t xml:space="preserve">“</w:t>
      </w:r>
      <w:r>
        <w:t xml:space="preserve">anudāttau suppitau</w:t>
      </w:r>
      <w:r>
        <w:t xml:space="preserve">”</w:t>
      </w:r>
      <w:r>
        <w:t xml:space="preserve"> </w:t>
      </w:r>
      <w:r>
        <w:t xml:space="preserve">(Pā. sū. 3-1-4)</w:t>
      </w:r>
      <w:r>
        <w:t xml:space="preserve"> </w:t>
      </w:r>
      <w:r>
        <w:rPr>
          <w:iCs/>
          <w:i/>
        </w:rPr>
        <w:t xml:space="preserve">bhis</w:t>
      </w:r>
      <w:r>
        <w:t xml:space="preserve"> </w:t>
      </w:r>
      <w:r>
        <w:t xml:space="preserve">stays unaccented.</w:t>
      </w:r>
    </w:p>
    <w:p>
      <w:pPr>
        <w:pStyle w:val="BodyText"/>
      </w:pPr>
      <w:r>
        <w:rPr>
          <w:bCs/>
          <w:b/>
        </w:rPr>
        <w:t xml:space="preserve">दुवः (</w:t>
      </w:r>
      <w:r>
        <w:rPr>
          <w:iCs/>
          <w:i/>
          <w:bCs/>
          <w:b/>
        </w:rPr>
        <w:t xml:space="preserve">duvaḥ</w:t>
      </w:r>
      <w:r>
        <w:rPr>
          <w:bCs/>
          <w:b/>
        </w:rPr>
        <w:t xml:space="preserve">)</w:t>
      </w:r>
      <w:r>
        <w:t xml:space="preserve">: initial udātta by</w:t>
      </w:r>
      <w:r>
        <w:t xml:space="preserve"> </w:t>
      </w:r>
      <w:r>
        <w:t xml:space="preserve">“</w:t>
      </w:r>
      <w:r>
        <w:t xml:space="preserve">nabviṣayasyānisantasya</w:t>
      </w:r>
      <w:r>
        <w:t xml:space="preserve">”</w:t>
      </w:r>
      <w:r>
        <w:t xml:space="preserve"> </w:t>
      </w:r>
      <w:r>
        <w:t xml:space="preserve">(Phi. sū. 26).</w:t>
      </w:r>
      <w:r>
        <w:t xml:space="preserve"> </w:t>
      </w:r>
      <w:r>
        <w:rPr>
          <w:bCs/>
          <w:b/>
        </w:rPr>
        <w:t xml:space="preserve">विश्वेभिः (</w:t>
      </w:r>
      <w:r>
        <w:rPr>
          <w:iCs/>
          <w:i/>
          <w:bCs/>
          <w:b/>
        </w:rPr>
        <w:t xml:space="preserve">viśvebhiḥ</w:t>
      </w:r>
      <w:r>
        <w:rPr>
          <w:bCs/>
          <w:b/>
        </w:rPr>
        <w:t xml:space="preserve">)</w:t>
      </w:r>
      <w:r>
        <w:t xml:space="preserve">:</w:t>
      </w:r>
      <w:r>
        <w:t xml:space="preserve"> </w:t>
      </w:r>
      <w:r>
        <w:rPr>
          <w:iCs/>
          <w:i/>
        </w:rPr>
        <w:t xml:space="preserve">viśa praveśane</w:t>
      </w:r>
      <w:r>
        <w:t xml:space="preserve"> </w:t>
      </w:r>
      <w:r>
        <w:t xml:space="preserve">+</w:t>
      </w:r>
      <w:r>
        <w:t xml:space="preserve"> </w:t>
      </w:r>
      <w:r>
        <w:rPr>
          <w:iCs/>
          <w:i/>
        </w:rPr>
        <w:t xml:space="preserve">kvan</w:t>
      </w:r>
      <w:r>
        <w:t xml:space="preserve"> </w:t>
      </w:r>
      <w:r>
        <w:t xml:space="preserve">by</w:t>
      </w:r>
      <w:r>
        <w:t xml:space="preserve"> </w:t>
      </w:r>
      <w:r>
        <w:t xml:space="preserve">“</w:t>
      </w:r>
      <w:r>
        <w:t xml:space="preserve">aśūpruṣilaṭikaṇikhaṭiviśibhyaḥ kvan</w:t>
      </w:r>
      <w:r>
        <w:t xml:space="preserve">”</w:t>
      </w:r>
      <w:r>
        <w:t xml:space="preserve"> </w:t>
      </w:r>
      <w:r>
        <w:t xml:space="preserve">(Uṇ. sū. 149 [as printed]); the suffix is</w:t>
      </w:r>
      <w:r>
        <w:t xml:space="preserve"> </w:t>
      </w:r>
      <w:r>
        <w:rPr>
          <w:iCs/>
          <w:i/>
        </w:rPr>
        <w:t xml:space="preserve">nit</w:t>
      </w:r>
      <w:r>
        <w:t xml:space="preserve">, so initial udātta by</w:t>
      </w:r>
      <w:r>
        <w:t xml:space="preserve"> </w:t>
      </w:r>
      <w:r>
        <w:t xml:space="preserve">“</w:t>
      </w:r>
      <w:r>
        <w:t xml:space="preserve">ñnityādir nityam</w:t>
      </w:r>
      <w:r>
        <w:t xml:space="preserve">”</w:t>
      </w:r>
      <w:r>
        <w:t xml:space="preserve"> </w:t>
      </w:r>
      <w:r>
        <w:t xml:space="preserve">(Pā. sū. 6-1-197); before</w:t>
      </w:r>
      <w:r>
        <w:t xml:space="preserve"> </w:t>
      </w:r>
      <w:r>
        <w:rPr>
          <w:iCs/>
          <w:i/>
        </w:rPr>
        <w:t xml:space="preserve">bhis</w:t>
      </w:r>
      <w:r>
        <w:t xml:space="preserve">,</w:t>
      </w:r>
      <w:r>
        <w:t xml:space="preserve"> </w:t>
      </w:r>
      <w:r>
        <w:t xml:space="preserve">“</w:t>
      </w:r>
      <w:r>
        <w:t xml:space="preserve">bahulaṃ chandasi</w:t>
      </w:r>
      <w:r>
        <w:t xml:space="preserve">”</w:t>
      </w:r>
      <w:r>
        <w:t xml:space="preserve"> </w:t>
      </w:r>
      <w:r>
        <w:t xml:space="preserve">(Pā. sū. 7-1-10) makes</w:t>
      </w:r>
      <w:r>
        <w:t xml:space="preserve"> </w:t>
      </w:r>
      <w:r>
        <w:rPr>
          <w:iCs/>
          <w:i/>
        </w:rPr>
        <w:t xml:space="preserve">ais</w:t>
      </w:r>
      <w:r>
        <w:t xml:space="preserve"> </w:t>
      </w:r>
      <w:r>
        <w:t xml:space="preserve">optional in the Veda, so no</w:t>
      </w:r>
      <w:r>
        <w:t xml:space="preserve"> </w:t>
      </w:r>
      <w:r>
        <w:rPr>
          <w:iCs/>
          <w:i/>
        </w:rPr>
        <w:t xml:space="preserve">ais</w:t>
      </w:r>
      <w:r>
        <w:t xml:space="preserve">;</w:t>
      </w:r>
      <w:r>
        <w:t xml:space="preserve"> </w:t>
      </w:r>
      <w:r>
        <w:rPr>
          <w:iCs/>
          <w:i/>
        </w:rPr>
        <w:t xml:space="preserve">e</w:t>
      </w:r>
      <w:r>
        <w:t xml:space="preserve"> </w:t>
      </w:r>
      <w:r>
        <w:t xml:space="preserve">by</w:t>
      </w:r>
      <w:r>
        <w:t xml:space="preserve"> </w:t>
      </w:r>
      <w:r>
        <w:t xml:space="preserve">“</w:t>
      </w:r>
      <w:r>
        <w:t xml:space="preserve">bahuvacane jhaly et</w:t>
      </w:r>
      <w:r>
        <w:t xml:space="preserve">”</w:t>
      </w:r>
      <w:r>
        <w:t xml:space="preserve"> </w:t>
      </w:r>
      <w:r>
        <w:t xml:space="preserve">(Pā. sū. 7-3-103):</w:t>
      </w:r>
      <w:r>
        <w:t xml:space="preserve"> </w:t>
      </w:r>
      <w:r>
        <w:rPr>
          <w:iCs/>
          <w:i/>
        </w:rPr>
        <w:t xml:space="preserve">viśve</w:t>
      </w:r>
      <w:r>
        <w:t xml:space="preserve"> </w:t>
      </w:r>
      <w:r>
        <w:t xml:space="preserve">+</w:t>
      </w:r>
      <w:r>
        <w:t xml:space="preserve"> </w:t>
      </w:r>
      <w:r>
        <w:rPr>
          <w:iCs/>
          <w:i/>
        </w:rPr>
        <w:t xml:space="preserve">bhis</w:t>
      </w:r>
      <w:r>
        <w:t xml:space="preserve">,</w:t>
      </w:r>
      <w:r>
        <w:t xml:space="preserve"> </w:t>
      </w:r>
      <w:r>
        <w:rPr>
          <w:iCs/>
          <w:i/>
        </w:rPr>
        <w:t xml:space="preserve">ru</w:t>
      </w:r>
      <w:r>
        <w:t xml:space="preserve">, visarga:</w:t>
      </w:r>
      <w:r>
        <w:t xml:space="preserve"> </w:t>
      </w:r>
      <w:r>
        <w:rPr>
          <w:iCs/>
          <w:i/>
        </w:rPr>
        <w:t xml:space="preserve">viśvebhiḥ</w:t>
      </w:r>
      <w:r>
        <w:t xml:space="preserve">.</w:t>
      </w:r>
    </w:p>
    <w:p>
      <w:pPr>
        <w:pStyle w:val="BodyText"/>
      </w:pPr>
      <w:r>
        <w:rPr>
          <w:bCs/>
          <w:b/>
        </w:rPr>
        <w:t xml:space="preserve">सोमपीतये (</w:t>
      </w:r>
      <w:r>
        <w:rPr>
          <w:iCs/>
          <w:i/>
          <w:bCs/>
          <w:b/>
        </w:rPr>
        <w:t xml:space="preserve">somapītaye</w:t>
      </w:r>
      <w:r>
        <w:rPr>
          <w:bCs/>
          <w:b/>
        </w:rPr>
        <w:t xml:space="preserve">)</w:t>
      </w:r>
      <w:r>
        <w:t xml:space="preserve">:</w:t>
      </w:r>
      <w:r>
        <w:t xml:space="preserve"> </w:t>
      </w:r>
      <w:r>
        <w:rPr>
          <w:iCs/>
          <w:i/>
        </w:rPr>
        <w:t xml:space="preserve">soma</w:t>
      </w:r>
      <w:r>
        <w:t xml:space="preserve"> </w:t>
      </w:r>
      <w:r>
        <w:t xml:space="preserve">from</w:t>
      </w:r>
      <w:r>
        <w:t xml:space="preserve"> </w:t>
      </w:r>
      <w:r>
        <w:rPr>
          <w:iCs/>
          <w:i/>
        </w:rPr>
        <w:t xml:space="preserve">ṣu</w:t>
      </w:r>
      <w:r>
        <w:t xml:space="preserve"> </w:t>
      </w:r>
      <w:r>
        <w:t xml:space="preserve">with</w:t>
      </w:r>
      <w:r>
        <w:t xml:space="preserve"> </w:t>
      </w:r>
      <w:r>
        <w:rPr>
          <w:iCs/>
          <w:i/>
        </w:rPr>
        <w:t xml:space="preserve">man</w:t>
      </w:r>
      <w:r>
        <w:t xml:space="preserve"> </w:t>
      </w:r>
      <w:r>
        <w:t xml:space="preserve">by</w:t>
      </w:r>
      <w:r>
        <w:t xml:space="preserve"> </w:t>
      </w:r>
      <w:r>
        <w:t xml:space="preserve">“</w:t>
      </w:r>
      <w:r>
        <w:t xml:space="preserve">artistusuhusṛdhṛkṣikṣubhāyāvāpadiyakṣinībhyo man</w:t>
      </w:r>
      <w:r>
        <w:t xml:space="preserve">”</w:t>
      </w:r>
      <w:r>
        <w:t xml:space="preserve"> </w:t>
      </w:r>
      <w:r>
        <w:t xml:space="preserve">(Uṇ. sū. 1-136), initial udātta (</w:t>
      </w:r>
      <w:r>
        <w:rPr>
          <w:iCs/>
          <w:i/>
        </w:rPr>
        <w:t xml:space="preserve">nit</w:t>
      </w:r>
      <w:r>
        <w:t xml:space="preserve">);</w:t>
      </w:r>
      <w:r>
        <w:t xml:space="preserve"> </w:t>
      </w:r>
      <w:r>
        <w:t xml:space="preserve">“</w:t>
      </w:r>
      <w:r>
        <w:t xml:space="preserve">somasya pītir yasmin yāge saḥ</w:t>
      </w:r>
      <w:r>
        <w:t xml:space="preserve">”</w:t>
      </w:r>
      <w:r>
        <w:t xml:space="preserve">, for him:</w:t>
      </w:r>
      <w:r>
        <w:t xml:space="preserve"> </w:t>
      </w:r>
      <w:r>
        <w:rPr>
          <w:iCs/>
          <w:i/>
        </w:rPr>
        <w:t xml:space="preserve">somapītaye</w:t>
      </w:r>
      <w:r>
        <w:t xml:space="preserve">, a bahuvrīhi. By</w:t>
      </w:r>
      <w:r>
        <w:t xml:space="preserve"> </w:t>
      </w:r>
      <w:r>
        <w:t xml:space="preserve">“</w:t>
      </w:r>
      <w:r>
        <w:t xml:space="preserve">caturthīvidhāne tādarthye upasaṃkhyānam</w:t>
      </w:r>
      <w:r>
        <w:t xml:space="preserve">”</w:t>
      </w:r>
      <w:r>
        <w:t xml:space="preserve"> </w:t>
      </w:r>
      <w:r>
        <w:t xml:space="preserve">(Pā. sū. 2-3-13-1), and</w:t>
      </w:r>
      <w:r>
        <w:t xml:space="preserve"> </w:t>
      </w:r>
      <w:r>
        <w:t xml:space="preserve">“</w:t>
      </w:r>
      <w:r>
        <w:t xml:space="preserve">tasmā idaṃ tadartham; arthena nityasamāsaḥ viśeṣyaliṅgatā ca</w:t>
      </w:r>
      <w:r>
        <w:t xml:space="preserve">”</w:t>
      </w:r>
      <w:r>
        <w:t xml:space="preserve">, the compound;</w:t>
      </w:r>
      <w:r>
        <w:t xml:space="preserve"> </w:t>
      </w:r>
      <w:r>
        <w:rPr>
          <w:iCs/>
          <w:i/>
        </w:rPr>
        <w:t xml:space="preserve">tadarthasya bhāvaḥ tādarthyam</w:t>
      </w:r>
      <w:r>
        <w:t xml:space="preserve">: by</w:t>
      </w:r>
      <w:r>
        <w:t xml:space="preserve"> </w:t>
      </w:r>
      <w:r>
        <w:t xml:space="preserve">“</w:t>
      </w:r>
      <w:r>
        <w:t xml:space="preserve">guṇavacanabrāhmaṇādibhyaḥ ṣyañ</w:t>
      </w:r>
      <w:r>
        <w:t xml:space="preserve">”</w:t>
      </w:r>
      <w:r>
        <w:t xml:space="preserve"> </w:t>
      </w:r>
      <w:r>
        <w:t xml:space="preserve">(Pā. sū. 5-1-124)</w:t>
      </w:r>
    </w:p>
    <w:bookmarkEnd w:id="623"/>
    <w:bookmarkStart w:id="624" w:name="page-587-rik-1-grammar-end"/>
    <w:p>
      <w:pPr>
        <w:pStyle w:val="Heading3"/>
      </w:pPr>
      <w:r>
        <w:t xml:space="preserve">Page 587 — Rik 1: grammar (end)</w:t>
      </w:r>
    </w:p>
    <w:p>
      <w:pPr>
        <w:pStyle w:val="FirstParagraph"/>
      </w:pPr>
      <w:r>
        <w:t xml:space="preserve">in the</w:t>
      </w:r>
      <w:r>
        <w:t xml:space="preserve"> </w:t>
      </w:r>
      <w:r>
        <w:rPr>
          <w:iCs/>
          <w:i/>
        </w:rPr>
        <w:t xml:space="preserve">bhāva</w:t>
      </w:r>
      <w:r>
        <w:t xml:space="preserve"> </w:t>
      </w:r>
      <w:r>
        <w:t xml:space="preserve">sense.</w:t>
      </w:r>
      <w:r>
        <w:t xml:space="preserve"> </w:t>
      </w:r>
      <w:r>
        <w:rPr>
          <w:iCs/>
          <w:i/>
        </w:rPr>
        <w:t xml:space="preserve">Tad</w:t>
      </w:r>
      <w:r>
        <w:t xml:space="preserve"> </w:t>
      </w:r>
      <w:r>
        <w:t xml:space="preserve">means the effect; the cause is for the sake of the effect, is it not? So the word</w:t>
      </w:r>
      <w:r>
        <w:t xml:space="preserve"> </w:t>
      </w:r>
      <w:r>
        <w:rPr>
          <w:iCs/>
          <w:i/>
        </w:rPr>
        <w:t xml:space="preserve">tadartha</w:t>
      </w:r>
      <w:r>
        <w:t xml:space="preserve"> </w:t>
      </w:r>
      <w:r>
        <w:t xml:space="preserve">denotes a cause that serves an effect. In cases like</w:t>
      </w:r>
      <w:r>
        <w:t xml:space="preserve"> </w:t>
      </w:r>
      <w:r>
        <w:rPr>
          <w:iCs/>
          <w:i/>
        </w:rPr>
        <w:t xml:space="preserve">brāhmaṇāya dadhi</w:t>
      </w:r>
      <w:r>
        <w:t xml:space="preserve"> </w:t>
      </w:r>
      <w:r>
        <w:t xml:space="preserve">(</w:t>
      </w:r>
      <w:r>
        <w:t xml:space="preserve">“</w:t>
      </w:r>
      <w:r>
        <w:t xml:space="preserve">curds for the brāhmaṇa</w:t>
      </w:r>
      <w:r>
        <w:t xml:space="preserve">”</w:t>
      </w:r>
      <w:r>
        <w:t xml:space="preserve">) the fourth case needs a particular effect meant by the word for the effect: brāhmaṇas are not produced from curds, so the fourth case could not come here; but if a particular effect is meant, the brāhmaṇa as qualified by eating is the effect, and curds, being the cause of the qualifying eating, may be the cause of the brāhmaṇa so qualified; thus the fourth case is justified here. By</w:t>
      </w:r>
      <w:r>
        <w:t xml:space="preserve"> </w:t>
      </w:r>
      <w:r>
        <w:t xml:space="preserve">“</w:t>
      </w:r>
      <w:r>
        <w:t xml:space="preserve">samāsakṛttaddhiteṣu bhāvapratyayena sambandhābhidhānam</w:t>
      </w:r>
      <w:r>
        <w:t xml:space="preserve">”</w:t>
      </w:r>
      <w:r>
        <w:t xml:space="preserve"> </w:t>
      </w:r>
      <w:r>
        <w:t xml:space="preserve">(the abstract suffix after a compound, a</w:t>
      </w:r>
      <w:r>
        <w:t xml:space="preserve"> </w:t>
      </w:r>
      <w:r>
        <w:rPr>
          <w:iCs/>
          <w:i/>
        </w:rPr>
        <w:t xml:space="preserve">kṛdanta</w:t>
      </w:r>
      <w:r>
        <w:t xml:space="preserve"> </w:t>
      </w:r>
      <w:r>
        <w:t xml:space="preserve">or a</w:t>
      </w:r>
      <w:r>
        <w:t xml:space="preserve"> </w:t>
      </w:r>
      <w:r>
        <w:rPr>
          <w:iCs/>
          <w:i/>
        </w:rPr>
        <w:t xml:space="preserve">taddhitānta</w:t>
      </w:r>
      <w:r>
        <w:t xml:space="preserve"> </w:t>
      </w:r>
      <w:r>
        <w:t xml:space="preserve">expresses the relation), the</w:t>
      </w:r>
      <w:r>
        <w:t xml:space="preserve"> </w:t>
      </w:r>
      <w:r>
        <w:rPr>
          <w:iCs/>
          <w:i/>
        </w:rPr>
        <w:t xml:space="preserve">ṣyañ</w:t>
      </w:r>
      <w:r>
        <w:t xml:space="preserve"> </w:t>
      </w:r>
      <w:r>
        <w:t xml:space="preserve">after the compound</w:t>
      </w:r>
      <w:r>
        <w:t xml:space="preserve"> </w:t>
      </w:r>
      <w:r>
        <w:rPr>
          <w:iCs/>
          <w:i/>
        </w:rPr>
        <w:t xml:space="preserve">tadartha</w:t>
      </w:r>
      <w:r>
        <w:t xml:space="preserve"> </w:t>
      </w:r>
      <w:r>
        <w:t xml:space="preserve">expresses the relation; so</w:t>
      </w:r>
      <w:r>
        <w:t xml:space="preserve"> </w:t>
      </w:r>
      <w:r>
        <w:rPr>
          <w:iCs/>
          <w:i/>
        </w:rPr>
        <w:t xml:space="preserve">tādarthya</w:t>
      </w:r>
      <w:r>
        <w:t xml:space="preserve"> </w:t>
      </w:r>
      <w:r>
        <w:t xml:space="preserve">means the relation of a cause serving an effect, and the vārttika means that when a relation of effect and cause is shown, the fourth case comes after the stem that denotes the effect. Here the sacrifice that has the drinking of soma comes about from Agni’s coming, so</w:t>
      </w:r>
      <w:r>
        <w:t xml:space="preserve"> </w:t>
      </w:r>
      <w:r>
        <w:rPr>
          <w:iCs/>
          <w:i/>
        </w:rPr>
        <w:t xml:space="preserve">somapīti</w:t>
      </w:r>
      <w:r>
        <w:t xml:space="preserve"> </w:t>
      </w:r>
      <w:r>
        <w:t xml:space="preserve">denotes the effect, and the fourth case follows it. The Bhāṣya gives</w:t>
      </w:r>
      <w:r>
        <w:t xml:space="preserve"> </w:t>
      </w:r>
      <w:r>
        <w:rPr>
          <w:iCs/>
          <w:i/>
        </w:rPr>
        <w:t xml:space="preserve">yūpāya dāru</w:t>
      </w:r>
      <w:r>
        <w:t xml:space="preserve"> </w:t>
      </w:r>
      <w:r>
        <w:t xml:space="preserve">(</w:t>
      </w:r>
      <w:r>
        <w:t xml:space="preserve">“</w:t>
      </w:r>
      <w:r>
        <w:t xml:space="preserve">wood for the sacrificial post</w:t>
      </w:r>
      <w:r>
        <w:t xml:space="preserve">”</w:t>
      </w:r>
      <w:r>
        <w:t xml:space="preserve">) as an example of this statement:</w:t>
      </w:r>
      <w:r>
        <w:t xml:space="preserve"> </w:t>
      </w:r>
      <w:r>
        <w:rPr>
          <w:iCs/>
          <w:i/>
        </w:rPr>
        <w:t xml:space="preserve">dāru</w:t>
      </w:r>
      <w:r>
        <w:t xml:space="preserve"> </w:t>
      </w:r>
      <w:r>
        <w:t xml:space="preserve">is wood; since the post comes from the wood, the post is the effect, and so the fourth case comes after it.</w:t>
      </w:r>
      <w:r>
        <w:t xml:space="preserve"> </w:t>
      </w:r>
      <w:r>
        <w:rPr>
          <w:iCs/>
          <w:i/>
        </w:rPr>
        <w:t xml:space="preserve">Kuṇḍalāya hiraṇyam</w:t>
      </w:r>
      <w:r>
        <w:t xml:space="preserve"> </w:t>
      </w:r>
      <w:r>
        <w:t xml:space="preserve">(</w:t>
      </w:r>
      <w:r>
        <w:t xml:space="preserve">“</w:t>
      </w:r>
      <w:r>
        <w:t xml:space="preserve">gold for an earring</w:t>
      </w:r>
      <w:r>
        <w:t xml:space="preserve">”</w:t>
      </w:r>
      <w:r>
        <w:t xml:space="preserve">) is another example the Bhāṣya gives.</w:t>
      </w:r>
    </w:p>
    <w:p>
      <w:pPr>
        <w:pStyle w:val="BodyText"/>
      </w:pPr>
      <w:r>
        <w:rPr>
          <w:bCs/>
          <w:b/>
        </w:rPr>
        <w:t xml:space="preserve">देवेभिः (</w:t>
      </w:r>
      <w:r>
        <w:rPr>
          <w:iCs/>
          <w:i/>
          <w:bCs/>
          <w:b/>
        </w:rPr>
        <w:t xml:space="preserve">devebhiḥ</w:t>
      </w:r>
      <w:r>
        <w:rPr>
          <w:bCs/>
          <w:b/>
        </w:rPr>
        <w:t xml:space="preserve">)</w:t>
      </w:r>
      <w:r>
        <w:t xml:space="preserve">:</w:t>
      </w:r>
      <w:r>
        <w:t xml:space="preserve"> </w:t>
      </w:r>
      <w:r>
        <w:rPr>
          <w:iCs/>
          <w:i/>
        </w:rPr>
        <w:t xml:space="preserve">deva</w:t>
      </w:r>
      <w:r>
        <w:t xml:space="preserve"> </w:t>
      </w:r>
      <w:r>
        <w:t xml:space="preserve">ends in</w:t>
      </w:r>
      <w:r>
        <w:t xml:space="preserve"> </w:t>
      </w:r>
      <w:r>
        <w:rPr>
          <w:iCs/>
          <w:i/>
        </w:rPr>
        <w:t xml:space="preserve">a</w:t>
      </w:r>
      <w:r>
        <w:t xml:space="preserve">;</w:t>
      </w:r>
      <w:r>
        <w:t xml:space="preserve"> </w:t>
      </w:r>
      <w:r>
        <w:rPr>
          <w:iCs/>
          <w:i/>
        </w:rPr>
        <w:t xml:space="preserve">ais</w:t>
      </w:r>
      <w:r>
        <w:t xml:space="preserve"> </w:t>
      </w:r>
      <w:r>
        <w:t xml:space="preserve">for the</w:t>
      </w:r>
      <w:r>
        <w:t xml:space="preserve"> </w:t>
      </w:r>
      <w:r>
        <w:rPr>
          <w:iCs/>
          <w:i/>
        </w:rPr>
        <w:t xml:space="preserve">bhis</w:t>
      </w:r>
      <w:r>
        <w:t xml:space="preserve"> </w:t>
      </w:r>
      <w:r>
        <w:t xml:space="preserve">after it would come by</w:t>
      </w:r>
      <w:r>
        <w:t xml:space="preserve"> </w:t>
      </w:r>
      <w:r>
        <w:t xml:space="preserve">“</w:t>
      </w:r>
      <w:r>
        <w:t xml:space="preserve">ato bhisa ais</w:t>
      </w:r>
      <w:r>
        <w:t xml:space="preserve">”</w:t>
      </w:r>
      <w:r>
        <w:t xml:space="preserve"> </w:t>
      </w:r>
      <w:r>
        <w:t xml:space="preserve">(Pā. sū. 7-1-9), but by</w:t>
      </w:r>
      <w:r>
        <w:t xml:space="preserve"> </w:t>
      </w:r>
      <w:r>
        <w:t xml:space="preserve">“</w:t>
      </w:r>
      <w:r>
        <w:t xml:space="preserve">bahulaṃ chandasi</w:t>
      </w:r>
      <w:r>
        <w:t xml:space="preserve">”</w:t>
      </w:r>
      <w:r>
        <w:t xml:space="preserve"> </w:t>
      </w:r>
      <w:r>
        <w:t xml:space="preserve">(Pā. sū. 7-1-10) it does not; then,</w:t>
      </w:r>
      <w:r>
        <w:t xml:space="preserve"> </w:t>
      </w:r>
      <w:r>
        <w:rPr>
          <w:iCs/>
          <w:i/>
        </w:rPr>
        <w:t xml:space="preserve">bhis</w:t>
      </w:r>
      <w:r>
        <w:t xml:space="preserve"> </w:t>
      </w:r>
      <w:r>
        <w:t xml:space="preserve">being a</w:t>
      </w:r>
      <w:r>
        <w:t xml:space="preserve"> </w:t>
      </w:r>
      <w:r>
        <w:rPr>
          <w:iCs/>
          <w:i/>
        </w:rPr>
        <w:t xml:space="preserve">jhal</w:t>
      </w:r>
      <w:r>
        <w:t xml:space="preserve">-initial plural ending,</w:t>
      </w:r>
      <w:r>
        <w:t xml:space="preserve"> </w:t>
      </w:r>
      <w:r>
        <w:t xml:space="preserve">“</w:t>
      </w:r>
      <w:r>
        <w:t xml:space="preserve">bahuvacane jhaly et</w:t>
      </w:r>
      <w:r>
        <w:t xml:space="preserve">”</w:t>
      </w:r>
      <w:r>
        <w:t xml:space="preserve"> </w:t>
      </w:r>
      <w:r>
        <w:t xml:space="preserve">gives</w:t>
      </w:r>
      <w:r>
        <w:t xml:space="preserve"> </w:t>
      </w:r>
      <w:r>
        <w:rPr>
          <w:iCs/>
          <w:i/>
        </w:rPr>
        <w:t xml:space="preserve">e</w:t>
      </w:r>
      <w:r>
        <w:t xml:space="preserve"> </w:t>
      </w:r>
      <w:r>
        <w:t xml:space="preserve">for the</w:t>
      </w:r>
      <w:r>
        <w:t xml:space="preserve"> </w:t>
      </w:r>
      <w:r>
        <w:rPr>
          <w:iCs/>
          <w:i/>
        </w:rPr>
        <w:t xml:space="preserve">a</w:t>
      </w:r>
      <w:r>
        <w:t xml:space="preserve">;</w:t>
      </w:r>
      <w:r>
        <w:t xml:space="preserve"> </w:t>
      </w:r>
      <w:r>
        <w:rPr>
          <w:iCs/>
          <w:i/>
        </w:rPr>
        <w:t xml:space="preserve">ru</w:t>
      </w:r>
      <w:r>
        <w:t xml:space="preserve">, visarga:</w:t>
      </w:r>
      <w:r>
        <w:t xml:space="preserve"> </w:t>
      </w:r>
      <w:r>
        <w:rPr>
          <w:iCs/>
          <w:i/>
        </w:rPr>
        <w:t xml:space="preserve">devebhiḥ</w:t>
      </w:r>
      <w:r>
        <w:t xml:space="preserve">.</w:t>
      </w:r>
      <w:r>
        <w:t xml:space="preserve"> </w:t>
      </w:r>
      <w:r>
        <w:rPr>
          <w:bCs/>
          <w:b/>
        </w:rPr>
        <w:t xml:space="preserve">याहि (</w:t>
      </w:r>
      <w:r>
        <w:rPr>
          <w:iCs/>
          <w:i/>
          <w:bCs/>
          <w:b/>
        </w:rPr>
        <w:t xml:space="preserve">yāhi</w:t>
      </w:r>
      <w:r>
        <w:rPr>
          <w:bCs/>
          <w:b/>
        </w:rPr>
        <w:t xml:space="preserve">)</w:t>
      </w:r>
      <w:r>
        <w:t xml:space="preserve">: wholly unaccented by</w:t>
      </w:r>
      <w:r>
        <w:t xml:space="preserve"> </w:t>
      </w:r>
      <w:r>
        <w:t xml:space="preserve">“</w:t>
      </w:r>
      <w:r>
        <w:t xml:space="preserve">tiṅṅatiṅaḥ</w:t>
      </w:r>
      <w:r>
        <w:t xml:space="preserve">”</w:t>
      </w:r>
      <w:r>
        <w:t xml:space="preserve"> </w:t>
      </w:r>
      <w:r>
        <w:t xml:space="preserve">(Pā. sū. 8-1-28).</w:t>
      </w:r>
    </w:p>
    <w:p>
      <w:pPr>
        <w:pStyle w:val="BodyText"/>
      </w:pPr>
      <w:r>
        <w:rPr>
          <w:bCs/>
          <w:b/>
        </w:rPr>
        <w:t xml:space="preserve">यक्षि (</w:t>
      </w:r>
      <w:r>
        <w:rPr>
          <w:iCs/>
          <w:i/>
          <w:bCs/>
          <w:b/>
        </w:rPr>
        <w:t xml:space="preserve">yakṣi</w:t>
      </w:r>
      <w:r>
        <w:rPr>
          <w:bCs/>
          <w:b/>
        </w:rPr>
        <w:t xml:space="preserve">)</w:t>
      </w:r>
      <w:r>
        <w:t xml:space="preserve">:</w:t>
      </w:r>
      <w:r>
        <w:t xml:space="preserve"> </w:t>
      </w:r>
      <w:r>
        <w:rPr>
          <w:iCs/>
          <w:i/>
        </w:rPr>
        <w:t xml:space="preserve">yaja devapūjāsaṅgatikaraṇadāneṣu</w:t>
      </w:r>
      <w:r>
        <w:t xml:space="preserve">;</w:t>
      </w:r>
      <w:r>
        <w:t xml:space="preserve"> </w:t>
      </w:r>
      <w:r>
        <w:rPr>
          <w:iCs/>
          <w:i/>
        </w:rPr>
        <w:t xml:space="preserve">loṭ</w:t>
      </w:r>
      <w:r>
        <w:t xml:space="preserve">, 2nd singular</w:t>
      </w:r>
      <w:r>
        <w:t xml:space="preserve"> </w:t>
      </w:r>
      <w:r>
        <w:rPr>
          <w:iCs/>
          <w:i/>
        </w:rPr>
        <w:t xml:space="preserve">sip</w:t>
      </w:r>
      <w:r>
        <w:t xml:space="preserve">:</w:t>
      </w:r>
      <w:r>
        <w:t xml:space="preserve"> </w:t>
      </w:r>
      <w:r>
        <w:rPr>
          <w:iCs/>
          <w:i/>
        </w:rPr>
        <w:t xml:space="preserve">yaj</w:t>
      </w:r>
      <w:r>
        <w:t xml:space="preserve"> </w:t>
      </w:r>
      <w:r>
        <w:t xml:space="preserve">+</w:t>
      </w:r>
      <w:r>
        <w:t xml:space="preserve"> </w:t>
      </w:r>
      <w:r>
        <w:rPr>
          <w:iCs/>
          <w:i/>
        </w:rPr>
        <w:t xml:space="preserve">si</w:t>
      </w:r>
      <w:r>
        <w:t xml:space="preserve">; the</w:t>
      </w:r>
      <w:r>
        <w:t xml:space="preserve"> </w:t>
      </w:r>
      <w:r>
        <w:rPr>
          <w:iCs/>
          <w:i/>
        </w:rPr>
        <w:t xml:space="preserve">śap</w:t>
      </w:r>
      <w:r>
        <w:t xml:space="preserve"> </w:t>
      </w:r>
      <w:r>
        <w:t xml:space="preserve">that comes by</w:t>
      </w:r>
      <w:r>
        <w:t xml:space="preserve"> </w:t>
      </w:r>
      <w:r>
        <w:t xml:space="preserve">“</w:t>
      </w:r>
      <w:r>
        <w:t xml:space="preserve">kartari śap</w:t>
      </w:r>
      <w:r>
        <w:t xml:space="preserve">”</w:t>
      </w:r>
      <w:r>
        <w:t xml:space="preserve"> </w:t>
      </w:r>
      <w:r>
        <w:t xml:space="preserve">(Pā. sū. 3-1-68) is dropped by</w:t>
      </w:r>
      <w:r>
        <w:t xml:space="preserve"> </w:t>
      </w:r>
      <w:r>
        <w:t xml:space="preserve">“</w:t>
      </w:r>
      <w:r>
        <w:t xml:space="preserve">bahulaṃ chandasi</w:t>
      </w:r>
      <w:r>
        <w:t xml:space="preserve">”</w:t>
      </w:r>
      <w:r>
        <w:t xml:space="preserve"> </w:t>
      </w:r>
      <w:r>
        <w:t xml:space="preserve">(Pā. sū. 2-4-73);</w:t>
      </w:r>
      <w:r>
        <w:t xml:space="preserve"> </w:t>
      </w:r>
      <w:r>
        <w:rPr>
          <w:iCs/>
          <w:i/>
        </w:rPr>
        <w:t xml:space="preserve">ṣ</w:t>
      </w:r>
      <w:r>
        <w:t xml:space="preserve"> </w:t>
      </w:r>
      <w:r>
        <w:t xml:space="preserve">for the</w:t>
      </w:r>
      <w:r>
        <w:t xml:space="preserve"> </w:t>
      </w:r>
      <w:r>
        <w:rPr>
          <w:iCs/>
          <w:i/>
        </w:rPr>
        <w:t xml:space="preserve">j</w:t>
      </w:r>
      <w:r>
        <w:t xml:space="preserve"> </w:t>
      </w:r>
      <w:r>
        <w:t xml:space="preserve">by</w:t>
      </w:r>
      <w:r>
        <w:t xml:space="preserve"> </w:t>
      </w:r>
      <w:r>
        <w:t xml:space="preserve">“</w:t>
      </w:r>
      <w:r>
        <w:t xml:space="preserve">vraścabhrasjasṛjamṛjayajarājabhrājacchaśāṃ ṣaḥ</w:t>
      </w:r>
      <w:r>
        <w:t xml:space="preserve">”</w:t>
      </w:r>
      <w:r>
        <w:t xml:space="preserve"> </w:t>
      </w:r>
      <w:r>
        <w:t xml:space="preserve">(Pā. sū. 8-2-36):</w:t>
      </w:r>
      <w:r>
        <w:t xml:space="preserve"> </w:t>
      </w:r>
      <w:r>
        <w:rPr>
          <w:iCs/>
          <w:i/>
        </w:rPr>
        <w:t xml:space="preserve">yaṣ</w:t>
      </w:r>
      <w:r>
        <w:t xml:space="preserve"> </w:t>
      </w:r>
      <w:r>
        <w:t xml:space="preserve">+</w:t>
      </w:r>
      <w:r>
        <w:t xml:space="preserve"> </w:t>
      </w:r>
      <w:r>
        <w:rPr>
          <w:iCs/>
          <w:i/>
        </w:rPr>
        <w:t xml:space="preserve">si</w:t>
      </w:r>
      <w:r>
        <w:t xml:space="preserve">;</w:t>
      </w:r>
      <w:r>
        <w:t xml:space="preserve"> </w:t>
      </w:r>
      <w:r>
        <w:t xml:space="preserve">“</w:t>
      </w:r>
      <w:r>
        <w:t xml:space="preserve">ṣaḍhoḥ kaḥ si</w:t>
      </w:r>
      <w:r>
        <w:t xml:space="preserve">”</w:t>
      </w:r>
      <w:r>
        <w:t xml:space="preserve"> </w:t>
      </w:r>
      <w:r>
        <w:t xml:space="preserve">(Pā. sū. 8-2-41): before</w:t>
      </w:r>
      <w:r>
        <w:t xml:space="preserve"> </w:t>
      </w:r>
      <w:r>
        <w:rPr>
          <w:iCs/>
          <w:i/>
        </w:rPr>
        <w:t xml:space="preserve">s</w:t>
      </w:r>
      <w:r>
        <w:t xml:space="preserve">,</w:t>
      </w:r>
      <w:r>
        <w:t xml:space="preserve"> </w:t>
      </w:r>
      <w:r>
        <w:rPr>
          <w:iCs/>
          <w:i/>
        </w:rPr>
        <w:t xml:space="preserve">k</w:t>
      </w:r>
      <w:r>
        <w:t xml:space="preserve"> </w:t>
      </w:r>
      <w:r>
        <w:t xml:space="preserve">for</w:t>
      </w:r>
      <w:r>
        <w:t xml:space="preserve"> </w:t>
      </w:r>
      <w:r>
        <w:rPr>
          <w:iCs/>
          <w:i/>
        </w:rPr>
        <w:t xml:space="preserve">ṣ</w:t>
      </w:r>
      <w:r>
        <w:t xml:space="preserve"> </w:t>
      </w:r>
      <w:r>
        <w:t xml:space="preserve">and</w:t>
      </w:r>
      <w:r>
        <w:t xml:space="preserve"> </w:t>
      </w:r>
      <w:r>
        <w:rPr>
          <w:iCs/>
          <w:i/>
        </w:rPr>
        <w:t xml:space="preserve">ḍh</w:t>
      </w:r>
      <w:r>
        <w:t xml:space="preserve">:</w:t>
      </w:r>
      <w:r>
        <w:t xml:space="preserve"> </w:t>
      </w:r>
      <w:r>
        <w:rPr>
          <w:iCs/>
          <w:i/>
        </w:rPr>
        <w:t xml:space="preserve">yak</w:t>
      </w:r>
      <w:r>
        <w:t xml:space="preserve"> </w:t>
      </w:r>
      <w:r>
        <w:t xml:space="preserve">+</w:t>
      </w:r>
      <w:r>
        <w:t xml:space="preserve"> </w:t>
      </w:r>
      <w:r>
        <w:rPr>
          <w:iCs/>
          <w:i/>
        </w:rPr>
        <w:t xml:space="preserve">si</w:t>
      </w:r>
      <w:r>
        <w:t xml:space="preserve">;</w:t>
      </w:r>
      <w:r>
        <w:t xml:space="preserve"> </w:t>
      </w:r>
      <w:r>
        <w:t xml:space="preserve">“</w:t>
      </w:r>
      <w:r>
        <w:t xml:space="preserve">ser hy apic ca</w:t>
      </w:r>
      <w:r>
        <w:t xml:space="preserve">”</w:t>
      </w:r>
      <w:r>
        <w:t xml:space="preserve"> </w:t>
      </w:r>
      <w:r>
        <w:t xml:space="preserve">(Pā. sū. 3-4-87) would give</w:t>
      </w:r>
      <w:r>
        <w:t xml:space="preserve"> </w:t>
      </w:r>
      <w:r>
        <w:rPr>
          <w:iCs/>
          <w:i/>
        </w:rPr>
        <w:t xml:space="preserve">hi</w:t>
      </w:r>
      <w:r>
        <w:t xml:space="preserve"> </w:t>
      </w:r>
      <w:r>
        <w:t xml:space="preserve">for</w:t>
      </w:r>
      <w:r>
        <w:t xml:space="preserve"> </w:t>
      </w:r>
      <w:r>
        <w:rPr>
          <w:iCs/>
          <w:i/>
        </w:rPr>
        <w:t xml:space="preserve">si</w:t>
      </w:r>
      <w:r>
        <w:t xml:space="preserve">, but in the Veda it does not come here.</w:t>
      </w:r>
      <w:r>
        <w:t xml:space="preserve"> </w:t>
      </w:r>
      <w:r>
        <w:rPr>
          <w:iCs/>
          <w:i/>
        </w:rPr>
        <w:t xml:space="preserve">Sip</w:t>
      </w:r>
      <w:r>
        <w:t xml:space="preserve"> </w:t>
      </w:r>
      <w:r>
        <w:t xml:space="preserve">is</w:t>
      </w:r>
      <w:r>
        <w:t xml:space="preserve"> </w:t>
      </w:r>
      <w:r>
        <w:rPr>
          <w:iCs/>
          <w:i/>
        </w:rPr>
        <w:t xml:space="preserve">pit</w:t>
      </w:r>
      <w:r>
        <w:t xml:space="preserve">, so it is unaccented by</w:t>
      </w:r>
      <w:r>
        <w:t xml:space="preserve"> </w:t>
      </w:r>
      <w:r>
        <w:t xml:space="preserve">“</w:t>
      </w:r>
      <w:r>
        <w:t xml:space="preserve">anudāttau suppitau</w:t>
      </w:r>
      <w:r>
        <w:t xml:space="preserve">”</w:t>
      </w:r>
      <w:r>
        <w:t xml:space="preserve"> </w:t>
      </w:r>
      <w:r>
        <w:t xml:space="preserve">[as printed].</w:t>
      </w:r>
      <w:r>
        <w:t xml:space="preserve"> </w:t>
      </w:r>
      <w:r>
        <w:rPr>
          <w:iCs/>
          <w:i/>
        </w:rPr>
        <w:t xml:space="preserve">ṣ</w:t>
      </w:r>
      <w:r>
        <w:t xml:space="preserve"> </w:t>
      </w:r>
      <w:r>
        <w:t xml:space="preserve">for the</w:t>
      </w:r>
      <w:r>
        <w:t xml:space="preserve"> </w:t>
      </w:r>
      <w:r>
        <w:rPr>
          <w:iCs/>
          <w:i/>
        </w:rPr>
        <w:t xml:space="preserve">s</w:t>
      </w:r>
      <w:r>
        <w:t xml:space="preserve"> </w:t>
      </w:r>
      <w:r>
        <w:t xml:space="preserve">by</w:t>
      </w:r>
      <w:r>
        <w:t xml:space="preserve"> </w:t>
      </w:r>
      <w:r>
        <w:t xml:space="preserve">“</w:t>
      </w:r>
      <w:r>
        <w:t xml:space="preserve">ādeśapratyayayoḥ</w:t>
      </w:r>
      <w:r>
        <w:t xml:space="preserve">”</w:t>
      </w:r>
      <w:r>
        <w:t xml:space="preserve">:</w:t>
      </w:r>
      <w:r>
        <w:t xml:space="preserve"> </w:t>
      </w:r>
      <w:r>
        <w:rPr>
          <w:iCs/>
          <w:i/>
        </w:rPr>
        <w:t xml:space="preserve">yakṣi</w:t>
      </w:r>
      <w:r>
        <w:t xml:space="preserve">. Since it follows the</w:t>
      </w:r>
      <w:r>
        <w:t xml:space="preserve"> </w:t>
      </w:r>
      <w:r>
        <w:rPr>
          <w:iCs/>
          <w:i/>
        </w:rPr>
        <w:t xml:space="preserve">tiṅanta</w:t>
      </w:r>
      <w:r>
        <w:t xml:space="preserve"> </w:t>
      </w:r>
      <w:r>
        <w:rPr>
          <w:iCs/>
          <w:i/>
        </w:rPr>
        <w:t xml:space="preserve">yāhi</w:t>
      </w:r>
      <w:r>
        <w:t xml:space="preserve">,</w:t>
      </w:r>
      <w:r>
        <w:t xml:space="preserve"> </w:t>
      </w:r>
      <w:r>
        <w:t xml:space="preserve">“</w:t>
      </w:r>
      <w:r>
        <w:t xml:space="preserve">tiṅṅatiṅaḥ</w:t>
      </w:r>
      <w:r>
        <w:t xml:space="preserve">”</w:t>
      </w:r>
      <w:r>
        <w:t xml:space="preserve"> </w:t>
      </w:r>
      <w:r>
        <w:t xml:space="preserve">does not make it wholly unaccented.</w:t>
      </w:r>
    </w:p>
    <w:p>
      <w:pPr>
        <w:pStyle w:val="BodyText"/>
      </w:pPr>
      <w:r>
        <w:rPr>
          <w:bCs/>
          <w:b/>
        </w:rPr>
        <w:t xml:space="preserve">॥१॥</w:t>
      </w:r>
    </w:p>
    <w:p>
      <w:r>
        <w:pict>
          <v:rect style="width:0;height:1.5pt" o:hralign="center" o:hrstd="t" o:hr="t"/>
        </w:pict>
      </w:r>
    </w:p>
    <w:bookmarkEnd w:id="624"/>
    <w:bookmarkStart w:id="625" w:name="page-588-sūkta-14-rik-2"/>
    <w:p>
      <w:pPr>
        <w:pStyle w:val="Heading3"/>
      </w:pPr>
      <w:r>
        <w:t xml:space="preserve">Page 588 — Sūkta 14, Rik 2</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आ त्वा॒ कण्वा॑ अहूषत गृ॒णन्ति॑ विप्र ते॒ धियः॑ ।</w:t>
      </w:r>
      <w:r>
        <w:t xml:space="preserve"> </w:t>
      </w:r>
      <w:r>
        <w:t xml:space="preserve">दे॒वेभि॑रग्न॒ आ ग॑हि ॥२॥</w:t>
      </w:r>
    </w:p>
    <w:p>
      <w:pPr>
        <w:pStyle w:val="BlockText"/>
      </w:pPr>
      <w:r>
        <w:rPr>
          <w:iCs/>
          <w:i/>
        </w:rPr>
        <w:t xml:space="preserve">ā tvā káṇvā ahūṣata gṛṇánti vipra te dhíyaḥ |</w:t>
      </w:r>
      <w:r>
        <w:t xml:space="preserve"> </w:t>
      </w:r>
      <w:r>
        <w:rPr>
          <w:iCs/>
          <w:i/>
        </w:rPr>
        <w:t xml:space="preserve">devébhir agna ā́ gahi ||2||</w:t>
      </w:r>
    </w:p>
    <w:p>
      <w:pPr>
        <w:pStyle w:val="FirstParagraph"/>
      </w:pPr>
      <w:r>
        <w:rPr>
          <w:bCs/>
          <w:b/>
        </w:rPr>
        <w:t xml:space="preserve">॥ Pada-pāṭhaḥ ॥</w:t>
      </w:r>
    </w:p>
    <w:p>
      <w:pPr>
        <w:pStyle w:val="BlockText"/>
      </w:pPr>
      <w:r>
        <w:t xml:space="preserve">आ । त्वा । कण्वाः । अहूषत । गृणन्ति । विप्र । ते । धियः ॥</w:t>
      </w:r>
      <w:r>
        <w:t xml:space="preserve"> </w:t>
      </w:r>
      <w:r>
        <w:t xml:space="preserve">देवेभिः । अग्ने । आ । गहि ॥२॥</w:t>
      </w:r>
    </w:p>
    <w:p>
      <w:pPr>
        <w:pStyle w:val="BlockText"/>
      </w:pPr>
      <w:r>
        <w:rPr>
          <w:iCs/>
          <w:i/>
        </w:rPr>
        <w:t xml:space="preserve">ā | tvā | kaṇvāḥ | ahūṣata | gṛṇanti | vipra | te | dhiyaḥ ||</w:t>
      </w:r>
      <w:r>
        <w:t xml:space="preserve"> </w:t>
      </w:r>
      <w:r>
        <w:rPr>
          <w:iCs/>
          <w:i/>
        </w:rPr>
        <w:t xml:space="preserve">devebhiḥ | agne | ā | gahi ||2||</w:t>
      </w:r>
    </w:p>
    <w:p>
      <w:pPr>
        <w:pStyle w:val="FirstParagraph"/>
      </w:pPr>
      <w:r>
        <w:rPr>
          <w:bCs/>
          <w:b/>
        </w:rPr>
        <w:t xml:space="preserve">॥ Sāyaṇa-bhāṣyam ॥</w:t>
      </w:r>
    </w:p>
    <w:p>
      <w:pPr>
        <w:pStyle w:val="BlockText"/>
      </w:pPr>
      <w:r>
        <w:t xml:space="preserve">हे विप्र मेधाविन्नग्ने कण्वा मेधाविन ऋत्विजस्त्वा यज्ञनिष्पादकं त्वामाहूषत । आह्वयन्ति । तथा ते धियस्त्वदीयानि कर्माणि गृणन्ति । कथयन्ति । ततो हे अग्ने देवेभिर्देवैः सहा गहि । आगच्छ । विप्र इत्यादिषु चतुर्विंशतिसंख्याकेषु मेधाविनामसु कण्व ऋभुरिति पठितम् ॥ त्वा । त्वामौ द्वितीयाया इति त्वादेशः । सर्वानुदात्तः । कण्वाः । कण शब्दार्थः । अशिप्रुषिलटिकणिखटीत्यादिना क्वन् । नित्त्वादाद्युदात्तः । अहूषत । ह्वेञ् स्पर्धायां शब्दे च । छन्दसि लुङ्लङ्लिट इति वर्तमाने लुङ् । ञित्त्वादात्मनेपदम् । झ आत्मनेपदेष्वनत इत्यदादेशः । च्लेः सिच् । एकाच इतीट्प्रतिषेधः । पा. ७-२-१० । बहुलं छन्दसीति सम्प्रसारणं परपूर्वत्वं । हलः । पा. ६-४-२ । इति दीर्घत्वं । आदेशप्रत्यययोरिति षत्वं । छान्दसत्वादूकारस्य न गुणः । अडागमः । गृणन्ति । गॄ शब्दे । लट् । झि । झोऽन्तः । क्र्यादिभ्यः श्ना । प्वादीनां ह्रस्व इति धातोर्ह्रस्वत्वं । श्नाभ्यस्तयोरातः । पा. ६-४-११२ । इत्याकारलोपः । ऋवर्णाच्चेति वक्तव्यम् । का. ८-४-१-१ । इति णत्वं । तिङः स्वर एव शिष्यते । विप्र । आमन्त्रितनिघातः । ते । अनुदात्तमित्यनुवृत्तौ तेमयावेकवचनस्य । पा. ८-१-२२ । इति षष्ठ्यास्ते इत्यादेशः । देवेभिः । छान्दस ऐसभावः । गहि । गम्लृ सृप्लृ गतौ । लोटः सिप् । सेर्ह्यपिच्च । कर्तरि शप् । तस्य बहुलं छन्दसीति लुक् । अनुदात्तोपदेशेत्यादिना मकारलोपः । तस्यासिद्धवदत्राभादित्यसिद्धत्वादतो हेरिति हेर्लुग्न भवति ॥</w:t>
      </w:r>
    </w:p>
    <w:p>
      <w:pPr>
        <w:pStyle w:val="BlockText"/>
      </w:pPr>
      <w:r>
        <w:rPr>
          <w:iCs/>
          <w:i/>
        </w:rPr>
        <w:t xml:space="preserve">he vipra medhāvinnagne kaṇvā medhāvina ṛtvijastvā yajñaniṣpādakaṃ tvāmāhūṣata | āhvayanti | tathā te dhiyastvadīyāni karmāṇi gṛṇanti | kathayanti | tato he agne devebhirdevaiḥ sahā gahi | āgaccha | vipra ityādiṣu caturviṃśatisaṃkhyākeṣu medhāvināmasu kaṇva ṛbhuriti paṭhitam || tvā | tvāmau dvitīyāyā iti tvādeśaḥ | sarvānudāttaḥ | kaṇvāḥ | kaṇa śabdārthaḥ | aśipruṣilaṭikaṇikhaṭītyādinā kvan | nittvādādyudāttaḥ | ahūṣata | hveñ spardhāyāṃ śabde ca | chandasi luṅlaṅliṭa iti vartamāne luṅ | ñittvādātmanepadam | jha ātmanepadeṣvanata ityadādeśaḥ | cleḥ sic | ekāca itīṭpratiṣedhaḥ | pā. 7-2-10 | bahulaṃ chandasīti samprasāraṇaṃ parapūrvatvaṃ | halaḥ | pā. 6-4-2 | iti dīrghatvaṃ | ādeśapratyayayoriti ṣatvaṃ | chāndasatvādūkārasya na guṇaḥ | aḍāgamaḥ | gṛṇanti | gṝ śabde | laṭ | jhi | jho ’ntaḥ | kryādibhyaḥ śnā | pvādīnāṃ hrasva iti dhātorhrasvatvaṃ | śnābhyastayorātaḥ | pā. 6-4-112 | ityākāralopaḥ | ṛvarṇācceti vaktavyam | kā. 8-4-1-1 | iti ṇatvaṃ | tiṅaḥ svara eva śiṣyate | vipra | āmantritanighātaḥ | te | anudāttamityanuvṛttau temayāvekavacanasya | pā. 8-1-22 | iti ṣaṣṭhyāste ityādeśaḥ | devebhiḥ | chāndasa aisabhāvaḥ | gahi | gamlṛ sṛplṛ gatau | loṭaḥ sip | serhyapicca | kartari śap | tasya bahulaṃ chandasīti luk | anudāttopadeśetyādinā makāralopaḥ | tasyāsiddhavadatrābhādityasiddhatvādato heriti herlugna bhavati ||</w:t>
      </w:r>
    </w:p>
    <w:p>
      <w:pPr>
        <w:pStyle w:val="FirstParagraph"/>
      </w:pPr>
      <w:r>
        <w:rPr>
          <w:bCs/>
          <w:b/>
        </w:rPr>
        <w:t xml:space="preserve">Translation:</w:t>
      </w:r>
      <w:r>
        <w:t xml:space="preserve"> </w:t>
      </w:r>
      <w:r>
        <w:t xml:space="preserve">“</w:t>
      </w:r>
      <w:r>
        <w:t xml:space="preserve">O</w:t>
      </w:r>
      <w:r>
        <w:t xml:space="preserve"> </w:t>
      </w:r>
      <w:r>
        <w:rPr>
          <w:iCs/>
          <w:i/>
        </w:rPr>
        <w:t xml:space="preserve">vipra</w:t>
      </w:r>
      <w:r>
        <w:t xml:space="preserve">, wise Agni, the</w:t>
      </w:r>
      <w:r>
        <w:t xml:space="preserve"> </w:t>
      </w:r>
      <w:r>
        <w:rPr>
          <w:iCs/>
          <w:i/>
        </w:rPr>
        <w:t xml:space="preserve">kaṇvāḥ</w:t>
      </w:r>
      <w:r>
        <w:t xml:space="preserve">, the wise priests,</w:t>
      </w:r>
      <w:r>
        <w:t xml:space="preserve"> </w:t>
      </w:r>
      <w:r>
        <w:rPr>
          <w:iCs/>
          <w:i/>
        </w:rPr>
        <w:t xml:space="preserve">āhūṣata</w:t>
      </w:r>
      <w:r>
        <w:t xml:space="preserve">, call you, the accomplisher of the sacrifice; and they</w:t>
      </w:r>
      <w:r>
        <w:t xml:space="preserve"> </w:t>
      </w:r>
      <w:r>
        <w:rPr>
          <w:iCs/>
          <w:i/>
        </w:rPr>
        <w:t xml:space="preserve">gṛṇanti</w:t>
      </w:r>
      <w:r>
        <w:t xml:space="preserve">, declare,</w:t>
      </w:r>
      <w:r>
        <w:t xml:space="preserve"> </w:t>
      </w:r>
      <w:r>
        <w:rPr>
          <w:iCs/>
          <w:i/>
        </w:rPr>
        <w:t xml:space="preserve">te dhiyaḥ</w:t>
      </w:r>
      <w:r>
        <w:t xml:space="preserve">, your deeds. So, O Agni, come with the gods.</w:t>
      </w:r>
      <w:r>
        <w:t xml:space="preserve"> </w:t>
      </w:r>
      <w:r>
        <w:rPr>
          <w:iCs/>
          <w:i/>
        </w:rPr>
        <w:t xml:space="preserve">Kaṇva</w:t>
      </w:r>
      <w:r>
        <w:t xml:space="preserve"> </w:t>
      </w:r>
      <w:r>
        <w:t xml:space="preserve">and</w:t>
      </w:r>
      <w:r>
        <w:t xml:space="preserve"> </w:t>
      </w:r>
      <w:r>
        <w:rPr>
          <w:iCs/>
          <w:i/>
        </w:rPr>
        <w:t xml:space="preserve">ṛbhu</w:t>
      </w:r>
      <w:r>
        <w:t xml:space="preserve"> </w:t>
      </w:r>
      <w:r>
        <w:t xml:space="preserve">are read among the twenty-four names for the wise beginning with</w:t>
      </w:r>
      <w:r>
        <w:t xml:space="preserve"> </w:t>
      </w:r>
      <w:r>
        <w:rPr>
          <w:iCs/>
          <w:i/>
        </w:rPr>
        <w:t xml:space="preserve">vipra</w:t>
      </w:r>
      <w:r>
        <w:t xml:space="preserve">.</w:t>
      </w:r>
      <w:r>
        <w:t xml:space="preserve">”</w:t>
      </w:r>
      <w:r>
        <w:t xml:space="preserve"> </w:t>
      </w:r>
      <w:r>
        <w:t xml:space="preserve">(Grammatical tail:</w:t>
      </w:r>
      <w:r>
        <w:t xml:space="preserve"> </w:t>
      </w:r>
      <w:r>
        <w:rPr>
          <w:iCs/>
          <w:i/>
        </w:rPr>
        <w:t xml:space="preserve">tvā</w:t>
      </w:r>
      <w:r>
        <w:t xml:space="preserve"> </w:t>
      </w:r>
      <w:r>
        <w:t xml:space="preserve">by</w:t>
      </w:r>
      <w:r>
        <w:t xml:space="preserve"> </w:t>
      </w:r>
      <w:r>
        <w:t xml:space="preserve">“</w:t>
      </w:r>
      <w:r>
        <w:t xml:space="preserve">tvāmau dvitīyāyāḥ</w:t>
      </w:r>
      <w:r>
        <w:t xml:space="preserve">”</w:t>
      </w:r>
      <w:r>
        <w:t xml:space="preserve">, wholly unaccented;</w:t>
      </w:r>
      <w:r>
        <w:t xml:space="preserve"> </w:t>
      </w:r>
      <w:r>
        <w:rPr>
          <w:iCs/>
          <w:i/>
        </w:rPr>
        <w:t xml:space="preserve">kaṇvāḥ</w:t>
      </w:r>
      <w:r>
        <w:t xml:space="preserve"> </w:t>
      </w:r>
      <w:r>
        <w:t xml:space="preserve">from</w:t>
      </w:r>
      <w:r>
        <w:t xml:space="preserve"> </w:t>
      </w:r>
      <w:r>
        <w:rPr>
          <w:iCs/>
          <w:i/>
        </w:rPr>
        <w:t xml:space="preserve">kaṇa</w:t>
      </w:r>
      <w:r>
        <w:t xml:space="preserve"> </w:t>
      </w:r>
      <w:r>
        <w:t xml:space="preserve">‘</w:t>
      </w:r>
      <w:r>
        <w:t xml:space="preserve">to sound</w:t>
      </w:r>
      <w:r>
        <w:t xml:space="preserve">’</w:t>
      </w:r>
      <w:r>
        <w:t xml:space="preserve"> </w:t>
      </w:r>
      <w:r>
        <w:t xml:space="preserve">with</w:t>
      </w:r>
      <w:r>
        <w:t xml:space="preserve"> </w:t>
      </w:r>
      <w:r>
        <w:rPr>
          <w:iCs/>
          <w:i/>
        </w:rPr>
        <w:t xml:space="preserve">kvan</w:t>
      </w:r>
      <w:r>
        <w:t xml:space="preserve">, initial udātta;</w:t>
      </w:r>
      <w:r>
        <w:t xml:space="preserve"> </w:t>
      </w:r>
      <w:r>
        <w:rPr>
          <w:iCs/>
          <w:i/>
        </w:rPr>
        <w:t xml:space="preserve">ahūṣata</w:t>
      </w:r>
      <w:r>
        <w:t xml:space="preserve"> </w:t>
      </w:r>
      <w:r>
        <w:t xml:space="preserve">from</w:t>
      </w:r>
      <w:r>
        <w:t xml:space="preserve"> </w:t>
      </w:r>
      <w:r>
        <w:rPr>
          <w:iCs/>
          <w:i/>
        </w:rPr>
        <w:t xml:space="preserve">hveñ</w:t>
      </w:r>
      <w:r>
        <w:t xml:space="preserve">,</w:t>
      </w:r>
      <w:r>
        <w:t xml:space="preserve"> </w:t>
      </w:r>
      <w:r>
        <w:rPr>
          <w:iCs/>
          <w:i/>
        </w:rPr>
        <w:t xml:space="preserve">luṅ</w:t>
      </w:r>
      <w:r>
        <w:t xml:space="preserve"> </w:t>
      </w:r>
      <w:r>
        <w:t xml:space="preserve">in the present sense,</w:t>
      </w:r>
      <w:r>
        <w:t xml:space="preserve"> </w:t>
      </w:r>
      <w:r>
        <w:rPr>
          <w:iCs/>
          <w:i/>
        </w:rPr>
        <w:t xml:space="preserve">ātmanepada</w:t>
      </w:r>
      <w:r>
        <w:t xml:space="preserve"> </w:t>
      </w:r>
      <w:r>
        <w:t xml:space="preserve">(the root is</w:t>
      </w:r>
      <w:r>
        <w:t xml:space="preserve"> </w:t>
      </w:r>
      <w:r>
        <w:rPr>
          <w:iCs/>
          <w:i/>
        </w:rPr>
        <w:t xml:space="preserve">ñit</w:t>
      </w:r>
      <w:r>
        <w:t xml:space="preserve">),</w:t>
      </w:r>
      <w:r>
        <w:t xml:space="preserve"> </w:t>
      </w:r>
      <w:r>
        <w:rPr>
          <w:iCs/>
          <w:i/>
        </w:rPr>
        <w:t xml:space="preserve">at</w:t>
      </w:r>
      <w:r>
        <w:t xml:space="preserve"> </w:t>
      </w:r>
      <w:r>
        <w:t xml:space="preserve">for</w:t>
      </w:r>
      <w:r>
        <w:t xml:space="preserve"> </w:t>
      </w:r>
      <w:r>
        <w:rPr>
          <w:iCs/>
          <w:i/>
        </w:rPr>
        <w:t xml:space="preserve">jh</w:t>
      </w:r>
      <w:r>
        <w:t xml:space="preserve">,</w:t>
      </w:r>
      <w:r>
        <w:t xml:space="preserve"> </w:t>
      </w:r>
      <w:r>
        <w:rPr>
          <w:iCs/>
          <w:i/>
        </w:rPr>
        <w:t xml:space="preserve">sic</w:t>
      </w:r>
      <w:r>
        <w:t xml:space="preserve">, no</w:t>
      </w:r>
      <w:r>
        <w:t xml:space="preserve"> </w:t>
      </w:r>
      <w:r>
        <w:rPr>
          <w:iCs/>
          <w:i/>
        </w:rPr>
        <w:t xml:space="preserve">iṭ</w:t>
      </w:r>
      <w:r>
        <w:t xml:space="preserve"> </w:t>
      </w:r>
      <w:r>
        <w:t xml:space="preserve">(Pā. 7-2-10),</w:t>
      </w:r>
      <w:r>
        <w:t xml:space="preserve"> </w:t>
      </w:r>
      <w:r>
        <w:rPr>
          <w:iCs/>
          <w:i/>
        </w:rPr>
        <w:t xml:space="preserve">saṃprasāraṇa</w:t>
      </w:r>
      <w:r>
        <w:t xml:space="preserve"> </w:t>
      </w:r>
      <w:r>
        <w:t xml:space="preserve">by</w:t>
      </w:r>
      <w:r>
        <w:t xml:space="preserve"> </w:t>
      </w:r>
      <w:r>
        <w:rPr>
          <w:iCs/>
          <w:i/>
        </w:rPr>
        <w:t xml:space="preserve">bahulaṃ chandasi</w:t>
      </w:r>
      <w:r>
        <w:t xml:space="preserve">, lengthening by</w:t>
      </w:r>
      <w:r>
        <w:t xml:space="preserve"> </w:t>
      </w:r>
      <w:r>
        <w:t xml:space="preserve">“</w:t>
      </w:r>
      <w:r>
        <w:t xml:space="preserve">halaḥ</w:t>
      </w:r>
      <w:r>
        <w:t xml:space="preserve">”</w:t>
      </w:r>
      <w:r>
        <w:t xml:space="preserve"> </w:t>
      </w:r>
      <w:r>
        <w:t xml:space="preserve">(Pā. 6-4-2),</w:t>
      </w:r>
      <w:r>
        <w:t xml:space="preserve"> </w:t>
      </w:r>
      <w:r>
        <w:rPr>
          <w:iCs/>
          <w:i/>
        </w:rPr>
        <w:t xml:space="preserve">ṣ</w:t>
      </w:r>
      <w:r>
        <w:t xml:space="preserve">, no</w:t>
      </w:r>
      <w:r>
        <w:t xml:space="preserve"> </w:t>
      </w:r>
      <w:r>
        <w:rPr>
          <w:iCs/>
          <w:i/>
        </w:rPr>
        <w:t xml:space="preserve">guṇa</w:t>
      </w:r>
      <w:r>
        <w:t xml:space="preserve"> </w:t>
      </w:r>
      <w:r>
        <w:t xml:space="preserve">of the</w:t>
      </w:r>
      <w:r>
        <w:t xml:space="preserve"> </w:t>
      </w:r>
      <w:r>
        <w:rPr>
          <w:iCs/>
          <w:i/>
        </w:rPr>
        <w:t xml:space="preserve">ū</w:t>
      </w:r>
      <w:r>
        <w:t xml:space="preserve"> </w:t>
      </w:r>
      <w:r>
        <w:t xml:space="preserve">(Vedic), the augment</w:t>
      </w:r>
      <w:r>
        <w:t xml:space="preserve"> </w:t>
      </w:r>
      <w:r>
        <w:rPr>
          <w:iCs/>
          <w:i/>
        </w:rPr>
        <w:t xml:space="preserve">a</w:t>
      </w:r>
      <w:r>
        <w:t xml:space="preserve">;</w:t>
      </w:r>
      <w:r>
        <w:t xml:space="preserve"> </w:t>
      </w:r>
      <w:r>
        <w:rPr>
          <w:iCs/>
          <w:i/>
        </w:rPr>
        <w:t xml:space="preserve">gṛṇanti</w:t>
      </w:r>
      <w:r>
        <w:t xml:space="preserve"> </w:t>
      </w:r>
      <w:r>
        <w:t xml:space="preserve">from</w:t>
      </w:r>
      <w:r>
        <w:t xml:space="preserve"> </w:t>
      </w:r>
      <w:r>
        <w:rPr>
          <w:iCs/>
          <w:i/>
        </w:rPr>
        <w:t xml:space="preserve">gṝ</w:t>
      </w:r>
      <w:r>
        <w:t xml:space="preserve"> </w:t>
      </w:r>
      <w:r>
        <w:t xml:space="preserve">with</w:t>
      </w:r>
      <w:r>
        <w:t xml:space="preserve"> </w:t>
      </w:r>
      <w:r>
        <w:rPr>
          <w:iCs/>
          <w:i/>
        </w:rPr>
        <w:t xml:space="preserve">śnā</w:t>
      </w:r>
      <w:r>
        <w:t xml:space="preserve">, the root shortened, the</w:t>
      </w:r>
      <w:r>
        <w:t xml:space="preserve"> </w:t>
      </w:r>
      <w:r>
        <w:rPr>
          <w:iCs/>
          <w:i/>
        </w:rPr>
        <w:t xml:space="preserve">ā</w:t>
      </w:r>
      <w:r>
        <w:t xml:space="preserve"> </w:t>
      </w:r>
      <w:r>
        <w:t xml:space="preserve">of</w:t>
      </w:r>
      <w:r>
        <w:t xml:space="preserve"> </w:t>
      </w:r>
      <w:r>
        <w:rPr>
          <w:iCs/>
          <w:i/>
        </w:rPr>
        <w:t xml:space="preserve">śnā</w:t>
      </w:r>
      <w:r>
        <w:t xml:space="preserve"> </w:t>
      </w:r>
      <w:r>
        <w:t xml:space="preserve">dropped (Pā. 6-4-112),</w:t>
      </w:r>
      <w:r>
        <w:t xml:space="preserve"> </w:t>
      </w:r>
      <w:r>
        <w:rPr>
          <w:iCs/>
          <w:i/>
        </w:rPr>
        <w:t xml:space="preserve">ṇ</w:t>
      </w:r>
      <w:r>
        <w:t xml:space="preserve"> </w:t>
      </w:r>
      <w:r>
        <w:t xml:space="preserve">(Kā. 8-4-1-1);</w:t>
      </w:r>
      <w:r>
        <w:t xml:space="preserve"> </w:t>
      </w:r>
      <w:r>
        <w:rPr>
          <w:iCs/>
          <w:i/>
        </w:rPr>
        <w:t xml:space="preserve">vipra</w:t>
      </w:r>
      <w:r>
        <w:t xml:space="preserve"> </w:t>
      </w:r>
      <w:r>
        <w:t xml:space="preserve">lowered as a vocative;</w:t>
      </w:r>
      <w:r>
        <w:t xml:space="preserve"> </w:t>
      </w:r>
      <w:r>
        <w:rPr>
          <w:iCs/>
          <w:i/>
        </w:rPr>
        <w:t xml:space="preserve">te</w:t>
      </w:r>
      <w:r>
        <w:t xml:space="preserve"> </w:t>
      </w:r>
      <w:r>
        <w:t xml:space="preserve">for</w:t>
      </w:r>
      <w:r>
        <w:t xml:space="preserve"> </w:t>
      </w:r>
      <w:r>
        <w:rPr>
          <w:iCs/>
          <w:i/>
        </w:rPr>
        <w:t xml:space="preserve">tava</w:t>
      </w:r>
      <w:r>
        <w:t xml:space="preserve"> </w:t>
      </w:r>
      <w:r>
        <w:t xml:space="preserve">by Pā. 8-1-22;</w:t>
      </w:r>
      <w:r>
        <w:t xml:space="preserve"> </w:t>
      </w:r>
      <w:r>
        <w:rPr>
          <w:iCs/>
          <w:i/>
        </w:rPr>
        <w:t xml:space="preserve">devebhiḥ</w:t>
      </w:r>
      <w:r>
        <w:t xml:space="preserve"> </w:t>
      </w:r>
      <w:r>
        <w:t xml:space="preserve">without</w:t>
      </w:r>
      <w:r>
        <w:t xml:space="preserve"> </w:t>
      </w:r>
      <w:r>
        <w:rPr>
          <w:iCs/>
          <w:i/>
        </w:rPr>
        <w:t xml:space="preserve">ais</w:t>
      </w:r>
      <w:r>
        <w:t xml:space="preserve">;</w:t>
      </w:r>
      <w:r>
        <w:t xml:space="preserve"> </w:t>
      </w:r>
      <w:r>
        <w:rPr>
          <w:iCs/>
          <w:i/>
        </w:rPr>
        <w:t xml:space="preserve">gahi</w:t>
      </w:r>
      <w:r>
        <w:t xml:space="preserve">:</w:t>
      </w:r>
      <w:r>
        <w:t xml:space="preserve"> </w:t>
      </w:r>
      <w:r>
        <w:rPr>
          <w:iCs/>
          <w:i/>
        </w:rPr>
        <w:t xml:space="preserve">gam</w:t>
      </w:r>
      <w:r>
        <w:t xml:space="preserve">,</w:t>
      </w:r>
      <w:r>
        <w:t xml:space="preserve"> </w:t>
      </w:r>
      <w:r>
        <w:rPr>
          <w:iCs/>
          <w:i/>
        </w:rPr>
        <w:t xml:space="preserve">sip</w:t>
      </w:r>
      <w:r>
        <w:t xml:space="preserve">,</w:t>
      </w:r>
      <w:r>
        <w:t xml:space="preserve"> </w:t>
      </w:r>
      <w:r>
        <w:rPr>
          <w:iCs/>
          <w:i/>
        </w:rPr>
        <w:t xml:space="preserve">hi</w:t>
      </w:r>
      <w:r>
        <w:t xml:space="preserve">,</w:t>
      </w:r>
      <w:r>
        <w:t xml:space="preserve"> </w:t>
      </w:r>
      <w:r>
        <w:rPr>
          <w:iCs/>
          <w:i/>
        </w:rPr>
        <w:t xml:space="preserve">śap</w:t>
      </w:r>
      <w:r>
        <w:t xml:space="preserve"> </w:t>
      </w:r>
      <w:r>
        <w:t xml:space="preserve">dropped,</w:t>
      </w:r>
      <w:r>
        <w:t xml:space="preserve"> </w:t>
      </w:r>
      <w:r>
        <w:rPr>
          <w:iCs/>
          <w:i/>
        </w:rPr>
        <w:t xml:space="preserve">m</w:t>
      </w:r>
      <w:r>
        <w:t xml:space="preserve"> </w:t>
      </w:r>
      <w:r>
        <w:t xml:space="preserve">dropped, and that loss being treated as not done,</w:t>
      </w:r>
      <w:r>
        <w:t xml:space="preserve"> </w:t>
      </w:r>
      <w:r>
        <w:rPr>
          <w:iCs/>
          <w:i/>
        </w:rPr>
        <w:t xml:space="preserve">hi</w:t>
      </w:r>
      <w:r>
        <w:t xml:space="preserve"> </w:t>
      </w:r>
      <w:r>
        <w:t xml:space="preserve">is not dropped by</w:t>
      </w:r>
      <w:r>
        <w:t xml:space="preserve"> </w:t>
      </w:r>
      <w:r>
        <w:t xml:space="preserve">“</w:t>
      </w:r>
      <w:r>
        <w:t xml:space="preserve">ato heḥ</w:t>
      </w:r>
      <w:r>
        <w:t xml:space="preserve">”</w:t>
      </w:r>
      <w:r>
        <w:t xml:space="preserve">.)</w:t>
      </w:r>
    </w:p>
    <w:bookmarkEnd w:id="625"/>
    <w:bookmarkStart w:id="626" w:name="X33759750df2fa535d8906b01eaf1598dd97c1e1"/>
    <w:p>
      <w:pPr>
        <w:pStyle w:val="Heading3"/>
      </w:pPr>
      <w:r>
        <w:t xml:space="preserve">Page 589 — Rik 2: word-meanings, overall sense, English, Special Topics, grammar</w:t>
      </w:r>
    </w:p>
    <w:p>
      <w:pPr>
        <w:pStyle w:val="FirstParagraph"/>
      </w:pPr>
      <w:r>
        <w:rPr>
          <w:bCs/>
          <w:b/>
        </w:rPr>
        <w:t xml:space="preserve">॥ Prati-padārthaḥ ॥</w:t>
      </w:r>
    </w:p>
    <w:p>
      <w:pPr>
        <w:pStyle w:val="BodyText"/>
      </w:pPr>
      <w:r>
        <w:rPr>
          <w:bCs/>
          <w:b/>
        </w:rPr>
        <w:t xml:space="preserve">(हे) विप्र ((he) vipra)</w:t>
      </w:r>
      <w:r>
        <w:t xml:space="preserve"> </w:t>
      </w:r>
      <w:r>
        <w:t xml:space="preserve">— O wise Agni |</w:t>
      </w:r>
      <w:r>
        <w:t xml:space="preserve"> </w:t>
      </w:r>
      <w:r>
        <w:rPr>
          <w:bCs/>
          <w:b/>
        </w:rPr>
        <w:t xml:space="preserve">कण्वाः (kaṇvāḥ)</w:t>
      </w:r>
      <w:r>
        <w:t xml:space="preserve"> </w:t>
      </w:r>
      <w:r>
        <w:t xml:space="preserve">— the priests, who are wise (descendants of the ṛṣi Kaṇva) |</w:t>
      </w:r>
      <w:r>
        <w:t xml:space="preserve"> </w:t>
      </w:r>
      <w:r>
        <w:rPr>
          <w:bCs/>
          <w:b/>
        </w:rPr>
        <w:t xml:space="preserve">त्वा (tvā)</w:t>
      </w:r>
      <w:r>
        <w:t xml:space="preserve"> </w:t>
      </w:r>
      <w:r>
        <w:t xml:space="preserve">— you |</w:t>
      </w:r>
      <w:r>
        <w:t xml:space="preserve"> </w:t>
      </w:r>
      <w:r>
        <w:rPr>
          <w:bCs/>
          <w:b/>
        </w:rPr>
        <w:t xml:space="preserve">आ अहूषत (ā ahūṣata)</w:t>
      </w:r>
      <w:r>
        <w:t xml:space="preserve"> </w:t>
      </w:r>
      <w:r>
        <w:t xml:space="preserve">— call (with prayer) |</w:t>
      </w:r>
      <w:r>
        <w:t xml:space="preserve"> </w:t>
      </w:r>
      <w:r>
        <w:rPr>
          <w:iCs/>
          <w:i/>
        </w:rPr>
        <w:t xml:space="preserve">(likewise)</w:t>
      </w:r>
      <w:r>
        <w:t xml:space="preserve"> </w:t>
      </w:r>
      <w:r>
        <w:rPr>
          <w:bCs/>
          <w:b/>
        </w:rPr>
        <w:t xml:space="preserve">ते (te)</w:t>
      </w:r>
      <w:r>
        <w:t xml:space="preserve"> </w:t>
      </w:r>
      <w:r>
        <w:t xml:space="preserve">— your |</w:t>
      </w:r>
      <w:r>
        <w:t xml:space="preserve"> </w:t>
      </w:r>
      <w:r>
        <w:rPr>
          <w:bCs/>
          <w:b/>
        </w:rPr>
        <w:t xml:space="preserve">धियः (dhiyaḥ)</w:t>
      </w:r>
      <w:r>
        <w:t xml:space="preserve"> </w:t>
      </w:r>
      <w:r>
        <w:t xml:space="preserve">— deeds |</w:t>
      </w:r>
      <w:r>
        <w:t xml:space="preserve"> </w:t>
      </w:r>
      <w:r>
        <w:rPr>
          <w:bCs/>
          <w:b/>
        </w:rPr>
        <w:t xml:space="preserve">गृणन्ति (gṛṇanti)</w:t>
      </w:r>
      <w:r>
        <w:t xml:space="preserve"> </w:t>
      </w:r>
      <w:r>
        <w:t xml:space="preserve">— praise |</w:t>
      </w:r>
      <w:r>
        <w:t xml:space="preserve"> </w:t>
      </w:r>
      <w:r>
        <w:rPr>
          <w:iCs/>
          <w:i/>
        </w:rPr>
        <w:t xml:space="preserve">(therefore)</w:t>
      </w:r>
      <w:r>
        <w:t xml:space="preserve"> </w:t>
      </w:r>
      <w:r>
        <w:rPr>
          <w:bCs/>
          <w:b/>
        </w:rPr>
        <w:t xml:space="preserve">अग्ने (agne)</w:t>
      </w:r>
      <w:r>
        <w:t xml:space="preserve"> </w:t>
      </w:r>
      <w:r>
        <w:t xml:space="preserve">— O Agni |</w:t>
      </w:r>
      <w:r>
        <w:t xml:space="preserve"> </w:t>
      </w:r>
      <w:r>
        <w:rPr>
          <w:bCs/>
          <w:b/>
        </w:rPr>
        <w:t xml:space="preserve">देवेभिः (devebhiḥ)</w:t>
      </w:r>
      <w:r>
        <w:t xml:space="preserve"> </w:t>
      </w:r>
      <w:r>
        <w:t xml:space="preserve">— with the gods |</w:t>
      </w:r>
      <w:r>
        <w:t xml:space="preserve"> </w:t>
      </w:r>
      <w:r>
        <w:rPr>
          <w:bCs/>
          <w:b/>
        </w:rPr>
        <w:t xml:space="preserve">आ गहि (ā gahi)</w:t>
      </w:r>
      <w:r>
        <w:t xml:space="preserve"> </w:t>
      </w:r>
      <w:r>
        <w:t xml:space="preserve">— be pleased to come.</w:t>
      </w:r>
    </w:p>
    <w:p>
      <w:pPr>
        <w:pStyle w:val="BodyText"/>
      </w:pPr>
      <w:r>
        <w:rPr>
          <w:bCs/>
          <w:b/>
        </w:rPr>
        <w:t xml:space="preserve">॥ Bhāvārthaḥ ॥</w:t>
      </w:r>
    </w:p>
    <w:p>
      <w:pPr>
        <w:pStyle w:val="BodyText"/>
      </w:pPr>
      <w:r>
        <w:t xml:space="preserve">O wise Agni, the wise priests (or the descendants of the ṛṣi Kaṇva) pray to you and call you to the sacrifice to praise your qualities, and they praise your excellent deeds. So come to our sacrifice with all the gods.</w:t>
      </w:r>
    </w:p>
    <w:p>
      <w:pPr>
        <w:pStyle w:val="BodyText"/>
      </w:pPr>
      <w:r>
        <w:rPr>
          <w:bCs/>
          <w:b/>
        </w:rPr>
        <w:t xml:space="preserve">॥ English Translation ॥</w:t>
      </w:r>
      <w:r>
        <w:t xml:space="preserve"> </w:t>
      </w:r>
      <w:r>
        <w:rPr>
          <w:iCs/>
          <w:i/>
        </w:rPr>
        <w:t xml:space="preserve">(as printed in the source)</w:t>
      </w:r>
    </w:p>
    <w:p>
      <w:pPr>
        <w:pStyle w:val="BlockText"/>
      </w:pPr>
      <w:r>
        <w:t xml:space="preserve">The Kanwas invoke you, wise Agni, and extrol [sic] your deeds; come Agni with the gods,</w:t>
      </w:r>
    </w:p>
    <w:p>
      <w:pPr>
        <w:pStyle w:val="FirstParagraph"/>
      </w:pPr>
      <w:r>
        <w:rPr>
          <w:bCs/>
          <w:b/>
        </w:rPr>
        <w:t xml:space="preserve">॥ Viśeṣa-viṣayagaḷu (Special Topics) ॥</w:t>
      </w:r>
    </w:p>
    <w:p>
      <w:pPr>
        <w:pStyle w:val="BodyText"/>
      </w:pPr>
      <w:r>
        <w:rPr>
          <w:bCs/>
          <w:b/>
        </w:rPr>
        <w:t xml:space="preserve">Kaṇvāḥ</w:t>
      </w:r>
      <w:r>
        <w:t xml:space="preserve">: since the word</w:t>
      </w:r>
      <w:r>
        <w:t xml:space="preserve"> </w:t>
      </w:r>
      <w:r>
        <w:rPr>
          <w:iCs/>
          <w:i/>
        </w:rPr>
        <w:t xml:space="preserve">kaṇva</w:t>
      </w:r>
      <w:r>
        <w:t xml:space="preserve"> </w:t>
      </w:r>
      <w:r>
        <w:t xml:space="preserve">is read among the twenty-four names for the wise beginning with</w:t>
      </w:r>
      <w:r>
        <w:t xml:space="preserve"> </w:t>
      </w:r>
      <w:r>
        <w:rPr>
          <w:iCs/>
          <w:i/>
        </w:rPr>
        <w:t xml:space="preserve">vipra</w:t>
      </w:r>
      <w:r>
        <w:t xml:space="preserve"> </w:t>
      </w:r>
      <w:r>
        <w:t xml:space="preserve">(Ni. 3-19),</w:t>
      </w:r>
      <w:r>
        <w:t xml:space="preserve"> </w:t>
      </w:r>
      <w:r>
        <w:rPr>
          <w:iCs/>
          <w:i/>
        </w:rPr>
        <w:t xml:space="preserve">kaṇva</w:t>
      </w:r>
      <w:r>
        <w:t xml:space="preserve"> </w:t>
      </w:r>
      <w:r>
        <w:t xml:space="preserve">means wise, intelligent. Though the Bhāṣyakāra gives this general sense, since the ṛṣi of this Ṛk is of the Kaṇva line, it seems fitting to take</w:t>
      </w:r>
      <w:r>
        <w:t xml:space="preserve"> </w:t>
      </w:r>
      <w:r>
        <w:rPr>
          <w:iCs/>
          <w:i/>
        </w:rPr>
        <w:t xml:space="preserve">kaṇvāḥ</w:t>
      </w:r>
      <w:r>
        <w:t xml:space="preserve"> </w:t>
      </w:r>
      <w:r>
        <w:t xml:space="preserve">here as the sacrificers, priests and others born in the Kaṇva line.</w:t>
      </w:r>
    </w:p>
    <w:p>
      <w:pPr>
        <w:pStyle w:val="BodyText"/>
      </w:pPr>
      <w:r>
        <w:rPr>
          <w:bCs/>
          <w:b/>
        </w:rPr>
        <w:t xml:space="preserve">Dhiyaḥ</w:t>
      </w:r>
      <w:r>
        <w:t xml:space="preserve">: since the word</w:t>
      </w:r>
      <w:r>
        <w:t xml:space="preserve"> </w:t>
      </w:r>
      <w:r>
        <w:rPr>
          <w:iCs/>
          <w:i/>
        </w:rPr>
        <w:t xml:space="preserve">dhīḥ</w:t>
      </w:r>
      <w:r>
        <w:t xml:space="preserve"> </w:t>
      </w:r>
      <w:r>
        <w:t xml:space="preserve">is read among the twenty-six words for action beginning with</w:t>
      </w:r>
      <w:r>
        <w:t xml:space="preserve"> </w:t>
      </w:r>
      <w:r>
        <w:rPr>
          <w:iCs/>
          <w:i/>
        </w:rPr>
        <w:t xml:space="preserve">apaḥ</w:t>
      </w:r>
      <w:r>
        <w:t xml:space="preserve"> </w:t>
      </w:r>
      <w:r>
        <w:t xml:space="preserve">(Ni. 3-2),</w:t>
      </w:r>
      <w:r>
        <w:t xml:space="preserve"> </w:t>
      </w:r>
      <w:r>
        <w:rPr>
          <w:iCs/>
          <w:i/>
        </w:rPr>
        <w:t xml:space="preserve">dhiyaḥ</w:t>
      </w:r>
      <w:r>
        <w:t xml:space="preserve"> </w:t>
      </w:r>
      <w:r>
        <w:t xml:space="preserve">means actions, deeds.</w:t>
      </w:r>
    </w:p>
    <w:p>
      <w:pPr>
        <w:pStyle w:val="BodyText"/>
      </w:pPr>
      <w:r>
        <w:rPr>
          <w:bCs/>
          <w:b/>
        </w:rPr>
        <w:t xml:space="preserve">॥ Vyākaraṇa-prakriyā ॥</w:t>
      </w:r>
      <w:r>
        <w:t xml:space="preserve"> </w:t>
      </w:r>
      <w:r>
        <w:rPr>
          <w:iCs/>
          <w:i/>
        </w:rPr>
        <w:t xml:space="preserve">(grammar pages 589–592, noted briefly)</w:t>
      </w:r>
    </w:p>
    <w:p>
      <w:pPr>
        <w:pStyle w:val="BodyText"/>
      </w:pPr>
      <w:r>
        <w:rPr>
          <w:bCs/>
          <w:b/>
        </w:rPr>
        <w:t xml:space="preserve">आ (</w:t>
      </w:r>
      <w:r>
        <w:rPr>
          <w:iCs/>
          <w:i/>
          <w:bCs/>
          <w:b/>
        </w:rPr>
        <w:t xml:space="preserve">ā</w:t>
      </w:r>
      <w:r>
        <w:rPr>
          <w:bCs/>
          <w:b/>
        </w:rPr>
        <w:t xml:space="preserve">)</w:t>
      </w:r>
      <w:r>
        <w:t xml:space="preserve">: initial udātta by</w:t>
      </w:r>
      <w:r>
        <w:t xml:space="preserve"> </w:t>
      </w:r>
      <w:r>
        <w:t xml:space="preserve">“</w:t>
      </w:r>
      <w:r>
        <w:t xml:space="preserve">nipātā ādyudāttāḥ</w:t>
      </w:r>
      <w:r>
        <w:t xml:space="preserve">”</w:t>
      </w:r>
      <w:r>
        <w:t xml:space="preserve">.</w:t>
      </w:r>
      <w:r>
        <w:t xml:space="preserve"> </w:t>
      </w:r>
      <w:r>
        <w:rPr>
          <w:bCs/>
          <w:b/>
        </w:rPr>
        <w:t xml:space="preserve">त्वा (</w:t>
      </w:r>
      <w:r>
        <w:rPr>
          <w:iCs/>
          <w:i/>
          <w:bCs/>
          <w:b/>
        </w:rPr>
        <w:t xml:space="preserve">tvā</w:t>
      </w:r>
      <w:r>
        <w:rPr>
          <w:bCs/>
          <w:b/>
        </w:rPr>
        <w:t xml:space="preserve">)</w:t>
      </w:r>
      <w:r>
        <w:t xml:space="preserve">:</w:t>
      </w:r>
      <w:r>
        <w:t xml:space="preserve"> </w:t>
      </w:r>
      <w:r>
        <w:t xml:space="preserve">“</w:t>
      </w:r>
      <w:r>
        <w:t xml:space="preserve">tvāmau dvitīyāyāḥ</w:t>
      </w:r>
      <w:r>
        <w:t xml:space="preserve">”</w:t>
      </w:r>
      <w:r>
        <w:t xml:space="preserve"> </w:t>
      </w:r>
      <w:r>
        <w:t xml:space="preserve">(Pā. sū. 4-1-23 [as printed, for 8-1-23]): for</w:t>
      </w:r>
      <w:r>
        <w:t xml:space="preserve"> </w:t>
      </w:r>
      <w:r>
        <w:rPr>
          <w:iCs/>
          <w:i/>
        </w:rPr>
        <w:t xml:space="preserve">yuṣmad</w:t>
      </w:r>
      <w:r>
        <w:t xml:space="preserve"> </w:t>
      </w:r>
      <w:r>
        <w:t xml:space="preserve">and</w:t>
      </w:r>
      <w:r>
        <w:t xml:space="preserve"> </w:t>
      </w:r>
      <w:r>
        <w:rPr>
          <w:iCs/>
          <w:i/>
        </w:rPr>
        <w:t xml:space="preserve">asmad</w:t>
      </w:r>
      <w:r>
        <w:t xml:space="preserve"> </w:t>
      </w:r>
      <w:r>
        <w:t xml:space="preserve">in the accusative singular, after a word and not at the beginning of a pāda, the unaccented replacements</w:t>
      </w:r>
      <w:r>
        <w:t xml:space="preserve"> </w:t>
      </w:r>
      <w:r>
        <w:rPr>
          <w:iCs/>
          <w:i/>
        </w:rPr>
        <w:t xml:space="preserve">tvā</w:t>
      </w:r>
      <w:r>
        <w:t xml:space="preserve"> </w:t>
      </w:r>
      <w:r>
        <w:t xml:space="preserve">and</w:t>
      </w:r>
      <w:r>
        <w:t xml:space="preserve"> </w:t>
      </w:r>
      <w:r>
        <w:rPr>
          <w:iCs/>
          <w:i/>
        </w:rPr>
        <w:t xml:space="preserve">mā</w:t>
      </w:r>
      <w:r>
        <w:t xml:space="preserve">; so the unaccented</w:t>
      </w:r>
      <w:r>
        <w:t xml:space="preserve"> </w:t>
      </w:r>
      <w:r>
        <w:rPr>
          <w:iCs/>
          <w:i/>
        </w:rPr>
        <w:t xml:space="preserve">tvā</w:t>
      </w:r>
      <w:r>
        <w:t xml:space="preserve"> </w:t>
      </w:r>
      <w:r>
        <w:t xml:space="preserve">for</w:t>
      </w:r>
      <w:r>
        <w:t xml:space="preserve"> </w:t>
      </w:r>
      <w:r>
        <w:rPr>
          <w:iCs/>
          <w:i/>
        </w:rPr>
        <w:t xml:space="preserve">tvām</w:t>
      </w:r>
      <w:r>
        <w:t xml:space="preserve">.</w:t>
      </w:r>
    </w:p>
    <w:bookmarkEnd w:id="626"/>
    <w:bookmarkStart w:id="627" w:name="page-590-rik-2-grammar-continued"/>
    <w:p>
      <w:pPr>
        <w:pStyle w:val="Heading3"/>
      </w:pPr>
      <w:r>
        <w:t xml:space="preserve">Page 590 — Rik 2: grammar (continued)</w:t>
      </w:r>
    </w:p>
    <w:p>
      <w:pPr>
        <w:pStyle w:val="FirstParagraph"/>
      </w:pPr>
      <w:r>
        <w:rPr>
          <w:bCs/>
          <w:b/>
        </w:rPr>
        <w:t xml:space="preserve">कण्वाः (</w:t>
      </w:r>
      <w:r>
        <w:rPr>
          <w:iCs/>
          <w:i/>
          <w:bCs/>
          <w:b/>
        </w:rPr>
        <w:t xml:space="preserve">kaṇvāḥ</w:t>
      </w:r>
      <w:r>
        <w:rPr>
          <w:bCs/>
          <w:b/>
        </w:rPr>
        <w:t xml:space="preserve">)</w:t>
      </w:r>
      <w:r>
        <w:t xml:space="preserve">:</w:t>
      </w:r>
      <w:r>
        <w:t xml:space="preserve"> </w:t>
      </w:r>
      <w:r>
        <w:rPr>
          <w:iCs/>
          <w:i/>
        </w:rPr>
        <w:t xml:space="preserve">kaṇa śabdārthe</w:t>
      </w:r>
      <w:r>
        <w:t xml:space="preserve">;</w:t>
      </w:r>
      <w:r>
        <w:t xml:space="preserve"> </w:t>
      </w:r>
      <w:r>
        <w:rPr>
          <w:iCs/>
          <w:i/>
        </w:rPr>
        <w:t xml:space="preserve">kvan</w:t>
      </w:r>
      <w:r>
        <w:t xml:space="preserve"> </w:t>
      </w:r>
      <w:r>
        <w:t xml:space="preserve">by</w:t>
      </w:r>
      <w:r>
        <w:t xml:space="preserve"> </w:t>
      </w:r>
      <w:r>
        <w:t xml:space="preserve">“</w:t>
      </w:r>
      <w:r>
        <w:t xml:space="preserve">aśūpruṣilaṭikaṇikhaṭiviśibhyaḥ kvan</w:t>
      </w:r>
      <w:r>
        <w:t xml:space="preserve">”</w:t>
      </w:r>
      <w:r>
        <w:t xml:space="preserve"> </w:t>
      </w:r>
      <w:r>
        <w:t xml:space="preserve">(Uṇ. sū.</w:t>
      </w:r>
      <w:r>
        <w:t xml:space="preserve"> </w:t>
      </w:r>
      <w:r>
        <w:t xml:space="preserve">“</w:t>
      </w:r>
      <w:r>
        <w:t xml:space="preserve">1-1-49</w:t>
      </w:r>
      <w:r>
        <w:t xml:space="preserve">”</w:t>
      </w:r>
      <w:r>
        <w:t xml:space="preserve"> </w:t>
      </w:r>
      <w:r>
        <w:t xml:space="preserve">[as printed]). There are three roots</w:t>
      </w:r>
      <w:r>
        <w:t xml:space="preserve"> </w:t>
      </w:r>
      <w:r>
        <w:rPr>
          <w:iCs/>
          <w:i/>
        </w:rPr>
        <w:t xml:space="preserve">kaṇa</w:t>
      </w:r>
      <w:r>
        <w:t xml:space="preserve">:</w:t>
      </w:r>
      <w:r>
        <w:t xml:space="preserve"> </w:t>
      </w:r>
      <w:r>
        <w:rPr>
          <w:iCs/>
          <w:i/>
        </w:rPr>
        <w:t xml:space="preserve">kaṇa bhāṣārthaḥ</w:t>
      </w:r>
      <w:r>
        <w:t xml:space="preserve">,</w:t>
      </w:r>
      <w:r>
        <w:t xml:space="preserve"> </w:t>
      </w:r>
      <w:r>
        <w:rPr>
          <w:iCs/>
          <w:i/>
        </w:rPr>
        <w:t xml:space="preserve">kaṇa gatau</w:t>
      </w:r>
      <w:r>
        <w:t xml:space="preserve">,</w:t>
      </w:r>
      <w:r>
        <w:t xml:space="preserve"> </w:t>
      </w:r>
      <w:r>
        <w:rPr>
          <w:iCs/>
          <w:i/>
        </w:rPr>
        <w:t xml:space="preserve">kaṇa nimīlane</w:t>
      </w:r>
      <w:r>
        <w:t xml:space="preserve">; the commentators on the Tattvabodhinī and others take the</w:t>
      </w:r>
      <w:r>
        <w:t xml:space="preserve"> </w:t>
      </w:r>
      <w:r>
        <w:rPr>
          <w:iCs/>
          <w:i/>
        </w:rPr>
        <w:t xml:space="preserve">curādi</w:t>
      </w:r>
      <w:r>
        <w:t xml:space="preserve"> </w:t>
      </w:r>
      <w:r>
        <w:t xml:space="preserve">root</w:t>
      </w:r>
      <w:r>
        <w:t xml:space="preserve"> </w:t>
      </w:r>
      <w:r>
        <w:rPr>
          <w:iCs/>
          <w:i/>
        </w:rPr>
        <w:t xml:space="preserve">kaṇa nimīlane</w:t>
      </w:r>
      <w:r>
        <w:t xml:space="preserve"> </w:t>
      </w:r>
      <w:r>
        <w:t xml:space="preserve">here, but the Vedabhāṣyakāra holds that</w:t>
      </w:r>
      <w:r>
        <w:t xml:space="preserve"> </w:t>
      </w:r>
      <w:r>
        <w:rPr>
          <w:iCs/>
          <w:i/>
        </w:rPr>
        <w:t xml:space="preserve">kvan</w:t>
      </w:r>
      <w:r>
        <w:t xml:space="preserve"> </w:t>
      </w:r>
      <w:r>
        <w:t xml:space="preserve">may come after all three. The suffix is</w:t>
      </w:r>
      <w:r>
        <w:t xml:space="preserve"> </w:t>
      </w:r>
      <w:r>
        <w:rPr>
          <w:iCs/>
          <w:i/>
        </w:rPr>
        <w:t xml:space="preserve">nit</w:t>
      </w:r>
      <w:r>
        <w:t xml:space="preserve">, so</w:t>
      </w:r>
      <w:r>
        <w:t xml:space="preserve"> </w:t>
      </w:r>
      <w:r>
        <w:rPr>
          <w:iCs/>
          <w:i/>
        </w:rPr>
        <w:t xml:space="preserve">kaṇvāḥ</w:t>
      </w:r>
      <w:r>
        <w:t xml:space="preserve"> </w:t>
      </w:r>
      <w:r>
        <w:t xml:space="preserve">is initial udātta.</w:t>
      </w:r>
    </w:p>
    <w:p>
      <w:pPr>
        <w:pStyle w:val="BodyText"/>
      </w:pPr>
      <w:r>
        <w:rPr>
          <w:bCs/>
          <w:b/>
        </w:rPr>
        <w:t xml:space="preserve">अहूषत (</w:t>
      </w:r>
      <w:r>
        <w:rPr>
          <w:iCs/>
          <w:i/>
          <w:bCs/>
          <w:b/>
        </w:rPr>
        <w:t xml:space="preserve">ahūṣata</w:t>
      </w:r>
      <w:r>
        <w:rPr>
          <w:bCs/>
          <w:b/>
        </w:rPr>
        <w:t xml:space="preserve">)</w:t>
      </w:r>
      <w:r>
        <w:t xml:space="preserve">:</w:t>
      </w:r>
      <w:r>
        <w:t xml:space="preserve"> </w:t>
      </w:r>
      <w:r>
        <w:rPr>
          <w:iCs/>
          <w:i/>
        </w:rPr>
        <w:t xml:space="preserve">hveñ spardhāyāṃ śabde ca</w:t>
      </w:r>
      <w:r>
        <w:t xml:space="preserve">; by</w:t>
      </w:r>
      <w:r>
        <w:t xml:space="preserve"> </w:t>
      </w:r>
      <w:r>
        <w:t xml:space="preserve">“</w:t>
      </w:r>
      <w:r>
        <w:t xml:space="preserve">chandasi luṅlaṅliṭaḥ</w:t>
      </w:r>
      <w:r>
        <w:t xml:space="preserve">”</w:t>
      </w:r>
      <w:r>
        <w:t xml:space="preserve"> </w:t>
      </w:r>
      <w:r>
        <w:t xml:space="preserve">(Pā. sū. 3-4-6) these</w:t>
      </w:r>
      <w:r>
        <w:t xml:space="preserve"> </w:t>
      </w:r>
      <w:r>
        <w:rPr>
          <w:iCs/>
          <w:i/>
        </w:rPr>
        <w:t xml:space="preserve">lakāras</w:t>
      </w:r>
      <w:r>
        <w:t xml:space="preserve"> </w:t>
      </w:r>
      <w:r>
        <w:t xml:space="preserve">come in any time (past, future, present) when a relation of the root’s sense is shown, so</w:t>
      </w:r>
      <w:r>
        <w:t xml:space="preserve"> </w:t>
      </w:r>
      <w:r>
        <w:rPr>
          <w:iCs/>
          <w:i/>
        </w:rPr>
        <w:t xml:space="preserve">luṅ</w:t>
      </w:r>
      <w:r>
        <w:t xml:space="preserve"> </w:t>
      </w:r>
      <w:r>
        <w:t xml:space="preserve">comes after</w:t>
      </w:r>
      <w:r>
        <w:t xml:space="preserve"> </w:t>
      </w:r>
      <w:r>
        <w:rPr>
          <w:iCs/>
          <w:i/>
        </w:rPr>
        <w:t xml:space="preserve">hveñ</w:t>
      </w:r>
      <w:r>
        <w:t xml:space="preserve"> </w:t>
      </w:r>
      <w:r>
        <w:t xml:space="preserve">in the present;</w:t>
      </w:r>
      <w:r>
        <w:t xml:space="preserve"> </w:t>
      </w:r>
      <w:r>
        <w:rPr>
          <w:iCs/>
          <w:i/>
        </w:rPr>
        <w:t xml:space="preserve">hve</w:t>
      </w:r>
      <w:r>
        <w:t xml:space="preserve"> </w:t>
      </w:r>
      <w:r>
        <w:t xml:space="preserve">+</w:t>
      </w:r>
      <w:r>
        <w:t xml:space="preserve"> </w:t>
      </w:r>
      <w:r>
        <w:rPr>
          <w:iCs/>
          <w:i/>
        </w:rPr>
        <w:t xml:space="preserve">l</w:t>
      </w:r>
      <w:r>
        <w:t xml:space="preserve">; the</w:t>
      </w:r>
      <w:r>
        <w:t xml:space="preserve"> </w:t>
      </w:r>
      <w:r>
        <w:rPr>
          <w:iCs/>
          <w:i/>
        </w:rPr>
        <w:t xml:space="preserve">ñ</w:t>
      </w:r>
      <w:r>
        <w:t xml:space="preserve"> </w:t>
      </w:r>
      <w:r>
        <w:t xml:space="preserve">is</w:t>
      </w:r>
      <w:r>
        <w:t xml:space="preserve"> </w:t>
      </w:r>
      <w:r>
        <w:rPr>
          <w:iCs/>
          <w:i/>
        </w:rPr>
        <w:t xml:space="preserve">it</w:t>
      </w:r>
      <w:r>
        <w:t xml:space="preserve">, so the root is</w:t>
      </w:r>
      <w:r>
        <w:t xml:space="preserve"> </w:t>
      </w:r>
      <w:r>
        <w:rPr>
          <w:iCs/>
          <w:i/>
        </w:rPr>
        <w:t xml:space="preserve">ñit</w:t>
      </w:r>
      <w:r>
        <w:t xml:space="preserve">, and by</w:t>
      </w:r>
      <w:r>
        <w:t xml:space="preserve"> </w:t>
      </w:r>
      <w:r>
        <w:t xml:space="preserve">“</w:t>
      </w:r>
      <w:r>
        <w:t xml:space="preserve">svaritañitaḥ kartrabhiprāye kriyāphale</w:t>
      </w:r>
      <w:r>
        <w:t xml:space="preserve">”</w:t>
      </w:r>
      <w:r>
        <w:t xml:space="preserve"> </w:t>
      </w:r>
      <w:r>
        <w:t xml:space="preserve">(Pā. sū. 1-3-72) the</w:t>
      </w:r>
      <w:r>
        <w:t xml:space="preserve"> </w:t>
      </w:r>
      <w:r>
        <w:rPr>
          <w:iCs/>
          <w:i/>
        </w:rPr>
        <w:t xml:space="preserve">ātmanepada</w:t>
      </w:r>
      <w:r>
        <w:t xml:space="preserve"> </w:t>
      </w:r>
      <w:r>
        <w:t xml:space="preserve">comes when the fruit of the action goes to the agent; 3rd plural</w:t>
      </w:r>
      <w:r>
        <w:t xml:space="preserve"> </w:t>
      </w:r>
      <w:r>
        <w:rPr>
          <w:iCs/>
          <w:i/>
        </w:rPr>
        <w:t xml:space="preserve">jha</w:t>
      </w:r>
      <w:r>
        <w:t xml:space="preserve">:</w:t>
      </w:r>
      <w:r>
        <w:t xml:space="preserve"> </w:t>
      </w:r>
      <w:r>
        <w:rPr>
          <w:iCs/>
          <w:i/>
        </w:rPr>
        <w:t xml:space="preserve">hve</w:t>
      </w:r>
      <w:r>
        <w:t xml:space="preserve"> </w:t>
      </w:r>
      <w:r>
        <w:t xml:space="preserve">+</w:t>
      </w:r>
      <w:r>
        <w:t xml:space="preserve"> </w:t>
      </w:r>
      <w:r>
        <w:rPr>
          <w:iCs/>
          <w:i/>
        </w:rPr>
        <w:t xml:space="preserve">jha</w:t>
      </w:r>
      <w:r>
        <w:t xml:space="preserve">;</w:t>
      </w:r>
      <w:r>
        <w:t xml:space="preserve"> </w:t>
      </w:r>
      <w:r>
        <w:rPr>
          <w:iCs/>
          <w:i/>
        </w:rPr>
        <w:t xml:space="preserve">cli</w:t>
      </w:r>
      <w:r>
        <w:t xml:space="preserve"> </w:t>
      </w:r>
      <w:r>
        <w:t xml:space="preserve">by</w:t>
      </w:r>
      <w:r>
        <w:t xml:space="preserve"> </w:t>
      </w:r>
      <w:r>
        <w:t xml:space="preserve">“</w:t>
      </w:r>
      <w:r>
        <w:t xml:space="preserve">cli luṅi</w:t>
      </w:r>
      <w:r>
        <w:t xml:space="preserve">”</w:t>
      </w:r>
      <w:r>
        <w:t xml:space="preserve"> </w:t>
      </w:r>
      <w:r>
        <w:t xml:space="preserve">(Pā. sū. 3-1-43),</w:t>
      </w:r>
      <w:r>
        <w:t xml:space="preserve"> </w:t>
      </w:r>
      <w:r>
        <w:rPr>
          <w:iCs/>
          <w:i/>
        </w:rPr>
        <w:t xml:space="preserve">sic</w:t>
      </w:r>
      <w:r>
        <w:t xml:space="preserve"> </w:t>
      </w:r>
      <w:r>
        <w:t xml:space="preserve">for it by</w:t>
      </w:r>
      <w:r>
        <w:t xml:space="preserve"> </w:t>
      </w:r>
      <w:r>
        <w:t xml:space="preserve">“</w:t>
      </w:r>
      <w:r>
        <w:t xml:space="preserve">cleḥ sic</w:t>
      </w:r>
      <w:r>
        <w:t xml:space="preserve">”</w:t>
      </w:r>
      <w:r>
        <w:t xml:space="preserve"> </w:t>
      </w:r>
      <w:r>
        <w:t xml:space="preserve">(Pā. sū. 3-1-44):</w:t>
      </w:r>
      <w:r>
        <w:t xml:space="preserve"> </w:t>
      </w:r>
      <w:r>
        <w:rPr>
          <w:iCs/>
          <w:i/>
        </w:rPr>
        <w:t xml:space="preserve">hve</w:t>
      </w:r>
      <w:r>
        <w:t xml:space="preserve"> </w:t>
      </w:r>
      <w:r>
        <w:t xml:space="preserve">+</w:t>
      </w:r>
      <w:r>
        <w:t xml:space="preserve"> </w:t>
      </w:r>
      <w:r>
        <w:rPr>
          <w:iCs/>
          <w:i/>
        </w:rPr>
        <w:t xml:space="preserve">s</w:t>
      </w:r>
      <w:r>
        <w:t xml:space="preserve"> </w:t>
      </w:r>
      <w:r>
        <w:t xml:space="preserve">+</w:t>
      </w:r>
      <w:r>
        <w:t xml:space="preserve"> </w:t>
      </w:r>
      <w:r>
        <w:rPr>
          <w:iCs/>
          <w:i/>
        </w:rPr>
        <w:t xml:space="preserve">jha</w:t>
      </w:r>
      <w:r>
        <w:t xml:space="preserve">.</w:t>
      </w:r>
      <w:r>
        <w:t xml:space="preserve"> </w:t>
      </w:r>
      <w:r>
        <w:rPr>
          <w:iCs/>
          <w:i/>
        </w:rPr>
        <w:t xml:space="preserve">Sic</w:t>
      </w:r>
      <w:r>
        <w:t xml:space="preserve"> </w:t>
      </w:r>
      <w:r>
        <w:t xml:space="preserve">is</w:t>
      </w:r>
      <w:r>
        <w:t xml:space="preserve"> </w:t>
      </w:r>
      <w:r>
        <w:rPr>
          <w:iCs/>
          <w:i/>
        </w:rPr>
        <w:t xml:space="preserve">ārdhadhātuka</w:t>
      </w:r>
      <w:r>
        <w:t xml:space="preserve">, so</w:t>
      </w:r>
      <w:r>
        <w:t xml:space="preserve"> </w:t>
      </w:r>
      <w:r>
        <w:t xml:space="preserve">“</w:t>
      </w:r>
      <w:r>
        <w:t xml:space="preserve">ārdhadhātukasyeḍ valādeḥ</w:t>
      </w:r>
      <w:r>
        <w:t xml:space="preserve">”</w:t>
      </w:r>
      <w:r>
        <w:t xml:space="preserve"> </w:t>
      </w:r>
      <w:r>
        <w:t xml:space="preserve">(Pā. sū. 7-2-35) would give</w:t>
      </w:r>
      <w:r>
        <w:t xml:space="preserve"> </w:t>
      </w:r>
      <w:r>
        <w:rPr>
          <w:iCs/>
          <w:i/>
        </w:rPr>
        <w:t xml:space="preserve">iṭ</w:t>
      </w:r>
      <w:r>
        <w:t xml:space="preserve">; but</w:t>
      </w:r>
      <w:r>
        <w:t xml:space="preserve"> </w:t>
      </w:r>
      <w:r>
        <w:rPr>
          <w:iCs/>
          <w:i/>
        </w:rPr>
        <w:t xml:space="preserve">hve</w:t>
      </w:r>
      <w:r>
        <w:t xml:space="preserve">, ending in a vowel, is not in the kārikā</w:t>
      </w:r>
      <w:r>
        <w:t xml:space="preserve"> </w:t>
      </w:r>
      <w:r>
        <w:t xml:space="preserve">“</w:t>
      </w:r>
      <w:r>
        <w:t xml:space="preserve">ūdṛdantaiḥ…</w:t>
      </w:r>
      <w:r>
        <w:t xml:space="preserve">”</w:t>
      </w:r>
      <w:r>
        <w:t xml:space="preserve">, so it is unaccented in</w:t>
      </w:r>
      <w:r>
        <w:t xml:space="preserve"> </w:t>
      </w:r>
      <w:r>
        <w:rPr>
          <w:iCs/>
          <w:i/>
        </w:rPr>
        <w:t xml:space="preserve">upadeśa</w:t>
      </w:r>
      <w:r>
        <w:t xml:space="preserve">, and being one-syllabled there,</w:t>
      </w:r>
      <w:r>
        <w:t xml:space="preserve"> </w:t>
      </w:r>
      <w:r>
        <w:t xml:space="preserve">“</w:t>
      </w:r>
      <w:r>
        <w:t xml:space="preserve">ekāca upadeśe ’nudāttāt</w:t>
      </w:r>
      <w:r>
        <w:t xml:space="preserve">”</w:t>
      </w:r>
      <w:r>
        <w:t xml:space="preserve"> </w:t>
      </w:r>
      <w:r>
        <w:t xml:space="preserve">(Pā. sū. 7-2-10) bars the</w:t>
      </w:r>
      <w:r>
        <w:t xml:space="preserve"> </w:t>
      </w:r>
      <w:r>
        <w:rPr>
          <w:iCs/>
          <w:i/>
        </w:rPr>
        <w:t xml:space="preserve">iṭ</w:t>
      </w:r>
      <w:r>
        <w:t xml:space="preserve">. With</w:t>
      </w:r>
      <w:r>
        <w:t xml:space="preserve"> </w:t>
      </w:r>
      <w:r>
        <w:t xml:space="preserve">“</w:t>
      </w:r>
      <w:r>
        <w:t xml:space="preserve">hvaḥ samprasāraṇam</w:t>
      </w:r>
      <w:r>
        <w:t xml:space="preserve">”</w:t>
      </w:r>
      <w:r>
        <w:t xml:space="preserve"> </w:t>
      </w:r>
      <w:r>
        <w:t xml:space="preserve">(Pā. sū. 6-1-32) carried on,</w:t>
      </w:r>
      <w:r>
        <w:t xml:space="preserve"> </w:t>
      </w:r>
      <w:r>
        <w:t xml:space="preserve">“</w:t>
      </w:r>
      <w:r>
        <w:t xml:space="preserve">bahulaṃ chandasi</w:t>
      </w:r>
      <w:r>
        <w:t xml:space="preserve">”</w:t>
      </w:r>
      <w:r>
        <w:t xml:space="preserve"> </w:t>
      </w:r>
      <w:r>
        <w:t xml:space="preserve">(Pā. sū. 6-1-34) gives</w:t>
      </w:r>
      <w:r>
        <w:t xml:space="preserve"> </w:t>
      </w:r>
      <w:r>
        <w:rPr>
          <w:iCs/>
          <w:i/>
        </w:rPr>
        <w:t xml:space="preserve">saṃprasāraṇa</w:t>
      </w:r>
      <w:r>
        <w:t xml:space="preserve">,</w:t>
      </w:r>
      <w:r>
        <w:t xml:space="preserve"> </w:t>
      </w:r>
      <w:r>
        <w:rPr>
          <w:iCs/>
          <w:i/>
        </w:rPr>
        <w:t xml:space="preserve">u</w:t>
      </w:r>
      <w:r>
        <w:t xml:space="preserve"> </w:t>
      </w:r>
      <w:r>
        <w:t xml:space="preserve">for the</w:t>
      </w:r>
      <w:r>
        <w:t xml:space="preserve"> </w:t>
      </w:r>
      <w:r>
        <w:rPr>
          <w:iCs/>
          <w:i/>
        </w:rPr>
        <w:t xml:space="preserve">v</w:t>
      </w:r>
      <w:r>
        <w:t xml:space="preserve">:</w:t>
      </w:r>
      <w:r>
        <w:t xml:space="preserve"> </w:t>
      </w:r>
      <w:r>
        <w:rPr>
          <w:iCs/>
          <w:i/>
        </w:rPr>
        <w:t xml:space="preserve">hu</w:t>
      </w:r>
      <w:r>
        <w:t xml:space="preserve"> </w:t>
      </w:r>
      <w:r>
        <w:t xml:space="preserve">+</w:t>
      </w:r>
      <w:r>
        <w:t xml:space="preserve"> </w:t>
      </w:r>
      <w:r>
        <w:rPr>
          <w:iCs/>
          <w:i/>
        </w:rPr>
        <w:t xml:space="preserve">e</w:t>
      </w:r>
      <w:r>
        <w:t xml:space="preserve"> </w:t>
      </w:r>
      <w:r>
        <w:t xml:space="preserve">+</w:t>
      </w:r>
      <w:r>
        <w:t xml:space="preserve"> </w:t>
      </w:r>
      <w:r>
        <w:rPr>
          <w:iCs/>
          <w:i/>
        </w:rPr>
        <w:t xml:space="preserve">s</w:t>
      </w:r>
      <w:r>
        <w:t xml:space="preserve"> </w:t>
      </w:r>
      <w:r>
        <w:t xml:space="preserve">+</w:t>
      </w:r>
      <w:r>
        <w:t xml:space="preserve"> </w:t>
      </w:r>
      <w:r>
        <w:rPr>
          <w:iCs/>
          <w:i/>
        </w:rPr>
        <w:t xml:space="preserve">jha</w:t>
      </w:r>
      <w:r>
        <w:t xml:space="preserve">;</w:t>
      </w:r>
      <w:r>
        <w:t xml:space="preserve"> </w:t>
      </w:r>
      <w:r>
        <w:t xml:space="preserve">“</w:t>
      </w:r>
      <w:r>
        <w:t xml:space="preserve">saṃprasāraṇāc ca</w:t>
      </w:r>
      <w:r>
        <w:t xml:space="preserve">”</w:t>
      </w:r>
      <w:r>
        <w:t xml:space="preserve"> </w:t>
      </w:r>
      <w:r>
        <w:t xml:space="preserve">(Pā. sū. 6-1-108) gives</w:t>
      </w:r>
      <w:r>
        <w:t xml:space="preserve"> </w:t>
      </w:r>
      <w:r>
        <w:rPr>
          <w:iCs/>
          <w:i/>
        </w:rPr>
        <w:t xml:space="preserve">pūrvarūpa</w:t>
      </w:r>
      <w:r>
        <w:t xml:space="preserve"> </w:t>
      </w:r>
      <w:r>
        <w:t xml:space="preserve">of</w:t>
      </w:r>
      <w:r>
        <w:t xml:space="preserve"> </w:t>
      </w:r>
      <w:r>
        <w:rPr>
          <w:iCs/>
          <w:i/>
        </w:rPr>
        <w:t xml:space="preserve">u</w:t>
      </w:r>
      <w:r>
        <w:t xml:space="preserve"> </w:t>
      </w:r>
      <w:r>
        <w:t xml:space="preserve">and</w:t>
      </w:r>
      <w:r>
        <w:t xml:space="preserve"> </w:t>
      </w:r>
      <w:r>
        <w:rPr>
          <w:iCs/>
          <w:i/>
        </w:rPr>
        <w:t xml:space="preserve">e</w:t>
      </w:r>
      <w:r>
        <w:t xml:space="preserve">:</w:t>
      </w:r>
      <w:r>
        <w:t xml:space="preserve"> </w:t>
      </w:r>
      <w:r>
        <w:rPr>
          <w:iCs/>
          <w:i/>
        </w:rPr>
        <w:t xml:space="preserve">hu</w:t>
      </w:r>
      <w:r>
        <w:t xml:space="preserve"> </w:t>
      </w:r>
      <w:r>
        <w:t xml:space="preserve">+</w:t>
      </w:r>
      <w:r>
        <w:t xml:space="preserve"> </w:t>
      </w:r>
      <w:r>
        <w:rPr>
          <w:iCs/>
          <w:i/>
        </w:rPr>
        <w:t xml:space="preserve">s</w:t>
      </w:r>
      <w:r>
        <w:t xml:space="preserve"> </w:t>
      </w:r>
      <w:r>
        <w:t xml:space="preserve">+</w:t>
      </w:r>
      <w:r>
        <w:t xml:space="preserve"> </w:t>
      </w:r>
      <w:r>
        <w:rPr>
          <w:iCs/>
          <w:i/>
        </w:rPr>
        <w:t xml:space="preserve">jha</w:t>
      </w:r>
      <w:r>
        <w:t xml:space="preserve">;</w:t>
      </w:r>
      <w:r>
        <w:t xml:space="preserve"> </w:t>
      </w:r>
      <w:r>
        <w:t xml:space="preserve">“</w:t>
      </w:r>
      <w:r>
        <w:t xml:space="preserve">halaḥ</w:t>
      </w:r>
      <w:r>
        <w:t xml:space="preserve">”</w:t>
      </w:r>
      <w:r>
        <w:t xml:space="preserve"> </w:t>
      </w:r>
      <w:r>
        <w:t xml:space="preserve">(Pā. sū. 6-4-2): the final of a stem ending in a</w:t>
      </w:r>
      <w:r>
        <w:t xml:space="preserve"> </w:t>
      </w:r>
      <w:r>
        <w:rPr>
          <w:iCs/>
          <w:i/>
        </w:rPr>
        <w:t xml:space="preserve">saṃprasāraṇa</w:t>
      </w:r>
      <w:r>
        <w:t xml:space="preserve"> </w:t>
      </w:r>
      <w:r>
        <w:t xml:space="preserve">after a consonant is lengthened:</w:t>
      </w:r>
      <w:r>
        <w:t xml:space="preserve"> </w:t>
      </w:r>
      <w:r>
        <w:rPr>
          <w:iCs/>
          <w:i/>
        </w:rPr>
        <w:t xml:space="preserve">hū</w:t>
      </w:r>
      <w:r>
        <w:t xml:space="preserve"> </w:t>
      </w:r>
      <w:r>
        <w:t xml:space="preserve">+</w:t>
      </w:r>
      <w:r>
        <w:t xml:space="preserve"> </w:t>
      </w:r>
      <w:r>
        <w:rPr>
          <w:iCs/>
          <w:i/>
        </w:rPr>
        <w:t xml:space="preserve">s</w:t>
      </w:r>
      <w:r>
        <w:t xml:space="preserve"> </w:t>
      </w:r>
      <w:r>
        <w:t xml:space="preserve">+</w:t>
      </w:r>
      <w:r>
        <w:t xml:space="preserve"> </w:t>
      </w:r>
      <w:r>
        <w:rPr>
          <w:iCs/>
          <w:i/>
        </w:rPr>
        <w:t xml:space="preserve">jha</w:t>
      </w:r>
      <w:r>
        <w:t xml:space="preserve"> </w:t>
      </w:r>
      <w:r>
        <w:t xml:space="preserve">(this sense of</w:t>
      </w:r>
      <w:r>
        <w:t xml:space="preserve"> </w:t>
      </w:r>
      <w:r>
        <w:t xml:space="preserve">“</w:t>
      </w:r>
      <w:r>
        <w:t xml:space="preserve">halaḥ</w:t>
      </w:r>
      <w:r>
        <w:t xml:space="preserve">”</w:t>
      </w:r>
      <w:r>
        <w:t xml:space="preserve"> </w:t>
      </w:r>
      <w:r>
        <w:t xml:space="preserve">is given to bar lengthening in</w:t>
      </w:r>
      <w:r>
        <w:t xml:space="preserve"> </w:t>
      </w:r>
      <w:r>
        <w:rPr>
          <w:iCs/>
          <w:i/>
        </w:rPr>
        <w:t xml:space="preserve">utaḥ</w:t>
      </w:r>
      <w:r>
        <w:t xml:space="preserve">,</w:t>
      </w:r>
      <w:r>
        <w:t xml:space="preserve"> </w:t>
      </w:r>
      <w:r>
        <w:rPr>
          <w:iCs/>
          <w:i/>
        </w:rPr>
        <w:t xml:space="preserve">nirutam</w:t>
      </w:r>
      <w:r>
        <w:t xml:space="preserve">,</w:t>
      </w:r>
      <w:r>
        <w:t xml:space="preserve"> </w:t>
      </w:r>
      <w:r>
        <w:rPr>
          <w:iCs/>
          <w:i/>
        </w:rPr>
        <w:t xml:space="preserve">vidhyati</w:t>
      </w:r>
      <w:r>
        <w:t xml:space="preserve">).</w:t>
      </w:r>
      <w:r>
        <w:t xml:space="preserve"> </w:t>
      </w:r>
      <w:r>
        <w:t xml:space="preserve">“</w:t>
      </w:r>
      <w:r>
        <w:t xml:space="preserve">ātmanepadeṣv anataḥ</w:t>
      </w:r>
      <w:r>
        <w:t xml:space="preserve">”</w:t>
      </w:r>
      <w:r>
        <w:t xml:space="preserve"> </w:t>
      </w:r>
      <w:r>
        <w:t xml:space="preserve">(Pā. sū. 7-1-5):</w:t>
      </w:r>
      <w:r>
        <w:t xml:space="preserve"> </w:t>
      </w:r>
      <w:r>
        <w:rPr>
          <w:iCs/>
          <w:i/>
        </w:rPr>
        <w:t xml:space="preserve">at</w:t>
      </w:r>
      <w:r>
        <w:t xml:space="preserve"> </w:t>
      </w:r>
      <w:r>
        <w:t xml:space="preserve">for the</w:t>
      </w:r>
      <w:r>
        <w:t xml:space="preserve"> </w:t>
      </w:r>
      <w:r>
        <w:rPr>
          <w:iCs/>
          <w:i/>
        </w:rPr>
        <w:t xml:space="preserve">jh</w:t>
      </w:r>
      <w:r>
        <w:t xml:space="preserve">:</w:t>
      </w:r>
      <w:r>
        <w:t xml:space="preserve"> </w:t>
      </w:r>
      <w:r>
        <w:rPr>
          <w:iCs/>
          <w:i/>
        </w:rPr>
        <w:t xml:space="preserve">hūs</w:t>
      </w:r>
      <w:r>
        <w:t xml:space="preserve"> </w:t>
      </w:r>
      <w:r>
        <w:t xml:space="preserve">+</w:t>
      </w:r>
      <w:r>
        <w:t xml:space="preserve"> </w:t>
      </w:r>
      <w:r>
        <w:rPr>
          <w:iCs/>
          <w:i/>
        </w:rPr>
        <w:t xml:space="preserve">ata</w:t>
      </w:r>
      <w:r>
        <w:t xml:space="preserve">; the augment</w:t>
      </w:r>
      <w:r>
        <w:t xml:space="preserve"> </w:t>
      </w:r>
      <w:r>
        <w:rPr>
          <w:iCs/>
          <w:i/>
        </w:rPr>
        <w:t xml:space="preserve">a</w:t>
      </w:r>
      <w:r>
        <w:t xml:space="preserve"> </w:t>
      </w:r>
      <w:r>
        <w:t xml:space="preserve">by</w:t>
      </w:r>
      <w:r>
        <w:t xml:space="preserve"> </w:t>
      </w:r>
      <w:r>
        <w:t xml:space="preserve">“</w:t>
      </w:r>
      <w:r>
        <w:t xml:space="preserve">luṅlaṅlṛṅkṣv aḍ udāttaḥ</w:t>
      </w:r>
      <w:r>
        <w:t xml:space="preserve">”</w:t>
      </w:r>
      <w:r>
        <w:t xml:space="preserve"> </w:t>
      </w:r>
      <w:r>
        <w:t xml:space="preserve">(Pā. sū. 6-4-71):</w:t>
      </w:r>
      <w:r>
        <w:t xml:space="preserve"> </w:t>
      </w:r>
      <w:r>
        <w:rPr>
          <w:iCs/>
          <w:i/>
        </w:rPr>
        <w:t xml:space="preserve">ahūs</w:t>
      </w:r>
      <w:r>
        <w:t xml:space="preserve"> </w:t>
      </w:r>
      <w:r>
        <w:t xml:space="preserve">+</w:t>
      </w:r>
      <w:r>
        <w:t xml:space="preserve"> </w:t>
      </w:r>
      <w:r>
        <w:rPr>
          <w:iCs/>
          <w:i/>
        </w:rPr>
        <w:t xml:space="preserve">ata</w:t>
      </w:r>
      <w:r>
        <w:t xml:space="preserve">;</w:t>
      </w:r>
      <w:r>
        <w:t xml:space="preserve"> </w:t>
      </w:r>
      <w:r>
        <w:rPr>
          <w:iCs/>
          <w:i/>
        </w:rPr>
        <w:t xml:space="preserve">ṣ</w:t>
      </w:r>
      <w:r>
        <w:t xml:space="preserve"> </w:t>
      </w:r>
      <w:r>
        <w:t xml:space="preserve">for the</w:t>
      </w:r>
      <w:r>
        <w:t xml:space="preserve"> </w:t>
      </w:r>
      <w:r>
        <w:rPr>
          <w:iCs/>
          <w:i/>
        </w:rPr>
        <w:t xml:space="preserve">s</w:t>
      </w:r>
      <w:r>
        <w:t xml:space="preserve"> </w:t>
      </w:r>
      <w:r>
        <w:t xml:space="preserve">by</w:t>
      </w:r>
      <w:r>
        <w:t xml:space="preserve"> </w:t>
      </w:r>
      <w:r>
        <w:t xml:space="preserve">“</w:t>
      </w:r>
      <w:r>
        <w:t xml:space="preserve">ādeśapratyayayoḥ</w:t>
      </w:r>
      <w:r>
        <w:t xml:space="preserve">”</w:t>
      </w:r>
      <w:r>
        <w:t xml:space="preserve"> </w:t>
      </w:r>
      <w:r>
        <w:t xml:space="preserve">(Pā. sū. 8-3-59):</w:t>
      </w:r>
      <w:r>
        <w:t xml:space="preserve"> </w:t>
      </w:r>
      <w:r>
        <w:rPr>
          <w:iCs/>
          <w:i/>
        </w:rPr>
        <w:t xml:space="preserve">ahūṣata</w:t>
      </w:r>
      <w:r>
        <w:t xml:space="preserve">. Though</w:t>
      </w:r>
      <w:r>
        <w:t xml:space="preserve"> </w:t>
      </w:r>
      <w:r>
        <w:rPr>
          <w:iCs/>
          <w:i/>
        </w:rPr>
        <w:t xml:space="preserve">guṇa</w:t>
      </w:r>
      <w:r>
        <w:t xml:space="preserve"> </w:t>
      </w:r>
      <w:r>
        <w:t xml:space="preserve">of the</w:t>
      </w:r>
      <w:r>
        <w:t xml:space="preserve"> </w:t>
      </w:r>
      <w:r>
        <w:rPr>
          <w:iCs/>
          <w:i/>
        </w:rPr>
        <w:t xml:space="preserve">ū</w:t>
      </w:r>
      <w:r>
        <w:t xml:space="preserve"> </w:t>
      </w:r>
      <w:r>
        <w:t xml:space="preserve">would come by</w:t>
      </w:r>
      <w:r>
        <w:t xml:space="preserve"> </w:t>
      </w:r>
      <w:r>
        <w:t xml:space="preserve">“</w:t>
      </w:r>
      <w:r>
        <w:t xml:space="preserve">sārvadhātukārdhadhātukayoḥ</w:t>
      </w:r>
      <w:r>
        <w:t xml:space="preserve">”</w:t>
      </w:r>
      <w:r>
        <w:t xml:space="preserve"> </w:t>
      </w:r>
      <w:r>
        <w:t xml:space="preserve">(Pā. sū. 7-3-84) because of</w:t>
      </w:r>
      <w:r>
        <w:t xml:space="preserve"> </w:t>
      </w:r>
      <w:r>
        <w:rPr>
          <w:iCs/>
          <w:i/>
        </w:rPr>
        <w:t xml:space="preserve">sic</w:t>
      </w:r>
      <w:r>
        <w:t xml:space="preserve">, by the paribhāṣā</w:t>
      </w:r>
    </w:p>
    <w:p>
      <w:pPr>
        <w:pStyle w:val="BlockText"/>
      </w:pPr>
      <w:r>
        <w:t xml:space="preserve">सर्वे विधयश्छन्दसि विकल्प्यन्ते</w:t>
      </w:r>
    </w:p>
    <w:p>
      <w:pPr>
        <w:pStyle w:val="BlockText"/>
      </w:pPr>
      <w:r>
        <w:rPr>
          <w:iCs/>
          <w:i/>
        </w:rPr>
        <w:t xml:space="preserve">sarve vidhayaśchandasi vikalpyante</w:t>
      </w:r>
    </w:p>
    <w:p>
      <w:pPr>
        <w:pStyle w:val="FirstParagraph"/>
      </w:pPr>
      <w:r>
        <w:rPr>
          <w:iCs/>
          <w:i/>
        </w:rPr>
        <w:t xml:space="preserve">(Paribhāṣā 35)</w:t>
      </w:r>
      <w:r>
        <w:t xml:space="preserve"> </w:t>
      </w:r>
      <w:r>
        <w:t xml:space="preserve">it is optional in the Veda and does not come here. Wholly unaccented by</w:t>
      </w:r>
      <w:r>
        <w:t xml:space="preserve"> </w:t>
      </w:r>
      <w:r>
        <w:t xml:space="preserve">“</w:t>
      </w:r>
      <w:r>
        <w:t xml:space="preserve">tiṅṅatiṅaḥ</w:t>
      </w:r>
      <w:r>
        <w:t xml:space="preserve">”</w:t>
      </w:r>
      <w:r>
        <w:t xml:space="preserve">.</w:t>
      </w:r>
    </w:p>
    <w:p>
      <w:pPr>
        <w:pStyle w:val="BodyText"/>
      </w:pPr>
      <w:r>
        <w:rPr>
          <w:bCs/>
          <w:b/>
        </w:rPr>
        <w:t xml:space="preserve">गृणन्ति (</w:t>
      </w:r>
      <w:r>
        <w:rPr>
          <w:iCs/>
          <w:i/>
          <w:bCs/>
          <w:b/>
        </w:rPr>
        <w:t xml:space="preserve">gṛṇanti</w:t>
      </w:r>
      <w:r>
        <w:rPr>
          <w:bCs/>
          <w:b/>
        </w:rPr>
        <w:t xml:space="preserve">)</w:t>
      </w:r>
      <w:r>
        <w:t xml:space="preserve">:</w:t>
      </w:r>
      <w:r>
        <w:t xml:space="preserve"> </w:t>
      </w:r>
      <w:r>
        <w:rPr>
          <w:iCs/>
          <w:i/>
        </w:rPr>
        <w:t xml:space="preserve">gṝ śabde</w:t>
      </w:r>
      <w:r>
        <w:t xml:space="preserve">;</w:t>
      </w:r>
      <w:r>
        <w:t xml:space="preserve"> </w:t>
      </w:r>
      <w:r>
        <w:t xml:space="preserve">“</w:t>
      </w:r>
      <w:r>
        <w:t xml:space="preserve">vartamāne laṭ</w:t>
      </w:r>
      <w:r>
        <w:t xml:space="preserve">”</w:t>
      </w:r>
      <w:r>
        <w:t xml:space="preserve"> </w:t>
      </w:r>
      <w:r>
        <w:t xml:space="preserve">(Pā. sū. 3-2-123):</w:t>
      </w:r>
      <w:r>
        <w:t xml:space="preserve"> </w:t>
      </w:r>
      <w:r>
        <w:rPr>
          <w:iCs/>
          <w:i/>
        </w:rPr>
        <w:t xml:space="preserve">vartamāne</w:t>
      </w:r>
      <w:r>
        <w:t xml:space="preserve"> </w:t>
      </w:r>
      <w:r>
        <w:t xml:space="preserve">qualifies the sense of the stem; the suffix only marks it:</w:t>
      </w:r>
      <w:r>
        <w:t xml:space="preserve"> </w:t>
      </w:r>
      <w:r>
        <w:rPr>
          <w:iCs/>
          <w:i/>
        </w:rPr>
        <w:t xml:space="preserve">laṭ</w:t>
      </w:r>
      <w:r>
        <w:t xml:space="preserve"> </w:t>
      </w:r>
      <w:r>
        <w:t xml:space="preserve">after a root denoting a present action.</w:t>
      </w:r>
    </w:p>
    <w:bookmarkEnd w:id="627"/>
    <w:bookmarkStart w:id="628" w:name="page-591-rik-2-grammar-continued"/>
    <w:p>
      <w:pPr>
        <w:pStyle w:val="Heading3"/>
      </w:pPr>
      <w:r>
        <w:t xml:space="preserve">Page 591 — Rik 2: grammar (continued)</w:t>
      </w:r>
    </w:p>
    <w:p>
      <w:pPr>
        <w:pStyle w:val="FirstParagraph"/>
      </w:pPr>
      <w:r>
        <w:t xml:space="preserve">The Bhāṣya has</w:t>
      </w:r>
      <w:r>
        <w:t xml:space="preserve"> </w:t>
      </w:r>
      <w:r>
        <w:t xml:space="preserve">“</w:t>
      </w:r>
      <w:r>
        <w:t xml:space="preserve">bhūtabhaviṣyatoḥ pratidvandvī vartamānakālaḥ</w:t>
      </w:r>
      <w:r>
        <w:t xml:space="preserve">”</w:t>
      </w:r>
      <w:r>
        <w:t xml:space="preserve"> </w:t>
      </w:r>
      <w:r>
        <w:t xml:space="preserve">(the present is the counterpart of past and future); some define the present as</w:t>
      </w:r>
      <w:r>
        <w:t xml:space="preserve"> </w:t>
      </w:r>
      <w:r>
        <w:t xml:space="preserve">“</w:t>
      </w:r>
      <w:r>
        <w:t xml:space="preserve">atītānāgatabhinnakālatvaṃ vartamānakālatvam</w:t>
      </w:r>
      <w:r>
        <w:t xml:space="preserve">”</w:t>
      </w:r>
      <w:r>
        <w:t xml:space="preserve">, the time other than past and future; others as</w:t>
      </w:r>
      <w:r>
        <w:t xml:space="preserve"> </w:t>
      </w:r>
      <w:r>
        <w:t xml:space="preserve">“</w:t>
      </w:r>
      <w:r>
        <w:t xml:space="preserve">prārabdhāparisamāptakriyāśrayatvaṃ kālagataṃ vartamānatvam</w:t>
      </w:r>
      <w:r>
        <w:t xml:space="preserve">”</w:t>
      </w:r>
      <w:r>
        <w:t xml:space="preserve">, the time that holds an action begun and not finished. By this sūtra</w:t>
      </w:r>
      <w:r>
        <w:t xml:space="preserve"> </w:t>
      </w:r>
      <w:r>
        <w:rPr>
          <w:iCs/>
          <w:i/>
        </w:rPr>
        <w:t xml:space="preserve">laṭ</w:t>
      </w:r>
      <w:r>
        <w:t xml:space="preserve"> </w:t>
      </w:r>
      <w:r>
        <w:t xml:space="preserve">after</w:t>
      </w:r>
      <w:r>
        <w:t xml:space="preserve"> </w:t>
      </w:r>
      <w:r>
        <w:rPr>
          <w:iCs/>
          <w:i/>
        </w:rPr>
        <w:t xml:space="preserve">gṝ</w:t>
      </w:r>
      <w:r>
        <w:t xml:space="preserve">:</w:t>
      </w:r>
      <w:r>
        <w:t xml:space="preserve"> </w:t>
      </w:r>
      <w:r>
        <w:rPr>
          <w:iCs/>
          <w:i/>
        </w:rPr>
        <w:t xml:space="preserve">gṝ</w:t>
      </w:r>
      <w:r>
        <w:t xml:space="preserve"> </w:t>
      </w:r>
      <w:r>
        <w:t xml:space="preserve">+</w:t>
      </w:r>
      <w:r>
        <w:t xml:space="preserve"> </w:t>
      </w:r>
      <w:r>
        <w:rPr>
          <w:iCs/>
          <w:i/>
        </w:rPr>
        <w:t xml:space="preserve">l</w:t>
      </w:r>
      <w:r>
        <w:t xml:space="preserve">;</w:t>
      </w:r>
      <w:r>
        <w:t xml:space="preserve"> </w:t>
      </w:r>
      <w:r>
        <w:rPr>
          <w:iCs/>
          <w:i/>
        </w:rPr>
        <w:t xml:space="preserve">parasmaipada</w:t>
      </w:r>
      <w:r>
        <w:t xml:space="preserve"> </w:t>
      </w:r>
      <w:r>
        <w:t xml:space="preserve">3rd plural</w:t>
      </w:r>
      <w:r>
        <w:t xml:space="preserve"> </w:t>
      </w:r>
      <w:r>
        <w:rPr>
          <w:iCs/>
          <w:i/>
        </w:rPr>
        <w:t xml:space="preserve">jhi</w:t>
      </w:r>
      <w:r>
        <w:t xml:space="preserve">;</w:t>
      </w:r>
      <w:r>
        <w:t xml:space="preserve"> </w:t>
      </w:r>
      <w:r>
        <w:rPr>
          <w:iCs/>
          <w:i/>
        </w:rPr>
        <w:t xml:space="preserve">ant</w:t>
      </w:r>
      <w:r>
        <w:t xml:space="preserve"> </w:t>
      </w:r>
      <w:r>
        <w:t xml:space="preserve">for</w:t>
      </w:r>
      <w:r>
        <w:t xml:space="preserve"> </w:t>
      </w:r>
      <w:r>
        <w:rPr>
          <w:iCs/>
          <w:i/>
        </w:rPr>
        <w:t xml:space="preserve">jh</w:t>
      </w:r>
      <w:r>
        <w:t xml:space="preserve"> </w:t>
      </w:r>
      <w:r>
        <w:t xml:space="preserve">by</w:t>
      </w:r>
      <w:r>
        <w:t xml:space="preserve"> </w:t>
      </w:r>
      <w:r>
        <w:t xml:space="preserve">“</w:t>
      </w:r>
      <w:r>
        <w:t xml:space="preserve">jho ’ntaḥ</w:t>
      </w:r>
      <w:r>
        <w:t xml:space="preserve">”</w:t>
      </w:r>
      <w:r>
        <w:t xml:space="preserve"> </w:t>
      </w:r>
      <w:r>
        <w:t xml:space="preserve">(Pā. sū. 7-1-3):</w:t>
      </w:r>
      <w:r>
        <w:t xml:space="preserve"> </w:t>
      </w:r>
      <w:r>
        <w:rPr>
          <w:iCs/>
          <w:i/>
        </w:rPr>
        <w:t xml:space="preserve">gṝ</w:t>
      </w:r>
      <w:r>
        <w:t xml:space="preserve"> </w:t>
      </w:r>
      <w:r>
        <w:t xml:space="preserve">+</w:t>
      </w:r>
      <w:r>
        <w:t xml:space="preserve"> </w:t>
      </w:r>
      <w:r>
        <w:rPr>
          <w:iCs/>
          <w:i/>
        </w:rPr>
        <w:t xml:space="preserve">anti</w:t>
      </w:r>
      <w:r>
        <w:t xml:space="preserve">;</w:t>
      </w:r>
      <w:r>
        <w:t xml:space="preserve"> </w:t>
      </w:r>
      <w:r>
        <w:rPr>
          <w:iCs/>
          <w:i/>
        </w:rPr>
        <w:t xml:space="preserve">śnā</w:t>
      </w:r>
      <w:r>
        <w:t xml:space="preserve"> </w:t>
      </w:r>
      <w:r>
        <w:t xml:space="preserve">by</w:t>
      </w:r>
      <w:r>
        <w:t xml:space="preserve"> </w:t>
      </w:r>
      <w:r>
        <w:t xml:space="preserve">“</w:t>
      </w:r>
      <w:r>
        <w:t xml:space="preserve">kryādibhyaḥ śnā</w:t>
      </w:r>
      <w:r>
        <w:t xml:space="preserve">”</w:t>
      </w:r>
      <w:r>
        <w:t xml:space="preserve"> </w:t>
      </w:r>
      <w:r>
        <w:t xml:space="preserve">(Pā. sū. 3-1-81):</w:t>
      </w:r>
      <w:r>
        <w:t xml:space="preserve"> </w:t>
      </w:r>
      <w:r>
        <w:rPr>
          <w:iCs/>
          <w:i/>
        </w:rPr>
        <w:t xml:space="preserve">gṝ</w:t>
      </w:r>
      <w:r>
        <w:t xml:space="preserve"> </w:t>
      </w:r>
      <w:r>
        <w:t xml:space="preserve">+</w:t>
      </w:r>
      <w:r>
        <w:t xml:space="preserve"> </w:t>
      </w:r>
      <w:r>
        <w:rPr>
          <w:iCs/>
          <w:i/>
        </w:rPr>
        <w:t xml:space="preserve">nā</w:t>
      </w:r>
      <w:r>
        <w:t xml:space="preserve"> </w:t>
      </w:r>
      <w:r>
        <w:t xml:space="preserve">+</w:t>
      </w:r>
      <w:r>
        <w:t xml:space="preserve"> </w:t>
      </w:r>
      <w:r>
        <w:rPr>
          <w:iCs/>
          <w:i/>
        </w:rPr>
        <w:t xml:space="preserve">anti</w:t>
      </w:r>
      <w:r>
        <w:t xml:space="preserve">; the root shortened by</w:t>
      </w:r>
      <w:r>
        <w:t xml:space="preserve"> </w:t>
      </w:r>
      <w:r>
        <w:t xml:space="preserve">“</w:t>
      </w:r>
      <w:r>
        <w:t xml:space="preserve">pvādīnāṃ hrasvaḥ</w:t>
      </w:r>
      <w:r>
        <w:t xml:space="preserve">”</w:t>
      </w:r>
      <w:r>
        <w:t xml:space="preserve"> </w:t>
      </w:r>
      <w:r>
        <w:t xml:space="preserve">(Pā. sū. 7-3-80):</w:t>
      </w:r>
      <w:r>
        <w:t xml:space="preserve"> </w:t>
      </w:r>
      <w:r>
        <w:rPr>
          <w:iCs/>
          <w:i/>
        </w:rPr>
        <w:t xml:space="preserve">gṛ</w:t>
      </w:r>
      <w:r>
        <w:t xml:space="preserve"> </w:t>
      </w:r>
      <w:r>
        <w:t xml:space="preserve">+</w:t>
      </w:r>
      <w:r>
        <w:t xml:space="preserve"> </w:t>
      </w:r>
      <w:r>
        <w:rPr>
          <w:iCs/>
          <w:i/>
        </w:rPr>
        <w:t xml:space="preserve">nā</w:t>
      </w:r>
      <w:r>
        <w:t xml:space="preserve"> </w:t>
      </w:r>
      <w:r>
        <w:t xml:space="preserve">+</w:t>
      </w:r>
      <w:r>
        <w:t xml:space="preserve"> </w:t>
      </w:r>
      <w:r>
        <w:rPr>
          <w:iCs/>
          <w:i/>
        </w:rPr>
        <w:t xml:space="preserve">anti</w:t>
      </w:r>
      <w:r>
        <w:t xml:space="preserve">;</w:t>
      </w:r>
      <w:r>
        <w:t xml:space="preserve"> </w:t>
      </w:r>
      <w:r>
        <w:t xml:space="preserve">“</w:t>
      </w:r>
      <w:r>
        <w:t xml:space="preserve">śnābhyastayor ātaḥ</w:t>
      </w:r>
      <w:r>
        <w:t xml:space="preserve">”</w:t>
      </w:r>
      <w:r>
        <w:t xml:space="preserve"> </w:t>
      </w:r>
      <w:r>
        <w:t xml:space="preserve">(Pā. sū. 6-4-112): before a</w:t>
      </w:r>
      <w:r>
        <w:t xml:space="preserve"> </w:t>
      </w:r>
      <w:r>
        <w:rPr>
          <w:iCs/>
          <w:i/>
        </w:rPr>
        <w:t xml:space="preserve">kit</w:t>
      </w:r>
      <w:r>
        <w:t xml:space="preserve"> </w:t>
      </w:r>
      <w:r>
        <w:t xml:space="preserve">or</w:t>
      </w:r>
      <w:r>
        <w:t xml:space="preserve"> </w:t>
      </w:r>
      <w:r>
        <w:rPr>
          <w:iCs/>
          <w:i/>
        </w:rPr>
        <w:t xml:space="preserve">ṅit</w:t>
      </w:r>
      <w:r>
        <w:t xml:space="preserve"> </w:t>
      </w:r>
      <w:r>
        <w:t xml:space="preserve">suffix the</w:t>
      </w:r>
      <w:r>
        <w:t xml:space="preserve"> </w:t>
      </w:r>
      <w:r>
        <w:rPr>
          <w:iCs/>
          <w:i/>
        </w:rPr>
        <w:t xml:space="preserve">ā</w:t>
      </w:r>
      <w:r>
        <w:t xml:space="preserve"> </w:t>
      </w:r>
      <w:r>
        <w:t xml:space="preserve">of</w:t>
      </w:r>
      <w:r>
        <w:t xml:space="preserve"> </w:t>
      </w:r>
      <w:r>
        <w:rPr>
          <w:iCs/>
          <w:i/>
        </w:rPr>
        <w:t xml:space="preserve">śnā</w:t>
      </w:r>
      <w:r>
        <w:t xml:space="preserve"> </w:t>
      </w:r>
      <w:r>
        <w:t xml:space="preserve">and of a reduplicated stem drops;</w:t>
      </w:r>
      <w:r>
        <w:t xml:space="preserve"> </w:t>
      </w:r>
      <w:r>
        <w:rPr>
          <w:iCs/>
          <w:i/>
        </w:rPr>
        <w:t xml:space="preserve">śnā</w:t>
      </w:r>
      <w:r>
        <w:t xml:space="preserve"> </w:t>
      </w:r>
      <w:r>
        <w:t xml:space="preserve">is</w:t>
      </w:r>
      <w:r>
        <w:t xml:space="preserve"> </w:t>
      </w:r>
      <w:r>
        <w:rPr>
          <w:iCs/>
          <w:i/>
        </w:rPr>
        <w:t xml:space="preserve">ṅit</w:t>
      </w:r>
      <w:r>
        <w:t xml:space="preserve"> </w:t>
      </w:r>
      <w:r>
        <w:t xml:space="preserve">by</w:t>
      </w:r>
      <w:r>
        <w:t xml:space="preserve"> </w:t>
      </w:r>
      <w:r>
        <w:t xml:space="preserve">“</w:t>
      </w:r>
      <w:r>
        <w:t xml:space="preserve">sārvadhātukam apit</w:t>
      </w:r>
      <w:r>
        <w:t xml:space="preserve">”</w:t>
      </w:r>
      <w:r>
        <w:t xml:space="preserve"> </w:t>
      </w:r>
      <w:r>
        <w:t xml:space="preserve">(Pā. sū. 1-2-4):</w:t>
      </w:r>
      <w:r>
        <w:t xml:space="preserve"> </w:t>
      </w:r>
      <w:r>
        <w:rPr>
          <w:iCs/>
          <w:i/>
        </w:rPr>
        <w:t xml:space="preserve">gṛ</w:t>
      </w:r>
      <w:r>
        <w:t xml:space="preserve"> </w:t>
      </w:r>
      <w:r>
        <w:t xml:space="preserve">+</w:t>
      </w:r>
      <w:r>
        <w:t xml:space="preserve"> </w:t>
      </w:r>
      <w:r>
        <w:rPr>
          <w:iCs/>
          <w:i/>
        </w:rPr>
        <w:t xml:space="preserve">n</w:t>
      </w:r>
      <w:r>
        <w:t xml:space="preserve"> </w:t>
      </w:r>
      <w:r>
        <w:t xml:space="preserve">+</w:t>
      </w:r>
      <w:r>
        <w:t xml:space="preserve"> </w:t>
      </w:r>
      <w:r>
        <w:rPr>
          <w:iCs/>
          <w:i/>
        </w:rPr>
        <w:t xml:space="preserve">anti</w:t>
      </w:r>
      <w:r>
        <w:t xml:space="preserve">;</w:t>
      </w:r>
      <w:r>
        <w:t xml:space="preserve"> </w:t>
      </w:r>
      <w:r>
        <w:rPr>
          <w:iCs/>
          <w:i/>
        </w:rPr>
        <w:t xml:space="preserve">ṇ</w:t>
      </w:r>
      <w:r>
        <w:t xml:space="preserve"> </w:t>
      </w:r>
      <w:r>
        <w:t xml:space="preserve">for</w:t>
      </w:r>
      <w:r>
        <w:t xml:space="preserve"> </w:t>
      </w:r>
      <w:r>
        <w:rPr>
          <w:iCs/>
          <w:i/>
        </w:rPr>
        <w:t xml:space="preserve">n</w:t>
      </w:r>
      <w:r>
        <w:t xml:space="preserve"> </w:t>
      </w:r>
      <w:r>
        <w:t xml:space="preserve">by</w:t>
      </w:r>
      <w:r>
        <w:t xml:space="preserve"> </w:t>
      </w:r>
      <w:r>
        <w:t xml:space="preserve">“</w:t>
      </w:r>
      <w:r>
        <w:t xml:space="preserve">ṛvarṇāc ceti vaktavyam</w:t>
      </w:r>
      <w:r>
        <w:t xml:space="preserve">”</w:t>
      </w:r>
      <w:r>
        <w:t xml:space="preserve"> </w:t>
      </w:r>
      <w:r>
        <w:t xml:space="preserve">(Pā. sū. 8-4-1 vā. 1):</w:t>
      </w:r>
      <w:r>
        <w:t xml:space="preserve"> </w:t>
      </w:r>
      <w:r>
        <w:rPr>
          <w:iCs/>
          <w:i/>
        </w:rPr>
        <w:t xml:space="preserve">gṛṇanti</w:t>
      </w:r>
      <w:r>
        <w:t xml:space="preserve">. It follows the</w:t>
      </w:r>
      <w:r>
        <w:t xml:space="preserve"> </w:t>
      </w:r>
      <w:r>
        <w:rPr>
          <w:iCs/>
          <w:i/>
        </w:rPr>
        <w:t xml:space="preserve">tiṅanta</w:t>
      </w:r>
      <w:r>
        <w:t xml:space="preserve"> </w:t>
      </w:r>
      <w:r>
        <w:rPr>
          <w:iCs/>
          <w:i/>
        </w:rPr>
        <w:t xml:space="preserve">ahūṣata</w:t>
      </w:r>
      <w:r>
        <w:t xml:space="preserve">, so</w:t>
      </w:r>
      <w:r>
        <w:t xml:space="preserve"> </w:t>
      </w:r>
      <w:r>
        <w:t xml:space="preserve">“</w:t>
      </w:r>
      <w:r>
        <w:t xml:space="preserve">tiṅṅatiṅaḥ</w:t>
      </w:r>
      <w:r>
        <w:t xml:space="preserve">”</w:t>
      </w:r>
      <w:r>
        <w:t xml:space="preserve"> </w:t>
      </w:r>
      <w:r>
        <w:t xml:space="preserve">does not make it wholly unaccented;</w:t>
      </w:r>
      <w:r>
        <w:t xml:space="preserve"> </w:t>
      </w:r>
      <w:r>
        <w:rPr>
          <w:iCs/>
          <w:i/>
        </w:rPr>
        <w:t xml:space="preserve">tiṅ</w:t>
      </w:r>
      <w:r>
        <w:t xml:space="preserve"> </w:t>
      </w:r>
      <w:r>
        <w:t xml:space="preserve">being a suffix,</w:t>
      </w:r>
      <w:r>
        <w:t xml:space="preserve"> </w:t>
      </w:r>
      <w:r>
        <w:t xml:space="preserve">“</w:t>
      </w:r>
      <w:r>
        <w:t xml:space="preserve">ādyudāttaś ca</w:t>
      </w:r>
      <w:r>
        <w:t xml:space="preserve">”</w:t>
      </w:r>
      <w:r>
        <w:t xml:space="preserve"> </w:t>
      </w:r>
      <w:r>
        <w:t xml:space="preserve">(Pā. sū. 3-1-3) gives the initial udātta, so the</w:t>
      </w:r>
      <w:r>
        <w:t xml:space="preserve"> </w:t>
      </w:r>
      <w:r>
        <w:rPr>
          <w:iCs/>
          <w:i/>
        </w:rPr>
        <w:t xml:space="preserve">a</w:t>
      </w:r>
      <w:r>
        <w:t xml:space="preserve"> </w:t>
      </w:r>
      <w:r>
        <w:t xml:space="preserve">of</w:t>
      </w:r>
      <w:r>
        <w:t xml:space="preserve"> </w:t>
      </w:r>
      <w:r>
        <w:rPr>
          <w:iCs/>
          <w:i/>
        </w:rPr>
        <w:t xml:space="preserve">anti</w:t>
      </w:r>
      <w:r>
        <w:t xml:space="preserve"> </w:t>
      </w:r>
      <w:r>
        <w:t xml:space="preserve">is udātta.</w:t>
      </w:r>
    </w:p>
    <w:p>
      <w:pPr>
        <w:pStyle w:val="BodyText"/>
      </w:pPr>
      <w:r>
        <w:rPr>
          <w:bCs/>
          <w:b/>
        </w:rPr>
        <w:t xml:space="preserve">विप्र (</w:t>
      </w:r>
      <w:r>
        <w:rPr>
          <w:iCs/>
          <w:i/>
          <w:bCs/>
          <w:b/>
        </w:rPr>
        <w:t xml:space="preserve">vipra</w:t>
      </w:r>
      <w:r>
        <w:rPr>
          <w:bCs/>
          <w:b/>
        </w:rPr>
        <w:t xml:space="preserve">)</w:t>
      </w:r>
      <w:r>
        <w:t xml:space="preserve">: a vocative; so by</w:t>
      </w:r>
      <w:r>
        <w:t xml:space="preserve"> </w:t>
      </w:r>
      <w:r>
        <w:t xml:space="preserve">“</w:t>
      </w:r>
      <w:r>
        <w:t xml:space="preserve">āmantritasya ca</w:t>
      </w:r>
      <w:r>
        <w:t xml:space="preserve">”</w:t>
      </w:r>
      <w:r>
        <w:t xml:space="preserve"> </w:t>
      </w:r>
      <w:r>
        <w:t xml:space="preserve">(Pā. sū.</w:t>
      </w:r>
      <w:r>
        <w:t xml:space="preserve"> </w:t>
      </w:r>
      <w:r>
        <w:t xml:space="preserve">“</w:t>
      </w:r>
      <w:r>
        <w:t xml:space="preserve">1-19</w:t>
      </w:r>
      <w:r>
        <w:t xml:space="preserve">”</w:t>
      </w:r>
      <w:r>
        <w:t xml:space="preserve"> </w:t>
      </w:r>
      <w:r>
        <w:t xml:space="preserve">[as printed, for 8-1-19]) wholly unaccented.</w:t>
      </w:r>
    </w:p>
    <w:p>
      <w:pPr>
        <w:pStyle w:val="BodyText"/>
      </w:pPr>
      <w:r>
        <w:rPr>
          <w:bCs/>
          <w:b/>
        </w:rPr>
        <w:t xml:space="preserve">ते (</w:t>
      </w:r>
      <w:r>
        <w:rPr>
          <w:iCs/>
          <w:i/>
          <w:bCs/>
          <w:b/>
        </w:rPr>
        <w:t xml:space="preserve">te</w:t>
      </w:r>
      <w:r>
        <w:rPr>
          <w:bCs/>
          <w:b/>
        </w:rPr>
        <w:t xml:space="preserve">)</w:t>
      </w:r>
      <w:r>
        <w:t xml:space="preserve">: with</w:t>
      </w:r>
      <w:r>
        <w:t xml:space="preserve"> </w:t>
      </w:r>
      <w:r>
        <w:t xml:space="preserve">“</w:t>
      </w:r>
      <w:r>
        <w:t xml:space="preserve">anudāttaṃ sarvam apādādau</w:t>
      </w:r>
      <w:r>
        <w:t xml:space="preserve">”</w:t>
      </w:r>
      <w:r>
        <w:t xml:space="preserve"> </w:t>
      </w:r>
      <w:r>
        <w:t xml:space="preserve">(Pā. sū. 8-1-18) and</w:t>
      </w:r>
      <w:r>
        <w:t xml:space="preserve"> </w:t>
      </w:r>
      <w:r>
        <w:t xml:space="preserve">“</w:t>
      </w:r>
      <w:r>
        <w:t xml:space="preserve">padāt</w:t>
      </w:r>
      <w:r>
        <w:t xml:space="preserve">”</w:t>
      </w:r>
      <w:r>
        <w:t xml:space="preserve"> </w:t>
      </w:r>
      <w:r>
        <w:t xml:space="preserve">(Pā. sū.</w:t>
      </w:r>
      <w:r>
        <w:t xml:space="preserve"> </w:t>
      </w:r>
      <w:r>
        <w:t xml:space="preserve">“</w:t>
      </w:r>
      <w:r>
        <w:t xml:space="preserve">8-11-7</w:t>
      </w:r>
      <w:r>
        <w:t xml:space="preserve">”</w:t>
      </w:r>
      <w:r>
        <w:t xml:space="preserve"> </w:t>
      </w:r>
      <w:r>
        <w:t xml:space="preserve">[as printed, for 8-1-17]) carried on,</w:t>
      </w:r>
      <w:r>
        <w:t xml:space="preserve"> </w:t>
      </w:r>
      <w:r>
        <w:t xml:space="preserve">“</w:t>
      </w:r>
      <w:r>
        <w:t xml:space="preserve">te mayāv ekavacanasya</w:t>
      </w:r>
      <w:r>
        <w:t xml:space="preserve">”</w:t>
      </w:r>
      <w:r>
        <w:t xml:space="preserve"> </w:t>
      </w:r>
      <w:r>
        <w:t xml:space="preserve">(Pā. sū. 8-1-22) gives</w:t>
      </w:r>
      <w:r>
        <w:t xml:space="preserve"> </w:t>
      </w:r>
      <w:r>
        <w:rPr>
          <w:iCs/>
          <w:i/>
        </w:rPr>
        <w:t xml:space="preserve">te</w:t>
      </w:r>
      <w:r>
        <w:t xml:space="preserve"> </w:t>
      </w:r>
      <w:r>
        <w:t xml:space="preserve">and</w:t>
      </w:r>
      <w:r>
        <w:t xml:space="preserve"> </w:t>
      </w:r>
      <w:r>
        <w:rPr>
          <w:iCs/>
          <w:i/>
        </w:rPr>
        <w:t xml:space="preserve">me</w:t>
      </w:r>
      <w:r>
        <w:t xml:space="preserve"> </w:t>
      </w:r>
      <w:r>
        <w:t xml:space="preserve">for</w:t>
      </w:r>
      <w:r>
        <w:t xml:space="preserve"> </w:t>
      </w:r>
      <w:r>
        <w:rPr>
          <w:iCs/>
          <w:i/>
        </w:rPr>
        <w:t xml:space="preserve">yuṣmad</w:t>
      </w:r>
      <w:r>
        <w:t xml:space="preserve"> </w:t>
      </w:r>
      <w:r>
        <w:t xml:space="preserve">and</w:t>
      </w:r>
      <w:r>
        <w:t xml:space="preserve"> </w:t>
      </w:r>
      <w:r>
        <w:rPr>
          <w:iCs/>
          <w:i/>
        </w:rPr>
        <w:t xml:space="preserve">asmad</w:t>
      </w:r>
      <w:r>
        <w:t xml:space="preserve"> </w:t>
      </w:r>
      <w:r>
        <w:t xml:space="preserve">in the genitive singular, after a word and not at the beginning of a pāda, unaccented; so</w:t>
      </w:r>
      <w:r>
        <w:t xml:space="preserve"> </w:t>
      </w:r>
      <w:r>
        <w:rPr>
          <w:iCs/>
          <w:i/>
        </w:rPr>
        <w:t xml:space="preserve">te</w:t>
      </w:r>
      <w:r>
        <w:t xml:space="preserve"> </w:t>
      </w:r>
      <w:r>
        <w:t xml:space="preserve">for</w:t>
      </w:r>
      <w:r>
        <w:t xml:space="preserve"> </w:t>
      </w:r>
      <w:r>
        <w:rPr>
          <w:iCs/>
          <w:i/>
        </w:rPr>
        <w:t xml:space="preserve">tava</w:t>
      </w:r>
      <w:r>
        <w:t xml:space="preserve">, unaccented.</w:t>
      </w:r>
    </w:p>
    <w:p>
      <w:pPr>
        <w:pStyle w:val="BodyText"/>
      </w:pPr>
      <w:r>
        <w:rPr>
          <w:bCs/>
          <w:b/>
        </w:rPr>
        <w:t xml:space="preserve">देवेभिः (</w:t>
      </w:r>
      <w:r>
        <w:rPr>
          <w:iCs/>
          <w:i/>
          <w:bCs/>
          <w:b/>
        </w:rPr>
        <w:t xml:space="preserve">devebhiḥ</w:t>
      </w:r>
      <w:r>
        <w:rPr>
          <w:bCs/>
          <w:b/>
        </w:rPr>
        <w:t xml:space="preserve">)</w:t>
      </w:r>
      <w:r>
        <w:t xml:space="preserve">: no</w:t>
      </w:r>
      <w:r>
        <w:t xml:space="preserve"> </w:t>
      </w:r>
      <w:r>
        <w:rPr>
          <w:iCs/>
          <w:i/>
        </w:rPr>
        <w:t xml:space="preserve">ais</w:t>
      </w:r>
      <w:r>
        <w:t xml:space="preserve"> </w:t>
      </w:r>
      <w:r>
        <w:t xml:space="preserve">by</w:t>
      </w:r>
      <w:r>
        <w:t xml:space="preserve"> </w:t>
      </w:r>
      <w:r>
        <w:t xml:space="preserve">“</w:t>
      </w:r>
      <w:r>
        <w:t xml:space="preserve">bahulaṃ chandasi</w:t>
      </w:r>
      <w:r>
        <w:t xml:space="preserve">”</w:t>
      </w:r>
      <w:r>
        <w:t xml:space="preserve">.</w:t>
      </w:r>
    </w:p>
    <w:p>
      <w:pPr>
        <w:pStyle w:val="BodyText"/>
      </w:pPr>
      <w:r>
        <w:rPr>
          <w:bCs/>
          <w:b/>
        </w:rPr>
        <w:t xml:space="preserve">गहि (</w:t>
      </w:r>
      <w:r>
        <w:rPr>
          <w:iCs/>
          <w:i/>
          <w:bCs/>
          <w:b/>
        </w:rPr>
        <w:t xml:space="preserve">gahi</w:t>
      </w:r>
      <w:r>
        <w:rPr>
          <w:bCs/>
          <w:b/>
        </w:rPr>
        <w:t xml:space="preserve">)</w:t>
      </w:r>
      <w:r>
        <w:t xml:space="preserve">:</w:t>
      </w:r>
      <w:r>
        <w:t xml:space="preserve"> </w:t>
      </w:r>
      <w:r>
        <w:rPr>
          <w:iCs/>
          <w:i/>
        </w:rPr>
        <w:t xml:space="preserve">gamḷ sṛpḷ gatau</w:t>
      </w:r>
      <w:r>
        <w:t xml:space="preserve">;</w:t>
      </w:r>
      <w:r>
        <w:t xml:space="preserve"> </w:t>
      </w:r>
      <w:r>
        <w:rPr>
          <w:iCs/>
          <w:i/>
        </w:rPr>
        <w:t xml:space="preserve">loṭ</w:t>
      </w:r>
      <w:r>
        <w:t xml:space="preserve">, 2nd singular</w:t>
      </w:r>
      <w:r>
        <w:t xml:space="preserve"> </w:t>
      </w:r>
      <w:r>
        <w:rPr>
          <w:iCs/>
          <w:i/>
        </w:rPr>
        <w:t xml:space="preserve">sip</w:t>
      </w:r>
      <w:r>
        <w:t xml:space="preserve">:</w:t>
      </w:r>
      <w:r>
        <w:t xml:space="preserve"> </w:t>
      </w:r>
      <w:r>
        <w:rPr>
          <w:iCs/>
          <w:i/>
        </w:rPr>
        <w:t xml:space="preserve">gam</w:t>
      </w:r>
      <w:r>
        <w:t xml:space="preserve"> </w:t>
      </w:r>
      <w:r>
        <w:t xml:space="preserve">+</w:t>
      </w:r>
      <w:r>
        <w:t xml:space="preserve"> </w:t>
      </w:r>
      <w:r>
        <w:rPr>
          <w:iCs/>
          <w:i/>
        </w:rPr>
        <w:t xml:space="preserve">si</w:t>
      </w:r>
      <w:r>
        <w:t xml:space="preserve">;</w:t>
      </w:r>
      <w:r>
        <w:t xml:space="preserve"> </w:t>
      </w:r>
      <w:r>
        <w:rPr>
          <w:iCs/>
          <w:i/>
        </w:rPr>
        <w:t xml:space="preserve">hi</w:t>
      </w:r>
      <w:r>
        <w:t xml:space="preserve"> </w:t>
      </w:r>
      <w:r>
        <w:t xml:space="preserve">for</w:t>
      </w:r>
      <w:r>
        <w:t xml:space="preserve"> </w:t>
      </w:r>
      <w:r>
        <w:rPr>
          <w:iCs/>
          <w:i/>
        </w:rPr>
        <w:t xml:space="preserve">si</w:t>
      </w:r>
      <w:r>
        <w:t xml:space="preserve"> </w:t>
      </w:r>
      <w:r>
        <w:t xml:space="preserve">by</w:t>
      </w:r>
      <w:r>
        <w:t xml:space="preserve"> </w:t>
      </w:r>
      <w:r>
        <w:t xml:space="preserve">“</w:t>
      </w:r>
      <w:r>
        <w:t xml:space="preserve">ser hy apic ca</w:t>
      </w:r>
      <w:r>
        <w:t xml:space="preserve">”</w:t>
      </w:r>
      <w:r>
        <w:t xml:space="preserve"> </w:t>
      </w:r>
      <w:r>
        <w:t xml:space="preserve">(Pā. sū. 3-4-87), which by</w:t>
      </w:r>
      <w:r>
        <w:t xml:space="preserve"> </w:t>
      </w:r>
      <w:r>
        <w:t xml:space="preserve">“</w:t>
      </w:r>
      <w:r>
        <w:t xml:space="preserve">sārvadhātukam apit</w:t>
      </w:r>
      <w:r>
        <w:t xml:space="preserve">”</w:t>
      </w:r>
      <w:r>
        <w:t xml:space="preserve"> </w:t>
      </w:r>
      <w:r>
        <w:t xml:space="preserve">(Pā. sū. 1-2-4) is</w:t>
      </w:r>
      <w:r>
        <w:t xml:space="preserve"> </w:t>
      </w:r>
      <w:r>
        <w:rPr>
          <w:iCs/>
          <w:i/>
        </w:rPr>
        <w:t xml:space="preserve">ṅit</w:t>
      </w:r>
      <w:r>
        <w:t xml:space="preserve">; the</w:t>
      </w:r>
      <w:r>
        <w:t xml:space="preserve"> </w:t>
      </w:r>
      <w:r>
        <w:rPr>
          <w:iCs/>
          <w:i/>
        </w:rPr>
        <w:t xml:space="preserve">śap</w:t>
      </w:r>
      <w:r>
        <w:t xml:space="preserve"> </w:t>
      </w:r>
      <w:r>
        <w:t xml:space="preserve">of</w:t>
      </w:r>
      <w:r>
        <w:t xml:space="preserve"> </w:t>
      </w:r>
      <w:r>
        <w:t xml:space="preserve">“</w:t>
      </w:r>
      <w:r>
        <w:t xml:space="preserve">kartari śap</w:t>
      </w:r>
      <w:r>
        <w:t xml:space="preserve">”</w:t>
      </w:r>
      <w:r>
        <w:t xml:space="preserve"> </w:t>
      </w:r>
      <w:r>
        <w:t xml:space="preserve">is dropped by</w:t>
      </w:r>
      <w:r>
        <w:t xml:space="preserve"> </w:t>
      </w:r>
      <w:r>
        <w:t xml:space="preserve">“</w:t>
      </w:r>
      <w:r>
        <w:t xml:space="preserve">bahulaṃ chandasi</w:t>
      </w:r>
      <w:r>
        <w:t xml:space="preserve">”</w:t>
      </w:r>
      <w:r>
        <w:t xml:space="preserve"> </w:t>
      </w:r>
      <w:r>
        <w:t xml:space="preserve">(Pā. sū. 2-4-73);</w:t>
      </w:r>
      <w:r>
        <w:t xml:space="preserve"> </w:t>
      </w:r>
      <w:r>
        <w:t xml:space="preserve">“</w:t>
      </w:r>
      <w:r>
        <w:t xml:space="preserve">anudāttopadeśavanatitanotyādīnām anunāsikalopo jhali kṅiti</w:t>
      </w:r>
      <w:r>
        <w:t xml:space="preserve">”</w:t>
      </w:r>
      <w:r>
        <w:t xml:space="preserve"> </w:t>
      </w:r>
      <w:r>
        <w:t xml:space="preserve">(Pā. sū. 6-4-37) drops the</w:t>
      </w:r>
      <w:r>
        <w:t xml:space="preserve"> </w:t>
      </w:r>
      <w:r>
        <w:rPr>
          <w:iCs/>
          <w:i/>
        </w:rPr>
        <w:t xml:space="preserve">m</w:t>
      </w:r>
      <w:r>
        <w:t xml:space="preserve">.</w:t>
      </w:r>
      <w:r>
        <w:t xml:space="preserve"> </w:t>
      </w:r>
      <w:r>
        <w:t xml:space="preserve">“</w:t>
      </w:r>
      <w:r>
        <w:t xml:space="preserve">asiddhavad atrābhāt</w:t>
      </w:r>
      <w:r>
        <w:t xml:space="preserve">”</w:t>
      </w:r>
      <w:r>
        <w:t xml:space="preserve"> </w:t>
      </w:r>
      <w:r>
        <w:t xml:space="preserve">(Pā. sū. 6-4-22) is said to govern the rules up to the end of this pāda; so when</w:t>
      </w:r>
      <w:r>
        <w:t xml:space="preserve"> </w:t>
      </w:r>
      <w:r>
        <w:t xml:space="preserve">“</w:t>
      </w:r>
      <w:r>
        <w:t xml:space="preserve">ato heḥ</w:t>
      </w:r>
      <w:r>
        <w:t xml:space="preserve">”</w:t>
      </w:r>
      <w:r>
        <w:t xml:space="preserve"> </w:t>
      </w:r>
      <w:r>
        <w:t xml:space="preserve">(Pā. sū. 6-4-105) would drop the</w:t>
      </w:r>
      <w:r>
        <w:t xml:space="preserve"> </w:t>
      </w:r>
      <w:r>
        <w:rPr>
          <w:iCs/>
          <w:i/>
        </w:rPr>
        <w:t xml:space="preserve">hi</w:t>
      </w:r>
      <w:r>
        <w:t xml:space="preserve">,</w:t>
      </w:r>
    </w:p>
    <w:bookmarkEnd w:id="628"/>
    <w:bookmarkStart w:id="629" w:name="page-592-rik-2-grammar-end"/>
    <w:p>
      <w:pPr>
        <w:pStyle w:val="Heading3"/>
      </w:pPr>
      <w:r>
        <w:t xml:space="preserve">Page 592 — Rik 2: grammar (end)</w:t>
      </w:r>
    </w:p>
    <w:p>
      <w:pPr>
        <w:pStyle w:val="FirstParagraph"/>
      </w:pPr>
      <w:r>
        <w:t xml:space="preserve">the loss of</w:t>
      </w:r>
      <w:r>
        <w:t xml:space="preserve"> </w:t>
      </w:r>
      <w:r>
        <w:rPr>
          <w:iCs/>
          <w:i/>
        </w:rPr>
        <w:t xml:space="preserve">m</w:t>
      </w:r>
      <w:r>
        <w:t xml:space="preserve"> </w:t>
      </w:r>
      <w:r>
        <w:t xml:space="preserve">by</w:t>
      </w:r>
      <w:r>
        <w:t xml:space="preserve"> </w:t>
      </w:r>
      <w:r>
        <w:t xml:space="preserve">“</w:t>
      </w:r>
      <w:r>
        <w:t xml:space="preserve">anudāttopadeśa…</w:t>
      </w:r>
      <w:r>
        <w:t xml:space="preserve">”</w:t>
      </w:r>
      <w:r>
        <w:t xml:space="preserve"> </w:t>
      </w:r>
      <w:r>
        <w:t xml:space="preserve">counts as not done, so</w:t>
      </w:r>
      <w:r>
        <w:t xml:space="preserve"> </w:t>
      </w:r>
      <w:r>
        <w:rPr>
          <w:iCs/>
          <w:i/>
        </w:rPr>
        <w:t xml:space="preserve">hi</w:t>
      </w:r>
      <w:r>
        <w:t xml:space="preserve"> </w:t>
      </w:r>
      <w:r>
        <w:t xml:space="preserve">does not stand after a stem ending in</w:t>
      </w:r>
      <w:r>
        <w:t xml:space="preserve"> </w:t>
      </w:r>
      <w:r>
        <w:rPr>
          <w:iCs/>
          <w:i/>
        </w:rPr>
        <w:t xml:space="preserve">a</w:t>
      </w:r>
      <w:r>
        <w:t xml:space="preserve">, and is not dropped.</w:t>
      </w:r>
    </w:p>
    <w:p>
      <w:pPr>
        <w:pStyle w:val="BodyText"/>
      </w:pPr>
      <w:r>
        <w:rPr>
          <w:bCs/>
          <w:b/>
        </w:rPr>
        <w:t xml:space="preserve">॥२॥</w:t>
      </w:r>
    </w:p>
    <w:p>
      <w:r>
        <w:pict>
          <v:rect style="width:0;height:1.5pt" o:hralign="center" o:hrstd="t" o:hr="t"/>
        </w:pict>
      </w:r>
    </w:p>
    <w:bookmarkEnd w:id="629"/>
    <w:bookmarkStart w:id="630" w:name="page-592-lower-sūkta-14-rik-3"/>
    <w:p>
      <w:pPr>
        <w:pStyle w:val="Heading3"/>
      </w:pPr>
      <w:r>
        <w:t xml:space="preserve">Page 592 (lower) — Sūkta 14, Rik 3</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इ॒न्द्र॒वा॒यू बृह॒स्पतिं॑ मि॒त्राग्निं पू॒षणं॒ भग॑म् ।</w:t>
      </w:r>
      <w:r>
        <w:t xml:space="preserve"> </w:t>
      </w:r>
      <w:r>
        <w:t xml:space="preserve">आ॒दि॒त्यान्मारु॑तं ग॒णम् ॥३॥</w:t>
      </w:r>
    </w:p>
    <w:p>
      <w:pPr>
        <w:pStyle w:val="BlockText"/>
      </w:pPr>
      <w:r>
        <w:rPr>
          <w:iCs/>
          <w:i/>
        </w:rPr>
        <w:t xml:space="preserve">indravāyū́ bṛhaspátiṃ mitrā́gniṃ pūṣáṇaṃ bhágam |</w:t>
      </w:r>
      <w:r>
        <w:t xml:space="preserve"> </w:t>
      </w:r>
      <w:r>
        <w:rPr>
          <w:iCs/>
          <w:i/>
        </w:rPr>
        <w:t xml:space="preserve">ādityā́n mā́rutaṃ gaṇám ||3||</w:t>
      </w:r>
    </w:p>
    <w:p>
      <w:pPr>
        <w:pStyle w:val="FirstParagraph"/>
      </w:pPr>
      <w:r>
        <w:rPr>
          <w:bCs/>
          <w:b/>
        </w:rPr>
        <w:t xml:space="preserve">॥ Pada-pāṭhaḥ ॥</w:t>
      </w:r>
    </w:p>
    <w:p>
      <w:pPr>
        <w:pStyle w:val="BlockText"/>
      </w:pPr>
      <w:r>
        <w:t xml:space="preserve">इन्द्रवायू इति । बृहस्पतिम् । मित्रा । अग्निम् । पूषणम् । भगम् ॥</w:t>
      </w:r>
      <w:r>
        <w:t xml:space="preserve"> </w:t>
      </w:r>
      <w:r>
        <w:t xml:space="preserve">आदित्यान् । मारुतम् । गणम् ॥३॥</w:t>
      </w:r>
    </w:p>
    <w:p>
      <w:pPr>
        <w:pStyle w:val="BlockText"/>
      </w:pPr>
      <w:r>
        <w:rPr>
          <w:iCs/>
          <w:i/>
        </w:rPr>
        <w:t xml:space="preserve">indravāyū iti | bṛhaspatim | mitrā | agnim | pūṣaṇam | bhagam ||</w:t>
      </w:r>
      <w:r>
        <w:t xml:space="preserve"> </w:t>
      </w:r>
      <w:r>
        <w:rPr>
          <w:iCs/>
          <w:i/>
        </w:rPr>
        <w:t xml:space="preserve">ādityān | mārutam | gaṇam ||3||</w:t>
      </w:r>
    </w:p>
    <w:p>
      <w:pPr>
        <w:pStyle w:val="FirstParagraph"/>
      </w:pPr>
      <w:r>
        <w:rPr>
          <w:bCs/>
          <w:b/>
        </w:rPr>
        <w:t xml:space="preserve">॥ Sāyaṇa-bhāṣyam ॥</w:t>
      </w:r>
    </w:p>
    <w:p>
      <w:pPr>
        <w:pStyle w:val="BlockText"/>
      </w:pPr>
      <w:r>
        <w:t xml:space="preserve">इन्द्रादिदेवान्मारुतं मरुतां वायूनां सम्बन्धिनं गणं च हे अग्ने यक्षीति पदद्वयमनुवर्तते ॥ इन्द्रश्च वायुश्चेन्द्रवायू । देवताद्वन्द्वे च । पा. ६-३-२६ । इति प्राप्तस्यानङ उभयत्र वायोः प्रतिषेधो वक्तव्यः । पा. ६-३-२६-१ । इति प्रतिषेधः । देवताद्वन्द्वे च । पा. ६-२-१४१ । इति प्राप्तस्योभयपदप्रकृतिस्वरस्य नोत्तरपदेऽनुदात्तादौ । पा. ६-२-१४२ । इति निषेधः । समासान्तोदात्तत्वमेव । बृहस्पतिं । तद्बृहतोः करपत्योश्चोरदेवतयोः सुट् तलोपश्च वक्तव्यः । म. ६-१-१५८ । इति तलोपः सुडागमश्च । बृहच्छब्दमाद्युदात्तं केचिद्वर्णयन्तीति वामनः । पा रक्षणे । पातीति पतिः । पातेर्डतिः । उ. ४-५८ । प्रत्ययस्वरेणाद्युदात्तः । समास उभे वनस्पत्यादिषु युगपत् । पा. ६-२-१४० । इत्युभयपदप्रकृतिस्वरत्वं । मित्रा । द्वितीयायाः सुपां सुलुगित्यादिना विभक्तेराजादेशः । आदित्यान् । अदितेरपत्यान्यादित्याः । दित्यदित्यादित्यपत्युत्तरपदाण्ण्यः । पा. ४-१-८५ । प्रत्ययस्वरः । मारुतं । मरुतां विकारः । अनुदात्तादेश्च । पा. ४-३-१४० । इत्यञ् । ञित्त्वादाद्युदात्तः ॥</w:t>
      </w:r>
    </w:p>
    <w:p>
      <w:pPr>
        <w:pStyle w:val="BlockText"/>
      </w:pPr>
      <w:r>
        <w:rPr>
          <w:iCs/>
          <w:i/>
        </w:rPr>
        <w:t xml:space="preserve">indrādidevānmārutaṃ marutāṃ vāyūnāṃ sambandhinaṃ gaṇaṃ ca he agne yakṣīti padadvayamanuvartate || indraśca vāyuścendravāyū | devatādvandve ca | pā. 6-3-26 | iti prāptasyānaṅa ubhayatra vāyoḥ pratiṣedho vaktavyaḥ | pā. 6-3-26-1 | iti pratiṣedhaḥ | devatādvandve ca | pā. 6-2-141 | iti prāptasyobhayapadaprakṛtisvarasya nottarapade ’nudāttādau | pā. 6-2-142 | iti niṣedhaḥ | samāsāntodāttatvameva | bṛhaspatiṃ | tadbṛhatoḥ karapatyoścoradevatayoḥ suṭ talopaśca vaktavyaḥ | ma. 6-1-158 | iti talopaḥ suḍāgamaśca | bṛhacchabdamādyudāttaṃ kecidvarṇayantīti vāmanaḥ | pā rakṣaṇe | pātīti patiḥ | pāterḍatiḥ | u. 4-58 | pratyayasvareṇādyudāttaḥ | samāsa ubhe vanaspatyādiṣu yugapat | pā. 6-2-140 | ityubhayapadaprakṛtisvaratvaṃ | mitrā | dvitīyāyāḥ supāṃ sulugityādinā vibhakterājādeśaḥ | ādityān | aditerapatyānyādityāḥ | dityadityādityapatyuttarapadāṇṇyaḥ | pā. 4-1-85 | pratyayasvaraḥ | mārutaṃ | marutāṃ vikāraḥ | anudāttādeśca | pā. 4-3-140 | ityañ | ñittvādādyudāttaḥ ||</w:t>
      </w:r>
    </w:p>
    <w:p>
      <w:pPr>
        <w:pStyle w:val="FirstParagraph"/>
      </w:pPr>
      <w:r>
        <w:rPr>
          <w:bCs/>
          <w:b/>
        </w:rPr>
        <w:t xml:space="preserve">Translation:</w:t>
      </w:r>
      <w:r>
        <w:t xml:space="preserve"> </w:t>
      </w:r>
      <w:r>
        <w:t xml:space="preserve">“</w:t>
      </w:r>
      <w:r>
        <w:t xml:space="preserve">The two words</w:t>
      </w:r>
      <w:r>
        <w:t xml:space="preserve"> </w:t>
      </w:r>
      <w:r>
        <w:rPr>
          <w:iCs/>
          <w:i/>
        </w:rPr>
        <w:t xml:space="preserve">he agne yakṣi</w:t>
      </w:r>
      <w:r>
        <w:t xml:space="preserve"> </w:t>
      </w:r>
      <w:r>
        <w:t xml:space="preserve">(</w:t>
      </w:r>
      <w:r>
        <w:t xml:space="preserve">‘</w:t>
      </w:r>
      <w:r>
        <w:t xml:space="preserve">O Agni, sacrifice</w:t>
      </w:r>
      <w:r>
        <w:t xml:space="preserve">’</w:t>
      </w:r>
      <w:r>
        <w:t xml:space="preserve">) are carried on: [sacrifice to] Indra and the other gods, and to</w:t>
      </w:r>
      <w:r>
        <w:t xml:space="preserve"> </w:t>
      </w:r>
      <w:r>
        <w:rPr>
          <w:iCs/>
          <w:i/>
        </w:rPr>
        <w:t xml:space="preserve">mārutaṃ gaṇam</w:t>
      </w:r>
      <w:r>
        <w:t xml:space="preserve">, the host belonging to the Maruts, the winds.</w:t>
      </w:r>
      <w:r>
        <w:t xml:space="preserve">”</w:t>
      </w:r>
      <w:r>
        <w:t xml:space="preserve"> </w:t>
      </w:r>
      <w:r>
        <w:t xml:space="preserve">(Grammatical tail:</w:t>
      </w:r>
      <w:r>
        <w:t xml:space="preserve"> </w:t>
      </w:r>
      <w:r>
        <w:rPr>
          <w:iCs/>
          <w:i/>
        </w:rPr>
        <w:t xml:space="preserve">indravāyū</w:t>
      </w:r>
      <w:r>
        <w:t xml:space="preserve">,</w:t>
      </w:r>
      <w:r>
        <w:t xml:space="preserve"> </w:t>
      </w:r>
      <w:r>
        <w:t xml:space="preserve">“</w:t>
      </w:r>
      <w:r>
        <w:t xml:space="preserve">Indra and Vāyu</w:t>
      </w:r>
      <w:r>
        <w:t xml:space="preserve">”</w:t>
      </w:r>
      <w:r>
        <w:t xml:space="preserve">: the</w:t>
      </w:r>
      <w:r>
        <w:t xml:space="preserve"> </w:t>
      </w:r>
      <w:r>
        <w:rPr>
          <w:iCs/>
          <w:i/>
        </w:rPr>
        <w:t xml:space="preserve">ānaṅ</w:t>
      </w:r>
      <w:r>
        <w:t xml:space="preserve"> </w:t>
      </w:r>
      <w:r>
        <w:t xml:space="preserve">of Pā. 6-3-26 is barred for</w:t>
      </w:r>
      <w:r>
        <w:t xml:space="preserve"> </w:t>
      </w:r>
      <w:r>
        <w:rPr>
          <w:iCs/>
          <w:i/>
        </w:rPr>
        <w:t xml:space="preserve">vāyu</w:t>
      </w:r>
      <w:r>
        <w:t xml:space="preserve"> </w:t>
      </w:r>
      <w:r>
        <w:t xml:space="preserve">by its vārttika (6-3-26-1); the double accent of Pā. 6-2-141 is barred by Pā. 6-2-142, so the compound is final-udātta;</w:t>
      </w:r>
      <w:r>
        <w:t xml:space="preserve"> </w:t>
      </w:r>
      <w:r>
        <w:rPr>
          <w:iCs/>
          <w:i/>
        </w:rPr>
        <w:t xml:space="preserve">bṛhaspatim</w:t>
      </w:r>
      <w:r>
        <w:t xml:space="preserve">: loss of</w:t>
      </w:r>
      <w:r>
        <w:t xml:space="preserve"> </w:t>
      </w:r>
      <w:r>
        <w:rPr>
          <w:iCs/>
          <w:i/>
        </w:rPr>
        <w:t xml:space="preserve">t</w:t>
      </w:r>
      <w:r>
        <w:t xml:space="preserve"> </w:t>
      </w:r>
      <w:r>
        <w:t xml:space="preserve">and the augment</w:t>
      </w:r>
      <w:r>
        <w:t xml:space="preserve"> </w:t>
      </w:r>
      <w:r>
        <w:rPr>
          <w:iCs/>
          <w:i/>
        </w:rPr>
        <w:t xml:space="preserve">s</w:t>
      </w:r>
      <w:r>
        <w:t xml:space="preserve"> </w:t>
      </w:r>
      <w:r>
        <w:t xml:space="preserve">by the statement on</w:t>
      </w:r>
      <w:r>
        <w:t xml:space="preserve"> </w:t>
      </w:r>
      <w:r>
        <w:rPr>
          <w:iCs/>
          <w:i/>
        </w:rPr>
        <w:t xml:space="preserve">tad</w:t>
      </w:r>
      <w:r>
        <w:t xml:space="preserve">/</w:t>
      </w:r>
      <w:r>
        <w:rPr>
          <w:iCs/>
          <w:i/>
        </w:rPr>
        <w:t xml:space="preserve">bṛhat</w:t>
      </w:r>
      <w:r>
        <w:t xml:space="preserve"> </w:t>
      </w:r>
      <w:r>
        <w:t xml:space="preserve">before</w:t>
      </w:r>
      <w:r>
        <w:t xml:space="preserve"> </w:t>
      </w:r>
      <w:r>
        <w:rPr>
          <w:iCs/>
          <w:i/>
        </w:rPr>
        <w:t xml:space="preserve">kara</w:t>
      </w:r>
      <w:r>
        <w:t xml:space="preserve">/</w:t>
      </w:r>
      <w:r>
        <w:rPr>
          <w:iCs/>
          <w:i/>
        </w:rPr>
        <w:t xml:space="preserve">pati</w:t>
      </w:r>
      <w:r>
        <w:t xml:space="preserve"> </w:t>
      </w:r>
      <w:r>
        <w:t xml:space="preserve">in the sense of thief/deity (MB.</w:t>
      </w:r>
      <w:r>
        <w:t xml:space="preserve"> </w:t>
      </w:r>
      <w:r>
        <w:t xml:space="preserve">“</w:t>
      </w:r>
      <w:r>
        <w:t xml:space="preserve">6-1-158</w:t>
      </w:r>
      <w:r>
        <w:t xml:space="preserve">”</w:t>
      </w:r>
      <w:r>
        <w:t xml:space="preserve"> </w:t>
      </w:r>
      <w:r>
        <w:t xml:space="preserve">as printed); Vāmana says some take</w:t>
      </w:r>
      <w:r>
        <w:t xml:space="preserve"> </w:t>
      </w:r>
      <w:r>
        <w:rPr>
          <w:iCs/>
          <w:i/>
        </w:rPr>
        <w:t xml:space="preserve">bṛhat</w:t>
      </w:r>
      <w:r>
        <w:t xml:space="preserve"> </w:t>
      </w:r>
      <w:r>
        <w:t xml:space="preserve">as initial-udātta;</w:t>
      </w:r>
      <w:r>
        <w:t xml:space="preserve"> </w:t>
      </w:r>
      <w:r>
        <w:rPr>
          <w:iCs/>
          <w:i/>
        </w:rPr>
        <w:t xml:space="preserve">pati</w:t>
      </w:r>
      <w:r>
        <w:t xml:space="preserve"> </w:t>
      </w:r>
      <w:r>
        <w:t xml:space="preserve">from</w:t>
      </w:r>
      <w:r>
        <w:t xml:space="preserve"> </w:t>
      </w:r>
      <w:r>
        <w:rPr>
          <w:iCs/>
          <w:i/>
        </w:rPr>
        <w:t xml:space="preserve">pā</w:t>
      </w:r>
      <w:r>
        <w:t xml:space="preserve"> </w:t>
      </w:r>
      <w:r>
        <w:t xml:space="preserve">‘</w:t>
      </w:r>
      <w:r>
        <w:t xml:space="preserve">to protect</w:t>
      </w:r>
      <w:r>
        <w:t xml:space="preserve">’</w:t>
      </w:r>
      <w:r>
        <w:t xml:space="preserve"> </w:t>
      </w:r>
      <w:r>
        <w:t xml:space="preserve">with</w:t>
      </w:r>
      <w:r>
        <w:t xml:space="preserve"> </w:t>
      </w:r>
      <w:r>
        <w:rPr>
          <w:iCs/>
          <w:i/>
        </w:rPr>
        <w:t xml:space="preserve">ḍati</w:t>
      </w:r>
      <w:r>
        <w:t xml:space="preserve"> </w:t>
      </w:r>
      <w:r>
        <w:t xml:space="preserve">(Uṇ. 4-58), initial udātta; both members keep their accents by Pā. 6-2-140;</w:t>
      </w:r>
      <w:r>
        <w:t xml:space="preserve"> </w:t>
      </w:r>
      <w:r>
        <w:rPr>
          <w:iCs/>
          <w:i/>
        </w:rPr>
        <w:t xml:space="preserve">mitrā</w:t>
      </w:r>
      <w:r>
        <w:t xml:space="preserve">,</w:t>
      </w:r>
      <w:r>
        <w:t xml:space="preserve"> </w:t>
      </w:r>
      <w:r>
        <w:rPr>
          <w:iCs/>
          <w:i/>
        </w:rPr>
        <w:t xml:space="preserve">ā</w:t>
      </w:r>
      <w:r>
        <w:t xml:space="preserve"> </w:t>
      </w:r>
      <w:r>
        <w:t xml:space="preserve">for the accusative ending by</w:t>
      </w:r>
      <w:r>
        <w:t xml:space="preserve"> </w:t>
      </w:r>
      <w:r>
        <w:rPr>
          <w:iCs/>
          <w:i/>
        </w:rPr>
        <w:t xml:space="preserve">supāṃ suluk…</w:t>
      </w:r>
      <w:r>
        <w:t xml:space="preserve">;</w:t>
      </w:r>
      <w:r>
        <w:t xml:space="preserve"> </w:t>
      </w:r>
      <w:r>
        <w:rPr>
          <w:iCs/>
          <w:i/>
        </w:rPr>
        <w:t xml:space="preserve">ādityān</w:t>
      </w:r>
      <w:r>
        <w:t xml:space="preserve">,</w:t>
      </w:r>
      <w:r>
        <w:t xml:space="preserve"> </w:t>
      </w:r>
      <w:r>
        <w:t xml:space="preserve">“</w:t>
      </w:r>
      <w:r>
        <w:t xml:space="preserve">the sons of Aditi</w:t>
      </w:r>
      <w:r>
        <w:t xml:space="preserve">”</w:t>
      </w:r>
      <w:r>
        <w:t xml:space="preserve">,</w:t>
      </w:r>
      <w:r>
        <w:t xml:space="preserve"> </w:t>
      </w:r>
      <w:r>
        <w:rPr>
          <w:iCs/>
          <w:i/>
        </w:rPr>
        <w:t xml:space="preserve">ṇya</w:t>
      </w:r>
      <w:r>
        <w:t xml:space="preserve"> </w:t>
      </w:r>
      <w:r>
        <w:t xml:space="preserve">by Pā. 4-1-85, the suffix accent;</w:t>
      </w:r>
      <w:r>
        <w:t xml:space="preserve"> </w:t>
      </w:r>
      <w:r>
        <w:rPr>
          <w:iCs/>
          <w:i/>
        </w:rPr>
        <w:t xml:space="preserve">mārutam</w:t>
      </w:r>
      <w:r>
        <w:t xml:space="preserve">,</w:t>
      </w:r>
      <w:r>
        <w:t xml:space="preserve"> </w:t>
      </w:r>
      <w:r>
        <w:t xml:space="preserve">“</w:t>
      </w:r>
      <w:r>
        <w:t xml:space="preserve">a product of the Maruts</w:t>
      </w:r>
      <w:r>
        <w:t xml:space="preserve">”</w:t>
      </w:r>
      <w:r>
        <w:t xml:space="preserve">,</w:t>
      </w:r>
      <w:r>
        <w:t xml:space="preserve"> </w:t>
      </w:r>
      <w:r>
        <w:rPr>
          <w:iCs/>
          <w:i/>
        </w:rPr>
        <w:t xml:space="preserve">añ</w:t>
      </w:r>
      <w:r>
        <w:t xml:space="preserve"> </w:t>
      </w:r>
      <w:r>
        <w:t xml:space="preserve">by Pā. 4-3-140, initial udātta.)</w:t>
      </w:r>
    </w:p>
    <w:bookmarkEnd w:id="630"/>
    <w:bookmarkStart w:id="631" w:name="X54feaa007dfa800f4b0f7a0b22714f9343d1ba5"/>
    <w:p>
      <w:pPr>
        <w:pStyle w:val="Heading3"/>
      </w:pPr>
      <w:r>
        <w:t xml:space="preserve">Page 593 — Rik 3: word-meanings, overall sense, English, Special Topics</w:t>
      </w:r>
    </w:p>
    <w:p>
      <w:pPr>
        <w:pStyle w:val="FirstParagraph"/>
      </w:pPr>
      <w:r>
        <w:rPr>
          <w:bCs/>
          <w:b/>
        </w:rPr>
        <w:t xml:space="preserve">॥ Prati-padārthaḥ ॥</w:t>
      </w:r>
    </w:p>
    <w:p>
      <w:pPr>
        <w:pStyle w:val="BodyText"/>
      </w:pPr>
      <w:r>
        <w:rPr>
          <w:iCs/>
          <w:i/>
        </w:rPr>
        <w:t xml:space="preserve">(O Agni)</w:t>
      </w:r>
      <w:r>
        <w:t xml:space="preserve"> </w:t>
      </w:r>
      <w:r>
        <w:rPr>
          <w:bCs/>
          <w:b/>
        </w:rPr>
        <w:t xml:space="preserve">इन्द्रवायू (indravāyū)</w:t>
      </w:r>
      <w:r>
        <w:t xml:space="preserve"> </w:t>
      </w:r>
      <w:r>
        <w:t xml:space="preserve">— Indra and Vāyu |</w:t>
      </w:r>
      <w:r>
        <w:t xml:space="preserve"> </w:t>
      </w:r>
      <w:r>
        <w:rPr>
          <w:bCs/>
          <w:b/>
        </w:rPr>
        <w:t xml:space="preserve">बृहस्पतिम् (bṛhaspatim)</w:t>
      </w:r>
      <w:r>
        <w:t xml:space="preserve"> </w:t>
      </w:r>
      <w:r>
        <w:t xml:space="preserve">— Bṛhaspati |</w:t>
      </w:r>
      <w:r>
        <w:t xml:space="preserve"> </w:t>
      </w:r>
      <w:r>
        <w:rPr>
          <w:bCs/>
          <w:b/>
        </w:rPr>
        <w:t xml:space="preserve">मित्रा (mitrā)</w:t>
      </w:r>
      <w:r>
        <w:t xml:space="preserve"> </w:t>
      </w:r>
      <w:r>
        <w:t xml:space="preserve">— Mitra |</w:t>
      </w:r>
      <w:r>
        <w:t xml:space="preserve"> </w:t>
      </w:r>
      <w:r>
        <w:rPr>
          <w:bCs/>
          <w:b/>
        </w:rPr>
        <w:t xml:space="preserve">अग्निम् (agnim)</w:t>
      </w:r>
      <w:r>
        <w:t xml:space="preserve"> </w:t>
      </w:r>
      <w:r>
        <w:t xml:space="preserve">— Agni |</w:t>
      </w:r>
      <w:r>
        <w:t xml:space="preserve"> </w:t>
      </w:r>
      <w:r>
        <w:rPr>
          <w:bCs/>
          <w:b/>
        </w:rPr>
        <w:t xml:space="preserve">पूषणम् (pūṣaṇam)</w:t>
      </w:r>
      <w:r>
        <w:t xml:space="preserve"> </w:t>
      </w:r>
      <w:r>
        <w:t xml:space="preserve">— Pūṣan |</w:t>
      </w:r>
      <w:r>
        <w:t xml:space="preserve"> </w:t>
      </w:r>
      <w:r>
        <w:rPr>
          <w:bCs/>
          <w:b/>
        </w:rPr>
        <w:t xml:space="preserve">भगम् (bhagam)</w:t>
      </w:r>
      <w:r>
        <w:t xml:space="preserve"> </w:t>
      </w:r>
      <w:r>
        <w:t xml:space="preserve">— Bhaga |</w:t>
      </w:r>
      <w:r>
        <w:t xml:space="preserve"> </w:t>
      </w:r>
      <w:r>
        <w:rPr>
          <w:bCs/>
          <w:b/>
        </w:rPr>
        <w:t xml:space="preserve">आदित्यान् (ādityān)</w:t>
      </w:r>
      <w:r>
        <w:t xml:space="preserve"> </w:t>
      </w:r>
      <w:r>
        <w:t xml:space="preserve">— the Ādityas |</w:t>
      </w:r>
      <w:r>
        <w:t xml:space="preserve"> </w:t>
      </w:r>
      <w:r>
        <w:rPr>
          <w:bCs/>
          <w:b/>
        </w:rPr>
        <w:t xml:space="preserve">मारुतं गणम् (mārutaṃ gaṇam)</w:t>
      </w:r>
      <w:r>
        <w:t xml:space="preserve"> </w:t>
      </w:r>
      <w:r>
        <w:t xml:space="preserve">— the hosts of the Maruts, having them in view |</w:t>
      </w:r>
      <w:r>
        <w:t xml:space="preserve"> </w:t>
      </w:r>
      <w:r>
        <w:rPr>
          <w:iCs/>
          <w:i/>
        </w:rPr>
        <w:t xml:space="preserve">(yakṣi — sacrifice)</w:t>
      </w:r>
      <w:r>
        <w:t xml:space="preserve">.</w:t>
      </w:r>
    </w:p>
    <w:p>
      <w:pPr>
        <w:pStyle w:val="BodyText"/>
      </w:pPr>
      <w:r>
        <w:rPr>
          <w:bCs/>
          <w:b/>
        </w:rPr>
        <w:t xml:space="preserve">॥ Bhāvārthaḥ ॥</w:t>
      </w:r>
    </w:p>
    <w:p>
      <w:pPr>
        <w:pStyle w:val="BodyText"/>
      </w:pPr>
      <w:r>
        <w:t xml:space="preserve">O Agni, sacrifice with these in view: Indra, Vāyu, Bṛhaspati, Mitra, Agni, Pūṣan, Bhaga, the Ādityas (or the gods) and the hosts of the Maruts.</w:t>
      </w:r>
    </w:p>
    <w:p>
      <w:pPr>
        <w:pStyle w:val="BodyText"/>
      </w:pPr>
      <w:r>
        <w:rPr>
          <w:bCs/>
          <w:b/>
        </w:rPr>
        <w:t xml:space="preserve">॥ English Translation ॥</w:t>
      </w:r>
      <w:r>
        <w:t xml:space="preserve"> </w:t>
      </w:r>
      <w:r>
        <w:rPr>
          <w:iCs/>
          <w:i/>
        </w:rPr>
        <w:t xml:space="preserve">(as printed in the source)</w:t>
      </w:r>
    </w:p>
    <w:p>
      <w:pPr>
        <w:pStyle w:val="BlockText"/>
      </w:pPr>
      <w:r>
        <w:t xml:space="preserve">Sacrifice to Indra, Vayu, Brihaspati, Mitra, Agni, Pushan, Bhaga, the Adityas. [sic] and the hosts of Maruts.</w:t>
      </w:r>
    </w:p>
    <w:p>
      <w:pPr>
        <w:pStyle w:val="FirstParagraph"/>
      </w:pPr>
      <w:r>
        <w:rPr>
          <w:bCs/>
          <w:b/>
        </w:rPr>
        <w:t xml:space="preserve">॥ Viśeṣa-viṣayagaḷu (Special Topics) ॥</w:t>
      </w:r>
    </w:p>
    <w:p>
      <w:pPr>
        <w:pStyle w:val="BodyText"/>
      </w:pPr>
      <w:r>
        <w:t xml:space="preserve">Since this Ṛk has no verb, the Bhāṣyakāra says the words</w:t>
      </w:r>
      <w:r>
        <w:t xml:space="preserve"> </w:t>
      </w:r>
      <w:r>
        <w:rPr>
          <w:iCs/>
          <w:i/>
        </w:rPr>
        <w:t xml:space="preserve">agne yakṣi</w:t>
      </w:r>
      <w:r>
        <w:t xml:space="preserve">,</w:t>
      </w:r>
      <w:r>
        <w:t xml:space="preserve"> </w:t>
      </w:r>
      <w:r>
        <w:t xml:space="preserve">“</w:t>
      </w:r>
      <w:r>
        <w:t xml:space="preserve">O Agni, sacrifice</w:t>
      </w:r>
      <w:r>
        <w:t xml:space="preserve">”</w:t>
      </w:r>
      <w:r>
        <w:t xml:space="preserve">, are to be supplied. But Agni is in this group too, so it does not seem fitting to address Agni and say</w:t>
      </w:r>
      <w:r>
        <w:t xml:space="preserve"> </w:t>
      </w:r>
      <w:r>
        <w:t xml:space="preserve">“</w:t>
      </w:r>
      <w:r>
        <w:t xml:space="preserve">sacrifice to Agni</w:t>
      </w:r>
      <w:r>
        <w:t xml:space="preserve">”</w:t>
      </w:r>
      <w:r>
        <w:t xml:space="preserve">. For this reason the author of the Vedārthayatna supplies the two words</w:t>
      </w:r>
      <w:r>
        <w:t xml:space="preserve"> </w:t>
      </w:r>
      <w:r>
        <w:rPr>
          <w:iCs/>
          <w:i/>
        </w:rPr>
        <w:t xml:space="preserve">ahaṃ hvaye</w:t>
      </w:r>
      <w:r>
        <w:t xml:space="preserve">,</w:t>
      </w:r>
      <w:r>
        <w:t xml:space="preserve"> </w:t>
      </w:r>
      <w:r>
        <w:t xml:space="preserve">“</w:t>
      </w:r>
      <w:r>
        <w:t xml:space="preserve">I invoke</w:t>
      </w:r>
      <w:r>
        <w:t xml:space="preserve">”</w:t>
      </w:r>
      <w:r>
        <w:t xml:space="preserve">, that is,</w:t>
      </w:r>
      <w:r>
        <w:t xml:space="preserve"> </w:t>
      </w:r>
      <w:r>
        <w:t xml:space="preserve">“</w:t>
      </w:r>
      <w:r>
        <w:t xml:space="preserve">I invoke the deities Indra, Vāyu and the rest</w:t>
      </w:r>
      <w:r>
        <w:t xml:space="preserve">”</w:t>
      </w:r>
      <w:r>
        <w:t xml:space="preserve">.</w:t>
      </w:r>
    </w:p>
    <w:p>
      <w:pPr>
        <w:pStyle w:val="BodyText"/>
      </w:pPr>
      <w:r>
        <w:rPr>
          <w:bCs/>
          <w:b/>
        </w:rPr>
        <w:t xml:space="preserve">Indravāyū</w:t>
      </w:r>
      <w:r>
        <w:t xml:space="preserve">:</w:t>
      </w:r>
      <w:r>
        <w:t xml:space="preserve"> </w:t>
      </w:r>
      <w:r>
        <w:rPr>
          <w:iCs/>
          <w:i/>
        </w:rPr>
        <w:t xml:space="preserve">indraś ca vāyuś ca indravāyū</w:t>
      </w:r>
      <w:r>
        <w:t xml:space="preserve">, a</w:t>
      </w:r>
      <w:r>
        <w:t xml:space="preserve"> </w:t>
      </w:r>
      <w:r>
        <w:rPr>
          <w:iCs/>
          <w:i/>
        </w:rPr>
        <w:t xml:space="preserve">devatā-dvandva</w:t>
      </w:r>
      <w:r>
        <w:t xml:space="preserve">: the two deities Indra and Vāyu are named by a single word in the dual.</w:t>
      </w:r>
    </w:p>
    <w:p>
      <w:pPr>
        <w:pStyle w:val="BodyText"/>
      </w:pPr>
      <w:r>
        <w:rPr>
          <w:bCs/>
          <w:b/>
        </w:rPr>
        <w:t xml:space="preserve">Mitrā</w:t>
      </w:r>
      <w:r>
        <w:t xml:space="preserve">: here the word has the sense of the accusative singular.</w:t>
      </w:r>
    </w:p>
    <w:p>
      <w:pPr>
        <w:pStyle w:val="BodyText"/>
      </w:pPr>
      <w:r>
        <w:rPr>
          <w:bCs/>
          <w:b/>
        </w:rPr>
        <w:t xml:space="preserve">Ādityān</w:t>
      </w:r>
      <w:r>
        <w:t xml:space="preserve">:</w:t>
      </w:r>
      <w:r>
        <w:t xml:space="preserve"> </w:t>
      </w:r>
      <w:r>
        <w:rPr>
          <w:iCs/>
          <w:i/>
        </w:rPr>
        <w:t xml:space="preserve">aditer apatyāny ādityāḥ</w:t>
      </w:r>
      <w:r>
        <w:t xml:space="preserve">: the children of Aditi, the mother of the gods, are called Ādityas; it means the gods, or the twelve Ādityas.</w:t>
      </w:r>
    </w:p>
    <w:p>
      <w:pPr>
        <w:pStyle w:val="BodyText"/>
      </w:pPr>
      <w:r>
        <w:rPr>
          <w:bCs/>
          <w:b/>
        </w:rPr>
        <w:t xml:space="preserve">Mārutam</w:t>
      </w:r>
      <w:r>
        <w:t xml:space="preserve">: the last syllable of the genitive plural</w:t>
      </w:r>
      <w:r>
        <w:t xml:space="preserve"> </w:t>
      </w:r>
      <w:r>
        <w:rPr>
          <w:iCs/>
          <w:i/>
        </w:rPr>
        <w:t xml:space="preserve">mārutām</w:t>
      </w:r>
      <w:r>
        <w:t xml:space="preserve"> </w:t>
      </w:r>
      <w:r>
        <w:t xml:space="preserve">is shortened to suit the metre.</w:t>
      </w:r>
    </w:p>
    <w:bookmarkEnd w:id="631"/>
    <w:bookmarkStart w:id="632" w:name="X36e3ff092877ff77ab79e8845ec6ed5c26858e7"/>
    <w:p>
      <w:pPr>
        <w:pStyle w:val="Heading3"/>
      </w:pPr>
      <w:r>
        <w:t xml:space="preserve">Page 594 — Rik 3: Special Topics (end) and grammar</w:t>
      </w:r>
    </w:p>
    <w:p>
      <w:pPr>
        <w:pStyle w:val="FirstParagraph"/>
      </w:pPr>
      <w:r>
        <w:rPr>
          <w:bCs/>
          <w:b/>
        </w:rPr>
        <w:t xml:space="preserve">Mārutaṃ gaṇam</w:t>
      </w:r>
      <w:r>
        <w:t xml:space="preserve">: the host of the Marut deities. The Purāṇas and other works say there are seven Maruts (the seven Marut hosts). In the Ṛgveda too the word</w:t>
      </w:r>
      <w:r>
        <w:t xml:space="preserve"> </w:t>
      </w:r>
      <w:r>
        <w:rPr>
          <w:iCs/>
          <w:i/>
        </w:rPr>
        <w:t xml:space="preserve">marut</w:t>
      </w:r>
      <w:r>
        <w:t xml:space="preserve"> </w:t>
      </w:r>
      <w:r>
        <w:t xml:space="preserve">is generally used in the plural.</w:t>
      </w:r>
      <w:r>
        <w:t xml:space="preserve"> </w:t>
      </w:r>
      <w:r>
        <w:rPr>
          <w:iCs/>
          <w:i/>
        </w:rPr>
        <w:t xml:space="preserve">Mārutaṃ gaṇam</w:t>
      </w:r>
      <w:r>
        <w:t xml:space="preserve"> </w:t>
      </w:r>
      <w:r>
        <w:t xml:space="preserve">means the group, the host of the Marut deities.</w:t>
      </w:r>
    </w:p>
    <w:p>
      <w:pPr>
        <w:pStyle w:val="BodyText"/>
      </w:pPr>
      <w:r>
        <w:rPr>
          <w:bCs/>
          <w:b/>
        </w:rPr>
        <w:t xml:space="preserve">॥ Vyākaraṇa-prakriyā ॥</w:t>
      </w:r>
      <w:r>
        <w:t xml:space="preserve"> </w:t>
      </w:r>
      <w:r>
        <w:rPr>
          <w:iCs/>
          <w:i/>
        </w:rPr>
        <w:t xml:space="preserve">(grammar pages 594–596, noted briefly)</w:t>
      </w:r>
    </w:p>
    <w:p>
      <w:pPr>
        <w:pStyle w:val="BodyText"/>
      </w:pPr>
      <w:r>
        <w:rPr>
          <w:bCs/>
          <w:b/>
        </w:rPr>
        <w:t xml:space="preserve">इन्द्रवायू (</w:t>
      </w:r>
      <w:r>
        <w:rPr>
          <w:iCs/>
          <w:i/>
          <w:bCs/>
          <w:b/>
        </w:rPr>
        <w:t xml:space="preserve">indravāyū</w:t>
      </w:r>
      <w:r>
        <w:rPr>
          <w:bCs/>
          <w:b/>
        </w:rPr>
        <w:t xml:space="preserve">)</w:t>
      </w:r>
      <w:r>
        <w:t xml:space="preserve">:</w:t>
      </w:r>
      <w:r>
        <w:t xml:space="preserve"> </w:t>
      </w:r>
      <w:r>
        <w:rPr>
          <w:iCs/>
          <w:i/>
        </w:rPr>
        <w:t xml:space="preserve">indraś ca vāyuś ca</w:t>
      </w:r>
      <w:r>
        <w:t xml:space="preserve">, a dvandva. By</w:t>
      </w:r>
      <w:r>
        <w:t xml:space="preserve"> </w:t>
      </w:r>
      <w:r>
        <w:t xml:space="preserve">“</w:t>
      </w:r>
      <w:r>
        <w:t xml:space="preserve">devatādvandve ca</w:t>
      </w:r>
      <w:r>
        <w:t xml:space="preserve">”</w:t>
      </w:r>
      <w:r>
        <w:t xml:space="preserve"> </w:t>
      </w:r>
      <w:r>
        <w:t xml:space="preserve">(Pā. sū. 6-3-26), in a dvandva of words denoting deities, the first member before the second takes the replacement</w:t>
      </w:r>
      <w:r>
        <w:t xml:space="preserve"> </w:t>
      </w:r>
      <w:r>
        <w:rPr>
          <w:iCs/>
          <w:i/>
        </w:rPr>
        <w:t xml:space="preserve">ānaṅ</w:t>
      </w:r>
      <w:r>
        <w:t xml:space="preserve">;</w:t>
      </w:r>
      <w:r>
        <w:t xml:space="preserve"> </w:t>
      </w:r>
      <w:r>
        <w:rPr>
          <w:iCs/>
          <w:i/>
        </w:rPr>
        <w:t xml:space="preserve">indra</w:t>
      </w:r>
      <w:r>
        <w:t xml:space="preserve"> </w:t>
      </w:r>
      <w:r>
        <w:t xml:space="preserve">and</w:t>
      </w:r>
      <w:r>
        <w:t xml:space="preserve"> </w:t>
      </w:r>
      <w:r>
        <w:rPr>
          <w:iCs/>
          <w:i/>
        </w:rPr>
        <w:t xml:space="preserve">vāyu</w:t>
      </w:r>
      <w:r>
        <w:t xml:space="preserve"> </w:t>
      </w:r>
      <w:r>
        <w:t xml:space="preserve">denote deities, so</w:t>
      </w:r>
      <w:r>
        <w:t xml:space="preserve"> </w:t>
      </w:r>
      <w:r>
        <w:rPr>
          <w:iCs/>
          <w:i/>
        </w:rPr>
        <w:t xml:space="preserve">ānaṅ</w:t>
      </w:r>
      <w:r>
        <w:t xml:space="preserve"> </w:t>
      </w:r>
      <w:r>
        <w:t xml:space="preserve">would come for</w:t>
      </w:r>
      <w:r>
        <w:t xml:space="preserve"> </w:t>
      </w:r>
      <w:r>
        <w:rPr>
          <w:iCs/>
          <w:i/>
        </w:rPr>
        <w:t xml:space="preserve">indra</w:t>
      </w:r>
      <w:r>
        <w:t xml:space="preserve"> </w:t>
      </w:r>
      <w:r>
        <w:t xml:space="preserve">before</w:t>
      </w:r>
      <w:r>
        <w:t xml:space="preserve"> </w:t>
      </w:r>
      <w:r>
        <w:rPr>
          <w:iCs/>
          <w:i/>
        </w:rPr>
        <w:t xml:space="preserve">vāyu</w:t>
      </w:r>
      <w:r>
        <w:t xml:space="preserve">; but by the vārttika</w:t>
      </w:r>
      <w:r>
        <w:t xml:space="preserve"> </w:t>
      </w:r>
      <w:r>
        <w:t xml:space="preserve">“</w:t>
      </w:r>
      <w:r>
        <w:t xml:space="preserve">ubhayatra vāyoḥ pratiṣedho vaktavyaḥ</w:t>
      </w:r>
      <w:r>
        <w:t xml:space="preserve">”</w:t>
      </w:r>
      <w:r>
        <w:t xml:space="preserve"> </w:t>
      </w:r>
      <w:r>
        <w:t xml:space="preserve">(Pā. sū. 6-3-26-1), whether</w:t>
      </w:r>
      <w:r>
        <w:t xml:space="preserve"> </w:t>
      </w:r>
      <w:r>
        <w:rPr>
          <w:iCs/>
          <w:i/>
        </w:rPr>
        <w:t xml:space="preserve">vāyu</w:t>
      </w:r>
      <w:r>
        <w:t xml:space="preserve"> </w:t>
      </w:r>
      <w:r>
        <w:t xml:space="preserve">is the first or the second member,</w:t>
      </w:r>
      <w:r>
        <w:t xml:space="preserve"> </w:t>
      </w:r>
      <w:r>
        <w:rPr>
          <w:iCs/>
          <w:i/>
        </w:rPr>
        <w:t xml:space="preserve">ānaṅ</w:t>
      </w:r>
      <w:r>
        <w:t xml:space="preserve"> </w:t>
      </w:r>
      <w:r>
        <w:t xml:space="preserve">is barred in that dvandva. By</w:t>
      </w:r>
      <w:r>
        <w:t xml:space="preserve"> </w:t>
      </w:r>
      <w:r>
        <w:t xml:space="preserve">“</w:t>
      </w:r>
      <w:r>
        <w:t xml:space="preserve">devatādvandve ca</w:t>
      </w:r>
      <w:r>
        <w:t xml:space="preserve">”</w:t>
      </w:r>
      <w:r>
        <w:t xml:space="preserve"> </w:t>
      </w:r>
      <w:r>
        <w:t xml:space="preserve">(Pā. sū. 6-2-141) both members of a deity dvandva keep their own accents at once:</w:t>
      </w:r>
      <w:r>
        <w:t xml:space="preserve"> </w:t>
      </w:r>
      <w:r>
        <w:rPr>
          <w:iCs/>
          <w:i/>
        </w:rPr>
        <w:t xml:space="preserve">indra</w:t>
      </w:r>
      <w:r>
        <w:t xml:space="preserve"> </w:t>
      </w:r>
      <w:r>
        <w:t xml:space="preserve">ends in the suffix</w:t>
      </w:r>
      <w:r>
        <w:t xml:space="preserve"> </w:t>
      </w:r>
      <w:r>
        <w:rPr>
          <w:iCs/>
          <w:i/>
        </w:rPr>
        <w:t xml:space="preserve">ran</w:t>
      </w:r>
      <w:r>
        <w:t xml:space="preserve"> </w:t>
      </w:r>
      <w:r>
        <w:t xml:space="preserve">and is initial udātta;</w:t>
      </w:r>
      <w:r>
        <w:t xml:space="preserve"> </w:t>
      </w:r>
      <w:r>
        <w:rPr>
          <w:iCs/>
          <w:i/>
        </w:rPr>
        <w:t xml:space="preserve">vāyu</w:t>
      </w:r>
      <w:r>
        <w:t xml:space="preserve"> </w:t>
      </w:r>
      <w:r>
        <w:t xml:space="preserve">ends in</w:t>
      </w:r>
      <w:r>
        <w:t xml:space="preserve"> </w:t>
      </w:r>
      <w:r>
        <w:rPr>
          <w:iCs/>
          <w:i/>
        </w:rPr>
        <w:t xml:space="preserve">uṇ</w:t>
      </w:r>
      <w:r>
        <w:t xml:space="preserve"> </w:t>
      </w:r>
      <w:r>
        <w:t xml:space="preserve">and is final udātta by the suffix accent. But</w:t>
      </w:r>
      <w:r>
        <w:t xml:space="preserve"> </w:t>
      </w:r>
      <w:r>
        <w:t xml:space="preserve">“</w:t>
      </w:r>
      <w:r>
        <w:t xml:space="preserve">nottarapade ’nudāttādāv apṛthivīrudrapūṣamanthiṣu</w:t>
      </w:r>
      <w:r>
        <w:t xml:space="preserve">”</w:t>
      </w:r>
      <w:r>
        <w:t xml:space="preserve"> </w:t>
      </w:r>
      <w:r>
        <w:t xml:space="preserve">(Pā. sū. 6-2-142) bars that accent when the second member, other than</w:t>
      </w:r>
      <w:r>
        <w:t xml:space="preserve"> </w:t>
      </w:r>
      <w:r>
        <w:rPr>
          <w:iCs/>
          <w:i/>
        </w:rPr>
        <w:t xml:space="preserve">pṛthivī</w:t>
      </w:r>
      <w:r>
        <w:t xml:space="preserve"> </w:t>
      </w:r>
      <w:r>
        <w:t xml:space="preserve">and the rest, begins with an unaccented syllable; so the double accent does not come; by</w:t>
      </w:r>
      <w:r>
        <w:t xml:space="preserve"> </w:t>
      </w:r>
      <w:r>
        <w:t xml:space="preserve">“</w:t>
      </w:r>
      <w:r>
        <w:t xml:space="preserve">samāsasya</w:t>
      </w:r>
      <w:r>
        <w:t xml:space="preserve">”</w:t>
      </w:r>
      <w:r>
        <w:t xml:space="preserve"> </w:t>
      </w:r>
      <w:r>
        <w:t xml:space="preserve">(Pā. sū. 6-1-223) the compound is final udātta, and the other syllables are unaccented by the</w:t>
      </w:r>
      <w:r>
        <w:t xml:space="preserve"> </w:t>
      </w:r>
      <w:r>
        <w:rPr>
          <w:iCs/>
          <w:i/>
        </w:rPr>
        <w:t xml:space="preserve">śeṣanighāta</w:t>
      </w:r>
      <w:r>
        <w:t xml:space="preserve">.</w:t>
      </w:r>
    </w:p>
    <w:p>
      <w:pPr>
        <w:pStyle w:val="BodyText"/>
      </w:pPr>
      <w:r>
        <w:rPr>
          <w:bCs/>
          <w:b/>
        </w:rPr>
        <w:t xml:space="preserve">बृहस्पतिम् (</w:t>
      </w:r>
      <w:r>
        <w:rPr>
          <w:iCs/>
          <w:i/>
          <w:bCs/>
          <w:b/>
        </w:rPr>
        <w:t xml:space="preserve">bṛhaspatim</w:t>
      </w:r>
      <w:r>
        <w:rPr>
          <w:bCs/>
          <w:b/>
        </w:rPr>
        <w:t xml:space="preserve">)</w:t>
      </w:r>
      <w:r>
        <w:t xml:space="preserve">:</w:t>
      </w:r>
      <w:r>
        <w:t xml:space="preserve"> </w:t>
      </w:r>
      <w:r>
        <w:rPr>
          <w:iCs/>
          <w:i/>
        </w:rPr>
        <w:t xml:space="preserve">bṛhatī</w:t>
      </w:r>
      <w:r>
        <w:t xml:space="preserve"> </w:t>
      </w:r>
      <w:r>
        <w:t xml:space="preserve">means speech;</w:t>
      </w:r>
      <w:r>
        <w:t xml:space="preserve"> </w:t>
      </w:r>
      <w:r>
        <w:rPr>
          <w:iCs/>
          <w:i/>
        </w:rPr>
        <w:t xml:space="preserve">bṛhatyāḥ patiḥ bṛhaspatiḥ</w:t>
      </w:r>
      <w:r>
        <w:t xml:space="preserve">. For</w:t>
      </w:r>
      <w:r>
        <w:t xml:space="preserve"> </w:t>
      </w:r>
      <w:r>
        <w:rPr>
          <w:iCs/>
          <w:i/>
        </w:rPr>
        <w:t xml:space="preserve">bṛhatī</w:t>
      </w:r>
      <w:r>
        <w:t xml:space="preserve"> </w:t>
      </w:r>
      <w:r>
        <w:t xml:space="preserve">before</w:t>
      </w:r>
      <w:r>
        <w:t xml:space="preserve"> </w:t>
      </w:r>
      <w:r>
        <w:rPr>
          <w:iCs/>
          <w:i/>
        </w:rPr>
        <w:t xml:space="preserve">pati</w:t>
      </w:r>
      <w:r>
        <w:t xml:space="preserve">, by</w:t>
      </w:r>
      <w:r>
        <w:t xml:space="preserve"> </w:t>
      </w:r>
      <w:r>
        <w:t xml:space="preserve">“</w:t>
      </w:r>
      <w:r>
        <w:t xml:space="preserve">kukkuṭyādīnām aṇḍādiṣu</w:t>
      </w:r>
      <w:r>
        <w:t xml:space="preserve">”</w:t>
      </w:r>
      <w:r>
        <w:t xml:space="preserve"> </w:t>
      </w:r>
      <w:r>
        <w:t xml:space="preserve">(Pā. sū. 6-3-42-1 vā.) the</w:t>
      </w:r>
      <w:r>
        <w:t xml:space="preserve"> </w:t>
      </w:r>
      <w:r>
        <w:rPr>
          <w:iCs/>
          <w:i/>
        </w:rPr>
        <w:t xml:space="preserve">puṃvadbhāva</w:t>
      </w:r>
      <w:r>
        <w:t xml:space="preserve"> </w:t>
      </w:r>
      <w:r>
        <w:t xml:space="preserve">comes (feminines like</w:t>
      </w:r>
      <w:r>
        <w:t xml:space="preserve"> </w:t>
      </w:r>
      <w:r>
        <w:rPr>
          <w:iCs/>
          <w:i/>
        </w:rPr>
        <w:t xml:space="preserve">kukkuṭī</w:t>
      </w:r>
      <w:r>
        <w:t xml:space="preserve"> </w:t>
      </w:r>
      <w:r>
        <w:t xml:space="preserve">before</w:t>
      </w:r>
      <w:r>
        <w:t xml:space="preserve"> </w:t>
      </w:r>
      <w:r>
        <w:rPr>
          <w:iCs/>
          <w:i/>
        </w:rPr>
        <w:t xml:space="preserve">aṇḍa</w:t>
      </w:r>
      <w:r>
        <w:t xml:space="preserve"> </w:t>
      </w:r>
      <w:r>
        <w:t xml:space="preserve">and the like), and the</w:t>
      </w:r>
      <w:r>
        <w:t xml:space="preserve"> </w:t>
      </w:r>
      <w:r>
        <w:rPr>
          <w:iCs/>
          <w:i/>
        </w:rPr>
        <w:t xml:space="preserve">ṅīp</w:t>
      </w:r>
      <w:r>
        <w:t xml:space="preserve"> </w:t>
      </w:r>
      <w:r>
        <w:t xml:space="preserve">goes:</w:t>
      </w:r>
      <w:r>
        <w:t xml:space="preserve"> </w:t>
      </w:r>
      <w:r>
        <w:rPr>
          <w:iCs/>
          <w:i/>
        </w:rPr>
        <w:t xml:space="preserve">bṛhat</w:t>
      </w:r>
      <w:r>
        <w:t xml:space="preserve"> </w:t>
      </w:r>
      <w:r>
        <w:t xml:space="preserve">+</w:t>
      </w:r>
      <w:r>
        <w:t xml:space="preserve"> </w:t>
      </w:r>
      <w:r>
        <w:rPr>
          <w:iCs/>
          <w:i/>
        </w:rPr>
        <w:t xml:space="preserve">pati</w:t>
      </w:r>
      <w:r>
        <w:t xml:space="preserve">. Then</w:t>
      </w:r>
      <w:r>
        <w:t xml:space="preserve"> </w:t>
      </w:r>
      <w:r>
        <w:t xml:space="preserve">“</w:t>
      </w:r>
      <w:r>
        <w:t xml:space="preserve">tadbṛhatoḥ karapatyoś coradevatayoḥ suṭ talopaś ca</w:t>
      </w:r>
      <w:r>
        <w:t xml:space="preserve">”</w:t>
      </w:r>
      <w:r>
        <w:t xml:space="preserve"> </w:t>
      </w:r>
      <w:r>
        <w:t xml:space="preserve">(</w:t>
      </w:r>
      <w:r>
        <w:t xml:space="preserve">“</w:t>
      </w:r>
      <w:r>
        <w:t xml:space="preserve">ga. sū. 6-1-158</w:t>
      </w:r>
      <w:r>
        <w:t xml:space="preserve">”</w:t>
      </w:r>
      <w:r>
        <w:t xml:space="preserve"> </w:t>
      </w:r>
      <w:r>
        <w:t xml:space="preserve">[as printed]): for</w:t>
      </w:r>
      <w:r>
        <w:t xml:space="preserve"> </w:t>
      </w:r>
      <w:r>
        <w:rPr>
          <w:iCs/>
          <w:i/>
        </w:rPr>
        <w:t xml:space="preserve">tad</w:t>
      </w:r>
      <w:r>
        <w:t xml:space="preserve"> </w:t>
      </w:r>
      <w:r>
        <w:t xml:space="preserve">and</w:t>
      </w:r>
      <w:r>
        <w:t xml:space="preserve"> </w:t>
      </w:r>
      <w:r>
        <w:rPr>
          <w:iCs/>
          <w:i/>
        </w:rPr>
        <w:t xml:space="preserve">bṛhat</w:t>
      </w:r>
      <w:r>
        <w:t xml:space="preserve"> </w:t>
      </w:r>
      <w:r>
        <w:t xml:space="preserve">before</w:t>
      </w:r>
      <w:r>
        <w:t xml:space="preserve"> </w:t>
      </w:r>
      <w:r>
        <w:rPr>
          <w:iCs/>
          <w:i/>
        </w:rPr>
        <w:t xml:space="preserve">kara</w:t>
      </w:r>
      <w:r>
        <w:t xml:space="preserve"> </w:t>
      </w:r>
      <w:r>
        <w:t xml:space="preserve">and</w:t>
      </w:r>
      <w:r>
        <w:t xml:space="preserve"> </w:t>
      </w:r>
      <w:r>
        <w:rPr>
          <w:iCs/>
          <w:i/>
        </w:rPr>
        <w:t xml:space="preserve">pati</w:t>
      </w:r>
      <w:r>
        <w:t xml:space="preserve">, the</w:t>
      </w:r>
      <w:r>
        <w:t xml:space="preserve"> </w:t>
      </w:r>
      <w:r>
        <w:rPr>
          <w:iCs/>
          <w:i/>
        </w:rPr>
        <w:t xml:space="preserve">d</w:t>
      </w:r>
      <w:r>
        <w:t xml:space="preserve">/</w:t>
      </w:r>
      <w:r>
        <w:rPr>
          <w:iCs/>
          <w:i/>
        </w:rPr>
        <w:t xml:space="preserve">t</w:t>
      </w:r>
      <w:r>
        <w:t xml:space="preserve"> </w:t>
      </w:r>
      <w:r>
        <w:t xml:space="preserve">drops and</w:t>
      </w:r>
      <w:r>
        <w:t xml:space="preserve"> </w:t>
      </w:r>
      <w:r>
        <w:rPr>
          <w:iCs/>
          <w:i/>
        </w:rPr>
        <w:t xml:space="preserve">kara</w:t>
      </w:r>
      <w:r>
        <w:t xml:space="preserve">/</w:t>
      </w:r>
      <w:r>
        <w:rPr>
          <w:iCs/>
          <w:i/>
        </w:rPr>
        <w:t xml:space="preserve">pati</w:t>
      </w:r>
      <w:r>
        <w:t xml:space="preserve"> </w:t>
      </w:r>
      <w:r>
        <w:t xml:space="preserve">take the augment</w:t>
      </w:r>
      <w:r>
        <w:t xml:space="preserve"> </w:t>
      </w:r>
      <w:r>
        <w:rPr>
          <w:iCs/>
          <w:i/>
        </w:rPr>
        <w:t xml:space="preserve">suṭ</w:t>
      </w:r>
      <w:r>
        <w:t xml:space="preserve">;</w:t>
      </w:r>
      <w:r>
        <w:t xml:space="preserve"> </w:t>
      </w:r>
      <w:r>
        <w:rPr>
          <w:iCs/>
          <w:i/>
        </w:rPr>
        <w:t xml:space="preserve">suṭ</w:t>
      </w:r>
      <w:r>
        <w:t xml:space="preserve"> </w:t>
      </w:r>
      <w:r>
        <w:t xml:space="preserve">is</w:t>
      </w:r>
      <w:r>
        <w:t xml:space="preserve"> </w:t>
      </w:r>
      <w:r>
        <w:rPr>
          <w:iCs/>
          <w:i/>
        </w:rPr>
        <w:t xml:space="preserve">ṭit</w:t>
      </w:r>
      <w:r>
        <w:t xml:space="preserve">, so by</w:t>
      </w:r>
      <w:r>
        <w:t xml:space="preserve"> </w:t>
      </w:r>
      <w:r>
        <w:t xml:space="preserve">“</w:t>
      </w:r>
      <w:r>
        <w:t xml:space="preserve">ādyantau ṭakitau</w:t>
      </w:r>
      <w:r>
        <w:t xml:space="preserve">”</w:t>
      </w:r>
      <w:r>
        <w:t xml:space="preserve"> </w:t>
      </w:r>
      <w:r>
        <w:t xml:space="preserve">(Pā. sū. 1-1-46) it comes at the beginning of</w:t>
      </w:r>
      <w:r>
        <w:t xml:space="preserve"> </w:t>
      </w:r>
      <w:r>
        <w:rPr>
          <w:iCs/>
          <w:i/>
        </w:rPr>
        <w:t xml:space="preserve">pati</w:t>
      </w:r>
      <w:r>
        <w:t xml:space="preserve">:</w:t>
      </w:r>
      <w:r>
        <w:t xml:space="preserve"> </w:t>
      </w:r>
      <w:r>
        <w:rPr>
          <w:iCs/>
          <w:i/>
        </w:rPr>
        <w:t xml:space="preserve">bṛhaspati</w:t>
      </w:r>
      <w:r>
        <w:t xml:space="preserve">. The Mahābhāṣyakāra has rejected the reading</w:t>
      </w:r>
      <w:r>
        <w:t xml:space="preserve"> </w:t>
      </w:r>
      <w:r>
        <w:t xml:space="preserve">“</w:t>
      </w:r>
      <w:r>
        <w:t xml:space="preserve">kukkuṭyādīnām aṇḍādiṣu</w:t>
      </w:r>
      <w:r>
        <w:t xml:space="preserve">”</w:t>
      </w:r>
    </w:p>
    <w:bookmarkEnd w:id="632"/>
    <w:bookmarkStart w:id="633" w:name="page-595-rik-3-grammar-continued"/>
    <w:p>
      <w:pPr>
        <w:pStyle w:val="Heading3"/>
      </w:pPr>
      <w:r>
        <w:t xml:space="preserve">Page 595 — Rik 3: grammar (continued)</w:t>
      </w:r>
    </w:p>
    <w:p>
      <w:pPr>
        <w:pStyle w:val="FirstParagraph"/>
      </w:pPr>
      <w:r>
        <w:t xml:space="preserve">on that view the analysis is</w:t>
      </w:r>
      <w:r>
        <w:t xml:space="preserve"> </w:t>
      </w:r>
      <w:r>
        <w:rPr>
          <w:iCs/>
          <w:i/>
        </w:rPr>
        <w:t xml:space="preserve">bṛhataḥ vāksamūhasya patiḥ</w:t>
      </w:r>
      <w:r>
        <w:t xml:space="preserve">. The analysis</w:t>
      </w:r>
      <w:r>
        <w:t xml:space="preserve"> </w:t>
      </w:r>
      <w:r>
        <w:rPr>
          <w:iCs/>
          <w:i/>
        </w:rPr>
        <w:t xml:space="preserve">bṛhatyāḥ patiḥ</w:t>
      </w:r>
      <w:r>
        <w:t xml:space="preserve"> </w:t>
      </w:r>
      <w:r>
        <w:t xml:space="preserve">follows the Chandoga-brāhmaṇa</w:t>
      </w:r>
      <w:r>
        <w:t xml:space="preserve"> </w:t>
      </w:r>
      <w:r>
        <w:rPr>
          <w:iCs/>
          <w:i/>
        </w:rPr>
        <w:t xml:space="preserve">vāg vai bṛhatī, tasyā eṣa patiḥ</w:t>
      </w:r>
      <w:r>
        <w:t xml:space="preserve">. Vāmana holds that some say</w:t>
      </w:r>
      <w:r>
        <w:t xml:space="preserve"> </w:t>
      </w:r>
      <w:r>
        <w:rPr>
          <w:iCs/>
          <w:i/>
        </w:rPr>
        <w:t xml:space="preserve">bṛhat</w:t>
      </w:r>
      <w:r>
        <w:t xml:space="preserve"> </w:t>
      </w:r>
      <w:r>
        <w:t xml:space="preserve">is initial udātta; so</w:t>
      </w:r>
      <w:r>
        <w:t xml:space="preserve"> </w:t>
      </w:r>
      <w:r>
        <w:rPr>
          <w:iCs/>
          <w:i/>
        </w:rPr>
        <w:t xml:space="preserve">bṛhat</w:t>
      </w:r>
      <w:r>
        <w:t xml:space="preserve"> </w:t>
      </w:r>
      <w:r>
        <w:t xml:space="preserve">is initial udātta.</w:t>
      </w:r>
      <w:r>
        <w:t xml:space="preserve"> </w:t>
      </w:r>
      <w:r>
        <w:rPr>
          <w:iCs/>
          <w:i/>
        </w:rPr>
        <w:t xml:space="preserve">Pā rakṣaṇe</w:t>
      </w:r>
      <w:r>
        <w:t xml:space="preserve">:</w:t>
      </w:r>
      <w:r>
        <w:t xml:space="preserve"> </w:t>
      </w:r>
      <w:r>
        <w:rPr>
          <w:iCs/>
          <w:i/>
        </w:rPr>
        <w:t xml:space="preserve">pātīti patiḥ</w:t>
      </w:r>
      <w:r>
        <w:t xml:space="preserve"> </w:t>
      </w:r>
      <w:r>
        <w:t xml:space="preserve">(the protector);</w:t>
      </w:r>
      <w:r>
        <w:t xml:space="preserve"> </w:t>
      </w:r>
      <w:r>
        <w:t xml:space="preserve">“</w:t>
      </w:r>
      <w:r>
        <w:t xml:space="preserve">pāter ḍatiḥ</w:t>
      </w:r>
      <w:r>
        <w:t xml:space="preserve">”</w:t>
      </w:r>
      <w:r>
        <w:t xml:space="preserve"> </w:t>
      </w:r>
      <w:r>
        <w:t xml:space="preserve">(Uṇ. sū. 4-58): the suffix</w:t>
      </w:r>
      <w:r>
        <w:t xml:space="preserve"> </w:t>
      </w:r>
      <w:r>
        <w:rPr>
          <w:iCs/>
          <w:i/>
        </w:rPr>
        <w:t xml:space="preserve">ḍati</w:t>
      </w:r>
      <w:r>
        <w:t xml:space="preserve"> </w:t>
      </w:r>
      <w:r>
        <w:t xml:space="preserve">after</w:t>
      </w:r>
      <w:r>
        <w:t xml:space="preserve"> </w:t>
      </w:r>
      <w:r>
        <w:rPr>
          <w:iCs/>
          <w:i/>
        </w:rPr>
        <w:t xml:space="preserve">pā</w:t>
      </w:r>
      <w:r>
        <w:t xml:space="preserve">:</w:t>
      </w:r>
      <w:r>
        <w:t xml:space="preserve"> </w:t>
      </w:r>
      <w:r>
        <w:rPr>
          <w:iCs/>
          <w:i/>
        </w:rPr>
        <w:t xml:space="preserve">pā</w:t>
      </w:r>
      <w:r>
        <w:t xml:space="preserve"> </w:t>
      </w:r>
      <w:r>
        <w:t xml:space="preserve">+</w:t>
      </w:r>
      <w:r>
        <w:t xml:space="preserve"> </w:t>
      </w:r>
      <w:r>
        <w:rPr>
          <w:iCs/>
          <w:i/>
        </w:rPr>
        <w:t xml:space="preserve">ati</w:t>
      </w:r>
      <w:r>
        <w:t xml:space="preserve">; since the suffix is</w:t>
      </w:r>
      <w:r>
        <w:t xml:space="preserve"> </w:t>
      </w:r>
      <w:r>
        <w:rPr>
          <w:iCs/>
          <w:i/>
        </w:rPr>
        <w:t xml:space="preserve">ḍit</w:t>
      </w:r>
      <w:r>
        <w:t xml:space="preserve">, the</w:t>
      </w:r>
      <w:r>
        <w:t xml:space="preserve"> </w:t>
      </w:r>
      <w:r>
        <w:rPr>
          <w:iCs/>
          <w:i/>
        </w:rPr>
        <w:t xml:space="preserve">ā</w:t>
      </w:r>
      <w:r>
        <w:t xml:space="preserve"> </w:t>
      </w:r>
      <w:r>
        <w:t xml:space="preserve">(the</w:t>
      </w:r>
      <w:r>
        <w:t xml:space="preserve"> </w:t>
      </w:r>
      <w:r>
        <w:rPr>
          <w:iCs/>
          <w:i/>
        </w:rPr>
        <w:t xml:space="preserve">ṭi</w:t>
      </w:r>
      <w:r>
        <w:t xml:space="preserve">) of</w:t>
      </w:r>
      <w:r>
        <w:t xml:space="preserve"> </w:t>
      </w:r>
      <w:r>
        <w:rPr>
          <w:iCs/>
          <w:i/>
        </w:rPr>
        <w:t xml:space="preserve">pā</w:t>
      </w:r>
      <w:r>
        <w:t xml:space="preserve"> </w:t>
      </w:r>
      <w:r>
        <w:t xml:space="preserve">drops:</w:t>
      </w:r>
      <w:r>
        <w:t xml:space="preserve"> </w:t>
      </w:r>
      <w:r>
        <w:rPr>
          <w:iCs/>
          <w:i/>
        </w:rPr>
        <w:t xml:space="preserve">p</w:t>
      </w:r>
      <w:r>
        <w:t xml:space="preserve"> </w:t>
      </w:r>
      <w:r>
        <w:t xml:space="preserve">+</w:t>
      </w:r>
      <w:r>
        <w:t xml:space="preserve"> </w:t>
      </w:r>
      <w:r>
        <w:rPr>
          <w:iCs/>
          <w:i/>
        </w:rPr>
        <w:t xml:space="preserve">ati</w:t>
      </w:r>
      <w:r>
        <w:t xml:space="preserve"> </w:t>
      </w:r>
      <w:r>
        <w:t xml:space="preserve">=</w:t>
      </w:r>
      <w:r>
        <w:t xml:space="preserve"> </w:t>
      </w:r>
      <w:r>
        <w:rPr>
          <w:iCs/>
          <w:i/>
        </w:rPr>
        <w:t xml:space="preserve">pati</w:t>
      </w:r>
      <w:r>
        <w:t xml:space="preserve">. By the suffix accent</w:t>
      </w:r>
      <w:r>
        <w:t xml:space="preserve"> </w:t>
      </w:r>
      <w:r>
        <w:t xml:space="preserve">“</w:t>
      </w:r>
      <w:r>
        <w:t xml:space="preserve">ādyudāttaś ca</w:t>
      </w:r>
      <w:r>
        <w:t xml:space="preserve">”</w:t>
      </w:r>
      <w:r>
        <w:t xml:space="preserve"> </w:t>
      </w:r>
      <w:r>
        <w:t xml:space="preserve">(Pā. sū. 3-1-3) it is initial udātta; when the two are compounded,</w:t>
      </w:r>
      <w:r>
        <w:t xml:space="preserve"> </w:t>
      </w:r>
      <w:r>
        <w:t xml:space="preserve">“</w:t>
      </w:r>
      <w:r>
        <w:t xml:space="preserve">ubhe vanaspatyādiṣu yugapat</w:t>
      </w:r>
      <w:r>
        <w:t xml:space="preserve">”</w:t>
      </w:r>
      <w:r>
        <w:t xml:space="preserve"> </w:t>
      </w:r>
      <w:r>
        <w:t xml:space="preserve">(Pā. sū. 6-2-140) keeps the own accent of both members. The</w:t>
      </w:r>
      <w:r>
        <w:t xml:space="preserve"> </w:t>
      </w:r>
      <w:r>
        <w:rPr>
          <w:iCs/>
          <w:i/>
        </w:rPr>
        <w:t xml:space="preserve">a</w:t>
      </w:r>
      <w:r>
        <w:t xml:space="preserve"> </w:t>
      </w:r>
      <w:r>
        <w:t xml:space="preserve">of</w:t>
      </w:r>
      <w:r>
        <w:t xml:space="preserve"> </w:t>
      </w:r>
      <w:r>
        <w:rPr>
          <w:iCs/>
          <w:i/>
        </w:rPr>
        <w:t xml:space="preserve">bṛhat</w:t>
      </w:r>
      <w:r>
        <w:t xml:space="preserve"> </w:t>
      </w:r>
      <w:r>
        <w:t xml:space="preserve">takes the</w:t>
      </w:r>
      <w:r>
        <w:t xml:space="preserve"> </w:t>
      </w:r>
      <w:r>
        <w:rPr>
          <w:iCs/>
          <w:i/>
        </w:rPr>
        <w:t xml:space="preserve">anudāttatara</w:t>
      </w:r>
      <w:r>
        <w:t xml:space="preserve"> </w:t>
      </w:r>
      <w:r>
        <w:t xml:space="preserve">accent by</w:t>
      </w:r>
      <w:r>
        <w:t xml:space="preserve"> </w:t>
      </w:r>
      <w:r>
        <w:t xml:space="preserve">“</w:t>
      </w:r>
      <w:r>
        <w:t xml:space="preserve">udāttasvaritaparasya sannataraḥ</w:t>
      </w:r>
      <w:r>
        <w:t xml:space="preserve">”</w:t>
      </w:r>
      <w:r>
        <w:t xml:space="preserve"> </w:t>
      </w:r>
      <w:r>
        <w:t xml:space="preserve">(Pā. sū. 1-2-40).</w:t>
      </w:r>
    </w:p>
    <w:p>
      <w:pPr>
        <w:pStyle w:val="BodyText"/>
      </w:pPr>
      <w:r>
        <w:rPr>
          <w:bCs/>
          <w:b/>
        </w:rPr>
        <w:t xml:space="preserve">मित्रा (</w:t>
      </w:r>
      <w:r>
        <w:rPr>
          <w:iCs/>
          <w:i/>
          <w:bCs/>
          <w:b/>
        </w:rPr>
        <w:t xml:space="preserve">mitrā</w:t>
      </w:r>
      <w:r>
        <w:rPr>
          <w:bCs/>
          <w:b/>
        </w:rPr>
        <w:t xml:space="preserve">)</w:t>
      </w:r>
      <w:r>
        <w:t xml:space="preserve">:</w:t>
      </w:r>
      <w:r>
        <w:t xml:space="preserve"> </w:t>
      </w:r>
      <w:r>
        <w:rPr>
          <w:iCs/>
          <w:i/>
        </w:rPr>
        <w:t xml:space="preserve">mitra</w:t>
      </w:r>
      <w:r>
        <w:t xml:space="preserve"> </w:t>
      </w:r>
      <w:r>
        <w:t xml:space="preserve">is final udātta by the stem accent; accusative singular</w:t>
      </w:r>
      <w:r>
        <w:t xml:space="preserve"> </w:t>
      </w:r>
      <w:r>
        <w:rPr>
          <w:iCs/>
          <w:i/>
        </w:rPr>
        <w:t xml:space="preserve">am</w:t>
      </w:r>
      <w:r>
        <w:t xml:space="preserve">;</w:t>
      </w:r>
      <w:r>
        <w:t xml:space="preserve"> </w:t>
      </w:r>
      <w:r>
        <w:t xml:space="preserve">“</w:t>
      </w:r>
      <w:r>
        <w:t xml:space="preserve">supāṃ suluk…</w:t>
      </w:r>
      <w:r>
        <w:t xml:space="preserve">”</w:t>
      </w:r>
      <w:r>
        <w:t xml:space="preserve"> </w:t>
      </w:r>
      <w:r>
        <w:t xml:space="preserve">(Pā. sū. 7-1-39) gives</w:t>
      </w:r>
      <w:r>
        <w:t xml:space="preserve"> </w:t>
      </w:r>
      <w:r>
        <w:rPr>
          <w:iCs/>
          <w:i/>
        </w:rPr>
        <w:t xml:space="preserve">āc</w:t>
      </w:r>
      <w:r>
        <w:t xml:space="preserve"> </w:t>
      </w:r>
      <w:r>
        <w:t xml:space="preserve">for it:</w:t>
      </w:r>
      <w:r>
        <w:t xml:space="preserve"> </w:t>
      </w:r>
      <w:r>
        <w:rPr>
          <w:iCs/>
          <w:i/>
        </w:rPr>
        <w:t xml:space="preserve">mitra</w:t>
      </w:r>
      <w:r>
        <w:t xml:space="preserve"> </w:t>
      </w:r>
      <w:r>
        <w:t xml:space="preserve">+</w:t>
      </w:r>
      <w:r>
        <w:t xml:space="preserve"> </w:t>
      </w:r>
      <w:r>
        <w:rPr>
          <w:iCs/>
          <w:i/>
        </w:rPr>
        <w:t xml:space="preserve">ā</w:t>
      </w:r>
      <w:r>
        <w:t xml:space="preserve">, lengthening of like vowels; the single replacement is udātta by</w:t>
      </w:r>
      <w:r>
        <w:t xml:space="preserve"> </w:t>
      </w:r>
      <w:r>
        <w:t xml:space="preserve">“</w:t>
      </w:r>
      <w:r>
        <w:t xml:space="preserve">ekādeśa udāttenodāttaḥ</w:t>
      </w:r>
      <w:r>
        <w:t xml:space="preserve">”</w:t>
      </w:r>
      <w:r>
        <w:t xml:space="preserve"> </w:t>
      </w:r>
      <w:r>
        <w:t xml:space="preserve">(Pā. sū. 8-2-5).</w:t>
      </w:r>
    </w:p>
    <w:p>
      <w:pPr>
        <w:pStyle w:val="BodyText"/>
      </w:pPr>
      <w:r>
        <w:rPr>
          <w:bCs/>
          <w:b/>
        </w:rPr>
        <w:t xml:space="preserve">आदित्यान् (</w:t>
      </w:r>
      <w:r>
        <w:rPr>
          <w:iCs/>
          <w:i/>
          <w:bCs/>
          <w:b/>
        </w:rPr>
        <w:t xml:space="preserve">ādityān</w:t>
      </w:r>
      <w:r>
        <w:rPr>
          <w:bCs/>
          <w:b/>
        </w:rPr>
        <w:t xml:space="preserve">)</w:t>
      </w:r>
      <w:r>
        <w:t xml:space="preserve">:</w:t>
      </w:r>
      <w:r>
        <w:t xml:space="preserve"> </w:t>
      </w:r>
      <w:r>
        <w:rPr>
          <w:iCs/>
          <w:i/>
        </w:rPr>
        <w:t xml:space="preserve">aditeḥ apatyāni pumāṃsaḥ ādityāḥ</w:t>
      </w:r>
      <w:r>
        <w:t xml:space="preserve">.</w:t>
      </w:r>
      <w:r>
        <w:t xml:space="preserve"> </w:t>
      </w:r>
      <w:r>
        <w:t xml:space="preserve">“</w:t>
      </w:r>
      <w:r>
        <w:t xml:space="preserve">dityadityādityapatyuttarapadāṇ ṇyaḥ</w:t>
      </w:r>
      <w:r>
        <w:t xml:space="preserve">”</w:t>
      </w:r>
      <w:r>
        <w:t xml:space="preserve"> </w:t>
      </w:r>
      <w:r>
        <w:t xml:space="preserve">(Pā. sū. 4-1-85): in the senses beginning with</w:t>
      </w:r>
      <w:r>
        <w:t xml:space="preserve"> </w:t>
      </w:r>
      <w:r>
        <w:rPr>
          <w:iCs/>
          <w:i/>
        </w:rPr>
        <w:t xml:space="preserve">apatya</w:t>
      </w:r>
      <w:r>
        <w:t xml:space="preserve"> </w:t>
      </w:r>
      <w:r>
        <w:t xml:space="preserve">set out in the Aṣṭādhyāyī from this sūtra to</w:t>
      </w:r>
      <w:r>
        <w:t xml:space="preserve"> </w:t>
      </w:r>
      <w:r>
        <w:t xml:space="preserve">“</w:t>
      </w:r>
      <w:r>
        <w:t xml:space="preserve">tena dīvyati khanati jayati jitam</w:t>
      </w:r>
      <w:r>
        <w:t xml:space="preserve">”</w:t>
      </w:r>
      <w:r>
        <w:t xml:space="preserve"> </w:t>
      </w:r>
      <w:r>
        <w:t xml:space="preserve">(Pā. sū. 4-4-2), the suffix</w:t>
      </w:r>
      <w:r>
        <w:t xml:space="preserve"> </w:t>
      </w:r>
      <w:r>
        <w:rPr>
          <w:iCs/>
          <w:i/>
        </w:rPr>
        <w:t xml:space="preserve">ṇya</w:t>
      </w:r>
      <w:r>
        <w:t xml:space="preserve"> </w:t>
      </w:r>
      <w:r>
        <w:t xml:space="preserve">comes after</w:t>
      </w:r>
      <w:r>
        <w:t xml:space="preserve"> </w:t>
      </w:r>
      <w:r>
        <w:rPr>
          <w:iCs/>
          <w:i/>
        </w:rPr>
        <w:t xml:space="preserve">diti</w:t>
      </w:r>
      <w:r>
        <w:t xml:space="preserve">,</w:t>
      </w:r>
      <w:r>
        <w:t xml:space="preserve"> </w:t>
      </w:r>
      <w:r>
        <w:rPr>
          <w:iCs/>
          <w:i/>
        </w:rPr>
        <w:t xml:space="preserve">aditi</w:t>
      </w:r>
      <w:r>
        <w:t xml:space="preserve">,</w:t>
      </w:r>
      <w:r>
        <w:t xml:space="preserve"> </w:t>
      </w:r>
      <w:r>
        <w:rPr>
          <w:iCs/>
          <w:i/>
        </w:rPr>
        <w:t xml:space="preserve">āditya</w:t>
      </w:r>
      <w:r>
        <w:t xml:space="preserve"> </w:t>
      </w:r>
      <w:r>
        <w:t xml:space="preserve">and words with</w:t>
      </w:r>
      <w:r>
        <w:t xml:space="preserve"> </w:t>
      </w:r>
      <w:r>
        <w:rPr>
          <w:iCs/>
          <w:i/>
        </w:rPr>
        <w:t xml:space="preserve">pati</w:t>
      </w:r>
      <w:r>
        <w:t xml:space="preserve"> </w:t>
      </w:r>
      <w:r>
        <w:t xml:space="preserve">as the second member; so</w:t>
      </w:r>
      <w:r>
        <w:t xml:space="preserve"> </w:t>
      </w:r>
      <w:r>
        <w:rPr>
          <w:iCs/>
          <w:i/>
        </w:rPr>
        <w:t xml:space="preserve">ṇya</w:t>
      </w:r>
      <w:r>
        <w:t xml:space="preserve"> </w:t>
      </w:r>
      <w:r>
        <w:t xml:space="preserve">after the genitive of</w:t>
      </w:r>
      <w:r>
        <w:t xml:space="preserve"> </w:t>
      </w:r>
      <w:r>
        <w:rPr>
          <w:iCs/>
          <w:i/>
        </w:rPr>
        <w:t xml:space="preserve">aditi</w:t>
      </w:r>
      <w:r>
        <w:t xml:space="preserve">:</w:t>
      </w:r>
      <w:r>
        <w:t xml:space="preserve"> </w:t>
      </w:r>
      <w:r>
        <w:rPr>
          <w:iCs/>
          <w:i/>
        </w:rPr>
        <w:t xml:space="preserve">aditi</w:t>
      </w:r>
      <w:r>
        <w:t xml:space="preserve"> </w:t>
      </w:r>
      <w:r>
        <w:t xml:space="preserve">+</w:t>
      </w:r>
      <w:r>
        <w:t xml:space="preserve"> </w:t>
      </w:r>
      <w:r>
        <w:rPr>
          <w:iCs/>
          <w:i/>
        </w:rPr>
        <w:t xml:space="preserve">jas</w:t>
      </w:r>
      <w:r>
        <w:t xml:space="preserve"> </w:t>
      </w:r>
      <w:r>
        <w:t xml:space="preserve">[as printed, for</w:t>
      </w:r>
      <w:r>
        <w:t xml:space="preserve"> </w:t>
      </w:r>
      <w:r>
        <w:rPr>
          <w:iCs/>
          <w:i/>
        </w:rPr>
        <w:t xml:space="preserve">ṅas</w:t>
      </w:r>
      <w:r>
        <w:t xml:space="preserve">] +</w:t>
      </w:r>
      <w:r>
        <w:t xml:space="preserve"> </w:t>
      </w:r>
      <w:r>
        <w:rPr>
          <w:iCs/>
          <w:i/>
        </w:rPr>
        <w:t xml:space="preserve">ya</w:t>
      </w:r>
      <w:r>
        <w:t xml:space="preserve">; ending in a</w:t>
      </w:r>
      <w:r>
        <w:t xml:space="preserve"> </w:t>
      </w:r>
      <w:r>
        <w:rPr>
          <w:iCs/>
          <w:i/>
        </w:rPr>
        <w:t xml:space="preserve">taddhita</w:t>
      </w:r>
      <w:r>
        <w:t xml:space="preserve">, it is a</w:t>
      </w:r>
      <w:r>
        <w:t xml:space="preserve"> </w:t>
      </w:r>
      <w:r>
        <w:rPr>
          <w:iCs/>
          <w:i/>
        </w:rPr>
        <w:t xml:space="preserve">prātipadika</w:t>
      </w:r>
      <w:r>
        <w:t xml:space="preserve">, the ending is dropped:</w:t>
      </w:r>
      <w:r>
        <w:t xml:space="preserve"> </w:t>
      </w:r>
      <w:r>
        <w:rPr>
          <w:iCs/>
          <w:i/>
        </w:rPr>
        <w:t xml:space="preserve">aditi</w:t>
      </w:r>
      <w:r>
        <w:t xml:space="preserve"> </w:t>
      </w:r>
      <w:r>
        <w:t xml:space="preserve">+</w:t>
      </w:r>
      <w:r>
        <w:t xml:space="preserve"> </w:t>
      </w:r>
      <w:r>
        <w:rPr>
          <w:iCs/>
          <w:i/>
        </w:rPr>
        <w:t xml:space="preserve">ya</w:t>
      </w:r>
      <w:r>
        <w:t xml:space="preserve">; the</w:t>
      </w:r>
      <w:r>
        <w:t xml:space="preserve"> </w:t>
      </w:r>
      <w:r>
        <w:rPr>
          <w:iCs/>
          <w:i/>
        </w:rPr>
        <w:t xml:space="preserve">i</w:t>
      </w:r>
      <w:r>
        <w:t xml:space="preserve"> </w:t>
      </w:r>
      <w:r>
        <w:t xml:space="preserve">drops by</w:t>
      </w:r>
      <w:r>
        <w:t xml:space="preserve"> </w:t>
      </w:r>
      <w:r>
        <w:t xml:space="preserve">“</w:t>
      </w:r>
      <w:r>
        <w:t xml:space="preserve">yasyeti ca</w:t>
      </w:r>
      <w:r>
        <w:t xml:space="preserve">”</w:t>
      </w:r>
      <w:r>
        <w:t xml:space="preserve"> </w:t>
      </w:r>
      <w:r>
        <w:t xml:space="preserve">(Pā. sū. 6-4-148); initial</w:t>
      </w:r>
      <w:r>
        <w:t xml:space="preserve"> </w:t>
      </w:r>
      <w:r>
        <w:rPr>
          <w:iCs/>
          <w:i/>
        </w:rPr>
        <w:t xml:space="preserve">vṛddhi</w:t>
      </w:r>
      <w:r>
        <w:t xml:space="preserve"> </w:t>
      </w:r>
      <w:r>
        <w:t xml:space="preserve">by</w:t>
      </w:r>
      <w:r>
        <w:t xml:space="preserve"> </w:t>
      </w:r>
      <w:r>
        <w:t xml:space="preserve">“</w:t>
      </w:r>
      <w:r>
        <w:t xml:space="preserve">taddhiteṣv acām ādeḥ</w:t>
      </w:r>
      <w:r>
        <w:t xml:space="preserve">”</w:t>
      </w:r>
      <w:r>
        <w:t xml:space="preserve"> </w:t>
      </w:r>
      <w:r>
        <w:t xml:space="preserve">(Pā. sū. 7-2-117):</w:t>
      </w:r>
      <w:r>
        <w:t xml:space="preserve"> </w:t>
      </w:r>
      <w:r>
        <w:rPr>
          <w:iCs/>
          <w:i/>
        </w:rPr>
        <w:t xml:space="preserve">āditya</w:t>
      </w:r>
      <w:r>
        <w:t xml:space="preserve">. It is final udātta by the suffix accent; accusative plural</w:t>
      </w:r>
      <w:r>
        <w:t xml:space="preserve"> </w:t>
      </w:r>
      <w:r>
        <w:rPr>
          <w:iCs/>
          <w:i/>
        </w:rPr>
        <w:t xml:space="preserve">śas</w:t>
      </w:r>
      <w:r>
        <w:t xml:space="preserve">,</w:t>
      </w:r>
      <w:r>
        <w:t xml:space="preserve"> </w:t>
      </w:r>
      <w:r>
        <w:rPr>
          <w:iCs/>
          <w:i/>
        </w:rPr>
        <w:t xml:space="preserve">pūrvasavarṇa-dīrgha</w:t>
      </w:r>
      <w:r>
        <w:t xml:space="preserve">,</w:t>
      </w:r>
      <w:r>
        <w:t xml:space="preserve"> </w:t>
      </w:r>
      <w:r>
        <w:rPr>
          <w:iCs/>
          <w:i/>
        </w:rPr>
        <w:t xml:space="preserve">n</w:t>
      </w:r>
      <w:r>
        <w:t xml:space="preserve"> </w:t>
      </w:r>
      <w:r>
        <w:t xml:space="preserve">for the</w:t>
      </w:r>
      <w:r>
        <w:t xml:space="preserve"> </w:t>
      </w:r>
      <w:r>
        <w:rPr>
          <w:iCs/>
          <w:i/>
        </w:rPr>
        <w:t xml:space="preserve">s</w:t>
      </w:r>
      <w:r>
        <w:t xml:space="preserve"> </w:t>
      </w:r>
      <w:r>
        <w:t xml:space="preserve">by</w:t>
      </w:r>
      <w:r>
        <w:t xml:space="preserve"> </w:t>
      </w:r>
      <w:r>
        <w:t xml:space="preserve">“</w:t>
      </w:r>
      <w:r>
        <w:t xml:space="preserve">tasmāc chaso naḥ puṃsi</w:t>
      </w:r>
      <w:r>
        <w:t xml:space="preserve">”</w:t>
      </w:r>
      <w:r>
        <w:t xml:space="preserve"> </w:t>
      </w:r>
      <w:r>
        <w:t xml:space="preserve">(Pā. sū. 6-1-103); the single replacement is udātta:</w:t>
      </w:r>
      <w:r>
        <w:t xml:space="preserve"> </w:t>
      </w:r>
      <w:r>
        <w:rPr>
          <w:iCs/>
          <w:i/>
        </w:rPr>
        <w:t xml:space="preserve">ādityān</w:t>
      </w:r>
      <w:r>
        <w:t xml:space="preserve">.</w:t>
      </w:r>
    </w:p>
    <w:p>
      <w:pPr>
        <w:pStyle w:val="BodyText"/>
      </w:pPr>
      <w:r>
        <w:rPr>
          <w:bCs/>
          <w:b/>
        </w:rPr>
        <w:t xml:space="preserve">मारुतम् (</w:t>
      </w:r>
      <w:r>
        <w:rPr>
          <w:iCs/>
          <w:i/>
          <w:bCs/>
          <w:b/>
        </w:rPr>
        <w:t xml:space="preserve">mārutam</w:t>
      </w:r>
      <w:r>
        <w:rPr>
          <w:bCs/>
          <w:b/>
        </w:rPr>
        <w:t xml:space="preserve">)</w:t>
      </w:r>
      <w:r>
        <w:t xml:space="preserve">:</w:t>
      </w:r>
      <w:r>
        <w:t xml:space="preserve"> </w:t>
      </w:r>
      <w:r>
        <w:t xml:space="preserve">“</w:t>
      </w:r>
      <w:r>
        <w:t xml:space="preserve">mṛgror utiḥ</w:t>
      </w:r>
      <w:r>
        <w:t xml:space="preserve">”</w:t>
      </w:r>
      <w:r>
        <w:t xml:space="preserve"> </w:t>
      </w:r>
      <w:r>
        <w:t xml:space="preserve">(Uṇ. sū. 1-94): after</w:t>
      </w:r>
      <w:r>
        <w:t xml:space="preserve"> </w:t>
      </w:r>
      <w:r>
        <w:rPr>
          <w:iCs/>
          <w:i/>
        </w:rPr>
        <w:t xml:space="preserve">mṛṅ prāṇatyāge</w:t>
      </w:r>
      <w:r>
        <w:t xml:space="preserve"> </w:t>
      </w:r>
      <w:r>
        <w:t xml:space="preserve">and</w:t>
      </w:r>
      <w:r>
        <w:t xml:space="preserve"> </w:t>
      </w:r>
      <w:r>
        <w:rPr>
          <w:iCs/>
          <w:i/>
        </w:rPr>
        <w:t xml:space="preserve">gṝ nigaraṇe</w:t>
      </w:r>
      <w:r>
        <w:t xml:space="preserve"> </w:t>
      </w:r>
      <w:r>
        <w:t xml:space="preserve">the suffix</w:t>
      </w:r>
      <w:r>
        <w:t xml:space="preserve"> </w:t>
      </w:r>
      <w:r>
        <w:rPr>
          <w:iCs/>
          <w:i/>
        </w:rPr>
        <w:t xml:space="preserve">uti</w:t>
      </w:r>
      <w:r>
        <w:t xml:space="preserve">:</w:t>
      </w:r>
      <w:r>
        <w:t xml:space="preserve"> </w:t>
      </w:r>
      <w:r>
        <w:rPr>
          <w:iCs/>
          <w:i/>
        </w:rPr>
        <w:t xml:space="preserve">mṛ</w:t>
      </w:r>
      <w:r>
        <w:t xml:space="preserve"> </w:t>
      </w:r>
      <w:r>
        <w:t xml:space="preserve">+</w:t>
      </w:r>
      <w:r>
        <w:t xml:space="preserve"> </w:t>
      </w:r>
      <w:r>
        <w:rPr>
          <w:iCs/>
          <w:i/>
        </w:rPr>
        <w:t xml:space="preserve">uti</w:t>
      </w:r>
      <w:r>
        <w:t xml:space="preserve">,</w:t>
      </w:r>
      <w:r>
        <w:t xml:space="preserve"> </w:t>
      </w:r>
      <w:r>
        <w:rPr>
          <w:iCs/>
          <w:i/>
        </w:rPr>
        <w:t xml:space="preserve">guṇa</w:t>
      </w:r>
      <w:r>
        <w:t xml:space="preserve"> </w:t>
      </w:r>
      <w:r>
        <w:t xml:space="preserve">and</w:t>
      </w:r>
      <w:r>
        <w:t xml:space="preserve"> </w:t>
      </w:r>
      <w:r>
        <w:rPr>
          <w:iCs/>
          <w:i/>
        </w:rPr>
        <w:t xml:space="preserve">raparatva</w:t>
      </w:r>
      <w:r>
        <w:t xml:space="preserve">; the</w:t>
      </w:r>
      <w:r>
        <w:t xml:space="preserve"> </w:t>
      </w:r>
      <w:r>
        <w:rPr>
          <w:iCs/>
          <w:i/>
        </w:rPr>
        <w:t xml:space="preserve">u</w:t>
      </w:r>
      <w:r>
        <w:t xml:space="preserve"> </w:t>
      </w:r>
      <w:r>
        <w:t xml:space="preserve">is udātta by the suffix accent and the</w:t>
      </w:r>
      <w:r>
        <w:t xml:space="preserve"> </w:t>
      </w:r>
      <w:r>
        <w:rPr>
          <w:iCs/>
          <w:i/>
        </w:rPr>
        <w:t xml:space="preserve">a</w:t>
      </w:r>
      <w:r>
        <w:t xml:space="preserve"> </w:t>
      </w:r>
      <w:r>
        <w:t xml:space="preserve">unaccented by the</w:t>
      </w:r>
      <w:r>
        <w:t xml:space="preserve"> </w:t>
      </w:r>
      <w:r>
        <w:rPr>
          <w:iCs/>
          <w:i/>
        </w:rPr>
        <w:t xml:space="preserve">śeṣanighāta</w:t>
      </w:r>
      <w:r>
        <w:t xml:space="preserve">, so</w:t>
      </w:r>
      <w:r>
        <w:t xml:space="preserve"> </w:t>
      </w:r>
      <w:r>
        <w:rPr>
          <w:iCs/>
          <w:i/>
        </w:rPr>
        <w:t xml:space="preserve">marut</w:t>
      </w:r>
      <w:r>
        <w:t xml:space="preserve"> </w:t>
      </w:r>
      <w:r>
        <w:t xml:space="preserve">begins with an unaccented syllable.</w:t>
      </w:r>
      <w:r>
        <w:t xml:space="preserve"> </w:t>
      </w:r>
      <w:r>
        <w:rPr>
          <w:iCs/>
          <w:i/>
        </w:rPr>
        <w:t xml:space="preserve">Marutāṃ vikāraḥ</w:t>
      </w:r>
      <w:r>
        <w:t xml:space="preserve">: by</w:t>
      </w:r>
      <w:r>
        <w:t xml:space="preserve"> </w:t>
      </w:r>
      <w:r>
        <w:t xml:space="preserve">“</w:t>
      </w:r>
      <w:r>
        <w:t xml:space="preserve">anudāttādeś ca</w:t>
      </w:r>
      <w:r>
        <w:t xml:space="preserve">”</w:t>
      </w:r>
      <w:r>
        <w:t xml:space="preserve"> </w:t>
      </w:r>
      <w:r>
        <w:t xml:space="preserve">(Pā. sū. 4-1-84 [as printed, for 4-3-140]), after the genitive of a word beginning with an unaccented syllable, in the senses of product and part,</w:t>
      </w:r>
    </w:p>
    <w:bookmarkEnd w:id="633"/>
    <w:bookmarkStart w:id="634" w:name="page-596-rik-3-grammar-end"/>
    <w:p>
      <w:pPr>
        <w:pStyle w:val="Heading3"/>
      </w:pPr>
      <w:r>
        <w:t xml:space="preserve">Page 596 — Rik 3: grammar (end)</w:t>
      </w:r>
    </w:p>
    <w:p>
      <w:pPr>
        <w:pStyle w:val="FirstParagraph"/>
      </w:pPr>
      <w:r>
        <w:t xml:space="preserve">the suffix</w:t>
      </w:r>
      <w:r>
        <w:t xml:space="preserve"> </w:t>
      </w:r>
      <w:r>
        <w:rPr>
          <w:iCs/>
          <w:i/>
        </w:rPr>
        <w:t xml:space="preserve">añ</w:t>
      </w:r>
      <w:r>
        <w:t xml:space="preserve">:</w:t>
      </w:r>
      <w:r>
        <w:t xml:space="preserve"> </w:t>
      </w:r>
      <w:r>
        <w:rPr>
          <w:iCs/>
          <w:i/>
        </w:rPr>
        <w:t xml:space="preserve">marut</w:t>
      </w:r>
      <w:r>
        <w:t xml:space="preserve"> </w:t>
      </w:r>
      <w:r>
        <w:t xml:space="preserve">+</w:t>
      </w:r>
      <w:r>
        <w:t xml:space="preserve"> </w:t>
      </w:r>
      <w:r>
        <w:rPr>
          <w:iCs/>
          <w:i/>
        </w:rPr>
        <w:t xml:space="preserve">a</w:t>
      </w:r>
      <w:r>
        <w:t xml:space="preserve">, initial</w:t>
      </w:r>
      <w:r>
        <w:t xml:space="preserve"> </w:t>
      </w:r>
      <w:r>
        <w:rPr>
          <w:iCs/>
          <w:i/>
        </w:rPr>
        <w:t xml:space="preserve">vṛddhi</w:t>
      </w:r>
      <w:r>
        <w:t xml:space="preserve">:</w:t>
      </w:r>
      <w:r>
        <w:t xml:space="preserve"> </w:t>
      </w:r>
      <w:r>
        <w:rPr>
          <w:iCs/>
          <w:i/>
        </w:rPr>
        <w:t xml:space="preserve">māruta</w:t>
      </w:r>
      <w:r>
        <w:t xml:space="preserve">. The suffix is</w:t>
      </w:r>
      <w:r>
        <w:t xml:space="preserve"> </w:t>
      </w:r>
      <w:r>
        <w:rPr>
          <w:iCs/>
          <w:i/>
        </w:rPr>
        <w:t xml:space="preserve">ñit</w:t>
      </w:r>
      <w:r>
        <w:t xml:space="preserve">, so by</w:t>
      </w:r>
      <w:r>
        <w:t xml:space="preserve"> </w:t>
      </w:r>
      <w:r>
        <w:t xml:space="preserve">“</w:t>
      </w:r>
      <w:r>
        <w:t xml:space="preserve">ñnityādir nityam</w:t>
      </w:r>
      <w:r>
        <w:t xml:space="preserve">”</w:t>
      </w:r>
      <w:r>
        <w:t xml:space="preserve"> </w:t>
      </w:r>
      <w:r>
        <w:t xml:space="preserve">(Pā. sū. 6-1-197)</w:t>
      </w:r>
      <w:r>
        <w:t xml:space="preserve"> </w:t>
      </w:r>
      <w:r>
        <w:rPr>
          <w:iCs/>
          <w:i/>
        </w:rPr>
        <w:t xml:space="preserve">māruta</w:t>
      </w:r>
      <w:r>
        <w:t xml:space="preserve"> </w:t>
      </w:r>
      <w:r>
        <w:t xml:space="preserve">is initial udātta.</w:t>
      </w:r>
    </w:p>
    <w:p>
      <w:pPr>
        <w:pStyle w:val="BodyText"/>
      </w:pPr>
      <w:r>
        <w:rPr>
          <w:bCs/>
          <w:b/>
        </w:rPr>
        <w:t xml:space="preserve">॥३॥</w:t>
      </w:r>
    </w:p>
    <w:p>
      <w:r>
        <w:pict>
          <v:rect style="width:0;height:1.5pt" o:hralign="center" o:hrstd="t" o:hr="t"/>
        </w:pict>
      </w:r>
    </w:p>
    <w:bookmarkEnd w:id="634"/>
    <w:bookmarkStart w:id="635" w:name="page-596-lower-sūkta-14-rik-4"/>
    <w:p>
      <w:pPr>
        <w:pStyle w:val="Heading3"/>
      </w:pPr>
      <w:r>
        <w:t xml:space="preserve">Page 596 (lower) — Sūkta 14, Rik 4</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प्र वो॑ भ्रियन्त॒ इन्द॑वो मत्स॒रा मा॑दयि॒ष्णवः॑ ।</w:t>
      </w:r>
      <w:r>
        <w:t xml:space="preserve"> </w:t>
      </w:r>
      <w:r>
        <w:t xml:space="preserve">द्र॒प्सा मध्व॑श्चमू॒षदः॑ ॥४॥</w:t>
      </w:r>
    </w:p>
    <w:p>
      <w:pPr>
        <w:pStyle w:val="BlockText"/>
      </w:pPr>
      <w:r>
        <w:rPr>
          <w:iCs/>
          <w:i/>
        </w:rPr>
        <w:t xml:space="preserve">prá vo bhriyanta índavo matsarā́ mādayiṣṇávaḥ |</w:t>
      </w:r>
      <w:r>
        <w:t xml:space="preserve"> </w:t>
      </w:r>
      <w:r>
        <w:rPr>
          <w:iCs/>
          <w:i/>
        </w:rPr>
        <w:t xml:space="preserve">drapsā́ mádhvaś camūṣádaḥ ||4||</w:t>
      </w:r>
    </w:p>
    <w:p>
      <w:pPr>
        <w:pStyle w:val="FirstParagraph"/>
      </w:pPr>
      <w:r>
        <w:rPr>
          <w:bCs/>
          <w:b/>
        </w:rPr>
        <w:t xml:space="preserve">॥ Pada-pāṭhaḥ ॥</w:t>
      </w:r>
    </w:p>
    <w:p>
      <w:pPr>
        <w:pStyle w:val="BlockText"/>
      </w:pPr>
      <w:r>
        <w:t xml:space="preserve">प्र । वः । भ्रियन्ते । इन्दवः । मत्सराः । मादयिष्णवः ॥</w:t>
      </w:r>
      <w:r>
        <w:t xml:space="preserve"> </w:t>
      </w:r>
      <w:r>
        <w:t xml:space="preserve">द्रप्साः । मध्वः । चमूऽसदः ॥४॥</w:t>
      </w:r>
    </w:p>
    <w:p>
      <w:pPr>
        <w:pStyle w:val="BlockText"/>
      </w:pPr>
      <w:r>
        <w:rPr>
          <w:iCs/>
          <w:i/>
        </w:rPr>
        <w:t xml:space="preserve">pra | vaḥ | bhriyante | indavaḥ | matsarāḥ | mādayiṣṇavaḥ ||</w:t>
      </w:r>
      <w:r>
        <w:t xml:space="preserve"> </w:t>
      </w:r>
      <w:r>
        <w:rPr>
          <w:iCs/>
          <w:i/>
        </w:rPr>
        <w:t xml:space="preserve">drapsāḥ | madhvaḥ | camū ’sadaḥ ||4||</w:t>
      </w:r>
    </w:p>
    <w:p>
      <w:pPr>
        <w:pStyle w:val="FirstParagraph"/>
      </w:pPr>
      <w:r>
        <w:rPr>
          <w:bCs/>
          <w:b/>
        </w:rPr>
        <w:t xml:space="preserve">॥ Sāyaṇa-bhāṣyam ॥</w:t>
      </w:r>
    </w:p>
    <w:p>
      <w:pPr>
        <w:pStyle w:val="BlockText"/>
      </w:pPr>
      <w:r>
        <w:t xml:space="preserve">हे इन्द्रादिदेवा वो युष्मदर्थमिन्दवः सोमाः प्र भ्रियन्ते । प्रकर्षेण सम्पाद्यन्ते । कीदृशाः । मत्सरास्तृप्तिकराः । मत्सरः सोमो मन्दतेस्तृप्तिकर्मणः । नि. २-५ । इति यास्कः । मादयिष्णवो हर्षहेतवो द्रप्सा बिन्दुरूपा मध्वो मधुराश्चमूषदश्चमूषु चमसादिपात्रेष्ववस्थिताः ॥ प्र । व्यवहिताश्च । पा. १-४-८२ । इति व्यवहितप्रयोगः । भ्रियन्ते । भृञो यकि रिङ् शयग्लिङ्क्षु । पा. ७-४-२८ । इति रिङादेशः । हृञो वा । हृग्रहोर्भश्छन्दसीति हकारस्य भकारः । इन्दवः । उन्दी क्लेदने । उन्दन्ति पात्राणीति । नित्यनुवृत्तावुन्देरिच्चादेः । उ. १-१२ । इत्युप्रत्यय आदेरिकारश्च । नित्त्वादाद्युदात्तः । मत्सराः । मद तृप्तियोगे । चिदित्यनुवृत्तौ कृधूमदिभ्यः कित् । उ. ३-७३ । इति सरप्रत्ययः । तितुत्रतथसिसुसरकसेषु चेतीट्प्रतिषेधः । चित्त्वादन्तोदात्तः । मादयिष्णवः । मदी हर्षग्लपनयोः । मदेर्ण्यन्ताच्छन्दसि । पा. ३-२-१३८ । इतीष्णुच् । णेरनिटीति णिलोपे प्राप्तेऽयामन्ताल्वाय्येत्न्विष्णुषु । पा. ६-४-५५ । इत्ययादेशः । चित्त्वादन्तोदात्तः । मध्वः । मधुशब्द आद्युदात्त उक्तः । मधुशब्दस्य व्यत्ययेन पुंलिङ्गत्वं । संज्ञापूर्वको विधिरनि-</w:t>
      </w:r>
    </w:p>
    <w:p>
      <w:pPr>
        <w:pStyle w:val="BlockText"/>
      </w:pPr>
      <w:r>
        <w:rPr>
          <w:iCs/>
          <w:i/>
        </w:rPr>
        <w:t xml:space="preserve">he indrādidevā vo yuṣmadarthamindavaḥ somāḥ pra bhriyante | prakarṣeṇa sampādyante | kīdṛśāḥ | matsarāstṛptikarāḥ | matsaraḥ somo mandatestṛptikarmaṇaḥ | ni. 2-5 | iti yāskaḥ | mādayiṣṇavo harṣahetavo drapsā bindurūpā madhvo madhurāścamūṣadaścamūṣu camasādipātreṣvavasthitāḥ || pra | vyavahitāśca | pā. 1-4-82 | iti vyavahitaprayogaḥ | bhriyante | bhṛño yaki riṅ śayagliṅkṣu | pā. 7-4-28 | iti riṅādeśaḥ | hṛño vā | hṛgrahorbhaśchandasīti hakārasya bhakāraḥ | indavaḥ | undī kledane | undanti pātrāṇīti | nityanuvṛttāvundericcādeḥ | u. 1-12 | ityupratyaya āderikāraśca | nittvādādyudāttaḥ | matsarāḥ | mada tṛptiyoge | cidityanuvṛttau kṛdhūmadibhyaḥ kit | u. 3-73 | iti sarapratyayaḥ | titutratathasisusarakaseṣu cetīṭpratiṣedhaḥ | cittvādantodāttaḥ | mādayiṣṇavaḥ | madī harṣaglapanayoḥ | maderṇyantācchandasi | pā. 3-2-138 | itīṣṇuc | ṇeraniṭīti ṇilope prāpte ’yāmantālvāyyetnviṣṇuṣu | pā. 6-4-55 | ityayādeśaḥ | cittvādantodāttaḥ | madhvaḥ | madhuśabda ādyudātta uktaḥ | madhuśabdasya vyatyayena puṃliṅgatvaṃ | saṃjñāpūrvako vidhirani-</w:t>
      </w:r>
    </w:p>
    <w:bookmarkEnd w:id="635"/>
    <w:bookmarkStart w:id="636" w:name="X4b7474fb9cc4b40e45c199336d1f42bd5e0f594"/>
    <w:p>
      <w:pPr>
        <w:pStyle w:val="Heading3"/>
      </w:pPr>
      <w:r>
        <w:t xml:space="preserve">Page 597 — Rik 4: bhāṣya (end), word-meanings, overall sense, English, Special Topics</w:t>
      </w:r>
    </w:p>
    <w:p>
      <w:pPr>
        <w:pStyle w:val="BlockText"/>
      </w:pPr>
      <w:r>
        <w:t xml:space="preserve">-त्य इति जसि च । पा. ७-३-१०९ । इति गुणो न भवति । चमूषदः । चमु छमु जमु झमु अदने । चम्यते भक्ष्यते येषु चमसेषु ते चम्वः । कृषिचमीत्यादिना । उ. १-८२ । ऊः । तत्र सीदन्तीति चमूषदः । सत्सूद्विषेत्यादिना । पा. ३-२-६१ । क्विप् । सुषामादेराकृतिगणत्वात्षत्वं । कृदुत्तरपदप्रकृतिस्वरत्वं ॥</w:t>
      </w:r>
    </w:p>
    <w:p>
      <w:pPr>
        <w:pStyle w:val="BlockText"/>
      </w:pPr>
      <w:r>
        <w:rPr>
          <w:iCs/>
          <w:i/>
        </w:rPr>
        <w:t xml:space="preserve">-tya iti jasi ca | pā. 7-3-109 | iti guṇo na bhavati | camūṣadaḥ | camu chamu jamu jhamu adane | camyate bhakṣyate yeṣu camaseṣu te camvaḥ | kṛṣicamītyādinā | u. 1-82 | ūḥ | tatra sīdantīti camūṣadaḥ | satsūdviṣetyādinā | pā. 3-2-61 | kvip | suṣāmāderākṛtigaṇatvātṣatvaṃ | kṛduttarapadaprakṛtisvaratvaṃ ||</w:t>
      </w:r>
    </w:p>
    <w:p>
      <w:pPr>
        <w:pStyle w:val="FirstParagraph"/>
      </w:pPr>
      <w:r>
        <w:rPr>
          <w:bCs/>
          <w:b/>
        </w:rPr>
        <w:t xml:space="preserve">Translation:</w:t>
      </w:r>
      <w:r>
        <w:t xml:space="preserve"> </w:t>
      </w:r>
      <w:r>
        <w:t xml:space="preserve">“</w:t>
      </w:r>
      <w:r>
        <w:t xml:space="preserve">O Indra and the other gods, for you the</w:t>
      </w:r>
      <w:r>
        <w:t xml:space="preserve"> </w:t>
      </w:r>
      <w:r>
        <w:rPr>
          <w:iCs/>
          <w:i/>
        </w:rPr>
        <w:t xml:space="preserve">indavaḥ</w:t>
      </w:r>
      <w:r>
        <w:t xml:space="preserve">, the soma juices,</w:t>
      </w:r>
      <w:r>
        <w:t xml:space="preserve"> </w:t>
      </w:r>
      <w:r>
        <w:rPr>
          <w:iCs/>
          <w:i/>
        </w:rPr>
        <w:t xml:space="preserve">pra bhriyante</w:t>
      </w:r>
      <w:r>
        <w:t xml:space="preserve">, are well prepared. Of what kind?</w:t>
      </w:r>
      <w:r>
        <w:t xml:space="preserve"> </w:t>
      </w:r>
      <w:r>
        <w:rPr>
          <w:iCs/>
          <w:i/>
        </w:rPr>
        <w:t xml:space="preserve">Matsarāḥ</w:t>
      </w:r>
      <w:r>
        <w:t xml:space="preserve">, causing satisfaction (</w:t>
      </w:r>
      <w:r>
        <w:t xml:space="preserve">‘</w:t>
      </w:r>
      <w:r>
        <w:rPr>
          <w:iCs/>
          <w:i/>
        </w:rPr>
        <w:t xml:space="preserve">matsara</w:t>
      </w:r>
      <w:r>
        <w:t xml:space="preserve"> </w:t>
      </w:r>
      <w:r>
        <w:t xml:space="preserve">is soma, from</w:t>
      </w:r>
      <w:r>
        <w:t xml:space="preserve"> </w:t>
      </w:r>
      <w:r>
        <w:rPr>
          <w:iCs/>
          <w:i/>
        </w:rPr>
        <w:t xml:space="preserve">mand</w:t>
      </w:r>
      <w:r>
        <w:t xml:space="preserve">, a root of satisfaction</w:t>
      </w:r>
      <w:r>
        <w:t xml:space="preserve">’</w:t>
      </w:r>
      <w:r>
        <w:t xml:space="preserve">, Yāska, Ni. 2-5);</w:t>
      </w:r>
      <w:r>
        <w:t xml:space="preserve"> </w:t>
      </w:r>
      <w:r>
        <w:rPr>
          <w:iCs/>
          <w:i/>
        </w:rPr>
        <w:t xml:space="preserve">mādayiṣṇavaḥ</w:t>
      </w:r>
      <w:r>
        <w:t xml:space="preserve">, causes of delight;</w:t>
      </w:r>
      <w:r>
        <w:t xml:space="preserve"> </w:t>
      </w:r>
      <w:r>
        <w:rPr>
          <w:iCs/>
          <w:i/>
        </w:rPr>
        <w:t xml:space="preserve">drapsāḥ</w:t>
      </w:r>
      <w:r>
        <w:t xml:space="preserve">, in the form of drops;</w:t>
      </w:r>
      <w:r>
        <w:t xml:space="preserve"> </w:t>
      </w:r>
      <w:r>
        <w:rPr>
          <w:iCs/>
          <w:i/>
        </w:rPr>
        <w:t xml:space="preserve">madhvaḥ</w:t>
      </w:r>
      <w:r>
        <w:t xml:space="preserve">, sweet;</w:t>
      </w:r>
      <w:r>
        <w:t xml:space="preserve"> </w:t>
      </w:r>
      <w:r>
        <w:rPr>
          <w:iCs/>
          <w:i/>
        </w:rPr>
        <w:t xml:space="preserve">camūṣadaḥ</w:t>
      </w:r>
      <w:r>
        <w:t xml:space="preserve">, resting in the</w:t>
      </w:r>
      <w:r>
        <w:t xml:space="preserve"> </w:t>
      </w:r>
      <w:r>
        <w:rPr>
          <w:iCs/>
          <w:i/>
        </w:rPr>
        <w:t xml:space="preserve">camūs</w:t>
      </w:r>
      <w:r>
        <w:t xml:space="preserve">, the vessels such as the</w:t>
      </w:r>
      <w:r>
        <w:t xml:space="preserve"> </w:t>
      </w:r>
      <w:r>
        <w:rPr>
          <w:iCs/>
          <w:i/>
        </w:rPr>
        <w:t xml:space="preserve">camasa</w:t>
      </w:r>
      <w:r>
        <w:t xml:space="preserve">.</w:t>
      </w:r>
      <w:r>
        <w:t xml:space="preserve">”</w:t>
      </w:r>
      <w:r>
        <w:t xml:space="preserve"> </w:t>
      </w:r>
      <w:r>
        <w:t xml:space="preserve">(Grammatical tail:</w:t>
      </w:r>
      <w:r>
        <w:t xml:space="preserve"> </w:t>
      </w:r>
      <w:r>
        <w:rPr>
          <w:iCs/>
          <w:i/>
        </w:rPr>
        <w:t xml:space="preserve">pra</w:t>
      </w:r>
      <w:r>
        <w:t xml:space="preserve"> </w:t>
      </w:r>
      <w:r>
        <w:t xml:space="preserve">separated from its verb by Pā. 1-4-82;</w:t>
      </w:r>
      <w:r>
        <w:t xml:space="preserve"> </w:t>
      </w:r>
      <w:r>
        <w:rPr>
          <w:iCs/>
          <w:i/>
        </w:rPr>
        <w:t xml:space="preserve">bhriyante</w:t>
      </w:r>
      <w:r>
        <w:t xml:space="preserve">,</w:t>
      </w:r>
      <w:r>
        <w:t xml:space="preserve"> </w:t>
      </w:r>
      <w:r>
        <w:rPr>
          <w:iCs/>
          <w:i/>
        </w:rPr>
        <w:t xml:space="preserve">riṅ</w:t>
      </w:r>
      <w:r>
        <w:t xml:space="preserve"> </w:t>
      </w:r>
      <w:r>
        <w:t xml:space="preserve">by Pā. 7-4-28, or from</w:t>
      </w:r>
      <w:r>
        <w:t xml:space="preserve"> </w:t>
      </w:r>
      <w:r>
        <w:rPr>
          <w:iCs/>
          <w:i/>
        </w:rPr>
        <w:t xml:space="preserve">hṛ</w:t>
      </w:r>
      <w:r>
        <w:t xml:space="preserve"> </w:t>
      </w:r>
      <w:r>
        <w:t xml:space="preserve">with</w:t>
      </w:r>
      <w:r>
        <w:t xml:space="preserve"> </w:t>
      </w:r>
      <w:r>
        <w:rPr>
          <w:iCs/>
          <w:i/>
        </w:rPr>
        <w:t xml:space="preserve">bh</w:t>
      </w:r>
      <w:r>
        <w:t xml:space="preserve"> </w:t>
      </w:r>
      <w:r>
        <w:t xml:space="preserve">for</w:t>
      </w:r>
      <w:r>
        <w:t xml:space="preserve"> </w:t>
      </w:r>
      <w:r>
        <w:rPr>
          <w:iCs/>
          <w:i/>
        </w:rPr>
        <w:t xml:space="preserve">h</w:t>
      </w:r>
      <w:r>
        <w:t xml:space="preserve"> </w:t>
      </w:r>
      <w:r>
        <w:t xml:space="preserve">in the Veda;</w:t>
      </w:r>
      <w:r>
        <w:t xml:space="preserve"> </w:t>
      </w:r>
      <w:r>
        <w:rPr>
          <w:iCs/>
          <w:i/>
        </w:rPr>
        <w:t xml:space="preserve">indavaḥ</w:t>
      </w:r>
      <w:r>
        <w:t xml:space="preserve"> </w:t>
      </w:r>
      <w:r>
        <w:t xml:space="preserve">from</w:t>
      </w:r>
      <w:r>
        <w:t xml:space="preserve"> </w:t>
      </w:r>
      <w:r>
        <w:rPr>
          <w:iCs/>
          <w:i/>
        </w:rPr>
        <w:t xml:space="preserve">und</w:t>
      </w:r>
      <w:r>
        <w:t xml:space="preserve"> </w:t>
      </w:r>
      <w:r>
        <w:t xml:space="preserve">with</w:t>
      </w:r>
      <w:r>
        <w:t xml:space="preserve"> </w:t>
      </w:r>
      <w:r>
        <w:rPr>
          <w:iCs/>
          <w:i/>
        </w:rPr>
        <w:t xml:space="preserve">u</w:t>
      </w:r>
      <w:r>
        <w:t xml:space="preserve"> </w:t>
      </w:r>
      <w:r>
        <w:t xml:space="preserve">and</w:t>
      </w:r>
      <w:r>
        <w:t xml:space="preserve"> </w:t>
      </w:r>
      <w:r>
        <w:rPr>
          <w:iCs/>
          <w:i/>
        </w:rPr>
        <w:t xml:space="preserve">i</w:t>
      </w:r>
      <w:r>
        <w:t xml:space="preserve"> </w:t>
      </w:r>
      <w:r>
        <w:t xml:space="preserve">for the initial (Uṇ. 1-12), initial udātta;</w:t>
      </w:r>
      <w:r>
        <w:t xml:space="preserve"> </w:t>
      </w:r>
      <w:r>
        <w:rPr>
          <w:iCs/>
          <w:i/>
        </w:rPr>
        <w:t xml:space="preserve">matsarāḥ</w:t>
      </w:r>
      <w:r>
        <w:t xml:space="preserve"> </w:t>
      </w:r>
      <w:r>
        <w:t xml:space="preserve">from</w:t>
      </w:r>
      <w:r>
        <w:t xml:space="preserve"> </w:t>
      </w:r>
      <w:r>
        <w:rPr>
          <w:iCs/>
          <w:i/>
        </w:rPr>
        <w:t xml:space="preserve">mad</w:t>
      </w:r>
      <w:r>
        <w:t xml:space="preserve"> </w:t>
      </w:r>
      <w:r>
        <w:t xml:space="preserve">with</w:t>
      </w:r>
      <w:r>
        <w:t xml:space="preserve"> </w:t>
      </w:r>
      <w:r>
        <w:rPr>
          <w:iCs/>
          <w:i/>
        </w:rPr>
        <w:t xml:space="preserve">sara</w:t>
      </w:r>
      <w:r>
        <w:t xml:space="preserve"> </w:t>
      </w:r>
      <w:r>
        <w:t xml:space="preserve">(Uṇ. 3-73), no</w:t>
      </w:r>
      <w:r>
        <w:t xml:space="preserve"> </w:t>
      </w:r>
      <w:r>
        <w:rPr>
          <w:iCs/>
          <w:i/>
        </w:rPr>
        <w:t xml:space="preserve">iṭ</w:t>
      </w:r>
      <w:r>
        <w:t xml:space="preserve">, final udātta (</w:t>
      </w:r>
      <w:r>
        <w:rPr>
          <w:iCs/>
          <w:i/>
        </w:rPr>
        <w:t xml:space="preserve">cit</w:t>
      </w:r>
      <w:r>
        <w:t xml:space="preserve">);</w:t>
      </w:r>
      <w:r>
        <w:t xml:space="preserve"> </w:t>
      </w:r>
      <w:r>
        <w:rPr>
          <w:iCs/>
          <w:i/>
        </w:rPr>
        <w:t xml:space="preserve">mādayiṣṇavaḥ</w:t>
      </w:r>
      <w:r>
        <w:t xml:space="preserve"> </w:t>
      </w:r>
      <w:r>
        <w:t xml:space="preserve">with</w:t>
      </w:r>
      <w:r>
        <w:t xml:space="preserve"> </w:t>
      </w:r>
      <w:r>
        <w:rPr>
          <w:iCs/>
          <w:i/>
        </w:rPr>
        <w:t xml:space="preserve">iṣṇuc</w:t>
      </w:r>
      <w:r>
        <w:t xml:space="preserve"> </w:t>
      </w:r>
      <w:r>
        <w:t xml:space="preserve">(Pā. 3-2-138),</w:t>
      </w:r>
      <w:r>
        <w:t xml:space="preserve"> </w:t>
      </w:r>
      <w:r>
        <w:rPr>
          <w:iCs/>
          <w:i/>
        </w:rPr>
        <w:t xml:space="preserve">ay</w:t>
      </w:r>
      <w:r>
        <w:t xml:space="preserve"> </w:t>
      </w:r>
      <w:r>
        <w:t xml:space="preserve">for the</w:t>
      </w:r>
      <w:r>
        <w:t xml:space="preserve"> </w:t>
      </w:r>
      <w:r>
        <w:rPr>
          <w:iCs/>
          <w:i/>
        </w:rPr>
        <w:t xml:space="preserve">ṇi</w:t>
      </w:r>
      <w:r>
        <w:t xml:space="preserve"> </w:t>
      </w:r>
      <w:r>
        <w:t xml:space="preserve">(Pā. 6-4-55), final udātta;</w:t>
      </w:r>
      <w:r>
        <w:t xml:space="preserve"> </w:t>
      </w:r>
      <w:r>
        <w:rPr>
          <w:iCs/>
          <w:i/>
        </w:rPr>
        <w:t xml:space="preserve">madhvaḥ</w:t>
      </w:r>
      <w:r>
        <w:t xml:space="preserve">,</w:t>
      </w:r>
      <w:r>
        <w:t xml:space="preserve"> </w:t>
      </w:r>
      <w:r>
        <w:rPr>
          <w:iCs/>
          <w:i/>
        </w:rPr>
        <w:t xml:space="preserve">madhu</w:t>
      </w:r>
      <w:r>
        <w:t xml:space="preserve"> </w:t>
      </w:r>
      <w:r>
        <w:t xml:space="preserve">masculine by</w:t>
      </w:r>
      <w:r>
        <w:t xml:space="preserve"> </w:t>
      </w:r>
      <w:r>
        <w:rPr>
          <w:iCs/>
          <w:i/>
        </w:rPr>
        <w:t xml:space="preserve">vyatyaya</w:t>
      </w:r>
      <w:r>
        <w:t xml:space="preserve">, no</w:t>
      </w:r>
      <w:r>
        <w:t xml:space="preserve"> </w:t>
      </w:r>
      <w:r>
        <w:rPr>
          <w:iCs/>
          <w:i/>
        </w:rPr>
        <w:t xml:space="preserve">guṇa</w:t>
      </w:r>
      <w:r>
        <w:t xml:space="preserve"> </w:t>
      </w:r>
      <w:r>
        <w:t xml:space="preserve">before</w:t>
      </w:r>
      <w:r>
        <w:t xml:space="preserve"> </w:t>
      </w:r>
      <w:r>
        <w:rPr>
          <w:iCs/>
          <w:i/>
        </w:rPr>
        <w:t xml:space="preserve">jas</w:t>
      </w:r>
      <w:r>
        <w:t xml:space="preserve"> </w:t>
      </w:r>
      <w:r>
        <w:t xml:space="preserve">(Pā. 7-3-109) by the paribhāṣā</w:t>
      </w:r>
      <w:r>
        <w:t xml:space="preserve"> </w:t>
      </w:r>
      <w:r>
        <w:rPr>
          <w:iCs/>
          <w:i/>
        </w:rPr>
        <w:t xml:space="preserve">saṃjñāpūrvako vidhir anityaḥ</w:t>
      </w:r>
      <w:r>
        <w:t xml:space="preserve">;</w:t>
      </w:r>
      <w:r>
        <w:t xml:space="preserve"> </w:t>
      </w:r>
      <w:r>
        <w:rPr>
          <w:iCs/>
          <w:i/>
        </w:rPr>
        <w:t xml:space="preserve">camūṣadaḥ</w:t>
      </w:r>
      <w:r>
        <w:t xml:space="preserve">,</w:t>
      </w:r>
      <w:r>
        <w:t xml:space="preserve"> </w:t>
      </w:r>
      <w:r>
        <w:rPr>
          <w:iCs/>
          <w:i/>
        </w:rPr>
        <w:t xml:space="preserve">camū</w:t>
      </w:r>
      <w:r>
        <w:t xml:space="preserve"> </w:t>
      </w:r>
      <w:r>
        <w:t xml:space="preserve">(Uṇ. 1-82) +</w:t>
      </w:r>
      <w:r>
        <w:t xml:space="preserve"> </w:t>
      </w:r>
      <w:r>
        <w:rPr>
          <w:iCs/>
          <w:i/>
        </w:rPr>
        <w:t xml:space="preserve">sad</w:t>
      </w:r>
      <w:r>
        <w:t xml:space="preserve"> </w:t>
      </w:r>
      <w:r>
        <w:t xml:space="preserve">with</w:t>
      </w:r>
      <w:r>
        <w:t xml:space="preserve"> </w:t>
      </w:r>
      <w:r>
        <w:rPr>
          <w:iCs/>
          <w:i/>
        </w:rPr>
        <w:t xml:space="preserve">kvip</w:t>
      </w:r>
      <w:r>
        <w:t xml:space="preserve"> </w:t>
      </w:r>
      <w:r>
        <w:t xml:space="preserve">(Pā. 3-2-61),</w:t>
      </w:r>
      <w:r>
        <w:t xml:space="preserve"> </w:t>
      </w:r>
      <w:r>
        <w:rPr>
          <w:iCs/>
          <w:i/>
        </w:rPr>
        <w:t xml:space="preserve">ṣ</w:t>
      </w:r>
      <w:r>
        <w:t xml:space="preserve"> </w:t>
      </w:r>
      <w:r>
        <w:t xml:space="preserve">by the</w:t>
      </w:r>
      <w:r>
        <w:t xml:space="preserve"> </w:t>
      </w:r>
      <w:r>
        <w:rPr>
          <w:iCs/>
          <w:i/>
        </w:rPr>
        <w:t xml:space="preserve">suṣāmādi</w:t>
      </w:r>
      <w:r>
        <w:t xml:space="preserve"> </w:t>
      </w:r>
      <w:r>
        <w:t xml:space="preserve">class, the accent of the</w:t>
      </w:r>
      <w:r>
        <w:t xml:space="preserve"> </w:t>
      </w:r>
      <w:r>
        <w:rPr>
          <w:iCs/>
          <w:i/>
        </w:rPr>
        <w:t xml:space="preserve">kṛt</w:t>
      </w:r>
      <w:r>
        <w:t xml:space="preserve"> </w:t>
      </w:r>
      <w:r>
        <w:t xml:space="preserve">second member.)</w:t>
      </w:r>
    </w:p>
    <w:p>
      <w:pPr>
        <w:pStyle w:val="BodyText"/>
      </w:pPr>
      <w:r>
        <w:rPr>
          <w:bCs/>
          <w:b/>
        </w:rPr>
        <w:t xml:space="preserve">॥ Prati-padārthaḥ ॥</w:t>
      </w:r>
    </w:p>
    <w:p>
      <w:pPr>
        <w:pStyle w:val="BodyText"/>
      </w:pPr>
      <w:r>
        <w:rPr>
          <w:iCs/>
          <w:i/>
        </w:rPr>
        <w:t xml:space="preserve">(O Indra and the other deities)</w:t>
      </w:r>
      <w:r>
        <w:t xml:space="preserve"> </w:t>
      </w:r>
      <w:r>
        <w:rPr>
          <w:bCs/>
          <w:b/>
        </w:rPr>
        <w:t xml:space="preserve">वः (vaḥ)</w:t>
      </w:r>
      <w:r>
        <w:t xml:space="preserve"> </w:t>
      </w:r>
      <w:r>
        <w:t xml:space="preserve">— for you |</w:t>
      </w:r>
      <w:r>
        <w:t xml:space="preserve"> </w:t>
      </w:r>
      <w:r>
        <w:rPr>
          <w:bCs/>
          <w:b/>
        </w:rPr>
        <w:t xml:space="preserve">मत्सराः (matsarāḥ)</w:t>
      </w:r>
      <w:r>
        <w:t xml:space="preserve"> </w:t>
      </w:r>
      <w:r>
        <w:t xml:space="preserve">— giving satisfaction |</w:t>
      </w:r>
      <w:r>
        <w:t xml:space="preserve"> </w:t>
      </w:r>
      <w:r>
        <w:rPr>
          <w:bCs/>
          <w:b/>
        </w:rPr>
        <w:t xml:space="preserve">मादयिष्णवः (mādayiṣṇavaḥ)</w:t>
      </w:r>
      <w:r>
        <w:t xml:space="preserve"> </w:t>
      </w:r>
      <w:r>
        <w:t xml:space="preserve">— giving delight |</w:t>
      </w:r>
      <w:r>
        <w:t xml:space="preserve"> </w:t>
      </w:r>
      <w:r>
        <w:rPr>
          <w:bCs/>
          <w:b/>
        </w:rPr>
        <w:t xml:space="preserve">द्रप्साः (drapsāḥ)</w:t>
      </w:r>
      <w:r>
        <w:t xml:space="preserve"> </w:t>
      </w:r>
      <w:r>
        <w:t xml:space="preserve">— in the form of drops |</w:t>
      </w:r>
      <w:r>
        <w:t xml:space="preserve"> </w:t>
      </w:r>
      <w:r>
        <w:rPr>
          <w:bCs/>
          <w:b/>
        </w:rPr>
        <w:t xml:space="preserve">मध्वः (madhvaḥ)</w:t>
      </w:r>
      <w:r>
        <w:t xml:space="preserve"> </w:t>
      </w:r>
      <w:r>
        <w:t xml:space="preserve">— sweet |</w:t>
      </w:r>
      <w:r>
        <w:t xml:space="preserve"> </w:t>
      </w:r>
      <w:r>
        <w:rPr>
          <w:bCs/>
          <w:b/>
        </w:rPr>
        <w:t xml:space="preserve">चमूषदः (camūṣadaḥ)</w:t>
      </w:r>
      <w:r>
        <w:t xml:space="preserve"> </w:t>
      </w:r>
      <w:r>
        <w:t xml:space="preserve">— that are in the</w:t>
      </w:r>
      <w:r>
        <w:t xml:space="preserve"> </w:t>
      </w:r>
      <w:r>
        <w:rPr>
          <w:iCs/>
          <w:i/>
        </w:rPr>
        <w:t xml:space="preserve">camasa</w:t>
      </w:r>
      <w:r>
        <w:t xml:space="preserve"> </w:t>
      </w:r>
      <w:r>
        <w:t xml:space="preserve">vessels |</w:t>
      </w:r>
      <w:r>
        <w:t xml:space="preserve"> </w:t>
      </w:r>
      <w:r>
        <w:rPr>
          <w:bCs/>
          <w:b/>
        </w:rPr>
        <w:t xml:space="preserve">इन्दवः (indavaḥ)</w:t>
      </w:r>
      <w:r>
        <w:t xml:space="preserve"> </w:t>
      </w:r>
      <w:r>
        <w:t xml:space="preserve">— the soma juices |</w:t>
      </w:r>
      <w:r>
        <w:t xml:space="preserve"> </w:t>
      </w:r>
      <w:r>
        <w:rPr>
          <w:bCs/>
          <w:b/>
        </w:rPr>
        <w:t xml:space="preserve">प्र भ्रियन्ते (pra bhriyante)</w:t>
      </w:r>
      <w:r>
        <w:t xml:space="preserve"> </w:t>
      </w:r>
      <w:r>
        <w:t xml:space="preserve">— are being well prepared.</w:t>
      </w:r>
    </w:p>
    <w:p>
      <w:pPr>
        <w:pStyle w:val="BodyText"/>
      </w:pPr>
      <w:r>
        <w:rPr>
          <w:bCs/>
          <w:b/>
        </w:rPr>
        <w:t xml:space="preserve">॥ Bhāvārthaḥ ॥</w:t>
      </w:r>
    </w:p>
    <w:p>
      <w:pPr>
        <w:pStyle w:val="BodyText"/>
      </w:pPr>
      <w:r>
        <w:t xml:space="preserve">O Indra and the other gods, for you the soma juices, sweet, giving you delight and satisfaction, in the form of drops, are being gathered, or prepared.</w:t>
      </w:r>
    </w:p>
    <w:p>
      <w:pPr>
        <w:pStyle w:val="BodyText"/>
      </w:pPr>
      <w:r>
        <w:rPr>
          <w:bCs/>
          <w:b/>
        </w:rPr>
        <w:t xml:space="preserve">॥ English Translation ॥</w:t>
      </w:r>
      <w:r>
        <w:t xml:space="preserve"> </w:t>
      </w:r>
      <w:r>
        <w:rPr>
          <w:iCs/>
          <w:i/>
        </w:rPr>
        <w:t xml:space="preserve">(as printed in the source)</w:t>
      </w:r>
    </w:p>
    <w:p>
      <w:pPr>
        <w:pStyle w:val="BlockText"/>
      </w:pPr>
      <w:r>
        <w:t xml:space="preserve">For you (gods) are poured out these (soma) jnices [sic], satisfying, exhilarat-ing› [sic] sweet, falling in drops or standing in the cup.</w:t>
      </w:r>
    </w:p>
    <w:p>
      <w:pPr>
        <w:pStyle w:val="FirstParagraph"/>
      </w:pPr>
      <w:r>
        <w:rPr>
          <w:bCs/>
          <w:b/>
        </w:rPr>
        <w:t xml:space="preserve">॥ Viśeṣa-viṣayagaḷu (Special Topics) ॥</w:t>
      </w:r>
    </w:p>
    <w:p>
      <w:pPr>
        <w:pStyle w:val="BodyText"/>
      </w:pPr>
      <w:r>
        <w:rPr>
          <w:bCs/>
          <w:b/>
        </w:rPr>
        <w:t xml:space="preserve">Matsarāḥ</w:t>
      </w:r>
      <w:r>
        <w:t xml:space="preserve">:</w:t>
      </w:r>
    </w:p>
    <w:p>
      <w:pPr>
        <w:pStyle w:val="BlockText"/>
      </w:pPr>
      <w:r>
        <w:t xml:space="preserve">सोमो मन्दतेस्तृप्तिकर्मणः</w:t>
      </w:r>
    </w:p>
    <w:p>
      <w:pPr>
        <w:pStyle w:val="BlockText"/>
      </w:pPr>
      <w:r>
        <w:rPr>
          <w:iCs/>
          <w:i/>
        </w:rPr>
        <w:t xml:space="preserve">somo mandatestṛptikarmaṇaḥ</w:t>
      </w:r>
    </w:p>
    <w:p>
      <w:pPr>
        <w:pStyle w:val="FirstParagraph"/>
      </w:pPr>
      <w:r>
        <w:rPr>
          <w:iCs/>
          <w:i/>
        </w:rPr>
        <w:t xml:space="preserve">(Ni. 2-5.)</w:t>
      </w:r>
      <w:r>
        <w:t xml:space="preserve"> </w:t>
      </w:r>
      <w:r>
        <w:t xml:space="preserve">Since it causes delight, the soma juice is called</w:t>
      </w:r>
      <w:r>
        <w:t xml:space="preserve"> </w:t>
      </w:r>
      <w:r>
        <w:rPr>
          <w:iCs/>
          <w:i/>
        </w:rPr>
        <w:t xml:space="preserve">matsara</w:t>
      </w:r>
      <w:r>
        <w:t xml:space="preserve">.</w:t>
      </w:r>
    </w:p>
    <w:p>
      <w:pPr>
        <w:pStyle w:val="BodyText"/>
      </w:pPr>
      <w:r>
        <w:rPr>
          <w:bCs/>
          <w:b/>
        </w:rPr>
        <w:t xml:space="preserve">Mādayiṣṇavaḥ</w:t>
      </w:r>
      <w:r>
        <w:t xml:space="preserve">: the word is formed from the root</w:t>
      </w:r>
      <w:r>
        <w:t xml:space="preserve"> </w:t>
      </w:r>
      <w:r>
        <w:rPr>
          <w:iCs/>
          <w:i/>
        </w:rPr>
        <w:t xml:space="preserve">madī harṣaglapanayoḥ</w:t>
      </w:r>
      <w:r>
        <w:t xml:space="preserve">, and means</w:t>
      </w:r>
      <w:r>
        <w:t xml:space="preserve"> </w:t>
      </w:r>
      <w:r>
        <w:t xml:space="preserve">“</w:t>
      </w:r>
      <w:r>
        <w:t xml:space="preserve">causing delight</w:t>
      </w:r>
      <w:r>
        <w:t xml:space="preserve">”</w:t>
      </w:r>
      <w:r>
        <w:t xml:space="preserve">.</w:t>
      </w:r>
    </w:p>
    <w:p>
      <w:pPr>
        <w:pStyle w:val="BodyText"/>
      </w:pPr>
      <w:r>
        <w:rPr>
          <w:bCs/>
          <w:b/>
        </w:rPr>
        <w:t xml:space="preserve">Drapsāḥ</w:t>
      </w:r>
      <w:r>
        <w:t xml:space="preserve">:</w:t>
      </w:r>
      <w:r>
        <w:t xml:space="preserve"> </w:t>
      </w:r>
      <w:r>
        <w:rPr>
          <w:iCs/>
          <w:i/>
        </w:rPr>
        <w:t xml:space="preserve">bindurūpāḥ</w:t>
      </w:r>
      <w:r>
        <w:t xml:space="preserve">, in the form of drops: when the soma creeper is crushed and pressed, the juice trickles and falls drop by drop, so it is called drop-like.</w:t>
      </w:r>
    </w:p>
    <w:p>
      <w:pPr>
        <w:pStyle w:val="BodyText"/>
      </w:pPr>
      <w:r>
        <w:rPr>
          <w:bCs/>
          <w:b/>
        </w:rPr>
        <w:t xml:space="preserve">Camūṣadaḥ</w:t>
      </w:r>
      <w:r>
        <w:t xml:space="preserve">:</w:t>
      </w:r>
    </w:p>
    <w:p>
      <w:pPr>
        <w:pStyle w:val="BlockText"/>
      </w:pPr>
      <w:r>
        <w:t xml:space="preserve">चम्यते भक्ष्यते येषु चमसेषु ते चम्वः</w:t>
      </w:r>
    </w:p>
    <w:p>
      <w:pPr>
        <w:pStyle w:val="BlockText"/>
      </w:pPr>
      <w:r>
        <w:rPr>
          <w:iCs/>
          <w:i/>
        </w:rPr>
        <w:t xml:space="preserve">camyate bhakṣyate yeṣu camaseṣu te camvaḥ</w:t>
      </w:r>
    </w:p>
    <w:p>
      <w:pPr>
        <w:pStyle w:val="FirstParagraph"/>
      </w:pPr>
      <w:r>
        <w:t xml:space="preserve">(</w:t>
      </w:r>
      <w:r>
        <w:t xml:space="preserve">“</w:t>
      </w:r>
      <w:r>
        <w:t xml:space="preserve">the</w:t>
      </w:r>
      <w:r>
        <w:t xml:space="preserve"> </w:t>
      </w:r>
      <w:r>
        <w:rPr>
          <w:iCs/>
          <w:i/>
        </w:rPr>
        <w:t xml:space="preserve">camasas</w:t>
      </w:r>
      <w:r>
        <w:t xml:space="preserve"> </w:t>
      </w:r>
      <w:r>
        <w:t xml:space="preserve">in which it is eaten are the</w:t>
      </w:r>
      <w:r>
        <w:t xml:space="preserve"> </w:t>
      </w:r>
      <w:r>
        <w:rPr>
          <w:iCs/>
          <w:i/>
        </w:rPr>
        <w:t xml:space="preserve">camūs</w:t>
      </w:r>
      <w:r>
        <w:t xml:space="preserve">”</w:t>
      </w:r>
      <w:r>
        <w:t xml:space="preserve">): that are in the sacrificial vessel called</w:t>
      </w:r>
      <w:r>
        <w:t xml:space="preserve"> </w:t>
      </w:r>
      <w:r>
        <w:rPr>
          <w:iCs/>
          <w:i/>
        </w:rPr>
        <w:t xml:space="preserve">camasa</w:t>
      </w:r>
      <w:r>
        <w:t xml:space="preserve">. The vessel for eating or drinking is called</w:t>
      </w:r>
      <w:r>
        <w:t xml:space="preserve"> </w:t>
      </w:r>
      <w:r>
        <w:rPr>
          <w:iCs/>
          <w:i/>
        </w:rPr>
        <w:t xml:space="preserve">camasa</w:t>
      </w:r>
      <w:r>
        <w:t xml:space="preserve">; that is the derivation of the word. The soma juice in such a vessel.</w:t>
      </w:r>
    </w:p>
    <w:bookmarkEnd w:id="636"/>
    <w:bookmarkStart w:id="637" w:name="page-598-rik-4-grammar"/>
    <w:p>
      <w:pPr>
        <w:pStyle w:val="Heading3"/>
      </w:pPr>
      <w:r>
        <w:t xml:space="preserve">Page 598 — Rik 4: grammar</w:t>
      </w:r>
    </w:p>
    <w:p>
      <w:pPr>
        <w:pStyle w:val="FirstParagraph"/>
      </w:pPr>
      <w:r>
        <w:rPr>
          <w:bCs/>
          <w:b/>
        </w:rPr>
        <w:t xml:space="preserve">॥ Vyākaraṇa-prakriyā ॥</w:t>
      </w:r>
      <w:r>
        <w:t xml:space="preserve"> </w:t>
      </w:r>
      <w:r>
        <w:rPr>
          <w:iCs/>
          <w:i/>
        </w:rPr>
        <w:t xml:space="preserve">(grammar pages 598–599, noted briefly)</w:t>
      </w:r>
    </w:p>
    <w:p>
      <w:pPr>
        <w:pStyle w:val="BodyText"/>
      </w:pPr>
      <w:r>
        <w:rPr>
          <w:bCs/>
          <w:b/>
        </w:rPr>
        <w:t xml:space="preserve">प्र (</w:t>
      </w:r>
      <w:r>
        <w:rPr>
          <w:iCs/>
          <w:i/>
          <w:bCs/>
          <w:b/>
        </w:rPr>
        <w:t xml:space="preserve">pra</w:t>
      </w:r>
      <w:r>
        <w:rPr>
          <w:bCs/>
          <w:b/>
        </w:rPr>
        <w:t xml:space="preserve">)</w:t>
      </w:r>
      <w:r>
        <w:t xml:space="preserve">: by</w:t>
      </w:r>
      <w:r>
        <w:t xml:space="preserve"> </w:t>
      </w:r>
      <w:r>
        <w:t xml:space="preserve">“</w:t>
      </w:r>
      <w:r>
        <w:t xml:space="preserve">vyavahitāś ca</w:t>
      </w:r>
      <w:r>
        <w:t xml:space="preserve">”</w:t>
      </w:r>
      <w:r>
        <w:t xml:space="preserve"> </w:t>
      </w:r>
      <w:r>
        <w:t xml:space="preserve">(Pā. sū. 1-4-82) the</w:t>
      </w:r>
      <w:r>
        <w:t xml:space="preserve"> </w:t>
      </w:r>
      <w:r>
        <w:rPr>
          <w:iCs/>
          <w:i/>
        </w:rPr>
        <w:t xml:space="preserve">upasargas</w:t>
      </w:r>
      <w:r>
        <w:t xml:space="preserve"> </w:t>
      </w:r>
      <w:r>
        <w:t xml:space="preserve">may be used separated from the verb in the Veda, so it is used separated here.</w:t>
      </w:r>
    </w:p>
    <w:p>
      <w:pPr>
        <w:pStyle w:val="BodyText"/>
      </w:pPr>
      <w:r>
        <w:rPr>
          <w:bCs/>
          <w:b/>
        </w:rPr>
        <w:t xml:space="preserve">भ्रियन्ते (</w:t>
      </w:r>
      <w:r>
        <w:rPr>
          <w:iCs/>
          <w:i/>
          <w:bCs/>
          <w:b/>
        </w:rPr>
        <w:t xml:space="preserve">bhriyante</w:t>
      </w:r>
      <w:r>
        <w:rPr>
          <w:bCs/>
          <w:b/>
        </w:rPr>
        <w:t xml:space="preserve">)</w:t>
      </w:r>
      <w:r>
        <w:t xml:space="preserve">:</w:t>
      </w:r>
      <w:r>
        <w:t xml:space="preserve"> </w:t>
      </w:r>
      <w:r>
        <w:rPr>
          <w:iCs/>
          <w:i/>
        </w:rPr>
        <w:t xml:space="preserve">bhṛ bharaṇe</w:t>
      </w:r>
      <w:r>
        <w:t xml:space="preserve"> </w:t>
      </w:r>
      <w:r>
        <w:t xml:space="preserve">or</w:t>
      </w:r>
      <w:r>
        <w:t xml:space="preserve"> </w:t>
      </w:r>
      <w:r>
        <w:rPr>
          <w:iCs/>
          <w:i/>
        </w:rPr>
        <w:t xml:space="preserve">ḍubhṛñ dhāraṇapoṣaṇayoḥ</w:t>
      </w:r>
      <w:r>
        <w:t xml:space="preserve">;</w:t>
      </w:r>
      <w:r>
        <w:t xml:space="preserve"> </w:t>
      </w:r>
      <w:r>
        <w:rPr>
          <w:iCs/>
          <w:i/>
        </w:rPr>
        <w:t xml:space="preserve">laṭ</w:t>
      </w:r>
      <w:r>
        <w:t xml:space="preserve"> </w:t>
      </w:r>
      <w:r>
        <w:t xml:space="preserve">in the passive; by</w:t>
      </w:r>
      <w:r>
        <w:t xml:space="preserve"> </w:t>
      </w:r>
      <w:r>
        <w:t xml:space="preserve">“</w:t>
      </w:r>
      <w:r>
        <w:t xml:space="preserve">bhāvakarmaṇoḥ</w:t>
      </w:r>
      <w:r>
        <w:t xml:space="preserve">”</w:t>
      </w:r>
      <w:r>
        <w:t xml:space="preserve"> </w:t>
      </w:r>
      <w:r>
        <w:t xml:space="preserve">(Pā. sū. 1-3-13) the</w:t>
      </w:r>
      <w:r>
        <w:t xml:space="preserve"> </w:t>
      </w:r>
      <w:r>
        <w:rPr>
          <w:iCs/>
          <w:i/>
        </w:rPr>
        <w:t xml:space="preserve">ātmanepada</w:t>
      </w:r>
      <w:r>
        <w:t xml:space="preserve"> </w:t>
      </w:r>
      <w:r>
        <w:t xml:space="preserve">for a</w:t>
      </w:r>
      <w:r>
        <w:t xml:space="preserve"> </w:t>
      </w:r>
      <w:r>
        <w:rPr>
          <w:iCs/>
          <w:i/>
        </w:rPr>
        <w:t xml:space="preserve">lakāra</w:t>
      </w:r>
      <w:r>
        <w:t xml:space="preserve"> </w:t>
      </w:r>
      <w:r>
        <w:t xml:space="preserve">in the impersonal or passive sense; 3rd plural</w:t>
      </w:r>
      <w:r>
        <w:t xml:space="preserve"> </w:t>
      </w:r>
      <w:r>
        <w:rPr>
          <w:iCs/>
          <w:i/>
        </w:rPr>
        <w:t xml:space="preserve">jha</w:t>
      </w:r>
      <w:r>
        <w:t xml:space="preserve">:</w:t>
      </w:r>
      <w:r>
        <w:t xml:space="preserve"> </w:t>
      </w:r>
      <w:r>
        <w:rPr>
          <w:iCs/>
          <w:i/>
        </w:rPr>
        <w:t xml:space="preserve">bhṛ</w:t>
      </w:r>
      <w:r>
        <w:t xml:space="preserve"> </w:t>
      </w:r>
      <w:r>
        <w:t xml:space="preserve">+</w:t>
      </w:r>
      <w:r>
        <w:t xml:space="preserve"> </w:t>
      </w:r>
      <w:r>
        <w:rPr>
          <w:iCs/>
          <w:i/>
        </w:rPr>
        <w:t xml:space="preserve">jha</w:t>
      </w:r>
      <w:r>
        <w:t xml:space="preserve">;</w:t>
      </w:r>
      <w:r>
        <w:t xml:space="preserve"> </w:t>
      </w:r>
      <w:r>
        <w:t xml:space="preserve">“</w:t>
      </w:r>
      <w:r>
        <w:t xml:space="preserve">sārvadhātuke yak</w:t>
      </w:r>
      <w:r>
        <w:t xml:space="preserve">”</w:t>
      </w:r>
      <w:r>
        <w:t xml:space="preserve"> </w:t>
      </w:r>
      <w:r>
        <w:t xml:space="preserve">(Pā. sū. 3-1-67) gives</w:t>
      </w:r>
      <w:r>
        <w:t xml:space="preserve"> </w:t>
      </w:r>
      <w:r>
        <w:rPr>
          <w:iCs/>
          <w:i/>
        </w:rPr>
        <w:t xml:space="preserve">yak</w:t>
      </w:r>
      <w:r>
        <w:t xml:space="preserve"> </w:t>
      </w:r>
      <w:r>
        <w:t xml:space="preserve">before a</w:t>
      </w:r>
      <w:r>
        <w:t xml:space="preserve"> </w:t>
      </w:r>
      <w:r>
        <w:rPr>
          <w:iCs/>
          <w:i/>
        </w:rPr>
        <w:t xml:space="preserve">sārvadhātuka</w:t>
      </w:r>
      <w:r>
        <w:t xml:space="preserve"> </w:t>
      </w:r>
      <w:r>
        <w:t xml:space="preserve">in those senses:</w:t>
      </w:r>
      <w:r>
        <w:t xml:space="preserve"> </w:t>
      </w:r>
      <w:r>
        <w:rPr>
          <w:iCs/>
          <w:i/>
        </w:rPr>
        <w:t xml:space="preserve">bhṛ</w:t>
      </w:r>
      <w:r>
        <w:t xml:space="preserve"> </w:t>
      </w:r>
      <w:r>
        <w:t xml:space="preserve">+</w:t>
      </w:r>
      <w:r>
        <w:t xml:space="preserve"> </w:t>
      </w:r>
      <w:r>
        <w:rPr>
          <w:iCs/>
          <w:i/>
        </w:rPr>
        <w:t xml:space="preserve">ya</w:t>
      </w:r>
      <w:r>
        <w:t xml:space="preserve"> </w:t>
      </w:r>
      <w:r>
        <w:t xml:space="preserve">+</w:t>
      </w:r>
      <w:r>
        <w:t xml:space="preserve"> </w:t>
      </w:r>
      <w:r>
        <w:rPr>
          <w:iCs/>
          <w:i/>
        </w:rPr>
        <w:t xml:space="preserve">jha</w:t>
      </w:r>
      <w:r>
        <w:t xml:space="preserve">;</w:t>
      </w:r>
      <w:r>
        <w:t xml:space="preserve"> </w:t>
      </w:r>
      <w:r>
        <w:rPr>
          <w:iCs/>
          <w:i/>
        </w:rPr>
        <w:t xml:space="preserve">e</w:t>
      </w:r>
      <w:r>
        <w:t xml:space="preserve"> </w:t>
      </w:r>
      <w:r>
        <w:t xml:space="preserve">for the</w:t>
      </w:r>
      <w:r>
        <w:t xml:space="preserve"> </w:t>
      </w:r>
      <w:r>
        <w:rPr>
          <w:iCs/>
          <w:i/>
        </w:rPr>
        <w:t xml:space="preserve">ṭi</w:t>
      </w:r>
      <w:r>
        <w:t xml:space="preserve"> </w:t>
      </w:r>
      <w:r>
        <w:t xml:space="preserve">by</w:t>
      </w:r>
      <w:r>
        <w:t xml:space="preserve"> </w:t>
      </w:r>
      <w:r>
        <w:t xml:space="preserve">“</w:t>
      </w:r>
      <w:r>
        <w:t xml:space="preserve">ṭita ātmanepadānāṃ ṭere</w:t>
      </w:r>
      <w:r>
        <w:t xml:space="preserve">”</w:t>
      </w:r>
      <w:r>
        <w:t xml:space="preserve"> </w:t>
      </w:r>
      <w:r>
        <w:t xml:space="preserve">(Pā. sū. 3-4-79);</w:t>
      </w:r>
      <w:r>
        <w:t xml:space="preserve"> </w:t>
      </w:r>
      <w:r>
        <w:rPr>
          <w:iCs/>
          <w:i/>
        </w:rPr>
        <w:t xml:space="preserve">ant</w:t>
      </w:r>
      <w:r>
        <w:t xml:space="preserve"> </w:t>
      </w:r>
      <w:r>
        <w:t xml:space="preserve">for</w:t>
      </w:r>
      <w:r>
        <w:t xml:space="preserve"> </w:t>
      </w:r>
      <w:r>
        <w:rPr>
          <w:iCs/>
          <w:i/>
        </w:rPr>
        <w:t xml:space="preserve">jh</w:t>
      </w:r>
      <w:r>
        <w:t xml:space="preserve"> </w:t>
      </w:r>
      <w:r>
        <w:t xml:space="preserve">by</w:t>
      </w:r>
      <w:r>
        <w:t xml:space="preserve"> </w:t>
      </w:r>
      <w:r>
        <w:t xml:space="preserve">“</w:t>
      </w:r>
      <w:r>
        <w:t xml:space="preserve">jho ’ntaḥ</w:t>
      </w:r>
      <w:r>
        <w:t xml:space="preserve">”</w:t>
      </w:r>
      <w:r>
        <w:t xml:space="preserve"> </w:t>
      </w:r>
      <w:r>
        <w:t xml:space="preserve">(Pā. sū. 7-1-3):</w:t>
      </w:r>
      <w:r>
        <w:t xml:space="preserve"> </w:t>
      </w:r>
      <w:r>
        <w:rPr>
          <w:iCs/>
          <w:i/>
        </w:rPr>
        <w:t xml:space="preserve">bhṛ</w:t>
      </w:r>
      <w:r>
        <w:t xml:space="preserve"> </w:t>
      </w:r>
      <w:r>
        <w:t xml:space="preserve">+</w:t>
      </w:r>
      <w:r>
        <w:t xml:space="preserve"> </w:t>
      </w:r>
      <w:r>
        <w:rPr>
          <w:iCs/>
          <w:i/>
        </w:rPr>
        <w:t xml:space="preserve">ya</w:t>
      </w:r>
      <w:r>
        <w:t xml:space="preserve"> </w:t>
      </w:r>
      <w:r>
        <w:t xml:space="preserve">+</w:t>
      </w:r>
      <w:r>
        <w:t xml:space="preserve"> </w:t>
      </w:r>
      <w:r>
        <w:rPr>
          <w:iCs/>
          <w:i/>
        </w:rPr>
        <w:t xml:space="preserve">ante</w:t>
      </w:r>
      <w:r>
        <w:t xml:space="preserve">;</w:t>
      </w:r>
      <w:r>
        <w:t xml:space="preserve"> </w:t>
      </w:r>
      <w:r>
        <w:t xml:space="preserve">“</w:t>
      </w:r>
      <w:r>
        <w:t xml:space="preserve">riṅ śayagliṅkṣu</w:t>
      </w:r>
      <w:r>
        <w:t xml:space="preserve">”</w:t>
      </w:r>
      <w:r>
        <w:t xml:space="preserve"> </w:t>
      </w:r>
      <w:r>
        <w:t xml:space="preserve">(Pā. sū. 7-4-28): before</w:t>
      </w:r>
      <w:r>
        <w:t xml:space="preserve"> </w:t>
      </w:r>
      <w:r>
        <w:rPr>
          <w:iCs/>
          <w:i/>
        </w:rPr>
        <w:t xml:space="preserve">śa</w:t>
      </w:r>
      <w:r>
        <w:t xml:space="preserve">,</w:t>
      </w:r>
      <w:r>
        <w:t xml:space="preserve"> </w:t>
      </w:r>
      <w:r>
        <w:rPr>
          <w:iCs/>
          <w:i/>
        </w:rPr>
        <w:t xml:space="preserve">yak</w:t>
      </w:r>
      <w:r>
        <w:t xml:space="preserve"> </w:t>
      </w:r>
      <w:r>
        <w:t xml:space="preserve">and a</w:t>
      </w:r>
      <w:r>
        <w:t xml:space="preserve"> </w:t>
      </w:r>
      <w:r>
        <w:rPr>
          <w:iCs/>
          <w:i/>
        </w:rPr>
        <w:t xml:space="preserve">y</w:t>
      </w:r>
      <w:r>
        <w:t xml:space="preserve">-initial</w:t>
      </w:r>
      <w:r>
        <w:t xml:space="preserve"> </w:t>
      </w:r>
      <w:r>
        <w:rPr>
          <w:iCs/>
          <w:i/>
        </w:rPr>
        <w:t xml:space="preserve">ārdhadhātuka liṅ</w:t>
      </w:r>
      <w:r>
        <w:t xml:space="preserve">,</w:t>
      </w:r>
      <w:r>
        <w:t xml:space="preserve"> </w:t>
      </w:r>
      <w:r>
        <w:rPr>
          <w:iCs/>
          <w:i/>
        </w:rPr>
        <w:t xml:space="preserve">riṅ</w:t>
      </w:r>
      <w:r>
        <w:t xml:space="preserve"> </w:t>
      </w:r>
      <w:r>
        <w:t xml:space="preserve">for a short</w:t>
      </w:r>
      <w:r>
        <w:t xml:space="preserve"> </w:t>
      </w:r>
      <w:r>
        <w:rPr>
          <w:iCs/>
          <w:i/>
        </w:rPr>
        <w:t xml:space="preserve">ṛ</w:t>
      </w:r>
      <w:r>
        <w:t xml:space="preserve">:</w:t>
      </w:r>
      <w:r>
        <w:t xml:space="preserve"> </w:t>
      </w:r>
      <w:r>
        <w:rPr>
          <w:iCs/>
          <w:i/>
        </w:rPr>
        <w:t xml:space="preserve">bhriyante</w:t>
      </w:r>
      <w:r>
        <w:t xml:space="preserve">;</w:t>
      </w:r>
      <w:r>
        <w:t xml:space="preserve"> </w:t>
      </w:r>
      <w:r>
        <w:rPr>
          <w:iCs/>
          <w:i/>
        </w:rPr>
        <w:t xml:space="preserve">yak</w:t>
      </w:r>
      <w:r>
        <w:t xml:space="preserve"> </w:t>
      </w:r>
      <w:r>
        <w:t xml:space="preserve">is</w:t>
      </w:r>
      <w:r>
        <w:t xml:space="preserve"> </w:t>
      </w:r>
      <w:r>
        <w:rPr>
          <w:iCs/>
          <w:i/>
        </w:rPr>
        <w:t xml:space="preserve">kit</w:t>
      </w:r>
      <w:r>
        <w:t xml:space="preserve">, so no</w:t>
      </w:r>
      <w:r>
        <w:t xml:space="preserve"> </w:t>
      </w:r>
      <w:r>
        <w:rPr>
          <w:iCs/>
          <w:i/>
        </w:rPr>
        <w:t xml:space="preserve">guṇa</w:t>
      </w:r>
      <w:r>
        <w:t xml:space="preserve">. Or from</w:t>
      </w:r>
      <w:r>
        <w:t xml:space="preserve"> </w:t>
      </w:r>
      <w:r>
        <w:rPr>
          <w:iCs/>
          <w:i/>
        </w:rPr>
        <w:t xml:space="preserve">hṛñ haraṇe</w:t>
      </w:r>
      <w:r>
        <w:t xml:space="preserve"> </w:t>
      </w:r>
      <w:r>
        <w:t xml:space="preserve">in the passive,</w:t>
      </w:r>
      <w:r>
        <w:t xml:space="preserve"> </w:t>
      </w:r>
      <w:r>
        <w:rPr>
          <w:iCs/>
          <w:i/>
        </w:rPr>
        <w:t xml:space="preserve">hriyante</w:t>
      </w:r>
      <w:r>
        <w:t xml:space="preserve"> </w:t>
      </w:r>
      <w:r>
        <w:t xml:space="preserve">as above, and</w:t>
      </w:r>
      <w:r>
        <w:t xml:space="preserve"> </w:t>
      </w:r>
      <w:r>
        <w:rPr>
          <w:iCs/>
          <w:i/>
        </w:rPr>
        <w:t xml:space="preserve">bh</w:t>
      </w:r>
      <w:r>
        <w:t xml:space="preserve"> </w:t>
      </w:r>
      <w:r>
        <w:t xml:space="preserve">for</w:t>
      </w:r>
      <w:r>
        <w:t xml:space="preserve"> </w:t>
      </w:r>
      <w:r>
        <w:rPr>
          <w:iCs/>
          <w:i/>
        </w:rPr>
        <w:t xml:space="preserve">h</w:t>
      </w:r>
      <w:r>
        <w:t xml:space="preserve"> </w:t>
      </w:r>
      <w:r>
        <w:t xml:space="preserve">by</w:t>
      </w:r>
      <w:r>
        <w:t xml:space="preserve"> </w:t>
      </w:r>
      <w:r>
        <w:t xml:space="preserve">“</w:t>
      </w:r>
      <w:r>
        <w:t xml:space="preserve">hṛgrahor bhaś chandasi</w:t>
      </w:r>
      <w:r>
        <w:t xml:space="preserve">”</w:t>
      </w:r>
      <w:r>
        <w:t xml:space="preserve"> </w:t>
      </w:r>
      <w:r>
        <w:t xml:space="preserve">(Pā. sū. 8-2-32-1):</w:t>
      </w:r>
      <w:r>
        <w:t xml:space="preserve"> </w:t>
      </w:r>
      <w:r>
        <w:rPr>
          <w:iCs/>
          <w:i/>
        </w:rPr>
        <w:t xml:space="preserve">bhriyante</w:t>
      </w:r>
      <w:r>
        <w:t xml:space="preserve">.</w:t>
      </w:r>
    </w:p>
    <w:p>
      <w:pPr>
        <w:pStyle w:val="BodyText"/>
      </w:pPr>
      <w:r>
        <w:rPr>
          <w:bCs/>
          <w:b/>
        </w:rPr>
        <w:t xml:space="preserve">इन्दवः (</w:t>
      </w:r>
      <w:r>
        <w:rPr>
          <w:iCs/>
          <w:i/>
          <w:bCs/>
          <w:b/>
        </w:rPr>
        <w:t xml:space="preserve">indavaḥ</w:t>
      </w:r>
      <w:r>
        <w:rPr>
          <w:bCs/>
          <w:b/>
        </w:rPr>
        <w:t xml:space="preserve">)</w:t>
      </w:r>
      <w:r>
        <w:t xml:space="preserve">:</w:t>
      </w:r>
      <w:r>
        <w:t xml:space="preserve"> </w:t>
      </w:r>
      <w:r>
        <w:rPr>
          <w:iCs/>
          <w:i/>
        </w:rPr>
        <w:t xml:space="preserve">undī kledane</w:t>
      </w:r>
      <w:r>
        <w:t xml:space="preserve">;</w:t>
      </w:r>
      <w:r>
        <w:t xml:space="preserve"> </w:t>
      </w:r>
      <w:r>
        <w:rPr>
          <w:iCs/>
          <w:i/>
        </w:rPr>
        <w:t xml:space="preserve">undanti pātrāṇi</w:t>
      </w:r>
      <w:r>
        <w:t xml:space="preserve"> </w:t>
      </w:r>
      <w:r>
        <w:t xml:space="preserve">(they wet the vessels):</w:t>
      </w:r>
      <w:r>
        <w:t xml:space="preserve"> </w:t>
      </w:r>
      <w:r>
        <w:rPr>
          <w:iCs/>
          <w:i/>
        </w:rPr>
        <w:t xml:space="preserve">indavaḥ</w:t>
      </w:r>
      <w:r>
        <w:t xml:space="preserve">.</w:t>
      </w:r>
      <w:r>
        <w:t xml:space="preserve"> </w:t>
      </w:r>
      <w:r>
        <w:t xml:space="preserve">“</w:t>
      </w:r>
      <w:r>
        <w:t xml:space="preserve">under ic cādeḥ</w:t>
      </w:r>
      <w:r>
        <w:t xml:space="preserve">”</w:t>
      </w:r>
      <w:r>
        <w:t xml:space="preserve"> </w:t>
      </w:r>
      <w:r>
        <w:t xml:space="preserve">(Uṇ. sū. 1-12): the suffix</w:t>
      </w:r>
      <w:r>
        <w:t xml:space="preserve"> </w:t>
      </w:r>
      <w:r>
        <w:rPr>
          <w:iCs/>
          <w:i/>
        </w:rPr>
        <w:t xml:space="preserve">u</w:t>
      </w:r>
      <w:r>
        <w:t xml:space="preserve"> </w:t>
      </w:r>
      <w:r>
        <w:t xml:space="preserve">after</w:t>
      </w:r>
      <w:r>
        <w:t xml:space="preserve"> </w:t>
      </w:r>
      <w:r>
        <w:rPr>
          <w:iCs/>
          <w:i/>
        </w:rPr>
        <w:t xml:space="preserve">und</w:t>
      </w:r>
      <w:r>
        <w:t xml:space="preserve">,</w:t>
      </w:r>
      <w:r>
        <w:t xml:space="preserve"> </w:t>
      </w:r>
      <w:r>
        <w:rPr>
          <w:iCs/>
          <w:i/>
        </w:rPr>
        <w:t xml:space="preserve">nit</w:t>
      </w:r>
      <w:r>
        <w:t xml:space="preserve">, and</w:t>
      </w:r>
      <w:r>
        <w:t xml:space="preserve"> </w:t>
      </w:r>
      <w:r>
        <w:rPr>
          <w:iCs/>
          <w:i/>
        </w:rPr>
        <w:t xml:space="preserve">i</w:t>
      </w:r>
      <w:r>
        <w:t xml:space="preserve"> </w:t>
      </w:r>
      <w:r>
        <w:t xml:space="preserve">for the initial</w:t>
      </w:r>
      <w:r>
        <w:t xml:space="preserve"> </w:t>
      </w:r>
      <w:r>
        <w:rPr>
          <w:iCs/>
          <w:i/>
        </w:rPr>
        <w:t xml:space="preserve">u</w:t>
      </w:r>
      <w:r>
        <w:t xml:space="preserve">:</w:t>
      </w:r>
      <w:r>
        <w:t xml:space="preserve"> </w:t>
      </w:r>
      <w:r>
        <w:rPr>
          <w:iCs/>
          <w:i/>
        </w:rPr>
        <w:t xml:space="preserve">indu</w:t>
      </w:r>
      <w:r>
        <w:t xml:space="preserve">; initial udātta (</w:t>
      </w:r>
      <w:r>
        <w:rPr>
          <w:iCs/>
          <w:i/>
        </w:rPr>
        <w:t xml:space="preserve">nit</w:t>
      </w:r>
      <w:r>
        <w:t xml:space="preserve">).</w:t>
      </w:r>
    </w:p>
    <w:p>
      <w:pPr>
        <w:pStyle w:val="BodyText"/>
      </w:pPr>
      <w:r>
        <w:rPr>
          <w:bCs/>
          <w:b/>
        </w:rPr>
        <w:t xml:space="preserve">मत्सराः (</w:t>
      </w:r>
      <w:r>
        <w:rPr>
          <w:iCs/>
          <w:i/>
          <w:bCs/>
          <w:b/>
        </w:rPr>
        <w:t xml:space="preserve">matsarāḥ</w:t>
      </w:r>
      <w:r>
        <w:rPr>
          <w:bCs/>
          <w:b/>
        </w:rPr>
        <w:t xml:space="preserve">)</w:t>
      </w:r>
      <w:r>
        <w:t xml:space="preserve">:</w:t>
      </w:r>
      <w:r>
        <w:t xml:space="preserve"> </w:t>
      </w:r>
      <w:r>
        <w:rPr>
          <w:iCs/>
          <w:i/>
        </w:rPr>
        <w:t xml:space="preserve">mada tṛptiyoge</w:t>
      </w:r>
      <w:r>
        <w:t xml:space="preserve"> </w:t>
      </w:r>
      <w:r>
        <w:t xml:space="preserve">(</w:t>
      </w:r>
      <w:r>
        <w:rPr>
          <w:iCs/>
          <w:i/>
        </w:rPr>
        <w:t xml:space="preserve">curādi</w:t>
      </w:r>
      <w:r>
        <w:t xml:space="preserve">);</w:t>
      </w:r>
      <w:r>
        <w:t xml:space="preserve"> </w:t>
      </w:r>
      <w:r>
        <w:t xml:space="preserve">“</w:t>
      </w:r>
      <w:r>
        <w:t xml:space="preserve">kṛdhūmadibhyaḥ kit</w:t>
      </w:r>
      <w:r>
        <w:t xml:space="preserve">”</w:t>
      </w:r>
      <w:r>
        <w:t xml:space="preserve"> </w:t>
      </w:r>
      <w:r>
        <w:t xml:space="preserve">(Uṇ. sū.</w:t>
      </w:r>
      <w:r>
        <w:t xml:space="preserve"> </w:t>
      </w:r>
      <w:r>
        <w:t xml:space="preserve">“</w:t>
      </w:r>
      <w:r>
        <w:t xml:space="preserve">3-73</w:t>
      </w:r>
      <w:r>
        <w:t xml:space="preserve">”</w:t>
      </w:r>
      <w:r>
        <w:t xml:space="preserve"> </w:t>
      </w:r>
      <w:r>
        <w:t xml:space="preserve">[?];</w:t>
      </w:r>
      <w:r>
        <w:t xml:space="preserve"> </w:t>
      </w:r>
      <w:r>
        <w:rPr>
          <w:iCs/>
          <w:i/>
        </w:rPr>
        <w:t xml:space="preserve">ḍukṛñ karaṇe</w:t>
      </w:r>
      <w:r>
        <w:t xml:space="preserve">,</w:t>
      </w:r>
      <w:r>
        <w:t xml:space="preserve"> </w:t>
      </w:r>
      <w:r>
        <w:rPr>
          <w:iCs/>
          <w:i/>
        </w:rPr>
        <w:t xml:space="preserve">dhūñ kampane</w:t>
      </w:r>
      <w:r>
        <w:t xml:space="preserve">,</w:t>
      </w:r>
      <w:r>
        <w:t xml:space="preserve"> </w:t>
      </w:r>
      <w:r>
        <w:rPr>
          <w:iCs/>
          <w:i/>
        </w:rPr>
        <w:t xml:space="preserve">mada tṛptiyoge</w:t>
      </w:r>
      <w:r>
        <w:t xml:space="preserve">): the suffix</w:t>
      </w:r>
      <w:r>
        <w:t xml:space="preserve"> </w:t>
      </w:r>
      <w:r>
        <w:rPr>
          <w:iCs/>
          <w:i/>
        </w:rPr>
        <w:t xml:space="preserve">sara</w:t>
      </w:r>
      <w:r>
        <w:t xml:space="preserve">,</w:t>
      </w:r>
      <w:r>
        <w:t xml:space="preserve"> </w:t>
      </w:r>
      <w:r>
        <w:rPr>
          <w:iCs/>
          <w:i/>
        </w:rPr>
        <w:t xml:space="preserve">kit</w:t>
      </w:r>
      <w:r>
        <w:t xml:space="preserve"> </w:t>
      </w:r>
      <w:r>
        <w:t xml:space="preserve">and</w:t>
      </w:r>
      <w:r>
        <w:t xml:space="preserve"> </w:t>
      </w:r>
      <w:r>
        <w:rPr>
          <w:iCs/>
          <w:i/>
        </w:rPr>
        <w:t xml:space="preserve">cit</w:t>
      </w:r>
      <w:r>
        <w:t xml:space="preserve">. Though</w:t>
      </w:r>
      <w:r>
        <w:t xml:space="preserve"> </w:t>
      </w:r>
      <w:r>
        <w:rPr>
          <w:iCs/>
          <w:i/>
        </w:rPr>
        <w:t xml:space="preserve">ārdhadhātuka</w:t>
      </w:r>
      <w:r>
        <w:t xml:space="preserve">, it takes no</w:t>
      </w:r>
      <w:r>
        <w:t xml:space="preserve"> </w:t>
      </w:r>
      <w:r>
        <w:rPr>
          <w:iCs/>
          <w:i/>
        </w:rPr>
        <w:t xml:space="preserve">iṭ</w:t>
      </w:r>
      <w:r>
        <w:t xml:space="preserve"> </w:t>
      </w:r>
      <w:r>
        <w:t xml:space="preserve">by</w:t>
      </w:r>
      <w:r>
        <w:t xml:space="preserve"> </w:t>
      </w:r>
      <w:r>
        <w:t xml:space="preserve">“</w:t>
      </w:r>
      <w:r>
        <w:t xml:space="preserve">titutratathasisusarakaseṣu ca</w:t>
      </w:r>
      <w:r>
        <w:t xml:space="preserve">”</w:t>
      </w:r>
      <w:r>
        <w:t xml:space="preserve"> </w:t>
      </w:r>
      <w:r>
        <w:t xml:space="preserve">(Pā. sū. 7-2-9); final udātta by</w:t>
      </w:r>
      <w:r>
        <w:t xml:space="preserve"> </w:t>
      </w:r>
      <w:r>
        <w:t xml:space="preserve">“</w:t>
      </w:r>
      <w:r>
        <w:t xml:space="preserve">citaḥ</w:t>
      </w:r>
      <w:r>
        <w:t xml:space="preserve">”</w:t>
      </w:r>
      <w:r>
        <w:t xml:space="preserve">.</w:t>
      </w:r>
    </w:p>
    <w:p>
      <w:pPr>
        <w:pStyle w:val="BodyText"/>
      </w:pPr>
      <w:r>
        <w:rPr>
          <w:bCs/>
          <w:b/>
        </w:rPr>
        <w:t xml:space="preserve">मादयिष्णवः (</w:t>
      </w:r>
      <w:r>
        <w:rPr>
          <w:iCs/>
          <w:i/>
          <w:bCs/>
          <w:b/>
        </w:rPr>
        <w:t xml:space="preserve">mādayiṣṇavaḥ</w:t>
      </w:r>
      <w:r>
        <w:rPr>
          <w:bCs/>
          <w:b/>
        </w:rPr>
        <w:t xml:space="preserve">)</w:t>
      </w:r>
      <w:r>
        <w:t xml:space="preserve">:</w:t>
      </w:r>
      <w:r>
        <w:t xml:space="preserve"> </w:t>
      </w:r>
      <w:r>
        <w:rPr>
          <w:iCs/>
          <w:i/>
        </w:rPr>
        <w:t xml:space="preserve">madī harṣaglapanayoḥ</w:t>
      </w:r>
      <w:r>
        <w:t xml:space="preserve">;</w:t>
      </w:r>
      <w:r>
        <w:t xml:space="preserve"> </w:t>
      </w:r>
      <w:r>
        <w:rPr>
          <w:iCs/>
          <w:i/>
        </w:rPr>
        <w:t xml:space="preserve">ṇic</w:t>
      </w:r>
      <w:r>
        <w:t xml:space="preserve"> </w:t>
      </w:r>
      <w:r>
        <w:t xml:space="preserve">by</w:t>
      </w:r>
      <w:r>
        <w:t xml:space="preserve"> </w:t>
      </w:r>
      <w:r>
        <w:t xml:space="preserve">“</w:t>
      </w:r>
      <w:r>
        <w:t xml:space="preserve">hetumati ca</w:t>
      </w:r>
      <w:r>
        <w:t xml:space="preserve">”</w:t>
      </w:r>
      <w:r>
        <w:t xml:space="preserve"> </w:t>
      </w:r>
      <w:r>
        <w:t xml:space="preserve">(Pā. sū. 3-1-26);</w:t>
      </w:r>
      <w:r>
        <w:t xml:space="preserve"> </w:t>
      </w:r>
      <w:r>
        <w:t xml:space="preserve">“</w:t>
      </w:r>
      <w:r>
        <w:t xml:space="preserve">ṇeś chandasi</w:t>
      </w:r>
      <w:r>
        <w:t xml:space="preserve">”</w:t>
      </w:r>
      <w:r>
        <w:t xml:space="preserve"> </w:t>
      </w:r>
      <w:r>
        <w:t xml:space="preserve">(Pā. sū. 3-2-138 [as printed]) gives</w:t>
      </w:r>
      <w:r>
        <w:t xml:space="preserve"> </w:t>
      </w:r>
      <w:r>
        <w:rPr>
          <w:iCs/>
          <w:i/>
        </w:rPr>
        <w:t xml:space="preserve">iṣṇuc</w:t>
      </w:r>
      <w:r>
        <w:t xml:space="preserve"> </w:t>
      </w:r>
      <w:r>
        <w:t xml:space="preserve">in the Veda after a</w:t>
      </w:r>
      <w:r>
        <w:t xml:space="preserve"> </w:t>
      </w:r>
      <w:r>
        <w:rPr>
          <w:iCs/>
          <w:i/>
        </w:rPr>
        <w:t xml:space="preserve">ṇic</w:t>
      </w:r>
      <w:r>
        <w:t xml:space="preserve">-ending root in the senses of habit and the like:</w:t>
      </w:r>
      <w:r>
        <w:t xml:space="preserve"> </w:t>
      </w:r>
      <w:r>
        <w:rPr>
          <w:iCs/>
          <w:i/>
        </w:rPr>
        <w:t xml:space="preserve">mad</w:t>
      </w:r>
      <w:r>
        <w:t xml:space="preserve"> </w:t>
      </w:r>
      <w:r>
        <w:t xml:space="preserve">+</w:t>
      </w:r>
      <w:r>
        <w:t xml:space="preserve"> </w:t>
      </w:r>
      <w:r>
        <w:rPr>
          <w:iCs/>
          <w:i/>
        </w:rPr>
        <w:t xml:space="preserve">i</w:t>
      </w:r>
      <w:r>
        <w:t xml:space="preserve"> </w:t>
      </w:r>
      <w:r>
        <w:t xml:space="preserve">+</w:t>
      </w:r>
      <w:r>
        <w:t xml:space="preserve"> </w:t>
      </w:r>
      <w:r>
        <w:rPr>
          <w:iCs/>
          <w:i/>
        </w:rPr>
        <w:t xml:space="preserve">iṣṇu</w:t>
      </w:r>
      <w:r>
        <w:t xml:space="preserve">;</w:t>
      </w:r>
      <w:r>
        <w:t xml:space="preserve"> </w:t>
      </w:r>
      <w:r>
        <w:t xml:space="preserve">“</w:t>
      </w:r>
      <w:r>
        <w:t xml:space="preserve">ṇer aniṭi</w:t>
      </w:r>
      <w:r>
        <w:t xml:space="preserve">”</w:t>
      </w:r>
      <w:r>
        <w:t xml:space="preserve"> </w:t>
      </w:r>
      <w:r>
        <w:t xml:space="preserve">(Pā. sū. 6-4-51) would drop the</w:t>
      </w:r>
      <w:r>
        <w:t xml:space="preserve"> </w:t>
      </w:r>
      <w:r>
        <w:rPr>
          <w:iCs/>
          <w:i/>
        </w:rPr>
        <w:t xml:space="preserve">ṇi</w:t>
      </w:r>
      <w:r>
        <w:t xml:space="preserve">, but</w:t>
      </w:r>
      <w:r>
        <w:t xml:space="preserve"> </w:t>
      </w:r>
      <w:r>
        <w:t xml:space="preserve">“</w:t>
      </w:r>
      <w:r>
        <w:t xml:space="preserve">ayāmantālvāyyetnviṣṇuṣu</w:t>
      </w:r>
      <w:r>
        <w:t xml:space="preserve">”</w:t>
      </w:r>
      <w:r>
        <w:t xml:space="preserve"> </w:t>
      </w:r>
      <w:r>
        <w:t xml:space="preserve">(Pā. sū. 6-4-55)</w:t>
      </w:r>
    </w:p>
    <w:bookmarkEnd w:id="637"/>
    <w:bookmarkStart w:id="638" w:name="page-599-rik-4-grammar-end"/>
    <w:p>
      <w:pPr>
        <w:pStyle w:val="Heading3"/>
      </w:pPr>
      <w:r>
        <w:t xml:space="preserve">Page 599 — Rik 4: grammar (end)</w:t>
      </w:r>
    </w:p>
    <w:p>
      <w:pPr>
        <w:pStyle w:val="FirstParagraph"/>
      </w:pPr>
      <w:r>
        <w:t xml:space="preserve">gives</w:t>
      </w:r>
      <w:r>
        <w:t xml:space="preserve"> </w:t>
      </w:r>
      <w:r>
        <w:rPr>
          <w:iCs/>
          <w:i/>
        </w:rPr>
        <w:t xml:space="preserve">ay</w:t>
      </w:r>
      <w:r>
        <w:t xml:space="preserve"> </w:t>
      </w:r>
      <w:r>
        <w:t xml:space="preserve">for</w:t>
      </w:r>
      <w:r>
        <w:t xml:space="preserve"> </w:t>
      </w:r>
      <w:r>
        <w:rPr>
          <w:iCs/>
          <w:i/>
        </w:rPr>
        <w:t xml:space="preserve">ṇi</w:t>
      </w:r>
      <w:r>
        <w:t xml:space="preserve"> </w:t>
      </w:r>
      <w:r>
        <w:t xml:space="preserve">before</w:t>
      </w:r>
      <w:r>
        <w:t xml:space="preserve"> </w:t>
      </w:r>
      <w:r>
        <w:rPr>
          <w:iCs/>
          <w:i/>
        </w:rPr>
        <w:t xml:space="preserve">ām</w:t>
      </w:r>
      <w:r>
        <w:t xml:space="preserve">,</w:t>
      </w:r>
      <w:r>
        <w:t xml:space="preserve"> </w:t>
      </w:r>
      <w:r>
        <w:rPr>
          <w:iCs/>
          <w:i/>
        </w:rPr>
        <w:t xml:space="preserve">anta</w:t>
      </w:r>
      <w:r>
        <w:t xml:space="preserve">,</w:t>
      </w:r>
      <w:r>
        <w:t xml:space="preserve"> </w:t>
      </w:r>
      <w:r>
        <w:rPr>
          <w:iCs/>
          <w:i/>
        </w:rPr>
        <w:t xml:space="preserve">ālu</w:t>
      </w:r>
      <w:r>
        <w:t xml:space="preserve">,</w:t>
      </w:r>
      <w:r>
        <w:t xml:space="preserve"> </w:t>
      </w:r>
      <w:r>
        <w:rPr>
          <w:iCs/>
          <w:i/>
        </w:rPr>
        <w:t xml:space="preserve">āyya</w:t>
      </w:r>
      <w:r>
        <w:t xml:space="preserve">,</w:t>
      </w:r>
      <w:r>
        <w:t xml:space="preserve"> </w:t>
      </w:r>
      <w:r>
        <w:rPr>
          <w:iCs/>
          <w:i/>
        </w:rPr>
        <w:t xml:space="preserve">itnu</w:t>
      </w:r>
      <w:r>
        <w:t xml:space="preserve">,</w:t>
      </w:r>
      <w:r>
        <w:t xml:space="preserve"> </w:t>
      </w:r>
      <w:r>
        <w:rPr>
          <w:iCs/>
          <w:i/>
        </w:rPr>
        <w:t xml:space="preserve">iṣṇu</w:t>
      </w:r>
      <w:r>
        <w:t xml:space="preserve">:</w:t>
      </w:r>
      <w:r>
        <w:t xml:space="preserve"> </w:t>
      </w:r>
      <w:r>
        <w:rPr>
          <w:iCs/>
          <w:i/>
        </w:rPr>
        <w:t xml:space="preserve">mad</w:t>
      </w:r>
      <w:r>
        <w:t xml:space="preserve"> </w:t>
      </w:r>
      <w:r>
        <w:t xml:space="preserve">+</w:t>
      </w:r>
      <w:r>
        <w:t xml:space="preserve"> </w:t>
      </w:r>
      <w:r>
        <w:rPr>
          <w:iCs/>
          <w:i/>
        </w:rPr>
        <w:t xml:space="preserve">ay</w:t>
      </w:r>
      <w:r>
        <w:t xml:space="preserve"> </w:t>
      </w:r>
      <w:r>
        <w:t xml:space="preserve">+</w:t>
      </w:r>
      <w:r>
        <w:t xml:space="preserve"> </w:t>
      </w:r>
      <w:r>
        <w:rPr>
          <w:iCs/>
          <w:i/>
        </w:rPr>
        <w:t xml:space="preserve">iṣṇu</w:t>
      </w:r>
      <w:r>
        <w:t xml:space="preserve">;</w:t>
      </w:r>
      <w:r>
        <w:t xml:space="preserve"> </w:t>
      </w:r>
      <w:r>
        <w:rPr>
          <w:iCs/>
          <w:i/>
        </w:rPr>
        <w:t xml:space="preserve">vṛddhi</w:t>
      </w:r>
      <w:r>
        <w:t xml:space="preserve"> </w:t>
      </w:r>
      <w:r>
        <w:t xml:space="preserve">of the penultimate; nominative plural</w:t>
      </w:r>
      <w:r>
        <w:t xml:space="preserve"> </w:t>
      </w:r>
      <w:r>
        <w:rPr>
          <w:iCs/>
          <w:i/>
        </w:rPr>
        <w:t xml:space="preserve">mādayiṣṇavaḥ</w:t>
      </w:r>
      <w:r>
        <w:t xml:space="preserve">; final udātta by the</w:t>
      </w:r>
      <w:r>
        <w:t xml:space="preserve"> </w:t>
      </w:r>
      <w:r>
        <w:rPr>
          <w:iCs/>
          <w:i/>
        </w:rPr>
        <w:t xml:space="preserve">cit</w:t>
      </w:r>
      <w:r>
        <w:t xml:space="preserve"> </w:t>
      </w:r>
      <w:r>
        <w:t xml:space="preserve">accent.</w:t>
      </w:r>
    </w:p>
    <w:p>
      <w:pPr>
        <w:pStyle w:val="BodyText"/>
      </w:pPr>
      <w:r>
        <w:rPr>
          <w:bCs/>
          <w:b/>
        </w:rPr>
        <w:t xml:space="preserve">मध्वः (</w:t>
      </w:r>
      <w:r>
        <w:rPr>
          <w:iCs/>
          <w:i/>
          <w:bCs/>
          <w:b/>
        </w:rPr>
        <w:t xml:space="preserve">madhvaḥ</w:t>
      </w:r>
      <w:r>
        <w:rPr>
          <w:bCs/>
          <w:b/>
        </w:rPr>
        <w:t xml:space="preserve">)</w:t>
      </w:r>
      <w:r>
        <w:t xml:space="preserve">: in Sūkta 13, Ṛk 2 the word</w:t>
      </w:r>
      <w:r>
        <w:t xml:space="preserve"> </w:t>
      </w:r>
      <w:r>
        <w:rPr>
          <w:iCs/>
          <w:i/>
        </w:rPr>
        <w:t xml:space="preserve">madhu</w:t>
      </w:r>
      <w:r>
        <w:t xml:space="preserve"> </w:t>
      </w:r>
      <w:r>
        <w:t xml:space="preserve">was said to be initial udātta.</w:t>
      </w:r>
      <w:r>
        <w:t xml:space="preserve"> </w:t>
      </w:r>
      <w:r>
        <w:rPr>
          <w:iCs/>
          <w:i/>
        </w:rPr>
        <w:t xml:space="preserve">Madhu</w:t>
      </w:r>
      <w:r>
        <w:t xml:space="preserve"> </w:t>
      </w:r>
      <w:r>
        <w:t xml:space="preserve">is neuter, but here masculine by</w:t>
      </w:r>
      <w:r>
        <w:t xml:space="preserve"> </w:t>
      </w:r>
      <w:r>
        <w:rPr>
          <w:iCs/>
          <w:i/>
        </w:rPr>
        <w:t xml:space="preserve">vyatyaya</w:t>
      </w:r>
      <w:r>
        <w:t xml:space="preserve">. Before</w:t>
      </w:r>
      <w:r>
        <w:t xml:space="preserve"> </w:t>
      </w:r>
      <w:r>
        <w:rPr>
          <w:iCs/>
          <w:i/>
        </w:rPr>
        <w:t xml:space="preserve">jas</w:t>
      </w:r>
      <w:r>
        <w:t xml:space="preserve">,</w:t>
      </w:r>
      <w:r>
        <w:t xml:space="preserve"> </w:t>
      </w:r>
      <w:r>
        <w:t xml:space="preserve">“</w:t>
      </w:r>
      <w:r>
        <w:t xml:space="preserve">jasi ca</w:t>
      </w:r>
      <w:r>
        <w:t xml:space="preserve">”</w:t>
      </w:r>
      <w:r>
        <w:t xml:space="preserve"> </w:t>
      </w:r>
      <w:r>
        <w:t xml:space="preserve">(Pā. sū. 7-3-109) would give</w:t>
      </w:r>
      <w:r>
        <w:t xml:space="preserve"> </w:t>
      </w:r>
      <w:r>
        <w:rPr>
          <w:iCs/>
          <w:i/>
        </w:rPr>
        <w:t xml:space="preserve">guṇa</w:t>
      </w:r>
      <w:r>
        <w:t xml:space="preserve"> </w:t>
      </w:r>
      <w:r>
        <w:t xml:space="preserve">to an</w:t>
      </w:r>
      <w:r>
        <w:t xml:space="preserve"> </w:t>
      </w:r>
      <w:r>
        <w:rPr>
          <w:iCs/>
          <w:i/>
        </w:rPr>
        <w:t xml:space="preserve">ik</w:t>
      </w:r>
      <w:r>
        <w:t xml:space="preserve">-final stem; but it comes naming the technical term</w:t>
      </w:r>
      <w:r>
        <w:t xml:space="preserve"> </w:t>
      </w:r>
      <w:r>
        <w:rPr>
          <w:iCs/>
          <w:i/>
        </w:rPr>
        <w:t xml:space="preserve">guṇa</w:t>
      </w:r>
      <w:r>
        <w:t xml:space="preserve">, so by</w:t>
      </w:r>
      <w:r>
        <w:t xml:space="preserve"> </w:t>
      </w:r>
      <w:r>
        <w:t xml:space="preserve">“</w:t>
      </w:r>
      <w:r>
        <w:t xml:space="preserve">saṃjñāpūrvako vidhir anityaḥ</w:t>
      </w:r>
      <w:r>
        <w:t xml:space="preserve">”</w:t>
      </w:r>
      <w:r>
        <w:t xml:space="preserve"> </w:t>
      </w:r>
      <w:r>
        <w:t xml:space="preserve">(paribhāṣā 93) it is optional, and does not come here.</w:t>
      </w:r>
    </w:p>
    <w:p>
      <w:pPr>
        <w:pStyle w:val="BodyText"/>
      </w:pPr>
      <w:r>
        <w:rPr>
          <w:bCs/>
          <w:b/>
        </w:rPr>
        <w:t xml:space="preserve">चमूषदः (</w:t>
      </w:r>
      <w:r>
        <w:rPr>
          <w:iCs/>
          <w:i/>
          <w:bCs/>
          <w:b/>
        </w:rPr>
        <w:t xml:space="preserve">camūṣadaḥ</w:t>
      </w:r>
      <w:r>
        <w:rPr>
          <w:bCs/>
          <w:b/>
        </w:rPr>
        <w:t xml:space="preserve">)</w:t>
      </w:r>
      <w:r>
        <w:t xml:space="preserve">:</w:t>
      </w:r>
      <w:r>
        <w:t xml:space="preserve"> </w:t>
      </w:r>
      <w:r>
        <w:rPr>
          <w:iCs/>
          <w:i/>
        </w:rPr>
        <w:t xml:space="preserve">camu chamu jamu jhamu adane</w:t>
      </w:r>
      <w:r>
        <w:t xml:space="preserve">;</w:t>
      </w:r>
      <w:r>
        <w:t xml:space="preserve"> </w:t>
      </w:r>
      <w:r>
        <w:t xml:space="preserve">“</w:t>
      </w:r>
      <w:r>
        <w:t xml:space="preserve">kṛṣicamitanidhanisarjikharjibhya ūḥ</w:t>
      </w:r>
      <w:r>
        <w:t xml:space="preserve">”</w:t>
      </w:r>
      <w:r>
        <w:t xml:space="preserve"> </w:t>
      </w:r>
      <w:r>
        <w:t xml:space="preserve">(Uṇ. sū.</w:t>
      </w:r>
      <w:r>
        <w:t xml:space="preserve"> </w:t>
      </w:r>
      <w:r>
        <w:t xml:space="preserve">“</w:t>
      </w:r>
      <w:r>
        <w:t xml:space="preserve">1-81</w:t>
      </w:r>
      <w:r>
        <w:t xml:space="preserve">”</w:t>
      </w:r>
      <w:r>
        <w:t xml:space="preserve"> </w:t>
      </w:r>
      <w:r>
        <w:t xml:space="preserve">[?];</w:t>
      </w:r>
      <w:r>
        <w:t xml:space="preserve"> </w:t>
      </w:r>
      <w:r>
        <w:rPr>
          <w:iCs/>
          <w:i/>
        </w:rPr>
        <w:t xml:space="preserve">kṛṣa vilekhane</w:t>
      </w:r>
      <w:r>
        <w:t xml:space="preserve">,</w:t>
      </w:r>
      <w:r>
        <w:t xml:space="preserve"> </w:t>
      </w:r>
      <w:r>
        <w:rPr>
          <w:iCs/>
          <w:i/>
        </w:rPr>
        <w:t xml:space="preserve">camu adane</w:t>
      </w:r>
      <w:r>
        <w:t xml:space="preserve">,</w:t>
      </w:r>
      <w:r>
        <w:t xml:space="preserve"> </w:t>
      </w:r>
      <w:r>
        <w:rPr>
          <w:iCs/>
          <w:i/>
        </w:rPr>
        <w:t xml:space="preserve">tanu vistāre</w:t>
      </w:r>
      <w:r>
        <w:t xml:space="preserve">,</w:t>
      </w:r>
      <w:r>
        <w:t xml:space="preserve"> </w:t>
      </w:r>
      <w:r>
        <w:rPr>
          <w:iCs/>
          <w:i/>
        </w:rPr>
        <w:t xml:space="preserve">dhana dhānye</w:t>
      </w:r>
      <w:r>
        <w:t xml:space="preserve">,</w:t>
      </w:r>
      <w:r>
        <w:t xml:space="preserve"> </w:t>
      </w:r>
      <w:r>
        <w:rPr>
          <w:iCs/>
          <w:i/>
        </w:rPr>
        <w:t xml:space="preserve">sarja sarjane</w:t>
      </w:r>
      <w:r>
        <w:t xml:space="preserve">,</w:t>
      </w:r>
      <w:r>
        <w:t xml:space="preserve"> </w:t>
      </w:r>
      <w:r>
        <w:rPr>
          <w:iCs/>
          <w:i/>
        </w:rPr>
        <w:t xml:space="preserve">kharja vyathane</w:t>
      </w:r>
      <w:r>
        <w:t xml:space="preserve">) gives</w:t>
      </w:r>
      <w:r>
        <w:t xml:space="preserve"> </w:t>
      </w:r>
      <w:r>
        <w:rPr>
          <w:iCs/>
          <w:i/>
        </w:rPr>
        <w:t xml:space="preserve">ū</w:t>
      </w:r>
      <w:r>
        <w:t xml:space="preserve"> </w:t>
      </w:r>
      <w:r>
        <w:t xml:space="preserve">after</w:t>
      </w:r>
      <w:r>
        <w:t xml:space="preserve"> </w:t>
      </w:r>
      <w:r>
        <w:rPr>
          <w:iCs/>
          <w:i/>
        </w:rPr>
        <w:t xml:space="preserve">cam</w:t>
      </w:r>
      <w:r>
        <w:t xml:space="preserve">:</w:t>
      </w:r>
      <w:r>
        <w:t xml:space="preserve"> </w:t>
      </w:r>
      <w:r>
        <w:rPr>
          <w:iCs/>
          <w:i/>
        </w:rPr>
        <w:t xml:space="preserve">camū</w:t>
      </w:r>
      <w:r>
        <w:t xml:space="preserve">;</w:t>
      </w:r>
      <w:r>
        <w:t xml:space="preserve"> </w:t>
      </w:r>
      <w:r>
        <w:rPr>
          <w:iCs/>
          <w:i/>
        </w:rPr>
        <w:t xml:space="preserve">camyate bhakṣyate yeṣu camaseṣu te</w:t>
      </w:r>
      <w:r>
        <w:t xml:space="preserve"> </w:t>
      </w:r>
      <w:r>
        <w:t xml:space="preserve">(the vessels in which it is eaten);</w:t>
      </w:r>
      <w:r>
        <w:t xml:space="preserve"> </w:t>
      </w:r>
      <w:r>
        <w:rPr>
          <w:iCs/>
          <w:i/>
        </w:rPr>
        <w:t xml:space="preserve">camvaḥ camūṣu sīdantīti camūṣadaḥ</w:t>
      </w:r>
      <w:r>
        <w:t xml:space="preserve">.</w:t>
      </w:r>
      <w:r>
        <w:t xml:space="preserve"> </w:t>
      </w:r>
      <w:r>
        <w:t xml:space="preserve">“</w:t>
      </w:r>
      <w:r>
        <w:t xml:space="preserve">satsūdviṣadruhaduhayujavidabhidacchidajinīrājām upasarge ’pi kvip</w:t>
      </w:r>
      <w:r>
        <w:t xml:space="preserve">”</w:t>
      </w:r>
      <w:r>
        <w:t xml:space="preserve"> </w:t>
      </w:r>
      <w:r>
        <w:t xml:space="preserve">(Pā. sū. 3-2-61): after</w:t>
      </w:r>
      <w:r>
        <w:t xml:space="preserve"> </w:t>
      </w:r>
      <w:r>
        <w:rPr>
          <w:iCs/>
          <w:i/>
        </w:rPr>
        <w:t xml:space="preserve">ṣadḷ viśaraṇādau</w:t>
      </w:r>
      <w:r>
        <w:t xml:space="preserve">,</w:t>
      </w:r>
      <w:r>
        <w:t xml:space="preserve"> </w:t>
      </w:r>
      <w:r>
        <w:rPr>
          <w:iCs/>
          <w:i/>
        </w:rPr>
        <w:t xml:space="preserve">ṣūṅ prāṇigarbhavimocane</w:t>
      </w:r>
      <w:r>
        <w:t xml:space="preserve">,</w:t>
      </w:r>
      <w:r>
        <w:t xml:space="preserve"> </w:t>
      </w:r>
      <w:r>
        <w:rPr>
          <w:iCs/>
          <w:i/>
        </w:rPr>
        <w:t xml:space="preserve">dviṣa aprītau</w:t>
      </w:r>
      <w:r>
        <w:t xml:space="preserve">,</w:t>
      </w:r>
      <w:r>
        <w:t xml:space="preserve"> </w:t>
      </w:r>
      <w:r>
        <w:rPr>
          <w:iCs/>
          <w:i/>
        </w:rPr>
        <w:t xml:space="preserve">druha jighāṃsāyām</w:t>
      </w:r>
      <w:r>
        <w:t xml:space="preserve">,</w:t>
      </w:r>
      <w:r>
        <w:t xml:space="preserve"> </w:t>
      </w:r>
      <w:r>
        <w:rPr>
          <w:iCs/>
          <w:i/>
        </w:rPr>
        <w:t xml:space="preserve">duha prapūraṇe</w:t>
      </w:r>
      <w:r>
        <w:t xml:space="preserve">,</w:t>
      </w:r>
      <w:r>
        <w:t xml:space="preserve"> </w:t>
      </w:r>
      <w:r>
        <w:rPr>
          <w:iCs/>
          <w:i/>
        </w:rPr>
        <w:t xml:space="preserve">yujir yoge</w:t>
      </w:r>
      <w:r>
        <w:t xml:space="preserve">,</w:t>
      </w:r>
      <w:r>
        <w:t xml:space="preserve"> </w:t>
      </w:r>
      <w:r>
        <w:rPr>
          <w:iCs/>
          <w:i/>
        </w:rPr>
        <w:t xml:space="preserve">yuja samādhau</w:t>
      </w:r>
      <w:r>
        <w:t xml:space="preserve">,</w:t>
      </w:r>
      <w:r>
        <w:t xml:space="preserve"> </w:t>
      </w:r>
      <w:r>
        <w:rPr>
          <w:iCs/>
          <w:i/>
        </w:rPr>
        <w:t xml:space="preserve">vida jñāne</w:t>
      </w:r>
      <w:r>
        <w:t xml:space="preserve">,</w:t>
      </w:r>
      <w:r>
        <w:t xml:space="preserve"> </w:t>
      </w:r>
      <w:r>
        <w:rPr>
          <w:iCs/>
          <w:i/>
        </w:rPr>
        <w:t xml:space="preserve">vida vicāraṇe</w:t>
      </w:r>
      <w:r>
        <w:t xml:space="preserve">,</w:t>
      </w:r>
      <w:r>
        <w:t xml:space="preserve"> </w:t>
      </w:r>
      <w:r>
        <w:rPr>
          <w:iCs/>
          <w:i/>
        </w:rPr>
        <w:t xml:space="preserve">vida sattāyām</w:t>
      </w:r>
      <w:r>
        <w:t xml:space="preserve">,</w:t>
      </w:r>
      <w:r>
        <w:t xml:space="preserve"> </w:t>
      </w:r>
      <w:r>
        <w:rPr>
          <w:iCs/>
          <w:i/>
        </w:rPr>
        <w:t xml:space="preserve">chidir dvaidhīkaraṇe</w:t>
      </w:r>
      <w:r>
        <w:t xml:space="preserve">,</w:t>
      </w:r>
      <w:r>
        <w:t xml:space="preserve"> </w:t>
      </w:r>
      <w:r>
        <w:rPr>
          <w:iCs/>
          <w:i/>
        </w:rPr>
        <w:t xml:space="preserve">bhidir vidāraṇe</w:t>
      </w:r>
      <w:r>
        <w:t xml:space="preserve">,</w:t>
      </w:r>
      <w:r>
        <w:t xml:space="preserve"> </w:t>
      </w:r>
      <w:r>
        <w:rPr>
          <w:iCs/>
          <w:i/>
        </w:rPr>
        <w:t xml:space="preserve">ji jaye</w:t>
      </w:r>
      <w:r>
        <w:t xml:space="preserve">,</w:t>
      </w:r>
      <w:r>
        <w:t xml:space="preserve"> </w:t>
      </w:r>
      <w:r>
        <w:rPr>
          <w:iCs/>
          <w:i/>
        </w:rPr>
        <w:t xml:space="preserve">ṇīñ prāpaṇe</w:t>
      </w:r>
      <w:r>
        <w:t xml:space="preserve">,</w:t>
      </w:r>
      <w:r>
        <w:t xml:space="preserve"> </w:t>
      </w:r>
      <w:r>
        <w:rPr>
          <w:iCs/>
          <w:i/>
        </w:rPr>
        <w:t xml:space="preserve">rājṛ dīptau</w:t>
      </w:r>
      <w:r>
        <w:t xml:space="preserve">, with or without an</w:t>
      </w:r>
      <w:r>
        <w:t xml:space="preserve"> </w:t>
      </w:r>
      <w:r>
        <w:rPr>
          <w:iCs/>
          <w:i/>
        </w:rPr>
        <w:t xml:space="preserve">upasarga</w:t>
      </w:r>
      <w:r>
        <w:t xml:space="preserve">, when there is a suitable</w:t>
      </w:r>
      <w:r>
        <w:t xml:space="preserve"> </w:t>
      </w:r>
      <w:r>
        <w:rPr>
          <w:iCs/>
          <w:i/>
        </w:rPr>
        <w:t xml:space="preserve">upapada</w:t>
      </w:r>
      <w:r>
        <w:t xml:space="preserve">,</w:t>
      </w:r>
      <w:r>
        <w:t xml:space="preserve"> </w:t>
      </w:r>
      <w:r>
        <w:rPr>
          <w:iCs/>
          <w:i/>
        </w:rPr>
        <w:t xml:space="preserve">kvip</w:t>
      </w:r>
      <w:r>
        <w:t xml:space="preserve"> </w:t>
      </w:r>
      <w:r>
        <w:t xml:space="preserve">comes; so</w:t>
      </w:r>
      <w:r>
        <w:t xml:space="preserve"> </w:t>
      </w:r>
      <w:r>
        <w:rPr>
          <w:iCs/>
          <w:i/>
        </w:rPr>
        <w:t xml:space="preserve">kvip</w:t>
      </w:r>
      <w:r>
        <w:t xml:space="preserve"> </w:t>
      </w:r>
      <w:r>
        <w:t xml:space="preserve">after</w:t>
      </w:r>
      <w:r>
        <w:t xml:space="preserve"> </w:t>
      </w:r>
      <w:r>
        <w:rPr>
          <w:iCs/>
          <w:i/>
        </w:rPr>
        <w:t xml:space="preserve">sad</w:t>
      </w:r>
      <w:r>
        <w:t xml:space="preserve"> </w:t>
      </w:r>
      <w:r>
        <w:t xml:space="preserve">with the</w:t>
      </w:r>
      <w:r>
        <w:t xml:space="preserve"> </w:t>
      </w:r>
      <w:r>
        <w:rPr>
          <w:iCs/>
          <w:i/>
        </w:rPr>
        <w:t xml:space="preserve">upapada</w:t>
      </w:r>
      <w:r>
        <w:t xml:space="preserve"> </w:t>
      </w:r>
      <w:r>
        <w:rPr>
          <w:iCs/>
          <w:i/>
        </w:rPr>
        <w:t xml:space="preserve">camū</w:t>
      </w:r>
      <w:r>
        <w:t xml:space="preserve">:</w:t>
      </w:r>
      <w:r>
        <w:t xml:space="preserve"> </w:t>
      </w:r>
      <w:r>
        <w:rPr>
          <w:iCs/>
          <w:i/>
        </w:rPr>
        <w:t xml:space="preserve">camūsad</w:t>
      </w:r>
      <w:r>
        <w:t xml:space="preserve">; by</w:t>
      </w:r>
      <w:r>
        <w:t xml:space="preserve"> </w:t>
      </w:r>
      <w:r>
        <w:t xml:space="preserve">“</w:t>
      </w:r>
      <w:r>
        <w:t xml:space="preserve">suṣāmādiṣu ca</w:t>
      </w:r>
      <w:r>
        <w:t xml:space="preserve">”</w:t>
      </w:r>
      <w:r>
        <w:t xml:space="preserve"> </w:t>
      </w:r>
      <w:r>
        <w:t xml:space="preserve">(Pā. sū. 8-3-98) the</w:t>
      </w:r>
      <w:r>
        <w:t xml:space="preserve"> </w:t>
      </w:r>
      <w:r>
        <w:rPr>
          <w:iCs/>
          <w:i/>
        </w:rPr>
        <w:t xml:space="preserve">s</w:t>
      </w:r>
      <w:r>
        <w:t xml:space="preserve"> </w:t>
      </w:r>
      <w:r>
        <w:t xml:space="preserve">of words in the</w:t>
      </w:r>
      <w:r>
        <w:t xml:space="preserve"> </w:t>
      </w:r>
      <w:r>
        <w:rPr>
          <w:iCs/>
          <w:i/>
        </w:rPr>
        <w:t xml:space="preserve">suṣāmādi</w:t>
      </w:r>
      <w:r>
        <w:t xml:space="preserve"> </w:t>
      </w:r>
      <w:r>
        <w:t xml:space="preserve">class becomes</w:t>
      </w:r>
      <w:r>
        <w:t xml:space="preserve"> </w:t>
      </w:r>
      <w:r>
        <w:rPr>
          <w:iCs/>
          <w:i/>
        </w:rPr>
        <w:t xml:space="preserve">ṣ</w:t>
      </w:r>
      <w:r>
        <w:t xml:space="preserve">; that class is an</w:t>
      </w:r>
      <w:r>
        <w:t xml:space="preserve"> </w:t>
      </w:r>
      <w:r>
        <w:rPr>
          <w:iCs/>
          <w:i/>
        </w:rPr>
        <w:t xml:space="preserve">ākṛtigaṇa</w:t>
      </w:r>
      <w:r>
        <w:t xml:space="preserve">, and this word belongs to it. By</w:t>
      </w:r>
      <w:r>
        <w:t xml:space="preserve"> </w:t>
      </w:r>
      <w:r>
        <w:t xml:space="preserve">“</w:t>
      </w:r>
      <w:r>
        <w:t xml:space="preserve">gatikārakopapadāt kṛt</w:t>
      </w:r>
      <w:r>
        <w:t xml:space="preserve">”</w:t>
      </w:r>
      <w:r>
        <w:t xml:space="preserve"> </w:t>
      </w:r>
      <w:r>
        <w:t xml:space="preserve">(Pā. sū. 6-2-139) the</w:t>
      </w:r>
      <w:r>
        <w:t xml:space="preserve"> </w:t>
      </w:r>
      <w:r>
        <w:rPr>
          <w:iCs/>
          <w:i/>
        </w:rPr>
        <w:t xml:space="preserve">kṛt</w:t>
      </w:r>
      <w:r>
        <w:t xml:space="preserve"> </w:t>
      </w:r>
      <w:r>
        <w:t xml:space="preserve">second member keeps its accent, final udātta by the root accent;</w:t>
      </w:r>
      <w:r>
        <w:t xml:space="preserve"> </w:t>
      </w:r>
      <w:r>
        <w:rPr>
          <w:iCs/>
          <w:i/>
        </w:rPr>
        <w:t xml:space="preserve">jas</w:t>
      </w:r>
      <w:r>
        <w:t xml:space="preserve"> </w:t>
      </w:r>
      <w:r>
        <w:t xml:space="preserve">after it is unaccented and becomes svarita by</w:t>
      </w:r>
      <w:r>
        <w:t xml:space="preserve"> </w:t>
      </w:r>
      <w:r>
        <w:t xml:space="preserve">“</w:t>
      </w:r>
      <w:r>
        <w:t xml:space="preserve">udāttād anudāttasya</w:t>
      </w:r>
      <w:r>
        <w:t xml:space="preserve">”</w:t>
      </w:r>
      <w:r>
        <w:t xml:space="preserve">.</w:t>
      </w:r>
    </w:p>
    <w:p>
      <w:pPr>
        <w:pStyle w:val="BodyText"/>
      </w:pPr>
      <w:r>
        <w:rPr>
          <w:bCs/>
          <w:b/>
        </w:rPr>
        <w:t xml:space="preserve">॥४॥</w:t>
      </w:r>
    </w:p>
    <w:p>
      <w:r>
        <w:pict>
          <v:rect style="width:0;height:1.5pt" o:hralign="center" o:hrstd="t" o:hr="t"/>
        </w:pict>
      </w:r>
    </w:p>
    <w:bookmarkEnd w:id="638"/>
    <w:bookmarkStart w:id="639" w:name="page-599-lower-sūkta-14-rik-5"/>
    <w:p>
      <w:pPr>
        <w:pStyle w:val="Heading3"/>
      </w:pPr>
      <w:r>
        <w:t xml:space="preserve">Page 599 (lower) — Sūkta 14, Rik 5</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ईळ॑ते॒ त्वाम॑व॒स्यवः॒ कण्वा॑सो वृ॒क्तब॑र्हिषः ।</w:t>
      </w:r>
      <w:r>
        <w:t xml:space="preserve"> </w:t>
      </w:r>
      <w:r>
        <w:t xml:space="preserve">ह॒विष्म॑न्तो अ॒रं॒कृतः॑ ॥५॥ [accent ?]</w:t>
      </w:r>
    </w:p>
    <w:p>
      <w:pPr>
        <w:pStyle w:val="BlockText"/>
      </w:pPr>
      <w:r>
        <w:rPr>
          <w:iCs/>
          <w:i/>
        </w:rPr>
        <w:t xml:space="preserve">ī́ḷate tvā́m avasyávaḥ káṇvāso vṛktábarhiṣaḥ |</w:t>
      </w:r>
      <w:r>
        <w:t xml:space="preserve"> </w:t>
      </w:r>
      <w:r>
        <w:rPr>
          <w:iCs/>
          <w:i/>
        </w:rPr>
        <w:t xml:space="preserve">havíṣmanto araṃkṛ́taḥ ||5||</w:t>
      </w:r>
      <w:r>
        <w:t xml:space="preserve"> </w:t>
      </w:r>
      <w:r>
        <w:t xml:space="preserve">[accent ?]</w:t>
      </w:r>
    </w:p>
    <w:p>
      <w:pPr>
        <w:pStyle w:val="FirstParagraph"/>
      </w:pPr>
      <w:r>
        <w:rPr>
          <w:iCs/>
          <w:i/>
        </w:rPr>
        <w:t xml:space="preserve">(Line 2: the bars at the foot of the page are faint; the stroke stands over कृ/तः, read as over तः.)</w:t>
      </w:r>
    </w:p>
    <w:bookmarkEnd w:id="639"/>
    <w:bookmarkStart w:id="640" w:name="X056869284303dff566dcaf50bc9c05e20aeda03"/>
    <w:p>
      <w:pPr>
        <w:pStyle w:val="Heading3"/>
      </w:pPr>
      <w:r>
        <w:t xml:space="preserve">Page 600 — Rik 5: Pada, bhāṣya, word-meanings, overall sense</w:t>
      </w:r>
    </w:p>
    <w:p>
      <w:pPr>
        <w:pStyle w:val="FirstParagraph"/>
      </w:pPr>
      <w:r>
        <w:rPr>
          <w:bCs/>
          <w:b/>
        </w:rPr>
        <w:t xml:space="preserve">॥ Pada-pāṭhaḥ ॥</w:t>
      </w:r>
    </w:p>
    <w:p>
      <w:pPr>
        <w:pStyle w:val="BlockText"/>
      </w:pPr>
      <w:r>
        <w:t xml:space="preserve">ईळते । त्वाम् । अवस्यवः । कण्वासः । वृक्तऽबर्हिषः ॥</w:t>
      </w:r>
      <w:r>
        <w:t xml:space="preserve"> </w:t>
      </w:r>
      <w:r>
        <w:t xml:space="preserve">हविष्मन्तः । अरम्ऽकृतः ॥५॥</w:t>
      </w:r>
    </w:p>
    <w:p>
      <w:pPr>
        <w:pStyle w:val="BlockText"/>
      </w:pPr>
      <w:r>
        <w:rPr>
          <w:iCs/>
          <w:i/>
        </w:rPr>
        <w:t xml:space="preserve">īḷate | tvām | avasyavaḥ | kaṇvāsaḥ | vṛkta ’barhiṣaḥ ||</w:t>
      </w:r>
      <w:r>
        <w:t xml:space="preserve"> </w:t>
      </w:r>
      <w:r>
        <w:rPr>
          <w:iCs/>
          <w:i/>
        </w:rPr>
        <w:t xml:space="preserve">haviṣmantaḥ | aram ’kṛtaḥ ||5||</w:t>
      </w:r>
    </w:p>
    <w:p>
      <w:pPr>
        <w:pStyle w:val="FirstParagraph"/>
      </w:pPr>
      <w:r>
        <w:rPr>
          <w:bCs/>
          <w:b/>
        </w:rPr>
        <w:t xml:space="preserve">॥ Sāyaṇa-bhāṣyam ॥</w:t>
      </w:r>
    </w:p>
    <w:p>
      <w:pPr>
        <w:pStyle w:val="BlockText"/>
      </w:pPr>
      <w:r>
        <w:t xml:space="preserve">हे अग्ने त्वामीळते । ऋत्विजः स्तुवन्ति । कीदृशाः । अवस्यवः । अवनं रक्षणं तद्धेतून्देवानिच्छन्तः । कण्वासो मेधाविनो वृक्तबर्हिष आस्तरणार्थं छिन्नदर्भा हविष्मन्तो हविर्युक्ता अरंकृतो ऽलंकर्तारः ॥ ईळते । ईड स्तुतौ । अनुदात्तेत्त्वाल्लटो झः । अदिप्रभृतिभ्यः शप इति शपो लुक् । झस्यादादेशः । टेरेत्वं । तास्यनुदात्तेदित्यादिना लसार्वधातुकस्यानुदात्तत्वाद्धातुस्वर एव शिष्यते । अवस्यवः । अवन्तीत्यवा देवाः । तानतिशयेनेच्छन्ति । सुप आत्मनः क्यच् । क्यचि च । पा. ७-४-३३ । इतीत्वं न भवति । न छन्दस्यपुत्रस्य । पा. ७-४-३५ । इति निषेधात् । सर्वप्रातिपदिकेभ्यो लालसायां सुग्वक्तव्यः । म. ७-१-५१-२ । इति सुक् । क्याच्छन्दसीत्युप्रत्ययः । अतो लोपः । प्रत्ययस्वरेणान्तोदात्तत्वं । कण्वासः । कण शब्दार्थः । कणन्ति ध्वनन्ति स्तोत्रादिपाठेनेति कण्वा ऋत्विजः । अशिप्रुषीत्यादिना क्वन् । नित्त्वादाद्युदात्तः । आज्जसेरसुक् । पा. ७-१-५० । इत्यसुक् । वृक्तबर्हिषः । वृक्तमुक्तं । बहुव्रीहौ पूर्वपदप्रकृतिस्वरत्वं । हविष्मन्तः । हविरेषामस्तीति हविष्मन्तः । तसौ मत्वर्थ इति भत्वेनापदत्वान्न रुत्वं । अरंकृतः । अलंकुर्वन्तीत्यरंकृतः । क्विप्चेति क्विप् । ह्रस्वस्य तुक् । कपिलकादीनां संज्ञाछन्दसोर्वा लो रत्वमापद्यते । पा. ८-२-१८-३ । इति लकारस्य रेफादेशः ॥</w:t>
      </w:r>
    </w:p>
    <w:p>
      <w:pPr>
        <w:pStyle w:val="BlockText"/>
      </w:pPr>
      <w:r>
        <w:rPr>
          <w:iCs/>
          <w:i/>
        </w:rPr>
        <w:t xml:space="preserve">he agne tvāmīḷate | ṛtvijaḥ stuvanti | kīdṛśāḥ | avasyavaḥ | avanaṃ rakṣaṇaṃ taddhetūndevānicchantaḥ | kaṇvāso medhāvino vṛktabarhiṣa āstaraṇārthaṃ chinnadarbhā haviṣmanto haviryuktā araṃkṛto ’laṃkartāraḥ || īḷate | īḍa stutau | anudāttettvāllaṭo jhaḥ | adiprabhṛtibhyaḥ śapa iti śapo luk | jhasyādādeśaḥ | ṭeretvaṃ | tāsyanudāttedityādinā lasārvadhātukasyānudāttatvāddhātusvara eva śiṣyate | avasyavaḥ | avantītyavā devāḥ | tānatiśayenecchanti | supa ātmanaḥ kyac | kyaci ca | pā. 7-4-33 | itītvaṃ na bhavati | na chandasyaputrasya | pā. 7-4-35 | iti niṣedhāt | sarvaprātipadikebhyo lālasāyāṃ sugvaktavyaḥ | ma. 7-1-51-2 | iti suk | kyācchandasītyupratyayaḥ | ato lopaḥ | pratyayasvareṇāntodāttatvaṃ | kaṇvāsaḥ | kaṇa śabdārthaḥ | kaṇanti dhvananti stotrādipāṭheneti kaṇvā ṛtvijaḥ | aśipruṣītyādinā kvan | nittvādādyudāttaḥ | ājjaserasuk | pā. 7-1-50 | ityasuk | vṛktabarhiṣaḥ | vṛktamuktaṃ | bahuvrīhau pūrvapadaprakṛtisvaratvaṃ | haviṣmantaḥ | havireṣāmastīti haviṣmantaḥ | tasau matvartha iti bhatvenāpadatvānna rutvaṃ | araṃkṛtaḥ | alaṃkurvantītyaraṃkṛtaḥ | kvipceti kvip | hrasvasya tuk | kapilakādīnāṃ saṃjñāchandasorvā lo ratvamāpadyate | pā. 8-2-18-3 | iti lakārasya rephādeśaḥ ||</w:t>
      </w:r>
    </w:p>
    <w:p>
      <w:pPr>
        <w:pStyle w:val="FirstParagraph"/>
      </w:pPr>
      <w:r>
        <w:rPr>
          <w:bCs/>
          <w:b/>
        </w:rPr>
        <w:t xml:space="preserve">Translation:</w:t>
      </w:r>
      <w:r>
        <w:t xml:space="preserve"> </w:t>
      </w:r>
      <w:r>
        <w:t xml:space="preserve">“</w:t>
      </w:r>
      <w:r>
        <w:t xml:space="preserve">O Agni, the priests</w:t>
      </w:r>
      <w:r>
        <w:t xml:space="preserve"> </w:t>
      </w:r>
      <w:r>
        <w:rPr>
          <w:iCs/>
          <w:i/>
        </w:rPr>
        <w:t xml:space="preserve">īḷate</w:t>
      </w:r>
      <w:r>
        <w:t xml:space="preserve">, praise, you. What are they like?</w:t>
      </w:r>
      <w:r>
        <w:t xml:space="preserve"> </w:t>
      </w:r>
      <w:r>
        <w:rPr>
          <w:iCs/>
          <w:i/>
        </w:rPr>
        <w:t xml:space="preserve">Avasyavaḥ</w:t>
      </w:r>
      <w:r>
        <w:t xml:space="preserve">: desiring the gods, who are the cause of</w:t>
      </w:r>
      <w:r>
        <w:t xml:space="preserve"> </w:t>
      </w:r>
      <w:r>
        <w:rPr>
          <w:iCs/>
          <w:i/>
        </w:rPr>
        <w:t xml:space="preserve">avana</w:t>
      </w:r>
      <w:r>
        <w:t xml:space="preserve">, protection;</w:t>
      </w:r>
      <w:r>
        <w:t xml:space="preserve"> </w:t>
      </w:r>
      <w:r>
        <w:rPr>
          <w:iCs/>
          <w:i/>
        </w:rPr>
        <w:t xml:space="preserve">kaṇvāsaḥ</w:t>
      </w:r>
      <w:r>
        <w:t xml:space="preserve">, wise;</w:t>
      </w:r>
      <w:r>
        <w:t xml:space="preserve"> </w:t>
      </w:r>
      <w:r>
        <w:rPr>
          <w:iCs/>
          <w:i/>
        </w:rPr>
        <w:t xml:space="preserve">vṛktabarhiṣaḥ</w:t>
      </w:r>
      <w:r>
        <w:t xml:space="preserve">, having cut the</w:t>
      </w:r>
      <w:r>
        <w:t xml:space="preserve"> </w:t>
      </w:r>
      <w:r>
        <w:rPr>
          <w:iCs/>
          <w:i/>
        </w:rPr>
        <w:t xml:space="preserve">darbha</w:t>
      </w:r>
      <w:r>
        <w:t xml:space="preserve"> </w:t>
      </w:r>
      <w:r>
        <w:t xml:space="preserve">for spreading;</w:t>
      </w:r>
      <w:r>
        <w:t xml:space="preserve"> </w:t>
      </w:r>
      <w:r>
        <w:rPr>
          <w:iCs/>
          <w:i/>
        </w:rPr>
        <w:t xml:space="preserve">haviṣmantaḥ</w:t>
      </w:r>
      <w:r>
        <w:t xml:space="preserve">, having the oblation;</w:t>
      </w:r>
      <w:r>
        <w:t xml:space="preserve"> </w:t>
      </w:r>
      <w:r>
        <w:rPr>
          <w:iCs/>
          <w:i/>
        </w:rPr>
        <w:t xml:space="preserve">araṅkṛtaḥ</w:t>
      </w:r>
      <w:r>
        <w:t xml:space="preserve">, adorners.</w:t>
      </w:r>
      <w:r>
        <w:t xml:space="preserve">”</w:t>
      </w:r>
      <w:r>
        <w:t xml:space="preserve"> </w:t>
      </w:r>
      <w:r>
        <w:t xml:space="preserve">(Grammatical tail:</w:t>
      </w:r>
      <w:r>
        <w:t xml:space="preserve"> </w:t>
      </w:r>
      <w:r>
        <w:rPr>
          <w:iCs/>
          <w:i/>
        </w:rPr>
        <w:t xml:space="preserve">īḷate</w:t>
      </w:r>
      <w:r>
        <w:t xml:space="preserve"> </w:t>
      </w:r>
      <w:r>
        <w:t xml:space="preserve">from</w:t>
      </w:r>
      <w:r>
        <w:t xml:space="preserve"> </w:t>
      </w:r>
      <w:r>
        <w:rPr>
          <w:iCs/>
          <w:i/>
        </w:rPr>
        <w:t xml:space="preserve">īḍ</w:t>
      </w:r>
      <w:r>
        <w:t xml:space="preserve">,</w:t>
      </w:r>
      <w:r>
        <w:t xml:space="preserve"> </w:t>
      </w:r>
      <w:r>
        <w:rPr>
          <w:iCs/>
          <w:i/>
        </w:rPr>
        <w:t xml:space="preserve">ātmanepada</w:t>
      </w:r>
      <w:r>
        <w:t xml:space="preserve"> </w:t>
      </w:r>
      <w:r>
        <w:t xml:space="preserve">(</w:t>
      </w:r>
      <w:r>
        <w:rPr>
          <w:iCs/>
          <w:i/>
        </w:rPr>
        <w:t xml:space="preserve">anudātta</w:t>
      </w:r>
      <w:r>
        <w:t xml:space="preserve">-marked root),</w:t>
      </w:r>
      <w:r>
        <w:t xml:space="preserve"> </w:t>
      </w:r>
      <w:r>
        <w:rPr>
          <w:iCs/>
          <w:i/>
        </w:rPr>
        <w:t xml:space="preserve">śap</w:t>
      </w:r>
      <w:r>
        <w:t xml:space="preserve"> </w:t>
      </w:r>
      <w:r>
        <w:t xml:space="preserve">dropped,</w:t>
      </w:r>
      <w:r>
        <w:t xml:space="preserve"> </w:t>
      </w:r>
      <w:r>
        <w:rPr>
          <w:iCs/>
          <w:i/>
        </w:rPr>
        <w:t xml:space="preserve">at</w:t>
      </w:r>
      <w:r>
        <w:t xml:space="preserve"> </w:t>
      </w:r>
      <w:r>
        <w:t xml:space="preserve">for</w:t>
      </w:r>
      <w:r>
        <w:t xml:space="preserve"> </w:t>
      </w:r>
      <w:r>
        <w:rPr>
          <w:iCs/>
          <w:i/>
        </w:rPr>
        <w:t xml:space="preserve">jh</w:t>
      </w:r>
      <w:r>
        <w:t xml:space="preserve">,</w:t>
      </w:r>
      <w:r>
        <w:t xml:space="preserve"> </w:t>
      </w:r>
      <w:r>
        <w:rPr>
          <w:iCs/>
          <w:i/>
        </w:rPr>
        <w:t xml:space="preserve">e</w:t>
      </w:r>
      <w:r>
        <w:t xml:space="preserve"> </w:t>
      </w:r>
      <w:r>
        <w:t xml:space="preserve">for the</w:t>
      </w:r>
      <w:r>
        <w:t xml:space="preserve"> </w:t>
      </w:r>
      <w:r>
        <w:rPr>
          <w:iCs/>
          <w:i/>
        </w:rPr>
        <w:t xml:space="preserve">ṭi</w:t>
      </w:r>
      <w:r>
        <w:t xml:space="preserve">, the root accent;</w:t>
      </w:r>
      <w:r>
        <w:t xml:space="preserve"> </w:t>
      </w:r>
      <w:r>
        <w:rPr>
          <w:iCs/>
          <w:i/>
        </w:rPr>
        <w:t xml:space="preserve">avasyavaḥ</w:t>
      </w:r>
      <w:r>
        <w:t xml:space="preserve">:</w:t>
      </w:r>
      <w:r>
        <w:t xml:space="preserve"> </w:t>
      </w:r>
      <w:r>
        <w:rPr>
          <w:iCs/>
          <w:i/>
        </w:rPr>
        <w:t xml:space="preserve">avāḥ</w:t>
      </w:r>
      <w:r>
        <w:t xml:space="preserve"> </w:t>
      </w:r>
      <w:r>
        <w:t xml:space="preserve">are the gods, who protect,</w:t>
      </w:r>
      <w:r>
        <w:t xml:space="preserve"> </w:t>
      </w:r>
      <w:r>
        <w:t xml:space="preserve">“</w:t>
      </w:r>
      <w:r>
        <w:t xml:space="preserve">they desire them greatly</w:t>
      </w:r>
      <w:r>
        <w:t xml:space="preserve">”</w:t>
      </w:r>
      <w:r>
        <w:t xml:space="preserve">:</w:t>
      </w:r>
      <w:r>
        <w:t xml:space="preserve"> </w:t>
      </w:r>
      <w:r>
        <w:rPr>
          <w:iCs/>
          <w:i/>
        </w:rPr>
        <w:t xml:space="preserve">kyac</w:t>
      </w:r>
      <w:r>
        <w:t xml:space="preserve">, no</w:t>
      </w:r>
      <w:r>
        <w:t xml:space="preserve"> </w:t>
      </w:r>
      <w:r>
        <w:rPr>
          <w:iCs/>
          <w:i/>
        </w:rPr>
        <w:t xml:space="preserve">ī</w:t>
      </w:r>
      <w:r>
        <w:t xml:space="preserve"> </w:t>
      </w:r>
      <w:r>
        <w:t xml:space="preserve">(Pā. 7-4-33 barred by Pā. 7-4-35), the augment</w:t>
      </w:r>
      <w:r>
        <w:t xml:space="preserve"> </w:t>
      </w:r>
      <w:r>
        <w:rPr>
          <w:iCs/>
          <w:i/>
        </w:rPr>
        <w:t xml:space="preserve">s</w:t>
      </w:r>
      <w:r>
        <w:t xml:space="preserve"> </w:t>
      </w:r>
      <w:r>
        <w:t xml:space="preserve">by the vārttika on</w:t>
      </w:r>
      <w:r>
        <w:t xml:space="preserve"> </w:t>
      </w:r>
      <w:r>
        <w:rPr>
          <w:iCs/>
          <w:i/>
        </w:rPr>
        <w:t xml:space="preserve">lālasā</w:t>
      </w:r>
      <w:r>
        <w:t xml:space="preserve"> </w:t>
      </w:r>
      <w:r>
        <w:t xml:space="preserve">(MB 7-1-51-2),</w:t>
      </w:r>
      <w:r>
        <w:t xml:space="preserve"> </w:t>
      </w:r>
      <w:r>
        <w:rPr>
          <w:iCs/>
          <w:i/>
        </w:rPr>
        <w:t xml:space="preserve">u</w:t>
      </w:r>
      <w:r>
        <w:t xml:space="preserve"> </w:t>
      </w:r>
      <w:r>
        <w:t xml:space="preserve">by</w:t>
      </w:r>
      <w:r>
        <w:t xml:space="preserve"> </w:t>
      </w:r>
      <w:r>
        <w:rPr>
          <w:iCs/>
          <w:i/>
        </w:rPr>
        <w:t xml:space="preserve">kyāc chandasi</w:t>
      </w:r>
      <w:r>
        <w:t xml:space="preserve">, the</w:t>
      </w:r>
      <w:r>
        <w:t xml:space="preserve"> </w:t>
      </w:r>
      <w:r>
        <w:rPr>
          <w:iCs/>
          <w:i/>
        </w:rPr>
        <w:t xml:space="preserve">a</w:t>
      </w:r>
      <w:r>
        <w:t xml:space="preserve"> </w:t>
      </w:r>
      <w:r>
        <w:t xml:space="preserve">dropped, final udātta;</w:t>
      </w:r>
      <w:r>
        <w:t xml:space="preserve"> </w:t>
      </w:r>
      <w:r>
        <w:rPr>
          <w:iCs/>
          <w:i/>
        </w:rPr>
        <w:t xml:space="preserve">kaṇvāsaḥ</w:t>
      </w:r>
      <w:r>
        <w:t xml:space="preserve"> </w:t>
      </w:r>
      <w:r>
        <w:t xml:space="preserve">from</w:t>
      </w:r>
      <w:r>
        <w:t xml:space="preserve"> </w:t>
      </w:r>
      <w:r>
        <w:rPr>
          <w:iCs/>
          <w:i/>
        </w:rPr>
        <w:t xml:space="preserve">kaṇ</w:t>
      </w:r>
      <w:r>
        <w:t xml:space="preserve"> </w:t>
      </w:r>
      <w:r>
        <w:t xml:space="preserve">with</w:t>
      </w:r>
      <w:r>
        <w:t xml:space="preserve"> </w:t>
      </w:r>
      <w:r>
        <w:rPr>
          <w:iCs/>
          <w:i/>
        </w:rPr>
        <w:t xml:space="preserve">kvan</w:t>
      </w:r>
      <w:r>
        <w:t xml:space="preserve">, initial udātta,</w:t>
      </w:r>
      <w:r>
        <w:t xml:space="preserve"> </w:t>
      </w:r>
      <w:r>
        <w:rPr>
          <w:iCs/>
          <w:i/>
        </w:rPr>
        <w:t xml:space="preserve">asuk</w:t>
      </w:r>
      <w:r>
        <w:t xml:space="preserve"> </w:t>
      </w:r>
      <w:r>
        <w:t xml:space="preserve">by Pā. 7-1-50;</w:t>
      </w:r>
      <w:r>
        <w:t xml:space="preserve"> </w:t>
      </w:r>
      <w:r>
        <w:rPr>
          <w:iCs/>
          <w:i/>
        </w:rPr>
        <w:t xml:space="preserve">vṛktabarhiṣaḥ</w:t>
      </w:r>
      <w:r>
        <w:t xml:space="preserve">, a bahuvrīhi, first-member accent;</w:t>
      </w:r>
      <w:r>
        <w:t xml:space="preserve"> </w:t>
      </w:r>
      <w:r>
        <w:rPr>
          <w:iCs/>
          <w:i/>
        </w:rPr>
        <w:t xml:space="preserve">haviṣmantaḥ</w:t>
      </w:r>
      <w:r>
        <w:t xml:space="preserve">, no</w:t>
      </w:r>
      <w:r>
        <w:t xml:space="preserve"> </w:t>
      </w:r>
      <w:r>
        <w:rPr>
          <w:iCs/>
          <w:i/>
        </w:rPr>
        <w:t xml:space="preserve">ru</w:t>
      </w:r>
      <w:r>
        <w:t xml:space="preserve"> </w:t>
      </w:r>
      <w:r>
        <w:t xml:space="preserve">(</w:t>
      </w:r>
      <w:r>
        <w:rPr>
          <w:iCs/>
          <w:i/>
        </w:rPr>
        <w:t xml:space="preserve">bha</w:t>
      </w:r>
      <w:r>
        <w:t xml:space="preserve"> </w:t>
      </w:r>
      <w:r>
        <w:t xml:space="preserve">status);</w:t>
      </w:r>
      <w:r>
        <w:t xml:space="preserve"> </w:t>
      </w:r>
      <w:r>
        <w:rPr>
          <w:iCs/>
          <w:i/>
        </w:rPr>
        <w:t xml:space="preserve">araṅkṛtaḥ</w:t>
      </w:r>
      <w:r>
        <w:t xml:space="preserve"> </w:t>
      </w:r>
      <w:r>
        <w:t xml:space="preserve">with</w:t>
      </w:r>
      <w:r>
        <w:t xml:space="preserve"> </w:t>
      </w:r>
      <w:r>
        <w:rPr>
          <w:iCs/>
          <w:i/>
        </w:rPr>
        <w:t xml:space="preserve">kvip</w:t>
      </w:r>
      <w:r>
        <w:t xml:space="preserve">,</w:t>
      </w:r>
      <w:r>
        <w:t xml:space="preserve"> </w:t>
      </w:r>
      <w:r>
        <w:rPr>
          <w:iCs/>
          <w:i/>
        </w:rPr>
        <w:t xml:space="preserve">tuk</w:t>
      </w:r>
      <w:r>
        <w:t xml:space="preserve">, and</w:t>
      </w:r>
      <w:r>
        <w:t xml:space="preserve"> </w:t>
      </w:r>
      <w:r>
        <w:rPr>
          <w:iCs/>
          <w:i/>
        </w:rPr>
        <w:t xml:space="preserve">r</w:t>
      </w:r>
      <w:r>
        <w:t xml:space="preserve"> </w:t>
      </w:r>
      <w:r>
        <w:t xml:space="preserve">for the</w:t>
      </w:r>
      <w:r>
        <w:t xml:space="preserve"> </w:t>
      </w:r>
      <w:r>
        <w:rPr>
          <w:iCs/>
          <w:i/>
        </w:rPr>
        <w:t xml:space="preserve">l</w:t>
      </w:r>
      <w:r>
        <w:t xml:space="preserve"> </w:t>
      </w:r>
      <w:r>
        <w:t xml:space="preserve">of</w:t>
      </w:r>
      <w:r>
        <w:t xml:space="preserve"> </w:t>
      </w:r>
      <w:r>
        <w:rPr>
          <w:iCs/>
          <w:i/>
        </w:rPr>
        <w:t xml:space="preserve">alam</w:t>
      </w:r>
      <w:r>
        <w:t xml:space="preserve"> </w:t>
      </w:r>
      <w:r>
        <w:t xml:space="preserve">by the vārttika on</w:t>
      </w:r>
      <w:r>
        <w:t xml:space="preserve"> </w:t>
      </w:r>
      <w:r>
        <w:rPr>
          <w:iCs/>
          <w:i/>
        </w:rPr>
        <w:t xml:space="preserve">kapilakādi</w:t>
      </w:r>
      <w:r>
        <w:t xml:space="preserve"> </w:t>
      </w:r>
      <w:r>
        <w:t xml:space="preserve">(Pā. 8-2-18-3).)</w:t>
      </w:r>
    </w:p>
    <w:p>
      <w:pPr>
        <w:pStyle w:val="BodyText"/>
      </w:pPr>
      <w:r>
        <w:rPr>
          <w:bCs/>
          <w:b/>
        </w:rPr>
        <w:t xml:space="preserve">॥ Prati-padārthaḥ ॥</w:t>
      </w:r>
    </w:p>
    <w:p>
      <w:pPr>
        <w:pStyle w:val="BodyText"/>
      </w:pPr>
      <w:r>
        <w:rPr>
          <w:iCs/>
          <w:i/>
        </w:rPr>
        <w:t xml:space="preserve">(O Agni)</w:t>
      </w:r>
      <w:r>
        <w:t xml:space="preserve"> </w:t>
      </w:r>
      <w:r>
        <w:rPr>
          <w:bCs/>
          <w:b/>
        </w:rPr>
        <w:t xml:space="preserve">अवस्यवः (avasyavaḥ)</w:t>
      </w:r>
      <w:r>
        <w:t xml:space="preserve"> </w:t>
      </w:r>
      <w:r>
        <w:t xml:space="preserve">— seeking the help of the gods who protect |</w:t>
      </w:r>
      <w:r>
        <w:t xml:space="preserve"> </w:t>
      </w:r>
      <w:r>
        <w:rPr>
          <w:bCs/>
          <w:b/>
        </w:rPr>
        <w:t xml:space="preserve">वृक्तबर्हिषः (vṛkta-barhiṣaḥ)</w:t>
      </w:r>
      <w:r>
        <w:t xml:space="preserve"> </w:t>
      </w:r>
      <w:r>
        <w:t xml:space="preserve">— having</w:t>
      </w:r>
      <w:r>
        <w:t xml:space="preserve"> </w:t>
      </w:r>
      <w:r>
        <w:rPr>
          <w:iCs/>
          <w:i/>
        </w:rPr>
        <w:t xml:space="preserve">darbha</w:t>
      </w:r>
      <w:r>
        <w:t xml:space="preserve"> </w:t>
      </w:r>
      <w:r>
        <w:t xml:space="preserve">made ready (for the seat) |</w:t>
      </w:r>
      <w:r>
        <w:t xml:space="preserve"> </w:t>
      </w:r>
      <w:r>
        <w:rPr>
          <w:bCs/>
          <w:b/>
        </w:rPr>
        <w:t xml:space="preserve">हविष्मन्तः (haviṣmantaḥ)</w:t>
      </w:r>
      <w:r>
        <w:t xml:space="preserve"> </w:t>
      </w:r>
      <w:r>
        <w:t xml:space="preserve">— holding the oblation |</w:t>
      </w:r>
      <w:r>
        <w:t xml:space="preserve"> </w:t>
      </w:r>
      <w:r>
        <w:rPr>
          <w:bCs/>
          <w:b/>
        </w:rPr>
        <w:t xml:space="preserve">अरंकृतः (araṅkṛtaḥ)</w:t>
      </w:r>
      <w:r>
        <w:t xml:space="preserve"> </w:t>
      </w:r>
      <w:r>
        <w:t xml:space="preserve">— offering ornaments |</w:t>
      </w:r>
      <w:r>
        <w:t xml:space="preserve"> </w:t>
      </w:r>
      <w:r>
        <w:rPr>
          <w:bCs/>
          <w:b/>
        </w:rPr>
        <w:t xml:space="preserve">कण्वासः (kaṇvāsaḥ)</w:t>
      </w:r>
      <w:r>
        <w:t xml:space="preserve"> </w:t>
      </w:r>
      <w:r>
        <w:t xml:space="preserve">— the priests, who are wise, or of the line of the ṛṣi Kaṇva |</w:t>
      </w:r>
      <w:r>
        <w:t xml:space="preserve"> </w:t>
      </w:r>
      <w:r>
        <w:rPr>
          <w:bCs/>
          <w:b/>
        </w:rPr>
        <w:t xml:space="preserve">त्वाम् (tvām)</w:t>
      </w:r>
      <w:r>
        <w:t xml:space="preserve"> </w:t>
      </w:r>
      <w:r>
        <w:t xml:space="preserve">— you |</w:t>
      </w:r>
      <w:r>
        <w:t xml:space="preserve"> </w:t>
      </w:r>
      <w:r>
        <w:rPr>
          <w:bCs/>
          <w:b/>
        </w:rPr>
        <w:t xml:space="preserve">ईळते (īḷate)</w:t>
      </w:r>
      <w:r>
        <w:t xml:space="preserve"> </w:t>
      </w:r>
      <w:r>
        <w:t xml:space="preserve">— praise.</w:t>
      </w:r>
    </w:p>
    <w:p>
      <w:pPr>
        <w:pStyle w:val="BodyText"/>
      </w:pPr>
      <w:r>
        <w:rPr>
          <w:bCs/>
          <w:b/>
        </w:rPr>
        <w:t xml:space="preserve">॥ Bhāvārthaḥ ॥</w:t>
      </w:r>
    </w:p>
    <w:p>
      <w:pPr>
        <w:pStyle w:val="BodyText"/>
      </w:pPr>
      <w:r>
        <w:t xml:space="preserve">O Agni, the priests seek the help of the gods for the protection of their sacrifice. They are skilled at praising. It is you who call the gods, so they now praise you. They have made the</w:t>
      </w:r>
      <w:r>
        <w:t xml:space="preserve"> </w:t>
      </w:r>
      <w:r>
        <w:rPr>
          <w:iCs/>
          <w:i/>
        </w:rPr>
        <w:t xml:space="preserve">darbha</w:t>
      </w:r>
      <w:r>
        <w:t xml:space="preserve"> </w:t>
      </w:r>
      <w:r>
        <w:t xml:space="preserve">ready for your seat. They offer the oblation and ornaments. Be gracious and come.</w:t>
      </w:r>
    </w:p>
    <w:bookmarkEnd w:id="640"/>
    <w:bookmarkStart w:id="641" w:name="Xcbc3d590a7eab92522211d7b44751aaecfe124b"/>
    <w:p>
      <w:pPr>
        <w:pStyle w:val="Heading3"/>
      </w:pPr>
      <w:r>
        <w:t xml:space="preserve">Page 601 — Rik 5: English, Special Topics, grammar</w:t>
      </w:r>
    </w:p>
    <w:p>
      <w:pPr>
        <w:pStyle w:val="FirstParagraph"/>
      </w:pPr>
      <w:r>
        <w:rPr>
          <w:bCs/>
          <w:b/>
        </w:rPr>
        <w:t xml:space="preserve">॥ English Translation ॥</w:t>
      </w:r>
      <w:r>
        <w:t xml:space="preserve"> </w:t>
      </w:r>
      <w:r>
        <w:rPr>
          <w:iCs/>
          <w:i/>
        </w:rPr>
        <w:t xml:space="preserve">(as printed in the source)</w:t>
      </w:r>
    </w:p>
    <w:p>
      <w:pPr>
        <w:pStyle w:val="BlockText"/>
      </w:pPr>
      <w:r>
        <w:t xml:space="preserve">O Agni, the Kanvas (or the wise priests) desirous of your favour, having spread the sacrificial grass and carrying the oblations and ornaments are praising you.</w:t>
      </w:r>
    </w:p>
    <w:p>
      <w:pPr>
        <w:pStyle w:val="FirstParagraph"/>
      </w:pPr>
      <w:r>
        <w:rPr>
          <w:bCs/>
          <w:b/>
        </w:rPr>
        <w:t xml:space="preserve">॥ Viśeṣa-viṣayagaḷu (Special Topics) ॥</w:t>
      </w:r>
    </w:p>
    <w:p>
      <w:pPr>
        <w:pStyle w:val="BodyText"/>
      </w:pPr>
      <w:r>
        <w:rPr>
          <w:bCs/>
          <w:b/>
        </w:rPr>
        <w:t xml:space="preserve">Avasyavaḥ</w:t>
      </w:r>
      <w:r>
        <w:t xml:space="preserve">:</w:t>
      </w:r>
    </w:p>
    <w:p>
      <w:pPr>
        <w:pStyle w:val="BlockText"/>
      </w:pPr>
      <w:r>
        <w:t xml:space="preserve">अवनं रक्षणं तद्धेतून् देवानिच्छन्तः । अवन्तीत्यवा देवाः ॥</w:t>
      </w:r>
    </w:p>
    <w:p>
      <w:pPr>
        <w:pStyle w:val="BlockText"/>
      </w:pPr>
      <w:r>
        <w:rPr>
          <w:iCs/>
          <w:i/>
        </w:rPr>
        <w:t xml:space="preserve">avanaṃ rakṣaṇaṃ taddhetūn devānicchantaḥ | avantītyavā devāḥ ||</w:t>
      </w:r>
    </w:p>
    <w:p>
      <w:pPr>
        <w:pStyle w:val="FirstParagraph"/>
      </w:pPr>
      <w:r>
        <w:t xml:space="preserve">Since they protect men, the gods are called</w:t>
      </w:r>
      <w:r>
        <w:t xml:space="preserve"> </w:t>
      </w:r>
      <w:r>
        <w:rPr>
          <w:iCs/>
          <w:i/>
        </w:rPr>
        <w:t xml:space="preserve">avāḥ</w:t>
      </w:r>
      <w:r>
        <w:t xml:space="preserve">; those who look to those gods are called</w:t>
      </w:r>
      <w:r>
        <w:t xml:space="preserve"> </w:t>
      </w:r>
      <w:r>
        <w:rPr>
          <w:iCs/>
          <w:i/>
        </w:rPr>
        <w:t xml:space="preserve">avasyavaḥ</w:t>
      </w:r>
      <w:r>
        <w:t xml:space="preserve">.</w:t>
      </w:r>
    </w:p>
    <w:p>
      <w:pPr>
        <w:pStyle w:val="BodyText"/>
      </w:pPr>
      <w:r>
        <w:rPr>
          <w:bCs/>
          <w:b/>
        </w:rPr>
        <w:t xml:space="preserve">Kaṇvāsaḥ</w:t>
      </w:r>
      <w:r>
        <w:t xml:space="preserve">: the plural of the word</w:t>
      </w:r>
      <w:r>
        <w:t xml:space="preserve"> </w:t>
      </w:r>
      <w:r>
        <w:rPr>
          <w:iCs/>
          <w:i/>
        </w:rPr>
        <w:t xml:space="preserve">kaṇva</w:t>
      </w:r>
      <w:r>
        <w:t xml:space="preserve">;</w:t>
      </w:r>
      <w:r>
        <w:t xml:space="preserve"> </w:t>
      </w:r>
      <w:r>
        <w:rPr>
          <w:iCs/>
          <w:i/>
        </w:rPr>
        <w:t xml:space="preserve">kaṇvāsaḥ</w:t>
      </w:r>
      <w:r>
        <w:t xml:space="preserve"> </w:t>
      </w:r>
      <w:r>
        <w:t xml:space="preserve">is the old form of</w:t>
      </w:r>
      <w:r>
        <w:t xml:space="preserve"> </w:t>
      </w:r>
      <w:r>
        <w:rPr>
          <w:iCs/>
          <w:i/>
        </w:rPr>
        <w:t xml:space="preserve">kaṇvāḥ</w:t>
      </w:r>
      <w:r>
        <w:t xml:space="preserve">.</w:t>
      </w:r>
    </w:p>
    <w:p>
      <w:pPr>
        <w:pStyle w:val="BlockText"/>
      </w:pPr>
      <w:r>
        <w:t xml:space="preserve">कणन्ति ध्वनन्ति स्तोत्रादिपाठेनेति कण्वा ऋत्विजो मेधाविनः ॥</w:t>
      </w:r>
    </w:p>
    <w:p>
      <w:pPr>
        <w:pStyle w:val="BlockText"/>
      </w:pPr>
      <w:r>
        <w:rPr>
          <w:iCs/>
          <w:i/>
        </w:rPr>
        <w:t xml:space="preserve">kaṇanti dhvananti stotrādipāṭheneti kaṇvā ṛtvijo medhāvinaḥ ||</w:t>
      </w:r>
    </w:p>
    <w:p>
      <w:pPr>
        <w:pStyle w:val="FirstParagraph"/>
      </w:pPr>
      <w:r>
        <w:t xml:space="preserve">Since they recite hymns and the like aloud, the priests are called</w:t>
      </w:r>
      <w:r>
        <w:t xml:space="preserve"> </w:t>
      </w:r>
      <w:r>
        <w:rPr>
          <w:iCs/>
          <w:i/>
        </w:rPr>
        <w:t xml:space="preserve">kaṇvāḥ</w:t>
      </w:r>
      <w:r>
        <w:t xml:space="preserve">. The Bhāṣyakāra gives the word the sense</w:t>
      </w:r>
      <w:r>
        <w:t xml:space="preserve"> </w:t>
      </w:r>
      <w:r>
        <w:rPr>
          <w:iCs/>
          <w:i/>
        </w:rPr>
        <w:t xml:space="preserve">medhāvinaḥ</w:t>
      </w:r>
      <w:r>
        <w:t xml:space="preserve">, the wise. Besides the sense that comes from the derivation of its parts, another sense can be given: since the ṛṣi of this Ṛk is of the Kaṇva line, it is fitting to say that, speaking of the priests, sacrificers and others of his line, he used the word</w:t>
      </w:r>
      <w:r>
        <w:t xml:space="preserve"> </w:t>
      </w:r>
      <w:r>
        <w:rPr>
          <w:iCs/>
          <w:i/>
        </w:rPr>
        <w:t xml:space="preserve">kaṇvāsaḥ</w:t>
      </w:r>
      <w:r>
        <w:t xml:space="preserve"> </w:t>
      </w:r>
      <w:r>
        <w:t xml:space="preserve">with the sense</w:t>
      </w:r>
      <w:r>
        <w:t xml:space="preserve"> </w:t>
      </w:r>
      <w:r>
        <w:t xml:space="preserve">“</w:t>
      </w:r>
      <w:r>
        <w:t xml:space="preserve">we of the line of the ṛṣi Kaṇva</w:t>
      </w:r>
      <w:r>
        <w:t xml:space="preserve">”</w:t>
      </w:r>
      <w:r>
        <w:t xml:space="preserve"> </w:t>
      </w:r>
      <w:r>
        <w:t xml:space="preserve">in mind.</w:t>
      </w:r>
    </w:p>
    <w:p>
      <w:pPr>
        <w:pStyle w:val="BodyText"/>
      </w:pPr>
      <w:r>
        <w:rPr>
          <w:bCs/>
          <w:b/>
        </w:rPr>
        <w:t xml:space="preserve">Vṛktabarhiṣaḥ</w:t>
      </w:r>
      <w:r>
        <w:t xml:space="preserve">: we have given the explanation of this word on page</w:t>
      </w:r>
      <w:r>
        <w:t xml:space="preserve"> </w:t>
      </w:r>
      <w:r>
        <w:t xml:space="preserve">“</w:t>
      </w:r>
      <w:r>
        <w:t xml:space="preserve">25</w:t>
      </w:r>
      <w:r>
        <w:t xml:space="preserve">”</w:t>
      </w:r>
      <w:r>
        <w:t xml:space="preserve"> </w:t>
      </w:r>
      <w:r>
        <w:t xml:space="preserve">[?].</w:t>
      </w:r>
    </w:p>
    <w:p>
      <w:pPr>
        <w:pStyle w:val="BodyText"/>
      </w:pPr>
      <w:r>
        <w:rPr>
          <w:bCs/>
          <w:b/>
        </w:rPr>
        <w:t xml:space="preserve">Araṅkṛtaḥ</w:t>
      </w:r>
      <w:r>
        <w:t xml:space="preserve">: for the explanation of this word see Ṛ. Saṃ. Part 1, page</w:t>
      </w:r>
      <w:r>
        <w:t xml:space="preserve"> </w:t>
      </w:r>
      <w:r>
        <w:t xml:space="preserve">“</w:t>
      </w:r>
      <w:r>
        <w:t xml:space="preserve">677</w:t>
      </w:r>
      <w:r>
        <w:t xml:space="preserve">”</w:t>
      </w:r>
      <w:r>
        <w:t xml:space="preserve"> </w:t>
      </w:r>
      <w:r>
        <w:t xml:space="preserve">[?].</w:t>
      </w:r>
    </w:p>
    <w:p>
      <w:pPr>
        <w:pStyle w:val="BodyText"/>
      </w:pPr>
      <w:r>
        <w:rPr>
          <w:bCs/>
          <w:b/>
        </w:rPr>
        <w:t xml:space="preserve">॥ Vyākaraṇa-prakriyā ॥</w:t>
      </w:r>
      <w:r>
        <w:t xml:space="preserve"> </w:t>
      </w:r>
      <w:r>
        <w:rPr>
          <w:iCs/>
          <w:i/>
        </w:rPr>
        <w:t xml:space="preserve">(grammar pages 601–603, noted briefly)</w:t>
      </w:r>
    </w:p>
    <w:p>
      <w:pPr>
        <w:pStyle w:val="BodyText"/>
      </w:pPr>
      <w:r>
        <w:rPr>
          <w:bCs/>
          <w:b/>
        </w:rPr>
        <w:t xml:space="preserve">ईळते (</w:t>
      </w:r>
      <w:r>
        <w:rPr>
          <w:iCs/>
          <w:i/>
          <w:bCs/>
          <w:b/>
        </w:rPr>
        <w:t xml:space="preserve">īḷate</w:t>
      </w:r>
      <w:r>
        <w:rPr>
          <w:bCs/>
          <w:b/>
        </w:rPr>
        <w:t xml:space="preserve">)</w:t>
      </w:r>
      <w:r>
        <w:t xml:space="preserve">:</w:t>
      </w:r>
      <w:r>
        <w:t xml:space="preserve"> </w:t>
      </w:r>
      <w:r>
        <w:rPr>
          <w:iCs/>
          <w:i/>
        </w:rPr>
        <w:t xml:space="preserve">īḍa stutau</w:t>
      </w:r>
      <w:r>
        <w:t xml:space="preserve">,</w:t>
      </w:r>
      <w:r>
        <w:t xml:space="preserve"> </w:t>
      </w:r>
      <w:r>
        <w:rPr>
          <w:iCs/>
          <w:i/>
        </w:rPr>
        <w:t xml:space="preserve">anudāttet</w:t>
      </w:r>
      <w:r>
        <w:t xml:space="preserve">, so the</w:t>
      </w:r>
      <w:r>
        <w:t xml:space="preserve"> </w:t>
      </w:r>
      <w:r>
        <w:rPr>
          <w:iCs/>
          <w:i/>
        </w:rPr>
        <w:t xml:space="preserve">ātmanepada</w:t>
      </w:r>
      <w:r>
        <w:t xml:space="preserve"> </w:t>
      </w:r>
      <w:r>
        <w:t xml:space="preserve">by</w:t>
      </w:r>
      <w:r>
        <w:t xml:space="preserve"> </w:t>
      </w:r>
      <w:r>
        <w:t xml:space="preserve">“</w:t>
      </w:r>
      <w:r>
        <w:t xml:space="preserve">anudāttaṅita ātmanepadam</w:t>
      </w:r>
      <w:r>
        <w:t xml:space="preserve">”</w:t>
      </w:r>
      <w:r>
        <w:t xml:space="preserve"> </w:t>
      </w:r>
      <w:r>
        <w:t xml:space="preserve">(Pā. sū. 1-3-12); 3rd plural</w:t>
      </w:r>
      <w:r>
        <w:t xml:space="preserve"> </w:t>
      </w:r>
      <w:r>
        <w:rPr>
          <w:iCs/>
          <w:i/>
        </w:rPr>
        <w:t xml:space="preserve">jha</w:t>
      </w:r>
      <w:r>
        <w:t xml:space="preserve">; the</w:t>
      </w:r>
      <w:r>
        <w:t xml:space="preserve"> </w:t>
      </w:r>
      <w:r>
        <w:rPr>
          <w:iCs/>
          <w:i/>
        </w:rPr>
        <w:t xml:space="preserve">śap</w:t>
      </w:r>
      <w:r>
        <w:t xml:space="preserve"> </w:t>
      </w:r>
      <w:r>
        <w:t xml:space="preserve">of</w:t>
      </w:r>
      <w:r>
        <w:t xml:space="preserve"> </w:t>
      </w:r>
      <w:r>
        <w:t xml:space="preserve">“</w:t>
      </w:r>
      <w:r>
        <w:t xml:space="preserve">kartari śap</w:t>
      </w:r>
      <w:r>
        <w:t xml:space="preserve">”</w:t>
      </w:r>
      <w:r>
        <w:t xml:space="preserve"> </w:t>
      </w:r>
      <w:r>
        <w:t xml:space="preserve">is dropped by</w:t>
      </w:r>
      <w:r>
        <w:t xml:space="preserve"> </w:t>
      </w:r>
      <w:r>
        <w:t xml:space="preserve">“</w:t>
      </w:r>
      <w:r>
        <w:t xml:space="preserve">adiprabhṛtibhyaḥ śapaḥ</w:t>
      </w:r>
      <w:r>
        <w:t xml:space="preserve">”</w:t>
      </w:r>
      <w:r>
        <w:t xml:space="preserve"> </w:t>
      </w:r>
      <w:r>
        <w:t xml:space="preserve">(Pā. sū. 2-4-72);</w:t>
      </w:r>
      <w:r>
        <w:t xml:space="preserve"> </w:t>
      </w:r>
      <w:r>
        <w:rPr>
          <w:iCs/>
          <w:i/>
        </w:rPr>
        <w:t xml:space="preserve">at</w:t>
      </w:r>
      <w:r>
        <w:t xml:space="preserve"> </w:t>
      </w:r>
      <w:r>
        <w:t xml:space="preserve">for the</w:t>
      </w:r>
      <w:r>
        <w:t xml:space="preserve"> </w:t>
      </w:r>
      <w:r>
        <w:rPr>
          <w:iCs/>
          <w:i/>
        </w:rPr>
        <w:t xml:space="preserve">jh</w:t>
      </w:r>
      <w:r>
        <w:t xml:space="preserve"> </w:t>
      </w:r>
      <w:r>
        <w:t xml:space="preserve">by</w:t>
      </w:r>
      <w:r>
        <w:t xml:space="preserve"> </w:t>
      </w:r>
      <w:r>
        <w:t xml:space="preserve">“</w:t>
      </w:r>
      <w:r>
        <w:t xml:space="preserve">ātmanepadeṣv anataḥ</w:t>
      </w:r>
      <w:r>
        <w:t xml:space="preserve">”</w:t>
      </w:r>
      <w:r>
        <w:t xml:space="preserve"> </w:t>
      </w:r>
      <w:r>
        <w:t xml:space="preserve">(Pā. sū. 7-1-5);</w:t>
      </w:r>
      <w:r>
        <w:t xml:space="preserve"> </w:t>
      </w:r>
      <w:r>
        <w:rPr>
          <w:iCs/>
          <w:i/>
        </w:rPr>
        <w:t xml:space="preserve">e</w:t>
      </w:r>
      <w:r>
        <w:t xml:space="preserve"> </w:t>
      </w:r>
      <w:r>
        <w:t xml:space="preserve">for the</w:t>
      </w:r>
      <w:r>
        <w:t xml:space="preserve"> </w:t>
      </w:r>
      <w:r>
        <w:rPr>
          <w:iCs/>
          <w:i/>
        </w:rPr>
        <w:t xml:space="preserve">ṭi</w:t>
      </w:r>
      <w:r>
        <w:t xml:space="preserve"> </w:t>
      </w:r>
      <w:r>
        <w:t xml:space="preserve">by</w:t>
      </w:r>
      <w:r>
        <w:t xml:space="preserve"> </w:t>
      </w:r>
      <w:r>
        <w:t xml:space="preserve">“</w:t>
      </w:r>
      <w:r>
        <w:t xml:space="preserve">ṭita ātmanepadānāṃ ṭere</w:t>
      </w:r>
      <w:r>
        <w:t xml:space="preserve">”</w:t>
      </w:r>
      <w:r>
        <w:t xml:space="preserve"> </w:t>
      </w:r>
      <w:r>
        <w:t xml:space="preserve">(Pā. sū. 3-4-79);</w:t>
      </w:r>
      <w:r>
        <w:t xml:space="preserve"> </w:t>
      </w:r>
      <w:r>
        <w:rPr>
          <w:iCs/>
          <w:i/>
        </w:rPr>
        <w:t xml:space="preserve">ḷ</w:t>
      </w:r>
      <w:r>
        <w:t xml:space="preserve"> </w:t>
      </w:r>
      <w:r>
        <w:t xml:space="preserve">for the</w:t>
      </w:r>
      <w:r>
        <w:t xml:space="preserve"> </w:t>
      </w:r>
      <w:r>
        <w:rPr>
          <w:iCs/>
          <w:i/>
        </w:rPr>
        <w:t xml:space="preserve">ḍ</w:t>
      </w:r>
      <w:r>
        <w:t xml:space="preserve"> </w:t>
      </w:r>
      <w:r>
        <w:t xml:space="preserve">of</w:t>
      </w:r>
      <w:r>
        <w:t xml:space="preserve"> </w:t>
      </w:r>
      <w:r>
        <w:rPr>
          <w:iCs/>
          <w:i/>
        </w:rPr>
        <w:t xml:space="preserve">īḍate</w:t>
      </w:r>
      <w:r>
        <w:t xml:space="preserve"> </w:t>
      </w:r>
      <w:r>
        <w:t xml:space="preserve">by</w:t>
      </w:r>
      <w:r>
        <w:t xml:space="preserve"> </w:t>
      </w:r>
      <w:r>
        <w:t xml:space="preserve">“</w:t>
      </w:r>
      <w:r>
        <w:t xml:space="preserve">dvayoś cāsya svarayoḥ</w:t>
      </w:r>
      <w:r>
        <w:t xml:space="preserve">”</w:t>
      </w:r>
      <w:r>
        <w:t xml:space="preserve">; by</w:t>
      </w:r>
      <w:r>
        <w:t xml:space="preserve"> </w:t>
      </w:r>
      <w:r>
        <w:t xml:space="preserve">“</w:t>
      </w:r>
      <w:r>
        <w:t xml:space="preserve">tāsyanudāttenṅidadupadeśāl lasārvadhātukam anudāttam ahnviṅoḥ</w:t>
      </w:r>
      <w:r>
        <w:t xml:space="preserve">”</w:t>
      </w:r>
      <w:r>
        <w:t xml:space="preserve"> </w:t>
      </w:r>
      <w:r>
        <w:t xml:space="preserve">(Pā. sū. 6-1-186) the</w:t>
      </w:r>
      <w:r>
        <w:t xml:space="preserve"> </w:t>
      </w:r>
      <w:r>
        <w:rPr>
          <w:iCs/>
          <w:i/>
        </w:rPr>
        <w:t xml:space="preserve">sārvadhātuka</w:t>
      </w:r>
      <w:r>
        <w:t xml:space="preserve"> </w:t>
      </w:r>
      <w:r>
        <w:rPr>
          <w:iCs/>
          <w:i/>
        </w:rPr>
        <w:t xml:space="preserve">ate</w:t>
      </w:r>
      <w:r>
        <w:t xml:space="preserve"> </w:t>
      </w:r>
      <w:r>
        <w:t xml:space="preserve">standing for the</w:t>
      </w:r>
      <w:r>
        <w:t xml:space="preserve"> </w:t>
      </w:r>
      <w:r>
        <w:rPr>
          <w:iCs/>
          <w:i/>
        </w:rPr>
        <w:t xml:space="preserve">lakāra</w:t>
      </w:r>
      <w:r>
        <w:t xml:space="preserve"> </w:t>
      </w:r>
      <w:r>
        <w:t xml:space="preserve">is unaccented, and the root accent remains.</w:t>
      </w:r>
    </w:p>
    <w:p>
      <w:pPr>
        <w:pStyle w:val="BodyText"/>
      </w:pPr>
      <w:r>
        <w:rPr>
          <w:bCs/>
          <w:b/>
        </w:rPr>
        <w:t xml:space="preserve">अवस्यवः (</w:t>
      </w:r>
      <w:r>
        <w:rPr>
          <w:iCs/>
          <w:i/>
          <w:bCs/>
          <w:b/>
        </w:rPr>
        <w:t xml:space="preserve">avasyavaḥ</w:t>
      </w:r>
      <w:r>
        <w:rPr>
          <w:bCs/>
          <w:b/>
        </w:rPr>
        <w:t xml:space="preserve">)</w:t>
      </w:r>
      <w:r>
        <w:t xml:space="preserve">:</w:t>
      </w:r>
      <w:r>
        <w:t xml:space="preserve"> </w:t>
      </w:r>
      <w:r>
        <w:rPr>
          <w:iCs/>
          <w:i/>
        </w:rPr>
        <w:t xml:space="preserve">avanti rakṣanti ity avāḥ = devāḥ</w:t>
      </w:r>
      <w:r>
        <w:t xml:space="preserve">;</w:t>
      </w:r>
      <w:r>
        <w:t xml:space="preserve"> </w:t>
      </w:r>
      <w:r>
        <w:rPr>
          <w:iCs/>
          <w:i/>
        </w:rPr>
        <w:t xml:space="preserve">ava rakṣaṇe</w:t>
      </w:r>
      <w:r>
        <w:t xml:space="preserve"> </w:t>
      </w:r>
      <w:r>
        <w:t xml:space="preserve">with</w:t>
      </w:r>
      <w:r>
        <w:t xml:space="preserve"> </w:t>
      </w:r>
      <w:r>
        <w:rPr>
          <w:iCs/>
          <w:i/>
        </w:rPr>
        <w:t xml:space="preserve">ac</w:t>
      </w:r>
      <w:r>
        <w:t xml:space="preserve">;</w:t>
      </w:r>
      <w:r>
        <w:t xml:space="preserve"> </w:t>
      </w:r>
      <w:r>
        <w:rPr>
          <w:iCs/>
          <w:i/>
        </w:rPr>
        <w:t xml:space="preserve">avān atiśayena icchanti</w:t>
      </w:r>
      <w:r>
        <w:t xml:space="preserve">.</w:t>
      </w:r>
      <w:r>
        <w:t xml:space="preserve"> </w:t>
      </w:r>
      <w:r>
        <w:t xml:space="preserve">“</w:t>
      </w:r>
      <w:r>
        <w:t xml:space="preserve">supa ātmanaḥ kyac</w:t>
      </w:r>
      <w:r>
        <w:t xml:space="preserve">”</w:t>
      </w:r>
      <w:r>
        <w:t xml:space="preserve"> </w:t>
      </w:r>
      <w:r>
        <w:t xml:space="preserve">(Pā. sū. 3-1-8) gives</w:t>
      </w:r>
      <w:r>
        <w:t xml:space="preserve"> </w:t>
      </w:r>
      <w:r>
        <w:rPr>
          <w:iCs/>
          <w:i/>
        </w:rPr>
        <w:t xml:space="preserve">kyac</w:t>
      </w:r>
      <w:r>
        <w:t xml:space="preserve">.</w:t>
      </w:r>
    </w:p>
    <w:bookmarkEnd w:id="641"/>
    <w:bookmarkStart w:id="642" w:name="page-602-rik-5-grammar-continued"/>
    <w:p>
      <w:pPr>
        <w:pStyle w:val="Heading3"/>
      </w:pPr>
      <w:r>
        <w:t xml:space="preserve">Page 602 — Rik 5: grammar (continued)</w:t>
      </w:r>
    </w:p>
    <w:p>
      <w:pPr>
        <w:pStyle w:val="FirstParagraph"/>
      </w:pPr>
      <w:r>
        <w:t xml:space="preserve">“</w:t>
      </w:r>
      <w:r>
        <w:t xml:space="preserve">na chandasy aputrasya</w:t>
      </w:r>
      <w:r>
        <w:t xml:space="preserve">”</w:t>
      </w:r>
      <w:r>
        <w:t xml:space="preserve"> </w:t>
      </w:r>
      <w:r>
        <w:t xml:space="preserve">(Pā. sū. 7-4-35) bars in the Veda the</w:t>
      </w:r>
      <w:r>
        <w:t xml:space="preserve"> </w:t>
      </w:r>
      <w:r>
        <w:rPr>
          <w:iCs/>
          <w:i/>
        </w:rPr>
        <w:t xml:space="preserve">ī</w:t>
      </w:r>
      <w:r>
        <w:t xml:space="preserve"> </w:t>
      </w:r>
      <w:r>
        <w:t xml:space="preserve">and the lengthening before</w:t>
      </w:r>
      <w:r>
        <w:t xml:space="preserve"> </w:t>
      </w:r>
      <w:r>
        <w:rPr>
          <w:iCs/>
          <w:i/>
        </w:rPr>
        <w:t xml:space="preserve">kyac</w:t>
      </w:r>
      <w:r>
        <w:t xml:space="preserve"> </w:t>
      </w:r>
      <w:r>
        <w:t xml:space="preserve">for</w:t>
      </w:r>
      <w:r>
        <w:t xml:space="preserve"> </w:t>
      </w:r>
      <w:r>
        <w:rPr>
          <w:iCs/>
          <w:i/>
        </w:rPr>
        <w:t xml:space="preserve">a</w:t>
      </w:r>
      <w:r>
        <w:t xml:space="preserve">-final words other than</w:t>
      </w:r>
      <w:r>
        <w:t xml:space="preserve"> </w:t>
      </w:r>
      <w:r>
        <w:rPr>
          <w:iCs/>
          <w:i/>
        </w:rPr>
        <w:t xml:space="preserve">putra</w:t>
      </w:r>
      <w:r>
        <w:t xml:space="preserve">; so neither</w:t>
      </w:r>
      <w:r>
        <w:t xml:space="preserve"> </w:t>
      </w:r>
      <w:r>
        <w:t xml:space="preserve">“</w:t>
      </w:r>
      <w:r>
        <w:t xml:space="preserve">kyaci ca</w:t>
      </w:r>
      <w:r>
        <w:t xml:space="preserve">”</w:t>
      </w:r>
      <w:r>
        <w:t xml:space="preserve"> </w:t>
      </w:r>
      <w:r>
        <w:t xml:space="preserve">(Pā. sū. 7-4-33,</w:t>
      </w:r>
      <w:r>
        <w:t xml:space="preserve"> </w:t>
      </w:r>
      <w:r>
        <w:rPr>
          <w:iCs/>
          <w:i/>
        </w:rPr>
        <w:t xml:space="preserve">ī</w:t>
      </w:r>
      <w:r>
        <w:t xml:space="preserve"> </w:t>
      </w:r>
      <w:r>
        <w:t xml:space="preserve">for</w:t>
      </w:r>
      <w:r>
        <w:t xml:space="preserve"> </w:t>
      </w:r>
      <w:r>
        <w:rPr>
          <w:iCs/>
          <w:i/>
        </w:rPr>
        <w:t xml:space="preserve">a</w:t>
      </w:r>
      <w:r>
        <w:t xml:space="preserve"> </w:t>
      </w:r>
      <w:r>
        <w:t xml:space="preserve">before</w:t>
      </w:r>
      <w:r>
        <w:t xml:space="preserve"> </w:t>
      </w:r>
      <w:r>
        <w:rPr>
          <w:iCs/>
          <w:i/>
        </w:rPr>
        <w:t xml:space="preserve">kyac</w:t>
      </w:r>
      <w:r>
        <w:t xml:space="preserve">) nor, by the same bar, the lengthening of</w:t>
      </w:r>
      <w:r>
        <w:t xml:space="preserve"> </w:t>
      </w:r>
      <w:r>
        <w:t xml:space="preserve">“</w:t>
      </w:r>
      <w:r>
        <w:t xml:space="preserve">akṛtsārvadhātukayoḥ</w:t>
      </w:r>
      <w:r>
        <w:t xml:space="preserve">”</w:t>
      </w:r>
      <w:r>
        <w:t xml:space="preserve"> </w:t>
      </w:r>
      <w:r>
        <w:t xml:space="preserve">(Pā. sū.</w:t>
      </w:r>
      <w:r>
        <w:t xml:space="preserve"> </w:t>
      </w:r>
      <w:r>
        <w:t xml:space="preserve">“</w:t>
      </w:r>
      <w:r>
        <w:t xml:space="preserve">7-4-2?</w:t>
      </w:r>
      <w:r>
        <w:t xml:space="preserve">”</w:t>
      </w:r>
      <w:r>
        <w:t xml:space="preserve"> </w:t>
      </w:r>
      <w:r>
        <w:t xml:space="preserve">[?]) comes.</w:t>
      </w:r>
      <w:r>
        <w:t xml:space="preserve"> </w:t>
      </w:r>
      <w:r>
        <w:t xml:space="preserve">“</w:t>
      </w:r>
      <w:r>
        <w:t xml:space="preserve">sarvaprātipadikebhyo lālasāyāṃ sug vaktavyaḥ</w:t>
      </w:r>
      <w:r>
        <w:t xml:space="preserve">”</w:t>
      </w:r>
      <w:r>
        <w:t xml:space="preserve"> </w:t>
      </w:r>
      <w:r>
        <w:t xml:space="preserve">(Pā. sū. 7-1-51 vā. 2): when eagerness is shown, all stems before</w:t>
      </w:r>
      <w:r>
        <w:t xml:space="preserve"> </w:t>
      </w:r>
      <w:r>
        <w:rPr>
          <w:iCs/>
          <w:i/>
        </w:rPr>
        <w:t xml:space="preserve">kyac</w:t>
      </w:r>
      <w:r>
        <w:t xml:space="preserve"> </w:t>
      </w:r>
      <w:r>
        <w:t xml:space="preserve">take the augment</w:t>
      </w:r>
      <w:r>
        <w:t xml:space="preserve"> </w:t>
      </w:r>
      <w:r>
        <w:rPr>
          <w:iCs/>
          <w:i/>
        </w:rPr>
        <w:t xml:space="preserve">suk</w:t>
      </w:r>
      <w:r>
        <w:t xml:space="preserve">:</w:t>
      </w:r>
      <w:r>
        <w:t xml:space="preserve"> </w:t>
      </w:r>
      <w:r>
        <w:rPr>
          <w:iCs/>
          <w:i/>
        </w:rPr>
        <w:t xml:space="preserve">avas</w:t>
      </w:r>
      <w:r>
        <w:t xml:space="preserve"> </w:t>
      </w:r>
      <w:r>
        <w:t xml:space="preserve">+</w:t>
      </w:r>
      <w:r>
        <w:t xml:space="preserve"> </w:t>
      </w:r>
      <w:r>
        <w:rPr>
          <w:iCs/>
          <w:i/>
        </w:rPr>
        <w:t xml:space="preserve">ya</w:t>
      </w:r>
      <w:r>
        <w:t xml:space="preserve">;</w:t>
      </w:r>
      <w:r>
        <w:t xml:space="preserve"> </w:t>
      </w:r>
      <w:r>
        <w:t xml:space="preserve">“</w:t>
      </w:r>
      <w:r>
        <w:t xml:space="preserve">kyāc chandasi</w:t>
      </w:r>
      <w:r>
        <w:t xml:space="preserve">”</w:t>
      </w:r>
      <w:r>
        <w:t xml:space="preserve"> </w:t>
      </w:r>
      <w:r>
        <w:t xml:space="preserve">(Pā. sū. 3-2-170):</w:t>
      </w:r>
      <w:r>
        <w:t xml:space="preserve"> </w:t>
      </w:r>
      <w:r>
        <w:rPr>
          <w:iCs/>
          <w:i/>
        </w:rPr>
        <w:t xml:space="preserve">kya</w:t>
      </w:r>
      <w:r>
        <w:t xml:space="preserve"> </w:t>
      </w:r>
      <w:r>
        <w:t xml:space="preserve">covers</w:t>
      </w:r>
      <w:r>
        <w:t xml:space="preserve"> </w:t>
      </w:r>
      <w:r>
        <w:rPr>
          <w:iCs/>
          <w:i/>
        </w:rPr>
        <w:t xml:space="preserve">kyac</w:t>
      </w:r>
      <w:r>
        <w:t xml:space="preserve">,</w:t>
      </w:r>
      <w:r>
        <w:t xml:space="preserve"> </w:t>
      </w:r>
      <w:r>
        <w:rPr>
          <w:iCs/>
          <w:i/>
        </w:rPr>
        <w:t xml:space="preserve">kyaṅ</w:t>
      </w:r>
      <w:r>
        <w:t xml:space="preserve"> </w:t>
      </w:r>
      <w:r>
        <w:t xml:space="preserve">and</w:t>
      </w:r>
      <w:r>
        <w:t xml:space="preserve"> </w:t>
      </w:r>
      <w:r>
        <w:rPr>
          <w:iCs/>
          <w:i/>
        </w:rPr>
        <w:t xml:space="preserve">kyaṣ</w:t>
      </w:r>
      <w:r>
        <w:t xml:space="preserve"> </w:t>
      </w:r>
      <w:r>
        <w:t xml:space="preserve">alike; after a</w:t>
      </w:r>
      <w:r>
        <w:t xml:space="preserve"> </w:t>
      </w:r>
      <w:r>
        <w:rPr>
          <w:iCs/>
          <w:i/>
        </w:rPr>
        <w:t xml:space="preserve">kya</w:t>
      </w:r>
      <w:r>
        <w:t xml:space="preserve">-ending root the suffix</w:t>
      </w:r>
      <w:r>
        <w:t xml:space="preserve"> </w:t>
      </w:r>
      <w:r>
        <w:rPr>
          <w:iCs/>
          <w:i/>
        </w:rPr>
        <w:t xml:space="preserve">u</w:t>
      </w:r>
      <w:r>
        <w:t xml:space="preserve"> </w:t>
      </w:r>
      <w:r>
        <w:t xml:space="preserve">comes in the Veda in the senses of habit and the like, so the Kāśikākāra holds; some hold that by the force of the explanation the word</w:t>
      </w:r>
      <w:r>
        <w:t xml:space="preserve"> </w:t>
      </w:r>
      <w:r>
        <w:rPr>
          <w:iCs/>
          <w:i/>
        </w:rPr>
        <w:t xml:space="preserve">kya</w:t>
      </w:r>
      <w:r>
        <w:t xml:space="preserve"> </w:t>
      </w:r>
      <w:r>
        <w:t xml:space="preserve">also takes in the</w:t>
      </w:r>
      <w:r>
        <w:t xml:space="preserve"> </w:t>
      </w:r>
      <w:r>
        <w:rPr>
          <w:iCs/>
          <w:i/>
        </w:rPr>
        <w:t xml:space="preserve">kaṇḍvādi</w:t>
      </w:r>
      <w:r>
        <w:t xml:space="preserve"> </w:t>
      </w:r>
      <w:r>
        <w:rPr>
          <w:iCs/>
          <w:i/>
        </w:rPr>
        <w:t xml:space="preserve">yak</w:t>
      </w:r>
      <w:r>
        <w:t xml:space="preserve">. With</w:t>
      </w:r>
      <w:r>
        <w:t xml:space="preserve"> </w:t>
      </w:r>
      <w:r>
        <w:rPr>
          <w:iCs/>
          <w:i/>
        </w:rPr>
        <w:t xml:space="preserve">u</w:t>
      </w:r>
      <w:r>
        <w:t xml:space="preserve">:</w:t>
      </w:r>
      <w:r>
        <w:t xml:space="preserve"> </w:t>
      </w:r>
      <w:r>
        <w:rPr>
          <w:iCs/>
          <w:i/>
        </w:rPr>
        <w:t xml:space="preserve">avasya</w:t>
      </w:r>
      <w:r>
        <w:t xml:space="preserve"> </w:t>
      </w:r>
      <w:r>
        <w:t xml:space="preserve">+</w:t>
      </w:r>
      <w:r>
        <w:t xml:space="preserve"> </w:t>
      </w:r>
      <w:r>
        <w:rPr>
          <w:iCs/>
          <w:i/>
        </w:rPr>
        <w:t xml:space="preserve">u</w:t>
      </w:r>
      <w:r>
        <w:t xml:space="preserve">;</w:t>
      </w:r>
      <w:r>
        <w:t xml:space="preserve"> </w:t>
      </w:r>
      <w:r>
        <w:t xml:space="preserve">“</w:t>
      </w:r>
      <w:r>
        <w:t xml:space="preserve">ato lopaḥ</w:t>
      </w:r>
      <w:r>
        <w:t xml:space="preserve">”</w:t>
      </w:r>
      <w:r>
        <w:t xml:space="preserve"> </w:t>
      </w:r>
      <w:r>
        <w:t xml:space="preserve">(Pā. sū. 6-4-48) drops the</w:t>
      </w:r>
      <w:r>
        <w:t xml:space="preserve"> </w:t>
      </w:r>
      <w:r>
        <w:rPr>
          <w:iCs/>
          <w:i/>
        </w:rPr>
        <w:t xml:space="preserve">a</w:t>
      </w:r>
      <w:r>
        <w:t xml:space="preserve">:</w:t>
      </w:r>
      <w:r>
        <w:t xml:space="preserve"> </w:t>
      </w:r>
      <w:r>
        <w:rPr>
          <w:iCs/>
          <w:i/>
        </w:rPr>
        <w:t xml:space="preserve">avasyu</w:t>
      </w:r>
      <w:r>
        <w:t xml:space="preserve">; final udātta by the suffix accent; nominative plural</w:t>
      </w:r>
      <w:r>
        <w:t xml:space="preserve"> </w:t>
      </w:r>
      <w:r>
        <w:rPr>
          <w:iCs/>
          <w:i/>
        </w:rPr>
        <w:t xml:space="preserve">avasyavaḥ</w:t>
      </w:r>
      <w:r>
        <w:t xml:space="preserve">.</w:t>
      </w:r>
    </w:p>
    <w:p>
      <w:pPr>
        <w:pStyle w:val="BodyText"/>
      </w:pPr>
      <w:r>
        <w:rPr>
          <w:bCs/>
          <w:b/>
        </w:rPr>
        <w:t xml:space="preserve">कण्वासः (</w:t>
      </w:r>
      <w:r>
        <w:rPr>
          <w:iCs/>
          <w:i/>
          <w:bCs/>
          <w:b/>
        </w:rPr>
        <w:t xml:space="preserve">kaṇvāsaḥ</w:t>
      </w:r>
      <w:r>
        <w:rPr>
          <w:bCs/>
          <w:b/>
        </w:rPr>
        <w:t xml:space="preserve">)</w:t>
      </w:r>
      <w:r>
        <w:t xml:space="preserve">:</w:t>
      </w:r>
      <w:r>
        <w:t xml:space="preserve"> </w:t>
      </w:r>
      <w:r>
        <w:rPr>
          <w:iCs/>
          <w:i/>
        </w:rPr>
        <w:t xml:space="preserve">kaṇa śabdārthaḥ</w:t>
      </w:r>
      <w:r>
        <w:t xml:space="preserve">;</w:t>
      </w:r>
      <w:r>
        <w:t xml:space="preserve"> </w:t>
      </w:r>
      <w:r>
        <w:rPr>
          <w:iCs/>
          <w:i/>
        </w:rPr>
        <w:t xml:space="preserve">kaṇanti dhvananti stotrādipāṭhena</w:t>
      </w:r>
      <w:r>
        <w:t xml:space="preserve"> </w:t>
      </w:r>
      <w:r>
        <w:t xml:space="preserve">(they make sound by reciting hymns and the like)</w:t>
      </w:r>
      <w:r>
        <w:t xml:space="preserve"> </w:t>
      </w:r>
      <w:r>
        <w:rPr>
          <w:iCs/>
          <w:i/>
        </w:rPr>
        <w:t xml:space="preserve">iti kaṇvāḥ ṛtvijaḥ</w:t>
      </w:r>
      <w:r>
        <w:t xml:space="preserve">.</w:t>
      </w:r>
      <w:r>
        <w:t xml:space="preserve"> </w:t>
      </w:r>
      <w:r>
        <w:t xml:space="preserve">“</w:t>
      </w:r>
      <w:r>
        <w:t xml:space="preserve">aśūpruṣilaṭikaṇikhaṭiviśibhyaḥ kvan</w:t>
      </w:r>
      <w:r>
        <w:t xml:space="preserve">”</w:t>
      </w:r>
      <w:r>
        <w:t xml:space="preserve"> </w:t>
      </w:r>
      <w:r>
        <w:t xml:space="preserve">(Uṇ. sū. 1-149) gives</w:t>
      </w:r>
      <w:r>
        <w:t xml:space="preserve"> </w:t>
      </w:r>
      <w:r>
        <w:rPr>
          <w:iCs/>
          <w:i/>
        </w:rPr>
        <w:t xml:space="preserve">kvan</w:t>
      </w:r>
      <w:r>
        <w:t xml:space="preserve"> </w:t>
      </w:r>
      <w:r>
        <w:t xml:space="preserve">after</w:t>
      </w:r>
      <w:r>
        <w:t xml:space="preserve"> </w:t>
      </w:r>
      <w:r>
        <w:rPr>
          <w:iCs/>
          <w:i/>
        </w:rPr>
        <w:t xml:space="preserve">kaṇ</w:t>
      </w:r>
      <w:r>
        <w:t xml:space="preserve">; then</w:t>
      </w:r>
      <w:r>
        <w:t xml:space="preserve"> </w:t>
      </w:r>
      <w:r>
        <w:rPr>
          <w:iCs/>
          <w:i/>
        </w:rPr>
        <w:t xml:space="preserve">jas</w:t>
      </w:r>
      <w:r>
        <w:t xml:space="preserve">, and</w:t>
      </w:r>
      <w:r>
        <w:t xml:space="preserve"> </w:t>
      </w:r>
      <w:r>
        <w:t xml:space="preserve">“</w:t>
      </w:r>
      <w:r>
        <w:t xml:space="preserve">ājjaser asuk</w:t>
      </w:r>
      <w:r>
        <w:t xml:space="preserve">”</w:t>
      </w:r>
      <w:r>
        <w:t xml:space="preserve"> </w:t>
      </w:r>
      <w:r>
        <w:t xml:space="preserve">(Pā. sū. 7-1-50) gives the augment</w:t>
      </w:r>
      <w:r>
        <w:t xml:space="preserve"> </w:t>
      </w:r>
      <w:r>
        <w:rPr>
          <w:iCs/>
          <w:i/>
        </w:rPr>
        <w:t xml:space="preserve">as</w:t>
      </w:r>
      <w:r>
        <w:t xml:space="preserve">:</w:t>
      </w:r>
      <w:r>
        <w:t xml:space="preserve"> </w:t>
      </w:r>
      <w:r>
        <w:rPr>
          <w:iCs/>
          <w:i/>
        </w:rPr>
        <w:t xml:space="preserve">kaṇvāsaḥ</w:t>
      </w:r>
      <w:r>
        <w:t xml:space="preserve">.</w:t>
      </w:r>
    </w:p>
    <w:p>
      <w:pPr>
        <w:pStyle w:val="BodyText"/>
      </w:pPr>
      <w:r>
        <w:rPr>
          <w:bCs/>
          <w:b/>
        </w:rPr>
        <w:t xml:space="preserve">वृक्तबर्हिषः (</w:t>
      </w:r>
      <w:r>
        <w:rPr>
          <w:iCs/>
          <w:i/>
          <w:bCs/>
          <w:b/>
        </w:rPr>
        <w:t xml:space="preserve">vṛktabarhiṣaḥ</w:t>
      </w:r>
      <w:r>
        <w:rPr>
          <w:bCs/>
          <w:b/>
        </w:rPr>
        <w:t xml:space="preserve">)</w:t>
      </w:r>
      <w:r>
        <w:t xml:space="preserve">: the formation of</w:t>
      </w:r>
      <w:r>
        <w:t xml:space="preserve"> </w:t>
      </w:r>
      <w:r>
        <w:rPr>
          <w:iCs/>
          <w:i/>
        </w:rPr>
        <w:t xml:space="preserve">vṛkta</w:t>
      </w:r>
      <w:r>
        <w:t xml:space="preserve"> </w:t>
      </w:r>
      <w:r>
        <w:t xml:space="preserve">is set out in Sū.</w:t>
      </w:r>
      <w:r>
        <w:t xml:space="preserve"> </w:t>
      </w:r>
      <w:r>
        <w:t xml:space="preserve">“</w:t>
      </w:r>
      <w:r>
        <w:t xml:space="preserve">12</w:t>
      </w:r>
      <w:r>
        <w:t xml:space="preserve">”</w:t>
      </w:r>
      <w:r>
        <w:t xml:space="preserve"> </w:t>
      </w:r>
      <w:r>
        <w:t xml:space="preserve">[?] Ṛk 3;</w:t>
      </w:r>
      <w:r>
        <w:t xml:space="preserve"> </w:t>
      </w:r>
      <w:r>
        <w:rPr>
          <w:iCs/>
          <w:i/>
        </w:rPr>
        <w:t xml:space="preserve">vṛkta</w:t>
      </w:r>
      <w:r>
        <w:t xml:space="preserve"> </w:t>
      </w:r>
      <w:r>
        <w:t xml:space="preserve">is final udātta by the suffix accent.</w:t>
      </w:r>
      <w:r>
        <w:t xml:space="preserve"> </w:t>
      </w:r>
      <w:r>
        <w:rPr>
          <w:iCs/>
          <w:i/>
        </w:rPr>
        <w:t xml:space="preserve">Vṛktāni barhīṃṣi yeṣāṃ te</w:t>
      </w:r>
      <w:r>
        <w:t xml:space="preserve">: a bahuvrīhi; by</w:t>
      </w:r>
      <w:r>
        <w:t xml:space="preserve"> </w:t>
      </w:r>
      <w:r>
        <w:t xml:space="preserve">“</w:t>
      </w:r>
      <w:r>
        <w:t xml:space="preserve">bahuvrīhau prakṛtyā pūrvapadam</w:t>
      </w:r>
      <w:r>
        <w:t xml:space="preserve">”</w:t>
      </w:r>
      <w:r>
        <w:t xml:space="preserve"> </w:t>
      </w:r>
      <w:r>
        <w:t xml:space="preserve">(Pā. sū. 6-2-1) the first member keeps its accent.</w:t>
      </w:r>
    </w:p>
    <w:p>
      <w:pPr>
        <w:pStyle w:val="BodyText"/>
      </w:pPr>
      <w:r>
        <w:rPr>
          <w:bCs/>
          <w:b/>
        </w:rPr>
        <w:t xml:space="preserve">हविष्मन्तः (</w:t>
      </w:r>
      <w:r>
        <w:rPr>
          <w:iCs/>
          <w:i/>
          <w:bCs/>
          <w:b/>
        </w:rPr>
        <w:t xml:space="preserve">haviṣmantaḥ</w:t>
      </w:r>
      <w:r>
        <w:rPr>
          <w:bCs/>
          <w:b/>
        </w:rPr>
        <w:t xml:space="preserve">)</w:t>
      </w:r>
      <w:r>
        <w:t xml:space="preserve">:</w:t>
      </w:r>
      <w:r>
        <w:t xml:space="preserve"> </w:t>
      </w:r>
      <w:r>
        <w:rPr>
          <w:iCs/>
          <w:i/>
        </w:rPr>
        <w:t xml:space="preserve">haviḥ eṣām asti iti</w:t>
      </w:r>
      <w:r>
        <w:t xml:space="preserve">;</w:t>
      </w:r>
      <w:r>
        <w:t xml:space="preserve"> </w:t>
      </w:r>
      <w:r>
        <w:rPr>
          <w:iCs/>
          <w:i/>
        </w:rPr>
        <w:t xml:space="preserve">matup</w:t>
      </w:r>
      <w:r>
        <w:t xml:space="preserve"> </w:t>
      </w:r>
      <w:r>
        <w:t xml:space="preserve">after</w:t>
      </w:r>
      <w:r>
        <w:t xml:space="preserve"> </w:t>
      </w:r>
      <w:r>
        <w:rPr>
          <w:iCs/>
          <w:i/>
        </w:rPr>
        <w:t xml:space="preserve">havis</w:t>
      </w:r>
      <w:r>
        <w:t xml:space="preserve"> </w:t>
      </w:r>
      <w:r>
        <w:t xml:space="preserve">by</w:t>
      </w:r>
      <w:r>
        <w:t xml:space="preserve"> </w:t>
      </w:r>
      <w:r>
        <w:t xml:space="preserve">“</w:t>
      </w:r>
      <w:r>
        <w:t xml:space="preserve">tad asyāsty asminn iti matup</w:t>
      </w:r>
      <w:r>
        <w:t xml:space="preserve">”</w:t>
      </w:r>
      <w:r>
        <w:t xml:space="preserve"> </w:t>
      </w:r>
      <w:r>
        <w:t xml:space="preserve">(Pā. sū. 5-2-94);</w:t>
      </w:r>
      <w:r>
        <w:t xml:space="preserve"> </w:t>
      </w:r>
      <w:r>
        <w:rPr>
          <w:iCs/>
          <w:i/>
        </w:rPr>
        <w:t xml:space="preserve">ṣ</w:t>
      </w:r>
      <w:r>
        <w:t xml:space="preserve"> </w:t>
      </w:r>
      <w:r>
        <w:t xml:space="preserve">for the</w:t>
      </w:r>
      <w:r>
        <w:t xml:space="preserve"> </w:t>
      </w:r>
      <w:r>
        <w:rPr>
          <w:iCs/>
          <w:i/>
        </w:rPr>
        <w:t xml:space="preserve">s</w:t>
      </w:r>
      <w:r>
        <w:t xml:space="preserve"> </w:t>
      </w:r>
      <w:r>
        <w:t xml:space="preserve">by</w:t>
      </w:r>
      <w:r>
        <w:t xml:space="preserve"> </w:t>
      </w:r>
      <w:r>
        <w:t xml:space="preserve">“</w:t>
      </w:r>
      <w:r>
        <w:t xml:space="preserve">ādeśapratyayayoḥ</w:t>
      </w:r>
      <w:r>
        <w:t xml:space="preserve">”</w:t>
      </w:r>
      <w:r>
        <w:t xml:space="preserve"> </w:t>
      </w:r>
      <w:r>
        <w:t xml:space="preserve">(Pā. sū. 8-3-59);</w:t>
      </w:r>
      <w:r>
        <w:t xml:space="preserve"> </w:t>
      </w:r>
      <w:r>
        <w:rPr>
          <w:iCs/>
          <w:i/>
        </w:rPr>
        <w:t xml:space="preserve">jas</w:t>
      </w:r>
      <w:r>
        <w:t xml:space="preserve">;</w:t>
      </w:r>
      <w:r>
        <w:t xml:space="preserve"> </w:t>
      </w:r>
      <w:r>
        <w:rPr>
          <w:iCs/>
          <w:i/>
        </w:rPr>
        <w:t xml:space="preserve">num</w:t>
      </w:r>
      <w:r>
        <w:t xml:space="preserve"> </w:t>
      </w:r>
      <w:r>
        <w:t xml:space="preserve">by</w:t>
      </w:r>
      <w:r>
        <w:t xml:space="preserve"> </w:t>
      </w:r>
      <w:r>
        <w:t xml:space="preserve">“</w:t>
      </w:r>
      <w:r>
        <w:t xml:space="preserve">ugidacāṃ sarvanāmasthāne ’dhātoḥ</w:t>
      </w:r>
      <w:r>
        <w:t xml:space="preserve">”</w:t>
      </w:r>
      <w:r>
        <w:t xml:space="preserve"> </w:t>
      </w:r>
      <w:r>
        <w:t xml:space="preserve">(Pā. sū. 7-1-70);</w:t>
      </w:r>
      <w:r>
        <w:t xml:space="preserve"> </w:t>
      </w:r>
      <w:r>
        <w:rPr>
          <w:iCs/>
          <w:i/>
        </w:rPr>
        <w:t xml:space="preserve">havis</w:t>
      </w:r>
      <w:r>
        <w:t xml:space="preserve"> </w:t>
      </w:r>
      <w:r>
        <w:t xml:space="preserve">is</w:t>
      </w:r>
      <w:r>
        <w:t xml:space="preserve"> </w:t>
      </w:r>
      <w:r>
        <w:rPr>
          <w:iCs/>
          <w:i/>
        </w:rPr>
        <w:t xml:space="preserve">bha</w:t>
      </w:r>
      <w:r>
        <w:t xml:space="preserve"> </w:t>
      </w:r>
      <w:r>
        <w:t xml:space="preserve">by</w:t>
      </w:r>
      <w:r>
        <w:t xml:space="preserve"> </w:t>
      </w:r>
      <w:r>
        <w:t xml:space="preserve">“</w:t>
      </w:r>
      <w:r>
        <w:t xml:space="preserve">tasau matvarthe</w:t>
      </w:r>
      <w:r>
        <w:t xml:space="preserve">”</w:t>
      </w:r>
      <w:r>
        <w:t xml:space="preserve"> </w:t>
      </w:r>
      <w:r>
        <w:t xml:space="preserve">(Pā. sū. 1-4-19), which bars the</w:t>
      </w:r>
      <w:r>
        <w:t xml:space="preserve"> </w:t>
      </w:r>
      <w:r>
        <w:rPr>
          <w:iCs/>
          <w:i/>
        </w:rPr>
        <w:t xml:space="preserve">pada</w:t>
      </w:r>
      <w:r>
        <w:t xml:space="preserve"> </w:t>
      </w:r>
      <w:r>
        <w:t xml:space="preserve">status, so the</w:t>
      </w:r>
      <w:r>
        <w:t xml:space="preserve"> </w:t>
      </w:r>
      <w:r>
        <w:rPr>
          <w:iCs/>
          <w:i/>
        </w:rPr>
        <w:t xml:space="preserve">s</w:t>
      </w:r>
      <w:r>
        <w:t xml:space="preserve"> </w:t>
      </w:r>
      <w:r>
        <w:t xml:space="preserve">does not become</w:t>
      </w:r>
      <w:r>
        <w:t xml:space="preserve"> </w:t>
      </w:r>
      <w:r>
        <w:rPr>
          <w:iCs/>
          <w:i/>
        </w:rPr>
        <w:t xml:space="preserve">ru</w:t>
      </w:r>
      <w:r>
        <w:t xml:space="preserve">.</w:t>
      </w:r>
    </w:p>
    <w:p>
      <w:pPr>
        <w:pStyle w:val="BodyText"/>
      </w:pPr>
      <w:r>
        <w:rPr>
          <w:bCs/>
          <w:b/>
        </w:rPr>
        <w:t xml:space="preserve">अरंकृतः (</w:t>
      </w:r>
      <w:r>
        <w:rPr>
          <w:iCs/>
          <w:i/>
          <w:bCs/>
          <w:b/>
        </w:rPr>
        <w:t xml:space="preserve">araṅkṛtaḥ</w:t>
      </w:r>
      <w:r>
        <w:rPr>
          <w:bCs/>
          <w:b/>
        </w:rPr>
        <w:t xml:space="preserve">)</w:t>
      </w:r>
      <w:r>
        <w:t xml:space="preserve">:</w:t>
      </w:r>
      <w:r>
        <w:t xml:space="preserve"> </w:t>
      </w:r>
      <w:r>
        <w:rPr>
          <w:iCs/>
          <w:i/>
        </w:rPr>
        <w:t xml:space="preserve">alaṃkurvanti ity araṅkṛtaḥ</w:t>
      </w:r>
      <w:r>
        <w:t xml:space="preserve">; with the</w:t>
      </w:r>
      <w:r>
        <w:t xml:space="preserve"> </w:t>
      </w:r>
      <w:r>
        <w:rPr>
          <w:iCs/>
          <w:i/>
        </w:rPr>
        <w:t xml:space="preserve">subanta</w:t>
      </w:r>
      <w:r>
        <w:t xml:space="preserve"> </w:t>
      </w:r>
      <w:r>
        <w:rPr>
          <w:iCs/>
          <w:i/>
        </w:rPr>
        <w:t xml:space="preserve">alam</w:t>
      </w:r>
      <w:r>
        <w:t xml:space="preserve"> </w:t>
      </w:r>
      <w:r>
        <w:t xml:space="preserve">as</w:t>
      </w:r>
      <w:r>
        <w:t xml:space="preserve"> </w:t>
      </w:r>
      <w:r>
        <w:rPr>
          <w:iCs/>
          <w:i/>
        </w:rPr>
        <w:t xml:space="preserve">upapada</w:t>
      </w:r>
      <w:r>
        <w:t xml:space="preserve">,</w:t>
      </w:r>
      <w:r>
        <w:t xml:space="preserve"> </w:t>
      </w:r>
      <w:r>
        <w:rPr>
          <w:iCs/>
          <w:i/>
        </w:rPr>
        <w:t xml:space="preserve">kvip</w:t>
      </w:r>
      <w:r>
        <w:t xml:space="preserve"> </w:t>
      </w:r>
      <w:r>
        <w:t xml:space="preserve">after</w:t>
      </w:r>
      <w:r>
        <w:t xml:space="preserve"> </w:t>
      </w:r>
      <w:r>
        <w:rPr>
          <w:iCs/>
          <w:i/>
        </w:rPr>
        <w:t xml:space="preserve">kṛñ</w:t>
      </w:r>
      <w:r>
        <w:t xml:space="preserve"> </w:t>
      </w:r>
      <w:r>
        <w:t xml:space="preserve">by</w:t>
      </w:r>
      <w:r>
        <w:t xml:space="preserve"> </w:t>
      </w:r>
      <w:r>
        <w:t xml:space="preserve">“</w:t>
      </w:r>
      <w:r>
        <w:t xml:space="preserve">kvip ca</w:t>
      </w:r>
      <w:r>
        <w:t xml:space="preserve">”</w:t>
      </w:r>
      <w:r>
        <w:t xml:space="preserve"> </w:t>
      </w:r>
      <w:r>
        <w:t xml:space="preserve">(Pā. sū. 3-2-76),</w:t>
      </w:r>
    </w:p>
    <w:bookmarkEnd w:id="642"/>
    <w:bookmarkStart w:id="643" w:name="page-603-rik-5-grammar-end"/>
    <w:p>
      <w:pPr>
        <w:pStyle w:val="Heading3"/>
      </w:pPr>
      <w:r>
        <w:t xml:space="preserve">Page 603 — Rik 5: grammar (end)</w:t>
      </w:r>
    </w:p>
    <w:p>
      <w:pPr>
        <w:pStyle w:val="FirstParagraph"/>
      </w:pPr>
      <w:r>
        <w:t xml:space="preserve">and the</w:t>
      </w:r>
      <w:r>
        <w:t xml:space="preserve"> </w:t>
      </w:r>
      <w:r>
        <w:rPr>
          <w:iCs/>
          <w:i/>
        </w:rPr>
        <w:t xml:space="preserve">kvip</w:t>
      </w:r>
      <w:r>
        <w:t xml:space="preserve"> </w:t>
      </w:r>
      <w:r>
        <w:t xml:space="preserve">drops. By</w:t>
      </w:r>
      <w:r>
        <w:t xml:space="preserve"> </w:t>
      </w:r>
      <w:r>
        <w:rPr>
          <w:iCs/>
          <w:i/>
        </w:rPr>
        <w:t xml:space="preserve">pratyayalakṣaṇa</w:t>
      </w:r>
      <w:r>
        <w:t xml:space="preserve"> </w:t>
      </w:r>
      <w:r>
        <w:t xml:space="preserve">the</w:t>
      </w:r>
      <w:r>
        <w:t xml:space="preserve"> </w:t>
      </w:r>
      <w:r>
        <w:rPr>
          <w:iCs/>
          <w:i/>
        </w:rPr>
        <w:t xml:space="preserve">kvip</w:t>
      </w:r>
      <w:r>
        <w:t xml:space="preserve"> </w:t>
      </w:r>
      <w:r>
        <w:t xml:space="preserve">still counts as following, so</w:t>
      </w:r>
      <w:r>
        <w:t xml:space="preserve"> </w:t>
      </w:r>
      <w:r>
        <w:t xml:space="preserve">“</w:t>
      </w:r>
      <w:r>
        <w:t xml:space="preserve">hrasvasya piti kṛti tuk</w:t>
      </w:r>
      <w:r>
        <w:t xml:space="preserve">”</w:t>
      </w:r>
      <w:r>
        <w:t xml:space="preserve"> </w:t>
      </w:r>
      <w:r>
        <w:t xml:space="preserve">(Pā. sū. 6-1-71) gives the augment</w:t>
      </w:r>
      <w:r>
        <w:t xml:space="preserve"> </w:t>
      </w:r>
      <w:r>
        <w:rPr>
          <w:iCs/>
          <w:i/>
        </w:rPr>
        <w:t xml:space="preserve">tuk</w:t>
      </w:r>
      <w:r>
        <w:t xml:space="preserve">, which, being</w:t>
      </w:r>
      <w:r>
        <w:t xml:space="preserve"> </w:t>
      </w:r>
      <w:r>
        <w:rPr>
          <w:iCs/>
          <w:i/>
        </w:rPr>
        <w:t xml:space="preserve">kit</w:t>
      </w:r>
      <w:r>
        <w:t xml:space="preserve">, comes at the end by</w:t>
      </w:r>
      <w:r>
        <w:t xml:space="preserve"> </w:t>
      </w:r>
      <w:r>
        <w:t xml:space="preserve">“</w:t>
      </w:r>
      <w:r>
        <w:t xml:space="preserve">ādyantau ṭakitau</w:t>
      </w:r>
      <w:r>
        <w:t xml:space="preserve">”</w:t>
      </w:r>
      <w:r>
        <w:t xml:space="preserve"> </w:t>
      </w:r>
      <w:r>
        <w:t xml:space="preserve">(Pā. sū. 1-1-46).</w:t>
      </w:r>
      <w:r>
        <w:t xml:space="preserve"> </w:t>
      </w:r>
      <w:r>
        <w:t xml:space="preserve">“</w:t>
      </w:r>
      <w:r>
        <w:t xml:space="preserve">kapilakādīnāṃ saṃjñāchandasor vā lo ratvam āpadyate</w:t>
      </w:r>
      <w:r>
        <w:t xml:space="preserve">”</w:t>
      </w:r>
      <w:r>
        <w:t xml:space="preserve"> </w:t>
      </w:r>
      <w:r>
        <w:t xml:space="preserve">(Pā. sū. ma. 8-2-18): in names and in the Veda the</w:t>
      </w:r>
      <w:r>
        <w:t xml:space="preserve"> </w:t>
      </w:r>
      <w:r>
        <w:rPr>
          <w:iCs/>
          <w:i/>
        </w:rPr>
        <w:t xml:space="preserve">l</w:t>
      </w:r>
      <w:r>
        <w:t xml:space="preserve"> </w:t>
      </w:r>
      <w:r>
        <w:t xml:space="preserve">of words in the</w:t>
      </w:r>
      <w:r>
        <w:t xml:space="preserve"> </w:t>
      </w:r>
      <w:r>
        <w:rPr>
          <w:iCs/>
          <w:i/>
        </w:rPr>
        <w:t xml:space="preserve">kapilakādi</w:t>
      </w:r>
      <w:r>
        <w:t xml:space="preserve"> </w:t>
      </w:r>
      <w:r>
        <w:t xml:space="preserve">class becomes</w:t>
      </w:r>
      <w:r>
        <w:t xml:space="preserve"> </w:t>
      </w:r>
      <w:r>
        <w:rPr>
          <w:iCs/>
          <w:i/>
        </w:rPr>
        <w:t xml:space="preserve">r</w:t>
      </w:r>
      <w:r>
        <w:t xml:space="preserve"> </w:t>
      </w:r>
      <w:r>
        <w:t xml:space="preserve">optionally, so the</w:t>
      </w:r>
      <w:r>
        <w:t xml:space="preserve"> </w:t>
      </w:r>
      <w:r>
        <w:rPr>
          <w:iCs/>
          <w:i/>
        </w:rPr>
        <w:t xml:space="preserve">l</w:t>
      </w:r>
      <w:r>
        <w:t xml:space="preserve"> </w:t>
      </w:r>
      <w:r>
        <w:t xml:space="preserve">of</w:t>
      </w:r>
      <w:r>
        <w:t xml:space="preserve"> </w:t>
      </w:r>
      <w:r>
        <w:rPr>
          <w:iCs/>
          <w:i/>
        </w:rPr>
        <w:t xml:space="preserve">alam</w:t>
      </w:r>
      <w:r>
        <w:t xml:space="preserve"> </w:t>
      </w:r>
      <w:r>
        <w:t xml:space="preserve">becomes</w:t>
      </w:r>
      <w:r>
        <w:t xml:space="preserve"> </w:t>
      </w:r>
      <w:r>
        <w:rPr>
          <w:iCs/>
          <w:i/>
        </w:rPr>
        <w:t xml:space="preserve">r</w:t>
      </w:r>
      <w:r>
        <w:t xml:space="preserve">;</w:t>
      </w:r>
      <w:r>
        <w:t xml:space="preserve"> </w:t>
      </w:r>
      <w:r>
        <w:rPr>
          <w:iCs/>
          <w:i/>
        </w:rPr>
        <w:t xml:space="preserve">kapilakādi</w:t>
      </w:r>
      <w:r>
        <w:t xml:space="preserve"> </w:t>
      </w:r>
      <w:r>
        <w:t xml:space="preserve">is an</w:t>
      </w:r>
      <w:r>
        <w:t xml:space="preserve"> </w:t>
      </w:r>
      <w:r>
        <w:rPr>
          <w:iCs/>
          <w:i/>
        </w:rPr>
        <w:t xml:space="preserve">ākṛtigaṇa</w:t>
      </w:r>
      <w:r>
        <w:t xml:space="preserve">, and</w:t>
      </w:r>
      <w:r>
        <w:t xml:space="preserve"> </w:t>
      </w:r>
      <w:r>
        <w:rPr>
          <w:iCs/>
          <w:i/>
        </w:rPr>
        <w:t xml:space="preserve">alam</w:t>
      </w:r>
      <w:r>
        <w:t xml:space="preserve"> </w:t>
      </w:r>
      <w:r>
        <w:t xml:space="preserve">belongs to it. The Mahābhāṣya here has</w:t>
      </w:r>
    </w:p>
    <w:p>
      <w:pPr>
        <w:pStyle w:val="BlockText"/>
      </w:pPr>
      <w:r>
        <w:t xml:space="preserve">वालमूललघ्वलमङ्गुलीनां वा लो रत्वमापद्यते</w:t>
      </w:r>
    </w:p>
    <w:p>
      <w:pPr>
        <w:pStyle w:val="BlockText"/>
      </w:pPr>
      <w:r>
        <w:rPr>
          <w:iCs/>
          <w:i/>
        </w:rPr>
        <w:t xml:space="preserve">vālamūlalaghvalamaṅgulīnāṃ vā lo ratvamāpadyate</w:t>
      </w:r>
    </w:p>
    <w:p>
      <w:pPr>
        <w:pStyle w:val="FirstParagraph"/>
      </w:pPr>
      <w:r>
        <w:rPr>
          <w:iCs/>
          <w:i/>
        </w:rPr>
        <w:t xml:space="preserve">(MB 8-2-18-2)</w:t>
      </w:r>
      <w:r>
        <w:t xml:space="preserve">: the</w:t>
      </w:r>
      <w:r>
        <w:t xml:space="preserve"> </w:t>
      </w:r>
      <w:r>
        <w:rPr>
          <w:iCs/>
          <w:i/>
        </w:rPr>
        <w:t xml:space="preserve">l</w:t>
      </w:r>
      <w:r>
        <w:t xml:space="preserve"> </w:t>
      </w:r>
      <w:r>
        <w:t xml:space="preserve">of</w:t>
      </w:r>
      <w:r>
        <w:t xml:space="preserve"> </w:t>
      </w:r>
      <w:r>
        <w:rPr>
          <w:iCs/>
          <w:i/>
        </w:rPr>
        <w:t xml:space="preserve">vāla</w:t>
      </w:r>
      <w:r>
        <w:t xml:space="preserve">,</w:t>
      </w:r>
      <w:r>
        <w:t xml:space="preserve"> </w:t>
      </w:r>
      <w:r>
        <w:rPr>
          <w:iCs/>
          <w:i/>
        </w:rPr>
        <w:t xml:space="preserve">mūla</w:t>
      </w:r>
      <w:r>
        <w:t xml:space="preserve">,</w:t>
      </w:r>
      <w:r>
        <w:t xml:space="preserve"> </w:t>
      </w:r>
      <w:r>
        <w:rPr>
          <w:iCs/>
          <w:i/>
        </w:rPr>
        <w:t xml:space="preserve">laghu</w:t>
      </w:r>
      <w:r>
        <w:t xml:space="preserve">,</w:t>
      </w:r>
      <w:r>
        <w:t xml:space="preserve"> </w:t>
      </w:r>
      <w:r>
        <w:rPr>
          <w:iCs/>
          <w:i/>
        </w:rPr>
        <w:t xml:space="preserve">alam</w:t>
      </w:r>
      <w:r>
        <w:t xml:space="preserve">,</w:t>
      </w:r>
      <w:r>
        <w:t xml:space="preserve"> </w:t>
      </w:r>
      <w:r>
        <w:rPr>
          <w:iCs/>
          <w:i/>
        </w:rPr>
        <w:t xml:space="preserve">aṅguli</w:t>
      </w:r>
      <w:r>
        <w:t xml:space="preserve"> </w:t>
      </w:r>
      <w:r>
        <w:t xml:space="preserve">becomes</w:t>
      </w:r>
      <w:r>
        <w:t xml:space="preserve"> </w:t>
      </w:r>
      <w:r>
        <w:rPr>
          <w:iCs/>
          <w:i/>
        </w:rPr>
        <w:t xml:space="preserve">r</w:t>
      </w:r>
      <w:r>
        <w:t xml:space="preserve"> </w:t>
      </w:r>
      <w:r>
        <w:t xml:space="preserve">optionally; examples:</w:t>
      </w:r>
      <w:r>
        <w:t xml:space="preserve"> </w:t>
      </w:r>
      <w:r>
        <w:rPr>
          <w:iCs/>
          <w:i/>
        </w:rPr>
        <w:t xml:space="preserve">aśvavāraḥ</w:t>
      </w:r>
      <w:r>
        <w:t xml:space="preserve">/</w:t>
      </w:r>
      <w:r>
        <w:rPr>
          <w:iCs/>
          <w:i/>
        </w:rPr>
        <w:t xml:space="preserve">aśvavālaḥ</w:t>
      </w:r>
      <w:r>
        <w:t xml:space="preserve">,</w:t>
      </w:r>
      <w:r>
        <w:t xml:space="preserve"> </w:t>
      </w:r>
      <w:r>
        <w:rPr>
          <w:iCs/>
          <w:i/>
        </w:rPr>
        <w:t xml:space="preserve">mūradevaḥ</w:t>
      </w:r>
      <w:r>
        <w:t xml:space="preserve">/</w:t>
      </w:r>
      <w:r>
        <w:rPr>
          <w:iCs/>
          <w:i/>
        </w:rPr>
        <w:t xml:space="preserve">mūladevaḥ</w:t>
      </w:r>
      <w:r>
        <w:t xml:space="preserve">,</w:t>
      </w:r>
      <w:r>
        <w:t xml:space="preserve"> </w:t>
      </w:r>
      <w:r>
        <w:rPr>
          <w:iCs/>
          <w:i/>
        </w:rPr>
        <w:t xml:space="preserve">laghusyadaḥ</w:t>
      </w:r>
      <w:r>
        <w:t xml:space="preserve">/</w:t>
      </w:r>
      <w:r>
        <w:rPr>
          <w:iCs/>
          <w:i/>
        </w:rPr>
        <w:t xml:space="preserve">raghusyadaḥ</w:t>
      </w:r>
      <w:r>
        <w:t xml:space="preserve">,</w:t>
      </w:r>
      <w:r>
        <w:t xml:space="preserve"> </w:t>
      </w:r>
      <w:r>
        <w:rPr>
          <w:iCs/>
          <w:i/>
        </w:rPr>
        <w:t xml:space="preserve">alambhaktāya</w:t>
      </w:r>
      <w:r>
        <w:t xml:space="preserve">/</w:t>
      </w:r>
      <w:r>
        <w:rPr>
          <w:iCs/>
          <w:i/>
        </w:rPr>
        <w:t xml:space="preserve">arambhaktāya</w:t>
      </w:r>
      <w:r>
        <w:t xml:space="preserve">,</w:t>
      </w:r>
      <w:r>
        <w:t xml:space="preserve"> </w:t>
      </w:r>
      <w:r>
        <w:rPr>
          <w:iCs/>
          <w:i/>
        </w:rPr>
        <w:t xml:space="preserve">svaṅguliḥ</w:t>
      </w:r>
      <w:r>
        <w:t xml:space="preserve">/</w:t>
      </w:r>
      <w:r>
        <w:rPr>
          <w:iCs/>
          <w:i/>
        </w:rPr>
        <w:t xml:space="preserve">svaṅguriḥ</w:t>
      </w:r>
      <w:r>
        <w:t xml:space="preserve">; and then the statement</w:t>
      </w:r>
      <w:r>
        <w:t xml:space="preserve"> </w:t>
      </w:r>
      <w:r>
        <w:rPr>
          <w:iCs/>
          <w:i/>
        </w:rPr>
        <w:t xml:space="preserve">saṃjñāchandasor vā kapilakādīnām</w:t>
      </w:r>
      <w:r>
        <w:t xml:space="preserve">, with the examples</w:t>
      </w:r>
      <w:r>
        <w:t xml:space="preserve"> </w:t>
      </w:r>
      <w:r>
        <w:rPr>
          <w:iCs/>
          <w:i/>
        </w:rPr>
        <w:t xml:space="preserve">kapirakaḥ</w:t>
      </w:r>
      <w:r>
        <w:t xml:space="preserve">/</w:t>
      </w:r>
      <w:r>
        <w:rPr>
          <w:iCs/>
          <w:i/>
        </w:rPr>
        <w:t xml:space="preserve">kapilakaḥ</w:t>
      </w:r>
      <w:r>
        <w:t xml:space="preserve">,</w:t>
      </w:r>
      <w:r>
        <w:t xml:space="preserve"> </w:t>
      </w:r>
      <w:r>
        <w:rPr>
          <w:iCs/>
          <w:i/>
        </w:rPr>
        <w:t xml:space="preserve">tilvilikam</w:t>
      </w:r>
      <w:r>
        <w:t xml:space="preserve">/</w:t>
      </w:r>
      <w:r>
        <w:rPr>
          <w:iCs/>
          <w:i/>
        </w:rPr>
        <w:t xml:space="preserve">tirvirikam</w:t>
      </w:r>
      <w:r>
        <w:t xml:space="preserve">,</w:t>
      </w:r>
      <w:r>
        <w:t xml:space="preserve"> </w:t>
      </w:r>
      <w:r>
        <w:rPr>
          <w:iCs/>
          <w:i/>
        </w:rPr>
        <w:t xml:space="preserve">kalmaṣam</w:t>
      </w:r>
      <w:r>
        <w:t xml:space="preserve">/</w:t>
      </w:r>
      <w:r>
        <w:rPr>
          <w:iCs/>
          <w:i/>
        </w:rPr>
        <w:t xml:space="preserve">karmaṣam</w:t>
      </w:r>
      <w:r>
        <w:t xml:space="preserve">,</w:t>
      </w:r>
      <w:r>
        <w:t xml:space="preserve"> </w:t>
      </w:r>
      <w:r>
        <w:rPr>
          <w:iCs/>
          <w:i/>
        </w:rPr>
        <w:t xml:space="preserve">romāṇi</w:t>
      </w:r>
      <w:r>
        <w:t xml:space="preserve">/</w:t>
      </w:r>
      <w:r>
        <w:rPr>
          <w:iCs/>
          <w:i/>
        </w:rPr>
        <w:t xml:space="preserve">lomāni</w:t>
      </w:r>
      <w:r>
        <w:t xml:space="preserve">,</w:t>
      </w:r>
      <w:r>
        <w:t xml:space="preserve"> </w:t>
      </w:r>
      <w:r>
        <w:rPr>
          <w:iCs/>
          <w:i/>
        </w:rPr>
        <w:t xml:space="preserve">pāṃsulam</w:t>
      </w:r>
      <w:r>
        <w:t xml:space="preserve">/</w:t>
      </w:r>
      <w:r>
        <w:rPr>
          <w:iCs/>
          <w:i/>
        </w:rPr>
        <w:t xml:space="preserve">pāṃsuram</w:t>
      </w:r>
      <w:r>
        <w:t xml:space="preserve">,</w:t>
      </w:r>
      <w:r>
        <w:t xml:space="preserve"> </w:t>
      </w:r>
      <w:r>
        <w:rPr>
          <w:iCs/>
          <w:i/>
        </w:rPr>
        <w:t xml:space="preserve">karma</w:t>
      </w:r>
      <w:r>
        <w:t xml:space="preserve">/</w:t>
      </w:r>
      <w:r>
        <w:rPr>
          <w:iCs/>
          <w:i/>
        </w:rPr>
        <w:t xml:space="preserve">kalma</w:t>
      </w:r>
      <w:r>
        <w:t xml:space="preserve">,</w:t>
      </w:r>
      <w:r>
        <w:t xml:space="preserve"> </w:t>
      </w:r>
      <w:r>
        <w:rPr>
          <w:iCs/>
          <w:i/>
        </w:rPr>
        <w:t xml:space="preserve">śukraḥ</w:t>
      </w:r>
      <w:r>
        <w:t xml:space="preserve">/</w:t>
      </w:r>
      <w:r>
        <w:rPr>
          <w:iCs/>
          <w:i/>
        </w:rPr>
        <w:t xml:space="preserve">śuklaḥ</w:t>
      </w:r>
      <w:r>
        <w:t xml:space="preserve">. The Kaiyaṭakāra says</w:t>
      </w:r>
      <w:r>
        <w:t xml:space="preserve"> </w:t>
      </w:r>
      <w:r>
        <w:rPr>
          <w:iCs/>
          <w:i/>
        </w:rPr>
        <w:t xml:space="preserve">kapilakādiṣu vāraśyalaḥ</w:t>
      </w:r>
      <w:r>
        <w:t xml:space="preserve">: for the</w:t>
      </w:r>
      <w:r>
        <w:t xml:space="preserve"> </w:t>
      </w:r>
      <w:r>
        <w:rPr>
          <w:iCs/>
          <w:i/>
        </w:rPr>
        <w:t xml:space="preserve">r</w:t>
      </w:r>
      <w:r>
        <w:t xml:space="preserve"> </w:t>
      </w:r>
      <w:r>
        <w:t xml:space="preserve">of the</w:t>
      </w:r>
      <w:r>
        <w:t xml:space="preserve"> </w:t>
      </w:r>
      <w:r>
        <w:rPr>
          <w:iCs/>
          <w:i/>
        </w:rPr>
        <w:t xml:space="preserve">kapilakādi</w:t>
      </w:r>
      <w:r>
        <w:t xml:space="preserve"> </w:t>
      </w:r>
      <w:r>
        <w:t xml:space="preserve">words</w:t>
      </w:r>
      <w:r>
        <w:t xml:space="preserve"> </w:t>
      </w:r>
      <w:r>
        <w:rPr>
          <w:iCs/>
          <w:i/>
        </w:rPr>
        <w:t xml:space="preserve">l</w:t>
      </w:r>
      <w:r>
        <w:t xml:space="preserve"> </w:t>
      </w:r>
      <w:r>
        <w:t xml:space="preserve">comes optionally. On this the Uddyota has</w:t>
      </w:r>
    </w:p>
    <w:p>
      <w:pPr>
        <w:pStyle w:val="BlockText"/>
      </w:pPr>
      <w:r>
        <w:t xml:space="preserve">पूर्ववाक्येन लस्य रत्वं प्रोक्तम् अनेन रस्य लो वेत्यर्थः</w:t>
      </w:r>
    </w:p>
    <w:p>
      <w:pPr>
        <w:pStyle w:val="BlockText"/>
      </w:pPr>
      <w:r>
        <w:rPr>
          <w:iCs/>
          <w:i/>
        </w:rPr>
        <w:t xml:space="preserve">pūrvavākyena lasya ratvaṃ proktam anena rasya lo vetyarthaḥ</w:t>
      </w:r>
    </w:p>
    <w:p>
      <w:pPr>
        <w:pStyle w:val="FirstParagraph"/>
      </w:pPr>
      <w:r>
        <w:t xml:space="preserve">that is, by the earlier statement</w:t>
      </w:r>
      <w:r>
        <w:t xml:space="preserve"> </w:t>
      </w:r>
      <w:r>
        <w:rPr>
          <w:iCs/>
          <w:i/>
        </w:rPr>
        <w:t xml:space="preserve">vāla-mūla…</w:t>
      </w:r>
      <w:r>
        <w:t xml:space="preserve"> </w:t>
      </w:r>
      <w:r>
        <w:t xml:space="preserve">the</w:t>
      </w:r>
      <w:r>
        <w:t xml:space="preserve"> </w:t>
      </w:r>
      <w:r>
        <w:rPr>
          <w:iCs/>
          <w:i/>
        </w:rPr>
        <w:t xml:space="preserve">r</w:t>
      </w:r>
      <w:r>
        <w:t xml:space="preserve"> </w:t>
      </w:r>
      <w:r>
        <w:t xml:space="preserve">for the</w:t>
      </w:r>
      <w:r>
        <w:t xml:space="preserve"> </w:t>
      </w:r>
      <w:r>
        <w:rPr>
          <w:iCs/>
          <w:i/>
        </w:rPr>
        <w:t xml:space="preserve">l</w:t>
      </w:r>
      <w:r>
        <w:t xml:space="preserve"> </w:t>
      </w:r>
      <w:r>
        <w:t xml:space="preserve">is laid down optionally, and by this statement the</w:t>
      </w:r>
      <w:r>
        <w:t xml:space="preserve"> </w:t>
      </w:r>
      <w:r>
        <w:rPr>
          <w:iCs/>
          <w:i/>
        </w:rPr>
        <w:t xml:space="preserve">l</w:t>
      </w:r>
      <w:r>
        <w:t xml:space="preserve"> </w:t>
      </w:r>
      <w:r>
        <w:t xml:space="preserve">for the</w:t>
      </w:r>
      <w:r>
        <w:t xml:space="preserve"> </w:t>
      </w:r>
      <w:r>
        <w:rPr>
          <w:iCs/>
          <w:i/>
        </w:rPr>
        <w:t xml:space="preserve">r</w:t>
      </w:r>
      <w:r>
        <w:t xml:space="preserve"> </w:t>
      </w:r>
      <w:r>
        <w:t xml:space="preserve">optionally. So, following the reading of Kaiyaṭa and the Uddyotakāra, it is fitting to say that here the</w:t>
      </w:r>
      <w:r>
        <w:t xml:space="preserve"> </w:t>
      </w:r>
      <w:r>
        <w:rPr>
          <w:iCs/>
          <w:i/>
        </w:rPr>
        <w:t xml:space="preserve">r</w:t>
      </w:r>
      <w:r>
        <w:t xml:space="preserve"> </w:t>
      </w:r>
      <w:r>
        <w:t xml:space="preserve">for the</w:t>
      </w:r>
      <w:r>
        <w:t xml:space="preserve"> </w:t>
      </w:r>
      <w:r>
        <w:rPr>
          <w:iCs/>
          <w:i/>
        </w:rPr>
        <w:t xml:space="preserve">l</w:t>
      </w:r>
      <w:r>
        <w:t xml:space="preserve"> </w:t>
      </w:r>
      <w:r>
        <w:t xml:space="preserve">comes by</w:t>
      </w:r>
      <w:r>
        <w:t xml:space="preserve"> </w:t>
      </w:r>
      <w:r>
        <w:rPr>
          <w:iCs/>
          <w:i/>
        </w:rPr>
        <w:t xml:space="preserve">vālamūla…</w:t>
      </w:r>
      <w:r>
        <w:t xml:space="preserve">.</w:t>
      </w:r>
    </w:p>
    <w:p>
      <w:pPr>
        <w:pStyle w:val="BodyText"/>
      </w:pPr>
      <w:r>
        <w:rPr>
          <w:bCs/>
          <w:b/>
        </w:rPr>
        <w:t xml:space="preserve">॥५॥</w:t>
      </w:r>
    </w:p>
    <w:p>
      <w:r>
        <w:pict>
          <v:rect style="width:0;height:1.5pt" o:hralign="center" o:hrstd="t" o:hr="t"/>
        </w:pict>
      </w:r>
    </w:p>
    <w:bookmarkEnd w:id="643"/>
    <w:bookmarkStart w:id="644" w:name="page-603-lower-sūkta-14-rik-6"/>
    <w:p>
      <w:pPr>
        <w:pStyle w:val="Heading3"/>
      </w:pPr>
      <w:r>
        <w:t xml:space="preserve">Page 603 (lower) — Sūkta 14, Rik 6</w:t>
      </w:r>
    </w:p>
    <w:p>
      <w:pPr>
        <w:pStyle w:val="FirstParagraph"/>
      </w:pPr>
      <w:r>
        <w:rPr>
          <w:iCs/>
          <w:i/>
        </w:rPr>
        <w:t xml:space="preserve">(Saṃhitā accents as printed; Pada unaccented. The print has देवान्त्सोम; the grammar on p. 607 says that by its derivation the mantra should read देवान्थ्सोम.)</w:t>
      </w:r>
    </w:p>
    <w:p>
      <w:pPr>
        <w:pStyle w:val="BodyText"/>
      </w:pPr>
      <w:r>
        <w:rPr>
          <w:bCs/>
          <w:b/>
        </w:rPr>
        <w:t xml:space="preserve">॥ Saṃhitā-pāṭhaḥ ॥</w:t>
      </w:r>
    </w:p>
    <w:p>
      <w:pPr>
        <w:pStyle w:val="BlockText"/>
      </w:pPr>
      <w:r>
        <w:t xml:space="preserve">घृ॒तपृ॑ष्ठा मनो॒युजो॒ ये त्वा॒ वह॑न्ति॒ वह्न॑यः ।</w:t>
      </w:r>
      <w:r>
        <w:t xml:space="preserve"> </w:t>
      </w:r>
      <w:r>
        <w:t xml:space="preserve">आ दे॒वान्त्सोम॑पीतये ॥६॥</w:t>
      </w:r>
    </w:p>
    <w:p>
      <w:pPr>
        <w:pStyle w:val="BlockText"/>
      </w:pPr>
      <w:r>
        <w:rPr>
          <w:iCs/>
          <w:i/>
        </w:rPr>
        <w:t xml:space="preserve">ghṛtápṛṣṭhā manoyújo yé tvā váhanti váhnayaḥ |</w:t>
      </w:r>
      <w:r>
        <w:t xml:space="preserve"> </w:t>
      </w:r>
      <w:r>
        <w:rPr>
          <w:iCs/>
          <w:i/>
        </w:rPr>
        <w:t xml:space="preserve">ā devā́nt sómapītaye ||6||</w:t>
      </w:r>
    </w:p>
    <w:p>
      <w:pPr>
        <w:pStyle w:val="FirstParagraph"/>
      </w:pPr>
      <w:r>
        <w:rPr>
          <w:bCs/>
          <w:b/>
        </w:rPr>
        <w:t xml:space="preserve">॥ Pada-pāṭhaḥ ॥</w:t>
      </w:r>
    </w:p>
    <w:p>
      <w:pPr>
        <w:pStyle w:val="BlockText"/>
      </w:pPr>
      <w:r>
        <w:t xml:space="preserve">घृतऽपृष्ठाः । मनःऽयुजः । ये । त्वा । वहन्ति । वह्नयः ॥</w:t>
      </w:r>
      <w:r>
        <w:t xml:space="preserve"> </w:t>
      </w:r>
      <w:r>
        <w:t xml:space="preserve">आ । देवान् । सोमऽपीतये ॥६॥</w:t>
      </w:r>
    </w:p>
    <w:p>
      <w:pPr>
        <w:pStyle w:val="BlockText"/>
      </w:pPr>
      <w:r>
        <w:rPr>
          <w:iCs/>
          <w:i/>
        </w:rPr>
        <w:t xml:space="preserve">ghṛta ’pṛṣṭhāḥ | manaḥ ’yujaḥ | ye | tvā | vahanti | vahnayaḥ ||</w:t>
      </w:r>
      <w:r>
        <w:t xml:space="preserve"> </w:t>
      </w:r>
      <w:r>
        <w:rPr>
          <w:iCs/>
          <w:i/>
        </w:rPr>
        <w:t xml:space="preserve">ā | devān | soma ’pītaye ||6||</w:t>
      </w:r>
    </w:p>
    <w:bookmarkEnd w:id="644"/>
    <w:bookmarkStart w:id="645" w:name="X60750ed6832b1e0746090a8e52cc2c79e8c1677"/>
    <w:p>
      <w:pPr>
        <w:pStyle w:val="Heading3"/>
      </w:pPr>
      <w:r>
        <w:t xml:space="preserve">Page 604 — Rik 6: bhāṣya, word-meanings, overall sense, English</w:t>
      </w:r>
    </w:p>
    <w:p>
      <w:pPr>
        <w:pStyle w:val="FirstParagraph"/>
      </w:pPr>
      <w:r>
        <w:rPr>
          <w:bCs/>
          <w:b/>
        </w:rPr>
        <w:t xml:space="preserve">॥ Sāyaṇa-bhāṣyam ॥</w:t>
      </w:r>
    </w:p>
    <w:p>
      <w:pPr>
        <w:pStyle w:val="BlockText"/>
      </w:pPr>
      <w:r>
        <w:t xml:space="preserve">हे अग्ने त्वा त्वां ये ऽश्वा रथेन वहन्ति । कीदृशाः । घृतपृष्ठाः । पुष्टाङ्गत्वेन दीप्तपृष्ठा मनोयुजो मनःसंकल्पमात्रेण रथे युज्यमाना वह्नयो वोढारः । तैरश्वैः सोमपीतये सोमपानयागार्थं देवाना वहेति शेषः ॥ घृतपृष्ठाः । घृ क्षरणदीप्त्योः । घृतं दीप्तं पृष्ठं येषां ते घृतपृष्ठाः । घृतशब्दः प्रत्ययस्वरेणान्तोदात्तः । बहुव्रीहौ पूर्वपदप्रकृतिस्वरत्वं । मनसा युञ्जत इति मनोयुजः । ऋत्विग्दधृगित्यादिना क्विन् । कृदुत्तरपदप्रकृतिस्वरत्वं । त्वा । त्वामौ द्वितीयाया इत्यनुदात्तस्त्वादेशः । वहन्ति । शप्तिपोरनुदात्तत्वाद्धातुस्वरः । यद्वृत्तयोगान्निघाताभावः । वह्नयः । निरित्यनुवृत्तौ वहिश्रिश्रुयुद्रुग्लाहात्वरिभ्यो नित् । उ. ४-५१ । इति निप्रत्ययः । तस्य नित्त्वादाद्युदात्तत्वं । सोमपीतये । उक्तं । सकारे परतो नकारस्य संहितायां नश्च । पा. ८-३-३० । इति धुडागमः । खरि च । पा. ८-४-५५ । इति चर्त्वं । चयो द्वितीयाः शरि पौष्करसादेः । पा. ८-४-४८-३ । इति द्वितीयस्थकारः ॥ २६ ॥</w:t>
      </w:r>
    </w:p>
    <w:p>
      <w:pPr>
        <w:pStyle w:val="BlockText"/>
      </w:pPr>
      <w:r>
        <w:rPr>
          <w:iCs/>
          <w:i/>
        </w:rPr>
        <w:t xml:space="preserve">he agne tvā tvāṃ ye ’śvā rathena vahanti | kīdṛśāḥ | ghṛtapṛṣṭhāḥ | puṣṭāṅgatvena dīptapṛṣṭhā manoyujo manaḥsaṃkalpamātreṇa rathe yujyamānā vahnayo voḍhāraḥ | tairaśvaiḥ somapītaye somapānayāgārthaṃ devānā vaheti śeṣaḥ || ghṛtapṛṣṭhāḥ | ghṛ kṣaraṇadīptyoḥ | ghṛtaṃ dīptaṃ pṛṣṭhaṃ yeṣāṃ te ghṛtapṛṣṭhāḥ | ghṛtaśabdaḥ pratyayasvareṇāntodāttaḥ | bahuvrīhau pūrvapadaprakṛtisvaratvaṃ | manasā yuñjata iti manoyujaḥ | ṛtvigdadhṛgityādinā kvin | kṛduttarapadaprakṛtisvaratvaṃ | tvā | tvāmau dvitīyāyā ityanudāttastvādeśaḥ | vahanti | śaptiporanudāttatvāddhātusvaraḥ | yadvṛttayogānnighātābhāvaḥ | vahnayaḥ | nirityanuvṛttau vahiśriśruyudruglāhātvaribhyo nit | u. 4-51 | iti nipratyayaḥ | tasya nittvādādyudāttatvaṃ | somapītaye | uktaṃ | sakāre parato nakārasya saṃhitāyāṃ naśca | pā. 8-3-30 | iti dhuḍāgamaḥ | khari ca | pā. 8-4-55 | iti cartvaṃ | cayo dvitīyāḥ śari pauṣkarasādeḥ | pā. 8-4-48-3 | iti dvitīyasthakāraḥ || 26 ||</w:t>
      </w:r>
    </w:p>
    <w:p>
      <w:pPr>
        <w:pStyle w:val="FirstParagraph"/>
      </w:pPr>
      <w:r>
        <w:rPr>
          <w:bCs/>
          <w:b/>
        </w:rPr>
        <w:t xml:space="preserve">Translation:</w:t>
      </w:r>
      <w:r>
        <w:t xml:space="preserve"> </w:t>
      </w:r>
      <w:r>
        <w:t xml:space="preserve">“</w:t>
      </w:r>
      <w:r>
        <w:t xml:space="preserve">O Agni, the horses that draw you by chariot: what are they like?</w:t>
      </w:r>
      <w:r>
        <w:t xml:space="preserve"> </w:t>
      </w:r>
      <w:r>
        <w:rPr>
          <w:iCs/>
          <w:i/>
        </w:rPr>
        <w:t xml:space="preserve">Ghṛtapṛṣṭhāḥ</w:t>
      </w:r>
      <w:r>
        <w:t xml:space="preserve">, with shining backs, being well fed;</w:t>
      </w:r>
      <w:r>
        <w:t xml:space="preserve"> </w:t>
      </w:r>
      <w:r>
        <w:rPr>
          <w:iCs/>
          <w:i/>
        </w:rPr>
        <w:t xml:space="preserve">manoyujaḥ</w:t>
      </w:r>
      <w:r>
        <w:t xml:space="preserve">, yoked to the chariot by a mere resolve of the mind;</w:t>
      </w:r>
      <w:r>
        <w:t xml:space="preserve"> </w:t>
      </w:r>
      <w:r>
        <w:rPr>
          <w:iCs/>
          <w:i/>
        </w:rPr>
        <w:t xml:space="preserve">vahnayaḥ</w:t>
      </w:r>
      <w:r>
        <w:t xml:space="preserve">, bearers: with those horses bring the gods for the</w:t>
      </w:r>
      <w:r>
        <w:t xml:space="preserve"> </w:t>
      </w:r>
      <w:r>
        <w:rPr>
          <w:iCs/>
          <w:i/>
        </w:rPr>
        <w:t xml:space="preserve">somapīti</w:t>
      </w:r>
      <w:r>
        <w:t xml:space="preserve">, the sacrifice with the drinking of soma;</w:t>
      </w:r>
      <w:r>
        <w:t xml:space="preserve"> </w:t>
      </w:r>
      <w:r>
        <w:t xml:space="preserve">‘</w:t>
      </w:r>
      <w:r>
        <w:t xml:space="preserve">bring</w:t>
      </w:r>
      <w:r>
        <w:t xml:space="preserve">’</w:t>
      </w:r>
      <w:r>
        <w:t xml:space="preserve"> </w:t>
      </w:r>
      <w:r>
        <w:t xml:space="preserve">is understood.</w:t>
      </w:r>
      <w:r>
        <w:t xml:space="preserve">”</w:t>
      </w:r>
      <w:r>
        <w:t xml:space="preserve"> </w:t>
      </w:r>
      <w:r>
        <w:t xml:space="preserve">(Grammatical tail:</w:t>
      </w:r>
      <w:r>
        <w:t xml:space="preserve"> </w:t>
      </w:r>
      <w:r>
        <w:rPr>
          <w:iCs/>
          <w:i/>
        </w:rPr>
        <w:t xml:space="preserve">ghṛtapṛṣṭhāḥ</w:t>
      </w:r>
      <w:r>
        <w:t xml:space="preserve">,</w:t>
      </w:r>
      <w:r>
        <w:t xml:space="preserve"> </w:t>
      </w:r>
      <w:r>
        <w:t xml:space="preserve">“</w:t>
      </w:r>
      <w:r>
        <w:t xml:space="preserve">whose back is</w:t>
      </w:r>
      <w:r>
        <w:t xml:space="preserve"> </w:t>
      </w:r>
      <w:r>
        <w:rPr>
          <w:iCs/>
          <w:i/>
        </w:rPr>
        <w:t xml:space="preserve">ghṛta</w:t>
      </w:r>
      <w:r>
        <w:t xml:space="preserve">, shining</w:t>
      </w:r>
      <w:r>
        <w:t xml:space="preserve">”</w:t>
      </w:r>
      <w:r>
        <w:t xml:space="preserve">, from</w:t>
      </w:r>
      <w:r>
        <w:t xml:space="preserve"> </w:t>
      </w:r>
      <w:r>
        <w:rPr>
          <w:iCs/>
          <w:i/>
        </w:rPr>
        <w:t xml:space="preserve">ghṛ</w:t>
      </w:r>
      <w:r>
        <w:t xml:space="preserve"> </w:t>
      </w:r>
      <w:r>
        <w:t xml:space="preserve">‘</w:t>
      </w:r>
      <w:r>
        <w:t xml:space="preserve">to shine</w:t>
      </w:r>
      <w:r>
        <w:t xml:space="preserve">’</w:t>
      </w:r>
      <w:r>
        <w:t xml:space="preserve">,</w:t>
      </w:r>
      <w:r>
        <w:t xml:space="preserve"> </w:t>
      </w:r>
      <w:r>
        <w:rPr>
          <w:iCs/>
          <w:i/>
        </w:rPr>
        <w:t xml:space="preserve">ghṛta</w:t>
      </w:r>
      <w:r>
        <w:t xml:space="preserve"> </w:t>
      </w:r>
      <w:r>
        <w:t xml:space="preserve">final udātta, a bahuvrīhi with the first-member accent;</w:t>
      </w:r>
      <w:r>
        <w:t xml:space="preserve"> </w:t>
      </w:r>
      <w:r>
        <w:rPr>
          <w:iCs/>
          <w:i/>
        </w:rPr>
        <w:t xml:space="preserve">manoyujaḥ</w:t>
      </w:r>
      <w:r>
        <w:t xml:space="preserve">,</w:t>
      </w:r>
      <w:r>
        <w:t xml:space="preserve"> </w:t>
      </w:r>
      <w:r>
        <w:t xml:space="preserve">“</w:t>
      </w:r>
      <w:r>
        <w:t xml:space="preserve">yoked by the mind</w:t>
      </w:r>
      <w:r>
        <w:t xml:space="preserve">”</w:t>
      </w:r>
      <w:r>
        <w:t xml:space="preserve">,</w:t>
      </w:r>
      <w:r>
        <w:t xml:space="preserve"> </w:t>
      </w:r>
      <w:r>
        <w:rPr>
          <w:iCs/>
          <w:i/>
        </w:rPr>
        <w:t xml:space="preserve">kvin</w:t>
      </w:r>
      <w:r>
        <w:t xml:space="preserve">, the accent of the</w:t>
      </w:r>
      <w:r>
        <w:t xml:space="preserve"> </w:t>
      </w:r>
      <w:r>
        <w:rPr>
          <w:iCs/>
          <w:i/>
        </w:rPr>
        <w:t xml:space="preserve">kṛt</w:t>
      </w:r>
      <w:r>
        <w:t xml:space="preserve"> </w:t>
      </w:r>
      <w:r>
        <w:t xml:space="preserve">second member;</w:t>
      </w:r>
      <w:r>
        <w:t xml:space="preserve"> </w:t>
      </w:r>
      <w:r>
        <w:rPr>
          <w:iCs/>
          <w:i/>
        </w:rPr>
        <w:t xml:space="preserve">tvā</w:t>
      </w:r>
      <w:r>
        <w:t xml:space="preserve"> </w:t>
      </w:r>
      <w:r>
        <w:t xml:space="preserve">unaccented;</w:t>
      </w:r>
      <w:r>
        <w:t xml:space="preserve"> </w:t>
      </w:r>
      <w:r>
        <w:rPr>
          <w:iCs/>
          <w:i/>
        </w:rPr>
        <w:t xml:space="preserve">vahanti</w:t>
      </w:r>
      <w:r>
        <w:t xml:space="preserve">, the root accent, not lowered because of the relative</w:t>
      </w:r>
      <w:r>
        <w:t xml:space="preserve"> </w:t>
      </w:r>
      <w:r>
        <w:rPr>
          <w:iCs/>
          <w:i/>
        </w:rPr>
        <w:t xml:space="preserve">ye</w:t>
      </w:r>
      <w:r>
        <w:t xml:space="preserve">;</w:t>
      </w:r>
      <w:r>
        <w:t xml:space="preserve"> </w:t>
      </w:r>
      <w:r>
        <w:rPr>
          <w:iCs/>
          <w:i/>
        </w:rPr>
        <w:t xml:space="preserve">vahnayaḥ</w:t>
      </w:r>
      <w:r>
        <w:t xml:space="preserve"> </w:t>
      </w:r>
      <w:r>
        <w:t xml:space="preserve">with</w:t>
      </w:r>
      <w:r>
        <w:t xml:space="preserve"> </w:t>
      </w:r>
      <w:r>
        <w:rPr>
          <w:iCs/>
          <w:i/>
        </w:rPr>
        <w:t xml:space="preserve">ni</w:t>
      </w:r>
      <w:r>
        <w:t xml:space="preserve"> </w:t>
      </w:r>
      <w:r>
        <w:t xml:space="preserve">(Uṇ. 4-51), initial udātta;</w:t>
      </w:r>
      <w:r>
        <w:t xml:space="preserve"> </w:t>
      </w:r>
      <w:r>
        <w:rPr>
          <w:iCs/>
          <w:i/>
        </w:rPr>
        <w:t xml:space="preserve">somapītaye</w:t>
      </w:r>
      <w:r>
        <w:t xml:space="preserve"> </w:t>
      </w:r>
      <w:r>
        <w:t xml:space="preserve">as before; in the Saṃhitā the augment</w:t>
      </w:r>
      <w:r>
        <w:t xml:space="preserve"> </w:t>
      </w:r>
      <w:r>
        <w:rPr>
          <w:iCs/>
          <w:i/>
        </w:rPr>
        <w:t xml:space="preserve">dh</w:t>
      </w:r>
      <w:r>
        <w:t xml:space="preserve"> </w:t>
      </w:r>
      <w:r>
        <w:t xml:space="preserve">(Pā. 8-3-30),</w:t>
      </w:r>
      <w:r>
        <w:t xml:space="preserve"> </w:t>
      </w:r>
      <w:r>
        <w:rPr>
          <w:iCs/>
          <w:i/>
        </w:rPr>
        <w:t xml:space="preserve">t</w:t>
      </w:r>
      <w:r>
        <w:t xml:space="preserve"> </w:t>
      </w:r>
      <w:r>
        <w:t xml:space="preserve">by</w:t>
      </w:r>
      <w:r>
        <w:t xml:space="preserve"> </w:t>
      </w:r>
      <w:r>
        <w:rPr>
          <w:iCs/>
          <w:i/>
        </w:rPr>
        <w:t xml:space="preserve">khari ca</w:t>
      </w:r>
      <w:r>
        <w:t xml:space="preserve"> </w:t>
      </w:r>
      <w:r>
        <w:t xml:space="preserve">(Pā. 8-4-55),</w:t>
      </w:r>
      <w:r>
        <w:t xml:space="preserve"> </w:t>
      </w:r>
      <w:r>
        <w:rPr>
          <w:iCs/>
          <w:i/>
        </w:rPr>
        <w:t xml:space="preserve">th</w:t>
      </w:r>
      <w:r>
        <w:t xml:space="preserve"> </w:t>
      </w:r>
      <w:r>
        <w:t xml:space="preserve">by the vārttika of Pauṣkarasādi (8-4-48-3). The closing</w:t>
      </w:r>
      <w:r>
        <w:t xml:space="preserve"> </w:t>
      </w:r>
      <w:r>
        <w:t xml:space="preserve">“</w:t>
      </w:r>
      <w:r>
        <w:t xml:space="preserve">26</w:t>
      </w:r>
      <w:r>
        <w:t xml:space="preserve">”</w:t>
      </w:r>
      <w:r>
        <w:t xml:space="preserve"> </w:t>
      </w:r>
      <w:r>
        <w:t xml:space="preserve">is the varga number.)</w:t>
      </w:r>
    </w:p>
    <w:p>
      <w:pPr>
        <w:pStyle w:val="BodyText"/>
      </w:pPr>
      <w:r>
        <w:rPr>
          <w:bCs/>
          <w:b/>
        </w:rPr>
        <w:t xml:space="preserve">॥ Prati-padārthaḥ ॥</w:t>
      </w:r>
    </w:p>
    <w:p>
      <w:pPr>
        <w:pStyle w:val="BodyText"/>
      </w:pPr>
      <w:r>
        <w:rPr>
          <w:iCs/>
          <w:i/>
        </w:rPr>
        <w:t xml:space="preserve">(O Agni)</w:t>
      </w:r>
      <w:r>
        <w:t xml:space="preserve"> </w:t>
      </w:r>
      <w:r>
        <w:rPr>
          <w:bCs/>
          <w:b/>
        </w:rPr>
        <w:t xml:space="preserve">घृतपृष्ठाः (ghṛtapṛṣṭhāḥ)</w:t>
      </w:r>
      <w:r>
        <w:t xml:space="preserve"> </w:t>
      </w:r>
      <w:r>
        <w:t xml:space="preserve">— whose backs, being well fed, are smooth like ghee |</w:t>
      </w:r>
      <w:r>
        <w:t xml:space="preserve"> </w:t>
      </w:r>
      <w:r>
        <w:rPr>
          <w:bCs/>
          <w:b/>
        </w:rPr>
        <w:t xml:space="preserve">मनोयुजः (manoyujaḥ)</w:t>
      </w:r>
      <w:r>
        <w:t xml:space="preserve"> </w:t>
      </w:r>
      <w:r>
        <w:t xml:space="preserve">— that join (the chariot) by a mere resolve |</w:t>
      </w:r>
      <w:r>
        <w:t xml:space="preserve"> </w:t>
      </w:r>
      <w:r>
        <w:rPr>
          <w:bCs/>
          <w:b/>
        </w:rPr>
        <w:t xml:space="preserve">वह्नयः (vahnayaḥ)</w:t>
      </w:r>
      <w:r>
        <w:t xml:space="preserve"> </w:t>
      </w:r>
      <w:r>
        <w:t xml:space="preserve">— able to draw |</w:t>
      </w:r>
      <w:r>
        <w:t xml:space="preserve"> </w:t>
      </w:r>
      <w:r>
        <w:rPr>
          <w:bCs/>
          <w:b/>
        </w:rPr>
        <w:t xml:space="preserve">ये (ye)</w:t>
      </w:r>
      <w:r>
        <w:t xml:space="preserve"> </w:t>
      </w:r>
      <w:r>
        <w:t xml:space="preserve">— the horses that |</w:t>
      </w:r>
      <w:r>
        <w:t xml:space="preserve"> </w:t>
      </w:r>
      <w:r>
        <w:rPr>
          <w:bCs/>
          <w:b/>
        </w:rPr>
        <w:t xml:space="preserve">त्वा (tvā)</w:t>
      </w:r>
      <w:r>
        <w:t xml:space="preserve"> </w:t>
      </w:r>
      <w:r>
        <w:t xml:space="preserve">— you |</w:t>
      </w:r>
      <w:r>
        <w:t xml:space="preserve"> </w:t>
      </w:r>
      <w:r>
        <w:rPr>
          <w:bCs/>
          <w:b/>
        </w:rPr>
        <w:t xml:space="preserve">वहन्ति (vahanti)</w:t>
      </w:r>
      <w:r>
        <w:t xml:space="preserve"> </w:t>
      </w:r>
      <w:r>
        <w:t xml:space="preserve">— draw along |</w:t>
      </w:r>
      <w:r>
        <w:t xml:space="preserve"> </w:t>
      </w:r>
      <w:r>
        <w:rPr>
          <w:iCs/>
          <w:i/>
        </w:rPr>
        <w:t xml:space="preserve">(by those horses)</w:t>
      </w:r>
      <w:r>
        <w:t xml:space="preserve"> </w:t>
      </w:r>
      <w:r>
        <w:rPr>
          <w:bCs/>
          <w:b/>
        </w:rPr>
        <w:t xml:space="preserve">सोमपीतये (somapītaye)</w:t>
      </w:r>
      <w:r>
        <w:t xml:space="preserve"> </w:t>
      </w:r>
      <w:r>
        <w:t xml:space="preserve">— for drinking soma |</w:t>
      </w:r>
      <w:r>
        <w:t xml:space="preserve"> </w:t>
      </w:r>
      <w:r>
        <w:rPr>
          <w:bCs/>
          <w:b/>
        </w:rPr>
        <w:t xml:space="preserve">देवान् (devān)</w:t>
      </w:r>
      <w:r>
        <w:t xml:space="preserve"> </w:t>
      </w:r>
      <w:r>
        <w:t xml:space="preserve">— the gods |</w:t>
      </w:r>
      <w:r>
        <w:t xml:space="preserve"> </w:t>
      </w:r>
      <w:r>
        <w:rPr>
          <w:bCs/>
          <w:b/>
        </w:rPr>
        <w:t xml:space="preserve">आ (वह) (ā (vaha))</w:t>
      </w:r>
      <w:r>
        <w:t xml:space="preserve"> </w:t>
      </w:r>
      <w:r>
        <w:t xml:space="preserve">— bring.</w:t>
      </w:r>
    </w:p>
    <w:p>
      <w:pPr>
        <w:pStyle w:val="BodyText"/>
      </w:pPr>
      <w:r>
        <w:rPr>
          <w:bCs/>
          <w:b/>
        </w:rPr>
        <w:t xml:space="preserve">॥ Bhāvārthaḥ ॥</w:t>
      </w:r>
    </w:p>
    <w:p>
      <w:pPr>
        <w:pStyle w:val="BodyText"/>
      </w:pPr>
      <w:r>
        <w:t xml:space="preserve">O Agni, the backs of the horses that seat you in the chariot and bring you to the place of sacrifice shine, being well fed. They can join the chariot by a mere resolve; they are able to draw it. On them bring the gods for the drinking of soma.</w:t>
      </w:r>
    </w:p>
    <w:p>
      <w:pPr>
        <w:pStyle w:val="BodyText"/>
      </w:pPr>
      <w:r>
        <w:rPr>
          <w:bCs/>
          <w:b/>
        </w:rPr>
        <w:t xml:space="preserve">॥ English Translation ॥</w:t>
      </w:r>
      <w:r>
        <w:t xml:space="preserve"> </w:t>
      </w:r>
      <w:r>
        <w:rPr>
          <w:iCs/>
          <w:i/>
        </w:rPr>
        <w:t xml:space="preserve">(as printed in the source)</w:t>
      </w:r>
    </w:p>
    <w:p>
      <w:pPr>
        <w:pStyle w:val="BlockText"/>
      </w:pPr>
      <w:r>
        <w:t xml:space="preserve">By means of horses which have backs as soft and smooth as clarified butter which harnessing themselves promptly according to your wish, carry you and the gods hither to drink soma-juice.</w:t>
      </w:r>
    </w:p>
    <w:bookmarkEnd w:id="645"/>
    <w:bookmarkStart w:id="646" w:name="X3398aa663af13bc11f966337d86a3d8e408f730"/>
    <w:p>
      <w:pPr>
        <w:pStyle w:val="Heading3"/>
      </w:pPr>
      <w:r>
        <w:t xml:space="preserve">Page 605 — Rik 6: Special Topics and grammar</w:t>
      </w:r>
    </w:p>
    <w:p>
      <w:pPr>
        <w:pStyle w:val="FirstParagraph"/>
      </w:pPr>
      <w:r>
        <w:rPr>
          <w:bCs/>
          <w:b/>
        </w:rPr>
        <w:t xml:space="preserve">॥ Viśeṣa-viṣayagaḷu (Special Topics) ॥</w:t>
      </w:r>
    </w:p>
    <w:p>
      <w:pPr>
        <w:pStyle w:val="BodyText"/>
      </w:pPr>
      <w:r>
        <w:rPr>
          <w:bCs/>
          <w:b/>
        </w:rPr>
        <w:t xml:space="preserve">Ghṛtapṛṣṭhāḥ</w:t>
      </w:r>
      <w:r>
        <w:t xml:space="preserve">: we explained this word in the fifth Ṛk of the preceding sūkta (page 549). Here the word qualifies</w:t>
      </w:r>
      <w:r>
        <w:t xml:space="preserve"> </w:t>
      </w:r>
      <w:r>
        <w:rPr>
          <w:iCs/>
          <w:i/>
        </w:rPr>
        <w:t xml:space="preserve">vahnayaḥ</w:t>
      </w:r>
      <w:r>
        <w:t xml:space="preserve">, so the sense differs a little: with backs soft or smooth as ghee,</w:t>
      </w:r>
      <w:r>
        <w:t xml:space="preserve"> </w:t>
      </w:r>
      <w:r>
        <w:t xml:space="preserve">“</w:t>
      </w:r>
      <w:r>
        <w:t xml:space="preserve">backs as smooth as clarifed [sic] butter</w:t>
      </w:r>
      <w:r>
        <w:t xml:space="preserve">”</w:t>
      </w:r>
      <w:r>
        <w:t xml:space="preserve">.</w:t>
      </w:r>
    </w:p>
    <w:p>
      <w:pPr>
        <w:pStyle w:val="BodyText"/>
      </w:pPr>
      <w:r>
        <w:rPr>
          <w:bCs/>
          <w:b/>
        </w:rPr>
        <w:t xml:space="preserve">Vahnayaḥ</w:t>
      </w:r>
      <w:r>
        <w:t xml:space="preserve">:</w:t>
      </w:r>
    </w:p>
    <w:p>
      <w:pPr>
        <w:pStyle w:val="BlockText"/>
      </w:pPr>
      <w:r>
        <w:t xml:space="preserve">वोढारः अश्वा इत्यर्थः</w:t>
      </w:r>
    </w:p>
    <w:p>
      <w:pPr>
        <w:pStyle w:val="BlockText"/>
      </w:pPr>
      <w:r>
        <w:rPr>
          <w:iCs/>
          <w:i/>
        </w:rPr>
        <w:t xml:space="preserve">voḍhāraḥ aśvā ityarthaḥ</w:t>
      </w:r>
    </w:p>
    <w:p>
      <w:pPr>
        <w:pStyle w:val="FirstParagraph"/>
      </w:pPr>
      <w:r>
        <w:t xml:space="preserve">Since they draw the chariot, the horses are called</w:t>
      </w:r>
      <w:r>
        <w:t xml:space="preserve"> </w:t>
      </w:r>
      <w:r>
        <w:rPr>
          <w:iCs/>
          <w:i/>
        </w:rPr>
        <w:t xml:space="preserve">vahnayaḥ</w:t>
      </w:r>
      <w:r>
        <w:t xml:space="preserve">.</w:t>
      </w:r>
    </w:p>
    <w:p>
      <w:pPr>
        <w:pStyle w:val="BodyText"/>
      </w:pPr>
      <w:r>
        <w:rPr>
          <w:bCs/>
          <w:b/>
        </w:rPr>
        <w:t xml:space="preserve">Manoyujaḥ</w:t>
      </w:r>
      <w:r>
        <w:t xml:space="preserve">: yoked to the chariot by a mere resolve of Agni’s mind;</w:t>
      </w:r>
    </w:p>
    <w:p>
      <w:pPr>
        <w:pStyle w:val="BlockText"/>
      </w:pPr>
      <w:r>
        <w:t xml:space="preserve">मनसा युञ्जते इति मनोयुजः</w:t>
      </w:r>
    </w:p>
    <w:p>
      <w:pPr>
        <w:pStyle w:val="BlockText"/>
      </w:pPr>
      <w:r>
        <w:rPr>
          <w:iCs/>
          <w:i/>
        </w:rPr>
        <w:t xml:space="preserve">manasā yuñjate iti manoyujaḥ</w:t>
      </w:r>
    </w:p>
    <w:p>
      <w:pPr>
        <w:pStyle w:val="FirstParagraph"/>
      </w:pPr>
      <w:r>
        <w:t xml:space="preserve">is the derivation.</w:t>
      </w:r>
    </w:p>
    <w:p>
      <w:pPr>
        <w:pStyle w:val="BodyText"/>
      </w:pPr>
      <w:r>
        <w:rPr>
          <w:bCs/>
          <w:b/>
        </w:rPr>
        <w:t xml:space="preserve">॥ Vyākaraṇa-prakriyā ॥</w:t>
      </w:r>
      <w:r>
        <w:t xml:space="preserve"> </w:t>
      </w:r>
      <w:r>
        <w:rPr>
          <w:iCs/>
          <w:i/>
        </w:rPr>
        <w:t xml:space="preserve">(grammar pages 605–607, noted briefly)</w:t>
      </w:r>
    </w:p>
    <w:p>
      <w:pPr>
        <w:pStyle w:val="BodyText"/>
      </w:pPr>
      <w:r>
        <w:rPr>
          <w:bCs/>
          <w:b/>
        </w:rPr>
        <w:t xml:space="preserve">घृतपृष्ठाः (</w:t>
      </w:r>
      <w:r>
        <w:rPr>
          <w:iCs/>
          <w:i/>
          <w:bCs/>
          <w:b/>
        </w:rPr>
        <w:t xml:space="preserve">ghṛtapṛṣṭhāḥ</w:t>
      </w:r>
      <w:r>
        <w:rPr>
          <w:bCs/>
          <w:b/>
        </w:rPr>
        <w:t xml:space="preserve">)</w:t>
      </w:r>
      <w:r>
        <w:t xml:space="preserve">: final udātta by the suffix accent; the initial udātta that its exception</w:t>
      </w:r>
      <w:r>
        <w:t xml:space="preserve"> </w:t>
      </w:r>
      <w:r>
        <w:t xml:space="preserve">“</w:t>
      </w:r>
      <w:r>
        <w:t xml:space="preserve">nabviṣayasyānisantasya</w:t>
      </w:r>
      <w:r>
        <w:t xml:space="preserve">”</w:t>
      </w:r>
      <w:r>
        <w:t xml:space="preserve"> </w:t>
      </w:r>
      <w:r>
        <w:t xml:space="preserve">(Phi. sū. 26) would give is overridden by</w:t>
      </w:r>
      <w:r>
        <w:t xml:space="preserve"> </w:t>
      </w:r>
      <w:r>
        <w:t xml:space="preserve">“</w:t>
      </w:r>
      <w:r>
        <w:t xml:space="preserve">ghṛtādīnāṃ ca</w:t>
      </w:r>
      <w:r>
        <w:t xml:space="preserve">”</w:t>
      </w:r>
      <w:r>
        <w:t xml:space="preserve"> </w:t>
      </w:r>
      <w:r>
        <w:t xml:space="preserve">(Phi. sū. 21), so</w:t>
      </w:r>
      <w:r>
        <w:t xml:space="preserve"> </w:t>
      </w:r>
      <w:r>
        <w:rPr>
          <w:iCs/>
          <w:i/>
        </w:rPr>
        <w:t xml:space="preserve">ghṛta</w:t>
      </w:r>
      <w:r>
        <w:t xml:space="preserve"> </w:t>
      </w:r>
      <w:r>
        <w:t xml:space="preserve">is final udātta.</w:t>
      </w:r>
      <w:r>
        <w:t xml:space="preserve"> </w:t>
      </w:r>
      <w:r>
        <w:rPr>
          <w:iCs/>
          <w:i/>
        </w:rPr>
        <w:t xml:space="preserve">Ghṛ kṣaraṇadīptyoḥ</w:t>
      </w:r>
      <w:r>
        <w:t xml:space="preserve">;</w:t>
      </w:r>
      <w:r>
        <w:t xml:space="preserve"> </w:t>
      </w:r>
      <w:r>
        <w:rPr>
          <w:iCs/>
          <w:i/>
        </w:rPr>
        <w:t xml:space="preserve">ghṛtaṃ = dīptaṃ pṛṣṭhaṃ yeṣāṃ te</w:t>
      </w:r>
      <w:r>
        <w:t xml:space="preserve">, a bahuvrīhi; the first member keeps its accent by</w:t>
      </w:r>
      <w:r>
        <w:t xml:space="preserve"> </w:t>
      </w:r>
      <w:r>
        <w:t xml:space="preserve">“</w:t>
      </w:r>
      <w:r>
        <w:t xml:space="preserve">bahuvrīhau prakṛtyā pūrvapadam</w:t>
      </w:r>
      <w:r>
        <w:t xml:space="preserve">”</w:t>
      </w:r>
      <w:r>
        <w:t xml:space="preserve"> </w:t>
      </w:r>
      <w:r>
        <w:t xml:space="preserve">(Pā. sū. 6-2-1).</w:t>
      </w:r>
    </w:p>
    <w:p>
      <w:pPr>
        <w:pStyle w:val="BodyText"/>
      </w:pPr>
      <w:r>
        <w:rPr>
          <w:bCs/>
          <w:b/>
        </w:rPr>
        <w:t xml:space="preserve">मनोयुजः (</w:t>
      </w:r>
      <w:r>
        <w:rPr>
          <w:iCs/>
          <w:i/>
          <w:bCs/>
          <w:b/>
        </w:rPr>
        <w:t xml:space="preserve">manoyujaḥ</w:t>
      </w:r>
      <w:r>
        <w:rPr>
          <w:bCs/>
          <w:b/>
        </w:rPr>
        <w:t xml:space="preserve">)</w:t>
      </w:r>
      <w:r>
        <w:t xml:space="preserve">:</w:t>
      </w:r>
      <w:r>
        <w:t xml:space="preserve"> </w:t>
      </w:r>
      <w:r>
        <w:rPr>
          <w:iCs/>
          <w:i/>
        </w:rPr>
        <w:t xml:space="preserve">manasā yuñjate iti</w:t>
      </w:r>
      <w:r>
        <w:t xml:space="preserve">; by</w:t>
      </w:r>
      <w:r>
        <w:t xml:space="preserve"> </w:t>
      </w:r>
      <w:r>
        <w:t xml:space="preserve">“</w:t>
      </w:r>
      <w:r>
        <w:t xml:space="preserve">ṛtvigdadhṛksragdiguṣṇigañcuyujikruñcāṃ ca</w:t>
      </w:r>
      <w:r>
        <w:t xml:space="preserve">”</w:t>
      </w:r>
      <w:r>
        <w:t xml:space="preserve"> </w:t>
      </w:r>
      <w:r>
        <w:t xml:space="preserve">(Pā. sū. 3-2-59)</w:t>
      </w:r>
      <w:r>
        <w:t xml:space="preserve"> </w:t>
      </w:r>
      <w:r>
        <w:rPr>
          <w:iCs/>
          <w:i/>
        </w:rPr>
        <w:t xml:space="preserve">kvin</w:t>
      </w:r>
      <w:r>
        <w:t xml:space="preserve"> </w:t>
      </w:r>
      <w:r>
        <w:t xml:space="preserve">after</w:t>
      </w:r>
      <w:r>
        <w:t xml:space="preserve"> </w:t>
      </w:r>
      <w:r>
        <w:rPr>
          <w:iCs/>
          <w:i/>
        </w:rPr>
        <w:t xml:space="preserve">yuj</w:t>
      </w:r>
      <w:r>
        <w:t xml:space="preserve"> </w:t>
      </w:r>
      <w:r>
        <w:t xml:space="preserve">with</w:t>
      </w:r>
      <w:r>
        <w:t xml:space="preserve"> </w:t>
      </w:r>
      <w:r>
        <w:rPr>
          <w:iCs/>
          <w:i/>
        </w:rPr>
        <w:t xml:space="preserve">manas</w:t>
      </w:r>
      <w:r>
        <w:t xml:space="preserve"> </w:t>
      </w:r>
      <w:r>
        <w:t xml:space="preserve">as</w:t>
      </w:r>
      <w:r>
        <w:t xml:space="preserve"> </w:t>
      </w:r>
      <w:r>
        <w:rPr>
          <w:iCs/>
          <w:i/>
        </w:rPr>
        <w:t xml:space="preserve">upapada</w:t>
      </w:r>
      <w:r>
        <w:t xml:space="preserve">;</w:t>
      </w:r>
      <w:r>
        <w:t xml:space="preserve"> </w:t>
      </w:r>
      <w:r>
        <w:rPr>
          <w:iCs/>
          <w:i/>
        </w:rPr>
        <w:t xml:space="preserve">yuj</w:t>
      </w:r>
      <w:r>
        <w:t xml:space="preserve"> </w:t>
      </w:r>
      <w:r>
        <w:t xml:space="preserve">is final udātta by the root accent; after compounding, by</w:t>
      </w:r>
      <w:r>
        <w:t xml:space="preserve"> </w:t>
      </w:r>
      <w:r>
        <w:t xml:space="preserve">“</w:t>
      </w:r>
      <w:r>
        <w:t xml:space="preserve">gatikārakopapadāt kṛt</w:t>
      </w:r>
      <w:r>
        <w:t xml:space="preserve">”</w:t>
      </w:r>
      <w:r>
        <w:t xml:space="preserve"> </w:t>
      </w:r>
      <w:r>
        <w:t xml:space="preserve">(Pā. sū. 6-2-139) the</w:t>
      </w:r>
      <w:r>
        <w:t xml:space="preserve"> </w:t>
      </w:r>
      <w:r>
        <w:rPr>
          <w:iCs/>
          <w:i/>
        </w:rPr>
        <w:t xml:space="preserve">kṛt</w:t>
      </w:r>
      <w:r>
        <w:t xml:space="preserve"> </w:t>
      </w:r>
      <w:r>
        <w:t xml:space="preserve">second member keeps its accent. The Kaumudīkāra and others hold that</w:t>
      </w:r>
      <w:r>
        <w:t xml:space="preserve"> </w:t>
      </w:r>
      <w:r>
        <w:rPr>
          <w:iCs/>
          <w:i/>
        </w:rPr>
        <w:t xml:space="preserve">kvin</w:t>
      </w:r>
      <w:r>
        <w:t xml:space="preserve"> </w:t>
      </w:r>
      <w:r>
        <w:t xml:space="preserve">comes after</w:t>
      </w:r>
      <w:r>
        <w:t xml:space="preserve"> </w:t>
      </w:r>
      <w:r>
        <w:rPr>
          <w:iCs/>
          <w:i/>
        </w:rPr>
        <w:t xml:space="preserve">yuj</w:t>
      </w:r>
      <w:r>
        <w:t xml:space="preserve"> </w:t>
      </w:r>
      <w:r>
        <w:t xml:space="preserve">without an</w:t>
      </w:r>
      <w:r>
        <w:t xml:space="preserve"> </w:t>
      </w:r>
      <w:r>
        <w:rPr>
          <w:iCs/>
          <w:i/>
        </w:rPr>
        <w:t xml:space="preserve">upapada</w:t>
      </w:r>
      <w:r>
        <w:t xml:space="preserve"> </w:t>
      </w:r>
      <w:r>
        <w:t xml:space="preserve">(</w:t>
      </w:r>
      <w:r>
        <w:rPr>
          <w:iCs/>
          <w:i/>
        </w:rPr>
        <w:t xml:space="preserve">nirupapadād yujeḥ kvin</w:t>
      </w:r>
      <w:r>
        <w:t xml:space="preserve">); but, as the Vedabhāṣyakāra holds, the</w:t>
      </w:r>
      <w:r>
        <w:t xml:space="preserve"> </w:t>
      </w:r>
      <w:r>
        <w:rPr>
          <w:iCs/>
          <w:i/>
        </w:rPr>
        <w:t xml:space="preserve">kvin</w:t>
      </w:r>
      <w:r>
        <w:t xml:space="preserve"> </w:t>
      </w:r>
      <w:r>
        <w:t xml:space="preserve">is derived here after</w:t>
      </w:r>
      <w:r>
        <w:t xml:space="preserve"> </w:t>
      </w:r>
      <w:r>
        <w:rPr>
          <w:iCs/>
          <w:i/>
        </w:rPr>
        <w:t xml:space="preserve">yuj</w:t>
      </w:r>
      <w:r>
        <w:t xml:space="preserve"> </w:t>
      </w:r>
      <w:r>
        <w:t xml:space="preserve">with an</w:t>
      </w:r>
      <w:r>
        <w:t xml:space="preserve"> </w:t>
      </w:r>
      <w:r>
        <w:rPr>
          <w:iCs/>
          <w:i/>
        </w:rPr>
        <w:t xml:space="preserve">upapada</w:t>
      </w:r>
      <w:r>
        <w:t xml:space="preserve">.</w:t>
      </w:r>
    </w:p>
    <w:p>
      <w:pPr>
        <w:pStyle w:val="BodyText"/>
      </w:pPr>
      <w:r>
        <w:rPr>
          <w:bCs/>
          <w:b/>
        </w:rPr>
        <w:t xml:space="preserve">त्वा (</w:t>
      </w:r>
      <w:r>
        <w:rPr>
          <w:iCs/>
          <w:i/>
          <w:bCs/>
          <w:b/>
        </w:rPr>
        <w:t xml:space="preserve">tvā</w:t>
      </w:r>
      <w:r>
        <w:rPr>
          <w:bCs/>
          <w:b/>
        </w:rPr>
        <w:t xml:space="preserve">)</w:t>
      </w:r>
      <w:r>
        <w:t xml:space="preserve">: for</w:t>
      </w:r>
      <w:r>
        <w:t xml:space="preserve"> </w:t>
      </w:r>
      <w:r>
        <w:rPr>
          <w:iCs/>
          <w:i/>
        </w:rPr>
        <w:t xml:space="preserve">tvām</w:t>
      </w:r>
      <w:r>
        <w:t xml:space="preserve">, the accusative singular of</w:t>
      </w:r>
      <w:r>
        <w:t xml:space="preserve"> </w:t>
      </w:r>
      <w:r>
        <w:rPr>
          <w:iCs/>
          <w:i/>
        </w:rPr>
        <w:t xml:space="preserve">yuṣmad</w:t>
      </w:r>
      <w:r>
        <w:t xml:space="preserve">, the unaccented</w:t>
      </w:r>
      <w:r>
        <w:t xml:space="preserve"> </w:t>
      </w:r>
      <w:r>
        <w:rPr>
          <w:iCs/>
          <w:i/>
        </w:rPr>
        <w:t xml:space="preserve">tvā</w:t>
      </w:r>
      <w:r>
        <w:t xml:space="preserve"> </w:t>
      </w:r>
      <w:r>
        <w:t xml:space="preserve">by</w:t>
      </w:r>
      <w:r>
        <w:t xml:space="preserve"> </w:t>
      </w:r>
      <w:r>
        <w:t xml:space="preserve">“</w:t>
      </w:r>
      <w:r>
        <w:t xml:space="preserve">tvāmau dvitīyāyāḥ</w:t>
      </w:r>
      <w:r>
        <w:t xml:space="preserve">”</w:t>
      </w:r>
      <w:r>
        <w:t xml:space="preserve"> </w:t>
      </w:r>
      <w:r>
        <w:t xml:space="preserve">(Pā. sū. 8-1-23).</w:t>
      </w:r>
    </w:p>
    <w:p>
      <w:pPr>
        <w:pStyle w:val="BodyText"/>
      </w:pPr>
      <w:r>
        <w:rPr>
          <w:bCs/>
          <w:b/>
        </w:rPr>
        <w:t xml:space="preserve">वहन्ति (</w:t>
      </w:r>
      <w:r>
        <w:rPr>
          <w:iCs/>
          <w:i/>
          <w:bCs/>
          <w:b/>
        </w:rPr>
        <w:t xml:space="preserve">vahanti</w:t>
      </w:r>
      <w:r>
        <w:rPr>
          <w:bCs/>
          <w:b/>
        </w:rPr>
        <w:t xml:space="preserve">)</w:t>
      </w:r>
      <w:r>
        <w:t xml:space="preserve">:</w:t>
      </w:r>
      <w:r>
        <w:t xml:space="preserve"> </w:t>
      </w:r>
      <w:r>
        <w:rPr>
          <w:iCs/>
          <w:i/>
        </w:rPr>
        <w:t xml:space="preserve">vaha prāpaṇe</w:t>
      </w:r>
      <w:r>
        <w:t xml:space="preserve">,</w:t>
      </w:r>
      <w:r>
        <w:t xml:space="preserve"> </w:t>
      </w:r>
      <w:r>
        <w:rPr>
          <w:iCs/>
          <w:i/>
        </w:rPr>
        <w:t xml:space="preserve">laṭ</w:t>
      </w:r>
      <w:r>
        <w:t xml:space="preserve">,</w:t>
      </w:r>
      <w:r>
        <w:t xml:space="preserve"> </w:t>
      </w:r>
      <w:r>
        <w:rPr>
          <w:iCs/>
          <w:i/>
        </w:rPr>
        <w:t xml:space="preserve">jhi</w:t>
      </w:r>
      <w:r>
        <w:t xml:space="preserve">,</w:t>
      </w:r>
      <w:r>
        <w:t xml:space="preserve"> </w:t>
      </w:r>
      <w:r>
        <w:rPr>
          <w:iCs/>
          <w:i/>
        </w:rPr>
        <w:t xml:space="preserve">ant</w:t>
      </w:r>
      <w:r>
        <w:t xml:space="preserve"> </w:t>
      </w:r>
      <w:r>
        <w:t xml:space="preserve">by</w:t>
      </w:r>
      <w:r>
        <w:t xml:space="preserve"> </w:t>
      </w:r>
      <w:r>
        <w:t xml:space="preserve">“</w:t>
      </w:r>
      <w:r>
        <w:t xml:space="preserve">jho ’ntaḥ</w:t>
      </w:r>
      <w:r>
        <w:t xml:space="preserve">”</w:t>
      </w:r>
      <w:r>
        <w:t xml:space="preserve"> </w:t>
      </w:r>
      <w:r>
        <w:t xml:space="preserve">(Pā. sū. 7-1-3);</w:t>
      </w:r>
      <w:r>
        <w:t xml:space="preserve"> </w:t>
      </w:r>
      <w:r>
        <w:rPr>
          <w:iCs/>
          <w:i/>
        </w:rPr>
        <w:t xml:space="preserve">śap</w:t>
      </w:r>
      <w:r>
        <w:t xml:space="preserve">,</w:t>
      </w:r>
      <w:r>
        <w:t xml:space="preserve"> </w:t>
      </w:r>
      <w:r>
        <w:rPr>
          <w:iCs/>
          <w:i/>
        </w:rPr>
        <w:t xml:space="preserve">pararūpa</w:t>
      </w:r>
      <w:r>
        <w:t xml:space="preserve"> </w:t>
      </w:r>
      <w:r>
        <w:t xml:space="preserve">by</w:t>
      </w:r>
      <w:r>
        <w:t xml:space="preserve"> </w:t>
      </w:r>
      <w:r>
        <w:t xml:space="preserve">“</w:t>
      </w:r>
      <w:r>
        <w:t xml:space="preserve">ato guṇe</w:t>
      </w:r>
      <w:r>
        <w:t xml:space="preserve">”</w:t>
      </w:r>
      <w:r>
        <w:t xml:space="preserve">;</w:t>
      </w:r>
      <w:r>
        <w:t xml:space="preserve"> </w:t>
      </w:r>
      <w:r>
        <w:rPr>
          <w:iCs/>
          <w:i/>
        </w:rPr>
        <w:t xml:space="preserve">śap</w:t>
      </w:r>
      <w:r>
        <w:t xml:space="preserve"> </w:t>
      </w:r>
      <w:r>
        <w:t xml:space="preserve">is</w:t>
      </w:r>
      <w:r>
        <w:t xml:space="preserve"> </w:t>
      </w:r>
      <w:r>
        <w:rPr>
          <w:iCs/>
          <w:i/>
        </w:rPr>
        <w:t xml:space="preserve">pit</w:t>
      </w:r>
      <w:r>
        <w:t xml:space="preserve">, so unaccented by</w:t>
      </w:r>
      <w:r>
        <w:t xml:space="preserve"> </w:t>
      </w:r>
      <w:r>
        <w:t xml:space="preserve">“</w:t>
      </w:r>
      <w:r>
        <w:t xml:space="preserve">anudāttau suppitau</w:t>
      </w:r>
      <w:r>
        <w:t xml:space="preserve">”</w:t>
      </w:r>
      <w:r>
        <w:t xml:space="preserve"> </w:t>
      </w:r>
      <w:r>
        <w:t xml:space="preserve">(Pā. sū. 3-1-4);</w:t>
      </w:r>
      <w:r>
        <w:t xml:space="preserve"> </w:t>
      </w:r>
      <w:r>
        <w:rPr>
          <w:iCs/>
          <w:i/>
        </w:rPr>
        <w:t xml:space="preserve">anti</w:t>
      </w:r>
      <w:r>
        <w:t xml:space="preserve">, a</w:t>
      </w:r>
      <w:r>
        <w:t xml:space="preserve"> </w:t>
      </w:r>
      <w:r>
        <w:rPr>
          <w:iCs/>
          <w:i/>
        </w:rPr>
        <w:t xml:space="preserve">sārvadhātuka</w:t>
      </w:r>
      <w:r>
        <w:t xml:space="preserve"> </w:t>
      </w:r>
      <w:r>
        <w:t xml:space="preserve">for a</w:t>
      </w:r>
      <w:r>
        <w:t xml:space="preserve"> </w:t>
      </w:r>
      <w:r>
        <w:rPr>
          <w:iCs/>
          <w:i/>
        </w:rPr>
        <w:t xml:space="preserve">lakāra</w:t>
      </w:r>
      <w:r>
        <w:t xml:space="preserve">, follows the</w:t>
      </w:r>
      <w:r>
        <w:t xml:space="preserve"> </w:t>
      </w:r>
      <w:r>
        <w:rPr>
          <w:iCs/>
          <w:i/>
        </w:rPr>
        <w:t xml:space="preserve">śap</w:t>
      </w:r>
      <w:r>
        <w:t xml:space="preserve"> </w:t>
      </w:r>
      <w:r>
        <w:t xml:space="preserve">of</w:t>
      </w:r>
      <w:r>
        <w:t xml:space="preserve"> </w:t>
      </w:r>
      <w:r>
        <w:rPr>
          <w:iCs/>
          <w:i/>
        </w:rPr>
        <w:t xml:space="preserve">adupadeśa</w:t>
      </w:r>
      <w:r>
        <w:t xml:space="preserve">, so it is unaccented by</w:t>
      </w:r>
      <w:r>
        <w:t xml:space="preserve"> </w:t>
      </w:r>
      <w:r>
        <w:t xml:space="preserve">“</w:t>
      </w:r>
      <w:r>
        <w:t xml:space="preserve">tāsyanudāttenṅidadupadeśāt</w:t>
      </w:r>
      <w:r>
        <w:t xml:space="preserve">”</w:t>
      </w:r>
      <w:r>
        <w:t xml:space="preserve"> </w:t>
      </w:r>
      <w:r>
        <w:t xml:space="preserve">(Pā. sū. 6-1-186); the root</w:t>
      </w:r>
    </w:p>
    <w:bookmarkEnd w:id="646"/>
    <w:bookmarkStart w:id="647" w:name="page-606-rik-6-grammar-continued"/>
    <w:p>
      <w:pPr>
        <w:pStyle w:val="Heading3"/>
      </w:pPr>
      <w:r>
        <w:t xml:space="preserve">Page 606 — Rik 6: grammar (continued)</w:t>
      </w:r>
    </w:p>
    <w:p>
      <w:pPr>
        <w:pStyle w:val="FirstParagraph"/>
      </w:pPr>
      <w:r>
        <w:t xml:space="preserve">accent remains. In</w:t>
      </w:r>
      <w:r>
        <w:t xml:space="preserve"> </w:t>
      </w:r>
      <w:r>
        <w:rPr>
          <w:iCs/>
          <w:i/>
        </w:rPr>
        <w:t xml:space="preserve">ye tvā vahanti vahnayaḥ</w:t>
      </w:r>
      <w:r>
        <w:t xml:space="preserve">,</w:t>
      </w:r>
      <w:r>
        <w:t xml:space="preserve"> </w:t>
      </w:r>
      <w:r>
        <w:rPr>
          <w:iCs/>
          <w:i/>
        </w:rPr>
        <w:t xml:space="preserve">vahanti</w:t>
      </w:r>
      <w:r>
        <w:t xml:space="preserve"> </w:t>
      </w:r>
      <w:r>
        <w:t xml:space="preserve">follows the word with</w:t>
      </w:r>
      <w:r>
        <w:t xml:space="preserve"> </w:t>
      </w:r>
      <w:r>
        <w:rPr>
          <w:iCs/>
          <w:i/>
        </w:rPr>
        <w:t xml:space="preserve">yat</w:t>
      </w:r>
      <w:r>
        <w:t xml:space="preserve">; so by</w:t>
      </w:r>
      <w:r>
        <w:t xml:space="preserve"> </w:t>
      </w:r>
      <w:r>
        <w:t xml:space="preserve">“</w:t>
      </w:r>
      <w:r>
        <w:t xml:space="preserve">yadvṛttān nityam</w:t>
      </w:r>
      <w:r>
        <w:t xml:space="preserve">”</w:t>
      </w:r>
      <w:r>
        <w:t xml:space="preserve"> </w:t>
      </w:r>
      <w:r>
        <w:t xml:space="preserve">(Pā. sū. 8-1-66), a</w:t>
      </w:r>
      <w:r>
        <w:t xml:space="preserve"> </w:t>
      </w:r>
      <w:r>
        <w:rPr>
          <w:iCs/>
          <w:i/>
        </w:rPr>
        <w:t xml:space="preserve">tiṅanta</w:t>
      </w:r>
      <w:r>
        <w:t xml:space="preserve"> </w:t>
      </w:r>
      <w:r>
        <w:t xml:space="preserve">after a word containing</w:t>
      </w:r>
      <w:r>
        <w:t xml:space="preserve"> </w:t>
      </w:r>
      <w:r>
        <w:rPr>
          <w:iCs/>
          <w:i/>
        </w:rPr>
        <w:t xml:space="preserve">yat</w:t>
      </w:r>
      <w:r>
        <w:t xml:space="preserve"> </w:t>
      </w:r>
      <w:r>
        <w:t xml:space="preserve">is not made unaccented, and</w:t>
      </w:r>
      <w:r>
        <w:t xml:space="preserve"> </w:t>
      </w:r>
      <w:r>
        <w:t xml:space="preserve">“</w:t>
      </w:r>
      <w:r>
        <w:t xml:space="preserve">tiṅṅatiṅaḥ</w:t>
      </w:r>
      <w:r>
        <w:t xml:space="preserve">”</w:t>
      </w:r>
      <w:r>
        <w:t xml:space="preserve"> </w:t>
      </w:r>
      <w:r>
        <w:t xml:space="preserve">does not apply. Here there is the vārttika</w:t>
      </w:r>
      <w:r>
        <w:t xml:space="preserve"> </w:t>
      </w:r>
      <w:r>
        <w:t xml:space="preserve">“</w:t>
      </w:r>
      <w:r>
        <w:t xml:space="preserve">kāṣṭhādibhya iti vaktavyam</w:t>
      </w:r>
      <w:r>
        <w:t xml:space="preserve">”</w:t>
      </w:r>
      <w:r>
        <w:t xml:space="preserve"> </w:t>
      </w:r>
      <w:r>
        <w:t xml:space="preserve">on</w:t>
      </w:r>
      <w:r>
        <w:t xml:space="preserve"> </w:t>
      </w:r>
      <w:r>
        <w:t xml:space="preserve">“</w:t>
      </w:r>
      <w:r>
        <w:t xml:space="preserve">pūjanāt pūjitam anudāttam</w:t>
      </w:r>
      <w:r>
        <w:t xml:space="preserve">”</w:t>
      </w:r>
      <w:r>
        <w:t xml:space="preserve"> </w:t>
      </w:r>
      <w:r>
        <w:t xml:space="preserve">(Pā. sū. 8-1-67): what is praised after</w:t>
      </w:r>
      <w:r>
        <w:t xml:space="preserve"> </w:t>
      </w:r>
      <w:r>
        <w:rPr>
          <w:iCs/>
          <w:i/>
        </w:rPr>
        <w:t xml:space="preserve">kāṣṭha</w:t>
      </w:r>
      <w:r>
        <w:t xml:space="preserve"> </w:t>
      </w:r>
      <w:r>
        <w:t xml:space="preserve">and other words of praise is unaccented. Even if the sūtra had been framed</w:t>
      </w:r>
      <w:r>
        <w:t xml:space="preserve"> </w:t>
      </w:r>
      <w:r>
        <w:t xml:space="preserve">“</w:t>
      </w:r>
      <w:r>
        <w:t xml:space="preserve">pūjanād anudāttam</w:t>
      </w:r>
      <w:r>
        <w:t xml:space="preserve">”</w:t>
      </w:r>
      <w:r>
        <w:t xml:space="preserve">,</w:t>
      </w:r>
      <w:r>
        <w:t xml:space="preserve"> </w:t>
      </w:r>
      <w:r>
        <w:t xml:space="preserve">“</w:t>
      </w:r>
      <w:r>
        <w:t xml:space="preserve">the praised</w:t>
      </w:r>
      <w:r>
        <w:t xml:space="preserve">”</w:t>
      </w:r>
      <w:r>
        <w:t xml:space="preserve"> </w:t>
      </w:r>
      <w:r>
        <w:t xml:space="preserve">would be got from</w:t>
      </w:r>
      <w:r>
        <w:t xml:space="preserve"> </w:t>
      </w:r>
      <w:r>
        <w:rPr>
          <w:iCs/>
          <w:i/>
        </w:rPr>
        <w:t xml:space="preserve">pūjita</w:t>
      </w:r>
      <w:r>
        <w:t xml:space="preserve"> </w:t>
      </w:r>
      <w:r>
        <w:t xml:space="preserve">as a correlate and from proximity; so the mention of</w:t>
      </w:r>
      <w:r>
        <w:t xml:space="preserve"> </w:t>
      </w:r>
      <w:r>
        <w:rPr>
          <w:iCs/>
          <w:i/>
        </w:rPr>
        <w:t xml:space="preserve">pūjita</w:t>
      </w:r>
      <w:r>
        <w:t xml:space="preserve"> </w:t>
      </w:r>
      <w:r>
        <w:t xml:space="preserve">would be useless, and it makes known that</w:t>
      </w:r>
      <w:r>
        <w:t xml:space="preserve"> </w:t>
      </w:r>
      <w:r>
        <w:rPr>
          <w:iCs/>
          <w:i/>
        </w:rPr>
        <w:t xml:space="preserve">atra prakaraṇe pañcamīnirdeśe ’pi nānantaryam āśrīyate</w:t>
      </w:r>
      <w:r>
        <w:t xml:space="preserve"> </w:t>
      </w:r>
      <w:r>
        <w:t xml:space="preserve">— in this section, though there is a fifth-case statement, immediate sequence is not required. With the fifth case</w:t>
      </w:r>
      <w:r>
        <w:t xml:space="preserve"> </w:t>
      </w:r>
      <w:r>
        <w:rPr>
          <w:iCs/>
          <w:i/>
        </w:rPr>
        <w:t xml:space="preserve">pūjanāt</w:t>
      </w:r>
      <w:r>
        <w:t xml:space="preserve"> </w:t>
      </w:r>
      <w:r>
        <w:t xml:space="preserve">alone, the sense of immediate sequence would not be got. With</w:t>
      </w:r>
      <w:r>
        <w:t xml:space="preserve"> </w:t>
      </w:r>
      <w:r>
        <w:rPr>
          <w:iCs/>
          <w:i/>
        </w:rPr>
        <w:t xml:space="preserve">pūjita</w:t>
      </w:r>
      <w:r>
        <w:t xml:space="preserve"> </w:t>
      </w:r>
      <w:r>
        <w:t xml:space="preserve">stated, in</w:t>
      </w:r>
      <w:r>
        <w:t xml:space="preserve"> </w:t>
      </w:r>
      <w:r>
        <w:rPr>
          <w:iCs/>
          <w:i/>
        </w:rPr>
        <w:t xml:space="preserve">kamalāni kamalāni</w:t>
      </w:r>
      <w:r>
        <w:t xml:space="preserve">, by repetition, the sense</w:t>
      </w:r>
      <w:r>
        <w:t xml:space="preserve"> </w:t>
      </w:r>
      <w:r>
        <w:t xml:space="preserve">“</w:t>
      </w:r>
      <w:r>
        <w:t xml:space="preserve">excellent lotus</w:t>
      </w:r>
      <w:r>
        <w:t xml:space="preserve">”</w:t>
      </w:r>
      <w:r>
        <w:t xml:space="preserve"> </w:t>
      </w:r>
      <w:r>
        <w:t xml:space="preserve">arises, and the two words,</w:t>
      </w:r>
      <w:r>
        <w:t xml:space="preserve"> </w:t>
      </w:r>
      <w:r>
        <w:rPr>
          <w:iCs/>
          <w:i/>
        </w:rPr>
        <w:t xml:space="preserve">pūjita</w:t>
      </w:r>
      <w:r>
        <w:t xml:space="preserve"> </w:t>
      </w:r>
      <w:r>
        <w:t xml:space="preserve">in the sūtra and</w:t>
      </w:r>
      <w:r>
        <w:t xml:space="preserve"> </w:t>
      </w:r>
      <w:r>
        <w:rPr>
          <w:iCs/>
          <w:i/>
        </w:rPr>
        <w:t xml:space="preserve">pūjita</w:t>
      </w:r>
      <w:r>
        <w:t xml:space="preserve"> </w:t>
      </w:r>
      <w:r>
        <w:t xml:space="preserve">got by proximity, convey</w:t>
      </w:r>
      <w:r>
        <w:t xml:space="preserve"> </w:t>
      </w:r>
      <w:r>
        <w:t xml:space="preserve">“</w:t>
      </w:r>
      <w:r>
        <w:t xml:space="preserve">excellent, praised</w:t>
      </w:r>
      <w:r>
        <w:t xml:space="preserve">”</w:t>
      </w:r>
      <w:r>
        <w:t xml:space="preserve">; here the excellence takes the form of immediate sequence. So the mention of</w:t>
      </w:r>
      <w:r>
        <w:t xml:space="preserve"> </w:t>
      </w:r>
      <w:r>
        <w:rPr>
          <w:iCs/>
          <w:i/>
        </w:rPr>
        <w:t xml:space="preserve">pūjita</w:t>
      </w:r>
      <w:r>
        <w:t xml:space="preserve"> </w:t>
      </w:r>
      <w:r>
        <w:t xml:space="preserve">has its use for getting immediate sequence. Without this made-known statement, since</w:t>
      </w:r>
      <w:r>
        <w:t xml:space="preserve"> </w:t>
      </w:r>
      <w:r>
        <w:rPr>
          <w:iCs/>
          <w:i/>
        </w:rPr>
        <w:t xml:space="preserve">pūjanāt</w:t>
      </w:r>
      <w:r>
        <w:t xml:space="preserve"> </w:t>
      </w:r>
      <w:r>
        <w:t xml:space="preserve">is in the fifth case, immediate sequence would follow by</w:t>
      </w:r>
      <w:r>
        <w:t xml:space="preserve"> </w:t>
      </w:r>
      <w:r>
        <w:t xml:space="preserve">“</w:t>
      </w:r>
      <w:r>
        <w:t xml:space="preserve">tasmād ity uttarasya</w:t>
      </w:r>
      <w:r>
        <w:t xml:space="preserve">”</w:t>
      </w:r>
      <w:r>
        <w:t xml:space="preserve"> </w:t>
      </w:r>
      <w:r>
        <w:t xml:space="preserve">(Pā. sū. 1-1-67), and the mention of</w:t>
      </w:r>
      <w:r>
        <w:t xml:space="preserve"> </w:t>
      </w:r>
      <w:r>
        <w:rPr>
          <w:iCs/>
          <w:i/>
        </w:rPr>
        <w:t xml:space="preserve">pūjita</w:t>
      </w:r>
      <w:r>
        <w:t xml:space="preserve"> </w:t>
      </w:r>
      <w:r>
        <w:t xml:space="preserve">would be useless. So it must be granted that in this section, though there is a fifth-case statement, immediate sequence is not required. In</w:t>
      </w:r>
      <w:r>
        <w:t xml:space="preserve"> </w:t>
      </w:r>
      <w:r>
        <w:rPr>
          <w:iCs/>
          <w:i/>
        </w:rPr>
        <w:t xml:space="preserve">ye tvā vahanti</w:t>
      </w:r>
      <w:r>
        <w:t xml:space="preserve"> </w:t>
      </w:r>
      <w:r>
        <w:t xml:space="preserve">the word</w:t>
      </w:r>
      <w:r>
        <w:t xml:space="preserve"> </w:t>
      </w:r>
      <w:r>
        <w:rPr>
          <w:iCs/>
          <w:i/>
        </w:rPr>
        <w:t xml:space="preserve">tvā</w:t>
      </w:r>
      <w:r>
        <w:t xml:space="preserve"> </w:t>
      </w:r>
      <w:r>
        <w:t xml:space="preserve">intervenes, yet the bar of</w:t>
      </w:r>
      <w:r>
        <w:t xml:space="preserve"> </w:t>
      </w:r>
      <w:r>
        <w:t xml:space="preserve">“</w:t>
      </w:r>
      <w:r>
        <w:t xml:space="preserve">yadvṛttān nityam</w:t>
      </w:r>
      <w:r>
        <w:t xml:space="preserve">”</w:t>
      </w:r>
      <w:r>
        <w:t xml:space="preserve"> </w:t>
      </w:r>
      <w:r>
        <w:t xml:space="preserve">applies. So it is not wholly unaccented.</w:t>
      </w:r>
    </w:p>
    <w:p>
      <w:pPr>
        <w:pStyle w:val="BodyText"/>
      </w:pPr>
      <w:r>
        <w:rPr>
          <w:bCs/>
          <w:b/>
        </w:rPr>
        <w:t xml:space="preserve">वह्नयः (</w:t>
      </w:r>
      <w:r>
        <w:rPr>
          <w:iCs/>
          <w:i/>
          <w:bCs/>
          <w:b/>
        </w:rPr>
        <w:t xml:space="preserve">vahnayaḥ</w:t>
      </w:r>
      <w:r>
        <w:rPr>
          <w:bCs/>
          <w:b/>
        </w:rPr>
        <w:t xml:space="preserve">)</w:t>
      </w:r>
      <w:r>
        <w:t xml:space="preserve">:</w:t>
      </w:r>
      <w:r>
        <w:t xml:space="preserve"> </w:t>
      </w:r>
      <w:r>
        <w:t xml:space="preserve">“</w:t>
      </w:r>
      <w:r>
        <w:t xml:space="preserve">vahiśriśruyudruglāhātvaribhyo nit</w:t>
      </w:r>
      <w:r>
        <w:t xml:space="preserve">”</w:t>
      </w:r>
      <w:r>
        <w:t xml:space="preserve"> </w:t>
      </w:r>
      <w:r>
        <w:t xml:space="preserve">(Uṇ. sū.</w:t>
      </w:r>
      <w:r>
        <w:t xml:space="preserve"> </w:t>
      </w:r>
      <w:r>
        <w:t xml:space="preserve">“</w:t>
      </w:r>
      <w:r>
        <w:t xml:space="preserve">4-51</w:t>
      </w:r>
      <w:r>
        <w:t xml:space="preserve">”</w:t>
      </w:r>
      <w:r>
        <w:t xml:space="preserve"> </w:t>
      </w:r>
      <w:r>
        <w:t xml:space="preserve">[?]), with</w:t>
      </w:r>
      <w:r>
        <w:t xml:space="preserve"> </w:t>
      </w:r>
      <w:r>
        <w:rPr>
          <w:iCs/>
          <w:i/>
        </w:rPr>
        <w:t xml:space="preserve">niḥ</w:t>
      </w:r>
      <w:r>
        <w:t xml:space="preserve"> </w:t>
      </w:r>
      <w:r>
        <w:t xml:space="preserve">carried on from</w:t>
      </w:r>
      <w:r>
        <w:t xml:space="preserve"> </w:t>
      </w:r>
      <w:r>
        <w:t xml:space="preserve">“</w:t>
      </w:r>
      <w:r>
        <w:t xml:space="preserve">vījyājvaribhyo niḥ</w:t>
      </w:r>
      <w:r>
        <w:t xml:space="preserve">”</w:t>
      </w:r>
      <w:r>
        <w:t xml:space="preserve"> </w:t>
      </w:r>
      <w:r>
        <w:t xml:space="preserve">(Uṇ. sū. 4-48): after</w:t>
      </w:r>
      <w:r>
        <w:t xml:space="preserve"> </w:t>
      </w:r>
      <w:r>
        <w:rPr>
          <w:iCs/>
          <w:i/>
        </w:rPr>
        <w:t xml:space="preserve">vaha prāpaṇe</w:t>
      </w:r>
      <w:r>
        <w:t xml:space="preserve">,</w:t>
      </w:r>
      <w:r>
        <w:t xml:space="preserve"> </w:t>
      </w:r>
      <w:r>
        <w:rPr>
          <w:iCs/>
          <w:i/>
        </w:rPr>
        <w:t xml:space="preserve">śriñ sevāyām</w:t>
      </w:r>
      <w:r>
        <w:t xml:space="preserve">,</w:t>
      </w:r>
      <w:r>
        <w:t xml:space="preserve"> </w:t>
      </w:r>
      <w:r>
        <w:rPr>
          <w:iCs/>
          <w:i/>
        </w:rPr>
        <w:t xml:space="preserve">śru śravaṇe</w:t>
      </w:r>
      <w:r>
        <w:t xml:space="preserve">,</w:t>
      </w:r>
      <w:r>
        <w:t xml:space="preserve"> </w:t>
      </w:r>
      <w:r>
        <w:rPr>
          <w:iCs/>
          <w:i/>
        </w:rPr>
        <w:t xml:space="preserve">yu miśraṇe</w:t>
      </w:r>
      <w:r>
        <w:t xml:space="preserve">,</w:t>
      </w:r>
      <w:r>
        <w:t xml:space="preserve"> </w:t>
      </w:r>
      <w:r>
        <w:rPr>
          <w:iCs/>
          <w:i/>
        </w:rPr>
        <w:t xml:space="preserve">dru gatau</w:t>
      </w:r>
      <w:r>
        <w:t xml:space="preserve">,</w:t>
      </w:r>
      <w:r>
        <w:t xml:space="preserve"> </w:t>
      </w:r>
      <w:r>
        <w:rPr>
          <w:iCs/>
          <w:i/>
        </w:rPr>
        <w:t xml:space="preserve">glai mlai harṣakṣaye</w:t>
      </w:r>
      <w:r>
        <w:t xml:space="preserve">,</w:t>
      </w:r>
      <w:r>
        <w:t xml:space="preserve"> </w:t>
      </w:r>
      <w:r>
        <w:rPr>
          <w:iCs/>
          <w:i/>
        </w:rPr>
        <w:t xml:space="preserve">ohāk tyāge</w:t>
      </w:r>
      <w:r>
        <w:t xml:space="preserve">,</w:t>
      </w:r>
      <w:r>
        <w:t xml:space="preserve"> </w:t>
      </w:r>
      <w:r>
        <w:rPr>
          <w:iCs/>
          <w:i/>
        </w:rPr>
        <w:t xml:space="preserve">ñitvarā sambhrame</w:t>
      </w:r>
      <w:r>
        <w:t xml:space="preserve">, the suffix</w:t>
      </w:r>
      <w:r>
        <w:t xml:space="preserve"> </w:t>
      </w:r>
      <w:r>
        <w:rPr>
          <w:iCs/>
          <w:i/>
        </w:rPr>
        <w:t xml:space="preserve">ni</w:t>
      </w:r>
      <w:r>
        <w:t xml:space="preserve">, and it is</w:t>
      </w:r>
      <w:r>
        <w:t xml:space="preserve"> </w:t>
      </w:r>
      <w:r>
        <w:rPr>
          <w:iCs/>
          <w:i/>
        </w:rPr>
        <w:t xml:space="preserve">nit</w:t>
      </w:r>
      <w:r>
        <w:t xml:space="preserve">; so</w:t>
      </w:r>
      <w:r>
        <w:t xml:space="preserve"> </w:t>
      </w:r>
      <w:r>
        <w:rPr>
          <w:iCs/>
          <w:i/>
        </w:rPr>
        <w:t xml:space="preserve">ni</w:t>
      </w:r>
      <w:r>
        <w:t xml:space="preserve"> </w:t>
      </w:r>
      <w:r>
        <w:t xml:space="preserve">after</w:t>
      </w:r>
      <w:r>
        <w:t xml:space="preserve"> </w:t>
      </w:r>
      <w:r>
        <w:rPr>
          <w:iCs/>
          <w:i/>
        </w:rPr>
        <w:t xml:space="preserve">vah</w:t>
      </w:r>
      <w:r>
        <w:t xml:space="preserve">, and being</w:t>
      </w:r>
      <w:r>
        <w:t xml:space="preserve"> </w:t>
      </w:r>
      <w:r>
        <w:rPr>
          <w:iCs/>
          <w:i/>
        </w:rPr>
        <w:t xml:space="preserve">nit</w:t>
      </w:r>
      <w:r>
        <w:t xml:space="preserve">,</w:t>
      </w:r>
      <w:r>
        <w:t xml:space="preserve"> </w:t>
      </w:r>
      <w:r>
        <w:rPr>
          <w:iCs/>
          <w:i/>
        </w:rPr>
        <w:t xml:space="preserve">vahni</w:t>
      </w:r>
      <w:r>
        <w:t xml:space="preserve"> </w:t>
      </w:r>
      <w:r>
        <w:t xml:space="preserve">is initial udātta by</w:t>
      </w:r>
      <w:r>
        <w:t xml:space="preserve"> </w:t>
      </w:r>
      <w:r>
        <w:t xml:space="preserve">“</w:t>
      </w:r>
      <w:r>
        <w:t xml:space="preserve">ñnityādir nityam</w:t>
      </w:r>
      <w:r>
        <w:t xml:space="preserve">”</w:t>
      </w:r>
      <w:r>
        <w:t xml:space="preserve"> </w:t>
      </w:r>
      <w:r>
        <w:t xml:space="preserve">(Pā. sū. 6-1-197).</w:t>
      </w:r>
    </w:p>
    <w:p>
      <w:pPr>
        <w:pStyle w:val="BodyText"/>
      </w:pPr>
      <w:r>
        <w:rPr>
          <w:bCs/>
          <w:b/>
        </w:rPr>
        <w:t xml:space="preserve">सोमपीतये (</w:t>
      </w:r>
      <w:r>
        <w:rPr>
          <w:iCs/>
          <w:i/>
          <w:bCs/>
          <w:b/>
        </w:rPr>
        <w:t xml:space="preserve">somapītaye</w:t>
      </w:r>
      <w:r>
        <w:rPr>
          <w:bCs/>
          <w:b/>
        </w:rPr>
        <w:t xml:space="preserve">)</w:t>
      </w:r>
      <w:r>
        <w:t xml:space="preserve">: its formation was given in the first Ṛk of this sūkta. In</w:t>
      </w:r>
      <w:r>
        <w:t xml:space="preserve"> </w:t>
      </w:r>
      <w:r>
        <w:rPr>
          <w:iCs/>
          <w:i/>
        </w:rPr>
        <w:t xml:space="preserve">devān somapītaye</w:t>
      </w:r>
      <w:r>
        <w:t xml:space="preserve">, in the Saṃhitā,</w:t>
      </w:r>
      <w:r>
        <w:t xml:space="preserve"> </w:t>
      </w:r>
      <w:r>
        <w:rPr>
          <w:iCs/>
          <w:i/>
        </w:rPr>
        <w:t xml:space="preserve">s</w:t>
      </w:r>
      <w:r>
        <w:t xml:space="preserve"> </w:t>
      </w:r>
      <w:r>
        <w:t xml:space="preserve">follows the</w:t>
      </w:r>
      <w:r>
        <w:t xml:space="preserve"> </w:t>
      </w:r>
      <w:r>
        <w:rPr>
          <w:iCs/>
          <w:i/>
        </w:rPr>
        <w:t xml:space="preserve">n</w:t>
      </w:r>
      <w:r>
        <w:t xml:space="preserve">; so</w:t>
      </w:r>
      <w:r>
        <w:t xml:space="preserve"> </w:t>
      </w:r>
      <w:r>
        <w:t xml:space="preserve">“</w:t>
      </w:r>
      <w:r>
        <w:t xml:space="preserve">naś ca</w:t>
      </w:r>
      <w:r>
        <w:t xml:space="preserve">”</w:t>
      </w:r>
      <w:r>
        <w:t xml:space="preserve"> </w:t>
      </w:r>
      <w:r>
        <w:t xml:space="preserve">(Pā. sū. 8-3-30) gives the augment</w:t>
      </w:r>
      <w:r>
        <w:t xml:space="preserve"> </w:t>
      </w:r>
      <w:r>
        <w:rPr>
          <w:iCs/>
          <w:i/>
        </w:rPr>
        <w:t xml:space="preserve">dhuṭ</w:t>
      </w:r>
      <w:r>
        <w:t xml:space="preserve"> </w:t>
      </w:r>
      <w:r>
        <w:t xml:space="preserve">to the</w:t>
      </w:r>
      <w:r>
        <w:t xml:space="preserve"> </w:t>
      </w:r>
      <w:r>
        <w:rPr>
          <w:iCs/>
          <w:i/>
        </w:rPr>
        <w:t xml:space="preserve">s</w:t>
      </w:r>
      <w:r>
        <w:t xml:space="preserve"> </w:t>
      </w:r>
      <w:r>
        <w:t xml:space="preserve">after a word ending in</w:t>
      </w:r>
      <w:r>
        <w:t xml:space="preserve"> </w:t>
      </w:r>
      <w:r>
        <w:rPr>
          <w:iCs/>
          <w:i/>
        </w:rPr>
        <w:t xml:space="preserve">n</w:t>
      </w:r>
      <w:r>
        <w:t xml:space="preserve">; being</w:t>
      </w:r>
      <w:r>
        <w:t xml:space="preserve"> </w:t>
      </w:r>
      <w:r>
        <w:rPr>
          <w:iCs/>
          <w:i/>
        </w:rPr>
        <w:t xml:space="preserve">ṭit</w:t>
      </w:r>
      <w:r>
        <w:t xml:space="preserve">, it comes at the beginning of the</w:t>
      </w:r>
      <w:r>
        <w:t xml:space="preserve"> </w:t>
      </w:r>
      <w:r>
        <w:rPr>
          <w:iCs/>
          <w:i/>
        </w:rPr>
        <w:t xml:space="preserve">s</w:t>
      </w:r>
      <w:r>
        <w:t xml:space="preserve">:</w:t>
      </w:r>
      <w:r>
        <w:t xml:space="preserve"> </w:t>
      </w:r>
      <w:r>
        <w:rPr>
          <w:iCs/>
          <w:i/>
        </w:rPr>
        <w:t xml:space="preserve">devān</w:t>
      </w:r>
      <w:r>
        <w:t xml:space="preserve"> </w:t>
      </w:r>
      <w:r>
        <w:t xml:space="preserve">+</w:t>
      </w:r>
      <w:r>
        <w:t xml:space="preserve"> </w:t>
      </w:r>
      <w:r>
        <w:rPr>
          <w:iCs/>
          <w:i/>
        </w:rPr>
        <w:t xml:space="preserve">dh</w:t>
      </w:r>
      <w:r>
        <w:t xml:space="preserve"> </w:t>
      </w:r>
      <w:r>
        <w:t xml:space="preserve">+</w:t>
      </w:r>
      <w:r>
        <w:t xml:space="preserve"> </w:t>
      </w:r>
      <w:r>
        <w:rPr>
          <w:iCs/>
          <w:i/>
        </w:rPr>
        <w:t xml:space="preserve">soma</w:t>
      </w:r>
      <w:r>
        <w:t xml:space="preserve">.</w:t>
      </w:r>
      <w:r>
        <w:t xml:space="preserve"> </w:t>
      </w:r>
      <w:r>
        <w:t xml:space="preserve">“</w:t>
      </w:r>
      <w:r>
        <w:t xml:space="preserve">khari ca</w:t>
      </w:r>
      <w:r>
        <w:t xml:space="preserve">”</w:t>
      </w:r>
      <w:r>
        <w:t xml:space="preserve"> </w:t>
      </w:r>
      <w:r>
        <w:t xml:space="preserve">(Pā. sū. 8-4-55): before a</w:t>
      </w:r>
      <w:r>
        <w:t xml:space="preserve"> </w:t>
      </w:r>
      <w:r>
        <w:rPr>
          <w:iCs/>
          <w:i/>
        </w:rPr>
        <w:t xml:space="preserve">khar</w:t>
      </w:r>
      <w:r>
        <w:t xml:space="preserve"> </w:t>
      </w:r>
      <w:r>
        <w:t xml:space="preserve">letter,</w:t>
      </w:r>
      <w:r>
        <w:t xml:space="preserve"> </w:t>
      </w:r>
      <w:r>
        <w:rPr>
          <w:iCs/>
          <w:i/>
        </w:rPr>
        <w:t xml:space="preserve">car</w:t>
      </w:r>
      <w:r>
        <w:t xml:space="preserve"> </w:t>
      </w:r>
      <w:r>
        <w:t xml:space="preserve">letters replace the</w:t>
      </w:r>
      <w:r>
        <w:t xml:space="preserve"> </w:t>
      </w:r>
      <w:r>
        <w:rPr>
          <w:iCs/>
          <w:i/>
        </w:rPr>
        <w:t xml:space="preserve">jhal</w:t>
      </w:r>
      <w:r>
        <w:t xml:space="preserve"> </w:t>
      </w:r>
      <w:r>
        <w:t xml:space="preserve">letters; the</w:t>
      </w:r>
      <w:r>
        <w:t xml:space="preserve"> </w:t>
      </w:r>
      <w:r>
        <w:rPr>
          <w:iCs/>
          <w:i/>
        </w:rPr>
        <w:t xml:space="preserve">s</w:t>
      </w:r>
      <w:r>
        <w:t xml:space="preserve"> </w:t>
      </w:r>
      <w:r>
        <w:t xml:space="preserve">is a</w:t>
      </w:r>
      <w:r>
        <w:t xml:space="preserve"> </w:t>
      </w:r>
      <w:r>
        <w:rPr>
          <w:iCs/>
          <w:i/>
        </w:rPr>
        <w:t xml:space="preserve">khar</w:t>
      </w:r>
      <w:r>
        <w:t xml:space="preserve">, so the</w:t>
      </w:r>
      <w:r>
        <w:t xml:space="preserve"> </w:t>
      </w:r>
      <w:r>
        <w:rPr>
          <w:iCs/>
          <w:i/>
        </w:rPr>
        <w:t xml:space="preserve">jhal</w:t>
      </w:r>
      <w:r>
        <w:t xml:space="preserve"> </w:t>
      </w:r>
      <w:r>
        <w:rPr>
          <w:iCs/>
          <w:i/>
        </w:rPr>
        <w:t xml:space="preserve">dh</w:t>
      </w:r>
      <w:r>
        <w:t xml:space="preserve"> </w:t>
      </w:r>
      <w:r>
        <w:t xml:space="preserve">gets a</w:t>
      </w:r>
      <w:r>
        <w:t xml:space="preserve"> </w:t>
      </w:r>
      <w:r>
        <w:rPr>
          <w:iCs/>
          <w:i/>
        </w:rPr>
        <w:t xml:space="preserve">car</w:t>
      </w:r>
      <w:r>
        <w:t xml:space="preserve">. Of the</w:t>
      </w:r>
      <w:r>
        <w:t xml:space="preserve"> </w:t>
      </w:r>
      <w:r>
        <w:rPr>
          <w:iCs/>
          <w:i/>
        </w:rPr>
        <w:t xml:space="preserve">car</w:t>
      </w:r>
      <w:r>
        <w:t xml:space="preserve"> </w:t>
      </w:r>
      <w:r>
        <w:t xml:space="preserve">letters</w:t>
      </w:r>
      <w:r>
        <w:t xml:space="preserve"> </w:t>
      </w:r>
      <w:r>
        <w:rPr>
          <w:iCs/>
          <w:i/>
        </w:rPr>
        <w:t xml:space="preserve">c, ṭ, t, k, p, ś, ṣ, s</w:t>
      </w:r>
      <w:r>
        <w:t xml:space="preserve">, by</w:t>
      </w:r>
      <w:r>
        <w:t xml:space="preserve"> </w:t>
      </w:r>
      <w:r>
        <w:t xml:space="preserve">“</w:t>
      </w:r>
      <w:r>
        <w:t xml:space="preserve">sthāne ’ntaratamaḥ</w:t>
      </w:r>
      <w:r>
        <w:t xml:space="preserve">”</w:t>
      </w:r>
      <w:r>
        <w:t xml:space="preserve"> </w:t>
      </w:r>
      <w:r>
        <w:t xml:space="preserve">(Pā. sū. 1-1-50) the dental</w:t>
      </w:r>
    </w:p>
    <w:bookmarkEnd w:id="647"/>
    <w:bookmarkStart w:id="648" w:name="page-607-rik-6-grammar-end"/>
    <w:p>
      <w:pPr>
        <w:pStyle w:val="Heading3"/>
      </w:pPr>
      <w:r>
        <w:t xml:space="preserve">Page 607 — Rik 6: grammar (end)</w:t>
      </w:r>
    </w:p>
    <w:p>
      <w:pPr>
        <w:pStyle w:val="FirstParagraph"/>
      </w:pPr>
      <w:r>
        <w:rPr>
          <w:iCs/>
          <w:i/>
        </w:rPr>
        <w:t xml:space="preserve">t</w:t>
      </w:r>
      <w:r>
        <w:t xml:space="preserve">, of the same place, comes:</w:t>
      </w:r>
      <w:r>
        <w:t xml:space="preserve"> </w:t>
      </w:r>
      <w:r>
        <w:rPr>
          <w:iCs/>
          <w:i/>
        </w:rPr>
        <w:t xml:space="preserve">devān</w:t>
      </w:r>
      <w:r>
        <w:t xml:space="preserve"> </w:t>
      </w:r>
      <w:r>
        <w:t xml:space="preserve">+</w:t>
      </w:r>
      <w:r>
        <w:t xml:space="preserve"> </w:t>
      </w:r>
      <w:r>
        <w:rPr>
          <w:iCs/>
          <w:i/>
        </w:rPr>
        <w:t xml:space="preserve">t</w:t>
      </w:r>
      <w:r>
        <w:t xml:space="preserve"> </w:t>
      </w:r>
      <w:r>
        <w:t xml:space="preserve">+</w:t>
      </w:r>
      <w:r>
        <w:t xml:space="preserve"> </w:t>
      </w:r>
      <w:r>
        <w:rPr>
          <w:iCs/>
          <w:i/>
        </w:rPr>
        <w:t xml:space="preserve">soma</w:t>
      </w:r>
      <w:r>
        <w:t xml:space="preserve">.</w:t>
      </w:r>
      <w:r>
        <w:t xml:space="preserve"> </w:t>
      </w:r>
      <w:r>
        <w:t xml:space="preserve">“</w:t>
      </w:r>
      <w:r>
        <w:t xml:space="preserve">cayo dvitīyāḥ śari pauṣkarasādeḥ</w:t>
      </w:r>
      <w:r>
        <w:t xml:space="preserve">”</w:t>
      </w:r>
      <w:r>
        <w:t xml:space="preserve"> </w:t>
      </w:r>
      <w:r>
        <w:t xml:space="preserve">(Pā. sū. vā. 8-4-48-3): Pauṣkarasādi is the name of a teacher; in his view, before</w:t>
      </w:r>
      <w:r>
        <w:t xml:space="preserve"> </w:t>
      </w:r>
      <w:r>
        <w:rPr>
          <w:iCs/>
          <w:i/>
        </w:rPr>
        <w:t xml:space="preserve">śar</w:t>
      </w:r>
      <w:r>
        <w:t xml:space="preserve"> </w:t>
      </w:r>
      <w:r>
        <w:t xml:space="preserve">letters the</w:t>
      </w:r>
      <w:r>
        <w:t xml:space="preserve"> </w:t>
      </w:r>
      <w:r>
        <w:rPr>
          <w:iCs/>
          <w:i/>
        </w:rPr>
        <w:t xml:space="preserve">cay</w:t>
      </w:r>
      <w:r>
        <w:t xml:space="preserve"> </w:t>
      </w:r>
      <w:r>
        <w:t xml:space="preserve">letters take the second letter of their class; so the</w:t>
      </w:r>
      <w:r>
        <w:t xml:space="preserve"> </w:t>
      </w:r>
      <w:r>
        <w:rPr>
          <w:iCs/>
          <w:i/>
        </w:rPr>
        <w:t xml:space="preserve">t</w:t>
      </w:r>
      <w:r>
        <w:t xml:space="preserve"> </w:t>
      </w:r>
      <w:r>
        <w:t xml:space="preserve">before the</w:t>
      </w:r>
      <w:r>
        <w:t xml:space="preserve"> </w:t>
      </w:r>
      <w:r>
        <w:rPr>
          <w:iCs/>
          <w:i/>
        </w:rPr>
        <w:t xml:space="preserve">śar</w:t>
      </w:r>
      <w:r>
        <w:t xml:space="preserve"> </w:t>
      </w:r>
      <w:r>
        <w:rPr>
          <w:iCs/>
          <w:i/>
        </w:rPr>
        <w:t xml:space="preserve">s</w:t>
      </w:r>
      <w:r>
        <w:t xml:space="preserve"> </w:t>
      </w:r>
      <w:r>
        <w:t xml:space="preserve">becomes</w:t>
      </w:r>
      <w:r>
        <w:t xml:space="preserve"> </w:t>
      </w:r>
      <w:r>
        <w:rPr>
          <w:iCs/>
          <w:i/>
        </w:rPr>
        <w:t xml:space="preserve">th</w:t>
      </w:r>
      <w:r>
        <w:t xml:space="preserve">, the second of the dental class:</w:t>
      </w:r>
      <w:r>
        <w:t xml:space="preserve"> </w:t>
      </w:r>
      <w:r>
        <w:rPr>
          <w:iCs/>
          <w:i/>
        </w:rPr>
        <w:t xml:space="preserve">devān</w:t>
      </w:r>
      <w:r>
        <w:t xml:space="preserve"> </w:t>
      </w:r>
      <w:r>
        <w:t xml:space="preserve">+</w:t>
      </w:r>
      <w:r>
        <w:t xml:space="preserve"> </w:t>
      </w:r>
      <w:r>
        <w:rPr>
          <w:iCs/>
          <w:i/>
        </w:rPr>
        <w:t xml:space="preserve">th</w:t>
      </w:r>
      <w:r>
        <w:t xml:space="preserve"> </w:t>
      </w:r>
      <w:r>
        <w:t xml:space="preserve">+</w:t>
      </w:r>
      <w:r>
        <w:t xml:space="preserve"> </w:t>
      </w:r>
      <w:r>
        <w:rPr>
          <w:iCs/>
          <w:i/>
        </w:rPr>
        <w:t xml:space="preserve">soma</w:t>
      </w:r>
      <w:r>
        <w:t xml:space="preserve">. By this derivation the mantra should read</w:t>
      </w:r>
      <w:r>
        <w:t xml:space="preserve"> </w:t>
      </w:r>
      <w:r>
        <w:rPr>
          <w:iCs/>
          <w:i/>
        </w:rPr>
        <w:t xml:space="preserve">devānthsomapītaye</w:t>
      </w:r>
      <w:r>
        <w:t xml:space="preserve">.</w:t>
      </w:r>
    </w:p>
    <w:p>
      <w:pPr>
        <w:pStyle w:val="BodyText"/>
      </w:pPr>
      <w:r>
        <w:rPr>
          <w:bCs/>
          <w:b/>
        </w:rPr>
        <w:t xml:space="preserve">॥६॥</w:t>
      </w:r>
    </w:p>
    <w:p>
      <w:r>
        <w:pict>
          <v:rect style="width:0;height:1.5pt" o:hralign="center" o:hrstd="t" o:hr="t"/>
        </w:pict>
      </w:r>
    </w:p>
    <w:bookmarkEnd w:id="648"/>
    <w:bookmarkStart w:id="649" w:name="page-607-lower-sūkta-14-rik-7"/>
    <w:p>
      <w:pPr>
        <w:pStyle w:val="Heading3"/>
      </w:pPr>
      <w:r>
        <w:t xml:space="preserve">Page 607 (lower) — Sūkta 14, Rik 7</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तान्यज॑त्राँ ऋता॒वृधो ऽग्ने॒ पत्नी॑वतस्कृधि । [accent ?]</w:t>
      </w:r>
      <w:r>
        <w:t xml:space="preserve"> </w:t>
      </w:r>
      <w:r>
        <w:t xml:space="preserve">मध्वः॑ सुजिह्व पायय ॥७॥ [accent ?]</w:t>
      </w:r>
    </w:p>
    <w:p>
      <w:pPr>
        <w:pStyle w:val="BlockText"/>
      </w:pPr>
      <w:r>
        <w:rPr>
          <w:iCs/>
          <w:i/>
        </w:rPr>
        <w:t xml:space="preserve">tān yájatrām̐ ṛtāvṛ́dho ’gne pátnīvatas kṛdhi |</w:t>
      </w:r>
      <w:r>
        <w:t xml:space="preserve"> </w:t>
      </w:r>
      <w:r>
        <w:t xml:space="preserve">[accent ?]</w:t>
      </w:r>
      <w:r>
        <w:t xml:space="preserve"> </w:t>
      </w:r>
      <w:r>
        <w:rPr>
          <w:iCs/>
          <w:i/>
        </w:rPr>
        <w:t xml:space="preserve">mádhvaḥ sujihva pāyaya ||7||</w:t>
      </w:r>
      <w:r>
        <w:t xml:space="preserve"> </w:t>
      </w:r>
      <w:r>
        <w:t xml:space="preserve">[accent ?]</w:t>
      </w:r>
    </w:p>
    <w:p>
      <w:pPr>
        <w:pStyle w:val="FirstParagraph"/>
      </w:pPr>
      <w:r>
        <w:rPr>
          <w:iCs/>
          <w:i/>
        </w:rPr>
        <w:t xml:space="preserve">(Line 1: the stroke stands over ज and the bar under ता of ऋतावृधो — positions read at 450 dpi, not certain. Line 2: only the stroke over ध्वः is legible; the foot of the line is cut in the scan.)</w:t>
      </w:r>
    </w:p>
    <w:p>
      <w:pPr>
        <w:pStyle w:val="BodyText"/>
      </w:pPr>
      <w:r>
        <w:rPr>
          <w:bCs/>
          <w:b/>
        </w:rPr>
        <w:t xml:space="preserve">॥ Pada-pāṭhaḥ ॥</w:t>
      </w:r>
    </w:p>
    <w:p>
      <w:pPr>
        <w:pStyle w:val="BlockText"/>
      </w:pPr>
      <w:r>
        <w:t xml:space="preserve">तान् । यजत्रान् । ऋतऽवृधः । अग्ने । पत्नीऽवतः । कृधि ॥</w:t>
      </w:r>
      <w:r>
        <w:t xml:space="preserve"> </w:t>
      </w:r>
      <w:r>
        <w:t xml:space="preserve">मध्वः । सुऽजिह्व । पायय ॥७॥</w:t>
      </w:r>
    </w:p>
    <w:p>
      <w:pPr>
        <w:pStyle w:val="BlockText"/>
      </w:pPr>
      <w:r>
        <w:rPr>
          <w:iCs/>
          <w:i/>
        </w:rPr>
        <w:t xml:space="preserve">tān | yajatrān | ṛta ’vṛdhaḥ | agne | patnī ’vataḥ | kṛdhi ||</w:t>
      </w:r>
      <w:r>
        <w:t xml:space="preserve"> </w:t>
      </w:r>
      <w:r>
        <w:rPr>
          <w:iCs/>
          <w:i/>
        </w:rPr>
        <w:t xml:space="preserve">madhvaḥ | su ’jihva | pāyaya ||7||</w:t>
      </w:r>
    </w:p>
    <w:p>
      <w:pPr>
        <w:pStyle w:val="FirstParagraph"/>
      </w:pPr>
      <w:r>
        <w:rPr>
          <w:bCs/>
          <w:b/>
        </w:rPr>
        <w:t xml:space="preserve">॥ Sāyaṇa-bhāṣyam ॥</w:t>
      </w:r>
    </w:p>
    <w:p>
      <w:pPr>
        <w:pStyle w:val="BlockText"/>
      </w:pPr>
      <w:r>
        <w:t xml:space="preserve">हे अग्ने तानिन्द्रादीन्देवान्यजत्रान्यजनीयान् ऋतावृधः सत्यस्य यज्ञस्य वा वर्धकान् पत्नीवतः पत्नीयुक्तान्कृधि । कुरु । हे सुजिह्व । शोभनजिह्वोपेत मध्वो मधुरस्य सोमस्य भागं देवान्पायय ॥ यजत्रान् । अमिनक्षियजिबन्धिपतिभ्योऽत्रन् । उ. ३-१०५ । इति यजेरत्रन्प्रत्ययः । ऋतावृधः । वृधु वृद्धौ । अन्तर्भावितण्यर्थात्क्विप्चेति क्विप् । अन्येषामपि दृश्यत इति पूर्वपदस्य दीर्घत्वं । वृधेर्धातुस्वरः । समासे कृदुत्तरपदप्रकृतिस्वरत्वं । अग्ने । पादादित्वान्नामन्त्रितनिघातः । षाष्ठिकमाद्युदात्तत्वं । पत्नीवतः । पत्युर्नो यज्ञसंयोगे । पा. ४-१-३३ । इति ङीप् । इकारस्य च नकारः । ता एषां सन्तीति मतुप् । छन्दसीर इति वत्वं । पतिशब्दो डतिप्रत्ययान्तत्वादाद्युदात्तः । ङीम्मतुपोरनुदात्तत्वात्स एव शिष्यते । कृधि । कृञो लोटः सिः । सेर्ह्यपिच्चेति हिः । बहुलं छन्दसीति विकरणलुक् । श्रुशृणुपॄकृवृभ्यश्छन्दसि । पा. ६-४-१०२ । इति हेर्धिरादेशः । ङित्त्वाद्गुणाभावः । मध्वः । उक्तं । सुजिह्व । आमन्त्रितनिघातः । पायय । पा पाने । पिबन्तं प्रयुङ्क्त इति हेतुमति चेति णिच् । शाछासाह्वाव्यावेपां युक् । पा. ७-३-३७ । इति युक् । पूर्वस्यामन्त्रितस्याविद्यमानवत्त्वं । अत एवाव्यवधायकत्वान्मध्व इत्यपेक्ष्य तिङ्ङतिङ इति निघातः ॥</w:t>
      </w:r>
    </w:p>
    <w:p>
      <w:pPr>
        <w:pStyle w:val="BlockText"/>
      </w:pPr>
      <w:r>
        <w:rPr>
          <w:iCs/>
          <w:i/>
        </w:rPr>
        <w:t xml:space="preserve">he agne tānindrādīndevānyajatrānyajanīyān ṛtāvṛdhaḥ satyasya yajñasya vā vardhakān patnīvataḥ patnīyuktānkṛdhi | kuru | he sujihva | śobhanajihvopeta madhvo madhurasya somasya bhāgaṃ devānpāyaya || yajatrān | aminakṣiyajibandhipatibhyo ’tran | u. 3-105 | iti yajeratranpratyayaḥ | ṛtāvṛdhaḥ | vṛdhu vṛddhau | antarbhāvitaṇyarthātkvipceti kvip | anyeṣāmapi dṛśyata iti pūrvapadasya dīrghatvaṃ | vṛdherdhātusvaraḥ | samāse kṛduttarapadaprakṛtisvaratvaṃ | agne | pādāditvānnāmantritanighātaḥ | ṣāṣṭhikamādyudāttatvaṃ | patnīvataḥ | patyurno yajñasaṃyoge | pā. 4-1-33 | iti ṅīp | ikārasya ca nakāraḥ | tā eṣāṃ santīti matup | chandasīra iti vatvaṃ | patiśabdo ḍatipratyayāntatvādādyudāttaḥ | ṅīmmatuporanudāttatvātsa eva śiṣyate | kṛdhi | kṛño loṭaḥ siḥ | serhyapicceti hiḥ | bahulaṃ chandasīti vikaraṇaluk | śruśṛṇupṝkṛvṛbhyaśchandasi | pā. 6-4-102 | iti herdhirādeśaḥ | ṅittvādguṇābhāvaḥ | madhvaḥ | uktaṃ | sujihva | āmantritanighātaḥ | pāyaya | pā pāne | pibantaṃ prayuṅkta iti hetumati ceti ṇic | śāchāsāhvāvyāvepāṃ yuk | pā. 7-3-37 | iti yuk | pūrvasyāmantritasyāvidyamānavattvaṃ | ata evāvyavadhāyakatvānmadhva ityapekṣya tiṅṅatiṅa iti nighātaḥ ||</w:t>
      </w:r>
    </w:p>
    <w:p>
      <w:pPr>
        <w:pStyle w:val="FirstParagraph"/>
      </w:pPr>
      <w:r>
        <w:rPr>
          <w:bCs/>
          <w:b/>
        </w:rPr>
        <w:t xml:space="preserve">Translation:</w:t>
      </w:r>
      <w:r>
        <w:t xml:space="preserve"> </w:t>
      </w:r>
      <w:r>
        <w:t xml:space="preserve">“</w:t>
      </w:r>
      <w:r>
        <w:t xml:space="preserve">O Agni, make those gods, Indra and the rest,</w:t>
      </w:r>
      <w:r>
        <w:t xml:space="preserve"> </w:t>
      </w:r>
      <w:r>
        <w:rPr>
          <w:iCs/>
          <w:i/>
        </w:rPr>
        <w:t xml:space="preserve">yajatrāḥ</w:t>
      </w:r>
      <w:r>
        <w:t xml:space="preserve">, worthy of worship,</w:t>
      </w:r>
      <w:r>
        <w:t xml:space="preserve"> </w:t>
      </w:r>
      <w:r>
        <w:rPr>
          <w:iCs/>
          <w:i/>
        </w:rPr>
        <w:t xml:space="preserve">ṛtāvṛdhaḥ</w:t>
      </w:r>
      <w:r>
        <w:t xml:space="preserve">, who make the truth or the sacrifice grow,</w:t>
      </w:r>
      <w:r>
        <w:t xml:space="preserve"> </w:t>
      </w:r>
      <w:r>
        <w:rPr>
          <w:iCs/>
          <w:i/>
        </w:rPr>
        <w:t xml:space="preserve">patnīvataḥ</w:t>
      </w:r>
      <w:r>
        <w:t xml:space="preserve">, accompanied by their wives:</w:t>
      </w:r>
      <w:r>
        <w:t xml:space="preserve"> </w:t>
      </w:r>
      <w:r>
        <w:rPr>
          <w:iCs/>
          <w:i/>
        </w:rPr>
        <w:t xml:space="preserve">kṛdhi</w:t>
      </w:r>
      <w:r>
        <w:t xml:space="preserve">, do so. O</w:t>
      </w:r>
      <w:r>
        <w:t xml:space="preserve"> </w:t>
      </w:r>
      <w:r>
        <w:rPr>
          <w:iCs/>
          <w:i/>
        </w:rPr>
        <w:t xml:space="preserve">sujihva</w:t>
      </w:r>
      <w:r>
        <w:t xml:space="preserve">, you of the fine tongue, make the gods drink their share of the</w:t>
      </w:r>
      <w:r>
        <w:t xml:space="preserve"> </w:t>
      </w:r>
      <w:r>
        <w:rPr>
          <w:iCs/>
          <w:i/>
        </w:rPr>
        <w:t xml:space="preserve">madhvaḥ</w:t>
      </w:r>
      <w:r>
        <w:t xml:space="preserve">, the sweet soma.</w:t>
      </w:r>
      <w:r>
        <w:t xml:space="preserve">”</w:t>
      </w:r>
      <w:r>
        <w:t xml:space="preserve"> </w:t>
      </w:r>
      <w:r>
        <w:t xml:space="preserve">(Grammatical tail:</w:t>
      </w:r>
      <w:r>
        <w:t xml:space="preserve"> </w:t>
      </w:r>
      <w:r>
        <w:rPr>
          <w:iCs/>
          <w:i/>
        </w:rPr>
        <w:t xml:space="preserve">yajatrān</w:t>
      </w:r>
      <w:r>
        <w:t xml:space="preserve"> </w:t>
      </w:r>
      <w:r>
        <w:t xml:space="preserve">with</w:t>
      </w:r>
      <w:r>
        <w:t xml:space="preserve"> </w:t>
      </w:r>
      <w:r>
        <w:rPr>
          <w:iCs/>
          <w:i/>
        </w:rPr>
        <w:t xml:space="preserve">atran</w:t>
      </w:r>
      <w:r>
        <w:t xml:space="preserve"> </w:t>
      </w:r>
      <w:r>
        <w:t xml:space="preserve">(Uṇ. 3-105);</w:t>
      </w:r>
      <w:r>
        <w:t xml:space="preserve"> </w:t>
      </w:r>
      <w:r>
        <w:rPr>
          <w:iCs/>
          <w:i/>
        </w:rPr>
        <w:t xml:space="preserve">ṛtāvṛdhaḥ</w:t>
      </w:r>
      <w:r>
        <w:t xml:space="preserve">,</w:t>
      </w:r>
      <w:r>
        <w:t xml:space="preserve"> </w:t>
      </w:r>
      <w:r>
        <w:rPr>
          <w:iCs/>
          <w:i/>
        </w:rPr>
        <w:t xml:space="preserve">vṛdh</w:t>
      </w:r>
      <w:r>
        <w:t xml:space="preserve"> </w:t>
      </w:r>
      <w:r>
        <w:t xml:space="preserve">with the inner causative and</w:t>
      </w:r>
      <w:r>
        <w:t xml:space="preserve"> </w:t>
      </w:r>
      <w:r>
        <w:rPr>
          <w:iCs/>
          <w:i/>
        </w:rPr>
        <w:t xml:space="preserve">kvip</w:t>
      </w:r>
      <w:r>
        <w:t xml:space="preserve">, the first member lengthened, the accent of the</w:t>
      </w:r>
      <w:r>
        <w:t xml:space="preserve"> </w:t>
      </w:r>
      <w:r>
        <w:rPr>
          <w:iCs/>
          <w:i/>
        </w:rPr>
        <w:t xml:space="preserve">kṛt</w:t>
      </w:r>
      <w:r>
        <w:t xml:space="preserve"> </w:t>
      </w:r>
      <w:r>
        <w:t xml:space="preserve">second member;</w:t>
      </w:r>
      <w:r>
        <w:t xml:space="preserve"> </w:t>
      </w:r>
      <w:r>
        <w:rPr>
          <w:iCs/>
          <w:i/>
        </w:rPr>
        <w:t xml:space="preserve">agne</w:t>
      </w:r>
      <w:r>
        <w:t xml:space="preserve">, at the head of the pāda, not lowered, initial udātta;</w:t>
      </w:r>
      <w:r>
        <w:t xml:space="preserve"> </w:t>
      </w:r>
      <w:r>
        <w:rPr>
          <w:iCs/>
          <w:i/>
        </w:rPr>
        <w:t xml:space="preserve">patnīvataḥ</w:t>
      </w:r>
      <w:r>
        <w:t xml:space="preserve">,</w:t>
      </w:r>
      <w:r>
        <w:t xml:space="preserve"> </w:t>
      </w:r>
      <w:r>
        <w:rPr>
          <w:iCs/>
          <w:i/>
        </w:rPr>
        <w:t xml:space="preserve">ṅīp</w:t>
      </w:r>
      <w:r>
        <w:t xml:space="preserve"> </w:t>
      </w:r>
      <w:r>
        <w:t xml:space="preserve">and</w:t>
      </w:r>
      <w:r>
        <w:t xml:space="preserve"> </w:t>
      </w:r>
      <w:r>
        <w:rPr>
          <w:iCs/>
          <w:i/>
        </w:rPr>
        <w:t xml:space="preserve">n</w:t>
      </w:r>
      <w:r>
        <w:t xml:space="preserve"> </w:t>
      </w:r>
      <w:r>
        <w:t xml:space="preserve">by Pā. 4-1-33,</w:t>
      </w:r>
      <w:r>
        <w:t xml:space="preserve"> </w:t>
      </w:r>
      <w:r>
        <w:rPr>
          <w:iCs/>
          <w:i/>
        </w:rPr>
        <w:t xml:space="preserve">matup</w:t>
      </w:r>
      <w:r>
        <w:t xml:space="preserve"> </w:t>
      </w:r>
      <w:r>
        <w:t xml:space="preserve">with</w:t>
      </w:r>
      <w:r>
        <w:t xml:space="preserve"> </w:t>
      </w:r>
      <w:r>
        <w:rPr>
          <w:iCs/>
          <w:i/>
        </w:rPr>
        <w:t xml:space="preserve">v</w:t>
      </w:r>
      <w:r>
        <w:t xml:space="preserve">,</w:t>
      </w:r>
      <w:r>
        <w:t xml:space="preserve"> </w:t>
      </w:r>
      <w:r>
        <w:rPr>
          <w:iCs/>
          <w:i/>
        </w:rPr>
        <w:t xml:space="preserve">pati</w:t>
      </w:r>
      <w:r>
        <w:t xml:space="preserve"> </w:t>
      </w:r>
      <w:r>
        <w:t xml:space="preserve">initial udātta (</w:t>
      </w:r>
      <w:r>
        <w:rPr>
          <w:iCs/>
          <w:i/>
        </w:rPr>
        <w:t xml:space="preserve">ḍati</w:t>
      </w:r>
      <w:r>
        <w:t xml:space="preserve">);</w:t>
      </w:r>
      <w:r>
        <w:t xml:space="preserve"> </w:t>
      </w:r>
      <w:r>
        <w:rPr>
          <w:iCs/>
          <w:i/>
        </w:rPr>
        <w:t xml:space="preserve">kṛdhi</w:t>
      </w:r>
      <w:r>
        <w:t xml:space="preserve">,</w:t>
      </w:r>
      <w:r>
        <w:t xml:space="preserve"> </w:t>
      </w:r>
      <w:r>
        <w:rPr>
          <w:iCs/>
          <w:i/>
        </w:rPr>
        <w:t xml:space="preserve">hi</w:t>
      </w:r>
      <w:r>
        <w:t xml:space="preserve">, the</w:t>
      </w:r>
      <w:r>
        <w:t xml:space="preserve"> </w:t>
      </w:r>
      <w:r>
        <w:rPr>
          <w:iCs/>
          <w:i/>
        </w:rPr>
        <w:t xml:space="preserve">vikaraṇa</w:t>
      </w:r>
      <w:r>
        <w:t xml:space="preserve"> </w:t>
      </w:r>
      <w:r>
        <w:t xml:space="preserve">dropped,</w:t>
      </w:r>
      <w:r>
        <w:t xml:space="preserve"> </w:t>
      </w:r>
      <w:r>
        <w:rPr>
          <w:iCs/>
          <w:i/>
        </w:rPr>
        <w:t xml:space="preserve">dhi</w:t>
      </w:r>
      <w:r>
        <w:t xml:space="preserve"> </w:t>
      </w:r>
      <w:r>
        <w:t xml:space="preserve">by Pā. 6-4-102, no</w:t>
      </w:r>
      <w:r>
        <w:t xml:space="preserve"> </w:t>
      </w:r>
      <w:r>
        <w:rPr>
          <w:iCs/>
          <w:i/>
        </w:rPr>
        <w:t xml:space="preserve">guṇa</w:t>
      </w:r>
      <w:r>
        <w:t xml:space="preserve">;</w:t>
      </w:r>
      <w:r>
        <w:t xml:space="preserve"> </w:t>
      </w:r>
      <w:r>
        <w:rPr>
          <w:iCs/>
          <w:i/>
        </w:rPr>
        <w:t xml:space="preserve">sujihva</w:t>
      </w:r>
      <w:r>
        <w:t xml:space="preserve"> </w:t>
      </w:r>
      <w:r>
        <w:t xml:space="preserve">lowered as a vocative;</w:t>
      </w:r>
      <w:r>
        <w:t xml:space="preserve"> </w:t>
      </w:r>
      <w:r>
        <w:rPr>
          <w:iCs/>
          <w:i/>
        </w:rPr>
        <w:t xml:space="preserve">pāyaya</w:t>
      </w:r>
      <w:r>
        <w:t xml:space="preserve"> </w:t>
      </w:r>
      <w:r>
        <w:t xml:space="preserve">from</w:t>
      </w:r>
      <w:r>
        <w:t xml:space="preserve"> </w:t>
      </w:r>
      <w:r>
        <w:rPr>
          <w:iCs/>
          <w:i/>
        </w:rPr>
        <w:t xml:space="preserve">pā</w:t>
      </w:r>
      <w:r>
        <w:t xml:space="preserve"> </w:t>
      </w:r>
      <w:r>
        <w:t xml:space="preserve">with</w:t>
      </w:r>
      <w:r>
        <w:t xml:space="preserve"> </w:t>
      </w:r>
      <w:r>
        <w:rPr>
          <w:iCs/>
          <w:i/>
        </w:rPr>
        <w:t xml:space="preserve">ṇic</w:t>
      </w:r>
      <w:r>
        <w:t xml:space="preserve"> </w:t>
      </w:r>
      <w:r>
        <w:t xml:space="preserve">and</w:t>
      </w:r>
      <w:r>
        <w:t xml:space="preserve"> </w:t>
      </w:r>
      <w:r>
        <w:rPr>
          <w:iCs/>
          <w:i/>
        </w:rPr>
        <w:t xml:space="preserve">yuk</w:t>
      </w:r>
      <w:r>
        <w:t xml:space="preserve"> </w:t>
      </w:r>
      <w:r>
        <w:t xml:space="preserve">(Pā. 7-3-37); the vocative before it counts as absent, so it is lowered after</w:t>
      </w:r>
      <w:r>
        <w:t xml:space="preserve"> </w:t>
      </w:r>
      <w:r>
        <w:rPr>
          <w:iCs/>
          <w:i/>
        </w:rPr>
        <w:t xml:space="preserve">madhvaḥ</w:t>
      </w:r>
      <w:r>
        <w:t xml:space="preserve"> </w:t>
      </w:r>
      <w:r>
        <w:t xml:space="preserve">by</w:t>
      </w:r>
      <w:r>
        <w:t xml:space="preserve"> </w:t>
      </w:r>
      <w:r>
        <w:rPr>
          <w:iCs/>
          <w:i/>
        </w:rPr>
        <w:t xml:space="preserve">tiṅṅatiṅaḥ</w:t>
      </w:r>
      <w:r>
        <w:t xml:space="preserve">.)</w:t>
      </w:r>
    </w:p>
    <w:bookmarkEnd w:id="649"/>
    <w:bookmarkStart w:id="650" w:name="Xff2ab81b80412dcaf139c6eed497e892702e77d"/>
    <w:p>
      <w:pPr>
        <w:pStyle w:val="Heading3"/>
      </w:pPr>
      <w:r>
        <w:t xml:space="preserve">Page 608 — Rik 7: word-meanings, overall sense, English, Special Topics</w:t>
      </w:r>
    </w:p>
    <w:p>
      <w:pPr>
        <w:pStyle w:val="FirstParagraph"/>
      </w:pPr>
      <w:r>
        <w:rPr>
          <w:bCs/>
          <w:b/>
        </w:rPr>
        <w:t xml:space="preserve">॥ Prati-padārthaḥ ॥</w:t>
      </w:r>
    </w:p>
    <w:p>
      <w:pPr>
        <w:pStyle w:val="BodyText"/>
      </w:pPr>
      <w:r>
        <w:rPr>
          <w:bCs/>
          <w:b/>
        </w:rPr>
        <w:t xml:space="preserve">अग्ने (agne)</w:t>
      </w:r>
      <w:r>
        <w:t xml:space="preserve"> </w:t>
      </w:r>
      <w:r>
        <w:t xml:space="preserve">— O Agni |</w:t>
      </w:r>
      <w:r>
        <w:t xml:space="preserve"> </w:t>
      </w:r>
      <w:r>
        <w:rPr>
          <w:bCs/>
          <w:b/>
        </w:rPr>
        <w:t xml:space="preserve">यजत्रान् (yajatrān)</w:t>
      </w:r>
      <w:r>
        <w:t xml:space="preserve"> </w:t>
      </w:r>
      <w:r>
        <w:t xml:space="preserve">— worthy of worship |</w:t>
      </w:r>
      <w:r>
        <w:t xml:space="preserve"> </w:t>
      </w:r>
      <w:r>
        <w:rPr>
          <w:bCs/>
          <w:b/>
        </w:rPr>
        <w:t xml:space="preserve">पत्नीवतः (patnīvataḥ)</w:t>
      </w:r>
      <w:r>
        <w:t xml:space="preserve"> </w:t>
      </w:r>
      <w:r>
        <w:t xml:space="preserve">— joined with their wives |</w:t>
      </w:r>
      <w:r>
        <w:t xml:space="preserve"> </w:t>
      </w:r>
      <w:r>
        <w:rPr>
          <w:bCs/>
          <w:b/>
        </w:rPr>
        <w:t xml:space="preserve">तान् (tān)</w:t>
      </w:r>
      <w:r>
        <w:t xml:space="preserve"> </w:t>
      </w:r>
      <w:r>
        <w:t xml:space="preserve">— those gods, Indra and the rest |</w:t>
      </w:r>
      <w:r>
        <w:t xml:space="preserve"> </w:t>
      </w:r>
      <w:r>
        <w:rPr>
          <w:bCs/>
          <w:b/>
        </w:rPr>
        <w:t xml:space="preserve">ऋतावृधः (ṛtāvṛdhaḥ)</w:t>
      </w:r>
      <w:r>
        <w:t xml:space="preserve"> </w:t>
      </w:r>
      <w:r>
        <w:t xml:space="preserve">— as makers of the sacrifice (the truth) to grow |</w:t>
      </w:r>
      <w:r>
        <w:t xml:space="preserve"> </w:t>
      </w:r>
      <w:r>
        <w:rPr>
          <w:bCs/>
          <w:b/>
        </w:rPr>
        <w:t xml:space="preserve">कृधि (kṛdhi)</w:t>
      </w:r>
      <w:r>
        <w:t xml:space="preserve"> </w:t>
      </w:r>
      <w:r>
        <w:t xml:space="preserve">— make |</w:t>
      </w:r>
      <w:r>
        <w:t xml:space="preserve"> </w:t>
      </w:r>
      <w:r>
        <w:rPr>
          <w:bCs/>
          <w:b/>
        </w:rPr>
        <w:t xml:space="preserve">सुजिह्व (sujihva)</w:t>
      </w:r>
      <w:r>
        <w:t xml:space="preserve"> </w:t>
      </w:r>
      <w:r>
        <w:t xml:space="preserve">— O Agni of the shining tongue |</w:t>
      </w:r>
      <w:r>
        <w:t xml:space="preserve"> </w:t>
      </w:r>
      <w:r>
        <w:rPr>
          <w:bCs/>
          <w:b/>
        </w:rPr>
        <w:t xml:space="preserve">मध्वः (madhvaḥ)</w:t>
      </w:r>
      <w:r>
        <w:t xml:space="preserve"> </w:t>
      </w:r>
      <w:r>
        <w:t xml:space="preserve">— the sweet soma juice |</w:t>
      </w:r>
      <w:r>
        <w:t xml:space="preserve"> </w:t>
      </w:r>
      <w:r>
        <w:rPr>
          <w:bCs/>
          <w:b/>
        </w:rPr>
        <w:t xml:space="preserve">पायय (pāyaya)</w:t>
      </w:r>
      <w:r>
        <w:t xml:space="preserve"> </w:t>
      </w:r>
      <w:r>
        <w:t xml:space="preserve">— make (them) drink.</w:t>
      </w:r>
    </w:p>
    <w:p>
      <w:pPr>
        <w:pStyle w:val="BodyText"/>
      </w:pPr>
      <w:r>
        <w:rPr>
          <w:bCs/>
          <w:b/>
        </w:rPr>
        <w:t xml:space="preserve">॥ Bhāvārthaḥ ॥</w:t>
      </w:r>
    </w:p>
    <w:p>
      <w:pPr>
        <w:pStyle w:val="BodyText"/>
      </w:pPr>
      <w:r>
        <w:t xml:space="preserve">O Agni, Indra and the other gods are worthy of worship. Bring them with their wives and help so that our sacrifice prospers. O Agni, whose tongue can taste sweetness, make Indra and the other gods too drink the sweet soma juice.</w:t>
      </w:r>
    </w:p>
    <w:p>
      <w:pPr>
        <w:pStyle w:val="BodyText"/>
      </w:pPr>
      <w:r>
        <w:rPr>
          <w:bCs/>
          <w:b/>
        </w:rPr>
        <w:t xml:space="preserve">॥ English Translation ॥</w:t>
      </w:r>
      <w:r>
        <w:t xml:space="preserve"> </w:t>
      </w:r>
      <w:r>
        <w:rPr>
          <w:iCs/>
          <w:i/>
        </w:rPr>
        <w:t xml:space="preserve">(as printed in the source)</w:t>
      </w:r>
    </w:p>
    <w:p>
      <w:pPr>
        <w:pStyle w:val="BlockText"/>
      </w:pPr>
      <w:r>
        <w:t xml:space="preserve">O sweet tongued Agni, put those adorable gods with their wives here and make them drink of the sweet Soma</w:t>
      </w:r>
    </w:p>
    <w:p>
      <w:pPr>
        <w:pStyle w:val="FirstParagraph"/>
      </w:pPr>
      <w:r>
        <w:rPr>
          <w:bCs/>
          <w:b/>
        </w:rPr>
        <w:t xml:space="preserve">॥ Viśeṣa-viṣayagaḷu (Special Topics) ॥</w:t>
      </w:r>
    </w:p>
    <w:p>
      <w:pPr>
        <w:pStyle w:val="BodyText"/>
      </w:pPr>
      <w:r>
        <w:rPr>
          <w:bCs/>
          <w:b/>
        </w:rPr>
        <w:t xml:space="preserve">Yajatrān</w:t>
      </w:r>
      <w:r>
        <w:t xml:space="preserve">:</w:t>
      </w:r>
      <w:r>
        <w:t xml:space="preserve"> </w:t>
      </w:r>
      <w:r>
        <w:rPr>
          <w:iCs/>
          <w:i/>
        </w:rPr>
        <w:t xml:space="preserve">yajanīyān</w:t>
      </w:r>
      <w:r>
        <w:t xml:space="preserve">, worthy of worship.</w:t>
      </w:r>
    </w:p>
    <w:p>
      <w:pPr>
        <w:pStyle w:val="BodyText"/>
      </w:pPr>
      <w:r>
        <w:rPr>
          <w:bCs/>
          <w:b/>
        </w:rPr>
        <w:t xml:space="preserve">Patnīvataḥ</w:t>
      </w:r>
      <w:r>
        <w:t xml:space="preserve">: accompanied by their wives.</w:t>
      </w:r>
    </w:p>
    <w:p>
      <w:pPr>
        <w:pStyle w:val="BodyText"/>
      </w:pPr>
      <w:r>
        <w:rPr>
          <w:bCs/>
          <w:b/>
        </w:rPr>
        <w:t xml:space="preserve">Ṛtāvṛdhaḥ</w:t>
      </w:r>
      <w:r>
        <w:t xml:space="preserve">:</w:t>
      </w:r>
      <w:r>
        <w:t xml:space="preserve"> </w:t>
      </w:r>
      <w:r>
        <w:rPr>
          <w:iCs/>
          <w:i/>
        </w:rPr>
        <w:t xml:space="preserve">ṛtasya satyasya vā yajñasya vardhakān</w:t>
      </w:r>
      <w:r>
        <w:t xml:space="preserve">: those who make the sacrificial act grow, who make it go on without obstacle.</w:t>
      </w:r>
    </w:p>
    <w:p>
      <w:pPr>
        <w:pStyle w:val="BodyText"/>
      </w:pPr>
      <w:r>
        <w:rPr>
          <w:bCs/>
          <w:b/>
        </w:rPr>
        <w:t xml:space="preserve">Madhvaḥ</w:t>
      </w:r>
      <w:r>
        <w:t xml:space="preserve">: means</w:t>
      </w:r>
      <w:r>
        <w:t xml:space="preserve"> </w:t>
      </w:r>
      <w:r>
        <w:t xml:space="preserve">“</w:t>
      </w:r>
      <w:r>
        <w:t xml:space="preserve">of the soma juice</w:t>
      </w:r>
      <w:r>
        <w:t xml:space="preserve">”</w:t>
      </w:r>
      <w:r>
        <w:t xml:space="preserve">. If the word</w:t>
      </w:r>
      <w:r>
        <w:t xml:space="preserve"> </w:t>
      </w:r>
      <w:r>
        <w:rPr>
          <w:iCs/>
          <w:i/>
        </w:rPr>
        <w:t xml:space="preserve">bhāgam</w:t>
      </w:r>
      <w:r>
        <w:t xml:space="preserve"> </w:t>
      </w:r>
      <w:r>
        <w:t xml:space="preserve">is supplied, it means</w:t>
      </w:r>
      <w:r>
        <w:t xml:space="preserve"> </w:t>
      </w:r>
      <w:r>
        <w:t xml:space="preserve">“</w:t>
      </w:r>
      <w:r>
        <w:t xml:space="preserve">the share of the soma juice</w:t>
      </w:r>
      <w:r>
        <w:t xml:space="preserve">”</w:t>
      </w:r>
      <w:r>
        <w:t xml:space="preserve">.</w:t>
      </w:r>
    </w:p>
    <w:bookmarkEnd w:id="650"/>
    <w:bookmarkStart w:id="651" w:name="page-609-rik-7-grammar"/>
    <w:p>
      <w:pPr>
        <w:pStyle w:val="Heading3"/>
      </w:pPr>
      <w:r>
        <w:t xml:space="preserve">Page 609 — Rik 7: grammar</w:t>
      </w:r>
    </w:p>
    <w:p>
      <w:pPr>
        <w:pStyle w:val="FirstParagraph"/>
      </w:pPr>
      <w:r>
        <w:rPr>
          <w:bCs/>
          <w:b/>
        </w:rPr>
        <w:t xml:space="preserve">॥ Vyākaraṇa-prakriyā ॥</w:t>
      </w:r>
      <w:r>
        <w:t xml:space="preserve"> </w:t>
      </w:r>
      <w:r>
        <w:rPr>
          <w:iCs/>
          <w:i/>
        </w:rPr>
        <w:t xml:space="preserve">(grammar pages 609–611, noted briefly)</w:t>
      </w:r>
    </w:p>
    <w:p>
      <w:pPr>
        <w:pStyle w:val="BodyText"/>
      </w:pPr>
      <w:r>
        <w:rPr>
          <w:bCs/>
          <w:b/>
        </w:rPr>
        <w:t xml:space="preserve">यजत्रान् (</w:t>
      </w:r>
      <w:r>
        <w:rPr>
          <w:iCs/>
          <w:i/>
          <w:bCs/>
          <w:b/>
        </w:rPr>
        <w:t xml:space="preserve">yajatrān</w:t>
      </w:r>
      <w:r>
        <w:rPr>
          <w:bCs/>
          <w:b/>
        </w:rPr>
        <w:t xml:space="preserve">)</w:t>
      </w:r>
      <w:r>
        <w:t xml:space="preserve">:</w:t>
      </w:r>
      <w:r>
        <w:t xml:space="preserve"> </w:t>
      </w:r>
      <w:r>
        <w:t xml:space="preserve">“</w:t>
      </w:r>
      <w:r>
        <w:t xml:space="preserve">aminakṣiyajivadhipatibhyo ’tran</w:t>
      </w:r>
      <w:r>
        <w:t xml:space="preserve">”</w:t>
      </w:r>
      <w:r>
        <w:t xml:space="preserve"> </w:t>
      </w:r>
      <w:r>
        <w:t xml:space="preserve">(Uṇ. sū.</w:t>
      </w:r>
      <w:r>
        <w:t xml:space="preserve"> </w:t>
      </w:r>
      <w:r>
        <w:t xml:space="preserve">“</w:t>
      </w:r>
      <w:r>
        <w:t xml:space="preserve">3-385</w:t>
      </w:r>
      <w:r>
        <w:t xml:space="preserve">”</w:t>
      </w:r>
      <w:r>
        <w:t xml:space="preserve"> </w:t>
      </w:r>
      <w:r>
        <w:t xml:space="preserve">[?];</w:t>
      </w:r>
      <w:r>
        <w:t xml:space="preserve"> </w:t>
      </w:r>
      <w:r>
        <w:rPr>
          <w:iCs/>
          <w:i/>
        </w:rPr>
        <w:t xml:space="preserve">ama gatyādiṣu</w:t>
      </w:r>
      <w:r>
        <w:t xml:space="preserve">,</w:t>
      </w:r>
      <w:r>
        <w:t xml:space="preserve"> </w:t>
      </w:r>
      <w:r>
        <w:rPr>
          <w:iCs/>
          <w:i/>
        </w:rPr>
        <w:t xml:space="preserve">nakṣa gatau</w:t>
      </w:r>
      <w:r>
        <w:t xml:space="preserve">,</w:t>
      </w:r>
      <w:r>
        <w:t xml:space="preserve"> </w:t>
      </w:r>
      <w:r>
        <w:rPr>
          <w:iCs/>
          <w:i/>
        </w:rPr>
        <w:t xml:space="preserve">yaja devapūjādau</w:t>
      </w:r>
      <w:r>
        <w:t xml:space="preserve">,</w:t>
      </w:r>
      <w:r>
        <w:t xml:space="preserve"> </w:t>
      </w:r>
      <w:r>
        <w:rPr>
          <w:iCs/>
          <w:i/>
        </w:rPr>
        <w:t xml:space="preserve">vadha hiṃsāyām</w:t>
      </w:r>
      <w:r>
        <w:t xml:space="preserve">,</w:t>
      </w:r>
      <w:r>
        <w:t xml:space="preserve"> </w:t>
      </w:r>
      <w:r>
        <w:rPr>
          <w:iCs/>
          <w:i/>
        </w:rPr>
        <w:t xml:space="preserve">patḷ gatau</w:t>
      </w:r>
      <w:r>
        <w:t xml:space="preserve">): the suffix</w:t>
      </w:r>
      <w:r>
        <w:t xml:space="preserve"> </w:t>
      </w:r>
      <w:r>
        <w:rPr>
          <w:iCs/>
          <w:i/>
        </w:rPr>
        <w:t xml:space="preserve">atran</w:t>
      </w:r>
      <w:r>
        <w:t xml:space="preserve"> </w:t>
      </w:r>
      <w:r>
        <w:t xml:space="preserve">after</w:t>
      </w:r>
      <w:r>
        <w:t xml:space="preserve"> </w:t>
      </w:r>
      <w:r>
        <w:rPr>
          <w:iCs/>
          <w:i/>
        </w:rPr>
        <w:t xml:space="preserve">yaj</w:t>
      </w:r>
      <w:r>
        <w:t xml:space="preserve">;</w:t>
      </w:r>
      <w:r>
        <w:t xml:space="preserve"> </w:t>
      </w:r>
      <w:r>
        <w:rPr>
          <w:iCs/>
          <w:i/>
        </w:rPr>
        <w:t xml:space="preserve">nit</w:t>
      </w:r>
      <w:r>
        <w:t xml:space="preserve">, so</w:t>
      </w:r>
      <w:r>
        <w:t xml:space="preserve"> </w:t>
      </w:r>
      <w:r>
        <w:rPr>
          <w:iCs/>
          <w:i/>
        </w:rPr>
        <w:t xml:space="preserve">yajatra</w:t>
      </w:r>
      <w:r>
        <w:t xml:space="preserve"> </w:t>
      </w:r>
      <w:r>
        <w:t xml:space="preserve">is initial udātta by the</w:t>
      </w:r>
      <w:r>
        <w:t xml:space="preserve"> </w:t>
      </w:r>
      <w:r>
        <w:rPr>
          <w:iCs/>
          <w:i/>
        </w:rPr>
        <w:t xml:space="preserve">nit</w:t>
      </w:r>
      <w:r>
        <w:t xml:space="preserve"> </w:t>
      </w:r>
      <w:r>
        <w:t xml:space="preserve">accent; accusative plural</w:t>
      </w:r>
      <w:r>
        <w:t xml:space="preserve"> </w:t>
      </w:r>
      <w:r>
        <w:rPr>
          <w:iCs/>
          <w:i/>
        </w:rPr>
        <w:t xml:space="preserve">yajatrān</w:t>
      </w:r>
      <w:r>
        <w:t xml:space="preserve">. In the Saṃhitā, before the</w:t>
      </w:r>
      <w:r>
        <w:t xml:space="preserve"> </w:t>
      </w:r>
      <w:r>
        <w:rPr>
          <w:iCs/>
          <w:i/>
        </w:rPr>
        <w:t xml:space="preserve">ṛ</w:t>
      </w:r>
      <w:r>
        <w:t xml:space="preserve">,</w:t>
      </w:r>
      <w:r>
        <w:t xml:space="preserve"> </w:t>
      </w:r>
      <w:r>
        <w:t xml:space="preserve">“</w:t>
      </w:r>
      <w:r>
        <w:t xml:space="preserve">dīrghād aṭi samānapāde</w:t>
      </w:r>
      <w:r>
        <w:t xml:space="preserve">”</w:t>
      </w:r>
      <w:r>
        <w:t xml:space="preserve"> </w:t>
      </w:r>
      <w:r>
        <w:t xml:space="preserve">(Pā. sū. 8-3-9) gives</w:t>
      </w:r>
      <w:r>
        <w:t xml:space="preserve"> </w:t>
      </w:r>
      <w:r>
        <w:rPr>
          <w:iCs/>
          <w:i/>
        </w:rPr>
        <w:t xml:space="preserve">ru</w:t>
      </w:r>
      <w:r>
        <w:t xml:space="preserve"> </w:t>
      </w:r>
      <w:r>
        <w:t xml:space="preserve">for the</w:t>
      </w:r>
      <w:r>
        <w:t xml:space="preserve"> </w:t>
      </w:r>
      <w:r>
        <w:rPr>
          <w:iCs/>
          <w:i/>
        </w:rPr>
        <w:t xml:space="preserve">n</w:t>
      </w:r>
      <w:r>
        <w:t xml:space="preserve">, and</w:t>
      </w:r>
      <w:r>
        <w:t xml:space="preserve"> </w:t>
      </w:r>
      <w:r>
        <w:t xml:space="preserve">“</w:t>
      </w:r>
      <w:r>
        <w:t xml:space="preserve">āto ’ṭi nityam</w:t>
      </w:r>
      <w:r>
        <w:t xml:space="preserve">”</w:t>
      </w:r>
      <w:r>
        <w:t xml:space="preserve"> </w:t>
      </w:r>
      <w:r>
        <w:t xml:space="preserve">(Pā. sū. 8-3-3) a nasal</w:t>
      </w:r>
      <w:r>
        <w:t xml:space="preserve"> </w:t>
      </w:r>
      <w:r>
        <w:rPr>
          <w:iCs/>
          <w:i/>
        </w:rPr>
        <w:t xml:space="preserve">ā</w:t>
      </w:r>
      <w:r>
        <w:t xml:space="preserve">.</w:t>
      </w:r>
    </w:p>
    <w:p>
      <w:pPr>
        <w:pStyle w:val="BodyText"/>
      </w:pPr>
      <w:r>
        <w:rPr>
          <w:bCs/>
          <w:b/>
        </w:rPr>
        <w:t xml:space="preserve">ऋतावृधः (</w:t>
      </w:r>
      <w:r>
        <w:rPr>
          <w:iCs/>
          <w:i/>
          <w:bCs/>
          <w:b/>
        </w:rPr>
        <w:t xml:space="preserve">ṛtāvṛdhaḥ</w:t>
      </w:r>
      <w:r>
        <w:rPr>
          <w:bCs/>
          <w:b/>
        </w:rPr>
        <w:t xml:space="preserve">)</w:t>
      </w:r>
      <w:r>
        <w:t xml:space="preserve">: in the sense</w:t>
      </w:r>
      <w:r>
        <w:t xml:space="preserve"> </w:t>
      </w:r>
      <w:r>
        <w:rPr>
          <w:iCs/>
          <w:i/>
        </w:rPr>
        <w:t xml:space="preserve">ṛtaṃ vardhayanti</w:t>
      </w:r>
      <w:r>
        <w:t xml:space="preserve">,</w:t>
      </w:r>
      <w:r>
        <w:t xml:space="preserve"> </w:t>
      </w:r>
      <w:r>
        <w:rPr>
          <w:iCs/>
          <w:i/>
        </w:rPr>
        <w:t xml:space="preserve">kvip</w:t>
      </w:r>
      <w:r>
        <w:t xml:space="preserve"> </w:t>
      </w:r>
      <w:r>
        <w:t xml:space="preserve">by</w:t>
      </w:r>
      <w:r>
        <w:t xml:space="preserve"> </w:t>
      </w:r>
      <w:r>
        <w:t xml:space="preserve">“</w:t>
      </w:r>
      <w:r>
        <w:t xml:space="preserve">kvip ca</w:t>
      </w:r>
      <w:r>
        <w:t xml:space="preserve">”</w:t>
      </w:r>
      <w:r>
        <w:t xml:space="preserve"> </w:t>
      </w:r>
      <w:r>
        <w:t xml:space="preserve">(Pā. sū. 3-2-76) after</w:t>
      </w:r>
      <w:r>
        <w:t xml:space="preserve"> </w:t>
      </w:r>
      <w:r>
        <w:rPr>
          <w:iCs/>
          <w:i/>
        </w:rPr>
        <w:t xml:space="preserve">vṛdh</w:t>
      </w:r>
      <w:r>
        <w:t xml:space="preserve"> </w:t>
      </w:r>
      <w:r>
        <w:t xml:space="preserve">with the inner</w:t>
      </w:r>
      <w:r>
        <w:t xml:space="preserve"> </w:t>
      </w:r>
      <w:r>
        <w:rPr>
          <w:iCs/>
          <w:i/>
        </w:rPr>
        <w:t xml:space="preserve">ṇic</w:t>
      </w:r>
      <w:r>
        <w:t xml:space="preserve"> </w:t>
      </w:r>
      <w:r>
        <w:t xml:space="preserve">and</w:t>
      </w:r>
      <w:r>
        <w:t xml:space="preserve"> </w:t>
      </w:r>
      <w:r>
        <w:rPr>
          <w:iCs/>
          <w:i/>
        </w:rPr>
        <w:t xml:space="preserve">ṛta</w:t>
      </w:r>
      <w:r>
        <w:t xml:space="preserve"> </w:t>
      </w:r>
      <w:r>
        <w:t xml:space="preserve">as</w:t>
      </w:r>
      <w:r>
        <w:t xml:space="preserve"> </w:t>
      </w:r>
      <w:r>
        <w:rPr>
          <w:iCs/>
          <w:i/>
        </w:rPr>
        <w:t xml:space="preserve">upapada</w:t>
      </w:r>
      <w:r>
        <w:t xml:space="preserve">; the ending dropped; by</w:t>
      </w:r>
      <w:r>
        <w:t xml:space="preserve"> </w:t>
      </w:r>
      <w:r>
        <w:t xml:space="preserve">“</w:t>
      </w:r>
      <w:r>
        <w:t xml:space="preserve">anyeṣām api dṛśyate</w:t>
      </w:r>
      <w:r>
        <w:t xml:space="preserve">”</w:t>
      </w:r>
      <w:r>
        <w:t xml:space="preserve"> </w:t>
      </w:r>
      <w:r>
        <w:t xml:space="preserve">(Pā. sū. 6-3-137) the first member</w:t>
      </w:r>
      <w:r>
        <w:t xml:space="preserve"> </w:t>
      </w:r>
      <w:r>
        <w:rPr>
          <w:iCs/>
          <w:i/>
        </w:rPr>
        <w:t xml:space="preserve">ṛta</w:t>
      </w:r>
      <w:r>
        <w:t xml:space="preserve"> </w:t>
      </w:r>
      <w:r>
        <w:t xml:space="preserve">is lengthened; accusative plural. In</w:t>
      </w:r>
      <w:r>
        <w:t xml:space="preserve"> </w:t>
      </w:r>
      <w:r>
        <w:rPr>
          <w:iCs/>
          <w:i/>
        </w:rPr>
        <w:t xml:space="preserve">ṛtāvṛdhaḥ</w:t>
      </w:r>
      <w:r>
        <w:t xml:space="preserve">,</w:t>
      </w:r>
      <w:r>
        <w:t xml:space="preserve"> </w:t>
      </w:r>
      <w:r>
        <w:t xml:space="preserve">“</w:t>
      </w:r>
      <w:r>
        <w:t xml:space="preserve">dhātoḥ</w:t>
      </w:r>
      <w:r>
        <w:t xml:space="preserve">”</w:t>
      </w:r>
      <w:r>
        <w:t xml:space="preserve"> </w:t>
      </w:r>
      <w:r>
        <w:t xml:space="preserve">(Pā. sū. 6-1-162) gives final udātta; after compounding, the accent of the</w:t>
      </w:r>
      <w:r>
        <w:t xml:space="preserve"> </w:t>
      </w:r>
      <w:r>
        <w:rPr>
          <w:iCs/>
          <w:i/>
        </w:rPr>
        <w:t xml:space="preserve">kṛt</w:t>
      </w:r>
      <w:r>
        <w:t xml:space="preserve"> </w:t>
      </w:r>
      <w:r>
        <w:t xml:space="preserve">second member remains.</w:t>
      </w:r>
    </w:p>
    <w:p>
      <w:pPr>
        <w:pStyle w:val="BodyText"/>
      </w:pPr>
      <w:r>
        <w:rPr>
          <w:bCs/>
          <w:b/>
        </w:rPr>
        <w:t xml:space="preserve">अग्ने (</w:t>
      </w:r>
      <w:r>
        <w:rPr>
          <w:iCs/>
          <w:i/>
          <w:bCs/>
          <w:b/>
        </w:rPr>
        <w:t xml:space="preserve">agne</w:t>
      </w:r>
      <w:r>
        <w:rPr>
          <w:bCs/>
          <w:b/>
        </w:rPr>
        <w:t xml:space="preserve">)</w:t>
      </w:r>
      <w:r>
        <w:t xml:space="preserve">: it is at the head of the pāda, so the eighth-adhyāya</w:t>
      </w:r>
      <w:r>
        <w:t xml:space="preserve"> </w:t>
      </w:r>
      <w:r>
        <w:t xml:space="preserve">“</w:t>
      </w:r>
      <w:r>
        <w:t xml:space="preserve">āmantritasya ca</w:t>
      </w:r>
      <w:r>
        <w:t xml:space="preserve">”</w:t>
      </w:r>
      <w:r>
        <w:t xml:space="preserve"> </w:t>
      </w:r>
      <w:r>
        <w:t xml:space="preserve">(Pā. sū. 8-1-19) does not lower it; the sixth-adhyāya</w:t>
      </w:r>
      <w:r>
        <w:t xml:space="preserve"> </w:t>
      </w:r>
      <w:r>
        <w:t xml:space="preserve">“</w:t>
      </w:r>
      <w:r>
        <w:t xml:space="preserve">āmantritasya ca</w:t>
      </w:r>
      <w:r>
        <w:t xml:space="preserve">”</w:t>
      </w:r>
      <w:r>
        <w:t xml:space="preserve"> </w:t>
      </w:r>
      <w:r>
        <w:t xml:space="preserve">(Pā. sū. 6-1-198) makes it initial udātta.</w:t>
      </w:r>
    </w:p>
    <w:p>
      <w:pPr>
        <w:pStyle w:val="BodyText"/>
      </w:pPr>
      <w:r>
        <w:rPr>
          <w:bCs/>
          <w:b/>
        </w:rPr>
        <w:t xml:space="preserve">पत्नीवतः (</w:t>
      </w:r>
      <w:r>
        <w:rPr>
          <w:iCs/>
          <w:i/>
          <w:bCs/>
          <w:b/>
        </w:rPr>
        <w:t xml:space="preserve">patnīvataḥ</w:t>
      </w:r>
      <w:r>
        <w:rPr>
          <w:bCs/>
          <w:b/>
        </w:rPr>
        <w:t xml:space="preserve">)</w:t>
      </w:r>
      <w:r>
        <w:t xml:space="preserve">:</w:t>
      </w:r>
      <w:r>
        <w:t xml:space="preserve"> </w:t>
      </w:r>
      <w:r>
        <w:t xml:space="preserve">“</w:t>
      </w:r>
      <w:r>
        <w:t xml:space="preserve">patyur no yajñasaṃyoge</w:t>
      </w:r>
      <w:r>
        <w:t xml:space="preserve">”</w:t>
      </w:r>
      <w:r>
        <w:t xml:space="preserve"> </w:t>
      </w:r>
      <w:r>
        <w:t xml:space="preserve">(Pā. sū. 4-1-33): in the feminine, when connection with a sacrifice is shown,</w:t>
      </w:r>
      <w:r>
        <w:t xml:space="preserve"> </w:t>
      </w:r>
      <w:r>
        <w:rPr>
          <w:iCs/>
          <w:i/>
        </w:rPr>
        <w:t xml:space="preserve">n</w:t>
      </w:r>
      <w:r>
        <w:t xml:space="preserve"> </w:t>
      </w:r>
      <w:r>
        <w:t xml:space="preserve">replaces the last letter of</w:t>
      </w:r>
      <w:r>
        <w:t xml:space="preserve"> </w:t>
      </w:r>
      <w:r>
        <w:rPr>
          <w:iCs/>
          <w:i/>
        </w:rPr>
        <w:t xml:space="preserve">pati</w:t>
      </w:r>
      <w:r>
        <w:t xml:space="preserve">:</w:t>
      </w:r>
      <w:r>
        <w:t xml:space="preserve"> </w:t>
      </w:r>
      <w:r>
        <w:rPr>
          <w:iCs/>
          <w:i/>
        </w:rPr>
        <w:t xml:space="preserve">patn</w:t>
      </w:r>
      <w:r>
        <w:t xml:space="preserve">; ending in</w:t>
      </w:r>
      <w:r>
        <w:t xml:space="preserve"> </w:t>
      </w:r>
      <w:r>
        <w:rPr>
          <w:iCs/>
          <w:i/>
        </w:rPr>
        <w:t xml:space="preserve">n</w:t>
      </w:r>
      <w:r>
        <w:t xml:space="preserve">, it takes</w:t>
      </w:r>
      <w:r>
        <w:t xml:space="preserve"> </w:t>
      </w:r>
      <w:r>
        <w:rPr>
          <w:iCs/>
          <w:i/>
        </w:rPr>
        <w:t xml:space="preserve">ṅīp</w:t>
      </w:r>
      <w:r>
        <w:t xml:space="preserve"> </w:t>
      </w:r>
      <w:r>
        <w:t xml:space="preserve">by</w:t>
      </w:r>
      <w:r>
        <w:t xml:space="preserve"> </w:t>
      </w:r>
      <w:r>
        <w:t xml:space="preserve">“</w:t>
      </w:r>
      <w:r>
        <w:t xml:space="preserve">ṛnnebhyo ṅīp</w:t>
      </w:r>
      <w:r>
        <w:t xml:space="preserve">”</w:t>
      </w:r>
      <w:r>
        <w:t xml:space="preserve"> </w:t>
      </w:r>
      <w:r>
        <w:t xml:space="preserve">(Pā. sū. 4-1-5):</w:t>
      </w:r>
      <w:r>
        <w:t xml:space="preserve"> </w:t>
      </w:r>
      <w:r>
        <w:rPr>
          <w:iCs/>
          <w:i/>
        </w:rPr>
        <w:t xml:space="preserve">patnī</w:t>
      </w:r>
      <w:r>
        <w:t xml:space="preserve">. In the Vedābhyāsa the sūtra is explained to mean that</w:t>
      </w:r>
      <w:r>
        <w:t xml:space="preserve"> </w:t>
      </w:r>
      <w:r>
        <w:rPr>
          <w:iCs/>
          <w:i/>
        </w:rPr>
        <w:t xml:space="preserve">ṅīp</w:t>
      </w:r>
      <w:r>
        <w:t xml:space="preserve"> </w:t>
      </w:r>
      <w:r>
        <w:t xml:space="preserve">comes after</w:t>
      </w:r>
      <w:r>
        <w:t xml:space="preserve"> </w:t>
      </w:r>
      <w:r>
        <w:rPr>
          <w:iCs/>
          <w:i/>
        </w:rPr>
        <w:t xml:space="preserve">pati</w:t>
      </w:r>
      <w:r>
        <w:t xml:space="preserve"> </w:t>
      </w:r>
      <w:r>
        <w:t xml:space="preserve">in the feminine and</w:t>
      </w:r>
      <w:r>
        <w:t xml:space="preserve"> </w:t>
      </w:r>
      <w:r>
        <w:rPr>
          <w:iCs/>
          <w:i/>
        </w:rPr>
        <w:t xml:space="preserve">n</w:t>
      </w:r>
      <w:r>
        <w:t xml:space="preserve"> </w:t>
      </w:r>
      <w:r>
        <w:t xml:space="preserve">for the</w:t>
      </w:r>
      <w:r>
        <w:t xml:space="preserve"> </w:t>
      </w:r>
      <w:r>
        <w:rPr>
          <w:iCs/>
          <w:i/>
        </w:rPr>
        <w:t xml:space="preserve">i</w:t>
      </w:r>
      <w:r>
        <w:t xml:space="preserve">; on that view, from the difference of what is enjoined, faults such as splitting the sentence arise, so other grammarians do not accept it. In Śrutis such as</w:t>
      </w:r>
      <w:r>
        <w:t xml:space="preserve"> </w:t>
      </w:r>
      <w:r>
        <w:rPr>
          <w:iCs/>
          <w:i/>
        </w:rPr>
        <w:t xml:space="preserve">svargakāmo yajeta</w:t>
      </w:r>
      <w:r>
        <w:t xml:space="preserve"> </w:t>
      </w:r>
      <w:r>
        <w:t xml:space="preserve">the masculine</w:t>
      </w:r>
      <w:r>
        <w:t xml:space="preserve"> </w:t>
      </w:r>
      <w:r>
        <w:rPr>
          <w:iCs/>
          <w:i/>
        </w:rPr>
        <w:t xml:space="preserve">svargakāmaḥ</w:t>
      </w:r>
      <w:r>
        <w:t xml:space="preserve"> </w:t>
      </w:r>
      <w:r>
        <w:t xml:space="preserve">is used, so performing the sacrifice and enjoying its fruit belong to the man. How then does a woman have a connection with the sacrifice? And without such connection, how would the</w:t>
      </w:r>
      <w:r>
        <w:t xml:space="preserve"> </w:t>
      </w:r>
      <w:r>
        <w:rPr>
          <w:iCs/>
          <w:i/>
        </w:rPr>
        <w:t xml:space="preserve">n</w:t>
      </w:r>
      <w:r>
        <w:t xml:space="preserve"> </w:t>
      </w:r>
      <w:r>
        <w:t xml:space="preserve">of</w:t>
      </w:r>
      <w:r>
        <w:t xml:space="preserve"> </w:t>
      </w:r>
      <w:r>
        <w:rPr>
          <w:iCs/>
          <w:i/>
        </w:rPr>
        <w:t xml:space="preserve">yajñasaṃyoge</w:t>
      </w:r>
      <w:r>
        <w:t xml:space="preserve"> </w:t>
      </w:r>
      <w:r>
        <w:t xml:space="preserve">fit? Because in the sacrifice the authority belongs to husband and wife together: a man who is a widower has no authority to perform it. Under this sūtra the Kaiyaṭa shows:</w:t>
      </w:r>
      <w:r>
        <w:t xml:space="preserve"> </w:t>
      </w:r>
      <w:r>
        <w:rPr>
          <w:iCs/>
          <w:i/>
        </w:rPr>
        <w:t xml:space="preserve">patnyā śiṣṭa dampatyoḥ sahādhikārād yajñe ’dhikārāt kartṛtvāt tatphalasambandhād yajñasaṃyogaḥ</w:t>
      </w:r>
      <w:r>
        <w:t xml:space="preserve">. In the Pūrvamīmāṃsā too, in the sixth adhyāya, first pāda, in the</w:t>
      </w:r>
      <w:r>
        <w:t xml:space="preserve"> </w:t>
      </w:r>
      <w:r>
        <w:rPr>
          <w:iCs/>
          <w:i/>
        </w:rPr>
        <w:t xml:space="preserve">adhikaraṇa</w:t>
      </w:r>
      <w:r>
        <w:t xml:space="preserve"> </w:t>
      </w:r>
      <w:r>
        <w:rPr>
          <w:iCs/>
          <w:i/>
        </w:rPr>
        <w:t xml:space="preserve">liṅgaviśeṣanirdeśāt puṃyuktam aitiśāyanaḥ</w:t>
      </w:r>
      <w:r>
        <w:t xml:space="preserve"> </w:t>
      </w:r>
      <w:r>
        <w:t xml:space="preserve">and in the</w:t>
      </w:r>
      <w:r>
        <w:t xml:space="preserve"> </w:t>
      </w:r>
      <w:r>
        <w:rPr>
          <w:iCs/>
          <w:i/>
        </w:rPr>
        <w:t xml:space="preserve">adhikaraṇa</w:t>
      </w:r>
      <w:r>
        <w:t xml:space="preserve"> </w:t>
      </w:r>
      <w:r>
        <w:rPr>
          <w:iCs/>
          <w:i/>
        </w:rPr>
        <w:t xml:space="preserve">svavato ’stu vacanād aikakarmyaṃ syāt</w:t>
      </w:r>
      <w:r>
        <w:t xml:space="preserve">, the joint authority of husband and wife is established.</w:t>
      </w:r>
      <w:r>
        <w:t xml:space="preserve"> </w:t>
      </w:r>
      <w:r>
        <w:rPr>
          <w:iCs/>
          <w:i/>
        </w:rPr>
        <w:t xml:space="preserve">Patiśabdo ’yam aiśvarya-</w:t>
      </w:r>
    </w:p>
    <w:bookmarkEnd w:id="651"/>
    <w:bookmarkStart w:id="652" w:name="page-610-rik-7-grammar-continued"/>
    <w:p>
      <w:pPr>
        <w:pStyle w:val="Heading3"/>
      </w:pPr>
      <w:r>
        <w:t xml:space="preserve">Page 610 — Rik 7: grammar (continued)</w:t>
      </w:r>
    </w:p>
    <w:p>
      <w:pPr>
        <w:pStyle w:val="FirstParagraph"/>
      </w:pPr>
      <w:r>
        <w:rPr>
          <w:iCs/>
          <w:i/>
        </w:rPr>
        <w:t xml:space="preserve">vācī</w:t>
      </w:r>
      <w:r>
        <w:t xml:space="preserve">: in the Mahābhāṣya the word</w:t>
      </w:r>
      <w:r>
        <w:t xml:space="preserve"> </w:t>
      </w:r>
      <w:r>
        <w:rPr>
          <w:iCs/>
          <w:i/>
        </w:rPr>
        <w:t xml:space="preserve">pati</w:t>
      </w:r>
      <w:r>
        <w:t xml:space="preserve"> </w:t>
      </w:r>
      <w:r>
        <w:t xml:space="preserve">in this sūtra is shown to mean</w:t>
      </w:r>
      <w:r>
        <w:t xml:space="preserve"> </w:t>
      </w:r>
      <w:r>
        <w:t xml:space="preserve">“</w:t>
      </w:r>
      <w:r>
        <w:t xml:space="preserve">lordship</w:t>
      </w:r>
      <w:r>
        <w:t xml:space="preserve">”</w:t>
      </w:r>
      <w:r>
        <w:t xml:space="preserve">. Then</w:t>
      </w:r>
      <w:r>
        <w:t xml:space="preserve"> </w:t>
      </w:r>
      <w:r>
        <w:rPr>
          <w:iCs/>
          <w:i/>
        </w:rPr>
        <w:t xml:space="preserve">yajñasaṃyoge</w:t>
      </w:r>
      <w:r>
        <w:t xml:space="preserve"> </w:t>
      </w:r>
      <w:r>
        <w:t xml:space="preserve">is a locative absolute: when there is a connection with the sacrifice, the word</w:t>
      </w:r>
      <w:r>
        <w:t xml:space="preserve"> </w:t>
      </w:r>
      <w:r>
        <w:rPr>
          <w:iCs/>
          <w:i/>
        </w:rPr>
        <w:t xml:space="preserve">pati</w:t>
      </w:r>
      <w:r>
        <w:t xml:space="preserve">, meaning the lordship that arises, by proximity, from that sacrifice, takes</w:t>
      </w:r>
      <w:r>
        <w:t xml:space="preserve"> </w:t>
      </w:r>
      <w:r>
        <w:rPr>
          <w:iCs/>
          <w:i/>
        </w:rPr>
        <w:t xml:space="preserve">n</w:t>
      </w:r>
      <w:r>
        <w:t xml:space="preserve"> </w:t>
      </w:r>
      <w:r>
        <w:t xml:space="preserve">in the feminine: that is the sense of the sūtra. Analysed</w:t>
      </w:r>
      <w:r>
        <w:t xml:space="preserve"> </w:t>
      </w:r>
      <w:r>
        <w:rPr>
          <w:iCs/>
          <w:i/>
        </w:rPr>
        <w:t xml:space="preserve">patnyaḥ eṣāṃ santi</w:t>
      </w:r>
      <w:r>
        <w:t xml:space="preserve">,</w:t>
      </w:r>
      <w:r>
        <w:t xml:space="preserve"> </w:t>
      </w:r>
      <w:r>
        <w:rPr>
          <w:iCs/>
          <w:i/>
        </w:rPr>
        <w:t xml:space="preserve">matup</w:t>
      </w:r>
      <w:r>
        <w:t xml:space="preserve"> </w:t>
      </w:r>
      <w:r>
        <w:t xml:space="preserve">by</w:t>
      </w:r>
      <w:r>
        <w:t xml:space="preserve"> </w:t>
      </w:r>
      <w:r>
        <w:t xml:space="preserve">“</w:t>
      </w:r>
      <w:r>
        <w:t xml:space="preserve">tad asyāsty asminn iti matup</w:t>
      </w:r>
      <w:r>
        <w:t xml:space="preserve">”</w:t>
      </w:r>
      <w:r>
        <w:t xml:space="preserve"> </w:t>
      </w:r>
      <w:r>
        <w:t xml:space="preserve">(Pā. sū. 5-2-94);</w:t>
      </w:r>
      <w:r>
        <w:t xml:space="preserve"> </w:t>
      </w:r>
      <w:r>
        <w:rPr>
          <w:iCs/>
          <w:i/>
        </w:rPr>
        <w:t xml:space="preserve">v</w:t>
      </w:r>
      <w:r>
        <w:t xml:space="preserve"> </w:t>
      </w:r>
      <w:r>
        <w:t xml:space="preserve">for the</w:t>
      </w:r>
      <w:r>
        <w:t xml:space="preserve"> </w:t>
      </w:r>
      <w:r>
        <w:rPr>
          <w:iCs/>
          <w:i/>
        </w:rPr>
        <w:t xml:space="preserve">m</w:t>
      </w:r>
      <w:r>
        <w:t xml:space="preserve"> </w:t>
      </w:r>
      <w:r>
        <w:t xml:space="preserve">by</w:t>
      </w:r>
      <w:r>
        <w:t xml:space="preserve"> </w:t>
      </w:r>
      <w:r>
        <w:t xml:space="preserve">“</w:t>
      </w:r>
      <w:r>
        <w:t xml:space="preserve">chandasīraḥ</w:t>
      </w:r>
      <w:r>
        <w:t xml:space="preserve">”</w:t>
      </w:r>
      <w:r>
        <w:t xml:space="preserve"> </w:t>
      </w:r>
      <w:r>
        <w:t xml:space="preserve">(Pā. sū. 8-2-15):</w:t>
      </w:r>
      <w:r>
        <w:t xml:space="preserve"> </w:t>
      </w:r>
      <w:r>
        <w:rPr>
          <w:iCs/>
          <w:i/>
        </w:rPr>
        <w:t xml:space="preserve">patnīvat</w:t>
      </w:r>
      <w:r>
        <w:t xml:space="preserve">. By</w:t>
      </w:r>
      <w:r>
        <w:t xml:space="preserve"> </w:t>
      </w:r>
      <w:r>
        <w:t xml:space="preserve">“</w:t>
      </w:r>
      <w:r>
        <w:t xml:space="preserve">pāter ḍatiḥ</w:t>
      </w:r>
      <w:r>
        <w:t xml:space="preserve">”</w:t>
      </w:r>
      <w:r>
        <w:t xml:space="preserve"> </w:t>
      </w:r>
      <w:r>
        <w:t xml:space="preserve">(Uṇ. sū. 4-57 [as printed; p. 595 prints 4-58])</w:t>
      </w:r>
      <w:r>
        <w:t xml:space="preserve"> </w:t>
      </w:r>
      <w:r>
        <w:rPr>
          <w:iCs/>
          <w:i/>
        </w:rPr>
        <w:t xml:space="preserve">pati</w:t>
      </w:r>
      <w:r>
        <w:t xml:space="preserve"> </w:t>
      </w:r>
      <w:r>
        <w:t xml:space="preserve">ends in the suffix</w:t>
      </w:r>
      <w:r>
        <w:t xml:space="preserve"> </w:t>
      </w:r>
      <w:r>
        <w:rPr>
          <w:iCs/>
          <w:i/>
        </w:rPr>
        <w:t xml:space="preserve">ḍati</w:t>
      </w:r>
      <w:r>
        <w:t xml:space="preserve">, so it is initial udātta by the suffix accent;</w:t>
      </w:r>
      <w:r>
        <w:t xml:space="preserve"> </w:t>
      </w:r>
      <w:r>
        <w:rPr>
          <w:iCs/>
          <w:i/>
        </w:rPr>
        <w:t xml:space="preserve">ṅīp</w:t>
      </w:r>
      <w:r>
        <w:t xml:space="preserve"> </w:t>
      </w:r>
      <w:r>
        <w:t xml:space="preserve">and</w:t>
      </w:r>
      <w:r>
        <w:t xml:space="preserve"> </w:t>
      </w:r>
      <w:r>
        <w:rPr>
          <w:iCs/>
          <w:i/>
        </w:rPr>
        <w:t xml:space="preserve">matup</w:t>
      </w:r>
      <w:r>
        <w:t xml:space="preserve"> </w:t>
      </w:r>
      <w:r>
        <w:t xml:space="preserve">are both</w:t>
      </w:r>
      <w:r>
        <w:t xml:space="preserve"> </w:t>
      </w:r>
      <w:r>
        <w:rPr>
          <w:iCs/>
          <w:i/>
        </w:rPr>
        <w:t xml:space="preserve">pit</w:t>
      </w:r>
      <w:r>
        <w:t xml:space="preserve">, so unaccented by</w:t>
      </w:r>
      <w:r>
        <w:t xml:space="preserve"> </w:t>
      </w:r>
      <w:r>
        <w:t xml:space="preserve">“</w:t>
      </w:r>
      <w:r>
        <w:t xml:space="preserve">anudāttau suppitau</w:t>
      </w:r>
      <w:r>
        <w:t xml:space="preserve">”</w:t>
      </w:r>
      <w:r>
        <w:t xml:space="preserve"> </w:t>
      </w:r>
      <w:r>
        <w:t xml:space="preserve">(Pā. sū. 3-1-4); the initial udātta remains; accusative plural</w:t>
      </w:r>
      <w:r>
        <w:t xml:space="preserve"> </w:t>
      </w:r>
      <w:r>
        <w:rPr>
          <w:iCs/>
          <w:i/>
        </w:rPr>
        <w:t xml:space="preserve">patnīvataḥ</w:t>
      </w:r>
      <w:r>
        <w:t xml:space="preserve">.</w:t>
      </w:r>
    </w:p>
    <w:p>
      <w:pPr>
        <w:pStyle w:val="BodyText"/>
      </w:pPr>
      <w:r>
        <w:rPr>
          <w:bCs/>
          <w:b/>
        </w:rPr>
        <w:t xml:space="preserve">कृधि (</w:t>
      </w:r>
      <w:r>
        <w:rPr>
          <w:iCs/>
          <w:i/>
          <w:bCs/>
          <w:b/>
        </w:rPr>
        <w:t xml:space="preserve">kṛdhi</w:t>
      </w:r>
      <w:r>
        <w:rPr>
          <w:bCs/>
          <w:b/>
        </w:rPr>
        <w:t xml:space="preserve">)</w:t>
      </w:r>
      <w:r>
        <w:t xml:space="preserve">:</w:t>
      </w:r>
      <w:r>
        <w:t xml:space="preserve"> </w:t>
      </w:r>
      <w:r>
        <w:rPr>
          <w:iCs/>
          <w:i/>
        </w:rPr>
        <w:t xml:space="preserve">ḍukṛñ karaṇe</w:t>
      </w:r>
      <w:r>
        <w:t xml:space="preserve">;</w:t>
      </w:r>
      <w:r>
        <w:t xml:space="preserve"> </w:t>
      </w:r>
      <w:r>
        <w:rPr>
          <w:iCs/>
          <w:i/>
        </w:rPr>
        <w:t xml:space="preserve">loṭ</w:t>
      </w:r>
      <w:r>
        <w:t xml:space="preserve">, 2nd singular</w:t>
      </w:r>
      <w:r>
        <w:t xml:space="preserve"> </w:t>
      </w:r>
      <w:r>
        <w:rPr>
          <w:iCs/>
          <w:i/>
        </w:rPr>
        <w:t xml:space="preserve">sip</w:t>
      </w:r>
      <w:r>
        <w:t xml:space="preserve">;</w:t>
      </w:r>
      <w:r>
        <w:t xml:space="preserve"> </w:t>
      </w:r>
      <w:r>
        <w:rPr>
          <w:iCs/>
          <w:i/>
        </w:rPr>
        <w:t xml:space="preserve">hi</w:t>
      </w:r>
      <w:r>
        <w:t xml:space="preserve"> </w:t>
      </w:r>
      <w:r>
        <w:t xml:space="preserve">for</w:t>
      </w:r>
      <w:r>
        <w:t xml:space="preserve"> </w:t>
      </w:r>
      <w:r>
        <w:rPr>
          <w:iCs/>
          <w:i/>
        </w:rPr>
        <w:t xml:space="preserve">si</w:t>
      </w:r>
      <w:r>
        <w:t xml:space="preserve"> </w:t>
      </w:r>
      <w:r>
        <w:t xml:space="preserve">by</w:t>
      </w:r>
      <w:r>
        <w:t xml:space="preserve"> </w:t>
      </w:r>
      <w:r>
        <w:t xml:space="preserve">“</w:t>
      </w:r>
      <w:r>
        <w:t xml:space="preserve">ser hy apic ca</w:t>
      </w:r>
      <w:r>
        <w:t xml:space="preserve">”</w:t>
      </w:r>
      <w:r>
        <w:t xml:space="preserve"> </w:t>
      </w:r>
      <w:r>
        <w:t xml:space="preserve">(Pā. sū. 3-4-87); the</w:t>
      </w:r>
      <w:r>
        <w:t xml:space="preserve"> </w:t>
      </w:r>
      <w:r>
        <w:rPr>
          <w:iCs/>
          <w:i/>
        </w:rPr>
        <w:t xml:space="preserve">u</w:t>
      </w:r>
      <w:r>
        <w:t xml:space="preserve"> </w:t>
      </w:r>
      <w:r>
        <w:rPr>
          <w:iCs/>
          <w:i/>
        </w:rPr>
        <w:t xml:space="preserve">vikaraṇa</w:t>
      </w:r>
      <w:r>
        <w:t xml:space="preserve"> </w:t>
      </w:r>
      <w:r>
        <w:t xml:space="preserve">of</w:t>
      </w:r>
      <w:r>
        <w:t xml:space="preserve"> </w:t>
      </w:r>
      <w:r>
        <w:t xml:space="preserve">“</w:t>
      </w:r>
      <w:r>
        <w:t xml:space="preserve">tanādikṛñbhya uḥ</w:t>
      </w:r>
      <w:r>
        <w:t xml:space="preserve">”</w:t>
      </w:r>
      <w:r>
        <w:t xml:space="preserve"> </w:t>
      </w:r>
      <w:r>
        <w:t xml:space="preserve">(Pā. sū. 3-1-79) is dropped by</w:t>
      </w:r>
      <w:r>
        <w:t xml:space="preserve"> </w:t>
      </w:r>
      <w:r>
        <w:t xml:space="preserve">“</w:t>
      </w:r>
      <w:r>
        <w:t xml:space="preserve">bahulaṃ chandasi</w:t>
      </w:r>
      <w:r>
        <w:t xml:space="preserve">”</w:t>
      </w:r>
      <w:r>
        <w:t xml:space="preserve"> </w:t>
      </w:r>
      <w:r>
        <w:t xml:space="preserve">(Pā. sū.</w:t>
      </w:r>
      <w:r>
        <w:t xml:space="preserve"> </w:t>
      </w:r>
      <w:r>
        <w:t xml:space="preserve">“</w:t>
      </w:r>
      <w:r>
        <w:t xml:space="preserve">9-4-73</w:t>
      </w:r>
      <w:r>
        <w:t xml:space="preserve">”</w:t>
      </w:r>
      <w:r>
        <w:t xml:space="preserve"> </w:t>
      </w:r>
      <w:r>
        <w:t xml:space="preserve">[as printed, for 2-4-73]);</w:t>
      </w:r>
      <w:r>
        <w:t xml:space="preserve"> </w:t>
      </w:r>
      <w:r>
        <w:t xml:space="preserve">“</w:t>
      </w:r>
      <w:r>
        <w:t xml:space="preserve">śruśṛṇupṝkṛvṛbhyaś chandasi</w:t>
      </w:r>
      <w:r>
        <w:t xml:space="preserve">”</w:t>
      </w:r>
      <w:r>
        <w:t xml:space="preserve"> </w:t>
      </w:r>
      <w:r>
        <w:t xml:space="preserve">(Pā. sū. 6-4-102) gives</w:t>
      </w:r>
      <w:r>
        <w:t xml:space="preserve"> </w:t>
      </w:r>
      <w:r>
        <w:rPr>
          <w:iCs/>
          <w:i/>
        </w:rPr>
        <w:t xml:space="preserve">dhi</w:t>
      </w:r>
      <w:r>
        <w:t xml:space="preserve"> </w:t>
      </w:r>
      <w:r>
        <w:t xml:space="preserve">for the</w:t>
      </w:r>
      <w:r>
        <w:t xml:space="preserve"> </w:t>
      </w:r>
      <w:r>
        <w:rPr>
          <w:iCs/>
          <w:i/>
        </w:rPr>
        <w:t xml:space="preserve">hi</w:t>
      </w:r>
      <w:r>
        <w:t xml:space="preserve"> </w:t>
      </w:r>
      <w:r>
        <w:t xml:space="preserve">after these; by</w:t>
      </w:r>
      <w:r>
        <w:t xml:space="preserve"> </w:t>
      </w:r>
      <w:r>
        <w:t xml:space="preserve">“</w:t>
      </w:r>
      <w:r>
        <w:t xml:space="preserve">sārvadhātukam apit</w:t>
      </w:r>
      <w:r>
        <w:t xml:space="preserve">”</w:t>
      </w:r>
      <w:r>
        <w:t xml:space="preserve"> </w:t>
      </w:r>
      <w:r>
        <w:t xml:space="preserve">(Pā. sū. 1-2-4) the suffix is</w:t>
      </w:r>
      <w:r>
        <w:t xml:space="preserve"> </w:t>
      </w:r>
      <w:r>
        <w:rPr>
          <w:iCs/>
          <w:i/>
        </w:rPr>
        <w:t xml:space="preserve">ṅit</w:t>
      </w:r>
      <w:r>
        <w:t xml:space="preserve">, and</w:t>
      </w:r>
      <w:r>
        <w:t xml:space="preserve"> </w:t>
      </w:r>
      <w:r>
        <w:t xml:space="preserve">“</w:t>
      </w:r>
      <w:r>
        <w:t xml:space="preserve">kṅiti ca</w:t>
      </w:r>
      <w:r>
        <w:t xml:space="preserve">”</w:t>
      </w:r>
      <w:r>
        <w:t xml:space="preserve"> </w:t>
      </w:r>
      <w:r>
        <w:t xml:space="preserve">(Pā. sū. 1-1-5) bars the</w:t>
      </w:r>
      <w:r>
        <w:t xml:space="preserve"> </w:t>
      </w:r>
      <w:r>
        <w:rPr>
          <w:iCs/>
          <w:i/>
        </w:rPr>
        <w:t xml:space="preserve">guṇa</w:t>
      </w:r>
      <w:r>
        <w:t xml:space="preserve">:</w:t>
      </w:r>
      <w:r>
        <w:t xml:space="preserve"> </w:t>
      </w:r>
      <w:r>
        <w:rPr>
          <w:iCs/>
          <w:i/>
        </w:rPr>
        <w:t xml:space="preserve">kṛdhi</w:t>
      </w:r>
      <w:r>
        <w:t xml:space="preserve">; wholly unaccented by</w:t>
      </w:r>
      <w:r>
        <w:t xml:space="preserve"> </w:t>
      </w:r>
      <w:r>
        <w:t xml:space="preserve">“</w:t>
      </w:r>
      <w:r>
        <w:t xml:space="preserve">tiṅṅatiṅaḥ</w:t>
      </w:r>
      <w:r>
        <w:t xml:space="preserve">”</w:t>
      </w:r>
      <w:r>
        <w:t xml:space="preserve">.</w:t>
      </w:r>
    </w:p>
    <w:p>
      <w:pPr>
        <w:pStyle w:val="BodyText"/>
      </w:pPr>
      <w:r>
        <w:rPr>
          <w:bCs/>
          <w:b/>
        </w:rPr>
        <w:t xml:space="preserve">मध्वः (</w:t>
      </w:r>
      <w:r>
        <w:rPr>
          <w:iCs/>
          <w:i/>
          <w:bCs/>
          <w:b/>
        </w:rPr>
        <w:t xml:space="preserve">madhvaḥ</w:t>
      </w:r>
      <w:r>
        <w:rPr>
          <w:bCs/>
          <w:b/>
        </w:rPr>
        <w:t xml:space="preserve">)</w:t>
      </w:r>
      <w:r>
        <w:t xml:space="preserve">: in Sū. 13 Ṛk 2</w:t>
      </w:r>
      <w:r>
        <w:t xml:space="preserve"> </w:t>
      </w:r>
      <w:r>
        <w:rPr>
          <w:iCs/>
          <w:i/>
        </w:rPr>
        <w:t xml:space="preserve">madhu</w:t>
      </w:r>
      <w:r>
        <w:t xml:space="preserve"> </w:t>
      </w:r>
      <w:r>
        <w:t xml:space="preserve">was shown to be initial udātta. It is neuter, but here masculine by</w:t>
      </w:r>
      <w:r>
        <w:t xml:space="preserve"> </w:t>
      </w:r>
      <w:r>
        <w:rPr>
          <w:iCs/>
          <w:i/>
        </w:rPr>
        <w:t xml:space="preserve">vyatyaya</w:t>
      </w:r>
      <w:r>
        <w:t xml:space="preserve">. Genitive singular</w:t>
      </w:r>
      <w:r>
        <w:t xml:space="preserve"> </w:t>
      </w:r>
      <w:r>
        <w:t xml:space="preserve">“</w:t>
      </w:r>
      <w:r>
        <w:t xml:space="preserve">jas</w:t>
      </w:r>
      <w:r>
        <w:t xml:space="preserve">”</w:t>
      </w:r>
      <w:r>
        <w:t xml:space="preserve"> </w:t>
      </w:r>
      <w:r>
        <w:t xml:space="preserve">[as printed, for</w:t>
      </w:r>
      <w:r>
        <w:t xml:space="preserve"> </w:t>
      </w:r>
      <w:r>
        <w:rPr>
          <w:iCs/>
          <w:i/>
        </w:rPr>
        <w:t xml:space="preserve">ṅas</w:t>
      </w:r>
      <w:r>
        <w:t xml:space="preserve">]. By</w:t>
      </w:r>
      <w:r>
        <w:t xml:space="preserve"> </w:t>
      </w:r>
      <w:r>
        <w:t xml:space="preserve">“</w:t>
      </w:r>
      <w:r>
        <w:t xml:space="preserve">śeṣo ghy asakhi</w:t>
      </w:r>
      <w:r>
        <w:t xml:space="preserve">”</w:t>
      </w:r>
      <w:r>
        <w:t xml:space="preserve"> </w:t>
      </w:r>
      <w:r>
        <w:t xml:space="preserve">(Pā. sū. 1-4-7) short</w:t>
      </w:r>
      <w:r>
        <w:t xml:space="preserve"> </w:t>
      </w:r>
      <w:r>
        <w:rPr>
          <w:iCs/>
          <w:i/>
        </w:rPr>
        <w:t xml:space="preserve">i</w:t>
      </w:r>
      <w:r>
        <w:t xml:space="preserve">/</w:t>
      </w:r>
      <w:r>
        <w:rPr>
          <w:iCs/>
          <w:i/>
        </w:rPr>
        <w:t xml:space="preserve">u</w:t>
      </w:r>
      <w:r>
        <w:t xml:space="preserve">-final words other than</w:t>
      </w:r>
      <w:r>
        <w:t xml:space="preserve"> </w:t>
      </w:r>
      <w:r>
        <w:rPr>
          <w:iCs/>
          <w:i/>
        </w:rPr>
        <w:t xml:space="preserve">sakhi</w:t>
      </w:r>
      <w:r>
        <w:t xml:space="preserve"> </w:t>
      </w:r>
      <w:r>
        <w:t xml:space="preserve">that are not</w:t>
      </w:r>
      <w:r>
        <w:t xml:space="preserve"> </w:t>
      </w:r>
      <w:r>
        <w:rPr>
          <w:iCs/>
          <w:i/>
        </w:rPr>
        <w:t xml:space="preserve">nadī</w:t>
      </w:r>
      <w:r>
        <w:t xml:space="preserve"> </w:t>
      </w:r>
      <w:r>
        <w:t xml:space="preserve">are called</w:t>
      </w:r>
      <w:r>
        <w:t xml:space="preserve"> </w:t>
      </w:r>
      <w:r>
        <w:rPr>
          <w:iCs/>
          <w:i/>
        </w:rPr>
        <w:t xml:space="preserve">ghi</w:t>
      </w:r>
      <w:r>
        <w:t xml:space="preserve">; so</w:t>
      </w:r>
      <w:r>
        <w:t xml:space="preserve"> </w:t>
      </w:r>
      <w:r>
        <w:t xml:space="preserve">“</w:t>
      </w:r>
      <w:r>
        <w:t xml:space="preserve">gher ṅiti</w:t>
      </w:r>
      <w:r>
        <w:t xml:space="preserve">”</w:t>
      </w:r>
      <w:r>
        <w:t xml:space="preserve"> </w:t>
      </w:r>
      <w:r>
        <w:t xml:space="preserve">(Pā. sū. 7-3-111) would give</w:t>
      </w:r>
      <w:r>
        <w:t xml:space="preserve"> </w:t>
      </w:r>
      <w:r>
        <w:rPr>
          <w:iCs/>
          <w:i/>
        </w:rPr>
        <w:t xml:space="preserve">guṇa</w:t>
      </w:r>
      <w:r>
        <w:t xml:space="preserve"> </w:t>
      </w:r>
      <w:r>
        <w:t xml:space="preserve">before a</w:t>
      </w:r>
      <w:r>
        <w:t xml:space="preserve"> </w:t>
      </w:r>
      <w:r>
        <w:rPr>
          <w:iCs/>
          <w:i/>
        </w:rPr>
        <w:t xml:space="preserve">ṅit</w:t>
      </w:r>
      <w:r>
        <w:t xml:space="preserve"> </w:t>
      </w:r>
      <w:r>
        <w:t xml:space="preserve">ending; but by</w:t>
      </w:r>
      <w:r>
        <w:t xml:space="preserve"> </w:t>
      </w:r>
      <w:r>
        <w:t xml:space="preserve">“</w:t>
      </w:r>
      <w:r>
        <w:t xml:space="preserve">saṃjñāpūrvako vidhir anityaḥ</w:t>
      </w:r>
      <w:r>
        <w:t xml:space="preserve">”</w:t>
      </w:r>
      <w:r>
        <w:t xml:space="preserve"> </w:t>
      </w:r>
      <w:r>
        <w:t xml:space="preserve">(paribhāṣā) the</w:t>
      </w:r>
      <w:r>
        <w:t xml:space="preserve"> </w:t>
      </w:r>
      <w:r>
        <w:rPr>
          <w:iCs/>
          <w:i/>
        </w:rPr>
        <w:t xml:space="preserve">guṇa</w:t>
      </w:r>
      <w:r>
        <w:t xml:space="preserve"> </w:t>
      </w:r>
      <w:r>
        <w:t xml:space="preserve">does not come.</w:t>
      </w:r>
      <w:r>
        <w:t xml:space="preserve"> </w:t>
      </w:r>
      <w:r>
        <w:rPr>
          <w:iCs/>
          <w:i/>
        </w:rPr>
        <w:t xml:space="preserve">Yaṇ</w:t>
      </w:r>
      <w:r>
        <w:t xml:space="preserve">,</w:t>
      </w:r>
      <w:r>
        <w:t xml:space="preserve"> </w:t>
      </w:r>
      <w:r>
        <w:rPr>
          <w:iCs/>
          <w:i/>
        </w:rPr>
        <w:t xml:space="preserve">ru</w:t>
      </w:r>
      <w:r>
        <w:t xml:space="preserve">, visarga:</w:t>
      </w:r>
      <w:r>
        <w:t xml:space="preserve"> </w:t>
      </w:r>
      <w:r>
        <w:rPr>
          <w:iCs/>
          <w:i/>
        </w:rPr>
        <w:t xml:space="preserve">madhvaḥ</w:t>
      </w:r>
      <w:r>
        <w:t xml:space="preserve">.</w:t>
      </w:r>
    </w:p>
    <w:p>
      <w:pPr>
        <w:pStyle w:val="BodyText"/>
      </w:pPr>
      <w:r>
        <w:rPr>
          <w:bCs/>
          <w:b/>
        </w:rPr>
        <w:t xml:space="preserve">सुजिह्व (</w:t>
      </w:r>
      <w:r>
        <w:rPr>
          <w:iCs/>
          <w:i/>
          <w:bCs/>
          <w:b/>
        </w:rPr>
        <w:t xml:space="preserve">sujihva</w:t>
      </w:r>
      <w:r>
        <w:rPr>
          <w:bCs/>
          <w:b/>
        </w:rPr>
        <w:t xml:space="preserve">)</w:t>
      </w:r>
      <w:r>
        <w:t xml:space="preserve">: lowered as a vocative.</w:t>
      </w:r>
    </w:p>
    <w:p>
      <w:pPr>
        <w:pStyle w:val="BodyText"/>
      </w:pPr>
      <w:r>
        <w:rPr>
          <w:bCs/>
          <w:b/>
        </w:rPr>
        <w:t xml:space="preserve">पायय (</w:t>
      </w:r>
      <w:r>
        <w:rPr>
          <w:iCs/>
          <w:i/>
          <w:bCs/>
          <w:b/>
        </w:rPr>
        <w:t xml:space="preserve">pāyaya</w:t>
      </w:r>
      <w:r>
        <w:rPr>
          <w:bCs/>
          <w:b/>
        </w:rPr>
        <w:t xml:space="preserve">)</w:t>
      </w:r>
      <w:r>
        <w:t xml:space="preserve">:</w:t>
      </w:r>
      <w:r>
        <w:t xml:space="preserve"> </w:t>
      </w:r>
      <w:r>
        <w:rPr>
          <w:iCs/>
          <w:i/>
        </w:rPr>
        <w:t xml:space="preserve">pā pāne</w:t>
      </w:r>
      <w:r>
        <w:t xml:space="preserve">; in the sense</w:t>
      </w:r>
      <w:r>
        <w:t xml:space="preserve"> </w:t>
      </w:r>
      <w:r>
        <w:rPr>
          <w:iCs/>
          <w:i/>
        </w:rPr>
        <w:t xml:space="preserve">pibantaṃ prayuṅkte</w:t>
      </w:r>
      <w:r>
        <w:t xml:space="preserve"> </w:t>
      </w:r>
      <w:r>
        <w:t xml:space="preserve">(one who urges the one drinking),</w:t>
      </w:r>
      <w:r>
        <w:t xml:space="preserve"> </w:t>
      </w:r>
      <w:r>
        <w:rPr>
          <w:iCs/>
          <w:i/>
        </w:rPr>
        <w:t xml:space="preserve">ṇic</w:t>
      </w:r>
      <w:r>
        <w:t xml:space="preserve"> </w:t>
      </w:r>
      <w:r>
        <w:t xml:space="preserve">by</w:t>
      </w:r>
      <w:r>
        <w:t xml:space="preserve"> </w:t>
      </w:r>
      <w:r>
        <w:t xml:space="preserve">“</w:t>
      </w:r>
      <w:r>
        <w:t xml:space="preserve">hetumati ca</w:t>
      </w:r>
      <w:r>
        <w:t xml:space="preserve">”</w:t>
      </w:r>
      <w:r>
        <w:t xml:space="preserve"> </w:t>
      </w:r>
      <w:r>
        <w:t xml:space="preserve">(Pā. sū. 3-1-26);</w:t>
      </w:r>
      <w:r>
        <w:t xml:space="preserve"> </w:t>
      </w:r>
      <w:r>
        <w:t xml:space="preserve">“</w:t>
      </w:r>
      <w:r>
        <w:t xml:space="preserve">śāchāsāhvāvyāvepāṃ yuk</w:t>
      </w:r>
      <w:r>
        <w:t xml:space="preserve">”</w:t>
      </w:r>
      <w:r>
        <w:t xml:space="preserve"> </w:t>
      </w:r>
      <w:r>
        <w:t xml:space="preserve">(Pā. sū.</w:t>
      </w:r>
      <w:r>
        <w:t xml:space="preserve"> </w:t>
      </w:r>
      <w:r>
        <w:t xml:space="preserve">“</w:t>
      </w:r>
      <w:r>
        <w:t xml:space="preserve">7-3-37</w:t>
      </w:r>
      <w:r>
        <w:t xml:space="preserve">”</w:t>
      </w:r>
      <w:r>
        <w:t xml:space="preserve"> </w:t>
      </w:r>
      <w:r>
        <w:t xml:space="preserve">[?];</w:t>
      </w:r>
      <w:r>
        <w:t xml:space="preserve"> </w:t>
      </w:r>
      <w:r>
        <w:rPr>
          <w:iCs/>
          <w:i/>
        </w:rPr>
        <w:t xml:space="preserve">śo tanūkaraṇe</w:t>
      </w:r>
      <w:r>
        <w:t xml:space="preserve">,</w:t>
      </w:r>
      <w:r>
        <w:t xml:space="preserve"> </w:t>
      </w:r>
      <w:r>
        <w:rPr>
          <w:iCs/>
          <w:i/>
        </w:rPr>
        <w:t xml:space="preserve">cho chedane</w:t>
      </w:r>
      <w:r>
        <w:t xml:space="preserve">,</w:t>
      </w:r>
      <w:r>
        <w:t xml:space="preserve"> </w:t>
      </w:r>
      <w:r>
        <w:rPr>
          <w:iCs/>
          <w:i/>
        </w:rPr>
        <w:t xml:space="preserve">ṣo ’ntakarmaṇi</w:t>
      </w:r>
      <w:r>
        <w:t xml:space="preserve">,</w:t>
      </w:r>
      <w:r>
        <w:t xml:space="preserve"> </w:t>
      </w:r>
      <w:r>
        <w:rPr>
          <w:iCs/>
          <w:i/>
        </w:rPr>
        <w:t xml:space="preserve">hveñ spardhāyām</w:t>
      </w:r>
      <w:r>
        <w:t xml:space="preserve">,</w:t>
      </w:r>
      <w:r>
        <w:t xml:space="preserve"> </w:t>
      </w:r>
      <w:r>
        <w:rPr>
          <w:iCs/>
          <w:i/>
        </w:rPr>
        <w:t xml:space="preserve">vyeñ saṃvaraṇe</w:t>
      </w:r>
      <w:r>
        <w:t xml:space="preserve">,</w:t>
      </w:r>
      <w:r>
        <w:t xml:space="preserve"> </w:t>
      </w:r>
      <w:r>
        <w:rPr>
          <w:iCs/>
          <w:i/>
        </w:rPr>
        <w:t xml:space="preserve">veñ tantusantāne</w:t>
      </w:r>
      <w:r>
        <w:t xml:space="preserve">,</w:t>
      </w:r>
      <w:r>
        <w:t xml:space="preserve"> </w:t>
      </w:r>
      <w:r>
        <w:rPr>
          <w:iCs/>
          <w:i/>
        </w:rPr>
        <w:t xml:space="preserve">pā pāne</w:t>
      </w:r>
      <w:r>
        <w:t xml:space="preserve">): before</w:t>
      </w:r>
      <w:r>
        <w:t xml:space="preserve"> </w:t>
      </w:r>
      <w:r>
        <w:rPr>
          <w:iCs/>
          <w:i/>
        </w:rPr>
        <w:t xml:space="preserve">ṇi</w:t>
      </w:r>
      <w:r>
        <w:t xml:space="preserve"> </w:t>
      </w:r>
      <w:r>
        <w:t xml:space="preserve">these roots take the augment</w:t>
      </w:r>
      <w:r>
        <w:t xml:space="preserve"> </w:t>
      </w:r>
      <w:r>
        <w:rPr>
          <w:iCs/>
          <w:i/>
        </w:rPr>
        <w:t xml:space="preserve">yuk</w:t>
      </w:r>
      <w:r>
        <w:t xml:space="preserve">:</w:t>
      </w:r>
      <w:r>
        <w:t xml:space="preserve"> </w:t>
      </w:r>
      <w:r>
        <w:rPr>
          <w:iCs/>
          <w:i/>
        </w:rPr>
        <w:t xml:space="preserve">pāy</w:t>
      </w:r>
      <w:r>
        <w:t xml:space="preserve"> </w:t>
      </w:r>
      <w:r>
        <w:t xml:space="preserve">+</w:t>
      </w:r>
      <w:r>
        <w:t xml:space="preserve"> </w:t>
      </w:r>
      <w:r>
        <w:rPr>
          <w:iCs/>
          <w:i/>
        </w:rPr>
        <w:t xml:space="preserve">i</w:t>
      </w:r>
      <w:r>
        <w:t xml:space="preserve">. There are two roots,</w:t>
      </w:r>
      <w:r>
        <w:t xml:space="preserve"> </w:t>
      </w:r>
      <w:r>
        <w:rPr>
          <w:iCs/>
          <w:i/>
        </w:rPr>
        <w:t xml:space="preserve">pā rakṣaṇe</w:t>
      </w:r>
      <w:r>
        <w:t xml:space="preserve"> </w:t>
      </w:r>
      <w:r>
        <w:t xml:space="preserve">(</w:t>
      </w:r>
      <w:r>
        <w:rPr>
          <w:iCs/>
          <w:i/>
        </w:rPr>
        <w:t xml:space="preserve">adādi</w:t>
      </w:r>
      <w:r>
        <w:t xml:space="preserve">, with</w:t>
      </w:r>
      <w:r>
        <w:t xml:space="preserve"> </w:t>
      </w:r>
      <w:r>
        <w:rPr>
          <w:iCs/>
          <w:i/>
        </w:rPr>
        <w:t xml:space="preserve">luk</w:t>
      </w:r>
      <w:r>
        <w:t xml:space="preserve"> </w:t>
      </w:r>
      <w:r>
        <w:t xml:space="preserve">of the</w:t>
      </w:r>
      <w:r>
        <w:t xml:space="preserve"> </w:t>
      </w:r>
      <w:r>
        <w:rPr>
          <w:iCs/>
          <w:i/>
        </w:rPr>
        <w:t xml:space="preserve">vikaraṇa</w:t>
      </w:r>
      <w:r>
        <w:t xml:space="preserve">) and</w:t>
      </w:r>
      <w:r>
        <w:t xml:space="preserve"> </w:t>
      </w:r>
      <w:r>
        <w:rPr>
          <w:iCs/>
          <w:i/>
        </w:rPr>
        <w:t xml:space="preserve">pā pāne</w:t>
      </w:r>
      <w:r>
        <w:t xml:space="preserve"> </w:t>
      </w:r>
      <w:r>
        <w:t xml:space="preserve">(</w:t>
      </w:r>
      <w:r>
        <w:rPr>
          <w:iCs/>
          <w:i/>
        </w:rPr>
        <w:t xml:space="preserve">bhvādi</w:t>
      </w:r>
      <w:r>
        <w:t xml:space="preserve">, without it); by</w:t>
      </w:r>
      <w:r>
        <w:t xml:space="preserve"> </w:t>
      </w:r>
      <w:r>
        <w:t xml:space="preserve">“</w:t>
      </w:r>
      <w:r>
        <w:t xml:space="preserve">lugvikaraṇālugvikaraṇayor alugvikaraṇasya</w:t>
      </w:r>
      <w:r>
        <w:t xml:space="preserve">”</w:t>
      </w:r>
      <w:r>
        <w:t xml:space="preserve"> </w:t>
      </w:r>
      <w:r>
        <w:t xml:space="preserve">(paribhāṣā</w:t>
      </w:r>
      <w:r>
        <w:t xml:space="preserve"> </w:t>
      </w:r>
      <w:r>
        <w:t xml:space="preserve">“</w:t>
      </w:r>
      <w:r>
        <w:t xml:space="preserve">83</w:t>
      </w:r>
      <w:r>
        <w:t xml:space="preserve">”</w:t>
      </w:r>
      <w:r>
        <w:t xml:space="preserve"> </w:t>
      </w:r>
      <w:r>
        <w:t xml:space="preserve">[?]), when both are possible,</w:t>
      </w:r>
    </w:p>
    <w:bookmarkEnd w:id="652"/>
    <w:bookmarkStart w:id="653" w:name="page-611-rik-7-grammar-end"/>
    <w:p>
      <w:pPr>
        <w:pStyle w:val="Heading3"/>
      </w:pPr>
      <w:r>
        <w:t xml:space="preserve">Page 611 — Rik 7: grammar (end)</w:t>
      </w:r>
    </w:p>
    <w:p>
      <w:pPr>
        <w:pStyle w:val="FirstParagraph"/>
      </w:pPr>
      <w:r>
        <w:t xml:space="preserve">the one without</w:t>
      </w:r>
      <w:r>
        <w:t xml:space="preserve"> </w:t>
      </w:r>
      <w:r>
        <w:rPr>
          <w:iCs/>
          <w:i/>
        </w:rPr>
        <w:t xml:space="preserve">luk</w:t>
      </w:r>
      <w:r>
        <w:t xml:space="preserve"> </w:t>
      </w:r>
      <w:r>
        <w:t xml:space="preserve">is taken, so the</w:t>
      </w:r>
      <w:r>
        <w:t xml:space="preserve"> </w:t>
      </w:r>
      <w:r>
        <w:rPr>
          <w:iCs/>
          <w:i/>
        </w:rPr>
        <w:t xml:space="preserve">bhvādi</w:t>
      </w:r>
      <w:r>
        <w:t xml:space="preserve"> </w:t>
      </w:r>
      <w:r>
        <w:t xml:space="preserve">root is meant. After</w:t>
      </w:r>
      <w:r>
        <w:t xml:space="preserve"> </w:t>
      </w:r>
      <w:r>
        <w:rPr>
          <w:iCs/>
          <w:i/>
        </w:rPr>
        <w:t xml:space="preserve">pāyi</w:t>
      </w:r>
      <w:r>
        <w:t xml:space="preserve">,</w:t>
      </w:r>
      <w:r>
        <w:t xml:space="preserve"> </w:t>
      </w:r>
      <w:r>
        <w:rPr>
          <w:iCs/>
          <w:i/>
        </w:rPr>
        <w:t xml:space="preserve">loṭ</w:t>
      </w:r>
      <w:r>
        <w:t xml:space="preserve">,</w:t>
      </w:r>
      <w:r>
        <w:t xml:space="preserve"> </w:t>
      </w:r>
      <w:r>
        <w:rPr>
          <w:iCs/>
          <w:i/>
        </w:rPr>
        <w:t xml:space="preserve">sip</w:t>
      </w:r>
      <w:r>
        <w:t xml:space="preserve">, the</w:t>
      </w:r>
      <w:r>
        <w:t xml:space="preserve"> </w:t>
      </w:r>
      <w:r>
        <w:rPr>
          <w:iCs/>
          <w:i/>
        </w:rPr>
        <w:t xml:space="preserve">vikaraṇa</w:t>
      </w:r>
      <w:r>
        <w:t xml:space="preserve"> </w:t>
      </w:r>
      <w:r>
        <w:rPr>
          <w:iCs/>
          <w:i/>
        </w:rPr>
        <w:t xml:space="preserve">śap</w:t>
      </w:r>
      <w:r>
        <w:t xml:space="preserve">,</w:t>
      </w:r>
      <w:r>
        <w:t xml:space="preserve"> </w:t>
      </w:r>
      <w:r>
        <w:rPr>
          <w:iCs/>
          <w:i/>
        </w:rPr>
        <w:t xml:space="preserve">guṇa</w:t>
      </w:r>
      <w:r>
        <w:t xml:space="preserve">,</w:t>
      </w:r>
      <w:r>
        <w:t xml:space="preserve"> </w:t>
      </w:r>
      <w:r>
        <w:rPr>
          <w:iCs/>
          <w:i/>
        </w:rPr>
        <w:t xml:space="preserve">ay</w:t>
      </w:r>
      <w:r>
        <w:t xml:space="preserve">,</w:t>
      </w:r>
      <w:r>
        <w:t xml:space="preserve"> </w:t>
      </w:r>
      <w:r>
        <w:rPr>
          <w:iCs/>
          <w:i/>
        </w:rPr>
        <w:t xml:space="preserve">hi</w:t>
      </w:r>
      <w:r>
        <w:t xml:space="preserve"> </w:t>
      </w:r>
      <w:r>
        <w:t xml:space="preserve">for</w:t>
      </w:r>
      <w:r>
        <w:t xml:space="preserve"> </w:t>
      </w:r>
      <w:r>
        <w:rPr>
          <w:iCs/>
          <w:i/>
        </w:rPr>
        <w:t xml:space="preserve">si</w:t>
      </w:r>
      <w:r>
        <w:t xml:space="preserve"> </w:t>
      </w:r>
      <w:r>
        <w:t xml:space="preserve">and its</w:t>
      </w:r>
      <w:r>
        <w:t xml:space="preserve"> </w:t>
      </w:r>
      <w:r>
        <w:rPr>
          <w:iCs/>
          <w:i/>
        </w:rPr>
        <w:t xml:space="preserve">luk</w:t>
      </w:r>
      <w:r>
        <w:t xml:space="preserve">:</w:t>
      </w:r>
      <w:r>
        <w:t xml:space="preserve"> </w:t>
      </w:r>
      <w:r>
        <w:rPr>
          <w:iCs/>
          <w:i/>
        </w:rPr>
        <w:t xml:space="preserve">pāyaya</w:t>
      </w:r>
      <w:r>
        <w:t xml:space="preserve">. For the vocative</w:t>
      </w:r>
      <w:r>
        <w:t xml:space="preserve"> </w:t>
      </w:r>
      <w:r>
        <w:rPr>
          <w:iCs/>
          <w:i/>
        </w:rPr>
        <w:t xml:space="preserve">sujihva</w:t>
      </w:r>
      <w:r>
        <w:t xml:space="preserve"> </w:t>
      </w:r>
      <w:r>
        <w:t xml:space="preserve">before it,</w:t>
      </w:r>
      <w:r>
        <w:t xml:space="preserve"> </w:t>
      </w:r>
      <w:r>
        <w:t xml:space="preserve">“</w:t>
      </w:r>
      <w:r>
        <w:t xml:space="preserve">āmantritaṃ pūrvam avidyamānavat</w:t>
      </w:r>
      <w:r>
        <w:t xml:space="preserve">”</w:t>
      </w:r>
      <w:r>
        <w:t xml:space="preserve"> </w:t>
      </w:r>
      <w:r>
        <w:t xml:space="preserve">(Pā. sū. 8-1-72) makes it count as absent; so it does not intervene, and with reference to</w:t>
      </w:r>
      <w:r>
        <w:t xml:space="preserve"> </w:t>
      </w:r>
      <w:r>
        <w:rPr>
          <w:iCs/>
          <w:i/>
        </w:rPr>
        <w:t xml:space="preserve">madhvaḥ</w:t>
      </w:r>
      <w:r>
        <w:t xml:space="preserve"> </w:t>
      </w:r>
      <w:r>
        <w:t xml:space="preserve">“</w:t>
      </w:r>
      <w:r>
        <w:t xml:space="preserve">tiṅṅatiṅaḥ</w:t>
      </w:r>
      <w:r>
        <w:t xml:space="preserve">”</w:t>
      </w:r>
      <w:r>
        <w:t xml:space="preserve"> </w:t>
      </w:r>
      <w:r>
        <w:t xml:space="preserve">(Pā. sū. 8-1-28) makes</w:t>
      </w:r>
      <w:r>
        <w:t xml:space="preserve"> </w:t>
      </w:r>
      <w:r>
        <w:rPr>
          <w:iCs/>
          <w:i/>
        </w:rPr>
        <w:t xml:space="preserve">pāyaya</w:t>
      </w:r>
      <w:r>
        <w:t xml:space="preserve"> </w:t>
      </w:r>
      <w:r>
        <w:t xml:space="preserve">wholly unaccented.</w:t>
      </w:r>
    </w:p>
    <w:p>
      <w:pPr>
        <w:pStyle w:val="BodyText"/>
      </w:pPr>
      <w:r>
        <w:rPr>
          <w:bCs/>
          <w:b/>
        </w:rPr>
        <w:t xml:space="preserve">॥७॥</w:t>
      </w:r>
    </w:p>
    <w:p>
      <w:r>
        <w:pict>
          <v:rect style="width:0;height:1.5pt" o:hralign="center" o:hrstd="t" o:hr="t"/>
        </w:pict>
      </w:r>
    </w:p>
    <w:bookmarkEnd w:id="653"/>
    <w:bookmarkStart w:id="654" w:name="page-611-lower-sūkta-14-rik-8"/>
    <w:p>
      <w:pPr>
        <w:pStyle w:val="Heading3"/>
      </w:pPr>
      <w:r>
        <w:t xml:space="preserve">Page 611 (lower) — Sūkta 14, Rik 8</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ये यज॑त्रा॒ य ई॒ड्या॒स्ते ते॑ पिबन्तु जि॒ह्वया॑ । [accent ?]</w:t>
      </w:r>
      <w:r>
        <w:t xml:space="preserve"> </w:t>
      </w:r>
      <w:r>
        <w:t xml:space="preserve">मधो॑रग्ने॒ वष॑ट्कृति ॥८॥</w:t>
      </w:r>
    </w:p>
    <w:p>
      <w:pPr>
        <w:pStyle w:val="BlockText"/>
      </w:pPr>
      <w:r>
        <w:rPr>
          <w:iCs/>
          <w:i/>
        </w:rPr>
        <w:t xml:space="preserve">ye yájatrā yá īḍyās té te pibantu jihváyā |</w:t>
      </w:r>
      <w:r>
        <w:t xml:space="preserve"> </w:t>
      </w:r>
      <w:r>
        <w:t xml:space="preserve">[accent ?]</w:t>
      </w:r>
      <w:r>
        <w:t xml:space="preserve"> </w:t>
      </w:r>
      <w:r>
        <w:rPr>
          <w:iCs/>
          <w:i/>
        </w:rPr>
        <w:t xml:space="preserve">mádhor agne váṣaṭkṛti ||8||</w:t>
      </w:r>
    </w:p>
    <w:p>
      <w:pPr>
        <w:pStyle w:val="FirstParagraph"/>
      </w:pPr>
      <w:r>
        <w:rPr>
          <w:iCs/>
          <w:i/>
        </w:rPr>
        <w:t xml:space="preserve">(Line 1: bars stand under ई/ड्या and under स्ते of ईड्यास्ते, the stroke over the second ते; the exact syllables under the two bars are not certain.)</w:t>
      </w:r>
    </w:p>
    <w:p>
      <w:pPr>
        <w:pStyle w:val="BodyText"/>
      </w:pPr>
      <w:r>
        <w:rPr>
          <w:bCs/>
          <w:b/>
        </w:rPr>
        <w:t xml:space="preserve">॥ Pada-pāṭhaḥ ॥</w:t>
      </w:r>
    </w:p>
    <w:p>
      <w:pPr>
        <w:pStyle w:val="BlockText"/>
      </w:pPr>
      <w:r>
        <w:t xml:space="preserve">ये । यजत्राः । ये । ईड्याः । ते । ते । पिबन्तु । जिह्वया ॥</w:t>
      </w:r>
      <w:r>
        <w:t xml:space="preserve"> </w:t>
      </w:r>
      <w:r>
        <w:t xml:space="preserve">मधोः । अग्ने । वषट्ऽकृति ॥८॥</w:t>
      </w:r>
    </w:p>
    <w:p>
      <w:pPr>
        <w:pStyle w:val="BlockText"/>
      </w:pPr>
      <w:r>
        <w:rPr>
          <w:iCs/>
          <w:i/>
        </w:rPr>
        <w:t xml:space="preserve">ye | yajatrāḥ | ye | īḍyāḥ | te | te | pibantu | jihvayā ||</w:t>
      </w:r>
      <w:r>
        <w:t xml:space="preserve"> </w:t>
      </w:r>
      <w:r>
        <w:rPr>
          <w:iCs/>
          <w:i/>
        </w:rPr>
        <w:t xml:space="preserve">madhoḥ | agne | vaṣaṭ ’kṛti ||8||</w:t>
      </w:r>
    </w:p>
    <w:p>
      <w:pPr>
        <w:pStyle w:val="FirstParagraph"/>
      </w:pPr>
      <w:r>
        <w:rPr>
          <w:bCs/>
          <w:b/>
        </w:rPr>
        <w:t xml:space="preserve">॥ Sāyaṇa-bhāṣyam ॥</w:t>
      </w:r>
    </w:p>
    <w:p>
      <w:pPr>
        <w:pStyle w:val="BlockText"/>
      </w:pPr>
      <w:r>
        <w:t xml:space="preserve">ये देवा यजत्रा यष्टव्याः । तथा ये देवा ईड्याः स्तुत्याः । ते सर्वेऽपि वषट्कृति वषट्कारकाले वषट्कारयुक्ते यागे वा हे अग्ने ते त्वदीयया जिह्वया मधोर्मधुरस्य सोमस्य भागं पिबन्तु ॥ यजत्राः । गतं । ईड्याः । ईड स्तुतौ । ऋहलोर्ण्यत् । तित्स्वरिते प्राप्त ईडवन्दवृशंसदुहां ण्यत इत्याद्युदात्तत्वं । द्वितीयस्य तेशब्दस्य युष्मदादेशस्य सर्वानुदात्तत्वं । मधोः । उप्रत्ययस्य नित्त्वादाद्युदात्तत्वमुक्तं । अग्ने । आमन्त्रितनिघातः । वषट्कृति । करोतेः सम्पदादिभ्यो भावे क्विप् । वषडित्यस्य करणं यस्मिन्याग इति बहुव्रीहिः । वषडित्यस्य निपातत्वादाद्युदात्तत्वं । बहुव्रीहौ पूर्वपदप्रकृतिस्वरत्वं ॥</w:t>
      </w:r>
    </w:p>
    <w:p>
      <w:pPr>
        <w:pStyle w:val="BlockText"/>
      </w:pPr>
      <w:r>
        <w:rPr>
          <w:iCs/>
          <w:i/>
        </w:rPr>
        <w:t xml:space="preserve">ye devā yajatrā yaṣṭavyāḥ | tathā ye devā īḍyāḥ stutyāḥ | te sarve ’pi vaṣaṭkṛti vaṣaṭkārakāle vaṣaṭkārayukte yāge vā he agne te tvadīyayā jihvayā madhormadhurasya somasya bhāgaṃ pibantu || yajatrāḥ | gataṃ | īḍyāḥ | īḍa stutau | ṛhalorṇyat | titsvarite prāpta īḍavandavṛśaṃsaduhāṃ ṇyata ityādyudāttatvaṃ | dvitīyasya teśabdasya yuṣmadādeśasya sarvānudāttatvaṃ | madhoḥ | upratyayasya nittvādādyudāttatvamuktaṃ | agne | āmantritanighātaḥ | vaṣaṭkṛti | karoteḥ sampadādibhyo bhāve kvip | vaṣaḍityasya karaṇaṃ yasminyāga iti bahuvrīhiḥ | vaṣaḍityasya nipātatvādādyudāttatvaṃ | bahuvrīhau pūrvapadaprakṛtisvaratvaṃ ||</w:t>
      </w:r>
    </w:p>
    <w:p>
      <w:pPr>
        <w:pStyle w:val="FirstParagraph"/>
      </w:pPr>
      <w:r>
        <w:rPr>
          <w:bCs/>
          <w:b/>
        </w:rPr>
        <w:t xml:space="preserve">Translation:</w:t>
      </w:r>
      <w:r>
        <w:t xml:space="preserve"> </w:t>
      </w:r>
      <w:r>
        <w:t xml:space="preserve">“</w:t>
      </w:r>
      <w:r>
        <w:t xml:space="preserve">The gods who are</w:t>
      </w:r>
      <w:r>
        <w:t xml:space="preserve"> </w:t>
      </w:r>
      <w:r>
        <w:rPr>
          <w:iCs/>
          <w:i/>
        </w:rPr>
        <w:t xml:space="preserve">yajatrāḥ</w:t>
      </w:r>
      <w:r>
        <w:t xml:space="preserve">, to be worshipped, and the gods who are</w:t>
      </w:r>
      <w:r>
        <w:t xml:space="preserve"> </w:t>
      </w:r>
      <w:r>
        <w:rPr>
          <w:iCs/>
          <w:i/>
        </w:rPr>
        <w:t xml:space="preserve">īḍyāḥ</w:t>
      </w:r>
      <w:r>
        <w:t xml:space="preserve">, to be praised: may they all,</w:t>
      </w:r>
      <w:r>
        <w:t xml:space="preserve"> </w:t>
      </w:r>
      <w:r>
        <w:rPr>
          <w:iCs/>
          <w:i/>
        </w:rPr>
        <w:t xml:space="preserve">vaṣaṭkṛti</w:t>
      </w:r>
      <w:r>
        <w:t xml:space="preserve">, at the time of the</w:t>
      </w:r>
      <w:r>
        <w:t xml:space="preserve"> </w:t>
      </w:r>
      <w:r>
        <w:rPr>
          <w:iCs/>
          <w:i/>
        </w:rPr>
        <w:t xml:space="preserve">vaṣaṭ</w:t>
      </w:r>
      <w:r>
        <w:t xml:space="preserve"> </w:t>
      </w:r>
      <w:r>
        <w:t xml:space="preserve">call or in the rite that has the</w:t>
      </w:r>
      <w:r>
        <w:t xml:space="preserve"> </w:t>
      </w:r>
      <w:r>
        <w:rPr>
          <w:iCs/>
          <w:i/>
        </w:rPr>
        <w:t xml:space="preserve">vaṣaṭ</w:t>
      </w:r>
      <w:r>
        <w:t xml:space="preserve"> </w:t>
      </w:r>
      <w:r>
        <w:t xml:space="preserve">call, O Agni, drink with</w:t>
      </w:r>
      <w:r>
        <w:t xml:space="preserve"> </w:t>
      </w:r>
      <w:r>
        <w:rPr>
          <w:iCs/>
          <w:i/>
        </w:rPr>
        <w:t xml:space="preserve">te jihvayā</w:t>
      </w:r>
      <w:r>
        <w:t xml:space="preserve">, your tongue, the share of the</w:t>
      </w:r>
      <w:r>
        <w:t xml:space="preserve"> </w:t>
      </w:r>
      <w:r>
        <w:rPr>
          <w:iCs/>
          <w:i/>
        </w:rPr>
        <w:t xml:space="preserve">madhoḥ</w:t>
      </w:r>
      <w:r>
        <w:t xml:space="preserve">, the sweet soma.</w:t>
      </w:r>
      <w:r>
        <w:t xml:space="preserve">”</w:t>
      </w:r>
      <w:r>
        <w:t xml:space="preserve"> </w:t>
      </w:r>
      <w:r>
        <w:t xml:space="preserve">(Grammatical tail:</w:t>
      </w:r>
      <w:r>
        <w:t xml:space="preserve"> </w:t>
      </w:r>
      <w:r>
        <w:rPr>
          <w:iCs/>
          <w:i/>
        </w:rPr>
        <w:t xml:space="preserve">yajatrāḥ</w:t>
      </w:r>
      <w:r>
        <w:t xml:space="preserve"> </w:t>
      </w:r>
      <w:r>
        <w:t xml:space="preserve">gone through;</w:t>
      </w:r>
      <w:r>
        <w:t xml:space="preserve"> </w:t>
      </w:r>
      <w:r>
        <w:rPr>
          <w:iCs/>
          <w:i/>
        </w:rPr>
        <w:t xml:space="preserve">īḍyāḥ</w:t>
      </w:r>
      <w:r>
        <w:t xml:space="preserve"> </w:t>
      </w:r>
      <w:r>
        <w:t xml:space="preserve">from</w:t>
      </w:r>
      <w:r>
        <w:t xml:space="preserve"> </w:t>
      </w:r>
      <w:r>
        <w:rPr>
          <w:iCs/>
          <w:i/>
        </w:rPr>
        <w:t xml:space="preserve">īḍ</w:t>
      </w:r>
      <w:r>
        <w:t xml:space="preserve"> </w:t>
      </w:r>
      <w:r>
        <w:t xml:space="preserve">with</w:t>
      </w:r>
      <w:r>
        <w:t xml:space="preserve"> </w:t>
      </w:r>
      <w:r>
        <w:rPr>
          <w:iCs/>
          <w:i/>
        </w:rPr>
        <w:t xml:space="preserve">ṇyat</w:t>
      </w:r>
      <w:r>
        <w:t xml:space="preserve">, initial udātta by</w:t>
      </w:r>
      <w:r>
        <w:t xml:space="preserve"> </w:t>
      </w:r>
      <w:r>
        <w:rPr>
          <w:iCs/>
          <w:i/>
        </w:rPr>
        <w:t xml:space="preserve">īḍavandavṛśaṃsaduhāṃ ṇyataḥ</w:t>
      </w:r>
      <w:r>
        <w:t xml:space="preserve"> </w:t>
      </w:r>
      <w:r>
        <w:t xml:space="preserve">instead of the svarita of a</w:t>
      </w:r>
      <w:r>
        <w:t xml:space="preserve"> </w:t>
      </w:r>
      <w:r>
        <w:rPr>
          <w:iCs/>
          <w:i/>
        </w:rPr>
        <w:t xml:space="preserve">tit</w:t>
      </w:r>
      <w:r>
        <w:t xml:space="preserve"> </w:t>
      </w:r>
      <w:r>
        <w:t xml:space="preserve">suffix; the second</w:t>
      </w:r>
      <w:r>
        <w:t xml:space="preserve"> </w:t>
      </w:r>
      <w:r>
        <w:rPr>
          <w:iCs/>
          <w:i/>
        </w:rPr>
        <w:t xml:space="preserve">te</w:t>
      </w:r>
      <w:r>
        <w:t xml:space="preserve">, the</w:t>
      </w:r>
      <w:r>
        <w:t xml:space="preserve"> </w:t>
      </w:r>
      <w:r>
        <w:rPr>
          <w:iCs/>
          <w:i/>
        </w:rPr>
        <w:t xml:space="preserve">yuṣmad</w:t>
      </w:r>
      <w:r>
        <w:t xml:space="preserve"> </w:t>
      </w:r>
      <w:r>
        <w:t xml:space="preserve">replacement, wholly unaccented;</w:t>
      </w:r>
      <w:r>
        <w:t xml:space="preserve"> </w:t>
      </w:r>
      <w:r>
        <w:rPr>
          <w:iCs/>
          <w:i/>
        </w:rPr>
        <w:t xml:space="preserve">madhoḥ</w:t>
      </w:r>
      <w:r>
        <w:t xml:space="preserve"> </w:t>
      </w:r>
      <w:r>
        <w:t xml:space="preserve">initial udātta as said;</w:t>
      </w:r>
      <w:r>
        <w:t xml:space="preserve"> </w:t>
      </w:r>
      <w:r>
        <w:rPr>
          <w:iCs/>
          <w:i/>
        </w:rPr>
        <w:t xml:space="preserve">agne</w:t>
      </w:r>
      <w:r>
        <w:t xml:space="preserve"> </w:t>
      </w:r>
      <w:r>
        <w:t xml:space="preserve">lowered;</w:t>
      </w:r>
      <w:r>
        <w:t xml:space="preserve"> </w:t>
      </w:r>
      <w:r>
        <w:rPr>
          <w:iCs/>
          <w:i/>
        </w:rPr>
        <w:t xml:space="preserve">vaṣaṭkṛti</w:t>
      </w:r>
      <w:r>
        <w:t xml:space="preserve">,</w:t>
      </w:r>
      <w:r>
        <w:t xml:space="preserve"> </w:t>
      </w:r>
      <w:r>
        <w:rPr>
          <w:iCs/>
          <w:i/>
        </w:rPr>
        <w:t xml:space="preserve">kvip</w:t>
      </w:r>
      <w:r>
        <w:t xml:space="preserve"> </w:t>
      </w:r>
      <w:r>
        <w:t xml:space="preserve">in the action sense, a bahuvrīhi</w:t>
      </w:r>
      <w:r>
        <w:t xml:space="preserve"> </w:t>
      </w:r>
      <w:r>
        <w:t xml:space="preserve">“</w:t>
      </w:r>
      <w:r>
        <w:t xml:space="preserve">the rite in which</w:t>
      </w:r>
      <w:r>
        <w:t xml:space="preserve"> </w:t>
      </w:r>
      <w:r>
        <w:rPr>
          <w:iCs/>
          <w:i/>
        </w:rPr>
        <w:t xml:space="preserve">vaṣaṭ</w:t>
      </w:r>
      <w:r>
        <w:t xml:space="preserve"> </w:t>
      </w:r>
      <w:r>
        <w:t xml:space="preserve">is made</w:t>
      </w:r>
      <w:r>
        <w:t xml:space="preserve">”</w:t>
      </w:r>
      <w:r>
        <w:t xml:space="preserve">,</w:t>
      </w:r>
      <w:r>
        <w:t xml:space="preserve"> </w:t>
      </w:r>
      <w:r>
        <w:rPr>
          <w:iCs/>
          <w:i/>
        </w:rPr>
        <w:t xml:space="preserve">vaṣaṭ</w:t>
      </w:r>
      <w:r>
        <w:t xml:space="preserve"> </w:t>
      </w:r>
      <w:r>
        <w:t xml:space="preserve">initial udātta as a</w:t>
      </w:r>
      <w:r>
        <w:t xml:space="preserve"> </w:t>
      </w:r>
      <w:r>
        <w:rPr>
          <w:iCs/>
          <w:i/>
        </w:rPr>
        <w:t xml:space="preserve">nipāta</w:t>
      </w:r>
      <w:r>
        <w:t xml:space="preserve">, the first-member accent.)</w:t>
      </w:r>
    </w:p>
    <w:bookmarkEnd w:id="654"/>
    <w:bookmarkStart w:id="655" w:name="Xb392c769bcfa19b7cb92b1a23a6dba334ebbb23"/>
    <w:p>
      <w:pPr>
        <w:pStyle w:val="Heading3"/>
      </w:pPr>
      <w:r>
        <w:t xml:space="preserve">Page 612 — Rik 8: word-meanings, overall sense, English, Special Topics, grammar</w:t>
      </w:r>
    </w:p>
    <w:p>
      <w:pPr>
        <w:pStyle w:val="FirstParagraph"/>
      </w:pPr>
      <w:r>
        <w:rPr>
          <w:bCs/>
          <w:b/>
        </w:rPr>
        <w:t xml:space="preserve">॥ Prati-padārthaḥ ॥</w:t>
      </w:r>
    </w:p>
    <w:p>
      <w:pPr>
        <w:pStyle w:val="BodyText"/>
      </w:pPr>
      <w:r>
        <w:rPr>
          <w:bCs/>
          <w:b/>
        </w:rPr>
        <w:t xml:space="preserve">अग्ने (agne)</w:t>
      </w:r>
      <w:r>
        <w:t xml:space="preserve"> </w:t>
      </w:r>
      <w:r>
        <w:t xml:space="preserve">— O Agni |</w:t>
      </w:r>
      <w:r>
        <w:t xml:space="preserve"> </w:t>
      </w:r>
      <w:r>
        <w:rPr>
          <w:bCs/>
          <w:b/>
        </w:rPr>
        <w:t xml:space="preserve">ये (ye)</w:t>
      </w:r>
      <w:r>
        <w:t xml:space="preserve"> </w:t>
      </w:r>
      <w:r>
        <w:t xml:space="preserve">— the deities who |</w:t>
      </w:r>
      <w:r>
        <w:t xml:space="preserve"> </w:t>
      </w:r>
      <w:r>
        <w:rPr>
          <w:bCs/>
          <w:b/>
        </w:rPr>
        <w:t xml:space="preserve">यजत्राः (yajatrāḥ)</w:t>
      </w:r>
      <w:r>
        <w:t xml:space="preserve"> </w:t>
      </w:r>
      <w:r>
        <w:t xml:space="preserve">— worthy of a share in the sacrifice |</w:t>
      </w:r>
      <w:r>
        <w:t xml:space="preserve"> </w:t>
      </w:r>
      <w:r>
        <w:rPr>
          <w:iCs/>
          <w:i/>
        </w:rPr>
        <w:t xml:space="preserve">(and likewise)</w:t>
      </w:r>
      <w:r>
        <w:t xml:space="preserve"> </w:t>
      </w:r>
      <w:r>
        <w:rPr>
          <w:bCs/>
          <w:b/>
        </w:rPr>
        <w:t xml:space="preserve">ये (ye)</w:t>
      </w:r>
      <w:r>
        <w:t xml:space="preserve"> </w:t>
      </w:r>
      <w:r>
        <w:t xml:space="preserve">— the deities who |</w:t>
      </w:r>
      <w:r>
        <w:t xml:space="preserve"> </w:t>
      </w:r>
      <w:r>
        <w:rPr>
          <w:bCs/>
          <w:b/>
        </w:rPr>
        <w:t xml:space="preserve">ईड्याः (īḍyāḥ)</w:t>
      </w:r>
      <w:r>
        <w:t xml:space="preserve"> </w:t>
      </w:r>
      <w:r>
        <w:t xml:space="preserve">— worthy of praise |</w:t>
      </w:r>
      <w:r>
        <w:t xml:space="preserve"> </w:t>
      </w:r>
      <w:r>
        <w:rPr>
          <w:bCs/>
          <w:b/>
        </w:rPr>
        <w:t xml:space="preserve">ते (te)</w:t>
      </w:r>
      <w:r>
        <w:t xml:space="preserve"> </w:t>
      </w:r>
      <w:r>
        <w:t xml:space="preserve">— all of them |</w:t>
      </w:r>
      <w:r>
        <w:t xml:space="preserve"> </w:t>
      </w:r>
      <w:r>
        <w:rPr>
          <w:bCs/>
          <w:b/>
        </w:rPr>
        <w:t xml:space="preserve">वषट्कृति (vaṣaṭkṛti)</w:t>
      </w:r>
      <w:r>
        <w:t xml:space="preserve"> </w:t>
      </w:r>
      <w:r>
        <w:t xml:space="preserve">— at the time of the</w:t>
      </w:r>
      <w:r>
        <w:t xml:space="preserve"> </w:t>
      </w:r>
      <w:r>
        <w:rPr>
          <w:iCs/>
          <w:i/>
        </w:rPr>
        <w:t xml:space="preserve">vaṣaṭkāra</w:t>
      </w:r>
      <w:r>
        <w:t xml:space="preserve"> </w:t>
      </w:r>
      <w:r>
        <w:t xml:space="preserve">of the sacrifice (at the time of offering the oblation) |</w:t>
      </w:r>
      <w:r>
        <w:t xml:space="preserve"> </w:t>
      </w:r>
      <w:r>
        <w:rPr>
          <w:bCs/>
          <w:b/>
        </w:rPr>
        <w:t xml:space="preserve">ते (te)</w:t>
      </w:r>
      <w:r>
        <w:t xml:space="preserve"> </w:t>
      </w:r>
      <w:r>
        <w:t xml:space="preserve">— your |</w:t>
      </w:r>
      <w:r>
        <w:t xml:space="preserve"> </w:t>
      </w:r>
      <w:r>
        <w:rPr>
          <w:bCs/>
          <w:b/>
        </w:rPr>
        <w:t xml:space="preserve">जिह्वया (jihvayā)</w:t>
      </w:r>
      <w:r>
        <w:t xml:space="preserve"> </w:t>
      </w:r>
      <w:r>
        <w:t xml:space="preserve">— with the tongue (by the offering into Agni) |</w:t>
      </w:r>
      <w:r>
        <w:t xml:space="preserve"> </w:t>
      </w:r>
      <w:r>
        <w:rPr>
          <w:bCs/>
          <w:b/>
        </w:rPr>
        <w:t xml:space="preserve">मधोः (madhoḥ)</w:t>
      </w:r>
      <w:r>
        <w:t xml:space="preserve"> </w:t>
      </w:r>
      <w:r>
        <w:t xml:space="preserve">— the share of the sweet soma juice |</w:t>
      </w:r>
      <w:r>
        <w:t xml:space="preserve"> </w:t>
      </w:r>
      <w:r>
        <w:rPr>
          <w:bCs/>
          <w:b/>
        </w:rPr>
        <w:t xml:space="preserve">पिबन्तु (pibantu)</w:t>
      </w:r>
      <w:r>
        <w:t xml:space="preserve"> </w:t>
      </w:r>
      <w:r>
        <w:t xml:space="preserve">— may they drink.</w:t>
      </w:r>
    </w:p>
    <w:p>
      <w:pPr>
        <w:pStyle w:val="BodyText"/>
      </w:pPr>
      <w:r>
        <w:rPr>
          <w:bCs/>
          <w:b/>
        </w:rPr>
        <w:t xml:space="preserve">॥ Bhāvārthaḥ ॥</w:t>
      </w:r>
    </w:p>
    <w:p>
      <w:pPr>
        <w:pStyle w:val="BodyText"/>
      </w:pPr>
      <w:r>
        <w:t xml:space="preserve">O Agni, may all the deities who are worthy of a share in the sacrifice and those who are worthy of praise, together, at the time of offering the oblation preceded by the</w:t>
      </w:r>
      <w:r>
        <w:t xml:space="preserve"> </w:t>
      </w:r>
      <w:r>
        <w:rPr>
          <w:iCs/>
          <w:i/>
        </w:rPr>
        <w:t xml:space="preserve">vaṣaṭkāra</w:t>
      </w:r>
      <w:r>
        <w:t xml:space="preserve">, drink the share of the sweet soma juice through your mouth, that is, by the offering into Agni.</w:t>
      </w:r>
    </w:p>
    <w:p>
      <w:pPr>
        <w:pStyle w:val="BodyText"/>
      </w:pPr>
      <w:r>
        <w:rPr>
          <w:bCs/>
          <w:b/>
        </w:rPr>
        <w:t xml:space="preserve">॥ English Translation ॥</w:t>
      </w:r>
      <w:r>
        <w:t xml:space="preserve"> </w:t>
      </w:r>
      <w:r>
        <w:rPr>
          <w:iCs/>
          <w:i/>
        </w:rPr>
        <w:t xml:space="preserve">(as printed in the source)</w:t>
      </w:r>
    </w:p>
    <w:p>
      <w:pPr>
        <w:pStyle w:val="BlockText"/>
      </w:pPr>
      <w:r>
        <w:t xml:space="preserve">O Agni, those gods that deserve to be sacrificed and those that deserve to be praised, may they drink of the sweet soma with your tongue as soon as (the word) Vashat is pronounced</w:t>
      </w:r>
    </w:p>
    <w:p>
      <w:pPr>
        <w:pStyle w:val="FirstParagraph"/>
      </w:pPr>
      <w:r>
        <w:rPr>
          <w:bCs/>
          <w:b/>
        </w:rPr>
        <w:t xml:space="preserve">॥ Viśeṣa-viṣayagaḷu (Special Topics) ॥</w:t>
      </w:r>
    </w:p>
    <w:p>
      <w:pPr>
        <w:pStyle w:val="BodyText"/>
      </w:pPr>
      <w:r>
        <w:rPr>
          <w:bCs/>
          <w:b/>
        </w:rPr>
        <w:t xml:space="preserve">Yajatrāḥ</w:t>
      </w:r>
      <w:r>
        <w:t xml:space="preserve">:</w:t>
      </w:r>
      <w:r>
        <w:t xml:space="preserve"> </w:t>
      </w:r>
      <w:r>
        <w:rPr>
          <w:iCs/>
          <w:i/>
        </w:rPr>
        <w:t xml:space="preserve">yajanīyāḥ</w:t>
      </w:r>
      <w:r>
        <w:t xml:space="preserve">: worthy of worship, worthy of a share in the sacrifice.</w:t>
      </w:r>
    </w:p>
    <w:p>
      <w:pPr>
        <w:pStyle w:val="BodyText"/>
      </w:pPr>
      <w:r>
        <w:rPr>
          <w:bCs/>
          <w:b/>
        </w:rPr>
        <w:t xml:space="preserve">Īḍyāḥ</w:t>
      </w:r>
      <w:r>
        <w:t xml:space="preserve">: worthy of praise, worthy of commendation.</w:t>
      </w:r>
    </w:p>
    <w:p>
      <w:pPr>
        <w:pStyle w:val="BodyText"/>
      </w:pPr>
      <w:r>
        <w:rPr>
          <w:bCs/>
          <w:b/>
        </w:rPr>
        <w:t xml:space="preserve">Vaṣaṭkṛti</w:t>
      </w:r>
      <w:r>
        <w:t xml:space="preserve">: at the time of the</w:t>
      </w:r>
      <w:r>
        <w:t xml:space="preserve"> </w:t>
      </w:r>
      <w:r>
        <w:rPr>
          <w:iCs/>
          <w:i/>
        </w:rPr>
        <w:t xml:space="preserve">vaṣaṭkāra</w:t>
      </w:r>
      <w:r>
        <w:t xml:space="preserve">, or in a rite that has the</w:t>
      </w:r>
      <w:r>
        <w:t xml:space="preserve"> </w:t>
      </w:r>
      <w:r>
        <w:rPr>
          <w:iCs/>
          <w:i/>
        </w:rPr>
        <w:t xml:space="preserve">vaṣaṭkāra</w:t>
      </w:r>
      <w:r>
        <w:t xml:space="preserve">. When the</w:t>
      </w:r>
      <w:r>
        <w:t xml:space="preserve"> </w:t>
      </w:r>
      <w:r>
        <w:rPr>
          <w:iCs/>
          <w:i/>
        </w:rPr>
        <w:t xml:space="preserve">homa</w:t>
      </w:r>
      <w:r>
        <w:t xml:space="preserve"> </w:t>
      </w:r>
      <w:r>
        <w:t xml:space="preserve">is made with certain mantras in the sacrifice, at the end of the mantra the word</w:t>
      </w:r>
      <w:r>
        <w:t xml:space="preserve"> </w:t>
      </w:r>
      <w:r>
        <w:rPr>
          <w:iCs/>
          <w:i/>
        </w:rPr>
        <w:t xml:space="preserve">vauṣaṭ</w:t>
      </w:r>
      <w:r>
        <w:t xml:space="preserve"> </w:t>
      </w:r>
      <w:r>
        <w:t xml:space="preserve">is added and uttered as the</w:t>
      </w:r>
      <w:r>
        <w:t xml:space="preserve"> </w:t>
      </w:r>
      <w:r>
        <w:rPr>
          <w:iCs/>
          <w:i/>
        </w:rPr>
        <w:t xml:space="preserve">svāhākāra</w:t>
      </w:r>
      <w:r>
        <w:t xml:space="preserve"> </w:t>
      </w:r>
      <w:r>
        <w:t xml:space="preserve">is; that is called</w:t>
      </w:r>
      <w:r>
        <w:t xml:space="preserve"> </w:t>
      </w:r>
      <w:r>
        <w:rPr>
          <w:iCs/>
          <w:i/>
        </w:rPr>
        <w:t xml:space="preserve">vaṣaṭkṛti</w:t>
      </w:r>
      <w:r>
        <w:t xml:space="preserve"> </w:t>
      </w:r>
      <w:r>
        <w:t xml:space="preserve">or</w:t>
      </w:r>
      <w:r>
        <w:t xml:space="preserve"> </w:t>
      </w:r>
      <w:r>
        <w:rPr>
          <w:iCs/>
          <w:i/>
        </w:rPr>
        <w:t xml:space="preserve">vaṣaṭkāra</w:t>
      </w:r>
      <w:r>
        <w:t xml:space="preserve">.</w:t>
      </w:r>
    </w:p>
    <w:p>
      <w:pPr>
        <w:pStyle w:val="BodyText"/>
      </w:pPr>
      <w:r>
        <w:rPr>
          <w:bCs/>
          <w:b/>
        </w:rPr>
        <w:t xml:space="preserve">॥ Vyākaraṇa-prakriyā ॥</w:t>
      </w:r>
      <w:r>
        <w:t xml:space="preserve"> </w:t>
      </w:r>
      <w:r>
        <w:rPr>
          <w:iCs/>
          <w:i/>
        </w:rPr>
        <w:t xml:space="preserve">(grammar pages 612–613, noted briefly)</w:t>
      </w:r>
    </w:p>
    <w:p>
      <w:pPr>
        <w:pStyle w:val="BodyText"/>
      </w:pPr>
      <w:r>
        <w:rPr>
          <w:bCs/>
          <w:b/>
        </w:rPr>
        <w:t xml:space="preserve">यजत्राः (</w:t>
      </w:r>
      <w:r>
        <w:rPr>
          <w:iCs/>
          <w:i/>
          <w:bCs/>
          <w:b/>
        </w:rPr>
        <w:t xml:space="preserve">yajatrāḥ</w:t>
      </w:r>
      <w:r>
        <w:rPr>
          <w:bCs/>
          <w:b/>
        </w:rPr>
        <w:t xml:space="preserve">)</w:t>
      </w:r>
      <w:r>
        <w:t xml:space="preserve">: explained in the preceding mantra.</w:t>
      </w:r>
    </w:p>
    <w:p>
      <w:pPr>
        <w:pStyle w:val="BodyText"/>
      </w:pPr>
      <w:r>
        <w:rPr>
          <w:bCs/>
          <w:b/>
        </w:rPr>
        <w:t xml:space="preserve">ईड्याः (</w:t>
      </w:r>
      <w:r>
        <w:rPr>
          <w:iCs/>
          <w:i/>
          <w:bCs/>
          <w:b/>
        </w:rPr>
        <w:t xml:space="preserve">īḍyāḥ</w:t>
      </w:r>
      <w:r>
        <w:rPr>
          <w:bCs/>
          <w:b/>
        </w:rPr>
        <w:t xml:space="preserve">)</w:t>
      </w:r>
      <w:r>
        <w:t xml:space="preserve">:</w:t>
      </w:r>
      <w:r>
        <w:t xml:space="preserve"> </w:t>
      </w:r>
      <w:r>
        <w:rPr>
          <w:iCs/>
          <w:i/>
        </w:rPr>
        <w:t xml:space="preserve">īḍa stutau</w:t>
      </w:r>
      <w:r>
        <w:t xml:space="preserve">, consonant-final;</w:t>
      </w:r>
      <w:r>
        <w:t xml:space="preserve"> </w:t>
      </w:r>
      <w:r>
        <w:t xml:space="preserve">“</w:t>
      </w:r>
      <w:r>
        <w:t xml:space="preserve">ṛhalor ṇyat</w:t>
      </w:r>
      <w:r>
        <w:t xml:space="preserve">”</w:t>
      </w:r>
      <w:r>
        <w:t xml:space="preserve"> </w:t>
      </w:r>
      <w:r>
        <w:t xml:space="preserve">(Pā. sū.</w:t>
      </w:r>
      <w:r>
        <w:t xml:space="preserve"> </w:t>
      </w:r>
      <w:r>
        <w:t xml:space="preserve">“</w:t>
      </w:r>
      <w:r>
        <w:t xml:space="preserve">3-1-124</w:t>
      </w:r>
      <w:r>
        <w:t xml:space="preserve">”</w:t>
      </w:r>
      <w:r>
        <w:t xml:space="preserve"> </w:t>
      </w:r>
      <w:r>
        <w:t xml:space="preserve">[?]): after roots ending in</w:t>
      </w:r>
      <w:r>
        <w:t xml:space="preserve"> </w:t>
      </w:r>
      <w:r>
        <w:rPr>
          <w:iCs/>
          <w:i/>
        </w:rPr>
        <w:t xml:space="preserve">ṛ</w:t>
      </w:r>
      <w:r>
        <w:t xml:space="preserve"> </w:t>
      </w:r>
      <w:r>
        <w:t xml:space="preserve">or a consonant the suffix</w:t>
      </w:r>
      <w:r>
        <w:t xml:space="preserve"> </w:t>
      </w:r>
      <w:r>
        <w:rPr>
          <w:iCs/>
          <w:i/>
        </w:rPr>
        <w:t xml:space="preserve">ṇyat</w:t>
      </w:r>
      <w:r>
        <w:t xml:space="preserve">; so</w:t>
      </w:r>
      <w:r>
        <w:t xml:space="preserve"> </w:t>
      </w:r>
      <w:r>
        <w:rPr>
          <w:iCs/>
          <w:i/>
        </w:rPr>
        <w:t xml:space="preserve">ṇyat</w:t>
      </w:r>
      <w:r>
        <w:t xml:space="preserve"> </w:t>
      </w:r>
      <w:r>
        <w:t xml:space="preserve">after</w:t>
      </w:r>
      <w:r>
        <w:t xml:space="preserve"> </w:t>
      </w:r>
      <w:r>
        <w:rPr>
          <w:iCs/>
          <w:i/>
        </w:rPr>
        <w:t xml:space="preserve">īḍ</w:t>
      </w:r>
      <w:r>
        <w:t xml:space="preserve">. The</w:t>
      </w:r>
      <w:r>
        <w:t xml:space="preserve"> </w:t>
      </w:r>
      <w:r>
        <w:rPr>
          <w:iCs/>
          <w:i/>
        </w:rPr>
        <w:t xml:space="preserve">t</w:t>
      </w:r>
      <w:r>
        <w:t xml:space="preserve"> </w:t>
      </w:r>
      <w:r>
        <w:t xml:space="preserve">of</w:t>
      </w:r>
      <w:r>
        <w:t xml:space="preserve"> </w:t>
      </w:r>
      <w:r>
        <w:rPr>
          <w:iCs/>
          <w:i/>
        </w:rPr>
        <w:t xml:space="preserve">ṇyat</w:t>
      </w:r>
      <w:r>
        <w:t xml:space="preserve"> </w:t>
      </w:r>
      <w:r>
        <w:t xml:space="preserve">is</w:t>
      </w:r>
      <w:r>
        <w:t xml:space="preserve"> </w:t>
      </w:r>
      <w:r>
        <w:rPr>
          <w:iCs/>
          <w:i/>
        </w:rPr>
        <w:t xml:space="preserve">it</w:t>
      </w:r>
      <w:r>
        <w:t xml:space="preserve">, so</w:t>
      </w:r>
      <w:r>
        <w:t xml:space="preserve"> </w:t>
      </w:r>
      <w:r>
        <w:t xml:space="preserve">“</w:t>
      </w:r>
      <w:r>
        <w:t xml:space="preserve">tit svaritam</w:t>
      </w:r>
      <w:r>
        <w:t xml:space="preserve">”</w:t>
      </w:r>
      <w:r>
        <w:t xml:space="preserve"> </w:t>
      </w:r>
      <w:r>
        <w:t xml:space="preserve">(Pā. sū.</w:t>
      </w:r>
      <w:r>
        <w:t xml:space="preserve"> </w:t>
      </w:r>
      <w:r>
        <w:t xml:space="preserve">“</w:t>
      </w:r>
      <w:r>
        <w:t xml:space="preserve">6-1-185</w:t>
      </w:r>
      <w:r>
        <w:t xml:space="preserve">”</w:t>
      </w:r>
      <w:r>
        <w:t xml:space="preserve"> </w:t>
      </w:r>
      <w:r>
        <w:t xml:space="preserve">[?]) would make it svarita; but, overriding it,</w:t>
      </w:r>
      <w:r>
        <w:t xml:space="preserve"> </w:t>
      </w:r>
      <w:r>
        <w:t xml:space="preserve">“</w:t>
      </w:r>
      <w:r>
        <w:t xml:space="preserve">īḍavandavṛśaṃsaduhāṃ ṇyataḥ</w:t>
      </w:r>
      <w:r>
        <w:t xml:space="preserve">”</w:t>
      </w:r>
      <w:r>
        <w:t xml:space="preserve"> </w:t>
      </w:r>
      <w:r>
        <w:t xml:space="preserve">(Pā. sū.</w:t>
      </w:r>
    </w:p>
    <w:bookmarkEnd w:id="655"/>
    <w:bookmarkStart w:id="656" w:name="page-613-rik-8-grammar-end"/>
    <w:p>
      <w:pPr>
        <w:pStyle w:val="Heading3"/>
      </w:pPr>
      <w:r>
        <w:t xml:space="preserve">Page 613 — Rik 8: grammar (end)</w:t>
      </w:r>
    </w:p>
    <w:p>
      <w:pPr>
        <w:pStyle w:val="FirstParagraph"/>
      </w:pPr>
      <w:r>
        <w:t xml:space="preserve">6-1-214): the first syllable of these roots before</w:t>
      </w:r>
      <w:r>
        <w:t xml:space="preserve"> </w:t>
      </w:r>
      <w:r>
        <w:rPr>
          <w:iCs/>
          <w:i/>
        </w:rPr>
        <w:t xml:space="preserve">ṇyat</w:t>
      </w:r>
      <w:r>
        <w:t xml:space="preserve"> </w:t>
      </w:r>
      <w:r>
        <w:t xml:space="preserve">is udātta; so</w:t>
      </w:r>
      <w:r>
        <w:t xml:space="preserve"> </w:t>
      </w:r>
      <w:r>
        <w:rPr>
          <w:iCs/>
          <w:i/>
        </w:rPr>
        <w:t xml:space="preserve">īḍya</w:t>
      </w:r>
      <w:r>
        <w:t xml:space="preserve"> </w:t>
      </w:r>
      <w:r>
        <w:t xml:space="preserve">is initial udātta.</w:t>
      </w:r>
    </w:p>
    <w:p>
      <w:pPr>
        <w:pStyle w:val="BodyText"/>
      </w:pPr>
      <w:r>
        <w:rPr>
          <w:bCs/>
          <w:b/>
        </w:rPr>
        <w:t xml:space="preserve">ते (</w:t>
      </w:r>
      <w:r>
        <w:rPr>
          <w:iCs/>
          <w:i/>
          <w:bCs/>
          <w:b/>
        </w:rPr>
        <w:t xml:space="preserve">te</w:t>
      </w:r>
      <w:r>
        <w:rPr>
          <w:bCs/>
          <w:b/>
        </w:rPr>
        <w:t xml:space="preserve">)</w:t>
      </w:r>
      <w:r>
        <w:t xml:space="preserve">:</w:t>
      </w:r>
      <w:r>
        <w:t xml:space="preserve"> </w:t>
      </w:r>
      <w:r>
        <w:rPr>
          <w:iCs/>
          <w:i/>
        </w:rPr>
        <w:t xml:space="preserve">tad</w:t>
      </w:r>
      <w:r>
        <w:t xml:space="preserve"> </w:t>
      </w:r>
      <w:r>
        <w:t xml:space="preserve">+</w:t>
      </w:r>
      <w:r>
        <w:t xml:space="preserve"> </w:t>
      </w:r>
      <w:r>
        <w:rPr>
          <w:iCs/>
          <w:i/>
        </w:rPr>
        <w:t xml:space="preserve">jas</w:t>
      </w:r>
      <w:r>
        <w:t xml:space="preserve">.</w:t>
      </w:r>
      <w:r>
        <w:t xml:space="preserve"> </w:t>
      </w:r>
      <w:r>
        <w:t xml:space="preserve">“</w:t>
      </w:r>
      <w:r>
        <w:t xml:space="preserve">tyadādīnām aḥ</w:t>
      </w:r>
      <w:r>
        <w:t xml:space="preserve">”</w:t>
      </w:r>
      <w:r>
        <w:t xml:space="preserve"> </w:t>
      </w:r>
      <w:r>
        <w:t xml:space="preserve">(Pā. sū. 7-2-102): before a case ending the final of the</w:t>
      </w:r>
      <w:r>
        <w:t xml:space="preserve"> </w:t>
      </w:r>
      <w:r>
        <w:rPr>
          <w:iCs/>
          <w:i/>
        </w:rPr>
        <w:t xml:space="preserve">tyadādi</w:t>
      </w:r>
      <w:r>
        <w:t xml:space="preserve"> </w:t>
      </w:r>
      <w:r>
        <w:t xml:space="preserve">words becomes</w:t>
      </w:r>
      <w:r>
        <w:t xml:space="preserve"> </w:t>
      </w:r>
      <w:r>
        <w:rPr>
          <w:iCs/>
          <w:i/>
        </w:rPr>
        <w:t xml:space="preserve">a</w:t>
      </w:r>
      <w:r>
        <w:t xml:space="preserve">:</w:t>
      </w:r>
      <w:r>
        <w:t xml:space="preserve"> </w:t>
      </w:r>
      <w:r>
        <w:rPr>
          <w:iCs/>
          <w:i/>
        </w:rPr>
        <w:t xml:space="preserve">ta</w:t>
      </w:r>
      <w:r>
        <w:t xml:space="preserve"> </w:t>
      </w:r>
      <w:r>
        <w:t xml:space="preserve">+</w:t>
      </w:r>
      <w:r>
        <w:t xml:space="preserve"> </w:t>
      </w:r>
      <w:r>
        <w:rPr>
          <w:iCs/>
          <w:i/>
        </w:rPr>
        <w:t xml:space="preserve">a</w:t>
      </w:r>
      <w:r>
        <w:t xml:space="preserve">;</w:t>
      </w:r>
      <w:r>
        <w:t xml:space="preserve"> </w:t>
      </w:r>
      <w:r>
        <w:rPr>
          <w:iCs/>
          <w:i/>
        </w:rPr>
        <w:t xml:space="preserve">pararūpa</w:t>
      </w:r>
      <w:r>
        <w:t xml:space="preserve"> </w:t>
      </w:r>
      <w:r>
        <w:t xml:space="preserve">by</w:t>
      </w:r>
      <w:r>
        <w:t xml:space="preserve"> </w:t>
      </w:r>
      <w:r>
        <w:t xml:space="preserve">“</w:t>
      </w:r>
      <w:r>
        <w:t xml:space="preserve">ato guṇe</w:t>
      </w:r>
      <w:r>
        <w:t xml:space="preserve">”</w:t>
      </w:r>
      <w:r>
        <w:t xml:space="preserve"> </w:t>
      </w:r>
      <w:r>
        <w:t xml:space="preserve">(Pā. sū. 6-1-97);</w:t>
      </w:r>
      <w:r>
        <w:t xml:space="preserve"> </w:t>
      </w:r>
      <w:r>
        <w:t xml:space="preserve">“</w:t>
      </w:r>
      <w:r>
        <w:t xml:space="preserve">jasaḥ śī</w:t>
      </w:r>
      <w:r>
        <w:t xml:space="preserve">”</w:t>
      </w:r>
      <w:r>
        <w:t xml:space="preserve"> </w:t>
      </w:r>
      <w:r>
        <w:t xml:space="preserve">(Pā. sū. 7-1-17) gives</w:t>
      </w:r>
      <w:r>
        <w:t xml:space="preserve"> </w:t>
      </w:r>
      <w:r>
        <w:rPr>
          <w:iCs/>
          <w:i/>
        </w:rPr>
        <w:t xml:space="preserve">śī</w:t>
      </w:r>
      <w:r>
        <w:t xml:space="preserve"> </w:t>
      </w:r>
      <w:r>
        <w:t xml:space="preserve">for</w:t>
      </w:r>
      <w:r>
        <w:t xml:space="preserve"> </w:t>
      </w:r>
      <w:r>
        <w:rPr>
          <w:iCs/>
          <w:i/>
        </w:rPr>
        <w:t xml:space="preserve">jas</w:t>
      </w:r>
      <w:r>
        <w:t xml:space="preserve"> </w:t>
      </w:r>
      <w:r>
        <w:t xml:space="preserve">after an</w:t>
      </w:r>
      <w:r>
        <w:t xml:space="preserve"> </w:t>
      </w:r>
      <w:r>
        <w:rPr>
          <w:iCs/>
          <w:i/>
        </w:rPr>
        <w:t xml:space="preserve">a</w:t>
      </w:r>
      <w:r>
        <w:t xml:space="preserve">-final pronoun; it is not</w:t>
      </w:r>
      <w:r>
        <w:t xml:space="preserve"> </w:t>
      </w:r>
      <w:r>
        <w:rPr>
          <w:iCs/>
          <w:i/>
        </w:rPr>
        <w:t xml:space="preserve">anekāl</w:t>
      </w:r>
      <w:r>
        <w:t xml:space="preserve">, but by</w:t>
      </w:r>
      <w:r>
        <w:t xml:space="preserve"> </w:t>
      </w:r>
      <w:r>
        <w:t xml:space="preserve">“</w:t>
      </w:r>
      <w:r>
        <w:t xml:space="preserve">anekālśit sarvasya</w:t>
      </w:r>
      <w:r>
        <w:t xml:space="preserve">”</w:t>
      </w:r>
      <w:r>
        <w:t xml:space="preserve"> </w:t>
      </w:r>
      <w:r>
        <w:t xml:space="preserve">(Pā. sū. 1-1-55) it replaces the whole;</w:t>
      </w:r>
      <w:r>
        <w:t xml:space="preserve"> </w:t>
      </w:r>
      <w:r>
        <w:rPr>
          <w:iCs/>
          <w:i/>
        </w:rPr>
        <w:t xml:space="preserve">guṇa</w:t>
      </w:r>
      <w:r>
        <w:t xml:space="preserve"> </w:t>
      </w:r>
      <w:r>
        <w:t xml:space="preserve">by</w:t>
      </w:r>
      <w:r>
        <w:t xml:space="preserve"> </w:t>
      </w:r>
      <w:r>
        <w:t xml:space="preserve">“</w:t>
      </w:r>
      <w:r>
        <w:t xml:space="preserve">ād guṇaḥ</w:t>
      </w:r>
      <w:r>
        <w:t xml:space="preserve">”</w:t>
      </w:r>
      <w:r>
        <w:t xml:space="preserve"> </w:t>
      </w:r>
      <w:r>
        <w:t xml:space="preserve">(Pā. sū. 6-1-87):</w:t>
      </w:r>
      <w:r>
        <w:t xml:space="preserve"> </w:t>
      </w:r>
      <w:r>
        <w:rPr>
          <w:iCs/>
          <w:i/>
        </w:rPr>
        <w:t xml:space="preserve">te</w:t>
      </w:r>
      <w:r>
        <w:t xml:space="preserve">. By</w:t>
      </w:r>
      <w:r>
        <w:t xml:space="preserve"> </w:t>
      </w:r>
      <w:r>
        <w:t xml:space="preserve">“</w:t>
      </w:r>
      <w:r>
        <w:t xml:space="preserve">phiṣo ’nta udāttaḥ</w:t>
      </w:r>
      <w:r>
        <w:t xml:space="preserve">”</w:t>
      </w:r>
      <w:r>
        <w:t xml:space="preserve"> </w:t>
      </w:r>
      <w:r>
        <w:t xml:space="preserve">(Phi. sū. 1)</w:t>
      </w:r>
      <w:r>
        <w:t xml:space="preserve"> </w:t>
      </w:r>
      <w:r>
        <w:rPr>
          <w:iCs/>
          <w:i/>
        </w:rPr>
        <w:t xml:space="preserve">tad</w:t>
      </w:r>
      <w:r>
        <w:t xml:space="preserve"> </w:t>
      </w:r>
      <w:r>
        <w:t xml:space="preserve">is final udātta;</w:t>
      </w:r>
      <w:r>
        <w:t xml:space="preserve"> </w:t>
      </w:r>
      <w:r>
        <w:rPr>
          <w:iCs/>
          <w:i/>
        </w:rPr>
        <w:t xml:space="preserve">pararūpa</w:t>
      </w:r>
      <w:r>
        <w:t xml:space="preserve"> </w:t>
      </w:r>
      <w:r>
        <w:t xml:space="preserve">and</w:t>
      </w:r>
      <w:r>
        <w:t xml:space="preserve"> </w:t>
      </w:r>
      <w:r>
        <w:rPr>
          <w:iCs/>
          <w:i/>
        </w:rPr>
        <w:t xml:space="preserve">guṇa</w:t>
      </w:r>
      <w:r>
        <w:t xml:space="preserve"> </w:t>
      </w:r>
      <w:r>
        <w:t xml:space="preserve">are single replacements, udātta by</w:t>
      </w:r>
      <w:r>
        <w:t xml:space="preserve"> </w:t>
      </w:r>
      <w:r>
        <w:t xml:space="preserve">“</w:t>
      </w:r>
      <w:r>
        <w:t xml:space="preserve">ekādeśa udāttenodāttaḥ</w:t>
      </w:r>
      <w:r>
        <w:t xml:space="preserve">”</w:t>
      </w:r>
      <w:r>
        <w:t xml:space="preserve">.</w:t>
      </w:r>
    </w:p>
    <w:p>
      <w:pPr>
        <w:pStyle w:val="BodyText"/>
      </w:pPr>
      <w:r>
        <w:rPr>
          <w:bCs/>
          <w:b/>
        </w:rPr>
        <w:t xml:space="preserve">ते (</w:t>
      </w:r>
      <w:r>
        <w:rPr>
          <w:iCs/>
          <w:i/>
          <w:bCs/>
          <w:b/>
        </w:rPr>
        <w:t xml:space="preserve">te</w:t>
      </w:r>
      <w:r>
        <w:rPr>
          <w:bCs/>
          <w:b/>
        </w:rPr>
        <w:t xml:space="preserve">)</w:t>
      </w:r>
      <w:r>
        <w:t xml:space="preserve">: this is the replacement for</w:t>
      </w:r>
      <w:r>
        <w:t xml:space="preserve"> </w:t>
      </w:r>
      <w:r>
        <w:rPr>
          <w:iCs/>
          <w:i/>
        </w:rPr>
        <w:t xml:space="preserve">tava</w:t>
      </w:r>
      <w:r>
        <w:t xml:space="preserve">, the genitive singular of</w:t>
      </w:r>
      <w:r>
        <w:t xml:space="preserve"> </w:t>
      </w:r>
      <w:r>
        <w:rPr>
          <w:iCs/>
          <w:i/>
        </w:rPr>
        <w:t xml:space="preserve">yuṣmad</w:t>
      </w:r>
      <w:r>
        <w:t xml:space="preserve">; so it is wholly unaccented.</w:t>
      </w:r>
    </w:p>
    <w:p>
      <w:pPr>
        <w:pStyle w:val="BodyText"/>
      </w:pPr>
      <w:r>
        <w:rPr>
          <w:bCs/>
          <w:b/>
        </w:rPr>
        <w:t xml:space="preserve">मधोः (</w:t>
      </w:r>
      <w:r>
        <w:rPr>
          <w:iCs/>
          <w:i/>
          <w:bCs/>
          <w:b/>
        </w:rPr>
        <w:t xml:space="preserve">madhoḥ</w:t>
      </w:r>
      <w:r>
        <w:rPr>
          <w:bCs/>
          <w:b/>
        </w:rPr>
        <w:t xml:space="preserve">)</w:t>
      </w:r>
      <w:r>
        <w:t xml:space="preserve">: the suffix</w:t>
      </w:r>
      <w:r>
        <w:t xml:space="preserve"> </w:t>
      </w:r>
      <w:r>
        <w:rPr>
          <w:iCs/>
          <w:i/>
        </w:rPr>
        <w:t xml:space="preserve">u</w:t>
      </w:r>
      <w:r>
        <w:t xml:space="preserve"> </w:t>
      </w:r>
      <w:r>
        <w:t xml:space="preserve">is</w:t>
      </w:r>
      <w:r>
        <w:t xml:space="preserve"> </w:t>
      </w:r>
      <w:r>
        <w:rPr>
          <w:iCs/>
          <w:i/>
        </w:rPr>
        <w:t xml:space="preserve">nit</w:t>
      </w:r>
      <w:r>
        <w:t xml:space="preserve"> </w:t>
      </w:r>
      <w:r>
        <w:t xml:space="preserve">by extension, so</w:t>
      </w:r>
      <w:r>
        <w:t xml:space="preserve"> </w:t>
      </w:r>
      <w:r>
        <w:rPr>
          <w:iCs/>
          <w:i/>
        </w:rPr>
        <w:t xml:space="preserve">madhu</w:t>
      </w:r>
      <w:r>
        <w:t xml:space="preserve"> </w:t>
      </w:r>
      <w:r>
        <w:t xml:space="preserve">is initial udātta, as set out in Sū. 13, Ṛk 2; here masculine by</w:t>
      </w:r>
      <w:r>
        <w:t xml:space="preserve"> </w:t>
      </w:r>
      <w:r>
        <w:rPr>
          <w:iCs/>
          <w:i/>
        </w:rPr>
        <w:t xml:space="preserve">vyatyaya</w:t>
      </w:r>
      <w:r>
        <w:t xml:space="preserve">. Genitive singular</w:t>
      </w:r>
      <w:r>
        <w:t xml:space="preserve"> </w:t>
      </w:r>
      <w:r>
        <w:t xml:space="preserve">“</w:t>
      </w:r>
      <w:r>
        <w:t xml:space="preserve">jas</w:t>
      </w:r>
      <w:r>
        <w:t xml:space="preserve">”</w:t>
      </w:r>
      <w:r>
        <w:t xml:space="preserve"> </w:t>
      </w:r>
      <w:r>
        <w:t xml:space="preserve">[as printed, for</w:t>
      </w:r>
      <w:r>
        <w:t xml:space="preserve"> </w:t>
      </w:r>
      <w:r>
        <w:rPr>
          <w:iCs/>
          <w:i/>
        </w:rPr>
        <w:t xml:space="preserve">ṅas</w:t>
      </w:r>
      <w:r>
        <w:t xml:space="preserve">]; by</w:t>
      </w:r>
      <w:r>
        <w:t xml:space="preserve"> </w:t>
      </w:r>
      <w:r>
        <w:t xml:space="preserve">“</w:t>
      </w:r>
      <w:r>
        <w:t xml:space="preserve">śeṣo ghy asakhi</w:t>
      </w:r>
      <w:r>
        <w:t xml:space="preserve">”</w:t>
      </w:r>
      <w:r>
        <w:t xml:space="preserve"> </w:t>
      </w:r>
      <w:r>
        <w:t xml:space="preserve">it is</w:t>
      </w:r>
      <w:r>
        <w:t xml:space="preserve"> </w:t>
      </w:r>
      <w:r>
        <w:rPr>
          <w:iCs/>
          <w:i/>
        </w:rPr>
        <w:t xml:space="preserve">ghi</w:t>
      </w:r>
      <w:r>
        <w:t xml:space="preserve">, so by</w:t>
      </w:r>
      <w:r>
        <w:t xml:space="preserve"> </w:t>
      </w:r>
      <w:r>
        <w:t xml:space="preserve">“</w:t>
      </w:r>
      <w:r>
        <w:t xml:space="preserve">gher ṅiti</w:t>
      </w:r>
      <w:r>
        <w:t xml:space="preserve">”</w:t>
      </w:r>
      <w:r>
        <w:t xml:space="preserve"> </w:t>
      </w:r>
      <w:r>
        <w:rPr>
          <w:iCs/>
          <w:i/>
        </w:rPr>
        <w:t xml:space="preserve">guṇa</w:t>
      </w:r>
      <w:r>
        <w:t xml:space="preserve">,</w:t>
      </w:r>
      <w:r>
        <w:t xml:space="preserve"> </w:t>
      </w:r>
      <w:r>
        <w:rPr>
          <w:iCs/>
          <w:i/>
        </w:rPr>
        <w:t xml:space="preserve">o</w:t>
      </w:r>
      <w:r>
        <w:t xml:space="preserve"> </w:t>
      </w:r>
      <w:r>
        <w:t xml:space="preserve">for the</w:t>
      </w:r>
      <w:r>
        <w:t xml:space="preserve"> </w:t>
      </w:r>
      <w:r>
        <w:rPr>
          <w:iCs/>
          <w:i/>
        </w:rPr>
        <w:t xml:space="preserve">u</w:t>
      </w:r>
      <w:r>
        <w:t xml:space="preserve">;</w:t>
      </w:r>
      <w:r>
        <w:t xml:space="preserve"> </w:t>
      </w:r>
      <w:r>
        <w:t xml:space="preserve">“</w:t>
      </w:r>
      <w:r>
        <w:t xml:space="preserve">ṅasiṅasoś ca</w:t>
      </w:r>
      <w:r>
        <w:t xml:space="preserve">”</w:t>
      </w:r>
      <w:r>
        <w:t xml:space="preserve"> </w:t>
      </w:r>
      <w:r>
        <w:t xml:space="preserve">(Pā. sū. 6-1-110): after</w:t>
      </w:r>
      <w:r>
        <w:t xml:space="preserve"> </w:t>
      </w:r>
      <w:r>
        <w:rPr>
          <w:iCs/>
          <w:i/>
        </w:rPr>
        <w:t xml:space="preserve">e</w:t>
      </w:r>
      <w:r>
        <w:t xml:space="preserve"> </w:t>
      </w:r>
      <w:r>
        <w:t xml:space="preserve">and</w:t>
      </w:r>
      <w:r>
        <w:t xml:space="preserve"> </w:t>
      </w:r>
      <w:r>
        <w:rPr>
          <w:iCs/>
          <w:i/>
        </w:rPr>
        <w:t xml:space="preserve">o</w:t>
      </w:r>
      <w:r>
        <w:t xml:space="preserve">, the</w:t>
      </w:r>
      <w:r>
        <w:t xml:space="preserve"> </w:t>
      </w:r>
      <w:r>
        <w:rPr>
          <w:iCs/>
          <w:i/>
        </w:rPr>
        <w:t xml:space="preserve">a</w:t>
      </w:r>
      <w:r>
        <w:t xml:space="preserve"> </w:t>
      </w:r>
      <w:r>
        <w:t xml:space="preserve">of</w:t>
      </w:r>
      <w:r>
        <w:t xml:space="preserve"> </w:t>
      </w:r>
      <w:r>
        <w:rPr>
          <w:iCs/>
          <w:i/>
        </w:rPr>
        <w:t xml:space="preserve">ṅasi</w:t>
      </w:r>
      <w:r>
        <w:t xml:space="preserve"> </w:t>
      </w:r>
      <w:r>
        <w:t xml:space="preserve">and</w:t>
      </w:r>
      <w:r>
        <w:t xml:space="preserve"> </w:t>
      </w:r>
      <w:r>
        <w:rPr>
          <w:iCs/>
          <w:i/>
        </w:rPr>
        <w:t xml:space="preserve">ṅas</w:t>
      </w:r>
      <w:r>
        <w:t xml:space="preserve"> </w:t>
      </w:r>
      <w:r>
        <w:t xml:space="preserve">gives</w:t>
      </w:r>
      <w:r>
        <w:t xml:space="preserve"> </w:t>
      </w:r>
      <w:r>
        <w:rPr>
          <w:iCs/>
          <w:i/>
        </w:rPr>
        <w:t xml:space="preserve">pūrvarūpa</w:t>
      </w:r>
      <w:r>
        <w:t xml:space="preserve">;</w:t>
      </w:r>
      <w:r>
        <w:t xml:space="preserve"> </w:t>
      </w:r>
      <w:r>
        <w:rPr>
          <w:iCs/>
          <w:i/>
        </w:rPr>
        <w:t xml:space="preserve">ru</w:t>
      </w:r>
      <w:r>
        <w:t xml:space="preserve">, visarga.</w:t>
      </w:r>
    </w:p>
    <w:p>
      <w:pPr>
        <w:pStyle w:val="BodyText"/>
      </w:pPr>
      <w:r>
        <w:rPr>
          <w:bCs/>
          <w:b/>
        </w:rPr>
        <w:t xml:space="preserve">अग्ने (</w:t>
      </w:r>
      <w:r>
        <w:rPr>
          <w:iCs/>
          <w:i/>
          <w:bCs/>
          <w:b/>
        </w:rPr>
        <w:t xml:space="preserve">agne</w:t>
      </w:r>
      <w:r>
        <w:rPr>
          <w:bCs/>
          <w:b/>
        </w:rPr>
        <w:t xml:space="preserve">)</w:t>
      </w:r>
      <w:r>
        <w:t xml:space="preserve">: lowered as a vocative by the eighth-adhyāya sūtra.</w:t>
      </w:r>
    </w:p>
    <w:p>
      <w:pPr>
        <w:pStyle w:val="BodyText"/>
      </w:pPr>
      <w:r>
        <w:rPr>
          <w:bCs/>
          <w:b/>
        </w:rPr>
        <w:t xml:space="preserve">वषट्कृति (</w:t>
      </w:r>
      <w:r>
        <w:rPr>
          <w:iCs/>
          <w:i/>
          <w:bCs/>
          <w:b/>
        </w:rPr>
        <w:t xml:space="preserve">vaṣaṭkṛti</w:t>
      </w:r>
      <w:r>
        <w:rPr>
          <w:bCs/>
          <w:b/>
        </w:rPr>
        <w:t xml:space="preserve">)</w:t>
      </w:r>
      <w:r>
        <w:t xml:space="preserve">:</w:t>
      </w:r>
      <w:r>
        <w:t xml:space="preserve"> </w:t>
      </w:r>
      <w:r>
        <w:t xml:space="preserve">“</w:t>
      </w:r>
      <w:r>
        <w:t xml:space="preserve">sampadādibhyaḥ kvip</w:t>
      </w:r>
      <w:r>
        <w:t xml:space="preserve">”</w:t>
      </w:r>
      <w:r>
        <w:t xml:space="preserve"> </w:t>
      </w:r>
      <w:r>
        <w:t xml:space="preserve">(Pā. sū. 3-3-108-9):</w:t>
      </w:r>
      <w:r>
        <w:t xml:space="preserve"> </w:t>
      </w:r>
      <w:r>
        <w:rPr>
          <w:iCs/>
          <w:i/>
        </w:rPr>
        <w:t xml:space="preserve">kvip</w:t>
      </w:r>
      <w:r>
        <w:t xml:space="preserve"> </w:t>
      </w:r>
      <w:r>
        <w:t xml:space="preserve">after</w:t>
      </w:r>
      <w:r>
        <w:t xml:space="preserve"> </w:t>
      </w:r>
      <w:r>
        <w:rPr>
          <w:iCs/>
          <w:i/>
        </w:rPr>
        <w:t xml:space="preserve">kṛñ</w:t>
      </w:r>
      <w:r>
        <w:t xml:space="preserve"> </w:t>
      </w:r>
      <w:r>
        <w:t xml:space="preserve">in the action sense;</w:t>
      </w:r>
      <w:r>
        <w:t xml:space="preserve"> </w:t>
      </w:r>
      <w:r>
        <w:rPr>
          <w:iCs/>
          <w:i/>
        </w:rPr>
        <w:t xml:space="preserve">kvip</w:t>
      </w:r>
      <w:r>
        <w:t xml:space="preserve"> </w:t>
      </w:r>
      <w:r>
        <w:t xml:space="preserve">is</w:t>
      </w:r>
      <w:r>
        <w:t xml:space="preserve"> </w:t>
      </w:r>
      <w:r>
        <w:rPr>
          <w:iCs/>
          <w:i/>
        </w:rPr>
        <w:t xml:space="preserve">pit</w:t>
      </w:r>
      <w:r>
        <w:t xml:space="preserve">, a</w:t>
      </w:r>
      <w:r>
        <w:t xml:space="preserve"> </w:t>
      </w:r>
      <w:r>
        <w:rPr>
          <w:iCs/>
          <w:i/>
        </w:rPr>
        <w:t xml:space="preserve">kṛt</w:t>
      </w:r>
      <w:r>
        <w:t xml:space="preserve">, so before it</w:t>
      </w:r>
      <w:r>
        <w:t xml:space="preserve"> </w:t>
      </w:r>
      <w:r>
        <w:rPr>
          <w:iCs/>
          <w:i/>
        </w:rPr>
        <w:t xml:space="preserve">kṛ</w:t>
      </w:r>
      <w:r>
        <w:t xml:space="preserve"> </w:t>
      </w:r>
      <w:r>
        <w:t xml:space="preserve">takes the augment</w:t>
      </w:r>
      <w:r>
        <w:t xml:space="preserve"> </w:t>
      </w:r>
      <w:r>
        <w:rPr>
          <w:iCs/>
          <w:i/>
        </w:rPr>
        <w:t xml:space="preserve">tuk</w:t>
      </w:r>
      <w:r>
        <w:t xml:space="preserve"> </w:t>
      </w:r>
      <w:r>
        <w:t xml:space="preserve">by</w:t>
      </w:r>
      <w:r>
        <w:t xml:space="preserve"> </w:t>
      </w:r>
      <w:r>
        <w:t xml:space="preserve">“</w:t>
      </w:r>
      <w:r>
        <w:t xml:space="preserve">hrasvasya piti kṛti tuk</w:t>
      </w:r>
      <w:r>
        <w:t xml:space="preserve">”</w:t>
      </w:r>
      <w:r>
        <w:t xml:space="preserve">:</w:t>
      </w:r>
      <w:r>
        <w:t xml:space="preserve"> </w:t>
      </w:r>
      <w:r>
        <w:rPr>
          <w:iCs/>
          <w:i/>
        </w:rPr>
        <w:t xml:space="preserve">kṛt</w:t>
      </w:r>
      <w:r>
        <w:t xml:space="preserve">.</w:t>
      </w:r>
      <w:r>
        <w:t xml:space="preserve"> </w:t>
      </w:r>
      <w:r>
        <w:rPr>
          <w:iCs/>
          <w:i/>
        </w:rPr>
        <w:t xml:space="preserve">Vaṣaṭ kṛt yasmin saḥ</w:t>
      </w:r>
      <w:r>
        <w:t xml:space="preserve">, the rite in which there is the making of</w:t>
      </w:r>
      <w:r>
        <w:t xml:space="preserve"> </w:t>
      </w:r>
      <w:r>
        <w:rPr>
          <w:iCs/>
          <w:i/>
        </w:rPr>
        <w:t xml:space="preserve">vaṣaṭ</w:t>
      </w:r>
      <w:r>
        <w:t xml:space="preserve">: by</w:t>
      </w:r>
      <w:r>
        <w:t xml:space="preserve"> </w:t>
      </w:r>
      <w:r>
        <w:t xml:space="preserve">“</w:t>
      </w:r>
      <w:r>
        <w:t xml:space="preserve">bahuvrīhau prakṛtyā pūrvapadam</w:t>
      </w:r>
      <w:r>
        <w:t xml:space="preserve">”</w:t>
      </w:r>
      <w:r>
        <w:t xml:space="preserve"> </w:t>
      </w:r>
      <w:r>
        <w:t xml:space="preserve">the first member keeps its accent;</w:t>
      </w:r>
      <w:r>
        <w:t xml:space="preserve"> </w:t>
      </w:r>
      <w:r>
        <w:rPr>
          <w:iCs/>
          <w:i/>
        </w:rPr>
        <w:t xml:space="preserve">vaṣaṭ</w:t>
      </w:r>
      <w:r>
        <w:t xml:space="preserve"> </w:t>
      </w:r>
      <w:r>
        <w:t xml:space="preserve">is a</w:t>
      </w:r>
      <w:r>
        <w:t xml:space="preserve"> </w:t>
      </w:r>
      <w:r>
        <w:rPr>
          <w:iCs/>
          <w:i/>
        </w:rPr>
        <w:t xml:space="preserve">nipāta</w:t>
      </w:r>
      <w:r>
        <w:t xml:space="preserve">, so initial udātta by</w:t>
      </w:r>
      <w:r>
        <w:t xml:space="preserve"> </w:t>
      </w:r>
      <w:r>
        <w:t xml:space="preserve">“</w:t>
      </w:r>
      <w:r>
        <w:t xml:space="preserve">nipātā ādyudāttāḥ</w:t>
      </w:r>
      <w:r>
        <w:t xml:space="preserve">”</w:t>
      </w:r>
      <w:r>
        <w:t xml:space="preserve"> </w:t>
      </w:r>
      <w:r>
        <w:t xml:space="preserve">(Phi. sū. 80). Locative singular</w:t>
      </w:r>
      <w:r>
        <w:t xml:space="preserve"> </w:t>
      </w:r>
      <w:r>
        <w:rPr>
          <w:iCs/>
          <w:i/>
        </w:rPr>
        <w:t xml:space="preserve">vaṣaṭkṛti</w:t>
      </w:r>
      <w:r>
        <w:t xml:space="preserve">.</w:t>
      </w:r>
    </w:p>
    <w:p>
      <w:pPr>
        <w:pStyle w:val="BodyText"/>
      </w:pPr>
      <w:r>
        <w:rPr>
          <w:bCs/>
          <w:b/>
        </w:rPr>
        <w:t xml:space="preserve">॥८॥</w:t>
      </w:r>
    </w:p>
    <w:p>
      <w:r>
        <w:pict>
          <v:rect style="width:0;height:1.5pt" o:hralign="center" o:hrstd="t" o:hr="t"/>
        </w:pict>
      </w:r>
    </w:p>
    <w:bookmarkEnd w:id="656"/>
    <w:bookmarkStart w:id="657" w:name="page-613-lower-sūkta-14-rik-9"/>
    <w:p>
      <w:pPr>
        <w:pStyle w:val="Heading3"/>
      </w:pPr>
      <w:r>
        <w:t xml:space="preserve">Page 613 (lower) — Sūkta 14, Rik 9</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आ॒कीं सूर्य॑स्य रोच॒नाद्विश्वा॑न्दे॒वाँ उ॑ष॒र्बुधः ।</w:t>
      </w:r>
      <w:r>
        <w:t xml:space="preserve"> </w:t>
      </w:r>
      <w:r>
        <w:t xml:space="preserve">विप्रो॒ होते॒ह व॑क्षति ॥९॥ [accent ?]</w:t>
      </w:r>
    </w:p>
    <w:p>
      <w:pPr>
        <w:pStyle w:val="BlockText"/>
      </w:pPr>
      <w:r>
        <w:rPr>
          <w:iCs/>
          <w:i/>
        </w:rPr>
        <w:t xml:space="preserve">ākī́ṃ sū́ryasya rocanā́d víśvān devā́m̐ uṣarbúdhaḥ |</w:t>
      </w:r>
      <w:r>
        <w:t xml:space="preserve"> </w:t>
      </w:r>
      <w:r>
        <w:rPr>
          <w:iCs/>
          <w:i/>
        </w:rPr>
        <w:t xml:space="preserve">vipro hótehá vakṣati ||9||</w:t>
      </w:r>
      <w:r>
        <w:t xml:space="preserve"> </w:t>
      </w:r>
      <w:r>
        <w:t xml:space="preserve">[accent ?]</w:t>
      </w:r>
    </w:p>
    <w:p>
      <w:pPr>
        <w:pStyle w:val="FirstParagraph"/>
      </w:pPr>
      <w:r>
        <w:rPr>
          <w:iCs/>
          <w:i/>
        </w:rPr>
        <w:t xml:space="preserve">(Line 2: the bars under प्रो and ते are faint at the foot of the page.)</w:t>
      </w:r>
    </w:p>
    <w:bookmarkEnd w:id="657"/>
    <w:bookmarkStart w:id="658" w:name="X4f65387e089c22b1b3f37e31755ee23d6647f4c"/>
    <w:p>
      <w:pPr>
        <w:pStyle w:val="Heading3"/>
      </w:pPr>
      <w:r>
        <w:t xml:space="preserve">Page 614 — Rik 9: Pada, bhāṣya, word-meanings, overall sense, English</w:t>
      </w:r>
    </w:p>
    <w:p>
      <w:pPr>
        <w:pStyle w:val="FirstParagraph"/>
      </w:pPr>
      <w:r>
        <w:rPr>
          <w:bCs/>
          <w:b/>
        </w:rPr>
        <w:t xml:space="preserve">॥ Pada-pāṭhaḥ ॥</w:t>
      </w:r>
    </w:p>
    <w:p>
      <w:pPr>
        <w:pStyle w:val="BlockText"/>
      </w:pPr>
      <w:r>
        <w:t xml:space="preserve">आकीम् । सूर्यस्य । रोचनात् । विश्वान् । देवान् । उषःऽबुधः ॥</w:t>
      </w:r>
      <w:r>
        <w:t xml:space="preserve"> </w:t>
      </w:r>
      <w:r>
        <w:t xml:space="preserve">विप्रः । होता । इह । वक्षति ॥९॥</w:t>
      </w:r>
    </w:p>
    <w:p>
      <w:pPr>
        <w:pStyle w:val="BlockText"/>
      </w:pPr>
      <w:r>
        <w:rPr>
          <w:iCs/>
          <w:i/>
        </w:rPr>
        <w:t xml:space="preserve">ākīm | sūryasya | rocanāt | viśvān | devān | uṣaḥ ’budhaḥ ||</w:t>
      </w:r>
      <w:r>
        <w:t xml:space="preserve"> </w:t>
      </w:r>
      <w:r>
        <w:rPr>
          <w:iCs/>
          <w:i/>
        </w:rPr>
        <w:t xml:space="preserve">vipraḥ | hotā | iha | vakṣati ||9||</w:t>
      </w:r>
    </w:p>
    <w:p>
      <w:pPr>
        <w:pStyle w:val="FirstParagraph"/>
      </w:pPr>
      <w:r>
        <w:rPr>
          <w:bCs/>
          <w:b/>
        </w:rPr>
        <w:t xml:space="preserve">॥ Sāyaṇa-bhāṣyam ॥</w:t>
      </w:r>
    </w:p>
    <w:p>
      <w:pPr>
        <w:pStyle w:val="BlockText"/>
      </w:pPr>
      <w:r>
        <w:t xml:space="preserve">विप्रो मेधावी होता होमनिष्पादको ऽग्निरुषर्बुध उषःकाले यागगमनाय प्रबुध्यमानान्विश्वान्देवान्सूर्यस्य सम्बन्धिनो रोचनात्स्वर्गलोकादिह कर्मण्याकीं वक्षति । आवहतु ॥ आकीं । निपात आद्युदात्तः । सूर्यस्य । सूर्यशब्दो राजसूयसूर्येत्यादिना । पा. ३-१-११४ । क्यप्प्रत्ययान्तो निपातितः । क्यपः पित्त्वाद्धातुस्वरेणाद्युदात्तः । रोचनात् । रोचमानात् । रुच दीप्तौ । अनुदात्तेतश्च हलादेः । पा. ३-२-१४९ । इति कर्तरि युच् । चित इत्यन्तोदात्तत्वं । विश्वान् । विशेः क्वनन्तो नित्त्वादाद्युदात्तः । उषर्बुधः । उषसि बुध्यन्त इत्युषर्बुधः । क्विप्चेति क्विप् । धातुस्वरेणोकार उदात्तः । समासे कृदुत्तरपदप्रकृतिस्वरत्वं । विप्रः । ऋज्रेन्द्रेत्यादिना रन् । नित्त्वादाद्युदात्तः । होता । ह्वयतेस्ताच्छील्ये तृन् । बहुलं छन्दसीति सम्प्रसारणं । परपूर्वत्वं । गुणः । नित्त्वादाद्युदात्तः । इह । इदमो ह इति हप्रत्ययः । इदम इशिति इश् । शित्त्वात्सर्वादेशः । प्रत्ययस्वरः । वक्षति । वहेः प्रार्थनायां लिङर्थे लेट् । तस्य तिप् । कर्तरि शप् । शपि परतः सिब्बहुलं लेटीति सिप् । ढत्वकत्वषत्वानि । तिङ्ङतिङ इति निघातः ॥</w:t>
      </w:r>
    </w:p>
    <w:p>
      <w:pPr>
        <w:pStyle w:val="BlockText"/>
      </w:pPr>
      <w:r>
        <w:rPr>
          <w:iCs/>
          <w:i/>
        </w:rPr>
        <w:t xml:space="preserve">vipro medhāvī hotā homaniṣpādako ’gniruṣarbudha uṣaḥkāle yāgagamanāya prabudhyamānānviśvāndevānsūryasya sambandhino rocanātsvargalokādiha karmaṇyākīṃ vakṣati | āvahatu || ākīṃ | nipāta ādyudāttaḥ | sūryasya | sūryaśabdo rājasūyasūryetyādinā | pā. 3-1-114 | kyappratyayānto nipātitaḥ | kyapaḥ pittvāddhātusvareṇādyudāttaḥ | rocanāt | rocamānāt | ruca dīptau | anudāttetaśca halādeḥ | pā. 3-2-149 | iti kartari yuc | cita ityantodāttatvaṃ | viśvān | viśeḥ kvananto nittvādādyudāttaḥ | uṣarbudhaḥ | uṣasi budhyanta ityuṣarbudhaḥ | kvipceti kvip | dhātusvareṇokāra udāttaḥ | samāse kṛduttarapadaprakṛtisvaratvaṃ | vipraḥ | ṛjrendretyādinā ran | nittvādādyudāttaḥ | hotā | hvayatestācchīlye tṛn | bahulaṃ chandasīti samprasāraṇaṃ | parapūrvatvaṃ | guṇaḥ | nittvādādyudāttaḥ | iha | idamo ha iti hapratyayaḥ | idama iśiti iś | śittvātsarvādeśaḥ | pratyayasvaraḥ | vakṣati | vaheḥ prārthanāyāṃ liṅarthe leṭ | tasya tip | kartari śap | śapi parataḥ sibbahulaṃ leṭīti sip | ḍhatvakatvaṣatvāni | tiṅṅatiṅa iti nighātaḥ ||</w:t>
      </w:r>
    </w:p>
    <w:p>
      <w:pPr>
        <w:pStyle w:val="FirstParagraph"/>
      </w:pPr>
      <w:r>
        <w:rPr>
          <w:bCs/>
          <w:b/>
        </w:rPr>
        <w:t xml:space="preserve">Translation:</w:t>
      </w:r>
      <w:r>
        <w:t xml:space="preserve"> </w:t>
      </w:r>
      <w:r>
        <w:t xml:space="preserve">“</w:t>
      </w:r>
      <w:r>
        <w:t xml:space="preserve">May the</w:t>
      </w:r>
      <w:r>
        <w:t xml:space="preserve"> </w:t>
      </w:r>
      <w:r>
        <w:rPr>
          <w:iCs/>
          <w:i/>
        </w:rPr>
        <w:t xml:space="preserve">vipra</w:t>
      </w:r>
      <w:r>
        <w:t xml:space="preserve">, the wise</w:t>
      </w:r>
      <w:r>
        <w:t xml:space="preserve"> </w:t>
      </w:r>
      <w:r>
        <w:rPr>
          <w:iCs/>
          <w:i/>
        </w:rPr>
        <w:t xml:space="preserve">hotā</w:t>
      </w:r>
      <w:r>
        <w:t xml:space="preserve">, Agni who accomplishes the</w:t>
      </w:r>
      <w:r>
        <w:t xml:space="preserve"> </w:t>
      </w:r>
      <w:r>
        <w:rPr>
          <w:iCs/>
          <w:i/>
        </w:rPr>
        <w:t xml:space="preserve">homa</w:t>
      </w:r>
      <w:r>
        <w:t xml:space="preserve">,</w:t>
      </w:r>
      <w:r>
        <w:t xml:space="preserve"> </w:t>
      </w:r>
      <w:r>
        <w:rPr>
          <w:iCs/>
          <w:i/>
        </w:rPr>
        <w:t xml:space="preserve">ākīṃ vakṣati</w:t>
      </w:r>
      <w:r>
        <w:t xml:space="preserve">, bring here to this rite, from the</w:t>
      </w:r>
      <w:r>
        <w:t xml:space="preserve"> </w:t>
      </w:r>
      <w:r>
        <w:rPr>
          <w:iCs/>
          <w:i/>
        </w:rPr>
        <w:t xml:space="preserve">rocana</w:t>
      </w:r>
      <w:r>
        <w:t xml:space="preserve"> </w:t>
      </w:r>
      <w:r>
        <w:t xml:space="preserve">of the Sun, the heaven-world, all the gods,</w:t>
      </w:r>
      <w:r>
        <w:t xml:space="preserve"> </w:t>
      </w:r>
      <w:r>
        <w:rPr>
          <w:iCs/>
          <w:i/>
        </w:rPr>
        <w:t xml:space="preserve">uṣarbudhaḥ</w:t>
      </w:r>
      <w:r>
        <w:t xml:space="preserve">, who awake at dawn to go to the sacrifice.</w:t>
      </w:r>
      <w:r>
        <w:t xml:space="preserve">”</w:t>
      </w:r>
      <w:r>
        <w:t xml:space="preserve"> </w:t>
      </w:r>
      <w:r>
        <w:t xml:space="preserve">(Grammatical tail:</w:t>
      </w:r>
      <w:r>
        <w:t xml:space="preserve"> </w:t>
      </w:r>
      <w:r>
        <w:rPr>
          <w:iCs/>
          <w:i/>
        </w:rPr>
        <w:t xml:space="preserve">ākīm</w:t>
      </w:r>
      <w:r>
        <w:t xml:space="preserve">, a</w:t>
      </w:r>
      <w:r>
        <w:t xml:space="preserve"> </w:t>
      </w:r>
      <w:r>
        <w:rPr>
          <w:iCs/>
          <w:i/>
        </w:rPr>
        <w:t xml:space="preserve">nipāta</w:t>
      </w:r>
      <w:r>
        <w:t xml:space="preserve">, initial udātta;</w:t>
      </w:r>
      <w:r>
        <w:t xml:space="preserve"> </w:t>
      </w:r>
      <w:r>
        <w:rPr>
          <w:iCs/>
          <w:i/>
        </w:rPr>
        <w:t xml:space="preserve">sūryasya</w:t>
      </w:r>
      <w:r>
        <w:t xml:space="preserve">,</w:t>
      </w:r>
      <w:r>
        <w:t xml:space="preserve"> </w:t>
      </w:r>
      <w:r>
        <w:rPr>
          <w:iCs/>
          <w:i/>
        </w:rPr>
        <w:t xml:space="preserve">sūrya</w:t>
      </w:r>
      <w:r>
        <w:t xml:space="preserve"> </w:t>
      </w:r>
      <w:r>
        <w:t xml:space="preserve">made with</w:t>
      </w:r>
      <w:r>
        <w:t xml:space="preserve"> </w:t>
      </w:r>
      <w:r>
        <w:rPr>
          <w:iCs/>
          <w:i/>
        </w:rPr>
        <w:t xml:space="preserve">kyap</w:t>
      </w:r>
      <w:r>
        <w:t xml:space="preserve"> </w:t>
      </w:r>
      <w:r>
        <w:t xml:space="preserve">by</w:t>
      </w:r>
      <w:r>
        <w:t xml:space="preserve"> </w:t>
      </w:r>
      <w:r>
        <w:rPr>
          <w:iCs/>
          <w:i/>
        </w:rPr>
        <w:t xml:space="preserve">nipātana</w:t>
      </w:r>
      <w:r>
        <w:t xml:space="preserve"> </w:t>
      </w:r>
      <w:r>
        <w:t xml:space="preserve">(Pā. 3-1-114), the root accent (</w:t>
      </w:r>
      <w:r>
        <w:rPr>
          <w:iCs/>
          <w:i/>
        </w:rPr>
        <w:t xml:space="preserve">kyap</w:t>
      </w:r>
      <w:r>
        <w:t xml:space="preserve"> </w:t>
      </w:r>
      <w:r>
        <w:t xml:space="preserve">is</w:t>
      </w:r>
      <w:r>
        <w:t xml:space="preserve"> </w:t>
      </w:r>
      <w:r>
        <w:rPr>
          <w:iCs/>
          <w:i/>
        </w:rPr>
        <w:t xml:space="preserve">pit</w:t>
      </w:r>
      <w:r>
        <w:t xml:space="preserve">), initial udātta;</w:t>
      </w:r>
      <w:r>
        <w:t xml:space="preserve"> </w:t>
      </w:r>
      <w:r>
        <w:rPr>
          <w:iCs/>
          <w:i/>
        </w:rPr>
        <w:t xml:space="preserve">rocanāt</w:t>
      </w:r>
      <w:r>
        <w:t xml:space="preserve">,</w:t>
      </w:r>
      <w:r>
        <w:t xml:space="preserve"> </w:t>
      </w:r>
      <w:r>
        <w:t xml:space="preserve">“</w:t>
      </w:r>
      <w:r>
        <w:t xml:space="preserve">shining</w:t>
      </w:r>
      <w:r>
        <w:t xml:space="preserve">”</w:t>
      </w:r>
      <w:r>
        <w:t xml:space="preserve">,</w:t>
      </w:r>
      <w:r>
        <w:t xml:space="preserve"> </w:t>
      </w:r>
      <w:r>
        <w:rPr>
          <w:iCs/>
          <w:i/>
        </w:rPr>
        <w:t xml:space="preserve">yuc</w:t>
      </w:r>
      <w:r>
        <w:t xml:space="preserve"> </w:t>
      </w:r>
      <w:r>
        <w:t xml:space="preserve">by Pā. 3-2-149, final udātta (</w:t>
      </w:r>
      <w:r>
        <w:rPr>
          <w:iCs/>
          <w:i/>
        </w:rPr>
        <w:t xml:space="preserve">cit</w:t>
      </w:r>
      <w:r>
        <w:t xml:space="preserve">);</w:t>
      </w:r>
      <w:r>
        <w:t xml:space="preserve"> </w:t>
      </w:r>
      <w:r>
        <w:rPr>
          <w:iCs/>
          <w:i/>
        </w:rPr>
        <w:t xml:space="preserve">viśvān</w:t>
      </w:r>
      <w:r>
        <w:t xml:space="preserve"> </w:t>
      </w:r>
      <w:r>
        <w:t xml:space="preserve">with</w:t>
      </w:r>
      <w:r>
        <w:t xml:space="preserve"> </w:t>
      </w:r>
      <w:r>
        <w:rPr>
          <w:iCs/>
          <w:i/>
        </w:rPr>
        <w:t xml:space="preserve">kvan</w:t>
      </w:r>
      <w:r>
        <w:t xml:space="preserve">, initial udātta;</w:t>
      </w:r>
      <w:r>
        <w:t xml:space="preserve"> </w:t>
      </w:r>
      <w:r>
        <w:rPr>
          <w:iCs/>
          <w:i/>
        </w:rPr>
        <w:t xml:space="preserve">uṣarbudhaḥ</w:t>
      </w:r>
      <w:r>
        <w:t xml:space="preserve">,</w:t>
      </w:r>
      <w:r>
        <w:t xml:space="preserve"> </w:t>
      </w:r>
      <w:r>
        <w:t xml:space="preserve">“</w:t>
      </w:r>
      <w:r>
        <w:t xml:space="preserve">awaking at dawn</w:t>
      </w:r>
      <w:r>
        <w:t xml:space="preserve">”</w:t>
      </w:r>
      <w:r>
        <w:t xml:space="preserve">,</w:t>
      </w:r>
      <w:r>
        <w:t xml:space="preserve"> </w:t>
      </w:r>
      <w:r>
        <w:rPr>
          <w:iCs/>
          <w:i/>
        </w:rPr>
        <w:t xml:space="preserve">kvip</w:t>
      </w:r>
      <w:r>
        <w:t xml:space="preserve">, the</w:t>
      </w:r>
      <w:r>
        <w:t xml:space="preserve"> </w:t>
      </w:r>
      <w:r>
        <w:rPr>
          <w:iCs/>
          <w:i/>
        </w:rPr>
        <w:t xml:space="preserve">u</w:t>
      </w:r>
      <w:r>
        <w:t xml:space="preserve"> </w:t>
      </w:r>
      <w:r>
        <w:t xml:space="preserve">udātta by the root accent, the</w:t>
      </w:r>
      <w:r>
        <w:t xml:space="preserve"> </w:t>
      </w:r>
      <w:r>
        <w:rPr>
          <w:iCs/>
          <w:i/>
        </w:rPr>
        <w:t xml:space="preserve">kṛt</w:t>
      </w:r>
      <w:r>
        <w:t xml:space="preserve"> </w:t>
      </w:r>
      <w:r>
        <w:t xml:space="preserve">second-member accent;</w:t>
      </w:r>
      <w:r>
        <w:t xml:space="preserve"> </w:t>
      </w:r>
      <w:r>
        <w:rPr>
          <w:iCs/>
          <w:i/>
        </w:rPr>
        <w:t xml:space="preserve">vipraḥ</w:t>
      </w:r>
      <w:r>
        <w:t xml:space="preserve"> </w:t>
      </w:r>
      <w:r>
        <w:t xml:space="preserve">with</w:t>
      </w:r>
      <w:r>
        <w:t xml:space="preserve"> </w:t>
      </w:r>
      <w:r>
        <w:rPr>
          <w:iCs/>
          <w:i/>
        </w:rPr>
        <w:t xml:space="preserve">ran</w:t>
      </w:r>
      <w:r>
        <w:t xml:space="preserve">, initial udātta;</w:t>
      </w:r>
      <w:r>
        <w:t xml:space="preserve"> </w:t>
      </w:r>
      <w:r>
        <w:rPr>
          <w:iCs/>
          <w:i/>
        </w:rPr>
        <w:t xml:space="preserve">hotā</w:t>
      </w:r>
      <w:r>
        <w:t xml:space="preserve"> </w:t>
      </w:r>
      <w:r>
        <w:t xml:space="preserve">from</w:t>
      </w:r>
      <w:r>
        <w:t xml:space="preserve"> </w:t>
      </w:r>
      <w:r>
        <w:rPr>
          <w:iCs/>
          <w:i/>
        </w:rPr>
        <w:t xml:space="preserve">hve</w:t>
      </w:r>
      <w:r>
        <w:t xml:space="preserve"> </w:t>
      </w:r>
      <w:r>
        <w:t xml:space="preserve">with</w:t>
      </w:r>
      <w:r>
        <w:t xml:space="preserve"> </w:t>
      </w:r>
      <w:r>
        <w:rPr>
          <w:iCs/>
          <w:i/>
        </w:rPr>
        <w:t xml:space="preserve">tṛn</w:t>
      </w:r>
      <w:r>
        <w:t xml:space="preserve"> </w:t>
      </w:r>
      <w:r>
        <w:t xml:space="preserve">and</w:t>
      </w:r>
      <w:r>
        <w:t xml:space="preserve"> </w:t>
      </w:r>
      <w:r>
        <w:rPr>
          <w:iCs/>
          <w:i/>
        </w:rPr>
        <w:t xml:space="preserve">saṃprasāraṇa</w:t>
      </w:r>
      <w:r>
        <w:t xml:space="preserve">, initial udātta;</w:t>
      </w:r>
      <w:r>
        <w:t xml:space="preserve"> </w:t>
      </w:r>
      <w:r>
        <w:rPr>
          <w:iCs/>
          <w:i/>
        </w:rPr>
        <w:t xml:space="preserve">iha</w:t>
      </w:r>
      <w:r>
        <w:t xml:space="preserve">,</w:t>
      </w:r>
      <w:r>
        <w:t xml:space="preserve"> </w:t>
      </w:r>
      <w:r>
        <w:rPr>
          <w:iCs/>
          <w:i/>
        </w:rPr>
        <w:t xml:space="preserve">ha</w:t>
      </w:r>
      <w:r>
        <w:t xml:space="preserve"> </w:t>
      </w:r>
      <w:r>
        <w:t xml:space="preserve">after</w:t>
      </w:r>
      <w:r>
        <w:t xml:space="preserve"> </w:t>
      </w:r>
      <w:r>
        <w:rPr>
          <w:iCs/>
          <w:i/>
        </w:rPr>
        <w:t xml:space="preserve">idam</w:t>
      </w:r>
      <w:r>
        <w:t xml:space="preserve">,</w:t>
      </w:r>
      <w:r>
        <w:t xml:space="preserve"> </w:t>
      </w:r>
      <w:r>
        <w:rPr>
          <w:iCs/>
          <w:i/>
        </w:rPr>
        <w:t xml:space="preserve">i</w:t>
      </w:r>
      <w:r>
        <w:t xml:space="preserve"> </w:t>
      </w:r>
      <w:r>
        <w:t xml:space="preserve">for it;</w:t>
      </w:r>
      <w:r>
        <w:t xml:space="preserve"> </w:t>
      </w:r>
      <w:r>
        <w:rPr>
          <w:iCs/>
          <w:i/>
        </w:rPr>
        <w:t xml:space="preserve">vakṣati</w:t>
      </w:r>
      <w:r>
        <w:t xml:space="preserve">,</w:t>
      </w:r>
      <w:r>
        <w:t xml:space="preserve"> </w:t>
      </w:r>
      <w:r>
        <w:rPr>
          <w:iCs/>
          <w:i/>
        </w:rPr>
        <w:t xml:space="preserve">leṭ</w:t>
      </w:r>
      <w:r>
        <w:t xml:space="preserve"> </w:t>
      </w:r>
      <w:r>
        <w:t xml:space="preserve">in the sense of prayer,</w:t>
      </w:r>
      <w:r>
        <w:t xml:space="preserve"> </w:t>
      </w:r>
      <w:r>
        <w:rPr>
          <w:iCs/>
          <w:i/>
        </w:rPr>
        <w:t xml:space="preserve">sip</w:t>
      </w:r>
      <w:r>
        <w:t xml:space="preserve">,</w:t>
      </w:r>
      <w:r>
        <w:t xml:space="preserve"> </w:t>
      </w:r>
      <w:r>
        <w:rPr>
          <w:iCs/>
          <w:i/>
        </w:rPr>
        <w:t xml:space="preserve">ḍh</w:t>
      </w:r>
      <w:r>
        <w:t xml:space="preserve">,</w:t>
      </w:r>
      <w:r>
        <w:t xml:space="preserve"> </w:t>
      </w:r>
      <w:r>
        <w:rPr>
          <w:iCs/>
          <w:i/>
        </w:rPr>
        <w:t xml:space="preserve">k</w:t>
      </w:r>
      <w:r>
        <w:t xml:space="preserve">,</w:t>
      </w:r>
      <w:r>
        <w:t xml:space="preserve"> </w:t>
      </w:r>
      <w:r>
        <w:rPr>
          <w:iCs/>
          <w:i/>
        </w:rPr>
        <w:t xml:space="preserve">ṣ</w:t>
      </w:r>
      <w:r>
        <w:t xml:space="preserve">, lowered by</w:t>
      </w:r>
      <w:r>
        <w:t xml:space="preserve"> </w:t>
      </w:r>
      <w:r>
        <w:rPr>
          <w:iCs/>
          <w:i/>
        </w:rPr>
        <w:t xml:space="preserve">tiṅṅatiṅaḥ</w:t>
      </w:r>
      <w:r>
        <w:t xml:space="preserve">.)</w:t>
      </w:r>
    </w:p>
    <w:p>
      <w:pPr>
        <w:pStyle w:val="BodyText"/>
      </w:pPr>
      <w:r>
        <w:rPr>
          <w:bCs/>
          <w:b/>
        </w:rPr>
        <w:t xml:space="preserve">॥ Prati-padārthaḥ ॥</w:t>
      </w:r>
    </w:p>
    <w:p>
      <w:pPr>
        <w:pStyle w:val="BodyText"/>
      </w:pPr>
      <w:r>
        <w:rPr>
          <w:bCs/>
          <w:b/>
        </w:rPr>
        <w:t xml:space="preserve">विप्रः (vipraḥ)</w:t>
      </w:r>
      <w:r>
        <w:t xml:space="preserve"> </w:t>
      </w:r>
      <w:r>
        <w:t xml:space="preserve">— wise |</w:t>
      </w:r>
      <w:r>
        <w:t xml:space="preserve"> </w:t>
      </w:r>
      <w:r>
        <w:rPr>
          <w:bCs/>
          <w:b/>
        </w:rPr>
        <w:t xml:space="preserve">होता (hotā)</w:t>
      </w:r>
      <w:r>
        <w:t xml:space="preserve"> </w:t>
      </w:r>
      <w:r>
        <w:t xml:space="preserve">— Agni, who accomplishes the</w:t>
      </w:r>
      <w:r>
        <w:t xml:space="preserve"> </w:t>
      </w:r>
      <w:r>
        <w:rPr>
          <w:iCs/>
          <w:i/>
        </w:rPr>
        <w:t xml:space="preserve">homa</w:t>
      </w:r>
      <w:r>
        <w:t xml:space="preserve"> </w:t>
      </w:r>
      <w:r>
        <w:t xml:space="preserve">|</w:t>
      </w:r>
      <w:r>
        <w:t xml:space="preserve"> </w:t>
      </w:r>
      <w:r>
        <w:rPr>
          <w:bCs/>
          <w:b/>
        </w:rPr>
        <w:t xml:space="preserve">उषर्बुधः (uṣarbudhaḥ)</w:t>
      </w:r>
      <w:r>
        <w:t xml:space="preserve"> </w:t>
      </w:r>
      <w:r>
        <w:t xml:space="preserve">— woken at dawn itself for going to the sacrifice |</w:t>
      </w:r>
      <w:r>
        <w:t xml:space="preserve"> </w:t>
      </w:r>
      <w:r>
        <w:rPr>
          <w:bCs/>
          <w:b/>
        </w:rPr>
        <w:t xml:space="preserve">विश्वान् देवान् (viśvān devān)</w:t>
      </w:r>
      <w:r>
        <w:t xml:space="preserve"> </w:t>
      </w:r>
      <w:r>
        <w:t xml:space="preserve">— all the gods |</w:t>
      </w:r>
      <w:r>
        <w:t xml:space="preserve"> </w:t>
      </w:r>
      <w:r>
        <w:rPr>
          <w:bCs/>
          <w:b/>
        </w:rPr>
        <w:t xml:space="preserve">सूर्यस्य (sūryasya)</w:t>
      </w:r>
      <w:r>
        <w:t xml:space="preserve"> </w:t>
      </w:r>
      <w:r>
        <w:t xml:space="preserve">— of the Sun |</w:t>
      </w:r>
      <w:r>
        <w:t xml:space="preserve"> </w:t>
      </w:r>
      <w:r>
        <w:rPr>
          <w:bCs/>
          <w:b/>
        </w:rPr>
        <w:t xml:space="preserve">रोचनात् (rocanāt)</w:t>
      </w:r>
      <w:r>
        <w:t xml:space="preserve"> </w:t>
      </w:r>
      <w:r>
        <w:t xml:space="preserve">— from the divine sphere, or from heaven |</w:t>
      </w:r>
      <w:r>
        <w:t xml:space="preserve"> </w:t>
      </w:r>
      <w:r>
        <w:rPr>
          <w:bCs/>
          <w:b/>
        </w:rPr>
        <w:t xml:space="preserve">इह (iha)</w:t>
      </w:r>
      <w:r>
        <w:t xml:space="preserve"> </w:t>
      </w:r>
      <w:r>
        <w:t xml:space="preserve">— to this rite (the sacrifice) |</w:t>
      </w:r>
      <w:r>
        <w:t xml:space="preserve"> </w:t>
      </w:r>
      <w:r>
        <w:rPr>
          <w:bCs/>
          <w:b/>
        </w:rPr>
        <w:t xml:space="preserve">आकीं वक्षति (ākīṃ vakṣati)</w:t>
      </w:r>
      <w:r>
        <w:t xml:space="preserve"> </w:t>
      </w:r>
      <w:r>
        <w:t xml:space="preserve">— may he bring.</w:t>
      </w:r>
    </w:p>
    <w:p>
      <w:pPr>
        <w:pStyle w:val="BodyText"/>
      </w:pPr>
      <w:r>
        <w:rPr>
          <w:bCs/>
          <w:b/>
        </w:rPr>
        <w:t xml:space="preserve">॥ Bhāvārthaḥ ॥</w:t>
      </w:r>
    </w:p>
    <w:p>
      <w:pPr>
        <w:pStyle w:val="BodyText"/>
      </w:pPr>
      <w:r>
        <w:t xml:space="preserve">Agni is wise, the accomplisher of the</w:t>
      </w:r>
      <w:r>
        <w:t xml:space="preserve"> </w:t>
      </w:r>
      <w:r>
        <w:rPr>
          <w:iCs/>
          <w:i/>
        </w:rPr>
        <w:t xml:space="preserve">homa</w:t>
      </w:r>
      <w:r>
        <w:t xml:space="preserve">. He wakes all the gods at dawn to come for the sacrifice. May he bring them all from the bright heaven-world belonging to the Sun to this sacrificial rite.</w:t>
      </w:r>
    </w:p>
    <w:p>
      <w:pPr>
        <w:pStyle w:val="BodyText"/>
      </w:pPr>
      <w:r>
        <w:rPr>
          <w:bCs/>
          <w:b/>
        </w:rPr>
        <w:t xml:space="preserve">॥ English Translation ॥</w:t>
      </w:r>
      <w:r>
        <w:t xml:space="preserve"> </w:t>
      </w:r>
      <w:r>
        <w:rPr>
          <w:iCs/>
          <w:i/>
        </w:rPr>
        <w:t xml:space="preserve">(as printed in the source)</w:t>
      </w:r>
    </w:p>
    <w:p>
      <w:pPr>
        <w:pStyle w:val="BlockText"/>
      </w:pPr>
      <w:r>
        <w:t xml:space="preserve">Let the wise invoker of the gods bring hither, from the region of solar light the Visve Devas (all the gods) that awake with the dawn.</w:t>
      </w:r>
    </w:p>
    <w:p>
      <w:pPr>
        <w:pStyle w:val="FirstParagraph"/>
      </w:pPr>
      <w:r>
        <w:rPr>
          <w:iCs/>
          <w:i/>
        </w:rPr>
        <w:t xml:space="preserve">(The left edge of the English is cut in this scan; the words are as in the earlier reading.)</w:t>
      </w:r>
    </w:p>
    <w:bookmarkEnd w:id="658"/>
    <w:bookmarkStart w:id="659" w:name="Xc4979ec7735133c368a6f1342eddc73e7f8678b"/>
    <w:p>
      <w:pPr>
        <w:pStyle w:val="Heading3"/>
      </w:pPr>
      <w:r>
        <w:t xml:space="preserve">Page 615 — Rik 9: Special Topics and grammar</w:t>
      </w:r>
    </w:p>
    <w:p>
      <w:pPr>
        <w:pStyle w:val="FirstParagraph"/>
      </w:pPr>
      <w:r>
        <w:rPr>
          <w:bCs/>
          <w:b/>
        </w:rPr>
        <w:t xml:space="preserve">॥ Viśeṣa-viṣayagaḷu (Special Topics) ॥</w:t>
      </w:r>
    </w:p>
    <w:p>
      <w:pPr>
        <w:pStyle w:val="BodyText"/>
      </w:pPr>
      <w:r>
        <w:rPr>
          <w:bCs/>
          <w:b/>
        </w:rPr>
        <w:t xml:space="preserve">Ākīm</w:t>
      </w:r>
      <w:r>
        <w:t xml:space="preserve">: since Yāska says that the nine words</w:t>
      </w:r>
      <w:r>
        <w:t xml:space="preserve"> </w:t>
      </w:r>
      <w:r>
        <w:rPr>
          <w:iCs/>
          <w:i/>
        </w:rPr>
        <w:t xml:space="preserve">hikam</w:t>
      </w:r>
      <w:r>
        <w:t xml:space="preserve">,</w:t>
      </w:r>
      <w:r>
        <w:t xml:space="preserve"> </w:t>
      </w:r>
      <w:r>
        <w:rPr>
          <w:iCs/>
          <w:i/>
        </w:rPr>
        <w:t xml:space="preserve">nukam</w:t>
      </w:r>
      <w:r>
        <w:t xml:space="preserve">,</w:t>
      </w:r>
      <w:r>
        <w:t xml:space="preserve"> </w:t>
      </w:r>
      <w:r>
        <w:rPr>
          <w:iCs/>
          <w:i/>
        </w:rPr>
        <w:t xml:space="preserve">sukam</w:t>
      </w:r>
      <w:r>
        <w:t xml:space="preserve">,</w:t>
      </w:r>
      <w:r>
        <w:t xml:space="preserve"> </w:t>
      </w:r>
      <w:r>
        <w:rPr>
          <w:iCs/>
          <w:i/>
        </w:rPr>
        <w:t xml:space="preserve">ahikam</w:t>
      </w:r>
      <w:r>
        <w:t xml:space="preserve">,</w:t>
      </w:r>
      <w:r>
        <w:t xml:space="preserve"> </w:t>
      </w:r>
      <w:r>
        <w:rPr>
          <w:iCs/>
          <w:i/>
        </w:rPr>
        <w:t xml:space="preserve">ākīm</w:t>
      </w:r>
      <w:r>
        <w:t xml:space="preserve"> </w:t>
      </w:r>
      <w:r>
        <w:t xml:space="preserve">and the rest are the</w:t>
      </w:r>
      <w:r>
        <w:t xml:space="preserve"> </w:t>
      </w:r>
      <w:r>
        <w:rPr>
          <w:iCs/>
          <w:i/>
        </w:rPr>
        <w:t xml:space="preserve">sarvapadasamāmnāya</w:t>
      </w:r>
      <w:r>
        <w:t xml:space="preserve"> </w:t>
      </w:r>
      <w:r>
        <w:t xml:space="preserve">(Ni. 3-13), the word</w:t>
      </w:r>
      <w:r>
        <w:t xml:space="preserve"> </w:t>
      </w:r>
      <w:r>
        <w:rPr>
          <w:iCs/>
          <w:i/>
        </w:rPr>
        <w:t xml:space="preserve">ākīm</w:t>
      </w:r>
      <w:r>
        <w:t xml:space="preserve"> </w:t>
      </w:r>
      <w:r>
        <w:t xml:space="preserve">has the sense of</w:t>
      </w:r>
      <w:r>
        <w:t xml:space="preserve"> </w:t>
      </w:r>
      <w:r>
        <w:rPr>
          <w:iCs/>
          <w:i/>
        </w:rPr>
        <w:t xml:space="preserve">sarvapada</w:t>
      </w:r>
      <w:r>
        <w:t xml:space="preserve">. It is used as an</w:t>
      </w:r>
      <w:r>
        <w:t xml:space="preserve"> </w:t>
      </w:r>
      <w:r>
        <w:rPr>
          <w:iCs/>
          <w:i/>
        </w:rPr>
        <w:t xml:space="preserve">upasarga</w:t>
      </w:r>
      <w:r>
        <w:t xml:space="preserve">; so here</w:t>
      </w:r>
      <w:r>
        <w:t xml:space="preserve"> </w:t>
      </w:r>
      <w:r>
        <w:rPr>
          <w:iCs/>
          <w:i/>
        </w:rPr>
        <w:t xml:space="preserve">ākīṃ vakṣati</w:t>
      </w:r>
      <w:r>
        <w:t xml:space="preserve"> </w:t>
      </w:r>
      <w:r>
        <w:t xml:space="preserve">means</w:t>
      </w:r>
      <w:r>
        <w:t xml:space="preserve"> </w:t>
      </w:r>
      <w:r>
        <w:rPr>
          <w:iCs/>
          <w:i/>
        </w:rPr>
        <w:t xml:space="preserve">ā vakṣati</w:t>
      </w:r>
      <w:r>
        <w:t xml:space="preserve">.</w:t>
      </w:r>
    </w:p>
    <w:p>
      <w:pPr>
        <w:pStyle w:val="BodyText"/>
      </w:pPr>
      <w:r>
        <w:rPr>
          <w:bCs/>
          <w:b/>
        </w:rPr>
        <w:t xml:space="preserve">Uṣarbudhaḥ</w:t>
      </w:r>
      <w:r>
        <w:t xml:space="preserve">:</w:t>
      </w:r>
    </w:p>
    <w:p>
      <w:pPr>
        <w:pStyle w:val="BlockText"/>
      </w:pPr>
      <w:r>
        <w:t xml:space="preserve">उषःकाले यागगमनाय प्रबुध्यमानान् । उषसि बुध्यन्त इत्युषर्बुधः ॥</w:t>
      </w:r>
    </w:p>
    <w:p>
      <w:pPr>
        <w:pStyle w:val="BlockText"/>
      </w:pPr>
      <w:r>
        <w:rPr>
          <w:iCs/>
          <w:i/>
        </w:rPr>
        <w:t xml:space="preserve">uṣaḥkāle yāgagamanāya prabudhyamānān | uṣasi budhyanta ityuṣarbudhaḥ ||</w:t>
      </w:r>
    </w:p>
    <w:p>
      <w:pPr>
        <w:pStyle w:val="FirstParagraph"/>
      </w:pPr>
      <w:r>
        <w:t xml:space="preserve">Woken at dawn.</w:t>
      </w:r>
    </w:p>
    <w:p>
      <w:pPr>
        <w:pStyle w:val="BodyText"/>
      </w:pPr>
      <w:r>
        <w:rPr>
          <w:bCs/>
          <w:b/>
        </w:rPr>
        <w:t xml:space="preserve">Hotā</w:t>
      </w:r>
      <w:r>
        <w:t xml:space="preserve">: here</w:t>
      </w:r>
      <w:r>
        <w:t xml:space="preserve"> </w:t>
      </w:r>
      <w:r>
        <w:rPr>
          <w:iCs/>
          <w:i/>
        </w:rPr>
        <w:t xml:space="preserve">hotā</w:t>
      </w:r>
      <w:r>
        <w:t xml:space="preserve"> </w:t>
      </w:r>
      <w:r>
        <w:t xml:space="preserve">means Agni, who calls the deities.</w:t>
      </w:r>
    </w:p>
    <w:p>
      <w:pPr>
        <w:pStyle w:val="BodyText"/>
      </w:pPr>
      <w:r>
        <w:rPr>
          <w:bCs/>
          <w:b/>
        </w:rPr>
        <w:t xml:space="preserve">॥ Vyākaraṇa-prakriyā ॥</w:t>
      </w:r>
      <w:r>
        <w:t xml:space="preserve"> </w:t>
      </w:r>
      <w:r>
        <w:rPr>
          <w:iCs/>
          <w:i/>
        </w:rPr>
        <w:t xml:space="preserve">(grammar pages 615–616, noted briefly)</w:t>
      </w:r>
    </w:p>
    <w:p>
      <w:pPr>
        <w:pStyle w:val="BodyText"/>
      </w:pPr>
      <w:r>
        <w:rPr>
          <w:bCs/>
          <w:b/>
        </w:rPr>
        <w:t xml:space="preserve">आकीम् (</w:t>
      </w:r>
      <w:r>
        <w:rPr>
          <w:iCs/>
          <w:i/>
          <w:bCs/>
          <w:b/>
        </w:rPr>
        <w:t xml:space="preserve">ākīm</w:t>
      </w:r>
      <w:r>
        <w:rPr>
          <w:bCs/>
          <w:b/>
        </w:rPr>
        <w:t xml:space="preserve">)</w:t>
      </w:r>
      <w:r>
        <w:t xml:space="preserve">: a</w:t>
      </w:r>
      <w:r>
        <w:t xml:space="preserve"> </w:t>
      </w:r>
      <w:r>
        <w:rPr>
          <w:iCs/>
          <w:i/>
        </w:rPr>
        <w:t xml:space="preserve">nipāta</w:t>
      </w:r>
      <w:r>
        <w:t xml:space="preserve">, so initial udātta.</w:t>
      </w:r>
    </w:p>
    <w:p>
      <w:pPr>
        <w:pStyle w:val="BodyText"/>
      </w:pPr>
      <w:r>
        <w:rPr>
          <w:bCs/>
          <w:b/>
        </w:rPr>
        <w:t xml:space="preserve">सूर्यस्य (</w:t>
      </w:r>
      <w:r>
        <w:rPr>
          <w:iCs/>
          <w:i/>
          <w:bCs/>
          <w:b/>
        </w:rPr>
        <w:t xml:space="preserve">sūryasya</w:t>
      </w:r>
      <w:r>
        <w:rPr>
          <w:bCs/>
          <w:b/>
        </w:rPr>
        <w:t xml:space="preserve">)</w:t>
      </w:r>
      <w:r>
        <w:t xml:space="preserve">: by</w:t>
      </w:r>
      <w:r>
        <w:t xml:space="preserve"> </w:t>
      </w:r>
      <w:r>
        <w:t xml:space="preserve">“</w:t>
      </w:r>
      <w:r>
        <w:t xml:space="preserve">rājasūyasūryamṛṣodyarucyakupyakṛṣṭapacyāvyathyāḥ</w:t>
      </w:r>
      <w:r>
        <w:t xml:space="preserve">”</w:t>
      </w:r>
      <w:r>
        <w:t xml:space="preserve"> </w:t>
      </w:r>
      <w:r>
        <w:t xml:space="preserve">(Pā. sū. 3-1-114) these seven words are made by</w:t>
      </w:r>
      <w:r>
        <w:t xml:space="preserve"> </w:t>
      </w:r>
      <w:r>
        <w:rPr>
          <w:iCs/>
          <w:i/>
        </w:rPr>
        <w:t xml:space="preserve">nipātana</w:t>
      </w:r>
      <w:r>
        <w:t xml:space="preserve"> </w:t>
      </w:r>
      <w:r>
        <w:t xml:space="preserve">ending in</w:t>
      </w:r>
      <w:r>
        <w:t xml:space="preserve"> </w:t>
      </w:r>
      <w:r>
        <w:rPr>
          <w:iCs/>
          <w:i/>
        </w:rPr>
        <w:t xml:space="preserve">kyap</w:t>
      </w:r>
      <w:r>
        <w:t xml:space="preserve">; so</w:t>
      </w:r>
      <w:r>
        <w:t xml:space="preserve"> </w:t>
      </w:r>
      <w:r>
        <w:rPr>
          <w:iCs/>
          <w:i/>
        </w:rPr>
        <w:t xml:space="preserve">sūrya</w:t>
      </w:r>
      <w:r>
        <w:t xml:space="preserve"> </w:t>
      </w:r>
      <w:r>
        <w:t xml:space="preserve">ends in</w:t>
      </w:r>
      <w:r>
        <w:t xml:space="preserve"> </w:t>
      </w:r>
      <w:r>
        <w:rPr>
          <w:iCs/>
          <w:i/>
        </w:rPr>
        <w:t xml:space="preserve">kyap</w:t>
      </w:r>
      <w:r>
        <w:t xml:space="preserve">. If taken as</w:t>
      </w:r>
      <w:r>
        <w:t xml:space="preserve"> </w:t>
      </w:r>
      <w:r>
        <w:rPr>
          <w:iCs/>
          <w:i/>
        </w:rPr>
        <w:t xml:space="preserve">sarati ākāśe</w:t>
      </w:r>
      <w:r>
        <w:t xml:space="preserve"> </w:t>
      </w:r>
      <w:r>
        <w:t xml:space="preserve">(it goes in the sky),</w:t>
      </w:r>
      <w:r>
        <w:t xml:space="preserve"> </w:t>
      </w:r>
      <w:r>
        <w:rPr>
          <w:iCs/>
          <w:i/>
        </w:rPr>
        <w:t xml:space="preserve">kyap</w:t>
      </w:r>
      <w:r>
        <w:t xml:space="preserve"> </w:t>
      </w:r>
      <w:r>
        <w:t xml:space="preserve">after</w:t>
      </w:r>
      <w:r>
        <w:t xml:space="preserve"> </w:t>
      </w:r>
      <w:r>
        <w:rPr>
          <w:iCs/>
          <w:i/>
        </w:rPr>
        <w:t xml:space="preserve">sṛ gatau</w:t>
      </w:r>
      <w:r>
        <w:t xml:space="preserve"> </w:t>
      </w:r>
      <w:r>
        <w:t xml:space="preserve">with</w:t>
      </w:r>
      <w:r>
        <w:t xml:space="preserve"> </w:t>
      </w:r>
      <w:r>
        <w:rPr>
          <w:iCs/>
          <w:i/>
        </w:rPr>
        <w:t xml:space="preserve">u</w:t>
      </w:r>
      <w:r>
        <w:t xml:space="preserve"> </w:t>
      </w:r>
      <w:r>
        <w:t xml:space="preserve">for the</w:t>
      </w:r>
      <w:r>
        <w:t xml:space="preserve"> </w:t>
      </w:r>
      <w:r>
        <w:rPr>
          <w:iCs/>
          <w:i/>
        </w:rPr>
        <w:t xml:space="preserve">ṛ</w:t>
      </w:r>
      <w:r>
        <w:t xml:space="preserve"> </w:t>
      </w:r>
      <w:r>
        <w:t xml:space="preserve">by</w:t>
      </w:r>
      <w:r>
        <w:t xml:space="preserve"> </w:t>
      </w:r>
      <w:r>
        <w:rPr>
          <w:iCs/>
          <w:i/>
        </w:rPr>
        <w:t xml:space="preserve">nipātana</w:t>
      </w:r>
      <w:r>
        <w:t xml:space="preserve">,</w:t>
      </w:r>
      <w:r>
        <w:t xml:space="preserve"> </w:t>
      </w:r>
      <w:r>
        <w:rPr>
          <w:iCs/>
          <w:i/>
        </w:rPr>
        <w:t xml:space="preserve">r</w:t>
      </w:r>
      <w:r>
        <w:t xml:space="preserve"> </w:t>
      </w:r>
      <w:r>
        <w:t xml:space="preserve">after it by</w:t>
      </w:r>
      <w:r>
        <w:t xml:space="preserve"> </w:t>
      </w:r>
      <w:r>
        <w:t xml:space="preserve">“</w:t>
      </w:r>
      <w:r>
        <w:t xml:space="preserve">uraṇ raparaḥ</w:t>
      </w:r>
      <w:r>
        <w:t xml:space="preserve">”</w:t>
      </w:r>
      <w:r>
        <w:t xml:space="preserve">:</w:t>
      </w:r>
      <w:r>
        <w:t xml:space="preserve"> </w:t>
      </w:r>
      <w:r>
        <w:rPr>
          <w:iCs/>
          <w:i/>
        </w:rPr>
        <w:t xml:space="preserve">sur</w:t>
      </w:r>
      <w:r>
        <w:t xml:space="preserve"> </w:t>
      </w:r>
      <w:r>
        <w:t xml:space="preserve">+</w:t>
      </w:r>
      <w:r>
        <w:t xml:space="preserve"> </w:t>
      </w:r>
      <w:r>
        <w:rPr>
          <w:iCs/>
          <w:i/>
        </w:rPr>
        <w:t xml:space="preserve">ya</w:t>
      </w:r>
      <w:r>
        <w:t xml:space="preserve">; lengthening by</w:t>
      </w:r>
      <w:r>
        <w:t xml:space="preserve"> </w:t>
      </w:r>
      <w:r>
        <w:t xml:space="preserve">“</w:t>
      </w:r>
      <w:r>
        <w:t xml:space="preserve">hali ca</w:t>
      </w:r>
      <w:r>
        <w:t xml:space="preserve">”</w:t>
      </w:r>
      <w:r>
        <w:t xml:space="preserve"> </w:t>
      </w:r>
      <w:r>
        <w:t xml:space="preserve">(Pā. sū. 8-2-77) of</w:t>
      </w:r>
      <w:r>
        <w:t xml:space="preserve"> </w:t>
      </w:r>
      <w:r>
        <w:rPr>
          <w:iCs/>
          <w:i/>
        </w:rPr>
        <w:t xml:space="preserve">i, u, ṛ, ḷ</w:t>
      </w:r>
      <w:r>
        <w:t xml:space="preserve"> </w:t>
      </w:r>
      <w:r>
        <w:t xml:space="preserve">in the penultimate of</w:t>
      </w:r>
      <w:r>
        <w:t xml:space="preserve"> </w:t>
      </w:r>
      <w:r>
        <w:rPr>
          <w:iCs/>
          <w:i/>
        </w:rPr>
        <w:t xml:space="preserve">r</w:t>
      </w:r>
      <w:r>
        <w:t xml:space="preserve">/</w:t>
      </w:r>
      <w:r>
        <w:rPr>
          <w:iCs/>
          <w:i/>
        </w:rPr>
        <w:t xml:space="preserve">v</w:t>
      </w:r>
      <w:r>
        <w:t xml:space="preserve">-final roots before a consonant. Or, taken as</w:t>
      </w:r>
      <w:r>
        <w:t xml:space="preserve"> </w:t>
      </w:r>
      <w:r>
        <w:rPr>
          <w:iCs/>
          <w:i/>
        </w:rPr>
        <w:t xml:space="preserve">suvati karmaṇi lokaṃ prerayati</w:t>
      </w:r>
      <w:r>
        <w:t xml:space="preserve"> </w:t>
      </w:r>
      <w:r>
        <w:t xml:space="preserve">(he urges people to work),</w:t>
      </w:r>
      <w:r>
        <w:t xml:space="preserve"> </w:t>
      </w:r>
      <w:r>
        <w:rPr>
          <w:iCs/>
          <w:i/>
        </w:rPr>
        <w:t xml:space="preserve">kyap</w:t>
      </w:r>
      <w:r>
        <w:t xml:space="preserve"> </w:t>
      </w:r>
      <w:r>
        <w:t xml:space="preserve">after the</w:t>
      </w:r>
      <w:r>
        <w:t xml:space="preserve"> </w:t>
      </w:r>
      <w:r>
        <w:rPr>
          <w:iCs/>
          <w:i/>
        </w:rPr>
        <w:t xml:space="preserve">tudādi</w:t>
      </w:r>
      <w:r>
        <w:t xml:space="preserve"> </w:t>
      </w:r>
      <w:r>
        <w:rPr>
          <w:iCs/>
          <w:i/>
        </w:rPr>
        <w:t xml:space="preserve">ṣū preraṇe</w:t>
      </w:r>
      <w:r>
        <w:t xml:space="preserve"> </w:t>
      </w:r>
      <w:r>
        <w:t xml:space="preserve">with the augment</w:t>
      </w:r>
      <w:r>
        <w:t xml:space="preserve"> </w:t>
      </w:r>
      <w:r>
        <w:rPr>
          <w:iCs/>
          <w:i/>
        </w:rPr>
        <w:t xml:space="preserve">ruṭ</w:t>
      </w:r>
      <w:r>
        <w:t xml:space="preserve"> </w:t>
      </w:r>
      <w:r>
        <w:t xml:space="preserve">by</w:t>
      </w:r>
      <w:r>
        <w:t xml:space="preserve"> </w:t>
      </w:r>
      <w:r>
        <w:rPr>
          <w:iCs/>
          <w:i/>
        </w:rPr>
        <w:t xml:space="preserve">nipātana</w:t>
      </w:r>
      <w:r>
        <w:t xml:space="preserve">:</w:t>
      </w:r>
      <w:r>
        <w:t xml:space="preserve"> </w:t>
      </w:r>
      <w:r>
        <w:rPr>
          <w:iCs/>
          <w:i/>
        </w:rPr>
        <w:t xml:space="preserve">sūrya</w:t>
      </w:r>
      <w:r>
        <w:t xml:space="preserve">.</w:t>
      </w:r>
      <w:r>
        <w:t xml:space="preserve"> </w:t>
      </w:r>
      <w:r>
        <w:rPr>
          <w:iCs/>
          <w:i/>
        </w:rPr>
        <w:t xml:space="preserve">Kyap</w:t>
      </w:r>
      <w:r>
        <w:t xml:space="preserve"> </w:t>
      </w:r>
      <w:r>
        <w:t xml:space="preserve">is</w:t>
      </w:r>
      <w:r>
        <w:t xml:space="preserve"> </w:t>
      </w:r>
      <w:r>
        <w:rPr>
          <w:iCs/>
          <w:i/>
        </w:rPr>
        <w:t xml:space="preserve">pit</w:t>
      </w:r>
      <w:r>
        <w:t xml:space="preserve">, so unaccented; the root accent makes</w:t>
      </w:r>
      <w:r>
        <w:t xml:space="preserve"> </w:t>
      </w:r>
      <w:r>
        <w:rPr>
          <w:iCs/>
          <w:i/>
        </w:rPr>
        <w:t xml:space="preserve">sūrya</w:t>
      </w:r>
      <w:r>
        <w:t xml:space="preserve"> </w:t>
      </w:r>
      <w:r>
        <w:t xml:space="preserve">initial udātta.</w:t>
      </w:r>
    </w:p>
    <w:p>
      <w:pPr>
        <w:pStyle w:val="BodyText"/>
      </w:pPr>
      <w:r>
        <w:rPr>
          <w:bCs/>
          <w:b/>
        </w:rPr>
        <w:t xml:space="preserve">रोचनात् (</w:t>
      </w:r>
      <w:r>
        <w:rPr>
          <w:iCs/>
          <w:i/>
          <w:bCs/>
          <w:b/>
        </w:rPr>
        <w:t xml:space="preserve">rocanāt</w:t>
      </w:r>
      <w:r>
        <w:rPr>
          <w:bCs/>
          <w:b/>
        </w:rPr>
        <w:t xml:space="preserve">)</w:t>
      </w:r>
      <w:r>
        <w:t xml:space="preserve">:</w:t>
      </w:r>
      <w:r>
        <w:t xml:space="preserve"> </w:t>
      </w:r>
      <w:r>
        <w:rPr>
          <w:iCs/>
          <w:i/>
        </w:rPr>
        <w:t xml:space="preserve">ruca dīptau</w:t>
      </w:r>
      <w:r>
        <w:t xml:space="preserve">,</w:t>
      </w:r>
      <w:r>
        <w:t xml:space="preserve"> </w:t>
      </w:r>
      <w:r>
        <w:rPr>
          <w:iCs/>
          <w:i/>
        </w:rPr>
        <w:t xml:space="preserve">anudāttet</w:t>
      </w:r>
      <w:r>
        <w:t xml:space="preserve">.</w:t>
      </w:r>
      <w:r>
        <w:t xml:space="preserve"> </w:t>
      </w:r>
      <w:r>
        <w:t xml:space="preserve">“</w:t>
      </w:r>
      <w:r>
        <w:t xml:space="preserve">anudāttetaś ca halādeḥ</w:t>
      </w:r>
      <w:r>
        <w:t xml:space="preserve">”</w:t>
      </w:r>
      <w:r>
        <w:t xml:space="preserve"> </w:t>
      </w:r>
      <w:r>
        <w:t xml:space="preserve">(Pā. sū. 3-2-149): after an intransitive</w:t>
      </w:r>
      <w:r>
        <w:t xml:space="preserve"> </w:t>
      </w:r>
      <w:r>
        <w:rPr>
          <w:iCs/>
          <w:i/>
        </w:rPr>
        <w:t xml:space="preserve">anudāttet</w:t>
      </w:r>
      <w:r>
        <w:t xml:space="preserve"> </w:t>
      </w:r>
      <w:r>
        <w:t xml:space="preserve">root beginning with a consonant,</w:t>
      </w:r>
      <w:r>
        <w:t xml:space="preserve"> </w:t>
      </w:r>
      <w:r>
        <w:rPr>
          <w:iCs/>
          <w:i/>
        </w:rPr>
        <w:t xml:space="preserve">yuc</w:t>
      </w:r>
      <w:r>
        <w:t xml:space="preserve"> </w:t>
      </w:r>
      <w:r>
        <w:t xml:space="preserve">in the agent sense;</w:t>
      </w:r>
      <w:r>
        <w:t xml:space="preserve"> </w:t>
      </w:r>
      <w:r>
        <w:rPr>
          <w:iCs/>
          <w:i/>
        </w:rPr>
        <w:t xml:space="preserve">ana</w:t>
      </w:r>
      <w:r>
        <w:t xml:space="preserve"> </w:t>
      </w:r>
      <w:r>
        <w:t xml:space="preserve">for</w:t>
      </w:r>
      <w:r>
        <w:t xml:space="preserve"> </w:t>
      </w:r>
      <w:r>
        <w:rPr>
          <w:iCs/>
          <w:i/>
        </w:rPr>
        <w:t xml:space="preserve">yu</w:t>
      </w:r>
      <w:r>
        <w:t xml:space="preserve"> </w:t>
      </w:r>
      <w:r>
        <w:t xml:space="preserve">by</w:t>
      </w:r>
      <w:r>
        <w:t xml:space="preserve"> </w:t>
      </w:r>
      <w:r>
        <w:t xml:space="preserve">“</w:t>
      </w:r>
      <w:r>
        <w:t xml:space="preserve">yuvor anākau</w:t>
      </w:r>
      <w:r>
        <w:t xml:space="preserve">”</w:t>
      </w:r>
      <w:r>
        <w:t xml:space="preserve"> </w:t>
      </w:r>
      <w:r>
        <w:t xml:space="preserve">(Pā. sū. 7-1-1);</w:t>
      </w:r>
      <w:r>
        <w:t xml:space="preserve"> </w:t>
      </w:r>
      <w:r>
        <w:rPr>
          <w:iCs/>
          <w:i/>
        </w:rPr>
        <w:t xml:space="preserve">laghūpadha-guṇa</w:t>
      </w:r>
      <w:r>
        <w:t xml:space="preserve">:</w:t>
      </w:r>
      <w:r>
        <w:t xml:space="preserve"> </w:t>
      </w:r>
      <w:r>
        <w:rPr>
          <w:iCs/>
          <w:i/>
        </w:rPr>
        <w:t xml:space="preserve">rocana</w:t>
      </w:r>
      <w:r>
        <w:t xml:space="preserve">; final udātta by</w:t>
      </w:r>
      <w:r>
        <w:t xml:space="preserve"> </w:t>
      </w:r>
      <w:r>
        <w:t xml:space="preserve">“</w:t>
      </w:r>
      <w:r>
        <w:t xml:space="preserve">citaḥ</w:t>
      </w:r>
      <w:r>
        <w:t xml:space="preserve">”</w:t>
      </w:r>
      <w:r>
        <w:t xml:space="preserve"> </w:t>
      </w:r>
      <w:r>
        <w:t xml:space="preserve">(Pā. sū. 6-1-163).</w:t>
      </w:r>
    </w:p>
    <w:p>
      <w:pPr>
        <w:pStyle w:val="BodyText"/>
      </w:pPr>
      <w:r>
        <w:rPr>
          <w:bCs/>
          <w:b/>
        </w:rPr>
        <w:t xml:space="preserve">विश्वान् (</w:t>
      </w:r>
      <w:r>
        <w:rPr>
          <w:iCs/>
          <w:i/>
          <w:bCs/>
          <w:b/>
        </w:rPr>
        <w:t xml:space="preserve">viśvān</w:t>
      </w:r>
      <w:r>
        <w:rPr>
          <w:bCs/>
          <w:b/>
        </w:rPr>
        <w:t xml:space="preserve">)</w:t>
      </w:r>
      <w:r>
        <w:t xml:space="preserve">:</w:t>
      </w:r>
      <w:r>
        <w:t xml:space="preserve"> </w:t>
      </w:r>
      <w:r>
        <w:rPr>
          <w:iCs/>
          <w:i/>
        </w:rPr>
        <w:t xml:space="preserve">viśa praveśane</w:t>
      </w:r>
      <w:r>
        <w:t xml:space="preserve"> </w:t>
      </w:r>
      <w:r>
        <w:t xml:space="preserve">+</w:t>
      </w:r>
      <w:r>
        <w:t xml:space="preserve"> </w:t>
      </w:r>
      <w:r>
        <w:rPr>
          <w:iCs/>
          <w:i/>
        </w:rPr>
        <w:t xml:space="preserve">kvan</w:t>
      </w:r>
      <w:r>
        <w:t xml:space="preserve"> </w:t>
      </w:r>
      <w:r>
        <w:t xml:space="preserve">by</w:t>
      </w:r>
      <w:r>
        <w:t xml:space="preserve"> </w:t>
      </w:r>
      <w:r>
        <w:t xml:space="preserve">“</w:t>
      </w:r>
      <w:r>
        <w:t xml:space="preserve">aśūpruṣi…</w:t>
      </w:r>
      <w:r>
        <w:t xml:space="preserve">”</w:t>
      </w:r>
      <w:r>
        <w:t xml:space="preserve"> </w:t>
      </w:r>
      <w:r>
        <w:t xml:space="preserve">(Uṇ. sū. 1-149);</w:t>
      </w:r>
      <w:r>
        <w:t xml:space="preserve"> </w:t>
      </w:r>
      <w:r>
        <w:rPr>
          <w:iCs/>
          <w:i/>
        </w:rPr>
        <w:t xml:space="preserve">nit</w:t>
      </w:r>
      <w:r>
        <w:t xml:space="preserve">, so initial udātta.</w:t>
      </w:r>
    </w:p>
    <w:p>
      <w:pPr>
        <w:pStyle w:val="BodyText"/>
      </w:pPr>
      <w:r>
        <w:rPr>
          <w:bCs/>
          <w:b/>
        </w:rPr>
        <w:t xml:space="preserve">उषर्बुधः (</w:t>
      </w:r>
      <w:r>
        <w:rPr>
          <w:iCs/>
          <w:i/>
          <w:bCs/>
          <w:b/>
        </w:rPr>
        <w:t xml:space="preserve">uṣarbudhaḥ</w:t>
      </w:r>
      <w:r>
        <w:rPr>
          <w:bCs/>
          <w:b/>
        </w:rPr>
        <w:t xml:space="preserve">)</w:t>
      </w:r>
      <w:r>
        <w:t xml:space="preserve">:</w:t>
      </w:r>
      <w:r>
        <w:t xml:space="preserve"> </w:t>
      </w:r>
      <w:r>
        <w:rPr>
          <w:iCs/>
          <w:i/>
        </w:rPr>
        <w:t xml:space="preserve">uṣasi budhyante iti</w:t>
      </w:r>
      <w:r>
        <w:t xml:space="preserve">;</w:t>
      </w:r>
      <w:r>
        <w:t xml:space="preserve"> </w:t>
      </w:r>
      <w:r>
        <w:rPr>
          <w:iCs/>
          <w:i/>
        </w:rPr>
        <w:t xml:space="preserve">kvip</w:t>
      </w:r>
      <w:r>
        <w:t xml:space="preserve"> </w:t>
      </w:r>
      <w:r>
        <w:t xml:space="preserve">by</w:t>
      </w:r>
      <w:r>
        <w:t xml:space="preserve"> </w:t>
      </w:r>
      <w:r>
        <w:t xml:space="preserve">“</w:t>
      </w:r>
      <w:r>
        <w:t xml:space="preserve">kvip ca</w:t>
      </w:r>
      <w:r>
        <w:t xml:space="preserve">”</w:t>
      </w:r>
      <w:r>
        <w:t xml:space="preserve"> </w:t>
      </w:r>
      <w:r>
        <w:t xml:space="preserve">(Pā. sū. 3-2-76) after</w:t>
      </w:r>
      <w:r>
        <w:t xml:space="preserve"> </w:t>
      </w:r>
      <w:r>
        <w:rPr>
          <w:iCs/>
          <w:i/>
        </w:rPr>
        <w:t xml:space="preserve">budha avagamane</w:t>
      </w:r>
      <w:r>
        <w:t xml:space="preserve"> </w:t>
      </w:r>
      <w:r>
        <w:t xml:space="preserve">with</w:t>
      </w:r>
      <w:r>
        <w:t xml:space="preserve"> </w:t>
      </w:r>
      <w:r>
        <w:rPr>
          <w:iCs/>
          <w:i/>
        </w:rPr>
        <w:t xml:space="preserve">uṣas</w:t>
      </w:r>
      <w:r>
        <w:t xml:space="preserve"> </w:t>
      </w:r>
      <w:r>
        <w:t xml:space="preserve">as</w:t>
      </w:r>
      <w:r>
        <w:t xml:space="preserve"> </w:t>
      </w:r>
      <w:r>
        <w:rPr>
          <w:iCs/>
          <w:i/>
        </w:rPr>
        <w:t xml:space="preserve">upapada</w:t>
      </w:r>
      <w:r>
        <w:t xml:space="preserve">; the</w:t>
      </w:r>
      <w:r>
        <w:t xml:space="preserve"> </w:t>
      </w:r>
      <w:r>
        <w:rPr>
          <w:iCs/>
          <w:i/>
        </w:rPr>
        <w:t xml:space="preserve">u</w:t>
      </w:r>
      <w:r>
        <w:t xml:space="preserve"> </w:t>
      </w:r>
      <w:r>
        <w:t xml:space="preserve">is udātta by the root accent; after compounding, the</w:t>
      </w:r>
      <w:r>
        <w:t xml:space="preserve"> </w:t>
      </w:r>
      <w:r>
        <w:rPr>
          <w:iCs/>
          <w:i/>
        </w:rPr>
        <w:t xml:space="preserve">kṛt</w:t>
      </w:r>
      <w:r>
        <w:t xml:space="preserve"> </w:t>
      </w:r>
      <w:r>
        <w:t xml:space="preserve">second member keeps its accent by</w:t>
      </w:r>
      <w:r>
        <w:t xml:space="preserve"> </w:t>
      </w:r>
      <w:r>
        <w:t xml:space="preserve">“</w:t>
      </w:r>
      <w:r>
        <w:t xml:space="preserve">gatikārakopapadāt kṛt</w:t>
      </w:r>
      <w:r>
        <w:t xml:space="preserve">”</w:t>
      </w:r>
      <w:r>
        <w:t xml:space="preserve">.</w:t>
      </w:r>
    </w:p>
    <w:bookmarkEnd w:id="659"/>
    <w:bookmarkStart w:id="660" w:name="page-616-rik-9-grammar-end"/>
    <w:p>
      <w:pPr>
        <w:pStyle w:val="Heading3"/>
      </w:pPr>
      <w:r>
        <w:t xml:space="preserve">Page 616 — Rik 9: grammar (end)</w:t>
      </w:r>
    </w:p>
    <w:p>
      <w:pPr>
        <w:pStyle w:val="FirstParagraph"/>
      </w:pPr>
      <w:r>
        <w:rPr>
          <w:bCs/>
          <w:b/>
        </w:rPr>
        <w:t xml:space="preserve">विप्रः (</w:t>
      </w:r>
      <w:r>
        <w:rPr>
          <w:iCs/>
          <w:i/>
          <w:bCs/>
          <w:b/>
        </w:rPr>
        <w:t xml:space="preserve">vipraḥ</w:t>
      </w:r>
      <w:r>
        <w:rPr>
          <w:bCs/>
          <w:b/>
        </w:rPr>
        <w:t xml:space="preserve">)</w:t>
      </w:r>
      <w:r>
        <w:t xml:space="preserve">:</w:t>
      </w:r>
      <w:r>
        <w:t xml:space="preserve"> </w:t>
      </w:r>
      <w:r>
        <w:t xml:space="preserve">“</w:t>
      </w:r>
      <w:r>
        <w:t xml:space="preserve">ṛjrendrāgravipra…</w:t>
      </w:r>
      <w:r>
        <w:t xml:space="preserve">”</w:t>
      </w:r>
      <w:r>
        <w:t xml:space="preserve"> </w:t>
      </w:r>
      <w:r>
        <w:t xml:space="preserve">(Uṇ. sū. 2-186): when</w:t>
      </w:r>
      <w:r>
        <w:t xml:space="preserve"> </w:t>
      </w:r>
      <w:r>
        <w:rPr>
          <w:iCs/>
          <w:i/>
        </w:rPr>
        <w:t xml:space="preserve">ran</w:t>
      </w:r>
      <w:r>
        <w:t xml:space="preserve"> </w:t>
      </w:r>
      <w:r>
        <w:t xml:space="preserve">comes after</w:t>
      </w:r>
      <w:r>
        <w:t xml:space="preserve"> </w:t>
      </w:r>
      <w:r>
        <w:rPr>
          <w:iCs/>
          <w:i/>
        </w:rPr>
        <w:t xml:space="preserve">ḍuvap bījasantāne</w:t>
      </w:r>
      <w:r>
        <w:t xml:space="preserve">,</w:t>
      </w:r>
      <w:r>
        <w:t xml:space="preserve"> </w:t>
      </w:r>
      <w:r>
        <w:rPr>
          <w:iCs/>
          <w:i/>
        </w:rPr>
        <w:t xml:space="preserve">i</w:t>
      </w:r>
      <w:r>
        <w:t xml:space="preserve"> </w:t>
      </w:r>
      <w:r>
        <w:t xml:space="preserve">is put by</w:t>
      </w:r>
      <w:r>
        <w:t xml:space="preserve"> </w:t>
      </w:r>
      <w:r>
        <w:rPr>
          <w:iCs/>
          <w:i/>
        </w:rPr>
        <w:t xml:space="preserve">nipātana</w:t>
      </w:r>
      <w:r>
        <w:t xml:space="preserve"> </w:t>
      </w:r>
      <w:r>
        <w:t xml:space="preserve">for the</w:t>
      </w:r>
      <w:r>
        <w:t xml:space="preserve"> </w:t>
      </w:r>
      <w:r>
        <w:rPr>
          <w:iCs/>
          <w:i/>
        </w:rPr>
        <w:t xml:space="preserve">a</w:t>
      </w:r>
      <w:r>
        <w:t xml:space="preserve"> </w:t>
      </w:r>
      <w:r>
        <w:t xml:space="preserve">of the penultimate; initial udātta by the</w:t>
      </w:r>
      <w:r>
        <w:t xml:space="preserve"> </w:t>
      </w:r>
      <w:r>
        <w:rPr>
          <w:iCs/>
          <w:i/>
        </w:rPr>
        <w:t xml:space="preserve">nit</w:t>
      </w:r>
      <w:r>
        <w:t xml:space="preserve"> </w:t>
      </w:r>
      <w:r>
        <w:t xml:space="preserve">accent.</w:t>
      </w:r>
    </w:p>
    <w:p>
      <w:pPr>
        <w:pStyle w:val="BodyText"/>
      </w:pPr>
      <w:r>
        <w:rPr>
          <w:bCs/>
          <w:b/>
        </w:rPr>
        <w:t xml:space="preserve">होता (</w:t>
      </w:r>
      <w:r>
        <w:rPr>
          <w:iCs/>
          <w:i/>
          <w:bCs/>
          <w:b/>
        </w:rPr>
        <w:t xml:space="preserve">hotā</w:t>
      </w:r>
      <w:r>
        <w:rPr>
          <w:bCs/>
          <w:b/>
        </w:rPr>
        <w:t xml:space="preserve">)</w:t>
      </w:r>
      <w:r>
        <w:t xml:space="preserve">:</w:t>
      </w:r>
      <w:r>
        <w:t xml:space="preserve"> </w:t>
      </w:r>
      <w:r>
        <w:rPr>
          <w:iCs/>
          <w:i/>
        </w:rPr>
        <w:t xml:space="preserve">hveñ spardhāyāṃ śabde ca</w:t>
      </w:r>
      <w:r>
        <w:t xml:space="preserve">;</w:t>
      </w:r>
      <w:r>
        <w:t xml:space="preserve"> </w:t>
      </w:r>
      <w:r>
        <w:rPr>
          <w:iCs/>
          <w:i/>
        </w:rPr>
        <w:t xml:space="preserve">tṛn</w:t>
      </w:r>
      <w:r>
        <w:t xml:space="preserve"> </w:t>
      </w:r>
      <w:r>
        <w:t xml:space="preserve">by</w:t>
      </w:r>
      <w:r>
        <w:t xml:space="preserve"> </w:t>
      </w:r>
      <w:r>
        <w:t xml:space="preserve">“</w:t>
      </w:r>
      <w:r>
        <w:t xml:space="preserve">tṛn</w:t>
      </w:r>
      <w:r>
        <w:t xml:space="preserve">”</w:t>
      </w:r>
      <w:r>
        <w:t xml:space="preserve"> </w:t>
      </w:r>
      <w:r>
        <w:t xml:space="preserve">(Pā. sū. 3-2-135) in the sense of habit; with</w:t>
      </w:r>
      <w:r>
        <w:t xml:space="preserve"> </w:t>
      </w:r>
      <w:r>
        <w:t xml:space="preserve">“</w:t>
      </w:r>
      <w:r>
        <w:t xml:space="preserve">hvaḥ samprasāraṇam</w:t>
      </w:r>
      <w:r>
        <w:t xml:space="preserve">”</w:t>
      </w:r>
      <w:r>
        <w:t xml:space="preserve"> </w:t>
      </w:r>
      <w:r>
        <w:t xml:space="preserve">(Pā. sū. 6-1-32) carried on,</w:t>
      </w:r>
      <w:r>
        <w:t xml:space="preserve"> </w:t>
      </w:r>
      <w:r>
        <w:rPr>
          <w:iCs/>
          <w:i/>
        </w:rPr>
        <w:t xml:space="preserve">saṃprasāraṇa</w:t>
      </w:r>
      <w:r>
        <w:t xml:space="preserve"> </w:t>
      </w:r>
      <w:r>
        <w:t xml:space="preserve">by</w:t>
      </w:r>
      <w:r>
        <w:t xml:space="preserve"> </w:t>
      </w:r>
      <w:r>
        <w:t xml:space="preserve">“</w:t>
      </w:r>
      <w:r>
        <w:t xml:space="preserve">bahulaṃ chandasi</w:t>
      </w:r>
      <w:r>
        <w:t xml:space="preserve">”</w:t>
      </w:r>
      <w:r>
        <w:t xml:space="preserve"> </w:t>
      </w:r>
      <w:r>
        <w:t xml:space="preserve">(Pā. sū. 6-1-34);</w:t>
      </w:r>
      <w:r>
        <w:t xml:space="preserve"> </w:t>
      </w:r>
      <w:r>
        <w:rPr>
          <w:iCs/>
          <w:i/>
        </w:rPr>
        <w:t xml:space="preserve">pūrvarūpa</w:t>
      </w:r>
      <w:r>
        <w:t xml:space="preserve"> </w:t>
      </w:r>
      <w:r>
        <w:t xml:space="preserve">by</w:t>
      </w:r>
      <w:r>
        <w:t xml:space="preserve"> </w:t>
      </w:r>
      <w:r>
        <w:t xml:space="preserve">“</w:t>
      </w:r>
      <w:r>
        <w:t xml:space="preserve">saṃprasāraṇāc ca</w:t>
      </w:r>
      <w:r>
        <w:t xml:space="preserve">”</w:t>
      </w:r>
      <w:r>
        <w:t xml:space="preserve"> </w:t>
      </w:r>
      <w:r>
        <w:t xml:space="preserve">(Pā. sū. 6-1-108);</w:t>
      </w:r>
      <w:r>
        <w:t xml:space="preserve"> </w:t>
      </w:r>
      <w:r>
        <w:rPr>
          <w:iCs/>
          <w:i/>
        </w:rPr>
        <w:t xml:space="preserve">guṇa</w:t>
      </w:r>
      <w:r>
        <w:t xml:space="preserve"> </w:t>
      </w:r>
      <w:r>
        <w:t xml:space="preserve">by</w:t>
      </w:r>
      <w:r>
        <w:t xml:space="preserve"> </w:t>
      </w:r>
      <w:r>
        <w:t xml:space="preserve">“</w:t>
      </w:r>
      <w:r>
        <w:t xml:space="preserve">sārvadhātukārdhadhātukayoḥ</w:t>
      </w:r>
      <w:r>
        <w:t xml:space="preserve">”</w:t>
      </w:r>
      <w:r>
        <w:t xml:space="preserve"> </w:t>
      </w:r>
      <w:r>
        <w:t xml:space="preserve">(Pā. sū. 7-3-84):</w:t>
      </w:r>
      <w:r>
        <w:t xml:space="preserve"> </w:t>
      </w:r>
      <w:r>
        <w:rPr>
          <w:iCs/>
          <w:i/>
        </w:rPr>
        <w:t xml:space="preserve">hotṛ</w:t>
      </w:r>
      <w:r>
        <w:t xml:space="preserve">; initial udātta (</w:t>
      </w:r>
      <w:r>
        <w:rPr>
          <w:iCs/>
          <w:i/>
        </w:rPr>
        <w:t xml:space="preserve">nit</w:t>
      </w:r>
      <w:r>
        <w:t xml:space="preserve">).</w:t>
      </w:r>
    </w:p>
    <w:p>
      <w:pPr>
        <w:pStyle w:val="BodyText"/>
      </w:pPr>
      <w:r>
        <w:rPr>
          <w:bCs/>
          <w:b/>
        </w:rPr>
        <w:t xml:space="preserve">इह (</w:t>
      </w:r>
      <w:r>
        <w:rPr>
          <w:iCs/>
          <w:i/>
          <w:bCs/>
          <w:b/>
        </w:rPr>
        <w:t xml:space="preserve">iha</w:t>
      </w:r>
      <w:r>
        <w:rPr>
          <w:bCs/>
          <w:b/>
        </w:rPr>
        <w:t xml:space="preserve">)</w:t>
      </w:r>
      <w:r>
        <w:t xml:space="preserve">:</w:t>
      </w:r>
      <w:r>
        <w:t xml:space="preserve"> </w:t>
      </w:r>
      <w:r>
        <w:t xml:space="preserve">“</w:t>
      </w:r>
      <w:r>
        <w:t xml:space="preserve">idamo haḥ</w:t>
      </w:r>
      <w:r>
        <w:t xml:space="preserve">”</w:t>
      </w:r>
      <w:r>
        <w:t xml:space="preserve"> </w:t>
      </w:r>
      <w:r>
        <w:t xml:space="preserve">(Pā. sū. 5-3-11): after the locative of</w:t>
      </w:r>
      <w:r>
        <w:t xml:space="preserve"> </w:t>
      </w:r>
      <w:r>
        <w:rPr>
          <w:iCs/>
          <w:i/>
        </w:rPr>
        <w:t xml:space="preserve">idam</w:t>
      </w:r>
      <w:r>
        <w:t xml:space="preserve"> </w:t>
      </w:r>
      <w:r>
        <w:t xml:space="preserve">the suffix</w:t>
      </w:r>
      <w:r>
        <w:t xml:space="preserve"> </w:t>
      </w:r>
      <w:r>
        <w:rPr>
          <w:iCs/>
          <w:i/>
        </w:rPr>
        <w:t xml:space="preserve">ha</w:t>
      </w:r>
      <w:r>
        <w:t xml:space="preserve">:</w:t>
      </w:r>
      <w:r>
        <w:t xml:space="preserve"> </w:t>
      </w:r>
      <w:r>
        <w:rPr>
          <w:iCs/>
          <w:i/>
        </w:rPr>
        <w:t xml:space="preserve">idam</w:t>
      </w:r>
      <w:r>
        <w:t xml:space="preserve"> </w:t>
      </w:r>
      <w:r>
        <w:t xml:space="preserve">+</w:t>
      </w:r>
      <w:r>
        <w:t xml:space="preserve"> </w:t>
      </w:r>
      <w:r>
        <w:rPr>
          <w:iCs/>
          <w:i/>
        </w:rPr>
        <w:t xml:space="preserve">ṅi</w:t>
      </w:r>
      <w:r>
        <w:t xml:space="preserve"> </w:t>
      </w:r>
      <w:r>
        <w:t xml:space="preserve">+</w:t>
      </w:r>
      <w:r>
        <w:t xml:space="preserve"> </w:t>
      </w:r>
      <w:r>
        <w:rPr>
          <w:iCs/>
          <w:i/>
        </w:rPr>
        <w:t xml:space="preserve">ha</w:t>
      </w:r>
      <w:r>
        <w:t xml:space="preserve">; ending in a</w:t>
      </w:r>
      <w:r>
        <w:t xml:space="preserve"> </w:t>
      </w:r>
      <w:r>
        <w:rPr>
          <w:iCs/>
          <w:i/>
        </w:rPr>
        <w:t xml:space="preserve">taddhita</w:t>
      </w:r>
      <w:r>
        <w:t xml:space="preserve">, a</w:t>
      </w:r>
      <w:r>
        <w:t xml:space="preserve"> </w:t>
      </w:r>
      <w:r>
        <w:rPr>
          <w:iCs/>
          <w:i/>
        </w:rPr>
        <w:t xml:space="preserve">prātipadika</w:t>
      </w:r>
      <w:r>
        <w:t xml:space="preserve"> </w:t>
      </w:r>
      <w:r>
        <w:t xml:space="preserve">by</w:t>
      </w:r>
      <w:r>
        <w:t xml:space="preserve"> </w:t>
      </w:r>
      <w:r>
        <w:t xml:space="preserve">“</w:t>
      </w:r>
      <w:r>
        <w:t xml:space="preserve">kṛttaddhitasamāsāś ca</w:t>
      </w:r>
      <w:r>
        <w:t xml:space="preserve">”</w:t>
      </w:r>
      <w:r>
        <w:t xml:space="preserve"> </w:t>
      </w:r>
      <w:r>
        <w:t xml:space="preserve">(Pā. sū. 1-2-46); the</w:t>
      </w:r>
      <w:r>
        <w:t xml:space="preserve"> </w:t>
      </w:r>
      <w:r>
        <w:rPr>
          <w:iCs/>
          <w:i/>
        </w:rPr>
        <w:t xml:space="preserve">ṅi</w:t>
      </w:r>
      <w:r>
        <w:t xml:space="preserve"> </w:t>
      </w:r>
      <w:r>
        <w:t xml:space="preserve">dropped by</w:t>
      </w:r>
      <w:r>
        <w:t xml:space="preserve"> </w:t>
      </w:r>
      <w:r>
        <w:t xml:space="preserve">“</w:t>
      </w:r>
      <w:r>
        <w:t xml:space="preserve">supo dhātuprātipadikayoḥ</w:t>
      </w:r>
      <w:r>
        <w:t xml:space="preserve">”</w:t>
      </w:r>
      <w:r>
        <w:t xml:space="preserve"> </w:t>
      </w:r>
      <w:r>
        <w:t xml:space="preserve">(Pā. sū. 2-4-71);</w:t>
      </w:r>
      <w:r>
        <w:t xml:space="preserve"> </w:t>
      </w:r>
      <w:r>
        <w:t xml:space="preserve">“</w:t>
      </w:r>
      <w:r>
        <w:t xml:space="preserve">idam iś</w:t>
      </w:r>
      <w:r>
        <w:t xml:space="preserve">”</w:t>
      </w:r>
      <w:r>
        <w:t xml:space="preserve"> </w:t>
      </w:r>
      <w:r>
        <w:t xml:space="preserve">(Pā. sū. 5-3-3) gives</w:t>
      </w:r>
      <w:r>
        <w:t xml:space="preserve"> </w:t>
      </w:r>
      <w:r>
        <w:rPr>
          <w:iCs/>
          <w:i/>
        </w:rPr>
        <w:t xml:space="preserve">iś</w:t>
      </w:r>
      <w:r>
        <w:t xml:space="preserve"> </w:t>
      </w:r>
      <w:r>
        <w:t xml:space="preserve">for</w:t>
      </w:r>
      <w:r>
        <w:t xml:space="preserve"> </w:t>
      </w:r>
      <w:r>
        <w:rPr>
          <w:iCs/>
          <w:i/>
        </w:rPr>
        <w:t xml:space="preserve">idam</w:t>
      </w:r>
      <w:r>
        <w:t xml:space="preserve"> </w:t>
      </w:r>
      <w:r>
        <w:t xml:space="preserve">before the</w:t>
      </w:r>
      <w:r>
        <w:t xml:space="preserve"> </w:t>
      </w:r>
      <w:r>
        <w:rPr>
          <w:iCs/>
          <w:i/>
        </w:rPr>
        <w:t xml:space="preserve">prāgdiśīya</w:t>
      </w:r>
      <w:r>
        <w:t xml:space="preserve"> </w:t>
      </w:r>
      <w:r>
        <w:t xml:space="preserve">suffixes; being</w:t>
      </w:r>
      <w:r>
        <w:t xml:space="preserve"> </w:t>
      </w:r>
      <w:r>
        <w:rPr>
          <w:iCs/>
          <w:i/>
        </w:rPr>
        <w:t xml:space="preserve">śit</w:t>
      </w:r>
      <w:r>
        <w:t xml:space="preserve">, it replaces the whole by</w:t>
      </w:r>
      <w:r>
        <w:t xml:space="preserve"> </w:t>
      </w:r>
      <w:r>
        <w:t xml:space="preserve">“</w:t>
      </w:r>
      <w:r>
        <w:t xml:space="preserve">anekālśit sarvasya</w:t>
      </w:r>
      <w:r>
        <w:t xml:space="preserve">”</w:t>
      </w:r>
      <w:r>
        <w:t xml:space="preserve"> </w:t>
      </w:r>
      <w:r>
        <w:t xml:space="preserve">(Pā. sū. 1-1-55):</w:t>
      </w:r>
      <w:r>
        <w:t xml:space="preserve"> </w:t>
      </w:r>
      <w:r>
        <w:rPr>
          <w:iCs/>
          <w:i/>
        </w:rPr>
        <w:t xml:space="preserve">iha</w:t>
      </w:r>
      <w:r>
        <w:t xml:space="preserve">; the suffix accent.</w:t>
      </w:r>
    </w:p>
    <w:p>
      <w:pPr>
        <w:pStyle w:val="BodyText"/>
      </w:pPr>
      <w:r>
        <w:rPr>
          <w:bCs/>
          <w:b/>
        </w:rPr>
        <w:t xml:space="preserve">वक्षति (</w:t>
      </w:r>
      <w:r>
        <w:rPr>
          <w:iCs/>
          <w:i/>
          <w:bCs/>
          <w:b/>
        </w:rPr>
        <w:t xml:space="preserve">vakṣati</w:t>
      </w:r>
      <w:r>
        <w:rPr>
          <w:bCs/>
          <w:b/>
        </w:rPr>
        <w:t xml:space="preserve">)</w:t>
      </w:r>
      <w:r>
        <w:t xml:space="preserve">:</w:t>
      </w:r>
      <w:r>
        <w:t xml:space="preserve"> </w:t>
      </w:r>
      <w:r>
        <w:rPr>
          <w:iCs/>
          <w:i/>
        </w:rPr>
        <w:t xml:space="preserve">vaha prāpaṇe</w:t>
      </w:r>
      <w:r>
        <w:t xml:space="preserve">.</w:t>
      </w:r>
      <w:r>
        <w:t xml:space="preserve"> </w:t>
      </w:r>
      <w:r>
        <w:t xml:space="preserve">“</w:t>
      </w:r>
      <w:r>
        <w:t xml:space="preserve">liṅarthe leṭ</w:t>
      </w:r>
      <w:r>
        <w:t xml:space="preserve">”</w:t>
      </w:r>
      <w:r>
        <w:t xml:space="preserve"> </w:t>
      </w:r>
      <w:r>
        <w:t xml:space="preserve">(Pā. sū. 3-4-7):</w:t>
      </w:r>
      <w:r>
        <w:t xml:space="preserve"> </w:t>
      </w:r>
      <w:r>
        <w:rPr>
          <w:iCs/>
          <w:i/>
        </w:rPr>
        <w:t xml:space="preserve">leṭ</w:t>
      </w:r>
      <w:r>
        <w:t xml:space="preserve"> </w:t>
      </w:r>
      <w:r>
        <w:t xml:space="preserve">in the sense of prayer;</w:t>
      </w:r>
      <w:r>
        <w:t xml:space="preserve"> </w:t>
      </w:r>
      <w:r>
        <w:rPr>
          <w:iCs/>
          <w:i/>
        </w:rPr>
        <w:t xml:space="preserve">tip</w:t>
      </w:r>
      <w:r>
        <w:t xml:space="preserve">:</w:t>
      </w:r>
      <w:r>
        <w:t xml:space="preserve"> </w:t>
      </w:r>
      <w:r>
        <w:rPr>
          <w:iCs/>
          <w:i/>
        </w:rPr>
        <w:t xml:space="preserve">vah</w:t>
      </w:r>
      <w:r>
        <w:t xml:space="preserve"> </w:t>
      </w:r>
      <w:r>
        <w:t xml:space="preserve">+</w:t>
      </w:r>
      <w:r>
        <w:t xml:space="preserve"> </w:t>
      </w:r>
      <w:r>
        <w:rPr>
          <w:iCs/>
          <w:i/>
        </w:rPr>
        <w:t xml:space="preserve">ti</w:t>
      </w:r>
      <w:r>
        <w:t xml:space="preserve">;</w:t>
      </w:r>
      <w:r>
        <w:t xml:space="preserve"> </w:t>
      </w:r>
      <w:r>
        <w:rPr>
          <w:iCs/>
          <w:i/>
        </w:rPr>
        <w:t xml:space="preserve">śap</w:t>
      </w:r>
      <w:r>
        <w:t xml:space="preserve"> </w:t>
      </w:r>
      <w:r>
        <w:t xml:space="preserve">by</w:t>
      </w:r>
      <w:r>
        <w:t xml:space="preserve"> </w:t>
      </w:r>
      <w:r>
        <w:t xml:space="preserve">“</w:t>
      </w:r>
      <w:r>
        <w:t xml:space="preserve">kartari śap</w:t>
      </w:r>
      <w:r>
        <w:t xml:space="preserve">”</w:t>
      </w:r>
      <w:r>
        <w:t xml:space="preserve">;</w:t>
      </w:r>
      <w:r>
        <w:t xml:space="preserve"> </w:t>
      </w:r>
      <w:r>
        <w:t xml:space="preserve">“</w:t>
      </w:r>
      <w:r>
        <w:t xml:space="preserve">sib bahulaṃ leṭi</w:t>
      </w:r>
      <w:r>
        <w:t xml:space="preserve">”</w:t>
      </w:r>
      <w:r>
        <w:t xml:space="preserve"> </w:t>
      </w:r>
      <w:r>
        <w:t xml:space="preserve">(Pā. sū. 3-1-34):</w:t>
      </w:r>
      <w:r>
        <w:t xml:space="preserve"> </w:t>
      </w:r>
      <w:r>
        <w:rPr>
          <w:iCs/>
          <w:i/>
        </w:rPr>
        <w:t xml:space="preserve">sip</w:t>
      </w:r>
      <w:r>
        <w:t xml:space="preserve"> </w:t>
      </w:r>
      <w:r>
        <w:t xml:space="preserve">after the root before</w:t>
      </w:r>
      <w:r>
        <w:t xml:space="preserve"> </w:t>
      </w:r>
      <w:r>
        <w:rPr>
          <w:iCs/>
          <w:i/>
        </w:rPr>
        <w:t xml:space="preserve">śap</w:t>
      </w:r>
      <w:r>
        <w:t xml:space="preserve">:</w:t>
      </w:r>
      <w:r>
        <w:t xml:space="preserve"> </w:t>
      </w:r>
      <w:r>
        <w:rPr>
          <w:iCs/>
          <w:i/>
        </w:rPr>
        <w:t xml:space="preserve">vah</w:t>
      </w:r>
      <w:r>
        <w:t xml:space="preserve"> </w:t>
      </w:r>
      <w:r>
        <w:t xml:space="preserve">+</w:t>
      </w:r>
      <w:r>
        <w:t xml:space="preserve"> </w:t>
      </w:r>
      <w:r>
        <w:rPr>
          <w:iCs/>
          <w:i/>
        </w:rPr>
        <w:t xml:space="preserve">s</w:t>
      </w:r>
      <w:r>
        <w:t xml:space="preserve"> </w:t>
      </w:r>
      <w:r>
        <w:t xml:space="preserve">+</w:t>
      </w:r>
      <w:r>
        <w:t xml:space="preserve"> </w:t>
      </w:r>
      <w:r>
        <w:rPr>
          <w:iCs/>
          <w:i/>
        </w:rPr>
        <w:t xml:space="preserve">a</w:t>
      </w:r>
      <w:r>
        <w:t xml:space="preserve"> </w:t>
      </w:r>
      <w:r>
        <w:t xml:space="preserve">+</w:t>
      </w:r>
      <w:r>
        <w:t xml:space="preserve"> </w:t>
      </w:r>
      <w:r>
        <w:rPr>
          <w:iCs/>
          <w:i/>
        </w:rPr>
        <w:t xml:space="preserve">ti</w:t>
      </w:r>
      <w:r>
        <w:t xml:space="preserve">;</w:t>
      </w:r>
      <w:r>
        <w:t xml:space="preserve"> </w:t>
      </w:r>
      <w:r>
        <w:t xml:space="preserve">“</w:t>
      </w:r>
      <w:r>
        <w:t xml:space="preserve">ho ḍhaḥ</w:t>
      </w:r>
      <w:r>
        <w:t xml:space="preserve">”</w:t>
      </w:r>
      <w:r>
        <w:t xml:space="preserve"> </w:t>
      </w:r>
      <w:r>
        <w:t xml:space="preserve">(Pā. sū. 8-2-31) gives</w:t>
      </w:r>
      <w:r>
        <w:t xml:space="preserve"> </w:t>
      </w:r>
      <w:r>
        <w:rPr>
          <w:iCs/>
          <w:i/>
        </w:rPr>
        <w:t xml:space="preserve">ḍh</w:t>
      </w:r>
      <w:r>
        <w:t xml:space="preserve"> </w:t>
      </w:r>
      <w:r>
        <w:t xml:space="preserve">for the</w:t>
      </w:r>
      <w:r>
        <w:t xml:space="preserve"> </w:t>
      </w:r>
      <w:r>
        <w:rPr>
          <w:iCs/>
          <w:i/>
        </w:rPr>
        <w:t xml:space="preserve">h</w:t>
      </w:r>
      <w:r>
        <w:t xml:space="preserve"> </w:t>
      </w:r>
      <w:r>
        <w:t xml:space="preserve">at the end of a word or before a</w:t>
      </w:r>
      <w:r>
        <w:t xml:space="preserve"> </w:t>
      </w:r>
      <w:r>
        <w:rPr>
          <w:iCs/>
          <w:i/>
        </w:rPr>
        <w:t xml:space="preserve">jhal</w:t>
      </w:r>
      <w:r>
        <w:t xml:space="preserve">;</w:t>
      </w:r>
      <w:r>
        <w:t xml:space="preserve"> </w:t>
      </w:r>
      <w:r>
        <w:t xml:space="preserve">“</w:t>
      </w:r>
      <w:r>
        <w:t xml:space="preserve">ṣaḍhoḥ kaḥ si</w:t>
      </w:r>
      <w:r>
        <w:t xml:space="preserve">”</w:t>
      </w:r>
      <w:r>
        <w:t xml:space="preserve"> </w:t>
      </w:r>
      <w:r>
        <w:t xml:space="preserve">(Pā. sū. 8-2-41)</w:t>
      </w:r>
      <w:r>
        <w:t xml:space="preserve"> </w:t>
      </w:r>
      <w:r>
        <w:rPr>
          <w:iCs/>
          <w:i/>
        </w:rPr>
        <w:t xml:space="preserve">k</w:t>
      </w:r>
      <w:r>
        <w:t xml:space="preserve"> </w:t>
      </w:r>
      <w:r>
        <w:t xml:space="preserve">for</w:t>
      </w:r>
      <w:r>
        <w:t xml:space="preserve"> </w:t>
      </w:r>
      <w:r>
        <w:rPr>
          <w:iCs/>
          <w:i/>
        </w:rPr>
        <w:t xml:space="preserve">ṣ</w:t>
      </w:r>
      <w:r>
        <w:t xml:space="preserve">/</w:t>
      </w:r>
      <w:r>
        <w:rPr>
          <w:iCs/>
          <w:i/>
        </w:rPr>
        <w:t xml:space="preserve">ḍh</w:t>
      </w:r>
      <w:r>
        <w:t xml:space="preserve"> </w:t>
      </w:r>
      <w:r>
        <w:t xml:space="preserve">before</w:t>
      </w:r>
      <w:r>
        <w:t xml:space="preserve"> </w:t>
      </w:r>
      <w:r>
        <w:rPr>
          <w:iCs/>
          <w:i/>
        </w:rPr>
        <w:t xml:space="preserve">s</w:t>
      </w:r>
      <w:r>
        <w:t xml:space="preserve">;</w:t>
      </w:r>
      <w:r>
        <w:t xml:space="preserve"> </w:t>
      </w:r>
      <w:r>
        <w:t xml:space="preserve">“</w:t>
      </w:r>
      <w:r>
        <w:t xml:space="preserve">ādeśapratyayayoḥ</w:t>
      </w:r>
      <w:r>
        <w:t xml:space="preserve">”</w:t>
      </w:r>
      <w:r>
        <w:t xml:space="preserve"> </w:t>
      </w:r>
      <w:r>
        <w:t xml:space="preserve">(Pā. sū. 8-3-59)</w:t>
      </w:r>
      <w:r>
        <w:t xml:space="preserve"> </w:t>
      </w:r>
      <w:r>
        <w:rPr>
          <w:iCs/>
          <w:i/>
        </w:rPr>
        <w:t xml:space="preserve">ṣ</w:t>
      </w:r>
      <w:r>
        <w:t xml:space="preserve"> </w:t>
      </w:r>
      <w:r>
        <w:t xml:space="preserve">for the</w:t>
      </w:r>
      <w:r>
        <w:t xml:space="preserve"> </w:t>
      </w:r>
      <w:r>
        <w:rPr>
          <w:iCs/>
          <w:i/>
        </w:rPr>
        <w:t xml:space="preserve">s</w:t>
      </w:r>
      <w:r>
        <w:t xml:space="preserve">:</w:t>
      </w:r>
      <w:r>
        <w:t xml:space="preserve"> </w:t>
      </w:r>
      <w:r>
        <w:rPr>
          <w:iCs/>
          <w:i/>
        </w:rPr>
        <w:t xml:space="preserve">vakṣati</w:t>
      </w:r>
      <w:r>
        <w:t xml:space="preserve">; wholly unaccented by</w:t>
      </w:r>
      <w:r>
        <w:t xml:space="preserve"> </w:t>
      </w:r>
      <w:r>
        <w:t xml:space="preserve">“</w:t>
      </w:r>
      <w:r>
        <w:t xml:space="preserve">tiṅṅatiṅaḥ</w:t>
      </w:r>
      <w:r>
        <w:t xml:space="preserve">”</w:t>
      </w:r>
      <w:r>
        <w:t xml:space="preserve">.</w:t>
      </w:r>
    </w:p>
    <w:p>
      <w:pPr>
        <w:pStyle w:val="BodyText"/>
      </w:pPr>
      <w:r>
        <w:rPr>
          <w:bCs/>
          <w:b/>
        </w:rPr>
        <w:t xml:space="preserve">॥९॥</w:t>
      </w:r>
    </w:p>
    <w:p>
      <w:r>
        <w:pict>
          <v:rect style="width:0;height:1.5pt" o:hralign="center" o:hrstd="t" o:hr="t"/>
        </w:pict>
      </w:r>
    </w:p>
    <w:bookmarkEnd w:id="660"/>
    <w:bookmarkStart w:id="661" w:name="page-616-lower-sūkta-14-rik-10"/>
    <w:p>
      <w:pPr>
        <w:pStyle w:val="Heading3"/>
      </w:pPr>
      <w:r>
        <w:t xml:space="preserve">Page 616 (lower) — Sūkta 14, Rik 10</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विश्वे॑भिः सो॒म्यं मध्वग्न॒ इन्द्रे॑ण वा॒युना॑ ।</w:t>
      </w:r>
      <w:r>
        <w:t xml:space="preserve"> </w:t>
      </w:r>
      <w:r>
        <w:t xml:space="preserve">पिबा॑ मि॒त्रस्य धाम॑भिः ॥१०॥ [accent ?]</w:t>
      </w:r>
    </w:p>
    <w:p>
      <w:pPr>
        <w:pStyle w:val="BlockText"/>
      </w:pPr>
      <w:r>
        <w:rPr>
          <w:iCs/>
          <w:i/>
        </w:rPr>
        <w:t xml:space="preserve">víśvebhiḥ somyáṃ madhv agna índreṇa vāyúnā |</w:t>
      </w:r>
      <w:r>
        <w:t xml:space="preserve"> </w:t>
      </w:r>
      <w:r>
        <w:rPr>
          <w:iCs/>
          <w:i/>
        </w:rPr>
        <w:t xml:space="preserve">píbā mitrásya dhā́mabhiḥ ||10||</w:t>
      </w:r>
      <w:r>
        <w:t xml:space="preserve"> </w:t>
      </w:r>
      <w:r>
        <w:t xml:space="preserve">[accent ?]</w:t>
      </w:r>
    </w:p>
    <w:p>
      <w:pPr>
        <w:pStyle w:val="FirstParagraph"/>
      </w:pPr>
      <w:r>
        <w:rPr>
          <w:iCs/>
          <w:i/>
        </w:rPr>
        <w:t xml:space="preserve">(Line 2: the strokes over बा and over म of धामभिः are clear; the foot of the line, with any bars, is cut at the page end; the bar under मि is read from the Pada.)</w:t>
      </w:r>
    </w:p>
    <w:bookmarkEnd w:id="661"/>
    <w:bookmarkStart w:id="662" w:name="Xcdc10337d0e30d7b72d7e17de483eb3dfff9852"/>
    <w:p>
      <w:pPr>
        <w:pStyle w:val="Heading3"/>
      </w:pPr>
      <w:r>
        <w:t xml:space="preserve">Page 617 — Rik 10: Pada, bhāṣya, word-meanings, overall sense</w:t>
      </w:r>
    </w:p>
    <w:p>
      <w:pPr>
        <w:pStyle w:val="FirstParagraph"/>
      </w:pPr>
      <w:r>
        <w:rPr>
          <w:bCs/>
          <w:b/>
        </w:rPr>
        <w:t xml:space="preserve">॥ Pada-pāṭhaḥ ॥</w:t>
      </w:r>
    </w:p>
    <w:p>
      <w:pPr>
        <w:pStyle w:val="BlockText"/>
      </w:pPr>
      <w:r>
        <w:t xml:space="preserve">विश्वेभिः । सोम्यम् । मधु । अग्ने । इन्द्रेण । वायुना ॥</w:t>
      </w:r>
      <w:r>
        <w:t xml:space="preserve"> </w:t>
      </w:r>
      <w:r>
        <w:t xml:space="preserve">पिब । मित्रस्य । धामऽभिः ॥१०॥</w:t>
      </w:r>
    </w:p>
    <w:p>
      <w:pPr>
        <w:pStyle w:val="BlockText"/>
      </w:pPr>
      <w:r>
        <w:rPr>
          <w:iCs/>
          <w:i/>
        </w:rPr>
        <w:t xml:space="preserve">viśvebhiḥ | somyam | madhu | agne | indreṇa | vāyunā ||</w:t>
      </w:r>
      <w:r>
        <w:t xml:space="preserve"> </w:t>
      </w:r>
      <w:r>
        <w:rPr>
          <w:iCs/>
          <w:i/>
        </w:rPr>
        <w:t xml:space="preserve">piba | mitrasya | dhāma ’bhiḥ ||10||</w:t>
      </w:r>
    </w:p>
    <w:p>
      <w:pPr>
        <w:pStyle w:val="FirstParagraph"/>
      </w:pPr>
      <w:r>
        <w:rPr>
          <w:bCs/>
          <w:b/>
        </w:rPr>
        <w:t xml:space="preserve">॥ Sāyaṇa-bhāṣyam ॥</w:t>
      </w:r>
    </w:p>
    <w:p>
      <w:pPr>
        <w:pStyle w:val="BlockText"/>
      </w:pPr>
      <w:r>
        <w:t xml:space="preserve">हे अग्ने त्वं विश्वेभिः सर्वैः पूषभगादिभिर्देवैरिन्द्रेण वायुना मित्रस्य सम्बन्धिभिर्धामभिस्तेजोभिर्मूर्तिविशेषरूपैश्च सह सोम्यं सोमसम्बन्धि मधु मधुरं भागं पिब ॥ विश्वेभिः । बहुलं छन्दसीति भिस ऐसादेशाभावः । सोम्यं । सोममर्हति य इत्यनुवृत्तौ मये च । पा. ४-४-१३८ । इति यप्रत्ययः सोमस्य विकार इत्यर्थे । यस्येति चेत्यकारलोपः । प्रत्ययस्वरः । मधु । फलिपाटिनमिमनीत्यादिना । उ. १-१९ । उप्रत्ययः । नित्यनुवृत्तेर्नित्त्वादाद्युदात्तः । वायुना । कृवापाजीत्यादिना उण् । आतो युक् चिण्कृतोः । पा. ७-३-३३ । इति युक् । प्रत्ययस्वरः । पिब । पा पाने । लोटः सेर्हिरादेशः । शपि पाघ्रेत्यादिना पिबादेशः । अतो हेरिति हेर्लुक् । शपः पित्त्वाद्धातुस्वरः । पादादित्वान्न निघातः । द्व्यचो ऽतस्तिङ इति संहितायां दीर्घः । धामभिः । धाञ् । आतो मनिन्निति मनिन् । नित्स्वरः ॥</w:t>
      </w:r>
    </w:p>
    <w:p>
      <w:pPr>
        <w:pStyle w:val="BlockText"/>
      </w:pPr>
      <w:r>
        <w:rPr>
          <w:iCs/>
          <w:i/>
        </w:rPr>
        <w:t xml:space="preserve">he agne tvaṃ viśvebhiḥ sarvaiḥ pūṣabhagādibhirdevairindreṇa vāyunā mitrasya sambandhibhirdhāmabhistejobhirmūrtiviśeṣarūpaiśca saha somyaṃ somasambandhi madhu madhuraṃ bhāgaṃ piba || viśvebhiḥ | bahulaṃ chandasīti bhisa aisādeśābhāvaḥ | somyaṃ | somamarhati ya ityanuvṛttau maye ca | pā. 4-4-138 | iti yapratyayaḥ somasya vikāra ityarthe | yasyeti cetyakāralopaḥ | pratyayasvaraḥ | madhu | phalipāṭinamimanītyādinā | u. 1-19 | upratyayaḥ | nityanuvṛtternittvādādyudāttaḥ | vāyunā | kṛvāpājītyādinā uṇ | āto yuk ciṇkṛtoḥ | pā. 7-3-33 | iti yuk | pratyayasvaraḥ | piba | pā pāne | loṭaḥ serhirādeśaḥ | śapi pāghretyādinā pibādeśaḥ | ato heriti herluk | śapaḥ pittvāddhātusvaraḥ | pādāditvānna nighātaḥ | dvyaco ’tastiṅa iti saṃhitāyāṃ dīrghaḥ | dhāmabhiḥ | dhāñ | āto maninniti manin | nitsvaraḥ ||</w:t>
      </w:r>
    </w:p>
    <w:p>
      <w:pPr>
        <w:pStyle w:val="FirstParagraph"/>
      </w:pPr>
      <w:r>
        <w:rPr>
          <w:bCs/>
          <w:b/>
        </w:rPr>
        <w:t xml:space="preserve">Translation:</w:t>
      </w:r>
      <w:r>
        <w:t xml:space="preserve"> </w:t>
      </w:r>
      <w:r>
        <w:t xml:space="preserve">“</w:t>
      </w:r>
      <w:r>
        <w:t xml:space="preserve">O Agni, together with</w:t>
      </w:r>
      <w:r>
        <w:t xml:space="preserve"> </w:t>
      </w:r>
      <w:r>
        <w:rPr>
          <w:iCs/>
          <w:i/>
        </w:rPr>
        <w:t xml:space="preserve">viśvebhiḥ</w:t>
      </w:r>
      <w:r>
        <w:t xml:space="preserve">, all the gods, Pūṣan, Bhaga and the rest, with Indra, with Vāyu, and with the</w:t>
      </w:r>
      <w:r>
        <w:t xml:space="preserve"> </w:t>
      </w:r>
      <w:r>
        <w:rPr>
          <w:iCs/>
          <w:i/>
        </w:rPr>
        <w:t xml:space="preserve">dhāmans</w:t>
      </w:r>
      <w:r>
        <w:t xml:space="preserve"> </w:t>
      </w:r>
      <w:r>
        <w:t xml:space="preserve">belonging to Mitra, his radiances and particular forms, drink the</w:t>
      </w:r>
      <w:r>
        <w:t xml:space="preserve"> </w:t>
      </w:r>
      <w:r>
        <w:rPr>
          <w:iCs/>
          <w:i/>
        </w:rPr>
        <w:t xml:space="preserve">somya madhu</w:t>
      </w:r>
      <w:r>
        <w:t xml:space="preserve">, the sweet share belonging to the soma.</w:t>
      </w:r>
      <w:r>
        <w:t xml:space="preserve">”</w:t>
      </w:r>
      <w:r>
        <w:t xml:space="preserve"> </w:t>
      </w:r>
      <w:r>
        <w:t xml:space="preserve">(Grammatical tail:</w:t>
      </w:r>
      <w:r>
        <w:t xml:space="preserve"> </w:t>
      </w:r>
      <w:r>
        <w:rPr>
          <w:iCs/>
          <w:i/>
        </w:rPr>
        <w:t xml:space="preserve">viśvebhiḥ</w:t>
      </w:r>
      <w:r>
        <w:t xml:space="preserve"> </w:t>
      </w:r>
      <w:r>
        <w:t xml:space="preserve">without</w:t>
      </w:r>
      <w:r>
        <w:t xml:space="preserve"> </w:t>
      </w:r>
      <w:r>
        <w:rPr>
          <w:iCs/>
          <w:i/>
        </w:rPr>
        <w:t xml:space="preserve">ais</w:t>
      </w:r>
      <w:r>
        <w:t xml:space="preserve">;</w:t>
      </w:r>
      <w:r>
        <w:t xml:space="preserve"> </w:t>
      </w:r>
      <w:r>
        <w:rPr>
          <w:iCs/>
          <w:i/>
        </w:rPr>
        <w:t xml:space="preserve">somyam</w:t>
      </w:r>
      <w:r>
        <w:t xml:space="preserve"> </w:t>
      </w:r>
      <w:r>
        <w:t xml:space="preserve">with</w:t>
      </w:r>
      <w:r>
        <w:t xml:space="preserve"> </w:t>
      </w:r>
      <w:r>
        <w:rPr>
          <w:iCs/>
          <w:i/>
        </w:rPr>
        <w:t xml:space="preserve">ya</w:t>
      </w:r>
      <w:r>
        <w:t xml:space="preserve"> </w:t>
      </w:r>
      <w:r>
        <w:t xml:space="preserve">by Pā. 4-4-138 in the sense</w:t>
      </w:r>
      <w:r>
        <w:t xml:space="preserve"> </w:t>
      </w:r>
      <w:r>
        <w:t xml:space="preserve">“</w:t>
      </w:r>
      <w:r>
        <w:t xml:space="preserve">product of soma</w:t>
      </w:r>
      <w:r>
        <w:t xml:space="preserve">”</w:t>
      </w:r>
      <w:r>
        <w:t xml:space="preserve">, the</w:t>
      </w:r>
      <w:r>
        <w:t xml:space="preserve"> </w:t>
      </w:r>
      <w:r>
        <w:rPr>
          <w:iCs/>
          <w:i/>
        </w:rPr>
        <w:t xml:space="preserve">a</w:t>
      </w:r>
      <w:r>
        <w:t xml:space="preserve"> </w:t>
      </w:r>
      <w:r>
        <w:t xml:space="preserve">dropped, the suffix accent;</w:t>
      </w:r>
      <w:r>
        <w:t xml:space="preserve"> </w:t>
      </w:r>
      <w:r>
        <w:rPr>
          <w:iCs/>
          <w:i/>
        </w:rPr>
        <w:t xml:space="preserve">madhu</w:t>
      </w:r>
      <w:r>
        <w:t xml:space="preserve"> </w:t>
      </w:r>
      <w:r>
        <w:t xml:space="preserve">with</w:t>
      </w:r>
      <w:r>
        <w:t xml:space="preserve"> </w:t>
      </w:r>
      <w:r>
        <w:rPr>
          <w:iCs/>
          <w:i/>
        </w:rPr>
        <w:t xml:space="preserve">u</w:t>
      </w:r>
      <w:r>
        <w:t xml:space="preserve"> </w:t>
      </w:r>
      <w:r>
        <w:t xml:space="preserve">(Uṇ. 1-19), initial udātta;</w:t>
      </w:r>
      <w:r>
        <w:t xml:space="preserve"> </w:t>
      </w:r>
      <w:r>
        <w:rPr>
          <w:iCs/>
          <w:i/>
        </w:rPr>
        <w:t xml:space="preserve">vāyunā</w:t>
      </w:r>
      <w:r>
        <w:t xml:space="preserve"> </w:t>
      </w:r>
      <w:r>
        <w:t xml:space="preserve">with</w:t>
      </w:r>
      <w:r>
        <w:t xml:space="preserve"> </w:t>
      </w:r>
      <w:r>
        <w:rPr>
          <w:iCs/>
          <w:i/>
        </w:rPr>
        <w:t xml:space="preserve">uṇ</w:t>
      </w:r>
      <w:r>
        <w:t xml:space="preserve"> </w:t>
      </w:r>
      <w:r>
        <w:t xml:space="preserve">and</w:t>
      </w:r>
      <w:r>
        <w:t xml:space="preserve"> </w:t>
      </w:r>
      <w:r>
        <w:rPr>
          <w:iCs/>
          <w:i/>
        </w:rPr>
        <w:t xml:space="preserve">yuk</w:t>
      </w:r>
      <w:r>
        <w:t xml:space="preserve"> </w:t>
      </w:r>
      <w:r>
        <w:t xml:space="preserve">(Pā. 7-3-33);</w:t>
      </w:r>
      <w:r>
        <w:t xml:space="preserve"> </w:t>
      </w:r>
      <w:r>
        <w:rPr>
          <w:iCs/>
          <w:i/>
        </w:rPr>
        <w:t xml:space="preserve">piba</w:t>
      </w:r>
      <w:r>
        <w:t xml:space="preserve">,</w:t>
      </w:r>
      <w:r>
        <w:t xml:space="preserve"> </w:t>
      </w:r>
      <w:r>
        <w:rPr>
          <w:iCs/>
          <w:i/>
        </w:rPr>
        <w:t xml:space="preserve">pib</w:t>
      </w:r>
      <w:r>
        <w:t xml:space="preserve"> </w:t>
      </w:r>
      <w:r>
        <w:t xml:space="preserve">for</w:t>
      </w:r>
      <w:r>
        <w:t xml:space="preserve"> </w:t>
      </w:r>
      <w:r>
        <w:rPr>
          <w:iCs/>
          <w:i/>
        </w:rPr>
        <w:t xml:space="preserve">pā</w:t>
      </w:r>
      <w:r>
        <w:t xml:space="preserve">,</w:t>
      </w:r>
      <w:r>
        <w:t xml:space="preserve"> </w:t>
      </w:r>
      <w:r>
        <w:rPr>
          <w:iCs/>
          <w:i/>
        </w:rPr>
        <w:t xml:space="preserve">hi</w:t>
      </w:r>
      <w:r>
        <w:t xml:space="preserve"> </w:t>
      </w:r>
      <w:r>
        <w:t xml:space="preserve">dropped, the root accent, not lowered at the head of the pāda, lengthened in the Saṃhitā by</w:t>
      </w:r>
      <w:r>
        <w:t xml:space="preserve"> </w:t>
      </w:r>
      <w:r>
        <w:rPr>
          <w:iCs/>
          <w:i/>
        </w:rPr>
        <w:t xml:space="preserve">dvyaco ’tas tiṅaḥ</w:t>
      </w:r>
      <w:r>
        <w:t xml:space="preserve">;</w:t>
      </w:r>
      <w:r>
        <w:t xml:space="preserve"> </w:t>
      </w:r>
      <w:r>
        <w:rPr>
          <w:iCs/>
          <w:i/>
        </w:rPr>
        <w:t xml:space="preserve">dhāmabhiḥ</w:t>
      </w:r>
      <w:r>
        <w:t xml:space="preserve">,</w:t>
      </w:r>
      <w:r>
        <w:t xml:space="preserve"> </w:t>
      </w:r>
      <w:r>
        <w:rPr>
          <w:iCs/>
          <w:i/>
        </w:rPr>
        <w:t xml:space="preserve">dhā</w:t>
      </w:r>
      <w:r>
        <w:t xml:space="preserve"> </w:t>
      </w:r>
      <w:r>
        <w:t xml:space="preserve">with</w:t>
      </w:r>
      <w:r>
        <w:t xml:space="preserve"> </w:t>
      </w:r>
      <w:r>
        <w:rPr>
          <w:iCs/>
          <w:i/>
        </w:rPr>
        <w:t xml:space="preserve">manin</w:t>
      </w:r>
      <w:r>
        <w:t xml:space="preserve">, the</w:t>
      </w:r>
      <w:r>
        <w:t xml:space="preserve"> </w:t>
      </w:r>
      <w:r>
        <w:rPr>
          <w:iCs/>
          <w:i/>
        </w:rPr>
        <w:t xml:space="preserve">nit</w:t>
      </w:r>
      <w:r>
        <w:t xml:space="preserve"> </w:t>
      </w:r>
      <w:r>
        <w:t xml:space="preserve">accent.)</w:t>
      </w:r>
    </w:p>
    <w:p>
      <w:pPr>
        <w:pStyle w:val="BodyText"/>
      </w:pPr>
      <w:r>
        <w:rPr>
          <w:bCs/>
          <w:b/>
        </w:rPr>
        <w:t xml:space="preserve">॥ Prati-padārthaḥ ॥</w:t>
      </w:r>
    </w:p>
    <w:p>
      <w:pPr>
        <w:pStyle w:val="BodyText"/>
      </w:pPr>
      <w:r>
        <w:rPr>
          <w:bCs/>
          <w:b/>
        </w:rPr>
        <w:t xml:space="preserve">अग्ने (agne)</w:t>
      </w:r>
      <w:r>
        <w:t xml:space="preserve"> </w:t>
      </w:r>
      <w:r>
        <w:t xml:space="preserve">— O Agni |</w:t>
      </w:r>
      <w:r>
        <w:t xml:space="preserve"> </w:t>
      </w:r>
      <w:r>
        <w:rPr>
          <w:bCs/>
          <w:b/>
        </w:rPr>
        <w:t xml:space="preserve">विश्वेभिः (viśvebhiḥ)</w:t>
      </w:r>
      <w:r>
        <w:t xml:space="preserve"> </w:t>
      </w:r>
      <w:r>
        <w:t xml:space="preserve">— with all the gods, Pūṣan, Bhaga and the rest |</w:t>
      </w:r>
      <w:r>
        <w:t xml:space="preserve"> </w:t>
      </w:r>
      <w:r>
        <w:rPr>
          <w:bCs/>
          <w:b/>
        </w:rPr>
        <w:t xml:space="preserve">इन्द्रेण (indreṇa)</w:t>
      </w:r>
      <w:r>
        <w:t xml:space="preserve"> </w:t>
      </w:r>
      <w:r>
        <w:t xml:space="preserve">— with Indra |</w:t>
      </w:r>
      <w:r>
        <w:t xml:space="preserve"> </w:t>
      </w:r>
      <w:r>
        <w:rPr>
          <w:bCs/>
          <w:b/>
        </w:rPr>
        <w:t xml:space="preserve">वायुना (vāyunā)</w:t>
      </w:r>
      <w:r>
        <w:t xml:space="preserve"> </w:t>
      </w:r>
      <w:r>
        <w:t xml:space="preserve">— with Vāyu |</w:t>
      </w:r>
      <w:r>
        <w:t xml:space="preserve"> </w:t>
      </w:r>
      <w:r>
        <w:rPr>
          <w:bCs/>
          <w:b/>
        </w:rPr>
        <w:t xml:space="preserve">मित्रस्य धामभिः (mitrasya dhāmabhiḥ)</w:t>
      </w:r>
      <w:r>
        <w:t xml:space="preserve"> </w:t>
      </w:r>
      <w:r>
        <w:t xml:space="preserve">— with Mitra’s particular forms and radiances, together |</w:t>
      </w:r>
      <w:r>
        <w:t xml:space="preserve"> </w:t>
      </w:r>
      <w:r>
        <w:rPr>
          <w:bCs/>
          <w:b/>
        </w:rPr>
        <w:t xml:space="preserve">सोम्यं मधु (somyaṃ madhu)</w:t>
      </w:r>
      <w:r>
        <w:t xml:space="preserve"> </w:t>
      </w:r>
      <w:r>
        <w:t xml:space="preserve">— the sweet soma juice |</w:t>
      </w:r>
      <w:r>
        <w:t xml:space="preserve"> </w:t>
      </w:r>
      <w:r>
        <w:rPr>
          <w:bCs/>
          <w:b/>
        </w:rPr>
        <w:t xml:space="preserve">पिब (piba)</w:t>
      </w:r>
      <w:r>
        <w:t xml:space="preserve"> </w:t>
      </w:r>
      <w:r>
        <w:t xml:space="preserve">— drink.</w:t>
      </w:r>
    </w:p>
    <w:p>
      <w:pPr>
        <w:pStyle w:val="BodyText"/>
      </w:pPr>
      <w:r>
        <w:rPr>
          <w:bCs/>
          <w:b/>
        </w:rPr>
        <w:t xml:space="preserve">॥ Bhāvārthaḥ ॥</w:t>
      </w:r>
    </w:p>
    <w:p>
      <w:pPr>
        <w:pStyle w:val="BodyText"/>
      </w:pPr>
      <w:r>
        <w:t xml:space="preserve">O Agni, drink the sweet soma juice together with Indra, with Vāyu, with all the other gods, Pūṣan, Bhaga and the rest, and with the particular forms of Mitra, which are in the form of radiance.</w:t>
      </w:r>
    </w:p>
    <w:bookmarkEnd w:id="662"/>
    <w:bookmarkStart w:id="663" w:name="Xe5e1c6148ec9cbe80a0971775b5182c4b63acbd"/>
    <w:p>
      <w:pPr>
        <w:pStyle w:val="Heading3"/>
      </w:pPr>
      <w:r>
        <w:t xml:space="preserve">Page 618 — Rik 10: English, Special Topics, grammar</w:t>
      </w:r>
    </w:p>
    <w:p>
      <w:pPr>
        <w:pStyle w:val="FirstParagraph"/>
      </w:pPr>
      <w:r>
        <w:rPr>
          <w:bCs/>
          <w:b/>
        </w:rPr>
        <w:t xml:space="preserve">॥ English Translation ॥</w:t>
      </w:r>
      <w:r>
        <w:t xml:space="preserve"> </w:t>
      </w:r>
      <w:r>
        <w:rPr>
          <w:iCs/>
          <w:i/>
        </w:rPr>
        <w:t xml:space="preserve">(as printed in the source)</w:t>
      </w:r>
    </w:p>
    <w:p>
      <w:pPr>
        <w:pStyle w:val="BlockText"/>
      </w:pPr>
      <w:r>
        <w:t xml:space="preserve">O Agni, drink this sweet soma juice with the Visve devas, Indra, Vayu, and the various forms of Mitra.</w:t>
      </w:r>
    </w:p>
    <w:p>
      <w:pPr>
        <w:pStyle w:val="FirstParagraph"/>
      </w:pPr>
      <w:r>
        <w:rPr>
          <w:bCs/>
          <w:b/>
        </w:rPr>
        <w:t xml:space="preserve">॥ Viśeṣa-viṣayagaḷu (Special Topics) ॥</w:t>
      </w:r>
    </w:p>
    <w:p>
      <w:pPr>
        <w:pStyle w:val="BodyText"/>
      </w:pPr>
      <w:r>
        <w:t xml:space="preserve">This Ṛk is used in the Agniṣṭoma sacrifice as the</w:t>
      </w:r>
      <w:r>
        <w:t xml:space="preserve"> </w:t>
      </w:r>
      <w:r>
        <w:rPr>
          <w:iCs/>
          <w:i/>
        </w:rPr>
        <w:t xml:space="preserve">yājyā</w:t>
      </w:r>
      <w:r>
        <w:t xml:space="preserve"> </w:t>
      </w:r>
      <w:r>
        <w:t xml:space="preserve">mantra of the recitation of the</w:t>
      </w:r>
      <w:r>
        <w:t xml:space="preserve"> </w:t>
      </w:r>
      <w:r>
        <w:rPr>
          <w:iCs/>
          <w:i/>
        </w:rPr>
        <w:t xml:space="preserve">praüga-śastra</w:t>
      </w:r>
      <w:r>
        <w:t xml:space="preserve">. In the Āśvalāyana Śrauta-sūtra, in the section</w:t>
      </w:r>
      <w:r>
        <w:t xml:space="preserve"> </w:t>
      </w:r>
      <w:r>
        <w:rPr>
          <w:iCs/>
          <w:i/>
        </w:rPr>
        <w:t xml:space="preserve">stotram agre śastrāt</w:t>
      </w:r>
      <w:r>
        <w:t xml:space="preserve">, it is said that the Ṛk</w:t>
      </w:r>
      <w:r>
        <w:t xml:space="preserve"> </w:t>
      </w:r>
      <w:r>
        <w:rPr>
          <w:iCs/>
          <w:i/>
        </w:rPr>
        <w:t xml:space="preserve">viśvebhiḥ somyaṃ madhu</w:t>
      </w:r>
      <w:r>
        <w:t xml:space="preserve"> </w:t>
      </w:r>
      <w:r>
        <w:t xml:space="preserve">is to be used as the</w:t>
      </w:r>
      <w:r>
        <w:t xml:space="preserve"> </w:t>
      </w:r>
      <w:r>
        <w:rPr>
          <w:iCs/>
          <w:i/>
        </w:rPr>
        <w:t xml:space="preserve">yājyā</w:t>
      </w:r>
      <w:r>
        <w:t xml:space="preserve"> </w:t>
      </w:r>
      <w:r>
        <w:t xml:space="preserve">mantra (Ā. 5-10).</w:t>
      </w:r>
    </w:p>
    <w:p>
      <w:pPr>
        <w:pStyle w:val="BodyText"/>
      </w:pPr>
      <w:r>
        <w:rPr>
          <w:bCs/>
          <w:b/>
        </w:rPr>
        <w:t xml:space="preserve">Piba</w:t>
      </w:r>
      <w:r>
        <w:t xml:space="preserve">: in the Saṃhitā the final syllable is long, to suit the metre.</w:t>
      </w:r>
    </w:p>
    <w:p>
      <w:pPr>
        <w:pStyle w:val="BodyText"/>
      </w:pPr>
      <w:r>
        <w:rPr>
          <w:bCs/>
          <w:b/>
        </w:rPr>
        <w:t xml:space="preserve">Mitrasya dhāmabhiḥ</w:t>
      </w:r>
      <w:r>
        <w:t xml:space="preserve">:</w:t>
      </w:r>
    </w:p>
    <w:p>
      <w:pPr>
        <w:pStyle w:val="BlockText"/>
      </w:pPr>
      <w:r>
        <w:t xml:space="preserve">मित्रस्य सम्बन्धिभिर्धामभिस्तेजोमूर्तिविशेषरूपैश्च</w:t>
      </w:r>
    </w:p>
    <w:p>
      <w:pPr>
        <w:pStyle w:val="BlockText"/>
      </w:pPr>
      <w:r>
        <w:rPr>
          <w:iCs/>
          <w:i/>
        </w:rPr>
        <w:t xml:space="preserve">mitrasya sambandhibhirdhāmabhistejomūrtiviśeṣarūpaiśca</w:t>
      </w:r>
    </w:p>
    <w:p>
      <w:pPr>
        <w:pStyle w:val="FirstParagraph"/>
      </w:pPr>
      <w:r>
        <w:t xml:space="preserve">with Mitra’s forms of radiance,</w:t>
      </w:r>
      <w:r>
        <w:t xml:space="preserve"> </w:t>
      </w:r>
      <w:r>
        <w:t xml:space="preserve">“</w:t>
      </w:r>
      <w:r>
        <w:t xml:space="preserve">with various forms of Mitra</w:t>
      </w:r>
      <w:r>
        <w:t xml:space="preserve">”</w:t>
      </w:r>
      <w:r>
        <w:t xml:space="preserve">.</w:t>
      </w:r>
      <w:r>
        <w:t xml:space="preserve"> </w:t>
      </w:r>
      <w:r>
        <w:rPr>
          <w:iCs/>
          <w:i/>
        </w:rPr>
        <w:t xml:space="preserve">Dhāmabhiḥ</w:t>
      </w:r>
      <w:r>
        <w:t xml:space="preserve"> </w:t>
      </w:r>
      <w:r>
        <w:t xml:space="preserve">means with radiances or forms of radiance,</w:t>
      </w:r>
      <w:r>
        <w:t xml:space="preserve"> </w:t>
      </w:r>
      <w:r>
        <w:t xml:space="preserve">“</w:t>
      </w:r>
      <w:r>
        <w:t xml:space="preserve">Rays</w:t>
      </w:r>
      <w:r>
        <w:t xml:space="preserve">”</w:t>
      </w:r>
      <w:r>
        <w:t xml:space="preserve">. Which the radiant forms of Mitra are here is not clear.</w:t>
      </w:r>
    </w:p>
    <w:p>
      <w:pPr>
        <w:pStyle w:val="BodyText"/>
      </w:pPr>
      <w:r>
        <w:rPr>
          <w:bCs/>
          <w:b/>
        </w:rPr>
        <w:t xml:space="preserve">॥ Vyākaraṇa-prakriyā ॥</w:t>
      </w:r>
      <w:r>
        <w:t xml:space="preserve"> </w:t>
      </w:r>
      <w:r>
        <w:rPr>
          <w:iCs/>
          <w:i/>
        </w:rPr>
        <w:t xml:space="preserve">(grammar pages 618–619, noted briefly)</w:t>
      </w:r>
    </w:p>
    <w:p>
      <w:pPr>
        <w:pStyle w:val="BodyText"/>
      </w:pPr>
      <w:r>
        <w:rPr>
          <w:bCs/>
          <w:b/>
        </w:rPr>
        <w:t xml:space="preserve">विश्वेभिः (</w:t>
      </w:r>
      <w:r>
        <w:rPr>
          <w:iCs/>
          <w:i/>
          <w:bCs/>
          <w:b/>
        </w:rPr>
        <w:t xml:space="preserve">viśvebhiḥ</w:t>
      </w:r>
      <w:r>
        <w:rPr>
          <w:bCs/>
          <w:b/>
        </w:rPr>
        <w:t xml:space="preserve">)</w:t>
      </w:r>
      <w:r>
        <w:t xml:space="preserve">: by</w:t>
      </w:r>
      <w:r>
        <w:t xml:space="preserve"> </w:t>
      </w:r>
      <w:r>
        <w:t xml:space="preserve">“</w:t>
      </w:r>
      <w:r>
        <w:t xml:space="preserve">bahulaṃ chandasi</w:t>
      </w:r>
      <w:r>
        <w:t xml:space="preserve">”</w:t>
      </w:r>
      <w:r>
        <w:t xml:space="preserve"> </w:t>
      </w:r>
      <w:r>
        <w:t xml:space="preserve">(Pā. sū. 7-1-10) the</w:t>
      </w:r>
      <w:r>
        <w:t xml:space="preserve"> </w:t>
      </w:r>
      <w:r>
        <w:rPr>
          <w:iCs/>
          <w:i/>
        </w:rPr>
        <w:t xml:space="preserve">ais</w:t>
      </w:r>
      <w:r>
        <w:t xml:space="preserve"> </w:t>
      </w:r>
      <w:r>
        <w:t xml:space="preserve">that</w:t>
      </w:r>
      <w:r>
        <w:t xml:space="preserve"> </w:t>
      </w:r>
      <w:r>
        <w:t xml:space="preserve">“</w:t>
      </w:r>
      <w:r>
        <w:t xml:space="preserve">ato bhisa ais</w:t>
      </w:r>
      <w:r>
        <w:t xml:space="preserve">”</w:t>
      </w:r>
      <w:r>
        <w:t xml:space="preserve"> </w:t>
      </w:r>
      <w:r>
        <w:t xml:space="preserve">(Pā. sū. 7-1-9) would give for</w:t>
      </w:r>
      <w:r>
        <w:t xml:space="preserve"> </w:t>
      </w:r>
      <w:r>
        <w:rPr>
          <w:iCs/>
          <w:i/>
        </w:rPr>
        <w:t xml:space="preserve">bhis</w:t>
      </w:r>
      <w:r>
        <w:t xml:space="preserve"> </w:t>
      </w:r>
      <w:r>
        <w:t xml:space="preserve">does not come.</w:t>
      </w:r>
    </w:p>
    <w:p>
      <w:pPr>
        <w:pStyle w:val="BodyText"/>
      </w:pPr>
      <w:r>
        <w:rPr>
          <w:bCs/>
          <w:b/>
        </w:rPr>
        <w:t xml:space="preserve">सोम्यम् (</w:t>
      </w:r>
      <w:r>
        <w:rPr>
          <w:iCs/>
          <w:i/>
          <w:bCs/>
          <w:b/>
        </w:rPr>
        <w:t xml:space="preserve">somyam</w:t>
      </w:r>
      <w:r>
        <w:rPr>
          <w:bCs/>
          <w:b/>
        </w:rPr>
        <w:t xml:space="preserve">)</w:t>
      </w:r>
      <w:r>
        <w:t xml:space="preserve">: with</w:t>
      </w:r>
      <w:r>
        <w:t xml:space="preserve"> </w:t>
      </w:r>
      <w:r>
        <w:rPr>
          <w:iCs/>
          <w:i/>
        </w:rPr>
        <w:t xml:space="preserve">somam</w:t>
      </w:r>
      <w:r>
        <w:t xml:space="preserve"> </w:t>
      </w:r>
      <w:r>
        <w:t xml:space="preserve">and</w:t>
      </w:r>
      <w:r>
        <w:t xml:space="preserve"> </w:t>
      </w:r>
      <w:r>
        <w:rPr>
          <w:iCs/>
          <w:i/>
        </w:rPr>
        <w:t xml:space="preserve">yaḥ</w:t>
      </w:r>
      <w:r>
        <w:t xml:space="preserve"> </w:t>
      </w:r>
      <w:r>
        <w:t xml:space="preserve">carried on from</w:t>
      </w:r>
      <w:r>
        <w:t xml:space="preserve"> </w:t>
      </w:r>
      <w:r>
        <w:t xml:space="preserve">“</w:t>
      </w:r>
      <w:r>
        <w:t xml:space="preserve">somam arhati yaḥ</w:t>
      </w:r>
      <w:r>
        <w:t xml:space="preserve">”</w:t>
      </w:r>
      <w:r>
        <w:t xml:space="preserve"> </w:t>
      </w:r>
      <w:r>
        <w:t xml:space="preserve">(Pā. sū. 4-4-137),</w:t>
      </w:r>
      <w:r>
        <w:t xml:space="preserve"> </w:t>
      </w:r>
      <w:r>
        <w:t xml:space="preserve">“</w:t>
      </w:r>
      <w:r>
        <w:t xml:space="preserve">maye ca</w:t>
      </w:r>
      <w:r>
        <w:t xml:space="preserve">”</w:t>
      </w:r>
      <w:r>
        <w:t xml:space="preserve"> </w:t>
      </w:r>
      <w:r>
        <w:t xml:space="preserve">(Pā. sū. 4-4-138): after</w:t>
      </w:r>
      <w:r>
        <w:t xml:space="preserve"> </w:t>
      </w:r>
      <w:r>
        <w:rPr>
          <w:iCs/>
          <w:i/>
        </w:rPr>
        <w:t xml:space="preserve">soma</w:t>
      </w:r>
      <w:r>
        <w:t xml:space="preserve"> </w:t>
      </w:r>
      <w:r>
        <w:t xml:space="preserve">in the fitting case, in the senses of</w:t>
      </w:r>
      <w:r>
        <w:t xml:space="preserve"> </w:t>
      </w:r>
      <w:r>
        <w:rPr>
          <w:iCs/>
          <w:i/>
        </w:rPr>
        <w:t xml:space="preserve">mayaṭ</w:t>
      </w:r>
      <w:r>
        <w:t xml:space="preserve"> </w:t>
      </w:r>
      <w:r>
        <w:t xml:space="preserve">(come from, product, part, statement of plenty), the suffix</w:t>
      </w:r>
      <w:r>
        <w:t xml:space="preserve"> </w:t>
      </w:r>
      <w:r>
        <w:rPr>
          <w:iCs/>
          <w:i/>
        </w:rPr>
        <w:t xml:space="preserve">ya</w:t>
      </w:r>
      <w:r>
        <w:t xml:space="preserve">. In the sense</w:t>
      </w:r>
      <w:r>
        <w:t xml:space="preserve"> </w:t>
      </w:r>
      <w:r>
        <w:t xml:space="preserve">“</w:t>
      </w:r>
      <w:r>
        <w:t xml:space="preserve">come from</w:t>
      </w:r>
      <w:r>
        <w:t xml:space="preserve">”</w:t>
      </w:r>
      <w:r>
        <w:t xml:space="preserve"> </w:t>
      </w:r>
      <w:r>
        <w:t xml:space="preserve">the fitting case is the fifth; in product and part the sixth; in the statement of plenty the first. Here, meant as</w:t>
      </w:r>
      <w:r>
        <w:t xml:space="preserve"> </w:t>
      </w:r>
      <w:r>
        <w:rPr>
          <w:iCs/>
          <w:i/>
        </w:rPr>
        <w:t xml:space="preserve">somasya vikāraḥ</w:t>
      </w:r>
      <w:r>
        <w:t xml:space="preserve">,</w:t>
      </w:r>
      <w:r>
        <w:t xml:space="preserve"> </w:t>
      </w:r>
      <w:r>
        <w:rPr>
          <w:iCs/>
          <w:i/>
        </w:rPr>
        <w:t xml:space="preserve">ya</w:t>
      </w:r>
      <w:r>
        <w:t xml:space="preserve"> </w:t>
      </w:r>
      <w:r>
        <w:t xml:space="preserve">after the genitive in the sense of product; ending in a</w:t>
      </w:r>
      <w:r>
        <w:t xml:space="preserve"> </w:t>
      </w:r>
      <w:r>
        <w:rPr>
          <w:iCs/>
          <w:i/>
        </w:rPr>
        <w:t xml:space="preserve">taddhita</w:t>
      </w:r>
      <w:r>
        <w:t xml:space="preserve">, a</w:t>
      </w:r>
      <w:r>
        <w:t xml:space="preserve"> </w:t>
      </w:r>
      <w:r>
        <w:rPr>
          <w:iCs/>
          <w:i/>
        </w:rPr>
        <w:t xml:space="preserve">prātipadika</w:t>
      </w:r>
      <w:r>
        <w:t xml:space="preserve">; the ending dropped:</w:t>
      </w:r>
      <w:r>
        <w:t xml:space="preserve"> </w:t>
      </w:r>
      <w:r>
        <w:rPr>
          <w:iCs/>
          <w:i/>
        </w:rPr>
        <w:t xml:space="preserve">soma</w:t>
      </w:r>
      <w:r>
        <w:t xml:space="preserve"> </w:t>
      </w:r>
      <w:r>
        <w:t xml:space="preserve">+</w:t>
      </w:r>
      <w:r>
        <w:t xml:space="preserve"> </w:t>
      </w:r>
      <w:r>
        <w:rPr>
          <w:iCs/>
          <w:i/>
        </w:rPr>
        <w:t xml:space="preserve">ya</w:t>
      </w:r>
      <w:r>
        <w:t xml:space="preserve">; the</w:t>
      </w:r>
      <w:r>
        <w:t xml:space="preserve"> </w:t>
      </w:r>
      <w:r>
        <w:rPr>
          <w:iCs/>
          <w:i/>
        </w:rPr>
        <w:t xml:space="preserve">a</w:t>
      </w:r>
      <w:r>
        <w:t xml:space="preserve"> </w:t>
      </w:r>
      <w:r>
        <w:t xml:space="preserve">dropped by</w:t>
      </w:r>
      <w:r>
        <w:t xml:space="preserve"> </w:t>
      </w:r>
      <w:r>
        <w:t xml:space="preserve">“</w:t>
      </w:r>
      <w:r>
        <w:t xml:space="preserve">yasyeti ca</w:t>
      </w:r>
      <w:r>
        <w:t xml:space="preserve">”</w:t>
      </w:r>
      <w:r>
        <w:t xml:space="preserve"> </w:t>
      </w:r>
      <w:r>
        <w:t xml:space="preserve">(Pā. sū. 6-4-148); the suffix accent; accusative singular</w:t>
      </w:r>
      <w:r>
        <w:t xml:space="preserve"> </w:t>
      </w:r>
      <w:r>
        <w:rPr>
          <w:iCs/>
          <w:i/>
        </w:rPr>
        <w:t xml:space="preserve">somyam</w:t>
      </w:r>
      <w:r>
        <w:t xml:space="preserve">.</w:t>
      </w:r>
    </w:p>
    <w:p>
      <w:pPr>
        <w:pStyle w:val="BodyText"/>
      </w:pPr>
      <w:r>
        <w:rPr>
          <w:bCs/>
          <w:b/>
        </w:rPr>
        <w:t xml:space="preserve">मधु (</w:t>
      </w:r>
      <w:r>
        <w:rPr>
          <w:iCs/>
          <w:i/>
          <w:bCs/>
          <w:b/>
        </w:rPr>
        <w:t xml:space="preserve">madhu</w:t>
      </w:r>
      <w:r>
        <w:rPr>
          <w:bCs/>
          <w:b/>
        </w:rPr>
        <w:t xml:space="preserve">)</w:t>
      </w:r>
      <w:r>
        <w:t xml:space="preserve">: the suffix</w:t>
      </w:r>
      <w:r>
        <w:t xml:space="preserve"> </w:t>
      </w:r>
      <w:r>
        <w:rPr>
          <w:iCs/>
          <w:i/>
        </w:rPr>
        <w:t xml:space="preserve">u</w:t>
      </w:r>
      <w:r>
        <w:t xml:space="preserve"> </w:t>
      </w:r>
      <w:r>
        <w:t xml:space="preserve">by</w:t>
      </w:r>
      <w:r>
        <w:t xml:space="preserve"> </w:t>
      </w:r>
      <w:r>
        <w:t xml:space="preserve">“</w:t>
      </w:r>
      <w:r>
        <w:t xml:space="preserve">phalipāṭinamimani…</w:t>
      </w:r>
      <w:r>
        <w:t xml:space="preserve">”</w:t>
      </w:r>
      <w:r>
        <w:t xml:space="preserve"> </w:t>
      </w:r>
      <w:r>
        <w:t xml:space="preserve">(Uṇ. sū.</w:t>
      </w:r>
      <w:r>
        <w:t xml:space="preserve"> </w:t>
      </w:r>
      <w:r>
        <w:t xml:space="preserve">“</w:t>
      </w:r>
      <w:r>
        <w:t xml:space="preserve">1-18</w:t>
      </w:r>
      <w:r>
        <w:t xml:space="preserve">”</w:t>
      </w:r>
      <w:r>
        <w:t xml:space="preserve"> </w:t>
      </w:r>
      <w:r>
        <w:t xml:space="preserve">[as printed; the bhāṣya gives 1-19]);</w:t>
      </w:r>
      <w:r>
        <w:t xml:space="preserve"> </w:t>
      </w:r>
      <w:r>
        <w:rPr>
          <w:iCs/>
          <w:i/>
        </w:rPr>
        <w:t xml:space="preserve">nit</w:t>
      </w:r>
      <w:r>
        <w:t xml:space="preserve"> </w:t>
      </w:r>
      <w:r>
        <w:t xml:space="preserve">is carried on, so the suffix is</w:t>
      </w:r>
      <w:r>
        <w:t xml:space="preserve"> </w:t>
      </w:r>
      <w:r>
        <w:rPr>
          <w:iCs/>
          <w:i/>
        </w:rPr>
        <w:t xml:space="preserve">nit</w:t>
      </w:r>
      <w:r>
        <w:t xml:space="preserve">, and the</w:t>
      </w:r>
      <w:r>
        <w:t xml:space="preserve"> </w:t>
      </w:r>
      <w:r>
        <w:rPr>
          <w:iCs/>
          <w:i/>
        </w:rPr>
        <w:t xml:space="preserve">nit</w:t>
      </w:r>
      <w:r>
        <w:t xml:space="preserve"> </w:t>
      </w:r>
      <w:r>
        <w:t xml:space="preserve">accent comes.</w:t>
      </w:r>
      <w:r>
        <w:t xml:space="preserve"> </w:t>
      </w:r>
      <w:r>
        <w:rPr>
          <w:bCs/>
          <w:b/>
        </w:rPr>
        <w:t xml:space="preserve">वायुना (</w:t>
      </w:r>
      <w:r>
        <w:rPr>
          <w:iCs/>
          <w:i/>
          <w:bCs/>
          <w:b/>
        </w:rPr>
        <w:t xml:space="preserve">vāyunā</w:t>
      </w:r>
      <w:r>
        <w:rPr>
          <w:bCs/>
          <w:b/>
        </w:rPr>
        <w:t xml:space="preserve">)</w:t>
      </w:r>
      <w:r>
        <w:t xml:space="preserve">:</w:t>
      </w:r>
      <w:r>
        <w:t xml:space="preserve"> </w:t>
      </w:r>
      <w:r>
        <w:rPr>
          <w:iCs/>
          <w:i/>
        </w:rPr>
        <w:t xml:space="preserve">uṇ</w:t>
      </w:r>
      <w:r>
        <w:t xml:space="preserve"> </w:t>
      </w:r>
      <w:r>
        <w:t xml:space="preserve">after</w:t>
      </w:r>
      <w:r>
        <w:t xml:space="preserve"> </w:t>
      </w:r>
      <w:r>
        <w:rPr>
          <w:iCs/>
          <w:i/>
        </w:rPr>
        <w:t xml:space="preserve">vā</w:t>
      </w:r>
      <w:r>
        <w:t xml:space="preserve"> </w:t>
      </w:r>
      <w:r>
        <w:t xml:space="preserve">by</w:t>
      </w:r>
      <w:r>
        <w:t xml:space="preserve"> </w:t>
      </w:r>
      <w:r>
        <w:t xml:space="preserve">“</w:t>
      </w:r>
      <w:r>
        <w:t xml:space="preserve">kṛvāpāji…</w:t>
      </w:r>
      <w:r>
        <w:t xml:space="preserve">”</w:t>
      </w:r>
      <w:r>
        <w:t xml:space="preserve"> </w:t>
      </w:r>
      <w:r>
        <w:t xml:space="preserve">(Uṇ. sū. 1-1);</w:t>
      </w:r>
      <w:r>
        <w:t xml:space="preserve"> </w:t>
      </w:r>
      <w:r>
        <w:t xml:space="preserve">“</w:t>
      </w:r>
      <w:r>
        <w:t xml:space="preserve">āto yuk ciṇkṛtoḥ</w:t>
      </w:r>
      <w:r>
        <w:t xml:space="preserve">”</w:t>
      </w:r>
    </w:p>
    <w:bookmarkEnd w:id="663"/>
    <w:bookmarkStart w:id="664" w:name="page-619-rik-10-grammar-end"/>
    <w:p>
      <w:pPr>
        <w:pStyle w:val="Heading3"/>
      </w:pPr>
      <w:r>
        <w:t xml:space="preserve">Page 619 — Rik 10: grammar (end)</w:t>
      </w:r>
    </w:p>
    <w:p>
      <w:pPr>
        <w:pStyle w:val="FirstParagraph"/>
      </w:pPr>
      <w:r>
        <w:t xml:space="preserve">(Pā. sū. 7-3-33): before</w:t>
      </w:r>
      <w:r>
        <w:t xml:space="preserve"> </w:t>
      </w:r>
      <w:r>
        <w:rPr>
          <w:iCs/>
          <w:i/>
        </w:rPr>
        <w:t xml:space="preserve">ciṇ</w:t>
      </w:r>
      <w:r>
        <w:t xml:space="preserve"> </w:t>
      </w:r>
      <w:r>
        <w:t xml:space="preserve">and a</w:t>
      </w:r>
      <w:r>
        <w:t xml:space="preserve"> </w:t>
      </w:r>
      <w:r>
        <w:rPr>
          <w:iCs/>
          <w:i/>
        </w:rPr>
        <w:t xml:space="preserve">kṛt</w:t>
      </w:r>
      <w:r>
        <w:t xml:space="preserve"> </w:t>
      </w:r>
      <w:r>
        <w:t xml:space="preserve">suffix with</w:t>
      </w:r>
      <w:r>
        <w:t xml:space="preserve"> </w:t>
      </w:r>
      <w:r>
        <w:rPr>
          <w:iCs/>
          <w:i/>
        </w:rPr>
        <w:t xml:space="preserve">ñ</w:t>
      </w:r>
      <w:r>
        <w:t xml:space="preserve">/</w:t>
      </w:r>
      <w:r>
        <w:rPr>
          <w:iCs/>
          <w:i/>
        </w:rPr>
        <w:t xml:space="preserve">ṇ</w:t>
      </w:r>
      <w:r>
        <w:t xml:space="preserve">, an</w:t>
      </w:r>
      <w:r>
        <w:t xml:space="preserve"> </w:t>
      </w:r>
      <w:r>
        <w:rPr>
          <w:iCs/>
          <w:i/>
        </w:rPr>
        <w:t xml:space="preserve">ā</w:t>
      </w:r>
      <w:r>
        <w:t xml:space="preserve">-final root takes the augment</w:t>
      </w:r>
      <w:r>
        <w:t xml:space="preserve"> </w:t>
      </w:r>
      <w:r>
        <w:rPr>
          <w:iCs/>
          <w:i/>
        </w:rPr>
        <w:t xml:space="preserve">yuk</w:t>
      </w:r>
      <w:r>
        <w:t xml:space="preserve">;</w:t>
      </w:r>
      <w:r>
        <w:t xml:space="preserve"> </w:t>
      </w:r>
      <w:r>
        <w:rPr>
          <w:iCs/>
          <w:i/>
        </w:rPr>
        <w:t xml:space="preserve">yuk</w:t>
      </w:r>
      <w:r>
        <w:t xml:space="preserve">, being</w:t>
      </w:r>
      <w:r>
        <w:t xml:space="preserve"> </w:t>
      </w:r>
      <w:r>
        <w:rPr>
          <w:iCs/>
          <w:i/>
        </w:rPr>
        <w:t xml:space="preserve">kit</w:t>
      </w:r>
      <w:r>
        <w:t xml:space="preserve">, comes at the end; the suffix accent.</w:t>
      </w:r>
    </w:p>
    <w:p>
      <w:pPr>
        <w:pStyle w:val="BodyText"/>
      </w:pPr>
      <w:r>
        <w:rPr>
          <w:bCs/>
          <w:b/>
        </w:rPr>
        <w:t xml:space="preserve">पिब (</w:t>
      </w:r>
      <w:r>
        <w:rPr>
          <w:iCs/>
          <w:i/>
          <w:bCs/>
          <w:b/>
        </w:rPr>
        <w:t xml:space="preserve">piba</w:t>
      </w:r>
      <w:r>
        <w:rPr>
          <w:bCs/>
          <w:b/>
        </w:rPr>
        <w:t xml:space="preserve">)</w:t>
      </w:r>
      <w:r>
        <w:t xml:space="preserve">:</w:t>
      </w:r>
      <w:r>
        <w:t xml:space="preserve"> </w:t>
      </w:r>
      <w:r>
        <w:rPr>
          <w:iCs/>
          <w:i/>
        </w:rPr>
        <w:t xml:space="preserve">pā pāne</w:t>
      </w:r>
      <w:r>
        <w:t xml:space="preserve">,</w:t>
      </w:r>
      <w:r>
        <w:t xml:space="preserve"> </w:t>
      </w:r>
      <w:r>
        <w:rPr>
          <w:iCs/>
          <w:i/>
        </w:rPr>
        <w:t xml:space="preserve">loṭ</w:t>
      </w:r>
      <w:r>
        <w:t xml:space="preserve">, 2nd singular</w:t>
      </w:r>
      <w:r>
        <w:t xml:space="preserve"> </w:t>
      </w:r>
      <w:r>
        <w:rPr>
          <w:iCs/>
          <w:i/>
        </w:rPr>
        <w:t xml:space="preserve">sip</w:t>
      </w:r>
      <w:r>
        <w:t xml:space="preserve">;</w:t>
      </w:r>
      <w:r>
        <w:t xml:space="preserve"> </w:t>
      </w:r>
      <w:r>
        <w:rPr>
          <w:iCs/>
          <w:i/>
        </w:rPr>
        <w:t xml:space="preserve">hi</w:t>
      </w:r>
      <w:r>
        <w:t xml:space="preserve"> </w:t>
      </w:r>
      <w:r>
        <w:t xml:space="preserve">for</w:t>
      </w:r>
      <w:r>
        <w:t xml:space="preserve"> </w:t>
      </w:r>
      <w:r>
        <w:rPr>
          <w:iCs/>
          <w:i/>
        </w:rPr>
        <w:t xml:space="preserve">si</w:t>
      </w:r>
      <w:r>
        <w:t xml:space="preserve"> </w:t>
      </w:r>
      <w:r>
        <w:t xml:space="preserve">by</w:t>
      </w:r>
      <w:r>
        <w:t xml:space="preserve"> </w:t>
      </w:r>
      <w:r>
        <w:t xml:space="preserve">“</w:t>
      </w:r>
      <w:r>
        <w:t xml:space="preserve">ser hy apic ca</w:t>
      </w:r>
      <w:r>
        <w:t xml:space="preserve">”</w:t>
      </w:r>
      <w:r>
        <w:t xml:space="preserve"> </w:t>
      </w:r>
      <w:r>
        <w:t xml:space="preserve">(Pā. sū. 3-4-87); the</w:t>
      </w:r>
      <w:r>
        <w:t xml:space="preserve"> </w:t>
      </w:r>
      <w:r>
        <w:rPr>
          <w:iCs/>
          <w:i/>
        </w:rPr>
        <w:t xml:space="preserve">vikaraṇa</w:t>
      </w:r>
      <w:r>
        <w:t xml:space="preserve"> </w:t>
      </w:r>
      <w:r>
        <w:rPr>
          <w:iCs/>
          <w:i/>
        </w:rPr>
        <w:t xml:space="preserve">śap</w:t>
      </w:r>
      <w:r>
        <w:t xml:space="preserve"> </w:t>
      </w:r>
      <w:r>
        <w:t xml:space="preserve">by</w:t>
      </w:r>
      <w:r>
        <w:t xml:space="preserve"> </w:t>
      </w:r>
      <w:r>
        <w:t xml:space="preserve">“</w:t>
      </w:r>
      <w:r>
        <w:t xml:space="preserve">kartari śap</w:t>
      </w:r>
      <w:r>
        <w:t xml:space="preserve">”</w:t>
      </w:r>
      <w:r>
        <w:t xml:space="preserve"> </w:t>
      </w:r>
      <w:r>
        <w:t xml:space="preserve">(Pā. sū. 3-1-68);</w:t>
      </w:r>
      <w:r>
        <w:t xml:space="preserve"> </w:t>
      </w:r>
      <w:r>
        <w:rPr>
          <w:iCs/>
          <w:i/>
        </w:rPr>
        <w:t xml:space="preserve">pib</w:t>
      </w:r>
      <w:r>
        <w:t xml:space="preserve"> </w:t>
      </w:r>
      <w:r>
        <w:t xml:space="preserve">for</w:t>
      </w:r>
      <w:r>
        <w:t xml:space="preserve"> </w:t>
      </w:r>
      <w:r>
        <w:rPr>
          <w:iCs/>
          <w:i/>
        </w:rPr>
        <w:t xml:space="preserve">pā</w:t>
      </w:r>
      <w:r>
        <w:t xml:space="preserve"> </w:t>
      </w:r>
      <w:r>
        <w:t xml:space="preserve">by</w:t>
      </w:r>
      <w:r>
        <w:t xml:space="preserve"> </w:t>
      </w:r>
      <w:r>
        <w:t xml:space="preserve">“</w:t>
      </w:r>
      <w:r>
        <w:t xml:space="preserve">pāghrādhmā…</w:t>
      </w:r>
      <w:r>
        <w:t xml:space="preserve">”</w:t>
      </w:r>
      <w:r>
        <w:t xml:space="preserve"> </w:t>
      </w:r>
      <w:r>
        <w:t xml:space="preserve">(Pā. sū. 7-3-78);</w:t>
      </w:r>
      <w:r>
        <w:t xml:space="preserve"> </w:t>
      </w:r>
      <w:r>
        <w:rPr>
          <w:iCs/>
          <w:i/>
        </w:rPr>
        <w:t xml:space="preserve">hi</w:t>
      </w:r>
      <w:r>
        <w:t xml:space="preserve"> </w:t>
      </w:r>
      <w:r>
        <w:t xml:space="preserve">dropped by</w:t>
      </w:r>
      <w:r>
        <w:t xml:space="preserve"> </w:t>
      </w:r>
      <w:r>
        <w:t xml:space="preserve">“</w:t>
      </w:r>
      <w:r>
        <w:t xml:space="preserve">ato heḥ</w:t>
      </w:r>
      <w:r>
        <w:t xml:space="preserve">”</w:t>
      </w:r>
      <w:r>
        <w:t xml:space="preserve"> </w:t>
      </w:r>
      <w:r>
        <w:t xml:space="preserve">(Pā. sū. 6-4-105);</w:t>
      </w:r>
      <w:r>
        <w:t xml:space="preserve"> </w:t>
      </w:r>
      <w:r>
        <w:rPr>
          <w:iCs/>
          <w:i/>
        </w:rPr>
        <w:t xml:space="preserve">śap</w:t>
      </w:r>
      <w:r>
        <w:t xml:space="preserve"> </w:t>
      </w:r>
      <w:r>
        <w:t xml:space="preserve">is</w:t>
      </w:r>
      <w:r>
        <w:t xml:space="preserve"> </w:t>
      </w:r>
      <w:r>
        <w:rPr>
          <w:iCs/>
          <w:i/>
        </w:rPr>
        <w:t xml:space="preserve">pit</w:t>
      </w:r>
      <w:r>
        <w:t xml:space="preserve">, so the root accent remains. At the head of the pāda,</w:t>
      </w:r>
      <w:r>
        <w:t xml:space="preserve"> </w:t>
      </w:r>
      <w:r>
        <w:t xml:space="preserve">“</w:t>
      </w:r>
      <w:r>
        <w:t xml:space="preserve">tiṅṅatiṅaḥ</w:t>
      </w:r>
      <w:r>
        <w:t xml:space="preserve">”</w:t>
      </w:r>
      <w:r>
        <w:t xml:space="preserve"> </w:t>
      </w:r>
      <w:r>
        <w:t xml:space="preserve">(Pā. sū. 8-1-28) does not lower it.</w:t>
      </w:r>
      <w:r>
        <w:t xml:space="preserve"> </w:t>
      </w:r>
      <w:r>
        <w:t xml:space="preserve">“</w:t>
      </w:r>
      <w:r>
        <w:t xml:space="preserve">dvyaco ’tas tiṅaḥ</w:t>
      </w:r>
      <w:r>
        <w:t xml:space="preserve">”</w:t>
      </w:r>
      <w:r>
        <w:t xml:space="preserve"> </w:t>
      </w:r>
      <w:r>
        <w:t xml:space="preserve">(Pā. sū. 6-3-135): in the mantra the final</w:t>
      </w:r>
      <w:r>
        <w:t xml:space="preserve"> </w:t>
      </w:r>
      <w:r>
        <w:rPr>
          <w:iCs/>
          <w:i/>
        </w:rPr>
        <w:t xml:space="preserve">a</w:t>
      </w:r>
      <w:r>
        <w:t xml:space="preserve"> </w:t>
      </w:r>
      <w:r>
        <w:t xml:space="preserve">of a two-vowel</w:t>
      </w:r>
      <w:r>
        <w:t xml:space="preserve"> </w:t>
      </w:r>
      <w:r>
        <w:rPr>
          <w:iCs/>
          <w:i/>
        </w:rPr>
        <w:t xml:space="preserve">tiṅanta</w:t>
      </w:r>
      <w:r>
        <w:t xml:space="preserve"> </w:t>
      </w:r>
      <w:r>
        <w:t xml:space="preserve">is lengthened, so in the Saṃhitā the</w:t>
      </w:r>
      <w:r>
        <w:t xml:space="preserve"> </w:t>
      </w:r>
      <w:r>
        <w:rPr>
          <w:iCs/>
          <w:i/>
        </w:rPr>
        <w:t xml:space="preserve">a</w:t>
      </w:r>
      <w:r>
        <w:t xml:space="preserve"> </w:t>
      </w:r>
      <w:r>
        <w:t xml:space="preserve">of</w:t>
      </w:r>
      <w:r>
        <w:t xml:space="preserve"> </w:t>
      </w:r>
      <w:r>
        <w:rPr>
          <w:iCs/>
          <w:i/>
        </w:rPr>
        <w:t xml:space="preserve">piba</w:t>
      </w:r>
      <w:r>
        <w:t xml:space="preserve"> </w:t>
      </w:r>
      <w:r>
        <w:t xml:space="preserve">becomes long.</w:t>
      </w:r>
    </w:p>
    <w:p>
      <w:pPr>
        <w:pStyle w:val="BodyText"/>
      </w:pPr>
      <w:r>
        <w:rPr>
          <w:bCs/>
          <w:b/>
        </w:rPr>
        <w:t xml:space="preserve">धामभिः (</w:t>
      </w:r>
      <w:r>
        <w:rPr>
          <w:iCs/>
          <w:i/>
          <w:bCs/>
          <w:b/>
        </w:rPr>
        <w:t xml:space="preserve">dhāmabhiḥ</w:t>
      </w:r>
      <w:r>
        <w:rPr>
          <w:bCs/>
          <w:b/>
        </w:rPr>
        <w:t xml:space="preserve">)</w:t>
      </w:r>
      <w:r>
        <w:t xml:space="preserve">:</w:t>
      </w:r>
      <w:r>
        <w:t xml:space="preserve"> </w:t>
      </w:r>
      <w:r>
        <w:rPr>
          <w:iCs/>
          <w:i/>
        </w:rPr>
        <w:t xml:space="preserve">ḍudhāñ dhāraṇapoṣaṇayoḥ</w:t>
      </w:r>
      <w:r>
        <w:t xml:space="preserve">;</w:t>
      </w:r>
      <w:r>
        <w:t xml:space="preserve"> </w:t>
      </w:r>
      <w:r>
        <w:t xml:space="preserve">“</w:t>
      </w:r>
      <w:r>
        <w:t xml:space="preserve">āto manin kvanib vanipaś ca</w:t>
      </w:r>
      <w:r>
        <w:t xml:space="preserve">”</w:t>
      </w:r>
      <w:r>
        <w:t xml:space="preserve"> </w:t>
      </w:r>
      <w:r>
        <w:t xml:space="preserve">(Pā. sū. 3-2-74) gives the suffix</w:t>
      </w:r>
      <w:r>
        <w:t xml:space="preserve"> </w:t>
      </w:r>
      <w:r>
        <w:rPr>
          <w:iCs/>
          <w:i/>
        </w:rPr>
        <w:t xml:space="preserve">manin</w:t>
      </w:r>
      <w:r>
        <w:t xml:space="preserve">; being</w:t>
      </w:r>
      <w:r>
        <w:t xml:space="preserve"> </w:t>
      </w:r>
      <w:r>
        <w:rPr>
          <w:iCs/>
          <w:i/>
        </w:rPr>
        <w:t xml:space="preserve">nit</w:t>
      </w:r>
      <w:r>
        <w:t xml:space="preserve">,</w:t>
      </w:r>
      <w:r>
        <w:t xml:space="preserve"> </w:t>
      </w:r>
      <w:r>
        <w:rPr>
          <w:iCs/>
          <w:i/>
        </w:rPr>
        <w:t xml:space="preserve">dhāman</w:t>
      </w:r>
      <w:r>
        <w:t xml:space="preserve"> </w:t>
      </w:r>
      <w:r>
        <w:t xml:space="preserve">is initial udātta by the</w:t>
      </w:r>
      <w:r>
        <w:t xml:space="preserve"> </w:t>
      </w:r>
      <w:r>
        <w:rPr>
          <w:iCs/>
          <w:i/>
        </w:rPr>
        <w:t xml:space="preserve">nit</w:t>
      </w:r>
      <w:r>
        <w:t xml:space="preserve"> </w:t>
      </w:r>
      <w:r>
        <w:t xml:space="preserve">accent.</w:t>
      </w:r>
    </w:p>
    <w:p>
      <w:pPr>
        <w:pStyle w:val="BodyText"/>
      </w:pPr>
      <w:r>
        <w:rPr>
          <w:bCs/>
          <w:b/>
        </w:rPr>
        <w:t xml:space="preserve">॥१०॥</w:t>
      </w:r>
    </w:p>
    <w:p>
      <w:r>
        <w:pict>
          <v:rect style="width:0;height:1.5pt" o:hralign="center" o:hrstd="t" o:hr="t"/>
        </w:pict>
      </w:r>
    </w:p>
    <w:bookmarkEnd w:id="664"/>
    <w:bookmarkStart w:id="665" w:name="page-619-lower-sūkta-14-rik-11"/>
    <w:p>
      <w:pPr>
        <w:pStyle w:val="Heading3"/>
      </w:pPr>
      <w:r>
        <w:t xml:space="preserve">Page 619 (lower) — Sūkta 14, Rik 11</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त्वं होता॒ मनु॑र्हि॒तो ऽग्ने॑ य॒ज्ञेषु॑ सीदसि ।</w:t>
      </w:r>
      <w:r>
        <w:t xml:space="preserve"> </w:t>
      </w:r>
      <w:r>
        <w:t xml:space="preserve">सेमं नो॑ अध्व॒रं य॑ज ॥११॥ [accent ?]</w:t>
      </w:r>
    </w:p>
    <w:p>
      <w:pPr>
        <w:pStyle w:val="BlockText"/>
      </w:pPr>
      <w:r>
        <w:rPr>
          <w:iCs/>
          <w:i/>
        </w:rPr>
        <w:t xml:space="preserve">tvaṃ hotā mánur hitó ’gne yajñéṣu sīdasi |</w:t>
      </w:r>
      <w:r>
        <w:t xml:space="preserve"> </w:t>
      </w:r>
      <w:r>
        <w:rPr>
          <w:iCs/>
          <w:i/>
        </w:rPr>
        <w:t xml:space="preserve">semáṃ no adhvaráṃ yaja ||11||</w:t>
      </w:r>
      <w:r>
        <w:t xml:space="preserve"> </w:t>
      </w:r>
      <w:r>
        <w:t xml:space="preserve">[accent ?]</w:t>
      </w:r>
    </w:p>
    <w:p>
      <w:pPr>
        <w:pStyle w:val="FirstParagraph"/>
      </w:pPr>
      <w:r>
        <w:rPr>
          <w:iCs/>
          <w:i/>
        </w:rPr>
        <w:t xml:space="preserve">(Line 2: the stroke over नो and the stroke near य of यज are read at 450 dpi; the second may stand over the end of अध्वरं.)</w:t>
      </w:r>
    </w:p>
    <w:p>
      <w:pPr>
        <w:pStyle w:val="BodyText"/>
      </w:pPr>
      <w:r>
        <w:rPr>
          <w:bCs/>
          <w:b/>
        </w:rPr>
        <w:t xml:space="preserve">॥ Pada-pāṭhaḥ ॥</w:t>
      </w:r>
    </w:p>
    <w:p>
      <w:pPr>
        <w:pStyle w:val="BlockText"/>
      </w:pPr>
      <w:r>
        <w:t xml:space="preserve">त्वम् । होता । मनुःऽहितः । अग्ने । यज्ञेषु । सीदसि ॥</w:t>
      </w:r>
      <w:r>
        <w:t xml:space="preserve"> </w:t>
      </w:r>
      <w:r>
        <w:t xml:space="preserve">सः । इमम् । नः । अध्वरम् । यज ॥११॥</w:t>
      </w:r>
    </w:p>
    <w:p>
      <w:pPr>
        <w:pStyle w:val="BlockText"/>
      </w:pPr>
      <w:r>
        <w:rPr>
          <w:iCs/>
          <w:i/>
        </w:rPr>
        <w:t xml:space="preserve">tvam | hotā | manuḥ ’hitaḥ | agne | yajñeṣu | sīdasi ||</w:t>
      </w:r>
      <w:r>
        <w:t xml:space="preserve"> </w:t>
      </w:r>
      <w:r>
        <w:rPr>
          <w:iCs/>
          <w:i/>
        </w:rPr>
        <w:t xml:space="preserve">saḥ | imam | naḥ | adhvaram | yaja ||11||</w:t>
      </w:r>
    </w:p>
    <w:p>
      <w:pPr>
        <w:pStyle w:val="FirstParagraph"/>
      </w:pPr>
      <w:r>
        <w:rPr>
          <w:bCs/>
          <w:b/>
        </w:rPr>
        <w:t xml:space="preserve">॥ Sāyaṇa-bhāṣyam ॥</w:t>
      </w:r>
    </w:p>
    <w:p>
      <w:pPr>
        <w:pStyle w:val="BlockText"/>
      </w:pPr>
      <w:r>
        <w:t xml:space="preserve">हे अग्ने मनुर्हितो मनुषा होत्रादिरूपेण मनुष्येण हितः सम्पादितो होमनिष्पादको यस्त्वं यज्ञेषु सीदसि तिष्ठसि स त्वं नो ऽस्मदीयमिममध्वरं यज्ञं यज निष्पादय ॥ मनुर्हितः । मन्यत इति मनुः । नित्येत्यनुवृत्तौ बहुलमन्यत्रापि । उ. २-१२२ [?] । उस् । नित्त्वादाद्युदात्तः । हितः । धाञो धातो-</w:t>
      </w:r>
    </w:p>
    <w:p>
      <w:pPr>
        <w:pStyle w:val="BlockText"/>
      </w:pPr>
      <w:r>
        <w:rPr>
          <w:iCs/>
          <w:i/>
        </w:rPr>
        <w:t xml:space="preserve">he agne manurhito manuṣā hotrādirūpeṇa manuṣyeṇa hitaḥ sampādito homaniṣpādako yastvaṃ yajñeṣu sīdasi tiṣṭhasi sa tvaṃ no ’smadīyamimamadhvaraṃ yajñaṃ yaja niṣpādaya || manurhitaḥ | manyata iti manuḥ | nityetyanuvṛttau bahulamanyatrāpi | u. 2-122 [?] | us | nittvādādyudāttaḥ | hitaḥ | dhāño dhāto-</w:t>
      </w:r>
    </w:p>
    <w:bookmarkEnd w:id="665"/>
    <w:bookmarkStart w:id="666" w:name="X3365c9fa545a91a7ba70881c9ccd1cb82915702"/>
    <w:p>
      <w:pPr>
        <w:pStyle w:val="Heading3"/>
      </w:pPr>
      <w:r>
        <w:t xml:space="preserve">Page 620 — Rik 11: bhāṣya (end), word-meanings, overall sense, English, Special Topics</w:t>
      </w:r>
    </w:p>
    <w:p>
      <w:pPr>
        <w:pStyle w:val="BlockText"/>
      </w:pPr>
      <w:r>
        <w:t xml:space="preserve">-र्निष्ठेति क्तप्रत्ययः । दधातेर्हिरिति हिरादेशः । मनुषा हितो मनुर्हितः । कर्तृकरणे कृता बहुलमिति समासः । कृत्स्वरापवादेन तृतीया कर्मणीति पूर्वपदप्रकृतिस्वरत्वं । सीदसि । षद्लृ विशरणगत्यवसादनेषु । लटः सिप् । शपि पाघ्रेत्यादिना सीदादेशः । निघातः । सेममित्यत्र संहितायां सो ऽचि लोपे चेत्पादपूरणं । पा. ६-१-१३४ । इति सोर्लोपे गुणः । अध्वरं । न विद्यते ध्वरो हिंसा यस्मिन्सो ऽध्वरः । नञ्सुभ्यामित्युत्तरपदान्तोदात्तत्वं । नो अध्वरमित्यत्र संहितायामेङः पदान्तादति । पा. ६-१-१०९ । इति पूर्वरूपं प्राप्तं प्रकृत्यान्तःपादमव्यपर इति प्रकृतिभावान्निवर्तते ॥</w:t>
      </w:r>
    </w:p>
    <w:p>
      <w:pPr>
        <w:pStyle w:val="BlockText"/>
      </w:pPr>
      <w:r>
        <w:rPr>
          <w:iCs/>
          <w:i/>
        </w:rPr>
        <w:t xml:space="preserve">-rniṣṭheti ktapratyayaḥ | dadhāterhiriti hirādeśaḥ | manuṣā hito manurhitaḥ | kartṛkaraṇe kṛtā bahulamiti samāsaḥ | kṛtsvarāpavādena tṛtīyā karmaṇīti pūrvapadaprakṛtisvaratvaṃ | sīdasi | ṣadlṛ viśaraṇagatyavasādaneṣu | laṭaḥ sip | śapi pāghretyādinā sīdādeśaḥ | nighātaḥ | semamityatra saṃhitāyāṃ so ’ci lope cetpādapūraṇaṃ | pā. 6-1-134 | iti sorlope guṇaḥ | adhvaraṃ | na vidyate dhvaro hiṃsā yasminso ’dhvaraḥ | nañsubhyāmityuttarapadāntodāttatvaṃ | no adhvaramityatra saṃhitāyāmeṅaḥ padāntādati | pā. 6-1-109 | iti pūrvarūpaṃ prāptaṃ prakṛtyāntaḥpādamavyapara iti prakṛtibhāvānnivartate ||</w:t>
      </w:r>
    </w:p>
    <w:p>
      <w:pPr>
        <w:pStyle w:val="FirstParagraph"/>
      </w:pPr>
      <w:r>
        <w:rPr>
          <w:bCs/>
          <w:b/>
        </w:rPr>
        <w:t xml:space="preserve">Translation:</w:t>
      </w:r>
      <w:r>
        <w:t xml:space="preserve"> </w:t>
      </w:r>
      <w:r>
        <w:t xml:space="preserve">“</w:t>
      </w:r>
      <w:r>
        <w:t xml:space="preserve">O Agni, you who are</w:t>
      </w:r>
      <w:r>
        <w:t xml:space="preserve"> </w:t>
      </w:r>
      <w:r>
        <w:rPr>
          <w:iCs/>
          <w:i/>
        </w:rPr>
        <w:t xml:space="preserve">manurhitaḥ</w:t>
      </w:r>
      <w:r>
        <w:t xml:space="preserve">, set up by man in the form of the</w:t>
      </w:r>
      <w:r>
        <w:t xml:space="preserve"> </w:t>
      </w:r>
      <w:r>
        <w:rPr>
          <w:iCs/>
          <w:i/>
        </w:rPr>
        <w:t xml:space="preserve">hotṛ</w:t>
      </w:r>
      <w:r>
        <w:t xml:space="preserve"> </w:t>
      </w:r>
      <w:r>
        <w:t xml:space="preserve">and others, the accomplisher of the</w:t>
      </w:r>
      <w:r>
        <w:t xml:space="preserve"> </w:t>
      </w:r>
      <w:r>
        <w:rPr>
          <w:iCs/>
          <w:i/>
        </w:rPr>
        <w:t xml:space="preserve">homa</w:t>
      </w:r>
      <w:r>
        <w:t xml:space="preserve">, who</w:t>
      </w:r>
      <w:r>
        <w:t xml:space="preserve"> </w:t>
      </w:r>
      <w:r>
        <w:rPr>
          <w:iCs/>
          <w:i/>
        </w:rPr>
        <w:t xml:space="preserve">sīdasi</w:t>
      </w:r>
      <w:r>
        <w:t xml:space="preserve">, sit, at the sacrifices: such as you are,</w:t>
      </w:r>
      <w:r>
        <w:t xml:space="preserve"> </w:t>
      </w:r>
      <w:r>
        <w:rPr>
          <w:iCs/>
          <w:i/>
        </w:rPr>
        <w:t xml:space="preserve">yaja</w:t>
      </w:r>
      <w:r>
        <w:t xml:space="preserve">, accomplish, this our</w:t>
      </w:r>
      <w:r>
        <w:t xml:space="preserve"> </w:t>
      </w:r>
      <w:r>
        <w:rPr>
          <w:iCs/>
          <w:i/>
        </w:rPr>
        <w:t xml:space="preserve">adhvara</w:t>
      </w:r>
      <w:r>
        <w:t xml:space="preserve">, sacrifice.</w:t>
      </w:r>
      <w:r>
        <w:t xml:space="preserve">”</w:t>
      </w:r>
      <w:r>
        <w:t xml:space="preserve"> </w:t>
      </w:r>
      <w:r>
        <w:t xml:space="preserve">(Grammatical tail:</w:t>
      </w:r>
      <w:r>
        <w:t xml:space="preserve"> </w:t>
      </w:r>
      <w:r>
        <w:rPr>
          <w:iCs/>
          <w:i/>
        </w:rPr>
        <w:t xml:space="preserve">manuḥ</w:t>
      </w:r>
      <w:r>
        <w:t xml:space="preserve">,</w:t>
      </w:r>
      <w:r>
        <w:t xml:space="preserve"> </w:t>
      </w:r>
      <w:r>
        <w:t xml:space="preserve">“</w:t>
      </w:r>
      <w:r>
        <w:t xml:space="preserve">who thinks</w:t>
      </w:r>
      <w:r>
        <w:t xml:space="preserve">”</w:t>
      </w:r>
      <w:r>
        <w:t xml:space="preserve">, with</w:t>
      </w:r>
      <w:r>
        <w:t xml:space="preserve"> </w:t>
      </w:r>
      <w:r>
        <w:rPr>
          <w:iCs/>
          <w:i/>
        </w:rPr>
        <w:t xml:space="preserve">us</w:t>
      </w:r>
      <w:r>
        <w:t xml:space="preserve"> </w:t>
      </w:r>
      <w:r>
        <w:t xml:space="preserve">(Uṇ.</w:t>
      </w:r>
      <w:r>
        <w:t xml:space="preserve"> </w:t>
      </w:r>
      <w:r>
        <w:t xml:space="preserve">“</w:t>
      </w:r>
      <w:r>
        <w:t xml:space="preserve">2-122</w:t>
      </w:r>
      <w:r>
        <w:t xml:space="preserve">”</w:t>
      </w:r>
      <w:r>
        <w:t xml:space="preserve"> </w:t>
      </w:r>
      <w:r>
        <w:t xml:space="preserve">[?]), initial udātta;</w:t>
      </w:r>
      <w:r>
        <w:t xml:space="preserve"> </w:t>
      </w:r>
      <w:r>
        <w:rPr>
          <w:iCs/>
          <w:i/>
        </w:rPr>
        <w:t xml:space="preserve">hitaḥ</w:t>
      </w:r>
      <w:r>
        <w:t xml:space="preserve">,</w:t>
      </w:r>
      <w:r>
        <w:t xml:space="preserve"> </w:t>
      </w:r>
      <w:r>
        <w:rPr>
          <w:iCs/>
          <w:i/>
        </w:rPr>
        <w:t xml:space="preserve">kta</w:t>
      </w:r>
      <w:r>
        <w:t xml:space="preserve"> </w:t>
      </w:r>
      <w:r>
        <w:t xml:space="preserve">after</w:t>
      </w:r>
      <w:r>
        <w:t xml:space="preserve"> </w:t>
      </w:r>
      <w:r>
        <w:rPr>
          <w:iCs/>
          <w:i/>
        </w:rPr>
        <w:t xml:space="preserve">dhā</w:t>
      </w:r>
      <w:r>
        <w:t xml:space="preserve"> </w:t>
      </w:r>
      <w:r>
        <w:t xml:space="preserve">with</w:t>
      </w:r>
      <w:r>
        <w:t xml:space="preserve"> </w:t>
      </w:r>
      <w:r>
        <w:rPr>
          <w:iCs/>
          <w:i/>
        </w:rPr>
        <w:t xml:space="preserve">hi</w:t>
      </w:r>
      <w:r>
        <w:t xml:space="preserve"> </w:t>
      </w:r>
      <w:r>
        <w:t xml:space="preserve">for it;</w:t>
      </w:r>
      <w:r>
        <w:t xml:space="preserve"> </w:t>
      </w:r>
      <w:r>
        <w:rPr>
          <w:iCs/>
          <w:i/>
        </w:rPr>
        <w:t xml:space="preserve">manurhitaḥ</w:t>
      </w:r>
      <w:r>
        <w:t xml:space="preserve">,</w:t>
      </w:r>
      <w:r>
        <w:t xml:space="preserve"> </w:t>
      </w:r>
      <w:r>
        <w:t xml:space="preserve">“</w:t>
      </w:r>
      <w:r>
        <w:t xml:space="preserve">set up by man</w:t>
      </w:r>
      <w:r>
        <w:t xml:space="preserve">”</w:t>
      </w:r>
      <w:r>
        <w:t xml:space="preserve">, compounded by</w:t>
      </w:r>
      <w:r>
        <w:t xml:space="preserve"> </w:t>
      </w:r>
      <w:r>
        <w:rPr>
          <w:iCs/>
          <w:i/>
        </w:rPr>
        <w:t xml:space="preserve">kartṛkaraṇe kṛtā bahulam</w:t>
      </w:r>
      <w:r>
        <w:t xml:space="preserve">, the first-member accent by</w:t>
      </w:r>
      <w:r>
        <w:t xml:space="preserve"> </w:t>
      </w:r>
      <w:r>
        <w:rPr>
          <w:iCs/>
          <w:i/>
        </w:rPr>
        <w:t xml:space="preserve">tṛtīyā karmaṇi</w:t>
      </w:r>
      <w:r>
        <w:t xml:space="preserve">, an exception to the</w:t>
      </w:r>
      <w:r>
        <w:t xml:space="preserve"> </w:t>
      </w:r>
      <w:r>
        <w:rPr>
          <w:iCs/>
          <w:i/>
        </w:rPr>
        <w:t xml:space="preserve">kṛt</w:t>
      </w:r>
      <w:r>
        <w:t xml:space="preserve"> </w:t>
      </w:r>
      <w:r>
        <w:t xml:space="preserve">accent;</w:t>
      </w:r>
      <w:r>
        <w:t xml:space="preserve"> </w:t>
      </w:r>
      <w:r>
        <w:rPr>
          <w:iCs/>
          <w:i/>
        </w:rPr>
        <w:t xml:space="preserve">sīdasi</w:t>
      </w:r>
      <w:r>
        <w:t xml:space="preserve">,</w:t>
      </w:r>
      <w:r>
        <w:t xml:space="preserve"> </w:t>
      </w:r>
      <w:r>
        <w:rPr>
          <w:iCs/>
          <w:i/>
        </w:rPr>
        <w:t xml:space="preserve">sīd</w:t>
      </w:r>
      <w:r>
        <w:t xml:space="preserve"> </w:t>
      </w:r>
      <w:r>
        <w:t xml:space="preserve">for</w:t>
      </w:r>
      <w:r>
        <w:t xml:space="preserve"> </w:t>
      </w:r>
      <w:r>
        <w:rPr>
          <w:iCs/>
          <w:i/>
        </w:rPr>
        <w:t xml:space="preserve">sad</w:t>
      </w:r>
      <w:r>
        <w:t xml:space="preserve">, lowered;</w:t>
      </w:r>
      <w:r>
        <w:t xml:space="preserve"> </w:t>
      </w:r>
      <w:r>
        <w:rPr>
          <w:iCs/>
          <w:i/>
        </w:rPr>
        <w:t xml:space="preserve">sa imam</w:t>
      </w:r>
      <w:r>
        <w:t xml:space="preserve"> </w:t>
      </w:r>
      <w:r>
        <w:t xml:space="preserve">→</w:t>
      </w:r>
      <w:r>
        <w:t xml:space="preserve"> </w:t>
      </w:r>
      <w:r>
        <w:rPr>
          <w:iCs/>
          <w:i/>
        </w:rPr>
        <w:t xml:space="preserve">semam</w:t>
      </w:r>
      <w:r>
        <w:t xml:space="preserve"> </w:t>
      </w:r>
      <w:r>
        <w:t xml:space="preserve">in the Saṃhitā by Pā. 6-1-134, the loss of</w:t>
      </w:r>
      <w:r>
        <w:t xml:space="preserve"> </w:t>
      </w:r>
      <w:r>
        <w:rPr>
          <w:iCs/>
          <w:i/>
        </w:rPr>
        <w:t xml:space="preserve">su</w:t>
      </w:r>
      <w:r>
        <w:t xml:space="preserve"> </w:t>
      </w:r>
      <w:r>
        <w:t xml:space="preserve">to fill the pāda, then</w:t>
      </w:r>
      <w:r>
        <w:t xml:space="preserve"> </w:t>
      </w:r>
      <w:r>
        <w:rPr>
          <w:iCs/>
          <w:i/>
        </w:rPr>
        <w:t xml:space="preserve">guṇa</w:t>
      </w:r>
      <w:r>
        <w:t xml:space="preserve">;</w:t>
      </w:r>
      <w:r>
        <w:t xml:space="preserve"> </w:t>
      </w:r>
      <w:r>
        <w:rPr>
          <w:iCs/>
          <w:i/>
        </w:rPr>
        <w:t xml:space="preserve">adhvaram</w:t>
      </w:r>
      <w:r>
        <w:t xml:space="preserve">,</w:t>
      </w:r>
      <w:r>
        <w:t xml:space="preserve"> </w:t>
      </w:r>
      <w:r>
        <w:t xml:space="preserve">“</w:t>
      </w:r>
      <w:r>
        <w:t xml:space="preserve">in which there is no harm</w:t>
      </w:r>
      <w:r>
        <w:t xml:space="preserve">”</w:t>
      </w:r>
      <w:r>
        <w:t xml:space="preserve">, final udātta by</w:t>
      </w:r>
      <w:r>
        <w:t xml:space="preserve"> </w:t>
      </w:r>
      <w:r>
        <w:rPr>
          <w:iCs/>
          <w:i/>
        </w:rPr>
        <w:t xml:space="preserve">nañsubhyām</w:t>
      </w:r>
      <w:r>
        <w:t xml:space="preserve">;</w:t>
      </w:r>
      <w:r>
        <w:t xml:space="preserve"> </w:t>
      </w:r>
      <w:r>
        <w:rPr>
          <w:iCs/>
          <w:i/>
        </w:rPr>
        <w:t xml:space="preserve">no adhvaram</w:t>
      </w:r>
      <w:r>
        <w:t xml:space="preserve">: the</w:t>
      </w:r>
      <w:r>
        <w:t xml:space="preserve"> </w:t>
      </w:r>
      <w:r>
        <w:rPr>
          <w:iCs/>
          <w:i/>
        </w:rPr>
        <w:t xml:space="preserve">pūrvarūpa</w:t>
      </w:r>
      <w:r>
        <w:t xml:space="preserve"> </w:t>
      </w:r>
      <w:r>
        <w:t xml:space="preserve">of Pā. 6-1-109 is barred by</w:t>
      </w:r>
      <w:r>
        <w:t xml:space="preserve"> </w:t>
      </w:r>
      <w:r>
        <w:rPr>
          <w:iCs/>
          <w:i/>
        </w:rPr>
        <w:t xml:space="preserve">prakṛtyāntaḥpādam avyapare</w:t>
      </w:r>
      <w:r>
        <w:t xml:space="preserve">.)</w:t>
      </w:r>
    </w:p>
    <w:p>
      <w:pPr>
        <w:pStyle w:val="BodyText"/>
      </w:pPr>
      <w:r>
        <w:rPr>
          <w:bCs/>
          <w:b/>
        </w:rPr>
        <w:t xml:space="preserve">॥ Prati-padārthaḥ ॥</w:t>
      </w:r>
    </w:p>
    <w:p>
      <w:pPr>
        <w:pStyle w:val="BodyText"/>
      </w:pPr>
      <w:r>
        <w:rPr>
          <w:bCs/>
          <w:b/>
        </w:rPr>
        <w:t xml:space="preserve">अग्ने (agne)</w:t>
      </w:r>
      <w:r>
        <w:t xml:space="preserve"> </w:t>
      </w:r>
      <w:r>
        <w:t xml:space="preserve">— O Agni, (who) |</w:t>
      </w:r>
      <w:r>
        <w:t xml:space="preserve"> </w:t>
      </w:r>
      <w:r>
        <w:rPr>
          <w:bCs/>
          <w:b/>
        </w:rPr>
        <w:t xml:space="preserve">त्वम् (tvam)</w:t>
      </w:r>
      <w:r>
        <w:t xml:space="preserve"> </w:t>
      </w:r>
      <w:r>
        <w:t xml:space="preserve">— you |</w:t>
      </w:r>
      <w:r>
        <w:t xml:space="preserve"> </w:t>
      </w:r>
      <w:r>
        <w:rPr>
          <w:bCs/>
          <w:b/>
        </w:rPr>
        <w:t xml:space="preserve">मनुर्हितः (manurhitaḥ)</w:t>
      </w:r>
      <w:r>
        <w:t xml:space="preserve"> </w:t>
      </w:r>
      <w:r>
        <w:t xml:space="preserve">— appointed by men as</w:t>
      </w:r>
      <w:r>
        <w:t xml:space="preserve"> </w:t>
      </w:r>
      <w:r>
        <w:rPr>
          <w:iCs/>
          <w:i/>
        </w:rPr>
        <w:t xml:space="preserve">hotṛ</w:t>
      </w:r>
      <w:r>
        <w:t xml:space="preserve"> </w:t>
      </w:r>
      <w:r>
        <w:t xml:space="preserve">and the rest |</w:t>
      </w:r>
      <w:r>
        <w:t xml:space="preserve"> </w:t>
      </w:r>
      <w:r>
        <w:rPr>
          <w:bCs/>
          <w:b/>
        </w:rPr>
        <w:t xml:space="preserve">होता (hotā)</w:t>
      </w:r>
      <w:r>
        <w:t xml:space="preserve"> </w:t>
      </w:r>
      <w:r>
        <w:t xml:space="preserve">— as the accomplisher of the</w:t>
      </w:r>
      <w:r>
        <w:t xml:space="preserve"> </w:t>
      </w:r>
      <w:r>
        <w:rPr>
          <w:iCs/>
          <w:i/>
        </w:rPr>
        <w:t xml:space="preserve">homa</w:t>
      </w:r>
      <w:r>
        <w:t xml:space="preserve"> </w:t>
      </w:r>
      <w:r>
        <w:t xml:space="preserve">|</w:t>
      </w:r>
      <w:r>
        <w:t xml:space="preserve"> </w:t>
      </w:r>
      <w:r>
        <w:rPr>
          <w:bCs/>
          <w:b/>
        </w:rPr>
        <w:t xml:space="preserve">यज्ञेषु (yajñeṣu)</w:t>
      </w:r>
      <w:r>
        <w:t xml:space="preserve"> </w:t>
      </w:r>
      <w:r>
        <w:t xml:space="preserve">— at the times of our sacrifices |</w:t>
      </w:r>
      <w:r>
        <w:t xml:space="preserve"> </w:t>
      </w:r>
      <w:r>
        <w:rPr>
          <w:bCs/>
          <w:b/>
        </w:rPr>
        <w:t xml:space="preserve">सीदसि (sīdasi)</w:t>
      </w:r>
      <w:r>
        <w:t xml:space="preserve"> </w:t>
      </w:r>
      <w:r>
        <w:t xml:space="preserve">— sit (with us) |</w:t>
      </w:r>
      <w:r>
        <w:t xml:space="preserve"> </w:t>
      </w:r>
      <w:r>
        <w:rPr>
          <w:bCs/>
          <w:b/>
        </w:rPr>
        <w:t xml:space="preserve">सः (saḥ)</w:t>
      </w:r>
      <w:r>
        <w:t xml:space="preserve"> </w:t>
      </w:r>
      <w:r>
        <w:t xml:space="preserve">— such as you |</w:t>
      </w:r>
      <w:r>
        <w:t xml:space="preserve"> </w:t>
      </w:r>
      <w:r>
        <w:rPr>
          <w:bCs/>
          <w:b/>
        </w:rPr>
        <w:t xml:space="preserve">नः (naḥ)</w:t>
      </w:r>
      <w:r>
        <w:t xml:space="preserve"> </w:t>
      </w:r>
      <w:r>
        <w:t xml:space="preserve">— our |</w:t>
      </w:r>
      <w:r>
        <w:t xml:space="preserve"> </w:t>
      </w:r>
      <w:r>
        <w:rPr>
          <w:bCs/>
          <w:b/>
        </w:rPr>
        <w:t xml:space="preserve">इमम् अध्वरम् (imam adhvaram)</w:t>
      </w:r>
      <w:r>
        <w:t xml:space="preserve"> </w:t>
      </w:r>
      <w:r>
        <w:t xml:space="preserve">— this sacrifice |</w:t>
      </w:r>
      <w:r>
        <w:t xml:space="preserve"> </w:t>
      </w:r>
      <w:r>
        <w:rPr>
          <w:bCs/>
          <w:b/>
        </w:rPr>
        <w:t xml:space="preserve">यज (yaja)</w:t>
      </w:r>
      <w:r>
        <w:t xml:space="preserve"> </w:t>
      </w:r>
      <w:r>
        <w:t xml:space="preserve">— accomplish.</w:t>
      </w:r>
    </w:p>
    <w:p>
      <w:pPr>
        <w:pStyle w:val="BodyText"/>
      </w:pPr>
      <w:r>
        <w:rPr>
          <w:bCs/>
          <w:b/>
        </w:rPr>
        <w:t xml:space="preserve">॥ Bhāvārthaḥ ॥</w:t>
      </w:r>
    </w:p>
    <w:p>
      <w:pPr>
        <w:pStyle w:val="BodyText"/>
      </w:pPr>
      <w:r>
        <w:t xml:space="preserve">O Agni, you bring the gods to the sacrifice and stay with us at the times of the sacrifices that we men perform. Such as you are, accomplish our sacrifice.</w:t>
      </w:r>
    </w:p>
    <w:p>
      <w:pPr>
        <w:pStyle w:val="BodyText"/>
      </w:pPr>
      <w:r>
        <w:rPr>
          <w:bCs/>
          <w:b/>
        </w:rPr>
        <w:t xml:space="preserve">॥ English Translation ॥</w:t>
      </w:r>
      <w:r>
        <w:t xml:space="preserve"> </w:t>
      </w:r>
      <w:r>
        <w:rPr>
          <w:iCs/>
          <w:i/>
        </w:rPr>
        <w:t xml:space="preserve">(as printed in the source)</w:t>
      </w:r>
    </w:p>
    <w:p>
      <w:pPr>
        <w:pStyle w:val="BlockText"/>
      </w:pPr>
      <w:r>
        <w:t xml:space="preserve">O Agni, appointed by man as the invoker of the gods you are present at the sacrifice. Therefore perform this our sacrifice.</w:t>
      </w:r>
    </w:p>
    <w:p>
      <w:pPr>
        <w:pStyle w:val="FirstParagraph"/>
      </w:pPr>
      <w:r>
        <w:rPr>
          <w:bCs/>
          <w:b/>
        </w:rPr>
        <w:t xml:space="preserve">॥ Viśeṣa-viṣayagaḷu (Special Topics) ॥</w:t>
      </w:r>
    </w:p>
    <w:p>
      <w:pPr>
        <w:pStyle w:val="BodyText"/>
      </w:pPr>
      <w:r>
        <w:rPr>
          <w:bCs/>
          <w:b/>
        </w:rPr>
        <w:t xml:space="preserve">Manurhitaḥ</w:t>
      </w:r>
      <w:r>
        <w:t xml:space="preserve">:</w:t>
      </w:r>
    </w:p>
    <w:p>
      <w:pPr>
        <w:pStyle w:val="BlockText"/>
      </w:pPr>
      <w:r>
        <w:t xml:space="preserve">मन्यते इति मनुः । मनुषा होत्रादिरूपेण मनुष्येण हितः सम्पादितः ॥</w:t>
      </w:r>
    </w:p>
    <w:p>
      <w:pPr>
        <w:pStyle w:val="BlockText"/>
      </w:pPr>
      <w:r>
        <w:rPr>
          <w:iCs/>
          <w:i/>
        </w:rPr>
        <w:t xml:space="preserve">manyate iti manuḥ | manuṣā hotrādirūpeṇa manuṣyeṇa hitaḥ sampāditaḥ ||</w:t>
      </w:r>
    </w:p>
    <w:p>
      <w:pPr>
        <w:pStyle w:val="FirstParagraph"/>
      </w:pPr>
      <w:r>
        <w:t xml:space="preserve">Since the human sacrificer has appointed him to take part in the sacrificial rite, or since he bears the chief role in the sacrifice, he is the one placed in the fire-pit.</w:t>
      </w:r>
    </w:p>
    <w:bookmarkEnd w:id="666"/>
    <w:bookmarkStart w:id="667" w:name="page-621-rik-11-grammar"/>
    <w:p>
      <w:pPr>
        <w:pStyle w:val="Heading3"/>
      </w:pPr>
      <w:r>
        <w:t xml:space="preserve">Page 621 — Rik 11: grammar</w:t>
      </w:r>
    </w:p>
    <w:p>
      <w:pPr>
        <w:pStyle w:val="FirstParagraph"/>
      </w:pPr>
      <w:r>
        <w:rPr>
          <w:bCs/>
          <w:b/>
        </w:rPr>
        <w:t xml:space="preserve">॥ Vyākaraṇa-prakriyā ॥</w:t>
      </w:r>
      <w:r>
        <w:t xml:space="preserve"> </w:t>
      </w:r>
      <w:r>
        <w:rPr>
          <w:iCs/>
          <w:i/>
        </w:rPr>
        <w:t xml:space="preserve">(grammar pages 621–622, noted briefly)</w:t>
      </w:r>
    </w:p>
    <w:p>
      <w:pPr>
        <w:pStyle w:val="BodyText"/>
      </w:pPr>
      <w:r>
        <w:rPr>
          <w:bCs/>
          <w:b/>
        </w:rPr>
        <w:t xml:space="preserve">मनुर्हितः (</w:t>
      </w:r>
      <w:r>
        <w:rPr>
          <w:iCs/>
          <w:i/>
          <w:bCs/>
          <w:b/>
        </w:rPr>
        <w:t xml:space="preserve">manurhitaḥ</w:t>
      </w:r>
      <w:r>
        <w:rPr>
          <w:bCs/>
          <w:b/>
        </w:rPr>
        <w:t xml:space="preserve">)</w:t>
      </w:r>
      <w:r>
        <w:t xml:space="preserve">:</w:t>
      </w:r>
      <w:r>
        <w:t xml:space="preserve"> </w:t>
      </w:r>
      <w:r>
        <w:rPr>
          <w:iCs/>
          <w:i/>
        </w:rPr>
        <w:t xml:space="preserve">manyate iti manuḥ</w:t>
      </w:r>
      <w:r>
        <w:t xml:space="preserve">;</w:t>
      </w:r>
      <w:r>
        <w:t xml:space="preserve"> </w:t>
      </w:r>
      <w:r>
        <w:rPr>
          <w:iCs/>
          <w:i/>
        </w:rPr>
        <w:t xml:space="preserve">mana jñāne</w:t>
      </w:r>
      <w:r>
        <w:t xml:space="preserve"> </w:t>
      </w:r>
      <w:r>
        <w:t xml:space="preserve">(</w:t>
      </w:r>
      <w:r>
        <w:rPr>
          <w:iCs/>
          <w:i/>
        </w:rPr>
        <w:t xml:space="preserve">divādi</w:t>
      </w:r>
      <w:r>
        <w:t xml:space="preserve">). With</w:t>
      </w:r>
      <w:r>
        <w:t xml:space="preserve"> </w:t>
      </w:r>
      <w:r>
        <w:rPr>
          <w:iCs/>
          <w:i/>
        </w:rPr>
        <w:t xml:space="preserve">nit</w:t>
      </w:r>
      <w:r>
        <w:t xml:space="preserve"> </w:t>
      </w:r>
      <w:r>
        <w:t xml:space="preserve">(Uṇ. sū.</w:t>
      </w:r>
      <w:r>
        <w:t xml:space="preserve"> </w:t>
      </w:r>
      <w:r>
        <w:t xml:space="preserve">“</w:t>
      </w:r>
      <w:r>
        <w:t xml:space="preserve">2-2-64</w:t>
      </w:r>
      <w:r>
        <w:t xml:space="preserve">”</w:t>
      </w:r>
      <w:r>
        <w:t xml:space="preserve"> </w:t>
      </w:r>
      <w:r>
        <w:t xml:space="preserve">[?]) carried on,</w:t>
      </w:r>
      <w:r>
        <w:t xml:space="preserve"> </w:t>
      </w:r>
      <w:r>
        <w:t xml:space="preserve">“</w:t>
      </w:r>
      <w:r>
        <w:t xml:space="preserve">bahulam anyatrāpi</w:t>
      </w:r>
      <w:r>
        <w:t xml:space="preserve">”</w:t>
      </w:r>
      <w:r>
        <w:t xml:space="preserve"> </w:t>
      </w:r>
      <w:r>
        <w:t xml:space="preserve">(Uṇ. sū.</w:t>
      </w:r>
      <w:r>
        <w:t xml:space="preserve"> </w:t>
      </w:r>
      <w:r>
        <w:t xml:space="preserve">“</w:t>
      </w:r>
      <w:r>
        <w:t xml:space="preserve">2-128</w:t>
      </w:r>
      <w:r>
        <w:t xml:space="preserve">”</w:t>
      </w:r>
      <w:r>
        <w:t xml:space="preserve"> </w:t>
      </w:r>
      <w:r>
        <w:t xml:space="preserve">[?]): after other roots too</w:t>
      </w:r>
      <w:r>
        <w:t xml:space="preserve"> </w:t>
      </w:r>
      <w:r>
        <w:rPr>
          <w:iCs/>
          <w:i/>
        </w:rPr>
        <w:t xml:space="preserve">us</w:t>
      </w:r>
      <w:r>
        <w:t xml:space="preserve"> </w:t>
      </w:r>
      <w:r>
        <w:t xml:space="preserve">comes variously, and it is</w:t>
      </w:r>
      <w:r>
        <w:t xml:space="preserve"> </w:t>
      </w:r>
      <w:r>
        <w:rPr>
          <w:iCs/>
          <w:i/>
        </w:rPr>
        <w:t xml:space="preserve">nit</w:t>
      </w:r>
      <w:r>
        <w:t xml:space="preserve">; so</w:t>
      </w:r>
      <w:r>
        <w:t xml:space="preserve"> </w:t>
      </w:r>
      <w:r>
        <w:rPr>
          <w:iCs/>
          <w:i/>
        </w:rPr>
        <w:t xml:space="preserve">us</w:t>
      </w:r>
      <w:r>
        <w:t xml:space="preserve"> </w:t>
      </w:r>
      <w:r>
        <w:t xml:space="preserve">after</w:t>
      </w:r>
      <w:r>
        <w:t xml:space="preserve"> </w:t>
      </w:r>
      <w:r>
        <w:rPr>
          <w:iCs/>
          <w:i/>
        </w:rPr>
        <w:t xml:space="preserve">man</w:t>
      </w:r>
      <w:r>
        <w:t xml:space="preserve">:</w:t>
      </w:r>
      <w:r>
        <w:t xml:space="preserve"> </w:t>
      </w:r>
      <w:r>
        <w:rPr>
          <w:iCs/>
          <w:i/>
        </w:rPr>
        <w:t xml:space="preserve">manuḥ</w:t>
      </w:r>
      <w:r>
        <w:t xml:space="preserve">; initial udātta (</w:t>
      </w:r>
      <w:r>
        <w:rPr>
          <w:iCs/>
          <w:i/>
        </w:rPr>
        <w:t xml:space="preserve">nit</w:t>
      </w:r>
      <w:r>
        <w:t xml:space="preserve">).</w:t>
      </w:r>
      <w:r>
        <w:t xml:space="preserve"> </w:t>
      </w:r>
      <w:r>
        <w:rPr>
          <w:bCs/>
          <w:b/>
        </w:rPr>
        <w:t xml:space="preserve">हितः (</w:t>
      </w:r>
      <w:r>
        <w:rPr>
          <w:iCs/>
          <w:i/>
          <w:bCs/>
          <w:b/>
        </w:rPr>
        <w:t xml:space="preserve">hitaḥ</w:t>
      </w:r>
      <w:r>
        <w:rPr>
          <w:bCs/>
          <w:b/>
        </w:rPr>
        <w:t xml:space="preserve">)</w:t>
      </w:r>
      <w:r>
        <w:t xml:space="preserve">:</w:t>
      </w:r>
      <w:r>
        <w:t xml:space="preserve"> </w:t>
      </w:r>
      <w:r>
        <w:rPr>
          <w:iCs/>
          <w:i/>
        </w:rPr>
        <w:t xml:space="preserve">ḍudhāñ dhāraṇapoṣaṇayoḥ</w:t>
      </w:r>
      <w:r>
        <w:t xml:space="preserve"> </w:t>
      </w:r>
      <w:r>
        <w:t xml:space="preserve">+</w:t>
      </w:r>
      <w:r>
        <w:t xml:space="preserve"> </w:t>
      </w:r>
      <w:r>
        <w:rPr>
          <w:iCs/>
          <w:i/>
        </w:rPr>
        <w:t xml:space="preserve">kta</w:t>
      </w:r>
      <w:r>
        <w:t xml:space="preserve"> </w:t>
      </w:r>
      <w:r>
        <w:t xml:space="preserve">in the passive by</w:t>
      </w:r>
      <w:r>
        <w:t xml:space="preserve"> </w:t>
      </w:r>
      <w:r>
        <w:t xml:space="preserve">“</w:t>
      </w:r>
      <w:r>
        <w:t xml:space="preserve">niṣṭhā</w:t>
      </w:r>
      <w:r>
        <w:t xml:space="preserve">”</w:t>
      </w:r>
      <w:r>
        <w:t xml:space="preserve"> </w:t>
      </w:r>
      <w:r>
        <w:t xml:space="preserve">(Pā. sū. 3-2-102);</w:t>
      </w:r>
      <w:r>
        <w:t xml:space="preserve"> </w:t>
      </w:r>
      <w:r>
        <w:rPr>
          <w:iCs/>
          <w:i/>
        </w:rPr>
        <w:t xml:space="preserve">hi</w:t>
      </w:r>
      <w:r>
        <w:t xml:space="preserve"> </w:t>
      </w:r>
      <w:r>
        <w:t xml:space="preserve">for</w:t>
      </w:r>
      <w:r>
        <w:t xml:space="preserve"> </w:t>
      </w:r>
      <w:r>
        <w:rPr>
          <w:iCs/>
          <w:i/>
        </w:rPr>
        <w:t xml:space="preserve">dhā</w:t>
      </w:r>
      <w:r>
        <w:t xml:space="preserve"> </w:t>
      </w:r>
      <w:r>
        <w:t xml:space="preserve">by</w:t>
      </w:r>
      <w:r>
        <w:t xml:space="preserve"> </w:t>
      </w:r>
      <w:r>
        <w:t xml:space="preserve">“</w:t>
      </w:r>
      <w:r>
        <w:t xml:space="preserve">dadhāter hiḥ</w:t>
      </w:r>
      <w:r>
        <w:t xml:space="preserve">”</w:t>
      </w:r>
      <w:r>
        <w:t xml:space="preserve"> </w:t>
      </w:r>
      <w:r>
        <w:t xml:space="preserve">(7-4-42).</w:t>
      </w:r>
      <w:r>
        <w:t xml:space="preserve"> </w:t>
      </w:r>
      <w:r>
        <w:rPr>
          <w:iCs/>
          <w:i/>
        </w:rPr>
        <w:t xml:space="preserve">Manuṣā hitaḥ</w:t>
      </w:r>
      <w:r>
        <w:t xml:space="preserve">: by</w:t>
      </w:r>
      <w:r>
        <w:t xml:space="preserve"> </w:t>
      </w:r>
      <w:r>
        <w:t xml:space="preserve">“</w:t>
      </w:r>
      <w:r>
        <w:t xml:space="preserve">kartṛkaraṇe kṛtā bahulam</w:t>
      </w:r>
      <w:r>
        <w:t xml:space="preserve">”</w:t>
      </w:r>
      <w:r>
        <w:t xml:space="preserve"> </w:t>
      </w:r>
      <w:r>
        <w:t xml:space="preserve">(Pā. sū. 2-1-32) a word in the third case denoting the agent or instrument is compounded with a fitting</w:t>
      </w:r>
      <w:r>
        <w:t xml:space="preserve"> </w:t>
      </w:r>
      <w:r>
        <w:rPr>
          <w:iCs/>
          <w:i/>
        </w:rPr>
        <w:t xml:space="preserve">kṛdanta</w:t>
      </w:r>
      <w:r>
        <w:t xml:space="preserve">.</w:t>
      </w:r>
      <w:r>
        <w:t xml:space="preserve"> </w:t>
      </w:r>
      <w:r>
        <w:t xml:space="preserve">“</w:t>
      </w:r>
      <w:r>
        <w:t xml:space="preserve">samāsasya</w:t>
      </w:r>
      <w:r>
        <w:t xml:space="preserve">”</w:t>
      </w:r>
      <w:r>
        <w:t xml:space="preserve"> </w:t>
      </w:r>
      <w:r>
        <w:t xml:space="preserve">(Pā. sū. 6-1-223) would give final udātta; overriding it,</w:t>
      </w:r>
      <w:r>
        <w:t xml:space="preserve"> </w:t>
      </w:r>
      <w:r>
        <w:t xml:space="preserve">“</w:t>
      </w:r>
      <w:r>
        <w:t xml:space="preserve">tatpuruṣe tulyārthatṛtīyā…</w:t>
      </w:r>
      <w:r>
        <w:t xml:space="preserve">”</w:t>
      </w:r>
      <w:r>
        <w:t xml:space="preserve"> </w:t>
      </w:r>
      <w:r>
        <w:t xml:space="preserve">(Pā. sū. 6-2-2) the first-member accent; overriding that,</w:t>
      </w:r>
      <w:r>
        <w:t xml:space="preserve"> </w:t>
      </w:r>
      <w:r>
        <w:t xml:space="preserve">“</w:t>
      </w:r>
      <w:r>
        <w:t xml:space="preserve">gatikārakopapadāt kṛt</w:t>
      </w:r>
      <w:r>
        <w:t xml:space="preserve">”</w:t>
      </w:r>
      <w:r>
        <w:t xml:space="preserve"> </w:t>
      </w:r>
      <w:r>
        <w:t xml:space="preserve">(Pā. sū. 6-2-139) the</w:t>
      </w:r>
      <w:r>
        <w:t xml:space="preserve"> </w:t>
      </w:r>
      <w:r>
        <w:rPr>
          <w:iCs/>
          <w:i/>
        </w:rPr>
        <w:t xml:space="preserve">kṛt</w:t>
      </w:r>
      <w:r>
        <w:t xml:space="preserve"> </w:t>
      </w:r>
      <w:r>
        <w:t xml:space="preserve">second-member accent; overriding that,</w:t>
      </w:r>
      <w:r>
        <w:t xml:space="preserve"> </w:t>
      </w:r>
      <w:r>
        <w:t xml:space="preserve">“</w:t>
      </w:r>
      <w:r>
        <w:t xml:space="preserve">thāthaghañktājabitrakāṇām</w:t>
      </w:r>
      <w:r>
        <w:t xml:space="preserve">”</w:t>
      </w:r>
      <w:r>
        <w:t xml:space="preserve"> </w:t>
      </w:r>
      <w:r>
        <w:t xml:space="preserve">(Pā. sū. 6-2-144) final udātta; and overriding that too,</w:t>
      </w:r>
      <w:r>
        <w:t xml:space="preserve"> </w:t>
      </w:r>
      <w:r>
        <w:t xml:space="preserve">“</w:t>
      </w:r>
      <w:r>
        <w:t xml:space="preserve">tṛtīyā karmaṇi</w:t>
      </w:r>
      <w:r>
        <w:t xml:space="preserve">”</w:t>
      </w:r>
      <w:r>
        <w:t xml:space="preserve"> </w:t>
      </w:r>
      <w:r>
        <w:t xml:space="preserve">(Pā. sū. 6-2-48) the first-member accent. In the Vedabhāṣya, after</w:t>
      </w:r>
      <w:r>
        <w:t xml:space="preserve"> </w:t>
      </w:r>
      <w:r>
        <w:rPr>
          <w:iCs/>
          <w:i/>
        </w:rPr>
        <w:t xml:space="preserve">kṛtsvarāpavādena</w:t>
      </w:r>
      <w:r>
        <w:t xml:space="preserve">, one must add</w:t>
      </w:r>
      <w:r>
        <w:t xml:space="preserve"> </w:t>
      </w:r>
      <w:r>
        <w:rPr>
          <w:iCs/>
          <w:i/>
        </w:rPr>
        <w:t xml:space="preserve">thāthādisūtreṇāntodātte prāpte tadapavādena</w:t>
      </w:r>
      <w:r>
        <w:t xml:space="preserve">. So the Śekharakāra says plainly under</w:t>
      </w:r>
      <w:r>
        <w:t xml:space="preserve"> </w:t>
      </w:r>
      <w:r>
        <w:t xml:space="preserve">“</w:t>
      </w:r>
      <w:r>
        <w:t xml:space="preserve">tṛtīyā karmaṇi</w:t>
      </w:r>
      <w:r>
        <w:t xml:space="preserve">”</w:t>
      </w:r>
      <w:r>
        <w:t xml:space="preserve">:</w:t>
      </w:r>
    </w:p>
    <w:p>
      <w:pPr>
        <w:pStyle w:val="BlockText"/>
      </w:pPr>
      <w:r>
        <w:t xml:space="preserve">अयमपि थाथादिस्वरापवादः</w:t>
      </w:r>
    </w:p>
    <w:p>
      <w:pPr>
        <w:pStyle w:val="BlockText"/>
      </w:pPr>
      <w:r>
        <w:rPr>
          <w:iCs/>
          <w:i/>
        </w:rPr>
        <w:t xml:space="preserve">ayamapi thāthādisvarāpavādaḥ</w:t>
      </w:r>
    </w:p>
    <w:p>
      <w:pPr>
        <w:pStyle w:val="FirstParagraph"/>
      </w:pPr>
      <w:r>
        <w:t xml:space="preserve">that is, this too is an exception to the accent laid down by</w:t>
      </w:r>
      <w:r>
        <w:t xml:space="preserve"> </w:t>
      </w:r>
      <w:r>
        <w:rPr>
          <w:iCs/>
          <w:i/>
        </w:rPr>
        <w:t xml:space="preserve">thāthaghañ…</w:t>
      </w:r>
      <w:r>
        <w:t xml:space="preserve">.</w:t>
      </w:r>
    </w:p>
    <w:p>
      <w:pPr>
        <w:pStyle w:val="BodyText"/>
      </w:pPr>
      <w:r>
        <w:rPr>
          <w:bCs/>
          <w:b/>
        </w:rPr>
        <w:t xml:space="preserve">सीदसि (</w:t>
      </w:r>
      <w:r>
        <w:rPr>
          <w:iCs/>
          <w:i/>
          <w:bCs/>
          <w:b/>
        </w:rPr>
        <w:t xml:space="preserve">sīdasi</w:t>
      </w:r>
      <w:r>
        <w:rPr>
          <w:bCs/>
          <w:b/>
        </w:rPr>
        <w:t xml:space="preserve">)</w:t>
      </w:r>
      <w:r>
        <w:t xml:space="preserve">:</w:t>
      </w:r>
      <w:r>
        <w:t xml:space="preserve"> </w:t>
      </w:r>
      <w:r>
        <w:rPr>
          <w:iCs/>
          <w:i/>
        </w:rPr>
        <w:t xml:space="preserve">ṣadḷ viśaraṇagatyavasādaneṣu</w:t>
      </w:r>
      <w:r>
        <w:t xml:space="preserve">;</w:t>
      </w:r>
      <w:r>
        <w:t xml:space="preserve"> </w:t>
      </w:r>
      <w:r>
        <w:rPr>
          <w:iCs/>
          <w:i/>
        </w:rPr>
        <w:t xml:space="preserve">laṭ</w:t>
      </w:r>
      <w:r>
        <w:t xml:space="preserve">, 2nd singular</w:t>
      </w:r>
      <w:r>
        <w:t xml:space="preserve"> </w:t>
      </w:r>
      <w:r>
        <w:rPr>
          <w:iCs/>
          <w:i/>
        </w:rPr>
        <w:t xml:space="preserve">sip</w:t>
      </w:r>
      <w:r>
        <w:t xml:space="preserve">;</w:t>
      </w:r>
      <w:r>
        <w:t xml:space="preserve"> </w:t>
      </w:r>
      <w:r>
        <w:rPr>
          <w:iCs/>
          <w:i/>
        </w:rPr>
        <w:t xml:space="preserve">s</w:t>
      </w:r>
      <w:r>
        <w:t xml:space="preserve"> </w:t>
      </w:r>
      <w:r>
        <w:t xml:space="preserve">for</w:t>
      </w:r>
      <w:r>
        <w:t xml:space="preserve"> </w:t>
      </w:r>
      <w:r>
        <w:rPr>
          <w:iCs/>
          <w:i/>
        </w:rPr>
        <w:t xml:space="preserve">ṣ</w:t>
      </w:r>
      <w:r>
        <w:t xml:space="preserve"> </w:t>
      </w:r>
      <w:r>
        <w:t xml:space="preserve">by</w:t>
      </w:r>
      <w:r>
        <w:t xml:space="preserve"> </w:t>
      </w:r>
      <w:r>
        <w:t xml:space="preserve">“</w:t>
      </w:r>
      <w:r>
        <w:t xml:space="preserve">dhātvādeḥ ṣaḥ saḥ</w:t>
      </w:r>
      <w:r>
        <w:t xml:space="preserve">”</w:t>
      </w:r>
      <w:r>
        <w:t xml:space="preserve">;</w:t>
      </w:r>
      <w:r>
        <w:t xml:space="preserve"> </w:t>
      </w:r>
      <w:r>
        <w:rPr>
          <w:iCs/>
          <w:i/>
        </w:rPr>
        <w:t xml:space="preserve">śap</w:t>
      </w:r>
      <w:r>
        <w:t xml:space="preserve"> </w:t>
      </w:r>
      <w:r>
        <w:t xml:space="preserve">by</w:t>
      </w:r>
      <w:r>
        <w:t xml:space="preserve"> </w:t>
      </w:r>
      <w:r>
        <w:t xml:space="preserve">“</w:t>
      </w:r>
      <w:r>
        <w:t xml:space="preserve">kartari śap</w:t>
      </w:r>
      <w:r>
        <w:t xml:space="preserve">”</w:t>
      </w:r>
      <w:r>
        <w:t xml:space="preserve">;</w:t>
      </w:r>
      <w:r>
        <w:t xml:space="preserve"> </w:t>
      </w:r>
      <w:r>
        <w:rPr>
          <w:iCs/>
          <w:i/>
        </w:rPr>
        <w:t xml:space="preserve">sīd</w:t>
      </w:r>
      <w:r>
        <w:t xml:space="preserve"> </w:t>
      </w:r>
      <w:r>
        <w:t xml:space="preserve">for</w:t>
      </w:r>
      <w:r>
        <w:t xml:space="preserve"> </w:t>
      </w:r>
      <w:r>
        <w:rPr>
          <w:iCs/>
          <w:i/>
        </w:rPr>
        <w:t xml:space="preserve">sad</w:t>
      </w:r>
      <w:r>
        <w:t xml:space="preserve"> </w:t>
      </w:r>
      <w:r>
        <w:t xml:space="preserve">by</w:t>
      </w:r>
      <w:r>
        <w:t xml:space="preserve"> </w:t>
      </w:r>
      <w:r>
        <w:t xml:space="preserve">“</w:t>
      </w:r>
      <w:r>
        <w:t xml:space="preserve">pāghrādhmā…</w:t>
      </w:r>
      <w:r>
        <w:t xml:space="preserve">”</w:t>
      </w:r>
      <w:r>
        <w:t xml:space="preserve"> </w:t>
      </w:r>
      <w:r>
        <w:t xml:space="preserve">(Pā. sū. 7-3-78):</w:t>
      </w:r>
      <w:r>
        <w:t xml:space="preserve"> </w:t>
      </w:r>
      <w:r>
        <w:rPr>
          <w:iCs/>
          <w:i/>
        </w:rPr>
        <w:t xml:space="preserve">sīdasi</w:t>
      </w:r>
      <w:r>
        <w:t xml:space="preserve">; wholly unaccented by</w:t>
      </w:r>
      <w:r>
        <w:t xml:space="preserve"> </w:t>
      </w:r>
      <w:r>
        <w:t xml:space="preserve">“</w:t>
      </w:r>
      <w:r>
        <w:t xml:space="preserve">tiṅṅatiṅaḥ</w:t>
      </w:r>
      <w:r>
        <w:t xml:space="preserve">”</w:t>
      </w:r>
      <w:r>
        <w:t xml:space="preserve">.</w:t>
      </w:r>
    </w:p>
    <w:p>
      <w:pPr>
        <w:pStyle w:val="BodyText"/>
      </w:pPr>
      <w:r>
        <w:rPr>
          <w:bCs/>
          <w:b/>
        </w:rPr>
        <w:t xml:space="preserve">सेमम् (</w:t>
      </w:r>
      <w:r>
        <w:rPr>
          <w:iCs/>
          <w:i/>
          <w:bCs/>
          <w:b/>
        </w:rPr>
        <w:t xml:space="preserve">semam</w:t>
      </w:r>
      <w:r>
        <w:rPr>
          <w:bCs/>
          <w:b/>
        </w:rPr>
        <w:t xml:space="preserve">)</w:t>
      </w:r>
      <w:r>
        <w:t xml:space="preserve">: with</w:t>
      </w:r>
      <w:r>
        <w:t xml:space="preserve"> </w:t>
      </w:r>
      <w:r>
        <w:rPr>
          <w:iCs/>
          <w:i/>
        </w:rPr>
        <w:t xml:space="preserve">sas</w:t>
      </w:r>
      <w:r>
        <w:t xml:space="preserve"> </w:t>
      </w:r>
      <w:r>
        <w:t xml:space="preserve">+</w:t>
      </w:r>
      <w:r>
        <w:t xml:space="preserve"> </w:t>
      </w:r>
      <w:r>
        <w:rPr>
          <w:iCs/>
          <w:i/>
        </w:rPr>
        <w:t xml:space="preserve">imam</w:t>
      </w:r>
      <w:r>
        <w:t xml:space="preserve">,</w:t>
      </w:r>
      <w:r>
        <w:t xml:space="preserve"> </w:t>
      </w:r>
      <w:r>
        <w:t xml:space="preserve">“</w:t>
      </w:r>
      <w:r>
        <w:t xml:space="preserve">so ’ci lope cet pādapūraṇam</w:t>
      </w:r>
      <w:r>
        <w:t xml:space="preserve">”</w:t>
      </w:r>
      <w:r>
        <w:t xml:space="preserve"> </w:t>
      </w:r>
      <w:r>
        <w:t xml:space="preserve">(Pā. sū. 6-1-134): if the loss fills the pāda, the</w:t>
      </w:r>
      <w:r>
        <w:t xml:space="preserve"> </w:t>
      </w:r>
      <w:r>
        <w:rPr>
          <w:iCs/>
          <w:i/>
        </w:rPr>
        <w:t xml:space="preserve">su</w:t>
      </w:r>
      <w:r>
        <w:t xml:space="preserve"> </w:t>
      </w:r>
      <w:r>
        <w:t xml:space="preserve">of</w:t>
      </w:r>
      <w:r>
        <w:t xml:space="preserve"> </w:t>
      </w:r>
      <w:r>
        <w:rPr>
          <w:iCs/>
          <w:i/>
        </w:rPr>
        <w:t xml:space="preserve">sas</w:t>
      </w:r>
      <w:r>
        <w:t xml:space="preserve"> </w:t>
      </w:r>
      <w:r>
        <w:t xml:space="preserve">drops before a vowel; so the</w:t>
      </w:r>
      <w:r>
        <w:t xml:space="preserve"> </w:t>
      </w:r>
      <w:r>
        <w:rPr>
          <w:iCs/>
          <w:i/>
        </w:rPr>
        <w:t xml:space="preserve">s</w:t>
      </w:r>
      <w:r>
        <w:t xml:space="preserve"> </w:t>
      </w:r>
      <w:r>
        <w:t xml:space="preserve">drops. If it did not drop, with</w:t>
      </w:r>
      <w:r>
        <w:t xml:space="preserve"> </w:t>
      </w:r>
      <w:r>
        <w:rPr>
          <w:iCs/>
          <w:i/>
        </w:rPr>
        <w:t xml:space="preserve">sas</w:t>
      </w:r>
      <w:r>
        <w:t xml:space="preserve"> </w:t>
      </w:r>
      <w:r>
        <w:t xml:space="preserve">+</w:t>
      </w:r>
      <w:r>
        <w:t xml:space="preserve"> </w:t>
      </w:r>
      <w:r>
        <w:rPr>
          <w:iCs/>
          <w:i/>
        </w:rPr>
        <w:t xml:space="preserve">imam</w:t>
      </w:r>
      <w:r>
        <w:t xml:space="preserve">,</w:t>
      </w:r>
      <w:r>
        <w:t xml:space="preserve"> </w:t>
      </w:r>
      <w:r>
        <w:rPr>
          <w:iCs/>
          <w:i/>
        </w:rPr>
        <w:t xml:space="preserve">ru</w:t>
      </w:r>
      <w:r>
        <w:t xml:space="preserve"> </w:t>
      </w:r>
      <w:r>
        <w:t xml:space="preserve">by</w:t>
      </w:r>
      <w:r>
        <w:t xml:space="preserve"> </w:t>
      </w:r>
      <w:r>
        <w:t xml:space="preserve">“</w:t>
      </w:r>
      <w:r>
        <w:t xml:space="preserve">sasajuṣo ruḥ</w:t>
      </w:r>
      <w:r>
        <w:t xml:space="preserve">”</w:t>
      </w:r>
      <w:r>
        <w:t xml:space="preserve"> </w:t>
      </w:r>
      <w:r>
        <w:t xml:space="preserve">(Pā. sū. 8-2-66),</w:t>
      </w:r>
      <w:r>
        <w:t xml:space="preserve"> </w:t>
      </w:r>
      <w:r>
        <w:rPr>
          <w:iCs/>
          <w:i/>
        </w:rPr>
        <w:t xml:space="preserve">y</w:t>
      </w:r>
      <w:r>
        <w:t xml:space="preserve"> </w:t>
      </w:r>
      <w:r>
        <w:t xml:space="preserve">for the</w:t>
      </w:r>
      <w:r>
        <w:t xml:space="preserve"> </w:t>
      </w:r>
      <w:r>
        <w:rPr>
          <w:iCs/>
          <w:i/>
        </w:rPr>
        <w:t xml:space="preserve">ru</w:t>
      </w:r>
      <w:r>
        <w:t xml:space="preserve"> </w:t>
      </w:r>
      <w:r>
        <w:t xml:space="preserve">by</w:t>
      </w:r>
      <w:r>
        <w:t xml:space="preserve"> </w:t>
      </w:r>
      <w:r>
        <w:t xml:space="preserve">“</w:t>
      </w:r>
      <w:r>
        <w:t xml:space="preserve">bhobhago…</w:t>
      </w:r>
      <w:r>
        <w:t xml:space="preserve">”</w:t>
      </w:r>
      <w:r>
        <w:t xml:space="preserve"> </w:t>
      </w:r>
      <w:r>
        <w:t xml:space="preserve">(Pā. sū. 8-3-17):</w:t>
      </w:r>
      <w:r>
        <w:t xml:space="preserve"> </w:t>
      </w:r>
      <w:r>
        <w:rPr>
          <w:iCs/>
          <w:i/>
        </w:rPr>
        <w:t xml:space="preserve">say</w:t>
      </w:r>
      <w:r>
        <w:t xml:space="preserve"> </w:t>
      </w:r>
      <w:r>
        <w:t xml:space="preserve">+</w:t>
      </w:r>
      <w:r>
        <w:t xml:space="preserve"> </w:t>
      </w:r>
      <w:r>
        <w:rPr>
          <w:iCs/>
          <w:i/>
        </w:rPr>
        <w:t xml:space="preserve">imam</w:t>
      </w:r>
      <w:r>
        <w:t xml:space="preserve">;</w:t>
      </w:r>
      <w:r>
        <w:t xml:space="preserve"> </w:t>
      </w:r>
      <w:r>
        <w:rPr>
          <w:iCs/>
          <w:i/>
        </w:rPr>
        <w:t xml:space="preserve">y</w:t>
      </w:r>
      <w:r>
        <w:t xml:space="preserve"> </w:t>
      </w:r>
      <w:r>
        <w:t xml:space="preserve">dropped by</w:t>
      </w:r>
      <w:r>
        <w:t xml:space="preserve"> </w:t>
      </w:r>
      <w:r>
        <w:t xml:space="preserve">“</w:t>
      </w:r>
      <w:r>
        <w:t xml:space="preserve">lopaḥ śākalyasya</w:t>
      </w:r>
      <w:r>
        <w:t xml:space="preserve">”</w:t>
      </w:r>
      <w:r>
        <w:t xml:space="preserve"> </w:t>
      </w:r>
      <w:r>
        <w:t xml:space="preserve">(Pā. sū. 8-3-19):</w:t>
      </w:r>
      <w:r>
        <w:t xml:space="preserve"> </w:t>
      </w:r>
      <w:r>
        <w:rPr>
          <w:iCs/>
          <w:i/>
        </w:rPr>
        <w:t xml:space="preserve">sa</w:t>
      </w:r>
      <w:r>
        <w:t xml:space="preserve"> </w:t>
      </w:r>
      <w:r>
        <w:t xml:space="preserve">+</w:t>
      </w:r>
      <w:r>
        <w:t xml:space="preserve"> </w:t>
      </w:r>
      <w:r>
        <w:rPr>
          <w:iCs/>
          <w:i/>
        </w:rPr>
        <w:t xml:space="preserve">imam</w:t>
      </w:r>
      <w:r>
        <w:t xml:space="preserve">; then, when the</w:t>
      </w:r>
      <w:r>
        <w:t xml:space="preserve"> </w:t>
      </w:r>
      <w:r>
        <w:rPr>
          <w:iCs/>
          <w:i/>
        </w:rPr>
        <w:t xml:space="preserve">guṇa</w:t>
      </w:r>
      <w:r>
        <w:t xml:space="preserve"> </w:t>
      </w:r>
      <w:r>
        <w:t xml:space="preserve">of</w:t>
      </w:r>
      <w:r>
        <w:t xml:space="preserve"> </w:t>
      </w:r>
      <w:r>
        <w:t xml:space="preserve">“</w:t>
      </w:r>
      <w:r>
        <w:t xml:space="preserve">ād guṇaḥ</w:t>
      </w:r>
      <w:r>
        <w:t xml:space="preserve">”</w:t>
      </w:r>
      <w:r>
        <w:t xml:space="preserve"> </w:t>
      </w:r>
      <w:r>
        <w:t xml:space="preserve">(Pā. sū. 6-1-) is to be made, the loss of</w:t>
      </w:r>
      <w:r>
        <w:t xml:space="preserve"> </w:t>
      </w:r>
      <w:r>
        <w:rPr>
          <w:iCs/>
          <w:i/>
        </w:rPr>
        <w:t xml:space="preserve">y</w:t>
      </w:r>
      <w:r>
        <w:t xml:space="preserve"> </w:t>
      </w:r>
      <w:r>
        <w:t xml:space="preserve">by</w:t>
      </w:r>
      <w:r>
        <w:t xml:space="preserve"> </w:t>
      </w:r>
      <w:r>
        <w:t xml:space="preserve">“</w:t>
      </w:r>
      <w:r>
        <w:t xml:space="preserve">lopaḥ śākalyasya</w:t>
      </w:r>
      <w:r>
        <w:t xml:space="preserve">”</w:t>
      </w:r>
      <w:r>
        <w:t xml:space="preserve"> </w:t>
      </w:r>
      <w:r>
        <w:t xml:space="preserve">would be treated as not done by “pūrvatrāsi-</w:t>
      </w:r>
    </w:p>
    <w:bookmarkEnd w:id="667"/>
    <w:bookmarkStart w:id="668" w:name="page-622-rik-11-grammar-end"/>
    <w:p>
      <w:pPr>
        <w:pStyle w:val="Heading3"/>
      </w:pPr>
      <w:r>
        <w:t xml:space="preserve">Page 622 — Rik 11: grammar (end)</w:t>
      </w:r>
    </w:p>
    <w:p>
      <w:pPr>
        <w:pStyle w:val="FirstParagraph"/>
      </w:pPr>
      <w:r>
        <w:t xml:space="preserve">ddham” (Pā. sū. 8-2-1); so, from the point of view of the rule giving</w:t>
      </w:r>
      <w:r>
        <w:t xml:space="preserve"> </w:t>
      </w:r>
      <w:r>
        <w:rPr>
          <w:iCs/>
          <w:i/>
        </w:rPr>
        <w:t xml:space="preserve">guṇa</w:t>
      </w:r>
      <w:r>
        <w:t xml:space="preserve">, it is</w:t>
      </w:r>
      <w:r>
        <w:t xml:space="preserve"> </w:t>
      </w:r>
      <w:r>
        <w:rPr>
          <w:iCs/>
          <w:i/>
        </w:rPr>
        <w:t xml:space="preserve">say imam</w:t>
      </w:r>
      <w:r>
        <w:t xml:space="preserve">; the</w:t>
      </w:r>
      <w:r>
        <w:t xml:space="preserve"> </w:t>
      </w:r>
      <w:r>
        <w:rPr>
          <w:iCs/>
          <w:i/>
        </w:rPr>
        <w:t xml:space="preserve">a</w:t>
      </w:r>
      <w:r>
        <w:t xml:space="preserve"> </w:t>
      </w:r>
      <w:r>
        <w:t xml:space="preserve">is not followed by</w:t>
      </w:r>
      <w:r>
        <w:t xml:space="preserve"> </w:t>
      </w:r>
      <w:r>
        <w:rPr>
          <w:iCs/>
          <w:i/>
        </w:rPr>
        <w:t xml:space="preserve">i</w:t>
      </w:r>
      <w:r>
        <w:t xml:space="preserve">, so no</w:t>
      </w:r>
      <w:r>
        <w:t xml:space="preserve"> </w:t>
      </w:r>
      <w:r>
        <w:rPr>
          <w:iCs/>
          <w:i/>
        </w:rPr>
        <w:t xml:space="preserve">guṇa</w:t>
      </w:r>
      <w:r>
        <w:t xml:space="preserve">, and it would have to stay</w:t>
      </w:r>
      <w:r>
        <w:t xml:space="preserve"> </w:t>
      </w:r>
      <w:r>
        <w:rPr>
          <w:iCs/>
          <w:i/>
        </w:rPr>
        <w:t xml:space="preserve">sa imam</w:t>
      </w:r>
      <w:r>
        <w:t xml:space="preserve">. Then in</w:t>
      </w:r>
      <w:r>
        <w:t xml:space="preserve"> </w:t>
      </w:r>
      <w:r>
        <w:rPr>
          <w:iCs/>
          <w:i/>
        </w:rPr>
        <w:t xml:space="preserve">semaṃ no adhvaraṃ yaja</w:t>
      </w:r>
      <w:r>
        <w:t xml:space="preserve"> </w:t>
      </w:r>
      <w:r>
        <w:t xml:space="preserve">it would have to be</w:t>
      </w:r>
      <w:r>
        <w:t xml:space="preserve"> </w:t>
      </w:r>
      <w:r>
        <w:rPr>
          <w:iCs/>
          <w:i/>
        </w:rPr>
        <w:t xml:space="preserve">sa imaṃ no adhvaraṃ yaja</w:t>
      </w:r>
      <w:r>
        <w:t xml:space="preserve">: the pāda would have nine syllables, one more than the eight that fill it, so the pāda would not be filled. When the</w:t>
      </w:r>
      <w:r>
        <w:t xml:space="preserve"> </w:t>
      </w:r>
      <w:r>
        <w:rPr>
          <w:iCs/>
          <w:i/>
        </w:rPr>
        <w:t xml:space="preserve">s</w:t>
      </w:r>
      <w:r>
        <w:t xml:space="preserve"> </w:t>
      </w:r>
      <w:r>
        <w:t xml:space="preserve">drops by</w:t>
      </w:r>
      <w:r>
        <w:t xml:space="preserve"> </w:t>
      </w:r>
      <w:r>
        <w:t xml:space="preserve">“</w:t>
      </w:r>
      <w:r>
        <w:t xml:space="preserve">so ’ci</w:t>
      </w:r>
      <w:r>
        <w:t xml:space="preserve">”</w:t>
      </w:r>
      <w:r>
        <w:t xml:space="preserve"> </w:t>
      </w:r>
      <w:r>
        <w:t xml:space="preserve">(Pā. sū. 6-1-134),</w:t>
      </w:r>
      <w:r>
        <w:t xml:space="preserve"> </w:t>
      </w:r>
      <w:r>
        <w:t xml:space="preserve">“</w:t>
      </w:r>
      <w:r>
        <w:t xml:space="preserve">pūrvatrāsiddham</w:t>
      </w:r>
      <w:r>
        <w:t xml:space="preserve">”</w:t>
      </w:r>
      <w:r>
        <w:t xml:space="preserve"> </w:t>
      </w:r>
      <w:r>
        <w:t xml:space="preserve">does not apply, so</w:t>
      </w:r>
      <w:r>
        <w:t xml:space="preserve"> </w:t>
      </w:r>
      <w:r>
        <w:rPr>
          <w:iCs/>
          <w:i/>
        </w:rPr>
        <w:t xml:space="preserve">guṇa</w:t>
      </w:r>
      <w:r>
        <w:t xml:space="preserve"> </w:t>
      </w:r>
      <w:r>
        <w:t xml:space="preserve">comes:</w:t>
      </w:r>
      <w:r>
        <w:t xml:space="preserve"> </w:t>
      </w:r>
      <w:r>
        <w:rPr>
          <w:iCs/>
          <w:i/>
        </w:rPr>
        <w:t xml:space="preserve">semam</w:t>
      </w:r>
      <w:r>
        <w:t xml:space="preserve">. In</w:t>
      </w:r>
      <w:r>
        <w:t xml:space="preserve"> </w:t>
      </w:r>
      <w:r>
        <w:rPr>
          <w:iCs/>
          <w:i/>
        </w:rPr>
        <w:t xml:space="preserve">semaṃ no adhvaraṃ yaja</w:t>
      </w:r>
      <w:r>
        <w:t xml:space="preserve"> </w:t>
      </w:r>
      <w:r>
        <w:t xml:space="preserve">there are eight syllables, so the pāda is filled.</w:t>
      </w:r>
    </w:p>
    <w:p>
      <w:pPr>
        <w:pStyle w:val="BodyText"/>
      </w:pPr>
      <w:r>
        <w:rPr>
          <w:bCs/>
          <w:b/>
        </w:rPr>
        <w:t xml:space="preserve">अध्वरम् (</w:t>
      </w:r>
      <w:r>
        <w:rPr>
          <w:iCs/>
          <w:i/>
          <w:bCs/>
          <w:b/>
        </w:rPr>
        <w:t xml:space="preserve">adhvaram</w:t>
      </w:r>
      <w:r>
        <w:rPr>
          <w:bCs/>
          <w:b/>
        </w:rPr>
        <w:t xml:space="preserve">)</w:t>
      </w:r>
      <w:r>
        <w:t xml:space="preserve">:</w:t>
      </w:r>
      <w:r>
        <w:t xml:space="preserve"> </w:t>
      </w:r>
      <w:r>
        <w:rPr>
          <w:iCs/>
          <w:i/>
        </w:rPr>
        <w:t xml:space="preserve">na vidyate dhvaraḥ hiṃsā yasmin saḥ adhvaraḥ</w:t>
      </w:r>
      <w:r>
        <w:t xml:space="preserve">: that in which there is no harm. Being a bahuvrīhi, the first-member accent would come; overriding it,</w:t>
      </w:r>
      <w:r>
        <w:t xml:space="preserve"> </w:t>
      </w:r>
      <w:r>
        <w:t xml:space="preserve">“</w:t>
      </w:r>
      <w:r>
        <w:t xml:space="preserve">nañsubhyām</w:t>
      </w:r>
      <w:r>
        <w:t xml:space="preserve">”</w:t>
      </w:r>
      <w:r>
        <w:t xml:space="preserve"> </w:t>
      </w:r>
      <w:r>
        <w:t xml:space="preserve">(Pā. sū. 6-2-172) makes the second member final udātta. With</w:t>
      </w:r>
      <w:r>
        <w:t xml:space="preserve"> </w:t>
      </w:r>
      <w:r>
        <w:rPr>
          <w:iCs/>
          <w:i/>
        </w:rPr>
        <w:t xml:space="preserve">nas</w:t>
      </w:r>
      <w:r>
        <w:t xml:space="preserve"> </w:t>
      </w:r>
      <w:r>
        <w:t xml:space="preserve">+</w:t>
      </w:r>
      <w:r>
        <w:t xml:space="preserve"> </w:t>
      </w:r>
      <w:r>
        <w:rPr>
          <w:iCs/>
          <w:i/>
        </w:rPr>
        <w:t xml:space="preserve">adhvaram</w:t>
      </w:r>
      <w:r>
        <w:t xml:space="preserve">,</w:t>
      </w:r>
      <w:r>
        <w:t xml:space="preserve"> </w:t>
      </w:r>
      <w:r>
        <w:rPr>
          <w:iCs/>
          <w:i/>
        </w:rPr>
        <w:t xml:space="preserve">ru</w:t>
      </w:r>
      <w:r>
        <w:t xml:space="preserve"> </w:t>
      </w:r>
      <w:r>
        <w:t xml:space="preserve">for the</w:t>
      </w:r>
      <w:r>
        <w:t xml:space="preserve"> </w:t>
      </w:r>
      <w:r>
        <w:rPr>
          <w:iCs/>
          <w:i/>
        </w:rPr>
        <w:t xml:space="preserve">s</w:t>
      </w:r>
      <w:r>
        <w:t xml:space="preserve"> </w:t>
      </w:r>
      <w:r>
        <w:t xml:space="preserve">by</w:t>
      </w:r>
      <w:r>
        <w:t xml:space="preserve"> </w:t>
      </w:r>
      <w:r>
        <w:t xml:space="preserve">“</w:t>
      </w:r>
      <w:r>
        <w:t xml:space="preserve">sasajuṣo ruḥ</w:t>
      </w:r>
      <w:r>
        <w:t xml:space="preserve">”</w:t>
      </w:r>
      <w:r>
        <w:t xml:space="preserve"> </w:t>
      </w:r>
      <w:r>
        <w:t xml:space="preserve">(Pā. sū. 8-2-66);</w:t>
      </w:r>
      <w:r>
        <w:t xml:space="preserve"> </w:t>
      </w:r>
      <w:r>
        <w:rPr>
          <w:iCs/>
          <w:i/>
        </w:rPr>
        <w:t xml:space="preserve">u</w:t>
      </w:r>
      <w:r>
        <w:t xml:space="preserve"> </w:t>
      </w:r>
      <w:r>
        <w:t xml:space="preserve">for the</w:t>
      </w:r>
      <w:r>
        <w:t xml:space="preserve"> </w:t>
      </w:r>
      <w:r>
        <w:rPr>
          <w:iCs/>
          <w:i/>
        </w:rPr>
        <w:t xml:space="preserve">ru</w:t>
      </w:r>
      <w:r>
        <w:t xml:space="preserve"> </w:t>
      </w:r>
      <w:r>
        <w:t xml:space="preserve">by</w:t>
      </w:r>
      <w:r>
        <w:t xml:space="preserve"> </w:t>
      </w:r>
      <w:r>
        <w:t xml:space="preserve">“</w:t>
      </w:r>
      <w:r>
        <w:t xml:space="preserve">ato ror aplutād aplute</w:t>
      </w:r>
      <w:r>
        <w:t xml:space="preserve">”</w:t>
      </w:r>
      <w:r>
        <w:t xml:space="preserve"> </w:t>
      </w:r>
      <w:r>
        <w:t xml:space="preserve">(Pā. sū. 6-1-113):</w:t>
      </w:r>
      <w:r>
        <w:t xml:space="preserve"> </w:t>
      </w:r>
      <w:r>
        <w:rPr>
          <w:iCs/>
          <w:i/>
        </w:rPr>
        <w:t xml:space="preserve">na</w:t>
      </w:r>
      <w:r>
        <w:t xml:space="preserve"> </w:t>
      </w:r>
      <w:r>
        <w:t xml:space="preserve">+</w:t>
      </w:r>
      <w:r>
        <w:t xml:space="preserve"> </w:t>
      </w:r>
      <w:r>
        <w:rPr>
          <w:iCs/>
          <w:i/>
        </w:rPr>
        <w:t xml:space="preserve">u</w:t>
      </w:r>
      <w:r>
        <w:t xml:space="preserve"> </w:t>
      </w:r>
      <w:r>
        <w:t xml:space="preserve">+</w:t>
      </w:r>
      <w:r>
        <w:t xml:space="preserve"> </w:t>
      </w:r>
      <w:r>
        <w:rPr>
          <w:iCs/>
          <w:i/>
        </w:rPr>
        <w:t xml:space="preserve">adhvaram</w:t>
      </w:r>
      <w:r>
        <w:t xml:space="preserve">;</w:t>
      </w:r>
      <w:r>
        <w:t xml:space="preserve"> </w:t>
      </w:r>
      <w:r>
        <w:rPr>
          <w:iCs/>
          <w:i/>
        </w:rPr>
        <w:t xml:space="preserve">guṇa</w:t>
      </w:r>
      <w:r>
        <w:t xml:space="preserve"> </w:t>
      </w:r>
      <w:r>
        <w:t xml:space="preserve">by</w:t>
      </w:r>
      <w:r>
        <w:t xml:space="preserve"> </w:t>
      </w:r>
      <w:r>
        <w:t xml:space="preserve">“</w:t>
      </w:r>
      <w:r>
        <w:t xml:space="preserve">ād guṇaḥ</w:t>
      </w:r>
      <w:r>
        <w:t xml:space="preserve">”</w:t>
      </w:r>
      <w:r>
        <w:t xml:space="preserve"> </w:t>
      </w:r>
      <w:r>
        <w:t xml:space="preserve">(Pā. sū. 6-1-87):</w:t>
      </w:r>
      <w:r>
        <w:t xml:space="preserve"> </w:t>
      </w:r>
      <w:r>
        <w:rPr>
          <w:iCs/>
          <w:i/>
        </w:rPr>
        <w:t xml:space="preserve">no</w:t>
      </w:r>
      <w:r>
        <w:t xml:space="preserve"> </w:t>
      </w:r>
      <w:r>
        <w:t xml:space="preserve">+</w:t>
      </w:r>
      <w:r>
        <w:t xml:space="preserve"> </w:t>
      </w:r>
      <w:r>
        <w:rPr>
          <w:iCs/>
          <w:i/>
        </w:rPr>
        <w:t xml:space="preserve">adhvaram</w:t>
      </w:r>
      <w:r>
        <w:t xml:space="preserve">. In the Saṃhitā</w:t>
      </w:r>
      <w:r>
        <w:t xml:space="preserve"> </w:t>
      </w:r>
      <w:r>
        <w:t xml:space="preserve">“</w:t>
      </w:r>
      <w:r>
        <w:t xml:space="preserve">eṅaḥ padāntād ati</w:t>
      </w:r>
      <w:r>
        <w:t xml:space="preserve">”</w:t>
      </w:r>
      <w:r>
        <w:t xml:space="preserve"> </w:t>
      </w:r>
      <w:r>
        <w:t xml:space="preserve">(Pā. sū. 6-1-109) would give</w:t>
      </w:r>
      <w:r>
        <w:t xml:space="preserve"> </w:t>
      </w:r>
      <w:r>
        <w:rPr>
          <w:iCs/>
          <w:i/>
        </w:rPr>
        <w:t xml:space="preserve">pūrvarūpa</w:t>
      </w:r>
      <w:r>
        <w:t xml:space="preserve"> </w:t>
      </w:r>
      <w:r>
        <w:t xml:space="preserve">when a short</w:t>
      </w:r>
      <w:r>
        <w:t xml:space="preserve"> </w:t>
      </w:r>
      <w:r>
        <w:rPr>
          <w:iCs/>
          <w:i/>
        </w:rPr>
        <w:t xml:space="preserve">a</w:t>
      </w:r>
      <w:r>
        <w:t xml:space="preserve"> </w:t>
      </w:r>
      <w:r>
        <w:t xml:space="preserve">follows a word-final</w:t>
      </w:r>
      <w:r>
        <w:t xml:space="preserve"> </w:t>
      </w:r>
      <w:r>
        <w:rPr>
          <w:iCs/>
          <w:i/>
        </w:rPr>
        <w:t xml:space="preserve">e</w:t>
      </w:r>
      <w:r>
        <w:t xml:space="preserve">/</w:t>
      </w:r>
      <w:r>
        <w:rPr>
          <w:iCs/>
          <w:i/>
        </w:rPr>
        <w:t xml:space="preserve">o</w:t>
      </w:r>
      <w:r>
        <w:t xml:space="preserve">; but</w:t>
      </w:r>
      <w:r>
        <w:t xml:space="preserve"> </w:t>
      </w:r>
      <w:r>
        <w:t xml:space="preserve">“</w:t>
      </w:r>
      <w:r>
        <w:t xml:space="preserve">prakṛtyāntaḥpādam avyapare</w:t>
      </w:r>
      <w:r>
        <w:t xml:space="preserve">”</w:t>
      </w:r>
      <w:r>
        <w:t xml:space="preserve"> </w:t>
      </w:r>
      <w:r>
        <w:t xml:space="preserve">(Pā. sū. 6-1-115) keeps the natural form for</w:t>
      </w:r>
      <w:r>
        <w:t xml:space="preserve"> </w:t>
      </w:r>
      <w:r>
        <w:rPr>
          <w:iCs/>
          <w:i/>
        </w:rPr>
        <w:t xml:space="preserve">e</w:t>
      </w:r>
      <w:r>
        <w:t xml:space="preserve">/</w:t>
      </w:r>
      <w:r>
        <w:rPr>
          <w:iCs/>
          <w:i/>
        </w:rPr>
        <w:t xml:space="preserve">o</w:t>
      </w:r>
      <w:r>
        <w:t xml:space="preserve"> </w:t>
      </w:r>
      <w:r>
        <w:t xml:space="preserve">inside a Ṛk-pāda before a short</w:t>
      </w:r>
      <w:r>
        <w:t xml:space="preserve"> </w:t>
      </w:r>
      <w:r>
        <w:rPr>
          <w:iCs/>
          <w:i/>
        </w:rPr>
        <w:t xml:space="preserve">a</w:t>
      </w:r>
      <w:r>
        <w:t xml:space="preserve"> </w:t>
      </w:r>
      <w:r>
        <w:t xml:space="preserve">not followed by</w:t>
      </w:r>
      <w:r>
        <w:t xml:space="preserve"> </w:t>
      </w:r>
      <w:r>
        <w:rPr>
          <w:iCs/>
          <w:i/>
        </w:rPr>
        <w:t xml:space="preserve">v</w:t>
      </w:r>
      <w:r>
        <w:t xml:space="preserve"> </w:t>
      </w:r>
      <w:r>
        <w:t xml:space="preserve">or</w:t>
      </w:r>
      <w:r>
        <w:t xml:space="preserve"> </w:t>
      </w:r>
      <w:r>
        <w:rPr>
          <w:iCs/>
          <w:i/>
        </w:rPr>
        <w:t xml:space="preserve">y</w:t>
      </w:r>
      <w:r>
        <w:t xml:space="preserve">. So there is no</w:t>
      </w:r>
      <w:r>
        <w:t xml:space="preserve"> </w:t>
      </w:r>
      <w:r>
        <w:rPr>
          <w:iCs/>
          <w:i/>
        </w:rPr>
        <w:t xml:space="preserve">pūrvarūpa</w:t>
      </w:r>
      <w:r>
        <w:t xml:space="preserve">; it stays</w:t>
      </w:r>
      <w:r>
        <w:t xml:space="preserve"> </w:t>
      </w:r>
      <w:r>
        <w:rPr>
          <w:iCs/>
          <w:i/>
        </w:rPr>
        <w:t xml:space="preserve">no adhvaram</w:t>
      </w:r>
      <w:r>
        <w:t xml:space="preserve">.</w:t>
      </w:r>
    </w:p>
    <w:p>
      <w:pPr>
        <w:pStyle w:val="BodyText"/>
      </w:pPr>
      <w:r>
        <w:rPr>
          <w:bCs/>
          <w:b/>
        </w:rPr>
        <w:t xml:space="preserve">॥११॥</w:t>
      </w:r>
    </w:p>
    <w:p>
      <w:r>
        <w:pict>
          <v:rect style="width:0;height:1.5pt" o:hralign="center" o:hrstd="t" o:hr="t"/>
        </w:pict>
      </w:r>
    </w:p>
    <w:bookmarkEnd w:id="668"/>
    <w:bookmarkStart w:id="669" w:name="X83bafda97e3ca760f4e38132f24b1df5dd999ce"/>
    <w:p>
      <w:pPr>
        <w:pStyle w:val="Heading3"/>
      </w:pPr>
      <w:r>
        <w:t xml:space="preserve">Page 622 (lower) — Sūkta 14, Rik 12 (last rik of the sūkta)</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यु॒क्ष्वा ह्यरु॑षी॒ रथे॑ ह॒रितो॑ देव रो॒हितः॑ ।</w:t>
      </w:r>
      <w:r>
        <w:t xml:space="preserve"> </w:t>
      </w:r>
      <w:r>
        <w:t xml:space="preserve">ताभि॑र्दे॒वाँ इ॒हा व॑ह ॥१२॥</w:t>
      </w:r>
    </w:p>
    <w:p>
      <w:pPr>
        <w:pStyle w:val="BlockText"/>
      </w:pPr>
      <w:r>
        <w:rPr>
          <w:iCs/>
          <w:i/>
        </w:rPr>
        <w:t xml:space="preserve">yukṣvā́ hy áruṣī ráthe haríto deva rohítaḥ |</w:t>
      </w:r>
      <w:r>
        <w:t xml:space="preserve"> </w:t>
      </w:r>
      <w:r>
        <w:rPr>
          <w:iCs/>
          <w:i/>
        </w:rPr>
        <w:t xml:space="preserve">tā́bhir devā́m̐ ihā́ vaha ||12||</w:t>
      </w:r>
    </w:p>
    <w:p>
      <w:pPr>
        <w:pStyle w:val="FirstParagraph"/>
      </w:pPr>
      <w:r>
        <w:rPr>
          <w:bCs/>
          <w:b/>
        </w:rPr>
        <w:t xml:space="preserve">॥ Pada-pāṭhaḥ ॥</w:t>
      </w:r>
    </w:p>
    <w:p>
      <w:pPr>
        <w:pStyle w:val="BlockText"/>
      </w:pPr>
      <w:r>
        <w:t xml:space="preserve">युक्ष्व । हि । अरुषीः । रथे । हरितः । देव । रोहितः ॥</w:t>
      </w:r>
      <w:r>
        <w:t xml:space="preserve"> </w:t>
      </w:r>
      <w:r>
        <w:t xml:space="preserve">ताभिः । देवान् । इह । आ । वह ॥१२॥</w:t>
      </w:r>
    </w:p>
    <w:p>
      <w:pPr>
        <w:pStyle w:val="BlockText"/>
      </w:pPr>
      <w:r>
        <w:rPr>
          <w:iCs/>
          <w:i/>
        </w:rPr>
        <w:t xml:space="preserve">yukṣva | hi | aruṣīḥ | rathe | haritaḥ | deva | rohitaḥ ||</w:t>
      </w:r>
      <w:r>
        <w:t xml:space="preserve"> </w:t>
      </w:r>
      <w:r>
        <w:rPr>
          <w:iCs/>
          <w:i/>
        </w:rPr>
        <w:t xml:space="preserve">tābhiḥ | devān | iha | ā | vaha ||12||</w:t>
      </w:r>
    </w:p>
    <w:bookmarkEnd w:id="669"/>
    <w:bookmarkStart w:id="670" w:name="Xdd3ea298c330db6113253684cee2739d94cfad5"/>
    <w:p>
      <w:pPr>
        <w:pStyle w:val="Heading3"/>
      </w:pPr>
      <w:r>
        <w:t xml:space="preserve">Page 623 — Rik 12: bhāṣya, word-meanings, overall sense, English</w:t>
      </w:r>
    </w:p>
    <w:p>
      <w:pPr>
        <w:pStyle w:val="FirstParagraph"/>
      </w:pPr>
      <w:r>
        <w:rPr>
          <w:bCs/>
          <w:b/>
        </w:rPr>
        <w:t xml:space="preserve">॥ Sāyaṇa-bhāṣyam ॥</w:t>
      </w:r>
    </w:p>
    <w:p>
      <w:pPr>
        <w:pStyle w:val="BlockText"/>
      </w:pPr>
      <w:r>
        <w:t xml:space="preserve">हे देवाग्ने रोहितो रोहिच्छब्दाभिधेयास्त्वदीया वडवा रथे युक्ष्व । योजय । हिशब्दः पादपूरणार्थः । कीदृशीः । अरुषीर्गतिमतीर्हरितो हर्तुं रथारूढान्पुरुषान्नेतुं समर्थाः । ताभिर्वडवाभिरिहास्मिन्कर्मणि देवाना वह ॥ युक्ष्व । युजिर् योगे । लोट् । स्वरितेत्त्वादात्मनेपदं । थासः से । सवाभ्यां वामौ । रुधादिभ्यः श्नम् । तस्य बाहुलकाल्लुक् । कुत्वषत्वे । प्रत्ययस्वरेणान्तोदात्तः । संहितायां द्व्यचो ऽतस्तिङ इति दीर्घः । अरुषीः । ऋ गतौ । ऋच्छन्ति गच्छन्तीत्यरुष्यो वडवाः । ऋहनिभ्यामुषन् । उ. ४-७३ । धातोर्गुणो रपरत्वं । नित्त्वादाद्युदात्तो ऽरुषशब्दः । तस्मात्स्त्रियां छान्दसो ङीप् । शसि प्रथमयोः पूर्वसवर्णः । पा. ६-१-१०२ । इति दीर्घः । रथे । रमेरौणादिकः क्थन्प्रत्ययः । नित्त्वादाद्युदात्तः । हरितः । हृसृरुहियुषिभ्य इतिः । उ. १-९७ । इति हरतेरितिप्रत्ययः । इकारः प्रत्ययस्वरेणोदात्तः । रोहितः । रुहेरपि तेनैव सूत्रेणेतिः । इकारः प्रत्ययस्वरेणोदात्तः । ताभिः । सावेकाच इति विभक्तेः प्राप्तमुदात्तत्वं सावर्वर्णेति निषिध्यते । देवानित्यत्र पूर्ववद्रुत्वानुनासिकौ ॥ २७ ॥</w:t>
      </w:r>
    </w:p>
    <w:p>
      <w:pPr>
        <w:pStyle w:val="BlockText"/>
      </w:pPr>
      <w:r>
        <w:rPr>
          <w:iCs/>
          <w:i/>
        </w:rPr>
        <w:t xml:space="preserve">he devāgne rohito rohicchabdābhidheyāstvadīyā vaḍavā rathe yukṣva | yojaya | hiśabdaḥ pādapūraṇārthaḥ | kīdṛśīḥ | aruṣīrgatimatīrharito hartuṃ rathārūḍhānpuruṣānnetuṃ samarthāḥ | tābhirvaḍavābhirihāsminkarmaṇi devānā vaha || yukṣva | yujir yoge | loṭ | svaritettvādātmanepadaṃ | thāsaḥ se | savābhyāṃ vāmau | rudhādibhyaḥ śnam | tasya bāhulakālluk | kutvaṣatve | pratyayasvareṇāntodāttaḥ | saṃhitāyāṃ dvyaco ’tastiṅa iti dīrghaḥ | aruṣīḥ | ṛ gatau | ṛcchanti gacchantītyaruṣyo vaḍavāḥ | ṛhanibhyāmuṣan | u. 4-73 | dhātorguṇo raparatvaṃ | nittvādādyudātto ’ruṣaśabdaḥ | tasmātstriyāṃ chāndaso ṅīp | śasi prathamayoḥ pūrvasavarṇaḥ | pā. 6-1-102 | iti dīrghaḥ | rathe | ramerauṇādikaḥ kthanpratyayaḥ | nittvādādyudāttaḥ | haritaḥ | hṛsṛruhiyuṣibhya itiḥ | u. 1-97 | iti harateritipratyayaḥ | ikāraḥ pratyayasvareṇodāttaḥ | rohitaḥ | ruherapi tenaiva sūtreṇetiḥ | ikāraḥ pratyayasvareṇodāttaḥ | tābhiḥ | sāvekāca iti vibhakteḥ prāptamudāttatvaṃ sāvarvarṇeti niṣidhyate | devānityatra pūrvavadrutvānunāsikau || 27 ||</w:t>
      </w:r>
    </w:p>
    <w:p>
      <w:pPr>
        <w:pStyle w:val="FirstParagraph"/>
      </w:pPr>
      <w:r>
        <w:rPr>
          <w:bCs/>
          <w:b/>
        </w:rPr>
        <w:t xml:space="preserve">Translation:</w:t>
      </w:r>
      <w:r>
        <w:t xml:space="preserve"> </w:t>
      </w:r>
      <w:r>
        <w:t xml:space="preserve">“</w:t>
      </w:r>
      <w:r>
        <w:t xml:space="preserve">O god Agni,</w:t>
      </w:r>
      <w:r>
        <w:t xml:space="preserve"> </w:t>
      </w:r>
      <w:r>
        <w:rPr>
          <w:iCs/>
          <w:i/>
        </w:rPr>
        <w:t xml:space="preserve">yukṣva</w:t>
      </w:r>
      <w:r>
        <w:t xml:space="preserve">, yoke, to the chariot your mares called by the word</w:t>
      </w:r>
      <w:r>
        <w:t xml:space="preserve"> </w:t>
      </w:r>
      <w:r>
        <w:rPr>
          <w:iCs/>
          <w:i/>
        </w:rPr>
        <w:t xml:space="preserve">rohit</w:t>
      </w:r>
      <w:r>
        <w:t xml:space="preserve">. The word</w:t>
      </w:r>
      <w:r>
        <w:t xml:space="preserve"> </w:t>
      </w:r>
      <w:r>
        <w:rPr>
          <w:iCs/>
          <w:i/>
        </w:rPr>
        <w:t xml:space="preserve">hi</w:t>
      </w:r>
      <w:r>
        <w:t xml:space="preserve"> </w:t>
      </w:r>
      <w:r>
        <w:t xml:space="preserve">is to fill the pāda. What are they like?</w:t>
      </w:r>
      <w:r>
        <w:t xml:space="preserve"> </w:t>
      </w:r>
      <w:r>
        <w:rPr>
          <w:iCs/>
          <w:i/>
        </w:rPr>
        <w:t xml:space="preserve">Aruṣīḥ</w:t>
      </w:r>
      <w:r>
        <w:t xml:space="preserve">, swift-moving;</w:t>
      </w:r>
      <w:r>
        <w:t xml:space="preserve"> </w:t>
      </w:r>
      <w:r>
        <w:rPr>
          <w:iCs/>
          <w:i/>
        </w:rPr>
        <w:t xml:space="preserve">haritaḥ</w:t>
      </w:r>
      <w:r>
        <w:t xml:space="preserve">, able to carry, to take along, the men mounted on the chariot. With those mares bring the gods here to this rite.</w:t>
      </w:r>
      <w:r>
        <w:t xml:space="preserve">”</w:t>
      </w:r>
      <w:r>
        <w:t xml:space="preserve"> </w:t>
      </w:r>
      <w:r>
        <w:t xml:space="preserve">(Grammatical tail:</w:t>
      </w:r>
      <w:r>
        <w:t xml:space="preserve"> </w:t>
      </w:r>
      <w:r>
        <w:rPr>
          <w:iCs/>
          <w:i/>
        </w:rPr>
        <w:t xml:space="preserve">yukṣva</w:t>
      </w:r>
      <w:r>
        <w:t xml:space="preserve">,</w:t>
      </w:r>
      <w:r>
        <w:t xml:space="preserve"> </w:t>
      </w:r>
      <w:r>
        <w:rPr>
          <w:iCs/>
          <w:i/>
        </w:rPr>
        <w:t xml:space="preserve">yuj</w:t>
      </w:r>
      <w:r>
        <w:t xml:space="preserve"> </w:t>
      </w:r>
      <w:r>
        <w:t xml:space="preserve">with</w:t>
      </w:r>
      <w:r>
        <w:t xml:space="preserve"> </w:t>
      </w:r>
      <w:r>
        <w:rPr>
          <w:iCs/>
          <w:i/>
        </w:rPr>
        <w:t xml:space="preserve">loṭ</w:t>
      </w:r>
      <w:r>
        <w:t xml:space="preserve">,</w:t>
      </w:r>
      <w:r>
        <w:t xml:space="preserve"> </w:t>
      </w:r>
      <w:r>
        <w:rPr>
          <w:iCs/>
          <w:i/>
        </w:rPr>
        <w:t xml:space="preserve">ātmanepada</w:t>
      </w:r>
      <w:r>
        <w:t xml:space="preserve"> </w:t>
      </w:r>
      <w:r>
        <w:t xml:space="preserve">(</w:t>
      </w:r>
      <w:r>
        <w:rPr>
          <w:iCs/>
          <w:i/>
        </w:rPr>
        <w:t xml:space="preserve">svaritet</w:t>
      </w:r>
      <w:r>
        <w:t xml:space="preserve">),</w:t>
      </w:r>
      <w:r>
        <w:t xml:space="preserve"> </w:t>
      </w:r>
      <w:r>
        <w:rPr>
          <w:iCs/>
          <w:i/>
        </w:rPr>
        <w:t xml:space="preserve">se</w:t>
      </w:r>
      <w:r>
        <w:t xml:space="preserve"> </w:t>
      </w:r>
      <w:r>
        <w:t xml:space="preserve">for</w:t>
      </w:r>
      <w:r>
        <w:t xml:space="preserve"> </w:t>
      </w:r>
      <w:r>
        <w:rPr>
          <w:iCs/>
          <w:i/>
        </w:rPr>
        <w:t xml:space="preserve">thās</w:t>
      </w:r>
      <w:r>
        <w:t xml:space="preserve">,</w:t>
      </w:r>
      <w:r>
        <w:t xml:space="preserve"> </w:t>
      </w:r>
      <w:r>
        <w:rPr>
          <w:iCs/>
          <w:i/>
        </w:rPr>
        <w:t xml:space="preserve">v</w:t>
      </w:r>
      <w:r>
        <w:t xml:space="preserve"> </w:t>
      </w:r>
      <w:r>
        <w:t xml:space="preserve">for the</w:t>
      </w:r>
      <w:r>
        <w:t xml:space="preserve"> </w:t>
      </w:r>
      <w:r>
        <w:rPr>
          <w:iCs/>
          <w:i/>
        </w:rPr>
        <w:t xml:space="preserve">e</w:t>
      </w:r>
      <w:r>
        <w:t xml:space="preserve">, the</w:t>
      </w:r>
      <w:r>
        <w:t xml:space="preserve"> </w:t>
      </w:r>
      <w:r>
        <w:rPr>
          <w:iCs/>
          <w:i/>
        </w:rPr>
        <w:t xml:space="preserve">śnam</w:t>
      </w:r>
      <w:r>
        <w:t xml:space="preserve"> </w:t>
      </w:r>
      <w:r>
        <w:t xml:space="preserve">dropped,</w:t>
      </w:r>
      <w:r>
        <w:t xml:space="preserve"> </w:t>
      </w:r>
      <w:r>
        <w:rPr>
          <w:iCs/>
          <w:i/>
        </w:rPr>
        <w:t xml:space="preserve">k</w:t>
      </w:r>
      <w:r>
        <w:t xml:space="preserve"> </w:t>
      </w:r>
      <w:r>
        <w:t xml:space="preserve">and</w:t>
      </w:r>
      <w:r>
        <w:t xml:space="preserve"> </w:t>
      </w:r>
      <w:r>
        <w:rPr>
          <w:iCs/>
          <w:i/>
        </w:rPr>
        <w:t xml:space="preserve">ṣ</w:t>
      </w:r>
      <w:r>
        <w:t xml:space="preserve">, final udātta by the suffix accent, lengthened in the Saṃhitā;</w:t>
      </w:r>
      <w:r>
        <w:t xml:space="preserve"> </w:t>
      </w:r>
      <w:r>
        <w:rPr>
          <w:iCs/>
          <w:i/>
        </w:rPr>
        <w:t xml:space="preserve">aruṣīḥ</w:t>
      </w:r>
      <w:r>
        <w:t xml:space="preserve">,</w:t>
      </w:r>
      <w:r>
        <w:t xml:space="preserve"> </w:t>
      </w:r>
      <w:r>
        <w:t xml:space="preserve">“</w:t>
      </w:r>
      <w:r>
        <w:t xml:space="preserve">the mares that go</w:t>
      </w:r>
      <w:r>
        <w:t xml:space="preserve">”</w:t>
      </w:r>
      <w:r>
        <w:t xml:space="preserve">,</w:t>
      </w:r>
      <w:r>
        <w:t xml:space="preserve"> </w:t>
      </w:r>
      <w:r>
        <w:rPr>
          <w:iCs/>
          <w:i/>
        </w:rPr>
        <w:t xml:space="preserve">uṣan</w:t>
      </w:r>
      <w:r>
        <w:t xml:space="preserve"> </w:t>
      </w:r>
      <w:r>
        <w:t xml:space="preserve">after</w:t>
      </w:r>
      <w:r>
        <w:t xml:space="preserve"> </w:t>
      </w:r>
      <w:r>
        <w:rPr>
          <w:iCs/>
          <w:i/>
        </w:rPr>
        <w:t xml:space="preserve">ṛ</w:t>
      </w:r>
      <w:r>
        <w:t xml:space="preserve"> </w:t>
      </w:r>
      <w:r>
        <w:t xml:space="preserve">(Uṇ. 4-73),</w:t>
      </w:r>
      <w:r>
        <w:t xml:space="preserve"> </w:t>
      </w:r>
      <w:r>
        <w:rPr>
          <w:iCs/>
          <w:i/>
        </w:rPr>
        <w:t xml:space="preserve">guṇa</w:t>
      </w:r>
      <w:r>
        <w:t xml:space="preserve">,</w:t>
      </w:r>
      <w:r>
        <w:t xml:space="preserve"> </w:t>
      </w:r>
      <w:r>
        <w:rPr>
          <w:iCs/>
          <w:i/>
        </w:rPr>
        <w:t xml:space="preserve">aruṣa</w:t>
      </w:r>
      <w:r>
        <w:t xml:space="preserve"> </w:t>
      </w:r>
      <w:r>
        <w:t xml:space="preserve">initial udātta, Vedic</w:t>
      </w:r>
      <w:r>
        <w:t xml:space="preserve"> </w:t>
      </w:r>
      <w:r>
        <w:rPr>
          <w:iCs/>
          <w:i/>
        </w:rPr>
        <w:t xml:space="preserve">ṅīp</w:t>
      </w:r>
      <w:r>
        <w:t xml:space="preserve">, lengthening by Pā. 6-1-102;</w:t>
      </w:r>
      <w:r>
        <w:t xml:space="preserve"> </w:t>
      </w:r>
      <w:r>
        <w:rPr>
          <w:iCs/>
          <w:i/>
        </w:rPr>
        <w:t xml:space="preserve">rathe</w:t>
      </w:r>
      <w:r>
        <w:t xml:space="preserve"> </w:t>
      </w:r>
      <w:r>
        <w:t xml:space="preserve">with</w:t>
      </w:r>
      <w:r>
        <w:t xml:space="preserve"> </w:t>
      </w:r>
      <w:r>
        <w:rPr>
          <w:iCs/>
          <w:i/>
        </w:rPr>
        <w:t xml:space="preserve">kthan</w:t>
      </w:r>
      <w:r>
        <w:t xml:space="preserve">, initial udātta;</w:t>
      </w:r>
      <w:r>
        <w:t xml:space="preserve"> </w:t>
      </w:r>
      <w:r>
        <w:rPr>
          <w:iCs/>
          <w:i/>
        </w:rPr>
        <w:t xml:space="preserve">haritaḥ</w:t>
      </w:r>
      <w:r>
        <w:t xml:space="preserve"> </w:t>
      </w:r>
      <w:r>
        <w:t xml:space="preserve">and</w:t>
      </w:r>
      <w:r>
        <w:t xml:space="preserve"> </w:t>
      </w:r>
      <w:r>
        <w:rPr>
          <w:iCs/>
          <w:i/>
        </w:rPr>
        <w:t xml:space="preserve">rohitaḥ</w:t>
      </w:r>
      <w:r>
        <w:t xml:space="preserve"> </w:t>
      </w:r>
      <w:r>
        <w:t xml:space="preserve">with</w:t>
      </w:r>
      <w:r>
        <w:t xml:space="preserve"> </w:t>
      </w:r>
      <w:r>
        <w:rPr>
          <w:iCs/>
          <w:i/>
        </w:rPr>
        <w:t xml:space="preserve">iti</w:t>
      </w:r>
      <w:r>
        <w:t xml:space="preserve"> </w:t>
      </w:r>
      <w:r>
        <w:t xml:space="preserve">(Uṇ. 1-97), the</w:t>
      </w:r>
      <w:r>
        <w:t xml:space="preserve"> </w:t>
      </w:r>
      <w:r>
        <w:rPr>
          <w:iCs/>
          <w:i/>
        </w:rPr>
        <w:t xml:space="preserve">i</w:t>
      </w:r>
      <w:r>
        <w:t xml:space="preserve"> </w:t>
      </w:r>
      <w:r>
        <w:t xml:space="preserve">udātta;</w:t>
      </w:r>
      <w:r>
        <w:t xml:space="preserve"> </w:t>
      </w:r>
      <w:r>
        <w:rPr>
          <w:iCs/>
          <w:i/>
        </w:rPr>
        <w:t xml:space="preserve">tābhiḥ</w:t>
      </w:r>
      <w:r>
        <w:t xml:space="preserve">, the udātta of</w:t>
      </w:r>
      <w:r>
        <w:t xml:space="preserve"> </w:t>
      </w:r>
      <w:r>
        <w:rPr>
          <w:iCs/>
          <w:i/>
        </w:rPr>
        <w:t xml:space="preserve">sāv ekācaḥ</w:t>
      </w:r>
      <w:r>
        <w:t xml:space="preserve"> </w:t>
      </w:r>
      <w:r>
        <w:t xml:space="preserve">barred by</w:t>
      </w:r>
      <w:r>
        <w:t xml:space="preserve"> </w:t>
      </w:r>
      <w:r>
        <w:rPr>
          <w:iCs/>
          <w:i/>
        </w:rPr>
        <w:t xml:space="preserve">sāv avarṇa…</w:t>
      </w:r>
      <w:r>
        <w:t xml:space="preserve">;</w:t>
      </w:r>
      <w:r>
        <w:t xml:space="preserve"> </w:t>
      </w:r>
      <w:r>
        <w:rPr>
          <w:iCs/>
          <w:i/>
        </w:rPr>
        <w:t xml:space="preserve">devān</w:t>
      </w:r>
      <w:r>
        <w:t xml:space="preserve"> </w:t>
      </w:r>
      <w:r>
        <w:t xml:space="preserve">as before. The closing</w:t>
      </w:r>
      <w:r>
        <w:t xml:space="preserve"> </w:t>
      </w:r>
      <w:r>
        <w:t xml:space="preserve">“</w:t>
      </w:r>
      <w:r>
        <w:t xml:space="preserve">27</w:t>
      </w:r>
      <w:r>
        <w:t xml:space="preserve">”</w:t>
      </w:r>
      <w:r>
        <w:t xml:space="preserve"> </w:t>
      </w:r>
      <w:r>
        <w:t xml:space="preserve">is the varga number.)</w:t>
      </w:r>
    </w:p>
    <w:p>
      <w:pPr>
        <w:pStyle w:val="BodyText"/>
      </w:pPr>
      <w:r>
        <w:rPr>
          <w:bCs/>
          <w:b/>
        </w:rPr>
        <w:t xml:space="preserve">॥ Prati-padārthaḥ ॥</w:t>
      </w:r>
    </w:p>
    <w:p>
      <w:pPr>
        <w:pStyle w:val="BodyText"/>
      </w:pPr>
      <w:r>
        <w:rPr>
          <w:bCs/>
          <w:b/>
        </w:rPr>
        <w:t xml:space="preserve">देव (deva)</w:t>
      </w:r>
      <w:r>
        <w:t xml:space="preserve"> </w:t>
      </w:r>
      <w:r>
        <w:t xml:space="preserve">— O shining Agni |</w:t>
      </w:r>
      <w:r>
        <w:t xml:space="preserve"> </w:t>
      </w:r>
      <w:r>
        <w:rPr>
          <w:bCs/>
          <w:b/>
        </w:rPr>
        <w:t xml:space="preserve">अरुषीः (aruṣīḥ)</w:t>
      </w:r>
      <w:r>
        <w:t xml:space="preserve"> </w:t>
      </w:r>
      <w:r>
        <w:t xml:space="preserve">— able to run swiftly |</w:t>
      </w:r>
      <w:r>
        <w:t xml:space="preserve"> </w:t>
      </w:r>
      <w:r>
        <w:rPr>
          <w:bCs/>
          <w:b/>
        </w:rPr>
        <w:t xml:space="preserve">हरितः (haritaḥ)</w:t>
      </w:r>
      <w:r>
        <w:t xml:space="preserve"> </w:t>
      </w:r>
      <w:r>
        <w:t xml:space="preserve">— able to draw |</w:t>
      </w:r>
      <w:r>
        <w:t xml:space="preserve"> </w:t>
      </w:r>
      <w:r>
        <w:rPr>
          <w:bCs/>
          <w:b/>
        </w:rPr>
        <w:t xml:space="preserve">रोहितः (rohitaḥ)</w:t>
      </w:r>
      <w:r>
        <w:t xml:space="preserve"> </w:t>
      </w:r>
      <w:r>
        <w:t xml:space="preserve">— your mares named</w:t>
      </w:r>
      <w:r>
        <w:t xml:space="preserve"> </w:t>
      </w:r>
      <w:r>
        <w:rPr>
          <w:iCs/>
          <w:i/>
        </w:rPr>
        <w:t xml:space="preserve">Rohit</w:t>
      </w:r>
      <w:r>
        <w:t xml:space="preserve"> </w:t>
      </w:r>
      <w:r>
        <w:t xml:space="preserve">|</w:t>
      </w:r>
      <w:r>
        <w:t xml:space="preserve"> </w:t>
      </w:r>
      <w:r>
        <w:rPr>
          <w:bCs/>
          <w:b/>
        </w:rPr>
        <w:t xml:space="preserve">रथे (rathe)</w:t>
      </w:r>
      <w:r>
        <w:t xml:space="preserve"> </w:t>
      </w:r>
      <w:r>
        <w:t xml:space="preserve">— to the chariot |</w:t>
      </w:r>
      <w:r>
        <w:t xml:space="preserve"> </w:t>
      </w:r>
      <w:r>
        <w:rPr>
          <w:bCs/>
          <w:b/>
        </w:rPr>
        <w:t xml:space="preserve">युक्ष्व (yukṣva)</w:t>
      </w:r>
      <w:r>
        <w:t xml:space="preserve"> </w:t>
      </w:r>
      <w:r>
        <w:t xml:space="preserve">— join (yoke to the pole) |</w:t>
      </w:r>
      <w:r>
        <w:t xml:space="preserve"> </w:t>
      </w:r>
      <w:r>
        <w:rPr>
          <w:bCs/>
          <w:b/>
        </w:rPr>
        <w:t xml:space="preserve">ताभिः (tābhiḥ)</w:t>
      </w:r>
      <w:r>
        <w:t xml:space="preserve"> </w:t>
      </w:r>
      <w:r>
        <w:t xml:space="preserve">— with the help of those mares |</w:t>
      </w:r>
      <w:r>
        <w:t xml:space="preserve"> </w:t>
      </w:r>
      <w:r>
        <w:rPr>
          <w:bCs/>
          <w:b/>
        </w:rPr>
        <w:t xml:space="preserve">इह (iha)</w:t>
      </w:r>
      <w:r>
        <w:t xml:space="preserve"> </w:t>
      </w:r>
      <w:r>
        <w:t xml:space="preserve">— for this our sacrificial rite |</w:t>
      </w:r>
      <w:r>
        <w:t xml:space="preserve"> </w:t>
      </w:r>
      <w:r>
        <w:rPr>
          <w:bCs/>
          <w:b/>
        </w:rPr>
        <w:t xml:space="preserve">देवान् (devān)</w:t>
      </w:r>
      <w:r>
        <w:t xml:space="preserve"> </w:t>
      </w:r>
      <w:r>
        <w:t xml:space="preserve">— the gods |</w:t>
      </w:r>
      <w:r>
        <w:t xml:space="preserve"> </w:t>
      </w:r>
      <w:r>
        <w:rPr>
          <w:bCs/>
          <w:b/>
        </w:rPr>
        <w:t xml:space="preserve">आ वह (ā vaha)</w:t>
      </w:r>
      <w:r>
        <w:t xml:space="preserve"> </w:t>
      </w:r>
      <w:r>
        <w:t xml:space="preserve">— bring.</w:t>
      </w:r>
    </w:p>
    <w:p>
      <w:pPr>
        <w:pStyle w:val="BodyText"/>
      </w:pPr>
      <w:r>
        <w:rPr>
          <w:bCs/>
          <w:b/>
        </w:rPr>
        <w:t xml:space="preserve">॥ Bhāvārthaḥ ॥</w:t>
      </w:r>
    </w:p>
    <w:p>
      <w:pPr>
        <w:pStyle w:val="BodyText"/>
      </w:pPr>
      <w:r>
        <w:t xml:space="preserve">O Agni, you are divine. Your mares called</w:t>
      </w:r>
      <w:r>
        <w:t xml:space="preserve"> </w:t>
      </w:r>
      <w:r>
        <w:rPr>
          <w:iCs/>
          <w:i/>
        </w:rPr>
        <w:t xml:space="preserve">Rohit</w:t>
      </w:r>
      <w:r>
        <w:t xml:space="preserve"> </w:t>
      </w:r>
      <w:r>
        <w:t xml:space="preserve">are strong; they can run swiftly; they can draw those seated without effort. Yoke those mares to your chariot and with their help bring the gods for this our sacrificial rite.</w:t>
      </w:r>
    </w:p>
    <w:p>
      <w:pPr>
        <w:pStyle w:val="BodyText"/>
      </w:pPr>
      <w:r>
        <w:rPr>
          <w:bCs/>
          <w:b/>
        </w:rPr>
        <w:t xml:space="preserve">॥ English Translation ॥</w:t>
      </w:r>
      <w:r>
        <w:t xml:space="preserve"> </w:t>
      </w:r>
      <w:r>
        <w:rPr>
          <w:iCs/>
          <w:i/>
        </w:rPr>
        <w:t xml:space="preserve">(as printed in the source)</w:t>
      </w:r>
    </w:p>
    <w:p>
      <w:pPr>
        <w:pStyle w:val="BlockText"/>
      </w:pPr>
      <w:r>
        <w:t xml:space="preserve">Agni, harness your twany [sic] red mares to your chariot and by means of them bring the gods hither.</w:t>
      </w:r>
    </w:p>
    <w:bookmarkEnd w:id="670"/>
    <w:bookmarkStart w:id="671" w:name="X27128a6e2e273566b01b736da1061198f896cd8"/>
    <w:p>
      <w:pPr>
        <w:pStyle w:val="Heading3"/>
      </w:pPr>
      <w:r>
        <w:t xml:space="preserve">Page 624 — Rik 12: Special Topics and grammar</w:t>
      </w:r>
    </w:p>
    <w:p>
      <w:pPr>
        <w:pStyle w:val="FirstParagraph"/>
      </w:pPr>
      <w:r>
        <w:rPr>
          <w:bCs/>
          <w:b/>
        </w:rPr>
        <w:t xml:space="preserve">॥ Viśeṣa-viṣayagaḷu (Special Topics) ॥</w:t>
      </w:r>
    </w:p>
    <w:p>
      <w:pPr>
        <w:pStyle w:val="BodyText"/>
      </w:pPr>
      <w:r>
        <w:rPr>
          <w:bCs/>
          <w:b/>
        </w:rPr>
        <w:t xml:space="preserve">Yukṣva</w:t>
      </w:r>
      <w:r>
        <w:t xml:space="preserve">: the final syllable is long in the Saṃhitā to suit the metre.</w:t>
      </w:r>
    </w:p>
    <w:p>
      <w:pPr>
        <w:pStyle w:val="BodyText"/>
      </w:pPr>
      <w:r>
        <w:rPr>
          <w:bCs/>
          <w:b/>
        </w:rPr>
        <w:t xml:space="preserve">Aruṣīḥ</w:t>
      </w:r>
      <w:r>
        <w:t xml:space="preserve">:</w:t>
      </w:r>
    </w:p>
    <w:p>
      <w:pPr>
        <w:pStyle w:val="BlockText"/>
      </w:pPr>
      <w:r>
        <w:t xml:space="preserve">ऋ गतौ । ऋच्छन्ति गच्छन्तीत्यरुष्यो वडवाः ॥</w:t>
      </w:r>
    </w:p>
    <w:p>
      <w:pPr>
        <w:pStyle w:val="BlockText"/>
      </w:pPr>
      <w:r>
        <w:rPr>
          <w:iCs/>
          <w:i/>
        </w:rPr>
        <w:t xml:space="preserve">ṛ gatau | ṛcchanti gacchantītyaruṣyo vaḍavāḥ ||</w:t>
      </w:r>
    </w:p>
    <w:p>
      <w:pPr>
        <w:pStyle w:val="FirstParagraph"/>
      </w:pPr>
      <w:r>
        <w:t xml:space="preserve">The root</w:t>
      </w:r>
      <w:r>
        <w:t xml:space="preserve"> </w:t>
      </w:r>
      <w:r>
        <w:rPr>
          <w:iCs/>
          <w:i/>
        </w:rPr>
        <w:t xml:space="preserve">ṛ</w:t>
      </w:r>
      <w:r>
        <w:t xml:space="preserve"> </w:t>
      </w:r>
      <w:r>
        <w:t xml:space="preserve">has the sense of going. Since horses are endowed with motion, they are called</w:t>
      </w:r>
      <w:r>
        <w:t xml:space="preserve"> </w:t>
      </w:r>
      <w:r>
        <w:rPr>
          <w:iCs/>
          <w:i/>
        </w:rPr>
        <w:t xml:space="preserve">aruṣyaḥ</w:t>
      </w:r>
      <w:r>
        <w:t xml:space="preserve">;</w:t>
      </w:r>
      <w:r>
        <w:t xml:space="preserve"> </w:t>
      </w:r>
      <w:r>
        <w:rPr>
          <w:iCs/>
          <w:i/>
        </w:rPr>
        <w:t xml:space="preserve">aruṣīḥ</w:t>
      </w:r>
      <w:r>
        <w:t xml:space="preserve"> </w:t>
      </w:r>
      <w:r>
        <w:t xml:space="preserve">is the accusative plural.</w:t>
      </w:r>
    </w:p>
    <w:p>
      <w:pPr>
        <w:pStyle w:val="BodyText"/>
      </w:pPr>
      <w:r>
        <w:rPr>
          <w:bCs/>
          <w:b/>
        </w:rPr>
        <w:t xml:space="preserve">॥ Vyākaraṇa-prakriyā ॥</w:t>
      </w:r>
      <w:r>
        <w:t xml:space="preserve"> </w:t>
      </w:r>
      <w:r>
        <w:rPr>
          <w:iCs/>
          <w:i/>
        </w:rPr>
        <w:t xml:space="preserve">(grammar pages 624–626, noted briefly)</w:t>
      </w:r>
    </w:p>
    <w:p>
      <w:pPr>
        <w:pStyle w:val="BodyText"/>
      </w:pPr>
      <w:r>
        <w:rPr>
          <w:bCs/>
          <w:b/>
        </w:rPr>
        <w:t xml:space="preserve">युक्ष्व (</w:t>
      </w:r>
      <w:r>
        <w:rPr>
          <w:iCs/>
          <w:i/>
          <w:bCs/>
          <w:b/>
        </w:rPr>
        <w:t xml:space="preserve">yukṣva</w:t>
      </w:r>
      <w:r>
        <w:rPr>
          <w:bCs/>
          <w:b/>
        </w:rPr>
        <w:t xml:space="preserve">)</w:t>
      </w:r>
      <w:r>
        <w:t xml:space="preserve">:</w:t>
      </w:r>
      <w:r>
        <w:t xml:space="preserve"> </w:t>
      </w:r>
      <w:r>
        <w:rPr>
          <w:iCs/>
          <w:i/>
        </w:rPr>
        <w:t xml:space="preserve">yujir yoge</w:t>
      </w:r>
      <w:r>
        <w:t xml:space="preserve">;</w:t>
      </w:r>
      <w:r>
        <w:t xml:space="preserve"> </w:t>
      </w:r>
      <w:r>
        <w:rPr>
          <w:iCs/>
          <w:i/>
        </w:rPr>
        <w:t xml:space="preserve">loṭ</w:t>
      </w:r>
      <w:r>
        <w:t xml:space="preserve">; the root is</w:t>
      </w:r>
      <w:r>
        <w:t xml:space="preserve"> </w:t>
      </w:r>
      <w:r>
        <w:rPr>
          <w:iCs/>
          <w:i/>
        </w:rPr>
        <w:t xml:space="preserve">svaritet</w:t>
      </w:r>
      <w:r>
        <w:t xml:space="preserve">, so the</w:t>
      </w:r>
      <w:r>
        <w:t xml:space="preserve"> </w:t>
      </w:r>
      <w:r>
        <w:rPr>
          <w:iCs/>
          <w:i/>
        </w:rPr>
        <w:t xml:space="preserve">ātmanepada</w:t>
      </w:r>
      <w:r>
        <w:t xml:space="preserve">; 2nd singular</w:t>
      </w:r>
      <w:r>
        <w:t xml:space="preserve"> </w:t>
      </w:r>
      <w:r>
        <w:rPr>
          <w:iCs/>
          <w:i/>
        </w:rPr>
        <w:t xml:space="preserve">thās</w:t>
      </w:r>
      <w:r>
        <w:t xml:space="preserve">;</w:t>
      </w:r>
      <w:r>
        <w:t xml:space="preserve"> </w:t>
      </w:r>
      <w:r>
        <w:rPr>
          <w:iCs/>
          <w:i/>
        </w:rPr>
        <w:t xml:space="preserve">se</w:t>
      </w:r>
      <w:r>
        <w:t xml:space="preserve"> </w:t>
      </w:r>
      <w:r>
        <w:t xml:space="preserve">for it by</w:t>
      </w:r>
      <w:r>
        <w:t xml:space="preserve"> </w:t>
      </w:r>
      <w:r>
        <w:t xml:space="preserve">“</w:t>
      </w:r>
      <w:r>
        <w:t xml:space="preserve">thāsas se</w:t>
      </w:r>
      <w:r>
        <w:t xml:space="preserve">”</w:t>
      </w:r>
      <w:r>
        <w:t xml:space="preserve"> </w:t>
      </w:r>
      <w:r>
        <w:t xml:space="preserve">(Pā. sū. 3-4-80);</w:t>
      </w:r>
      <w:r>
        <w:t xml:space="preserve"> </w:t>
      </w:r>
      <w:r>
        <w:rPr>
          <w:iCs/>
          <w:i/>
        </w:rPr>
        <w:t xml:space="preserve">v</w:t>
      </w:r>
      <w:r>
        <w:t xml:space="preserve"> </w:t>
      </w:r>
      <w:r>
        <w:t xml:space="preserve">for the</w:t>
      </w:r>
      <w:r>
        <w:t xml:space="preserve"> </w:t>
      </w:r>
      <w:r>
        <w:rPr>
          <w:iCs/>
          <w:i/>
        </w:rPr>
        <w:t xml:space="preserve">e</w:t>
      </w:r>
      <w:r>
        <w:t xml:space="preserve"> </w:t>
      </w:r>
      <w:r>
        <w:t xml:space="preserve">by</w:t>
      </w:r>
      <w:r>
        <w:t xml:space="preserve"> </w:t>
      </w:r>
      <w:r>
        <w:t xml:space="preserve">“</w:t>
      </w:r>
      <w:r>
        <w:t xml:space="preserve">savābhyāṃ vāmau</w:t>
      </w:r>
      <w:r>
        <w:t xml:space="preserve">”</w:t>
      </w:r>
      <w:r>
        <w:t xml:space="preserve"> </w:t>
      </w:r>
      <w:r>
        <w:t xml:space="preserve">(Pā. sū. 3-4-91); the</w:t>
      </w:r>
      <w:r>
        <w:t xml:space="preserve"> </w:t>
      </w:r>
      <w:r>
        <w:rPr>
          <w:iCs/>
          <w:i/>
        </w:rPr>
        <w:t xml:space="preserve">vikaraṇa</w:t>
      </w:r>
      <w:r>
        <w:t xml:space="preserve"> </w:t>
      </w:r>
      <w:r>
        <w:rPr>
          <w:iCs/>
          <w:i/>
        </w:rPr>
        <w:t xml:space="preserve">śnam</w:t>
      </w:r>
      <w:r>
        <w:t xml:space="preserve"> </w:t>
      </w:r>
      <w:r>
        <w:t xml:space="preserve">by</w:t>
      </w:r>
      <w:r>
        <w:t xml:space="preserve"> </w:t>
      </w:r>
      <w:r>
        <w:t xml:space="preserve">“</w:t>
      </w:r>
      <w:r>
        <w:t xml:space="preserve">rudhādibhyaḥ śnam</w:t>
      </w:r>
      <w:r>
        <w:t xml:space="preserve">”</w:t>
      </w:r>
      <w:r>
        <w:t xml:space="preserve"> </w:t>
      </w:r>
      <w:r>
        <w:t xml:space="preserve">(Pā. sū. 3-1-78), dropped by</w:t>
      </w:r>
      <w:r>
        <w:t xml:space="preserve"> </w:t>
      </w:r>
      <w:r>
        <w:t xml:space="preserve">“</w:t>
      </w:r>
      <w:r>
        <w:t xml:space="preserve">bahulaṃ chandasi</w:t>
      </w:r>
      <w:r>
        <w:t xml:space="preserve">”</w:t>
      </w:r>
      <w:r>
        <w:t xml:space="preserve"> </w:t>
      </w:r>
      <w:r>
        <w:t xml:space="preserve">(Pā. sū. 2-4-73);</w:t>
      </w:r>
      <w:r>
        <w:t xml:space="preserve"> </w:t>
      </w:r>
      <w:r>
        <w:rPr>
          <w:iCs/>
          <w:i/>
        </w:rPr>
        <w:t xml:space="preserve">yuj</w:t>
      </w:r>
      <w:r>
        <w:t xml:space="preserve"> </w:t>
      </w:r>
      <w:r>
        <w:t xml:space="preserve">+</w:t>
      </w:r>
      <w:r>
        <w:t xml:space="preserve"> </w:t>
      </w:r>
      <w:r>
        <w:rPr>
          <w:iCs/>
          <w:i/>
        </w:rPr>
        <w:t xml:space="preserve">sva</w:t>
      </w:r>
      <w:r>
        <w:t xml:space="preserve">:</w:t>
      </w:r>
      <w:r>
        <w:t xml:space="preserve"> </w:t>
      </w:r>
      <w:r>
        <w:rPr>
          <w:iCs/>
          <w:i/>
        </w:rPr>
        <w:t xml:space="preserve">g</w:t>
      </w:r>
      <w:r>
        <w:t xml:space="preserve"> </w:t>
      </w:r>
      <w:r>
        <w:t xml:space="preserve">for</w:t>
      </w:r>
      <w:r>
        <w:t xml:space="preserve"> </w:t>
      </w:r>
      <w:r>
        <w:rPr>
          <w:iCs/>
          <w:i/>
        </w:rPr>
        <w:t xml:space="preserve">j</w:t>
      </w:r>
      <w:r>
        <w:t xml:space="preserve"> </w:t>
      </w:r>
      <w:r>
        <w:t xml:space="preserve">by</w:t>
      </w:r>
      <w:r>
        <w:t xml:space="preserve"> </w:t>
      </w:r>
      <w:r>
        <w:t xml:space="preserve">“</w:t>
      </w:r>
      <w:r>
        <w:t xml:space="preserve">coḥ kuḥ</w:t>
      </w:r>
      <w:r>
        <w:t xml:space="preserve">”</w:t>
      </w:r>
      <w:r>
        <w:t xml:space="preserve"> </w:t>
      </w:r>
      <w:r>
        <w:t xml:space="preserve">(Pā. sū. 8-2-30);</w:t>
      </w:r>
      <w:r>
        <w:t xml:space="preserve"> </w:t>
      </w:r>
      <w:r>
        <w:rPr>
          <w:iCs/>
          <w:i/>
        </w:rPr>
        <w:t xml:space="preserve">k</w:t>
      </w:r>
      <w:r>
        <w:t xml:space="preserve"> </w:t>
      </w:r>
      <w:r>
        <w:t xml:space="preserve">by</w:t>
      </w:r>
      <w:r>
        <w:t xml:space="preserve"> </w:t>
      </w:r>
      <w:r>
        <w:t xml:space="preserve">“</w:t>
      </w:r>
      <w:r>
        <w:t xml:space="preserve">khari ca</w:t>
      </w:r>
      <w:r>
        <w:t xml:space="preserve">”</w:t>
      </w:r>
      <w:r>
        <w:t xml:space="preserve"> </w:t>
      </w:r>
      <w:r>
        <w:t xml:space="preserve">(Pā. sū. 8-4-55);</w:t>
      </w:r>
      <w:r>
        <w:t xml:space="preserve"> </w:t>
      </w:r>
      <w:r>
        <w:rPr>
          <w:iCs/>
          <w:i/>
        </w:rPr>
        <w:t xml:space="preserve">ṣ</w:t>
      </w:r>
      <w:r>
        <w:t xml:space="preserve"> </w:t>
      </w:r>
      <w:r>
        <w:t xml:space="preserve">for the</w:t>
      </w:r>
      <w:r>
        <w:t xml:space="preserve"> </w:t>
      </w:r>
      <w:r>
        <w:rPr>
          <w:iCs/>
          <w:i/>
        </w:rPr>
        <w:t xml:space="preserve">s</w:t>
      </w:r>
      <w:r>
        <w:t xml:space="preserve"> </w:t>
      </w:r>
      <w:r>
        <w:t xml:space="preserve">by</w:t>
      </w:r>
      <w:r>
        <w:t xml:space="preserve"> </w:t>
      </w:r>
      <w:r>
        <w:t xml:space="preserve">“</w:t>
      </w:r>
      <w:r>
        <w:t xml:space="preserve">ādeśapratyayayoḥ</w:t>
      </w:r>
      <w:r>
        <w:t xml:space="preserve">”</w:t>
      </w:r>
      <w:r>
        <w:t xml:space="preserve"> </w:t>
      </w:r>
      <w:r>
        <w:t xml:space="preserve">(Pā. sū. 8-3-59):</w:t>
      </w:r>
      <w:r>
        <w:t xml:space="preserve"> </w:t>
      </w:r>
      <w:r>
        <w:rPr>
          <w:iCs/>
          <w:i/>
        </w:rPr>
        <w:t xml:space="preserve">yukṣva</w:t>
      </w:r>
      <w:r>
        <w:t xml:space="preserve">. At the head of the pāda and not after a word, so</w:t>
      </w:r>
      <w:r>
        <w:t xml:space="preserve"> </w:t>
      </w:r>
      <w:r>
        <w:t xml:space="preserve">“</w:t>
      </w:r>
      <w:r>
        <w:t xml:space="preserve">tiṅṅatiṅaḥ</w:t>
      </w:r>
      <w:r>
        <w:t xml:space="preserve">”</w:t>
      </w:r>
      <w:r>
        <w:t xml:space="preserve"> </w:t>
      </w:r>
      <w:r>
        <w:t xml:space="preserve">(Pā. sū. 8-1-28) does not make it wholly unaccented; the suffix accent makes it final udātta. In the Saṃhitā</w:t>
      </w:r>
      <w:r>
        <w:t xml:space="preserve"> </w:t>
      </w:r>
      <w:r>
        <w:t xml:space="preserve">“</w:t>
      </w:r>
      <w:r>
        <w:t xml:space="preserve">dvyaco ’tas tiṅaḥ</w:t>
      </w:r>
      <w:r>
        <w:t xml:space="preserve">”</w:t>
      </w:r>
      <w:r>
        <w:t xml:space="preserve"> </w:t>
      </w:r>
      <w:r>
        <w:t xml:space="preserve">(Pā. sū. 6-3-135) lengthens the</w:t>
      </w:r>
      <w:r>
        <w:t xml:space="preserve"> </w:t>
      </w:r>
      <w:r>
        <w:rPr>
          <w:iCs/>
          <w:i/>
        </w:rPr>
        <w:t xml:space="preserve">a</w:t>
      </w:r>
      <w:r>
        <w:t xml:space="preserve">.</w:t>
      </w:r>
    </w:p>
    <w:p>
      <w:pPr>
        <w:pStyle w:val="BodyText"/>
      </w:pPr>
      <w:r>
        <w:rPr>
          <w:bCs/>
          <w:b/>
        </w:rPr>
        <w:t xml:space="preserve">अरुषीः (</w:t>
      </w:r>
      <w:r>
        <w:rPr>
          <w:iCs/>
          <w:i/>
          <w:bCs/>
          <w:b/>
        </w:rPr>
        <w:t xml:space="preserve">aruṣīḥ</w:t>
      </w:r>
      <w:r>
        <w:rPr>
          <w:bCs/>
          <w:b/>
        </w:rPr>
        <w:t xml:space="preserve">)</w:t>
      </w:r>
      <w:r>
        <w:t xml:space="preserve">: the root</w:t>
      </w:r>
      <w:r>
        <w:t xml:space="preserve"> </w:t>
      </w:r>
      <w:r>
        <w:rPr>
          <w:iCs/>
          <w:i/>
        </w:rPr>
        <w:t xml:space="preserve">ṛ gatau</w:t>
      </w:r>
      <w:r>
        <w:t xml:space="preserve">. It is read in the</w:t>
      </w:r>
      <w:r>
        <w:t xml:space="preserve"> </w:t>
      </w:r>
      <w:r>
        <w:rPr>
          <w:iCs/>
          <w:i/>
        </w:rPr>
        <w:t xml:space="preserve">bhvādi</w:t>
      </w:r>
      <w:r>
        <w:t xml:space="preserve"> </w:t>
      </w:r>
      <w:r>
        <w:t xml:space="preserve">class as</w:t>
      </w:r>
      <w:r>
        <w:t xml:space="preserve"> </w:t>
      </w:r>
      <w:r>
        <w:rPr>
          <w:iCs/>
          <w:i/>
        </w:rPr>
        <w:t xml:space="preserve">ṛ gatiprāpaṇayoḥ</w:t>
      </w:r>
      <w:r>
        <w:t xml:space="preserve">:</w:t>
      </w:r>
      <w:r>
        <w:t xml:space="preserve"> </w:t>
      </w:r>
      <w:r>
        <w:rPr>
          <w:iCs/>
          <w:i/>
        </w:rPr>
        <w:t xml:space="preserve">laṭ</w:t>
      </w:r>
      <w:r>
        <w:t xml:space="preserve">, 3rd plural</w:t>
      </w:r>
      <w:r>
        <w:t xml:space="preserve"> </w:t>
      </w:r>
      <w:r>
        <w:rPr>
          <w:iCs/>
          <w:i/>
        </w:rPr>
        <w:t xml:space="preserve">jhi</w:t>
      </w:r>
      <w:r>
        <w:t xml:space="preserve">,</w:t>
      </w:r>
      <w:r>
        <w:t xml:space="preserve"> </w:t>
      </w:r>
      <w:r>
        <w:rPr>
          <w:iCs/>
          <w:i/>
        </w:rPr>
        <w:t xml:space="preserve">ant</w:t>
      </w:r>
      <w:r>
        <w:t xml:space="preserve"> </w:t>
      </w:r>
      <w:r>
        <w:t xml:space="preserve">for</w:t>
      </w:r>
      <w:r>
        <w:t xml:space="preserve"> </w:t>
      </w:r>
      <w:r>
        <w:rPr>
          <w:iCs/>
          <w:i/>
        </w:rPr>
        <w:t xml:space="preserve">jh</w:t>
      </w:r>
      <w:r>
        <w:t xml:space="preserve"> </w:t>
      </w:r>
      <w:r>
        <w:t xml:space="preserve">by</w:t>
      </w:r>
      <w:r>
        <w:t xml:space="preserve"> </w:t>
      </w:r>
      <w:r>
        <w:t xml:space="preserve">“</w:t>
      </w:r>
      <w:r>
        <w:t xml:space="preserve">jho ’ntaḥ</w:t>
      </w:r>
      <w:r>
        <w:t xml:space="preserve">”</w:t>
      </w:r>
      <w:r>
        <w:t xml:space="preserve">,</w:t>
      </w:r>
      <w:r>
        <w:t xml:space="preserve"> </w:t>
      </w:r>
      <w:r>
        <w:rPr>
          <w:iCs/>
          <w:i/>
        </w:rPr>
        <w:t xml:space="preserve">śap</w:t>
      </w:r>
      <w:r>
        <w:t xml:space="preserve"> </w:t>
      </w:r>
      <w:r>
        <w:t xml:space="preserve">by</w:t>
      </w:r>
      <w:r>
        <w:t xml:space="preserve"> </w:t>
      </w:r>
      <w:r>
        <w:t xml:space="preserve">“</w:t>
      </w:r>
      <w:r>
        <w:t xml:space="preserve">kartari śap</w:t>
      </w:r>
      <w:r>
        <w:t xml:space="preserve">”</w:t>
      </w:r>
      <w:r>
        <w:t xml:space="preserve"> </w:t>
      </w:r>
      <w:r>
        <w:t xml:space="preserve">(Pā. sū.</w:t>
      </w:r>
      <w:r>
        <w:t xml:space="preserve"> </w:t>
      </w:r>
      <w:r>
        <w:t xml:space="preserve">“</w:t>
      </w:r>
      <w:r>
        <w:t xml:space="preserve">4-1-68</w:t>
      </w:r>
      <w:r>
        <w:t xml:space="preserve">”</w:t>
      </w:r>
      <w:r>
        <w:t xml:space="preserve"> </w:t>
      </w:r>
      <w:r>
        <w:t xml:space="preserve">[as printed, for 3-1-68]):</w:t>
      </w:r>
      <w:r>
        <w:t xml:space="preserve"> </w:t>
      </w:r>
      <w:r>
        <w:rPr>
          <w:iCs/>
          <w:i/>
        </w:rPr>
        <w:t xml:space="preserve">ṛ</w:t>
      </w:r>
      <w:r>
        <w:t xml:space="preserve"> </w:t>
      </w:r>
      <w:r>
        <w:t xml:space="preserve">+</w:t>
      </w:r>
      <w:r>
        <w:t xml:space="preserve"> </w:t>
      </w:r>
      <w:r>
        <w:rPr>
          <w:iCs/>
          <w:i/>
        </w:rPr>
        <w:t xml:space="preserve">a</w:t>
      </w:r>
      <w:r>
        <w:t xml:space="preserve"> </w:t>
      </w:r>
      <w:r>
        <w:t xml:space="preserve">+</w:t>
      </w:r>
      <w:r>
        <w:t xml:space="preserve"> </w:t>
      </w:r>
      <w:r>
        <w:rPr>
          <w:iCs/>
          <w:i/>
        </w:rPr>
        <w:t xml:space="preserve">anti</w:t>
      </w:r>
      <w:r>
        <w:t xml:space="preserve">;</w:t>
      </w:r>
      <w:r>
        <w:t xml:space="preserve"> </w:t>
      </w:r>
      <w:r>
        <w:rPr>
          <w:iCs/>
          <w:i/>
        </w:rPr>
        <w:t xml:space="preserve">ṛcch</w:t>
      </w:r>
      <w:r>
        <w:t xml:space="preserve"> </w:t>
      </w:r>
      <w:r>
        <w:t xml:space="preserve">for</w:t>
      </w:r>
      <w:r>
        <w:t xml:space="preserve"> </w:t>
      </w:r>
      <w:r>
        <w:rPr>
          <w:iCs/>
          <w:i/>
        </w:rPr>
        <w:t xml:space="preserve">ṛ</w:t>
      </w:r>
      <w:r>
        <w:t xml:space="preserve"> </w:t>
      </w:r>
      <w:r>
        <w:t xml:space="preserve">by</w:t>
      </w:r>
      <w:r>
        <w:t xml:space="preserve"> </w:t>
      </w:r>
      <w:r>
        <w:t xml:space="preserve">“</w:t>
      </w:r>
      <w:r>
        <w:t xml:space="preserve">pāghrādhmā…</w:t>
      </w:r>
      <w:r>
        <w:t xml:space="preserve">”</w:t>
      </w:r>
      <w:r>
        <w:t xml:space="preserve">:</w:t>
      </w:r>
      <w:r>
        <w:t xml:space="preserve"> </w:t>
      </w:r>
      <w:r>
        <w:rPr>
          <w:iCs/>
          <w:i/>
        </w:rPr>
        <w:t xml:space="preserve">ṛcchanti</w:t>
      </w:r>
      <w:r>
        <w:t xml:space="preserve">. Another root</w:t>
      </w:r>
      <w:r>
        <w:t xml:space="preserve"> </w:t>
      </w:r>
      <w:r>
        <w:rPr>
          <w:iCs/>
          <w:i/>
        </w:rPr>
        <w:t xml:space="preserve">ṛ</w:t>
      </w:r>
      <w:r>
        <w:t xml:space="preserve"> </w:t>
      </w:r>
      <w:r>
        <w:t xml:space="preserve">is read in the</w:t>
      </w:r>
      <w:r>
        <w:t xml:space="preserve"> </w:t>
      </w:r>
      <w:r>
        <w:rPr>
          <w:iCs/>
          <w:i/>
        </w:rPr>
        <w:t xml:space="preserve">juhotyādi</w:t>
      </w:r>
      <w:r>
        <w:t xml:space="preserve"> </w:t>
      </w:r>
      <w:r>
        <w:t xml:space="preserve">class as</w:t>
      </w:r>
      <w:r>
        <w:t xml:space="preserve"> </w:t>
      </w:r>
      <w:r>
        <w:rPr>
          <w:iCs/>
          <w:i/>
        </w:rPr>
        <w:t xml:space="preserve">ṛ sṛ gatau</w:t>
      </w:r>
      <w:r>
        <w:t xml:space="preserve">:</w:t>
      </w:r>
      <w:r>
        <w:t xml:space="preserve"> </w:t>
      </w:r>
      <w:r>
        <w:rPr>
          <w:iCs/>
          <w:i/>
        </w:rPr>
        <w:t xml:space="preserve">laṭ</w:t>
      </w:r>
      <w:r>
        <w:t xml:space="preserve">,</w:t>
      </w:r>
      <w:r>
        <w:t xml:space="preserve"> </w:t>
      </w:r>
      <w:r>
        <w:rPr>
          <w:iCs/>
          <w:i/>
        </w:rPr>
        <w:t xml:space="preserve">jhi</w:t>
      </w:r>
      <w:r>
        <w:t xml:space="preserve">,</w:t>
      </w:r>
      <w:r>
        <w:t xml:space="preserve"> </w:t>
      </w:r>
      <w:r>
        <w:rPr>
          <w:iCs/>
          <w:i/>
        </w:rPr>
        <w:t xml:space="preserve">śap</w:t>
      </w:r>
      <w:r>
        <w:t xml:space="preserve">, then the loss of</w:t>
      </w:r>
      <w:r>
        <w:t xml:space="preserve"> </w:t>
      </w:r>
      <w:r>
        <w:rPr>
          <w:iCs/>
          <w:i/>
        </w:rPr>
        <w:t xml:space="preserve">śap</w:t>
      </w:r>
      <w:r>
        <w:t xml:space="preserve"> </w:t>
      </w:r>
      <w:r>
        <w:t xml:space="preserve">by</w:t>
      </w:r>
      <w:r>
        <w:t xml:space="preserve"> </w:t>
      </w:r>
      <w:r>
        <w:t xml:space="preserve">“</w:t>
      </w:r>
      <w:r>
        <w:t xml:space="preserve">juhotyādibhyaḥ śluḥ</w:t>
      </w:r>
      <w:r>
        <w:t xml:space="preserve">”</w:t>
      </w:r>
      <w:r>
        <w:t xml:space="preserve"> </w:t>
      </w:r>
      <w:r>
        <w:t xml:space="preserve">(2-4-75), reduplication by</w:t>
      </w:r>
      <w:r>
        <w:t xml:space="preserve"> </w:t>
      </w:r>
      <w:r>
        <w:t xml:space="preserve">“</w:t>
      </w:r>
      <w:r>
        <w:t xml:space="preserve">ślau</w:t>
      </w:r>
      <w:r>
        <w:t xml:space="preserve">”</w:t>
      </w:r>
      <w:r>
        <w:t xml:space="preserve">:</w:t>
      </w:r>
      <w:r>
        <w:t xml:space="preserve"> </w:t>
      </w:r>
      <w:r>
        <w:rPr>
          <w:iCs/>
          <w:i/>
        </w:rPr>
        <w:t xml:space="preserve">ṛ</w:t>
      </w:r>
      <w:r>
        <w:t xml:space="preserve"> </w:t>
      </w:r>
      <w:r>
        <w:t xml:space="preserve">+</w:t>
      </w:r>
      <w:r>
        <w:t xml:space="preserve"> </w:t>
      </w:r>
      <w:r>
        <w:rPr>
          <w:iCs/>
          <w:i/>
        </w:rPr>
        <w:t xml:space="preserve">ṛ</w:t>
      </w:r>
      <w:r>
        <w:t xml:space="preserve"> </w:t>
      </w:r>
      <w:r>
        <w:t xml:space="preserve">+</w:t>
      </w:r>
      <w:r>
        <w:t xml:space="preserve"> </w:t>
      </w:r>
      <w:r>
        <w:rPr>
          <w:iCs/>
          <w:i/>
        </w:rPr>
        <w:t xml:space="preserve">jhi</w:t>
      </w:r>
      <w:r>
        <w:t xml:space="preserve">;</w:t>
      </w:r>
      <w:r>
        <w:t xml:space="preserve"> </w:t>
      </w:r>
      <w:r>
        <w:t xml:space="preserve">“</w:t>
      </w:r>
      <w:r>
        <w:t xml:space="preserve">urat</w:t>
      </w:r>
      <w:r>
        <w:t xml:space="preserve">”</w:t>
      </w:r>
      <w:r>
        <w:t xml:space="preserve"> </w:t>
      </w:r>
      <w:r>
        <w:t xml:space="preserve">(Pā. sū. 7-4-66):</w:t>
      </w:r>
      <w:r>
        <w:t xml:space="preserve"> </w:t>
      </w:r>
      <w:r>
        <w:rPr>
          <w:iCs/>
          <w:i/>
        </w:rPr>
        <w:t xml:space="preserve">a</w:t>
      </w:r>
      <w:r>
        <w:t xml:space="preserve"> </w:t>
      </w:r>
      <w:r>
        <w:t xml:space="preserve">for the</w:t>
      </w:r>
      <w:r>
        <w:t xml:space="preserve"> </w:t>
      </w:r>
      <w:r>
        <w:rPr>
          <w:iCs/>
          <w:i/>
        </w:rPr>
        <w:t xml:space="preserve">ṛ</w:t>
      </w:r>
      <w:r>
        <w:t xml:space="preserve"> </w:t>
      </w:r>
      <w:r>
        <w:t xml:space="preserve">of the reduplicate, with</w:t>
      </w:r>
      <w:r>
        <w:t xml:space="preserve"> </w:t>
      </w:r>
      <w:r>
        <w:rPr>
          <w:iCs/>
          <w:i/>
        </w:rPr>
        <w:t xml:space="preserve">r</w:t>
      </w:r>
      <w:r>
        <w:t xml:space="preserve">;</w:t>
      </w:r>
      <w:r>
        <w:t xml:space="preserve"> </w:t>
      </w:r>
      <w:r>
        <w:rPr>
          <w:iCs/>
          <w:i/>
        </w:rPr>
        <w:t xml:space="preserve">i</w:t>
      </w:r>
      <w:r>
        <w:t xml:space="preserve"> </w:t>
      </w:r>
      <w:r>
        <w:t xml:space="preserve">for the</w:t>
      </w:r>
      <w:r>
        <w:t xml:space="preserve"> </w:t>
      </w:r>
      <w:r>
        <w:rPr>
          <w:iCs/>
          <w:i/>
        </w:rPr>
        <w:t xml:space="preserve">a</w:t>
      </w:r>
      <w:r>
        <w:t xml:space="preserve"> </w:t>
      </w:r>
      <w:r>
        <w:t xml:space="preserve">by</w:t>
      </w:r>
      <w:r>
        <w:t xml:space="preserve"> </w:t>
      </w:r>
      <w:r>
        <w:t xml:space="preserve">“</w:t>
      </w:r>
      <w:r>
        <w:t xml:space="preserve">artipiparttyoś ca</w:t>
      </w:r>
      <w:r>
        <w:t xml:space="preserve">”</w:t>
      </w:r>
      <w:r>
        <w:t xml:space="preserve">;</w:t>
      </w:r>
      <w:r>
        <w:t xml:space="preserve"> </w:t>
      </w:r>
      <w:r>
        <w:rPr>
          <w:iCs/>
          <w:i/>
        </w:rPr>
        <w:t xml:space="preserve">ir</w:t>
      </w:r>
      <w:r>
        <w:t xml:space="preserve"> </w:t>
      </w:r>
      <w:r>
        <w:t xml:space="preserve">+</w:t>
      </w:r>
      <w:r>
        <w:t xml:space="preserve"> </w:t>
      </w:r>
      <w:r>
        <w:rPr>
          <w:iCs/>
          <w:i/>
        </w:rPr>
        <w:t xml:space="preserve">ṛ</w:t>
      </w:r>
      <w:r>
        <w:t xml:space="preserve"> </w:t>
      </w:r>
      <w:r>
        <w:t xml:space="preserve">+</w:t>
      </w:r>
      <w:r>
        <w:t xml:space="preserve"> </w:t>
      </w:r>
      <w:r>
        <w:rPr>
          <w:iCs/>
          <w:i/>
        </w:rPr>
        <w:t xml:space="preserve">jhi</w:t>
      </w:r>
      <w:r>
        <w:t xml:space="preserve">; the</w:t>
      </w:r>
      <w:r>
        <w:t xml:space="preserve"> </w:t>
      </w:r>
      <w:r>
        <w:rPr>
          <w:iCs/>
          <w:i/>
        </w:rPr>
        <w:t xml:space="preserve">r</w:t>
      </w:r>
      <w:r>
        <w:t xml:space="preserve"> </w:t>
      </w:r>
      <w:r>
        <w:t xml:space="preserve">removed by</w:t>
      </w:r>
      <w:r>
        <w:t xml:space="preserve"> </w:t>
      </w:r>
      <w:r>
        <w:t xml:space="preserve">“</w:t>
      </w:r>
      <w:r>
        <w:t xml:space="preserve">halādiḥ śeṣaḥ</w:t>
      </w:r>
      <w:r>
        <w:t xml:space="preserve">”</w:t>
      </w:r>
      <w:r>
        <w:t xml:space="preserve">;</w:t>
      </w:r>
      <w:r>
        <w:t xml:space="preserve"> </w:t>
      </w:r>
      <w:r>
        <w:rPr>
          <w:iCs/>
          <w:i/>
        </w:rPr>
        <w:t xml:space="preserve">jhi</w:t>
      </w:r>
      <w:r>
        <w:t xml:space="preserve"> </w:t>
      </w:r>
      <w:r>
        <w:t xml:space="preserve">is</w:t>
      </w:r>
      <w:r>
        <w:t xml:space="preserve"> </w:t>
      </w:r>
      <w:r>
        <w:rPr>
          <w:iCs/>
          <w:i/>
        </w:rPr>
        <w:t xml:space="preserve">ṅit</w:t>
      </w:r>
      <w:r>
        <w:t xml:space="preserve"> </w:t>
      </w:r>
      <w:r>
        <w:t xml:space="preserve">by</w:t>
      </w:r>
      <w:r>
        <w:t xml:space="preserve"> </w:t>
      </w:r>
      <w:r>
        <w:t xml:space="preserve">“</w:t>
      </w:r>
      <w:r>
        <w:t xml:space="preserve">sārvadhātukam apit</w:t>
      </w:r>
      <w:r>
        <w:t xml:space="preserve">”</w:t>
      </w:r>
      <w:r>
        <w:t xml:space="preserve">, so the second</w:t>
      </w:r>
      <w:r>
        <w:t xml:space="preserve"> </w:t>
      </w:r>
      <w:r>
        <w:rPr>
          <w:iCs/>
          <w:i/>
        </w:rPr>
        <w:t xml:space="preserve">ṛ</w:t>
      </w:r>
      <w:r>
        <w:t xml:space="preserve"> </w:t>
      </w:r>
      <w:r>
        <w:t xml:space="preserve">takes no</w:t>
      </w:r>
      <w:r>
        <w:t xml:space="preserve"> </w:t>
      </w:r>
      <w:r>
        <w:rPr>
          <w:iCs/>
          <w:i/>
        </w:rPr>
        <w:t xml:space="preserve">guṇa</w:t>
      </w:r>
      <w:r>
        <w:t xml:space="preserve">;</w:t>
      </w:r>
      <w:r>
        <w:t xml:space="preserve"> </w:t>
      </w:r>
      <w:r>
        <w:rPr>
          <w:iCs/>
          <w:i/>
        </w:rPr>
        <w:t xml:space="preserve">iy</w:t>
      </w:r>
      <w:r>
        <w:t xml:space="preserve"> </w:t>
      </w:r>
      <w:r>
        <w:t xml:space="preserve">for the</w:t>
      </w:r>
      <w:r>
        <w:t xml:space="preserve"> </w:t>
      </w:r>
      <w:r>
        <w:rPr>
          <w:iCs/>
          <w:i/>
        </w:rPr>
        <w:t xml:space="preserve">i</w:t>
      </w:r>
      <w:r>
        <w:t xml:space="preserve"> </w:t>
      </w:r>
      <w:r>
        <w:t xml:space="preserve">by</w:t>
      </w:r>
      <w:r>
        <w:t xml:space="preserve"> </w:t>
      </w:r>
      <w:r>
        <w:t xml:space="preserve">“</w:t>
      </w:r>
      <w:r>
        <w:t xml:space="preserve">abhyāsasyāsavarṇe</w:t>
      </w:r>
      <w:r>
        <w:t xml:space="preserve">”</w:t>
      </w:r>
      <w:r>
        <w:t xml:space="preserve">:</w:t>
      </w:r>
      <w:r>
        <w:t xml:space="preserve"> </w:t>
      </w:r>
      <w:r>
        <w:rPr>
          <w:iCs/>
          <w:i/>
        </w:rPr>
        <w:t xml:space="preserve">iy</w:t>
      </w:r>
      <w:r>
        <w:t xml:space="preserve"> </w:t>
      </w:r>
      <w:r>
        <w:t xml:space="preserve">+</w:t>
      </w:r>
      <w:r>
        <w:t xml:space="preserve"> </w:t>
      </w:r>
      <w:r>
        <w:rPr>
          <w:iCs/>
          <w:i/>
        </w:rPr>
        <w:t xml:space="preserve">ṛ</w:t>
      </w:r>
      <w:r>
        <w:t xml:space="preserve"> </w:t>
      </w:r>
      <w:r>
        <w:t xml:space="preserve">+</w:t>
      </w:r>
      <w:r>
        <w:t xml:space="preserve"> </w:t>
      </w:r>
      <w:r>
        <w:rPr>
          <w:iCs/>
          <w:i/>
        </w:rPr>
        <w:t xml:space="preserve">jhi</w:t>
      </w:r>
      <w:r>
        <w:t xml:space="preserve">;</w:t>
      </w:r>
      <w:r>
        <w:t xml:space="preserve"> </w:t>
      </w:r>
      <w:r>
        <w:t xml:space="preserve">“</w:t>
      </w:r>
      <w:r>
        <w:t xml:space="preserve">adabhyastāt</w:t>
      </w:r>
      <w:r>
        <w:t xml:space="preserve">”</w:t>
      </w:r>
      <w:r>
        <w:t xml:space="preserve"> </w:t>
      </w:r>
      <w:r>
        <w:t xml:space="preserve">(Pā. sū. 7-1-4):</w:t>
      </w:r>
      <w:r>
        <w:t xml:space="preserve"> </w:t>
      </w:r>
      <w:r>
        <w:rPr>
          <w:iCs/>
          <w:i/>
        </w:rPr>
        <w:t xml:space="preserve">at</w:t>
      </w:r>
      <w:r>
        <w:t xml:space="preserve"> </w:t>
      </w:r>
      <w:r>
        <w:t xml:space="preserve">for the</w:t>
      </w:r>
      <w:r>
        <w:t xml:space="preserve"> </w:t>
      </w:r>
      <w:r>
        <w:rPr>
          <w:iCs/>
          <w:i/>
        </w:rPr>
        <w:t xml:space="preserve">jh</w:t>
      </w:r>
      <w:r>
        <w:t xml:space="preserve"> </w:t>
      </w:r>
      <w:r>
        <w:t xml:space="preserve">after a reduplicated stem;</w:t>
      </w:r>
      <w:r>
        <w:t xml:space="preserve"> </w:t>
      </w:r>
      <w:r>
        <w:rPr>
          <w:iCs/>
          <w:i/>
        </w:rPr>
        <w:t xml:space="preserve">yaṇ</w:t>
      </w:r>
      <w:r>
        <w:t xml:space="preserve"> </w:t>
      </w:r>
      <w:r>
        <w:t xml:space="preserve">by</w:t>
      </w:r>
      <w:r>
        <w:t xml:space="preserve"> </w:t>
      </w:r>
      <w:r>
        <w:t xml:space="preserve">“</w:t>
      </w:r>
      <w:r>
        <w:t xml:space="preserve">iko yaṇ aci</w:t>
      </w:r>
      <w:r>
        <w:t xml:space="preserve">”</w:t>
      </w:r>
      <w:r>
        <w:t xml:space="preserve"> </w:t>
      </w:r>
      <w:r>
        <w:t xml:space="preserve">(Pā. sū. 6-1-77),</w:t>
      </w:r>
      <w:r>
        <w:t xml:space="preserve"> </w:t>
      </w:r>
      <w:r>
        <w:rPr>
          <w:iCs/>
          <w:i/>
        </w:rPr>
        <w:t xml:space="preserve">r</w:t>
      </w:r>
      <w:r>
        <w:t xml:space="preserve"> </w:t>
      </w:r>
      <w:r>
        <w:t xml:space="preserve">for the</w:t>
      </w:r>
      <w:r>
        <w:t xml:space="preserve"> </w:t>
      </w:r>
      <w:r>
        <w:rPr>
          <w:iCs/>
          <w:i/>
        </w:rPr>
        <w:t xml:space="preserve">ṛ</w:t>
      </w:r>
      <w:r>
        <w:t xml:space="preserve">:</w:t>
      </w:r>
    </w:p>
    <w:bookmarkEnd w:id="671"/>
    <w:bookmarkStart w:id="672" w:name="page-625-rik-12-grammar-continued"/>
    <w:p>
      <w:pPr>
        <w:pStyle w:val="Heading3"/>
      </w:pPr>
      <w:r>
        <w:t xml:space="preserve">Page 625 — Rik 12: grammar (continued)</w:t>
      </w:r>
    </w:p>
    <w:p>
      <w:pPr>
        <w:pStyle w:val="FirstParagraph"/>
      </w:pPr>
      <w:r>
        <w:rPr>
          <w:iCs/>
          <w:i/>
        </w:rPr>
        <w:t xml:space="preserve">iyrati</w:t>
      </w:r>
      <w:r>
        <w:t xml:space="preserve">. So from the root</w:t>
      </w:r>
      <w:r>
        <w:t xml:space="preserve"> </w:t>
      </w:r>
      <w:r>
        <w:rPr>
          <w:iCs/>
          <w:i/>
        </w:rPr>
        <w:t xml:space="preserve">ṛ</w:t>
      </w:r>
      <w:r>
        <w:t xml:space="preserve"> </w:t>
      </w:r>
      <w:r>
        <w:t xml:space="preserve">the form</w:t>
      </w:r>
      <w:r>
        <w:t xml:space="preserve"> </w:t>
      </w:r>
      <w:r>
        <w:rPr>
          <w:iCs/>
          <w:i/>
        </w:rPr>
        <w:t xml:space="preserve">ranti</w:t>
      </w:r>
      <w:r>
        <w:t xml:space="preserve"> </w:t>
      </w:r>
      <w:r>
        <w:t xml:space="preserve">does not arise. Here the analysis</w:t>
      </w:r>
      <w:r>
        <w:t xml:space="preserve"> </w:t>
      </w:r>
      <w:r>
        <w:rPr>
          <w:iCs/>
          <w:i/>
        </w:rPr>
        <w:t xml:space="preserve">iyrati</w:t>
      </w:r>
      <w:r>
        <w:t xml:space="preserve"> </w:t>
      </w:r>
      <w:r>
        <w:t xml:space="preserve">or</w:t>
      </w:r>
      <w:r>
        <w:t xml:space="preserve"> </w:t>
      </w:r>
      <w:r>
        <w:rPr>
          <w:iCs/>
          <w:i/>
        </w:rPr>
        <w:t xml:space="preserve">ṛcchanti gacchanti iti aruṣyaḥ vaḍavāḥ</w:t>
      </w:r>
      <w:r>
        <w:t xml:space="preserve"> </w:t>
      </w:r>
      <w:r>
        <w:t xml:space="preserve">is fitting.</w:t>
      </w:r>
      <w:r>
        <w:t xml:space="preserve"> </w:t>
      </w:r>
      <w:r>
        <w:t xml:space="preserve">“</w:t>
      </w:r>
      <w:r>
        <w:t xml:space="preserve">ṛhanibhyām uṣan</w:t>
      </w:r>
      <w:r>
        <w:t xml:space="preserve">”</w:t>
      </w:r>
      <w:r>
        <w:t xml:space="preserve"> </w:t>
      </w:r>
      <w:r>
        <w:t xml:space="preserve">(Uṇ. sū.</w:t>
      </w:r>
      <w:r>
        <w:t xml:space="preserve"> </w:t>
      </w:r>
      <w:r>
        <w:t xml:space="preserve">“</w:t>
      </w:r>
      <w:r>
        <w:t xml:space="preserve">4-473</w:t>
      </w:r>
      <w:r>
        <w:t xml:space="preserve">”</w:t>
      </w:r>
      <w:r>
        <w:t xml:space="preserve"> </w:t>
      </w:r>
      <w:r>
        <w:t xml:space="preserve">[?];</w:t>
      </w:r>
      <w:r>
        <w:t xml:space="preserve"> </w:t>
      </w:r>
      <w:r>
        <w:rPr>
          <w:iCs/>
          <w:i/>
        </w:rPr>
        <w:t xml:space="preserve">ṛ gatau</w:t>
      </w:r>
      <w:r>
        <w:t xml:space="preserve">,</w:t>
      </w:r>
      <w:r>
        <w:t xml:space="preserve"> </w:t>
      </w:r>
      <w:r>
        <w:rPr>
          <w:iCs/>
          <w:i/>
        </w:rPr>
        <w:t xml:space="preserve">hana hiṃsāgatyoḥ</w:t>
      </w:r>
      <w:r>
        <w:t xml:space="preserve">): after these roots the suffix</w:t>
      </w:r>
      <w:r>
        <w:t xml:space="preserve"> </w:t>
      </w:r>
      <w:r>
        <w:rPr>
          <w:iCs/>
          <w:i/>
        </w:rPr>
        <w:t xml:space="preserve">uṣan</w:t>
      </w:r>
      <w:r>
        <w:t xml:space="preserve">; so</w:t>
      </w:r>
      <w:r>
        <w:t xml:space="preserve"> </w:t>
      </w:r>
      <w:r>
        <w:rPr>
          <w:iCs/>
          <w:i/>
        </w:rPr>
        <w:t xml:space="preserve">uṣan</w:t>
      </w:r>
      <w:r>
        <w:t xml:space="preserve"> </w:t>
      </w:r>
      <w:r>
        <w:t xml:space="preserve">after</w:t>
      </w:r>
      <w:r>
        <w:t xml:space="preserve"> </w:t>
      </w:r>
      <w:r>
        <w:rPr>
          <w:iCs/>
          <w:i/>
        </w:rPr>
        <w:t xml:space="preserve">ṛ</w:t>
      </w:r>
      <w:r>
        <w:t xml:space="preserve">;</w:t>
      </w:r>
      <w:r>
        <w:t xml:space="preserve"> </w:t>
      </w:r>
      <w:r>
        <w:rPr>
          <w:iCs/>
          <w:i/>
        </w:rPr>
        <w:t xml:space="preserve">guṇa</w:t>
      </w:r>
      <w:r>
        <w:t xml:space="preserve"> </w:t>
      </w:r>
      <w:r>
        <w:t xml:space="preserve">by</w:t>
      </w:r>
      <w:r>
        <w:t xml:space="preserve"> </w:t>
      </w:r>
      <w:r>
        <w:t xml:space="preserve">“</w:t>
      </w:r>
      <w:r>
        <w:t xml:space="preserve">sārvadhātukārdhadhātukayoḥ</w:t>
      </w:r>
      <w:r>
        <w:t xml:space="preserve">”</w:t>
      </w:r>
      <w:r>
        <w:t xml:space="preserve">, with</w:t>
      </w:r>
      <w:r>
        <w:t xml:space="preserve"> </w:t>
      </w:r>
      <w:r>
        <w:rPr>
          <w:iCs/>
          <w:i/>
        </w:rPr>
        <w:t xml:space="preserve">r</w:t>
      </w:r>
      <w:r>
        <w:t xml:space="preserve"> </w:t>
      </w:r>
      <w:r>
        <w:t xml:space="preserve">after it:</w:t>
      </w:r>
      <w:r>
        <w:t xml:space="preserve"> </w:t>
      </w:r>
      <w:r>
        <w:rPr>
          <w:iCs/>
          <w:i/>
        </w:rPr>
        <w:t xml:space="preserve">aruṣa</w:t>
      </w:r>
      <w:r>
        <w:t xml:space="preserve">. In the Uṇādi text now available the reading is long,</w:t>
      </w:r>
      <w:r>
        <w:t xml:space="preserve"> </w:t>
      </w:r>
      <w:r>
        <w:rPr>
          <w:iCs/>
          <w:i/>
        </w:rPr>
        <w:t xml:space="preserve">ṛhanibhyām ūṣan</w:t>
      </w:r>
      <w:r>
        <w:t xml:space="preserve">; on that reading the shortening of the</w:t>
      </w:r>
      <w:r>
        <w:t xml:space="preserve"> </w:t>
      </w:r>
      <w:r>
        <w:rPr>
          <w:iCs/>
          <w:i/>
        </w:rPr>
        <w:t xml:space="preserve">ū</w:t>
      </w:r>
      <w:r>
        <w:t xml:space="preserve"> </w:t>
      </w:r>
      <w:r>
        <w:t xml:space="preserve">here is Vedic.</w:t>
      </w:r>
      <w:r>
        <w:t xml:space="preserve"> </w:t>
      </w:r>
      <w:r>
        <w:rPr>
          <w:iCs/>
          <w:i/>
        </w:rPr>
        <w:t xml:space="preserve">Aruṣa</w:t>
      </w:r>
      <w:r>
        <w:t xml:space="preserve"> </w:t>
      </w:r>
      <w:r>
        <w:t xml:space="preserve">is initial udātta by the</w:t>
      </w:r>
      <w:r>
        <w:t xml:space="preserve"> </w:t>
      </w:r>
      <w:r>
        <w:rPr>
          <w:iCs/>
          <w:i/>
        </w:rPr>
        <w:t xml:space="preserve">nit</w:t>
      </w:r>
      <w:r>
        <w:t xml:space="preserve"> </w:t>
      </w:r>
      <w:r>
        <w:t xml:space="preserve">accent. After it, Vedic</w:t>
      </w:r>
      <w:r>
        <w:t xml:space="preserve"> </w:t>
      </w:r>
      <w:r>
        <w:rPr>
          <w:iCs/>
          <w:i/>
        </w:rPr>
        <w:t xml:space="preserve">ṅīp</w:t>
      </w:r>
      <w:r>
        <w:t xml:space="preserve">; the</w:t>
      </w:r>
      <w:r>
        <w:t xml:space="preserve"> </w:t>
      </w:r>
      <w:r>
        <w:rPr>
          <w:iCs/>
          <w:i/>
        </w:rPr>
        <w:t xml:space="preserve">a</w:t>
      </w:r>
      <w:r>
        <w:t xml:space="preserve"> </w:t>
      </w:r>
      <w:r>
        <w:t xml:space="preserve">dropped by</w:t>
      </w:r>
      <w:r>
        <w:t xml:space="preserve"> </w:t>
      </w:r>
      <w:r>
        <w:t xml:space="preserve">“</w:t>
      </w:r>
      <w:r>
        <w:t xml:space="preserve">yasyeti ca</w:t>
      </w:r>
      <w:r>
        <w:t xml:space="preserve">”</w:t>
      </w:r>
      <w:r>
        <w:t xml:space="preserve"> </w:t>
      </w:r>
      <w:r>
        <w:t xml:space="preserve">(Pā. sū. 6-4-148):</w:t>
      </w:r>
      <w:r>
        <w:t xml:space="preserve"> </w:t>
      </w:r>
      <w:r>
        <w:rPr>
          <w:iCs/>
          <w:i/>
        </w:rPr>
        <w:t xml:space="preserve">aruṣī</w:t>
      </w:r>
      <w:r>
        <w:t xml:space="preserve">; accusative plural</w:t>
      </w:r>
      <w:r>
        <w:t xml:space="preserve"> </w:t>
      </w:r>
      <w:r>
        <w:rPr>
          <w:iCs/>
          <w:i/>
        </w:rPr>
        <w:t xml:space="preserve">śas</w:t>
      </w:r>
      <w:r>
        <w:t xml:space="preserve">;</w:t>
      </w:r>
      <w:r>
        <w:t xml:space="preserve"> </w:t>
      </w:r>
      <w:r>
        <w:rPr>
          <w:iCs/>
          <w:i/>
        </w:rPr>
        <w:t xml:space="preserve">pūrvasavarṇa-dīrgha</w:t>
      </w:r>
      <w:r>
        <w:t xml:space="preserve"> </w:t>
      </w:r>
      <w:r>
        <w:t xml:space="preserve">by</w:t>
      </w:r>
      <w:r>
        <w:t xml:space="preserve"> </w:t>
      </w:r>
      <w:r>
        <w:t xml:space="preserve">“</w:t>
      </w:r>
      <w:r>
        <w:t xml:space="preserve">prathamayoḥ pūrvasavarṇaḥ</w:t>
      </w:r>
      <w:r>
        <w:t xml:space="preserve">”</w:t>
      </w:r>
      <w:r>
        <w:t xml:space="preserve"> </w:t>
      </w:r>
      <w:r>
        <w:t xml:space="preserve">(Pā. sū. 6-1-102);</w:t>
      </w:r>
      <w:r>
        <w:t xml:space="preserve"> </w:t>
      </w:r>
      <w:r>
        <w:rPr>
          <w:iCs/>
          <w:i/>
        </w:rPr>
        <w:t xml:space="preserve">ru</w:t>
      </w:r>
      <w:r>
        <w:t xml:space="preserve">, visarga:</w:t>
      </w:r>
      <w:r>
        <w:t xml:space="preserve"> </w:t>
      </w:r>
      <w:r>
        <w:rPr>
          <w:iCs/>
          <w:i/>
        </w:rPr>
        <w:t xml:space="preserve">aruṣīḥ</w:t>
      </w:r>
      <w:r>
        <w:t xml:space="preserve">.</w:t>
      </w:r>
    </w:p>
    <w:p>
      <w:pPr>
        <w:pStyle w:val="BodyText"/>
      </w:pPr>
      <w:r>
        <w:rPr>
          <w:bCs/>
          <w:b/>
        </w:rPr>
        <w:t xml:space="preserve">रथे (</w:t>
      </w:r>
      <w:r>
        <w:rPr>
          <w:iCs/>
          <w:i/>
          <w:bCs/>
          <w:b/>
        </w:rPr>
        <w:t xml:space="preserve">rathe</w:t>
      </w:r>
      <w:r>
        <w:rPr>
          <w:bCs/>
          <w:b/>
        </w:rPr>
        <w:t xml:space="preserve">)</w:t>
      </w:r>
      <w:r>
        <w:t xml:space="preserve">:</w:t>
      </w:r>
      <w:r>
        <w:t xml:space="preserve"> </w:t>
      </w:r>
      <w:r>
        <w:rPr>
          <w:iCs/>
          <w:i/>
        </w:rPr>
        <w:t xml:space="preserve">ramu krīḍāyām</w:t>
      </w:r>
      <w:r>
        <w:t xml:space="preserve">;</w:t>
      </w:r>
      <w:r>
        <w:t xml:space="preserve"> </w:t>
      </w:r>
      <w:r>
        <w:rPr>
          <w:iCs/>
          <w:i/>
        </w:rPr>
        <w:t xml:space="preserve">ramante asminn iti rathaḥ</w:t>
      </w:r>
      <w:r>
        <w:t xml:space="preserve">.</w:t>
      </w:r>
      <w:r>
        <w:t xml:space="preserve"> </w:t>
      </w:r>
      <w:r>
        <w:t xml:space="preserve">“</w:t>
      </w:r>
      <w:r>
        <w:t xml:space="preserve">hanikuṣinīramikāśibhyaḥ kthan</w:t>
      </w:r>
      <w:r>
        <w:t xml:space="preserve">”</w:t>
      </w:r>
      <w:r>
        <w:t xml:space="preserve"> </w:t>
      </w:r>
      <w:r>
        <w:t xml:space="preserve">(Uṇ. sū.</w:t>
      </w:r>
      <w:r>
        <w:t xml:space="preserve"> </w:t>
      </w:r>
      <w:r>
        <w:t xml:space="preserve">“</w:t>
      </w:r>
      <w:r>
        <w:t xml:space="preserve">2-159</w:t>
      </w:r>
      <w:r>
        <w:t xml:space="preserve">”</w:t>
      </w:r>
      <w:r>
        <w:t xml:space="preserve"> </w:t>
      </w:r>
      <w:r>
        <w:t xml:space="preserve">[?]) gives the suffix</w:t>
      </w:r>
      <w:r>
        <w:t xml:space="preserve"> </w:t>
      </w:r>
      <w:r>
        <w:rPr>
          <w:iCs/>
          <w:i/>
        </w:rPr>
        <w:t xml:space="preserve">kthan</w:t>
      </w:r>
      <w:r>
        <w:t xml:space="preserve">;</w:t>
      </w:r>
      <w:r>
        <w:t xml:space="preserve"> </w:t>
      </w:r>
      <w:r>
        <w:t xml:space="preserve">“</w:t>
      </w:r>
      <w:r>
        <w:t xml:space="preserve">ekāca upadeśe ’nudāttāt</w:t>
      </w:r>
      <w:r>
        <w:t xml:space="preserve">”</w:t>
      </w:r>
      <w:r>
        <w:t xml:space="preserve"> </w:t>
      </w:r>
      <w:r>
        <w:t xml:space="preserve">(</w:t>
      </w:r>
      <w:r>
        <w:t xml:space="preserve">“</w:t>
      </w:r>
      <w:r>
        <w:t xml:space="preserve">7-2-10</w:t>
      </w:r>
      <w:r>
        <w:t xml:space="preserve">”</w:t>
      </w:r>
      <w:r>
        <w:t xml:space="preserve">) bars the</w:t>
      </w:r>
      <w:r>
        <w:t xml:space="preserve"> </w:t>
      </w:r>
      <w:r>
        <w:rPr>
          <w:iCs/>
          <w:i/>
        </w:rPr>
        <w:t xml:space="preserve">iṭ</w:t>
      </w:r>
      <w:r>
        <w:t xml:space="preserve">; the</w:t>
      </w:r>
      <w:r>
        <w:t xml:space="preserve"> </w:t>
      </w:r>
      <w:r>
        <w:rPr>
          <w:iCs/>
          <w:i/>
        </w:rPr>
        <w:t xml:space="preserve">m</w:t>
      </w:r>
      <w:r>
        <w:t xml:space="preserve"> </w:t>
      </w:r>
      <w:r>
        <w:t xml:space="preserve">dropped by</w:t>
      </w:r>
      <w:r>
        <w:t xml:space="preserve"> </w:t>
      </w:r>
      <w:r>
        <w:t xml:space="preserve">“</w:t>
      </w:r>
      <w:r>
        <w:t xml:space="preserve">anudāttopadeśa…</w:t>
      </w:r>
      <w:r>
        <w:t xml:space="preserve">”</w:t>
      </w:r>
      <w:r>
        <w:t xml:space="preserve"> </w:t>
      </w:r>
      <w:r>
        <w:t xml:space="preserve">(Pā. sū. 6-4-37); initial udātta by the</w:t>
      </w:r>
      <w:r>
        <w:t xml:space="preserve"> </w:t>
      </w:r>
      <w:r>
        <w:rPr>
          <w:iCs/>
          <w:i/>
        </w:rPr>
        <w:t xml:space="preserve">nit</w:t>
      </w:r>
      <w:r>
        <w:t xml:space="preserve"> </w:t>
      </w:r>
      <w:r>
        <w:t xml:space="preserve">accent.</w:t>
      </w:r>
    </w:p>
    <w:p>
      <w:pPr>
        <w:pStyle w:val="BodyText"/>
      </w:pPr>
      <w:r>
        <w:rPr>
          <w:bCs/>
          <w:b/>
        </w:rPr>
        <w:t xml:space="preserve">हरितः (</w:t>
      </w:r>
      <w:r>
        <w:rPr>
          <w:iCs/>
          <w:i/>
          <w:bCs/>
          <w:b/>
        </w:rPr>
        <w:t xml:space="preserve">haritaḥ</w:t>
      </w:r>
      <w:r>
        <w:rPr>
          <w:bCs/>
          <w:b/>
        </w:rPr>
        <w:t xml:space="preserve">)</w:t>
      </w:r>
      <w:r>
        <w:t xml:space="preserve">:</w:t>
      </w:r>
      <w:r>
        <w:t xml:space="preserve"> </w:t>
      </w:r>
      <w:r>
        <w:t xml:space="preserve">“</w:t>
      </w:r>
      <w:r>
        <w:t xml:space="preserve">hṛsṛruhiyuṣibhya itiḥ</w:t>
      </w:r>
      <w:r>
        <w:t xml:space="preserve">”</w:t>
      </w:r>
      <w:r>
        <w:t xml:space="preserve"> </w:t>
      </w:r>
      <w:r>
        <w:t xml:space="preserve">(Uṇ. sū.</w:t>
      </w:r>
      <w:r>
        <w:t xml:space="preserve"> </w:t>
      </w:r>
      <w:r>
        <w:t xml:space="preserve">“</w:t>
      </w:r>
      <w:r>
        <w:t xml:space="preserve">1-96</w:t>
      </w:r>
      <w:r>
        <w:t xml:space="preserve">”</w:t>
      </w:r>
      <w:r>
        <w:t xml:space="preserve"> </w:t>
      </w:r>
      <w:r>
        <w:t xml:space="preserve">[?];</w:t>
      </w:r>
      <w:r>
        <w:t xml:space="preserve"> </w:t>
      </w:r>
      <w:r>
        <w:rPr>
          <w:iCs/>
          <w:i/>
        </w:rPr>
        <w:t xml:space="preserve">hṛñ haraṇe</w:t>
      </w:r>
      <w:r>
        <w:t xml:space="preserve">,</w:t>
      </w:r>
      <w:r>
        <w:t xml:space="preserve"> </w:t>
      </w:r>
      <w:r>
        <w:rPr>
          <w:iCs/>
          <w:i/>
        </w:rPr>
        <w:t xml:space="preserve">sṛ gatau</w:t>
      </w:r>
      <w:r>
        <w:t xml:space="preserve">,</w:t>
      </w:r>
      <w:r>
        <w:t xml:space="preserve"> </w:t>
      </w:r>
      <w:r>
        <w:rPr>
          <w:iCs/>
          <w:i/>
        </w:rPr>
        <w:t xml:space="preserve">ruha bījajanmani</w:t>
      </w:r>
      <w:r>
        <w:t xml:space="preserve">,</w:t>
      </w:r>
      <w:r>
        <w:t xml:space="preserve"> </w:t>
      </w:r>
      <w:r>
        <w:rPr>
          <w:iCs/>
          <w:i/>
        </w:rPr>
        <w:t xml:space="preserve">yuṣ</w:t>
      </w:r>
      <w:r>
        <w:t xml:space="preserve">, a</w:t>
      </w:r>
      <w:r>
        <w:t xml:space="preserve"> </w:t>
      </w:r>
      <w:r>
        <w:rPr>
          <w:iCs/>
          <w:i/>
        </w:rPr>
        <w:t xml:space="preserve">sautra</w:t>
      </w:r>
      <w:r>
        <w:t xml:space="preserve"> </w:t>
      </w:r>
      <w:r>
        <w:t xml:space="preserve">root): the suffix</w:t>
      </w:r>
      <w:r>
        <w:t xml:space="preserve"> </w:t>
      </w:r>
      <w:r>
        <w:rPr>
          <w:iCs/>
          <w:i/>
        </w:rPr>
        <w:t xml:space="preserve">iti</w:t>
      </w:r>
      <w:r>
        <w:t xml:space="preserve">;</w:t>
      </w:r>
      <w:r>
        <w:t xml:space="preserve"> </w:t>
      </w:r>
      <w:r>
        <w:rPr>
          <w:iCs/>
          <w:i/>
        </w:rPr>
        <w:t xml:space="preserve">iti</w:t>
      </w:r>
      <w:r>
        <w:t xml:space="preserve"> </w:t>
      </w:r>
      <w:r>
        <w:t xml:space="preserve">after</w:t>
      </w:r>
      <w:r>
        <w:t xml:space="preserve"> </w:t>
      </w:r>
      <w:r>
        <w:rPr>
          <w:iCs/>
          <w:i/>
        </w:rPr>
        <w:t xml:space="preserve">hṛ</w:t>
      </w:r>
      <w:r>
        <w:t xml:space="preserve">:</w:t>
      </w:r>
      <w:r>
        <w:t xml:space="preserve"> </w:t>
      </w:r>
      <w:r>
        <w:rPr>
          <w:iCs/>
          <w:i/>
        </w:rPr>
        <w:t xml:space="preserve">hṛ</w:t>
      </w:r>
      <w:r>
        <w:t xml:space="preserve"> </w:t>
      </w:r>
      <w:r>
        <w:t xml:space="preserve">+</w:t>
      </w:r>
      <w:r>
        <w:t xml:space="preserve"> </w:t>
      </w:r>
      <w:r>
        <w:rPr>
          <w:iCs/>
          <w:i/>
        </w:rPr>
        <w:t xml:space="preserve">it</w:t>
      </w:r>
      <w:r>
        <w:t xml:space="preserve">;</w:t>
      </w:r>
      <w:r>
        <w:t xml:space="preserve"> </w:t>
      </w:r>
      <w:r>
        <w:rPr>
          <w:iCs/>
          <w:i/>
        </w:rPr>
        <w:t xml:space="preserve">guṇa</w:t>
      </w:r>
      <w:r>
        <w:t xml:space="preserve"> </w:t>
      </w:r>
      <w:r>
        <w:t xml:space="preserve">by</w:t>
      </w:r>
      <w:r>
        <w:t xml:space="preserve"> </w:t>
      </w:r>
      <w:r>
        <w:t xml:space="preserve">“</w:t>
      </w:r>
      <w:r>
        <w:t xml:space="preserve">sārvadhātukārdhadhātukayoḥ</w:t>
      </w:r>
      <w:r>
        <w:t xml:space="preserve">”</w:t>
      </w:r>
      <w:r>
        <w:t xml:space="preserve">, with</w:t>
      </w:r>
      <w:r>
        <w:t xml:space="preserve"> </w:t>
      </w:r>
      <w:r>
        <w:rPr>
          <w:iCs/>
          <w:i/>
        </w:rPr>
        <w:t xml:space="preserve">r</w:t>
      </w:r>
      <w:r>
        <w:t xml:space="preserve">:</w:t>
      </w:r>
      <w:r>
        <w:t xml:space="preserve"> </w:t>
      </w:r>
      <w:r>
        <w:rPr>
          <w:iCs/>
          <w:i/>
        </w:rPr>
        <w:t xml:space="preserve">harit</w:t>
      </w:r>
      <w:r>
        <w:t xml:space="preserve">; the</w:t>
      </w:r>
      <w:r>
        <w:t xml:space="preserve"> </w:t>
      </w:r>
      <w:r>
        <w:rPr>
          <w:iCs/>
          <w:i/>
        </w:rPr>
        <w:t xml:space="preserve">i</w:t>
      </w:r>
      <w:r>
        <w:t xml:space="preserve"> </w:t>
      </w:r>
      <w:r>
        <w:t xml:space="preserve">udātta by the suffix accent; accusative plural.</w:t>
      </w:r>
    </w:p>
    <w:p>
      <w:pPr>
        <w:pStyle w:val="BodyText"/>
      </w:pPr>
      <w:r>
        <w:rPr>
          <w:bCs/>
          <w:b/>
        </w:rPr>
        <w:t xml:space="preserve">रोहितः (</w:t>
      </w:r>
      <w:r>
        <w:rPr>
          <w:iCs/>
          <w:i/>
          <w:bCs/>
          <w:b/>
        </w:rPr>
        <w:t xml:space="preserve">rohitaḥ</w:t>
      </w:r>
      <w:r>
        <w:rPr>
          <w:bCs/>
          <w:b/>
        </w:rPr>
        <w:t xml:space="preserve">)</w:t>
      </w:r>
      <w:r>
        <w:t xml:space="preserve">:</w:t>
      </w:r>
      <w:r>
        <w:t xml:space="preserve"> </w:t>
      </w:r>
      <w:r>
        <w:rPr>
          <w:iCs/>
          <w:i/>
        </w:rPr>
        <w:t xml:space="preserve">ruha bījajanmani</w:t>
      </w:r>
      <w:r>
        <w:t xml:space="preserve">;</w:t>
      </w:r>
      <w:r>
        <w:t xml:space="preserve"> </w:t>
      </w:r>
      <w:r>
        <w:rPr>
          <w:iCs/>
          <w:i/>
        </w:rPr>
        <w:t xml:space="preserve">iti</w:t>
      </w:r>
      <w:r>
        <w:t xml:space="preserve"> </w:t>
      </w:r>
      <w:r>
        <w:t xml:space="preserve">after</w:t>
      </w:r>
      <w:r>
        <w:t xml:space="preserve"> </w:t>
      </w:r>
      <w:r>
        <w:rPr>
          <w:iCs/>
          <w:i/>
        </w:rPr>
        <w:t xml:space="preserve">ruh</w:t>
      </w:r>
      <w:r>
        <w:t xml:space="preserve"> </w:t>
      </w:r>
      <w:r>
        <w:t xml:space="preserve">too by</w:t>
      </w:r>
      <w:r>
        <w:t xml:space="preserve"> </w:t>
      </w:r>
      <w:r>
        <w:t xml:space="preserve">“</w:t>
      </w:r>
      <w:r>
        <w:t xml:space="preserve">hṛsṛ…</w:t>
      </w:r>
      <w:r>
        <w:t xml:space="preserve">”</w:t>
      </w:r>
      <w:r>
        <w:t xml:space="preserve"> </w:t>
      </w:r>
      <w:r>
        <w:t xml:space="preserve">(Uṇ. sū.</w:t>
      </w:r>
      <w:r>
        <w:t xml:space="preserve"> </w:t>
      </w:r>
      <w:r>
        <w:t xml:space="preserve">“</w:t>
      </w:r>
      <w:r>
        <w:t xml:space="preserve">1-97</w:t>
      </w:r>
      <w:r>
        <w:t xml:space="preserve">”</w:t>
      </w:r>
      <w:r>
        <w:t xml:space="preserve"> </w:t>
      </w:r>
      <w:r>
        <w:t xml:space="preserve">[?]); the</w:t>
      </w:r>
      <w:r>
        <w:t xml:space="preserve"> </w:t>
      </w:r>
      <w:r>
        <w:rPr>
          <w:iCs/>
          <w:i/>
        </w:rPr>
        <w:t xml:space="preserve">i</w:t>
      </w:r>
      <w:r>
        <w:t xml:space="preserve"> </w:t>
      </w:r>
      <w:r>
        <w:t xml:space="preserve">udātta by the suffix accent;</w:t>
      </w:r>
      <w:r>
        <w:t xml:space="preserve"> </w:t>
      </w:r>
      <w:r>
        <w:rPr>
          <w:iCs/>
          <w:i/>
        </w:rPr>
        <w:t xml:space="preserve">laghūpadha-guṇa</w:t>
      </w:r>
      <w:r>
        <w:t xml:space="preserve"> </w:t>
      </w:r>
      <w:r>
        <w:t xml:space="preserve">by</w:t>
      </w:r>
      <w:r>
        <w:t xml:space="preserve"> </w:t>
      </w:r>
      <w:r>
        <w:t xml:space="preserve">“</w:t>
      </w:r>
      <w:r>
        <w:t xml:space="preserve">pugantalaghūpadhasya ca</w:t>
      </w:r>
      <w:r>
        <w:t xml:space="preserve">”</w:t>
      </w:r>
      <w:r>
        <w:t xml:space="preserve"> </w:t>
      </w:r>
      <w:r>
        <w:t xml:space="preserve">(Pā. sū. 7-3-86),</w:t>
      </w:r>
      <w:r>
        <w:t xml:space="preserve"> </w:t>
      </w:r>
      <w:r>
        <w:rPr>
          <w:iCs/>
          <w:i/>
        </w:rPr>
        <w:t xml:space="preserve">o</w:t>
      </w:r>
      <w:r>
        <w:t xml:space="preserve"> </w:t>
      </w:r>
      <w:r>
        <w:t xml:space="preserve">for the</w:t>
      </w:r>
      <w:r>
        <w:t xml:space="preserve"> </w:t>
      </w:r>
      <w:r>
        <w:rPr>
          <w:iCs/>
          <w:i/>
        </w:rPr>
        <w:t xml:space="preserve">u</w:t>
      </w:r>
      <w:r>
        <w:t xml:space="preserve">; accusative plural</w:t>
      </w:r>
      <w:r>
        <w:t xml:space="preserve"> </w:t>
      </w:r>
      <w:r>
        <w:rPr>
          <w:iCs/>
          <w:i/>
        </w:rPr>
        <w:t xml:space="preserve">rohitaḥ</w:t>
      </w:r>
      <w:r>
        <w:t xml:space="preserve">.</w:t>
      </w:r>
    </w:p>
    <w:p>
      <w:pPr>
        <w:pStyle w:val="BodyText"/>
      </w:pPr>
      <w:r>
        <w:rPr>
          <w:bCs/>
          <w:b/>
        </w:rPr>
        <w:t xml:space="preserve">ताभिः (</w:t>
      </w:r>
      <w:r>
        <w:rPr>
          <w:iCs/>
          <w:i/>
          <w:bCs/>
          <w:b/>
        </w:rPr>
        <w:t xml:space="preserve">tābhiḥ</w:t>
      </w:r>
      <w:r>
        <w:rPr>
          <w:bCs/>
          <w:b/>
        </w:rPr>
        <w:t xml:space="preserve">)</w:t>
      </w:r>
      <w:r>
        <w:t xml:space="preserve">:</w:t>
      </w:r>
      <w:r>
        <w:t xml:space="preserve"> </w:t>
      </w:r>
      <w:r>
        <w:rPr>
          <w:iCs/>
          <w:i/>
        </w:rPr>
        <w:t xml:space="preserve">tad</w:t>
      </w:r>
      <w:r>
        <w:t xml:space="preserve"> </w:t>
      </w:r>
      <w:r>
        <w:t xml:space="preserve">+</w:t>
      </w:r>
      <w:r>
        <w:t xml:space="preserve"> </w:t>
      </w:r>
      <w:r>
        <w:rPr>
          <w:iCs/>
          <w:i/>
        </w:rPr>
        <w:t xml:space="preserve">bhis</w:t>
      </w:r>
      <w:r>
        <w:t xml:space="preserve">;</w:t>
      </w:r>
      <w:r>
        <w:t xml:space="preserve"> </w:t>
      </w:r>
      <w:r>
        <w:rPr>
          <w:iCs/>
          <w:i/>
        </w:rPr>
        <w:t xml:space="preserve">a</w:t>
      </w:r>
      <w:r>
        <w:t xml:space="preserve"> </w:t>
      </w:r>
      <w:r>
        <w:t xml:space="preserve">for the</w:t>
      </w:r>
      <w:r>
        <w:t xml:space="preserve"> </w:t>
      </w:r>
      <w:r>
        <w:rPr>
          <w:iCs/>
          <w:i/>
        </w:rPr>
        <w:t xml:space="preserve">d</w:t>
      </w:r>
      <w:r>
        <w:t xml:space="preserve"> </w:t>
      </w:r>
      <w:r>
        <w:t xml:space="preserve">by</w:t>
      </w:r>
      <w:r>
        <w:t xml:space="preserve"> </w:t>
      </w:r>
      <w:r>
        <w:t xml:space="preserve">“</w:t>
      </w:r>
      <w:r>
        <w:t xml:space="preserve">tyadādīnām aḥ</w:t>
      </w:r>
      <w:r>
        <w:t xml:space="preserve">”</w:t>
      </w:r>
      <w:r>
        <w:t xml:space="preserve"> </w:t>
      </w:r>
      <w:r>
        <w:t xml:space="preserve">(Pā. sū. 7-2-102);</w:t>
      </w:r>
      <w:r>
        <w:t xml:space="preserve"> </w:t>
      </w:r>
      <w:r>
        <w:rPr>
          <w:iCs/>
          <w:i/>
        </w:rPr>
        <w:t xml:space="preserve">pararūpa</w:t>
      </w:r>
      <w:r>
        <w:t xml:space="preserve"> </w:t>
      </w:r>
      <w:r>
        <w:t xml:space="preserve">by</w:t>
      </w:r>
      <w:r>
        <w:t xml:space="preserve"> </w:t>
      </w:r>
      <w:r>
        <w:t xml:space="preserve">“</w:t>
      </w:r>
      <w:r>
        <w:t xml:space="preserve">ato guṇe</w:t>
      </w:r>
      <w:r>
        <w:t xml:space="preserve">”</w:t>
      </w:r>
      <w:r>
        <w:t xml:space="preserve"> </w:t>
      </w:r>
      <w:r>
        <w:t xml:space="preserve">(Pā. sū. 6-1-97);</w:t>
      </w:r>
      <w:r>
        <w:t xml:space="preserve"> </w:t>
      </w:r>
      <w:r>
        <w:rPr>
          <w:iCs/>
          <w:i/>
        </w:rPr>
        <w:t xml:space="preserve">ṭāp</w:t>
      </w:r>
      <w:r>
        <w:t xml:space="preserve"> </w:t>
      </w:r>
      <w:r>
        <w:t xml:space="preserve">by</w:t>
      </w:r>
      <w:r>
        <w:t xml:space="preserve"> </w:t>
      </w:r>
      <w:r>
        <w:t xml:space="preserve">“</w:t>
      </w:r>
      <w:r>
        <w:t xml:space="preserve">ajādyataṣ ṭāp</w:t>
      </w:r>
      <w:r>
        <w:t xml:space="preserve">”</w:t>
      </w:r>
      <w:r>
        <w:t xml:space="preserve"> </w:t>
      </w:r>
      <w:r>
        <w:t xml:space="preserve">(Pā. sū. 4-1-4), lengthening:</w:t>
      </w:r>
      <w:r>
        <w:t xml:space="preserve"> </w:t>
      </w:r>
      <w:r>
        <w:rPr>
          <w:iCs/>
          <w:i/>
        </w:rPr>
        <w:t xml:space="preserve">tābhiḥ</w:t>
      </w:r>
      <w:r>
        <w:t xml:space="preserve">. The udātta that</w:t>
      </w:r>
      <w:r>
        <w:t xml:space="preserve"> </w:t>
      </w:r>
      <w:r>
        <w:t xml:space="preserve">“</w:t>
      </w:r>
      <w:r>
        <w:t xml:space="preserve">sāv ekācas tṛtīyādir vibhaktiḥ</w:t>
      </w:r>
      <w:r>
        <w:t xml:space="preserve">”</w:t>
      </w:r>
      <w:r>
        <w:t xml:space="preserve"> </w:t>
      </w:r>
      <w:r>
        <w:t xml:space="preserve">(Pā. sū. 6-1-168) would give the ending is barred by</w:t>
      </w:r>
      <w:r>
        <w:t xml:space="preserve"> </w:t>
      </w:r>
      <w:r>
        <w:t xml:space="preserve">“</w:t>
      </w:r>
      <w:r>
        <w:t xml:space="preserve">na go-śvan-sāv-avarṇa…</w:t>
      </w:r>
      <w:r>
        <w:t xml:space="preserve">”</w:t>
      </w:r>
      <w:r>
        <w:t xml:space="preserve"> </w:t>
      </w:r>
      <w:r>
        <w:t xml:space="preserve">(Pā. sū. 6-1-182); so by</w:t>
      </w:r>
      <w:r>
        <w:t xml:space="preserve"> </w:t>
      </w:r>
      <w:r>
        <w:t xml:space="preserve">“</w:t>
      </w:r>
      <w:r>
        <w:t xml:space="preserve">anudāttau suppitau</w:t>
      </w:r>
      <w:r>
        <w:t xml:space="preserve">”</w:t>
      </w:r>
      <w:r>
        <w:t xml:space="preserve"> </w:t>
      </w:r>
      <w:r>
        <w:t xml:space="preserve">(Pā. sū. 3-1-4) the ending is unaccented.</w:t>
      </w:r>
    </w:p>
    <w:p>
      <w:pPr>
        <w:pStyle w:val="BodyText"/>
      </w:pPr>
      <w:r>
        <w:rPr>
          <w:bCs/>
          <w:b/>
        </w:rPr>
        <w:t xml:space="preserve">देवाँ इह (</w:t>
      </w:r>
      <w:r>
        <w:rPr>
          <w:iCs/>
          <w:i/>
          <w:bCs/>
          <w:b/>
        </w:rPr>
        <w:t xml:space="preserve">devām̐ iha</w:t>
      </w:r>
      <w:r>
        <w:rPr>
          <w:bCs/>
          <w:b/>
        </w:rPr>
        <w:t xml:space="preserve">)</w:t>
      </w:r>
      <w:r>
        <w:t xml:space="preserve">: with</w:t>
      </w:r>
      <w:r>
        <w:t xml:space="preserve"> </w:t>
      </w:r>
      <w:r>
        <w:rPr>
          <w:iCs/>
          <w:i/>
        </w:rPr>
        <w:t xml:space="preserve">devān</w:t>
      </w:r>
      <w:r>
        <w:t xml:space="preserve"> </w:t>
      </w:r>
      <w:r>
        <w:t xml:space="preserve">+</w:t>
      </w:r>
      <w:r>
        <w:t xml:space="preserve"> </w:t>
      </w:r>
      <w:r>
        <w:rPr>
          <w:iCs/>
          <w:i/>
        </w:rPr>
        <w:t xml:space="preserve">iha</w:t>
      </w:r>
      <w:r>
        <w:t xml:space="preserve">, in the Saṃhitā,</w:t>
      </w:r>
      <w:r>
        <w:t xml:space="preserve"> </w:t>
      </w:r>
      <w:r>
        <w:rPr>
          <w:iCs/>
          <w:i/>
        </w:rPr>
        <w:t xml:space="preserve">ru</w:t>
      </w:r>
      <w:r>
        <w:t xml:space="preserve"> </w:t>
      </w:r>
      <w:r>
        <w:t xml:space="preserve">for the</w:t>
      </w:r>
      <w:r>
        <w:t xml:space="preserve"> </w:t>
      </w:r>
      <w:r>
        <w:rPr>
          <w:iCs/>
          <w:i/>
        </w:rPr>
        <w:t xml:space="preserve">n</w:t>
      </w:r>
      <w:r>
        <w:t xml:space="preserve"> </w:t>
      </w:r>
      <w:r>
        <w:t xml:space="preserve">by</w:t>
      </w:r>
      <w:r>
        <w:t xml:space="preserve"> </w:t>
      </w:r>
      <w:r>
        <w:t xml:space="preserve">“</w:t>
      </w:r>
      <w:r>
        <w:t xml:space="preserve">dīrghād aṭi samānapāde</w:t>
      </w:r>
      <w:r>
        <w:t xml:space="preserve">”</w:t>
      </w:r>
      <w:r>
        <w:t xml:space="preserve"> </w:t>
      </w:r>
      <w:r>
        <w:t xml:space="preserve">(Pā. sū.</w:t>
      </w:r>
      <w:r>
        <w:t xml:space="preserve"> </w:t>
      </w:r>
      <w:r>
        <w:t xml:space="preserve">“</w:t>
      </w:r>
      <w:r>
        <w:t xml:space="preserve">8-4-9</w:t>
      </w:r>
      <w:r>
        <w:t xml:space="preserve">”</w:t>
      </w:r>
      <w:r>
        <w:t xml:space="preserve"> </w:t>
      </w:r>
      <w:r>
        <w:t xml:space="preserve">[as printed, for 8-3-9]); the</w:t>
      </w:r>
      <w:r>
        <w:t xml:space="preserve"> </w:t>
      </w:r>
      <w:r>
        <w:rPr>
          <w:iCs/>
          <w:i/>
        </w:rPr>
        <w:t xml:space="preserve">ā</w:t>
      </w:r>
      <w:r>
        <w:t xml:space="preserve"> </w:t>
      </w:r>
      <w:r>
        <w:t xml:space="preserve">nasalised by</w:t>
      </w:r>
      <w:r>
        <w:t xml:space="preserve"> </w:t>
      </w:r>
      <w:r>
        <w:t xml:space="preserve">“</w:t>
      </w:r>
      <w:r>
        <w:t xml:space="preserve">āto ’ṭi nityam</w:t>
      </w:r>
      <w:r>
        <w:t xml:space="preserve">”</w:t>
      </w:r>
      <w:r>
        <w:t xml:space="preserve"> </w:t>
      </w:r>
      <w:r>
        <w:t xml:space="preserve">(Pā. sū. 8-3-3);</w:t>
      </w:r>
    </w:p>
    <w:bookmarkEnd w:id="672"/>
    <w:bookmarkStart w:id="673" w:name="X99c6693df45c0c1a3912cc095e55e842a53defe"/>
    <w:p>
      <w:pPr>
        <w:pStyle w:val="Heading3"/>
      </w:pPr>
      <w:r>
        <w:t xml:space="preserve">Page 626 — Rik 12: grammar (end); close of Sūkta 14</w:t>
      </w:r>
    </w:p>
    <w:p>
      <w:pPr>
        <w:pStyle w:val="FirstParagraph"/>
      </w:pPr>
      <w:r>
        <w:rPr>
          <w:iCs/>
          <w:i/>
        </w:rPr>
        <w:t xml:space="preserve">y</w:t>
      </w:r>
      <w:r>
        <w:t xml:space="preserve"> </w:t>
      </w:r>
      <w:r>
        <w:t xml:space="preserve">for the</w:t>
      </w:r>
      <w:r>
        <w:t xml:space="preserve"> </w:t>
      </w:r>
      <w:r>
        <w:rPr>
          <w:iCs/>
          <w:i/>
        </w:rPr>
        <w:t xml:space="preserve">ru</w:t>
      </w:r>
      <w:r>
        <w:t xml:space="preserve"> </w:t>
      </w:r>
      <w:r>
        <w:t xml:space="preserve">by</w:t>
      </w:r>
      <w:r>
        <w:t xml:space="preserve"> </w:t>
      </w:r>
      <w:r>
        <w:t xml:space="preserve">“</w:t>
      </w:r>
      <w:r>
        <w:t xml:space="preserve">bhobhago…</w:t>
      </w:r>
      <w:r>
        <w:t xml:space="preserve">”</w:t>
      </w:r>
      <w:r>
        <w:t xml:space="preserve">; the</w:t>
      </w:r>
      <w:r>
        <w:t xml:space="preserve"> </w:t>
      </w:r>
      <w:r>
        <w:rPr>
          <w:iCs/>
          <w:i/>
        </w:rPr>
        <w:t xml:space="preserve">y</w:t>
      </w:r>
      <w:r>
        <w:t xml:space="preserve"> </w:t>
      </w:r>
      <w:r>
        <w:t xml:space="preserve">dropped by</w:t>
      </w:r>
      <w:r>
        <w:t xml:space="preserve"> </w:t>
      </w:r>
      <w:r>
        <w:t xml:space="preserve">“</w:t>
      </w:r>
      <w:r>
        <w:t xml:space="preserve">lopaḥ śākalyasya</w:t>
      </w:r>
      <w:r>
        <w:t xml:space="preserve">”</w:t>
      </w:r>
      <w:r>
        <w:t xml:space="preserve"> </w:t>
      </w:r>
      <w:r>
        <w:t xml:space="preserve">(Pā. sū. 8-3-19); since by</w:t>
      </w:r>
      <w:r>
        <w:t xml:space="preserve"> </w:t>
      </w:r>
      <w:r>
        <w:t xml:space="preserve">“</w:t>
      </w:r>
      <w:r>
        <w:t xml:space="preserve">pūrvatrāsiddham</w:t>
      </w:r>
      <w:r>
        <w:t xml:space="preserve">”</w:t>
      </w:r>
      <w:r>
        <w:t xml:space="preserve"> </w:t>
      </w:r>
      <w:r>
        <w:t xml:space="preserve">the loss of</w:t>
      </w:r>
      <w:r>
        <w:t xml:space="preserve"> </w:t>
      </w:r>
      <w:r>
        <w:rPr>
          <w:iCs/>
          <w:i/>
        </w:rPr>
        <w:t xml:space="preserve">y</w:t>
      </w:r>
      <w:r>
        <w:t xml:space="preserve"> </w:t>
      </w:r>
      <w:r>
        <w:t xml:space="preserve">is treated as not done, no</w:t>
      </w:r>
      <w:r>
        <w:t xml:space="preserve"> </w:t>
      </w:r>
      <w:r>
        <w:rPr>
          <w:iCs/>
          <w:i/>
        </w:rPr>
        <w:t xml:space="preserve">guṇa</w:t>
      </w:r>
      <w:r>
        <w:t xml:space="preserve"> </w:t>
      </w:r>
      <w:r>
        <w:t xml:space="preserve">by</w:t>
      </w:r>
      <w:r>
        <w:t xml:space="preserve"> </w:t>
      </w:r>
      <w:r>
        <w:t xml:space="preserve">“</w:t>
      </w:r>
      <w:r>
        <w:t xml:space="preserve">ād guṇaḥ</w:t>
      </w:r>
      <w:r>
        <w:t xml:space="preserve">”</w:t>
      </w:r>
      <w:r>
        <w:t xml:space="preserve">:</w:t>
      </w:r>
      <w:r>
        <w:t xml:space="preserve"> </w:t>
      </w:r>
      <w:r>
        <w:rPr>
          <w:iCs/>
          <w:i/>
        </w:rPr>
        <w:t xml:space="preserve">devām̐ iha</w:t>
      </w:r>
      <w:r>
        <w:t xml:space="preserve">.</w:t>
      </w:r>
    </w:p>
    <w:p>
      <w:pPr>
        <w:pStyle w:val="BodyText"/>
      </w:pPr>
      <w:r>
        <w:rPr>
          <w:bCs/>
          <w:b/>
        </w:rPr>
        <w:t xml:space="preserve">॥१२॥</w:t>
      </w:r>
    </w:p>
    <w:p>
      <w:pPr>
        <w:pStyle w:val="BodyText"/>
      </w:pPr>
      <w:r>
        <w:rPr>
          <w:iCs/>
          <w:i/>
        </w:rPr>
        <w:t xml:space="preserve">(The sūkta ends here; the print has no separate colophon for Sūkta 14. The bhāṣya closes with the varga number</w:t>
      </w:r>
      <w:r>
        <w:rPr>
          <w:iCs/>
          <w:i/>
        </w:rPr>
        <w:t xml:space="preserve"> </w:t>
      </w:r>
      <w:r>
        <w:rPr>
          <w:iCs/>
          <w:i/>
        </w:rPr>
        <w:t xml:space="preserve">“</w:t>
      </w:r>
      <w:r>
        <w:rPr>
          <w:iCs/>
          <w:i/>
        </w:rPr>
        <w:t xml:space="preserve">27</w:t>
      </w:r>
      <w:r>
        <w:rPr>
          <w:iCs/>
          <w:i/>
        </w:rPr>
        <w:t xml:space="preserve">”</w:t>
      </w:r>
      <w:r>
        <w:rPr>
          <w:iCs/>
          <w:i/>
        </w:rPr>
        <w:t xml:space="preserve">, agreeing with the heading’s</w:t>
      </w:r>
      <w:r>
        <w:rPr>
          <w:iCs/>
          <w:i/>
        </w:rPr>
        <w:t xml:space="preserve"> </w:t>
      </w:r>
      <w:r>
        <w:rPr>
          <w:iCs/>
          <w:i/>
        </w:rPr>
        <w:t xml:space="preserve">“</w:t>
      </w:r>
      <w:r>
        <w:rPr>
          <w:iCs/>
          <w:i/>
        </w:rPr>
        <w:t xml:space="preserve">26, 27</w:t>
      </w:r>
      <w:r>
        <w:rPr>
          <w:iCs/>
          <w:i/>
        </w:rPr>
        <w:t xml:space="preserve">”</w:t>
      </w:r>
      <w:r>
        <w:rPr>
          <w:iCs/>
          <w:i/>
        </w:rPr>
        <w:t xml:space="preserve">.)</w:t>
      </w:r>
    </w:p>
    <w:p>
      <w:r>
        <w:pict>
          <v:rect style="width:0;height:1.5pt" o:hralign="center" o:hrstd="t" o:hr="t"/>
        </w:pict>
      </w:r>
    </w:p>
    <w:bookmarkEnd w:id="673"/>
    <w:bookmarkEnd w:id="674"/>
    <w:bookmarkStart w:id="734" w:name="X1c202f9374912c29a76579aff8601ebeaf24c98"/>
    <w:p>
      <w:pPr>
        <w:pStyle w:val="Heading2"/>
      </w:pPr>
      <w:r>
        <w:t xml:space="preserve">॥ ಹದಿನೈದನೆಯ ಸೂಕ್ತವು ॥ — Sūkta 15 —</w:t>
      </w:r>
      <w:r>
        <w:t xml:space="preserve"> </w:t>
      </w:r>
      <w:r>
        <w:rPr>
          <w:iCs/>
          <w:i/>
        </w:rPr>
        <w:t xml:space="preserve">“</w:t>
      </w:r>
      <w:r>
        <w:rPr>
          <w:iCs/>
          <w:i/>
        </w:rPr>
        <w:t xml:space="preserve">indra somaṃ piba</w:t>
      </w:r>
      <w:r>
        <w:rPr>
          <w:iCs/>
          <w:i/>
        </w:rPr>
        <w:t xml:space="preserve">”</w:t>
      </w:r>
      <w:r>
        <w:t xml:space="preserve"> </w:t>
      </w:r>
      <w:r>
        <w:t xml:space="preserve">(</w:t>
      </w:r>
      <w:r>
        <w:t xml:space="preserve">“</w:t>
      </w:r>
      <w:r>
        <w:t xml:space="preserve">The Fifteenth Sūkta</w:t>
      </w:r>
      <w:r>
        <w:t xml:space="preserve">”</w:t>
      </w:r>
      <w:r>
        <w:t xml:space="preserve">)</w:t>
      </w:r>
    </w:p>
    <w:p>
      <w:pPr>
        <w:pStyle w:val="FirstParagraph"/>
      </w:pPr>
      <w:r>
        <w:rPr>
          <w:bCs/>
          <w:b/>
        </w:rPr>
        <w:t xml:space="preserve">॥ Sāyaṇa-bhāṣyam ॥ (introductory note on the application of the sūkta; printed p. 626, lower half; re-read from the print)</w:t>
      </w:r>
    </w:p>
    <w:p>
      <w:pPr>
        <w:pStyle w:val="BlockText"/>
      </w:pPr>
      <w:r>
        <w:t xml:space="preserve">इन्द्र सोममित्यादिकस्य द्वादशर्चस्य चतुर्थस्य सूक्तस्य ऋषिच्छन्दसी पूर्ववत् । यद्यप्येतत्सूक्तं कृत्स्नमृतुदेवताकं तथापि प्रत्यृचमिन्द्रादिदेवतान्तराणि मिलितानि । तथा चानुक्रम्यते । इन्द्र सोममृतव्यं तत्रैन्द्री मारुती त्वाष्ट्र्याग्नेय्यैन्द्री मैत्रावरुणी चतस्रो द्रविणोदस आश्विनाग्नेय्य ऋतुदेवताः सर्वत्रेति ॥ विनियोगस्तु स्मार्तो द्रष्टव्यः ॥</w:t>
      </w:r>
    </w:p>
    <w:p>
      <w:pPr>
        <w:pStyle w:val="BlockText"/>
      </w:pPr>
      <w:r>
        <w:rPr>
          <w:iCs/>
          <w:i/>
        </w:rPr>
        <w:t xml:space="preserve">indra somam ity-ādikasya dvādaśarcasya caturthasya sūktasya ṛṣi-chandasī pūrvavat | yady apy etat sūktaṃ kṛtsnam ṛtu-devatākaṃ tathāpi pratyṛcam indrādi-devatāntarāṇi militāni | tathā cānukramyate | indra somam ṛtavyaṃ tatraindrī mārutī tvāṣṭryāgneyyaindrī maitrāvaruṇī catasro draviṇodasa āśvināgneyya ṛtu-devatāḥ sarvatreti || viniyogas tu smārto draṣṭavyaḥ ||</w:t>
      </w:r>
    </w:p>
    <w:p>
      <w:pPr>
        <w:pStyle w:val="FirstParagraph"/>
      </w:pPr>
      <w:r>
        <w:rPr>
          <w:bCs/>
          <w:b/>
        </w:rPr>
        <w:t xml:space="preserve">Translation:</w:t>
      </w:r>
      <w:r>
        <w:t xml:space="preserve"> </w:t>
      </w:r>
      <w:r>
        <w:t xml:space="preserve">“</w:t>
      </w:r>
      <w:r>
        <w:t xml:space="preserve">The twelve-rik sūkta beginning</w:t>
      </w:r>
      <w:r>
        <w:t xml:space="preserve"> </w:t>
      </w:r>
      <w:r>
        <w:rPr>
          <w:iCs/>
          <w:i/>
        </w:rPr>
        <w:t xml:space="preserve">indra somam</w:t>
      </w:r>
      <w:r>
        <w:t xml:space="preserve"> </w:t>
      </w:r>
      <w:r>
        <w:t xml:space="preserve">is the fourth sūkta [of this anuvāka]; its ṛṣi and meter are as before [Medhātithi Kāṇva; Gāyatrī]. Although this whole sūkta has the Ṛtus (Seasons) for its deity, in each rik other deities, Indra and the rest, are joined with them. So the Anukramaṇikā says:</w:t>
      </w:r>
      <w:r>
        <w:t xml:space="preserve"> </w:t>
      </w:r>
      <w:r>
        <w:t xml:space="preserve">‘</w:t>
      </w:r>
      <w:r>
        <w:rPr>
          <w:iCs/>
          <w:i/>
        </w:rPr>
        <w:t xml:space="preserve">indra somam ṛtavyam</w:t>
      </w:r>
      <w:r>
        <w:t xml:space="preserve"> </w:t>
      </w:r>
      <w:r>
        <w:t xml:space="preserve">(</w:t>
      </w:r>
      <w:r>
        <w:t xml:space="preserve">“</w:t>
      </w:r>
      <w:r>
        <w:rPr>
          <w:iCs/>
          <w:i/>
        </w:rPr>
        <w:t xml:space="preserve">indra somam</w:t>
      </w:r>
      <w:r>
        <w:t xml:space="preserve"> </w:t>
      </w:r>
      <w:r>
        <w:t xml:space="preserve">is to the Ṛtus</w:t>
      </w:r>
      <w:r>
        <w:t xml:space="preserve">”</w:t>
      </w:r>
      <w:r>
        <w:t xml:space="preserve">): there [the deities are]</w:t>
      </w:r>
      <w:r>
        <w:t xml:space="preserve"> </w:t>
      </w:r>
      <w:r>
        <w:rPr>
          <w:iCs/>
          <w:i/>
        </w:rPr>
        <w:t xml:space="preserve">aindrī</w:t>
      </w:r>
      <w:r>
        <w:t xml:space="preserve"> </w:t>
      </w:r>
      <w:r>
        <w:t xml:space="preserve">(Indra),</w:t>
      </w:r>
      <w:r>
        <w:t xml:space="preserve"> </w:t>
      </w:r>
      <w:r>
        <w:rPr>
          <w:iCs/>
          <w:i/>
        </w:rPr>
        <w:t xml:space="preserve">mārutī</w:t>
      </w:r>
      <w:r>
        <w:t xml:space="preserve"> </w:t>
      </w:r>
      <w:r>
        <w:t xml:space="preserve">(the Maruts),</w:t>
      </w:r>
      <w:r>
        <w:t xml:space="preserve"> </w:t>
      </w:r>
      <w:r>
        <w:rPr>
          <w:iCs/>
          <w:i/>
        </w:rPr>
        <w:t xml:space="preserve">tvāṣṭrī</w:t>
      </w:r>
      <w:r>
        <w:t xml:space="preserve"> </w:t>
      </w:r>
      <w:r>
        <w:t xml:space="preserve">(Tvaṣṭṛ),</w:t>
      </w:r>
      <w:r>
        <w:t xml:space="preserve"> </w:t>
      </w:r>
      <w:r>
        <w:rPr>
          <w:iCs/>
          <w:i/>
        </w:rPr>
        <w:t xml:space="preserve">āgneyī</w:t>
      </w:r>
      <w:r>
        <w:t xml:space="preserve"> </w:t>
      </w:r>
      <w:r>
        <w:t xml:space="preserve">(Agni),</w:t>
      </w:r>
      <w:r>
        <w:t xml:space="preserve"> </w:t>
      </w:r>
      <w:r>
        <w:rPr>
          <w:iCs/>
          <w:i/>
        </w:rPr>
        <w:t xml:space="preserve">aindrī</w:t>
      </w:r>
      <w:r>
        <w:t xml:space="preserve"> </w:t>
      </w:r>
      <w:r>
        <w:t xml:space="preserve">(Indra),</w:t>
      </w:r>
      <w:r>
        <w:t xml:space="preserve"> </w:t>
      </w:r>
      <w:r>
        <w:rPr>
          <w:iCs/>
          <w:i/>
        </w:rPr>
        <w:t xml:space="preserve">maitrāvaruṇī</w:t>
      </w:r>
      <w:r>
        <w:t xml:space="preserve"> </w:t>
      </w:r>
      <w:r>
        <w:t xml:space="preserve">(Mitra and Varuṇa), the four to the Draviṇodases,</w:t>
      </w:r>
      <w:r>
        <w:t xml:space="preserve"> </w:t>
      </w:r>
      <w:r>
        <w:rPr>
          <w:iCs/>
          <w:i/>
        </w:rPr>
        <w:t xml:space="preserve">āśvinī</w:t>
      </w:r>
      <w:r>
        <w:t xml:space="preserve"> </w:t>
      </w:r>
      <w:r>
        <w:t xml:space="preserve">(the Aśvins),</w:t>
      </w:r>
      <w:r>
        <w:t xml:space="preserve"> </w:t>
      </w:r>
      <w:r>
        <w:rPr>
          <w:iCs/>
          <w:i/>
        </w:rPr>
        <w:t xml:space="preserve">āgneyī</w:t>
      </w:r>
      <w:r>
        <w:t xml:space="preserve"> </w:t>
      </w:r>
      <w:r>
        <w:t xml:space="preserve">(Agni): the Ṛtus are the deities throughout.</w:t>
      </w:r>
      <w:r>
        <w:t xml:space="preserve">’</w:t>
      </w:r>
      <w:r>
        <w:t xml:space="preserve"> </w:t>
      </w:r>
      <w:r>
        <w:t xml:space="preserve">Its application (</w:t>
      </w:r>
      <w:r>
        <w:rPr>
          <w:iCs/>
          <w:i/>
        </w:rPr>
        <w:t xml:space="preserve">viniyoga</w:t>
      </w:r>
      <w:r>
        <w:t xml:space="preserve">) is to be seen from the</w:t>
      </w:r>
      <w:r>
        <w:t xml:space="preserve"> </w:t>
      </w:r>
      <w:r>
        <w:rPr>
          <w:iCs/>
          <w:i/>
        </w:rPr>
        <w:t xml:space="preserve">smārta</w:t>
      </w:r>
      <w:r>
        <w:t xml:space="preserve"> </w:t>
      </w:r>
      <w:r>
        <w:t xml:space="preserve">usage.</w:t>
      </w:r>
      <w:r>
        <w:t xml:space="preserve">”</w:t>
      </w:r>
    </w:p>
    <w:p>
      <w:pPr>
        <w:pStyle w:val="BodyText"/>
      </w:pPr>
      <w:r>
        <w:rPr>
          <w:bCs/>
          <w:b/>
        </w:rPr>
        <w:t xml:space="preserve">॥ Anuvāda (Kannada rendering) ॥</w:t>
      </w:r>
      <w:r>
        <w:t xml:space="preserve"> </w:t>
      </w:r>
      <w:r>
        <w:t xml:space="preserve">The twelve-rik sūkta</w:t>
      </w:r>
      <w:r>
        <w:t xml:space="preserve"> </w:t>
      </w:r>
      <w:r>
        <w:rPr>
          <w:iCs/>
          <w:i/>
        </w:rPr>
        <w:t xml:space="preserve">indra somaṃ piba</w:t>
      </w:r>
      <w:r>
        <w:t xml:space="preserve">, the fourth sūkta of the fourth anuvāka. Its ṛṣi and meter are as in the preceding sūkta. Although all the riks of this sūkta have the Ṛtus as deities, in each rik the deities Indra and others are joined with the Ṛtu. In the Anukramaṇikā:</w:t>
      </w:r>
      <w:r>
        <w:t xml:space="preserve"> </w:t>
      </w:r>
      <w:r>
        <w:t xml:space="preserve">“</w:t>
      </w:r>
      <w:r>
        <w:rPr>
          <w:iCs/>
          <w:i/>
        </w:rPr>
        <w:t xml:space="preserve">indra somam ṛtavyam tatraindrī, mārutī, tvāṣṭrī, āgneyī, aindrī, maitrāvaruṇī</w:t>
      </w:r>
      <w:r>
        <w:t xml:space="preserve">, four [riks] to the</w:t>
      </w:r>
      <w:r>
        <w:t xml:space="preserve"> </w:t>
      </w:r>
      <w:r>
        <w:rPr>
          <w:iCs/>
          <w:i/>
        </w:rPr>
        <w:t xml:space="preserve">draviṇodas</w:t>
      </w:r>
      <w:r>
        <w:t xml:space="preserve">,</w:t>
      </w:r>
      <w:r>
        <w:t xml:space="preserve"> </w:t>
      </w:r>
      <w:r>
        <w:rPr>
          <w:iCs/>
          <w:i/>
        </w:rPr>
        <w:t xml:space="preserve">āśvinī</w:t>
      </w:r>
      <w:r>
        <w:t xml:space="preserve">,</w:t>
      </w:r>
      <w:r>
        <w:t xml:space="preserve"> </w:t>
      </w:r>
      <w:r>
        <w:rPr>
          <w:iCs/>
          <w:i/>
        </w:rPr>
        <w:t xml:space="preserve">āgneyī</w:t>
      </w:r>
      <w:r>
        <w:t xml:space="preserve">; the Ṛtus are the deities in all</w:t>
      </w:r>
      <w:r>
        <w:t xml:space="preserve">”</w:t>
      </w:r>
      <w:r>
        <w:t xml:space="preserve"> </w:t>
      </w:r>
      <w:r>
        <w:t xml:space="preserve">— that is, the whole sūkta is in praise of the Ṛtu-deities. With that Ṛtu, the deities Indra, the Maruts, Tvaṣṭṛ, Agni, Indra, Mitrāvaruṇau [belong] one to each rik; the next four riks have the deity Draviṇodāḥ, and of the remaining two riks the deities are in order the Aśvinau and Agni. The application is to be understood from the</w:t>
      </w:r>
      <w:r>
        <w:t xml:space="preserve"> </w:t>
      </w:r>
      <w:r>
        <w:rPr>
          <w:iCs/>
          <w:i/>
        </w:rPr>
        <w:t xml:space="preserve">smārta</w:t>
      </w:r>
      <w:r>
        <w:t xml:space="preserve"> </w:t>
      </w:r>
      <w:r>
        <w:t xml:space="preserve">usage.</w:t>
      </w:r>
    </w:p>
    <w:bookmarkStart w:id="675" w:name="page-627-sūkta-15-rik-1"/>
    <w:p>
      <w:pPr>
        <w:pStyle w:val="Heading3"/>
      </w:pPr>
      <w:r>
        <w:t xml:space="preserve">Page 627 — Sūkta 15, Rik 1</w:t>
      </w:r>
    </w:p>
    <w:p>
      <w:pPr>
        <w:pStyle w:val="FirstParagraph"/>
      </w:pPr>
      <w:r>
        <w:rPr>
          <w:bCs/>
          <w:b/>
        </w:rPr>
        <w:t xml:space="preserve">॥ ॐ ॥</w:t>
      </w:r>
    </w:p>
    <w:p>
      <w:pPr>
        <w:pStyle w:val="BodyText"/>
      </w:pPr>
      <w:r>
        <w:rPr>
          <w:bCs/>
          <w:b/>
        </w:rPr>
        <w:t xml:space="preserve">॥ Sūkta — 15 ॥</w:t>
      </w:r>
      <w:r>
        <w:t xml:space="preserve"> </w:t>
      </w:r>
      <w:r>
        <w:rPr>
          <w:bCs/>
          <w:b/>
        </w:rPr>
        <w:t xml:space="preserve">॥ Maṇḍala — 1 ॥ Anuvāka — 4 ॥ Sūkta — 15 ॥</w:t>
      </w:r>
      <w:r>
        <w:t xml:space="preserve"> </w:t>
      </w:r>
      <w:r>
        <w:rPr>
          <w:bCs/>
          <w:b/>
        </w:rPr>
        <w:t xml:space="preserve">॥ Aṣṭaka — 1 ॥ Adhyāya — 1 ॥ Varga — 28, 29 ॥</w:t>
      </w:r>
      <w:r>
        <w:t xml:space="preserve"> </w:t>
      </w:r>
      <w:r>
        <w:rPr>
          <w:iCs/>
          <w:i/>
        </w:rPr>
        <w:t xml:space="preserve">(as printed; Sūkta 14 closed with varga 27)</w:t>
      </w:r>
      <w:r>
        <w:t xml:space="preserve"> </w:t>
      </w:r>
      <w:r>
        <w:rPr>
          <w:bCs/>
          <w:b/>
        </w:rPr>
        <w:t xml:space="preserve">॥ Mantras contained in this sūkta: 1–12 ॥</w:t>
      </w:r>
      <w:r>
        <w:t xml:space="preserve"> </w:t>
      </w:r>
      <w:r>
        <w:rPr>
          <w:bCs/>
          <w:b/>
        </w:rPr>
        <w:t xml:space="preserve">॥ Ṛṣi — Medhātithi Kāṇva ॥</w:t>
      </w:r>
      <w:r>
        <w:t xml:space="preserve"> </w:t>
      </w:r>
      <w:r>
        <w:rPr>
          <w:bCs/>
          <w:b/>
        </w:rPr>
        <w:t xml:space="preserve">॥ Devatā —</w:t>
      </w:r>
    </w:p>
    <w:p>
      <w:pPr>
        <w:pStyle w:val="BlockText"/>
      </w:pPr>
      <w:r>
        <w:t xml:space="preserve">ऋतवः । १- इन्द्रः । २- मरुतः । ३- त्वष्टा । ४- अग्निः । ५- इन्द्रः । ६- मित्रावरुणौ । ७-१०- द्रविणोदाः । ११- अश्विनौ । १२- अग्निः ।</w:t>
      </w:r>
    </w:p>
    <w:p>
      <w:pPr>
        <w:pStyle w:val="BlockText"/>
      </w:pPr>
      <w:r>
        <w:rPr>
          <w:iCs/>
          <w:i/>
        </w:rPr>
        <w:t xml:space="preserve">ṛtavaḥ | 1- indraḥ | 2- marutaḥ | 3- tvaṣṭā | 4- agniḥ | 5- indraḥ | 6- mitrāvaruṇau | 7-10- draviṇodāḥ | 11- aśvinau | 12- agniḥ |</w:t>
      </w:r>
    </w:p>
    <w:p>
      <w:pPr>
        <w:pStyle w:val="FirstParagraph"/>
      </w:pPr>
      <w:r>
        <w:rPr>
          <w:iCs/>
          <w:i/>
        </w:rPr>
        <w:t xml:space="preserve">(</w:t>
      </w:r>
      <w:r>
        <w:rPr>
          <w:iCs/>
          <w:i/>
        </w:rPr>
        <w:t xml:space="preserve">“</w:t>
      </w:r>
      <w:r>
        <w:rPr>
          <w:iCs/>
          <w:i/>
        </w:rPr>
        <w:t xml:space="preserve">The Ṛtus; 1 Indra, 2 the Maruts, 3 Tvaṣṭṛ, 4 Agni, 5 Indra, 6 Mitra and Varuṇa, 7–10 Draviṇodāḥ, 11 the Aśvins, 12 Agni.</w:t>
      </w:r>
      <w:r>
        <w:rPr>
          <w:iCs/>
          <w:i/>
        </w:rPr>
        <w:t xml:space="preserve">”</w:t>
      </w:r>
      <w:r>
        <w:rPr>
          <w:iCs/>
          <w:i/>
        </w:rPr>
        <w:t xml:space="preserve">)</w:t>
      </w:r>
      <w:r>
        <w:t xml:space="preserve"> </w:t>
      </w:r>
      <w:r>
        <w:rPr>
          <w:bCs/>
          <w:b/>
        </w:rPr>
        <w:t xml:space="preserve">॥</w:t>
      </w:r>
      <w:r>
        <w:t xml:space="preserve"> </w:t>
      </w:r>
      <w:r>
        <w:rPr>
          <w:bCs/>
          <w:b/>
        </w:rPr>
        <w:t xml:space="preserve">॥ Chandaḥ — Gāyatrī ॥</w:t>
      </w:r>
    </w:p>
    <w:p>
      <w:pPr>
        <w:pStyle w:val="BodyText"/>
      </w:pPr>
      <w:r>
        <w:rPr>
          <w:iCs/>
          <w:i/>
        </w:rPr>
        <w:t xml:space="preserve">(Saṃhitā accents as printed; Pada unaccented. Line 1: the bars stand under द्र, म, ऋ and श, the strokes over ब, त्वा and द, as read at 500 dpi; with the stroke on त्वा the mechanical IAST gives both तु and ना as udātta, which the print does not settle.)</w:t>
      </w:r>
    </w:p>
    <w:p>
      <w:pPr>
        <w:pStyle w:val="BodyText"/>
      </w:pPr>
      <w:r>
        <w:rPr>
          <w:bCs/>
          <w:b/>
        </w:rPr>
        <w:t xml:space="preserve">॥ Saṃhitā-pāṭhaḥ ॥</w:t>
      </w:r>
    </w:p>
    <w:p>
      <w:pPr>
        <w:pStyle w:val="BlockText"/>
      </w:pPr>
      <w:r>
        <w:t xml:space="preserve">इन्द्र॒ सोमं॒ पिब॑ ऋ॒तुना त्वा॑ वि॒शन्त्विन्द॑वः । [accent ?]</w:t>
      </w:r>
      <w:r>
        <w:t xml:space="preserve"> </w:t>
      </w:r>
      <w:r>
        <w:t xml:space="preserve">म॒त्स॒रास॒स्तदो॑कसः ॥१॥</w:t>
      </w:r>
    </w:p>
    <w:p>
      <w:pPr>
        <w:pStyle w:val="BlockText"/>
      </w:pPr>
      <w:r>
        <w:rPr>
          <w:iCs/>
          <w:i/>
        </w:rPr>
        <w:t xml:space="preserve">indra sómaṃ píba ṛtúnā́ tvā viśántv índavaḥ |</w:t>
      </w:r>
      <w:r>
        <w:t xml:space="preserve"> </w:t>
      </w:r>
      <w:r>
        <w:t xml:space="preserve">[accent ?]</w:t>
      </w:r>
      <w:r>
        <w:t xml:space="preserve"> </w:t>
      </w:r>
      <w:r>
        <w:rPr>
          <w:iCs/>
          <w:i/>
        </w:rPr>
        <w:t xml:space="preserve">matsarā́sas tádokasaḥ ||1||</w:t>
      </w:r>
    </w:p>
    <w:p>
      <w:pPr>
        <w:pStyle w:val="FirstParagraph"/>
      </w:pPr>
      <w:r>
        <w:rPr>
          <w:bCs/>
          <w:b/>
        </w:rPr>
        <w:t xml:space="preserve">॥ Pada-pāṭhaḥ ॥</w:t>
      </w:r>
    </w:p>
    <w:p>
      <w:pPr>
        <w:pStyle w:val="BlockText"/>
      </w:pPr>
      <w:r>
        <w:t xml:space="preserve">इन्द्र । सोमम् । पिब । ऋतुना । आ । त्वा । विशन्तु । इन्दवः ॥</w:t>
      </w:r>
      <w:r>
        <w:t xml:space="preserve"> </w:t>
      </w:r>
      <w:r>
        <w:t xml:space="preserve">मत्सरासः । तत्ऽओकसः ॥१॥</w:t>
      </w:r>
    </w:p>
    <w:p>
      <w:pPr>
        <w:pStyle w:val="BlockText"/>
      </w:pPr>
      <w:r>
        <w:rPr>
          <w:iCs/>
          <w:i/>
        </w:rPr>
        <w:t xml:space="preserve">indra | somam | piba | ṛtunā | ā | tvā | viśantu | indavaḥ ||</w:t>
      </w:r>
      <w:r>
        <w:t xml:space="preserve"> </w:t>
      </w:r>
      <w:r>
        <w:rPr>
          <w:iCs/>
          <w:i/>
        </w:rPr>
        <w:t xml:space="preserve">matsarāsaḥ | tat ’okasaḥ ||1||</w:t>
      </w:r>
    </w:p>
    <w:p>
      <w:pPr>
        <w:pStyle w:val="FirstParagraph"/>
      </w:pPr>
      <w:r>
        <w:rPr>
          <w:bCs/>
          <w:b/>
        </w:rPr>
        <w:t xml:space="preserve">॥ Sāyaṇa-bhāṣyam ॥</w:t>
      </w:r>
    </w:p>
    <w:p>
      <w:pPr>
        <w:pStyle w:val="BlockText"/>
      </w:pPr>
      <w:r>
        <w:t xml:space="preserve">हे इन्द्र ऋतुना सह सोमं पिब । इन्दवः पीयमानाः सोमास्त्वा त्वामा विशन्तु । कीदृशाः । मत्सरासस्तृप्तिकरास्तदोकसस्तन्निवासाः । सर्वदा त्वदुदरस्थायिन इत्यर्थः ॥ इन्द्र । षाष्ठिकमामन्त्रिताद्युदात्तत्वं । सोमं । आर्तिस्तुस्वित्या-</w:t>
      </w:r>
    </w:p>
    <w:p>
      <w:pPr>
        <w:pStyle w:val="BlockText"/>
      </w:pPr>
      <w:r>
        <w:rPr>
          <w:iCs/>
          <w:i/>
        </w:rPr>
        <w:t xml:space="preserve">he indra ṛtunā saha somaṃ piba | indavaḥ pīyamānāḥ somāstvā tvāmā viśantu | kīdṛśāḥ | matsarāsastṛptikarāstadokasastannivāsāḥ | sarvadā tvadudarasthāyina ityarthaḥ || indra | ṣāṣṭhikamāmantritādyudāttatvaṃ | somaṃ | ārtistusvityā-</w:t>
      </w:r>
    </w:p>
    <w:bookmarkEnd w:id="675"/>
    <w:bookmarkStart w:id="676" w:name="X5cf363d9747f7a7c67dab0ddb66e17d4dec78b2"/>
    <w:p>
      <w:pPr>
        <w:pStyle w:val="Heading3"/>
      </w:pPr>
      <w:r>
        <w:t xml:space="preserve">Page 628 — Rik 1: bhāṣya (end), word-meanings, overall sense, English, Special Topics</w:t>
      </w:r>
    </w:p>
    <w:p>
      <w:pPr>
        <w:pStyle w:val="BlockText"/>
      </w:pPr>
      <w:r>
        <w:t xml:space="preserve">-दिना मन् । नित्त्वादाद्युदात्तः । पिब । पिबा मित्रस्य । ऋग्वे. १-१४-१० । इत्यत्रोक्तं । अस्य त्वा विशन्त्वित्युत्तरवाक्यगताख्यातार्थेन सह समुच्चयार्थश्चशब्दो लुप्तः । अतश्चादिलोपे विभाषेतीयं प्रथमा तिङ्विभक्तिर्न निहन्यते । विशन्त्विति चलोपसाम्ये ऽपि द्वितीयत्वान्निहन्यत एव । संहितायामाद्गुण इति प्राप्तस्य गुणस्य ऋत्यकः । पा. ६-१-१२८ । इति शाकल्यमते प्रकृतिभावादभावः । इन्दवः । प्र वो भ्रियन्त । ऋग्वे. १-१४-४ [?] । इत्यत्रोक्तं । मत्सरासः । तत्रैवोक्तं । आज्जसेरसुगित्यसुक् । तदोकसः । तदेवौकः स्थानं येषां ते तथोक्ताः । बहुव्रीहौ पूर्वपदप्रकृतिस्वरत्वं ॥</w:t>
      </w:r>
    </w:p>
    <w:p>
      <w:pPr>
        <w:pStyle w:val="BlockText"/>
      </w:pPr>
      <w:r>
        <w:rPr>
          <w:iCs/>
          <w:i/>
        </w:rPr>
        <w:t xml:space="preserve">-dinā man | nittvādādyudāttaḥ | piba | pibā mitrasya | ṛgve. 1-14-10 | ityatroktaṃ | asya tvā viśantvityuttaravākyagatākhyātārthena saha samuccayārthaścaśabdo luptaḥ | ataścādilope vibhāṣetīyaṃ prathamā tiṅvibhaktirna nihanyate | viśantviti calopasāmye ’pi dvitīyatvānnihanyata eva | saṃhitāyāmādguṇa iti prāptasya guṇasya ṛtyakaḥ | pā. 6-1-128 | iti śākalyamate prakṛtibhāvādabhāvaḥ | indavaḥ | pra vo bhriyanta | ṛgve. 1-14-4 [?] | ityatroktaṃ | matsarāsaḥ | tatraivoktaṃ | ājjaserasugityasuk | tadokasaḥ | tadevaukaḥ sthānaṃ yeṣāṃ te tathoktāḥ | bahuvrīhau pūrvapadaprakṛtisvaratvaṃ ||</w:t>
      </w:r>
    </w:p>
    <w:p>
      <w:pPr>
        <w:pStyle w:val="FirstParagraph"/>
      </w:pPr>
      <w:r>
        <w:rPr>
          <w:bCs/>
          <w:b/>
        </w:rPr>
        <w:t xml:space="preserve">Translation:</w:t>
      </w:r>
      <w:r>
        <w:t xml:space="preserve"> </w:t>
      </w:r>
      <w:r>
        <w:t xml:space="preserve">“</w:t>
      </w:r>
      <w:r>
        <w:t xml:space="preserve">O Indra, drink the soma together with the Ṛtu. May the</w:t>
      </w:r>
      <w:r>
        <w:t xml:space="preserve"> </w:t>
      </w:r>
      <w:r>
        <w:rPr>
          <w:iCs/>
          <w:i/>
        </w:rPr>
        <w:t xml:space="preserve">indavaḥ</w:t>
      </w:r>
      <w:r>
        <w:t xml:space="preserve">, the soma juices being drunk,</w:t>
      </w:r>
      <w:r>
        <w:t xml:space="preserve"> </w:t>
      </w:r>
      <w:r>
        <w:rPr>
          <w:iCs/>
          <w:i/>
        </w:rPr>
        <w:t xml:space="preserve">ā viśantu</w:t>
      </w:r>
      <w:r>
        <w:t xml:space="preserve">, enter you. What are they like?</w:t>
      </w:r>
      <w:r>
        <w:t xml:space="preserve"> </w:t>
      </w:r>
      <w:r>
        <w:rPr>
          <w:iCs/>
          <w:i/>
        </w:rPr>
        <w:t xml:space="preserve">Matsarāsaḥ</w:t>
      </w:r>
      <w:r>
        <w:t xml:space="preserve">, causing satisfaction;</w:t>
      </w:r>
      <w:r>
        <w:t xml:space="preserve"> </w:t>
      </w:r>
      <w:r>
        <w:rPr>
          <w:iCs/>
          <w:i/>
        </w:rPr>
        <w:t xml:space="preserve">tadokasaḥ</w:t>
      </w:r>
      <w:r>
        <w:t xml:space="preserve">, having that as their dwelling: the sense is that they always stay in your belly.</w:t>
      </w:r>
      <w:r>
        <w:t xml:space="preserve">”</w:t>
      </w:r>
      <w:r>
        <w:t xml:space="preserve"> </w:t>
      </w:r>
      <w:r>
        <w:t xml:space="preserve">(Grammatical tail:</w:t>
      </w:r>
      <w:r>
        <w:t xml:space="preserve"> </w:t>
      </w:r>
      <w:r>
        <w:rPr>
          <w:iCs/>
          <w:i/>
        </w:rPr>
        <w:t xml:space="preserve">indra</w:t>
      </w:r>
      <w:r>
        <w:t xml:space="preserve">, initial udātta by the</w:t>
      </w:r>
      <w:r>
        <w:t xml:space="preserve"> </w:t>
      </w:r>
      <w:r>
        <w:rPr>
          <w:iCs/>
          <w:i/>
        </w:rPr>
        <w:t xml:space="preserve">ṣāṣṭhika</w:t>
      </w:r>
      <w:r>
        <w:t xml:space="preserve"> </w:t>
      </w:r>
      <w:r>
        <w:t xml:space="preserve">rule;</w:t>
      </w:r>
      <w:r>
        <w:t xml:space="preserve"> </w:t>
      </w:r>
      <w:r>
        <w:rPr>
          <w:iCs/>
          <w:i/>
        </w:rPr>
        <w:t xml:space="preserve">somam</w:t>
      </w:r>
      <w:r>
        <w:t xml:space="preserve"> </w:t>
      </w:r>
      <w:r>
        <w:t xml:space="preserve">with</w:t>
      </w:r>
      <w:r>
        <w:t xml:space="preserve"> </w:t>
      </w:r>
      <w:r>
        <w:rPr>
          <w:iCs/>
          <w:i/>
        </w:rPr>
        <w:t xml:space="preserve">man</w:t>
      </w:r>
      <w:r>
        <w:t xml:space="preserve">, initial udātta;</w:t>
      </w:r>
      <w:r>
        <w:t xml:space="preserve"> </w:t>
      </w:r>
      <w:r>
        <w:rPr>
          <w:iCs/>
          <w:i/>
        </w:rPr>
        <w:t xml:space="preserve">piba</w:t>
      </w:r>
      <w:r>
        <w:t xml:space="preserve">, as said at Ṛ. 1-14-10; the word</w:t>
      </w:r>
      <w:r>
        <w:t xml:space="preserve"> </w:t>
      </w:r>
      <w:r>
        <w:rPr>
          <w:iCs/>
          <w:i/>
        </w:rPr>
        <w:t xml:space="preserve">ca</w:t>
      </w:r>
      <w:r>
        <w:t xml:space="preserve"> </w:t>
      </w:r>
      <w:r>
        <w:t xml:space="preserve">joining it with the verb of the next clause,</w:t>
      </w:r>
      <w:r>
        <w:t xml:space="preserve"> </w:t>
      </w:r>
      <w:r>
        <w:rPr>
          <w:iCs/>
          <w:i/>
        </w:rPr>
        <w:t xml:space="preserve">tvā viśantu</w:t>
      </w:r>
      <w:r>
        <w:t xml:space="preserve">, is dropped, so by</w:t>
      </w:r>
      <w:r>
        <w:t xml:space="preserve"> </w:t>
      </w:r>
      <w:r>
        <w:rPr>
          <w:iCs/>
          <w:i/>
        </w:rPr>
        <w:t xml:space="preserve">cādilope vibhāṣā</w:t>
      </w:r>
      <w:r>
        <w:t xml:space="preserve"> </w:t>
      </w:r>
      <w:r>
        <w:t xml:space="preserve">this first</w:t>
      </w:r>
      <w:r>
        <w:t xml:space="preserve"> </w:t>
      </w:r>
      <w:r>
        <w:rPr>
          <w:iCs/>
          <w:i/>
        </w:rPr>
        <w:t xml:space="preserve">tiṅ</w:t>
      </w:r>
      <w:r>
        <w:t xml:space="preserve"> </w:t>
      </w:r>
      <w:r>
        <w:t xml:space="preserve">form is not lowered, while</w:t>
      </w:r>
      <w:r>
        <w:t xml:space="preserve"> </w:t>
      </w:r>
      <w:r>
        <w:rPr>
          <w:iCs/>
          <w:i/>
        </w:rPr>
        <w:t xml:space="preserve">viśantu</w:t>
      </w:r>
      <w:r>
        <w:t xml:space="preserve">, being the second, is; in the Saṃhitā the</w:t>
      </w:r>
      <w:r>
        <w:t xml:space="preserve"> </w:t>
      </w:r>
      <w:r>
        <w:rPr>
          <w:iCs/>
          <w:i/>
        </w:rPr>
        <w:t xml:space="preserve">guṇa</w:t>
      </w:r>
      <w:r>
        <w:t xml:space="preserve"> </w:t>
      </w:r>
      <w:r>
        <w:t xml:space="preserve">of</w:t>
      </w:r>
      <w:r>
        <w:t xml:space="preserve"> </w:t>
      </w:r>
      <w:r>
        <w:rPr>
          <w:iCs/>
          <w:i/>
        </w:rPr>
        <w:t xml:space="preserve">ād guṇaḥ</w:t>
      </w:r>
      <w:r>
        <w:t xml:space="preserve"> </w:t>
      </w:r>
      <w:r>
        <w:t xml:space="preserve">does not come, by Śākalya’s view in Pā. 6-1-128 (</w:t>
      </w:r>
      <w:r>
        <w:rPr>
          <w:iCs/>
          <w:i/>
        </w:rPr>
        <w:t xml:space="preserve">ṛty akaḥ</w:t>
      </w:r>
      <w:r>
        <w:t xml:space="preserve">);</w:t>
      </w:r>
      <w:r>
        <w:t xml:space="preserve"> </w:t>
      </w:r>
      <w:r>
        <w:rPr>
          <w:iCs/>
          <w:i/>
        </w:rPr>
        <w:t xml:space="preserve">indavaḥ</w:t>
      </w:r>
      <w:r>
        <w:t xml:space="preserve"> </w:t>
      </w:r>
      <w:r>
        <w:t xml:space="preserve">and</w:t>
      </w:r>
      <w:r>
        <w:t xml:space="preserve"> </w:t>
      </w:r>
      <w:r>
        <w:rPr>
          <w:iCs/>
          <w:i/>
        </w:rPr>
        <w:t xml:space="preserve">matsarāsaḥ</w:t>
      </w:r>
      <w:r>
        <w:t xml:space="preserve"> </w:t>
      </w:r>
      <w:r>
        <w:t xml:space="preserve">as said at Ṛ.</w:t>
      </w:r>
      <w:r>
        <w:t xml:space="preserve"> </w:t>
      </w:r>
      <w:r>
        <w:t xml:space="preserve">“</w:t>
      </w:r>
      <w:r>
        <w:t xml:space="preserve">1-14-4</w:t>
      </w:r>
      <w:r>
        <w:t xml:space="preserve">”</w:t>
      </w:r>
      <w:r>
        <w:t xml:space="preserve"> </w:t>
      </w:r>
      <w:r>
        <w:t xml:space="preserve">[?],</w:t>
      </w:r>
      <w:r>
        <w:t xml:space="preserve"> </w:t>
      </w:r>
      <w:r>
        <w:rPr>
          <w:iCs/>
          <w:i/>
        </w:rPr>
        <w:t xml:space="preserve">asuk</w:t>
      </w:r>
      <w:r>
        <w:t xml:space="preserve"> </w:t>
      </w:r>
      <w:r>
        <w:t xml:space="preserve">by</w:t>
      </w:r>
      <w:r>
        <w:t xml:space="preserve"> </w:t>
      </w:r>
      <w:r>
        <w:rPr>
          <w:iCs/>
          <w:i/>
        </w:rPr>
        <w:t xml:space="preserve">ājjaser asuk</w:t>
      </w:r>
      <w:r>
        <w:t xml:space="preserve">;</w:t>
      </w:r>
      <w:r>
        <w:t xml:space="preserve"> </w:t>
      </w:r>
      <w:r>
        <w:rPr>
          <w:iCs/>
          <w:i/>
        </w:rPr>
        <w:t xml:space="preserve">tadokasaḥ</w:t>
      </w:r>
      <w:r>
        <w:t xml:space="preserve">,</w:t>
      </w:r>
      <w:r>
        <w:t xml:space="preserve"> </w:t>
      </w:r>
      <w:r>
        <w:t xml:space="preserve">“</w:t>
      </w:r>
      <w:r>
        <w:t xml:space="preserve">whose dwelling is that</w:t>
      </w:r>
      <w:r>
        <w:t xml:space="preserve">”</w:t>
      </w:r>
      <w:r>
        <w:t xml:space="preserve">, a bahuvrīhi with the first-member accent.)</w:t>
      </w:r>
    </w:p>
    <w:p>
      <w:pPr>
        <w:pStyle w:val="BodyText"/>
      </w:pPr>
      <w:r>
        <w:rPr>
          <w:bCs/>
          <w:b/>
        </w:rPr>
        <w:t xml:space="preserve">॥ Prati-padārthaḥ ॥</w:t>
      </w:r>
    </w:p>
    <w:p>
      <w:pPr>
        <w:pStyle w:val="BodyText"/>
      </w:pPr>
      <w:r>
        <w:rPr>
          <w:bCs/>
          <w:b/>
        </w:rPr>
        <w:t xml:space="preserve">इन्द्र (indra)</w:t>
      </w:r>
      <w:r>
        <w:t xml:space="preserve"> </w:t>
      </w:r>
      <w:r>
        <w:t xml:space="preserve">— O Indra |</w:t>
      </w:r>
      <w:r>
        <w:t xml:space="preserve"> </w:t>
      </w:r>
      <w:r>
        <w:rPr>
          <w:bCs/>
          <w:b/>
        </w:rPr>
        <w:t xml:space="preserve">ऋतुना सह (ṛtunā saha)</w:t>
      </w:r>
      <w:r>
        <w:t xml:space="preserve"> </w:t>
      </w:r>
      <w:r>
        <w:t xml:space="preserve">— together with the Ṛtu deity |</w:t>
      </w:r>
      <w:r>
        <w:t xml:space="preserve"> </w:t>
      </w:r>
      <w:r>
        <w:rPr>
          <w:bCs/>
          <w:b/>
        </w:rPr>
        <w:t xml:space="preserve">सोमम् (somam)</w:t>
      </w:r>
      <w:r>
        <w:t xml:space="preserve"> </w:t>
      </w:r>
      <w:r>
        <w:t xml:space="preserve">— the soma juice |</w:t>
      </w:r>
      <w:r>
        <w:t xml:space="preserve"> </w:t>
      </w:r>
      <w:r>
        <w:rPr>
          <w:bCs/>
          <w:b/>
        </w:rPr>
        <w:t xml:space="preserve">पिब (piba)</w:t>
      </w:r>
      <w:r>
        <w:t xml:space="preserve"> </w:t>
      </w:r>
      <w:r>
        <w:t xml:space="preserve">— drink |</w:t>
      </w:r>
      <w:r>
        <w:t xml:space="preserve"> </w:t>
      </w:r>
      <w:r>
        <w:rPr>
          <w:bCs/>
          <w:b/>
        </w:rPr>
        <w:t xml:space="preserve">मत्सरासः (matsarāsaḥ)</w:t>
      </w:r>
      <w:r>
        <w:t xml:space="preserve"> </w:t>
      </w:r>
      <w:r>
        <w:t xml:space="preserve">— giving satisfaction |</w:t>
      </w:r>
      <w:r>
        <w:t xml:space="preserve"> </w:t>
      </w:r>
      <w:r>
        <w:rPr>
          <w:bCs/>
          <w:b/>
        </w:rPr>
        <w:t xml:space="preserve">इन्दवः (indavaḥ)</w:t>
      </w:r>
      <w:r>
        <w:t xml:space="preserve"> </w:t>
      </w:r>
      <w:r>
        <w:t xml:space="preserve">— the soma juices |</w:t>
      </w:r>
      <w:r>
        <w:t xml:space="preserve"> </w:t>
      </w:r>
      <w:r>
        <w:rPr>
          <w:bCs/>
          <w:b/>
        </w:rPr>
        <w:t xml:space="preserve">तदोकसः (tadokasaḥ)</w:t>
      </w:r>
      <w:r>
        <w:t xml:space="preserve"> </w:t>
      </w:r>
      <w:r>
        <w:t xml:space="preserve">— having your belly as their very dwelling |</w:t>
      </w:r>
      <w:r>
        <w:t xml:space="preserve"> </w:t>
      </w:r>
      <w:r>
        <w:rPr>
          <w:bCs/>
          <w:b/>
        </w:rPr>
        <w:t xml:space="preserve">त्वाम् (tvām)</w:t>
      </w:r>
      <w:r>
        <w:t xml:space="preserve"> </w:t>
      </w:r>
      <w:r>
        <w:t xml:space="preserve">— you (your belly) |</w:t>
      </w:r>
      <w:r>
        <w:t xml:space="preserve"> </w:t>
      </w:r>
      <w:r>
        <w:rPr>
          <w:bCs/>
          <w:b/>
        </w:rPr>
        <w:t xml:space="preserve">आ विशन्तु (ā viśantu)</w:t>
      </w:r>
      <w:r>
        <w:t xml:space="preserve"> </w:t>
      </w:r>
      <w:r>
        <w:t xml:space="preserve">— may they enter.</w:t>
      </w:r>
    </w:p>
    <w:p>
      <w:pPr>
        <w:pStyle w:val="BodyText"/>
      </w:pPr>
      <w:r>
        <w:rPr>
          <w:bCs/>
          <w:b/>
        </w:rPr>
        <w:t xml:space="preserve">॥ Bhāvārthaḥ ॥</w:t>
      </w:r>
    </w:p>
    <w:p>
      <w:pPr>
        <w:pStyle w:val="BodyText"/>
      </w:pPr>
      <w:r>
        <w:t xml:space="preserve">O Indra, drink the soma juice with the Ṛtu deity. It gives you satisfaction. And may it enter your belly so as to stay in your belly always as its home.</w:t>
      </w:r>
    </w:p>
    <w:p>
      <w:pPr>
        <w:pStyle w:val="BodyText"/>
      </w:pPr>
      <w:r>
        <w:rPr>
          <w:bCs/>
          <w:b/>
        </w:rPr>
        <w:t xml:space="preserve">॥ English Translation ॥</w:t>
      </w:r>
      <w:r>
        <w:t xml:space="preserve"> </w:t>
      </w:r>
      <w:r>
        <w:rPr>
          <w:iCs/>
          <w:i/>
        </w:rPr>
        <w:t xml:space="preserve">(as printed in the source)</w:t>
      </w:r>
    </w:p>
    <w:p>
      <w:pPr>
        <w:pStyle w:val="BlockText"/>
      </w:pPr>
      <w:r>
        <w:t xml:space="preserve">Indra, drink with the Ritu (season) the Soma juice; let the satisfying drops enter your stomach and stay there (as if that were their home).</w:t>
      </w:r>
    </w:p>
    <w:p>
      <w:pPr>
        <w:pStyle w:val="FirstParagraph"/>
      </w:pPr>
      <w:r>
        <w:rPr>
          <w:bCs/>
          <w:b/>
        </w:rPr>
        <w:t xml:space="preserve">॥ Viśeṣa-viṣayagaḷu (Special Topics) ॥</w:t>
      </w:r>
    </w:p>
    <w:p>
      <w:pPr>
        <w:pStyle w:val="BodyText"/>
      </w:pPr>
      <w:r>
        <w:rPr>
          <w:bCs/>
          <w:b/>
        </w:rPr>
        <w:t xml:space="preserve">Tadokasaḥ</w:t>
      </w:r>
      <w:r>
        <w:t xml:space="preserve">:</w:t>
      </w:r>
    </w:p>
    <w:p>
      <w:pPr>
        <w:pStyle w:val="BlockText"/>
      </w:pPr>
      <w:r>
        <w:t xml:space="preserve">तन्निवासाः । सर्वदा त्वदुदरस्थायिन इत्यर्थः । तदेवौकः स्थानं येषां ते तदोकसः ॥</w:t>
      </w:r>
    </w:p>
    <w:p>
      <w:pPr>
        <w:pStyle w:val="BlockText"/>
      </w:pPr>
      <w:r>
        <w:rPr>
          <w:iCs/>
          <w:i/>
        </w:rPr>
        <w:t xml:space="preserve">tannivāsāḥ | sarvadā tvadudarasthāyina ityarthaḥ | tadevaukaḥ sthānaṃ yeṣāṃ te tadokasaḥ ||</w:t>
      </w:r>
    </w:p>
    <w:p>
      <w:pPr>
        <w:pStyle w:val="FirstParagraph"/>
      </w:pPr>
      <w:r>
        <w:t xml:space="preserve">That is, your belly, which is that very dwelling, is always the dwelling of the soma juice.</w:t>
      </w:r>
      <w:r>
        <w:t xml:space="preserve"> </w:t>
      </w:r>
      <w:r>
        <w:t xml:space="preserve">“</w:t>
      </w:r>
      <w:r>
        <w:t xml:space="preserve">May the soma juice always be in your belly</w:t>
      </w:r>
      <w:r>
        <w:t xml:space="preserve">”</w:t>
      </w:r>
      <w:r>
        <w:t xml:space="preserve"> </w:t>
      </w:r>
      <w:r>
        <w:t xml:space="preserve">means</w:t>
      </w:r>
      <w:r>
        <w:t xml:space="preserve"> </w:t>
      </w:r>
      <w:r>
        <w:t xml:space="preserve">“</w:t>
      </w:r>
      <w:r>
        <w:t xml:space="preserve">may you always be drinking soma</w:t>
      </w:r>
      <w:r>
        <w:t xml:space="preserve">”</w:t>
      </w:r>
      <w:r>
        <w:t xml:space="preserve">.</w:t>
      </w:r>
    </w:p>
    <w:p>
      <w:pPr>
        <w:pStyle w:val="BodyText"/>
      </w:pPr>
      <w:r>
        <w:rPr>
          <w:bCs/>
          <w:b/>
        </w:rPr>
        <w:t xml:space="preserve">॥ Vyākaraṇa-prakriyā ॥</w:t>
      </w:r>
      <w:r>
        <w:t xml:space="preserve"> </w:t>
      </w:r>
      <w:r>
        <w:rPr>
          <w:iCs/>
          <w:i/>
        </w:rPr>
        <w:t xml:space="preserve">(grammar pages 628–629, noted briefly)</w:t>
      </w:r>
    </w:p>
    <w:p>
      <w:pPr>
        <w:pStyle w:val="BodyText"/>
      </w:pPr>
      <w:r>
        <w:rPr>
          <w:bCs/>
          <w:b/>
        </w:rPr>
        <w:t xml:space="preserve">इन्द्र (</w:t>
      </w:r>
      <w:r>
        <w:rPr>
          <w:iCs/>
          <w:i/>
          <w:bCs/>
          <w:b/>
        </w:rPr>
        <w:t xml:space="preserve">indra</w:t>
      </w:r>
      <w:r>
        <w:rPr>
          <w:bCs/>
          <w:b/>
        </w:rPr>
        <w:t xml:space="preserve">)</w:t>
      </w:r>
      <w:r>
        <w:t xml:space="preserve">: initial udātta by the sixth-adhyāya sūtra</w:t>
      </w:r>
      <w:r>
        <w:t xml:space="preserve"> </w:t>
      </w:r>
      <w:r>
        <w:t xml:space="preserve">“</w:t>
      </w:r>
      <w:r>
        <w:t xml:space="preserve">āmantritasya ca</w:t>
      </w:r>
      <w:r>
        <w:t xml:space="preserve">”</w:t>
      </w:r>
      <w:r>
        <w:t xml:space="preserve"> </w:t>
      </w:r>
      <w:r>
        <w:t xml:space="preserve">(Pā. sū. 6-1-198).</w:t>
      </w:r>
    </w:p>
    <w:bookmarkEnd w:id="676"/>
    <w:bookmarkStart w:id="677" w:name="page-629-rik-1-grammar-end"/>
    <w:p>
      <w:pPr>
        <w:pStyle w:val="Heading3"/>
      </w:pPr>
      <w:r>
        <w:t xml:space="preserve">Page 629 — Rik 1: grammar (end)</w:t>
      </w:r>
    </w:p>
    <w:p>
      <w:pPr>
        <w:pStyle w:val="FirstParagraph"/>
      </w:pPr>
      <w:r>
        <w:rPr>
          <w:bCs/>
          <w:b/>
        </w:rPr>
        <w:t xml:space="preserve">सोमम् (</w:t>
      </w:r>
      <w:r>
        <w:rPr>
          <w:iCs/>
          <w:i/>
          <w:bCs/>
          <w:b/>
        </w:rPr>
        <w:t xml:space="preserve">somam</w:t>
      </w:r>
      <w:r>
        <w:rPr>
          <w:bCs/>
          <w:b/>
        </w:rPr>
        <w:t xml:space="preserve">)</w:t>
      </w:r>
      <w:r>
        <w:t xml:space="preserve">: the suffix</w:t>
      </w:r>
      <w:r>
        <w:t xml:space="preserve"> </w:t>
      </w:r>
      <w:r>
        <w:rPr>
          <w:iCs/>
          <w:i/>
        </w:rPr>
        <w:t xml:space="preserve">man</w:t>
      </w:r>
      <w:r>
        <w:t xml:space="preserve"> </w:t>
      </w:r>
      <w:r>
        <w:t xml:space="preserve">by</w:t>
      </w:r>
      <w:r>
        <w:t xml:space="preserve"> </w:t>
      </w:r>
      <w:r>
        <w:t xml:space="preserve">“</w:t>
      </w:r>
      <w:r>
        <w:t xml:space="preserve">artistusu…</w:t>
      </w:r>
      <w:r>
        <w:t xml:space="preserve">”</w:t>
      </w:r>
      <w:r>
        <w:t xml:space="preserve"> </w:t>
      </w:r>
      <w:r>
        <w:t xml:space="preserve">(Uṇ. sū.</w:t>
      </w:r>
      <w:r>
        <w:t xml:space="preserve"> </w:t>
      </w:r>
      <w:r>
        <w:t xml:space="preserve">“</w:t>
      </w:r>
      <w:r>
        <w:t xml:space="preserve">1-1-36</w:t>
      </w:r>
      <w:r>
        <w:t xml:space="preserve">”</w:t>
      </w:r>
      <w:r>
        <w:t xml:space="preserve"> </w:t>
      </w:r>
      <w:r>
        <w:t xml:space="preserve">[as printed]); being</w:t>
      </w:r>
      <w:r>
        <w:t xml:space="preserve"> </w:t>
      </w:r>
      <w:r>
        <w:rPr>
          <w:iCs/>
          <w:i/>
        </w:rPr>
        <w:t xml:space="preserve">nit</w:t>
      </w:r>
      <w:r>
        <w:t xml:space="preserve">, initial udātta by the</w:t>
      </w:r>
      <w:r>
        <w:t xml:space="preserve"> </w:t>
      </w:r>
      <w:r>
        <w:rPr>
          <w:iCs/>
          <w:i/>
        </w:rPr>
        <w:t xml:space="preserve">nit</w:t>
      </w:r>
      <w:r>
        <w:t xml:space="preserve"> </w:t>
      </w:r>
      <w:r>
        <w:t xml:space="preserve">accent.</w:t>
      </w:r>
    </w:p>
    <w:p>
      <w:pPr>
        <w:pStyle w:val="BodyText"/>
      </w:pPr>
      <w:r>
        <w:rPr>
          <w:bCs/>
          <w:b/>
        </w:rPr>
        <w:t xml:space="preserve">पिब (</w:t>
      </w:r>
      <w:r>
        <w:rPr>
          <w:iCs/>
          <w:i/>
          <w:bCs/>
          <w:b/>
        </w:rPr>
        <w:t xml:space="preserve">piba</w:t>
      </w:r>
      <w:r>
        <w:rPr>
          <w:bCs/>
          <w:b/>
        </w:rPr>
        <w:t xml:space="preserve">)</w:t>
      </w:r>
      <w:r>
        <w:t xml:space="preserve">: explained at</w:t>
      </w:r>
      <w:r>
        <w:t xml:space="preserve"> </w:t>
      </w:r>
      <w:r>
        <w:rPr>
          <w:iCs/>
          <w:i/>
        </w:rPr>
        <w:t xml:space="preserve">pibā mitrasya</w:t>
      </w:r>
      <w:r>
        <w:t xml:space="preserve"> </w:t>
      </w:r>
      <w:r>
        <w:t xml:space="preserve">(Ṛ. Saṃ. 1-14-10). Here the word</w:t>
      </w:r>
      <w:r>
        <w:t xml:space="preserve"> </w:t>
      </w:r>
      <w:r>
        <w:rPr>
          <w:iCs/>
          <w:i/>
        </w:rPr>
        <w:t xml:space="preserve">ca</w:t>
      </w:r>
      <w:r>
        <w:t xml:space="preserve">, which would join it with the verb (</w:t>
      </w:r>
      <w:r>
        <w:rPr>
          <w:iCs/>
          <w:i/>
        </w:rPr>
        <w:t xml:space="preserve">tiṅanta</w:t>
      </w:r>
      <w:r>
        <w:t xml:space="preserve">) of the following clause</w:t>
      </w:r>
      <w:r>
        <w:t xml:space="preserve"> </w:t>
      </w:r>
      <w:r>
        <w:rPr>
          <w:iCs/>
          <w:i/>
        </w:rPr>
        <w:t xml:space="preserve">ā tvā viśantu</w:t>
      </w:r>
      <w:r>
        <w:t xml:space="preserve">, is dropped, that is, not used. So by</w:t>
      </w:r>
      <w:r>
        <w:t xml:space="preserve"> </w:t>
      </w:r>
      <w:r>
        <w:t xml:space="preserve">“</w:t>
      </w:r>
      <w:r>
        <w:t xml:space="preserve">cādilope vibhāṣā</w:t>
      </w:r>
      <w:r>
        <w:t xml:space="preserve">”</w:t>
      </w:r>
      <w:r>
        <w:t xml:space="preserve"> </w:t>
      </w:r>
      <w:r>
        <w:t xml:space="preserve">(Pā. sū. 8-1-63): when</w:t>
      </w:r>
      <w:r>
        <w:t xml:space="preserve"> </w:t>
      </w:r>
      <w:r>
        <w:rPr>
          <w:iCs/>
          <w:i/>
        </w:rPr>
        <w:t xml:space="preserve">ca</w:t>
      </w:r>
      <w:r>
        <w:t xml:space="preserve">,</w:t>
      </w:r>
      <w:r>
        <w:t xml:space="preserve"> </w:t>
      </w:r>
      <w:r>
        <w:rPr>
          <w:iCs/>
          <w:i/>
        </w:rPr>
        <w:t xml:space="preserve">vā</w:t>
      </w:r>
      <w:r>
        <w:t xml:space="preserve">,</w:t>
      </w:r>
      <w:r>
        <w:t xml:space="preserve"> </w:t>
      </w:r>
      <w:r>
        <w:rPr>
          <w:iCs/>
          <w:i/>
        </w:rPr>
        <w:t xml:space="preserve">ha</w:t>
      </w:r>
      <w:r>
        <w:t xml:space="preserve">,</w:t>
      </w:r>
      <w:r>
        <w:t xml:space="preserve"> </w:t>
      </w:r>
      <w:r>
        <w:rPr>
          <w:iCs/>
          <w:i/>
        </w:rPr>
        <w:t xml:space="preserve">aha</w:t>
      </w:r>
      <w:r>
        <w:t xml:space="preserve">,</w:t>
      </w:r>
      <w:r>
        <w:t xml:space="preserve"> </w:t>
      </w:r>
      <w:r>
        <w:rPr>
          <w:iCs/>
          <w:i/>
        </w:rPr>
        <w:t xml:space="preserve">eva</w:t>
      </w:r>
      <w:r>
        <w:t xml:space="preserve"> </w:t>
      </w:r>
      <w:r>
        <w:t xml:space="preserve">are dropped, the first</w:t>
      </w:r>
      <w:r>
        <w:t xml:space="preserve"> </w:t>
      </w:r>
      <w:r>
        <w:rPr>
          <w:iCs/>
          <w:i/>
        </w:rPr>
        <w:t xml:space="preserve">tiṅanta</w:t>
      </w:r>
      <w:r>
        <w:t xml:space="preserve"> </w:t>
      </w:r>
      <w:r>
        <w:t xml:space="preserve">is not unaccented. The śāstra does not enjoin a dropping of</w:t>
      </w:r>
      <w:r>
        <w:t xml:space="preserve"> </w:t>
      </w:r>
      <w:r>
        <w:rPr>
          <w:iCs/>
          <w:i/>
        </w:rPr>
        <w:t xml:space="preserve">ca</w:t>
      </w:r>
      <w:r>
        <w:t xml:space="preserve">,</w:t>
      </w:r>
      <w:r>
        <w:t xml:space="preserve"> </w:t>
      </w:r>
      <w:r>
        <w:rPr>
          <w:iCs/>
          <w:i/>
        </w:rPr>
        <w:t xml:space="preserve">vā</w:t>
      </w:r>
      <w:r>
        <w:t xml:space="preserve"> </w:t>
      </w:r>
      <w:r>
        <w:t xml:space="preserve">and the rest; so</w:t>
      </w:r>
      <w:r>
        <w:t xml:space="preserve"> </w:t>
      </w:r>
      <w:r>
        <w:t xml:space="preserve">“</w:t>
      </w:r>
      <w:r>
        <w:t xml:space="preserve">dropping</w:t>
      </w:r>
      <w:r>
        <w:t xml:space="preserve">”</w:t>
      </w:r>
      <w:r>
        <w:t xml:space="preserve"> </w:t>
      </w:r>
      <w:r>
        <w:t xml:space="preserve">here means not using them: since the sense of</w:t>
      </w:r>
      <w:r>
        <w:t xml:space="preserve"> </w:t>
      </w:r>
      <w:r>
        <w:rPr>
          <w:iCs/>
          <w:i/>
        </w:rPr>
        <w:t xml:space="preserve">ca</w:t>
      </w:r>
      <w:r>
        <w:t xml:space="preserve"> </w:t>
      </w:r>
      <w:r>
        <w:t xml:space="preserve">is understood from the meaning and context,</w:t>
      </w:r>
      <w:r>
        <w:t xml:space="preserve"> </w:t>
      </w:r>
      <w:r>
        <w:rPr>
          <w:iCs/>
          <w:i/>
        </w:rPr>
        <w:t xml:space="preserve">ca</w:t>
      </w:r>
      <w:r>
        <w:t xml:space="preserve"> </w:t>
      </w:r>
      <w:r>
        <w:t xml:space="preserve">and the rest are not used.</w:t>
      </w:r>
      <w:r>
        <w:t xml:space="preserve"> </w:t>
      </w:r>
      <w:r>
        <w:rPr>
          <w:iCs/>
          <w:i/>
        </w:rPr>
        <w:t xml:space="preserve">Ca</w:t>
      </w:r>
      <w:r>
        <w:t xml:space="preserve"> </w:t>
      </w:r>
      <w:r>
        <w:t xml:space="preserve">means conjunction;</w:t>
      </w:r>
      <w:r>
        <w:t xml:space="preserve"> </w:t>
      </w:r>
      <w:r>
        <w:rPr>
          <w:iCs/>
          <w:i/>
        </w:rPr>
        <w:t xml:space="preserve">aha</w:t>
      </w:r>
      <w:r>
        <w:t xml:space="preserve"> </w:t>
      </w:r>
      <w:r>
        <w:t xml:space="preserve">means</w:t>
      </w:r>
      <w:r>
        <w:t xml:space="preserve"> </w:t>
      </w:r>
      <w:r>
        <w:t xml:space="preserve">“</w:t>
      </w:r>
      <w:r>
        <w:t xml:space="preserve">only</w:t>
      </w:r>
      <w:r>
        <w:t xml:space="preserve">”</w:t>
      </w:r>
      <w:r>
        <w:t xml:space="preserve">. When the two</w:t>
      </w:r>
      <w:r>
        <w:t xml:space="preserve"> </w:t>
      </w:r>
      <w:r>
        <w:rPr>
          <w:iCs/>
          <w:i/>
        </w:rPr>
        <w:t xml:space="preserve">tiṅantas</w:t>
      </w:r>
      <w:r>
        <w:t xml:space="preserve"> </w:t>
      </w:r>
      <w:r>
        <w:t xml:space="preserve">have the same agent,</w:t>
      </w:r>
      <w:r>
        <w:t xml:space="preserve"> </w:t>
      </w:r>
      <w:r>
        <w:rPr>
          <w:iCs/>
          <w:i/>
        </w:rPr>
        <w:t xml:space="preserve">ca</w:t>
      </w:r>
      <w:r>
        <w:t xml:space="preserve"> </w:t>
      </w:r>
      <w:r>
        <w:t xml:space="preserve">is dropped; when the agents differ,</w:t>
      </w:r>
      <w:r>
        <w:t xml:space="preserve"> </w:t>
      </w:r>
      <w:r>
        <w:rPr>
          <w:iCs/>
          <w:i/>
        </w:rPr>
        <w:t xml:space="preserve">aha</w:t>
      </w:r>
      <w:r>
        <w:t xml:space="preserve"> </w:t>
      </w:r>
      <w:r>
        <w:t xml:space="preserve">is dropped. This rule holds only when</w:t>
      </w:r>
      <w:r>
        <w:t xml:space="preserve"> </w:t>
      </w:r>
      <w:r>
        <w:rPr>
          <w:iCs/>
          <w:i/>
        </w:rPr>
        <w:t xml:space="preserve">eva</w:t>
      </w:r>
      <w:r>
        <w:t xml:space="preserve">, meaning restriction, is used, not everywhere. Where they are so left unused, the</w:t>
      </w:r>
      <w:r>
        <w:t xml:space="preserve"> </w:t>
      </w:r>
      <w:r>
        <w:rPr>
          <w:iCs/>
          <w:i/>
        </w:rPr>
        <w:t xml:space="preserve">tiṅanta</w:t>
      </w:r>
      <w:r>
        <w:t xml:space="preserve"> </w:t>
      </w:r>
      <w:r>
        <w:t xml:space="preserve">is not lowered. In</w:t>
      </w:r>
      <w:r>
        <w:t xml:space="preserve"> </w:t>
      </w:r>
      <w:r>
        <w:rPr>
          <w:iCs/>
          <w:i/>
        </w:rPr>
        <w:t xml:space="preserve">viśantu</w:t>
      </w:r>
      <w:r>
        <w:t xml:space="preserve"> </w:t>
      </w:r>
      <w:r>
        <w:t xml:space="preserve">too the dropping of</w:t>
      </w:r>
      <w:r>
        <w:t xml:space="preserve"> </w:t>
      </w:r>
      <w:r>
        <w:rPr>
          <w:iCs/>
          <w:i/>
        </w:rPr>
        <w:t xml:space="preserve">ca</w:t>
      </w:r>
      <w:r>
        <w:t xml:space="preserve"> </w:t>
      </w:r>
      <w:r>
        <w:t xml:space="preserve">is alike, but it is not the first</w:t>
      </w:r>
      <w:r>
        <w:t xml:space="preserve"> </w:t>
      </w:r>
      <w:r>
        <w:rPr>
          <w:iCs/>
          <w:i/>
        </w:rPr>
        <w:t xml:space="preserve">tiṅanta</w:t>
      </w:r>
      <w:r>
        <w:t xml:space="preserve">, so it is lowered.</w:t>
      </w:r>
      <w:r>
        <w:t xml:space="preserve"> </w:t>
      </w:r>
      <w:r>
        <w:rPr>
          <w:iCs/>
          <w:i/>
        </w:rPr>
        <w:t xml:space="preserve">Piba</w:t>
      </w:r>
      <w:r>
        <w:t xml:space="preserve"> </w:t>
      </w:r>
      <w:r>
        <w:t xml:space="preserve">+</w:t>
      </w:r>
      <w:r>
        <w:t xml:space="preserve"> </w:t>
      </w:r>
      <w:r>
        <w:rPr>
          <w:iCs/>
          <w:i/>
        </w:rPr>
        <w:t xml:space="preserve">ṛtunā</w:t>
      </w:r>
      <w:r>
        <w:t xml:space="preserve">: in the Saṃhitā</w:t>
      </w:r>
      <w:r>
        <w:t xml:space="preserve"> </w:t>
      </w:r>
      <w:r>
        <w:rPr>
          <w:iCs/>
          <w:i/>
        </w:rPr>
        <w:t xml:space="preserve">guṇa</w:t>
      </w:r>
      <w:r>
        <w:t xml:space="preserve"> </w:t>
      </w:r>
      <w:r>
        <w:t xml:space="preserve">would come by</w:t>
      </w:r>
      <w:r>
        <w:t xml:space="preserve"> </w:t>
      </w:r>
      <w:r>
        <w:t xml:space="preserve">“</w:t>
      </w:r>
      <w:r>
        <w:t xml:space="preserve">ād guṇaḥ</w:t>
      </w:r>
      <w:r>
        <w:t xml:space="preserve">”</w:t>
      </w:r>
      <w:r>
        <w:t xml:space="preserve"> </w:t>
      </w:r>
      <w:r>
        <w:t xml:space="preserve">(Pā. sū. 6-1-87); but</w:t>
      </w:r>
      <w:r>
        <w:t xml:space="preserve"> </w:t>
      </w:r>
      <w:r>
        <w:t xml:space="preserve">“</w:t>
      </w:r>
      <w:r>
        <w:t xml:space="preserve">ṛty akaḥ</w:t>
      </w:r>
      <w:r>
        <w:t xml:space="preserve">”</w:t>
      </w:r>
      <w:r>
        <w:t xml:space="preserve"> </w:t>
      </w:r>
      <w:r>
        <w:t xml:space="preserve">(Pā. sū. 6-1-128): in Śākalya’s view the</w:t>
      </w:r>
      <w:r>
        <w:t xml:space="preserve"> </w:t>
      </w:r>
      <w:r>
        <w:rPr>
          <w:iCs/>
          <w:i/>
        </w:rPr>
        <w:t xml:space="preserve">a</w:t>
      </w:r>
      <w:r>
        <w:t xml:space="preserve">,</w:t>
      </w:r>
      <w:r>
        <w:t xml:space="preserve"> </w:t>
      </w:r>
      <w:r>
        <w:rPr>
          <w:iCs/>
          <w:i/>
        </w:rPr>
        <w:t xml:space="preserve">i</w:t>
      </w:r>
      <w:r>
        <w:t xml:space="preserve">,</w:t>
      </w:r>
      <w:r>
        <w:t xml:space="preserve"> </w:t>
      </w:r>
      <w:r>
        <w:rPr>
          <w:iCs/>
          <w:i/>
        </w:rPr>
        <w:t xml:space="preserve">u</w:t>
      </w:r>
      <w:r>
        <w:t xml:space="preserve">,</w:t>
      </w:r>
      <w:r>
        <w:t xml:space="preserve"> </w:t>
      </w:r>
      <w:r>
        <w:rPr>
          <w:iCs/>
          <w:i/>
        </w:rPr>
        <w:t xml:space="preserve">ṛ</w:t>
      </w:r>
      <w:r>
        <w:t xml:space="preserve"> </w:t>
      </w:r>
      <w:r>
        <w:t xml:space="preserve">at the end of a word before a short</w:t>
      </w:r>
      <w:r>
        <w:t xml:space="preserve"> </w:t>
      </w:r>
      <w:r>
        <w:rPr>
          <w:iCs/>
          <w:i/>
        </w:rPr>
        <w:t xml:space="preserve">ṛ</w:t>
      </w:r>
      <w:r>
        <w:t xml:space="preserve"> </w:t>
      </w:r>
      <w:r>
        <w:t xml:space="preserve">is short (natural form); so the</w:t>
      </w:r>
      <w:r>
        <w:t xml:space="preserve"> </w:t>
      </w:r>
      <w:r>
        <w:rPr>
          <w:iCs/>
          <w:i/>
        </w:rPr>
        <w:t xml:space="preserve">a</w:t>
      </w:r>
      <w:r>
        <w:t xml:space="preserve"> </w:t>
      </w:r>
      <w:r>
        <w:t xml:space="preserve">of</w:t>
      </w:r>
      <w:r>
        <w:t xml:space="preserve"> </w:t>
      </w:r>
      <w:r>
        <w:rPr>
          <w:iCs/>
          <w:i/>
        </w:rPr>
        <w:t xml:space="preserve">piba</w:t>
      </w:r>
      <w:r>
        <w:t xml:space="preserve"> </w:t>
      </w:r>
      <w:r>
        <w:t xml:space="preserve">stays short. By the force of this rule of shortness the</w:t>
      </w:r>
      <w:r>
        <w:t xml:space="preserve"> </w:t>
      </w:r>
      <w:r>
        <w:rPr>
          <w:iCs/>
          <w:i/>
        </w:rPr>
        <w:t xml:space="preserve">guṇa</w:t>
      </w:r>
      <w:r>
        <w:t xml:space="preserve"> </w:t>
      </w:r>
      <w:r>
        <w:t xml:space="preserve">does not come; the commentators explain it as natural form with this result in mind.</w:t>
      </w:r>
    </w:p>
    <w:p>
      <w:pPr>
        <w:pStyle w:val="BodyText"/>
      </w:pPr>
      <w:r>
        <w:rPr>
          <w:bCs/>
          <w:b/>
        </w:rPr>
        <w:t xml:space="preserve">इन्दवः (</w:t>
      </w:r>
      <w:r>
        <w:rPr>
          <w:iCs/>
          <w:i/>
          <w:bCs/>
          <w:b/>
        </w:rPr>
        <w:t xml:space="preserve">indavaḥ</w:t>
      </w:r>
      <w:r>
        <w:rPr>
          <w:bCs/>
          <w:b/>
        </w:rPr>
        <w:t xml:space="preserve">)</w:t>
      </w:r>
      <w:r>
        <w:t xml:space="preserve">: its formation is set out at the mantra</w:t>
      </w:r>
      <w:r>
        <w:t xml:space="preserve"> </w:t>
      </w:r>
      <w:r>
        <w:rPr>
          <w:iCs/>
          <w:i/>
        </w:rPr>
        <w:t xml:space="preserve">pra vo bhriyanta indavaḥ</w:t>
      </w:r>
      <w:r>
        <w:t xml:space="preserve"> </w:t>
      </w:r>
      <w:r>
        <w:t xml:space="preserve">(Ṛ. Saṃ. 1-14-4). Here the augment</w:t>
      </w:r>
      <w:r>
        <w:t xml:space="preserve"> </w:t>
      </w:r>
      <w:r>
        <w:rPr>
          <w:iCs/>
          <w:i/>
        </w:rPr>
        <w:t xml:space="preserve">asuk</w:t>
      </w:r>
      <w:r>
        <w:t xml:space="preserve"> </w:t>
      </w:r>
      <w:r>
        <w:t xml:space="preserve">comes by</w:t>
      </w:r>
      <w:r>
        <w:t xml:space="preserve"> </w:t>
      </w:r>
      <w:r>
        <w:t xml:space="preserve">“</w:t>
      </w:r>
      <w:r>
        <w:t xml:space="preserve">ājjaser asuk</w:t>
      </w:r>
      <w:r>
        <w:t xml:space="preserve">”</w:t>
      </w:r>
      <w:r>
        <w:t xml:space="preserve"> </w:t>
      </w:r>
      <w:r>
        <w:t xml:space="preserve">(Pā. sū. 7-1-50) [for</w:t>
      </w:r>
      <w:r>
        <w:t xml:space="preserve"> </w:t>
      </w:r>
      <w:r>
        <w:rPr>
          <w:iCs/>
          <w:i/>
        </w:rPr>
        <w:t xml:space="preserve">matsarāsaḥ</w:t>
      </w:r>
      <w:r>
        <w:t xml:space="preserve">].</w:t>
      </w:r>
    </w:p>
    <w:p>
      <w:pPr>
        <w:pStyle w:val="BodyText"/>
      </w:pPr>
      <w:r>
        <w:rPr>
          <w:bCs/>
          <w:b/>
        </w:rPr>
        <w:t xml:space="preserve">तदोकसः (</w:t>
      </w:r>
      <w:r>
        <w:rPr>
          <w:iCs/>
          <w:i/>
          <w:bCs/>
          <w:b/>
        </w:rPr>
        <w:t xml:space="preserve">tadokasaḥ</w:t>
      </w:r>
      <w:r>
        <w:rPr>
          <w:bCs/>
          <w:b/>
        </w:rPr>
        <w:t xml:space="preserve">)</w:t>
      </w:r>
      <w:r>
        <w:t xml:space="preserve">:</w:t>
      </w:r>
      <w:r>
        <w:t xml:space="preserve"> </w:t>
      </w:r>
      <w:r>
        <w:rPr>
          <w:iCs/>
          <w:i/>
        </w:rPr>
        <w:t xml:space="preserve">tat okaḥ sthānaṃ yeṣāṃ te tadokasaḥ</w:t>
      </w:r>
      <w:r>
        <w:t xml:space="preserve">: the soma juices whose dwelling is Indra’s belly itself. Being a bahuvrīhi compound, by</w:t>
      </w:r>
      <w:r>
        <w:t xml:space="preserve"> </w:t>
      </w:r>
      <w:r>
        <w:t xml:space="preserve">“</w:t>
      </w:r>
      <w:r>
        <w:t xml:space="preserve">bahuvrīhau prakṛtyā pūrvapadam</w:t>
      </w:r>
      <w:r>
        <w:t xml:space="preserve">”</w:t>
      </w:r>
      <w:r>
        <w:t xml:space="preserve"> </w:t>
      </w:r>
      <w:r>
        <w:t xml:space="preserve">(Pā. sū. 6-2-1) the first-member accent comes.</w:t>
      </w:r>
    </w:p>
    <w:p>
      <w:pPr>
        <w:pStyle w:val="BodyText"/>
      </w:pPr>
      <w:r>
        <w:rPr>
          <w:bCs/>
          <w:b/>
        </w:rPr>
        <w:t xml:space="preserve">॥१॥</w:t>
      </w:r>
    </w:p>
    <w:p>
      <w:r>
        <w:pict>
          <v:rect style="width:0;height:1.5pt" o:hralign="center" o:hrstd="t" o:hr="t"/>
        </w:pict>
      </w:r>
    </w:p>
    <w:bookmarkEnd w:id="677"/>
    <w:bookmarkStart w:id="678" w:name="page-629-lower-sūkta-15-rik-2"/>
    <w:p>
      <w:pPr>
        <w:pStyle w:val="Heading3"/>
      </w:pPr>
      <w:r>
        <w:t xml:space="preserve">Page 629 (lower) — Sūkta 15, Rik 2</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मरु॑तः॒ पिब॑त ऋ॒तुना॑ पो॒त्राद्य॒ज्ञं पु॑नीतन ।</w:t>
      </w:r>
      <w:r>
        <w:t xml:space="preserve"> </w:t>
      </w:r>
      <w:r>
        <w:t xml:space="preserve">यू॒यं हि ष्ठा सु॑दानवः ॥२॥ [accent ?]</w:t>
      </w:r>
    </w:p>
    <w:p>
      <w:pPr>
        <w:pStyle w:val="BlockText"/>
      </w:pPr>
      <w:r>
        <w:rPr>
          <w:iCs/>
          <w:i/>
        </w:rPr>
        <w:t xml:space="preserve">márutaḥ píbata ṛtúnā potrā́d yajñáṃ punītana |</w:t>
      </w:r>
      <w:r>
        <w:t xml:space="preserve"> </w:t>
      </w:r>
      <w:r>
        <w:rPr>
          <w:iCs/>
          <w:i/>
        </w:rPr>
        <w:t xml:space="preserve">yūyáṃ hi ṣṭhā́ sudānavaḥ ||2||</w:t>
      </w:r>
      <w:r>
        <w:t xml:space="preserve"> </w:t>
      </w:r>
      <w:r>
        <w:t xml:space="preserve">[accent ?]</w:t>
      </w:r>
    </w:p>
    <w:p>
      <w:pPr>
        <w:pStyle w:val="FirstParagraph"/>
      </w:pPr>
      <w:r>
        <w:rPr>
          <w:iCs/>
          <w:i/>
        </w:rPr>
        <w:t xml:space="preserve">(Line 2: the foot of the page cuts off any bars; only the stroke over सु is legible.)</w:t>
      </w:r>
    </w:p>
    <w:bookmarkEnd w:id="678"/>
    <w:bookmarkStart w:id="679" w:name="page-630-rik-2-pada-and-bhāṣya"/>
    <w:p>
      <w:pPr>
        <w:pStyle w:val="Heading3"/>
      </w:pPr>
      <w:r>
        <w:t xml:space="preserve">Page 630 — Rik 2: Pada and bhāṣya</w:t>
      </w:r>
    </w:p>
    <w:p>
      <w:pPr>
        <w:pStyle w:val="FirstParagraph"/>
      </w:pPr>
      <w:r>
        <w:rPr>
          <w:bCs/>
          <w:b/>
        </w:rPr>
        <w:t xml:space="preserve">॥ Pada-pāṭhaḥ ॥</w:t>
      </w:r>
    </w:p>
    <w:p>
      <w:pPr>
        <w:pStyle w:val="BlockText"/>
      </w:pPr>
      <w:r>
        <w:t xml:space="preserve">मरुतः । पिबत । ऋतुना । पोत्रात् । यज्ञम् । पुनीतन ॥</w:t>
      </w:r>
      <w:r>
        <w:t xml:space="preserve"> </w:t>
      </w:r>
      <w:r>
        <w:t xml:space="preserve">यूयम् । हि । स्थ । सुऽदानवः ॥२॥</w:t>
      </w:r>
    </w:p>
    <w:p>
      <w:pPr>
        <w:pStyle w:val="BlockText"/>
      </w:pPr>
      <w:r>
        <w:rPr>
          <w:iCs/>
          <w:i/>
        </w:rPr>
        <w:t xml:space="preserve">marutaḥ | pibata | ṛtunā | potrāt | yajñam | punītana ||</w:t>
      </w:r>
      <w:r>
        <w:t xml:space="preserve"> </w:t>
      </w:r>
      <w:r>
        <w:rPr>
          <w:iCs/>
          <w:i/>
        </w:rPr>
        <w:t xml:space="preserve">yūyam | hi | stha | su ’dānavaḥ ||2||</w:t>
      </w:r>
    </w:p>
    <w:p>
      <w:pPr>
        <w:pStyle w:val="FirstParagraph"/>
      </w:pPr>
      <w:r>
        <w:rPr>
          <w:bCs/>
          <w:b/>
        </w:rPr>
        <w:t xml:space="preserve">॥ Sāyaṇa-bhāṣyam ॥</w:t>
      </w:r>
    </w:p>
    <w:p>
      <w:pPr>
        <w:pStyle w:val="BlockText"/>
      </w:pPr>
      <w:r>
        <w:t xml:space="preserve">हे मरुत ऋतुना सह पोत्रात्पोतृनामकस्य ऋत्विजः पात्रात्सोमं पिबत । ततो ऽस्मदीयं यज्ञं पुनीतन । शोधयत । हे सुदानवः शोभनदातारो मरुतः । हि यस्माद्यूयं स्थ युष्माकं शोधयितृत्वं प्रसिद्धं । तस्माच्छोधयतेत्यर्थः ॥ पिबत । अत्र तिङो ऽदुपदेशाच्छपः परत्वाल्लसार्वधातुकानुदात्तत्वं । धातुस्वरः । पूर्वामन्त्रितस्याविद्यमानवत्त्वेन पदादपरत्वान्निघाताभावः । पूर्ववत्प्रकृतिभावः । पोत्रात् । पोतुः सम्बन्धि पात्रं पोत्रं । तस्येदमित्यण् । तद्धितेष्वचामादेः । पा. ७-२-११७ । इति प्राप्ता वृद्धिः सर्वे विधयश्छन्दसि विकल्प्यन्त इति न भवति । नन्वेवमन्त्यस्य ऋकारस्याचो ञ्णिति । पा. ७-२-११५ । इति वृद्धिः प्राप्नोति । त्वाष्ट्रो जागत इत्यत्र हि विप्रतिषेधे परं कार्यं । पा. १-४-२ । इति परयादिवृद्ध्यान्त्योपधलक्षणा वृद्धिर्बाध्यत इत्युक्तं । इह तु परस्या आदिवृद्धेश्छान्दसत्वेन निवृत्तत्वादन्त्यवृद्धिः प्राप्नोत्येवेति । एवं तर्ह्यत्राप्यादिवृद्धिरौकारः क्रियतां । तस्य तु छान्दस ओकारो भविष्यति । पुनीतन । पूञ् पवने । लोट् । लोटो लङ्वत् । पा. ३-४-८५ । इति लङ्वद्भावात्तस्य तस्थस्थमिपामिति तादेशः । क्र्यादिभ्यः श्ना । ई हल्यघोरितीकारः । तप्तनप्तनथनाश्चेति तनादेशः । प्वादीनां ह्रस्व इति ह्रस्वः । प्रत्ययद्वयस्यापि सार्वधातुकमपिदिति ङित्त्वात्तत्पूर्वयोरिकोर्गुणाभावः । यूयं । युष्मदः परस्य जसो ङे प्रथमयोरम् । पा. ७-१-२८ । इत्यमादेशः । न विभक्तौ तुस्माः । पा. १-३-४ । इति मकारस्येत्संज्ञाप्रतिषेधः । यूयवयौ जसि । पा. ७-२-९३ । इति मपर्यन्तस्य यूयादेशः । शेषे लोपः । अत्र यूयादेशात्प्रा-</w:t>
      </w:r>
    </w:p>
    <w:p>
      <w:pPr>
        <w:pStyle w:val="BlockText"/>
      </w:pPr>
      <w:r>
        <w:rPr>
          <w:iCs/>
          <w:i/>
        </w:rPr>
        <w:t xml:space="preserve">he maruta ṛtunā saha potrātpotṛnāmakasya ṛtvijaḥ pātrātsomaṃ pibata | tato ’smadīyaṃ yajñaṃ punītana | śodhayata | he sudānavaḥ śobhanadātāro marutaḥ | hi yasmādyūyaṃ stha yuṣmākaṃ śodhayitṛtvaṃ prasiddhaṃ | tasmācchodhayatetyarthaḥ || pibata | atra tiṅo ’dupadeśācchapaḥ paratvāllasārvadhātukānudāttatvaṃ | dhātusvaraḥ | pūrvāmantritasyāvidyamānavattvena padādaparatvānnighātābhāvaḥ | pūrvavatprakṛtibhāvaḥ | potrāt | potuḥ sambandhi pātraṃ potraṃ | tasyedamityaṇ | taddhiteṣvacāmādeḥ | pā. 7-2-117 | iti prāptā vṛddhiḥ sarve vidhayaśchandasi vikalpyanta iti na bhavati | nanvevamantyasya ṛkārasyāco ñṇiti | pā. 7-2-115 | iti vṛddhiḥ prāpnoti | tvāṣṭro jāgata ityatra hi vipratiṣedhe paraṃ kāryaṃ | pā. 1-4-2 | iti parayādivṛddhyāntyopadhalakṣaṇā vṛddhirbādhyata ityuktaṃ | iha tu parasyā ādivṛddheśchāndasatvena nivṛttatvādantyavṛddhiḥ prāpnotyeveti | evaṃ tarhyatrāpyādivṛddhiraukāraḥ kriyatāṃ | tasya tu chāndasa okāro bhaviṣyati | punītana | pūñ pavane | loṭ | loṭo laṅvat | pā. 3-4-85 | iti laṅvadbhāvāttasya tasthasthamipāmiti tādeśaḥ | kryādibhyaḥ śnā | ī halyaghoritīkāraḥ | taptanaptanathanāśceti tanādeśaḥ | pvādīnāṃ hrasva iti hrasvaḥ | pratyayadvayasyāpi sārvadhātukamapiditi ṅittvāttatpūrvayorikorguṇābhāvaḥ | yūyaṃ | yuṣmadaḥ parasya jaso ṅe prathamayoram | pā. 7-1-28 | ityamādeśaḥ | na vibhaktau tusmāḥ | pā. 1-3-4 | iti makārasyetsaṃjñāpratiṣedhaḥ | yūyavayau jasi | pā. 7-2-93 | iti maparyantasya yūyādeśaḥ | śeṣe lopaḥ | atra yūyādeśātprā-</w:t>
      </w:r>
    </w:p>
    <w:bookmarkEnd w:id="679"/>
    <w:bookmarkStart w:id="680" w:name="X5e01d06f6574879694466be5bb4f9543db97ca0"/>
    <w:p>
      <w:pPr>
        <w:pStyle w:val="Heading3"/>
      </w:pPr>
      <w:r>
        <w:t xml:space="preserve">Page 631 — Rik 2: bhāṣya (end), word-meanings, overall sense, English, Special Topics</w:t>
      </w:r>
    </w:p>
    <w:p>
      <w:pPr>
        <w:pStyle w:val="BlockText"/>
      </w:pPr>
      <w:r>
        <w:t xml:space="preserve">-गेवान्तरङ्गत्वात्प्रातिपदिकस्यान्तोदात्तत्वं । शेषनिघातः । ततो यूयादेशः स्थाने ऽन्तरतमः । पा. १-१-५० । इति सर्वानुदात्तः । तत्र शेषे लोपो ऽन्त्यलोप इति पक्षे पूर्वसवर्णदीर्घत्वं बाधित्वा यो ऽयममि पूर्वः । पा. ६-१-१०७ । इति प्रातिपदिकान्तेनोदात्तेन सहानुदात्तस्य सुप एकादेशः स एकादेश उदात्तेनोदात्त इत्युदात्तः । टिलोपपक्षे तूदात्तनिवृत्तिस्वरेण विभक्तेरुदात्तत्वं । स्थ । अस भुवि । लटो मध्यमबहुवचनं थ । अदिप्रभृतिभ्यः शप इति शपो लुक् । श्नसोरल्लोप इत्यकारलोपः । व्यत्ययेन षत्वं । हि चेति निषेधात्तिङ्ङतिङ इति निघातो न भवति । संहिता-</w:t>
      </w:r>
    </w:p>
    <w:p>
      <w:pPr>
        <w:pStyle w:val="BlockText"/>
      </w:pPr>
      <w:r>
        <w:rPr>
          <w:iCs/>
          <w:i/>
        </w:rPr>
        <w:t xml:space="preserve">-gevāntaraṅgatvātprātipadikasyāntodāttatvaṃ | śeṣanighātaḥ | tato yūyādeśaḥ sthāne ’ntaratamaḥ | pā. 1-1-50 | iti sarvānudāttaḥ | tatra śeṣe lopo ’ntyalopa iti pakṣe pūrvasavarṇadīrghatvaṃ bādhitvā yo ’yamami pūrvaḥ | pā. 6-1-107 | iti prātipadikāntenodāttena sahānudāttasya supa ekādeśaḥ sa ekādeśa udāttenodātta ityudāttaḥ | ṭilopapakṣe tūdāttanivṛttisvareṇa vibhakterudāttatvaṃ | stha | asa bhuvi | laṭo madhyamabahuvacanaṃ tha | adiprabhṛtibhyaḥ śapa iti śapo luk | śnasorallopa ityakāralopaḥ | vyatyayena ṣatvaṃ | hi ceti niṣedhāttiṅṅatiṅa iti nighāto na bhavati | saṃhitā-</w:t>
      </w:r>
    </w:p>
    <w:p>
      <w:pPr>
        <w:pStyle w:val="BlockText"/>
      </w:pPr>
      <w:r>
        <w:t xml:space="preserve">-यामन्येषामपि दृश्यत इति दीर्घत्वं । अत्र हे सुदानवो यूयं हि स्थेति विवक्षितं । सुदानवः । दाभाभ्यां नुः । उ. ३-३२ । सोः प्रादिसमासः । आमन्त्रितनिघातः । अत्र यूयमित्युद्दिश्य सुदानवः स्थेति न विधीयते येनानामन्त्रितत्वान्निघातो न स्यात् । किन्तु सुदानव इति सिद्धवद्दातृत्वेन सम्बोध्य तेषु तेषु मारुतसूक्तेषु मरुतां प्रसिद्धात्प्रभावातिशयाद्यूयं स्थेति युष्मच्छब्देन प्रतिनिर्दिश्य पुनीतनेति प्रार्थने पवने तेषां हेतुत्वं हिशब्देनोच्यते ॥</w:t>
      </w:r>
    </w:p>
    <w:p>
      <w:pPr>
        <w:pStyle w:val="BlockText"/>
      </w:pPr>
      <w:r>
        <w:rPr>
          <w:iCs/>
          <w:i/>
        </w:rPr>
        <w:t xml:space="preserve">-yāmanyeṣāmapi dṛśyata iti dīrghatvaṃ | atra he sudānavo yūyaṃ hi stheti vivakṣitaṃ | sudānavaḥ | dābhābhyāṃ nuḥ | u. 3-32 | soḥ prādisamāsaḥ | āmantritanighātaḥ | atra yūyamityuddiśya sudānavaḥ stheti na vidhīyate yenānāmantritatvānnighāto na syāt | kintu sudānava iti siddhavaddātṛtvena sambodhya teṣu teṣu mārutasūkteṣu marutāṃ prasiddhātprabhāvātiśayādyūyaṃ stheti yuṣmacchabdena pratinirdiśya punītaneti prārthane pavane teṣāṃ hetutvaṃ hiśabdenocyate ||</w:t>
      </w:r>
    </w:p>
    <w:p>
      <w:pPr>
        <w:pStyle w:val="FirstParagraph"/>
      </w:pPr>
      <w:r>
        <w:rPr>
          <w:bCs/>
          <w:b/>
        </w:rPr>
        <w:t xml:space="preserve">Translation:</w:t>
      </w:r>
      <w:r>
        <w:t xml:space="preserve"> </w:t>
      </w:r>
      <w:r>
        <w:t xml:space="preserve">“</w:t>
      </w:r>
      <w:r>
        <w:t xml:space="preserve">O Maruts, together with the Ṛtu, drink the soma from the vessel of the priest called Potṛ. Then</w:t>
      </w:r>
      <w:r>
        <w:t xml:space="preserve"> </w:t>
      </w:r>
      <w:r>
        <w:rPr>
          <w:iCs/>
          <w:i/>
        </w:rPr>
        <w:t xml:space="preserve">punītana</w:t>
      </w:r>
      <w:r>
        <w:t xml:space="preserve">, purify, our sacrifice. O</w:t>
      </w:r>
      <w:r>
        <w:t xml:space="preserve"> </w:t>
      </w:r>
      <w:r>
        <w:rPr>
          <w:iCs/>
          <w:i/>
        </w:rPr>
        <w:t xml:space="preserve">sudānavaḥ</w:t>
      </w:r>
      <w:r>
        <w:t xml:space="preserve">, good givers, Maruts: for</w:t>
      </w:r>
      <w:r>
        <w:t xml:space="preserve"> </w:t>
      </w:r>
      <w:r>
        <w:rPr>
          <w:iCs/>
          <w:i/>
        </w:rPr>
        <w:t xml:space="preserve">hi</w:t>
      </w:r>
      <w:r>
        <w:t xml:space="preserve">, since, you are (such); your power to purify is well known; so purify: that is the sense.</w:t>
      </w:r>
      <w:r>
        <w:t xml:space="preserve">”</w:t>
      </w:r>
      <w:r>
        <w:t xml:space="preserve"> </w:t>
      </w:r>
      <w:r>
        <w:t xml:space="preserve">(Grammatical tail:</w:t>
      </w:r>
      <w:r>
        <w:t xml:space="preserve"> </w:t>
      </w:r>
      <w:r>
        <w:rPr>
          <w:iCs/>
          <w:i/>
        </w:rPr>
        <w:t xml:space="preserve">pibata</w:t>
      </w:r>
      <w:r>
        <w:t xml:space="preserve">: the ending unaccented after the</w:t>
      </w:r>
      <w:r>
        <w:t xml:space="preserve"> </w:t>
      </w:r>
      <w:r>
        <w:rPr>
          <w:iCs/>
          <w:i/>
        </w:rPr>
        <w:t xml:space="preserve">śap</w:t>
      </w:r>
      <w:r>
        <w:t xml:space="preserve"> </w:t>
      </w:r>
      <w:r>
        <w:t xml:space="preserve">of</w:t>
      </w:r>
      <w:r>
        <w:t xml:space="preserve"> </w:t>
      </w:r>
      <w:r>
        <w:rPr>
          <w:iCs/>
          <w:i/>
        </w:rPr>
        <w:t xml:space="preserve">adupadeśa</w:t>
      </w:r>
      <w:r>
        <w:t xml:space="preserve">, the root accent; not lowered, since the vocative before it counts as absent and it is not after a word; natural form as before;</w:t>
      </w:r>
      <w:r>
        <w:t xml:space="preserve"> </w:t>
      </w:r>
      <w:r>
        <w:rPr>
          <w:iCs/>
          <w:i/>
        </w:rPr>
        <w:t xml:space="preserve">potrāt</w:t>
      </w:r>
      <w:r>
        <w:t xml:space="preserve">,</w:t>
      </w:r>
      <w:r>
        <w:t xml:space="preserve"> </w:t>
      </w:r>
      <w:r>
        <w:t xml:space="preserve">“</w:t>
      </w:r>
      <w:r>
        <w:t xml:space="preserve">the Potṛ’s vessel</w:t>
      </w:r>
      <w:r>
        <w:t xml:space="preserve">”</w:t>
      </w:r>
      <w:r>
        <w:t xml:space="preserve">,</w:t>
      </w:r>
      <w:r>
        <w:t xml:space="preserve"> </w:t>
      </w:r>
      <w:r>
        <w:rPr>
          <w:iCs/>
          <w:i/>
        </w:rPr>
        <w:t xml:space="preserve">aṇ</w:t>
      </w:r>
      <w:r>
        <w:t xml:space="preserve">; the initial</w:t>
      </w:r>
      <w:r>
        <w:t xml:space="preserve"> </w:t>
      </w:r>
      <w:r>
        <w:rPr>
          <w:iCs/>
          <w:i/>
        </w:rPr>
        <w:t xml:space="preserve">vṛddhi</w:t>
      </w:r>
      <w:r>
        <w:t xml:space="preserve"> </w:t>
      </w:r>
      <w:r>
        <w:t xml:space="preserve">(Pā. 7-2-117) is optional in the Veda and does not come; then the final</w:t>
      </w:r>
      <w:r>
        <w:t xml:space="preserve"> </w:t>
      </w:r>
      <w:r>
        <w:rPr>
          <w:iCs/>
          <w:i/>
        </w:rPr>
        <w:t xml:space="preserve">vṛddhi</w:t>
      </w:r>
      <w:r>
        <w:t xml:space="preserve"> </w:t>
      </w:r>
      <w:r>
        <w:t xml:space="preserve">of Pā. 7-2-115 would come (in</w:t>
      </w:r>
      <w:r>
        <w:t xml:space="preserve"> </w:t>
      </w:r>
      <w:r>
        <w:rPr>
          <w:iCs/>
          <w:i/>
        </w:rPr>
        <w:t xml:space="preserve">tvāṣṭro jāgataḥ</w:t>
      </w:r>
      <w:r>
        <w:t xml:space="preserve"> </w:t>
      </w:r>
      <w:r>
        <w:t xml:space="preserve">it is overridden by the later initial</w:t>
      </w:r>
      <w:r>
        <w:t xml:space="preserve"> </w:t>
      </w:r>
      <w:r>
        <w:rPr>
          <w:iCs/>
          <w:i/>
        </w:rPr>
        <w:t xml:space="preserve">vṛddhi</w:t>
      </w:r>
      <w:r>
        <w:t xml:space="preserve">, Pā. 1-4-2, but here that later rule is withdrawn as Vedic);</w:t>
      </w:r>
      <w:r>
        <w:t xml:space="preserve"> </w:t>
      </w:r>
      <w:r>
        <w:t xml:space="preserve">“</w:t>
      </w:r>
      <w:r>
        <w:t xml:space="preserve">then let the initial</w:t>
      </w:r>
      <w:r>
        <w:t xml:space="preserve"> </w:t>
      </w:r>
      <w:r>
        <w:rPr>
          <w:iCs/>
          <w:i/>
        </w:rPr>
        <w:t xml:space="preserve">vṛddhi</w:t>
      </w:r>
      <w:r>
        <w:t xml:space="preserve"> </w:t>
      </w:r>
      <w:r>
        <w:rPr>
          <w:iCs/>
          <w:i/>
        </w:rPr>
        <w:t xml:space="preserve">au</w:t>
      </w:r>
      <w:r>
        <w:t xml:space="preserve"> </w:t>
      </w:r>
      <w:r>
        <w:t xml:space="preserve">be made here too, and it will become a Vedic</w:t>
      </w:r>
      <w:r>
        <w:t xml:space="preserve"> </w:t>
      </w:r>
      <w:r>
        <w:rPr>
          <w:iCs/>
          <w:i/>
        </w:rPr>
        <w:t xml:space="preserve">o</w:t>
      </w:r>
      <w:r>
        <w:t xml:space="preserve">”</w:t>
      </w:r>
      <w:r>
        <w:t xml:space="preserve">;</w:t>
      </w:r>
      <w:r>
        <w:t xml:space="preserve"> </w:t>
      </w:r>
      <w:r>
        <w:rPr>
          <w:iCs/>
          <w:i/>
        </w:rPr>
        <w:t xml:space="preserve">punītana</w:t>
      </w:r>
      <w:r>
        <w:t xml:space="preserve">:</w:t>
      </w:r>
      <w:r>
        <w:t xml:space="preserve"> </w:t>
      </w:r>
      <w:r>
        <w:rPr>
          <w:iCs/>
          <w:i/>
        </w:rPr>
        <w:t xml:space="preserve">pū</w:t>
      </w:r>
      <w:r>
        <w:t xml:space="preserve"> </w:t>
      </w:r>
      <w:r>
        <w:t xml:space="preserve">with</w:t>
      </w:r>
      <w:r>
        <w:t xml:space="preserve"> </w:t>
      </w:r>
      <w:r>
        <w:rPr>
          <w:iCs/>
          <w:i/>
        </w:rPr>
        <w:t xml:space="preserve">loṭ</w:t>
      </w:r>
      <w:r>
        <w:t xml:space="preserve">,</w:t>
      </w:r>
      <w:r>
        <w:t xml:space="preserve"> </w:t>
      </w:r>
      <w:r>
        <w:rPr>
          <w:iCs/>
          <w:i/>
        </w:rPr>
        <w:t xml:space="preserve">ta</w:t>
      </w:r>
      <w:r>
        <w:t xml:space="preserve">,</w:t>
      </w:r>
      <w:r>
        <w:t xml:space="preserve"> </w:t>
      </w:r>
      <w:r>
        <w:rPr>
          <w:iCs/>
          <w:i/>
        </w:rPr>
        <w:t xml:space="preserve">śnā</w:t>
      </w:r>
      <w:r>
        <w:t xml:space="preserve">,</w:t>
      </w:r>
      <w:r>
        <w:t xml:space="preserve"> </w:t>
      </w:r>
      <w:r>
        <w:rPr>
          <w:iCs/>
          <w:i/>
        </w:rPr>
        <w:t xml:space="preserve">ī</w:t>
      </w:r>
      <w:r>
        <w:t xml:space="preserve">,</w:t>
      </w:r>
      <w:r>
        <w:t xml:space="preserve"> </w:t>
      </w:r>
      <w:r>
        <w:rPr>
          <w:iCs/>
          <w:i/>
        </w:rPr>
        <w:t xml:space="preserve">tana</w:t>
      </w:r>
      <w:r>
        <w:t xml:space="preserve">, shortening, no</w:t>
      </w:r>
      <w:r>
        <w:t xml:space="preserve"> </w:t>
      </w:r>
      <w:r>
        <w:rPr>
          <w:iCs/>
          <w:i/>
        </w:rPr>
        <w:t xml:space="preserve">guṇa</w:t>
      </w:r>
      <w:r>
        <w:t xml:space="preserve"> </w:t>
      </w:r>
      <w:r>
        <w:t xml:space="preserve">(</w:t>
      </w:r>
      <w:r>
        <w:rPr>
          <w:iCs/>
          <w:i/>
        </w:rPr>
        <w:t xml:space="preserve">ṅit</w:t>
      </w:r>
      <w:r>
        <w:t xml:space="preserve">);</w:t>
      </w:r>
      <w:r>
        <w:t xml:space="preserve"> </w:t>
      </w:r>
      <w:r>
        <w:rPr>
          <w:iCs/>
          <w:i/>
        </w:rPr>
        <w:t xml:space="preserve">yūyam</w:t>
      </w:r>
      <w:r>
        <w:t xml:space="preserve">:</w:t>
      </w:r>
      <w:r>
        <w:t xml:space="preserve"> </w:t>
      </w:r>
      <w:r>
        <w:rPr>
          <w:iCs/>
          <w:i/>
        </w:rPr>
        <w:t xml:space="preserve">am</w:t>
      </w:r>
      <w:r>
        <w:t xml:space="preserve"> </w:t>
      </w:r>
      <w:r>
        <w:t xml:space="preserve">for</w:t>
      </w:r>
      <w:r>
        <w:t xml:space="preserve"> </w:t>
      </w:r>
      <w:r>
        <w:rPr>
          <w:iCs/>
          <w:i/>
        </w:rPr>
        <w:t xml:space="preserve">jas</w:t>
      </w:r>
      <w:r>
        <w:t xml:space="preserve"> </w:t>
      </w:r>
      <w:r>
        <w:t xml:space="preserve">(Pā. 7-1-28), its</w:t>
      </w:r>
      <w:r>
        <w:t xml:space="preserve"> </w:t>
      </w:r>
      <w:r>
        <w:rPr>
          <w:iCs/>
          <w:i/>
        </w:rPr>
        <w:t xml:space="preserve">m</w:t>
      </w:r>
      <w:r>
        <w:t xml:space="preserve"> </w:t>
      </w:r>
      <w:r>
        <w:t xml:space="preserve">not</w:t>
      </w:r>
      <w:r>
        <w:t xml:space="preserve"> </w:t>
      </w:r>
      <w:r>
        <w:rPr>
          <w:iCs/>
          <w:i/>
        </w:rPr>
        <w:t xml:space="preserve">it</w:t>
      </w:r>
      <w:r>
        <w:t xml:space="preserve"> </w:t>
      </w:r>
      <w:r>
        <w:t xml:space="preserve">(Pā. 1-3-4),</w:t>
      </w:r>
      <w:r>
        <w:t xml:space="preserve"> </w:t>
      </w:r>
      <w:r>
        <w:rPr>
          <w:iCs/>
          <w:i/>
        </w:rPr>
        <w:t xml:space="preserve">yūya</w:t>
      </w:r>
      <w:r>
        <w:t xml:space="preserve"> </w:t>
      </w:r>
      <w:r>
        <w:t xml:space="preserve">for the part up to</w:t>
      </w:r>
      <w:r>
        <w:t xml:space="preserve"> </w:t>
      </w:r>
      <w:r>
        <w:rPr>
          <w:iCs/>
          <w:i/>
        </w:rPr>
        <w:t xml:space="preserve">m</w:t>
      </w:r>
      <w:r>
        <w:t xml:space="preserve"> </w:t>
      </w:r>
      <w:r>
        <w:t xml:space="preserve">(Pā. 7-2-93),</w:t>
      </w:r>
      <w:r>
        <w:t xml:space="preserve"> </w:t>
      </w:r>
      <w:r>
        <w:rPr>
          <w:iCs/>
          <w:i/>
        </w:rPr>
        <w:t xml:space="preserve">śeṣe lopaḥ</w:t>
      </w:r>
      <w:r>
        <w:t xml:space="preserve">; the stem accent comes first as</w:t>
      </w:r>
      <w:r>
        <w:t xml:space="preserve"> </w:t>
      </w:r>
      <w:r>
        <w:rPr>
          <w:iCs/>
          <w:i/>
        </w:rPr>
        <w:t xml:space="preserve">antaraṅga</w:t>
      </w:r>
      <w:r>
        <w:t xml:space="preserve">, then the unaccented</w:t>
      </w:r>
      <w:r>
        <w:t xml:space="preserve"> </w:t>
      </w:r>
      <w:r>
        <w:rPr>
          <w:iCs/>
          <w:i/>
        </w:rPr>
        <w:t xml:space="preserve">yūya</w:t>
      </w:r>
      <w:r>
        <w:t xml:space="preserve"> </w:t>
      </w:r>
      <w:r>
        <w:t xml:space="preserve">by Pā. 1-1-50;</w:t>
      </w:r>
      <w:r>
        <w:t xml:space="preserve"> </w:t>
      </w:r>
      <w:r>
        <w:rPr>
          <w:iCs/>
          <w:i/>
        </w:rPr>
        <w:t xml:space="preserve">am</w:t>
      </w:r>
      <w:r>
        <w:t xml:space="preserve"> </w:t>
      </w:r>
      <w:r>
        <w:t xml:space="preserve">by Pā. 6-1-107, udātta as a single replacement; on the</w:t>
      </w:r>
      <w:r>
        <w:t xml:space="preserve"> </w:t>
      </w:r>
      <w:r>
        <w:rPr>
          <w:iCs/>
          <w:i/>
        </w:rPr>
        <w:t xml:space="preserve">ṭi</w:t>
      </w:r>
      <w:r>
        <w:t xml:space="preserve">-loss view the ending is udātta by the</w:t>
      </w:r>
      <w:r>
        <w:t xml:space="preserve"> </w:t>
      </w:r>
      <w:r>
        <w:rPr>
          <w:iCs/>
          <w:i/>
        </w:rPr>
        <w:t xml:space="preserve">udāttanivṛtti</w:t>
      </w:r>
      <w:r>
        <w:t xml:space="preserve"> </w:t>
      </w:r>
      <w:r>
        <w:t xml:space="preserve">accent;</w:t>
      </w:r>
      <w:r>
        <w:t xml:space="preserve"> </w:t>
      </w:r>
      <w:r>
        <w:rPr>
          <w:iCs/>
          <w:i/>
        </w:rPr>
        <w:t xml:space="preserve">stha</w:t>
      </w:r>
      <w:r>
        <w:t xml:space="preserve">:</w:t>
      </w:r>
      <w:r>
        <w:t xml:space="preserve"> </w:t>
      </w:r>
      <w:r>
        <w:rPr>
          <w:iCs/>
          <w:i/>
        </w:rPr>
        <w:t xml:space="preserve">as</w:t>
      </w:r>
      <w:r>
        <w:t xml:space="preserve">,</w:t>
      </w:r>
      <w:r>
        <w:t xml:space="preserve"> </w:t>
      </w:r>
      <w:r>
        <w:rPr>
          <w:iCs/>
          <w:i/>
        </w:rPr>
        <w:t xml:space="preserve">tha</w:t>
      </w:r>
      <w:r>
        <w:t xml:space="preserve">,</w:t>
      </w:r>
      <w:r>
        <w:t xml:space="preserve"> </w:t>
      </w:r>
      <w:r>
        <w:rPr>
          <w:iCs/>
          <w:i/>
        </w:rPr>
        <w:t xml:space="preserve">śap</w:t>
      </w:r>
      <w:r>
        <w:t xml:space="preserve"> </w:t>
      </w:r>
      <w:r>
        <w:t xml:space="preserve">dropped, the</w:t>
      </w:r>
      <w:r>
        <w:t xml:space="preserve"> </w:t>
      </w:r>
      <w:r>
        <w:rPr>
          <w:iCs/>
          <w:i/>
        </w:rPr>
        <w:t xml:space="preserve">a</w:t>
      </w:r>
      <w:r>
        <w:t xml:space="preserve"> </w:t>
      </w:r>
      <w:r>
        <w:t xml:space="preserve">dropped,</w:t>
      </w:r>
      <w:r>
        <w:t xml:space="preserve"> </w:t>
      </w:r>
      <w:r>
        <w:rPr>
          <w:iCs/>
          <w:i/>
        </w:rPr>
        <w:t xml:space="preserve">ṣ</w:t>
      </w:r>
      <w:r>
        <w:t xml:space="preserve"> </w:t>
      </w:r>
      <w:r>
        <w:t xml:space="preserve">by</w:t>
      </w:r>
      <w:r>
        <w:t xml:space="preserve"> </w:t>
      </w:r>
      <w:r>
        <w:rPr>
          <w:iCs/>
          <w:i/>
        </w:rPr>
        <w:t xml:space="preserve">vyatyaya</w:t>
      </w:r>
      <w:r>
        <w:t xml:space="preserve">, not lowered because of</w:t>
      </w:r>
      <w:r>
        <w:t xml:space="preserve"> </w:t>
      </w:r>
      <w:r>
        <w:rPr>
          <w:iCs/>
          <w:i/>
        </w:rPr>
        <w:t xml:space="preserve">hi</w:t>
      </w:r>
      <w:r>
        <w:t xml:space="preserve">, lengthened in the Saṃhitā;</w:t>
      </w:r>
      <w:r>
        <w:t xml:space="preserve"> </w:t>
      </w:r>
      <w:r>
        <w:rPr>
          <w:iCs/>
          <w:i/>
        </w:rPr>
        <w:t xml:space="preserve">sudānavaḥ</w:t>
      </w:r>
      <w:r>
        <w:t xml:space="preserve"> </w:t>
      </w:r>
      <w:r>
        <w:t xml:space="preserve">with</w:t>
      </w:r>
      <w:r>
        <w:t xml:space="preserve"> </w:t>
      </w:r>
      <w:r>
        <w:rPr>
          <w:iCs/>
          <w:i/>
        </w:rPr>
        <w:t xml:space="preserve">nu</w:t>
      </w:r>
      <w:r>
        <w:t xml:space="preserve"> </w:t>
      </w:r>
      <w:r>
        <w:t xml:space="preserve">(Uṇ. 3-32), a</w:t>
      </w:r>
      <w:r>
        <w:t xml:space="preserve"> </w:t>
      </w:r>
      <w:r>
        <w:rPr>
          <w:iCs/>
          <w:i/>
        </w:rPr>
        <w:t xml:space="preserve">prādi</w:t>
      </w:r>
      <w:r>
        <w:t xml:space="preserve"> </w:t>
      </w:r>
      <w:r>
        <w:t xml:space="preserve">compound, lowered as a vocative: the sense intended is</w:t>
      </w:r>
      <w:r>
        <w:t xml:space="preserve"> </w:t>
      </w:r>
      <w:r>
        <w:t xml:space="preserve">“</w:t>
      </w:r>
      <w:r>
        <w:t xml:space="preserve">O good givers, you are (such)</w:t>
      </w:r>
      <w:r>
        <w:t xml:space="preserve">”</w:t>
      </w:r>
      <w:r>
        <w:t xml:space="preserve">, not a predication</w:t>
      </w:r>
      <w:r>
        <w:t xml:space="preserve"> </w:t>
      </w:r>
      <w:r>
        <w:t xml:space="preserve">“</w:t>
      </w:r>
      <w:r>
        <w:t xml:space="preserve">you are good givers</w:t>
      </w:r>
      <w:r>
        <w:t xml:space="preserve">”</w:t>
      </w:r>
      <w:r>
        <w:t xml:space="preserve">, else it would not be a vocative and would not be lowered;</w:t>
      </w:r>
      <w:r>
        <w:t xml:space="preserve"> </w:t>
      </w:r>
      <w:r>
        <w:rPr>
          <w:iCs/>
          <w:i/>
        </w:rPr>
        <w:t xml:space="preserve">hi</w:t>
      </w:r>
      <w:r>
        <w:t xml:space="preserve"> </w:t>
      </w:r>
      <w:r>
        <w:t xml:space="preserve">gives the reason, the Maruts’ well-known power praised in the Māruta sūktas.)</w:t>
      </w:r>
    </w:p>
    <w:p>
      <w:pPr>
        <w:pStyle w:val="BodyText"/>
      </w:pPr>
      <w:r>
        <w:rPr>
          <w:bCs/>
          <w:b/>
        </w:rPr>
        <w:t xml:space="preserve">॥ Prati-padārthaḥ ॥</w:t>
      </w:r>
    </w:p>
    <w:p>
      <w:pPr>
        <w:pStyle w:val="BodyText"/>
      </w:pPr>
      <w:r>
        <w:rPr>
          <w:bCs/>
          <w:b/>
        </w:rPr>
        <w:t xml:space="preserve">मरुतः (marutaḥ)</w:t>
      </w:r>
      <w:r>
        <w:t xml:space="preserve"> </w:t>
      </w:r>
      <w:r>
        <w:t xml:space="preserve">— O Maruts |</w:t>
      </w:r>
      <w:r>
        <w:t xml:space="preserve"> </w:t>
      </w:r>
      <w:r>
        <w:rPr>
          <w:bCs/>
          <w:b/>
        </w:rPr>
        <w:t xml:space="preserve">ऋतुना (ṛtunā)</w:t>
      </w:r>
      <w:r>
        <w:t xml:space="preserve"> </w:t>
      </w:r>
      <w:r>
        <w:t xml:space="preserve">— together with the Ṛtu deity |</w:t>
      </w:r>
      <w:r>
        <w:t xml:space="preserve"> </w:t>
      </w:r>
      <w:r>
        <w:rPr>
          <w:bCs/>
          <w:b/>
        </w:rPr>
        <w:t xml:space="preserve">पोत्रात् (potrāt)</w:t>
      </w:r>
      <w:r>
        <w:t xml:space="preserve"> </w:t>
      </w:r>
      <w:r>
        <w:t xml:space="preserve">— from the vessel of the priest called Potṛ |</w:t>
      </w:r>
      <w:r>
        <w:t xml:space="preserve"> </w:t>
      </w:r>
      <w:r>
        <w:rPr>
          <w:bCs/>
          <w:b/>
        </w:rPr>
        <w:t xml:space="preserve">पिबत (pibata)</w:t>
      </w:r>
      <w:r>
        <w:t xml:space="preserve"> </w:t>
      </w:r>
      <w:r>
        <w:t xml:space="preserve">— drink (the soma juice); (then) |</w:t>
      </w:r>
      <w:r>
        <w:t xml:space="preserve"> </w:t>
      </w:r>
      <w:r>
        <w:rPr>
          <w:bCs/>
          <w:b/>
        </w:rPr>
        <w:t xml:space="preserve">यज्ञम् (yajñam)</w:t>
      </w:r>
      <w:r>
        <w:t xml:space="preserve"> </w:t>
      </w:r>
      <w:r>
        <w:t xml:space="preserve">— our sacrifice |</w:t>
      </w:r>
      <w:r>
        <w:t xml:space="preserve"> </w:t>
      </w:r>
      <w:r>
        <w:rPr>
          <w:bCs/>
          <w:b/>
        </w:rPr>
        <w:t xml:space="preserve">पुनीतन (punītana)</w:t>
      </w:r>
      <w:r>
        <w:t xml:space="preserve"> </w:t>
      </w:r>
      <w:r>
        <w:t xml:space="preserve">— make pure |</w:t>
      </w:r>
      <w:r>
        <w:t xml:space="preserve"> </w:t>
      </w:r>
      <w:r>
        <w:rPr>
          <w:bCs/>
          <w:b/>
        </w:rPr>
        <w:t xml:space="preserve">सुदानवः (sudānavaḥ)</w:t>
      </w:r>
      <w:r>
        <w:t xml:space="preserve"> </w:t>
      </w:r>
      <w:r>
        <w:t xml:space="preserve">— Marut deities who give well what is desired |</w:t>
      </w:r>
      <w:r>
        <w:t xml:space="preserve"> </w:t>
      </w:r>
      <w:r>
        <w:rPr>
          <w:bCs/>
          <w:b/>
        </w:rPr>
        <w:t xml:space="preserve">यूयम् (yūyam)</w:t>
      </w:r>
      <w:r>
        <w:t xml:space="preserve"> </w:t>
      </w:r>
      <w:r>
        <w:t xml:space="preserve">— you |</w:t>
      </w:r>
      <w:r>
        <w:t xml:space="preserve"> </w:t>
      </w:r>
      <w:r>
        <w:rPr>
          <w:bCs/>
          <w:b/>
        </w:rPr>
        <w:t xml:space="preserve">हि स्थ (hi stha)</w:t>
      </w:r>
      <w:r>
        <w:t xml:space="preserve"> </w:t>
      </w:r>
      <w:r>
        <w:t xml:space="preserve">— are you not known in the mantras as such?</w:t>
      </w:r>
    </w:p>
    <w:p>
      <w:pPr>
        <w:pStyle w:val="BodyText"/>
      </w:pPr>
      <w:r>
        <w:rPr>
          <w:bCs/>
          <w:b/>
        </w:rPr>
        <w:t xml:space="preserve">॥ Bhāvārthaḥ ॥</w:t>
      </w:r>
    </w:p>
    <w:p>
      <w:pPr>
        <w:pStyle w:val="BodyText"/>
      </w:pPr>
      <w:r>
        <w:t xml:space="preserve">O Maruts, first drink the soma juice of our sacrifice from the vessel of the priest called Potṛ together with the Ṛtu deity, and then make our sacrifice pure. O Maruts, who give what is desired, are you not the ones famed in the mantras as so mighty?</w:t>
      </w:r>
    </w:p>
    <w:p>
      <w:pPr>
        <w:pStyle w:val="BodyText"/>
      </w:pPr>
      <w:r>
        <w:rPr>
          <w:bCs/>
          <w:b/>
        </w:rPr>
        <w:t xml:space="preserve">॥ English Translation ॥</w:t>
      </w:r>
      <w:r>
        <w:t xml:space="preserve"> </w:t>
      </w:r>
      <w:r>
        <w:rPr>
          <w:iCs/>
          <w:i/>
        </w:rPr>
        <w:t xml:space="preserve">(as printed in the source)</w:t>
      </w:r>
    </w:p>
    <w:p>
      <w:pPr>
        <w:pStyle w:val="BlockText"/>
      </w:pPr>
      <w:r>
        <w:t xml:space="preserve">O Maruts, drink with Ritu from the Potri’s sacrificial cup; consecrate the sacrifice, for you are great givers.</w:t>
      </w:r>
    </w:p>
    <w:p>
      <w:pPr>
        <w:pStyle w:val="FirstParagraph"/>
      </w:pPr>
      <w:r>
        <w:rPr>
          <w:bCs/>
          <w:b/>
        </w:rPr>
        <w:t xml:space="preserve">॥ Viśeṣa-viṣayagaḷu (Special Topics) ॥</w:t>
      </w:r>
    </w:p>
    <w:p>
      <w:pPr>
        <w:pStyle w:val="BodyText"/>
      </w:pPr>
      <w:r>
        <w:rPr>
          <w:bCs/>
          <w:b/>
        </w:rPr>
        <w:t xml:space="preserve">Potrāt</w:t>
      </w:r>
      <w:r>
        <w:t xml:space="preserve">: one of the sixteen priests who take part in the sacrifice is called Potṛ. He ordinarily works together with the priest called Neṣṭṛ. Here, for the words</w:t>
      </w:r>
      <w:r>
        <w:t xml:space="preserve"> </w:t>
      </w:r>
      <w:r>
        <w:rPr>
          <w:iCs/>
          <w:i/>
        </w:rPr>
        <w:t xml:space="preserve">potrāt pibata</w:t>
      </w:r>
      <w:r>
        <w:t xml:space="preserve">, the Bhāṣyakāra explains</w:t>
      </w:r>
    </w:p>
    <w:p>
      <w:pPr>
        <w:pStyle w:val="BlockText"/>
      </w:pPr>
      <w:r>
        <w:t xml:space="preserve">पोतुः सम्बन्धिपात्रात् सोमं पिबत</w:t>
      </w:r>
    </w:p>
    <w:p>
      <w:pPr>
        <w:pStyle w:val="BlockText"/>
      </w:pPr>
      <w:r>
        <w:rPr>
          <w:iCs/>
          <w:i/>
        </w:rPr>
        <w:t xml:space="preserve">potuḥ sambandhipātrāt somaṃ pibata</w:t>
      </w:r>
    </w:p>
    <w:p>
      <w:pPr>
        <w:pStyle w:val="FirstParagraph"/>
      </w:pPr>
      <w:r>
        <w:t xml:space="preserve">“</w:t>
      </w:r>
      <w:r>
        <w:t xml:space="preserve">drink the soma juice in the Potṛ’s vessel</w:t>
      </w:r>
      <w:r>
        <w:t xml:space="preserve">”</w:t>
      </w:r>
      <w:r>
        <w:t xml:space="preserve">.</w:t>
      </w:r>
    </w:p>
    <w:p>
      <w:pPr>
        <w:pStyle w:val="BodyText"/>
      </w:pPr>
      <w:r>
        <w:rPr>
          <w:bCs/>
          <w:b/>
        </w:rPr>
        <w:t xml:space="preserve">Sudānavaḥ</w:t>
      </w:r>
      <w:r>
        <w:t xml:space="preserve">:</w:t>
      </w:r>
    </w:p>
    <w:p>
      <w:pPr>
        <w:pStyle w:val="BlockText"/>
      </w:pPr>
      <w:r>
        <w:t xml:space="preserve">शोभनदातारः । अथवा सुष्ठु दातारः</w:t>
      </w:r>
    </w:p>
    <w:p>
      <w:pPr>
        <w:pStyle w:val="BlockText"/>
      </w:pPr>
      <w:r>
        <w:rPr>
          <w:iCs/>
          <w:i/>
        </w:rPr>
        <w:t xml:space="preserve">śobhanadātāraḥ | athavā suṣṭhu dātāraḥ</w:t>
      </w:r>
    </w:p>
    <w:p>
      <w:pPr>
        <w:pStyle w:val="FirstParagraph"/>
      </w:pPr>
      <w:r>
        <w:t xml:space="preserve">those who give good things, or who give well (abundantly).</w:t>
      </w:r>
    </w:p>
    <w:bookmarkEnd w:id="680"/>
    <w:bookmarkStart w:id="681" w:name="page-632-rik-2-grammar"/>
    <w:p>
      <w:pPr>
        <w:pStyle w:val="Heading3"/>
      </w:pPr>
      <w:r>
        <w:t xml:space="preserve">Page 632 — Rik 2: grammar</w:t>
      </w:r>
    </w:p>
    <w:p>
      <w:pPr>
        <w:pStyle w:val="FirstParagraph"/>
      </w:pPr>
      <w:r>
        <w:rPr>
          <w:bCs/>
          <w:b/>
        </w:rPr>
        <w:t xml:space="preserve">॥ Vyākaraṇa-prakriyā ॥</w:t>
      </w:r>
      <w:r>
        <w:t xml:space="preserve"> </w:t>
      </w:r>
      <w:r>
        <w:rPr>
          <w:iCs/>
          <w:i/>
        </w:rPr>
        <w:t xml:space="preserve">(grammar pages 632–635, noted briefly)</w:t>
      </w:r>
    </w:p>
    <w:p>
      <w:pPr>
        <w:pStyle w:val="BodyText"/>
      </w:pPr>
      <w:r>
        <w:rPr>
          <w:bCs/>
          <w:b/>
        </w:rPr>
        <w:t xml:space="preserve">पिबत (</w:t>
      </w:r>
      <w:r>
        <w:rPr>
          <w:iCs/>
          <w:i/>
          <w:bCs/>
          <w:b/>
        </w:rPr>
        <w:t xml:space="preserve">pibata</w:t>
      </w:r>
      <w:r>
        <w:rPr>
          <w:bCs/>
          <w:b/>
        </w:rPr>
        <w:t xml:space="preserve">)</w:t>
      </w:r>
      <w:r>
        <w:t xml:space="preserve">:</w:t>
      </w:r>
      <w:r>
        <w:t xml:space="preserve"> </w:t>
      </w:r>
      <w:r>
        <w:rPr>
          <w:iCs/>
          <w:i/>
        </w:rPr>
        <w:t xml:space="preserve">pā pāne</w:t>
      </w:r>
      <w:r>
        <w:t xml:space="preserve">;</w:t>
      </w:r>
      <w:r>
        <w:t xml:space="preserve"> </w:t>
      </w:r>
      <w:r>
        <w:rPr>
          <w:iCs/>
          <w:i/>
        </w:rPr>
        <w:t xml:space="preserve">loṭ</w:t>
      </w:r>
      <w:r>
        <w:t xml:space="preserve">, 2nd plural</w:t>
      </w:r>
      <w:r>
        <w:t xml:space="preserve"> </w:t>
      </w:r>
      <w:r>
        <w:rPr>
          <w:iCs/>
          <w:i/>
        </w:rPr>
        <w:t xml:space="preserve">tha</w:t>
      </w:r>
      <w:r>
        <w:t xml:space="preserve">.</w:t>
      </w:r>
      <w:r>
        <w:t xml:space="preserve"> </w:t>
      </w:r>
      <w:r>
        <w:t xml:space="preserve">“</w:t>
      </w:r>
      <w:r>
        <w:t xml:space="preserve">loṭo laṅvat</w:t>
      </w:r>
      <w:r>
        <w:t xml:space="preserve">”</w:t>
      </w:r>
      <w:r>
        <w:t xml:space="preserve"> </w:t>
      </w:r>
      <w:r>
        <w:t xml:space="preserve">(Pā. sū. 3-4-85): the operations of</w:t>
      </w:r>
      <w:r>
        <w:t xml:space="preserve"> </w:t>
      </w:r>
      <w:r>
        <w:rPr>
          <w:iCs/>
          <w:i/>
        </w:rPr>
        <w:t xml:space="preserve">laṅ</w:t>
      </w:r>
      <w:r>
        <w:t xml:space="preserve"> </w:t>
      </w:r>
      <w:r>
        <w:t xml:space="preserve">come for</w:t>
      </w:r>
      <w:r>
        <w:t xml:space="preserve"> </w:t>
      </w:r>
      <w:r>
        <w:rPr>
          <w:iCs/>
          <w:i/>
        </w:rPr>
        <w:t xml:space="preserve">loṭ</w:t>
      </w:r>
      <w:r>
        <w:t xml:space="preserve">, so the</w:t>
      </w:r>
      <w:r>
        <w:t xml:space="preserve"> </w:t>
      </w:r>
      <w:r>
        <w:rPr>
          <w:iCs/>
          <w:i/>
        </w:rPr>
        <w:t xml:space="preserve">laṅvadbhāva</w:t>
      </w:r>
      <w:r>
        <w:t xml:space="preserve"> </w:t>
      </w:r>
      <w:r>
        <w:t xml:space="preserve">is an</w:t>
      </w:r>
      <w:r>
        <w:t xml:space="preserve"> </w:t>
      </w:r>
      <w:r>
        <w:rPr>
          <w:iCs/>
          <w:i/>
        </w:rPr>
        <w:t xml:space="preserve">atideśa</w:t>
      </w:r>
      <w:r>
        <w:t xml:space="preserve">:</w:t>
      </w:r>
    </w:p>
    <w:p>
      <w:pPr>
        <w:pStyle w:val="BlockText"/>
      </w:pPr>
      <w:r>
        <w:t xml:space="preserve">अतिदेशः = तद्धर्माभाववति तद्धर्मबोधकत्वम्</w:t>
      </w:r>
    </w:p>
    <w:p>
      <w:pPr>
        <w:pStyle w:val="BlockText"/>
      </w:pPr>
      <w:r>
        <w:rPr>
          <w:iCs/>
          <w:i/>
        </w:rPr>
        <w:t xml:space="preserve">atideśaḥ = taddharmābhāvavati taddharmabodhakatvam</w:t>
      </w:r>
    </w:p>
    <w:p>
      <w:pPr>
        <w:pStyle w:val="FirstParagraph"/>
      </w:pPr>
      <w:r>
        <w:t xml:space="preserve">that is, ascribing a property to what lacks it:</w:t>
      </w:r>
      <w:r>
        <w:t xml:space="preserve"> </w:t>
      </w:r>
      <w:r>
        <w:rPr>
          <w:iCs/>
          <w:i/>
        </w:rPr>
        <w:t xml:space="preserve">loṭ</w:t>
      </w:r>
      <w:r>
        <w:t xml:space="preserve"> </w:t>
      </w:r>
      <w:r>
        <w:t xml:space="preserve">does not have the form of</w:t>
      </w:r>
      <w:r>
        <w:t xml:space="preserve"> </w:t>
      </w:r>
      <w:r>
        <w:rPr>
          <w:iCs/>
          <w:i/>
        </w:rPr>
        <w:t xml:space="preserve">laṅ</w:t>
      </w:r>
      <w:r>
        <w:t xml:space="preserve">, so the</w:t>
      </w:r>
      <w:r>
        <w:t xml:space="preserve"> </w:t>
      </w:r>
      <w:r>
        <w:rPr>
          <w:iCs/>
          <w:i/>
        </w:rPr>
        <w:t xml:space="preserve">laṅ</w:t>
      </w:r>
      <w:r>
        <w:t xml:space="preserve"> </w:t>
      </w:r>
      <w:r>
        <w:t xml:space="preserve">operations could not come, but they come by this sūtra.</w:t>
      </w:r>
      <w:r>
        <w:t xml:space="preserve"> </w:t>
      </w:r>
      <w:r>
        <w:rPr>
          <w:iCs/>
          <w:i/>
        </w:rPr>
        <w:t xml:space="preserve">Ta</w:t>
      </w:r>
      <w:r>
        <w:t xml:space="preserve"> </w:t>
      </w:r>
      <w:r>
        <w:t xml:space="preserve">for</w:t>
      </w:r>
      <w:r>
        <w:t xml:space="preserve"> </w:t>
      </w:r>
      <w:r>
        <w:rPr>
          <w:iCs/>
          <w:i/>
        </w:rPr>
        <w:t xml:space="preserve">tha</w:t>
      </w:r>
      <w:r>
        <w:t xml:space="preserve"> </w:t>
      </w:r>
      <w:r>
        <w:t xml:space="preserve">by</w:t>
      </w:r>
      <w:r>
        <w:t xml:space="preserve"> </w:t>
      </w:r>
      <w:r>
        <w:t xml:space="preserve">“</w:t>
      </w:r>
      <w:r>
        <w:t xml:space="preserve">tasthasthamipāṃ tāṃtaṃtāmaḥ</w:t>
      </w:r>
      <w:r>
        <w:t xml:space="preserve">”</w:t>
      </w:r>
      <w:r>
        <w:t xml:space="preserve"> </w:t>
      </w:r>
      <w:r>
        <w:t xml:space="preserve">(Pā. sū.</w:t>
      </w:r>
      <w:r>
        <w:t xml:space="preserve"> </w:t>
      </w:r>
      <w:r>
        <w:t xml:space="preserve">“</w:t>
      </w:r>
      <w:r>
        <w:t xml:space="preserve">3-4-100</w:t>
      </w:r>
      <w:r>
        <w:t xml:space="preserve">”</w:t>
      </w:r>
      <w:r>
        <w:t xml:space="preserve"> </w:t>
      </w:r>
      <w:r>
        <w:t xml:space="preserve">[as printed, for 3-4-101]);</w:t>
      </w:r>
      <w:r>
        <w:t xml:space="preserve"> </w:t>
      </w:r>
      <w:r>
        <w:rPr>
          <w:iCs/>
          <w:i/>
        </w:rPr>
        <w:t xml:space="preserve">śap</w:t>
      </w:r>
      <w:r>
        <w:t xml:space="preserve">;</w:t>
      </w:r>
      <w:r>
        <w:t xml:space="preserve"> </w:t>
      </w:r>
      <w:r>
        <w:rPr>
          <w:iCs/>
          <w:i/>
        </w:rPr>
        <w:t xml:space="preserve">pib</w:t>
      </w:r>
      <w:r>
        <w:t xml:space="preserve"> </w:t>
      </w:r>
      <w:r>
        <w:t xml:space="preserve">for</w:t>
      </w:r>
      <w:r>
        <w:t xml:space="preserve"> </w:t>
      </w:r>
      <w:r>
        <w:rPr>
          <w:iCs/>
          <w:i/>
        </w:rPr>
        <w:t xml:space="preserve">pā</w:t>
      </w:r>
      <w:r>
        <w:t xml:space="preserve"> </w:t>
      </w:r>
      <w:r>
        <w:t xml:space="preserve">by</w:t>
      </w:r>
      <w:r>
        <w:t xml:space="preserve"> </w:t>
      </w:r>
      <w:r>
        <w:t xml:space="preserve">“</w:t>
      </w:r>
      <w:r>
        <w:t xml:space="preserve">pāghrādhmā…</w:t>
      </w:r>
      <w:r>
        <w:t xml:space="preserve">”</w:t>
      </w:r>
      <w:r>
        <w:t xml:space="preserve"> </w:t>
      </w:r>
      <w:r>
        <w:t xml:space="preserve">(Pā. sū. 7-3-78):</w:t>
      </w:r>
      <w:r>
        <w:t xml:space="preserve"> </w:t>
      </w:r>
      <w:r>
        <w:rPr>
          <w:iCs/>
          <w:i/>
        </w:rPr>
        <w:t xml:space="preserve">pibata</w:t>
      </w:r>
      <w:r>
        <w:t xml:space="preserve">.</w:t>
      </w:r>
      <w:r>
        <w:t xml:space="preserve"> </w:t>
      </w:r>
      <w:r>
        <w:rPr>
          <w:iCs/>
          <w:i/>
        </w:rPr>
        <w:t xml:space="preserve">Śap</w:t>
      </w:r>
      <w:r>
        <w:t xml:space="preserve"> </w:t>
      </w:r>
      <w:r>
        <w:t xml:space="preserve">is</w:t>
      </w:r>
      <w:r>
        <w:t xml:space="preserve"> </w:t>
      </w:r>
      <w:r>
        <w:rPr>
          <w:iCs/>
          <w:i/>
        </w:rPr>
        <w:t xml:space="preserve">pit</w:t>
      </w:r>
      <w:r>
        <w:t xml:space="preserve">, so unaccented; the</w:t>
      </w:r>
      <w:r>
        <w:t xml:space="preserve"> </w:t>
      </w:r>
      <w:r>
        <w:rPr>
          <w:iCs/>
          <w:i/>
        </w:rPr>
        <w:t xml:space="preserve">ta</w:t>
      </w:r>
      <w:r>
        <w:t xml:space="preserve">, a</w:t>
      </w:r>
      <w:r>
        <w:t xml:space="preserve"> </w:t>
      </w:r>
      <w:r>
        <w:rPr>
          <w:iCs/>
          <w:i/>
        </w:rPr>
        <w:t xml:space="preserve">sārvadhātuka</w:t>
      </w:r>
      <w:r>
        <w:t xml:space="preserve"> </w:t>
      </w:r>
      <w:r>
        <w:t xml:space="preserve">for a</w:t>
      </w:r>
      <w:r>
        <w:t xml:space="preserve"> </w:t>
      </w:r>
      <w:r>
        <w:rPr>
          <w:iCs/>
          <w:i/>
        </w:rPr>
        <w:t xml:space="preserve">lakāra</w:t>
      </w:r>
      <w:r>
        <w:t xml:space="preserve">, follows the</w:t>
      </w:r>
      <w:r>
        <w:t xml:space="preserve"> </w:t>
      </w:r>
      <w:r>
        <w:rPr>
          <w:iCs/>
          <w:i/>
        </w:rPr>
        <w:t xml:space="preserve">a</w:t>
      </w:r>
      <w:r>
        <w:t xml:space="preserve">-final</w:t>
      </w:r>
      <w:r>
        <w:t xml:space="preserve"> </w:t>
      </w:r>
      <w:r>
        <w:rPr>
          <w:iCs/>
          <w:i/>
        </w:rPr>
        <w:t xml:space="preserve">śap</w:t>
      </w:r>
      <w:r>
        <w:t xml:space="preserve">, so it is unaccented by</w:t>
      </w:r>
      <w:r>
        <w:t xml:space="preserve"> </w:t>
      </w:r>
      <w:r>
        <w:t xml:space="preserve">“</w:t>
      </w:r>
      <w:r>
        <w:t xml:space="preserve">tāsyanudāttenṅidadupadeśāt</w:t>
      </w:r>
      <w:r>
        <w:t xml:space="preserve">”</w:t>
      </w:r>
      <w:r>
        <w:t xml:space="preserve"> </w:t>
      </w:r>
      <w:r>
        <w:t xml:space="preserve">(Pā. sū. 6-1-186); the root accent remains. The vocative</w:t>
      </w:r>
      <w:r>
        <w:t xml:space="preserve"> </w:t>
      </w:r>
      <w:r>
        <w:rPr>
          <w:iCs/>
          <w:i/>
        </w:rPr>
        <w:t xml:space="preserve">marutaḥ</w:t>
      </w:r>
      <w:r>
        <w:t xml:space="preserve"> </w:t>
      </w:r>
      <w:r>
        <w:t xml:space="preserve">before it is treated as absent by</w:t>
      </w:r>
      <w:r>
        <w:t xml:space="preserve"> </w:t>
      </w:r>
      <w:r>
        <w:t xml:space="preserve">“</w:t>
      </w:r>
      <w:r>
        <w:t xml:space="preserve">āmantritaṃ pūrvam avidyamānavat</w:t>
      </w:r>
      <w:r>
        <w:t xml:space="preserve">”</w:t>
      </w:r>
      <w:r>
        <w:t xml:space="preserve"> </w:t>
      </w:r>
      <w:r>
        <w:t xml:space="preserve">(Pā. sū.</w:t>
      </w:r>
      <w:r>
        <w:t xml:space="preserve"> </w:t>
      </w:r>
      <w:r>
        <w:t xml:space="preserve">“</w:t>
      </w:r>
      <w:r>
        <w:t xml:space="preserve">8-1-2</w:t>
      </w:r>
      <w:r>
        <w:t xml:space="preserve">”</w:t>
      </w:r>
      <w:r>
        <w:t xml:space="preserve"> </w:t>
      </w:r>
      <w:r>
        <w:t xml:space="preserve">[as printed, for 8-1-72]); so</w:t>
      </w:r>
      <w:r>
        <w:t xml:space="preserve"> </w:t>
      </w:r>
      <w:r>
        <w:rPr>
          <w:iCs/>
          <w:i/>
        </w:rPr>
        <w:t xml:space="preserve">pibata</w:t>
      </w:r>
      <w:r>
        <w:t xml:space="preserve"> </w:t>
      </w:r>
      <w:r>
        <w:t xml:space="preserve">does not follow a word and is at the head of the pāda, and</w:t>
      </w:r>
      <w:r>
        <w:t xml:space="preserve"> </w:t>
      </w:r>
      <w:r>
        <w:t xml:space="preserve">“</w:t>
      </w:r>
      <w:r>
        <w:t xml:space="preserve">tiṅṅatiṅaḥ</w:t>
      </w:r>
      <w:r>
        <w:t xml:space="preserve">”</w:t>
      </w:r>
      <w:r>
        <w:t xml:space="preserve"> </w:t>
      </w:r>
      <w:r>
        <w:t xml:space="preserve">does not make it wholly unaccented.</w:t>
      </w:r>
    </w:p>
    <w:p>
      <w:pPr>
        <w:pStyle w:val="BodyText"/>
      </w:pPr>
      <w:r>
        <w:rPr>
          <w:bCs/>
          <w:b/>
        </w:rPr>
        <w:t xml:space="preserve">पोत्रात् (</w:t>
      </w:r>
      <w:r>
        <w:rPr>
          <w:iCs/>
          <w:i/>
          <w:bCs/>
          <w:b/>
        </w:rPr>
        <w:t xml:space="preserve">potrāt</w:t>
      </w:r>
      <w:r>
        <w:rPr>
          <w:bCs/>
          <w:b/>
        </w:rPr>
        <w:t xml:space="preserve">)</w:t>
      </w:r>
      <w:r>
        <w:t xml:space="preserve">:</w:t>
      </w:r>
      <w:r>
        <w:t xml:space="preserve"> </w:t>
      </w:r>
      <w:r>
        <w:rPr>
          <w:iCs/>
          <w:i/>
        </w:rPr>
        <w:t xml:space="preserve">potuḥ idam</w:t>
      </w:r>
      <w:r>
        <w:t xml:space="preserve"> </w:t>
      </w:r>
      <w:r>
        <w:t xml:space="preserve">(the vessel belonging to the Potṛ).</w:t>
      </w:r>
      <w:r>
        <w:t xml:space="preserve"> </w:t>
      </w:r>
      <w:r>
        <w:t xml:space="preserve">“</w:t>
      </w:r>
      <w:r>
        <w:t xml:space="preserve">tasyedam</w:t>
      </w:r>
      <w:r>
        <w:t xml:space="preserve">”</w:t>
      </w:r>
      <w:r>
        <w:t xml:space="preserve"> </w:t>
      </w:r>
      <w:r>
        <w:t xml:space="preserve">(Pā. sū. 4-3-120): after the genitive of a fitting</w:t>
      </w:r>
      <w:r>
        <w:t xml:space="preserve"> </w:t>
      </w:r>
      <w:r>
        <w:rPr>
          <w:iCs/>
          <w:i/>
        </w:rPr>
        <w:t xml:space="preserve">prātipadika</w:t>
      </w:r>
      <w:r>
        <w:t xml:space="preserve">, the suffix</w:t>
      </w:r>
      <w:r>
        <w:t xml:space="preserve"> </w:t>
      </w:r>
      <w:r>
        <w:rPr>
          <w:iCs/>
          <w:i/>
        </w:rPr>
        <w:t xml:space="preserve">aṇ</w:t>
      </w:r>
      <w:r>
        <w:t xml:space="preserve"> </w:t>
      </w:r>
      <w:r>
        <w:t xml:space="preserve">in the sense</w:t>
      </w:r>
      <w:r>
        <w:t xml:space="preserve"> </w:t>
      </w:r>
      <w:r>
        <w:t xml:space="preserve">“</w:t>
      </w:r>
      <w:r>
        <w:t xml:space="preserve">this belongs to it</w:t>
      </w:r>
      <w:r>
        <w:t xml:space="preserve">”</w:t>
      </w:r>
      <w:r>
        <w:t xml:space="preserve">. Of the two fitting words</w:t>
      </w:r>
      <w:r>
        <w:t xml:space="preserve"> </w:t>
      </w:r>
      <w:r>
        <w:rPr>
          <w:iCs/>
          <w:i/>
        </w:rPr>
        <w:t xml:space="preserve">potuḥ</w:t>
      </w:r>
      <w:r>
        <w:t xml:space="preserve"> </w:t>
      </w:r>
      <w:r>
        <w:t xml:space="preserve">and</w:t>
      </w:r>
      <w:r>
        <w:t xml:space="preserve"> </w:t>
      </w:r>
      <w:r>
        <w:rPr>
          <w:iCs/>
          <w:i/>
        </w:rPr>
        <w:t xml:space="preserve">idam</w:t>
      </w:r>
      <w:r>
        <w:t xml:space="preserve">, the first named in the sūtra is</w:t>
      </w:r>
      <w:r>
        <w:t xml:space="preserve"> </w:t>
      </w:r>
      <w:r>
        <w:rPr>
          <w:iCs/>
          <w:i/>
        </w:rPr>
        <w:t xml:space="preserve">tasya</w:t>
      </w:r>
      <w:r>
        <w:t xml:space="preserve">; so after the genitive</w:t>
      </w:r>
      <w:r>
        <w:t xml:space="preserve"> </w:t>
      </w:r>
      <w:r>
        <w:rPr>
          <w:iCs/>
          <w:i/>
        </w:rPr>
        <w:t xml:space="preserve">potuḥ</w:t>
      </w:r>
      <w:r>
        <w:t xml:space="preserve">,</w:t>
      </w:r>
      <w:r>
        <w:t xml:space="preserve"> </w:t>
      </w:r>
      <w:r>
        <w:rPr>
          <w:iCs/>
          <w:i/>
        </w:rPr>
        <w:t xml:space="preserve">aṇ</w:t>
      </w:r>
      <w:r>
        <w:t xml:space="preserve"> </w:t>
      </w:r>
      <w:r>
        <w:t xml:space="preserve">in the sense</w:t>
      </w:r>
      <w:r>
        <w:t xml:space="preserve"> </w:t>
      </w:r>
      <w:r>
        <w:rPr>
          <w:iCs/>
          <w:i/>
        </w:rPr>
        <w:t xml:space="preserve">idam</w:t>
      </w:r>
      <w:r>
        <w:t xml:space="preserve">:</w:t>
      </w:r>
      <w:r>
        <w:t xml:space="preserve"> </w:t>
      </w:r>
      <w:r>
        <w:rPr>
          <w:iCs/>
          <w:i/>
        </w:rPr>
        <w:t xml:space="preserve">potṛ</w:t>
      </w:r>
      <w:r>
        <w:t xml:space="preserve"> </w:t>
      </w:r>
      <w:r>
        <w:t xml:space="preserve">+</w:t>
      </w:r>
      <w:r>
        <w:t xml:space="preserve"> </w:t>
      </w:r>
      <w:r>
        <w:rPr>
          <w:iCs/>
          <w:i/>
        </w:rPr>
        <w:t xml:space="preserve">as</w:t>
      </w:r>
      <w:r>
        <w:t xml:space="preserve"> </w:t>
      </w:r>
      <w:r>
        <w:t xml:space="preserve">+</w:t>
      </w:r>
      <w:r>
        <w:t xml:space="preserve"> </w:t>
      </w:r>
      <w:r>
        <w:rPr>
          <w:iCs/>
          <w:i/>
        </w:rPr>
        <w:t xml:space="preserve">a</w:t>
      </w:r>
      <w:r>
        <w:t xml:space="preserve">; a</w:t>
      </w:r>
      <w:r>
        <w:t xml:space="preserve"> </w:t>
      </w:r>
      <w:r>
        <w:rPr>
          <w:iCs/>
          <w:i/>
        </w:rPr>
        <w:t xml:space="preserve">prātipadika</w:t>
      </w:r>
      <w:r>
        <w:t xml:space="preserve"> </w:t>
      </w:r>
      <w:r>
        <w:t xml:space="preserve">by</w:t>
      </w:r>
      <w:r>
        <w:t xml:space="preserve"> </w:t>
      </w:r>
      <w:r>
        <w:t xml:space="preserve">“</w:t>
      </w:r>
      <w:r>
        <w:t xml:space="preserve">kṛttaddhitasamāsāś ca</w:t>
      </w:r>
      <w:r>
        <w:t xml:space="preserve">”</w:t>
      </w:r>
      <w:r>
        <w:t xml:space="preserve"> </w:t>
      </w:r>
      <w:r>
        <w:t xml:space="preserve">(Pā. sū. 1-2-46); the ending dropped by</w:t>
      </w:r>
      <w:r>
        <w:t xml:space="preserve"> </w:t>
      </w:r>
      <w:r>
        <w:t xml:space="preserve">“</w:t>
      </w:r>
      <w:r>
        <w:t xml:space="preserve">supo dhātuprātipadikayoḥ</w:t>
      </w:r>
      <w:r>
        <w:t xml:space="preserve">”</w:t>
      </w:r>
      <w:r>
        <w:t xml:space="preserve"> </w:t>
      </w:r>
      <w:r>
        <w:t xml:space="preserve">(Pā. sū. 2-4-71):</w:t>
      </w:r>
      <w:r>
        <w:t xml:space="preserve"> </w:t>
      </w:r>
      <w:r>
        <w:rPr>
          <w:iCs/>
          <w:i/>
        </w:rPr>
        <w:t xml:space="preserve">potṛ</w:t>
      </w:r>
      <w:r>
        <w:t xml:space="preserve"> </w:t>
      </w:r>
      <w:r>
        <w:t xml:space="preserve">+</w:t>
      </w:r>
      <w:r>
        <w:t xml:space="preserve"> </w:t>
      </w:r>
      <w:r>
        <w:rPr>
          <w:iCs/>
          <w:i/>
        </w:rPr>
        <w:t xml:space="preserve">a</w:t>
      </w:r>
      <w:r>
        <w:t xml:space="preserve">.</w:t>
      </w:r>
      <w:r>
        <w:t xml:space="preserve"> </w:t>
      </w:r>
      <w:r>
        <w:t xml:space="preserve">“</w:t>
      </w:r>
      <w:r>
        <w:t xml:space="preserve">taddhiteṣv acām ādeḥ</w:t>
      </w:r>
      <w:r>
        <w:t xml:space="preserve">”</w:t>
      </w:r>
      <w:r>
        <w:t xml:space="preserve"> </w:t>
      </w:r>
      <w:r>
        <w:t xml:space="preserve">(Pā. sū. 7-2-117) would give</w:t>
      </w:r>
      <w:r>
        <w:t xml:space="preserve"> </w:t>
      </w:r>
      <w:r>
        <w:rPr>
          <w:iCs/>
          <w:i/>
        </w:rPr>
        <w:t xml:space="preserve">vṛddhi</w:t>
      </w:r>
      <w:r>
        <w:t xml:space="preserve"> </w:t>
      </w:r>
      <w:r>
        <w:t xml:space="preserve">to the first vowel; but by</w:t>
      </w:r>
    </w:p>
    <w:p>
      <w:pPr>
        <w:pStyle w:val="BlockText"/>
      </w:pPr>
      <w:r>
        <w:t xml:space="preserve">सर्वे विधयश्छन्दसि विकल्प्यन्ते</w:t>
      </w:r>
    </w:p>
    <w:p>
      <w:pPr>
        <w:pStyle w:val="BlockText"/>
      </w:pPr>
      <w:r>
        <w:rPr>
          <w:iCs/>
          <w:i/>
        </w:rPr>
        <w:t xml:space="preserve">sarve vidhayaśchandasi vikalpyante</w:t>
      </w:r>
    </w:p>
    <w:p>
      <w:pPr>
        <w:pStyle w:val="FirstParagraph"/>
      </w:pPr>
      <w:r>
        <w:rPr>
          <w:iCs/>
          <w:i/>
        </w:rPr>
        <w:t xml:space="preserve">(paribhāṣā 35)</w:t>
      </w:r>
      <w:r>
        <w:t xml:space="preserve"> </w:t>
      </w:r>
      <w:r>
        <w:t xml:space="preserve">this</w:t>
      </w:r>
      <w:r>
        <w:t xml:space="preserve"> </w:t>
      </w:r>
      <w:r>
        <w:rPr>
          <w:iCs/>
          <w:i/>
        </w:rPr>
        <w:t xml:space="preserve">vṛddhi</w:t>
      </w:r>
      <w:r>
        <w:t xml:space="preserve"> </w:t>
      </w:r>
      <w:r>
        <w:t xml:space="preserve">is optional and does not come. Without it,</w:t>
      </w:r>
      <w:r>
        <w:t xml:space="preserve"> </w:t>
      </w:r>
      <w:r>
        <w:t xml:space="preserve">“</w:t>
      </w:r>
      <w:r>
        <w:t xml:space="preserve">aco ñṇiti</w:t>
      </w:r>
      <w:r>
        <w:t xml:space="preserve">”</w:t>
      </w:r>
      <w:r>
        <w:t xml:space="preserve"> </w:t>
      </w:r>
      <w:r>
        <w:t xml:space="preserve">(Pā. sū. 7-2-115) would give</w:t>
      </w:r>
      <w:r>
        <w:t xml:space="preserve"> </w:t>
      </w:r>
      <w:r>
        <w:rPr>
          <w:iCs/>
          <w:i/>
        </w:rPr>
        <w:t xml:space="preserve">vṛddhi</w:t>
      </w:r>
      <w:r>
        <w:t xml:space="preserve"> </w:t>
      </w:r>
      <w:r>
        <w:t xml:space="preserve">to the final</w:t>
      </w:r>
      <w:r>
        <w:t xml:space="preserve"> </w:t>
      </w:r>
      <w:r>
        <w:rPr>
          <w:iCs/>
          <w:i/>
        </w:rPr>
        <w:t xml:space="preserve">ṛ</w:t>
      </w:r>
      <w:r>
        <w:t xml:space="preserve"> </w:t>
      </w:r>
      <w:r>
        <w:t xml:space="preserve">of</w:t>
      </w:r>
      <w:r>
        <w:t xml:space="preserve"> </w:t>
      </w:r>
      <w:r>
        <w:rPr>
          <w:iCs/>
          <w:i/>
        </w:rPr>
        <w:t xml:space="preserve">potṛ</w:t>
      </w:r>
      <w:r>
        <w:t xml:space="preserve">: for the</w:t>
      </w:r>
      <w:r>
        <w:t xml:space="preserve"> </w:t>
      </w:r>
      <w:r>
        <w:rPr>
          <w:iCs/>
          <w:i/>
        </w:rPr>
        <w:t xml:space="preserve">su</w:t>
      </w:r>
      <w:r>
        <w:t xml:space="preserve"> </w:t>
      </w:r>
      <w:r>
        <w:t xml:space="preserve">after</w:t>
      </w:r>
      <w:r>
        <w:t xml:space="preserve"> </w:t>
      </w:r>
      <w:r>
        <w:rPr>
          <w:iCs/>
          <w:i/>
        </w:rPr>
        <w:t xml:space="preserve">go</w:t>
      </w:r>
      <w:r>
        <w:t xml:space="preserve">,</w:t>
      </w:r>
      <w:r>
        <w:t xml:space="preserve"> </w:t>
      </w:r>
      <w:r>
        <w:t xml:space="preserve">“</w:t>
      </w:r>
      <w:r>
        <w:t xml:space="preserve">goto ṇit</w:t>
      </w:r>
      <w:r>
        <w:t xml:space="preserve">”</w:t>
      </w:r>
      <w:r>
        <w:t xml:space="preserve"> </w:t>
      </w:r>
      <w:r>
        <w:t xml:space="preserve">(Pā. sū. 7-1-90) gives</w:t>
      </w:r>
      <w:r>
        <w:t xml:space="preserve"> </w:t>
      </w:r>
      <w:r>
        <w:rPr>
          <w:iCs/>
          <w:i/>
        </w:rPr>
        <w:t xml:space="preserve">ṇit</w:t>
      </w:r>
      <w:r>
        <w:t xml:space="preserve">;</w:t>
      </w:r>
      <w:r>
        <w:t xml:space="preserve"> </w:t>
      </w:r>
      <w:r>
        <w:rPr>
          <w:iCs/>
          <w:i/>
        </w:rPr>
        <w:t xml:space="preserve">su</w:t>
      </w:r>
      <w:r>
        <w:t xml:space="preserve"> </w:t>
      </w:r>
      <w:r>
        <w:t xml:space="preserve">is not a</w:t>
      </w:r>
      <w:r>
        <w:t xml:space="preserve"> </w:t>
      </w:r>
      <w:r>
        <w:rPr>
          <w:iCs/>
          <w:i/>
        </w:rPr>
        <w:t xml:space="preserve">taddhita</w:t>
      </w:r>
      <w:r>
        <w:t xml:space="preserve">, so no initial</w:t>
      </w:r>
      <w:r>
        <w:t xml:space="preserve"> </w:t>
      </w:r>
      <w:r>
        <w:rPr>
          <w:iCs/>
          <w:i/>
        </w:rPr>
        <w:t xml:space="preserve">vṛddhi</w:t>
      </w:r>
      <w:r>
        <w:t xml:space="preserve">, and</w:t>
      </w:r>
      <w:r>
        <w:t xml:space="preserve"> </w:t>
      </w:r>
      <w:r>
        <w:t xml:space="preserve">“</w:t>
      </w:r>
      <w:r>
        <w:t xml:space="preserve">aco ñṇiti</w:t>
      </w:r>
      <w:r>
        <w:t xml:space="preserve">”</w:t>
      </w:r>
      <w:r>
        <w:t xml:space="preserve"> </w:t>
      </w:r>
      <w:r>
        <w:t xml:space="preserve">has scope there; after</w:t>
      </w:r>
      <w:r>
        <w:t xml:space="preserve"> </w:t>
      </w:r>
      <w:r>
        <w:rPr>
          <w:iCs/>
          <w:i/>
        </w:rPr>
        <w:t xml:space="preserve">pac</w:t>
      </w:r>
      <w:r>
        <w:t xml:space="preserve">,</w:t>
      </w:r>
      <w:r>
        <w:t xml:space="preserve"> </w:t>
      </w:r>
      <w:r>
        <w:rPr>
          <w:iCs/>
          <w:i/>
        </w:rPr>
        <w:t xml:space="preserve">ṇvul</w:t>
      </w:r>
      <w:r>
        <w:t xml:space="preserve"> </w:t>
      </w:r>
      <w:r>
        <w:t xml:space="preserve">gives</w:t>
      </w:r>
      <w:r>
        <w:t xml:space="preserve"> </w:t>
      </w:r>
      <w:r>
        <w:rPr>
          <w:iCs/>
          <w:i/>
        </w:rPr>
        <w:t xml:space="preserve">aka</w:t>
      </w:r>
      <w:r>
        <w:t xml:space="preserve">:</w:t>
      </w:r>
      <w:r>
        <w:t xml:space="preserve"> </w:t>
      </w:r>
      <w:r>
        <w:rPr>
          <w:iCs/>
          <w:i/>
        </w:rPr>
        <w:t xml:space="preserve">pac</w:t>
      </w:r>
      <w:r>
        <w:t xml:space="preserve"> </w:t>
      </w:r>
      <w:r>
        <w:t xml:space="preserve">+</w:t>
      </w:r>
      <w:r>
        <w:t xml:space="preserve"> </w:t>
      </w:r>
      <w:r>
        <w:rPr>
          <w:iCs/>
          <w:i/>
        </w:rPr>
        <w:t xml:space="preserve">aka</w:t>
      </w:r>
    </w:p>
    <w:bookmarkEnd w:id="681"/>
    <w:bookmarkStart w:id="682" w:name="page-633-rik-2-grammar-continued"/>
    <w:p>
      <w:pPr>
        <w:pStyle w:val="Heading3"/>
      </w:pPr>
      <w:r>
        <w:t xml:space="preserve">Page 633 — Rik 2: grammar (continued)</w:t>
      </w:r>
    </w:p>
    <w:p>
      <w:pPr>
        <w:pStyle w:val="FirstParagraph"/>
      </w:pPr>
      <w:r>
        <w:t xml:space="preserve">here neither initial nor final</w:t>
      </w:r>
      <w:r>
        <w:t xml:space="preserve"> </w:t>
      </w:r>
      <w:r>
        <w:rPr>
          <w:iCs/>
          <w:i/>
        </w:rPr>
        <w:t xml:space="preserve">vṛddhi</w:t>
      </w:r>
      <w:r>
        <w:t xml:space="preserve"> </w:t>
      </w:r>
      <w:r>
        <w:t xml:space="preserve">applies;</w:t>
      </w:r>
      <w:r>
        <w:t xml:space="preserve"> </w:t>
      </w:r>
      <w:r>
        <w:t xml:space="preserve">“</w:t>
      </w:r>
      <w:r>
        <w:t xml:space="preserve">ata upadhāyāḥ</w:t>
      </w:r>
      <w:r>
        <w:t xml:space="preserve">”</w:t>
      </w:r>
      <w:r>
        <w:t xml:space="preserve"> </w:t>
      </w:r>
      <w:r>
        <w:t xml:space="preserve">(Pā. sū. 7-2-116) gives the penultimate</w:t>
      </w:r>
      <w:r>
        <w:t xml:space="preserve"> </w:t>
      </w:r>
      <w:r>
        <w:rPr>
          <w:iCs/>
          <w:i/>
        </w:rPr>
        <w:t xml:space="preserve">vṛddhi</w:t>
      </w:r>
      <w:r>
        <w:t xml:space="preserve">:</w:t>
      </w:r>
      <w:r>
        <w:t xml:space="preserve"> </w:t>
      </w:r>
      <w:r>
        <w:rPr>
          <w:iCs/>
          <w:i/>
        </w:rPr>
        <w:t xml:space="preserve">pācaka</w:t>
      </w:r>
      <w:r>
        <w:t xml:space="preserve">; so the penultimate</w:t>
      </w:r>
      <w:r>
        <w:t xml:space="preserve"> </w:t>
      </w:r>
      <w:r>
        <w:rPr>
          <w:iCs/>
          <w:i/>
        </w:rPr>
        <w:t xml:space="preserve">vṛddhi</w:t>
      </w:r>
      <w:r>
        <w:t xml:space="preserve"> </w:t>
      </w:r>
      <w:r>
        <w:t xml:space="preserve">has scope there.</w:t>
      </w:r>
      <w:r>
        <w:t xml:space="preserve"> </w:t>
      </w:r>
      <w:r>
        <w:rPr>
          <w:iCs/>
          <w:i/>
        </w:rPr>
        <w:t xml:space="preserve">Sauśrutaḥ</w:t>
      </w:r>
      <w:r>
        <w:t xml:space="preserve">,</w:t>
      </w:r>
      <w:r>
        <w:t xml:space="preserve"> </w:t>
      </w:r>
      <w:r>
        <w:rPr>
          <w:iCs/>
          <w:i/>
        </w:rPr>
        <w:t xml:space="preserve">suśrutaḥ apatyaṃ pumān</w:t>
      </w:r>
      <w:r>
        <w:t xml:space="preserve">:</w:t>
      </w:r>
      <w:r>
        <w:t xml:space="preserve"> </w:t>
      </w:r>
      <w:r>
        <w:t xml:space="preserve">“</w:t>
      </w:r>
      <w:r>
        <w:t xml:space="preserve">tasyāpatyam</w:t>
      </w:r>
      <w:r>
        <w:t xml:space="preserve">”</w:t>
      </w:r>
      <w:r>
        <w:t xml:space="preserve"> </w:t>
      </w:r>
      <w:r>
        <w:t xml:space="preserve">(Pā. sū. 4-1-92)</w:t>
      </w:r>
      <w:r>
        <w:t xml:space="preserve"> </w:t>
      </w:r>
      <w:r>
        <w:rPr>
          <w:iCs/>
          <w:i/>
        </w:rPr>
        <w:t xml:space="preserve">aṇ</w:t>
      </w:r>
      <w:r>
        <w:t xml:space="preserve">:</w:t>
      </w:r>
      <w:r>
        <w:t xml:space="preserve"> </w:t>
      </w:r>
      <w:r>
        <w:rPr>
          <w:iCs/>
          <w:i/>
        </w:rPr>
        <w:t xml:space="preserve">suśrut</w:t>
      </w:r>
      <w:r>
        <w:t xml:space="preserve"> </w:t>
      </w:r>
      <w:r>
        <w:t xml:space="preserve">+</w:t>
      </w:r>
      <w:r>
        <w:t xml:space="preserve"> </w:t>
      </w:r>
      <w:r>
        <w:rPr>
          <w:iCs/>
          <w:i/>
        </w:rPr>
        <w:t xml:space="preserve">a</w:t>
      </w:r>
      <w:r>
        <w:t xml:space="preserve">; the stem does not end in a vowel, so no final</w:t>
      </w:r>
      <w:r>
        <w:t xml:space="preserve"> </w:t>
      </w:r>
      <w:r>
        <w:rPr>
          <w:iCs/>
          <w:i/>
        </w:rPr>
        <w:t xml:space="preserve">vṛddhi</w:t>
      </w:r>
      <w:r>
        <w:t xml:space="preserve"> </w:t>
      </w:r>
      <w:r>
        <w:t xml:space="preserve">by</w:t>
      </w:r>
      <w:r>
        <w:t xml:space="preserve"> </w:t>
      </w:r>
      <w:r>
        <w:t xml:space="preserve">“</w:t>
      </w:r>
      <w:r>
        <w:t xml:space="preserve">aco ñṇiti</w:t>
      </w:r>
      <w:r>
        <w:t xml:space="preserve">”</w:t>
      </w:r>
      <w:r>
        <w:t xml:space="preserve"> </w:t>
      </w:r>
      <w:r>
        <w:t xml:space="preserve">(Pā. sū. 7-2-115); the penultimate is not</w:t>
      </w:r>
      <w:r>
        <w:t xml:space="preserve"> </w:t>
      </w:r>
      <w:r>
        <w:rPr>
          <w:iCs/>
          <w:i/>
        </w:rPr>
        <w:t xml:space="preserve">a</w:t>
      </w:r>
      <w:r>
        <w:t xml:space="preserve">, so no penultimate</w:t>
      </w:r>
      <w:r>
        <w:t xml:space="preserve"> </w:t>
      </w:r>
      <w:r>
        <w:rPr>
          <w:iCs/>
          <w:i/>
        </w:rPr>
        <w:t xml:space="preserve">vṛddhi</w:t>
      </w:r>
      <w:r>
        <w:t xml:space="preserve">; where final and penultimate</w:t>
      </w:r>
      <w:r>
        <w:t xml:space="preserve"> </w:t>
      </w:r>
      <w:r>
        <w:rPr>
          <w:iCs/>
          <w:i/>
        </w:rPr>
        <w:t xml:space="preserve">vṛddhi</w:t>
      </w:r>
      <w:r>
        <w:t xml:space="preserve"> </w:t>
      </w:r>
      <w:r>
        <w:t xml:space="preserve">do not come, the initial</w:t>
      </w:r>
      <w:r>
        <w:t xml:space="preserve"> </w:t>
      </w:r>
      <w:r>
        <w:rPr>
          <w:iCs/>
          <w:i/>
        </w:rPr>
        <w:t xml:space="preserve">vṛddhi</w:t>
      </w:r>
      <w:r>
        <w:t xml:space="preserve"> </w:t>
      </w:r>
      <w:r>
        <w:t xml:space="preserve">has scope. So each of the three has its own field. In</w:t>
      </w:r>
      <w:r>
        <w:t xml:space="preserve"> </w:t>
      </w:r>
      <w:r>
        <w:rPr>
          <w:iCs/>
          <w:i/>
        </w:rPr>
        <w:t xml:space="preserve">tvaṣṭuḥ apatyaṃ pumān tvāṣṭraḥ</w:t>
      </w:r>
      <w:r>
        <w:t xml:space="preserve">, with</w:t>
      </w:r>
      <w:r>
        <w:t xml:space="preserve"> </w:t>
      </w:r>
      <w:r>
        <w:rPr>
          <w:iCs/>
          <w:i/>
        </w:rPr>
        <w:t xml:space="preserve">aṇ</w:t>
      </w:r>
      <w:r>
        <w:t xml:space="preserve"> </w:t>
      </w:r>
      <w:r>
        <w:t xml:space="preserve">after</w:t>
      </w:r>
      <w:r>
        <w:t xml:space="preserve"> </w:t>
      </w:r>
      <w:r>
        <w:rPr>
          <w:iCs/>
          <w:i/>
        </w:rPr>
        <w:t xml:space="preserve">tvaṣṭṛ</w:t>
      </w:r>
      <w:r>
        <w:t xml:space="preserve"> </w:t>
      </w:r>
      <w:r>
        <w:t xml:space="preserve">in the sense of</w:t>
      </w:r>
      <w:r>
        <w:t xml:space="preserve"> </w:t>
      </w:r>
      <w:r>
        <w:rPr>
          <w:iCs/>
          <w:i/>
        </w:rPr>
        <w:t xml:space="preserve">apatya</w:t>
      </w:r>
      <w:r>
        <w:t xml:space="preserve">, both final and initial</w:t>
      </w:r>
      <w:r>
        <w:t xml:space="preserve"> </w:t>
      </w:r>
      <w:r>
        <w:rPr>
          <w:iCs/>
          <w:i/>
        </w:rPr>
        <w:t xml:space="preserve">vṛddhi</w:t>
      </w:r>
      <w:r>
        <w:t xml:space="preserve"> </w:t>
      </w:r>
      <w:r>
        <w:t xml:space="preserve">apply; in</w:t>
      </w:r>
      <w:r>
        <w:t xml:space="preserve"> </w:t>
      </w:r>
      <w:r>
        <w:rPr>
          <w:iCs/>
          <w:i/>
        </w:rPr>
        <w:t xml:space="preserve">jagat</w:t>
      </w:r>
      <w:r>
        <w:t xml:space="preserve"> </w:t>
      </w:r>
      <w:r>
        <w:t xml:space="preserve">+</w:t>
      </w:r>
      <w:r>
        <w:t xml:space="preserve"> </w:t>
      </w:r>
      <w:r>
        <w:rPr>
          <w:iCs/>
          <w:i/>
        </w:rPr>
        <w:t xml:space="preserve">a</w:t>
      </w:r>
      <w:r>
        <w:t xml:space="preserve">, both penultimate and initial</w:t>
      </w:r>
      <w:r>
        <w:t xml:space="preserve"> </w:t>
      </w:r>
      <w:r>
        <w:rPr>
          <w:iCs/>
          <w:i/>
        </w:rPr>
        <w:t xml:space="preserve">vṛddhi</w:t>
      </w:r>
      <w:r>
        <w:t xml:space="preserve">. When so,</w:t>
      </w:r>
      <w:r>
        <w:t xml:space="preserve"> </w:t>
      </w:r>
      <w:r>
        <w:t xml:space="preserve">“</w:t>
      </w:r>
      <w:r>
        <w:t xml:space="preserve">vipratiṣedhe paraṃ kāryam</w:t>
      </w:r>
      <w:r>
        <w:t xml:space="preserve">”</w:t>
      </w:r>
      <w:r>
        <w:t xml:space="preserve"> </w:t>
      </w:r>
      <w:r>
        <w:t xml:space="preserve">(Pā. sū. 1-4-2): when rules that have scope elsewhere apply to one case at one time, that is</w:t>
      </w:r>
      <w:r>
        <w:t xml:space="preserve"> </w:t>
      </w:r>
      <w:r>
        <w:rPr>
          <w:iCs/>
          <w:i/>
        </w:rPr>
        <w:t xml:space="preserve">vipratiṣedha</w:t>
      </w:r>
      <w:r>
        <w:t xml:space="preserve">, and the later rule wins; so in both places the later initial</w:t>
      </w:r>
      <w:r>
        <w:t xml:space="preserve"> </w:t>
      </w:r>
      <w:r>
        <w:rPr>
          <w:iCs/>
          <w:i/>
        </w:rPr>
        <w:t xml:space="preserve">vṛddhi</w:t>
      </w:r>
      <w:r>
        <w:t xml:space="preserve"> </w:t>
      </w:r>
      <w:r>
        <w:t xml:space="preserve">overrides the final and penultimate</w:t>
      </w:r>
      <w:r>
        <w:t xml:space="preserve"> </w:t>
      </w:r>
      <w:r>
        <w:rPr>
          <w:iCs/>
          <w:i/>
        </w:rPr>
        <w:t xml:space="preserve">vṛddhi</w:t>
      </w:r>
      <w:r>
        <w:t xml:space="preserve">. Once the initial</w:t>
      </w:r>
      <w:r>
        <w:t xml:space="preserve"> </w:t>
      </w:r>
      <w:r>
        <w:rPr>
          <w:iCs/>
          <w:i/>
        </w:rPr>
        <w:t xml:space="preserve">vṛddhi</w:t>
      </w:r>
      <w:r>
        <w:t xml:space="preserve"> </w:t>
      </w:r>
      <w:r>
        <w:t xml:space="preserve">has come, by</w:t>
      </w:r>
    </w:p>
    <w:p>
      <w:pPr>
        <w:pStyle w:val="BlockText"/>
      </w:pPr>
      <w:r>
        <w:t xml:space="preserve">सकृद्गतौ विप्रतिषेधेन यद्बाधितं तद्बाधितमेव</w:t>
      </w:r>
    </w:p>
    <w:p>
      <w:pPr>
        <w:pStyle w:val="BlockText"/>
      </w:pPr>
      <w:r>
        <w:rPr>
          <w:iCs/>
          <w:i/>
        </w:rPr>
        <w:t xml:space="preserve">sakṛdgatau vipratiṣedhena yadbādhitaṃ tadbādhitameva</w:t>
      </w:r>
    </w:p>
    <w:p>
      <w:pPr>
        <w:pStyle w:val="FirstParagraph"/>
      </w:pPr>
      <w:r>
        <w:rPr>
          <w:iCs/>
          <w:i/>
        </w:rPr>
        <w:t xml:space="preserve">(paribhāṣā 40)</w:t>
      </w:r>
      <w:r>
        <w:t xml:space="preserve"> </w:t>
      </w:r>
      <w:r>
        <w:t xml:space="preserve">the final and penultimate</w:t>
      </w:r>
      <w:r>
        <w:t xml:space="preserve"> </w:t>
      </w:r>
      <w:r>
        <w:rPr>
          <w:iCs/>
          <w:i/>
        </w:rPr>
        <w:t xml:space="preserve">vṛddhi</w:t>
      </w:r>
      <w:r>
        <w:t xml:space="preserve"> </w:t>
      </w:r>
      <w:r>
        <w:t xml:space="preserve">do not come again. Since Puṣkarasad is read in the</w:t>
      </w:r>
      <w:r>
        <w:t xml:space="preserve"> </w:t>
      </w:r>
      <w:r>
        <w:rPr>
          <w:iCs/>
          <w:i/>
        </w:rPr>
        <w:t xml:space="preserve">anuśatikādi</w:t>
      </w:r>
      <w:r>
        <w:t xml:space="preserve"> </w:t>
      </w:r>
      <w:r>
        <w:t xml:space="preserve">class for</w:t>
      </w:r>
      <w:r>
        <w:t xml:space="preserve"> </w:t>
      </w:r>
      <w:r>
        <w:rPr>
          <w:iCs/>
          <w:i/>
        </w:rPr>
        <w:t xml:space="preserve">vṛddhi</w:t>
      </w:r>
      <w:r>
        <w:t xml:space="preserve"> </w:t>
      </w:r>
      <w:r>
        <w:t xml:space="preserve">of both members, here</w:t>
      </w:r>
    </w:p>
    <w:p>
      <w:pPr>
        <w:pStyle w:val="BlockText"/>
      </w:pPr>
      <w:r>
        <w:t xml:space="preserve">पुनःप्रसङ्गविज्ञानात्सिद्धम्</w:t>
      </w:r>
    </w:p>
    <w:p>
      <w:pPr>
        <w:pStyle w:val="BlockText"/>
      </w:pPr>
      <w:r>
        <w:rPr>
          <w:iCs/>
          <w:i/>
        </w:rPr>
        <w:t xml:space="preserve">punaḥprasaṅgavijñānātsiddham</w:t>
      </w:r>
    </w:p>
    <w:p>
      <w:pPr>
        <w:pStyle w:val="FirstParagraph"/>
      </w:pPr>
      <w:r>
        <w:rPr>
          <w:iCs/>
          <w:i/>
        </w:rPr>
        <w:t xml:space="preserve">(paribhāṣā 39)</w:t>
      </w:r>
      <w:r>
        <w:t xml:space="preserve"> </w:t>
      </w:r>
      <w:r>
        <w:t xml:space="preserve">does not apply: on the view that relies on this paribhāṣā, with</w:t>
      </w:r>
      <w:r>
        <w:t xml:space="preserve"> </w:t>
      </w:r>
      <w:r>
        <w:rPr>
          <w:iCs/>
          <w:i/>
        </w:rPr>
        <w:t xml:space="preserve">puṣkarasad</w:t>
      </w:r>
      <w:r>
        <w:t xml:space="preserve"> </w:t>
      </w:r>
      <w:r>
        <w:t xml:space="preserve">+</w:t>
      </w:r>
      <w:r>
        <w:t xml:space="preserve"> </w:t>
      </w:r>
      <w:r>
        <w:rPr>
          <w:iCs/>
          <w:i/>
        </w:rPr>
        <w:t xml:space="preserve">i</w:t>
      </w:r>
      <w:r>
        <w:t xml:space="preserve">, if both initial and penultimate</w:t>
      </w:r>
      <w:r>
        <w:t xml:space="preserve"> </w:t>
      </w:r>
      <w:r>
        <w:rPr>
          <w:iCs/>
          <w:i/>
        </w:rPr>
        <w:t xml:space="preserve">vṛddhi</w:t>
      </w:r>
      <w:r>
        <w:t xml:space="preserve"> </w:t>
      </w:r>
      <w:r>
        <w:t xml:space="preserve">came, the form</w:t>
      </w:r>
      <w:r>
        <w:t xml:space="preserve"> </w:t>
      </w:r>
      <w:r>
        <w:rPr>
          <w:iCs/>
          <w:i/>
        </w:rPr>
        <w:t xml:space="preserve">pauṣkarasādi</w:t>
      </w:r>
      <w:r>
        <w:t xml:space="preserve"> </w:t>
      </w:r>
      <w:r>
        <w:t xml:space="preserve">would be got, and the reading of</w:t>
      </w:r>
      <w:r>
        <w:t xml:space="preserve"> </w:t>
      </w:r>
      <w:r>
        <w:rPr>
          <w:iCs/>
          <w:i/>
        </w:rPr>
        <w:t xml:space="preserve">puṣkarasad</w:t>
      </w:r>
      <w:r>
        <w:t xml:space="preserve"> </w:t>
      </w:r>
      <w:r>
        <w:t xml:space="preserve">in</w:t>
      </w:r>
      <w:r>
        <w:t xml:space="preserve"> </w:t>
      </w:r>
      <w:r>
        <w:rPr>
          <w:iCs/>
          <w:i/>
        </w:rPr>
        <w:t xml:space="preserve">anuśatikādi</w:t>
      </w:r>
      <w:r>
        <w:t xml:space="preserve"> </w:t>
      </w:r>
      <w:r>
        <w:t xml:space="preserve">for</w:t>
      </w:r>
      <w:r>
        <w:t xml:space="preserve"> </w:t>
      </w:r>
      <w:r>
        <w:rPr>
          <w:iCs/>
          <w:i/>
        </w:rPr>
        <w:t xml:space="preserve">vṛddhi</w:t>
      </w:r>
      <w:r>
        <w:t xml:space="preserve"> </w:t>
      </w:r>
      <w:r>
        <w:t xml:space="preserve">of both members by</w:t>
      </w:r>
      <w:r>
        <w:t xml:space="preserve"> </w:t>
      </w:r>
      <w:r>
        <w:t xml:space="preserve">“</w:t>
      </w:r>
      <w:r>
        <w:t xml:space="preserve">anuśatikādīnāṃ ca</w:t>
      </w:r>
      <w:r>
        <w:t xml:space="preserve">”</w:t>
      </w:r>
      <w:r>
        <w:t xml:space="preserve"> </w:t>
      </w:r>
      <w:r>
        <w:t xml:space="preserve">(Pā. sū. 7-3-20) would be useless. So here the</w:t>
      </w:r>
      <w:r>
        <w:t xml:space="preserve"> </w:t>
      </w:r>
      <w:r>
        <w:rPr>
          <w:iCs/>
          <w:i/>
        </w:rPr>
        <w:t xml:space="preserve">sakṛdgati</w:t>
      </w:r>
      <w:r>
        <w:t xml:space="preserve"> </w:t>
      </w:r>
      <w:r>
        <w:t xml:space="preserve">applies, not the</w:t>
      </w:r>
      <w:r>
        <w:t xml:space="preserve"> </w:t>
      </w:r>
      <w:r>
        <w:rPr>
          <w:iCs/>
          <w:i/>
        </w:rPr>
        <w:t xml:space="preserve">punaḥprasaṅga</w:t>
      </w:r>
      <w:r>
        <w:t xml:space="preserve">. Thus the initial</w:t>
      </w:r>
      <w:r>
        <w:t xml:space="preserve"> </w:t>
      </w:r>
      <w:r>
        <w:rPr>
          <w:iCs/>
          <w:i/>
        </w:rPr>
        <w:t xml:space="preserve">vṛddhi</w:t>
      </w:r>
      <w:r>
        <w:t xml:space="preserve"> </w:t>
      </w:r>
      <w:r>
        <w:t xml:space="preserve">overrides the final and penultimate</w:t>
      </w:r>
      <w:r>
        <w:t xml:space="preserve"> </w:t>
      </w:r>
      <w:r>
        <w:rPr>
          <w:iCs/>
          <w:i/>
        </w:rPr>
        <w:t xml:space="preserve">vṛddhi</w:t>
      </w:r>
      <w:r>
        <w:t xml:space="preserve">. The Kaumudī states this point as</w:t>
      </w:r>
    </w:p>
    <w:p>
      <w:pPr>
        <w:pStyle w:val="BlockText"/>
      </w:pPr>
      <w:r>
        <w:t xml:space="preserve">आदिवृद्धिरन्त्योपधावृद्धी बाधते</w:t>
      </w:r>
    </w:p>
    <w:p>
      <w:pPr>
        <w:pStyle w:val="BlockText"/>
      </w:pPr>
      <w:r>
        <w:rPr>
          <w:iCs/>
          <w:i/>
        </w:rPr>
        <w:t xml:space="preserve">ādivṛddhirantyopadhāvṛddhī bādhate</w:t>
      </w:r>
    </w:p>
    <w:p>
      <w:pPr>
        <w:pStyle w:val="FirstParagraph"/>
      </w:pPr>
      <w:r>
        <w:t xml:space="preserve">Here the overriding initial</w:t>
      </w:r>
      <w:r>
        <w:t xml:space="preserve"> </w:t>
      </w:r>
      <w:r>
        <w:rPr>
          <w:iCs/>
          <w:i/>
        </w:rPr>
        <w:t xml:space="preserve">vṛddhi</w:t>
      </w:r>
      <w:r>
        <w:t xml:space="preserve"> </w:t>
      </w:r>
      <w:r>
        <w:t xml:space="preserve">does not come, being optional in the Veda, so the final</w:t>
      </w:r>
      <w:r>
        <w:t xml:space="preserve"> </w:t>
      </w:r>
      <w:r>
        <w:rPr>
          <w:iCs/>
          <w:i/>
        </w:rPr>
        <w:t xml:space="preserve">vṛddhi</w:t>
      </w:r>
      <w:r>
        <w:t xml:space="preserve"> </w:t>
      </w:r>
      <w:r>
        <w:t xml:space="preserve">is not overridden, and one may say the final</w:t>
      </w:r>
      <w:r>
        <w:t xml:space="preserve"> </w:t>
      </w:r>
      <w:r>
        <w:rPr>
          <w:iCs/>
          <w:i/>
        </w:rPr>
        <w:t xml:space="preserve">vṛddhi</w:t>
      </w:r>
      <w:r>
        <w:t xml:space="preserve"> </w:t>
      </w:r>
      <w:r>
        <w:t xml:space="preserve">should come. On that view, let the initial</w:t>
      </w:r>
      <w:r>
        <w:t xml:space="preserve"> </w:t>
      </w:r>
      <w:r>
        <w:rPr>
          <w:iCs/>
          <w:i/>
        </w:rPr>
        <w:t xml:space="preserve">vṛddhi</w:t>
      </w:r>
      <w:r>
        <w:t xml:space="preserve"> </w:t>
      </w:r>
      <w:r>
        <w:t xml:space="preserve">come here too: in</w:t>
      </w:r>
      <w:r>
        <w:t xml:space="preserve"> </w:t>
      </w:r>
      <w:r>
        <w:rPr>
          <w:iCs/>
          <w:i/>
        </w:rPr>
        <w:t xml:space="preserve">pautra</w:t>
      </w:r>
      <w:r>
        <w:t xml:space="preserve"> </w:t>
      </w:r>
      <w:r>
        <w:t xml:space="preserve">the</w:t>
      </w:r>
      <w:r>
        <w:t xml:space="preserve"> </w:t>
      </w:r>
      <w:r>
        <w:rPr>
          <w:iCs/>
          <w:i/>
        </w:rPr>
        <w:t xml:space="preserve">au</w:t>
      </w:r>
      <w:r>
        <w:t xml:space="preserve"> </w:t>
      </w:r>
      <w:r>
        <w:t xml:space="preserve">becomes</w:t>
      </w:r>
      <w:r>
        <w:t xml:space="preserve"> </w:t>
      </w:r>
      <w:r>
        <w:rPr>
          <w:iCs/>
          <w:i/>
        </w:rPr>
        <w:t xml:space="preserve">o</w:t>
      </w:r>
      <w:r>
        <w:t xml:space="preserve"> </w:t>
      </w:r>
      <w:r>
        <w:t xml:space="preserve">as a Vedic form, they say. Then, being overridden by the initial</w:t>
      </w:r>
      <w:r>
        <w:t xml:space="preserve"> </w:t>
      </w:r>
      <w:r>
        <w:rPr>
          <w:iCs/>
          <w:i/>
        </w:rPr>
        <w:t xml:space="preserve">vṛddhi</w:t>
      </w:r>
      <w:r>
        <w:t xml:space="preserve">, the final</w:t>
      </w:r>
      <w:r>
        <w:t xml:space="preserve"> </w:t>
      </w:r>
      <w:r>
        <w:rPr>
          <w:iCs/>
          <w:i/>
        </w:rPr>
        <w:t xml:space="preserve">vṛddhi</w:t>
      </w:r>
      <w:r>
        <w:t xml:space="preserve"> </w:t>
      </w:r>
      <w:r>
        <w:t xml:space="preserve">does not come.</w:t>
      </w:r>
    </w:p>
    <w:p>
      <w:pPr>
        <w:pStyle w:val="BodyText"/>
      </w:pPr>
      <w:r>
        <w:rPr>
          <w:bCs/>
          <w:b/>
        </w:rPr>
        <w:t xml:space="preserve">पुनीतन (</w:t>
      </w:r>
      <w:r>
        <w:rPr>
          <w:iCs/>
          <w:i/>
          <w:bCs/>
          <w:b/>
        </w:rPr>
        <w:t xml:space="preserve">punītana</w:t>
      </w:r>
      <w:r>
        <w:rPr>
          <w:bCs/>
          <w:b/>
        </w:rPr>
        <w:t xml:space="preserve">)</w:t>
      </w:r>
      <w:r>
        <w:t xml:space="preserve">:</w:t>
      </w:r>
      <w:r>
        <w:t xml:space="preserve"> </w:t>
      </w:r>
      <w:r>
        <w:rPr>
          <w:iCs/>
          <w:i/>
        </w:rPr>
        <w:t xml:space="preserve">pūñ pavane</w:t>
      </w:r>
      <w:r>
        <w:t xml:space="preserve"> </w:t>
      </w:r>
      <w:r>
        <w:t xml:space="preserve">(</w:t>
      </w:r>
      <w:r>
        <w:rPr>
          <w:iCs/>
          <w:i/>
        </w:rPr>
        <w:t xml:space="preserve">kryādi</w:t>
      </w:r>
      <w:r>
        <w:t xml:space="preserve">);</w:t>
      </w:r>
      <w:r>
        <w:t xml:space="preserve"> </w:t>
      </w:r>
      <w:r>
        <w:rPr>
          <w:iCs/>
          <w:i/>
        </w:rPr>
        <w:t xml:space="preserve">loṭ</w:t>
      </w:r>
      <w:r>
        <w:t xml:space="preserve">,</w:t>
      </w:r>
      <w:r>
        <w:t xml:space="preserve"> </w:t>
      </w:r>
      <w:r>
        <w:rPr>
          <w:iCs/>
          <w:i/>
        </w:rPr>
        <w:t xml:space="preserve">parasmaipada</w:t>
      </w:r>
      <w:r>
        <w:t xml:space="preserve"> </w:t>
      </w:r>
      <w:r>
        <w:t xml:space="preserve">2nd plural</w:t>
      </w:r>
      <w:r>
        <w:t xml:space="preserve"> </w:t>
      </w:r>
      <w:r>
        <w:rPr>
          <w:iCs/>
          <w:i/>
        </w:rPr>
        <w:t xml:space="preserve">tha</w:t>
      </w:r>
      <w:r>
        <w:t xml:space="preserve">:</w:t>
      </w:r>
      <w:r>
        <w:t xml:space="preserve"> </w:t>
      </w:r>
      <w:r>
        <w:rPr>
          <w:iCs/>
          <w:i/>
        </w:rPr>
        <w:t xml:space="preserve">pū</w:t>
      </w:r>
      <w:r>
        <w:t xml:space="preserve"> </w:t>
      </w:r>
      <w:r>
        <w:t xml:space="preserve">+</w:t>
      </w:r>
      <w:r>
        <w:t xml:space="preserve"> </w:t>
      </w:r>
      <w:r>
        <w:rPr>
          <w:iCs/>
          <w:i/>
        </w:rPr>
        <w:t xml:space="preserve">tha</w:t>
      </w:r>
      <w:r>
        <w:t xml:space="preserve">; by</w:t>
      </w:r>
      <w:r>
        <w:t xml:space="preserve"> </w:t>
      </w:r>
      <w:r>
        <w:t xml:space="preserve">“</w:t>
      </w:r>
      <w:r>
        <w:t xml:space="preserve">loṭo laṅvat</w:t>
      </w:r>
      <w:r>
        <w:t xml:space="preserve">”</w:t>
      </w:r>
      <w:r>
        <w:t xml:space="preserve"> </w:t>
      </w:r>
      <w:r>
        <w:t xml:space="preserve">(Pā. sū. 3-4-85) the</w:t>
      </w:r>
      <w:r>
        <w:t xml:space="preserve"> </w:t>
      </w:r>
      <w:r>
        <w:rPr>
          <w:iCs/>
          <w:i/>
        </w:rPr>
        <w:t xml:space="preserve">laṅvadbhāva</w:t>
      </w:r>
      <w:r>
        <w:t xml:space="preserve">, so</w:t>
      </w:r>
      <w:r>
        <w:t xml:space="preserve"> </w:t>
      </w:r>
      <w:r>
        <w:rPr>
          <w:iCs/>
          <w:i/>
        </w:rPr>
        <w:t xml:space="preserve">ta</w:t>
      </w:r>
      <w:r>
        <w:t xml:space="preserve"> </w:t>
      </w:r>
      <w:r>
        <w:t xml:space="preserve">for</w:t>
      </w:r>
      <w:r>
        <w:t xml:space="preserve"> </w:t>
      </w:r>
      <w:r>
        <w:rPr>
          <w:iCs/>
          <w:i/>
        </w:rPr>
        <w:t xml:space="preserve">tha</w:t>
      </w:r>
      <w:r>
        <w:t xml:space="preserve"> </w:t>
      </w:r>
      <w:r>
        <w:t xml:space="preserve">by</w:t>
      </w:r>
      <w:r>
        <w:t xml:space="preserve"> </w:t>
      </w:r>
      <w:r>
        <w:t xml:space="preserve">“</w:t>
      </w:r>
      <w:r>
        <w:t xml:space="preserve">tasthasthamipāṃ tāṃtaṃtāmaḥ</w:t>
      </w:r>
      <w:r>
        <w:t xml:space="preserve">”</w:t>
      </w:r>
      <w:r>
        <w:t xml:space="preserve"> </w:t>
      </w:r>
      <w:r>
        <w:t xml:space="preserve">(Pā. sū. 3-4-101);</w:t>
      </w:r>
      <w:r>
        <w:t xml:space="preserve"> </w:t>
      </w:r>
      <w:r>
        <w:rPr>
          <w:iCs/>
          <w:i/>
        </w:rPr>
        <w:t xml:space="preserve">tana</w:t>
      </w:r>
      <w:r>
        <w:t xml:space="preserve"> </w:t>
      </w:r>
      <w:r>
        <w:t xml:space="preserve">for</w:t>
      </w:r>
      <w:r>
        <w:t xml:space="preserve"> </w:t>
      </w:r>
      <w:r>
        <w:rPr>
          <w:iCs/>
          <w:i/>
        </w:rPr>
        <w:t xml:space="preserve">ta</w:t>
      </w:r>
      <w:r>
        <w:t xml:space="preserve"> </w:t>
      </w:r>
      <w:r>
        <w:t xml:space="preserve">by</w:t>
      </w:r>
      <w:r>
        <w:t xml:space="preserve"> </w:t>
      </w:r>
      <w:r>
        <w:t xml:space="preserve">“</w:t>
      </w:r>
      <w:r>
        <w:t xml:space="preserve">taptanaptanathanāś ca</w:t>
      </w:r>
      <w:r>
        <w:t xml:space="preserve">”</w:t>
      </w:r>
      <w:r>
        <w:t xml:space="preserve"> </w:t>
      </w:r>
      <w:r>
        <w:t xml:space="preserve">(Pā. sū. 7-1-45):</w:t>
      </w:r>
      <w:r>
        <w:t xml:space="preserve"> </w:t>
      </w:r>
      <w:r>
        <w:rPr>
          <w:iCs/>
          <w:i/>
        </w:rPr>
        <w:t xml:space="preserve">pū</w:t>
      </w:r>
      <w:r>
        <w:t xml:space="preserve"> </w:t>
      </w:r>
      <w:r>
        <w:t xml:space="preserve">+</w:t>
      </w:r>
      <w:r>
        <w:t xml:space="preserve"> </w:t>
      </w:r>
      <w:r>
        <w:rPr>
          <w:iCs/>
          <w:i/>
        </w:rPr>
        <w:t xml:space="preserve">tana</w:t>
      </w:r>
      <w:r>
        <w:t xml:space="preserve">; the</w:t>
      </w:r>
      <w:r>
        <w:t xml:space="preserve"> </w:t>
      </w:r>
      <w:r>
        <w:rPr>
          <w:iCs/>
          <w:i/>
        </w:rPr>
        <w:t xml:space="preserve">vikaraṇa</w:t>
      </w:r>
      <w:r>
        <w:t xml:space="preserve"> </w:t>
      </w:r>
      <w:r>
        <w:rPr>
          <w:iCs/>
          <w:i/>
        </w:rPr>
        <w:t xml:space="preserve">śnā</w:t>
      </w:r>
      <w:r>
        <w:t xml:space="preserve"> </w:t>
      </w:r>
      <w:r>
        <w:t xml:space="preserve">by</w:t>
      </w:r>
      <w:r>
        <w:t xml:space="preserve"> </w:t>
      </w:r>
      <w:r>
        <w:t xml:space="preserve">“</w:t>
      </w:r>
      <w:r>
        <w:t xml:space="preserve">kryādibhyaḥ śnā</w:t>
      </w:r>
      <w:r>
        <w:t xml:space="preserve">”</w:t>
      </w:r>
      <w:r>
        <w:t xml:space="preserve"> </w:t>
      </w:r>
      <w:r>
        <w:t xml:space="preserve">(Pā. sū. 3-1-81):</w:t>
      </w:r>
      <w:r>
        <w:t xml:space="preserve"> </w:t>
      </w:r>
      <w:r>
        <w:rPr>
          <w:iCs/>
          <w:i/>
        </w:rPr>
        <w:t xml:space="preserve">pū</w:t>
      </w:r>
      <w:r>
        <w:t xml:space="preserve"> </w:t>
      </w:r>
      <w:r>
        <w:t xml:space="preserve">+</w:t>
      </w:r>
      <w:r>
        <w:t xml:space="preserve"> </w:t>
      </w:r>
      <w:r>
        <w:rPr>
          <w:iCs/>
          <w:i/>
        </w:rPr>
        <w:t xml:space="preserve">nā</w:t>
      </w:r>
      <w:r>
        <w:t xml:space="preserve"> </w:t>
      </w:r>
      <w:r>
        <w:t xml:space="preserve">+</w:t>
      </w:r>
      <w:r>
        <w:t xml:space="preserve"> </w:t>
      </w:r>
      <w:r>
        <w:rPr>
          <w:iCs/>
          <w:i/>
        </w:rPr>
        <w:t xml:space="preserve">tana</w:t>
      </w:r>
      <w:r>
        <w:t xml:space="preserve">.</w:t>
      </w:r>
      <w:r>
        <w:t xml:space="preserve"> </w:t>
      </w:r>
      <w:r>
        <w:t xml:space="preserve">“</w:t>
      </w:r>
      <w:r>
        <w:t xml:space="preserve">ī halyaghoḥ</w:t>
      </w:r>
      <w:r>
        <w:t xml:space="preserve">”</w:t>
      </w:r>
    </w:p>
    <w:bookmarkEnd w:id="682"/>
    <w:bookmarkStart w:id="683" w:name="page-634-rik-2-grammar-continued"/>
    <w:p>
      <w:pPr>
        <w:pStyle w:val="Heading3"/>
      </w:pPr>
      <w:r>
        <w:t xml:space="preserve">Page 634 — Rik 2: grammar (continued)</w:t>
      </w:r>
    </w:p>
    <w:p>
      <w:pPr>
        <w:pStyle w:val="FirstParagraph"/>
      </w:pPr>
      <w:r>
        <w:t xml:space="preserve">(Pā. sū. 6-4-113): before a consonant-initial</w:t>
      </w:r>
      <w:r>
        <w:t xml:space="preserve"> </w:t>
      </w:r>
      <w:r>
        <w:rPr>
          <w:iCs/>
          <w:i/>
        </w:rPr>
        <w:t xml:space="preserve">sārvadhātuka</w:t>
      </w:r>
      <w:r>
        <w:t xml:space="preserve"> </w:t>
      </w:r>
      <w:r>
        <w:t xml:space="preserve">that is</w:t>
      </w:r>
      <w:r>
        <w:t xml:space="preserve"> </w:t>
      </w:r>
      <w:r>
        <w:rPr>
          <w:iCs/>
          <w:i/>
        </w:rPr>
        <w:t xml:space="preserve">kit</w:t>
      </w:r>
      <w:r>
        <w:t xml:space="preserve"> </w:t>
      </w:r>
      <w:r>
        <w:t xml:space="preserve">or</w:t>
      </w:r>
      <w:r>
        <w:t xml:space="preserve"> </w:t>
      </w:r>
      <w:r>
        <w:rPr>
          <w:iCs/>
          <w:i/>
        </w:rPr>
        <w:t xml:space="preserve">ṅit</w:t>
      </w:r>
      <w:r>
        <w:t xml:space="preserve">,</w:t>
      </w:r>
      <w:r>
        <w:t xml:space="preserve"> </w:t>
      </w:r>
      <w:r>
        <w:rPr>
          <w:iCs/>
          <w:i/>
        </w:rPr>
        <w:t xml:space="preserve">ī</w:t>
      </w:r>
      <w:r>
        <w:t xml:space="preserve"> </w:t>
      </w:r>
      <w:r>
        <w:t xml:space="preserve">for the</w:t>
      </w:r>
      <w:r>
        <w:t xml:space="preserve"> </w:t>
      </w:r>
      <w:r>
        <w:rPr>
          <w:iCs/>
          <w:i/>
        </w:rPr>
        <w:t xml:space="preserve">ā</w:t>
      </w:r>
      <w:r>
        <w:t xml:space="preserve"> </w:t>
      </w:r>
      <w:r>
        <w:t xml:space="preserve">of</w:t>
      </w:r>
      <w:r>
        <w:t xml:space="preserve"> </w:t>
      </w:r>
      <w:r>
        <w:rPr>
          <w:iCs/>
          <w:i/>
        </w:rPr>
        <w:t xml:space="preserve">śnā</w:t>
      </w:r>
      <w:r>
        <w:t xml:space="preserve"> </w:t>
      </w:r>
      <w:r>
        <w:t xml:space="preserve">and of reduplicated stems:</w:t>
      </w:r>
      <w:r>
        <w:t xml:space="preserve"> </w:t>
      </w:r>
      <w:r>
        <w:rPr>
          <w:iCs/>
          <w:i/>
        </w:rPr>
        <w:t xml:space="preserve">pū</w:t>
      </w:r>
      <w:r>
        <w:t xml:space="preserve"> </w:t>
      </w:r>
      <w:r>
        <w:t xml:space="preserve">+</w:t>
      </w:r>
      <w:r>
        <w:t xml:space="preserve"> </w:t>
      </w:r>
      <w:r>
        <w:rPr>
          <w:iCs/>
          <w:i/>
        </w:rPr>
        <w:t xml:space="preserve">nī</w:t>
      </w:r>
      <w:r>
        <w:t xml:space="preserve"> </w:t>
      </w:r>
      <w:r>
        <w:t xml:space="preserve">+</w:t>
      </w:r>
      <w:r>
        <w:t xml:space="preserve"> </w:t>
      </w:r>
      <w:r>
        <w:rPr>
          <w:iCs/>
          <w:i/>
        </w:rPr>
        <w:t xml:space="preserve">tana</w:t>
      </w:r>
      <w:r>
        <w:t xml:space="preserve">;</w:t>
      </w:r>
      <w:r>
        <w:t xml:space="preserve"> </w:t>
      </w:r>
      <w:r>
        <w:rPr>
          <w:iCs/>
          <w:i/>
        </w:rPr>
        <w:t xml:space="preserve">pū</w:t>
      </w:r>
      <w:r>
        <w:t xml:space="preserve"> </w:t>
      </w:r>
      <w:r>
        <w:t xml:space="preserve">shortened by</w:t>
      </w:r>
      <w:r>
        <w:t xml:space="preserve"> </w:t>
      </w:r>
      <w:r>
        <w:t xml:space="preserve">“</w:t>
      </w:r>
      <w:r>
        <w:t xml:space="preserve">pvādīnāṃ hrasvaḥ</w:t>
      </w:r>
      <w:r>
        <w:t xml:space="preserve">”</w:t>
      </w:r>
      <w:r>
        <w:t xml:space="preserve"> </w:t>
      </w:r>
      <w:r>
        <w:t xml:space="preserve">(Pā. sū. 7-3-80):</w:t>
      </w:r>
      <w:r>
        <w:t xml:space="preserve"> </w:t>
      </w:r>
      <w:r>
        <w:rPr>
          <w:iCs/>
          <w:i/>
        </w:rPr>
        <w:t xml:space="preserve">punītana</w:t>
      </w:r>
      <w:r>
        <w:t xml:space="preserve">. Both</w:t>
      </w:r>
      <w:r>
        <w:t xml:space="preserve"> </w:t>
      </w:r>
      <w:r>
        <w:rPr>
          <w:iCs/>
          <w:i/>
        </w:rPr>
        <w:t xml:space="preserve">nī</w:t>
      </w:r>
      <w:r>
        <w:t xml:space="preserve"> </w:t>
      </w:r>
      <w:r>
        <w:t xml:space="preserve">and</w:t>
      </w:r>
      <w:r>
        <w:t xml:space="preserve"> </w:t>
      </w:r>
      <w:r>
        <w:rPr>
          <w:iCs/>
          <w:i/>
        </w:rPr>
        <w:t xml:space="preserve">tana</w:t>
      </w:r>
      <w:r>
        <w:t xml:space="preserve"> </w:t>
      </w:r>
      <w:r>
        <w:t xml:space="preserve">are</w:t>
      </w:r>
      <w:r>
        <w:t xml:space="preserve"> </w:t>
      </w:r>
      <w:r>
        <w:rPr>
          <w:iCs/>
          <w:i/>
        </w:rPr>
        <w:t xml:space="preserve">apit</w:t>
      </w:r>
      <w:r>
        <w:t xml:space="preserve"> </w:t>
      </w:r>
      <w:r>
        <w:rPr>
          <w:iCs/>
          <w:i/>
        </w:rPr>
        <w:t xml:space="preserve">sārvadhātukas</w:t>
      </w:r>
      <w:r>
        <w:t xml:space="preserve">, so</w:t>
      </w:r>
      <w:r>
        <w:t xml:space="preserve"> </w:t>
      </w:r>
      <w:r>
        <w:rPr>
          <w:iCs/>
          <w:i/>
        </w:rPr>
        <w:t xml:space="preserve">ṅit</w:t>
      </w:r>
      <w:r>
        <w:t xml:space="preserve"> </w:t>
      </w:r>
      <w:r>
        <w:t xml:space="preserve">by</w:t>
      </w:r>
      <w:r>
        <w:t xml:space="preserve"> </w:t>
      </w:r>
      <w:r>
        <w:t xml:space="preserve">“</w:t>
      </w:r>
      <w:r>
        <w:t xml:space="preserve">sārvadhātukam apit</w:t>
      </w:r>
      <w:r>
        <w:t xml:space="preserve">”</w:t>
      </w:r>
      <w:r>
        <w:t xml:space="preserve"> </w:t>
      </w:r>
      <w:r>
        <w:t xml:space="preserve">(Pā. sū. 1-2-4);</w:t>
      </w:r>
      <w:r>
        <w:t xml:space="preserve"> </w:t>
      </w:r>
      <w:r>
        <w:t xml:space="preserve">“</w:t>
      </w:r>
      <w:r>
        <w:t xml:space="preserve">kṅiti ca</w:t>
      </w:r>
      <w:r>
        <w:t xml:space="preserve">”</w:t>
      </w:r>
      <w:r>
        <w:t xml:space="preserve"> </w:t>
      </w:r>
      <w:r>
        <w:t xml:space="preserve">(Pā. sū. 1-1-5) bars</w:t>
      </w:r>
      <w:r>
        <w:t xml:space="preserve"> </w:t>
      </w:r>
      <w:r>
        <w:rPr>
          <w:iCs/>
          <w:i/>
        </w:rPr>
        <w:t xml:space="preserve">guṇa</w:t>
      </w:r>
      <w:r>
        <w:t xml:space="preserve">; so neither the</w:t>
      </w:r>
      <w:r>
        <w:t xml:space="preserve"> </w:t>
      </w:r>
      <w:r>
        <w:rPr>
          <w:iCs/>
          <w:i/>
        </w:rPr>
        <w:t xml:space="preserve">ī</w:t>
      </w:r>
      <w:r>
        <w:t xml:space="preserve"> </w:t>
      </w:r>
      <w:r>
        <w:t xml:space="preserve">before</w:t>
      </w:r>
      <w:r>
        <w:t xml:space="preserve"> </w:t>
      </w:r>
      <w:r>
        <w:rPr>
          <w:iCs/>
          <w:i/>
        </w:rPr>
        <w:t xml:space="preserve">tana</w:t>
      </w:r>
      <w:r>
        <w:t xml:space="preserve"> </w:t>
      </w:r>
      <w:r>
        <w:t xml:space="preserve">nor the</w:t>
      </w:r>
      <w:r>
        <w:t xml:space="preserve"> </w:t>
      </w:r>
      <w:r>
        <w:rPr>
          <w:iCs/>
          <w:i/>
        </w:rPr>
        <w:t xml:space="preserve">u</w:t>
      </w:r>
      <w:r>
        <w:t xml:space="preserve"> </w:t>
      </w:r>
      <w:r>
        <w:t xml:space="preserve">before</w:t>
      </w:r>
      <w:r>
        <w:t xml:space="preserve"> </w:t>
      </w:r>
      <w:r>
        <w:rPr>
          <w:iCs/>
          <w:i/>
        </w:rPr>
        <w:t xml:space="preserve">nī</w:t>
      </w:r>
      <w:r>
        <w:t xml:space="preserve"> </w:t>
      </w:r>
      <w:r>
        <w:t xml:space="preserve">takes</w:t>
      </w:r>
      <w:r>
        <w:t xml:space="preserve"> </w:t>
      </w:r>
      <w:r>
        <w:rPr>
          <w:iCs/>
          <w:i/>
        </w:rPr>
        <w:t xml:space="preserve">guṇa</w:t>
      </w:r>
      <w:r>
        <w:t xml:space="preserve"> </w:t>
      </w:r>
      <w:r>
        <w:t xml:space="preserve">by</w:t>
      </w:r>
      <w:r>
        <w:t xml:space="preserve"> </w:t>
      </w:r>
      <w:r>
        <w:t xml:space="preserve">“</w:t>
      </w:r>
      <w:r>
        <w:t xml:space="preserve">sārvadhātukārdhadhātukayoḥ</w:t>
      </w:r>
      <w:r>
        <w:t xml:space="preserve">”</w:t>
      </w:r>
      <w:r>
        <w:t xml:space="preserve"> </w:t>
      </w:r>
      <w:r>
        <w:t xml:space="preserve">(Pā. sū. 7-3-84).</w:t>
      </w:r>
    </w:p>
    <w:p>
      <w:pPr>
        <w:pStyle w:val="BodyText"/>
      </w:pPr>
      <w:r>
        <w:rPr>
          <w:bCs/>
          <w:b/>
        </w:rPr>
        <w:t xml:space="preserve">यूयम् (</w:t>
      </w:r>
      <w:r>
        <w:rPr>
          <w:iCs/>
          <w:i/>
          <w:bCs/>
          <w:b/>
        </w:rPr>
        <w:t xml:space="preserve">yūyam</w:t>
      </w:r>
      <w:r>
        <w:rPr>
          <w:bCs/>
          <w:b/>
        </w:rPr>
        <w:t xml:space="preserve">)</w:t>
      </w:r>
      <w:r>
        <w:t xml:space="preserve">:</w:t>
      </w:r>
      <w:r>
        <w:t xml:space="preserve"> </w:t>
      </w:r>
      <w:r>
        <w:t xml:space="preserve">“</w:t>
      </w:r>
      <w:r>
        <w:t xml:space="preserve">yuṣyasibhyāṃ madik</w:t>
      </w:r>
      <w:r>
        <w:t xml:space="preserve">”</w:t>
      </w:r>
      <w:r>
        <w:t xml:space="preserve"> </w:t>
      </w:r>
      <w:r>
        <w:t xml:space="preserve">(Uṇ. sū. 1-136):</w:t>
      </w:r>
      <w:r>
        <w:t xml:space="preserve"> </w:t>
      </w:r>
      <w:r>
        <w:rPr>
          <w:iCs/>
          <w:i/>
        </w:rPr>
        <w:t xml:space="preserve">yuṣ</w:t>
      </w:r>
      <w:r>
        <w:t xml:space="preserve"> </w:t>
      </w:r>
      <w:r>
        <w:t xml:space="preserve">is a</w:t>
      </w:r>
      <w:r>
        <w:t xml:space="preserve"> </w:t>
      </w:r>
      <w:r>
        <w:rPr>
          <w:iCs/>
          <w:i/>
        </w:rPr>
        <w:t xml:space="preserve">sautra</w:t>
      </w:r>
      <w:r>
        <w:t xml:space="preserve"> </w:t>
      </w:r>
      <w:r>
        <w:t xml:space="preserve">root; after it the suffix</w:t>
      </w:r>
      <w:r>
        <w:t xml:space="preserve"> </w:t>
      </w:r>
      <w:r>
        <w:rPr>
          <w:iCs/>
          <w:i/>
        </w:rPr>
        <w:t xml:space="preserve">madik</w:t>
      </w:r>
      <w:r>
        <w:t xml:space="preserve">:</w:t>
      </w:r>
      <w:r>
        <w:t xml:space="preserve"> </w:t>
      </w:r>
      <w:r>
        <w:rPr>
          <w:iCs/>
          <w:i/>
        </w:rPr>
        <w:t xml:space="preserve">yuṣmad</w:t>
      </w:r>
      <w:r>
        <w:t xml:space="preserve">, final udātta by the suffix accent. On the view</w:t>
      </w:r>
    </w:p>
    <w:p>
      <w:pPr>
        <w:pStyle w:val="BlockText"/>
      </w:pPr>
      <w:r>
        <w:t xml:space="preserve">उणादयो ऽव्युत्पन्नानि प्रातिपदिकानि</w:t>
      </w:r>
    </w:p>
    <w:p>
      <w:pPr>
        <w:pStyle w:val="BlockText"/>
      </w:pPr>
      <w:r>
        <w:rPr>
          <w:iCs/>
          <w:i/>
        </w:rPr>
        <w:t xml:space="preserve">uṇādayo ’vyutpannāni prātipadikāni</w:t>
      </w:r>
    </w:p>
    <w:p>
      <w:pPr>
        <w:pStyle w:val="FirstParagraph"/>
      </w:pPr>
      <w:r>
        <w:rPr>
          <w:iCs/>
          <w:i/>
        </w:rPr>
        <w:t xml:space="preserve">(paribhāṣā 22)</w:t>
      </w:r>
      <w:r>
        <w:t xml:space="preserve">, that words formed by Uṇādi sūtras are underived stems without division into base and suffix, it is final udātta by</w:t>
      </w:r>
      <w:r>
        <w:t xml:space="preserve"> </w:t>
      </w:r>
      <w:r>
        <w:t xml:space="preserve">“</w:t>
      </w:r>
      <w:r>
        <w:t xml:space="preserve">phiṣo ’nta udāttaḥ</w:t>
      </w:r>
      <w:r>
        <w:t xml:space="preserve">”</w:t>
      </w:r>
      <w:r>
        <w:t xml:space="preserve"> </w:t>
      </w:r>
      <w:r>
        <w:t xml:space="preserve">(Phi. sū. 1).</w:t>
      </w:r>
      <w:r>
        <w:t xml:space="preserve"> </w:t>
      </w:r>
      <w:r>
        <w:rPr>
          <w:iCs/>
          <w:i/>
        </w:rPr>
        <w:t xml:space="preserve">Yuṣmad</w:t>
      </w:r>
      <w:r>
        <w:t xml:space="preserve"> </w:t>
      </w:r>
      <w:r>
        <w:t xml:space="preserve">+</w:t>
      </w:r>
      <w:r>
        <w:t xml:space="preserve"> </w:t>
      </w:r>
      <w:r>
        <w:rPr>
          <w:iCs/>
          <w:i/>
        </w:rPr>
        <w:t xml:space="preserve">jas</w:t>
      </w:r>
      <w:r>
        <w:t xml:space="preserve">;</w:t>
      </w:r>
      <w:r>
        <w:t xml:space="preserve"> </w:t>
      </w:r>
      <w:r>
        <w:t xml:space="preserve">“</w:t>
      </w:r>
      <w:r>
        <w:t xml:space="preserve">ṅe prathamayor am</w:t>
      </w:r>
      <w:r>
        <w:t xml:space="preserve">”</w:t>
      </w:r>
      <w:r>
        <w:t xml:space="preserve"> </w:t>
      </w:r>
      <w:r>
        <w:t xml:space="preserve">(Pā. sū.</w:t>
      </w:r>
      <w:r>
        <w:t xml:space="preserve"> </w:t>
      </w:r>
      <w:r>
        <w:t xml:space="preserve">“</w:t>
      </w:r>
      <w:r>
        <w:t xml:space="preserve">7-1-25</w:t>
      </w:r>
      <w:r>
        <w:t xml:space="preserve">”</w:t>
      </w:r>
      <w:r>
        <w:t xml:space="preserve"> </w:t>
      </w:r>
      <w:r>
        <w:t xml:space="preserve">[?]):</w:t>
      </w:r>
      <w:r>
        <w:t xml:space="preserve"> </w:t>
      </w:r>
      <w:r>
        <w:rPr>
          <w:iCs/>
          <w:i/>
        </w:rPr>
        <w:t xml:space="preserve">am</w:t>
      </w:r>
      <w:r>
        <w:t xml:space="preserve"> </w:t>
      </w:r>
      <w:r>
        <w:t xml:space="preserve">for the first and second case endings after</w:t>
      </w:r>
      <w:r>
        <w:t xml:space="preserve"> </w:t>
      </w:r>
      <w:r>
        <w:rPr>
          <w:iCs/>
          <w:i/>
        </w:rPr>
        <w:t xml:space="preserve">yuṣmad</w:t>
      </w:r>
      <w:r>
        <w:t xml:space="preserve"> </w:t>
      </w:r>
      <w:r>
        <w:t xml:space="preserve">and</w:t>
      </w:r>
      <w:r>
        <w:t xml:space="preserve"> </w:t>
      </w:r>
      <w:r>
        <w:rPr>
          <w:iCs/>
          <w:i/>
        </w:rPr>
        <w:t xml:space="preserve">asmad</w:t>
      </w:r>
      <w:r>
        <w:t xml:space="preserve">:</w:t>
      </w:r>
      <w:r>
        <w:t xml:space="preserve"> </w:t>
      </w:r>
      <w:r>
        <w:rPr>
          <w:iCs/>
          <w:i/>
        </w:rPr>
        <w:t xml:space="preserve">yuṣmad</w:t>
      </w:r>
      <w:r>
        <w:t xml:space="preserve"> </w:t>
      </w:r>
      <w:r>
        <w:t xml:space="preserve">+</w:t>
      </w:r>
      <w:r>
        <w:t xml:space="preserve"> </w:t>
      </w:r>
      <w:r>
        <w:rPr>
          <w:iCs/>
          <w:i/>
        </w:rPr>
        <w:t xml:space="preserve">am</w:t>
      </w:r>
      <w:r>
        <w:t xml:space="preserve">. The</w:t>
      </w:r>
      <w:r>
        <w:t xml:space="preserve"> </w:t>
      </w:r>
      <w:r>
        <w:rPr>
          <w:iCs/>
          <w:i/>
        </w:rPr>
        <w:t xml:space="preserve">m</w:t>
      </w:r>
      <w:r>
        <w:t xml:space="preserve"> </w:t>
      </w:r>
      <w:r>
        <w:t xml:space="preserve">of</w:t>
      </w:r>
      <w:r>
        <w:t xml:space="preserve"> </w:t>
      </w:r>
      <w:r>
        <w:rPr>
          <w:iCs/>
          <w:i/>
        </w:rPr>
        <w:t xml:space="preserve">am</w:t>
      </w:r>
      <w:r>
        <w:t xml:space="preserve"> </w:t>
      </w:r>
      <w:r>
        <w:t xml:space="preserve">would be</w:t>
      </w:r>
      <w:r>
        <w:t xml:space="preserve"> </w:t>
      </w:r>
      <w:r>
        <w:rPr>
          <w:iCs/>
          <w:i/>
        </w:rPr>
        <w:t xml:space="preserve">it</w:t>
      </w:r>
      <w:r>
        <w:t xml:space="preserve"> </w:t>
      </w:r>
      <w:r>
        <w:t xml:space="preserve">by</w:t>
      </w:r>
      <w:r>
        <w:t xml:space="preserve"> </w:t>
      </w:r>
      <w:r>
        <w:t xml:space="preserve">“</w:t>
      </w:r>
      <w:r>
        <w:t xml:space="preserve">hal antyam</w:t>
      </w:r>
      <w:r>
        <w:t xml:space="preserve">”</w:t>
      </w:r>
      <w:r>
        <w:t xml:space="preserve"> </w:t>
      </w:r>
      <w:r>
        <w:t xml:space="preserve">(Pā. sū. 1-3-3), but</w:t>
      </w:r>
      <w:r>
        <w:t xml:space="preserve"> </w:t>
      </w:r>
      <w:r>
        <w:t xml:space="preserve">“</w:t>
      </w:r>
      <w:r>
        <w:t xml:space="preserve">na vibhaktau tusmāḥ</w:t>
      </w:r>
      <w:r>
        <w:t xml:space="preserve">”</w:t>
      </w:r>
      <w:r>
        <w:t xml:space="preserve"> </w:t>
      </w:r>
      <w:r>
        <w:t xml:space="preserve">(Pā. sū. 1-3-4) bars it for dentals,</w:t>
      </w:r>
      <w:r>
        <w:t xml:space="preserve"> </w:t>
      </w:r>
      <w:r>
        <w:rPr>
          <w:iCs/>
          <w:i/>
        </w:rPr>
        <w:t xml:space="preserve">s</w:t>
      </w:r>
      <w:r>
        <w:t xml:space="preserve"> </w:t>
      </w:r>
      <w:r>
        <w:t xml:space="preserve">and</w:t>
      </w:r>
      <w:r>
        <w:t xml:space="preserve"> </w:t>
      </w:r>
      <w:r>
        <w:rPr>
          <w:iCs/>
          <w:i/>
        </w:rPr>
        <w:t xml:space="preserve">m</w:t>
      </w:r>
      <w:r>
        <w:t xml:space="preserve"> </w:t>
      </w:r>
      <w:r>
        <w:t xml:space="preserve">in an ending.</w:t>
      </w:r>
      <w:r>
        <w:t xml:space="preserve"> </w:t>
      </w:r>
      <w:r>
        <w:t xml:space="preserve">“</w:t>
      </w:r>
      <w:r>
        <w:t xml:space="preserve">yūyavayau jasi</w:t>
      </w:r>
      <w:r>
        <w:t xml:space="preserve">”</w:t>
      </w:r>
      <w:r>
        <w:t xml:space="preserve"> </w:t>
      </w:r>
      <w:r>
        <w:t xml:space="preserve">(Pā. sū. 7-2-93): before</w:t>
      </w:r>
      <w:r>
        <w:t xml:space="preserve"> </w:t>
      </w:r>
      <w:r>
        <w:rPr>
          <w:iCs/>
          <w:i/>
        </w:rPr>
        <w:t xml:space="preserve">jas</w:t>
      </w:r>
      <w:r>
        <w:t xml:space="preserve">,</w:t>
      </w:r>
      <w:r>
        <w:t xml:space="preserve"> </w:t>
      </w:r>
      <w:r>
        <w:rPr>
          <w:iCs/>
          <w:i/>
        </w:rPr>
        <w:t xml:space="preserve">yūya</w:t>
      </w:r>
      <w:r>
        <w:t xml:space="preserve"> </w:t>
      </w:r>
      <w:r>
        <w:t xml:space="preserve">and</w:t>
      </w:r>
      <w:r>
        <w:t xml:space="preserve"> </w:t>
      </w:r>
      <w:r>
        <w:rPr>
          <w:iCs/>
          <w:i/>
        </w:rPr>
        <w:t xml:space="preserve">vaya</w:t>
      </w:r>
      <w:r>
        <w:t xml:space="preserve"> </w:t>
      </w:r>
      <w:r>
        <w:t xml:space="preserve">for the part up to</w:t>
      </w:r>
      <w:r>
        <w:t xml:space="preserve"> </w:t>
      </w:r>
      <w:r>
        <w:rPr>
          <w:iCs/>
          <w:i/>
        </w:rPr>
        <w:t xml:space="preserve">m</w:t>
      </w:r>
      <w:r>
        <w:t xml:space="preserve"> </w:t>
      </w:r>
      <w:r>
        <w:t xml:space="preserve">of</w:t>
      </w:r>
      <w:r>
        <w:t xml:space="preserve"> </w:t>
      </w:r>
      <w:r>
        <w:rPr>
          <w:iCs/>
          <w:i/>
        </w:rPr>
        <w:t xml:space="preserve">yuṣmad</w:t>
      </w:r>
      <w:r>
        <w:t xml:space="preserve"> </w:t>
      </w:r>
      <w:r>
        <w:t xml:space="preserve">and</w:t>
      </w:r>
      <w:r>
        <w:t xml:space="preserve"> </w:t>
      </w:r>
      <w:r>
        <w:rPr>
          <w:iCs/>
          <w:i/>
        </w:rPr>
        <w:t xml:space="preserve">asmad</w:t>
      </w:r>
      <w:r>
        <w:t xml:space="preserve">:</w:t>
      </w:r>
      <w:r>
        <w:t xml:space="preserve"> </w:t>
      </w:r>
      <w:r>
        <w:rPr>
          <w:iCs/>
          <w:i/>
        </w:rPr>
        <w:t xml:space="preserve">yūya</w:t>
      </w:r>
      <w:r>
        <w:t xml:space="preserve"> </w:t>
      </w:r>
      <w:r>
        <w:t xml:space="preserve">+</w:t>
      </w:r>
      <w:r>
        <w:t xml:space="preserve"> </w:t>
      </w:r>
      <w:r>
        <w:rPr>
          <w:iCs/>
          <w:i/>
        </w:rPr>
        <w:t xml:space="preserve">ad</w:t>
      </w:r>
      <w:r>
        <w:t xml:space="preserve"> </w:t>
      </w:r>
      <w:r>
        <w:t xml:space="preserve">+</w:t>
      </w:r>
      <w:r>
        <w:t xml:space="preserve"> </w:t>
      </w:r>
      <w:r>
        <w:rPr>
          <w:iCs/>
          <w:i/>
        </w:rPr>
        <w:t xml:space="preserve">am</w:t>
      </w:r>
      <w:r>
        <w:t xml:space="preserve">.</w:t>
      </w:r>
      <w:r>
        <w:t xml:space="preserve"> </w:t>
      </w:r>
      <w:r>
        <w:rPr>
          <w:iCs/>
          <w:i/>
        </w:rPr>
        <w:t xml:space="preserve">Śeṣe lopaḥ</w:t>
      </w:r>
      <w:r>
        <w:t xml:space="preserve"> </w:t>
      </w:r>
      <w:r>
        <w:t xml:space="preserve">comes with reference to an ending that is not the cause of</w:t>
      </w:r>
      <w:r>
        <w:t xml:space="preserve"> </w:t>
      </w:r>
      <w:r>
        <w:rPr>
          <w:iCs/>
          <w:i/>
        </w:rPr>
        <w:t xml:space="preserve">ātva</w:t>
      </w:r>
      <w:r>
        <w:t xml:space="preserve"> </w:t>
      </w:r>
      <w:r>
        <w:t xml:space="preserve">or</w:t>
      </w:r>
      <w:r>
        <w:t xml:space="preserve"> </w:t>
      </w:r>
      <w:r>
        <w:rPr>
          <w:iCs/>
          <w:i/>
        </w:rPr>
        <w:t xml:space="preserve">yatva</w:t>
      </w:r>
      <w:r>
        <w:t xml:space="preserve">; so, its cause being outside, it is</w:t>
      </w:r>
      <w:r>
        <w:t xml:space="preserve"> </w:t>
      </w:r>
      <w:r>
        <w:rPr>
          <w:iCs/>
          <w:i/>
        </w:rPr>
        <w:t xml:space="preserve">bahiraṅga</w:t>
      </w:r>
      <w:r>
        <w:t xml:space="preserve">; the</w:t>
      </w:r>
      <w:r>
        <w:t xml:space="preserve"> </w:t>
      </w:r>
      <w:r>
        <w:rPr>
          <w:iCs/>
          <w:i/>
        </w:rPr>
        <w:t xml:space="preserve">pararūpa</w:t>
      </w:r>
      <w:r>
        <w:t xml:space="preserve"> </w:t>
      </w:r>
      <w:r>
        <w:t xml:space="preserve">of</w:t>
      </w:r>
      <w:r>
        <w:t xml:space="preserve"> </w:t>
      </w:r>
      <w:r>
        <w:t xml:space="preserve">“</w:t>
      </w:r>
      <w:r>
        <w:t xml:space="preserve">ato guṇe</w:t>
      </w:r>
      <w:r>
        <w:t xml:space="preserve">”</w:t>
      </w:r>
      <w:r>
        <w:t xml:space="preserve">, whose cause is inside, is</w:t>
      </w:r>
      <w:r>
        <w:t xml:space="preserve"> </w:t>
      </w:r>
      <w:r>
        <w:rPr>
          <w:iCs/>
          <w:i/>
        </w:rPr>
        <w:t xml:space="preserve">antaraṅga</w:t>
      </w:r>
      <w:r>
        <w:t xml:space="preserve">. So by</w:t>
      </w:r>
    </w:p>
    <w:p>
      <w:pPr>
        <w:pStyle w:val="BlockText"/>
      </w:pPr>
      <w:r>
        <w:t xml:space="preserve">असिद्धं बहिरङ्गमन्तरङ्गे</w:t>
      </w:r>
    </w:p>
    <w:p>
      <w:pPr>
        <w:pStyle w:val="BlockText"/>
      </w:pPr>
      <w:r>
        <w:rPr>
          <w:iCs/>
          <w:i/>
        </w:rPr>
        <w:t xml:space="preserve">asiddhaṃ bahiraṅgamantaraṅge</w:t>
      </w:r>
    </w:p>
    <w:p>
      <w:pPr>
        <w:pStyle w:val="FirstParagraph"/>
      </w:pPr>
      <w:r>
        <w:rPr>
          <w:iCs/>
          <w:i/>
        </w:rPr>
        <w:t xml:space="preserve">(paribhāṣā 50)</w:t>
      </w:r>
      <w:r>
        <w:t xml:space="preserve"> </w:t>
      </w:r>
      <w:r>
        <w:rPr>
          <w:iCs/>
          <w:i/>
        </w:rPr>
        <w:t xml:space="preserve">śeṣe lopaḥ</w:t>
      </w:r>
      <w:r>
        <w:t xml:space="preserve"> </w:t>
      </w:r>
      <w:r>
        <w:t xml:space="preserve">counts as not done, and the</w:t>
      </w:r>
      <w:r>
        <w:t xml:space="preserve"> </w:t>
      </w:r>
      <w:r>
        <w:rPr>
          <w:iCs/>
          <w:i/>
        </w:rPr>
        <w:t xml:space="preserve">pararūpa</w:t>
      </w:r>
      <w:r>
        <w:t xml:space="preserve"> </w:t>
      </w:r>
      <w:r>
        <w:t xml:space="preserve">comes first; though</w:t>
      </w:r>
      <w:r>
        <w:t xml:space="preserve"> </w:t>
      </w:r>
      <w:r>
        <w:rPr>
          <w:iCs/>
          <w:i/>
        </w:rPr>
        <w:t xml:space="preserve">śeṣe lopaḥ</w:t>
      </w:r>
      <w:r>
        <w:t xml:space="preserve"> </w:t>
      </w:r>
      <w:r>
        <w:t xml:space="preserve">is later, it does not come first. With</w:t>
      </w:r>
      <w:r>
        <w:t xml:space="preserve"> </w:t>
      </w:r>
      <w:r>
        <w:rPr>
          <w:iCs/>
          <w:i/>
        </w:rPr>
        <w:t xml:space="preserve">pararūpa</w:t>
      </w:r>
      <w:r>
        <w:t xml:space="preserve">:</w:t>
      </w:r>
      <w:r>
        <w:t xml:space="preserve"> </w:t>
      </w:r>
      <w:r>
        <w:rPr>
          <w:iCs/>
          <w:i/>
        </w:rPr>
        <w:t xml:space="preserve">yuṣmad</w:t>
      </w:r>
      <w:r>
        <w:t xml:space="preserve"> </w:t>
      </w:r>
      <w:r>
        <w:t xml:space="preserve">+</w:t>
      </w:r>
      <w:r>
        <w:t xml:space="preserve"> </w:t>
      </w:r>
      <w:r>
        <w:rPr>
          <w:iCs/>
          <w:i/>
        </w:rPr>
        <w:t xml:space="preserve">am</w:t>
      </w:r>
      <w:r>
        <w:t xml:space="preserve">. Then</w:t>
      </w:r>
      <w:r>
        <w:t xml:space="preserve"> </w:t>
      </w:r>
      <w:r>
        <w:t xml:space="preserve">“</w:t>
      </w:r>
      <w:r>
        <w:t xml:space="preserve">śeṣe lopaḥ</w:t>
      </w:r>
      <w:r>
        <w:t xml:space="preserve">”</w:t>
      </w:r>
      <w:r>
        <w:t xml:space="preserve"> </w:t>
      </w:r>
      <w:r>
        <w:t xml:space="preserve">(Pā. sū. 7-2-90) comes. Here, before the</w:t>
      </w:r>
      <w:r>
        <w:t xml:space="preserve"> </w:t>
      </w:r>
      <w:r>
        <w:rPr>
          <w:iCs/>
          <w:i/>
        </w:rPr>
        <w:t xml:space="preserve">bahiraṅga</w:t>
      </w:r>
      <w:r>
        <w:t xml:space="preserve"> </w:t>
      </w:r>
      <w:r>
        <w:rPr>
          <w:iCs/>
          <w:i/>
        </w:rPr>
        <w:t xml:space="preserve">yūya</w:t>
      </w:r>
      <w:r>
        <w:t xml:space="preserve"> </w:t>
      </w:r>
      <w:r>
        <w:t xml:space="preserve">replacement, being</w:t>
      </w:r>
      <w:r>
        <w:t xml:space="preserve"> </w:t>
      </w:r>
      <w:r>
        <w:rPr>
          <w:iCs/>
          <w:i/>
        </w:rPr>
        <w:t xml:space="preserve">antaraṅga</w:t>
      </w:r>
      <w:r>
        <w:t xml:space="preserve">, the suffix accent or the stem accent comes first. By</w:t>
      </w:r>
      <w:r>
        <w:t xml:space="preserve"> </w:t>
      </w:r>
      <w:r>
        <w:t xml:space="preserve">“</w:t>
      </w:r>
      <w:r>
        <w:t xml:space="preserve">anudāttaṃ padam ekavarjam</w:t>
      </w:r>
      <w:r>
        <w:t xml:space="preserve">”</w:t>
      </w:r>
      <w:r>
        <w:t xml:space="preserve"> </w:t>
      </w:r>
      <w:r>
        <w:t xml:space="preserve">(Pā. sū. 6-1-158) the</w:t>
      </w:r>
      <w:r>
        <w:t xml:space="preserve"> </w:t>
      </w:r>
      <w:r>
        <w:rPr>
          <w:iCs/>
          <w:i/>
        </w:rPr>
        <w:t xml:space="preserve">śeṣanighāta</w:t>
      </w:r>
      <w:r>
        <w:t xml:space="preserve"> </w:t>
      </w:r>
      <w:r>
        <w:t xml:space="preserve">makes</w:t>
      </w:r>
      <w:r>
        <w:t xml:space="preserve"> </w:t>
      </w:r>
      <w:r>
        <w:rPr>
          <w:iCs/>
          <w:i/>
        </w:rPr>
        <w:t xml:space="preserve">yuṣma</w:t>
      </w:r>
      <w:r>
        <w:t xml:space="preserve"> </w:t>
      </w:r>
      <w:r>
        <w:t xml:space="preserve">unaccented; then by the paribhāṣā</w:t>
      </w:r>
      <w:r>
        <w:t xml:space="preserve"> </w:t>
      </w:r>
      <w:r>
        <w:t xml:space="preserve">“</w:t>
      </w:r>
      <w:r>
        <w:t xml:space="preserve">sthāne ’ntaratamaḥ</w:t>
      </w:r>
      <w:r>
        <w:t xml:space="preserve">”</w:t>
      </w:r>
      <w:r>
        <w:t xml:space="preserve"> </w:t>
      </w:r>
      <w:r>
        <w:t xml:space="preserve">(Pā. sū. 1-1-50) the wholly unaccented</w:t>
      </w:r>
      <w:r>
        <w:t xml:space="preserve"> </w:t>
      </w:r>
      <w:r>
        <w:rPr>
          <w:iCs/>
          <w:i/>
        </w:rPr>
        <w:t xml:space="preserve">yūya</w:t>
      </w:r>
      <w:r>
        <w:t xml:space="preserve"> </w:t>
      </w:r>
      <w:r>
        <w:t xml:space="preserve">comes in place of the unaccented</w:t>
      </w:r>
      <w:r>
        <w:t xml:space="preserve"> </w:t>
      </w:r>
      <w:r>
        <w:rPr>
          <w:iCs/>
          <w:i/>
        </w:rPr>
        <w:t xml:space="preserve">yuṣma</w:t>
      </w:r>
      <w:r>
        <w:t xml:space="preserve">. The</w:t>
      </w:r>
      <w:r>
        <w:t xml:space="preserve"> </w:t>
      </w:r>
      <w:r>
        <w:rPr>
          <w:iCs/>
          <w:i/>
        </w:rPr>
        <w:t xml:space="preserve">pararūpa</w:t>
      </w:r>
      <w:r>
        <w:t xml:space="preserve">, a single replacement, of</w:t>
      </w:r>
      <w:r>
        <w:t xml:space="preserve"> </w:t>
      </w:r>
      <w:r>
        <w:rPr>
          <w:iCs/>
          <w:i/>
        </w:rPr>
        <w:t xml:space="preserve">yūya</w:t>
      </w:r>
      <w:r>
        <w:t xml:space="preserve"> </w:t>
      </w:r>
      <w:r>
        <w:t xml:space="preserve">+</w:t>
      </w:r>
      <w:r>
        <w:t xml:space="preserve"> </w:t>
      </w:r>
      <w:r>
        <w:rPr>
          <w:iCs/>
          <w:i/>
        </w:rPr>
        <w:t xml:space="preserve">ad</w:t>
      </w:r>
      <w:r>
        <w:t xml:space="preserve"> </w:t>
      </w:r>
      <w:r>
        <w:t xml:space="preserve">is udātta by</w:t>
      </w:r>
      <w:r>
        <w:t xml:space="preserve"> </w:t>
      </w:r>
      <w:r>
        <w:t xml:space="preserve">“</w:t>
      </w:r>
      <w:r>
        <w:t xml:space="preserve">ekādeśa udāttenodāttaḥ</w:t>
      </w:r>
      <w:r>
        <w:t xml:space="preserve">”</w:t>
      </w:r>
      <w:r>
        <w:t xml:space="preserve"> </w:t>
      </w:r>
      <w:r>
        <w:t xml:space="preserve">(Pā. sū. 8-2-5).</w:t>
      </w:r>
      <w:r>
        <w:t xml:space="preserve"> </w:t>
      </w:r>
      <w:r>
        <w:t xml:space="preserve">“</w:t>
      </w:r>
      <w:r>
        <w:t xml:space="preserve">śeṣe lopaḥ</w:t>
      </w:r>
      <w:r>
        <w:t xml:space="preserve">”</w:t>
      </w:r>
      <w:r>
        <w:t xml:space="preserve"> </w:t>
      </w:r>
      <w:r>
        <w:t xml:space="preserve">(Pā. sū. 7-2-90): before an ending other than the causes of</w:t>
      </w:r>
      <w:r>
        <w:t xml:space="preserve"> </w:t>
      </w:r>
      <w:r>
        <w:rPr>
          <w:iCs/>
          <w:i/>
        </w:rPr>
        <w:t xml:space="preserve">ātva</w:t>
      </w:r>
      <w:r>
        <w:t xml:space="preserve"> </w:t>
      </w:r>
      <w:r>
        <w:t xml:space="preserve">and</w:t>
      </w:r>
      <w:r>
        <w:t xml:space="preserve"> </w:t>
      </w:r>
      <w:r>
        <w:rPr>
          <w:iCs/>
          <w:i/>
        </w:rPr>
        <w:t xml:space="preserve">yatva</w:t>
      </w:r>
      <w:r>
        <w:t xml:space="preserve">, the final of</w:t>
      </w:r>
      <w:r>
        <w:t xml:space="preserve"> </w:t>
      </w:r>
      <w:r>
        <w:rPr>
          <w:iCs/>
          <w:i/>
        </w:rPr>
        <w:t xml:space="preserve">yuṣmad</w:t>
      </w:r>
      <w:r>
        <w:t xml:space="preserve">/</w:t>
      </w:r>
      <w:r>
        <w:rPr>
          <w:iCs/>
          <w:i/>
        </w:rPr>
        <w:t xml:space="preserve">asmad</w:t>
      </w:r>
      <w:r>
        <w:t xml:space="preserve"> </w:t>
      </w:r>
      <w:r>
        <w:t xml:space="preserve">drops: that is the sense of the sūtra;</w:t>
      </w:r>
    </w:p>
    <w:bookmarkEnd w:id="683"/>
    <w:bookmarkStart w:id="684" w:name="page-635-rik-2-grammar-end"/>
    <w:p>
      <w:pPr>
        <w:pStyle w:val="Heading3"/>
      </w:pPr>
      <w:r>
        <w:t xml:space="preserve">Page 635 — Rik 2: grammar (end)</w:t>
      </w:r>
    </w:p>
    <w:p>
      <w:pPr>
        <w:pStyle w:val="FirstParagraph"/>
      </w:pPr>
      <w:r>
        <w:t xml:space="preserve">on the view that the final drops, the</w:t>
      </w:r>
      <w:r>
        <w:t xml:space="preserve"> </w:t>
      </w:r>
      <w:r>
        <w:rPr>
          <w:iCs/>
          <w:i/>
        </w:rPr>
        <w:t xml:space="preserve">d</w:t>
      </w:r>
      <w:r>
        <w:t xml:space="preserve"> </w:t>
      </w:r>
      <w:r>
        <w:t xml:space="preserve">drops:</w:t>
      </w:r>
      <w:r>
        <w:t xml:space="preserve"> </w:t>
      </w:r>
      <w:r>
        <w:rPr>
          <w:iCs/>
          <w:i/>
        </w:rPr>
        <w:t xml:space="preserve">yūya</w:t>
      </w:r>
      <w:r>
        <w:t xml:space="preserve"> </w:t>
      </w:r>
      <w:r>
        <w:t xml:space="preserve">+</w:t>
      </w:r>
      <w:r>
        <w:t xml:space="preserve"> </w:t>
      </w:r>
      <w:r>
        <w:rPr>
          <w:iCs/>
          <w:i/>
        </w:rPr>
        <w:t xml:space="preserve">am</w:t>
      </w:r>
      <w:r>
        <w:t xml:space="preserve">.</w:t>
      </w:r>
      <w:r>
        <w:t xml:space="preserve"> </w:t>
      </w:r>
      <w:r>
        <w:t xml:space="preserve">“</w:t>
      </w:r>
      <w:r>
        <w:t xml:space="preserve">ami pūrvaḥ</w:t>
      </w:r>
      <w:r>
        <w:t xml:space="preserve">”</w:t>
      </w:r>
      <w:r>
        <w:t xml:space="preserve"> </w:t>
      </w:r>
      <w:r>
        <w:t xml:space="preserve">(Pā. sū. 6-1-107) gives</w:t>
      </w:r>
      <w:r>
        <w:t xml:space="preserve"> </w:t>
      </w:r>
      <w:r>
        <w:rPr>
          <w:iCs/>
          <w:i/>
        </w:rPr>
        <w:t xml:space="preserve">pūrvarūpa</w:t>
      </w:r>
      <w:r>
        <w:t xml:space="preserve"> </w:t>
      </w:r>
      <w:r>
        <w:t xml:space="preserve">as the single replacement; the</w:t>
      </w:r>
      <w:r>
        <w:t xml:space="preserve"> </w:t>
      </w:r>
      <w:r>
        <w:rPr>
          <w:iCs/>
          <w:i/>
        </w:rPr>
        <w:t xml:space="preserve">a</w:t>
      </w:r>
      <w:r>
        <w:t xml:space="preserve"> </w:t>
      </w:r>
      <w:r>
        <w:t xml:space="preserve">so arising is udātta by</w:t>
      </w:r>
      <w:r>
        <w:t xml:space="preserve"> </w:t>
      </w:r>
      <w:r>
        <w:t xml:space="preserve">“</w:t>
      </w:r>
      <w:r>
        <w:t xml:space="preserve">ekādeśa udāttenodāttaḥ</w:t>
      </w:r>
      <w:r>
        <w:t xml:space="preserve">”</w:t>
      </w:r>
      <w:r>
        <w:t xml:space="preserve"> </w:t>
      </w:r>
      <w:r>
        <w:t xml:space="preserve">(Pā. sū. 8-2-5). Taking</w:t>
      </w:r>
      <w:r>
        <w:t xml:space="preserve"> </w:t>
      </w:r>
      <w:r>
        <w:t xml:space="preserve">“</w:t>
      </w:r>
      <w:r>
        <w:t xml:space="preserve">śeṣe lopaḥ</w:t>
      </w:r>
      <w:r>
        <w:t xml:space="preserve">”</w:t>
      </w:r>
      <w:r>
        <w:t xml:space="preserve"> </w:t>
      </w:r>
      <w:r>
        <w:t xml:space="preserve">(Pā. sū. 7-2-90) with</w:t>
      </w:r>
      <w:r>
        <w:t xml:space="preserve"> </w:t>
      </w:r>
      <w:r>
        <w:rPr>
          <w:iCs/>
          <w:i/>
        </w:rPr>
        <w:t xml:space="preserve">śeṣa</w:t>
      </w:r>
      <w:r>
        <w:t xml:space="preserve"> </w:t>
      </w:r>
      <w:r>
        <w:t xml:space="preserve">as a locative in the sense of place, the sense is: before such an ending, the</w:t>
      </w:r>
      <w:r>
        <w:t xml:space="preserve"> </w:t>
      </w:r>
      <w:r>
        <w:rPr>
          <w:iCs/>
          <w:i/>
        </w:rPr>
        <w:t xml:space="preserve">ad</w:t>
      </w:r>
      <w:r>
        <w:t xml:space="preserve"> </w:t>
      </w:r>
      <w:r>
        <w:t xml:space="preserve">after the</w:t>
      </w:r>
      <w:r>
        <w:t xml:space="preserve"> </w:t>
      </w:r>
      <w:r>
        <w:rPr>
          <w:iCs/>
          <w:i/>
        </w:rPr>
        <w:t xml:space="preserve">m</w:t>
      </w:r>
      <w:r>
        <w:t xml:space="preserve">-portion drops; then in</w:t>
      </w:r>
      <w:r>
        <w:t xml:space="preserve"> </w:t>
      </w:r>
      <w:r>
        <w:rPr>
          <w:iCs/>
          <w:i/>
        </w:rPr>
        <w:t xml:space="preserve">yūyad</w:t>
      </w:r>
      <w:r>
        <w:t xml:space="preserve"> </w:t>
      </w:r>
      <w:r>
        <w:t xml:space="preserve">+</w:t>
      </w:r>
      <w:r>
        <w:t xml:space="preserve"> </w:t>
      </w:r>
      <w:r>
        <w:rPr>
          <w:iCs/>
          <w:i/>
        </w:rPr>
        <w:t xml:space="preserve">am</w:t>
      </w:r>
      <w:r>
        <w:t xml:space="preserve"> </w:t>
      </w:r>
      <w:r>
        <w:t xml:space="preserve">the</w:t>
      </w:r>
      <w:r>
        <w:t xml:space="preserve"> </w:t>
      </w:r>
      <w:r>
        <w:rPr>
          <w:iCs/>
          <w:i/>
        </w:rPr>
        <w:t xml:space="preserve">ad</w:t>
      </w:r>
      <w:r>
        <w:t xml:space="preserve"> </w:t>
      </w:r>
      <w:r>
        <w:t xml:space="preserve">drops. On this view the udātta</w:t>
      </w:r>
      <w:r>
        <w:t xml:space="preserve"> </w:t>
      </w:r>
      <w:r>
        <w:rPr>
          <w:iCs/>
          <w:i/>
        </w:rPr>
        <w:t xml:space="preserve">ad</w:t>
      </w:r>
      <w:r>
        <w:t xml:space="preserve"> </w:t>
      </w:r>
      <w:r>
        <w:t xml:space="preserve">drops with reference to the unaccented</w:t>
      </w:r>
      <w:r>
        <w:t xml:space="preserve"> </w:t>
      </w:r>
      <w:r>
        <w:rPr>
          <w:iCs/>
          <w:i/>
        </w:rPr>
        <w:t xml:space="preserve">am</w:t>
      </w:r>
      <w:r>
        <w:t xml:space="preserve">; so by the</w:t>
      </w:r>
      <w:r>
        <w:t xml:space="preserve"> </w:t>
      </w:r>
      <w:r>
        <w:rPr>
          <w:iCs/>
          <w:i/>
        </w:rPr>
        <w:t xml:space="preserve">udāttanivṛtti</w:t>
      </w:r>
      <w:r>
        <w:t xml:space="preserve"> </w:t>
      </w:r>
      <w:r>
        <w:t xml:space="preserve">accent</w:t>
      </w:r>
      <w:r>
        <w:t xml:space="preserve"> </w:t>
      </w:r>
      <w:r>
        <w:t xml:space="preserve">“</w:t>
      </w:r>
      <w:r>
        <w:t xml:space="preserve">anudāttasya ca yatrodāttalopaḥ</w:t>
      </w:r>
      <w:r>
        <w:t xml:space="preserve">”</w:t>
      </w:r>
      <w:r>
        <w:t xml:space="preserve"> </w:t>
      </w:r>
      <w:r>
        <w:t xml:space="preserve">(Pā. sū. 6-1-161) the ending becomes udātta. On both views</w:t>
      </w:r>
      <w:r>
        <w:t xml:space="preserve"> </w:t>
      </w:r>
      <w:r>
        <w:rPr>
          <w:iCs/>
          <w:i/>
        </w:rPr>
        <w:t xml:space="preserve">yūyam</w:t>
      </w:r>
      <w:r>
        <w:t xml:space="preserve"> </w:t>
      </w:r>
      <w:r>
        <w:t xml:space="preserve">is final udātta.</w:t>
      </w:r>
    </w:p>
    <w:p>
      <w:pPr>
        <w:pStyle w:val="BodyText"/>
      </w:pPr>
      <w:r>
        <w:rPr>
          <w:bCs/>
          <w:b/>
        </w:rPr>
        <w:t xml:space="preserve">स्थ (</w:t>
      </w:r>
      <w:r>
        <w:rPr>
          <w:iCs/>
          <w:i/>
          <w:bCs/>
          <w:b/>
        </w:rPr>
        <w:t xml:space="preserve">stha</w:t>
      </w:r>
      <w:r>
        <w:rPr>
          <w:bCs/>
          <w:b/>
        </w:rPr>
        <w:t xml:space="preserve">)</w:t>
      </w:r>
      <w:r>
        <w:t xml:space="preserve">:</w:t>
      </w:r>
      <w:r>
        <w:t xml:space="preserve"> </w:t>
      </w:r>
      <w:r>
        <w:rPr>
          <w:iCs/>
          <w:i/>
        </w:rPr>
        <w:t xml:space="preserve">asa bhuvi</w:t>
      </w:r>
      <w:r>
        <w:t xml:space="preserve">;</w:t>
      </w:r>
      <w:r>
        <w:t xml:space="preserve"> </w:t>
      </w:r>
      <w:r>
        <w:rPr>
          <w:iCs/>
          <w:i/>
        </w:rPr>
        <w:t xml:space="preserve">laṭ</w:t>
      </w:r>
      <w:r>
        <w:t xml:space="preserve">,</w:t>
      </w:r>
      <w:r>
        <w:t xml:space="preserve"> </w:t>
      </w:r>
      <w:r>
        <w:rPr>
          <w:iCs/>
          <w:i/>
        </w:rPr>
        <w:t xml:space="preserve">parasmaipada</w:t>
      </w:r>
      <w:r>
        <w:t xml:space="preserve"> </w:t>
      </w:r>
      <w:r>
        <w:t xml:space="preserve">2nd plural</w:t>
      </w:r>
      <w:r>
        <w:t xml:space="preserve"> </w:t>
      </w:r>
      <w:r>
        <w:rPr>
          <w:iCs/>
          <w:i/>
        </w:rPr>
        <w:t xml:space="preserve">tha</w:t>
      </w:r>
      <w:r>
        <w:t xml:space="preserve">; the</w:t>
      </w:r>
      <w:r>
        <w:t xml:space="preserve"> </w:t>
      </w:r>
      <w:r>
        <w:rPr>
          <w:iCs/>
          <w:i/>
        </w:rPr>
        <w:t xml:space="preserve">vikaraṇa</w:t>
      </w:r>
      <w:r>
        <w:t xml:space="preserve"> </w:t>
      </w:r>
      <w:r>
        <w:rPr>
          <w:iCs/>
          <w:i/>
        </w:rPr>
        <w:t xml:space="preserve">śap</w:t>
      </w:r>
      <w:r>
        <w:t xml:space="preserve"> </w:t>
      </w:r>
      <w:r>
        <w:t xml:space="preserve">of</w:t>
      </w:r>
      <w:r>
        <w:t xml:space="preserve"> </w:t>
      </w:r>
      <w:r>
        <w:t xml:space="preserve">“</w:t>
      </w:r>
      <w:r>
        <w:t xml:space="preserve">kartari śap</w:t>
      </w:r>
      <w:r>
        <w:t xml:space="preserve">”</w:t>
      </w:r>
      <w:r>
        <w:t xml:space="preserve"> </w:t>
      </w:r>
      <w:r>
        <w:t xml:space="preserve">is dropped by</w:t>
      </w:r>
      <w:r>
        <w:t xml:space="preserve"> </w:t>
      </w:r>
      <w:r>
        <w:t xml:space="preserve">“</w:t>
      </w:r>
      <w:r>
        <w:t xml:space="preserve">adiprabhṛtibhyaḥ śapaḥ</w:t>
      </w:r>
      <w:r>
        <w:t xml:space="preserve">”</w:t>
      </w:r>
      <w:r>
        <w:t xml:space="preserve">;</w:t>
      </w:r>
      <w:r>
        <w:t xml:space="preserve"> </w:t>
      </w:r>
      <w:r>
        <w:rPr>
          <w:iCs/>
          <w:i/>
        </w:rPr>
        <w:t xml:space="preserve">as</w:t>
      </w:r>
      <w:r>
        <w:t xml:space="preserve"> </w:t>
      </w:r>
      <w:r>
        <w:t xml:space="preserve">+</w:t>
      </w:r>
      <w:r>
        <w:t xml:space="preserve"> </w:t>
      </w:r>
      <w:r>
        <w:rPr>
          <w:iCs/>
          <w:i/>
        </w:rPr>
        <w:t xml:space="preserve">tha</w:t>
      </w:r>
      <w:r>
        <w:t xml:space="preserve">;</w:t>
      </w:r>
      <w:r>
        <w:t xml:space="preserve"> </w:t>
      </w:r>
      <w:r>
        <w:t xml:space="preserve">“</w:t>
      </w:r>
      <w:r>
        <w:t xml:space="preserve">śnasor allopaḥ</w:t>
      </w:r>
      <w:r>
        <w:t xml:space="preserve">”</w:t>
      </w:r>
      <w:r>
        <w:t xml:space="preserve"> </w:t>
      </w:r>
      <w:r>
        <w:t xml:space="preserve">(Pā. sū. 6-4-111): the</w:t>
      </w:r>
      <w:r>
        <w:t xml:space="preserve"> </w:t>
      </w:r>
      <w:r>
        <w:rPr>
          <w:iCs/>
          <w:i/>
        </w:rPr>
        <w:t xml:space="preserve">a</w:t>
      </w:r>
      <w:r>
        <w:t xml:space="preserve"> </w:t>
      </w:r>
      <w:r>
        <w:t xml:space="preserve">of</w:t>
      </w:r>
      <w:r>
        <w:t xml:space="preserve"> </w:t>
      </w:r>
      <w:r>
        <w:rPr>
          <w:iCs/>
          <w:i/>
        </w:rPr>
        <w:t xml:space="preserve">śnam</w:t>
      </w:r>
      <w:r>
        <w:t xml:space="preserve"> </w:t>
      </w:r>
      <w:r>
        <w:t xml:space="preserve">and of</w:t>
      </w:r>
      <w:r>
        <w:t xml:space="preserve"> </w:t>
      </w:r>
      <w:r>
        <w:rPr>
          <w:iCs/>
          <w:i/>
        </w:rPr>
        <w:t xml:space="preserve">as</w:t>
      </w:r>
      <w:r>
        <w:t xml:space="preserve"> </w:t>
      </w:r>
      <w:r>
        <w:t xml:space="preserve">drops before a</w:t>
      </w:r>
      <w:r>
        <w:t xml:space="preserve"> </w:t>
      </w:r>
      <w:r>
        <w:rPr>
          <w:iCs/>
          <w:i/>
        </w:rPr>
        <w:t xml:space="preserve">kit</w:t>
      </w:r>
      <w:r>
        <w:t xml:space="preserve"> </w:t>
      </w:r>
      <w:r>
        <w:t xml:space="preserve">or</w:t>
      </w:r>
      <w:r>
        <w:t xml:space="preserve"> </w:t>
      </w:r>
      <w:r>
        <w:rPr>
          <w:iCs/>
          <w:i/>
        </w:rPr>
        <w:t xml:space="preserve">ṅit</w:t>
      </w:r>
      <w:r>
        <w:t xml:space="preserve"> </w:t>
      </w:r>
      <w:r>
        <w:rPr>
          <w:iCs/>
          <w:i/>
        </w:rPr>
        <w:t xml:space="preserve">sārvadhātuka</w:t>
      </w:r>
      <w:r>
        <w:t xml:space="preserve">:</w:t>
      </w:r>
      <w:r>
        <w:t xml:space="preserve"> </w:t>
      </w:r>
      <w:r>
        <w:rPr>
          <w:iCs/>
          <w:i/>
        </w:rPr>
        <w:t xml:space="preserve">stha</w:t>
      </w:r>
      <w:r>
        <w:t xml:space="preserve">. By</w:t>
      </w:r>
      <w:r>
        <w:t xml:space="preserve"> </w:t>
      </w:r>
      <w:r>
        <w:rPr>
          <w:iCs/>
          <w:i/>
        </w:rPr>
        <w:t xml:space="preserve">vyatyaya</w:t>
      </w:r>
      <w:r>
        <w:t xml:space="preserve"> </w:t>
      </w:r>
      <w:r>
        <w:rPr>
          <w:iCs/>
          <w:i/>
        </w:rPr>
        <w:t xml:space="preserve">ṣ</w:t>
      </w:r>
      <w:r>
        <w:t xml:space="preserve"> </w:t>
      </w:r>
      <w:r>
        <w:t xml:space="preserve">for the</w:t>
      </w:r>
      <w:r>
        <w:t xml:space="preserve"> </w:t>
      </w:r>
      <w:r>
        <w:rPr>
          <w:iCs/>
          <w:i/>
        </w:rPr>
        <w:t xml:space="preserve">s</w:t>
      </w:r>
      <w:r>
        <w:t xml:space="preserve">;</w:t>
      </w:r>
      <w:r>
        <w:t xml:space="preserve"> </w:t>
      </w:r>
      <w:r>
        <w:rPr>
          <w:iCs/>
          <w:i/>
        </w:rPr>
        <w:t xml:space="preserve">ṭh</w:t>
      </w:r>
      <w:r>
        <w:t xml:space="preserve"> </w:t>
      </w:r>
      <w:r>
        <w:t xml:space="preserve">by</w:t>
      </w:r>
      <w:r>
        <w:t xml:space="preserve"> </w:t>
      </w:r>
      <w:r>
        <w:t xml:space="preserve">“</w:t>
      </w:r>
      <w:r>
        <w:t xml:space="preserve">ṣṭunā ṣṭuḥ</w:t>
      </w:r>
      <w:r>
        <w:t xml:space="preserve">”</w:t>
      </w:r>
      <w:r>
        <w:t xml:space="preserve"> </w:t>
      </w:r>
      <w:r>
        <w:t xml:space="preserve">(Pā. sū. 8-4-41):</w:t>
      </w:r>
      <w:r>
        <w:t xml:space="preserve"> </w:t>
      </w:r>
      <w:r>
        <w:rPr>
          <w:iCs/>
          <w:i/>
        </w:rPr>
        <w:t xml:space="preserve">ṣṭha</w:t>
      </w:r>
      <w:r>
        <w:t xml:space="preserve">. By</w:t>
      </w:r>
      <w:r>
        <w:t xml:space="preserve"> </w:t>
      </w:r>
      <w:r>
        <w:t xml:space="preserve">“</w:t>
      </w:r>
      <w:r>
        <w:t xml:space="preserve">hi ca</w:t>
      </w:r>
      <w:r>
        <w:t xml:space="preserve">”</w:t>
      </w:r>
      <w:r>
        <w:t xml:space="preserve"> </w:t>
      </w:r>
      <w:r>
        <w:t xml:space="preserve">(Pā. sū. 8-1-34) a</w:t>
      </w:r>
      <w:r>
        <w:t xml:space="preserve"> </w:t>
      </w:r>
      <w:r>
        <w:rPr>
          <w:iCs/>
          <w:i/>
        </w:rPr>
        <w:t xml:space="preserve">tiṅanta</w:t>
      </w:r>
      <w:r>
        <w:t xml:space="preserve"> </w:t>
      </w:r>
      <w:r>
        <w:t xml:space="preserve">joined with</w:t>
      </w:r>
      <w:r>
        <w:t xml:space="preserve"> </w:t>
      </w:r>
      <w:r>
        <w:rPr>
          <w:iCs/>
          <w:i/>
        </w:rPr>
        <w:t xml:space="preserve">hi</w:t>
      </w:r>
      <w:r>
        <w:t xml:space="preserve"> </w:t>
      </w:r>
      <w:r>
        <w:t xml:space="preserve">is not unaccented; here there is the use of</w:t>
      </w:r>
      <w:r>
        <w:t xml:space="preserve"> </w:t>
      </w:r>
      <w:r>
        <w:rPr>
          <w:iCs/>
          <w:i/>
        </w:rPr>
        <w:t xml:space="preserve">hi</w:t>
      </w:r>
      <w:r>
        <w:t xml:space="preserve">, so the bar applies, and</w:t>
      </w:r>
      <w:r>
        <w:t xml:space="preserve"> </w:t>
      </w:r>
      <w:r>
        <w:t xml:space="preserve">“</w:t>
      </w:r>
      <w:r>
        <w:t xml:space="preserve">tiṅṅatiṅaḥ</w:t>
      </w:r>
      <w:r>
        <w:t xml:space="preserve">”</w:t>
      </w:r>
      <w:r>
        <w:t xml:space="preserve"> </w:t>
      </w:r>
      <w:r>
        <w:t xml:space="preserve">does not lower it. In the Saṃhitā it is lengthened by</w:t>
      </w:r>
      <w:r>
        <w:t xml:space="preserve"> </w:t>
      </w:r>
      <w:r>
        <w:t xml:space="preserve">“</w:t>
      </w:r>
      <w:r>
        <w:t xml:space="preserve">anyeṣām api dṛśyate</w:t>
      </w:r>
      <w:r>
        <w:t xml:space="preserve">”</w:t>
      </w:r>
      <w:r>
        <w:t xml:space="preserve">.</w:t>
      </w:r>
    </w:p>
    <w:p>
      <w:pPr>
        <w:pStyle w:val="BodyText"/>
      </w:pPr>
      <w:r>
        <w:rPr>
          <w:bCs/>
          <w:b/>
        </w:rPr>
        <w:t xml:space="preserve">सुदानवः (</w:t>
      </w:r>
      <w:r>
        <w:rPr>
          <w:iCs/>
          <w:i/>
          <w:bCs/>
          <w:b/>
        </w:rPr>
        <w:t xml:space="preserve">sudānavaḥ</w:t>
      </w:r>
      <w:r>
        <w:rPr>
          <w:bCs/>
          <w:b/>
        </w:rPr>
        <w:t xml:space="preserve">)</w:t>
      </w:r>
      <w:r>
        <w:t xml:space="preserve">:</w:t>
      </w:r>
      <w:r>
        <w:t xml:space="preserve"> </w:t>
      </w:r>
      <w:r>
        <w:t xml:space="preserve">“</w:t>
      </w:r>
      <w:r>
        <w:t xml:space="preserve">dābhābhyāṃ nuḥ</w:t>
      </w:r>
      <w:r>
        <w:t xml:space="preserve">”</w:t>
      </w:r>
      <w:r>
        <w:t xml:space="preserve"> </w:t>
      </w:r>
      <w:r>
        <w:t xml:space="preserve">(Uṇ. sū. 3-32;</w:t>
      </w:r>
      <w:r>
        <w:t xml:space="preserve"> </w:t>
      </w:r>
      <w:r>
        <w:rPr>
          <w:iCs/>
          <w:i/>
        </w:rPr>
        <w:t xml:space="preserve">ḍudāñ dāne</w:t>
      </w:r>
      <w:r>
        <w:t xml:space="preserve">,</w:t>
      </w:r>
      <w:r>
        <w:t xml:space="preserve"> </w:t>
      </w:r>
      <w:r>
        <w:rPr>
          <w:iCs/>
          <w:i/>
        </w:rPr>
        <w:t xml:space="preserve">bhā dīptau</w:t>
      </w:r>
      <w:r>
        <w:t xml:space="preserve">): after these the suffix</w:t>
      </w:r>
      <w:r>
        <w:t xml:space="preserve"> </w:t>
      </w:r>
      <w:r>
        <w:rPr>
          <w:iCs/>
          <w:i/>
        </w:rPr>
        <w:t xml:space="preserve">nu</w:t>
      </w:r>
      <w:r>
        <w:t xml:space="preserve">:</w:t>
      </w:r>
      <w:r>
        <w:t xml:space="preserve"> </w:t>
      </w:r>
      <w:r>
        <w:rPr>
          <w:iCs/>
          <w:i/>
        </w:rPr>
        <w:t xml:space="preserve">dānu</w:t>
      </w:r>
      <w:r>
        <w:t xml:space="preserve">. With</w:t>
      </w:r>
      <w:r>
        <w:t xml:space="preserve"> </w:t>
      </w:r>
      <w:r>
        <w:rPr>
          <w:iCs/>
          <w:i/>
        </w:rPr>
        <w:t xml:space="preserve">su</w:t>
      </w:r>
      <w:r>
        <w:t xml:space="preserve">, a compound by</w:t>
      </w:r>
      <w:r>
        <w:t xml:space="preserve"> </w:t>
      </w:r>
      <w:r>
        <w:t xml:space="preserve">“</w:t>
      </w:r>
      <w:r>
        <w:t xml:space="preserve">kugatiprādayaḥ</w:t>
      </w:r>
      <w:r>
        <w:t xml:space="preserve">”</w:t>
      </w:r>
      <w:r>
        <w:t xml:space="preserve"> </w:t>
      </w:r>
      <w:r>
        <w:t xml:space="preserve">(Pā. sū. 2-2-18); vocative plural; it is a vocative, so wholly unaccented by</w:t>
      </w:r>
      <w:r>
        <w:t xml:space="preserve"> </w:t>
      </w:r>
      <w:r>
        <w:t xml:space="preserve">“</w:t>
      </w:r>
      <w:r>
        <w:t xml:space="preserve">āmantritasya ca</w:t>
      </w:r>
      <w:r>
        <w:t xml:space="preserve">”</w:t>
      </w:r>
      <w:r>
        <w:t xml:space="preserve"> </w:t>
      </w:r>
      <w:r>
        <w:t xml:space="preserve">(Pā. sū. 8-1-19). Here</w:t>
      </w:r>
      <w:r>
        <w:t xml:space="preserve"> </w:t>
      </w:r>
      <w:r>
        <w:rPr>
          <w:iCs/>
          <w:i/>
        </w:rPr>
        <w:t xml:space="preserve">sudānavaḥ</w:t>
      </w:r>
      <w:r>
        <w:t xml:space="preserve"> </w:t>
      </w:r>
      <w:r>
        <w:t xml:space="preserve">is not taken as a nominative plural with</w:t>
      </w:r>
      <w:r>
        <w:t xml:space="preserve"> </w:t>
      </w:r>
      <w:r>
        <w:rPr>
          <w:iCs/>
          <w:i/>
        </w:rPr>
        <w:t xml:space="preserve">yūyaṃ sudānavaḥ stha</w:t>
      </w:r>
      <w:r>
        <w:t xml:space="preserve">, predicating</w:t>
      </w:r>
      <w:r>
        <w:t xml:space="preserve"> </w:t>
      </w:r>
      <w:r>
        <w:t xml:space="preserve">“</w:t>
      </w:r>
      <w:r>
        <w:t xml:space="preserve">you are well-known givers</w:t>
      </w:r>
      <w:r>
        <w:t xml:space="preserve">”</w:t>
      </w:r>
      <w:r>
        <w:t xml:space="preserve"> </w:t>
      </w:r>
      <w:r>
        <w:t xml:space="preserve">of the Maruts meant by</w:t>
      </w:r>
      <w:r>
        <w:t xml:space="preserve"> </w:t>
      </w:r>
      <w:r>
        <w:rPr>
          <w:iCs/>
          <w:i/>
        </w:rPr>
        <w:t xml:space="preserve">yūyam</w:t>
      </w:r>
      <w:r>
        <w:t xml:space="preserve">; for then</w:t>
      </w:r>
      <w:r>
        <w:t xml:space="preserve"> </w:t>
      </w:r>
      <w:r>
        <w:rPr>
          <w:iCs/>
          <w:i/>
        </w:rPr>
        <w:t xml:space="preserve">sudānavaḥ</w:t>
      </w:r>
      <w:r>
        <w:t xml:space="preserve"> </w:t>
      </w:r>
      <w:r>
        <w:t xml:space="preserve">would not be a vocative, and its vocative lowering would not fit. So</w:t>
      </w:r>
      <w:r>
        <w:t xml:space="preserve"> </w:t>
      </w:r>
      <w:r>
        <w:rPr>
          <w:iCs/>
          <w:i/>
        </w:rPr>
        <w:t xml:space="preserve">sudānavaḥ</w:t>
      </w:r>
      <w:r>
        <w:t xml:space="preserve"> </w:t>
      </w:r>
      <w:r>
        <w:t xml:space="preserve">is a vocative plural, and the intended sense is</w:t>
      </w:r>
      <w:r>
        <w:t xml:space="preserve"> </w:t>
      </w:r>
      <w:r>
        <w:rPr>
          <w:iCs/>
          <w:i/>
        </w:rPr>
        <w:t xml:space="preserve">he sudānavaḥ yūyaṃ hi stha</w:t>
      </w:r>
      <w:r>
        <w:t xml:space="preserve">:</w:t>
      </w:r>
      <w:r>
        <w:t xml:space="preserve"> </w:t>
      </w:r>
      <w:r>
        <w:t xml:space="preserve">“</w:t>
      </w:r>
      <w:r>
        <w:t xml:space="preserve">O Maruts, well-known givers, you are endowed with the great power set out in the several Māruta sūktas</w:t>
      </w:r>
      <w:r>
        <w:t xml:space="preserve">”</w:t>
      </w:r>
      <w:r>
        <w:t xml:space="preserve">: addressing the Maruts by their established generosity as</w:t>
      </w:r>
      <w:r>
        <w:t xml:space="preserve"> </w:t>
      </w:r>
      <w:r>
        <w:rPr>
          <w:iCs/>
          <w:i/>
        </w:rPr>
        <w:t xml:space="preserve">sudānavaḥ</w:t>
      </w:r>
      <w:r>
        <w:t xml:space="preserve">, and pointing back by</w:t>
      </w:r>
      <w:r>
        <w:t xml:space="preserve"> </w:t>
      </w:r>
      <w:r>
        <w:rPr>
          <w:iCs/>
          <w:i/>
        </w:rPr>
        <w:t xml:space="preserve">yūyam</w:t>
      </w:r>
      <w:r>
        <w:t xml:space="preserve"> </w:t>
      </w:r>
      <w:r>
        <w:t xml:space="preserve">to the great powers famed in those sūktas, when one prays</w:t>
      </w:r>
      <w:r>
        <w:t xml:space="preserve"> </w:t>
      </w:r>
      <w:r>
        <w:rPr>
          <w:iCs/>
          <w:i/>
        </w:rPr>
        <w:t xml:space="preserve">punītana</w:t>
      </w:r>
      <w:r>
        <w:t xml:space="preserve">,</w:t>
      </w:r>
      <w:r>
        <w:t xml:space="preserve"> </w:t>
      </w:r>
      <w:r>
        <w:t xml:space="preserve">“</w:t>
      </w:r>
      <w:r>
        <w:t xml:space="preserve">purify</w:t>
      </w:r>
      <w:r>
        <w:t xml:space="preserve">”</w:t>
      </w:r>
      <w:r>
        <w:t xml:space="preserve">, the word</w:t>
      </w:r>
      <w:r>
        <w:t xml:space="preserve"> </w:t>
      </w:r>
      <w:r>
        <w:rPr>
          <w:iCs/>
          <w:i/>
        </w:rPr>
        <w:t xml:space="preserve">hi</w:t>
      </w:r>
      <w:r>
        <w:t xml:space="preserve"> </w:t>
      </w:r>
      <w:r>
        <w:t xml:space="preserve">conveys that those great powers, gathered under the word</w:t>
      </w:r>
      <w:r>
        <w:t xml:space="preserve"> </w:t>
      </w:r>
      <w:r>
        <w:rPr>
          <w:iCs/>
          <w:i/>
        </w:rPr>
        <w:t xml:space="preserve">yuṣmad</w:t>
      </w:r>
      <w:r>
        <w:t xml:space="preserve">, are the reason for the purifying.</w:t>
      </w:r>
    </w:p>
    <w:p>
      <w:pPr>
        <w:pStyle w:val="BodyText"/>
      </w:pPr>
      <w:r>
        <w:rPr>
          <w:bCs/>
          <w:b/>
        </w:rPr>
        <w:t xml:space="preserve">॥२॥</w:t>
      </w:r>
    </w:p>
    <w:p>
      <w:r>
        <w:pict>
          <v:rect style="width:0;height:1.5pt" o:hralign="center" o:hrstd="t" o:hr="t"/>
        </w:pict>
      </w:r>
    </w:p>
    <w:bookmarkEnd w:id="684"/>
    <w:bookmarkStart w:id="685" w:name="page-635-lower-sūkta-15-rik-3"/>
    <w:p>
      <w:pPr>
        <w:pStyle w:val="Heading3"/>
      </w:pPr>
      <w:r>
        <w:t xml:space="preserve">Page 635 (lower) — Sūkta 15, Rik 3</w:t>
      </w:r>
    </w:p>
    <w:p>
      <w:pPr>
        <w:pStyle w:val="FirstParagraph"/>
      </w:pPr>
      <w:r>
        <w:rPr>
          <w:iCs/>
          <w:i/>
        </w:rPr>
        <w:t xml:space="preserve">(Saṃhitā accents as printed; Pada unaccented. The Pada prints नेष्टरिति for the vocative नेष्टः.)</w:t>
      </w:r>
    </w:p>
    <w:p>
      <w:pPr>
        <w:pStyle w:val="BodyText"/>
      </w:pPr>
      <w:r>
        <w:rPr>
          <w:bCs/>
          <w:b/>
        </w:rPr>
        <w:t xml:space="preserve">॥ Saṃhitā-pāṭhaḥ ॥</w:t>
      </w:r>
    </w:p>
    <w:p>
      <w:pPr>
        <w:pStyle w:val="BlockText"/>
      </w:pPr>
      <w:r>
        <w:t xml:space="preserve">अ॒भि य॒ज्ञं गृ॑णीहि नो॒ ग्नावो॒ नेष्टः॒ पिब॑ ऋ॒तुना॑ ।</w:t>
      </w:r>
      <w:r>
        <w:t xml:space="preserve"> </w:t>
      </w:r>
      <w:r>
        <w:t xml:space="preserve">त्वं हि र॑त्न॒धा असि॑ ॥३॥</w:t>
      </w:r>
    </w:p>
    <w:p>
      <w:pPr>
        <w:pStyle w:val="BlockText"/>
      </w:pPr>
      <w:r>
        <w:rPr>
          <w:iCs/>
          <w:i/>
        </w:rPr>
        <w:t xml:space="preserve">abhí yajñáṃ gṛṇīhi no gnā́vo néṣṭaḥ píba ṛtúnā |</w:t>
      </w:r>
      <w:r>
        <w:t xml:space="preserve"> </w:t>
      </w:r>
      <w:r>
        <w:rPr>
          <w:iCs/>
          <w:i/>
        </w:rPr>
        <w:t xml:space="preserve">tvaṃ hí ratnadhā́ ási ||3||</w:t>
      </w:r>
    </w:p>
    <w:bookmarkEnd w:id="685"/>
    <w:bookmarkStart w:id="686" w:name="page-636-rik-3-pada-and-bhāṣya"/>
    <w:p>
      <w:pPr>
        <w:pStyle w:val="Heading3"/>
      </w:pPr>
      <w:r>
        <w:t xml:space="preserve">Page 636 — Rik 3: Pada and bhāṣya</w:t>
      </w:r>
    </w:p>
    <w:p>
      <w:pPr>
        <w:pStyle w:val="FirstParagraph"/>
      </w:pPr>
      <w:r>
        <w:rPr>
          <w:bCs/>
          <w:b/>
        </w:rPr>
        <w:t xml:space="preserve">॥ Pada-pāṭhaḥ ॥</w:t>
      </w:r>
    </w:p>
    <w:p>
      <w:pPr>
        <w:pStyle w:val="BlockText"/>
      </w:pPr>
      <w:r>
        <w:t xml:space="preserve">अभि । यज्ञम् । गृणीहि । नः । ग्नावः । नेष्टरिति । पिब । ऋतुना ॥</w:t>
      </w:r>
      <w:r>
        <w:t xml:space="preserve"> </w:t>
      </w:r>
      <w:r>
        <w:t xml:space="preserve">त्वम् । हि । रत्नऽधाः । असि ॥३॥</w:t>
      </w:r>
    </w:p>
    <w:p>
      <w:pPr>
        <w:pStyle w:val="BlockText"/>
      </w:pPr>
      <w:r>
        <w:rPr>
          <w:iCs/>
          <w:i/>
        </w:rPr>
        <w:t xml:space="preserve">abhi | yajñam | gṛṇīhi | naḥ | gnāvaḥ | neṣṭariti | piba | ṛtunā ||</w:t>
      </w:r>
      <w:r>
        <w:t xml:space="preserve"> </w:t>
      </w:r>
      <w:r>
        <w:rPr>
          <w:iCs/>
          <w:i/>
        </w:rPr>
        <w:t xml:space="preserve">tvam | hi | ratna ’dhāḥ | asi ||3||</w:t>
      </w:r>
    </w:p>
    <w:p>
      <w:pPr>
        <w:pStyle w:val="FirstParagraph"/>
      </w:pPr>
      <w:r>
        <w:rPr>
          <w:bCs/>
          <w:b/>
        </w:rPr>
        <w:t xml:space="preserve">॥ Sāyaṇa-bhāṣyam ॥</w:t>
      </w:r>
    </w:p>
    <w:p>
      <w:pPr>
        <w:pStyle w:val="BlockText"/>
      </w:pPr>
      <w:r>
        <w:t xml:space="preserve">ग्नाशब्दः स्त्रीवाची । तथा च यास्क आह । मेना ग्ना इति स्त्रीणां मेना मानयन्त्येना ग्ना गच्छन्त्येनाः । नि. ३-२१ । इति । ग्ना अस्य सन्तीति ग्नावान् । नेष्टृशब्दो ऽत्र त्वष्टारं देवमाह । कस्मिंश्चिद्देवसत्रे नेष्टृत्वेन त्वष्टुर्वर्तितत्वात् । हे ग्नावः पत्नीयुक्त नेष्टस्त्वष्टः नो ऽस्मदीयं यज्ञमभि गृणीहि । अभितो देवानां समीपे स्तुहि । ऋतुना सह त्वं सोमं पिब । हि यस्मात्त्वं रत्नधा असि रत्नानां दाता भवसि तस्मात्सोमं पातुमर्हसीत्यर्थः ॥ अभि । उपसर्गाश्चाभिवर्जं । फि. ४-१३ । इति पर्युदासादभेरन्तोदात्तत्वं । गृणीहि । गॄ शब्दे । लोटि सिपो हिः । क्र्यादिभ्यः श्ना । हेर्ङित्त्वादी हल्यघोरितीत्वं । श्नाप्रत्ययस्य ङित्त्वाद्गुणाभावः । प्वादीनां ह्रस्वः । तिङ्ङतिङ इति निघातः । ग्ना अस्य सन्तीति मतुप् । व्यत्ययेन वत्वं । सम्बुद्धौ मतुवसो रुरिति रुत्वं । विसर्गः । पादादित्वेनामन्त्रितनिघाताभावात्षाष्ठिकमामन्त्रिताद्युदात्तत्वं । ग्नाव इत्यस्य विशेषणतया विशेषवचनत्वान्नामन्त्रिते समानाधिकरण इति निषेधाभावादविद्यमानवत्त्वेनोत्तरस्य नेष्टृशब्दस्य षाष्ठिकमाद्युदात्तत्वं । पिब । शपः पित्त्वाद्धातुस्वरः । पूर्वयोरामन्त्रितयोरविद्यमानवत्त्वेन निघाताभावः । रत्नानि दधातीति रत्नधाः । क्विप्चेति क्विप् । धातुस्वरः । समासे कृदुत्तरपदप्रकृतिस्वरत्वेन स एव शिष्यते । असि । सिपः पित्त्वाद्धातुस्वरः । तिङ्ङतिङ इति निघातो न भवति हि चेति प्रतिषेधात् ॥</w:t>
      </w:r>
    </w:p>
    <w:p>
      <w:pPr>
        <w:pStyle w:val="BlockText"/>
      </w:pPr>
      <w:r>
        <w:rPr>
          <w:iCs/>
          <w:i/>
        </w:rPr>
        <w:t xml:space="preserve">gnāśabdaḥ strīvācī | tathā ca yāska āha | menā gnā iti strīṇāṃ menā mānayantyenā gnā gacchantyenāḥ | ni. 3-21 | iti | gnā asya santīti gnāvān | neṣṭṛśabdo ’tra tvaṣṭāraṃ devamāha | kasmiṃściddevasatre neṣṭṛtvena tvaṣṭurvartitatvāt | he gnāvaḥ patnīyukta neṣṭastvaṣṭaḥ no ’smadīyaṃ yajñamabhi gṛṇīhi | abhito devānāṃ samīpe stuhi | ṛtunā saha tvaṃ somaṃ piba | hi yasmāttvaṃ ratnadhā asi ratnānāṃ dātā bhavasi tasmātsomaṃ pātumarhasītyarthaḥ || abhi | upasargāścābhivarjaṃ | phi. 4-13 | iti paryudāsādabherantodāttatvaṃ | gṛṇīhi | gṝ śabde | loṭi sipo hiḥ | kryādibhyaḥ śnā | herṅittvādī halyaghoritītvaṃ | śnāpratyayasya ṅittvādguṇābhāvaḥ | pvādīnāṃ hrasvaḥ | tiṅṅatiṅa iti nighātaḥ | gnā asya santīti matup | vyatyayena vatvaṃ | sambuddhau matuvaso ruriti rutvaṃ | visargaḥ | pādāditvenāmantritanighātābhāvātṣāṣṭhikamāmantritādyudāttatvaṃ | gnāva ityasya viśeṣaṇatayā viśeṣavacanatvānnāmantrite samānādhikaraṇa iti niṣedhābhāvādavidyamānavattvenottarasya neṣṭṛśabdasya ṣāṣṭhikamādyudāttatvaṃ | piba | śapaḥ pittvāddhātusvaraḥ | pūrvayorāmantritayoravidyamānavattvena nighātābhāvaḥ | ratnāni dadhātīti ratnadhāḥ | kvipceti kvip | dhātusvaraḥ | samāse kṛduttarapadaprakṛtisvaratvena sa eva śiṣyate | asi | sipaḥ pittvāddhātusvaraḥ | tiṅṅatiṅa iti nighāto na bhavati hi ceti pratiṣedhāt ||</w:t>
      </w:r>
    </w:p>
    <w:p>
      <w:pPr>
        <w:pStyle w:val="FirstParagraph"/>
      </w:pPr>
      <w:r>
        <w:rPr>
          <w:bCs/>
          <w:b/>
        </w:rPr>
        <w:t xml:space="preserve">Translation:</w:t>
      </w:r>
      <w:r>
        <w:t xml:space="preserve"> </w:t>
      </w:r>
      <w:r>
        <w:t xml:space="preserve">“</w:t>
      </w:r>
      <w:r>
        <w:t xml:space="preserve">The word</w:t>
      </w:r>
      <w:r>
        <w:t xml:space="preserve"> </w:t>
      </w:r>
      <w:r>
        <w:rPr>
          <w:iCs/>
          <w:i/>
        </w:rPr>
        <w:t xml:space="preserve">gnā</w:t>
      </w:r>
      <w:r>
        <w:t xml:space="preserve"> </w:t>
      </w:r>
      <w:r>
        <w:t xml:space="preserve">denotes woman; so Yāska says,</w:t>
      </w:r>
      <w:r>
        <w:t xml:space="preserve"> </w:t>
      </w:r>
      <w:r>
        <w:t xml:space="preserve">‘</w:t>
      </w:r>
      <w:r>
        <w:rPr>
          <w:iCs/>
          <w:i/>
        </w:rPr>
        <w:t xml:space="preserve">menā</w:t>
      </w:r>
      <w:r>
        <w:t xml:space="preserve">,</w:t>
      </w:r>
      <w:r>
        <w:t xml:space="preserve"> </w:t>
      </w:r>
      <w:r>
        <w:rPr>
          <w:iCs/>
          <w:i/>
        </w:rPr>
        <w:t xml:space="preserve">gnā</w:t>
      </w:r>
      <w:r>
        <w:t xml:space="preserve">: names of women;</w:t>
      </w:r>
      <w:r>
        <w:t xml:space="preserve"> </w:t>
      </w:r>
      <w:r>
        <w:rPr>
          <w:iCs/>
          <w:i/>
        </w:rPr>
        <w:t xml:space="preserve">menā</w:t>
      </w:r>
      <w:r>
        <w:t xml:space="preserve"> </w:t>
      </w:r>
      <w:r>
        <w:t xml:space="preserve">because they honour them,</w:t>
      </w:r>
      <w:r>
        <w:t xml:space="preserve"> </w:t>
      </w:r>
      <w:r>
        <w:rPr>
          <w:iCs/>
          <w:i/>
        </w:rPr>
        <w:t xml:space="preserve">gnā</w:t>
      </w:r>
      <w:r>
        <w:t xml:space="preserve"> </w:t>
      </w:r>
      <w:r>
        <w:t xml:space="preserve">because they go to them</w:t>
      </w:r>
      <w:r>
        <w:t xml:space="preserve">’</w:t>
      </w:r>
      <w:r>
        <w:t xml:space="preserve"> </w:t>
      </w:r>
      <w:r>
        <w:t xml:space="preserve">(Ni. 3-21).</w:t>
      </w:r>
      <w:r>
        <w:t xml:space="preserve"> </w:t>
      </w:r>
      <w:r>
        <w:t xml:space="preserve">‘</w:t>
      </w:r>
      <w:r>
        <w:rPr>
          <w:iCs/>
          <w:i/>
        </w:rPr>
        <w:t xml:space="preserve">Gnāḥ</w:t>
      </w:r>
      <w:r>
        <w:t xml:space="preserve"> </w:t>
      </w:r>
      <w:r>
        <w:t xml:space="preserve">are his</w:t>
      </w:r>
      <w:r>
        <w:t xml:space="preserve">’</w:t>
      </w:r>
      <w:r>
        <w:t xml:space="preserve"> </w:t>
      </w:r>
      <w:r>
        <w:t xml:space="preserve">gives</w:t>
      </w:r>
      <w:r>
        <w:t xml:space="preserve"> </w:t>
      </w:r>
      <w:r>
        <w:rPr>
          <w:iCs/>
          <w:i/>
        </w:rPr>
        <w:t xml:space="preserve">gnāvān</w:t>
      </w:r>
      <w:r>
        <w:t xml:space="preserve">. The word</w:t>
      </w:r>
      <w:r>
        <w:t xml:space="preserve"> </w:t>
      </w:r>
      <w:r>
        <w:rPr>
          <w:iCs/>
          <w:i/>
        </w:rPr>
        <w:t xml:space="preserve">neṣṭṛ</w:t>
      </w:r>
      <w:r>
        <w:t xml:space="preserve"> </w:t>
      </w:r>
      <w:r>
        <w:t xml:space="preserve">here means the god Tvaṣṭṛ, since at a certain</w:t>
      </w:r>
      <w:r>
        <w:t xml:space="preserve"> </w:t>
      </w:r>
      <w:r>
        <w:rPr>
          <w:iCs/>
          <w:i/>
        </w:rPr>
        <w:t xml:space="preserve">sattra</w:t>
      </w:r>
      <w:r>
        <w:t xml:space="preserve"> </w:t>
      </w:r>
      <w:r>
        <w:t xml:space="preserve">of the gods Tvaṣṭṛ acted as Neṣṭṛ. O</w:t>
      </w:r>
      <w:r>
        <w:t xml:space="preserve"> </w:t>
      </w:r>
      <w:r>
        <w:rPr>
          <w:iCs/>
          <w:i/>
        </w:rPr>
        <w:t xml:space="preserve">gnāvaḥ</w:t>
      </w:r>
      <w:r>
        <w:t xml:space="preserve">, you who have your wife with you, O</w:t>
      </w:r>
      <w:r>
        <w:t xml:space="preserve"> </w:t>
      </w:r>
      <w:r>
        <w:rPr>
          <w:iCs/>
          <w:i/>
        </w:rPr>
        <w:t xml:space="preserve">neṣṭaḥ</w:t>
      </w:r>
      <w:r>
        <w:t xml:space="preserve">, Tvaṣṭṛ,</w:t>
      </w:r>
      <w:r>
        <w:t xml:space="preserve"> </w:t>
      </w:r>
      <w:r>
        <w:rPr>
          <w:iCs/>
          <w:i/>
        </w:rPr>
        <w:t xml:space="preserve">abhi gṛṇīhi</w:t>
      </w:r>
      <w:r>
        <w:t xml:space="preserve">, praise our sacrifice round about, near the gods. Drink the soma with the Ṛtu.</w:t>
      </w:r>
      <w:r>
        <w:t xml:space="preserve"> </w:t>
      </w:r>
      <w:r>
        <w:rPr>
          <w:iCs/>
          <w:i/>
        </w:rPr>
        <w:t xml:space="preserve">Hi</w:t>
      </w:r>
      <w:r>
        <w:t xml:space="preserve">, since, you are</w:t>
      </w:r>
      <w:r>
        <w:t xml:space="preserve"> </w:t>
      </w:r>
      <w:r>
        <w:rPr>
          <w:iCs/>
          <w:i/>
        </w:rPr>
        <w:t xml:space="preserve">ratnadhāḥ</w:t>
      </w:r>
      <w:r>
        <w:t xml:space="preserve">, a giver of jewels, so you are worthy to drink the soma: that is the sense.</w:t>
      </w:r>
      <w:r>
        <w:t xml:space="preserve">”</w:t>
      </w:r>
      <w:r>
        <w:t xml:space="preserve"> </w:t>
      </w:r>
      <w:r>
        <w:t xml:space="preserve">(Grammatical tail:</w:t>
      </w:r>
      <w:r>
        <w:t xml:space="preserve"> </w:t>
      </w:r>
      <w:r>
        <w:rPr>
          <w:iCs/>
          <w:i/>
        </w:rPr>
        <w:t xml:space="preserve">abhi</w:t>
      </w:r>
      <w:r>
        <w:t xml:space="preserve">, final udātta, being excluded by</w:t>
      </w:r>
      <w:r>
        <w:t xml:space="preserve"> </w:t>
      </w:r>
      <w:r>
        <w:rPr>
          <w:iCs/>
          <w:i/>
        </w:rPr>
        <w:t xml:space="preserve">upasargāś cābhivarjam</w:t>
      </w:r>
      <w:r>
        <w:t xml:space="preserve"> </w:t>
      </w:r>
      <w:r>
        <w:t xml:space="preserve">(Phi. 4-13);</w:t>
      </w:r>
      <w:r>
        <w:t xml:space="preserve"> </w:t>
      </w:r>
      <w:r>
        <w:rPr>
          <w:iCs/>
          <w:i/>
        </w:rPr>
        <w:t xml:space="preserve">gṛṇīhi</w:t>
      </w:r>
      <w:r>
        <w:t xml:space="preserve">:</w:t>
      </w:r>
      <w:r>
        <w:t xml:space="preserve"> </w:t>
      </w:r>
      <w:r>
        <w:rPr>
          <w:iCs/>
          <w:i/>
        </w:rPr>
        <w:t xml:space="preserve">gṝ</w:t>
      </w:r>
      <w:r>
        <w:t xml:space="preserve">,</w:t>
      </w:r>
      <w:r>
        <w:t xml:space="preserve"> </w:t>
      </w:r>
      <w:r>
        <w:rPr>
          <w:iCs/>
          <w:i/>
        </w:rPr>
        <w:t xml:space="preserve">hi</w:t>
      </w:r>
      <w:r>
        <w:t xml:space="preserve">,</w:t>
      </w:r>
      <w:r>
        <w:t xml:space="preserve"> </w:t>
      </w:r>
      <w:r>
        <w:rPr>
          <w:iCs/>
          <w:i/>
        </w:rPr>
        <w:t xml:space="preserve">śnā</w:t>
      </w:r>
      <w:r>
        <w:t xml:space="preserve">,</w:t>
      </w:r>
      <w:r>
        <w:t xml:space="preserve"> </w:t>
      </w:r>
      <w:r>
        <w:rPr>
          <w:iCs/>
          <w:i/>
        </w:rPr>
        <w:t xml:space="preserve">ī</w:t>
      </w:r>
      <w:r>
        <w:t xml:space="preserve">, no</w:t>
      </w:r>
      <w:r>
        <w:t xml:space="preserve"> </w:t>
      </w:r>
      <w:r>
        <w:rPr>
          <w:iCs/>
          <w:i/>
        </w:rPr>
        <w:t xml:space="preserve">guṇa</w:t>
      </w:r>
      <w:r>
        <w:t xml:space="preserve">, shortening, lowered;</w:t>
      </w:r>
      <w:r>
        <w:t xml:space="preserve"> </w:t>
      </w:r>
      <w:r>
        <w:rPr>
          <w:iCs/>
          <w:i/>
        </w:rPr>
        <w:t xml:space="preserve">gnāvaḥ</w:t>
      </w:r>
      <w:r>
        <w:t xml:space="preserve">:</w:t>
      </w:r>
      <w:r>
        <w:t xml:space="preserve"> </w:t>
      </w:r>
      <w:r>
        <w:rPr>
          <w:iCs/>
          <w:i/>
        </w:rPr>
        <w:t xml:space="preserve">matup</w:t>
      </w:r>
      <w:r>
        <w:t xml:space="preserve">,</w:t>
      </w:r>
      <w:r>
        <w:t xml:space="preserve"> </w:t>
      </w:r>
      <w:r>
        <w:rPr>
          <w:iCs/>
          <w:i/>
        </w:rPr>
        <w:t xml:space="preserve">v</w:t>
      </w:r>
      <w:r>
        <w:t xml:space="preserve"> </w:t>
      </w:r>
      <w:r>
        <w:t xml:space="preserve">by</w:t>
      </w:r>
      <w:r>
        <w:t xml:space="preserve"> </w:t>
      </w:r>
      <w:r>
        <w:rPr>
          <w:iCs/>
          <w:i/>
        </w:rPr>
        <w:t xml:space="preserve">vyatyaya</w:t>
      </w:r>
      <w:r>
        <w:t xml:space="preserve">,</w:t>
      </w:r>
      <w:r>
        <w:t xml:space="preserve"> </w:t>
      </w:r>
      <w:r>
        <w:rPr>
          <w:iCs/>
          <w:i/>
        </w:rPr>
        <w:t xml:space="preserve">ru</w:t>
      </w:r>
      <w:r>
        <w:t xml:space="preserve"> </w:t>
      </w:r>
      <w:r>
        <w:t xml:space="preserve">in the vocative, initial udātta by the</w:t>
      </w:r>
      <w:r>
        <w:t xml:space="preserve"> </w:t>
      </w:r>
      <w:r>
        <w:rPr>
          <w:iCs/>
          <w:i/>
        </w:rPr>
        <w:t xml:space="preserve">ṣāṣṭhika</w:t>
      </w:r>
      <w:r>
        <w:t xml:space="preserve"> </w:t>
      </w:r>
      <w:r>
        <w:t xml:space="preserve">rule at the head of the pāda; as an adjective of</w:t>
      </w:r>
      <w:r>
        <w:t xml:space="preserve"> </w:t>
      </w:r>
      <w:r>
        <w:rPr>
          <w:iCs/>
          <w:i/>
        </w:rPr>
        <w:t xml:space="preserve">neṣṭaḥ</w:t>
      </w:r>
      <w:r>
        <w:t xml:space="preserve"> </w:t>
      </w:r>
      <w:r>
        <w:t xml:space="preserve">it is a</w:t>
      </w:r>
      <w:r>
        <w:t xml:space="preserve"> </w:t>
      </w:r>
      <w:r>
        <w:rPr>
          <w:iCs/>
          <w:i/>
        </w:rPr>
        <w:t xml:space="preserve">viśeṣavacana</w:t>
      </w:r>
      <w:r>
        <w:t xml:space="preserve">, so</w:t>
      </w:r>
      <w:r>
        <w:t xml:space="preserve"> </w:t>
      </w:r>
      <w:r>
        <w:rPr>
          <w:iCs/>
          <w:i/>
        </w:rPr>
        <w:t xml:space="preserve">nāmantrite samānādhikaraṇe</w:t>
      </w:r>
      <w:r>
        <w:t xml:space="preserve"> </w:t>
      </w:r>
      <w:r>
        <w:t xml:space="preserve">does not bar its being treated as absent, and</w:t>
      </w:r>
      <w:r>
        <w:t xml:space="preserve"> </w:t>
      </w:r>
      <w:r>
        <w:rPr>
          <w:iCs/>
          <w:i/>
        </w:rPr>
        <w:t xml:space="preserve">neṣṭaḥ</w:t>
      </w:r>
      <w:r>
        <w:t xml:space="preserve"> </w:t>
      </w:r>
      <w:r>
        <w:t xml:space="preserve">is initial udātta;</w:t>
      </w:r>
      <w:r>
        <w:t xml:space="preserve"> </w:t>
      </w:r>
      <w:r>
        <w:rPr>
          <w:iCs/>
          <w:i/>
        </w:rPr>
        <w:t xml:space="preserve">piba</w:t>
      </w:r>
      <w:r>
        <w:t xml:space="preserve">, the root accent, not lowered, the two vocatives before it counting as absent;</w:t>
      </w:r>
      <w:r>
        <w:t xml:space="preserve"> </w:t>
      </w:r>
      <w:r>
        <w:rPr>
          <w:iCs/>
          <w:i/>
        </w:rPr>
        <w:t xml:space="preserve">ratnadhāḥ</w:t>
      </w:r>
      <w:r>
        <w:t xml:space="preserve">,</w:t>
      </w:r>
      <w:r>
        <w:t xml:space="preserve"> </w:t>
      </w:r>
      <w:r>
        <w:rPr>
          <w:iCs/>
          <w:i/>
        </w:rPr>
        <w:t xml:space="preserve">kvip</w:t>
      </w:r>
      <w:r>
        <w:t xml:space="preserve">, the</w:t>
      </w:r>
      <w:r>
        <w:t xml:space="preserve"> </w:t>
      </w:r>
      <w:r>
        <w:rPr>
          <w:iCs/>
          <w:i/>
        </w:rPr>
        <w:t xml:space="preserve">kṛt</w:t>
      </w:r>
      <w:r>
        <w:t xml:space="preserve"> </w:t>
      </w:r>
      <w:r>
        <w:t xml:space="preserve">second-member accent;</w:t>
      </w:r>
      <w:r>
        <w:t xml:space="preserve"> </w:t>
      </w:r>
      <w:r>
        <w:rPr>
          <w:iCs/>
          <w:i/>
        </w:rPr>
        <w:t xml:space="preserve">asi</w:t>
      </w:r>
      <w:r>
        <w:t xml:space="preserve">, the root accent, not lowered because of</w:t>
      </w:r>
      <w:r>
        <w:t xml:space="preserve"> </w:t>
      </w:r>
      <w:r>
        <w:rPr>
          <w:iCs/>
          <w:i/>
        </w:rPr>
        <w:t xml:space="preserve">hi</w:t>
      </w:r>
      <w:r>
        <w:t xml:space="preserve">.)</w:t>
      </w:r>
    </w:p>
    <w:bookmarkEnd w:id="686"/>
    <w:bookmarkStart w:id="687" w:name="X7183bc8436b19225c6716baacbfc9d1fa1638e5"/>
    <w:p>
      <w:pPr>
        <w:pStyle w:val="Heading3"/>
      </w:pPr>
      <w:r>
        <w:t xml:space="preserve">Page 637 — Rik 3: word-meanings, overall sense, English, Special Topics, grammar</w:t>
      </w:r>
    </w:p>
    <w:p>
      <w:pPr>
        <w:pStyle w:val="FirstParagraph"/>
      </w:pPr>
      <w:r>
        <w:rPr>
          <w:bCs/>
          <w:b/>
        </w:rPr>
        <w:t xml:space="preserve">॥ Prati-padārthaḥ ॥</w:t>
      </w:r>
    </w:p>
    <w:p>
      <w:pPr>
        <w:pStyle w:val="BodyText"/>
      </w:pPr>
      <w:r>
        <w:rPr>
          <w:bCs/>
          <w:b/>
        </w:rPr>
        <w:t xml:space="preserve">ग्नावः (gnāvaḥ)</w:t>
      </w:r>
      <w:r>
        <w:t xml:space="preserve"> </w:t>
      </w:r>
      <w:r>
        <w:t xml:space="preserve">— accompanied by your wife |</w:t>
      </w:r>
      <w:r>
        <w:t xml:space="preserve"> </w:t>
      </w:r>
      <w:r>
        <w:rPr>
          <w:bCs/>
          <w:b/>
        </w:rPr>
        <w:t xml:space="preserve">नेष्टः (neṣṭaḥ)</w:t>
      </w:r>
      <w:r>
        <w:t xml:space="preserve"> </w:t>
      </w:r>
      <w:r>
        <w:t xml:space="preserve">— O Tvaṣṭṛ |</w:t>
      </w:r>
      <w:r>
        <w:t xml:space="preserve"> </w:t>
      </w:r>
      <w:r>
        <w:rPr>
          <w:bCs/>
          <w:b/>
        </w:rPr>
        <w:t xml:space="preserve">नः (naḥ)</w:t>
      </w:r>
      <w:r>
        <w:t xml:space="preserve"> </w:t>
      </w:r>
      <w:r>
        <w:t xml:space="preserve">— our |</w:t>
      </w:r>
      <w:r>
        <w:t xml:space="preserve"> </w:t>
      </w:r>
      <w:r>
        <w:rPr>
          <w:bCs/>
          <w:b/>
        </w:rPr>
        <w:t xml:space="preserve">यज्ञम् (yajñam)</w:t>
      </w:r>
      <w:r>
        <w:t xml:space="preserve"> </w:t>
      </w:r>
      <w:r>
        <w:t xml:space="preserve">— sacrifice |</w:t>
      </w:r>
      <w:r>
        <w:t xml:space="preserve"> </w:t>
      </w:r>
      <w:r>
        <w:rPr>
          <w:bCs/>
          <w:b/>
        </w:rPr>
        <w:t xml:space="preserve">अभि गृणीहि (abhi gṛṇīhi)</w:t>
      </w:r>
      <w:r>
        <w:t xml:space="preserve"> </w:t>
      </w:r>
      <w:r>
        <w:t xml:space="preserve">— praise everywhere (near the gods) |</w:t>
      </w:r>
      <w:r>
        <w:t xml:space="preserve"> </w:t>
      </w:r>
      <w:r>
        <w:rPr>
          <w:bCs/>
          <w:b/>
        </w:rPr>
        <w:t xml:space="preserve">ऋतुना (ṛtunā)</w:t>
      </w:r>
      <w:r>
        <w:t xml:space="preserve"> </w:t>
      </w:r>
      <w:r>
        <w:t xml:space="preserve">— with the Ṛtu deity |</w:t>
      </w:r>
      <w:r>
        <w:t xml:space="preserve"> </w:t>
      </w:r>
      <w:r>
        <w:rPr>
          <w:bCs/>
          <w:b/>
        </w:rPr>
        <w:t xml:space="preserve">पिब (piba)</w:t>
      </w:r>
      <w:r>
        <w:t xml:space="preserve"> </w:t>
      </w:r>
      <w:r>
        <w:t xml:space="preserve">— drink the soma juice |</w:t>
      </w:r>
      <w:r>
        <w:t xml:space="preserve"> </w:t>
      </w:r>
      <w:r>
        <w:rPr>
          <w:bCs/>
          <w:b/>
        </w:rPr>
        <w:t xml:space="preserve">हि (hi)</w:t>
      </w:r>
      <w:r>
        <w:t xml:space="preserve"> </w:t>
      </w:r>
      <w:r>
        <w:t xml:space="preserve">— for |</w:t>
      </w:r>
      <w:r>
        <w:t xml:space="preserve"> </w:t>
      </w:r>
      <w:r>
        <w:rPr>
          <w:bCs/>
          <w:b/>
        </w:rPr>
        <w:t xml:space="preserve">त्वम् (tvam)</w:t>
      </w:r>
      <w:r>
        <w:t xml:space="preserve"> </w:t>
      </w:r>
      <w:r>
        <w:t xml:space="preserve">— you |</w:t>
      </w:r>
      <w:r>
        <w:t xml:space="preserve"> </w:t>
      </w:r>
      <w:r>
        <w:rPr>
          <w:bCs/>
          <w:b/>
        </w:rPr>
        <w:t xml:space="preserve">रत्नधाः (ratnadhāḥ)</w:t>
      </w:r>
      <w:r>
        <w:t xml:space="preserve"> </w:t>
      </w:r>
      <w:r>
        <w:t xml:space="preserve">— giving the wealth of jewels and the like, the fruit of the sacrifice |</w:t>
      </w:r>
      <w:r>
        <w:t xml:space="preserve"> </w:t>
      </w:r>
      <w:r>
        <w:rPr>
          <w:bCs/>
          <w:b/>
        </w:rPr>
        <w:t xml:space="preserve">असि (asi)</w:t>
      </w:r>
      <w:r>
        <w:t xml:space="preserve"> </w:t>
      </w:r>
      <w:r>
        <w:t xml:space="preserve">— are.</w:t>
      </w:r>
    </w:p>
    <w:p>
      <w:pPr>
        <w:pStyle w:val="BodyText"/>
      </w:pPr>
      <w:r>
        <w:rPr>
          <w:bCs/>
          <w:b/>
        </w:rPr>
        <w:t xml:space="preserve">॥ Bhāvārthaḥ ॥</w:t>
      </w:r>
    </w:p>
    <w:p>
      <w:pPr>
        <w:pStyle w:val="BodyText"/>
      </w:pPr>
      <w:r>
        <w:t xml:space="preserve">O Tvaṣṭṛ, you are famed as the giver of the wealth of jewels and the like that is the fruit of the sacrifice. Such as you are, come with your wife and drink our soma juice with the Ṛtu deity; and go to the gods and praise our sacrifice.</w:t>
      </w:r>
    </w:p>
    <w:p>
      <w:pPr>
        <w:pStyle w:val="BodyText"/>
      </w:pPr>
      <w:r>
        <w:rPr>
          <w:bCs/>
          <w:b/>
        </w:rPr>
        <w:t xml:space="preserve">॥ English Translation ॥</w:t>
      </w:r>
      <w:r>
        <w:t xml:space="preserve"> </w:t>
      </w:r>
      <w:r>
        <w:rPr>
          <w:iCs/>
          <w:i/>
        </w:rPr>
        <w:t xml:space="preserve">(as printed in the source)</w:t>
      </w:r>
    </w:p>
    <w:p>
      <w:pPr>
        <w:pStyle w:val="BlockText"/>
      </w:pPr>
      <w:r>
        <w:t xml:space="preserve">Neshtri, (Twashtri) commend our sacrifice to the gods; drink with Ritu, for you are a giver of riches.</w:t>
      </w:r>
    </w:p>
    <w:p>
      <w:pPr>
        <w:pStyle w:val="FirstParagraph"/>
      </w:pPr>
      <w:r>
        <w:rPr>
          <w:bCs/>
          <w:b/>
        </w:rPr>
        <w:t xml:space="preserve">॥ Viśeṣa-viṣayagaḷu (Special Topics) ॥</w:t>
      </w:r>
    </w:p>
    <w:p>
      <w:pPr>
        <w:pStyle w:val="BodyText"/>
      </w:pPr>
      <w:r>
        <w:rPr>
          <w:bCs/>
          <w:b/>
        </w:rPr>
        <w:t xml:space="preserve">Gnāvaḥ</w:t>
      </w:r>
      <w:r>
        <w:t xml:space="preserve">: the word</w:t>
      </w:r>
      <w:r>
        <w:t xml:space="preserve"> </w:t>
      </w:r>
      <w:r>
        <w:rPr>
          <w:iCs/>
          <w:i/>
        </w:rPr>
        <w:t xml:space="preserve">gnā</w:t>
      </w:r>
      <w:r>
        <w:t xml:space="preserve"> </w:t>
      </w:r>
      <w:r>
        <w:t xml:space="preserve">denotes woman; Yāska says</w:t>
      </w:r>
    </w:p>
    <w:p>
      <w:pPr>
        <w:pStyle w:val="BlockText"/>
      </w:pPr>
      <w:r>
        <w:t xml:space="preserve">ग्ना गच्छन्त्येनाः</w:t>
      </w:r>
    </w:p>
    <w:p>
      <w:pPr>
        <w:pStyle w:val="BlockText"/>
      </w:pPr>
      <w:r>
        <w:rPr>
          <w:iCs/>
          <w:i/>
        </w:rPr>
        <w:t xml:space="preserve">gnā gacchantyenāḥ</w:t>
      </w:r>
    </w:p>
    <w:p>
      <w:pPr>
        <w:pStyle w:val="FirstParagraph"/>
      </w:pPr>
      <w:r>
        <w:rPr>
          <w:iCs/>
          <w:i/>
        </w:rPr>
        <w:t xml:space="preserve">(Ni. 3-21.)</w:t>
      </w:r>
    </w:p>
    <w:p>
      <w:pPr>
        <w:pStyle w:val="BlockText"/>
      </w:pPr>
      <w:r>
        <w:t xml:space="preserve">ग्ना अस्य सन्तीति ग्नावान् तस्य सम्बुद्धिः</w:t>
      </w:r>
    </w:p>
    <w:p>
      <w:pPr>
        <w:pStyle w:val="BlockText"/>
      </w:pPr>
      <w:r>
        <w:rPr>
          <w:iCs/>
          <w:i/>
        </w:rPr>
        <w:t xml:space="preserve">gnā asya santīti gnāvān tasya sambuddhiḥ</w:t>
      </w:r>
    </w:p>
    <w:p>
      <w:pPr>
        <w:pStyle w:val="FirstParagraph"/>
      </w:pPr>
      <w:r>
        <w:t xml:space="preserve">“</w:t>
      </w:r>
      <w:r>
        <w:t xml:space="preserve">one who is with a woman is called</w:t>
      </w:r>
      <w:r>
        <w:t xml:space="preserve"> </w:t>
      </w:r>
      <w:r>
        <w:rPr>
          <w:iCs/>
          <w:i/>
        </w:rPr>
        <w:t xml:space="preserve">gnāvān</w:t>
      </w:r>
      <w:r>
        <w:t xml:space="preserve">”</w:t>
      </w:r>
      <w:r>
        <w:t xml:space="preserve">; this vocative singular</w:t>
      </w:r>
      <w:r>
        <w:t xml:space="preserve"> </w:t>
      </w:r>
      <w:r>
        <w:rPr>
          <w:iCs/>
          <w:i/>
        </w:rPr>
        <w:t xml:space="preserve">gnāvaḥ</w:t>
      </w:r>
      <w:r>
        <w:t xml:space="preserve"> </w:t>
      </w:r>
      <w:r>
        <w:t xml:space="preserve">qualifies the word</w:t>
      </w:r>
      <w:r>
        <w:t xml:space="preserve"> </w:t>
      </w:r>
      <w:r>
        <w:rPr>
          <w:iCs/>
          <w:i/>
        </w:rPr>
        <w:t xml:space="preserve">neṣṭaḥ</w:t>
      </w:r>
      <w:r>
        <w:t xml:space="preserve">.</w:t>
      </w:r>
    </w:p>
    <w:p>
      <w:pPr>
        <w:pStyle w:val="BodyText"/>
      </w:pPr>
      <w:r>
        <w:rPr>
          <w:bCs/>
          <w:b/>
        </w:rPr>
        <w:t xml:space="preserve">Neṣṭaḥ</w:t>
      </w:r>
      <w:r>
        <w:t xml:space="preserve">: since it is well known that at some sacrifices Tvaṣṭṛ took the part of the priest called Neṣṭṛ, it is customary to address Tvaṣṭṛ by the word</w:t>
      </w:r>
      <w:r>
        <w:t xml:space="preserve"> </w:t>
      </w:r>
      <w:r>
        <w:rPr>
          <w:iCs/>
          <w:i/>
        </w:rPr>
        <w:t xml:space="preserve">neṣṭṛ</w:t>
      </w:r>
      <w:r>
        <w:t xml:space="preserve">. So the Bhāṣyakāra’s intention is that here the word</w:t>
      </w:r>
      <w:r>
        <w:t xml:space="preserve"> </w:t>
      </w:r>
      <w:r>
        <w:rPr>
          <w:iCs/>
          <w:i/>
        </w:rPr>
        <w:t xml:space="preserve">neṣṭṛ</w:t>
      </w:r>
      <w:r>
        <w:t xml:space="preserve"> </w:t>
      </w:r>
      <w:r>
        <w:t xml:space="preserve">must be given the sense</w:t>
      </w:r>
      <w:r>
        <w:t xml:space="preserve"> </w:t>
      </w:r>
      <w:r>
        <w:t xml:space="preserve">“</w:t>
      </w:r>
      <w:r>
        <w:t xml:space="preserve">the god Tvaṣṭṛ</w:t>
      </w:r>
      <w:r>
        <w:t xml:space="preserve">”</w:t>
      </w:r>
      <w:r>
        <w:t xml:space="preserve">.</w:t>
      </w:r>
    </w:p>
    <w:p>
      <w:pPr>
        <w:pStyle w:val="BodyText"/>
      </w:pPr>
      <w:r>
        <w:rPr>
          <w:bCs/>
          <w:b/>
        </w:rPr>
        <w:t xml:space="preserve">Ratnadhāḥ</w:t>
      </w:r>
      <w:r>
        <w:t xml:space="preserve">:</w:t>
      </w:r>
    </w:p>
    <w:p>
      <w:pPr>
        <w:pStyle w:val="BlockText"/>
      </w:pPr>
      <w:r>
        <w:t xml:space="preserve">रत्नानां दाता</w:t>
      </w:r>
    </w:p>
    <w:p>
      <w:pPr>
        <w:pStyle w:val="BlockText"/>
      </w:pPr>
      <w:r>
        <w:rPr>
          <w:iCs/>
          <w:i/>
        </w:rPr>
        <w:t xml:space="preserve">ratnānāṃ dātā</w:t>
      </w:r>
    </w:p>
    <w:p>
      <w:pPr>
        <w:pStyle w:val="FirstParagraph"/>
      </w:pPr>
      <w:r>
        <w:t xml:space="preserve">giver of jewels (excellent things). In the Ṛgveda the root</w:t>
      </w:r>
      <w:r>
        <w:t xml:space="preserve"> </w:t>
      </w:r>
      <w:r>
        <w:rPr>
          <w:iCs/>
          <w:i/>
        </w:rPr>
        <w:t xml:space="preserve">dhā</w:t>
      </w:r>
      <w:r>
        <w:t xml:space="preserve"> </w:t>
      </w:r>
      <w:r>
        <w:t xml:space="preserve">is commonly used in place of the root</w:t>
      </w:r>
      <w:r>
        <w:t xml:space="preserve"> </w:t>
      </w:r>
      <w:r>
        <w:rPr>
          <w:iCs/>
          <w:i/>
        </w:rPr>
        <w:t xml:space="preserve">dā</w:t>
      </w:r>
      <w:r>
        <w:t xml:space="preserve">.</w:t>
      </w:r>
    </w:p>
    <w:p>
      <w:pPr>
        <w:pStyle w:val="BodyText"/>
      </w:pPr>
      <w:r>
        <w:rPr>
          <w:bCs/>
          <w:b/>
        </w:rPr>
        <w:t xml:space="preserve">॥ Vyākaraṇa-prakriyā ॥</w:t>
      </w:r>
      <w:r>
        <w:t xml:space="preserve"> </w:t>
      </w:r>
      <w:r>
        <w:rPr>
          <w:iCs/>
          <w:i/>
        </w:rPr>
        <w:t xml:space="preserve">(grammar pages 637–639, noted briefly)</w:t>
      </w:r>
    </w:p>
    <w:p>
      <w:pPr>
        <w:pStyle w:val="BodyText"/>
      </w:pPr>
      <w:r>
        <w:rPr>
          <w:bCs/>
          <w:b/>
        </w:rPr>
        <w:t xml:space="preserve">अभि (</w:t>
      </w:r>
      <w:r>
        <w:rPr>
          <w:iCs/>
          <w:i/>
          <w:bCs/>
          <w:b/>
        </w:rPr>
        <w:t xml:space="preserve">abhi</w:t>
      </w:r>
      <w:r>
        <w:rPr>
          <w:bCs/>
          <w:b/>
        </w:rPr>
        <w:t xml:space="preserve">)</w:t>
      </w:r>
      <w:r>
        <w:t xml:space="preserve">: since</w:t>
      </w:r>
      <w:r>
        <w:t xml:space="preserve"> </w:t>
      </w:r>
      <w:r>
        <w:t xml:space="preserve">“</w:t>
      </w:r>
      <w:r>
        <w:t xml:space="preserve">upasargāś cābhivarjam</w:t>
      </w:r>
      <w:r>
        <w:t xml:space="preserve">”</w:t>
      </w:r>
      <w:r>
        <w:t xml:space="preserve"> </w:t>
      </w:r>
      <w:r>
        <w:t xml:space="preserve">(Phi. sū. 81) makes an exclusion,</w:t>
      </w:r>
      <w:r>
        <w:t xml:space="preserve"> </w:t>
      </w:r>
      <w:r>
        <w:rPr>
          <w:iCs/>
          <w:i/>
        </w:rPr>
        <w:t xml:space="preserve">abhi</w:t>
      </w:r>
      <w:r>
        <w:t xml:space="preserve"> </w:t>
      </w:r>
      <w:r>
        <w:t xml:space="preserve">is not initial udātta; it is final udātta by</w:t>
      </w:r>
      <w:r>
        <w:t xml:space="preserve"> </w:t>
      </w:r>
      <w:r>
        <w:t xml:space="preserve">“</w:t>
      </w:r>
      <w:r>
        <w:t xml:space="preserve">phiṣo ’nta udāttaḥ</w:t>
      </w:r>
      <w:r>
        <w:t xml:space="preserve">”</w:t>
      </w:r>
      <w:r>
        <w:t xml:space="preserve">.</w:t>
      </w:r>
    </w:p>
    <w:bookmarkEnd w:id="687"/>
    <w:bookmarkStart w:id="688" w:name="page-638-rik-3-grammar-continued"/>
    <w:p>
      <w:pPr>
        <w:pStyle w:val="Heading3"/>
      </w:pPr>
      <w:r>
        <w:t xml:space="preserve">Page 638 — Rik 3: grammar (continued)</w:t>
      </w:r>
    </w:p>
    <w:p>
      <w:pPr>
        <w:pStyle w:val="FirstParagraph"/>
      </w:pPr>
      <w:r>
        <w:t xml:space="preserve">Many accept the reading of the word</w:t>
      </w:r>
      <w:r>
        <w:t xml:space="preserve"> </w:t>
      </w:r>
      <w:r>
        <w:rPr>
          <w:iCs/>
          <w:i/>
        </w:rPr>
        <w:t xml:space="preserve">abhi</w:t>
      </w:r>
      <w:r>
        <w:t xml:space="preserve"> </w:t>
      </w:r>
      <w:r>
        <w:t xml:space="preserve">in the</w:t>
      </w:r>
      <w:r>
        <w:t xml:space="preserve"> </w:t>
      </w:r>
      <w:r>
        <w:rPr>
          <w:iCs/>
          <w:i/>
        </w:rPr>
        <w:t xml:space="preserve">evādi</w:t>
      </w:r>
      <w:r>
        <w:t xml:space="preserve"> </w:t>
      </w:r>
      <w:r>
        <w:t xml:space="preserve">class; so by</w:t>
      </w:r>
      <w:r>
        <w:t xml:space="preserve"> </w:t>
      </w:r>
      <w:r>
        <w:t xml:space="preserve">“</w:t>
      </w:r>
      <w:r>
        <w:t xml:space="preserve">evādīnām antaḥ</w:t>
      </w:r>
      <w:r>
        <w:t xml:space="preserve">”</w:t>
      </w:r>
      <w:r>
        <w:t xml:space="preserve"> </w:t>
      </w:r>
      <w:r>
        <w:t xml:space="preserve">(Phi. sū. 82)</w:t>
      </w:r>
      <w:r>
        <w:t xml:space="preserve"> </w:t>
      </w:r>
      <w:r>
        <w:rPr>
          <w:iCs/>
          <w:i/>
        </w:rPr>
        <w:t xml:space="preserve">abhi</w:t>
      </w:r>
      <w:r>
        <w:t xml:space="preserve"> </w:t>
      </w:r>
      <w:r>
        <w:t xml:space="preserve">is final udātta. In the mantra</w:t>
      </w:r>
      <w:r>
        <w:t xml:space="preserve"> </w:t>
      </w:r>
      <w:r>
        <w:rPr>
          <w:iCs/>
          <w:i/>
        </w:rPr>
        <w:t xml:space="preserve">mā no martā abhi druhan</w:t>
      </w:r>
      <w:r>
        <w:t xml:space="preserve"> </w:t>
      </w:r>
      <w:r>
        <w:t xml:space="preserve">(Ṛ. Saṃ.</w:t>
      </w:r>
      <w:r>
        <w:t xml:space="preserve"> </w:t>
      </w:r>
      <w:r>
        <w:t xml:space="preserve">“</w:t>
      </w:r>
      <w:r>
        <w:t xml:space="preserve">6-5-10</w:t>
      </w:r>
      <w:r>
        <w:t xml:space="preserve">”</w:t>
      </w:r>
      <w:r>
        <w:t xml:space="preserve"> </w:t>
      </w:r>
      <w:r>
        <w:t xml:space="preserve">[?]) and in</w:t>
      </w:r>
      <w:r>
        <w:t xml:space="preserve"> </w:t>
      </w:r>
      <w:r>
        <w:rPr>
          <w:iCs/>
          <w:i/>
        </w:rPr>
        <w:t xml:space="preserve">ehi stomām̐ abhi</w:t>
      </w:r>
      <w:r>
        <w:t xml:space="preserve"> </w:t>
      </w:r>
      <w:r>
        <w:t xml:space="preserve">(Ṛ. Saṃ.</w:t>
      </w:r>
      <w:r>
        <w:t xml:space="preserve"> </w:t>
      </w:r>
      <w:r>
        <w:t xml:space="preserve">“</w:t>
      </w:r>
      <w:r>
        <w:t xml:space="preserve">10-5-4</w:t>
      </w:r>
      <w:r>
        <w:t xml:space="preserve">”</w:t>
      </w:r>
      <w:r>
        <w:t xml:space="preserve"> </w:t>
      </w:r>
      <w:r>
        <w:t xml:space="preserve">[?]) too the Vedabhāṣyakāra derives the final udātta by</w:t>
      </w:r>
      <w:r>
        <w:t xml:space="preserve"> </w:t>
      </w:r>
      <w:r>
        <w:rPr>
          <w:iCs/>
          <w:i/>
        </w:rPr>
        <w:t xml:space="preserve">evādīnām antaḥ</w:t>
      </w:r>
      <w:r>
        <w:t xml:space="preserve">.</w:t>
      </w:r>
    </w:p>
    <w:p>
      <w:pPr>
        <w:pStyle w:val="BodyText"/>
      </w:pPr>
      <w:r>
        <w:rPr>
          <w:bCs/>
          <w:b/>
        </w:rPr>
        <w:t xml:space="preserve">गृणीहि (</w:t>
      </w:r>
      <w:r>
        <w:rPr>
          <w:iCs/>
          <w:i/>
          <w:bCs/>
          <w:b/>
        </w:rPr>
        <w:t xml:space="preserve">gṛṇīhi</w:t>
      </w:r>
      <w:r>
        <w:rPr>
          <w:bCs/>
          <w:b/>
        </w:rPr>
        <w:t xml:space="preserve">)</w:t>
      </w:r>
      <w:r>
        <w:t xml:space="preserve">:</w:t>
      </w:r>
      <w:r>
        <w:t xml:space="preserve"> </w:t>
      </w:r>
      <w:r>
        <w:rPr>
          <w:iCs/>
          <w:i/>
        </w:rPr>
        <w:t xml:space="preserve">gṝ śabde</w:t>
      </w:r>
      <w:r>
        <w:t xml:space="preserve"> </w:t>
      </w:r>
      <w:r>
        <w:t xml:space="preserve">(</w:t>
      </w:r>
      <w:r>
        <w:rPr>
          <w:iCs/>
          <w:i/>
        </w:rPr>
        <w:t xml:space="preserve">kryādi</w:t>
      </w:r>
      <w:r>
        <w:t xml:space="preserve">);</w:t>
      </w:r>
      <w:r>
        <w:t xml:space="preserve"> </w:t>
      </w:r>
      <w:r>
        <w:rPr>
          <w:iCs/>
          <w:i/>
        </w:rPr>
        <w:t xml:space="preserve">loṭ</w:t>
      </w:r>
      <w:r>
        <w:t xml:space="preserve">, 2nd singular</w:t>
      </w:r>
      <w:r>
        <w:t xml:space="preserve"> </w:t>
      </w:r>
      <w:r>
        <w:rPr>
          <w:iCs/>
          <w:i/>
        </w:rPr>
        <w:t xml:space="preserve">sip</w:t>
      </w:r>
      <w:r>
        <w:t xml:space="preserve">;</w:t>
      </w:r>
      <w:r>
        <w:t xml:space="preserve"> </w:t>
      </w:r>
      <w:r>
        <w:rPr>
          <w:iCs/>
          <w:i/>
        </w:rPr>
        <w:t xml:space="preserve">hi</w:t>
      </w:r>
      <w:r>
        <w:t xml:space="preserve"> </w:t>
      </w:r>
      <w:r>
        <w:t xml:space="preserve">by</w:t>
      </w:r>
      <w:r>
        <w:t xml:space="preserve"> </w:t>
      </w:r>
      <w:r>
        <w:t xml:space="preserve">“</w:t>
      </w:r>
      <w:r>
        <w:t xml:space="preserve">ser hy apic ca</w:t>
      </w:r>
      <w:r>
        <w:t xml:space="preserve">”</w:t>
      </w:r>
      <w:r>
        <w:t xml:space="preserve"> </w:t>
      </w:r>
      <w:r>
        <w:t xml:space="preserve">(Pā. sū.</w:t>
      </w:r>
      <w:r>
        <w:t xml:space="preserve"> </w:t>
      </w:r>
      <w:r>
        <w:t xml:space="preserve">“</w:t>
      </w:r>
      <w:r>
        <w:t xml:space="preserve">4-4-87</w:t>
      </w:r>
      <w:r>
        <w:t xml:space="preserve">”</w:t>
      </w:r>
      <w:r>
        <w:t xml:space="preserve"> </w:t>
      </w:r>
      <w:r>
        <w:t xml:space="preserve">[as printed, for 3-4-87]):</w:t>
      </w:r>
      <w:r>
        <w:t xml:space="preserve"> </w:t>
      </w:r>
      <w:r>
        <w:rPr>
          <w:iCs/>
          <w:i/>
        </w:rPr>
        <w:t xml:space="preserve">gṝ</w:t>
      </w:r>
      <w:r>
        <w:t xml:space="preserve"> </w:t>
      </w:r>
      <w:r>
        <w:t xml:space="preserve">+</w:t>
      </w:r>
      <w:r>
        <w:t xml:space="preserve"> </w:t>
      </w:r>
      <w:r>
        <w:rPr>
          <w:iCs/>
          <w:i/>
        </w:rPr>
        <w:t xml:space="preserve">hi</w:t>
      </w:r>
      <w:r>
        <w:t xml:space="preserve">; the</w:t>
      </w:r>
      <w:r>
        <w:t xml:space="preserve"> </w:t>
      </w:r>
      <w:r>
        <w:rPr>
          <w:iCs/>
          <w:i/>
        </w:rPr>
        <w:t xml:space="preserve">vikaraṇa</w:t>
      </w:r>
      <w:r>
        <w:t xml:space="preserve"> </w:t>
      </w:r>
      <w:r>
        <w:rPr>
          <w:iCs/>
          <w:i/>
        </w:rPr>
        <w:t xml:space="preserve">śnā</w:t>
      </w:r>
      <w:r>
        <w:t xml:space="preserve"> </w:t>
      </w:r>
      <w:r>
        <w:t xml:space="preserve">by</w:t>
      </w:r>
      <w:r>
        <w:t xml:space="preserve"> </w:t>
      </w:r>
      <w:r>
        <w:t xml:space="preserve">“</w:t>
      </w:r>
      <w:r>
        <w:t xml:space="preserve">kryādibhyaḥ śnā</w:t>
      </w:r>
      <w:r>
        <w:t xml:space="preserve">”</w:t>
      </w:r>
      <w:r>
        <w:t xml:space="preserve">:</w:t>
      </w:r>
      <w:r>
        <w:t xml:space="preserve"> </w:t>
      </w:r>
      <w:r>
        <w:rPr>
          <w:iCs/>
          <w:i/>
        </w:rPr>
        <w:t xml:space="preserve">gṝ</w:t>
      </w:r>
      <w:r>
        <w:t xml:space="preserve"> </w:t>
      </w:r>
      <w:r>
        <w:t xml:space="preserve">+</w:t>
      </w:r>
      <w:r>
        <w:t xml:space="preserve"> </w:t>
      </w:r>
      <w:r>
        <w:rPr>
          <w:iCs/>
          <w:i/>
        </w:rPr>
        <w:t xml:space="preserve">nā</w:t>
      </w:r>
      <w:r>
        <w:t xml:space="preserve"> </w:t>
      </w:r>
      <w:r>
        <w:t xml:space="preserve">+</w:t>
      </w:r>
      <w:r>
        <w:t xml:space="preserve"> </w:t>
      </w:r>
      <w:r>
        <w:rPr>
          <w:iCs/>
          <w:i/>
        </w:rPr>
        <w:t xml:space="preserve">hi</w:t>
      </w:r>
      <w:r>
        <w:t xml:space="preserve">;</w:t>
      </w:r>
      <w:r>
        <w:t xml:space="preserve"> </w:t>
      </w:r>
      <w:r>
        <w:rPr>
          <w:iCs/>
          <w:i/>
        </w:rPr>
        <w:t xml:space="preserve">hi</w:t>
      </w:r>
      <w:r>
        <w:t xml:space="preserve"> </w:t>
      </w:r>
      <w:r>
        <w:t xml:space="preserve">is</w:t>
      </w:r>
      <w:r>
        <w:t xml:space="preserve"> </w:t>
      </w:r>
      <w:r>
        <w:rPr>
          <w:iCs/>
          <w:i/>
        </w:rPr>
        <w:t xml:space="preserve">ṅit</w:t>
      </w:r>
      <w:r>
        <w:t xml:space="preserve"> </w:t>
      </w:r>
      <w:r>
        <w:t xml:space="preserve">by</w:t>
      </w:r>
      <w:r>
        <w:t xml:space="preserve"> </w:t>
      </w:r>
      <w:r>
        <w:t xml:space="preserve">“</w:t>
      </w:r>
      <w:r>
        <w:t xml:space="preserve">sārvadhātukam apit</w:t>
      </w:r>
      <w:r>
        <w:t xml:space="preserve">”</w:t>
      </w:r>
      <w:r>
        <w:t xml:space="preserve">; so by</w:t>
      </w:r>
      <w:r>
        <w:t xml:space="preserve"> </w:t>
      </w:r>
      <w:r>
        <w:t xml:space="preserve">“</w:t>
      </w:r>
      <w:r>
        <w:t xml:space="preserve">ī halyaghoḥ</w:t>
      </w:r>
      <w:r>
        <w:t xml:space="preserve">”</w:t>
      </w:r>
      <w:r>
        <w:t xml:space="preserve"> </w:t>
      </w:r>
      <w:r>
        <w:t xml:space="preserve">(Pā. sū. 6-4-113)</w:t>
      </w:r>
      <w:r>
        <w:t xml:space="preserve"> </w:t>
      </w:r>
      <w:r>
        <w:rPr>
          <w:iCs/>
          <w:i/>
        </w:rPr>
        <w:t xml:space="preserve">ī</w:t>
      </w:r>
      <w:r>
        <w:t xml:space="preserve"> </w:t>
      </w:r>
      <w:r>
        <w:t xml:space="preserve">for the</w:t>
      </w:r>
      <w:r>
        <w:t xml:space="preserve"> </w:t>
      </w:r>
      <w:r>
        <w:rPr>
          <w:iCs/>
          <w:i/>
        </w:rPr>
        <w:t xml:space="preserve">ā</w:t>
      </w:r>
      <w:r>
        <w:t xml:space="preserve"> </w:t>
      </w:r>
      <w:r>
        <w:t xml:space="preserve">of</w:t>
      </w:r>
      <w:r>
        <w:t xml:space="preserve"> </w:t>
      </w:r>
      <w:r>
        <w:rPr>
          <w:iCs/>
          <w:i/>
        </w:rPr>
        <w:t xml:space="preserve">śnā</w:t>
      </w:r>
      <w:r>
        <w:t xml:space="preserve">:</w:t>
      </w:r>
      <w:r>
        <w:t xml:space="preserve"> </w:t>
      </w:r>
      <w:r>
        <w:rPr>
          <w:iCs/>
          <w:i/>
        </w:rPr>
        <w:t xml:space="preserve">gṝ</w:t>
      </w:r>
      <w:r>
        <w:t xml:space="preserve"> </w:t>
      </w:r>
      <w:r>
        <w:t xml:space="preserve">+</w:t>
      </w:r>
      <w:r>
        <w:t xml:space="preserve"> </w:t>
      </w:r>
      <w:r>
        <w:rPr>
          <w:iCs/>
          <w:i/>
        </w:rPr>
        <w:t xml:space="preserve">nī</w:t>
      </w:r>
      <w:r>
        <w:t xml:space="preserve"> </w:t>
      </w:r>
      <w:r>
        <w:t xml:space="preserve">+</w:t>
      </w:r>
      <w:r>
        <w:t xml:space="preserve"> </w:t>
      </w:r>
      <w:r>
        <w:rPr>
          <w:iCs/>
          <w:i/>
        </w:rPr>
        <w:t xml:space="preserve">hi</w:t>
      </w:r>
      <w:r>
        <w:t xml:space="preserve">;</w:t>
      </w:r>
      <w:r>
        <w:t xml:space="preserve"> </w:t>
      </w:r>
      <w:r>
        <w:rPr>
          <w:iCs/>
          <w:i/>
        </w:rPr>
        <w:t xml:space="preserve">hi</w:t>
      </w:r>
      <w:r>
        <w:t xml:space="preserve"> </w:t>
      </w:r>
      <w:r>
        <w:t xml:space="preserve">being</w:t>
      </w:r>
      <w:r>
        <w:t xml:space="preserve"> </w:t>
      </w:r>
      <w:r>
        <w:rPr>
          <w:iCs/>
          <w:i/>
        </w:rPr>
        <w:t xml:space="preserve">ṅit</w:t>
      </w:r>
      <w:r>
        <w:t xml:space="preserve">, the</w:t>
      </w:r>
      <w:r>
        <w:t xml:space="preserve"> </w:t>
      </w:r>
      <w:r>
        <w:rPr>
          <w:iCs/>
          <w:i/>
        </w:rPr>
        <w:t xml:space="preserve">ī</w:t>
      </w:r>
      <w:r>
        <w:t xml:space="preserve"> </w:t>
      </w:r>
      <w:r>
        <w:t xml:space="preserve">before it takes no</w:t>
      </w:r>
      <w:r>
        <w:t xml:space="preserve"> </w:t>
      </w:r>
      <w:r>
        <w:rPr>
          <w:iCs/>
          <w:i/>
        </w:rPr>
        <w:t xml:space="preserve">guṇa</w:t>
      </w:r>
      <w:r>
        <w:t xml:space="preserve">;</w:t>
      </w:r>
      <w:r>
        <w:t xml:space="preserve"> </w:t>
      </w:r>
      <w:r>
        <w:rPr>
          <w:iCs/>
          <w:i/>
        </w:rPr>
        <w:t xml:space="preserve">śnā</w:t>
      </w:r>
      <w:r>
        <w:t xml:space="preserve"> </w:t>
      </w:r>
      <w:r>
        <w:t xml:space="preserve">being</w:t>
      </w:r>
      <w:r>
        <w:t xml:space="preserve"> </w:t>
      </w:r>
      <w:r>
        <w:rPr>
          <w:iCs/>
          <w:i/>
        </w:rPr>
        <w:t xml:space="preserve">ṅit</w:t>
      </w:r>
      <w:r>
        <w:t xml:space="preserve"> </w:t>
      </w:r>
      <w:r>
        <w:t xml:space="preserve">by</w:t>
      </w:r>
      <w:r>
        <w:t xml:space="preserve"> </w:t>
      </w:r>
      <w:r>
        <w:t xml:space="preserve">“</w:t>
      </w:r>
      <w:r>
        <w:t xml:space="preserve">sārvadhātukam apit</w:t>
      </w:r>
      <w:r>
        <w:t xml:space="preserve">”</w:t>
      </w:r>
      <w:r>
        <w:t xml:space="preserve">, the</w:t>
      </w:r>
      <w:r>
        <w:t xml:space="preserve"> </w:t>
      </w:r>
      <w:r>
        <w:rPr>
          <w:iCs/>
          <w:i/>
        </w:rPr>
        <w:t xml:space="preserve">ṝ</w:t>
      </w:r>
      <w:r>
        <w:t xml:space="preserve"> </w:t>
      </w:r>
      <w:r>
        <w:t xml:space="preserve">before it takes no</w:t>
      </w:r>
      <w:r>
        <w:t xml:space="preserve"> </w:t>
      </w:r>
      <w:r>
        <w:rPr>
          <w:iCs/>
          <w:i/>
        </w:rPr>
        <w:t xml:space="preserve">guṇa</w:t>
      </w:r>
      <w:r>
        <w:t xml:space="preserve">.</w:t>
      </w:r>
      <w:r>
        <w:t xml:space="preserve"> </w:t>
      </w:r>
      <w:r>
        <w:rPr>
          <w:iCs/>
          <w:i/>
        </w:rPr>
        <w:t xml:space="preserve">Gṝ</w:t>
      </w:r>
      <w:r>
        <w:t xml:space="preserve"> </w:t>
      </w:r>
      <w:r>
        <w:t xml:space="preserve">shortened by</w:t>
      </w:r>
      <w:r>
        <w:t xml:space="preserve"> </w:t>
      </w:r>
      <w:r>
        <w:t xml:space="preserve">“</w:t>
      </w:r>
      <w:r>
        <w:t xml:space="preserve">pvādīnāṃ hrasvaḥ</w:t>
      </w:r>
      <w:r>
        <w:t xml:space="preserve">”</w:t>
      </w:r>
      <w:r>
        <w:t xml:space="preserve"> </w:t>
      </w:r>
      <w:r>
        <w:t xml:space="preserve">(Pā. sū. 7-3-80):</w:t>
      </w:r>
      <w:r>
        <w:t xml:space="preserve"> </w:t>
      </w:r>
      <w:r>
        <w:rPr>
          <w:iCs/>
          <w:i/>
        </w:rPr>
        <w:t xml:space="preserve">gṛṇīhi</w:t>
      </w:r>
      <w:r>
        <w:t xml:space="preserve">; wholly unaccented by</w:t>
      </w:r>
      <w:r>
        <w:t xml:space="preserve"> </w:t>
      </w:r>
      <w:r>
        <w:t xml:space="preserve">“</w:t>
      </w:r>
      <w:r>
        <w:t xml:space="preserve">tiṅṅatiṅaḥ</w:t>
      </w:r>
      <w:r>
        <w:t xml:space="preserve">”</w:t>
      </w:r>
      <w:r>
        <w:t xml:space="preserve"> </w:t>
      </w:r>
      <w:r>
        <w:t xml:space="preserve">(Pā. sū. 8-1-28).</w:t>
      </w:r>
    </w:p>
    <w:p>
      <w:pPr>
        <w:pStyle w:val="BodyText"/>
      </w:pPr>
      <w:r>
        <w:rPr>
          <w:bCs/>
          <w:b/>
        </w:rPr>
        <w:t xml:space="preserve">ग्नावः (</w:t>
      </w:r>
      <w:r>
        <w:rPr>
          <w:iCs/>
          <w:i/>
          <w:bCs/>
          <w:b/>
        </w:rPr>
        <w:t xml:space="preserve">gnāvaḥ</w:t>
      </w:r>
      <w:r>
        <w:rPr>
          <w:bCs/>
          <w:b/>
        </w:rPr>
        <w:t xml:space="preserve">)</w:t>
      </w:r>
      <w:r>
        <w:t xml:space="preserve">: with the analysis</w:t>
      </w:r>
      <w:r>
        <w:t xml:space="preserve"> </w:t>
      </w:r>
      <w:r>
        <w:rPr>
          <w:iCs/>
          <w:i/>
        </w:rPr>
        <w:t xml:space="preserve">gnāḥ striyaḥ asya santi</w:t>
      </w:r>
      <w:r>
        <w:t xml:space="preserve">,</w:t>
      </w:r>
      <w:r>
        <w:t xml:space="preserve"> </w:t>
      </w:r>
      <w:r>
        <w:rPr>
          <w:iCs/>
          <w:i/>
        </w:rPr>
        <w:t xml:space="preserve">matup</w:t>
      </w:r>
      <w:r>
        <w:t xml:space="preserve"> </w:t>
      </w:r>
      <w:r>
        <w:t xml:space="preserve">by</w:t>
      </w:r>
      <w:r>
        <w:t xml:space="preserve"> </w:t>
      </w:r>
      <w:r>
        <w:t xml:space="preserve">“</w:t>
      </w:r>
      <w:r>
        <w:t xml:space="preserve">tad asyāsty asminn iti matup</w:t>
      </w:r>
      <w:r>
        <w:t xml:space="preserve">”</w:t>
      </w:r>
      <w:r>
        <w:t xml:space="preserve">;</w:t>
      </w:r>
      <w:r>
        <w:t xml:space="preserve"> </w:t>
      </w:r>
      <w:r>
        <w:rPr>
          <w:iCs/>
          <w:i/>
        </w:rPr>
        <w:t xml:space="preserve">v</w:t>
      </w:r>
      <w:r>
        <w:t xml:space="preserve"> </w:t>
      </w:r>
      <w:r>
        <w:t xml:space="preserve">for the</w:t>
      </w:r>
      <w:r>
        <w:t xml:space="preserve"> </w:t>
      </w:r>
      <w:r>
        <w:rPr>
          <w:iCs/>
          <w:i/>
        </w:rPr>
        <w:t xml:space="preserve">m</w:t>
      </w:r>
      <w:r>
        <w:t xml:space="preserve"> </w:t>
      </w:r>
      <w:r>
        <w:t xml:space="preserve">by</w:t>
      </w:r>
      <w:r>
        <w:t xml:space="preserve"> </w:t>
      </w:r>
      <w:r>
        <w:rPr>
          <w:iCs/>
          <w:i/>
        </w:rPr>
        <w:t xml:space="preserve">vyatyaya</w:t>
      </w:r>
      <w:r>
        <w:t xml:space="preserve">:</w:t>
      </w:r>
      <w:r>
        <w:t xml:space="preserve"> </w:t>
      </w:r>
      <w:r>
        <w:rPr>
          <w:iCs/>
          <w:i/>
        </w:rPr>
        <w:t xml:space="preserve">gnāvat</w:t>
      </w:r>
      <w:r>
        <w:t xml:space="preserve">; vocative singular</w:t>
      </w:r>
      <w:r>
        <w:t xml:space="preserve"> </w:t>
      </w:r>
      <w:r>
        <w:rPr>
          <w:iCs/>
          <w:i/>
        </w:rPr>
        <w:t xml:space="preserve">su</w:t>
      </w:r>
      <w:r>
        <w:t xml:space="preserve">;</w:t>
      </w:r>
      <w:r>
        <w:t xml:space="preserve"> </w:t>
      </w:r>
      <w:r>
        <w:rPr>
          <w:iCs/>
          <w:i/>
        </w:rPr>
        <w:t xml:space="preserve">num</w:t>
      </w:r>
      <w:r>
        <w:t xml:space="preserve"> </w:t>
      </w:r>
      <w:r>
        <w:t xml:space="preserve">by</w:t>
      </w:r>
      <w:r>
        <w:t xml:space="preserve"> </w:t>
      </w:r>
      <w:r>
        <w:t xml:space="preserve">“</w:t>
      </w:r>
      <w:r>
        <w:t xml:space="preserve">ugidacāṃ sarvanāmasthāne ’dhātoḥ</w:t>
      </w:r>
      <w:r>
        <w:t xml:space="preserve">”</w:t>
      </w:r>
      <w:r>
        <w:t xml:space="preserve"> </w:t>
      </w:r>
      <w:r>
        <w:t xml:space="preserve">(Pā. sū. 7-1-70):</w:t>
      </w:r>
      <w:r>
        <w:t xml:space="preserve"> </w:t>
      </w:r>
      <w:r>
        <w:rPr>
          <w:iCs/>
          <w:i/>
        </w:rPr>
        <w:t xml:space="preserve">gnāvant</w:t>
      </w:r>
      <w:r>
        <w:t xml:space="preserve"> </w:t>
      </w:r>
      <w:r>
        <w:t xml:space="preserve">+</w:t>
      </w:r>
      <w:r>
        <w:t xml:space="preserve"> </w:t>
      </w:r>
      <w:r>
        <w:rPr>
          <w:iCs/>
          <w:i/>
        </w:rPr>
        <w:t xml:space="preserve">s</w:t>
      </w:r>
      <w:r>
        <w:t xml:space="preserve">;</w:t>
      </w:r>
      <w:r>
        <w:t xml:space="preserve"> </w:t>
      </w:r>
      <w:r>
        <w:rPr>
          <w:iCs/>
          <w:i/>
        </w:rPr>
        <w:t xml:space="preserve">su</w:t>
      </w:r>
      <w:r>
        <w:t xml:space="preserve"> </w:t>
      </w:r>
      <w:r>
        <w:t xml:space="preserve">dropped by</w:t>
      </w:r>
      <w:r>
        <w:t xml:space="preserve"> </w:t>
      </w:r>
      <w:r>
        <w:t xml:space="preserve">“</w:t>
      </w:r>
      <w:r>
        <w:t xml:space="preserve">hal-ṅyābbhyo dīrghāt…</w:t>
      </w:r>
      <w:r>
        <w:t xml:space="preserve">”</w:t>
      </w:r>
      <w:r>
        <w:t xml:space="preserve"> </w:t>
      </w:r>
      <w:r>
        <w:t xml:space="preserve">(Pā. sū. 6-1-68);</w:t>
      </w:r>
      <w:r>
        <w:t xml:space="preserve"> </w:t>
      </w:r>
      <w:r>
        <w:rPr>
          <w:iCs/>
          <w:i/>
        </w:rPr>
        <w:t xml:space="preserve">t</w:t>
      </w:r>
      <w:r>
        <w:t xml:space="preserve"> </w:t>
      </w:r>
      <w:r>
        <w:t xml:space="preserve">dropped by</w:t>
      </w:r>
      <w:r>
        <w:t xml:space="preserve"> </w:t>
      </w:r>
      <w:r>
        <w:t xml:space="preserve">“</w:t>
      </w:r>
      <w:r>
        <w:t xml:space="preserve">saṃyogāntasya lopaḥ</w:t>
      </w:r>
      <w:r>
        <w:t xml:space="preserve">”</w:t>
      </w:r>
      <w:r>
        <w:t xml:space="preserve"> </w:t>
      </w:r>
      <w:r>
        <w:t xml:space="preserve">(Pā. sū. 8-2-23):</w:t>
      </w:r>
      <w:r>
        <w:t xml:space="preserve"> </w:t>
      </w:r>
      <w:r>
        <w:rPr>
          <w:iCs/>
          <w:i/>
        </w:rPr>
        <w:t xml:space="preserve">gnāvan</w:t>
      </w:r>
      <w:r>
        <w:t xml:space="preserve">;</w:t>
      </w:r>
      <w:r>
        <w:t xml:space="preserve"> </w:t>
      </w:r>
      <w:r>
        <w:rPr>
          <w:iCs/>
          <w:i/>
        </w:rPr>
        <w:t xml:space="preserve">ru</w:t>
      </w:r>
      <w:r>
        <w:t xml:space="preserve"> </w:t>
      </w:r>
      <w:r>
        <w:t xml:space="preserve">for the</w:t>
      </w:r>
      <w:r>
        <w:t xml:space="preserve"> </w:t>
      </w:r>
      <w:r>
        <w:rPr>
          <w:iCs/>
          <w:i/>
        </w:rPr>
        <w:t xml:space="preserve">n</w:t>
      </w:r>
      <w:r>
        <w:t xml:space="preserve"> </w:t>
      </w:r>
      <w:r>
        <w:t xml:space="preserve">by</w:t>
      </w:r>
      <w:r>
        <w:t xml:space="preserve"> </w:t>
      </w:r>
      <w:r>
        <w:t xml:space="preserve">“</w:t>
      </w:r>
      <w:r>
        <w:t xml:space="preserve">matuvaso ru sambuddhau chandasi</w:t>
      </w:r>
      <w:r>
        <w:t xml:space="preserve">”</w:t>
      </w:r>
      <w:r>
        <w:t xml:space="preserve"> </w:t>
      </w:r>
      <w:r>
        <w:t xml:space="preserve">(Pā. sū. 8-3-1); visarga by</w:t>
      </w:r>
      <w:r>
        <w:t xml:space="preserve"> </w:t>
      </w:r>
      <w:r>
        <w:t xml:space="preserve">“</w:t>
      </w:r>
      <w:r>
        <w:t xml:space="preserve">sasajuṣo ruḥ</w:t>
      </w:r>
      <w:r>
        <w:t xml:space="preserve">”</w:t>
      </w:r>
      <w:r>
        <w:t xml:space="preserve">:</w:t>
      </w:r>
      <w:r>
        <w:t xml:space="preserve"> </w:t>
      </w:r>
      <w:r>
        <w:rPr>
          <w:iCs/>
          <w:i/>
        </w:rPr>
        <w:t xml:space="preserve">gnāvaḥ</w:t>
      </w:r>
      <w:r>
        <w:t xml:space="preserve">. With</w:t>
      </w:r>
      <w:r>
        <w:t xml:space="preserve"> </w:t>
      </w:r>
      <w:r>
        <w:rPr>
          <w:iCs/>
          <w:i/>
        </w:rPr>
        <w:t xml:space="preserve">gnāvar</w:t>
      </w:r>
      <w:r>
        <w:t xml:space="preserve"> </w:t>
      </w:r>
      <w:r>
        <w:t xml:space="preserve">+</w:t>
      </w:r>
      <w:r>
        <w:t xml:space="preserve"> </w:t>
      </w:r>
      <w:r>
        <w:rPr>
          <w:iCs/>
          <w:i/>
        </w:rPr>
        <w:t xml:space="preserve">neṣṭaḥ</w:t>
      </w:r>
      <w:r>
        <w:t xml:space="preserve">, in the Saṃhitā</w:t>
      </w:r>
      <w:r>
        <w:t xml:space="preserve"> </w:t>
      </w:r>
      <w:r>
        <w:t xml:space="preserve">“</w:t>
      </w:r>
      <w:r>
        <w:t xml:space="preserve">haśi ca</w:t>
      </w:r>
      <w:r>
        <w:t xml:space="preserve">”</w:t>
      </w:r>
      <w:r>
        <w:t xml:space="preserve"> </w:t>
      </w:r>
      <w:r>
        <w:t xml:space="preserve">(Pā. sū. 6-1-114) gives</w:t>
      </w:r>
      <w:r>
        <w:t xml:space="preserve"> </w:t>
      </w:r>
      <w:r>
        <w:rPr>
          <w:iCs/>
          <w:i/>
        </w:rPr>
        <w:t xml:space="preserve">u</w:t>
      </w:r>
      <w:r>
        <w:t xml:space="preserve"> </w:t>
      </w:r>
      <w:r>
        <w:t xml:space="preserve">for a</w:t>
      </w:r>
      <w:r>
        <w:t xml:space="preserve"> </w:t>
      </w:r>
      <w:r>
        <w:rPr>
          <w:iCs/>
          <w:i/>
        </w:rPr>
        <w:t xml:space="preserve">ru</w:t>
      </w:r>
      <w:r>
        <w:t xml:space="preserve"> </w:t>
      </w:r>
      <w:r>
        <w:t xml:space="preserve">after a non-</w:t>
      </w:r>
      <w:r>
        <w:rPr>
          <w:iCs/>
          <w:i/>
        </w:rPr>
        <w:t xml:space="preserve">pluta</w:t>
      </w:r>
      <w:r>
        <w:t xml:space="preserve"> </w:t>
      </w:r>
      <w:r>
        <w:t xml:space="preserve">short</w:t>
      </w:r>
      <w:r>
        <w:t xml:space="preserve"> </w:t>
      </w:r>
      <w:r>
        <w:rPr>
          <w:iCs/>
          <w:i/>
        </w:rPr>
        <w:t xml:space="preserve">a</w:t>
      </w:r>
      <w:r>
        <w:t xml:space="preserve"> </w:t>
      </w:r>
      <w:r>
        <w:t xml:space="preserve">before a</w:t>
      </w:r>
      <w:r>
        <w:t xml:space="preserve"> </w:t>
      </w:r>
      <w:r>
        <w:rPr>
          <w:iCs/>
          <w:i/>
        </w:rPr>
        <w:t xml:space="preserve">haś</w:t>
      </w:r>
      <w:r>
        <w:t xml:space="preserve"> </w:t>
      </w:r>
      <w:r>
        <w:t xml:space="preserve">letter. But the</w:t>
      </w:r>
      <w:r>
        <w:t xml:space="preserve"> </w:t>
      </w:r>
      <w:r>
        <w:rPr>
          <w:iCs/>
          <w:i/>
        </w:rPr>
        <w:t xml:space="preserve">u</w:t>
      </w:r>
      <w:r>
        <w:t xml:space="preserve"> </w:t>
      </w:r>
      <w:r>
        <w:t xml:space="preserve">is an operation of the</w:t>
      </w:r>
      <w:r>
        <w:t xml:space="preserve"> </w:t>
      </w:r>
      <w:r>
        <w:rPr>
          <w:iCs/>
          <w:i/>
        </w:rPr>
        <w:t xml:space="preserve">sapāda-saptādhyāyī</w:t>
      </w:r>
      <w:r>
        <w:t xml:space="preserve">; when it is made, by</w:t>
      </w:r>
      <w:r>
        <w:t xml:space="preserve"> </w:t>
      </w:r>
      <w:r>
        <w:t xml:space="preserve">“</w:t>
      </w:r>
      <w:r>
        <w:t xml:space="preserve">pūrvatrāsiddham</w:t>
      </w:r>
      <w:r>
        <w:t xml:space="preserve">”</w:t>
      </w:r>
      <w:r>
        <w:t xml:space="preserve"> </w:t>
      </w:r>
      <w:r>
        <w:t xml:space="preserve">(Pā. sū. 8-2-1) the loss of the final of the conjunct is treated as not done; so the</w:t>
      </w:r>
      <w:r>
        <w:t xml:space="preserve"> </w:t>
      </w:r>
      <w:r>
        <w:rPr>
          <w:iCs/>
          <w:i/>
        </w:rPr>
        <w:t xml:space="preserve">t</w:t>
      </w:r>
      <w:r>
        <w:t xml:space="preserve"> </w:t>
      </w:r>
      <w:r>
        <w:t xml:space="preserve">stands after it, no</w:t>
      </w:r>
      <w:r>
        <w:t xml:space="preserve"> </w:t>
      </w:r>
      <w:r>
        <w:rPr>
          <w:iCs/>
          <w:i/>
        </w:rPr>
        <w:t xml:space="preserve">haś</w:t>
      </w:r>
      <w:r>
        <w:t xml:space="preserve"> </w:t>
      </w:r>
      <w:r>
        <w:t xml:space="preserve">follows, and how can the</w:t>
      </w:r>
      <w:r>
        <w:t xml:space="preserve"> </w:t>
      </w:r>
      <w:r>
        <w:rPr>
          <w:iCs/>
          <w:i/>
        </w:rPr>
        <w:t xml:space="preserve">u</w:t>
      </w:r>
      <w:r>
        <w:t xml:space="preserve"> </w:t>
      </w:r>
      <w:r>
        <w:t xml:space="preserve">come? Though the</w:t>
      </w:r>
      <w:r>
        <w:t xml:space="preserve"> </w:t>
      </w:r>
      <w:r>
        <w:rPr>
          <w:iCs/>
          <w:i/>
        </w:rPr>
        <w:t xml:space="preserve">u</w:t>
      </w:r>
      <w:r>
        <w:t xml:space="preserve"> </w:t>
      </w:r>
      <w:r>
        <w:t xml:space="preserve">is a rule of the</w:t>
      </w:r>
      <w:r>
        <w:t xml:space="preserve"> </w:t>
      </w:r>
      <w:r>
        <w:rPr>
          <w:iCs/>
          <w:i/>
        </w:rPr>
        <w:t xml:space="preserve">sapāda-saptādhyāyī</w:t>
      </w:r>
      <w:r>
        <w:t xml:space="preserve">, by the vārttika</w:t>
      </w:r>
      <w:r>
        <w:t xml:space="preserve"> </w:t>
      </w:r>
      <w:r>
        <w:t xml:space="preserve">“</w:t>
      </w:r>
      <w:r>
        <w:t xml:space="preserve">saṃyogāntalopo ror uttve</w:t>
      </w:r>
      <w:r>
        <w:t xml:space="preserve">”</w:t>
      </w:r>
      <w:r>
        <w:t xml:space="preserve"> </w:t>
      </w:r>
      <w:r>
        <w:t xml:space="preserve">(Pā. sū. 8-2-6 vā.) the loss of the final of the conjunct counts as done when the</w:t>
      </w:r>
      <w:r>
        <w:t xml:space="preserve"> </w:t>
      </w:r>
      <w:r>
        <w:rPr>
          <w:iCs/>
          <w:i/>
        </w:rPr>
        <w:t xml:space="preserve">u</w:t>
      </w:r>
      <w:r>
        <w:t xml:space="preserve"> </w:t>
      </w:r>
      <w:r>
        <w:t xml:space="preserve">for the</w:t>
      </w:r>
      <w:r>
        <w:t xml:space="preserve"> </w:t>
      </w:r>
      <w:r>
        <w:rPr>
          <w:iCs/>
          <w:i/>
        </w:rPr>
        <w:t xml:space="preserve">ru</w:t>
      </w:r>
      <w:r>
        <w:t xml:space="preserve"> </w:t>
      </w:r>
      <w:r>
        <w:t xml:space="preserve">is made; so it is not treated as not done, and the</w:t>
      </w:r>
      <w:r>
        <w:t xml:space="preserve"> </w:t>
      </w:r>
      <w:r>
        <w:rPr>
          <w:iCs/>
          <w:i/>
        </w:rPr>
        <w:t xml:space="preserve">u</w:t>
      </w:r>
      <w:r>
        <w:t xml:space="preserve"> </w:t>
      </w:r>
      <w:r>
        <w:t xml:space="preserve">comes:</w:t>
      </w:r>
      <w:r>
        <w:t xml:space="preserve"> </w:t>
      </w:r>
      <w:r>
        <w:rPr>
          <w:iCs/>
          <w:i/>
        </w:rPr>
        <w:t xml:space="preserve">gnāva</w:t>
      </w:r>
      <w:r>
        <w:t xml:space="preserve"> </w:t>
      </w:r>
      <w:r>
        <w:t xml:space="preserve">+</w:t>
      </w:r>
      <w:r>
        <w:t xml:space="preserve"> </w:t>
      </w:r>
      <w:r>
        <w:rPr>
          <w:iCs/>
          <w:i/>
        </w:rPr>
        <w:t xml:space="preserve">u</w:t>
      </w:r>
      <w:r>
        <w:t xml:space="preserve"> </w:t>
      </w:r>
      <w:r>
        <w:t xml:space="preserve">+</w:t>
      </w:r>
      <w:r>
        <w:t xml:space="preserve"> </w:t>
      </w:r>
      <w:r>
        <w:rPr>
          <w:iCs/>
          <w:i/>
        </w:rPr>
        <w:t xml:space="preserve">neṣṭaḥ</w:t>
      </w:r>
      <w:r>
        <w:t xml:space="preserve">,</w:t>
      </w:r>
      <w:r>
        <w:t xml:space="preserve"> </w:t>
      </w:r>
      <w:r>
        <w:rPr>
          <w:iCs/>
          <w:i/>
        </w:rPr>
        <w:t xml:space="preserve">guṇa</w:t>
      </w:r>
      <w:r>
        <w:t xml:space="preserve">:</w:t>
      </w:r>
      <w:r>
        <w:t xml:space="preserve"> </w:t>
      </w:r>
      <w:r>
        <w:rPr>
          <w:iCs/>
          <w:i/>
        </w:rPr>
        <w:t xml:space="preserve">gnāvo neṣṭaḥ</w:t>
      </w:r>
      <w:r>
        <w:t xml:space="preserve">.</w:t>
      </w:r>
      <w:r>
        <w:t xml:space="preserve"> </w:t>
      </w:r>
      <w:r>
        <w:rPr>
          <w:iCs/>
          <w:i/>
        </w:rPr>
        <w:t xml:space="preserve">Gnāvaḥ</w:t>
      </w:r>
      <w:r>
        <w:t xml:space="preserve"> </w:t>
      </w:r>
      <w:r>
        <w:t xml:space="preserve">is at the head of the second pāda; so</w:t>
      </w:r>
      <w:r>
        <w:t xml:space="preserve"> </w:t>
      </w:r>
      <w:r>
        <w:t xml:space="preserve">“</w:t>
      </w:r>
      <w:r>
        <w:t xml:space="preserve">apādādau</w:t>
      </w:r>
      <w:r>
        <w:t xml:space="preserve">”</w:t>
      </w:r>
      <w:r>
        <w:t xml:space="preserve"> </w:t>
      </w:r>
      <w:r>
        <w:t xml:space="preserve">(Pā. sū. 8-1-18) bars the lowering by</w:t>
      </w:r>
      <w:r>
        <w:t xml:space="preserve"> </w:t>
      </w:r>
      <w:r>
        <w:t xml:space="preserve">“</w:t>
      </w:r>
      <w:r>
        <w:t xml:space="preserve">āmantritasya ca</w:t>
      </w:r>
      <w:r>
        <w:t xml:space="preserve">”</w:t>
      </w:r>
      <w:r>
        <w:t xml:space="preserve"> </w:t>
      </w:r>
      <w:r>
        <w:t xml:space="preserve">(Pā. sū. 8-1-19), and the sixth-adhyāya</w:t>
      </w:r>
      <w:r>
        <w:t xml:space="preserve"> </w:t>
      </w:r>
      <w:r>
        <w:t xml:space="preserve">“</w:t>
      </w:r>
      <w:r>
        <w:t xml:space="preserve">āmantritasya ca</w:t>
      </w:r>
      <w:r>
        <w:t xml:space="preserve">”</w:t>
      </w:r>
      <w:r>
        <w:t xml:space="preserve"> </w:t>
      </w:r>
      <w:r>
        <w:t xml:space="preserve">(Pā. sū. 6-1-198) makes it initial udātta.</w:t>
      </w:r>
      <w:r>
        <w:t xml:space="preserve"> </w:t>
      </w:r>
      <w:r>
        <w:rPr>
          <w:iCs/>
          <w:i/>
        </w:rPr>
        <w:t xml:space="preserve">Gnāvaḥ</w:t>
      </w:r>
      <w:r>
        <w:t xml:space="preserve"> </w:t>
      </w:r>
      <w:r>
        <w:t xml:space="preserve">qualifies</w:t>
      </w:r>
      <w:r>
        <w:t xml:space="preserve"> </w:t>
      </w:r>
      <w:r>
        <w:rPr>
          <w:iCs/>
          <w:i/>
        </w:rPr>
        <w:t xml:space="preserve">neṣṭaḥ</w:t>
      </w:r>
      <w:r>
        <w:t xml:space="preserve">, so it is a</w:t>
      </w:r>
      <w:r>
        <w:t xml:space="preserve"> </w:t>
      </w:r>
      <w:r>
        <w:rPr>
          <w:iCs/>
          <w:i/>
        </w:rPr>
        <w:t xml:space="preserve">viśeṣavacana</w:t>
      </w:r>
      <w:r>
        <w:t xml:space="preserve">, not a</w:t>
      </w:r>
      <w:r>
        <w:t xml:space="preserve"> </w:t>
      </w:r>
      <w:r>
        <w:rPr>
          <w:iCs/>
          <w:i/>
        </w:rPr>
        <w:t xml:space="preserve">sāmānyavacana</w:t>
      </w:r>
      <w:r>
        <w:t xml:space="preserve">; so</w:t>
      </w:r>
      <w:r>
        <w:t xml:space="preserve"> </w:t>
      </w:r>
      <w:r>
        <w:t xml:space="preserve">“</w:t>
      </w:r>
      <w:r>
        <w:t xml:space="preserve">nāmantrite samānādhikaraṇe sāmānyavacanam</w:t>
      </w:r>
      <w:r>
        <w:t xml:space="preserve">”</w:t>
      </w:r>
      <w:r>
        <w:t xml:space="preserve"> </w:t>
      </w:r>
      <w:r>
        <w:t xml:space="preserve">(Pā. sū. 8-1-73) does not bar its being treated as absent.</w:t>
      </w:r>
    </w:p>
    <w:bookmarkEnd w:id="688"/>
    <w:bookmarkStart w:id="689" w:name="page-639-rik-3-grammar-end"/>
    <w:p>
      <w:pPr>
        <w:pStyle w:val="Heading3"/>
      </w:pPr>
      <w:r>
        <w:t xml:space="preserve">Page 639 — Rik 3: grammar (end)</w:t>
      </w:r>
    </w:p>
    <w:p>
      <w:pPr>
        <w:pStyle w:val="FirstParagraph"/>
      </w:pPr>
      <w:r>
        <w:t xml:space="preserve">So by</w:t>
      </w:r>
      <w:r>
        <w:t xml:space="preserve"> </w:t>
      </w:r>
      <w:r>
        <w:t xml:space="preserve">“</w:t>
      </w:r>
      <w:r>
        <w:t xml:space="preserve">āmantritaṃ pūrvam avidyamānavat</w:t>
      </w:r>
      <w:r>
        <w:t xml:space="preserve">”</w:t>
      </w:r>
      <w:r>
        <w:t xml:space="preserve"> </w:t>
      </w:r>
      <w:r>
        <w:t xml:space="preserve">(Pā. sū. 8-1-72) the earlier vocative</w:t>
      </w:r>
      <w:r>
        <w:t xml:space="preserve"> </w:t>
      </w:r>
      <w:r>
        <w:rPr>
          <w:iCs/>
          <w:i/>
        </w:rPr>
        <w:t xml:space="preserve">gnāvaḥ</w:t>
      </w:r>
      <w:r>
        <w:t xml:space="preserve"> </w:t>
      </w:r>
      <w:r>
        <w:t xml:space="preserve">is treated as absent. So the vocative</w:t>
      </w:r>
      <w:r>
        <w:t xml:space="preserve"> </w:t>
      </w:r>
      <w:r>
        <w:rPr>
          <w:iCs/>
          <w:i/>
        </w:rPr>
        <w:t xml:space="preserve">neṣṭaḥ</w:t>
      </w:r>
      <w:r>
        <w:t xml:space="preserve"> </w:t>
      </w:r>
      <w:r>
        <w:t xml:space="preserve">also counts as at the head of the pāda, and the eighth-adhyāya lowering does not come; by the</w:t>
      </w:r>
      <w:r>
        <w:t xml:space="preserve"> </w:t>
      </w:r>
      <w:r>
        <w:rPr>
          <w:iCs/>
          <w:i/>
        </w:rPr>
        <w:t xml:space="preserve">ṣāṣṭhika</w:t>
      </w:r>
      <w:r>
        <w:t xml:space="preserve"> </w:t>
      </w:r>
      <w:r>
        <w:t xml:space="preserve">sūtra it is initial udātta.</w:t>
      </w:r>
    </w:p>
    <w:p>
      <w:pPr>
        <w:pStyle w:val="BodyText"/>
      </w:pPr>
      <w:r>
        <w:rPr>
          <w:bCs/>
          <w:b/>
        </w:rPr>
        <w:t xml:space="preserve">पिब (</w:t>
      </w:r>
      <w:r>
        <w:rPr>
          <w:iCs/>
          <w:i/>
          <w:bCs/>
          <w:b/>
        </w:rPr>
        <w:t xml:space="preserve">piba</w:t>
      </w:r>
      <w:r>
        <w:rPr>
          <w:bCs/>
          <w:b/>
        </w:rPr>
        <w:t xml:space="preserve">)</w:t>
      </w:r>
      <w:r>
        <w:t xml:space="preserve">:</w:t>
      </w:r>
      <w:r>
        <w:t xml:space="preserve"> </w:t>
      </w:r>
      <w:r>
        <w:rPr>
          <w:iCs/>
          <w:i/>
        </w:rPr>
        <w:t xml:space="preserve">śap</w:t>
      </w:r>
      <w:r>
        <w:t xml:space="preserve"> </w:t>
      </w:r>
      <w:r>
        <w:t xml:space="preserve">is</w:t>
      </w:r>
      <w:r>
        <w:t xml:space="preserve"> </w:t>
      </w:r>
      <w:r>
        <w:rPr>
          <w:iCs/>
          <w:i/>
        </w:rPr>
        <w:t xml:space="preserve">pit</w:t>
      </w:r>
      <w:r>
        <w:t xml:space="preserve">, so the root accent remains. The two vocatives before it are treated as absent, so</w:t>
      </w:r>
      <w:r>
        <w:t xml:space="preserve"> </w:t>
      </w:r>
      <w:r>
        <w:rPr>
          <w:iCs/>
          <w:i/>
        </w:rPr>
        <w:t xml:space="preserve">piba</w:t>
      </w:r>
      <w:r>
        <w:t xml:space="preserve"> </w:t>
      </w:r>
      <w:r>
        <w:t xml:space="preserve">is not wholly unaccented.</w:t>
      </w:r>
    </w:p>
    <w:p>
      <w:pPr>
        <w:pStyle w:val="BodyText"/>
      </w:pPr>
      <w:r>
        <w:rPr>
          <w:bCs/>
          <w:b/>
        </w:rPr>
        <w:t xml:space="preserve">रत्नधाः (</w:t>
      </w:r>
      <w:r>
        <w:rPr>
          <w:iCs/>
          <w:i/>
          <w:bCs/>
          <w:b/>
        </w:rPr>
        <w:t xml:space="preserve">ratnadhāḥ</w:t>
      </w:r>
      <w:r>
        <w:rPr>
          <w:bCs/>
          <w:b/>
        </w:rPr>
        <w:t xml:space="preserve">)</w:t>
      </w:r>
      <w:r>
        <w:t xml:space="preserve">:</w:t>
      </w:r>
      <w:r>
        <w:t xml:space="preserve"> </w:t>
      </w:r>
      <w:r>
        <w:rPr>
          <w:iCs/>
          <w:i/>
        </w:rPr>
        <w:t xml:space="preserve">ratnāni dadhāti iti</w:t>
      </w:r>
      <w:r>
        <w:t xml:space="preserve">;</w:t>
      </w:r>
      <w:r>
        <w:t xml:space="preserve"> </w:t>
      </w:r>
      <w:r>
        <w:rPr>
          <w:iCs/>
          <w:i/>
        </w:rPr>
        <w:t xml:space="preserve">kvip</w:t>
      </w:r>
      <w:r>
        <w:t xml:space="preserve"> </w:t>
      </w:r>
      <w:r>
        <w:t xml:space="preserve">after</w:t>
      </w:r>
      <w:r>
        <w:t xml:space="preserve"> </w:t>
      </w:r>
      <w:r>
        <w:rPr>
          <w:iCs/>
          <w:i/>
        </w:rPr>
        <w:t xml:space="preserve">ḍudhāñ dhāraṇapoṣaṇayoḥ</w:t>
      </w:r>
      <w:r>
        <w:t xml:space="preserve"> </w:t>
      </w:r>
      <w:r>
        <w:t xml:space="preserve">by</w:t>
      </w:r>
      <w:r>
        <w:t xml:space="preserve"> </w:t>
      </w:r>
      <w:r>
        <w:t xml:space="preserve">“</w:t>
      </w:r>
      <w:r>
        <w:t xml:space="preserve">kvip ca</w:t>
      </w:r>
      <w:r>
        <w:t xml:space="preserve">”</w:t>
      </w:r>
      <w:r>
        <w:t xml:space="preserve">; the root accent. After compounding, the</w:t>
      </w:r>
      <w:r>
        <w:t xml:space="preserve"> </w:t>
      </w:r>
      <w:r>
        <w:rPr>
          <w:iCs/>
          <w:i/>
        </w:rPr>
        <w:t xml:space="preserve">kṛt</w:t>
      </w:r>
      <w:r>
        <w:t xml:space="preserve"> </w:t>
      </w:r>
      <w:r>
        <w:t xml:space="preserve">second-member accent comes by</w:t>
      </w:r>
      <w:r>
        <w:t xml:space="preserve"> </w:t>
      </w:r>
      <w:r>
        <w:t xml:space="preserve">“</w:t>
      </w:r>
      <w:r>
        <w:t xml:space="preserve">gatikārakopapadāt kṛt</w:t>
      </w:r>
      <w:r>
        <w:t xml:space="preserve">”</w:t>
      </w:r>
      <w:r>
        <w:t xml:space="preserve">, and that accent remains.</w:t>
      </w:r>
    </w:p>
    <w:p>
      <w:pPr>
        <w:pStyle w:val="BodyText"/>
      </w:pPr>
      <w:r>
        <w:rPr>
          <w:bCs/>
          <w:b/>
        </w:rPr>
        <w:t xml:space="preserve">असि (</w:t>
      </w:r>
      <w:r>
        <w:rPr>
          <w:iCs/>
          <w:i/>
          <w:bCs/>
          <w:b/>
        </w:rPr>
        <w:t xml:space="preserve">asi</w:t>
      </w:r>
      <w:r>
        <w:rPr>
          <w:bCs/>
          <w:b/>
        </w:rPr>
        <w:t xml:space="preserve">)</w:t>
      </w:r>
      <w:r>
        <w:t xml:space="preserve">:</w:t>
      </w:r>
      <w:r>
        <w:t xml:space="preserve"> </w:t>
      </w:r>
      <w:r>
        <w:rPr>
          <w:iCs/>
          <w:i/>
        </w:rPr>
        <w:t xml:space="preserve">asa bhuvi</w:t>
      </w:r>
      <w:r>
        <w:t xml:space="preserve">,</w:t>
      </w:r>
      <w:r>
        <w:t xml:space="preserve"> </w:t>
      </w:r>
      <w:r>
        <w:rPr>
          <w:iCs/>
          <w:i/>
        </w:rPr>
        <w:t xml:space="preserve">laṭ</w:t>
      </w:r>
      <w:r>
        <w:t xml:space="preserve">, 2nd singular</w:t>
      </w:r>
      <w:r>
        <w:t xml:space="preserve"> </w:t>
      </w:r>
      <w:r>
        <w:rPr>
          <w:iCs/>
          <w:i/>
        </w:rPr>
        <w:t xml:space="preserve">sip</w:t>
      </w:r>
      <w:r>
        <w:t xml:space="preserve">; the</w:t>
      </w:r>
      <w:r>
        <w:t xml:space="preserve"> </w:t>
      </w:r>
      <w:r>
        <w:rPr>
          <w:iCs/>
          <w:i/>
        </w:rPr>
        <w:t xml:space="preserve">vikaraṇa</w:t>
      </w:r>
      <w:r>
        <w:t xml:space="preserve"> </w:t>
      </w:r>
      <w:r>
        <w:rPr>
          <w:iCs/>
          <w:i/>
        </w:rPr>
        <w:t xml:space="preserve">śap</w:t>
      </w:r>
      <w:r>
        <w:t xml:space="preserve"> </w:t>
      </w:r>
      <w:r>
        <w:t xml:space="preserve">is dropped by</w:t>
      </w:r>
      <w:r>
        <w:t xml:space="preserve"> </w:t>
      </w:r>
      <w:r>
        <w:t xml:space="preserve">“</w:t>
      </w:r>
      <w:r>
        <w:t xml:space="preserve">adiprabhṛtibhyaḥ śapaḥ</w:t>
      </w:r>
      <w:r>
        <w:t xml:space="preserve">”</w:t>
      </w:r>
      <w:r>
        <w:t xml:space="preserve">; the</w:t>
      </w:r>
      <w:r>
        <w:t xml:space="preserve"> </w:t>
      </w:r>
      <w:r>
        <w:rPr>
          <w:iCs/>
          <w:i/>
        </w:rPr>
        <w:t xml:space="preserve">s</w:t>
      </w:r>
      <w:r>
        <w:t xml:space="preserve"> </w:t>
      </w:r>
      <w:r>
        <w:t xml:space="preserve">dropped by</w:t>
      </w:r>
      <w:r>
        <w:t xml:space="preserve"> </w:t>
      </w:r>
      <w:r>
        <w:t xml:space="preserve">“</w:t>
      </w:r>
      <w:r>
        <w:t xml:space="preserve">tāsastyor lopaḥ</w:t>
      </w:r>
      <w:r>
        <w:t xml:space="preserve">”</w:t>
      </w:r>
      <w:r>
        <w:t xml:space="preserve"> </w:t>
      </w:r>
      <w:r>
        <w:t xml:space="preserve">(Pā. sū.</w:t>
      </w:r>
      <w:r>
        <w:t xml:space="preserve"> </w:t>
      </w:r>
      <w:r>
        <w:t xml:space="preserve">“</w:t>
      </w:r>
      <w:r>
        <w:t xml:space="preserve">7-4-50</w:t>
      </w:r>
      <w:r>
        <w:t xml:space="preserve">”</w:t>
      </w:r>
      <w:r>
        <w:t xml:space="preserve"> </w:t>
      </w:r>
      <w:r>
        <w:t xml:space="preserve">[as printed]):</w:t>
      </w:r>
      <w:r>
        <w:t xml:space="preserve"> </w:t>
      </w:r>
      <w:r>
        <w:rPr>
          <w:iCs/>
          <w:i/>
        </w:rPr>
        <w:t xml:space="preserve">asi</w:t>
      </w:r>
      <w:r>
        <w:t xml:space="preserve">.</w:t>
      </w:r>
      <w:r>
        <w:t xml:space="preserve"> </w:t>
      </w:r>
      <w:r>
        <w:rPr>
          <w:iCs/>
          <w:i/>
        </w:rPr>
        <w:t xml:space="preserve">Sip</w:t>
      </w:r>
      <w:r>
        <w:t xml:space="preserve"> </w:t>
      </w:r>
      <w:r>
        <w:t xml:space="preserve">is</w:t>
      </w:r>
      <w:r>
        <w:t xml:space="preserve"> </w:t>
      </w:r>
      <w:r>
        <w:rPr>
          <w:iCs/>
          <w:i/>
        </w:rPr>
        <w:t xml:space="preserve">pit</w:t>
      </w:r>
      <w:r>
        <w:t xml:space="preserve">, so unaccented by</w:t>
      </w:r>
      <w:r>
        <w:t xml:space="preserve"> </w:t>
      </w:r>
      <w:r>
        <w:t xml:space="preserve">“</w:t>
      </w:r>
      <w:r>
        <w:t xml:space="preserve">anudāttau suppitau</w:t>
      </w:r>
      <w:r>
        <w:t xml:space="preserve">”</w:t>
      </w:r>
      <w:r>
        <w:t xml:space="preserve">; the root accent remains. The use of</w:t>
      </w:r>
      <w:r>
        <w:t xml:space="preserve"> </w:t>
      </w:r>
      <w:r>
        <w:rPr>
          <w:iCs/>
          <w:i/>
        </w:rPr>
        <w:t xml:space="preserve">hi</w:t>
      </w:r>
      <w:r>
        <w:t xml:space="preserve"> </w:t>
      </w:r>
      <w:r>
        <w:t xml:space="preserve">brings the bar of</w:t>
      </w:r>
      <w:r>
        <w:t xml:space="preserve"> </w:t>
      </w:r>
      <w:r>
        <w:t xml:space="preserve">“</w:t>
      </w:r>
      <w:r>
        <w:t xml:space="preserve">hi ca</w:t>
      </w:r>
      <w:r>
        <w:t xml:space="preserve">”</w:t>
      </w:r>
      <w:r>
        <w:t xml:space="preserve">; so</w:t>
      </w:r>
      <w:r>
        <w:t xml:space="preserve"> </w:t>
      </w:r>
      <w:r>
        <w:t xml:space="preserve">“</w:t>
      </w:r>
      <w:r>
        <w:t xml:space="preserve">tiṅṅatiṅaḥ</w:t>
      </w:r>
      <w:r>
        <w:t xml:space="preserve">”</w:t>
      </w:r>
      <w:r>
        <w:t xml:space="preserve"> </w:t>
      </w:r>
      <w:r>
        <w:t xml:space="preserve">does not make it wholly unaccented. The</w:t>
      </w:r>
      <w:r>
        <w:t xml:space="preserve"> </w:t>
      </w:r>
      <w:r>
        <w:rPr>
          <w:iCs/>
          <w:i/>
        </w:rPr>
        <w:t xml:space="preserve">i</w:t>
      </w:r>
      <w:r>
        <w:t xml:space="preserve"> </w:t>
      </w:r>
      <w:r>
        <w:t xml:space="preserve">of</w:t>
      </w:r>
      <w:r>
        <w:t xml:space="preserve"> </w:t>
      </w:r>
      <w:r>
        <w:rPr>
          <w:iCs/>
          <w:i/>
        </w:rPr>
        <w:t xml:space="preserve">sip</w:t>
      </w:r>
      <w:r>
        <w:t xml:space="preserve"> </w:t>
      </w:r>
      <w:r>
        <w:t xml:space="preserve">becomes svarita by</w:t>
      </w:r>
      <w:r>
        <w:t xml:space="preserve"> </w:t>
      </w:r>
      <w:r>
        <w:t xml:space="preserve">“</w:t>
      </w:r>
      <w:r>
        <w:t xml:space="preserve">udāttād anudāttasya svaritaḥ</w:t>
      </w:r>
      <w:r>
        <w:t xml:space="preserve">”</w:t>
      </w:r>
      <w:r>
        <w:t xml:space="preserve">.</w:t>
      </w:r>
    </w:p>
    <w:p>
      <w:pPr>
        <w:pStyle w:val="BodyText"/>
      </w:pPr>
      <w:r>
        <w:rPr>
          <w:bCs/>
          <w:b/>
        </w:rPr>
        <w:t xml:space="preserve">॥३॥</w:t>
      </w:r>
    </w:p>
    <w:p>
      <w:r>
        <w:pict>
          <v:rect style="width:0;height:1.5pt" o:hralign="center" o:hrstd="t" o:hr="t"/>
        </w:pict>
      </w:r>
    </w:p>
    <w:bookmarkEnd w:id="689"/>
    <w:bookmarkStart w:id="690" w:name="page-639-lower-sūkta-15-rik-4"/>
    <w:p>
      <w:pPr>
        <w:pStyle w:val="Heading3"/>
      </w:pPr>
      <w:r>
        <w:t xml:space="preserve">Page 639 (lower) — Sūkta 15, Rik 4</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अग्ने॑ दे॒वाँ इ॒हा व॑ह सा॒दया॒ योनि॑षु त्रि॒षु । [accent ?]</w:t>
      </w:r>
      <w:r>
        <w:t xml:space="preserve"> </w:t>
      </w:r>
      <w:r>
        <w:t xml:space="preserve">परि॑ भूष॒ पिब॑ ऋ॒तुना॑ ॥४॥</w:t>
      </w:r>
    </w:p>
    <w:p>
      <w:pPr>
        <w:pStyle w:val="BlockText"/>
      </w:pPr>
      <w:r>
        <w:rPr>
          <w:iCs/>
          <w:i/>
        </w:rPr>
        <w:t xml:space="preserve">ágne devā́m̐ ihā́ vaha sādáyā yóniṣu triṣú |</w:t>
      </w:r>
      <w:r>
        <w:t xml:space="preserve"> </w:t>
      </w:r>
      <w:r>
        <w:t xml:space="preserve">[accent ?]</w:t>
      </w:r>
      <w:r>
        <w:t xml:space="preserve"> </w:t>
      </w:r>
      <w:r>
        <w:rPr>
          <w:iCs/>
          <w:i/>
        </w:rPr>
        <w:t xml:space="preserve">pári bhūṣa píba ṛtúnā ||4||</w:t>
      </w:r>
    </w:p>
    <w:p>
      <w:pPr>
        <w:pStyle w:val="FirstParagraph"/>
      </w:pPr>
      <w:r>
        <w:rPr>
          <w:iCs/>
          <w:i/>
        </w:rPr>
        <w:t xml:space="preserve">(Line 1: the bars under सादया are read under सा and या; not certain.)</w:t>
      </w:r>
    </w:p>
    <w:p>
      <w:pPr>
        <w:pStyle w:val="BodyText"/>
      </w:pPr>
      <w:r>
        <w:rPr>
          <w:bCs/>
          <w:b/>
        </w:rPr>
        <w:t xml:space="preserve">॥ Pada-pāṭhaḥ ॥</w:t>
      </w:r>
    </w:p>
    <w:p>
      <w:pPr>
        <w:pStyle w:val="BlockText"/>
      </w:pPr>
      <w:r>
        <w:t xml:space="preserve">अग्ने । देवान् । इह । आ । वह । सादय । योनिषु । त्रिषु ॥</w:t>
      </w:r>
      <w:r>
        <w:t xml:space="preserve"> </w:t>
      </w:r>
      <w:r>
        <w:t xml:space="preserve">परि । भूष । पिब । ऋतुना ॥४॥</w:t>
      </w:r>
    </w:p>
    <w:p>
      <w:pPr>
        <w:pStyle w:val="BlockText"/>
      </w:pPr>
      <w:r>
        <w:rPr>
          <w:iCs/>
          <w:i/>
        </w:rPr>
        <w:t xml:space="preserve">agne | devān | iha | ā | vaha | sādaya | yoniṣu | triṣu ||</w:t>
      </w:r>
      <w:r>
        <w:t xml:space="preserve"> </w:t>
      </w:r>
      <w:r>
        <w:rPr>
          <w:iCs/>
          <w:i/>
        </w:rPr>
        <w:t xml:space="preserve">pari | bhūṣa | piba | ṛtunā ||4||</w:t>
      </w:r>
    </w:p>
    <w:p>
      <w:pPr>
        <w:pStyle w:val="FirstParagraph"/>
      </w:pPr>
      <w:r>
        <w:rPr>
          <w:bCs/>
          <w:b/>
        </w:rPr>
        <w:t xml:space="preserve">॥ Sāyaṇa-bhāṣyam ॥</w:t>
      </w:r>
    </w:p>
    <w:p>
      <w:pPr>
        <w:pStyle w:val="BlockText"/>
      </w:pPr>
      <w:r>
        <w:t xml:space="preserve">हे अग्ने देवानिहास्मिन्कर्मण्या वह । ततो योनिषु स्थानेषु त्रिषु सवनेषु सादय । देवानुपवेशय । ततस्तान्परि भूष । अलंकुरु । ऋतुना सह त्वं सोमं</w:t>
      </w:r>
    </w:p>
    <w:p>
      <w:pPr>
        <w:pStyle w:val="BlockText"/>
      </w:pPr>
      <w:r>
        <w:rPr>
          <w:iCs/>
          <w:i/>
        </w:rPr>
        <w:t xml:space="preserve">he agne devānihāsminkarmaṇyā vaha | tato yoniṣu sthāneṣu triṣu savaneṣu sādaya | devānupaveśaya | tatastānpari bhūṣa | alaṃkuru | ṛtunā saha tvaṃ somaṃ</w:t>
      </w:r>
    </w:p>
    <w:bookmarkEnd w:id="690"/>
    <w:bookmarkStart w:id="691" w:name="X5d0f25faab05fef6e8e1d69a973656f0fcb70dd"/>
    <w:p>
      <w:pPr>
        <w:pStyle w:val="Heading3"/>
      </w:pPr>
      <w:r>
        <w:t xml:space="preserve">Page 640 — Rik 4: bhāṣya (end), word-meanings, overall sense, English, Special Topics</w:t>
      </w:r>
    </w:p>
    <w:p>
      <w:pPr>
        <w:pStyle w:val="BlockText"/>
      </w:pPr>
      <w:r>
        <w:t xml:space="preserve">पिब ॥ अग्ने देवानित्ययं पादो गतः । योनिषु । यु मिश्रणे । वहिश्रीत्यादिना । उ. ४-५१ । निप्रत्ययः । नित्त्वादाद्युदात्तः । त्रिषु । षट्त्रिचतुर्भ्यो हलादिः । पा. ६-१-१७९ । इति विभक्तेरुदात्तत्वं । भूष अलंकारे । तिङ्ङतिङ इति निघातः । पिब ऋतुनेति गतौ ॥</w:t>
      </w:r>
    </w:p>
    <w:p>
      <w:pPr>
        <w:pStyle w:val="BlockText"/>
      </w:pPr>
      <w:r>
        <w:rPr>
          <w:iCs/>
          <w:i/>
        </w:rPr>
        <w:t xml:space="preserve">piba || agne devānityayaṃ pādo gataḥ | yoniṣu | yu miśraṇe | vahiśrītyādinā | u. 4-51 | nipratyayaḥ | nittvādādyudāttaḥ | triṣu | ṣaṭtricaturbhyo halādiḥ | pā. 6-1-179 | iti vibhakterudāttatvaṃ | bhūṣa alaṃkāre | tiṅṅatiṅa iti nighātaḥ | piba ṛtuneti gatau ||</w:t>
      </w:r>
    </w:p>
    <w:p>
      <w:pPr>
        <w:pStyle w:val="FirstParagraph"/>
      </w:pPr>
      <w:r>
        <w:rPr>
          <w:bCs/>
          <w:b/>
        </w:rPr>
        <w:t xml:space="preserve">Translation:</w:t>
      </w:r>
      <w:r>
        <w:t xml:space="preserve"> </w:t>
      </w:r>
      <w:r>
        <w:t xml:space="preserve">“</w:t>
      </w:r>
      <w:r>
        <w:t xml:space="preserve">O Agni, bring the gods here to this rite. Then seat them, place the gods, in the</w:t>
      </w:r>
      <w:r>
        <w:t xml:space="preserve"> </w:t>
      </w:r>
      <w:r>
        <w:rPr>
          <w:iCs/>
          <w:i/>
        </w:rPr>
        <w:t xml:space="preserve">yonis</w:t>
      </w:r>
      <w:r>
        <w:t xml:space="preserve">, the places, the three pressings. Then</w:t>
      </w:r>
      <w:r>
        <w:t xml:space="preserve"> </w:t>
      </w:r>
      <w:r>
        <w:rPr>
          <w:iCs/>
          <w:i/>
        </w:rPr>
        <w:t xml:space="preserve">pari bhūṣa</w:t>
      </w:r>
      <w:r>
        <w:t xml:space="preserve">, adorn, them. Drink the soma with the Ṛtu.</w:t>
      </w:r>
      <w:r>
        <w:t xml:space="preserve">”</w:t>
      </w:r>
      <w:r>
        <w:t xml:space="preserve"> </w:t>
      </w:r>
      <w:r>
        <w:t xml:space="preserve">(Grammatical tail: the pāda</w:t>
      </w:r>
      <w:r>
        <w:t xml:space="preserve"> </w:t>
      </w:r>
      <w:r>
        <w:rPr>
          <w:iCs/>
          <w:i/>
        </w:rPr>
        <w:t xml:space="preserve">agne devān…</w:t>
      </w:r>
      <w:r>
        <w:t xml:space="preserve"> </w:t>
      </w:r>
      <w:r>
        <w:t xml:space="preserve">has been gone through;</w:t>
      </w:r>
      <w:r>
        <w:t xml:space="preserve"> </w:t>
      </w:r>
      <w:r>
        <w:rPr>
          <w:iCs/>
          <w:i/>
        </w:rPr>
        <w:t xml:space="preserve">yoniṣu</w:t>
      </w:r>
      <w:r>
        <w:t xml:space="preserve"> </w:t>
      </w:r>
      <w:r>
        <w:t xml:space="preserve">from</w:t>
      </w:r>
      <w:r>
        <w:t xml:space="preserve"> </w:t>
      </w:r>
      <w:r>
        <w:rPr>
          <w:iCs/>
          <w:i/>
        </w:rPr>
        <w:t xml:space="preserve">yu</w:t>
      </w:r>
      <w:r>
        <w:t xml:space="preserve"> </w:t>
      </w:r>
      <w:r>
        <w:t xml:space="preserve">‘</w:t>
      </w:r>
      <w:r>
        <w:t xml:space="preserve">to mix</w:t>
      </w:r>
      <w:r>
        <w:t xml:space="preserve">’</w:t>
      </w:r>
      <w:r>
        <w:t xml:space="preserve"> </w:t>
      </w:r>
      <w:r>
        <w:t xml:space="preserve">with</w:t>
      </w:r>
      <w:r>
        <w:t xml:space="preserve"> </w:t>
      </w:r>
      <w:r>
        <w:rPr>
          <w:iCs/>
          <w:i/>
        </w:rPr>
        <w:t xml:space="preserve">ni</w:t>
      </w:r>
      <w:r>
        <w:t xml:space="preserve"> </w:t>
      </w:r>
      <w:r>
        <w:t xml:space="preserve">(Uṇ. 4-51), initial udātta;</w:t>
      </w:r>
      <w:r>
        <w:t xml:space="preserve"> </w:t>
      </w:r>
      <w:r>
        <w:rPr>
          <w:iCs/>
          <w:i/>
        </w:rPr>
        <w:t xml:space="preserve">triṣu</w:t>
      </w:r>
      <w:r>
        <w:t xml:space="preserve">, the ending udātta by Pā. 6-1-179;</w:t>
      </w:r>
      <w:r>
        <w:t xml:space="preserve"> </w:t>
      </w:r>
      <w:r>
        <w:rPr>
          <w:iCs/>
          <w:i/>
        </w:rPr>
        <w:t xml:space="preserve">bhūṣa</w:t>
      </w:r>
      <w:r>
        <w:t xml:space="preserve">,</w:t>
      </w:r>
      <w:r>
        <w:t xml:space="preserve"> </w:t>
      </w:r>
      <w:r>
        <w:t xml:space="preserve">‘</w:t>
      </w:r>
      <w:r>
        <w:t xml:space="preserve">to adorn</w:t>
      </w:r>
      <w:r>
        <w:t xml:space="preserve">’</w:t>
      </w:r>
      <w:r>
        <w:t xml:space="preserve">, lowered;</w:t>
      </w:r>
      <w:r>
        <w:t xml:space="preserve"> </w:t>
      </w:r>
      <w:r>
        <w:rPr>
          <w:iCs/>
          <w:i/>
        </w:rPr>
        <w:t xml:space="preserve">piba ṛtunā</w:t>
      </w:r>
      <w:r>
        <w:t xml:space="preserve"> </w:t>
      </w:r>
      <w:r>
        <w:t xml:space="preserve">gone through.)</w:t>
      </w:r>
    </w:p>
    <w:p>
      <w:pPr>
        <w:pStyle w:val="BodyText"/>
      </w:pPr>
      <w:r>
        <w:rPr>
          <w:bCs/>
          <w:b/>
        </w:rPr>
        <w:t xml:space="preserve">॥ Prati-padārthaḥ ॥</w:t>
      </w:r>
    </w:p>
    <w:p>
      <w:pPr>
        <w:pStyle w:val="BodyText"/>
      </w:pPr>
      <w:r>
        <w:rPr>
          <w:bCs/>
          <w:b/>
        </w:rPr>
        <w:t xml:space="preserve">अग्ने (agne)</w:t>
      </w:r>
      <w:r>
        <w:t xml:space="preserve"> </w:t>
      </w:r>
      <w:r>
        <w:t xml:space="preserve">— O Agni |</w:t>
      </w:r>
      <w:r>
        <w:t xml:space="preserve"> </w:t>
      </w:r>
      <w:r>
        <w:rPr>
          <w:bCs/>
          <w:b/>
        </w:rPr>
        <w:t xml:space="preserve">देवान् (devān)</w:t>
      </w:r>
      <w:r>
        <w:t xml:space="preserve"> </w:t>
      </w:r>
      <w:r>
        <w:t xml:space="preserve">— the gods |</w:t>
      </w:r>
      <w:r>
        <w:t xml:space="preserve"> </w:t>
      </w:r>
      <w:r>
        <w:rPr>
          <w:bCs/>
          <w:b/>
        </w:rPr>
        <w:t xml:space="preserve">इह (iha)</w:t>
      </w:r>
      <w:r>
        <w:t xml:space="preserve"> </w:t>
      </w:r>
      <w:r>
        <w:t xml:space="preserve">— for this sacrificial rite |</w:t>
      </w:r>
      <w:r>
        <w:t xml:space="preserve"> </w:t>
      </w:r>
      <w:r>
        <w:rPr>
          <w:bCs/>
          <w:b/>
        </w:rPr>
        <w:t xml:space="preserve">आ वह (ā vaha)</w:t>
      </w:r>
      <w:r>
        <w:t xml:space="preserve"> </w:t>
      </w:r>
      <w:r>
        <w:t xml:space="preserve">— bring |</w:t>
      </w:r>
      <w:r>
        <w:t xml:space="preserve"> </w:t>
      </w:r>
      <w:r>
        <w:rPr>
          <w:bCs/>
          <w:b/>
        </w:rPr>
        <w:t xml:space="preserve">त्रिषु योनिषु (triṣu yoniṣu)</w:t>
      </w:r>
      <w:r>
        <w:t xml:space="preserve"> </w:t>
      </w:r>
      <w:r>
        <w:t xml:space="preserve">— in the three (separate) places (in the pressings) |</w:t>
      </w:r>
      <w:r>
        <w:t xml:space="preserve"> </w:t>
      </w:r>
      <w:r>
        <w:rPr>
          <w:bCs/>
          <w:b/>
        </w:rPr>
        <w:t xml:space="preserve">सादय (sādaya)</w:t>
      </w:r>
      <w:r>
        <w:t xml:space="preserve"> </w:t>
      </w:r>
      <w:r>
        <w:t xml:space="preserve">— seat |</w:t>
      </w:r>
      <w:r>
        <w:t xml:space="preserve"> </w:t>
      </w:r>
      <w:r>
        <w:rPr>
          <w:bCs/>
          <w:b/>
        </w:rPr>
        <w:t xml:space="preserve">परि भूष (pari bhūṣa)</w:t>
      </w:r>
      <w:r>
        <w:t xml:space="preserve"> </w:t>
      </w:r>
      <w:r>
        <w:t xml:space="preserve">— adorn |</w:t>
      </w:r>
      <w:r>
        <w:t xml:space="preserve"> </w:t>
      </w:r>
      <w:r>
        <w:rPr>
          <w:bCs/>
          <w:b/>
        </w:rPr>
        <w:t xml:space="preserve">ऋतुना (ṛtunā)</w:t>
      </w:r>
      <w:r>
        <w:t xml:space="preserve"> </w:t>
      </w:r>
      <w:r>
        <w:t xml:space="preserve">— with the Ṛtu deity |</w:t>
      </w:r>
      <w:r>
        <w:t xml:space="preserve"> </w:t>
      </w:r>
      <w:r>
        <w:rPr>
          <w:bCs/>
          <w:b/>
        </w:rPr>
        <w:t xml:space="preserve">पिब (piba)</w:t>
      </w:r>
      <w:r>
        <w:t xml:space="preserve"> </w:t>
      </w:r>
      <w:r>
        <w:t xml:space="preserve">— drink (the soma juice).</w:t>
      </w:r>
    </w:p>
    <w:p>
      <w:pPr>
        <w:pStyle w:val="BodyText"/>
      </w:pPr>
      <w:r>
        <w:rPr>
          <w:bCs/>
          <w:b/>
        </w:rPr>
        <w:t xml:space="preserve">॥ Bhāvārthaḥ ॥</w:t>
      </w:r>
    </w:p>
    <w:p>
      <w:pPr>
        <w:pStyle w:val="BodyText"/>
      </w:pPr>
      <w:r>
        <w:t xml:space="preserve">O Agni, bring the gods to our sacrifice. Seat them in three separate places, in the three pressings: the morning pressing, the midday pressing and the third pressing. Make fitting adornments. You too drink the soma juice with the Ṛtu deity.</w:t>
      </w:r>
    </w:p>
    <w:p>
      <w:pPr>
        <w:pStyle w:val="BodyText"/>
      </w:pPr>
      <w:r>
        <w:rPr>
          <w:bCs/>
          <w:b/>
        </w:rPr>
        <w:t xml:space="preserve">॥ English Translation ॥</w:t>
      </w:r>
      <w:r>
        <w:t xml:space="preserve"> </w:t>
      </w:r>
      <w:r>
        <w:rPr>
          <w:iCs/>
          <w:i/>
        </w:rPr>
        <w:t xml:space="preserve">(as printed in the source)</w:t>
      </w:r>
    </w:p>
    <w:p>
      <w:pPr>
        <w:pStyle w:val="BlockText"/>
      </w:pPr>
      <w:r>
        <w:t xml:space="preserve">Agni, bring the gods hither, seat them in three places (or in the three savanas), decorate them and drink with Ritu.</w:t>
      </w:r>
    </w:p>
    <w:p>
      <w:pPr>
        <w:pStyle w:val="FirstParagraph"/>
      </w:pPr>
      <w:r>
        <w:rPr>
          <w:bCs/>
          <w:b/>
        </w:rPr>
        <w:t xml:space="preserve">॥ Viśeṣa-viṣayagaḷu (Special Topics) ॥</w:t>
      </w:r>
    </w:p>
    <w:p>
      <w:pPr>
        <w:pStyle w:val="BodyText"/>
      </w:pPr>
      <w:r>
        <w:rPr>
          <w:bCs/>
          <w:b/>
        </w:rPr>
        <w:t xml:space="preserve">Sādaya</w:t>
      </w:r>
      <w:r>
        <w:t xml:space="preserve">: the final syllable of this word is long in the Saṃhitā to suit the metre.</w:t>
      </w:r>
    </w:p>
    <w:p>
      <w:pPr>
        <w:pStyle w:val="BodyText"/>
      </w:pPr>
      <w:r>
        <w:rPr>
          <w:bCs/>
          <w:b/>
        </w:rPr>
        <w:t xml:space="preserve">Yoniṣu triṣu</w:t>
      </w:r>
      <w:r>
        <w:t xml:space="preserve">:</w:t>
      </w:r>
    </w:p>
    <w:p>
      <w:pPr>
        <w:pStyle w:val="BlockText"/>
      </w:pPr>
      <w:r>
        <w:t xml:space="preserve">त्रिषु स्थानेषु</w:t>
      </w:r>
    </w:p>
    <w:p>
      <w:pPr>
        <w:pStyle w:val="BlockText"/>
      </w:pPr>
      <w:r>
        <w:rPr>
          <w:iCs/>
          <w:i/>
        </w:rPr>
        <w:t xml:space="preserve">triṣu sthāneṣu</w:t>
      </w:r>
    </w:p>
    <w:p>
      <w:pPr>
        <w:pStyle w:val="FirstParagraph"/>
      </w:pPr>
      <w:r>
        <w:t xml:space="preserve">that is, the morning pressing, the midday pressing and the third pressing. A pressing (</w:t>
      </w:r>
      <w:r>
        <w:rPr>
          <w:iCs/>
          <w:i/>
        </w:rPr>
        <w:t xml:space="preserve">savana</w:t>
      </w:r>
      <w:r>
        <w:t xml:space="preserve">) is the act of pressing out the soma juice. Since this act is done in the sacrifice at three times, morning, midday and evening, with the recitation of mantras, these acts are called in order the morning pressing, the midday pressing and the third pressing.</w:t>
      </w:r>
    </w:p>
    <w:p>
      <w:pPr>
        <w:pStyle w:val="BodyText"/>
      </w:pPr>
      <w:r>
        <w:rPr>
          <w:bCs/>
          <w:b/>
        </w:rPr>
        <w:t xml:space="preserve">Pari bhūṣa</w:t>
      </w:r>
      <w:r>
        <w:t xml:space="preserve">:</w:t>
      </w:r>
      <w:r>
        <w:t xml:space="preserve"> </w:t>
      </w:r>
      <w:r>
        <w:rPr>
          <w:iCs/>
          <w:i/>
        </w:rPr>
        <w:t xml:space="preserve">alaṃkuru</w:t>
      </w:r>
      <w:r>
        <w:t xml:space="preserve">: the Bhāṣyakāra gives the sense</w:t>
      </w:r>
      <w:r>
        <w:t xml:space="preserve"> </w:t>
      </w:r>
      <w:r>
        <w:t xml:space="preserve">“</w:t>
      </w:r>
      <w:r>
        <w:t xml:space="preserve">adorn</w:t>
      </w:r>
      <w:r>
        <w:t xml:space="preserve">”</w:t>
      </w:r>
      <w:r>
        <w:t xml:space="preserve">. Though</w:t>
      </w:r>
      <w:r>
        <w:t xml:space="preserve"> </w:t>
      </w:r>
      <w:r>
        <w:rPr>
          <w:iCs/>
          <w:i/>
        </w:rPr>
        <w:t xml:space="preserve">bhūṣa</w:t>
      </w:r>
      <w:r>
        <w:t xml:space="preserve"> </w:t>
      </w:r>
      <w:r>
        <w:t xml:space="preserve">means</w:t>
      </w:r>
      <w:r>
        <w:t xml:space="preserve"> </w:t>
      </w:r>
      <w:r>
        <w:t xml:space="preserve">“</w:t>
      </w:r>
      <w:r>
        <w:t xml:space="preserve">adorn</w:t>
      </w:r>
      <w:r>
        <w:t xml:space="preserve">”</w:t>
      </w:r>
      <w:r>
        <w:t xml:space="preserve">, there is room to doubt what need there could be here to adorn the gods.</w:t>
      </w:r>
    </w:p>
    <w:bookmarkEnd w:id="691"/>
    <w:bookmarkStart w:id="692" w:name="page-641-rik-4-grammar"/>
    <w:p>
      <w:pPr>
        <w:pStyle w:val="Heading3"/>
      </w:pPr>
      <w:r>
        <w:t xml:space="preserve">Page 641 — Rik 4: grammar</w:t>
      </w:r>
    </w:p>
    <w:p>
      <w:pPr>
        <w:pStyle w:val="FirstParagraph"/>
      </w:pPr>
      <w:r>
        <w:rPr>
          <w:bCs/>
          <w:b/>
        </w:rPr>
        <w:t xml:space="preserve">॥ Vyākaraṇa-prakriyā ॥</w:t>
      </w:r>
      <w:r>
        <w:t xml:space="preserve"> </w:t>
      </w:r>
      <w:r>
        <w:rPr>
          <w:iCs/>
          <w:i/>
        </w:rPr>
        <w:t xml:space="preserve">(grammar page 641, noted briefly)</w:t>
      </w:r>
    </w:p>
    <w:p>
      <w:pPr>
        <w:pStyle w:val="BodyText"/>
      </w:pPr>
      <w:r>
        <w:rPr>
          <w:bCs/>
          <w:b/>
        </w:rPr>
        <w:t xml:space="preserve">अग्ने देवाँ इहा वह</w:t>
      </w:r>
      <w:r>
        <w:t xml:space="preserve">: the derivation of this pāda is set out in the 3rd and 10th Ṛks of Sūkta 12.</w:t>
      </w:r>
    </w:p>
    <w:p>
      <w:pPr>
        <w:pStyle w:val="BodyText"/>
      </w:pPr>
      <w:r>
        <w:rPr>
          <w:bCs/>
          <w:b/>
        </w:rPr>
        <w:t xml:space="preserve">सादया (</w:t>
      </w:r>
      <w:r>
        <w:rPr>
          <w:iCs/>
          <w:i/>
          <w:bCs/>
          <w:b/>
        </w:rPr>
        <w:t xml:space="preserve">sādayā</w:t>
      </w:r>
      <w:r>
        <w:rPr>
          <w:bCs/>
          <w:b/>
        </w:rPr>
        <w:t xml:space="preserve">)</w:t>
      </w:r>
      <w:r>
        <w:t xml:space="preserve">:</w:t>
      </w:r>
      <w:r>
        <w:t xml:space="preserve"> </w:t>
      </w:r>
      <w:r>
        <w:rPr>
          <w:iCs/>
          <w:i/>
        </w:rPr>
        <w:t xml:space="preserve">ṣadḷ viśaraṇagatyavasādaneṣu</w:t>
      </w:r>
      <w:r>
        <w:t xml:space="preserve">;</w:t>
      </w:r>
      <w:r>
        <w:t xml:space="preserve"> </w:t>
      </w:r>
      <w:r>
        <w:rPr>
          <w:iCs/>
          <w:i/>
        </w:rPr>
        <w:t xml:space="preserve">ṇic</w:t>
      </w:r>
      <w:r>
        <w:t xml:space="preserve">;</w:t>
      </w:r>
      <w:r>
        <w:t xml:space="preserve"> </w:t>
      </w:r>
      <w:r>
        <w:rPr>
          <w:iCs/>
          <w:i/>
        </w:rPr>
        <w:t xml:space="preserve">s</w:t>
      </w:r>
      <w:r>
        <w:t xml:space="preserve"> </w:t>
      </w:r>
      <w:r>
        <w:t xml:space="preserve">for</w:t>
      </w:r>
      <w:r>
        <w:t xml:space="preserve"> </w:t>
      </w:r>
      <w:r>
        <w:rPr>
          <w:iCs/>
          <w:i/>
        </w:rPr>
        <w:t xml:space="preserve">ṣ</w:t>
      </w:r>
      <w:r>
        <w:t xml:space="preserve"> </w:t>
      </w:r>
      <w:r>
        <w:t xml:space="preserve">by</w:t>
      </w:r>
      <w:r>
        <w:t xml:space="preserve"> </w:t>
      </w:r>
      <w:r>
        <w:t xml:space="preserve">“</w:t>
      </w:r>
      <w:r>
        <w:t xml:space="preserve">dhātvādeḥ ṣaḥ saḥ</w:t>
      </w:r>
      <w:r>
        <w:t xml:space="preserve">”</w:t>
      </w:r>
      <w:r>
        <w:t xml:space="preserve">; the penultimate</w:t>
      </w:r>
      <w:r>
        <w:t xml:space="preserve"> </w:t>
      </w:r>
      <w:r>
        <w:rPr>
          <w:iCs/>
          <w:i/>
        </w:rPr>
        <w:t xml:space="preserve">vṛddhi</w:t>
      </w:r>
      <w:r>
        <w:t xml:space="preserve"> </w:t>
      </w:r>
      <w:r>
        <w:t xml:space="preserve">by</w:t>
      </w:r>
      <w:r>
        <w:t xml:space="preserve"> </w:t>
      </w:r>
      <w:r>
        <w:t xml:space="preserve">“</w:t>
      </w:r>
      <w:r>
        <w:t xml:space="preserve">ata upadhāyāḥ</w:t>
      </w:r>
      <w:r>
        <w:t xml:space="preserve">”</w:t>
      </w:r>
      <w:r>
        <w:t xml:space="preserve"> </w:t>
      </w:r>
      <w:r>
        <w:t xml:space="preserve">(Pā. sū. 7-2-116):</w:t>
      </w:r>
      <w:r>
        <w:t xml:space="preserve"> </w:t>
      </w:r>
      <w:r>
        <w:rPr>
          <w:iCs/>
          <w:i/>
        </w:rPr>
        <w:t xml:space="preserve">sādi</w:t>
      </w:r>
      <w:r>
        <w:t xml:space="preserve">. Then</w:t>
      </w:r>
      <w:r>
        <w:t xml:space="preserve"> </w:t>
      </w:r>
      <w:r>
        <w:rPr>
          <w:iCs/>
          <w:i/>
        </w:rPr>
        <w:t xml:space="preserve">loṭ</w:t>
      </w:r>
      <w:r>
        <w:t xml:space="preserve">, 2nd singular</w:t>
      </w:r>
      <w:r>
        <w:t xml:space="preserve"> </w:t>
      </w:r>
      <w:r>
        <w:rPr>
          <w:iCs/>
          <w:i/>
        </w:rPr>
        <w:t xml:space="preserve">sip</w:t>
      </w:r>
      <w:r>
        <w:t xml:space="preserve">;</w:t>
      </w:r>
      <w:r>
        <w:t xml:space="preserve"> </w:t>
      </w:r>
      <w:r>
        <w:rPr>
          <w:iCs/>
          <w:i/>
        </w:rPr>
        <w:t xml:space="preserve">hi</w:t>
      </w:r>
      <w:r>
        <w:t xml:space="preserve"> </w:t>
      </w:r>
      <w:r>
        <w:t xml:space="preserve">by</w:t>
      </w:r>
      <w:r>
        <w:t xml:space="preserve"> </w:t>
      </w:r>
      <w:r>
        <w:t xml:space="preserve">“</w:t>
      </w:r>
      <w:r>
        <w:t xml:space="preserve">ser hy apic ca</w:t>
      </w:r>
      <w:r>
        <w:t xml:space="preserve">”</w:t>
      </w:r>
      <w:r>
        <w:t xml:space="preserve"> </w:t>
      </w:r>
      <w:r>
        <w:t xml:space="preserve">(Pā. sū. 3-4-87); the</w:t>
      </w:r>
      <w:r>
        <w:t xml:space="preserve"> </w:t>
      </w:r>
      <w:r>
        <w:rPr>
          <w:iCs/>
          <w:i/>
        </w:rPr>
        <w:t xml:space="preserve">vikaraṇa</w:t>
      </w:r>
      <w:r>
        <w:t xml:space="preserve"> </w:t>
      </w:r>
      <w:r>
        <w:rPr>
          <w:iCs/>
          <w:i/>
        </w:rPr>
        <w:t xml:space="preserve">śap</w:t>
      </w:r>
      <w:r>
        <w:t xml:space="preserve">,</w:t>
      </w:r>
      <w:r>
        <w:t xml:space="preserve"> </w:t>
      </w:r>
      <w:r>
        <w:rPr>
          <w:iCs/>
          <w:i/>
        </w:rPr>
        <w:t xml:space="preserve">guṇa</w:t>
      </w:r>
      <w:r>
        <w:t xml:space="preserve">,</w:t>
      </w:r>
      <w:r>
        <w:t xml:space="preserve"> </w:t>
      </w:r>
      <w:r>
        <w:rPr>
          <w:iCs/>
          <w:i/>
        </w:rPr>
        <w:t xml:space="preserve">ay</w:t>
      </w:r>
      <w:r>
        <w:t xml:space="preserve">:</w:t>
      </w:r>
      <w:r>
        <w:t xml:space="preserve"> </w:t>
      </w:r>
      <w:r>
        <w:rPr>
          <w:iCs/>
          <w:i/>
        </w:rPr>
        <w:t xml:space="preserve">sādaya</w:t>
      </w:r>
      <w:r>
        <w:t xml:space="preserve"> </w:t>
      </w:r>
      <w:r>
        <w:t xml:space="preserve">+</w:t>
      </w:r>
      <w:r>
        <w:t xml:space="preserve"> </w:t>
      </w:r>
      <w:r>
        <w:rPr>
          <w:iCs/>
          <w:i/>
        </w:rPr>
        <w:t xml:space="preserve">hi</w:t>
      </w:r>
      <w:r>
        <w:t xml:space="preserve">;</w:t>
      </w:r>
      <w:r>
        <w:t xml:space="preserve"> </w:t>
      </w:r>
      <w:r>
        <w:rPr>
          <w:iCs/>
          <w:i/>
        </w:rPr>
        <w:t xml:space="preserve">hi</w:t>
      </w:r>
      <w:r>
        <w:t xml:space="preserve"> </w:t>
      </w:r>
      <w:r>
        <w:t xml:space="preserve">dropped by</w:t>
      </w:r>
      <w:r>
        <w:t xml:space="preserve"> </w:t>
      </w:r>
      <w:r>
        <w:t xml:space="preserve">“</w:t>
      </w:r>
      <w:r>
        <w:t xml:space="preserve">ato heḥ</w:t>
      </w:r>
      <w:r>
        <w:t xml:space="preserve">”</w:t>
      </w:r>
      <w:r>
        <w:t xml:space="preserve"> </w:t>
      </w:r>
      <w:r>
        <w:t xml:space="preserve">(Pā. sū. 6-4-105). The</w:t>
      </w:r>
      <w:r>
        <w:t xml:space="preserve"> </w:t>
      </w:r>
      <w:r>
        <w:rPr>
          <w:iCs/>
          <w:i/>
        </w:rPr>
        <w:t xml:space="preserve">a</w:t>
      </w:r>
      <w:r>
        <w:t xml:space="preserve"> </w:t>
      </w:r>
      <w:r>
        <w:t xml:space="preserve">that has come in place of the</w:t>
      </w:r>
      <w:r>
        <w:t xml:space="preserve"> </w:t>
      </w:r>
      <w:r>
        <w:rPr>
          <w:iCs/>
          <w:i/>
        </w:rPr>
        <w:t xml:space="preserve">ṇic</w:t>
      </w:r>
      <w:r>
        <w:t xml:space="preserve"> </w:t>
      </w:r>
      <w:r>
        <w:t xml:space="preserve">is udātta by the suffix accent;</w:t>
      </w:r>
      <w:r>
        <w:t xml:space="preserve"> </w:t>
      </w:r>
      <w:r>
        <w:rPr>
          <w:iCs/>
          <w:i/>
        </w:rPr>
        <w:t xml:space="preserve">śap</w:t>
      </w:r>
      <w:r>
        <w:t xml:space="preserve"> </w:t>
      </w:r>
      <w:r>
        <w:t xml:space="preserve">is</w:t>
      </w:r>
      <w:r>
        <w:t xml:space="preserve"> </w:t>
      </w:r>
      <w:r>
        <w:rPr>
          <w:iCs/>
          <w:i/>
        </w:rPr>
        <w:t xml:space="preserve">pit</w:t>
      </w:r>
      <w:r>
        <w:t xml:space="preserve">, so unaccented. As in</w:t>
      </w:r>
      <w:r>
        <w:t xml:space="preserve"> </w:t>
      </w:r>
      <w:r>
        <w:rPr>
          <w:iCs/>
          <w:i/>
        </w:rPr>
        <w:t xml:space="preserve">sajasvānaḥ</w:t>
      </w:r>
      <w:r>
        <w:t xml:space="preserve">, it is lengthened here too.</w:t>
      </w:r>
    </w:p>
    <w:p>
      <w:pPr>
        <w:pStyle w:val="BodyText"/>
      </w:pPr>
      <w:r>
        <w:rPr>
          <w:bCs/>
          <w:b/>
        </w:rPr>
        <w:t xml:space="preserve">योनिषु (</w:t>
      </w:r>
      <w:r>
        <w:rPr>
          <w:iCs/>
          <w:i/>
          <w:bCs/>
          <w:b/>
        </w:rPr>
        <w:t xml:space="preserve">yoniṣu</w:t>
      </w:r>
      <w:r>
        <w:rPr>
          <w:bCs/>
          <w:b/>
        </w:rPr>
        <w:t xml:space="preserve">)</w:t>
      </w:r>
      <w:r>
        <w:t xml:space="preserve">:</w:t>
      </w:r>
      <w:r>
        <w:t xml:space="preserve"> </w:t>
      </w:r>
      <w:r>
        <w:rPr>
          <w:iCs/>
          <w:i/>
        </w:rPr>
        <w:t xml:space="preserve">yu miśraṇe</w:t>
      </w:r>
      <w:r>
        <w:t xml:space="preserve">;</w:t>
      </w:r>
      <w:r>
        <w:t xml:space="preserve"> </w:t>
      </w:r>
      <w:r>
        <w:t xml:space="preserve">“</w:t>
      </w:r>
      <w:r>
        <w:t xml:space="preserve">vahiśriśruyudruglātvaribhyo nit</w:t>
      </w:r>
      <w:r>
        <w:t xml:space="preserve">”</w:t>
      </w:r>
      <w:r>
        <w:t xml:space="preserve"> </w:t>
      </w:r>
      <w:r>
        <w:t xml:space="preserve">(Uṇ. sū.</w:t>
      </w:r>
      <w:r>
        <w:t xml:space="preserve"> </w:t>
      </w:r>
      <w:r>
        <w:t xml:space="preserve">“</w:t>
      </w:r>
      <w:r>
        <w:t xml:space="preserve">4-491</w:t>
      </w:r>
      <w:r>
        <w:t xml:space="preserve">”</w:t>
      </w:r>
      <w:r>
        <w:t xml:space="preserve"> </w:t>
      </w:r>
      <w:r>
        <w:t xml:space="preserve">[?]): after these roots the suffix</w:t>
      </w:r>
      <w:r>
        <w:t xml:space="preserve"> </w:t>
      </w:r>
      <w:r>
        <w:rPr>
          <w:iCs/>
          <w:i/>
        </w:rPr>
        <w:t xml:space="preserve">ni</w:t>
      </w:r>
      <w:r>
        <w:t xml:space="preserve">, and it is</w:t>
      </w:r>
      <w:r>
        <w:t xml:space="preserve"> </w:t>
      </w:r>
      <w:r>
        <w:rPr>
          <w:iCs/>
          <w:i/>
        </w:rPr>
        <w:t xml:space="preserve">nit</w:t>
      </w:r>
      <w:r>
        <w:t xml:space="preserve">; so</w:t>
      </w:r>
      <w:r>
        <w:t xml:space="preserve"> </w:t>
      </w:r>
      <w:r>
        <w:rPr>
          <w:iCs/>
          <w:i/>
        </w:rPr>
        <w:t xml:space="preserve">ni</w:t>
      </w:r>
      <w:r>
        <w:t xml:space="preserve"> </w:t>
      </w:r>
      <w:r>
        <w:t xml:space="preserve">after</w:t>
      </w:r>
      <w:r>
        <w:t xml:space="preserve"> </w:t>
      </w:r>
      <w:r>
        <w:rPr>
          <w:iCs/>
          <w:i/>
        </w:rPr>
        <w:t xml:space="preserve">yu</w:t>
      </w:r>
      <w:r>
        <w:t xml:space="preserve">:</w:t>
      </w:r>
      <w:r>
        <w:t xml:space="preserve"> </w:t>
      </w:r>
      <w:r>
        <w:rPr>
          <w:iCs/>
          <w:i/>
        </w:rPr>
        <w:t xml:space="preserve">yu</w:t>
      </w:r>
      <w:r>
        <w:t xml:space="preserve"> </w:t>
      </w:r>
      <w:r>
        <w:t xml:space="preserve">+</w:t>
      </w:r>
      <w:r>
        <w:t xml:space="preserve"> </w:t>
      </w:r>
      <w:r>
        <w:rPr>
          <w:iCs/>
          <w:i/>
        </w:rPr>
        <w:t xml:space="preserve">ni</w:t>
      </w:r>
      <w:r>
        <w:t xml:space="preserve">;</w:t>
      </w:r>
      <w:r>
        <w:t xml:space="preserve"> </w:t>
      </w:r>
      <w:r>
        <w:rPr>
          <w:iCs/>
          <w:i/>
        </w:rPr>
        <w:t xml:space="preserve">guṇa</w:t>
      </w:r>
      <w:r>
        <w:t xml:space="preserve"> </w:t>
      </w:r>
      <w:r>
        <w:t xml:space="preserve">by</w:t>
      </w:r>
      <w:r>
        <w:t xml:space="preserve"> </w:t>
      </w:r>
      <w:r>
        <w:t xml:space="preserve">“</w:t>
      </w:r>
      <w:r>
        <w:t xml:space="preserve">sārvadhātukārdhadhātukayoḥ</w:t>
      </w:r>
      <w:r>
        <w:t xml:space="preserve">”</w:t>
      </w:r>
      <w:r>
        <w:t xml:space="preserve"> </w:t>
      </w:r>
      <w:r>
        <w:t xml:space="preserve">(Pā. sū. 7-3-84),</w:t>
      </w:r>
      <w:r>
        <w:t xml:space="preserve"> </w:t>
      </w:r>
      <w:r>
        <w:rPr>
          <w:iCs/>
          <w:i/>
        </w:rPr>
        <w:t xml:space="preserve">o</w:t>
      </w:r>
      <w:r>
        <w:t xml:space="preserve"> </w:t>
      </w:r>
      <w:r>
        <w:t xml:space="preserve">for the</w:t>
      </w:r>
      <w:r>
        <w:t xml:space="preserve"> </w:t>
      </w:r>
      <w:r>
        <w:rPr>
          <w:iCs/>
          <w:i/>
        </w:rPr>
        <w:t xml:space="preserve">u</w:t>
      </w:r>
      <w:r>
        <w:t xml:space="preserve">; locative plural</w:t>
      </w:r>
      <w:r>
        <w:t xml:space="preserve"> </w:t>
      </w:r>
      <w:r>
        <w:rPr>
          <w:iCs/>
          <w:i/>
        </w:rPr>
        <w:t xml:space="preserve">yoniṣu</w:t>
      </w:r>
      <w:r>
        <w:t xml:space="preserve">. The suffix</w:t>
      </w:r>
      <w:r>
        <w:t xml:space="preserve"> </w:t>
      </w:r>
      <w:r>
        <w:rPr>
          <w:iCs/>
          <w:i/>
        </w:rPr>
        <w:t xml:space="preserve">ni</w:t>
      </w:r>
      <w:r>
        <w:t xml:space="preserve"> </w:t>
      </w:r>
      <w:r>
        <w:t xml:space="preserve">is</w:t>
      </w:r>
      <w:r>
        <w:t xml:space="preserve"> </w:t>
      </w:r>
      <w:r>
        <w:rPr>
          <w:iCs/>
          <w:i/>
        </w:rPr>
        <w:t xml:space="preserve">nit</w:t>
      </w:r>
      <w:r>
        <w:t xml:space="preserve">, so the</w:t>
      </w:r>
      <w:r>
        <w:t xml:space="preserve"> </w:t>
      </w:r>
      <w:r>
        <w:rPr>
          <w:iCs/>
          <w:i/>
        </w:rPr>
        <w:t xml:space="preserve">nit</w:t>
      </w:r>
      <w:r>
        <w:t xml:space="preserve"> </w:t>
      </w:r>
      <w:r>
        <w:t xml:space="preserve">accent makes it initial udātta.</w:t>
      </w:r>
    </w:p>
    <w:p>
      <w:pPr>
        <w:pStyle w:val="BodyText"/>
      </w:pPr>
      <w:r>
        <w:rPr>
          <w:bCs/>
          <w:b/>
        </w:rPr>
        <w:t xml:space="preserve">त्रिषु (</w:t>
      </w:r>
      <w:r>
        <w:rPr>
          <w:iCs/>
          <w:i/>
          <w:bCs/>
          <w:b/>
        </w:rPr>
        <w:t xml:space="preserve">triṣu</w:t>
      </w:r>
      <w:r>
        <w:rPr>
          <w:bCs/>
          <w:b/>
        </w:rPr>
        <w:t xml:space="preserve">)</w:t>
      </w:r>
      <w:r>
        <w:t xml:space="preserve">:</w:t>
      </w:r>
      <w:r>
        <w:t xml:space="preserve"> </w:t>
      </w:r>
      <w:r>
        <w:t xml:space="preserve">“</w:t>
      </w:r>
      <w:r>
        <w:t xml:space="preserve">ṣaṭtricaturbhyo halādiḥ</w:t>
      </w:r>
      <w:r>
        <w:t xml:space="preserve">”</w:t>
      </w:r>
      <w:r>
        <w:t xml:space="preserve"> </w:t>
      </w:r>
      <w:r>
        <w:t xml:space="preserve">(Pā. sū.</w:t>
      </w:r>
      <w:r>
        <w:t xml:space="preserve"> </w:t>
      </w:r>
      <w:r>
        <w:t xml:space="preserve">“</w:t>
      </w:r>
      <w:r>
        <w:t xml:space="preserve">9-1-179</w:t>
      </w:r>
      <w:r>
        <w:t xml:space="preserve">”</w:t>
      </w:r>
      <w:r>
        <w:t xml:space="preserve"> </w:t>
      </w:r>
      <w:r>
        <w:t xml:space="preserve">[as printed, for 6-1-179]); with</w:t>
      </w:r>
      <w:r>
        <w:t xml:space="preserve"> </w:t>
      </w:r>
      <w:r>
        <w:t xml:space="preserve">“</w:t>
      </w:r>
      <w:r>
        <w:t xml:space="preserve">ṣṇāntā ṣaṭ</w:t>
      </w:r>
      <w:r>
        <w:t xml:space="preserve">”</w:t>
      </w:r>
      <w:r>
        <w:t xml:space="preserve"> </w:t>
      </w:r>
      <w:r>
        <w:t xml:space="preserve">(Pā. sū. 1-1-24) the numerals ending in</w:t>
      </w:r>
      <w:r>
        <w:t xml:space="preserve"> </w:t>
      </w:r>
      <w:r>
        <w:rPr>
          <w:iCs/>
          <w:i/>
        </w:rPr>
        <w:t xml:space="preserve">ṣ</w:t>
      </w:r>
      <w:r>
        <w:t xml:space="preserve"> </w:t>
      </w:r>
      <w:r>
        <w:t xml:space="preserve">and</w:t>
      </w:r>
      <w:r>
        <w:t xml:space="preserve"> </w:t>
      </w:r>
      <w:r>
        <w:rPr>
          <w:iCs/>
          <w:i/>
        </w:rPr>
        <w:t xml:space="preserve">n</w:t>
      </w:r>
      <w:r>
        <w:t xml:space="preserve"> </w:t>
      </w:r>
      <w:r>
        <w:t xml:space="preserve">are called</w:t>
      </w:r>
      <w:r>
        <w:t xml:space="preserve"> </w:t>
      </w:r>
      <w:r>
        <w:rPr>
          <w:iCs/>
          <w:i/>
        </w:rPr>
        <w:t xml:space="preserve">ṣaṭ</w:t>
      </w:r>
      <w:r>
        <w:t xml:space="preserve">; after such a</w:t>
      </w:r>
      <w:r>
        <w:t xml:space="preserve"> </w:t>
      </w:r>
      <w:r>
        <w:rPr>
          <w:iCs/>
          <w:i/>
        </w:rPr>
        <w:t xml:space="preserve">ṣaṭ</w:t>
      </w:r>
      <w:r>
        <w:t xml:space="preserve"> </w:t>
      </w:r>
      <w:r>
        <w:t xml:space="preserve">word, after</w:t>
      </w:r>
      <w:r>
        <w:t xml:space="preserve"> </w:t>
      </w:r>
      <w:r>
        <w:rPr>
          <w:iCs/>
          <w:i/>
        </w:rPr>
        <w:t xml:space="preserve">tri</w:t>
      </w:r>
      <w:r>
        <w:t xml:space="preserve"> </w:t>
      </w:r>
      <w:r>
        <w:t xml:space="preserve">and after</w:t>
      </w:r>
      <w:r>
        <w:t xml:space="preserve"> </w:t>
      </w:r>
      <w:r>
        <w:rPr>
          <w:iCs/>
          <w:i/>
        </w:rPr>
        <w:t xml:space="preserve">catur</w:t>
      </w:r>
      <w:r>
        <w:t xml:space="preserve">, a consonant-initial ending is udātta; so the ending is udātta.</w:t>
      </w:r>
    </w:p>
    <w:p>
      <w:pPr>
        <w:pStyle w:val="BodyText"/>
      </w:pPr>
      <w:r>
        <w:rPr>
          <w:bCs/>
          <w:b/>
        </w:rPr>
        <w:t xml:space="preserve">भूष (</w:t>
      </w:r>
      <w:r>
        <w:rPr>
          <w:iCs/>
          <w:i/>
          <w:bCs/>
          <w:b/>
        </w:rPr>
        <w:t xml:space="preserve">bhūṣa</w:t>
      </w:r>
      <w:r>
        <w:rPr>
          <w:bCs/>
          <w:b/>
        </w:rPr>
        <w:t xml:space="preserve">)</w:t>
      </w:r>
      <w:r>
        <w:t xml:space="preserve">:</w:t>
      </w:r>
      <w:r>
        <w:t xml:space="preserve"> </w:t>
      </w:r>
      <w:r>
        <w:rPr>
          <w:iCs/>
          <w:i/>
        </w:rPr>
        <w:t xml:space="preserve">bhūṣa alaṃkāre</w:t>
      </w:r>
      <w:r>
        <w:t xml:space="preserve"> </w:t>
      </w:r>
      <w:r>
        <w:t xml:space="preserve">(</w:t>
      </w:r>
      <w:r>
        <w:rPr>
          <w:iCs/>
          <w:i/>
        </w:rPr>
        <w:t xml:space="preserve">bhvādi</w:t>
      </w:r>
      <w:r>
        <w:t xml:space="preserve">);</w:t>
      </w:r>
      <w:r>
        <w:t xml:space="preserve"> </w:t>
      </w:r>
      <w:r>
        <w:rPr>
          <w:iCs/>
          <w:i/>
        </w:rPr>
        <w:t xml:space="preserve">loṭ</w:t>
      </w:r>
      <w:r>
        <w:t xml:space="preserve">, 2nd singular</w:t>
      </w:r>
      <w:r>
        <w:t xml:space="preserve"> </w:t>
      </w:r>
      <w:r>
        <w:rPr>
          <w:iCs/>
          <w:i/>
        </w:rPr>
        <w:t xml:space="preserve">sip</w:t>
      </w:r>
      <w:r>
        <w:t xml:space="preserve">,</w:t>
      </w:r>
      <w:r>
        <w:t xml:space="preserve"> </w:t>
      </w:r>
      <w:r>
        <w:rPr>
          <w:iCs/>
          <w:i/>
        </w:rPr>
        <w:t xml:space="preserve">hi</w:t>
      </w:r>
      <w:r>
        <w:t xml:space="preserve">, the</w:t>
      </w:r>
      <w:r>
        <w:t xml:space="preserve"> </w:t>
      </w:r>
      <w:r>
        <w:rPr>
          <w:iCs/>
          <w:i/>
        </w:rPr>
        <w:t xml:space="preserve">vikaraṇa</w:t>
      </w:r>
      <w:r>
        <w:t xml:space="preserve"> </w:t>
      </w:r>
      <w:r>
        <w:rPr>
          <w:iCs/>
          <w:i/>
        </w:rPr>
        <w:t xml:space="preserve">śap</w:t>
      </w:r>
      <w:r>
        <w:t xml:space="preserve">;</w:t>
      </w:r>
      <w:r>
        <w:t xml:space="preserve"> </w:t>
      </w:r>
      <w:r>
        <w:rPr>
          <w:iCs/>
          <w:i/>
        </w:rPr>
        <w:t xml:space="preserve">hi</w:t>
      </w:r>
      <w:r>
        <w:t xml:space="preserve"> </w:t>
      </w:r>
      <w:r>
        <w:t xml:space="preserve">dropped by</w:t>
      </w:r>
      <w:r>
        <w:t xml:space="preserve"> </w:t>
      </w:r>
      <w:r>
        <w:t xml:space="preserve">“</w:t>
      </w:r>
      <w:r>
        <w:t xml:space="preserve">ato heḥ</w:t>
      </w:r>
      <w:r>
        <w:t xml:space="preserve">”</w:t>
      </w:r>
      <w:r>
        <w:t xml:space="preserve">:</w:t>
      </w:r>
      <w:r>
        <w:t xml:space="preserve"> </w:t>
      </w:r>
      <w:r>
        <w:rPr>
          <w:iCs/>
          <w:i/>
        </w:rPr>
        <w:t xml:space="preserve">bhūṣa</w:t>
      </w:r>
      <w:r>
        <w:t xml:space="preserve">; wholly unaccented by</w:t>
      </w:r>
      <w:r>
        <w:t xml:space="preserve"> </w:t>
      </w:r>
      <w:r>
        <w:t xml:space="preserve">“</w:t>
      </w:r>
      <w:r>
        <w:t xml:space="preserve">tiṅṅatiṅaḥ</w:t>
      </w:r>
      <w:r>
        <w:t xml:space="preserve">”</w:t>
      </w:r>
      <w:r>
        <w:t xml:space="preserve">.</w:t>
      </w:r>
    </w:p>
    <w:p>
      <w:pPr>
        <w:pStyle w:val="BodyText"/>
      </w:pPr>
      <w:r>
        <w:rPr>
          <w:bCs/>
          <w:b/>
        </w:rPr>
        <w:t xml:space="preserve">पिब ऋतुना</w:t>
      </w:r>
      <w:r>
        <w:t xml:space="preserve">: these two words are explained at</w:t>
      </w:r>
      <w:r>
        <w:t xml:space="preserve"> </w:t>
      </w:r>
      <w:r>
        <w:rPr>
          <w:iCs/>
          <w:i/>
        </w:rPr>
        <w:t xml:space="preserve">indra somaṃ piba ṛtunā</w:t>
      </w:r>
      <w:r>
        <w:t xml:space="preserve"> </w:t>
      </w:r>
      <w:r>
        <w:t xml:space="preserve">(Ṛ. Saṃ. Sū. 15, Ṛk 1).</w:t>
      </w:r>
    </w:p>
    <w:p>
      <w:pPr>
        <w:pStyle w:val="BodyText"/>
      </w:pPr>
      <w:r>
        <w:rPr>
          <w:bCs/>
          <w:b/>
        </w:rPr>
        <w:t xml:space="preserve">॥४॥</w:t>
      </w:r>
    </w:p>
    <w:p>
      <w:r>
        <w:pict>
          <v:rect style="width:0;height:1.5pt" o:hralign="center" o:hrstd="t" o:hr="t"/>
        </w:pict>
      </w:r>
    </w:p>
    <w:bookmarkEnd w:id="692"/>
    <w:bookmarkStart w:id="693" w:name="page-641-lower-sūkta-15-rik-5"/>
    <w:p>
      <w:pPr>
        <w:pStyle w:val="Heading3"/>
      </w:pPr>
      <w:r>
        <w:t xml:space="preserve">Page 641 (lower) — Sūkta 15, Rik 5</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ब्राह्म॑णादिन्द्र॒ राध॑सः॒ पिबा॒ सोम॑मृ॒तूँरनु॑ ।</w:t>
      </w:r>
      <w:r>
        <w:t xml:space="preserve"> </w:t>
      </w:r>
      <w:r>
        <w:t xml:space="preserve">तवे॑द्धि स॒ख्यम॑स्तृतम् ॥५॥ [accent ?]</w:t>
      </w:r>
    </w:p>
    <w:p>
      <w:pPr>
        <w:pStyle w:val="BlockText"/>
      </w:pPr>
      <w:r>
        <w:rPr>
          <w:iCs/>
          <w:i/>
        </w:rPr>
        <w:t xml:space="preserve">brā́hmaṇād indra rā́dhasaḥ píbā sómam ṛtū́m̐r ánu |</w:t>
      </w:r>
      <w:r>
        <w:t xml:space="preserve"> </w:t>
      </w:r>
      <w:r>
        <w:rPr>
          <w:iCs/>
          <w:i/>
        </w:rPr>
        <w:t xml:space="preserve">táved dhi sakhyám astṛtam ||5||</w:t>
      </w:r>
      <w:r>
        <w:t xml:space="preserve"> </w:t>
      </w:r>
      <w:r>
        <w:t xml:space="preserve">[accent ?]</w:t>
      </w:r>
    </w:p>
    <w:p>
      <w:pPr>
        <w:pStyle w:val="FirstParagraph"/>
      </w:pPr>
      <w:r>
        <w:rPr>
          <w:iCs/>
          <w:i/>
        </w:rPr>
        <w:t xml:space="preserve">(Line 2: the stroke over वे and over म of सख्यम, the bar under स; the foot of the line is cut in the scan.)</w:t>
      </w:r>
    </w:p>
    <w:bookmarkEnd w:id="693"/>
    <w:bookmarkStart w:id="694" w:name="Xd5d1eee89b537996a5e10c46424ead480e90060"/>
    <w:p>
      <w:pPr>
        <w:pStyle w:val="Heading3"/>
      </w:pPr>
      <w:r>
        <w:t xml:space="preserve">Page 642 — Rik 5: Pada, bhāṣya, word-meanings, overall sense</w:t>
      </w:r>
    </w:p>
    <w:p>
      <w:pPr>
        <w:pStyle w:val="FirstParagraph"/>
      </w:pPr>
      <w:r>
        <w:rPr>
          <w:bCs/>
          <w:b/>
        </w:rPr>
        <w:t xml:space="preserve">॥ Pada-pāṭhaḥ ॥</w:t>
      </w:r>
    </w:p>
    <w:p>
      <w:pPr>
        <w:pStyle w:val="BlockText"/>
      </w:pPr>
      <w:r>
        <w:t xml:space="preserve">ब्राह्मणात् । इन्द्र । राधसः । पिब । सोमम् । ऋतून् । अनु ॥</w:t>
      </w:r>
      <w:r>
        <w:t xml:space="preserve"> </w:t>
      </w:r>
      <w:r>
        <w:t xml:space="preserve">तव । इत् । हि । सख्यम् । अस्तृतम् ॥५॥</w:t>
      </w:r>
    </w:p>
    <w:p>
      <w:pPr>
        <w:pStyle w:val="BlockText"/>
      </w:pPr>
      <w:r>
        <w:rPr>
          <w:iCs/>
          <w:i/>
        </w:rPr>
        <w:t xml:space="preserve">brāhmaṇāt | indra | rādhasaḥ | piba | somam | ṛtūn | anu ||</w:t>
      </w:r>
      <w:r>
        <w:t xml:space="preserve"> </w:t>
      </w:r>
      <w:r>
        <w:rPr>
          <w:iCs/>
          <w:i/>
        </w:rPr>
        <w:t xml:space="preserve">tava | it | hi | sakhyam | astṛtam ||5||</w:t>
      </w:r>
    </w:p>
    <w:p>
      <w:pPr>
        <w:pStyle w:val="FirstParagraph"/>
      </w:pPr>
      <w:r>
        <w:rPr>
          <w:bCs/>
          <w:b/>
        </w:rPr>
        <w:t xml:space="preserve">॥ Sāyaṇa-bhāṣyam ॥</w:t>
      </w:r>
    </w:p>
    <w:p>
      <w:pPr>
        <w:pStyle w:val="BlockText"/>
      </w:pPr>
      <w:r>
        <w:t xml:space="preserve">हे इन्द्र ब्राह्मणाद्ब्राह्मणाच्छंसिसम्बद्धाद्राधसो धनभूतात्पात्रात्सोमं पिब । किं कृत्वा । ऋतूननु ऋतुदेवाननुसृत्य । ऋतवो ऽपि पिबन्त्वित्यर्थः । हि यस्मात्तवेत्तवैव सख्यमस्तृतमृतूनामविच्छिन्नं तस्मादृतुभिः सह पानं युक्तं ॥ ब्राह्मणात् । ब्रह्मशब्देनात्र ब्रह्मवर्गे द्वितीयो ब्राह्मणाच्छंसी कथ्यते । स च पुंलिङ्गे शेषनिघातेनानुदात्तादिः । तस्य सम्बन्ध्युत्तप्तश्चमसः । स च तस्यैवावयवहन्नियत इत्यवयवविवक्षायामनुदात्तादेरञ् । पा. ४-३-१४० । तेन ञित्त्वादाद्युदात्तश्चमसपरो ऽत्र ब्राह्मणशब्दः । राधसः । सर्वधातुभ्यो ऽसुन् । नित्त्वादाद्युदात्तः । पिब । पादादित्वादाद्युदात्तत्वं । द्व्यचो ऽतस्तिङ इति दीर्घत्वं । ऋतूँरनुत्यत्र दीर्घादटि समानपाद इति नकारस्य रुत्वं । अत्रानुनासिकः पूर्वस्य तु वा । पा. ८-३-२ । इत्यूकारस्यानुनासिकत्वं । तव । युष्मदस्मद्भ्यां ङसो ऽश् । पा. ७-१-२७ । शित्त्वात्सर्वादेशः तवममौ ङसीति तवादेशः । युष्मदस्मदोर्ङसीत्याद्युदात्तत्वं । सख्यं । सख्युः कर्म सख्यं । सख्युर्यः । यस्येति लोपः । प्रत्ययस्वरः । अस्तृतं । स्तृणातेर्हिंसार्थस्य क्तः । नञ्समासः । अव्ययपूर्वपदप्रकृतिस्वरत्वं ॥</w:t>
      </w:r>
    </w:p>
    <w:p>
      <w:pPr>
        <w:pStyle w:val="BlockText"/>
      </w:pPr>
      <w:r>
        <w:rPr>
          <w:iCs/>
          <w:i/>
        </w:rPr>
        <w:t xml:space="preserve">he indra brāhmaṇādbrāhmaṇācchaṃsisambaddhādrādhaso dhanabhūtātpātrātsomaṃ piba | kiṃ kṛtvā | ṛtūnanu ṛtudevānanusṛtya | ṛtavo ’pi pibantvityarthaḥ | hi yasmāttavettavaiva sakhyamastṛtamṛtūnāmavicchinnaṃ tasmādṛtubhiḥ saha pānaṃ yuktaṃ || brāhmaṇāt | brahmaśabdenātra brahmavarge dvitīyo brāhmaṇācchaṃsī kathyate | sa ca puṃliṅge śeṣanighātenānudāttādiḥ | tasya sambandhyuttaptaścamasaḥ | sa ca tasyaivāvayavahanniyata ityavayavavivakṣāyāmanudāttāderañ | pā. 4-3-140 | tena ñittvādādyudāttaścamasaparo ’tra brāhmaṇaśabdaḥ | rādhasaḥ | sarvadhātubhyo ’sun | nittvādādyudāttaḥ | piba | pādāditvādādyudāttatvaṃ | dvyaco ’tastiṅa iti dīrghatvaṃ | ṛtū~ranutyatra dīrghādaṭi samānapāda iti nakārasya rutvaṃ | atrānunāsikaḥ pūrvasya tu vā | pā. 8-3-2 | ityūkārasyānunāsikatvaṃ | tava | yuṣmadasmadbhyāṃ ṅaso ’ś | pā. 7-1-27 | śittvātsarvādeśaḥ tavamamau ṅasīti tavādeśaḥ | yuṣmadasmadorṅasītyādyudāttatvaṃ | sakhyaṃ | sakhyuḥ karma sakhyaṃ | sakhyuryaḥ | yasyeti lopaḥ | pratyayasvaraḥ | astṛtaṃ | stṛṇāterhiṃsārthasya ktaḥ | nañsamāsaḥ | avyayapūrvapadaprakṛtisvaratvaṃ ||</w:t>
      </w:r>
    </w:p>
    <w:p>
      <w:pPr>
        <w:pStyle w:val="FirstParagraph"/>
      </w:pPr>
      <w:r>
        <w:rPr>
          <w:bCs/>
          <w:b/>
        </w:rPr>
        <w:t xml:space="preserve">Translation:</w:t>
      </w:r>
      <w:r>
        <w:t xml:space="preserve"> </w:t>
      </w:r>
      <w:r>
        <w:t xml:space="preserve">“</w:t>
      </w:r>
      <w:r>
        <w:t xml:space="preserve">O Indra, drink the soma from the</w:t>
      </w:r>
      <w:r>
        <w:t xml:space="preserve"> </w:t>
      </w:r>
      <w:r>
        <w:rPr>
          <w:iCs/>
          <w:i/>
        </w:rPr>
        <w:t xml:space="preserve">rādhas</w:t>
      </w:r>
      <w:r>
        <w:t xml:space="preserve">, the vessel that is wealth, belonging to the</w:t>
      </w:r>
      <w:r>
        <w:t xml:space="preserve"> </w:t>
      </w:r>
      <w:r>
        <w:rPr>
          <w:iCs/>
          <w:i/>
        </w:rPr>
        <w:t xml:space="preserve">brāhmaṇa</w:t>
      </w:r>
      <w:r>
        <w:t xml:space="preserve">, the Brāhmaṇācchaṃsin. Having done what?</w:t>
      </w:r>
      <w:r>
        <w:t xml:space="preserve"> </w:t>
      </w:r>
      <w:r>
        <w:rPr>
          <w:iCs/>
          <w:i/>
        </w:rPr>
        <w:t xml:space="preserve">Ṛtūn anu</w:t>
      </w:r>
      <w:r>
        <w:t xml:space="preserve">, following the Ṛtu gods: let the Ṛtus too drink, is the sense.</w:t>
      </w:r>
      <w:r>
        <w:t xml:space="preserve"> </w:t>
      </w:r>
      <w:r>
        <w:rPr>
          <w:iCs/>
          <w:i/>
        </w:rPr>
        <w:t xml:space="preserve">Hi</w:t>
      </w:r>
      <w:r>
        <w:t xml:space="preserve">, since,</w:t>
      </w:r>
      <w:r>
        <w:t xml:space="preserve"> </w:t>
      </w:r>
      <w:r>
        <w:rPr>
          <w:iCs/>
          <w:i/>
        </w:rPr>
        <w:t xml:space="preserve">tava it</w:t>
      </w:r>
      <w:r>
        <w:t xml:space="preserve">, yours alone, the friendship with the Ṛtus is</w:t>
      </w:r>
      <w:r>
        <w:t xml:space="preserve"> </w:t>
      </w:r>
      <w:r>
        <w:rPr>
          <w:iCs/>
          <w:i/>
        </w:rPr>
        <w:t xml:space="preserve">astṛtam</w:t>
      </w:r>
      <w:r>
        <w:t xml:space="preserve">, unbroken, so drinking with the Ṛtus is fitting.</w:t>
      </w:r>
      <w:r>
        <w:t xml:space="preserve">”</w:t>
      </w:r>
      <w:r>
        <w:t xml:space="preserve"> </w:t>
      </w:r>
      <w:r>
        <w:t xml:space="preserve">(Grammatical tail:</w:t>
      </w:r>
      <w:r>
        <w:t xml:space="preserve"> </w:t>
      </w:r>
      <w:r>
        <w:rPr>
          <w:iCs/>
          <w:i/>
        </w:rPr>
        <w:t xml:space="preserve">brāhmaṇāt</w:t>
      </w:r>
      <w:r>
        <w:t xml:space="preserve">: the word</w:t>
      </w:r>
      <w:r>
        <w:t xml:space="preserve"> </w:t>
      </w:r>
      <w:r>
        <w:rPr>
          <w:iCs/>
          <w:i/>
        </w:rPr>
        <w:t xml:space="preserve">brahman</w:t>
      </w:r>
      <w:r>
        <w:t xml:space="preserve"> </w:t>
      </w:r>
      <w:r>
        <w:t xml:space="preserve">here means the Brāhmaṇācchaṃsin, second in the Brahman group; masculine, initial unaccented by the</w:t>
      </w:r>
      <w:r>
        <w:t xml:space="preserve"> </w:t>
      </w:r>
      <w:r>
        <w:rPr>
          <w:iCs/>
          <w:i/>
        </w:rPr>
        <w:t xml:space="preserve">śeṣanighāta</w:t>
      </w:r>
      <w:r>
        <w:t xml:space="preserve">; his raised</w:t>
      </w:r>
      <w:r>
        <w:t xml:space="preserve"> </w:t>
      </w:r>
      <w:r>
        <w:rPr>
          <w:iCs/>
          <w:i/>
        </w:rPr>
        <w:t xml:space="preserve">camasa</w:t>
      </w:r>
      <w:r>
        <w:t xml:space="preserve">, a fixed part of him, so</w:t>
      </w:r>
      <w:r>
        <w:t xml:space="preserve"> </w:t>
      </w:r>
      <w:r>
        <w:rPr>
          <w:iCs/>
          <w:i/>
        </w:rPr>
        <w:t xml:space="preserve">añ</w:t>
      </w:r>
      <w:r>
        <w:t xml:space="preserve"> </w:t>
      </w:r>
      <w:r>
        <w:t xml:space="preserve">in the sense of part (Pā. 4-3-140), initial udātta,</w:t>
      </w:r>
      <w:r>
        <w:t xml:space="preserve"> </w:t>
      </w:r>
      <w:r>
        <w:rPr>
          <w:iCs/>
          <w:i/>
        </w:rPr>
        <w:t xml:space="preserve">brāhmaṇa</w:t>
      </w:r>
      <w:r>
        <w:t xml:space="preserve"> </w:t>
      </w:r>
      <w:r>
        <w:t xml:space="preserve">meaning that</w:t>
      </w:r>
      <w:r>
        <w:t xml:space="preserve"> </w:t>
      </w:r>
      <w:r>
        <w:rPr>
          <w:iCs/>
          <w:i/>
        </w:rPr>
        <w:t xml:space="preserve">camasa</w:t>
      </w:r>
      <w:r>
        <w:t xml:space="preserve">;</w:t>
      </w:r>
      <w:r>
        <w:t xml:space="preserve"> </w:t>
      </w:r>
      <w:r>
        <w:rPr>
          <w:iCs/>
          <w:i/>
        </w:rPr>
        <w:t xml:space="preserve">rādhasaḥ</w:t>
      </w:r>
      <w:r>
        <w:t xml:space="preserve"> </w:t>
      </w:r>
      <w:r>
        <w:t xml:space="preserve">with</w:t>
      </w:r>
      <w:r>
        <w:t xml:space="preserve"> </w:t>
      </w:r>
      <w:r>
        <w:rPr>
          <w:iCs/>
          <w:i/>
        </w:rPr>
        <w:t xml:space="preserve">asun</w:t>
      </w:r>
      <w:r>
        <w:t xml:space="preserve">, initial udātta;</w:t>
      </w:r>
      <w:r>
        <w:t xml:space="preserve"> </w:t>
      </w:r>
      <w:r>
        <w:rPr>
          <w:iCs/>
          <w:i/>
        </w:rPr>
        <w:t xml:space="preserve">piba</w:t>
      </w:r>
      <w:r>
        <w:t xml:space="preserve">, initial udātta at the head of the pāda, lengthened in the Saṃhitā;</w:t>
      </w:r>
      <w:r>
        <w:t xml:space="preserve"> </w:t>
      </w:r>
      <w:r>
        <w:rPr>
          <w:iCs/>
          <w:i/>
        </w:rPr>
        <w:t xml:space="preserve">ṛtūm̐r anu</w:t>
      </w:r>
      <w:r>
        <w:t xml:space="preserve">:</w:t>
      </w:r>
      <w:r>
        <w:t xml:space="preserve"> </w:t>
      </w:r>
      <w:r>
        <w:rPr>
          <w:iCs/>
          <w:i/>
        </w:rPr>
        <w:t xml:space="preserve">ru</w:t>
      </w:r>
      <w:r>
        <w:t xml:space="preserve"> </w:t>
      </w:r>
      <w:r>
        <w:t xml:space="preserve">for the</w:t>
      </w:r>
      <w:r>
        <w:t xml:space="preserve"> </w:t>
      </w:r>
      <w:r>
        <w:rPr>
          <w:iCs/>
          <w:i/>
        </w:rPr>
        <w:t xml:space="preserve">n</w:t>
      </w:r>
      <w:r>
        <w:t xml:space="preserve">, the</w:t>
      </w:r>
      <w:r>
        <w:t xml:space="preserve"> </w:t>
      </w:r>
      <w:r>
        <w:rPr>
          <w:iCs/>
          <w:i/>
        </w:rPr>
        <w:t xml:space="preserve">ū</w:t>
      </w:r>
      <w:r>
        <w:t xml:space="preserve"> </w:t>
      </w:r>
      <w:r>
        <w:t xml:space="preserve">nasalised (Pā. 8-3-2);</w:t>
      </w:r>
      <w:r>
        <w:t xml:space="preserve"> </w:t>
      </w:r>
      <w:r>
        <w:rPr>
          <w:iCs/>
          <w:i/>
        </w:rPr>
        <w:t xml:space="preserve">tava</w:t>
      </w:r>
      <w:r>
        <w:t xml:space="preserve">:</w:t>
      </w:r>
      <w:r>
        <w:t xml:space="preserve"> </w:t>
      </w:r>
      <w:r>
        <w:rPr>
          <w:iCs/>
          <w:i/>
        </w:rPr>
        <w:t xml:space="preserve">aś</w:t>
      </w:r>
      <w:r>
        <w:t xml:space="preserve"> </w:t>
      </w:r>
      <w:r>
        <w:t xml:space="preserve">for</w:t>
      </w:r>
      <w:r>
        <w:t xml:space="preserve"> </w:t>
      </w:r>
      <w:r>
        <w:rPr>
          <w:iCs/>
          <w:i/>
        </w:rPr>
        <w:t xml:space="preserve">ṅas</w:t>
      </w:r>
      <w:r>
        <w:t xml:space="preserve"> </w:t>
      </w:r>
      <w:r>
        <w:t xml:space="preserve">(Pā. 7-1-27),</w:t>
      </w:r>
      <w:r>
        <w:t xml:space="preserve"> </w:t>
      </w:r>
      <w:r>
        <w:rPr>
          <w:iCs/>
          <w:i/>
        </w:rPr>
        <w:t xml:space="preserve">tava</w:t>
      </w:r>
      <w:r>
        <w:t xml:space="preserve"> </w:t>
      </w:r>
      <w:r>
        <w:t xml:space="preserve">for the part up to</w:t>
      </w:r>
      <w:r>
        <w:t xml:space="preserve"> </w:t>
      </w:r>
      <w:r>
        <w:rPr>
          <w:iCs/>
          <w:i/>
        </w:rPr>
        <w:t xml:space="preserve">m</w:t>
      </w:r>
      <w:r>
        <w:t xml:space="preserve">, initial udātta;</w:t>
      </w:r>
      <w:r>
        <w:t xml:space="preserve"> </w:t>
      </w:r>
      <w:r>
        <w:rPr>
          <w:iCs/>
          <w:i/>
        </w:rPr>
        <w:t xml:space="preserve">sakhyam</w:t>
      </w:r>
      <w:r>
        <w:t xml:space="preserve">,</w:t>
      </w:r>
      <w:r>
        <w:t xml:space="preserve"> </w:t>
      </w:r>
      <w:r>
        <w:t xml:space="preserve">“</w:t>
      </w:r>
      <w:r>
        <w:t xml:space="preserve">the act of a friend</w:t>
      </w:r>
      <w:r>
        <w:t xml:space="preserve">”</w:t>
      </w:r>
      <w:r>
        <w:t xml:space="preserve">,</w:t>
      </w:r>
      <w:r>
        <w:t xml:space="preserve"> </w:t>
      </w:r>
      <w:r>
        <w:rPr>
          <w:iCs/>
          <w:i/>
        </w:rPr>
        <w:t xml:space="preserve">ya</w:t>
      </w:r>
      <w:r>
        <w:t xml:space="preserve">, the suffix accent;</w:t>
      </w:r>
      <w:r>
        <w:t xml:space="preserve"> </w:t>
      </w:r>
      <w:r>
        <w:rPr>
          <w:iCs/>
          <w:i/>
        </w:rPr>
        <w:t xml:space="preserve">astṛtam</w:t>
      </w:r>
      <w:r>
        <w:t xml:space="preserve">,</w:t>
      </w:r>
      <w:r>
        <w:t xml:space="preserve"> </w:t>
      </w:r>
      <w:r>
        <w:rPr>
          <w:iCs/>
          <w:i/>
        </w:rPr>
        <w:t xml:space="preserve">kta</w:t>
      </w:r>
      <w:r>
        <w:t xml:space="preserve"> </w:t>
      </w:r>
      <w:r>
        <w:t xml:space="preserve">after</w:t>
      </w:r>
      <w:r>
        <w:t xml:space="preserve"> </w:t>
      </w:r>
      <w:r>
        <w:rPr>
          <w:iCs/>
          <w:i/>
        </w:rPr>
        <w:t xml:space="preserve">stṛ</w:t>
      </w:r>
      <w:r>
        <w:t xml:space="preserve"> </w:t>
      </w:r>
      <w:r>
        <w:t xml:space="preserve">‘</w:t>
      </w:r>
      <w:r>
        <w:t xml:space="preserve">to harm</w:t>
      </w:r>
      <w:r>
        <w:t xml:space="preserve">’</w:t>
      </w:r>
      <w:r>
        <w:t xml:space="preserve">, a</w:t>
      </w:r>
      <w:r>
        <w:t xml:space="preserve"> </w:t>
      </w:r>
      <w:r>
        <w:rPr>
          <w:iCs/>
          <w:i/>
        </w:rPr>
        <w:t xml:space="preserve">nañ</w:t>
      </w:r>
      <w:r>
        <w:t xml:space="preserve"> </w:t>
      </w:r>
      <w:r>
        <w:t xml:space="preserve">compound with the first-member accent.)</w:t>
      </w:r>
    </w:p>
    <w:p>
      <w:pPr>
        <w:pStyle w:val="BodyText"/>
      </w:pPr>
      <w:r>
        <w:rPr>
          <w:bCs/>
          <w:b/>
        </w:rPr>
        <w:t xml:space="preserve">॥ Prati-padārthaḥ ॥</w:t>
      </w:r>
    </w:p>
    <w:p>
      <w:pPr>
        <w:pStyle w:val="BodyText"/>
      </w:pPr>
      <w:r>
        <w:rPr>
          <w:bCs/>
          <w:b/>
        </w:rPr>
        <w:t xml:space="preserve">इन्द्र (indra)</w:t>
      </w:r>
      <w:r>
        <w:t xml:space="preserve"> </w:t>
      </w:r>
      <w:r>
        <w:t xml:space="preserve">— O Indra |</w:t>
      </w:r>
      <w:r>
        <w:t xml:space="preserve"> </w:t>
      </w:r>
      <w:r>
        <w:rPr>
          <w:bCs/>
          <w:b/>
        </w:rPr>
        <w:t xml:space="preserve">हि (hi)</w:t>
      </w:r>
      <w:r>
        <w:t xml:space="preserve"> </w:t>
      </w:r>
      <w:r>
        <w:t xml:space="preserve">— for the reason that |</w:t>
      </w:r>
      <w:r>
        <w:t xml:space="preserve"> </w:t>
      </w:r>
      <w:r>
        <w:rPr>
          <w:bCs/>
          <w:b/>
        </w:rPr>
        <w:t xml:space="preserve">तव इत् (tava it)</w:t>
      </w:r>
      <w:r>
        <w:t xml:space="preserve"> </w:t>
      </w:r>
      <w:r>
        <w:t xml:space="preserve">— yours alone |</w:t>
      </w:r>
      <w:r>
        <w:t xml:space="preserve"> </w:t>
      </w:r>
      <w:r>
        <w:rPr>
          <w:bCs/>
          <w:b/>
        </w:rPr>
        <w:t xml:space="preserve">सख्यम् (sakhyam)</w:t>
      </w:r>
      <w:r>
        <w:t xml:space="preserve"> </w:t>
      </w:r>
      <w:r>
        <w:t xml:space="preserve">— friendship |</w:t>
      </w:r>
      <w:r>
        <w:t xml:space="preserve"> </w:t>
      </w:r>
      <w:r>
        <w:rPr>
          <w:bCs/>
          <w:b/>
        </w:rPr>
        <w:t xml:space="preserve">अस्तृतम् (astṛtam)</w:t>
      </w:r>
      <w:r>
        <w:t xml:space="preserve"> </w:t>
      </w:r>
      <w:r>
        <w:t xml:space="preserve">— is unbroken (with the Ṛtu deities); (for that reason) |</w:t>
      </w:r>
      <w:r>
        <w:t xml:space="preserve"> </w:t>
      </w:r>
      <w:r>
        <w:rPr>
          <w:bCs/>
          <w:b/>
        </w:rPr>
        <w:t xml:space="preserve">ब्राह्मणात् (brāhmaṇāt)</w:t>
      </w:r>
      <w:r>
        <w:t xml:space="preserve"> </w:t>
      </w:r>
      <w:r>
        <w:t xml:space="preserve">— of the priest called Brāhmaṇācchaṃsin |</w:t>
      </w:r>
      <w:r>
        <w:t xml:space="preserve"> </w:t>
      </w:r>
      <w:r>
        <w:rPr>
          <w:bCs/>
          <w:b/>
        </w:rPr>
        <w:t xml:space="preserve">राधसः (rādhasaḥ)</w:t>
      </w:r>
      <w:r>
        <w:t xml:space="preserve"> </w:t>
      </w:r>
      <w:r>
        <w:t xml:space="preserve">— from the costly</w:t>
      </w:r>
      <w:r>
        <w:t xml:space="preserve"> </w:t>
      </w:r>
      <w:r>
        <w:rPr>
          <w:iCs/>
          <w:i/>
        </w:rPr>
        <w:t xml:space="preserve">camasa</w:t>
      </w:r>
      <w:r>
        <w:t xml:space="preserve"> </w:t>
      </w:r>
      <w:r>
        <w:t xml:space="preserve">vessel |</w:t>
      </w:r>
      <w:r>
        <w:t xml:space="preserve"> </w:t>
      </w:r>
      <w:r>
        <w:rPr>
          <w:bCs/>
          <w:b/>
        </w:rPr>
        <w:t xml:space="preserve">सोमम् (somam)</w:t>
      </w:r>
      <w:r>
        <w:t xml:space="preserve"> </w:t>
      </w:r>
      <w:r>
        <w:t xml:space="preserve">— the soma juice |</w:t>
      </w:r>
      <w:r>
        <w:t xml:space="preserve"> </w:t>
      </w:r>
      <w:r>
        <w:rPr>
          <w:bCs/>
          <w:b/>
        </w:rPr>
        <w:t xml:space="preserve">पिब (piba)</w:t>
      </w:r>
      <w:r>
        <w:t xml:space="preserve"> </w:t>
      </w:r>
      <w:r>
        <w:t xml:space="preserve">— drink.</w:t>
      </w:r>
    </w:p>
    <w:p>
      <w:pPr>
        <w:pStyle w:val="BodyText"/>
      </w:pPr>
      <w:r>
        <w:rPr>
          <w:bCs/>
          <w:b/>
        </w:rPr>
        <w:t xml:space="preserve">॥ Bhāvārthaḥ ॥</w:t>
      </w:r>
    </w:p>
    <w:p>
      <w:pPr>
        <w:pStyle w:val="BodyText"/>
      </w:pPr>
      <w:r>
        <w:t xml:space="preserve">O Indra, it is well known in the world that the friendship of you and the Ṛtu deities is everlasting. So, from the costly</w:t>
      </w:r>
      <w:r>
        <w:t xml:space="preserve"> </w:t>
      </w:r>
      <w:r>
        <w:rPr>
          <w:iCs/>
          <w:i/>
        </w:rPr>
        <w:t xml:space="preserve">camasa</w:t>
      </w:r>
      <w:r>
        <w:t xml:space="preserve"> </w:t>
      </w:r>
      <w:r>
        <w:t xml:space="preserve">vessel of the priest called Brāhmaṇācchaṃsin, you too drink the soma juice with the Ṛtu deities.</w:t>
      </w:r>
    </w:p>
    <w:bookmarkEnd w:id="694"/>
    <w:bookmarkStart w:id="695" w:name="X23d1ddd9eb0122e2268fbf1e34ea6183934d02e"/>
    <w:p>
      <w:pPr>
        <w:pStyle w:val="Heading3"/>
      </w:pPr>
      <w:r>
        <w:t xml:space="preserve">Page 643 — Rik 5: English, Special Topics, grammar</w:t>
      </w:r>
    </w:p>
    <w:p>
      <w:pPr>
        <w:pStyle w:val="FirstParagraph"/>
      </w:pPr>
      <w:r>
        <w:rPr>
          <w:bCs/>
          <w:b/>
        </w:rPr>
        <w:t xml:space="preserve">॥ English Translation ॥</w:t>
      </w:r>
      <w:r>
        <w:t xml:space="preserve"> </w:t>
      </w:r>
      <w:r>
        <w:rPr>
          <w:iCs/>
          <w:i/>
        </w:rPr>
        <w:t xml:space="preserve">(as printed in the source)</w:t>
      </w:r>
    </w:p>
    <w:p>
      <w:pPr>
        <w:pStyle w:val="BlockText"/>
      </w:pPr>
      <w:r>
        <w:t xml:space="preserve">Drink the soma juice, Indra, from the cups of priest called Brahmanachamsi, after Ritu for whom your friendship is uninterrupted (everlasting).</w:t>
      </w:r>
    </w:p>
    <w:p>
      <w:pPr>
        <w:pStyle w:val="FirstParagraph"/>
      </w:pPr>
      <w:r>
        <w:rPr>
          <w:bCs/>
          <w:b/>
        </w:rPr>
        <w:t xml:space="preserve">॥ Viśeṣa-viṣayagaḷu (Special Topics) ॥</w:t>
      </w:r>
    </w:p>
    <w:p>
      <w:pPr>
        <w:pStyle w:val="BodyText"/>
      </w:pPr>
      <w:r>
        <w:rPr>
          <w:bCs/>
          <w:b/>
        </w:rPr>
        <w:t xml:space="preserve">Brāhmaṇāt</w:t>
      </w:r>
      <w:r>
        <w:t xml:space="preserve">: the priest called Brāhmaṇācchaṃsin.</w:t>
      </w:r>
    </w:p>
    <w:p>
      <w:pPr>
        <w:pStyle w:val="BodyText"/>
      </w:pPr>
      <w:r>
        <w:rPr>
          <w:bCs/>
          <w:b/>
        </w:rPr>
        <w:t xml:space="preserve">Rādhasaḥ</w:t>
      </w:r>
      <w:r>
        <w:t xml:space="preserve">:</w:t>
      </w:r>
      <w:r>
        <w:t xml:space="preserve"> </w:t>
      </w:r>
      <w:r>
        <w:rPr>
          <w:iCs/>
          <w:i/>
        </w:rPr>
        <w:t xml:space="preserve">धनभूतात् पात्रात्</w:t>
      </w:r>
      <w:r>
        <w:t xml:space="preserve"> </w:t>
      </w:r>
      <w:r>
        <w:t xml:space="preserve">(</w:t>
      </w:r>
      <w:r>
        <w:rPr>
          <w:iCs/>
          <w:i/>
        </w:rPr>
        <w:t xml:space="preserve">dhanabhūtāt pātrāt</w:t>
      </w:r>
      <w:r>
        <w:t xml:space="preserve">,</w:t>
      </w:r>
      <w:r>
        <w:t xml:space="preserve"> </w:t>
      </w:r>
      <w:r>
        <w:t xml:space="preserve">“</w:t>
      </w:r>
      <w:r>
        <w:t xml:space="preserve">from the vessel that is wealth</w:t>
      </w:r>
      <w:r>
        <w:t xml:space="preserve">”</w:t>
      </w:r>
      <w:r>
        <w:t xml:space="preserve">): the word</w:t>
      </w:r>
      <w:r>
        <w:t xml:space="preserve"> </w:t>
      </w:r>
      <w:r>
        <w:rPr>
          <w:iCs/>
          <w:i/>
        </w:rPr>
        <w:t xml:space="preserve">rādhas</w:t>
      </w:r>
      <w:r>
        <w:t xml:space="preserve"> </w:t>
      </w:r>
      <w:r>
        <w:t xml:space="preserve">means only wealth. It does not mean</w:t>
      </w:r>
      <w:r>
        <w:t xml:space="preserve"> </w:t>
      </w:r>
      <w:r>
        <w:t xml:space="preserve">“</w:t>
      </w:r>
      <w:r>
        <w:t xml:space="preserve">vessel</w:t>
      </w:r>
      <w:r>
        <w:t xml:space="preserve">”</w:t>
      </w:r>
      <w:r>
        <w:t xml:space="preserve">, but the Commentator has supplied that sense. Or one may give the word</w:t>
      </w:r>
      <w:r>
        <w:t xml:space="preserve"> </w:t>
      </w:r>
      <w:r>
        <w:rPr>
          <w:iCs/>
          <w:i/>
        </w:rPr>
        <w:t xml:space="preserve">rādhasaḥ</w:t>
      </w:r>
      <w:r>
        <w:t xml:space="preserve"> </w:t>
      </w:r>
      <w:r>
        <w:t xml:space="preserve">the sense</w:t>
      </w:r>
      <w:r>
        <w:t xml:space="preserve"> </w:t>
      </w:r>
      <w:r>
        <w:t xml:space="preserve">“</w:t>
      </w:r>
      <w:r>
        <w:t xml:space="preserve">from the priceless, precious vessel</w:t>
      </w:r>
      <w:r>
        <w:t xml:space="preserve">”</w:t>
      </w:r>
      <w:r>
        <w:t xml:space="preserve">,</w:t>
      </w:r>
      <w:r>
        <w:t xml:space="preserve"> </w:t>
      </w:r>
      <w:r>
        <w:t xml:space="preserve">“</w:t>
      </w:r>
      <w:r>
        <w:t xml:space="preserve">costly vessel</w:t>
      </w:r>
      <w:r>
        <w:t xml:space="preserve">”</w:t>
      </w:r>
      <w:r>
        <w:t xml:space="preserve">.</w:t>
      </w:r>
    </w:p>
    <w:p>
      <w:pPr>
        <w:pStyle w:val="BodyText"/>
      </w:pPr>
      <w:r>
        <w:rPr>
          <w:bCs/>
          <w:b/>
        </w:rPr>
        <w:t xml:space="preserve">Astṛtam</w:t>
      </w:r>
      <w:r>
        <w:t xml:space="preserve">: unbroken, uninterrupted,</w:t>
      </w:r>
      <w:r>
        <w:t xml:space="preserve"> </w:t>
      </w:r>
      <w:r>
        <w:t xml:space="preserve">“</w:t>
      </w:r>
      <w:r>
        <w:t xml:space="preserve">uninteruptedr</w:t>
      </w:r>
      <w:r>
        <w:t xml:space="preserve">”</w:t>
      </w:r>
      <w:r>
        <w:t xml:space="preserve"> </w:t>
      </w:r>
      <w:r>
        <w:t xml:space="preserve">[sic]: not stopping after some time, everlasting, and so on.</w:t>
      </w:r>
    </w:p>
    <w:p>
      <w:pPr>
        <w:pStyle w:val="BodyText"/>
      </w:pPr>
      <w:r>
        <w:rPr>
          <w:bCs/>
          <w:b/>
        </w:rPr>
        <w:t xml:space="preserve">॥ Vyākaraṇa-prakriyā ॥</w:t>
      </w:r>
      <w:r>
        <w:t xml:space="preserve"> </w:t>
      </w:r>
      <w:r>
        <w:rPr>
          <w:iCs/>
          <w:i/>
        </w:rPr>
        <w:t xml:space="preserve">(grammar pages 643–646, noted briefly)</w:t>
      </w:r>
    </w:p>
    <w:p>
      <w:pPr>
        <w:pStyle w:val="BodyText"/>
      </w:pPr>
      <w:r>
        <w:rPr>
          <w:bCs/>
          <w:b/>
        </w:rPr>
        <w:t xml:space="preserve">ब्राह्मणात् (</w:t>
      </w:r>
      <w:r>
        <w:rPr>
          <w:iCs/>
          <w:i/>
          <w:bCs/>
          <w:b/>
        </w:rPr>
        <w:t xml:space="preserve">brāhmaṇāt</w:t>
      </w:r>
      <w:r>
        <w:rPr>
          <w:bCs/>
          <w:b/>
        </w:rPr>
        <w:t xml:space="preserve">)</w:t>
      </w:r>
      <w:r>
        <w:t xml:space="preserve">: in a sacrifice whose base is soma, the four Brahman, Brāhmaṇācchaṃsin, Āgnīdhra and Potṛ belong to the Brahman group. The Brāhmaṇācchaṃsin, second in this group, is denoted here by the word</w:t>
      </w:r>
      <w:r>
        <w:t xml:space="preserve"> </w:t>
      </w:r>
      <w:r>
        <w:rPr>
          <w:iCs/>
          <w:i/>
        </w:rPr>
        <w:t xml:space="preserve">brahman</w:t>
      </w:r>
      <w:r>
        <w:t xml:space="preserve">. The word</w:t>
      </w:r>
      <w:r>
        <w:t xml:space="preserve"> </w:t>
      </w:r>
      <w:r>
        <w:rPr>
          <w:iCs/>
          <w:i/>
        </w:rPr>
        <w:t xml:space="preserve">brahman</w:t>
      </w:r>
      <w:r>
        <w:t xml:space="preserve"> </w:t>
      </w:r>
      <w:r>
        <w:t xml:space="preserve">is formed from the root</w:t>
      </w:r>
      <w:r>
        <w:t xml:space="preserve"> </w:t>
      </w:r>
      <w:r>
        <w:rPr>
          <w:iCs/>
          <w:i/>
        </w:rPr>
        <w:t xml:space="preserve">bṛhi vṛddhau</w:t>
      </w:r>
      <w:r>
        <w:t xml:space="preserve"> </w:t>
      </w:r>
      <w:r>
        <w:t xml:space="preserve">with the suffix</w:t>
      </w:r>
      <w:r>
        <w:t xml:space="preserve"> </w:t>
      </w:r>
      <w:r>
        <w:rPr>
          <w:iCs/>
          <w:i/>
        </w:rPr>
        <w:t xml:space="preserve">manin</w:t>
      </w:r>
      <w:r>
        <w:t xml:space="preserve">, by</w:t>
      </w:r>
      <w:r>
        <w:t xml:space="preserve"> </w:t>
      </w:r>
      <w:r>
        <w:t xml:space="preserve">“</w:t>
      </w:r>
      <w:r>
        <w:t xml:space="preserve">bṛṃher am nalopaś ca</w:t>
      </w:r>
      <w:r>
        <w:t xml:space="preserve">”</w:t>
      </w:r>
      <w:r>
        <w:t xml:space="preserve"> </w:t>
      </w:r>
      <w:r>
        <w:t xml:space="preserve">in the old order, or by</w:t>
      </w:r>
      <w:r>
        <w:t xml:space="preserve"> </w:t>
      </w:r>
      <w:r>
        <w:t xml:space="preserve">“</w:t>
      </w:r>
      <w:r>
        <w:t xml:space="preserve">bṛṃher no ’c ca</w:t>
      </w:r>
      <w:r>
        <w:t xml:space="preserve">”</w:t>
      </w:r>
      <w:r>
        <w:t xml:space="preserve"> </w:t>
      </w:r>
      <w:r>
        <w:t xml:space="preserve">in the order of the Uṇādi sūtras now available. By</w:t>
      </w:r>
      <w:r>
        <w:t xml:space="preserve"> </w:t>
      </w:r>
      <w:r>
        <w:t xml:space="preserve">“</w:t>
      </w:r>
      <w:r>
        <w:t xml:space="preserve">brahman puṃsi ca</w:t>
      </w:r>
      <w:r>
        <w:t xml:space="preserve">”</w:t>
      </w:r>
      <w:r>
        <w:t xml:space="preserve"> </w:t>
      </w:r>
      <w:r>
        <w:t xml:space="preserve">(Liṅga sū. 140) it is neuter and masculine. In the neuter it is initial udātta by</w:t>
      </w:r>
      <w:r>
        <w:t xml:space="preserve"> </w:t>
      </w:r>
      <w:r>
        <w:t xml:space="preserve">“</w:t>
      </w:r>
      <w:r>
        <w:t xml:space="preserve">ñnityādir nityam</w:t>
      </w:r>
      <w:r>
        <w:t xml:space="preserve">”</w:t>
      </w:r>
      <w:r>
        <w:t xml:space="preserve">; in the masculine final udātta by</w:t>
      </w:r>
      <w:r>
        <w:t xml:space="preserve"> </w:t>
      </w:r>
      <w:r>
        <w:t xml:space="preserve">“</w:t>
      </w:r>
      <w:r>
        <w:t xml:space="preserve">uñchādīnāṃ ca</w:t>
      </w:r>
      <w:r>
        <w:t xml:space="preserve">”</w:t>
      </w:r>
      <w:r>
        <w:t xml:space="preserve"> </w:t>
      </w:r>
      <w:r>
        <w:t xml:space="preserve">(Pā. sū. 6-1-160), the words of this class being final udātta; on this view, by the</w:t>
      </w:r>
      <w:r>
        <w:t xml:space="preserve"> </w:t>
      </w:r>
      <w:r>
        <w:rPr>
          <w:iCs/>
          <w:i/>
        </w:rPr>
        <w:t xml:space="preserve">śeṣanighāta</w:t>
      </w:r>
      <w:r>
        <w:t xml:space="preserve"> </w:t>
      </w:r>
      <w:r>
        <w:t xml:space="preserve">“</w:t>
      </w:r>
      <w:r>
        <w:t xml:space="preserve">anudāttaṃ padam ekavarjam</w:t>
      </w:r>
      <w:r>
        <w:t xml:space="preserve">”</w:t>
      </w:r>
      <w:r>
        <w:t xml:space="preserve"> </w:t>
      </w:r>
      <w:r>
        <w:t xml:space="preserve">(Pā. sū. 6-1-158), the word</w:t>
      </w:r>
      <w:r>
        <w:t xml:space="preserve"> </w:t>
      </w:r>
      <w:r>
        <w:rPr>
          <w:iCs/>
          <w:i/>
        </w:rPr>
        <w:t xml:space="preserve">brahman</w:t>
      </w:r>
      <w:r>
        <w:t xml:space="preserve"> </w:t>
      </w:r>
      <w:r>
        <w:t xml:space="preserve">begins with an unaccented syllable. Those of the Brahman group, and some others, chiefly the sacrificer, have a drinking of soma. The vessel for drinking soma is called</w:t>
      </w:r>
      <w:r>
        <w:t xml:space="preserve"> </w:t>
      </w:r>
      <w:r>
        <w:rPr>
          <w:iCs/>
          <w:i/>
        </w:rPr>
        <w:t xml:space="preserve">camasa</w:t>
      </w:r>
      <w:r>
        <w:t xml:space="preserve">. It must be square; their handles are of various kinds:</w:t>
      </w:r>
    </w:p>
    <w:p>
      <w:pPr>
        <w:pStyle w:val="BlockText"/>
      </w:pPr>
      <w:r>
        <w:t xml:space="preserve">चतुरश्रो ब्रह्मचमसो होतुस्तु परिमण्डलः ।</w:t>
      </w:r>
      <w:r>
        <w:t xml:space="preserve"> </w:t>
      </w:r>
      <w:r>
        <w:t xml:space="preserve">पृथुस्तु यजमानस्य त्र्यश्रिरुद्गातुरिष्यते ॥१॥</w:t>
      </w:r>
    </w:p>
    <w:p>
      <w:pPr>
        <w:pStyle w:val="BlockText"/>
      </w:pPr>
      <w:r>
        <w:rPr>
          <w:iCs/>
          <w:i/>
        </w:rPr>
        <w:t xml:space="preserve">caturaśro brahmacamaso hotustu parimaṇḍalaḥ |</w:t>
      </w:r>
      <w:r>
        <w:t xml:space="preserve"> </w:t>
      </w:r>
      <w:r>
        <w:rPr>
          <w:iCs/>
          <w:i/>
        </w:rPr>
        <w:t xml:space="preserve">pṛthustu yajamānasya tryaśrirudgāturiṣyate ||1||</w:t>
      </w:r>
    </w:p>
    <w:bookmarkEnd w:id="695"/>
    <w:bookmarkStart w:id="696" w:name="page-644-rik-5-grammar-continued"/>
    <w:p>
      <w:pPr>
        <w:pStyle w:val="Heading3"/>
      </w:pPr>
      <w:r>
        <w:t xml:space="preserve">Page 644 — Rik 5: grammar (continued)</w:t>
      </w:r>
    </w:p>
    <w:p>
      <w:pPr>
        <w:pStyle w:val="BlockText"/>
      </w:pPr>
      <w:r>
        <w:t xml:space="preserve">प्रशास्तुरवतप्तः स्यादुत्तप्तो ब्रह्मशंसिनः ।</w:t>
      </w:r>
      <w:r>
        <w:t xml:space="preserve"> </w:t>
      </w:r>
      <w:r>
        <w:t xml:space="preserve">पोतुरग्रे विशाखी स्यान्नेष्टुस्तु विगृहीतकः ॥२॥</w:t>
      </w:r>
    </w:p>
    <w:p>
      <w:pPr>
        <w:pStyle w:val="BlockText"/>
      </w:pPr>
      <w:r>
        <w:rPr>
          <w:iCs/>
          <w:i/>
        </w:rPr>
        <w:t xml:space="preserve">praśāsturavataptaḥ syāduttapto brahmaśaṃsinaḥ |</w:t>
      </w:r>
      <w:r>
        <w:t xml:space="preserve"> </w:t>
      </w:r>
      <w:r>
        <w:rPr>
          <w:iCs/>
          <w:i/>
        </w:rPr>
        <w:t xml:space="preserve">poturagre viśākhī syānneṣṭustu vigṛhītakaḥ ||2||</w:t>
      </w:r>
    </w:p>
    <w:p>
      <w:pPr>
        <w:pStyle w:val="BlockText"/>
      </w:pPr>
      <w:r>
        <w:t xml:space="preserve">अच्छावाकस्य राष्णावानाग्नीध्रस्य मयूखगः ।</w:t>
      </w:r>
      <w:r>
        <w:t xml:space="preserve"> </w:t>
      </w:r>
      <w:r>
        <w:t xml:space="preserve">सव्यावृतः सदस्यः स्यादेतच्चमसलक्षणम् ॥३॥</w:t>
      </w:r>
    </w:p>
    <w:p>
      <w:pPr>
        <w:pStyle w:val="BlockText"/>
      </w:pPr>
      <w:r>
        <w:rPr>
          <w:iCs/>
          <w:i/>
        </w:rPr>
        <w:t xml:space="preserve">acchāvākasya rāṣṇāvānāgnīdhrasya mayūkhagaḥ |</w:t>
      </w:r>
      <w:r>
        <w:t xml:space="preserve"> </w:t>
      </w:r>
      <w:r>
        <w:rPr>
          <w:iCs/>
          <w:i/>
        </w:rPr>
        <w:t xml:space="preserve">savyāvṛtaḥ sadasyaḥ syādetaccamasalakṣaṇam ||3||</w:t>
      </w:r>
    </w:p>
    <w:p>
      <w:pPr>
        <w:pStyle w:val="BlockText"/>
      </w:pPr>
      <w:r>
        <w:t xml:space="preserve">दण्डानामेष आकारश्चमसाश्चतुरश्रगाः ।</w:t>
      </w:r>
      <w:r>
        <w:t xml:space="preserve"> </w:t>
      </w:r>
      <w:r>
        <w:t xml:space="preserve">होतुर्ब्रह्मण उद्गातुर्यष्टुः शास्तुश्च शंसिनः ॥४॥</w:t>
      </w:r>
    </w:p>
    <w:p>
      <w:pPr>
        <w:pStyle w:val="BlockText"/>
      </w:pPr>
      <w:r>
        <w:rPr>
          <w:iCs/>
          <w:i/>
        </w:rPr>
        <w:t xml:space="preserve">daṇḍānāmeṣa ākāraścamasāścaturaśragāḥ |</w:t>
      </w:r>
      <w:r>
        <w:t xml:space="preserve"> </w:t>
      </w:r>
      <w:r>
        <w:rPr>
          <w:iCs/>
          <w:i/>
        </w:rPr>
        <w:t xml:space="preserve">hoturbrahmaṇa udgāturyaṣṭuḥ śāstuśca śaṃsinaḥ ||4||</w:t>
      </w:r>
    </w:p>
    <w:p>
      <w:pPr>
        <w:pStyle w:val="BlockText"/>
      </w:pPr>
      <w:r>
        <w:t xml:space="preserve">पोतृनेष्ट्रच्छावाकानामाग्नीध्रस्येति च क्रमः ॥</w:t>
      </w:r>
    </w:p>
    <w:p>
      <w:pPr>
        <w:pStyle w:val="BlockText"/>
      </w:pPr>
      <w:r>
        <w:rPr>
          <w:iCs/>
          <w:i/>
        </w:rPr>
        <w:t xml:space="preserve">potṛneṣṭracchāvākānāmāgnīdhrasyeti ca kramaḥ ||</w:t>
      </w:r>
    </w:p>
    <w:p>
      <w:pPr>
        <w:pStyle w:val="FirstParagraph"/>
      </w:pPr>
      <w:r>
        <w:rPr>
          <w:iCs/>
          <w:i/>
        </w:rPr>
        <w:t xml:space="preserve">(</w:t>
      </w:r>
      <w:r>
        <w:rPr>
          <w:iCs/>
          <w:i/>
        </w:rPr>
        <w:t xml:space="preserve">“</w:t>
      </w:r>
      <w:r>
        <w:rPr>
          <w:iCs/>
          <w:i/>
        </w:rPr>
        <w:t xml:space="preserve">The Brahman’s camasa is square, the Hotṛ’s round; the sacrificer’s broad; the Udgātṛ’s is wanted three-cornered. The Praśāstṛ’s is with the handle bent down, the Brahmaśaṃsin’s with it raised; the Potṛ’s forked at the tip; the Neṣṭṛ’s with the handle set apart. The Acchāvāka’s is rāṣṇāvān, the Āgnīdhra’s mayūkhaga; the Sadasya’s turned to the left: this is the mark of the camasas. This is the shape of the handles; the camasas are square in form; the order is: of the Hotṛ, Brahman, Udgātṛ, sacrificer, Praśāstṛ, Śaṃsin, Potṛ, Neṣṭṛ, Acchāvāka and Āgnīdhra</w:t>
      </w:r>
      <w:r>
        <w:rPr>
          <w:iCs/>
          <w:i/>
        </w:rPr>
        <w:t xml:space="preserve">”</w:t>
      </w:r>
      <w:r>
        <w:rPr>
          <w:iCs/>
          <w:i/>
        </w:rPr>
        <w:t xml:space="preserve"> </w:t>
      </w:r>
      <w:r>
        <w:rPr>
          <w:iCs/>
          <w:i/>
        </w:rPr>
        <w:t xml:space="preserve">— mine and tentative;</w:t>
      </w:r>
      <w:r>
        <w:rPr>
          <w:iCs/>
          <w:i/>
        </w:rPr>
        <w:t xml:space="preserve"> </w:t>
      </w:r>
      <w:r>
        <w:t xml:space="preserve">rāṣṇāvān* and</w:t>
      </w:r>
      <w:r>
        <w:t xml:space="preserve"> </w:t>
      </w:r>
      <w:r>
        <w:rPr>
          <w:iCs/>
          <w:i/>
        </w:rPr>
        <w:t xml:space="preserve">mayūkhaga</w:t>
      </w:r>
      <w:r>
        <w:t xml:space="preserve"> </w:t>
      </w:r>
      <w:r>
        <w:t xml:space="preserve">are left untranslated.)*</w:t>
      </w:r>
    </w:p>
    <w:p>
      <w:pPr>
        <w:pStyle w:val="BodyText"/>
      </w:pPr>
      <w:r>
        <w:t xml:space="preserve">The ancients gave this description in the Agniṣṭoma procedure, in the section on setting down the soma vessels at the morning pressing. From this it is settled that the handle of the Brāhmaṇācchaṃsin’s soma vessel is</w:t>
      </w:r>
      <w:r>
        <w:t xml:space="preserve"> </w:t>
      </w:r>
      <w:r>
        <w:rPr>
          <w:iCs/>
          <w:i/>
        </w:rPr>
        <w:t xml:space="preserve">uttapta</w:t>
      </w:r>
      <w:r>
        <w:t xml:space="preserve">, that is, carved so as to stand raised. The</w:t>
      </w:r>
      <w:r>
        <w:t xml:space="preserve"> </w:t>
      </w:r>
      <w:r>
        <w:rPr>
          <w:iCs/>
          <w:i/>
        </w:rPr>
        <w:t xml:space="preserve">camasa</w:t>
      </w:r>
      <w:r>
        <w:t xml:space="preserve"> </w:t>
      </w:r>
      <w:r>
        <w:t xml:space="preserve">with the raised handle is fixed to the Brāhmaṇācchaṃsin as a part is to the whole. So it may be meant as a part. So meant,</w:t>
      </w:r>
      <w:r>
        <w:t xml:space="preserve"> </w:t>
      </w:r>
      <w:r>
        <w:t xml:space="preserve">“</w:t>
      </w:r>
      <w:r>
        <w:t xml:space="preserve">anudāttāder añ</w:t>
      </w:r>
      <w:r>
        <w:t xml:space="preserve">”</w:t>
      </w:r>
      <w:r>
        <w:t xml:space="preserve"> </w:t>
      </w:r>
      <w:r>
        <w:t xml:space="preserve">(Pā. sū. 4-3-140): after the genitive of a stem beginning with an unaccented syllable, in the senses of part, product and group, the suffix</w:t>
      </w:r>
      <w:r>
        <w:t xml:space="preserve"> </w:t>
      </w:r>
      <w:r>
        <w:rPr>
          <w:iCs/>
          <w:i/>
        </w:rPr>
        <w:t xml:space="preserve">añ</w:t>
      </w:r>
      <w:r>
        <w:t xml:space="preserve">; so</w:t>
      </w:r>
      <w:r>
        <w:t xml:space="preserve"> </w:t>
      </w:r>
      <w:r>
        <w:rPr>
          <w:iCs/>
          <w:i/>
        </w:rPr>
        <w:t xml:space="preserve">añ</w:t>
      </w:r>
      <w:r>
        <w:t xml:space="preserve"> </w:t>
      </w:r>
      <w:r>
        <w:t xml:space="preserve">comes with the analysis</w:t>
      </w:r>
      <w:r>
        <w:t xml:space="preserve"> </w:t>
      </w:r>
      <w:r>
        <w:rPr>
          <w:iCs/>
          <w:i/>
        </w:rPr>
        <w:t xml:space="preserve">brahmaṇaḥ avayavaḥ</w:t>
      </w:r>
      <w:r>
        <w:t xml:space="preserve"> </w:t>
      </w:r>
      <w:r>
        <w:t xml:space="preserve">(a part of the Brāhmaṇācchaṃsin). So the word</w:t>
      </w:r>
      <w:r>
        <w:t xml:space="preserve"> </w:t>
      </w:r>
      <w:r>
        <w:rPr>
          <w:iCs/>
          <w:i/>
        </w:rPr>
        <w:t xml:space="preserve">brāhmaṇa</w:t>
      </w:r>
      <w:r>
        <w:t xml:space="preserve"> </w:t>
      </w:r>
      <w:r>
        <w:t xml:space="preserve">here means the</w:t>
      </w:r>
      <w:r>
        <w:t xml:space="preserve"> </w:t>
      </w:r>
      <w:r>
        <w:rPr>
          <w:iCs/>
          <w:i/>
        </w:rPr>
        <w:t xml:space="preserve">camasa</w:t>
      </w:r>
      <w:r>
        <w:t xml:space="preserve"> </w:t>
      </w:r>
      <w:r>
        <w:t xml:space="preserve">vessel with the carved raised handle, fixed to the Brāhmaṇācchaṃsin as a part to the whole. The suffix</w:t>
      </w:r>
      <w:r>
        <w:t xml:space="preserve"> </w:t>
      </w:r>
      <w:r>
        <w:rPr>
          <w:iCs/>
          <w:i/>
        </w:rPr>
        <w:t xml:space="preserve">añ</w:t>
      </w:r>
      <w:r>
        <w:t xml:space="preserve"> </w:t>
      </w:r>
      <w:r>
        <w:t xml:space="preserve">is</w:t>
      </w:r>
      <w:r>
        <w:t xml:space="preserve"> </w:t>
      </w:r>
      <w:r>
        <w:rPr>
          <w:iCs/>
          <w:i/>
        </w:rPr>
        <w:t xml:space="preserve">ñit</w:t>
      </w:r>
      <w:r>
        <w:t xml:space="preserve">, so by</w:t>
      </w:r>
      <w:r>
        <w:t xml:space="preserve"> </w:t>
      </w:r>
      <w:r>
        <w:t xml:space="preserve">“</w:t>
      </w:r>
      <w:r>
        <w:t xml:space="preserve">ñnityādir nityam</w:t>
      </w:r>
      <w:r>
        <w:t xml:space="preserve">”</w:t>
      </w:r>
      <w:r>
        <w:t xml:space="preserve"> </w:t>
      </w:r>
      <w:r>
        <w:t xml:space="preserve">(Pā. sū. 6-1-197) it is initial udātta.</w:t>
      </w:r>
    </w:p>
    <w:p>
      <w:pPr>
        <w:pStyle w:val="BodyText"/>
      </w:pPr>
      <w:r>
        <w:rPr>
          <w:bCs/>
          <w:b/>
        </w:rPr>
        <w:t xml:space="preserve">राधसः (</w:t>
      </w:r>
      <w:r>
        <w:rPr>
          <w:iCs/>
          <w:i/>
          <w:bCs/>
          <w:b/>
        </w:rPr>
        <w:t xml:space="preserve">rādhasaḥ</w:t>
      </w:r>
      <w:r>
        <w:rPr>
          <w:bCs/>
          <w:b/>
        </w:rPr>
        <w:t xml:space="preserve">)</w:t>
      </w:r>
      <w:r>
        <w:t xml:space="preserve">: by</w:t>
      </w:r>
      <w:r>
        <w:t xml:space="preserve"> </w:t>
      </w:r>
      <w:r>
        <w:t xml:space="preserve">“</w:t>
      </w:r>
      <w:r>
        <w:t xml:space="preserve">sarvadhātubhyo ’sun</w:t>
      </w:r>
      <w:r>
        <w:t xml:space="preserve">”</w:t>
      </w:r>
      <w:r>
        <w:t xml:space="preserve"> </w:t>
      </w:r>
      <w:r>
        <w:t xml:space="preserve">(Uṇ. sū.</w:t>
      </w:r>
      <w:r>
        <w:t xml:space="preserve"> </w:t>
      </w:r>
      <w:r>
        <w:t xml:space="preserve">“</w:t>
      </w:r>
      <w:r>
        <w:t xml:space="preserve">4-628</w:t>
      </w:r>
      <w:r>
        <w:t xml:space="preserve">”</w:t>
      </w:r>
      <w:r>
        <w:t xml:space="preserve"> </w:t>
      </w:r>
      <w:r>
        <w:t xml:space="preserve">[?]) the suffix</w:t>
      </w:r>
      <w:r>
        <w:t xml:space="preserve"> </w:t>
      </w:r>
      <w:r>
        <w:rPr>
          <w:iCs/>
          <w:i/>
        </w:rPr>
        <w:t xml:space="preserve">asun</w:t>
      </w:r>
      <w:r>
        <w:t xml:space="preserve"> </w:t>
      </w:r>
      <w:r>
        <w:t xml:space="preserve">after the root</w:t>
      </w:r>
      <w:r>
        <w:t xml:space="preserve"> </w:t>
      </w:r>
      <w:r>
        <w:rPr>
          <w:iCs/>
          <w:i/>
        </w:rPr>
        <w:t xml:space="preserve">rādh</w:t>
      </w:r>
      <w:r>
        <w:t xml:space="preserve">; initial udātta by the</w:t>
      </w:r>
      <w:r>
        <w:t xml:space="preserve"> </w:t>
      </w:r>
      <w:r>
        <w:rPr>
          <w:iCs/>
          <w:i/>
        </w:rPr>
        <w:t xml:space="preserve">nit</w:t>
      </w:r>
      <w:r>
        <w:t xml:space="preserve"> </w:t>
      </w:r>
      <w:r>
        <w:t xml:space="preserve">accent.</w:t>
      </w:r>
    </w:p>
    <w:p>
      <w:pPr>
        <w:pStyle w:val="BodyText"/>
      </w:pPr>
      <w:r>
        <w:rPr>
          <w:bCs/>
          <w:b/>
        </w:rPr>
        <w:t xml:space="preserve">पिब (</w:t>
      </w:r>
      <w:r>
        <w:rPr>
          <w:iCs/>
          <w:i/>
          <w:bCs/>
          <w:b/>
        </w:rPr>
        <w:t xml:space="preserve">piba</w:t>
      </w:r>
      <w:r>
        <w:rPr>
          <w:bCs/>
          <w:b/>
        </w:rPr>
        <w:t xml:space="preserve">)</w:t>
      </w:r>
      <w:r>
        <w:t xml:space="preserve">: this is set out at</w:t>
      </w:r>
      <w:r>
        <w:t xml:space="preserve"> </w:t>
      </w:r>
      <w:r>
        <w:rPr>
          <w:iCs/>
          <w:i/>
        </w:rPr>
        <w:t xml:space="preserve">pibā mitrasya</w:t>
      </w:r>
      <w:r>
        <w:t xml:space="preserve"> </w:t>
      </w:r>
      <w:r>
        <w:t xml:space="preserve">(Ṛ. Saṃ. 1-14-10). It is at the head of the pāda, so the eighth-adhyāya lowering does not come. Lengthened by</w:t>
      </w:r>
      <w:r>
        <w:t xml:space="preserve"> </w:t>
      </w:r>
      <w:r>
        <w:t xml:space="preserve">“</w:t>
      </w:r>
      <w:r>
        <w:t xml:space="preserve">dvyaco ’tas tiṅaḥ</w:t>
      </w:r>
      <w:r>
        <w:t xml:space="preserve">”</w:t>
      </w:r>
      <w:r>
        <w:t xml:space="preserve"> </w:t>
      </w:r>
      <w:r>
        <w:t xml:space="preserve">(Pā. sū. 6-3-135).</w:t>
      </w:r>
    </w:p>
    <w:p>
      <w:pPr>
        <w:pStyle w:val="BodyText"/>
      </w:pPr>
      <w:r>
        <w:rPr>
          <w:bCs/>
          <w:b/>
        </w:rPr>
        <w:t xml:space="preserve">ऋतूँरनु (</w:t>
      </w:r>
      <w:r>
        <w:rPr>
          <w:iCs/>
          <w:i/>
          <w:bCs/>
          <w:b/>
        </w:rPr>
        <w:t xml:space="preserve">ṛtūm̐r anu</w:t>
      </w:r>
      <w:r>
        <w:rPr>
          <w:bCs/>
          <w:b/>
        </w:rPr>
        <w:t xml:space="preserve">)</w:t>
      </w:r>
      <w:r>
        <w:t xml:space="preserve">: with</w:t>
      </w:r>
      <w:r>
        <w:t xml:space="preserve"> </w:t>
      </w:r>
      <w:r>
        <w:rPr>
          <w:iCs/>
          <w:i/>
        </w:rPr>
        <w:t xml:space="preserve">ṛtūn</w:t>
      </w:r>
      <w:r>
        <w:t xml:space="preserve"> </w:t>
      </w:r>
      <w:r>
        <w:t xml:space="preserve">+</w:t>
      </w:r>
      <w:r>
        <w:t xml:space="preserve"> </w:t>
      </w:r>
      <w:r>
        <w:rPr>
          <w:iCs/>
          <w:i/>
        </w:rPr>
        <w:t xml:space="preserve">anu</w:t>
      </w:r>
      <w:r>
        <w:t xml:space="preserve">, by</w:t>
      </w:r>
      <w:r>
        <w:t xml:space="preserve"> </w:t>
      </w:r>
      <w:r>
        <w:t xml:space="preserve">“</w:t>
      </w:r>
      <w:r>
        <w:t xml:space="preserve">dīrghād aṭi samānapāde</w:t>
      </w:r>
      <w:r>
        <w:t xml:space="preserve">”</w:t>
      </w:r>
      <w:r>
        <w:t xml:space="preserve"> </w:t>
      </w:r>
      <w:r>
        <w:t xml:space="preserve">(Pā. sū.</w:t>
      </w:r>
      <w:r>
        <w:t xml:space="preserve"> </w:t>
      </w:r>
      <w:r>
        <w:t xml:space="preserve">“</w:t>
      </w:r>
      <w:r>
        <w:t xml:space="preserve">8-4-9</w:t>
      </w:r>
      <w:r>
        <w:t xml:space="preserve">”</w:t>
      </w:r>
      <w:r>
        <w:t xml:space="preserve"> </w:t>
      </w:r>
      <w:r>
        <w:t xml:space="preserve">[as printed, for 8-3-9])</w:t>
      </w:r>
      <w:r>
        <w:t xml:space="preserve"> </w:t>
      </w:r>
      <w:r>
        <w:rPr>
          <w:iCs/>
          <w:i/>
        </w:rPr>
        <w:t xml:space="preserve">ru</w:t>
      </w:r>
      <w:r>
        <w:t xml:space="preserve"> </w:t>
      </w:r>
      <w:r>
        <w:t xml:space="preserve">for the</w:t>
      </w:r>
      <w:r>
        <w:t xml:space="preserve"> </w:t>
      </w:r>
      <w:r>
        <w:rPr>
          <w:iCs/>
          <w:i/>
        </w:rPr>
        <w:t xml:space="preserve">n</w:t>
      </w:r>
      <w:r>
        <w:t xml:space="preserve">:</w:t>
      </w:r>
      <w:r>
        <w:t xml:space="preserve"> </w:t>
      </w:r>
      <w:r>
        <w:rPr>
          <w:iCs/>
          <w:i/>
        </w:rPr>
        <w:t xml:space="preserve">ṛtūr</w:t>
      </w:r>
      <w:r>
        <w:t xml:space="preserve"> </w:t>
      </w:r>
      <w:r>
        <w:t xml:space="preserve">+</w:t>
      </w:r>
      <w:r>
        <w:t xml:space="preserve"> </w:t>
      </w:r>
      <w:r>
        <w:rPr>
          <w:iCs/>
          <w:i/>
        </w:rPr>
        <w:t xml:space="preserve">anu</w:t>
      </w:r>
      <w:r>
        <w:t xml:space="preserve">.</w:t>
      </w:r>
      <w:r>
        <w:t xml:space="preserve"> </w:t>
      </w:r>
      <w:r>
        <w:t xml:space="preserve">“</w:t>
      </w:r>
      <w:r>
        <w:t xml:space="preserve">atrānunāsikaḥ pūrvasya tu vā</w:t>
      </w:r>
      <w:r>
        <w:t xml:space="preserve">”</w:t>
      </w:r>
      <w:r>
        <w:t xml:space="preserve"> </w:t>
      </w:r>
      <w:r>
        <w:t xml:space="preserve">(Pā. sū. 8-3-2): in the</w:t>
      </w:r>
      <w:r>
        <w:t xml:space="preserve"> </w:t>
      </w:r>
      <w:r>
        <w:rPr>
          <w:iCs/>
          <w:i/>
        </w:rPr>
        <w:t xml:space="preserve">ru</w:t>
      </w:r>
      <w:r>
        <w:t xml:space="preserve"> </w:t>
      </w:r>
      <w:r>
        <w:t xml:space="preserve">section, in place of what precedes what is enjoined, a nasal comes optionally; so the</w:t>
      </w:r>
      <w:r>
        <w:t xml:space="preserve"> </w:t>
      </w:r>
      <w:r>
        <w:rPr>
          <w:iCs/>
          <w:i/>
        </w:rPr>
        <w:t xml:space="preserve">ū</w:t>
      </w:r>
      <w:r>
        <w:t xml:space="preserve"> </w:t>
      </w:r>
      <w:r>
        <w:t xml:space="preserve">becomes a nasal</w:t>
      </w:r>
      <w:r>
        <w:t xml:space="preserve"> </w:t>
      </w:r>
      <w:r>
        <w:rPr>
          <w:iCs/>
          <w:i/>
        </w:rPr>
        <w:t xml:space="preserve">ū</w:t>
      </w:r>
      <w:r>
        <w:t xml:space="preserve">:</w:t>
      </w:r>
      <w:r>
        <w:t xml:space="preserve"> </w:t>
      </w:r>
      <w:r>
        <w:rPr>
          <w:iCs/>
          <w:i/>
        </w:rPr>
        <w:t xml:space="preserve">ṛtūm̐ anu</w:t>
      </w:r>
      <w:r>
        <w:t xml:space="preserve"> </w:t>
      </w:r>
      <w:r>
        <w:t xml:space="preserve">[as printed].</w:t>
      </w:r>
    </w:p>
    <w:bookmarkEnd w:id="696"/>
    <w:bookmarkStart w:id="697" w:name="page-645-rik-5-grammar-continued"/>
    <w:p>
      <w:pPr>
        <w:pStyle w:val="Heading3"/>
      </w:pPr>
      <w:r>
        <w:t xml:space="preserve">Page 645 — Rik 5: grammar (continued)</w:t>
      </w:r>
    </w:p>
    <w:p>
      <w:pPr>
        <w:pStyle w:val="FirstParagraph"/>
      </w:pPr>
      <w:r>
        <w:rPr>
          <w:bCs/>
          <w:b/>
        </w:rPr>
        <w:t xml:space="preserve">तव (</w:t>
      </w:r>
      <w:r>
        <w:rPr>
          <w:iCs/>
          <w:i/>
          <w:bCs/>
          <w:b/>
        </w:rPr>
        <w:t xml:space="preserve">tava</w:t>
      </w:r>
      <w:r>
        <w:rPr>
          <w:bCs/>
          <w:b/>
        </w:rPr>
        <w:t xml:space="preserve">)</w:t>
      </w:r>
      <w:r>
        <w:t xml:space="preserve">:</w:t>
      </w:r>
      <w:r>
        <w:t xml:space="preserve"> </w:t>
      </w:r>
      <w:r>
        <w:rPr>
          <w:iCs/>
          <w:i/>
        </w:rPr>
        <w:t xml:space="preserve">yuṣmad</w:t>
      </w:r>
      <w:r>
        <w:t xml:space="preserve"> </w:t>
      </w:r>
      <w:r>
        <w:t xml:space="preserve">+ genitive singular</w:t>
      </w:r>
      <w:r>
        <w:t xml:space="preserve"> </w:t>
      </w:r>
      <w:r>
        <w:t xml:space="preserve">“</w:t>
      </w:r>
      <w:r>
        <w:t xml:space="preserve">jas</w:t>
      </w:r>
      <w:r>
        <w:t xml:space="preserve">”</w:t>
      </w:r>
      <w:r>
        <w:t xml:space="preserve"> </w:t>
      </w:r>
      <w:r>
        <w:t xml:space="preserve">[as printed, for</w:t>
      </w:r>
      <w:r>
        <w:t xml:space="preserve"> </w:t>
      </w:r>
      <w:r>
        <w:rPr>
          <w:iCs/>
          <w:i/>
        </w:rPr>
        <w:t xml:space="preserve">ṅas</w:t>
      </w:r>
      <w:r>
        <w:t xml:space="preserve">];</w:t>
      </w:r>
      <w:r>
        <w:t xml:space="preserve"> </w:t>
      </w:r>
      <w:r>
        <w:t xml:space="preserve">“</w:t>
      </w:r>
      <w:r>
        <w:t xml:space="preserve">yuṣmadasmadbhyāṃ ṅaso ’ś</w:t>
      </w:r>
      <w:r>
        <w:t xml:space="preserve">”</w:t>
      </w:r>
      <w:r>
        <w:t xml:space="preserve"> </w:t>
      </w:r>
      <w:r>
        <w:t xml:space="preserve">(Pā. sū. 7-1-27):</w:t>
      </w:r>
      <w:r>
        <w:t xml:space="preserve"> </w:t>
      </w:r>
      <w:r>
        <w:rPr>
          <w:iCs/>
          <w:i/>
        </w:rPr>
        <w:t xml:space="preserve">aś</w:t>
      </w:r>
      <w:r>
        <w:t xml:space="preserve"> </w:t>
      </w:r>
      <w:r>
        <w:t xml:space="preserve">for the</w:t>
      </w:r>
      <w:r>
        <w:t xml:space="preserve"> </w:t>
      </w:r>
      <w:r>
        <w:rPr>
          <w:iCs/>
          <w:i/>
        </w:rPr>
        <w:t xml:space="preserve">ṅas</w:t>
      </w:r>
      <w:r>
        <w:t xml:space="preserve"> </w:t>
      </w:r>
      <w:r>
        <w:t xml:space="preserve">after</w:t>
      </w:r>
      <w:r>
        <w:t xml:space="preserve"> </w:t>
      </w:r>
      <w:r>
        <w:rPr>
          <w:iCs/>
          <w:i/>
        </w:rPr>
        <w:t xml:space="preserve">yuṣmad</w:t>
      </w:r>
      <w:r>
        <w:t xml:space="preserve"> </w:t>
      </w:r>
      <w:r>
        <w:t xml:space="preserve">and</w:t>
      </w:r>
      <w:r>
        <w:t xml:space="preserve"> </w:t>
      </w:r>
      <w:r>
        <w:rPr>
          <w:iCs/>
          <w:i/>
        </w:rPr>
        <w:t xml:space="preserve">asmad</w:t>
      </w:r>
      <w:r>
        <w:t xml:space="preserve">; being</w:t>
      </w:r>
      <w:r>
        <w:t xml:space="preserve"> </w:t>
      </w:r>
      <w:r>
        <w:rPr>
          <w:iCs/>
          <w:i/>
        </w:rPr>
        <w:t xml:space="preserve">śit</w:t>
      </w:r>
      <w:r>
        <w:t xml:space="preserve">, it replaces the whole by</w:t>
      </w:r>
      <w:r>
        <w:t xml:space="preserve"> </w:t>
      </w:r>
      <w:r>
        <w:t xml:space="preserve">“</w:t>
      </w:r>
      <w:r>
        <w:t xml:space="preserve">anekālśit sarvasya</w:t>
      </w:r>
      <w:r>
        <w:t xml:space="preserve">”</w:t>
      </w:r>
      <w:r>
        <w:t xml:space="preserve"> </w:t>
      </w:r>
      <w:r>
        <w:t xml:space="preserve">(Pā. sū. 1-1-55):</w:t>
      </w:r>
      <w:r>
        <w:t xml:space="preserve"> </w:t>
      </w:r>
      <w:r>
        <w:rPr>
          <w:iCs/>
          <w:i/>
        </w:rPr>
        <w:t xml:space="preserve">yuṣmad</w:t>
      </w:r>
      <w:r>
        <w:t xml:space="preserve"> </w:t>
      </w:r>
      <w:r>
        <w:t xml:space="preserve">+</w:t>
      </w:r>
      <w:r>
        <w:t xml:space="preserve"> </w:t>
      </w:r>
      <w:r>
        <w:rPr>
          <w:iCs/>
          <w:i/>
        </w:rPr>
        <w:t xml:space="preserve">a</w:t>
      </w:r>
      <w:r>
        <w:t xml:space="preserve">.</w:t>
      </w:r>
      <w:r>
        <w:t xml:space="preserve"> </w:t>
      </w:r>
      <w:r>
        <w:t xml:space="preserve">“</w:t>
      </w:r>
      <w:r>
        <w:t xml:space="preserve">tavamamau ṅasi</w:t>
      </w:r>
      <w:r>
        <w:t xml:space="preserve">”</w:t>
      </w:r>
      <w:r>
        <w:t xml:space="preserve"> </w:t>
      </w:r>
      <w:r>
        <w:t xml:space="preserve">(Pā. sū.</w:t>
      </w:r>
      <w:r>
        <w:t xml:space="preserve"> </w:t>
      </w:r>
      <w:r>
        <w:t xml:space="preserve">“</w:t>
      </w:r>
      <w:r>
        <w:t xml:space="preserve">7-2-96</w:t>
      </w:r>
      <w:r>
        <w:t xml:space="preserve">”</w:t>
      </w:r>
      <w:r>
        <w:t xml:space="preserve"> </w:t>
      </w:r>
      <w:r>
        <w:t xml:space="preserve">[as printed]): before</w:t>
      </w:r>
      <w:r>
        <w:t xml:space="preserve"> </w:t>
      </w:r>
      <w:r>
        <w:rPr>
          <w:iCs/>
          <w:i/>
        </w:rPr>
        <w:t xml:space="preserve">ṅas</w:t>
      </w:r>
      <w:r>
        <w:t xml:space="preserve">,</w:t>
      </w:r>
      <w:r>
        <w:t xml:space="preserve"> </w:t>
      </w:r>
      <w:r>
        <w:rPr>
          <w:iCs/>
          <w:i/>
        </w:rPr>
        <w:t xml:space="preserve">tava</w:t>
      </w:r>
      <w:r>
        <w:t xml:space="preserve"> </w:t>
      </w:r>
      <w:r>
        <w:t xml:space="preserve">and</w:t>
      </w:r>
      <w:r>
        <w:t xml:space="preserve"> </w:t>
      </w:r>
      <w:r>
        <w:rPr>
          <w:iCs/>
          <w:i/>
        </w:rPr>
        <w:t xml:space="preserve">mama</w:t>
      </w:r>
      <w:r>
        <w:t xml:space="preserve"> </w:t>
      </w:r>
      <w:r>
        <w:t xml:space="preserve">for the part up to</w:t>
      </w:r>
      <w:r>
        <w:t xml:space="preserve"> </w:t>
      </w:r>
      <w:r>
        <w:rPr>
          <w:iCs/>
          <w:i/>
        </w:rPr>
        <w:t xml:space="preserve">m</w:t>
      </w:r>
      <w:r>
        <w:t xml:space="preserve"> </w:t>
      </w:r>
      <w:r>
        <w:t xml:space="preserve">of</w:t>
      </w:r>
      <w:r>
        <w:t xml:space="preserve"> </w:t>
      </w:r>
      <w:r>
        <w:rPr>
          <w:iCs/>
          <w:i/>
        </w:rPr>
        <w:t xml:space="preserve">yuṣmad</w:t>
      </w:r>
      <w:r>
        <w:t xml:space="preserve"> </w:t>
      </w:r>
      <w:r>
        <w:t xml:space="preserve">and</w:t>
      </w:r>
      <w:r>
        <w:t xml:space="preserve"> </w:t>
      </w:r>
      <w:r>
        <w:rPr>
          <w:iCs/>
          <w:i/>
        </w:rPr>
        <w:t xml:space="preserve">asmad</w:t>
      </w:r>
      <w:r>
        <w:t xml:space="preserve">:</w:t>
      </w:r>
      <w:r>
        <w:t xml:space="preserve"> </w:t>
      </w:r>
      <w:r>
        <w:rPr>
          <w:iCs/>
          <w:i/>
        </w:rPr>
        <w:t xml:space="preserve">tava</w:t>
      </w:r>
      <w:r>
        <w:t xml:space="preserve"> </w:t>
      </w:r>
      <w:r>
        <w:t xml:space="preserve">+</w:t>
      </w:r>
      <w:r>
        <w:t xml:space="preserve"> </w:t>
      </w:r>
      <w:r>
        <w:rPr>
          <w:iCs/>
          <w:i/>
        </w:rPr>
        <w:t xml:space="preserve">ad</w:t>
      </w:r>
      <w:r>
        <w:t xml:space="preserve"> </w:t>
      </w:r>
      <w:r>
        <w:t xml:space="preserve">+</w:t>
      </w:r>
      <w:r>
        <w:t xml:space="preserve"> </w:t>
      </w:r>
      <w:r>
        <w:rPr>
          <w:iCs/>
          <w:i/>
        </w:rPr>
        <w:t xml:space="preserve">a</w:t>
      </w:r>
      <w:r>
        <w:t xml:space="preserve">;</w:t>
      </w:r>
      <w:r>
        <w:t xml:space="preserve"> </w:t>
      </w:r>
      <w:r>
        <w:rPr>
          <w:iCs/>
          <w:i/>
        </w:rPr>
        <w:t xml:space="preserve">pararūpa</w:t>
      </w:r>
      <w:r>
        <w:t xml:space="preserve"> </w:t>
      </w:r>
      <w:r>
        <w:t xml:space="preserve">by</w:t>
      </w:r>
      <w:r>
        <w:t xml:space="preserve"> </w:t>
      </w:r>
      <w:r>
        <w:t xml:space="preserve">“</w:t>
      </w:r>
      <w:r>
        <w:t xml:space="preserve">ato guṇe</w:t>
      </w:r>
      <w:r>
        <w:t xml:space="preserve">”</w:t>
      </w:r>
      <w:r>
        <w:t xml:space="preserve">;</w:t>
      </w:r>
      <w:r>
        <w:t xml:space="preserve"> </w:t>
      </w:r>
      <w:r>
        <w:rPr>
          <w:iCs/>
          <w:i/>
        </w:rPr>
        <w:t xml:space="preserve">ṭi</w:t>
      </w:r>
      <w:r>
        <w:t xml:space="preserve"> </w:t>
      </w:r>
      <w:r>
        <w:t xml:space="preserve">dropped by</w:t>
      </w:r>
      <w:r>
        <w:t xml:space="preserve"> </w:t>
      </w:r>
      <w:r>
        <w:t xml:space="preserve">“</w:t>
      </w:r>
      <w:r>
        <w:t xml:space="preserve">śeṣe lopaḥ</w:t>
      </w:r>
      <w:r>
        <w:t xml:space="preserve">”</w:t>
      </w:r>
      <w:r>
        <w:t xml:space="preserve">.</w:t>
      </w:r>
      <w:r>
        <w:t xml:space="preserve"> </w:t>
      </w:r>
      <w:r>
        <w:t xml:space="preserve">“</w:t>
      </w:r>
      <w:r>
        <w:t xml:space="preserve">yuṣmadasmador ṅasi</w:t>
      </w:r>
      <w:r>
        <w:t xml:space="preserve">”</w:t>
      </w:r>
      <w:r>
        <w:t xml:space="preserve"> </w:t>
      </w:r>
      <w:r>
        <w:t xml:space="preserve">(Pā. sū. 6-1-211): before</w:t>
      </w:r>
      <w:r>
        <w:t xml:space="preserve"> </w:t>
      </w:r>
      <w:r>
        <w:rPr>
          <w:iCs/>
          <w:i/>
        </w:rPr>
        <w:t xml:space="preserve">ṅas</w:t>
      </w:r>
      <w:r>
        <w:t xml:space="preserve"> </w:t>
      </w:r>
      <w:r>
        <w:t xml:space="preserve">the first syllable of</w:t>
      </w:r>
      <w:r>
        <w:t xml:space="preserve"> </w:t>
      </w:r>
      <w:r>
        <w:rPr>
          <w:iCs/>
          <w:i/>
        </w:rPr>
        <w:t xml:space="preserve">yuṣmad</w:t>
      </w:r>
      <w:r>
        <w:t xml:space="preserve"> </w:t>
      </w:r>
      <w:r>
        <w:t xml:space="preserve">and</w:t>
      </w:r>
      <w:r>
        <w:t xml:space="preserve"> </w:t>
      </w:r>
      <w:r>
        <w:rPr>
          <w:iCs/>
          <w:i/>
        </w:rPr>
        <w:t xml:space="preserve">asmad</w:t>
      </w:r>
      <w:r>
        <w:t xml:space="preserve"> </w:t>
      </w:r>
      <w:r>
        <w:t xml:space="preserve">is udātta. Though the ending would be udātta by the</w:t>
      </w:r>
      <w:r>
        <w:t xml:space="preserve"> </w:t>
      </w:r>
      <w:r>
        <w:rPr>
          <w:iCs/>
          <w:i/>
        </w:rPr>
        <w:t xml:space="preserve">udāttanivṛtti</w:t>
      </w:r>
      <w:r>
        <w:t xml:space="preserve"> </w:t>
      </w:r>
      <w:r>
        <w:t xml:space="preserve">accent</w:t>
      </w:r>
      <w:r>
        <w:t xml:space="preserve"> </w:t>
      </w:r>
      <w:r>
        <w:t xml:space="preserve">“</w:t>
      </w:r>
      <w:r>
        <w:t xml:space="preserve">anudāttasya ca yatrodāttalopaḥ</w:t>
      </w:r>
      <w:r>
        <w:t xml:space="preserve">”</w:t>
      </w:r>
      <w:r>
        <w:t xml:space="preserve"> </w:t>
      </w:r>
      <w:r>
        <w:t xml:space="preserve">(Pā. sū. 6-1-161) where</w:t>
      </w:r>
      <w:r>
        <w:t xml:space="preserve"> </w:t>
      </w:r>
      <w:r>
        <w:rPr>
          <w:iCs/>
          <w:i/>
        </w:rPr>
        <w:t xml:space="preserve">śeṣe lopaḥ</w:t>
      </w:r>
      <w:r>
        <w:t xml:space="preserve"> </w:t>
      </w:r>
      <w:r>
        <w:t xml:space="preserve">(Pā. sū. 7-2-90) drops the</w:t>
      </w:r>
      <w:r>
        <w:t xml:space="preserve"> </w:t>
      </w:r>
      <w:r>
        <w:rPr>
          <w:iCs/>
          <w:i/>
        </w:rPr>
        <w:t xml:space="preserve">ṭi</w:t>
      </w:r>
      <w:r>
        <w:t xml:space="preserve">, and by</w:t>
      </w:r>
      <w:r>
        <w:t xml:space="preserve"> </w:t>
      </w:r>
      <w:r>
        <w:t xml:space="preserve">“</w:t>
      </w:r>
      <w:r>
        <w:t xml:space="preserve">ekādeśa udāttenodāttaḥ</w:t>
      </w:r>
      <w:r>
        <w:t xml:space="preserve">”</w:t>
      </w:r>
      <w:r>
        <w:t xml:space="preserve"> </w:t>
      </w:r>
      <w:r>
        <w:t xml:space="preserve">(Pā. sū. 8-2-5) where it drops the final, overriding that the first syllable of</w:t>
      </w:r>
      <w:r>
        <w:t xml:space="preserve"> </w:t>
      </w:r>
      <w:r>
        <w:rPr>
          <w:iCs/>
          <w:i/>
        </w:rPr>
        <w:t xml:space="preserve">yuṣmad</w:t>
      </w:r>
      <w:r>
        <w:t xml:space="preserve"> </w:t>
      </w:r>
      <w:r>
        <w:t xml:space="preserve">is udātta; the other letters are unaccented by the</w:t>
      </w:r>
      <w:r>
        <w:t xml:space="preserve"> </w:t>
      </w:r>
      <w:r>
        <w:rPr>
          <w:iCs/>
          <w:i/>
        </w:rPr>
        <w:t xml:space="preserve">śeṣānudātta</w:t>
      </w:r>
      <w:r>
        <w:t xml:space="preserve"> </w:t>
      </w:r>
      <w:r>
        <w:t xml:space="preserve">accent.</w:t>
      </w:r>
    </w:p>
    <w:p>
      <w:pPr>
        <w:pStyle w:val="BodyText"/>
      </w:pPr>
      <w:r>
        <w:rPr>
          <w:bCs/>
          <w:b/>
        </w:rPr>
        <w:t xml:space="preserve">सख्यम् (</w:t>
      </w:r>
      <w:r>
        <w:rPr>
          <w:iCs/>
          <w:i/>
          <w:bCs/>
          <w:b/>
        </w:rPr>
        <w:t xml:space="preserve">sakhyam</w:t>
      </w:r>
      <w:r>
        <w:rPr>
          <w:bCs/>
          <w:b/>
        </w:rPr>
        <w:t xml:space="preserve">)</w:t>
      </w:r>
      <w:r>
        <w:t xml:space="preserve">:</w:t>
      </w:r>
      <w:r>
        <w:t xml:space="preserve"> </w:t>
      </w:r>
      <w:r>
        <w:rPr>
          <w:iCs/>
          <w:i/>
        </w:rPr>
        <w:t xml:space="preserve">sakhyuḥ karma</w:t>
      </w:r>
      <w:r>
        <w:t xml:space="preserve">.</w:t>
      </w:r>
      <w:r>
        <w:t xml:space="preserve"> </w:t>
      </w:r>
      <w:r>
        <w:t xml:space="preserve">“</w:t>
      </w:r>
      <w:r>
        <w:t xml:space="preserve">sakhyur yaḥ</w:t>
      </w:r>
      <w:r>
        <w:t xml:space="preserve">”</w:t>
      </w:r>
      <w:r>
        <w:t xml:space="preserve"> </w:t>
      </w:r>
      <w:r>
        <w:t xml:space="preserve">(Pā. sū. 5-1-126): after the fitting genitive of</w:t>
      </w:r>
      <w:r>
        <w:t xml:space="preserve"> </w:t>
      </w:r>
      <w:r>
        <w:rPr>
          <w:iCs/>
          <w:i/>
        </w:rPr>
        <w:t xml:space="preserve">sakhi</w:t>
      </w:r>
      <w:r>
        <w:t xml:space="preserve">, in the senses of state and act, the suffix</w:t>
      </w:r>
      <w:r>
        <w:t xml:space="preserve"> </w:t>
      </w:r>
      <w:r>
        <w:rPr>
          <w:iCs/>
          <w:i/>
        </w:rPr>
        <w:t xml:space="preserve">ya</w:t>
      </w:r>
      <w:r>
        <w:t xml:space="preserve">; so</w:t>
      </w:r>
      <w:r>
        <w:t xml:space="preserve"> </w:t>
      </w:r>
      <w:r>
        <w:rPr>
          <w:iCs/>
          <w:i/>
        </w:rPr>
        <w:t xml:space="preserve">ya</w:t>
      </w:r>
      <w:r>
        <w:t xml:space="preserve"> </w:t>
      </w:r>
      <w:r>
        <w:t xml:space="preserve">after</w:t>
      </w:r>
      <w:r>
        <w:t xml:space="preserve"> </w:t>
      </w:r>
      <w:r>
        <w:rPr>
          <w:iCs/>
          <w:i/>
        </w:rPr>
        <w:t xml:space="preserve">sakhi</w:t>
      </w:r>
      <w:r>
        <w:t xml:space="preserve"> </w:t>
      </w:r>
      <w:r>
        <w:t xml:space="preserve">in the sense of act;</w:t>
      </w:r>
      <w:r>
        <w:t xml:space="preserve"> </w:t>
      </w:r>
      <w:r>
        <w:rPr>
          <w:iCs/>
          <w:i/>
        </w:rPr>
        <w:t xml:space="preserve">sakhi</w:t>
      </w:r>
      <w:r>
        <w:t xml:space="preserve"> </w:t>
      </w:r>
      <w:r>
        <w:t xml:space="preserve">+</w:t>
      </w:r>
      <w:r>
        <w:t xml:space="preserve"> </w:t>
      </w:r>
      <w:r>
        <w:rPr>
          <w:iCs/>
          <w:i/>
        </w:rPr>
        <w:t xml:space="preserve">ya</w:t>
      </w:r>
      <w:r>
        <w:t xml:space="preserve">; the</w:t>
      </w:r>
      <w:r>
        <w:t xml:space="preserve"> </w:t>
      </w:r>
      <w:r>
        <w:rPr>
          <w:iCs/>
          <w:i/>
        </w:rPr>
        <w:t xml:space="preserve">i</w:t>
      </w:r>
      <w:r>
        <w:t xml:space="preserve"> </w:t>
      </w:r>
      <w:r>
        <w:t xml:space="preserve">dropped by</w:t>
      </w:r>
      <w:r>
        <w:t xml:space="preserve"> </w:t>
      </w:r>
      <w:r>
        <w:t xml:space="preserve">“</w:t>
      </w:r>
      <w:r>
        <w:t xml:space="preserve">yasyeti ca</w:t>
      </w:r>
      <w:r>
        <w:t xml:space="preserve">”</w:t>
      </w:r>
      <w:r>
        <w:t xml:space="preserve"> </w:t>
      </w:r>
      <w:r>
        <w:t xml:space="preserve">(Pā. sū. 6-4-148); the suffix accent.</w:t>
      </w:r>
    </w:p>
    <w:p>
      <w:pPr>
        <w:pStyle w:val="BodyText"/>
      </w:pPr>
      <w:r>
        <w:rPr>
          <w:bCs/>
          <w:b/>
        </w:rPr>
        <w:t xml:space="preserve">अस्तृतम् (</w:t>
      </w:r>
      <w:r>
        <w:rPr>
          <w:iCs/>
          <w:i/>
          <w:bCs/>
          <w:b/>
        </w:rPr>
        <w:t xml:space="preserve">astṛtam</w:t>
      </w:r>
      <w:r>
        <w:rPr>
          <w:bCs/>
          <w:b/>
        </w:rPr>
        <w:t xml:space="preserve">)</w:t>
      </w:r>
      <w:r>
        <w:t xml:space="preserve">:</w:t>
      </w:r>
      <w:r>
        <w:t xml:space="preserve"> </w:t>
      </w:r>
      <w:r>
        <w:rPr>
          <w:iCs/>
          <w:i/>
        </w:rPr>
        <w:t xml:space="preserve">stṛñ ācchādane</w:t>
      </w:r>
      <w:r>
        <w:t xml:space="preserve"> </w:t>
      </w:r>
      <w:r>
        <w:t xml:space="preserve">(</w:t>
      </w:r>
      <w:r>
        <w:rPr>
          <w:iCs/>
          <w:i/>
        </w:rPr>
        <w:t xml:space="preserve">svādi</w:t>
      </w:r>
      <w:r>
        <w:t xml:space="preserve">). Roots have many senses, so here</w:t>
      </w:r>
      <w:r>
        <w:t xml:space="preserve"> </w:t>
      </w:r>
      <w:r>
        <w:rPr>
          <w:iCs/>
          <w:i/>
        </w:rPr>
        <w:t xml:space="preserve">stṛ</w:t>
      </w:r>
      <w:r>
        <w:t xml:space="preserve"> </w:t>
      </w:r>
      <w:r>
        <w:t xml:space="preserve">is in the sense of harming.</w:t>
      </w:r>
      <w:r>
        <w:t xml:space="preserve"> </w:t>
      </w:r>
      <w:r>
        <w:rPr>
          <w:iCs/>
          <w:i/>
        </w:rPr>
        <w:t xml:space="preserve">Kta</w:t>
      </w:r>
      <w:r>
        <w:t xml:space="preserve"> </w:t>
      </w:r>
      <w:r>
        <w:t xml:space="preserve">after it:</w:t>
      </w:r>
      <w:r>
        <w:t xml:space="preserve"> </w:t>
      </w:r>
      <w:r>
        <w:rPr>
          <w:iCs/>
          <w:i/>
        </w:rPr>
        <w:t xml:space="preserve">stṛ</w:t>
      </w:r>
      <w:r>
        <w:t xml:space="preserve"> </w:t>
      </w:r>
      <w:r>
        <w:t xml:space="preserve">+</w:t>
      </w:r>
      <w:r>
        <w:t xml:space="preserve"> </w:t>
      </w:r>
      <w:r>
        <w:rPr>
          <w:iCs/>
          <w:i/>
        </w:rPr>
        <w:t xml:space="preserve">ta</w:t>
      </w:r>
      <w:r>
        <w:t xml:space="preserve">;</w:t>
      </w:r>
      <w:r>
        <w:t xml:space="preserve"> </w:t>
      </w:r>
      <w:r>
        <w:t xml:space="preserve">“</w:t>
      </w:r>
      <w:r>
        <w:t xml:space="preserve">ekāca upadeśe ’nudāttāt</w:t>
      </w:r>
      <w:r>
        <w:t xml:space="preserve">”</w:t>
      </w:r>
      <w:r>
        <w:t xml:space="preserve"> </w:t>
      </w:r>
      <w:r>
        <w:t xml:space="preserve">(Pā. sū. 7-2-10) bars the</w:t>
      </w:r>
      <w:r>
        <w:t xml:space="preserve"> </w:t>
      </w:r>
      <w:r>
        <w:rPr>
          <w:iCs/>
          <w:i/>
        </w:rPr>
        <w:t xml:space="preserve">iṭ</w:t>
      </w:r>
      <w:r>
        <w:t xml:space="preserve">, or</w:t>
      </w:r>
      <w:r>
        <w:t xml:space="preserve"> </w:t>
      </w:r>
      <w:r>
        <w:t xml:space="preserve">“</w:t>
      </w:r>
      <w:r>
        <w:t xml:space="preserve">ṛtaś ca saṃyogādeḥ</w:t>
      </w:r>
      <w:r>
        <w:t xml:space="preserve">”</w:t>
      </w:r>
      <w:r>
        <w:t xml:space="preserve"> </w:t>
      </w:r>
      <w:r>
        <w:t xml:space="preserve">(Pā. sū. 7-2-43): after a root ending in</w:t>
      </w:r>
      <w:r>
        <w:t xml:space="preserve"> </w:t>
      </w:r>
      <w:r>
        <w:rPr>
          <w:iCs/>
          <w:i/>
        </w:rPr>
        <w:t xml:space="preserve">ṛ</w:t>
      </w:r>
      <w:r>
        <w:t xml:space="preserve"> </w:t>
      </w:r>
      <w:r>
        <w:t xml:space="preserve">that begins with a conjunct,</w:t>
      </w:r>
      <w:r>
        <w:t xml:space="preserve"> </w:t>
      </w:r>
      <w:r>
        <w:rPr>
          <w:iCs/>
          <w:i/>
        </w:rPr>
        <w:t xml:space="preserve">iṭ</w:t>
      </w:r>
      <w:r>
        <w:t xml:space="preserve"> </w:t>
      </w:r>
      <w:r>
        <w:t xml:space="preserve">is optional for</w:t>
      </w:r>
      <w:r>
        <w:t xml:space="preserve"> </w:t>
      </w:r>
      <w:r>
        <w:rPr>
          <w:iCs/>
          <w:i/>
        </w:rPr>
        <w:t xml:space="preserve">liṅ</w:t>
      </w:r>
      <w:r>
        <w:t xml:space="preserve"> </w:t>
      </w:r>
      <w:r>
        <w:t xml:space="preserve">and</w:t>
      </w:r>
      <w:r>
        <w:t xml:space="preserve"> </w:t>
      </w:r>
      <w:r>
        <w:rPr>
          <w:iCs/>
          <w:i/>
        </w:rPr>
        <w:t xml:space="preserve">sic</w:t>
      </w:r>
      <w:r>
        <w:t xml:space="preserve"> </w:t>
      </w:r>
      <w:r>
        <w:t xml:space="preserve">before an</w:t>
      </w:r>
      <w:r>
        <w:t xml:space="preserve"> </w:t>
      </w:r>
      <w:r>
        <w:rPr>
          <w:iCs/>
          <w:i/>
        </w:rPr>
        <w:t xml:space="preserve">ātmanepada</w:t>
      </w:r>
      <w:r>
        <w:t xml:space="preserve"> </w:t>
      </w:r>
      <w:r>
        <w:t xml:space="preserve">ending; since the</w:t>
      </w:r>
      <w:r>
        <w:t xml:space="preserve"> </w:t>
      </w:r>
      <w:r>
        <w:rPr>
          <w:iCs/>
          <w:i/>
        </w:rPr>
        <w:t xml:space="preserve">iṭ</w:t>
      </w:r>
      <w:r>
        <w:t xml:space="preserve"> </w:t>
      </w:r>
      <w:r>
        <w:t xml:space="preserve">is enjoined as optional, by</w:t>
      </w:r>
      <w:r>
        <w:t xml:space="preserve"> </w:t>
      </w:r>
      <w:r>
        <w:t xml:space="preserve">“</w:t>
      </w:r>
      <w:r>
        <w:t xml:space="preserve">yasya vibhāṣā</w:t>
      </w:r>
      <w:r>
        <w:t xml:space="preserve">”</w:t>
      </w:r>
      <w:r>
        <w:t xml:space="preserve"> </w:t>
      </w:r>
      <w:r>
        <w:t xml:space="preserve">the suffix</w:t>
      </w:r>
      <w:r>
        <w:t xml:space="preserve"> </w:t>
      </w:r>
      <w:r>
        <w:rPr>
          <w:iCs/>
          <w:i/>
        </w:rPr>
        <w:t xml:space="preserve">kta</w:t>
      </w:r>
      <w:r>
        <w:t xml:space="preserve"> </w:t>
      </w:r>
      <w:r>
        <w:t xml:space="preserve">takes no</w:t>
      </w:r>
      <w:r>
        <w:t xml:space="preserve"> </w:t>
      </w:r>
      <w:r>
        <w:rPr>
          <w:iCs/>
          <w:i/>
        </w:rPr>
        <w:t xml:space="preserve">iṭ</w:t>
      </w:r>
      <w:r>
        <w:t xml:space="preserve">.</w:t>
      </w:r>
      <w:r>
        <w:t xml:space="preserve"> </w:t>
      </w:r>
      <w:r>
        <w:rPr>
          <w:iCs/>
          <w:i/>
        </w:rPr>
        <w:t xml:space="preserve">Na stṛtam astṛtam</w:t>
      </w:r>
      <w:r>
        <w:t xml:space="preserve">: a</w:t>
      </w:r>
      <w:r>
        <w:t xml:space="preserve"> </w:t>
      </w:r>
      <w:r>
        <w:rPr>
          <w:iCs/>
          <w:i/>
        </w:rPr>
        <w:t xml:space="preserve">nañ</w:t>
      </w:r>
      <w:r>
        <w:t xml:space="preserve"> </w:t>
      </w:r>
      <w:r>
        <w:t xml:space="preserve">compound. By</w:t>
      </w:r>
      <w:r>
        <w:t xml:space="preserve"> </w:t>
      </w:r>
      <w:r>
        <w:t xml:space="preserve">“</w:t>
      </w:r>
      <w:r>
        <w:t xml:space="preserve">tatpuruṣe tulyārthatṛtīyāsaptamyupamānāvyayadvitīyākṛtyāḥ</w:t>
      </w:r>
      <w:r>
        <w:t xml:space="preserve">”</w:t>
      </w:r>
      <w:r>
        <w:t xml:space="preserve"> </w:t>
      </w:r>
      <w:r>
        <w:t xml:space="preserve">(Pā. sū. 6-2-2) the first member, an</w:t>
      </w:r>
      <w:r>
        <w:t xml:space="preserve"> </w:t>
      </w:r>
      <w:r>
        <w:rPr>
          <w:iCs/>
          <w:i/>
        </w:rPr>
        <w:t xml:space="preserve">avyaya</w:t>
      </w:r>
      <w:r>
        <w:t xml:space="preserve">, keeps its accent; the first member is a</w:t>
      </w:r>
      <w:r>
        <w:t xml:space="preserve"> </w:t>
      </w:r>
      <w:r>
        <w:rPr>
          <w:iCs/>
          <w:i/>
        </w:rPr>
        <w:t xml:space="preserve">nipāta</w:t>
      </w:r>
      <w:r>
        <w:t xml:space="preserve">, so initial udātta by</w:t>
      </w:r>
      <w:r>
        <w:t xml:space="preserve"> </w:t>
      </w:r>
      <w:r>
        <w:t xml:space="preserve">“</w:t>
      </w:r>
      <w:r>
        <w:t xml:space="preserve">nipātā ādyudāttāḥ</w:t>
      </w:r>
      <w:r>
        <w:t xml:space="preserve">”</w:t>
      </w:r>
      <w:r>
        <w:t xml:space="preserve"> </w:t>
      </w:r>
      <w:r>
        <w:t xml:space="preserve">(Phi. sū. 80).</w:t>
      </w:r>
      <w:r>
        <w:t xml:space="preserve"> </w:t>
      </w:r>
      <w:r>
        <w:rPr>
          <w:iCs/>
          <w:i/>
        </w:rPr>
        <w:t xml:space="preserve">Stṝñ ācchādane</w:t>
      </w:r>
      <w:r>
        <w:t xml:space="preserve"> </w:t>
      </w:r>
      <w:r>
        <w:t xml:space="preserve">is a</w:t>
      </w:r>
      <w:r>
        <w:t xml:space="preserve"> </w:t>
      </w:r>
      <w:r>
        <w:rPr>
          <w:iCs/>
          <w:i/>
        </w:rPr>
        <w:t xml:space="preserve">kryādi</w:t>
      </w:r>
      <w:r>
        <w:t xml:space="preserve"> </w:t>
      </w:r>
      <w:r>
        <w:t xml:space="preserve">root, with</w:t>
      </w:r>
      <w:r>
        <w:t xml:space="preserve"> </w:t>
      </w:r>
      <w:r>
        <w:rPr>
          <w:iCs/>
          <w:i/>
        </w:rPr>
        <w:t xml:space="preserve">laṭ</w:t>
      </w:r>
      <w:r>
        <w:t xml:space="preserve"> </w:t>
      </w:r>
      <w:r>
        <w:rPr>
          <w:iCs/>
          <w:i/>
        </w:rPr>
        <w:t xml:space="preserve">stṛṇāti</w:t>
      </w:r>
      <w:r>
        <w:t xml:space="preserve">. If the suffix</w:t>
      </w:r>
      <w:r>
        <w:t xml:space="preserve"> </w:t>
      </w:r>
      <w:r>
        <w:rPr>
          <w:iCs/>
          <w:i/>
        </w:rPr>
        <w:t xml:space="preserve">kta</w:t>
      </w:r>
      <w:r>
        <w:t xml:space="preserve"> </w:t>
      </w:r>
      <w:r>
        <w:t xml:space="preserve">is put after it:</w:t>
      </w:r>
      <w:r>
        <w:t xml:space="preserve"> </w:t>
      </w:r>
      <w:r>
        <w:rPr>
          <w:iCs/>
          <w:i/>
        </w:rPr>
        <w:t xml:space="preserve">stṝ</w:t>
      </w:r>
      <w:r>
        <w:t xml:space="preserve"> </w:t>
      </w:r>
      <w:r>
        <w:t xml:space="preserve">+</w:t>
      </w:r>
      <w:r>
        <w:t xml:space="preserve"> </w:t>
      </w:r>
      <w:r>
        <w:rPr>
          <w:iCs/>
          <w:i/>
        </w:rPr>
        <w:t xml:space="preserve">ta</w:t>
      </w:r>
      <w:r>
        <w:t xml:space="preserve">;</w:t>
      </w:r>
      <w:r>
        <w:t xml:space="preserve"> </w:t>
      </w:r>
      <w:r>
        <w:t xml:space="preserve">“</w:t>
      </w:r>
      <w:r>
        <w:t xml:space="preserve">liṅsicor ātmanepadeṣu</w:t>
      </w:r>
      <w:r>
        <w:t xml:space="preserve">”</w:t>
      </w:r>
      <w:r>
        <w:t xml:space="preserve"> </w:t>
      </w:r>
      <w:r>
        <w:t xml:space="preserve">(Pā. sū. 7-2-42): after</w:t>
      </w:r>
      <w:r>
        <w:t xml:space="preserve"> </w:t>
      </w:r>
      <w:r>
        <w:rPr>
          <w:iCs/>
          <w:i/>
        </w:rPr>
        <w:t xml:space="preserve">vṛṅ</w:t>
      </w:r>
      <w:r>
        <w:t xml:space="preserve">,</w:t>
      </w:r>
      <w:r>
        <w:t xml:space="preserve"> </w:t>
      </w:r>
      <w:r>
        <w:rPr>
          <w:iCs/>
          <w:i/>
        </w:rPr>
        <w:t xml:space="preserve">vṛñ</w:t>
      </w:r>
      <w:r>
        <w:t xml:space="preserve"> </w:t>
      </w:r>
      <w:r>
        <w:t xml:space="preserve">and roots ending in long</w:t>
      </w:r>
      <w:r>
        <w:t xml:space="preserve"> </w:t>
      </w:r>
      <w:r>
        <w:rPr>
          <w:iCs/>
          <w:i/>
        </w:rPr>
        <w:t xml:space="preserve">ṝ</w:t>
      </w:r>
      <w:r>
        <w:t xml:space="preserve">,</w:t>
      </w:r>
      <w:r>
        <w:t xml:space="preserve"> </w:t>
      </w:r>
      <w:r>
        <w:rPr>
          <w:iCs/>
          <w:i/>
        </w:rPr>
        <w:t xml:space="preserve">iṭ</w:t>
      </w:r>
      <w:r>
        <w:t xml:space="preserve"> </w:t>
      </w:r>
      <w:r>
        <w:t xml:space="preserve">is optional for</w:t>
      </w:r>
      <w:r>
        <w:t xml:space="preserve"> </w:t>
      </w:r>
      <w:r>
        <w:rPr>
          <w:iCs/>
          <w:i/>
        </w:rPr>
        <w:t xml:space="preserve">liṅ</w:t>
      </w:r>
      <w:r>
        <w:t xml:space="preserve"> </w:t>
      </w:r>
      <w:r>
        <w:t xml:space="preserve">and</w:t>
      </w:r>
      <w:r>
        <w:t xml:space="preserve"> </w:t>
      </w:r>
      <w:r>
        <w:rPr>
          <w:iCs/>
          <w:i/>
        </w:rPr>
        <w:t xml:space="preserve">sic</w:t>
      </w:r>
      <w:r>
        <w:t xml:space="preserve"> </w:t>
      </w:r>
      <w:r>
        <w:t xml:space="preserve">before an</w:t>
      </w:r>
      <w:r>
        <w:t xml:space="preserve"> </w:t>
      </w:r>
      <w:r>
        <w:rPr>
          <w:iCs/>
          <w:i/>
        </w:rPr>
        <w:t xml:space="preserve">ātmanepada</w:t>
      </w:r>
      <w:r>
        <w:t xml:space="preserve"> </w:t>
      </w:r>
      <w:r>
        <w:t xml:space="preserve">ending; since it is enjoined as optional, by</w:t>
      </w:r>
      <w:r>
        <w:t xml:space="preserve"> </w:t>
      </w:r>
      <w:r>
        <w:t xml:space="preserve">“</w:t>
      </w:r>
      <w:r>
        <w:t xml:space="preserve">yasya vibhāṣā</w:t>
      </w:r>
      <w:r>
        <w:t xml:space="preserve">”</w:t>
      </w:r>
      <w:r>
        <w:t xml:space="preserve"> </w:t>
      </w:r>
      <w:r>
        <w:t xml:space="preserve">(Pā. sū. 7-2-15) the suffix</w:t>
      </w:r>
      <w:r>
        <w:t xml:space="preserve"> </w:t>
      </w:r>
      <w:r>
        <w:rPr>
          <w:iCs/>
          <w:i/>
        </w:rPr>
        <w:t xml:space="preserve">kta</w:t>
      </w:r>
      <w:r>
        <w:t xml:space="preserve"> </w:t>
      </w:r>
      <w:r>
        <w:t xml:space="preserve">takes no</w:t>
      </w:r>
      <w:r>
        <w:t xml:space="preserve"> </w:t>
      </w:r>
      <w:r>
        <w:rPr>
          <w:iCs/>
          <w:i/>
        </w:rPr>
        <w:t xml:space="preserve">iṭ</w:t>
      </w:r>
      <w:r>
        <w:t xml:space="preserve">. By</w:t>
      </w:r>
      <w:r>
        <w:t xml:space="preserve"> </w:t>
      </w:r>
      <w:r>
        <w:t xml:space="preserve">“</w:t>
      </w:r>
      <w:r>
        <w:t xml:space="preserve">ralvādibhyaś ca</w:t>
      </w:r>
      <w:r>
        <w:t xml:space="preserve">”</w:t>
      </w:r>
      <w:r>
        <w:t xml:space="preserve"> </w:t>
      </w:r>
      <w:r>
        <w:t xml:space="preserve">(Pā. sū. 8-2-44) the</w:t>
      </w:r>
      <w:r>
        <w:t xml:space="preserve"> </w:t>
      </w:r>
      <w:r>
        <w:rPr>
          <w:iCs/>
          <w:i/>
        </w:rPr>
        <w:t xml:space="preserve">t</w:t>
      </w:r>
      <w:r>
        <w:t xml:space="preserve"> </w:t>
      </w:r>
      <w:r>
        <w:t xml:space="preserve">of the suffix</w:t>
      </w:r>
      <w:r>
        <w:t xml:space="preserve"> </w:t>
      </w:r>
      <w:r>
        <w:rPr>
          <w:iCs/>
          <w:i/>
        </w:rPr>
        <w:t xml:space="preserve">kta</w:t>
      </w:r>
    </w:p>
    <w:bookmarkEnd w:id="697"/>
    <w:bookmarkStart w:id="698" w:name="page-646-rik-5-grammar-end"/>
    <w:p>
      <w:pPr>
        <w:pStyle w:val="Heading3"/>
      </w:pPr>
      <w:r>
        <w:t xml:space="preserve">Page 646 — Rik 5: grammar (end)</w:t>
      </w:r>
    </w:p>
    <w:p>
      <w:pPr>
        <w:pStyle w:val="FirstParagraph"/>
      </w:pPr>
      <w:r>
        <w:t xml:space="preserve">becomes</w:t>
      </w:r>
      <w:r>
        <w:t xml:space="preserve"> </w:t>
      </w:r>
      <w:r>
        <w:rPr>
          <w:iCs/>
          <w:i/>
        </w:rPr>
        <w:t xml:space="preserve">n</w:t>
      </w:r>
      <w:r>
        <w:t xml:space="preserve">:</w:t>
      </w:r>
      <w:r>
        <w:t xml:space="preserve"> </w:t>
      </w:r>
      <w:r>
        <w:rPr>
          <w:iCs/>
          <w:i/>
        </w:rPr>
        <w:t xml:space="preserve">stṝ</w:t>
      </w:r>
      <w:r>
        <w:t xml:space="preserve"> </w:t>
      </w:r>
      <w:r>
        <w:t xml:space="preserve">+</w:t>
      </w:r>
      <w:r>
        <w:t xml:space="preserve"> </w:t>
      </w:r>
      <w:r>
        <w:rPr>
          <w:iCs/>
          <w:i/>
        </w:rPr>
        <w:t xml:space="preserve">na</w:t>
      </w:r>
      <w:r>
        <w:t xml:space="preserve">;</w:t>
      </w:r>
      <w:r>
        <w:t xml:space="preserve"> </w:t>
      </w:r>
      <w:r>
        <w:t xml:space="preserve">“</w:t>
      </w:r>
      <w:r>
        <w:t xml:space="preserve">ṝta id dhātoḥ</w:t>
      </w:r>
      <w:r>
        <w:t xml:space="preserve">”</w:t>
      </w:r>
      <w:r>
        <w:t xml:space="preserve"> </w:t>
      </w:r>
      <w:r>
        <w:t xml:space="preserve">(Pā. sū. 7-1-100) gives</w:t>
      </w:r>
      <w:r>
        <w:t xml:space="preserve"> </w:t>
      </w:r>
      <w:r>
        <w:rPr>
          <w:iCs/>
          <w:i/>
        </w:rPr>
        <w:t xml:space="preserve">i</w:t>
      </w:r>
      <w:r>
        <w:t xml:space="preserve"> </w:t>
      </w:r>
      <w:r>
        <w:t xml:space="preserve">for the</w:t>
      </w:r>
      <w:r>
        <w:t xml:space="preserve"> </w:t>
      </w:r>
      <w:r>
        <w:rPr>
          <w:iCs/>
          <w:i/>
        </w:rPr>
        <w:t xml:space="preserve">ṝ</w:t>
      </w:r>
      <w:r>
        <w:t xml:space="preserve">, with</w:t>
      </w:r>
      <w:r>
        <w:t xml:space="preserve"> </w:t>
      </w:r>
      <w:r>
        <w:rPr>
          <w:iCs/>
          <w:i/>
        </w:rPr>
        <w:t xml:space="preserve">r</w:t>
      </w:r>
      <w:r>
        <w:t xml:space="preserve"> </w:t>
      </w:r>
      <w:r>
        <w:t xml:space="preserve">after it by</w:t>
      </w:r>
      <w:r>
        <w:t xml:space="preserve"> </w:t>
      </w:r>
      <w:r>
        <w:t xml:space="preserve">“</w:t>
      </w:r>
      <w:r>
        <w:t xml:space="preserve">uraṇ raparaḥ</w:t>
      </w:r>
      <w:r>
        <w:t xml:space="preserve">”</w:t>
      </w:r>
      <w:r>
        <w:t xml:space="preserve"> </w:t>
      </w:r>
      <w:r>
        <w:t xml:space="preserve">(Pā. sū. 1-1-51); lengthening by</w:t>
      </w:r>
      <w:r>
        <w:t xml:space="preserve"> </w:t>
      </w:r>
      <w:r>
        <w:t xml:space="preserve">“</w:t>
      </w:r>
      <w:r>
        <w:t xml:space="preserve">hali ca</w:t>
      </w:r>
      <w:r>
        <w:t xml:space="preserve">”</w:t>
      </w:r>
      <w:r>
        <w:t xml:space="preserve"> </w:t>
      </w:r>
      <w:r>
        <w:t xml:space="preserve">(Pā. sū.</w:t>
      </w:r>
      <w:r>
        <w:t xml:space="preserve"> </w:t>
      </w:r>
      <w:r>
        <w:t xml:space="preserve">“</w:t>
      </w:r>
      <w:r>
        <w:t xml:space="preserve">8-2-77</w:t>
      </w:r>
      <w:r>
        <w:t xml:space="preserve">”</w:t>
      </w:r>
      <w:r>
        <w:t xml:space="preserve"> </w:t>
      </w:r>
      <w:r>
        <w:t xml:space="preserve">[?]):</w:t>
      </w:r>
      <w:r>
        <w:t xml:space="preserve"> </w:t>
      </w:r>
      <w:r>
        <w:rPr>
          <w:iCs/>
          <w:i/>
        </w:rPr>
        <w:t xml:space="preserve">stīr</w:t>
      </w:r>
      <w:r>
        <w:t xml:space="preserve"> </w:t>
      </w:r>
      <w:r>
        <w:t xml:space="preserve">+</w:t>
      </w:r>
      <w:r>
        <w:t xml:space="preserve"> </w:t>
      </w:r>
      <w:r>
        <w:rPr>
          <w:iCs/>
          <w:i/>
        </w:rPr>
        <w:t xml:space="preserve">na</w:t>
      </w:r>
      <w:r>
        <w:t xml:space="preserve">;</w:t>
      </w:r>
      <w:r>
        <w:t xml:space="preserve"> </w:t>
      </w:r>
      <w:r>
        <w:rPr>
          <w:iCs/>
          <w:i/>
        </w:rPr>
        <w:t xml:space="preserve">ṇ</w:t>
      </w:r>
      <w:r>
        <w:t xml:space="preserve"> </w:t>
      </w:r>
      <w:r>
        <w:t xml:space="preserve">for the</w:t>
      </w:r>
      <w:r>
        <w:t xml:space="preserve"> </w:t>
      </w:r>
      <w:r>
        <w:rPr>
          <w:iCs/>
          <w:i/>
        </w:rPr>
        <w:t xml:space="preserve">n</w:t>
      </w:r>
      <w:r>
        <w:t xml:space="preserve"> </w:t>
      </w:r>
      <w:r>
        <w:t xml:space="preserve">by</w:t>
      </w:r>
      <w:r>
        <w:t xml:space="preserve"> </w:t>
      </w:r>
      <w:r>
        <w:t xml:space="preserve">“</w:t>
      </w:r>
      <w:r>
        <w:t xml:space="preserve">raṣābhyāṃ no ṇaḥ samānapade</w:t>
      </w:r>
      <w:r>
        <w:t xml:space="preserve">”</w:t>
      </w:r>
      <w:r>
        <w:t xml:space="preserve"> </w:t>
      </w:r>
      <w:r>
        <w:t xml:space="preserve">(Pā. sū. 8-4-1):</w:t>
      </w:r>
      <w:r>
        <w:t xml:space="preserve"> </w:t>
      </w:r>
      <w:r>
        <w:rPr>
          <w:iCs/>
          <w:i/>
        </w:rPr>
        <w:t xml:space="preserve">stīrṇa</w:t>
      </w:r>
      <w:r>
        <w:t xml:space="preserve">. So in</w:t>
      </w:r>
      <w:r>
        <w:t xml:space="preserve"> </w:t>
      </w:r>
      <w:r>
        <w:rPr>
          <w:iCs/>
          <w:i/>
        </w:rPr>
        <w:t xml:space="preserve">astṛtam</w:t>
      </w:r>
      <w:r>
        <w:t xml:space="preserve"> </w:t>
      </w:r>
      <w:r>
        <w:t xml:space="preserve">it is fitting to take the</w:t>
      </w:r>
      <w:r>
        <w:t xml:space="preserve"> </w:t>
      </w:r>
      <w:r>
        <w:rPr>
          <w:iCs/>
          <w:i/>
        </w:rPr>
        <w:t xml:space="preserve">svādi</w:t>
      </w:r>
      <w:r>
        <w:t xml:space="preserve"> </w:t>
      </w:r>
      <w:r>
        <w:t xml:space="preserve">root.</w:t>
      </w:r>
    </w:p>
    <w:p>
      <w:pPr>
        <w:pStyle w:val="BodyText"/>
      </w:pPr>
      <w:r>
        <w:rPr>
          <w:bCs/>
          <w:b/>
        </w:rPr>
        <w:t xml:space="preserve">॥५॥</w:t>
      </w:r>
    </w:p>
    <w:p>
      <w:r>
        <w:pict>
          <v:rect style="width:0;height:1.5pt" o:hralign="center" o:hrstd="t" o:hr="t"/>
        </w:pict>
      </w:r>
    </w:p>
    <w:bookmarkEnd w:id="698"/>
    <w:bookmarkStart w:id="699" w:name="page-646-lower-sūkta-15-rik-6"/>
    <w:p>
      <w:pPr>
        <w:pStyle w:val="Heading3"/>
      </w:pPr>
      <w:r>
        <w:t xml:space="preserve">Page 646 (lower) — Sūkta 15, Rik 6</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यु॒वं दक्षं॑ धृतव्रत॒ मित्रा॑वरुण दू॒ळभ॑म् ।</w:t>
      </w:r>
      <w:r>
        <w:t xml:space="preserve"> </w:t>
      </w:r>
      <w:r>
        <w:t xml:space="preserve">ऋ॒तुना॑ य॒ज्ञमा॑शाथे ॥६॥</w:t>
      </w:r>
    </w:p>
    <w:p>
      <w:pPr>
        <w:pStyle w:val="BlockText"/>
      </w:pPr>
      <w:r>
        <w:rPr>
          <w:iCs/>
          <w:i/>
        </w:rPr>
        <w:t xml:space="preserve">yuváṃ dákṣaṃ dhṛtavrata mítrāvaruṇa dūḷábham |</w:t>
      </w:r>
      <w:r>
        <w:t xml:space="preserve"> </w:t>
      </w:r>
      <w:r>
        <w:rPr>
          <w:iCs/>
          <w:i/>
        </w:rPr>
        <w:t xml:space="preserve">ṛtúnā yajñám āśāthe ||6||</w:t>
      </w:r>
    </w:p>
    <w:p>
      <w:pPr>
        <w:pStyle w:val="FirstParagraph"/>
      </w:pPr>
      <w:r>
        <w:rPr>
          <w:bCs/>
          <w:b/>
        </w:rPr>
        <w:t xml:space="preserve">॥ Pada-pāṭhaḥ ॥</w:t>
      </w:r>
    </w:p>
    <w:p>
      <w:pPr>
        <w:pStyle w:val="BlockText"/>
      </w:pPr>
      <w:r>
        <w:t xml:space="preserve">युवम् । दक्षम् । धृतऽव्रता । मित्रावरुणा । दुःऽदभम् ॥</w:t>
      </w:r>
      <w:r>
        <w:t xml:space="preserve"> </w:t>
      </w:r>
      <w:r>
        <w:t xml:space="preserve">ऋतुना । यज्ञम् । आशाथे इति ॥६॥</w:t>
      </w:r>
    </w:p>
    <w:p>
      <w:pPr>
        <w:pStyle w:val="BlockText"/>
      </w:pPr>
      <w:r>
        <w:rPr>
          <w:iCs/>
          <w:i/>
        </w:rPr>
        <w:t xml:space="preserve">yuvam | dakṣam | dhṛta ’vratā | mitrāvaruṇā | duḥ ’dabham ||</w:t>
      </w:r>
      <w:r>
        <w:t xml:space="preserve"> </w:t>
      </w:r>
      <w:r>
        <w:rPr>
          <w:iCs/>
          <w:i/>
        </w:rPr>
        <w:t xml:space="preserve">ṛtunā | yajñam | āśāthe iti ||6||</w:t>
      </w:r>
    </w:p>
    <w:p>
      <w:pPr>
        <w:pStyle w:val="FirstParagraph"/>
      </w:pPr>
      <w:r>
        <w:rPr>
          <w:bCs/>
          <w:b/>
        </w:rPr>
        <w:t xml:space="preserve">॥ Sāyaṇa-bhāṣyam ॥</w:t>
      </w:r>
    </w:p>
    <w:p>
      <w:pPr>
        <w:pStyle w:val="BlockText"/>
      </w:pPr>
      <w:r>
        <w:t xml:space="preserve">हे धृतव्रता स्वीकृतकर्माणौ मित्रावरुणा हे मित्रनामकवरुणनामकौ देवौ युवमुभौ युवामृतुना सहास्मदीयं यज्ञमाशाथे । व्याप्नुथः । कीदृशं यज्ञं । दक्षं प्रवृद्धं दूळभं दुर्दहं शत्रुभिर्दग्धुं विनाशयितुमशक्यमित्यर्थः ॥ युवं । प्रथमाद्विवचनस्य ङे प्रथमयोरमित्यमादेशः । युवावौ द्विवचने । पा. ७-२-९२ । इति मपर्यन्तस्य युवादेशः । शेषे लोप इति टिलोपो ऽन्त्यलोपो वा । अमि पूर्वत्वं । भाषायामेव ह्यात्वं । टिलोपपक्ष उदात्तनिवृत्तिस्वरेणामुदात्तत्वं । अन्त्यलोपपक्ष एकादेश उदात्तः । दक्षं । दक्ष वृद्धौ । दक्षन्त्यनेनेति करणे घञ् । एवं हि पुंलिङ्गत्वनियमः । अन्यस्यानियम इति नपुंसकत्वं । धृतव्रता मित्रावरुणा । धृतानि व्रतानि याभ्यां तौ धृतव्रतौ । मित्रश्च वरुणश्च मित्रावरुणौ । उभयत्र सुपां सुलुगित्यादिना विभक्तेराकारः । मित्रशब्दस्य देवताद्वन्द्वे चेत्यानङादेशः । प्रथमस्यामन्त्रितनिघातः । द्वितीयस्य पादादित्वादाद्युदात्तत्वं । संहितायां</w:t>
      </w:r>
    </w:p>
    <w:p>
      <w:pPr>
        <w:pStyle w:val="BlockText"/>
      </w:pPr>
      <w:r>
        <w:rPr>
          <w:iCs/>
          <w:i/>
        </w:rPr>
        <w:t xml:space="preserve">he dhṛtavratā svīkṛtakarmāṇau mitrāvaruṇā he mitranāmakavaruṇanāmakau devau yuvamubhau yuvāmṛtunā sahāsmadīyaṃ yajñamāśāthe | vyāpnuthaḥ | kīdṛśaṃ yajñaṃ | dakṣaṃ pravṛddhaṃ dūḷabhaṃ durdahaṃ śatrubhirdagdhuṃ vināśayitumaśakyamityarthaḥ || yuvaṃ | prathamādvivacanasya ṅe prathamayoramityamādeśaḥ | yuvāvau dvivacane | pā. 7-2-92 | iti maparyantasya yuvādeśaḥ | śeṣe lopa iti ṭilopo ’ntyalopo vā | ami pūrvatvaṃ | bhāṣāyāmeva hyātvaṃ | ṭilopapakṣa udāttanivṛttisvareṇāmudāttatvaṃ | antyalopapakṣa ekādeśa udāttaḥ | dakṣaṃ | dakṣa vṛddhau | dakṣantyaneneti karaṇe ghañ | evaṃ hi puṃliṅgatvaniyamaḥ | anyasyāniyama iti napuṃsakatvaṃ | dhṛtavratā mitrāvaruṇā | dhṛtāni vratāni yābhyāṃ tau dhṛtavratau | mitraśca varuṇaśca mitrāvaruṇau | ubhayatra supāṃ sulugityādinā vibhakterākāraḥ | mitraśabdasya devatādvandve cetyānaṅādeśaḥ | prathamasyāmantritanighātaḥ | dvitīyasya pādāditvādādyudāttatvaṃ | saṃhitāyāṃ</w:t>
      </w:r>
    </w:p>
    <w:bookmarkEnd w:id="699"/>
    <w:bookmarkStart w:id="700" w:name="X5bc384e76dc9c3d86e80145f8ea24dcbc838154"/>
    <w:p>
      <w:pPr>
        <w:pStyle w:val="Heading3"/>
      </w:pPr>
      <w:r>
        <w:t xml:space="preserve">Page 647 — Rik 6: bhāṣya (end), word-meanings, overall sense, English, Special Topics</w:t>
      </w:r>
    </w:p>
    <w:p>
      <w:pPr>
        <w:pStyle w:val="BlockText"/>
      </w:pPr>
      <w:r>
        <w:t xml:space="preserve">छान्दसं ह्रस्वत्वं । दूळभं । दह भस्मीकरणे । दुःखेन दह्यत इति दुर्दहं । ईषद्दुःसुष्वित्यादिना । पा. ३-३-१२६ । दुर्युपपदे दहेः खल् । व्यत्ययो बहुलमित्युकारस्योकारो रेफस्य लोपो दकारस्य डकारो हकारस्य च भकारः । लितीति प्रत्ययात्पूर्वमुदात्तत्वं । कृदुत्तरपदत्वेन स एव शिष्यते । आशाथे । अशू व्याप्तौ । छन्दसि लुङ्लङ्लिट इति वर्तमाने लिट् । मध्यमद्विवचनमाथां । टेरेत्वं । अत आदेः । पा. ७-४-७० । इत्यभ्यासस्य दीर्घः । अश्नोतेश्च । पा. ७-४-७२ । इति प्राप्तो नुडागमो ऽनित्यमागमशासनमिति निवर्तते ॥ २८ ॥</w:t>
      </w:r>
    </w:p>
    <w:p>
      <w:pPr>
        <w:pStyle w:val="BlockText"/>
      </w:pPr>
      <w:r>
        <w:rPr>
          <w:iCs/>
          <w:i/>
        </w:rPr>
        <w:t xml:space="preserve">chāndasaṃ hrasvatvaṃ | dūḷabhaṃ | daha bhasmīkaraṇe | duḥkhena dahyata iti durdahaṃ | īṣadduḥsuṣvityādinā | pā. 3-3-126 | duryupapade daheḥ khal | vyatyayo bahulamityukārasyokāro rephasya lopo dakārasya ḍakāro hakārasya ca bhakāraḥ | litīti pratyayātpūrvamudāttatvaṃ | kṛduttarapadatvena sa eva śiṣyate | āśāthe | aśū vyāptau | chandasi luṅlaṅliṭa iti vartamāne liṭ | madhyamadvivacanamāthāṃ | ṭeretvaṃ | ata ādeḥ | pā. 7-4-70 | ityabhyāsasya dīrghaḥ | aśnoteśca | pā. 7-4-72 | iti prāpto nuḍāgamo ’nityamāgamaśāsanamiti nivartate || 28 ||</w:t>
      </w:r>
    </w:p>
    <w:p>
      <w:pPr>
        <w:pStyle w:val="FirstParagraph"/>
      </w:pPr>
      <w:r>
        <w:rPr>
          <w:bCs/>
          <w:b/>
        </w:rPr>
        <w:t xml:space="preserve">Translation:</w:t>
      </w:r>
      <w:r>
        <w:t xml:space="preserve"> </w:t>
      </w:r>
      <w:r>
        <w:t xml:space="preserve">“</w:t>
      </w:r>
      <w:r>
        <w:t xml:space="preserve">O</w:t>
      </w:r>
      <w:r>
        <w:t xml:space="preserve"> </w:t>
      </w:r>
      <w:r>
        <w:rPr>
          <w:iCs/>
          <w:i/>
        </w:rPr>
        <w:t xml:space="preserve">dhṛtavratā</w:t>
      </w:r>
      <w:r>
        <w:t xml:space="preserve">, you two who have taken up the rites, O</w:t>
      </w:r>
      <w:r>
        <w:t xml:space="preserve"> </w:t>
      </w:r>
      <w:r>
        <w:rPr>
          <w:iCs/>
          <w:i/>
        </w:rPr>
        <w:t xml:space="preserve">mitrāvaruṇā</w:t>
      </w:r>
      <w:r>
        <w:t xml:space="preserve">, gods named Mitra and Varuṇa,</w:t>
      </w:r>
      <w:r>
        <w:t xml:space="preserve"> </w:t>
      </w:r>
      <w:r>
        <w:rPr>
          <w:iCs/>
          <w:i/>
        </w:rPr>
        <w:t xml:space="preserve">yuvam</w:t>
      </w:r>
      <w:r>
        <w:t xml:space="preserve">, both of you,</w:t>
      </w:r>
      <w:r>
        <w:t xml:space="preserve"> </w:t>
      </w:r>
      <w:r>
        <w:rPr>
          <w:iCs/>
          <w:i/>
        </w:rPr>
        <w:t xml:space="preserve">āśāthe</w:t>
      </w:r>
      <w:r>
        <w:t xml:space="preserve">, pervade, our sacrifice with the Ṛtu. What kind of sacrifice?</w:t>
      </w:r>
      <w:r>
        <w:t xml:space="preserve"> </w:t>
      </w:r>
      <w:r>
        <w:rPr>
          <w:iCs/>
          <w:i/>
        </w:rPr>
        <w:t xml:space="preserve">Dakṣam</w:t>
      </w:r>
      <w:r>
        <w:t xml:space="preserve">, grown great;</w:t>
      </w:r>
      <w:r>
        <w:t xml:space="preserve"> </w:t>
      </w:r>
      <w:r>
        <w:rPr>
          <w:iCs/>
          <w:i/>
        </w:rPr>
        <w:t xml:space="preserve">dūḷabham</w:t>
      </w:r>
      <w:r>
        <w:t xml:space="preserve">, hard to burn, that is, that cannot be burnt, destroyed, by enemies.</w:t>
      </w:r>
      <w:r>
        <w:t xml:space="preserve">”</w:t>
      </w:r>
      <w:r>
        <w:t xml:space="preserve"> </w:t>
      </w:r>
      <w:r>
        <w:t xml:space="preserve">(Grammatical tail:</w:t>
      </w:r>
      <w:r>
        <w:t xml:space="preserve"> </w:t>
      </w:r>
      <w:r>
        <w:rPr>
          <w:iCs/>
          <w:i/>
        </w:rPr>
        <w:t xml:space="preserve">yuvam</w:t>
      </w:r>
      <w:r>
        <w:t xml:space="preserve">:</w:t>
      </w:r>
      <w:r>
        <w:t xml:space="preserve"> </w:t>
      </w:r>
      <w:r>
        <w:rPr>
          <w:iCs/>
          <w:i/>
        </w:rPr>
        <w:t xml:space="preserve">am</w:t>
      </w:r>
      <w:r>
        <w:t xml:space="preserve"> </w:t>
      </w:r>
      <w:r>
        <w:t xml:space="preserve">for the nominative dual,</w:t>
      </w:r>
      <w:r>
        <w:t xml:space="preserve"> </w:t>
      </w:r>
      <w:r>
        <w:rPr>
          <w:iCs/>
          <w:i/>
        </w:rPr>
        <w:t xml:space="preserve">yuva</w:t>
      </w:r>
      <w:r>
        <w:t xml:space="preserve"> </w:t>
      </w:r>
      <w:r>
        <w:t xml:space="preserve">for the part up to</w:t>
      </w:r>
      <w:r>
        <w:t xml:space="preserve"> </w:t>
      </w:r>
      <w:r>
        <w:rPr>
          <w:iCs/>
          <w:i/>
        </w:rPr>
        <w:t xml:space="preserve">m</w:t>
      </w:r>
      <w:r>
        <w:t xml:space="preserve"> </w:t>
      </w:r>
      <w:r>
        <w:t xml:space="preserve">(Pā. 7-2-92),</w:t>
      </w:r>
      <w:r>
        <w:t xml:space="preserve"> </w:t>
      </w:r>
      <w:r>
        <w:rPr>
          <w:iCs/>
          <w:i/>
        </w:rPr>
        <w:t xml:space="preserve">śeṣe lopaḥ</w:t>
      </w:r>
      <w:r>
        <w:t xml:space="preserve">,</w:t>
      </w:r>
      <w:r>
        <w:t xml:space="preserve"> </w:t>
      </w:r>
      <w:r>
        <w:rPr>
          <w:iCs/>
          <w:i/>
        </w:rPr>
        <w:t xml:space="preserve">pūrvarūpa</w:t>
      </w:r>
      <w:r>
        <w:t xml:space="preserve">; the</w:t>
      </w:r>
      <w:r>
        <w:t xml:space="preserve"> </w:t>
      </w:r>
      <w:r>
        <w:rPr>
          <w:iCs/>
          <w:i/>
        </w:rPr>
        <w:t xml:space="preserve">ā</w:t>
      </w:r>
      <w:r>
        <w:t xml:space="preserve"> </w:t>
      </w:r>
      <w:r>
        <w:t xml:space="preserve">is only in the spoken language; on the</w:t>
      </w:r>
      <w:r>
        <w:t xml:space="preserve"> </w:t>
      </w:r>
      <w:r>
        <w:rPr>
          <w:iCs/>
          <w:i/>
        </w:rPr>
        <w:t xml:space="preserve">ṭi</w:t>
      </w:r>
      <w:r>
        <w:t xml:space="preserve">-loss view</w:t>
      </w:r>
      <w:r>
        <w:t xml:space="preserve"> </w:t>
      </w:r>
      <w:r>
        <w:rPr>
          <w:iCs/>
          <w:i/>
        </w:rPr>
        <w:t xml:space="preserve">am</w:t>
      </w:r>
      <w:r>
        <w:t xml:space="preserve"> </w:t>
      </w:r>
      <w:r>
        <w:t xml:space="preserve">is udātta by the</w:t>
      </w:r>
      <w:r>
        <w:t xml:space="preserve"> </w:t>
      </w:r>
      <w:r>
        <w:rPr>
          <w:iCs/>
          <w:i/>
        </w:rPr>
        <w:t xml:space="preserve">udāttanivṛtti</w:t>
      </w:r>
      <w:r>
        <w:t xml:space="preserve"> </w:t>
      </w:r>
      <w:r>
        <w:t xml:space="preserve">accent, on the final-loss view the single replacement;</w:t>
      </w:r>
      <w:r>
        <w:t xml:space="preserve"> </w:t>
      </w:r>
      <w:r>
        <w:rPr>
          <w:iCs/>
          <w:i/>
        </w:rPr>
        <w:t xml:space="preserve">dakṣam</w:t>
      </w:r>
      <w:r>
        <w:t xml:space="preserve">:</w:t>
      </w:r>
      <w:r>
        <w:t xml:space="preserve"> </w:t>
      </w:r>
      <w:r>
        <w:rPr>
          <w:iCs/>
          <w:i/>
        </w:rPr>
        <w:t xml:space="preserve">dakṣ</w:t>
      </w:r>
      <w:r>
        <w:t xml:space="preserve"> </w:t>
      </w:r>
      <w:r>
        <w:t xml:space="preserve">‘</w:t>
      </w:r>
      <w:r>
        <w:t xml:space="preserve">to grow</w:t>
      </w:r>
      <w:r>
        <w:t xml:space="preserve">’</w:t>
      </w:r>
      <w:r>
        <w:t xml:space="preserve">,</w:t>
      </w:r>
      <w:r>
        <w:t xml:space="preserve"> </w:t>
      </w:r>
      <w:r>
        <w:rPr>
          <w:iCs/>
          <w:i/>
        </w:rPr>
        <w:t xml:space="preserve">ghañ</w:t>
      </w:r>
      <w:r>
        <w:t xml:space="preserve"> </w:t>
      </w:r>
      <w:r>
        <w:t xml:space="preserve">in the instrumental sense, neuter, the masculine rule not binding here;</w:t>
      </w:r>
      <w:r>
        <w:t xml:space="preserve"> </w:t>
      </w:r>
      <w:r>
        <w:rPr>
          <w:iCs/>
          <w:i/>
        </w:rPr>
        <w:t xml:space="preserve">dhṛtavratā mitrāvaruṇā</w:t>
      </w:r>
      <w:r>
        <w:t xml:space="preserve">:</w:t>
      </w:r>
      <w:r>
        <w:t xml:space="preserve"> </w:t>
      </w:r>
      <w:r>
        <w:t xml:space="preserve">“</w:t>
      </w:r>
      <w:r>
        <w:t xml:space="preserve">by whom rites are held</w:t>
      </w:r>
      <w:r>
        <w:t xml:space="preserve">”</w:t>
      </w:r>
      <w:r>
        <w:t xml:space="preserve">, a dvandva,</w:t>
      </w:r>
      <w:r>
        <w:t xml:space="preserve"> </w:t>
      </w:r>
      <w:r>
        <w:rPr>
          <w:iCs/>
          <w:i/>
        </w:rPr>
        <w:t xml:space="preserve">ā</w:t>
      </w:r>
      <w:r>
        <w:t xml:space="preserve"> </w:t>
      </w:r>
      <w:r>
        <w:t xml:space="preserve">for the endings by</w:t>
      </w:r>
      <w:r>
        <w:t xml:space="preserve"> </w:t>
      </w:r>
      <w:r>
        <w:rPr>
          <w:iCs/>
          <w:i/>
        </w:rPr>
        <w:t xml:space="preserve">supāṃ suluk…</w:t>
      </w:r>
      <w:r>
        <w:t xml:space="preserve">,</w:t>
      </w:r>
      <w:r>
        <w:t xml:space="preserve"> </w:t>
      </w:r>
      <w:r>
        <w:rPr>
          <w:iCs/>
          <w:i/>
        </w:rPr>
        <w:t xml:space="preserve">ānaṅ</w:t>
      </w:r>
      <w:r>
        <w:t xml:space="preserve"> </w:t>
      </w:r>
      <w:r>
        <w:t xml:space="preserve">for</w:t>
      </w:r>
      <w:r>
        <w:t xml:space="preserve"> </w:t>
      </w:r>
      <w:r>
        <w:rPr>
          <w:iCs/>
          <w:i/>
        </w:rPr>
        <w:t xml:space="preserve">mitra</w:t>
      </w:r>
      <w:r>
        <w:t xml:space="preserve">; the first vocative lowered, the second initial udātta at the head of the pāda; shortened in the Saṃhitā as Vedic;</w:t>
      </w:r>
      <w:r>
        <w:t xml:space="preserve"> </w:t>
      </w:r>
      <w:r>
        <w:rPr>
          <w:iCs/>
          <w:i/>
        </w:rPr>
        <w:t xml:space="preserve">dūḷabham</w:t>
      </w:r>
      <w:r>
        <w:t xml:space="preserve">:</w:t>
      </w:r>
      <w:r>
        <w:t xml:space="preserve"> </w:t>
      </w:r>
      <w:r>
        <w:t xml:space="preserve">“</w:t>
      </w:r>
      <w:r>
        <w:t xml:space="preserve">hard to burn</w:t>
      </w:r>
      <w:r>
        <w:t xml:space="preserve">”</w:t>
      </w:r>
      <w:r>
        <w:t xml:space="preserve">,</w:t>
      </w:r>
      <w:r>
        <w:t xml:space="preserve"> </w:t>
      </w:r>
      <w:r>
        <w:rPr>
          <w:iCs/>
          <w:i/>
        </w:rPr>
        <w:t xml:space="preserve">khal</w:t>
      </w:r>
      <w:r>
        <w:t xml:space="preserve"> </w:t>
      </w:r>
      <w:r>
        <w:t xml:space="preserve">after</w:t>
      </w:r>
      <w:r>
        <w:t xml:space="preserve"> </w:t>
      </w:r>
      <w:r>
        <w:rPr>
          <w:iCs/>
          <w:i/>
        </w:rPr>
        <w:t xml:space="preserve">dah</w:t>
      </w:r>
      <w:r>
        <w:t xml:space="preserve"> </w:t>
      </w:r>
      <w:r>
        <w:t xml:space="preserve">with</w:t>
      </w:r>
      <w:r>
        <w:t xml:space="preserve"> </w:t>
      </w:r>
      <w:r>
        <w:rPr>
          <w:iCs/>
          <w:i/>
        </w:rPr>
        <w:t xml:space="preserve">dur</w:t>
      </w:r>
      <w:r>
        <w:t xml:space="preserve"> </w:t>
      </w:r>
      <w:r>
        <w:t xml:space="preserve">(Pā. 3-3-126), by</w:t>
      </w:r>
      <w:r>
        <w:t xml:space="preserve"> </w:t>
      </w:r>
      <w:r>
        <w:rPr>
          <w:iCs/>
          <w:i/>
        </w:rPr>
        <w:t xml:space="preserve">vyatyayo bahulam</w:t>
      </w:r>
      <w:r>
        <w:t xml:space="preserve"> </w:t>
      </w:r>
      <w:r>
        <w:rPr>
          <w:iCs/>
          <w:i/>
        </w:rPr>
        <w:t xml:space="preserve">ū</w:t>
      </w:r>
      <w:r>
        <w:t xml:space="preserve"> </w:t>
      </w:r>
      <w:r>
        <w:t xml:space="preserve">for</w:t>
      </w:r>
      <w:r>
        <w:t xml:space="preserve"> </w:t>
      </w:r>
      <w:r>
        <w:rPr>
          <w:iCs/>
          <w:i/>
        </w:rPr>
        <w:t xml:space="preserve">u</w:t>
      </w:r>
      <w:r>
        <w:t xml:space="preserve">, loss of</w:t>
      </w:r>
      <w:r>
        <w:t xml:space="preserve"> </w:t>
      </w:r>
      <w:r>
        <w:rPr>
          <w:iCs/>
          <w:i/>
        </w:rPr>
        <w:t xml:space="preserve">r</w:t>
      </w:r>
      <w:r>
        <w:t xml:space="preserve">,</w:t>
      </w:r>
      <w:r>
        <w:t xml:space="preserve"> </w:t>
      </w:r>
      <w:r>
        <w:rPr>
          <w:iCs/>
          <w:i/>
        </w:rPr>
        <w:t xml:space="preserve">ḍ</w:t>
      </w:r>
      <w:r>
        <w:t xml:space="preserve"> </w:t>
      </w:r>
      <w:r>
        <w:t xml:space="preserve">for</w:t>
      </w:r>
      <w:r>
        <w:t xml:space="preserve"> </w:t>
      </w:r>
      <w:r>
        <w:rPr>
          <w:iCs/>
          <w:i/>
        </w:rPr>
        <w:t xml:space="preserve">d</w:t>
      </w:r>
      <w:r>
        <w:t xml:space="preserve"> </w:t>
      </w:r>
      <w:r>
        <w:t xml:space="preserve">and</w:t>
      </w:r>
      <w:r>
        <w:t xml:space="preserve"> </w:t>
      </w:r>
      <w:r>
        <w:rPr>
          <w:iCs/>
          <w:i/>
        </w:rPr>
        <w:t xml:space="preserve">bh</w:t>
      </w:r>
      <w:r>
        <w:t xml:space="preserve"> </w:t>
      </w:r>
      <w:r>
        <w:t xml:space="preserve">for</w:t>
      </w:r>
      <w:r>
        <w:t xml:space="preserve"> </w:t>
      </w:r>
      <w:r>
        <w:rPr>
          <w:iCs/>
          <w:i/>
        </w:rPr>
        <w:t xml:space="preserve">h</w:t>
      </w:r>
      <w:r>
        <w:t xml:space="preserve">; udātta before the</w:t>
      </w:r>
      <w:r>
        <w:t xml:space="preserve"> </w:t>
      </w:r>
      <w:r>
        <w:rPr>
          <w:iCs/>
          <w:i/>
        </w:rPr>
        <w:t xml:space="preserve">l</w:t>
      </w:r>
      <w:r>
        <w:t xml:space="preserve">-marked suffix;</w:t>
      </w:r>
      <w:r>
        <w:t xml:space="preserve"> </w:t>
      </w:r>
      <w:r>
        <w:rPr>
          <w:iCs/>
          <w:i/>
        </w:rPr>
        <w:t xml:space="preserve">āśāthe</w:t>
      </w:r>
      <w:r>
        <w:t xml:space="preserve">:</w:t>
      </w:r>
      <w:r>
        <w:t xml:space="preserve"> </w:t>
      </w:r>
      <w:r>
        <w:rPr>
          <w:iCs/>
          <w:i/>
        </w:rPr>
        <w:t xml:space="preserve">aś</w:t>
      </w:r>
      <w:r>
        <w:t xml:space="preserve"> </w:t>
      </w:r>
      <w:r>
        <w:t xml:space="preserve">‘</w:t>
      </w:r>
      <w:r>
        <w:t xml:space="preserve">to pervade</w:t>
      </w:r>
      <w:r>
        <w:t xml:space="preserve">’</w:t>
      </w:r>
      <w:r>
        <w:t xml:space="preserve">,</w:t>
      </w:r>
      <w:r>
        <w:t xml:space="preserve"> </w:t>
      </w:r>
      <w:r>
        <w:rPr>
          <w:iCs/>
          <w:i/>
        </w:rPr>
        <w:t xml:space="preserve">liṭ</w:t>
      </w:r>
      <w:r>
        <w:t xml:space="preserve"> </w:t>
      </w:r>
      <w:r>
        <w:t xml:space="preserve">in the present,</w:t>
      </w:r>
      <w:r>
        <w:t xml:space="preserve"> </w:t>
      </w:r>
      <w:r>
        <w:rPr>
          <w:iCs/>
          <w:i/>
        </w:rPr>
        <w:t xml:space="preserve">āthām</w:t>
      </w:r>
      <w:r>
        <w:t xml:space="preserve">,</w:t>
      </w:r>
      <w:r>
        <w:t xml:space="preserve"> </w:t>
      </w:r>
      <w:r>
        <w:rPr>
          <w:iCs/>
          <w:i/>
        </w:rPr>
        <w:t xml:space="preserve">e</w:t>
      </w:r>
      <w:r>
        <w:t xml:space="preserve">, the reduplicate lengthened (Pā. 7-4-70), the</w:t>
      </w:r>
      <w:r>
        <w:t xml:space="preserve"> </w:t>
      </w:r>
      <w:r>
        <w:rPr>
          <w:iCs/>
          <w:i/>
        </w:rPr>
        <w:t xml:space="preserve">nuṭ</w:t>
      </w:r>
      <w:r>
        <w:t xml:space="preserve"> </w:t>
      </w:r>
      <w:r>
        <w:t xml:space="preserve">of Pā. 7-4-72 withdrawn as the augment-rule is not binding. The closing</w:t>
      </w:r>
      <w:r>
        <w:t xml:space="preserve"> </w:t>
      </w:r>
      <w:r>
        <w:t xml:space="preserve">“</w:t>
      </w:r>
      <w:r>
        <w:t xml:space="preserve">28</w:t>
      </w:r>
      <w:r>
        <w:t xml:space="preserve">”</w:t>
      </w:r>
      <w:r>
        <w:t xml:space="preserve"> </w:t>
      </w:r>
      <w:r>
        <w:t xml:space="preserve">is the varga number.)</w:t>
      </w:r>
    </w:p>
    <w:p>
      <w:pPr>
        <w:pStyle w:val="BodyText"/>
      </w:pPr>
      <w:r>
        <w:rPr>
          <w:bCs/>
          <w:b/>
        </w:rPr>
        <w:t xml:space="preserve">॥ Prati-padārthaḥ ॥</w:t>
      </w:r>
    </w:p>
    <w:p>
      <w:pPr>
        <w:pStyle w:val="BodyText"/>
      </w:pPr>
      <w:r>
        <w:rPr>
          <w:bCs/>
          <w:b/>
        </w:rPr>
        <w:t xml:space="preserve">धृतव्रता (dhṛtavratā)</w:t>
      </w:r>
      <w:r>
        <w:t xml:space="preserve"> </w:t>
      </w:r>
      <w:r>
        <w:t xml:space="preserve">— who accept the sacrificial rite we perform |</w:t>
      </w:r>
      <w:r>
        <w:t xml:space="preserve"> </w:t>
      </w:r>
      <w:r>
        <w:rPr>
          <w:bCs/>
          <w:b/>
        </w:rPr>
        <w:t xml:space="preserve">मित्रावरुणा (mitrāvaruṇā)</w:t>
      </w:r>
      <w:r>
        <w:t xml:space="preserve"> </w:t>
      </w:r>
      <w:r>
        <w:t xml:space="preserve">— O Mitra and Varuṇa |</w:t>
      </w:r>
      <w:r>
        <w:t xml:space="preserve"> </w:t>
      </w:r>
      <w:r>
        <w:rPr>
          <w:bCs/>
          <w:b/>
        </w:rPr>
        <w:t xml:space="preserve">युवम् (yuvam)</w:t>
      </w:r>
      <w:r>
        <w:t xml:space="preserve"> </w:t>
      </w:r>
      <w:r>
        <w:t xml:space="preserve">— you two |</w:t>
      </w:r>
      <w:r>
        <w:t xml:space="preserve"> </w:t>
      </w:r>
      <w:r>
        <w:rPr>
          <w:bCs/>
          <w:b/>
        </w:rPr>
        <w:t xml:space="preserve">ऋतुना (ṛtunā)</w:t>
      </w:r>
      <w:r>
        <w:t xml:space="preserve"> </w:t>
      </w:r>
      <w:r>
        <w:t xml:space="preserve">— with the Ṛtu deity |</w:t>
      </w:r>
      <w:r>
        <w:t xml:space="preserve"> </w:t>
      </w:r>
      <w:r>
        <w:rPr>
          <w:bCs/>
          <w:b/>
        </w:rPr>
        <w:t xml:space="preserve">दक्षम् (dakṣam)</w:t>
      </w:r>
      <w:r>
        <w:t xml:space="preserve"> </w:t>
      </w:r>
      <w:r>
        <w:t xml:space="preserve">— grown great |</w:t>
      </w:r>
      <w:r>
        <w:t xml:space="preserve"> </w:t>
      </w:r>
      <w:r>
        <w:rPr>
          <w:bCs/>
          <w:b/>
        </w:rPr>
        <w:t xml:space="preserve">दूळभम् (dūḷabham)</w:t>
      </w:r>
      <w:r>
        <w:t xml:space="preserve"> </w:t>
      </w:r>
      <w:r>
        <w:t xml:space="preserve">— that cannot be burnt (destroyed) (by enemies) |</w:t>
      </w:r>
      <w:r>
        <w:t xml:space="preserve"> </w:t>
      </w:r>
      <w:r>
        <w:rPr>
          <w:bCs/>
          <w:b/>
        </w:rPr>
        <w:t xml:space="preserve">यज्ञम् आशाथे (yajñam āśāthe)</w:t>
      </w:r>
      <w:r>
        <w:t xml:space="preserve"> </w:t>
      </w:r>
      <w:r>
        <w:t xml:space="preserve">— pervade the sacrifice: you are gracious to our sacrifice.</w:t>
      </w:r>
    </w:p>
    <w:p>
      <w:pPr>
        <w:pStyle w:val="BodyText"/>
      </w:pPr>
      <w:r>
        <w:rPr>
          <w:bCs/>
          <w:b/>
        </w:rPr>
        <w:t xml:space="preserve">॥ Bhāvārthaḥ ॥</w:t>
      </w:r>
    </w:p>
    <w:p>
      <w:pPr>
        <w:pStyle w:val="BodyText"/>
      </w:pPr>
      <w:r>
        <w:t xml:space="preserve">O Mitra and Varuṇa, you accept our sacrificial rite. By your favour our sacrifice is growing, and since you help us, enemies cannot obstruct it. Kindly come to our sacrifice with the Ṛtu deity.</w:t>
      </w:r>
    </w:p>
    <w:p>
      <w:pPr>
        <w:pStyle w:val="BodyText"/>
      </w:pPr>
      <w:r>
        <w:rPr>
          <w:bCs/>
          <w:b/>
        </w:rPr>
        <w:t xml:space="preserve">॥ English Translation ॥</w:t>
      </w:r>
      <w:r>
        <w:t xml:space="preserve"> </w:t>
      </w:r>
      <w:r>
        <w:rPr>
          <w:iCs/>
          <w:i/>
        </w:rPr>
        <w:t xml:space="preserve">(as printed in the source)</w:t>
      </w:r>
    </w:p>
    <w:p>
      <w:pPr>
        <w:pStyle w:val="BlockText"/>
      </w:pPr>
      <w:r>
        <w:t xml:space="preserve">Mitra and Varuna, propitious to pious acts, be present with Ritu at our sacrifiee [sic], efficacious and undisturbed by foes.</w:t>
      </w:r>
    </w:p>
    <w:p>
      <w:pPr>
        <w:pStyle w:val="FirstParagraph"/>
      </w:pPr>
      <w:r>
        <w:rPr>
          <w:bCs/>
          <w:b/>
        </w:rPr>
        <w:t xml:space="preserve">॥ Viśeṣa-viṣayagaḷu (Special Topics) ॥</w:t>
      </w:r>
    </w:p>
    <w:p>
      <w:pPr>
        <w:pStyle w:val="BodyText"/>
      </w:pPr>
      <w:r>
        <w:rPr>
          <w:bCs/>
          <w:b/>
        </w:rPr>
        <w:t xml:space="preserve">Dhṛtavratā</w:t>
      </w:r>
      <w:r>
        <w:t xml:space="preserve">:</w:t>
      </w:r>
    </w:p>
    <w:p>
      <w:pPr>
        <w:pStyle w:val="BlockText"/>
      </w:pPr>
      <w:r>
        <w:t xml:space="preserve">धृतकर्माणौ । अथवा स्वीकृतकर्माणौ</w:t>
      </w:r>
    </w:p>
    <w:p>
      <w:pPr>
        <w:pStyle w:val="BlockText"/>
      </w:pPr>
      <w:r>
        <w:rPr>
          <w:iCs/>
          <w:i/>
        </w:rPr>
        <w:t xml:space="preserve">dhṛtakarmāṇau | athavā svīkṛtakarmāṇau</w:t>
      </w:r>
    </w:p>
    <w:p>
      <w:pPr>
        <w:pStyle w:val="FirstParagraph"/>
      </w:pPr>
      <w:r>
        <w:t xml:space="preserve">that is,</w:t>
      </w:r>
      <w:r>
        <w:t xml:space="preserve"> </w:t>
      </w:r>
      <w:r>
        <w:t xml:space="preserve">“</w:t>
      </w:r>
      <w:r>
        <w:t xml:space="preserve">who accept the sacrificial rite we perform</w:t>
      </w:r>
      <w:r>
        <w:t xml:space="preserve">”</w:t>
      </w:r>
      <w:r>
        <w:t xml:space="preserve">. The final syllables of the words</w:t>
      </w:r>
      <w:r>
        <w:t xml:space="preserve"> </w:t>
      </w:r>
      <w:r>
        <w:rPr>
          <w:iCs/>
          <w:i/>
        </w:rPr>
        <w:t xml:space="preserve">dhṛtavratā</w:t>
      </w:r>
      <w:r>
        <w:t xml:space="preserve"> </w:t>
      </w:r>
      <w:r>
        <w:t xml:space="preserve">and</w:t>
      </w:r>
      <w:r>
        <w:t xml:space="preserve"> </w:t>
      </w:r>
      <w:r>
        <w:rPr>
          <w:iCs/>
          <w:i/>
        </w:rPr>
        <w:t xml:space="preserve">mitrāvaruṇā</w:t>
      </w:r>
      <w:r>
        <w:t xml:space="preserve"> </w:t>
      </w:r>
      <w:r>
        <w:t xml:space="preserve">are short in the Saṃhitā to suit the metre. This word</w:t>
      </w:r>
      <w:r>
        <w:t xml:space="preserve"> </w:t>
      </w:r>
      <w:r>
        <w:rPr>
          <w:iCs/>
          <w:i/>
        </w:rPr>
        <w:t xml:space="preserve">dhṛtavratā</w:t>
      </w:r>
      <w:r>
        <w:t xml:space="preserve"> </w:t>
      </w:r>
      <w:r>
        <w:t xml:space="preserve">is read also in the Ṛk</w:t>
      </w:r>
    </w:p>
    <w:p>
      <w:pPr>
        <w:pStyle w:val="BlockText"/>
      </w:pPr>
      <w:r>
        <w:t xml:space="preserve">इन्द्रावरुणा सुतपाविमं सुतं सोमं पिबतं मद्यं धृतव्रता ॥</w:t>
      </w:r>
    </w:p>
    <w:p>
      <w:pPr>
        <w:pStyle w:val="BlockText"/>
      </w:pPr>
      <w:r>
        <w:rPr>
          <w:iCs/>
          <w:i/>
        </w:rPr>
        <w:t xml:space="preserve">indrāvaruṇā sutapāvimaṃ sutaṃ somaṃ pibataṃ madyaṃ dhṛtavratā ||</w:t>
      </w:r>
    </w:p>
    <w:p>
      <w:pPr>
        <w:pStyle w:val="FirstParagraph"/>
      </w:pPr>
      <w:r>
        <w:rPr>
          <w:iCs/>
          <w:i/>
        </w:rPr>
        <w:t xml:space="preserve">(Ṛ. Saṃ. 6-68-10.)</w:t>
      </w:r>
    </w:p>
    <w:bookmarkEnd w:id="700"/>
    <w:bookmarkStart w:id="701" w:name="X36d6fdd15ff0126c335e630d48a27b2acb49267"/>
    <w:p>
      <w:pPr>
        <w:pStyle w:val="Heading3"/>
      </w:pPr>
      <w:r>
        <w:t xml:space="preserve">Page 648 — Rik 6: Special Topics (end) and grammar</w:t>
      </w:r>
    </w:p>
    <w:p>
      <w:pPr>
        <w:pStyle w:val="FirstParagraph"/>
      </w:pPr>
      <w:r>
        <w:t xml:space="preserve">There the word refers to Indra and Varuṇa. Besides this, the words</w:t>
      </w:r>
      <w:r>
        <w:t xml:space="preserve"> </w:t>
      </w:r>
      <w:r>
        <w:rPr>
          <w:iCs/>
          <w:i/>
        </w:rPr>
        <w:t xml:space="preserve">dhṛtavrataḥ</w:t>
      </w:r>
      <w:r>
        <w:t xml:space="preserve">,</w:t>
      </w:r>
      <w:r>
        <w:t xml:space="preserve"> </w:t>
      </w:r>
      <w:r>
        <w:rPr>
          <w:iCs/>
          <w:i/>
        </w:rPr>
        <w:t xml:space="preserve">dhṛtavratāḥ</w:t>
      </w:r>
      <w:r>
        <w:t xml:space="preserve">,</w:t>
      </w:r>
      <w:r>
        <w:t xml:space="preserve"> </w:t>
      </w:r>
      <w:r>
        <w:rPr>
          <w:iCs/>
          <w:i/>
        </w:rPr>
        <w:t xml:space="preserve">dhṛtavratāya</w:t>
      </w:r>
      <w:r>
        <w:t xml:space="preserve">,</w:t>
      </w:r>
      <w:r>
        <w:t xml:space="preserve"> </w:t>
      </w:r>
      <w:r>
        <w:rPr>
          <w:iCs/>
          <w:i/>
        </w:rPr>
        <w:t xml:space="preserve">dhṛtavrate</w:t>
      </w:r>
      <w:r>
        <w:t xml:space="preserve"> </w:t>
      </w:r>
      <w:r>
        <w:t xml:space="preserve">are read in many Ṛks.</w:t>
      </w:r>
    </w:p>
    <w:p>
      <w:pPr>
        <w:pStyle w:val="BodyText"/>
      </w:pPr>
      <w:r>
        <w:rPr>
          <w:bCs/>
          <w:b/>
        </w:rPr>
        <w:t xml:space="preserve">Dūḷabham</w:t>
      </w:r>
      <w:r>
        <w:t xml:space="preserve">:</w:t>
      </w:r>
      <w:r>
        <w:t xml:space="preserve"> </w:t>
      </w:r>
      <w:r>
        <w:rPr>
          <w:iCs/>
          <w:i/>
        </w:rPr>
        <w:t xml:space="preserve">duḥdabham</w:t>
      </w:r>
      <w:r>
        <w:t xml:space="preserve">:</w:t>
      </w:r>
    </w:p>
    <w:p>
      <w:pPr>
        <w:pStyle w:val="BlockText"/>
      </w:pPr>
      <w:r>
        <w:t xml:space="preserve">दुर्दभं शत्रुभिर्दग्धुं विनाशयितुमशक्यं ॥</w:t>
      </w:r>
    </w:p>
    <w:p>
      <w:pPr>
        <w:pStyle w:val="BlockText"/>
      </w:pPr>
      <w:r>
        <w:rPr>
          <w:iCs/>
          <w:i/>
        </w:rPr>
        <w:t xml:space="preserve">durdabhaṃ śatrubhirdagdhuṃ vināśayitumaśakyaṃ ||</w:t>
      </w:r>
    </w:p>
    <w:p>
      <w:pPr>
        <w:pStyle w:val="FirstParagraph"/>
      </w:pPr>
      <w:r>
        <w:t xml:space="preserve">that is,</w:t>
      </w:r>
      <w:r>
        <w:t xml:space="preserve"> </w:t>
      </w:r>
      <w:r>
        <w:t xml:space="preserve">“</w:t>
      </w:r>
      <w:r>
        <w:t xml:space="preserve">that cannot be burnt by enemies</w:t>
      </w:r>
      <w:r>
        <w:t xml:space="preserve">”</w:t>
      </w:r>
      <w:r>
        <w:t xml:space="preserve">. The word</w:t>
      </w:r>
      <w:r>
        <w:t xml:space="preserve"> </w:t>
      </w:r>
      <w:r>
        <w:rPr>
          <w:iCs/>
          <w:i/>
        </w:rPr>
        <w:t xml:space="preserve">dūḷabhe</w:t>
      </w:r>
      <w:r>
        <w:t xml:space="preserve">, which points to the same sense, is read also in Ṛ. Saṃ. 2-28-8 and 7-46-4 [?]; the word</w:t>
      </w:r>
      <w:r>
        <w:t xml:space="preserve"> </w:t>
      </w:r>
      <w:r>
        <w:rPr>
          <w:iCs/>
          <w:i/>
        </w:rPr>
        <w:t xml:space="preserve">dūḷabhaḥ</w:t>
      </w:r>
      <w:r>
        <w:t xml:space="preserve"> </w:t>
      </w:r>
      <w:r>
        <w:t xml:space="preserve">in Ṛ. Saṃ. 3-2-2, 4-9-2 and 4-9-8; and the word</w:t>
      </w:r>
      <w:r>
        <w:t xml:space="preserve"> </w:t>
      </w:r>
      <w:r>
        <w:rPr>
          <w:iCs/>
          <w:i/>
        </w:rPr>
        <w:t xml:space="preserve">dūḷabhāsaḥ</w:t>
      </w:r>
      <w:r>
        <w:t xml:space="preserve"> </w:t>
      </w:r>
      <w:r>
        <w:t xml:space="preserve">in Ṛ. Saṃ. 3-56-8 [?] and 7-60-6.</w:t>
      </w:r>
    </w:p>
    <w:p>
      <w:pPr>
        <w:pStyle w:val="BodyText"/>
      </w:pPr>
      <w:r>
        <w:rPr>
          <w:bCs/>
          <w:b/>
        </w:rPr>
        <w:t xml:space="preserve">॥ Vyākaraṇa-prakriyā ॥</w:t>
      </w:r>
      <w:r>
        <w:t xml:space="preserve"> </w:t>
      </w:r>
      <w:r>
        <w:rPr>
          <w:iCs/>
          <w:i/>
        </w:rPr>
        <w:t xml:space="preserve">(grammar pages 648–650, noted briefly)</w:t>
      </w:r>
    </w:p>
    <w:p>
      <w:pPr>
        <w:pStyle w:val="BodyText"/>
      </w:pPr>
      <w:r>
        <w:rPr>
          <w:bCs/>
          <w:b/>
        </w:rPr>
        <w:t xml:space="preserve">युवम् (</w:t>
      </w:r>
      <w:r>
        <w:rPr>
          <w:iCs/>
          <w:i/>
          <w:bCs/>
          <w:b/>
        </w:rPr>
        <w:t xml:space="preserve">yuvam</w:t>
      </w:r>
      <w:r>
        <w:rPr>
          <w:bCs/>
          <w:b/>
        </w:rPr>
        <w:t xml:space="preserve">)</w:t>
      </w:r>
      <w:r>
        <w:t xml:space="preserve">:</w:t>
      </w:r>
      <w:r>
        <w:t xml:space="preserve"> </w:t>
      </w:r>
      <w:r>
        <w:rPr>
          <w:iCs/>
          <w:i/>
        </w:rPr>
        <w:t xml:space="preserve">yuṣmad</w:t>
      </w:r>
      <w:r>
        <w:t xml:space="preserve"> </w:t>
      </w:r>
      <w:r>
        <w:t xml:space="preserve">+ nominative dual</w:t>
      </w:r>
      <w:r>
        <w:t xml:space="preserve"> </w:t>
      </w:r>
      <w:r>
        <w:rPr>
          <w:iCs/>
          <w:i/>
        </w:rPr>
        <w:t xml:space="preserve">au</w:t>
      </w:r>
      <w:r>
        <w:t xml:space="preserve">.</w:t>
      </w:r>
      <w:r>
        <w:t xml:space="preserve"> </w:t>
      </w:r>
      <w:r>
        <w:t xml:space="preserve">“</w:t>
      </w:r>
      <w:r>
        <w:t xml:space="preserve">yuvāvau dvivacane</w:t>
      </w:r>
      <w:r>
        <w:t xml:space="preserve">”</w:t>
      </w:r>
      <w:r>
        <w:t xml:space="preserve"> </w:t>
      </w:r>
      <w:r>
        <w:t xml:space="preserve">(Pā. sū. 7-2-92): before an ending, for</w:t>
      </w:r>
      <w:r>
        <w:t xml:space="preserve"> </w:t>
      </w:r>
      <w:r>
        <w:rPr>
          <w:iCs/>
          <w:i/>
        </w:rPr>
        <w:t xml:space="preserve">yuṣmad</w:t>
      </w:r>
      <w:r>
        <w:t xml:space="preserve"> </w:t>
      </w:r>
      <w:r>
        <w:t xml:space="preserve">and</w:t>
      </w:r>
      <w:r>
        <w:t xml:space="preserve"> </w:t>
      </w:r>
      <w:r>
        <w:rPr>
          <w:iCs/>
          <w:i/>
        </w:rPr>
        <w:t xml:space="preserve">asmad</w:t>
      </w:r>
      <w:r>
        <w:t xml:space="preserve"> </w:t>
      </w:r>
      <w:r>
        <w:t xml:space="preserve">conveying duality,</w:t>
      </w:r>
      <w:r>
        <w:t xml:space="preserve"> </w:t>
      </w:r>
      <w:r>
        <w:rPr>
          <w:iCs/>
          <w:i/>
        </w:rPr>
        <w:t xml:space="preserve">yuva</w:t>
      </w:r>
      <w:r>
        <w:t xml:space="preserve"> </w:t>
      </w:r>
      <w:r>
        <w:t xml:space="preserve">and</w:t>
      </w:r>
      <w:r>
        <w:t xml:space="preserve"> </w:t>
      </w:r>
      <w:r>
        <w:rPr>
          <w:iCs/>
          <w:i/>
        </w:rPr>
        <w:t xml:space="preserve">āva</w:t>
      </w:r>
      <w:r>
        <w:t xml:space="preserve"> </w:t>
      </w:r>
      <w:r>
        <w:t xml:space="preserve">for the part up to</w:t>
      </w:r>
      <w:r>
        <w:t xml:space="preserve"> </w:t>
      </w:r>
      <w:r>
        <w:rPr>
          <w:iCs/>
          <w:i/>
        </w:rPr>
        <w:t xml:space="preserve">m</w:t>
      </w:r>
      <w:r>
        <w:t xml:space="preserve">; so</w:t>
      </w:r>
      <w:r>
        <w:t xml:space="preserve"> </w:t>
      </w:r>
      <w:r>
        <w:rPr>
          <w:iCs/>
          <w:i/>
        </w:rPr>
        <w:t xml:space="preserve">yuva</w:t>
      </w:r>
      <w:r>
        <w:t xml:space="preserve"> </w:t>
      </w:r>
      <w:r>
        <w:t xml:space="preserve">for</w:t>
      </w:r>
      <w:r>
        <w:t xml:space="preserve"> </w:t>
      </w:r>
      <w:r>
        <w:rPr>
          <w:iCs/>
          <w:i/>
        </w:rPr>
        <w:t xml:space="preserve">yuṣma</w:t>
      </w:r>
      <w:r>
        <w:t xml:space="preserve">,</w:t>
      </w:r>
      <w:r>
        <w:t xml:space="preserve"> </w:t>
      </w:r>
      <w:r>
        <w:rPr>
          <w:iCs/>
          <w:i/>
        </w:rPr>
        <w:t xml:space="preserve">pararūpa</w:t>
      </w:r>
      <w:r>
        <w:t xml:space="preserve">:</w:t>
      </w:r>
      <w:r>
        <w:t xml:space="preserve"> </w:t>
      </w:r>
      <w:r>
        <w:rPr>
          <w:iCs/>
          <w:i/>
        </w:rPr>
        <w:t xml:space="preserve">yuvad</w:t>
      </w:r>
      <w:r>
        <w:t xml:space="preserve"> </w:t>
      </w:r>
      <w:r>
        <w:t xml:space="preserve">+</w:t>
      </w:r>
      <w:r>
        <w:t xml:space="preserve"> </w:t>
      </w:r>
      <w:r>
        <w:rPr>
          <w:iCs/>
          <w:i/>
        </w:rPr>
        <w:t xml:space="preserve">au</w:t>
      </w:r>
      <w:r>
        <w:t xml:space="preserve">.</w:t>
      </w:r>
      <w:r>
        <w:t xml:space="preserve"> </w:t>
      </w:r>
      <w:r>
        <w:t xml:space="preserve">“</w:t>
      </w:r>
      <w:r>
        <w:t xml:space="preserve">ṅe prathamayor am</w:t>
      </w:r>
      <w:r>
        <w:t xml:space="preserve">”</w:t>
      </w:r>
      <w:r>
        <w:t xml:space="preserve"> </w:t>
      </w:r>
      <w:r>
        <w:t xml:space="preserve">(Pā. sū. 7-1-28):</w:t>
      </w:r>
      <w:r>
        <w:t xml:space="preserve"> </w:t>
      </w:r>
      <w:r>
        <w:rPr>
          <w:iCs/>
          <w:i/>
        </w:rPr>
        <w:t xml:space="preserve">am</w:t>
      </w:r>
      <w:r>
        <w:t xml:space="preserve"> </w:t>
      </w:r>
      <w:r>
        <w:t xml:space="preserve">also for the first and second case endings after</w:t>
      </w:r>
      <w:r>
        <w:t xml:space="preserve"> </w:t>
      </w:r>
      <w:r>
        <w:rPr>
          <w:iCs/>
          <w:i/>
        </w:rPr>
        <w:t xml:space="preserve">yuṣmad</w:t>
      </w:r>
      <w:r>
        <w:t xml:space="preserve">/</w:t>
      </w:r>
      <w:r>
        <w:rPr>
          <w:iCs/>
          <w:i/>
        </w:rPr>
        <w:t xml:space="preserve">asmad</w:t>
      </w:r>
      <w:r>
        <w:t xml:space="preserve">, so</w:t>
      </w:r>
      <w:r>
        <w:t xml:space="preserve"> </w:t>
      </w:r>
      <w:r>
        <w:rPr>
          <w:iCs/>
          <w:i/>
        </w:rPr>
        <w:t xml:space="preserve">am</w:t>
      </w:r>
      <w:r>
        <w:t xml:space="preserve"> </w:t>
      </w:r>
      <w:r>
        <w:t xml:space="preserve">for</w:t>
      </w:r>
      <w:r>
        <w:t xml:space="preserve"> </w:t>
      </w:r>
      <w:r>
        <w:rPr>
          <w:iCs/>
          <w:i/>
        </w:rPr>
        <w:t xml:space="preserve">au</w:t>
      </w:r>
      <w:r>
        <w:t xml:space="preserve">:</w:t>
      </w:r>
      <w:r>
        <w:t xml:space="preserve"> </w:t>
      </w:r>
      <w:r>
        <w:rPr>
          <w:iCs/>
          <w:i/>
        </w:rPr>
        <w:t xml:space="preserve">yuvad</w:t>
      </w:r>
      <w:r>
        <w:t xml:space="preserve"> </w:t>
      </w:r>
      <w:r>
        <w:t xml:space="preserve">+</w:t>
      </w:r>
      <w:r>
        <w:t xml:space="preserve"> </w:t>
      </w:r>
      <w:r>
        <w:rPr>
          <w:iCs/>
          <w:i/>
        </w:rPr>
        <w:t xml:space="preserve">am</w:t>
      </w:r>
      <w:r>
        <w:t xml:space="preserve">.</w:t>
      </w:r>
      <w:r>
        <w:t xml:space="preserve"> </w:t>
      </w:r>
      <w:r>
        <w:t xml:space="preserve">“</w:t>
      </w:r>
      <w:r>
        <w:t xml:space="preserve">prathamāyāś ca dvivacane bhāṣāyām</w:t>
      </w:r>
      <w:r>
        <w:t xml:space="preserve">”</w:t>
      </w:r>
      <w:r>
        <w:t xml:space="preserve"> </w:t>
      </w:r>
      <w:r>
        <w:t xml:space="preserve">(Pā. sū. 7-2-88): before the first-case dual,</w:t>
      </w:r>
      <w:r>
        <w:t xml:space="preserve"> </w:t>
      </w:r>
      <w:r>
        <w:rPr>
          <w:iCs/>
          <w:i/>
        </w:rPr>
        <w:t xml:space="preserve">ā</w:t>
      </w:r>
      <w:r>
        <w:t xml:space="preserve"> </w:t>
      </w:r>
      <w:r>
        <w:t xml:space="preserve">as the final replacement of</w:t>
      </w:r>
      <w:r>
        <w:t xml:space="preserve"> </w:t>
      </w:r>
      <w:r>
        <w:rPr>
          <w:iCs/>
          <w:i/>
        </w:rPr>
        <w:t xml:space="preserve">yuṣmad</w:t>
      </w:r>
      <w:r>
        <w:t xml:space="preserve">/</w:t>
      </w:r>
      <w:r>
        <w:rPr>
          <w:iCs/>
          <w:i/>
        </w:rPr>
        <w:t xml:space="preserve">asmad</w:t>
      </w:r>
      <w:r>
        <w:t xml:space="preserve"> </w:t>
      </w:r>
      <w:r>
        <w:t xml:space="preserve">in the spoken language; so this</w:t>
      </w:r>
      <w:r>
        <w:t xml:space="preserve"> </w:t>
      </w:r>
      <w:r>
        <w:rPr>
          <w:iCs/>
          <w:i/>
        </w:rPr>
        <w:t xml:space="preserve">ā</w:t>
      </w:r>
      <w:r>
        <w:t xml:space="preserve"> </w:t>
      </w:r>
      <w:r>
        <w:t xml:space="preserve">does not come in the Veda. By</w:t>
      </w:r>
      <w:r>
        <w:t xml:space="preserve"> </w:t>
      </w:r>
      <w:r>
        <w:t xml:space="preserve">“</w:t>
      </w:r>
      <w:r>
        <w:t xml:space="preserve">śeṣe lopaḥ</w:t>
      </w:r>
      <w:r>
        <w:t xml:space="preserve">”</w:t>
      </w:r>
      <w:r>
        <w:t xml:space="preserve"> </w:t>
      </w:r>
      <w:r>
        <w:t xml:space="preserve">(Pā. sū. 7-2-90) the</w:t>
      </w:r>
      <w:r>
        <w:t xml:space="preserve"> </w:t>
      </w:r>
      <w:r>
        <w:rPr>
          <w:iCs/>
          <w:i/>
        </w:rPr>
        <w:t xml:space="preserve">ṭi</w:t>
      </w:r>
      <w:r>
        <w:t xml:space="preserve"> </w:t>
      </w:r>
      <w:r>
        <w:t xml:space="preserve">drops, or the final letter. On the final-loss view</w:t>
      </w:r>
      <w:r>
        <w:t xml:space="preserve"> </w:t>
      </w:r>
      <w:r>
        <w:rPr>
          <w:iCs/>
          <w:i/>
        </w:rPr>
        <w:t xml:space="preserve">pūrvarūpa</w:t>
      </w:r>
      <w:r>
        <w:t xml:space="preserve"> </w:t>
      </w:r>
      <w:r>
        <w:t xml:space="preserve">by</w:t>
      </w:r>
      <w:r>
        <w:t xml:space="preserve"> </w:t>
      </w:r>
      <w:r>
        <w:t xml:space="preserve">“</w:t>
      </w:r>
      <w:r>
        <w:t xml:space="preserve">ami pūrvaḥ</w:t>
      </w:r>
      <w:r>
        <w:t xml:space="preserve">”</w:t>
      </w:r>
      <w:r>
        <w:t xml:space="preserve"> </w:t>
      </w:r>
      <w:r>
        <w:t xml:space="preserve">(Pā. sū. 6-1-107):</w:t>
      </w:r>
      <w:r>
        <w:t xml:space="preserve"> </w:t>
      </w:r>
      <w:r>
        <w:rPr>
          <w:iCs/>
          <w:i/>
        </w:rPr>
        <w:t xml:space="preserve">yuvam</w:t>
      </w:r>
      <w:r>
        <w:t xml:space="preserve">. On the</w:t>
      </w:r>
      <w:r>
        <w:t xml:space="preserve"> </w:t>
      </w:r>
      <w:r>
        <w:rPr>
          <w:iCs/>
          <w:i/>
        </w:rPr>
        <w:t xml:space="preserve">ṭi</w:t>
      </w:r>
      <w:r>
        <w:t xml:space="preserve">-loss view the</w:t>
      </w:r>
      <w:r>
        <w:t xml:space="preserve"> </w:t>
      </w:r>
      <w:r>
        <w:rPr>
          <w:iCs/>
          <w:i/>
        </w:rPr>
        <w:t xml:space="preserve">a</w:t>
      </w:r>
      <w:r>
        <w:t xml:space="preserve"> </w:t>
      </w:r>
      <w:r>
        <w:t xml:space="preserve">of</w:t>
      </w:r>
      <w:r>
        <w:t xml:space="preserve"> </w:t>
      </w:r>
      <w:r>
        <w:rPr>
          <w:iCs/>
          <w:i/>
        </w:rPr>
        <w:t xml:space="preserve">am</w:t>
      </w:r>
      <w:r>
        <w:t xml:space="preserve"> </w:t>
      </w:r>
      <w:r>
        <w:t xml:space="preserve">is udātta by the</w:t>
      </w:r>
      <w:r>
        <w:t xml:space="preserve"> </w:t>
      </w:r>
      <w:r>
        <w:rPr>
          <w:iCs/>
          <w:i/>
        </w:rPr>
        <w:t xml:space="preserve">udāttanivṛtti</w:t>
      </w:r>
      <w:r>
        <w:t xml:space="preserve"> </w:t>
      </w:r>
      <w:r>
        <w:t xml:space="preserve">accent</w:t>
      </w:r>
      <w:r>
        <w:t xml:space="preserve"> </w:t>
      </w:r>
      <w:r>
        <w:t xml:space="preserve">“</w:t>
      </w:r>
      <w:r>
        <w:t xml:space="preserve">anudāttasya ca yatrodāttalopaḥ</w:t>
      </w:r>
      <w:r>
        <w:t xml:space="preserve">”</w:t>
      </w:r>
      <w:r>
        <w:t xml:space="preserve"> </w:t>
      </w:r>
      <w:r>
        <w:t xml:space="preserve">(Pā. sū. 6-1-161); on the final-loss view the single replacement of</w:t>
      </w:r>
      <w:r>
        <w:t xml:space="preserve"> </w:t>
      </w:r>
      <w:r>
        <w:rPr>
          <w:iCs/>
          <w:i/>
        </w:rPr>
        <w:t xml:space="preserve">ami pūrvaḥ</w:t>
      </w:r>
      <w:r>
        <w:t xml:space="preserve"> </w:t>
      </w:r>
      <w:r>
        <w:t xml:space="preserve">is udātta by</w:t>
      </w:r>
      <w:r>
        <w:t xml:space="preserve"> </w:t>
      </w:r>
      <w:r>
        <w:t xml:space="preserve">“</w:t>
      </w:r>
      <w:r>
        <w:t xml:space="preserve">ekādeśa udāttenodāttaḥ</w:t>
      </w:r>
      <w:r>
        <w:t xml:space="preserve">”</w:t>
      </w:r>
      <w:r>
        <w:t xml:space="preserve"> </w:t>
      </w:r>
      <w:r>
        <w:t xml:space="preserve">(Pā. sū.</w:t>
      </w:r>
      <w:r>
        <w:t xml:space="preserve"> </w:t>
      </w:r>
      <w:r>
        <w:t xml:space="preserve">“</w:t>
      </w:r>
      <w:r>
        <w:t xml:space="preserve">6-2-5</w:t>
      </w:r>
      <w:r>
        <w:t xml:space="preserve">”</w:t>
      </w:r>
      <w:r>
        <w:t xml:space="preserve"> </w:t>
      </w:r>
      <w:r>
        <w:t xml:space="preserve">[as printed, for 8-2-5]). So on both views</w:t>
      </w:r>
      <w:r>
        <w:t xml:space="preserve"> </w:t>
      </w:r>
      <w:r>
        <w:rPr>
          <w:iCs/>
          <w:i/>
        </w:rPr>
        <w:t xml:space="preserve">yuvam</w:t>
      </w:r>
      <w:r>
        <w:t xml:space="preserve"> </w:t>
      </w:r>
      <w:r>
        <w:t xml:space="preserve">is final udātta.</w:t>
      </w:r>
    </w:p>
    <w:p>
      <w:pPr>
        <w:pStyle w:val="BodyText"/>
      </w:pPr>
      <w:r>
        <w:rPr>
          <w:bCs/>
          <w:b/>
        </w:rPr>
        <w:t xml:space="preserve">दक्षम् (</w:t>
      </w:r>
      <w:r>
        <w:rPr>
          <w:iCs/>
          <w:i/>
          <w:bCs/>
          <w:b/>
        </w:rPr>
        <w:t xml:space="preserve">dakṣam</w:t>
      </w:r>
      <w:r>
        <w:rPr>
          <w:bCs/>
          <w:b/>
        </w:rPr>
        <w:t xml:space="preserve">)</w:t>
      </w:r>
      <w:r>
        <w:t xml:space="preserve">:</w:t>
      </w:r>
      <w:r>
        <w:t xml:space="preserve"> </w:t>
      </w:r>
      <w:r>
        <w:rPr>
          <w:iCs/>
          <w:i/>
        </w:rPr>
        <w:t xml:space="preserve">dakṣa vṛddhau</w:t>
      </w:r>
      <w:r>
        <w:t xml:space="preserve">;</w:t>
      </w:r>
      <w:r>
        <w:t xml:space="preserve"> </w:t>
      </w:r>
      <w:r>
        <w:rPr>
          <w:iCs/>
          <w:i/>
        </w:rPr>
        <w:t xml:space="preserve">dakṣanti anena iti dakṣam</w:t>
      </w:r>
      <w:r>
        <w:t xml:space="preserve">.</w:t>
      </w:r>
      <w:r>
        <w:t xml:space="preserve"> </w:t>
      </w:r>
      <w:r>
        <w:t xml:space="preserve">“</w:t>
      </w:r>
      <w:r>
        <w:t xml:space="preserve">halaś ca</w:t>
      </w:r>
      <w:r>
        <w:t xml:space="preserve">”</w:t>
      </w:r>
      <w:r>
        <w:t xml:space="preserve"> </w:t>
      </w:r>
      <w:r>
        <w:t xml:space="preserve">(Pā. sū. 3-3-121): after consonant-final roots, in the senses of instrument and locus, in the masculine, when a name is meant, the suffix</w:t>
      </w:r>
      <w:r>
        <w:t xml:space="preserve"> </w:t>
      </w:r>
      <w:r>
        <w:rPr>
          <w:iCs/>
          <w:i/>
        </w:rPr>
        <w:t xml:space="preserve">ghañ</w:t>
      </w:r>
      <w:r>
        <w:t xml:space="preserve">; so</w:t>
      </w:r>
      <w:r>
        <w:t xml:space="preserve"> </w:t>
      </w:r>
      <w:r>
        <w:rPr>
          <w:iCs/>
          <w:i/>
        </w:rPr>
        <w:t xml:space="preserve">ghañ</w:t>
      </w:r>
      <w:r>
        <w:t xml:space="preserve"> </w:t>
      </w:r>
      <w:r>
        <w:t xml:space="preserve">after</w:t>
      </w:r>
      <w:r>
        <w:t xml:space="preserve"> </w:t>
      </w:r>
      <w:r>
        <w:rPr>
          <w:iCs/>
          <w:i/>
        </w:rPr>
        <w:t xml:space="preserve">dakṣ</w:t>
      </w:r>
      <w:r>
        <w:t xml:space="preserve"> </w:t>
      </w:r>
      <w:r>
        <w:t xml:space="preserve">in the instrumental sense. With</w:t>
      </w:r>
      <w:r>
        <w:t xml:space="preserve"> </w:t>
      </w:r>
      <w:r>
        <w:rPr>
          <w:iCs/>
          <w:i/>
        </w:rPr>
        <w:t xml:space="preserve">ghañ</w:t>
      </w:r>
      <w:r>
        <w:t xml:space="preserve">, by rule it should be masculine,</w:t>
      </w:r>
      <w:r>
        <w:t xml:space="preserve"> </w:t>
      </w:r>
      <w:r>
        <w:rPr>
          <w:iCs/>
          <w:i/>
        </w:rPr>
        <w:t xml:space="preserve">dakṣaḥ</w:t>
      </w:r>
      <w:r>
        <w:t xml:space="preserve">; but by</w:t>
      </w:r>
      <w:r>
        <w:t xml:space="preserve"> </w:t>
      </w:r>
      <w:r>
        <w:rPr>
          <w:iCs/>
          <w:i/>
        </w:rPr>
        <w:t xml:space="preserve">anyasyāniyamaḥ</w:t>
      </w:r>
      <w:r>
        <w:t xml:space="preserve"> </w:t>
      </w:r>
      <w:r>
        <w:t xml:space="preserve">it is neuter.</w:t>
      </w:r>
    </w:p>
    <w:p>
      <w:pPr>
        <w:pStyle w:val="BodyText"/>
      </w:pPr>
      <w:r>
        <w:rPr>
          <w:bCs/>
          <w:b/>
        </w:rPr>
        <w:t xml:space="preserve">धृतव्रता मित्रावरुणा (</w:t>
      </w:r>
      <w:r>
        <w:rPr>
          <w:iCs/>
          <w:i/>
          <w:bCs/>
          <w:b/>
        </w:rPr>
        <w:t xml:space="preserve">dhṛtavratā mitrāvaruṇā</w:t>
      </w:r>
      <w:r>
        <w:rPr>
          <w:bCs/>
          <w:b/>
        </w:rPr>
        <w:t xml:space="preserve">)</w:t>
      </w:r>
      <w:r>
        <w:t xml:space="preserve">:</w:t>
      </w:r>
      <w:r>
        <w:t xml:space="preserve"> </w:t>
      </w:r>
      <w:r>
        <w:rPr>
          <w:iCs/>
          <w:i/>
        </w:rPr>
        <w:t xml:space="preserve">dhṛtāni vratāni yābhyāṃ tau</w:t>
      </w:r>
      <w:r>
        <w:t xml:space="preserve"> </w:t>
      </w:r>
      <w:r>
        <w:t xml:space="preserve">(Mitra and Varuṇa, by whom the rite is accepted):</w:t>
      </w:r>
      <w:r>
        <w:t xml:space="preserve"> </w:t>
      </w:r>
      <w:r>
        <w:rPr>
          <w:iCs/>
          <w:i/>
        </w:rPr>
        <w:t xml:space="preserve">dhṛtavratau</w:t>
      </w:r>
      <w:r>
        <w:t xml:space="preserve">.</w:t>
      </w:r>
      <w:r>
        <w:t xml:space="preserve"> </w:t>
      </w:r>
      <w:r>
        <w:rPr>
          <w:iCs/>
          <w:i/>
        </w:rPr>
        <w:t xml:space="preserve">Mitraś ca varuṇaś ca mitrāvaruṇau</w:t>
      </w:r>
      <w:r>
        <w:t xml:space="preserve">, a dvandva compound. In both, for the vocative-nominative dual ending</w:t>
      </w:r>
      <w:r>
        <w:t xml:space="preserve"> </w:t>
      </w:r>
      <w:r>
        <w:rPr>
          <w:iCs/>
          <w:i/>
        </w:rPr>
        <w:t xml:space="preserve">au</w:t>
      </w:r>
      <w:r>
        <w:t xml:space="preserve">, by</w:t>
      </w:r>
      <w:r>
        <w:t xml:space="preserve"> </w:t>
      </w:r>
      <w:r>
        <w:t xml:space="preserve">“</w:t>
      </w:r>
      <w:r>
        <w:t xml:space="preserve">supāṃ suluk…</w:t>
      </w:r>
      <w:r>
        <w:t xml:space="preserve">”</w:t>
      </w:r>
    </w:p>
    <w:bookmarkEnd w:id="701"/>
    <w:bookmarkStart w:id="702" w:name="page-649-rik-6-grammar-continued"/>
    <w:p>
      <w:pPr>
        <w:pStyle w:val="Heading3"/>
      </w:pPr>
      <w:r>
        <w:t xml:space="preserve">Page 649 — Rik 6: grammar (continued)</w:t>
      </w:r>
    </w:p>
    <w:p>
      <w:pPr>
        <w:pStyle w:val="FirstParagraph"/>
      </w:pPr>
      <w:r>
        <w:t xml:space="preserve">(Pā. sū. 7-1-39) and so on, the replacement</w:t>
      </w:r>
      <w:r>
        <w:t xml:space="preserve"> </w:t>
      </w:r>
      <w:r>
        <w:rPr>
          <w:iCs/>
          <w:i/>
        </w:rPr>
        <w:t xml:space="preserve">ā</w:t>
      </w:r>
      <w:r>
        <w:t xml:space="preserve"> </w:t>
      </w:r>
      <w:r>
        <w:t xml:space="preserve">comes. For the word</w:t>
      </w:r>
      <w:r>
        <w:t xml:space="preserve"> </w:t>
      </w:r>
      <w:r>
        <w:rPr>
          <w:iCs/>
          <w:i/>
        </w:rPr>
        <w:t xml:space="preserve">mitra</w:t>
      </w:r>
      <w:r>
        <w:t xml:space="preserve">, by</w:t>
      </w:r>
      <w:r>
        <w:t xml:space="preserve"> </w:t>
      </w:r>
      <w:r>
        <w:t xml:space="preserve">“</w:t>
      </w:r>
      <w:r>
        <w:t xml:space="preserve">devatādvandve ca</w:t>
      </w:r>
      <w:r>
        <w:t xml:space="preserve">”</w:t>
      </w:r>
      <w:r>
        <w:t xml:space="preserve"> </w:t>
      </w:r>
      <w:r>
        <w:t xml:space="preserve">(Pā. sū. 6-3-26) the replacement</w:t>
      </w:r>
      <w:r>
        <w:t xml:space="preserve"> </w:t>
      </w:r>
      <w:r>
        <w:rPr>
          <w:iCs/>
          <w:i/>
        </w:rPr>
        <w:t xml:space="preserve">ānaṅ</w:t>
      </w:r>
      <w:r>
        <w:t xml:space="preserve"> </w:t>
      </w:r>
      <w:r>
        <w:t xml:space="preserve">comes; being</w:t>
      </w:r>
      <w:r>
        <w:t xml:space="preserve"> </w:t>
      </w:r>
      <w:r>
        <w:rPr>
          <w:iCs/>
          <w:i/>
        </w:rPr>
        <w:t xml:space="preserve">ṅit</w:t>
      </w:r>
      <w:r>
        <w:t xml:space="preserve">, by</w:t>
      </w:r>
      <w:r>
        <w:t xml:space="preserve"> </w:t>
      </w:r>
      <w:r>
        <w:t xml:space="preserve">“</w:t>
      </w:r>
      <w:r>
        <w:t xml:space="preserve">ṅic ca</w:t>
      </w:r>
      <w:r>
        <w:t xml:space="preserve">”</w:t>
      </w:r>
      <w:r>
        <w:t xml:space="preserve"> </w:t>
      </w:r>
      <w:r>
        <w:t xml:space="preserve">(Pā. sū. 1-1-53) a</w:t>
      </w:r>
      <w:r>
        <w:t xml:space="preserve"> </w:t>
      </w:r>
      <w:r>
        <w:rPr>
          <w:iCs/>
          <w:i/>
        </w:rPr>
        <w:t xml:space="preserve">ṅit</w:t>
      </w:r>
      <w:r>
        <w:t xml:space="preserve"> </w:t>
      </w:r>
      <w:r>
        <w:t xml:space="preserve">replacement, though of several letters, comes for the final letter; so</w:t>
      </w:r>
      <w:r>
        <w:t xml:space="preserve"> </w:t>
      </w:r>
      <w:r>
        <w:rPr>
          <w:iCs/>
          <w:i/>
        </w:rPr>
        <w:t xml:space="preserve">ān</w:t>
      </w:r>
      <w:r>
        <w:t xml:space="preserve"> </w:t>
      </w:r>
      <w:r>
        <w:t xml:space="preserve">for the final</w:t>
      </w:r>
      <w:r>
        <w:t xml:space="preserve"> </w:t>
      </w:r>
      <w:r>
        <w:rPr>
          <w:iCs/>
          <w:i/>
        </w:rPr>
        <w:t xml:space="preserve">a</w:t>
      </w:r>
      <w:r>
        <w:t xml:space="preserve"> </w:t>
      </w:r>
      <w:r>
        <w:t xml:space="preserve">of</w:t>
      </w:r>
      <w:r>
        <w:t xml:space="preserve"> </w:t>
      </w:r>
      <w:r>
        <w:rPr>
          <w:iCs/>
          <w:i/>
        </w:rPr>
        <w:t xml:space="preserve">mitra</w:t>
      </w:r>
      <w:r>
        <w:t xml:space="preserve">; the</w:t>
      </w:r>
      <w:r>
        <w:t xml:space="preserve"> </w:t>
      </w:r>
      <w:r>
        <w:rPr>
          <w:iCs/>
          <w:i/>
        </w:rPr>
        <w:t xml:space="preserve">n</w:t>
      </w:r>
      <w:r>
        <w:t xml:space="preserve"> </w:t>
      </w:r>
      <w:r>
        <w:t xml:space="preserve">dropped by</w:t>
      </w:r>
      <w:r>
        <w:t xml:space="preserve"> </w:t>
      </w:r>
      <w:r>
        <w:t xml:space="preserve">“</w:t>
      </w:r>
      <w:r>
        <w:t xml:space="preserve">nalopaḥ prātipadikāntasya</w:t>
      </w:r>
      <w:r>
        <w:t xml:space="preserve">”</w:t>
      </w:r>
      <w:r>
        <w:t xml:space="preserve"> </w:t>
      </w:r>
      <w:r>
        <w:t xml:space="preserve">(Pā. sū. 8-2-7):</w:t>
      </w:r>
      <w:r>
        <w:t xml:space="preserve"> </w:t>
      </w:r>
      <w:r>
        <w:rPr>
          <w:iCs/>
          <w:i/>
        </w:rPr>
        <w:t xml:space="preserve">mitrāvaruṇā</w:t>
      </w:r>
      <w:r>
        <w:t xml:space="preserve">. In</w:t>
      </w:r>
      <w:r>
        <w:t xml:space="preserve"> </w:t>
      </w:r>
      <w:r>
        <w:rPr>
          <w:iCs/>
          <w:i/>
        </w:rPr>
        <w:t xml:space="preserve">dhṛtavratā</w:t>
      </w:r>
      <w:r>
        <w:t xml:space="preserve"> </w:t>
      </w:r>
      <w:r>
        <w:t xml:space="preserve">the vocative lowering comes by</w:t>
      </w:r>
      <w:r>
        <w:t xml:space="preserve"> </w:t>
      </w:r>
      <w:r>
        <w:t xml:space="preserve">“</w:t>
      </w:r>
      <w:r>
        <w:t xml:space="preserve">āmantritasya ca</w:t>
      </w:r>
      <w:r>
        <w:t xml:space="preserve">”</w:t>
      </w:r>
      <w:r>
        <w:t xml:space="preserve"> </w:t>
      </w:r>
      <w:r>
        <w:t xml:space="preserve">(Pā. sū. 8-1-19).</w:t>
      </w:r>
      <w:r>
        <w:t xml:space="preserve"> </w:t>
      </w:r>
      <w:r>
        <w:rPr>
          <w:iCs/>
          <w:i/>
        </w:rPr>
        <w:t xml:space="preserve">Mitrāvaruṇā</w:t>
      </w:r>
      <w:r>
        <w:t xml:space="preserve"> </w:t>
      </w:r>
      <w:r>
        <w:t xml:space="preserve">is at the head of the pāda, so it does not get the vocative lowering; by the sixth-adhyāya</w:t>
      </w:r>
      <w:r>
        <w:t xml:space="preserve"> </w:t>
      </w:r>
      <w:r>
        <w:t xml:space="preserve">“</w:t>
      </w:r>
      <w:r>
        <w:t xml:space="preserve">āmantritasya ca</w:t>
      </w:r>
      <w:r>
        <w:t xml:space="preserve">”</w:t>
      </w:r>
      <w:r>
        <w:t xml:space="preserve"> </w:t>
      </w:r>
      <w:r>
        <w:t xml:space="preserve">it is initial udātta. In</w:t>
      </w:r>
      <w:r>
        <w:t xml:space="preserve"> </w:t>
      </w:r>
      <w:r>
        <w:rPr>
          <w:iCs/>
          <w:i/>
        </w:rPr>
        <w:t xml:space="preserve">dhṛtavratā</w:t>
      </w:r>
      <w:r>
        <w:t xml:space="preserve"> </w:t>
      </w:r>
      <w:r>
        <w:t xml:space="preserve">and</w:t>
      </w:r>
      <w:r>
        <w:t xml:space="preserve"> </w:t>
      </w:r>
      <w:r>
        <w:rPr>
          <w:iCs/>
          <w:i/>
        </w:rPr>
        <w:t xml:space="preserve">mitrāvaruṇā</w:t>
      </w:r>
      <w:r>
        <w:t xml:space="preserve"> </w:t>
      </w:r>
      <w:r>
        <w:t xml:space="preserve">the shortening in the Saṃhitā is Vedic.</w:t>
      </w:r>
    </w:p>
    <w:p>
      <w:pPr>
        <w:pStyle w:val="BodyText"/>
      </w:pPr>
      <w:r>
        <w:rPr>
          <w:bCs/>
          <w:b/>
        </w:rPr>
        <w:t xml:space="preserve">दूळभम् (</w:t>
      </w:r>
      <w:r>
        <w:rPr>
          <w:iCs/>
          <w:i/>
          <w:bCs/>
          <w:b/>
        </w:rPr>
        <w:t xml:space="preserve">dūḷabham</w:t>
      </w:r>
      <w:r>
        <w:rPr>
          <w:bCs/>
          <w:b/>
        </w:rPr>
        <w:t xml:space="preserve">)</w:t>
      </w:r>
      <w:r>
        <w:t xml:space="preserve">:</w:t>
      </w:r>
      <w:r>
        <w:t xml:space="preserve"> </w:t>
      </w:r>
      <w:r>
        <w:rPr>
          <w:iCs/>
          <w:i/>
        </w:rPr>
        <w:t xml:space="preserve">daha bhasmīkaraṇe</w:t>
      </w:r>
      <w:r>
        <w:t xml:space="preserve">;</w:t>
      </w:r>
      <w:r>
        <w:t xml:space="preserve"> </w:t>
      </w:r>
      <w:r>
        <w:rPr>
          <w:iCs/>
          <w:i/>
        </w:rPr>
        <w:t xml:space="preserve">duḥkhena dahyate iti durdaham</w:t>
      </w:r>
      <w:r>
        <w:t xml:space="preserve">.</w:t>
      </w:r>
      <w:r>
        <w:t xml:space="preserve"> </w:t>
      </w:r>
      <w:r>
        <w:t xml:space="preserve">“</w:t>
      </w:r>
      <w:r>
        <w:t xml:space="preserve">īṣadduḥsuṣu kṛcchrākṛcchrārtheṣu khal</w:t>
      </w:r>
      <w:r>
        <w:t xml:space="preserve">”</w:t>
      </w:r>
      <w:r>
        <w:t xml:space="preserve"> </w:t>
      </w:r>
      <w:r>
        <w:t xml:space="preserve">(Pā. sū. 3-3-126): after a root following</w:t>
      </w:r>
      <w:r>
        <w:t xml:space="preserve"> </w:t>
      </w:r>
      <w:r>
        <w:rPr>
          <w:iCs/>
          <w:i/>
        </w:rPr>
        <w:t xml:space="preserve">īṣat</w:t>
      </w:r>
      <w:r>
        <w:t xml:space="preserve">,</w:t>
      </w:r>
      <w:r>
        <w:t xml:space="preserve"> </w:t>
      </w:r>
      <w:r>
        <w:rPr>
          <w:iCs/>
          <w:i/>
        </w:rPr>
        <w:t xml:space="preserve">dus</w:t>
      </w:r>
      <w:r>
        <w:t xml:space="preserve"> </w:t>
      </w:r>
      <w:r>
        <w:t xml:space="preserve">(in the sense of difficulty) and</w:t>
      </w:r>
      <w:r>
        <w:t xml:space="preserve"> </w:t>
      </w:r>
      <w:r>
        <w:rPr>
          <w:iCs/>
          <w:i/>
        </w:rPr>
        <w:t xml:space="preserve">su</w:t>
      </w:r>
      <w:r>
        <w:t xml:space="preserve"> </w:t>
      </w:r>
      <w:r>
        <w:t xml:space="preserve">(in the sense of ease), in the senses of action and object, the suffix</w:t>
      </w:r>
      <w:r>
        <w:t xml:space="preserve"> </w:t>
      </w:r>
      <w:r>
        <w:rPr>
          <w:iCs/>
          <w:i/>
        </w:rPr>
        <w:t xml:space="preserve">khal</w:t>
      </w:r>
      <w:r>
        <w:t xml:space="preserve">; so</w:t>
      </w:r>
      <w:r>
        <w:t xml:space="preserve"> </w:t>
      </w:r>
      <w:r>
        <w:rPr>
          <w:iCs/>
          <w:i/>
        </w:rPr>
        <w:t xml:space="preserve">khal</w:t>
      </w:r>
      <w:r>
        <w:t xml:space="preserve"> </w:t>
      </w:r>
      <w:r>
        <w:t xml:space="preserve">after</w:t>
      </w:r>
      <w:r>
        <w:t xml:space="preserve"> </w:t>
      </w:r>
      <w:r>
        <w:rPr>
          <w:iCs/>
          <w:i/>
        </w:rPr>
        <w:t xml:space="preserve">dah</w:t>
      </w:r>
      <w:r>
        <w:t xml:space="preserve"> </w:t>
      </w:r>
      <w:r>
        <w:t xml:space="preserve">with</w:t>
      </w:r>
      <w:r>
        <w:t xml:space="preserve"> </w:t>
      </w:r>
      <w:r>
        <w:rPr>
          <w:iCs/>
          <w:i/>
        </w:rPr>
        <w:t xml:space="preserve">dur</w:t>
      </w:r>
      <w:r>
        <w:t xml:space="preserve"> </w:t>
      </w:r>
      <w:r>
        <w:t xml:space="preserve">before it; the</w:t>
      </w:r>
      <w:r>
        <w:t xml:space="preserve"> </w:t>
      </w:r>
      <w:r>
        <w:rPr>
          <w:iCs/>
          <w:i/>
        </w:rPr>
        <w:t xml:space="preserve">l</w:t>
      </w:r>
      <w:r>
        <w:t xml:space="preserve"> </w:t>
      </w:r>
      <w:r>
        <w:t xml:space="preserve">and</w:t>
      </w:r>
      <w:r>
        <w:t xml:space="preserve"> </w:t>
      </w:r>
      <w:r>
        <w:rPr>
          <w:iCs/>
          <w:i/>
        </w:rPr>
        <w:t xml:space="preserve">kh</w:t>
      </w:r>
      <w:r>
        <w:t xml:space="preserve"> </w:t>
      </w:r>
      <w:r>
        <w:t xml:space="preserve">are</w:t>
      </w:r>
      <w:r>
        <w:t xml:space="preserve"> </w:t>
      </w:r>
      <w:r>
        <w:rPr>
          <w:iCs/>
          <w:i/>
        </w:rPr>
        <w:t xml:space="preserve">it</w:t>
      </w:r>
      <w:r>
        <w:t xml:space="preserve"> </w:t>
      </w:r>
      <w:r>
        <w:t xml:space="preserve">and go:</w:t>
      </w:r>
      <w:r>
        <w:t xml:space="preserve"> </w:t>
      </w:r>
      <w:r>
        <w:rPr>
          <w:iCs/>
          <w:i/>
        </w:rPr>
        <w:t xml:space="preserve">dur</w:t>
      </w:r>
      <w:r>
        <w:t xml:space="preserve"> </w:t>
      </w:r>
      <w:r>
        <w:t xml:space="preserve">+</w:t>
      </w:r>
      <w:r>
        <w:t xml:space="preserve"> </w:t>
      </w:r>
      <w:r>
        <w:rPr>
          <w:iCs/>
          <w:i/>
        </w:rPr>
        <w:t xml:space="preserve">dah</w:t>
      </w:r>
      <w:r>
        <w:t xml:space="preserve"> </w:t>
      </w:r>
      <w:r>
        <w:t xml:space="preserve">+</w:t>
      </w:r>
      <w:r>
        <w:t xml:space="preserve"> </w:t>
      </w:r>
      <w:r>
        <w:rPr>
          <w:iCs/>
          <w:i/>
        </w:rPr>
        <w:t xml:space="preserve">a</w:t>
      </w:r>
      <w:r>
        <w:t xml:space="preserve">.</w:t>
      </w:r>
      <w:r>
        <w:t xml:space="preserve"> </w:t>
      </w:r>
      <w:r>
        <w:t xml:space="preserve">“</w:t>
      </w:r>
      <w:r>
        <w:t xml:space="preserve">vyatyayo bahulam</w:t>
      </w:r>
      <w:r>
        <w:t xml:space="preserve">”</w:t>
      </w:r>
      <w:r>
        <w:t xml:space="preserve"> </w:t>
      </w:r>
      <w:r>
        <w:t xml:space="preserve">(Pā. sū. 3-1-85): here the Bhāṣyakāra divides the sūtra in two.</w:t>
      </w:r>
      <w:r>
        <w:t xml:space="preserve"> </w:t>
      </w:r>
      <w:r>
        <w:rPr>
          <w:iCs/>
          <w:i/>
        </w:rPr>
        <w:t xml:space="preserve">Vyatyayaḥ</w:t>
      </w:r>
      <w:r>
        <w:t xml:space="preserve">, the first part: in the Veda the</w:t>
      </w:r>
      <w:r>
        <w:t xml:space="preserve"> </w:t>
      </w:r>
      <w:r>
        <w:rPr>
          <w:iCs/>
          <w:i/>
        </w:rPr>
        <w:t xml:space="preserve">vikaraṇa</w:t>
      </w:r>
      <w:r>
        <w:t xml:space="preserve"> </w:t>
      </w:r>
      <w:r>
        <w:t xml:space="preserve">suffixes such as</w:t>
      </w:r>
      <w:r>
        <w:t xml:space="preserve"> </w:t>
      </w:r>
      <w:r>
        <w:rPr>
          <w:iCs/>
          <w:i/>
        </w:rPr>
        <w:t xml:space="preserve">sya</w:t>
      </w:r>
      <w:r>
        <w:t xml:space="preserve"> </w:t>
      </w:r>
      <w:r>
        <w:t xml:space="preserve">are interchanged.</w:t>
      </w:r>
      <w:r>
        <w:t xml:space="preserve"> </w:t>
      </w:r>
      <w:r>
        <w:rPr>
          <w:iCs/>
          <w:i/>
        </w:rPr>
        <w:t xml:space="preserve">Bahulam</w:t>
      </w:r>
      <w:r>
        <w:t xml:space="preserve">, the second part: in the Veda all rules apply variously. The Vārttikakāra has summed up this sense of</w:t>
      </w:r>
      <w:r>
        <w:t xml:space="preserve"> </w:t>
      </w:r>
      <w:r>
        <w:rPr>
          <w:iCs/>
          <w:i/>
        </w:rPr>
        <w:t xml:space="preserve">bahula</w:t>
      </w:r>
      <w:r>
        <w:t xml:space="preserve">:</w:t>
      </w:r>
    </w:p>
    <w:p>
      <w:pPr>
        <w:pStyle w:val="BlockText"/>
      </w:pPr>
      <w:r>
        <w:t xml:space="preserve">सुप्तिङुपग्रहलिङ्गनराणां कालहलच्स्वरकर्तृयङां च ।</w:t>
      </w:r>
      <w:r>
        <w:t xml:space="preserve"> </w:t>
      </w:r>
      <w:r>
        <w:t xml:space="preserve">व्यत्ययमिच्छति शास्त्रकृदेषां सो ऽपि च सिध्यति बाहुलकेन ॥</w:t>
      </w:r>
    </w:p>
    <w:p>
      <w:pPr>
        <w:pStyle w:val="BlockText"/>
      </w:pPr>
      <w:r>
        <w:rPr>
          <w:iCs/>
          <w:i/>
        </w:rPr>
        <w:t xml:space="preserve">suptiṅupagrahaliṅganarāṇāṃ kālahalacsvarakartṛyaṅāṃ ca |</w:t>
      </w:r>
      <w:r>
        <w:t xml:space="preserve"> </w:t>
      </w:r>
      <w:r>
        <w:rPr>
          <w:iCs/>
          <w:i/>
        </w:rPr>
        <w:t xml:space="preserve">vyatyayamicchati śāstrakṛdeṣāṃ so ’pi ca sidhyati bāhulakena ||</w:t>
      </w:r>
    </w:p>
    <w:p>
      <w:pPr>
        <w:pStyle w:val="FirstParagraph"/>
      </w:pPr>
      <w:r>
        <w:rPr>
          <w:iCs/>
          <w:i/>
        </w:rPr>
        <w:t xml:space="preserve">(Pā. sū. 3-1-85 vā. 1.)</w:t>
      </w:r>
      <w:r>
        <w:t xml:space="preserve"> </w:t>
      </w:r>
      <w:r>
        <w:t xml:space="preserve">By this, in</w:t>
      </w:r>
      <w:r>
        <w:t xml:space="preserve"> </w:t>
      </w:r>
      <w:r>
        <w:rPr>
          <w:iCs/>
          <w:i/>
        </w:rPr>
        <w:t xml:space="preserve">dur</w:t>
      </w:r>
      <w:r>
        <w:t xml:space="preserve"> </w:t>
      </w:r>
      <w:r>
        <w:t xml:space="preserve">+</w:t>
      </w:r>
      <w:r>
        <w:t xml:space="preserve"> </w:t>
      </w:r>
      <w:r>
        <w:rPr>
          <w:iCs/>
          <w:i/>
        </w:rPr>
        <w:t xml:space="preserve">dah</w:t>
      </w:r>
      <w:r>
        <w:t xml:space="preserve"> </w:t>
      </w:r>
      <w:r>
        <w:t xml:space="preserve">+</w:t>
      </w:r>
      <w:r>
        <w:t xml:space="preserve"> </w:t>
      </w:r>
      <w:r>
        <w:rPr>
          <w:iCs/>
          <w:i/>
        </w:rPr>
        <w:t xml:space="preserve">a</w:t>
      </w:r>
      <w:r>
        <w:t xml:space="preserve">,</w:t>
      </w:r>
      <w:r>
        <w:t xml:space="preserve"> </w:t>
      </w:r>
      <w:r>
        <w:rPr>
          <w:iCs/>
          <w:i/>
        </w:rPr>
        <w:t xml:space="preserve">ū</w:t>
      </w:r>
      <w:r>
        <w:t xml:space="preserve"> </w:t>
      </w:r>
      <w:r>
        <w:t xml:space="preserve">for the</w:t>
      </w:r>
      <w:r>
        <w:t xml:space="preserve"> </w:t>
      </w:r>
      <w:r>
        <w:rPr>
          <w:iCs/>
          <w:i/>
        </w:rPr>
        <w:t xml:space="preserve">u</w:t>
      </w:r>
      <w:r>
        <w:t xml:space="preserve">, loss of the</w:t>
      </w:r>
      <w:r>
        <w:t xml:space="preserve"> </w:t>
      </w:r>
      <w:r>
        <w:rPr>
          <w:iCs/>
          <w:i/>
        </w:rPr>
        <w:t xml:space="preserve">r</w:t>
      </w:r>
      <w:r>
        <w:t xml:space="preserve">,</w:t>
      </w:r>
      <w:r>
        <w:t xml:space="preserve"> </w:t>
      </w:r>
      <w:r>
        <w:rPr>
          <w:iCs/>
          <w:i/>
        </w:rPr>
        <w:t xml:space="preserve">ḍ</w:t>
      </w:r>
      <w:r>
        <w:t xml:space="preserve"> </w:t>
      </w:r>
      <w:r>
        <w:t xml:space="preserve">for the</w:t>
      </w:r>
      <w:r>
        <w:t xml:space="preserve"> </w:t>
      </w:r>
      <w:r>
        <w:rPr>
          <w:iCs/>
          <w:i/>
        </w:rPr>
        <w:t xml:space="preserve">d</w:t>
      </w:r>
      <w:r>
        <w:t xml:space="preserve"> </w:t>
      </w:r>
      <w:r>
        <w:t xml:space="preserve">and</w:t>
      </w:r>
      <w:r>
        <w:t xml:space="preserve"> </w:t>
      </w:r>
      <w:r>
        <w:rPr>
          <w:iCs/>
          <w:i/>
        </w:rPr>
        <w:t xml:space="preserve">bh</w:t>
      </w:r>
      <w:r>
        <w:t xml:space="preserve"> </w:t>
      </w:r>
      <w:r>
        <w:t xml:space="preserve">for the</w:t>
      </w:r>
      <w:r>
        <w:t xml:space="preserve"> </w:t>
      </w:r>
      <w:r>
        <w:rPr>
          <w:iCs/>
          <w:i/>
        </w:rPr>
        <w:t xml:space="preserve">h</w:t>
      </w:r>
      <w:r>
        <w:t xml:space="preserve"> </w:t>
      </w:r>
      <w:r>
        <w:t xml:space="preserve">all come:</w:t>
      </w:r>
      <w:r>
        <w:t xml:space="preserve"> </w:t>
      </w:r>
      <w:r>
        <w:rPr>
          <w:iCs/>
          <w:i/>
        </w:rPr>
        <w:t xml:space="preserve">dūḍabha</w:t>
      </w:r>
      <w:r>
        <w:t xml:space="preserve">. By</w:t>
      </w:r>
      <w:r>
        <w:t xml:space="preserve"> </w:t>
      </w:r>
      <w:r>
        <w:t xml:space="preserve">“</w:t>
      </w:r>
      <w:r>
        <w:t xml:space="preserve">ajmadhyasya ḍakārasya ḷakāraṃ bahvṛcā jaguḥ</w:t>
      </w:r>
      <w:r>
        <w:t xml:space="preserve">”</w:t>
      </w:r>
      <w:r>
        <w:t xml:space="preserve"> </w:t>
      </w:r>
      <w:r>
        <w:t xml:space="preserve">the</w:t>
      </w:r>
      <w:r>
        <w:t xml:space="preserve"> </w:t>
      </w:r>
      <w:r>
        <w:rPr>
          <w:iCs/>
          <w:i/>
        </w:rPr>
        <w:t xml:space="preserve">ḍ</w:t>
      </w:r>
      <w:r>
        <w:t xml:space="preserve"> </w:t>
      </w:r>
      <w:r>
        <w:t xml:space="preserve">becomes</w:t>
      </w:r>
      <w:r>
        <w:t xml:space="preserve"> </w:t>
      </w:r>
      <w:r>
        <w:rPr>
          <w:iCs/>
          <w:i/>
        </w:rPr>
        <w:t xml:space="preserve">ḷ</w:t>
      </w:r>
      <w:r>
        <w:t xml:space="preserve">:</w:t>
      </w:r>
      <w:r>
        <w:t xml:space="preserve"> </w:t>
      </w:r>
      <w:r>
        <w:rPr>
          <w:iCs/>
          <w:i/>
        </w:rPr>
        <w:t xml:space="preserve">dūḷabham</w:t>
      </w:r>
      <w:r>
        <w:t xml:space="preserve">. By</w:t>
      </w:r>
      <w:r>
        <w:t xml:space="preserve"> </w:t>
      </w:r>
      <w:r>
        <w:t xml:space="preserve">“</w:t>
      </w:r>
      <w:r>
        <w:t xml:space="preserve">liti</w:t>
      </w:r>
      <w:r>
        <w:t xml:space="preserve">”</w:t>
      </w:r>
      <w:r>
        <w:t xml:space="preserve"> </w:t>
      </w:r>
      <w:r>
        <w:t xml:space="preserve">(Pā. sū. 6-1-193) the</w:t>
      </w:r>
      <w:r>
        <w:t xml:space="preserve"> </w:t>
      </w:r>
      <w:r>
        <w:rPr>
          <w:iCs/>
          <w:i/>
        </w:rPr>
        <w:t xml:space="preserve">a</w:t>
      </w:r>
      <w:r>
        <w:t xml:space="preserve"> </w:t>
      </w:r>
      <w:r>
        <w:t xml:space="preserve">of</w:t>
      </w:r>
      <w:r>
        <w:t xml:space="preserve"> </w:t>
      </w:r>
      <w:r>
        <w:rPr>
          <w:iCs/>
          <w:i/>
        </w:rPr>
        <w:t xml:space="preserve">ḷa</w:t>
      </w:r>
      <w:r>
        <w:t xml:space="preserve"> </w:t>
      </w:r>
      <w:r>
        <w:t xml:space="preserve">before the suffix is udātta. When compounded with</w:t>
      </w:r>
      <w:r>
        <w:t xml:space="preserve"> </w:t>
      </w:r>
      <w:r>
        <w:rPr>
          <w:iCs/>
          <w:i/>
        </w:rPr>
        <w:t xml:space="preserve">dur</w:t>
      </w:r>
      <w:r>
        <w:t xml:space="preserve">, by</w:t>
      </w:r>
      <w:r>
        <w:t xml:space="preserve"> </w:t>
      </w:r>
      <w:r>
        <w:t xml:space="preserve">“</w:t>
      </w:r>
      <w:r>
        <w:t xml:space="preserve">gatikārakopapadāt kṛt</w:t>
      </w:r>
      <w:r>
        <w:t xml:space="preserve">”</w:t>
      </w:r>
      <w:r>
        <w:t xml:space="preserve"> </w:t>
      </w:r>
      <w:r>
        <w:t xml:space="preserve">(Pā. sū. 6-2-139) the</w:t>
      </w:r>
      <w:r>
        <w:t xml:space="preserve"> </w:t>
      </w:r>
      <w:r>
        <w:rPr>
          <w:iCs/>
          <w:i/>
        </w:rPr>
        <w:t xml:space="preserve">kṛt</w:t>
      </w:r>
      <w:r>
        <w:t xml:space="preserve"> </w:t>
      </w:r>
      <w:r>
        <w:t xml:space="preserve">second-member accent comes, and that accent remains.</w:t>
      </w:r>
    </w:p>
    <w:p>
      <w:pPr>
        <w:pStyle w:val="BodyText"/>
      </w:pPr>
      <w:r>
        <w:rPr>
          <w:bCs/>
          <w:b/>
        </w:rPr>
        <w:t xml:space="preserve">आशाथे (</w:t>
      </w:r>
      <w:r>
        <w:rPr>
          <w:iCs/>
          <w:i/>
          <w:bCs/>
          <w:b/>
        </w:rPr>
        <w:t xml:space="preserve">āśāthe</w:t>
      </w:r>
      <w:r>
        <w:rPr>
          <w:bCs/>
          <w:b/>
        </w:rPr>
        <w:t xml:space="preserve">)</w:t>
      </w:r>
      <w:r>
        <w:t xml:space="preserve">:</w:t>
      </w:r>
      <w:r>
        <w:t xml:space="preserve"> </w:t>
      </w:r>
      <w:r>
        <w:rPr>
          <w:iCs/>
          <w:i/>
        </w:rPr>
        <w:t xml:space="preserve">aśū vyāptau</w:t>
      </w:r>
      <w:r>
        <w:t xml:space="preserve">; by</w:t>
      </w:r>
      <w:r>
        <w:t xml:space="preserve"> </w:t>
      </w:r>
      <w:r>
        <w:t xml:space="preserve">“</w:t>
      </w:r>
      <w:r>
        <w:t xml:space="preserve">chandasi luṅlaṅliṭaḥ</w:t>
      </w:r>
      <w:r>
        <w:t xml:space="preserve">”</w:t>
      </w:r>
      <w:r>
        <w:t xml:space="preserve"> </w:t>
      </w:r>
      <w:r>
        <w:t xml:space="preserve">(Pā. sū. 3-4-6)</w:t>
      </w:r>
      <w:r>
        <w:t xml:space="preserve"> </w:t>
      </w:r>
      <w:r>
        <w:rPr>
          <w:iCs/>
          <w:i/>
        </w:rPr>
        <w:t xml:space="preserve">liṭ</w:t>
      </w:r>
      <w:r>
        <w:t xml:space="preserve"> </w:t>
      </w:r>
      <w:r>
        <w:t xml:space="preserve">in the present sense.</w:t>
      </w:r>
      <w:r>
        <w:t xml:space="preserve"> </w:t>
      </w:r>
      <w:r>
        <w:t xml:space="preserve">“</w:t>
      </w:r>
      <w:r>
        <w:t xml:space="preserve">liṭi dhātor anabhyāsasya</w:t>
      </w:r>
      <w:r>
        <w:t xml:space="preserve">”</w:t>
      </w:r>
      <w:r>
        <w:t xml:space="preserve"> </w:t>
      </w:r>
      <w:r>
        <w:t xml:space="preserve">(Pā. sū. 6-1-8): reduplication:</w:t>
      </w:r>
      <w:r>
        <w:t xml:space="preserve"> </w:t>
      </w:r>
      <w:r>
        <w:rPr>
          <w:iCs/>
          <w:i/>
        </w:rPr>
        <w:t xml:space="preserve">aś</w:t>
      </w:r>
      <w:r>
        <w:t xml:space="preserve"> </w:t>
      </w:r>
      <w:r>
        <w:t xml:space="preserve">+</w:t>
      </w:r>
      <w:r>
        <w:t xml:space="preserve"> </w:t>
      </w:r>
      <w:r>
        <w:rPr>
          <w:iCs/>
          <w:i/>
        </w:rPr>
        <w:t xml:space="preserve">aś</w:t>
      </w:r>
      <w:r>
        <w:t xml:space="preserve"> </w:t>
      </w:r>
      <w:r>
        <w:t xml:space="preserve">+</w:t>
      </w:r>
      <w:r>
        <w:t xml:space="preserve"> </w:t>
      </w:r>
      <w:r>
        <w:rPr>
          <w:iCs/>
          <w:i/>
        </w:rPr>
        <w:t xml:space="preserve">liṭ</w:t>
      </w:r>
      <w:r>
        <w:t xml:space="preserve">; for</w:t>
      </w:r>
      <w:r>
        <w:t xml:space="preserve"> </w:t>
      </w:r>
      <w:r>
        <w:rPr>
          <w:iCs/>
          <w:i/>
        </w:rPr>
        <w:t xml:space="preserve">liṭ</w:t>
      </w:r>
      <w:r>
        <w:t xml:space="preserve">, the 2nd dual</w:t>
      </w:r>
      <w:r>
        <w:t xml:space="preserve"> </w:t>
      </w:r>
      <w:r>
        <w:rPr>
          <w:iCs/>
          <w:i/>
        </w:rPr>
        <w:t xml:space="preserve">āthām</w:t>
      </w:r>
      <w:r>
        <w:t xml:space="preserve">;</w:t>
      </w:r>
      <w:r>
        <w:t xml:space="preserve"> </w:t>
      </w:r>
      <w:r>
        <w:t xml:space="preserve">“</w:t>
      </w:r>
      <w:r>
        <w:t xml:space="preserve">ṭita ātmanepadānāṃ ṭere</w:t>
      </w:r>
      <w:r>
        <w:t xml:space="preserve">”</w:t>
      </w:r>
      <w:r>
        <w:t xml:space="preserve"> </w:t>
      </w:r>
      <w:r>
        <w:t xml:space="preserve">(Pā. sū. 3-4-79):</w:t>
      </w:r>
      <w:r>
        <w:t xml:space="preserve"> </w:t>
      </w:r>
      <w:r>
        <w:rPr>
          <w:iCs/>
          <w:i/>
        </w:rPr>
        <w:t xml:space="preserve">e</w:t>
      </w:r>
      <w:r>
        <w:t xml:space="preserve"> </w:t>
      </w:r>
      <w:r>
        <w:t xml:space="preserve">for the</w:t>
      </w:r>
      <w:r>
        <w:t xml:space="preserve"> </w:t>
      </w:r>
      <w:r>
        <w:rPr>
          <w:iCs/>
          <w:i/>
        </w:rPr>
        <w:t xml:space="preserve">ām</w:t>
      </w:r>
      <w:r>
        <w:t xml:space="preserve">:</w:t>
      </w:r>
      <w:r>
        <w:t xml:space="preserve"> </w:t>
      </w:r>
      <w:r>
        <w:rPr>
          <w:iCs/>
          <w:i/>
        </w:rPr>
        <w:t xml:space="preserve">aś</w:t>
      </w:r>
      <w:r>
        <w:t xml:space="preserve"> </w:t>
      </w:r>
      <w:r>
        <w:t xml:space="preserve">+</w:t>
      </w:r>
      <w:r>
        <w:t xml:space="preserve"> </w:t>
      </w:r>
      <w:r>
        <w:rPr>
          <w:iCs/>
          <w:i/>
        </w:rPr>
        <w:t xml:space="preserve">aś</w:t>
      </w:r>
      <w:r>
        <w:t xml:space="preserve"> </w:t>
      </w:r>
      <w:r>
        <w:t xml:space="preserve">+</w:t>
      </w:r>
      <w:r>
        <w:t xml:space="preserve"> </w:t>
      </w:r>
      <w:r>
        <w:rPr>
          <w:iCs/>
          <w:i/>
        </w:rPr>
        <w:t xml:space="preserve">āthe</w:t>
      </w:r>
      <w:r>
        <w:t xml:space="preserve">.</w:t>
      </w:r>
      <w:r>
        <w:t xml:space="preserve"> </w:t>
      </w:r>
      <w:r>
        <w:t xml:space="preserve">“</w:t>
      </w:r>
      <w:r>
        <w:t xml:space="preserve">halādiḥ śeṣaḥ</w:t>
      </w:r>
      <w:r>
        <w:t xml:space="preserve">”</w:t>
      </w:r>
      <w:r>
        <w:t xml:space="preserve"> </w:t>
      </w:r>
      <w:r>
        <w:t xml:space="preserve">(Pā. sū. 7-4-60), whether by the division of the rule or by reliance on the class, removes the</w:t>
      </w:r>
      <w:r>
        <w:t xml:space="preserve"> </w:t>
      </w:r>
      <w:r>
        <w:rPr>
          <w:iCs/>
          <w:i/>
        </w:rPr>
        <w:t xml:space="preserve">ś</w:t>
      </w:r>
      <w:r>
        <w:t xml:space="preserve"> </w:t>
      </w:r>
      <w:r>
        <w:t xml:space="preserve">of the reduplicate.</w:t>
      </w:r>
      <w:r>
        <w:t xml:space="preserve"> </w:t>
      </w:r>
      <w:r>
        <w:t xml:space="preserve">“</w:t>
      </w:r>
      <w:r>
        <w:t xml:space="preserve">ata ādeḥ</w:t>
      </w:r>
      <w:r>
        <w:t xml:space="preserve">”</w:t>
      </w:r>
      <w:r>
        <w:t xml:space="preserve"> </w:t>
      </w:r>
      <w:r>
        <w:t xml:space="preserve">(Pā. sū.</w:t>
      </w:r>
      <w:r>
        <w:t xml:space="preserve"> </w:t>
      </w:r>
      <w:r>
        <w:t xml:space="preserve">“</w:t>
      </w:r>
      <w:r>
        <w:t xml:space="preserve">7–70</w:t>
      </w:r>
      <w:r>
        <w:t xml:space="preserve">”</w:t>
      </w:r>
      <w:r>
        <w:t xml:space="preserve"> </w:t>
      </w:r>
      <w:r>
        <w:t xml:space="preserve">[as printed, for 7-4-70])</w:t>
      </w:r>
    </w:p>
    <w:bookmarkEnd w:id="702"/>
    <w:bookmarkStart w:id="703" w:name="page-650-rik-6-grammar-end"/>
    <w:p>
      <w:pPr>
        <w:pStyle w:val="Heading3"/>
      </w:pPr>
      <w:r>
        <w:t xml:space="preserve">Page 650 — Rik 6: grammar (end)</w:t>
      </w:r>
    </w:p>
    <w:p>
      <w:pPr>
        <w:pStyle w:val="FirstParagraph"/>
      </w:pPr>
      <w:r>
        <w:t xml:space="preserve">lengthens the initial</w:t>
      </w:r>
      <w:r>
        <w:t xml:space="preserve"> </w:t>
      </w:r>
      <w:r>
        <w:rPr>
          <w:iCs/>
          <w:i/>
        </w:rPr>
        <w:t xml:space="preserve">a</w:t>
      </w:r>
      <w:r>
        <w:t xml:space="preserve"> </w:t>
      </w:r>
      <w:r>
        <w:t xml:space="preserve">of the reduplicate:</w:t>
      </w:r>
      <w:r>
        <w:t xml:space="preserve"> </w:t>
      </w:r>
      <w:r>
        <w:rPr>
          <w:iCs/>
          <w:i/>
        </w:rPr>
        <w:t xml:space="preserve">ā</w:t>
      </w:r>
      <w:r>
        <w:t xml:space="preserve"> </w:t>
      </w:r>
      <w:r>
        <w:t xml:space="preserve">+</w:t>
      </w:r>
      <w:r>
        <w:t xml:space="preserve"> </w:t>
      </w:r>
      <w:r>
        <w:rPr>
          <w:iCs/>
          <w:i/>
        </w:rPr>
        <w:t xml:space="preserve">aś</w:t>
      </w:r>
      <w:r>
        <w:t xml:space="preserve"> </w:t>
      </w:r>
      <w:r>
        <w:t xml:space="preserve">+</w:t>
      </w:r>
      <w:r>
        <w:t xml:space="preserve"> </w:t>
      </w:r>
      <w:r>
        <w:rPr>
          <w:iCs/>
          <w:i/>
        </w:rPr>
        <w:t xml:space="preserve">athe</w:t>
      </w:r>
      <w:r>
        <w:t xml:space="preserve">.</w:t>
      </w:r>
      <w:r>
        <w:t xml:space="preserve"> </w:t>
      </w:r>
      <w:r>
        <w:t xml:space="preserve">“</w:t>
      </w:r>
      <w:r>
        <w:t xml:space="preserve">aśnoteś ca</w:t>
      </w:r>
      <w:r>
        <w:t xml:space="preserve">”</w:t>
      </w:r>
      <w:r>
        <w:t xml:space="preserve"> </w:t>
      </w:r>
      <w:r>
        <w:t xml:space="preserve">(Pā. sū. 7-4-72): after the lengthened</w:t>
      </w:r>
      <w:r>
        <w:t xml:space="preserve"> </w:t>
      </w:r>
      <w:r>
        <w:rPr>
          <w:iCs/>
          <w:i/>
        </w:rPr>
        <w:t xml:space="preserve">a</w:t>
      </w:r>
      <w:r>
        <w:t xml:space="preserve"> </w:t>
      </w:r>
      <w:r>
        <w:t xml:space="preserve">of the reduplicate, the root</w:t>
      </w:r>
      <w:r>
        <w:t xml:space="preserve"> </w:t>
      </w:r>
      <w:r>
        <w:rPr>
          <w:iCs/>
          <w:i/>
        </w:rPr>
        <w:t xml:space="preserve">aś</w:t>
      </w:r>
      <w:r>
        <w:t xml:space="preserve"> </w:t>
      </w:r>
      <w:r>
        <w:t xml:space="preserve">takes the augment</w:t>
      </w:r>
      <w:r>
        <w:t xml:space="preserve"> </w:t>
      </w:r>
      <w:r>
        <w:rPr>
          <w:iCs/>
          <w:i/>
        </w:rPr>
        <w:t xml:space="preserve">nuṭ</w:t>
      </w:r>
      <w:r>
        <w:t xml:space="preserve">; though the</w:t>
      </w:r>
      <w:r>
        <w:t xml:space="preserve"> </w:t>
      </w:r>
      <w:r>
        <w:rPr>
          <w:iCs/>
          <w:i/>
        </w:rPr>
        <w:t xml:space="preserve">nuṭ</w:t>
      </w:r>
      <w:r>
        <w:t xml:space="preserve"> </w:t>
      </w:r>
      <w:r>
        <w:t xml:space="preserve">would come, by</w:t>
      </w:r>
      <w:r>
        <w:t xml:space="preserve"> </w:t>
      </w:r>
      <w:r>
        <w:t xml:space="preserve">“</w:t>
      </w:r>
      <w:r>
        <w:t xml:space="preserve">anityam āgamaśāsanam</w:t>
      </w:r>
      <w:r>
        <w:t xml:space="preserve">”</w:t>
      </w:r>
      <w:r>
        <w:t xml:space="preserve"> </w:t>
      </w:r>
      <w:r>
        <w:t xml:space="preserve">(paribhāṣā 96 [?]) it is not binding and does not come.</w:t>
      </w:r>
      <w:r>
        <w:t xml:space="preserve"> </w:t>
      </w:r>
      <w:r>
        <w:rPr>
          <w:iCs/>
          <w:i/>
        </w:rPr>
        <w:t xml:space="preserve">Savarṇa-dīrgha</w:t>
      </w:r>
      <w:r>
        <w:t xml:space="preserve"> </w:t>
      </w:r>
      <w:r>
        <w:t xml:space="preserve">by</w:t>
      </w:r>
      <w:r>
        <w:t xml:space="preserve"> </w:t>
      </w:r>
      <w:r>
        <w:t xml:space="preserve">“</w:t>
      </w:r>
      <w:r>
        <w:t xml:space="preserve">akaḥ savarṇe dīrghaḥ</w:t>
      </w:r>
      <w:r>
        <w:t xml:space="preserve">”</w:t>
      </w:r>
      <w:r>
        <w:t xml:space="preserve"> </w:t>
      </w:r>
      <w:r>
        <w:t xml:space="preserve">(Pā. sū. 6-1-101):</w:t>
      </w:r>
      <w:r>
        <w:t xml:space="preserve"> </w:t>
      </w:r>
      <w:r>
        <w:rPr>
          <w:iCs/>
          <w:i/>
        </w:rPr>
        <w:t xml:space="preserve">āśāthe</w:t>
      </w:r>
      <w:r>
        <w:t xml:space="preserve">. Wholly unaccented by</w:t>
      </w:r>
      <w:r>
        <w:t xml:space="preserve"> </w:t>
      </w:r>
      <w:r>
        <w:t xml:space="preserve">“</w:t>
      </w:r>
      <w:r>
        <w:t xml:space="preserve">tiṅṅatiṅaḥ</w:t>
      </w:r>
      <w:r>
        <w:t xml:space="preserve">”</w:t>
      </w:r>
      <w:r>
        <w:t xml:space="preserve">.</w:t>
      </w:r>
    </w:p>
    <w:p>
      <w:pPr>
        <w:pStyle w:val="BodyText"/>
      </w:pPr>
      <w:r>
        <w:rPr>
          <w:bCs/>
          <w:b/>
        </w:rPr>
        <w:t xml:space="preserve">॥६॥</w:t>
      </w:r>
    </w:p>
    <w:p>
      <w:r>
        <w:pict>
          <v:rect style="width:0;height:1.5pt" o:hralign="center" o:hrstd="t" o:hr="t"/>
        </w:pict>
      </w:r>
    </w:p>
    <w:bookmarkEnd w:id="703"/>
    <w:bookmarkStart w:id="704" w:name="page-650-lower-sūkta-15-rik-7"/>
    <w:p>
      <w:pPr>
        <w:pStyle w:val="Heading3"/>
      </w:pPr>
      <w:r>
        <w:t xml:space="preserve">Page 650 (lower) — Sūkta 15, Rik 7</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द्र॒वि॒णो॒दा द्रवि॑णसो॒ ग्राव॑हस्तासो अध्व॒रे । [accent ?]</w:t>
      </w:r>
      <w:r>
        <w:t xml:space="preserve"> </w:t>
      </w:r>
      <w:r>
        <w:t xml:space="preserve">य॒ज्ञेषु॑ दे॒वमी॑ळते ॥७॥</w:t>
      </w:r>
    </w:p>
    <w:p>
      <w:pPr>
        <w:pStyle w:val="BlockText"/>
      </w:pPr>
      <w:r>
        <w:rPr>
          <w:iCs/>
          <w:i/>
        </w:rPr>
        <w:t xml:space="preserve">draviṇodā́ dráviṇaso grā́vahastāso adhvaré |</w:t>
      </w:r>
      <w:r>
        <w:t xml:space="preserve"> </w:t>
      </w:r>
      <w:r>
        <w:t xml:space="preserve">[accent ?]</w:t>
      </w:r>
      <w:r>
        <w:t xml:space="preserve"> </w:t>
      </w:r>
      <w:r>
        <w:rPr>
          <w:iCs/>
          <w:i/>
        </w:rPr>
        <w:t xml:space="preserve">yajñéṣu devám īḷate ||7||</w:t>
      </w:r>
    </w:p>
    <w:p>
      <w:pPr>
        <w:pStyle w:val="FirstParagraph"/>
      </w:pPr>
      <w:r>
        <w:rPr>
          <w:iCs/>
          <w:i/>
        </w:rPr>
        <w:t xml:space="preserve">(Line 1: bars under द्र, वि and णो of द्रविणोदा; the stroke over णो of द्रविणसो and the bar under ध्व of अध्वरे; not all positions certain.)</w:t>
      </w:r>
    </w:p>
    <w:p>
      <w:pPr>
        <w:pStyle w:val="BodyText"/>
      </w:pPr>
      <w:r>
        <w:rPr>
          <w:bCs/>
          <w:b/>
        </w:rPr>
        <w:t xml:space="preserve">॥ Pada-pāṭhaḥ ॥</w:t>
      </w:r>
    </w:p>
    <w:p>
      <w:pPr>
        <w:pStyle w:val="BlockText"/>
      </w:pPr>
      <w:r>
        <w:t xml:space="preserve">द्रविणःऽदाः । द्रविणसः । ग्रावऽहस्तासः । अध्वरे ॥</w:t>
      </w:r>
      <w:r>
        <w:t xml:space="preserve"> </w:t>
      </w:r>
      <w:r>
        <w:t xml:space="preserve">यज्ञेषु । देवम् । ईळते ॥७॥</w:t>
      </w:r>
    </w:p>
    <w:p>
      <w:pPr>
        <w:pStyle w:val="BlockText"/>
      </w:pPr>
      <w:r>
        <w:rPr>
          <w:iCs/>
          <w:i/>
        </w:rPr>
        <w:t xml:space="preserve">draviṇaḥ ’dāḥ | draviṇasaḥ | grāva ’hastāsaḥ | adhvare ||</w:t>
      </w:r>
      <w:r>
        <w:t xml:space="preserve"> </w:t>
      </w:r>
      <w:r>
        <w:rPr>
          <w:iCs/>
          <w:i/>
        </w:rPr>
        <w:t xml:space="preserve">yajñeṣu | devam | īḷate ||7||</w:t>
      </w:r>
    </w:p>
    <w:p>
      <w:pPr>
        <w:pStyle w:val="FirstParagraph"/>
      </w:pPr>
      <w:r>
        <w:rPr>
          <w:bCs/>
          <w:b/>
        </w:rPr>
        <w:t xml:space="preserve">॥ Sāyaṇa-bhāṣyam ॥</w:t>
      </w:r>
    </w:p>
    <w:p>
      <w:pPr>
        <w:pStyle w:val="BlockText"/>
      </w:pPr>
      <w:r>
        <w:t xml:space="preserve">अध्वरे ऽग्निष्टोमे प्रकृतिरूपे यज्ञेषु विकृतिरूपेषूक्थ्यादिषु च देवमग्निमीळते । ऋत्विजः स्तुवन्ति । कीदृशा ऋत्विजः । द्रविणसो धनार्थिनो ग्रावहस्तासो ऽभिषवसाधनपाषाणधारिणः । कीदृशं देवं । द्रविणोदा धनप्रदं । यद्वा । धनप्रदो ऽग्निः सोमं पिबत्विति शेषः । तमेतं मन्त्रं यास्क एवं निराह । द्रविणोदाः कस्माद्धनं द्रविणमुच्यते यदेनदभिद्रवन्ति बलं वा द्रविणं यदेनेनाभिद्रवन्ति तस्य दाता द्रविणोदास्तस्यैषा भवति । द्रविणोदा द्रविणस इत्यादि । नि. ८-१ । सो ऽयं यास्कोक्तो निर्वचनप्रपञ्चस्तस्मिन्नेव ग्रन्थे ऽवगन्तव्यः ॥ द्रविणोदाः । द्रुदक्षिभ्यामिनन् । उ. २-५० [?] । नित्त्वादाद्युदात्तो द्रविणशब्दः । तद्ददातीति द्रविणोदाः । क्विप्चेति क्विप् । पूर्वपदस्य सकारोपजनश्छान्दसः । रुत्वोत्वे । कृदुत्तरपदप्रकृतिस्वरत्वं । देवविशेषणत्वेनैकवाक्यतापक्षे द्वितीयायाः स्वादेशः । अथवा द्रविणमात्मन इच्छन्ति द्रविणस्यन्ति । सुप आत्मनः क्यच् । सर्वप्रातिपदिकेभ्यो</w:t>
      </w:r>
    </w:p>
    <w:p>
      <w:pPr>
        <w:pStyle w:val="BlockText"/>
      </w:pPr>
      <w:r>
        <w:rPr>
          <w:iCs/>
          <w:i/>
        </w:rPr>
        <w:t xml:space="preserve">adhvare ’gniṣṭome prakṛtirūpe yajñeṣu vikṛtirūpeṣūkthyādiṣu ca devamagnimīḷate | ṛtvijaḥ stuvanti | kīdṛśā ṛtvijaḥ | draviṇaso dhanārthino grāvahastāso ’bhiṣavasādhanapāṣāṇadhāriṇaḥ | kīdṛśaṃ devaṃ | draviṇodā dhanapradaṃ | yadvā | dhanaprado ’gniḥ somaṃ pibatviti śeṣaḥ | tametaṃ mantraṃ yāska evaṃ nirāha | draviṇodāḥ kasmāddhanaṃ draviṇamucyate yadenadabhidravanti balaṃ vā draviṇaṃ yadenenābhidravanti tasya dātā draviṇodāstasyaiṣā bhavati | draviṇodā draviṇasa ityādi | ni. 8-1 | so ’yaṃ yāskokto nirvacanaprapañcastasminneva granthe ’vagantavyaḥ || draviṇodāḥ | drudakṣibhyāminan | u. 2-50 [?] | nittvādādyudātto draviṇaśabdaḥ | taddadātīti draviṇodāḥ | kvipceti kvip | pūrvapadasya sakāropajanaśchāndasaḥ | rutvotve | kṛduttarapadaprakṛtisvaratvaṃ | devaviśeṣaṇatvenaikavākyatāpakṣe dvitīyāyāḥ svādeśaḥ | athavā draviṇamātmana icchanti draviṇasyanti | supa ātmanaḥ kyac | sarvaprātipadikebhyo</w:t>
      </w:r>
    </w:p>
    <w:bookmarkEnd w:id="704"/>
    <w:bookmarkStart w:id="705" w:name="X2bd4ea6b45a3a2b2d7429d15f8669a897d4eebf"/>
    <w:p>
      <w:pPr>
        <w:pStyle w:val="Heading3"/>
      </w:pPr>
      <w:r>
        <w:t xml:space="preserve">Page 651 — Rik 7: bhāṣya (end), word-meanings, overall sense, English</w:t>
      </w:r>
    </w:p>
    <w:p>
      <w:pPr>
        <w:pStyle w:val="BlockText"/>
      </w:pPr>
      <w:r>
        <w:t xml:space="preserve">लालसायां सुग्वक्तव्यः । म. ७-१-५१-२ । इति क्यचि परतः सुगागमः । द्रविणस्यतेः सम्पदादित्वाद्भावे क्विप् । अतो लोपः । क्वौ लुप्तं न स्थानिवद्भवति । म. १-१-५८-२ । इति तस्य स्थानिवत्त्वप्रतिषेधाद्यलोपः । एवं द्रविणस्शब्दो धनेच्छावचनः । द्रविणेच्छां दस्यति यथेष्टधनप्रदानेनोपक्षपयतीत्यर्थे दसु उपक्षये इत्यस्मादन्तर्भावितण्यर्थात्क्विप्चेति क्विप् । एवं द्रविणोदःशब्दः सकारान्तो भवति । तथा द्रविणोदसः प्रवादा भवन्तीति नैरुक्तो व्यवहार उपपद्यते । नि. ८-२ । अतो द्रविणोदस्शब्दो भिन्नवाक्यत्वे स्वार्थे प्रथमा । एकवाक्यत्वे तु व्यत्ययेन द्वितीयार्थो भवति । द्रविणस इत्यत्रापि वाक्यभेदपक्षे द्रविणसः सोमस्येत्यर्थे सकारोपजनश्छान्दसः । आद्युदात्तत्वं तु नियमेन स्थितं । ऋत्विग्विशेषणत्वेनैकवाक्यत्वपक्षे तु क्यजन्तात्क्विप् । अतो लोपादि पूर्ववत् । अत्र तु पक्षे क्यचश्चित्त्वेनान्तोदात्तत्वे प्राप्ते व्यत्ययेनाद्युदात्तत्वं । ग्रावयुक्ता हस्ता येषां ते ग्रावहस्तासः । आज्जसेरसुक् । ग्रावशब्दो वृषादित्वादाद्युदात्तः । बहुव्रीहौ पूर्वपदप्रकृतिस्वरत्वं । अध्वरे । न विद्यते ध्वरो हिंसा यस्मिन् । नञ्सुभ्यामित्युत्तरपदान्तोदात्तत्वं । ईळते । अनुदात्तेत्त्वादात्मनेपदं । अदिप्रभृतिभ्य इति शपो लुक् । झस्यादादेशः ॥</w:t>
      </w:r>
    </w:p>
    <w:p>
      <w:pPr>
        <w:pStyle w:val="BlockText"/>
      </w:pPr>
      <w:r>
        <w:rPr>
          <w:iCs/>
          <w:i/>
        </w:rPr>
        <w:t xml:space="preserve">lālasāyāṃ sugvaktavyaḥ | ma. 7-1-51-2 | iti kyaci parataḥ sugāgamaḥ | draviṇasyateḥ sampadāditvādbhāve kvip | ato lopaḥ | kvau luptaṃ na sthānivadbhavati | ma. 1-1-58-2 | iti tasya sthānivattvapratiṣedhādyalopaḥ | evaṃ draviṇasśabdo dhanecchāvacanaḥ | draviṇecchāṃ dasyati yatheṣṭadhanapradānenopakṣapayatītyarthe dasu upakṣaye ityasmādantarbhāvitaṇyarthātkvipceti kvip | evaṃ draviṇodaḥśabdaḥ sakārānto bhavati | tathā draviṇodasaḥ pravādā bhavantīti nairukto vyavahāra upapadyate | ni. 8-2 | ato draviṇodasśabdo bhinnavākyatve svārthe prathamā | ekavākyatve tu vyatyayena dvitīyārtho bhavati | draviṇasa ityatrāpi vākyabhedapakṣe draviṇasaḥ somasyetyarthe sakāropajanaśchāndasaḥ | ādyudāttatvaṃ tu niyamena sthitaṃ | ṛtvigviśeṣaṇatvenaikavākyatvapakṣe tu kyajantātkvip | ato lopādi pūrvavat | atra tu pakṣe kyacaścittvenāntodāttatve prāpte vyatyayenādyudāttatvaṃ | grāvayuktā hastā yeṣāṃ te grāvahastāsaḥ | ājjaserasuk | grāvaśabdo vṛṣāditvādādyudāttaḥ | bahuvrīhau pūrvapadaprakṛtisvaratvaṃ | adhvare | na vidyate dhvaro hiṃsā yasmin | nañsubhyāmityuttarapadāntodāttatvaṃ | īḷate | anudāttettvādātmanepadaṃ | adiprabhṛtibhya iti śapo luk | jhasyādādeśaḥ ||</w:t>
      </w:r>
    </w:p>
    <w:p>
      <w:pPr>
        <w:pStyle w:val="FirstParagraph"/>
      </w:pPr>
      <w:r>
        <w:rPr>
          <w:bCs/>
          <w:b/>
        </w:rPr>
        <w:t xml:space="preserve">Translation:</w:t>
      </w:r>
      <w:r>
        <w:t xml:space="preserve"> </w:t>
      </w:r>
      <w:r>
        <w:t xml:space="preserve">“</w:t>
      </w:r>
      <w:r>
        <w:t xml:space="preserve">At the</w:t>
      </w:r>
      <w:r>
        <w:t xml:space="preserve"> </w:t>
      </w:r>
      <w:r>
        <w:rPr>
          <w:iCs/>
          <w:i/>
        </w:rPr>
        <w:t xml:space="preserve">adhvara</w:t>
      </w:r>
      <w:r>
        <w:t xml:space="preserve">, the Agniṣṭoma in its model form, and at the</w:t>
      </w:r>
      <w:r>
        <w:t xml:space="preserve"> </w:t>
      </w:r>
      <w:r>
        <w:rPr>
          <w:iCs/>
          <w:i/>
        </w:rPr>
        <w:t xml:space="preserve">yajñas</w:t>
      </w:r>
      <w:r>
        <w:t xml:space="preserve">, the modified forms such as the Ukthya, the priests</w:t>
      </w:r>
      <w:r>
        <w:t xml:space="preserve"> </w:t>
      </w:r>
      <w:r>
        <w:rPr>
          <w:iCs/>
          <w:i/>
        </w:rPr>
        <w:t xml:space="preserve">īḷate</w:t>
      </w:r>
      <w:r>
        <w:t xml:space="preserve">, praise, the god Agni. What are the priests like?</w:t>
      </w:r>
      <w:r>
        <w:t xml:space="preserve"> </w:t>
      </w:r>
      <w:r>
        <w:rPr>
          <w:iCs/>
          <w:i/>
        </w:rPr>
        <w:t xml:space="preserve">Draviṇasaḥ</w:t>
      </w:r>
      <w:r>
        <w:t xml:space="preserve">, seeking wealth;</w:t>
      </w:r>
      <w:r>
        <w:t xml:space="preserve"> </w:t>
      </w:r>
      <w:r>
        <w:rPr>
          <w:iCs/>
          <w:i/>
        </w:rPr>
        <w:t xml:space="preserve">grāvahastāsaḥ</w:t>
      </w:r>
      <w:r>
        <w:t xml:space="preserve">, holding the stones that are the means of pressing. What is the god like?</w:t>
      </w:r>
      <w:r>
        <w:t xml:space="preserve"> </w:t>
      </w:r>
      <w:r>
        <w:rPr>
          <w:iCs/>
          <w:i/>
        </w:rPr>
        <w:t xml:space="preserve">Draviṇodāḥ</w:t>
      </w:r>
      <w:r>
        <w:t xml:space="preserve">, the giver of wealth. Or:</w:t>
      </w:r>
      <w:r>
        <w:t xml:space="preserve"> </w:t>
      </w:r>
      <w:r>
        <w:t xml:space="preserve">‘</w:t>
      </w:r>
      <w:r>
        <w:t xml:space="preserve">may Agni, the giver of wealth, drink the soma</w:t>
      </w:r>
      <w:r>
        <w:t xml:space="preserve">’</w:t>
      </w:r>
      <w:r>
        <w:t xml:space="preserve"> </w:t>
      </w:r>
      <w:r>
        <w:t xml:space="preserve">is to be supplied. Yāska explains this mantra so:</w:t>
      </w:r>
      <w:r>
        <w:t xml:space="preserve"> </w:t>
      </w:r>
      <w:r>
        <w:t xml:space="preserve">‘</w:t>
      </w:r>
      <w:r>
        <w:rPr>
          <w:iCs/>
          <w:i/>
        </w:rPr>
        <w:t xml:space="preserve">Draviṇodāḥ</w:t>
      </w:r>
      <w:r>
        <w:t xml:space="preserve">: why? Wealth is called</w:t>
      </w:r>
      <w:r>
        <w:t xml:space="preserve"> </w:t>
      </w:r>
      <w:r>
        <w:rPr>
          <w:iCs/>
          <w:i/>
        </w:rPr>
        <w:t xml:space="preserve">draviṇa</w:t>
      </w:r>
      <w:r>
        <w:t xml:space="preserve"> </w:t>
      </w:r>
      <w:r>
        <w:t xml:space="preserve">because they run towards it; or strength is</w:t>
      </w:r>
      <w:r>
        <w:t xml:space="preserve"> </w:t>
      </w:r>
      <w:r>
        <w:rPr>
          <w:iCs/>
          <w:i/>
        </w:rPr>
        <w:t xml:space="preserve">draviṇa</w:t>
      </w:r>
      <w:r>
        <w:t xml:space="preserve">, because by it they run towards (the foe); its giver is</w:t>
      </w:r>
      <w:r>
        <w:t xml:space="preserve"> </w:t>
      </w:r>
      <w:r>
        <w:rPr>
          <w:iCs/>
          <w:i/>
        </w:rPr>
        <w:t xml:space="preserve">draviṇodāḥ</w:t>
      </w:r>
      <w:r>
        <w:t xml:space="preserve">; this Ṛk is about him:</w:t>
      </w:r>
      <w:r>
        <w:t xml:space="preserve"> </w:t>
      </w:r>
      <w:r>
        <w:rPr>
          <w:iCs/>
          <w:i/>
        </w:rPr>
        <w:t xml:space="preserve">draviṇodā draviṇasaḥ</w:t>
      </w:r>
      <w:r>
        <w:t xml:space="preserve">…</w:t>
      </w:r>
      <w:r>
        <w:t xml:space="preserve">’</w:t>
      </w:r>
      <w:r>
        <w:t xml:space="preserve"> </w:t>
      </w:r>
      <w:r>
        <w:t xml:space="preserve">(Ni. 8-1). That etymological account of Yāska is to be learnt from that very work.</w:t>
      </w:r>
      <w:r>
        <w:t xml:space="preserve">”</w:t>
      </w:r>
      <w:r>
        <w:t xml:space="preserve"> </w:t>
      </w:r>
      <w:r>
        <w:t xml:space="preserve">(Grammatical tail:</w:t>
      </w:r>
      <w:r>
        <w:t xml:space="preserve"> </w:t>
      </w:r>
      <w:r>
        <w:rPr>
          <w:iCs/>
          <w:i/>
        </w:rPr>
        <w:t xml:space="preserve">draviṇa</w:t>
      </w:r>
      <w:r>
        <w:t xml:space="preserve"> </w:t>
      </w:r>
      <w:r>
        <w:t xml:space="preserve">with</w:t>
      </w:r>
      <w:r>
        <w:t xml:space="preserve"> </w:t>
      </w:r>
      <w:r>
        <w:rPr>
          <w:iCs/>
          <w:i/>
        </w:rPr>
        <w:t xml:space="preserve">inan</w:t>
      </w:r>
      <w:r>
        <w:t xml:space="preserve"> </w:t>
      </w:r>
      <w:r>
        <w:t xml:space="preserve">(Uṇ.</w:t>
      </w:r>
      <w:r>
        <w:t xml:space="preserve"> </w:t>
      </w:r>
      <w:r>
        <w:t xml:space="preserve">“</w:t>
      </w:r>
      <w:r>
        <w:t xml:space="preserve">2-50</w:t>
      </w:r>
      <w:r>
        <w:t xml:space="preserve">”</w:t>
      </w:r>
      <w:r>
        <w:t xml:space="preserve"> </w:t>
      </w:r>
      <w:r>
        <w:t xml:space="preserve">[?]), initial udātta;</w:t>
      </w:r>
      <w:r>
        <w:t xml:space="preserve"> </w:t>
      </w:r>
      <w:r>
        <w:rPr>
          <w:iCs/>
          <w:i/>
        </w:rPr>
        <w:t xml:space="preserve">draviṇodāḥ</w:t>
      </w:r>
      <w:r>
        <w:t xml:space="preserve">,</w:t>
      </w:r>
      <w:r>
        <w:t xml:space="preserve"> </w:t>
      </w:r>
      <w:r>
        <w:t xml:space="preserve">“</w:t>
      </w:r>
      <w:r>
        <w:t xml:space="preserve">who gives it</w:t>
      </w:r>
      <w:r>
        <w:t xml:space="preserve">”</w:t>
      </w:r>
      <w:r>
        <w:t xml:space="preserve">,</w:t>
      </w:r>
      <w:r>
        <w:t xml:space="preserve"> </w:t>
      </w:r>
      <w:r>
        <w:rPr>
          <w:iCs/>
          <w:i/>
        </w:rPr>
        <w:t xml:space="preserve">kvip</w:t>
      </w:r>
      <w:r>
        <w:t xml:space="preserve">, the Vedic insertion of</w:t>
      </w:r>
      <w:r>
        <w:t xml:space="preserve"> </w:t>
      </w:r>
      <w:r>
        <w:rPr>
          <w:iCs/>
          <w:i/>
        </w:rPr>
        <w:t xml:space="preserve">s</w:t>
      </w:r>
      <w:r>
        <w:t xml:space="preserve"> </w:t>
      </w:r>
      <w:r>
        <w:t xml:space="preserve">in the first member,</w:t>
      </w:r>
      <w:r>
        <w:t xml:space="preserve"> </w:t>
      </w:r>
      <w:r>
        <w:rPr>
          <w:iCs/>
          <w:i/>
        </w:rPr>
        <w:t xml:space="preserve">ru</w:t>
      </w:r>
      <w:r>
        <w:t xml:space="preserve"> </w:t>
      </w:r>
      <w:r>
        <w:t xml:space="preserve">and</w:t>
      </w:r>
      <w:r>
        <w:t xml:space="preserve"> </w:t>
      </w:r>
      <w:r>
        <w:rPr>
          <w:iCs/>
          <w:i/>
        </w:rPr>
        <w:t xml:space="preserve">u</w:t>
      </w:r>
      <w:r>
        <w:t xml:space="preserve">, the accent of the</w:t>
      </w:r>
      <w:r>
        <w:t xml:space="preserve"> </w:t>
      </w:r>
      <w:r>
        <w:rPr>
          <w:iCs/>
          <w:i/>
        </w:rPr>
        <w:t xml:space="preserve">kṛt</w:t>
      </w:r>
      <w:r>
        <w:t xml:space="preserve"> </w:t>
      </w:r>
      <w:r>
        <w:t xml:space="preserve">second member; taken with</w:t>
      </w:r>
      <w:r>
        <w:t xml:space="preserve"> </w:t>
      </w:r>
      <w:r>
        <w:rPr>
          <w:iCs/>
          <w:i/>
        </w:rPr>
        <w:t xml:space="preserve">devam</w:t>
      </w:r>
      <w:r>
        <w:t xml:space="preserve"> </w:t>
      </w:r>
      <w:r>
        <w:t xml:space="preserve">as one sentence, the accusative is replaced by the nominative; or</w:t>
      </w:r>
      <w:r>
        <w:t xml:space="preserve"> </w:t>
      </w:r>
      <w:r>
        <w:rPr>
          <w:iCs/>
          <w:i/>
        </w:rPr>
        <w:t xml:space="preserve">draviṇasyanti</w:t>
      </w:r>
      <w:r>
        <w:t xml:space="preserve"> </w:t>
      </w:r>
      <w:r>
        <w:t xml:space="preserve">“</w:t>
      </w:r>
      <w:r>
        <w:t xml:space="preserve">they desire wealth for themselves</w:t>
      </w:r>
      <w:r>
        <w:t xml:space="preserve">”</w:t>
      </w:r>
      <w:r>
        <w:t xml:space="preserve">,</w:t>
      </w:r>
      <w:r>
        <w:t xml:space="preserve"> </w:t>
      </w:r>
      <w:r>
        <w:rPr>
          <w:iCs/>
          <w:i/>
        </w:rPr>
        <w:t xml:space="preserve">kyac</w:t>
      </w:r>
      <w:r>
        <w:t xml:space="preserve"> </w:t>
      </w:r>
      <w:r>
        <w:t xml:space="preserve">with the augment</w:t>
      </w:r>
      <w:r>
        <w:t xml:space="preserve"> </w:t>
      </w:r>
      <w:r>
        <w:rPr>
          <w:iCs/>
          <w:i/>
        </w:rPr>
        <w:t xml:space="preserve">s</w:t>
      </w:r>
      <w:r>
        <w:t xml:space="preserve"> </w:t>
      </w:r>
      <w:r>
        <w:t xml:space="preserve">(MB 7-1-51-2),</w:t>
      </w:r>
      <w:r>
        <w:t xml:space="preserve"> </w:t>
      </w:r>
      <w:r>
        <w:rPr>
          <w:iCs/>
          <w:i/>
        </w:rPr>
        <w:t xml:space="preserve">kvip</w:t>
      </w:r>
      <w:r>
        <w:t xml:space="preserve"> </w:t>
      </w:r>
      <w:r>
        <w:t xml:space="preserve">in the action sense, the</w:t>
      </w:r>
      <w:r>
        <w:t xml:space="preserve"> </w:t>
      </w:r>
      <w:r>
        <w:rPr>
          <w:iCs/>
          <w:i/>
        </w:rPr>
        <w:t xml:space="preserve">a</w:t>
      </w:r>
      <w:r>
        <w:t xml:space="preserve"> </w:t>
      </w:r>
      <w:r>
        <w:t xml:space="preserve">and then the</w:t>
      </w:r>
      <w:r>
        <w:t xml:space="preserve"> </w:t>
      </w:r>
      <w:r>
        <w:rPr>
          <w:iCs/>
          <w:i/>
        </w:rPr>
        <w:t xml:space="preserve">y</w:t>
      </w:r>
      <w:r>
        <w:t xml:space="preserve"> </w:t>
      </w:r>
      <w:r>
        <w:t xml:space="preserve">dropped (the</w:t>
      </w:r>
      <w:r>
        <w:t xml:space="preserve"> </w:t>
      </w:r>
      <w:r>
        <w:rPr>
          <w:iCs/>
          <w:i/>
        </w:rPr>
        <w:t xml:space="preserve">kvip</w:t>
      </w:r>
      <w:r>
        <w:t xml:space="preserve"> </w:t>
      </w:r>
      <w:r>
        <w:t xml:space="preserve">loss not</w:t>
      </w:r>
      <w:r>
        <w:t xml:space="preserve"> </w:t>
      </w:r>
      <w:r>
        <w:rPr>
          <w:iCs/>
          <w:i/>
        </w:rPr>
        <w:t xml:space="preserve">sthānivat</w:t>
      </w:r>
      <w:r>
        <w:t xml:space="preserve">, MB 1-1-58-2), so</w:t>
      </w:r>
      <w:r>
        <w:t xml:space="preserve"> </w:t>
      </w:r>
      <w:r>
        <w:rPr>
          <w:iCs/>
          <w:i/>
        </w:rPr>
        <w:t xml:space="preserve">draviṇas</w:t>
      </w:r>
      <w:r>
        <w:t xml:space="preserve"> </w:t>
      </w:r>
      <w:r>
        <w:t xml:space="preserve">means desire for wealth;</w:t>
      </w:r>
      <w:r>
        <w:t xml:space="preserve"> </w:t>
      </w:r>
      <w:r>
        <w:rPr>
          <w:iCs/>
          <w:i/>
        </w:rPr>
        <w:t xml:space="preserve">draviṇodas</w:t>
      </w:r>
      <w:r>
        <w:t xml:space="preserve">,</w:t>
      </w:r>
      <w:r>
        <w:t xml:space="preserve"> </w:t>
      </w:r>
      <w:r>
        <w:t xml:space="preserve">“</w:t>
      </w:r>
      <w:r>
        <w:t xml:space="preserve">who removes that desire by giving wealth</w:t>
      </w:r>
      <w:r>
        <w:t xml:space="preserve">”</w:t>
      </w:r>
      <w:r>
        <w:t xml:space="preserve">, from</w:t>
      </w:r>
      <w:r>
        <w:t xml:space="preserve"> </w:t>
      </w:r>
      <w:r>
        <w:rPr>
          <w:iCs/>
          <w:i/>
        </w:rPr>
        <w:t xml:space="preserve">das</w:t>
      </w:r>
      <w:r>
        <w:t xml:space="preserve"> </w:t>
      </w:r>
      <w:r>
        <w:t xml:space="preserve">‘</w:t>
      </w:r>
      <w:r>
        <w:t xml:space="preserve">to waste</w:t>
      </w:r>
      <w:r>
        <w:t xml:space="preserve">’</w:t>
      </w:r>
      <w:r>
        <w:t xml:space="preserve"> </w:t>
      </w:r>
      <w:r>
        <w:t xml:space="preserve">with the inner causative and</w:t>
      </w:r>
      <w:r>
        <w:t xml:space="preserve"> </w:t>
      </w:r>
      <w:r>
        <w:rPr>
          <w:iCs/>
          <w:i/>
        </w:rPr>
        <w:t xml:space="preserve">kvip</w:t>
      </w:r>
      <w:r>
        <w:t xml:space="preserve">, ending in</w:t>
      </w:r>
      <w:r>
        <w:t xml:space="preserve"> </w:t>
      </w:r>
      <w:r>
        <w:rPr>
          <w:iCs/>
          <w:i/>
        </w:rPr>
        <w:t xml:space="preserve">s</w:t>
      </w:r>
      <w:r>
        <w:t xml:space="preserve">, which fits Yāska’s</w:t>
      </w:r>
      <w:r>
        <w:t xml:space="preserve"> </w:t>
      </w:r>
      <w:r>
        <w:rPr>
          <w:iCs/>
          <w:i/>
        </w:rPr>
        <w:t xml:space="preserve">draviṇodasaḥ pravādāḥ</w:t>
      </w:r>
      <w:r>
        <w:t xml:space="preserve"> </w:t>
      </w:r>
      <w:r>
        <w:t xml:space="preserve">(Ni. 8-2); in separate sentences a nominative in its own sense, in one sentence by</w:t>
      </w:r>
      <w:r>
        <w:t xml:space="preserve"> </w:t>
      </w:r>
      <w:r>
        <w:rPr>
          <w:iCs/>
          <w:i/>
        </w:rPr>
        <w:t xml:space="preserve">vyatyaya</w:t>
      </w:r>
      <w:r>
        <w:t xml:space="preserve"> </w:t>
      </w:r>
      <w:r>
        <w:t xml:space="preserve">in the accusative sense;</w:t>
      </w:r>
      <w:r>
        <w:t xml:space="preserve"> </w:t>
      </w:r>
      <w:r>
        <w:rPr>
          <w:iCs/>
          <w:i/>
        </w:rPr>
        <w:t xml:space="preserve">draviṇasaḥ</w:t>
      </w:r>
      <w:r>
        <w:t xml:space="preserve">, on the separate-sentence view</w:t>
      </w:r>
      <w:r>
        <w:t xml:space="preserve"> </w:t>
      </w:r>
      <w:r>
        <w:t xml:space="preserve">“</w:t>
      </w:r>
      <w:r>
        <w:t xml:space="preserve">of the soma</w:t>
      </w:r>
      <w:r>
        <w:t xml:space="preserve">”</w:t>
      </w:r>
      <w:r>
        <w:t xml:space="preserve"> </w:t>
      </w:r>
      <w:r>
        <w:t xml:space="preserve">with a Vedic</w:t>
      </w:r>
      <w:r>
        <w:t xml:space="preserve"> </w:t>
      </w:r>
      <w:r>
        <w:rPr>
          <w:iCs/>
          <w:i/>
        </w:rPr>
        <w:t xml:space="preserve">s</w:t>
      </w:r>
      <w:r>
        <w:t xml:space="preserve">, initial udātta as a rule; as an epithet of the priests,</w:t>
      </w:r>
      <w:r>
        <w:t xml:space="preserve"> </w:t>
      </w:r>
      <w:r>
        <w:rPr>
          <w:iCs/>
          <w:i/>
        </w:rPr>
        <w:t xml:space="preserve">kvip</w:t>
      </w:r>
      <w:r>
        <w:t xml:space="preserve"> </w:t>
      </w:r>
      <w:r>
        <w:t xml:space="preserve">after the</w:t>
      </w:r>
      <w:r>
        <w:t xml:space="preserve"> </w:t>
      </w:r>
      <w:r>
        <w:rPr>
          <w:iCs/>
          <w:i/>
        </w:rPr>
        <w:t xml:space="preserve">kyac</w:t>
      </w:r>
      <w:r>
        <w:t xml:space="preserve"> </w:t>
      </w:r>
      <w:r>
        <w:t xml:space="preserve">form, final udātta (</w:t>
      </w:r>
      <w:r>
        <w:rPr>
          <w:iCs/>
          <w:i/>
        </w:rPr>
        <w:t xml:space="preserve">cit</w:t>
      </w:r>
      <w:r>
        <w:t xml:space="preserve">) overridden by</w:t>
      </w:r>
      <w:r>
        <w:t xml:space="preserve"> </w:t>
      </w:r>
      <w:r>
        <w:rPr>
          <w:iCs/>
          <w:i/>
        </w:rPr>
        <w:t xml:space="preserve">vyatyaya</w:t>
      </w:r>
      <w:r>
        <w:t xml:space="preserve"> </w:t>
      </w:r>
      <w:r>
        <w:t xml:space="preserve">to initial udātta;</w:t>
      </w:r>
      <w:r>
        <w:t xml:space="preserve"> </w:t>
      </w:r>
      <w:r>
        <w:rPr>
          <w:iCs/>
          <w:i/>
        </w:rPr>
        <w:t xml:space="preserve">grāvahastāsaḥ</w:t>
      </w:r>
      <w:r>
        <w:t xml:space="preserve">, a bahuvrīhi with</w:t>
      </w:r>
      <w:r>
        <w:t xml:space="preserve"> </w:t>
      </w:r>
      <w:r>
        <w:rPr>
          <w:iCs/>
          <w:i/>
        </w:rPr>
        <w:t xml:space="preserve">asuk</w:t>
      </w:r>
      <w:r>
        <w:t xml:space="preserve">,</w:t>
      </w:r>
      <w:r>
        <w:t xml:space="preserve"> </w:t>
      </w:r>
      <w:r>
        <w:rPr>
          <w:iCs/>
          <w:i/>
        </w:rPr>
        <w:t xml:space="preserve">grāvan</w:t>
      </w:r>
      <w:r>
        <w:t xml:space="preserve"> </w:t>
      </w:r>
      <w:r>
        <w:t xml:space="preserve">initial udātta as of the</w:t>
      </w:r>
      <w:r>
        <w:t xml:space="preserve"> </w:t>
      </w:r>
      <w:r>
        <w:rPr>
          <w:iCs/>
          <w:i/>
        </w:rPr>
        <w:t xml:space="preserve">vṛṣādi</w:t>
      </w:r>
      <w:r>
        <w:t xml:space="preserve"> </w:t>
      </w:r>
      <w:r>
        <w:t xml:space="preserve">class;</w:t>
      </w:r>
      <w:r>
        <w:t xml:space="preserve"> </w:t>
      </w:r>
      <w:r>
        <w:rPr>
          <w:iCs/>
          <w:i/>
        </w:rPr>
        <w:t xml:space="preserve">adhvare</w:t>
      </w:r>
      <w:r>
        <w:t xml:space="preserve"> </w:t>
      </w:r>
      <w:r>
        <w:t xml:space="preserve">final udātta by</w:t>
      </w:r>
      <w:r>
        <w:t xml:space="preserve"> </w:t>
      </w:r>
      <w:r>
        <w:rPr>
          <w:iCs/>
          <w:i/>
        </w:rPr>
        <w:t xml:space="preserve">nañsubhyām</w:t>
      </w:r>
      <w:r>
        <w:t xml:space="preserve">;</w:t>
      </w:r>
      <w:r>
        <w:t xml:space="preserve"> </w:t>
      </w:r>
      <w:r>
        <w:rPr>
          <w:iCs/>
          <w:i/>
        </w:rPr>
        <w:t xml:space="preserve">īḷate</w:t>
      </w:r>
      <w:r>
        <w:t xml:space="preserve">,</w:t>
      </w:r>
      <w:r>
        <w:t xml:space="preserve"> </w:t>
      </w:r>
      <w:r>
        <w:rPr>
          <w:iCs/>
          <w:i/>
        </w:rPr>
        <w:t xml:space="preserve">ātmanepada</w:t>
      </w:r>
      <w:r>
        <w:t xml:space="preserve">,</w:t>
      </w:r>
      <w:r>
        <w:t xml:space="preserve"> </w:t>
      </w:r>
      <w:r>
        <w:rPr>
          <w:iCs/>
          <w:i/>
        </w:rPr>
        <w:t xml:space="preserve">śap</w:t>
      </w:r>
      <w:r>
        <w:t xml:space="preserve"> </w:t>
      </w:r>
      <w:r>
        <w:t xml:space="preserve">dropped,</w:t>
      </w:r>
      <w:r>
        <w:t xml:space="preserve"> </w:t>
      </w:r>
      <w:r>
        <w:rPr>
          <w:iCs/>
          <w:i/>
        </w:rPr>
        <w:t xml:space="preserve">at</w:t>
      </w:r>
      <w:r>
        <w:t xml:space="preserve"> </w:t>
      </w:r>
      <w:r>
        <w:t xml:space="preserve">for</w:t>
      </w:r>
      <w:r>
        <w:t xml:space="preserve"> </w:t>
      </w:r>
      <w:r>
        <w:rPr>
          <w:iCs/>
          <w:i/>
        </w:rPr>
        <w:t xml:space="preserve">jh</w:t>
      </w:r>
      <w:r>
        <w:t xml:space="preserve">.)</w:t>
      </w:r>
    </w:p>
    <w:p>
      <w:pPr>
        <w:pStyle w:val="BodyText"/>
      </w:pPr>
      <w:r>
        <w:rPr>
          <w:bCs/>
          <w:b/>
        </w:rPr>
        <w:t xml:space="preserve">॥ Prati-padārthaḥ ॥</w:t>
      </w:r>
    </w:p>
    <w:p>
      <w:pPr>
        <w:pStyle w:val="BodyText"/>
      </w:pPr>
      <w:r>
        <w:rPr>
          <w:bCs/>
          <w:b/>
        </w:rPr>
        <w:t xml:space="preserve">द्रविणसः (draviṇasaḥ)</w:t>
      </w:r>
      <w:r>
        <w:t xml:space="preserve"> </w:t>
      </w:r>
      <w:r>
        <w:t xml:space="preserve">— the priests who seek wealth |</w:t>
      </w:r>
      <w:r>
        <w:t xml:space="preserve"> </w:t>
      </w:r>
      <w:r>
        <w:rPr>
          <w:bCs/>
          <w:b/>
        </w:rPr>
        <w:t xml:space="preserve">ग्रावहस्तासः (grāvahastāsaḥ)</w:t>
      </w:r>
      <w:r>
        <w:t xml:space="preserve"> </w:t>
      </w:r>
      <w:r>
        <w:t xml:space="preserve">— holding in their hands the stones (the means of pressing the soma juice) |</w:t>
      </w:r>
      <w:r>
        <w:t xml:space="preserve"> </w:t>
      </w:r>
      <w:r>
        <w:rPr>
          <w:bCs/>
          <w:b/>
        </w:rPr>
        <w:t xml:space="preserve">द्रविणोदाः (draviṇodāḥ)</w:t>
      </w:r>
      <w:r>
        <w:t xml:space="preserve"> </w:t>
      </w:r>
      <w:r>
        <w:t xml:space="preserve">— the giver of wealth (or the one named Draviṇodas) |</w:t>
      </w:r>
      <w:r>
        <w:t xml:space="preserve"> </w:t>
      </w:r>
      <w:r>
        <w:rPr>
          <w:bCs/>
          <w:b/>
        </w:rPr>
        <w:t xml:space="preserve">देवम् (devam)</w:t>
      </w:r>
      <w:r>
        <w:t xml:space="preserve"> </w:t>
      </w:r>
      <w:r>
        <w:t xml:space="preserve">— Agni, the god |</w:t>
      </w:r>
      <w:r>
        <w:t xml:space="preserve"> </w:t>
      </w:r>
      <w:r>
        <w:rPr>
          <w:bCs/>
          <w:b/>
        </w:rPr>
        <w:t xml:space="preserve">अध्वरे (adhvare)</w:t>
      </w:r>
      <w:r>
        <w:t xml:space="preserve"> </w:t>
      </w:r>
      <w:r>
        <w:t xml:space="preserve">— at the Agniṣṭoma sacrifice in its model form |</w:t>
      </w:r>
      <w:r>
        <w:t xml:space="preserve"> </w:t>
      </w:r>
      <w:r>
        <w:rPr>
          <w:bCs/>
          <w:b/>
        </w:rPr>
        <w:t xml:space="preserve">यज्ञेषु (yajñeṣu)</w:t>
      </w:r>
      <w:r>
        <w:t xml:space="preserve"> </w:t>
      </w:r>
      <w:r>
        <w:t xml:space="preserve">— and at the sacrifices such as the Ukthya in their modified forms |</w:t>
      </w:r>
      <w:r>
        <w:t xml:space="preserve"> </w:t>
      </w:r>
      <w:r>
        <w:rPr>
          <w:bCs/>
          <w:b/>
        </w:rPr>
        <w:t xml:space="preserve">ईळते (īḷate)</w:t>
      </w:r>
      <w:r>
        <w:t xml:space="preserve"> </w:t>
      </w:r>
      <w:r>
        <w:t xml:space="preserve">— praise.</w:t>
      </w:r>
    </w:p>
    <w:p>
      <w:pPr>
        <w:pStyle w:val="BodyText"/>
      </w:pPr>
      <w:r>
        <w:rPr>
          <w:bCs/>
          <w:b/>
        </w:rPr>
        <w:t xml:space="preserve">॥ Bhāvārthaḥ ॥</w:t>
      </w:r>
    </w:p>
    <w:p>
      <w:pPr>
        <w:pStyle w:val="BodyText"/>
      </w:pPr>
      <w:r>
        <w:t xml:space="preserve">The priests who seek wealth, holding in their hands the stones that are the means of pressing the soma juice, at the Agniṣṭoma sacrifice, the model, and at the Ukthya and other sacrifices, the modifications, invoke and praise Agni called Draviṇodas so that he drinks the soma juice.</w:t>
      </w:r>
    </w:p>
    <w:p>
      <w:pPr>
        <w:pStyle w:val="BodyText"/>
      </w:pPr>
      <w:r>
        <w:rPr>
          <w:bCs/>
          <w:b/>
        </w:rPr>
        <w:t xml:space="preserve">॥ English Translation ॥</w:t>
      </w:r>
      <w:r>
        <w:t xml:space="preserve"> </w:t>
      </w:r>
      <w:r>
        <w:rPr>
          <w:iCs/>
          <w:i/>
        </w:rPr>
        <w:t xml:space="preserve">(as printed in the source)</w:t>
      </w:r>
    </w:p>
    <w:p>
      <w:pPr>
        <w:pStyle w:val="BlockText"/>
      </w:pPr>
      <w:r>
        <w:t xml:space="preserve">The priests desirous of wealth, with the soma-pressing stones in their hands praise the divine (Agni) Dravinodas who is the giver of riches, in the Soma and other sacrifices.</w:t>
      </w:r>
    </w:p>
    <w:bookmarkEnd w:id="705"/>
    <w:bookmarkStart w:id="706" w:name="page-652-rik-7-special-topics"/>
    <w:p>
      <w:pPr>
        <w:pStyle w:val="Heading3"/>
      </w:pPr>
      <w:r>
        <w:t xml:space="preserve">Page 652 — Rik 7: Special Topics</w:t>
      </w:r>
    </w:p>
    <w:p>
      <w:pPr>
        <w:pStyle w:val="FirstParagraph"/>
      </w:pPr>
      <w:r>
        <w:rPr>
          <w:bCs/>
          <w:b/>
        </w:rPr>
        <w:t xml:space="preserve">॥ Viśeṣa-viṣayagaḷu (Special Topics) ॥</w:t>
      </w:r>
    </w:p>
    <w:p>
      <w:pPr>
        <w:pStyle w:val="BodyText"/>
      </w:pPr>
      <w:r>
        <w:rPr>
          <w:bCs/>
          <w:b/>
        </w:rPr>
        <w:t xml:space="preserve">Draviṇodāḥ</w:t>
      </w:r>
      <w:r>
        <w:t xml:space="preserve">: Yāska has written a full explanation of this word:</w:t>
      </w:r>
    </w:p>
    <w:p>
      <w:pPr>
        <w:pStyle w:val="BlockText"/>
      </w:pPr>
      <w:r>
        <w:t xml:space="preserve">द्रविणोदाः । द्रविणोदाः कस्माद्धनं द्रविणमुच्यते । यदेनदभिद्रवन्ति । बलं वा द्रविणं यदेनेनाभिद्रवन्ति । तस्य दाता द्रविणोदाः ॥</w:t>
      </w:r>
    </w:p>
    <w:p>
      <w:pPr>
        <w:pStyle w:val="BlockText"/>
      </w:pPr>
      <w:r>
        <w:rPr>
          <w:iCs/>
          <w:i/>
        </w:rPr>
        <w:t xml:space="preserve">draviṇodāḥ | draviṇodāḥ kasmāddhanaṃ draviṇamucyate | yadenadabhidravanti | balaṃ vā draviṇaṃ yadenenābhidravanti | tasya dātā draviṇodāḥ ||</w:t>
      </w:r>
    </w:p>
    <w:p>
      <w:pPr>
        <w:pStyle w:val="FirstParagraph"/>
      </w:pPr>
      <w:r>
        <w:rPr>
          <w:iCs/>
          <w:i/>
        </w:rPr>
        <w:t xml:space="preserve">(Ni. 8-1.)</w:t>
      </w:r>
      <w:r>
        <w:t xml:space="preserve"> </w:t>
      </w:r>
      <w:r>
        <w:t xml:space="preserve">Here the word</w:t>
      </w:r>
      <w:r>
        <w:t xml:space="preserve"> </w:t>
      </w:r>
      <w:r>
        <w:rPr>
          <w:iCs/>
          <w:i/>
        </w:rPr>
        <w:t xml:space="preserve">draviṇodāḥ</w:t>
      </w:r>
      <w:r>
        <w:t xml:space="preserve"> </w:t>
      </w:r>
      <w:r>
        <w:t xml:space="preserve">is derived as</w:t>
      </w:r>
      <w:r>
        <w:t xml:space="preserve"> </w:t>
      </w:r>
      <w:r>
        <w:rPr>
          <w:iCs/>
          <w:i/>
        </w:rPr>
        <w:t xml:space="preserve">draviṇaṃ dadāti iti draviṇodāḥ</w:t>
      </w:r>
      <w:r>
        <w:t xml:space="preserve">. The word</w:t>
      </w:r>
      <w:r>
        <w:t xml:space="preserve"> </w:t>
      </w:r>
      <w:r>
        <w:rPr>
          <w:iCs/>
          <w:i/>
        </w:rPr>
        <w:t xml:space="preserve">draviṇa</w:t>
      </w:r>
      <w:r>
        <w:t xml:space="preserve"> </w:t>
      </w:r>
      <w:r>
        <w:t xml:space="preserve">has two senses, wealth and strength; so</w:t>
      </w:r>
      <w:r>
        <w:t xml:space="preserve"> </w:t>
      </w:r>
      <w:r>
        <w:rPr>
          <w:iCs/>
          <w:i/>
        </w:rPr>
        <w:t xml:space="preserve">draviṇodāḥ</w:t>
      </w:r>
      <w:r>
        <w:t xml:space="preserve"> </w:t>
      </w:r>
      <w:r>
        <w:t xml:space="preserve">means the giver of wealth or of strength. This is the sense of the parts of the word. Besides, Yāska gives the etymological explanation of this Ṛk thus:</w:t>
      </w:r>
    </w:p>
    <w:p>
      <w:pPr>
        <w:pStyle w:val="BlockText"/>
      </w:pPr>
      <w:r>
        <w:t xml:space="preserve">द्रविणोदा यस्त्वं । द्रविणस इति द्रविणसादिन इति वा द्रविणसानिन इति वा द्रविणसस्तस्मात्पिबत्विति वा । यज्ञेषु देवमीळते । याचन्ति स्तुवन्ति वर्धयन्ति पूजयन्तीति वा ॥</w:t>
      </w:r>
    </w:p>
    <w:p>
      <w:pPr>
        <w:pStyle w:val="BlockText"/>
      </w:pPr>
      <w:r>
        <w:rPr>
          <w:iCs/>
          <w:i/>
        </w:rPr>
        <w:t xml:space="preserve">draviṇodā yastvaṃ | draviṇasa iti draviṇasādina iti vā draviṇasānina iti vā draviṇasastasmātpibatviti vā | yajñeṣu devamīḷate | yācanti stuvanti vardhayanti pūjayantīti vā ||</w:t>
      </w:r>
    </w:p>
    <w:p>
      <w:pPr>
        <w:pStyle w:val="FirstParagraph"/>
      </w:pPr>
      <w:r>
        <w:t xml:space="preserve">That is, the priests who look for wealth, oblations and the like pray to you, called Draviṇodas, to drink the soma at the sacrifices: this is the chief sense. Though</w:t>
      </w:r>
      <w:r>
        <w:t xml:space="preserve"> </w:t>
      </w:r>
      <w:r>
        <w:rPr>
          <w:iCs/>
          <w:i/>
        </w:rPr>
        <w:t xml:space="preserve">draviṇodāḥ</w:t>
      </w:r>
      <w:r>
        <w:t xml:space="preserve"> </w:t>
      </w:r>
      <w:r>
        <w:t xml:space="preserve">here is a nominative singular, how does it qualify the accusative singular</w:t>
      </w:r>
      <w:r>
        <w:t xml:space="preserve"> </w:t>
      </w:r>
      <w:r>
        <w:rPr>
          <w:iCs/>
          <w:i/>
        </w:rPr>
        <w:t xml:space="preserve">devam</w:t>
      </w:r>
      <w:r>
        <w:t xml:space="preserve">? Words must be supplied so that the sense is</w:t>
      </w:r>
      <w:r>
        <w:t xml:space="preserve"> </w:t>
      </w:r>
      <w:r>
        <w:rPr>
          <w:iCs/>
          <w:i/>
        </w:rPr>
        <w:t xml:space="preserve">draviṇodā yaḥ devaḥ taṃ devam</w:t>
      </w:r>
      <w:r>
        <w:t xml:space="preserve">,</w:t>
      </w:r>
      <w:r>
        <w:t xml:space="preserve"> </w:t>
      </w:r>
      <w:r>
        <w:t xml:space="preserve">“</w:t>
      </w:r>
      <w:r>
        <w:t xml:space="preserve">the god who is the giver of wealth: that god</w:t>
      </w:r>
      <w:r>
        <w:t xml:space="preserve">”</w:t>
      </w:r>
      <w:r>
        <w:t xml:space="preserve">.</w:t>
      </w:r>
      <w:r>
        <w:t xml:space="preserve"> </w:t>
      </w:r>
      <w:r>
        <w:rPr>
          <w:iCs/>
          <w:i/>
        </w:rPr>
        <w:t xml:space="preserve">Draviṇasaḥ</w:t>
      </w:r>
      <w:r>
        <w:t xml:space="preserve">: since they pray to the god for wealth or oblations for the worship of the gods,</w:t>
      </w:r>
      <w:r>
        <w:t xml:space="preserve"> </w:t>
      </w:r>
      <w:r>
        <w:rPr>
          <w:iCs/>
          <w:i/>
        </w:rPr>
        <w:t xml:space="preserve">draviṇasaḥ</w:t>
      </w:r>
      <w:r>
        <w:t xml:space="preserve"> </w:t>
      </w:r>
      <w:r>
        <w:t xml:space="preserve">means the priests. And</w:t>
      </w:r>
      <w:r>
        <w:t xml:space="preserve"> </w:t>
      </w:r>
      <w:r>
        <w:rPr>
          <w:iCs/>
          <w:i/>
        </w:rPr>
        <w:t xml:space="preserve">īḷate</w:t>
      </w:r>
      <w:r>
        <w:t xml:space="preserve"> </w:t>
      </w:r>
      <w:r>
        <w:t xml:space="preserve">may be given many senses: they beg, they praise, they extol, they worship.</w:t>
      </w:r>
    </w:p>
    <w:p>
      <w:pPr>
        <w:pStyle w:val="BlockText"/>
      </w:pPr>
      <w:r>
        <w:t xml:space="preserve">तत्को द्रविणोदा इन्द्र इति क्रौष्टुकिः । स बलधनयोर्दातृतमस्तस्य च सर्वा बलकृतिः ॥</w:t>
      </w:r>
    </w:p>
    <w:p>
      <w:pPr>
        <w:pStyle w:val="BlockText"/>
      </w:pPr>
      <w:r>
        <w:rPr>
          <w:iCs/>
          <w:i/>
        </w:rPr>
        <w:t xml:space="preserve">tatko draviṇodā indra iti krauṣṭukiḥ | sa baladhanayordātṛtamastasya ca sarvā balakṛtiḥ ||</w:t>
      </w:r>
    </w:p>
    <w:bookmarkEnd w:id="706"/>
    <w:bookmarkStart w:id="707" w:name="page-653-rik-7-special-topics-continued"/>
    <w:p>
      <w:pPr>
        <w:pStyle w:val="Heading3"/>
      </w:pPr>
      <w:r>
        <w:t xml:space="preserve">Page 653 — Rik 7: Special Topics (continued)</w:t>
      </w:r>
    </w:p>
    <w:p>
      <w:pPr>
        <w:pStyle w:val="FirstParagraph"/>
      </w:pPr>
      <w:r>
        <w:t xml:space="preserve">So much for the sense of the parts of the word</w:t>
      </w:r>
      <w:r>
        <w:t xml:space="preserve"> </w:t>
      </w:r>
      <w:r>
        <w:rPr>
          <w:iCs/>
          <w:i/>
        </w:rPr>
        <w:t xml:space="preserve">draviṇodāḥ</w:t>
      </w:r>
      <w:r>
        <w:t xml:space="preserve">. But who is the deity</w:t>
      </w:r>
      <w:r>
        <w:t xml:space="preserve"> </w:t>
      </w:r>
      <w:r>
        <w:rPr>
          <w:iCs/>
          <w:i/>
        </w:rPr>
        <w:t xml:space="preserve">draviṇodāḥ</w:t>
      </w:r>
      <w:r>
        <w:t xml:space="preserve">? Indra is the one called</w:t>
      </w:r>
      <w:r>
        <w:t xml:space="preserve"> </w:t>
      </w:r>
      <w:r>
        <w:rPr>
          <w:iCs/>
          <w:i/>
        </w:rPr>
        <w:t xml:space="preserve">draviṇodāḥ</w:t>
      </w:r>
      <w:r>
        <w:t xml:space="preserve">, for it is Indra who gives most the strength and wealth that the word</w:t>
      </w:r>
      <w:r>
        <w:t xml:space="preserve"> </w:t>
      </w:r>
      <w:r>
        <w:rPr>
          <w:iCs/>
          <w:i/>
        </w:rPr>
        <w:t xml:space="preserve">draviṇa</w:t>
      </w:r>
      <w:r>
        <w:t xml:space="preserve"> </w:t>
      </w:r>
      <w:r>
        <w:t xml:space="preserve">points to; so Indra himself should be called</w:t>
      </w:r>
      <w:r>
        <w:t xml:space="preserve"> </w:t>
      </w:r>
      <w:r>
        <w:rPr>
          <w:iCs/>
          <w:i/>
        </w:rPr>
        <w:t xml:space="preserve">draviṇodāḥ</w:t>
      </w:r>
      <w:r>
        <w:t xml:space="preserve">: this is Krauṣṭuki’s view.</w:t>
      </w:r>
    </w:p>
    <w:p>
      <w:pPr>
        <w:pStyle w:val="BlockText"/>
      </w:pPr>
      <w:r>
        <w:t xml:space="preserve">अथाप्यग्निं द्रविणोदसमाहैष पुनरेतस्माज्जायते । यो अश्मनोरन्तरग्निं जजान इत्यपि निगमो भवति ॥</w:t>
      </w:r>
    </w:p>
    <w:p>
      <w:pPr>
        <w:pStyle w:val="BlockText"/>
      </w:pPr>
      <w:r>
        <w:rPr>
          <w:iCs/>
          <w:i/>
        </w:rPr>
        <w:t xml:space="preserve">athāpyagniṃ draviṇodasamāhaiṣa punaretasmājjāyate | yo aśmanorantaragniṃ jajāna ityapi nigamo bhavati ||</w:t>
      </w:r>
    </w:p>
    <w:p>
      <w:pPr>
        <w:pStyle w:val="FirstParagraph"/>
      </w:pPr>
      <w:r>
        <w:t xml:space="preserve">And they give this word another sense: Indra created heaven and earth, and created Agni too between them; so the word</w:t>
      </w:r>
      <w:r>
        <w:t xml:space="preserve"> </w:t>
      </w:r>
      <w:r>
        <w:rPr>
          <w:iCs/>
          <w:i/>
        </w:rPr>
        <w:t xml:space="preserve">draviṇodāḥ</w:t>
      </w:r>
      <w:r>
        <w:t xml:space="preserve"> </w:t>
      </w:r>
      <w:r>
        <w:t xml:space="preserve">may also be said to mean Agni; to support this sense they give the Ṛk</w:t>
      </w:r>
      <w:r>
        <w:t xml:space="preserve"> </w:t>
      </w:r>
      <w:r>
        <w:t xml:space="preserve">“</w:t>
      </w:r>
      <w:r>
        <w:rPr>
          <w:iCs/>
          <w:i/>
        </w:rPr>
        <w:t xml:space="preserve">aśmanor antar agniṃ jajāna</w:t>
      </w:r>
      <w:r>
        <w:t xml:space="preserve">”</w:t>
      </w:r>
      <w:r>
        <w:t xml:space="preserve"> </w:t>
      </w:r>
      <w:r>
        <w:t xml:space="preserve">as an example.</w:t>
      </w:r>
    </w:p>
    <w:p>
      <w:pPr>
        <w:pStyle w:val="BlockText"/>
      </w:pPr>
      <w:r>
        <w:t xml:space="preserve">अथाप्यृतुयाजेषु द्रविणोदसः प्रवादा भवन्ति । तेषां पुनः पात्रस्यैन्द्रपानमिति भवति ॥ अथाप्येनं सोमपानेन स्तौति । अथाप्याह द्रविणोदाः पिबतु द्रविणोदस इति ॥</w:t>
      </w:r>
    </w:p>
    <w:p>
      <w:pPr>
        <w:pStyle w:val="BlockText"/>
      </w:pPr>
      <w:r>
        <w:rPr>
          <w:iCs/>
          <w:i/>
        </w:rPr>
        <w:t xml:space="preserve">athāpyṛtuyājeṣu draviṇodasaḥ pravādā bhavanti | teṣāṃ punaḥ pātrasyaindrapānamiti bhavati || athāpyenaṃ somapānena stauti | athāpyāha draviṇodāḥ pibatu draviṇodasa iti ||</w:t>
      </w:r>
    </w:p>
    <w:p>
      <w:pPr>
        <w:pStyle w:val="FirstParagraph"/>
      </w:pPr>
      <w:r>
        <w:t xml:space="preserve">Since it is said that at the sacrifices made with the Ṛtus in view Indra drinks the soma from the vessel in the priests’ hands, and since Indra is praised with mantras about drinking soma, there is the custom of calling the priests</w:t>
      </w:r>
      <w:r>
        <w:t xml:space="preserve"> </w:t>
      </w:r>
      <w:r>
        <w:rPr>
          <w:iCs/>
          <w:i/>
        </w:rPr>
        <w:t xml:space="preserve">draviṇodasaḥ</w:t>
      </w:r>
      <w:r>
        <w:t xml:space="preserve">: all this is Krauṣṭuki’s view.</w:t>
      </w:r>
    </w:p>
    <w:p>
      <w:pPr>
        <w:pStyle w:val="BlockText"/>
      </w:pPr>
      <w:r>
        <w:t xml:space="preserve">अयमेवाग्निर्द्रविणोदा इति शाकपूणिः । आग्नेयेष्वेव हि सूक्तेषु द्रविणोदसः प्रवादा भवन्ति ॥</w:t>
      </w:r>
    </w:p>
    <w:p>
      <w:pPr>
        <w:pStyle w:val="BlockText"/>
      </w:pPr>
      <w:r>
        <w:rPr>
          <w:iCs/>
          <w:i/>
        </w:rPr>
        <w:t xml:space="preserve">ayamevāgnirdraviṇodā iti śākapūṇiḥ | āgneyeṣveva hi sūkteṣu draviṇodasaḥ pravādā bhavanti ||</w:t>
      </w:r>
    </w:p>
    <w:p>
      <w:pPr>
        <w:pStyle w:val="FirstParagraph"/>
      </w:pPr>
      <w:r>
        <w:t xml:space="preserve">That Agni himself is</w:t>
      </w:r>
      <w:r>
        <w:t xml:space="preserve"> </w:t>
      </w:r>
      <w:r>
        <w:rPr>
          <w:iCs/>
          <w:i/>
        </w:rPr>
        <w:t xml:space="preserve">draviṇodāḥ</w:t>
      </w:r>
      <w:r>
        <w:t xml:space="preserve"> </w:t>
      </w:r>
      <w:r>
        <w:t xml:space="preserve">is Śākapūṇi’s view; for in the sūktas about Agni, when the priests praise Agni, they use the word</w:t>
      </w:r>
      <w:r>
        <w:t xml:space="preserve"> </w:t>
      </w:r>
      <w:r>
        <w:rPr>
          <w:iCs/>
          <w:i/>
        </w:rPr>
        <w:t xml:space="preserve">draviṇodāḥ</w:t>
      </w:r>
      <w:r>
        <w:t xml:space="preserve"> </w:t>
      </w:r>
      <w:r>
        <w:t xml:space="preserve">as an epithet of Agni.</w:t>
      </w:r>
    </w:p>
    <w:p>
      <w:pPr>
        <w:pStyle w:val="BlockText"/>
      </w:pPr>
      <w:r>
        <w:t xml:space="preserve">यथो एतत्स बलधनयोर्दातृतम इति सर्वासु देवतास्वैश्वर्यं विद्यते । यथो एतदोजसो जातमुतमन्य एनमिति चाहेत्ययमप्यग्निरोजसा बलेन मथ्यमानो जायते तस्मादेनमाह सहसस्पुत्रं सहसः सूनुं सहसो यहुं ॥</w:t>
      </w:r>
    </w:p>
    <w:p>
      <w:pPr>
        <w:pStyle w:val="BlockText"/>
      </w:pPr>
      <w:r>
        <w:rPr>
          <w:iCs/>
          <w:i/>
        </w:rPr>
        <w:t xml:space="preserve">yatho etatsa baladhanayordātṛtama iti sarvāsu devatāsvaiśvaryaṃ vidyate | yatho etadojaso jātamutamanya enamiti cāhetyayamapyagnirojasā balena mathyamāno jāyate tasmādenamāha sahasasputraṃ sahasaḥ sūnuṃ sahaso yahuṃ ||</w:t>
      </w:r>
    </w:p>
    <w:p>
      <w:pPr>
        <w:pStyle w:val="FirstParagraph"/>
      </w:pPr>
      <w:r>
        <w:t xml:space="preserve">In all deities there is lordship; so Agni too gives strength and wealth. Since he gives strength and wealth, Agni too can be called</w:t>
      </w:r>
      <w:r>
        <w:t xml:space="preserve"> </w:t>
      </w:r>
      <w:r>
        <w:rPr>
          <w:iCs/>
          <w:i/>
        </w:rPr>
        <w:t xml:space="preserve">draviṇodāḥ</w:t>
      </w:r>
      <w:r>
        <w:t xml:space="preserve">. Besides, it is clear that the word</w:t>
      </w:r>
      <w:r>
        <w:t xml:space="preserve"> </w:t>
      </w:r>
      <w:r>
        <w:rPr>
          <w:iCs/>
          <w:i/>
        </w:rPr>
        <w:t xml:space="preserve">draviṇa</w:t>
      </w:r>
      <w:r>
        <w:t xml:space="preserve"> </w:t>
      </w:r>
      <w:r>
        <w:t xml:space="preserve">means strength. Since in kindling Agni one churns using strength, there is the notion that Agni is born of strength. That is why they praise Agni with the words</w:t>
      </w:r>
      <w:r>
        <w:t xml:space="preserve"> </w:t>
      </w:r>
      <w:r>
        <w:rPr>
          <w:iCs/>
          <w:i/>
        </w:rPr>
        <w:t xml:space="preserve">sahasas putram</w:t>
      </w:r>
      <w:r>
        <w:t xml:space="preserve"> </w:t>
      </w:r>
      <w:r>
        <w:t xml:space="preserve">(the son of strength),</w:t>
      </w:r>
      <w:r>
        <w:t xml:space="preserve"> </w:t>
      </w:r>
      <w:r>
        <w:rPr>
          <w:iCs/>
          <w:i/>
        </w:rPr>
        <w:t xml:space="preserve">sahasaḥ sūnum</w:t>
      </w:r>
      <w:r>
        <w:t xml:space="preserve">,</w:t>
      </w:r>
      <w:r>
        <w:t xml:space="preserve"> </w:t>
      </w:r>
      <w:r>
        <w:rPr>
          <w:iCs/>
          <w:i/>
        </w:rPr>
        <w:t xml:space="preserve">sahaso yahum</w:t>
      </w:r>
      <w:r>
        <w:t xml:space="preserve">:</w:t>
      </w:r>
    </w:p>
    <w:p>
      <w:pPr>
        <w:pStyle w:val="BlockText"/>
      </w:pPr>
      <w:r>
        <w:t xml:space="preserve">द्र्वन्नः सर्पिरासुतिः प्रत्नो होता वरेण्यः ।</w:t>
      </w:r>
      <w:r>
        <w:t xml:space="preserve"> </w:t>
      </w:r>
      <w:r>
        <w:t xml:space="preserve">सहसस्पुत्रो अद्भुतः ॥</w:t>
      </w:r>
    </w:p>
    <w:p>
      <w:pPr>
        <w:pStyle w:val="BlockText"/>
      </w:pPr>
      <w:r>
        <w:rPr>
          <w:iCs/>
          <w:i/>
        </w:rPr>
        <w:t xml:space="preserve">drvannaḥ sarpirāsutiḥ pratno hotā vareṇyaḥ |</w:t>
      </w:r>
      <w:r>
        <w:t xml:space="preserve"> </w:t>
      </w:r>
      <w:r>
        <w:rPr>
          <w:iCs/>
          <w:i/>
        </w:rPr>
        <w:t xml:space="preserve">sahasasputro adbhutaḥ ||</w:t>
      </w:r>
    </w:p>
    <w:p>
      <w:pPr>
        <w:pStyle w:val="FirstParagraph"/>
      </w:pPr>
      <w:r>
        <w:rPr>
          <w:iCs/>
          <w:i/>
        </w:rPr>
        <w:t xml:space="preserve">(Ṛ. Saṃ.</w:t>
      </w:r>
      <w:r>
        <w:rPr>
          <w:iCs/>
          <w:i/>
        </w:rPr>
        <w:t xml:space="preserve"> </w:t>
      </w:r>
      <w:r>
        <w:rPr>
          <w:iCs/>
          <w:i/>
        </w:rPr>
        <w:t xml:space="preserve">“</w:t>
      </w:r>
      <w:r>
        <w:rPr>
          <w:iCs/>
          <w:i/>
        </w:rPr>
        <w:t xml:space="preserve">2-7-6</w:t>
      </w:r>
      <w:r>
        <w:rPr>
          <w:iCs/>
          <w:i/>
        </w:rPr>
        <w:t xml:space="preserve">”</w:t>
      </w:r>
      <w:r>
        <w:rPr>
          <w:iCs/>
          <w:i/>
        </w:rPr>
        <w:t xml:space="preserve"> </w:t>
      </w:r>
      <w:r>
        <w:rPr>
          <w:iCs/>
          <w:i/>
        </w:rPr>
        <w:t xml:space="preserve">[?]; the print reads द्र्वन्नः for the first word.)</w:t>
      </w:r>
      <w:r>
        <w:t xml:space="preserve"> </w:t>
      </w:r>
      <w:r>
        <w:rPr>
          <w:iCs/>
          <w:i/>
        </w:rPr>
        <w:t xml:space="preserve">(</w:t>
      </w:r>
      <w:r>
        <w:rPr>
          <w:iCs/>
          <w:i/>
        </w:rPr>
        <w:t xml:space="preserve">“</w:t>
      </w:r>
      <w:r>
        <w:rPr>
          <w:iCs/>
          <w:i/>
        </w:rPr>
        <w:t xml:space="preserve">Eating wood, receiving ghee as his libation, the ancient Hotṛ, choice-worthy, the son of strength, the wonderful</w:t>
      </w:r>
      <w:r>
        <w:rPr>
          <w:iCs/>
          <w:i/>
        </w:rPr>
        <w:t xml:space="preserve">”</w:t>
      </w:r>
      <w:r>
        <w:rPr>
          <w:iCs/>
          <w:i/>
        </w:rPr>
        <w:t xml:space="preserve"> </w:t>
      </w:r>
      <w:r>
        <w:rPr>
          <w:iCs/>
          <w:i/>
        </w:rPr>
        <w:t xml:space="preserve">— mine and tentative.)</w:t>
      </w:r>
    </w:p>
    <w:bookmarkEnd w:id="707"/>
    <w:bookmarkStart w:id="708" w:name="X2281637f9bbbbd62cafeb71553a3aabbea09a73"/>
    <w:p>
      <w:pPr>
        <w:pStyle w:val="Heading3"/>
      </w:pPr>
      <w:r>
        <w:t xml:space="preserve">Page 654 — Rik 7: Special Topics (end) and grammar</w:t>
      </w:r>
    </w:p>
    <w:p>
      <w:pPr>
        <w:pStyle w:val="BlockText"/>
      </w:pPr>
      <w:r>
        <w:t xml:space="preserve">त्वं ह यद्यविष्ठ्य सहसः सूनवाहुतः ।</w:t>
      </w:r>
      <w:r>
        <w:t xml:space="preserve"> </w:t>
      </w:r>
      <w:r>
        <w:t xml:space="preserve">ऋतावा यज्ञियो भुवः ॥</w:t>
      </w:r>
    </w:p>
    <w:p>
      <w:pPr>
        <w:pStyle w:val="BlockText"/>
      </w:pPr>
      <w:r>
        <w:rPr>
          <w:iCs/>
          <w:i/>
        </w:rPr>
        <w:t xml:space="preserve">tvaṃ ha yadyaviṣṭhya sahasaḥ sūnavāhutaḥ |</w:t>
      </w:r>
      <w:r>
        <w:t xml:space="preserve"> </w:t>
      </w:r>
      <w:r>
        <w:rPr>
          <w:iCs/>
          <w:i/>
        </w:rPr>
        <w:t xml:space="preserve">ṛtāvā yajñiyo bhuvaḥ ||</w:t>
      </w:r>
    </w:p>
    <w:p>
      <w:pPr>
        <w:pStyle w:val="FirstParagraph"/>
      </w:pPr>
      <w:r>
        <w:rPr>
          <w:iCs/>
          <w:i/>
        </w:rPr>
        <w:t xml:space="preserve">(Ṛ. Saṃ.</w:t>
      </w:r>
      <w:r>
        <w:rPr>
          <w:iCs/>
          <w:i/>
        </w:rPr>
        <w:t xml:space="preserve"> </w:t>
      </w:r>
      <w:r>
        <w:rPr>
          <w:iCs/>
          <w:i/>
        </w:rPr>
        <w:t xml:space="preserve">“</w:t>
      </w:r>
      <w:r>
        <w:rPr>
          <w:iCs/>
          <w:i/>
        </w:rPr>
        <w:t xml:space="preserve">8-23-3</w:t>
      </w:r>
      <w:r>
        <w:rPr>
          <w:iCs/>
          <w:i/>
        </w:rPr>
        <w:t xml:space="preserve">”</w:t>
      </w:r>
      <w:r>
        <w:rPr>
          <w:iCs/>
          <w:i/>
        </w:rPr>
        <w:t xml:space="preserve"> </w:t>
      </w:r>
      <w:r>
        <w:rPr>
          <w:iCs/>
          <w:i/>
        </w:rPr>
        <w:t xml:space="preserve">[?]; the middle digits are small.)</w:t>
      </w:r>
      <w:r>
        <w:t xml:space="preserve"> </w:t>
      </w:r>
      <w:r>
        <w:rPr>
          <w:iCs/>
          <w:i/>
        </w:rPr>
        <w:t xml:space="preserve">(</w:t>
      </w:r>
      <w:r>
        <w:rPr>
          <w:iCs/>
          <w:i/>
        </w:rPr>
        <w:t xml:space="preserve">“</w:t>
      </w:r>
      <w:r>
        <w:rPr>
          <w:iCs/>
          <w:i/>
        </w:rPr>
        <w:t xml:space="preserve">When you, youngest, son of strength, are offered to, you become true to order and worthy of worship</w:t>
      </w:r>
      <w:r>
        <w:rPr>
          <w:iCs/>
          <w:i/>
        </w:rPr>
        <w:t xml:space="preserve">”</w:t>
      </w:r>
      <w:r>
        <w:rPr>
          <w:iCs/>
          <w:i/>
        </w:rPr>
        <w:t xml:space="preserve"> </w:t>
      </w:r>
      <w:r>
        <w:rPr>
          <w:iCs/>
          <w:i/>
        </w:rPr>
        <w:t xml:space="preserve">— mine and tentative.)</w:t>
      </w:r>
    </w:p>
    <w:p>
      <w:pPr>
        <w:pStyle w:val="BlockText"/>
      </w:pPr>
      <w:r>
        <w:t xml:space="preserve">अग्ने वाजस्य गोमत ईशानः सहसो यहो ।</w:t>
      </w:r>
      <w:r>
        <w:t xml:space="preserve"> </w:t>
      </w:r>
      <w:r>
        <w:t xml:space="preserve">अस्मे धेहि जातवेदो महि श्रवः ॥</w:t>
      </w:r>
    </w:p>
    <w:p>
      <w:pPr>
        <w:pStyle w:val="BlockText"/>
      </w:pPr>
      <w:r>
        <w:rPr>
          <w:iCs/>
          <w:i/>
        </w:rPr>
        <w:t xml:space="preserve">agne vājasya gomata īśānaḥ sahaso yaho |</w:t>
      </w:r>
      <w:r>
        <w:t xml:space="preserve"> </w:t>
      </w:r>
      <w:r>
        <w:rPr>
          <w:iCs/>
          <w:i/>
        </w:rPr>
        <w:t xml:space="preserve">asme dhehi jātavedo mahi śravaḥ ||</w:t>
      </w:r>
    </w:p>
    <w:p>
      <w:pPr>
        <w:pStyle w:val="FirstParagraph"/>
      </w:pPr>
      <w:r>
        <w:rPr>
          <w:iCs/>
          <w:i/>
        </w:rPr>
        <w:t xml:space="preserve">(Ṛ. Saṃ. 1-79-4.)</w:t>
      </w:r>
      <w:r>
        <w:t xml:space="preserve"> </w:t>
      </w:r>
      <w:r>
        <w:rPr>
          <w:iCs/>
          <w:i/>
        </w:rPr>
        <w:t xml:space="preserve">(</w:t>
      </w:r>
      <w:r>
        <w:rPr>
          <w:iCs/>
          <w:i/>
        </w:rPr>
        <w:t xml:space="preserve">“</w:t>
      </w:r>
      <w:r>
        <w:rPr>
          <w:iCs/>
          <w:i/>
        </w:rPr>
        <w:t xml:space="preserve">O Agni, lord of strength rich in cattle, son of strength, give us great fame, O Jātavedas</w:t>
      </w:r>
      <w:r>
        <w:rPr>
          <w:iCs/>
          <w:i/>
        </w:rPr>
        <w:t xml:space="preserve">”</w:t>
      </w:r>
      <w:r>
        <w:rPr>
          <w:iCs/>
          <w:i/>
        </w:rPr>
        <w:t xml:space="preserve"> </w:t>
      </w:r>
      <w:r>
        <w:rPr>
          <w:iCs/>
          <w:i/>
        </w:rPr>
        <w:t xml:space="preserve">— mine and tentative.)</w:t>
      </w:r>
    </w:p>
    <w:p>
      <w:pPr>
        <w:pStyle w:val="BodyText"/>
      </w:pPr>
      <w:r>
        <w:t xml:space="preserve">In these Ṛks the words</w:t>
      </w:r>
      <w:r>
        <w:t xml:space="preserve"> </w:t>
      </w:r>
      <w:r>
        <w:rPr>
          <w:iCs/>
          <w:i/>
        </w:rPr>
        <w:t xml:space="preserve">sahasas putra</w:t>
      </w:r>
      <w:r>
        <w:t xml:space="preserve">,</w:t>
      </w:r>
      <w:r>
        <w:t xml:space="preserve"> </w:t>
      </w:r>
      <w:r>
        <w:rPr>
          <w:iCs/>
          <w:i/>
        </w:rPr>
        <w:t xml:space="preserve">sahasaḥ sūnu</w:t>
      </w:r>
      <w:r>
        <w:t xml:space="preserve"> </w:t>
      </w:r>
      <w:r>
        <w:t xml:space="preserve">and</w:t>
      </w:r>
      <w:r>
        <w:t xml:space="preserve"> </w:t>
      </w:r>
      <w:r>
        <w:rPr>
          <w:iCs/>
          <w:i/>
        </w:rPr>
        <w:t xml:space="preserve">sahaso yahu</w:t>
      </w:r>
      <w:r>
        <w:t xml:space="preserve"> </w:t>
      </w:r>
      <w:r>
        <w:t xml:space="preserve">are used in turn in praising Agni. So, though other deities too give strength and wealth, it is Agni above all who is set forth by the word</w:t>
      </w:r>
      <w:r>
        <w:t xml:space="preserve"> </w:t>
      </w:r>
      <w:r>
        <w:rPr>
          <w:iCs/>
          <w:i/>
        </w:rPr>
        <w:t xml:space="preserve">draviṇodāḥ</w:t>
      </w:r>
      <w:r>
        <w:t xml:space="preserve">.</w:t>
      </w:r>
    </w:p>
    <w:p>
      <w:pPr>
        <w:pStyle w:val="BodyText"/>
      </w:pPr>
      <w:r>
        <w:rPr>
          <w:bCs/>
          <w:b/>
        </w:rPr>
        <w:t xml:space="preserve">Grāvahastāsaḥ</w:t>
      </w:r>
      <w:r>
        <w:t xml:space="preserve">: those who hold stones in their hands to crush the soma creeper.</w:t>
      </w:r>
    </w:p>
    <w:p>
      <w:pPr>
        <w:pStyle w:val="BodyText"/>
      </w:pPr>
      <w:r>
        <w:rPr>
          <w:bCs/>
          <w:b/>
        </w:rPr>
        <w:t xml:space="preserve">Adhvare, yajñeṣu</w:t>
      </w:r>
      <w:r>
        <w:t xml:space="preserve">: though the words</w:t>
      </w:r>
      <w:r>
        <w:t xml:space="preserve"> </w:t>
      </w:r>
      <w:r>
        <w:rPr>
          <w:iCs/>
          <w:i/>
        </w:rPr>
        <w:t xml:space="preserve">adhvara</w:t>
      </w:r>
      <w:r>
        <w:t xml:space="preserve"> </w:t>
      </w:r>
      <w:r>
        <w:t xml:space="preserve">and</w:t>
      </w:r>
      <w:r>
        <w:t xml:space="preserve"> </w:t>
      </w:r>
      <w:r>
        <w:rPr>
          <w:iCs/>
          <w:i/>
        </w:rPr>
        <w:t xml:space="preserve">yajña</w:t>
      </w:r>
      <w:r>
        <w:t xml:space="preserve"> </w:t>
      </w:r>
      <w:r>
        <w:t xml:space="preserve">generally denote the same thing, sacrifice, here the Bhāṣyakāra, fearing the fault of repetition, gives</w:t>
      </w:r>
      <w:r>
        <w:t xml:space="preserve"> </w:t>
      </w:r>
      <w:r>
        <w:rPr>
          <w:iCs/>
          <w:i/>
        </w:rPr>
        <w:t xml:space="preserve">adhvara</w:t>
      </w:r>
      <w:r>
        <w:t xml:space="preserve"> </w:t>
      </w:r>
      <w:r>
        <w:t xml:space="preserve">the sense of the Agniṣṭoma in its model form and</w:t>
      </w:r>
      <w:r>
        <w:t xml:space="preserve"> </w:t>
      </w:r>
      <w:r>
        <w:rPr>
          <w:iCs/>
          <w:i/>
        </w:rPr>
        <w:t xml:space="preserve">yajña</w:t>
      </w:r>
      <w:r>
        <w:t xml:space="preserve"> </w:t>
      </w:r>
      <w:r>
        <w:t xml:space="preserve">the sense of the particular sacrifices such as the Ukthya in their modified forms. The model (</w:t>
      </w:r>
      <w:r>
        <w:rPr>
          <w:iCs/>
          <w:i/>
        </w:rPr>
        <w:t xml:space="preserve">prakṛti</w:t>
      </w:r>
      <w:r>
        <w:t xml:space="preserve">) is the basic sacrificial rite that contains the procedures common to all sacrifices. The modification (</w:t>
      </w:r>
      <w:r>
        <w:rPr>
          <w:iCs/>
          <w:i/>
        </w:rPr>
        <w:t xml:space="preserve">vikṛti</w:t>
      </w:r>
      <w:r>
        <w:t xml:space="preserve">) is a sacrificial rite carried out with some changes here and there as the occasion requires; that is, in a modified sacrifice all the acts are as in the model sacrifice, with a slight difference in only one or two matters. We have explained the model and modified sacrifices earlier.</w:t>
      </w:r>
    </w:p>
    <w:p>
      <w:pPr>
        <w:pStyle w:val="BodyText"/>
      </w:pPr>
      <w:r>
        <w:rPr>
          <w:bCs/>
          <w:b/>
        </w:rPr>
        <w:t xml:space="preserve">॥ Vyākaraṇa-prakriyā ॥</w:t>
      </w:r>
      <w:r>
        <w:t xml:space="preserve"> </w:t>
      </w:r>
      <w:r>
        <w:rPr>
          <w:iCs/>
          <w:i/>
        </w:rPr>
        <w:t xml:space="preserve">(grammar pages 654–656, noted briefly)</w:t>
      </w:r>
    </w:p>
    <w:p>
      <w:pPr>
        <w:pStyle w:val="BodyText"/>
      </w:pPr>
      <w:r>
        <w:rPr>
          <w:bCs/>
          <w:b/>
        </w:rPr>
        <w:t xml:space="preserve">द्रविणोदाः (</w:t>
      </w:r>
      <w:r>
        <w:rPr>
          <w:iCs/>
          <w:i/>
          <w:bCs/>
          <w:b/>
        </w:rPr>
        <w:t xml:space="preserve">draviṇodāḥ</w:t>
      </w:r>
      <w:r>
        <w:rPr>
          <w:bCs/>
          <w:b/>
        </w:rPr>
        <w:t xml:space="preserve">)</w:t>
      </w:r>
      <w:r>
        <w:t xml:space="preserve">:</w:t>
      </w:r>
      <w:r>
        <w:t xml:space="preserve"> </w:t>
      </w:r>
      <w:r>
        <w:t xml:space="preserve">“</w:t>
      </w:r>
      <w:r>
        <w:t xml:space="preserve">drudakṣibhyām inan</w:t>
      </w:r>
      <w:r>
        <w:t xml:space="preserve">”</w:t>
      </w:r>
      <w:r>
        <w:t xml:space="preserve"> </w:t>
      </w:r>
      <w:r>
        <w:t xml:space="preserve">(Uṇ. sū.</w:t>
      </w:r>
      <w:r>
        <w:t xml:space="preserve"> </w:t>
      </w:r>
      <w:r>
        <w:t xml:space="preserve">“</w:t>
      </w:r>
      <w:r>
        <w:t xml:space="preserve">2-50</w:t>
      </w:r>
      <w:r>
        <w:t xml:space="preserve">”</w:t>
      </w:r>
      <w:r>
        <w:t xml:space="preserve"> </w:t>
      </w:r>
      <w:r>
        <w:t xml:space="preserve">[?];</w:t>
      </w:r>
      <w:r>
        <w:t xml:space="preserve"> </w:t>
      </w:r>
      <w:r>
        <w:rPr>
          <w:iCs/>
          <w:i/>
        </w:rPr>
        <w:t xml:space="preserve">dru gatau</w:t>
      </w:r>
      <w:r>
        <w:t xml:space="preserve">,</w:t>
      </w:r>
      <w:r>
        <w:t xml:space="preserve"> </w:t>
      </w:r>
      <w:r>
        <w:rPr>
          <w:iCs/>
          <w:i/>
        </w:rPr>
        <w:t xml:space="preserve">dakṣa vṛddhau</w:t>
      </w:r>
      <w:r>
        <w:t xml:space="preserve">): after these roots the suffix</w:t>
      </w:r>
      <w:r>
        <w:t xml:space="preserve"> </w:t>
      </w:r>
      <w:r>
        <w:rPr>
          <w:iCs/>
          <w:i/>
        </w:rPr>
        <w:t xml:space="preserve">inan</w:t>
      </w:r>
      <w:r>
        <w:t xml:space="preserve">; with</w:t>
      </w:r>
      <w:r>
        <w:t xml:space="preserve"> </w:t>
      </w:r>
      <w:r>
        <w:rPr>
          <w:iCs/>
          <w:i/>
        </w:rPr>
        <w:t xml:space="preserve">inan</w:t>
      </w:r>
      <w:r>
        <w:t xml:space="preserve"> </w:t>
      </w:r>
      <w:r>
        <w:t xml:space="preserve">after</w:t>
      </w:r>
      <w:r>
        <w:t xml:space="preserve"> </w:t>
      </w:r>
      <w:r>
        <w:rPr>
          <w:iCs/>
          <w:i/>
        </w:rPr>
        <w:t xml:space="preserve">dru</w:t>
      </w:r>
      <w:r>
        <w:t xml:space="preserve">:</w:t>
      </w:r>
      <w:r>
        <w:t xml:space="preserve"> </w:t>
      </w:r>
      <w:r>
        <w:rPr>
          <w:iCs/>
          <w:i/>
        </w:rPr>
        <w:t xml:space="preserve">dru</w:t>
      </w:r>
      <w:r>
        <w:t xml:space="preserve"> </w:t>
      </w:r>
      <w:r>
        <w:t xml:space="preserve">+</w:t>
      </w:r>
      <w:r>
        <w:t xml:space="preserve"> </w:t>
      </w:r>
      <w:r>
        <w:rPr>
          <w:iCs/>
          <w:i/>
        </w:rPr>
        <w:t xml:space="preserve">ina</w:t>
      </w:r>
      <w:r>
        <w:t xml:space="preserve">;</w:t>
      </w:r>
      <w:r>
        <w:t xml:space="preserve"> </w:t>
      </w:r>
      <w:r>
        <w:rPr>
          <w:iCs/>
          <w:i/>
        </w:rPr>
        <w:t xml:space="preserve">guṇa</w:t>
      </w:r>
      <w:r>
        <w:t xml:space="preserve"> </w:t>
      </w:r>
      <w:r>
        <w:t xml:space="preserve">by</w:t>
      </w:r>
      <w:r>
        <w:t xml:space="preserve"> </w:t>
      </w:r>
      <w:r>
        <w:t xml:space="preserve">“</w:t>
      </w:r>
      <w:r>
        <w:t xml:space="preserve">sārvadhātukārdhadhātukayoḥ</w:t>
      </w:r>
      <w:r>
        <w:t xml:space="preserve">”</w:t>
      </w:r>
      <w:r>
        <w:t xml:space="preserve"> </w:t>
      </w:r>
      <w:r>
        <w:t xml:space="preserve">(Pā. sū. 7-3-84),</w:t>
      </w:r>
      <w:r>
        <w:t xml:space="preserve"> </w:t>
      </w:r>
      <w:r>
        <w:rPr>
          <w:iCs/>
          <w:i/>
        </w:rPr>
        <w:t xml:space="preserve">o</w:t>
      </w:r>
      <w:r>
        <w:t xml:space="preserve"> </w:t>
      </w:r>
      <w:r>
        <w:t xml:space="preserve">for the</w:t>
      </w:r>
      <w:r>
        <w:t xml:space="preserve"> </w:t>
      </w:r>
      <w:r>
        <w:rPr>
          <w:iCs/>
          <w:i/>
        </w:rPr>
        <w:t xml:space="preserve">u</w:t>
      </w:r>
      <w:r>
        <w:t xml:space="preserve">;</w:t>
      </w:r>
      <w:r>
        <w:t xml:space="preserve"> </w:t>
      </w:r>
      <w:r>
        <w:rPr>
          <w:iCs/>
          <w:i/>
        </w:rPr>
        <w:t xml:space="preserve">av</w:t>
      </w:r>
      <w:r>
        <w:t xml:space="preserve"> </w:t>
      </w:r>
      <w:r>
        <w:t xml:space="preserve">for the</w:t>
      </w:r>
      <w:r>
        <w:t xml:space="preserve"> </w:t>
      </w:r>
      <w:r>
        <w:rPr>
          <w:iCs/>
          <w:i/>
        </w:rPr>
        <w:t xml:space="preserve">o</w:t>
      </w:r>
      <w:r>
        <w:t xml:space="preserve"> </w:t>
      </w:r>
      <w:r>
        <w:t xml:space="preserve">by</w:t>
      </w:r>
      <w:r>
        <w:t xml:space="preserve"> </w:t>
      </w:r>
      <w:r>
        <w:t xml:space="preserve">“</w:t>
      </w:r>
      <w:r>
        <w:t xml:space="preserve">eco ’yavāyāvaḥ</w:t>
      </w:r>
      <w:r>
        <w:t xml:space="preserve">”</w:t>
      </w:r>
      <w:r>
        <w:t xml:space="preserve"> </w:t>
      </w:r>
      <w:r>
        <w:t xml:space="preserve">(Pā. sū. 6-1-78):</w:t>
      </w:r>
      <w:r>
        <w:t xml:space="preserve"> </w:t>
      </w:r>
      <w:r>
        <w:rPr>
          <w:iCs/>
          <w:i/>
        </w:rPr>
        <w:t xml:space="preserve">dravina</w:t>
      </w:r>
      <w:r>
        <w:t xml:space="preserve">;</w:t>
      </w:r>
      <w:r>
        <w:t xml:space="preserve"> </w:t>
      </w:r>
      <w:r>
        <w:rPr>
          <w:iCs/>
          <w:i/>
        </w:rPr>
        <w:t xml:space="preserve">ṇ</w:t>
      </w:r>
      <w:r>
        <w:t xml:space="preserve"> </w:t>
      </w:r>
      <w:r>
        <w:t xml:space="preserve">for the</w:t>
      </w:r>
      <w:r>
        <w:t xml:space="preserve"> </w:t>
      </w:r>
      <w:r>
        <w:rPr>
          <w:iCs/>
          <w:i/>
        </w:rPr>
        <w:t xml:space="preserve">n</w:t>
      </w:r>
      <w:r>
        <w:t xml:space="preserve"> </w:t>
      </w:r>
      <w:r>
        <w:t xml:space="preserve">by</w:t>
      </w:r>
      <w:r>
        <w:t xml:space="preserve"> </w:t>
      </w:r>
      <w:r>
        <w:t xml:space="preserve">“</w:t>
      </w:r>
      <w:r>
        <w:t xml:space="preserve">aṭkupvāṅnumvyavāye ’pi</w:t>
      </w:r>
      <w:r>
        <w:t xml:space="preserve">”</w:t>
      </w:r>
      <w:r>
        <w:t xml:space="preserve"> </w:t>
      </w:r>
      <w:r>
        <w:t xml:space="preserve">(Pā. sū. 8-4-2):</w:t>
      </w:r>
      <w:r>
        <w:t xml:space="preserve"> </w:t>
      </w:r>
      <w:r>
        <w:rPr>
          <w:iCs/>
          <w:i/>
        </w:rPr>
        <w:t xml:space="preserve">draviṇa</w:t>
      </w:r>
      <w:r>
        <w:t xml:space="preserve">.</w:t>
      </w:r>
      <w:r>
        <w:t xml:space="preserve"> </w:t>
      </w:r>
      <w:r>
        <w:rPr>
          <w:iCs/>
          <w:i/>
        </w:rPr>
        <w:t xml:space="preserve">Draviṇaṃ dadāti iti draviṇodāḥ</w:t>
      </w:r>
      <w:r>
        <w:t xml:space="preserve">: with the</w:t>
      </w:r>
      <w:r>
        <w:t xml:space="preserve"> </w:t>
      </w:r>
      <w:r>
        <w:rPr>
          <w:iCs/>
          <w:i/>
        </w:rPr>
        <w:t xml:space="preserve">subanta</w:t>
      </w:r>
      <w:r>
        <w:t xml:space="preserve"> </w:t>
      </w:r>
      <w:r>
        <w:rPr>
          <w:iCs/>
          <w:i/>
        </w:rPr>
        <w:t xml:space="preserve">draviṇam</w:t>
      </w:r>
      <w:r>
        <w:t xml:space="preserve"> </w:t>
      </w:r>
      <w:r>
        <w:t xml:space="preserve">as</w:t>
      </w:r>
      <w:r>
        <w:t xml:space="preserve"> </w:t>
      </w:r>
      <w:r>
        <w:rPr>
          <w:iCs/>
          <w:i/>
        </w:rPr>
        <w:t xml:space="preserve">upapada</w:t>
      </w:r>
      <w:r>
        <w:t xml:space="preserve">,</w:t>
      </w:r>
      <w:r>
        <w:t xml:space="preserve"> </w:t>
      </w:r>
      <w:r>
        <w:rPr>
          <w:iCs/>
          <w:i/>
        </w:rPr>
        <w:t xml:space="preserve">kvip</w:t>
      </w:r>
      <w:r>
        <w:t xml:space="preserve"> </w:t>
      </w:r>
      <w:r>
        <w:t xml:space="preserve">after</w:t>
      </w:r>
      <w:r>
        <w:t xml:space="preserve"> </w:t>
      </w:r>
      <w:r>
        <w:rPr>
          <w:iCs/>
          <w:i/>
        </w:rPr>
        <w:t xml:space="preserve">dā</w:t>
      </w:r>
      <w:r>
        <w:t xml:space="preserve"> </w:t>
      </w:r>
      <w:r>
        <w:t xml:space="preserve">by</w:t>
      </w:r>
      <w:r>
        <w:t xml:space="preserve"> </w:t>
      </w:r>
      <w:r>
        <w:t xml:space="preserve">“</w:t>
      </w:r>
      <w:r>
        <w:t xml:space="preserve">kvip ca</w:t>
      </w:r>
      <w:r>
        <w:t xml:space="preserve">”</w:t>
      </w:r>
      <w:r>
        <w:t xml:space="preserve"> </w:t>
      </w:r>
      <w:r>
        <w:t xml:space="preserve">(Pā. sū. 3-2-76);</w:t>
      </w:r>
      <w:r>
        <w:t xml:space="preserve"> </w:t>
      </w:r>
      <w:r>
        <w:rPr>
          <w:iCs/>
          <w:i/>
        </w:rPr>
        <w:t xml:space="preserve">kvip</w:t>
      </w:r>
      <w:r>
        <w:t xml:space="preserve"> </w:t>
      </w:r>
      <w:r>
        <w:t xml:space="preserve">drops; a</w:t>
      </w:r>
      <w:r>
        <w:t xml:space="preserve"> </w:t>
      </w:r>
      <w:r>
        <w:rPr>
          <w:iCs/>
          <w:i/>
        </w:rPr>
        <w:t xml:space="preserve">prātipadika</w:t>
      </w:r>
      <w:r>
        <w:t xml:space="preserve"> </w:t>
      </w:r>
      <w:r>
        <w:t xml:space="preserve">by</w:t>
      </w:r>
      <w:r>
        <w:t xml:space="preserve"> </w:t>
      </w:r>
      <w:r>
        <w:t xml:space="preserve">“</w:t>
      </w:r>
      <w:r>
        <w:t xml:space="preserve">kṛttaddhitasamāsāś ca</w:t>
      </w:r>
      <w:r>
        <w:t xml:space="preserve">”</w:t>
      </w:r>
      <w:r>
        <w:t xml:space="preserve"> </w:t>
      </w:r>
      <w:r>
        <w:t xml:space="preserve">(Pā. sū. 1-2-46); the</w:t>
      </w:r>
      <w:r>
        <w:t xml:space="preserve"> </w:t>
      </w:r>
      <w:r>
        <w:rPr>
          <w:iCs/>
          <w:i/>
        </w:rPr>
        <w:t xml:space="preserve">am</w:t>
      </w:r>
      <w:r>
        <w:t xml:space="preserve"> </w:t>
      </w:r>
      <w:r>
        <w:t xml:space="preserve">dropped by</w:t>
      </w:r>
      <w:r>
        <w:t xml:space="preserve"> </w:t>
      </w:r>
      <w:r>
        <w:t xml:space="preserve">“</w:t>
      </w:r>
      <w:r>
        <w:t xml:space="preserve">supo dhātuprātipadikayoḥ</w:t>
      </w:r>
      <w:r>
        <w:t xml:space="preserve">”</w:t>
      </w:r>
      <w:r>
        <w:t xml:space="preserve"> </w:t>
      </w:r>
      <w:r>
        <w:t xml:space="preserve">(Pā. sū. 2-4-71); the first member, as a Vedic form,</w:t>
      </w:r>
    </w:p>
    <w:bookmarkEnd w:id="708"/>
    <w:bookmarkStart w:id="709" w:name="page-655-rik-7-grammar-continued"/>
    <w:p>
      <w:pPr>
        <w:pStyle w:val="Heading3"/>
      </w:pPr>
      <w:r>
        <w:t xml:space="preserve">Page 655 — Rik 7: grammar (continued)</w:t>
      </w:r>
    </w:p>
    <w:p>
      <w:pPr>
        <w:pStyle w:val="FirstParagraph"/>
      </w:pPr>
      <w:r>
        <w:t xml:space="preserve">takes the augment</w:t>
      </w:r>
      <w:r>
        <w:t xml:space="preserve"> </w:t>
      </w:r>
      <w:r>
        <w:rPr>
          <w:iCs/>
          <w:i/>
        </w:rPr>
        <w:t xml:space="preserve">suk</w:t>
      </w:r>
      <w:r>
        <w:t xml:space="preserve">, joining an</w:t>
      </w:r>
      <w:r>
        <w:t xml:space="preserve"> </w:t>
      </w:r>
      <w:r>
        <w:rPr>
          <w:iCs/>
          <w:i/>
        </w:rPr>
        <w:t xml:space="preserve">s</w:t>
      </w:r>
      <w:r>
        <w:t xml:space="preserve">:</w:t>
      </w:r>
      <w:r>
        <w:t xml:space="preserve"> </w:t>
      </w:r>
      <w:r>
        <w:rPr>
          <w:iCs/>
          <w:i/>
        </w:rPr>
        <w:t xml:space="preserve">draviṇas</w:t>
      </w:r>
      <w:r>
        <w:t xml:space="preserve"> </w:t>
      </w:r>
      <w:r>
        <w:t xml:space="preserve">+</w:t>
      </w:r>
      <w:r>
        <w:t xml:space="preserve"> </w:t>
      </w:r>
      <w:r>
        <w:rPr>
          <w:iCs/>
          <w:i/>
        </w:rPr>
        <w:t xml:space="preserve">dā</w:t>
      </w:r>
      <w:r>
        <w:t xml:space="preserve">;</w:t>
      </w:r>
      <w:r>
        <w:t xml:space="preserve"> </w:t>
      </w:r>
      <w:r>
        <w:rPr>
          <w:iCs/>
          <w:i/>
        </w:rPr>
        <w:t xml:space="preserve">ru</w:t>
      </w:r>
      <w:r>
        <w:t xml:space="preserve"> </w:t>
      </w:r>
      <w:r>
        <w:t xml:space="preserve">for the</w:t>
      </w:r>
      <w:r>
        <w:t xml:space="preserve"> </w:t>
      </w:r>
      <w:r>
        <w:rPr>
          <w:iCs/>
          <w:i/>
        </w:rPr>
        <w:t xml:space="preserve">s</w:t>
      </w:r>
      <w:r>
        <w:t xml:space="preserve"> </w:t>
      </w:r>
      <w:r>
        <w:t xml:space="preserve">by</w:t>
      </w:r>
      <w:r>
        <w:t xml:space="preserve"> </w:t>
      </w:r>
      <w:r>
        <w:t xml:space="preserve">“</w:t>
      </w:r>
      <w:r>
        <w:t xml:space="preserve">sasajuṣo ruḥ</w:t>
      </w:r>
      <w:r>
        <w:t xml:space="preserve">”</w:t>
      </w:r>
      <w:r>
        <w:t xml:space="preserve"> </w:t>
      </w:r>
      <w:r>
        <w:t xml:space="preserve">(Pā. sū. 8-2-66):</w:t>
      </w:r>
      <w:r>
        <w:t xml:space="preserve"> </w:t>
      </w:r>
      <w:r>
        <w:rPr>
          <w:iCs/>
          <w:i/>
        </w:rPr>
        <w:t xml:space="preserve">draviṇar</w:t>
      </w:r>
      <w:r>
        <w:t xml:space="preserve"> </w:t>
      </w:r>
      <w:r>
        <w:t xml:space="preserve">+</w:t>
      </w:r>
      <w:r>
        <w:t xml:space="preserve"> </w:t>
      </w:r>
      <w:r>
        <w:rPr>
          <w:iCs/>
          <w:i/>
        </w:rPr>
        <w:t xml:space="preserve">dā</w:t>
      </w:r>
      <w:r>
        <w:t xml:space="preserve">;</w:t>
      </w:r>
      <w:r>
        <w:t xml:space="preserve"> </w:t>
      </w:r>
      <w:r>
        <w:rPr>
          <w:iCs/>
          <w:i/>
        </w:rPr>
        <w:t xml:space="preserve">u</w:t>
      </w:r>
      <w:r>
        <w:t xml:space="preserve"> </w:t>
      </w:r>
      <w:r>
        <w:t xml:space="preserve">for the</w:t>
      </w:r>
      <w:r>
        <w:t xml:space="preserve"> </w:t>
      </w:r>
      <w:r>
        <w:rPr>
          <w:iCs/>
          <w:i/>
        </w:rPr>
        <w:t xml:space="preserve">ru</w:t>
      </w:r>
      <w:r>
        <w:t xml:space="preserve"> </w:t>
      </w:r>
      <w:r>
        <w:t xml:space="preserve">by</w:t>
      </w:r>
      <w:r>
        <w:t xml:space="preserve"> </w:t>
      </w:r>
      <w:r>
        <w:t xml:space="preserve">“</w:t>
      </w:r>
      <w:r>
        <w:t xml:space="preserve">haśi ca</w:t>
      </w:r>
      <w:r>
        <w:t xml:space="preserve">”</w:t>
      </w:r>
      <w:r>
        <w:t xml:space="preserve"> </w:t>
      </w:r>
      <w:r>
        <w:t xml:space="preserve">(Pā. sū. 6-1-114):</w:t>
      </w:r>
      <w:r>
        <w:t xml:space="preserve"> </w:t>
      </w:r>
      <w:r>
        <w:rPr>
          <w:iCs/>
          <w:i/>
        </w:rPr>
        <w:t xml:space="preserve">draviṇa</w:t>
      </w:r>
      <w:r>
        <w:t xml:space="preserve"> </w:t>
      </w:r>
      <w:r>
        <w:t xml:space="preserve">+</w:t>
      </w:r>
      <w:r>
        <w:t xml:space="preserve"> </w:t>
      </w:r>
      <w:r>
        <w:rPr>
          <w:iCs/>
          <w:i/>
        </w:rPr>
        <w:t xml:space="preserve">u</w:t>
      </w:r>
      <w:r>
        <w:t xml:space="preserve"> </w:t>
      </w:r>
      <w:r>
        <w:t xml:space="preserve">+</w:t>
      </w:r>
      <w:r>
        <w:t xml:space="preserve"> </w:t>
      </w:r>
      <w:r>
        <w:rPr>
          <w:iCs/>
          <w:i/>
        </w:rPr>
        <w:t xml:space="preserve">dā</w:t>
      </w:r>
      <w:r>
        <w:t xml:space="preserve">;</w:t>
      </w:r>
      <w:r>
        <w:t xml:space="preserve"> </w:t>
      </w:r>
      <w:r>
        <w:rPr>
          <w:iCs/>
          <w:i/>
        </w:rPr>
        <w:t xml:space="preserve">guṇa</w:t>
      </w:r>
      <w:r>
        <w:t xml:space="preserve"> </w:t>
      </w:r>
      <w:r>
        <w:t xml:space="preserve">by</w:t>
      </w:r>
      <w:r>
        <w:t xml:space="preserve"> </w:t>
      </w:r>
      <w:r>
        <w:t xml:space="preserve">“</w:t>
      </w:r>
      <w:r>
        <w:t xml:space="preserve">ād guṇaḥ</w:t>
      </w:r>
      <w:r>
        <w:t xml:space="preserve">”</w:t>
      </w:r>
      <w:r>
        <w:t xml:space="preserve"> </w:t>
      </w:r>
      <w:r>
        <w:t xml:space="preserve">(Pā. sū. 6-1-87):</w:t>
      </w:r>
      <w:r>
        <w:t xml:space="preserve"> </w:t>
      </w:r>
      <w:r>
        <w:rPr>
          <w:iCs/>
          <w:i/>
        </w:rPr>
        <w:t xml:space="preserve">draviṇodā</w:t>
      </w:r>
      <w:r>
        <w:t xml:space="preserve">.</w:t>
      </w:r>
      <w:r>
        <w:t xml:space="preserve"> </w:t>
      </w:r>
      <w:r>
        <w:rPr>
          <w:iCs/>
          <w:i/>
        </w:rPr>
        <w:t xml:space="preserve">Dā</w:t>
      </w:r>
      <w:r>
        <w:t xml:space="preserve"> </w:t>
      </w:r>
      <w:r>
        <w:t xml:space="preserve">is final udātta by the root accent of</w:t>
      </w:r>
      <w:r>
        <w:t xml:space="preserve"> </w:t>
      </w:r>
      <w:r>
        <w:t xml:space="preserve">“</w:t>
      </w:r>
      <w:r>
        <w:t xml:space="preserve">dhātoḥ</w:t>
      </w:r>
      <w:r>
        <w:t xml:space="preserve">”</w:t>
      </w:r>
      <w:r>
        <w:t xml:space="preserve"> </w:t>
      </w:r>
      <w:r>
        <w:t xml:space="preserve">(Pā. sū. 6-1-162); after compounding, the</w:t>
      </w:r>
      <w:r>
        <w:t xml:space="preserve"> </w:t>
      </w:r>
      <w:r>
        <w:rPr>
          <w:iCs/>
          <w:i/>
        </w:rPr>
        <w:t xml:space="preserve">kṛt</w:t>
      </w:r>
      <w:r>
        <w:t xml:space="preserve"> </w:t>
      </w:r>
      <w:r>
        <w:t xml:space="preserve">second-member accent comes by</w:t>
      </w:r>
      <w:r>
        <w:t xml:space="preserve"> </w:t>
      </w:r>
      <w:r>
        <w:t xml:space="preserve">“</w:t>
      </w:r>
      <w:r>
        <w:t xml:space="preserve">gatikārakopapadāt kṛt</w:t>
      </w:r>
      <w:r>
        <w:t xml:space="preserve">”</w:t>
      </w:r>
      <w:r>
        <w:t xml:space="preserve"> </w:t>
      </w:r>
      <w:r>
        <w:t xml:space="preserve">(Pā. sū. 6-2-139) and remains.</w:t>
      </w:r>
      <w:r>
        <w:t xml:space="preserve"> </w:t>
      </w:r>
      <w:r>
        <w:rPr>
          <w:iCs/>
          <w:i/>
        </w:rPr>
        <w:t xml:space="preserve">Draviṇodāḥ</w:t>
      </w:r>
      <w:r>
        <w:t xml:space="preserve"> </w:t>
      </w:r>
      <w:r>
        <w:t xml:space="preserve">qualifies the accusative singular</w:t>
      </w:r>
      <w:r>
        <w:t xml:space="preserve"> </w:t>
      </w:r>
      <w:r>
        <w:rPr>
          <w:iCs/>
          <w:i/>
        </w:rPr>
        <w:t xml:space="preserve">devam</w:t>
      </w:r>
      <w:r>
        <w:t xml:space="preserve">; so if one sentence is meant, for the accusative</w:t>
      </w:r>
      <w:r>
        <w:t xml:space="preserve"> </w:t>
      </w:r>
      <w:r>
        <w:rPr>
          <w:iCs/>
          <w:i/>
        </w:rPr>
        <w:t xml:space="preserve">am</w:t>
      </w:r>
      <w:r>
        <w:t xml:space="preserve"> </w:t>
      </w:r>
      <w:r>
        <w:t xml:space="preserve">after</w:t>
      </w:r>
      <w:r>
        <w:t xml:space="preserve"> </w:t>
      </w:r>
      <w:r>
        <w:rPr>
          <w:iCs/>
          <w:i/>
        </w:rPr>
        <w:t xml:space="preserve">draviṇodā</w:t>
      </w:r>
      <w:r>
        <w:t xml:space="preserve"> </w:t>
      </w:r>
      <w:r>
        <w:t xml:space="preserve">the replacement</w:t>
      </w:r>
      <w:r>
        <w:t xml:space="preserve"> </w:t>
      </w:r>
      <w:r>
        <w:rPr>
          <w:iCs/>
          <w:i/>
        </w:rPr>
        <w:t xml:space="preserve">su</w:t>
      </w:r>
      <w:r>
        <w:t xml:space="preserve"> </w:t>
      </w:r>
      <w:r>
        <w:t xml:space="preserve">comes by</w:t>
      </w:r>
      <w:r>
        <w:t xml:space="preserve"> </w:t>
      </w:r>
      <w:r>
        <w:t xml:space="preserve">“</w:t>
      </w:r>
      <w:r>
        <w:t xml:space="preserve">supāṃ suluk…</w:t>
      </w:r>
      <w:r>
        <w:t xml:space="preserve">”</w:t>
      </w:r>
      <w:r>
        <w:t xml:space="preserve"> </w:t>
      </w:r>
      <w:r>
        <w:t xml:space="preserve">(Pā. sū. 7-1-39):</w:t>
      </w:r>
      <w:r>
        <w:t xml:space="preserve"> </w:t>
      </w:r>
      <w:r>
        <w:rPr>
          <w:iCs/>
          <w:i/>
        </w:rPr>
        <w:t xml:space="preserve">draviṇodās</w:t>
      </w:r>
      <w:r>
        <w:t xml:space="preserve">,</w:t>
      </w:r>
      <w:r>
        <w:t xml:space="preserve"> </w:t>
      </w:r>
      <w:r>
        <w:rPr>
          <w:iCs/>
          <w:i/>
        </w:rPr>
        <w:t xml:space="preserve">ru</w:t>
      </w:r>
      <w:r>
        <w:t xml:space="preserve">, visarga:</w:t>
      </w:r>
      <w:r>
        <w:t xml:space="preserve"> </w:t>
      </w:r>
      <w:r>
        <w:rPr>
          <w:iCs/>
          <w:i/>
        </w:rPr>
        <w:t xml:space="preserve">draviṇodāḥ</w:t>
      </w:r>
      <w:r>
        <w:t xml:space="preserve">. Or, with the analysis</w:t>
      </w:r>
      <w:r>
        <w:t xml:space="preserve"> </w:t>
      </w:r>
      <w:r>
        <w:rPr>
          <w:iCs/>
          <w:i/>
        </w:rPr>
        <w:t xml:space="preserve">draviṇam ātmanaḥ icchanti</w:t>
      </w:r>
      <w:r>
        <w:t xml:space="preserve">, it becomes</w:t>
      </w:r>
      <w:r>
        <w:t xml:space="preserve"> </w:t>
      </w:r>
      <w:r>
        <w:rPr>
          <w:iCs/>
          <w:i/>
        </w:rPr>
        <w:t xml:space="preserve">draviṇasyanti</w:t>
      </w:r>
      <w:r>
        <w:t xml:space="preserve">: in this case</w:t>
      </w:r>
      <w:r>
        <w:t xml:space="preserve"> </w:t>
      </w:r>
      <w:r>
        <w:rPr>
          <w:iCs/>
          <w:i/>
        </w:rPr>
        <w:t xml:space="preserve">kyac</w:t>
      </w:r>
      <w:r>
        <w:t xml:space="preserve"> </w:t>
      </w:r>
      <w:r>
        <w:t xml:space="preserve">by</w:t>
      </w:r>
      <w:r>
        <w:t xml:space="preserve"> </w:t>
      </w:r>
      <w:r>
        <w:t xml:space="preserve">“</w:t>
      </w:r>
      <w:r>
        <w:t xml:space="preserve">supa ātmanaḥ kyac</w:t>
      </w:r>
      <w:r>
        <w:t xml:space="preserve">”</w:t>
      </w:r>
      <w:r>
        <w:t xml:space="preserve"> </w:t>
      </w:r>
      <w:r>
        <w:t xml:space="preserve">after</w:t>
      </w:r>
      <w:r>
        <w:t xml:space="preserve"> </w:t>
      </w:r>
      <w:r>
        <w:rPr>
          <w:iCs/>
          <w:i/>
        </w:rPr>
        <w:t xml:space="preserve">draviṇam</w:t>
      </w:r>
      <w:r>
        <w:t xml:space="preserve"> </w:t>
      </w:r>
      <w:r>
        <w:t xml:space="preserve">in the sense</w:t>
      </w:r>
      <w:r>
        <w:t xml:space="preserve"> </w:t>
      </w:r>
      <w:r>
        <w:t xml:space="preserve">“</w:t>
      </w:r>
      <w:r>
        <w:t xml:space="preserve">they desire for themselves</w:t>
      </w:r>
      <w:r>
        <w:t xml:space="preserve">”</w:t>
      </w:r>
      <w:r>
        <w:t xml:space="preserve">; the</w:t>
      </w:r>
      <w:r>
        <w:t xml:space="preserve"> </w:t>
      </w:r>
      <w:r>
        <w:rPr>
          <w:iCs/>
          <w:i/>
        </w:rPr>
        <w:t xml:space="preserve">kyac</w:t>
      </w:r>
      <w:r>
        <w:t xml:space="preserve">-form is called a root by</w:t>
      </w:r>
      <w:r>
        <w:t xml:space="preserve"> </w:t>
      </w:r>
      <w:r>
        <w:t xml:space="preserve">“</w:t>
      </w:r>
      <w:r>
        <w:t xml:space="preserve">sanādyantā dhātavaḥ</w:t>
      </w:r>
      <w:r>
        <w:t xml:space="preserve">”</w:t>
      </w:r>
      <w:r>
        <w:t xml:space="preserve"> </w:t>
      </w:r>
      <w:r>
        <w:t xml:space="preserve">(Pā. sū. 3-1-32); the</w:t>
      </w:r>
      <w:r>
        <w:t xml:space="preserve"> </w:t>
      </w:r>
      <w:r>
        <w:rPr>
          <w:iCs/>
          <w:i/>
        </w:rPr>
        <w:t xml:space="preserve">sup</w:t>
      </w:r>
      <w:r>
        <w:t xml:space="preserve"> </w:t>
      </w:r>
      <w:r>
        <w:t xml:space="preserve">inside the root is dropped by</w:t>
      </w:r>
      <w:r>
        <w:t xml:space="preserve"> </w:t>
      </w:r>
      <w:r>
        <w:t xml:space="preserve">“</w:t>
      </w:r>
      <w:r>
        <w:t xml:space="preserve">supo dhātuprātipadikayoḥ</w:t>
      </w:r>
      <w:r>
        <w:t xml:space="preserve">”</w:t>
      </w:r>
      <w:r>
        <w:t xml:space="preserve"> </w:t>
      </w:r>
      <w:r>
        <w:t xml:space="preserve">(Pā. sū. 2-4-71); by</w:t>
      </w:r>
      <w:r>
        <w:t xml:space="preserve"> </w:t>
      </w:r>
      <w:r>
        <w:t xml:space="preserve">“</w:t>
      </w:r>
      <w:r>
        <w:t xml:space="preserve">sarvaprātipadikebhyo lālasāyāṃ sug vaktavyaḥ</w:t>
      </w:r>
      <w:r>
        <w:t xml:space="preserve">”</w:t>
      </w:r>
      <w:r>
        <w:t xml:space="preserve"> </w:t>
      </w:r>
      <w:r>
        <w:t xml:space="preserve">(Pā. sū. Ma. Bhā. 7-1-51-2) (</w:t>
      </w:r>
      <w:r>
        <w:rPr>
          <w:iCs/>
          <w:i/>
        </w:rPr>
        <w:t xml:space="preserve">lālasā</w:t>
      </w:r>
      <w:r>
        <w:t xml:space="preserve"> </w:t>
      </w:r>
      <w:r>
        <w:t xml:space="preserve">is</w:t>
      </w:r>
      <w:r>
        <w:t xml:space="preserve"> </w:t>
      </w:r>
      <w:r>
        <w:rPr>
          <w:iCs/>
          <w:i/>
        </w:rPr>
        <w:t xml:space="preserve">atiśayenābhyavajihīrṣā</w:t>
      </w:r>
      <w:r>
        <w:t xml:space="preserve">, as the Kaiyaṭa explains;</w:t>
      </w:r>
      <w:r>
        <w:t xml:space="preserve"> </w:t>
      </w:r>
      <w:r>
        <w:rPr>
          <w:iCs/>
          <w:i/>
        </w:rPr>
        <w:t xml:space="preserve">utkaṭecchā</w:t>
      </w:r>
      <w:r>
        <w:t xml:space="preserve">, eager desire, says the Tattvabodhinī), when eager desire is shown before</w:t>
      </w:r>
      <w:r>
        <w:t xml:space="preserve"> </w:t>
      </w:r>
      <w:r>
        <w:rPr>
          <w:iCs/>
          <w:i/>
        </w:rPr>
        <w:t xml:space="preserve">kyac</w:t>
      </w:r>
      <w:r>
        <w:t xml:space="preserve"> </w:t>
      </w:r>
      <w:r>
        <w:t xml:space="preserve">all stems take the augment</w:t>
      </w:r>
      <w:r>
        <w:t xml:space="preserve"> </w:t>
      </w:r>
      <w:r>
        <w:rPr>
          <w:iCs/>
          <w:i/>
        </w:rPr>
        <w:t xml:space="preserve">suk</w:t>
      </w:r>
      <w:r>
        <w:t xml:space="preserve">:</w:t>
      </w:r>
      <w:r>
        <w:t xml:space="preserve"> </w:t>
      </w:r>
      <w:r>
        <w:rPr>
          <w:iCs/>
          <w:i/>
        </w:rPr>
        <w:t xml:space="preserve">draviṇasya</w:t>
      </w:r>
      <w:r>
        <w:t xml:space="preserve">. After it, by</w:t>
      </w:r>
      <w:r>
        <w:t xml:space="preserve"> </w:t>
      </w:r>
      <w:r>
        <w:t xml:space="preserve">“</w:t>
      </w:r>
      <w:r>
        <w:t xml:space="preserve">sampadādibhyaḥ kvip</w:t>
      </w:r>
      <w:r>
        <w:t xml:space="preserve">”</w:t>
      </w:r>
      <w:r>
        <w:t xml:space="preserve"> </w:t>
      </w:r>
      <w:r>
        <w:t xml:space="preserve">(Pā. sū. vārtti. 3-3-108-9)</w:t>
      </w:r>
      <w:r>
        <w:t xml:space="preserve"> </w:t>
      </w:r>
      <w:r>
        <w:rPr>
          <w:iCs/>
          <w:i/>
        </w:rPr>
        <w:t xml:space="preserve">kvip</w:t>
      </w:r>
      <w:r>
        <w:t xml:space="preserve"> </w:t>
      </w:r>
      <w:r>
        <w:t xml:space="preserve">in the action sense:</w:t>
      </w:r>
      <w:r>
        <w:t xml:space="preserve"> </w:t>
      </w:r>
      <w:r>
        <w:rPr>
          <w:iCs/>
          <w:i/>
        </w:rPr>
        <w:t xml:space="preserve">draviṇasya</w:t>
      </w:r>
      <w:r>
        <w:t xml:space="preserve"> </w:t>
      </w:r>
      <w:r>
        <w:t xml:space="preserve">+</w:t>
      </w:r>
      <w:r>
        <w:t xml:space="preserve"> </w:t>
      </w:r>
      <w:r>
        <w:rPr>
          <w:iCs/>
          <w:i/>
        </w:rPr>
        <w:t xml:space="preserve">v</w:t>
      </w:r>
      <w:r>
        <w:t xml:space="preserve">;</w:t>
      </w:r>
      <w:r>
        <w:t xml:space="preserve"> </w:t>
      </w:r>
      <w:r>
        <w:t xml:space="preserve">“</w:t>
      </w:r>
      <w:r>
        <w:t xml:space="preserve">ato lopaḥ</w:t>
      </w:r>
      <w:r>
        <w:t xml:space="preserve">”</w:t>
      </w:r>
      <w:r>
        <w:t xml:space="preserve"> </w:t>
      </w:r>
      <w:r>
        <w:t xml:space="preserve">(Pā. sū. 6-4-48): the</w:t>
      </w:r>
      <w:r>
        <w:t xml:space="preserve"> </w:t>
      </w:r>
      <w:r>
        <w:rPr>
          <w:iCs/>
          <w:i/>
        </w:rPr>
        <w:t xml:space="preserve">a</w:t>
      </w:r>
      <w:r>
        <w:t xml:space="preserve"> </w:t>
      </w:r>
      <w:r>
        <w:t xml:space="preserve">of what ends in</w:t>
      </w:r>
      <w:r>
        <w:t xml:space="preserve"> </w:t>
      </w:r>
      <w:r>
        <w:rPr>
          <w:iCs/>
          <w:i/>
        </w:rPr>
        <w:t xml:space="preserve">a</w:t>
      </w:r>
      <w:r>
        <w:t xml:space="preserve"> </w:t>
      </w:r>
      <w:r>
        <w:t xml:space="preserve">at the time the</w:t>
      </w:r>
      <w:r>
        <w:t xml:space="preserve"> </w:t>
      </w:r>
      <w:r>
        <w:rPr>
          <w:iCs/>
          <w:i/>
        </w:rPr>
        <w:t xml:space="preserve">ārdhadhātuka</w:t>
      </w:r>
      <w:r>
        <w:t xml:space="preserve"> </w:t>
      </w:r>
      <w:r>
        <w:t xml:space="preserve">suffix is taught drops; so the</w:t>
      </w:r>
      <w:r>
        <w:t xml:space="preserve"> </w:t>
      </w:r>
      <w:r>
        <w:rPr>
          <w:iCs/>
          <w:i/>
        </w:rPr>
        <w:t xml:space="preserve">a</w:t>
      </w:r>
      <w:r>
        <w:t xml:space="preserve"> </w:t>
      </w:r>
      <w:r>
        <w:t xml:space="preserve">before the suffix drops:</w:t>
      </w:r>
      <w:r>
        <w:t xml:space="preserve"> </w:t>
      </w:r>
      <w:r>
        <w:rPr>
          <w:iCs/>
          <w:i/>
        </w:rPr>
        <w:t xml:space="preserve">draviṇasy</w:t>
      </w:r>
      <w:r>
        <w:t xml:space="preserve"> </w:t>
      </w:r>
      <w:r>
        <w:t xml:space="preserve">+</w:t>
      </w:r>
      <w:r>
        <w:t xml:space="preserve"> </w:t>
      </w:r>
      <w:r>
        <w:rPr>
          <w:iCs/>
          <w:i/>
        </w:rPr>
        <w:t xml:space="preserve">v</w:t>
      </w:r>
      <w:r>
        <w:t xml:space="preserve">. In this</w:t>
      </w:r>
      <w:r>
        <w:t xml:space="preserve"> </w:t>
      </w:r>
      <w:r>
        <w:rPr>
          <w:iCs/>
          <w:i/>
        </w:rPr>
        <w:t xml:space="preserve">a</w:t>
      </w:r>
      <w:r>
        <w:t xml:space="preserve">-loss view, when the</w:t>
      </w:r>
      <w:r>
        <w:t xml:space="preserve"> </w:t>
      </w:r>
      <w:r>
        <w:rPr>
          <w:iCs/>
          <w:i/>
        </w:rPr>
        <w:t xml:space="preserve">y</w:t>
      </w:r>
      <w:r>
        <w:t xml:space="preserve"> </w:t>
      </w:r>
      <w:r>
        <w:t xml:space="preserve">is to be dropped,</w:t>
      </w:r>
      <w:r>
        <w:t xml:space="preserve"> </w:t>
      </w:r>
      <w:r>
        <w:t xml:space="preserve">“</w:t>
      </w:r>
      <w:r>
        <w:t xml:space="preserve">acaḥ parasmin pūrvavidhau</w:t>
      </w:r>
      <w:r>
        <w:t xml:space="preserve">”</w:t>
      </w:r>
      <w:r>
        <w:t xml:space="preserve"> </w:t>
      </w:r>
      <w:r>
        <w:t xml:space="preserve">(Pā. sū. 1-1-57) would give</w:t>
      </w:r>
      <w:r>
        <w:t xml:space="preserve"> </w:t>
      </w:r>
      <w:r>
        <w:rPr>
          <w:iCs/>
          <w:i/>
        </w:rPr>
        <w:t xml:space="preserve">sthānivadbhāva</w:t>
      </w:r>
      <w:r>
        <w:t xml:space="preserve">, but by</w:t>
      </w:r>
      <w:r>
        <w:t xml:space="preserve"> </w:t>
      </w:r>
      <w:r>
        <w:t xml:space="preserve">“</w:t>
      </w:r>
      <w:r>
        <w:t xml:space="preserve">kvau luptaṃ na sthānivad bhavati</w:t>
      </w:r>
      <w:r>
        <w:t xml:space="preserve">”</w:t>
      </w:r>
      <w:r>
        <w:t xml:space="preserve"> </w:t>
      </w:r>
      <w:r>
        <w:t xml:space="preserve">(Pā. Ma. 1-1-58-2) what is dropped with reference to the</w:t>
      </w:r>
      <w:r>
        <w:t xml:space="preserve"> </w:t>
      </w:r>
      <w:r>
        <w:rPr>
          <w:iCs/>
          <w:i/>
        </w:rPr>
        <w:t xml:space="preserve">kvip</w:t>
      </w:r>
      <w:r>
        <w:t xml:space="preserve"> </w:t>
      </w:r>
      <w:r>
        <w:t xml:space="preserve">suffix is not</w:t>
      </w:r>
      <w:r>
        <w:t xml:space="preserve"> </w:t>
      </w:r>
      <w:r>
        <w:rPr>
          <w:iCs/>
          <w:i/>
        </w:rPr>
        <w:t xml:space="preserve">sthānivat</w:t>
      </w:r>
      <w:r>
        <w:t xml:space="preserve">; so</w:t>
      </w:r>
      <w:r>
        <w:t xml:space="preserve"> </w:t>
      </w:r>
      <w:r>
        <w:rPr>
          <w:iCs/>
          <w:i/>
        </w:rPr>
        <w:t xml:space="preserve">sthānivadbhāva</w:t>
      </w:r>
      <w:r>
        <w:t xml:space="preserve"> </w:t>
      </w:r>
      <w:r>
        <w:t xml:space="preserve">is barred.</w:t>
      </w:r>
      <w:r>
        <w:t xml:space="preserve"> </w:t>
      </w:r>
      <w:r>
        <w:t xml:space="preserve">“</w:t>
      </w:r>
      <w:r>
        <w:t xml:space="preserve">lopo vyor vali</w:t>
      </w:r>
      <w:r>
        <w:t xml:space="preserve">”</w:t>
      </w:r>
      <w:r>
        <w:t xml:space="preserve"> </w:t>
      </w:r>
      <w:r>
        <w:t xml:space="preserve">(Pā. sū. 6-1-66): before a</w:t>
      </w:r>
      <w:r>
        <w:t xml:space="preserve"> </w:t>
      </w:r>
      <w:r>
        <w:rPr>
          <w:iCs/>
          <w:i/>
        </w:rPr>
        <w:t xml:space="preserve">val</w:t>
      </w:r>
      <w:r>
        <w:t xml:space="preserve"> </w:t>
      </w:r>
      <w:r>
        <w:t xml:space="preserve">letter</w:t>
      </w:r>
      <w:r>
        <w:t xml:space="preserve"> </w:t>
      </w:r>
      <w:r>
        <w:rPr>
          <w:iCs/>
          <w:i/>
        </w:rPr>
        <w:t xml:space="preserve">v</w:t>
      </w:r>
      <w:r>
        <w:t xml:space="preserve"> </w:t>
      </w:r>
      <w:r>
        <w:t xml:space="preserve">and</w:t>
      </w:r>
      <w:r>
        <w:t xml:space="preserve"> </w:t>
      </w:r>
      <w:r>
        <w:rPr>
          <w:iCs/>
          <w:i/>
        </w:rPr>
        <w:t xml:space="preserve">y</w:t>
      </w:r>
      <w:r>
        <w:t xml:space="preserve"> </w:t>
      </w:r>
      <w:r>
        <w:t xml:space="preserve">drop; so the</w:t>
      </w:r>
      <w:r>
        <w:t xml:space="preserve"> </w:t>
      </w:r>
      <w:r>
        <w:rPr>
          <w:iCs/>
          <w:i/>
        </w:rPr>
        <w:t xml:space="preserve">y</w:t>
      </w:r>
      <w:r>
        <w:t xml:space="preserve"> </w:t>
      </w:r>
      <w:r>
        <w:t xml:space="preserve">drops.</w:t>
      </w:r>
      <w:r>
        <w:t xml:space="preserve"> </w:t>
      </w:r>
      <w:r>
        <w:t xml:space="preserve">“</w:t>
      </w:r>
      <w:r>
        <w:t xml:space="preserve">ver apṛktasya</w:t>
      </w:r>
      <w:r>
        <w:t xml:space="preserve">”</w:t>
      </w:r>
      <w:r>
        <w:t xml:space="preserve"> </w:t>
      </w:r>
      <w:r>
        <w:t xml:space="preserve">(Pā. sū. 6-1-67):</w:t>
      </w:r>
      <w:r>
        <w:t xml:space="preserve"> </w:t>
      </w:r>
      <w:r>
        <w:rPr>
          <w:iCs/>
          <w:i/>
        </w:rPr>
        <w:t xml:space="preserve">apṛkta</w:t>
      </w:r>
      <w:r>
        <w:t xml:space="preserve"> </w:t>
      </w:r>
      <w:r>
        <w:t xml:space="preserve">is a suffix of a single letter; the</w:t>
      </w:r>
      <w:r>
        <w:t xml:space="preserve"> </w:t>
      </w:r>
      <w:r>
        <w:rPr>
          <w:iCs/>
          <w:i/>
        </w:rPr>
        <w:t xml:space="preserve">apṛkta</w:t>
      </w:r>
      <w:r>
        <w:t xml:space="preserve"> </w:t>
      </w:r>
      <w:r>
        <w:rPr>
          <w:iCs/>
          <w:i/>
        </w:rPr>
        <w:t xml:space="preserve">v</w:t>
      </w:r>
      <w:r>
        <w:t xml:space="preserve"> </w:t>
      </w:r>
      <w:r>
        <w:t xml:space="preserve">drops. Though the loss of the</w:t>
      </w:r>
      <w:r>
        <w:t xml:space="preserve"> </w:t>
      </w:r>
      <w:r>
        <w:rPr>
          <w:iCs/>
          <w:i/>
        </w:rPr>
        <w:t xml:space="preserve">apṛkta</w:t>
      </w:r>
      <w:r>
        <w:t xml:space="preserve"> </w:t>
      </w:r>
      <w:r>
        <w:rPr>
          <w:iCs/>
          <w:i/>
        </w:rPr>
        <w:t xml:space="preserve">v</w:t>
      </w:r>
      <w:r>
        <w:t xml:space="preserve">, having no outside cause, is</w:t>
      </w:r>
      <w:r>
        <w:t xml:space="preserve"> </w:t>
      </w:r>
      <w:r>
        <w:rPr>
          <w:iCs/>
          <w:i/>
        </w:rPr>
        <w:t xml:space="preserve">antaraṅga</w:t>
      </w:r>
      <w:r>
        <w:t xml:space="preserve">, and the loss before</w:t>
      </w:r>
      <w:r>
        <w:t xml:space="preserve"> </w:t>
      </w:r>
      <w:r>
        <w:rPr>
          <w:iCs/>
          <w:i/>
        </w:rPr>
        <w:t xml:space="preserve">val</w:t>
      </w:r>
      <w:r>
        <w:t xml:space="preserve">, having an outside cause, is</w:t>
      </w:r>
      <w:r>
        <w:t xml:space="preserve"> </w:t>
      </w:r>
      <w:r>
        <w:rPr>
          <w:iCs/>
          <w:i/>
        </w:rPr>
        <w:t xml:space="preserve">bahiraṅga</w:t>
      </w:r>
      <w:r>
        <w:t xml:space="preserve">, so that by</w:t>
      </w:r>
      <w:r>
        <w:t xml:space="preserve"> </w:t>
      </w:r>
      <w:r>
        <w:t xml:space="preserve">“</w:t>
      </w:r>
      <w:r>
        <w:t xml:space="preserve">asiddhaṃ bahiraṅgam antaraṅge</w:t>
      </w:r>
      <w:r>
        <w:t xml:space="preserve">”</w:t>
      </w:r>
      <w:r>
        <w:t xml:space="preserve"> </w:t>
      </w:r>
      <w:r>
        <w:t xml:space="preserve">(paribhāṣā 50) the</w:t>
      </w:r>
      <w:r>
        <w:t xml:space="preserve"> </w:t>
      </w:r>
      <w:r>
        <w:rPr>
          <w:iCs/>
          <w:i/>
        </w:rPr>
        <w:t xml:space="preserve">val</w:t>
      </w:r>
      <w:r>
        <w:t xml:space="preserve">-loss would count as not done when the</w:t>
      </w:r>
      <w:r>
        <w:t xml:space="preserve"> </w:t>
      </w:r>
      <w:r>
        <w:rPr>
          <w:iCs/>
          <w:i/>
        </w:rPr>
        <w:t xml:space="preserve">apṛkta</w:t>
      </w:r>
      <w:r>
        <w:t xml:space="preserve"> </w:t>
      </w:r>
      <w:r>
        <w:t xml:space="preserve">loss is made, and then, once the</w:t>
      </w:r>
      <w:r>
        <w:t xml:space="preserve"> </w:t>
      </w:r>
      <w:r>
        <w:rPr>
          <w:iCs/>
          <w:i/>
        </w:rPr>
        <w:t xml:space="preserve">apṛkta</w:t>
      </w:r>
      <w:r>
        <w:t xml:space="preserve"> </w:t>
      </w:r>
      <w:r>
        <w:t xml:space="preserve">loss came first, the bar of</w:t>
      </w:r>
      <w:r>
        <w:t xml:space="preserve"> </w:t>
      </w:r>
      <w:r>
        <w:rPr>
          <w:iCs/>
          <w:i/>
        </w:rPr>
        <w:t xml:space="preserve">sthānivadbhāva</w:t>
      </w:r>
      <w:r>
        <w:t xml:space="preserve"> </w:t>
      </w:r>
      <w:r>
        <w:t xml:space="preserve">in the</w:t>
      </w:r>
      <w:r>
        <w:t xml:space="preserve"> </w:t>
      </w:r>
      <w:r>
        <w:rPr>
          <w:iCs/>
          <w:i/>
        </w:rPr>
        <w:t xml:space="preserve">al</w:t>
      </w:r>
      <w:r>
        <w:t xml:space="preserve">-rule would make the</w:t>
      </w:r>
      <w:r>
        <w:t xml:space="preserve"> </w:t>
      </w:r>
      <w:r>
        <w:rPr>
          <w:iCs/>
          <w:i/>
        </w:rPr>
        <w:t xml:space="preserve">val</w:t>
      </w:r>
      <w:r>
        <w:t xml:space="preserve">-loss not come: yet by</w:t>
      </w:r>
      <w:r>
        <w:t xml:space="preserve"> </w:t>
      </w:r>
      <w:r>
        <w:t xml:space="preserve">“</w:t>
      </w:r>
      <w:r>
        <w:t xml:space="preserve">ver apṛktalopād vali lopo balīyān</w:t>
      </w:r>
      <w:r>
        <w:t xml:space="preserve">”</w:t>
      </w:r>
      <w:r>
        <w:t xml:space="preserve">, the</w:t>
      </w:r>
      <w:r>
        <w:t xml:space="preserve"> </w:t>
      </w:r>
      <w:r>
        <w:rPr>
          <w:iCs/>
          <w:i/>
        </w:rPr>
        <w:t xml:space="preserve">val</w:t>
      </w:r>
      <w:r>
        <w:t xml:space="preserve">-loss comes first, then the</w:t>
      </w:r>
      <w:r>
        <w:t xml:space="preserve"> </w:t>
      </w:r>
      <w:r>
        <w:rPr>
          <w:iCs/>
          <w:i/>
        </w:rPr>
        <w:t xml:space="preserve">apṛkta</w:t>
      </w:r>
      <w:r>
        <w:t xml:space="preserve"> </w:t>
      </w:r>
      <w:r>
        <w:t xml:space="preserve">loss:</w:t>
      </w:r>
      <w:r>
        <w:t xml:space="preserve"> </w:t>
      </w:r>
      <w:r>
        <w:rPr>
          <w:iCs/>
          <w:i/>
        </w:rPr>
        <w:t xml:space="preserve">draviṇas</w:t>
      </w:r>
      <w:r>
        <w:t xml:space="preserve">. This means desire for wealth.</w:t>
      </w:r>
      <w:r>
        <w:t xml:space="preserve"> </w:t>
      </w:r>
      <w:r>
        <w:rPr>
          <w:iCs/>
          <w:i/>
        </w:rPr>
        <w:t xml:space="preserve">Draviṇecchāṃ dasyati</w:t>
      </w:r>
      <w:r>
        <w:t xml:space="preserve">: one who, by giving</w:t>
      </w:r>
    </w:p>
    <w:bookmarkEnd w:id="709"/>
    <w:bookmarkStart w:id="710" w:name="page-656-rik-7-grammar-end"/>
    <w:p>
      <w:pPr>
        <w:pStyle w:val="Heading3"/>
      </w:pPr>
      <w:r>
        <w:t xml:space="preserve">Page 656 — Rik 7: grammar (end)</w:t>
      </w:r>
    </w:p>
    <w:p>
      <w:pPr>
        <w:pStyle w:val="FirstParagraph"/>
      </w:pPr>
      <w:r>
        <w:t xml:space="preserve">wealth as desired, removes the desire for wealth: with this sense meant,</w:t>
      </w:r>
      <w:r>
        <w:t xml:space="preserve"> </w:t>
      </w:r>
      <w:r>
        <w:rPr>
          <w:iCs/>
          <w:i/>
        </w:rPr>
        <w:t xml:space="preserve">kvip</w:t>
      </w:r>
      <w:r>
        <w:t xml:space="preserve"> </w:t>
      </w:r>
      <w:r>
        <w:t xml:space="preserve">by</w:t>
      </w:r>
      <w:r>
        <w:t xml:space="preserve"> </w:t>
      </w:r>
      <w:r>
        <w:t xml:space="preserve">“</w:t>
      </w:r>
      <w:r>
        <w:t xml:space="preserve">kvip ca</w:t>
      </w:r>
      <w:r>
        <w:t xml:space="preserve">”</w:t>
      </w:r>
      <w:r>
        <w:t xml:space="preserve"> </w:t>
      </w:r>
      <w:r>
        <w:t xml:space="preserve">after the root</w:t>
      </w:r>
      <w:r>
        <w:t xml:space="preserve"> </w:t>
      </w:r>
      <w:r>
        <w:rPr>
          <w:iCs/>
          <w:i/>
        </w:rPr>
        <w:t xml:space="preserve">dasu upakṣaye</w:t>
      </w:r>
      <w:r>
        <w:t xml:space="preserve"> </w:t>
      </w:r>
      <w:r>
        <w:t xml:space="preserve">with the inner causative; the</w:t>
      </w:r>
      <w:r>
        <w:t xml:space="preserve"> </w:t>
      </w:r>
      <w:r>
        <w:rPr>
          <w:iCs/>
          <w:i/>
        </w:rPr>
        <w:t xml:space="preserve">kvip</w:t>
      </w:r>
      <w:r>
        <w:t xml:space="preserve"> </w:t>
      </w:r>
      <w:r>
        <w:t xml:space="preserve">drops. In this way the word</w:t>
      </w:r>
      <w:r>
        <w:t xml:space="preserve"> </w:t>
      </w:r>
      <w:r>
        <w:rPr>
          <w:iCs/>
          <w:i/>
        </w:rPr>
        <w:t xml:space="preserve">draviṇodas</w:t>
      </w:r>
      <w:r>
        <w:t xml:space="preserve"> </w:t>
      </w:r>
      <w:r>
        <w:t xml:space="preserve">ends in</w:t>
      </w:r>
      <w:r>
        <w:t xml:space="preserve"> </w:t>
      </w:r>
      <w:r>
        <w:rPr>
          <w:iCs/>
          <w:i/>
        </w:rPr>
        <w:t xml:space="preserve">s</w:t>
      </w:r>
      <w:r>
        <w:t xml:space="preserve">. By this derivation Yāska’s usage</w:t>
      </w:r>
      <w:r>
        <w:t xml:space="preserve"> </w:t>
      </w:r>
      <w:r>
        <w:rPr>
          <w:iCs/>
          <w:i/>
        </w:rPr>
        <w:t xml:space="preserve">draviṇodasaḥ pravādā bhavanti</w:t>
      </w:r>
      <w:r>
        <w:t xml:space="preserve"> </w:t>
      </w:r>
      <w:r>
        <w:t xml:space="preserve">(Ni. 8-2) fits. So if</w:t>
      </w:r>
      <w:r>
        <w:t xml:space="preserve"> </w:t>
      </w:r>
      <w:r>
        <w:rPr>
          <w:iCs/>
          <w:i/>
        </w:rPr>
        <w:t xml:space="preserve">draviṇodāḥ</w:t>
      </w:r>
      <w:r>
        <w:t xml:space="preserve"> </w:t>
      </w:r>
      <w:r>
        <w:t xml:space="preserve">is taken as not qualifying</w:t>
      </w:r>
      <w:r>
        <w:t xml:space="preserve"> </w:t>
      </w:r>
      <w:r>
        <w:rPr>
          <w:iCs/>
          <w:i/>
        </w:rPr>
        <w:t xml:space="preserve">devam</w:t>
      </w:r>
      <w:r>
        <w:t xml:space="preserve">, two sentences arise; on this view the nominative singular</w:t>
      </w:r>
      <w:r>
        <w:t xml:space="preserve"> </w:t>
      </w:r>
      <w:r>
        <w:rPr>
          <w:iCs/>
          <w:i/>
        </w:rPr>
        <w:t xml:space="preserve">su</w:t>
      </w:r>
      <w:r>
        <w:t xml:space="preserve"> </w:t>
      </w:r>
      <w:r>
        <w:t xml:space="preserve">comes in its own sense, giving</w:t>
      </w:r>
      <w:r>
        <w:t xml:space="preserve"> </w:t>
      </w:r>
      <w:r>
        <w:rPr>
          <w:iCs/>
          <w:i/>
        </w:rPr>
        <w:t xml:space="preserve">draviṇodāḥ</w:t>
      </w:r>
      <w:r>
        <w:t xml:space="preserve">; on the one-sentence view the nominative must be taken in the sense of the accusative by</w:t>
      </w:r>
      <w:r>
        <w:t xml:space="preserve"> </w:t>
      </w:r>
      <w:r>
        <w:rPr>
          <w:iCs/>
          <w:i/>
        </w:rPr>
        <w:t xml:space="preserve">vyatyaya</w:t>
      </w:r>
      <w:r>
        <w:t xml:space="preserve">.</w:t>
      </w:r>
    </w:p>
    <w:p>
      <w:pPr>
        <w:pStyle w:val="BodyText"/>
      </w:pPr>
      <w:r>
        <w:rPr>
          <w:bCs/>
          <w:b/>
        </w:rPr>
        <w:t xml:space="preserve">द्रविणसः (</w:t>
      </w:r>
      <w:r>
        <w:rPr>
          <w:iCs/>
          <w:i/>
          <w:bCs/>
          <w:b/>
        </w:rPr>
        <w:t xml:space="preserve">draviṇasaḥ</w:t>
      </w:r>
      <w:r>
        <w:rPr>
          <w:bCs/>
          <w:b/>
        </w:rPr>
        <w:t xml:space="preserve">)</w:t>
      </w:r>
      <w:r>
        <w:t xml:space="preserve">: here too, on the separate-sentence view,</w:t>
      </w:r>
      <w:r>
        <w:t xml:space="preserve"> </w:t>
      </w:r>
      <w:r>
        <w:rPr>
          <w:iCs/>
          <w:i/>
        </w:rPr>
        <w:t xml:space="preserve">draviṇasaḥ</w:t>
      </w:r>
      <w:r>
        <w:t xml:space="preserve"> </w:t>
      </w:r>
      <w:r>
        <w:t xml:space="preserve">means</w:t>
      </w:r>
      <w:r>
        <w:t xml:space="preserve"> </w:t>
      </w:r>
      <w:r>
        <w:t xml:space="preserve">“</w:t>
      </w:r>
      <w:r>
        <w:t xml:space="preserve">of the soma juice</w:t>
      </w:r>
      <w:r>
        <w:t xml:space="preserve">”</w:t>
      </w:r>
      <w:r>
        <w:t xml:space="preserve">; in this sense, by a Vedic process, the augment</w:t>
      </w:r>
      <w:r>
        <w:t xml:space="preserve"> </w:t>
      </w:r>
      <w:r>
        <w:rPr>
          <w:iCs/>
          <w:i/>
        </w:rPr>
        <w:t xml:space="preserve">s</w:t>
      </w:r>
      <w:r>
        <w:t xml:space="preserve"> </w:t>
      </w:r>
      <w:r>
        <w:t xml:space="preserve">comes, giving</w:t>
      </w:r>
      <w:r>
        <w:t xml:space="preserve"> </w:t>
      </w:r>
      <w:r>
        <w:rPr>
          <w:iCs/>
          <w:i/>
        </w:rPr>
        <w:t xml:space="preserve">draviṇasaḥ</w:t>
      </w:r>
      <w:r>
        <w:t xml:space="preserve">. By</w:t>
      </w:r>
      <w:r>
        <w:t xml:space="preserve"> </w:t>
      </w:r>
      <w:r>
        <w:t xml:space="preserve">“</w:t>
      </w:r>
      <w:r>
        <w:t xml:space="preserve">ñnityādir nityam</w:t>
      </w:r>
      <w:r>
        <w:t xml:space="preserve">”</w:t>
      </w:r>
      <w:r>
        <w:t xml:space="preserve"> </w:t>
      </w:r>
      <w:r>
        <w:t xml:space="preserve">it is initial udātta as a rule. On the view that</w:t>
      </w:r>
      <w:r>
        <w:t xml:space="preserve"> </w:t>
      </w:r>
      <w:r>
        <w:rPr>
          <w:iCs/>
          <w:i/>
        </w:rPr>
        <w:t xml:space="preserve">draviṇasaḥ</w:t>
      </w:r>
      <w:r>
        <w:t xml:space="preserve"> </w:t>
      </w:r>
      <w:r>
        <w:t xml:space="preserve">qualifies the priests and there is one sentence, as said before,</w:t>
      </w:r>
      <w:r>
        <w:t xml:space="preserve"> </w:t>
      </w:r>
      <w:r>
        <w:rPr>
          <w:iCs/>
          <w:i/>
        </w:rPr>
        <w:t xml:space="preserve">kvip</w:t>
      </w:r>
      <w:r>
        <w:t xml:space="preserve"> </w:t>
      </w:r>
      <w:r>
        <w:t xml:space="preserve">after the</w:t>
      </w:r>
      <w:r>
        <w:t xml:space="preserve"> </w:t>
      </w:r>
      <w:r>
        <w:rPr>
          <w:iCs/>
          <w:i/>
        </w:rPr>
        <w:t xml:space="preserve">kyac</w:t>
      </w:r>
      <w:r>
        <w:t xml:space="preserve"> </w:t>
      </w:r>
      <w:r>
        <w:t xml:space="preserve">form, and by</w:t>
      </w:r>
      <w:r>
        <w:t xml:space="preserve"> </w:t>
      </w:r>
      <w:r>
        <w:t xml:space="preserve">“</w:t>
      </w:r>
      <w:r>
        <w:t xml:space="preserve">ato lopaḥ</w:t>
      </w:r>
      <w:r>
        <w:t xml:space="preserve">”</w:t>
      </w:r>
      <w:r>
        <w:t xml:space="preserve"> </w:t>
      </w:r>
      <w:r>
        <w:t xml:space="preserve">and the other rules the loss of</w:t>
      </w:r>
      <w:r>
        <w:t xml:space="preserve"> </w:t>
      </w:r>
      <w:r>
        <w:rPr>
          <w:iCs/>
          <w:i/>
        </w:rPr>
        <w:t xml:space="preserve">a</w:t>
      </w:r>
      <w:r>
        <w:t xml:space="preserve"> </w:t>
      </w:r>
      <w:r>
        <w:t xml:space="preserve">and the other operations come as before. On this view the</w:t>
      </w:r>
      <w:r>
        <w:t xml:space="preserve"> </w:t>
      </w:r>
      <w:r>
        <w:rPr>
          <w:iCs/>
          <w:i/>
        </w:rPr>
        <w:t xml:space="preserve">kyac</w:t>
      </w:r>
      <w:r>
        <w:t xml:space="preserve"> </w:t>
      </w:r>
      <w:r>
        <w:t xml:space="preserve">suffix is</w:t>
      </w:r>
      <w:r>
        <w:t xml:space="preserve"> </w:t>
      </w:r>
      <w:r>
        <w:rPr>
          <w:iCs/>
          <w:i/>
        </w:rPr>
        <w:t xml:space="preserve">cit</w:t>
      </w:r>
      <w:r>
        <w:t xml:space="preserve">, so by</w:t>
      </w:r>
      <w:r>
        <w:t xml:space="preserve"> </w:t>
      </w:r>
      <w:r>
        <w:t xml:space="preserve">“</w:t>
      </w:r>
      <w:r>
        <w:t xml:space="preserve">citaḥ</w:t>
      </w:r>
      <w:r>
        <w:t xml:space="preserve">”</w:t>
      </w:r>
      <w:r>
        <w:t xml:space="preserve"> </w:t>
      </w:r>
      <w:r>
        <w:t xml:space="preserve">(Pā. sū. 6-1-163) final udātta would come, but by</w:t>
      </w:r>
      <w:r>
        <w:t xml:space="preserve"> </w:t>
      </w:r>
      <w:r>
        <w:rPr>
          <w:iCs/>
          <w:i/>
        </w:rPr>
        <w:t xml:space="preserve">vyatyaya</w:t>
      </w:r>
      <w:r>
        <w:t xml:space="preserve"> </w:t>
      </w:r>
      <w:r>
        <w:t xml:space="preserve">it is initial udātta. On the one-sentence view the construction is</w:t>
      </w:r>
      <w:r>
        <w:t xml:space="preserve"> </w:t>
      </w:r>
      <w:r>
        <w:rPr>
          <w:iCs/>
          <w:i/>
        </w:rPr>
        <w:t xml:space="preserve">adhvare yajñeṣu ca draviṇaso grāvahastāso ṛtvijaḥ draviṇodā devam īḷate</w:t>
      </w:r>
      <w:r>
        <w:t xml:space="preserve">. On the separate-sentence view the constructions are</w:t>
      </w:r>
      <w:r>
        <w:t xml:space="preserve"> </w:t>
      </w:r>
      <w:r>
        <w:rPr>
          <w:iCs/>
          <w:i/>
        </w:rPr>
        <w:t xml:space="preserve">draviṇasaḥ grāvahastāsaḥ ṛtvijaḥ adhvare yajñeṣu ca devam īḷate, draviṇodāḥ agniḥ somaṃ pibatu</w:t>
      </w:r>
      <w:r>
        <w:t xml:space="preserve">, and</w:t>
      </w:r>
      <w:r>
        <w:t xml:space="preserve"> </w:t>
      </w:r>
      <w:r>
        <w:rPr>
          <w:iCs/>
          <w:i/>
        </w:rPr>
        <w:t xml:space="preserve">grāvahastāsaḥ ṛtvijaḥ adhvare yajñeṣu ca devam īḷate, draviṇodāḥ agniḥ draviṇasaḥ somasya pātā bhavatu</w:t>
      </w:r>
      <w:r>
        <w:t xml:space="preserve">.</w:t>
      </w:r>
    </w:p>
    <w:p>
      <w:pPr>
        <w:pStyle w:val="BodyText"/>
      </w:pPr>
      <w:r>
        <w:rPr>
          <w:bCs/>
          <w:b/>
        </w:rPr>
        <w:t xml:space="preserve">ग्रावहस्तासः (</w:t>
      </w:r>
      <w:r>
        <w:rPr>
          <w:iCs/>
          <w:i/>
          <w:bCs/>
          <w:b/>
        </w:rPr>
        <w:t xml:space="preserve">grāvahastāsaḥ</w:t>
      </w:r>
      <w:r>
        <w:rPr>
          <w:bCs/>
          <w:b/>
        </w:rPr>
        <w:t xml:space="preserve">)</w:t>
      </w:r>
      <w:r>
        <w:t xml:space="preserve">:</w:t>
      </w:r>
      <w:r>
        <w:t xml:space="preserve"> </w:t>
      </w:r>
      <w:r>
        <w:rPr>
          <w:iCs/>
          <w:i/>
        </w:rPr>
        <w:t xml:space="preserve">grāvayuktāḥ hastāḥ yeṣāṃ te grāvahastāsaḥ</w:t>
      </w:r>
      <w:r>
        <w:t xml:space="preserve">, a bahuvrīhi compound. After</w:t>
      </w:r>
      <w:r>
        <w:t xml:space="preserve"> </w:t>
      </w:r>
      <w:r>
        <w:rPr>
          <w:iCs/>
          <w:i/>
        </w:rPr>
        <w:t xml:space="preserve">grāvahasta</w:t>
      </w:r>
      <w:r>
        <w:t xml:space="preserve">,</w:t>
      </w:r>
      <w:r>
        <w:t xml:space="preserve"> </w:t>
      </w:r>
      <w:r>
        <w:rPr>
          <w:iCs/>
          <w:i/>
        </w:rPr>
        <w:t xml:space="preserve">jas</w:t>
      </w:r>
      <w:r>
        <w:t xml:space="preserve">; by</w:t>
      </w:r>
      <w:r>
        <w:t xml:space="preserve"> </w:t>
      </w:r>
      <w:r>
        <w:t xml:space="preserve">“</w:t>
      </w:r>
      <w:r>
        <w:t xml:space="preserve">ājjaser asuk</w:t>
      </w:r>
      <w:r>
        <w:t xml:space="preserve">”</w:t>
      </w:r>
      <w:r>
        <w:t xml:space="preserve"> </w:t>
      </w:r>
      <w:r>
        <w:t xml:space="preserve">(Pā. sū. 7-1-50)</w:t>
      </w:r>
      <w:r>
        <w:t xml:space="preserve"> </w:t>
      </w:r>
      <w:r>
        <w:rPr>
          <w:iCs/>
          <w:i/>
        </w:rPr>
        <w:t xml:space="preserve">jas</w:t>
      </w:r>
      <w:r>
        <w:t xml:space="preserve"> </w:t>
      </w:r>
      <w:r>
        <w:t xml:space="preserve">takes the augment</w:t>
      </w:r>
      <w:r>
        <w:t xml:space="preserve"> </w:t>
      </w:r>
      <w:r>
        <w:rPr>
          <w:iCs/>
          <w:i/>
        </w:rPr>
        <w:t xml:space="preserve">asuk</w:t>
      </w:r>
      <w:r>
        <w:t xml:space="preserve">. The word</w:t>
      </w:r>
      <w:r>
        <w:t xml:space="preserve"> </w:t>
      </w:r>
      <w:r>
        <w:rPr>
          <w:iCs/>
          <w:i/>
        </w:rPr>
        <w:t xml:space="preserve">grāvan</w:t>
      </w:r>
      <w:r>
        <w:t xml:space="preserve"> </w:t>
      </w:r>
      <w:r>
        <w:t xml:space="preserve">belongs to the</w:t>
      </w:r>
      <w:r>
        <w:t xml:space="preserve"> </w:t>
      </w:r>
      <w:r>
        <w:rPr>
          <w:iCs/>
          <w:i/>
        </w:rPr>
        <w:t xml:space="preserve">vṛṣādi</w:t>
      </w:r>
      <w:r>
        <w:t xml:space="preserve"> </w:t>
      </w:r>
      <w:r>
        <w:t xml:space="preserve">class, so it is initial udātta by</w:t>
      </w:r>
      <w:r>
        <w:t xml:space="preserve"> </w:t>
      </w:r>
      <w:r>
        <w:t xml:space="preserve">“</w:t>
      </w:r>
      <w:r>
        <w:t xml:space="preserve">vṛṣādīnāṃ ca</w:t>
      </w:r>
      <w:r>
        <w:t xml:space="preserve">”</w:t>
      </w:r>
      <w:r>
        <w:t xml:space="preserve"> </w:t>
      </w:r>
      <w:r>
        <w:t xml:space="preserve">(Pā. sū. 6-1-203); even after compounding, by</w:t>
      </w:r>
      <w:r>
        <w:t xml:space="preserve"> </w:t>
      </w:r>
      <w:r>
        <w:t xml:space="preserve">“</w:t>
      </w:r>
      <w:r>
        <w:t xml:space="preserve">bahuvrīhau prakṛtyā pūrvapadam</w:t>
      </w:r>
      <w:r>
        <w:t xml:space="preserve">”</w:t>
      </w:r>
      <w:r>
        <w:t xml:space="preserve"> </w:t>
      </w:r>
      <w:r>
        <w:t xml:space="preserve">(Pā. sū. 6-2-1) the first-member accent comes.</w:t>
      </w:r>
    </w:p>
    <w:p>
      <w:pPr>
        <w:pStyle w:val="BodyText"/>
      </w:pPr>
      <w:r>
        <w:rPr>
          <w:bCs/>
          <w:b/>
        </w:rPr>
        <w:t xml:space="preserve">अध्वरे (</w:t>
      </w:r>
      <w:r>
        <w:rPr>
          <w:iCs/>
          <w:i/>
          <w:bCs/>
          <w:b/>
        </w:rPr>
        <w:t xml:space="preserve">adhvare</w:t>
      </w:r>
      <w:r>
        <w:rPr>
          <w:bCs/>
          <w:b/>
        </w:rPr>
        <w:t xml:space="preserve">)</w:t>
      </w:r>
      <w:r>
        <w:t xml:space="preserve">:</w:t>
      </w:r>
      <w:r>
        <w:t xml:space="preserve"> </w:t>
      </w:r>
      <w:r>
        <w:rPr>
          <w:iCs/>
          <w:i/>
        </w:rPr>
        <w:t xml:space="preserve">na vidyate dhvaraḥ hiṃsā yasmin saḥ adhvaraḥ</w:t>
      </w:r>
      <w:r>
        <w:t xml:space="preserve">; overriding the first-member accent, by</w:t>
      </w:r>
      <w:r>
        <w:t xml:space="preserve"> </w:t>
      </w:r>
      <w:r>
        <w:t xml:space="preserve">“</w:t>
      </w:r>
      <w:r>
        <w:t xml:space="preserve">nañsubhyām</w:t>
      </w:r>
      <w:r>
        <w:t xml:space="preserve">”</w:t>
      </w:r>
      <w:r>
        <w:t xml:space="preserve"> </w:t>
      </w:r>
      <w:r>
        <w:t xml:space="preserve">(Pā. sū. 6-2-172) the second member is final udātta.</w:t>
      </w:r>
    </w:p>
    <w:p>
      <w:pPr>
        <w:pStyle w:val="BodyText"/>
      </w:pPr>
      <w:r>
        <w:rPr>
          <w:bCs/>
          <w:b/>
        </w:rPr>
        <w:t xml:space="preserve">ईळते (</w:t>
      </w:r>
      <w:r>
        <w:rPr>
          <w:iCs/>
          <w:i/>
          <w:bCs/>
          <w:b/>
        </w:rPr>
        <w:t xml:space="preserve">īḷate</w:t>
      </w:r>
      <w:r>
        <w:rPr>
          <w:bCs/>
          <w:b/>
        </w:rPr>
        <w:t xml:space="preserve">)</w:t>
      </w:r>
      <w:r>
        <w:t xml:space="preserve">:</w:t>
      </w:r>
      <w:r>
        <w:t xml:space="preserve"> </w:t>
      </w:r>
      <w:r>
        <w:rPr>
          <w:iCs/>
          <w:i/>
        </w:rPr>
        <w:t xml:space="preserve">īḍa stutau</w:t>
      </w:r>
      <w:r>
        <w:t xml:space="preserve">; the root is</w:t>
      </w:r>
      <w:r>
        <w:t xml:space="preserve"> </w:t>
      </w:r>
      <w:r>
        <w:rPr>
          <w:iCs/>
          <w:i/>
        </w:rPr>
        <w:t xml:space="preserve">anudāttet</w:t>
      </w:r>
      <w:r>
        <w:t xml:space="preserve">, so by</w:t>
      </w:r>
      <w:r>
        <w:t xml:space="preserve"> </w:t>
      </w:r>
      <w:r>
        <w:t xml:space="preserve">“</w:t>
      </w:r>
      <w:r>
        <w:t xml:space="preserve">anudāttaṅita ātmanepadam</w:t>
      </w:r>
      <w:r>
        <w:t xml:space="preserve">”</w:t>
      </w:r>
      <w:r>
        <w:t xml:space="preserve"> </w:t>
      </w:r>
      <w:r>
        <w:t xml:space="preserve">(Pā. sū. 1-3-12) the</w:t>
      </w:r>
      <w:r>
        <w:t xml:space="preserve"> </w:t>
      </w:r>
      <w:r>
        <w:rPr>
          <w:iCs/>
          <w:i/>
        </w:rPr>
        <w:t xml:space="preserve">ātmanepada</w:t>
      </w:r>
      <w:r>
        <w:t xml:space="preserve">.</w:t>
      </w:r>
      <w:r>
        <w:t xml:space="preserve"> </w:t>
      </w:r>
      <w:r>
        <w:rPr>
          <w:iCs/>
          <w:i/>
        </w:rPr>
        <w:t xml:space="preserve">Laṭ</w:t>
      </w:r>
      <w:r>
        <w:t xml:space="preserve">, 3rd plural</w:t>
      </w:r>
      <w:r>
        <w:t xml:space="preserve"> </w:t>
      </w:r>
      <w:r>
        <w:rPr>
          <w:iCs/>
          <w:i/>
        </w:rPr>
        <w:t xml:space="preserve">jha</w:t>
      </w:r>
      <w:r>
        <w:t xml:space="preserve">. The</w:t>
      </w:r>
      <w:r>
        <w:t xml:space="preserve"> </w:t>
      </w:r>
      <w:r>
        <w:rPr>
          <w:iCs/>
          <w:i/>
        </w:rPr>
        <w:t xml:space="preserve">vikaraṇa</w:t>
      </w:r>
      <w:r>
        <w:t xml:space="preserve"> </w:t>
      </w:r>
      <w:r>
        <w:rPr>
          <w:iCs/>
          <w:i/>
        </w:rPr>
        <w:t xml:space="preserve">śap</w:t>
      </w:r>
      <w:r>
        <w:t xml:space="preserve"> </w:t>
      </w:r>
      <w:r>
        <w:t xml:space="preserve">is dropped by</w:t>
      </w:r>
      <w:r>
        <w:t xml:space="preserve"> </w:t>
      </w:r>
      <w:r>
        <w:t xml:space="preserve">“</w:t>
      </w:r>
      <w:r>
        <w:t xml:space="preserve">adiprabhṛtibhyaḥ śapaḥ</w:t>
      </w:r>
      <w:r>
        <w:t xml:space="preserve">”</w:t>
      </w:r>
      <w:r>
        <w:t xml:space="preserve"> </w:t>
      </w:r>
      <w:r>
        <w:t xml:space="preserve">(Pā. sū. 2-4-72). By</w:t>
      </w:r>
      <w:r>
        <w:t xml:space="preserve"> </w:t>
      </w:r>
      <w:r>
        <w:t xml:space="preserve">“</w:t>
      </w:r>
      <w:r>
        <w:t xml:space="preserve">ātmanepadeṣv anataḥ</w:t>
      </w:r>
      <w:r>
        <w:t xml:space="preserve">”</w:t>
      </w:r>
      <w:r>
        <w:t xml:space="preserve"> </w:t>
      </w:r>
      <w:r>
        <w:t xml:space="preserve">(Pā. sū. 7-1-5)</w:t>
      </w:r>
      <w:r>
        <w:t xml:space="preserve"> </w:t>
      </w:r>
      <w:r>
        <w:rPr>
          <w:iCs/>
          <w:i/>
        </w:rPr>
        <w:t xml:space="preserve">at</w:t>
      </w:r>
      <w:r>
        <w:t xml:space="preserve"> </w:t>
      </w:r>
      <w:r>
        <w:t xml:space="preserve">for the</w:t>
      </w:r>
      <w:r>
        <w:t xml:space="preserve"> </w:t>
      </w:r>
      <w:r>
        <w:rPr>
          <w:iCs/>
          <w:i/>
        </w:rPr>
        <w:t xml:space="preserve">jh</w:t>
      </w:r>
      <w:r>
        <w:t xml:space="preserve">. By</w:t>
      </w:r>
      <w:r>
        <w:t xml:space="preserve"> </w:t>
      </w:r>
      <w:r>
        <w:t xml:space="preserve">“</w:t>
      </w:r>
      <w:r>
        <w:t xml:space="preserve">ṭita ātmanepadānāṃ ṭere</w:t>
      </w:r>
      <w:r>
        <w:t xml:space="preserve">”</w:t>
      </w:r>
      <w:r>
        <w:t xml:space="preserve"> </w:t>
      </w:r>
      <w:r>
        <w:t xml:space="preserve">(Pā. sū. 3-4-79)</w:t>
      </w:r>
      <w:r>
        <w:t xml:space="preserve"> </w:t>
      </w:r>
      <w:r>
        <w:rPr>
          <w:iCs/>
          <w:i/>
        </w:rPr>
        <w:t xml:space="preserve">e</w:t>
      </w:r>
      <w:r>
        <w:t xml:space="preserve"> </w:t>
      </w:r>
      <w:r>
        <w:t xml:space="preserve">for the</w:t>
      </w:r>
      <w:r>
        <w:t xml:space="preserve"> </w:t>
      </w:r>
      <w:r>
        <w:rPr>
          <w:iCs/>
          <w:i/>
        </w:rPr>
        <w:t xml:space="preserve">ṭi</w:t>
      </w:r>
      <w:r>
        <w:t xml:space="preserve">:</w:t>
      </w:r>
      <w:r>
        <w:t xml:space="preserve"> </w:t>
      </w:r>
      <w:r>
        <w:rPr>
          <w:iCs/>
          <w:i/>
        </w:rPr>
        <w:t xml:space="preserve">īḍate</w:t>
      </w:r>
      <w:r>
        <w:t xml:space="preserve">;</w:t>
      </w:r>
      <w:r>
        <w:t xml:space="preserve"> </w:t>
      </w:r>
      <w:r>
        <w:rPr>
          <w:iCs/>
          <w:i/>
        </w:rPr>
        <w:t xml:space="preserve">ḷ</w:t>
      </w:r>
      <w:r>
        <w:t xml:space="preserve"> </w:t>
      </w:r>
      <w:r>
        <w:t xml:space="preserve">for the</w:t>
      </w:r>
      <w:r>
        <w:t xml:space="preserve"> </w:t>
      </w:r>
      <w:r>
        <w:rPr>
          <w:iCs/>
          <w:i/>
        </w:rPr>
        <w:t xml:space="preserve">ḍ</w:t>
      </w:r>
      <w:r>
        <w:t xml:space="preserve"> </w:t>
      </w:r>
      <w:r>
        <w:t xml:space="preserve">by</w:t>
      </w:r>
      <w:r>
        <w:t xml:space="preserve"> </w:t>
      </w:r>
      <w:r>
        <w:t xml:space="preserve">“</w:t>
      </w:r>
      <w:r>
        <w:t xml:space="preserve">ajmadhyasya ḍakārasya…</w:t>
      </w:r>
      <w:r>
        <w:t xml:space="preserve">”</w:t>
      </w:r>
      <w:r>
        <w:t xml:space="preserve">.</w:t>
      </w:r>
    </w:p>
    <w:p>
      <w:pPr>
        <w:pStyle w:val="BodyText"/>
      </w:pPr>
      <w:r>
        <w:rPr>
          <w:bCs/>
          <w:b/>
        </w:rPr>
        <w:t xml:space="preserve">॥७॥</w:t>
      </w:r>
    </w:p>
    <w:p>
      <w:r>
        <w:pict>
          <v:rect style="width:0;height:1.5pt" o:hralign="center" o:hrstd="t" o:hr="t"/>
        </w:pict>
      </w:r>
    </w:p>
    <w:bookmarkEnd w:id="710"/>
    <w:bookmarkStart w:id="711" w:name="page-657-sūkta-15-rik-8"/>
    <w:p>
      <w:pPr>
        <w:pStyle w:val="Heading3"/>
      </w:pPr>
      <w:r>
        <w:t xml:space="preserve">Page 657 — Sūkta 15, Rik 8</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द्र॒वि॒णो॒दा द॑दातु नो॒ वसू॑नि॒ यानि॑ शृण्वि॒रे ।</w:t>
      </w:r>
      <w:r>
        <w:t xml:space="preserve"> </w:t>
      </w:r>
      <w:r>
        <w:t xml:space="preserve">दे॒वेषु॒ ता व॑नामहे ॥८॥</w:t>
      </w:r>
    </w:p>
    <w:p>
      <w:pPr>
        <w:pStyle w:val="BlockText"/>
      </w:pPr>
      <w:r>
        <w:rPr>
          <w:iCs/>
          <w:i/>
        </w:rPr>
        <w:t xml:space="preserve">draviṇodā́ dadātu no vásūni yā́ni śṛṇviré |</w:t>
      </w:r>
      <w:r>
        <w:t xml:space="preserve"> </w:t>
      </w:r>
      <w:r>
        <w:rPr>
          <w:iCs/>
          <w:i/>
        </w:rPr>
        <w:t xml:space="preserve">devéṣu tā́ vanāmahe ||8||</w:t>
      </w:r>
    </w:p>
    <w:p>
      <w:pPr>
        <w:pStyle w:val="FirstParagraph"/>
      </w:pPr>
      <w:r>
        <w:rPr>
          <w:bCs/>
          <w:b/>
        </w:rPr>
        <w:t xml:space="preserve">॥ Pada-pāṭhaḥ ॥</w:t>
      </w:r>
    </w:p>
    <w:p>
      <w:pPr>
        <w:pStyle w:val="BlockText"/>
      </w:pPr>
      <w:r>
        <w:t xml:space="preserve">द्रविणःऽदाः । ददातु । नः । वसूनि । यानि । शृण्विरे ॥</w:t>
      </w:r>
      <w:r>
        <w:t xml:space="preserve"> </w:t>
      </w:r>
      <w:r>
        <w:t xml:space="preserve">देवेषु । ता । वनामहे ॥८॥</w:t>
      </w:r>
    </w:p>
    <w:p>
      <w:pPr>
        <w:pStyle w:val="BlockText"/>
      </w:pPr>
      <w:r>
        <w:rPr>
          <w:iCs/>
          <w:i/>
        </w:rPr>
        <w:t xml:space="preserve">draviṇaḥ ’dāḥ | dadātu | naḥ | vasūni | yāni | śṛṇvire ||</w:t>
      </w:r>
      <w:r>
        <w:t xml:space="preserve"> </w:t>
      </w:r>
      <w:r>
        <w:rPr>
          <w:iCs/>
          <w:i/>
        </w:rPr>
        <w:t xml:space="preserve">deveṣu | tā | vanāmahe ||8||</w:t>
      </w:r>
    </w:p>
    <w:p>
      <w:pPr>
        <w:pStyle w:val="FirstParagraph"/>
      </w:pPr>
      <w:r>
        <w:rPr>
          <w:bCs/>
          <w:b/>
        </w:rPr>
        <w:t xml:space="preserve">॥ Sāyaṇa-bhāṣyam ॥</w:t>
      </w:r>
    </w:p>
    <w:p>
      <w:pPr>
        <w:pStyle w:val="BlockText"/>
      </w:pPr>
      <w:r>
        <w:t xml:space="preserve">द्रविणोदा देवो नो ऽस्मभ्यं वसूनि धनानि ददातु । यानि धनानि शृण्विरे हविरुपयुक्तत्वेन श्रूयन्ते । ता तानि च सर्वाणि धनानि देवेषु निमित्तभूतेषु वनामहे । सम्भजामः । धनैर्देवान्यष्टुं तानि स्वीकुर्म इत्यर्थः ॥ द्रविणोदाः । गतं । वसूनि । शृस्वृस्निहीत्यादिना । उ. १-११ । उप्रत्ययः । निदित्यनुवृत्तेराद्युदात्तः । शृण्विरे । श्रु श्रवणे । छन्दसि लुङ्लङ्लिट इति वर्तमाने लिट् । झ इरेच् । पा. ३-४-८१ । छन्दस्युभयथेति सार्वधातुकत्वे व्यत्ययेन श्नुः । तत्सन्नियोगेन शृभावश्च । उवङि प्राप्ते हुश्नुवोः सार्वधातुके । पा. ६-४-८७ । इति यणादेशः । चित इत्यन्तोदात्तत्वं । यद्वृत्तान्नित्यमिति निघातप्रतिषेधः । ता । शेश्छन्दसि बहुलमिति शेर्लोपः । नलोपः प्रातिपदिकान्तस्य । पा. ८-२-७ । इति नलोपः । वनामहे । वन षण सम्भक्तौ । व्यत्ययेनात्मनेपदं ॥</w:t>
      </w:r>
    </w:p>
    <w:p>
      <w:pPr>
        <w:pStyle w:val="BlockText"/>
      </w:pPr>
      <w:r>
        <w:rPr>
          <w:iCs/>
          <w:i/>
        </w:rPr>
        <w:t xml:space="preserve">draviṇodā devo no ’smabhyaṃ vasūni dhanāni dadātu | yāni dhanāni śṛṇvire havirupayuktatvena śrūyante | tā tāni ca sarvāṇi dhanāni deveṣu nimittabhūteṣu vanāmahe | sambhajāmaḥ | dhanairdevānyaṣṭuṃ tāni svīkurma ityarthaḥ || draviṇodāḥ | gataṃ | vasūni | śṛsvṛsnihītyādinā | u. 1-11 | upratyayaḥ | nidityanuvṛtterādyudāttaḥ | śṛṇvire | śru śravaṇe | chandasi luṅlaṅliṭa iti vartamāne liṭ | jha irec | pā. 3-4-81 | chandasyubhayatheti sārvadhātukatve vyatyayena śnuḥ | tatsanniyogena śṛbhāvaśca | uvaṅi prāpte huśnuvoḥ sārvadhātuke | pā. 6-4-87 | iti yaṇādeśaḥ | cita ityantodāttatvaṃ | yadvṛttānnityamiti nighātapratiṣedhaḥ | tā | śeśchandasi bahulamiti śerlopaḥ | nalopaḥ prātipadikāntasya | pā. 8-2-7 | iti nalopaḥ | vanāmahe | vana ṣaṇa sambhaktau | vyatyayenātmanepadaṃ ||</w:t>
      </w:r>
    </w:p>
    <w:p>
      <w:pPr>
        <w:pStyle w:val="FirstParagraph"/>
      </w:pPr>
      <w:r>
        <w:rPr>
          <w:bCs/>
          <w:b/>
        </w:rPr>
        <w:t xml:space="preserve">Translation:</w:t>
      </w:r>
      <w:r>
        <w:t xml:space="preserve"> </w:t>
      </w:r>
      <w:r>
        <w:t xml:space="preserve">“</w:t>
      </w:r>
      <w:r>
        <w:t xml:space="preserve">May the god Draviṇodas give us</w:t>
      </w:r>
      <w:r>
        <w:t xml:space="preserve"> </w:t>
      </w:r>
      <w:r>
        <w:rPr>
          <w:iCs/>
          <w:i/>
        </w:rPr>
        <w:t xml:space="preserve">vasūni</w:t>
      </w:r>
      <w:r>
        <w:t xml:space="preserve">, riches. The riches that</w:t>
      </w:r>
      <w:r>
        <w:t xml:space="preserve"> </w:t>
      </w:r>
      <w:r>
        <w:rPr>
          <w:iCs/>
          <w:i/>
        </w:rPr>
        <w:t xml:space="preserve">śṛṇvire</w:t>
      </w:r>
      <w:r>
        <w:t xml:space="preserve">, are heard of, as fit for oblations:</w:t>
      </w:r>
      <w:r>
        <w:t xml:space="preserve"> </w:t>
      </w:r>
      <w:r>
        <w:rPr>
          <w:iCs/>
          <w:i/>
        </w:rPr>
        <w:t xml:space="preserve">tā</w:t>
      </w:r>
      <w:r>
        <w:t xml:space="preserve">, all those riches,</w:t>
      </w:r>
      <w:r>
        <w:t xml:space="preserve"> </w:t>
      </w:r>
      <w:r>
        <w:rPr>
          <w:iCs/>
          <w:i/>
        </w:rPr>
        <w:t xml:space="preserve">devesu</w:t>
      </w:r>
      <w:r>
        <w:t xml:space="preserve">, for the sake of the gods,</w:t>
      </w:r>
      <w:r>
        <w:t xml:space="preserve"> </w:t>
      </w:r>
      <w:r>
        <w:rPr>
          <w:iCs/>
          <w:i/>
        </w:rPr>
        <w:t xml:space="preserve">vanāmahe</w:t>
      </w:r>
      <w:r>
        <w:t xml:space="preserve">, we accept; that is, we take them in order to worship the gods with riches.</w:t>
      </w:r>
      <w:r>
        <w:t xml:space="preserve">”</w:t>
      </w:r>
      <w:r>
        <w:t xml:space="preserve"> </w:t>
      </w:r>
      <w:r>
        <w:t xml:space="preserve">(Grammatical tail:</w:t>
      </w:r>
      <w:r>
        <w:t xml:space="preserve"> </w:t>
      </w:r>
      <w:r>
        <w:rPr>
          <w:iCs/>
          <w:i/>
        </w:rPr>
        <w:t xml:space="preserve">draviṇodāḥ</w:t>
      </w:r>
      <w:r>
        <w:t xml:space="preserve"> </w:t>
      </w:r>
      <w:r>
        <w:t xml:space="preserve">gone through;</w:t>
      </w:r>
      <w:r>
        <w:t xml:space="preserve"> </w:t>
      </w:r>
      <w:r>
        <w:rPr>
          <w:iCs/>
          <w:i/>
        </w:rPr>
        <w:t xml:space="preserve">vasūni</w:t>
      </w:r>
      <w:r>
        <w:t xml:space="preserve"> </w:t>
      </w:r>
      <w:r>
        <w:t xml:space="preserve">with</w:t>
      </w:r>
      <w:r>
        <w:t xml:space="preserve"> </w:t>
      </w:r>
      <w:r>
        <w:rPr>
          <w:iCs/>
          <w:i/>
        </w:rPr>
        <w:t xml:space="preserve">u</w:t>
      </w:r>
      <w:r>
        <w:t xml:space="preserve"> </w:t>
      </w:r>
      <w:r>
        <w:t xml:space="preserve">(Uṇ. 1-11), initial udātta (</w:t>
      </w:r>
      <w:r>
        <w:rPr>
          <w:iCs/>
          <w:i/>
        </w:rPr>
        <w:t xml:space="preserve">nit</w:t>
      </w:r>
      <w:r>
        <w:t xml:space="preserve"> </w:t>
      </w:r>
      <w:r>
        <w:t xml:space="preserve">carried on);</w:t>
      </w:r>
      <w:r>
        <w:t xml:space="preserve"> </w:t>
      </w:r>
      <w:r>
        <w:rPr>
          <w:iCs/>
          <w:i/>
        </w:rPr>
        <w:t xml:space="preserve">śṛṇvire</w:t>
      </w:r>
      <w:r>
        <w:t xml:space="preserve">:</w:t>
      </w:r>
      <w:r>
        <w:t xml:space="preserve"> </w:t>
      </w:r>
      <w:r>
        <w:rPr>
          <w:iCs/>
          <w:i/>
        </w:rPr>
        <w:t xml:space="preserve">śru</w:t>
      </w:r>
      <w:r>
        <w:t xml:space="preserve">,</w:t>
      </w:r>
      <w:r>
        <w:t xml:space="preserve"> </w:t>
      </w:r>
      <w:r>
        <w:rPr>
          <w:iCs/>
          <w:i/>
        </w:rPr>
        <w:t xml:space="preserve">liṭ</w:t>
      </w:r>
      <w:r>
        <w:t xml:space="preserve"> </w:t>
      </w:r>
      <w:r>
        <w:t xml:space="preserve">in the present,</w:t>
      </w:r>
      <w:r>
        <w:t xml:space="preserve"> </w:t>
      </w:r>
      <w:r>
        <w:rPr>
          <w:iCs/>
          <w:i/>
        </w:rPr>
        <w:t xml:space="preserve">irec</w:t>
      </w:r>
      <w:r>
        <w:t xml:space="preserve"> </w:t>
      </w:r>
      <w:r>
        <w:t xml:space="preserve">for</w:t>
      </w:r>
      <w:r>
        <w:t xml:space="preserve"> </w:t>
      </w:r>
      <w:r>
        <w:rPr>
          <w:iCs/>
          <w:i/>
        </w:rPr>
        <w:t xml:space="preserve">jha</w:t>
      </w:r>
      <w:r>
        <w:t xml:space="preserve"> </w:t>
      </w:r>
      <w:r>
        <w:t xml:space="preserve">(Pā. 3-4-81), by</w:t>
      </w:r>
      <w:r>
        <w:t xml:space="preserve"> </w:t>
      </w:r>
      <w:r>
        <w:rPr>
          <w:iCs/>
          <w:i/>
        </w:rPr>
        <w:t xml:space="preserve">chandasy ubhayathā</w:t>
      </w:r>
      <w:r>
        <w:t xml:space="preserve"> </w:t>
      </w:r>
      <w:r>
        <w:rPr>
          <w:iCs/>
          <w:i/>
        </w:rPr>
        <w:t xml:space="preserve">sārvadhātuka</w:t>
      </w:r>
      <w:r>
        <w:t xml:space="preserve"> </w:t>
      </w:r>
      <w:r>
        <w:t xml:space="preserve">status and so by</w:t>
      </w:r>
      <w:r>
        <w:t xml:space="preserve"> </w:t>
      </w:r>
      <w:r>
        <w:rPr>
          <w:iCs/>
          <w:i/>
        </w:rPr>
        <w:t xml:space="preserve">vyatyaya</w:t>
      </w:r>
      <w:r>
        <w:t xml:space="preserve"> </w:t>
      </w:r>
      <w:r>
        <w:rPr>
          <w:iCs/>
          <w:i/>
        </w:rPr>
        <w:t xml:space="preserve">śnu</w:t>
      </w:r>
      <w:r>
        <w:t xml:space="preserve"> </w:t>
      </w:r>
      <w:r>
        <w:t xml:space="preserve">with</w:t>
      </w:r>
      <w:r>
        <w:t xml:space="preserve"> </w:t>
      </w:r>
      <w:r>
        <w:rPr>
          <w:iCs/>
          <w:i/>
        </w:rPr>
        <w:t xml:space="preserve">śṛ</w:t>
      </w:r>
      <w:r>
        <w:t xml:space="preserve"> </w:t>
      </w:r>
      <w:r>
        <w:t xml:space="preserve">for</w:t>
      </w:r>
      <w:r>
        <w:t xml:space="preserve"> </w:t>
      </w:r>
      <w:r>
        <w:rPr>
          <w:iCs/>
          <w:i/>
        </w:rPr>
        <w:t xml:space="preserve">śru</w:t>
      </w:r>
      <w:r>
        <w:t xml:space="preserve">,</w:t>
      </w:r>
      <w:r>
        <w:t xml:space="preserve"> </w:t>
      </w:r>
      <w:r>
        <w:rPr>
          <w:iCs/>
          <w:i/>
        </w:rPr>
        <w:t xml:space="preserve">yaṇ</w:t>
      </w:r>
      <w:r>
        <w:t xml:space="preserve"> </w:t>
      </w:r>
      <w:r>
        <w:t xml:space="preserve">for the</w:t>
      </w:r>
      <w:r>
        <w:t xml:space="preserve"> </w:t>
      </w:r>
      <w:r>
        <w:rPr>
          <w:iCs/>
          <w:i/>
        </w:rPr>
        <w:t xml:space="preserve">uvaṅ</w:t>
      </w:r>
      <w:r>
        <w:t xml:space="preserve"> </w:t>
      </w:r>
      <w:r>
        <w:t xml:space="preserve">by Pā. 6-4-87, final udātta (</w:t>
      </w:r>
      <w:r>
        <w:rPr>
          <w:iCs/>
          <w:i/>
        </w:rPr>
        <w:t xml:space="preserve">cit</w:t>
      </w:r>
      <w:r>
        <w:t xml:space="preserve">), not lowered because of the relative</w:t>
      </w:r>
      <w:r>
        <w:t xml:space="preserve"> </w:t>
      </w:r>
      <w:r>
        <w:rPr>
          <w:iCs/>
          <w:i/>
        </w:rPr>
        <w:t xml:space="preserve">yāni</w:t>
      </w:r>
      <w:r>
        <w:t xml:space="preserve">;</w:t>
      </w:r>
      <w:r>
        <w:t xml:space="preserve"> </w:t>
      </w:r>
      <w:r>
        <w:rPr>
          <w:iCs/>
          <w:i/>
        </w:rPr>
        <w:t xml:space="preserve">tā</w:t>
      </w:r>
      <w:r>
        <w:t xml:space="preserve">: the</w:t>
      </w:r>
      <w:r>
        <w:t xml:space="preserve"> </w:t>
      </w:r>
      <w:r>
        <w:rPr>
          <w:iCs/>
          <w:i/>
        </w:rPr>
        <w:t xml:space="preserve">śi</w:t>
      </w:r>
      <w:r>
        <w:t xml:space="preserve"> </w:t>
      </w:r>
      <w:r>
        <w:t xml:space="preserve">dropped by</w:t>
      </w:r>
      <w:r>
        <w:t xml:space="preserve"> </w:t>
      </w:r>
      <w:r>
        <w:rPr>
          <w:iCs/>
          <w:i/>
        </w:rPr>
        <w:t xml:space="preserve">śeś chandasi bahulam</w:t>
      </w:r>
      <w:r>
        <w:t xml:space="preserve">, the</w:t>
      </w:r>
      <w:r>
        <w:t xml:space="preserve"> </w:t>
      </w:r>
      <w:r>
        <w:rPr>
          <w:iCs/>
          <w:i/>
        </w:rPr>
        <w:t xml:space="preserve">n</w:t>
      </w:r>
      <w:r>
        <w:t xml:space="preserve"> </w:t>
      </w:r>
      <w:r>
        <w:t xml:space="preserve">dropped (Pā. 8-2-7);</w:t>
      </w:r>
      <w:r>
        <w:t xml:space="preserve"> </w:t>
      </w:r>
      <w:r>
        <w:rPr>
          <w:iCs/>
          <w:i/>
        </w:rPr>
        <w:t xml:space="preserve">vanāmahe</w:t>
      </w:r>
      <w:r>
        <w:t xml:space="preserve">,</w:t>
      </w:r>
      <w:r>
        <w:t xml:space="preserve"> </w:t>
      </w:r>
      <w:r>
        <w:rPr>
          <w:iCs/>
          <w:i/>
        </w:rPr>
        <w:t xml:space="preserve">van</w:t>
      </w:r>
      <w:r>
        <w:t xml:space="preserve"> </w:t>
      </w:r>
      <w:r>
        <w:t xml:space="preserve">‘</w:t>
      </w:r>
      <w:r>
        <w:t xml:space="preserve">to share</w:t>
      </w:r>
      <w:r>
        <w:t xml:space="preserve">’</w:t>
      </w:r>
      <w:r>
        <w:t xml:space="preserve">,</w:t>
      </w:r>
      <w:r>
        <w:t xml:space="preserve"> </w:t>
      </w:r>
      <w:r>
        <w:rPr>
          <w:iCs/>
          <w:i/>
        </w:rPr>
        <w:t xml:space="preserve">ātmanepada</w:t>
      </w:r>
      <w:r>
        <w:t xml:space="preserve"> </w:t>
      </w:r>
      <w:r>
        <w:t xml:space="preserve">by</w:t>
      </w:r>
      <w:r>
        <w:t xml:space="preserve"> </w:t>
      </w:r>
      <w:r>
        <w:rPr>
          <w:iCs/>
          <w:i/>
        </w:rPr>
        <w:t xml:space="preserve">vyatyaya</w:t>
      </w:r>
      <w:r>
        <w:t xml:space="preserve">.)</w:t>
      </w:r>
    </w:p>
    <w:p>
      <w:pPr>
        <w:pStyle w:val="BodyText"/>
      </w:pPr>
      <w:r>
        <w:rPr>
          <w:bCs/>
          <w:b/>
        </w:rPr>
        <w:t xml:space="preserve">॥ Prati-padārthaḥ ॥</w:t>
      </w:r>
    </w:p>
    <w:p>
      <w:pPr>
        <w:pStyle w:val="BodyText"/>
      </w:pPr>
      <w:r>
        <w:rPr>
          <w:bCs/>
          <w:b/>
        </w:rPr>
        <w:t xml:space="preserve">द्रविणोदाः (draviṇodāḥ)</w:t>
      </w:r>
      <w:r>
        <w:t xml:space="preserve"> </w:t>
      </w:r>
      <w:r>
        <w:t xml:space="preserve">— the god who gives wealth (Agni) |</w:t>
      </w:r>
      <w:r>
        <w:t xml:space="preserve"> </w:t>
      </w:r>
      <w:r>
        <w:rPr>
          <w:bCs/>
          <w:b/>
        </w:rPr>
        <w:t xml:space="preserve">यानि (yāni)</w:t>
      </w:r>
      <w:r>
        <w:t xml:space="preserve"> </w:t>
      </w:r>
      <w:r>
        <w:t xml:space="preserve">— the riches which |</w:t>
      </w:r>
      <w:r>
        <w:t xml:space="preserve"> </w:t>
      </w:r>
      <w:r>
        <w:rPr>
          <w:bCs/>
          <w:b/>
        </w:rPr>
        <w:t xml:space="preserve">शृण्विरे (śṛṇvire)</w:t>
      </w:r>
      <w:r>
        <w:t xml:space="preserve"> </w:t>
      </w:r>
      <w:r>
        <w:t xml:space="preserve">— are well known as fit for oblations |</w:t>
      </w:r>
      <w:r>
        <w:t xml:space="preserve"> </w:t>
      </w:r>
      <w:r>
        <w:rPr>
          <w:bCs/>
          <w:b/>
        </w:rPr>
        <w:t xml:space="preserve">ता वसूनि (tā vasūni)</w:t>
      </w:r>
      <w:r>
        <w:t xml:space="preserve"> </w:t>
      </w:r>
      <w:r>
        <w:t xml:space="preserve">— those riches |</w:t>
      </w:r>
      <w:r>
        <w:t xml:space="preserve"> </w:t>
      </w:r>
      <w:r>
        <w:rPr>
          <w:bCs/>
          <w:b/>
        </w:rPr>
        <w:t xml:space="preserve">नः (naḥ)</w:t>
      </w:r>
      <w:r>
        <w:t xml:space="preserve"> </w:t>
      </w:r>
      <w:r>
        <w:t xml:space="preserve">— to us |</w:t>
      </w:r>
      <w:r>
        <w:t xml:space="preserve"> </w:t>
      </w:r>
      <w:r>
        <w:rPr>
          <w:bCs/>
          <w:b/>
        </w:rPr>
        <w:t xml:space="preserve">ददातु (dadātu)</w:t>
      </w:r>
      <w:r>
        <w:t xml:space="preserve"> </w:t>
      </w:r>
      <w:r>
        <w:t xml:space="preserve">— may he give |</w:t>
      </w:r>
      <w:r>
        <w:t xml:space="preserve"> </w:t>
      </w:r>
      <w:r>
        <w:rPr>
          <w:bCs/>
          <w:b/>
        </w:rPr>
        <w:t xml:space="preserve">ता (tā)</w:t>
      </w:r>
      <w:r>
        <w:t xml:space="preserve"> </w:t>
      </w:r>
      <w:r>
        <w:t xml:space="preserve">— all those riches |</w:t>
      </w:r>
      <w:r>
        <w:t xml:space="preserve"> </w:t>
      </w:r>
      <w:r>
        <w:rPr>
          <w:bCs/>
          <w:b/>
        </w:rPr>
        <w:t xml:space="preserve">देवेषु (devesu)</w:t>
      </w:r>
      <w:r>
        <w:t xml:space="preserve"> </w:t>
      </w:r>
      <w:r>
        <w:t xml:space="preserve">— for the sake of the gods |</w:t>
      </w:r>
      <w:r>
        <w:t xml:space="preserve"> </w:t>
      </w:r>
      <w:r>
        <w:rPr>
          <w:bCs/>
          <w:b/>
        </w:rPr>
        <w:t xml:space="preserve">वनामहे (vanāmahe)</w:t>
      </w:r>
      <w:r>
        <w:t xml:space="preserve"> </w:t>
      </w:r>
      <w:r>
        <w:t xml:space="preserve">— we take.</w:t>
      </w:r>
    </w:p>
    <w:bookmarkEnd w:id="711"/>
    <w:bookmarkStart w:id="712" w:name="Xef5399751d777f85dfe830c46da3b535dccc29b"/>
    <w:p>
      <w:pPr>
        <w:pStyle w:val="Heading3"/>
      </w:pPr>
      <w:r>
        <w:t xml:space="preserve">Page 658 — Rik 8: overall sense, English, Special Topics, grammar</w:t>
      </w:r>
    </w:p>
    <w:p>
      <w:pPr>
        <w:pStyle w:val="FirstParagraph"/>
      </w:pPr>
      <w:r>
        <w:rPr>
          <w:bCs/>
          <w:b/>
        </w:rPr>
        <w:t xml:space="preserve">॥ Bhāvārthaḥ ॥</w:t>
      </w:r>
    </w:p>
    <w:p>
      <w:pPr>
        <w:pStyle w:val="BodyText"/>
      </w:pPr>
      <w:r>
        <w:t xml:space="preserve">We look for wealth for the works of the gods, such as sacrifices. May Agni, the giver of wealth, graciously grant us all the wealth known to be for these works.</w:t>
      </w:r>
    </w:p>
    <w:p>
      <w:pPr>
        <w:pStyle w:val="BodyText"/>
      </w:pPr>
      <w:r>
        <w:rPr>
          <w:bCs/>
          <w:b/>
        </w:rPr>
        <w:t xml:space="preserve">॥ English Translation ॥</w:t>
      </w:r>
      <w:r>
        <w:t xml:space="preserve"> </w:t>
      </w:r>
      <w:r>
        <w:rPr>
          <w:iCs/>
          <w:i/>
        </w:rPr>
        <w:t xml:space="preserve">(as printed in the source)</w:t>
      </w:r>
    </w:p>
    <w:p>
      <w:pPr>
        <w:pStyle w:val="BlockText"/>
      </w:pPr>
      <w:r>
        <w:t xml:space="preserve">May Dravinodas give us riches that may be heard of; we ask them towards the service of the gods.</w:t>
      </w:r>
    </w:p>
    <w:p>
      <w:pPr>
        <w:pStyle w:val="FirstParagraph"/>
      </w:pPr>
      <w:r>
        <w:rPr>
          <w:bCs/>
          <w:b/>
        </w:rPr>
        <w:t xml:space="preserve">॥ Viśeṣa-viṣayagaḷu (Special Topics) ॥</w:t>
      </w:r>
    </w:p>
    <w:p>
      <w:pPr>
        <w:pStyle w:val="BodyText"/>
      </w:pPr>
      <w:r>
        <w:rPr>
          <w:bCs/>
          <w:b/>
        </w:rPr>
        <w:t xml:space="preserve">Yāni śṛṇvire</w:t>
      </w:r>
      <w:r>
        <w:t xml:space="preserve">: all such things, of whatever kinds of wealth and lordship we have heard there are. Since it is said here</w:t>
      </w:r>
      <w:r>
        <w:t xml:space="preserve"> </w:t>
      </w:r>
      <w:r>
        <w:rPr>
          <w:iCs/>
          <w:i/>
        </w:rPr>
        <w:t xml:space="preserve">devesu tā vanāmahe</w:t>
      </w:r>
      <w:r>
        <w:t xml:space="preserve">, those things must be fit to be offered to the gods; so the Bhāṣyakāra says they are things fit for offering oblations.</w:t>
      </w:r>
    </w:p>
    <w:p>
      <w:pPr>
        <w:pStyle w:val="BodyText"/>
      </w:pPr>
      <w:r>
        <w:rPr>
          <w:bCs/>
          <w:b/>
        </w:rPr>
        <w:t xml:space="preserve">॥ Vyākaraṇa-prakriyā ॥</w:t>
      </w:r>
      <w:r>
        <w:t xml:space="preserve"> </w:t>
      </w:r>
      <w:r>
        <w:rPr>
          <w:iCs/>
          <w:i/>
        </w:rPr>
        <w:t xml:space="preserve">(grammar pages 658–659, noted briefly)</w:t>
      </w:r>
    </w:p>
    <w:p>
      <w:pPr>
        <w:pStyle w:val="BodyText"/>
      </w:pPr>
      <w:r>
        <w:rPr>
          <w:bCs/>
          <w:b/>
        </w:rPr>
        <w:t xml:space="preserve">द्रविणोदाः (</w:t>
      </w:r>
      <w:r>
        <w:rPr>
          <w:iCs/>
          <w:i/>
          <w:bCs/>
          <w:b/>
        </w:rPr>
        <w:t xml:space="preserve">draviṇodāḥ</w:t>
      </w:r>
      <w:r>
        <w:rPr>
          <w:bCs/>
          <w:b/>
        </w:rPr>
        <w:t xml:space="preserve">)</w:t>
      </w:r>
      <w:r>
        <w:t xml:space="preserve">: explained in the previous mantra.</w:t>
      </w:r>
    </w:p>
    <w:p>
      <w:pPr>
        <w:pStyle w:val="BodyText"/>
      </w:pPr>
      <w:r>
        <w:rPr>
          <w:bCs/>
          <w:b/>
        </w:rPr>
        <w:t xml:space="preserve">वसूनि (</w:t>
      </w:r>
      <w:r>
        <w:rPr>
          <w:iCs/>
          <w:i/>
          <w:bCs/>
          <w:b/>
        </w:rPr>
        <w:t xml:space="preserve">vasūni</w:t>
      </w:r>
      <w:r>
        <w:rPr>
          <w:bCs/>
          <w:b/>
        </w:rPr>
        <w:t xml:space="preserve">)</w:t>
      </w:r>
      <w:r>
        <w:t xml:space="preserve">: by</w:t>
      </w:r>
      <w:r>
        <w:t xml:space="preserve"> </w:t>
      </w:r>
      <w:r>
        <w:t xml:space="preserve">“</w:t>
      </w:r>
      <w:r>
        <w:t xml:space="preserve">śṛsvṛsnihitrapyasivasihanikledibandhimanibhyaś ca</w:t>
      </w:r>
      <w:r>
        <w:t xml:space="preserve">”</w:t>
      </w:r>
      <w:r>
        <w:t xml:space="preserve"> </w:t>
      </w:r>
      <w:r>
        <w:t xml:space="preserve">(Uṇ. sū.</w:t>
      </w:r>
      <w:r>
        <w:t xml:space="preserve"> </w:t>
      </w:r>
      <w:r>
        <w:t xml:space="preserve">“</w:t>
      </w:r>
      <w:r>
        <w:t xml:space="preserve">1-10</w:t>
      </w:r>
      <w:r>
        <w:t xml:space="preserve">”</w:t>
      </w:r>
      <w:r>
        <w:t xml:space="preserve"> </w:t>
      </w:r>
      <w:r>
        <w:t xml:space="preserve">[?]; the bhāṣya gives 1-11) the suffix</w:t>
      </w:r>
      <w:r>
        <w:t xml:space="preserve"> </w:t>
      </w:r>
      <w:r>
        <w:rPr>
          <w:iCs/>
          <w:i/>
        </w:rPr>
        <w:t xml:space="preserve">u</w:t>
      </w:r>
      <w:r>
        <w:t xml:space="preserve"> </w:t>
      </w:r>
      <w:r>
        <w:t xml:space="preserve">after</w:t>
      </w:r>
      <w:r>
        <w:t xml:space="preserve"> </w:t>
      </w:r>
      <w:r>
        <w:rPr>
          <w:iCs/>
          <w:i/>
        </w:rPr>
        <w:t xml:space="preserve">vasa nivāse</w:t>
      </w:r>
      <w:r>
        <w:t xml:space="preserve">. In this sūtra</w:t>
      </w:r>
      <w:r>
        <w:t xml:space="preserve"> </w:t>
      </w:r>
      <w:r>
        <w:rPr>
          <w:iCs/>
          <w:i/>
        </w:rPr>
        <w:t xml:space="preserve">nit</w:t>
      </w:r>
      <w:r>
        <w:t xml:space="preserve"> </w:t>
      </w:r>
      <w:r>
        <w:t xml:space="preserve">is carried on from</w:t>
      </w:r>
      <w:r>
        <w:t xml:space="preserve"> </w:t>
      </w:r>
      <w:r>
        <w:t xml:space="preserve">“</w:t>
      </w:r>
      <w:r>
        <w:t xml:space="preserve">dhānye nit</w:t>
      </w:r>
      <w:r>
        <w:t xml:space="preserve">”</w:t>
      </w:r>
      <w:r>
        <w:t xml:space="preserve"> </w:t>
      </w:r>
      <w:r>
        <w:t xml:space="preserve">(Uṇ. sū. 1-9); so the suffix</w:t>
      </w:r>
      <w:r>
        <w:t xml:space="preserve"> </w:t>
      </w:r>
      <w:r>
        <w:rPr>
          <w:iCs/>
          <w:i/>
        </w:rPr>
        <w:t xml:space="preserve">u</w:t>
      </w:r>
      <w:r>
        <w:t xml:space="preserve"> </w:t>
      </w:r>
      <w:r>
        <w:t xml:space="preserve">is</w:t>
      </w:r>
      <w:r>
        <w:t xml:space="preserve"> </w:t>
      </w:r>
      <w:r>
        <w:rPr>
          <w:iCs/>
          <w:i/>
        </w:rPr>
        <w:t xml:space="preserve">nit</w:t>
      </w:r>
      <w:r>
        <w:t xml:space="preserve">, and by</w:t>
      </w:r>
      <w:r>
        <w:t xml:space="preserve"> </w:t>
      </w:r>
      <w:r>
        <w:t xml:space="preserve">“</w:t>
      </w:r>
      <w:r>
        <w:t xml:space="preserve">ñnityādir nityam</w:t>
      </w:r>
      <w:r>
        <w:t xml:space="preserve">”</w:t>
      </w:r>
      <w:r>
        <w:t xml:space="preserve"> </w:t>
      </w:r>
      <w:r>
        <w:t xml:space="preserve">(Pā. sū. 6-1-197) initial udātta comes.</w:t>
      </w:r>
    </w:p>
    <w:p>
      <w:pPr>
        <w:pStyle w:val="BodyText"/>
      </w:pPr>
      <w:r>
        <w:rPr>
          <w:bCs/>
          <w:b/>
        </w:rPr>
        <w:t xml:space="preserve">शृण्विरे (</w:t>
      </w:r>
      <w:r>
        <w:rPr>
          <w:iCs/>
          <w:i/>
          <w:bCs/>
          <w:b/>
        </w:rPr>
        <w:t xml:space="preserve">śṛṇvire</w:t>
      </w:r>
      <w:r>
        <w:rPr>
          <w:bCs/>
          <w:b/>
        </w:rPr>
        <w:t xml:space="preserve">)</w:t>
      </w:r>
      <w:r>
        <w:t xml:space="preserve">:</w:t>
      </w:r>
      <w:r>
        <w:t xml:space="preserve"> </w:t>
      </w:r>
      <w:r>
        <w:rPr>
          <w:iCs/>
          <w:i/>
        </w:rPr>
        <w:t xml:space="preserve">śru śravaṇe</w:t>
      </w:r>
      <w:r>
        <w:t xml:space="preserve">; by</w:t>
      </w:r>
      <w:r>
        <w:t xml:space="preserve"> </w:t>
      </w:r>
      <w:r>
        <w:t xml:space="preserve">“</w:t>
      </w:r>
      <w:r>
        <w:t xml:space="preserve">chandasi luṅlaṅliṭaḥ</w:t>
      </w:r>
      <w:r>
        <w:t xml:space="preserve">”</w:t>
      </w:r>
      <w:r>
        <w:t xml:space="preserve"> </w:t>
      </w:r>
      <w:r>
        <w:t xml:space="preserve">(Pā. sū. 3-4-6)</w:t>
      </w:r>
      <w:r>
        <w:t xml:space="preserve"> </w:t>
      </w:r>
      <w:r>
        <w:rPr>
          <w:iCs/>
          <w:i/>
        </w:rPr>
        <w:t xml:space="preserve">liṭ</w:t>
      </w:r>
      <w:r>
        <w:t xml:space="preserve"> </w:t>
      </w:r>
      <w:r>
        <w:t xml:space="preserve">in the present sense; 3rd plural</w:t>
      </w:r>
      <w:r>
        <w:t xml:space="preserve"> </w:t>
      </w:r>
      <w:r>
        <w:rPr>
          <w:iCs/>
          <w:i/>
        </w:rPr>
        <w:t xml:space="preserve">jha</w:t>
      </w:r>
      <w:r>
        <w:t xml:space="preserve">; by</w:t>
      </w:r>
      <w:r>
        <w:t xml:space="preserve"> </w:t>
      </w:r>
      <w:r>
        <w:t xml:space="preserve">“</w:t>
      </w:r>
      <w:r>
        <w:t xml:space="preserve">liṭas tajhayor eśirec</w:t>
      </w:r>
      <w:r>
        <w:t xml:space="preserve">”</w:t>
      </w:r>
      <w:r>
        <w:t xml:space="preserve"> </w:t>
      </w:r>
      <w:r>
        <w:t xml:space="preserve">(Pā. sū. 3-4-81)</w:t>
      </w:r>
      <w:r>
        <w:t xml:space="preserve"> </w:t>
      </w:r>
      <w:r>
        <w:rPr>
          <w:iCs/>
          <w:i/>
        </w:rPr>
        <w:t xml:space="preserve">irec</w:t>
      </w:r>
      <w:r>
        <w:t xml:space="preserve"> </w:t>
      </w:r>
      <w:r>
        <w:t xml:space="preserve">for the</w:t>
      </w:r>
      <w:r>
        <w:t xml:space="preserve"> </w:t>
      </w:r>
      <w:r>
        <w:rPr>
          <w:iCs/>
          <w:i/>
        </w:rPr>
        <w:t xml:space="preserve">jha</w:t>
      </w:r>
      <w:r>
        <w:t xml:space="preserve">. By</w:t>
      </w:r>
      <w:r>
        <w:t xml:space="preserve"> </w:t>
      </w:r>
      <w:r>
        <w:t xml:space="preserve">“</w:t>
      </w:r>
      <w:r>
        <w:t xml:space="preserve">chandasy ubhayathā</w:t>
      </w:r>
      <w:r>
        <w:t xml:space="preserve">”</w:t>
      </w:r>
      <w:r>
        <w:t xml:space="preserve"> </w:t>
      </w:r>
      <w:r>
        <w:t xml:space="preserve">(Pā. sū. 3-4-117) it also has</w:t>
      </w:r>
      <w:r>
        <w:t xml:space="preserve"> </w:t>
      </w:r>
      <w:r>
        <w:rPr>
          <w:iCs/>
          <w:i/>
        </w:rPr>
        <w:t xml:space="preserve">sārvadhātuka</w:t>
      </w:r>
      <w:r>
        <w:t xml:space="preserve"> </w:t>
      </w:r>
      <w:r>
        <w:t xml:space="preserve">status; so by</w:t>
      </w:r>
      <w:r>
        <w:t xml:space="preserve"> </w:t>
      </w:r>
      <w:r>
        <w:t xml:space="preserve">“</w:t>
      </w:r>
      <w:r>
        <w:t xml:space="preserve">śruvaḥ śṛ ca</w:t>
      </w:r>
      <w:r>
        <w:t xml:space="preserve">”</w:t>
      </w:r>
      <w:r>
        <w:t xml:space="preserve"> </w:t>
      </w:r>
      <w:r>
        <w:t xml:space="preserve">(Pā. sū. 3-1-74)</w:t>
      </w:r>
      <w:r>
        <w:t xml:space="preserve"> </w:t>
      </w:r>
      <w:r>
        <w:rPr>
          <w:iCs/>
          <w:i/>
        </w:rPr>
        <w:t xml:space="preserve">śṛ</w:t>
      </w:r>
      <w:r>
        <w:t xml:space="preserve"> </w:t>
      </w:r>
      <w:r>
        <w:t xml:space="preserve">comes for</w:t>
      </w:r>
      <w:r>
        <w:t xml:space="preserve"> </w:t>
      </w:r>
      <w:r>
        <w:rPr>
          <w:iCs/>
          <w:i/>
        </w:rPr>
        <w:t xml:space="preserve">śru</w:t>
      </w:r>
      <w:r>
        <w:t xml:space="preserve">, together with the suffix</w:t>
      </w:r>
      <w:r>
        <w:t xml:space="preserve"> </w:t>
      </w:r>
      <w:r>
        <w:rPr>
          <w:iCs/>
          <w:i/>
        </w:rPr>
        <w:t xml:space="preserve">śnu</w:t>
      </w:r>
      <w:r>
        <w:t xml:space="preserve">:</w:t>
      </w:r>
      <w:r>
        <w:t xml:space="preserve"> </w:t>
      </w:r>
      <w:r>
        <w:rPr>
          <w:iCs/>
          <w:i/>
        </w:rPr>
        <w:t xml:space="preserve">śṛ</w:t>
      </w:r>
      <w:r>
        <w:t xml:space="preserve"> </w:t>
      </w:r>
      <w:r>
        <w:t xml:space="preserve">+</w:t>
      </w:r>
      <w:r>
        <w:t xml:space="preserve"> </w:t>
      </w:r>
      <w:r>
        <w:rPr>
          <w:iCs/>
          <w:i/>
        </w:rPr>
        <w:t xml:space="preserve">nu</w:t>
      </w:r>
      <w:r>
        <w:t xml:space="preserve"> </w:t>
      </w:r>
      <w:r>
        <w:t xml:space="preserve">+</w:t>
      </w:r>
      <w:r>
        <w:t xml:space="preserve"> </w:t>
      </w:r>
      <w:r>
        <w:rPr>
          <w:iCs/>
          <w:i/>
        </w:rPr>
        <w:t xml:space="preserve">ire</w:t>
      </w:r>
      <w:r>
        <w:t xml:space="preserve">. Now</w:t>
      </w:r>
      <w:r>
        <w:t xml:space="preserve"> </w:t>
      </w:r>
      <w:r>
        <w:t xml:space="preserve">“</w:t>
      </w:r>
      <w:r>
        <w:t xml:space="preserve">iko yaṇ aci</w:t>
      </w:r>
      <w:r>
        <w:t xml:space="preserve">”</w:t>
      </w:r>
      <w:r>
        <w:t xml:space="preserve"> </w:t>
      </w:r>
      <w:r>
        <w:t xml:space="preserve">(Pā. sū. 6-1-77) would give</w:t>
      </w:r>
      <w:r>
        <w:t xml:space="preserve"> </w:t>
      </w:r>
      <w:r>
        <w:rPr>
          <w:iCs/>
          <w:i/>
        </w:rPr>
        <w:t xml:space="preserve">yaṇ</w:t>
      </w:r>
      <w:r>
        <w:t xml:space="preserve">; overriding it,</w:t>
      </w:r>
      <w:r>
        <w:t xml:space="preserve"> </w:t>
      </w:r>
      <w:r>
        <w:t xml:space="preserve">“</w:t>
      </w:r>
      <w:r>
        <w:t xml:space="preserve">aci śnudhātubhruvāṃ yvor iyaṅuvaṅau</w:t>
      </w:r>
      <w:r>
        <w:t xml:space="preserve">”</w:t>
      </w:r>
      <w:r>
        <w:t xml:space="preserve"> </w:t>
      </w:r>
      <w:r>
        <w:t xml:space="preserve">(Pā. sū. 6-4-77) would give</w:t>
      </w:r>
      <w:r>
        <w:t xml:space="preserve"> </w:t>
      </w:r>
      <w:r>
        <w:rPr>
          <w:iCs/>
          <w:i/>
        </w:rPr>
        <w:t xml:space="preserve">uvaṅ</w:t>
      </w:r>
      <w:r>
        <w:t xml:space="preserve">; overriding that too,</w:t>
      </w:r>
      <w:r>
        <w:t xml:space="preserve"> </w:t>
      </w:r>
      <w:r>
        <w:t xml:space="preserve">“</w:t>
      </w:r>
      <w:r>
        <w:t xml:space="preserve">huśnuvoḥ sārvadhātuke</w:t>
      </w:r>
      <w:r>
        <w:t xml:space="preserve">”</w:t>
      </w:r>
      <w:r>
        <w:t xml:space="preserve"> </w:t>
      </w:r>
      <w:r>
        <w:t xml:space="preserve">(Pā. sū. 6-4-87): before a vowel-initial</w:t>
      </w:r>
      <w:r>
        <w:t xml:space="preserve"> </w:t>
      </w:r>
      <w:r>
        <w:rPr>
          <w:iCs/>
          <w:i/>
        </w:rPr>
        <w:t xml:space="preserve">sārvadhātuka</w:t>
      </w:r>
      <w:r>
        <w:t xml:space="preserve"> </w:t>
      </w:r>
      <w:r>
        <w:t xml:space="preserve">suffix, the</w:t>
      </w:r>
      <w:r>
        <w:t xml:space="preserve"> </w:t>
      </w:r>
      <w:r>
        <w:rPr>
          <w:iCs/>
          <w:i/>
        </w:rPr>
        <w:t xml:space="preserve">u</w:t>
      </w:r>
      <w:r>
        <w:t xml:space="preserve"> </w:t>
      </w:r>
      <w:r>
        <w:t xml:space="preserve">of</w:t>
      </w:r>
      <w:r>
        <w:t xml:space="preserve"> </w:t>
      </w:r>
      <w:r>
        <w:rPr>
          <w:iCs/>
          <w:i/>
        </w:rPr>
        <w:t xml:space="preserve">hu</w:t>
      </w:r>
      <w:r>
        <w:t xml:space="preserve"> </w:t>
      </w:r>
      <w:r>
        <w:t xml:space="preserve">and of a stem ending in</w:t>
      </w:r>
      <w:r>
        <w:t xml:space="preserve"> </w:t>
      </w:r>
      <w:r>
        <w:rPr>
          <w:iCs/>
          <w:i/>
        </w:rPr>
        <w:t xml:space="preserve">śnu</w:t>
      </w:r>
      <w:r>
        <w:t xml:space="preserve"> </w:t>
      </w:r>
      <w:r>
        <w:t xml:space="preserve">with several vowels,</w:t>
      </w:r>
    </w:p>
    <w:bookmarkEnd w:id="712"/>
    <w:bookmarkStart w:id="713" w:name="page-659-rik-8-grammar-end"/>
    <w:p>
      <w:pPr>
        <w:pStyle w:val="Heading3"/>
      </w:pPr>
      <w:r>
        <w:t xml:space="preserve">Page 659 — Rik 8: grammar (end)</w:t>
      </w:r>
    </w:p>
    <w:p>
      <w:pPr>
        <w:pStyle w:val="FirstParagraph"/>
      </w:pPr>
      <w:r>
        <w:t xml:space="preserve">not preceded by a conjunct, takes</w:t>
      </w:r>
      <w:r>
        <w:t xml:space="preserve"> </w:t>
      </w:r>
      <w:r>
        <w:rPr>
          <w:iCs/>
          <w:i/>
        </w:rPr>
        <w:t xml:space="preserve">yaṇ</w:t>
      </w:r>
      <w:r>
        <w:t xml:space="preserve">; so</w:t>
      </w:r>
      <w:r>
        <w:t xml:space="preserve"> </w:t>
      </w:r>
      <w:r>
        <w:rPr>
          <w:iCs/>
          <w:i/>
        </w:rPr>
        <w:t xml:space="preserve">yaṇ</w:t>
      </w:r>
      <w:r>
        <w:t xml:space="preserve">. By</w:t>
      </w:r>
      <w:r>
        <w:t xml:space="preserve"> </w:t>
      </w:r>
      <w:r>
        <w:t xml:space="preserve">“</w:t>
      </w:r>
      <w:r>
        <w:t xml:space="preserve">ṛvarṇān nasya ṇatvaṃ vācyam</w:t>
      </w:r>
      <w:r>
        <w:t xml:space="preserve">”</w:t>
      </w:r>
      <w:r>
        <w:t xml:space="preserve"> </w:t>
      </w:r>
      <w:r>
        <w:t xml:space="preserve">(Pā. sū. 8-4-1 vā. 1)</w:t>
      </w:r>
      <w:r>
        <w:t xml:space="preserve"> </w:t>
      </w:r>
      <w:r>
        <w:rPr>
          <w:iCs/>
          <w:i/>
        </w:rPr>
        <w:t xml:space="preserve">ṇ</w:t>
      </w:r>
      <w:r>
        <w:t xml:space="preserve"> </w:t>
      </w:r>
      <w:r>
        <w:t xml:space="preserve">for the</w:t>
      </w:r>
      <w:r>
        <w:t xml:space="preserve"> </w:t>
      </w:r>
      <w:r>
        <w:rPr>
          <w:iCs/>
          <w:i/>
        </w:rPr>
        <w:t xml:space="preserve">n</w:t>
      </w:r>
      <w:r>
        <w:t xml:space="preserve">:</w:t>
      </w:r>
      <w:r>
        <w:t xml:space="preserve"> </w:t>
      </w:r>
      <w:r>
        <w:rPr>
          <w:iCs/>
          <w:i/>
        </w:rPr>
        <w:t xml:space="preserve">śṛṇvire</w:t>
      </w:r>
      <w:r>
        <w:t xml:space="preserve">. The suffix</w:t>
      </w:r>
      <w:r>
        <w:t xml:space="preserve"> </w:t>
      </w:r>
      <w:r>
        <w:rPr>
          <w:iCs/>
          <w:i/>
        </w:rPr>
        <w:t xml:space="preserve">irec</w:t>
      </w:r>
      <w:r>
        <w:t xml:space="preserve"> </w:t>
      </w:r>
      <w:r>
        <w:t xml:space="preserve">is</w:t>
      </w:r>
      <w:r>
        <w:t xml:space="preserve"> </w:t>
      </w:r>
      <w:r>
        <w:rPr>
          <w:iCs/>
          <w:i/>
        </w:rPr>
        <w:t xml:space="preserve">cit</w:t>
      </w:r>
      <w:r>
        <w:t xml:space="preserve">, so by</w:t>
      </w:r>
      <w:r>
        <w:t xml:space="preserve"> </w:t>
      </w:r>
      <w:r>
        <w:t xml:space="preserve">“</w:t>
      </w:r>
      <w:r>
        <w:t xml:space="preserve">citaḥ</w:t>
      </w:r>
      <w:r>
        <w:t xml:space="preserve">”</w:t>
      </w:r>
      <w:r>
        <w:t xml:space="preserve"> </w:t>
      </w:r>
      <w:r>
        <w:t xml:space="preserve">(Pā. sū. 6-1-163) it is final udātta. By</w:t>
      </w:r>
      <w:r>
        <w:t xml:space="preserve"> </w:t>
      </w:r>
      <w:r>
        <w:t xml:space="preserve">“</w:t>
      </w:r>
      <w:r>
        <w:t xml:space="preserve">yadvṛttān nityam</w:t>
      </w:r>
      <w:r>
        <w:t xml:space="preserve">”</w:t>
      </w:r>
      <w:r>
        <w:t xml:space="preserve"> </w:t>
      </w:r>
      <w:r>
        <w:t xml:space="preserve">(Pā. sū. 8-1-66) the full lowering is barred, so</w:t>
      </w:r>
      <w:r>
        <w:t xml:space="preserve"> </w:t>
      </w:r>
      <w:r>
        <w:t xml:space="preserve">“</w:t>
      </w:r>
      <w:r>
        <w:t xml:space="preserve">tiṅṅatiṅaḥ</w:t>
      </w:r>
      <w:r>
        <w:t xml:space="preserve">”</w:t>
      </w:r>
      <w:r>
        <w:t xml:space="preserve"> </w:t>
      </w:r>
      <w:r>
        <w:t xml:space="preserve">(Pā. sū. 8-1-28) does not make it wholly unaccented.</w:t>
      </w:r>
    </w:p>
    <w:p>
      <w:pPr>
        <w:pStyle w:val="BodyText"/>
      </w:pPr>
      <w:r>
        <w:rPr>
          <w:bCs/>
          <w:b/>
        </w:rPr>
        <w:t xml:space="preserve">ता (</w:t>
      </w:r>
      <w:r>
        <w:rPr>
          <w:iCs/>
          <w:i/>
          <w:bCs/>
          <w:b/>
        </w:rPr>
        <w:t xml:space="preserve">tā</w:t>
      </w:r>
      <w:r>
        <w:rPr>
          <w:bCs/>
          <w:b/>
        </w:rPr>
        <w:t xml:space="preserve">)</w:t>
      </w:r>
      <w:r>
        <w:t xml:space="preserve">:</w:t>
      </w:r>
      <w:r>
        <w:t xml:space="preserve"> </w:t>
      </w:r>
      <w:r>
        <w:rPr>
          <w:iCs/>
          <w:i/>
        </w:rPr>
        <w:t xml:space="preserve">tad</w:t>
      </w:r>
      <w:r>
        <w:t xml:space="preserve"> </w:t>
      </w:r>
      <w:r>
        <w:t xml:space="preserve">in the neuter, with</w:t>
      </w:r>
      <w:r>
        <w:t xml:space="preserve"> </w:t>
      </w:r>
      <w:r>
        <w:rPr>
          <w:iCs/>
          <w:i/>
        </w:rPr>
        <w:t xml:space="preserve">śas</w:t>
      </w:r>
      <w:r>
        <w:t xml:space="preserve"> </w:t>
      </w:r>
      <w:r>
        <w:t xml:space="preserve">after it;</w:t>
      </w:r>
      <w:r>
        <w:t xml:space="preserve"> </w:t>
      </w:r>
      <w:r>
        <w:rPr>
          <w:iCs/>
          <w:i/>
        </w:rPr>
        <w:t xml:space="preserve">a</w:t>
      </w:r>
      <w:r>
        <w:t xml:space="preserve"> </w:t>
      </w:r>
      <w:r>
        <w:t xml:space="preserve">for the</w:t>
      </w:r>
      <w:r>
        <w:t xml:space="preserve"> </w:t>
      </w:r>
      <w:r>
        <w:rPr>
          <w:iCs/>
          <w:i/>
        </w:rPr>
        <w:t xml:space="preserve">d</w:t>
      </w:r>
      <w:r>
        <w:t xml:space="preserve"> </w:t>
      </w:r>
      <w:r>
        <w:t xml:space="preserve">by</w:t>
      </w:r>
      <w:r>
        <w:t xml:space="preserve"> </w:t>
      </w:r>
      <w:r>
        <w:t xml:space="preserve">“</w:t>
      </w:r>
      <w:r>
        <w:t xml:space="preserve">tyadādīnām aḥ</w:t>
      </w:r>
      <w:r>
        <w:t xml:space="preserve">”</w:t>
      </w:r>
      <w:r>
        <w:t xml:space="preserve"> </w:t>
      </w:r>
      <w:r>
        <w:t xml:space="preserve">(Pā. sū. 7-2-102);</w:t>
      </w:r>
      <w:r>
        <w:t xml:space="preserve"> </w:t>
      </w:r>
      <w:r>
        <w:rPr>
          <w:iCs/>
          <w:i/>
        </w:rPr>
        <w:t xml:space="preserve">pararūpa</w:t>
      </w:r>
      <w:r>
        <w:t xml:space="preserve"> </w:t>
      </w:r>
      <w:r>
        <w:t xml:space="preserve">by</w:t>
      </w:r>
      <w:r>
        <w:t xml:space="preserve"> </w:t>
      </w:r>
      <w:r>
        <w:t xml:space="preserve">“</w:t>
      </w:r>
      <w:r>
        <w:t xml:space="preserve">ato guṇe</w:t>
      </w:r>
      <w:r>
        <w:t xml:space="preserve">”</w:t>
      </w:r>
      <w:r>
        <w:t xml:space="preserve"> </w:t>
      </w:r>
      <w:r>
        <w:t xml:space="preserve">(Pā. sū. 6-1-97).</w:t>
      </w:r>
      <w:r>
        <w:t xml:space="preserve"> </w:t>
      </w:r>
      <w:r>
        <w:t xml:space="preserve">“</w:t>
      </w:r>
      <w:r>
        <w:t xml:space="preserve">jaśśasoḥ śiḥ</w:t>
      </w:r>
      <w:r>
        <w:t xml:space="preserve">”</w:t>
      </w:r>
      <w:r>
        <w:t xml:space="preserve"> </w:t>
      </w:r>
      <w:r>
        <w:t xml:space="preserve">(Pā. sū. 7-1-20): for</w:t>
      </w:r>
      <w:r>
        <w:t xml:space="preserve"> </w:t>
      </w:r>
      <w:r>
        <w:rPr>
          <w:iCs/>
          <w:i/>
        </w:rPr>
        <w:t xml:space="preserve">jas</w:t>
      </w:r>
      <w:r>
        <w:t xml:space="preserve"> </w:t>
      </w:r>
      <w:r>
        <w:t xml:space="preserve">and</w:t>
      </w:r>
      <w:r>
        <w:t xml:space="preserve"> </w:t>
      </w:r>
      <w:r>
        <w:rPr>
          <w:iCs/>
          <w:i/>
        </w:rPr>
        <w:t xml:space="preserve">śas</w:t>
      </w:r>
      <w:r>
        <w:t xml:space="preserve"> </w:t>
      </w:r>
      <w:r>
        <w:t xml:space="preserve">after a neuter stem, the replacement</w:t>
      </w:r>
      <w:r>
        <w:t xml:space="preserve"> </w:t>
      </w:r>
      <w:r>
        <w:rPr>
          <w:iCs/>
          <w:i/>
        </w:rPr>
        <w:t xml:space="preserve">śi</w:t>
      </w:r>
      <w:r>
        <w:t xml:space="preserve">; so</w:t>
      </w:r>
      <w:r>
        <w:t xml:space="preserve"> </w:t>
      </w:r>
      <w:r>
        <w:rPr>
          <w:iCs/>
          <w:i/>
        </w:rPr>
        <w:t xml:space="preserve">śi</w:t>
      </w:r>
      <w:r>
        <w:t xml:space="preserve"> </w:t>
      </w:r>
      <w:r>
        <w:t xml:space="preserve">for</w:t>
      </w:r>
      <w:r>
        <w:t xml:space="preserve"> </w:t>
      </w:r>
      <w:r>
        <w:rPr>
          <w:iCs/>
          <w:i/>
        </w:rPr>
        <w:t xml:space="preserve">śas</w:t>
      </w:r>
      <w:r>
        <w:t xml:space="preserve">. By</w:t>
      </w:r>
      <w:r>
        <w:t xml:space="preserve"> </w:t>
      </w:r>
      <w:r>
        <w:t xml:space="preserve">“</w:t>
      </w:r>
      <w:r>
        <w:t xml:space="preserve">śi sarvanāmasthānam</w:t>
      </w:r>
      <w:r>
        <w:t xml:space="preserve">”</w:t>
      </w:r>
      <w:r>
        <w:t xml:space="preserve"> </w:t>
      </w:r>
      <w:r>
        <w:t xml:space="preserve">(Pā. sū. 1-1-42)</w:t>
      </w:r>
      <w:r>
        <w:t xml:space="preserve"> </w:t>
      </w:r>
      <w:r>
        <w:rPr>
          <w:iCs/>
          <w:i/>
        </w:rPr>
        <w:t xml:space="preserve">śi</w:t>
      </w:r>
      <w:r>
        <w:t xml:space="preserve"> </w:t>
      </w:r>
      <w:r>
        <w:t xml:space="preserve">is a</w:t>
      </w:r>
      <w:r>
        <w:t xml:space="preserve"> </w:t>
      </w:r>
      <w:r>
        <w:rPr>
          <w:iCs/>
          <w:i/>
        </w:rPr>
        <w:t xml:space="preserve">sarvanāmasthāna</w:t>
      </w:r>
      <w:r>
        <w:t xml:space="preserve">.</w:t>
      </w:r>
      <w:r>
        <w:t xml:space="preserve"> </w:t>
      </w:r>
      <w:r>
        <w:t xml:space="preserve">“</w:t>
      </w:r>
      <w:r>
        <w:t xml:space="preserve">napuṃsakasya jhalacaḥ</w:t>
      </w:r>
      <w:r>
        <w:t xml:space="preserve">”</w:t>
      </w:r>
      <w:r>
        <w:t xml:space="preserve"> </w:t>
      </w:r>
      <w:r>
        <w:t xml:space="preserve">(Pā. sū. 7-1-72): a neuter stem ending in a</w:t>
      </w:r>
      <w:r>
        <w:t xml:space="preserve"> </w:t>
      </w:r>
      <w:r>
        <w:rPr>
          <w:iCs/>
          <w:i/>
        </w:rPr>
        <w:t xml:space="preserve">jhal</w:t>
      </w:r>
      <w:r>
        <w:t xml:space="preserve"> </w:t>
      </w:r>
      <w:r>
        <w:t xml:space="preserve">or a vowel takes the augment</w:t>
      </w:r>
      <w:r>
        <w:t xml:space="preserve"> </w:t>
      </w:r>
      <w:r>
        <w:rPr>
          <w:iCs/>
          <w:i/>
        </w:rPr>
        <w:t xml:space="preserve">num</w:t>
      </w:r>
      <w:r>
        <w:t xml:space="preserve"> </w:t>
      </w:r>
      <w:r>
        <w:t xml:space="preserve">before a</w:t>
      </w:r>
      <w:r>
        <w:t xml:space="preserve"> </w:t>
      </w:r>
      <w:r>
        <w:rPr>
          <w:iCs/>
          <w:i/>
        </w:rPr>
        <w:t xml:space="preserve">sarvanāmasthāna</w:t>
      </w:r>
      <w:r>
        <w:t xml:space="preserve">; so</w:t>
      </w:r>
      <w:r>
        <w:t xml:space="preserve"> </w:t>
      </w:r>
      <w:r>
        <w:rPr>
          <w:iCs/>
          <w:i/>
        </w:rPr>
        <w:t xml:space="preserve">num</w:t>
      </w:r>
      <w:r>
        <w:t xml:space="preserve">:</w:t>
      </w:r>
      <w:r>
        <w:t xml:space="preserve"> </w:t>
      </w:r>
      <w:r>
        <w:rPr>
          <w:iCs/>
          <w:i/>
        </w:rPr>
        <w:t xml:space="preserve">tan</w:t>
      </w:r>
      <w:r>
        <w:t xml:space="preserve"> </w:t>
      </w:r>
      <w:r>
        <w:t xml:space="preserve">+</w:t>
      </w:r>
      <w:r>
        <w:t xml:space="preserve"> </w:t>
      </w:r>
      <w:r>
        <w:rPr>
          <w:iCs/>
          <w:i/>
        </w:rPr>
        <w:t xml:space="preserve">i</w:t>
      </w:r>
      <w:r>
        <w:t xml:space="preserve">; by</w:t>
      </w:r>
      <w:r>
        <w:t xml:space="preserve"> </w:t>
      </w:r>
      <w:r>
        <w:t xml:space="preserve">“</w:t>
      </w:r>
      <w:r>
        <w:t xml:space="preserve">sarvanāmasthāne cāsambuddhau</w:t>
      </w:r>
      <w:r>
        <w:t xml:space="preserve">”</w:t>
      </w:r>
      <w:r>
        <w:t xml:space="preserve"> </w:t>
      </w:r>
      <w:r>
        <w:t xml:space="preserve">(Pā. sū. 6-4-8) the penultimate is lengthened:</w:t>
      </w:r>
      <w:r>
        <w:t xml:space="preserve"> </w:t>
      </w:r>
      <w:r>
        <w:rPr>
          <w:iCs/>
          <w:i/>
        </w:rPr>
        <w:t xml:space="preserve">tān</w:t>
      </w:r>
      <w:r>
        <w:t xml:space="preserve"> </w:t>
      </w:r>
      <w:r>
        <w:t xml:space="preserve">+</w:t>
      </w:r>
      <w:r>
        <w:t xml:space="preserve"> </w:t>
      </w:r>
      <w:r>
        <w:rPr>
          <w:iCs/>
          <w:i/>
        </w:rPr>
        <w:t xml:space="preserve">i</w:t>
      </w:r>
      <w:r>
        <w:t xml:space="preserve">. By</w:t>
      </w:r>
      <w:r>
        <w:t xml:space="preserve"> </w:t>
      </w:r>
      <w:r>
        <w:t xml:space="preserve">“</w:t>
      </w:r>
      <w:r>
        <w:t xml:space="preserve">śeś chandasi bahulam</w:t>
      </w:r>
      <w:r>
        <w:t xml:space="preserve">”</w:t>
      </w:r>
      <w:r>
        <w:t xml:space="preserve"> </w:t>
      </w:r>
      <w:r>
        <w:t xml:space="preserve">(Pā. sū. 6-1-70) the</w:t>
      </w:r>
      <w:r>
        <w:t xml:space="preserve"> </w:t>
      </w:r>
      <w:r>
        <w:rPr>
          <w:iCs/>
          <w:i/>
        </w:rPr>
        <w:t xml:space="preserve">śi</w:t>
      </w:r>
      <w:r>
        <w:t xml:space="preserve"> </w:t>
      </w:r>
      <w:r>
        <w:t xml:space="preserve">drops; by</w:t>
      </w:r>
      <w:r>
        <w:t xml:space="preserve"> </w:t>
      </w:r>
      <w:r>
        <w:t xml:space="preserve">“</w:t>
      </w:r>
      <w:r>
        <w:t xml:space="preserve">nalopaḥ prātipadikāntasya</w:t>
      </w:r>
      <w:r>
        <w:t xml:space="preserve">”</w:t>
      </w:r>
      <w:r>
        <w:t xml:space="preserve"> </w:t>
      </w:r>
      <w:r>
        <w:t xml:space="preserve">(Pā. sū. 8-2-7) the</w:t>
      </w:r>
      <w:r>
        <w:t xml:space="preserve"> </w:t>
      </w:r>
      <w:r>
        <w:rPr>
          <w:iCs/>
          <w:i/>
        </w:rPr>
        <w:t xml:space="preserve">n</w:t>
      </w:r>
      <w:r>
        <w:t xml:space="preserve"> </w:t>
      </w:r>
      <w:r>
        <w:t xml:space="preserve">drops:</w:t>
      </w:r>
      <w:r>
        <w:t xml:space="preserve"> </w:t>
      </w:r>
      <w:r>
        <w:rPr>
          <w:iCs/>
          <w:i/>
        </w:rPr>
        <w:t xml:space="preserve">tā</w:t>
      </w:r>
      <w:r>
        <w:t xml:space="preserve">. It means</w:t>
      </w:r>
      <w:r>
        <w:t xml:space="preserve"> </w:t>
      </w:r>
      <w:r>
        <w:rPr>
          <w:iCs/>
          <w:i/>
        </w:rPr>
        <w:t xml:space="preserve">tāni</w:t>
      </w:r>
      <w:r>
        <w:t xml:space="preserve">.</w:t>
      </w:r>
    </w:p>
    <w:p>
      <w:pPr>
        <w:pStyle w:val="BodyText"/>
      </w:pPr>
      <w:r>
        <w:rPr>
          <w:bCs/>
          <w:b/>
        </w:rPr>
        <w:t xml:space="preserve">वनामहे (</w:t>
      </w:r>
      <w:r>
        <w:rPr>
          <w:iCs/>
          <w:i/>
          <w:bCs/>
          <w:b/>
        </w:rPr>
        <w:t xml:space="preserve">vanāmahe</w:t>
      </w:r>
      <w:r>
        <w:rPr>
          <w:bCs/>
          <w:b/>
        </w:rPr>
        <w:t xml:space="preserve">)</w:t>
      </w:r>
      <w:r>
        <w:t xml:space="preserve">:</w:t>
      </w:r>
      <w:r>
        <w:t xml:space="preserve"> </w:t>
      </w:r>
      <w:r>
        <w:rPr>
          <w:iCs/>
          <w:i/>
        </w:rPr>
        <w:t xml:space="preserve">vana ṣaṇa sambhaktau</w:t>
      </w:r>
      <w:r>
        <w:t xml:space="preserve">. In</w:t>
      </w:r>
      <w:r>
        <w:t xml:space="preserve"> </w:t>
      </w:r>
      <w:r>
        <w:t xml:space="preserve">“</w:t>
      </w:r>
      <w:r>
        <w:t xml:space="preserve">vyatyayo bahulam</w:t>
      </w:r>
      <w:r>
        <w:t xml:space="preserve">”</w:t>
      </w:r>
      <w:r>
        <w:t xml:space="preserve"> </w:t>
      </w:r>
      <w:r>
        <w:t xml:space="preserve">(Pā. sū. 3-1-85), in the kārikā</w:t>
      </w:r>
      <w:r>
        <w:t xml:space="preserve"> </w:t>
      </w:r>
      <w:r>
        <w:rPr>
          <w:iCs/>
          <w:i/>
        </w:rPr>
        <w:t xml:space="preserve">suptiṅupagraha…</w:t>
      </w:r>
      <w:r>
        <w:t xml:space="preserve">,</w:t>
      </w:r>
      <w:r>
        <w:t xml:space="preserve"> </w:t>
      </w:r>
      <w:r>
        <w:rPr>
          <w:iCs/>
          <w:i/>
        </w:rPr>
        <w:t xml:space="preserve">upagraha</w:t>
      </w:r>
      <w:r>
        <w:t xml:space="preserve"> </w:t>
      </w:r>
      <w:r>
        <w:t xml:space="preserve">is explained as</w:t>
      </w:r>
      <w:r>
        <w:t xml:space="preserve"> </w:t>
      </w:r>
      <w:r>
        <w:rPr>
          <w:iCs/>
          <w:i/>
        </w:rPr>
        <w:t xml:space="preserve">parasmaipada</w:t>
      </w:r>
      <w:r>
        <w:t xml:space="preserve"> </w:t>
      </w:r>
      <w:r>
        <w:t xml:space="preserve">and</w:t>
      </w:r>
      <w:r>
        <w:t xml:space="preserve"> </w:t>
      </w:r>
      <w:r>
        <w:rPr>
          <w:iCs/>
          <w:i/>
        </w:rPr>
        <w:t xml:space="preserve">ātmanepada</w:t>
      </w:r>
      <w:r>
        <w:t xml:space="preserve">; so there is interchange between</w:t>
      </w:r>
      <w:r>
        <w:t xml:space="preserve"> </w:t>
      </w:r>
      <w:r>
        <w:rPr>
          <w:iCs/>
          <w:i/>
        </w:rPr>
        <w:t xml:space="preserve">parasmaipada</w:t>
      </w:r>
      <w:r>
        <w:t xml:space="preserve"> </w:t>
      </w:r>
      <w:r>
        <w:t xml:space="preserve">and</w:t>
      </w:r>
      <w:r>
        <w:t xml:space="preserve"> </w:t>
      </w:r>
      <w:r>
        <w:rPr>
          <w:iCs/>
          <w:i/>
        </w:rPr>
        <w:t xml:space="preserve">ātmanepada</w:t>
      </w:r>
      <w:r>
        <w:t xml:space="preserve">. The word</w:t>
      </w:r>
      <w:r>
        <w:t xml:space="preserve"> </w:t>
      </w:r>
      <w:r>
        <w:rPr>
          <w:iCs/>
          <w:i/>
        </w:rPr>
        <w:t xml:space="preserve">vyatyaya</w:t>
      </w:r>
      <w:r>
        <w:t xml:space="preserve"> </w:t>
      </w:r>
      <w:r>
        <w:t xml:space="preserve">is made from the root</w:t>
      </w:r>
      <w:r>
        <w:t xml:space="preserve"> </w:t>
      </w:r>
      <w:r>
        <w:rPr>
          <w:iCs/>
          <w:i/>
        </w:rPr>
        <w:t xml:space="preserve">iṇ gatau</w:t>
      </w:r>
      <w:r>
        <w:t xml:space="preserve"> </w:t>
      </w:r>
      <w:r>
        <w:t xml:space="preserve">with the two</w:t>
      </w:r>
      <w:r>
        <w:t xml:space="preserve"> </w:t>
      </w:r>
      <w:r>
        <w:rPr>
          <w:iCs/>
          <w:i/>
        </w:rPr>
        <w:t xml:space="preserve">upasargas</w:t>
      </w:r>
      <w:r>
        <w:t xml:space="preserve"> </w:t>
      </w:r>
      <w:r>
        <w:rPr>
          <w:iCs/>
          <w:i/>
        </w:rPr>
        <w:t xml:space="preserve">vi</w:t>
      </w:r>
      <w:r>
        <w:t xml:space="preserve"> </w:t>
      </w:r>
      <w:r>
        <w:t xml:space="preserve">and</w:t>
      </w:r>
      <w:r>
        <w:t xml:space="preserve"> </w:t>
      </w:r>
      <w:r>
        <w:rPr>
          <w:iCs/>
          <w:i/>
        </w:rPr>
        <w:t xml:space="preserve">ati</w:t>
      </w:r>
      <w:r>
        <w:t xml:space="preserve">, with</w:t>
      </w:r>
      <w:r>
        <w:t xml:space="preserve"> </w:t>
      </w:r>
      <w:r>
        <w:rPr>
          <w:iCs/>
          <w:i/>
        </w:rPr>
        <w:t xml:space="preserve">ac</w:t>
      </w:r>
      <w:r>
        <w:t xml:space="preserve"> </w:t>
      </w:r>
      <w:r>
        <w:t xml:space="preserve">in the action sense; it means</w:t>
      </w:r>
      <w:r>
        <w:t xml:space="preserve"> </w:t>
      </w:r>
      <w:r>
        <w:t xml:space="preserve">“</w:t>
      </w:r>
      <w:r>
        <w:t xml:space="preserve">going beyond</w:t>
      </w:r>
      <w:r>
        <w:t xml:space="preserve">”</w:t>
      </w:r>
      <w:r>
        <w:t xml:space="preserve">. So it is settled that where there is a cause for</w:t>
      </w:r>
      <w:r>
        <w:t xml:space="preserve"> </w:t>
      </w:r>
      <w:r>
        <w:rPr>
          <w:iCs/>
          <w:i/>
        </w:rPr>
        <w:t xml:space="preserve">parasmaipada</w:t>
      </w:r>
      <w:r>
        <w:t xml:space="preserve">, going beyond it the</w:t>
      </w:r>
      <w:r>
        <w:t xml:space="preserve"> </w:t>
      </w:r>
      <w:r>
        <w:rPr>
          <w:iCs/>
          <w:i/>
        </w:rPr>
        <w:t xml:space="preserve">ātmanepada</w:t>
      </w:r>
      <w:r>
        <w:t xml:space="preserve"> </w:t>
      </w:r>
      <w:r>
        <w:t xml:space="preserve">comes, and where there is a cause for</w:t>
      </w:r>
      <w:r>
        <w:t xml:space="preserve"> </w:t>
      </w:r>
      <w:r>
        <w:rPr>
          <w:iCs/>
          <w:i/>
        </w:rPr>
        <w:t xml:space="preserve">ātmanepada</w:t>
      </w:r>
      <w:r>
        <w:t xml:space="preserve">, going beyond it the</w:t>
      </w:r>
      <w:r>
        <w:t xml:space="preserve"> </w:t>
      </w:r>
      <w:r>
        <w:rPr>
          <w:iCs/>
          <w:i/>
        </w:rPr>
        <w:t xml:space="preserve">parasmaipada</w:t>
      </w:r>
      <w:r>
        <w:t xml:space="preserve"> </w:t>
      </w:r>
      <w:r>
        <w:t xml:space="preserve">comes, in some places. Though the root</w:t>
      </w:r>
      <w:r>
        <w:t xml:space="preserve"> </w:t>
      </w:r>
      <w:r>
        <w:rPr>
          <w:iCs/>
          <w:i/>
        </w:rPr>
        <w:t xml:space="preserve">van</w:t>
      </w:r>
      <w:r>
        <w:t xml:space="preserve"> </w:t>
      </w:r>
      <w:r>
        <w:t xml:space="preserve">is</w:t>
      </w:r>
      <w:r>
        <w:t xml:space="preserve"> </w:t>
      </w:r>
      <w:r>
        <w:rPr>
          <w:iCs/>
          <w:i/>
        </w:rPr>
        <w:t xml:space="preserve">parasmaipadin</w:t>
      </w:r>
      <w:r>
        <w:t xml:space="preserve">, going beyond that, the</w:t>
      </w:r>
      <w:r>
        <w:t xml:space="preserve"> </w:t>
      </w:r>
      <w:r>
        <w:rPr>
          <w:iCs/>
          <w:i/>
        </w:rPr>
        <w:t xml:space="preserve">ātmanepada</w:t>
      </w:r>
      <w:r>
        <w:t xml:space="preserve"> </w:t>
      </w:r>
      <w:r>
        <w:t xml:space="preserve">comes by</w:t>
      </w:r>
      <w:r>
        <w:t xml:space="preserve"> </w:t>
      </w:r>
      <w:r>
        <w:t xml:space="preserve">“</w:t>
      </w:r>
      <w:r>
        <w:t xml:space="preserve">vyatyayo bahulam</w:t>
      </w:r>
      <w:r>
        <w:t xml:space="preserve">”</w:t>
      </w:r>
      <w:r>
        <w:t xml:space="preserve"> </w:t>
      </w:r>
      <w:r>
        <w:t xml:space="preserve">(3-1-85). Wholly unaccented by</w:t>
      </w:r>
      <w:r>
        <w:t xml:space="preserve"> </w:t>
      </w:r>
      <w:r>
        <w:t xml:space="preserve">“</w:t>
      </w:r>
      <w:r>
        <w:t xml:space="preserve">tiṅṅatiṅaḥ</w:t>
      </w:r>
      <w:r>
        <w:t xml:space="preserve">”</w:t>
      </w:r>
      <w:r>
        <w:t xml:space="preserve"> </w:t>
      </w:r>
      <w:r>
        <w:t xml:space="preserve">(Pā. sū. 8-1-28).</w:t>
      </w:r>
    </w:p>
    <w:p>
      <w:pPr>
        <w:pStyle w:val="BodyText"/>
      </w:pPr>
      <w:r>
        <w:rPr>
          <w:bCs/>
          <w:b/>
        </w:rPr>
        <w:t xml:space="preserve">॥८॥</w:t>
      </w:r>
    </w:p>
    <w:p>
      <w:r>
        <w:pict>
          <v:rect style="width:0;height:1.5pt" o:hralign="center" o:hrstd="t" o:hr="t"/>
        </w:pict>
      </w:r>
    </w:p>
    <w:bookmarkEnd w:id="713"/>
    <w:bookmarkStart w:id="714" w:name="page-659-lower-sūkta-15-rik-9"/>
    <w:p>
      <w:pPr>
        <w:pStyle w:val="Heading3"/>
      </w:pPr>
      <w:r>
        <w:t xml:space="preserve">Page 659 (lower) — Sūkta 15, Rik 9</w:t>
      </w:r>
    </w:p>
    <w:p>
      <w:pPr>
        <w:pStyle w:val="FirstParagraph"/>
      </w:pPr>
      <w:r>
        <w:rPr>
          <w:iCs/>
          <w:i/>
        </w:rPr>
        <w:t xml:space="preserve">(Saṃhitā accents as printed; Pada unaccented. The print joins नेष्ट्रादृतुभिः.)</w:t>
      </w:r>
    </w:p>
    <w:p>
      <w:pPr>
        <w:pStyle w:val="BodyText"/>
      </w:pPr>
      <w:r>
        <w:rPr>
          <w:bCs/>
          <w:b/>
        </w:rPr>
        <w:t xml:space="preserve">॥ Saṃhitā-pāṭhaḥ ॥</w:t>
      </w:r>
    </w:p>
    <w:p>
      <w:pPr>
        <w:pStyle w:val="BlockText"/>
      </w:pPr>
      <w:r>
        <w:t xml:space="preserve">द्र॒वि॒णो॒दाः पि॑पीषति जु॒होत॒ प्र च॑ तिष्ठत ।</w:t>
      </w:r>
      <w:r>
        <w:t xml:space="preserve"> </w:t>
      </w:r>
      <w:r>
        <w:t xml:space="preserve">ने॒ष्ट्रादृ॒तुभि॑रिष्यत ॥९॥ [accent ?]</w:t>
      </w:r>
    </w:p>
    <w:p>
      <w:pPr>
        <w:pStyle w:val="BlockText"/>
      </w:pPr>
      <w:r>
        <w:rPr>
          <w:iCs/>
          <w:i/>
        </w:rPr>
        <w:t xml:space="preserve">draviṇodā́ḥ pipīṣati juhóta prá ca tiṣṭhata |</w:t>
      </w:r>
      <w:r>
        <w:t xml:space="preserve"> </w:t>
      </w:r>
      <w:r>
        <w:rPr>
          <w:iCs/>
          <w:i/>
        </w:rPr>
        <w:t xml:space="preserve">neṣṭrā́d ṛtúbhir iṣyata ||9||</w:t>
      </w:r>
      <w:r>
        <w:t xml:space="preserve"> </w:t>
      </w:r>
      <w:r>
        <w:t xml:space="preserve">[accent ?]</w:t>
      </w:r>
    </w:p>
    <w:p>
      <w:pPr>
        <w:pStyle w:val="FirstParagraph"/>
      </w:pPr>
      <w:r>
        <w:rPr>
          <w:iCs/>
          <w:i/>
        </w:rPr>
        <w:t xml:space="preserve">(Line 2: the bar under ने and the stroke over भि are clear; the bar under दृ is read from the sequence, the foot of the page being faint.)</w:t>
      </w:r>
    </w:p>
    <w:bookmarkEnd w:id="714"/>
    <w:bookmarkStart w:id="715" w:name="page-660-rik-9-pada-bhāṣya-word-meanings"/>
    <w:p>
      <w:pPr>
        <w:pStyle w:val="Heading3"/>
      </w:pPr>
      <w:r>
        <w:t xml:space="preserve">Page 660 — Rik 9: Pada, bhāṣya, word-meanings</w:t>
      </w:r>
    </w:p>
    <w:p>
      <w:pPr>
        <w:pStyle w:val="FirstParagraph"/>
      </w:pPr>
      <w:r>
        <w:rPr>
          <w:bCs/>
          <w:b/>
        </w:rPr>
        <w:t xml:space="preserve">॥ Pada-pāṭhaḥ ॥</w:t>
      </w:r>
    </w:p>
    <w:p>
      <w:pPr>
        <w:pStyle w:val="BlockText"/>
      </w:pPr>
      <w:r>
        <w:t xml:space="preserve">द्रविणःऽदाः । पिपीषति । जुहोत । प्र । च । तिष्ठत ॥</w:t>
      </w:r>
      <w:r>
        <w:t xml:space="preserve"> </w:t>
      </w:r>
      <w:r>
        <w:t xml:space="preserve">नेष्ट्रात् । ऋतुऽभिः । इष्यत ॥९॥</w:t>
      </w:r>
    </w:p>
    <w:p>
      <w:pPr>
        <w:pStyle w:val="BlockText"/>
      </w:pPr>
      <w:r>
        <w:rPr>
          <w:iCs/>
          <w:i/>
        </w:rPr>
        <w:t xml:space="preserve">draviṇaḥ ’dāḥ | pipīṣati | juhota | pra | ca | tiṣṭhata ||</w:t>
      </w:r>
      <w:r>
        <w:t xml:space="preserve"> </w:t>
      </w:r>
      <w:r>
        <w:rPr>
          <w:iCs/>
          <w:i/>
        </w:rPr>
        <w:t xml:space="preserve">neṣṭrāt | ṛtu ’bhiḥ | iṣyata ||9||</w:t>
      </w:r>
    </w:p>
    <w:p>
      <w:pPr>
        <w:pStyle w:val="FirstParagraph"/>
      </w:pPr>
      <w:r>
        <w:rPr>
          <w:bCs/>
          <w:b/>
        </w:rPr>
        <w:t xml:space="preserve">॥ Sāyaṇa-bhāṣyam ॥</w:t>
      </w:r>
    </w:p>
    <w:p>
      <w:pPr>
        <w:pStyle w:val="BlockText"/>
      </w:pPr>
      <w:r>
        <w:t xml:space="preserve">द्रविणोदा देव ऋतुभिः सह नेष्ट्रान्नेष्टृसम्बन्धिपात्रात्पिपीषति । सोमं पातुमिच्छति । ततो हे ऋत्विज इष्यत । होमस्थाने गच्छत । गत्वा च जुहोत । होमं कुरुत । हुत्वा प्र तिष्ठत च । होमस्थानात्स्थानान्तरं प्रति प्रस्थानमपि कुरुत ॥ द्रविणोदाः । गतं । पिपीषति । पा पाने । पातुमिच्छतीति सन् । छान्दस ईकारः । तिङ्ङतिङ इति निघातः । जुहोत । लोण्मध्यमबहुवचनं । तस्य लङ्वद्भावात्तादेशः । तस्य तप्तनप्तनथनाश्चेति तबादेशः । तस्य पित्त्वाद्गुणः । अभ्यस्तानामादिरित्यनुवृत्तावनुदात्ते च । पा. ६-१-१९० । इत्याद्युदात्तत्वे प्राप्ते भीह्रीभृहुमदजनधनदरिद्राजागरां प्रत्ययात्पूर्वं पिति । पा. ६-१-१९२ । इति होकार उदात्तः । तिष्ठत । ष्ठा गतिनिवृत्तौ । लोण्मध्यमबहुवचनस्य थस्य लङ्वद्भावात्तादेशः । शपि पाघ्रेत्यादिना तिष्ठादेशः । समवप्रविभ्यः स्थः । पा. १-३-२२ । इत्यात्मनेपदं न भवति । तत्रानुवृत्तस्य निर्दिष्टग्रहणस्यानन्तर्यार्थत्वात् । अत्र चशब्देन व्यवधानात्ते प्राग्धातोः । पा. १-४-८० । इत्युपसर्गत्वेन प्राक्प्रयोक्तव्यस्यापि प्रशब्दस्य व्यवहिताश्चेति छन्दसि व्यवहितप्रयोगः । अत्र चशब्दो जुहोतेति पूर्वेण सह समुच्चयार्थः । न पुनरिष्यतेत्युत्तरेण । तेनाप्रथमत्वाच्चवायोगे प्रथमा । पा. ८-१-५९ । इति निषेधाभावात्तिङ्ङतिङ इति निघातः । नेष्ट्रात् । पोत्राद्यज्ञं पुनीतन । ऋग्वे. १-१५-२ । इत्यत्र पोत्रशब्देन यदुक्तं तदत्र द्रष्टव्यं । इष्यत । इष गतौ । लोण्मध्यमबहुवचनं ॥</w:t>
      </w:r>
    </w:p>
    <w:p>
      <w:pPr>
        <w:pStyle w:val="BlockText"/>
      </w:pPr>
      <w:r>
        <w:rPr>
          <w:iCs/>
          <w:i/>
        </w:rPr>
        <w:t xml:space="preserve">draviṇodā deva ṛtubhiḥ saha neṣṭrānneṣṭṛsambandhipātrātpipīṣati | somaṃ pātumicchati | tato he ṛtvija iṣyata | homasthāne gacchata | gatvā ca juhota | homaṃ kuruta | hutvā pra tiṣṭhata ca | homasthānātsthānāntaraṃ prati prasthānamapi kuruta || draviṇodāḥ | gataṃ | pipīṣati | pā pāne | pātumicchatīti san | chāndasa īkāraḥ | tiṅṅatiṅa iti nighātaḥ | juhota | loṇmadhyamabahuvacanaṃ | tasya laṅvadbhāvāttādeśaḥ | tasya taptanaptanathanāśceti tabādeśaḥ | tasya pittvādguṇaḥ | abhyastānāmādirityanuvṛttāvanudātte ca | pā. 6-1-190 | ityādyudāttatve prāpte bhīhrībhṛhumadajanadhanadaridrājāgarāṃ pratyayātpūrvaṃ piti | pā. 6-1-192 | iti hokāra udāttaḥ | tiṣṭhata | ṣṭhā gatinivṛttau | loṇmadhyamabahuvacanasya thasya laṅvadbhāvāttādeśaḥ | śapi pāghretyādinā tiṣṭhādeśaḥ | samavapravibhyaḥ sthaḥ | pā. 1-3-22 | ityātmanepadaṃ na bhavati | tatrānuvṛttasya nirdiṣṭagrahaṇasyānantaryārthatvāt | atra caśabdena vyavadhānātte prāgdhātoḥ | pā. 1-4-80 | ityupasargatvena prākprayoktavyasyāpi praśabdasya vyavahitāśceti chandasi vyavahitaprayogaḥ | atra caśabdo juhoteti pūrveṇa saha samuccayārthaḥ | na punariṣyatetyuttareṇa | tenāprathamatvāccavāyoge prathamā | pā. 8-1-59 | iti niṣedhābhāvāttiṅṅatiṅa iti nighātaḥ | neṣṭrāt | potrādyajñaṃ punītana | ṛgve. 1-15-2 | ityatra potraśabdena yaduktaṃ tadatra draṣṭavyaṃ | iṣyata | iṣa gatau | loṇmadhyamabahuvacanaṃ ||</w:t>
      </w:r>
    </w:p>
    <w:p>
      <w:pPr>
        <w:pStyle w:val="FirstParagraph"/>
      </w:pPr>
      <w:r>
        <w:rPr>
          <w:bCs/>
          <w:b/>
        </w:rPr>
        <w:t xml:space="preserve">Translation:</w:t>
      </w:r>
      <w:r>
        <w:t xml:space="preserve"> </w:t>
      </w:r>
      <w:r>
        <w:t xml:space="preserve">“</w:t>
      </w:r>
      <w:r>
        <w:t xml:space="preserve">The god Draviṇodas, with the Ṛtus,</w:t>
      </w:r>
      <w:r>
        <w:t xml:space="preserve"> </w:t>
      </w:r>
      <w:r>
        <w:rPr>
          <w:iCs/>
          <w:i/>
        </w:rPr>
        <w:t xml:space="preserve">pipīṣati</w:t>
      </w:r>
      <w:r>
        <w:t xml:space="preserve">, wishes to drink the soma, from the</w:t>
      </w:r>
      <w:r>
        <w:t xml:space="preserve"> </w:t>
      </w:r>
      <w:r>
        <w:rPr>
          <w:iCs/>
          <w:i/>
        </w:rPr>
        <w:t xml:space="preserve">neṣṭra</w:t>
      </w:r>
      <w:r>
        <w:t xml:space="preserve">, the vessel belonging to the Neṣṭṛ. So, O priests,</w:t>
      </w:r>
      <w:r>
        <w:t xml:space="preserve"> </w:t>
      </w:r>
      <w:r>
        <w:rPr>
          <w:iCs/>
          <w:i/>
        </w:rPr>
        <w:t xml:space="preserve">iṣyata</w:t>
      </w:r>
      <w:r>
        <w:t xml:space="preserve">, go to the place of the</w:t>
      </w:r>
      <w:r>
        <w:t xml:space="preserve"> </w:t>
      </w:r>
      <w:r>
        <w:rPr>
          <w:iCs/>
          <w:i/>
        </w:rPr>
        <w:t xml:space="preserve">homa</w:t>
      </w:r>
      <w:r>
        <w:t xml:space="preserve">; having gone,</w:t>
      </w:r>
      <w:r>
        <w:t xml:space="preserve"> </w:t>
      </w:r>
      <w:r>
        <w:rPr>
          <w:iCs/>
          <w:i/>
        </w:rPr>
        <w:t xml:space="preserve">juhota</w:t>
      </w:r>
      <w:r>
        <w:t xml:space="preserve">, make the</w:t>
      </w:r>
      <w:r>
        <w:t xml:space="preserve"> </w:t>
      </w:r>
      <w:r>
        <w:rPr>
          <w:iCs/>
          <w:i/>
        </w:rPr>
        <w:t xml:space="preserve">homa</w:t>
      </w:r>
      <w:r>
        <w:t xml:space="preserve">; having made it,</w:t>
      </w:r>
      <w:r>
        <w:t xml:space="preserve"> </w:t>
      </w:r>
      <w:r>
        <w:rPr>
          <w:iCs/>
          <w:i/>
        </w:rPr>
        <w:t xml:space="preserve">pra tiṣṭhata ca</w:t>
      </w:r>
      <w:r>
        <w:t xml:space="preserve">, also set out from the place of the</w:t>
      </w:r>
      <w:r>
        <w:t xml:space="preserve"> </w:t>
      </w:r>
      <w:r>
        <w:rPr>
          <w:iCs/>
          <w:i/>
        </w:rPr>
        <w:t xml:space="preserve">homa</w:t>
      </w:r>
      <w:r>
        <w:t xml:space="preserve"> </w:t>
      </w:r>
      <w:r>
        <w:t xml:space="preserve">to another place.</w:t>
      </w:r>
      <w:r>
        <w:t xml:space="preserve">”</w:t>
      </w:r>
      <w:r>
        <w:t xml:space="preserve"> </w:t>
      </w:r>
      <w:r>
        <w:t xml:space="preserve">(Grammatical tail:</w:t>
      </w:r>
      <w:r>
        <w:t xml:space="preserve"> </w:t>
      </w:r>
      <w:r>
        <w:rPr>
          <w:iCs/>
          <w:i/>
        </w:rPr>
        <w:t xml:space="preserve">draviṇodāḥ</w:t>
      </w:r>
      <w:r>
        <w:t xml:space="preserve"> </w:t>
      </w:r>
      <w:r>
        <w:t xml:space="preserve">gone through;</w:t>
      </w:r>
      <w:r>
        <w:t xml:space="preserve"> </w:t>
      </w:r>
      <w:r>
        <w:rPr>
          <w:iCs/>
          <w:i/>
        </w:rPr>
        <w:t xml:space="preserve">pipīṣati</w:t>
      </w:r>
      <w:r>
        <w:t xml:space="preserve">,</w:t>
      </w:r>
      <w:r>
        <w:t xml:space="preserve"> </w:t>
      </w:r>
      <w:r>
        <w:rPr>
          <w:iCs/>
          <w:i/>
        </w:rPr>
        <w:t xml:space="preserve">san</w:t>
      </w:r>
      <w:r>
        <w:t xml:space="preserve"> </w:t>
      </w:r>
      <w:r>
        <w:t xml:space="preserve">after</w:t>
      </w:r>
      <w:r>
        <w:t xml:space="preserve"> </w:t>
      </w:r>
      <w:r>
        <w:rPr>
          <w:iCs/>
          <w:i/>
        </w:rPr>
        <w:t xml:space="preserve">pā</w:t>
      </w:r>
      <w:r>
        <w:t xml:space="preserve"> </w:t>
      </w:r>
      <w:r>
        <w:t xml:space="preserve">‘</w:t>
      </w:r>
      <w:r>
        <w:t xml:space="preserve">to drink</w:t>
      </w:r>
      <w:r>
        <w:t xml:space="preserve">’</w:t>
      </w:r>
      <w:r>
        <w:t xml:space="preserve"> </w:t>
      </w:r>
      <w:r>
        <w:t xml:space="preserve">in the sense of wishing, the</w:t>
      </w:r>
      <w:r>
        <w:t xml:space="preserve"> </w:t>
      </w:r>
      <w:r>
        <w:rPr>
          <w:iCs/>
          <w:i/>
        </w:rPr>
        <w:t xml:space="preserve">ī</w:t>
      </w:r>
      <w:r>
        <w:t xml:space="preserve"> </w:t>
      </w:r>
      <w:r>
        <w:t xml:space="preserve">Vedic, lowered;</w:t>
      </w:r>
      <w:r>
        <w:t xml:space="preserve"> </w:t>
      </w:r>
      <w:r>
        <w:rPr>
          <w:iCs/>
          <w:i/>
        </w:rPr>
        <w:t xml:space="preserve">juhota</w:t>
      </w:r>
      <w:r>
        <w:t xml:space="preserve">:</w:t>
      </w:r>
      <w:r>
        <w:t xml:space="preserve"> </w:t>
      </w:r>
      <w:r>
        <w:rPr>
          <w:iCs/>
          <w:i/>
        </w:rPr>
        <w:t xml:space="preserve">loṭ</w:t>
      </w:r>
      <w:r>
        <w:t xml:space="preserve"> </w:t>
      </w:r>
      <w:r>
        <w:t xml:space="preserve">2nd plural,</w:t>
      </w:r>
      <w:r>
        <w:t xml:space="preserve"> </w:t>
      </w:r>
      <w:r>
        <w:rPr>
          <w:iCs/>
          <w:i/>
        </w:rPr>
        <w:t xml:space="preserve">ta</w:t>
      </w:r>
      <w:r>
        <w:t xml:space="preserve"> </w:t>
      </w:r>
      <w:r>
        <w:t xml:space="preserve">by</w:t>
      </w:r>
      <w:r>
        <w:t xml:space="preserve"> </w:t>
      </w:r>
      <w:r>
        <w:rPr>
          <w:iCs/>
          <w:i/>
        </w:rPr>
        <w:t xml:space="preserve">laṅvadbhāva</w:t>
      </w:r>
      <w:r>
        <w:t xml:space="preserve">,</w:t>
      </w:r>
      <w:r>
        <w:t xml:space="preserve"> </w:t>
      </w:r>
      <w:r>
        <w:rPr>
          <w:iCs/>
          <w:i/>
        </w:rPr>
        <w:t xml:space="preserve">tap</w:t>
      </w:r>
      <w:r>
        <w:t xml:space="preserve"> </w:t>
      </w:r>
      <w:r>
        <w:t xml:space="preserve">for it,</w:t>
      </w:r>
      <w:r>
        <w:t xml:space="preserve"> </w:t>
      </w:r>
      <w:r>
        <w:rPr>
          <w:iCs/>
          <w:i/>
        </w:rPr>
        <w:t xml:space="preserve">guṇa</w:t>
      </w:r>
      <w:r>
        <w:t xml:space="preserve"> </w:t>
      </w:r>
      <w:r>
        <w:t xml:space="preserve">(</w:t>
      </w:r>
      <w:r>
        <w:rPr>
          <w:iCs/>
          <w:i/>
        </w:rPr>
        <w:t xml:space="preserve">pit</w:t>
      </w:r>
      <w:r>
        <w:t xml:space="preserve">); the initial udātta of Pā. 6-1-190 is overridden by Pā. 6-1-192, so the</w:t>
      </w:r>
      <w:r>
        <w:t xml:space="preserve"> </w:t>
      </w:r>
      <w:r>
        <w:rPr>
          <w:iCs/>
          <w:i/>
        </w:rPr>
        <w:t xml:space="preserve">o</w:t>
      </w:r>
      <w:r>
        <w:t xml:space="preserve"> </w:t>
      </w:r>
      <w:r>
        <w:t xml:space="preserve">is udātta;</w:t>
      </w:r>
      <w:r>
        <w:t xml:space="preserve"> </w:t>
      </w:r>
      <w:r>
        <w:rPr>
          <w:iCs/>
          <w:i/>
        </w:rPr>
        <w:t xml:space="preserve">tiṣṭhata</w:t>
      </w:r>
      <w:r>
        <w:t xml:space="preserve">:</w:t>
      </w:r>
      <w:r>
        <w:t xml:space="preserve"> </w:t>
      </w:r>
      <w:r>
        <w:rPr>
          <w:iCs/>
          <w:i/>
        </w:rPr>
        <w:t xml:space="preserve">tiṣṭha</w:t>
      </w:r>
      <w:r>
        <w:t xml:space="preserve"> </w:t>
      </w:r>
      <w:r>
        <w:t xml:space="preserve">for</w:t>
      </w:r>
      <w:r>
        <w:t xml:space="preserve"> </w:t>
      </w:r>
      <w:r>
        <w:rPr>
          <w:iCs/>
          <w:i/>
        </w:rPr>
        <w:t xml:space="preserve">sthā</w:t>
      </w:r>
      <w:r>
        <w:t xml:space="preserve">; the</w:t>
      </w:r>
      <w:r>
        <w:t xml:space="preserve"> </w:t>
      </w:r>
      <w:r>
        <w:rPr>
          <w:iCs/>
          <w:i/>
        </w:rPr>
        <w:t xml:space="preserve">ātmanepada</w:t>
      </w:r>
      <w:r>
        <w:t xml:space="preserve"> </w:t>
      </w:r>
      <w:r>
        <w:t xml:space="preserve">of Pā. 1-3-22 does not come, the immediate sequence being required there and</w:t>
      </w:r>
      <w:r>
        <w:t xml:space="preserve"> </w:t>
      </w:r>
      <w:r>
        <w:rPr>
          <w:iCs/>
          <w:i/>
        </w:rPr>
        <w:t xml:space="preserve">ca</w:t>
      </w:r>
      <w:r>
        <w:t xml:space="preserve"> </w:t>
      </w:r>
      <w:r>
        <w:t xml:space="preserve">intervening;</w:t>
      </w:r>
      <w:r>
        <w:t xml:space="preserve"> </w:t>
      </w:r>
      <w:r>
        <w:rPr>
          <w:iCs/>
          <w:i/>
        </w:rPr>
        <w:t xml:space="preserve">pra</w:t>
      </w:r>
      <w:r>
        <w:t xml:space="preserve">, which as an</w:t>
      </w:r>
      <w:r>
        <w:t xml:space="preserve"> </w:t>
      </w:r>
      <w:r>
        <w:rPr>
          <w:iCs/>
          <w:i/>
        </w:rPr>
        <w:t xml:space="preserve">upasarga</w:t>
      </w:r>
      <w:r>
        <w:t xml:space="preserve"> </w:t>
      </w:r>
      <w:r>
        <w:t xml:space="preserve">should come before the root (Pā. 1-4-80), is used separated in the Veda;</w:t>
      </w:r>
      <w:r>
        <w:t xml:space="preserve"> </w:t>
      </w:r>
      <w:r>
        <w:rPr>
          <w:iCs/>
          <w:i/>
        </w:rPr>
        <w:t xml:space="preserve">ca</w:t>
      </w:r>
      <w:r>
        <w:t xml:space="preserve"> </w:t>
      </w:r>
      <w:r>
        <w:t xml:space="preserve">joins</w:t>
      </w:r>
      <w:r>
        <w:t xml:space="preserve"> </w:t>
      </w:r>
      <w:r>
        <w:rPr>
          <w:iCs/>
          <w:i/>
        </w:rPr>
        <w:t xml:space="preserve">juhota</w:t>
      </w:r>
      <w:r>
        <w:t xml:space="preserve"> </w:t>
      </w:r>
      <w:r>
        <w:t xml:space="preserve">with what precedes, not with</w:t>
      </w:r>
      <w:r>
        <w:t xml:space="preserve"> </w:t>
      </w:r>
      <w:r>
        <w:rPr>
          <w:iCs/>
          <w:i/>
        </w:rPr>
        <w:t xml:space="preserve">iṣyata</w:t>
      </w:r>
      <w:r>
        <w:t xml:space="preserve">; so,</w:t>
      </w:r>
      <w:r>
        <w:t xml:space="preserve"> </w:t>
      </w:r>
      <w:r>
        <w:rPr>
          <w:iCs/>
          <w:i/>
        </w:rPr>
        <w:t xml:space="preserve">tiṣṭhata</w:t>
      </w:r>
      <w:r>
        <w:t xml:space="preserve"> </w:t>
      </w:r>
      <w:r>
        <w:t xml:space="preserve">not being the first, the bar of Pā. 8-1-59 does not apply and it is lowered;</w:t>
      </w:r>
      <w:r>
        <w:t xml:space="preserve"> </w:t>
      </w:r>
      <w:r>
        <w:rPr>
          <w:iCs/>
          <w:i/>
        </w:rPr>
        <w:t xml:space="preserve">neṣṭrāt</w:t>
      </w:r>
      <w:r>
        <w:t xml:space="preserve"> </w:t>
      </w:r>
      <w:r>
        <w:t xml:space="preserve">as said for</w:t>
      </w:r>
      <w:r>
        <w:t xml:space="preserve"> </w:t>
      </w:r>
      <w:r>
        <w:rPr>
          <w:iCs/>
          <w:i/>
        </w:rPr>
        <w:t xml:space="preserve">potra</w:t>
      </w:r>
      <w:r>
        <w:t xml:space="preserve"> </w:t>
      </w:r>
      <w:r>
        <w:t xml:space="preserve">at Ṛ. 1-15-2;</w:t>
      </w:r>
      <w:r>
        <w:t xml:space="preserve"> </w:t>
      </w:r>
      <w:r>
        <w:rPr>
          <w:iCs/>
          <w:i/>
        </w:rPr>
        <w:t xml:space="preserve">iṣyata</w:t>
      </w:r>
      <w:r>
        <w:t xml:space="preserve">,</w:t>
      </w:r>
      <w:r>
        <w:t xml:space="preserve"> </w:t>
      </w:r>
      <w:r>
        <w:rPr>
          <w:iCs/>
          <w:i/>
        </w:rPr>
        <w:t xml:space="preserve">iṣ</w:t>
      </w:r>
      <w:r>
        <w:t xml:space="preserve"> </w:t>
      </w:r>
      <w:r>
        <w:t xml:space="preserve">‘</w:t>
      </w:r>
      <w:r>
        <w:t xml:space="preserve">to go</w:t>
      </w:r>
      <w:r>
        <w:t xml:space="preserve">’</w:t>
      </w:r>
      <w:r>
        <w:t xml:space="preserve">,</w:t>
      </w:r>
      <w:r>
        <w:t xml:space="preserve"> </w:t>
      </w:r>
      <w:r>
        <w:rPr>
          <w:iCs/>
          <w:i/>
        </w:rPr>
        <w:t xml:space="preserve">loṭ</w:t>
      </w:r>
      <w:r>
        <w:t xml:space="preserve"> </w:t>
      </w:r>
      <w:r>
        <w:t xml:space="preserve">2nd plural.)</w:t>
      </w:r>
    </w:p>
    <w:p>
      <w:pPr>
        <w:pStyle w:val="BodyText"/>
      </w:pPr>
      <w:r>
        <w:rPr>
          <w:bCs/>
          <w:b/>
        </w:rPr>
        <w:t xml:space="preserve">॥ Prati-padārthaḥ ॥</w:t>
      </w:r>
    </w:p>
    <w:p>
      <w:pPr>
        <w:pStyle w:val="BodyText"/>
      </w:pPr>
      <w:r>
        <w:rPr>
          <w:bCs/>
          <w:b/>
        </w:rPr>
        <w:t xml:space="preserve">द्रविणोदाः (draviṇodāḥ)</w:t>
      </w:r>
      <w:r>
        <w:t xml:space="preserve"> </w:t>
      </w:r>
      <w:r>
        <w:t xml:space="preserve">— Agni, the giver of wealth |</w:t>
      </w:r>
      <w:r>
        <w:t xml:space="preserve"> </w:t>
      </w:r>
      <w:r>
        <w:rPr>
          <w:bCs/>
          <w:b/>
        </w:rPr>
        <w:t xml:space="preserve">ऋतुभिः (ṛtubhiḥ)</w:t>
      </w:r>
      <w:r>
        <w:t xml:space="preserve"> </w:t>
      </w:r>
      <w:r>
        <w:t xml:space="preserve">— with the Ṛtu deities |</w:t>
      </w:r>
      <w:r>
        <w:t xml:space="preserve"> </w:t>
      </w:r>
      <w:r>
        <w:rPr>
          <w:bCs/>
          <w:b/>
        </w:rPr>
        <w:t xml:space="preserve">नेष्ट्रात् (neṣṭrāt)</w:t>
      </w:r>
      <w:r>
        <w:t xml:space="preserve"> </w:t>
      </w:r>
      <w:r>
        <w:t xml:space="preserve">— from the Neṣṭṛ’s vessel |</w:t>
      </w:r>
      <w:r>
        <w:t xml:space="preserve"> </w:t>
      </w:r>
      <w:r>
        <w:rPr>
          <w:bCs/>
          <w:b/>
        </w:rPr>
        <w:t xml:space="preserve">पिपीषति (pipīṣati)</w:t>
      </w:r>
      <w:r>
        <w:t xml:space="preserve"> </w:t>
      </w:r>
      <w:r>
        <w:t xml:space="preserve">— wishes to drink (the soma juice); (so, O priests) |</w:t>
      </w:r>
      <w:r>
        <w:t xml:space="preserve"> </w:t>
      </w:r>
      <w:r>
        <w:rPr>
          <w:bCs/>
          <w:b/>
        </w:rPr>
        <w:t xml:space="preserve">इष्यत (iṣyata)</w:t>
      </w:r>
      <w:r>
        <w:t xml:space="preserve"> </w:t>
      </w:r>
      <w:r>
        <w:t xml:space="preserve">— go (to the place of sacrifice) |</w:t>
      </w:r>
      <w:r>
        <w:t xml:space="preserve"> </w:t>
      </w:r>
      <w:r>
        <w:rPr>
          <w:bCs/>
          <w:b/>
        </w:rPr>
        <w:t xml:space="preserve">जुहोत (juhota)</w:t>
      </w:r>
      <w:r>
        <w:t xml:space="preserve"> </w:t>
      </w:r>
      <w:r>
        <w:t xml:space="preserve">— make the</w:t>
      </w:r>
      <w:r>
        <w:t xml:space="preserve"> </w:t>
      </w:r>
      <w:r>
        <w:rPr>
          <w:iCs/>
          <w:i/>
        </w:rPr>
        <w:t xml:space="preserve">homa</w:t>
      </w:r>
      <w:r>
        <w:t xml:space="preserve">; (then) |</w:t>
      </w:r>
      <w:r>
        <w:t xml:space="preserve"> </w:t>
      </w:r>
      <w:r>
        <w:rPr>
          <w:bCs/>
          <w:b/>
        </w:rPr>
        <w:t xml:space="preserve">प्र तिष्ठत च (pra tiṣṭhata ca)</w:t>
      </w:r>
      <w:r>
        <w:t xml:space="preserve"> </w:t>
      </w:r>
      <w:r>
        <w:t xml:space="preserve">— leave the place of the</w:t>
      </w:r>
      <w:r>
        <w:t xml:space="preserve"> </w:t>
      </w:r>
      <w:r>
        <w:rPr>
          <w:iCs/>
          <w:i/>
        </w:rPr>
        <w:t xml:space="preserve">homa</w:t>
      </w:r>
      <w:r>
        <w:t xml:space="preserve"> </w:t>
      </w:r>
      <w:r>
        <w:t xml:space="preserve">and go back to your own places.</w:t>
      </w:r>
    </w:p>
    <w:bookmarkEnd w:id="715"/>
    <w:bookmarkStart w:id="716" w:name="X10c0cc5d19bbcecce7f8e9eaf661f331abde88c"/>
    <w:p>
      <w:pPr>
        <w:pStyle w:val="Heading3"/>
      </w:pPr>
      <w:r>
        <w:t xml:space="preserve">Page 661 — Rik 9: overall sense, English, Special Topics, grammar</w:t>
      </w:r>
    </w:p>
    <w:p>
      <w:pPr>
        <w:pStyle w:val="FirstParagraph"/>
      </w:pPr>
      <w:r>
        <w:rPr>
          <w:bCs/>
          <w:b/>
        </w:rPr>
        <w:t xml:space="preserve">॥ Bhāvārthaḥ ॥</w:t>
      </w:r>
    </w:p>
    <w:p>
      <w:pPr>
        <w:pStyle w:val="BodyText"/>
      </w:pPr>
      <w:r>
        <w:t xml:space="preserve">O priests, Agni, the giver of wealth and the self of the gods, looks to drink the soma juice from the Neṣṭṛ’s vessel. So all of you come to the place of sacrifice, make the</w:t>
      </w:r>
      <w:r>
        <w:t xml:space="preserve"> </w:t>
      </w:r>
      <w:r>
        <w:rPr>
          <w:iCs/>
          <w:i/>
        </w:rPr>
        <w:t xml:space="preserve">homa</w:t>
      </w:r>
      <w:r>
        <w:t xml:space="preserve">, and then go out.</w:t>
      </w:r>
    </w:p>
    <w:p>
      <w:pPr>
        <w:pStyle w:val="BodyText"/>
      </w:pPr>
      <w:r>
        <w:rPr>
          <w:bCs/>
          <w:b/>
        </w:rPr>
        <w:t xml:space="preserve">॥ English Translation ॥</w:t>
      </w:r>
      <w:r>
        <w:t xml:space="preserve"> </w:t>
      </w:r>
      <w:r>
        <w:rPr>
          <w:iCs/>
          <w:i/>
        </w:rPr>
        <w:t xml:space="preserve">(as printed in the source)</w:t>
      </w:r>
    </w:p>
    <w:p>
      <w:pPr>
        <w:pStyle w:val="BlockText"/>
      </w:pPr>
      <w:r>
        <w:t xml:space="preserve">Dravinodas desires to drink with the Ritu’s from the cup of Neshtri; hasten, priests, present the oblation and depart.</w:t>
      </w:r>
    </w:p>
    <w:p>
      <w:pPr>
        <w:pStyle w:val="FirstParagraph"/>
      </w:pPr>
      <w:r>
        <w:rPr>
          <w:bCs/>
          <w:b/>
        </w:rPr>
        <w:t xml:space="preserve">॥ Viśeṣa-viṣayagaḷu (Special Topics) ॥</w:t>
      </w:r>
    </w:p>
    <w:p>
      <w:pPr>
        <w:pStyle w:val="BodyText"/>
      </w:pPr>
      <w:r>
        <w:rPr>
          <w:bCs/>
          <w:b/>
        </w:rPr>
        <w:t xml:space="preserve">Pipīṣati</w:t>
      </w:r>
      <w:r>
        <w:t xml:space="preserve">:</w:t>
      </w:r>
    </w:p>
    <w:p>
      <w:pPr>
        <w:pStyle w:val="BlockText"/>
      </w:pPr>
      <w:r>
        <w:t xml:space="preserve">पा पाने । पातुमिच्छति ॥</w:t>
      </w:r>
    </w:p>
    <w:p>
      <w:pPr>
        <w:pStyle w:val="BlockText"/>
      </w:pPr>
      <w:r>
        <w:rPr>
          <w:iCs/>
          <w:i/>
        </w:rPr>
        <w:t xml:space="preserve">pā pāne | pātumicchati ||</w:t>
      </w:r>
    </w:p>
    <w:p>
      <w:pPr>
        <w:pStyle w:val="FirstParagraph"/>
      </w:pPr>
      <w:r>
        <w:t xml:space="preserve">he looks to drink.</w:t>
      </w:r>
    </w:p>
    <w:p>
      <w:pPr>
        <w:pStyle w:val="BodyText"/>
      </w:pPr>
      <w:r>
        <w:rPr>
          <w:bCs/>
          <w:b/>
        </w:rPr>
        <w:t xml:space="preserve">Neṣṭrāt</w:t>
      </w:r>
      <w:r>
        <w:t xml:space="preserve">: the soma juice from the vessel in the hand of the priest called Neṣṭṛ.</w:t>
      </w:r>
    </w:p>
    <w:p>
      <w:pPr>
        <w:pStyle w:val="BodyText"/>
      </w:pPr>
      <w:r>
        <w:rPr>
          <w:bCs/>
          <w:b/>
        </w:rPr>
        <w:t xml:space="preserve">॥ Vyākaraṇa-prakriyā ॥</w:t>
      </w:r>
      <w:r>
        <w:t xml:space="preserve"> </w:t>
      </w:r>
      <w:r>
        <w:rPr>
          <w:iCs/>
          <w:i/>
        </w:rPr>
        <w:t xml:space="preserve">(grammar pages 661–663, noted briefly)</w:t>
      </w:r>
    </w:p>
    <w:p>
      <w:pPr>
        <w:pStyle w:val="BodyText"/>
      </w:pPr>
      <w:r>
        <w:rPr>
          <w:bCs/>
          <w:b/>
        </w:rPr>
        <w:t xml:space="preserve">द्रविणोदाः (</w:t>
      </w:r>
      <w:r>
        <w:rPr>
          <w:iCs/>
          <w:i/>
          <w:bCs/>
          <w:b/>
        </w:rPr>
        <w:t xml:space="preserve">draviṇodāḥ</w:t>
      </w:r>
      <w:r>
        <w:rPr>
          <w:bCs/>
          <w:b/>
        </w:rPr>
        <w:t xml:space="preserve">)</w:t>
      </w:r>
      <w:r>
        <w:t xml:space="preserve">: explained in the seventh mantra.</w:t>
      </w:r>
    </w:p>
    <w:p>
      <w:pPr>
        <w:pStyle w:val="BodyText"/>
      </w:pPr>
      <w:r>
        <w:rPr>
          <w:bCs/>
          <w:b/>
        </w:rPr>
        <w:t xml:space="preserve">पिपीषति (</w:t>
      </w:r>
      <w:r>
        <w:rPr>
          <w:iCs/>
          <w:i/>
          <w:bCs/>
          <w:b/>
        </w:rPr>
        <w:t xml:space="preserve">pipīṣati</w:t>
      </w:r>
      <w:r>
        <w:rPr>
          <w:bCs/>
          <w:b/>
        </w:rPr>
        <w:t xml:space="preserve">)</w:t>
      </w:r>
      <w:r>
        <w:t xml:space="preserve">: the root</w:t>
      </w:r>
      <w:r>
        <w:t xml:space="preserve"> </w:t>
      </w:r>
      <w:r>
        <w:rPr>
          <w:iCs/>
          <w:i/>
        </w:rPr>
        <w:t xml:space="preserve">pā pāne</w:t>
      </w:r>
      <w:r>
        <w:t xml:space="preserve">; analysed</w:t>
      </w:r>
      <w:r>
        <w:t xml:space="preserve"> </w:t>
      </w:r>
      <w:r>
        <w:rPr>
          <w:iCs/>
          <w:i/>
        </w:rPr>
        <w:t xml:space="preserve">pātum icchati</w:t>
      </w:r>
      <w:r>
        <w:t xml:space="preserve">.</w:t>
      </w:r>
      <w:r>
        <w:t xml:space="preserve"> </w:t>
      </w:r>
      <w:r>
        <w:t xml:space="preserve">“</w:t>
      </w:r>
      <w:r>
        <w:t xml:space="preserve">dhātoḥ karmaṇaḥ samānakartṛkād icchāyāṃ vā</w:t>
      </w:r>
      <w:r>
        <w:t xml:space="preserve">”</w:t>
      </w:r>
      <w:r>
        <w:t xml:space="preserve"> </w:t>
      </w:r>
      <w:r>
        <w:t xml:space="preserve">(Pā. sū. 3-1-7): the root</w:t>
      </w:r>
      <w:r>
        <w:t xml:space="preserve"> </w:t>
      </w:r>
      <w:r>
        <w:rPr>
          <w:iCs/>
          <w:i/>
        </w:rPr>
        <w:t xml:space="preserve">iṣu icchāyām</w:t>
      </w:r>
      <w:r>
        <w:t xml:space="preserve">; after a root expressing an activity that has the same agent as this</w:t>
      </w:r>
      <w:r>
        <w:t xml:space="preserve"> </w:t>
      </w:r>
      <w:r>
        <w:rPr>
          <w:iCs/>
          <w:i/>
        </w:rPr>
        <w:t xml:space="preserve">iṣ</w:t>
      </w:r>
      <w:r>
        <w:t xml:space="preserve"> </w:t>
      </w:r>
      <w:r>
        <w:t xml:space="preserve">and is the object of the</w:t>
      </w:r>
      <w:r>
        <w:t xml:space="preserve"> </w:t>
      </w:r>
      <w:r>
        <w:rPr>
          <w:iCs/>
          <w:i/>
        </w:rPr>
        <w:t xml:space="preserve">iṣ</w:t>
      </w:r>
      <w:r>
        <w:t xml:space="preserve">, the suffix</w:t>
      </w:r>
      <w:r>
        <w:t xml:space="preserve"> </w:t>
      </w:r>
      <w:r>
        <w:rPr>
          <w:iCs/>
          <w:i/>
        </w:rPr>
        <w:t xml:space="preserve">san</w:t>
      </w:r>
      <w:r>
        <w:t xml:space="preserve"> </w:t>
      </w:r>
      <w:r>
        <w:t xml:space="preserve">comes in the sense of wishing: that is the sense of the sūtra. Here the one who wishes is Agni; Agni is the agent of</w:t>
      </w:r>
      <w:r>
        <w:t xml:space="preserve"> </w:t>
      </w:r>
      <w:r>
        <w:rPr>
          <w:iCs/>
          <w:i/>
        </w:rPr>
        <w:t xml:space="preserve">iṣ</w:t>
      </w:r>
      <w:r>
        <w:t xml:space="preserve">; the same Agni is the agent in the activity favourable to contact with the throat, which is the sense of</w:t>
      </w:r>
      <w:r>
        <w:t xml:space="preserve"> </w:t>
      </w:r>
      <w:r>
        <w:rPr>
          <w:iCs/>
          <w:i/>
        </w:rPr>
        <w:t xml:space="preserve">pā</w:t>
      </w:r>
      <w:r>
        <w:t xml:space="preserve">; so the activity of</w:t>
      </w:r>
      <w:r>
        <w:t xml:space="preserve"> </w:t>
      </w:r>
      <w:r>
        <w:rPr>
          <w:iCs/>
          <w:i/>
        </w:rPr>
        <w:t xml:space="preserve">pā</w:t>
      </w:r>
      <w:r>
        <w:t xml:space="preserve"> </w:t>
      </w:r>
      <w:r>
        <w:t xml:space="preserve">has the same agent as the wishing, and this activity is the object of</w:t>
      </w:r>
      <w:r>
        <w:t xml:space="preserve"> </w:t>
      </w:r>
      <w:r>
        <w:rPr>
          <w:iCs/>
          <w:i/>
        </w:rPr>
        <w:t xml:space="preserve">iṣ</w:t>
      </w:r>
      <w:r>
        <w:t xml:space="preserve">. So</w:t>
      </w:r>
      <w:r>
        <w:t xml:space="preserve"> </w:t>
      </w:r>
      <w:r>
        <w:rPr>
          <w:iCs/>
          <w:i/>
        </w:rPr>
        <w:t xml:space="preserve">san</w:t>
      </w:r>
      <w:r>
        <w:t xml:space="preserve"> </w:t>
      </w:r>
      <w:r>
        <w:t xml:space="preserve">comes after</w:t>
      </w:r>
      <w:r>
        <w:t xml:space="preserve"> </w:t>
      </w:r>
      <w:r>
        <w:rPr>
          <w:iCs/>
          <w:i/>
        </w:rPr>
        <w:t xml:space="preserve">pā</w:t>
      </w:r>
      <w:r>
        <w:t xml:space="preserve">, denoting such an activity, in the sense of wishing:</w:t>
      </w:r>
      <w:r>
        <w:t xml:space="preserve"> </w:t>
      </w:r>
      <w:r>
        <w:rPr>
          <w:iCs/>
          <w:i/>
        </w:rPr>
        <w:t xml:space="preserve">pā</w:t>
      </w:r>
      <w:r>
        <w:t xml:space="preserve"> </w:t>
      </w:r>
      <w:r>
        <w:t xml:space="preserve">+</w:t>
      </w:r>
      <w:r>
        <w:t xml:space="preserve"> </w:t>
      </w:r>
      <w:r>
        <w:rPr>
          <w:iCs/>
          <w:i/>
        </w:rPr>
        <w:t xml:space="preserve">sa</w:t>
      </w:r>
      <w:r>
        <w:t xml:space="preserve">; reduplication by</w:t>
      </w:r>
      <w:r>
        <w:t xml:space="preserve"> </w:t>
      </w:r>
      <w:r>
        <w:t xml:space="preserve">“</w:t>
      </w:r>
      <w:r>
        <w:t xml:space="preserve">sanyaṅoḥ</w:t>
      </w:r>
      <w:r>
        <w:t xml:space="preserve">”</w:t>
      </w:r>
      <w:r>
        <w:t xml:space="preserve"> </w:t>
      </w:r>
      <w:r>
        <w:t xml:space="preserve">(Pā. sū. 6-1-9):</w:t>
      </w:r>
      <w:r>
        <w:t xml:space="preserve"> </w:t>
      </w:r>
      <w:r>
        <w:rPr>
          <w:iCs/>
          <w:i/>
        </w:rPr>
        <w:t xml:space="preserve">pā</w:t>
      </w:r>
      <w:r>
        <w:t xml:space="preserve"> </w:t>
      </w:r>
      <w:r>
        <w:t xml:space="preserve">+</w:t>
      </w:r>
      <w:r>
        <w:t xml:space="preserve"> </w:t>
      </w:r>
      <w:r>
        <w:rPr>
          <w:iCs/>
          <w:i/>
        </w:rPr>
        <w:t xml:space="preserve">pā</w:t>
      </w:r>
      <w:r>
        <w:t xml:space="preserve"> </w:t>
      </w:r>
      <w:r>
        <w:t xml:space="preserve">+</w:t>
      </w:r>
      <w:r>
        <w:t xml:space="preserve"> </w:t>
      </w:r>
      <w:r>
        <w:rPr>
          <w:iCs/>
          <w:i/>
        </w:rPr>
        <w:t xml:space="preserve">sa</w:t>
      </w:r>
      <w:r>
        <w:t xml:space="preserve">; the reduplicate shortened by</w:t>
      </w:r>
      <w:r>
        <w:t xml:space="preserve"> </w:t>
      </w:r>
      <w:r>
        <w:t xml:space="preserve">“</w:t>
      </w:r>
      <w:r>
        <w:t xml:space="preserve">hrasvaḥ</w:t>
      </w:r>
      <w:r>
        <w:t xml:space="preserve">”</w:t>
      </w:r>
      <w:r>
        <w:t xml:space="preserve"> </w:t>
      </w:r>
      <w:r>
        <w:t xml:space="preserve">(Pā. sū. 7-4-59);</w:t>
      </w:r>
      <w:r>
        <w:t xml:space="preserve"> </w:t>
      </w:r>
      <w:r>
        <w:rPr>
          <w:iCs/>
          <w:i/>
        </w:rPr>
        <w:t xml:space="preserve">i</w:t>
      </w:r>
      <w:r>
        <w:t xml:space="preserve"> </w:t>
      </w:r>
      <w:r>
        <w:t xml:space="preserve">for the</w:t>
      </w:r>
      <w:r>
        <w:t xml:space="preserve"> </w:t>
      </w:r>
      <w:r>
        <w:rPr>
          <w:iCs/>
          <w:i/>
        </w:rPr>
        <w:t xml:space="preserve">a</w:t>
      </w:r>
      <w:r>
        <w:t xml:space="preserve"> </w:t>
      </w:r>
      <w:r>
        <w:t xml:space="preserve">of the reduplicate by</w:t>
      </w:r>
      <w:r>
        <w:t xml:space="preserve"> </w:t>
      </w:r>
      <w:r>
        <w:t xml:space="preserve">“</w:t>
      </w:r>
      <w:r>
        <w:t xml:space="preserve">sanyataḥ</w:t>
      </w:r>
      <w:r>
        <w:t xml:space="preserve">”</w:t>
      </w:r>
      <w:r>
        <w:t xml:space="preserve"> </w:t>
      </w:r>
      <w:r>
        <w:t xml:space="preserve">(Pā. sū. 7-4-79):</w:t>
      </w:r>
      <w:r>
        <w:t xml:space="preserve"> </w:t>
      </w:r>
      <w:r>
        <w:rPr>
          <w:iCs/>
          <w:i/>
        </w:rPr>
        <w:t xml:space="preserve">pipāsati</w:t>
      </w:r>
      <w:r>
        <w:t xml:space="preserve">. Now the</w:t>
      </w:r>
      <w:r>
        <w:t xml:space="preserve"> </w:t>
      </w:r>
      <w:r>
        <w:rPr>
          <w:iCs/>
          <w:i/>
        </w:rPr>
        <w:t xml:space="preserve">ā</w:t>
      </w:r>
      <w:r>
        <w:t xml:space="preserve"> </w:t>
      </w:r>
      <w:r>
        <w:t xml:space="preserve">becomes</w:t>
      </w:r>
      <w:r>
        <w:t xml:space="preserve"> </w:t>
      </w:r>
      <w:r>
        <w:rPr>
          <w:iCs/>
          <w:i/>
        </w:rPr>
        <w:t xml:space="preserve">ī</w:t>
      </w:r>
      <w:r>
        <w:t xml:space="preserve"> </w:t>
      </w:r>
      <w:r>
        <w:t xml:space="preserve">as a Vedic form.</w:t>
      </w:r>
      <w:r>
        <w:t xml:space="preserve"> </w:t>
      </w:r>
      <w:r>
        <w:rPr>
          <w:iCs/>
          <w:i/>
        </w:rPr>
        <w:t xml:space="preserve">Ṣ</w:t>
      </w:r>
      <w:r>
        <w:t xml:space="preserve"> </w:t>
      </w:r>
      <w:r>
        <w:t xml:space="preserve">for the</w:t>
      </w:r>
      <w:r>
        <w:t xml:space="preserve"> </w:t>
      </w:r>
      <w:r>
        <w:rPr>
          <w:iCs/>
          <w:i/>
        </w:rPr>
        <w:t xml:space="preserve">s</w:t>
      </w:r>
      <w:r>
        <w:t xml:space="preserve"> </w:t>
      </w:r>
      <w:r>
        <w:t xml:space="preserve">by</w:t>
      </w:r>
      <w:r>
        <w:t xml:space="preserve"> </w:t>
      </w:r>
      <w:r>
        <w:t xml:space="preserve">“</w:t>
      </w:r>
      <w:r>
        <w:t xml:space="preserve">ādeśapratyayayoḥ</w:t>
      </w:r>
      <w:r>
        <w:t xml:space="preserve">”</w:t>
      </w:r>
      <w:r>
        <w:t xml:space="preserve"> </w:t>
      </w:r>
      <w:r>
        <w:t xml:space="preserve">(Pā. sū. 8-3-59):</w:t>
      </w:r>
      <w:r>
        <w:t xml:space="preserve"> </w:t>
      </w:r>
      <w:r>
        <w:rPr>
          <w:iCs/>
          <w:i/>
        </w:rPr>
        <w:t xml:space="preserve">pipīṣati</w:t>
      </w:r>
      <w:r>
        <w:t xml:space="preserve">. Wholly unaccented by</w:t>
      </w:r>
      <w:r>
        <w:t xml:space="preserve"> </w:t>
      </w:r>
      <w:r>
        <w:t xml:space="preserve">“</w:t>
      </w:r>
      <w:r>
        <w:t xml:space="preserve">tiṅṅatiṅaḥ</w:t>
      </w:r>
      <w:r>
        <w:t xml:space="preserve">”</w:t>
      </w:r>
      <w:r>
        <w:t xml:space="preserve"> </w:t>
      </w:r>
      <w:r>
        <w:t xml:space="preserve">(</w:t>
      </w:r>
      <w:r>
        <w:t xml:space="preserve">“</w:t>
      </w:r>
      <w:r>
        <w:t xml:space="preserve">8-12-28</w:t>
      </w:r>
      <w:r>
        <w:t xml:space="preserve">”</w:t>
      </w:r>
      <w:r>
        <w:t xml:space="preserve"> </w:t>
      </w:r>
      <w:r>
        <w:t xml:space="preserve">[as printed, for 8-1-28]).</w:t>
      </w:r>
    </w:p>
    <w:p>
      <w:pPr>
        <w:pStyle w:val="BodyText"/>
      </w:pPr>
      <w:r>
        <w:rPr>
          <w:bCs/>
          <w:b/>
        </w:rPr>
        <w:t xml:space="preserve">जुहोत (</w:t>
      </w:r>
      <w:r>
        <w:rPr>
          <w:iCs/>
          <w:i/>
          <w:bCs/>
          <w:b/>
        </w:rPr>
        <w:t xml:space="preserve">juhota</w:t>
      </w:r>
      <w:r>
        <w:rPr>
          <w:bCs/>
          <w:b/>
        </w:rPr>
        <w:t xml:space="preserve">)</w:t>
      </w:r>
      <w:r>
        <w:t xml:space="preserve">:</w:t>
      </w:r>
      <w:r>
        <w:t xml:space="preserve"> </w:t>
      </w:r>
      <w:r>
        <w:rPr>
          <w:iCs/>
          <w:i/>
        </w:rPr>
        <w:t xml:space="preserve">hu dānādanayoḥ</w:t>
      </w:r>
      <w:r>
        <w:t xml:space="preserve"> </w:t>
      </w:r>
      <w:r>
        <w:t xml:space="preserve">(</w:t>
      </w:r>
      <w:r>
        <w:rPr>
          <w:iCs/>
          <w:i/>
        </w:rPr>
        <w:t xml:space="preserve">juhotyādi</w:t>
      </w:r>
      <w:r>
        <w:t xml:space="preserve">);</w:t>
      </w:r>
      <w:r>
        <w:t xml:space="preserve"> </w:t>
      </w:r>
      <w:r>
        <w:rPr>
          <w:iCs/>
          <w:i/>
        </w:rPr>
        <w:t xml:space="preserve">loṭ</w:t>
      </w:r>
      <w:r>
        <w:t xml:space="preserve">, 2nd plural</w:t>
      </w:r>
      <w:r>
        <w:t xml:space="preserve"> </w:t>
      </w:r>
      <w:r>
        <w:rPr>
          <w:iCs/>
          <w:i/>
        </w:rPr>
        <w:t xml:space="preserve">tha</w:t>
      </w:r>
      <w:r>
        <w:t xml:space="preserve">; by</w:t>
      </w:r>
      <w:r>
        <w:t xml:space="preserve"> </w:t>
      </w:r>
      <w:r>
        <w:t xml:space="preserve">“</w:t>
      </w:r>
      <w:r>
        <w:t xml:space="preserve">loṭo laṅvat</w:t>
      </w:r>
      <w:r>
        <w:t xml:space="preserve">”</w:t>
      </w:r>
      <w:r>
        <w:t xml:space="preserve"> </w:t>
      </w:r>
      <w:r>
        <w:t xml:space="preserve">(Pā. sū. 3-4-85) the</w:t>
      </w:r>
      <w:r>
        <w:t xml:space="preserve"> </w:t>
      </w:r>
      <w:r>
        <w:rPr>
          <w:iCs/>
          <w:i/>
        </w:rPr>
        <w:t xml:space="preserve">laṅvadbhāva</w:t>
      </w:r>
      <w:r>
        <w:t xml:space="preserve">; so</w:t>
      </w:r>
    </w:p>
    <w:bookmarkEnd w:id="716"/>
    <w:bookmarkStart w:id="717" w:name="page-662-rik-9-grammar-continued"/>
    <w:p>
      <w:pPr>
        <w:pStyle w:val="Heading3"/>
      </w:pPr>
      <w:r>
        <w:t xml:space="preserve">Page 662 — Rik 9: grammar (continued)</w:t>
      </w:r>
    </w:p>
    <w:p>
      <w:pPr>
        <w:pStyle w:val="FirstParagraph"/>
      </w:pPr>
      <w:r>
        <w:t xml:space="preserve">by</w:t>
      </w:r>
      <w:r>
        <w:t xml:space="preserve"> </w:t>
      </w:r>
      <w:r>
        <w:t xml:space="preserve">“</w:t>
      </w:r>
      <w:r>
        <w:t xml:space="preserve">tasthasthamipāṃ tāṃtaṃtāmaḥ</w:t>
      </w:r>
      <w:r>
        <w:t xml:space="preserve">”</w:t>
      </w:r>
      <w:r>
        <w:t xml:space="preserve"> </w:t>
      </w:r>
      <w:r>
        <w:t xml:space="preserve">(Pā. sū. 3-4-101)</w:t>
      </w:r>
      <w:r>
        <w:t xml:space="preserve"> </w:t>
      </w:r>
      <w:r>
        <w:rPr>
          <w:iCs/>
          <w:i/>
        </w:rPr>
        <w:t xml:space="preserve">ta</w:t>
      </w:r>
      <w:r>
        <w:t xml:space="preserve"> </w:t>
      </w:r>
      <w:r>
        <w:t xml:space="preserve">for</w:t>
      </w:r>
      <w:r>
        <w:t xml:space="preserve"> </w:t>
      </w:r>
      <w:r>
        <w:rPr>
          <w:iCs/>
          <w:i/>
        </w:rPr>
        <w:t xml:space="preserve">tha</w:t>
      </w:r>
      <w:r>
        <w:t xml:space="preserve">;</w:t>
      </w:r>
      <w:r>
        <w:t xml:space="preserve"> </w:t>
      </w:r>
      <w:r>
        <w:rPr>
          <w:iCs/>
          <w:i/>
        </w:rPr>
        <w:t xml:space="preserve">tap</w:t>
      </w:r>
      <w:r>
        <w:t xml:space="preserve"> </w:t>
      </w:r>
      <w:r>
        <w:t xml:space="preserve">for it by</w:t>
      </w:r>
      <w:r>
        <w:t xml:space="preserve"> </w:t>
      </w:r>
      <w:r>
        <w:t xml:space="preserve">“</w:t>
      </w:r>
      <w:r>
        <w:t xml:space="preserve">taptanaptanathanāś ca</w:t>
      </w:r>
      <w:r>
        <w:t xml:space="preserve">”</w:t>
      </w:r>
      <w:r>
        <w:t xml:space="preserve"> </w:t>
      </w:r>
      <w:r>
        <w:t xml:space="preserve">(Pā. sū. 7-1-45); the</w:t>
      </w:r>
      <w:r>
        <w:t xml:space="preserve"> </w:t>
      </w:r>
      <w:r>
        <w:rPr>
          <w:iCs/>
          <w:i/>
        </w:rPr>
        <w:t xml:space="preserve">vikaraṇa</w:t>
      </w:r>
      <w:r>
        <w:t xml:space="preserve"> </w:t>
      </w:r>
      <w:r>
        <w:rPr>
          <w:iCs/>
          <w:i/>
        </w:rPr>
        <w:t xml:space="preserve">śap</w:t>
      </w:r>
      <w:r>
        <w:t xml:space="preserve"> </w:t>
      </w:r>
      <w:r>
        <w:t xml:space="preserve">by</w:t>
      </w:r>
      <w:r>
        <w:t xml:space="preserve"> </w:t>
      </w:r>
      <w:r>
        <w:t xml:space="preserve">“</w:t>
      </w:r>
      <w:r>
        <w:t xml:space="preserve">kartari śap</w:t>
      </w:r>
      <w:r>
        <w:t xml:space="preserve">”</w:t>
      </w:r>
      <w:r>
        <w:t xml:space="preserve">, dropped (</w:t>
      </w:r>
      <w:r>
        <w:rPr>
          <w:iCs/>
          <w:i/>
        </w:rPr>
        <w:t xml:space="preserve">ślu</w:t>
      </w:r>
      <w:r>
        <w:t xml:space="preserve">) by</w:t>
      </w:r>
      <w:r>
        <w:t xml:space="preserve"> </w:t>
      </w:r>
      <w:r>
        <w:t xml:space="preserve">“</w:t>
      </w:r>
      <w:r>
        <w:t xml:space="preserve">juhotyādibhyaḥ śluḥ</w:t>
      </w:r>
      <w:r>
        <w:t xml:space="preserve">”</w:t>
      </w:r>
      <w:r>
        <w:t xml:space="preserve"> </w:t>
      </w:r>
      <w:r>
        <w:t xml:space="preserve">(Pā. sū. 2-4-75); reduplication of the root by</w:t>
      </w:r>
      <w:r>
        <w:t xml:space="preserve"> </w:t>
      </w:r>
      <w:r>
        <w:t xml:space="preserve">“</w:t>
      </w:r>
      <w:r>
        <w:t xml:space="preserve">ślau</w:t>
      </w:r>
      <w:r>
        <w:t xml:space="preserve">”</w:t>
      </w:r>
      <w:r>
        <w:t xml:space="preserve"> </w:t>
      </w:r>
      <w:r>
        <w:t xml:space="preserve">(Pā. sū. 6-1-10):</w:t>
      </w:r>
      <w:r>
        <w:t xml:space="preserve"> </w:t>
      </w:r>
      <w:r>
        <w:rPr>
          <w:iCs/>
          <w:i/>
        </w:rPr>
        <w:t xml:space="preserve">hu</w:t>
      </w:r>
      <w:r>
        <w:t xml:space="preserve"> </w:t>
      </w:r>
      <w:r>
        <w:t xml:space="preserve">+</w:t>
      </w:r>
      <w:r>
        <w:t xml:space="preserve"> </w:t>
      </w:r>
      <w:r>
        <w:rPr>
          <w:iCs/>
          <w:i/>
        </w:rPr>
        <w:t xml:space="preserve">hu</w:t>
      </w:r>
      <w:r>
        <w:t xml:space="preserve"> </w:t>
      </w:r>
      <w:r>
        <w:t xml:space="preserve">+</w:t>
      </w:r>
      <w:r>
        <w:t xml:space="preserve"> </w:t>
      </w:r>
      <w:r>
        <w:rPr>
          <w:iCs/>
          <w:i/>
        </w:rPr>
        <w:t xml:space="preserve">ta</w:t>
      </w:r>
      <w:r>
        <w:t xml:space="preserve">; by</w:t>
      </w:r>
      <w:r>
        <w:t xml:space="preserve"> </w:t>
      </w:r>
      <w:r>
        <w:t xml:space="preserve">“</w:t>
      </w:r>
      <w:r>
        <w:t xml:space="preserve">kuhoś cuḥ</w:t>
      </w:r>
      <w:r>
        <w:t xml:space="preserve">”</w:t>
      </w:r>
      <w:r>
        <w:t xml:space="preserve"> </w:t>
      </w:r>
      <w:r>
        <w:t xml:space="preserve">(Pā. sū. 7-4-62), for the</w:t>
      </w:r>
      <w:r>
        <w:t xml:space="preserve"> </w:t>
      </w:r>
      <w:r>
        <w:rPr>
          <w:iCs/>
          <w:i/>
        </w:rPr>
        <w:t xml:space="preserve">h</w:t>
      </w:r>
      <w:r>
        <w:t xml:space="preserve">, closed, with great breath, a</w:t>
      </w:r>
      <w:r>
        <w:t xml:space="preserve"> </w:t>
      </w:r>
      <w:r>
        <w:rPr>
          <w:iCs/>
          <w:i/>
        </w:rPr>
        <w:t xml:space="preserve">jh</w:t>
      </w:r>
      <w:r>
        <w:t xml:space="preserve"> </w:t>
      </w:r>
      <w:r>
        <w:t xml:space="preserve">of that kind; by</w:t>
      </w:r>
      <w:r>
        <w:t xml:space="preserve"> </w:t>
      </w:r>
      <w:r>
        <w:t xml:space="preserve">“</w:t>
      </w:r>
      <w:r>
        <w:t xml:space="preserve">abhyāse carc ca</w:t>
      </w:r>
      <w:r>
        <w:t xml:space="preserve">”</w:t>
      </w:r>
      <w:r>
        <w:t xml:space="preserve"> </w:t>
      </w:r>
      <w:r>
        <w:t xml:space="preserve">(Pā. sū. 8-4-54)</w:t>
      </w:r>
      <w:r>
        <w:t xml:space="preserve"> </w:t>
      </w:r>
      <w:r>
        <w:rPr>
          <w:iCs/>
          <w:i/>
        </w:rPr>
        <w:t xml:space="preserve">j</w:t>
      </w:r>
      <w:r>
        <w:t xml:space="preserve"> </w:t>
      </w:r>
      <w:r>
        <w:t xml:space="preserve">for the</w:t>
      </w:r>
      <w:r>
        <w:t xml:space="preserve"> </w:t>
      </w:r>
      <w:r>
        <w:rPr>
          <w:iCs/>
          <w:i/>
        </w:rPr>
        <w:t xml:space="preserve">jh</w:t>
      </w:r>
      <w:r>
        <w:t xml:space="preserve">:</w:t>
      </w:r>
      <w:r>
        <w:t xml:space="preserve"> </w:t>
      </w:r>
      <w:r>
        <w:rPr>
          <w:iCs/>
          <w:i/>
        </w:rPr>
        <w:t xml:space="preserve">ju</w:t>
      </w:r>
      <w:r>
        <w:t xml:space="preserve"> </w:t>
      </w:r>
      <w:r>
        <w:t xml:space="preserve">+</w:t>
      </w:r>
      <w:r>
        <w:t xml:space="preserve"> </w:t>
      </w:r>
      <w:r>
        <w:rPr>
          <w:iCs/>
          <w:i/>
        </w:rPr>
        <w:t xml:space="preserve">hu</w:t>
      </w:r>
      <w:r>
        <w:t xml:space="preserve"> </w:t>
      </w:r>
      <w:r>
        <w:t xml:space="preserve">+</w:t>
      </w:r>
      <w:r>
        <w:t xml:space="preserve"> </w:t>
      </w:r>
      <w:r>
        <w:rPr>
          <w:iCs/>
          <w:i/>
        </w:rPr>
        <w:t xml:space="preserve">ta</w:t>
      </w:r>
      <w:r>
        <w:t xml:space="preserve">.</w:t>
      </w:r>
      <w:r>
        <w:t xml:space="preserve"> </w:t>
      </w:r>
      <w:r>
        <w:rPr>
          <w:iCs/>
          <w:i/>
        </w:rPr>
        <w:t xml:space="preserve">Tap</w:t>
      </w:r>
      <w:r>
        <w:t xml:space="preserve"> </w:t>
      </w:r>
      <w:r>
        <w:t xml:space="preserve">is</w:t>
      </w:r>
      <w:r>
        <w:t xml:space="preserve"> </w:t>
      </w:r>
      <w:r>
        <w:rPr>
          <w:iCs/>
          <w:i/>
        </w:rPr>
        <w:t xml:space="preserve">pit</w:t>
      </w:r>
      <w:r>
        <w:t xml:space="preserve">, so by</w:t>
      </w:r>
      <w:r>
        <w:t xml:space="preserve"> </w:t>
      </w:r>
      <w:r>
        <w:t xml:space="preserve">“</w:t>
      </w:r>
      <w:r>
        <w:t xml:space="preserve">sārvadhātukam apit</w:t>
      </w:r>
      <w:r>
        <w:t xml:space="preserve">”</w:t>
      </w:r>
      <w:r>
        <w:t xml:space="preserve"> </w:t>
      </w:r>
      <w:r>
        <w:t xml:space="preserve">(Pā. sū. 1-2-4) it is not</w:t>
      </w:r>
      <w:r>
        <w:t xml:space="preserve"> </w:t>
      </w:r>
      <w:r>
        <w:rPr>
          <w:iCs/>
          <w:i/>
        </w:rPr>
        <w:t xml:space="preserve">ṅit</w:t>
      </w:r>
      <w:r>
        <w:t xml:space="preserve">; so</w:t>
      </w:r>
      <w:r>
        <w:t xml:space="preserve"> </w:t>
      </w:r>
      <w:r>
        <w:t xml:space="preserve">“</w:t>
      </w:r>
      <w:r>
        <w:t xml:space="preserve">kṅiti ca</w:t>
      </w:r>
      <w:r>
        <w:t xml:space="preserve">”</w:t>
      </w:r>
      <w:r>
        <w:t xml:space="preserve"> </w:t>
      </w:r>
      <w:r>
        <w:t xml:space="preserve">(Pā. sū. 1-1-5) does not bar</w:t>
      </w:r>
      <w:r>
        <w:t xml:space="preserve"> </w:t>
      </w:r>
      <w:r>
        <w:rPr>
          <w:iCs/>
          <w:i/>
        </w:rPr>
        <w:t xml:space="preserve">guṇa</w:t>
      </w:r>
      <w:r>
        <w:t xml:space="preserve">;</w:t>
      </w:r>
      <w:r>
        <w:t xml:space="preserve"> </w:t>
      </w:r>
      <w:r>
        <w:rPr>
          <w:iCs/>
          <w:i/>
        </w:rPr>
        <w:t xml:space="preserve">guṇa</w:t>
      </w:r>
      <w:r>
        <w:t xml:space="preserve"> </w:t>
      </w:r>
      <w:r>
        <w:t xml:space="preserve">by</w:t>
      </w:r>
      <w:r>
        <w:t xml:space="preserve"> </w:t>
      </w:r>
      <w:r>
        <w:t xml:space="preserve">“</w:t>
      </w:r>
      <w:r>
        <w:t xml:space="preserve">sārvadhātukārdhadhātukayoḥ</w:t>
      </w:r>
      <w:r>
        <w:t xml:space="preserve">”</w:t>
      </w:r>
      <w:r>
        <w:t xml:space="preserve"> </w:t>
      </w:r>
      <w:r>
        <w:t xml:space="preserve">(Pā. sū. 7-3-84):</w:t>
      </w:r>
      <w:r>
        <w:t xml:space="preserve"> </w:t>
      </w:r>
      <w:r>
        <w:rPr>
          <w:iCs/>
          <w:i/>
        </w:rPr>
        <w:t xml:space="preserve">juhota</w:t>
      </w:r>
      <w:r>
        <w:t xml:space="preserve">. The</w:t>
      </w:r>
      <w:r>
        <w:t xml:space="preserve"> </w:t>
      </w:r>
      <w:r>
        <w:rPr>
          <w:iCs/>
          <w:i/>
        </w:rPr>
        <w:t xml:space="preserve">sārvadhātuka</w:t>
      </w:r>
      <w:r>
        <w:t xml:space="preserve"> </w:t>
      </w:r>
      <w:r>
        <w:rPr>
          <w:iCs/>
          <w:i/>
        </w:rPr>
        <w:t xml:space="preserve">ta</w:t>
      </w:r>
      <w:r>
        <w:t xml:space="preserve"> </w:t>
      </w:r>
      <w:r>
        <w:t xml:space="preserve">standing for the</w:t>
      </w:r>
      <w:r>
        <w:t xml:space="preserve"> </w:t>
      </w:r>
      <w:r>
        <w:rPr>
          <w:iCs/>
          <w:i/>
        </w:rPr>
        <w:t xml:space="preserve">lakāra</w:t>
      </w:r>
      <w:r>
        <w:t xml:space="preserve"> </w:t>
      </w:r>
      <w:r>
        <w:t xml:space="preserve">is</w:t>
      </w:r>
      <w:r>
        <w:t xml:space="preserve"> </w:t>
      </w:r>
      <w:r>
        <w:rPr>
          <w:iCs/>
          <w:i/>
        </w:rPr>
        <w:t xml:space="preserve">pit</w:t>
      </w:r>
      <w:r>
        <w:t xml:space="preserve">, so unaccented by</w:t>
      </w:r>
      <w:r>
        <w:t xml:space="preserve"> </w:t>
      </w:r>
      <w:r>
        <w:t xml:space="preserve">“</w:t>
      </w:r>
      <w:r>
        <w:t xml:space="preserve">anudāttau suppitau</w:t>
      </w:r>
      <w:r>
        <w:t xml:space="preserve">”</w:t>
      </w:r>
      <w:r>
        <w:t xml:space="preserve"> </w:t>
      </w:r>
      <w:r>
        <w:t xml:space="preserve">(Pā. sū. 3-1-4). With</w:t>
      </w:r>
      <w:r>
        <w:t xml:space="preserve"> </w:t>
      </w:r>
      <w:r>
        <w:t xml:space="preserve">“</w:t>
      </w:r>
      <w:r>
        <w:t xml:space="preserve">abhyastānām ādiḥ</w:t>
      </w:r>
      <w:r>
        <w:t xml:space="preserve">”</w:t>
      </w:r>
      <w:r>
        <w:t xml:space="preserve"> </w:t>
      </w:r>
      <w:r>
        <w:t xml:space="preserve">(Pā. sū. 6-1-189) carried on in</w:t>
      </w:r>
      <w:r>
        <w:t xml:space="preserve"> </w:t>
      </w:r>
      <w:r>
        <w:t xml:space="preserve">“</w:t>
      </w:r>
      <w:r>
        <w:t xml:space="preserve">anudātte ca</w:t>
      </w:r>
      <w:r>
        <w:t xml:space="preserve">”</w:t>
      </w:r>
      <w:r>
        <w:t xml:space="preserve"> </w:t>
      </w:r>
      <w:r>
        <w:t xml:space="preserve">(Pā. sū. 6-1-190),</w:t>
      </w:r>
      <w:r>
        <w:t xml:space="preserve"> </w:t>
      </w:r>
      <w:r>
        <w:rPr>
          <w:iCs/>
          <w:i/>
        </w:rPr>
        <w:t xml:space="preserve">na vidyate udāttaḥ yasmin saḥ anudāttaḥ, tasmin anudātte</w:t>
      </w:r>
      <w:r>
        <w:t xml:space="preserve">: before an unaccented</w:t>
      </w:r>
      <w:r>
        <w:t xml:space="preserve"> </w:t>
      </w:r>
      <w:r>
        <w:rPr>
          <w:iCs/>
          <w:i/>
        </w:rPr>
        <w:t xml:space="preserve">sārvadhātuka</w:t>
      </w:r>
      <w:r>
        <w:t xml:space="preserve"> </w:t>
      </w:r>
      <w:r>
        <w:t xml:space="preserve">in the place of a</w:t>
      </w:r>
      <w:r>
        <w:t xml:space="preserve"> </w:t>
      </w:r>
      <w:r>
        <w:rPr>
          <w:iCs/>
          <w:i/>
        </w:rPr>
        <w:t xml:space="preserve">lakāra</w:t>
      </w:r>
      <w:r>
        <w:t xml:space="preserve">, the first syllable of a reduplicated stem is udātta; so the initial udātta would come; but overriding it,</w:t>
      </w:r>
      <w:r>
        <w:t xml:space="preserve"> </w:t>
      </w:r>
      <w:r>
        <w:t xml:space="preserve">“</w:t>
      </w:r>
      <w:r>
        <w:t xml:space="preserve">bhīhrībhṛhumadajanadhanadaridrājāgarāṃ pratyayāt pūrvaṃ piti</w:t>
      </w:r>
      <w:r>
        <w:t xml:space="preserve">”</w:t>
      </w:r>
      <w:r>
        <w:t xml:space="preserve"> </w:t>
      </w:r>
      <w:r>
        <w:t xml:space="preserve">(Pā. sū. 6-1-192):</w:t>
      </w:r>
      <w:r>
        <w:t xml:space="preserve"> </w:t>
      </w:r>
      <w:r>
        <w:rPr>
          <w:iCs/>
          <w:i/>
        </w:rPr>
        <w:t xml:space="preserve">ñibhī bhaye</w:t>
      </w:r>
      <w:r>
        <w:t xml:space="preserve">,</w:t>
      </w:r>
      <w:r>
        <w:t xml:space="preserve"> </w:t>
      </w:r>
      <w:r>
        <w:rPr>
          <w:iCs/>
          <w:i/>
        </w:rPr>
        <w:t xml:space="preserve">hrī lajjāyām</w:t>
      </w:r>
      <w:r>
        <w:t xml:space="preserve">,</w:t>
      </w:r>
      <w:r>
        <w:t xml:space="preserve"> </w:t>
      </w:r>
      <w:r>
        <w:rPr>
          <w:iCs/>
          <w:i/>
        </w:rPr>
        <w:t xml:space="preserve">ḍubhṛñ dhāraṇapoṣaṇayoḥ</w:t>
      </w:r>
      <w:r>
        <w:t xml:space="preserve">,</w:t>
      </w:r>
      <w:r>
        <w:t xml:space="preserve"> </w:t>
      </w:r>
      <w:r>
        <w:rPr>
          <w:iCs/>
          <w:i/>
        </w:rPr>
        <w:t xml:space="preserve">hu dānādanayoḥ</w:t>
      </w:r>
      <w:r>
        <w:t xml:space="preserve">,</w:t>
      </w:r>
      <w:r>
        <w:t xml:space="preserve"> </w:t>
      </w:r>
      <w:r>
        <w:rPr>
          <w:iCs/>
          <w:i/>
        </w:rPr>
        <w:t xml:space="preserve">madī harṣe</w:t>
      </w:r>
      <w:r>
        <w:t xml:space="preserve"> </w:t>
      </w:r>
      <w:r>
        <w:t xml:space="preserve">(a</w:t>
      </w:r>
      <w:r>
        <w:t xml:space="preserve"> </w:t>
      </w:r>
      <w:r>
        <w:rPr>
          <w:iCs/>
          <w:i/>
        </w:rPr>
        <w:t xml:space="preserve">divādi</w:t>
      </w:r>
      <w:r>
        <w:t xml:space="preserve"> </w:t>
      </w:r>
      <w:r>
        <w:t xml:space="preserve">root, but by a Vedic process</w:t>
      </w:r>
      <w:r>
        <w:t xml:space="preserve"> </w:t>
      </w:r>
      <w:r>
        <w:rPr>
          <w:iCs/>
          <w:i/>
        </w:rPr>
        <w:t xml:space="preserve">śap</w:t>
      </w:r>
      <w:r>
        <w:t xml:space="preserve"> </w:t>
      </w:r>
      <w:r>
        <w:t xml:space="preserve">gets</w:t>
      </w:r>
      <w:r>
        <w:t xml:space="preserve"> </w:t>
      </w:r>
      <w:r>
        <w:rPr>
          <w:iCs/>
          <w:i/>
        </w:rPr>
        <w:t xml:space="preserve">ślu</w:t>
      </w:r>
      <w:r>
        <w:t xml:space="preserve">),</w:t>
      </w:r>
      <w:r>
        <w:t xml:space="preserve"> </w:t>
      </w:r>
      <w:r>
        <w:rPr>
          <w:iCs/>
          <w:i/>
        </w:rPr>
        <w:t xml:space="preserve">jana janane</w:t>
      </w:r>
      <w:r>
        <w:t xml:space="preserve">,</w:t>
      </w:r>
      <w:r>
        <w:t xml:space="preserve"> </w:t>
      </w:r>
      <w:r>
        <w:rPr>
          <w:iCs/>
          <w:i/>
        </w:rPr>
        <w:t xml:space="preserve">dhana dhānye</w:t>
      </w:r>
      <w:r>
        <w:t xml:space="preserve">,</w:t>
      </w:r>
      <w:r>
        <w:t xml:space="preserve"> </w:t>
      </w:r>
      <w:r>
        <w:rPr>
          <w:iCs/>
          <w:i/>
        </w:rPr>
        <w:t xml:space="preserve">daridrā durgatau</w:t>
      </w:r>
      <w:r>
        <w:t xml:space="preserve">,</w:t>
      </w:r>
      <w:r>
        <w:t xml:space="preserve"> </w:t>
      </w:r>
      <w:r>
        <w:rPr>
          <w:iCs/>
          <w:i/>
        </w:rPr>
        <w:t xml:space="preserve">jāgṛ nidrākṣaye</w:t>
      </w:r>
      <w:r>
        <w:t xml:space="preserve">.</w:t>
      </w:r>
      <w:r>
        <w:t xml:space="preserve"> </w:t>
      </w:r>
      <w:r>
        <w:rPr>
          <w:iCs/>
          <w:i/>
        </w:rPr>
        <w:t xml:space="preserve">Daridrā</w:t>
      </w:r>
      <w:r>
        <w:t xml:space="preserve"> </w:t>
      </w:r>
      <w:r>
        <w:t xml:space="preserve">and</w:t>
      </w:r>
      <w:r>
        <w:t xml:space="preserve"> </w:t>
      </w:r>
      <w:r>
        <w:rPr>
          <w:iCs/>
          <w:i/>
        </w:rPr>
        <w:t xml:space="preserve">jāgṛ</w:t>
      </w:r>
      <w:r>
        <w:t xml:space="preserve"> </w:t>
      </w:r>
      <w:r>
        <w:t xml:space="preserve">are reduplicated by</w:t>
      </w:r>
      <w:r>
        <w:t xml:space="preserve"> </w:t>
      </w:r>
      <w:r>
        <w:t xml:space="preserve">“</w:t>
      </w:r>
      <w:r>
        <w:t xml:space="preserve">jakṣityādayaḥ ṣaṭ</w:t>
      </w:r>
      <w:r>
        <w:t xml:space="preserve">”</w:t>
      </w:r>
      <w:r>
        <w:t xml:space="preserve"> </w:t>
      </w:r>
      <w:r>
        <w:t xml:space="preserve">(Pā. sū.</w:t>
      </w:r>
      <w:r>
        <w:t xml:space="preserve"> </w:t>
      </w:r>
      <w:r>
        <w:t xml:space="preserve">“</w:t>
      </w:r>
      <w:r>
        <w:t xml:space="preserve">6-1-6</w:t>
      </w:r>
      <w:r>
        <w:t xml:space="preserve">”</w:t>
      </w:r>
      <w:r>
        <w:t xml:space="preserve"> </w:t>
      </w:r>
      <w:r>
        <w:t xml:space="preserve">[?]), by which</w:t>
      </w:r>
      <w:r>
        <w:t xml:space="preserve"> </w:t>
      </w:r>
      <w:r>
        <w:rPr>
          <w:iCs/>
          <w:i/>
        </w:rPr>
        <w:t xml:space="preserve">jakṣ</w:t>
      </w:r>
      <w:r>
        <w:t xml:space="preserve"> </w:t>
      </w:r>
      <w:r>
        <w:t xml:space="preserve">and the six roots after it are called reduplicated; the others are reduplicated by</w:t>
      </w:r>
      <w:r>
        <w:t xml:space="preserve"> </w:t>
      </w:r>
      <w:r>
        <w:t xml:space="preserve">“</w:t>
      </w:r>
      <w:r>
        <w:t xml:space="preserve">ubhe abhyastam</w:t>
      </w:r>
      <w:r>
        <w:t xml:space="preserve">”</w:t>
      </w:r>
      <w:r>
        <w:t xml:space="preserve"> </w:t>
      </w:r>
      <w:r>
        <w:t xml:space="preserve">(Pā. sū.</w:t>
      </w:r>
      <w:r>
        <w:t xml:space="preserve"> </w:t>
      </w:r>
      <w:r>
        <w:t xml:space="preserve">“</w:t>
      </w:r>
      <w:r>
        <w:t xml:space="preserve">6-1-5</w:t>
      </w:r>
      <w:r>
        <w:t xml:space="preserve">”</w:t>
      </w:r>
      <w:r>
        <w:t xml:space="preserve"> </w:t>
      </w:r>
      <w:r>
        <w:t xml:space="preserve">[?]). Before a</w:t>
      </w:r>
      <w:r>
        <w:t xml:space="preserve"> </w:t>
      </w:r>
      <w:r>
        <w:rPr>
          <w:iCs/>
          <w:i/>
        </w:rPr>
        <w:t xml:space="preserve">pit</w:t>
      </w:r>
      <w:r>
        <w:t xml:space="preserve"> </w:t>
      </w:r>
      <w:r>
        <w:rPr>
          <w:iCs/>
          <w:i/>
        </w:rPr>
        <w:t xml:space="preserve">sārvadhātuka</w:t>
      </w:r>
      <w:r>
        <w:t xml:space="preserve"> </w:t>
      </w:r>
      <w:r>
        <w:t xml:space="preserve">in the place of a</w:t>
      </w:r>
      <w:r>
        <w:t xml:space="preserve"> </w:t>
      </w:r>
      <w:r>
        <w:rPr>
          <w:iCs/>
          <w:i/>
        </w:rPr>
        <w:t xml:space="preserve">lakāra</w:t>
      </w:r>
      <w:r>
        <w:t xml:space="preserve">, in the roots</w:t>
      </w:r>
      <w:r>
        <w:t xml:space="preserve"> </w:t>
      </w:r>
      <w:r>
        <w:rPr>
          <w:iCs/>
          <w:i/>
        </w:rPr>
        <w:t xml:space="preserve">bhī</w:t>
      </w:r>
      <w:r>
        <w:t xml:space="preserve"> </w:t>
      </w:r>
      <w:r>
        <w:t xml:space="preserve">and the rest that are reduplicated, the syllable before the suffix is udātta; so the</w:t>
      </w:r>
      <w:r>
        <w:t xml:space="preserve"> </w:t>
      </w:r>
      <w:r>
        <w:rPr>
          <w:iCs/>
          <w:i/>
        </w:rPr>
        <w:t xml:space="preserve">o</w:t>
      </w:r>
      <w:r>
        <w:t xml:space="preserve"> </w:t>
      </w:r>
      <w:r>
        <w:t xml:space="preserve">before the suffix</w:t>
      </w:r>
      <w:r>
        <w:t xml:space="preserve"> </w:t>
      </w:r>
      <w:r>
        <w:rPr>
          <w:iCs/>
          <w:i/>
        </w:rPr>
        <w:t xml:space="preserve">ta</w:t>
      </w:r>
      <w:r>
        <w:t xml:space="preserve"> </w:t>
      </w:r>
      <w:r>
        <w:t xml:space="preserve">is udātta.</w:t>
      </w:r>
    </w:p>
    <w:p>
      <w:pPr>
        <w:pStyle w:val="BodyText"/>
      </w:pPr>
      <w:r>
        <w:rPr>
          <w:bCs/>
          <w:b/>
        </w:rPr>
        <w:t xml:space="preserve">तिष्ठत (</w:t>
      </w:r>
      <w:r>
        <w:rPr>
          <w:iCs/>
          <w:i/>
          <w:bCs/>
          <w:b/>
        </w:rPr>
        <w:t xml:space="preserve">tiṣṭhata</w:t>
      </w:r>
      <w:r>
        <w:rPr>
          <w:bCs/>
          <w:b/>
        </w:rPr>
        <w:t xml:space="preserve">)</w:t>
      </w:r>
      <w:r>
        <w:t xml:space="preserve">: the root</w:t>
      </w:r>
      <w:r>
        <w:t xml:space="preserve"> </w:t>
      </w:r>
      <w:r>
        <w:rPr>
          <w:iCs/>
          <w:i/>
        </w:rPr>
        <w:t xml:space="preserve">ṣṭhā gatinivṛttau</w:t>
      </w:r>
      <w:r>
        <w:t xml:space="preserve">;</w:t>
      </w:r>
      <w:r>
        <w:t xml:space="preserve"> </w:t>
      </w:r>
      <w:r>
        <w:rPr>
          <w:iCs/>
          <w:i/>
        </w:rPr>
        <w:t xml:space="preserve">s</w:t>
      </w:r>
      <w:r>
        <w:t xml:space="preserve"> </w:t>
      </w:r>
      <w:r>
        <w:t xml:space="preserve">for the</w:t>
      </w:r>
      <w:r>
        <w:t xml:space="preserve"> </w:t>
      </w:r>
      <w:r>
        <w:rPr>
          <w:iCs/>
          <w:i/>
        </w:rPr>
        <w:t xml:space="preserve">ṣ</w:t>
      </w:r>
      <w:r>
        <w:t xml:space="preserve"> </w:t>
      </w:r>
      <w:r>
        <w:t xml:space="preserve">by</w:t>
      </w:r>
      <w:r>
        <w:t xml:space="preserve"> </w:t>
      </w:r>
      <w:r>
        <w:t xml:space="preserve">“</w:t>
      </w:r>
      <w:r>
        <w:t xml:space="preserve">dhātvādeḥ ṣaḥ saḥ</w:t>
      </w:r>
      <w:r>
        <w:t xml:space="preserve">”</w:t>
      </w:r>
      <w:r>
        <w:t xml:space="preserve"> </w:t>
      </w:r>
      <w:r>
        <w:t xml:space="preserve">(Pā. sū. 6-1-64); with the</w:t>
      </w:r>
      <w:r>
        <w:t xml:space="preserve"> </w:t>
      </w:r>
      <w:r>
        <w:rPr>
          <w:iCs/>
          <w:i/>
        </w:rPr>
        <w:t xml:space="preserve">ṣṭutva</w:t>
      </w:r>
      <w:r>
        <w:t xml:space="preserve"> </w:t>
      </w:r>
      <w:r>
        <w:t xml:space="preserve">gone, the</w:t>
      </w:r>
      <w:r>
        <w:t xml:space="preserve"> </w:t>
      </w:r>
      <w:r>
        <w:rPr>
          <w:iCs/>
          <w:i/>
        </w:rPr>
        <w:t xml:space="preserve">ṭh</w:t>
      </w:r>
      <w:r>
        <w:t xml:space="preserve"> </w:t>
      </w:r>
      <w:r>
        <w:t xml:space="preserve">reverts:</w:t>
      </w:r>
      <w:r>
        <w:t xml:space="preserve"> </w:t>
      </w:r>
      <w:r>
        <w:rPr>
          <w:iCs/>
          <w:i/>
        </w:rPr>
        <w:t xml:space="preserve">sthā</w:t>
      </w:r>
      <w:r>
        <w:t xml:space="preserve">.</w:t>
      </w:r>
      <w:r>
        <w:t xml:space="preserve"> </w:t>
      </w:r>
      <w:r>
        <w:rPr>
          <w:iCs/>
          <w:i/>
        </w:rPr>
        <w:t xml:space="preserve">Loṭ</w:t>
      </w:r>
      <w:r>
        <w:t xml:space="preserve">, 2nd plural</w:t>
      </w:r>
      <w:r>
        <w:t xml:space="preserve"> </w:t>
      </w:r>
      <w:r>
        <w:rPr>
          <w:iCs/>
          <w:i/>
        </w:rPr>
        <w:t xml:space="preserve">tha</w:t>
      </w:r>
      <w:r>
        <w:t xml:space="preserve">:</w:t>
      </w:r>
      <w:r>
        <w:t xml:space="preserve"> </w:t>
      </w:r>
      <w:r>
        <w:rPr>
          <w:iCs/>
          <w:i/>
        </w:rPr>
        <w:t xml:space="preserve">sthā</w:t>
      </w:r>
      <w:r>
        <w:t xml:space="preserve"> </w:t>
      </w:r>
      <w:r>
        <w:t xml:space="preserve">+</w:t>
      </w:r>
      <w:r>
        <w:t xml:space="preserve"> </w:t>
      </w:r>
      <w:r>
        <w:rPr>
          <w:iCs/>
          <w:i/>
        </w:rPr>
        <w:t xml:space="preserve">tha</w:t>
      </w:r>
      <w:r>
        <w:t xml:space="preserve">; by</w:t>
      </w:r>
      <w:r>
        <w:t xml:space="preserve"> </w:t>
      </w:r>
      <w:r>
        <w:t xml:space="preserve">“</w:t>
      </w:r>
      <w:r>
        <w:t xml:space="preserve">loṭo laṅvat</w:t>
      </w:r>
      <w:r>
        <w:t xml:space="preserve">”</w:t>
      </w:r>
      <w:r>
        <w:t xml:space="preserve"> </w:t>
      </w:r>
      <w:r>
        <w:t xml:space="preserve">(Pā. sū. 3-4-85) the</w:t>
      </w:r>
      <w:r>
        <w:t xml:space="preserve"> </w:t>
      </w:r>
      <w:r>
        <w:rPr>
          <w:iCs/>
          <w:i/>
        </w:rPr>
        <w:t xml:space="preserve">laṅvadbhāva</w:t>
      </w:r>
      <w:r>
        <w:t xml:space="preserve">; by</w:t>
      </w:r>
      <w:r>
        <w:t xml:space="preserve"> </w:t>
      </w:r>
      <w:r>
        <w:t xml:space="preserve">“</w:t>
      </w:r>
      <w:r>
        <w:t xml:space="preserve">tasthasthamipāṃ tāṃtaṃtāmaḥ</w:t>
      </w:r>
      <w:r>
        <w:t xml:space="preserve">”</w:t>
      </w:r>
      <w:r>
        <w:t xml:space="preserve"> </w:t>
      </w:r>
      <w:r>
        <w:t xml:space="preserve">(Pā. sū. 3-4-101)</w:t>
      </w:r>
      <w:r>
        <w:t xml:space="preserve"> </w:t>
      </w:r>
      <w:r>
        <w:rPr>
          <w:iCs/>
          <w:i/>
        </w:rPr>
        <w:t xml:space="preserve">ta</w:t>
      </w:r>
      <w:r>
        <w:t xml:space="preserve"> </w:t>
      </w:r>
      <w:r>
        <w:t xml:space="preserve">for</w:t>
      </w:r>
      <w:r>
        <w:t xml:space="preserve"> </w:t>
      </w:r>
      <w:r>
        <w:rPr>
          <w:iCs/>
          <w:i/>
        </w:rPr>
        <w:t xml:space="preserve">tha</w:t>
      </w:r>
      <w:r>
        <w:t xml:space="preserve">; by</w:t>
      </w:r>
      <w:r>
        <w:t xml:space="preserve"> </w:t>
      </w:r>
      <w:r>
        <w:t xml:space="preserve">“</w:t>
      </w:r>
      <w:r>
        <w:t xml:space="preserve">kartari śap</w:t>
      </w:r>
      <w:r>
        <w:t xml:space="preserve">”</w:t>
      </w:r>
      <w:r>
        <w:t xml:space="preserve"> </w:t>
      </w:r>
      <w:r>
        <w:t xml:space="preserve">(Pā. sū. 3-1-68)</w:t>
      </w:r>
      <w:r>
        <w:t xml:space="preserve"> </w:t>
      </w:r>
      <w:r>
        <w:rPr>
          <w:iCs/>
          <w:i/>
        </w:rPr>
        <w:t xml:space="preserve">śap</w:t>
      </w:r>
      <w:r>
        <w:t xml:space="preserve">:</w:t>
      </w:r>
      <w:r>
        <w:t xml:space="preserve"> </w:t>
      </w:r>
      <w:r>
        <w:rPr>
          <w:iCs/>
          <w:i/>
        </w:rPr>
        <w:t xml:space="preserve">sthā</w:t>
      </w:r>
      <w:r>
        <w:t xml:space="preserve"> </w:t>
      </w:r>
      <w:r>
        <w:t xml:space="preserve">+</w:t>
      </w:r>
      <w:r>
        <w:t xml:space="preserve"> </w:t>
      </w:r>
      <w:r>
        <w:rPr>
          <w:iCs/>
          <w:i/>
        </w:rPr>
        <w:t xml:space="preserve">a</w:t>
      </w:r>
      <w:r>
        <w:t xml:space="preserve"> </w:t>
      </w:r>
      <w:r>
        <w:t xml:space="preserve">+</w:t>
      </w:r>
      <w:r>
        <w:t xml:space="preserve"> </w:t>
      </w:r>
      <w:r>
        <w:rPr>
          <w:iCs/>
          <w:i/>
        </w:rPr>
        <w:t xml:space="preserve">ta</w:t>
      </w:r>
      <w:r>
        <w:t xml:space="preserve">; by</w:t>
      </w:r>
      <w:r>
        <w:t xml:space="preserve"> </w:t>
      </w:r>
      <w:r>
        <w:t xml:space="preserve">“</w:t>
      </w:r>
      <w:r>
        <w:t xml:space="preserve">pāghrādhmā…</w:t>
      </w:r>
      <w:r>
        <w:t xml:space="preserve">”</w:t>
      </w:r>
      <w:r>
        <w:t xml:space="preserve"> </w:t>
      </w:r>
      <w:r>
        <w:t xml:space="preserve">(Pā. sū. 7-3-78)</w:t>
      </w:r>
      <w:r>
        <w:t xml:space="preserve"> </w:t>
      </w:r>
      <w:r>
        <w:rPr>
          <w:iCs/>
          <w:i/>
        </w:rPr>
        <w:t xml:space="preserve">tiṣṭha</w:t>
      </w:r>
      <w:r>
        <w:t xml:space="preserve"> </w:t>
      </w:r>
      <w:r>
        <w:t xml:space="preserve">for</w:t>
      </w:r>
      <w:r>
        <w:t xml:space="preserve"> </w:t>
      </w:r>
      <w:r>
        <w:rPr>
          <w:iCs/>
          <w:i/>
        </w:rPr>
        <w:t xml:space="preserve">sthā</w:t>
      </w:r>
      <w:r>
        <w:t xml:space="preserve">:</w:t>
      </w:r>
      <w:r>
        <w:t xml:space="preserve"> </w:t>
      </w:r>
      <w:r>
        <w:rPr>
          <w:iCs/>
          <w:i/>
        </w:rPr>
        <w:t xml:space="preserve">tiṣṭhata</w:t>
      </w:r>
      <w:r>
        <w:t xml:space="preserve">.</w:t>
      </w:r>
      <w:r>
        <w:t xml:space="preserve"> </w:t>
      </w:r>
      <w:r>
        <w:t xml:space="preserve">“</w:t>
      </w:r>
      <w:r>
        <w:t xml:space="preserve">samavapravibhyaḥ sthaḥ</w:t>
      </w:r>
      <w:r>
        <w:t xml:space="preserve">”</w:t>
      </w:r>
      <w:r>
        <w:t xml:space="preserve"> </w:t>
      </w:r>
      <w:r>
        <w:t xml:space="preserve">(Pā. sū. 1-3-22): after the</w:t>
      </w:r>
      <w:r>
        <w:t xml:space="preserve"> </w:t>
      </w:r>
      <w:r>
        <w:rPr>
          <w:iCs/>
          <w:i/>
        </w:rPr>
        <w:t xml:space="preserve">upasargas</w:t>
      </w:r>
      <w:r>
        <w:t xml:space="preserve"> </w:t>
      </w:r>
      <w:r>
        <w:rPr>
          <w:iCs/>
          <w:i/>
        </w:rPr>
        <w:t xml:space="preserve">sam</w:t>
      </w:r>
      <w:r>
        <w:t xml:space="preserve">,</w:t>
      </w:r>
      <w:r>
        <w:t xml:space="preserve"> </w:t>
      </w:r>
      <w:r>
        <w:rPr>
          <w:iCs/>
          <w:i/>
        </w:rPr>
        <w:t xml:space="preserve">ava</w:t>
      </w:r>
      <w:r>
        <w:t xml:space="preserve">,</w:t>
      </w:r>
      <w:r>
        <w:t xml:space="preserve"> </w:t>
      </w:r>
      <w:r>
        <w:rPr>
          <w:iCs/>
          <w:i/>
        </w:rPr>
        <w:t xml:space="preserve">pra</w:t>
      </w:r>
      <w:r>
        <w:t xml:space="preserve">,</w:t>
      </w:r>
      <w:r>
        <w:t xml:space="preserve"> </w:t>
      </w:r>
      <w:r>
        <w:rPr>
          <w:iCs/>
          <w:i/>
        </w:rPr>
        <w:t xml:space="preserve">vi</w:t>
      </w:r>
      <w:r>
        <w:t xml:space="preserve">, the root</w:t>
      </w:r>
      <w:r>
        <w:t xml:space="preserve"> </w:t>
      </w:r>
      <w:r>
        <w:rPr>
          <w:iCs/>
          <w:i/>
        </w:rPr>
        <w:t xml:space="preserve">sthā</w:t>
      </w:r>
      <w:r>
        <w:t xml:space="preserve"> </w:t>
      </w:r>
      <w:r>
        <w:t xml:space="preserve">takes the</w:t>
      </w:r>
      <w:r>
        <w:t xml:space="preserve"> </w:t>
      </w:r>
      <w:r>
        <w:rPr>
          <w:iCs/>
          <w:i/>
        </w:rPr>
        <w:t xml:space="preserve">ātmanepada</w:t>
      </w:r>
      <w:r>
        <w:t xml:space="preserve"> </w:t>
      </w:r>
      <w:r>
        <w:t xml:space="preserve">in the place of the</w:t>
      </w:r>
      <w:r>
        <w:t xml:space="preserve"> </w:t>
      </w:r>
      <w:r>
        <w:rPr>
          <w:iCs/>
          <w:i/>
        </w:rPr>
        <w:t xml:space="preserve">lakāra</w:t>
      </w:r>
      <w:r>
        <w:t xml:space="preserve">; but here, though there is an</w:t>
      </w:r>
      <w:r>
        <w:t xml:space="preserve"> </w:t>
      </w:r>
      <w:r>
        <w:rPr>
          <w:iCs/>
          <w:i/>
        </w:rPr>
        <w:t xml:space="preserve">upasarga</w:t>
      </w:r>
      <w:r>
        <w:t xml:space="preserve">, the</w:t>
      </w:r>
      <w:r>
        <w:t xml:space="preserve"> </w:t>
      </w:r>
      <w:r>
        <w:rPr>
          <w:iCs/>
          <w:i/>
        </w:rPr>
        <w:t xml:space="preserve">ātmanepada</w:t>
      </w:r>
      <w:r>
        <w:t xml:space="preserve"> </w:t>
      </w:r>
      <w:r>
        <w:t xml:space="preserve">does not come, since</w:t>
      </w:r>
      <w:r>
        <w:t xml:space="preserve"> </w:t>
      </w:r>
      <w:r>
        <w:rPr>
          <w:iCs/>
          <w:i/>
        </w:rPr>
        <w:t xml:space="preserve">samavapravibhyaḥ</w:t>
      </w:r>
      <w:r>
        <w:t xml:space="preserve"> </w:t>
      </w:r>
      <w:r>
        <w:t xml:space="preserve">is a fifth-case statement. So by</w:t>
      </w:r>
      <w:r>
        <w:t xml:space="preserve"> </w:t>
      </w:r>
      <w:r>
        <w:t xml:space="preserve">“</w:t>
      </w:r>
      <w:r>
        <w:t xml:space="preserve">tasmād ity uttarasya</w:t>
      </w:r>
      <w:r>
        <w:t xml:space="preserve">”</w:t>
      </w:r>
      <w:r>
        <w:t xml:space="preserve"> </w:t>
      </w:r>
      <w:r>
        <w:t xml:space="preserve">(Pā. sū. 1-1-67), the paribhāṣā</w:t>
      </w:r>
    </w:p>
    <w:bookmarkEnd w:id="717"/>
    <w:bookmarkStart w:id="718" w:name="page-663-rik-9-grammar-end"/>
    <w:p>
      <w:pPr>
        <w:pStyle w:val="Heading3"/>
      </w:pPr>
      <w:r>
        <w:t xml:space="preserve">Page 663 — Rik 9: grammar (end)</w:t>
      </w:r>
    </w:p>
    <w:p>
      <w:pPr>
        <w:pStyle w:val="FirstParagraph"/>
      </w:pPr>
      <w:r>
        <w:t xml:space="preserve">means: the operation enjoined in a rule that names a fifth-case form comes for what immediately follows. By this paribhāṣā, the</w:t>
      </w:r>
      <w:r>
        <w:t xml:space="preserve"> </w:t>
      </w:r>
      <w:r>
        <w:rPr>
          <w:iCs/>
          <w:i/>
        </w:rPr>
        <w:t xml:space="preserve">ātmanepada</w:t>
      </w:r>
      <w:r>
        <w:t xml:space="preserve"> </w:t>
      </w:r>
      <w:r>
        <w:t xml:space="preserve">is enjoined when</w:t>
      </w:r>
      <w:r>
        <w:t xml:space="preserve"> </w:t>
      </w:r>
      <w:r>
        <w:rPr>
          <w:iCs/>
          <w:i/>
        </w:rPr>
        <w:t xml:space="preserve">sthā</w:t>
      </w:r>
      <w:r>
        <w:t xml:space="preserve"> </w:t>
      </w:r>
      <w:r>
        <w:t xml:space="preserve">immediately follows</w:t>
      </w:r>
      <w:r>
        <w:t xml:space="preserve"> </w:t>
      </w:r>
      <w:r>
        <w:rPr>
          <w:iCs/>
          <w:i/>
        </w:rPr>
        <w:t xml:space="preserve">sam</w:t>
      </w:r>
      <w:r>
        <w:t xml:space="preserve"> </w:t>
      </w:r>
      <w:r>
        <w:t xml:space="preserve">and the other</w:t>
      </w:r>
      <w:r>
        <w:t xml:space="preserve"> </w:t>
      </w:r>
      <w:r>
        <w:rPr>
          <w:iCs/>
          <w:i/>
        </w:rPr>
        <w:t xml:space="preserve">upasargas</w:t>
      </w:r>
      <w:r>
        <w:t xml:space="preserve">. Here, in</w:t>
      </w:r>
      <w:r>
        <w:t xml:space="preserve"> </w:t>
      </w:r>
      <w:r>
        <w:rPr>
          <w:iCs/>
          <w:i/>
        </w:rPr>
        <w:t xml:space="preserve">pra ca tiṣṭhata</w:t>
      </w:r>
      <w:r>
        <w:t xml:space="preserve">,</w:t>
      </w:r>
      <w:r>
        <w:t xml:space="preserve"> </w:t>
      </w:r>
      <w:r>
        <w:rPr>
          <w:iCs/>
          <w:i/>
        </w:rPr>
        <w:t xml:space="preserve">ca</w:t>
      </w:r>
      <w:r>
        <w:t xml:space="preserve"> </w:t>
      </w:r>
      <w:r>
        <w:t xml:space="preserve">intervenes between them; so the</w:t>
      </w:r>
      <w:r>
        <w:t xml:space="preserve"> </w:t>
      </w:r>
      <w:r>
        <w:rPr>
          <w:iCs/>
          <w:i/>
        </w:rPr>
        <w:t xml:space="preserve">ātmanepada</w:t>
      </w:r>
      <w:r>
        <w:t xml:space="preserve"> </w:t>
      </w:r>
      <w:r>
        <w:t xml:space="preserve">does not come.</w:t>
      </w:r>
      <w:r>
        <w:t xml:space="preserve"> </w:t>
      </w:r>
      <w:r>
        <w:rPr>
          <w:iCs/>
          <w:i/>
        </w:rPr>
        <w:t xml:space="preserve">Pra</w:t>
      </w:r>
      <w:r>
        <w:t xml:space="preserve"> </w:t>
      </w:r>
      <w:r>
        <w:t xml:space="preserve">is an</w:t>
      </w:r>
      <w:r>
        <w:t xml:space="preserve"> </w:t>
      </w:r>
      <w:r>
        <w:rPr>
          <w:iCs/>
          <w:i/>
        </w:rPr>
        <w:t xml:space="preserve">upasarga</w:t>
      </w:r>
      <w:r>
        <w:t xml:space="preserve">; so by</w:t>
      </w:r>
      <w:r>
        <w:t xml:space="preserve"> </w:t>
      </w:r>
      <w:r>
        <w:t xml:space="preserve">“</w:t>
      </w:r>
      <w:r>
        <w:t xml:space="preserve">te prāg dhātoḥ</w:t>
      </w:r>
      <w:r>
        <w:t xml:space="preserve">”</w:t>
      </w:r>
      <w:r>
        <w:t xml:space="preserve"> </w:t>
      </w:r>
      <w:r>
        <w:t xml:space="preserve">(Pā. sū. 1-4-80) the</w:t>
      </w:r>
      <w:r>
        <w:t xml:space="preserve"> </w:t>
      </w:r>
      <w:r>
        <w:rPr>
          <w:iCs/>
          <w:i/>
        </w:rPr>
        <w:t xml:space="preserve">gati</w:t>
      </w:r>
      <w:r>
        <w:t xml:space="preserve"> </w:t>
      </w:r>
      <w:r>
        <w:t xml:space="preserve">and</w:t>
      </w:r>
      <w:r>
        <w:t xml:space="preserve"> </w:t>
      </w:r>
      <w:r>
        <w:rPr>
          <w:iCs/>
          <w:i/>
        </w:rPr>
        <w:t xml:space="preserve">upasarga</w:t>
      </w:r>
      <w:r>
        <w:t xml:space="preserve"> </w:t>
      </w:r>
      <w:r>
        <w:t xml:space="preserve">words must be used immediately before the root, and</w:t>
      </w:r>
      <w:r>
        <w:t xml:space="preserve"> </w:t>
      </w:r>
      <w:r>
        <w:rPr>
          <w:iCs/>
          <w:i/>
        </w:rPr>
        <w:t xml:space="preserve">pra</w:t>
      </w:r>
      <w:r>
        <w:t xml:space="preserve"> </w:t>
      </w:r>
      <w:r>
        <w:t xml:space="preserve">ought to be used immediately before the root. But by</w:t>
      </w:r>
      <w:r>
        <w:t xml:space="preserve"> </w:t>
      </w:r>
      <w:r>
        <w:t xml:space="preserve">“</w:t>
      </w:r>
      <w:r>
        <w:t xml:space="preserve">vyavahitāś ca</w:t>
      </w:r>
      <w:r>
        <w:t xml:space="preserve">”</w:t>
      </w:r>
      <w:r>
        <w:t xml:space="preserve"> </w:t>
      </w:r>
      <w:r>
        <w:t xml:space="preserve">(Pā. sū. 1-4-82) in the Veda the</w:t>
      </w:r>
      <w:r>
        <w:t xml:space="preserve"> </w:t>
      </w:r>
      <w:r>
        <w:rPr>
          <w:iCs/>
          <w:i/>
        </w:rPr>
        <w:t xml:space="preserve">gati</w:t>
      </w:r>
      <w:r>
        <w:t xml:space="preserve"> </w:t>
      </w:r>
      <w:r>
        <w:t xml:space="preserve">and</w:t>
      </w:r>
      <w:r>
        <w:t xml:space="preserve"> </w:t>
      </w:r>
      <w:r>
        <w:rPr>
          <w:iCs/>
          <w:i/>
        </w:rPr>
        <w:t xml:space="preserve">upasarga</w:t>
      </w:r>
      <w:r>
        <w:t xml:space="preserve"> </w:t>
      </w:r>
      <w:r>
        <w:t xml:space="preserve">words may be used separated too; so here</w:t>
      </w:r>
      <w:r>
        <w:t xml:space="preserve"> </w:t>
      </w:r>
      <w:r>
        <w:rPr>
          <w:iCs/>
          <w:i/>
        </w:rPr>
        <w:t xml:space="preserve">pra</w:t>
      </w:r>
      <w:r>
        <w:t xml:space="preserve"> </w:t>
      </w:r>
      <w:r>
        <w:t xml:space="preserve">is used separated. Here</w:t>
      </w:r>
      <w:r>
        <w:t xml:space="preserve"> </w:t>
      </w:r>
      <w:r>
        <w:rPr>
          <w:iCs/>
          <w:i/>
        </w:rPr>
        <w:t xml:space="preserve">ca</w:t>
      </w:r>
      <w:r>
        <w:t xml:space="preserve"> </w:t>
      </w:r>
      <w:r>
        <w:t xml:space="preserve">conveys the joining with the earlier action:</w:t>
      </w:r>
      <w:r>
        <w:t xml:space="preserve"> </w:t>
      </w:r>
      <w:r>
        <w:rPr>
          <w:iCs/>
          <w:i/>
        </w:rPr>
        <w:t xml:space="preserve">juhota</w:t>
      </w:r>
      <w:r>
        <w:t xml:space="preserve">,</w:t>
      </w:r>
      <w:r>
        <w:t xml:space="preserve"> </w:t>
      </w:r>
      <w:r>
        <w:rPr>
          <w:iCs/>
          <w:i/>
        </w:rPr>
        <w:t xml:space="preserve">pratiṣṭhata ca</w:t>
      </w:r>
      <w:r>
        <w:t xml:space="preserve">,</w:t>
      </w:r>
      <w:r>
        <w:t xml:space="preserve"> </w:t>
      </w:r>
      <w:r>
        <w:t xml:space="preserve">“</w:t>
      </w:r>
      <w:r>
        <w:t xml:space="preserve">make the</w:t>
      </w:r>
      <w:r>
        <w:t xml:space="preserve"> </w:t>
      </w:r>
      <w:r>
        <w:rPr>
          <w:iCs/>
          <w:i/>
        </w:rPr>
        <w:t xml:space="preserve">homa</w:t>
      </w:r>
      <w:r>
        <w:t xml:space="preserve">, and having made it go to another place</w:t>
      </w:r>
      <w:r>
        <w:t xml:space="preserve">”</w:t>
      </w:r>
      <w:r>
        <w:t xml:space="preserve">. It does not convey joining with</w:t>
      </w:r>
      <w:r>
        <w:t xml:space="preserve"> </w:t>
      </w:r>
      <w:r>
        <w:rPr>
          <w:iCs/>
          <w:i/>
        </w:rPr>
        <w:t xml:space="preserve">iṣyata</w:t>
      </w:r>
      <w:r>
        <w:t xml:space="preserve"> </w:t>
      </w:r>
      <w:r>
        <w:t xml:space="preserve">as</w:t>
      </w:r>
      <w:r>
        <w:t xml:space="preserve"> </w:t>
      </w:r>
      <w:r>
        <w:rPr>
          <w:iCs/>
          <w:i/>
        </w:rPr>
        <w:t xml:space="preserve">pratiṣṭhata iṣyata ca</w:t>
      </w:r>
      <w:r>
        <w:t xml:space="preserve">. So, with reference to the action joined by</w:t>
      </w:r>
      <w:r>
        <w:t xml:space="preserve"> </w:t>
      </w:r>
      <w:r>
        <w:rPr>
          <w:iCs/>
          <w:i/>
        </w:rPr>
        <w:t xml:space="preserve">ca</w:t>
      </w:r>
      <w:r>
        <w:t xml:space="preserve">,</w:t>
      </w:r>
      <w:r>
        <w:t xml:space="preserve"> </w:t>
      </w:r>
      <w:r>
        <w:rPr>
          <w:iCs/>
          <w:i/>
        </w:rPr>
        <w:t xml:space="preserve">tiṣṭhata</w:t>
      </w:r>
      <w:r>
        <w:t xml:space="preserve"> </w:t>
      </w:r>
      <w:r>
        <w:t xml:space="preserve">is not the first</w:t>
      </w:r>
      <w:r>
        <w:t xml:space="preserve"> </w:t>
      </w:r>
      <w:r>
        <w:rPr>
          <w:iCs/>
          <w:i/>
        </w:rPr>
        <w:t xml:space="preserve">tiṅanta</w:t>
      </w:r>
      <w:r>
        <w:t xml:space="preserve">. So</w:t>
      </w:r>
      <w:r>
        <w:t xml:space="preserve"> </w:t>
      </w:r>
      <w:r>
        <w:t xml:space="preserve">“</w:t>
      </w:r>
      <w:r>
        <w:t xml:space="preserve">cavāyoge prathamā</w:t>
      </w:r>
      <w:r>
        <w:t xml:space="preserve">”</w:t>
      </w:r>
      <w:r>
        <w:t xml:space="preserve"> </w:t>
      </w:r>
      <w:r>
        <w:t xml:space="preserve">(Pā. sū. 8-1-59): when joined with</w:t>
      </w:r>
      <w:r>
        <w:t xml:space="preserve"> </w:t>
      </w:r>
      <w:r>
        <w:rPr>
          <w:iCs/>
          <w:i/>
        </w:rPr>
        <w:t xml:space="preserve">ca</w:t>
      </w:r>
      <w:r>
        <w:t xml:space="preserve"> </w:t>
      </w:r>
      <w:r>
        <w:t xml:space="preserve">or</w:t>
      </w:r>
      <w:r>
        <w:t xml:space="preserve"> </w:t>
      </w:r>
      <w:r>
        <w:rPr>
          <w:iCs/>
          <w:i/>
        </w:rPr>
        <w:t xml:space="preserve">vā</w:t>
      </w:r>
      <w:r>
        <w:t xml:space="preserve">, the first</w:t>
      </w:r>
      <w:r>
        <w:t xml:space="preserve"> </w:t>
      </w:r>
      <w:r>
        <w:rPr>
          <w:iCs/>
          <w:i/>
        </w:rPr>
        <w:t xml:space="preserve">tiṅanta</w:t>
      </w:r>
      <w:r>
        <w:t xml:space="preserve"> </w:t>
      </w:r>
      <w:r>
        <w:t xml:space="preserve">is not unaccented; this bar does not apply, and by</w:t>
      </w:r>
      <w:r>
        <w:t xml:space="preserve"> </w:t>
      </w:r>
      <w:r>
        <w:t xml:space="preserve">“</w:t>
      </w:r>
      <w:r>
        <w:t xml:space="preserve">tiṅṅatiṅaḥ</w:t>
      </w:r>
      <w:r>
        <w:t xml:space="preserve">”</w:t>
      </w:r>
      <w:r>
        <w:t xml:space="preserve"> </w:t>
      </w:r>
      <w:r>
        <w:t xml:space="preserve">it is wholly unaccented.</w:t>
      </w:r>
    </w:p>
    <w:p>
      <w:pPr>
        <w:pStyle w:val="BodyText"/>
      </w:pPr>
      <w:r>
        <w:rPr>
          <w:bCs/>
          <w:b/>
        </w:rPr>
        <w:t xml:space="preserve">नेष्ट्रात् (</w:t>
      </w:r>
      <w:r>
        <w:rPr>
          <w:iCs/>
          <w:i/>
          <w:bCs/>
          <w:b/>
        </w:rPr>
        <w:t xml:space="preserve">neṣṭrāt</w:t>
      </w:r>
      <w:r>
        <w:rPr>
          <w:bCs/>
          <w:b/>
        </w:rPr>
        <w:t xml:space="preserve">)</w:t>
      </w:r>
      <w:r>
        <w:t xml:space="preserve">: the derivation must be given here as for the word</w:t>
      </w:r>
      <w:r>
        <w:t xml:space="preserve"> </w:t>
      </w:r>
      <w:r>
        <w:rPr>
          <w:iCs/>
          <w:i/>
        </w:rPr>
        <w:t xml:space="preserve">potra</w:t>
      </w:r>
      <w:r>
        <w:t xml:space="preserve"> </w:t>
      </w:r>
      <w:r>
        <w:t xml:space="preserve">in the mantra</w:t>
      </w:r>
      <w:r>
        <w:t xml:space="preserve"> </w:t>
      </w:r>
      <w:r>
        <w:rPr>
          <w:iCs/>
          <w:i/>
        </w:rPr>
        <w:t xml:space="preserve">potrād yajñaṃ punītana</w:t>
      </w:r>
      <w:r>
        <w:t xml:space="preserve"> </w:t>
      </w:r>
      <w:r>
        <w:t xml:space="preserve">(Ṛ. Saṃ. 1-15-2).</w:t>
      </w:r>
    </w:p>
    <w:p>
      <w:pPr>
        <w:pStyle w:val="BodyText"/>
      </w:pPr>
      <w:r>
        <w:rPr>
          <w:bCs/>
          <w:b/>
        </w:rPr>
        <w:t xml:space="preserve">इष्यत (</w:t>
      </w:r>
      <w:r>
        <w:rPr>
          <w:iCs/>
          <w:i/>
          <w:bCs/>
          <w:b/>
        </w:rPr>
        <w:t xml:space="preserve">iṣyata</w:t>
      </w:r>
      <w:r>
        <w:rPr>
          <w:bCs/>
          <w:b/>
        </w:rPr>
        <w:t xml:space="preserve">)</w:t>
      </w:r>
      <w:r>
        <w:t xml:space="preserve">:</w:t>
      </w:r>
      <w:r>
        <w:t xml:space="preserve"> </w:t>
      </w:r>
      <w:r>
        <w:rPr>
          <w:iCs/>
          <w:i/>
        </w:rPr>
        <w:t xml:space="preserve">iṣa gatau</w:t>
      </w:r>
      <w:r>
        <w:t xml:space="preserve"> </w:t>
      </w:r>
      <w:r>
        <w:t xml:space="preserve">(</w:t>
      </w:r>
      <w:r>
        <w:rPr>
          <w:iCs/>
          <w:i/>
        </w:rPr>
        <w:t xml:space="preserve">divādi</w:t>
      </w:r>
      <w:r>
        <w:t xml:space="preserve">),</w:t>
      </w:r>
      <w:r>
        <w:t xml:space="preserve"> </w:t>
      </w:r>
      <w:r>
        <w:rPr>
          <w:iCs/>
          <w:i/>
        </w:rPr>
        <w:t xml:space="preserve">loṭ</w:t>
      </w:r>
      <w:r>
        <w:t xml:space="preserve">, 2nd plural</w:t>
      </w:r>
      <w:r>
        <w:t xml:space="preserve"> </w:t>
      </w:r>
      <w:r>
        <w:rPr>
          <w:iCs/>
          <w:i/>
        </w:rPr>
        <w:t xml:space="preserve">tha</w:t>
      </w:r>
      <w:r>
        <w:t xml:space="preserve">; by</w:t>
      </w:r>
      <w:r>
        <w:t xml:space="preserve"> </w:t>
      </w:r>
      <w:r>
        <w:t xml:space="preserve">“</w:t>
      </w:r>
      <w:r>
        <w:t xml:space="preserve">loṭo laṅvat</w:t>
      </w:r>
      <w:r>
        <w:t xml:space="preserve">”</w:t>
      </w:r>
      <w:r>
        <w:t xml:space="preserve"> </w:t>
      </w:r>
      <w:r>
        <w:t xml:space="preserve">(Pā. sū. 3-4-85) the</w:t>
      </w:r>
      <w:r>
        <w:t xml:space="preserve"> </w:t>
      </w:r>
      <w:r>
        <w:rPr>
          <w:iCs/>
          <w:i/>
        </w:rPr>
        <w:t xml:space="preserve">laṅvadbhāva</w:t>
      </w:r>
      <w:r>
        <w:t xml:space="preserve">; by</w:t>
      </w:r>
      <w:r>
        <w:t xml:space="preserve"> </w:t>
      </w:r>
      <w:r>
        <w:t xml:space="preserve">“</w:t>
      </w:r>
      <w:r>
        <w:t xml:space="preserve">tasthasthamipāṃ tāṃtaṃtāmaḥ</w:t>
      </w:r>
      <w:r>
        <w:t xml:space="preserve">”</w:t>
      </w:r>
      <w:r>
        <w:t xml:space="preserve"> </w:t>
      </w:r>
      <w:r>
        <w:t xml:space="preserve">(Pā. sū. 3-4-101)</w:t>
      </w:r>
      <w:r>
        <w:t xml:space="preserve"> </w:t>
      </w:r>
      <w:r>
        <w:rPr>
          <w:iCs/>
          <w:i/>
        </w:rPr>
        <w:t xml:space="preserve">ta</w:t>
      </w:r>
      <w:r>
        <w:t xml:space="preserve"> </w:t>
      </w:r>
      <w:r>
        <w:t xml:space="preserve">for</w:t>
      </w:r>
      <w:r>
        <w:t xml:space="preserve"> </w:t>
      </w:r>
      <w:r>
        <w:rPr>
          <w:iCs/>
          <w:i/>
        </w:rPr>
        <w:t xml:space="preserve">tha</w:t>
      </w:r>
      <w:r>
        <w:t xml:space="preserve">; by</w:t>
      </w:r>
      <w:r>
        <w:t xml:space="preserve"> </w:t>
      </w:r>
      <w:r>
        <w:t xml:space="preserve">“</w:t>
      </w:r>
      <w:r>
        <w:t xml:space="preserve">divādibhyaḥ śyan</w:t>
      </w:r>
      <w:r>
        <w:t xml:space="preserve">”</w:t>
      </w:r>
      <w:r>
        <w:t xml:space="preserve"> </w:t>
      </w:r>
      <w:r>
        <w:t xml:space="preserve">the</w:t>
      </w:r>
      <w:r>
        <w:t xml:space="preserve"> </w:t>
      </w:r>
      <w:r>
        <w:rPr>
          <w:iCs/>
          <w:i/>
        </w:rPr>
        <w:t xml:space="preserve">vikaraṇa</w:t>
      </w:r>
      <w:r>
        <w:t xml:space="preserve"> </w:t>
      </w:r>
      <w:r>
        <w:rPr>
          <w:iCs/>
          <w:i/>
        </w:rPr>
        <w:t xml:space="preserve">śyan</w:t>
      </w:r>
      <w:r>
        <w:t xml:space="preserve">:</w:t>
      </w:r>
      <w:r>
        <w:t xml:space="preserve"> </w:t>
      </w:r>
      <w:r>
        <w:rPr>
          <w:iCs/>
          <w:i/>
        </w:rPr>
        <w:t xml:space="preserve">iṣyata</w:t>
      </w:r>
      <w:r>
        <w:t xml:space="preserve">. Wholly unaccented by</w:t>
      </w:r>
      <w:r>
        <w:t xml:space="preserve"> </w:t>
      </w:r>
      <w:r>
        <w:t xml:space="preserve">“</w:t>
      </w:r>
      <w:r>
        <w:t xml:space="preserve">tiṅṅatiṅaḥ</w:t>
      </w:r>
      <w:r>
        <w:t xml:space="preserve">”</w:t>
      </w:r>
      <w:r>
        <w:t xml:space="preserve"> </w:t>
      </w:r>
      <w:r>
        <w:t xml:space="preserve">(Pā. sū. 8-1-28).</w:t>
      </w:r>
    </w:p>
    <w:p>
      <w:pPr>
        <w:pStyle w:val="BodyText"/>
      </w:pPr>
      <w:r>
        <w:rPr>
          <w:bCs/>
          <w:b/>
        </w:rPr>
        <w:t xml:space="preserve">॥९॥</w:t>
      </w:r>
    </w:p>
    <w:p>
      <w:r>
        <w:pict>
          <v:rect style="width:0;height:1.5pt" o:hralign="center" o:hrstd="t" o:hr="t"/>
        </w:pict>
      </w:r>
    </w:p>
    <w:bookmarkEnd w:id="718"/>
    <w:bookmarkStart w:id="719" w:name="page-663-lower-sūkta-15-rik-10"/>
    <w:p>
      <w:pPr>
        <w:pStyle w:val="Heading3"/>
      </w:pPr>
      <w:r>
        <w:t xml:space="preserve">Page 663 (lower) — Sūkta 15, Rik 10</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यत्त्वा॑ तु॒रीय॑मृ॒तुभि॒र्द्रवि॑णोदो॒ यजा॑महे । [accent ?]</w:t>
      </w:r>
      <w:r>
        <w:t xml:space="preserve"> </w:t>
      </w:r>
      <w:r>
        <w:t xml:space="preserve">अध॑ स्मा नो द॒दिर्भ॑व ॥१०॥</w:t>
      </w:r>
    </w:p>
    <w:p>
      <w:pPr>
        <w:pStyle w:val="BlockText"/>
      </w:pPr>
      <w:r>
        <w:rPr>
          <w:iCs/>
          <w:i/>
        </w:rPr>
        <w:t xml:space="preserve">yát tvā turī́yam ṛtúbhir dráviṇodo yájāmahe |</w:t>
      </w:r>
      <w:r>
        <w:t xml:space="preserve"> </w:t>
      </w:r>
      <w:r>
        <w:t xml:space="preserve">[accent ?]</w:t>
      </w:r>
      <w:r>
        <w:t xml:space="preserve"> </w:t>
      </w:r>
      <w:r>
        <w:rPr>
          <w:iCs/>
          <w:i/>
        </w:rPr>
        <w:t xml:space="preserve">ádha smā no dadír bhava ||10||</w:t>
      </w:r>
    </w:p>
    <w:p>
      <w:pPr>
        <w:pStyle w:val="FirstParagraph"/>
      </w:pPr>
      <w:r>
        <w:rPr>
          <w:iCs/>
          <w:i/>
        </w:rPr>
        <w:t xml:space="preserve">(Line 1: the strokes over त्वा, रीय, वि and जा are clear; the bars under तु, ऋ, भि and दो are read at 500 dpi, faint at the foot of the page.)</w:t>
      </w:r>
    </w:p>
    <w:p>
      <w:pPr>
        <w:pStyle w:val="BodyText"/>
      </w:pPr>
      <w:r>
        <w:rPr>
          <w:bCs/>
          <w:b/>
        </w:rPr>
        <w:t xml:space="preserve">॥ Pada-pāṭhaḥ ॥</w:t>
      </w:r>
    </w:p>
    <w:p>
      <w:pPr>
        <w:pStyle w:val="BlockText"/>
      </w:pPr>
      <w:r>
        <w:t xml:space="preserve">यत् । त्वा । तुरीयम् । ऋतुऽभिः । द्रविणःऽदः । यजामहे ॥</w:t>
      </w:r>
      <w:r>
        <w:t xml:space="preserve"> </w:t>
      </w:r>
      <w:r>
        <w:t xml:space="preserve">अध । स्म । नः । ददिः । भव ॥१०॥</w:t>
      </w:r>
    </w:p>
    <w:p>
      <w:pPr>
        <w:pStyle w:val="BlockText"/>
      </w:pPr>
      <w:r>
        <w:rPr>
          <w:iCs/>
          <w:i/>
        </w:rPr>
        <w:t xml:space="preserve">yat | tvā | turīyam | ṛtu ’bhiḥ | draviṇaḥ ’daḥ | yajāmahe ||</w:t>
      </w:r>
      <w:r>
        <w:t xml:space="preserve"> </w:t>
      </w:r>
      <w:r>
        <w:rPr>
          <w:iCs/>
          <w:i/>
        </w:rPr>
        <w:t xml:space="preserve">adha | sma | naḥ | dadiḥ | bhava ||10||</w:t>
      </w:r>
    </w:p>
    <w:bookmarkEnd w:id="719"/>
    <w:bookmarkStart w:id="720" w:name="Xaf665bec0b1615e0c45aacfeb2d0fc7951ac93b"/>
    <w:p>
      <w:pPr>
        <w:pStyle w:val="Heading3"/>
      </w:pPr>
      <w:r>
        <w:t xml:space="preserve">Page 664 — Rik 10: bhāṣya, word-meanings, overall sense, English, Special Topics</w:t>
      </w:r>
    </w:p>
    <w:p>
      <w:pPr>
        <w:pStyle w:val="FirstParagraph"/>
      </w:pPr>
      <w:r>
        <w:rPr>
          <w:bCs/>
          <w:b/>
        </w:rPr>
        <w:t xml:space="preserve">॥ Sāyaṇa-bhāṣyam ॥</w:t>
      </w:r>
    </w:p>
    <w:p>
      <w:pPr>
        <w:pStyle w:val="BlockText"/>
      </w:pPr>
      <w:r>
        <w:t xml:space="preserve">हे द्रविणोदो देव यद्यस्मात्कारणादृतुभिः सह त्वां यजामहे । अधेत्ययं निपातस्तच्छब्दार्थः । तस्मात्कारणान्नो ऽस्मभ्यं ददिर्धनस्य दाता भव स्म । अवश्यं भव । तुरीयं चतुर्णां पूरणं ॥ तुरीयं । चतुरश्छयतावाद्यक्षरलोपश्च । पा. ५-२-५१-१ । इति छप्रत्ययः । तस्य प्रत्ययस्वरेणोदात्तात्प्रागेवायनेयीनीत्यादिना । पा. ७-१-२ । ईयादेशः । आयनादिषूपदेशिवद्वचनं स्वरसिद्ध्यर्थं । पा. ७-१-२-१ । इति वचनात्कृत आदेशे प्रत्ययस्वरेणेकार उदात्तः । द्रविणोदः । उक्तं । पादादित्वादामन्त्रिताद्युदात्तत्वं । यजामहे । अत्र शपः पित्त्वेन तिङश्च लसार्वधातुकस्वरेण धातुस्वर एव । पूर्वस्यामन्त्रितस्याविद्यमानवत्त्वाद्यद्वृत्तयोगाद्वा न निघातः । व्यवहितयोगे ऽपि हि स निषेध इत्युक्तं । अध । छान्दसो धकारः । स्म । चादिरनुदात्तः । संहितायां निपातस्य चेति दीर्घः । ददिः । डुदाञ् दाने । आदृगमहनजनः किकिनौ लिट् च । पा. ३-२-१७१ । इति किप्रत्ययः । लिड्वद्भावाद्द्विर्वचनादि । आतो लोप इटि च । पा. ६-४-६४ । इत्याकारलोपः । प्रत्ययस्वरः ॥</w:t>
      </w:r>
    </w:p>
    <w:p>
      <w:pPr>
        <w:pStyle w:val="BlockText"/>
      </w:pPr>
      <w:r>
        <w:rPr>
          <w:iCs/>
          <w:i/>
        </w:rPr>
        <w:t xml:space="preserve">he draviṇodo deva yadyasmātkāraṇādṛtubhiḥ saha tvāṃ yajāmahe | adhetyayaṃ nipātastacchabdārthaḥ | tasmātkāraṇānno ’smabhyaṃ dadirdhanasya dātā bhava sma | avaśyaṃ bhava | turīyaṃ caturṇāṃ pūraṇaṃ || turīyaṃ | caturaśchayatāvādyakṣaralopaśca | pā. 5-2-51-1 | iti chapratyayaḥ | tasya pratyayasvareṇodāttātprāgevāyaneyīnītyādinā | pā. 7-1-2 | īyādeśaḥ | āyanādiṣūpadeśivadvacanaṃ svarasiddhyarthaṃ | pā. 7-1-2-1 | iti vacanātkṛta ādeśe pratyayasvareṇekāra udāttaḥ | draviṇodaḥ | uktaṃ | pādāditvādāmantritādyudāttatvaṃ | yajāmahe | atra śapaḥ pittvena tiṅaśca lasārvadhātukasvareṇa dhātusvara eva | pūrvasyāmantritasyāvidyamānavattvādyadvṛttayogādvā na nighātaḥ | vyavahitayoge ’pi hi sa niṣedha ityuktaṃ | adha | chāndaso dhakāraḥ | sma | cādiranudāttaḥ | saṃhitāyāṃ nipātasya ceti dīrghaḥ | dadiḥ | ḍudāñ dāne | ādṛgamahanajanaḥ kikinau liṭ ca | pā. 3-2-171 | iti kipratyayaḥ | liḍvadbhāvāddvirvacanādi | āto lopa iṭi ca | pā. 6-4-64 | ityākāralopaḥ | pratyayasvaraḥ ||</w:t>
      </w:r>
    </w:p>
    <w:p>
      <w:pPr>
        <w:pStyle w:val="FirstParagraph"/>
      </w:pPr>
      <w:r>
        <w:rPr>
          <w:bCs/>
          <w:b/>
        </w:rPr>
        <w:t xml:space="preserve">Translation:</w:t>
      </w:r>
      <w:r>
        <w:t xml:space="preserve"> </w:t>
      </w:r>
      <w:r>
        <w:t xml:space="preserve">“</w:t>
      </w:r>
      <w:r>
        <w:t xml:space="preserve">O god Draviṇodas,</w:t>
      </w:r>
      <w:r>
        <w:t xml:space="preserve"> </w:t>
      </w:r>
      <w:r>
        <w:rPr>
          <w:iCs/>
          <w:i/>
        </w:rPr>
        <w:t xml:space="preserve">yat</w:t>
      </w:r>
      <w:r>
        <w:t xml:space="preserve">, since, we worship you with the Ṛtus,</w:t>
      </w:r>
      <w:r>
        <w:t xml:space="preserve"> </w:t>
      </w:r>
      <w:r>
        <w:rPr>
          <w:iCs/>
          <w:i/>
        </w:rPr>
        <w:t xml:space="preserve">adha</w:t>
      </w:r>
      <w:r>
        <w:t xml:space="preserve">, a particle in the sense of</w:t>
      </w:r>
      <w:r>
        <w:t xml:space="preserve"> </w:t>
      </w:r>
      <w:r>
        <w:rPr>
          <w:iCs/>
          <w:i/>
        </w:rPr>
        <w:t xml:space="preserve">tad</w:t>
      </w:r>
      <w:r>
        <w:t xml:space="preserve">, for that reason be</w:t>
      </w:r>
      <w:r>
        <w:t xml:space="preserve"> </w:t>
      </w:r>
      <w:r>
        <w:rPr>
          <w:iCs/>
          <w:i/>
        </w:rPr>
        <w:t xml:space="preserve">dadiḥ</w:t>
      </w:r>
      <w:r>
        <w:t xml:space="preserve">, the giver of wealth,</w:t>
      </w:r>
      <w:r>
        <w:t xml:space="preserve"> </w:t>
      </w:r>
      <w:r>
        <w:rPr>
          <w:iCs/>
          <w:i/>
        </w:rPr>
        <w:t xml:space="preserve">naḥ</w:t>
      </w:r>
      <w:r>
        <w:t xml:space="preserve">, to us:</w:t>
      </w:r>
      <w:r>
        <w:t xml:space="preserve"> </w:t>
      </w:r>
      <w:r>
        <w:rPr>
          <w:iCs/>
          <w:i/>
        </w:rPr>
        <w:t xml:space="preserve">bhava sma</w:t>
      </w:r>
      <w:r>
        <w:t xml:space="preserve">, be so without fail.</w:t>
      </w:r>
      <w:r>
        <w:t xml:space="preserve"> </w:t>
      </w:r>
      <w:r>
        <w:rPr>
          <w:iCs/>
          <w:i/>
        </w:rPr>
        <w:t xml:space="preserve">Turīyam</w:t>
      </w:r>
      <w:r>
        <w:t xml:space="preserve">: the filler of four, the fourth.</w:t>
      </w:r>
      <w:r>
        <w:t xml:space="preserve">”</w:t>
      </w:r>
      <w:r>
        <w:t xml:space="preserve"> </w:t>
      </w:r>
      <w:r>
        <w:t xml:space="preserve">(Grammatical tail:</w:t>
      </w:r>
      <w:r>
        <w:t xml:space="preserve"> </w:t>
      </w:r>
      <w:r>
        <w:rPr>
          <w:iCs/>
          <w:i/>
        </w:rPr>
        <w:t xml:space="preserve">turīyam</w:t>
      </w:r>
      <w:r>
        <w:t xml:space="preserve"> </w:t>
      </w:r>
      <w:r>
        <w:t xml:space="preserve">with</w:t>
      </w:r>
      <w:r>
        <w:t xml:space="preserve"> </w:t>
      </w:r>
      <w:r>
        <w:rPr>
          <w:iCs/>
          <w:i/>
        </w:rPr>
        <w:t xml:space="preserve">cha</w:t>
      </w:r>
      <w:r>
        <w:t xml:space="preserve"> </w:t>
      </w:r>
      <w:r>
        <w:t xml:space="preserve">and the loss of the first syllable by the vārttika 5-2-51-1, the replacement</w:t>
      </w:r>
      <w:r>
        <w:t xml:space="preserve"> </w:t>
      </w:r>
      <w:r>
        <w:rPr>
          <w:iCs/>
          <w:i/>
        </w:rPr>
        <w:t xml:space="preserve">īya</w:t>
      </w:r>
      <w:r>
        <w:t xml:space="preserve"> </w:t>
      </w:r>
      <w:r>
        <w:t xml:space="preserve">(Pā. 7-1-2) made first, before the suffix accent, by the vārttika 7-1-2-1, so the</w:t>
      </w:r>
      <w:r>
        <w:t xml:space="preserve"> </w:t>
      </w:r>
      <w:r>
        <w:rPr>
          <w:iCs/>
          <w:i/>
        </w:rPr>
        <w:t xml:space="preserve">ī</w:t>
      </w:r>
      <w:r>
        <w:t xml:space="preserve"> </w:t>
      </w:r>
      <w:r>
        <w:t xml:space="preserve">is udātta;</w:t>
      </w:r>
      <w:r>
        <w:t xml:space="preserve"> </w:t>
      </w:r>
      <w:r>
        <w:rPr>
          <w:iCs/>
          <w:i/>
        </w:rPr>
        <w:t xml:space="preserve">draviṇodaḥ</w:t>
      </w:r>
      <w:r>
        <w:t xml:space="preserve"> </w:t>
      </w:r>
      <w:r>
        <w:t xml:space="preserve">as said, initial udātta at the head of the pāda;</w:t>
      </w:r>
      <w:r>
        <w:t xml:space="preserve"> </w:t>
      </w:r>
      <w:r>
        <w:rPr>
          <w:iCs/>
          <w:i/>
        </w:rPr>
        <w:t xml:space="preserve">yajāmahe</w:t>
      </w:r>
      <w:r>
        <w:t xml:space="preserve">, the root accent, not lowered, the earlier vocative counting as absent, or because of the relative</w:t>
      </w:r>
      <w:r>
        <w:t xml:space="preserve"> </w:t>
      </w:r>
      <w:r>
        <w:rPr>
          <w:iCs/>
          <w:i/>
        </w:rPr>
        <w:t xml:space="preserve">yat</w:t>
      </w:r>
      <w:r>
        <w:t xml:space="preserve">, for the bar holds even when</w:t>
      </w:r>
      <w:r>
        <w:t xml:space="preserve"> </w:t>
      </w:r>
      <w:r>
        <w:rPr>
          <w:iCs/>
          <w:i/>
        </w:rPr>
        <w:t xml:space="preserve">yat</w:t>
      </w:r>
      <w:r>
        <w:t xml:space="preserve"> </w:t>
      </w:r>
      <w:r>
        <w:t xml:space="preserve">is not adjacent;</w:t>
      </w:r>
      <w:r>
        <w:t xml:space="preserve"> </w:t>
      </w:r>
      <w:r>
        <w:rPr>
          <w:iCs/>
          <w:i/>
        </w:rPr>
        <w:t xml:space="preserve">adha</w:t>
      </w:r>
      <w:r>
        <w:t xml:space="preserve">, the</w:t>
      </w:r>
      <w:r>
        <w:t xml:space="preserve"> </w:t>
      </w:r>
      <w:r>
        <w:rPr>
          <w:iCs/>
          <w:i/>
        </w:rPr>
        <w:t xml:space="preserve">dh</w:t>
      </w:r>
      <w:r>
        <w:t xml:space="preserve"> </w:t>
      </w:r>
      <w:r>
        <w:t xml:space="preserve">Vedic;</w:t>
      </w:r>
      <w:r>
        <w:t xml:space="preserve"> </w:t>
      </w:r>
      <w:r>
        <w:rPr>
          <w:iCs/>
          <w:i/>
        </w:rPr>
        <w:t xml:space="preserve">sma</w:t>
      </w:r>
      <w:r>
        <w:t xml:space="preserve">, unaccented as of the</w:t>
      </w:r>
      <w:r>
        <w:t xml:space="preserve"> </w:t>
      </w:r>
      <w:r>
        <w:rPr>
          <w:iCs/>
          <w:i/>
        </w:rPr>
        <w:t xml:space="preserve">cādi</w:t>
      </w:r>
      <w:r>
        <w:t xml:space="preserve"> </w:t>
      </w:r>
      <w:r>
        <w:t xml:space="preserve">class, lengthened in the Saṃhitā by</w:t>
      </w:r>
      <w:r>
        <w:t xml:space="preserve"> </w:t>
      </w:r>
      <w:r>
        <w:rPr>
          <w:iCs/>
          <w:i/>
        </w:rPr>
        <w:t xml:space="preserve">nipātasya ca</w:t>
      </w:r>
      <w:r>
        <w:t xml:space="preserve">;</w:t>
      </w:r>
      <w:r>
        <w:t xml:space="preserve"> </w:t>
      </w:r>
      <w:r>
        <w:rPr>
          <w:iCs/>
          <w:i/>
        </w:rPr>
        <w:t xml:space="preserve">dadiḥ</w:t>
      </w:r>
      <w:r>
        <w:t xml:space="preserve">,</w:t>
      </w:r>
      <w:r>
        <w:t xml:space="preserve"> </w:t>
      </w:r>
      <w:r>
        <w:rPr>
          <w:iCs/>
          <w:i/>
        </w:rPr>
        <w:t xml:space="preserve">ki</w:t>
      </w:r>
      <w:r>
        <w:t xml:space="preserve"> </w:t>
      </w:r>
      <w:r>
        <w:t xml:space="preserve">after</w:t>
      </w:r>
      <w:r>
        <w:t xml:space="preserve"> </w:t>
      </w:r>
      <w:r>
        <w:rPr>
          <w:iCs/>
          <w:i/>
        </w:rPr>
        <w:t xml:space="preserve">dā</w:t>
      </w:r>
      <w:r>
        <w:t xml:space="preserve"> </w:t>
      </w:r>
      <w:r>
        <w:t xml:space="preserve">(Pā. 3-2-171), reduplication as in</w:t>
      </w:r>
      <w:r>
        <w:t xml:space="preserve"> </w:t>
      </w:r>
      <w:r>
        <w:rPr>
          <w:iCs/>
          <w:i/>
        </w:rPr>
        <w:t xml:space="preserve">liṭ</w:t>
      </w:r>
      <w:r>
        <w:t xml:space="preserve">, the</w:t>
      </w:r>
      <w:r>
        <w:t xml:space="preserve"> </w:t>
      </w:r>
      <w:r>
        <w:rPr>
          <w:iCs/>
          <w:i/>
        </w:rPr>
        <w:t xml:space="preserve">ā</w:t>
      </w:r>
      <w:r>
        <w:t xml:space="preserve"> </w:t>
      </w:r>
      <w:r>
        <w:t xml:space="preserve">dropped (Pā. 6-4-64), the suffix accent.)</w:t>
      </w:r>
    </w:p>
    <w:p>
      <w:pPr>
        <w:pStyle w:val="BodyText"/>
      </w:pPr>
      <w:r>
        <w:rPr>
          <w:bCs/>
          <w:b/>
        </w:rPr>
        <w:t xml:space="preserve">॥ Prati-padārthaḥ ॥</w:t>
      </w:r>
    </w:p>
    <w:p>
      <w:pPr>
        <w:pStyle w:val="BodyText"/>
      </w:pPr>
      <w:r>
        <w:rPr>
          <w:bCs/>
          <w:b/>
        </w:rPr>
        <w:t xml:space="preserve">द्रविणोदः (draviṇodaḥ)</w:t>
      </w:r>
      <w:r>
        <w:t xml:space="preserve"> </w:t>
      </w:r>
      <w:r>
        <w:t xml:space="preserve">— O Agni, giver of wealth |</w:t>
      </w:r>
      <w:r>
        <w:t xml:space="preserve"> </w:t>
      </w:r>
      <w:r>
        <w:rPr>
          <w:bCs/>
          <w:b/>
        </w:rPr>
        <w:t xml:space="preserve">यत् (yat)</w:t>
      </w:r>
      <w:r>
        <w:t xml:space="preserve"> </w:t>
      </w:r>
      <w:r>
        <w:t xml:space="preserve">— for the reason that |</w:t>
      </w:r>
      <w:r>
        <w:t xml:space="preserve"> </w:t>
      </w:r>
      <w:r>
        <w:rPr>
          <w:bCs/>
          <w:b/>
        </w:rPr>
        <w:t xml:space="preserve">ऋतुभिः (ṛtubhiḥ)</w:t>
      </w:r>
      <w:r>
        <w:t xml:space="preserve"> </w:t>
      </w:r>
      <w:r>
        <w:t xml:space="preserve">— with the Ṛtu deities |</w:t>
      </w:r>
      <w:r>
        <w:t xml:space="preserve"> </w:t>
      </w:r>
      <w:r>
        <w:rPr>
          <w:bCs/>
          <w:b/>
        </w:rPr>
        <w:t xml:space="preserve">तुरीयम् (turīyam)</w:t>
      </w:r>
      <w:r>
        <w:t xml:space="preserve"> </w:t>
      </w:r>
      <w:r>
        <w:t xml:space="preserve">— for the fourth time |</w:t>
      </w:r>
      <w:r>
        <w:t xml:space="preserve"> </w:t>
      </w:r>
      <w:r>
        <w:rPr>
          <w:bCs/>
          <w:b/>
        </w:rPr>
        <w:t xml:space="preserve">त्वा (tvā)</w:t>
      </w:r>
      <w:r>
        <w:t xml:space="preserve"> </w:t>
      </w:r>
      <w:r>
        <w:t xml:space="preserve">— you |</w:t>
      </w:r>
      <w:r>
        <w:t xml:space="preserve"> </w:t>
      </w:r>
      <w:r>
        <w:rPr>
          <w:bCs/>
          <w:b/>
        </w:rPr>
        <w:t xml:space="preserve">यजामहे (yajāmahe)</w:t>
      </w:r>
      <w:r>
        <w:t xml:space="preserve"> </w:t>
      </w:r>
      <w:r>
        <w:t xml:space="preserve">— we worship |</w:t>
      </w:r>
      <w:r>
        <w:t xml:space="preserve"> </w:t>
      </w:r>
      <w:r>
        <w:rPr>
          <w:bCs/>
          <w:b/>
        </w:rPr>
        <w:t xml:space="preserve">अध (adha)</w:t>
      </w:r>
      <w:r>
        <w:t xml:space="preserve"> </w:t>
      </w:r>
      <w:r>
        <w:t xml:space="preserve">— so |</w:t>
      </w:r>
      <w:r>
        <w:t xml:space="preserve"> </w:t>
      </w:r>
      <w:r>
        <w:rPr>
          <w:bCs/>
          <w:b/>
        </w:rPr>
        <w:t xml:space="preserve">नः (naḥ)</w:t>
      </w:r>
      <w:r>
        <w:t xml:space="preserve"> </w:t>
      </w:r>
      <w:r>
        <w:t xml:space="preserve">— to us |</w:t>
      </w:r>
      <w:r>
        <w:t xml:space="preserve"> </w:t>
      </w:r>
      <w:r>
        <w:rPr>
          <w:bCs/>
          <w:b/>
        </w:rPr>
        <w:t xml:space="preserve">ददिः (dadiḥ)</w:t>
      </w:r>
      <w:r>
        <w:t xml:space="preserve"> </w:t>
      </w:r>
      <w:r>
        <w:t xml:space="preserve">— as the giver of wealth |</w:t>
      </w:r>
      <w:r>
        <w:t xml:space="preserve"> </w:t>
      </w:r>
      <w:r>
        <w:rPr>
          <w:bCs/>
          <w:b/>
        </w:rPr>
        <w:t xml:space="preserve">भव स्म (bhava sma)</w:t>
      </w:r>
      <w:r>
        <w:t xml:space="preserve"> </w:t>
      </w:r>
      <w:r>
        <w:t xml:space="preserve">— be, without fail.</w:t>
      </w:r>
    </w:p>
    <w:p>
      <w:pPr>
        <w:pStyle w:val="BodyText"/>
      </w:pPr>
      <w:r>
        <w:rPr>
          <w:bCs/>
          <w:b/>
        </w:rPr>
        <w:t xml:space="preserve">॥ Bhāvārthaḥ ॥</w:t>
      </w:r>
    </w:p>
    <w:p>
      <w:pPr>
        <w:pStyle w:val="BodyText"/>
      </w:pPr>
      <w:r>
        <w:t xml:space="preserve">O Agni, seeking wealth, we worship you, the fourth, with the Ṛtu deities. So surely accept our worship and become the giver of wealth.</w:t>
      </w:r>
    </w:p>
    <w:p>
      <w:pPr>
        <w:pStyle w:val="BodyText"/>
      </w:pPr>
      <w:r>
        <w:rPr>
          <w:bCs/>
          <w:b/>
        </w:rPr>
        <w:t xml:space="preserve">॥ English Translation ॥</w:t>
      </w:r>
      <w:r>
        <w:t xml:space="preserve"> </w:t>
      </w:r>
      <w:r>
        <w:rPr>
          <w:iCs/>
          <w:i/>
        </w:rPr>
        <w:t xml:space="preserve">(as printed in the source)</w:t>
      </w:r>
    </w:p>
    <w:p>
      <w:pPr>
        <w:pStyle w:val="BlockText"/>
      </w:pPr>
      <w:r>
        <w:t xml:space="preserve">Dravinodas, Since we adore you for the fourth time along with the Ritus; therefore be a giver (of riches) to us.</w:t>
      </w:r>
    </w:p>
    <w:p>
      <w:pPr>
        <w:pStyle w:val="FirstParagraph"/>
      </w:pPr>
      <w:r>
        <w:rPr>
          <w:bCs/>
          <w:b/>
        </w:rPr>
        <w:t xml:space="preserve">॥ Viśeṣa-viṣayagaḷu (Special Topics) ॥</w:t>
      </w:r>
    </w:p>
    <w:p>
      <w:pPr>
        <w:pStyle w:val="BodyText"/>
      </w:pPr>
      <w:r>
        <w:rPr>
          <w:bCs/>
          <w:b/>
        </w:rPr>
        <w:t xml:space="preserve">Turīyam</w:t>
      </w:r>
      <w:r>
        <w:t xml:space="preserve">: for the fourth time. In this sūkta there are four Ṛks praising Agni called Draviṇodas (the Ṛks from 7 to 10); among them this is the fourth. So here</w:t>
      </w:r>
      <w:r>
        <w:t xml:space="preserve"> </w:t>
      </w:r>
      <w:r>
        <w:rPr>
          <w:iCs/>
          <w:i/>
        </w:rPr>
        <w:t xml:space="preserve">turīyam</w:t>
      </w:r>
      <w:r>
        <w:t xml:space="preserve"> </w:t>
      </w:r>
      <w:r>
        <w:t xml:space="preserve">means</w:t>
      </w:r>
      <w:r>
        <w:t xml:space="preserve"> </w:t>
      </w:r>
      <w:r>
        <w:t xml:space="preserve">“</w:t>
      </w:r>
      <w:r>
        <w:t xml:space="preserve">for the fourth time</w:t>
      </w:r>
      <w:r>
        <w:t xml:space="preserve">”</w:t>
      </w:r>
      <w:r>
        <w:t xml:space="preserve">, or</w:t>
      </w:r>
      <w:r>
        <w:t xml:space="preserve"> </w:t>
      </w:r>
      <w:r>
        <w:t xml:space="preserve">“</w:t>
      </w:r>
      <w:r>
        <w:t xml:space="preserve">we praise with the fourth Ṛk</w:t>
      </w:r>
      <w:r>
        <w:t xml:space="preserve">”</w:t>
      </w:r>
      <w:r>
        <w:t xml:space="preserve">.</w:t>
      </w:r>
    </w:p>
    <w:bookmarkEnd w:id="720"/>
    <w:bookmarkStart w:id="721" w:name="page-665-rik-10-grammar"/>
    <w:p>
      <w:pPr>
        <w:pStyle w:val="Heading3"/>
      </w:pPr>
      <w:r>
        <w:t xml:space="preserve">Page 665 — Rik 10: grammar</w:t>
      </w:r>
    </w:p>
    <w:p>
      <w:pPr>
        <w:pStyle w:val="FirstParagraph"/>
      </w:pPr>
      <w:r>
        <w:rPr>
          <w:bCs/>
          <w:b/>
        </w:rPr>
        <w:t xml:space="preserve">॥ Vyākaraṇa-prakriyā ॥</w:t>
      </w:r>
      <w:r>
        <w:t xml:space="preserve"> </w:t>
      </w:r>
      <w:r>
        <w:rPr>
          <w:iCs/>
          <w:i/>
        </w:rPr>
        <w:t xml:space="preserve">(grammar pages 665–666, noted briefly)</w:t>
      </w:r>
    </w:p>
    <w:p>
      <w:pPr>
        <w:pStyle w:val="BodyText"/>
      </w:pPr>
      <w:r>
        <w:rPr>
          <w:bCs/>
          <w:b/>
        </w:rPr>
        <w:t xml:space="preserve">तुरीयम् (</w:t>
      </w:r>
      <w:r>
        <w:rPr>
          <w:iCs/>
          <w:i/>
          <w:bCs/>
          <w:b/>
        </w:rPr>
        <w:t xml:space="preserve">turīyam</w:t>
      </w:r>
      <w:r>
        <w:rPr>
          <w:bCs/>
          <w:b/>
        </w:rPr>
        <w:t xml:space="preserve">)</w:t>
      </w:r>
      <w:r>
        <w:t xml:space="preserve">: analysed</w:t>
      </w:r>
      <w:r>
        <w:t xml:space="preserve"> </w:t>
      </w:r>
      <w:r>
        <w:rPr>
          <w:iCs/>
          <w:i/>
        </w:rPr>
        <w:t xml:space="preserve">caturṇāṃ pūraṇam</w:t>
      </w:r>
      <w:r>
        <w:t xml:space="preserve">.</w:t>
      </w:r>
      <w:r>
        <w:t xml:space="preserve"> </w:t>
      </w:r>
      <w:r>
        <w:t xml:space="preserve">“</w:t>
      </w:r>
      <w:r>
        <w:t xml:space="preserve">caturaś chayatāv ādyakṣaralopaś ca</w:t>
      </w:r>
      <w:r>
        <w:t xml:space="preserve">”</w:t>
      </w:r>
      <w:r>
        <w:t xml:space="preserve"> </w:t>
      </w:r>
      <w:r>
        <w:t xml:space="preserve">(Pā. sū.</w:t>
      </w:r>
      <w:r>
        <w:t xml:space="preserve"> </w:t>
      </w:r>
      <w:r>
        <w:t xml:space="preserve">“</w:t>
      </w:r>
      <w:r>
        <w:t xml:space="preserve">5-2-51</w:t>
      </w:r>
      <w:r>
        <w:t xml:space="preserve">”</w:t>
      </w:r>
      <w:r>
        <w:t xml:space="preserve"> </w:t>
      </w:r>
      <w:r>
        <w:t xml:space="preserve">[as printed; the bhāṣya gives 5-2-51-1]): in the sense of filling, after</w:t>
      </w:r>
      <w:r>
        <w:t xml:space="preserve"> </w:t>
      </w:r>
      <w:r>
        <w:rPr>
          <w:iCs/>
          <w:i/>
        </w:rPr>
        <w:t xml:space="preserve">catur</w:t>
      </w:r>
      <w:r>
        <w:t xml:space="preserve"> </w:t>
      </w:r>
      <w:r>
        <w:t xml:space="preserve">the suffixes</w:t>
      </w:r>
      <w:r>
        <w:t xml:space="preserve"> </w:t>
      </w:r>
      <w:r>
        <w:rPr>
          <w:iCs/>
          <w:i/>
        </w:rPr>
        <w:t xml:space="preserve">cha</w:t>
      </w:r>
      <w:r>
        <w:t xml:space="preserve"> </w:t>
      </w:r>
      <w:r>
        <w:t xml:space="preserve">and</w:t>
      </w:r>
      <w:r>
        <w:t xml:space="preserve"> </w:t>
      </w:r>
      <w:r>
        <w:rPr>
          <w:iCs/>
          <w:i/>
        </w:rPr>
        <w:t xml:space="preserve">yat</w:t>
      </w:r>
      <w:r>
        <w:t xml:space="preserve"> </w:t>
      </w:r>
      <w:r>
        <w:t xml:space="preserve">come alternately, and the first syllable also drops; so the suffix</w:t>
      </w:r>
      <w:r>
        <w:t xml:space="preserve"> </w:t>
      </w:r>
      <w:r>
        <w:rPr>
          <w:iCs/>
          <w:i/>
        </w:rPr>
        <w:t xml:space="preserve">cha</w:t>
      </w:r>
      <w:r>
        <w:t xml:space="preserve"> </w:t>
      </w:r>
      <w:r>
        <w:t xml:space="preserve">after</w:t>
      </w:r>
      <w:r>
        <w:t xml:space="preserve"> </w:t>
      </w:r>
      <w:r>
        <w:rPr>
          <w:iCs/>
          <w:i/>
        </w:rPr>
        <w:t xml:space="preserve">catur</w:t>
      </w:r>
      <w:r>
        <w:t xml:space="preserve">:</w:t>
      </w:r>
      <w:r>
        <w:t xml:space="preserve"> </w:t>
      </w:r>
      <w:r>
        <w:rPr>
          <w:iCs/>
          <w:i/>
        </w:rPr>
        <w:t xml:space="preserve">catur</w:t>
      </w:r>
      <w:r>
        <w:t xml:space="preserve"> </w:t>
      </w:r>
      <w:r>
        <w:t xml:space="preserve">+</w:t>
      </w:r>
      <w:r>
        <w:t xml:space="preserve"> </w:t>
      </w:r>
      <w:r>
        <w:rPr>
          <w:iCs/>
          <w:i/>
        </w:rPr>
        <w:t xml:space="preserve">cha</w:t>
      </w:r>
      <w:r>
        <w:t xml:space="preserve">; by this vārttika itself the first</w:t>
      </w:r>
      <w:r>
        <w:t xml:space="preserve"> </w:t>
      </w:r>
      <w:r>
        <w:rPr>
          <w:iCs/>
          <w:i/>
        </w:rPr>
        <w:t xml:space="preserve">akṣara</w:t>
      </w:r>
      <w:r>
        <w:t xml:space="preserve"> </w:t>
      </w:r>
      <w:r>
        <w:t xml:space="preserve">drops.</w:t>
      </w:r>
      <w:r>
        <w:t xml:space="preserve"> </w:t>
      </w:r>
      <w:r>
        <w:rPr>
          <w:iCs/>
          <w:i/>
        </w:rPr>
        <w:t xml:space="preserve">Akṣara</w:t>
      </w:r>
      <w:r>
        <w:t xml:space="preserve"> </w:t>
      </w:r>
      <w:r>
        <w:t xml:space="preserve">should not be explained as the first consonant with its vowel, nor as the first vowel with its consonant. If it is so explained, by the maxim</w:t>
      </w:r>
      <w:r>
        <w:t xml:space="preserve"> </w:t>
      </w:r>
      <w:r>
        <w:t xml:space="preserve">“</w:t>
      </w:r>
      <w:r>
        <w:t xml:space="preserve">naṭabhāryāvad vyañjanāni bhavanti</w:t>
      </w:r>
      <w:r>
        <w:t xml:space="preserve">”</w:t>
      </w:r>
      <w:r>
        <w:t xml:space="preserve"> </w:t>
      </w:r>
      <w:r>
        <w:t xml:space="preserve">it would mean the first vowel with the consonants before and after it, and then in</w:t>
      </w:r>
      <w:r>
        <w:t xml:space="preserve"> </w:t>
      </w:r>
      <w:r>
        <w:rPr>
          <w:iCs/>
          <w:i/>
        </w:rPr>
        <w:t xml:space="preserve">catur</w:t>
      </w:r>
      <w:r>
        <w:t xml:space="preserve"> </w:t>
      </w:r>
      <w:r>
        <w:t xml:space="preserve">the</w:t>
      </w:r>
      <w:r>
        <w:t xml:space="preserve"> </w:t>
      </w:r>
      <w:r>
        <w:rPr>
          <w:iCs/>
          <w:i/>
        </w:rPr>
        <w:t xml:space="preserve">cat</w:t>
      </w:r>
      <w:r>
        <w:t xml:space="preserve"> </w:t>
      </w:r>
      <w:r>
        <w:t xml:space="preserve">would have to drop. So</w:t>
      </w:r>
      <w:r>
        <w:t xml:space="preserve"> </w:t>
      </w:r>
      <w:r>
        <w:rPr>
          <w:iCs/>
          <w:i/>
        </w:rPr>
        <w:t xml:space="preserve">ādyakṣara</w:t>
      </w:r>
      <w:r>
        <w:t xml:space="preserve"> </w:t>
      </w:r>
      <w:r>
        <w:t xml:space="preserve">means the first consonant with its vowel. Thus</w:t>
      </w:r>
      <w:r>
        <w:t xml:space="preserve"> </w:t>
      </w:r>
      <w:r>
        <w:rPr>
          <w:iCs/>
          <w:i/>
        </w:rPr>
        <w:t xml:space="preserve">ca</w:t>
      </w:r>
      <w:r>
        <w:t xml:space="preserve"> </w:t>
      </w:r>
      <w:r>
        <w:t xml:space="preserve">drops:</w:t>
      </w:r>
      <w:r>
        <w:t xml:space="preserve"> </w:t>
      </w:r>
      <w:r>
        <w:rPr>
          <w:iCs/>
          <w:i/>
        </w:rPr>
        <w:t xml:space="preserve">tur</w:t>
      </w:r>
      <w:r>
        <w:t xml:space="preserve"> </w:t>
      </w:r>
      <w:r>
        <w:t xml:space="preserve">+</w:t>
      </w:r>
      <w:r>
        <w:t xml:space="preserve"> </w:t>
      </w:r>
      <w:r>
        <w:rPr>
          <w:iCs/>
          <w:i/>
        </w:rPr>
        <w:t xml:space="preserve">cha</w:t>
      </w:r>
      <w:r>
        <w:t xml:space="preserve">.</w:t>
      </w:r>
      <w:r>
        <w:t xml:space="preserve"> </w:t>
      </w:r>
      <w:r>
        <w:t xml:space="preserve">“</w:t>
      </w:r>
      <w:r>
        <w:t xml:space="preserve">āyanādiṣūpadeśivadvacanaṃ svarasiddhyartham</w:t>
      </w:r>
      <w:r>
        <w:t xml:space="preserve">”</w:t>
      </w:r>
      <w:r>
        <w:t xml:space="preserve"> </w:t>
      </w:r>
      <w:r>
        <w:t xml:space="preserve">(Pā. Ma.</w:t>
      </w:r>
      <w:r>
        <w:t xml:space="preserve"> </w:t>
      </w:r>
      <w:r>
        <w:t xml:space="preserve">“</w:t>
      </w:r>
      <w:r>
        <w:t xml:space="preserve">2-1-2-1</w:t>
      </w:r>
      <w:r>
        <w:t xml:space="preserve">”</w:t>
      </w:r>
      <w:r>
        <w:t xml:space="preserve"> </w:t>
      </w:r>
      <w:r>
        <w:t xml:space="preserve">[as printed, for 7-1-2-1]): before the initial udātta comes by</w:t>
      </w:r>
      <w:r>
        <w:t xml:space="preserve"> </w:t>
      </w:r>
      <w:r>
        <w:t xml:space="preserve">“</w:t>
      </w:r>
      <w:r>
        <w:t xml:space="preserve">ādyudāttaś ca</w:t>
      </w:r>
      <w:r>
        <w:t xml:space="preserve">”</w:t>
      </w:r>
      <w:r>
        <w:t xml:space="preserve">, by</w:t>
      </w:r>
      <w:r>
        <w:t xml:space="preserve"> </w:t>
      </w:r>
      <w:r>
        <w:t xml:space="preserve">“</w:t>
      </w:r>
      <w:r>
        <w:t xml:space="preserve">āyaneyīnīyiyaḥ…</w:t>
      </w:r>
      <w:r>
        <w:t xml:space="preserve">”</w:t>
      </w:r>
      <w:r>
        <w:t xml:space="preserve"> </w:t>
      </w:r>
      <w:r>
        <w:t xml:space="preserve">(Pā. sū.</w:t>
      </w:r>
      <w:r>
        <w:t xml:space="preserve"> </w:t>
      </w:r>
      <w:r>
        <w:t xml:space="preserve">“</w:t>
      </w:r>
      <w:r>
        <w:t xml:space="preserve">2-1-2</w:t>
      </w:r>
      <w:r>
        <w:t xml:space="preserve">”</w:t>
      </w:r>
      <w:r>
        <w:t xml:space="preserve"> </w:t>
      </w:r>
      <w:r>
        <w:t xml:space="preserve">[as printed, for 7-1-2])</w:t>
      </w:r>
      <w:r>
        <w:t xml:space="preserve"> </w:t>
      </w:r>
      <w:r>
        <w:rPr>
          <w:iCs/>
          <w:i/>
        </w:rPr>
        <w:t xml:space="preserve">īya</w:t>
      </w:r>
      <w:r>
        <w:t xml:space="preserve"> </w:t>
      </w:r>
      <w:r>
        <w:t xml:space="preserve">replaces the suffix</w:t>
      </w:r>
      <w:r>
        <w:t xml:space="preserve"> </w:t>
      </w:r>
      <w:r>
        <w:rPr>
          <w:iCs/>
          <w:i/>
        </w:rPr>
        <w:t xml:space="preserve">cha</w:t>
      </w:r>
      <w:r>
        <w:t xml:space="preserve">; after this replacement, by the suffix accent the</w:t>
      </w:r>
      <w:r>
        <w:t xml:space="preserve"> </w:t>
      </w:r>
      <w:r>
        <w:rPr>
          <w:iCs/>
          <w:i/>
        </w:rPr>
        <w:t xml:space="preserve">ī</w:t>
      </w:r>
      <w:r>
        <w:t xml:space="preserve"> </w:t>
      </w:r>
      <w:r>
        <w:t xml:space="preserve">of</w:t>
      </w:r>
      <w:r>
        <w:t xml:space="preserve"> </w:t>
      </w:r>
      <w:r>
        <w:rPr>
          <w:iCs/>
          <w:i/>
        </w:rPr>
        <w:t xml:space="preserve">īya</w:t>
      </w:r>
      <w:r>
        <w:t xml:space="preserve"> </w:t>
      </w:r>
      <w:r>
        <w:t xml:space="preserve">becomes udātta.</w:t>
      </w:r>
    </w:p>
    <w:p>
      <w:pPr>
        <w:pStyle w:val="BodyText"/>
      </w:pPr>
      <w:r>
        <w:rPr>
          <w:bCs/>
          <w:b/>
        </w:rPr>
        <w:t xml:space="preserve">द्रविणोदः (</w:t>
      </w:r>
      <w:r>
        <w:rPr>
          <w:iCs/>
          <w:i/>
          <w:bCs/>
          <w:b/>
        </w:rPr>
        <w:t xml:space="preserve">draviṇodaḥ</w:t>
      </w:r>
      <w:r>
        <w:rPr>
          <w:bCs/>
          <w:b/>
        </w:rPr>
        <w:t xml:space="preserve">)</w:t>
      </w:r>
      <w:r>
        <w:t xml:space="preserve">: its formation is set out in the 7th mantra. Here</w:t>
      </w:r>
      <w:r>
        <w:t xml:space="preserve"> </w:t>
      </w:r>
      <w:r>
        <w:rPr>
          <w:iCs/>
          <w:i/>
        </w:rPr>
        <w:t xml:space="preserve">draviṇodaḥ</w:t>
      </w:r>
      <w:r>
        <w:t xml:space="preserve"> </w:t>
      </w:r>
      <w:r>
        <w:t xml:space="preserve">is a vocative singular, so it is a vocative. Being at the head of the pāda, it is not made unaccented by</w:t>
      </w:r>
      <w:r>
        <w:t xml:space="preserve"> </w:t>
      </w:r>
      <w:r>
        <w:t xml:space="preserve">“</w:t>
      </w:r>
      <w:r>
        <w:t xml:space="preserve">āmantritasya ca</w:t>
      </w:r>
      <w:r>
        <w:t xml:space="preserve">”</w:t>
      </w:r>
      <w:r>
        <w:t xml:space="preserve"> </w:t>
      </w:r>
      <w:r>
        <w:t xml:space="preserve">(Pā. sū. 8-1-19); by the sixth-adhyāya</w:t>
      </w:r>
      <w:r>
        <w:t xml:space="preserve"> </w:t>
      </w:r>
      <w:r>
        <w:t xml:space="preserve">“</w:t>
      </w:r>
      <w:r>
        <w:t xml:space="preserve">āmantritasya ca</w:t>
      </w:r>
      <w:r>
        <w:t xml:space="preserve">”</w:t>
      </w:r>
      <w:r>
        <w:t xml:space="preserve"> </w:t>
      </w:r>
      <w:r>
        <w:t xml:space="preserve">(Pā. sū. 6-1-198) it is initial udātta.</w:t>
      </w:r>
    </w:p>
    <w:p>
      <w:pPr>
        <w:pStyle w:val="BodyText"/>
      </w:pPr>
      <w:r>
        <w:rPr>
          <w:bCs/>
          <w:b/>
        </w:rPr>
        <w:t xml:space="preserve">यजामहे (</w:t>
      </w:r>
      <w:r>
        <w:rPr>
          <w:iCs/>
          <w:i/>
          <w:bCs/>
          <w:b/>
        </w:rPr>
        <w:t xml:space="preserve">yajāmahe</w:t>
      </w:r>
      <w:r>
        <w:rPr>
          <w:bCs/>
          <w:b/>
        </w:rPr>
        <w:t xml:space="preserve">)</w:t>
      </w:r>
      <w:r>
        <w:t xml:space="preserve">:</w:t>
      </w:r>
      <w:r>
        <w:t xml:space="preserve"> </w:t>
      </w:r>
      <w:r>
        <w:rPr>
          <w:iCs/>
          <w:i/>
        </w:rPr>
        <w:t xml:space="preserve">yaja devapūjādau</w:t>
      </w:r>
      <w:r>
        <w:t xml:space="preserve">,</w:t>
      </w:r>
      <w:r>
        <w:t xml:space="preserve"> </w:t>
      </w:r>
      <w:r>
        <w:rPr>
          <w:iCs/>
          <w:i/>
        </w:rPr>
        <w:t xml:space="preserve">laṭ</w:t>
      </w:r>
      <w:r>
        <w:t xml:space="preserve">,</w:t>
      </w:r>
      <w:r>
        <w:t xml:space="preserve"> </w:t>
      </w:r>
      <w:r>
        <w:rPr>
          <w:iCs/>
          <w:i/>
        </w:rPr>
        <w:t xml:space="preserve">ātmanepada</w:t>
      </w:r>
      <w:r>
        <w:t xml:space="preserve"> </w:t>
      </w:r>
      <w:r>
        <w:t xml:space="preserve">1st plural</w:t>
      </w:r>
      <w:r>
        <w:t xml:space="preserve"> </w:t>
      </w:r>
      <w:r>
        <w:rPr>
          <w:iCs/>
          <w:i/>
        </w:rPr>
        <w:t xml:space="preserve">mahiṅ</w:t>
      </w:r>
      <w:r>
        <w:t xml:space="preserve">;</w:t>
      </w:r>
      <w:r>
        <w:t xml:space="preserve"> </w:t>
      </w:r>
      <w:r>
        <w:rPr>
          <w:iCs/>
          <w:i/>
        </w:rPr>
        <w:t xml:space="preserve">śap</w:t>
      </w:r>
      <w:r>
        <w:t xml:space="preserve"> </w:t>
      </w:r>
      <w:r>
        <w:t xml:space="preserve">by</w:t>
      </w:r>
      <w:r>
        <w:t xml:space="preserve"> </w:t>
      </w:r>
      <w:r>
        <w:t xml:space="preserve">“</w:t>
      </w:r>
      <w:r>
        <w:t xml:space="preserve">kartari śap</w:t>
      </w:r>
      <w:r>
        <w:t xml:space="preserve">”</w:t>
      </w:r>
      <w:r>
        <w:t xml:space="preserve"> </w:t>
      </w:r>
      <w:r>
        <w:t xml:space="preserve">(Pā. sū. 3-1-68):</w:t>
      </w:r>
      <w:r>
        <w:t xml:space="preserve"> </w:t>
      </w:r>
      <w:r>
        <w:rPr>
          <w:iCs/>
          <w:i/>
        </w:rPr>
        <w:t xml:space="preserve">yaj</w:t>
      </w:r>
      <w:r>
        <w:t xml:space="preserve"> </w:t>
      </w:r>
      <w:r>
        <w:t xml:space="preserve">+</w:t>
      </w:r>
      <w:r>
        <w:t xml:space="preserve"> </w:t>
      </w:r>
      <w:r>
        <w:rPr>
          <w:iCs/>
          <w:i/>
        </w:rPr>
        <w:t xml:space="preserve">a</w:t>
      </w:r>
      <w:r>
        <w:t xml:space="preserve"> </w:t>
      </w:r>
      <w:r>
        <w:t xml:space="preserve">+</w:t>
      </w:r>
      <w:r>
        <w:t xml:space="preserve"> </w:t>
      </w:r>
      <w:r>
        <w:rPr>
          <w:iCs/>
          <w:i/>
        </w:rPr>
        <w:t xml:space="preserve">mahi</w:t>
      </w:r>
      <w:r>
        <w:t xml:space="preserve">;</w:t>
      </w:r>
      <w:r>
        <w:t xml:space="preserve"> </w:t>
      </w:r>
      <w:r>
        <w:rPr>
          <w:iCs/>
          <w:i/>
        </w:rPr>
        <w:t xml:space="preserve">e</w:t>
      </w:r>
      <w:r>
        <w:t xml:space="preserve"> </w:t>
      </w:r>
      <w:r>
        <w:t xml:space="preserve">for the</w:t>
      </w:r>
      <w:r>
        <w:t xml:space="preserve"> </w:t>
      </w:r>
      <w:r>
        <w:rPr>
          <w:iCs/>
          <w:i/>
        </w:rPr>
        <w:t xml:space="preserve">ṭi</w:t>
      </w:r>
      <w:r>
        <w:t xml:space="preserve"> </w:t>
      </w:r>
      <w:r>
        <w:t xml:space="preserve">by</w:t>
      </w:r>
      <w:r>
        <w:t xml:space="preserve"> </w:t>
      </w:r>
      <w:r>
        <w:t xml:space="preserve">“</w:t>
      </w:r>
      <w:r>
        <w:t xml:space="preserve">ṭita ātmanepadānāṃ ṭere</w:t>
      </w:r>
      <w:r>
        <w:t xml:space="preserve">”</w:t>
      </w:r>
      <w:r>
        <w:t xml:space="preserve"> </w:t>
      </w:r>
      <w:r>
        <w:t xml:space="preserve">(Pā. sū. 3-4-79); lengthening by</w:t>
      </w:r>
      <w:r>
        <w:t xml:space="preserve"> </w:t>
      </w:r>
      <w:r>
        <w:t xml:space="preserve">“</w:t>
      </w:r>
      <w:r>
        <w:t xml:space="preserve">ato dīrgho yañi</w:t>
      </w:r>
      <w:r>
        <w:t xml:space="preserve">”</w:t>
      </w:r>
      <w:r>
        <w:t xml:space="preserve"> </w:t>
      </w:r>
      <w:r>
        <w:t xml:space="preserve">(Pā. sū. 7-3-101):</w:t>
      </w:r>
      <w:r>
        <w:t xml:space="preserve"> </w:t>
      </w:r>
      <w:r>
        <w:rPr>
          <w:iCs/>
          <w:i/>
        </w:rPr>
        <w:t xml:space="preserve">yajāmahe</w:t>
      </w:r>
      <w:r>
        <w:t xml:space="preserve">. Here</w:t>
      </w:r>
      <w:r>
        <w:t xml:space="preserve"> </w:t>
      </w:r>
      <w:r>
        <w:rPr>
          <w:iCs/>
          <w:i/>
        </w:rPr>
        <w:t xml:space="preserve">śap</w:t>
      </w:r>
      <w:r>
        <w:t xml:space="preserve"> </w:t>
      </w:r>
      <w:r>
        <w:t xml:space="preserve">is</w:t>
      </w:r>
      <w:r>
        <w:t xml:space="preserve"> </w:t>
      </w:r>
      <w:r>
        <w:rPr>
          <w:iCs/>
          <w:i/>
        </w:rPr>
        <w:t xml:space="preserve">pit</w:t>
      </w:r>
      <w:r>
        <w:t xml:space="preserve">, so unaccented by</w:t>
      </w:r>
      <w:r>
        <w:t xml:space="preserve"> </w:t>
      </w:r>
      <w:r>
        <w:t xml:space="preserve">“</w:t>
      </w:r>
      <w:r>
        <w:t xml:space="preserve">anudāttau suppitau</w:t>
      </w:r>
      <w:r>
        <w:t xml:space="preserve">”</w:t>
      </w:r>
      <w:r>
        <w:t xml:space="preserve"> </w:t>
      </w:r>
      <w:r>
        <w:t xml:space="preserve">(Pā. sū. 3-1-4). The</w:t>
      </w:r>
      <w:r>
        <w:t xml:space="preserve"> </w:t>
      </w:r>
      <w:r>
        <w:rPr>
          <w:iCs/>
          <w:i/>
        </w:rPr>
        <w:t xml:space="preserve">sārvadhātuka</w:t>
      </w:r>
      <w:r>
        <w:t xml:space="preserve"> </w:t>
      </w:r>
      <w:r>
        <w:rPr>
          <w:iCs/>
          <w:i/>
        </w:rPr>
        <w:t xml:space="preserve">mahe</w:t>
      </w:r>
      <w:r>
        <w:t xml:space="preserve"> </w:t>
      </w:r>
      <w:r>
        <w:t xml:space="preserve">in place of the</w:t>
      </w:r>
      <w:r>
        <w:t xml:space="preserve"> </w:t>
      </w:r>
      <w:r>
        <w:rPr>
          <w:iCs/>
          <w:i/>
        </w:rPr>
        <w:t xml:space="preserve">lakāra</w:t>
      </w:r>
      <w:r>
        <w:t xml:space="preserve"> </w:t>
      </w:r>
      <w:r>
        <w:t xml:space="preserve">follows the</w:t>
      </w:r>
      <w:r>
        <w:t xml:space="preserve"> </w:t>
      </w:r>
      <w:r>
        <w:rPr>
          <w:iCs/>
          <w:i/>
        </w:rPr>
        <w:t xml:space="preserve">śap</w:t>
      </w:r>
      <w:r>
        <w:t xml:space="preserve"> </w:t>
      </w:r>
      <w:r>
        <w:t xml:space="preserve">of</w:t>
      </w:r>
      <w:r>
        <w:t xml:space="preserve"> </w:t>
      </w:r>
      <w:r>
        <w:rPr>
          <w:iCs/>
          <w:i/>
        </w:rPr>
        <w:t xml:space="preserve">adupadeśa</w:t>
      </w:r>
      <w:r>
        <w:t xml:space="preserve">, so it is unaccented by</w:t>
      </w:r>
      <w:r>
        <w:t xml:space="preserve"> </w:t>
      </w:r>
      <w:r>
        <w:t xml:space="preserve">“</w:t>
      </w:r>
      <w:r>
        <w:t xml:space="preserve">tāsyanudāttet…</w:t>
      </w:r>
      <w:r>
        <w:t xml:space="preserve">”</w:t>
      </w:r>
      <w:r>
        <w:t xml:space="preserve"> </w:t>
      </w:r>
      <w:r>
        <w:t xml:space="preserve">(Pā. sū. 6-1-186). So the root accent remains. The earlier vocative</w:t>
      </w:r>
      <w:r>
        <w:t xml:space="preserve"> </w:t>
      </w:r>
      <w:r>
        <w:rPr>
          <w:iCs/>
          <w:i/>
        </w:rPr>
        <w:t xml:space="preserve">draviṇodaḥ</w:t>
      </w:r>
      <w:r>
        <w:t xml:space="preserve"> </w:t>
      </w:r>
      <w:r>
        <w:t xml:space="preserve">is treated as absent by</w:t>
      </w:r>
      <w:r>
        <w:t xml:space="preserve"> </w:t>
      </w:r>
      <w:r>
        <w:t xml:space="preserve">“</w:t>
      </w:r>
      <w:r>
        <w:t xml:space="preserve">āmantritaṃ pūrvam avidyamānavat</w:t>
      </w:r>
      <w:r>
        <w:t xml:space="preserve">”</w:t>
      </w:r>
      <w:r>
        <w:t xml:space="preserve"> </w:t>
      </w:r>
      <w:r>
        <w:t xml:space="preserve">(Pā. sū.</w:t>
      </w:r>
      <w:r>
        <w:t xml:space="preserve"> </w:t>
      </w:r>
      <w:r>
        <w:t xml:space="preserve">“</w:t>
      </w:r>
      <w:r>
        <w:t xml:space="preserve">8-1-27</w:t>
      </w:r>
      <w:r>
        <w:t xml:space="preserve">”</w:t>
      </w:r>
      <w:r>
        <w:t xml:space="preserve"> </w:t>
      </w:r>
      <w:r>
        <w:t xml:space="preserve">[as printed, for 8-1-72]); so</w:t>
      </w:r>
      <w:r>
        <w:t xml:space="preserve"> </w:t>
      </w:r>
      <w:r>
        <w:rPr>
          <w:iCs/>
          <w:i/>
        </w:rPr>
        <w:t xml:space="preserve">yajāmahe</w:t>
      </w:r>
      <w:r>
        <w:t xml:space="preserve"> </w:t>
      </w:r>
      <w:r>
        <w:t xml:space="preserve">counts as at the head of the pāda, and</w:t>
      </w:r>
      <w:r>
        <w:t xml:space="preserve"> </w:t>
      </w:r>
      <w:r>
        <w:t xml:space="preserve">“</w:t>
      </w:r>
      <w:r>
        <w:t xml:space="preserve">tiṅṅatiṅaḥ</w:t>
      </w:r>
      <w:r>
        <w:t xml:space="preserve">”</w:t>
      </w:r>
      <w:r>
        <w:t xml:space="preserve"> </w:t>
      </w:r>
      <w:r>
        <w:t xml:space="preserve">(</w:t>
      </w:r>
      <w:r>
        <w:t xml:space="preserve">“</w:t>
      </w:r>
      <w:r>
        <w:t xml:space="preserve">8-8-28</w:t>
      </w:r>
      <w:r>
        <w:t xml:space="preserve">”</w:t>
      </w:r>
      <w:r>
        <w:t xml:space="preserve"> </w:t>
      </w:r>
      <w:r>
        <w:t xml:space="preserve">[as printed]) does not make it wholly unaccented. Or the bar comes by</w:t>
      </w:r>
      <w:r>
        <w:t xml:space="preserve"> </w:t>
      </w:r>
      <w:r>
        <w:t xml:space="preserve">“</w:t>
      </w:r>
      <w:r>
        <w:t xml:space="preserve">yadvṛttān nityam</w:t>
      </w:r>
      <w:r>
        <w:t xml:space="preserve">”</w:t>
      </w:r>
      <w:r>
        <w:t xml:space="preserve"> </w:t>
      </w:r>
      <w:r>
        <w:t xml:space="preserve">(Pā. sū. 8-1-66). Since</w:t>
      </w:r>
      <w:r>
        <w:t xml:space="preserve"> </w:t>
      </w:r>
      <w:r>
        <w:rPr>
          <w:iCs/>
          <w:i/>
        </w:rPr>
        <w:t xml:space="preserve">pūjita</w:t>
      </w:r>
      <w:r>
        <w:t xml:space="preserve"> </w:t>
      </w:r>
      <w:r>
        <w:t xml:space="preserve">is mentioned again in</w:t>
      </w:r>
      <w:r>
        <w:t xml:space="preserve"> </w:t>
      </w:r>
      <w:r>
        <w:t xml:space="preserve">“</w:t>
      </w:r>
      <w:r>
        <w:t xml:space="preserve">pūjanāt pūjitam</w:t>
      </w:r>
      <w:r>
        <w:t xml:space="preserve">”</w:t>
      </w:r>
      <w:r>
        <w:t xml:space="preserve"> </w:t>
      </w:r>
      <w:r>
        <w:t xml:space="preserve">(Pā. sū. 8-1-67), it is made known that</w:t>
      </w:r>
      <w:r>
        <w:t xml:space="preserve"> </w:t>
      </w:r>
      <w:r>
        <w:t xml:space="preserve">“</w:t>
      </w:r>
      <w:r>
        <w:t xml:space="preserve">in this section, though there is a fifth-case statement, immediate sequence is not required</w:t>
      </w:r>
      <w:r>
        <w:t xml:space="preserve">”</w:t>
      </w:r>
      <w:r>
        <w:t xml:space="preserve">, as was set out before. So, though</w:t>
      </w:r>
      <w:r>
        <w:t xml:space="preserve"> </w:t>
      </w:r>
      <w:r>
        <w:rPr>
          <w:iCs/>
          <w:i/>
        </w:rPr>
        <w:t xml:space="preserve">yat</w:t>
      </w:r>
      <w:r>
        <w:t xml:space="preserve"> </w:t>
      </w:r>
      <w:r>
        <w:t xml:space="preserve">is not adjacent, there is no obstacle to the bar of</w:t>
      </w:r>
      <w:r>
        <w:t xml:space="preserve"> </w:t>
      </w:r>
      <w:r>
        <w:rPr>
          <w:iCs/>
          <w:i/>
        </w:rPr>
        <w:t xml:space="preserve">yadvṛttān nityam</w:t>
      </w:r>
      <w:r>
        <w:t xml:space="preserve">.</w:t>
      </w:r>
    </w:p>
    <w:bookmarkEnd w:id="721"/>
    <w:bookmarkStart w:id="722" w:name="page-666-rik-10-grammar-end"/>
    <w:p>
      <w:pPr>
        <w:pStyle w:val="Heading3"/>
      </w:pPr>
      <w:r>
        <w:t xml:space="preserve">Page 666 — Rik 10: grammar (end)</w:t>
      </w:r>
    </w:p>
    <w:p>
      <w:pPr>
        <w:pStyle w:val="FirstParagraph"/>
      </w:pPr>
      <w:r>
        <w:rPr>
          <w:bCs/>
          <w:b/>
        </w:rPr>
        <w:t xml:space="preserve">अध (</w:t>
      </w:r>
      <w:r>
        <w:rPr>
          <w:iCs/>
          <w:i/>
          <w:bCs/>
          <w:b/>
        </w:rPr>
        <w:t xml:space="preserve">adha</w:t>
      </w:r>
      <w:r>
        <w:rPr>
          <w:bCs/>
          <w:b/>
        </w:rPr>
        <w:t xml:space="preserve">)</w:t>
      </w:r>
      <w:r>
        <w:t xml:space="preserve">:</w:t>
      </w:r>
      <w:r>
        <w:t xml:space="preserve"> </w:t>
      </w:r>
      <w:r>
        <w:rPr>
          <w:iCs/>
          <w:i/>
        </w:rPr>
        <w:t xml:space="preserve">atha</w:t>
      </w:r>
      <w:r>
        <w:t xml:space="preserve"> </w:t>
      </w:r>
      <w:r>
        <w:t xml:space="preserve">is a</w:t>
      </w:r>
      <w:r>
        <w:t xml:space="preserve"> </w:t>
      </w:r>
      <w:r>
        <w:rPr>
          <w:iCs/>
          <w:i/>
        </w:rPr>
        <w:t xml:space="preserve">nipāta</w:t>
      </w:r>
      <w:r>
        <w:t xml:space="preserve">; the</w:t>
      </w:r>
      <w:r>
        <w:t xml:space="preserve"> </w:t>
      </w:r>
      <w:r>
        <w:rPr>
          <w:iCs/>
          <w:i/>
        </w:rPr>
        <w:t xml:space="preserve">th</w:t>
      </w:r>
      <w:r>
        <w:t xml:space="preserve"> </w:t>
      </w:r>
      <w:r>
        <w:t xml:space="preserve">becomes</w:t>
      </w:r>
      <w:r>
        <w:t xml:space="preserve"> </w:t>
      </w:r>
      <w:r>
        <w:rPr>
          <w:iCs/>
          <w:i/>
        </w:rPr>
        <w:t xml:space="preserve">dh</w:t>
      </w:r>
      <w:r>
        <w:t xml:space="preserve"> </w:t>
      </w:r>
      <w:r>
        <w:t xml:space="preserve">as a Vedic form. Initial udātta by</w:t>
      </w:r>
      <w:r>
        <w:t xml:space="preserve"> </w:t>
      </w:r>
      <w:r>
        <w:t xml:space="preserve">“</w:t>
      </w:r>
      <w:r>
        <w:t xml:space="preserve">nipātā ādyudāttāḥ</w:t>
      </w:r>
      <w:r>
        <w:t xml:space="preserve">”</w:t>
      </w:r>
      <w:r>
        <w:t xml:space="preserve"> </w:t>
      </w:r>
      <w:r>
        <w:t xml:space="preserve">(Phi. sū. 80).</w:t>
      </w:r>
    </w:p>
    <w:p>
      <w:pPr>
        <w:pStyle w:val="BodyText"/>
      </w:pPr>
      <w:r>
        <w:rPr>
          <w:bCs/>
          <w:b/>
        </w:rPr>
        <w:t xml:space="preserve">स्म (</w:t>
      </w:r>
      <w:r>
        <w:rPr>
          <w:iCs/>
          <w:i/>
          <w:bCs/>
          <w:b/>
        </w:rPr>
        <w:t xml:space="preserve">sma</w:t>
      </w:r>
      <w:r>
        <w:rPr>
          <w:bCs/>
          <w:b/>
        </w:rPr>
        <w:t xml:space="preserve">)</w:t>
      </w:r>
      <w:r>
        <w:t xml:space="preserve">: unaccented by</w:t>
      </w:r>
      <w:r>
        <w:t xml:space="preserve"> </w:t>
      </w:r>
      <w:r>
        <w:t xml:space="preserve">“</w:t>
      </w:r>
      <w:r>
        <w:t xml:space="preserve">cādayo ’nudāttāḥ</w:t>
      </w:r>
      <w:r>
        <w:t xml:space="preserve">”</w:t>
      </w:r>
      <w:r>
        <w:t xml:space="preserve"> </w:t>
      </w:r>
      <w:r>
        <w:t xml:space="preserve">(Phi. sū. 84). In the Saṃhitā lengthened by</w:t>
      </w:r>
      <w:r>
        <w:t xml:space="preserve"> </w:t>
      </w:r>
      <w:r>
        <w:t xml:space="preserve">“</w:t>
      </w:r>
      <w:r>
        <w:t xml:space="preserve">nipātasya ca</w:t>
      </w:r>
      <w:r>
        <w:t xml:space="preserve">”</w:t>
      </w:r>
      <w:r>
        <w:t xml:space="preserve"> </w:t>
      </w:r>
      <w:r>
        <w:t xml:space="preserve">(Pā. sū. 6-3-136).</w:t>
      </w:r>
    </w:p>
    <w:p>
      <w:pPr>
        <w:pStyle w:val="BodyText"/>
      </w:pPr>
      <w:r>
        <w:rPr>
          <w:bCs/>
          <w:b/>
        </w:rPr>
        <w:t xml:space="preserve">ददिः (</w:t>
      </w:r>
      <w:r>
        <w:rPr>
          <w:iCs/>
          <w:i/>
          <w:bCs/>
          <w:b/>
        </w:rPr>
        <w:t xml:space="preserve">dadiḥ</w:t>
      </w:r>
      <w:r>
        <w:rPr>
          <w:bCs/>
          <w:b/>
        </w:rPr>
        <w:t xml:space="preserve">)</w:t>
      </w:r>
      <w:r>
        <w:t xml:space="preserve">: the root</w:t>
      </w:r>
      <w:r>
        <w:t xml:space="preserve"> </w:t>
      </w:r>
      <w:r>
        <w:rPr>
          <w:iCs/>
          <w:i/>
        </w:rPr>
        <w:t xml:space="preserve">ḍudāñ dāne</w:t>
      </w:r>
      <w:r>
        <w:t xml:space="preserve">.</w:t>
      </w:r>
      <w:r>
        <w:t xml:space="preserve"> </w:t>
      </w:r>
      <w:r>
        <w:t xml:space="preserve">“</w:t>
      </w:r>
      <w:r>
        <w:t xml:space="preserve">ādṛgamahanajanaḥ kikinau liṭ ca</w:t>
      </w:r>
      <w:r>
        <w:t xml:space="preserve">”</w:t>
      </w:r>
      <w:r>
        <w:t xml:space="preserve"> </w:t>
      </w:r>
      <w:r>
        <w:t xml:space="preserve">(Pā. sū. 3-2-171): after roots ending in</w:t>
      </w:r>
      <w:r>
        <w:t xml:space="preserve"> </w:t>
      </w:r>
      <w:r>
        <w:rPr>
          <w:iCs/>
          <w:i/>
        </w:rPr>
        <w:t xml:space="preserve">ā</w:t>
      </w:r>
      <w:r>
        <w:t xml:space="preserve"> </w:t>
      </w:r>
      <w:r>
        <w:t xml:space="preserve">and in</w:t>
      </w:r>
      <w:r>
        <w:t xml:space="preserve"> </w:t>
      </w:r>
      <w:r>
        <w:rPr>
          <w:iCs/>
          <w:i/>
        </w:rPr>
        <w:t xml:space="preserve">ṛ</w:t>
      </w:r>
      <w:r>
        <w:t xml:space="preserve">, and after</w:t>
      </w:r>
      <w:r>
        <w:t xml:space="preserve"> </w:t>
      </w:r>
      <w:r>
        <w:rPr>
          <w:iCs/>
          <w:i/>
        </w:rPr>
        <w:t xml:space="preserve">gam</w:t>
      </w:r>
      <w:r>
        <w:t xml:space="preserve"> </w:t>
      </w:r>
      <w:r>
        <w:t xml:space="preserve">and the others, the suffixes</w:t>
      </w:r>
      <w:r>
        <w:t xml:space="preserve"> </w:t>
      </w:r>
      <w:r>
        <w:rPr>
          <w:iCs/>
          <w:i/>
        </w:rPr>
        <w:t xml:space="preserve">ki</w:t>
      </w:r>
      <w:r>
        <w:t xml:space="preserve"> </w:t>
      </w:r>
      <w:r>
        <w:t xml:space="preserve">and</w:t>
      </w:r>
      <w:r>
        <w:t xml:space="preserve"> </w:t>
      </w:r>
      <w:r>
        <w:rPr>
          <w:iCs/>
          <w:i/>
        </w:rPr>
        <w:t xml:space="preserve">kin</w:t>
      </w:r>
      <w:r>
        <w:t xml:space="preserve"> </w:t>
      </w:r>
      <w:r>
        <w:t xml:space="preserve">come, and they behave as</w:t>
      </w:r>
      <w:r>
        <w:t xml:space="preserve"> </w:t>
      </w:r>
      <w:r>
        <w:rPr>
          <w:iCs/>
          <w:i/>
        </w:rPr>
        <w:t xml:space="preserve">liṭ</w:t>
      </w:r>
      <w:r>
        <w:t xml:space="preserve">; so the suffix</w:t>
      </w:r>
      <w:r>
        <w:t xml:space="preserve"> </w:t>
      </w:r>
      <w:r>
        <w:rPr>
          <w:iCs/>
          <w:i/>
        </w:rPr>
        <w:t xml:space="preserve">ki</w:t>
      </w:r>
      <w:r>
        <w:t xml:space="preserve"> </w:t>
      </w:r>
      <w:r>
        <w:t xml:space="preserve">after the</w:t>
      </w:r>
      <w:r>
        <w:t xml:space="preserve"> </w:t>
      </w:r>
      <w:r>
        <w:rPr>
          <w:iCs/>
          <w:i/>
        </w:rPr>
        <w:t xml:space="preserve">ā</w:t>
      </w:r>
      <w:r>
        <w:t xml:space="preserve">-final root</w:t>
      </w:r>
      <w:r>
        <w:t xml:space="preserve"> </w:t>
      </w:r>
      <w:r>
        <w:rPr>
          <w:iCs/>
          <w:i/>
        </w:rPr>
        <w:t xml:space="preserve">dā</w:t>
      </w:r>
      <w:r>
        <w:t xml:space="preserve">. Since it behaves as</w:t>
      </w:r>
      <w:r>
        <w:t xml:space="preserve"> </w:t>
      </w:r>
      <w:r>
        <w:rPr>
          <w:iCs/>
          <w:i/>
        </w:rPr>
        <w:t xml:space="preserve">liṭ</w:t>
      </w:r>
      <w:r>
        <w:t xml:space="preserve">, reduplication by</w:t>
      </w:r>
      <w:r>
        <w:t xml:space="preserve"> </w:t>
      </w:r>
      <w:r>
        <w:t xml:space="preserve">“</w:t>
      </w:r>
      <w:r>
        <w:t xml:space="preserve">liṭi dhātor anabhyāsasya</w:t>
      </w:r>
      <w:r>
        <w:t xml:space="preserve">”</w:t>
      </w:r>
      <w:r>
        <w:t xml:space="preserve"> </w:t>
      </w:r>
      <w:r>
        <w:t xml:space="preserve">(Pā. sū. 6-1-8); shortening by</w:t>
      </w:r>
      <w:r>
        <w:t xml:space="preserve"> </w:t>
      </w:r>
      <w:r>
        <w:t xml:space="preserve">“</w:t>
      </w:r>
      <w:r>
        <w:t xml:space="preserve">hrasvaḥ</w:t>
      </w:r>
      <w:r>
        <w:t xml:space="preserve">”</w:t>
      </w:r>
      <w:r>
        <w:t xml:space="preserve"> </w:t>
      </w:r>
      <w:r>
        <w:t xml:space="preserve">(Pā. sū. 7-4-59):</w:t>
      </w:r>
      <w:r>
        <w:t xml:space="preserve"> </w:t>
      </w:r>
      <w:r>
        <w:rPr>
          <w:iCs/>
          <w:i/>
        </w:rPr>
        <w:t xml:space="preserve">da</w:t>
      </w:r>
      <w:r>
        <w:t xml:space="preserve"> </w:t>
      </w:r>
      <w:r>
        <w:t xml:space="preserve">+</w:t>
      </w:r>
      <w:r>
        <w:t xml:space="preserve"> </w:t>
      </w:r>
      <w:r>
        <w:rPr>
          <w:iCs/>
          <w:i/>
        </w:rPr>
        <w:t xml:space="preserve">dā</w:t>
      </w:r>
      <w:r>
        <w:t xml:space="preserve"> </w:t>
      </w:r>
      <w:r>
        <w:t xml:space="preserve">+</w:t>
      </w:r>
      <w:r>
        <w:t xml:space="preserve"> </w:t>
      </w:r>
      <w:r>
        <w:rPr>
          <w:iCs/>
          <w:i/>
        </w:rPr>
        <w:t xml:space="preserve">i</w:t>
      </w:r>
      <w:r>
        <w:t xml:space="preserve">; by</w:t>
      </w:r>
      <w:r>
        <w:t xml:space="preserve"> </w:t>
      </w:r>
      <w:r>
        <w:t xml:space="preserve">“</w:t>
      </w:r>
      <w:r>
        <w:t xml:space="preserve">āto lopa iṭi ca</w:t>
      </w:r>
      <w:r>
        <w:t xml:space="preserve">”</w:t>
      </w:r>
      <w:r>
        <w:t xml:space="preserve"> </w:t>
      </w:r>
      <w:r>
        <w:t xml:space="preserve">(Pā. sū. 6-4-64) the</w:t>
      </w:r>
      <w:r>
        <w:t xml:space="preserve"> </w:t>
      </w:r>
      <w:r>
        <w:rPr>
          <w:iCs/>
          <w:i/>
        </w:rPr>
        <w:t xml:space="preserve">ā</w:t>
      </w:r>
      <w:r>
        <w:t xml:space="preserve"> </w:t>
      </w:r>
      <w:r>
        <w:t xml:space="preserve">drops:</w:t>
      </w:r>
      <w:r>
        <w:t xml:space="preserve"> </w:t>
      </w:r>
      <w:r>
        <w:rPr>
          <w:iCs/>
          <w:i/>
        </w:rPr>
        <w:t xml:space="preserve">dadi</w:t>
      </w:r>
      <w:r>
        <w:t xml:space="preserve">. By the suffix accent it is final udātta.</w:t>
      </w:r>
    </w:p>
    <w:p>
      <w:pPr>
        <w:pStyle w:val="BodyText"/>
      </w:pPr>
      <w:r>
        <w:rPr>
          <w:bCs/>
          <w:b/>
        </w:rPr>
        <w:t xml:space="preserve">॥१०॥</w:t>
      </w:r>
    </w:p>
    <w:p>
      <w:r>
        <w:pict>
          <v:rect style="width:0;height:1.5pt" o:hralign="center" o:hrstd="t" o:hr="t"/>
        </w:pict>
      </w:r>
    </w:p>
    <w:bookmarkEnd w:id="722"/>
    <w:bookmarkStart w:id="723" w:name="page-666-lower-sūkta-15-rik-11"/>
    <w:p>
      <w:pPr>
        <w:pStyle w:val="Heading3"/>
      </w:pPr>
      <w:r>
        <w:t xml:space="preserve">Page 666 (lower) — Sūkta 15, Rik 11</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अश्वि॑ना॒ पिब॑तं॒ मधु॒ दीद्य॑ग्नी शुचिव्रता । [accent ?]</w:t>
      </w:r>
      <w:r>
        <w:t xml:space="preserve"> </w:t>
      </w:r>
      <w:r>
        <w:t xml:space="preserve">ऋ॒तुना॑ यज्ञवाहसा ॥११॥</w:t>
      </w:r>
    </w:p>
    <w:p>
      <w:pPr>
        <w:pStyle w:val="BlockText"/>
      </w:pPr>
      <w:r>
        <w:rPr>
          <w:iCs/>
          <w:i/>
        </w:rPr>
        <w:t xml:space="preserve">áśvinā píbataṃ mádhu dī́dyagnī śucivratā |</w:t>
      </w:r>
      <w:r>
        <w:t xml:space="preserve"> </w:t>
      </w:r>
      <w:r>
        <w:t xml:space="preserve">[accent ?]</w:t>
      </w:r>
      <w:r>
        <w:t xml:space="preserve"> </w:t>
      </w:r>
      <w:r>
        <w:rPr>
          <w:iCs/>
          <w:i/>
        </w:rPr>
        <w:t xml:space="preserve">ṛtúnā yajñavāhasā ||11||</w:t>
      </w:r>
    </w:p>
    <w:p>
      <w:pPr>
        <w:pStyle w:val="FirstParagraph"/>
      </w:pPr>
      <w:r>
        <w:rPr>
          <w:iCs/>
          <w:i/>
        </w:rPr>
        <w:t xml:space="preserve">(Line 1: the bars under ना and त and the strokes over श्वि, ब and द्य are read at the foot of p. 666; the rest of the line shows no marks.)</w:t>
      </w:r>
    </w:p>
    <w:p>
      <w:pPr>
        <w:pStyle w:val="BodyText"/>
      </w:pPr>
      <w:r>
        <w:rPr>
          <w:bCs/>
          <w:b/>
        </w:rPr>
        <w:t xml:space="preserve">॥ Pada-pāṭhaḥ ॥</w:t>
      </w:r>
    </w:p>
    <w:p>
      <w:pPr>
        <w:pStyle w:val="BlockText"/>
      </w:pPr>
      <w:r>
        <w:t xml:space="preserve">अश्विना । पिबतम् । मधु । दीद्यग्नी इति दीदिऽअग्नी । शुचिऽव्रता ॥</w:t>
      </w:r>
      <w:r>
        <w:t xml:space="preserve"> </w:t>
      </w:r>
      <w:r>
        <w:t xml:space="preserve">ऋतुना । यज्ञऽवाहसा ॥११॥</w:t>
      </w:r>
    </w:p>
    <w:p>
      <w:pPr>
        <w:pStyle w:val="BlockText"/>
      </w:pPr>
      <w:r>
        <w:rPr>
          <w:iCs/>
          <w:i/>
        </w:rPr>
        <w:t xml:space="preserve">aśvinā | pibatam | madhu | dīdyagnī iti dīdi ’agnī | śuci ’vratā ||</w:t>
      </w:r>
      <w:r>
        <w:t xml:space="preserve"> </w:t>
      </w:r>
      <w:r>
        <w:rPr>
          <w:iCs/>
          <w:i/>
        </w:rPr>
        <w:t xml:space="preserve">ṛtunā | yajña ’vāhasā ||11||</w:t>
      </w:r>
    </w:p>
    <w:p>
      <w:pPr>
        <w:pStyle w:val="FirstParagraph"/>
      </w:pPr>
      <w:r>
        <w:rPr>
          <w:bCs/>
          <w:b/>
        </w:rPr>
        <w:t xml:space="preserve">॥ Sāyaṇa-bhāṣyam ॥</w:t>
      </w:r>
    </w:p>
    <w:p>
      <w:pPr>
        <w:pStyle w:val="BlockText"/>
      </w:pPr>
      <w:r>
        <w:t xml:space="preserve">हे अश्विनौ मधु माधुर्योपेतं सोमं पिबतं । कीदृशौ । दीद्यग्नी द्योतमानाहवनीयाद्यग्नियुक्तौ शुचिव्रता शुद्धकर्माणौ ऋतुना ऋतुदेवतया सह यज्ञवाहसा यज्ञस्य निर्वाहकौ ॥ अश्विना । सम्बोधनद्विवचनस्य सुपां सुलुगित्याकारः । आमन्त्रिताद्युदात्तः । पिबतं । शपः पित्त्वादनुदात्तत्वं । तिङश्च लसार्व-</w:t>
      </w:r>
    </w:p>
    <w:p>
      <w:pPr>
        <w:pStyle w:val="BlockText"/>
      </w:pPr>
      <w:r>
        <w:rPr>
          <w:iCs/>
          <w:i/>
        </w:rPr>
        <w:t xml:space="preserve">he aśvinau madhu mādhuryopetaṃ somaṃ pibataṃ | kīdṛśau | dīdyagnī dyotamānāhavanīyādyagniyuktau śucivratā śuddhakarmāṇau ṛtunā ṛtudevatayā saha yajñavāhasā yajñasya nirvāhakau || aśvinā | sambodhanadvivacanasya supāṃ sulugityākāraḥ | āmantritādyudāttaḥ | pibataṃ | śapaḥ pittvādanudāttatvaṃ | tiṅaśca lasārva-</w:t>
      </w:r>
    </w:p>
    <w:bookmarkEnd w:id="723"/>
    <w:bookmarkStart w:id="724" w:name="Xcde5385378f2c893806a20e41b214e9525f572e"/>
    <w:p>
      <w:pPr>
        <w:pStyle w:val="Heading3"/>
      </w:pPr>
      <w:r>
        <w:t xml:space="preserve">Page 667 — Rik 11: bhāṣya (end), word-meanings, overall sense, English</w:t>
      </w:r>
    </w:p>
    <w:p>
      <w:pPr>
        <w:pStyle w:val="BlockText"/>
      </w:pPr>
      <w:r>
        <w:t xml:space="preserve">-धातुकस्वरेण धातुस्वर एव शिष्यते । मधु । फलिपाटीत्यादिना । उ. १-१९ । उप्रत्ययः । निदित्यनुवृत्तेर्नित्त्वादाद्युदात्तः । दीद्यग्नी । दिवु क्रीडादौ । अन्येभ्यो ऽपि दृश्यन्त इति विच् । वेरपृक्तलोपाद्वलि लोपो बलीयानिति प्रथमं वकारस्य लोपः । पा. ६-१-६६, ६७ । प्रथमं प्रत्ययलोपे हि वर्णाश्रये विधौ प्रत्ययलक्षणं नास्ति । परि. ९१ । इति निषेधाद्वलि लोपो न स्यात् । छान्दसं द्विर्वचनं । तुजादित्वादभ्यासस्य दीर्घत्वं । यङ्लुगन्ताद्वा संज्ञापूर्वको विधिरनित्य इत्यभ्यासस्य गुणाभावः । दीदिरग्निर्ययोस्तौ दीद्यग्नी । आमन्त्रिताद्युदात्तत्वं । पादादित्वान्न निघातः । शुचिव्रता । शुचि व्रतं ययोस्तौ । सुपां सुलुगित्याकारः । दीद्यग्निशब्दस्य सामान्यवचनत्वेन नामन्त्रित इत्यविद्यमानवत्त्वप्रतिषेधादाष्टमिकनिघातत्वं । पूर्वस्य पराङ्गवद्भावाद्वैकस्वर्यं । यज्ञवाहसा । वह प्रापणे । यज्ञं वहत इति यज्ञवाहसौ । वहिहाधाञ्भ्यश्छन्दसि । उ. ४-२२० । इत्यसुन् । तत्र हि गतिकारकयोरपि पूर्वपदप्रकृतिस्वरत्वं चेति वचनात्सोपपदानामपि भवति । उ. ४-२२६ । इत्युक्तं । णिदित्यनुवृत्तेरुपधावृद्धिः । सुपां सुलुगित्यादिना विभक्तेराकारः । आमन्त्रितनिघातः । असामर्थ्यात्पूर्वस्य न पराङ्गवद्भावः ॥</w:t>
      </w:r>
    </w:p>
    <w:p>
      <w:pPr>
        <w:pStyle w:val="BlockText"/>
      </w:pPr>
      <w:r>
        <w:rPr>
          <w:iCs/>
          <w:i/>
        </w:rPr>
        <w:t xml:space="preserve">-dhātukasvareṇa dhātusvara eva śiṣyate | madhu | phalipāṭītyādinā | u. 1-19 | upratyayaḥ | nidityanuvṛtternittvādādyudāttaḥ | dīdyagnī | divu krīḍādau | anyebhyo ’pi dṛśyanta iti vic | verapṛktalopādvali lopo balīyāniti prathamaṃ vakārasya lopaḥ | pā. 6-1-66, 67 | prathamaṃ pratyayalope hi varṇāśraye vidhau pratyayalakṣaṇaṃ nāsti | pari. 91 | iti niṣedhādvali lopo na syāt | chāndasaṃ dvirvacanaṃ | tujāditvādabhyāsasya dīrghatvaṃ | yaṅlugantādvā saṃjñāpūrvako vidhiranitya ityabhyāsasya guṇābhāvaḥ | dīdiragniryayostau dīdyagnī | āmantritādyudāttatvaṃ | pādāditvānna nighātaḥ | śucivratā | śuci vrataṃ yayostau | supāṃ sulugityākāraḥ | dīdyagniśabdasya sāmānyavacanatvena nāmantrita ityavidyamānavattvapratiṣedhādāṣṭamikanighātatvaṃ | pūrvasya parāṅgavadbhāvādvaikasvaryaṃ | yajñavāhasā | vaha prāpaṇe | yajñaṃ vahata iti yajñavāhasau | vahihādhāñbhyaśchandasi | u. 4-220 | ityasun | tatra hi gatikārakayorapi pūrvapadaprakṛtisvaratvaṃ ceti vacanātsopapadānāmapi bhavati | u. 4-226 | ityuktaṃ | ṇidityanuvṛtterupadhāvṛddhiḥ | supāṃ sulugityādinā vibhakterākāraḥ | āmantritanighātaḥ | asāmarthyātpūrvasya na parāṅgavadbhāvaḥ ||</w:t>
      </w:r>
    </w:p>
    <w:p>
      <w:pPr>
        <w:pStyle w:val="FirstParagraph"/>
      </w:pPr>
      <w:r>
        <w:rPr>
          <w:bCs/>
          <w:b/>
        </w:rPr>
        <w:t xml:space="preserve">Translation:</w:t>
      </w:r>
      <w:r>
        <w:t xml:space="preserve"> </w:t>
      </w:r>
      <w:r>
        <w:t xml:space="preserve">“</w:t>
      </w:r>
      <w:r>
        <w:t xml:space="preserve">O Aśvins, drink the</w:t>
      </w:r>
      <w:r>
        <w:t xml:space="preserve"> </w:t>
      </w:r>
      <w:r>
        <w:rPr>
          <w:iCs/>
          <w:i/>
        </w:rPr>
        <w:t xml:space="preserve">madhu</w:t>
      </w:r>
      <w:r>
        <w:t xml:space="preserve">, the soma that is full of sweetness. What are you like?</w:t>
      </w:r>
      <w:r>
        <w:t xml:space="preserve"> </w:t>
      </w:r>
      <w:r>
        <w:rPr>
          <w:iCs/>
          <w:i/>
        </w:rPr>
        <w:t xml:space="preserve">Dīdyagnī</w:t>
      </w:r>
      <w:r>
        <w:t xml:space="preserve">, joined with the shining fires, the Āhavanīya and the others;</w:t>
      </w:r>
      <w:r>
        <w:t xml:space="preserve"> </w:t>
      </w:r>
      <w:r>
        <w:rPr>
          <w:iCs/>
          <w:i/>
        </w:rPr>
        <w:t xml:space="preserve">śucivratā</w:t>
      </w:r>
      <w:r>
        <w:t xml:space="preserve">, of pure rites;</w:t>
      </w:r>
      <w:r>
        <w:t xml:space="preserve"> </w:t>
      </w:r>
      <w:r>
        <w:rPr>
          <w:iCs/>
          <w:i/>
        </w:rPr>
        <w:t xml:space="preserve">ṛtunā</w:t>
      </w:r>
      <w:r>
        <w:t xml:space="preserve">, with the Ṛtu deity,</w:t>
      </w:r>
      <w:r>
        <w:t xml:space="preserve"> </w:t>
      </w:r>
      <w:r>
        <w:rPr>
          <w:iCs/>
          <w:i/>
        </w:rPr>
        <w:t xml:space="preserve">yajñavāhasā</w:t>
      </w:r>
      <w:r>
        <w:t xml:space="preserve">, carriers through of the sacrifice.</w:t>
      </w:r>
      <w:r>
        <w:t xml:space="preserve">”</w:t>
      </w:r>
      <w:r>
        <w:t xml:space="preserve"> </w:t>
      </w:r>
      <w:r>
        <w:t xml:space="preserve">(Grammatical tail:</w:t>
      </w:r>
      <w:r>
        <w:t xml:space="preserve"> </w:t>
      </w:r>
      <w:r>
        <w:rPr>
          <w:iCs/>
          <w:i/>
        </w:rPr>
        <w:t xml:space="preserve">aśvinā</w:t>
      </w:r>
      <w:r>
        <w:t xml:space="preserve">,</w:t>
      </w:r>
      <w:r>
        <w:t xml:space="preserve"> </w:t>
      </w:r>
      <w:r>
        <w:rPr>
          <w:iCs/>
          <w:i/>
        </w:rPr>
        <w:t xml:space="preserve">ā</w:t>
      </w:r>
      <w:r>
        <w:t xml:space="preserve"> </w:t>
      </w:r>
      <w:r>
        <w:t xml:space="preserve">for the vocative dual by</w:t>
      </w:r>
      <w:r>
        <w:t xml:space="preserve"> </w:t>
      </w:r>
      <w:r>
        <w:rPr>
          <w:iCs/>
          <w:i/>
        </w:rPr>
        <w:t xml:space="preserve">supāṃ suluk…</w:t>
      </w:r>
      <w:r>
        <w:t xml:space="preserve">, initial udātta;</w:t>
      </w:r>
      <w:r>
        <w:t xml:space="preserve"> </w:t>
      </w:r>
      <w:r>
        <w:rPr>
          <w:iCs/>
          <w:i/>
        </w:rPr>
        <w:t xml:space="preserve">pibatam</w:t>
      </w:r>
      <w:r>
        <w:t xml:space="preserve">, the root accent;</w:t>
      </w:r>
      <w:r>
        <w:t xml:space="preserve"> </w:t>
      </w:r>
      <w:r>
        <w:rPr>
          <w:iCs/>
          <w:i/>
        </w:rPr>
        <w:t xml:space="preserve">madhu</w:t>
      </w:r>
      <w:r>
        <w:t xml:space="preserve"> </w:t>
      </w:r>
      <w:r>
        <w:t xml:space="preserve">with</w:t>
      </w:r>
      <w:r>
        <w:t xml:space="preserve"> </w:t>
      </w:r>
      <w:r>
        <w:rPr>
          <w:iCs/>
          <w:i/>
        </w:rPr>
        <w:t xml:space="preserve">u</w:t>
      </w:r>
      <w:r>
        <w:t xml:space="preserve"> </w:t>
      </w:r>
      <w:r>
        <w:t xml:space="preserve">(Uṇ. 1-19), initial udātta;</w:t>
      </w:r>
      <w:r>
        <w:t xml:space="preserve"> </w:t>
      </w:r>
      <w:r>
        <w:rPr>
          <w:iCs/>
          <w:i/>
        </w:rPr>
        <w:t xml:space="preserve">dīdyagnī</w:t>
      </w:r>
      <w:r>
        <w:t xml:space="preserve">:</w:t>
      </w:r>
      <w:r>
        <w:t xml:space="preserve"> </w:t>
      </w:r>
      <w:r>
        <w:rPr>
          <w:iCs/>
          <w:i/>
        </w:rPr>
        <w:t xml:space="preserve">div</w:t>
      </w:r>
      <w:r>
        <w:t xml:space="preserve"> </w:t>
      </w:r>
      <w:r>
        <w:t xml:space="preserve">‘</w:t>
      </w:r>
      <w:r>
        <w:t xml:space="preserve">to play</w:t>
      </w:r>
      <w:r>
        <w:t xml:space="preserve">’</w:t>
      </w:r>
      <w:r>
        <w:t xml:space="preserve"> </w:t>
      </w:r>
      <w:r>
        <w:t xml:space="preserve">with</w:t>
      </w:r>
      <w:r>
        <w:t xml:space="preserve"> </w:t>
      </w:r>
      <w:r>
        <w:rPr>
          <w:iCs/>
          <w:i/>
        </w:rPr>
        <w:t xml:space="preserve">vic</w:t>
      </w:r>
      <w:r>
        <w:t xml:space="preserve">; by</w:t>
      </w:r>
      <w:r>
        <w:t xml:space="preserve"> </w:t>
      </w:r>
      <w:r>
        <w:rPr>
          <w:iCs/>
          <w:i/>
        </w:rPr>
        <w:t xml:space="preserve">ver apṛktalopād vali lopo balīyān</w:t>
      </w:r>
      <w:r>
        <w:t xml:space="preserve"> </w:t>
      </w:r>
      <w:r>
        <w:t xml:space="preserve">the</w:t>
      </w:r>
      <w:r>
        <w:t xml:space="preserve"> </w:t>
      </w:r>
      <w:r>
        <w:rPr>
          <w:iCs/>
          <w:i/>
        </w:rPr>
        <w:t xml:space="preserve">v</w:t>
      </w:r>
      <w:r>
        <w:t xml:space="preserve"> </w:t>
      </w:r>
      <w:r>
        <w:t xml:space="preserve">drops first (Pā. 6-1-66, 67), since if the suffix dropped first, by</w:t>
      </w:r>
      <w:r>
        <w:t xml:space="preserve"> </w:t>
      </w:r>
      <w:r>
        <w:t xml:space="preserve">“</w:t>
      </w:r>
      <w:r>
        <w:t xml:space="preserve">varṇāśraye vidhau pratyayalakṣaṇaṃ nāsti</w:t>
      </w:r>
      <w:r>
        <w:t xml:space="preserve">”</w:t>
      </w:r>
      <w:r>
        <w:t xml:space="preserve"> </w:t>
      </w:r>
      <w:r>
        <w:t xml:space="preserve">(pari. 91) the loss before</w:t>
      </w:r>
      <w:r>
        <w:t xml:space="preserve"> </w:t>
      </w:r>
      <w:r>
        <w:rPr>
          <w:iCs/>
          <w:i/>
        </w:rPr>
        <w:t xml:space="preserve">val</w:t>
      </w:r>
      <w:r>
        <w:t xml:space="preserve"> </w:t>
      </w:r>
      <w:r>
        <w:t xml:space="preserve">would not come; Vedic reduplication, the reduplicate lengthened as of the</w:t>
      </w:r>
      <w:r>
        <w:t xml:space="preserve"> </w:t>
      </w:r>
      <w:r>
        <w:rPr>
          <w:iCs/>
          <w:i/>
        </w:rPr>
        <w:t xml:space="preserve">tujādi</w:t>
      </w:r>
      <w:r>
        <w:t xml:space="preserve"> </w:t>
      </w:r>
      <w:r>
        <w:t xml:space="preserve">class, or from the</w:t>
      </w:r>
      <w:r>
        <w:t xml:space="preserve"> </w:t>
      </w:r>
      <w:r>
        <w:rPr>
          <w:iCs/>
          <w:i/>
        </w:rPr>
        <w:t xml:space="preserve">yaṅluk</w:t>
      </w:r>
      <w:r>
        <w:t xml:space="preserve"> </w:t>
      </w:r>
      <w:r>
        <w:t xml:space="preserve">form, its</w:t>
      </w:r>
      <w:r>
        <w:t xml:space="preserve"> </w:t>
      </w:r>
      <w:r>
        <w:rPr>
          <w:iCs/>
          <w:i/>
        </w:rPr>
        <w:t xml:space="preserve">guṇa</w:t>
      </w:r>
      <w:r>
        <w:t xml:space="preserve"> </w:t>
      </w:r>
      <w:r>
        <w:t xml:space="preserve">not made by</w:t>
      </w:r>
      <w:r>
        <w:t xml:space="preserve"> </w:t>
      </w:r>
      <w:r>
        <w:rPr>
          <w:iCs/>
          <w:i/>
        </w:rPr>
        <w:t xml:space="preserve">saṃjñāpūrvako vidhir anityaḥ</w:t>
      </w:r>
      <w:r>
        <w:t xml:space="preserve">;</w:t>
      </w:r>
      <w:r>
        <w:t xml:space="preserve"> </w:t>
      </w:r>
      <w:r>
        <w:t xml:space="preserve">“</w:t>
      </w:r>
      <w:r>
        <w:t xml:space="preserve">whose fire is shining</w:t>
      </w:r>
      <w:r>
        <w:t xml:space="preserve">”</w:t>
      </w:r>
      <w:r>
        <w:t xml:space="preserve">, initial udātta, not lowered at the head of the pāda;</w:t>
      </w:r>
      <w:r>
        <w:t xml:space="preserve"> </w:t>
      </w:r>
      <w:r>
        <w:rPr>
          <w:iCs/>
          <w:i/>
        </w:rPr>
        <w:t xml:space="preserve">śucivratā</w:t>
      </w:r>
      <w:r>
        <w:t xml:space="preserve">,</w:t>
      </w:r>
      <w:r>
        <w:t xml:space="preserve"> </w:t>
      </w:r>
      <w:r>
        <w:t xml:space="preserve">“</w:t>
      </w:r>
      <w:r>
        <w:t xml:space="preserve">whose rite is pure</w:t>
      </w:r>
      <w:r>
        <w:t xml:space="preserve">”</w:t>
      </w:r>
      <w:r>
        <w:t xml:space="preserve">,</w:t>
      </w:r>
      <w:r>
        <w:t xml:space="preserve"> </w:t>
      </w:r>
      <w:r>
        <w:rPr>
          <w:iCs/>
          <w:i/>
        </w:rPr>
        <w:t xml:space="preserve">ā</w:t>
      </w:r>
      <w:r>
        <w:t xml:space="preserve"> </w:t>
      </w:r>
      <w:r>
        <w:t xml:space="preserve">for the ending, lowered by the eighth-adhyāya rule, since</w:t>
      </w:r>
      <w:r>
        <w:t xml:space="preserve"> </w:t>
      </w:r>
      <w:r>
        <w:rPr>
          <w:iCs/>
          <w:i/>
        </w:rPr>
        <w:t xml:space="preserve">dīdyagnī</w:t>
      </w:r>
      <w:r>
        <w:t xml:space="preserve">, being a general term, is not treated as absent (</w:t>
      </w:r>
      <w:r>
        <w:rPr>
          <w:iCs/>
          <w:i/>
        </w:rPr>
        <w:t xml:space="preserve">nāmantrite…</w:t>
      </w:r>
      <w:r>
        <w:t xml:space="preserve">), and the earlier word is joined to it as part of the following (one accent);</w:t>
      </w:r>
      <w:r>
        <w:t xml:space="preserve"> </w:t>
      </w:r>
      <w:r>
        <w:rPr>
          <w:iCs/>
          <w:i/>
        </w:rPr>
        <w:t xml:space="preserve">yajñavāhasā</w:t>
      </w:r>
      <w:r>
        <w:t xml:space="preserve">,</w:t>
      </w:r>
      <w:r>
        <w:t xml:space="preserve"> </w:t>
      </w:r>
      <w:r>
        <w:t xml:space="preserve">“</w:t>
      </w:r>
      <w:r>
        <w:t xml:space="preserve">who carry the sacrifice</w:t>
      </w:r>
      <w:r>
        <w:t xml:space="preserve">”</w:t>
      </w:r>
      <w:r>
        <w:t xml:space="preserve">,</w:t>
      </w:r>
      <w:r>
        <w:t xml:space="preserve"> </w:t>
      </w:r>
      <w:r>
        <w:rPr>
          <w:iCs/>
          <w:i/>
        </w:rPr>
        <w:t xml:space="preserve">asun</w:t>
      </w:r>
      <w:r>
        <w:t xml:space="preserve"> </w:t>
      </w:r>
      <w:r>
        <w:t xml:space="preserve">(Uṇ. 4-220), which applies with an</w:t>
      </w:r>
      <w:r>
        <w:t xml:space="preserve"> </w:t>
      </w:r>
      <w:r>
        <w:rPr>
          <w:iCs/>
          <w:i/>
        </w:rPr>
        <w:t xml:space="preserve">upapada</w:t>
      </w:r>
      <w:r>
        <w:t xml:space="preserve"> </w:t>
      </w:r>
      <w:r>
        <w:t xml:space="preserve">too by the statement on the first-member accent (Uṇ. 4-226),</w:t>
      </w:r>
      <w:r>
        <w:t xml:space="preserve"> </w:t>
      </w:r>
      <w:r>
        <w:rPr>
          <w:iCs/>
          <w:i/>
        </w:rPr>
        <w:t xml:space="preserve">vṛddhi</w:t>
      </w:r>
      <w:r>
        <w:t xml:space="preserve"> </w:t>
      </w:r>
      <w:r>
        <w:t xml:space="preserve">of the penultimate,</w:t>
      </w:r>
      <w:r>
        <w:t xml:space="preserve"> </w:t>
      </w:r>
      <w:r>
        <w:rPr>
          <w:iCs/>
          <w:i/>
        </w:rPr>
        <w:t xml:space="preserve">ā</w:t>
      </w:r>
      <w:r>
        <w:t xml:space="preserve"> </w:t>
      </w:r>
      <w:r>
        <w:t xml:space="preserve">for the ending, lowered as a vocative; the earlier word is not joined to it, not being connected in sense.)</w:t>
      </w:r>
    </w:p>
    <w:p>
      <w:pPr>
        <w:pStyle w:val="BodyText"/>
      </w:pPr>
      <w:r>
        <w:rPr>
          <w:bCs/>
          <w:b/>
        </w:rPr>
        <w:t xml:space="preserve">॥ Prati-padārthaḥ ॥</w:t>
      </w:r>
    </w:p>
    <w:p>
      <w:pPr>
        <w:pStyle w:val="BodyText"/>
      </w:pPr>
      <w:r>
        <w:rPr>
          <w:bCs/>
          <w:b/>
        </w:rPr>
        <w:t xml:space="preserve">दीद्यग्नी (dīdyagnī)</w:t>
      </w:r>
      <w:r>
        <w:t xml:space="preserve"> </w:t>
      </w:r>
      <w:r>
        <w:t xml:space="preserve">— shining with the fires, the Āhavanīya and the others |</w:t>
      </w:r>
      <w:r>
        <w:t xml:space="preserve"> </w:t>
      </w:r>
      <w:r>
        <w:rPr>
          <w:bCs/>
          <w:b/>
        </w:rPr>
        <w:t xml:space="preserve">शुचिव्रता (śucivratā)</w:t>
      </w:r>
      <w:r>
        <w:t xml:space="preserve"> </w:t>
      </w:r>
      <w:r>
        <w:t xml:space="preserve">— having pure rites |</w:t>
      </w:r>
      <w:r>
        <w:t xml:space="preserve"> </w:t>
      </w:r>
      <w:r>
        <w:rPr>
          <w:bCs/>
          <w:b/>
        </w:rPr>
        <w:t xml:space="preserve">ऋतुना (ṛtunā)</w:t>
      </w:r>
      <w:r>
        <w:t xml:space="preserve"> </w:t>
      </w:r>
      <w:r>
        <w:t xml:space="preserve">— with the Ṛtu deity |</w:t>
      </w:r>
      <w:r>
        <w:t xml:space="preserve"> </w:t>
      </w:r>
      <w:r>
        <w:rPr>
          <w:bCs/>
          <w:b/>
        </w:rPr>
        <w:t xml:space="preserve">यज्ञवाहसा (yajñavāhasā)</w:t>
      </w:r>
      <w:r>
        <w:t xml:space="preserve"> </w:t>
      </w:r>
      <w:r>
        <w:t xml:space="preserve">— who carry through the sacrifice |</w:t>
      </w:r>
      <w:r>
        <w:t xml:space="preserve"> </w:t>
      </w:r>
      <w:r>
        <w:rPr>
          <w:bCs/>
          <w:b/>
        </w:rPr>
        <w:t xml:space="preserve">अश्विना (aśvinā)</w:t>
      </w:r>
      <w:r>
        <w:t xml:space="preserve"> </w:t>
      </w:r>
      <w:r>
        <w:t xml:space="preserve">— O Aśvin deities |</w:t>
      </w:r>
      <w:r>
        <w:t xml:space="preserve"> </w:t>
      </w:r>
      <w:r>
        <w:rPr>
          <w:bCs/>
          <w:b/>
        </w:rPr>
        <w:t xml:space="preserve">मधु (madhu)</w:t>
      </w:r>
      <w:r>
        <w:t xml:space="preserve"> </w:t>
      </w:r>
      <w:r>
        <w:t xml:space="preserve">— the sweet soma juice |</w:t>
      </w:r>
      <w:r>
        <w:t xml:space="preserve"> </w:t>
      </w:r>
      <w:r>
        <w:rPr>
          <w:bCs/>
          <w:b/>
        </w:rPr>
        <w:t xml:space="preserve">पिबतम् (pibatam)</w:t>
      </w:r>
      <w:r>
        <w:t xml:space="preserve"> </w:t>
      </w:r>
      <w:r>
        <w:t xml:space="preserve">— drink.</w:t>
      </w:r>
    </w:p>
    <w:p>
      <w:pPr>
        <w:pStyle w:val="BodyText"/>
      </w:pPr>
      <w:r>
        <w:rPr>
          <w:bCs/>
          <w:b/>
        </w:rPr>
        <w:t xml:space="preserve">॥ Bhāvārthaḥ ॥</w:t>
      </w:r>
    </w:p>
    <w:p>
      <w:pPr>
        <w:pStyle w:val="BodyText"/>
      </w:pPr>
      <w:r>
        <w:t xml:space="preserve">O Aśvin deities, you always shine together with the fires, the Āhavanīya and the others. With the Ṛtu deity you carry the sacrifice through. Kindly drink the sweet soma juice.</w:t>
      </w:r>
    </w:p>
    <w:p>
      <w:pPr>
        <w:pStyle w:val="BodyText"/>
      </w:pPr>
      <w:r>
        <w:rPr>
          <w:bCs/>
          <w:b/>
        </w:rPr>
        <w:t xml:space="preserve">॥ English Translation ॥</w:t>
      </w:r>
      <w:r>
        <w:t xml:space="preserve"> </w:t>
      </w:r>
      <w:r>
        <w:rPr>
          <w:iCs/>
          <w:i/>
        </w:rPr>
        <w:t xml:space="preserve">(as printed in the source)</w:t>
      </w:r>
    </w:p>
    <w:p>
      <w:pPr>
        <w:pStyle w:val="BlockText"/>
      </w:pPr>
      <w:r>
        <w:t xml:space="preserve">Aswins, performers of pious acts, accepters of the sacrifice with the Ritus, and accompained [sic] by brilliant Agni, drink the sweet draught.</w:t>
      </w:r>
    </w:p>
    <w:bookmarkEnd w:id="724"/>
    <w:bookmarkStart w:id="725" w:name="X3a403189f336eb5b3cf9bc17049383342d84eee"/>
    <w:p>
      <w:pPr>
        <w:pStyle w:val="Heading3"/>
      </w:pPr>
      <w:r>
        <w:t xml:space="preserve">Page 668 — Rik 11: Special Topics and grammar</w:t>
      </w:r>
    </w:p>
    <w:p>
      <w:pPr>
        <w:pStyle w:val="FirstParagraph"/>
      </w:pPr>
      <w:r>
        <w:rPr>
          <w:bCs/>
          <w:b/>
        </w:rPr>
        <w:t xml:space="preserve">॥ Viśeṣa-viṣayagaḷu (Special Topics) ॥</w:t>
      </w:r>
    </w:p>
    <w:p>
      <w:pPr>
        <w:pStyle w:val="BodyText"/>
      </w:pPr>
      <w:r>
        <w:rPr>
          <w:bCs/>
          <w:b/>
        </w:rPr>
        <w:t xml:space="preserve">Dīdyagnī</w:t>
      </w:r>
      <w:r>
        <w:t xml:space="preserve">:</w:t>
      </w:r>
    </w:p>
    <w:p>
      <w:pPr>
        <w:pStyle w:val="BlockText"/>
      </w:pPr>
      <w:r>
        <w:t xml:space="preserve">दिवु क्रीडादौ । दीदिरग्निर्ययोस्तौ ॥</w:t>
      </w:r>
    </w:p>
    <w:p>
      <w:pPr>
        <w:pStyle w:val="BlockText"/>
      </w:pPr>
      <w:r>
        <w:rPr>
          <w:iCs/>
          <w:i/>
        </w:rPr>
        <w:t xml:space="preserve">divu krīḍādau | dīdiragniryayostau ||</w:t>
      </w:r>
    </w:p>
    <w:p>
      <w:pPr>
        <w:pStyle w:val="FirstParagraph"/>
      </w:pPr>
      <w:r>
        <w:t xml:space="preserve">“</w:t>
      </w:r>
      <w:r>
        <w:t xml:space="preserve">joined with the shining Āhavanīya and other fires</w:t>
      </w:r>
      <w:r>
        <w:t xml:space="preserve">”</w:t>
      </w:r>
      <w:r>
        <w:t xml:space="preserve">: that is, since the</w:t>
      </w:r>
      <w:r>
        <w:t xml:space="preserve"> </w:t>
      </w:r>
      <w:r>
        <w:rPr>
          <w:iCs/>
          <w:i/>
        </w:rPr>
        <w:t xml:space="preserve">homa</w:t>
      </w:r>
      <w:r>
        <w:t xml:space="preserve"> </w:t>
      </w:r>
      <w:r>
        <w:t xml:space="preserve">is made in the Āhavanīya and other fires with these Aśvin deities in view, they are said to have shining fires.</w:t>
      </w:r>
    </w:p>
    <w:p>
      <w:pPr>
        <w:pStyle w:val="BodyText"/>
      </w:pPr>
      <w:r>
        <w:rPr>
          <w:bCs/>
          <w:b/>
        </w:rPr>
        <w:t xml:space="preserve">Śucivratā</w:t>
      </w:r>
      <w:r>
        <w:t xml:space="preserve">:</w:t>
      </w:r>
    </w:p>
    <w:p>
      <w:pPr>
        <w:pStyle w:val="BlockText"/>
      </w:pPr>
      <w:r>
        <w:t xml:space="preserve">शुचि व्रतं ययोस्तौ</w:t>
      </w:r>
    </w:p>
    <w:p>
      <w:pPr>
        <w:pStyle w:val="BlockText"/>
      </w:pPr>
      <w:r>
        <w:rPr>
          <w:iCs/>
          <w:i/>
        </w:rPr>
        <w:t xml:space="preserve">śuci vrataṃ yayostau</w:t>
      </w:r>
    </w:p>
    <w:p>
      <w:pPr>
        <w:pStyle w:val="FirstParagraph"/>
      </w:pPr>
      <w:r>
        <w:t xml:space="preserve">“</w:t>
      </w:r>
      <w:r>
        <w:t xml:space="preserve">having pure rites</w:t>
      </w:r>
      <w:r>
        <w:t xml:space="preserve">”</w:t>
      </w:r>
      <w:r>
        <w:t xml:space="preserve">: that is, the rites they perform are pure.</w:t>
      </w:r>
    </w:p>
    <w:p>
      <w:pPr>
        <w:pStyle w:val="BodyText"/>
      </w:pPr>
      <w:r>
        <w:rPr>
          <w:bCs/>
          <w:b/>
        </w:rPr>
        <w:t xml:space="preserve">Yajñavāhasā</w:t>
      </w:r>
      <w:r>
        <w:t xml:space="preserve">:</w:t>
      </w:r>
    </w:p>
    <w:p>
      <w:pPr>
        <w:pStyle w:val="BlockText"/>
      </w:pPr>
      <w:r>
        <w:t xml:space="preserve">वह प्रापणे । यज्ञं वहत इति यज्ञवाहसौ । यज्ञस्य निर्वाहकौ ॥</w:t>
      </w:r>
    </w:p>
    <w:p>
      <w:pPr>
        <w:pStyle w:val="BlockText"/>
      </w:pPr>
      <w:r>
        <w:rPr>
          <w:iCs/>
          <w:i/>
        </w:rPr>
        <w:t xml:space="preserve">vaha prāpaṇe | yajñaṃ vahata iti yajñavāhasau | yajñasya nirvāhakau ||</w:t>
      </w:r>
    </w:p>
    <w:p>
      <w:pPr>
        <w:pStyle w:val="FirstParagraph"/>
      </w:pPr>
      <w:r>
        <w:t xml:space="preserve">those who carry the sacrifice through, who make it go on without obstacle.</w:t>
      </w:r>
    </w:p>
    <w:p>
      <w:pPr>
        <w:pStyle w:val="BodyText"/>
      </w:pPr>
      <w:r>
        <w:rPr>
          <w:bCs/>
          <w:b/>
        </w:rPr>
        <w:t xml:space="preserve">॥ Vyākaraṇa-prakriyā ॥</w:t>
      </w:r>
      <w:r>
        <w:t xml:space="preserve"> </w:t>
      </w:r>
      <w:r>
        <w:rPr>
          <w:iCs/>
          <w:i/>
        </w:rPr>
        <w:t xml:space="preserve">(grammar pages 668–670, noted briefly)</w:t>
      </w:r>
    </w:p>
    <w:p>
      <w:pPr>
        <w:pStyle w:val="BodyText"/>
      </w:pPr>
      <w:r>
        <w:rPr>
          <w:bCs/>
          <w:b/>
        </w:rPr>
        <w:t xml:space="preserve">अश्विना (</w:t>
      </w:r>
      <w:r>
        <w:rPr>
          <w:iCs/>
          <w:i/>
          <w:bCs/>
          <w:b/>
        </w:rPr>
        <w:t xml:space="preserve">aśvinā</w:t>
      </w:r>
      <w:r>
        <w:rPr>
          <w:bCs/>
          <w:b/>
        </w:rPr>
        <w:t xml:space="preserve">)</w:t>
      </w:r>
      <w:r>
        <w:t xml:space="preserve">: for the vocative dual, the replacement</w:t>
      </w:r>
      <w:r>
        <w:t xml:space="preserve"> </w:t>
      </w:r>
      <w:r>
        <w:rPr>
          <w:iCs/>
          <w:i/>
        </w:rPr>
        <w:t xml:space="preserve">ā</w:t>
      </w:r>
      <w:r>
        <w:t xml:space="preserve"> </w:t>
      </w:r>
      <w:r>
        <w:t xml:space="preserve">by</w:t>
      </w:r>
      <w:r>
        <w:t xml:space="preserve"> </w:t>
      </w:r>
      <w:r>
        <w:t xml:space="preserve">“</w:t>
      </w:r>
      <w:r>
        <w:t xml:space="preserve">supāṃ suluk…</w:t>
      </w:r>
      <w:r>
        <w:t xml:space="preserve">”</w:t>
      </w:r>
      <w:r>
        <w:t xml:space="preserve"> </w:t>
      </w:r>
      <w:r>
        <w:t xml:space="preserve">(Pā. sū. 7-1-39); initial udātta by</w:t>
      </w:r>
      <w:r>
        <w:t xml:space="preserve"> </w:t>
      </w:r>
      <w:r>
        <w:t xml:space="preserve">“</w:t>
      </w:r>
      <w:r>
        <w:t xml:space="preserve">āmantritasya ca</w:t>
      </w:r>
      <w:r>
        <w:t xml:space="preserve">”</w:t>
      </w:r>
      <w:r>
        <w:t xml:space="preserve"> </w:t>
      </w:r>
      <w:r>
        <w:t xml:space="preserve">(Pā. sū. 6-1-198). Being at the head of the pāda, the eighth-adhyāya lowering does not come.</w:t>
      </w:r>
    </w:p>
    <w:p>
      <w:pPr>
        <w:pStyle w:val="BodyText"/>
      </w:pPr>
      <w:r>
        <w:rPr>
          <w:bCs/>
          <w:b/>
        </w:rPr>
        <w:t xml:space="preserve">पिबतम् (</w:t>
      </w:r>
      <w:r>
        <w:rPr>
          <w:iCs/>
          <w:i/>
          <w:bCs/>
          <w:b/>
        </w:rPr>
        <w:t xml:space="preserve">pibatam</w:t>
      </w:r>
      <w:r>
        <w:rPr>
          <w:bCs/>
          <w:b/>
        </w:rPr>
        <w:t xml:space="preserve">)</w:t>
      </w:r>
      <w:r>
        <w:t xml:space="preserve">:</w:t>
      </w:r>
      <w:r>
        <w:t xml:space="preserve"> </w:t>
      </w:r>
      <w:r>
        <w:rPr>
          <w:iCs/>
          <w:i/>
        </w:rPr>
        <w:t xml:space="preserve">pā pāne</w:t>
      </w:r>
      <w:r>
        <w:t xml:space="preserve">;</w:t>
      </w:r>
      <w:r>
        <w:t xml:space="preserve"> </w:t>
      </w:r>
      <w:r>
        <w:rPr>
          <w:iCs/>
          <w:i/>
        </w:rPr>
        <w:t xml:space="preserve">loṭ</w:t>
      </w:r>
      <w:r>
        <w:t xml:space="preserve">, 2nd dual</w:t>
      </w:r>
      <w:r>
        <w:t xml:space="preserve"> </w:t>
      </w:r>
      <w:r>
        <w:rPr>
          <w:iCs/>
          <w:i/>
        </w:rPr>
        <w:t xml:space="preserve">thas</w:t>
      </w:r>
      <w:r>
        <w:t xml:space="preserve">; by</w:t>
      </w:r>
      <w:r>
        <w:t xml:space="preserve"> </w:t>
      </w:r>
      <w:r>
        <w:t xml:space="preserve">“</w:t>
      </w:r>
      <w:r>
        <w:t xml:space="preserve">loṭo laṅvat</w:t>
      </w:r>
      <w:r>
        <w:t xml:space="preserve">”</w:t>
      </w:r>
      <w:r>
        <w:t xml:space="preserve"> </w:t>
      </w:r>
      <w:r>
        <w:t xml:space="preserve">(Pā. sū. 3-4-85) the</w:t>
      </w:r>
      <w:r>
        <w:t xml:space="preserve"> </w:t>
      </w:r>
      <w:r>
        <w:rPr>
          <w:iCs/>
          <w:i/>
        </w:rPr>
        <w:t xml:space="preserve">laṅvadbhāva</w:t>
      </w:r>
      <w:r>
        <w:t xml:space="preserve">; so by</w:t>
      </w:r>
      <w:r>
        <w:t xml:space="preserve"> </w:t>
      </w:r>
      <w:r>
        <w:t xml:space="preserve">“</w:t>
      </w:r>
      <w:r>
        <w:t xml:space="preserve">tasthasthamipāṃ tāṃtaṃtāmaḥ</w:t>
      </w:r>
      <w:r>
        <w:t xml:space="preserve">”</w:t>
      </w:r>
      <w:r>
        <w:t xml:space="preserve"> </w:t>
      </w:r>
      <w:r>
        <w:t xml:space="preserve">(Pā. sū. 3-4-101)</w:t>
      </w:r>
      <w:r>
        <w:t xml:space="preserve"> </w:t>
      </w:r>
      <w:r>
        <w:rPr>
          <w:iCs/>
          <w:i/>
        </w:rPr>
        <w:t xml:space="preserve">tam</w:t>
      </w:r>
      <w:r>
        <w:t xml:space="preserve"> </w:t>
      </w:r>
      <w:r>
        <w:t xml:space="preserve">for</w:t>
      </w:r>
      <w:r>
        <w:t xml:space="preserve"> </w:t>
      </w:r>
      <w:r>
        <w:rPr>
          <w:iCs/>
          <w:i/>
        </w:rPr>
        <w:t xml:space="preserve">thas</w:t>
      </w:r>
      <w:r>
        <w:t xml:space="preserve">:</w:t>
      </w:r>
      <w:r>
        <w:t xml:space="preserve"> </w:t>
      </w:r>
      <w:r>
        <w:rPr>
          <w:iCs/>
          <w:i/>
        </w:rPr>
        <w:t xml:space="preserve">pā</w:t>
      </w:r>
      <w:r>
        <w:t xml:space="preserve"> </w:t>
      </w:r>
      <w:r>
        <w:t xml:space="preserve">+</w:t>
      </w:r>
      <w:r>
        <w:t xml:space="preserve"> </w:t>
      </w:r>
      <w:r>
        <w:rPr>
          <w:iCs/>
          <w:i/>
        </w:rPr>
        <w:t xml:space="preserve">tam</w:t>
      </w:r>
      <w:r>
        <w:t xml:space="preserve">; by</w:t>
      </w:r>
      <w:r>
        <w:t xml:space="preserve"> </w:t>
      </w:r>
      <w:r>
        <w:t xml:space="preserve">“</w:t>
      </w:r>
      <w:r>
        <w:t xml:space="preserve">kartari śap</w:t>
      </w:r>
      <w:r>
        <w:t xml:space="preserve">”</w:t>
      </w:r>
      <w:r>
        <w:t xml:space="preserve"> </w:t>
      </w:r>
      <w:r>
        <w:t xml:space="preserve">(Pā. sū. 3-1-68) the</w:t>
      </w:r>
      <w:r>
        <w:t xml:space="preserve"> </w:t>
      </w:r>
      <w:r>
        <w:rPr>
          <w:iCs/>
          <w:i/>
        </w:rPr>
        <w:t xml:space="preserve">vikaraṇa</w:t>
      </w:r>
      <w:r>
        <w:t xml:space="preserve"> </w:t>
      </w:r>
      <w:r>
        <w:rPr>
          <w:iCs/>
          <w:i/>
        </w:rPr>
        <w:t xml:space="preserve">śap</w:t>
      </w:r>
      <w:r>
        <w:t xml:space="preserve">; by</w:t>
      </w:r>
      <w:r>
        <w:t xml:space="preserve"> </w:t>
      </w:r>
      <w:r>
        <w:t xml:space="preserve">“</w:t>
      </w:r>
      <w:r>
        <w:t xml:space="preserve">pāghrādhmā…</w:t>
      </w:r>
      <w:r>
        <w:t xml:space="preserve">”</w:t>
      </w:r>
      <w:r>
        <w:t xml:space="preserve"> </w:t>
      </w:r>
      <w:r>
        <w:t xml:space="preserve">(Pā. sū. 7-3-78)</w:t>
      </w:r>
      <w:r>
        <w:t xml:space="preserve"> </w:t>
      </w:r>
      <w:r>
        <w:rPr>
          <w:iCs/>
          <w:i/>
        </w:rPr>
        <w:t xml:space="preserve">piba</w:t>
      </w:r>
      <w:r>
        <w:t xml:space="preserve"> </w:t>
      </w:r>
      <w:r>
        <w:t xml:space="preserve">for</w:t>
      </w:r>
      <w:r>
        <w:t xml:space="preserve"> </w:t>
      </w:r>
      <w:r>
        <w:rPr>
          <w:iCs/>
          <w:i/>
        </w:rPr>
        <w:t xml:space="preserve">pā</w:t>
      </w:r>
      <w:r>
        <w:t xml:space="preserve">:</w:t>
      </w:r>
      <w:r>
        <w:t xml:space="preserve"> </w:t>
      </w:r>
      <w:r>
        <w:rPr>
          <w:iCs/>
          <w:i/>
        </w:rPr>
        <w:t xml:space="preserve">piba</w:t>
      </w:r>
      <w:r>
        <w:t xml:space="preserve"> </w:t>
      </w:r>
      <w:r>
        <w:t xml:space="preserve">+</w:t>
      </w:r>
      <w:r>
        <w:t xml:space="preserve"> </w:t>
      </w:r>
      <w:r>
        <w:rPr>
          <w:iCs/>
          <w:i/>
        </w:rPr>
        <w:t xml:space="preserve">a</w:t>
      </w:r>
      <w:r>
        <w:t xml:space="preserve"> </w:t>
      </w:r>
      <w:r>
        <w:t xml:space="preserve">+</w:t>
      </w:r>
      <w:r>
        <w:t xml:space="preserve"> </w:t>
      </w:r>
      <w:r>
        <w:rPr>
          <w:iCs/>
          <w:i/>
        </w:rPr>
        <w:t xml:space="preserve">tam</w:t>
      </w:r>
      <w:r>
        <w:t xml:space="preserve">;</w:t>
      </w:r>
      <w:r>
        <w:t xml:space="preserve"> </w:t>
      </w:r>
      <w:r>
        <w:rPr>
          <w:iCs/>
          <w:i/>
        </w:rPr>
        <w:t xml:space="preserve">pararūpa</w:t>
      </w:r>
      <w:r>
        <w:t xml:space="preserve"> </w:t>
      </w:r>
      <w:r>
        <w:t xml:space="preserve">by</w:t>
      </w:r>
      <w:r>
        <w:t xml:space="preserve"> </w:t>
      </w:r>
      <w:r>
        <w:t xml:space="preserve">“</w:t>
      </w:r>
      <w:r>
        <w:t xml:space="preserve">ato guṇe</w:t>
      </w:r>
      <w:r>
        <w:t xml:space="preserve">”</w:t>
      </w:r>
      <w:r>
        <w:t xml:space="preserve"> </w:t>
      </w:r>
      <w:r>
        <w:t xml:space="preserve">(Pā. sū. 6-1-97):</w:t>
      </w:r>
      <w:r>
        <w:t xml:space="preserve"> </w:t>
      </w:r>
      <w:r>
        <w:rPr>
          <w:iCs/>
          <w:i/>
        </w:rPr>
        <w:t xml:space="preserve">pibatam</w:t>
      </w:r>
      <w:r>
        <w:t xml:space="preserve">. On the view that the replacement</w:t>
      </w:r>
      <w:r>
        <w:t xml:space="preserve"> </w:t>
      </w:r>
      <w:r>
        <w:rPr>
          <w:iCs/>
          <w:i/>
        </w:rPr>
        <w:t xml:space="preserve">piba</w:t>
      </w:r>
      <w:r>
        <w:t xml:space="preserve"> </w:t>
      </w:r>
      <w:r>
        <w:t xml:space="preserve">ends in</w:t>
      </w:r>
      <w:r>
        <w:t xml:space="preserve"> </w:t>
      </w:r>
      <w:r>
        <w:rPr>
          <w:iCs/>
          <w:i/>
        </w:rPr>
        <w:t xml:space="preserve">a</w:t>
      </w:r>
      <w:r>
        <w:t xml:space="preserve">,</w:t>
      </w:r>
      <w:r>
        <w:t xml:space="preserve"> </w:t>
      </w:r>
      <w:r>
        <w:rPr>
          <w:iCs/>
          <w:i/>
        </w:rPr>
        <w:t xml:space="preserve">piba</w:t>
      </w:r>
      <w:r>
        <w:t xml:space="preserve"> </w:t>
      </w:r>
      <w:r>
        <w:t xml:space="preserve">is made initial udātta by</w:t>
      </w:r>
      <w:r>
        <w:t xml:space="preserve"> </w:t>
      </w:r>
      <w:r>
        <w:rPr>
          <w:iCs/>
          <w:i/>
        </w:rPr>
        <w:t xml:space="preserve">nipātana</w:t>
      </w:r>
      <w:r>
        <w:t xml:space="preserve"> </w:t>
      </w:r>
      <w:r>
        <w:t xml:space="preserve">in the sūtra; the Vārttikakāra says this under</w:t>
      </w:r>
      <w:r>
        <w:t xml:space="preserve"> </w:t>
      </w:r>
      <w:r>
        <w:t xml:space="preserve">“</w:t>
      </w:r>
      <w:r>
        <w:t xml:space="preserve">dhātoḥ</w:t>
      </w:r>
      <w:r>
        <w:t xml:space="preserve">”</w:t>
      </w:r>
      <w:r>
        <w:t xml:space="preserve"> </w:t>
      </w:r>
      <w:r>
        <w:t xml:space="preserve">(Pā. sū. 6-1-162):</w:t>
      </w:r>
      <w:r>
        <w:t xml:space="preserve"> </w:t>
      </w:r>
      <w:r>
        <w:t xml:space="preserve">“</w:t>
      </w:r>
      <w:r>
        <w:t xml:space="preserve">pibater nipātanāt</w:t>
      </w:r>
      <w:r>
        <w:t xml:space="preserve">”</w:t>
      </w:r>
      <w:r>
        <w:t xml:space="preserve">. On this view the</w:t>
      </w:r>
      <w:r>
        <w:t xml:space="preserve"> </w:t>
      </w:r>
      <w:r>
        <w:rPr>
          <w:iCs/>
          <w:i/>
        </w:rPr>
        <w:t xml:space="preserve">laghūpadha-guṇa</w:t>
      </w:r>
      <w:r>
        <w:t xml:space="preserve"> </w:t>
      </w:r>
      <w:r>
        <w:t xml:space="preserve">of</w:t>
      </w:r>
      <w:r>
        <w:t xml:space="preserve"> </w:t>
      </w:r>
      <w:r>
        <w:t xml:space="preserve">“</w:t>
      </w:r>
      <w:r>
        <w:t xml:space="preserve">pugantalaghūpadhasya ca</w:t>
      </w:r>
      <w:r>
        <w:t xml:space="preserve">”</w:t>
      </w:r>
      <w:r>
        <w:t xml:space="preserve"> </w:t>
      </w:r>
      <w:r>
        <w:t xml:space="preserve">(Pā. sū. 7-3-86) has no scope. This is the settled view. On the view that the replacement enjoined in</w:t>
      </w:r>
      <w:r>
        <w:t xml:space="preserve"> </w:t>
      </w:r>
      <w:r>
        <w:rPr>
          <w:iCs/>
          <w:i/>
        </w:rPr>
        <w:t xml:space="preserve">pāghrādhmā…</w:t>
      </w:r>
      <w:r>
        <w:t xml:space="preserve"> </w:t>
      </w:r>
      <w:r>
        <w:t xml:space="preserve">is</w:t>
      </w:r>
      <w:r>
        <w:t xml:space="preserve"> </w:t>
      </w:r>
      <w:r>
        <w:rPr>
          <w:iCs/>
          <w:i/>
        </w:rPr>
        <w:t xml:space="preserve">pib</w:t>
      </w:r>
      <w:r>
        <w:t xml:space="preserve">, ending in</w:t>
      </w:r>
      <w:r>
        <w:t xml:space="preserve"> </w:t>
      </w:r>
      <w:r>
        <w:rPr>
          <w:iCs/>
          <w:i/>
        </w:rPr>
        <w:t xml:space="preserve">b</w:t>
      </w:r>
      <w:r>
        <w:t xml:space="preserve">, the final-udātta accent follows easily by</w:t>
      </w:r>
      <w:r>
        <w:t xml:space="preserve"> </w:t>
      </w:r>
      <w:r>
        <w:t xml:space="preserve">“</w:t>
      </w:r>
      <w:r>
        <w:t xml:space="preserve">dhātoḥ</w:t>
      </w:r>
      <w:r>
        <w:t xml:space="preserve">”</w:t>
      </w:r>
      <w:r>
        <w:t xml:space="preserve"> </w:t>
      </w:r>
      <w:r>
        <w:t xml:space="preserve">(Pā. sū. 6-1-162). By</w:t>
      </w:r>
      <w:r>
        <w:t xml:space="preserve"> </w:t>
      </w:r>
      <w:r>
        <w:t xml:space="preserve">“</w:t>
      </w:r>
      <w:r>
        <w:t xml:space="preserve">aṅgavṛtte punar vṛttāv avidhiḥ</w:t>
      </w:r>
      <w:r>
        <w:t xml:space="preserve">”</w:t>
      </w:r>
      <w:r>
        <w:t xml:space="preserve"> </w:t>
      </w:r>
      <w:r>
        <w:t xml:space="preserve">(paribhāṣā 93) the</w:t>
      </w:r>
      <w:r>
        <w:t xml:space="preserve"> </w:t>
      </w:r>
      <w:r>
        <w:rPr>
          <w:iCs/>
          <w:i/>
        </w:rPr>
        <w:t xml:space="preserve">guṇa</w:t>
      </w:r>
      <w:r>
        <w:t xml:space="preserve"> </w:t>
      </w:r>
      <w:r>
        <w:t xml:space="preserve">must be barred so that it does not come after the</w:t>
      </w:r>
      <w:r>
        <w:t xml:space="preserve"> </w:t>
      </w:r>
      <w:r>
        <w:rPr>
          <w:iCs/>
          <w:i/>
        </w:rPr>
        <w:t xml:space="preserve">pib</w:t>
      </w:r>
      <w:r>
        <w:t xml:space="preserve"> </w:t>
      </w:r>
      <w:r>
        <w:t xml:space="preserve">replacement. This view is the one taken in the Vedabhāṣya as</w:t>
      </w:r>
      <w:r>
        <w:t xml:space="preserve"> </w:t>
      </w:r>
      <w:r>
        <w:rPr>
          <w:iCs/>
          <w:i/>
        </w:rPr>
        <w:t xml:space="preserve">dhātusvara eva śiṣyate</w:t>
      </w:r>
      <w:r>
        <w:t xml:space="preserve">.</w:t>
      </w:r>
      <w:r>
        <w:t xml:space="preserve"> </w:t>
      </w:r>
      <w:r>
        <w:rPr>
          <w:iCs/>
          <w:i/>
        </w:rPr>
        <w:t xml:space="preserve">Śap</w:t>
      </w:r>
      <w:r>
        <w:t xml:space="preserve"> </w:t>
      </w:r>
      <w:r>
        <w:t xml:space="preserve">is</w:t>
      </w:r>
      <w:r>
        <w:t xml:space="preserve"> </w:t>
      </w:r>
      <w:r>
        <w:rPr>
          <w:iCs/>
          <w:i/>
        </w:rPr>
        <w:t xml:space="preserve">pit</w:t>
      </w:r>
      <w:r>
        <w:t xml:space="preserve">, so unaccented; the</w:t>
      </w:r>
      <w:r>
        <w:t xml:space="preserve"> </w:t>
      </w:r>
      <w:r>
        <w:rPr>
          <w:iCs/>
          <w:i/>
        </w:rPr>
        <w:t xml:space="preserve">sārvadhātuka</w:t>
      </w:r>
      <w:r>
        <w:t xml:space="preserve"> </w:t>
      </w:r>
      <w:r>
        <w:rPr>
          <w:iCs/>
          <w:i/>
        </w:rPr>
        <w:t xml:space="preserve">tam</w:t>
      </w:r>
      <w:r>
        <w:t xml:space="preserve"> </w:t>
      </w:r>
      <w:r>
        <w:t xml:space="preserve">in the place of the</w:t>
      </w:r>
      <w:r>
        <w:t xml:space="preserve"> </w:t>
      </w:r>
      <w:r>
        <w:rPr>
          <w:iCs/>
          <w:i/>
        </w:rPr>
        <w:t xml:space="preserve">lakāra</w:t>
      </w:r>
      <w:r>
        <w:t xml:space="preserve"> </w:t>
      </w:r>
      <w:r>
        <w:t xml:space="preserve">is unaccented by</w:t>
      </w:r>
      <w:r>
        <w:t xml:space="preserve"> </w:t>
      </w:r>
      <w:r>
        <w:t xml:space="preserve">“</w:t>
      </w:r>
      <w:r>
        <w:t xml:space="preserve">tāsyanudāttet…</w:t>
      </w:r>
      <w:r>
        <w:t xml:space="preserve">”</w:t>
      </w:r>
      <w:r>
        <w:t xml:space="preserve"> </w:t>
      </w:r>
      <w:r>
        <w:t xml:space="preserve">(Pā. sū. 6-1-186); so the</w:t>
      </w:r>
      <w:r>
        <w:t xml:space="preserve"> </w:t>
      </w:r>
      <w:r>
        <w:rPr>
          <w:iCs/>
          <w:i/>
        </w:rPr>
        <w:t xml:space="preserve">i</w:t>
      </w:r>
      <w:r>
        <w:t xml:space="preserve"> </w:t>
      </w:r>
      <w:r>
        <w:t xml:space="preserve">of</w:t>
      </w:r>
      <w:r>
        <w:t xml:space="preserve"> </w:t>
      </w:r>
      <w:r>
        <w:rPr>
          <w:iCs/>
          <w:i/>
        </w:rPr>
        <w:t xml:space="preserve">pib</w:t>
      </w:r>
      <w:r>
        <w:t xml:space="preserve"> </w:t>
      </w:r>
      <w:r>
        <w:t xml:space="preserve">is udātta by the root accent.</w:t>
      </w:r>
    </w:p>
    <w:bookmarkEnd w:id="725"/>
    <w:bookmarkStart w:id="726" w:name="page-669-rik-11-grammar-continued"/>
    <w:p>
      <w:pPr>
        <w:pStyle w:val="Heading3"/>
      </w:pPr>
      <w:r>
        <w:t xml:space="preserve">Page 669 — Rik 11: grammar (continued)</w:t>
      </w:r>
    </w:p>
    <w:p>
      <w:pPr>
        <w:pStyle w:val="FirstParagraph"/>
      </w:pPr>
      <w:r>
        <w:rPr>
          <w:bCs/>
          <w:b/>
        </w:rPr>
        <w:t xml:space="preserve">मधु (</w:t>
      </w:r>
      <w:r>
        <w:rPr>
          <w:iCs/>
          <w:i/>
          <w:bCs/>
          <w:b/>
        </w:rPr>
        <w:t xml:space="preserve">madhu</w:t>
      </w:r>
      <w:r>
        <w:rPr>
          <w:bCs/>
          <w:b/>
        </w:rPr>
        <w:t xml:space="preserve">)</w:t>
      </w:r>
      <w:r>
        <w:t xml:space="preserve">: the formation of this is set out in Ṛ. Saṃ. 1-13-2 [as printed</w:t>
      </w:r>
      <w:r>
        <w:t xml:space="preserve"> </w:t>
      </w:r>
      <w:r>
        <w:t xml:space="preserve">“</w:t>
      </w:r>
      <w:r>
        <w:t xml:space="preserve">1-1-3-2</w:t>
      </w:r>
      <w:r>
        <w:t xml:space="preserve">”</w:t>
      </w:r>
      <w:r>
        <w:t xml:space="preserve">]; here it is given briefly. After the root</w:t>
      </w:r>
      <w:r>
        <w:t xml:space="preserve"> </w:t>
      </w:r>
      <w:r>
        <w:rPr>
          <w:iCs/>
          <w:i/>
        </w:rPr>
        <w:t xml:space="preserve">mana jñāne</w:t>
      </w:r>
      <w:r>
        <w:t xml:space="preserve">, the suffix</w:t>
      </w:r>
      <w:r>
        <w:t xml:space="preserve"> </w:t>
      </w:r>
      <w:r>
        <w:rPr>
          <w:iCs/>
          <w:i/>
        </w:rPr>
        <w:t xml:space="preserve">u</w:t>
      </w:r>
      <w:r>
        <w:t xml:space="preserve"> </w:t>
      </w:r>
      <w:r>
        <w:t xml:space="preserve">by</w:t>
      </w:r>
      <w:r>
        <w:t xml:space="preserve"> </w:t>
      </w:r>
      <w:r>
        <w:t xml:space="preserve">“</w:t>
      </w:r>
      <w:r>
        <w:t xml:space="preserve">phalipāṭi…</w:t>
      </w:r>
      <w:r>
        <w:t xml:space="preserve">”</w:t>
      </w:r>
      <w:r>
        <w:t xml:space="preserve"> </w:t>
      </w:r>
      <w:r>
        <w:t xml:space="preserve">(Uṇ. sū. 1-18);</w:t>
      </w:r>
      <w:r>
        <w:t xml:space="preserve"> </w:t>
      </w:r>
      <w:r>
        <w:rPr>
          <w:iCs/>
          <w:i/>
        </w:rPr>
        <w:t xml:space="preserve">nit</w:t>
      </w:r>
      <w:r>
        <w:t xml:space="preserve"> </w:t>
      </w:r>
      <w:r>
        <w:t xml:space="preserve">is carried on here, so the suffix</w:t>
      </w:r>
      <w:r>
        <w:t xml:space="preserve"> </w:t>
      </w:r>
      <w:r>
        <w:rPr>
          <w:iCs/>
          <w:i/>
        </w:rPr>
        <w:t xml:space="preserve">u</w:t>
      </w:r>
      <w:r>
        <w:t xml:space="preserve"> </w:t>
      </w:r>
      <w:r>
        <w:t xml:space="preserve">is</w:t>
      </w:r>
      <w:r>
        <w:t xml:space="preserve"> </w:t>
      </w:r>
      <w:r>
        <w:rPr>
          <w:iCs/>
          <w:i/>
        </w:rPr>
        <w:t xml:space="preserve">nit</w:t>
      </w:r>
      <w:r>
        <w:t xml:space="preserve">; so</w:t>
      </w:r>
      <w:r>
        <w:t xml:space="preserve"> </w:t>
      </w:r>
      <w:r>
        <w:rPr>
          <w:iCs/>
          <w:i/>
        </w:rPr>
        <w:t xml:space="preserve">madhu</w:t>
      </w:r>
      <w:r>
        <w:t xml:space="preserve"> </w:t>
      </w:r>
      <w:r>
        <w:t xml:space="preserve">is initial udātta by the</w:t>
      </w:r>
      <w:r>
        <w:t xml:space="preserve"> </w:t>
      </w:r>
      <w:r>
        <w:rPr>
          <w:iCs/>
          <w:i/>
        </w:rPr>
        <w:t xml:space="preserve">nit</w:t>
      </w:r>
      <w:r>
        <w:t xml:space="preserve"> </w:t>
      </w:r>
      <w:r>
        <w:t xml:space="preserve">accent.</w:t>
      </w:r>
    </w:p>
    <w:p>
      <w:pPr>
        <w:pStyle w:val="BodyText"/>
      </w:pPr>
      <w:r>
        <w:rPr>
          <w:bCs/>
          <w:b/>
        </w:rPr>
        <w:t xml:space="preserve">दीद्यग्नी (</w:t>
      </w:r>
      <w:r>
        <w:rPr>
          <w:iCs/>
          <w:i/>
          <w:bCs/>
          <w:b/>
        </w:rPr>
        <w:t xml:space="preserve">dīdyagnī</w:t>
      </w:r>
      <w:r>
        <w:rPr>
          <w:bCs/>
          <w:b/>
        </w:rPr>
        <w:t xml:space="preserve">)</w:t>
      </w:r>
      <w:r>
        <w:t xml:space="preserve">: the root</w:t>
      </w:r>
      <w:r>
        <w:t xml:space="preserve"> </w:t>
      </w:r>
      <w:r>
        <w:rPr>
          <w:iCs/>
          <w:i/>
        </w:rPr>
        <w:t xml:space="preserve">divu krīḍādau</w:t>
      </w:r>
      <w:r>
        <w:t xml:space="preserve">; after it, by</w:t>
      </w:r>
      <w:r>
        <w:t xml:space="preserve"> </w:t>
      </w:r>
      <w:r>
        <w:t xml:space="preserve">“</w:t>
      </w:r>
      <w:r>
        <w:t xml:space="preserve">anyebhyo ’pi dṛśyante</w:t>
      </w:r>
      <w:r>
        <w:t xml:space="preserve">”</w:t>
      </w:r>
      <w:r>
        <w:t xml:space="preserve"> </w:t>
      </w:r>
      <w:r>
        <w:t xml:space="preserve">(Pā. sū. 3-2-75) the suffixes</w:t>
      </w:r>
      <w:r>
        <w:t xml:space="preserve"> </w:t>
      </w:r>
      <w:r>
        <w:rPr>
          <w:iCs/>
          <w:i/>
        </w:rPr>
        <w:t xml:space="preserve">manin</w:t>
      </w:r>
      <w:r>
        <w:t xml:space="preserve">,</w:t>
      </w:r>
      <w:r>
        <w:t xml:space="preserve"> </w:t>
      </w:r>
      <w:r>
        <w:rPr>
          <w:iCs/>
          <w:i/>
        </w:rPr>
        <w:t xml:space="preserve">kvanip</w:t>
      </w:r>
      <w:r>
        <w:t xml:space="preserve">,</w:t>
      </w:r>
      <w:r>
        <w:t xml:space="preserve"> </w:t>
      </w:r>
      <w:r>
        <w:rPr>
          <w:iCs/>
          <w:i/>
        </w:rPr>
        <w:t xml:space="preserve">vanip</w:t>
      </w:r>
      <w:r>
        <w:t xml:space="preserve"> </w:t>
      </w:r>
      <w:r>
        <w:t xml:space="preserve">and</w:t>
      </w:r>
      <w:r>
        <w:t xml:space="preserve"> </w:t>
      </w:r>
      <w:r>
        <w:rPr>
          <w:iCs/>
          <w:i/>
        </w:rPr>
        <w:t xml:space="preserve">vic</w:t>
      </w:r>
      <w:r>
        <w:t xml:space="preserve"> </w:t>
      </w:r>
      <w:r>
        <w:t xml:space="preserve">come after roots; so</w:t>
      </w:r>
      <w:r>
        <w:t xml:space="preserve"> </w:t>
      </w:r>
      <w:r>
        <w:rPr>
          <w:iCs/>
          <w:i/>
        </w:rPr>
        <w:t xml:space="preserve">vic</w:t>
      </w:r>
      <w:r>
        <w:t xml:space="preserve"> </w:t>
      </w:r>
      <w:r>
        <w:t xml:space="preserve">after</w:t>
      </w:r>
      <w:r>
        <w:t xml:space="preserve"> </w:t>
      </w:r>
      <w:r>
        <w:rPr>
          <w:iCs/>
          <w:i/>
        </w:rPr>
        <w:t xml:space="preserve">div</w:t>
      </w:r>
      <w:r>
        <w:t xml:space="preserve">:</w:t>
      </w:r>
      <w:r>
        <w:t xml:space="preserve"> </w:t>
      </w:r>
      <w:r>
        <w:rPr>
          <w:iCs/>
          <w:i/>
        </w:rPr>
        <w:t xml:space="preserve">div</w:t>
      </w:r>
      <w:r>
        <w:t xml:space="preserve"> </w:t>
      </w:r>
      <w:r>
        <w:t xml:space="preserve">+</w:t>
      </w:r>
      <w:r>
        <w:t xml:space="preserve"> </w:t>
      </w:r>
      <w:r>
        <w:rPr>
          <w:iCs/>
          <w:i/>
        </w:rPr>
        <w:t xml:space="preserve">v</w:t>
      </w:r>
      <w:r>
        <w:t xml:space="preserve">. By</w:t>
      </w:r>
      <w:r>
        <w:t xml:space="preserve"> </w:t>
      </w:r>
      <w:r>
        <w:t xml:space="preserve">“</w:t>
      </w:r>
      <w:r>
        <w:t xml:space="preserve">ver apṛktalopād vali lopo balīyān</w:t>
      </w:r>
      <w:r>
        <w:t xml:space="preserve">”</w:t>
      </w:r>
      <w:r>
        <w:t xml:space="preserve">, the loss before</w:t>
      </w:r>
      <w:r>
        <w:t xml:space="preserve"> </w:t>
      </w:r>
      <w:r>
        <w:rPr>
          <w:iCs/>
          <w:i/>
        </w:rPr>
        <w:t xml:space="preserve">val</w:t>
      </w:r>
      <w:r>
        <w:t xml:space="preserve"> </w:t>
      </w:r>
      <w:r>
        <w:t xml:space="preserve">enjoined by</w:t>
      </w:r>
      <w:r>
        <w:t xml:space="preserve"> </w:t>
      </w:r>
      <w:r>
        <w:t xml:space="preserve">“</w:t>
      </w:r>
      <w:r>
        <w:t xml:space="preserve">lopo vyor vali</w:t>
      </w:r>
      <w:r>
        <w:t xml:space="preserve">”</w:t>
      </w:r>
      <w:r>
        <w:t xml:space="preserve"> </w:t>
      </w:r>
      <w:r>
        <w:t xml:space="preserve">(Pā. sū. 6-1-66) is stronger than the loss of the</w:t>
      </w:r>
      <w:r>
        <w:t xml:space="preserve"> </w:t>
      </w:r>
      <w:r>
        <w:rPr>
          <w:iCs/>
          <w:i/>
        </w:rPr>
        <w:t xml:space="preserve">v</w:t>
      </w:r>
      <w:r>
        <w:t xml:space="preserve"> </w:t>
      </w:r>
      <w:r>
        <w:t xml:space="preserve">enjoined by</w:t>
      </w:r>
      <w:r>
        <w:t xml:space="preserve"> </w:t>
      </w:r>
      <w:r>
        <w:t xml:space="preserve">“</w:t>
      </w:r>
      <w:r>
        <w:t xml:space="preserve">ver apṛktasya</w:t>
      </w:r>
      <w:r>
        <w:t xml:space="preserve">”</w:t>
      </w:r>
      <w:r>
        <w:t xml:space="preserve"> </w:t>
      </w:r>
      <w:r>
        <w:t xml:space="preserve">(Pā. sū.</w:t>
      </w:r>
      <w:r>
        <w:t xml:space="preserve"> </w:t>
      </w:r>
      <w:r>
        <w:t xml:space="preserve">“</w:t>
      </w:r>
      <w:r>
        <w:t xml:space="preserve">6-1-62</w:t>
      </w:r>
      <w:r>
        <w:t xml:space="preserve">”</w:t>
      </w:r>
      <w:r>
        <w:t xml:space="preserve"> </w:t>
      </w:r>
      <w:r>
        <w:t xml:space="preserve">[as printed, for 6-1-67]); so, though the</w:t>
      </w:r>
      <w:r>
        <w:t xml:space="preserve"> </w:t>
      </w:r>
      <w:r>
        <w:rPr>
          <w:iCs/>
          <w:i/>
        </w:rPr>
        <w:t xml:space="preserve">apṛkta</w:t>
      </w:r>
      <w:r>
        <w:t xml:space="preserve"> </w:t>
      </w:r>
      <w:r>
        <w:t xml:space="preserve">loss is</w:t>
      </w:r>
      <w:r>
        <w:t xml:space="preserve"> </w:t>
      </w:r>
      <w:r>
        <w:rPr>
          <w:iCs/>
          <w:i/>
        </w:rPr>
        <w:t xml:space="preserve">antaraṅga</w:t>
      </w:r>
      <w:r>
        <w:t xml:space="preserve">, the first</w:t>
      </w:r>
      <w:r>
        <w:t xml:space="preserve"> </w:t>
      </w:r>
      <w:r>
        <w:rPr>
          <w:iCs/>
          <w:i/>
        </w:rPr>
        <w:t xml:space="preserve">v</w:t>
      </w:r>
      <w:r>
        <w:t xml:space="preserve"> </w:t>
      </w:r>
      <w:r>
        <w:t xml:space="preserve">drops first by</w:t>
      </w:r>
      <w:r>
        <w:t xml:space="preserve"> </w:t>
      </w:r>
      <w:r>
        <w:t xml:space="preserve">“</w:t>
      </w:r>
      <w:r>
        <w:t xml:space="preserve">lopo vyor vali</w:t>
      </w:r>
      <w:r>
        <w:t xml:space="preserve">”</w:t>
      </w:r>
      <w:r>
        <w:t xml:space="preserve"> </w:t>
      </w:r>
      <w:r>
        <w:t xml:space="preserve">(Pā. sū. 6-1-66). On the view that the suffix drops first by</w:t>
      </w:r>
      <w:r>
        <w:t xml:space="preserve"> </w:t>
      </w:r>
      <w:r>
        <w:t xml:space="preserve">“</w:t>
      </w:r>
      <w:r>
        <w:t xml:space="preserve">ver apṛktasya</w:t>
      </w:r>
      <w:r>
        <w:t xml:space="preserve">”</w:t>
      </w:r>
      <w:r>
        <w:t xml:space="preserve">, by</w:t>
      </w:r>
      <w:r>
        <w:t xml:space="preserve"> </w:t>
      </w:r>
      <w:r>
        <w:t xml:space="preserve">“</w:t>
      </w:r>
      <w:r>
        <w:t xml:space="preserve">varṇāśraye nāsti pratyayalakṣaṇam</w:t>
      </w:r>
      <w:r>
        <w:t xml:space="preserve">”</w:t>
      </w:r>
      <w:r>
        <w:t xml:space="preserve"> </w:t>
      </w:r>
      <w:r>
        <w:t xml:space="preserve">(paribhāṣā</w:t>
      </w:r>
      <w:r>
        <w:t xml:space="preserve"> </w:t>
      </w:r>
      <w:r>
        <w:t xml:space="preserve">“</w:t>
      </w:r>
      <w:r>
        <w:t xml:space="preserve">93-1</w:t>
      </w:r>
      <w:r>
        <w:t xml:space="preserve">”</w:t>
      </w:r>
      <w:r>
        <w:t xml:space="preserve"> </w:t>
      </w:r>
      <w:r>
        <w:t xml:space="preserve">[?]), when an operation based on a letter is made,</w:t>
      </w:r>
      <w:r>
        <w:t xml:space="preserve"> </w:t>
      </w:r>
      <w:r>
        <w:rPr>
          <w:iCs/>
          <w:i/>
        </w:rPr>
        <w:t xml:space="preserve">pratyayalakṣaṇa</w:t>
      </w:r>
      <w:r>
        <w:t xml:space="preserve"> </w:t>
      </w:r>
      <w:r>
        <w:t xml:space="preserve">does not apply; so the following</w:t>
      </w:r>
      <w:r>
        <w:t xml:space="preserve"> </w:t>
      </w:r>
      <w:r>
        <w:rPr>
          <w:iCs/>
          <w:i/>
        </w:rPr>
        <w:t xml:space="preserve">val</w:t>
      </w:r>
      <w:r>
        <w:t xml:space="preserve"> </w:t>
      </w:r>
      <w:r>
        <w:t xml:space="preserve">could not be had, and the loss of the first</w:t>
      </w:r>
      <w:r>
        <w:t xml:space="preserve"> </w:t>
      </w:r>
      <w:r>
        <w:rPr>
          <w:iCs/>
          <w:i/>
        </w:rPr>
        <w:t xml:space="preserve">v</w:t>
      </w:r>
      <w:r>
        <w:t xml:space="preserve"> </w:t>
      </w:r>
      <w:r>
        <w:t xml:space="preserve">would not come. So first the first</w:t>
      </w:r>
      <w:r>
        <w:t xml:space="preserve"> </w:t>
      </w:r>
      <w:r>
        <w:rPr>
          <w:iCs/>
          <w:i/>
        </w:rPr>
        <w:t xml:space="preserve">v</w:t>
      </w:r>
      <w:r>
        <w:t xml:space="preserve"> </w:t>
      </w:r>
      <w:r>
        <w:t xml:space="preserve">drops as said, then the second</w:t>
      </w:r>
      <w:r>
        <w:t xml:space="preserve"> </w:t>
      </w:r>
      <w:r>
        <w:rPr>
          <w:iCs/>
          <w:i/>
        </w:rPr>
        <w:t xml:space="preserve">v</w:t>
      </w:r>
      <w:r>
        <w:t xml:space="preserve"> </w:t>
      </w:r>
      <w:r>
        <w:t xml:space="preserve">drops by</w:t>
      </w:r>
      <w:r>
        <w:t xml:space="preserve"> </w:t>
      </w:r>
      <w:r>
        <w:t xml:space="preserve">“</w:t>
      </w:r>
      <w:r>
        <w:t xml:space="preserve">ver apṛktasya</w:t>
      </w:r>
      <w:r>
        <w:t xml:space="preserve">”</w:t>
      </w:r>
      <w:r>
        <w:t xml:space="preserve">. As a Vedic form</w:t>
      </w:r>
      <w:r>
        <w:t xml:space="preserve"> </w:t>
      </w:r>
      <w:r>
        <w:rPr>
          <w:iCs/>
          <w:i/>
        </w:rPr>
        <w:t xml:space="preserve">di</w:t>
      </w:r>
      <w:r>
        <w:t xml:space="preserve"> </w:t>
      </w:r>
      <w:r>
        <w:t xml:space="preserve">is reduplicated:</w:t>
      </w:r>
      <w:r>
        <w:t xml:space="preserve"> </w:t>
      </w:r>
      <w:r>
        <w:rPr>
          <w:iCs/>
          <w:i/>
        </w:rPr>
        <w:t xml:space="preserve">didi</w:t>
      </w:r>
      <w:r>
        <w:t xml:space="preserve">. Now by</w:t>
      </w:r>
      <w:r>
        <w:t xml:space="preserve"> </w:t>
      </w:r>
      <w:r>
        <w:t xml:space="preserve">“</w:t>
      </w:r>
      <w:r>
        <w:t xml:space="preserve">tujādīnāṃ dīrgho ’bhyāsasya</w:t>
      </w:r>
      <w:r>
        <w:t xml:space="preserve">”</w:t>
      </w:r>
      <w:r>
        <w:t xml:space="preserve"> </w:t>
      </w:r>
      <w:r>
        <w:t xml:space="preserve">(Pā. sū. 6-1-7) the first</w:t>
      </w:r>
      <w:r>
        <w:t xml:space="preserve"> </w:t>
      </w:r>
      <w:r>
        <w:rPr>
          <w:iCs/>
          <w:i/>
        </w:rPr>
        <w:t xml:space="preserve">di</w:t>
      </w:r>
      <w:r>
        <w:t xml:space="preserve"> </w:t>
      </w:r>
      <w:r>
        <w:t xml:space="preserve">is lengthened:</w:t>
      </w:r>
      <w:r>
        <w:t xml:space="preserve"> </w:t>
      </w:r>
      <w:r>
        <w:rPr>
          <w:iCs/>
          <w:i/>
        </w:rPr>
        <w:t xml:space="preserve">dīdi</w:t>
      </w:r>
      <w:r>
        <w:t xml:space="preserve">. Or, after the root</w:t>
      </w:r>
      <w:r>
        <w:t xml:space="preserve"> </w:t>
      </w:r>
      <w:r>
        <w:rPr>
          <w:iCs/>
          <w:i/>
        </w:rPr>
        <w:t xml:space="preserve">div</w:t>
      </w:r>
      <w:r>
        <w:t xml:space="preserve">, by</w:t>
      </w:r>
      <w:r>
        <w:t xml:space="preserve"> </w:t>
      </w:r>
      <w:r>
        <w:t xml:space="preserve">“</w:t>
      </w:r>
      <w:r>
        <w:t xml:space="preserve">dhātor ekāco halādeḥ kriyāsamabhihāre yaṅ</w:t>
      </w:r>
      <w:r>
        <w:t xml:space="preserve">”</w:t>
      </w:r>
      <w:r>
        <w:t xml:space="preserve"> </w:t>
      </w:r>
      <w:r>
        <w:t xml:space="preserve">(Pā. sū. 3-1-22)</w:t>
      </w:r>
      <w:r>
        <w:t xml:space="preserve"> </w:t>
      </w:r>
      <w:r>
        <w:rPr>
          <w:iCs/>
          <w:i/>
        </w:rPr>
        <w:t xml:space="preserve">yaṅ</w:t>
      </w:r>
      <w:r>
        <w:t xml:space="preserve">; by</w:t>
      </w:r>
      <w:r>
        <w:t xml:space="preserve"> </w:t>
      </w:r>
      <w:r>
        <w:t xml:space="preserve">“</w:t>
      </w:r>
      <w:r>
        <w:t xml:space="preserve">yaṅo ’ci ca</w:t>
      </w:r>
      <w:r>
        <w:t xml:space="preserve">”</w:t>
      </w:r>
      <w:r>
        <w:t xml:space="preserve"> </w:t>
      </w:r>
      <w:r>
        <w:t xml:space="preserve">(Pā. sū. 2-4-74)</w:t>
      </w:r>
      <w:r>
        <w:t xml:space="preserve"> </w:t>
      </w:r>
      <w:r>
        <w:rPr>
          <w:iCs/>
          <w:i/>
        </w:rPr>
        <w:t xml:space="preserve">yaṅ</w:t>
      </w:r>
      <w:r>
        <w:t xml:space="preserve"> </w:t>
      </w:r>
      <w:r>
        <w:t xml:space="preserve">takes</w:t>
      </w:r>
      <w:r>
        <w:t xml:space="preserve"> </w:t>
      </w:r>
      <w:r>
        <w:rPr>
          <w:iCs/>
          <w:i/>
        </w:rPr>
        <w:t xml:space="preserve">luk</w:t>
      </w:r>
      <w:r>
        <w:t xml:space="preserve">; by</w:t>
      </w:r>
      <w:r>
        <w:t xml:space="preserve"> </w:t>
      </w:r>
      <w:r>
        <w:t xml:space="preserve">“</w:t>
      </w:r>
      <w:r>
        <w:t xml:space="preserve">sanyaṅoḥ</w:t>
      </w:r>
      <w:r>
        <w:t xml:space="preserve">”</w:t>
      </w:r>
      <w:r>
        <w:t xml:space="preserve"> </w:t>
      </w:r>
      <w:r>
        <w:t xml:space="preserve">(Pā. sū. 6-1-9) reduplication:</w:t>
      </w:r>
      <w:r>
        <w:t xml:space="preserve"> </w:t>
      </w:r>
      <w:r>
        <w:rPr>
          <w:iCs/>
          <w:i/>
        </w:rPr>
        <w:t xml:space="preserve">div div</w:t>
      </w:r>
      <w:r>
        <w:t xml:space="preserve">; by</w:t>
      </w:r>
      <w:r>
        <w:t xml:space="preserve"> </w:t>
      </w:r>
      <w:r>
        <w:t xml:space="preserve">“</w:t>
      </w:r>
      <w:r>
        <w:t xml:space="preserve">halādiḥ śeṣaḥ</w:t>
      </w:r>
      <w:r>
        <w:t xml:space="preserve">”</w:t>
      </w:r>
      <w:r>
        <w:t xml:space="preserve"> </w:t>
      </w:r>
      <w:r>
        <w:t xml:space="preserve">(Pā. sū. 7-4-60) the</w:t>
      </w:r>
      <w:r>
        <w:t xml:space="preserve"> </w:t>
      </w:r>
      <w:r>
        <w:rPr>
          <w:iCs/>
          <w:i/>
        </w:rPr>
        <w:t xml:space="preserve">v</w:t>
      </w:r>
      <w:r>
        <w:t xml:space="preserve"> </w:t>
      </w:r>
      <w:r>
        <w:t xml:space="preserve">of the reduplicate goes:</w:t>
      </w:r>
      <w:r>
        <w:t xml:space="preserve"> </w:t>
      </w:r>
      <w:r>
        <w:rPr>
          <w:iCs/>
          <w:i/>
        </w:rPr>
        <w:t xml:space="preserve">didiv</w:t>
      </w:r>
      <w:r>
        <w:t xml:space="preserve">.</w:t>
      </w:r>
      <w:r>
        <w:t xml:space="preserve"> </w:t>
      </w:r>
      <w:r>
        <w:t xml:space="preserve">“</w:t>
      </w:r>
      <w:r>
        <w:t xml:space="preserve">guṇo yaṅlukoḥ</w:t>
      </w:r>
      <w:r>
        <w:t xml:space="preserve">”</w:t>
      </w:r>
      <w:r>
        <w:t xml:space="preserve"> </w:t>
      </w:r>
      <w:r>
        <w:t xml:space="preserve">(Pā. sū. 7-4-82): in</w:t>
      </w:r>
      <w:r>
        <w:t xml:space="preserve"> </w:t>
      </w:r>
      <w:r>
        <w:rPr>
          <w:iCs/>
          <w:i/>
        </w:rPr>
        <w:t xml:space="preserve">yaṅ</w:t>
      </w:r>
      <w:r>
        <w:t xml:space="preserve"> </w:t>
      </w:r>
      <w:r>
        <w:t xml:space="preserve">and in</w:t>
      </w:r>
      <w:r>
        <w:t xml:space="preserve"> </w:t>
      </w:r>
      <w:r>
        <w:rPr>
          <w:iCs/>
          <w:i/>
        </w:rPr>
        <w:t xml:space="preserve">yaṅluk</w:t>
      </w:r>
      <w:r>
        <w:t xml:space="preserve"> </w:t>
      </w:r>
      <w:r>
        <w:t xml:space="preserve">an</w:t>
      </w:r>
      <w:r>
        <w:t xml:space="preserve"> </w:t>
      </w:r>
      <w:r>
        <w:rPr>
          <w:iCs/>
          <w:i/>
        </w:rPr>
        <w:t xml:space="preserve">ik</w:t>
      </w:r>
      <w:r>
        <w:t xml:space="preserve">-final reduplicate takes</w:t>
      </w:r>
      <w:r>
        <w:t xml:space="preserve"> </w:t>
      </w:r>
      <w:r>
        <w:rPr>
          <w:iCs/>
          <w:i/>
        </w:rPr>
        <w:t xml:space="preserve">guṇa</w:t>
      </w:r>
      <w:r>
        <w:t xml:space="preserve">; so the first</w:t>
      </w:r>
      <w:r>
        <w:t xml:space="preserve"> </w:t>
      </w:r>
      <w:r>
        <w:rPr>
          <w:iCs/>
          <w:i/>
        </w:rPr>
        <w:t xml:space="preserve">di</w:t>
      </w:r>
      <w:r>
        <w:t xml:space="preserve"> </w:t>
      </w:r>
      <w:r>
        <w:t xml:space="preserve">would get</w:t>
      </w:r>
      <w:r>
        <w:t xml:space="preserve"> </w:t>
      </w:r>
      <w:r>
        <w:rPr>
          <w:iCs/>
          <w:i/>
        </w:rPr>
        <w:t xml:space="preserve">guṇa</w:t>
      </w:r>
      <w:r>
        <w:t xml:space="preserve">. But by</w:t>
      </w:r>
      <w:r>
        <w:t xml:space="preserve"> </w:t>
      </w:r>
      <w:r>
        <w:t xml:space="preserve">“</w:t>
      </w:r>
      <w:r>
        <w:t xml:space="preserve">saṃjñāpūrvako vidhir anityaḥ</w:t>
      </w:r>
      <w:r>
        <w:t xml:space="preserve">”</w:t>
      </w:r>
      <w:r>
        <w:t xml:space="preserve"> </w:t>
      </w:r>
      <w:r>
        <w:t xml:space="preserve">(paribhāṣā</w:t>
      </w:r>
      <w:r>
        <w:t xml:space="preserve"> </w:t>
      </w:r>
      <w:r>
        <w:t xml:space="preserve">“</w:t>
      </w:r>
      <w:r>
        <w:t xml:space="preserve">93-1</w:t>
      </w:r>
      <w:r>
        <w:t xml:space="preserve">”</w:t>
      </w:r>
      <w:r>
        <w:t xml:space="preserve"> </w:t>
      </w:r>
      <w:r>
        <w:t xml:space="preserve">[?]) the</w:t>
      </w:r>
      <w:r>
        <w:t xml:space="preserve"> </w:t>
      </w:r>
      <w:r>
        <w:rPr>
          <w:iCs/>
          <w:i/>
        </w:rPr>
        <w:t xml:space="preserve">guṇa</w:t>
      </w:r>
      <w:r>
        <w:t xml:space="preserve"> </w:t>
      </w:r>
      <w:r>
        <w:t xml:space="preserve">rule is not binding, so it does not come here.</w:t>
      </w:r>
      <w:r>
        <w:t xml:space="preserve"> </w:t>
      </w:r>
      <w:r>
        <w:t xml:space="preserve">“</w:t>
      </w:r>
      <w:r>
        <w:t xml:space="preserve">dīrgho ’kitaḥ</w:t>
      </w:r>
      <w:r>
        <w:t xml:space="preserve">”</w:t>
      </w:r>
      <w:r>
        <w:t xml:space="preserve"> </w:t>
      </w:r>
      <w:r>
        <w:t xml:space="preserve">(Pā. sū. 7-4-83): a vowel-final reduplicate that is not</w:t>
      </w:r>
      <w:r>
        <w:t xml:space="preserve"> </w:t>
      </w:r>
      <w:r>
        <w:rPr>
          <w:iCs/>
          <w:i/>
        </w:rPr>
        <w:t xml:space="preserve">kit</w:t>
      </w:r>
      <w:r>
        <w:t xml:space="preserve"> </w:t>
      </w:r>
      <w:r>
        <w:t xml:space="preserve">is lengthened in</w:t>
      </w:r>
      <w:r>
        <w:t xml:space="preserve"> </w:t>
      </w:r>
      <w:r>
        <w:rPr>
          <w:iCs/>
          <w:i/>
        </w:rPr>
        <w:t xml:space="preserve">yaṅ</w:t>
      </w:r>
      <w:r>
        <w:t xml:space="preserve"> </w:t>
      </w:r>
      <w:r>
        <w:t xml:space="preserve">and</w:t>
      </w:r>
      <w:r>
        <w:t xml:space="preserve"> </w:t>
      </w:r>
      <w:r>
        <w:rPr>
          <w:iCs/>
          <w:i/>
        </w:rPr>
        <w:t xml:space="preserve">yaṅluk</w:t>
      </w:r>
      <w:r>
        <w:t xml:space="preserve">; so</w:t>
      </w:r>
      <w:r>
        <w:t xml:space="preserve"> </w:t>
      </w:r>
      <w:r>
        <w:rPr>
          <w:iCs/>
          <w:i/>
        </w:rPr>
        <w:t xml:space="preserve">dīdiv</w:t>
      </w:r>
      <w:r>
        <w:t xml:space="preserve">. With</w:t>
      </w:r>
      <w:r>
        <w:t xml:space="preserve"> </w:t>
      </w:r>
      <w:r>
        <w:rPr>
          <w:iCs/>
          <w:i/>
        </w:rPr>
        <w:t xml:space="preserve">vic</w:t>
      </w:r>
      <w:r>
        <w:t xml:space="preserve"> </w:t>
      </w:r>
      <w:r>
        <w:t xml:space="preserve">as before,</w:t>
      </w:r>
      <w:r>
        <w:t xml:space="preserve"> </w:t>
      </w:r>
      <w:r>
        <w:rPr>
          <w:iCs/>
          <w:i/>
        </w:rPr>
        <w:t xml:space="preserve">dīdi</w:t>
      </w:r>
      <w:r>
        <w:t xml:space="preserve">.</w:t>
      </w:r>
      <w:r>
        <w:t xml:space="preserve"> </w:t>
      </w:r>
      <w:r>
        <w:rPr>
          <w:iCs/>
          <w:i/>
        </w:rPr>
        <w:t xml:space="preserve">Dīdiḥ agniḥ yayoḥ tau dīdyagnī</w:t>
      </w:r>
      <w:r>
        <w:t xml:space="preserve">, a bahuvrīhi compound. Though the lowering would come by the eighth-adhyāya sūtra, being at the head of the pāda it does not come here; by the sixth-adhyāya sūtra it is initial udātta.</w:t>
      </w:r>
    </w:p>
    <w:p>
      <w:pPr>
        <w:pStyle w:val="BodyText"/>
      </w:pPr>
      <w:r>
        <w:rPr>
          <w:bCs/>
          <w:b/>
        </w:rPr>
        <w:t xml:space="preserve">शुचिव्रता (</w:t>
      </w:r>
      <w:r>
        <w:rPr>
          <w:iCs/>
          <w:i/>
          <w:bCs/>
          <w:b/>
        </w:rPr>
        <w:t xml:space="preserve">śucivratā</w:t>
      </w:r>
      <w:r>
        <w:rPr>
          <w:bCs/>
          <w:b/>
        </w:rPr>
        <w:t xml:space="preserve">)</w:t>
      </w:r>
      <w:r>
        <w:t xml:space="preserve">: analysed</w:t>
      </w:r>
      <w:r>
        <w:t xml:space="preserve"> </w:t>
      </w:r>
      <w:r>
        <w:rPr>
          <w:iCs/>
          <w:i/>
        </w:rPr>
        <w:t xml:space="preserve">śuci vrataṃ yayoḥ tau</w:t>
      </w:r>
      <w:r>
        <w:t xml:space="preserve">. By</w:t>
      </w:r>
      <w:r>
        <w:t xml:space="preserve"> </w:t>
      </w:r>
      <w:r>
        <w:t xml:space="preserve">“</w:t>
      </w:r>
      <w:r>
        <w:t xml:space="preserve">supāṃ suluk…</w:t>
      </w:r>
      <w:r>
        <w:t xml:space="preserve">”</w:t>
      </w:r>
      <w:r>
        <w:t xml:space="preserve"> </w:t>
      </w:r>
      <w:r>
        <w:t xml:space="preserve">(Pā. sū.</w:t>
      </w:r>
      <w:r>
        <w:t xml:space="preserve"> </w:t>
      </w:r>
      <w:r>
        <w:t xml:space="preserve">“</w:t>
      </w:r>
      <w:r>
        <w:t xml:space="preserve">3-1-39</w:t>
      </w:r>
      <w:r>
        <w:t xml:space="preserve">”</w:t>
      </w:r>
      <w:r>
        <w:t xml:space="preserve"> </w:t>
      </w:r>
      <w:r>
        <w:t xml:space="preserve">[as printed, for 7-1-39])</w:t>
      </w:r>
      <w:r>
        <w:t xml:space="preserve"> </w:t>
      </w:r>
      <w:r>
        <w:rPr>
          <w:iCs/>
          <w:i/>
        </w:rPr>
        <w:t xml:space="preserve">ā</w:t>
      </w:r>
      <w:r>
        <w:t xml:space="preserve"> </w:t>
      </w:r>
      <w:r>
        <w:t xml:space="preserve">for the vocative-nominative dual. The two vocatives</w:t>
      </w:r>
      <w:r>
        <w:t xml:space="preserve"> </w:t>
      </w:r>
      <w:r>
        <w:rPr>
          <w:iCs/>
          <w:i/>
        </w:rPr>
        <w:t xml:space="preserve">dīdyagnī</w:t>
      </w:r>
      <w:r>
        <w:t xml:space="preserve"> </w:t>
      </w:r>
      <w:r>
        <w:t xml:space="preserve">and</w:t>
      </w:r>
      <w:r>
        <w:t xml:space="preserve"> </w:t>
      </w:r>
      <w:r>
        <w:rPr>
          <w:iCs/>
          <w:i/>
        </w:rPr>
        <w:t xml:space="preserve">śucivratā</w:t>
      </w:r>
      <w:r>
        <w:t xml:space="preserve"> </w:t>
      </w:r>
      <w:r>
        <w:t xml:space="preserve">are described as construed with</w:t>
      </w:r>
      <w:r>
        <w:t xml:space="preserve"> </w:t>
      </w:r>
      <w:r>
        <w:rPr>
          <w:iCs/>
          <w:i/>
        </w:rPr>
        <w:t xml:space="preserve">aśvinā</w:t>
      </w:r>
      <w:r>
        <w:t xml:space="preserve">. So</w:t>
      </w:r>
      <w:r>
        <w:t xml:space="preserve"> </w:t>
      </w:r>
      <w:r>
        <w:rPr>
          <w:iCs/>
          <w:i/>
        </w:rPr>
        <w:t xml:space="preserve">aśvinā</w:t>
      </w:r>
      <w:r>
        <w:t xml:space="preserve"> </w:t>
      </w:r>
      <w:r>
        <w:t xml:space="preserve">is the general term,</w:t>
      </w:r>
    </w:p>
    <w:bookmarkEnd w:id="726"/>
    <w:bookmarkStart w:id="727" w:name="page-670-rik-11-grammar-end"/>
    <w:p>
      <w:pPr>
        <w:pStyle w:val="Heading3"/>
      </w:pPr>
      <w:r>
        <w:t xml:space="preserve">Page 670 — Rik 11: grammar (end)</w:t>
      </w:r>
    </w:p>
    <w:p>
      <w:pPr>
        <w:pStyle w:val="FirstParagraph"/>
      </w:pPr>
      <w:r>
        <w:t xml:space="preserve">and the other two vocatives, being qualifiers, are themselves particular terms. So</w:t>
      </w:r>
      <w:r>
        <w:t xml:space="preserve"> </w:t>
      </w:r>
      <w:r>
        <w:t xml:space="preserve">“</w:t>
      </w:r>
      <w:r>
        <w:t xml:space="preserve">nāmantrite samānādhikaraṇe sāmānyavacanam</w:t>
      </w:r>
      <w:r>
        <w:t xml:space="preserve">”</w:t>
      </w:r>
      <w:r>
        <w:t xml:space="preserve"> </w:t>
      </w:r>
      <w:r>
        <w:t xml:space="preserve">(Pā. sū.</w:t>
      </w:r>
      <w:r>
        <w:t xml:space="preserve"> </w:t>
      </w:r>
      <w:r>
        <w:t xml:space="preserve">“</w:t>
      </w:r>
      <w:r>
        <w:t xml:space="preserve">8-1-23</w:t>
      </w:r>
      <w:r>
        <w:t xml:space="preserve">”</w:t>
      </w:r>
      <w:r>
        <w:t xml:space="preserve"> </w:t>
      </w:r>
      <w:r>
        <w:t xml:space="preserve">[as printed, for 8-1-73]) has no scope. Since the two vocatives are not construed with each other, there is no connection of sense, so</w:t>
      </w:r>
      <w:r>
        <w:t xml:space="preserve"> </w:t>
      </w:r>
      <w:r>
        <w:t xml:space="preserve">“</w:t>
      </w:r>
      <w:r>
        <w:t xml:space="preserve">subāmantrite parāṅgavat svare</w:t>
      </w:r>
      <w:r>
        <w:t xml:space="preserve">”</w:t>
      </w:r>
      <w:r>
        <w:t xml:space="preserve"> </w:t>
      </w:r>
      <w:r>
        <w:t xml:space="preserve">(Pā. sū.</w:t>
      </w:r>
      <w:r>
        <w:t xml:space="preserve"> </w:t>
      </w:r>
      <w:r>
        <w:t xml:space="preserve">“</w:t>
      </w:r>
      <w:r>
        <w:t xml:space="preserve">3-1-2</w:t>
      </w:r>
      <w:r>
        <w:t xml:space="preserve">”</w:t>
      </w:r>
      <w:r>
        <w:t xml:space="preserve"> </w:t>
      </w:r>
      <w:r>
        <w:t xml:space="preserve">[as printed, for 2-1-2]) gives no joining as part of the following either. So the doubt rightly arises how the full lowering in</w:t>
      </w:r>
      <w:r>
        <w:t xml:space="preserve"> </w:t>
      </w:r>
      <w:r>
        <w:rPr>
          <w:iCs/>
          <w:i/>
        </w:rPr>
        <w:t xml:space="preserve">śucivratā</w:t>
      </w:r>
      <w:r>
        <w:t xml:space="preserve"> </w:t>
      </w:r>
      <w:r>
        <w:t xml:space="preserve">fits. But here we take</w:t>
      </w:r>
      <w:r>
        <w:t xml:space="preserve"> </w:t>
      </w:r>
      <w:r>
        <w:rPr>
          <w:iCs/>
          <w:i/>
        </w:rPr>
        <w:t xml:space="preserve">dīdyagnī</w:t>
      </w:r>
      <w:r>
        <w:t xml:space="preserve"> </w:t>
      </w:r>
      <w:r>
        <w:t xml:space="preserve">itself as the qualified, and say that</w:t>
      </w:r>
      <w:r>
        <w:t xml:space="preserve"> </w:t>
      </w:r>
      <w:r>
        <w:rPr>
          <w:iCs/>
          <w:i/>
        </w:rPr>
        <w:t xml:space="preserve">śucivratā</w:t>
      </w:r>
      <w:r>
        <w:t xml:space="preserve"> </w:t>
      </w:r>
      <w:r>
        <w:t xml:space="preserve">is its qualifier, and that this qualified pair is construed with</w:t>
      </w:r>
      <w:r>
        <w:t xml:space="preserve"> </w:t>
      </w:r>
      <w:r>
        <w:rPr>
          <w:iCs/>
          <w:i/>
        </w:rPr>
        <w:t xml:space="preserve">aśvinā</w:t>
      </w:r>
      <w:r>
        <w:t xml:space="preserve">. Now</w:t>
      </w:r>
      <w:r>
        <w:t xml:space="preserve"> </w:t>
      </w:r>
      <w:r>
        <w:rPr>
          <w:iCs/>
          <w:i/>
        </w:rPr>
        <w:t xml:space="preserve">dīdyagnī</w:t>
      </w:r>
      <w:r>
        <w:t xml:space="preserve"> </w:t>
      </w:r>
      <w:r>
        <w:t xml:space="preserve">is a general term, so by</w:t>
      </w:r>
      <w:r>
        <w:t xml:space="preserve"> </w:t>
      </w:r>
      <w:r>
        <w:t xml:space="preserve">“</w:t>
      </w:r>
      <w:r>
        <w:t xml:space="preserve">nāmantrite…</w:t>
      </w:r>
      <w:r>
        <w:t xml:space="preserve">”</w:t>
      </w:r>
      <w:r>
        <w:t xml:space="preserve"> </w:t>
      </w:r>
      <w:r>
        <w:t xml:space="preserve">(Pā. sū.</w:t>
      </w:r>
      <w:r>
        <w:t xml:space="preserve"> </w:t>
      </w:r>
      <w:r>
        <w:t xml:space="preserve">“</w:t>
      </w:r>
      <w:r>
        <w:t xml:space="preserve">8-1-23</w:t>
      </w:r>
      <w:r>
        <w:t xml:space="preserve">”</w:t>
      </w:r>
      <w:r>
        <w:t xml:space="preserve"> </w:t>
      </w:r>
      <w:r>
        <w:t xml:space="preserve">[as printed]) the treatment as absent that</w:t>
      </w:r>
      <w:r>
        <w:t xml:space="preserve"> </w:t>
      </w:r>
      <w:r>
        <w:t xml:space="preserve">“</w:t>
      </w:r>
      <w:r>
        <w:t xml:space="preserve">āmantritaṃ pūrvam avidyamānavat</w:t>
      </w:r>
      <w:r>
        <w:t xml:space="preserve">”</w:t>
      </w:r>
      <w:r>
        <w:t xml:space="preserve"> </w:t>
      </w:r>
      <w:r>
        <w:t xml:space="preserve">(Pā. sū.</w:t>
      </w:r>
      <w:r>
        <w:t xml:space="preserve"> </w:t>
      </w:r>
      <w:r>
        <w:t xml:space="preserve">“</w:t>
      </w:r>
      <w:r>
        <w:t xml:space="preserve">8-1-62</w:t>
      </w:r>
      <w:r>
        <w:t xml:space="preserve">”</w:t>
      </w:r>
      <w:r>
        <w:t xml:space="preserve"> </w:t>
      </w:r>
      <w:r>
        <w:t xml:space="preserve">[as printed, for 8-1-72]) would give is barred; so</w:t>
      </w:r>
      <w:r>
        <w:t xml:space="preserve"> </w:t>
      </w:r>
      <w:r>
        <w:rPr>
          <w:iCs/>
          <w:i/>
        </w:rPr>
        <w:t xml:space="preserve">śucivratā</w:t>
      </w:r>
      <w:r>
        <w:t xml:space="preserve"> </w:t>
      </w:r>
      <w:r>
        <w:t xml:space="preserve">is not at the head of the pāda, and by</w:t>
      </w:r>
      <w:r>
        <w:t xml:space="preserve"> </w:t>
      </w:r>
      <w:r>
        <w:t xml:space="preserve">“</w:t>
      </w:r>
      <w:r>
        <w:t xml:space="preserve">āmantritasya ca</w:t>
      </w:r>
      <w:r>
        <w:t xml:space="preserve">”</w:t>
      </w:r>
      <w:r>
        <w:t xml:space="preserve"> </w:t>
      </w:r>
      <w:r>
        <w:t xml:space="preserve">(Pā. sū. 8-1-19) it is wholly unaccented. Or, in this explanation, since</w:t>
      </w:r>
      <w:r>
        <w:t xml:space="preserve"> </w:t>
      </w:r>
      <w:r>
        <w:rPr>
          <w:iCs/>
          <w:i/>
        </w:rPr>
        <w:t xml:space="preserve">dīdyagnī</w:t>
      </w:r>
      <w:r>
        <w:t xml:space="preserve"> </w:t>
      </w:r>
      <w:r>
        <w:t xml:space="preserve">and</w:t>
      </w:r>
      <w:r>
        <w:t xml:space="preserve"> </w:t>
      </w:r>
      <w:r>
        <w:rPr>
          <w:iCs/>
          <w:i/>
        </w:rPr>
        <w:t xml:space="preserve">śucivratā</w:t>
      </w:r>
      <w:r>
        <w:t xml:space="preserve"> </w:t>
      </w:r>
      <w:r>
        <w:t xml:space="preserve">are construed with each other, there is a connection of sense, so by</w:t>
      </w:r>
      <w:r>
        <w:t xml:space="preserve"> </w:t>
      </w:r>
      <w:r>
        <w:t xml:space="preserve">“</w:t>
      </w:r>
      <w:r>
        <w:t xml:space="preserve">subāmantrite parāṅgavat svare</w:t>
      </w:r>
      <w:r>
        <w:t xml:space="preserve">”</w:t>
      </w:r>
      <w:r>
        <w:t xml:space="preserve"> </w:t>
      </w:r>
      <w:r>
        <w:t xml:space="preserve">(Pā. sū.</w:t>
      </w:r>
      <w:r>
        <w:t xml:space="preserve"> </w:t>
      </w:r>
      <w:r>
        <w:t xml:space="preserve">“</w:t>
      </w:r>
      <w:r>
        <w:t xml:space="preserve">3-1-2</w:t>
      </w:r>
      <w:r>
        <w:t xml:space="preserve">”</w:t>
      </w:r>
      <w:r>
        <w:t xml:space="preserve"> </w:t>
      </w:r>
      <w:r>
        <w:t xml:space="preserve">[as printed]) the earlier is joined as part of the following; so the notion arises that</w:t>
      </w:r>
      <w:r>
        <w:t xml:space="preserve"> </w:t>
      </w:r>
      <w:r>
        <w:rPr>
          <w:iCs/>
          <w:i/>
        </w:rPr>
        <w:t xml:space="preserve">dīdyagnī śucivratā</w:t>
      </w:r>
      <w:r>
        <w:t xml:space="preserve"> </w:t>
      </w:r>
      <w:r>
        <w:t xml:space="preserve">is one word. So by the sixth-adhyāya</w:t>
      </w:r>
      <w:r>
        <w:t xml:space="preserve"> </w:t>
      </w:r>
      <w:r>
        <w:t xml:space="preserve">“</w:t>
      </w:r>
      <w:r>
        <w:t xml:space="preserve">āmantritasya ca</w:t>
      </w:r>
      <w:r>
        <w:t xml:space="preserve">”</w:t>
      </w:r>
      <w:r>
        <w:t xml:space="preserve"> </w:t>
      </w:r>
      <w:r>
        <w:t xml:space="preserve">(Pā. sū. 6-1-198) the first letter</w:t>
      </w:r>
      <w:r>
        <w:t xml:space="preserve"> </w:t>
      </w:r>
      <w:r>
        <w:rPr>
          <w:iCs/>
          <w:i/>
        </w:rPr>
        <w:t xml:space="preserve">dī</w:t>
      </w:r>
      <w:r>
        <w:t xml:space="preserve"> </w:t>
      </w:r>
      <w:r>
        <w:t xml:space="preserve">is initial udātta. Then by</w:t>
      </w:r>
      <w:r>
        <w:t xml:space="preserve"> </w:t>
      </w:r>
      <w:r>
        <w:t xml:space="preserve">“</w:t>
      </w:r>
      <w:r>
        <w:t xml:space="preserve">anudāttaṃ padam ekavarjam</w:t>
      </w:r>
      <w:r>
        <w:t xml:space="preserve">”</w:t>
      </w:r>
      <w:r>
        <w:t xml:space="preserve"> </w:t>
      </w:r>
      <w:r>
        <w:t xml:space="preserve">(Pā. sū.</w:t>
      </w:r>
      <w:r>
        <w:t xml:space="preserve"> </w:t>
      </w:r>
      <w:r>
        <w:t xml:space="preserve">“</w:t>
      </w:r>
      <w:r>
        <w:t xml:space="preserve">6-1-148</w:t>
      </w:r>
      <w:r>
        <w:t xml:space="preserve">”</w:t>
      </w:r>
      <w:r>
        <w:t xml:space="preserve"> </w:t>
      </w:r>
      <w:r>
        <w:t xml:space="preserve">[as printed, for 6-1-158]) the other letters are unaccented. The unaccented</w:t>
      </w:r>
      <w:r>
        <w:t xml:space="preserve"> </w:t>
      </w:r>
      <w:r>
        <w:rPr>
          <w:iCs/>
          <w:i/>
        </w:rPr>
        <w:t xml:space="preserve">di</w:t>
      </w:r>
      <w:r>
        <w:t xml:space="preserve"> </w:t>
      </w:r>
      <w:r>
        <w:t xml:space="preserve">after the udātta becomes svarita by</w:t>
      </w:r>
      <w:r>
        <w:t xml:space="preserve"> </w:t>
      </w:r>
      <w:r>
        <w:t xml:space="preserve">“</w:t>
      </w:r>
      <w:r>
        <w:t xml:space="preserve">udāttād anudāttasya svaritaḥ</w:t>
      </w:r>
      <w:r>
        <w:t xml:space="preserve">”</w:t>
      </w:r>
      <w:r>
        <w:t xml:space="preserve"> </w:t>
      </w:r>
      <w:r>
        <w:t xml:space="preserve">(</w:t>
      </w:r>
      <w:r>
        <w:t xml:space="preserve">“</w:t>
      </w:r>
      <w:r>
        <w:t xml:space="preserve">8-4-66</w:t>
      </w:r>
      <w:r>
        <w:t xml:space="preserve">”</w:t>
      </w:r>
      <w:r>
        <w:t xml:space="preserve">); the unaccented syllables after the svarita are</w:t>
      </w:r>
      <w:r>
        <w:t xml:space="preserve"> </w:t>
      </w:r>
      <w:r>
        <w:rPr>
          <w:iCs/>
          <w:i/>
        </w:rPr>
        <w:t xml:space="preserve">pracaya</w:t>
      </w:r>
      <w:r>
        <w:t xml:space="preserve"> </w:t>
      </w:r>
      <w:r>
        <w:t xml:space="preserve">by</w:t>
      </w:r>
      <w:r>
        <w:t xml:space="preserve"> </w:t>
      </w:r>
      <w:r>
        <w:t xml:space="preserve">“</w:t>
      </w:r>
      <w:r>
        <w:t xml:space="preserve">svaritāt saṃhitāyām anudāttānām</w:t>
      </w:r>
      <w:r>
        <w:t xml:space="preserve">”</w:t>
      </w:r>
      <w:r>
        <w:t xml:space="preserve">.</w:t>
      </w:r>
    </w:p>
    <w:p>
      <w:pPr>
        <w:pStyle w:val="BodyText"/>
      </w:pPr>
      <w:r>
        <w:rPr>
          <w:bCs/>
          <w:b/>
        </w:rPr>
        <w:t xml:space="preserve">यज्ञवाहसा (</w:t>
      </w:r>
      <w:r>
        <w:rPr>
          <w:iCs/>
          <w:i/>
          <w:bCs/>
          <w:b/>
        </w:rPr>
        <w:t xml:space="preserve">yajñavāhasā</w:t>
      </w:r>
      <w:r>
        <w:rPr>
          <w:bCs/>
          <w:b/>
        </w:rPr>
        <w:t xml:space="preserve">)</w:t>
      </w:r>
      <w:r>
        <w:t xml:space="preserve">:</w:t>
      </w:r>
      <w:r>
        <w:t xml:space="preserve"> </w:t>
      </w:r>
      <w:r>
        <w:rPr>
          <w:iCs/>
          <w:i/>
        </w:rPr>
        <w:t xml:space="preserve">yajñaṃ vahataḥ iti yajñavāhasau</w:t>
      </w:r>
      <w:r>
        <w:t xml:space="preserve">; the root</w:t>
      </w:r>
      <w:r>
        <w:t xml:space="preserve"> </w:t>
      </w:r>
      <w:r>
        <w:rPr>
          <w:iCs/>
          <w:i/>
        </w:rPr>
        <w:t xml:space="preserve">vaha prāpaṇe</w:t>
      </w:r>
      <w:r>
        <w:t xml:space="preserve">.</w:t>
      </w:r>
      <w:r>
        <w:t xml:space="preserve"> </w:t>
      </w:r>
      <w:r>
        <w:t xml:space="preserve">“</w:t>
      </w:r>
      <w:r>
        <w:t xml:space="preserve">vahihādhāñbhyaś chandasi</w:t>
      </w:r>
      <w:r>
        <w:t xml:space="preserve">”</w:t>
      </w:r>
      <w:r>
        <w:t xml:space="preserve"> </w:t>
      </w:r>
      <w:r>
        <w:t xml:space="preserve">(Uṇ. sū.</w:t>
      </w:r>
      <w:r>
        <w:t xml:space="preserve"> </w:t>
      </w:r>
      <w:r>
        <w:t xml:space="preserve">“</w:t>
      </w:r>
      <w:r>
        <w:t xml:space="preserve">4-660</w:t>
      </w:r>
      <w:r>
        <w:t xml:space="preserve">”</w:t>
      </w:r>
      <w:r>
        <w:t xml:space="preserve"> </w:t>
      </w:r>
      <w:r>
        <w:t xml:space="preserve">[?];</w:t>
      </w:r>
      <w:r>
        <w:t xml:space="preserve"> </w:t>
      </w:r>
      <w:r>
        <w:rPr>
          <w:iCs/>
          <w:i/>
        </w:rPr>
        <w:t xml:space="preserve">vaha prāpaṇe</w:t>
      </w:r>
      <w:r>
        <w:t xml:space="preserve">,</w:t>
      </w:r>
      <w:r>
        <w:t xml:space="preserve"> </w:t>
      </w:r>
      <w:r>
        <w:rPr>
          <w:iCs/>
          <w:i/>
        </w:rPr>
        <w:t xml:space="preserve">ohāk tyāge</w:t>
      </w:r>
      <w:r>
        <w:t xml:space="preserve">,</w:t>
      </w:r>
      <w:r>
        <w:t xml:space="preserve"> </w:t>
      </w:r>
      <w:r>
        <w:rPr>
          <w:iCs/>
          <w:i/>
        </w:rPr>
        <w:t xml:space="preserve">ḍudhāñ dhāraṇapoṣaṇayoḥ</w:t>
      </w:r>
      <w:r>
        <w:t xml:space="preserve">): after these roots the suffix</w:t>
      </w:r>
      <w:r>
        <w:t xml:space="preserve"> </w:t>
      </w:r>
      <w:r>
        <w:rPr>
          <w:iCs/>
          <w:i/>
        </w:rPr>
        <w:t xml:space="preserve">asun</w:t>
      </w:r>
      <w:r>
        <w:t xml:space="preserve"> </w:t>
      </w:r>
      <w:r>
        <w:t xml:space="preserve">comes, and it is</w:t>
      </w:r>
      <w:r>
        <w:t xml:space="preserve"> </w:t>
      </w:r>
      <w:r>
        <w:rPr>
          <w:iCs/>
          <w:i/>
        </w:rPr>
        <w:t xml:space="preserve">ṇit</w:t>
      </w:r>
      <w:r>
        <w:t xml:space="preserve">; so the suffix</w:t>
      </w:r>
      <w:r>
        <w:t xml:space="preserve"> </w:t>
      </w:r>
      <w:r>
        <w:rPr>
          <w:iCs/>
          <w:i/>
        </w:rPr>
        <w:t xml:space="preserve">asun</w:t>
      </w:r>
      <w:r>
        <w:t xml:space="preserve"> </w:t>
      </w:r>
      <w:r>
        <w:t xml:space="preserve">after</w:t>
      </w:r>
      <w:r>
        <w:t xml:space="preserve"> </w:t>
      </w:r>
      <w:r>
        <w:rPr>
          <w:iCs/>
          <w:i/>
        </w:rPr>
        <w:t xml:space="preserve">vah</w:t>
      </w:r>
      <w:r>
        <w:t xml:space="preserve"> </w:t>
      </w:r>
      <w:r>
        <w:t xml:space="preserve">with the object-</w:t>
      </w:r>
      <w:r>
        <w:rPr>
          <w:iCs/>
          <w:i/>
        </w:rPr>
        <w:t xml:space="preserve">kāraka</w:t>
      </w:r>
      <w:r>
        <w:t xml:space="preserve"> </w:t>
      </w:r>
      <w:r>
        <w:rPr>
          <w:iCs/>
          <w:i/>
        </w:rPr>
        <w:t xml:space="preserve">yajñam</w:t>
      </w:r>
      <w:r>
        <w:t xml:space="preserve"> </w:t>
      </w:r>
      <w:r>
        <w:t xml:space="preserve">as</w:t>
      </w:r>
      <w:r>
        <w:t xml:space="preserve"> </w:t>
      </w:r>
      <w:r>
        <w:rPr>
          <w:iCs/>
          <w:i/>
        </w:rPr>
        <w:t xml:space="preserve">upapada</w:t>
      </w:r>
      <w:r>
        <w:t xml:space="preserve">. Since by</w:t>
      </w:r>
      <w:r>
        <w:t xml:space="preserve"> </w:t>
      </w:r>
      <w:r>
        <w:t xml:space="preserve">“</w:t>
      </w:r>
      <w:r>
        <w:t xml:space="preserve">gatikārakayor api pūrvapadaprakṛtisvaratvaṃ ca</w:t>
      </w:r>
      <w:r>
        <w:t xml:space="preserve">”</w:t>
      </w:r>
      <w:r>
        <w:t xml:space="preserve"> </w:t>
      </w:r>
      <w:r>
        <w:t xml:space="preserve">(Uṇ. sū.</w:t>
      </w:r>
      <w:r>
        <w:t xml:space="preserve"> </w:t>
      </w:r>
      <w:r>
        <w:t xml:space="preserve">“</w:t>
      </w:r>
      <w:r>
        <w:t xml:space="preserve">4-666</w:t>
      </w:r>
      <w:r>
        <w:t xml:space="preserve">”</w:t>
      </w:r>
      <w:r>
        <w:t xml:space="preserve"> </w:t>
      </w:r>
      <w:r>
        <w:t xml:space="preserve">[?]) it is said that these suffixes come after roots with</w:t>
      </w:r>
      <w:r>
        <w:t xml:space="preserve"> </w:t>
      </w:r>
      <w:r>
        <w:rPr>
          <w:iCs/>
          <w:i/>
        </w:rPr>
        <w:t xml:space="preserve">gati</w:t>
      </w:r>
      <w:r>
        <w:t xml:space="preserve"> </w:t>
      </w:r>
      <w:r>
        <w:t xml:space="preserve">or</w:t>
      </w:r>
      <w:r>
        <w:t xml:space="preserve"> </w:t>
      </w:r>
      <w:r>
        <w:rPr>
          <w:iCs/>
          <w:i/>
        </w:rPr>
        <w:t xml:space="preserve">kāraka</w:t>
      </w:r>
      <w:r>
        <w:t xml:space="preserve"> </w:t>
      </w:r>
      <w:r>
        <w:rPr>
          <w:iCs/>
          <w:i/>
        </w:rPr>
        <w:t xml:space="preserve">upapadas</w:t>
      </w:r>
      <w:r>
        <w:t xml:space="preserve">, though in the sūtra</w:t>
      </w:r>
      <w:r>
        <w:t xml:space="preserve"> </w:t>
      </w:r>
      <w:r>
        <w:rPr>
          <w:iCs/>
          <w:i/>
        </w:rPr>
        <w:t xml:space="preserve">vahihā…</w:t>
      </w:r>
      <w:r>
        <w:t xml:space="preserve"> </w:t>
      </w:r>
      <w:r>
        <w:t xml:space="preserve">a root without</w:t>
      </w:r>
      <w:r>
        <w:t xml:space="preserve"> </w:t>
      </w:r>
      <w:r>
        <w:rPr>
          <w:iCs/>
          <w:i/>
        </w:rPr>
        <w:t xml:space="preserve">upapada</w:t>
      </w:r>
      <w:r>
        <w:t xml:space="preserve"> </w:t>
      </w:r>
      <w:r>
        <w:t xml:space="preserve">is named, the suffix</w:t>
      </w:r>
      <w:r>
        <w:t xml:space="preserve"> </w:t>
      </w:r>
      <w:r>
        <w:rPr>
          <w:iCs/>
          <w:i/>
        </w:rPr>
        <w:t xml:space="preserve">asun</w:t>
      </w:r>
      <w:r>
        <w:t xml:space="preserve"> </w:t>
      </w:r>
      <w:r>
        <w:t xml:space="preserve">comes after roots with an</w:t>
      </w:r>
      <w:r>
        <w:t xml:space="preserve"> </w:t>
      </w:r>
      <w:r>
        <w:rPr>
          <w:iCs/>
          <w:i/>
        </w:rPr>
        <w:t xml:space="preserve">upapada</w:t>
      </w:r>
      <w:r>
        <w:t xml:space="preserve"> </w:t>
      </w:r>
      <w:r>
        <w:t xml:space="preserve">too:</w:t>
      </w:r>
      <w:r>
        <w:t xml:space="preserve"> </w:t>
      </w:r>
      <w:r>
        <w:rPr>
          <w:iCs/>
          <w:i/>
        </w:rPr>
        <w:t xml:space="preserve">yajña</w:t>
      </w:r>
      <w:r>
        <w:t xml:space="preserve"> </w:t>
      </w:r>
      <w:r>
        <w:t xml:space="preserve">+</w:t>
      </w:r>
      <w:r>
        <w:t xml:space="preserve"> </w:t>
      </w:r>
      <w:r>
        <w:rPr>
          <w:iCs/>
          <w:i/>
        </w:rPr>
        <w:t xml:space="preserve">am</w:t>
      </w:r>
      <w:r>
        <w:t xml:space="preserve"> </w:t>
      </w:r>
      <w:r>
        <w:t xml:space="preserve">+</w:t>
      </w:r>
      <w:r>
        <w:t xml:space="preserve"> </w:t>
      </w:r>
      <w:r>
        <w:rPr>
          <w:iCs/>
          <w:i/>
        </w:rPr>
        <w:t xml:space="preserve">vah</w:t>
      </w:r>
      <w:r>
        <w:t xml:space="preserve"> </w:t>
      </w:r>
      <w:r>
        <w:t xml:space="preserve">+</w:t>
      </w:r>
      <w:r>
        <w:t xml:space="preserve"> </w:t>
      </w:r>
      <w:r>
        <w:rPr>
          <w:iCs/>
          <w:i/>
        </w:rPr>
        <w:t xml:space="preserve">as</w:t>
      </w:r>
      <w:r>
        <w:t xml:space="preserve">. The suffix is</w:t>
      </w:r>
      <w:r>
        <w:t xml:space="preserve"> </w:t>
      </w:r>
      <w:r>
        <w:rPr>
          <w:iCs/>
          <w:i/>
        </w:rPr>
        <w:t xml:space="preserve">ṇit</w:t>
      </w:r>
      <w:r>
        <w:t xml:space="preserve">, so</w:t>
      </w:r>
      <w:r>
        <w:t xml:space="preserve"> </w:t>
      </w:r>
      <w:r>
        <w:rPr>
          <w:iCs/>
          <w:i/>
        </w:rPr>
        <w:t xml:space="preserve">vṛddhi</w:t>
      </w:r>
      <w:r>
        <w:t xml:space="preserve"> </w:t>
      </w:r>
      <w:r>
        <w:t xml:space="preserve">of the penultimate by</w:t>
      </w:r>
      <w:r>
        <w:t xml:space="preserve"> </w:t>
      </w:r>
      <w:r>
        <w:t xml:space="preserve">“</w:t>
      </w:r>
      <w:r>
        <w:t xml:space="preserve">ata upadhāyāḥ</w:t>
      </w:r>
      <w:r>
        <w:t xml:space="preserve">”</w:t>
      </w:r>
      <w:r>
        <w:t xml:space="preserve"> </w:t>
      </w:r>
      <w:r>
        <w:t xml:space="preserve">(Pā. sū. 7-2-116). Being a</w:t>
      </w:r>
      <w:r>
        <w:t xml:space="preserve"> </w:t>
      </w:r>
      <w:r>
        <w:rPr>
          <w:iCs/>
          <w:i/>
        </w:rPr>
        <w:t xml:space="preserve">kṛdanta</w:t>
      </w:r>
      <w:r>
        <w:t xml:space="preserve">, it is called a</w:t>
      </w:r>
      <w:r>
        <w:t xml:space="preserve"> </w:t>
      </w:r>
      <w:r>
        <w:rPr>
          <w:iCs/>
          <w:i/>
        </w:rPr>
        <w:t xml:space="preserve">prātipadika</w:t>
      </w:r>
      <w:r>
        <w:t xml:space="preserve">; so the</w:t>
      </w:r>
      <w:r>
        <w:t xml:space="preserve"> </w:t>
      </w:r>
      <w:r>
        <w:rPr>
          <w:iCs/>
          <w:i/>
        </w:rPr>
        <w:t xml:space="preserve">am</w:t>
      </w:r>
      <w:r>
        <w:t xml:space="preserve"> </w:t>
      </w:r>
      <w:r>
        <w:t xml:space="preserve">inside the</w:t>
      </w:r>
      <w:r>
        <w:t xml:space="preserve"> </w:t>
      </w:r>
      <w:r>
        <w:rPr>
          <w:iCs/>
          <w:i/>
        </w:rPr>
        <w:t xml:space="preserve">prātipadika</w:t>
      </w:r>
      <w:r>
        <w:t xml:space="preserve"> </w:t>
      </w:r>
      <w:r>
        <w:t xml:space="preserve">takes</w:t>
      </w:r>
      <w:r>
        <w:t xml:space="preserve"> </w:t>
      </w:r>
      <w:r>
        <w:rPr>
          <w:iCs/>
          <w:i/>
        </w:rPr>
        <w:t xml:space="preserve">luk</w:t>
      </w:r>
      <w:r>
        <w:t xml:space="preserve">. For the vocative dual</w:t>
      </w:r>
      <w:r>
        <w:t xml:space="preserve"> </w:t>
      </w:r>
      <w:r>
        <w:rPr>
          <w:iCs/>
          <w:i/>
        </w:rPr>
        <w:t xml:space="preserve">au</w:t>
      </w:r>
      <w:r>
        <w:t xml:space="preserve">, the replacement</w:t>
      </w:r>
      <w:r>
        <w:t xml:space="preserve"> </w:t>
      </w:r>
      <w:r>
        <w:rPr>
          <w:iCs/>
          <w:i/>
        </w:rPr>
        <w:t xml:space="preserve">ā</w:t>
      </w:r>
      <w:r>
        <w:t xml:space="preserve"> </w:t>
      </w:r>
      <w:r>
        <w:t xml:space="preserve">by</w:t>
      </w:r>
      <w:r>
        <w:t xml:space="preserve"> </w:t>
      </w:r>
      <w:r>
        <w:t xml:space="preserve">“</w:t>
      </w:r>
      <w:r>
        <w:t xml:space="preserve">supāṃ suluk…</w:t>
      </w:r>
      <w:r>
        <w:t xml:space="preserve">”</w:t>
      </w:r>
      <w:r>
        <w:t xml:space="preserve"> </w:t>
      </w:r>
      <w:r>
        <w:t xml:space="preserve">(Pā. sū. 7-1-39). The two words</w:t>
      </w:r>
      <w:r>
        <w:t xml:space="preserve"> </w:t>
      </w:r>
      <w:r>
        <w:rPr>
          <w:iCs/>
          <w:i/>
        </w:rPr>
        <w:t xml:space="preserve">ṛtunā</w:t>
      </w:r>
      <w:r>
        <w:t xml:space="preserve"> </w:t>
      </w:r>
      <w:r>
        <w:t xml:space="preserve">and</w:t>
      </w:r>
      <w:r>
        <w:t xml:space="preserve"> </w:t>
      </w:r>
      <w:r>
        <w:rPr>
          <w:iCs/>
          <w:i/>
        </w:rPr>
        <w:t xml:space="preserve">yajñavāhasā</w:t>
      </w:r>
      <w:r>
        <w:t xml:space="preserve"> </w:t>
      </w:r>
      <w:r>
        <w:t xml:space="preserve">are not construed with each other; so</w:t>
      </w:r>
      <w:r>
        <w:t xml:space="preserve"> </w:t>
      </w:r>
      <w:r>
        <w:t xml:space="preserve">“</w:t>
      </w:r>
      <w:r>
        <w:t xml:space="preserve">subāmantrite…</w:t>
      </w:r>
      <w:r>
        <w:t xml:space="preserve">”</w:t>
      </w:r>
      <w:r>
        <w:t xml:space="preserve"> </w:t>
      </w:r>
      <w:r>
        <w:t xml:space="preserve">does not join the earlier</w:t>
      </w:r>
      <w:r>
        <w:t xml:space="preserve"> </w:t>
      </w:r>
      <w:r>
        <w:rPr>
          <w:iCs/>
          <w:i/>
        </w:rPr>
        <w:t xml:space="preserve">ṛtunā</w:t>
      </w:r>
      <w:r>
        <w:t xml:space="preserve"> </w:t>
      </w:r>
      <w:r>
        <w:t xml:space="preserve">as part of the following. By</w:t>
      </w:r>
      <w:r>
        <w:t xml:space="preserve"> </w:t>
      </w:r>
      <w:r>
        <w:t xml:space="preserve">“</w:t>
      </w:r>
      <w:r>
        <w:t xml:space="preserve">āmantritasya ca</w:t>
      </w:r>
      <w:r>
        <w:t xml:space="preserve">”</w:t>
      </w:r>
      <w:r>
        <w:t xml:space="preserve"> </w:t>
      </w:r>
      <w:r>
        <w:t xml:space="preserve">(Pā. sū. 8-1-19) it is wholly unaccented.</w:t>
      </w:r>
    </w:p>
    <w:p>
      <w:pPr>
        <w:pStyle w:val="BodyText"/>
      </w:pPr>
      <w:r>
        <w:rPr>
          <w:bCs/>
          <w:b/>
        </w:rPr>
        <w:t xml:space="preserve">॥११॥</w:t>
      </w:r>
    </w:p>
    <w:p>
      <w:r>
        <w:pict>
          <v:rect style="width:0;height:1.5pt" o:hralign="center" o:hrstd="t" o:hr="t"/>
        </w:pict>
      </w:r>
    </w:p>
    <w:bookmarkEnd w:id="727"/>
    <w:bookmarkStart w:id="728" w:name="X7f389d87b9107da4eee7d4b887863c69eeac10e"/>
    <w:p>
      <w:pPr>
        <w:pStyle w:val="Heading3"/>
      </w:pPr>
      <w:r>
        <w:t xml:space="preserve">Page 671 — Sūkta 15, Rik 12 (last rik of the sūkta)</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गार्ह॑पत्येन सन्त्य ऋ॒तुना॑ यज्ञ॒नीर॑सि । [accent ?]</w:t>
      </w:r>
      <w:r>
        <w:t xml:space="preserve"> </w:t>
      </w:r>
      <w:r>
        <w:t xml:space="preserve">दे॒वान्दे॑व॒य॒ते य॑ज ॥१२॥ [accent ?]</w:t>
      </w:r>
    </w:p>
    <w:p>
      <w:pPr>
        <w:pStyle w:val="BlockText"/>
      </w:pPr>
      <w:r>
        <w:rPr>
          <w:iCs/>
          <w:i/>
        </w:rPr>
        <w:t xml:space="preserve">gā́rhapatyena santya ṛtúnā yajñanī́r asi |</w:t>
      </w:r>
      <w:r>
        <w:t xml:space="preserve"> </w:t>
      </w:r>
      <w:r>
        <w:t xml:space="preserve">[accent ?]</w:t>
      </w:r>
      <w:r>
        <w:t xml:space="preserve"> </w:t>
      </w:r>
      <w:r>
        <w:rPr>
          <w:iCs/>
          <w:i/>
        </w:rPr>
        <w:t xml:space="preserve">devā́n devayaté yaja ||12||</w:t>
      </w:r>
      <w:r>
        <w:t xml:space="preserve"> </w:t>
      </w:r>
      <w:r>
        <w:t xml:space="preserve">[accent ?]</w:t>
      </w:r>
    </w:p>
    <w:p>
      <w:pPr>
        <w:pStyle w:val="FirstParagraph"/>
      </w:pPr>
      <w:r>
        <w:rPr>
          <w:iCs/>
          <w:i/>
        </w:rPr>
        <w:t xml:space="preserve">(The strokes over गा, ना, नी and दे are clear; the bars under ऋ, ज्ञ, दे and य of देवयते are read from the print and the Pada; not all certain.)</w:t>
      </w:r>
    </w:p>
    <w:p>
      <w:pPr>
        <w:pStyle w:val="BodyText"/>
      </w:pPr>
      <w:r>
        <w:rPr>
          <w:bCs/>
          <w:b/>
        </w:rPr>
        <w:t xml:space="preserve">॥ Pada-pāṭhaḥ ॥</w:t>
      </w:r>
    </w:p>
    <w:p>
      <w:pPr>
        <w:pStyle w:val="BlockText"/>
      </w:pPr>
      <w:r>
        <w:t xml:space="preserve">गार्हऽपत्येन । सन्त्य । ऋतुना । यज्ञऽनीः । असि ॥</w:t>
      </w:r>
      <w:r>
        <w:t xml:space="preserve"> </w:t>
      </w:r>
      <w:r>
        <w:t xml:space="preserve">देवान् । देवऽयते । यज ॥१२॥</w:t>
      </w:r>
    </w:p>
    <w:p>
      <w:pPr>
        <w:pStyle w:val="BlockText"/>
      </w:pPr>
      <w:r>
        <w:rPr>
          <w:iCs/>
          <w:i/>
        </w:rPr>
        <w:t xml:space="preserve">gārha ’patyena | santya | ṛtunā | yajña ’nīḥ | asi ||</w:t>
      </w:r>
      <w:r>
        <w:t xml:space="preserve"> </w:t>
      </w:r>
      <w:r>
        <w:rPr>
          <w:iCs/>
          <w:i/>
        </w:rPr>
        <w:t xml:space="preserve">devān | deva ’yate | yaja ||12||</w:t>
      </w:r>
    </w:p>
    <w:p>
      <w:pPr>
        <w:pStyle w:val="FirstParagraph"/>
      </w:pPr>
      <w:r>
        <w:rPr>
          <w:bCs/>
          <w:b/>
        </w:rPr>
        <w:t xml:space="preserve">॥ Sāyaṇa-bhāṣyam ॥</w:t>
      </w:r>
    </w:p>
    <w:p>
      <w:pPr>
        <w:pStyle w:val="BlockText"/>
      </w:pPr>
      <w:r>
        <w:t xml:space="preserve">हे सन्त्य फलप्रदाग्निदेव गार्हपत्येन गृहपतिसम्बन्धिना रूपेण युक्तः सन्नृतुना ऋतुदेवेन सह यज्ञनीर्यज्ञस्य निर्वाहको ऽसि । तस्मात्त्वं देवयते देवविषयकामनायुक्ताय यजमानाय देवान्यज ॥ गार्हपत्येन । गृहपतिना संयुक्ते ञ्यः । पा. ४-४-९० । यस्येति लोपः । ञित्त्वादादिवृद्धिराद्युदात्तत्वं च । गृहपतित्वमित्यर्थे पत्यन्तपुरोहितादिभ्यः । पा. ५-१-१२८ । इति यकि त्वन्तोदात्तत्वं स्यात् । सन्त्य । सनने भव । षणु दाने । क्तिच्क्तौ चेति क्तिच् । न क्तिचि दीर्घश्च । पा. ६-४-३९ । इति दीर्घनलोपाभावः । भवे छन्दसि । पा. ४-४-११० । इति यत् । तत्र साधुः । पा. ४-४-९८ । इति वा । निघातः । यज्ञं नयतीति यज्ञनीः । सत्सूद्विषेत्यादिना क्विप् । कृदुत्तरपदप्रकृतिस्वरः । देवयते । देवानात्मन इच्छतीति देवयन् । तस्मै । क्यचि चेतीत्वं न भवति । न च्छन्दस्यपुत्रस्येति निषेधात् । अश्वाघस्य । पा. ७-४-३७ । इत्यात्वविधानादीत्वनिषेधे प्राप्तस्य दीर्घस्याप्येष निषेध इत्युक्तं । शतुरनुमो नद्यजादी इति विभक्तेरुदात्तत्वं । अत्र क्यचश्चित्त्वादन्तोदात्तत्वं । शपः पित्त्वादनुदात्तत्वं । शतुश्च लसार्वधातुकस्वरेणोभयोः क्यचा सहैकादेश एकादेश उदात्तेनोदात्त इत्युदात्तः । तस्मादन्तोदात्तात्परस्या विभक्तेः शतुरनुमो नद्यजादीत्युदात्तत्वं ॥ २९ ॥</w:t>
      </w:r>
    </w:p>
    <w:p>
      <w:pPr>
        <w:pStyle w:val="BlockText"/>
      </w:pPr>
      <w:r>
        <w:rPr>
          <w:iCs/>
          <w:i/>
        </w:rPr>
        <w:t xml:space="preserve">he santya phalapradāgnideva gārhapatyena gṛhapatisambandhinā rūpeṇa yuktaḥ sannṛtunā ṛtudevena saha yajñanīryajñasya nirvāhako ’si | tasmāttvaṃ devayate devaviṣayakāmanāyuktāya yajamānāya devānyaja || gārhapatyena | gṛhapatinā saṃyukte ñyaḥ | pā. 4-4-90 | yasyeti lopaḥ | ñittvādādivṛddhirādyudāttatvaṃ ca | gṛhapatitvamityarthe patyantapurohitādibhyaḥ | pā. 5-1-128 | iti yaki tvantodāttatvaṃ syāt | santya | sanane bhava | ṣaṇu dāne | kticktau ceti ktic | na ktici dīrghaśca | pā. 6-4-39 | iti dīrghanalopābhāvaḥ | bhave chandasi | pā. 4-4-110 | iti yat | tatra sādhuḥ | pā. 4-4-98 | iti vā | nighātaḥ | yajñaṃ nayatīti yajñanīḥ | satsūdviṣetyādinā kvip | kṛduttarapadaprakṛtisvaraḥ | devayate | devānātmana icchatīti devayan | tasmai | kyaci cetītvaṃ na bhavati | na cchandasyaputrasyeti niṣedhāt | aśvāghasya | pā. 7-4-37 | ityātvavidhānādītvaniṣedhe prāptasya dīrghasyāpyeṣa niṣedha ityuktaṃ | śaturanumo nadyajādī iti vibhakterudāttatvaṃ | atra kyacaścittvādantodāttatvaṃ | śapaḥ pittvādanudāttatvaṃ | śatuśca lasārvadhātukasvareṇobhayoḥ kyacā sahaikādeśa ekādeśa udāttenodātta ityudāttaḥ | tasmādantodāttātparasyā vibhakteḥ śaturanumo nadyajādītyudāttatvaṃ || 29 ||</w:t>
      </w:r>
    </w:p>
    <w:p>
      <w:pPr>
        <w:pStyle w:val="FirstParagraph"/>
      </w:pPr>
      <w:r>
        <w:rPr>
          <w:bCs/>
          <w:b/>
        </w:rPr>
        <w:t xml:space="preserve">Translation:</w:t>
      </w:r>
      <w:r>
        <w:t xml:space="preserve"> </w:t>
      </w:r>
      <w:r>
        <w:t xml:space="preserve">“</w:t>
      </w:r>
      <w:r>
        <w:t xml:space="preserve">O</w:t>
      </w:r>
      <w:r>
        <w:t xml:space="preserve"> </w:t>
      </w:r>
      <w:r>
        <w:rPr>
          <w:iCs/>
          <w:i/>
        </w:rPr>
        <w:t xml:space="preserve">santya</w:t>
      </w:r>
      <w:r>
        <w:t xml:space="preserve">, Agni, god who gives the fruit, joined with the form belonging to the master of the house,</w:t>
      </w:r>
      <w:r>
        <w:t xml:space="preserve"> </w:t>
      </w:r>
      <w:r>
        <w:rPr>
          <w:iCs/>
          <w:i/>
        </w:rPr>
        <w:t xml:space="preserve">gārhapatyena</w:t>
      </w:r>
      <w:r>
        <w:t xml:space="preserve">, you are with the Ṛtu god</w:t>
      </w:r>
      <w:r>
        <w:t xml:space="preserve"> </w:t>
      </w:r>
      <w:r>
        <w:rPr>
          <w:iCs/>
          <w:i/>
        </w:rPr>
        <w:t xml:space="preserve">yajñanīḥ</w:t>
      </w:r>
      <w:r>
        <w:t xml:space="preserve">, the one who carries the sacrifice through. So,</w:t>
      </w:r>
      <w:r>
        <w:t xml:space="preserve"> </w:t>
      </w:r>
      <w:r>
        <w:rPr>
          <w:iCs/>
          <w:i/>
        </w:rPr>
        <w:t xml:space="preserve">devayate</w:t>
      </w:r>
      <w:r>
        <w:t xml:space="preserve">, for the sacrificer who longs for the gods, worship the gods.</w:t>
      </w:r>
      <w:r>
        <w:t xml:space="preserve">”</w:t>
      </w:r>
      <w:r>
        <w:t xml:space="preserve"> </w:t>
      </w:r>
      <w:r>
        <w:t xml:space="preserve">(Grammatical tail:</w:t>
      </w:r>
      <w:r>
        <w:t xml:space="preserve"> </w:t>
      </w:r>
      <w:r>
        <w:rPr>
          <w:iCs/>
          <w:i/>
        </w:rPr>
        <w:t xml:space="preserve">gārhapatyena</w:t>
      </w:r>
      <w:r>
        <w:t xml:space="preserve">,</w:t>
      </w:r>
      <w:r>
        <w:t xml:space="preserve"> </w:t>
      </w:r>
      <w:r>
        <w:rPr>
          <w:iCs/>
          <w:i/>
        </w:rPr>
        <w:t xml:space="preserve">ñya</w:t>
      </w:r>
      <w:r>
        <w:t xml:space="preserve"> </w:t>
      </w:r>
      <w:r>
        <w:t xml:space="preserve">by Pā. 4-4-90</w:t>
      </w:r>
      <w:r>
        <w:t xml:space="preserve"> </w:t>
      </w:r>
      <w:r>
        <w:t xml:space="preserve">“</w:t>
      </w:r>
      <w:r>
        <w:t xml:space="preserve">joined with the master of the house</w:t>
      </w:r>
      <w:r>
        <w:t xml:space="preserve">”</w:t>
      </w:r>
      <w:r>
        <w:t xml:space="preserve">, the</w:t>
      </w:r>
      <w:r>
        <w:t xml:space="preserve"> </w:t>
      </w:r>
      <w:r>
        <w:rPr>
          <w:iCs/>
          <w:i/>
        </w:rPr>
        <w:t xml:space="preserve">i</w:t>
      </w:r>
      <w:r>
        <w:t xml:space="preserve"> </w:t>
      </w:r>
      <w:r>
        <w:t xml:space="preserve">dropped, initial</w:t>
      </w:r>
      <w:r>
        <w:t xml:space="preserve"> </w:t>
      </w:r>
      <w:r>
        <w:rPr>
          <w:iCs/>
          <w:i/>
        </w:rPr>
        <w:t xml:space="preserve">vṛddhi</w:t>
      </w:r>
      <w:r>
        <w:t xml:space="preserve"> </w:t>
      </w:r>
      <w:r>
        <w:t xml:space="preserve">and initial udātta (</w:t>
      </w:r>
      <w:r>
        <w:rPr>
          <w:iCs/>
          <w:i/>
        </w:rPr>
        <w:t xml:space="preserve">ñit</w:t>
      </w:r>
      <w:r>
        <w:t xml:space="preserve">); with</w:t>
      </w:r>
      <w:r>
        <w:t xml:space="preserve"> </w:t>
      </w:r>
      <w:r>
        <w:rPr>
          <w:iCs/>
          <w:i/>
        </w:rPr>
        <w:t xml:space="preserve">yak</w:t>
      </w:r>
      <w:r>
        <w:t xml:space="preserve"> </w:t>
      </w:r>
      <w:r>
        <w:t xml:space="preserve">by Pā. 5-1-128 in the sense of mastership it would be final udātta;</w:t>
      </w:r>
      <w:r>
        <w:t xml:space="preserve"> </w:t>
      </w:r>
      <w:r>
        <w:rPr>
          <w:iCs/>
          <w:i/>
        </w:rPr>
        <w:t xml:space="preserve">santya</w:t>
      </w:r>
      <w:r>
        <w:t xml:space="preserve">,</w:t>
      </w:r>
      <w:r>
        <w:t xml:space="preserve"> </w:t>
      </w:r>
      <w:r>
        <w:t xml:space="preserve">“</w:t>
      </w:r>
      <w:r>
        <w:t xml:space="preserve">who is in the giving</w:t>
      </w:r>
      <w:r>
        <w:t xml:space="preserve">”</w:t>
      </w:r>
      <w:r>
        <w:t xml:space="preserve">,</w:t>
      </w:r>
      <w:r>
        <w:t xml:space="preserve"> </w:t>
      </w:r>
      <w:r>
        <w:rPr>
          <w:iCs/>
          <w:i/>
        </w:rPr>
        <w:t xml:space="preserve">san</w:t>
      </w:r>
      <w:r>
        <w:t xml:space="preserve"> </w:t>
      </w:r>
      <w:r>
        <w:t xml:space="preserve">with</w:t>
      </w:r>
      <w:r>
        <w:t xml:space="preserve"> </w:t>
      </w:r>
      <w:r>
        <w:rPr>
          <w:iCs/>
          <w:i/>
        </w:rPr>
        <w:t xml:space="preserve">ktic</w:t>
      </w:r>
      <w:r>
        <w:t xml:space="preserve">, no lengthening or loss of</w:t>
      </w:r>
      <w:r>
        <w:t xml:space="preserve"> </w:t>
      </w:r>
      <w:r>
        <w:rPr>
          <w:iCs/>
          <w:i/>
        </w:rPr>
        <w:t xml:space="preserve">n</w:t>
      </w:r>
      <w:r>
        <w:t xml:space="preserve"> </w:t>
      </w:r>
      <w:r>
        <w:t xml:space="preserve">(Pā. 6-4-39), then</w:t>
      </w:r>
      <w:r>
        <w:t xml:space="preserve"> </w:t>
      </w:r>
      <w:r>
        <w:rPr>
          <w:iCs/>
          <w:i/>
        </w:rPr>
        <w:t xml:space="preserve">yat</w:t>
      </w:r>
      <w:r>
        <w:t xml:space="preserve"> </w:t>
      </w:r>
      <w:r>
        <w:t xml:space="preserve">by Pā. 4-4-110 or 4-4-98, lowered;</w:t>
      </w:r>
      <w:r>
        <w:t xml:space="preserve"> </w:t>
      </w:r>
      <w:r>
        <w:rPr>
          <w:iCs/>
          <w:i/>
        </w:rPr>
        <w:t xml:space="preserve">yajñanīḥ</w:t>
      </w:r>
      <w:r>
        <w:t xml:space="preserve">,</w:t>
      </w:r>
      <w:r>
        <w:t xml:space="preserve"> </w:t>
      </w:r>
      <w:r>
        <w:t xml:space="preserve">“</w:t>
      </w:r>
      <w:r>
        <w:t xml:space="preserve">who leads the sacrifice</w:t>
      </w:r>
      <w:r>
        <w:t xml:space="preserve">”</w:t>
      </w:r>
      <w:r>
        <w:t xml:space="preserve">,</w:t>
      </w:r>
      <w:r>
        <w:t xml:space="preserve"> </w:t>
      </w:r>
      <w:r>
        <w:rPr>
          <w:iCs/>
          <w:i/>
        </w:rPr>
        <w:t xml:space="preserve">kvip</w:t>
      </w:r>
      <w:r>
        <w:t xml:space="preserve">, the</w:t>
      </w:r>
      <w:r>
        <w:t xml:space="preserve"> </w:t>
      </w:r>
      <w:r>
        <w:rPr>
          <w:iCs/>
          <w:i/>
        </w:rPr>
        <w:t xml:space="preserve">kṛt</w:t>
      </w:r>
      <w:r>
        <w:t xml:space="preserve"> </w:t>
      </w:r>
      <w:r>
        <w:t xml:space="preserve">second-member accent;</w:t>
      </w:r>
      <w:r>
        <w:t xml:space="preserve"> </w:t>
      </w:r>
      <w:r>
        <w:rPr>
          <w:iCs/>
          <w:i/>
        </w:rPr>
        <w:t xml:space="preserve">devayate</w:t>
      </w:r>
      <w:r>
        <w:t xml:space="preserve">,</w:t>
      </w:r>
      <w:r>
        <w:t xml:space="preserve"> </w:t>
      </w:r>
      <w:r>
        <w:t xml:space="preserve">“</w:t>
      </w:r>
      <w:r>
        <w:t xml:space="preserve">who desires the gods for himself</w:t>
      </w:r>
      <w:r>
        <w:t xml:space="preserve">”</w:t>
      </w:r>
      <w:r>
        <w:t xml:space="preserve">, no</w:t>
      </w:r>
      <w:r>
        <w:t xml:space="preserve"> </w:t>
      </w:r>
      <w:r>
        <w:rPr>
          <w:iCs/>
          <w:i/>
        </w:rPr>
        <w:t xml:space="preserve">ī</w:t>
      </w:r>
      <w:r>
        <w:t xml:space="preserve"> </w:t>
      </w:r>
      <w:r>
        <w:t xml:space="preserve">before</w:t>
      </w:r>
      <w:r>
        <w:t xml:space="preserve"> </w:t>
      </w:r>
      <w:r>
        <w:rPr>
          <w:iCs/>
          <w:i/>
        </w:rPr>
        <w:t xml:space="preserve">kyac</w:t>
      </w:r>
      <w:r>
        <w:t xml:space="preserve"> </w:t>
      </w:r>
      <w:r>
        <w:t xml:space="preserve">by</w:t>
      </w:r>
      <w:r>
        <w:t xml:space="preserve"> </w:t>
      </w:r>
      <w:r>
        <w:rPr>
          <w:iCs/>
          <w:i/>
        </w:rPr>
        <w:t xml:space="preserve">na chandasy aputrasya</w:t>
      </w:r>
      <w:r>
        <w:t xml:space="preserve">, which bars the lengthening too, as shown by Pā. 7-4-37 enjoining</w:t>
      </w:r>
      <w:r>
        <w:t xml:space="preserve"> </w:t>
      </w:r>
      <w:r>
        <w:rPr>
          <w:iCs/>
          <w:i/>
        </w:rPr>
        <w:t xml:space="preserve">ā</w:t>
      </w:r>
      <w:r>
        <w:t xml:space="preserve">; the ending udātta by</w:t>
      </w:r>
      <w:r>
        <w:t xml:space="preserve"> </w:t>
      </w:r>
      <w:r>
        <w:rPr>
          <w:iCs/>
          <w:i/>
        </w:rPr>
        <w:t xml:space="preserve">śatur anumo nadyajādī</w:t>
      </w:r>
      <w:r>
        <w:t xml:space="preserve">;</w:t>
      </w:r>
      <w:r>
        <w:t xml:space="preserve"> </w:t>
      </w:r>
      <w:r>
        <w:rPr>
          <w:iCs/>
          <w:i/>
        </w:rPr>
        <w:t xml:space="preserve">kyac</w:t>
      </w:r>
      <w:r>
        <w:t xml:space="preserve"> </w:t>
      </w:r>
      <w:r>
        <w:t xml:space="preserve">final udātta (</w:t>
      </w:r>
      <w:r>
        <w:rPr>
          <w:iCs/>
          <w:i/>
        </w:rPr>
        <w:t xml:space="preserve">cit</w:t>
      </w:r>
      <w:r>
        <w:t xml:space="preserve">),</w:t>
      </w:r>
      <w:r>
        <w:t xml:space="preserve"> </w:t>
      </w:r>
      <w:r>
        <w:rPr>
          <w:iCs/>
          <w:i/>
        </w:rPr>
        <w:t xml:space="preserve">śap</w:t>
      </w:r>
      <w:r>
        <w:t xml:space="preserve"> </w:t>
      </w:r>
      <w:r>
        <w:t xml:space="preserve">and</w:t>
      </w:r>
      <w:r>
        <w:t xml:space="preserve"> </w:t>
      </w:r>
      <w:r>
        <w:rPr>
          <w:iCs/>
          <w:i/>
        </w:rPr>
        <w:t xml:space="preserve">śatṛ</w:t>
      </w:r>
      <w:r>
        <w:t xml:space="preserve"> </w:t>
      </w:r>
      <w:r>
        <w:t xml:space="preserve">unaccented, the single replacements udātta. The closing</w:t>
      </w:r>
      <w:r>
        <w:t xml:space="preserve"> </w:t>
      </w:r>
      <w:r>
        <w:t xml:space="preserve">“</w:t>
      </w:r>
      <w:r>
        <w:t xml:space="preserve">29</w:t>
      </w:r>
      <w:r>
        <w:t xml:space="preserve">”</w:t>
      </w:r>
      <w:r>
        <w:t xml:space="preserve"> </w:t>
      </w:r>
      <w:r>
        <w:t xml:space="preserve">is the varga number.)</w:t>
      </w:r>
    </w:p>
    <w:bookmarkEnd w:id="728"/>
    <w:bookmarkStart w:id="729" w:name="X5fb74f8ab54c492e0017768ec3658b4a808b973"/>
    <w:p>
      <w:pPr>
        <w:pStyle w:val="Heading3"/>
      </w:pPr>
      <w:r>
        <w:t xml:space="preserve">Page 672 — Rik 12: word-meanings, overall sense, English, Special Topics</w:t>
      </w:r>
    </w:p>
    <w:p>
      <w:pPr>
        <w:pStyle w:val="FirstParagraph"/>
      </w:pPr>
      <w:r>
        <w:rPr>
          <w:bCs/>
          <w:b/>
        </w:rPr>
        <w:t xml:space="preserve">॥ Prati-padārthaḥ ॥</w:t>
      </w:r>
    </w:p>
    <w:p>
      <w:pPr>
        <w:pStyle w:val="BodyText"/>
      </w:pPr>
      <w:r>
        <w:rPr>
          <w:bCs/>
          <w:b/>
        </w:rPr>
        <w:t xml:space="preserve">सन्त्य (santya)</w:t>
      </w:r>
      <w:r>
        <w:t xml:space="preserve"> </w:t>
      </w:r>
      <w:r>
        <w:t xml:space="preserve">— O Agni, able to give fruit, (you) |</w:t>
      </w:r>
      <w:r>
        <w:t xml:space="preserve"> </w:t>
      </w:r>
      <w:r>
        <w:rPr>
          <w:bCs/>
          <w:b/>
        </w:rPr>
        <w:t xml:space="preserve">गार्हपत्येन (gārhapatyena)</w:t>
      </w:r>
      <w:r>
        <w:t xml:space="preserve"> </w:t>
      </w:r>
      <w:r>
        <w:t xml:space="preserve">— joined with the</w:t>
      </w:r>
      <w:r>
        <w:t xml:space="preserve"> </w:t>
      </w:r>
      <w:r>
        <w:rPr>
          <w:iCs/>
          <w:i/>
        </w:rPr>
        <w:t xml:space="preserve">gārhapatya</w:t>
      </w:r>
      <w:r>
        <w:t xml:space="preserve"> </w:t>
      </w:r>
      <w:r>
        <w:t xml:space="preserve">fire |</w:t>
      </w:r>
      <w:r>
        <w:t xml:space="preserve"> </w:t>
      </w:r>
      <w:r>
        <w:rPr>
          <w:bCs/>
          <w:b/>
        </w:rPr>
        <w:t xml:space="preserve">ऋतुना (ṛtunā)</w:t>
      </w:r>
      <w:r>
        <w:t xml:space="preserve"> </w:t>
      </w:r>
      <w:r>
        <w:t xml:space="preserve">— with the Ṛtu god |</w:t>
      </w:r>
      <w:r>
        <w:t xml:space="preserve"> </w:t>
      </w:r>
      <w:r>
        <w:rPr>
          <w:bCs/>
          <w:b/>
        </w:rPr>
        <w:t xml:space="preserve">यज्ञनीः (yajñanīḥ)</w:t>
      </w:r>
      <w:r>
        <w:t xml:space="preserve"> </w:t>
      </w:r>
      <w:r>
        <w:t xml:space="preserve">— as the one who carries the sacrifice through |</w:t>
      </w:r>
      <w:r>
        <w:t xml:space="preserve"> </w:t>
      </w:r>
      <w:r>
        <w:rPr>
          <w:bCs/>
          <w:b/>
        </w:rPr>
        <w:t xml:space="preserve">असि (asi)</w:t>
      </w:r>
      <w:r>
        <w:t xml:space="preserve"> </w:t>
      </w:r>
      <w:r>
        <w:t xml:space="preserve">— you are; (so) |</w:t>
      </w:r>
      <w:r>
        <w:t xml:space="preserve"> </w:t>
      </w:r>
      <w:r>
        <w:rPr>
          <w:bCs/>
          <w:b/>
        </w:rPr>
        <w:t xml:space="preserve">देवयते (devayate)</w:t>
      </w:r>
      <w:r>
        <w:t xml:space="preserve"> </w:t>
      </w:r>
      <w:r>
        <w:t xml:space="preserve">— for the sacrificer who seeks the gods for the sacrifice |</w:t>
      </w:r>
      <w:r>
        <w:t xml:space="preserve"> </w:t>
      </w:r>
      <w:r>
        <w:rPr>
          <w:bCs/>
          <w:b/>
        </w:rPr>
        <w:t xml:space="preserve">देवान् (devān)</w:t>
      </w:r>
      <w:r>
        <w:t xml:space="preserve"> </w:t>
      </w:r>
      <w:r>
        <w:t xml:space="preserve">— the gods |</w:t>
      </w:r>
      <w:r>
        <w:t xml:space="preserve"> </w:t>
      </w:r>
      <w:r>
        <w:rPr>
          <w:bCs/>
          <w:b/>
        </w:rPr>
        <w:t xml:space="preserve">यज (yaja)</w:t>
      </w:r>
      <w:r>
        <w:t xml:space="preserve"> </w:t>
      </w:r>
      <w:r>
        <w:t xml:space="preserve">— worship.</w:t>
      </w:r>
    </w:p>
    <w:p>
      <w:pPr>
        <w:pStyle w:val="BodyText"/>
      </w:pPr>
      <w:r>
        <w:rPr>
          <w:bCs/>
          <w:b/>
        </w:rPr>
        <w:t xml:space="preserve">॥ Bhāvārthaḥ ॥</w:t>
      </w:r>
    </w:p>
    <w:p>
      <w:pPr>
        <w:pStyle w:val="BodyText"/>
      </w:pPr>
      <w:r>
        <w:t xml:space="preserve">O god Agni, you give what is desired. In the form of the</w:t>
      </w:r>
      <w:r>
        <w:t xml:space="preserve"> </w:t>
      </w:r>
      <w:r>
        <w:rPr>
          <w:iCs/>
          <w:i/>
        </w:rPr>
        <w:t xml:space="preserve">gārhapatya</w:t>
      </w:r>
      <w:r>
        <w:t xml:space="preserve"> </w:t>
      </w:r>
      <w:r>
        <w:t xml:space="preserve">fire, you carry through the sacrificer’s rites with the Ṛtu god. So, for the sacrificer who always seeks the worship of the gods, carry the sacrifice through.</w:t>
      </w:r>
    </w:p>
    <w:p>
      <w:pPr>
        <w:pStyle w:val="BodyText"/>
      </w:pPr>
      <w:r>
        <w:rPr>
          <w:bCs/>
          <w:b/>
        </w:rPr>
        <w:t xml:space="preserve">॥ English Translation ॥</w:t>
      </w:r>
      <w:r>
        <w:t xml:space="preserve"> </w:t>
      </w:r>
      <w:r>
        <w:rPr>
          <w:iCs/>
          <w:i/>
        </w:rPr>
        <w:t xml:space="preserve">(as printed in the source)</w:t>
      </w:r>
    </w:p>
    <w:p>
      <w:pPr>
        <w:pStyle w:val="BlockText"/>
      </w:pPr>
      <w:r>
        <w:t xml:space="preserve">O Agni, giver of rewards, being the lord of the house, and partaker with Ritu of the sacrifice, perform the sacrifice on behalf of the worshipper.</w:t>
      </w:r>
    </w:p>
    <w:p>
      <w:pPr>
        <w:pStyle w:val="FirstParagraph"/>
      </w:pPr>
      <w:r>
        <w:rPr>
          <w:bCs/>
          <w:b/>
        </w:rPr>
        <w:t xml:space="preserve">॥ Viśeṣa-viṣayagaḷu (Special Topics) ॥</w:t>
      </w:r>
    </w:p>
    <w:p>
      <w:pPr>
        <w:pStyle w:val="BodyText"/>
      </w:pPr>
      <w:r>
        <w:rPr>
          <w:bCs/>
          <w:b/>
        </w:rPr>
        <w:t xml:space="preserve">Santya</w:t>
      </w:r>
      <w:r>
        <w:t xml:space="preserve">:</w:t>
      </w:r>
    </w:p>
    <w:p>
      <w:pPr>
        <w:pStyle w:val="BlockText"/>
      </w:pPr>
      <w:r>
        <w:t xml:space="preserve">षणु दाने । सनने भव ॥</w:t>
      </w:r>
    </w:p>
    <w:p>
      <w:pPr>
        <w:pStyle w:val="BlockText"/>
      </w:pPr>
      <w:r>
        <w:rPr>
          <w:iCs/>
          <w:i/>
        </w:rPr>
        <w:t xml:space="preserve">ṣaṇu dāne | sanane bhava ||</w:t>
      </w:r>
    </w:p>
    <w:p>
      <w:pPr>
        <w:pStyle w:val="FirstParagraph"/>
      </w:pPr>
      <w:r>
        <w:t xml:space="preserve">The root</w:t>
      </w:r>
      <w:r>
        <w:t xml:space="preserve"> </w:t>
      </w:r>
      <w:r>
        <w:rPr>
          <w:iCs/>
          <w:i/>
        </w:rPr>
        <w:t xml:space="preserve">ṣaṇu</w:t>
      </w:r>
      <w:r>
        <w:t xml:space="preserve"> </w:t>
      </w:r>
      <w:r>
        <w:t xml:space="preserve">means to give; so the word</w:t>
      </w:r>
      <w:r>
        <w:t xml:space="preserve"> </w:t>
      </w:r>
      <w:r>
        <w:rPr>
          <w:iCs/>
          <w:i/>
        </w:rPr>
        <w:t xml:space="preserve">santya</w:t>
      </w:r>
      <w:r>
        <w:t xml:space="preserve">, formed from this root, means giver. Giver of what? Giver of the fruit of sacrificial rites; or, as said in words like</w:t>
      </w:r>
      <w:r>
        <w:t xml:space="preserve"> </w:t>
      </w:r>
      <w:r>
        <w:rPr>
          <w:iCs/>
          <w:i/>
        </w:rPr>
        <w:t xml:space="preserve">ratnadhātamaḥ</w:t>
      </w:r>
      <w:r>
        <w:t xml:space="preserve">, giver of wealth and lordship.</w:t>
      </w:r>
    </w:p>
    <w:p>
      <w:pPr>
        <w:pStyle w:val="BodyText"/>
      </w:pPr>
      <w:r>
        <w:rPr>
          <w:bCs/>
          <w:b/>
        </w:rPr>
        <w:t xml:space="preserve">Yajñanīḥ</w:t>
      </w:r>
      <w:r>
        <w:t xml:space="preserve">:</w:t>
      </w:r>
    </w:p>
    <w:p>
      <w:pPr>
        <w:pStyle w:val="BlockText"/>
      </w:pPr>
      <w:r>
        <w:t xml:space="preserve">यज्ञं नयतीति यज्ञनीः । यज्ञस्य निर्वाहकः ॥</w:t>
      </w:r>
    </w:p>
    <w:p>
      <w:pPr>
        <w:pStyle w:val="BlockText"/>
      </w:pPr>
      <w:r>
        <w:rPr>
          <w:iCs/>
          <w:i/>
        </w:rPr>
        <w:t xml:space="preserve">yajñaṃ nayatīti yajñanīḥ | yajñasya nirvāhakaḥ ||</w:t>
      </w:r>
    </w:p>
    <w:p>
      <w:pPr>
        <w:pStyle w:val="FirstParagraph"/>
      </w:pPr>
      <w:r>
        <w:t xml:space="preserve">one who carries the sacrifice through.</w:t>
      </w:r>
    </w:p>
    <w:p>
      <w:pPr>
        <w:pStyle w:val="BodyText"/>
      </w:pPr>
      <w:r>
        <w:rPr>
          <w:bCs/>
          <w:b/>
        </w:rPr>
        <w:t xml:space="preserve">Devayate</w:t>
      </w:r>
      <w:r>
        <w:t xml:space="preserve">:</w:t>
      </w:r>
    </w:p>
    <w:p>
      <w:pPr>
        <w:pStyle w:val="BlockText"/>
      </w:pPr>
      <w:r>
        <w:t xml:space="preserve">देवानात्मन इच्छतीति देवयन् तस्मै यजमानाय ॥</w:t>
      </w:r>
    </w:p>
    <w:p>
      <w:pPr>
        <w:pStyle w:val="BlockText"/>
      </w:pPr>
      <w:r>
        <w:rPr>
          <w:iCs/>
          <w:i/>
        </w:rPr>
        <w:t xml:space="preserve">devānātmana icchatīti devayan tasmai yajamānāya ||</w:t>
      </w:r>
    </w:p>
    <w:p>
      <w:pPr>
        <w:pStyle w:val="FirstParagraph"/>
      </w:pPr>
      <w:r>
        <w:t xml:space="preserve">that is, for the sake of the sacrificer who longs for the gods to come to the sacrifice he performs.</w:t>
      </w:r>
    </w:p>
    <w:bookmarkEnd w:id="729"/>
    <w:bookmarkStart w:id="730" w:name="page-673-rik-12-grammar"/>
    <w:p>
      <w:pPr>
        <w:pStyle w:val="Heading3"/>
      </w:pPr>
      <w:r>
        <w:t xml:space="preserve">Page 673 — Rik 12: grammar</w:t>
      </w:r>
    </w:p>
    <w:p>
      <w:pPr>
        <w:pStyle w:val="FirstParagraph"/>
      </w:pPr>
      <w:r>
        <w:rPr>
          <w:bCs/>
          <w:b/>
        </w:rPr>
        <w:t xml:space="preserve">॥ Vyākaraṇa-prakriyā ॥</w:t>
      </w:r>
      <w:r>
        <w:t xml:space="preserve"> </w:t>
      </w:r>
      <w:r>
        <w:rPr>
          <w:iCs/>
          <w:i/>
        </w:rPr>
        <w:t xml:space="preserve">(grammar pages 673–676, noted briefly)</w:t>
      </w:r>
    </w:p>
    <w:p>
      <w:pPr>
        <w:pStyle w:val="BodyText"/>
      </w:pPr>
      <w:r>
        <w:rPr>
          <w:bCs/>
          <w:b/>
        </w:rPr>
        <w:t xml:space="preserve">गार्हपत्येन (</w:t>
      </w:r>
      <w:r>
        <w:rPr>
          <w:iCs/>
          <w:i/>
          <w:bCs/>
          <w:b/>
        </w:rPr>
        <w:t xml:space="preserve">gārhapatyena</w:t>
      </w:r>
      <w:r>
        <w:rPr>
          <w:bCs/>
          <w:b/>
        </w:rPr>
        <w:t xml:space="preserve">)</w:t>
      </w:r>
      <w:r>
        <w:t xml:space="preserve">:</w:t>
      </w:r>
      <w:r>
        <w:t xml:space="preserve"> </w:t>
      </w:r>
      <w:r>
        <w:t xml:space="preserve">“</w:t>
      </w:r>
      <w:r>
        <w:t xml:space="preserve">gṛhapatinā saṃyukte ñyaḥ</w:t>
      </w:r>
      <w:r>
        <w:t xml:space="preserve">”</w:t>
      </w:r>
      <w:r>
        <w:t xml:space="preserve"> </w:t>
      </w:r>
      <w:r>
        <w:t xml:space="preserve">(Pā. sū. 4-4-90): after the fitting instrumental of</w:t>
      </w:r>
      <w:r>
        <w:t xml:space="preserve"> </w:t>
      </w:r>
      <w:r>
        <w:rPr>
          <w:iCs/>
          <w:i/>
        </w:rPr>
        <w:t xml:space="preserve">gṛhapati</w:t>
      </w:r>
      <w:r>
        <w:t xml:space="preserve">, in the sense</w:t>
      </w:r>
      <w:r>
        <w:t xml:space="preserve"> </w:t>
      </w:r>
      <w:r>
        <w:t xml:space="preserve">“</w:t>
      </w:r>
      <w:r>
        <w:t xml:space="preserve">joined</w:t>
      </w:r>
      <w:r>
        <w:t xml:space="preserve">”</w:t>
      </w:r>
      <w:r>
        <w:t xml:space="preserve">, the suffix</w:t>
      </w:r>
      <w:r>
        <w:t xml:space="preserve"> </w:t>
      </w:r>
      <w:r>
        <w:rPr>
          <w:iCs/>
          <w:i/>
        </w:rPr>
        <w:t xml:space="preserve">ñya</w:t>
      </w:r>
      <w:r>
        <w:t xml:space="preserve">; so</w:t>
      </w:r>
      <w:r>
        <w:t xml:space="preserve"> </w:t>
      </w:r>
      <w:r>
        <w:rPr>
          <w:iCs/>
          <w:i/>
        </w:rPr>
        <w:t xml:space="preserve">ñya</w:t>
      </w:r>
      <w:r>
        <w:t xml:space="preserve"> </w:t>
      </w:r>
      <w:r>
        <w:t xml:space="preserve">after</w:t>
      </w:r>
      <w:r>
        <w:t xml:space="preserve"> </w:t>
      </w:r>
      <w:r>
        <w:rPr>
          <w:iCs/>
          <w:i/>
        </w:rPr>
        <w:t xml:space="preserve">gṛhapatinā</w:t>
      </w:r>
      <w:r>
        <w:t xml:space="preserve">:</w:t>
      </w:r>
      <w:r>
        <w:t xml:space="preserve"> </w:t>
      </w:r>
      <w:r>
        <w:rPr>
          <w:iCs/>
          <w:i/>
        </w:rPr>
        <w:t xml:space="preserve">gṛhapati</w:t>
      </w:r>
      <w:r>
        <w:t xml:space="preserve"> </w:t>
      </w:r>
      <w:r>
        <w:t xml:space="preserve">+</w:t>
      </w:r>
      <w:r>
        <w:t xml:space="preserve"> </w:t>
      </w:r>
      <w:r>
        <w:rPr>
          <w:iCs/>
          <w:i/>
        </w:rPr>
        <w:t xml:space="preserve">ṭā</w:t>
      </w:r>
      <w:r>
        <w:t xml:space="preserve"> </w:t>
      </w:r>
      <w:r>
        <w:t xml:space="preserve">+</w:t>
      </w:r>
      <w:r>
        <w:t xml:space="preserve"> </w:t>
      </w:r>
      <w:r>
        <w:rPr>
          <w:iCs/>
          <w:i/>
        </w:rPr>
        <w:t xml:space="preserve">ñya</w:t>
      </w:r>
      <w:r>
        <w:t xml:space="preserve">. By</w:t>
      </w:r>
      <w:r>
        <w:t xml:space="preserve"> </w:t>
      </w:r>
      <w:r>
        <w:t xml:space="preserve">“</w:t>
      </w:r>
      <w:r>
        <w:t xml:space="preserve">cuṭū</w:t>
      </w:r>
      <w:r>
        <w:t xml:space="preserve">”</w:t>
      </w:r>
      <w:r>
        <w:t xml:space="preserve"> </w:t>
      </w:r>
      <w:r>
        <w:t xml:space="preserve">(Pā. sū. 1-3-7) the</w:t>
      </w:r>
      <w:r>
        <w:t xml:space="preserve"> </w:t>
      </w:r>
      <w:r>
        <w:rPr>
          <w:iCs/>
          <w:i/>
        </w:rPr>
        <w:t xml:space="preserve">ñ</w:t>
      </w:r>
      <w:r>
        <w:t xml:space="preserve"> </w:t>
      </w:r>
      <w:r>
        <w:t xml:space="preserve">at the beginning of the suffix is</w:t>
      </w:r>
      <w:r>
        <w:t xml:space="preserve"> </w:t>
      </w:r>
      <w:r>
        <w:rPr>
          <w:iCs/>
          <w:i/>
        </w:rPr>
        <w:t xml:space="preserve">it</w:t>
      </w:r>
      <w:r>
        <w:t xml:space="preserve">; dropped by</w:t>
      </w:r>
      <w:r>
        <w:t xml:space="preserve"> </w:t>
      </w:r>
      <w:r>
        <w:t xml:space="preserve">“</w:t>
      </w:r>
      <w:r>
        <w:t xml:space="preserve">tasya lopaḥ</w:t>
      </w:r>
      <w:r>
        <w:t xml:space="preserve">”</w:t>
      </w:r>
      <w:r>
        <w:t xml:space="preserve"> </w:t>
      </w:r>
      <w:r>
        <w:t xml:space="preserve">(Pā. sū. 1-3-9). The</w:t>
      </w:r>
      <w:r>
        <w:t xml:space="preserve"> </w:t>
      </w:r>
      <w:r>
        <w:rPr>
          <w:iCs/>
          <w:i/>
        </w:rPr>
        <w:t xml:space="preserve">ṭā</w:t>
      </w:r>
      <w:r>
        <w:t xml:space="preserve">, a</w:t>
      </w:r>
      <w:r>
        <w:t xml:space="preserve"> </w:t>
      </w:r>
      <w:r>
        <w:rPr>
          <w:iCs/>
          <w:i/>
        </w:rPr>
        <w:t xml:space="preserve">sup</w:t>
      </w:r>
      <w:r>
        <w:t xml:space="preserve"> </w:t>
      </w:r>
      <w:r>
        <w:t xml:space="preserve">inside a</w:t>
      </w:r>
      <w:r>
        <w:t xml:space="preserve"> </w:t>
      </w:r>
      <w:r>
        <w:rPr>
          <w:iCs/>
          <w:i/>
        </w:rPr>
        <w:t xml:space="preserve">taddhita</w:t>
      </w:r>
      <w:r>
        <w:t xml:space="preserve">-ending stem, takes</w:t>
      </w:r>
      <w:r>
        <w:t xml:space="preserve"> </w:t>
      </w:r>
      <w:r>
        <w:rPr>
          <w:iCs/>
          <w:i/>
        </w:rPr>
        <w:t xml:space="preserve">luk</w:t>
      </w:r>
      <w:r>
        <w:t xml:space="preserve"> </w:t>
      </w:r>
      <w:r>
        <w:t xml:space="preserve">by</w:t>
      </w:r>
      <w:r>
        <w:t xml:space="preserve"> </w:t>
      </w:r>
      <w:r>
        <w:t xml:space="preserve">“</w:t>
      </w:r>
      <w:r>
        <w:t xml:space="preserve">supo dhātu…</w:t>
      </w:r>
      <w:r>
        <w:t xml:space="preserve">”</w:t>
      </w:r>
      <w:r>
        <w:t xml:space="preserve"> </w:t>
      </w:r>
      <w:r>
        <w:t xml:space="preserve">(Pā. sū. 2-4-71):</w:t>
      </w:r>
      <w:r>
        <w:t xml:space="preserve"> </w:t>
      </w:r>
      <w:r>
        <w:rPr>
          <w:iCs/>
          <w:i/>
        </w:rPr>
        <w:t xml:space="preserve">gṛhapati</w:t>
      </w:r>
      <w:r>
        <w:t xml:space="preserve"> </w:t>
      </w:r>
      <w:r>
        <w:t xml:space="preserve">+</w:t>
      </w:r>
      <w:r>
        <w:t xml:space="preserve"> </w:t>
      </w:r>
      <w:r>
        <w:rPr>
          <w:iCs/>
          <w:i/>
        </w:rPr>
        <w:t xml:space="preserve">ya</w:t>
      </w:r>
      <w:r>
        <w:t xml:space="preserve">. The</w:t>
      </w:r>
      <w:r>
        <w:t xml:space="preserve"> </w:t>
      </w:r>
      <w:r>
        <w:rPr>
          <w:iCs/>
          <w:i/>
        </w:rPr>
        <w:t xml:space="preserve">i</w:t>
      </w:r>
      <w:r>
        <w:t xml:space="preserve"> </w:t>
      </w:r>
      <w:r>
        <w:t xml:space="preserve">drops by</w:t>
      </w:r>
      <w:r>
        <w:t xml:space="preserve"> </w:t>
      </w:r>
      <w:r>
        <w:t xml:space="preserve">“</w:t>
      </w:r>
      <w:r>
        <w:t xml:space="preserve">yasyeti ca</w:t>
      </w:r>
      <w:r>
        <w:t xml:space="preserve">”</w:t>
      </w:r>
      <w:r>
        <w:t xml:space="preserve"> </w:t>
      </w:r>
      <w:r>
        <w:t xml:space="preserve">(Pā. sū. 6-4-148); the suffix is</w:t>
      </w:r>
      <w:r>
        <w:t xml:space="preserve"> </w:t>
      </w:r>
      <w:r>
        <w:rPr>
          <w:iCs/>
          <w:i/>
        </w:rPr>
        <w:t xml:space="preserve">ñit</w:t>
      </w:r>
      <w:r>
        <w:t xml:space="preserve">, so initial</w:t>
      </w:r>
      <w:r>
        <w:t xml:space="preserve"> </w:t>
      </w:r>
      <w:r>
        <w:rPr>
          <w:iCs/>
          <w:i/>
        </w:rPr>
        <w:t xml:space="preserve">vṛddhi</w:t>
      </w:r>
      <w:r>
        <w:t xml:space="preserve"> </w:t>
      </w:r>
      <w:r>
        <w:t xml:space="preserve">by</w:t>
      </w:r>
      <w:r>
        <w:t xml:space="preserve"> </w:t>
      </w:r>
      <w:r>
        <w:t xml:space="preserve">“</w:t>
      </w:r>
      <w:r>
        <w:t xml:space="preserve">taddhiteṣv acām ādeḥ</w:t>
      </w:r>
      <w:r>
        <w:t xml:space="preserve">”</w:t>
      </w:r>
      <w:r>
        <w:t xml:space="preserve"> </w:t>
      </w:r>
      <w:r>
        <w:t xml:space="preserve">(Pā. sū. 7-2-117);</w:t>
      </w:r>
      <w:r>
        <w:t xml:space="preserve"> </w:t>
      </w:r>
      <w:r>
        <w:rPr>
          <w:iCs/>
          <w:i/>
        </w:rPr>
        <w:t xml:space="preserve">r</w:t>
      </w:r>
      <w:r>
        <w:t xml:space="preserve"> </w:t>
      </w:r>
      <w:r>
        <w:t xml:space="preserve">after it by</w:t>
      </w:r>
      <w:r>
        <w:t xml:space="preserve"> </w:t>
      </w:r>
      <w:r>
        <w:t xml:space="preserve">“</w:t>
      </w:r>
      <w:r>
        <w:t xml:space="preserve">uraṇ raparaḥ</w:t>
      </w:r>
      <w:r>
        <w:t xml:space="preserve">”</w:t>
      </w:r>
      <w:r>
        <w:t xml:space="preserve">:</w:t>
      </w:r>
      <w:r>
        <w:t xml:space="preserve"> </w:t>
      </w:r>
      <w:r>
        <w:rPr>
          <w:iCs/>
          <w:i/>
        </w:rPr>
        <w:t xml:space="preserve">gārhapatya</w:t>
      </w:r>
      <w:r>
        <w:t xml:space="preserve">. The suffix is</w:t>
      </w:r>
      <w:r>
        <w:t xml:space="preserve"> </w:t>
      </w:r>
      <w:r>
        <w:rPr>
          <w:iCs/>
          <w:i/>
        </w:rPr>
        <w:t xml:space="preserve">ñit</w:t>
      </w:r>
      <w:r>
        <w:t xml:space="preserve">, so initial udātta by</w:t>
      </w:r>
      <w:r>
        <w:t xml:space="preserve"> </w:t>
      </w:r>
      <w:r>
        <w:t xml:space="preserve">“</w:t>
      </w:r>
      <w:r>
        <w:t xml:space="preserve">ñnityādir nityam</w:t>
      </w:r>
      <w:r>
        <w:t xml:space="preserve">”</w:t>
      </w:r>
      <w:r>
        <w:t xml:space="preserve"> </w:t>
      </w:r>
      <w:r>
        <w:t xml:space="preserve">(Pā. sū. 6-1-197).</w:t>
      </w:r>
      <w:r>
        <w:t xml:space="preserve"> </w:t>
      </w:r>
      <w:r>
        <w:t xml:space="preserve">“</w:t>
      </w:r>
      <w:r>
        <w:t xml:space="preserve">patyantapurohitādibhyo yak</w:t>
      </w:r>
      <w:r>
        <w:t xml:space="preserve">”</w:t>
      </w:r>
      <w:r>
        <w:t xml:space="preserve"> </w:t>
      </w:r>
      <w:r>
        <w:t xml:space="preserve">(Pā. sū. 5-1-128): after the fitting genitive of stems ending in</w:t>
      </w:r>
      <w:r>
        <w:t xml:space="preserve"> </w:t>
      </w:r>
      <w:r>
        <w:rPr>
          <w:iCs/>
          <w:i/>
        </w:rPr>
        <w:t xml:space="preserve">pati</w:t>
      </w:r>
      <w:r>
        <w:t xml:space="preserve"> </w:t>
      </w:r>
      <w:r>
        <w:t xml:space="preserve">or read in the</w:t>
      </w:r>
      <w:r>
        <w:t xml:space="preserve"> </w:t>
      </w:r>
      <w:r>
        <w:rPr>
          <w:iCs/>
          <w:i/>
        </w:rPr>
        <w:t xml:space="preserve">purohitādi</w:t>
      </w:r>
      <w:r>
        <w:t xml:space="preserve"> </w:t>
      </w:r>
      <w:r>
        <w:t xml:space="preserve">class, in the senses of state and act,</w:t>
      </w:r>
      <w:r>
        <w:t xml:space="preserve"> </w:t>
      </w:r>
      <w:r>
        <w:rPr>
          <w:iCs/>
          <w:i/>
        </w:rPr>
        <w:t xml:space="preserve">yak</w:t>
      </w:r>
      <w:r>
        <w:t xml:space="preserve">; if one explained that</w:t>
      </w:r>
      <w:r>
        <w:t xml:space="preserve"> </w:t>
      </w:r>
      <w:r>
        <w:rPr>
          <w:iCs/>
          <w:i/>
        </w:rPr>
        <w:t xml:space="preserve">yak</w:t>
      </w:r>
      <w:r>
        <w:t xml:space="preserve"> </w:t>
      </w:r>
      <w:r>
        <w:t xml:space="preserve">comes after</w:t>
      </w:r>
      <w:r>
        <w:t xml:space="preserve"> </w:t>
      </w:r>
      <w:r>
        <w:rPr>
          <w:iCs/>
          <w:i/>
        </w:rPr>
        <w:t xml:space="preserve">gṛhapati</w:t>
      </w:r>
      <w:r>
        <w:t xml:space="preserve">, ending in</w:t>
      </w:r>
      <w:r>
        <w:t xml:space="preserve"> </w:t>
      </w:r>
      <w:r>
        <w:rPr>
          <w:iCs/>
          <w:i/>
        </w:rPr>
        <w:t xml:space="preserve">pati</w:t>
      </w:r>
      <w:r>
        <w:t xml:space="preserve">, in the sense</w:t>
      </w:r>
      <w:r>
        <w:t xml:space="preserve"> </w:t>
      </w:r>
      <w:r>
        <w:rPr>
          <w:iCs/>
          <w:i/>
        </w:rPr>
        <w:t xml:space="preserve">gṛhapater bhāvaḥ</w:t>
      </w:r>
      <w:r>
        <w:t xml:space="preserve">, the form</w:t>
      </w:r>
      <w:r>
        <w:t xml:space="preserve"> </w:t>
      </w:r>
      <w:r>
        <w:rPr>
          <w:iCs/>
          <w:i/>
        </w:rPr>
        <w:t xml:space="preserve">gārhapatya</w:t>
      </w:r>
      <w:r>
        <w:t xml:space="preserve"> </w:t>
      </w:r>
      <w:r>
        <w:t xml:space="preserve">would indeed be got. But then by the suffix accent</w:t>
      </w:r>
      <w:r>
        <w:t xml:space="preserve"> </w:t>
      </w:r>
      <w:r>
        <w:rPr>
          <w:iCs/>
          <w:i/>
        </w:rPr>
        <w:t xml:space="preserve">gārhapatya</w:t>
      </w:r>
      <w:r>
        <w:t xml:space="preserve"> </w:t>
      </w:r>
      <w:r>
        <w:t xml:space="preserve">would be final udātta, and the initial udātta would not be got. So the suffix</w:t>
      </w:r>
      <w:r>
        <w:t xml:space="preserve"> </w:t>
      </w:r>
      <w:r>
        <w:rPr>
          <w:iCs/>
          <w:i/>
        </w:rPr>
        <w:t xml:space="preserve">ñya</w:t>
      </w:r>
      <w:r>
        <w:t xml:space="preserve"> </w:t>
      </w:r>
      <w:r>
        <w:t xml:space="preserve">is set out.</w:t>
      </w:r>
    </w:p>
    <w:p>
      <w:pPr>
        <w:pStyle w:val="BodyText"/>
      </w:pPr>
      <w:r>
        <w:rPr>
          <w:bCs/>
          <w:b/>
        </w:rPr>
        <w:t xml:space="preserve">सन्त्य (</w:t>
      </w:r>
      <w:r>
        <w:rPr>
          <w:iCs/>
          <w:i/>
          <w:bCs/>
          <w:b/>
        </w:rPr>
        <w:t xml:space="preserve">santya</w:t>
      </w:r>
      <w:r>
        <w:rPr>
          <w:bCs/>
          <w:b/>
        </w:rPr>
        <w:t xml:space="preserve">)</w:t>
      </w:r>
      <w:r>
        <w:t xml:space="preserve">:</w:t>
      </w:r>
      <w:r>
        <w:t xml:space="preserve"> </w:t>
      </w:r>
      <w:r>
        <w:rPr>
          <w:iCs/>
          <w:i/>
        </w:rPr>
        <w:t xml:space="preserve">sanane bhava</w:t>
      </w:r>
      <w:r>
        <w:t xml:space="preserve">:</w:t>
      </w:r>
      <w:r>
        <w:t xml:space="preserve"> </w:t>
      </w:r>
      <w:r>
        <w:t xml:space="preserve">“</w:t>
      </w:r>
      <w:r>
        <w:t xml:space="preserve">being in giving the fruit</w:t>
      </w:r>
      <w:r>
        <w:t xml:space="preserve">”</w:t>
      </w:r>
      <w:r>
        <w:t xml:space="preserve">. The root</w:t>
      </w:r>
      <w:r>
        <w:t xml:space="preserve"> </w:t>
      </w:r>
      <w:r>
        <w:rPr>
          <w:iCs/>
          <w:i/>
        </w:rPr>
        <w:t xml:space="preserve">ṣaṇu dāne</w:t>
      </w:r>
      <w:r>
        <w:t xml:space="preserve">.</w:t>
      </w:r>
      <w:r>
        <w:t xml:space="preserve"> </w:t>
      </w:r>
      <w:r>
        <w:t xml:space="preserve">“</w:t>
      </w:r>
      <w:r>
        <w:t xml:space="preserve">ktic ktau ca saṃjñāyām</w:t>
      </w:r>
      <w:r>
        <w:t xml:space="preserve">”</w:t>
      </w:r>
      <w:r>
        <w:t xml:space="preserve"> </w:t>
      </w:r>
      <w:r>
        <w:t xml:space="preserve">(Pā. sū. 3-3-174): when a blessing or a name is meant, the suffixes</w:t>
      </w:r>
      <w:r>
        <w:t xml:space="preserve"> </w:t>
      </w:r>
      <w:r>
        <w:rPr>
          <w:iCs/>
          <w:i/>
        </w:rPr>
        <w:t xml:space="preserve">ktic</w:t>
      </w:r>
      <w:r>
        <w:t xml:space="preserve"> </w:t>
      </w:r>
      <w:r>
        <w:t xml:space="preserve">and</w:t>
      </w:r>
      <w:r>
        <w:t xml:space="preserve"> </w:t>
      </w:r>
      <w:r>
        <w:rPr>
          <w:iCs/>
          <w:i/>
        </w:rPr>
        <w:t xml:space="preserve">kta</w:t>
      </w:r>
      <w:r>
        <w:t xml:space="preserve"> </w:t>
      </w:r>
      <w:r>
        <w:t xml:space="preserve">come after a root; so</w:t>
      </w:r>
      <w:r>
        <w:t xml:space="preserve"> </w:t>
      </w:r>
      <w:r>
        <w:rPr>
          <w:iCs/>
          <w:i/>
        </w:rPr>
        <w:t xml:space="preserve">ktic</w:t>
      </w:r>
      <w:r>
        <w:t xml:space="preserve">.</w:t>
      </w:r>
      <w:r>
        <w:t xml:space="preserve"> </w:t>
      </w:r>
      <w:r>
        <w:rPr>
          <w:iCs/>
          <w:i/>
        </w:rPr>
        <w:t xml:space="preserve">S</w:t>
      </w:r>
      <w:r>
        <w:t xml:space="preserve"> </w:t>
      </w:r>
      <w:r>
        <w:t xml:space="preserve">for</w:t>
      </w:r>
      <w:r>
        <w:t xml:space="preserve"> </w:t>
      </w:r>
      <w:r>
        <w:rPr>
          <w:iCs/>
          <w:i/>
        </w:rPr>
        <w:t xml:space="preserve">ṣ</w:t>
      </w:r>
      <w:r>
        <w:t xml:space="preserve"> </w:t>
      </w:r>
      <w:r>
        <w:t xml:space="preserve">by</w:t>
      </w:r>
      <w:r>
        <w:t xml:space="preserve"> </w:t>
      </w:r>
      <w:r>
        <w:rPr>
          <w:iCs/>
          <w:i/>
        </w:rPr>
        <w:t xml:space="preserve">dhātvādeḥ ṣaḥ saḥ</w:t>
      </w:r>
      <w:r>
        <w:t xml:space="preserve">; the</w:t>
      </w:r>
      <w:r>
        <w:t xml:space="preserve"> </w:t>
      </w:r>
      <w:r>
        <w:rPr>
          <w:iCs/>
          <w:i/>
        </w:rPr>
        <w:t xml:space="preserve">ṇ</w:t>
      </w:r>
      <w:r>
        <w:t xml:space="preserve"> </w:t>
      </w:r>
      <w:r>
        <w:t xml:space="preserve">that came by</w:t>
      </w:r>
      <w:r>
        <w:t xml:space="preserve"> </w:t>
      </w:r>
      <w:r>
        <w:t xml:space="preserve">“</w:t>
      </w:r>
      <w:r>
        <w:t xml:space="preserve">raṣābhyām…</w:t>
      </w:r>
      <w:r>
        <w:t xml:space="preserve">”</w:t>
      </w:r>
      <w:r>
        <w:t xml:space="preserve"> </w:t>
      </w:r>
      <w:r>
        <w:t xml:space="preserve">reverts:</w:t>
      </w:r>
      <w:r>
        <w:t xml:space="preserve"> </w:t>
      </w:r>
      <w:r>
        <w:rPr>
          <w:iCs/>
          <w:i/>
        </w:rPr>
        <w:t xml:space="preserve">san</w:t>
      </w:r>
      <w:r>
        <w:t xml:space="preserve"> </w:t>
      </w:r>
      <w:r>
        <w:t xml:space="preserve">+</w:t>
      </w:r>
      <w:r>
        <w:t xml:space="preserve"> </w:t>
      </w:r>
      <w:r>
        <w:rPr>
          <w:iCs/>
          <w:i/>
        </w:rPr>
        <w:t xml:space="preserve">ti</w:t>
      </w:r>
      <w:r>
        <w:t xml:space="preserve">.</w:t>
      </w:r>
      <w:r>
        <w:t xml:space="preserve"> </w:t>
      </w:r>
      <w:r>
        <w:t xml:space="preserve">“</w:t>
      </w:r>
      <w:r>
        <w:t xml:space="preserve">na ktici dīrghaś ca</w:t>
      </w:r>
      <w:r>
        <w:t xml:space="preserve">”</w:t>
      </w:r>
      <w:r>
        <w:t xml:space="preserve"> </w:t>
      </w:r>
      <w:r>
        <w:t xml:space="preserve">(Pā. sū. 6-4-39): before</w:t>
      </w:r>
      <w:r>
        <w:t xml:space="preserve"> </w:t>
      </w:r>
      <w:r>
        <w:rPr>
          <w:iCs/>
          <w:i/>
        </w:rPr>
        <w:t xml:space="preserve">ktic</w:t>
      </w:r>
      <w:r>
        <w:t xml:space="preserve">, the</w:t>
      </w:r>
      <w:r>
        <w:t xml:space="preserve"> </w:t>
      </w:r>
      <w:r>
        <w:rPr>
          <w:iCs/>
          <w:i/>
        </w:rPr>
        <w:t xml:space="preserve">anudāttopadeśa</w:t>
      </w:r>
      <w:r>
        <w:t xml:space="preserve"> </w:t>
      </w:r>
      <w:r>
        <w:t xml:space="preserve">roots, that is, the</w:t>
      </w:r>
      <w:r>
        <w:t xml:space="preserve"> </w:t>
      </w:r>
      <w:r>
        <w:rPr>
          <w:iCs/>
          <w:i/>
        </w:rPr>
        <w:t xml:space="preserve">aniṭ</w:t>
      </w:r>
      <w:r>
        <w:t xml:space="preserve"> </w:t>
      </w:r>
      <w:r>
        <w:t xml:space="preserve">roots, and the roots</w:t>
      </w:r>
      <w:r>
        <w:t xml:space="preserve"> </w:t>
      </w:r>
      <w:r>
        <w:rPr>
          <w:iCs/>
          <w:i/>
        </w:rPr>
        <w:t xml:space="preserve">vana</w:t>
      </w:r>
      <w:r>
        <w:t xml:space="preserve">,</w:t>
      </w:r>
      <w:r>
        <w:t xml:space="preserve"> </w:t>
      </w:r>
      <w:r>
        <w:rPr>
          <w:iCs/>
          <w:i/>
        </w:rPr>
        <w:t xml:space="preserve">tanoti</w:t>
      </w:r>
      <w:r>
        <w:t xml:space="preserve"> </w:t>
      </w:r>
      <w:r>
        <w:t xml:space="preserve">and the rest get neither the lengthening nor the loss of the nasal: that is the sense of the sūtra. By</w:t>
      </w:r>
      <w:r>
        <w:t xml:space="preserve"> </w:t>
      </w:r>
      <w:r>
        <w:t xml:space="preserve">“</w:t>
      </w:r>
      <w:r>
        <w:t xml:space="preserve">anunāsikasya kvijhaloḥ kṅiti</w:t>
      </w:r>
      <w:r>
        <w:t xml:space="preserve">”</w:t>
      </w:r>
      <w:r>
        <w:t xml:space="preserve"> </w:t>
      </w:r>
      <w:r>
        <w:t xml:space="preserve">(Pā. sū. 6-4-15), before</w:t>
      </w:r>
      <w:r>
        <w:t xml:space="preserve"> </w:t>
      </w:r>
      <w:r>
        <w:rPr>
          <w:iCs/>
          <w:i/>
        </w:rPr>
        <w:t xml:space="preserve">kvi</w:t>
      </w:r>
      <w:r>
        <w:t xml:space="preserve"> </w:t>
      </w:r>
      <w:r>
        <w:t xml:space="preserve">and before a</w:t>
      </w:r>
      <w:r>
        <w:t xml:space="preserve"> </w:t>
      </w:r>
      <w:r>
        <w:rPr>
          <w:iCs/>
          <w:i/>
        </w:rPr>
        <w:t xml:space="preserve">jhal</w:t>
      </w:r>
      <w:r>
        <w:t xml:space="preserve">-initial</w:t>
      </w:r>
      <w:r>
        <w:t xml:space="preserve"> </w:t>
      </w:r>
      <w:r>
        <w:rPr>
          <w:iCs/>
          <w:i/>
        </w:rPr>
        <w:t xml:space="preserve">kit</w:t>
      </w:r>
      <w:r>
        <w:t xml:space="preserve"> </w:t>
      </w:r>
      <w:r>
        <w:t xml:space="preserve">or</w:t>
      </w:r>
      <w:r>
        <w:t xml:space="preserve"> </w:t>
      </w:r>
      <w:r>
        <w:rPr>
          <w:iCs/>
          <w:i/>
        </w:rPr>
        <w:t xml:space="preserve">ṅit</w:t>
      </w:r>
      <w:r>
        <w:t xml:space="preserve"> </w:t>
      </w:r>
      <w:r>
        <w:t xml:space="preserve">suffix, the penultimate of a root ending in a nasal is lengthened; that lengthening, and the loss of the</w:t>
      </w:r>
      <w:r>
        <w:t xml:space="preserve"> </w:t>
      </w:r>
      <w:r>
        <w:rPr>
          <w:iCs/>
          <w:i/>
        </w:rPr>
        <w:t xml:space="preserve">n</w:t>
      </w:r>
      <w:r>
        <w:t xml:space="preserve"> </w:t>
      </w:r>
      <w:r>
        <w:t xml:space="preserve">by</w:t>
      </w:r>
      <w:r>
        <w:t xml:space="preserve"> </w:t>
      </w:r>
      <w:r>
        <w:t xml:space="preserve">“</w:t>
      </w:r>
      <w:r>
        <w:t xml:space="preserve">anudāttopadeśavanatitanotyādīnām anunāsikalopo jhali kṅiti</w:t>
      </w:r>
      <w:r>
        <w:t xml:space="preserve">”</w:t>
      </w:r>
      <w:r>
        <w:t xml:space="preserve"> </w:t>
      </w:r>
      <w:r>
        <w:t xml:space="preserve">(Pā. sū. 6-4-37), which drops the final nasal of</w:t>
      </w:r>
      <w:r>
        <w:t xml:space="preserve"> </w:t>
      </w:r>
      <w:r>
        <w:rPr>
          <w:iCs/>
          <w:i/>
        </w:rPr>
        <w:t xml:space="preserve">tanoti</w:t>
      </w:r>
      <w:r>
        <w:t xml:space="preserve"> </w:t>
      </w:r>
      <w:r>
        <w:t xml:space="preserve">and the others and of the root</w:t>
      </w:r>
      <w:r>
        <w:t xml:space="preserve"> </w:t>
      </w:r>
      <w:r>
        <w:rPr>
          <w:iCs/>
          <w:i/>
        </w:rPr>
        <w:t xml:space="preserve">van</w:t>
      </w:r>
      <w:r>
        <w:t xml:space="preserve"> </w:t>
      </w:r>
      <w:r>
        <w:t xml:space="preserve">before a</w:t>
      </w:r>
      <w:r>
        <w:t xml:space="preserve"> </w:t>
      </w:r>
      <w:r>
        <w:rPr>
          <w:iCs/>
          <w:i/>
        </w:rPr>
        <w:t xml:space="preserve">jhal</w:t>
      </w:r>
      <w:r>
        <w:t xml:space="preserve">-initial</w:t>
      </w:r>
      <w:r>
        <w:t xml:space="preserve"> </w:t>
      </w:r>
      <w:r>
        <w:rPr>
          <w:iCs/>
          <w:i/>
        </w:rPr>
        <w:t xml:space="preserve">kit</w:t>
      </w:r>
      <w:r>
        <w:t xml:space="preserve"> </w:t>
      </w:r>
      <w:r>
        <w:t xml:space="preserve">or</w:t>
      </w:r>
      <w:r>
        <w:t xml:space="preserve"> </w:t>
      </w:r>
      <w:r>
        <w:rPr>
          <w:iCs/>
          <w:i/>
        </w:rPr>
        <w:t xml:space="preserve">ṅit</w:t>
      </w:r>
      <w:r>
        <w:t xml:space="preserve"> </w:t>
      </w:r>
      <w:r>
        <w:t xml:space="preserve">suffix, are both barred by</w:t>
      </w:r>
      <w:r>
        <w:t xml:space="preserve"> </w:t>
      </w:r>
      <w:r>
        <w:rPr>
          <w:iCs/>
          <w:i/>
        </w:rPr>
        <w:t xml:space="preserve">na ktici dīrghaś ca</w:t>
      </w:r>
      <w:r>
        <w:t xml:space="preserve">. So</w:t>
      </w:r>
      <w:r>
        <w:t xml:space="preserve"> </w:t>
      </w:r>
      <w:r>
        <w:rPr>
          <w:iCs/>
          <w:i/>
        </w:rPr>
        <w:t xml:space="preserve">santi</w:t>
      </w:r>
      <w:r>
        <w:t xml:space="preserve">. In fact here</w:t>
      </w:r>
    </w:p>
    <w:bookmarkEnd w:id="730"/>
    <w:bookmarkStart w:id="731" w:name="page-674-rik-12-grammar-continued"/>
    <w:p>
      <w:pPr>
        <w:pStyle w:val="Heading3"/>
      </w:pPr>
      <w:r>
        <w:t xml:space="preserve">Page 674 — Rik 12: grammar (continued)</w:t>
      </w:r>
    </w:p>
    <w:p>
      <w:pPr>
        <w:pStyle w:val="FirstParagraph"/>
      </w:pPr>
      <w:r>
        <w:t xml:space="preserve">“</w:t>
      </w:r>
      <w:r>
        <w:t xml:space="preserve">sanaḥ ktici lopaś cāsyānyatarasyām</w:t>
      </w:r>
      <w:r>
        <w:t xml:space="preserve">”</w:t>
      </w:r>
      <w:r>
        <w:t xml:space="preserve"> </w:t>
      </w:r>
      <w:r>
        <w:t xml:space="preserve">(Pā. sū.</w:t>
      </w:r>
      <w:r>
        <w:t xml:space="preserve"> </w:t>
      </w:r>
      <w:r>
        <w:t xml:space="preserve">“</w:t>
      </w:r>
      <w:r>
        <w:t xml:space="preserve">6-4-46</w:t>
      </w:r>
      <w:r>
        <w:t xml:space="preserve">”</w:t>
      </w:r>
      <w:r>
        <w:t xml:space="preserve"> </w:t>
      </w:r>
      <w:r>
        <w:t xml:space="preserve">[as printed, for 6-4-45]): before</w:t>
      </w:r>
      <w:r>
        <w:t xml:space="preserve"> </w:t>
      </w:r>
      <w:r>
        <w:rPr>
          <w:iCs/>
          <w:i/>
        </w:rPr>
        <w:t xml:space="preserve">ktic</w:t>
      </w:r>
      <w:r>
        <w:t xml:space="preserve"> </w:t>
      </w:r>
      <w:r>
        <w:t xml:space="preserve">the</w:t>
      </w:r>
      <w:r>
        <w:t xml:space="preserve"> </w:t>
      </w:r>
      <w:r>
        <w:rPr>
          <w:iCs/>
          <w:i/>
        </w:rPr>
        <w:t xml:space="preserve">n</w:t>
      </w:r>
      <w:r>
        <w:t xml:space="preserve"> </w:t>
      </w:r>
      <w:r>
        <w:t xml:space="preserve">of the root</w:t>
      </w:r>
      <w:r>
        <w:t xml:space="preserve"> </w:t>
      </w:r>
      <w:r>
        <w:rPr>
          <w:iCs/>
          <w:i/>
        </w:rPr>
        <w:t xml:space="preserve">san</w:t>
      </w:r>
      <w:r>
        <w:t xml:space="preserve"> </w:t>
      </w:r>
      <w:r>
        <w:t xml:space="preserve">drops and</w:t>
      </w:r>
      <w:r>
        <w:t xml:space="preserve"> </w:t>
      </w:r>
      <w:r>
        <w:rPr>
          <w:iCs/>
          <w:i/>
        </w:rPr>
        <w:t xml:space="preserve">ā</w:t>
      </w:r>
      <w:r>
        <w:t xml:space="preserve"> </w:t>
      </w:r>
      <w:r>
        <w:t xml:space="preserve">comes, both optionally; since</w:t>
      </w:r>
      <w:r>
        <w:t xml:space="preserve"> </w:t>
      </w:r>
      <w:r>
        <w:rPr>
          <w:iCs/>
          <w:i/>
        </w:rPr>
        <w:t xml:space="preserve">ā</w:t>
      </w:r>
      <w:r>
        <w:t xml:space="preserve"> </w:t>
      </w:r>
      <w:r>
        <w:t xml:space="preserve">and the loss of</w:t>
      </w:r>
      <w:r>
        <w:t xml:space="preserve"> </w:t>
      </w:r>
      <w:r>
        <w:rPr>
          <w:iCs/>
          <w:i/>
        </w:rPr>
        <w:t xml:space="preserve">n</w:t>
      </w:r>
      <w:r>
        <w:t xml:space="preserve"> </w:t>
      </w:r>
      <w:r>
        <w:t xml:space="preserve">are enjoined as optional, it is fitting to explain that where neither comes the form</w:t>
      </w:r>
      <w:r>
        <w:t xml:space="preserve"> </w:t>
      </w:r>
      <w:r>
        <w:rPr>
          <w:iCs/>
          <w:i/>
        </w:rPr>
        <w:t xml:space="preserve">santi</w:t>
      </w:r>
      <w:r>
        <w:t xml:space="preserve"> </w:t>
      </w:r>
      <w:r>
        <w:t xml:space="preserve">is got. Under</w:t>
      </w:r>
      <w:r>
        <w:t xml:space="preserve"> </w:t>
      </w:r>
      <w:r>
        <w:t xml:space="preserve">“</w:t>
      </w:r>
      <w:r>
        <w:t xml:space="preserve">sarva evāyaṃ yogaḥ śakyo ’vaktum</w:t>
      </w:r>
      <w:r>
        <w:t xml:space="preserve">”</w:t>
      </w:r>
      <w:r>
        <w:t xml:space="preserve"> </w:t>
      </w:r>
      <w:r>
        <w:t xml:space="preserve">(Pā. Mabhā.</w:t>
      </w:r>
      <w:r>
        <w:t xml:space="preserve"> </w:t>
      </w:r>
      <w:r>
        <w:t xml:space="preserve">“</w:t>
      </w:r>
      <w:r>
        <w:t xml:space="preserve">6-4-45</w:t>
      </w:r>
      <w:r>
        <w:t xml:space="preserve">”</w:t>
      </w:r>
      <w:r>
        <w:t xml:space="preserve"> </w:t>
      </w:r>
      <w:r>
        <w:t xml:space="preserve">[?]), on the view that the whole sūtra can be dropped, the Kaiyaṭa says that</w:t>
      </w:r>
      <w:r>
        <w:t xml:space="preserve"> </w:t>
      </w:r>
      <w:r>
        <w:rPr>
          <w:iCs/>
          <w:i/>
        </w:rPr>
        <w:t xml:space="preserve">sanaḥ ktici ity eva lopasya prakaraṇāt siddhatvāl lopaś ca ity api na vaktavyam</w:t>
      </w:r>
      <w:r>
        <w:t xml:space="preserve">. Since many words are rejected, the Bhāṣya says</w:t>
      </w:r>
      <w:r>
        <w:t xml:space="preserve"> </w:t>
      </w:r>
      <w:r>
        <w:t xml:space="preserve">“</w:t>
      </w:r>
      <w:r>
        <w:t xml:space="preserve">sarva evāyaṃ yogaḥ</w:t>
      </w:r>
      <w:r>
        <w:t xml:space="preserve">”</w:t>
      </w:r>
      <w:r>
        <w:t xml:space="preserve">. It is explained that</w:t>
      </w:r>
      <w:r>
        <w:t xml:space="preserve"> </w:t>
      </w:r>
      <w:r>
        <w:rPr>
          <w:iCs/>
          <w:i/>
        </w:rPr>
        <w:t xml:space="preserve">lopaḥ</w:t>
      </w:r>
      <w:r>
        <w:t xml:space="preserve">,</w:t>
      </w:r>
      <w:r>
        <w:t xml:space="preserve"> </w:t>
      </w:r>
      <w:r>
        <w:rPr>
          <w:iCs/>
          <w:i/>
        </w:rPr>
        <w:t xml:space="preserve">ca</w:t>
      </w:r>
      <w:r>
        <w:t xml:space="preserve">,</w:t>
      </w:r>
      <w:r>
        <w:t xml:space="preserve"> </w:t>
      </w:r>
      <w:r>
        <w:rPr>
          <w:iCs/>
          <w:i/>
        </w:rPr>
        <w:t xml:space="preserve">asya</w:t>
      </w:r>
      <w:r>
        <w:t xml:space="preserve">,</w:t>
      </w:r>
      <w:r>
        <w:t xml:space="preserve"> </w:t>
      </w:r>
      <w:r>
        <w:rPr>
          <w:iCs/>
          <w:i/>
        </w:rPr>
        <w:t xml:space="preserve">anyatarasyām</w:t>
      </w:r>
      <w:r>
        <w:t xml:space="preserve">, many words, are rejected as unnecessary, so the Bhāṣya</w:t>
      </w:r>
      <w:r>
        <w:t xml:space="preserve"> </w:t>
      </w:r>
      <w:r>
        <w:t xml:space="preserve">“</w:t>
      </w:r>
      <w:r>
        <w:t xml:space="preserve">sarva evāyam</w:t>
      </w:r>
      <w:r>
        <w:t xml:space="preserve">”</w:t>
      </w:r>
      <w:r>
        <w:t xml:space="preserve"> </w:t>
      </w:r>
      <w:r>
        <w:t xml:space="preserve">begins; and rejecting the whole sūtra is not the Bhāṣya’s intention; it is explained that the sūtra</w:t>
      </w:r>
      <w:r>
        <w:t xml:space="preserve"> </w:t>
      </w:r>
      <w:r>
        <w:rPr>
          <w:iCs/>
          <w:i/>
        </w:rPr>
        <w:t xml:space="preserve">sanaḥ ktici</w:t>
      </w:r>
      <w:r>
        <w:t xml:space="preserve"> </w:t>
      </w:r>
      <w:r>
        <w:t xml:space="preserve">alone is enough. On this view, since the</w:t>
      </w:r>
      <w:r>
        <w:t xml:space="preserve"> </w:t>
      </w:r>
      <w:r>
        <w:rPr>
          <w:iCs/>
          <w:i/>
        </w:rPr>
        <w:t xml:space="preserve">ā</w:t>
      </w:r>
      <w:r>
        <w:t xml:space="preserve"> </w:t>
      </w:r>
      <w:r>
        <w:t xml:space="preserve">and the loss of</w:t>
      </w:r>
      <w:r>
        <w:t xml:space="preserve"> </w:t>
      </w:r>
      <w:r>
        <w:rPr>
          <w:iCs/>
          <w:i/>
        </w:rPr>
        <w:t xml:space="preserve">n</w:t>
      </w:r>
      <w:r>
        <w:t xml:space="preserve"> </w:t>
      </w:r>
      <w:r>
        <w:t xml:space="preserve">enjoined by</w:t>
      </w:r>
      <w:r>
        <w:t xml:space="preserve"> </w:t>
      </w:r>
      <w:r>
        <w:rPr>
          <w:iCs/>
          <w:i/>
        </w:rPr>
        <w:t xml:space="preserve">sanaḥ ktici</w:t>
      </w:r>
      <w:r>
        <w:t xml:space="preserve"> </w:t>
      </w:r>
      <w:r>
        <w:t xml:space="preserve">are optional, it is fitting to explain that where they do not come the form</w:t>
      </w:r>
      <w:r>
        <w:t xml:space="preserve"> </w:t>
      </w:r>
      <w:r>
        <w:rPr>
          <w:iCs/>
          <w:i/>
        </w:rPr>
        <w:t xml:space="preserve">santi</w:t>
      </w:r>
      <w:r>
        <w:t xml:space="preserve"> </w:t>
      </w:r>
      <w:r>
        <w:t xml:space="preserve">is got. If the analysis</w:t>
      </w:r>
      <w:r>
        <w:t xml:space="preserve"> </w:t>
      </w:r>
      <w:r>
        <w:rPr>
          <w:iCs/>
          <w:i/>
        </w:rPr>
        <w:t xml:space="preserve">santyāṃ bhavaḥ</w:t>
      </w:r>
      <w:r>
        <w:t xml:space="preserve"> </w:t>
      </w:r>
      <w:r>
        <w:t xml:space="preserve">is meant, by</w:t>
      </w:r>
      <w:r>
        <w:t xml:space="preserve"> </w:t>
      </w:r>
      <w:r>
        <w:t xml:space="preserve">“</w:t>
      </w:r>
      <w:r>
        <w:t xml:space="preserve">bhave chandasi</w:t>
      </w:r>
      <w:r>
        <w:t xml:space="preserve">”</w:t>
      </w:r>
      <w:r>
        <w:t xml:space="preserve"> </w:t>
      </w:r>
      <w:r>
        <w:t xml:space="preserve">(Pā. sū.</w:t>
      </w:r>
      <w:r>
        <w:t xml:space="preserve"> </w:t>
      </w:r>
      <w:r>
        <w:t xml:space="preserve">“</w:t>
      </w:r>
      <w:r>
        <w:t xml:space="preserve">4-41-10</w:t>
      </w:r>
      <w:r>
        <w:t xml:space="preserve">”</w:t>
      </w:r>
      <w:r>
        <w:t xml:space="preserve"> </w:t>
      </w:r>
      <w:r>
        <w:t xml:space="preserve">[as printed, for 4-4-110]) the suffix</w:t>
      </w:r>
      <w:r>
        <w:t xml:space="preserve"> </w:t>
      </w:r>
      <w:r>
        <w:rPr>
          <w:iCs/>
          <w:i/>
        </w:rPr>
        <w:t xml:space="preserve">yat</w:t>
      </w:r>
      <w:r>
        <w:t xml:space="preserve"> </w:t>
      </w:r>
      <w:r>
        <w:t xml:space="preserve">comes in the Veda after the fitting locative of a stem in the sense of being; with</w:t>
      </w:r>
      <w:r>
        <w:t xml:space="preserve"> </w:t>
      </w:r>
      <w:r>
        <w:rPr>
          <w:iCs/>
          <w:i/>
        </w:rPr>
        <w:t xml:space="preserve">yat</w:t>
      </w:r>
      <w:r>
        <w:t xml:space="preserve">,</w:t>
      </w:r>
      <w:r>
        <w:t xml:space="preserve"> </w:t>
      </w:r>
      <w:r>
        <w:rPr>
          <w:iCs/>
          <w:i/>
        </w:rPr>
        <w:t xml:space="preserve">santi</w:t>
      </w:r>
      <w:r>
        <w:t xml:space="preserve"> </w:t>
      </w:r>
      <w:r>
        <w:t xml:space="preserve">+</w:t>
      </w:r>
      <w:r>
        <w:t xml:space="preserve"> </w:t>
      </w:r>
      <w:r>
        <w:rPr>
          <w:iCs/>
          <w:i/>
        </w:rPr>
        <w:t xml:space="preserve">ṅi</w:t>
      </w:r>
      <w:r>
        <w:t xml:space="preserve"> </w:t>
      </w:r>
      <w:r>
        <w:t xml:space="preserve">+</w:t>
      </w:r>
      <w:r>
        <w:t xml:space="preserve"> </w:t>
      </w:r>
      <w:r>
        <w:rPr>
          <w:iCs/>
          <w:i/>
        </w:rPr>
        <w:t xml:space="preserve">ya</w:t>
      </w:r>
      <w:r>
        <w:t xml:space="preserve">. Or if the analysis</w:t>
      </w:r>
      <w:r>
        <w:t xml:space="preserve"> </w:t>
      </w:r>
      <w:r>
        <w:rPr>
          <w:iCs/>
          <w:i/>
        </w:rPr>
        <w:t xml:space="preserve">santyāṃ sādhuḥ</w:t>
      </w:r>
      <w:r>
        <w:t xml:space="preserve"> </w:t>
      </w:r>
      <w:r>
        <w:t xml:space="preserve">is made, by</w:t>
      </w:r>
      <w:r>
        <w:t xml:space="preserve"> </w:t>
      </w:r>
      <w:r>
        <w:t xml:space="preserve">“</w:t>
      </w:r>
      <w:r>
        <w:t xml:space="preserve">tatra sādhuḥ</w:t>
      </w:r>
      <w:r>
        <w:t xml:space="preserve">”</w:t>
      </w:r>
      <w:r>
        <w:t xml:space="preserve"> </w:t>
      </w:r>
      <w:r>
        <w:t xml:space="preserve">(Pā. sū. 4-4-98)</w:t>
      </w:r>
      <w:r>
        <w:t xml:space="preserve"> </w:t>
      </w:r>
      <w:r>
        <w:rPr>
          <w:iCs/>
          <w:i/>
        </w:rPr>
        <w:t xml:space="preserve">yat</w:t>
      </w:r>
      <w:r>
        <w:t xml:space="preserve"> </w:t>
      </w:r>
      <w:r>
        <w:t xml:space="preserve">in the sense</w:t>
      </w:r>
      <w:r>
        <w:t xml:space="preserve"> </w:t>
      </w:r>
      <w:r>
        <w:rPr>
          <w:iCs/>
          <w:i/>
        </w:rPr>
        <w:t xml:space="preserve">sādhu</w:t>
      </w:r>
      <w:r>
        <w:t xml:space="preserve"> </w:t>
      </w:r>
      <w:r>
        <w:t xml:space="preserve">after the fitting locative; with</w:t>
      </w:r>
      <w:r>
        <w:t xml:space="preserve"> </w:t>
      </w:r>
      <w:r>
        <w:rPr>
          <w:iCs/>
          <w:i/>
        </w:rPr>
        <w:t xml:space="preserve">yat</w:t>
      </w:r>
      <w:r>
        <w:t xml:space="preserve">,</w:t>
      </w:r>
      <w:r>
        <w:t xml:space="preserve"> </w:t>
      </w:r>
      <w:r>
        <w:rPr>
          <w:iCs/>
          <w:i/>
        </w:rPr>
        <w:t xml:space="preserve">santi</w:t>
      </w:r>
      <w:r>
        <w:t xml:space="preserve"> </w:t>
      </w:r>
      <w:r>
        <w:t xml:space="preserve">+</w:t>
      </w:r>
      <w:r>
        <w:t xml:space="preserve"> </w:t>
      </w:r>
      <w:r>
        <w:rPr>
          <w:iCs/>
          <w:i/>
        </w:rPr>
        <w:t xml:space="preserve">ṅi</w:t>
      </w:r>
      <w:r>
        <w:t xml:space="preserve"> </w:t>
      </w:r>
      <w:r>
        <w:t xml:space="preserve">+</w:t>
      </w:r>
      <w:r>
        <w:t xml:space="preserve"> </w:t>
      </w:r>
      <w:r>
        <w:rPr>
          <w:iCs/>
          <w:i/>
        </w:rPr>
        <w:t xml:space="preserve">ya</w:t>
      </w:r>
      <w:r>
        <w:t xml:space="preserve">. In both places the</w:t>
      </w:r>
      <w:r>
        <w:t xml:space="preserve"> </w:t>
      </w:r>
      <w:r>
        <w:rPr>
          <w:iCs/>
          <w:i/>
        </w:rPr>
        <w:t xml:space="preserve">sup</w:t>
      </w:r>
      <w:r>
        <w:t xml:space="preserve"> </w:t>
      </w:r>
      <w:r>
        <w:t xml:space="preserve">inside the</w:t>
      </w:r>
      <w:r>
        <w:t xml:space="preserve"> </w:t>
      </w:r>
      <w:r>
        <w:rPr>
          <w:iCs/>
          <w:i/>
        </w:rPr>
        <w:t xml:space="preserve">taddhita</w:t>
      </w:r>
      <w:r>
        <w:t xml:space="preserve">-ending stem takes</w:t>
      </w:r>
      <w:r>
        <w:t xml:space="preserve"> </w:t>
      </w:r>
      <w:r>
        <w:rPr>
          <w:iCs/>
          <w:i/>
        </w:rPr>
        <w:t xml:space="preserve">luk</w:t>
      </w:r>
      <w:r>
        <w:t xml:space="preserve">. By</w:t>
      </w:r>
      <w:r>
        <w:t xml:space="preserve"> </w:t>
      </w:r>
      <w:r>
        <w:t xml:space="preserve">“</w:t>
      </w:r>
      <w:r>
        <w:t xml:space="preserve">yasyeti ca</w:t>
      </w:r>
      <w:r>
        <w:t xml:space="preserve">”</w:t>
      </w:r>
      <w:r>
        <w:t xml:space="preserve"> </w:t>
      </w:r>
      <w:r>
        <w:t xml:space="preserve">(Pā. sū. 6-4-148) the</w:t>
      </w:r>
      <w:r>
        <w:t xml:space="preserve"> </w:t>
      </w:r>
      <w:r>
        <w:rPr>
          <w:iCs/>
          <w:i/>
        </w:rPr>
        <w:t xml:space="preserve">i</w:t>
      </w:r>
      <w:r>
        <w:t xml:space="preserve"> </w:t>
      </w:r>
      <w:r>
        <w:t xml:space="preserve">drops:</w:t>
      </w:r>
      <w:r>
        <w:t xml:space="preserve"> </w:t>
      </w:r>
      <w:r>
        <w:rPr>
          <w:iCs/>
          <w:i/>
        </w:rPr>
        <w:t xml:space="preserve">santya</w:t>
      </w:r>
      <w:r>
        <w:t xml:space="preserve">. Nominative singular</w:t>
      </w:r>
      <w:r>
        <w:t xml:space="preserve"> </w:t>
      </w:r>
      <w:r>
        <w:rPr>
          <w:iCs/>
          <w:i/>
        </w:rPr>
        <w:t xml:space="preserve">santyaḥ</w:t>
      </w:r>
      <w:r>
        <w:t xml:space="preserve">, vocative singular</w:t>
      </w:r>
      <w:r>
        <w:t xml:space="preserve"> </w:t>
      </w:r>
      <w:r>
        <w:rPr>
          <w:iCs/>
          <w:i/>
        </w:rPr>
        <w:t xml:space="preserve">santya</w:t>
      </w:r>
      <w:r>
        <w:t xml:space="preserve">. Wholly unaccented by</w:t>
      </w:r>
      <w:r>
        <w:t xml:space="preserve"> </w:t>
      </w:r>
      <w:r>
        <w:t xml:space="preserve">“</w:t>
      </w:r>
      <w:r>
        <w:t xml:space="preserve">āmantritasya ca</w:t>
      </w:r>
      <w:r>
        <w:t xml:space="preserve">”</w:t>
      </w:r>
      <w:r>
        <w:t xml:space="preserve"> </w:t>
      </w:r>
      <w:r>
        <w:t xml:space="preserve">(Pā. sū. 8-1-19).</w:t>
      </w:r>
    </w:p>
    <w:p>
      <w:pPr>
        <w:pStyle w:val="BodyText"/>
      </w:pPr>
      <w:r>
        <w:rPr>
          <w:bCs/>
          <w:b/>
        </w:rPr>
        <w:t xml:space="preserve">यज्ञनीः (</w:t>
      </w:r>
      <w:r>
        <w:rPr>
          <w:iCs/>
          <w:i/>
          <w:bCs/>
          <w:b/>
        </w:rPr>
        <w:t xml:space="preserve">yajñanīḥ</w:t>
      </w:r>
      <w:r>
        <w:rPr>
          <w:bCs/>
          <w:b/>
        </w:rPr>
        <w:t xml:space="preserve">)</w:t>
      </w:r>
      <w:r>
        <w:t xml:space="preserve">:</w:t>
      </w:r>
      <w:r>
        <w:t xml:space="preserve"> </w:t>
      </w:r>
      <w:r>
        <w:rPr>
          <w:iCs/>
          <w:i/>
        </w:rPr>
        <w:t xml:space="preserve">yajñaṃ nayati iti yajñanīḥ</w:t>
      </w:r>
      <w:r>
        <w:t xml:space="preserve">.</w:t>
      </w:r>
      <w:r>
        <w:t xml:space="preserve"> </w:t>
      </w:r>
      <w:r>
        <w:t xml:space="preserve">“</w:t>
      </w:r>
      <w:r>
        <w:t xml:space="preserve">satsūdviṣadruhaduhayujavidabhidacchidajinīrājām upasarge ’pi kvip</w:t>
      </w:r>
      <w:r>
        <w:t xml:space="preserve">”</w:t>
      </w:r>
      <w:r>
        <w:t xml:space="preserve"> </w:t>
      </w:r>
      <w:r>
        <w:t xml:space="preserve">(Pā. sū. 3-2-61):</w:t>
      </w:r>
      <w:r>
        <w:t xml:space="preserve"> </w:t>
      </w:r>
      <w:r>
        <w:rPr>
          <w:iCs/>
          <w:i/>
        </w:rPr>
        <w:t xml:space="preserve">ṣadḷ viśaraṇādau</w:t>
      </w:r>
      <w:r>
        <w:t xml:space="preserve">; the root</w:t>
      </w:r>
      <w:r>
        <w:t xml:space="preserve"> </w:t>
      </w:r>
      <w:r>
        <w:rPr>
          <w:iCs/>
          <w:i/>
        </w:rPr>
        <w:t xml:space="preserve">sū</w:t>
      </w:r>
      <w:r>
        <w:t xml:space="preserve"> </w:t>
      </w:r>
      <w:r>
        <w:t xml:space="preserve">is threefold:</w:t>
      </w:r>
      <w:r>
        <w:t xml:space="preserve"> </w:t>
      </w:r>
      <w:r>
        <w:rPr>
          <w:iCs/>
          <w:i/>
        </w:rPr>
        <w:t xml:space="preserve">ṣūṅ prāṇigarbhavimocane</w:t>
      </w:r>
      <w:r>
        <w:t xml:space="preserve"> </w:t>
      </w:r>
      <w:r>
        <w:t xml:space="preserve">(</w:t>
      </w:r>
      <w:r>
        <w:rPr>
          <w:iCs/>
          <w:i/>
        </w:rPr>
        <w:t xml:space="preserve">adādi</w:t>
      </w:r>
      <w:r>
        <w:t xml:space="preserve">),</w:t>
      </w:r>
      <w:r>
        <w:t xml:space="preserve"> </w:t>
      </w:r>
      <w:r>
        <w:rPr>
          <w:iCs/>
          <w:i/>
        </w:rPr>
        <w:t xml:space="preserve">ṣūṅ prāṇiprasave</w:t>
      </w:r>
      <w:r>
        <w:t xml:space="preserve"> </w:t>
      </w:r>
      <w:r>
        <w:t xml:space="preserve">(</w:t>
      </w:r>
      <w:r>
        <w:rPr>
          <w:iCs/>
          <w:i/>
        </w:rPr>
        <w:t xml:space="preserve">divādi</w:t>
      </w:r>
      <w:r>
        <w:t xml:space="preserve">),</w:t>
      </w:r>
      <w:r>
        <w:t xml:space="preserve"> </w:t>
      </w:r>
      <w:r>
        <w:rPr>
          <w:iCs/>
          <w:i/>
        </w:rPr>
        <w:t xml:space="preserve">ṣū preraṇe</w:t>
      </w:r>
      <w:r>
        <w:t xml:space="preserve"> </w:t>
      </w:r>
      <w:r>
        <w:t xml:space="preserve">(</w:t>
      </w:r>
      <w:r>
        <w:rPr>
          <w:iCs/>
          <w:i/>
        </w:rPr>
        <w:t xml:space="preserve">tudādi</w:t>
      </w:r>
      <w:r>
        <w:t xml:space="preserve">). Here by</w:t>
      </w:r>
      <w:r>
        <w:t xml:space="preserve"> </w:t>
      </w:r>
      <w:r>
        <w:t xml:space="preserve">“</w:t>
      </w:r>
      <w:r>
        <w:t xml:space="preserve">sahacaritāsahacaritayoḥ sahacaritasyaiva grahaṇam</w:t>
      </w:r>
      <w:r>
        <w:t xml:space="preserve">”</w:t>
      </w:r>
      <w:r>
        <w:t xml:space="preserve"> </w:t>
      </w:r>
      <w:r>
        <w:t xml:space="preserve">(paribhāṣā 113) the</w:t>
      </w:r>
      <w:r>
        <w:t xml:space="preserve"> </w:t>
      </w:r>
      <w:r>
        <w:rPr>
          <w:iCs/>
          <w:i/>
        </w:rPr>
        <w:t xml:space="preserve">adādi</w:t>
      </w:r>
      <w:r>
        <w:t xml:space="preserve"> </w:t>
      </w:r>
      <w:r>
        <w:t xml:space="preserve">root is taken, being in company with the</w:t>
      </w:r>
      <w:r>
        <w:t xml:space="preserve"> </w:t>
      </w:r>
      <w:r>
        <w:rPr>
          <w:iCs/>
          <w:i/>
        </w:rPr>
        <w:t xml:space="preserve">adādi</w:t>
      </w:r>
      <w:r>
        <w:t xml:space="preserve"> </w:t>
      </w:r>
      <w:r>
        <w:t xml:space="preserve">root</w:t>
      </w:r>
      <w:r>
        <w:t xml:space="preserve"> </w:t>
      </w:r>
      <w:r>
        <w:rPr>
          <w:iCs/>
          <w:i/>
        </w:rPr>
        <w:t xml:space="preserve">dviṣ</w:t>
      </w:r>
      <w:r>
        <w:t xml:space="preserve">;</w:t>
      </w:r>
      <w:r>
        <w:t xml:space="preserve"> </w:t>
      </w:r>
      <w:r>
        <w:rPr>
          <w:iCs/>
          <w:i/>
        </w:rPr>
        <w:t xml:space="preserve">dviṣa aprītau</w:t>
      </w:r>
      <w:r>
        <w:t xml:space="preserve">,</w:t>
      </w:r>
      <w:r>
        <w:t xml:space="preserve"> </w:t>
      </w:r>
      <w:r>
        <w:rPr>
          <w:iCs/>
          <w:i/>
        </w:rPr>
        <w:t xml:space="preserve">druha jighāṃsāyām</w:t>
      </w:r>
      <w:r>
        <w:t xml:space="preserve">,</w:t>
      </w:r>
      <w:r>
        <w:t xml:space="preserve"> </w:t>
      </w:r>
      <w:r>
        <w:rPr>
          <w:iCs/>
          <w:i/>
        </w:rPr>
        <w:t xml:space="preserve">duha prapūraṇe</w:t>
      </w:r>
      <w:r>
        <w:t xml:space="preserve">,</w:t>
      </w:r>
      <w:r>
        <w:t xml:space="preserve"> </w:t>
      </w:r>
      <w:r>
        <w:rPr>
          <w:iCs/>
          <w:i/>
        </w:rPr>
        <w:t xml:space="preserve">yujir yoge</w:t>
      </w:r>
      <w:r>
        <w:t xml:space="preserve">,</w:t>
      </w:r>
      <w:r>
        <w:t xml:space="preserve"> </w:t>
      </w:r>
      <w:r>
        <w:rPr>
          <w:iCs/>
          <w:i/>
        </w:rPr>
        <w:t xml:space="preserve">yuja samādhau</w:t>
      </w:r>
      <w:r>
        <w:t xml:space="preserve">;</w:t>
      </w:r>
      <w:r>
        <w:t xml:space="preserve"> </w:t>
      </w:r>
      <w:r>
        <w:rPr>
          <w:iCs/>
          <w:i/>
        </w:rPr>
        <w:t xml:space="preserve">vida</w:t>
      </w:r>
      <w:r>
        <w:t xml:space="preserve"> </w:t>
      </w:r>
      <w:r>
        <w:t xml:space="preserve">is taken in all three,</w:t>
      </w:r>
      <w:r>
        <w:t xml:space="preserve"> </w:t>
      </w:r>
      <w:r>
        <w:rPr>
          <w:iCs/>
          <w:i/>
        </w:rPr>
        <w:t xml:space="preserve">vida jñāne</w:t>
      </w:r>
      <w:r>
        <w:t xml:space="preserve"> </w:t>
      </w:r>
      <w:r>
        <w:t xml:space="preserve">(</w:t>
      </w:r>
      <w:r>
        <w:rPr>
          <w:iCs/>
          <w:i/>
        </w:rPr>
        <w:t xml:space="preserve">adādi</w:t>
      </w:r>
      <w:r>
        <w:t xml:space="preserve">),</w:t>
      </w:r>
      <w:r>
        <w:t xml:space="preserve"> </w:t>
      </w:r>
      <w:r>
        <w:rPr>
          <w:iCs/>
          <w:i/>
        </w:rPr>
        <w:t xml:space="preserve">vida sattāyām</w:t>
      </w:r>
      <w:r>
        <w:t xml:space="preserve"> </w:t>
      </w:r>
      <w:r>
        <w:t xml:space="preserve">(</w:t>
      </w:r>
      <w:r>
        <w:rPr>
          <w:iCs/>
          <w:i/>
        </w:rPr>
        <w:t xml:space="preserve">divādi</w:t>
      </w:r>
      <w:r>
        <w:t xml:space="preserve">),</w:t>
      </w:r>
      <w:r>
        <w:t xml:space="preserve"> </w:t>
      </w:r>
      <w:r>
        <w:rPr>
          <w:iCs/>
          <w:i/>
        </w:rPr>
        <w:t xml:space="preserve">vida vicāraṇe</w:t>
      </w:r>
      <w:r>
        <w:t xml:space="preserve"> </w:t>
      </w:r>
      <w:r>
        <w:t xml:space="preserve">(</w:t>
      </w:r>
      <w:r>
        <w:rPr>
          <w:iCs/>
          <w:i/>
        </w:rPr>
        <w:t xml:space="preserve">tudādi</w:t>
      </w:r>
      <w:r>
        <w:t xml:space="preserve">); since</w:t>
      </w:r>
      <w:r>
        <w:t xml:space="preserve"> </w:t>
      </w:r>
      <w:r>
        <w:rPr>
          <w:iCs/>
          <w:i/>
        </w:rPr>
        <w:t xml:space="preserve">vida</w:t>
      </w:r>
      <w:r>
        <w:t xml:space="preserve"> </w:t>
      </w:r>
      <w:r>
        <w:t xml:space="preserve">is named ending in</w:t>
      </w:r>
      <w:r>
        <w:t xml:space="preserve"> </w:t>
      </w:r>
      <w:r>
        <w:rPr>
          <w:iCs/>
          <w:i/>
        </w:rPr>
        <w:t xml:space="preserve">a</w:t>
      </w:r>
      <w:r>
        <w:t xml:space="preserve">, the</w:t>
      </w:r>
      <w:r>
        <w:t xml:space="preserve"> </w:t>
      </w:r>
      <w:r>
        <w:rPr>
          <w:iCs/>
          <w:i/>
        </w:rPr>
        <w:t xml:space="preserve">tudādi</w:t>
      </w:r>
      <w:r>
        <w:t xml:space="preserve"> </w:t>
      </w:r>
      <w:r>
        <w:t xml:space="preserve">root</w:t>
      </w:r>
      <w:r>
        <w:t xml:space="preserve"> </w:t>
      </w:r>
      <w:r>
        <w:rPr>
          <w:iCs/>
          <w:i/>
        </w:rPr>
        <w:t xml:space="preserve">vidḷ lābhe</w:t>
      </w:r>
      <w:r>
        <w:t xml:space="preserve"> </w:t>
      </w:r>
      <w:r>
        <w:t xml:space="preserve">is not taken;</w:t>
      </w:r>
      <w:r>
        <w:t xml:space="preserve"> </w:t>
      </w:r>
      <w:r>
        <w:rPr>
          <w:iCs/>
          <w:i/>
        </w:rPr>
        <w:t xml:space="preserve">bhidir vidāraṇe</w:t>
      </w:r>
      <w:r>
        <w:t xml:space="preserve">,</w:t>
      </w:r>
      <w:r>
        <w:t xml:space="preserve"> </w:t>
      </w:r>
      <w:r>
        <w:rPr>
          <w:iCs/>
          <w:i/>
        </w:rPr>
        <w:t xml:space="preserve">chidir dvaidhīkaraṇe</w:t>
      </w:r>
      <w:r>
        <w:t xml:space="preserve">,</w:t>
      </w:r>
      <w:r>
        <w:t xml:space="preserve"> </w:t>
      </w:r>
      <w:r>
        <w:rPr>
          <w:iCs/>
          <w:i/>
        </w:rPr>
        <w:t xml:space="preserve">ji jaye</w:t>
      </w:r>
      <w:r>
        <w:t xml:space="preserve">,</w:t>
      </w:r>
      <w:r>
        <w:t xml:space="preserve"> </w:t>
      </w:r>
      <w:r>
        <w:rPr>
          <w:iCs/>
          <w:i/>
        </w:rPr>
        <w:t xml:space="preserve">ji abhibhave</w:t>
      </w:r>
      <w:r>
        <w:t xml:space="preserve">,</w:t>
      </w:r>
      <w:r>
        <w:t xml:space="preserve"> </w:t>
      </w:r>
      <w:r>
        <w:rPr>
          <w:iCs/>
          <w:i/>
        </w:rPr>
        <w:t xml:space="preserve">ṇīñ prāpaṇe</w:t>
      </w:r>
      <w:r>
        <w:t xml:space="preserve">,</w:t>
      </w:r>
      <w:r>
        <w:t xml:space="preserve"> </w:t>
      </w:r>
      <w:r>
        <w:rPr>
          <w:iCs/>
          <w:i/>
        </w:rPr>
        <w:t xml:space="preserve">rājṛ dīptau</w:t>
      </w:r>
      <w:r>
        <w:t xml:space="preserve">: after these roots, with or without an</w:t>
      </w:r>
      <w:r>
        <w:t xml:space="preserve"> </w:t>
      </w:r>
      <w:r>
        <w:rPr>
          <w:iCs/>
          <w:i/>
        </w:rPr>
        <w:t xml:space="preserve">upasarga</w:t>
      </w:r>
      <w:r>
        <w:t xml:space="preserve">, when a</w:t>
      </w:r>
      <w:r>
        <w:t xml:space="preserve"> </w:t>
      </w:r>
      <w:r>
        <w:rPr>
          <w:iCs/>
          <w:i/>
        </w:rPr>
        <w:t xml:space="preserve">subanta</w:t>
      </w:r>
      <w:r>
        <w:t xml:space="preserve"> </w:t>
      </w:r>
      <w:r>
        <w:t xml:space="preserve">is</w:t>
      </w:r>
      <w:r>
        <w:t xml:space="preserve"> </w:t>
      </w:r>
      <w:r>
        <w:rPr>
          <w:iCs/>
          <w:i/>
        </w:rPr>
        <w:t xml:space="preserve">upapada</w:t>
      </w:r>
      <w:r>
        <w:t xml:space="preserve">, the suffix</w:t>
      </w:r>
      <w:r>
        <w:t xml:space="preserve"> </w:t>
      </w:r>
      <w:r>
        <w:rPr>
          <w:iCs/>
          <w:i/>
        </w:rPr>
        <w:t xml:space="preserve">kvip</w:t>
      </w:r>
      <w:r>
        <w:t xml:space="preserve"> </w:t>
      </w:r>
      <w:r>
        <w:t xml:space="preserve">comes; so</w:t>
      </w:r>
      <w:r>
        <w:t xml:space="preserve"> </w:t>
      </w:r>
      <w:r>
        <w:rPr>
          <w:iCs/>
          <w:i/>
        </w:rPr>
        <w:t xml:space="preserve">kvip</w:t>
      </w:r>
      <w:r>
        <w:t xml:space="preserve"> </w:t>
      </w:r>
      <w:r>
        <w:t xml:space="preserve">after</w:t>
      </w:r>
      <w:r>
        <w:t xml:space="preserve"> </w:t>
      </w:r>
      <w:r>
        <w:rPr>
          <w:iCs/>
          <w:i/>
        </w:rPr>
        <w:t xml:space="preserve">ṇīñ</w:t>
      </w:r>
      <w:r>
        <w:t xml:space="preserve"> </w:t>
      </w:r>
      <w:r>
        <w:t xml:space="preserve">with the</w:t>
      </w:r>
      <w:r>
        <w:t xml:space="preserve"> </w:t>
      </w:r>
      <w:r>
        <w:rPr>
          <w:iCs/>
          <w:i/>
        </w:rPr>
        <w:t xml:space="preserve">subanta</w:t>
      </w:r>
      <w:r>
        <w:t xml:space="preserve"> </w:t>
      </w:r>
      <w:r>
        <w:rPr>
          <w:iCs/>
          <w:i/>
        </w:rPr>
        <w:t xml:space="preserve">yajñam</w:t>
      </w:r>
      <w:r>
        <w:t xml:space="preserve"> </w:t>
      </w:r>
      <w:r>
        <w:t xml:space="preserve">as</w:t>
      </w:r>
      <w:r>
        <w:t xml:space="preserve"> </w:t>
      </w:r>
      <w:r>
        <w:rPr>
          <w:iCs/>
          <w:i/>
        </w:rPr>
        <w:t xml:space="preserve">upapada</w:t>
      </w:r>
      <w:r>
        <w:t xml:space="preserve">; by</w:t>
      </w:r>
      <w:r>
        <w:t xml:space="preserve"> </w:t>
      </w:r>
      <w:r>
        <w:t xml:space="preserve">“</w:t>
      </w:r>
      <w:r>
        <w:t xml:space="preserve">ṇo naḥ</w:t>
      </w:r>
      <w:r>
        <w:t xml:space="preserve">”</w:t>
      </w:r>
      <w:r>
        <w:t xml:space="preserve"> </w:t>
      </w:r>
      <w:r>
        <w:t xml:space="preserve">(Pā. sū.</w:t>
      </w:r>
      <w:r>
        <w:t xml:space="preserve"> </w:t>
      </w:r>
      <w:r>
        <w:t xml:space="preserve">“</w:t>
      </w:r>
      <w:r>
        <w:t xml:space="preserve">6-1-64</w:t>
      </w:r>
      <w:r>
        <w:t xml:space="preserve">”</w:t>
      </w:r>
      <w:r>
        <w:t xml:space="preserve"> </w:t>
      </w:r>
      <w:r>
        <w:t xml:space="preserve">[as printed])</w:t>
      </w:r>
      <w:r>
        <w:t xml:space="preserve"> </w:t>
      </w:r>
      <w:r>
        <w:rPr>
          <w:iCs/>
          <w:i/>
        </w:rPr>
        <w:t xml:space="preserve">n</w:t>
      </w:r>
      <w:r>
        <w:t xml:space="preserve"> </w:t>
      </w:r>
      <w:r>
        <w:t xml:space="preserve">for</w:t>
      </w:r>
      <w:r>
        <w:t xml:space="preserve"> </w:t>
      </w:r>
      <w:r>
        <w:rPr>
          <w:iCs/>
          <w:i/>
        </w:rPr>
        <w:t xml:space="preserve">ṇ</w:t>
      </w:r>
      <w:r>
        <w:t xml:space="preserve">. The</w:t>
      </w:r>
      <w:r>
        <w:t xml:space="preserve"> </w:t>
      </w:r>
      <w:r>
        <w:rPr>
          <w:iCs/>
          <w:i/>
        </w:rPr>
        <w:t xml:space="preserve">sup</w:t>
      </w:r>
      <w:r>
        <w:t xml:space="preserve"> </w:t>
      </w:r>
      <w:r>
        <w:t xml:space="preserve">inside</w:t>
      </w:r>
    </w:p>
    <w:bookmarkEnd w:id="731"/>
    <w:bookmarkStart w:id="732" w:name="page-675-rik-12-grammar-continued"/>
    <w:p>
      <w:pPr>
        <w:pStyle w:val="Heading3"/>
      </w:pPr>
      <w:r>
        <w:t xml:space="preserve">Page 675 — Rik 12: grammar (continued)</w:t>
      </w:r>
    </w:p>
    <w:p>
      <w:pPr>
        <w:pStyle w:val="FirstParagraph"/>
      </w:pPr>
      <w:r>
        <w:t xml:space="preserve">the</w:t>
      </w:r>
      <w:r>
        <w:t xml:space="preserve"> </w:t>
      </w:r>
      <w:r>
        <w:rPr>
          <w:iCs/>
          <w:i/>
        </w:rPr>
        <w:t xml:space="preserve">prātipadika</w:t>
      </w:r>
      <w:r>
        <w:t xml:space="preserve"> </w:t>
      </w:r>
      <w:r>
        <w:t xml:space="preserve">takes</w:t>
      </w:r>
      <w:r>
        <w:t xml:space="preserve"> </w:t>
      </w:r>
      <w:r>
        <w:rPr>
          <w:iCs/>
          <w:i/>
        </w:rPr>
        <w:t xml:space="preserve">luk</w:t>
      </w:r>
      <w:r>
        <w:t xml:space="preserve">, the</w:t>
      </w:r>
      <w:r>
        <w:t xml:space="preserve"> </w:t>
      </w:r>
      <w:r>
        <w:rPr>
          <w:iCs/>
          <w:i/>
        </w:rPr>
        <w:t xml:space="preserve">kvip</w:t>
      </w:r>
      <w:r>
        <w:t xml:space="preserve"> </w:t>
      </w:r>
      <w:r>
        <w:t xml:space="preserve">drops:</w:t>
      </w:r>
      <w:r>
        <w:t xml:space="preserve"> </w:t>
      </w:r>
      <w:r>
        <w:rPr>
          <w:iCs/>
          <w:i/>
        </w:rPr>
        <w:t xml:space="preserve">yajñanī</w:t>
      </w:r>
      <w:r>
        <w:t xml:space="preserve">; nominative singular</w:t>
      </w:r>
      <w:r>
        <w:t xml:space="preserve"> </w:t>
      </w:r>
      <w:r>
        <w:rPr>
          <w:iCs/>
          <w:i/>
        </w:rPr>
        <w:t xml:space="preserve">su</w:t>
      </w:r>
      <w:r>
        <w:t xml:space="preserve">;</w:t>
      </w:r>
      <w:r>
        <w:t xml:space="preserve"> </w:t>
      </w:r>
      <w:r>
        <w:rPr>
          <w:iCs/>
          <w:i/>
        </w:rPr>
        <w:t xml:space="preserve">ru</w:t>
      </w:r>
      <w:r>
        <w:t xml:space="preserve">, visarga:</w:t>
      </w:r>
      <w:r>
        <w:t xml:space="preserve"> </w:t>
      </w:r>
      <w:r>
        <w:rPr>
          <w:iCs/>
          <w:i/>
        </w:rPr>
        <w:t xml:space="preserve">yajñanīḥ</w:t>
      </w:r>
      <w:r>
        <w:t xml:space="preserve">. The second member</w:t>
      </w:r>
      <w:r>
        <w:t xml:space="preserve"> </w:t>
      </w:r>
      <w:r>
        <w:rPr>
          <w:iCs/>
          <w:i/>
        </w:rPr>
        <w:t xml:space="preserve">nī</w:t>
      </w:r>
      <w:r>
        <w:t xml:space="preserve"> </w:t>
      </w:r>
      <w:r>
        <w:t xml:space="preserve">is final udātta by the root accent. After compounding, the</w:t>
      </w:r>
      <w:r>
        <w:t xml:space="preserve"> </w:t>
      </w:r>
      <w:r>
        <w:rPr>
          <w:iCs/>
          <w:i/>
        </w:rPr>
        <w:t xml:space="preserve">kṛt</w:t>
      </w:r>
      <w:r>
        <w:t xml:space="preserve"> </w:t>
      </w:r>
      <w:r>
        <w:t xml:space="preserve">second-member accent comes by</w:t>
      </w:r>
      <w:r>
        <w:t xml:space="preserve"> </w:t>
      </w:r>
      <w:r>
        <w:t xml:space="preserve">“</w:t>
      </w:r>
      <w:r>
        <w:t xml:space="preserve">gatikārakopapadāt kṛt</w:t>
      </w:r>
      <w:r>
        <w:t xml:space="preserve">”</w:t>
      </w:r>
      <w:r>
        <w:t xml:space="preserve"> </w:t>
      </w:r>
      <w:r>
        <w:t xml:space="preserve">(Pā. sū. 6-2-139) and that accent remains.</w:t>
      </w:r>
    </w:p>
    <w:p>
      <w:pPr>
        <w:pStyle w:val="BodyText"/>
      </w:pPr>
      <w:r>
        <w:rPr>
          <w:bCs/>
          <w:b/>
        </w:rPr>
        <w:t xml:space="preserve">देवयते (</w:t>
      </w:r>
      <w:r>
        <w:rPr>
          <w:iCs/>
          <w:i/>
          <w:bCs/>
          <w:b/>
        </w:rPr>
        <w:t xml:space="preserve">devayate</w:t>
      </w:r>
      <w:r>
        <w:rPr>
          <w:bCs/>
          <w:b/>
        </w:rPr>
        <w:t xml:space="preserve">)</w:t>
      </w:r>
      <w:r>
        <w:t xml:space="preserve">: when analysed</w:t>
      </w:r>
      <w:r>
        <w:t xml:space="preserve"> </w:t>
      </w:r>
      <w:r>
        <w:rPr>
          <w:iCs/>
          <w:i/>
        </w:rPr>
        <w:t xml:space="preserve">devān ātmanaḥ icchati</w:t>
      </w:r>
      <w:r>
        <w:t xml:space="preserve"> </w:t>
      </w:r>
      <w:r>
        <w:t xml:space="preserve">(who desires the gods for himself), it becomes</w:t>
      </w:r>
      <w:r>
        <w:t xml:space="preserve"> </w:t>
      </w:r>
      <w:r>
        <w:rPr>
          <w:iCs/>
          <w:i/>
        </w:rPr>
        <w:t xml:space="preserve">devayan</w:t>
      </w:r>
      <w:r>
        <w:t xml:space="preserve">. Thus: by</w:t>
      </w:r>
      <w:r>
        <w:t xml:space="preserve"> </w:t>
      </w:r>
      <w:r>
        <w:t xml:space="preserve">“</w:t>
      </w:r>
      <w:r>
        <w:t xml:space="preserve">supa ātmanaḥ kyac</w:t>
      </w:r>
      <w:r>
        <w:t xml:space="preserve">”</w:t>
      </w:r>
      <w:r>
        <w:t xml:space="preserve"> </w:t>
      </w:r>
      <w:r>
        <w:t xml:space="preserve">(Pā. sū. 3-1-8)</w:t>
      </w:r>
      <w:r>
        <w:t xml:space="preserve"> </w:t>
      </w:r>
      <w:r>
        <w:rPr>
          <w:iCs/>
          <w:i/>
        </w:rPr>
        <w:t xml:space="preserve">kyac</w:t>
      </w:r>
      <w:r>
        <w:t xml:space="preserve"> </w:t>
      </w:r>
      <w:r>
        <w:t xml:space="preserve">after</w:t>
      </w:r>
      <w:r>
        <w:t xml:space="preserve"> </w:t>
      </w:r>
      <w:r>
        <w:rPr>
          <w:iCs/>
          <w:i/>
        </w:rPr>
        <w:t xml:space="preserve">devam</w:t>
      </w:r>
      <w:r>
        <w:t xml:space="preserve">; by</w:t>
      </w:r>
      <w:r>
        <w:t xml:space="preserve"> </w:t>
      </w:r>
      <w:r>
        <w:t xml:space="preserve">“</w:t>
      </w:r>
      <w:r>
        <w:t xml:space="preserve">sanādyantā dhātavaḥ</w:t>
      </w:r>
      <w:r>
        <w:t xml:space="preserve">”</w:t>
      </w:r>
      <w:r>
        <w:t xml:space="preserve"> </w:t>
      </w:r>
      <w:r>
        <w:t xml:space="preserve">(Pā. sū. 3-1-32) it is called a root. The</w:t>
      </w:r>
      <w:r>
        <w:t xml:space="preserve"> </w:t>
      </w:r>
      <w:r>
        <w:rPr>
          <w:iCs/>
          <w:i/>
        </w:rPr>
        <w:t xml:space="preserve">sup</w:t>
      </w:r>
      <w:r>
        <w:t xml:space="preserve"> </w:t>
      </w:r>
      <w:r>
        <w:t xml:space="preserve">inside the root takes</w:t>
      </w:r>
      <w:r>
        <w:t xml:space="preserve"> </w:t>
      </w:r>
      <w:r>
        <w:rPr>
          <w:iCs/>
          <w:i/>
        </w:rPr>
        <w:t xml:space="preserve">luk</w:t>
      </w:r>
      <w:r>
        <w:t xml:space="preserve"> </w:t>
      </w:r>
      <w:r>
        <w:t xml:space="preserve">by</w:t>
      </w:r>
      <w:r>
        <w:t xml:space="preserve"> </w:t>
      </w:r>
      <w:r>
        <w:t xml:space="preserve">“</w:t>
      </w:r>
      <w:r>
        <w:t xml:space="preserve">supo dhātu…</w:t>
      </w:r>
      <w:r>
        <w:t xml:space="preserve">”</w:t>
      </w:r>
      <w:r>
        <w:t xml:space="preserve"> </w:t>
      </w:r>
      <w:r>
        <w:t xml:space="preserve">(Pā. sū. 2-4-71):</w:t>
      </w:r>
      <w:r>
        <w:t xml:space="preserve"> </w:t>
      </w:r>
      <w:r>
        <w:rPr>
          <w:iCs/>
          <w:i/>
        </w:rPr>
        <w:t xml:space="preserve">deva</w:t>
      </w:r>
      <w:r>
        <w:t xml:space="preserve"> </w:t>
      </w:r>
      <w:r>
        <w:t xml:space="preserve">+</w:t>
      </w:r>
      <w:r>
        <w:t xml:space="preserve"> </w:t>
      </w:r>
      <w:r>
        <w:rPr>
          <w:iCs/>
          <w:i/>
        </w:rPr>
        <w:t xml:space="preserve">ya</w:t>
      </w:r>
      <w:r>
        <w:t xml:space="preserve">. Now by</w:t>
      </w:r>
      <w:r>
        <w:t xml:space="preserve"> </w:t>
      </w:r>
      <w:r>
        <w:t xml:space="preserve">“</w:t>
      </w:r>
      <w:r>
        <w:t xml:space="preserve">kyaci ca</w:t>
      </w:r>
      <w:r>
        <w:t xml:space="preserve">”</w:t>
      </w:r>
      <w:r>
        <w:t xml:space="preserve"> </w:t>
      </w:r>
      <w:r>
        <w:t xml:space="preserve">(Pā. sū. 7-4-33)</w:t>
      </w:r>
      <w:r>
        <w:t xml:space="preserve"> </w:t>
      </w:r>
      <w:r>
        <w:rPr>
          <w:iCs/>
          <w:i/>
        </w:rPr>
        <w:t xml:space="preserve">ī</w:t>
      </w:r>
      <w:r>
        <w:t xml:space="preserve"> </w:t>
      </w:r>
      <w:r>
        <w:t xml:space="preserve">would come for the</w:t>
      </w:r>
      <w:r>
        <w:t xml:space="preserve"> </w:t>
      </w:r>
      <w:r>
        <w:rPr>
          <w:iCs/>
          <w:i/>
        </w:rPr>
        <w:t xml:space="preserve">a</w:t>
      </w:r>
      <w:r>
        <w:t xml:space="preserve"> </w:t>
      </w:r>
      <w:r>
        <w:t xml:space="preserve">before</w:t>
      </w:r>
      <w:r>
        <w:t xml:space="preserve"> </w:t>
      </w:r>
      <w:r>
        <w:rPr>
          <w:iCs/>
          <w:i/>
        </w:rPr>
        <w:t xml:space="preserve">kyac</w:t>
      </w:r>
      <w:r>
        <w:t xml:space="preserve">; but</w:t>
      </w:r>
      <w:r>
        <w:t xml:space="preserve"> </w:t>
      </w:r>
      <w:r>
        <w:t xml:space="preserve">“</w:t>
      </w:r>
      <w:r>
        <w:t xml:space="preserve">na chandasy aputrasya</w:t>
      </w:r>
      <w:r>
        <w:t xml:space="preserve">”</w:t>
      </w:r>
      <w:r>
        <w:t xml:space="preserve"> </w:t>
      </w:r>
      <w:r>
        <w:t xml:space="preserve">(Pā. sū. 7-4-35): before</w:t>
      </w:r>
      <w:r>
        <w:t xml:space="preserve"> </w:t>
      </w:r>
      <w:r>
        <w:rPr>
          <w:iCs/>
          <w:i/>
        </w:rPr>
        <w:t xml:space="preserve">kyac</w:t>
      </w:r>
      <w:r>
        <w:t xml:space="preserve">, short</w:t>
      </w:r>
      <w:r>
        <w:t xml:space="preserve"> </w:t>
      </w:r>
      <w:r>
        <w:rPr>
          <w:iCs/>
          <w:i/>
        </w:rPr>
        <w:t xml:space="preserve">a</w:t>
      </w:r>
      <w:r>
        <w:t xml:space="preserve">-final words other than</w:t>
      </w:r>
      <w:r>
        <w:t xml:space="preserve"> </w:t>
      </w:r>
      <w:r>
        <w:rPr>
          <w:iCs/>
          <w:i/>
        </w:rPr>
        <w:t xml:space="preserve">putra</w:t>
      </w:r>
      <w:r>
        <w:t xml:space="preserve"> </w:t>
      </w:r>
      <w:r>
        <w:t xml:space="preserve">get neither</w:t>
      </w:r>
      <w:r>
        <w:t xml:space="preserve"> </w:t>
      </w:r>
      <w:r>
        <w:rPr>
          <w:iCs/>
          <w:i/>
        </w:rPr>
        <w:t xml:space="preserve">ī</w:t>
      </w:r>
      <w:r>
        <w:t xml:space="preserve"> </w:t>
      </w:r>
      <w:r>
        <w:t xml:space="preserve">nor lengthening: that is the sense of the sūtra, carefully drawn out. By</w:t>
      </w:r>
      <w:r>
        <w:t xml:space="preserve"> </w:t>
      </w:r>
      <w:r>
        <w:t xml:space="preserve">“</w:t>
      </w:r>
      <w:r>
        <w:t xml:space="preserve">anantarasya vidhir vā bhavati pratiṣedho vā</w:t>
      </w:r>
      <w:r>
        <w:t xml:space="preserve">”</w:t>
      </w:r>
      <w:r>
        <w:t xml:space="preserve"> </w:t>
      </w:r>
      <w:r>
        <w:t xml:space="preserve">(paribhāṣā 61) this bar might seem to bar only the immediately preceding</w:t>
      </w:r>
      <w:r>
        <w:t xml:space="preserve"> </w:t>
      </w:r>
      <w:r>
        <w:rPr>
          <w:iCs/>
          <w:i/>
        </w:rPr>
        <w:t xml:space="preserve">kyaci ca</w:t>
      </w:r>
      <w:r>
        <w:t xml:space="preserve">. Then, though no</w:t>
      </w:r>
      <w:r>
        <w:t xml:space="preserve"> </w:t>
      </w:r>
      <w:r>
        <w:rPr>
          <w:iCs/>
          <w:i/>
        </w:rPr>
        <w:t xml:space="preserve">ī</w:t>
      </w:r>
      <w:r>
        <w:t xml:space="preserve"> </w:t>
      </w:r>
      <w:r>
        <w:t xml:space="preserve">came, the lengthening by</w:t>
      </w:r>
      <w:r>
        <w:t xml:space="preserve"> </w:t>
      </w:r>
      <w:r>
        <w:t xml:space="preserve">“</w:t>
      </w:r>
      <w:r>
        <w:t xml:space="preserve">akṛtsārvadhātukayoḥ</w:t>
      </w:r>
      <w:r>
        <w:t xml:space="preserve">”</w:t>
      </w:r>
      <w:r>
        <w:t xml:space="preserve"> </w:t>
      </w:r>
      <w:r>
        <w:t xml:space="preserve">(Pā. sū. 7-4-25) would have to come; for</w:t>
      </w:r>
      <w:r>
        <w:t xml:space="preserve"> </w:t>
      </w:r>
      <w:r>
        <w:rPr>
          <w:iCs/>
          <w:i/>
        </w:rPr>
        <w:t xml:space="preserve">kyaci ca</w:t>
      </w:r>
      <w:r>
        <w:t xml:space="preserve"> </w:t>
      </w:r>
      <w:r>
        <w:t xml:space="preserve">is an exception to</w:t>
      </w:r>
      <w:r>
        <w:t xml:space="preserve"> </w:t>
      </w:r>
      <w:r>
        <w:rPr>
          <w:iCs/>
          <w:i/>
        </w:rPr>
        <w:t xml:space="preserve">akṛtsārvadhātukayoḥ</w:t>
      </w:r>
      <w:r>
        <w:t xml:space="preserve">, and when the exception does not come, the general rule comes without obstacle. So</w:t>
      </w:r>
      <w:r>
        <w:t xml:space="preserve"> </w:t>
      </w:r>
      <w:r>
        <w:rPr>
          <w:iCs/>
          <w:i/>
        </w:rPr>
        <w:t xml:space="preserve">na chandasi</w:t>
      </w:r>
      <w:r>
        <w:t xml:space="preserve"> </w:t>
      </w:r>
      <w:r>
        <w:t xml:space="preserve">must be explained to mean that whatever would come before</w:t>
      </w:r>
      <w:r>
        <w:t xml:space="preserve"> </w:t>
      </w:r>
      <w:r>
        <w:rPr>
          <w:iCs/>
          <w:i/>
        </w:rPr>
        <w:t xml:space="preserve">kyac</w:t>
      </w:r>
      <w:r>
        <w:t xml:space="preserve"> </w:t>
      </w:r>
      <w:r>
        <w:t xml:space="preserve">for an</w:t>
      </w:r>
      <w:r>
        <w:t xml:space="preserve"> </w:t>
      </w:r>
      <w:r>
        <w:rPr>
          <w:iCs/>
          <w:i/>
        </w:rPr>
        <w:t xml:space="preserve">a</w:t>
      </w:r>
      <w:r>
        <w:t xml:space="preserve">-final word other than</w:t>
      </w:r>
      <w:r>
        <w:t xml:space="preserve"> </w:t>
      </w:r>
      <w:r>
        <w:rPr>
          <w:iCs/>
          <w:i/>
        </w:rPr>
        <w:t xml:space="preserve">putra</w:t>
      </w:r>
      <w:r>
        <w:t xml:space="preserve"> </w:t>
      </w:r>
      <w:r>
        <w:t xml:space="preserve">does not come; the</w:t>
      </w:r>
      <w:r>
        <w:t xml:space="preserve"> </w:t>
      </w:r>
      <w:r>
        <w:rPr>
          <w:iCs/>
          <w:i/>
        </w:rPr>
        <w:t xml:space="preserve">anantarasya</w:t>
      </w:r>
      <w:r>
        <w:t xml:space="preserve"> </w:t>
      </w:r>
      <w:r>
        <w:t xml:space="preserve">paribhāṣā is not relied on. The proof on this point is</w:t>
      </w:r>
      <w:r>
        <w:t xml:space="preserve"> </w:t>
      </w:r>
      <w:r>
        <w:t xml:space="preserve">“</w:t>
      </w:r>
      <w:r>
        <w:t xml:space="preserve">aśvāghasyāt</w:t>
      </w:r>
      <w:r>
        <w:t xml:space="preserve">”</w:t>
      </w:r>
      <w:r>
        <w:t xml:space="preserve"> </w:t>
      </w:r>
      <w:r>
        <w:t xml:space="preserve">(Pā. sū. 7-4-37): the very prescription of</w:t>
      </w:r>
      <w:r>
        <w:t xml:space="preserve"> </w:t>
      </w:r>
      <w:r>
        <w:rPr>
          <w:iCs/>
          <w:i/>
        </w:rPr>
        <w:t xml:space="preserve">ā</w:t>
      </w:r>
      <w:r>
        <w:t xml:space="preserve"> </w:t>
      </w:r>
      <w:r>
        <w:t xml:space="preserve">for</w:t>
      </w:r>
      <w:r>
        <w:t xml:space="preserve"> </w:t>
      </w:r>
      <w:r>
        <w:rPr>
          <w:iCs/>
          <w:i/>
        </w:rPr>
        <w:t xml:space="preserve">aśva</w:t>
      </w:r>
      <w:r>
        <w:t xml:space="preserve"> </w:t>
      </w:r>
      <w:r>
        <w:t xml:space="preserve">and</w:t>
      </w:r>
      <w:r>
        <w:t xml:space="preserve"> </w:t>
      </w:r>
      <w:r>
        <w:rPr>
          <w:iCs/>
          <w:i/>
        </w:rPr>
        <w:t xml:space="preserve">agha</w:t>
      </w:r>
      <w:r>
        <w:t xml:space="preserve"> </w:t>
      </w:r>
      <w:r>
        <w:t xml:space="preserve">before</w:t>
      </w:r>
      <w:r>
        <w:t xml:space="preserve"> </w:t>
      </w:r>
      <w:r>
        <w:rPr>
          <w:iCs/>
          <w:i/>
        </w:rPr>
        <w:t xml:space="preserve">kyac</w:t>
      </w:r>
      <w:r>
        <w:t xml:space="preserve"> </w:t>
      </w:r>
      <w:r>
        <w:t xml:space="preserve">in the Veda is the proof. In</w:t>
      </w:r>
      <w:r>
        <w:t xml:space="preserve"> </w:t>
      </w:r>
      <w:r>
        <w:rPr>
          <w:iCs/>
          <w:i/>
        </w:rPr>
        <w:t xml:space="preserve">aśvāyantaḥ</w:t>
      </w:r>
      <w:r>
        <w:t xml:space="preserve"> </w:t>
      </w:r>
      <w:r>
        <w:t xml:space="preserve">and</w:t>
      </w:r>
      <w:r>
        <w:t xml:space="preserve"> </w:t>
      </w:r>
      <w:r>
        <w:rPr>
          <w:iCs/>
          <w:i/>
        </w:rPr>
        <w:t xml:space="preserve">aghāyavaḥ</w:t>
      </w:r>
      <w:r>
        <w:t xml:space="preserve"> </w:t>
      </w:r>
      <w:r>
        <w:t xml:space="preserve">the</w:t>
      </w:r>
      <w:r>
        <w:t xml:space="preserve"> </w:t>
      </w:r>
      <w:r>
        <w:rPr>
          <w:iCs/>
          <w:i/>
        </w:rPr>
        <w:t xml:space="preserve">ā</w:t>
      </w:r>
      <w:r>
        <w:t xml:space="preserve"> </w:t>
      </w:r>
      <w:r>
        <w:t xml:space="preserve">is prescribed so that a long</w:t>
      </w:r>
      <w:r>
        <w:t xml:space="preserve"> </w:t>
      </w:r>
      <w:r>
        <w:rPr>
          <w:iCs/>
          <w:i/>
        </w:rPr>
        <w:t xml:space="preserve">ā</w:t>
      </w:r>
      <w:r>
        <w:t xml:space="preserve"> </w:t>
      </w:r>
      <w:r>
        <w:t xml:space="preserve">is heard. If</w:t>
      </w:r>
      <w:r>
        <w:t xml:space="preserve"> </w:t>
      </w:r>
      <w:r>
        <w:rPr>
          <w:iCs/>
          <w:i/>
        </w:rPr>
        <w:t xml:space="preserve">na chandasy aputrasya</w:t>
      </w:r>
      <w:r>
        <w:t xml:space="preserve"> </w:t>
      </w:r>
      <w:r>
        <w:t xml:space="preserve">barred only the</w:t>
      </w:r>
      <w:r>
        <w:t xml:space="preserve"> </w:t>
      </w:r>
      <w:r>
        <w:rPr>
          <w:iCs/>
          <w:i/>
        </w:rPr>
        <w:t xml:space="preserve">ī</w:t>
      </w:r>
      <w:r>
        <w:t xml:space="preserve"> </w:t>
      </w:r>
      <w:r>
        <w:t xml:space="preserve">by the</w:t>
      </w:r>
      <w:r>
        <w:t xml:space="preserve"> </w:t>
      </w:r>
      <w:r>
        <w:rPr>
          <w:iCs/>
          <w:i/>
        </w:rPr>
        <w:t xml:space="preserve">anantara</w:t>
      </w:r>
      <w:r>
        <w:t xml:space="preserve"> </w:t>
      </w:r>
      <w:r>
        <w:t xml:space="preserve">maxim, the lengthening would come by</w:t>
      </w:r>
      <w:r>
        <w:t xml:space="preserve"> </w:t>
      </w:r>
      <w:r>
        <w:rPr>
          <w:iCs/>
          <w:i/>
        </w:rPr>
        <w:t xml:space="preserve">akṛtsārvadhātukayoḥ</w:t>
      </w:r>
      <w:r>
        <w:t xml:space="preserve"> </w:t>
      </w:r>
      <w:r>
        <w:t xml:space="preserve">itself, and the forms</w:t>
      </w:r>
      <w:r>
        <w:t xml:space="preserve"> </w:t>
      </w:r>
      <w:r>
        <w:rPr>
          <w:iCs/>
          <w:i/>
        </w:rPr>
        <w:t xml:space="preserve">aśvāyantaḥ</w:t>
      </w:r>
      <w:r>
        <w:t xml:space="preserve">,</w:t>
      </w:r>
      <w:r>
        <w:t xml:space="preserve"> </w:t>
      </w:r>
      <w:r>
        <w:rPr>
          <w:iCs/>
          <w:i/>
        </w:rPr>
        <w:t xml:space="preserve">aghāyavaḥ</w:t>
      </w:r>
      <w:r>
        <w:t xml:space="preserve"> </w:t>
      </w:r>
      <w:r>
        <w:t xml:space="preserve">would be got. Then the sūtra</w:t>
      </w:r>
      <w:r>
        <w:t xml:space="preserve"> </w:t>
      </w:r>
      <w:r>
        <w:rPr>
          <w:iCs/>
          <w:i/>
        </w:rPr>
        <w:t xml:space="preserve">aśvāghasyāt</w:t>
      </w:r>
      <w:r>
        <w:t xml:space="preserve"> </w:t>
      </w:r>
      <w:r>
        <w:t xml:space="preserve">would be useless. By the maxim</w:t>
      </w:r>
      <w:r>
        <w:t xml:space="preserve"> </w:t>
      </w:r>
      <w:r>
        <w:rPr>
          <w:iCs/>
          <w:i/>
        </w:rPr>
        <w:t xml:space="preserve">vyarthaṃ sat kiṃcid arthaṃ jñāpayati</w:t>
      </w:r>
      <w:r>
        <w:t xml:space="preserve">, this sūtra makes known that the bar is not only of the</w:t>
      </w:r>
      <w:r>
        <w:t xml:space="preserve"> </w:t>
      </w:r>
      <w:r>
        <w:rPr>
          <w:iCs/>
          <w:i/>
        </w:rPr>
        <w:t xml:space="preserve">ī</w:t>
      </w:r>
      <w:r>
        <w:t xml:space="preserve"> </w:t>
      </w:r>
      <w:r>
        <w:t xml:space="preserve">of</w:t>
      </w:r>
      <w:r>
        <w:t xml:space="preserve"> </w:t>
      </w:r>
      <w:r>
        <w:rPr>
          <w:iCs/>
          <w:i/>
        </w:rPr>
        <w:t xml:space="preserve">kyaci ca</w:t>
      </w:r>
      <w:r>
        <w:t xml:space="preserve"> </w:t>
      </w:r>
      <w:r>
        <w:t xml:space="preserve">but of the lengthening too. Now without this sūtra the forms</w:t>
      </w:r>
      <w:r>
        <w:t xml:space="preserve"> </w:t>
      </w:r>
      <w:r>
        <w:rPr>
          <w:iCs/>
          <w:i/>
        </w:rPr>
        <w:t xml:space="preserve">aśvāyantaḥ</w:t>
      </w:r>
      <w:r>
        <w:t xml:space="preserve"> </w:t>
      </w:r>
      <w:r>
        <w:t xml:space="preserve">and the rest would not be got; so the sūtra has its purpose. Thus</w:t>
      </w:r>
      <w:r>
        <w:t xml:space="preserve"> </w:t>
      </w:r>
      <w:r>
        <w:rPr>
          <w:iCs/>
          <w:i/>
        </w:rPr>
        <w:t xml:space="preserve">na chandasi…</w:t>
      </w:r>
      <w:r>
        <w:t xml:space="preserve"> </w:t>
      </w:r>
      <w:r>
        <w:t xml:space="preserve">is settled as barring both</w:t>
      </w:r>
      <w:r>
        <w:t xml:space="preserve"> </w:t>
      </w:r>
      <w:r>
        <w:rPr>
          <w:iCs/>
          <w:i/>
        </w:rPr>
        <w:t xml:space="preserve">ī</w:t>
      </w:r>
      <w:r>
        <w:t xml:space="preserve"> </w:t>
      </w:r>
      <w:r>
        <w:t xml:space="preserve">and lengthening. So in the present case, in</w:t>
      </w:r>
      <w:r>
        <w:t xml:space="preserve"> </w:t>
      </w:r>
      <w:r>
        <w:rPr>
          <w:iCs/>
          <w:i/>
        </w:rPr>
        <w:t xml:space="preserve">deva</w:t>
      </w:r>
      <w:r>
        <w:t xml:space="preserve"> </w:t>
      </w:r>
      <w:r>
        <w:t xml:space="preserve">+</w:t>
      </w:r>
      <w:r>
        <w:t xml:space="preserve"> </w:t>
      </w:r>
      <w:r>
        <w:rPr>
          <w:iCs/>
          <w:i/>
        </w:rPr>
        <w:t xml:space="preserve">ya</w:t>
      </w:r>
      <w:r>
        <w:t xml:space="preserve">, no lengthening by</w:t>
      </w:r>
      <w:r>
        <w:t xml:space="preserve"> </w:t>
      </w:r>
      <w:r>
        <w:rPr>
          <w:iCs/>
          <w:i/>
        </w:rPr>
        <w:t xml:space="preserve">akṛtsārvadhātukayoḥ</w:t>
      </w:r>
      <w:r>
        <w:t xml:space="preserve"> </w:t>
      </w:r>
      <w:r>
        <w:t xml:space="preserve">comes either.</w:t>
      </w:r>
      <w:r>
        <w:t xml:space="preserve"> </w:t>
      </w:r>
      <w:r>
        <w:rPr>
          <w:iCs/>
          <w:i/>
        </w:rPr>
        <w:t xml:space="preserve">Devaya</w:t>
      </w:r>
      <w:r>
        <w:t xml:space="preserve"> </w:t>
      </w:r>
      <w:r>
        <w:t xml:space="preserve">is a root; after it, by</w:t>
      </w:r>
      <w:r>
        <w:t xml:space="preserve"> </w:t>
      </w:r>
      <w:r>
        <w:t xml:space="preserve">“</w:t>
      </w:r>
      <w:r>
        <w:t xml:space="preserve">vartamāne laṭ</w:t>
      </w:r>
      <w:r>
        <w:t xml:space="preserve">”</w:t>
      </w:r>
      <w:r>
        <w:t xml:space="preserve"> </w:t>
      </w:r>
      <w:r>
        <w:t xml:space="preserve">(Pā. sū. 3-2-123)</w:t>
      </w:r>
      <w:r>
        <w:t xml:space="preserve"> </w:t>
      </w:r>
      <w:r>
        <w:rPr>
          <w:iCs/>
          <w:i/>
        </w:rPr>
        <w:t xml:space="preserve">laṭ</w:t>
      </w:r>
      <w:r>
        <w:t xml:space="preserve">; in its place by</w:t>
      </w:r>
      <w:r>
        <w:t xml:space="preserve"> </w:t>
      </w:r>
      <w:r>
        <w:t xml:space="preserve">“</w:t>
      </w:r>
      <w:r>
        <w:t xml:space="preserve">laṭaḥ śatṛśānacau…</w:t>
      </w:r>
      <w:r>
        <w:t xml:space="preserve">”</w:t>
      </w:r>
      <w:r>
        <w:t xml:space="preserve"> </w:t>
      </w:r>
      <w:r>
        <w:t xml:space="preserve">(Pā. sū. 3-2-124)</w:t>
      </w:r>
      <w:r>
        <w:t xml:space="preserve"> </w:t>
      </w:r>
      <w:r>
        <w:rPr>
          <w:iCs/>
          <w:i/>
        </w:rPr>
        <w:t xml:space="preserve">śatṛ</w:t>
      </w:r>
      <w:r>
        <w:t xml:space="preserve">:</w:t>
      </w:r>
      <w:r>
        <w:t xml:space="preserve"> </w:t>
      </w:r>
      <w:r>
        <w:rPr>
          <w:iCs/>
          <w:i/>
        </w:rPr>
        <w:t xml:space="preserve">devaya</w:t>
      </w:r>
      <w:r>
        <w:t xml:space="preserve"> </w:t>
      </w:r>
      <w:r>
        <w:t xml:space="preserve">+</w:t>
      </w:r>
      <w:r>
        <w:t xml:space="preserve"> </w:t>
      </w:r>
      <w:r>
        <w:rPr>
          <w:iCs/>
          <w:i/>
        </w:rPr>
        <w:t xml:space="preserve">at</w:t>
      </w:r>
      <w:r>
        <w:t xml:space="preserve">;</w:t>
      </w:r>
      <w:r>
        <w:t xml:space="preserve"> </w:t>
      </w:r>
      <w:r>
        <w:rPr>
          <w:iCs/>
          <w:i/>
        </w:rPr>
        <w:t xml:space="preserve">śap</w:t>
      </w:r>
      <w:r>
        <w:t xml:space="preserve"> </w:t>
      </w:r>
      <w:r>
        <w:t xml:space="preserve">by</w:t>
      </w:r>
      <w:r>
        <w:t xml:space="preserve"> </w:t>
      </w:r>
      <w:r>
        <w:t xml:space="preserve">“</w:t>
      </w:r>
      <w:r>
        <w:t xml:space="preserve">kartari śap</w:t>
      </w:r>
      <w:r>
        <w:t xml:space="preserve">”</w:t>
      </w:r>
      <w:r>
        <w:t xml:space="preserve">:</w:t>
      </w:r>
      <w:r>
        <w:t xml:space="preserve"> </w:t>
      </w:r>
      <w:r>
        <w:rPr>
          <w:iCs/>
          <w:i/>
        </w:rPr>
        <w:t xml:space="preserve">devaya</w:t>
      </w:r>
      <w:r>
        <w:t xml:space="preserve"> </w:t>
      </w:r>
      <w:r>
        <w:t xml:space="preserve">+</w:t>
      </w:r>
      <w:r>
        <w:t xml:space="preserve"> </w:t>
      </w:r>
      <w:r>
        <w:rPr>
          <w:iCs/>
          <w:i/>
        </w:rPr>
        <w:t xml:space="preserve">a</w:t>
      </w:r>
      <w:r>
        <w:t xml:space="preserve"> </w:t>
      </w:r>
      <w:r>
        <w:t xml:space="preserve">+</w:t>
      </w:r>
      <w:r>
        <w:t xml:space="preserve"> </w:t>
      </w:r>
      <w:r>
        <w:rPr>
          <w:iCs/>
          <w:i/>
        </w:rPr>
        <w:t xml:space="preserve">at</w:t>
      </w:r>
      <w:r>
        <w:t xml:space="preserve">; by</w:t>
      </w:r>
      <w:r>
        <w:t xml:space="preserve"> </w:t>
      </w:r>
      <w:r>
        <w:t xml:space="preserve">“</w:t>
      </w:r>
      <w:r>
        <w:t xml:space="preserve">ato guṇe</w:t>
      </w:r>
      <w:r>
        <w:t xml:space="preserve">”</w:t>
      </w:r>
      <w:r>
        <w:t xml:space="preserve"> </w:t>
      </w:r>
      <w:r>
        <w:t xml:space="preserve">(Pā. sū. 6-1-97)</w:t>
      </w:r>
      <w:r>
        <w:t xml:space="preserve"> </w:t>
      </w:r>
      <w:r>
        <w:rPr>
          <w:iCs/>
          <w:i/>
        </w:rPr>
        <w:t xml:space="preserve">pararūpa</w:t>
      </w:r>
      <w:r>
        <w:t xml:space="preserve"> </w:t>
      </w:r>
      <w:r>
        <w:t xml:space="preserve">twice:</w:t>
      </w:r>
      <w:r>
        <w:t xml:space="preserve"> </w:t>
      </w:r>
      <w:r>
        <w:rPr>
          <w:iCs/>
          <w:i/>
        </w:rPr>
        <w:t xml:space="preserve">devayat</w:t>
      </w:r>
      <w:r>
        <w:t xml:space="preserve">.</w:t>
      </w:r>
    </w:p>
    <w:bookmarkEnd w:id="732"/>
    <w:bookmarkStart w:id="733" w:name="X2d44582aa7c8ff77dd56e81a30c329e2988bda1"/>
    <w:p>
      <w:pPr>
        <w:pStyle w:val="Heading3"/>
      </w:pPr>
      <w:r>
        <w:t xml:space="preserve">Page 676 — Rik 12: grammar (end); close of Sūkta 15</w:t>
      </w:r>
    </w:p>
    <w:p>
      <w:pPr>
        <w:pStyle w:val="FirstParagraph"/>
      </w:pPr>
      <w:r>
        <w:t xml:space="preserve">Here the suffix</w:t>
      </w:r>
      <w:r>
        <w:t xml:space="preserve"> </w:t>
      </w:r>
      <w:r>
        <w:rPr>
          <w:iCs/>
          <w:i/>
        </w:rPr>
        <w:t xml:space="preserve">kyac</w:t>
      </w:r>
      <w:r>
        <w:t xml:space="preserve"> </w:t>
      </w:r>
      <w:r>
        <w:t xml:space="preserve">is</w:t>
      </w:r>
      <w:r>
        <w:t xml:space="preserve"> </w:t>
      </w:r>
      <w:r>
        <w:rPr>
          <w:iCs/>
          <w:i/>
        </w:rPr>
        <w:t xml:space="preserve">cit</w:t>
      </w:r>
      <w:r>
        <w:t xml:space="preserve">, so final udātta by</w:t>
      </w:r>
      <w:r>
        <w:t xml:space="preserve"> </w:t>
      </w:r>
      <w:r>
        <w:t xml:space="preserve">“</w:t>
      </w:r>
      <w:r>
        <w:t xml:space="preserve">citaḥ</w:t>
      </w:r>
      <w:r>
        <w:t xml:space="preserve">”</w:t>
      </w:r>
      <w:r>
        <w:t xml:space="preserve"> </w:t>
      </w:r>
      <w:r>
        <w:t xml:space="preserve">(Pā. sū. 6-1-163).</w:t>
      </w:r>
      <w:r>
        <w:t xml:space="preserve"> </w:t>
      </w:r>
      <w:r>
        <w:rPr>
          <w:iCs/>
          <w:i/>
        </w:rPr>
        <w:t xml:space="preserve">Śap</w:t>
      </w:r>
      <w:r>
        <w:t xml:space="preserve"> </w:t>
      </w:r>
      <w:r>
        <w:t xml:space="preserve">is</w:t>
      </w:r>
      <w:r>
        <w:t xml:space="preserve"> </w:t>
      </w:r>
      <w:r>
        <w:rPr>
          <w:iCs/>
          <w:i/>
        </w:rPr>
        <w:t xml:space="preserve">pit</w:t>
      </w:r>
      <w:r>
        <w:t xml:space="preserve">, so unaccented by</w:t>
      </w:r>
      <w:r>
        <w:t xml:space="preserve"> </w:t>
      </w:r>
      <w:r>
        <w:t xml:space="preserve">“</w:t>
      </w:r>
      <w:r>
        <w:t xml:space="preserve">anudāttau suppitau</w:t>
      </w:r>
      <w:r>
        <w:t xml:space="preserve">”</w:t>
      </w:r>
      <w:r>
        <w:t xml:space="preserve"> </w:t>
      </w:r>
      <w:r>
        <w:t xml:space="preserve">(Pā. sū. 3-1-4). The suffix</w:t>
      </w:r>
      <w:r>
        <w:t xml:space="preserve"> </w:t>
      </w:r>
      <w:r>
        <w:rPr>
          <w:iCs/>
          <w:i/>
        </w:rPr>
        <w:t xml:space="preserve">at</w:t>
      </w:r>
      <w:r>
        <w:t xml:space="preserve">,</w:t>
      </w:r>
      <w:r>
        <w:t xml:space="preserve"> </w:t>
      </w:r>
      <w:r>
        <w:rPr>
          <w:iCs/>
          <w:i/>
        </w:rPr>
        <w:t xml:space="preserve">śatṛ</w:t>
      </w:r>
      <w:r>
        <w:t xml:space="preserve">, has come in the place of the</w:t>
      </w:r>
      <w:r>
        <w:t xml:space="preserve"> </w:t>
      </w:r>
      <w:r>
        <w:rPr>
          <w:iCs/>
          <w:i/>
        </w:rPr>
        <w:t xml:space="preserve">lakāra</w:t>
      </w:r>
      <w:r>
        <w:t xml:space="preserve"> </w:t>
      </w:r>
      <w:r>
        <w:rPr>
          <w:iCs/>
          <w:i/>
        </w:rPr>
        <w:t xml:space="preserve">laṭ</w:t>
      </w:r>
      <w:r>
        <w:t xml:space="preserve">; being</w:t>
      </w:r>
      <w:r>
        <w:t xml:space="preserve"> </w:t>
      </w:r>
      <w:r>
        <w:rPr>
          <w:iCs/>
          <w:i/>
        </w:rPr>
        <w:t xml:space="preserve">śit</w:t>
      </w:r>
      <w:r>
        <w:t xml:space="preserve">, it is a</w:t>
      </w:r>
      <w:r>
        <w:t xml:space="preserve"> </w:t>
      </w:r>
      <w:r>
        <w:rPr>
          <w:iCs/>
          <w:i/>
        </w:rPr>
        <w:t xml:space="preserve">sārvadhātuka</w:t>
      </w:r>
      <w:r>
        <w:t xml:space="preserve"> </w:t>
      </w:r>
      <w:r>
        <w:t xml:space="preserve">by</w:t>
      </w:r>
      <w:r>
        <w:t xml:space="preserve"> </w:t>
      </w:r>
      <w:r>
        <w:t xml:space="preserve">“</w:t>
      </w:r>
      <w:r>
        <w:t xml:space="preserve">tiṅśit sārvadhātukam</w:t>
      </w:r>
      <w:r>
        <w:t xml:space="preserve">”</w:t>
      </w:r>
      <w:r>
        <w:t xml:space="preserve"> </w:t>
      </w:r>
      <w:r>
        <w:t xml:space="preserve">(Pā. sū. 3-4-113); it follows</w:t>
      </w:r>
      <w:r>
        <w:t xml:space="preserve"> </w:t>
      </w:r>
      <w:r>
        <w:rPr>
          <w:iCs/>
          <w:i/>
        </w:rPr>
        <w:t xml:space="preserve">śap</w:t>
      </w:r>
      <w:r>
        <w:t xml:space="preserve">, an</w:t>
      </w:r>
      <w:r>
        <w:t xml:space="preserve"> </w:t>
      </w:r>
      <w:r>
        <w:rPr>
          <w:iCs/>
          <w:i/>
        </w:rPr>
        <w:t xml:space="preserve">a</w:t>
      </w:r>
      <w:r>
        <w:t xml:space="preserve">-final</w:t>
      </w:r>
      <w:r>
        <w:t xml:space="preserve"> </w:t>
      </w:r>
      <w:r>
        <w:rPr>
          <w:iCs/>
          <w:i/>
        </w:rPr>
        <w:t xml:space="preserve">upadeśa</w:t>
      </w:r>
      <w:r>
        <w:t xml:space="preserve">. So by</w:t>
      </w:r>
      <w:r>
        <w:t xml:space="preserve"> </w:t>
      </w:r>
      <w:r>
        <w:t xml:space="preserve">“</w:t>
      </w:r>
      <w:r>
        <w:t xml:space="preserve">tāsyanudāttenṅidadupadeśāt…</w:t>
      </w:r>
      <w:r>
        <w:t xml:space="preserve">”</w:t>
      </w:r>
      <w:r>
        <w:t xml:space="preserve"> </w:t>
      </w:r>
      <w:r>
        <w:t xml:space="preserve">(Pā. sū. 6-1-186)</w:t>
      </w:r>
      <w:r>
        <w:t xml:space="preserve"> </w:t>
      </w:r>
      <w:r>
        <w:rPr>
          <w:iCs/>
          <w:i/>
        </w:rPr>
        <w:t xml:space="preserve">at</w:t>
      </w:r>
      <w:r>
        <w:t xml:space="preserve"> </w:t>
      </w:r>
      <w:r>
        <w:t xml:space="preserve">is unaccented. The</w:t>
      </w:r>
      <w:r>
        <w:t xml:space="preserve"> </w:t>
      </w:r>
      <w:r>
        <w:rPr>
          <w:iCs/>
          <w:i/>
        </w:rPr>
        <w:t xml:space="preserve">a</w:t>
      </w:r>
      <w:r>
        <w:t xml:space="preserve"> </w:t>
      </w:r>
      <w:r>
        <w:t xml:space="preserve">that came by the single</w:t>
      </w:r>
      <w:r>
        <w:t xml:space="preserve"> </w:t>
      </w:r>
      <w:r>
        <w:rPr>
          <w:iCs/>
          <w:i/>
        </w:rPr>
        <w:t xml:space="preserve">pararūpa</w:t>
      </w:r>
      <w:r>
        <w:t xml:space="preserve"> </w:t>
      </w:r>
      <w:r>
        <w:t xml:space="preserve">with the</w:t>
      </w:r>
      <w:r>
        <w:t xml:space="preserve"> </w:t>
      </w:r>
      <w:r>
        <w:rPr>
          <w:iCs/>
          <w:i/>
        </w:rPr>
        <w:t xml:space="preserve">a</w:t>
      </w:r>
      <w:r>
        <w:t xml:space="preserve"> </w:t>
      </w:r>
      <w:r>
        <w:t xml:space="preserve">of</w:t>
      </w:r>
      <w:r>
        <w:t xml:space="preserve"> </w:t>
      </w:r>
      <w:r>
        <w:rPr>
          <w:iCs/>
          <w:i/>
        </w:rPr>
        <w:t xml:space="preserve">śap</w:t>
      </w:r>
      <w:r>
        <w:t xml:space="preserve"> </w:t>
      </w:r>
      <w:r>
        <w:t xml:space="preserve">is udātta by</w:t>
      </w:r>
      <w:r>
        <w:t xml:space="preserve"> </w:t>
      </w:r>
      <w:r>
        <w:t xml:space="preserve">“</w:t>
      </w:r>
      <w:r>
        <w:t xml:space="preserve">ekādeśa udāttenodāttaḥ</w:t>
      </w:r>
      <w:r>
        <w:t xml:space="preserve">”</w:t>
      </w:r>
      <w:r>
        <w:t xml:space="preserve"> </w:t>
      </w:r>
      <w:r>
        <w:t xml:space="preserve">(Pā. sū. 8-2-5); the</w:t>
      </w:r>
      <w:r>
        <w:t xml:space="preserve"> </w:t>
      </w:r>
      <w:r>
        <w:rPr>
          <w:iCs/>
          <w:i/>
        </w:rPr>
        <w:t xml:space="preserve">a</w:t>
      </w:r>
      <w:r>
        <w:t xml:space="preserve"> </w:t>
      </w:r>
      <w:r>
        <w:t xml:space="preserve">that came by</w:t>
      </w:r>
      <w:r>
        <w:t xml:space="preserve"> </w:t>
      </w:r>
      <w:r>
        <w:rPr>
          <w:iCs/>
          <w:i/>
        </w:rPr>
        <w:t xml:space="preserve">pararūpa</w:t>
      </w:r>
      <w:r>
        <w:t xml:space="preserve"> </w:t>
      </w:r>
      <w:r>
        <w:t xml:space="preserve">of this udātta and the unaccented</w:t>
      </w:r>
      <w:r>
        <w:t xml:space="preserve"> </w:t>
      </w:r>
      <w:r>
        <w:rPr>
          <w:iCs/>
          <w:i/>
        </w:rPr>
        <w:t xml:space="preserve">a</w:t>
      </w:r>
      <w:r>
        <w:t xml:space="preserve"> </w:t>
      </w:r>
      <w:r>
        <w:t xml:space="preserve">of</w:t>
      </w:r>
      <w:r>
        <w:t xml:space="preserve"> </w:t>
      </w:r>
      <w:r>
        <w:rPr>
          <w:iCs/>
          <w:i/>
        </w:rPr>
        <w:t xml:space="preserve">at</w:t>
      </w:r>
      <w:r>
        <w:t xml:space="preserve"> </w:t>
      </w:r>
      <w:r>
        <w:t xml:space="preserve">is udātta in the same way. So in</w:t>
      </w:r>
      <w:r>
        <w:t xml:space="preserve"> </w:t>
      </w:r>
      <w:r>
        <w:rPr>
          <w:iCs/>
          <w:i/>
        </w:rPr>
        <w:t xml:space="preserve">devayat</w:t>
      </w:r>
      <w:r>
        <w:t xml:space="preserve"> </w:t>
      </w:r>
      <w:r>
        <w:t xml:space="preserve">the</w:t>
      </w:r>
      <w:r>
        <w:t xml:space="preserve"> </w:t>
      </w:r>
      <w:r>
        <w:rPr>
          <w:iCs/>
          <w:i/>
        </w:rPr>
        <w:t xml:space="preserve">ya</w:t>
      </w:r>
      <w:r>
        <w:t xml:space="preserve"> </w:t>
      </w:r>
      <w:r>
        <w:t xml:space="preserve">is udātta, and it is settled as final udātta. After it, the dative singular</w:t>
      </w:r>
      <w:r>
        <w:t xml:space="preserve"> </w:t>
      </w:r>
      <w:r>
        <w:rPr>
          <w:iCs/>
          <w:i/>
        </w:rPr>
        <w:t xml:space="preserve">ṅe</w:t>
      </w:r>
      <w:r>
        <w:t xml:space="preserve">:</w:t>
      </w:r>
      <w:r>
        <w:t xml:space="preserve"> </w:t>
      </w:r>
      <w:r>
        <w:rPr>
          <w:iCs/>
          <w:i/>
        </w:rPr>
        <w:t xml:space="preserve">devayat</w:t>
      </w:r>
      <w:r>
        <w:t xml:space="preserve"> </w:t>
      </w:r>
      <w:r>
        <w:t xml:space="preserve">+</w:t>
      </w:r>
      <w:r>
        <w:t xml:space="preserve"> </w:t>
      </w:r>
      <w:r>
        <w:rPr>
          <w:iCs/>
          <w:i/>
        </w:rPr>
        <w:t xml:space="preserve">e</w:t>
      </w:r>
      <w:r>
        <w:t xml:space="preserve">;</w:t>
      </w:r>
      <w:r>
        <w:t xml:space="preserve"> </w:t>
      </w:r>
      <w:r>
        <w:t xml:space="preserve">“</w:t>
      </w:r>
      <w:r>
        <w:t xml:space="preserve">śatur anumo nadyajādī</w:t>
      </w:r>
      <w:r>
        <w:t xml:space="preserve">”</w:t>
      </w:r>
      <w:r>
        <w:t xml:space="preserve"> </w:t>
      </w:r>
      <w:r>
        <w:t xml:space="preserve">(Pā. sū. 6-1-173): after a final-udātta word ending in a</w:t>
      </w:r>
      <w:r>
        <w:t xml:space="preserve"> </w:t>
      </w:r>
      <w:r>
        <w:rPr>
          <w:iCs/>
          <w:i/>
        </w:rPr>
        <w:t xml:space="preserve">śatṛ</w:t>
      </w:r>
      <w:r>
        <w:t xml:space="preserve"> </w:t>
      </w:r>
      <w:r>
        <w:t xml:space="preserve">suffix without the augment</w:t>
      </w:r>
      <w:r>
        <w:t xml:space="preserve"> </w:t>
      </w:r>
      <w:r>
        <w:rPr>
          <w:iCs/>
          <w:i/>
        </w:rPr>
        <w:t xml:space="preserve">num</w:t>
      </w:r>
      <w:r>
        <w:t xml:space="preserve">, a</w:t>
      </w:r>
      <w:r>
        <w:t xml:space="preserve"> </w:t>
      </w:r>
      <w:r>
        <w:rPr>
          <w:iCs/>
          <w:i/>
        </w:rPr>
        <w:t xml:space="preserve">nadī</w:t>
      </w:r>
      <w:r>
        <w:t xml:space="preserve"> </w:t>
      </w:r>
      <w:r>
        <w:t xml:space="preserve">letter and a vowel-initial ending from</w:t>
      </w:r>
      <w:r>
        <w:t xml:space="preserve"> </w:t>
      </w:r>
      <w:r>
        <w:rPr>
          <w:iCs/>
          <w:i/>
        </w:rPr>
        <w:t xml:space="preserve">śas</w:t>
      </w:r>
      <w:r>
        <w:t xml:space="preserve"> </w:t>
      </w:r>
      <w:r>
        <w:t xml:space="preserve">on are also udātta; so the ending</w:t>
      </w:r>
      <w:r>
        <w:t xml:space="preserve"> </w:t>
      </w:r>
      <w:r>
        <w:rPr>
          <w:iCs/>
          <w:i/>
        </w:rPr>
        <w:t xml:space="preserve">e</w:t>
      </w:r>
      <w:r>
        <w:t xml:space="preserve"> </w:t>
      </w:r>
      <w:r>
        <w:t xml:space="preserve">is udātta.</w:t>
      </w:r>
    </w:p>
    <w:p>
      <w:pPr>
        <w:pStyle w:val="BodyText"/>
      </w:pPr>
      <w:r>
        <w:rPr>
          <w:bCs/>
          <w:b/>
        </w:rPr>
        <w:t xml:space="preserve">॥१२॥</w:t>
      </w:r>
    </w:p>
    <w:p>
      <w:pPr>
        <w:pStyle w:val="BodyText"/>
      </w:pPr>
      <w:r>
        <w:rPr>
          <w:iCs/>
          <w:i/>
        </w:rPr>
        <w:t xml:space="preserve">(The sūkta ends here; the print has no separate colophon for Sūkta 15; the bhāṣya closes with the varga number</w:t>
      </w:r>
      <w:r>
        <w:rPr>
          <w:iCs/>
          <w:i/>
        </w:rPr>
        <w:t xml:space="preserve"> </w:t>
      </w:r>
      <w:r>
        <w:rPr>
          <w:iCs/>
          <w:i/>
        </w:rPr>
        <w:t xml:space="preserve">“</w:t>
      </w:r>
      <w:r>
        <w:rPr>
          <w:iCs/>
          <w:i/>
        </w:rPr>
        <w:t xml:space="preserve">29</w:t>
      </w:r>
      <w:r>
        <w:rPr>
          <w:iCs/>
          <w:i/>
        </w:rPr>
        <w:t xml:space="preserve">”</w:t>
      </w:r>
      <w:r>
        <w:rPr>
          <w:iCs/>
          <w:i/>
        </w:rPr>
        <w:t xml:space="preserve">, agreeing with the heading’s 28, 29.)</w:t>
      </w:r>
    </w:p>
    <w:bookmarkEnd w:id="733"/>
    <w:bookmarkEnd w:id="734"/>
    <w:bookmarkStart w:id="773" w:name="X82bd8562c1e31d32ced4f84b5932fa37165c7fd"/>
    <w:p>
      <w:pPr>
        <w:pStyle w:val="Heading2"/>
      </w:pPr>
      <w:r>
        <w:t xml:space="preserve">॥ ಹದಿನಾರನೆಯ ಸೂಕ್ತವು ॥ — Sūkta 16 —</w:t>
      </w:r>
      <w:r>
        <w:t xml:space="preserve"> </w:t>
      </w:r>
      <w:r>
        <w:rPr>
          <w:iCs/>
          <w:i/>
        </w:rPr>
        <w:t xml:space="preserve">“</w:t>
      </w:r>
      <w:r>
        <w:rPr>
          <w:iCs/>
          <w:i/>
        </w:rPr>
        <w:t xml:space="preserve">ā tvā vahantu harayaḥ</w:t>
      </w:r>
      <w:r>
        <w:rPr>
          <w:iCs/>
          <w:i/>
        </w:rPr>
        <w:t xml:space="preserve">”</w:t>
      </w:r>
      <w:r>
        <w:t xml:space="preserve"> </w:t>
      </w:r>
      <w:r>
        <w:t xml:space="preserve">(</w:t>
      </w:r>
      <w:r>
        <w:t xml:space="preserve">“</w:t>
      </w:r>
      <w:r>
        <w:t xml:space="preserve">The Sixteenth Sūkta</w:t>
      </w:r>
      <w:r>
        <w:t xml:space="preserve">”</w:t>
      </w:r>
      <w:r>
        <w:t xml:space="preserve">)</w:t>
      </w:r>
    </w:p>
    <w:p>
      <w:pPr>
        <w:pStyle w:val="FirstParagraph"/>
      </w:pPr>
      <w:r>
        <w:rPr>
          <w:bCs/>
          <w:b/>
        </w:rPr>
        <w:t xml:space="preserve">॥ Sāyaṇa-bhāṣyam ॥</w:t>
      </w:r>
      <w:r>
        <w:t xml:space="preserve"> </w:t>
      </w:r>
      <w:r>
        <w:rPr>
          <w:iCs/>
          <w:i/>
        </w:rPr>
        <w:t xml:space="preserve">(introductory note on the application of the sūkta; printed p. 676, after the close of Sūkta 15; re-read from the print)</w:t>
      </w:r>
    </w:p>
    <w:p>
      <w:pPr>
        <w:pStyle w:val="BlockText"/>
      </w:pPr>
      <w:r>
        <w:t xml:space="preserve">आ त्वा वहन्त्विति पञ्चमं नवर्चं सूक्तम् । ऋषिच्छन्दसी पूर्ववत् । अनुवर्तते विशेषादेशाभावादिन्द्रो देवता ॥ विनियोगस्तु । प्रातःसवने मैत्रावरुणस्योन्नीयमाने सूक्तमा त्वा वहन्तु हरय इति । तथा च द्विदेवत्यैश्चरन्तीति खण्डे सूत्रितम् । उन्नीयमानेभ्यो ऽन्वाहा त्वा वहन्तु । आ. ५-५ । इति ॥ तथा षोडशिशस्त्र आ त्वा वहन्तु हरय इति तिस्रः । तथा सूत्रितमथ षोडशीति खण्डे । आ त्वा वहन्तु हरय इति तिस्रो गायत्र्यः । आ. ६-२ । इति ॥</w:t>
      </w:r>
    </w:p>
    <w:p>
      <w:pPr>
        <w:pStyle w:val="BlockText"/>
      </w:pPr>
      <w:r>
        <w:rPr>
          <w:iCs/>
          <w:i/>
        </w:rPr>
        <w:t xml:space="preserve">ā tvā vahantviti pañcamaṃ navarcaṃ sūktam | ṛṣicchandasī pūrvavat | anuvartate viśeṣādeśābhāvādindro devatā || viniyogastu | prātaḥsavane maitrāvaruṇasyonnīyamāne sūktamā tvā vahantu haraya iti | tathā ca dvidevatyaiścarantīti khaṇḍe sūtritam | unnīyamānebhyo ’nvāhā tvā vahantu | ā. 5-5 | iti || tathā ṣoḍaśiśastra ā tvā vahantu haraya iti tisraḥ | tathā sūtritamatha ṣoḍaśīti khaṇḍe | ā tvā vahantu haraya iti tisro gāyatryaḥ | ā. 6-2 | iti ||</w:t>
      </w:r>
    </w:p>
    <w:p>
      <w:pPr>
        <w:pStyle w:val="FirstParagraph"/>
      </w:pPr>
      <w:r>
        <w:rPr>
          <w:bCs/>
          <w:b/>
        </w:rPr>
        <w:t xml:space="preserve">Translation:</w:t>
      </w:r>
      <w:r>
        <w:t xml:space="preserve"> </w:t>
      </w:r>
      <w:r>
        <w:t xml:space="preserve">“</w:t>
      </w:r>
      <w:r>
        <w:t xml:space="preserve">The nine-rik sūkta beginning</w:t>
      </w:r>
      <w:r>
        <w:t xml:space="preserve"> </w:t>
      </w:r>
      <w:r>
        <w:rPr>
          <w:iCs/>
          <w:i/>
        </w:rPr>
        <w:t xml:space="preserve">ā tvā vahantu</w:t>
      </w:r>
      <w:r>
        <w:t xml:space="preserve"> </w:t>
      </w:r>
      <w:r>
        <w:t xml:space="preserve">is the fifth [of this anuvāka]. Its ṛṣi and meter are as before [Medhātithi Kāṇva; Gāyatrī]. Since no special deity is stated, Indra, the deity carried on [from before], is the deity. Its application: at the morning pressing (</w:t>
      </w:r>
      <w:r>
        <w:rPr>
          <w:iCs/>
          <w:i/>
        </w:rPr>
        <w:t xml:space="preserve">prātaḥsavana</w:t>
      </w:r>
      <w:r>
        <w:t xml:space="preserve">), when the</w:t>
      </w:r>
      <w:r>
        <w:t xml:space="preserve"> </w:t>
      </w:r>
      <w:r>
        <w:rPr>
          <w:iCs/>
          <w:i/>
        </w:rPr>
        <w:t xml:space="preserve">Maitrāvaruṇa</w:t>
      </w:r>
      <w:r>
        <w:t xml:space="preserve"> </w:t>
      </w:r>
      <w:r>
        <w:t xml:space="preserve">priest is having the soma drawn up (</w:t>
      </w:r>
      <w:r>
        <w:rPr>
          <w:iCs/>
          <w:i/>
        </w:rPr>
        <w:t xml:space="preserve">unnayana</w:t>
      </w:r>
      <w:r>
        <w:t xml:space="preserve">), the sūkta</w:t>
      </w:r>
      <w:r>
        <w:t xml:space="preserve"> </w:t>
      </w:r>
      <w:r>
        <w:rPr>
          <w:iCs/>
          <w:i/>
        </w:rPr>
        <w:t xml:space="preserve">ā tvā vahantu harayaḥ</w:t>
      </w:r>
      <w:r>
        <w:t xml:space="preserve"> </w:t>
      </w:r>
      <w:r>
        <w:t xml:space="preserve">is recited. And so it is laid down in the Sūtra, in the section beginning</w:t>
      </w:r>
      <w:r>
        <w:t xml:space="preserve"> </w:t>
      </w:r>
      <w:r>
        <w:rPr>
          <w:iCs/>
          <w:i/>
        </w:rPr>
        <w:t xml:space="preserve">dvidevatyaiś caranti</w:t>
      </w:r>
      <w:r>
        <w:t xml:space="preserve">:</w:t>
      </w:r>
      <w:r>
        <w:t xml:space="preserve"> </w:t>
      </w:r>
      <w:r>
        <w:t xml:space="preserve">‘</w:t>
      </w:r>
      <w:r>
        <w:t xml:space="preserve">for those [cups] being drawn up, it recites after:</w:t>
      </w:r>
      <w:r>
        <w:t xml:space="preserve"> </w:t>
      </w:r>
      <w:r>
        <w:rPr>
          <w:iCs/>
          <w:i/>
        </w:rPr>
        <w:t xml:space="preserve">ā tvā vahantu</w:t>
      </w:r>
      <w:r>
        <w:t xml:space="preserve">’</w:t>
      </w:r>
      <w:r>
        <w:t xml:space="preserve"> </w:t>
      </w:r>
      <w:r>
        <w:t xml:space="preserve">(Āśv. 5-5). Likewise, in the</w:t>
      </w:r>
      <w:r>
        <w:t xml:space="preserve"> </w:t>
      </w:r>
      <w:r>
        <w:rPr>
          <w:iCs/>
          <w:i/>
        </w:rPr>
        <w:t xml:space="preserve">ṣoḍaśi-śastra</w:t>
      </w:r>
      <w:r>
        <w:t xml:space="preserve">, the three riks</w:t>
      </w:r>
      <w:r>
        <w:t xml:space="preserve"> </w:t>
      </w:r>
      <w:r>
        <w:rPr>
          <w:iCs/>
          <w:i/>
        </w:rPr>
        <w:t xml:space="preserve">ā tvā vahantu harayaḥ</w:t>
      </w:r>
      <w:r>
        <w:t xml:space="preserve"> </w:t>
      </w:r>
      <w:r>
        <w:t xml:space="preserve">are used; and it is laid down in the section beginning</w:t>
      </w:r>
      <w:r>
        <w:t xml:space="preserve"> </w:t>
      </w:r>
      <w:r>
        <w:rPr>
          <w:iCs/>
          <w:i/>
        </w:rPr>
        <w:t xml:space="preserve">atha ṣoḍaśī</w:t>
      </w:r>
      <w:r>
        <w:t xml:space="preserve">:</w:t>
      </w:r>
      <w:r>
        <w:t xml:space="preserve"> </w:t>
      </w:r>
      <w:r>
        <w:t xml:space="preserve">‘</w:t>
      </w:r>
      <w:r>
        <w:t xml:space="preserve">the three Gāyatrīs</w:t>
      </w:r>
      <w:r>
        <w:t xml:space="preserve"> </w:t>
      </w:r>
      <w:r>
        <w:rPr>
          <w:iCs/>
          <w:i/>
        </w:rPr>
        <w:t xml:space="preserve">ā tvā vahantu harayaḥ</w:t>
      </w:r>
      <w:r>
        <w:t xml:space="preserve">’</w:t>
      </w:r>
      <w:r>
        <w:t xml:space="preserve"> </w:t>
      </w:r>
      <w:r>
        <w:t xml:space="preserve">(Āśv. 6-2).</w:t>
      </w:r>
      <w:r>
        <w:t xml:space="preserve">”</w:t>
      </w:r>
    </w:p>
    <w:p>
      <w:pPr>
        <w:pStyle w:val="BodyText"/>
      </w:pPr>
      <w:r>
        <w:rPr>
          <w:bCs/>
          <w:b/>
        </w:rPr>
        <w:t xml:space="preserve">॥ Anuvāda (Kannada rendering) ॥</w:t>
      </w:r>
      <w:r>
        <w:t xml:space="preserve"> </w:t>
      </w:r>
      <w:r>
        <w:t xml:space="preserve">The sūkta</w:t>
      </w:r>
      <w:r>
        <w:t xml:space="preserve"> </w:t>
      </w:r>
      <w:r>
        <w:rPr>
          <w:iCs/>
          <w:i/>
        </w:rPr>
        <w:t xml:space="preserve">ā tvā vahantu</w:t>
      </w:r>
      <w:r>
        <w:t xml:space="preserve">, with nine riks, is the fifth sūkta of the fourth anuvāka. The ṛṣi and meter are as in the earlier sūktas; the deity is Indra. Application: at the morning pressing, in the rite called</w:t>
      </w:r>
      <w:r>
        <w:t xml:space="preserve"> </w:t>
      </w:r>
      <w:r>
        <w:rPr>
          <w:iCs/>
          <w:i/>
        </w:rPr>
        <w:t xml:space="preserve">unnayana</w:t>
      </w:r>
      <w:r>
        <w:t xml:space="preserve"> </w:t>
      </w:r>
      <w:r>
        <w:t xml:space="preserve">done by the priest named Maitrāvaruṇa, this sūkta is to be recited. The Āśvalāyana Śrauta-sūtra says in the section</w:t>
      </w:r>
      <w:r>
        <w:t xml:space="preserve"> </w:t>
      </w:r>
      <w:r>
        <w:rPr>
          <w:iCs/>
          <w:i/>
        </w:rPr>
        <w:t xml:space="preserve">dvidevatyaiś caranti</w:t>
      </w:r>
      <w:r>
        <w:t xml:space="preserve"> </w:t>
      </w:r>
      <w:r>
        <w:t xml:space="preserve">that for the</w:t>
      </w:r>
      <w:r>
        <w:t xml:space="preserve"> </w:t>
      </w:r>
      <w:r>
        <w:rPr>
          <w:iCs/>
          <w:i/>
        </w:rPr>
        <w:t xml:space="preserve">unnayana</w:t>
      </w:r>
      <w:r>
        <w:t xml:space="preserve"> </w:t>
      </w:r>
      <w:r>
        <w:t xml:space="preserve">the sūkta</w:t>
      </w:r>
      <w:r>
        <w:t xml:space="preserve"> </w:t>
      </w:r>
      <w:r>
        <w:rPr>
          <w:iCs/>
          <w:i/>
        </w:rPr>
        <w:t xml:space="preserve">ā tvā vahantu</w:t>
      </w:r>
      <w:r>
        <w:t xml:space="preserve"> </w:t>
      </w:r>
      <w:r>
        <w:t xml:space="preserve">is to be used (Āś. sū. 5-5). Moreover, in the section</w:t>
      </w:r>
      <w:r>
        <w:t xml:space="preserve"> </w:t>
      </w:r>
      <w:r>
        <w:rPr>
          <w:iCs/>
          <w:i/>
        </w:rPr>
        <w:t xml:space="preserve">ṣoḍaśī</w:t>
      </w:r>
      <w:r>
        <w:t xml:space="preserve">, for the</w:t>
      </w:r>
      <w:r>
        <w:t xml:space="preserve"> </w:t>
      </w:r>
      <w:r>
        <w:rPr>
          <w:iCs/>
          <w:i/>
        </w:rPr>
        <w:t xml:space="preserve">ṣoḍaśi-śastra</w:t>
      </w:r>
      <w:r>
        <w:t xml:space="preserve"> </w:t>
      </w:r>
      <w:r>
        <w:t xml:space="preserve">recitation the</w:t>
      </w:r>
      <w:r>
        <w:t xml:space="preserve"> </w:t>
      </w:r>
      <w:r>
        <w:rPr>
          <w:iCs/>
          <w:i/>
        </w:rPr>
        <w:t xml:space="preserve">tṛca</w:t>
      </w:r>
      <w:r>
        <w:t xml:space="preserve"> </w:t>
      </w:r>
      <w:r>
        <w:t xml:space="preserve">[three riks] of this sūkta beginning</w:t>
      </w:r>
      <w:r>
        <w:t xml:space="preserve"> </w:t>
      </w:r>
      <w:r>
        <w:rPr>
          <w:iCs/>
          <w:i/>
        </w:rPr>
        <w:t xml:space="preserve">ā tvā vahantu harayaḥ</w:t>
      </w:r>
      <w:r>
        <w:t xml:space="preserve"> </w:t>
      </w:r>
      <w:r>
        <w:t xml:space="preserve">is to be recited, as the same Sūtra says (Āś. Sū. 6-2).</w:t>
      </w:r>
    </w:p>
    <w:bookmarkStart w:id="735" w:name="page-677-sūkta-16-rik-1"/>
    <w:p>
      <w:pPr>
        <w:pStyle w:val="Heading3"/>
      </w:pPr>
      <w:r>
        <w:t xml:space="preserve">Page 677 — Sūkta 16, Rik 1</w:t>
      </w:r>
    </w:p>
    <w:p>
      <w:pPr>
        <w:pStyle w:val="FirstParagraph"/>
      </w:pPr>
      <w:r>
        <w:rPr>
          <w:bCs/>
          <w:b/>
        </w:rPr>
        <w:t xml:space="preserve">॥ ॐ ॥</w:t>
      </w:r>
    </w:p>
    <w:p>
      <w:pPr>
        <w:pStyle w:val="BodyText"/>
      </w:pPr>
      <w:r>
        <w:rPr>
          <w:bCs/>
          <w:b/>
        </w:rPr>
        <w:t xml:space="preserve">॥ Sūkta — 16 ॥</w:t>
      </w:r>
      <w:r>
        <w:t xml:space="preserve"> </w:t>
      </w:r>
      <w:r>
        <w:rPr>
          <w:bCs/>
          <w:b/>
        </w:rPr>
        <w:t xml:space="preserve">॥ Maṇḍala — 1 ॥ Anuvāka — 4 ॥ Sūkta — 16 ॥</w:t>
      </w:r>
      <w:r>
        <w:t xml:space="preserve"> </w:t>
      </w:r>
      <w:r>
        <w:rPr>
          <w:bCs/>
          <w:b/>
        </w:rPr>
        <w:t xml:space="preserve">॥ Aṣṭaka — 1 ॥ Adhyāya — 1 ॥ Varga — 30, 31 ॥</w:t>
      </w:r>
      <w:r>
        <w:t xml:space="preserve"> </w:t>
      </w:r>
      <w:r>
        <w:rPr>
          <w:iCs/>
          <w:i/>
        </w:rPr>
        <w:t xml:space="preserve">(as printed; Sūkta 15 closed with varga 29)</w:t>
      </w:r>
      <w:r>
        <w:t xml:space="preserve"> </w:t>
      </w:r>
      <w:r>
        <w:rPr>
          <w:bCs/>
          <w:b/>
        </w:rPr>
        <w:t xml:space="preserve">॥ Mantras contained in this sūkta: 1–9 ॥</w:t>
      </w:r>
      <w:r>
        <w:t xml:space="preserve"> </w:t>
      </w:r>
      <w:r>
        <w:rPr>
          <w:bCs/>
          <w:b/>
        </w:rPr>
        <w:t xml:space="preserve">॥ Ṛṣi — Medhātithi Kāṇva ॥</w:t>
      </w:r>
      <w:r>
        <w:t xml:space="preserve"> </w:t>
      </w:r>
      <w:r>
        <w:rPr>
          <w:bCs/>
          <w:b/>
        </w:rPr>
        <w:t xml:space="preserve">॥ Devatā — Indra ॥</w:t>
      </w:r>
      <w:r>
        <w:t xml:space="preserve"> </w:t>
      </w:r>
      <w:r>
        <w:rPr>
          <w:bCs/>
          <w:b/>
        </w:rPr>
        <w:t xml:space="preserve">॥ Chandaḥ — Gāyatrī ॥</w:t>
      </w:r>
    </w:p>
    <w:p>
      <w:pPr>
        <w:pStyle w:val="BodyText"/>
      </w:pPr>
      <w:r>
        <w:rPr>
          <w:iCs/>
          <w:i/>
        </w:rPr>
        <w:t xml:space="preserve">(Saṃhitā accents as printed; Pada unaccented.)</w:t>
      </w:r>
    </w:p>
    <w:p>
      <w:pPr>
        <w:pStyle w:val="BodyText"/>
      </w:pPr>
      <w:r>
        <w:rPr>
          <w:bCs/>
          <w:b/>
        </w:rPr>
        <w:t xml:space="preserve">॥ Saṃhitā-pāṭhaḥ ॥</w:t>
      </w:r>
    </w:p>
    <w:p>
      <w:pPr>
        <w:pStyle w:val="BlockText"/>
      </w:pPr>
      <w:r>
        <w:t xml:space="preserve">आ त्वा॑ वहन्तु॒ हर॑यो॒ वृष॑णं॒ सोम॑पीतये ।</w:t>
      </w:r>
      <w:r>
        <w:t xml:space="preserve"> </w:t>
      </w:r>
      <w:r>
        <w:t xml:space="preserve">इन्द्र॑ त्वा॒ सूर॑चक्षसः ॥१॥</w:t>
      </w:r>
    </w:p>
    <w:p>
      <w:pPr>
        <w:pStyle w:val="BlockText"/>
      </w:pPr>
      <w:r>
        <w:rPr>
          <w:iCs/>
          <w:i/>
        </w:rPr>
        <w:t xml:space="preserve">ā́ tvā vahantu hárayo vṛ́ṣaṇaṃ sómapītaye |</w:t>
      </w:r>
      <w:r>
        <w:t xml:space="preserve"> </w:t>
      </w:r>
      <w:r>
        <w:rPr>
          <w:iCs/>
          <w:i/>
        </w:rPr>
        <w:t xml:space="preserve">índra tvā sū́racakṣasaḥ ||1||</w:t>
      </w:r>
    </w:p>
    <w:p>
      <w:pPr>
        <w:pStyle w:val="FirstParagraph"/>
      </w:pPr>
      <w:r>
        <w:rPr>
          <w:bCs/>
          <w:b/>
        </w:rPr>
        <w:t xml:space="preserve">॥ Pada-pāṭhaḥ ॥</w:t>
      </w:r>
    </w:p>
    <w:p>
      <w:pPr>
        <w:pStyle w:val="BlockText"/>
      </w:pPr>
      <w:r>
        <w:t xml:space="preserve">आ । त्वा । वहन्तु । हरयः । वृषणम् । सोमऽपीतये ॥</w:t>
      </w:r>
      <w:r>
        <w:t xml:space="preserve"> </w:t>
      </w:r>
      <w:r>
        <w:t xml:space="preserve">इन्द्र । त्वा । सूरऽचक्षसः ॥१॥</w:t>
      </w:r>
    </w:p>
    <w:p>
      <w:pPr>
        <w:pStyle w:val="BlockText"/>
      </w:pPr>
      <w:r>
        <w:rPr>
          <w:iCs/>
          <w:i/>
        </w:rPr>
        <w:t xml:space="preserve">ā | tvā | vahantu | harayaḥ | vṛṣaṇam | soma ’pītaye ||</w:t>
      </w:r>
      <w:r>
        <w:t xml:space="preserve"> </w:t>
      </w:r>
      <w:r>
        <w:rPr>
          <w:iCs/>
          <w:i/>
        </w:rPr>
        <w:t xml:space="preserve">indra | tvā | sūra ’cakṣasaḥ ||1||</w:t>
      </w:r>
    </w:p>
    <w:p>
      <w:pPr>
        <w:pStyle w:val="FirstParagraph"/>
      </w:pPr>
      <w:r>
        <w:rPr>
          <w:bCs/>
          <w:b/>
        </w:rPr>
        <w:t xml:space="preserve">॥ Sāyaṇa-bhāṣyam ॥</w:t>
      </w:r>
    </w:p>
    <w:p>
      <w:pPr>
        <w:pStyle w:val="BlockText"/>
      </w:pPr>
      <w:r>
        <w:t xml:space="preserve">हे इन्द्र वृषणं कामानां वर्षितारं त्वां सोमपीतये सोमपानार्थं हरयस्त्वदीया अश्वा आ वहन्तु । अस्मिन्कर्मण्यानयन्तु । तथा सूरचक्षसः सूर्यसमानप्रकाशयुक्ता ऋत्विजस्त्वां मन्त्रैः प्रकाशयन्त्विति शेषः ॥ हरन्तीति हरयः । इन् सर्वधातुभ्यः । उ. ४-११८ । इतीन् । नित्त्वादाद्युदात्तः । वृषणं । कनिन्युवृषितक्षीत्यादिना कनिन् । कित्त्वाल्लघूपधगुणाभावः । वा षपूर्वस्य निगमे । पा. ६-४-९ । इति विकल्पितमुपधादीर्घत्वं । सोमपीतये । ऐभिरग्न इत्यत्रोक्तं । ऋग्वे. १-१४-१ । सूरचक्षसः । चक्षिङ् व्यक्तायां वाचि । सर्वधातुभ्यो ऽसुन् । चक्षिङः ख्याञ् । पा. २-४-५४ । इति न भवति । असनयोः प्रतिषेधो वक्तव्य इति निषेधात् । षू प्रेरणे । सुवतीति सूरः । सुसूधागृधिभ्यः क्रन् । उ. २-२४ । इति क्रन् । कित्त्वाद्गुणाभावः । नित्त्वादाद्युदात्तः । सूरवत्ख्यानं प्रकाशो येषां । बहुव्रीहौ पूर्वपदप्रकृतिस्वरत्वं ॥</w:t>
      </w:r>
    </w:p>
    <w:p>
      <w:pPr>
        <w:pStyle w:val="BlockText"/>
      </w:pPr>
      <w:r>
        <w:rPr>
          <w:iCs/>
          <w:i/>
        </w:rPr>
        <w:t xml:space="preserve">he indra vṛṣaṇaṃ kāmānāṃ varṣitāraṃ tvāṃ somapītaye somapānārthaṃ harayastvadīyā aśvā ā vahantu | asminkarmaṇyānayantu | tathā sūracakṣasaḥ sūryasamānaprakāśayuktā ṛtvijastvāṃ mantraiḥ prakāśayantviti śeṣaḥ || harantīti harayaḥ | in sarvadhātubhyaḥ | u. 4-118 | itīn | nittvādādyudāttaḥ | vṛṣaṇaṃ | kaninyuvṛṣitakṣītyādinā kanin | kittvāllaghūpadhaguṇābhāvaḥ | vā ṣapūrvasya nigame | pā. 6-4-9 | iti vikalpitamupadhādīrghatvaṃ | somapītaye | aibhiragna ityatroktaṃ | ṛgve. 1-14-1 | sūracakṣasaḥ | cakṣiṅ vyaktāyāṃ vāci | sarvadhātubhyo ’sun | cakṣiṅaḥ khyāñ | pā. 2-4-54 | iti na bhavati | asanayoḥ pratiṣedho vaktavya iti niṣedhāt | ṣū preraṇe | suvatīti sūraḥ | susūdhāgṛdhibhyaḥ kran | u. 2-24 | iti kran | kittvādguṇābhāvaḥ | nittvādādyudāttaḥ | sūravatkhyānaṃ prakāśo yeṣāṃ | bahuvrīhau pūrvapadaprakṛtisvaratvaṃ ||</w:t>
      </w:r>
    </w:p>
    <w:p>
      <w:pPr>
        <w:pStyle w:val="FirstParagraph"/>
      </w:pPr>
      <w:r>
        <w:rPr>
          <w:bCs/>
          <w:b/>
        </w:rPr>
        <w:t xml:space="preserve">Translation:</w:t>
      </w:r>
      <w:r>
        <w:t xml:space="preserve"> </w:t>
      </w:r>
      <w:r>
        <w:t xml:space="preserve">“</w:t>
      </w:r>
      <w:r>
        <w:t xml:space="preserve">O Indra, may the</w:t>
      </w:r>
      <w:r>
        <w:t xml:space="preserve"> </w:t>
      </w:r>
      <w:r>
        <w:rPr>
          <w:iCs/>
          <w:i/>
        </w:rPr>
        <w:t xml:space="preserve">harayaḥ</w:t>
      </w:r>
      <w:r>
        <w:t xml:space="preserve">, your horses,</w:t>
      </w:r>
      <w:r>
        <w:t xml:space="preserve"> </w:t>
      </w:r>
      <w:r>
        <w:rPr>
          <w:iCs/>
          <w:i/>
        </w:rPr>
        <w:t xml:space="preserve">ā vahantu</w:t>
      </w:r>
      <w:r>
        <w:t xml:space="preserve">, bring you, the</w:t>
      </w:r>
      <w:r>
        <w:t xml:space="preserve"> </w:t>
      </w:r>
      <w:r>
        <w:rPr>
          <w:iCs/>
          <w:i/>
        </w:rPr>
        <w:t xml:space="preserve">vṛṣan</w:t>
      </w:r>
      <w:r>
        <w:t xml:space="preserve">, rainer of desires, for the drinking of soma, to this rite. And may the</w:t>
      </w:r>
      <w:r>
        <w:t xml:space="preserve"> </w:t>
      </w:r>
      <w:r>
        <w:rPr>
          <w:iCs/>
          <w:i/>
        </w:rPr>
        <w:t xml:space="preserve">sūracakṣasaḥ</w:t>
      </w:r>
      <w:r>
        <w:t xml:space="preserve">, the priests endowed with a radiance like the sun’s, make you manifest with mantras: this is to be supplied.</w:t>
      </w:r>
      <w:r>
        <w:t xml:space="preserve">”</w:t>
      </w:r>
      <w:r>
        <w:t xml:space="preserve"> </w:t>
      </w:r>
      <w:r>
        <w:t xml:space="preserve">(Grammatical tail:</w:t>
      </w:r>
      <w:r>
        <w:t xml:space="preserve"> </w:t>
      </w:r>
      <w:r>
        <w:rPr>
          <w:iCs/>
          <w:i/>
        </w:rPr>
        <w:t xml:space="preserve">harayaḥ</w:t>
      </w:r>
      <w:r>
        <w:t xml:space="preserve">,</w:t>
      </w:r>
      <w:r>
        <w:t xml:space="preserve"> </w:t>
      </w:r>
      <w:r>
        <w:t xml:space="preserve">“</w:t>
      </w:r>
      <w:r>
        <w:t xml:space="preserve">they carry</w:t>
      </w:r>
      <w:r>
        <w:t xml:space="preserve">”</w:t>
      </w:r>
      <w:r>
        <w:t xml:space="preserve">,</w:t>
      </w:r>
      <w:r>
        <w:t xml:space="preserve"> </w:t>
      </w:r>
      <w:r>
        <w:rPr>
          <w:iCs/>
          <w:i/>
        </w:rPr>
        <w:t xml:space="preserve">in</w:t>
      </w:r>
      <w:r>
        <w:t xml:space="preserve"> </w:t>
      </w:r>
      <w:r>
        <w:t xml:space="preserve">(Uṇ. 4-118), initial udātta;</w:t>
      </w:r>
      <w:r>
        <w:t xml:space="preserve"> </w:t>
      </w:r>
      <w:r>
        <w:rPr>
          <w:iCs/>
          <w:i/>
        </w:rPr>
        <w:t xml:space="preserve">vṛṣaṇam</w:t>
      </w:r>
      <w:r>
        <w:t xml:space="preserve"> </w:t>
      </w:r>
      <w:r>
        <w:t xml:space="preserve">with</w:t>
      </w:r>
      <w:r>
        <w:t xml:space="preserve"> </w:t>
      </w:r>
      <w:r>
        <w:rPr>
          <w:iCs/>
          <w:i/>
        </w:rPr>
        <w:t xml:space="preserve">kanin</w:t>
      </w:r>
      <w:r>
        <w:t xml:space="preserve">, no</w:t>
      </w:r>
      <w:r>
        <w:t xml:space="preserve"> </w:t>
      </w:r>
      <w:r>
        <w:rPr>
          <w:iCs/>
          <w:i/>
        </w:rPr>
        <w:t xml:space="preserve">guṇa</w:t>
      </w:r>
      <w:r>
        <w:t xml:space="preserve"> </w:t>
      </w:r>
      <w:r>
        <w:t xml:space="preserve">(</w:t>
      </w:r>
      <w:r>
        <w:rPr>
          <w:iCs/>
          <w:i/>
        </w:rPr>
        <w:t xml:space="preserve">kit</w:t>
      </w:r>
      <w:r>
        <w:t xml:space="preserve">), the optional lengthening of the penultimate (Pā. 6-4-9) not made;</w:t>
      </w:r>
      <w:r>
        <w:t xml:space="preserve"> </w:t>
      </w:r>
      <w:r>
        <w:rPr>
          <w:iCs/>
          <w:i/>
        </w:rPr>
        <w:t xml:space="preserve">somapītaye</w:t>
      </w:r>
      <w:r>
        <w:t xml:space="preserve"> </w:t>
      </w:r>
      <w:r>
        <w:t xml:space="preserve">as said at Ṛ. 1-14-1;</w:t>
      </w:r>
      <w:r>
        <w:t xml:space="preserve"> </w:t>
      </w:r>
      <w:r>
        <w:rPr>
          <w:iCs/>
          <w:i/>
        </w:rPr>
        <w:t xml:space="preserve">sūracakṣasaḥ</w:t>
      </w:r>
      <w:r>
        <w:t xml:space="preserve">:</w:t>
      </w:r>
      <w:r>
        <w:t xml:space="preserve"> </w:t>
      </w:r>
      <w:r>
        <w:rPr>
          <w:iCs/>
          <w:i/>
        </w:rPr>
        <w:t xml:space="preserve">cakṣ</w:t>
      </w:r>
      <w:r>
        <w:t xml:space="preserve"> </w:t>
      </w:r>
      <w:r>
        <w:t xml:space="preserve">with</w:t>
      </w:r>
      <w:r>
        <w:t xml:space="preserve"> </w:t>
      </w:r>
      <w:r>
        <w:rPr>
          <w:iCs/>
          <w:i/>
        </w:rPr>
        <w:t xml:space="preserve">asun</w:t>
      </w:r>
      <w:r>
        <w:t xml:space="preserve">, no</w:t>
      </w:r>
      <w:r>
        <w:t xml:space="preserve"> </w:t>
      </w:r>
      <w:r>
        <w:rPr>
          <w:iCs/>
          <w:i/>
        </w:rPr>
        <w:t xml:space="preserve">khyāñ</w:t>
      </w:r>
      <w:r>
        <w:t xml:space="preserve"> </w:t>
      </w:r>
      <w:r>
        <w:t xml:space="preserve">(Pā. 2-4-54) before</w:t>
      </w:r>
      <w:r>
        <w:t xml:space="preserve"> </w:t>
      </w:r>
      <w:r>
        <w:rPr>
          <w:iCs/>
          <w:i/>
        </w:rPr>
        <w:t xml:space="preserve">as</w:t>
      </w:r>
      <w:r>
        <w:t xml:space="preserve">/</w:t>
      </w:r>
      <w:r>
        <w:rPr>
          <w:iCs/>
          <w:i/>
        </w:rPr>
        <w:t xml:space="preserve">ana</w:t>
      </w:r>
      <w:r>
        <w:t xml:space="preserve"> </w:t>
      </w:r>
      <w:r>
        <w:t xml:space="preserve">by the vārttika;</w:t>
      </w:r>
      <w:r>
        <w:t xml:space="preserve"> </w:t>
      </w:r>
      <w:r>
        <w:rPr>
          <w:iCs/>
          <w:i/>
        </w:rPr>
        <w:t xml:space="preserve">sūra</w:t>
      </w:r>
      <w:r>
        <w:t xml:space="preserve"> </w:t>
      </w:r>
      <w:r>
        <w:t xml:space="preserve">“</w:t>
      </w:r>
      <w:r>
        <w:t xml:space="preserve">who urges</w:t>
      </w:r>
      <w:r>
        <w:t xml:space="preserve">”</w:t>
      </w:r>
      <w:r>
        <w:t xml:space="preserve">,</w:t>
      </w:r>
      <w:r>
        <w:t xml:space="preserve"> </w:t>
      </w:r>
      <w:r>
        <w:rPr>
          <w:iCs/>
          <w:i/>
        </w:rPr>
        <w:t xml:space="preserve">kran</w:t>
      </w:r>
      <w:r>
        <w:t xml:space="preserve"> </w:t>
      </w:r>
      <w:r>
        <w:t xml:space="preserve">after</w:t>
      </w:r>
      <w:r>
        <w:t xml:space="preserve"> </w:t>
      </w:r>
      <w:r>
        <w:rPr>
          <w:iCs/>
          <w:i/>
        </w:rPr>
        <w:t xml:space="preserve">sū</w:t>
      </w:r>
      <w:r>
        <w:t xml:space="preserve"> </w:t>
      </w:r>
      <w:r>
        <w:t xml:space="preserve">(Uṇ. 2-24), initial udātta;</w:t>
      </w:r>
      <w:r>
        <w:t xml:space="preserve"> </w:t>
      </w:r>
      <w:r>
        <w:t xml:space="preserve">“</w:t>
      </w:r>
      <w:r>
        <w:t xml:space="preserve">whose shining is like the sun’s</w:t>
      </w:r>
      <w:r>
        <w:t xml:space="preserve">”</w:t>
      </w:r>
      <w:r>
        <w:t xml:space="preserve">, a bahuvrīhi with the first-member accent.)</w:t>
      </w:r>
    </w:p>
    <w:bookmarkEnd w:id="735"/>
    <w:bookmarkStart w:id="736" w:name="X89f1235287b43fb8b0b4207f4109eb18ae5b03a"/>
    <w:p>
      <w:pPr>
        <w:pStyle w:val="Heading3"/>
      </w:pPr>
      <w:r>
        <w:t xml:space="preserve">Page 678 — Rik 1: word-meanings, overall sense, English, Special Topics, grammar</w:t>
      </w:r>
    </w:p>
    <w:p>
      <w:pPr>
        <w:pStyle w:val="FirstParagraph"/>
      </w:pPr>
      <w:r>
        <w:rPr>
          <w:bCs/>
          <w:b/>
        </w:rPr>
        <w:t xml:space="preserve">॥ Prati-padārthaḥ ॥</w:t>
      </w:r>
    </w:p>
    <w:p>
      <w:pPr>
        <w:pStyle w:val="BodyText"/>
      </w:pPr>
      <w:r>
        <w:rPr>
          <w:bCs/>
          <w:b/>
        </w:rPr>
        <w:t xml:space="preserve">इन्द्र (indra)</w:t>
      </w:r>
      <w:r>
        <w:t xml:space="preserve"> </w:t>
      </w:r>
      <w:r>
        <w:t xml:space="preserve">— O Indra |</w:t>
      </w:r>
      <w:r>
        <w:t xml:space="preserve"> </w:t>
      </w:r>
      <w:r>
        <w:rPr>
          <w:bCs/>
          <w:b/>
        </w:rPr>
        <w:t xml:space="preserve">वृषणम् (vṛṣaṇam)</w:t>
      </w:r>
      <w:r>
        <w:t xml:space="preserve"> </w:t>
      </w:r>
      <w:r>
        <w:t xml:space="preserve">— who rains (gives) what is desired |</w:t>
      </w:r>
      <w:r>
        <w:t xml:space="preserve"> </w:t>
      </w:r>
      <w:r>
        <w:rPr>
          <w:bCs/>
          <w:b/>
        </w:rPr>
        <w:t xml:space="preserve">त्वा (tvā)</w:t>
      </w:r>
      <w:r>
        <w:t xml:space="preserve"> </w:t>
      </w:r>
      <w:r>
        <w:t xml:space="preserve">— you |</w:t>
      </w:r>
      <w:r>
        <w:t xml:space="preserve"> </w:t>
      </w:r>
      <w:r>
        <w:rPr>
          <w:bCs/>
          <w:b/>
        </w:rPr>
        <w:t xml:space="preserve">सोमपीतये (somapītaye)</w:t>
      </w:r>
      <w:r>
        <w:t xml:space="preserve"> </w:t>
      </w:r>
      <w:r>
        <w:t xml:space="preserve">— for drinking soma |</w:t>
      </w:r>
      <w:r>
        <w:t xml:space="preserve"> </w:t>
      </w:r>
      <w:r>
        <w:rPr>
          <w:bCs/>
          <w:b/>
        </w:rPr>
        <w:t xml:space="preserve">हरयः (harayaḥ)</w:t>
      </w:r>
      <w:r>
        <w:t xml:space="preserve"> </w:t>
      </w:r>
      <w:r>
        <w:t xml:space="preserve">— (your) horses |</w:t>
      </w:r>
      <w:r>
        <w:t xml:space="preserve"> </w:t>
      </w:r>
      <w:r>
        <w:rPr>
          <w:bCs/>
          <w:b/>
        </w:rPr>
        <w:t xml:space="preserve">आ वहन्तु (ā vahantu)</w:t>
      </w:r>
      <w:r>
        <w:t xml:space="preserve"> </w:t>
      </w:r>
      <w:r>
        <w:t xml:space="preserve">— may they bring (to the place where this rite is going on) |</w:t>
      </w:r>
      <w:r>
        <w:t xml:space="preserve"> </w:t>
      </w:r>
      <w:r>
        <w:rPr>
          <w:bCs/>
          <w:b/>
        </w:rPr>
        <w:t xml:space="preserve">सूरचक्षसः (sūracakṣasaḥ)</w:t>
      </w:r>
      <w:r>
        <w:t xml:space="preserve"> </w:t>
      </w:r>
      <w:r>
        <w:t xml:space="preserve">— the radiant priests, shining like the sun |</w:t>
      </w:r>
      <w:r>
        <w:t xml:space="preserve"> </w:t>
      </w:r>
      <w:r>
        <w:rPr>
          <w:bCs/>
          <w:b/>
        </w:rPr>
        <w:t xml:space="preserve">त्वा (tvā)</w:t>
      </w:r>
      <w:r>
        <w:t xml:space="preserve"> </w:t>
      </w:r>
      <w:r>
        <w:t xml:space="preserve">— you (may they praise).</w:t>
      </w:r>
    </w:p>
    <w:p>
      <w:pPr>
        <w:pStyle w:val="BodyText"/>
      </w:pPr>
      <w:r>
        <w:rPr>
          <w:bCs/>
          <w:b/>
        </w:rPr>
        <w:t xml:space="preserve">॥ Bhāvārthaḥ ॥</w:t>
      </w:r>
    </w:p>
    <w:p>
      <w:pPr>
        <w:pStyle w:val="BodyText"/>
      </w:pPr>
      <w:r>
        <w:t xml:space="preserve">O Indra, you give all that is desired. The radiant priests praise you. Come with your horses to our sacrificial hall to drink soma.</w:t>
      </w:r>
    </w:p>
    <w:p>
      <w:pPr>
        <w:pStyle w:val="BodyText"/>
      </w:pPr>
      <w:r>
        <w:rPr>
          <w:bCs/>
          <w:b/>
        </w:rPr>
        <w:t xml:space="preserve">॥ English Translation ॥</w:t>
      </w:r>
      <w:r>
        <w:t xml:space="preserve"> </w:t>
      </w:r>
      <w:r>
        <w:rPr>
          <w:iCs/>
          <w:i/>
        </w:rPr>
        <w:t xml:space="preserve">(as printed in the source)</w:t>
      </w:r>
    </w:p>
    <w:p>
      <w:pPr>
        <w:pStyle w:val="BlockText"/>
      </w:pPr>
      <w:r>
        <w:t xml:space="preserve">Indra, let your horses bring you, bestower of riches, to drink the Soma-Juice; May the priests radiant as the Sun, praise you.</w:t>
      </w:r>
    </w:p>
    <w:p>
      <w:pPr>
        <w:pStyle w:val="FirstParagraph"/>
      </w:pPr>
      <w:r>
        <w:rPr>
          <w:bCs/>
          <w:b/>
        </w:rPr>
        <w:t xml:space="preserve">॥ Viśeṣa-viṣayagaḷu (Special Topics) ॥</w:t>
      </w:r>
    </w:p>
    <w:p>
      <w:pPr>
        <w:pStyle w:val="BodyText"/>
      </w:pPr>
      <w:r>
        <w:rPr>
          <w:bCs/>
          <w:b/>
        </w:rPr>
        <w:t xml:space="preserve">Sūracakṣasaḥ</w:t>
      </w:r>
      <w:r>
        <w:t xml:space="preserve">:</w:t>
      </w:r>
    </w:p>
    <w:p>
      <w:pPr>
        <w:pStyle w:val="BlockText"/>
      </w:pPr>
      <w:r>
        <w:t xml:space="preserve">सूर्यसमानप्रकाशयुक्ता ऋत्विजस्त्वां मन्त्रैः प्रकाशयन्तु ॥</w:t>
      </w:r>
    </w:p>
    <w:p>
      <w:pPr>
        <w:pStyle w:val="BlockText"/>
      </w:pPr>
      <w:r>
        <w:rPr>
          <w:iCs/>
          <w:i/>
        </w:rPr>
        <w:t xml:space="preserve">sūryasamānaprakāśayuktā ṛtvijastvāṃ mantraiḥ prakāśayantu ||</w:t>
      </w:r>
    </w:p>
    <w:p>
      <w:pPr>
        <w:pStyle w:val="FirstParagraph"/>
      </w:pPr>
      <w:r>
        <w:t xml:space="preserve">that is,</w:t>
      </w:r>
      <w:r>
        <w:t xml:space="preserve"> </w:t>
      </w:r>
      <w:r>
        <w:t xml:space="preserve">“</w:t>
      </w:r>
      <w:r>
        <w:t xml:space="preserve">may the priests, radiant like the sun, praise you with mantras, make you known</w:t>
      </w:r>
      <w:r>
        <w:t xml:space="preserve">”</w:t>
      </w:r>
      <w:r>
        <w:t xml:space="preserve">.</w:t>
      </w:r>
    </w:p>
    <w:p>
      <w:pPr>
        <w:pStyle w:val="BodyText"/>
      </w:pPr>
      <w:r>
        <w:rPr>
          <w:bCs/>
          <w:b/>
        </w:rPr>
        <w:t xml:space="preserve">॥ Vyākaraṇa-prakriyā ॥</w:t>
      </w:r>
      <w:r>
        <w:t xml:space="preserve"> </w:t>
      </w:r>
      <w:r>
        <w:rPr>
          <w:iCs/>
          <w:i/>
        </w:rPr>
        <w:t xml:space="preserve">(grammar pages 678–679, noted briefly)</w:t>
      </w:r>
    </w:p>
    <w:p>
      <w:pPr>
        <w:pStyle w:val="BodyText"/>
      </w:pPr>
      <w:r>
        <w:rPr>
          <w:bCs/>
          <w:b/>
        </w:rPr>
        <w:t xml:space="preserve">हरयः (</w:t>
      </w:r>
      <w:r>
        <w:rPr>
          <w:iCs/>
          <w:i/>
          <w:bCs/>
          <w:b/>
        </w:rPr>
        <w:t xml:space="preserve">harayaḥ</w:t>
      </w:r>
      <w:r>
        <w:rPr>
          <w:bCs/>
          <w:b/>
        </w:rPr>
        <w:t xml:space="preserve">)</w:t>
      </w:r>
      <w:r>
        <w:t xml:space="preserve">: the root</w:t>
      </w:r>
      <w:r>
        <w:t xml:space="preserve"> </w:t>
      </w:r>
      <w:r>
        <w:rPr>
          <w:iCs/>
          <w:i/>
        </w:rPr>
        <w:t xml:space="preserve">hṛñ haraṇe</w:t>
      </w:r>
      <w:r>
        <w:t xml:space="preserve">. By</w:t>
      </w:r>
      <w:r>
        <w:t xml:space="preserve"> </w:t>
      </w:r>
      <w:r>
        <w:t xml:space="preserve">“</w:t>
      </w:r>
      <w:r>
        <w:t xml:space="preserve">sarvadhātubhya in</w:t>
      </w:r>
      <w:r>
        <w:t xml:space="preserve">”</w:t>
      </w:r>
      <w:r>
        <w:t xml:space="preserve"> </w:t>
      </w:r>
      <w:r>
        <w:t xml:space="preserve">(Uṇ. sū.</w:t>
      </w:r>
      <w:r>
        <w:t xml:space="preserve"> </w:t>
      </w:r>
      <w:r>
        <w:t xml:space="preserve">“</w:t>
      </w:r>
      <w:r>
        <w:t xml:space="preserve">4-552</w:t>
      </w:r>
      <w:r>
        <w:t xml:space="preserve">”</w:t>
      </w:r>
      <w:r>
        <w:t xml:space="preserve"> </w:t>
      </w:r>
      <w:r>
        <w:t xml:space="preserve">[?]; the bhāṣya gives 4-118) the suffix</w:t>
      </w:r>
      <w:r>
        <w:t xml:space="preserve"> </w:t>
      </w:r>
      <w:r>
        <w:rPr>
          <w:iCs/>
          <w:i/>
        </w:rPr>
        <w:t xml:space="preserve">in</w:t>
      </w:r>
      <w:r>
        <w:t xml:space="preserve"> </w:t>
      </w:r>
      <w:r>
        <w:t xml:space="preserve">after all roots:</w:t>
      </w:r>
      <w:r>
        <w:t xml:space="preserve"> </w:t>
      </w:r>
      <w:r>
        <w:rPr>
          <w:iCs/>
          <w:i/>
        </w:rPr>
        <w:t xml:space="preserve">hṛ</w:t>
      </w:r>
      <w:r>
        <w:t xml:space="preserve"> </w:t>
      </w:r>
      <w:r>
        <w:t xml:space="preserve">+</w:t>
      </w:r>
      <w:r>
        <w:t xml:space="preserve"> </w:t>
      </w:r>
      <w:r>
        <w:rPr>
          <w:iCs/>
          <w:i/>
        </w:rPr>
        <w:t xml:space="preserve">i</w:t>
      </w:r>
      <w:r>
        <w:t xml:space="preserve">;</w:t>
      </w:r>
      <w:r>
        <w:t xml:space="preserve"> </w:t>
      </w:r>
      <w:r>
        <w:rPr>
          <w:iCs/>
          <w:i/>
        </w:rPr>
        <w:t xml:space="preserve">guṇa</w:t>
      </w:r>
      <w:r>
        <w:t xml:space="preserve"> </w:t>
      </w:r>
      <w:r>
        <w:t xml:space="preserve">by</w:t>
      </w:r>
      <w:r>
        <w:t xml:space="preserve"> </w:t>
      </w:r>
      <w:r>
        <w:t xml:space="preserve">“</w:t>
      </w:r>
      <w:r>
        <w:t xml:space="preserve">sārvadhātukārdhadhātukayoḥ</w:t>
      </w:r>
      <w:r>
        <w:t xml:space="preserve">”</w:t>
      </w:r>
      <w:r>
        <w:t xml:space="preserve"> </w:t>
      </w:r>
      <w:r>
        <w:t xml:space="preserve">(Pā. sū. 7-3-84);</w:t>
      </w:r>
      <w:r>
        <w:t xml:space="preserve"> </w:t>
      </w:r>
      <w:r>
        <w:rPr>
          <w:iCs/>
          <w:i/>
        </w:rPr>
        <w:t xml:space="preserve">r</w:t>
      </w:r>
      <w:r>
        <w:t xml:space="preserve"> </w:t>
      </w:r>
      <w:r>
        <w:t xml:space="preserve">after it by</w:t>
      </w:r>
      <w:r>
        <w:t xml:space="preserve"> </w:t>
      </w:r>
      <w:r>
        <w:t xml:space="preserve">“</w:t>
      </w:r>
      <w:r>
        <w:t xml:space="preserve">uraṇ raparaḥ</w:t>
      </w:r>
      <w:r>
        <w:t xml:space="preserve">”</w:t>
      </w:r>
      <w:r>
        <w:t xml:space="preserve">:</w:t>
      </w:r>
      <w:r>
        <w:t xml:space="preserve"> </w:t>
      </w:r>
      <w:r>
        <w:rPr>
          <w:iCs/>
          <w:i/>
        </w:rPr>
        <w:t xml:space="preserve">hari</w:t>
      </w:r>
      <w:r>
        <w:t xml:space="preserve">.</w:t>
      </w:r>
    </w:p>
    <w:bookmarkEnd w:id="736"/>
    <w:bookmarkStart w:id="737" w:name="page-679-rik-1-grammar-end"/>
    <w:p>
      <w:pPr>
        <w:pStyle w:val="Heading3"/>
      </w:pPr>
      <w:r>
        <w:t xml:space="preserve">Page 679 — Rik 1: grammar (end)</w:t>
      </w:r>
    </w:p>
    <w:p>
      <w:pPr>
        <w:pStyle w:val="FirstParagraph"/>
      </w:pPr>
      <w:r>
        <w:t xml:space="preserve">After it,</w:t>
      </w:r>
      <w:r>
        <w:t xml:space="preserve"> </w:t>
      </w:r>
      <w:r>
        <w:rPr>
          <w:iCs/>
          <w:i/>
        </w:rPr>
        <w:t xml:space="preserve">jas</w:t>
      </w:r>
      <w:r>
        <w:t xml:space="preserve">;</w:t>
      </w:r>
      <w:r>
        <w:t xml:space="preserve"> </w:t>
      </w:r>
      <w:r>
        <w:rPr>
          <w:iCs/>
          <w:i/>
        </w:rPr>
        <w:t xml:space="preserve">guṇa</w:t>
      </w:r>
      <w:r>
        <w:t xml:space="preserve"> </w:t>
      </w:r>
      <w:r>
        <w:t xml:space="preserve">by</w:t>
      </w:r>
      <w:r>
        <w:t xml:space="preserve"> </w:t>
      </w:r>
      <w:r>
        <w:t xml:space="preserve">“</w:t>
      </w:r>
      <w:r>
        <w:t xml:space="preserve">jasi ca</w:t>
      </w:r>
      <w:r>
        <w:t xml:space="preserve">”</w:t>
      </w:r>
      <w:r>
        <w:t xml:space="preserve"> </w:t>
      </w:r>
      <w:r>
        <w:t xml:space="preserve">(Pā. sū. 7-3-109):</w:t>
      </w:r>
      <w:r>
        <w:t xml:space="preserve"> </w:t>
      </w:r>
      <w:r>
        <w:rPr>
          <w:iCs/>
          <w:i/>
        </w:rPr>
        <w:t xml:space="preserve">hare</w:t>
      </w:r>
      <w:r>
        <w:t xml:space="preserve"> </w:t>
      </w:r>
      <w:r>
        <w:t xml:space="preserve">+</w:t>
      </w:r>
      <w:r>
        <w:t xml:space="preserve"> </w:t>
      </w:r>
      <w:r>
        <w:rPr>
          <w:iCs/>
          <w:i/>
        </w:rPr>
        <w:t xml:space="preserve">as</w:t>
      </w:r>
      <w:r>
        <w:t xml:space="preserve">;</w:t>
      </w:r>
      <w:r>
        <w:t xml:space="preserve"> </w:t>
      </w:r>
      <w:r>
        <w:rPr>
          <w:iCs/>
          <w:i/>
        </w:rPr>
        <w:t xml:space="preserve">ay</w:t>
      </w:r>
      <w:r>
        <w:t xml:space="preserve"> </w:t>
      </w:r>
      <w:r>
        <w:t xml:space="preserve">by</w:t>
      </w:r>
      <w:r>
        <w:t xml:space="preserve"> </w:t>
      </w:r>
      <w:r>
        <w:t xml:space="preserve">“</w:t>
      </w:r>
      <w:r>
        <w:t xml:space="preserve">eco ’yavāyāvaḥ</w:t>
      </w:r>
      <w:r>
        <w:t xml:space="preserve">”</w:t>
      </w:r>
      <w:r>
        <w:t xml:space="preserve"> </w:t>
      </w:r>
      <w:r>
        <w:t xml:space="preserve">(Pā. sū. 6-1-78):</w:t>
      </w:r>
      <w:r>
        <w:t xml:space="preserve"> </w:t>
      </w:r>
      <w:r>
        <w:rPr>
          <w:iCs/>
          <w:i/>
        </w:rPr>
        <w:t xml:space="preserve">harayas</w:t>
      </w:r>
      <w:r>
        <w:t xml:space="preserve">,</w:t>
      </w:r>
      <w:r>
        <w:t xml:space="preserve"> </w:t>
      </w:r>
      <w:r>
        <w:rPr>
          <w:iCs/>
          <w:i/>
        </w:rPr>
        <w:t xml:space="preserve">ru</w:t>
      </w:r>
      <w:r>
        <w:t xml:space="preserve">, visarga.</w:t>
      </w:r>
      <w:r>
        <w:t xml:space="preserve"> </w:t>
      </w:r>
      <w:r>
        <w:rPr>
          <w:iCs/>
          <w:i/>
        </w:rPr>
        <w:t xml:space="preserve">Hari</w:t>
      </w:r>
      <w:r>
        <w:t xml:space="preserve"> </w:t>
      </w:r>
      <w:r>
        <w:t xml:space="preserve">is initial udātta by the</w:t>
      </w:r>
      <w:r>
        <w:t xml:space="preserve"> </w:t>
      </w:r>
      <w:r>
        <w:rPr>
          <w:iCs/>
          <w:i/>
        </w:rPr>
        <w:t xml:space="preserve">nit</w:t>
      </w:r>
      <w:r>
        <w:t xml:space="preserve"> </w:t>
      </w:r>
      <w:r>
        <w:t xml:space="preserve">accent.</w:t>
      </w:r>
    </w:p>
    <w:p>
      <w:pPr>
        <w:pStyle w:val="BodyText"/>
      </w:pPr>
      <w:r>
        <w:rPr>
          <w:bCs/>
          <w:b/>
        </w:rPr>
        <w:t xml:space="preserve">वृषणम् (</w:t>
      </w:r>
      <w:r>
        <w:rPr>
          <w:iCs/>
          <w:i/>
          <w:bCs/>
          <w:b/>
        </w:rPr>
        <w:t xml:space="preserve">vṛṣaṇam</w:t>
      </w:r>
      <w:r>
        <w:rPr>
          <w:bCs/>
          <w:b/>
        </w:rPr>
        <w:t xml:space="preserve">)</w:t>
      </w:r>
      <w:r>
        <w:t xml:space="preserve">: the root</w:t>
      </w:r>
      <w:r>
        <w:t xml:space="preserve"> </w:t>
      </w:r>
      <w:r>
        <w:rPr>
          <w:iCs/>
          <w:i/>
        </w:rPr>
        <w:t xml:space="preserve">vṛṣu secane</w:t>
      </w:r>
      <w:r>
        <w:t xml:space="preserve">; after it, by</w:t>
      </w:r>
      <w:r>
        <w:t xml:space="preserve"> </w:t>
      </w:r>
      <w:r>
        <w:t xml:space="preserve">“</w:t>
      </w:r>
      <w:r>
        <w:t xml:space="preserve">kaninyuvṛṣitakṣirājidhanvidyupratidivaḥ</w:t>
      </w:r>
      <w:r>
        <w:t xml:space="preserve">”</w:t>
      </w:r>
      <w:r>
        <w:t xml:space="preserve"> </w:t>
      </w:r>
      <w:r>
        <w:t xml:space="preserve">(Uṇ. sū. 1-154) the suffix</w:t>
      </w:r>
      <w:r>
        <w:t xml:space="preserve"> </w:t>
      </w:r>
      <w:r>
        <w:rPr>
          <w:iCs/>
          <w:i/>
        </w:rPr>
        <w:t xml:space="preserve">kanin</w:t>
      </w:r>
      <w:r>
        <w:t xml:space="preserve">. The suffix is</w:t>
      </w:r>
      <w:r>
        <w:t xml:space="preserve"> </w:t>
      </w:r>
      <w:r>
        <w:rPr>
          <w:iCs/>
          <w:i/>
        </w:rPr>
        <w:t xml:space="preserve">kit</w:t>
      </w:r>
      <w:r>
        <w:t xml:space="preserve">, so</w:t>
      </w:r>
      <w:r>
        <w:t xml:space="preserve"> </w:t>
      </w:r>
      <w:r>
        <w:t xml:space="preserve">“</w:t>
      </w:r>
      <w:r>
        <w:t xml:space="preserve">kṅiti ca</w:t>
      </w:r>
      <w:r>
        <w:t xml:space="preserve">”</w:t>
      </w:r>
      <w:r>
        <w:t xml:space="preserve"> </w:t>
      </w:r>
      <w:r>
        <w:t xml:space="preserve">bars the</w:t>
      </w:r>
      <w:r>
        <w:t xml:space="preserve"> </w:t>
      </w:r>
      <w:r>
        <w:rPr>
          <w:iCs/>
          <w:i/>
        </w:rPr>
        <w:t xml:space="preserve">guṇa</w:t>
      </w:r>
      <w:r>
        <w:t xml:space="preserve">, and the penultimate</w:t>
      </w:r>
      <w:r>
        <w:t xml:space="preserve"> </w:t>
      </w:r>
      <w:r>
        <w:rPr>
          <w:iCs/>
          <w:i/>
        </w:rPr>
        <w:t xml:space="preserve">guṇa</w:t>
      </w:r>
      <w:r>
        <w:t xml:space="preserve"> </w:t>
      </w:r>
      <w:r>
        <w:t xml:space="preserve">of</w:t>
      </w:r>
      <w:r>
        <w:t xml:space="preserve"> </w:t>
      </w:r>
      <w:r>
        <w:t xml:space="preserve">“</w:t>
      </w:r>
      <w:r>
        <w:t xml:space="preserve">pugantalaghūpadhasya ca</w:t>
      </w:r>
      <w:r>
        <w:t xml:space="preserve">”</w:t>
      </w:r>
      <w:r>
        <w:t xml:space="preserve"> </w:t>
      </w:r>
      <w:r>
        <w:t xml:space="preserve">does not come:</w:t>
      </w:r>
      <w:r>
        <w:t xml:space="preserve"> </w:t>
      </w:r>
      <w:r>
        <w:rPr>
          <w:iCs/>
          <w:i/>
        </w:rPr>
        <w:t xml:space="preserve">vṛṣan</w:t>
      </w:r>
      <w:r>
        <w:t xml:space="preserve">. After it the accusative singular</w:t>
      </w:r>
      <w:r>
        <w:t xml:space="preserve"> </w:t>
      </w:r>
      <w:r>
        <w:rPr>
          <w:iCs/>
          <w:i/>
        </w:rPr>
        <w:t xml:space="preserve">am</w:t>
      </w:r>
      <w:r>
        <w:t xml:space="preserve">:</w:t>
      </w:r>
      <w:r>
        <w:t xml:space="preserve"> </w:t>
      </w:r>
      <w:r>
        <w:rPr>
          <w:iCs/>
          <w:i/>
        </w:rPr>
        <w:t xml:space="preserve">vṛṣan</w:t>
      </w:r>
      <w:r>
        <w:t xml:space="preserve"> </w:t>
      </w:r>
      <w:r>
        <w:t xml:space="preserve">+</w:t>
      </w:r>
      <w:r>
        <w:t xml:space="preserve"> </w:t>
      </w:r>
      <w:r>
        <w:rPr>
          <w:iCs/>
          <w:i/>
        </w:rPr>
        <w:t xml:space="preserve">am</w:t>
      </w:r>
      <w:r>
        <w:t xml:space="preserve">.</w:t>
      </w:r>
      <w:r>
        <w:t xml:space="preserve"> </w:t>
      </w:r>
      <w:r>
        <w:t xml:space="preserve">“</w:t>
      </w:r>
      <w:r>
        <w:t xml:space="preserve">vā ṣapūrvasya nigame</w:t>
      </w:r>
      <w:r>
        <w:t xml:space="preserve">”</w:t>
      </w:r>
      <w:r>
        <w:t xml:space="preserve"> </w:t>
      </w:r>
      <w:r>
        <w:t xml:space="preserve">(Pā. sū. 6-4-9): before a</w:t>
      </w:r>
      <w:r>
        <w:t xml:space="preserve"> </w:t>
      </w:r>
      <w:r>
        <w:rPr>
          <w:iCs/>
          <w:i/>
        </w:rPr>
        <w:t xml:space="preserve">sarvanāmasthāna</w:t>
      </w:r>
      <w:r>
        <w:t xml:space="preserve"> </w:t>
      </w:r>
      <w:r>
        <w:t xml:space="preserve">suffix other than the vocative, the vowel in the penultimate after a</w:t>
      </w:r>
      <w:r>
        <w:t xml:space="preserve"> </w:t>
      </w:r>
      <w:r>
        <w:rPr>
          <w:iCs/>
          <w:i/>
        </w:rPr>
        <w:t xml:space="preserve">ṣ</w:t>
      </w:r>
      <w:r>
        <w:t xml:space="preserve"> </w:t>
      </w:r>
      <w:r>
        <w:t xml:space="preserve">is lengthened optionally; since the lengthening is enjoined as optional, it does not come here. By</w:t>
      </w:r>
      <w:r>
        <w:t xml:space="preserve"> </w:t>
      </w:r>
      <w:r>
        <w:t xml:space="preserve">“</w:t>
      </w:r>
      <w:r>
        <w:t xml:space="preserve">ṛvarṇān nasya ṇatvaṃ vācyam</w:t>
      </w:r>
      <w:r>
        <w:t xml:space="preserve">”</w:t>
      </w:r>
      <w:r>
        <w:t xml:space="preserve"> </w:t>
      </w:r>
      <w:r>
        <w:t xml:space="preserve">(Pā. sū. vā. 8-4-1-1)</w:t>
      </w:r>
      <w:r>
        <w:t xml:space="preserve"> </w:t>
      </w:r>
      <w:r>
        <w:rPr>
          <w:iCs/>
          <w:i/>
        </w:rPr>
        <w:t xml:space="preserve">ṇ</w:t>
      </w:r>
      <w:r>
        <w:t xml:space="preserve"> </w:t>
      </w:r>
      <w:r>
        <w:t xml:space="preserve">for the</w:t>
      </w:r>
      <w:r>
        <w:t xml:space="preserve"> </w:t>
      </w:r>
      <w:r>
        <w:rPr>
          <w:iCs/>
          <w:i/>
        </w:rPr>
        <w:t xml:space="preserve">n</w:t>
      </w:r>
      <w:r>
        <w:t xml:space="preserve">:</w:t>
      </w:r>
      <w:r>
        <w:t xml:space="preserve"> </w:t>
      </w:r>
      <w:r>
        <w:rPr>
          <w:iCs/>
          <w:i/>
        </w:rPr>
        <w:t xml:space="preserve">vṛṣaṇam</w:t>
      </w:r>
      <w:r>
        <w:t xml:space="preserve">.</w:t>
      </w:r>
    </w:p>
    <w:p>
      <w:pPr>
        <w:pStyle w:val="BodyText"/>
      </w:pPr>
      <w:r>
        <w:rPr>
          <w:bCs/>
          <w:b/>
        </w:rPr>
        <w:t xml:space="preserve">सोमपीतये (</w:t>
      </w:r>
      <w:r>
        <w:rPr>
          <w:iCs/>
          <w:i/>
          <w:bCs/>
          <w:b/>
        </w:rPr>
        <w:t xml:space="preserve">somapītaye</w:t>
      </w:r>
      <w:r>
        <w:rPr>
          <w:bCs/>
          <w:b/>
        </w:rPr>
        <w:t xml:space="preserve">)</w:t>
      </w:r>
      <w:r>
        <w:t xml:space="preserve">: set out at</w:t>
      </w:r>
      <w:r>
        <w:t xml:space="preserve"> </w:t>
      </w:r>
      <w:r>
        <w:rPr>
          <w:iCs/>
          <w:i/>
        </w:rPr>
        <w:t xml:space="preserve">aibhir agne</w:t>
      </w:r>
      <w:r>
        <w:t xml:space="preserve"> </w:t>
      </w:r>
      <w:r>
        <w:t xml:space="preserve">(Ṛ. Saṃ. 1-14-1).</w:t>
      </w:r>
    </w:p>
    <w:p>
      <w:pPr>
        <w:pStyle w:val="BodyText"/>
      </w:pPr>
      <w:r>
        <w:rPr>
          <w:bCs/>
          <w:b/>
        </w:rPr>
        <w:t xml:space="preserve">सूरचक्षसः (</w:t>
      </w:r>
      <w:r>
        <w:rPr>
          <w:iCs/>
          <w:i/>
          <w:bCs/>
          <w:b/>
        </w:rPr>
        <w:t xml:space="preserve">sūracakṣasaḥ</w:t>
      </w:r>
      <w:r>
        <w:rPr>
          <w:bCs/>
          <w:b/>
        </w:rPr>
        <w:t xml:space="preserve">)</w:t>
      </w:r>
      <w:r>
        <w:t xml:space="preserve">: the root</w:t>
      </w:r>
      <w:r>
        <w:t xml:space="preserve"> </w:t>
      </w:r>
      <w:r>
        <w:rPr>
          <w:iCs/>
          <w:i/>
        </w:rPr>
        <w:t xml:space="preserve">cakṣiṅ vyaktāyāṃ vāci</w:t>
      </w:r>
      <w:r>
        <w:t xml:space="preserve">. By</w:t>
      </w:r>
      <w:r>
        <w:t xml:space="preserve"> </w:t>
      </w:r>
      <w:r>
        <w:t xml:space="preserve">“</w:t>
      </w:r>
      <w:r>
        <w:t xml:space="preserve">sarvadhātubhyo ’sun</w:t>
      </w:r>
      <w:r>
        <w:t xml:space="preserve">”</w:t>
      </w:r>
      <w:r>
        <w:t xml:space="preserve"> </w:t>
      </w:r>
      <w:r>
        <w:t xml:space="preserve">(Uṇ. sū.</w:t>
      </w:r>
      <w:r>
        <w:t xml:space="preserve"> </w:t>
      </w:r>
      <w:r>
        <w:t xml:space="preserve">“</w:t>
      </w:r>
      <w:r>
        <w:t xml:space="preserve">4-628</w:t>
      </w:r>
      <w:r>
        <w:t xml:space="preserve">”</w:t>
      </w:r>
      <w:r>
        <w:t xml:space="preserve"> </w:t>
      </w:r>
      <w:r>
        <w:t xml:space="preserve">[?]) the suffix</w:t>
      </w:r>
      <w:r>
        <w:t xml:space="preserve"> </w:t>
      </w:r>
      <w:r>
        <w:rPr>
          <w:iCs/>
          <w:i/>
        </w:rPr>
        <w:t xml:space="preserve">asun</w:t>
      </w:r>
      <w:r>
        <w:t xml:space="preserve">; by</w:t>
      </w:r>
      <w:r>
        <w:t xml:space="preserve"> </w:t>
      </w:r>
      <w:r>
        <w:t xml:space="preserve">“</w:t>
      </w:r>
      <w:r>
        <w:t xml:space="preserve">ārdhadhātukaṃ śeṣaḥ</w:t>
      </w:r>
      <w:r>
        <w:t xml:space="preserve">”</w:t>
      </w:r>
      <w:r>
        <w:t xml:space="preserve"> </w:t>
      </w:r>
      <w:r>
        <w:t xml:space="preserve">(Pā. sū. 3-4-114)</w:t>
      </w:r>
      <w:r>
        <w:t xml:space="preserve"> </w:t>
      </w:r>
      <w:r>
        <w:rPr>
          <w:iCs/>
          <w:i/>
        </w:rPr>
        <w:t xml:space="preserve">asun</w:t>
      </w:r>
      <w:r>
        <w:t xml:space="preserve"> </w:t>
      </w:r>
      <w:r>
        <w:t xml:space="preserve">is an</w:t>
      </w:r>
      <w:r>
        <w:t xml:space="preserve"> </w:t>
      </w:r>
      <w:r>
        <w:rPr>
          <w:iCs/>
          <w:i/>
        </w:rPr>
        <w:t xml:space="preserve">ārdhadhātuka</w:t>
      </w:r>
      <w:r>
        <w:t xml:space="preserve"> </w:t>
      </w:r>
      <w:r>
        <w:t xml:space="preserve">suffix; so by</w:t>
      </w:r>
      <w:r>
        <w:t xml:space="preserve"> </w:t>
      </w:r>
      <w:r>
        <w:t xml:space="preserve">“</w:t>
      </w:r>
      <w:r>
        <w:t xml:space="preserve">cakṣiṅaḥ khyāñ</w:t>
      </w:r>
      <w:r>
        <w:t xml:space="preserve">”</w:t>
      </w:r>
      <w:r>
        <w:t xml:space="preserve"> </w:t>
      </w:r>
      <w:r>
        <w:t xml:space="preserve">(Pā. sū. 2-4-54), before an</w:t>
      </w:r>
      <w:r>
        <w:t xml:space="preserve"> </w:t>
      </w:r>
      <w:r>
        <w:rPr>
          <w:iCs/>
          <w:i/>
        </w:rPr>
        <w:t xml:space="preserve">ārdhadhātuka</w:t>
      </w:r>
      <w:r>
        <w:t xml:space="preserve"> </w:t>
      </w:r>
      <w:r>
        <w:t xml:space="preserve">suffix,</w:t>
      </w:r>
      <w:r>
        <w:t xml:space="preserve"> </w:t>
      </w:r>
      <w:r>
        <w:rPr>
          <w:iCs/>
          <w:i/>
        </w:rPr>
        <w:t xml:space="preserve">khyāñ</w:t>
      </w:r>
      <w:r>
        <w:t xml:space="preserve"> </w:t>
      </w:r>
      <w:r>
        <w:t xml:space="preserve">would replace</w:t>
      </w:r>
      <w:r>
        <w:t xml:space="preserve"> </w:t>
      </w:r>
      <w:r>
        <w:rPr>
          <w:iCs/>
          <w:i/>
        </w:rPr>
        <w:t xml:space="preserve">cakṣiṅ</w:t>
      </w:r>
      <w:r>
        <w:t xml:space="preserve">. But after saying</w:t>
      </w:r>
      <w:r>
        <w:t xml:space="preserve"> </w:t>
      </w:r>
      <w:r>
        <w:t xml:space="preserve">“</w:t>
      </w:r>
      <w:r>
        <w:t xml:space="preserve">varjane pratiṣedhaḥ</w:t>
      </w:r>
      <w:r>
        <w:t xml:space="preserve">”</w:t>
      </w:r>
      <w:r>
        <w:t xml:space="preserve"> </w:t>
      </w:r>
      <w:r>
        <w:t xml:space="preserve">(Pā. sū.</w:t>
      </w:r>
      <w:r>
        <w:t xml:space="preserve"> </w:t>
      </w:r>
      <w:r>
        <w:t xml:space="preserve">“</w:t>
      </w:r>
      <w:r>
        <w:t xml:space="preserve">2-4-54-9</w:t>
      </w:r>
      <w:r>
        <w:t xml:space="preserve">”</w:t>
      </w:r>
      <w:r>
        <w:t xml:space="preserve"> </w:t>
      </w:r>
      <w:r>
        <w:t xml:space="preserve">[?]), that</w:t>
      </w:r>
      <w:r>
        <w:t xml:space="preserve"> </w:t>
      </w:r>
      <w:r>
        <w:rPr>
          <w:iCs/>
          <w:i/>
        </w:rPr>
        <w:t xml:space="preserve">khyāñ</w:t>
      </w:r>
      <w:r>
        <w:t xml:space="preserve"> </w:t>
      </w:r>
      <w:r>
        <w:t xml:space="preserve">does not come for</w:t>
      </w:r>
      <w:r>
        <w:t xml:space="preserve"> </w:t>
      </w:r>
      <w:r>
        <w:rPr>
          <w:iCs/>
          <w:i/>
        </w:rPr>
        <w:t xml:space="preserve">cakṣiṅ</w:t>
      </w:r>
      <w:r>
        <w:t xml:space="preserve"> </w:t>
      </w:r>
      <w:r>
        <w:t xml:space="preserve">when avoidance is meant, the Vārttikakāra says</w:t>
      </w:r>
      <w:r>
        <w:t xml:space="preserve"> </w:t>
      </w:r>
      <w:r>
        <w:t xml:space="preserve">“</w:t>
      </w:r>
      <w:r>
        <w:t xml:space="preserve">asanayoś ca</w:t>
      </w:r>
      <w:r>
        <w:t xml:space="preserve">”</w:t>
      </w:r>
      <w:r>
        <w:t xml:space="preserve"> </w:t>
      </w:r>
      <w:r>
        <w:t xml:space="preserve">(Pā. sū. vā. 2-4-54-10): before the suffixes</w:t>
      </w:r>
      <w:r>
        <w:t xml:space="preserve"> </w:t>
      </w:r>
      <w:r>
        <w:rPr>
          <w:iCs/>
          <w:i/>
        </w:rPr>
        <w:t xml:space="preserve">as</w:t>
      </w:r>
      <w:r>
        <w:t xml:space="preserve"> </w:t>
      </w:r>
      <w:r>
        <w:t xml:space="preserve">and</w:t>
      </w:r>
      <w:r>
        <w:t xml:space="preserve"> </w:t>
      </w:r>
      <w:r>
        <w:rPr>
          <w:iCs/>
          <w:i/>
        </w:rPr>
        <w:t xml:space="preserve">ana</w:t>
      </w:r>
      <w:r>
        <w:t xml:space="preserve">,</w:t>
      </w:r>
      <w:r>
        <w:t xml:space="preserve"> </w:t>
      </w:r>
      <w:r>
        <w:rPr>
          <w:iCs/>
          <w:i/>
        </w:rPr>
        <w:t xml:space="preserve">khyāñ</w:t>
      </w:r>
      <w:r>
        <w:t xml:space="preserve"> </w:t>
      </w:r>
      <w:r>
        <w:t xml:space="preserve">does not come for</w:t>
      </w:r>
      <w:r>
        <w:t xml:space="preserve"> </w:t>
      </w:r>
      <w:r>
        <w:rPr>
          <w:iCs/>
          <w:i/>
        </w:rPr>
        <w:t xml:space="preserve">cakṣiṅ</w:t>
      </w:r>
      <w:r>
        <w:t xml:space="preserve">. So here,</w:t>
      </w:r>
      <w:r>
        <w:t xml:space="preserve"> </w:t>
      </w:r>
      <w:r>
        <w:rPr>
          <w:iCs/>
          <w:i/>
        </w:rPr>
        <w:t xml:space="preserve">as</w:t>
      </w:r>
      <w:r>
        <w:t xml:space="preserve"> </w:t>
      </w:r>
      <w:r>
        <w:t xml:space="preserve">following,</w:t>
      </w:r>
      <w:r>
        <w:t xml:space="preserve"> </w:t>
      </w:r>
      <w:r>
        <w:rPr>
          <w:iCs/>
          <w:i/>
        </w:rPr>
        <w:t xml:space="preserve">khyāñ</w:t>
      </w:r>
      <w:r>
        <w:t xml:space="preserve"> </w:t>
      </w:r>
      <w:r>
        <w:t xml:space="preserve">does not come for</w:t>
      </w:r>
      <w:r>
        <w:t xml:space="preserve"> </w:t>
      </w:r>
      <w:r>
        <w:rPr>
          <w:iCs/>
          <w:i/>
        </w:rPr>
        <w:t xml:space="preserve">cakṣiṅ</w:t>
      </w:r>
      <w:r>
        <w:t xml:space="preserve">.</w:t>
      </w:r>
      <w:r>
        <w:t xml:space="preserve"> </w:t>
      </w:r>
      <w:r>
        <w:rPr>
          <w:iCs/>
          <w:i/>
        </w:rPr>
        <w:t xml:space="preserve">Ṣū preraṇe</w:t>
      </w:r>
      <w:r>
        <w:t xml:space="preserve">, a</w:t>
      </w:r>
      <w:r>
        <w:t xml:space="preserve"> </w:t>
      </w:r>
      <w:r>
        <w:rPr>
          <w:iCs/>
          <w:i/>
        </w:rPr>
        <w:t xml:space="preserve">tudādi</w:t>
      </w:r>
      <w:r>
        <w:t xml:space="preserve"> </w:t>
      </w:r>
      <w:r>
        <w:t xml:space="preserve">root;</w:t>
      </w:r>
      <w:r>
        <w:t xml:space="preserve"> </w:t>
      </w:r>
      <w:r>
        <w:rPr>
          <w:iCs/>
          <w:i/>
        </w:rPr>
        <w:t xml:space="preserve">suvati iti sūraḥ</w:t>
      </w:r>
      <w:r>
        <w:t xml:space="preserve">: one who urges people to their works. By</w:t>
      </w:r>
      <w:r>
        <w:t xml:space="preserve"> </w:t>
      </w:r>
      <w:r>
        <w:t xml:space="preserve">“</w:t>
      </w:r>
      <w:r>
        <w:t xml:space="preserve">dhātvādeḥ ṣaḥ saḥ</w:t>
      </w:r>
      <w:r>
        <w:t xml:space="preserve">”</w:t>
      </w:r>
      <w:r>
        <w:t xml:space="preserve"> </w:t>
      </w:r>
      <w:r>
        <w:t xml:space="preserve">(Pā. sū. 6-1-64)</w:t>
      </w:r>
      <w:r>
        <w:t xml:space="preserve"> </w:t>
      </w:r>
      <w:r>
        <w:rPr>
          <w:iCs/>
          <w:i/>
        </w:rPr>
        <w:t xml:space="preserve">s</w:t>
      </w:r>
      <w:r>
        <w:t xml:space="preserve"> </w:t>
      </w:r>
      <w:r>
        <w:t xml:space="preserve">for</w:t>
      </w:r>
      <w:r>
        <w:t xml:space="preserve"> </w:t>
      </w:r>
      <w:r>
        <w:rPr>
          <w:iCs/>
          <w:i/>
        </w:rPr>
        <w:t xml:space="preserve">ṣ</w:t>
      </w:r>
      <w:r>
        <w:t xml:space="preserve">.</w:t>
      </w:r>
      <w:r>
        <w:t xml:space="preserve"> </w:t>
      </w:r>
      <w:r>
        <w:t xml:space="preserve">“</w:t>
      </w:r>
      <w:r>
        <w:t xml:space="preserve">susūdhāgṛdhibhyaḥ kran</w:t>
      </w:r>
      <w:r>
        <w:t xml:space="preserve">”</w:t>
      </w:r>
      <w:r>
        <w:t xml:space="preserve"> </w:t>
      </w:r>
      <w:r>
        <w:t xml:space="preserve">(Uṇ. sū.</w:t>
      </w:r>
      <w:r>
        <w:t xml:space="preserve"> </w:t>
      </w:r>
      <w:r>
        <w:t xml:space="preserve">“</w:t>
      </w:r>
      <w:r>
        <w:t xml:space="preserve">2-173</w:t>
      </w:r>
      <w:r>
        <w:t xml:space="preserve">”</w:t>
      </w:r>
      <w:r>
        <w:t xml:space="preserve"> </w:t>
      </w:r>
      <w:r>
        <w:t xml:space="preserve">[?];</w:t>
      </w:r>
      <w:r>
        <w:t xml:space="preserve"> </w:t>
      </w:r>
      <w:r>
        <w:rPr>
          <w:iCs/>
          <w:i/>
        </w:rPr>
        <w:t xml:space="preserve">ṣuñ abhiṣave</w:t>
      </w:r>
      <w:r>
        <w:t xml:space="preserve">,</w:t>
      </w:r>
      <w:r>
        <w:t xml:space="preserve"> </w:t>
      </w:r>
      <w:r>
        <w:rPr>
          <w:iCs/>
          <w:i/>
        </w:rPr>
        <w:t xml:space="preserve">ṣū preraṇe</w:t>
      </w:r>
      <w:r>
        <w:t xml:space="preserve">,</w:t>
      </w:r>
      <w:r>
        <w:t xml:space="preserve"> </w:t>
      </w:r>
      <w:r>
        <w:rPr>
          <w:iCs/>
          <w:i/>
        </w:rPr>
        <w:t xml:space="preserve">ḍudhāñ dhāraṇapoṣaṇayoḥ</w:t>
      </w:r>
      <w:r>
        <w:t xml:space="preserve">,</w:t>
      </w:r>
      <w:r>
        <w:t xml:space="preserve"> </w:t>
      </w:r>
      <w:r>
        <w:rPr>
          <w:iCs/>
          <w:i/>
        </w:rPr>
        <w:t xml:space="preserve">gṛdhu abhikāṅkṣāyām</w:t>
      </w:r>
      <w:r>
        <w:t xml:space="preserve">): after these roots</w:t>
      </w:r>
      <w:r>
        <w:t xml:space="preserve"> </w:t>
      </w:r>
      <w:r>
        <w:rPr>
          <w:iCs/>
          <w:i/>
        </w:rPr>
        <w:t xml:space="preserve">kran</w:t>
      </w:r>
      <w:r>
        <w:t xml:space="preserve">; so</w:t>
      </w:r>
      <w:r>
        <w:t xml:space="preserve"> </w:t>
      </w:r>
      <w:r>
        <w:rPr>
          <w:iCs/>
          <w:i/>
        </w:rPr>
        <w:t xml:space="preserve">kran</w:t>
      </w:r>
      <w:r>
        <w:t xml:space="preserve"> </w:t>
      </w:r>
      <w:r>
        <w:t xml:space="preserve">after</w:t>
      </w:r>
      <w:r>
        <w:t xml:space="preserve"> </w:t>
      </w:r>
      <w:r>
        <w:rPr>
          <w:iCs/>
          <w:i/>
        </w:rPr>
        <w:t xml:space="preserve">sū</w:t>
      </w:r>
      <w:r>
        <w:t xml:space="preserve">:</w:t>
      </w:r>
      <w:r>
        <w:t xml:space="preserve"> </w:t>
      </w:r>
      <w:r>
        <w:rPr>
          <w:iCs/>
          <w:i/>
        </w:rPr>
        <w:t xml:space="preserve">sū</w:t>
      </w:r>
      <w:r>
        <w:t xml:space="preserve"> </w:t>
      </w:r>
      <w:r>
        <w:t xml:space="preserve">+</w:t>
      </w:r>
      <w:r>
        <w:t xml:space="preserve"> </w:t>
      </w:r>
      <w:r>
        <w:rPr>
          <w:iCs/>
          <w:i/>
        </w:rPr>
        <w:t xml:space="preserve">ra</w:t>
      </w:r>
      <w:r>
        <w:t xml:space="preserve">; the suffix is</w:t>
      </w:r>
      <w:r>
        <w:t xml:space="preserve"> </w:t>
      </w:r>
      <w:r>
        <w:rPr>
          <w:iCs/>
          <w:i/>
        </w:rPr>
        <w:t xml:space="preserve">kit</w:t>
      </w:r>
      <w:r>
        <w:t xml:space="preserve">, so</w:t>
      </w:r>
      <w:r>
        <w:t xml:space="preserve"> </w:t>
      </w:r>
      <w:r>
        <w:t xml:space="preserve">“</w:t>
      </w:r>
      <w:r>
        <w:t xml:space="preserve">kṅiti ca</w:t>
      </w:r>
      <w:r>
        <w:t xml:space="preserve">”</w:t>
      </w:r>
      <w:r>
        <w:t xml:space="preserve"> </w:t>
      </w:r>
      <w:r>
        <w:t xml:space="preserve">(Pā. sū. 1-1-5) bars it, and</w:t>
      </w:r>
      <w:r>
        <w:t xml:space="preserve"> </w:t>
      </w:r>
      <w:r>
        <w:rPr>
          <w:iCs/>
          <w:i/>
        </w:rPr>
        <w:t xml:space="preserve">guṇa</w:t>
      </w:r>
      <w:r>
        <w:t xml:space="preserve"> </w:t>
      </w:r>
      <w:r>
        <w:t xml:space="preserve">by</w:t>
      </w:r>
      <w:r>
        <w:t xml:space="preserve"> </w:t>
      </w:r>
      <w:r>
        <w:t xml:space="preserve">“</w:t>
      </w:r>
      <w:r>
        <w:t xml:space="preserve">sārvadhātukārdhadhātukayoḥ</w:t>
      </w:r>
      <w:r>
        <w:t xml:space="preserve">”</w:t>
      </w:r>
      <w:r>
        <w:t xml:space="preserve"> </w:t>
      </w:r>
      <w:r>
        <w:t xml:space="preserve">(Pā. sū. 7-3-84) does not come:</w:t>
      </w:r>
      <w:r>
        <w:t xml:space="preserve"> </w:t>
      </w:r>
      <w:r>
        <w:rPr>
          <w:iCs/>
          <w:i/>
        </w:rPr>
        <w:t xml:space="preserve">sūra</w:t>
      </w:r>
      <w:r>
        <w:t xml:space="preserve">. It is initial udātta by the</w:t>
      </w:r>
      <w:r>
        <w:t xml:space="preserve"> </w:t>
      </w:r>
      <w:r>
        <w:rPr>
          <w:iCs/>
          <w:i/>
        </w:rPr>
        <w:t xml:space="preserve">nit</w:t>
      </w:r>
      <w:r>
        <w:t xml:space="preserve"> </w:t>
      </w:r>
      <w:r>
        <w:t xml:space="preserve">accent.</w:t>
      </w:r>
      <w:r>
        <w:t xml:space="preserve"> </w:t>
      </w:r>
      <w:r>
        <w:rPr>
          <w:iCs/>
          <w:i/>
        </w:rPr>
        <w:t xml:space="preserve">Sūravat cakṣaḥ khyānaṃ = prakāśaḥ yeṣāṃ te sūracakṣasaḥ</w:t>
      </w:r>
      <w:r>
        <w:t xml:space="preserve">, a bahuvrīhi compound. By</w:t>
      </w:r>
      <w:r>
        <w:t xml:space="preserve"> </w:t>
      </w:r>
      <w:r>
        <w:t xml:space="preserve">“</w:t>
      </w:r>
      <w:r>
        <w:t xml:space="preserve">bahuvrīhau prakṛtyā pūrvapadam</w:t>
      </w:r>
      <w:r>
        <w:t xml:space="preserve">”</w:t>
      </w:r>
      <w:r>
        <w:t xml:space="preserve"> </w:t>
      </w:r>
      <w:r>
        <w:t xml:space="preserve">(Pā. sū. 6-2-1) the first-member accent comes.</w:t>
      </w:r>
    </w:p>
    <w:p>
      <w:pPr>
        <w:pStyle w:val="BodyText"/>
      </w:pPr>
      <w:r>
        <w:rPr>
          <w:bCs/>
          <w:b/>
        </w:rPr>
        <w:t xml:space="preserve">॥१॥</w:t>
      </w:r>
    </w:p>
    <w:p>
      <w:r>
        <w:pict>
          <v:rect style="width:0;height:1.5pt" o:hralign="center" o:hrstd="t" o:hr="t"/>
        </w:pict>
      </w:r>
    </w:p>
    <w:bookmarkEnd w:id="737"/>
    <w:bookmarkStart w:id="738" w:name="page-680-sūkta-16-rik-2"/>
    <w:p>
      <w:pPr>
        <w:pStyle w:val="Heading3"/>
      </w:pPr>
      <w:r>
        <w:t xml:space="preserve">Page 680 — Sūkta 16, Rik 2</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इ॒मा धा॒ना घृ॑त॒स्नुवो॒ हरी॑ इ॒होप॑ वक्षतः ।</w:t>
      </w:r>
      <w:r>
        <w:t xml:space="preserve"> </w:t>
      </w:r>
      <w:r>
        <w:t xml:space="preserve">इन्द्रं॑ सु॒खत॑मे॒ रथे॑ ॥२॥</w:t>
      </w:r>
    </w:p>
    <w:p>
      <w:pPr>
        <w:pStyle w:val="BlockText"/>
      </w:pPr>
      <w:r>
        <w:rPr>
          <w:iCs/>
          <w:i/>
        </w:rPr>
        <w:t xml:space="preserve">imā́ dhānā́ ghṛtasnúvo hárī ihópa vakṣataḥ |</w:t>
      </w:r>
      <w:r>
        <w:t xml:space="preserve"> </w:t>
      </w:r>
      <w:r>
        <w:rPr>
          <w:iCs/>
          <w:i/>
        </w:rPr>
        <w:t xml:space="preserve">índraṃ sukhátame ráthe ||2||</w:t>
      </w:r>
    </w:p>
    <w:p>
      <w:pPr>
        <w:pStyle w:val="FirstParagraph"/>
      </w:pPr>
      <w:r>
        <w:rPr>
          <w:bCs/>
          <w:b/>
        </w:rPr>
        <w:t xml:space="preserve">॥ Pada-pāṭhaḥ ॥</w:t>
      </w:r>
    </w:p>
    <w:p>
      <w:pPr>
        <w:pStyle w:val="BlockText"/>
      </w:pPr>
      <w:r>
        <w:t xml:space="preserve">इमाः । धानाः । घृतऽस्नुवः । हरी इति । इह । उप । वक्षतः ॥</w:t>
      </w:r>
      <w:r>
        <w:t xml:space="preserve"> </w:t>
      </w:r>
      <w:r>
        <w:t xml:space="preserve">इन्द्रम् । सुखऽतमे । रथे ॥२॥</w:t>
      </w:r>
    </w:p>
    <w:p>
      <w:pPr>
        <w:pStyle w:val="BlockText"/>
      </w:pPr>
      <w:r>
        <w:rPr>
          <w:iCs/>
          <w:i/>
        </w:rPr>
        <w:t xml:space="preserve">imāḥ | dhānāḥ | ghṛta ’snuvaḥ | harī iti | iha | upa | vakṣataḥ ||</w:t>
      </w:r>
      <w:r>
        <w:t xml:space="preserve"> </w:t>
      </w:r>
      <w:r>
        <w:rPr>
          <w:iCs/>
          <w:i/>
        </w:rPr>
        <w:t xml:space="preserve">indram | sukha ’tame | rathe ||2||</w:t>
      </w:r>
    </w:p>
    <w:p>
      <w:pPr>
        <w:pStyle w:val="FirstParagraph"/>
      </w:pPr>
      <w:r>
        <w:rPr>
          <w:bCs/>
          <w:b/>
        </w:rPr>
        <w:t xml:space="preserve">॥ Sāyaṇa-bhāṣyam ॥</w:t>
      </w:r>
    </w:p>
    <w:p>
      <w:pPr>
        <w:pStyle w:val="BlockText"/>
      </w:pPr>
      <w:r>
        <w:t xml:space="preserve">हरिशब्द इन्द्ररथस्य वोढारावश्वावाचष्टे । तथा च श्रुत्यन्तरं । हर्योः स्थातेति । हरिभ्यां त्वेन्द्रो देवतां गमयत्विति च । एतदेवाभिप्रेत्य निघण्टुकार आह । हरी इन्द्रस्येति । तादृशौ हरी इमा यागार्थं वेद्यामासादितत्वेन पुरोवर्तिनीर्धाना भृष्टयवतण्डुलाननुद्दिश्य सुखतमे रथ इन्द्रमवस्थाप्येहास्मिन्कर्मण्युप वक्षतः । वेदिसमीपे वहतां । कीदृशीर्धानाः । घृतस्नुवो ऽलंकरणोपस्तरणाभिघारणेन घृतस्राविणीः ॥ धीयन्त इति धानाः । धाप्यावस्यज्यतिभ्यो नः । उ. ३-६ । इति नः । प्रत्ययस्वरः । घृतस्नुवः । घृतं स्नुवन्तीति घृतस्नुवः । क्विपि तुगभावश्छान्दसः । धातुस्वरः । समासे कृदुत्तरपदप्रकृतिस्वरत्वं । स्नोः संयोगपूर्वत्वेन यणभावादुवङादेशः । हरी । हृञ् हरणे । सर्वधातुभ्य इन् । नित्त्वादाद्युदात्तः । प्रगृह्यत्वात्संहितायां प्रकृतिभावः । वक्षतः । प्रार्थनायां लिङर्थे लेट् । तस्य प्रथमपुरुषद्विवचनं तस् । लेटो ऽडाटावित्यडागमः । शपि प्राप्ते सिब्बहुलं लेटीति सिप् । ढत्वकत्वषत्वानि । तिङ्ङतिङ इति निघातः । सुखतमे । गतं ॥</w:t>
      </w:r>
    </w:p>
    <w:p>
      <w:pPr>
        <w:pStyle w:val="BlockText"/>
      </w:pPr>
      <w:r>
        <w:rPr>
          <w:iCs/>
          <w:i/>
        </w:rPr>
        <w:t xml:space="preserve">hariśabda indrarathasya voḍhārāvaśvāvācaṣṭe | tathā ca śrutyantaraṃ | haryoḥ sthāteti | haribhyāṃ tvendro devatāṃ gamayatviti ca | etadevābhipretya nighaṇṭukāra āha | harī indrasyeti | tādṛśau harī imā yāgārthaṃ vedyāmāsāditatvena purovartinīrdhānā bhṛṣṭayavataṇḍulānanuddiśya sukhatame ratha indramavasthāpyehāsminkarmaṇyupa vakṣataḥ | vedisamīpe vahatāṃ | kīdṛśīrdhānāḥ | ghṛtasnuvo ’laṃkaraṇopastaraṇābhighāraṇena ghṛtasrāviṇīḥ || dhīyanta iti dhānāḥ | dhāpyāvasyajyatibhyo naḥ | u. 3-6 | iti naḥ | pratyayasvaraḥ | ghṛtasnuvaḥ | ghṛtaṃ snuvantīti ghṛtasnuvaḥ | kvipi tugabhāvaśchāndasaḥ | dhātusvaraḥ | samāse kṛduttarapadaprakṛtisvaratvaṃ | snoḥ saṃyogapūrvatvena yaṇabhāvāduvaṅādeśaḥ | harī | hṛñ haraṇe | sarvadhātubhya in | nittvādādyudāttaḥ | pragṛhyatvātsaṃhitāyāṃ prakṛtibhāvaḥ | vakṣataḥ | prārthanāyāṃ liṅarthe leṭ | tasya prathamapuruṣadvivacanaṃ tas | leṭo ’ḍāṭāvityaḍāgamaḥ | śapi prāpte sibbahulaṃ leṭīti sip | ḍhatvakatvaṣatvāni | tiṅṅatiṅa iti nighātaḥ | sukhatame | gataṃ ||</w:t>
      </w:r>
    </w:p>
    <w:p>
      <w:pPr>
        <w:pStyle w:val="FirstParagraph"/>
      </w:pPr>
      <w:r>
        <w:rPr>
          <w:bCs/>
          <w:b/>
        </w:rPr>
        <w:t xml:space="preserve">Translation:</w:t>
      </w:r>
      <w:r>
        <w:t xml:space="preserve"> </w:t>
      </w:r>
      <w:r>
        <w:t xml:space="preserve">“</w:t>
      </w:r>
      <w:r>
        <w:t xml:space="preserve">The word</w:t>
      </w:r>
      <w:r>
        <w:t xml:space="preserve"> </w:t>
      </w:r>
      <w:r>
        <w:rPr>
          <w:iCs/>
          <w:i/>
        </w:rPr>
        <w:t xml:space="preserve">hari</w:t>
      </w:r>
      <w:r>
        <w:t xml:space="preserve"> </w:t>
      </w:r>
      <w:r>
        <w:t xml:space="preserve">denotes the two horses that draw Indra’s chariot; so another Śruti says</w:t>
      </w:r>
      <w:r>
        <w:t xml:space="preserve"> </w:t>
      </w:r>
      <w:r>
        <w:t xml:space="preserve">‘</w:t>
      </w:r>
      <w:r>
        <w:rPr>
          <w:iCs/>
          <w:i/>
        </w:rPr>
        <w:t xml:space="preserve">haryoḥ sthātā</w:t>
      </w:r>
      <w:r>
        <w:t xml:space="preserve">’</w:t>
      </w:r>
      <w:r>
        <w:t xml:space="preserve">,</w:t>
      </w:r>
      <w:r>
        <w:t xml:space="preserve"> </w:t>
      </w:r>
      <w:r>
        <w:t xml:space="preserve">‘</w:t>
      </w:r>
      <w:r>
        <w:t xml:space="preserve">standing on the two bays</w:t>
      </w:r>
      <w:r>
        <w:t xml:space="preserve">’</w:t>
      </w:r>
      <w:r>
        <w:t xml:space="preserve">, and</w:t>
      </w:r>
      <w:r>
        <w:t xml:space="preserve"> </w:t>
      </w:r>
      <w:r>
        <w:t xml:space="preserve">‘</w:t>
      </w:r>
      <w:r>
        <w:rPr>
          <w:iCs/>
          <w:i/>
        </w:rPr>
        <w:t xml:space="preserve">haribhyāṃ tvendro devatāṃ gamayatu</w:t>
      </w:r>
      <w:r>
        <w:t xml:space="preserve">’</w:t>
      </w:r>
      <w:r>
        <w:t xml:space="preserve">,</w:t>
      </w:r>
      <w:r>
        <w:t xml:space="preserve"> </w:t>
      </w:r>
      <w:r>
        <w:t xml:space="preserve">‘</w:t>
      </w:r>
      <w:r>
        <w:t xml:space="preserve">may Indra with the two bays lead you to the gods</w:t>
      </w:r>
      <w:r>
        <w:t xml:space="preserve">’</w:t>
      </w:r>
      <w:r>
        <w:t xml:space="preserve">; with this in mind the author of the Nighaṇṭu says</w:t>
      </w:r>
      <w:r>
        <w:t xml:space="preserve"> </w:t>
      </w:r>
      <w:r>
        <w:t xml:space="preserve">‘</w:t>
      </w:r>
      <w:r>
        <w:rPr>
          <w:iCs/>
          <w:i/>
        </w:rPr>
        <w:t xml:space="preserve">harī indrasya</w:t>
      </w:r>
      <w:r>
        <w:t xml:space="preserve">’</w:t>
      </w:r>
      <w:r>
        <w:t xml:space="preserve">,</w:t>
      </w:r>
      <w:r>
        <w:t xml:space="preserve"> </w:t>
      </w:r>
      <w:r>
        <w:t xml:space="preserve">‘</w:t>
      </w:r>
      <w:r>
        <w:t xml:space="preserve">the two bays are Indra’s</w:t>
      </w:r>
      <w:r>
        <w:t xml:space="preserve">’</w:t>
      </w:r>
      <w:r>
        <w:t xml:space="preserve">. May such</w:t>
      </w:r>
      <w:r>
        <w:t xml:space="preserve"> </w:t>
      </w:r>
      <w:r>
        <w:rPr>
          <w:iCs/>
          <w:i/>
        </w:rPr>
        <w:t xml:space="preserve">harī</w:t>
      </w:r>
      <w:r>
        <w:t xml:space="preserve">, with Indra set in the</w:t>
      </w:r>
      <w:r>
        <w:t xml:space="preserve"> </w:t>
      </w:r>
      <w:r>
        <w:rPr>
          <w:iCs/>
          <w:i/>
        </w:rPr>
        <w:t xml:space="preserve">sukhatama</w:t>
      </w:r>
      <w:r>
        <w:t xml:space="preserve">, most comfortable, chariot,</w:t>
      </w:r>
      <w:r>
        <w:t xml:space="preserve"> </w:t>
      </w:r>
      <w:r>
        <w:rPr>
          <w:iCs/>
          <w:i/>
        </w:rPr>
        <w:t xml:space="preserve">iha upa vakṣataḥ</w:t>
      </w:r>
      <w:r>
        <w:t xml:space="preserve">, bring him here to this rite, near the altar, towards</w:t>
      </w:r>
      <w:r>
        <w:t xml:space="preserve"> </w:t>
      </w:r>
      <w:r>
        <w:rPr>
          <w:iCs/>
          <w:i/>
        </w:rPr>
        <w:t xml:space="preserve">imāḥ dhānāḥ</w:t>
      </w:r>
      <w:r>
        <w:t xml:space="preserve">, these roasted barley grains set out on the altar for the sacrifice and lying in front. What are the grains like?</w:t>
      </w:r>
      <w:r>
        <w:t xml:space="preserve"> </w:t>
      </w:r>
      <w:r>
        <w:rPr>
          <w:iCs/>
          <w:i/>
        </w:rPr>
        <w:t xml:space="preserve">Ghṛtasnuvaḥ</w:t>
      </w:r>
      <w:r>
        <w:t xml:space="preserve">, oozing ghee from being adorned, spread and sprinkled with it.</w:t>
      </w:r>
      <w:r>
        <w:t xml:space="preserve">”</w:t>
      </w:r>
      <w:r>
        <w:t xml:space="preserve"> </w:t>
      </w:r>
      <w:r>
        <w:t xml:space="preserve">(Grammatical tail:</w:t>
      </w:r>
      <w:r>
        <w:t xml:space="preserve"> </w:t>
      </w:r>
      <w:r>
        <w:rPr>
          <w:iCs/>
          <w:i/>
        </w:rPr>
        <w:t xml:space="preserve">dhānāḥ</w:t>
      </w:r>
      <w:r>
        <w:t xml:space="preserve">,</w:t>
      </w:r>
      <w:r>
        <w:t xml:space="preserve"> </w:t>
      </w:r>
      <w:r>
        <w:t xml:space="preserve">“</w:t>
      </w:r>
      <w:r>
        <w:t xml:space="preserve">what are set down</w:t>
      </w:r>
      <w:r>
        <w:t xml:space="preserve">”</w:t>
      </w:r>
      <w:r>
        <w:t xml:space="preserve">,</w:t>
      </w:r>
      <w:r>
        <w:t xml:space="preserve"> </w:t>
      </w:r>
      <w:r>
        <w:rPr>
          <w:iCs/>
          <w:i/>
        </w:rPr>
        <w:t xml:space="preserve">na</w:t>
      </w:r>
      <w:r>
        <w:t xml:space="preserve"> </w:t>
      </w:r>
      <w:r>
        <w:t xml:space="preserve">(Uṇ. 3-6), the suffix accent;</w:t>
      </w:r>
      <w:r>
        <w:t xml:space="preserve"> </w:t>
      </w:r>
      <w:r>
        <w:rPr>
          <w:iCs/>
          <w:i/>
        </w:rPr>
        <w:t xml:space="preserve">ghṛtasnuvaḥ</w:t>
      </w:r>
      <w:r>
        <w:t xml:space="preserve">,</w:t>
      </w:r>
      <w:r>
        <w:t xml:space="preserve"> </w:t>
      </w:r>
      <w:r>
        <w:t xml:space="preserve">“</w:t>
      </w:r>
      <w:r>
        <w:t xml:space="preserve">which drip ghee</w:t>
      </w:r>
      <w:r>
        <w:t xml:space="preserve">”</w:t>
      </w:r>
      <w:r>
        <w:t xml:space="preserve">,</w:t>
      </w:r>
      <w:r>
        <w:t xml:space="preserve"> </w:t>
      </w:r>
      <w:r>
        <w:rPr>
          <w:iCs/>
          <w:i/>
        </w:rPr>
        <w:t xml:space="preserve">kvip</w:t>
      </w:r>
      <w:r>
        <w:t xml:space="preserve"> </w:t>
      </w:r>
      <w:r>
        <w:t xml:space="preserve">without</w:t>
      </w:r>
      <w:r>
        <w:t xml:space="preserve"> </w:t>
      </w:r>
      <w:r>
        <w:rPr>
          <w:iCs/>
          <w:i/>
        </w:rPr>
        <w:t xml:space="preserve">tuk</w:t>
      </w:r>
      <w:r>
        <w:t xml:space="preserve"> </w:t>
      </w:r>
      <w:r>
        <w:t xml:space="preserve">(Vedic), the root accent, then the</w:t>
      </w:r>
      <w:r>
        <w:t xml:space="preserve"> </w:t>
      </w:r>
      <w:r>
        <w:rPr>
          <w:iCs/>
          <w:i/>
        </w:rPr>
        <w:t xml:space="preserve">kṛt</w:t>
      </w:r>
      <w:r>
        <w:t xml:space="preserve"> </w:t>
      </w:r>
      <w:r>
        <w:t xml:space="preserve">second-member accent,</w:t>
      </w:r>
      <w:r>
        <w:t xml:space="preserve"> </w:t>
      </w:r>
      <w:r>
        <w:rPr>
          <w:iCs/>
          <w:i/>
        </w:rPr>
        <w:t xml:space="preserve">uvaṅ</w:t>
      </w:r>
      <w:r>
        <w:t xml:space="preserve"> </w:t>
      </w:r>
      <w:r>
        <w:t xml:space="preserve">since</w:t>
      </w:r>
      <w:r>
        <w:t xml:space="preserve"> </w:t>
      </w:r>
      <w:r>
        <w:rPr>
          <w:iCs/>
          <w:i/>
        </w:rPr>
        <w:t xml:space="preserve">snu</w:t>
      </w:r>
      <w:r>
        <w:t xml:space="preserve"> </w:t>
      </w:r>
      <w:r>
        <w:t xml:space="preserve">follows a conjunct;</w:t>
      </w:r>
      <w:r>
        <w:t xml:space="preserve"> </w:t>
      </w:r>
      <w:r>
        <w:rPr>
          <w:iCs/>
          <w:i/>
        </w:rPr>
        <w:t xml:space="preserve">harī</w:t>
      </w:r>
      <w:r>
        <w:t xml:space="preserve">,</w:t>
      </w:r>
      <w:r>
        <w:t xml:space="preserve"> </w:t>
      </w:r>
      <w:r>
        <w:rPr>
          <w:iCs/>
          <w:i/>
        </w:rPr>
        <w:t xml:space="preserve">in</w:t>
      </w:r>
      <w:r>
        <w:t xml:space="preserve">, initial udātta,</w:t>
      </w:r>
      <w:r>
        <w:t xml:space="preserve"> </w:t>
      </w:r>
      <w:r>
        <w:rPr>
          <w:iCs/>
          <w:i/>
        </w:rPr>
        <w:t xml:space="preserve">pragṛhya</w:t>
      </w:r>
      <w:r>
        <w:t xml:space="preserve">, so natural form in the Saṃhitā;</w:t>
      </w:r>
      <w:r>
        <w:t xml:space="preserve"> </w:t>
      </w:r>
      <w:r>
        <w:rPr>
          <w:iCs/>
          <w:i/>
        </w:rPr>
        <w:t xml:space="preserve">vakṣataḥ</w:t>
      </w:r>
      <w:r>
        <w:t xml:space="preserve">,</w:t>
      </w:r>
      <w:r>
        <w:t xml:space="preserve"> </w:t>
      </w:r>
      <w:r>
        <w:rPr>
          <w:iCs/>
          <w:i/>
        </w:rPr>
        <w:t xml:space="preserve">leṭ</w:t>
      </w:r>
      <w:r>
        <w:t xml:space="preserve"> </w:t>
      </w:r>
      <w:r>
        <w:t xml:space="preserve">in the sense of prayer,</w:t>
      </w:r>
      <w:r>
        <w:t xml:space="preserve"> </w:t>
      </w:r>
      <w:r>
        <w:rPr>
          <w:iCs/>
          <w:i/>
        </w:rPr>
        <w:t xml:space="preserve">tas</w:t>
      </w:r>
      <w:r>
        <w:t xml:space="preserve">, the augment</w:t>
      </w:r>
      <w:r>
        <w:t xml:space="preserve"> </w:t>
      </w:r>
      <w:r>
        <w:rPr>
          <w:iCs/>
          <w:i/>
        </w:rPr>
        <w:t xml:space="preserve">a</w:t>
      </w:r>
      <w:r>
        <w:t xml:space="preserve">,</w:t>
      </w:r>
      <w:r>
        <w:t xml:space="preserve"> </w:t>
      </w:r>
      <w:r>
        <w:rPr>
          <w:iCs/>
          <w:i/>
        </w:rPr>
        <w:t xml:space="preserve">sip</w:t>
      </w:r>
      <w:r>
        <w:t xml:space="preserve">,</w:t>
      </w:r>
      <w:r>
        <w:t xml:space="preserve"> </w:t>
      </w:r>
      <w:r>
        <w:rPr>
          <w:iCs/>
          <w:i/>
        </w:rPr>
        <w:t xml:space="preserve">ḍh</w:t>
      </w:r>
      <w:r>
        <w:t xml:space="preserve">,</w:t>
      </w:r>
      <w:r>
        <w:t xml:space="preserve"> </w:t>
      </w:r>
      <w:r>
        <w:rPr>
          <w:iCs/>
          <w:i/>
        </w:rPr>
        <w:t xml:space="preserve">k</w:t>
      </w:r>
      <w:r>
        <w:t xml:space="preserve">,</w:t>
      </w:r>
      <w:r>
        <w:t xml:space="preserve"> </w:t>
      </w:r>
      <w:r>
        <w:rPr>
          <w:iCs/>
          <w:i/>
        </w:rPr>
        <w:t xml:space="preserve">ṣ</w:t>
      </w:r>
      <w:r>
        <w:t xml:space="preserve">, lowered;</w:t>
      </w:r>
      <w:r>
        <w:t xml:space="preserve"> </w:t>
      </w:r>
      <w:r>
        <w:rPr>
          <w:iCs/>
          <w:i/>
        </w:rPr>
        <w:t xml:space="preserve">sukhatame</w:t>
      </w:r>
      <w:r>
        <w:t xml:space="preserve"> </w:t>
      </w:r>
      <w:r>
        <w:t xml:space="preserve">gone through.)</w:t>
      </w:r>
    </w:p>
    <w:p>
      <w:pPr>
        <w:pStyle w:val="BodyText"/>
      </w:pPr>
      <w:r>
        <w:rPr>
          <w:bCs/>
          <w:b/>
        </w:rPr>
        <w:t xml:space="preserve">॥ Prati-padārthaḥ ॥</w:t>
      </w:r>
    </w:p>
    <w:p>
      <w:pPr>
        <w:pStyle w:val="BodyText"/>
      </w:pPr>
      <w:r>
        <w:rPr>
          <w:bCs/>
          <w:b/>
        </w:rPr>
        <w:t xml:space="preserve">हरी (harī)</w:t>
      </w:r>
      <w:r>
        <w:t xml:space="preserve"> </w:t>
      </w:r>
      <w:r>
        <w:t xml:space="preserve">— Indra’s two horses |</w:t>
      </w:r>
      <w:r>
        <w:t xml:space="preserve"> </w:t>
      </w:r>
      <w:r>
        <w:rPr>
          <w:bCs/>
          <w:b/>
        </w:rPr>
        <w:t xml:space="preserve">इमाः (imāḥ)</w:t>
      </w:r>
      <w:r>
        <w:t xml:space="preserve"> </w:t>
      </w:r>
      <w:r>
        <w:t xml:space="preserve">— these (made ready on the altar for the sacrifice) |</w:t>
      </w:r>
      <w:r>
        <w:t xml:space="preserve"> </w:t>
      </w:r>
      <w:r>
        <w:rPr>
          <w:bCs/>
          <w:b/>
        </w:rPr>
        <w:t xml:space="preserve">घृतस्नुवः (ghṛtasnuvaḥ)</w:t>
      </w:r>
      <w:r>
        <w:t xml:space="preserve"> </w:t>
      </w:r>
      <w:r>
        <w:t xml:space="preserve">— sprinkled with ghee, that is, soaked in ghee |</w:t>
      </w:r>
      <w:r>
        <w:t xml:space="preserve"> </w:t>
      </w:r>
      <w:r>
        <w:rPr>
          <w:bCs/>
          <w:b/>
        </w:rPr>
        <w:t xml:space="preserve">धानाः (dhānāḥ)</w:t>
      </w:r>
      <w:r>
        <w:t xml:space="preserve"> </w:t>
      </w:r>
      <w:r>
        <w:t xml:space="preserve">— for receiving the grains, barley, rice and the like |</w:t>
      </w:r>
      <w:r>
        <w:t xml:space="preserve"> </w:t>
      </w:r>
      <w:r>
        <w:rPr>
          <w:bCs/>
          <w:b/>
        </w:rPr>
        <w:t xml:space="preserve">सुखतमे (sukhatame)</w:t>
      </w:r>
      <w:r>
        <w:t xml:space="preserve"> </w:t>
      </w:r>
      <w:r>
        <w:t xml:space="preserve">— comfortable |</w:t>
      </w:r>
      <w:r>
        <w:t xml:space="preserve"> </w:t>
      </w:r>
      <w:r>
        <w:rPr>
          <w:bCs/>
          <w:b/>
        </w:rPr>
        <w:t xml:space="preserve">रथे (rathe)</w:t>
      </w:r>
      <w:r>
        <w:t xml:space="preserve"> </w:t>
      </w:r>
      <w:r>
        <w:t xml:space="preserve">— in the chariot |</w:t>
      </w:r>
      <w:r>
        <w:t xml:space="preserve"> </w:t>
      </w:r>
      <w:r>
        <w:rPr>
          <w:bCs/>
          <w:b/>
        </w:rPr>
        <w:t xml:space="preserve">इन्द्रम् (indram)</w:t>
      </w:r>
      <w:r>
        <w:t xml:space="preserve"> </w:t>
      </w:r>
      <w:r>
        <w:t xml:space="preserve">— Indra (seated) |</w:t>
      </w:r>
      <w:r>
        <w:t xml:space="preserve"> </w:t>
      </w:r>
      <w:r>
        <w:rPr>
          <w:bCs/>
          <w:b/>
        </w:rPr>
        <w:t xml:space="preserve">इह (iha)</w:t>
      </w:r>
      <w:r>
        <w:t xml:space="preserve"> </w:t>
      </w:r>
      <w:r>
        <w:t xml:space="preserve">— here (to the place where this sacrifice goes on) |</w:t>
      </w:r>
      <w:r>
        <w:t xml:space="preserve"> </w:t>
      </w:r>
      <w:r>
        <w:rPr>
          <w:bCs/>
          <w:b/>
        </w:rPr>
        <w:t xml:space="preserve">उप वक्षतः (upa vakṣataḥ)</w:t>
      </w:r>
      <w:r>
        <w:t xml:space="preserve"> </w:t>
      </w:r>
      <w:r>
        <w:t xml:space="preserve">— may they bring.</w:t>
      </w:r>
    </w:p>
    <w:bookmarkEnd w:id="738"/>
    <w:bookmarkStart w:id="739" w:name="X35f993efcfa86b91291ef7c9b32607355fc2554"/>
    <w:p>
      <w:pPr>
        <w:pStyle w:val="Heading3"/>
      </w:pPr>
      <w:r>
        <w:t xml:space="preserve">Page 681 — Rik 2: overall sense, English, Special Topics, grammar</w:t>
      </w:r>
    </w:p>
    <w:p>
      <w:pPr>
        <w:pStyle w:val="FirstParagraph"/>
      </w:pPr>
      <w:r>
        <w:rPr>
          <w:bCs/>
          <w:b/>
        </w:rPr>
        <w:t xml:space="preserve">॥ Bhāvārthaḥ ॥</w:t>
      </w:r>
    </w:p>
    <w:p>
      <w:pPr>
        <w:pStyle w:val="BodyText"/>
      </w:pPr>
      <w:r>
        <w:t xml:space="preserve">The grains, barley, rice and the like, well soaked in ghee for the</w:t>
      </w:r>
      <w:r>
        <w:t xml:space="preserve"> </w:t>
      </w:r>
      <w:r>
        <w:rPr>
          <w:iCs/>
          <w:i/>
        </w:rPr>
        <w:t xml:space="preserve">homa</w:t>
      </w:r>
      <w:r>
        <w:t xml:space="preserve"> </w:t>
      </w:r>
      <w:r>
        <w:t xml:space="preserve">in the sacrifice, are scattered round the sacrificial fire-pit when it is adorned and strewn. May Indra’s two horses called Harī, to eat them, bring Indra, seated in the comfortable chariot, near this place of sacrifice.</w:t>
      </w:r>
    </w:p>
    <w:p>
      <w:pPr>
        <w:pStyle w:val="BodyText"/>
      </w:pPr>
      <w:r>
        <w:rPr>
          <w:bCs/>
          <w:b/>
        </w:rPr>
        <w:t xml:space="preserve">॥ English Translation ॥</w:t>
      </w:r>
      <w:r>
        <w:t xml:space="preserve"> </w:t>
      </w:r>
      <w:r>
        <w:rPr>
          <w:iCs/>
          <w:i/>
        </w:rPr>
        <w:t xml:space="preserve">(as printed in the source)</w:t>
      </w:r>
    </w:p>
    <w:p>
      <w:pPr>
        <w:pStyle w:val="BlockText"/>
      </w:pPr>
      <w:r>
        <w:t xml:space="preserve">Let the horses convey Indra in an easy-moving chariot hither where these grains of parched barely [sic] steeped in clarified butter are being prepared for the Sacrifice.</w:t>
      </w:r>
    </w:p>
    <w:p>
      <w:pPr>
        <w:pStyle w:val="FirstParagraph"/>
      </w:pPr>
      <w:r>
        <w:rPr>
          <w:bCs/>
          <w:b/>
        </w:rPr>
        <w:t xml:space="preserve">॥ Viśeṣa-viṣayagaḷu (Special Topics) ॥</w:t>
      </w:r>
    </w:p>
    <w:p>
      <w:pPr>
        <w:pStyle w:val="BodyText"/>
      </w:pPr>
      <w:r>
        <w:rPr>
          <w:bCs/>
          <w:b/>
        </w:rPr>
        <w:t xml:space="preserve">Dhānāḥ</w:t>
      </w:r>
      <w:r>
        <w:t xml:space="preserve">: the grains, barley, rice and the like, made ready for the</w:t>
      </w:r>
      <w:r>
        <w:t xml:space="preserve"> </w:t>
      </w:r>
      <w:r>
        <w:rPr>
          <w:iCs/>
          <w:i/>
        </w:rPr>
        <w:t xml:space="preserve">homa</w:t>
      </w:r>
      <w:r>
        <w:t xml:space="preserve"> </w:t>
      </w:r>
      <w:r>
        <w:t xml:space="preserve">in the fire. In the work of consecrating the fire, when the acts of adorning, strewing and so on are done with barley, rice and the like, the grains of that corn are scattered round the fire-pit. They are the share of the sacrifice to be given to Indra’s horses. The intention is: may Indra’s horses come with Indra to eat it.</w:t>
      </w:r>
    </w:p>
    <w:p>
      <w:pPr>
        <w:pStyle w:val="BodyText"/>
      </w:pPr>
      <w:r>
        <w:rPr>
          <w:bCs/>
          <w:b/>
        </w:rPr>
        <w:t xml:space="preserve">Ghṛtasnuvaḥ</w:t>
      </w:r>
      <w:r>
        <w:t xml:space="preserve">:</w:t>
      </w:r>
    </w:p>
    <w:p>
      <w:pPr>
        <w:pStyle w:val="BlockText"/>
      </w:pPr>
      <w:r>
        <w:t xml:space="preserve">घृतं स्नुवन्तीति घृतस्नुवः</w:t>
      </w:r>
    </w:p>
    <w:p>
      <w:pPr>
        <w:pStyle w:val="BlockText"/>
      </w:pPr>
      <w:r>
        <w:rPr>
          <w:iCs/>
          <w:i/>
        </w:rPr>
        <w:t xml:space="preserve">ghṛtaṃ snuvantīti ghṛtasnuvaḥ</w:t>
      </w:r>
    </w:p>
    <w:p>
      <w:pPr>
        <w:pStyle w:val="FirstParagraph"/>
      </w:pPr>
      <w:r>
        <w:t xml:space="preserve">well soaked in ghee, or dripping ghee.</w:t>
      </w:r>
    </w:p>
    <w:p>
      <w:pPr>
        <w:pStyle w:val="BodyText"/>
      </w:pPr>
      <w:r>
        <w:rPr>
          <w:bCs/>
          <w:b/>
        </w:rPr>
        <w:t xml:space="preserve">॥ Vyākaraṇa-prakriyā ॥</w:t>
      </w:r>
      <w:r>
        <w:t xml:space="preserve"> </w:t>
      </w:r>
      <w:r>
        <w:rPr>
          <w:iCs/>
          <w:i/>
        </w:rPr>
        <w:t xml:space="preserve">(grammar pages 681–683, noted briefly)</w:t>
      </w:r>
    </w:p>
    <w:p>
      <w:pPr>
        <w:pStyle w:val="BodyText"/>
      </w:pPr>
      <w:r>
        <w:rPr>
          <w:bCs/>
          <w:b/>
        </w:rPr>
        <w:t xml:space="preserve">धानाः (</w:t>
      </w:r>
      <w:r>
        <w:rPr>
          <w:iCs/>
          <w:i/>
          <w:bCs/>
          <w:b/>
        </w:rPr>
        <w:t xml:space="preserve">dhānāḥ</w:t>
      </w:r>
      <w:r>
        <w:rPr>
          <w:bCs/>
          <w:b/>
        </w:rPr>
        <w:t xml:space="preserve">)</w:t>
      </w:r>
      <w:r>
        <w:t xml:space="preserve">:</w:t>
      </w:r>
      <w:r>
        <w:t xml:space="preserve"> </w:t>
      </w:r>
      <w:r>
        <w:rPr>
          <w:iCs/>
          <w:i/>
        </w:rPr>
        <w:t xml:space="preserve">dhīyante iti dhānāḥ</w:t>
      </w:r>
      <w:r>
        <w:t xml:space="preserve">; the root</w:t>
      </w:r>
      <w:r>
        <w:t xml:space="preserve"> </w:t>
      </w:r>
      <w:r>
        <w:rPr>
          <w:iCs/>
          <w:i/>
        </w:rPr>
        <w:t xml:space="preserve">ḍudhāñ dhāraṇapoṣaṇayoḥ</w:t>
      </w:r>
      <w:r>
        <w:t xml:space="preserve">.</w:t>
      </w:r>
      <w:r>
        <w:t xml:space="preserve"> </w:t>
      </w:r>
      <w:r>
        <w:t xml:space="preserve">“</w:t>
      </w:r>
      <w:r>
        <w:t xml:space="preserve">dhāpṝvasyajyatibhyo naḥ</w:t>
      </w:r>
      <w:r>
        <w:t xml:space="preserve">”</w:t>
      </w:r>
      <w:r>
        <w:t xml:space="preserve"> </w:t>
      </w:r>
      <w:r>
        <w:t xml:space="preserve">(Uṇ. sū.</w:t>
      </w:r>
      <w:r>
        <w:t xml:space="preserve"> </w:t>
      </w:r>
      <w:r>
        <w:t xml:space="preserve">“</w:t>
      </w:r>
      <w:r>
        <w:t xml:space="preserve">3-296</w:t>
      </w:r>
      <w:r>
        <w:t xml:space="preserve">”</w:t>
      </w:r>
      <w:r>
        <w:t xml:space="preserve"> </w:t>
      </w:r>
      <w:r>
        <w:t xml:space="preserve">[?]; the bhāṣya gives 3-6;</w:t>
      </w:r>
      <w:r>
        <w:t xml:space="preserve"> </w:t>
      </w:r>
      <w:r>
        <w:rPr>
          <w:iCs/>
          <w:i/>
        </w:rPr>
        <w:t xml:space="preserve">ḍudhāñ dhāraṇādau</w:t>
      </w:r>
      <w:r>
        <w:t xml:space="preserve">,</w:t>
      </w:r>
      <w:r>
        <w:t xml:space="preserve"> </w:t>
      </w:r>
      <w:r>
        <w:rPr>
          <w:iCs/>
          <w:i/>
        </w:rPr>
        <w:t xml:space="preserve">pṝ pālanapūraṇayoḥ</w:t>
      </w:r>
      <w:r>
        <w:t xml:space="preserve">,</w:t>
      </w:r>
      <w:r>
        <w:t xml:space="preserve"> </w:t>
      </w:r>
      <w:r>
        <w:rPr>
          <w:iCs/>
          <w:i/>
        </w:rPr>
        <w:t xml:space="preserve">vasa nivāse</w:t>
      </w:r>
      <w:r>
        <w:t xml:space="preserve">,</w:t>
      </w:r>
      <w:r>
        <w:t xml:space="preserve"> </w:t>
      </w:r>
      <w:r>
        <w:rPr>
          <w:iCs/>
          <w:i/>
        </w:rPr>
        <w:t xml:space="preserve">aja gatau</w:t>
      </w:r>
      <w:r>
        <w:t xml:space="preserve">,</w:t>
      </w:r>
      <w:r>
        <w:t xml:space="preserve"> </w:t>
      </w:r>
      <w:r>
        <w:rPr>
          <w:iCs/>
          <w:i/>
        </w:rPr>
        <w:t xml:space="preserve">ata sātatyagamane</w:t>
      </w:r>
      <w:r>
        <w:t xml:space="preserve">): after these roots the suffix</w:t>
      </w:r>
      <w:r>
        <w:t xml:space="preserve"> </w:t>
      </w:r>
      <w:r>
        <w:rPr>
          <w:iCs/>
          <w:i/>
        </w:rPr>
        <w:t xml:space="preserve">na</w:t>
      </w:r>
      <w:r>
        <w:t xml:space="preserve">; so</w:t>
      </w:r>
      <w:r>
        <w:t xml:space="preserve"> </w:t>
      </w:r>
      <w:r>
        <w:rPr>
          <w:iCs/>
          <w:i/>
        </w:rPr>
        <w:t xml:space="preserve">na</w:t>
      </w:r>
      <w:r>
        <w:t xml:space="preserve"> </w:t>
      </w:r>
      <w:r>
        <w:t xml:space="preserve">after</w:t>
      </w:r>
      <w:r>
        <w:t xml:space="preserve"> </w:t>
      </w:r>
      <w:r>
        <w:rPr>
          <w:iCs/>
          <w:i/>
        </w:rPr>
        <w:t xml:space="preserve">dhā</w:t>
      </w:r>
      <w:r>
        <w:t xml:space="preserve">:</w:t>
      </w:r>
      <w:r>
        <w:t xml:space="preserve"> </w:t>
      </w:r>
      <w:r>
        <w:rPr>
          <w:iCs/>
          <w:i/>
        </w:rPr>
        <w:t xml:space="preserve">dhāna</w:t>
      </w:r>
      <w:r>
        <w:t xml:space="preserve">. Since the feminine is meant,</w:t>
      </w:r>
      <w:r>
        <w:t xml:space="preserve"> </w:t>
      </w:r>
      <w:r>
        <w:rPr>
          <w:iCs/>
          <w:i/>
        </w:rPr>
        <w:t xml:space="preserve">ṭāp</w:t>
      </w:r>
      <w:r>
        <w:t xml:space="preserve"> </w:t>
      </w:r>
      <w:r>
        <w:t xml:space="preserve">by</w:t>
      </w:r>
      <w:r>
        <w:t xml:space="preserve"> </w:t>
      </w:r>
      <w:r>
        <w:t xml:space="preserve">“</w:t>
      </w:r>
      <w:r>
        <w:t xml:space="preserve">ajādyataṣ ṭāp</w:t>
      </w:r>
      <w:r>
        <w:t xml:space="preserve">”</w:t>
      </w:r>
      <w:r>
        <w:t xml:space="preserve"> </w:t>
      </w:r>
      <w:r>
        <w:t xml:space="preserve">(Pā. sū. 4-1-4):</w:t>
      </w:r>
      <w:r>
        <w:t xml:space="preserve"> </w:t>
      </w:r>
      <w:r>
        <w:rPr>
          <w:iCs/>
          <w:i/>
        </w:rPr>
        <w:t xml:space="preserve">dhāna</w:t>
      </w:r>
      <w:r>
        <w:t xml:space="preserve"> </w:t>
      </w:r>
      <w:r>
        <w:t xml:space="preserve">+</w:t>
      </w:r>
      <w:r>
        <w:t xml:space="preserve"> </w:t>
      </w:r>
      <w:r>
        <w:rPr>
          <w:iCs/>
          <w:i/>
        </w:rPr>
        <w:t xml:space="preserve">ā</w:t>
      </w:r>
      <w:r>
        <w:t xml:space="preserve">, lengthening of like vowels; accusative plural</w:t>
      </w:r>
      <w:r>
        <w:t xml:space="preserve"> </w:t>
      </w:r>
      <w:r>
        <w:rPr>
          <w:iCs/>
          <w:i/>
        </w:rPr>
        <w:t xml:space="preserve">dhānāḥ</w:t>
      </w:r>
      <w:r>
        <w:t xml:space="preserve">. The</w:t>
      </w:r>
      <w:r>
        <w:t xml:space="preserve"> </w:t>
      </w:r>
      <w:r>
        <w:rPr>
          <w:iCs/>
          <w:i/>
        </w:rPr>
        <w:t xml:space="preserve">na</w:t>
      </w:r>
      <w:r>
        <w:t xml:space="preserve"> </w:t>
      </w:r>
      <w:r>
        <w:t xml:space="preserve">is initial udātta by</w:t>
      </w:r>
      <w:r>
        <w:t xml:space="preserve"> </w:t>
      </w:r>
      <w:r>
        <w:t xml:space="preserve">“</w:t>
      </w:r>
      <w:r>
        <w:t xml:space="preserve">ādyudāttaś ca</w:t>
      </w:r>
      <w:r>
        <w:t xml:space="preserve">”</w:t>
      </w:r>
      <w:r>
        <w:t xml:space="preserve"> </w:t>
      </w:r>
      <w:r>
        <w:t xml:space="preserve">(Pā. sū. 3-1-3); the single replacement, lengthening with the suffix</w:t>
      </w:r>
      <w:r>
        <w:t xml:space="preserve"> </w:t>
      </w:r>
      <w:r>
        <w:rPr>
          <w:iCs/>
          <w:i/>
        </w:rPr>
        <w:t xml:space="preserve">ṭā</w:t>
      </w:r>
      <w:r>
        <w:t xml:space="preserve">, is udātta by</w:t>
      </w:r>
      <w:r>
        <w:t xml:space="preserve"> </w:t>
      </w:r>
      <w:r>
        <w:t xml:space="preserve">“</w:t>
      </w:r>
      <w:r>
        <w:t xml:space="preserve">ekādeśa udāttenodāttaḥ</w:t>
      </w:r>
      <w:r>
        <w:t xml:space="preserve">”</w:t>
      </w:r>
      <w:r>
        <w:t xml:space="preserve">. So the word</w:t>
      </w:r>
      <w:r>
        <w:t xml:space="preserve"> </w:t>
      </w:r>
      <w:r>
        <w:rPr>
          <w:iCs/>
          <w:i/>
        </w:rPr>
        <w:t xml:space="preserve">dhānā</w:t>
      </w:r>
      <w:r>
        <w:t xml:space="preserve"> </w:t>
      </w:r>
      <w:r>
        <w:t xml:space="preserve">is final udātta.</w:t>
      </w:r>
    </w:p>
    <w:p>
      <w:pPr>
        <w:pStyle w:val="BodyText"/>
      </w:pPr>
      <w:r>
        <w:rPr>
          <w:bCs/>
          <w:b/>
        </w:rPr>
        <w:t xml:space="preserve">घृतस्नुवः (</w:t>
      </w:r>
      <w:r>
        <w:rPr>
          <w:iCs/>
          <w:i/>
          <w:bCs/>
          <w:b/>
        </w:rPr>
        <w:t xml:space="preserve">ghṛtasnuvaḥ</w:t>
      </w:r>
      <w:r>
        <w:rPr>
          <w:bCs/>
          <w:b/>
        </w:rPr>
        <w:t xml:space="preserve">)</w:t>
      </w:r>
      <w:r>
        <w:t xml:space="preserve">: the root</w:t>
      </w:r>
      <w:r>
        <w:t xml:space="preserve"> </w:t>
      </w:r>
      <w:r>
        <w:rPr>
          <w:iCs/>
          <w:i/>
        </w:rPr>
        <w:t xml:space="preserve">ṣṇu prasravaṇe</w:t>
      </w:r>
      <w:r>
        <w:t xml:space="preserve">,</w:t>
      </w:r>
      <w:r>
        <w:t xml:space="preserve"> </w:t>
      </w:r>
      <w:r>
        <w:rPr>
          <w:iCs/>
          <w:i/>
        </w:rPr>
        <w:t xml:space="preserve">adādi</w:t>
      </w:r>
      <w:r>
        <w:t xml:space="preserve">.</w:t>
      </w:r>
      <w:r>
        <w:t xml:space="preserve"> </w:t>
      </w:r>
      <w:r>
        <w:rPr>
          <w:iCs/>
          <w:i/>
        </w:rPr>
        <w:t xml:space="preserve">Ghṛtaṃ snuvanti iti ghṛtasnuvaḥ</w:t>
      </w:r>
      <w:r>
        <w:t xml:space="preserve">; with the</w:t>
      </w:r>
      <w:r>
        <w:t xml:space="preserve"> </w:t>
      </w:r>
      <w:r>
        <w:rPr>
          <w:iCs/>
          <w:i/>
        </w:rPr>
        <w:t xml:space="preserve">subanta</w:t>
      </w:r>
      <w:r>
        <w:t xml:space="preserve"> </w:t>
      </w:r>
      <w:r>
        <w:rPr>
          <w:iCs/>
          <w:i/>
        </w:rPr>
        <w:t xml:space="preserve">ghṛtam</w:t>
      </w:r>
      <w:r>
        <w:t xml:space="preserve"> </w:t>
      </w:r>
      <w:r>
        <w:t xml:space="preserve">as</w:t>
      </w:r>
      <w:r>
        <w:t xml:space="preserve"> </w:t>
      </w:r>
      <w:r>
        <w:rPr>
          <w:iCs/>
          <w:i/>
        </w:rPr>
        <w:t xml:space="preserve">upapada</w:t>
      </w:r>
      <w:r>
        <w:t xml:space="preserve">,</w:t>
      </w:r>
      <w:r>
        <w:t xml:space="preserve"> </w:t>
      </w:r>
      <w:r>
        <w:rPr>
          <w:iCs/>
          <w:i/>
        </w:rPr>
        <w:t xml:space="preserve">kvip</w:t>
      </w:r>
      <w:r>
        <w:t xml:space="preserve"> </w:t>
      </w:r>
      <w:r>
        <w:t xml:space="preserve">after</w:t>
      </w:r>
      <w:r>
        <w:t xml:space="preserve"> </w:t>
      </w:r>
      <w:r>
        <w:rPr>
          <w:iCs/>
          <w:i/>
        </w:rPr>
        <w:t xml:space="preserve">snu</w:t>
      </w:r>
      <w:r>
        <w:t xml:space="preserve"> </w:t>
      </w:r>
      <w:r>
        <w:t xml:space="preserve">by</w:t>
      </w:r>
      <w:r>
        <w:t xml:space="preserve"> </w:t>
      </w:r>
      <w:r>
        <w:t xml:space="preserve">“</w:t>
      </w:r>
      <w:r>
        <w:t xml:space="preserve">kvip ca</w:t>
      </w:r>
      <w:r>
        <w:t xml:space="preserve">”</w:t>
      </w:r>
      <w:r>
        <w:t xml:space="preserve"> </w:t>
      </w:r>
      <w:r>
        <w:t xml:space="preserve">(Pā. sū. 3-2-76),</w:t>
      </w:r>
    </w:p>
    <w:bookmarkEnd w:id="739"/>
    <w:bookmarkStart w:id="740" w:name="page-682-rik-2-grammar-continued"/>
    <w:p>
      <w:pPr>
        <w:pStyle w:val="Heading3"/>
      </w:pPr>
      <w:r>
        <w:t xml:space="preserve">Page 682 — Rik 2: grammar (continued)</w:t>
      </w:r>
    </w:p>
    <w:p>
      <w:pPr>
        <w:pStyle w:val="FirstParagraph"/>
      </w:pPr>
      <w:r>
        <w:rPr>
          <w:iCs/>
          <w:i/>
        </w:rPr>
        <w:t xml:space="preserve">kvip</w:t>
      </w:r>
      <w:r>
        <w:t xml:space="preserve"> </w:t>
      </w:r>
      <w:r>
        <w:t xml:space="preserve">drops;</w:t>
      </w:r>
      <w:r>
        <w:t xml:space="preserve"> </w:t>
      </w:r>
      <w:r>
        <w:rPr>
          <w:iCs/>
          <w:i/>
        </w:rPr>
        <w:t xml:space="preserve">s</w:t>
      </w:r>
      <w:r>
        <w:t xml:space="preserve"> </w:t>
      </w:r>
      <w:r>
        <w:t xml:space="preserve">for</w:t>
      </w:r>
      <w:r>
        <w:t xml:space="preserve"> </w:t>
      </w:r>
      <w:r>
        <w:rPr>
          <w:iCs/>
          <w:i/>
        </w:rPr>
        <w:t xml:space="preserve">ṣ</w:t>
      </w:r>
      <w:r>
        <w:t xml:space="preserve"> </w:t>
      </w:r>
      <w:r>
        <w:t xml:space="preserve">by</w:t>
      </w:r>
      <w:r>
        <w:t xml:space="preserve"> </w:t>
      </w:r>
      <w:r>
        <w:t xml:space="preserve">“</w:t>
      </w:r>
      <w:r>
        <w:t xml:space="preserve">dhātvādeḥ ṣaḥ saḥ</w:t>
      </w:r>
      <w:r>
        <w:t xml:space="preserve">”</w:t>
      </w:r>
      <w:r>
        <w:t xml:space="preserve"> </w:t>
      </w:r>
      <w:r>
        <w:t xml:space="preserve">(Pā. sū. 6-1-64). The</w:t>
      </w:r>
      <w:r>
        <w:t xml:space="preserve"> </w:t>
      </w:r>
      <w:r>
        <w:rPr>
          <w:iCs/>
          <w:i/>
        </w:rPr>
        <w:t xml:space="preserve">am</w:t>
      </w:r>
      <w:r>
        <w:t xml:space="preserve">, a</w:t>
      </w:r>
      <w:r>
        <w:t xml:space="preserve"> </w:t>
      </w:r>
      <w:r>
        <w:rPr>
          <w:iCs/>
          <w:i/>
        </w:rPr>
        <w:t xml:space="preserve">sup</w:t>
      </w:r>
      <w:r>
        <w:t xml:space="preserve"> </w:t>
      </w:r>
      <w:r>
        <w:t xml:space="preserve">inside the</w:t>
      </w:r>
      <w:r>
        <w:t xml:space="preserve"> </w:t>
      </w:r>
      <w:r>
        <w:rPr>
          <w:iCs/>
          <w:i/>
        </w:rPr>
        <w:t xml:space="preserve">kṛdanta</w:t>
      </w:r>
      <w:r>
        <w:t xml:space="preserve"> </w:t>
      </w:r>
      <w:r>
        <w:rPr>
          <w:iCs/>
          <w:i/>
        </w:rPr>
        <w:t xml:space="preserve">prātipadika</w:t>
      </w:r>
      <w:r>
        <w:t xml:space="preserve">, takes</w:t>
      </w:r>
      <w:r>
        <w:t xml:space="preserve"> </w:t>
      </w:r>
      <w:r>
        <w:rPr>
          <w:iCs/>
          <w:i/>
        </w:rPr>
        <w:t xml:space="preserve">luk</w:t>
      </w:r>
      <w:r>
        <w:t xml:space="preserve">:</w:t>
      </w:r>
      <w:r>
        <w:t xml:space="preserve"> </w:t>
      </w:r>
      <w:r>
        <w:rPr>
          <w:iCs/>
          <w:i/>
        </w:rPr>
        <w:t xml:space="preserve">ghṛtasnu</w:t>
      </w:r>
      <w:r>
        <w:t xml:space="preserve">. Now, though the</w:t>
      </w:r>
      <w:r>
        <w:t xml:space="preserve"> </w:t>
      </w:r>
      <w:r>
        <w:rPr>
          <w:iCs/>
          <w:i/>
        </w:rPr>
        <w:t xml:space="preserve">kvip</w:t>
      </w:r>
      <w:r>
        <w:t xml:space="preserve">, a</w:t>
      </w:r>
      <w:r>
        <w:t xml:space="preserve"> </w:t>
      </w:r>
      <w:r>
        <w:rPr>
          <w:iCs/>
          <w:i/>
        </w:rPr>
        <w:t xml:space="preserve">pit</w:t>
      </w:r>
      <w:r>
        <w:t xml:space="preserve"> </w:t>
      </w:r>
      <w:r>
        <w:rPr>
          <w:iCs/>
          <w:i/>
        </w:rPr>
        <w:t xml:space="preserve">kṛt</w:t>
      </w:r>
      <w:r>
        <w:t xml:space="preserve">, has dropped, by</w:t>
      </w:r>
      <w:r>
        <w:t xml:space="preserve"> </w:t>
      </w:r>
      <w:r>
        <w:t xml:space="preserve">“</w:t>
      </w:r>
      <w:r>
        <w:t xml:space="preserve">pratyayalope pratyayalakṣaṇam</w:t>
      </w:r>
      <w:r>
        <w:t xml:space="preserve">”</w:t>
      </w:r>
      <w:r>
        <w:t xml:space="preserve"> </w:t>
      </w:r>
      <w:r>
        <w:t xml:space="preserve">(Pā. sū. 1-1-62) it counts as following; so the augment</w:t>
      </w:r>
      <w:r>
        <w:t xml:space="preserve"> </w:t>
      </w:r>
      <w:r>
        <w:rPr>
          <w:iCs/>
          <w:i/>
        </w:rPr>
        <w:t xml:space="preserve">tuk</w:t>
      </w:r>
      <w:r>
        <w:t xml:space="preserve"> </w:t>
      </w:r>
      <w:r>
        <w:t xml:space="preserve">would come by</w:t>
      </w:r>
      <w:r>
        <w:t xml:space="preserve"> </w:t>
      </w:r>
      <w:r>
        <w:t xml:space="preserve">“</w:t>
      </w:r>
      <w:r>
        <w:t xml:space="preserve">hrasvasya piti kṛti tuk</w:t>
      </w:r>
      <w:r>
        <w:t xml:space="preserve">”</w:t>
      </w:r>
      <w:r>
        <w:t xml:space="preserve">. But by a Vedic process it does not come; or it does not come by</w:t>
      </w:r>
      <w:r>
        <w:t xml:space="preserve"> </w:t>
      </w:r>
      <w:r>
        <w:t xml:space="preserve">“</w:t>
      </w:r>
      <w:r>
        <w:t xml:space="preserve">āgamaśāstram anityam</w:t>
      </w:r>
      <w:r>
        <w:t xml:space="preserve">”</w:t>
      </w:r>
      <w:r>
        <w:t xml:space="preserve"> </w:t>
      </w:r>
      <w:r>
        <w:t xml:space="preserve">(paribhāṣā 94).</w:t>
      </w:r>
      <w:r>
        <w:t xml:space="preserve"> </w:t>
      </w:r>
      <w:r>
        <w:rPr>
          <w:iCs/>
          <w:i/>
        </w:rPr>
        <w:t xml:space="preserve">Snu</w:t>
      </w:r>
      <w:r>
        <w:t xml:space="preserve"> </w:t>
      </w:r>
      <w:r>
        <w:t xml:space="preserve">being a root, it is final udātta by</w:t>
      </w:r>
      <w:r>
        <w:t xml:space="preserve"> </w:t>
      </w:r>
      <w:r>
        <w:t xml:space="preserve">“</w:t>
      </w:r>
      <w:r>
        <w:t xml:space="preserve">dhātoḥ</w:t>
      </w:r>
      <w:r>
        <w:t xml:space="preserve">”</w:t>
      </w:r>
      <w:r>
        <w:t xml:space="preserve"> </w:t>
      </w:r>
      <w:r>
        <w:t xml:space="preserve">(Pā. sū. 6-1-162); after compounding too, by the</w:t>
      </w:r>
      <w:r>
        <w:t xml:space="preserve"> </w:t>
      </w:r>
      <w:r>
        <w:rPr>
          <w:iCs/>
          <w:i/>
        </w:rPr>
        <w:t xml:space="preserve">kṛt</w:t>
      </w:r>
      <w:r>
        <w:t xml:space="preserve"> </w:t>
      </w:r>
      <w:r>
        <w:t xml:space="preserve">second-member accent of</w:t>
      </w:r>
      <w:r>
        <w:t xml:space="preserve"> </w:t>
      </w:r>
      <w:r>
        <w:t xml:space="preserve">“</w:t>
      </w:r>
      <w:r>
        <w:t xml:space="preserve">gatikārakopapadāt kṛt</w:t>
      </w:r>
      <w:r>
        <w:t xml:space="preserve">”</w:t>
      </w:r>
      <w:r>
        <w:t xml:space="preserve"> </w:t>
      </w:r>
      <w:r>
        <w:t xml:space="preserve">(Pā. sū. 6-2-139) that accent remains. After</w:t>
      </w:r>
      <w:r>
        <w:t xml:space="preserve"> </w:t>
      </w:r>
      <w:r>
        <w:rPr>
          <w:iCs/>
          <w:i/>
        </w:rPr>
        <w:t xml:space="preserve">ghṛtasnu</w:t>
      </w:r>
      <w:r>
        <w:t xml:space="preserve">,</w:t>
      </w:r>
      <w:r>
        <w:t xml:space="preserve"> </w:t>
      </w:r>
      <w:r>
        <w:rPr>
          <w:iCs/>
          <w:i/>
        </w:rPr>
        <w:t xml:space="preserve">śas</w:t>
      </w:r>
      <w:r>
        <w:t xml:space="preserve">:</w:t>
      </w:r>
      <w:r>
        <w:t xml:space="preserve"> </w:t>
      </w:r>
      <w:r>
        <w:rPr>
          <w:iCs/>
          <w:i/>
        </w:rPr>
        <w:t xml:space="preserve">ghṛtasnu</w:t>
      </w:r>
      <w:r>
        <w:t xml:space="preserve"> </w:t>
      </w:r>
      <w:r>
        <w:t xml:space="preserve">+</w:t>
      </w:r>
      <w:r>
        <w:t xml:space="preserve"> </w:t>
      </w:r>
      <w:r>
        <w:rPr>
          <w:iCs/>
          <w:i/>
        </w:rPr>
        <w:t xml:space="preserve">as</w:t>
      </w:r>
      <w:r>
        <w:t xml:space="preserve">; the</w:t>
      </w:r>
      <w:r>
        <w:t xml:space="preserve"> </w:t>
      </w:r>
      <w:r>
        <w:rPr>
          <w:iCs/>
          <w:i/>
        </w:rPr>
        <w:t xml:space="preserve">u</w:t>
      </w:r>
      <w:r>
        <w:t xml:space="preserve"> </w:t>
      </w:r>
      <w:r>
        <w:t xml:space="preserve">stands after the conjunct</w:t>
      </w:r>
      <w:r>
        <w:t xml:space="preserve"> </w:t>
      </w:r>
      <w:r>
        <w:rPr>
          <w:iCs/>
          <w:i/>
        </w:rPr>
        <w:t xml:space="preserve">sn</w:t>
      </w:r>
      <w:r>
        <w:t xml:space="preserve">. So by</w:t>
      </w:r>
      <w:r>
        <w:t xml:space="preserve"> </w:t>
      </w:r>
      <w:r>
        <w:t xml:space="preserve">“</w:t>
      </w:r>
      <w:r>
        <w:t xml:space="preserve">oḥ supi</w:t>
      </w:r>
      <w:r>
        <w:t xml:space="preserve">”</w:t>
      </w:r>
      <w:r>
        <w:t xml:space="preserve"> </w:t>
      </w:r>
      <w:r>
        <w:t xml:space="preserve">(Pā. sū. 6-4-83), before a vowel-initial</w:t>
      </w:r>
      <w:r>
        <w:t xml:space="preserve"> </w:t>
      </w:r>
      <w:r>
        <w:rPr>
          <w:iCs/>
          <w:i/>
        </w:rPr>
        <w:t xml:space="preserve">sup</w:t>
      </w:r>
      <w:r>
        <w:t xml:space="preserve">, a stem of several vowels ending in a root that ends in</w:t>
      </w:r>
      <w:r>
        <w:t xml:space="preserve"> </w:t>
      </w:r>
      <w:r>
        <w:rPr>
          <w:iCs/>
          <w:i/>
        </w:rPr>
        <w:t xml:space="preserve">u</w:t>
      </w:r>
      <w:r>
        <w:t xml:space="preserve">, not preceded by a conjunct belonging to the root itself, takes</w:t>
      </w:r>
      <w:r>
        <w:t xml:space="preserve"> </w:t>
      </w:r>
      <w:r>
        <w:rPr>
          <w:iCs/>
          <w:i/>
        </w:rPr>
        <w:t xml:space="preserve">yaṇ</w:t>
      </w:r>
      <w:r>
        <w:t xml:space="preserve">: so</w:t>
      </w:r>
      <w:r>
        <w:t xml:space="preserve"> </w:t>
      </w:r>
      <w:r>
        <w:rPr>
          <w:iCs/>
          <w:i/>
        </w:rPr>
        <w:t xml:space="preserve">yaṇ</w:t>
      </w:r>
      <w:r>
        <w:t xml:space="preserve"> </w:t>
      </w:r>
      <w:r>
        <w:t xml:space="preserve">does not come. By</w:t>
      </w:r>
      <w:r>
        <w:t xml:space="preserve"> </w:t>
      </w:r>
      <w:r>
        <w:t xml:space="preserve">“</w:t>
      </w:r>
      <w:r>
        <w:t xml:space="preserve">aci śnudhātubhruvāṃ yvor iyaṅuvaṅau</w:t>
      </w:r>
      <w:r>
        <w:t xml:space="preserve">”</w:t>
      </w:r>
      <w:r>
        <w:t xml:space="preserve"> </w:t>
      </w:r>
      <w:r>
        <w:t xml:space="preserve">(Pā. sū.</w:t>
      </w:r>
      <w:r>
        <w:t xml:space="preserve"> </w:t>
      </w:r>
      <w:r>
        <w:t xml:space="preserve">“</w:t>
      </w:r>
      <w:r>
        <w:t xml:space="preserve">6-9-22</w:t>
      </w:r>
      <w:r>
        <w:t xml:space="preserve">”</w:t>
      </w:r>
      <w:r>
        <w:t xml:space="preserve"> </w:t>
      </w:r>
      <w:r>
        <w:t xml:space="preserve">[as printed, for 6-4-77])</w:t>
      </w:r>
      <w:r>
        <w:t xml:space="preserve"> </w:t>
      </w:r>
      <w:r>
        <w:rPr>
          <w:iCs/>
          <w:i/>
        </w:rPr>
        <w:t xml:space="preserve">uvaṅ</w:t>
      </w:r>
      <w:r>
        <w:t xml:space="preserve"> </w:t>
      </w:r>
      <w:r>
        <w:t xml:space="preserve">for the</w:t>
      </w:r>
      <w:r>
        <w:t xml:space="preserve"> </w:t>
      </w:r>
      <w:r>
        <w:rPr>
          <w:iCs/>
          <w:i/>
        </w:rPr>
        <w:t xml:space="preserve">u</w:t>
      </w:r>
      <w:r>
        <w:t xml:space="preserve">:</w:t>
      </w:r>
      <w:r>
        <w:t xml:space="preserve"> </w:t>
      </w:r>
      <w:r>
        <w:rPr>
          <w:iCs/>
          <w:i/>
        </w:rPr>
        <w:t xml:space="preserve">ghṛtasnuvam</w:t>
      </w:r>
      <w:r>
        <w:t xml:space="preserve">.</w:t>
      </w:r>
    </w:p>
    <w:p>
      <w:pPr>
        <w:pStyle w:val="BodyText"/>
      </w:pPr>
      <w:r>
        <w:rPr>
          <w:bCs/>
          <w:b/>
        </w:rPr>
        <w:t xml:space="preserve">हरी (</w:t>
      </w:r>
      <w:r>
        <w:rPr>
          <w:iCs/>
          <w:i/>
          <w:bCs/>
          <w:b/>
        </w:rPr>
        <w:t xml:space="preserve">harī</w:t>
      </w:r>
      <w:r>
        <w:rPr>
          <w:bCs/>
          <w:b/>
        </w:rPr>
        <w:t xml:space="preserve">)</w:t>
      </w:r>
      <w:r>
        <w:t xml:space="preserve">:</w:t>
      </w:r>
      <w:r>
        <w:t xml:space="preserve"> </w:t>
      </w:r>
      <w:r>
        <w:rPr>
          <w:iCs/>
          <w:i/>
        </w:rPr>
        <w:t xml:space="preserve">hṛñ haraṇe</w:t>
      </w:r>
      <w:r>
        <w:t xml:space="preserve">; by</w:t>
      </w:r>
      <w:r>
        <w:t xml:space="preserve"> </w:t>
      </w:r>
      <w:r>
        <w:t xml:space="preserve">“</w:t>
      </w:r>
      <w:r>
        <w:t xml:space="preserve">sarvadhātubhya in</w:t>
      </w:r>
      <w:r>
        <w:t xml:space="preserve">”</w:t>
      </w:r>
      <w:r>
        <w:t xml:space="preserve"> </w:t>
      </w:r>
      <w:r>
        <w:t xml:space="preserve">(Uṇ. sū.</w:t>
      </w:r>
      <w:r>
        <w:t xml:space="preserve"> </w:t>
      </w:r>
      <w:r>
        <w:t xml:space="preserve">“</w:t>
      </w:r>
      <w:r>
        <w:t xml:space="preserve">4-5-552</w:t>
      </w:r>
      <w:r>
        <w:t xml:space="preserve">”</w:t>
      </w:r>
      <w:r>
        <w:t xml:space="preserve"> </w:t>
      </w:r>
      <w:r>
        <w:t xml:space="preserve">[?]) the suffix</w:t>
      </w:r>
      <w:r>
        <w:t xml:space="preserve"> </w:t>
      </w:r>
      <w:r>
        <w:rPr>
          <w:iCs/>
          <w:i/>
        </w:rPr>
        <w:t xml:space="preserve">in</w:t>
      </w:r>
      <w:r>
        <w:t xml:space="preserve">,</w:t>
      </w:r>
      <w:r>
        <w:t xml:space="preserve"> </w:t>
      </w:r>
      <w:r>
        <w:rPr>
          <w:iCs/>
          <w:i/>
        </w:rPr>
        <w:t xml:space="preserve">guṇa</w:t>
      </w:r>
      <w:r>
        <w:t xml:space="preserve">,</w:t>
      </w:r>
      <w:r>
        <w:t xml:space="preserve"> </w:t>
      </w:r>
      <w:r>
        <w:rPr>
          <w:iCs/>
          <w:i/>
        </w:rPr>
        <w:t xml:space="preserve">r</w:t>
      </w:r>
      <w:r>
        <w:t xml:space="preserve"> </w:t>
      </w:r>
      <w:r>
        <w:t xml:space="preserve">after it; by</w:t>
      </w:r>
      <w:r>
        <w:t xml:space="preserve"> </w:t>
      </w:r>
      <w:r>
        <w:t xml:space="preserve">“</w:t>
      </w:r>
      <w:r>
        <w:t xml:space="preserve">ñnityādir nityam</w:t>
      </w:r>
      <w:r>
        <w:t xml:space="preserve">”</w:t>
      </w:r>
      <w:r>
        <w:t xml:space="preserve"> </w:t>
      </w:r>
      <w:r>
        <w:t xml:space="preserve">(Pā. sū. 6-1-197)</w:t>
      </w:r>
      <w:r>
        <w:t xml:space="preserve"> </w:t>
      </w:r>
      <w:r>
        <w:rPr>
          <w:iCs/>
          <w:i/>
        </w:rPr>
        <w:t xml:space="preserve">hari</w:t>
      </w:r>
      <w:r>
        <w:t xml:space="preserve"> </w:t>
      </w:r>
      <w:r>
        <w:t xml:space="preserve">is initial udātta. After it the nominative-accusative dual</w:t>
      </w:r>
      <w:r>
        <w:t xml:space="preserve"> </w:t>
      </w:r>
      <w:r>
        <w:rPr>
          <w:iCs/>
          <w:i/>
        </w:rPr>
        <w:t xml:space="preserve">au</w:t>
      </w:r>
      <w:r>
        <w:t xml:space="preserve">:</w:t>
      </w:r>
      <w:r>
        <w:t xml:space="preserve"> </w:t>
      </w:r>
      <w:r>
        <w:rPr>
          <w:iCs/>
          <w:i/>
        </w:rPr>
        <w:t xml:space="preserve">hari</w:t>
      </w:r>
      <w:r>
        <w:t xml:space="preserve"> </w:t>
      </w:r>
      <w:r>
        <w:t xml:space="preserve">+</w:t>
      </w:r>
      <w:r>
        <w:t xml:space="preserve"> </w:t>
      </w:r>
      <w:r>
        <w:rPr>
          <w:iCs/>
          <w:i/>
        </w:rPr>
        <w:t xml:space="preserve">au</w:t>
      </w:r>
      <w:r>
        <w:t xml:space="preserve">; by</w:t>
      </w:r>
      <w:r>
        <w:t xml:space="preserve"> </w:t>
      </w:r>
      <w:r>
        <w:t xml:space="preserve">“</w:t>
      </w:r>
      <w:r>
        <w:t xml:space="preserve">prathamayoḥ pūrvasavarṇaḥ</w:t>
      </w:r>
      <w:r>
        <w:t xml:space="preserve">”</w:t>
      </w:r>
      <w:r>
        <w:t xml:space="preserve"> </w:t>
      </w:r>
      <w:r>
        <w:t xml:space="preserve">(Pā. sū. 6-1-102)</w:t>
      </w:r>
      <w:r>
        <w:t xml:space="preserve"> </w:t>
      </w:r>
      <w:r>
        <w:rPr>
          <w:iCs/>
          <w:i/>
        </w:rPr>
        <w:t xml:space="preserve">pūrvasavarṇa-dīrgha</w:t>
      </w:r>
      <w:r>
        <w:t xml:space="preserve">:</w:t>
      </w:r>
      <w:r>
        <w:t xml:space="preserve"> </w:t>
      </w:r>
      <w:r>
        <w:rPr>
          <w:iCs/>
          <w:i/>
        </w:rPr>
        <w:t xml:space="preserve">harī</w:t>
      </w:r>
      <w:r>
        <w:t xml:space="preserve">. Since by</w:t>
      </w:r>
      <w:r>
        <w:t xml:space="preserve"> </w:t>
      </w:r>
      <w:r>
        <w:t xml:space="preserve">“</w:t>
      </w:r>
      <w:r>
        <w:t xml:space="preserve">antādivac ca</w:t>
      </w:r>
      <w:r>
        <w:t xml:space="preserve">”</w:t>
      </w:r>
      <w:r>
        <w:t xml:space="preserve"> </w:t>
      </w:r>
      <w:r>
        <w:t xml:space="preserve">(Pā. sū. 6-1-85) the</w:t>
      </w:r>
      <w:r>
        <w:t xml:space="preserve"> </w:t>
      </w:r>
      <w:r>
        <w:rPr>
          <w:iCs/>
          <w:i/>
        </w:rPr>
        <w:t xml:space="preserve">ī</w:t>
      </w:r>
      <w:r>
        <w:t xml:space="preserve"> </w:t>
      </w:r>
      <w:r>
        <w:t xml:space="preserve">counts as the end of the earlier word, it is a dual ending in</w:t>
      </w:r>
      <w:r>
        <w:t xml:space="preserve"> </w:t>
      </w:r>
      <w:r>
        <w:rPr>
          <w:iCs/>
          <w:i/>
        </w:rPr>
        <w:t xml:space="preserve">ī</w:t>
      </w:r>
      <w:r>
        <w:t xml:space="preserve">. So</w:t>
      </w:r>
      <w:r>
        <w:t xml:space="preserve"> </w:t>
      </w:r>
      <w:r>
        <w:t xml:space="preserve">“</w:t>
      </w:r>
      <w:r>
        <w:t xml:space="preserve">īdūded dvivacanaṃ pragṛhyam</w:t>
      </w:r>
      <w:r>
        <w:t xml:space="preserve">”</w:t>
      </w:r>
      <w:r>
        <w:t xml:space="preserve"> </w:t>
      </w:r>
      <w:r>
        <w:t xml:space="preserve">(Pā. sū. 1-1-11): duals ending in</w:t>
      </w:r>
      <w:r>
        <w:t xml:space="preserve"> </w:t>
      </w:r>
      <w:r>
        <w:rPr>
          <w:iCs/>
          <w:i/>
        </w:rPr>
        <w:t xml:space="preserve">ī</w:t>
      </w:r>
      <w:r>
        <w:t xml:space="preserve">,</w:t>
      </w:r>
      <w:r>
        <w:t xml:space="preserve"> </w:t>
      </w:r>
      <w:r>
        <w:rPr>
          <w:iCs/>
          <w:i/>
        </w:rPr>
        <w:t xml:space="preserve">ū</w:t>
      </w:r>
      <w:r>
        <w:t xml:space="preserve"> </w:t>
      </w:r>
      <w:r>
        <w:t xml:space="preserve">and</w:t>
      </w:r>
      <w:r>
        <w:t xml:space="preserve"> </w:t>
      </w:r>
      <w:r>
        <w:rPr>
          <w:iCs/>
          <w:i/>
        </w:rPr>
        <w:t xml:space="preserve">e</w:t>
      </w:r>
      <w:r>
        <w:t xml:space="preserve"> </w:t>
      </w:r>
      <w:r>
        <w:t xml:space="preserve">are called</w:t>
      </w:r>
      <w:r>
        <w:t xml:space="preserve"> </w:t>
      </w:r>
      <w:r>
        <w:rPr>
          <w:iCs/>
          <w:i/>
        </w:rPr>
        <w:t xml:space="preserve">pragṛhya</w:t>
      </w:r>
      <w:r>
        <w:t xml:space="preserve">; it has this name. So in the Saṃhitā, in</w:t>
      </w:r>
      <w:r>
        <w:t xml:space="preserve"> </w:t>
      </w:r>
      <w:r>
        <w:rPr>
          <w:iCs/>
          <w:i/>
        </w:rPr>
        <w:t xml:space="preserve">harī</w:t>
      </w:r>
      <w:r>
        <w:t xml:space="preserve"> </w:t>
      </w:r>
      <w:r>
        <w:t xml:space="preserve">+</w:t>
      </w:r>
      <w:r>
        <w:t xml:space="preserve"> </w:t>
      </w:r>
      <w:r>
        <w:rPr>
          <w:iCs/>
          <w:i/>
        </w:rPr>
        <w:t xml:space="preserve">iha</w:t>
      </w:r>
      <w:r>
        <w:t xml:space="preserve">, with a vowel following, by</w:t>
      </w:r>
      <w:r>
        <w:t xml:space="preserve"> </w:t>
      </w:r>
      <w:r>
        <w:t xml:space="preserve">“</w:t>
      </w:r>
      <w:r>
        <w:t xml:space="preserve">plutapragṛhyā aci nityam</w:t>
      </w:r>
      <w:r>
        <w:t xml:space="preserve">”</w:t>
      </w:r>
      <w:r>
        <w:t xml:space="preserve"> </w:t>
      </w:r>
      <w:r>
        <w:t xml:space="preserve">(Pā. sū. 6-1-125), before a vowel</w:t>
      </w:r>
      <w:r>
        <w:t xml:space="preserve"> </w:t>
      </w:r>
      <w:r>
        <w:rPr>
          <w:iCs/>
          <w:i/>
        </w:rPr>
        <w:t xml:space="preserve">pluta</w:t>
      </w:r>
      <w:r>
        <w:t xml:space="preserve"> </w:t>
      </w:r>
      <w:r>
        <w:t xml:space="preserve">and</w:t>
      </w:r>
      <w:r>
        <w:t xml:space="preserve"> </w:t>
      </w:r>
      <w:r>
        <w:rPr>
          <w:iCs/>
          <w:i/>
        </w:rPr>
        <w:t xml:space="preserve">pragṛhya</w:t>
      </w:r>
      <w:r>
        <w:t xml:space="preserve"> </w:t>
      </w:r>
      <w:r>
        <w:t xml:space="preserve">always keep their natural form, so natural form comes.</w:t>
      </w:r>
      <w:r>
        <w:t xml:space="preserve"> </w:t>
      </w:r>
      <w:r>
        <w:rPr>
          <w:iCs/>
          <w:i/>
        </w:rPr>
        <w:t xml:space="preserve">Prakṛtyā svabhāvena nirvikārasvarūpeṇa bhavanaṃ sthitiḥ prakṛtibhāvaḥ</w:t>
      </w:r>
      <w:r>
        <w:t xml:space="preserve">: natural form means staying without change.</w:t>
      </w:r>
    </w:p>
    <w:p>
      <w:pPr>
        <w:pStyle w:val="BodyText"/>
      </w:pPr>
      <w:r>
        <w:rPr>
          <w:bCs/>
          <w:b/>
        </w:rPr>
        <w:t xml:space="preserve">वक्षतः (</w:t>
      </w:r>
      <w:r>
        <w:rPr>
          <w:iCs/>
          <w:i/>
          <w:bCs/>
          <w:b/>
        </w:rPr>
        <w:t xml:space="preserve">vakṣataḥ</w:t>
      </w:r>
      <w:r>
        <w:rPr>
          <w:bCs/>
          <w:b/>
        </w:rPr>
        <w:t xml:space="preserve">)</w:t>
      </w:r>
      <w:r>
        <w:t xml:space="preserve">:</w:t>
      </w:r>
      <w:r>
        <w:t xml:space="preserve"> </w:t>
      </w:r>
      <w:r>
        <w:rPr>
          <w:iCs/>
          <w:i/>
        </w:rPr>
        <w:t xml:space="preserve">vaha prāpaṇe</w:t>
      </w:r>
      <w:r>
        <w:t xml:space="preserve">; after it, by</w:t>
      </w:r>
      <w:r>
        <w:t xml:space="preserve"> </w:t>
      </w:r>
      <w:r>
        <w:t xml:space="preserve">“</w:t>
      </w:r>
      <w:r>
        <w:t xml:space="preserve">liṅarthe leṭ</w:t>
      </w:r>
      <w:r>
        <w:t xml:space="preserve">”</w:t>
      </w:r>
      <w:r>
        <w:t xml:space="preserve"> </w:t>
      </w:r>
      <w:r>
        <w:t xml:space="preserve">(Pā. sū. 3-4-7),</w:t>
      </w:r>
      <w:r>
        <w:t xml:space="preserve"> </w:t>
      </w:r>
      <w:r>
        <w:rPr>
          <w:iCs/>
          <w:i/>
        </w:rPr>
        <w:t xml:space="preserve">leṭ</w:t>
      </w:r>
      <w:r>
        <w:t xml:space="preserve"> </w:t>
      </w:r>
      <w:r>
        <w:t xml:space="preserve">in the sense of</w:t>
      </w:r>
      <w:r>
        <w:t xml:space="preserve"> </w:t>
      </w:r>
      <w:r>
        <w:rPr>
          <w:iCs/>
          <w:i/>
        </w:rPr>
        <w:t xml:space="preserve">liṅ</w:t>
      </w:r>
      <w:r>
        <w:t xml:space="preserve">, that is, prayer; its 3rd dual</w:t>
      </w:r>
      <w:r>
        <w:t xml:space="preserve"> </w:t>
      </w:r>
      <w:r>
        <w:rPr>
          <w:iCs/>
          <w:i/>
        </w:rPr>
        <w:t xml:space="preserve">tas</w:t>
      </w:r>
      <w:r>
        <w:t xml:space="preserve">:</w:t>
      </w:r>
      <w:r>
        <w:t xml:space="preserve"> </w:t>
      </w:r>
      <w:r>
        <w:rPr>
          <w:iCs/>
          <w:i/>
        </w:rPr>
        <w:t xml:space="preserve">vah</w:t>
      </w:r>
      <w:r>
        <w:t xml:space="preserve"> </w:t>
      </w:r>
      <w:r>
        <w:t xml:space="preserve">+</w:t>
      </w:r>
      <w:r>
        <w:t xml:space="preserve"> </w:t>
      </w:r>
      <w:r>
        <w:rPr>
          <w:iCs/>
          <w:i/>
        </w:rPr>
        <w:t xml:space="preserve">tas</w:t>
      </w:r>
      <w:r>
        <w:t xml:space="preserve">; by</w:t>
      </w:r>
      <w:r>
        <w:t xml:space="preserve"> </w:t>
      </w:r>
      <w:r>
        <w:t xml:space="preserve">“</w:t>
      </w:r>
      <w:r>
        <w:t xml:space="preserve">leṭo ’ḍāṭau</w:t>
      </w:r>
      <w:r>
        <w:t xml:space="preserve">”</w:t>
      </w:r>
      <w:r>
        <w:t xml:space="preserve"> </w:t>
      </w:r>
      <w:r>
        <w:t xml:space="preserve">(Pā. sū. 3-4-94) the augment</w:t>
      </w:r>
      <w:r>
        <w:t xml:space="preserve"> </w:t>
      </w:r>
      <w:r>
        <w:rPr>
          <w:iCs/>
          <w:i/>
        </w:rPr>
        <w:t xml:space="preserve">a</w:t>
      </w:r>
      <w:r>
        <w:t xml:space="preserve"> </w:t>
      </w:r>
      <w:r>
        <w:t xml:space="preserve">for</w:t>
      </w:r>
      <w:r>
        <w:t xml:space="preserve"> </w:t>
      </w:r>
      <w:r>
        <w:rPr>
          <w:iCs/>
          <w:i/>
        </w:rPr>
        <w:t xml:space="preserve">leṭ</w:t>
      </w:r>
      <w:r>
        <w:t xml:space="preserve">:</w:t>
      </w:r>
      <w:r>
        <w:t xml:space="preserve"> </w:t>
      </w:r>
      <w:r>
        <w:rPr>
          <w:iCs/>
          <w:i/>
        </w:rPr>
        <w:t xml:space="preserve">vah</w:t>
      </w:r>
      <w:r>
        <w:t xml:space="preserve"> </w:t>
      </w:r>
      <w:r>
        <w:t xml:space="preserve">+</w:t>
      </w:r>
      <w:r>
        <w:t xml:space="preserve"> </w:t>
      </w:r>
      <w:r>
        <w:rPr>
          <w:iCs/>
          <w:i/>
        </w:rPr>
        <w:t xml:space="preserve">a</w:t>
      </w:r>
      <w:r>
        <w:t xml:space="preserve"> </w:t>
      </w:r>
      <w:r>
        <w:t xml:space="preserve">+</w:t>
      </w:r>
      <w:r>
        <w:t xml:space="preserve"> </w:t>
      </w:r>
      <w:r>
        <w:rPr>
          <w:iCs/>
          <w:i/>
        </w:rPr>
        <w:t xml:space="preserve">tas</w:t>
      </w:r>
      <w:r>
        <w:t xml:space="preserve">; though</w:t>
      </w:r>
      <w:r>
        <w:t xml:space="preserve"> </w:t>
      </w:r>
      <w:r>
        <w:rPr>
          <w:iCs/>
          <w:i/>
        </w:rPr>
        <w:t xml:space="preserve">śap</w:t>
      </w:r>
      <w:r>
        <w:t xml:space="preserve"> </w:t>
      </w:r>
      <w:r>
        <w:t xml:space="preserve">would come by</w:t>
      </w:r>
      <w:r>
        <w:t xml:space="preserve"> </w:t>
      </w:r>
      <w:r>
        <w:t xml:space="preserve">“</w:t>
      </w:r>
      <w:r>
        <w:t xml:space="preserve">kartari śap</w:t>
      </w:r>
      <w:r>
        <w:t xml:space="preserve">”</w:t>
      </w:r>
      <w:r>
        <w:t xml:space="preserve">, overriding it, by</w:t>
      </w:r>
      <w:r>
        <w:t xml:space="preserve"> </w:t>
      </w:r>
      <w:r>
        <w:t xml:space="preserve">“</w:t>
      </w:r>
      <w:r>
        <w:t xml:space="preserve">sib bahulaṃ leṭi</w:t>
      </w:r>
      <w:r>
        <w:t xml:space="preserve">”</w:t>
      </w:r>
      <w:r>
        <w:t xml:space="preserve"> </w:t>
      </w:r>
      <w:r>
        <w:t xml:space="preserve">(Pā. sū. 3-1-34)</w:t>
      </w:r>
      <w:r>
        <w:t xml:space="preserve"> </w:t>
      </w:r>
      <w:r>
        <w:rPr>
          <w:iCs/>
          <w:i/>
        </w:rPr>
        <w:t xml:space="preserve">sip</w:t>
      </w:r>
      <w:r>
        <w:t xml:space="preserve">:</w:t>
      </w:r>
      <w:r>
        <w:t xml:space="preserve"> </w:t>
      </w:r>
      <w:r>
        <w:rPr>
          <w:iCs/>
          <w:i/>
        </w:rPr>
        <w:t xml:space="preserve">vah</w:t>
      </w:r>
      <w:r>
        <w:t xml:space="preserve"> </w:t>
      </w:r>
      <w:r>
        <w:t xml:space="preserve">+</w:t>
      </w:r>
      <w:r>
        <w:t xml:space="preserve"> </w:t>
      </w:r>
      <w:r>
        <w:rPr>
          <w:iCs/>
          <w:i/>
        </w:rPr>
        <w:t xml:space="preserve">s</w:t>
      </w:r>
      <w:r>
        <w:t xml:space="preserve"> </w:t>
      </w:r>
      <w:r>
        <w:t xml:space="preserve">+</w:t>
      </w:r>
      <w:r>
        <w:t xml:space="preserve"> </w:t>
      </w:r>
      <w:r>
        <w:rPr>
          <w:iCs/>
          <w:i/>
        </w:rPr>
        <w:t xml:space="preserve">atas</w:t>
      </w:r>
      <w:r>
        <w:t xml:space="preserve">. By</w:t>
      </w:r>
      <w:r>
        <w:t xml:space="preserve"> </w:t>
      </w:r>
      <w:r>
        <w:t xml:space="preserve">“</w:t>
      </w:r>
      <w:r>
        <w:t xml:space="preserve">ho ḍhaḥ</w:t>
      </w:r>
      <w:r>
        <w:t xml:space="preserve">”</w:t>
      </w:r>
      <w:r>
        <w:t xml:space="preserve"> </w:t>
      </w:r>
      <w:r>
        <w:t xml:space="preserve">(Pā. sū. 8-2-31)</w:t>
      </w:r>
      <w:r>
        <w:t xml:space="preserve"> </w:t>
      </w:r>
      <w:r>
        <w:rPr>
          <w:iCs/>
          <w:i/>
        </w:rPr>
        <w:t xml:space="preserve">ḍh</w:t>
      </w:r>
      <w:r>
        <w:t xml:space="preserve"> </w:t>
      </w:r>
      <w:r>
        <w:t xml:space="preserve">for</w:t>
      </w:r>
      <w:r>
        <w:t xml:space="preserve"> </w:t>
      </w:r>
      <w:r>
        <w:rPr>
          <w:iCs/>
          <w:i/>
        </w:rPr>
        <w:t xml:space="preserve">h</w:t>
      </w:r>
      <w:r>
        <w:t xml:space="preserve">; by</w:t>
      </w:r>
      <w:r>
        <w:t xml:space="preserve"> </w:t>
      </w:r>
      <w:r>
        <w:t xml:space="preserve">“</w:t>
      </w:r>
      <w:r>
        <w:t xml:space="preserve">ṣaḍhoḥ kaḥ si</w:t>
      </w:r>
      <w:r>
        <w:t xml:space="preserve">”</w:t>
      </w:r>
      <w:r>
        <w:t xml:space="preserve"> </w:t>
      </w:r>
      <w:r>
        <w:t xml:space="preserve">(Pā. sū. 8-2-41)</w:t>
      </w:r>
      <w:r>
        <w:t xml:space="preserve"> </w:t>
      </w:r>
      <w:r>
        <w:rPr>
          <w:iCs/>
          <w:i/>
        </w:rPr>
        <w:t xml:space="preserve">k</w:t>
      </w:r>
      <w:r>
        <w:t xml:space="preserve"> </w:t>
      </w:r>
      <w:r>
        <w:t xml:space="preserve">for</w:t>
      </w:r>
      <w:r>
        <w:t xml:space="preserve"> </w:t>
      </w:r>
      <w:r>
        <w:rPr>
          <w:iCs/>
          <w:i/>
        </w:rPr>
        <w:t xml:space="preserve">ḍh</w:t>
      </w:r>
      <w:r>
        <w:t xml:space="preserve">:</w:t>
      </w:r>
      <w:r>
        <w:t xml:space="preserve"> </w:t>
      </w:r>
      <w:r>
        <w:rPr>
          <w:iCs/>
          <w:i/>
        </w:rPr>
        <w:t xml:space="preserve">vak</w:t>
      </w:r>
      <w:r>
        <w:t xml:space="preserve"> </w:t>
      </w:r>
      <w:r>
        <w:t xml:space="preserve">+</w:t>
      </w:r>
      <w:r>
        <w:t xml:space="preserve"> </w:t>
      </w:r>
      <w:r>
        <w:rPr>
          <w:iCs/>
          <w:i/>
        </w:rPr>
        <w:t xml:space="preserve">s</w:t>
      </w:r>
      <w:r>
        <w:t xml:space="preserve"> </w:t>
      </w:r>
      <w:r>
        <w:t xml:space="preserve">+</w:t>
      </w:r>
      <w:r>
        <w:t xml:space="preserve"> </w:t>
      </w:r>
      <w:r>
        <w:rPr>
          <w:iCs/>
          <w:i/>
        </w:rPr>
        <w:t xml:space="preserve">atas</w:t>
      </w:r>
      <w:r>
        <w:t xml:space="preserve">; by “ādeśa-</w:t>
      </w:r>
    </w:p>
    <w:bookmarkEnd w:id="740"/>
    <w:bookmarkStart w:id="741" w:name="page-683-rik-2-grammar-end"/>
    <w:p>
      <w:pPr>
        <w:pStyle w:val="Heading3"/>
      </w:pPr>
      <w:r>
        <w:t xml:space="preserve">Page 683 — Rik 2: grammar (end)</w:t>
      </w:r>
    </w:p>
    <w:p>
      <w:pPr>
        <w:pStyle w:val="FirstParagraph"/>
      </w:pPr>
      <w:r>
        <w:t xml:space="preserve">pratyayayoḥ” (Pā. sū. 8-3-59)</w:t>
      </w:r>
      <w:r>
        <w:t xml:space="preserve"> </w:t>
      </w:r>
      <w:r>
        <w:rPr>
          <w:iCs/>
          <w:i/>
        </w:rPr>
        <w:t xml:space="preserve">ṣ</w:t>
      </w:r>
      <w:r>
        <w:t xml:space="preserve"> </w:t>
      </w:r>
      <w:r>
        <w:t xml:space="preserve">for the</w:t>
      </w:r>
      <w:r>
        <w:t xml:space="preserve"> </w:t>
      </w:r>
      <w:r>
        <w:rPr>
          <w:iCs/>
          <w:i/>
        </w:rPr>
        <w:t xml:space="preserve">s</w:t>
      </w:r>
      <w:r>
        <w:t xml:space="preserve">:</w:t>
      </w:r>
      <w:r>
        <w:t xml:space="preserve"> </w:t>
      </w:r>
      <w:r>
        <w:rPr>
          <w:iCs/>
          <w:i/>
        </w:rPr>
        <w:t xml:space="preserve">vakṣatas</w:t>
      </w:r>
      <w:r>
        <w:t xml:space="preserve">;</w:t>
      </w:r>
      <w:r>
        <w:t xml:space="preserve"> </w:t>
      </w:r>
      <w:r>
        <w:rPr>
          <w:iCs/>
          <w:i/>
        </w:rPr>
        <w:t xml:space="preserve">ru</w:t>
      </w:r>
      <w:r>
        <w:t xml:space="preserve"> </w:t>
      </w:r>
      <w:r>
        <w:t xml:space="preserve">and visarga:</w:t>
      </w:r>
      <w:r>
        <w:t xml:space="preserve"> </w:t>
      </w:r>
      <w:r>
        <w:rPr>
          <w:iCs/>
          <w:i/>
        </w:rPr>
        <w:t xml:space="preserve">vakṣataḥ</w:t>
      </w:r>
      <w:r>
        <w:t xml:space="preserve">. Wholly unaccented by</w:t>
      </w:r>
      <w:r>
        <w:t xml:space="preserve"> </w:t>
      </w:r>
      <w:r>
        <w:t xml:space="preserve">“</w:t>
      </w:r>
      <w:r>
        <w:t xml:space="preserve">tiṅṅatiṅaḥ</w:t>
      </w:r>
      <w:r>
        <w:t xml:space="preserve">”</w:t>
      </w:r>
      <w:r>
        <w:t xml:space="preserve"> </w:t>
      </w:r>
      <w:r>
        <w:t xml:space="preserve">(Pā. sū. 8-1-28).</w:t>
      </w:r>
    </w:p>
    <w:p>
      <w:pPr>
        <w:pStyle w:val="BodyText"/>
      </w:pPr>
      <w:r>
        <w:rPr>
          <w:bCs/>
          <w:b/>
        </w:rPr>
        <w:t xml:space="preserve">सुखतमे (</w:t>
      </w:r>
      <w:r>
        <w:rPr>
          <w:iCs/>
          <w:i/>
          <w:bCs/>
          <w:b/>
        </w:rPr>
        <w:t xml:space="preserve">sukhatame</w:t>
      </w:r>
      <w:r>
        <w:rPr>
          <w:bCs/>
          <w:b/>
        </w:rPr>
        <w:t xml:space="preserve">)</w:t>
      </w:r>
      <w:r>
        <w:t xml:space="preserve">: explained at</w:t>
      </w:r>
      <w:r>
        <w:t xml:space="preserve"> </w:t>
      </w:r>
      <w:r>
        <w:rPr>
          <w:iCs/>
          <w:i/>
        </w:rPr>
        <w:t xml:space="preserve">agne sukhatame rathe</w:t>
      </w:r>
      <w:r>
        <w:t xml:space="preserve"> </w:t>
      </w:r>
      <w:r>
        <w:t xml:space="preserve">(Ṛ. Saṃ. 1-13-4).</w:t>
      </w:r>
    </w:p>
    <w:p>
      <w:pPr>
        <w:pStyle w:val="BodyText"/>
      </w:pPr>
      <w:r>
        <w:rPr>
          <w:bCs/>
          <w:b/>
        </w:rPr>
        <w:t xml:space="preserve">॥२॥</w:t>
      </w:r>
    </w:p>
    <w:p>
      <w:r>
        <w:pict>
          <v:rect style="width:0;height:1.5pt" o:hralign="center" o:hrstd="t" o:hr="t"/>
        </w:pict>
      </w:r>
    </w:p>
    <w:bookmarkEnd w:id="741"/>
    <w:bookmarkStart w:id="742" w:name="page-683-lower-sūkta-16-rik-3"/>
    <w:p>
      <w:pPr>
        <w:pStyle w:val="Heading3"/>
      </w:pPr>
      <w:r>
        <w:t xml:space="preserve">Page 683 (lower) — Sūkta 16, Rik 3</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इन्द्रं॑ प्रा॒तर्ह॑वामह॒ इन्द्रं॑ प्रय॒त्य॑ध्व॒रे । [accent ?]</w:t>
      </w:r>
      <w:r>
        <w:t xml:space="preserve"> </w:t>
      </w:r>
      <w:r>
        <w:t xml:space="preserve">इन्द्रं॒ सोम॑स्य पी॒तये॑ ॥३॥</w:t>
      </w:r>
    </w:p>
    <w:p>
      <w:pPr>
        <w:pStyle w:val="BlockText"/>
      </w:pPr>
      <w:r>
        <w:rPr>
          <w:iCs/>
          <w:i/>
        </w:rPr>
        <w:t xml:space="preserve">índraṃ prātár havāmaha índraṃ prayaty adhvaré |</w:t>
      </w:r>
      <w:r>
        <w:t xml:space="preserve"> </w:t>
      </w:r>
      <w:r>
        <w:t xml:space="preserve">[accent ?]</w:t>
      </w:r>
      <w:r>
        <w:t xml:space="preserve"> </w:t>
      </w:r>
      <w:r>
        <w:rPr>
          <w:iCs/>
          <w:i/>
        </w:rPr>
        <w:t xml:space="preserve">indraṃ sómasya pītáye ||3||</w:t>
      </w:r>
    </w:p>
    <w:p>
      <w:pPr>
        <w:pStyle w:val="FirstParagraph"/>
      </w:pPr>
      <w:r>
        <w:rPr>
          <w:iCs/>
          <w:i/>
        </w:rPr>
        <w:t xml:space="preserve">(Line 1: the bars under प्रा, ह and य and under ध्व are read as printed; the stroke over त्य, the svarita of the</w:t>
      </w:r>
      <w:r>
        <w:rPr>
          <w:iCs/>
          <w:i/>
        </w:rPr>
        <w:t xml:space="preserve"> </w:t>
      </w:r>
      <w:r>
        <w:t xml:space="preserve">yaṇ</w:t>
      </w:r>
      <w:r>
        <w:rPr>
          <w:iCs/>
          <w:i/>
        </w:rPr>
        <w:t xml:space="preserve">, as the grammar on p. 686 explains.)</w:t>
      </w:r>
    </w:p>
    <w:p>
      <w:pPr>
        <w:pStyle w:val="BodyText"/>
      </w:pPr>
      <w:r>
        <w:rPr>
          <w:bCs/>
          <w:b/>
        </w:rPr>
        <w:t xml:space="preserve">॥ Pada-pāṭhaḥ ॥</w:t>
      </w:r>
    </w:p>
    <w:p>
      <w:pPr>
        <w:pStyle w:val="BlockText"/>
      </w:pPr>
      <w:r>
        <w:t xml:space="preserve">इन्द्रम् । प्रातः । हवामहे । इन्द्रम् । प्रऽयति । अध्वरे ॥</w:t>
      </w:r>
      <w:r>
        <w:t xml:space="preserve"> </w:t>
      </w:r>
      <w:r>
        <w:t xml:space="preserve">इन्द्रम् । सोमस्य । पीतये ॥३॥</w:t>
      </w:r>
    </w:p>
    <w:p>
      <w:pPr>
        <w:pStyle w:val="BlockText"/>
      </w:pPr>
      <w:r>
        <w:rPr>
          <w:iCs/>
          <w:i/>
        </w:rPr>
        <w:t xml:space="preserve">indram | prātaḥ | havāmahe | indram | pra ’yati | adhvare ||</w:t>
      </w:r>
      <w:r>
        <w:t xml:space="preserve"> </w:t>
      </w:r>
      <w:r>
        <w:rPr>
          <w:iCs/>
          <w:i/>
        </w:rPr>
        <w:t xml:space="preserve">indram | somasya | pītaye ||3||</w:t>
      </w:r>
    </w:p>
    <w:p>
      <w:pPr>
        <w:pStyle w:val="FirstParagraph"/>
      </w:pPr>
      <w:r>
        <w:rPr>
          <w:bCs/>
          <w:b/>
        </w:rPr>
        <w:t xml:space="preserve">॥ Sāyaṇa-bhāṣyam ॥</w:t>
      </w:r>
    </w:p>
    <w:p>
      <w:pPr>
        <w:pStyle w:val="BlockText"/>
      </w:pPr>
      <w:r>
        <w:t xml:space="preserve">प्रातः कर्मारम्भे प्रातःसवन इन्द्रं हवामहे । आह्वयामः । तथैवाध्वरे सोमयागे प्रयति प्रगच्छति प्रारभ्य वर्तमाने सति माध्यन्दिने सवने तमिन्द्रं हवामहे । तथा यज्ञसमाप्त्यवसरे तृतीयसवने सोमस्य पीतये सोमपानार्थं हवामहे ॥ प्रातः । स्वरादिष्वन्तोदात्तो निपातितः । हवामहे । ह्वेञो लटि शपि परतो ह्वः सम्प्रसारणमित्यनुवृत्तौ बहुलं छन्दसीति सम्प्रसारणं । परपूर्वत्वं । गुणावादेशौ । प्रयति । इण् गतौ । लटः शतृ । अदिप्रभृतिभ्यः शप इति शपो लुक् । शतुर्ङित्त्वाद्गुणाभावः । प्रादिसमासः । कृद्ग्रहणे गतिकारकपूर्वस्यापि ग्रहणं । परि. २८ । इति वचनात्प्रत्ययग्रहण इति नियमाभावाच्छतुरनुमो नद्यजादी इति विभक्तेरुदात्तत्वं । अध्वरे । उक्तं । संहितायामुदात्तस्वरितयोर्यणः स्वरितो ऽनुदात्तस्य । पा. ८-२-४ । इत्यकारस्य स्वरितत्वं । पीतये । पा पाने । क्तिनि छान्दसमन्तोदात्तत्वं ॥</w:t>
      </w:r>
    </w:p>
    <w:p>
      <w:pPr>
        <w:pStyle w:val="BlockText"/>
      </w:pPr>
      <w:r>
        <w:rPr>
          <w:iCs/>
          <w:i/>
        </w:rPr>
        <w:t xml:space="preserve">prātaḥ karmārambhe prātaḥsavana indraṃ havāmahe | āhvayāmaḥ | tathaivādhvare somayāge prayati pragacchati prārabhya vartamāne sati mādhyandine savane tamindraṃ havāmahe | tathā yajñasamāptyavasare tṛtīyasavane somasya pītaye somapānārthaṃ havāmahe || prātaḥ | svarādiṣvantodātto nipātitaḥ | havāmahe | hveño laṭi śapi parato hvaḥ samprasāraṇamityanuvṛttau bahulaṃ chandasīti samprasāraṇaṃ | parapūrvatvaṃ | guṇāvādeśau | prayati | iṇ gatau | laṭaḥ śatṛ | adiprabhṛtibhyaḥ śapa iti śapo luk | śaturṅittvādguṇābhāvaḥ | prādisamāsaḥ | kṛdgrahaṇe gatikārakapūrvasyāpi grahaṇaṃ | pari. 28 | iti vacanātpratyayagrahaṇa iti niyamābhāvācchaturanumo nadyajādī iti vibhakterudāttatvaṃ | adhvare | uktaṃ | saṃhitāyāmudāttasvaritayoryaṇaḥ svarito ’nudāttasya | pā. 8-2-4 | ityakārasya svaritatvaṃ | pītaye | pā pāne | ktini chāndasamantodāttatvaṃ ||</w:t>
      </w:r>
    </w:p>
    <w:p>
      <w:pPr>
        <w:pStyle w:val="FirstParagraph"/>
      </w:pPr>
      <w:r>
        <w:rPr>
          <w:bCs/>
          <w:b/>
        </w:rPr>
        <w:t xml:space="preserve">Translation:</w:t>
      </w:r>
      <w:r>
        <w:t xml:space="preserve"> </w:t>
      </w:r>
      <w:r>
        <w:t xml:space="preserve">“</w:t>
      </w:r>
      <w:r>
        <w:rPr>
          <w:iCs/>
          <w:i/>
        </w:rPr>
        <w:t xml:space="preserve">Prātaḥ</w:t>
      </w:r>
      <w:r>
        <w:t xml:space="preserve">, at the start of the rite, at the morning pressing,</w:t>
      </w:r>
      <w:r>
        <w:t xml:space="preserve"> </w:t>
      </w:r>
      <w:r>
        <w:rPr>
          <w:iCs/>
          <w:i/>
        </w:rPr>
        <w:t xml:space="preserve">havāmahe</w:t>
      </w:r>
      <w:r>
        <w:t xml:space="preserve">, we call, Indra. In the same way,</w:t>
      </w:r>
      <w:r>
        <w:t xml:space="preserve"> </w:t>
      </w:r>
      <w:r>
        <w:rPr>
          <w:iCs/>
          <w:i/>
        </w:rPr>
        <w:t xml:space="preserve">adhvare</w:t>
      </w:r>
      <w:r>
        <w:t xml:space="preserve">, at the soma sacrifice,</w:t>
      </w:r>
      <w:r>
        <w:t xml:space="preserve"> </w:t>
      </w:r>
      <w:r>
        <w:rPr>
          <w:iCs/>
          <w:i/>
        </w:rPr>
        <w:t xml:space="preserve">prayati</w:t>
      </w:r>
      <w:r>
        <w:t xml:space="preserve">, as it goes on, having begun, at the midday pressing, we call that Indra. And at the time of the sacrifice’s close, at the third pressing, we call him</w:t>
      </w:r>
      <w:r>
        <w:t xml:space="preserve"> </w:t>
      </w:r>
      <w:r>
        <w:rPr>
          <w:iCs/>
          <w:i/>
        </w:rPr>
        <w:t xml:space="preserve">somasya pītaye</w:t>
      </w:r>
      <w:r>
        <w:t xml:space="preserve">, to drink soma.</w:t>
      </w:r>
      <w:r>
        <w:t xml:space="preserve">”</w:t>
      </w:r>
      <w:r>
        <w:t xml:space="preserve"> </w:t>
      </w:r>
      <w:r>
        <w:t xml:space="preserve">(Grammatical tail:</w:t>
      </w:r>
      <w:r>
        <w:t xml:space="preserve"> </w:t>
      </w:r>
      <w:r>
        <w:rPr>
          <w:iCs/>
          <w:i/>
        </w:rPr>
        <w:t xml:space="preserve">prātaḥ</w:t>
      </w:r>
      <w:r>
        <w:t xml:space="preserve">, made final udātta by</w:t>
      </w:r>
      <w:r>
        <w:t xml:space="preserve"> </w:t>
      </w:r>
      <w:r>
        <w:rPr>
          <w:iCs/>
          <w:i/>
        </w:rPr>
        <w:t xml:space="preserve">nipātana</w:t>
      </w:r>
      <w:r>
        <w:t xml:space="preserve"> </w:t>
      </w:r>
      <w:r>
        <w:t xml:space="preserve">in the</w:t>
      </w:r>
      <w:r>
        <w:t xml:space="preserve"> </w:t>
      </w:r>
      <w:r>
        <w:rPr>
          <w:iCs/>
          <w:i/>
        </w:rPr>
        <w:t xml:space="preserve">svarādi</w:t>
      </w:r>
      <w:r>
        <w:t xml:space="preserve"> </w:t>
      </w:r>
      <w:r>
        <w:t xml:space="preserve">class;</w:t>
      </w:r>
      <w:r>
        <w:t xml:space="preserve"> </w:t>
      </w:r>
      <w:r>
        <w:rPr>
          <w:iCs/>
          <w:i/>
        </w:rPr>
        <w:t xml:space="preserve">havāmahe</w:t>
      </w:r>
      <w:r>
        <w:t xml:space="preserve">:</w:t>
      </w:r>
      <w:r>
        <w:t xml:space="preserve"> </w:t>
      </w:r>
      <w:r>
        <w:rPr>
          <w:iCs/>
          <w:i/>
        </w:rPr>
        <w:t xml:space="preserve">hve</w:t>
      </w:r>
      <w:r>
        <w:t xml:space="preserve">,</w:t>
      </w:r>
      <w:r>
        <w:t xml:space="preserve"> </w:t>
      </w:r>
      <w:r>
        <w:rPr>
          <w:iCs/>
          <w:i/>
        </w:rPr>
        <w:t xml:space="preserve">laṭ</w:t>
      </w:r>
      <w:r>
        <w:t xml:space="preserve">,</w:t>
      </w:r>
      <w:r>
        <w:t xml:space="preserve"> </w:t>
      </w:r>
      <w:r>
        <w:rPr>
          <w:iCs/>
          <w:i/>
        </w:rPr>
        <w:t xml:space="preserve">śap</w:t>
      </w:r>
      <w:r>
        <w:t xml:space="preserve">,</w:t>
      </w:r>
      <w:r>
        <w:t xml:space="preserve"> </w:t>
      </w:r>
      <w:r>
        <w:rPr>
          <w:iCs/>
          <w:i/>
        </w:rPr>
        <w:t xml:space="preserve">saṃprasāraṇa</w:t>
      </w:r>
      <w:r>
        <w:t xml:space="preserve"> </w:t>
      </w:r>
      <w:r>
        <w:t xml:space="preserve">by</w:t>
      </w:r>
      <w:r>
        <w:t xml:space="preserve"> </w:t>
      </w:r>
      <w:r>
        <w:rPr>
          <w:iCs/>
          <w:i/>
        </w:rPr>
        <w:t xml:space="preserve">bahulaṃ chandasi</w:t>
      </w:r>
      <w:r>
        <w:t xml:space="preserve">,</w:t>
      </w:r>
      <w:r>
        <w:t xml:space="preserve"> </w:t>
      </w:r>
      <w:r>
        <w:rPr>
          <w:iCs/>
          <w:i/>
        </w:rPr>
        <w:t xml:space="preserve">pūrvarūpa</w:t>
      </w:r>
      <w:r>
        <w:t xml:space="preserve">,</w:t>
      </w:r>
      <w:r>
        <w:t xml:space="preserve"> </w:t>
      </w:r>
      <w:r>
        <w:rPr>
          <w:iCs/>
          <w:i/>
        </w:rPr>
        <w:t xml:space="preserve">guṇa</w:t>
      </w:r>
      <w:r>
        <w:t xml:space="preserve">,</w:t>
      </w:r>
      <w:r>
        <w:t xml:space="preserve"> </w:t>
      </w:r>
      <w:r>
        <w:rPr>
          <w:iCs/>
          <w:i/>
        </w:rPr>
        <w:t xml:space="preserve">av</w:t>
      </w:r>
      <w:r>
        <w:t xml:space="preserve">;</w:t>
      </w:r>
      <w:r>
        <w:t xml:space="preserve"> </w:t>
      </w:r>
      <w:r>
        <w:rPr>
          <w:iCs/>
          <w:i/>
        </w:rPr>
        <w:t xml:space="preserve">prayati</w:t>
      </w:r>
      <w:r>
        <w:t xml:space="preserve">:</w:t>
      </w:r>
      <w:r>
        <w:t xml:space="preserve"> </w:t>
      </w:r>
      <w:r>
        <w:rPr>
          <w:iCs/>
          <w:i/>
        </w:rPr>
        <w:t xml:space="preserve">iṇ</w:t>
      </w:r>
      <w:r>
        <w:t xml:space="preserve"> </w:t>
      </w:r>
      <w:r>
        <w:t xml:space="preserve">‘</w:t>
      </w:r>
      <w:r>
        <w:t xml:space="preserve">to go</w:t>
      </w:r>
      <w:r>
        <w:t xml:space="preserve">’</w:t>
      </w:r>
      <w:r>
        <w:t xml:space="preserve">,</w:t>
      </w:r>
      <w:r>
        <w:t xml:space="preserve"> </w:t>
      </w:r>
      <w:r>
        <w:rPr>
          <w:iCs/>
          <w:i/>
        </w:rPr>
        <w:t xml:space="preserve">śatṛ</w:t>
      </w:r>
      <w:r>
        <w:t xml:space="preserve">,</w:t>
      </w:r>
      <w:r>
        <w:t xml:space="preserve"> </w:t>
      </w:r>
      <w:r>
        <w:rPr>
          <w:iCs/>
          <w:i/>
        </w:rPr>
        <w:t xml:space="preserve">śap</w:t>
      </w:r>
      <w:r>
        <w:t xml:space="preserve"> </w:t>
      </w:r>
      <w:r>
        <w:t xml:space="preserve">dropped, no</w:t>
      </w:r>
      <w:r>
        <w:t xml:space="preserve"> </w:t>
      </w:r>
      <w:r>
        <w:rPr>
          <w:iCs/>
          <w:i/>
        </w:rPr>
        <w:t xml:space="preserve">guṇa</w:t>
      </w:r>
      <w:r>
        <w:t xml:space="preserve"> </w:t>
      </w:r>
      <w:r>
        <w:t xml:space="preserve">(</w:t>
      </w:r>
      <w:r>
        <w:rPr>
          <w:iCs/>
          <w:i/>
        </w:rPr>
        <w:t xml:space="preserve">ṅit</w:t>
      </w:r>
      <w:r>
        <w:t xml:space="preserve">), a</w:t>
      </w:r>
      <w:r>
        <w:t xml:space="preserve"> </w:t>
      </w:r>
      <w:r>
        <w:rPr>
          <w:iCs/>
          <w:i/>
        </w:rPr>
        <w:t xml:space="preserve">prādi</w:t>
      </w:r>
      <w:r>
        <w:t xml:space="preserve"> </w:t>
      </w:r>
      <w:r>
        <w:t xml:space="preserve">compound; by</w:t>
      </w:r>
      <w:r>
        <w:t xml:space="preserve"> </w:t>
      </w:r>
      <w:r>
        <w:t xml:space="preserve">“</w:t>
      </w:r>
      <w:r>
        <w:t xml:space="preserve">kṛdgrahaṇe gatikārakapūrvasyāpi grahaṇam</w:t>
      </w:r>
      <w:r>
        <w:t xml:space="preserve">”</w:t>
      </w:r>
      <w:r>
        <w:t xml:space="preserve"> </w:t>
      </w:r>
      <w:r>
        <w:t xml:space="preserve">(pari. 28) the restriction to the bare suffix does not apply, so the ending is udātta by</w:t>
      </w:r>
      <w:r>
        <w:t xml:space="preserve"> </w:t>
      </w:r>
      <w:r>
        <w:rPr>
          <w:iCs/>
          <w:i/>
        </w:rPr>
        <w:t xml:space="preserve">śatur anumo nadyajādī</w:t>
      </w:r>
      <w:r>
        <w:t xml:space="preserve">;</w:t>
      </w:r>
      <w:r>
        <w:t xml:space="preserve"> </w:t>
      </w:r>
      <w:r>
        <w:rPr>
          <w:iCs/>
          <w:i/>
        </w:rPr>
        <w:t xml:space="preserve">adhvare</w:t>
      </w:r>
      <w:r>
        <w:t xml:space="preserve"> </w:t>
      </w:r>
      <w:r>
        <w:t xml:space="preserve">as said; in the Saṃhitā the</w:t>
      </w:r>
      <w:r>
        <w:t xml:space="preserve"> </w:t>
      </w:r>
      <w:r>
        <w:rPr>
          <w:iCs/>
          <w:i/>
        </w:rPr>
        <w:t xml:space="preserve">a</w:t>
      </w:r>
      <w:r>
        <w:t xml:space="preserve"> </w:t>
      </w:r>
      <w:r>
        <w:t xml:space="preserve">becomes svarita after the</w:t>
      </w:r>
      <w:r>
        <w:t xml:space="preserve"> </w:t>
      </w:r>
      <w:r>
        <w:rPr>
          <w:iCs/>
          <w:i/>
        </w:rPr>
        <w:t xml:space="preserve">yaṇ</w:t>
      </w:r>
      <w:r>
        <w:t xml:space="preserve"> </w:t>
      </w:r>
      <w:r>
        <w:t xml:space="preserve">by Pā. 8-2-4;</w:t>
      </w:r>
      <w:r>
        <w:t xml:space="preserve"> </w:t>
      </w:r>
      <w:r>
        <w:rPr>
          <w:iCs/>
          <w:i/>
        </w:rPr>
        <w:t xml:space="preserve">pītaye</w:t>
      </w:r>
      <w:r>
        <w:t xml:space="preserve">,</w:t>
      </w:r>
      <w:r>
        <w:t xml:space="preserve"> </w:t>
      </w:r>
      <w:r>
        <w:rPr>
          <w:iCs/>
          <w:i/>
        </w:rPr>
        <w:t xml:space="preserve">pā</w:t>
      </w:r>
      <w:r>
        <w:t xml:space="preserve"> </w:t>
      </w:r>
      <w:r>
        <w:t xml:space="preserve">with</w:t>
      </w:r>
      <w:r>
        <w:t xml:space="preserve"> </w:t>
      </w:r>
      <w:r>
        <w:rPr>
          <w:iCs/>
          <w:i/>
        </w:rPr>
        <w:t xml:space="preserve">ktin</w:t>
      </w:r>
      <w:r>
        <w:t xml:space="preserve">, final udātta as Vedic.)</w:t>
      </w:r>
    </w:p>
    <w:bookmarkEnd w:id="742"/>
    <w:bookmarkStart w:id="743" w:name="Xfb33577f29dc432c5482db90da913b3e0937574"/>
    <w:p>
      <w:pPr>
        <w:pStyle w:val="Heading3"/>
      </w:pPr>
      <w:r>
        <w:t xml:space="preserve">Page 684 — Rik 3: word-meanings, overall sense, English, Special Topics, grammar</w:t>
      </w:r>
    </w:p>
    <w:p>
      <w:pPr>
        <w:pStyle w:val="FirstParagraph"/>
      </w:pPr>
      <w:r>
        <w:rPr>
          <w:bCs/>
          <w:b/>
        </w:rPr>
        <w:t xml:space="preserve">॥ Prati-padārthaḥ ॥</w:t>
      </w:r>
    </w:p>
    <w:p>
      <w:pPr>
        <w:pStyle w:val="BodyText"/>
      </w:pPr>
      <w:r>
        <w:rPr>
          <w:bCs/>
          <w:b/>
        </w:rPr>
        <w:t xml:space="preserve">प्रातः (prātaḥ)</w:t>
      </w:r>
      <w:r>
        <w:t xml:space="preserve"> </w:t>
      </w:r>
      <w:r>
        <w:t xml:space="preserve">— at the morning pressing (held at the start of the rite) |</w:t>
      </w:r>
      <w:r>
        <w:t xml:space="preserve"> </w:t>
      </w:r>
      <w:r>
        <w:rPr>
          <w:bCs/>
          <w:b/>
        </w:rPr>
        <w:t xml:space="preserve">इन्द्रम् (indram)</w:t>
      </w:r>
      <w:r>
        <w:t xml:space="preserve"> </w:t>
      </w:r>
      <w:r>
        <w:t xml:space="preserve">— Indra |</w:t>
      </w:r>
      <w:r>
        <w:t xml:space="preserve"> </w:t>
      </w:r>
      <w:r>
        <w:rPr>
          <w:bCs/>
          <w:b/>
        </w:rPr>
        <w:t xml:space="preserve">हवामहे (havāmahe)</w:t>
      </w:r>
      <w:r>
        <w:t xml:space="preserve"> </w:t>
      </w:r>
      <w:r>
        <w:t xml:space="preserve">— we call |</w:t>
      </w:r>
      <w:r>
        <w:t xml:space="preserve"> </w:t>
      </w:r>
      <w:r>
        <w:rPr>
          <w:bCs/>
          <w:b/>
        </w:rPr>
        <w:t xml:space="preserve">अध्वरे (adhvare)</w:t>
      </w:r>
      <w:r>
        <w:t xml:space="preserve"> </w:t>
      </w:r>
      <w:r>
        <w:t xml:space="preserve">— the soma sacrifice |</w:t>
      </w:r>
      <w:r>
        <w:t xml:space="preserve"> </w:t>
      </w:r>
      <w:r>
        <w:rPr>
          <w:bCs/>
          <w:b/>
        </w:rPr>
        <w:t xml:space="preserve">प्रयति (prayati)</w:t>
      </w:r>
      <w:r>
        <w:t xml:space="preserve"> </w:t>
      </w:r>
      <w:r>
        <w:t xml:space="preserve">— while it is going on (at the midday pressing that comes) |</w:t>
      </w:r>
      <w:r>
        <w:t xml:space="preserve"> </w:t>
      </w:r>
      <w:r>
        <w:rPr>
          <w:bCs/>
          <w:b/>
        </w:rPr>
        <w:t xml:space="preserve">इन्द्रम् (indram)</w:t>
      </w:r>
      <w:r>
        <w:t xml:space="preserve"> </w:t>
      </w:r>
      <w:r>
        <w:t xml:space="preserve">— Indra |</w:t>
      </w:r>
      <w:r>
        <w:t xml:space="preserve"> </w:t>
      </w:r>
      <w:r>
        <w:rPr>
          <w:iCs/>
          <w:i/>
        </w:rPr>
        <w:t xml:space="preserve">(havāmahe — we call)</w:t>
      </w:r>
      <w:r>
        <w:t xml:space="preserve"> </w:t>
      </w:r>
      <w:r>
        <w:t xml:space="preserve">|</w:t>
      </w:r>
      <w:r>
        <w:t xml:space="preserve"> </w:t>
      </w:r>
      <w:r>
        <w:rPr>
          <w:iCs/>
          <w:i/>
        </w:rPr>
        <w:t xml:space="preserve">(and likewise, at the third pressing held at the close of the sacrifice)</w:t>
      </w:r>
      <w:r>
        <w:t xml:space="preserve"> </w:t>
      </w:r>
      <w:r>
        <w:rPr>
          <w:bCs/>
          <w:b/>
        </w:rPr>
        <w:t xml:space="preserve">सोमस्य (somasya)</w:t>
      </w:r>
      <w:r>
        <w:t xml:space="preserve"> </w:t>
      </w:r>
      <w:r>
        <w:t xml:space="preserve">— of the soma juice |</w:t>
      </w:r>
      <w:r>
        <w:t xml:space="preserve"> </w:t>
      </w:r>
      <w:r>
        <w:rPr>
          <w:bCs/>
          <w:b/>
        </w:rPr>
        <w:t xml:space="preserve">पीतये (pītaye)</w:t>
      </w:r>
      <w:r>
        <w:t xml:space="preserve"> </w:t>
      </w:r>
      <w:r>
        <w:t xml:space="preserve">— for drinking (Indra) |</w:t>
      </w:r>
      <w:r>
        <w:t xml:space="preserve"> </w:t>
      </w:r>
      <w:r>
        <w:rPr>
          <w:iCs/>
          <w:i/>
        </w:rPr>
        <w:t xml:space="preserve">(havāmahe — we call)</w:t>
      </w:r>
      <w:r>
        <w:t xml:space="preserve">.</w:t>
      </w:r>
    </w:p>
    <w:p>
      <w:pPr>
        <w:pStyle w:val="BodyText"/>
      </w:pPr>
      <w:r>
        <w:rPr>
          <w:bCs/>
          <w:b/>
        </w:rPr>
        <w:t xml:space="preserve">॥ Bhāvārthaḥ ॥</w:t>
      </w:r>
    </w:p>
    <w:p>
      <w:pPr>
        <w:pStyle w:val="BodyText"/>
      </w:pPr>
      <w:r>
        <w:t xml:space="preserve">At all three pressing times that are parts of the soma sacrifice, the morning pressing, the midday pressing and the third pressing, we call Indra to drink soma.</w:t>
      </w:r>
    </w:p>
    <w:p>
      <w:pPr>
        <w:pStyle w:val="BodyText"/>
      </w:pPr>
      <w:r>
        <w:rPr>
          <w:bCs/>
          <w:b/>
        </w:rPr>
        <w:t xml:space="preserve">॥ English Translation ॥</w:t>
      </w:r>
      <w:r>
        <w:t xml:space="preserve"> </w:t>
      </w:r>
      <w:r>
        <w:rPr>
          <w:iCs/>
          <w:i/>
        </w:rPr>
        <w:t xml:space="preserve">(as printed in the source)</w:t>
      </w:r>
    </w:p>
    <w:p>
      <w:pPr>
        <w:pStyle w:val="BlockText"/>
      </w:pPr>
      <w:r>
        <w:t xml:space="preserve">We invoke Indra at the morning rite, we invoke Indra at the succeeding Sacrifice, we invoke Indra to drink the Soma-Juice.</w:t>
      </w:r>
    </w:p>
    <w:p>
      <w:pPr>
        <w:pStyle w:val="FirstParagraph"/>
      </w:pPr>
      <w:r>
        <w:rPr>
          <w:bCs/>
          <w:b/>
        </w:rPr>
        <w:t xml:space="preserve">॥ Viśeṣa-viṣayagaḷu (Special Topics) ॥</w:t>
      </w:r>
    </w:p>
    <w:p>
      <w:pPr>
        <w:pStyle w:val="BodyText"/>
      </w:pPr>
      <w:r>
        <w:t xml:space="preserve">In a sacrificial rite the procedure is to crush the soma creeper and make the soma juice ready for drinking at all three times, morning, midday and evening. These acts are named in order the morning pressing, the midday pressing and the third pressing. Though only the morning is named in this Ṛk, since Indra is called to drink soma at the sacrifice that goes on afterwards too, the ṛṣi’s meaning is that Indra is called at all three pressings mentioned.</w:t>
      </w:r>
    </w:p>
    <w:p>
      <w:pPr>
        <w:pStyle w:val="BodyText"/>
      </w:pPr>
      <w:r>
        <w:rPr>
          <w:bCs/>
          <w:b/>
        </w:rPr>
        <w:t xml:space="preserve">Prayati</w:t>
      </w:r>
      <w:r>
        <w:t xml:space="preserve">:</w:t>
      </w:r>
      <w:r>
        <w:t xml:space="preserve"> </w:t>
      </w:r>
      <w:r>
        <w:rPr>
          <w:iCs/>
          <w:i/>
        </w:rPr>
        <w:t xml:space="preserve">iṇ gatau</w:t>
      </w:r>
      <w:r>
        <w:t xml:space="preserve">;</w:t>
      </w:r>
      <w:r>
        <w:t xml:space="preserve"> </w:t>
      </w:r>
      <w:r>
        <w:rPr>
          <w:iCs/>
          <w:i/>
        </w:rPr>
        <w:t xml:space="preserve">pragacchati</w:t>
      </w:r>
      <w:r>
        <w:t xml:space="preserve">: when the sacrificial rite is going on, or proceeding, that is, at the midday and third pressings held at midday and evening: that is the sense.</w:t>
      </w:r>
    </w:p>
    <w:p>
      <w:pPr>
        <w:pStyle w:val="BodyText"/>
      </w:pPr>
      <w:r>
        <w:rPr>
          <w:bCs/>
          <w:b/>
        </w:rPr>
        <w:t xml:space="preserve">॥ Vyākaraṇa-prakriyā ॥</w:t>
      </w:r>
      <w:r>
        <w:t xml:space="preserve"> </w:t>
      </w:r>
      <w:r>
        <w:rPr>
          <w:iCs/>
          <w:i/>
        </w:rPr>
        <w:t xml:space="preserve">(grammar pages 684–686, noted briefly)</w:t>
      </w:r>
    </w:p>
    <w:p>
      <w:pPr>
        <w:pStyle w:val="BodyText"/>
      </w:pPr>
      <w:r>
        <w:rPr>
          <w:bCs/>
          <w:b/>
        </w:rPr>
        <w:t xml:space="preserve">प्रातः (</w:t>
      </w:r>
      <w:r>
        <w:rPr>
          <w:iCs/>
          <w:i/>
          <w:bCs/>
          <w:b/>
        </w:rPr>
        <w:t xml:space="preserve">prātaḥ</w:t>
      </w:r>
      <w:r>
        <w:rPr>
          <w:bCs/>
          <w:b/>
        </w:rPr>
        <w:t xml:space="preserve">)</w:t>
      </w:r>
      <w:r>
        <w:t xml:space="preserve">: made final udātta by</w:t>
      </w:r>
      <w:r>
        <w:t xml:space="preserve"> </w:t>
      </w:r>
      <w:r>
        <w:rPr>
          <w:iCs/>
          <w:i/>
        </w:rPr>
        <w:t xml:space="preserve">nipātana</w:t>
      </w:r>
      <w:r>
        <w:t xml:space="preserve"> </w:t>
      </w:r>
      <w:r>
        <w:t xml:space="preserve">in the</w:t>
      </w:r>
      <w:r>
        <w:t xml:space="preserve"> </w:t>
      </w:r>
      <w:r>
        <w:rPr>
          <w:iCs/>
          <w:i/>
        </w:rPr>
        <w:t xml:space="preserve">svarādi</w:t>
      </w:r>
      <w:r>
        <w:t xml:space="preserve"> </w:t>
      </w:r>
      <w:r>
        <w:t xml:space="preserve">class.</w:t>
      </w:r>
    </w:p>
    <w:p>
      <w:pPr>
        <w:pStyle w:val="BodyText"/>
      </w:pPr>
      <w:r>
        <w:rPr>
          <w:bCs/>
          <w:b/>
        </w:rPr>
        <w:t xml:space="preserve">हवामहे (</w:t>
      </w:r>
      <w:r>
        <w:rPr>
          <w:iCs/>
          <w:i/>
          <w:bCs/>
          <w:b/>
        </w:rPr>
        <w:t xml:space="preserve">havāmahe</w:t>
      </w:r>
      <w:r>
        <w:rPr>
          <w:bCs/>
          <w:b/>
        </w:rPr>
        <w:t xml:space="preserve">)</w:t>
      </w:r>
      <w:r>
        <w:t xml:space="preserve">: the root</w:t>
      </w:r>
      <w:r>
        <w:t xml:space="preserve"> </w:t>
      </w:r>
      <w:r>
        <w:rPr>
          <w:iCs/>
          <w:i/>
        </w:rPr>
        <w:t xml:space="preserve">hveñ spardhāyāṃ śabde ca</w:t>
      </w:r>
      <w:r>
        <w:t xml:space="preserve">; after it</w:t>
      </w:r>
      <w:r>
        <w:t xml:space="preserve"> </w:t>
      </w:r>
      <w:r>
        <w:rPr>
          <w:iCs/>
          <w:i/>
        </w:rPr>
        <w:t xml:space="preserve">laṭ</w:t>
      </w:r>
      <w:r>
        <w:t xml:space="preserve">; in its place the</w:t>
      </w:r>
      <w:r>
        <w:t xml:space="preserve"> </w:t>
      </w:r>
      <w:r>
        <w:rPr>
          <w:iCs/>
          <w:i/>
        </w:rPr>
        <w:t xml:space="preserve">ātmanepada</w:t>
      </w:r>
      <w:r>
        <w:t xml:space="preserve"> </w:t>
      </w:r>
      <w:r>
        <w:t xml:space="preserve">1st plural</w:t>
      </w:r>
      <w:r>
        <w:t xml:space="preserve"> </w:t>
      </w:r>
      <w:r>
        <w:rPr>
          <w:iCs/>
          <w:i/>
        </w:rPr>
        <w:t xml:space="preserve">mahiṅ</w:t>
      </w:r>
      <w:r>
        <w:t xml:space="preserve">:</w:t>
      </w:r>
      <w:r>
        <w:t xml:space="preserve"> </w:t>
      </w:r>
      <w:r>
        <w:rPr>
          <w:iCs/>
          <w:i/>
        </w:rPr>
        <w:t xml:space="preserve">hve</w:t>
      </w:r>
      <w:r>
        <w:t xml:space="preserve"> </w:t>
      </w:r>
      <w:r>
        <w:t xml:space="preserve">+</w:t>
      </w:r>
      <w:r>
        <w:t xml:space="preserve"> </w:t>
      </w:r>
      <w:r>
        <w:rPr>
          <w:iCs/>
          <w:i/>
        </w:rPr>
        <w:t xml:space="preserve">mahi</w:t>
      </w:r>
      <w:r>
        <w:t xml:space="preserve">; by</w:t>
      </w:r>
      <w:r>
        <w:t xml:space="preserve"> </w:t>
      </w:r>
      <w:r>
        <w:t xml:space="preserve">“</w:t>
      </w:r>
      <w:r>
        <w:t xml:space="preserve">ṭita ātmanepadānāṃ ṭere</w:t>
      </w:r>
      <w:r>
        <w:t xml:space="preserve">”</w:t>
      </w:r>
    </w:p>
    <w:bookmarkEnd w:id="743"/>
    <w:bookmarkStart w:id="744" w:name="page-685-rik-3-grammar-continued"/>
    <w:p>
      <w:pPr>
        <w:pStyle w:val="Heading3"/>
      </w:pPr>
      <w:r>
        <w:t xml:space="preserve">Page 685 — Rik 3: grammar (continued)</w:t>
      </w:r>
    </w:p>
    <w:p>
      <w:pPr>
        <w:pStyle w:val="FirstParagraph"/>
      </w:pPr>
      <w:r>
        <w:t xml:space="preserve">(Pā. sū. 3-4-79)</w:t>
      </w:r>
      <w:r>
        <w:t xml:space="preserve"> </w:t>
      </w:r>
      <w:r>
        <w:rPr>
          <w:iCs/>
          <w:i/>
        </w:rPr>
        <w:t xml:space="preserve">e</w:t>
      </w:r>
      <w:r>
        <w:t xml:space="preserve"> </w:t>
      </w:r>
      <w:r>
        <w:t xml:space="preserve">for the</w:t>
      </w:r>
      <w:r>
        <w:t xml:space="preserve"> </w:t>
      </w:r>
      <w:r>
        <w:rPr>
          <w:iCs/>
          <w:i/>
        </w:rPr>
        <w:t xml:space="preserve">ṭi</w:t>
      </w:r>
      <w:r>
        <w:t xml:space="preserve">;</w:t>
      </w:r>
      <w:r>
        <w:t xml:space="preserve"> </w:t>
      </w:r>
      <w:r>
        <w:rPr>
          <w:iCs/>
          <w:i/>
        </w:rPr>
        <w:t xml:space="preserve">śap</w:t>
      </w:r>
      <w:r>
        <w:t xml:space="preserve"> </w:t>
      </w:r>
      <w:r>
        <w:t xml:space="preserve">by</w:t>
      </w:r>
      <w:r>
        <w:t xml:space="preserve"> </w:t>
      </w:r>
      <w:r>
        <w:t xml:space="preserve">“</w:t>
      </w:r>
      <w:r>
        <w:t xml:space="preserve">kartari śap</w:t>
      </w:r>
      <w:r>
        <w:t xml:space="preserve">”</w:t>
      </w:r>
      <w:r>
        <w:t xml:space="preserve">:</w:t>
      </w:r>
      <w:r>
        <w:t xml:space="preserve"> </w:t>
      </w:r>
      <w:r>
        <w:rPr>
          <w:iCs/>
          <w:i/>
        </w:rPr>
        <w:t xml:space="preserve">hve</w:t>
      </w:r>
      <w:r>
        <w:t xml:space="preserve"> </w:t>
      </w:r>
      <w:r>
        <w:t xml:space="preserve">+</w:t>
      </w:r>
      <w:r>
        <w:t xml:space="preserve"> </w:t>
      </w:r>
      <w:r>
        <w:rPr>
          <w:iCs/>
          <w:i/>
        </w:rPr>
        <w:t xml:space="preserve">a</w:t>
      </w:r>
      <w:r>
        <w:t xml:space="preserve"> </w:t>
      </w:r>
      <w:r>
        <w:t xml:space="preserve">+</w:t>
      </w:r>
      <w:r>
        <w:t xml:space="preserve"> </w:t>
      </w:r>
      <w:r>
        <w:rPr>
          <w:iCs/>
          <w:i/>
        </w:rPr>
        <w:t xml:space="preserve">mahe</w:t>
      </w:r>
      <w:r>
        <w:t xml:space="preserve">. With</w:t>
      </w:r>
      <w:r>
        <w:t xml:space="preserve"> </w:t>
      </w:r>
      <w:r>
        <w:t xml:space="preserve">“</w:t>
      </w:r>
      <w:r>
        <w:t xml:space="preserve">hvaḥ samprasāraṇam</w:t>
      </w:r>
      <w:r>
        <w:t xml:space="preserve">”</w:t>
      </w:r>
      <w:r>
        <w:t xml:space="preserve"> </w:t>
      </w:r>
      <w:r>
        <w:t xml:space="preserve">(Pā. sū. 6-1-32) carried on, by</w:t>
      </w:r>
      <w:r>
        <w:t xml:space="preserve"> </w:t>
      </w:r>
      <w:r>
        <w:t xml:space="preserve">“</w:t>
      </w:r>
      <w:r>
        <w:t xml:space="preserve">bahulaṃ chandasi</w:t>
      </w:r>
      <w:r>
        <w:t xml:space="preserve">”</w:t>
      </w:r>
      <w:r>
        <w:t xml:space="preserve"> </w:t>
      </w:r>
      <w:r>
        <w:t xml:space="preserve">(Pā. sū. 6-1-34)</w:t>
      </w:r>
      <w:r>
        <w:t xml:space="preserve"> </w:t>
      </w:r>
      <w:r>
        <w:rPr>
          <w:iCs/>
          <w:i/>
        </w:rPr>
        <w:t xml:space="preserve">hveñ</w:t>
      </w:r>
      <w:r>
        <w:t xml:space="preserve"> </w:t>
      </w:r>
      <w:r>
        <w:t xml:space="preserve">takes</w:t>
      </w:r>
      <w:r>
        <w:t xml:space="preserve"> </w:t>
      </w:r>
      <w:r>
        <w:rPr>
          <w:iCs/>
          <w:i/>
        </w:rPr>
        <w:t xml:space="preserve">saṃprasāraṇa</w:t>
      </w:r>
      <w:r>
        <w:t xml:space="preserve"> </w:t>
      </w:r>
      <w:r>
        <w:t xml:space="preserve">variously in the Veda:</w:t>
      </w:r>
      <w:r>
        <w:t xml:space="preserve"> </w:t>
      </w:r>
      <w:r>
        <w:rPr>
          <w:iCs/>
          <w:i/>
        </w:rPr>
        <w:t xml:space="preserve">saṃprasāraṇa</w:t>
      </w:r>
      <w:r>
        <w:t xml:space="preserve">,</w:t>
      </w:r>
      <w:r>
        <w:t xml:space="preserve"> </w:t>
      </w:r>
      <w:r>
        <w:rPr>
          <w:iCs/>
          <w:i/>
        </w:rPr>
        <w:t xml:space="preserve">u</w:t>
      </w:r>
      <w:r>
        <w:t xml:space="preserve"> </w:t>
      </w:r>
      <w:r>
        <w:t xml:space="preserve">for the</w:t>
      </w:r>
      <w:r>
        <w:t xml:space="preserve"> </w:t>
      </w:r>
      <w:r>
        <w:rPr>
          <w:iCs/>
          <w:i/>
        </w:rPr>
        <w:t xml:space="preserve">v</w:t>
      </w:r>
      <w:r>
        <w:t xml:space="preserve">:</w:t>
      </w:r>
      <w:r>
        <w:t xml:space="preserve"> </w:t>
      </w:r>
      <w:r>
        <w:rPr>
          <w:iCs/>
          <w:i/>
        </w:rPr>
        <w:t xml:space="preserve">hu</w:t>
      </w:r>
      <w:r>
        <w:t xml:space="preserve"> </w:t>
      </w:r>
      <w:r>
        <w:t xml:space="preserve">+</w:t>
      </w:r>
      <w:r>
        <w:t xml:space="preserve"> </w:t>
      </w:r>
      <w:r>
        <w:rPr>
          <w:iCs/>
          <w:i/>
        </w:rPr>
        <w:t xml:space="preserve">e</w:t>
      </w:r>
      <w:r>
        <w:t xml:space="preserve"> </w:t>
      </w:r>
      <w:r>
        <w:t xml:space="preserve">+</w:t>
      </w:r>
      <w:r>
        <w:t xml:space="preserve"> </w:t>
      </w:r>
      <w:r>
        <w:rPr>
          <w:iCs/>
          <w:i/>
        </w:rPr>
        <w:t xml:space="preserve">a</w:t>
      </w:r>
      <w:r>
        <w:t xml:space="preserve"> </w:t>
      </w:r>
      <w:r>
        <w:t xml:space="preserve">+</w:t>
      </w:r>
      <w:r>
        <w:t xml:space="preserve"> </w:t>
      </w:r>
      <w:r>
        <w:rPr>
          <w:iCs/>
          <w:i/>
        </w:rPr>
        <w:t xml:space="preserve">mahe</w:t>
      </w:r>
      <w:r>
        <w:t xml:space="preserve">;</w:t>
      </w:r>
      <w:r>
        <w:t xml:space="preserve"> </w:t>
      </w:r>
      <w:r>
        <w:rPr>
          <w:iCs/>
          <w:i/>
        </w:rPr>
        <w:t xml:space="preserve">pūrvarūpa</w:t>
      </w:r>
      <w:r>
        <w:t xml:space="preserve"> </w:t>
      </w:r>
      <w:r>
        <w:t xml:space="preserve">by</w:t>
      </w:r>
      <w:r>
        <w:t xml:space="preserve"> </w:t>
      </w:r>
      <w:r>
        <w:t xml:space="preserve">“</w:t>
      </w:r>
      <w:r>
        <w:t xml:space="preserve">saṃprasāraṇāc ca</w:t>
      </w:r>
      <w:r>
        <w:t xml:space="preserve">”</w:t>
      </w:r>
      <w:r>
        <w:t xml:space="preserve"> </w:t>
      </w:r>
      <w:r>
        <w:t xml:space="preserve">(Pā. sū. 6-1-108):</w:t>
      </w:r>
      <w:r>
        <w:t xml:space="preserve"> </w:t>
      </w:r>
      <w:r>
        <w:rPr>
          <w:iCs/>
          <w:i/>
        </w:rPr>
        <w:t xml:space="preserve">hu</w:t>
      </w:r>
      <w:r>
        <w:t xml:space="preserve"> </w:t>
      </w:r>
      <w:r>
        <w:t xml:space="preserve">+</w:t>
      </w:r>
      <w:r>
        <w:t xml:space="preserve"> </w:t>
      </w:r>
      <w:r>
        <w:rPr>
          <w:iCs/>
          <w:i/>
        </w:rPr>
        <w:t xml:space="preserve">a</w:t>
      </w:r>
      <w:r>
        <w:t xml:space="preserve"> </w:t>
      </w:r>
      <w:r>
        <w:t xml:space="preserve">+</w:t>
      </w:r>
      <w:r>
        <w:t xml:space="preserve"> </w:t>
      </w:r>
      <w:r>
        <w:rPr>
          <w:iCs/>
          <w:i/>
        </w:rPr>
        <w:t xml:space="preserve">mahe</w:t>
      </w:r>
      <w:r>
        <w:t xml:space="preserve">. By</w:t>
      </w:r>
      <w:r>
        <w:t xml:space="preserve"> </w:t>
      </w:r>
      <w:r>
        <w:t xml:space="preserve">“</w:t>
      </w:r>
      <w:r>
        <w:t xml:space="preserve">sārvadhātukārdhadhātukayoḥ</w:t>
      </w:r>
      <w:r>
        <w:t xml:space="preserve">”</w:t>
      </w:r>
      <w:r>
        <w:t xml:space="preserve">, with the</w:t>
      </w:r>
      <w:r>
        <w:t xml:space="preserve"> </w:t>
      </w:r>
      <w:r>
        <w:rPr>
          <w:iCs/>
          <w:i/>
        </w:rPr>
        <w:t xml:space="preserve">sārvadhātuka</w:t>
      </w:r>
      <w:r>
        <w:t xml:space="preserve"> </w:t>
      </w:r>
      <w:r>
        <w:rPr>
          <w:iCs/>
          <w:i/>
        </w:rPr>
        <w:t xml:space="preserve">śap</w:t>
      </w:r>
      <w:r>
        <w:t xml:space="preserve"> </w:t>
      </w:r>
      <w:r>
        <w:t xml:space="preserve">as cause, the</w:t>
      </w:r>
      <w:r>
        <w:t xml:space="preserve"> </w:t>
      </w:r>
      <w:r>
        <w:rPr>
          <w:iCs/>
          <w:i/>
        </w:rPr>
        <w:t xml:space="preserve">u</w:t>
      </w:r>
      <w:r>
        <w:t xml:space="preserve"> </w:t>
      </w:r>
      <w:r>
        <w:t xml:space="preserve">takes</w:t>
      </w:r>
      <w:r>
        <w:t xml:space="preserve"> </w:t>
      </w:r>
      <w:r>
        <w:rPr>
          <w:iCs/>
          <w:i/>
        </w:rPr>
        <w:t xml:space="preserve">guṇa</w:t>
      </w:r>
      <w:r>
        <w:t xml:space="preserve">,</w:t>
      </w:r>
      <w:r>
        <w:t xml:space="preserve"> </w:t>
      </w:r>
      <w:r>
        <w:rPr>
          <w:iCs/>
          <w:i/>
        </w:rPr>
        <w:t xml:space="preserve">o</w:t>
      </w:r>
      <w:r>
        <w:t xml:space="preserve">. By</w:t>
      </w:r>
      <w:r>
        <w:t xml:space="preserve"> </w:t>
      </w:r>
      <w:r>
        <w:t xml:space="preserve">“</w:t>
      </w:r>
      <w:r>
        <w:t xml:space="preserve">eco ’yavāyāvaḥ</w:t>
      </w:r>
      <w:r>
        <w:t xml:space="preserve">”</w:t>
      </w:r>
      <w:r>
        <w:t xml:space="preserve"> </w:t>
      </w:r>
      <w:r>
        <w:t xml:space="preserve">(Pā. sū. 6-1-78)</w:t>
      </w:r>
      <w:r>
        <w:t xml:space="preserve"> </w:t>
      </w:r>
      <w:r>
        <w:rPr>
          <w:iCs/>
          <w:i/>
        </w:rPr>
        <w:t xml:space="preserve">av</w:t>
      </w:r>
      <w:r>
        <w:t xml:space="preserve"> </w:t>
      </w:r>
      <w:r>
        <w:t xml:space="preserve">for the</w:t>
      </w:r>
      <w:r>
        <w:t xml:space="preserve"> </w:t>
      </w:r>
      <w:r>
        <w:rPr>
          <w:iCs/>
          <w:i/>
        </w:rPr>
        <w:t xml:space="preserve">o</w:t>
      </w:r>
      <w:r>
        <w:t xml:space="preserve">:</w:t>
      </w:r>
      <w:r>
        <w:t xml:space="preserve"> </w:t>
      </w:r>
      <w:r>
        <w:rPr>
          <w:iCs/>
          <w:i/>
        </w:rPr>
        <w:t xml:space="preserve">hava</w:t>
      </w:r>
      <w:r>
        <w:t xml:space="preserve"> </w:t>
      </w:r>
      <w:r>
        <w:t xml:space="preserve">+</w:t>
      </w:r>
      <w:r>
        <w:t xml:space="preserve"> </w:t>
      </w:r>
      <w:r>
        <w:rPr>
          <w:iCs/>
          <w:i/>
        </w:rPr>
        <w:t xml:space="preserve">mahe</w:t>
      </w:r>
      <w:r>
        <w:t xml:space="preserve">. By</w:t>
      </w:r>
      <w:r>
        <w:t xml:space="preserve"> </w:t>
      </w:r>
      <w:r>
        <w:t xml:space="preserve">“</w:t>
      </w:r>
      <w:r>
        <w:t xml:space="preserve">ato dīrgho yañi</w:t>
      </w:r>
      <w:r>
        <w:t xml:space="preserve">”</w:t>
      </w:r>
      <w:r>
        <w:t xml:space="preserve"> </w:t>
      </w:r>
      <w:r>
        <w:t xml:space="preserve">(Pā. sū. 7-3-101) the</w:t>
      </w:r>
      <w:r>
        <w:t xml:space="preserve"> </w:t>
      </w:r>
      <w:r>
        <w:rPr>
          <w:iCs/>
          <w:i/>
        </w:rPr>
        <w:t xml:space="preserve">a</w:t>
      </w:r>
      <w:r>
        <w:t xml:space="preserve"> </w:t>
      </w:r>
      <w:r>
        <w:t xml:space="preserve">before the</w:t>
      </w:r>
      <w:r>
        <w:t xml:space="preserve"> </w:t>
      </w:r>
      <w:r>
        <w:rPr>
          <w:iCs/>
          <w:i/>
        </w:rPr>
        <w:t xml:space="preserve">m</w:t>
      </w:r>
      <w:r>
        <w:t xml:space="preserve"> </w:t>
      </w:r>
      <w:r>
        <w:t xml:space="preserve">is lengthened:</w:t>
      </w:r>
      <w:r>
        <w:t xml:space="preserve"> </w:t>
      </w:r>
      <w:r>
        <w:rPr>
          <w:iCs/>
          <w:i/>
        </w:rPr>
        <w:t xml:space="preserve">havāmahe</w:t>
      </w:r>
      <w:r>
        <w:t xml:space="preserve">. Wholly unaccented by</w:t>
      </w:r>
      <w:r>
        <w:t xml:space="preserve"> </w:t>
      </w:r>
      <w:r>
        <w:t xml:space="preserve">“</w:t>
      </w:r>
      <w:r>
        <w:t xml:space="preserve">tiṅṅatiṅaḥ</w:t>
      </w:r>
      <w:r>
        <w:t xml:space="preserve">”</w:t>
      </w:r>
      <w:r>
        <w:t xml:space="preserve"> </w:t>
      </w:r>
      <w:r>
        <w:t xml:space="preserve">(Pā. sū. 8-1-28).</w:t>
      </w:r>
    </w:p>
    <w:p>
      <w:pPr>
        <w:pStyle w:val="BodyText"/>
      </w:pPr>
      <w:r>
        <w:rPr>
          <w:bCs/>
          <w:b/>
        </w:rPr>
        <w:t xml:space="preserve">प्रयति (</w:t>
      </w:r>
      <w:r>
        <w:rPr>
          <w:iCs/>
          <w:i/>
          <w:bCs/>
          <w:b/>
        </w:rPr>
        <w:t xml:space="preserve">prayati</w:t>
      </w:r>
      <w:r>
        <w:rPr>
          <w:bCs/>
          <w:b/>
        </w:rPr>
        <w:t xml:space="preserve">)</w:t>
      </w:r>
      <w:r>
        <w:t xml:space="preserve">: the root</w:t>
      </w:r>
      <w:r>
        <w:t xml:space="preserve"> </w:t>
      </w:r>
      <w:r>
        <w:rPr>
          <w:iCs/>
          <w:i/>
        </w:rPr>
        <w:t xml:space="preserve">iṇ gatau</w:t>
      </w:r>
      <w:r>
        <w:t xml:space="preserve">,</w:t>
      </w:r>
      <w:r>
        <w:t xml:space="preserve"> </w:t>
      </w:r>
      <w:r>
        <w:rPr>
          <w:iCs/>
          <w:i/>
        </w:rPr>
        <w:t xml:space="preserve">adādi</w:t>
      </w:r>
      <w:r>
        <w:t xml:space="preserve">; after it</w:t>
      </w:r>
      <w:r>
        <w:t xml:space="preserve"> </w:t>
      </w:r>
      <w:r>
        <w:rPr>
          <w:iCs/>
          <w:i/>
        </w:rPr>
        <w:t xml:space="preserve">laṭ</w:t>
      </w:r>
      <w:r>
        <w:t xml:space="preserve">; in its place, by</w:t>
      </w:r>
      <w:r>
        <w:t xml:space="preserve"> </w:t>
      </w:r>
      <w:r>
        <w:t xml:space="preserve">“</w:t>
      </w:r>
      <w:r>
        <w:t xml:space="preserve">laṭaḥ śatṛśānacāv aprathamāsamānādhikaraṇe</w:t>
      </w:r>
      <w:r>
        <w:t xml:space="preserve">”</w:t>
      </w:r>
      <w:r>
        <w:t xml:space="preserve"> </w:t>
      </w:r>
      <w:r>
        <w:t xml:space="preserve">(Pā. sū. 3-2-124)</w:t>
      </w:r>
      <w:r>
        <w:t xml:space="preserve"> </w:t>
      </w:r>
      <w:r>
        <w:rPr>
          <w:iCs/>
          <w:i/>
        </w:rPr>
        <w:t xml:space="preserve">śatṛ</w:t>
      </w:r>
      <w:r>
        <w:t xml:space="preserve">; the</w:t>
      </w:r>
      <w:r>
        <w:t xml:space="preserve"> </w:t>
      </w:r>
      <w:r>
        <w:rPr>
          <w:iCs/>
          <w:i/>
        </w:rPr>
        <w:t xml:space="preserve">śap</w:t>
      </w:r>
      <w:r>
        <w:t xml:space="preserve"> </w:t>
      </w:r>
      <w:r>
        <w:t xml:space="preserve">that comes by</w:t>
      </w:r>
      <w:r>
        <w:t xml:space="preserve"> </w:t>
      </w:r>
      <w:r>
        <w:t xml:space="preserve">“</w:t>
      </w:r>
      <w:r>
        <w:t xml:space="preserve">kartari śap</w:t>
      </w:r>
      <w:r>
        <w:t xml:space="preserve">”</w:t>
      </w:r>
      <w:r>
        <w:t xml:space="preserve"> </w:t>
      </w:r>
      <w:r>
        <w:t xml:space="preserve">takes</w:t>
      </w:r>
      <w:r>
        <w:t xml:space="preserve"> </w:t>
      </w:r>
      <w:r>
        <w:rPr>
          <w:iCs/>
          <w:i/>
        </w:rPr>
        <w:t xml:space="preserve">luk</w:t>
      </w:r>
      <w:r>
        <w:t xml:space="preserve"> </w:t>
      </w:r>
      <w:r>
        <w:t xml:space="preserve">by</w:t>
      </w:r>
      <w:r>
        <w:t xml:space="preserve"> </w:t>
      </w:r>
      <w:r>
        <w:t xml:space="preserve">“</w:t>
      </w:r>
      <w:r>
        <w:t xml:space="preserve">adiprabhṛtibhyaḥ śapaḥ</w:t>
      </w:r>
      <w:r>
        <w:t xml:space="preserve">”</w:t>
      </w:r>
      <w:r>
        <w:t xml:space="preserve"> </w:t>
      </w:r>
      <w:r>
        <w:t xml:space="preserve">(Pā. sū. 2-4-72):</w:t>
      </w:r>
      <w:r>
        <w:t xml:space="preserve"> </w:t>
      </w:r>
      <w:r>
        <w:rPr>
          <w:iCs/>
          <w:i/>
        </w:rPr>
        <w:t xml:space="preserve">i</w:t>
      </w:r>
      <w:r>
        <w:t xml:space="preserve"> </w:t>
      </w:r>
      <w:r>
        <w:t xml:space="preserve">+</w:t>
      </w:r>
      <w:r>
        <w:t xml:space="preserve"> </w:t>
      </w:r>
      <w:r>
        <w:rPr>
          <w:iCs/>
          <w:i/>
        </w:rPr>
        <w:t xml:space="preserve">at</w:t>
      </w:r>
      <w:r>
        <w:t xml:space="preserve">. By</w:t>
      </w:r>
      <w:r>
        <w:t xml:space="preserve"> </w:t>
      </w:r>
      <w:r>
        <w:t xml:space="preserve">“</w:t>
      </w:r>
      <w:r>
        <w:t xml:space="preserve">sārvadhātukam apit</w:t>
      </w:r>
      <w:r>
        <w:t xml:space="preserve">”</w:t>
      </w:r>
      <w:r>
        <w:t xml:space="preserve"> </w:t>
      </w:r>
      <w:r>
        <w:t xml:space="preserve">(Pā. sū. 1-2-4) the suffix</w:t>
      </w:r>
      <w:r>
        <w:t xml:space="preserve"> </w:t>
      </w:r>
      <w:r>
        <w:rPr>
          <w:iCs/>
          <w:i/>
        </w:rPr>
        <w:t xml:space="preserve">at</w:t>
      </w:r>
      <w:r>
        <w:t xml:space="preserve"> </w:t>
      </w:r>
      <w:r>
        <w:t xml:space="preserve">is</w:t>
      </w:r>
      <w:r>
        <w:t xml:space="preserve"> </w:t>
      </w:r>
      <w:r>
        <w:rPr>
          <w:iCs/>
          <w:i/>
        </w:rPr>
        <w:t xml:space="preserve">ṅit</w:t>
      </w:r>
      <w:r>
        <w:t xml:space="preserve">; so the</w:t>
      </w:r>
      <w:r>
        <w:t xml:space="preserve"> </w:t>
      </w:r>
      <w:r>
        <w:rPr>
          <w:iCs/>
          <w:i/>
        </w:rPr>
        <w:t xml:space="preserve">guṇa</w:t>
      </w:r>
      <w:r>
        <w:t xml:space="preserve"> </w:t>
      </w:r>
      <w:r>
        <w:t xml:space="preserve">that</w:t>
      </w:r>
      <w:r>
        <w:t xml:space="preserve"> </w:t>
      </w:r>
      <w:r>
        <w:t xml:space="preserve">“</w:t>
      </w:r>
      <w:r>
        <w:t xml:space="preserve">sārvadhātukārdhadhātukayoḥ</w:t>
      </w:r>
      <w:r>
        <w:t xml:space="preserve">”</w:t>
      </w:r>
      <w:r>
        <w:t xml:space="preserve"> </w:t>
      </w:r>
      <w:r>
        <w:t xml:space="preserve">would give is barred by</w:t>
      </w:r>
      <w:r>
        <w:t xml:space="preserve"> </w:t>
      </w:r>
      <w:r>
        <w:t xml:space="preserve">“</w:t>
      </w:r>
      <w:r>
        <w:t xml:space="preserve">kṅiti ca</w:t>
      </w:r>
      <w:r>
        <w:t xml:space="preserve">”</w:t>
      </w:r>
      <w:r>
        <w:t xml:space="preserve"> </w:t>
      </w:r>
      <w:r>
        <w:t xml:space="preserve">(Pā. sū. 1-1-5).</w:t>
      </w:r>
      <w:r>
        <w:t xml:space="preserve"> </w:t>
      </w:r>
      <w:r>
        <w:t xml:space="preserve">“</w:t>
      </w:r>
      <w:r>
        <w:t xml:space="preserve">iko yaṇ aci</w:t>
      </w:r>
      <w:r>
        <w:t xml:space="preserve">”</w:t>
      </w:r>
      <w:r>
        <w:t xml:space="preserve"> </w:t>
      </w:r>
      <w:r>
        <w:t xml:space="preserve">(Pā. sū. 6-1-77) would give</w:t>
      </w:r>
      <w:r>
        <w:t xml:space="preserve"> </w:t>
      </w:r>
      <w:r>
        <w:rPr>
          <w:iCs/>
          <w:i/>
        </w:rPr>
        <w:t xml:space="preserve">yaṇ</w:t>
      </w:r>
      <w:r>
        <w:t xml:space="preserve">; overriding it,</w:t>
      </w:r>
      <w:r>
        <w:t xml:space="preserve"> </w:t>
      </w:r>
      <w:r>
        <w:t xml:space="preserve">“</w:t>
      </w:r>
      <w:r>
        <w:t xml:space="preserve">aci śnudhātubhruvām…</w:t>
      </w:r>
      <w:r>
        <w:t xml:space="preserve">”</w:t>
      </w:r>
      <w:r>
        <w:t xml:space="preserve"> </w:t>
      </w:r>
      <w:r>
        <w:t xml:space="preserve">(Pā. sū.</w:t>
      </w:r>
      <w:r>
        <w:t xml:space="preserve"> </w:t>
      </w:r>
      <w:r>
        <w:t xml:space="preserve">“</w:t>
      </w:r>
      <w:r>
        <w:t xml:space="preserve">6-4-22</w:t>
      </w:r>
      <w:r>
        <w:t xml:space="preserve">”</w:t>
      </w:r>
      <w:r>
        <w:t xml:space="preserve"> </w:t>
      </w:r>
      <w:r>
        <w:t xml:space="preserve">[as printed, for 6-4-77]) would give</w:t>
      </w:r>
      <w:r>
        <w:t xml:space="preserve"> </w:t>
      </w:r>
      <w:r>
        <w:rPr>
          <w:iCs/>
          <w:i/>
        </w:rPr>
        <w:t xml:space="preserve">iyaṅ</w:t>
      </w:r>
      <w:r>
        <w:t xml:space="preserve">; overriding that too,</w:t>
      </w:r>
      <w:r>
        <w:t xml:space="preserve"> </w:t>
      </w:r>
      <w:r>
        <w:t xml:space="preserve">“</w:t>
      </w:r>
      <w:r>
        <w:t xml:space="preserve">iṇo yaṇ</w:t>
      </w:r>
      <w:r>
        <w:t xml:space="preserve">”</w:t>
      </w:r>
      <w:r>
        <w:t xml:space="preserve"> </w:t>
      </w:r>
      <w:r>
        <w:t xml:space="preserve">(Pā. sū. 6-4-81): before a vowel-initial suffix the root</w:t>
      </w:r>
      <w:r>
        <w:t xml:space="preserve"> </w:t>
      </w:r>
      <w:r>
        <w:rPr>
          <w:iCs/>
          <w:i/>
        </w:rPr>
        <w:t xml:space="preserve">iṇ</w:t>
      </w:r>
      <w:r>
        <w:t xml:space="preserve"> </w:t>
      </w:r>
      <w:r>
        <w:t xml:space="preserve">takes</w:t>
      </w:r>
      <w:r>
        <w:t xml:space="preserve"> </w:t>
      </w:r>
      <w:r>
        <w:rPr>
          <w:iCs/>
          <w:i/>
        </w:rPr>
        <w:t xml:space="preserve">yaṇ</w:t>
      </w:r>
      <w:r>
        <w:t xml:space="preserve">; so</w:t>
      </w:r>
      <w:r>
        <w:t xml:space="preserve"> </w:t>
      </w:r>
      <w:r>
        <w:rPr>
          <w:iCs/>
          <w:i/>
        </w:rPr>
        <w:t xml:space="preserve">yaṇ</w:t>
      </w:r>
      <w:r>
        <w:t xml:space="preserve">:</w:t>
      </w:r>
      <w:r>
        <w:t xml:space="preserve"> </w:t>
      </w:r>
      <w:r>
        <w:rPr>
          <w:iCs/>
          <w:i/>
        </w:rPr>
        <w:t xml:space="preserve">yat</w:t>
      </w:r>
      <w:r>
        <w:t xml:space="preserve">. By</w:t>
      </w:r>
      <w:r>
        <w:t xml:space="preserve"> </w:t>
      </w:r>
      <w:r>
        <w:t xml:space="preserve">“</w:t>
      </w:r>
      <w:r>
        <w:t xml:space="preserve">kugatiprādayaḥ</w:t>
      </w:r>
      <w:r>
        <w:t xml:space="preserve">”</w:t>
      </w:r>
      <w:r>
        <w:t xml:space="preserve"> </w:t>
      </w:r>
      <w:r>
        <w:t xml:space="preserve">(Pā. sū. 2-2-18)</w:t>
      </w:r>
      <w:r>
        <w:t xml:space="preserve"> </w:t>
      </w:r>
      <w:r>
        <w:rPr>
          <w:iCs/>
          <w:i/>
        </w:rPr>
        <w:t xml:space="preserve">pra</w:t>
      </w:r>
      <w:r>
        <w:t xml:space="preserve"> </w:t>
      </w:r>
      <w:r>
        <w:t xml:space="preserve">is compounded with it:</w:t>
      </w:r>
      <w:r>
        <w:t xml:space="preserve"> </w:t>
      </w:r>
      <w:r>
        <w:rPr>
          <w:iCs/>
          <w:i/>
        </w:rPr>
        <w:t xml:space="preserve">prayat</w:t>
      </w:r>
      <w:r>
        <w:t xml:space="preserve">; locative singular</w:t>
      </w:r>
      <w:r>
        <w:t xml:space="preserve"> </w:t>
      </w:r>
      <w:r>
        <w:rPr>
          <w:iCs/>
          <w:i/>
        </w:rPr>
        <w:t xml:space="preserve">ṅi</w:t>
      </w:r>
      <w:r>
        <w:t xml:space="preserve">:</w:t>
      </w:r>
      <w:r>
        <w:t xml:space="preserve"> </w:t>
      </w:r>
      <w:r>
        <w:rPr>
          <w:iCs/>
          <w:i/>
        </w:rPr>
        <w:t xml:space="preserve">prayati</w:t>
      </w:r>
      <w:r>
        <w:t xml:space="preserve">. The suffix</w:t>
      </w:r>
      <w:r>
        <w:t xml:space="preserve"> </w:t>
      </w:r>
      <w:r>
        <w:rPr>
          <w:iCs/>
          <w:i/>
        </w:rPr>
        <w:t xml:space="preserve">śatṛ</w:t>
      </w:r>
      <w:r>
        <w:t xml:space="preserve"> </w:t>
      </w:r>
      <w:r>
        <w:t xml:space="preserve">is udātta by the suffix accent; after compounding too, by</w:t>
      </w:r>
      <w:r>
        <w:t xml:space="preserve"> </w:t>
      </w:r>
      <w:r>
        <w:rPr>
          <w:iCs/>
          <w:i/>
        </w:rPr>
        <w:t xml:space="preserve">gatikārakopapadāt kṛt</w:t>
      </w:r>
      <w:r>
        <w:t xml:space="preserve"> </w:t>
      </w:r>
      <w:r>
        <w:t xml:space="preserve">the</w:t>
      </w:r>
      <w:r>
        <w:t xml:space="preserve"> </w:t>
      </w:r>
      <w:r>
        <w:rPr>
          <w:iCs/>
          <w:i/>
        </w:rPr>
        <w:t xml:space="preserve">kṛt</w:t>
      </w:r>
      <w:r>
        <w:t xml:space="preserve"> </w:t>
      </w:r>
      <w:r>
        <w:t xml:space="preserve">second-member accent comes and that accent remains. So</w:t>
      </w:r>
      <w:r>
        <w:t xml:space="preserve"> </w:t>
      </w:r>
      <w:r>
        <w:rPr>
          <w:iCs/>
          <w:i/>
        </w:rPr>
        <w:t xml:space="preserve">prayat</w:t>
      </w:r>
      <w:r>
        <w:t xml:space="preserve"> </w:t>
      </w:r>
      <w:r>
        <w:t xml:space="preserve">is final udātta; so by</w:t>
      </w:r>
      <w:r>
        <w:t xml:space="preserve"> </w:t>
      </w:r>
      <w:r>
        <w:t xml:space="preserve">“</w:t>
      </w:r>
      <w:r>
        <w:t xml:space="preserve">śatur anumo nadyajādī</w:t>
      </w:r>
      <w:r>
        <w:t xml:space="preserve">”</w:t>
      </w:r>
      <w:r>
        <w:t xml:space="preserve"> </w:t>
      </w:r>
      <w:r>
        <w:t xml:space="preserve">(Pā. sū. 6-1-173), after a final-udātta word ending in a</w:t>
      </w:r>
      <w:r>
        <w:t xml:space="preserve"> </w:t>
      </w:r>
      <w:r>
        <w:rPr>
          <w:iCs/>
          <w:i/>
        </w:rPr>
        <w:t xml:space="preserve">śatṛ</w:t>
      </w:r>
      <w:r>
        <w:t xml:space="preserve"> </w:t>
      </w:r>
      <w:r>
        <w:t xml:space="preserve">suffix without the augment</w:t>
      </w:r>
      <w:r>
        <w:t xml:space="preserve"> </w:t>
      </w:r>
      <w:r>
        <w:rPr>
          <w:iCs/>
          <w:i/>
        </w:rPr>
        <w:t xml:space="preserve">num</w:t>
      </w:r>
      <w:r>
        <w:t xml:space="preserve">, a</w:t>
      </w:r>
      <w:r>
        <w:t xml:space="preserve"> </w:t>
      </w:r>
      <w:r>
        <w:rPr>
          <w:iCs/>
          <w:i/>
        </w:rPr>
        <w:t xml:space="preserve">nadī</w:t>
      </w:r>
      <w:r>
        <w:t xml:space="preserve"> </w:t>
      </w:r>
      <w:r>
        <w:t xml:space="preserve">letter and a vowel-initial ending from</w:t>
      </w:r>
      <w:r>
        <w:t xml:space="preserve"> </w:t>
      </w:r>
      <w:r>
        <w:rPr>
          <w:iCs/>
          <w:i/>
        </w:rPr>
        <w:t xml:space="preserve">śas</w:t>
      </w:r>
      <w:r>
        <w:t xml:space="preserve"> </w:t>
      </w:r>
      <w:r>
        <w:t xml:space="preserve">on are also udātta; so the locative singular</w:t>
      </w:r>
      <w:r>
        <w:t xml:space="preserve"> </w:t>
      </w:r>
      <w:r>
        <w:rPr>
          <w:iCs/>
          <w:i/>
        </w:rPr>
        <w:t xml:space="preserve">ṅi</w:t>
      </w:r>
      <w:r>
        <w:t xml:space="preserve"> </w:t>
      </w:r>
      <w:r>
        <w:t xml:space="preserve">becomes udātta. But how does</w:t>
      </w:r>
      <w:r>
        <w:t xml:space="preserve"> </w:t>
      </w:r>
      <w:r>
        <w:rPr>
          <w:iCs/>
          <w:i/>
        </w:rPr>
        <w:t xml:space="preserve">prayat</w:t>
      </w:r>
      <w:r>
        <w:t xml:space="preserve">,</w:t>
      </w:r>
      <w:r>
        <w:t xml:space="preserve"> </w:t>
      </w:r>
      <w:r>
        <w:rPr>
          <w:iCs/>
          <w:i/>
        </w:rPr>
        <w:t xml:space="preserve">a</w:t>
      </w:r>
      <w:r>
        <w:t xml:space="preserve">, end in the</w:t>
      </w:r>
      <w:r>
        <w:t xml:space="preserve"> </w:t>
      </w:r>
      <w:r>
        <w:rPr>
          <w:iCs/>
          <w:i/>
        </w:rPr>
        <w:t xml:space="preserve">śatṛ</w:t>
      </w:r>
      <w:r>
        <w:t xml:space="preserve"> </w:t>
      </w:r>
      <w:r>
        <w:t xml:space="preserve">suffix? By</w:t>
      </w:r>
      <w:r>
        <w:t xml:space="preserve"> </w:t>
      </w:r>
      <w:r>
        <w:t xml:space="preserve">“</w:t>
      </w:r>
      <w:r>
        <w:t xml:space="preserve">pratyayagrahaṇe yasmāt sa vihitas tadādes tadantasya grahaṇam</w:t>
      </w:r>
      <w:r>
        <w:t xml:space="preserve">”</w:t>
      </w:r>
      <w:r>
        <w:t xml:space="preserve"> </w:t>
      </w:r>
      <w:r>
        <w:t xml:space="preserve">(paribhāṣā 23), the word with the</w:t>
      </w:r>
      <w:r>
        <w:t xml:space="preserve"> </w:t>
      </w:r>
      <w:r>
        <w:rPr>
          <w:iCs/>
          <w:i/>
        </w:rPr>
        <w:t xml:space="preserve">śatṛ</w:t>
      </w:r>
      <w:r>
        <w:t xml:space="preserve"> </w:t>
      </w:r>
      <w:r>
        <w:t xml:space="preserve">suffix whose first member is the base and whose last member is</w:t>
      </w:r>
      <w:r>
        <w:t xml:space="preserve"> </w:t>
      </w:r>
      <w:r>
        <w:rPr>
          <w:iCs/>
          <w:i/>
        </w:rPr>
        <w:t xml:space="preserve">śatṛ</w:t>
      </w:r>
      <w:r>
        <w:t xml:space="preserve"> </w:t>
      </w:r>
      <w:r>
        <w:t xml:space="preserve">is the</w:t>
      </w:r>
      <w:r>
        <w:t xml:space="preserve"> </w:t>
      </w:r>
      <w:r>
        <w:rPr>
          <w:iCs/>
          <w:i/>
        </w:rPr>
        <w:t xml:space="preserve">śatṛ</w:t>
      </w:r>
      <w:r>
        <w:t xml:space="preserve">-ending word. Here</w:t>
      </w:r>
      <w:r>
        <w:t xml:space="preserve"> </w:t>
      </w:r>
      <w:r>
        <w:rPr>
          <w:iCs/>
          <w:i/>
        </w:rPr>
        <w:t xml:space="preserve">śatṛ</w:t>
      </w:r>
      <w:r>
        <w:t xml:space="preserve"> </w:t>
      </w:r>
      <w:r>
        <w:t xml:space="preserve">is enjoined after the root</w:t>
      </w:r>
      <w:r>
        <w:t xml:space="preserve"> </w:t>
      </w:r>
      <w:r>
        <w:rPr>
          <w:iCs/>
          <w:i/>
        </w:rPr>
        <w:t xml:space="preserve">iṇ</w:t>
      </w:r>
      <w:r>
        <w:t xml:space="preserve">, so</w:t>
      </w:r>
      <w:r>
        <w:t xml:space="preserve"> </w:t>
      </w:r>
      <w:r>
        <w:rPr>
          <w:iCs/>
          <w:i/>
        </w:rPr>
        <w:t xml:space="preserve">yat</w:t>
      </w:r>
      <w:r>
        <w:t xml:space="preserve"> </w:t>
      </w:r>
      <w:r>
        <w:t xml:space="preserve">ends in</w:t>
      </w:r>
      <w:r>
        <w:t xml:space="preserve"> </w:t>
      </w:r>
      <w:r>
        <w:rPr>
          <w:iCs/>
          <w:i/>
        </w:rPr>
        <w:t xml:space="preserve">śatṛ</w:t>
      </w:r>
      <w:r>
        <w:t xml:space="preserve">, but</w:t>
      </w:r>
      <w:r>
        <w:t xml:space="preserve"> </w:t>
      </w:r>
      <w:r>
        <w:rPr>
          <w:iCs/>
          <w:i/>
        </w:rPr>
        <w:t xml:space="preserve">prayat</w:t>
      </w:r>
      <w:r>
        <w:t xml:space="preserve"> </w:t>
      </w:r>
      <w:r>
        <w:t xml:space="preserve">does not. So how does the ending get udātta? Thus:</w:t>
      </w:r>
      <w:r>
        <w:t xml:space="preserve"> </w:t>
      </w:r>
      <w:r>
        <w:rPr>
          <w:iCs/>
          <w:i/>
        </w:rPr>
        <w:t xml:space="preserve">śatṛ</w:t>
      </w:r>
      <w:r>
        <w:t xml:space="preserve"> </w:t>
      </w:r>
      <w:r>
        <w:t xml:space="preserve">is a</w:t>
      </w:r>
      <w:r>
        <w:t xml:space="preserve"> </w:t>
      </w:r>
      <w:r>
        <w:rPr>
          <w:iCs/>
          <w:i/>
        </w:rPr>
        <w:t xml:space="preserve">kṛt</w:t>
      </w:r>
      <w:r>
        <w:t xml:space="preserve"> </w:t>
      </w:r>
      <w:r>
        <w:t xml:space="preserve">suffix; so by</w:t>
      </w:r>
      <w:r>
        <w:t xml:space="preserve"> </w:t>
      </w:r>
      <w:r>
        <w:t xml:space="preserve">“</w:t>
      </w:r>
      <w:r>
        <w:t xml:space="preserve">kṛdgrahaṇe gatikārakapūrvasyāpi grahaṇam</w:t>
      </w:r>
      <w:r>
        <w:t xml:space="preserve">”</w:t>
      </w:r>
      <w:r>
        <w:t xml:space="preserve"> </w:t>
      </w:r>
      <w:r>
        <w:t xml:space="preserve">(paribhāṣā 28), where the</w:t>
      </w:r>
      <w:r>
        <w:t xml:space="preserve"> </w:t>
      </w:r>
      <w:r>
        <w:rPr>
          <w:iCs/>
          <w:i/>
        </w:rPr>
        <w:t xml:space="preserve">kṛt</w:t>
      </w:r>
      <w:r>
        <w:t xml:space="preserve"> </w:t>
      </w:r>
      <w:r>
        <w:t xml:space="preserve">is named with the property of being</w:t>
      </w:r>
      <w:r>
        <w:t xml:space="preserve"> </w:t>
      </w:r>
      <w:r>
        <w:rPr>
          <w:iCs/>
          <w:i/>
        </w:rPr>
        <w:t xml:space="preserve">kṛt</w:t>
      </w:r>
      <w:r>
        <w:t xml:space="preserve">, which pervades it, there forms with a</w:t>
      </w:r>
      <w:r>
        <w:t xml:space="preserve"> </w:t>
      </w:r>
      <w:r>
        <w:rPr>
          <w:iCs/>
          <w:i/>
        </w:rPr>
        <w:t xml:space="preserve">gati</w:t>
      </w:r>
      <w:r>
        <w:t xml:space="preserve"> </w:t>
      </w:r>
      <w:r>
        <w:t xml:space="preserve">or</w:t>
      </w:r>
      <w:r>
        <w:t xml:space="preserve"> </w:t>
      </w:r>
      <w:r>
        <w:rPr>
          <w:iCs/>
          <w:i/>
        </w:rPr>
        <w:t xml:space="preserve">kāraka</w:t>
      </w:r>
      <w:r>
        <w:t xml:space="preserve"> </w:t>
      </w:r>
      <w:r>
        <w:t xml:space="preserve">before them are taken too: so this paribhāṣā tells.</w:t>
      </w:r>
    </w:p>
    <w:bookmarkEnd w:id="744"/>
    <w:bookmarkStart w:id="745" w:name="page-686-rik-3-grammar-end"/>
    <w:p>
      <w:pPr>
        <w:pStyle w:val="Heading3"/>
      </w:pPr>
      <w:r>
        <w:t xml:space="preserve">Page 686 — Rik 3: grammar (end)</w:t>
      </w:r>
    </w:p>
    <w:p>
      <w:pPr>
        <w:pStyle w:val="FirstParagraph"/>
      </w:pPr>
      <w:r>
        <w:t xml:space="preserve">In</w:t>
      </w:r>
      <w:r>
        <w:t xml:space="preserve"> </w:t>
      </w:r>
      <w:r>
        <w:rPr>
          <w:iCs/>
          <w:i/>
        </w:rPr>
        <w:t xml:space="preserve">śatur anumaḥ</w:t>
      </w:r>
      <w:r>
        <w:t xml:space="preserve"> </w:t>
      </w:r>
      <w:r>
        <w:t xml:space="preserve">the</w:t>
      </w:r>
      <w:r>
        <w:t xml:space="preserve"> </w:t>
      </w:r>
      <w:r>
        <w:rPr>
          <w:iCs/>
          <w:i/>
        </w:rPr>
        <w:t xml:space="preserve">kṛt</w:t>
      </w:r>
      <w:r>
        <w:t xml:space="preserve"> </w:t>
      </w:r>
      <w:r>
        <w:t xml:space="preserve">is named with the property of being</w:t>
      </w:r>
      <w:r>
        <w:t xml:space="preserve"> </w:t>
      </w:r>
      <w:r>
        <w:rPr>
          <w:iCs/>
          <w:i/>
        </w:rPr>
        <w:t xml:space="preserve">śatṛ</w:t>
      </w:r>
      <w:r>
        <w:t xml:space="preserve">, which pervades the</w:t>
      </w:r>
      <w:r>
        <w:t xml:space="preserve"> </w:t>
      </w:r>
      <w:r>
        <w:rPr>
          <w:iCs/>
          <w:i/>
        </w:rPr>
        <w:t xml:space="preserve">kṛt</w:t>
      </w:r>
      <w:r>
        <w:t xml:space="preserve">. So here forms with</w:t>
      </w:r>
      <w:r>
        <w:t xml:space="preserve"> </w:t>
      </w:r>
      <w:r>
        <w:rPr>
          <w:iCs/>
          <w:i/>
        </w:rPr>
        <w:t xml:space="preserve">gati</w:t>
      </w:r>
      <w:r>
        <w:t xml:space="preserve"> </w:t>
      </w:r>
      <w:r>
        <w:t xml:space="preserve">and</w:t>
      </w:r>
      <w:r>
        <w:t xml:space="preserve"> </w:t>
      </w:r>
      <w:r>
        <w:rPr>
          <w:iCs/>
          <w:i/>
        </w:rPr>
        <w:t xml:space="preserve">kāraka</w:t>
      </w:r>
      <w:r>
        <w:t xml:space="preserve"> </w:t>
      </w:r>
      <w:r>
        <w:t xml:space="preserve">before them are taken too; that is, the paribhāṣā on naming a suffix does not apply in the case of</w:t>
      </w:r>
      <w:r>
        <w:t xml:space="preserve"> </w:t>
      </w:r>
      <w:r>
        <w:rPr>
          <w:iCs/>
          <w:i/>
        </w:rPr>
        <w:t xml:space="preserve">gati</w:t>
      </w:r>
      <w:r>
        <w:t xml:space="preserve"> </w:t>
      </w:r>
      <w:r>
        <w:t xml:space="preserve">and</w:t>
      </w:r>
      <w:r>
        <w:t xml:space="preserve"> </w:t>
      </w:r>
      <w:r>
        <w:rPr>
          <w:iCs/>
          <w:i/>
        </w:rPr>
        <w:t xml:space="preserve">kāraka</w:t>
      </w:r>
      <w:r>
        <w:t xml:space="preserve">. So</w:t>
      </w:r>
      <w:r>
        <w:t xml:space="preserve"> </w:t>
      </w:r>
      <w:r>
        <w:t xml:space="preserve">“</w:t>
      </w:r>
      <w:r>
        <w:t xml:space="preserve">ending in the</w:t>
      </w:r>
      <w:r>
        <w:t xml:space="preserve"> </w:t>
      </w:r>
      <w:r>
        <w:rPr>
          <w:iCs/>
          <w:i/>
        </w:rPr>
        <w:t xml:space="preserve">śatṛ</w:t>
      </w:r>
      <w:r>
        <w:t xml:space="preserve"> </w:t>
      </w:r>
      <w:r>
        <w:t xml:space="preserve">suffix</w:t>
      </w:r>
      <w:r>
        <w:t xml:space="preserve">”</w:t>
      </w:r>
      <w:r>
        <w:t xml:space="preserve"> </w:t>
      </w:r>
      <w:r>
        <w:t xml:space="preserve">means only</w:t>
      </w:r>
      <w:r>
        <w:t xml:space="preserve"> </w:t>
      </w:r>
      <w:r>
        <w:t xml:space="preserve">“</w:t>
      </w:r>
      <w:r>
        <w:t xml:space="preserve">having the</w:t>
      </w:r>
      <w:r>
        <w:t xml:space="preserve"> </w:t>
      </w:r>
      <w:r>
        <w:rPr>
          <w:iCs/>
          <w:i/>
        </w:rPr>
        <w:t xml:space="preserve">śatṛ</w:t>
      </w:r>
      <w:r>
        <w:t xml:space="preserve"> </w:t>
      </w:r>
      <w:r>
        <w:t xml:space="preserve">suffix as its last member</w:t>
      </w:r>
      <w:r>
        <w:t xml:space="preserve">”</w:t>
      </w:r>
      <w:r>
        <w:t xml:space="preserve">.</w:t>
      </w:r>
      <w:r>
        <w:t xml:space="preserve"> </w:t>
      </w:r>
      <w:r>
        <w:rPr>
          <w:iCs/>
          <w:i/>
        </w:rPr>
        <w:t xml:space="preserve">Prayat</w:t>
      </w:r>
      <w:r>
        <w:t xml:space="preserve"> </w:t>
      </w:r>
      <w:r>
        <w:t xml:space="preserve">too has the</w:t>
      </w:r>
      <w:r>
        <w:t xml:space="preserve"> </w:t>
      </w:r>
      <w:r>
        <w:rPr>
          <w:iCs/>
          <w:i/>
        </w:rPr>
        <w:t xml:space="preserve">śatṛ</w:t>
      </w:r>
      <w:r>
        <w:t xml:space="preserve"> </w:t>
      </w:r>
      <w:r>
        <w:t xml:space="preserve">suffix as its last member, so it ends in the</w:t>
      </w:r>
      <w:r>
        <w:t xml:space="preserve"> </w:t>
      </w:r>
      <w:r>
        <w:rPr>
          <w:iCs/>
          <w:i/>
        </w:rPr>
        <w:t xml:space="preserve">śatṛ</w:t>
      </w:r>
      <w:r>
        <w:t xml:space="preserve"> </w:t>
      </w:r>
      <w:r>
        <w:t xml:space="preserve">suffix. So by</w:t>
      </w:r>
      <w:r>
        <w:t xml:space="preserve"> </w:t>
      </w:r>
      <w:r>
        <w:rPr>
          <w:iCs/>
          <w:i/>
        </w:rPr>
        <w:t xml:space="preserve">śatur anumaḥ</w:t>
      </w:r>
      <w:r>
        <w:t xml:space="preserve"> </w:t>
      </w:r>
      <w:r>
        <w:t xml:space="preserve">the ending after it becomes udātta.</w:t>
      </w:r>
      <w:r>
        <w:t xml:space="preserve"> </w:t>
      </w:r>
      <w:r>
        <w:rPr>
          <w:iCs/>
          <w:i/>
        </w:rPr>
        <w:t xml:space="preserve">Yat</w:t>
      </w:r>
      <w:r>
        <w:t xml:space="preserve"> </w:t>
      </w:r>
      <w:r>
        <w:t xml:space="preserve">ends in</w:t>
      </w:r>
      <w:r>
        <w:t xml:space="preserve"> </w:t>
      </w:r>
      <w:r>
        <w:rPr>
          <w:iCs/>
          <w:i/>
        </w:rPr>
        <w:t xml:space="preserve">śatṛ</w:t>
      </w:r>
      <w:r>
        <w:t xml:space="preserve">, so, even without the use of the</w:t>
      </w:r>
      <w:r>
        <w:t xml:space="preserve"> </w:t>
      </w:r>
      <w:r>
        <w:rPr>
          <w:iCs/>
          <w:i/>
        </w:rPr>
        <w:t xml:space="preserve">kṛt</w:t>
      </w:r>
      <w:r>
        <w:t xml:space="preserve">-naming paribhāṣā, there is no obstacle to the ending after it being udātta. But it should be understood that the sense set out here is the reasonable one.</w:t>
      </w:r>
    </w:p>
    <w:p>
      <w:pPr>
        <w:pStyle w:val="BodyText"/>
      </w:pPr>
      <w:r>
        <w:rPr>
          <w:bCs/>
          <w:b/>
        </w:rPr>
        <w:t xml:space="preserve">अध्वरे (</w:t>
      </w:r>
      <w:r>
        <w:rPr>
          <w:iCs/>
          <w:i/>
          <w:bCs/>
          <w:b/>
        </w:rPr>
        <w:t xml:space="preserve">adhvare</w:t>
      </w:r>
      <w:r>
        <w:rPr>
          <w:bCs/>
          <w:b/>
        </w:rPr>
        <w:t xml:space="preserve">)</w:t>
      </w:r>
      <w:r>
        <w:t xml:space="preserve">: its derivation is given at</w:t>
      </w:r>
      <w:r>
        <w:t xml:space="preserve"> </w:t>
      </w:r>
      <w:r>
        <w:rPr>
          <w:iCs/>
          <w:i/>
        </w:rPr>
        <w:t xml:space="preserve">draviṇodāḥ</w:t>
      </w:r>
      <w:r>
        <w:t xml:space="preserve"> </w:t>
      </w:r>
      <w:r>
        <w:t xml:space="preserve">(Ṛ. Saṃ. 1-15-7). In</w:t>
      </w:r>
      <w:r>
        <w:t xml:space="preserve"> </w:t>
      </w:r>
      <w:r>
        <w:rPr>
          <w:iCs/>
          <w:i/>
        </w:rPr>
        <w:t xml:space="preserve">prayati</w:t>
      </w:r>
      <w:r>
        <w:t xml:space="preserve"> </w:t>
      </w:r>
      <w:r>
        <w:t xml:space="preserve">+</w:t>
      </w:r>
      <w:r>
        <w:t xml:space="preserve"> </w:t>
      </w:r>
      <w:r>
        <w:rPr>
          <w:iCs/>
          <w:i/>
        </w:rPr>
        <w:t xml:space="preserve">adhvare</w:t>
      </w:r>
      <w:r>
        <w:t xml:space="preserve">, in the Saṃhitā, by</w:t>
      </w:r>
      <w:r>
        <w:t xml:space="preserve"> </w:t>
      </w:r>
      <w:r>
        <w:t xml:space="preserve">“</w:t>
      </w:r>
      <w:r>
        <w:t xml:space="preserve">iko yaṇ aci</w:t>
      </w:r>
      <w:r>
        <w:t xml:space="preserve">”</w:t>
      </w:r>
      <w:r>
        <w:t xml:space="preserve"> </w:t>
      </w:r>
      <w:r>
        <w:t xml:space="preserve">(Pā. sū. 6-1-77), with the unaccented</w:t>
      </w:r>
      <w:r>
        <w:t xml:space="preserve"> </w:t>
      </w:r>
      <w:r>
        <w:rPr>
          <w:iCs/>
          <w:i/>
        </w:rPr>
        <w:t xml:space="preserve">a</w:t>
      </w:r>
      <w:r>
        <w:t xml:space="preserve"> </w:t>
      </w:r>
      <w:r>
        <w:t xml:space="preserve">after the udātta</w:t>
      </w:r>
      <w:r>
        <w:t xml:space="preserve"> </w:t>
      </w:r>
      <w:r>
        <w:rPr>
          <w:iCs/>
          <w:i/>
        </w:rPr>
        <w:t xml:space="preserve">i</w:t>
      </w:r>
      <w:r>
        <w:t xml:space="preserve"> </w:t>
      </w:r>
      <w:r>
        <w:t xml:space="preserve">as cause,</w:t>
      </w:r>
      <w:r>
        <w:t xml:space="preserve"> </w:t>
      </w:r>
      <w:r>
        <w:rPr>
          <w:iCs/>
          <w:i/>
        </w:rPr>
        <w:t xml:space="preserve">yaṇ</w:t>
      </w:r>
      <w:r>
        <w:t xml:space="preserve"> </w:t>
      </w:r>
      <w:r>
        <w:t xml:space="preserve">comes:</w:t>
      </w:r>
      <w:r>
        <w:t xml:space="preserve"> </w:t>
      </w:r>
      <w:r>
        <w:rPr>
          <w:iCs/>
          <w:i/>
        </w:rPr>
        <w:t xml:space="preserve">prayatyadhvare</w:t>
      </w:r>
      <w:r>
        <w:t xml:space="preserve">. Now by</w:t>
      </w:r>
      <w:r>
        <w:t xml:space="preserve"> </w:t>
      </w:r>
      <w:r>
        <w:t xml:space="preserve">“</w:t>
      </w:r>
      <w:r>
        <w:t xml:space="preserve">udāttasvaritayor yaṇaḥ svarito ’nudāttasya</w:t>
      </w:r>
      <w:r>
        <w:t xml:space="preserve">”</w:t>
      </w:r>
      <w:r>
        <w:t xml:space="preserve"> </w:t>
      </w:r>
      <w:r>
        <w:t xml:space="preserve">(Pā. sū. 8-2-4) the</w:t>
      </w:r>
      <w:r>
        <w:t xml:space="preserve"> </w:t>
      </w:r>
      <w:r>
        <w:rPr>
          <w:iCs/>
          <w:i/>
        </w:rPr>
        <w:t xml:space="preserve">a</w:t>
      </w:r>
      <w:r>
        <w:t xml:space="preserve"> </w:t>
      </w:r>
      <w:r>
        <w:t xml:space="preserve">after the</w:t>
      </w:r>
      <w:r>
        <w:t xml:space="preserve"> </w:t>
      </w:r>
      <w:r>
        <w:rPr>
          <w:iCs/>
          <w:i/>
        </w:rPr>
        <w:t xml:space="preserve">y</w:t>
      </w:r>
      <w:r>
        <w:t xml:space="preserve"> </w:t>
      </w:r>
      <w:r>
        <w:t xml:space="preserve">becomes svarita.</w:t>
      </w:r>
    </w:p>
    <w:p>
      <w:pPr>
        <w:pStyle w:val="BodyText"/>
      </w:pPr>
      <w:r>
        <w:rPr>
          <w:bCs/>
          <w:b/>
        </w:rPr>
        <w:t xml:space="preserve">पीतये (</w:t>
      </w:r>
      <w:r>
        <w:rPr>
          <w:iCs/>
          <w:i/>
          <w:bCs/>
          <w:b/>
        </w:rPr>
        <w:t xml:space="preserve">pītaye</w:t>
      </w:r>
      <w:r>
        <w:rPr>
          <w:bCs/>
          <w:b/>
        </w:rPr>
        <w:t xml:space="preserve">)</w:t>
      </w:r>
      <w:r>
        <w:t xml:space="preserve">: the root</w:t>
      </w:r>
      <w:r>
        <w:t xml:space="preserve"> </w:t>
      </w:r>
      <w:r>
        <w:rPr>
          <w:iCs/>
          <w:i/>
        </w:rPr>
        <w:t xml:space="preserve">pā pāne</w:t>
      </w:r>
      <w:r>
        <w:t xml:space="preserve">; by</w:t>
      </w:r>
      <w:r>
        <w:t xml:space="preserve"> </w:t>
      </w:r>
      <w:r>
        <w:t xml:space="preserve">“</w:t>
      </w:r>
      <w:r>
        <w:t xml:space="preserve">striyāṃ ktin</w:t>
      </w:r>
      <w:r>
        <w:t xml:space="preserve">”</w:t>
      </w:r>
      <w:r>
        <w:t xml:space="preserve"> </w:t>
      </w:r>
      <w:r>
        <w:t xml:space="preserve">(Pā. sū. 3-3-94) the suffix</w:t>
      </w:r>
      <w:r>
        <w:t xml:space="preserve"> </w:t>
      </w:r>
      <w:r>
        <w:rPr>
          <w:iCs/>
          <w:i/>
        </w:rPr>
        <w:t xml:space="preserve">ktin</w:t>
      </w:r>
      <w:r>
        <w:t xml:space="preserve">:</w:t>
      </w:r>
      <w:r>
        <w:t xml:space="preserve"> </w:t>
      </w:r>
      <w:r>
        <w:rPr>
          <w:iCs/>
          <w:i/>
        </w:rPr>
        <w:t xml:space="preserve">pā</w:t>
      </w:r>
      <w:r>
        <w:t xml:space="preserve"> </w:t>
      </w:r>
      <w:r>
        <w:t xml:space="preserve">+</w:t>
      </w:r>
      <w:r>
        <w:t xml:space="preserve"> </w:t>
      </w:r>
      <w:r>
        <w:rPr>
          <w:iCs/>
          <w:i/>
        </w:rPr>
        <w:t xml:space="preserve">ti</w:t>
      </w:r>
      <w:r>
        <w:t xml:space="preserve">; by</w:t>
      </w:r>
      <w:r>
        <w:t xml:space="preserve"> </w:t>
      </w:r>
      <w:r>
        <w:t xml:space="preserve">“</w:t>
      </w:r>
      <w:r>
        <w:t xml:space="preserve">ghumāsthāgāpājahātisāṃ hali</w:t>
      </w:r>
      <w:r>
        <w:t xml:space="preserve">”</w:t>
      </w:r>
      <w:r>
        <w:t xml:space="preserve"> </w:t>
      </w:r>
      <w:r>
        <w:t xml:space="preserve">(Pā. sū. 6-4-66)</w:t>
      </w:r>
      <w:r>
        <w:t xml:space="preserve"> </w:t>
      </w:r>
      <w:r>
        <w:rPr>
          <w:iCs/>
          <w:i/>
        </w:rPr>
        <w:t xml:space="preserve">ī</w:t>
      </w:r>
      <w:r>
        <w:t xml:space="preserve"> </w:t>
      </w:r>
      <w:r>
        <w:t xml:space="preserve">for the</w:t>
      </w:r>
      <w:r>
        <w:t xml:space="preserve"> </w:t>
      </w:r>
      <w:r>
        <w:rPr>
          <w:iCs/>
          <w:i/>
        </w:rPr>
        <w:t xml:space="preserve">ā</w:t>
      </w:r>
      <w:r>
        <w:t xml:space="preserve">:</w:t>
      </w:r>
      <w:r>
        <w:t xml:space="preserve"> </w:t>
      </w:r>
      <w:r>
        <w:rPr>
          <w:iCs/>
          <w:i/>
        </w:rPr>
        <w:t xml:space="preserve">pīti</w:t>
      </w:r>
      <w:r>
        <w:t xml:space="preserve">. The suffix being</w:t>
      </w:r>
      <w:r>
        <w:t xml:space="preserve"> </w:t>
      </w:r>
      <w:r>
        <w:rPr>
          <w:iCs/>
          <w:i/>
        </w:rPr>
        <w:t xml:space="preserve">nit</w:t>
      </w:r>
      <w:r>
        <w:t xml:space="preserve">, initial udātta would come by</w:t>
      </w:r>
      <w:r>
        <w:t xml:space="preserve"> </w:t>
      </w:r>
      <w:r>
        <w:t xml:space="preserve">“</w:t>
      </w:r>
      <w:r>
        <w:t xml:space="preserve">ñnityādir nityam</w:t>
      </w:r>
      <w:r>
        <w:t xml:space="preserve">”</w:t>
      </w:r>
      <w:r>
        <w:t xml:space="preserve"> </w:t>
      </w:r>
      <w:r>
        <w:t xml:space="preserve">(Pā. sū. 6-1-197); but as a Vedic form it is final udātta. After it the dative singular</w:t>
      </w:r>
      <w:r>
        <w:t xml:space="preserve"> </w:t>
      </w:r>
      <w:r>
        <w:rPr>
          <w:iCs/>
          <w:i/>
        </w:rPr>
        <w:t xml:space="preserve">ṅe</w:t>
      </w:r>
      <w:r>
        <w:t xml:space="preserve">:</w:t>
      </w:r>
      <w:r>
        <w:t xml:space="preserve"> </w:t>
      </w:r>
      <w:r>
        <w:rPr>
          <w:iCs/>
          <w:i/>
        </w:rPr>
        <w:t xml:space="preserve">pīti</w:t>
      </w:r>
      <w:r>
        <w:t xml:space="preserve"> </w:t>
      </w:r>
      <w:r>
        <w:t xml:space="preserve">+</w:t>
      </w:r>
      <w:r>
        <w:t xml:space="preserve"> </w:t>
      </w:r>
      <w:r>
        <w:rPr>
          <w:iCs/>
          <w:i/>
        </w:rPr>
        <w:t xml:space="preserve">e</w:t>
      </w:r>
      <w:r>
        <w:t xml:space="preserve">. By</w:t>
      </w:r>
      <w:r>
        <w:t xml:space="preserve"> </w:t>
      </w:r>
      <w:r>
        <w:t xml:space="preserve">“</w:t>
      </w:r>
      <w:r>
        <w:t xml:space="preserve">ṅiti hrasvaś ca</w:t>
      </w:r>
      <w:r>
        <w:t xml:space="preserve">”</w:t>
      </w:r>
      <w:r>
        <w:t xml:space="preserve"> </w:t>
      </w:r>
      <w:r>
        <w:t xml:space="preserve">(Pā. sū. 1-4-6), before a</w:t>
      </w:r>
      <w:r>
        <w:t xml:space="preserve"> </w:t>
      </w:r>
      <w:r>
        <w:rPr>
          <w:iCs/>
          <w:i/>
        </w:rPr>
        <w:t xml:space="preserve">ṅit</w:t>
      </w:r>
      <w:r>
        <w:t xml:space="preserve"> </w:t>
      </w:r>
      <w:r>
        <w:t xml:space="preserve">suffix, the</w:t>
      </w:r>
      <w:r>
        <w:t xml:space="preserve"> </w:t>
      </w:r>
      <w:r>
        <w:rPr>
          <w:iCs/>
          <w:i/>
        </w:rPr>
        <w:t xml:space="preserve">ī</w:t>
      </w:r>
      <w:r>
        <w:t xml:space="preserve">/</w:t>
      </w:r>
      <w:r>
        <w:rPr>
          <w:iCs/>
          <w:i/>
        </w:rPr>
        <w:t xml:space="preserve">ū</w:t>
      </w:r>
      <w:r>
        <w:t xml:space="preserve">-final words that are fit for</w:t>
      </w:r>
      <w:r>
        <w:t xml:space="preserve"> </w:t>
      </w:r>
      <w:r>
        <w:rPr>
          <w:iCs/>
          <w:i/>
        </w:rPr>
        <w:t xml:space="preserve">iyaṅ</w:t>
      </w:r>
      <w:r>
        <w:t xml:space="preserve">/</w:t>
      </w:r>
      <w:r>
        <w:rPr>
          <w:iCs/>
          <w:i/>
        </w:rPr>
        <w:t xml:space="preserve">uvaṅ</w:t>
      </w:r>
      <w:r>
        <w:t xml:space="preserve">, other than</w:t>
      </w:r>
      <w:r>
        <w:t xml:space="preserve"> </w:t>
      </w:r>
      <w:r>
        <w:rPr>
          <w:iCs/>
          <w:i/>
        </w:rPr>
        <w:t xml:space="preserve">strī</w:t>
      </w:r>
      <w:r>
        <w:t xml:space="preserve">, that always denote the feminine, and the short</w:t>
      </w:r>
      <w:r>
        <w:t xml:space="preserve"> </w:t>
      </w:r>
      <w:r>
        <w:rPr>
          <w:iCs/>
          <w:i/>
        </w:rPr>
        <w:t xml:space="preserve">i</w:t>
      </w:r>
      <w:r>
        <w:t xml:space="preserve">/</w:t>
      </w:r>
      <w:r>
        <w:rPr>
          <w:iCs/>
          <w:i/>
        </w:rPr>
        <w:t xml:space="preserve">u</w:t>
      </w:r>
      <w:r>
        <w:t xml:space="preserve">-final words denoting the feminine, are optionally called</w:t>
      </w:r>
      <w:r>
        <w:t xml:space="preserve"> </w:t>
      </w:r>
      <w:r>
        <w:rPr>
          <w:iCs/>
          <w:i/>
        </w:rPr>
        <w:t xml:space="preserve">nadī</w:t>
      </w:r>
      <w:r>
        <w:t xml:space="preserve">; since the</w:t>
      </w:r>
      <w:r>
        <w:t xml:space="preserve"> </w:t>
      </w:r>
      <w:r>
        <w:rPr>
          <w:iCs/>
          <w:i/>
        </w:rPr>
        <w:t xml:space="preserve">nadī</w:t>
      </w:r>
      <w:r>
        <w:t xml:space="preserve"> </w:t>
      </w:r>
      <w:r>
        <w:t xml:space="preserve">name is optional, on the view where it does not come, by</w:t>
      </w:r>
      <w:r>
        <w:t xml:space="preserve"> </w:t>
      </w:r>
      <w:r>
        <w:t xml:space="preserve">“</w:t>
      </w:r>
      <w:r>
        <w:t xml:space="preserve">śeṣo ghy asakhi</w:t>
      </w:r>
      <w:r>
        <w:t xml:space="preserve">”</w:t>
      </w:r>
      <w:r>
        <w:t xml:space="preserve"> </w:t>
      </w:r>
      <w:r>
        <w:t xml:space="preserve">(Pā. sū. 1-4-7) the</w:t>
      </w:r>
      <w:r>
        <w:t xml:space="preserve"> </w:t>
      </w:r>
      <w:r>
        <w:rPr>
          <w:iCs/>
          <w:i/>
        </w:rPr>
        <w:t xml:space="preserve">ghi</w:t>
      </w:r>
      <w:r>
        <w:t xml:space="preserve"> </w:t>
      </w:r>
      <w:r>
        <w:t xml:space="preserve">name comes. By</w:t>
      </w:r>
      <w:r>
        <w:t xml:space="preserve"> </w:t>
      </w:r>
      <w:r>
        <w:t xml:space="preserve">“</w:t>
      </w:r>
      <w:r>
        <w:t xml:space="preserve">gher ṅiti</w:t>
      </w:r>
      <w:r>
        <w:t xml:space="preserve">”</w:t>
      </w:r>
      <w:r>
        <w:t xml:space="preserve"> </w:t>
      </w:r>
      <w:r>
        <w:t xml:space="preserve">(Pā. sū.</w:t>
      </w:r>
      <w:r>
        <w:t xml:space="preserve"> </w:t>
      </w:r>
      <w:r>
        <w:t xml:space="preserve">“</w:t>
      </w:r>
      <w:r>
        <w:t xml:space="preserve">1-3-111</w:t>
      </w:r>
      <w:r>
        <w:t xml:space="preserve">”</w:t>
      </w:r>
      <w:r>
        <w:t xml:space="preserve"> </w:t>
      </w:r>
      <w:r>
        <w:t xml:space="preserve">[as printed, for 7-3-111])</w:t>
      </w:r>
      <w:r>
        <w:t xml:space="preserve"> </w:t>
      </w:r>
      <w:r>
        <w:rPr>
          <w:iCs/>
          <w:i/>
        </w:rPr>
        <w:t xml:space="preserve">guṇa</w:t>
      </w:r>
      <w:r>
        <w:t xml:space="preserve">,</w:t>
      </w:r>
      <w:r>
        <w:t xml:space="preserve"> </w:t>
      </w:r>
      <w:r>
        <w:rPr>
          <w:iCs/>
          <w:i/>
        </w:rPr>
        <w:t xml:space="preserve">e</w:t>
      </w:r>
      <w:r>
        <w:t xml:space="preserve"> </w:t>
      </w:r>
      <w:r>
        <w:t xml:space="preserve">for the</w:t>
      </w:r>
      <w:r>
        <w:t xml:space="preserve"> </w:t>
      </w:r>
      <w:r>
        <w:rPr>
          <w:iCs/>
          <w:i/>
        </w:rPr>
        <w:t xml:space="preserve">i</w:t>
      </w:r>
      <w:r>
        <w:t xml:space="preserve">:</w:t>
      </w:r>
      <w:r>
        <w:t xml:space="preserve"> </w:t>
      </w:r>
      <w:r>
        <w:rPr>
          <w:iCs/>
          <w:i/>
        </w:rPr>
        <w:t xml:space="preserve">pīte</w:t>
      </w:r>
      <w:r>
        <w:t xml:space="preserve"> </w:t>
      </w:r>
      <w:r>
        <w:t xml:space="preserve">+</w:t>
      </w:r>
      <w:r>
        <w:t xml:space="preserve"> </w:t>
      </w:r>
      <w:r>
        <w:rPr>
          <w:iCs/>
          <w:i/>
        </w:rPr>
        <w:t xml:space="preserve">e</w:t>
      </w:r>
      <w:r>
        <w:t xml:space="preserve">; by</w:t>
      </w:r>
      <w:r>
        <w:t xml:space="preserve"> </w:t>
      </w:r>
      <w:r>
        <w:t xml:space="preserve">“</w:t>
      </w:r>
      <w:r>
        <w:t xml:space="preserve">eco ’yavāyāvaḥ</w:t>
      </w:r>
      <w:r>
        <w:t xml:space="preserve">”</w:t>
      </w:r>
      <w:r>
        <w:t xml:space="preserve"> </w:t>
      </w:r>
      <w:r>
        <w:t xml:space="preserve">(Pā. sū. 6-1-78)</w:t>
      </w:r>
      <w:r>
        <w:t xml:space="preserve"> </w:t>
      </w:r>
      <w:r>
        <w:rPr>
          <w:iCs/>
          <w:i/>
        </w:rPr>
        <w:t xml:space="preserve">ay</w:t>
      </w:r>
      <w:r>
        <w:t xml:space="preserve">:</w:t>
      </w:r>
      <w:r>
        <w:t xml:space="preserve"> </w:t>
      </w:r>
      <w:r>
        <w:rPr>
          <w:iCs/>
          <w:i/>
        </w:rPr>
        <w:t xml:space="preserve">pītaye</w:t>
      </w:r>
      <w:r>
        <w:t xml:space="preserve">.</w:t>
      </w:r>
    </w:p>
    <w:p>
      <w:pPr>
        <w:pStyle w:val="BodyText"/>
      </w:pPr>
      <w:r>
        <w:rPr>
          <w:bCs/>
          <w:b/>
        </w:rPr>
        <w:t xml:space="preserve">॥३॥</w:t>
      </w:r>
    </w:p>
    <w:p>
      <w:r>
        <w:pict>
          <v:rect style="width:0;height:1.5pt" o:hralign="center" o:hrstd="t" o:hr="t"/>
        </w:pict>
      </w:r>
    </w:p>
    <w:bookmarkEnd w:id="745"/>
    <w:bookmarkStart w:id="746" w:name="page-686-lower-sūkta-16-rik-4"/>
    <w:p>
      <w:pPr>
        <w:pStyle w:val="Heading3"/>
      </w:pPr>
      <w:r>
        <w:t xml:space="preserve">Page 686 (lower) — Sūkta 16, Rik 4</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उप॑ नः सु॒तमा ग॑हि॒ हरि॑भिरिन्द्र के॒शिभिः॑ । [accent ?]</w:t>
      </w:r>
      <w:r>
        <w:t xml:space="preserve"> </w:t>
      </w:r>
      <w:r>
        <w:t xml:space="preserve">सु॒ते हि त्वा॒ हवा॑महे ॥४॥ [accent ?]</w:t>
      </w:r>
    </w:p>
    <w:p>
      <w:pPr>
        <w:pStyle w:val="BlockText"/>
      </w:pPr>
      <w:r>
        <w:rPr>
          <w:iCs/>
          <w:i/>
        </w:rPr>
        <w:t xml:space="preserve">úpa naḥ sutám ā́ gahi háribhir indra keśíbhiḥ |</w:t>
      </w:r>
      <w:r>
        <w:t xml:space="preserve"> </w:t>
      </w:r>
      <w:r>
        <w:t xml:space="preserve">[accent ?]</w:t>
      </w:r>
      <w:r>
        <w:t xml:space="preserve"> </w:t>
      </w:r>
      <w:r>
        <w:rPr>
          <w:iCs/>
          <w:i/>
        </w:rPr>
        <w:t xml:space="preserve">suté hi tvā hávāmahe ||4||</w:t>
      </w:r>
      <w:r>
        <w:t xml:space="preserve"> </w:t>
      </w:r>
      <w:r>
        <w:t xml:space="preserve">[accent ?]</w:t>
      </w:r>
    </w:p>
    <w:p>
      <w:pPr>
        <w:pStyle w:val="FirstParagraph"/>
      </w:pPr>
      <w:r>
        <w:rPr>
          <w:iCs/>
          <w:i/>
        </w:rPr>
        <w:t xml:space="preserve">(Read at the foot of p. 686: strokes over प, ग, रि and शि; bars under सु, हि, के and in line 2 under सु and त्वा; not all positions certain.)</w:t>
      </w:r>
    </w:p>
    <w:bookmarkEnd w:id="746"/>
    <w:bookmarkStart w:id="747" w:name="X2bacec8c9e1d8b2c45e264390a2b46191bed12e"/>
    <w:p>
      <w:pPr>
        <w:pStyle w:val="Heading3"/>
      </w:pPr>
      <w:r>
        <w:t xml:space="preserve">Page 687 — Rik 4: Pada, bhāṣya, word-meanings, overall sense, English</w:t>
      </w:r>
    </w:p>
    <w:p>
      <w:pPr>
        <w:pStyle w:val="FirstParagraph"/>
      </w:pPr>
      <w:r>
        <w:rPr>
          <w:bCs/>
          <w:b/>
        </w:rPr>
        <w:t xml:space="preserve">॥ Pada-pāṭhaḥ ॥</w:t>
      </w:r>
    </w:p>
    <w:p>
      <w:pPr>
        <w:pStyle w:val="BlockText"/>
      </w:pPr>
      <w:r>
        <w:t xml:space="preserve">उप । नः । सुतम् । आ । गहि । हरिऽभिः । इन्द्र । केशिऽभिः ॥</w:t>
      </w:r>
      <w:r>
        <w:t xml:space="preserve"> </w:t>
      </w:r>
      <w:r>
        <w:t xml:space="preserve">सुते । हि । त्वा । हवामहे ॥४॥</w:t>
      </w:r>
    </w:p>
    <w:p>
      <w:pPr>
        <w:pStyle w:val="BlockText"/>
      </w:pPr>
      <w:r>
        <w:rPr>
          <w:iCs/>
          <w:i/>
        </w:rPr>
        <w:t xml:space="preserve">upa | naḥ | sutam | ā | gahi | hari ’bhiḥ | indra | keśi ’bhiḥ ||</w:t>
      </w:r>
      <w:r>
        <w:t xml:space="preserve"> </w:t>
      </w:r>
      <w:r>
        <w:rPr>
          <w:iCs/>
          <w:i/>
        </w:rPr>
        <w:t xml:space="preserve">sute | hi | tvā | havāmahe ||4||</w:t>
      </w:r>
    </w:p>
    <w:p>
      <w:pPr>
        <w:pStyle w:val="FirstParagraph"/>
      </w:pPr>
      <w:r>
        <w:rPr>
          <w:bCs/>
          <w:b/>
        </w:rPr>
        <w:t xml:space="preserve">॥ Sāyaṇa-bhāṣyam ॥</w:t>
      </w:r>
    </w:p>
    <w:p>
      <w:pPr>
        <w:pStyle w:val="BlockText"/>
      </w:pPr>
      <w:r>
        <w:t xml:space="preserve">हे इन्द्र केशिभिः केसरयुक्तैर्हरिभिरश्वैस्त्वं नो ऽस्मदीयं सुतमभिषुतं सोमं प्रत्युप समीप आ गहि । आगच्छ । सुते ऽभिषुते सोमे निमित्तभूते सति यस्मात्कारणात्त्वा हवामहे त्वामाह्वयामः । तस्मादागच्छेति पूर्वत्रान्वयः ॥ गहि । गमेर्लोटः सेर्हिः । शप इत्यनुवृत्तौ बहुलं छन्दसीति शपो लुक् । इषुगमियमां छः । पा. ७-३-७७ । इति छत्वं न भवति । न लुमताङ्गस्येति प्रतिषेधात् । अनुदात्तोपदेशेत्यादिनानुनासिकलोपः । तस्यासिद्धवदत्राभात् । पा. ६-४-२२ । इत्यसिद्धत्वादतो हेरिति हेर्लुग्न भवति । केशिभिः । क्लिशेरन् लो लोपश्च । उ. ५-३३ । इत्यन् । मत्वर्थीय इनिः । प्रत्ययस्वरः । हवामहे । ह्व इत्यनुवृत्तौ बहुलं छन्दसीति सम्प्रसारणं । शपः पित्त्वादनुदात्तत्वं । तिङश्च लसार्वधातुकस्वरेण धातुस्वर एव । तिङ्ङतिङ इति न निघातो हि चेति प्रतिषेधात् ॥</w:t>
      </w:r>
    </w:p>
    <w:p>
      <w:pPr>
        <w:pStyle w:val="BlockText"/>
      </w:pPr>
      <w:r>
        <w:rPr>
          <w:iCs/>
          <w:i/>
        </w:rPr>
        <w:t xml:space="preserve">he indra keśibhiḥ kesarayuktairharibhiraśvaistvaṃ no ’smadīyaṃ sutamabhiṣutaṃ somaṃ pratyupa samīpa ā gahi | āgaccha | sute ’bhiṣute some nimittabhūte sati yasmātkāraṇāttvā havāmahe tvāmāhvayāmaḥ | tasmādāgaccheti pūrvatrānvayaḥ || gahi | gamerloṭaḥ serhiḥ | śapa ityanuvṛttau bahulaṃ chandasīti śapo luk | iṣugamiyamāṃ chaḥ | pā. 7-3-77 | iti chatvaṃ na bhavati | na lumatāṅgasyeti pratiṣedhāt | anudāttopadeśetyādinānunāsikalopaḥ | tasyāsiddhavadatrābhāt | pā. 6-4-22 | ityasiddhatvādato heriti herlugna bhavati | keśibhiḥ | kliśeran lo lopaśca | u. 5-33 | ityan | matvarthīya iniḥ | pratyayasvaraḥ | havāmahe | hva ityanuvṛttau bahulaṃ chandasīti samprasāraṇaṃ | śapaḥ pittvādanudāttatvaṃ | tiṅaśca lasārvadhātukasvareṇa dhātusvara eva | tiṅṅatiṅa iti na nighāto hi ceti pratiṣedhāt ||</w:t>
      </w:r>
    </w:p>
    <w:p>
      <w:pPr>
        <w:pStyle w:val="FirstParagraph"/>
      </w:pPr>
      <w:r>
        <w:rPr>
          <w:bCs/>
          <w:b/>
        </w:rPr>
        <w:t xml:space="preserve">Translation:</w:t>
      </w:r>
      <w:r>
        <w:t xml:space="preserve"> </w:t>
      </w:r>
      <w:r>
        <w:t xml:space="preserve">“</w:t>
      </w:r>
      <w:r>
        <w:t xml:space="preserve">O Indra, with your</w:t>
      </w:r>
      <w:r>
        <w:t xml:space="preserve"> </w:t>
      </w:r>
      <w:r>
        <w:rPr>
          <w:iCs/>
          <w:i/>
        </w:rPr>
        <w:t xml:space="preserve">keśin</w:t>
      </w:r>
      <w:r>
        <w:t xml:space="preserve">, maned,</w:t>
      </w:r>
      <w:r>
        <w:t xml:space="preserve"> </w:t>
      </w:r>
      <w:r>
        <w:rPr>
          <w:iCs/>
          <w:i/>
        </w:rPr>
        <w:t xml:space="preserve">hari</w:t>
      </w:r>
      <w:r>
        <w:t xml:space="preserve">, horses,</w:t>
      </w:r>
      <w:r>
        <w:t xml:space="preserve"> </w:t>
      </w:r>
      <w:r>
        <w:rPr>
          <w:iCs/>
          <w:i/>
        </w:rPr>
        <w:t xml:space="preserve">upa ā gahi</w:t>
      </w:r>
      <w:r>
        <w:t xml:space="preserve">, come near to our</w:t>
      </w:r>
      <w:r>
        <w:t xml:space="preserve"> </w:t>
      </w:r>
      <w:r>
        <w:rPr>
          <w:iCs/>
          <w:i/>
        </w:rPr>
        <w:t xml:space="preserve">sutam</w:t>
      </w:r>
      <w:r>
        <w:t xml:space="preserve">, the pressed soma. For since, the soma being pressed,</w:t>
      </w:r>
      <w:r>
        <w:t xml:space="preserve"> </w:t>
      </w:r>
      <w:r>
        <w:rPr>
          <w:iCs/>
          <w:i/>
        </w:rPr>
        <w:t xml:space="preserve">sute</w:t>
      </w:r>
      <w:r>
        <w:t xml:space="preserve">, we call you, therefore come: that is the construction with what precedes.</w:t>
      </w:r>
      <w:r>
        <w:t xml:space="preserve">”</w:t>
      </w:r>
      <w:r>
        <w:t xml:space="preserve"> </w:t>
      </w:r>
      <w:r>
        <w:t xml:space="preserve">(Grammatical tail:</w:t>
      </w:r>
      <w:r>
        <w:t xml:space="preserve"> </w:t>
      </w:r>
      <w:r>
        <w:rPr>
          <w:iCs/>
          <w:i/>
        </w:rPr>
        <w:t xml:space="preserve">gahi</w:t>
      </w:r>
      <w:r>
        <w:t xml:space="preserve">:</w:t>
      </w:r>
      <w:r>
        <w:t xml:space="preserve"> </w:t>
      </w:r>
      <w:r>
        <w:rPr>
          <w:iCs/>
          <w:i/>
        </w:rPr>
        <w:t xml:space="preserve">hi</w:t>
      </w:r>
      <w:r>
        <w:t xml:space="preserve"> </w:t>
      </w:r>
      <w:r>
        <w:t xml:space="preserve">for</w:t>
      </w:r>
      <w:r>
        <w:t xml:space="preserve"> </w:t>
      </w:r>
      <w:r>
        <w:rPr>
          <w:iCs/>
          <w:i/>
        </w:rPr>
        <w:t xml:space="preserve">si</w:t>
      </w:r>
      <w:r>
        <w:t xml:space="preserve">, the</w:t>
      </w:r>
      <w:r>
        <w:t xml:space="preserve"> </w:t>
      </w:r>
      <w:r>
        <w:rPr>
          <w:iCs/>
          <w:i/>
        </w:rPr>
        <w:t xml:space="preserve">śap</w:t>
      </w:r>
      <w:r>
        <w:t xml:space="preserve"> </w:t>
      </w:r>
      <w:r>
        <w:t xml:space="preserve">dropped by</w:t>
      </w:r>
      <w:r>
        <w:t xml:space="preserve"> </w:t>
      </w:r>
      <w:r>
        <w:rPr>
          <w:iCs/>
          <w:i/>
        </w:rPr>
        <w:t xml:space="preserve">bahulaṃ chandasi</w:t>
      </w:r>
      <w:r>
        <w:t xml:space="preserve">, no</w:t>
      </w:r>
      <w:r>
        <w:t xml:space="preserve"> </w:t>
      </w:r>
      <w:r>
        <w:rPr>
          <w:iCs/>
          <w:i/>
        </w:rPr>
        <w:t xml:space="preserve">ch</w:t>
      </w:r>
      <w:r>
        <w:t xml:space="preserve"> </w:t>
      </w:r>
      <w:r>
        <w:t xml:space="preserve">(Pā. 7-3-77), barred by</w:t>
      </w:r>
      <w:r>
        <w:t xml:space="preserve"> </w:t>
      </w:r>
      <w:r>
        <w:rPr>
          <w:iCs/>
          <w:i/>
        </w:rPr>
        <w:t xml:space="preserve">na lumatāṅgasya</w:t>
      </w:r>
      <w:r>
        <w:t xml:space="preserve">; the</w:t>
      </w:r>
      <w:r>
        <w:t xml:space="preserve"> </w:t>
      </w:r>
      <w:r>
        <w:rPr>
          <w:iCs/>
          <w:i/>
        </w:rPr>
        <w:t xml:space="preserve">m</w:t>
      </w:r>
      <w:r>
        <w:t xml:space="preserve"> </w:t>
      </w:r>
      <w:r>
        <w:t xml:space="preserve">dropped; that loss counting as not done (Pā. 6-4-22),</w:t>
      </w:r>
      <w:r>
        <w:t xml:space="preserve"> </w:t>
      </w:r>
      <w:r>
        <w:rPr>
          <w:iCs/>
          <w:i/>
        </w:rPr>
        <w:t xml:space="preserve">hi</w:t>
      </w:r>
      <w:r>
        <w:t xml:space="preserve"> </w:t>
      </w:r>
      <w:r>
        <w:t xml:space="preserve">is not dropped by</w:t>
      </w:r>
      <w:r>
        <w:t xml:space="preserve"> </w:t>
      </w:r>
      <w:r>
        <w:rPr>
          <w:iCs/>
          <w:i/>
        </w:rPr>
        <w:t xml:space="preserve">ato heḥ</w:t>
      </w:r>
      <w:r>
        <w:t xml:space="preserve">;</w:t>
      </w:r>
      <w:r>
        <w:t xml:space="preserve"> </w:t>
      </w:r>
      <w:r>
        <w:rPr>
          <w:iCs/>
          <w:i/>
        </w:rPr>
        <w:t xml:space="preserve">keśibhiḥ</w:t>
      </w:r>
      <w:r>
        <w:t xml:space="preserve">,</w:t>
      </w:r>
      <w:r>
        <w:t xml:space="preserve"> </w:t>
      </w:r>
      <w:r>
        <w:rPr>
          <w:iCs/>
          <w:i/>
        </w:rPr>
        <w:t xml:space="preserve">an</w:t>
      </w:r>
      <w:r>
        <w:t xml:space="preserve"> </w:t>
      </w:r>
      <w:r>
        <w:t xml:space="preserve">after</w:t>
      </w:r>
      <w:r>
        <w:t xml:space="preserve"> </w:t>
      </w:r>
      <w:r>
        <w:rPr>
          <w:iCs/>
          <w:i/>
        </w:rPr>
        <w:t xml:space="preserve">kliś</w:t>
      </w:r>
      <w:r>
        <w:t xml:space="preserve"> </w:t>
      </w:r>
      <w:r>
        <w:t xml:space="preserve">with loss of the</w:t>
      </w:r>
      <w:r>
        <w:t xml:space="preserve"> </w:t>
      </w:r>
      <w:r>
        <w:rPr>
          <w:iCs/>
          <w:i/>
        </w:rPr>
        <w:t xml:space="preserve">l</w:t>
      </w:r>
      <w:r>
        <w:t xml:space="preserve"> </w:t>
      </w:r>
      <w:r>
        <w:t xml:space="preserve">(Uṇ. 5-33),</w:t>
      </w:r>
      <w:r>
        <w:t xml:space="preserve"> </w:t>
      </w:r>
      <w:r>
        <w:rPr>
          <w:iCs/>
          <w:i/>
        </w:rPr>
        <w:t xml:space="preserve">ini</w:t>
      </w:r>
      <w:r>
        <w:t xml:space="preserve"> </w:t>
      </w:r>
      <w:r>
        <w:t xml:space="preserve">in the possessive sense, the suffix accent;</w:t>
      </w:r>
      <w:r>
        <w:t xml:space="preserve"> </w:t>
      </w:r>
      <w:r>
        <w:rPr>
          <w:iCs/>
          <w:i/>
        </w:rPr>
        <w:t xml:space="preserve">havāmahe</w:t>
      </w:r>
      <w:r>
        <w:t xml:space="preserve">,</w:t>
      </w:r>
      <w:r>
        <w:t xml:space="preserve"> </w:t>
      </w:r>
      <w:r>
        <w:rPr>
          <w:iCs/>
          <w:i/>
        </w:rPr>
        <w:t xml:space="preserve">saṃprasāraṇa</w:t>
      </w:r>
      <w:r>
        <w:t xml:space="preserve"> </w:t>
      </w:r>
      <w:r>
        <w:t xml:space="preserve">by</w:t>
      </w:r>
      <w:r>
        <w:t xml:space="preserve"> </w:t>
      </w:r>
      <w:r>
        <w:rPr>
          <w:iCs/>
          <w:i/>
        </w:rPr>
        <w:t xml:space="preserve">bahulaṃ chandasi</w:t>
      </w:r>
      <w:r>
        <w:t xml:space="preserve">, the root accent, not lowered because of</w:t>
      </w:r>
      <w:r>
        <w:t xml:space="preserve"> </w:t>
      </w:r>
      <w:r>
        <w:rPr>
          <w:iCs/>
          <w:i/>
        </w:rPr>
        <w:t xml:space="preserve">hi</w:t>
      </w:r>
      <w:r>
        <w:t xml:space="preserve">.)</w:t>
      </w:r>
    </w:p>
    <w:p>
      <w:pPr>
        <w:pStyle w:val="BodyText"/>
      </w:pPr>
      <w:r>
        <w:rPr>
          <w:bCs/>
          <w:b/>
        </w:rPr>
        <w:t xml:space="preserve">॥ Prati-padārthaḥ ॥</w:t>
      </w:r>
    </w:p>
    <w:p>
      <w:pPr>
        <w:pStyle w:val="BodyText"/>
      </w:pPr>
      <w:r>
        <w:rPr>
          <w:bCs/>
          <w:b/>
        </w:rPr>
        <w:t xml:space="preserve">इन्द्र (indra)</w:t>
      </w:r>
      <w:r>
        <w:t xml:space="preserve"> </w:t>
      </w:r>
      <w:r>
        <w:t xml:space="preserve">— O Indra |</w:t>
      </w:r>
      <w:r>
        <w:t xml:space="preserve"> </w:t>
      </w:r>
      <w:r>
        <w:rPr>
          <w:bCs/>
          <w:b/>
        </w:rPr>
        <w:t xml:space="preserve">सुते (sute)</w:t>
      </w:r>
      <w:r>
        <w:t xml:space="preserve"> </w:t>
      </w:r>
      <w:r>
        <w:t xml:space="preserve">— when the soma has been made ready |</w:t>
      </w:r>
      <w:r>
        <w:t xml:space="preserve"> </w:t>
      </w:r>
      <w:r>
        <w:rPr>
          <w:bCs/>
          <w:b/>
        </w:rPr>
        <w:t xml:space="preserve">त्वा (tvā)</w:t>
      </w:r>
      <w:r>
        <w:t xml:space="preserve"> </w:t>
      </w:r>
      <w:r>
        <w:t xml:space="preserve">— you |</w:t>
      </w:r>
      <w:r>
        <w:t xml:space="preserve"> </w:t>
      </w:r>
      <w:r>
        <w:rPr>
          <w:bCs/>
          <w:b/>
        </w:rPr>
        <w:t xml:space="preserve">हवामहे (havāmahe)</w:t>
      </w:r>
      <w:r>
        <w:t xml:space="preserve"> </w:t>
      </w:r>
      <w:r>
        <w:t xml:space="preserve">— we call; (so) |</w:t>
      </w:r>
      <w:r>
        <w:t xml:space="preserve"> </w:t>
      </w:r>
      <w:r>
        <w:rPr>
          <w:bCs/>
          <w:b/>
        </w:rPr>
        <w:t xml:space="preserve">केशिभिः (keśibhiḥ)</w:t>
      </w:r>
      <w:r>
        <w:t xml:space="preserve"> </w:t>
      </w:r>
      <w:r>
        <w:t xml:space="preserve">— with manes |</w:t>
      </w:r>
      <w:r>
        <w:t xml:space="preserve"> </w:t>
      </w:r>
      <w:r>
        <w:rPr>
          <w:bCs/>
          <w:b/>
        </w:rPr>
        <w:t xml:space="preserve">हरिभिः (haribhiḥ)</w:t>
      </w:r>
      <w:r>
        <w:t xml:space="preserve"> </w:t>
      </w:r>
      <w:r>
        <w:t xml:space="preserve">— together with the horses |</w:t>
      </w:r>
      <w:r>
        <w:t xml:space="preserve"> </w:t>
      </w:r>
      <w:r>
        <w:rPr>
          <w:bCs/>
          <w:b/>
        </w:rPr>
        <w:t xml:space="preserve">नः (naḥ)</w:t>
      </w:r>
      <w:r>
        <w:t xml:space="preserve"> </w:t>
      </w:r>
      <w:r>
        <w:t xml:space="preserve">— our |</w:t>
      </w:r>
      <w:r>
        <w:t xml:space="preserve"> </w:t>
      </w:r>
      <w:r>
        <w:rPr>
          <w:bCs/>
          <w:b/>
        </w:rPr>
        <w:t xml:space="preserve">सुतम् (sutam)</w:t>
      </w:r>
      <w:r>
        <w:t xml:space="preserve"> </w:t>
      </w:r>
      <w:r>
        <w:t xml:space="preserve">— the soma made ready (to drink) |</w:t>
      </w:r>
      <w:r>
        <w:t xml:space="preserve"> </w:t>
      </w:r>
      <w:r>
        <w:rPr>
          <w:bCs/>
          <w:b/>
        </w:rPr>
        <w:t xml:space="preserve">उप आ गहि (upa ā gahi)</w:t>
      </w:r>
      <w:r>
        <w:t xml:space="preserve"> </w:t>
      </w:r>
      <w:r>
        <w:t xml:space="preserve">— come near us.</w:t>
      </w:r>
    </w:p>
    <w:p>
      <w:pPr>
        <w:pStyle w:val="BodyText"/>
      </w:pPr>
      <w:r>
        <w:rPr>
          <w:bCs/>
          <w:b/>
        </w:rPr>
        <w:t xml:space="preserve">॥ Bhāvārthaḥ ॥</w:t>
      </w:r>
    </w:p>
    <w:p>
      <w:pPr>
        <w:pStyle w:val="BodyText"/>
      </w:pPr>
      <w:r>
        <w:t xml:space="preserve">O Indra, we have made the soma juice ready for you and call you. Come near us with your maned horses to drink that soma juice.</w:t>
      </w:r>
    </w:p>
    <w:p>
      <w:pPr>
        <w:pStyle w:val="BodyText"/>
      </w:pPr>
      <w:r>
        <w:rPr>
          <w:bCs/>
          <w:b/>
        </w:rPr>
        <w:t xml:space="preserve">॥ English Translation ॥</w:t>
      </w:r>
      <w:r>
        <w:t xml:space="preserve"> </w:t>
      </w:r>
      <w:r>
        <w:rPr>
          <w:iCs/>
          <w:i/>
        </w:rPr>
        <w:t xml:space="preserve">(as printed in the source)</w:t>
      </w:r>
    </w:p>
    <w:p>
      <w:pPr>
        <w:pStyle w:val="BlockText"/>
      </w:pPr>
      <w:r>
        <w:t xml:space="preserve">Come Indra to our extracted soma libation by means of your long-maned horses. For we invoke you as soon as the soma is prepared.</w:t>
      </w:r>
    </w:p>
    <w:bookmarkEnd w:id="747"/>
    <w:bookmarkStart w:id="748" w:name="X48e50a8b2936a398f55be10d87be372437d99de"/>
    <w:p>
      <w:pPr>
        <w:pStyle w:val="Heading3"/>
      </w:pPr>
      <w:r>
        <w:t xml:space="preserve">Page 688 — Rik 4: Special Topics and grammar</w:t>
      </w:r>
    </w:p>
    <w:p>
      <w:pPr>
        <w:pStyle w:val="FirstParagraph"/>
      </w:pPr>
      <w:r>
        <w:rPr>
          <w:bCs/>
          <w:b/>
        </w:rPr>
        <w:t xml:space="preserve">॥ Viśeṣa-viṣayagaḷu (Special Topics) ॥</w:t>
      </w:r>
    </w:p>
    <w:p>
      <w:pPr>
        <w:pStyle w:val="BodyText"/>
      </w:pPr>
      <w:r>
        <w:rPr>
          <w:bCs/>
          <w:b/>
        </w:rPr>
        <w:t xml:space="preserve">Keśibhiḥ</w:t>
      </w:r>
      <w:r>
        <w:t xml:space="preserve">: with long manes. The mane is the long hair grown on the horses’ necks.</w:t>
      </w:r>
    </w:p>
    <w:p>
      <w:pPr>
        <w:pStyle w:val="BodyText"/>
      </w:pPr>
      <w:r>
        <w:rPr>
          <w:bCs/>
          <w:b/>
        </w:rPr>
        <w:t xml:space="preserve">॥ Vyākaraṇa-prakriyā ॥</w:t>
      </w:r>
      <w:r>
        <w:t xml:space="preserve"> </w:t>
      </w:r>
      <w:r>
        <w:rPr>
          <w:iCs/>
          <w:i/>
        </w:rPr>
        <w:t xml:space="preserve">(grammar pages 688–689, noted briefly)</w:t>
      </w:r>
    </w:p>
    <w:p>
      <w:pPr>
        <w:pStyle w:val="BodyText"/>
      </w:pPr>
      <w:r>
        <w:rPr>
          <w:bCs/>
          <w:b/>
        </w:rPr>
        <w:t xml:space="preserve">गहि (</w:t>
      </w:r>
      <w:r>
        <w:rPr>
          <w:iCs/>
          <w:i/>
          <w:bCs/>
          <w:b/>
        </w:rPr>
        <w:t xml:space="preserve">gahi</w:t>
      </w:r>
      <w:r>
        <w:rPr>
          <w:bCs/>
          <w:b/>
        </w:rPr>
        <w:t xml:space="preserve">)</w:t>
      </w:r>
      <w:r>
        <w:t xml:space="preserve">: the root</w:t>
      </w:r>
      <w:r>
        <w:t xml:space="preserve"> </w:t>
      </w:r>
      <w:r>
        <w:rPr>
          <w:iCs/>
          <w:i/>
        </w:rPr>
        <w:t xml:space="preserve">gamḷ gatau</w:t>
      </w:r>
      <w:r>
        <w:t xml:space="preserve">;</w:t>
      </w:r>
      <w:r>
        <w:t xml:space="preserve"> </w:t>
      </w:r>
      <w:r>
        <w:rPr>
          <w:iCs/>
          <w:i/>
        </w:rPr>
        <w:t xml:space="preserve">loṭ</w:t>
      </w:r>
      <w:r>
        <w:t xml:space="preserve">,</w:t>
      </w:r>
      <w:r>
        <w:t xml:space="preserve"> </w:t>
      </w:r>
      <w:r>
        <w:rPr>
          <w:iCs/>
          <w:i/>
        </w:rPr>
        <w:t xml:space="preserve">parasmaipada</w:t>
      </w:r>
      <w:r>
        <w:t xml:space="preserve"> </w:t>
      </w:r>
      <w:r>
        <w:t xml:space="preserve">2nd singular</w:t>
      </w:r>
      <w:r>
        <w:t xml:space="preserve"> </w:t>
      </w:r>
      <w:r>
        <w:rPr>
          <w:iCs/>
          <w:i/>
        </w:rPr>
        <w:t xml:space="preserve">sip</w:t>
      </w:r>
      <w:r>
        <w:t xml:space="preserve">; by</w:t>
      </w:r>
      <w:r>
        <w:t xml:space="preserve"> </w:t>
      </w:r>
      <w:r>
        <w:t xml:space="preserve">“</w:t>
      </w:r>
      <w:r>
        <w:t xml:space="preserve">ser hy apic ca</w:t>
      </w:r>
      <w:r>
        <w:t xml:space="preserve">”</w:t>
      </w:r>
      <w:r>
        <w:t xml:space="preserve"> </w:t>
      </w:r>
      <w:r>
        <w:t xml:space="preserve">(Pā. sū. 3-4-87)</w:t>
      </w:r>
      <w:r>
        <w:t xml:space="preserve"> </w:t>
      </w:r>
      <w:r>
        <w:rPr>
          <w:iCs/>
          <w:i/>
        </w:rPr>
        <w:t xml:space="preserve">hi</w:t>
      </w:r>
      <w:r>
        <w:t xml:space="preserve"> </w:t>
      </w:r>
      <w:r>
        <w:t xml:space="preserve">for the</w:t>
      </w:r>
      <w:r>
        <w:t xml:space="preserve"> </w:t>
      </w:r>
      <w:r>
        <w:rPr>
          <w:iCs/>
          <w:i/>
        </w:rPr>
        <w:t xml:space="preserve">si</w:t>
      </w:r>
      <w:r>
        <w:t xml:space="preserve"> </w:t>
      </w:r>
      <w:r>
        <w:t xml:space="preserve">standing for</w:t>
      </w:r>
      <w:r>
        <w:t xml:space="preserve"> </w:t>
      </w:r>
      <w:r>
        <w:rPr>
          <w:iCs/>
          <w:i/>
        </w:rPr>
        <w:t xml:space="preserve">loṭ</w:t>
      </w:r>
      <w:r>
        <w:t xml:space="preserve">, and it is</w:t>
      </w:r>
      <w:r>
        <w:t xml:space="preserve"> </w:t>
      </w:r>
      <w:r>
        <w:rPr>
          <w:iCs/>
          <w:i/>
        </w:rPr>
        <w:t xml:space="preserve">apit</w:t>
      </w:r>
      <w:r>
        <w:t xml:space="preserve">; so</w:t>
      </w:r>
      <w:r>
        <w:t xml:space="preserve"> </w:t>
      </w:r>
      <w:r>
        <w:rPr>
          <w:iCs/>
          <w:i/>
        </w:rPr>
        <w:t xml:space="preserve">hi</w:t>
      </w:r>
      <w:r>
        <w:t xml:space="preserve"> </w:t>
      </w:r>
      <w:r>
        <w:t xml:space="preserve">for</w:t>
      </w:r>
      <w:r>
        <w:t xml:space="preserve"> </w:t>
      </w:r>
      <w:r>
        <w:rPr>
          <w:iCs/>
          <w:i/>
        </w:rPr>
        <w:t xml:space="preserve">si</w:t>
      </w:r>
      <w:r>
        <w:t xml:space="preserve">;</w:t>
      </w:r>
      <w:r>
        <w:t xml:space="preserve"> </w:t>
      </w:r>
      <w:r>
        <w:rPr>
          <w:iCs/>
          <w:i/>
        </w:rPr>
        <w:t xml:space="preserve">śap</w:t>
      </w:r>
      <w:r>
        <w:t xml:space="preserve"> </w:t>
      </w:r>
      <w:r>
        <w:t xml:space="preserve">by</w:t>
      </w:r>
      <w:r>
        <w:t xml:space="preserve"> </w:t>
      </w:r>
      <w:r>
        <w:t xml:space="preserve">“</w:t>
      </w:r>
      <w:r>
        <w:t xml:space="preserve">kartari śap</w:t>
      </w:r>
      <w:r>
        <w:t xml:space="preserve">”</w:t>
      </w:r>
      <w:r>
        <w:t xml:space="preserve"> </w:t>
      </w:r>
      <w:r>
        <w:t xml:space="preserve">(Pā. sū. 3-1-68):</w:t>
      </w:r>
      <w:r>
        <w:t xml:space="preserve"> </w:t>
      </w:r>
      <w:r>
        <w:rPr>
          <w:iCs/>
          <w:i/>
        </w:rPr>
        <w:t xml:space="preserve">gam</w:t>
      </w:r>
      <w:r>
        <w:t xml:space="preserve"> </w:t>
      </w:r>
      <w:r>
        <w:t xml:space="preserve">+</w:t>
      </w:r>
      <w:r>
        <w:t xml:space="preserve"> </w:t>
      </w:r>
      <w:r>
        <w:rPr>
          <w:iCs/>
          <w:i/>
        </w:rPr>
        <w:t xml:space="preserve">a</w:t>
      </w:r>
      <w:r>
        <w:t xml:space="preserve"> </w:t>
      </w:r>
      <w:r>
        <w:t xml:space="preserve">+</w:t>
      </w:r>
      <w:r>
        <w:t xml:space="preserve"> </w:t>
      </w:r>
      <w:r>
        <w:rPr>
          <w:iCs/>
          <w:i/>
        </w:rPr>
        <w:t xml:space="preserve">hi</w:t>
      </w:r>
      <w:r>
        <w:t xml:space="preserve">. In</w:t>
      </w:r>
      <w:r>
        <w:t xml:space="preserve"> </w:t>
      </w:r>
      <w:r>
        <w:t xml:space="preserve">“</w:t>
      </w:r>
      <w:r>
        <w:t xml:space="preserve">bahulaṃ chandasi</w:t>
      </w:r>
      <w:r>
        <w:t xml:space="preserve">”</w:t>
      </w:r>
      <w:r>
        <w:t xml:space="preserve"> </w:t>
      </w:r>
      <w:r>
        <w:t xml:space="preserve">(Pā. sū. 2-4-73)</w:t>
      </w:r>
      <w:r>
        <w:t xml:space="preserve"> </w:t>
      </w:r>
      <w:r>
        <w:rPr>
          <w:iCs/>
          <w:i/>
        </w:rPr>
        <w:t xml:space="preserve">śapaḥ</w:t>
      </w:r>
      <w:r>
        <w:t xml:space="preserve"> </w:t>
      </w:r>
      <w:r>
        <w:t xml:space="preserve">is carried on from</w:t>
      </w:r>
      <w:r>
        <w:t xml:space="preserve"> </w:t>
      </w:r>
      <w:r>
        <w:t xml:space="preserve">“</w:t>
      </w:r>
      <w:r>
        <w:t xml:space="preserve">adiprabhṛtibhyaḥ</w:t>
      </w:r>
      <w:r>
        <w:t xml:space="preserve">”</w:t>
      </w:r>
      <w:r>
        <w:t xml:space="preserve">;</w:t>
      </w:r>
      <w:r>
        <w:t xml:space="preserve"> </w:t>
      </w:r>
      <w:r>
        <w:rPr>
          <w:iCs/>
          <w:i/>
        </w:rPr>
        <w:t xml:space="preserve">śap</w:t>
      </w:r>
      <w:r>
        <w:t xml:space="preserve"> </w:t>
      </w:r>
      <w:r>
        <w:t xml:space="preserve">takes</w:t>
      </w:r>
      <w:r>
        <w:t xml:space="preserve"> </w:t>
      </w:r>
      <w:r>
        <w:rPr>
          <w:iCs/>
          <w:i/>
        </w:rPr>
        <w:t xml:space="preserve">luk</w:t>
      </w:r>
      <w:r>
        <w:t xml:space="preserve"> </w:t>
      </w:r>
      <w:r>
        <w:t xml:space="preserve">variously, so</w:t>
      </w:r>
      <w:r>
        <w:t xml:space="preserve"> </w:t>
      </w:r>
      <w:r>
        <w:rPr>
          <w:iCs/>
          <w:i/>
        </w:rPr>
        <w:t xml:space="preserve">śap</w:t>
      </w:r>
      <w:r>
        <w:t xml:space="preserve"> </w:t>
      </w:r>
      <w:r>
        <w:t xml:space="preserve">takes</w:t>
      </w:r>
      <w:r>
        <w:t xml:space="preserve"> </w:t>
      </w:r>
      <w:r>
        <w:rPr>
          <w:iCs/>
          <w:i/>
        </w:rPr>
        <w:t xml:space="preserve">luk</w:t>
      </w:r>
      <w:r>
        <w:t xml:space="preserve">. The</w:t>
      </w:r>
      <w:r>
        <w:t xml:space="preserve"> </w:t>
      </w:r>
      <w:r>
        <w:rPr>
          <w:iCs/>
          <w:i/>
        </w:rPr>
        <w:t xml:space="preserve">pratyayalakṣaṇa</w:t>
      </w:r>
      <w:r>
        <w:t xml:space="preserve"> </w:t>
      </w:r>
      <w:r>
        <w:t xml:space="preserve">that</w:t>
      </w:r>
      <w:r>
        <w:t xml:space="preserve"> </w:t>
      </w:r>
      <w:r>
        <w:t xml:space="preserve">“</w:t>
      </w:r>
      <w:r>
        <w:t xml:space="preserve">pratyayalope pratyayalakṣaṇam</w:t>
      </w:r>
      <w:r>
        <w:t xml:space="preserve">”</w:t>
      </w:r>
      <w:r>
        <w:t xml:space="preserve"> </w:t>
      </w:r>
      <w:r>
        <w:t xml:space="preserve">(Pā. sū. 1-1-62) would give is barred by</w:t>
      </w:r>
      <w:r>
        <w:t xml:space="preserve"> </w:t>
      </w:r>
      <w:r>
        <w:t xml:space="preserve">“</w:t>
      </w:r>
      <w:r>
        <w:t xml:space="preserve">na lumatāṅgasya</w:t>
      </w:r>
      <w:r>
        <w:t xml:space="preserve">”</w:t>
      </w:r>
      <w:r>
        <w:t xml:space="preserve"> </w:t>
      </w:r>
      <w:r>
        <w:t xml:space="preserve">(Pā. sū. 1-1-63). So a</w:t>
      </w:r>
      <w:r>
        <w:t xml:space="preserve"> </w:t>
      </w:r>
      <w:r>
        <w:rPr>
          <w:iCs/>
          <w:i/>
        </w:rPr>
        <w:t xml:space="preserve">śit</w:t>
      </w:r>
      <w:r>
        <w:t xml:space="preserve"> </w:t>
      </w:r>
      <w:r>
        <w:t xml:space="preserve">suffix does not count as following. So</w:t>
      </w:r>
      <w:r>
        <w:t xml:space="preserve"> </w:t>
      </w:r>
      <w:r>
        <w:t xml:space="preserve">“</w:t>
      </w:r>
      <w:r>
        <w:t xml:space="preserve">iṣugamiyamāṃ chaḥ</w:t>
      </w:r>
      <w:r>
        <w:t xml:space="preserve">”</w:t>
      </w:r>
      <w:r>
        <w:t xml:space="preserve"> </w:t>
      </w:r>
      <w:r>
        <w:t xml:space="preserve">(Pā. sū. 7-3-77), which gives</w:t>
      </w:r>
      <w:r>
        <w:t xml:space="preserve"> </w:t>
      </w:r>
      <w:r>
        <w:rPr>
          <w:iCs/>
          <w:i/>
        </w:rPr>
        <w:t xml:space="preserve">ch</w:t>
      </w:r>
      <w:r>
        <w:t xml:space="preserve"> </w:t>
      </w:r>
      <w:r>
        <w:t xml:space="preserve">for the final of</w:t>
      </w:r>
      <w:r>
        <w:t xml:space="preserve"> </w:t>
      </w:r>
      <w:r>
        <w:rPr>
          <w:iCs/>
          <w:i/>
        </w:rPr>
        <w:t xml:space="preserve">iṣu icchāyām</w:t>
      </w:r>
      <w:r>
        <w:t xml:space="preserve">,</w:t>
      </w:r>
      <w:r>
        <w:t xml:space="preserve"> </w:t>
      </w:r>
      <w:r>
        <w:rPr>
          <w:iCs/>
          <w:i/>
        </w:rPr>
        <w:t xml:space="preserve">gamḷ gatau</w:t>
      </w:r>
      <w:r>
        <w:t xml:space="preserve"> </w:t>
      </w:r>
      <w:r>
        <w:t xml:space="preserve">and</w:t>
      </w:r>
      <w:r>
        <w:t xml:space="preserve"> </w:t>
      </w:r>
      <w:r>
        <w:rPr>
          <w:iCs/>
          <w:i/>
        </w:rPr>
        <w:t xml:space="preserve">yamu uparame</w:t>
      </w:r>
      <w:r>
        <w:t xml:space="preserve"> </w:t>
      </w:r>
      <w:r>
        <w:t xml:space="preserve">before a suffix with</w:t>
      </w:r>
      <w:r>
        <w:t xml:space="preserve"> </w:t>
      </w:r>
      <w:r>
        <w:rPr>
          <w:iCs/>
          <w:i/>
        </w:rPr>
        <w:t xml:space="preserve">ś</w:t>
      </w:r>
      <w:r>
        <w:t xml:space="preserve"> </w:t>
      </w:r>
      <w:r>
        <w:t xml:space="preserve">as</w:t>
      </w:r>
      <w:r>
        <w:t xml:space="preserve"> </w:t>
      </w:r>
      <w:r>
        <w:rPr>
          <w:iCs/>
          <w:i/>
        </w:rPr>
        <w:t xml:space="preserve">it</w:t>
      </w:r>
      <w:r>
        <w:t xml:space="preserve">, does not apply. In</w:t>
      </w:r>
      <w:r>
        <w:t xml:space="preserve"> </w:t>
      </w:r>
      <w:r>
        <w:t xml:space="preserve">“</w:t>
      </w:r>
      <w:r>
        <w:t xml:space="preserve">anudāttopadeśavanatitanotyādīnām anunāsikalopo jhali kṅiti</w:t>
      </w:r>
      <w:r>
        <w:t xml:space="preserve">”</w:t>
      </w:r>
      <w:r>
        <w:t xml:space="preserve"> </w:t>
      </w:r>
      <w:r>
        <w:t xml:space="preserve">(Pā. sū. 6-4-37),</w:t>
      </w:r>
      <w:r>
        <w:t xml:space="preserve"> </w:t>
      </w:r>
      <w:r>
        <w:rPr>
          <w:iCs/>
          <w:i/>
        </w:rPr>
        <w:t xml:space="preserve">anunāsika</w:t>
      </w:r>
      <w:r>
        <w:t xml:space="preserve"> </w:t>
      </w:r>
      <w:r>
        <w:t xml:space="preserve">is a sixth case, a qualifier of the others apart from</w:t>
      </w:r>
      <w:r>
        <w:t xml:space="preserve"> </w:t>
      </w:r>
      <w:r>
        <w:rPr>
          <w:iCs/>
          <w:i/>
        </w:rPr>
        <w:t xml:space="preserve">vanati</w:t>
      </w:r>
      <w:r>
        <w:t xml:space="preserve">; since there is nothing else it could exclude, it does not qualify</w:t>
      </w:r>
      <w:r>
        <w:t xml:space="preserve"> </w:t>
      </w:r>
      <w:r>
        <w:rPr>
          <w:iCs/>
          <w:i/>
        </w:rPr>
        <w:t xml:space="preserve">vanati</w:t>
      </w:r>
      <w:r>
        <w:t xml:space="preserve">. There is the maxim</w:t>
      </w:r>
      <w:r>
        <w:t xml:space="preserve"> </w:t>
      </w:r>
      <w:r>
        <w:t xml:space="preserve">“</w:t>
      </w:r>
      <w:r>
        <w:t xml:space="preserve">sambhavavyabhicārābhyāṃ syād viśeṣaṇam arthavat</w:t>
      </w:r>
      <w:r>
        <w:t xml:space="preserve">”</w:t>
      </w:r>
      <w:r>
        <w:t xml:space="preserve">: a qualifier has a purpose when the connection is possible and it excludes others.</w:t>
      </w:r>
      <w:r>
        <w:t xml:space="preserve"> </w:t>
      </w:r>
      <w:r>
        <w:rPr>
          <w:iCs/>
          <w:i/>
        </w:rPr>
        <w:t xml:space="preserve">Sambhava</w:t>
      </w:r>
      <w:r>
        <w:t xml:space="preserve"> </w:t>
      </w:r>
      <w:r>
        <w:t xml:space="preserve">is fitness,</w:t>
      </w:r>
      <w:r>
        <w:t xml:space="preserve"> </w:t>
      </w:r>
      <w:r>
        <w:rPr>
          <w:iCs/>
          <w:i/>
        </w:rPr>
        <w:t xml:space="preserve">vyabhicāra</w:t>
      </w:r>
      <w:r>
        <w:t xml:space="preserve"> </w:t>
      </w:r>
      <w:r>
        <w:t xml:space="preserve">exclusion of others: in</w:t>
      </w:r>
      <w:r>
        <w:t xml:space="preserve"> </w:t>
      </w:r>
      <w:r>
        <w:rPr>
          <w:iCs/>
          <w:i/>
        </w:rPr>
        <w:t xml:space="preserve">kṛṣṇaḥ haṃsaḥ</w:t>
      </w:r>
      <w:r>
        <w:t xml:space="preserve"> </w:t>
      </w:r>
      <w:r>
        <w:t xml:space="preserve">the swan is only white, never black, so, lacking fitness,</w:t>
      </w:r>
      <w:r>
        <w:t xml:space="preserve"> </w:t>
      </w:r>
      <w:r>
        <w:rPr>
          <w:iCs/>
          <w:i/>
        </w:rPr>
        <w:t xml:space="preserve">kṛṣṇaḥ</w:t>
      </w:r>
      <w:r>
        <w:t xml:space="preserve"> </w:t>
      </w:r>
      <w:r>
        <w:t xml:space="preserve">cannot be given as a qualifier of</w:t>
      </w:r>
      <w:r>
        <w:t xml:space="preserve"> </w:t>
      </w:r>
      <w:r>
        <w:rPr>
          <w:iCs/>
          <w:i/>
        </w:rPr>
        <w:t xml:space="preserve">haṃsaḥ</w:t>
      </w:r>
      <w:r>
        <w:t xml:space="preserve">. In</w:t>
      </w:r>
      <w:r>
        <w:t xml:space="preserve"> </w:t>
      </w:r>
      <w:r>
        <w:rPr>
          <w:iCs/>
          <w:i/>
        </w:rPr>
        <w:t xml:space="preserve">kṛṣṇaḥ kākaḥ</w:t>
      </w:r>
      <w:r>
        <w:t xml:space="preserve"> </w:t>
      </w:r>
      <w:r>
        <w:t xml:space="preserve">all crows are black; so though the fitness for</w:t>
      </w:r>
      <w:r>
        <w:t xml:space="preserve"> </w:t>
      </w:r>
      <w:r>
        <w:rPr>
          <w:iCs/>
          <w:i/>
        </w:rPr>
        <w:t xml:space="preserve">kṛṣṇaḥ</w:t>
      </w:r>
      <w:r>
        <w:t xml:space="preserve"> </w:t>
      </w:r>
      <w:r>
        <w:t xml:space="preserve">to be construed with the crow exists, there is no exclusion of others. So in</w:t>
      </w:r>
      <w:r>
        <w:t xml:space="preserve"> </w:t>
      </w:r>
      <w:r>
        <w:rPr>
          <w:iCs/>
          <w:i/>
        </w:rPr>
        <w:t xml:space="preserve">kākaḥ</w:t>
      </w:r>
      <w:r>
        <w:t xml:space="preserve"> </w:t>
      </w:r>
      <w:r>
        <w:t xml:space="preserve">the qualifier</w:t>
      </w:r>
      <w:r>
        <w:t xml:space="preserve"> </w:t>
      </w:r>
      <w:r>
        <w:rPr>
          <w:iCs/>
          <w:i/>
        </w:rPr>
        <w:t xml:space="preserve">kṛṣṇaḥ</w:t>
      </w:r>
      <w:r>
        <w:t xml:space="preserve"> </w:t>
      </w:r>
      <w:r>
        <w:t xml:space="preserve">is unnecessary; likewise here the qualifier</w:t>
      </w:r>
      <w:r>
        <w:t xml:space="preserve"> </w:t>
      </w:r>
      <w:r>
        <w:rPr>
          <w:iCs/>
          <w:i/>
        </w:rPr>
        <w:t xml:space="preserve">anunāsika</w:t>
      </w:r>
      <w:r>
        <w:t xml:space="preserve"> </w:t>
      </w:r>
      <w:r>
        <w:t xml:space="preserve">is unnecessary for</w:t>
      </w:r>
      <w:r>
        <w:t xml:space="preserve"> </w:t>
      </w:r>
      <w:r>
        <w:rPr>
          <w:iCs/>
          <w:i/>
        </w:rPr>
        <w:t xml:space="preserve">vanati</w:t>
      </w:r>
      <w:r>
        <w:t xml:space="preserve">. Before a</w:t>
      </w:r>
      <w:r>
        <w:t xml:space="preserve"> </w:t>
      </w:r>
      <w:r>
        <w:rPr>
          <w:iCs/>
          <w:i/>
        </w:rPr>
        <w:t xml:space="preserve">jhal</w:t>
      </w:r>
      <w:r>
        <w:t xml:space="preserve">-initial</w:t>
      </w:r>
      <w:r>
        <w:t xml:space="preserve"> </w:t>
      </w:r>
      <w:r>
        <w:rPr>
          <w:iCs/>
          <w:i/>
        </w:rPr>
        <w:t xml:space="preserve">kit</w:t>
      </w:r>
      <w:r>
        <w:t xml:space="preserve"> </w:t>
      </w:r>
      <w:r>
        <w:t xml:space="preserve">or</w:t>
      </w:r>
      <w:r>
        <w:t xml:space="preserve"> </w:t>
      </w:r>
      <w:r>
        <w:rPr>
          <w:iCs/>
          <w:i/>
        </w:rPr>
        <w:t xml:space="preserve">ṅit</w:t>
      </w:r>
      <w:r>
        <w:t xml:space="preserve"> </w:t>
      </w:r>
      <w:r>
        <w:t xml:space="preserve">suffix the nasal of the nasal-final</w:t>
      </w:r>
      <w:r>
        <w:t xml:space="preserve"> </w:t>
      </w:r>
      <w:r>
        <w:rPr>
          <w:iCs/>
          <w:i/>
        </w:rPr>
        <w:t xml:space="preserve">anudāttopadeśa</w:t>
      </w:r>
      <w:r>
        <w:t xml:space="preserve"> </w:t>
      </w:r>
      <w:r>
        <w:t xml:space="preserve">roots and of the</w:t>
      </w:r>
      <w:r>
        <w:t xml:space="preserve"> </w:t>
      </w:r>
      <w:r>
        <w:rPr>
          <w:iCs/>
          <w:i/>
        </w:rPr>
        <w:t xml:space="preserve">tanoty-ādi</w:t>
      </w:r>
      <w:r>
        <w:t xml:space="preserve"> </w:t>
      </w:r>
      <w:r>
        <w:t xml:space="preserve">roots, and the nasal of the root</w:t>
      </w:r>
      <w:r>
        <w:t xml:space="preserve"> </w:t>
      </w:r>
      <w:r>
        <w:rPr>
          <w:iCs/>
          <w:i/>
        </w:rPr>
        <w:t xml:space="preserve">van</w:t>
      </w:r>
      <w:r>
        <w:t xml:space="preserve">, drop; so the nasal</w:t>
      </w:r>
      <w:r>
        <w:t xml:space="preserve"> </w:t>
      </w:r>
      <w:r>
        <w:rPr>
          <w:iCs/>
          <w:i/>
        </w:rPr>
        <w:t xml:space="preserve">m</w:t>
      </w:r>
      <w:r>
        <w:t xml:space="preserve"> </w:t>
      </w:r>
      <w:r>
        <w:t xml:space="preserve">drops.</w:t>
      </w:r>
      <w:r>
        <w:t xml:space="preserve"> </w:t>
      </w:r>
      <w:r>
        <w:rPr>
          <w:iCs/>
          <w:i/>
        </w:rPr>
        <w:t xml:space="preserve">Gam</w:t>
      </w:r>
      <w:r>
        <w:t xml:space="preserve"> </w:t>
      </w:r>
      <w:r>
        <w:t xml:space="preserve">is read in the kārikā of the</w:t>
      </w:r>
      <w:r>
        <w:t xml:space="preserve"> </w:t>
      </w:r>
      <w:r>
        <w:rPr>
          <w:iCs/>
          <w:i/>
        </w:rPr>
        <w:t xml:space="preserve">anudāttopadeśa</w:t>
      </w:r>
      <w:r>
        <w:t xml:space="preserve"> </w:t>
      </w:r>
      <w:r>
        <w:t xml:space="preserve">class,</w:t>
      </w:r>
      <w:r>
        <w:t xml:space="preserve"> </w:t>
      </w:r>
      <w:r>
        <w:t xml:space="preserve">“</w:t>
      </w:r>
      <w:r>
        <w:t xml:space="preserve">gamir namir yamo ramiḥ</w:t>
      </w:r>
      <w:r>
        <w:t xml:space="preserve">”</w:t>
      </w:r>
      <w:r>
        <w:t xml:space="preserve">, so it is</w:t>
      </w:r>
      <w:r>
        <w:t xml:space="preserve"> </w:t>
      </w:r>
      <w:r>
        <w:rPr>
          <w:iCs/>
          <w:i/>
        </w:rPr>
        <w:t xml:space="preserve">anudāttopadeśa</w:t>
      </w:r>
      <w:r>
        <w:t xml:space="preserve">. With</w:t>
      </w:r>
      <w:r>
        <w:t xml:space="preserve"> </w:t>
      </w:r>
      <w:r>
        <w:rPr>
          <w:iCs/>
          <w:i/>
        </w:rPr>
        <w:t xml:space="preserve">ga</w:t>
      </w:r>
      <w:r>
        <w:t xml:space="preserve"> </w:t>
      </w:r>
      <w:r>
        <w:t xml:space="preserve">+</w:t>
      </w:r>
      <w:r>
        <w:t xml:space="preserve"> </w:t>
      </w:r>
      <w:r>
        <w:rPr>
          <w:iCs/>
          <w:i/>
        </w:rPr>
        <w:t xml:space="preserve">hi</w:t>
      </w:r>
      <w:r>
        <w:t xml:space="preserve">, by</w:t>
      </w:r>
      <w:r>
        <w:t xml:space="preserve"> </w:t>
      </w:r>
      <w:r>
        <w:t xml:space="preserve">“</w:t>
      </w:r>
      <w:r>
        <w:t xml:space="preserve">ato heḥ</w:t>
      </w:r>
      <w:r>
        <w:t xml:space="preserve">”</w:t>
      </w:r>
      <w:r>
        <w:t xml:space="preserve"> </w:t>
      </w:r>
      <w:r>
        <w:t xml:space="preserve">(Pā. sū. 6-4-105), after a stem ending in</w:t>
      </w:r>
      <w:r>
        <w:t xml:space="preserve"> </w:t>
      </w:r>
      <w:r>
        <w:rPr>
          <w:iCs/>
          <w:i/>
        </w:rPr>
        <w:t xml:space="preserve">a</w:t>
      </w:r>
      <w:r>
        <w:t xml:space="preserve"> </w:t>
      </w:r>
      <w:r>
        <w:t xml:space="preserve">the</w:t>
      </w:r>
      <w:r>
        <w:t xml:space="preserve"> </w:t>
      </w:r>
      <w:r>
        <w:rPr>
          <w:iCs/>
          <w:i/>
        </w:rPr>
        <w:t xml:space="preserve">hi</w:t>
      </w:r>
      <w:r>
        <w:t xml:space="preserve"> </w:t>
      </w:r>
      <w:r>
        <w:t xml:space="preserve">would take</w:t>
      </w:r>
      <w:r>
        <w:t xml:space="preserve"> </w:t>
      </w:r>
      <w:r>
        <w:rPr>
          <w:iCs/>
          <w:i/>
        </w:rPr>
        <w:t xml:space="preserve">luk</w:t>
      </w:r>
      <w:r>
        <w:t xml:space="preserve">; but by</w:t>
      </w:r>
      <w:r>
        <w:t xml:space="preserve"> </w:t>
      </w:r>
      <w:r>
        <w:t xml:space="preserve">“</w:t>
      </w:r>
      <w:r>
        <w:t xml:space="preserve">asiddhavad atrābhāt</w:t>
      </w:r>
      <w:r>
        <w:t xml:space="preserve">”</w:t>
      </w:r>
      <w:r>
        <w:t xml:space="preserve"> </w:t>
      </w:r>
      <w:r>
        <w:t xml:space="preserve">(Pā. sū. 6-4-22), when an operation of the</w:t>
      </w:r>
      <w:r>
        <w:t xml:space="preserve"> </w:t>
      </w:r>
      <w:r>
        <w:rPr>
          <w:iCs/>
          <w:i/>
        </w:rPr>
        <w:t xml:space="preserve">ābhīya</w:t>
      </w:r>
      <w:r>
        <w:t xml:space="preserve"> </w:t>
      </w:r>
      <w:r>
        <w:t xml:space="preserve">section with the same basis is made, an operation of that section with the same basis counts as not done; so when the</w:t>
      </w:r>
      <w:r>
        <w:t xml:space="preserve"> </w:t>
      </w:r>
      <w:r>
        <w:rPr>
          <w:iCs/>
          <w:i/>
        </w:rPr>
        <w:t xml:space="preserve">luk</w:t>
      </w:r>
      <w:r>
        <w:t xml:space="preserve"> </w:t>
      </w:r>
      <w:r>
        <w:t xml:space="preserve">based on</w:t>
      </w:r>
      <w:r>
        <w:t xml:space="preserve"> </w:t>
      </w:r>
      <w:r>
        <w:rPr>
          <w:iCs/>
          <w:i/>
        </w:rPr>
        <w:t xml:space="preserve">hi</w:t>
      </w:r>
      <w:r>
        <w:t xml:space="preserve"> </w:t>
      </w:r>
      <w:r>
        <w:t xml:space="preserve">is made, the loss of</w:t>
      </w:r>
      <w:r>
        <w:t xml:space="preserve"> </w:t>
      </w:r>
      <w:r>
        <w:rPr>
          <w:iCs/>
          <w:i/>
        </w:rPr>
        <w:t xml:space="preserve">m</w:t>
      </w:r>
      <w:r>
        <w:t xml:space="preserve"> </w:t>
      </w:r>
      <w:r>
        <w:t xml:space="preserve">by</w:t>
      </w:r>
      <w:r>
        <w:t xml:space="preserve"> </w:t>
      </w:r>
      <w:r>
        <w:rPr>
          <w:iCs/>
          <w:i/>
        </w:rPr>
        <w:t xml:space="preserve">anudāttopadeśa…</w:t>
      </w:r>
      <w:r>
        <w:t xml:space="preserve">, based on</w:t>
      </w:r>
      <w:r>
        <w:t xml:space="preserve"> </w:t>
      </w:r>
      <w:r>
        <w:rPr>
          <w:iCs/>
          <w:i/>
        </w:rPr>
        <w:t xml:space="preserve">hi</w:t>
      </w:r>
      <w:r>
        <w:t xml:space="preserve">, counts as not done. So the stem ends in</w:t>
      </w:r>
      <w:r>
        <w:t xml:space="preserve"> </w:t>
      </w:r>
      <w:r>
        <w:rPr>
          <w:iCs/>
          <w:i/>
        </w:rPr>
        <w:t xml:space="preserve">m</w:t>
      </w:r>
      <w:r>
        <w:t xml:space="preserve">, not in</w:t>
      </w:r>
      <w:r>
        <w:t xml:space="preserve"> </w:t>
      </w:r>
      <w:r>
        <w:rPr>
          <w:iCs/>
          <w:i/>
        </w:rPr>
        <w:t xml:space="preserve">a</w:t>
      </w:r>
      <w:r>
        <w:t xml:space="preserve">; so</w:t>
      </w:r>
      <w:r>
        <w:t xml:space="preserve"> </w:t>
      </w:r>
      <w:r>
        <w:rPr>
          <w:iCs/>
          <w:i/>
        </w:rPr>
        <w:t xml:space="preserve">hi</w:t>
      </w:r>
      <w:r>
        <w:t xml:space="preserve"> </w:t>
      </w:r>
      <w:r>
        <w:t xml:space="preserve">does not take</w:t>
      </w:r>
      <w:r>
        <w:t xml:space="preserve"> </w:t>
      </w:r>
      <w:r>
        <w:rPr>
          <w:iCs/>
          <w:i/>
        </w:rPr>
        <w:t xml:space="preserve">luk</w:t>
      </w:r>
      <w:r>
        <w:t xml:space="preserve">.</w:t>
      </w:r>
    </w:p>
    <w:bookmarkEnd w:id="748"/>
    <w:bookmarkStart w:id="749" w:name="page-689-rik-4-grammar-end"/>
    <w:p>
      <w:pPr>
        <w:pStyle w:val="Heading3"/>
      </w:pPr>
      <w:r>
        <w:t xml:space="preserve">Page 689 — Rik 4: grammar (end)</w:t>
      </w:r>
    </w:p>
    <w:p>
      <w:pPr>
        <w:pStyle w:val="FirstParagraph"/>
      </w:pPr>
      <w:r>
        <w:rPr>
          <w:bCs/>
          <w:b/>
        </w:rPr>
        <w:t xml:space="preserve">केशिभिः (</w:t>
      </w:r>
      <w:r>
        <w:rPr>
          <w:iCs/>
          <w:i/>
          <w:bCs/>
          <w:b/>
        </w:rPr>
        <w:t xml:space="preserve">keśibhiḥ</w:t>
      </w:r>
      <w:r>
        <w:rPr>
          <w:bCs/>
          <w:b/>
        </w:rPr>
        <w:t xml:space="preserve">)</w:t>
      </w:r>
      <w:r>
        <w:t xml:space="preserve">:</w:t>
      </w:r>
      <w:r>
        <w:t xml:space="preserve"> </w:t>
      </w:r>
      <w:r>
        <w:t xml:space="preserve">“</w:t>
      </w:r>
      <w:r>
        <w:t xml:space="preserve">kliśer an lo lopaś ca</w:t>
      </w:r>
      <w:r>
        <w:t xml:space="preserve">”</w:t>
      </w:r>
      <w:r>
        <w:t xml:space="preserve"> </w:t>
      </w:r>
      <w:r>
        <w:t xml:space="preserve">(Uṇ. sū.</w:t>
      </w:r>
      <w:r>
        <w:t xml:space="preserve"> </w:t>
      </w:r>
      <w:r>
        <w:t xml:space="preserve">“</w:t>
      </w:r>
      <w:r>
        <w:t xml:space="preserve">5-2-11</w:t>
      </w:r>
      <w:r>
        <w:t xml:space="preserve">”</w:t>
      </w:r>
      <w:r>
        <w:t xml:space="preserve"> </w:t>
      </w:r>
      <w:r>
        <w:t xml:space="preserve">[?]; the bhāṣya gives 5-33): after</w:t>
      </w:r>
      <w:r>
        <w:t xml:space="preserve"> </w:t>
      </w:r>
      <w:r>
        <w:rPr>
          <w:iCs/>
          <w:i/>
        </w:rPr>
        <w:t xml:space="preserve">kliśū vibādhane</w:t>
      </w:r>
      <w:r>
        <w:t xml:space="preserve"> </w:t>
      </w:r>
      <w:r>
        <w:t xml:space="preserve">the suffix</w:t>
      </w:r>
      <w:r>
        <w:t xml:space="preserve"> </w:t>
      </w:r>
      <w:r>
        <w:rPr>
          <w:iCs/>
          <w:i/>
        </w:rPr>
        <w:t xml:space="preserve">an</w:t>
      </w:r>
      <w:r>
        <w:t xml:space="preserve">, and the</w:t>
      </w:r>
      <w:r>
        <w:t xml:space="preserve"> </w:t>
      </w:r>
      <w:r>
        <w:rPr>
          <w:iCs/>
          <w:i/>
        </w:rPr>
        <w:t xml:space="preserve">l</w:t>
      </w:r>
      <w:r>
        <w:t xml:space="preserve"> </w:t>
      </w:r>
      <w:r>
        <w:t xml:space="preserve">of the root drops; so with the suffix</w:t>
      </w:r>
      <w:r>
        <w:t xml:space="preserve"> </w:t>
      </w:r>
      <w:r>
        <w:rPr>
          <w:iCs/>
          <w:i/>
        </w:rPr>
        <w:t xml:space="preserve">an</w:t>
      </w:r>
      <w:r>
        <w:t xml:space="preserve"> </w:t>
      </w:r>
      <w:r>
        <w:t xml:space="preserve">and the loss of</w:t>
      </w:r>
      <w:r>
        <w:t xml:space="preserve"> </w:t>
      </w:r>
      <w:r>
        <w:rPr>
          <w:iCs/>
          <w:i/>
        </w:rPr>
        <w:t xml:space="preserve">l</w:t>
      </w:r>
      <w:r>
        <w:t xml:space="preserve">,</w:t>
      </w:r>
      <w:r>
        <w:t xml:space="preserve"> </w:t>
      </w:r>
      <w:r>
        <w:rPr>
          <w:iCs/>
          <w:i/>
        </w:rPr>
        <w:t xml:space="preserve">kiś</w:t>
      </w:r>
      <w:r>
        <w:t xml:space="preserve"> </w:t>
      </w:r>
      <w:r>
        <w:t xml:space="preserve">+</w:t>
      </w:r>
      <w:r>
        <w:t xml:space="preserve"> </w:t>
      </w:r>
      <w:r>
        <w:rPr>
          <w:iCs/>
          <w:i/>
        </w:rPr>
        <w:t xml:space="preserve">a</w:t>
      </w:r>
      <w:r>
        <w:t xml:space="preserve">; by</w:t>
      </w:r>
      <w:r>
        <w:t xml:space="preserve"> </w:t>
      </w:r>
      <w:r>
        <w:t xml:space="preserve">“</w:t>
      </w:r>
      <w:r>
        <w:t xml:space="preserve">pugantalaghūpadhasya ca</w:t>
      </w:r>
      <w:r>
        <w:t xml:space="preserve">”</w:t>
      </w:r>
      <w:r>
        <w:t xml:space="preserve"> </w:t>
      </w:r>
      <w:r>
        <w:t xml:space="preserve">the</w:t>
      </w:r>
      <w:r>
        <w:t xml:space="preserve"> </w:t>
      </w:r>
      <w:r>
        <w:rPr>
          <w:iCs/>
          <w:i/>
        </w:rPr>
        <w:t xml:space="preserve">laghūpadha-guṇa</w:t>
      </w:r>
      <w:r>
        <w:t xml:space="preserve">:</w:t>
      </w:r>
      <w:r>
        <w:t xml:space="preserve"> </w:t>
      </w:r>
      <w:r>
        <w:rPr>
          <w:iCs/>
          <w:i/>
        </w:rPr>
        <w:t xml:space="preserve">keśa</w:t>
      </w:r>
      <w:r>
        <w:t xml:space="preserve">. By</w:t>
      </w:r>
      <w:r>
        <w:t xml:space="preserve"> </w:t>
      </w:r>
      <w:r>
        <w:t xml:space="preserve">“</w:t>
      </w:r>
      <w:r>
        <w:t xml:space="preserve">ata iniṭhanau</w:t>
      </w:r>
      <w:r>
        <w:t xml:space="preserve">”</w:t>
      </w:r>
      <w:r>
        <w:t xml:space="preserve"> </w:t>
      </w:r>
      <w:r>
        <w:t xml:space="preserve">(Pā. sū. 5-2-115) the suffix</w:t>
      </w:r>
      <w:r>
        <w:t xml:space="preserve"> </w:t>
      </w:r>
      <w:r>
        <w:rPr>
          <w:iCs/>
          <w:i/>
        </w:rPr>
        <w:t xml:space="preserve">ini</w:t>
      </w:r>
      <w:r>
        <w:t xml:space="preserve">:</w:t>
      </w:r>
      <w:r>
        <w:t xml:space="preserve"> </w:t>
      </w:r>
      <w:r>
        <w:rPr>
          <w:iCs/>
          <w:i/>
        </w:rPr>
        <w:t xml:space="preserve">keśa</w:t>
      </w:r>
      <w:r>
        <w:t xml:space="preserve"> </w:t>
      </w:r>
      <w:r>
        <w:t xml:space="preserve">+</w:t>
      </w:r>
      <w:r>
        <w:t xml:space="preserve"> </w:t>
      </w:r>
      <w:r>
        <w:rPr>
          <w:iCs/>
          <w:i/>
        </w:rPr>
        <w:t xml:space="preserve">in</w:t>
      </w:r>
      <w:r>
        <w:t xml:space="preserve">; by</w:t>
      </w:r>
      <w:r>
        <w:t xml:space="preserve"> </w:t>
      </w:r>
      <w:r>
        <w:t xml:space="preserve">“</w:t>
      </w:r>
      <w:r>
        <w:t xml:space="preserve">yasyeti ca</w:t>
      </w:r>
      <w:r>
        <w:t xml:space="preserve">”</w:t>
      </w:r>
      <w:r>
        <w:t xml:space="preserve"> </w:t>
      </w:r>
      <w:r>
        <w:t xml:space="preserve">(Pā. sū. 6-4-148) the</w:t>
      </w:r>
      <w:r>
        <w:t xml:space="preserve"> </w:t>
      </w:r>
      <w:r>
        <w:rPr>
          <w:iCs/>
          <w:i/>
        </w:rPr>
        <w:t xml:space="preserve">a</w:t>
      </w:r>
      <w:r>
        <w:t xml:space="preserve"> </w:t>
      </w:r>
      <w:r>
        <w:t xml:space="preserve">drops:</w:t>
      </w:r>
      <w:r>
        <w:t xml:space="preserve"> </w:t>
      </w:r>
      <w:r>
        <w:rPr>
          <w:iCs/>
          <w:i/>
        </w:rPr>
        <w:t xml:space="preserve">keśin</w:t>
      </w:r>
      <w:r>
        <w:t xml:space="preserve">. It is final udātta by the suffix accent. After it the instrumental plural</w:t>
      </w:r>
      <w:r>
        <w:t xml:space="preserve"> </w:t>
      </w:r>
      <w:r>
        <w:rPr>
          <w:iCs/>
          <w:i/>
        </w:rPr>
        <w:t xml:space="preserve">bhis</w:t>
      </w:r>
      <w:r>
        <w:t xml:space="preserve">:</w:t>
      </w:r>
      <w:r>
        <w:t xml:space="preserve"> </w:t>
      </w:r>
      <w:r>
        <w:rPr>
          <w:iCs/>
          <w:i/>
        </w:rPr>
        <w:t xml:space="preserve">keśin</w:t>
      </w:r>
      <w:r>
        <w:t xml:space="preserve"> </w:t>
      </w:r>
      <w:r>
        <w:t xml:space="preserve">+</w:t>
      </w:r>
      <w:r>
        <w:t xml:space="preserve"> </w:t>
      </w:r>
      <w:r>
        <w:rPr>
          <w:iCs/>
          <w:i/>
        </w:rPr>
        <w:t xml:space="preserve">bhis</w:t>
      </w:r>
      <w:r>
        <w:t xml:space="preserve">. By</w:t>
      </w:r>
      <w:r>
        <w:t xml:space="preserve"> </w:t>
      </w:r>
      <w:r>
        <w:t xml:space="preserve">“</w:t>
      </w:r>
      <w:r>
        <w:t xml:space="preserve">svādiṣv asarvanāmasthāne</w:t>
      </w:r>
      <w:r>
        <w:t xml:space="preserve">”</w:t>
      </w:r>
      <w:r>
        <w:t xml:space="preserve"> </w:t>
      </w:r>
      <w:r>
        <w:t xml:space="preserve">(Pā. sū. 1-4-17)</w:t>
      </w:r>
      <w:r>
        <w:t xml:space="preserve"> </w:t>
      </w:r>
      <w:r>
        <w:rPr>
          <w:iCs/>
          <w:i/>
        </w:rPr>
        <w:t xml:space="preserve">keśin</w:t>
      </w:r>
      <w:r>
        <w:t xml:space="preserve"> </w:t>
      </w:r>
      <w:r>
        <w:t xml:space="preserve">is called</w:t>
      </w:r>
      <w:r>
        <w:t xml:space="preserve"> </w:t>
      </w:r>
      <w:r>
        <w:rPr>
          <w:iCs/>
          <w:i/>
        </w:rPr>
        <w:t xml:space="preserve">pada</w:t>
      </w:r>
      <w:r>
        <w:t xml:space="preserve">; so by</w:t>
      </w:r>
      <w:r>
        <w:t xml:space="preserve"> </w:t>
      </w:r>
      <w:r>
        <w:t xml:space="preserve">“</w:t>
      </w:r>
      <w:r>
        <w:t xml:space="preserve">nalopaḥ prātipadikāntasya</w:t>
      </w:r>
      <w:r>
        <w:t xml:space="preserve">”</w:t>
      </w:r>
      <w:r>
        <w:t xml:space="preserve"> </w:t>
      </w:r>
      <w:r>
        <w:t xml:space="preserve">(Pā. sū. 8-2-7) the</w:t>
      </w:r>
      <w:r>
        <w:t xml:space="preserve"> </w:t>
      </w:r>
      <w:r>
        <w:rPr>
          <w:iCs/>
          <w:i/>
        </w:rPr>
        <w:t xml:space="preserve">n</w:t>
      </w:r>
      <w:r>
        <w:t xml:space="preserve"> </w:t>
      </w:r>
      <w:r>
        <w:t xml:space="preserve">drops; with</w:t>
      </w:r>
      <w:r>
        <w:t xml:space="preserve"> </w:t>
      </w:r>
      <w:r>
        <w:rPr>
          <w:iCs/>
          <w:i/>
        </w:rPr>
        <w:t xml:space="preserve">ru</w:t>
      </w:r>
      <w:r>
        <w:t xml:space="preserve"> </w:t>
      </w:r>
      <w:r>
        <w:t xml:space="preserve">and visarga,</w:t>
      </w:r>
      <w:r>
        <w:t xml:space="preserve"> </w:t>
      </w:r>
      <w:r>
        <w:rPr>
          <w:iCs/>
          <w:i/>
        </w:rPr>
        <w:t xml:space="preserve">keśibhiḥ</w:t>
      </w:r>
      <w:r>
        <w:t xml:space="preserve">.</w:t>
      </w:r>
    </w:p>
    <w:p>
      <w:pPr>
        <w:pStyle w:val="BodyText"/>
      </w:pPr>
      <w:r>
        <w:rPr>
          <w:bCs/>
          <w:b/>
        </w:rPr>
        <w:t xml:space="preserve">हवामहे (</w:t>
      </w:r>
      <w:r>
        <w:rPr>
          <w:iCs/>
          <w:i/>
          <w:bCs/>
          <w:b/>
        </w:rPr>
        <w:t xml:space="preserve">havāmahe</w:t>
      </w:r>
      <w:r>
        <w:rPr>
          <w:bCs/>
          <w:b/>
        </w:rPr>
        <w:t xml:space="preserve">)</w:t>
      </w:r>
      <w:r>
        <w:t xml:space="preserve">: the root</w:t>
      </w:r>
      <w:r>
        <w:t xml:space="preserve"> </w:t>
      </w:r>
      <w:r>
        <w:rPr>
          <w:iCs/>
          <w:i/>
        </w:rPr>
        <w:t xml:space="preserve">hveñ spardhāyāṃ śabde ca</w:t>
      </w:r>
      <w:r>
        <w:t xml:space="preserve">; after it</w:t>
      </w:r>
      <w:r>
        <w:t xml:space="preserve"> </w:t>
      </w:r>
      <w:r>
        <w:rPr>
          <w:iCs/>
          <w:i/>
        </w:rPr>
        <w:t xml:space="preserve">laṭ</w:t>
      </w:r>
      <w:r>
        <w:t xml:space="preserve">,</w:t>
      </w:r>
      <w:r>
        <w:t xml:space="preserve"> </w:t>
      </w:r>
      <w:r>
        <w:rPr>
          <w:iCs/>
          <w:i/>
        </w:rPr>
        <w:t xml:space="preserve">ātmanepada</w:t>
      </w:r>
      <w:r>
        <w:t xml:space="preserve"> </w:t>
      </w:r>
      <w:r>
        <w:t xml:space="preserve">1st plural</w:t>
      </w:r>
      <w:r>
        <w:t xml:space="preserve"> </w:t>
      </w:r>
      <w:r>
        <w:rPr>
          <w:iCs/>
          <w:i/>
        </w:rPr>
        <w:t xml:space="preserve">mahiṅ</w:t>
      </w:r>
      <w:r>
        <w:t xml:space="preserve">;</w:t>
      </w:r>
      <w:r>
        <w:t xml:space="preserve"> </w:t>
      </w:r>
      <w:r>
        <w:rPr>
          <w:iCs/>
          <w:i/>
        </w:rPr>
        <w:t xml:space="preserve">e</w:t>
      </w:r>
      <w:r>
        <w:t xml:space="preserve"> </w:t>
      </w:r>
      <w:r>
        <w:t xml:space="preserve">for the</w:t>
      </w:r>
      <w:r>
        <w:t xml:space="preserve"> </w:t>
      </w:r>
      <w:r>
        <w:rPr>
          <w:iCs/>
          <w:i/>
        </w:rPr>
        <w:t xml:space="preserve">ṭi</w:t>
      </w:r>
      <w:r>
        <w:t xml:space="preserve"> </w:t>
      </w:r>
      <w:r>
        <w:t xml:space="preserve">by</w:t>
      </w:r>
      <w:r>
        <w:t xml:space="preserve"> </w:t>
      </w:r>
      <w:r>
        <w:t xml:space="preserve">“</w:t>
      </w:r>
      <w:r>
        <w:t xml:space="preserve">ṭita ātmanepadānāṃ ṭere</w:t>
      </w:r>
      <w:r>
        <w:t xml:space="preserve">”</w:t>
      </w:r>
      <w:r>
        <w:t xml:space="preserve"> </w:t>
      </w:r>
      <w:r>
        <w:t xml:space="preserve">(Pā. sū.</w:t>
      </w:r>
      <w:r>
        <w:t xml:space="preserve"> </w:t>
      </w:r>
      <w:r>
        <w:t xml:space="preserve">“</w:t>
      </w:r>
      <w:r>
        <w:t xml:space="preserve">3-4-28</w:t>
      </w:r>
      <w:r>
        <w:t xml:space="preserve">”</w:t>
      </w:r>
      <w:r>
        <w:t xml:space="preserve"> </w:t>
      </w:r>
      <w:r>
        <w:t xml:space="preserve">[as printed, for 3-4-79]);</w:t>
      </w:r>
      <w:r>
        <w:t xml:space="preserve"> </w:t>
      </w:r>
      <w:r>
        <w:rPr>
          <w:iCs/>
          <w:i/>
        </w:rPr>
        <w:t xml:space="preserve">śap</w:t>
      </w:r>
      <w:r>
        <w:t xml:space="preserve"> </w:t>
      </w:r>
      <w:r>
        <w:t xml:space="preserve">by</w:t>
      </w:r>
      <w:r>
        <w:t xml:space="preserve"> </w:t>
      </w:r>
      <w:r>
        <w:t xml:space="preserve">“</w:t>
      </w:r>
      <w:r>
        <w:t xml:space="preserve">kartari śap</w:t>
      </w:r>
      <w:r>
        <w:t xml:space="preserve">”</w:t>
      </w:r>
      <w:r>
        <w:t xml:space="preserve">:</w:t>
      </w:r>
      <w:r>
        <w:t xml:space="preserve"> </w:t>
      </w:r>
      <w:r>
        <w:rPr>
          <w:iCs/>
          <w:i/>
        </w:rPr>
        <w:t xml:space="preserve">hve</w:t>
      </w:r>
      <w:r>
        <w:t xml:space="preserve"> </w:t>
      </w:r>
      <w:r>
        <w:t xml:space="preserve">+</w:t>
      </w:r>
      <w:r>
        <w:t xml:space="preserve"> </w:t>
      </w:r>
      <w:r>
        <w:rPr>
          <w:iCs/>
          <w:i/>
        </w:rPr>
        <w:t xml:space="preserve">a</w:t>
      </w:r>
      <w:r>
        <w:t xml:space="preserve"> </w:t>
      </w:r>
      <w:r>
        <w:t xml:space="preserve">+</w:t>
      </w:r>
      <w:r>
        <w:t xml:space="preserve"> </w:t>
      </w:r>
      <w:r>
        <w:rPr>
          <w:iCs/>
          <w:i/>
        </w:rPr>
        <w:t xml:space="preserve">mahe</w:t>
      </w:r>
      <w:r>
        <w:t xml:space="preserve">; with</w:t>
      </w:r>
      <w:r>
        <w:t xml:space="preserve"> </w:t>
      </w:r>
      <w:r>
        <w:t xml:space="preserve">“</w:t>
      </w:r>
      <w:r>
        <w:t xml:space="preserve">hvaḥ samprasāraṇam</w:t>
      </w:r>
      <w:r>
        <w:t xml:space="preserve">”</w:t>
      </w:r>
      <w:r>
        <w:t xml:space="preserve"> </w:t>
      </w:r>
      <w:r>
        <w:t xml:space="preserve">(Pā. sū. 6-1-32) carried on, by</w:t>
      </w:r>
      <w:r>
        <w:t xml:space="preserve"> </w:t>
      </w:r>
      <w:r>
        <w:t xml:space="preserve">“</w:t>
      </w:r>
      <w:r>
        <w:t xml:space="preserve">bahulaṃ chandasi</w:t>
      </w:r>
      <w:r>
        <w:t xml:space="preserve">”</w:t>
      </w:r>
      <w:r>
        <w:t xml:space="preserve"> </w:t>
      </w:r>
      <w:r>
        <w:t xml:space="preserve">(Pā. sū. 6-1-34)</w:t>
      </w:r>
      <w:r>
        <w:t xml:space="preserve"> </w:t>
      </w:r>
      <w:r>
        <w:rPr>
          <w:iCs/>
          <w:i/>
        </w:rPr>
        <w:t xml:space="preserve">saṃprasāraṇa</w:t>
      </w:r>
      <w:r>
        <w:t xml:space="preserve">;</w:t>
      </w:r>
      <w:r>
        <w:t xml:space="preserve"> </w:t>
      </w:r>
      <w:r>
        <w:rPr>
          <w:iCs/>
          <w:i/>
        </w:rPr>
        <w:t xml:space="preserve">pūrvarūpa</w:t>
      </w:r>
      <w:r>
        <w:t xml:space="preserve"> </w:t>
      </w:r>
      <w:r>
        <w:t xml:space="preserve">by</w:t>
      </w:r>
      <w:r>
        <w:t xml:space="preserve"> </w:t>
      </w:r>
      <w:r>
        <w:t xml:space="preserve">“</w:t>
      </w:r>
      <w:r>
        <w:t xml:space="preserve">saṃprasāraṇāc ca</w:t>
      </w:r>
      <w:r>
        <w:t xml:space="preserve">”</w:t>
      </w:r>
      <w:r>
        <w:t xml:space="preserve"> </w:t>
      </w:r>
      <w:r>
        <w:t xml:space="preserve">(Pā. sū. 6-1-108);</w:t>
      </w:r>
      <w:r>
        <w:t xml:space="preserve"> </w:t>
      </w:r>
      <w:r>
        <w:rPr>
          <w:iCs/>
          <w:i/>
        </w:rPr>
        <w:t xml:space="preserve">guṇa</w:t>
      </w:r>
      <w:r>
        <w:t xml:space="preserve"> </w:t>
      </w:r>
      <w:r>
        <w:t xml:space="preserve">by</w:t>
      </w:r>
      <w:r>
        <w:t xml:space="preserve"> </w:t>
      </w:r>
      <w:r>
        <w:t xml:space="preserve">“</w:t>
      </w:r>
      <w:r>
        <w:t xml:space="preserve">sārvadhātukārdhadhātukayoḥ</w:t>
      </w:r>
      <w:r>
        <w:t xml:space="preserve">”</w:t>
      </w:r>
      <w:r>
        <w:t xml:space="preserve">;</w:t>
      </w:r>
      <w:r>
        <w:t xml:space="preserve"> </w:t>
      </w:r>
      <w:r>
        <w:rPr>
          <w:iCs/>
          <w:i/>
        </w:rPr>
        <w:t xml:space="preserve">av</w:t>
      </w:r>
      <w:r>
        <w:t xml:space="preserve"> </w:t>
      </w:r>
      <w:r>
        <w:t xml:space="preserve">by</w:t>
      </w:r>
      <w:r>
        <w:t xml:space="preserve"> </w:t>
      </w:r>
      <w:r>
        <w:t xml:space="preserve">“</w:t>
      </w:r>
      <w:r>
        <w:t xml:space="preserve">eco ’yavāyāvaḥ</w:t>
      </w:r>
      <w:r>
        <w:t xml:space="preserve">”</w:t>
      </w:r>
      <w:r>
        <w:t xml:space="preserve"> </w:t>
      </w:r>
      <w:r>
        <w:t xml:space="preserve">(Pā. sū. 6-1-78):</w:t>
      </w:r>
      <w:r>
        <w:t xml:space="preserve"> </w:t>
      </w:r>
      <w:r>
        <w:rPr>
          <w:iCs/>
          <w:i/>
        </w:rPr>
        <w:t xml:space="preserve">hav</w:t>
      </w:r>
      <w:r>
        <w:t xml:space="preserve"> </w:t>
      </w:r>
      <w:r>
        <w:t xml:space="preserve">+</w:t>
      </w:r>
      <w:r>
        <w:t xml:space="preserve"> </w:t>
      </w:r>
      <w:r>
        <w:rPr>
          <w:iCs/>
          <w:i/>
        </w:rPr>
        <w:t xml:space="preserve">a</w:t>
      </w:r>
      <w:r>
        <w:t xml:space="preserve"> </w:t>
      </w:r>
      <w:r>
        <w:t xml:space="preserve">+</w:t>
      </w:r>
      <w:r>
        <w:t xml:space="preserve"> </w:t>
      </w:r>
      <w:r>
        <w:rPr>
          <w:iCs/>
          <w:i/>
        </w:rPr>
        <w:t xml:space="preserve">mahe</w:t>
      </w:r>
      <w:r>
        <w:t xml:space="preserve">; by</w:t>
      </w:r>
      <w:r>
        <w:t xml:space="preserve"> </w:t>
      </w:r>
      <w:r>
        <w:t xml:space="preserve">“</w:t>
      </w:r>
      <w:r>
        <w:t xml:space="preserve">ato dīrgho yañi</w:t>
      </w:r>
      <w:r>
        <w:t xml:space="preserve">”</w:t>
      </w:r>
      <w:r>
        <w:t xml:space="preserve"> </w:t>
      </w:r>
      <w:r>
        <w:t xml:space="preserve">(Pā. sū. 7-3-101) the</w:t>
      </w:r>
      <w:r>
        <w:t xml:space="preserve"> </w:t>
      </w:r>
      <w:r>
        <w:rPr>
          <w:iCs/>
          <w:i/>
        </w:rPr>
        <w:t xml:space="preserve">a</w:t>
      </w:r>
      <w:r>
        <w:t xml:space="preserve"> </w:t>
      </w:r>
      <w:r>
        <w:t xml:space="preserve">lengthened:</w:t>
      </w:r>
      <w:r>
        <w:t xml:space="preserve"> </w:t>
      </w:r>
      <w:r>
        <w:rPr>
          <w:iCs/>
          <w:i/>
        </w:rPr>
        <w:t xml:space="preserve">havāmahe</w:t>
      </w:r>
      <w:r>
        <w:t xml:space="preserve">.</w:t>
      </w:r>
      <w:r>
        <w:t xml:space="preserve"> </w:t>
      </w:r>
      <w:r>
        <w:rPr>
          <w:iCs/>
          <w:i/>
        </w:rPr>
        <w:t xml:space="preserve">Śap</w:t>
      </w:r>
      <w:r>
        <w:t xml:space="preserve"> </w:t>
      </w:r>
      <w:r>
        <w:t xml:space="preserve">is</w:t>
      </w:r>
      <w:r>
        <w:t xml:space="preserve"> </w:t>
      </w:r>
      <w:r>
        <w:rPr>
          <w:iCs/>
          <w:i/>
        </w:rPr>
        <w:t xml:space="preserve">pit</w:t>
      </w:r>
      <w:r>
        <w:t xml:space="preserve">, so unaccented by</w:t>
      </w:r>
      <w:r>
        <w:t xml:space="preserve"> </w:t>
      </w:r>
      <w:r>
        <w:t xml:space="preserve">“</w:t>
      </w:r>
      <w:r>
        <w:t xml:space="preserve">anudāttau suppitau</w:t>
      </w:r>
      <w:r>
        <w:t xml:space="preserve">”</w:t>
      </w:r>
      <w:r>
        <w:t xml:space="preserve">; the</w:t>
      </w:r>
      <w:r>
        <w:t xml:space="preserve"> </w:t>
      </w:r>
      <w:r>
        <w:rPr>
          <w:iCs/>
          <w:i/>
        </w:rPr>
        <w:t xml:space="preserve">tiṅ</w:t>
      </w:r>
      <w:r>
        <w:t xml:space="preserve"> </w:t>
      </w:r>
      <w:r>
        <w:t xml:space="preserve">suffix</w:t>
      </w:r>
      <w:r>
        <w:t xml:space="preserve"> </w:t>
      </w:r>
      <w:r>
        <w:rPr>
          <w:iCs/>
          <w:i/>
        </w:rPr>
        <w:t xml:space="preserve">mahe</w:t>
      </w:r>
      <w:r>
        <w:t xml:space="preserve"> </w:t>
      </w:r>
      <w:r>
        <w:t xml:space="preserve">after the</w:t>
      </w:r>
      <w:r>
        <w:t xml:space="preserve"> </w:t>
      </w:r>
      <w:r>
        <w:rPr>
          <w:iCs/>
          <w:i/>
        </w:rPr>
        <w:t xml:space="preserve">śap</w:t>
      </w:r>
      <w:r>
        <w:t xml:space="preserve">, an</w:t>
      </w:r>
      <w:r>
        <w:t xml:space="preserve"> </w:t>
      </w:r>
      <w:r>
        <w:rPr>
          <w:iCs/>
          <w:i/>
        </w:rPr>
        <w:t xml:space="preserve">adupadeśa</w:t>
      </w:r>
      <w:r>
        <w:t xml:space="preserve">, is unaccented by</w:t>
      </w:r>
      <w:r>
        <w:t xml:space="preserve"> </w:t>
      </w:r>
      <w:r>
        <w:t xml:space="preserve">“</w:t>
      </w:r>
      <w:r>
        <w:t xml:space="preserve">tāsyanudāttet</w:t>
      </w:r>
      <w:r>
        <w:t xml:space="preserve">”</w:t>
      </w:r>
      <w:r>
        <w:t xml:space="preserve"> </w:t>
      </w:r>
      <w:r>
        <w:t xml:space="preserve">(Pā. sū. 6-1-186); so the root accent remains. By</w:t>
      </w:r>
      <w:r>
        <w:t xml:space="preserve"> </w:t>
      </w:r>
      <w:r>
        <w:t xml:space="preserve">“</w:t>
      </w:r>
      <w:r>
        <w:t xml:space="preserve">hi ca</w:t>
      </w:r>
      <w:r>
        <w:t xml:space="preserve">”</w:t>
      </w:r>
      <w:r>
        <w:t xml:space="preserve"> </w:t>
      </w:r>
      <w:r>
        <w:t xml:space="preserve">(Pā. sū. 8-1-34), a</w:t>
      </w:r>
      <w:r>
        <w:t xml:space="preserve"> </w:t>
      </w:r>
      <w:r>
        <w:rPr>
          <w:iCs/>
          <w:i/>
        </w:rPr>
        <w:t xml:space="preserve">tiṅanta</w:t>
      </w:r>
      <w:r>
        <w:t xml:space="preserve"> </w:t>
      </w:r>
      <w:r>
        <w:t xml:space="preserve">joined with the word</w:t>
      </w:r>
      <w:r>
        <w:t xml:space="preserve"> </w:t>
      </w:r>
      <w:r>
        <w:rPr>
          <w:iCs/>
          <w:i/>
        </w:rPr>
        <w:t xml:space="preserve">hi</w:t>
      </w:r>
      <w:r>
        <w:t xml:space="preserve"> </w:t>
      </w:r>
      <w:r>
        <w:t xml:space="preserve">is not unaccented; and since in</w:t>
      </w:r>
      <w:r>
        <w:t xml:space="preserve"> </w:t>
      </w:r>
      <w:r>
        <w:rPr>
          <w:iCs/>
          <w:i/>
        </w:rPr>
        <w:t xml:space="preserve">sute hi tvā havāmahe</w:t>
      </w:r>
      <w:r>
        <w:t xml:space="preserve"> </w:t>
      </w:r>
      <w:r>
        <w:t xml:space="preserve">the word</w:t>
      </w:r>
      <w:r>
        <w:t xml:space="preserve"> </w:t>
      </w:r>
      <w:r>
        <w:rPr>
          <w:iCs/>
          <w:i/>
        </w:rPr>
        <w:t xml:space="preserve">hi</w:t>
      </w:r>
      <w:r>
        <w:t xml:space="preserve"> </w:t>
      </w:r>
      <w:r>
        <w:t xml:space="preserve">is used,</w:t>
      </w:r>
      <w:r>
        <w:t xml:space="preserve"> </w:t>
      </w:r>
      <w:r>
        <w:t xml:space="preserve">“</w:t>
      </w:r>
      <w:r>
        <w:t xml:space="preserve">tiṅṅatiṅaḥ</w:t>
      </w:r>
      <w:r>
        <w:t xml:space="preserve">”</w:t>
      </w:r>
      <w:r>
        <w:t xml:space="preserve"> </w:t>
      </w:r>
      <w:r>
        <w:t xml:space="preserve">does not make it wholly unaccented. From the mention of</w:t>
      </w:r>
      <w:r>
        <w:t xml:space="preserve"> </w:t>
      </w:r>
      <w:r>
        <w:rPr>
          <w:iCs/>
          <w:i/>
        </w:rPr>
        <w:t xml:space="preserve">pūjita</w:t>
      </w:r>
      <w:r>
        <w:t xml:space="preserve"> </w:t>
      </w:r>
      <w:r>
        <w:t xml:space="preserve">in the sūtra</w:t>
      </w:r>
      <w:r>
        <w:t xml:space="preserve"> </w:t>
      </w:r>
      <w:r>
        <w:rPr>
          <w:iCs/>
          <w:i/>
        </w:rPr>
        <w:t xml:space="preserve">pūjanāt pūjitam</w:t>
      </w:r>
      <w:r>
        <w:t xml:space="preserve"> </w:t>
      </w:r>
      <w:r>
        <w:t xml:space="preserve">it is made known that</w:t>
      </w:r>
      <w:r>
        <w:t xml:space="preserve"> </w:t>
      </w:r>
      <w:r>
        <w:t xml:space="preserve">“</w:t>
      </w:r>
      <w:r>
        <w:t xml:space="preserve">in this section, though there is a fifth-case statement, immediate sequence is not required</w:t>
      </w:r>
      <w:r>
        <w:t xml:space="preserve">”</w:t>
      </w:r>
      <w:r>
        <w:t xml:space="preserve">; so, though</w:t>
      </w:r>
      <w:r>
        <w:t xml:space="preserve"> </w:t>
      </w:r>
      <w:r>
        <w:rPr>
          <w:iCs/>
          <w:i/>
        </w:rPr>
        <w:t xml:space="preserve">tvā</w:t>
      </w:r>
      <w:r>
        <w:t xml:space="preserve"> </w:t>
      </w:r>
      <w:r>
        <w:t xml:space="preserve">intervenes, there is no obstacle to the bar of</w:t>
      </w:r>
      <w:r>
        <w:t xml:space="preserve"> </w:t>
      </w:r>
      <w:r>
        <w:rPr>
          <w:iCs/>
          <w:i/>
        </w:rPr>
        <w:t xml:space="preserve">hi ca</w:t>
      </w:r>
      <w:r>
        <w:t xml:space="preserve">. This point was set out before.</w:t>
      </w:r>
    </w:p>
    <w:p>
      <w:pPr>
        <w:pStyle w:val="BodyText"/>
      </w:pPr>
      <w:r>
        <w:rPr>
          <w:bCs/>
          <w:b/>
        </w:rPr>
        <w:t xml:space="preserve">॥४॥</w:t>
      </w:r>
    </w:p>
    <w:p>
      <w:r>
        <w:pict>
          <v:rect style="width:0;height:1.5pt" o:hralign="center" o:hrstd="t" o:hr="t"/>
        </w:pict>
      </w:r>
    </w:p>
    <w:bookmarkEnd w:id="749"/>
    <w:bookmarkStart w:id="750" w:name="page-689-lower-sūkta-16-rik-5"/>
    <w:p>
      <w:pPr>
        <w:pStyle w:val="Heading3"/>
      </w:pPr>
      <w:r>
        <w:t xml:space="preserve">Page 689 (lower) — Sūkta 16, Rik 5</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सेमं नः॒ स्तोम॒मा ग॒ह्युपे॒दं सव॑नं सु॒तम् ।</w:t>
      </w:r>
      <w:r>
        <w:t xml:space="preserve"> </w:t>
      </w:r>
      <w:r>
        <w:t xml:space="preserve">गौ॒रो न तृ॑षितः पि॑ब ॥५॥ [accent ?]</w:t>
      </w:r>
    </w:p>
    <w:p>
      <w:pPr>
        <w:pStyle w:val="BlockText"/>
      </w:pPr>
      <w:r>
        <w:rPr>
          <w:iCs/>
          <w:i/>
        </w:rPr>
        <w:t xml:space="preserve">semaṃ naḥ stómam ā́ gahy úpedáṃ sávanaṃ sutám |</w:t>
      </w:r>
      <w:r>
        <w:t xml:space="preserve"> </w:t>
      </w:r>
      <w:r>
        <w:rPr>
          <w:iCs/>
          <w:i/>
        </w:rPr>
        <w:t xml:space="preserve">gauró ná tṛṣitáḥ piba ||5||</w:t>
      </w:r>
      <w:r>
        <w:t xml:space="preserve"> </w:t>
      </w:r>
      <w:r>
        <w:t xml:space="preserve">[accent ?]</w:t>
      </w:r>
    </w:p>
    <w:p>
      <w:pPr>
        <w:pStyle w:val="FirstParagraph"/>
      </w:pPr>
      <w:r>
        <w:rPr>
          <w:iCs/>
          <w:i/>
        </w:rPr>
        <w:t xml:space="preserve">(Read at the foot of p. 689: bars under नः, the second म of स्तोमम्, ग, पे, सु and गौ; strokes over व, तृ and पि. No bar is printed under न before तृ, nor under षि.)</w:t>
      </w:r>
    </w:p>
    <w:bookmarkEnd w:id="750"/>
    <w:bookmarkStart w:id="751" w:name="Xc2ebba243cf04b3ab124ae23817df62657f0077"/>
    <w:p>
      <w:pPr>
        <w:pStyle w:val="Heading3"/>
      </w:pPr>
      <w:r>
        <w:t xml:space="preserve">Page 690 — Rik 5: Pada, bhāṣya, word-meanings, overall sense, English</w:t>
      </w:r>
    </w:p>
    <w:p>
      <w:pPr>
        <w:pStyle w:val="FirstParagraph"/>
      </w:pPr>
      <w:r>
        <w:rPr>
          <w:bCs/>
          <w:b/>
        </w:rPr>
        <w:t xml:space="preserve">॥ Pada-pāṭhaḥ ॥</w:t>
      </w:r>
    </w:p>
    <w:p>
      <w:pPr>
        <w:pStyle w:val="BlockText"/>
      </w:pPr>
      <w:r>
        <w:t xml:space="preserve">सः । इमम् । नः । स्तोमम् । आ । गहि । उप । इदम् । सवनम् । सुतम् ॥</w:t>
      </w:r>
      <w:r>
        <w:t xml:space="preserve"> </w:t>
      </w:r>
      <w:r>
        <w:t xml:space="preserve">गौरः । न । तृषितः । पिब ॥५॥</w:t>
      </w:r>
    </w:p>
    <w:p>
      <w:pPr>
        <w:pStyle w:val="BlockText"/>
      </w:pPr>
      <w:r>
        <w:rPr>
          <w:iCs/>
          <w:i/>
        </w:rPr>
        <w:t xml:space="preserve">saḥ | imam | naḥ | stomam | ā | gahi | upa | idam | savanam | sutam ||</w:t>
      </w:r>
      <w:r>
        <w:t xml:space="preserve"> </w:t>
      </w:r>
      <w:r>
        <w:rPr>
          <w:iCs/>
          <w:i/>
        </w:rPr>
        <w:t xml:space="preserve">gauraḥ | na | tṛṣitaḥ | piba ||5||</w:t>
      </w:r>
    </w:p>
    <w:p>
      <w:pPr>
        <w:pStyle w:val="FirstParagraph"/>
      </w:pPr>
      <w:r>
        <w:rPr>
          <w:bCs/>
          <w:b/>
        </w:rPr>
        <w:t xml:space="preserve">॥ Sāyaṇa-bhāṣyam ॥</w:t>
      </w:r>
    </w:p>
    <w:p>
      <w:pPr>
        <w:pStyle w:val="BodyText"/>
      </w:pPr>
      <w:r>
        <w:rPr>
          <w:iCs/>
          <w:i/>
        </w:rPr>
        <w:t xml:space="preserve">(उडन्तात् is as printed; the grammar page (p. 691) has ल्युडन्त, so ल्युडन्तात् is probably meant.</w:t>
      </w:r>
      <w:r>
        <w:rPr>
          <w:iCs/>
          <w:i/>
        </w:rPr>
        <w:t xml:space="preserve"> </w:t>
      </w:r>
      <w:r>
        <w:rPr>
          <w:iCs/>
          <w:i/>
        </w:rPr>
        <w:t xml:space="preserve">“</w:t>
      </w:r>
      <w:r>
        <w:rPr>
          <w:iCs/>
          <w:i/>
        </w:rPr>
        <w:t xml:space="preserve">म.</w:t>
      </w:r>
      <w:r>
        <w:rPr>
          <w:iCs/>
          <w:i/>
        </w:rPr>
        <w:t xml:space="preserve">”</w:t>
      </w:r>
      <w:r>
        <w:rPr>
          <w:iCs/>
          <w:i/>
        </w:rPr>
        <w:t xml:space="preserve"> </w:t>
      </w:r>
      <w:r>
        <w:rPr>
          <w:iCs/>
          <w:i/>
        </w:rPr>
        <w:t xml:space="preserve">before ७-१-३९ is as printed. ॥३०॥ closes Varga 30.)</w:t>
      </w:r>
    </w:p>
    <w:p>
      <w:pPr>
        <w:pStyle w:val="BlockText"/>
      </w:pPr>
      <w:r>
        <w:t xml:space="preserve">हे इन्द्र स त्वं नोऽस्मदीयमिमं स्तोमं स्तुतिं प्रत्या गहि । आगच्छ । आगमने हेतुरुच्यते । उप देवयजनसमीपे सुतमभिषुतसोमयुक्तमिदानीमनुष्ठीयमानं सवनं प्रातःसवनादिरूपं कर्म वर्तते । तस्माद्गौरो न गौरमृग इव तृषितः सन्निमं सोमं पिब ॥ सः इममित्यत्र संहितायां सोऽचि लोपे चेत्पादपूरणम् । पा. ६-१-१३४ । इति सुलोपः । गहि । गतम् । सवनम् । सूयतेऽस्मिन्सोम इत्यधिकरणे ल्युट् । लितीति प्रत्ययात्पूर्वस्योदात्तत्वम् । उडन्तात्सप्तम्याः [?] सुपां सुपो भवन्तीति वक्तव्यम् । म. ७-१-३९ । इति वचनाद्द्वितीया । अभिषुतसोमयुक्तमिदं सवनमिति कर्मण्येव वा द्वितीया । तदा सुतशब्दादर्शआदित्वादच् । पा. ५-२-१२७ । तृषितः । ञितृष पिपासायाम् । निष्ठेति क्तः । प्रत्ययस्वरेणोदात्तः । पश्चादिटि आगमा अनुदात्ता इत्यनुदात्तत्वम् ॥३०॥</w:t>
      </w:r>
    </w:p>
    <w:p>
      <w:pPr>
        <w:pStyle w:val="BlockText"/>
      </w:pPr>
      <w:r>
        <w:rPr>
          <w:iCs/>
          <w:i/>
        </w:rPr>
        <w:t xml:space="preserve">he indra sa tvaṃ no ’smadīyamimaṃ stomaṃ stutiṃ pratyā gahi | āgaccha | āgamane heturucyate | upa devayajanasamīpe sutamabhiṣutasomayuktamidānīmanuṣṭhīyamānaṃ savanaṃ prātaḥsavanādirūpaṃ karma vartate | tasmādgauro na gauramṛga iva tṛṣitaḥ sannimaṃ somaṃ piba || saḥ imamityatra saṃhitāyāṃ so ’ci lope cetpādapūraṇam | pā. 6-1-134 | iti sulopaḥ | gahi | gatam | savanam | sūyate ’sminsoma ityadhikaraṇe lyuṭ | litīti pratyayātpūrvasyodāttatvam | uḍantātsaptamyāḥ [?] supāṃ supo bhavantīti vaktavyam | ma. 7-1-39 | iti vacanāddvitīyā | abhiṣutasomayuktamidaṃ savanamiti karmaṇyeva vā dvitīyā | tadā sutaśabdādarśaāditvādac | pā. 5-2-127 | tṛṣitaḥ | ñitṛṣa pipāsāyām | niṣṭheti ktaḥ | pratyayasvareṇodāttaḥ | paścādiṭi āgamā anudāttā ityanudāttatvam ||30||</w:t>
      </w:r>
    </w:p>
    <w:p>
      <w:pPr>
        <w:pStyle w:val="FirstParagraph"/>
      </w:pPr>
      <w:r>
        <w:rPr>
          <w:bCs/>
          <w:b/>
        </w:rPr>
        <w:t xml:space="preserve">Translation:</w:t>
      </w:r>
      <w:r>
        <w:t xml:space="preserve"> </w:t>
      </w:r>
      <w:r>
        <w:t xml:space="preserve">“</w:t>
      </w:r>
      <w:r>
        <w:t xml:space="preserve">O Indra, such as you are, come to this our</w:t>
      </w:r>
      <w:r>
        <w:t xml:space="preserve"> </w:t>
      </w:r>
      <w:r>
        <w:rPr>
          <w:iCs/>
          <w:i/>
        </w:rPr>
        <w:t xml:space="preserve">stoma</w:t>
      </w:r>
      <w:r>
        <w:t xml:space="preserve">, praise. Come: the reason for coming is stated. Near (</w:t>
      </w:r>
      <w:r>
        <w:rPr>
          <w:iCs/>
          <w:i/>
        </w:rPr>
        <w:t xml:space="preserve">upa</w:t>
      </w:r>
      <w:r>
        <w:t xml:space="preserve">) the place of sacrifice a rite (</w:t>
      </w:r>
      <w:r>
        <w:rPr>
          <w:iCs/>
          <w:i/>
        </w:rPr>
        <w:t xml:space="preserve">savana</w:t>
      </w:r>
      <w:r>
        <w:t xml:space="preserve">) in the form of the morning pressing and so on, joined with the pressed soma (</w:t>
      </w:r>
      <w:r>
        <w:rPr>
          <w:iCs/>
          <w:i/>
        </w:rPr>
        <w:t xml:space="preserve">sutam</w:t>
      </w:r>
      <w:r>
        <w:t xml:space="preserve">), is now being performed. Therefore, like a</w:t>
      </w:r>
      <w:r>
        <w:t xml:space="preserve"> </w:t>
      </w:r>
      <w:r>
        <w:rPr>
          <w:iCs/>
          <w:i/>
        </w:rPr>
        <w:t xml:space="preserve">gaura</w:t>
      </w:r>
      <w:r>
        <w:t xml:space="preserve">, a</w:t>
      </w:r>
      <w:r>
        <w:t xml:space="preserve"> </w:t>
      </w:r>
      <w:r>
        <w:rPr>
          <w:iCs/>
          <w:i/>
        </w:rPr>
        <w:t xml:space="preserve">gaura</w:t>
      </w:r>
      <w:r>
        <w:t xml:space="preserve"> </w:t>
      </w:r>
      <w:r>
        <w:t xml:space="preserve">deer, being thirsty, drink this soma.</w:t>
      </w:r>
      <w:r>
        <w:t xml:space="preserve">”</w:t>
      </w:r>
      <w:r>
        <w:t xml:space="preserve"> </w:t>
      </w:r>
      <w:r>
        <w:t xml:space="preserve">(Grammatical tail:</w:t>
      </w:r>
      <w:r>
        <w:t xml:space="preserve"> </w:t>
      </w:r>
      <w:r>
        <w:rPr>
          <w:iCs/>
          <w:i/>
        </w:rPr>
        <w:t xml:space="preserve">sa imam</w:t>
      </w:r>
      <w:r>
        <w:t xml:space="preserve">, the loss of</w:t>
      </w:r>
      <w:r>
        <w:t xml:space="preserve"> </w:t>
      </w:r>
      <w:r>
        <w:rPr>
          <w:iCs/>
          <w:i/>
        </w:rPr>
        <w:t xml:space="preserve">su</w:t>
      </w:r>
      <w:r>
        <w:t xml:space="preserve"> </w:t>
      </w:r>
      <w:r>
        <w:t xml:space="preserve">in the Saṃhitā by Pā. 6-1-134;</w:t>
      </w:r>
      <w:r>
        <w:t xml:space="preserve"> </w:t>
      </w:r>
      <w:r>
        <w:rPr>
          <w:iCs/>
          <w:i/>
        </w:rPr>
        <w:t xml:space="preserve">gahi</w:t>
      </w:r>
      <w:r>
        <w:t xml:space="preserve">, explained before;</w:t>
      </w:r>
      <w:r>
        <w:t xml:space="preserve"> </w:t>
      </w:r>
      <w:r>
        <w:rPr>
          <w:iCs/>
          <w:i/>
        </w:rPr>
        <w:t xml:space="preserve">savanam</w:t>
      </w:r>
      <w:r>
        <w:t xml:space="preserve">,</w:t>
      </w:r>
      <w:r>
        <w:t xml:space="preserve"> </w:t>
      </w:r>
      <w:r>
        <w:rPr>
          <w:iCs/>
          <w:i/>
        </w:rPr>
        <w:t xml:space="preserve">lyuṭ</w:t>
      </w:r>
      <w:r>
        <w:t xml:space="preserve"> </w:t>
      </w:r>
      <w:r>
        <w:t xml:space="preserve">in the sense of place,</w:t>
      </w:r>
      <w:r>
        <w:t xml:space="preserve"> </w:t>
      </w:r>
      <w:r>
        <w:t xml:space="preserve">“</w:t>
      </w:r>
      <w:r>
        <w:t xml:space="preserve">in it the soma is pressed</w:t>
      </w:r>
      <w:r>
        <w:t xml:space="preserve">”</w:t>
      </w:r>
      <w:r>
        <w:t xml:space="preserve">, the accent before the suffix by</w:t>
      </w:r>
      <w:r>
        <w:t xml:space="preserve"> </w:t>
      </w:r>
      <w:r>
        <w:rPr>
          <w:iCs/>
          <w:i/>
        </w:rPr>
        <w:t xml:space="preserve">liti</w:t>
      </w:r>
      <w:r>
        <w:t xml:space="preserve">; the accusative for the locative by the statement</w:t>
      </w:r>
      <w:r>
        <w:t xml:space="preserve"> </w:t>
      </w:r>
      <w:r>
        <w:rPr>
          <w:iCs/>
          <w:i/>
        </w:rPr>
        <w:t xml:space="preserve">supāṃ supo bhavanti</w:t>
      </w:r>
      <w:r>
        <w:t xml:space="preserve"> </w:t>
      </w:r>
      <w:r>
        <w:t xml:space="preserve">(म. 7-1-39), or the accusative of object,</w:t>
      </w:r>
      <w:r>
        <w:t xml:space="preserve"> </w:t>
      </w:r>
      <w:r>
        <w:rPr>
          <w:iCs/>
          <w:i/>
        </w:rPr>
        <w:t xml:space="preserve">suta</w:t>
      </w:r>
      <w:r>
        <w:t xml:space="preserve"> </w:t>
      </w:r>
      <w:r>
        <w:t xml:space="preserve">then taking</w:t>
      </w:r>
      <w:r>
        <w:t xml:space="preserve"> </w:t>
      </w:r>
      <w:r>
        <w:rPr>
          <w:iCs/>
          <w:i/>
        </w:rPr>
        <w:t xml:space="preserve">ac</w:t>
      </w:r>
      <w:r>
        <w:t xml:space="preserve"> </w:t>
      </w:r>
      <w:r>
        <w:t xml:space="preserve">as one of the</w:t>
      </w:r>
      <w:r>
        <w:t xml:space="preserve"> </w:t>
      </w:r>
      <w:r>
        <w:rPr>
          <w:iCs/>
          <w:i/>
        </w:rPr>
        <w:t xml:space="preserve">arśa-ādi</w:t>
      </w:r>
      <w:r>
        <w:t xml:space="preserve"> </w:t>
      </w:r>
      <w:r>
        <w:t xml:space="preserve">(Pā. 5-2-127);</w:t>
      </w:r>
      <w:r>
        <w:t xml:space="preserve"> </w:t>
      </w:r>
      <w:r>
        <w:rPr>
          <w:iCs/>
          <w:i/>
        </w:rPr>
        <w:t xml:space="preserve">tṛṣitaḥ</w:t>
      </w:r>
      <w:r>
        <w:t xml:space="preserve">,</w:t>
      </w:r>
      <w:r>
        <w:t xml:space="preserve"> </w:t>
      </w:r>
      <w:r>
        <w:rPr>
          <w:iCs/>
          <w:i/>
        </w:rPr>
        <w:t xml:space="preserve">kta</w:t>
      </w:r>
      <w:r>
        <w:t xml:space="preserve"> </w:t>
      </w:r>
      <w:r>
        <w:t xml:space="preserve">after</w:t>
      </w:r>
      <w:r>
        <w:t xml:space="preserve"> </w:t>
      </w:r>
      <w:r>
        <w:rPr>
          <w:iCs/>
          <w:i/>
        </w:rPr>
        <w:t xml:space="preserve">ñitṛṣa pipāsāyām</w:t>
      </w:r>
      <w:r>
        <w:t xml:space="preserve">, udātta by the suffix accent, the augment</w:t>
      </w:r>
      <w:r>
        <w:t xml:space="preserve"> </w:t>
      </w:r>
      <w:r>
        <w:rPr>
          <w:iCs/>
          <w:i/>
        </w:rPr>
        <w:t xml:space="preserve">iṭ</w:t>
      </w:r>
      <w:r>
        <w:t xml:space="preserve"> </w:t>
      </w:r>
      <w:r>
        <w:t xml:space="preserve">unaccented.)</w:t>
      </w:r>
    </w:p>
    <w:p>
      <w:pPr>
        <w:pStyle w:val="BodyText"/>
      </w:pPr>
      <w:r>
        <w:rPr>
          <w:bCs/>
          <w:b/>
        </w:rPr>
        <w:t xml:space="preserve">॥ Prati-padārthaḥ ॥</w:t>
      </w:r>
    </w:p>
    <w:p>
      <w:pPr>
        <w:pStyle w:val="BodyText"/>
      </w:pPr>
      <w:r>
        <w:rPr>
          <w:bCs/>
          <w:b/>
        </w:rPr>
        <w:t xml:space="preserve">इन्द्र (indra)</w:t>
      </w:r>
      <w:r>
        <w:t xml:space="preserve"> </w:t>
      </w:r>
      <w:r>
        <w:t xml:space="preserve">— O Indra |</w:t>
      </w:r>
      <w:r>
        <w:t xml:space="preserve"> </w:t>
      </w:r>
      <w:r>
        <w:rPr>
          <w:bCs/>
          <w:b/>
        </w:rPr>
        <w:t xml:space="preserve">सः (saḥ)</w:t>
      </w:r>
      <w:r>
        <w:t xml:space="preserve"> </w:t>
      </w:r>
      <w:r>
        <w:t xml:space="preserve">— you |</w:t>
      </w:r>
      <w:r>
        <w:t xml:space="preserve"> </w:t>
      </w:r>
      <w:r>
        <w:rPr>
          <w:bCs/>
          <w:b/>
        </w:rPr>
        <w:t xml:space="preserve">नः (naḥ)</w:t>
      </w:r>
      <w:r>
        <w:t xml:space="preserve"> </w:t>
      </w:r>
      <w:r>
        <w:t xml:space="preserve">— our |</w:t>
      </w:r>
      <w:r>
        <w:t xml:space="preserve"> </w:t>
      </w:r>
      <w:r>
        <w:rPr>
          <w:bCs/>
          <w:b/>
        </w:rPr>
        <w:t xml:space="preserve">इमम् (imam)</w:t>
      </w:r>
      <w:r>
        <w:t xml:space="preserve"> </w:t>
      </w:r>
      <w:r>
        <w:t xml:space="preserve">— this |</w:t>
      </w:r>
      <w:r>
        <w:t xml:space="preserve"> </w:t>
      </w:r>
      <w:r>
        <w:rPr>
          <w:bCs/>
          <w:b/>
        </w:rPr>
        <w:t xml:space="preserve">स्तोमम् (stomam)</w:t>
      </w:r>
      <w:r>
        <w:t xml:space="preserve"> </w:t>
      </w:r>
      <w:r>
        <w:t xml:space="preserve">— praise (to hear it) |</w:t>
      </w:r>
      <w:r>
        <w:t xml:space="preserve"> </w:t>
      </w:r>
      <w:r>
        <w:rPr>
          <w:bCs/>
          <w:b/>
        </w:rPr>
        <w:t xml:space="preserve">आ गहि (ā gahi)</w:t>
      </w:r>
      <w:r>
        <w:t xml:space="preserve"> </w:t>
      </w:r>
      <w:r>
        <w:t xml:space="preserve">— come |</w:t>
      </w:r>
      <w:r>
        <w:t xml:space="preserve"> </w:t>
      </w:r>
      <w:r>
        <w:rPr>
          <w:bCs/>
          <w:b/>
        </w:rPr>
        <w:t xml:space="preserve">उप (upa)</w:t>
      </w:r>
      <w:r>
        <w:t xml:space="preserve"> </w:t>
      </w:r>
      <w:r>
        <w:t xml:space="preserve">— near (the sacrificial altar) |</w:t>
      </w:r>
      <w:r>
        <w:t xml:space="preserve"> </w:t>
      </w:r>
      <w:r>
        <w:rPr>
          <w:bCs/>
          <w:b/>
        </w:rPr>
        <w:t xml:space="preserve">सुतम् (sutam)</w:t>
      </w:r>
      <w:r>
        <w:t xml:space="preserve"> </w:t>
      </w:r>
      <w:r>
        <w:t xml:space="preserve">— joined with the prepared soma juice |</w:t>
      </w:r>
      <w:r>
        <w:t xml:space="preserve"> </w:t>
      </w:r>
      <w:r>
        <w:rPr>
          <w:bCs/>
          <w:b/>
        </w:rPr>
        <w:t xml:space="preserve">इदम् (idam)</w:t>
      </w:r>
      <w:r>
        <w:t xml:space="preserve"> </w:t>
      </w:r>
      <w:r>
        <w:t xml:space="preserve">— this (now to be performed) |</w:t>
      </w:r>
      <w:r>
        <w:t xml:space="preserve"> </w:t>
      </w:r>
      <w:r>
        <w:rPr>
          <w:bCs/>
          <w:b/>
        </w:rPr>
        <w:t xml:space="preserve">सवनम् (savanam)</w:t>
      </w:r>
      <w:r>
        <w:t xml:space="preserve"> </w:t>
      </w:r>
      <w:r>
        <w:t xml:space="preserve">— the rite in the form of the morning pressing (is going on) |</w:t>
      </w:r>
      <w:r>
        <w:t xml:space="preserve"> </w:t>
      </w:r>
      <w:r>
        <w:rPr>
          <w:bCs/>
          <w:b/>
        </w:rPr>
        <w:t xml:space="preserve">तृषितः (tṛṣitaḥ)</w:t>
      </w:r>
      <w:r>
        <w:t xml:space="preserve"> </w:t>
      </w:r>
      <w:r>
        <w:t xml:space="preserve">— thirsty |</w:t>
      </w:r>
      <w:r>
        <w:t xml:space="preserve"> </w:t>
      </w:r>
      <w:r>
        <w:rPr>
          <w:bCs/>
          <w:b/>
        </w:rPr>
        <w:t xml:space="preserve">गौरः न (gauraḥ na)</w:t>
      </w:r>
      <w:r>
        <w:t xml:space="preserve"> </w:t>
      </w:r>
      <w:r>
        <w:t xml:space="preserve">— like a light-coloured deer |</w:t>
      </w:r>
      <w:r>
        <w:t xml:space="preserve"> </w:t>
      </w:r>
      <w:r>
        <w:rPr>
          <w:bCs/>
          <w:b/>
        </w:rPr>
        <w:t xml:space="preserve">पिब (piba)</w:t>
      </w:r>
      <w:r>
        <w:t xml:space="preserve"> </w:t>
      </w:r>
      <w:r>
        <w:t xml:space="preserve">— drink (the soma juice).</w:t>
      </w:r>
    </w:p>
    <w:p>
      <w:pPr>
        <w:pStyle w:val="BodyText"/>
      </w:pPr>
      <w:r>
        <w:rPr>
          <w:bCs/>
          <w:b/>
        </w:rPr>
        <w:t xml:space="preserve">॥ Bhāvārthaḥ ॥</w:t>
      </w:r>
    </w:p>
    <w:p>
      <w:pPr>
        <w:pStyle w:val="BodyText"/>
      </w:pPr>
      <w:r>
        <w:t xml:space="preserve">The soma juice needed for the morning pressing is ready. Come, pleased with the praise we make as a part of that rite, and drink the soma juice as a thirsty animal (a deer) drinks water.</w:t>
      </w:r>
    </w:p>
    <w:p>
      <w:pPr>
        <w:pStyle w:val="BodyText"/>
      </w:pPr>
      <w:r>
        <w:rPr>
          <w:bCs/>
          <w:b/>
        </w:rPr>
        <w:t xml:space="preserve">॥ English Translation ॥</w:t>
      </w:r>
      <w:r>
        <w:t xml:space="preserve"> </w:t>
      </w:r>
      <w:r>
        <w:rPr>
          <w:iCs/>
          <w:i/>
        </w:rPr>
        <w:t xml:space="preserve">(as printed in the source)</w:t>
      </w:r>
    </w:p>
    <w:p>
      <w:pPr>
        <w:pStyle w:val="BlockText"/>
      </w:pPr>
      <w:r>
        <w:t xml:space="preserve">O Indra, accept this our praise and come to this our sacrifice of the expressed soma ; drink like a thirsty stag.</w:t>
      </w:r>
    </w:p>
    <w:bookmarkEnd w:id="751"/>
    <w:bookmarkStart w:id="752" w:name="X2de87ea5407479749e53a3e5464f309aab218b9"/>
    <w:p>
      <w:pPr>
        <w:pStyle w:val="Heading3"/>
      </w:pPr>
      <w:r>
        <w:t xml:space="preserve">Page 691 — Rik 5: Special Topics and grammar</w:t>
      </w:r>
    </w:p>
    <w:p>
      <w:pPr>
        <w:pStyle w:val="FirstParagraph"/>
      </w:pPr>
      <w:r>
        <w:rPr>
          <w:bCs/>
          <w:b/>
        </w:rPr>
        <w:t xml:space="preserve">॥ Viśeṣa-viṣayagaḷu (Special Topics) ॥</w:t>
      </w:r>
    </w:p>
    <w:p>
      <w:pPr>
        <w:pStyle w:val="BodyText"/>
      </w:pPr>
      <w:r>
        <w:rPr>
          <w:bCs/>
          <w:b/>
        </w:rPr>
        <w:t xml:space="preserve">Gauraḥ</w:t>
      </w:r>
      <w:r>
        <w:t xml:space="preserve">: a light-coloured deer. Here the word</w:t>
      </w:r>
      <w:r>
        <w:t xml:space="preserve"> </w:t>
      </w:r>
      <w:r>
        <w:rPr>
          <w:iCs/>
          <w:i/>
        </w:rPr>
        <w:t xml:space="preserve">na</w:t>
      </w:r>
      <w:r>
        <w:t xml:space="preserve"> </w:t>
      </w:r>
      <w:r>
        <w:t xml:space="preserve">indicates comparison;</w:t>
      </w:r>
      <w:r>
        <w:t xml:space="preserve"> </w:t>
      </w:r>
      <w:r>
        <w:rPr>
          <w:iCs/>
          <w:i/>
        </w:rPr>
        <w:t xml:space="preserve">gauro na</w:t>
      </w:r>
      <w:r>
        <w:t xml:space="preserve"> </w:t>
      </w:r>
      <w:r>
        <w:t xml:space="preserve">means</w:t>
      </w:r>
      <w:r>
        <w:t xml:space="preserve"> </w:t>
      </w:r>
      <w:r>
        <w:t xml:space="preserve">“</w:t>
      </w:r>
      <w:r>
        <w:t xml:space="preserve">like a deer</w:t>
      </w:r>
      <w:r>
        <w:t xml:space="preserve">”</w:t>
      </w:r>
      <w:r>
        <w:t xml:space="preserve">.</w:t>
      </w:r>
    </w:p>
    <w:p>
      <w:pPr>
        <w:pStyle w:val="BodyText"/>
      </w:pPr>
      <w:r>
        <w:rPr>
          <w:bCs/>
          <w:b/>
        </w:rPr>
        <w:t xml:space="preserve">Tṛṣitaḥ</w:t>
      </w:r>
      <w:r>
        <w:t xml:space="preserve">: thirsty. The sense is: as a deer worn out by thirst drinks water eagerly, so you should drink our soma juice eagerly, as much as you wish.</w:t>
      </w:r>
    </w:p>
    <w:p>
      <w:pPr>
        <w:pStyle w:val="BodyText"/>
      </w:pPr>
      <w:r>
        <w:rPr>
          <w:bCs/>
          <w:b/>
        </w:rPr>
        <w:t xml:space="preserve">॥ Vyākaraṇa-prakriyā ॥</w:t>
      </w:r>
      <w:r>
        <w:t xml:space="preserve"> </w:t>
      </w:r>
      <w:r>
        <w:rPr>
          <w:iCs/>
          <w:i/>
        </w:rPr>
        <w:t xml:space="preserve">(grammar pages 691–692, noted briefly)</w:t>
      </w:r>
    </w:p>
    <w:p>
      <w:pPr>
        <w:pStyle w:val="BodyText"/>
      </w:pPr>
      <w:r>
        <w:rPr>
          <w:bCs/>
          <w:b/>
        </w:rPr>
        <w:t xml:space="preserve">सः इमम् (</w:t>
      </w:r>
      <w:r>
        <w:rPr>
          <w:iCs/>
          <w:i/>
          <w:bCs/>
          <w:b/>
        </w:rPr>
        <w:t xml:space="preserve">saḥ imam</w:t>
      </w:r>
      <w:r>
        <w:rPr>
          <w:bCs/>
          <w:b/>
        </w:rPr>
        <w:t xml:space="preserve">)</w:t>
      </w:r>
      <w:r>
        <w:t xml:space="preserve">: here, with</w:t>
      </w:r>
      <w:r>
        <w:t xml:space="preserve"> </w:t>
      </w:r>
      <w:r>
        <w:rPr>
          <w:iCs/>
          <w:i/>
        </w:rPr>
        <w:t xml:space="preserve">sas</w:t>
      </w:r>
      <w:r>
        <w:t xml:space="preserve"> </w:t>
      </w:r>
      <w:r>
        <w:t xml:space="preserve">+</w:t>
      </w:r>
      <w:r>
        <w:t xml:space="preserve"> </w:t>
      </w:r>
      <w:r>
        <w:rPr>
          <w:iCs/>
          <w:i/>
        </w:rPr>
        <w:t xml:space="preserve">imam</w:t>
      </w:r>
      <w:r>
        <w:t xml:space="preserve"> </w:t>
      </w:r>
      <w:r>
        <w:t xml:space="preserve">in the Saṃhitā, by</w:t>
      </w:r>
      <w:r>
        <w:t xml:space="preserve"> </w:t>
      </w:r>
      <w:r>
        <w:t xml:space="preserve">“</w:t>
      </w:r>
      <w:r>
        <w:t xml:space="preserve">so ’ci lope cet pādapūraṇam</w:t>
      </w:r>
      <w:r>
        <w:t xml:space="preserve">”</w:t>
      </w:r>
      <w:r>
        <w:t xml:space="preserve"> </w:t>
      </w:r>
      <w:r>
        <w:t xml:space="preserve">(Pā. sū. 6-1-134), in the case where the loss makes up the</w:t>
      </w:r>
      <w:r>
        <w:t xml:space="preserve"> </w:t>
      </w:r>
      <w:r>
        <w:rPr>
          <w:iCs/>
          <w:i/>
        </w:rPr>
        <w:t xml:space="preserve">pāda</w:t>
      </w:r>
      <w:r>
        <w:t xml:space="preserve">, the</w:t>
      </w:r>
      <w:r>
        <w:t xml:space="preserve"> </w:t>
      </w:r>
      <w:r>
        <w:rPr>
          <w:iCs/>
          <w:i/>
        </w:rPr>
        <w:t xml:space="preserve">su</w:t>
      </w:r>
      <w:r>
        <w:t xml:space="preserve"> </w:t>
      </w:r>
      <w:r>
        <w:t xml:space="preserve">suffix of</w:t>
      </w:r>
      <w:r>
        <w:t xml:space="preserve"> </w:t>
      </w:r>
      <w:r>
        <w:rPr>
          <w:iCs/>
          <w:i/>
        </w:rPr>
        <w:t xml:space="preserve">sas</w:t>
      </w:r>
      <w:r>
        <w:t xml:space="preserve"> </w:t>
      </w:r>
      <w:r>
        <w:t xml:space="preserve">is dropped when a vowel follows; so, the</w:t>
      </w:r>
      <w:r>
        <w:t xml:space="preserve"> </w:t>
      </w:r>
      <w:r>
        <w:rPr>
          <w:iCs/>
          <w:i/>
        </w:rPr>
        <w:t xml:space="preserve">su</w:t>
      </w:r>
      <w:r>
        <w:t xml:space="preserve"> </w:t>
      </w:r>
      <w:r>
        <w:t xml:space="preserve">dropped,</w:t>
      </w:r>
      <w:r>
        <w:t xml:space="preserve"> </w:t>
      </w:r>
      <w:r>
        <w:rPr>
          <w:iCs/>
          <w:i/>
        </w:rPr>
        <w:t xml:space="preserve">sa</w:t>
      </w:r>
      <w:r>
        <w:t xml:space="preserve"> </w:t>
      </w:r>
      <w:r>
        <w:t xml:space="preserve">+</w:t>
      </w:r>
      <w:r>
        <w:t xml:space="preserve"> </w:t>
      </w:r>
      <w:r>
        <w:rPr>
          <w:iCs/>
          <w:i/>
        </w:rPr>
        <w:t xml:space="preserve">imam</w:t>
      </w:r>
      <w:r>
        <w:t xml:space="preserve">; by</w:t>
      </w:r>
      <w:r>
        <w:t xml:space="preserve"> </w:t>
      </w:r>
      <w:r>
        <w:t xml:space="preserve">“</w:t>
      </w:r>
      <w:r>
        <w:t xml:space="preserve">ād guṇaḥ</w:t>
      </w:r>
      <w:r>
        <w:t xml:space="preserve">”</w:t>
      </w:r>
      <w:r>
        <w:t xml:space="preserve"> </w:t>
      </w:r>
      <w:r>
        <w:t xml:space="preserve">(Pā. sū. 6-1-87) in place of</w:t>
      </w:r>
      <w:r>
        <w:t xml:space="preserve"> </w:t>
      </w:r>
      <w:r>
        <w:rPr>
          <w:iCs/>
          <w:i/>
        </w:rPr>
        <w:t xml:space="preserve">a</w:t>
      </w:r>
      <w:r>
        <w:t xml:space="preserve"> </w:t>
      </w:r>
      <w:r>
        <w:t xml:space="preserve">and</w:t>
      </w:r>
      <w:r>
        <w:t xml:space="preserve"> </w:t>
      </w:r>
      <w:r>
        <w:rPr>
          <w:iCs/>
          <w:i/>
        </w:rPr>
        <w:t xml:space="preserve">i</w:t>
      </w:r>
      <w:r>
        <w:t xml:space="preserve">, born in the throat and the palate, comes</w:t>
      </w:r>
      <w:r>
        <w:t xml:space="preserve"> </w:t>
      </w:r>
      <w:r>
        <w:rPr>
          <w:iCs/>
          <w:i/>
        </w:rPr>
        <w:t xml:space="preserve">e</w:t>
      </w:r>
      <w:r>
        <w:t xml:space="preserve">, born in the throat and palate together and called</w:t>
      </w:r>
      <w:r>
        <w:t xml:space="preserve"> </w:t>
      </w:r>
      <w:r>
        <w:rPr>
          <w:iCs/>
          <w:i/>
        </w:rPr>
        <w:t xml:space="preserve">guṇa</w:t>
      </w:r>
      <w:r>
        <w:t xml:space="preserve">:</w:t>
      </w:r>
      <w:r>
        <w:t xml:space="preserve"> </w:t>
      </w:r>
      <w:r>
        <w:rPr>
          <w:iCs/>
          <w:i/>
        </w:rPr>
        <w:t xml:space="preserve">semam</w:t>
      </w:r>
      <w:r>
        <w:t xml:space="preserve">. From the Pāṇinīya-śikṣā statement</w:t>
      </w:r>
    </w:p>
    <w:p>
      <w:pPr>
        <w:pStyle w:val="BodyText"/>
      </w:pPr>
      <w:r>
        <w:rPr>
          <w:iCs/>
          <w:i/>
        </w:rPr>
        <w:t xml:space="preserve">(The verses are as printed: तालव्यावोष्ठजा and कण्ठतालव्यावो औ show a printed</w:t>
      </w:r>
      <w:r>
        <w:rPr>
          <w:iCs/>
          <w:i/>
        </w:rPr>
        <w:t xml:space="preserve"> </w:t>
      </w:r>
      <w:r>
        <w:t xml:space="preserve">v* glide.)*</w:t>
      </w:r>
    </w:p>
    <w:p>
      <w:pPr>
        <w:pStyle w:val="BlockText"/>
      </w:pPr>
      <w:r>
        <w:t xml:space="preserve">कण्ठ्यावहाविचुयशास्तालव्यावोष्ठजावुपू । स्युर्मूर्धन्या ऋटुरषा दन्त्या लृतुलसाः स्मृताः ॥१७॥</w:t>
      </w:r>
      <w:r>
        <w:t xml:space="preserve"> </w:t>
      </w:r>
      <w:r>
        <w:t xml:space="preserve">जिह्वामूले तु कुः प्रोक्तः दन्त्योष्ठ्यो वस्स्मृतो बुधैः । ए ऐ तु कण्ठतालव्यावो औ कण्ठोष्ठजौ स्मृतौ ॥१८॥</w:t>
      </w:r>
    </w:p>
    <w:p>
      <w:pPr>
        <w:pStyle w:val="BlockText"/>
      </w:pPr>
      <w:r>
        <w:rPr>
          <w:iCs/>
          <w:i/>
        </w:rPr>
        <w:t xml:space="preserve">kaṇṭhyāvahāvicuyaśāstālavyāvoṣṭhajāvupū | syurmūrdhanyā ṛṭuraṣā dantyā lṛtulasāḥ smṛtāḥ ||17||</w:t>
      </w:r>
      <w:r>
        <w:t xml:space="preserve"> </w:t>
      </w:r>
      <w:r>
        <w:rPr>
          <w:iCs/>
          <w:i/>
        </w:rPr>
        <w:t xml:space="preserve">jihvāmūle tu kuḥ proktaḥ dantyoṣṭhyo vassmṛto budhaiḥ | e ai tu kaṇṭhatālavyāvo au kaṇṭhoṣṭhajau smṛtau ||18||</w:t>
      </w:r>
    </w:p>
    <w:p>
      <w:pPr>
        <w:pStyle w:val="FirstParagraph"/>
      </w:pPr>
      <w:r>
        <w:t xml:space="preserve">(</w:t>
      </w:r>
      <w:r>
        <w:t xml:space="preserve">“</w:t>
      </w:r>
      <w:r>
        <w:t xml:space="preserve">The</w:t>
      </w:r>
      <w:r>
        <w:t xml:space="preserve"> </w:t>
      </w:r>
      <w:r>
        <w:rPr>
          <w:iCs/>
          <w:i/>
        </w:rPr>
        <w:t xml:space="preserve">a</w:t>
      </w:r>
      <w:r>
        <w:t xml:space="preserve">,</w:t>
      </w:r>
      <w:r>
        <w:t xml:space="preserve"> </w:t>
      </w:r>
      <w:r>
        <w:rPr>
          <w:iCs/>
          <w:i/>
        </w:rPr>
        <w:t xml:space="preserve">ku</w:t>
      </w:r>
      <w:r>
        <w:t xml:space="preserve">,</w:t>
      </w:r>
      <w:r>
        <w:t xml:space="preserve"> </w:t>
      </w:r>
      <w:r>
        <w:rPr>
          <w:iCs/>
          <w:i/>
        </w:rPr>
        <w:t xml:space="preserve">h</w:t>
      </w:r>
      <w:r>
        <w:t xml:space="preserve"> </w:t>
      </w:r>
      <w:r>
        <w:t xml:space="preserve">and visarga are of the throat;</w:t>
      </w:r>
      <w:r>
        <w:t xml:space="preserve"> </w:t>
      </w:r>
      <w:r>
        <w:rPr>
          <w:iCs/>
          <w:i/>
        </w:rPr>
        <w:t xml:space="preserve">i</w:t>
      </w:r>
      <w:r>
        <w:t xml:space="preserve">,</w:t>
      </w:r>
      <w:r>
        <w:t xml:space="preserve"> </w:t>
      </w:r>
      <w:r>
        <w:rPr>
          <w:iCs/>
          <w:i/>
        </w:rPr>
        <w:t xml:space="preserve">cu</w:t>
      </w:r>
      <w:r>
        <w:t xml:space="preserve">,</w:t>
      </w:r>
      <w:r>
        <w:t xml:space="preserve"> </w:t>
      </w:r>
      <w:r>
        <w:rPr>
          <w:iCs/>
          <w:i/>
        </w:rPr>
        <w:t xml:space="preserve">y</w:t>
      </w:r>
      <w:r>
        <w:t xml:space="preserve"> </w:t>
      </w:r>
      <w:r>
        <w:t xml:space="preserve">and</w:t>
      </w:r>
      <w:r>
        <w:t xml:space="preserve"> </w:t>
      </w:r>
      <w:r>
        <w:rPr>
          <w:iCs/>
          <w:i/>
        </w:rPr>
        <w:t xml:space="preserve">ś</w:t>
      </w:r>
      <w:r>
        <w:t xml:space="preserve"> </w:t>
      </w:r>
      <w:r>
        <w:t xml:space="preserve">of the palate;</w:t>
      </w:r>
      <w:r>
        <w:t xml:space="preserve"> </w:t>
      </w:r>
      <w:r>
        <w:rPr>
          <w:iCs/>
          <w:i/>
        </w:rPr>
        <w:t xml:space="preserve">u</w:t>
      </w:r>
      <w:r>
        <w:t xml:space="preserve"> </w:t>
      </w:r>
      <w:r>
        <w:t xml:space="preserve">and</w:t>
      </w:r>
      <w:r>
        <w:t xml:space="preserve"> </w:t>
      </w:r>
      <w:r>
        <w:rPr>
          <w:iCs/>
          <w:i/>
        </w:rPr>
        <w:t xml:space="preserve">pu</w:t>
      </w:r>
      <w:r>
        <w:t xml:space="preserve"> </w:t>
      </w:r>
      <w:r>
        <w:t xml:space="preserve">of the lips;</w:t>
      </w:r>
      <w:r>
        <w:t xml:space="preserve"> </w:t>
      </w:r>
      <w:r>
        <w:rPr>
          <w:iCs/>
          <w:i/>
        </w:rPr>
        <w:t xml:space="preserve">ṛ</w:t>
      </w:r>
      <w:r>
        <w:t xml:space="preserve">,</w:t>
      </w:r>
      <w:r>
        <w:t xml:space="preserve"> </w:t>
      </w:r>
      <w:r>
        <w:rPr>
          <w:iCs/>
          <w:i/>
        </w:rPr>
        <w:t xml:space="preserve">ṭu</w:t>
      </w:r>
      <w:r>
        <w:t xml:space="preserve">,</w:t>
      </w:r>
      <w:r>
        <w:t xml:space="preserve"> </w:t>
      </w:r>
      <w:r>
        <w:rPr>
          <w:iCs/>
          <w:i/>
        </w:rPr>
        <w:t xml:space="preserve">r</w:t>
      </w:r>
      <w:r>
        <w:t xml:space="preserve"> </w:t>
      </w:r>
      <w:r>
        <w:t xml:space="preserve">and</w:t>
      </w:r>
      <w:r>
        <w:t xml:space="preserve"> </w:t>
      </w:r>
      <w:r>
        <w:rPr>
          <w:iCs/>
          <w:i/>
        </w:rPr>
        <w:t xml:space="preserve">ṣ</w:t>
      </w:r>
      <w:r>
        <w:t xml:space="preserve"> </w:t>
      </w:r>
      <w:r>
        <w:t xml:space="preserve">are of the head;</w:t>
      </w:r>
      <w:r>
        <w:t xml:space="preserve"> </w:t>
      </w:r>
      <w:r>
        <w:rPr>
          <w:iCs/>
          <w:i/>
        </w:rPr>
        <w:t xml:space="preserve">ḷ</w:t>
      </w:r>
      <w:r>
        <w:t xml:space="preserve">,</w:t>
      </w:r>
      <w:r>
        <w:t xml:space="preserve"> </w:t>
      </w:r>
      <w:r>
        <w:rPr>
          <w:iCs/>
          <w:i/>
        </w:rPr>
        <w:t xml:space="preserve">tu</w:t>
      </w:r>
      <w:r>
        <w:t xml:space="preserve">,</w:t>
      </w:r>
      <w:r>
        <w:t xml:space="preserve"> </w:t>
      </w:r>
      <w:r>
        <w:rPr>
          <w:iCs/>
          <w:i/>
        </w:rPr>
        <w:t xml:space="preserve">l</w:t>
      </w:r>
      <w:r>
        <w:t xml:space="preserve"> </w:t>
      </w:r>
      <w:r>
        <w:t xml:space="preserve">and</w:t>
      </w:r>
      <w:r>
        <w:t xml:space="preserve"> </w:t>
      </w:r>
      <w:r>
        <w:rPr>
          <w:iCs/>
          <w:i/>
        </w:rPr>
        <w:t xml:space="preserve">s</w:t>
      </w:r>
      <w:r>
        <w:t xml:space="preserve"> </w:t>
      </w:r>
      <w:r>
        <w:t xml:space="preserve">are held to be of the teeth.</w:t>
      </w:r>
      <w:r>
        <w:t xml:space="preserve"> </w:t>
      </w:r>
      <w:r>
        <w:rPr>
          <w:iCs/>
          <w:i/>
        </w:rPr>
        <w:t xml:space="preserve">Ku</w:t>
      </w:r>
      <w:r>
        <w:t xml:space="preserve"> </w:t>
      </w:r>
      <w:r>
        <w:t xml:space="preserve">is said to be at the root of the tongue;</w:t>
      </w:r>
      <w:r>
        <w:t xml:space="preserve"> </w:t>
      </w:r>
      <w:r>
        <w:rPr>
          <w:iCs/>
          <w:i/>
        </w:rPr>
        <w:t xml:space="preserve">v</w:t>
      </w:r>
      <w:r>
        <w:t xml:space="preserve"> </w:t>
      </w:r>
      <w:r>
        <w:t xml:space="preserve">is held by the wise to be of the teeth and lips;</w:t>
      </w:r>
      <w:r>
        <w:t xml:space="preserve"> </w:t>
      </w:r>
      <w:r>
        <w:rPr>
          <w:iCs/>
          <w:i/>
        </w:rPr>
        <w:t xml:space="preserve">e</w:t>
      </w:r>
      <w:r>
        <w:t xml:space="preserve"> </w:t>
      </w:r>
      <w:r>
        <w:t xml:space="preserve">and</w:t>
      </w:r>
      <w:r>
        <w:t xml:space="preserve"> </w:t>
      </w:r>
      <w:r>
        <w:rPr>
          <w:iCs/>
          <w:i/>
        </w:rPr>
        <w:t xml:space="preserve">ai</w:t>
      </w:r>
      <w:r>
        <w:t xml:space="preserve"> </w:t>
      </w:r>
      <w:r>
        <w:t xml:space="preserve">are of the throat and palate,</w:t>
      </w:r>
      <w:r>
        <w:t xml:space="preserve"> </w:t>
      </w:r>
      <w:r>
        <w:rPr>
          <w:iCs/>
          <w:i/>
        </w:rPr>
        <w:t xml:space="preserve">o</w:t>
      </w:r>
      <w:r>
        <w:t xml:space="preserve"> </w:t>
      </w:r>
      <w:r>
        <w:t xml:space="preserve">and</w:t>
      </w:r>
      <w:r>
        <w:t xml:space="preserve"> </w:t>
      </w:r>
      <w:r>
        <w:rPr>
          <w:iCs/>
          <w:i/>
        </w:rPr>
        <w:t xml:space="preserve">au</w:t>
      </w:r>
      <w:r>
        <w:t xml:space="preserve"> </w:t>
      </w:r>
      <w:r>
        <w:t xml:space="preserve">of the throat and lips</w:t>
      </w:r>
      <w:r>
        <w:t xml:space="preserve">”</w:t>
      </w:r>
      <w:r>
        <w:t xml:space="preserve">: my rendering, mine and tentative.) it is established that</w:t>
      </w:r>
      <w:r>
        <w:t xml:space="preserve"> </w:t>
      </w:r>
      <w:r>
        <w:rPr>
          <w:iCs/>
          <w:i/>
        </w:rPr>
        <w:t xml:space="preserve">a</w:t>
      </w:r>
      <w:r>
        <w:t xml:space="preserve"> </w:t>
      </w:r>
      <w:r>
        <w:t xml:space="preserve">is of the throat,</w:t>
      </w:r>
      <w:r>
        <w:t xml:space="preserve"> </w:t>
      </w:r>
      <w:r>
        <w:rPr>
          <w:iCs/>
          <w:i/>
        </w:rPr>
        <w:t xml:space="preserve">i</w:t>
      </w:r>
      <w:r>
        <w:t xml:space="preserve"> </w:t>
      </w:r>
      <w:r>
        <w:t xml:space="preserve">of the palate and</w:t>
      </w:r>
      <w:r>
        <w:t xml:space="preserve"> </w:t>
      </w:r>
      <w:r>
        <w:rPr>
          <w:iCs/>
          <w:i/>
        </w:rPr>
        <w:t xml:space="preserve">e</w:t>
      </w:r>
      <w:r>
        <w:t xml:space="preserve"> </w:t>
      </w:r>
      <w:r>
        <w:t xml:space="preserve">of the throat and palate. In the case where by</w:t>
      </w:r>
      <w:r>
        <w:t xml:space="preserve"> </w:t>
      </w:r>
      <w:r>
        <w:rPr>
          <w:iCs/>
          <w:i/>
        </w:rPr>
        <w:t xml:space="preserve">so ’ci lope</w:t>
      </w:r>
      <w:r>
        <w:t xml:space="preserve"> </w:t>
      </w:r>
      <w:r>
        <w:t xml:space="preserve">(Pā. sū. 6-1-134) the loss of</w:t>
      </w:r>
      <w:r>
        <w:t xml:space="preserve"> </w:t>
      </w:r>
      <w:r>
        <w:rPr>
          <w:iCs/>
          <w:i/>
        </w:rPr>
        <w:t xml:space="preserve">su</w:t>
      </w:r>
      <w:r>
        <w:t xml:space="preserve"> </w:t>
      </w:r>
      <w:r>
        <w:t xml:space="preserve">does not come, in</w:t>
      </w:r>
      <w:r>
        <w:t xml:space="preserve"> </w:t>
      </w:r>
      <w:r>
        <w:rPr>
          <w:iCs/>
          <w:i/>
        </w:rPr>
        <w:t xml:space="preserve">sas</w:t>
      </w:r>
      <w:r>
        <w:t xml:space="preserve"> </w:t>
      </w:r>
      <w:r>
        <w:t xml:space="preserve">+</w:t>
      </w:r>
      <w:r>
        <w:t xml:space="preserve"> </w:t>
      </w:r>
      <w:r>
        <w:rPr>
          <w:iCs/>
          <w:i/>
        </w:rPr>
        <w:t xml:space="preserve">imam</w:t>
      </w:r>
      <w:r>
        <w:t xml:space="preserve"> </w:t>
      </w:r>
      <w:r>
        <w:t xml:space="preserve">there is</w:t>
      </w:r>
      <w:r>
        <w:t xml:space="preserve"> </w:t>
      </w:r>
      <w:r>
        <w:rPr>
          <w:iCs/>
          <w:i/>
        </w:rPr>
        <w:t xml:space="preserve">ru</w:t>
      </w:r>
      <w:r>
        <w:t xml:space="preserve"> </w:t>
      </w:r>
      <w:r>
        <w:t xml:space="preserve">by</w:t>
      </w:r>
      <w:r>
        <w:t xml:space="preserve"> </w:t>
      </w:r>
      <w:r>
        <w:t xml:space="preserve">“</w:t>
      </w:r>
      <w:r>
        <w:t xml:space="preserve">sasajuṣo ruḥ</w:t>
      </w:r>
      <w:r>
        <w:t xml:space="preserve">”</w:t>
      </w:r>
      <w:r>
        <w:t xml:space="preserve"> </w:t>
      </w:r>
      <w:r>
        <w:t xml:space="preserve">(Pā. sū. 8-2-66),</w:t>
      </w:r>
      <w:r>
        <w:t xml:space="preserve"> </w:t>
      </w:r>
      <w:r>
        <w:rPr>
          <w:iCs/>
          <w:i/>
        </w:rPr>
        <w:t xml:space="preserve">y</w:t>
      </w:r>
      <w:r>
        <w:t xml:space="preserve"> </w:t>
      </w:r>
      <w:r>
        <w:t xml:space="preserve">for it by</w:t>
      </w:r>
      <w:r>
        <w:t xml:space="preserve"> </w:t>
      </w:r>
      <w:r>
        <w:t xml:space="preserve">“</w:t>
      </w:r>
      <w:r>
        <w:t xml:space="preserve">bhobhagoaghoapūrvasya yo ’śi</w:t>
      </w:r>
      <w:r>
        <w:t xml:space="preserve">”</w:t>
      </w:r>
      <w:r>
        <w:t xml:space="preserve"> </w:t>
      </w:r>
      <w:r>
        <w:t xml:space="preserve">(Pā. sū. 6-3-18 [as read; ?]), then the</w:t>
      </w:r>
      <w:r>
        <w:t xml:space="preserve"> </w:t>
      </w:r>
      <w:r>
        <w:rPr>
          <w:iCs/>
          <w:i/>
        </w:rPr>
        <w:t xml:space="preserve">y</w:t>
      </w:r>
      <w:r>
        <w:t xml:space="preserve"> </w:t>
      </w:r>
      <w:r>
        <w:t xml:space="preserve">is dropped by</w:t>
      </w:r>
      <w:r>
        <w:t xml:space="preserve"> </w:t>
      </w:r>
      <w:r>
        <w:t xml:space="preserve">“</w:t>
      </w:r>
      <w:r>
        <w:t xml:space="preserve">lopaḥ śākalyasya</w:t>
      </w:r>
      <w:r>
        <w:t xml:space="preserve">”</w:t>
      </w:r>
      <w:r>
        <w:t xml:space="preserve"> </w:t>
      </w:r>
      <w:r>
        <w:t xml:space="preserve">(Pā. sū. 8-3-19). By</w:t>
      </w:r>
      <w:r>
        <w:t xml:space="preserve"> </w:t>
      </w:r>
      <w:r>
        <w:t xml:space="preserve">“</w:t>
      </w:r>
      <w:r>
        <w:t xml:space="preserve">pūrvatrāsiddham</w:t>
      </w:r>
      <w:r>
        <w:t xml:space="preserve">”</w:t>
      </w:r>
      <w:r>
        <w:t xml:space="preserve"> </w:t>
      </w:r>
      <w:r>
        <w:t xml:space="preserve">(Pā. sū. 8-2-1), when</w:t>
      </w:r>
      <w:r>
        <w:t xml:space="preserve"> </w:t>
      </w:r>
      <w:r>
        <w:rPr>
          <w:iCs/>
          <w:i/>
        </w:rPr>
        <w:t xml:space="preserve">guṇa</w:t>
      </w:r>
      <w:r>
        <w:t xml:space="preserve"> </w:t>
      </w:r>
      <w:r>
        <w:t xml:space="preserve">is to be made by</w:t>
      </w:r>
      <w:r>
        <w:t xml:space="preserve"> </w:t>
      </w:r>
      <w:r>
        <w:rPr>
          <w:iCs/>
          <w:i/>
        </w:rPr>
        <w:t xml:space="preserve">ād guṇaḥ</w:t>
      </w:r>
      <w:r>
        <w:t xml:space="preserve">, the loss of</w:t>
      </w:r>
      <w:r>
        <w:t xml:space="preserve"> </w:t>
      </w:r>
      <w:r>
        <w:rPr>
          <w:iCs/>
          <w:i/>
        </w:rPr>
        <w:t xml:space="preserve">y</w:t>
      </w:r>
      <w:r>
        <w:t xml:space="preserve"> </w:t>
      </w:r>
      <w:r>
        <w:t xml:space="preserve">counts as not done; so there is no room for</w:t>
      </w:r>
      <w:r>
        <w:t xml:space="preserve"> </w:t>
      </w:r>
      <w:r>
        <w:rPr>
          <w:iCs/>
          <w:i/>
        </w:rPr>
        <w:t xml:space="preserve">guṇa</w:t>
      </w:r>
      <w:r>
        <w:t xml:space="preserve">. Thus it would have to stay</w:t>
      </w:r>
      <w:r>
        <w:t xml:space="preserve"> </w:t>
      </w:r>
      <w:r>
        <w:rPr>
          <w:iCs/>
          <w:i/>
        </w:rPr>
        <w:t xml:space="preserve">sa imam</w:t>
      </w:r>
      <w:r>
        <w:t xml:space="preserve">, and the</w:t>
      </w:r>
      <w:r>
        <w:t xml:space="preserve"> </w:t>
      </w:r>
      <w:r>
        <w:rPr>
          <w:iCs/>
          <w:i/>
        </w:rPr>
        <w:t xml:space="preserve">pāda</w:t>
      </w:r>
      <w:r>
        <w:t xml:space="preserve"> </w:t>
      </w:r>
      <w:r>
        <w:t xml:space="preserve">would not be made up.</w:t>
      </w:r>
    </w:p>
    <w:p>
      <w:pPr>
        <w:pStyle w:val="BodyText"/>
      </w:pPr>
      <w:r>
        <w:rPr>
          <w:bCs/>
          <w:b/>
        </w:rPr>
        <w:t xml:space="preserve">गहि (</w:t>
      </w:r>
      <w:r>
        <w:rPr>
          <w:iCs/>
          <w:i/>
          <w:bCs/>
          <w:b/>
        </w:rPr>
        <w:t xml:space="preserve">gahi</w:t>
      </w:r>
      <w:r>
        <w:rPr>
          <w:bCs/>
          <w:b/>
        </w:rPr>
        <w:t xml:space="preserve">)</w:t>
      </w:r>
      <w:r>
        <w:t xml:space="preserve">: explained in the previous mantra.</w:t>
      </w:r>
    </w:p>
    <w:p>
      <w:pPr>
        <w:pStyle w:val="BodyText"/>
      </w:pPr>
      <w:r>
        <w:rPr>
          <w:bCs/>
          <w:b/>
        </w:rPr>
        <w:t xml:space="preserve">सवनम् (</w:t>
      </w:r>
      <w:r>
        <w:rPr>
          <w:iCs/>
          <w:i/>
          <w:bCs/>
          <w:b/>
        </w:rPr>
        <w:t xml:space="preserve">savanam</w:t>
      </w:r>
      <w:r>
        <w:rPr>
          <w:bCs/>
          <w:b/>
        </w:rPr>
        <w:t xml:space="preserve">)</w:t>
      </w:r>
      <w:r>
        <w:t xml:space="preserve">: meant as</w:t>
      </w:r>
      <w:r>
        <w:t xml:space="preserve"> </w:t>
      </w:r>
      <w:r>
        <w:t xml:space="preserve">“</w:t>
      </w:r>
      <w:r>
        <w:rPr>
          <w:iCs/>
          <w:i/>
        </w:rPr>
        <w:t xml:space="preserve">sūyate asmin somaḥ</w:t>
      </w:r>
      <w:r>
        <w:t xml:space="preserve">”</w:t>
      </w:r>
      <w:r>
        <w:t xml:space="preserve">, in it the soma is pressed: the root</w:t>
      </w:r>
      <w:r>
        <w:t xml:space="preserve"> </w:t>
      </w:r>
      <w:r>
        <w:rPr>
          <w:iCs/>
          <w:i/>
        </w:rPr>
        <w:t xml:space="preserve">ṣūñ prāṇiprasave</w:t>
      </w:r>
      <w:r>
        <w:t xml:space="preserve">;</w:t>
      </w:r>
      <w:r>
        <w:t xml:space="preserve"> </w:t>
      </w:r>
      <w:r>
        <w:rPr>
          <w:iCs/>
          <w:i/>
        </w:rPr>
        <w:t xml:space="preserve">s</w:t>
      </w:r>
      <w:r>
        <w:t xml:space="preserve"> </w:t>
      </w:r>
      <w:r>
        <w:t xml:space="preserve">for</w:t>
      </w:r>
      <w:r>
        <w:t xml:space="preserve"> </w:t>
      </w:r>
      <w:r>
        <w:rPr>
          <w:iCs/>
          <w:i/>
        </w:rPr>
        <w:t xml:space="preserve">ṣ</w:t>
      </w:r>
      <w:r>
        <w:t xml:space="preserve"> </w:t>
      </w:r>
      <w:r>
        <w:t xml:space="preserve">by</w:t>
      </w:r>
      <w:r>
        <w:t xml:space="preserve"> </w:t>
      </w:r>
      <w:r>
        <w:rPr>
          <w:iCs/>
          <w:i/>
        </w:rPr>
        <w:t xml:space="preserve">dhātvādeḥ ṣaḥ saḥ</w:t>
      </w:r>
      <w:r>
        <w:t xml:space="preserve">; after</w:t>
      </w:r>
      <w:r>
        <w:t xml:space="preserve"> </w:t>
      </w:r>
      <w:r>
        <w:rPr>
          <w:iCs/>
          <w:i/>
        </w:rPr>
        <w:t xml:space="preserve">sū</w:t>
      </w:r>
      <w:r>
        <w:t xml:space="preserve">, in the sense of place,</w:t>
      </w:r>
      <w:r>
        <w:t xml:space="preserve"> </w:t>
      </w:r>
      <w:r>
        <w:rPr>
          <w:iCs/>
          <w:i/>
        </w:rPr>
        <w:t xml:space="preserve">lyuṭ</w:t>
      </w:r>
      <w:r>
        <w:t xml:space="preserve"> </w:t>
      </w:r>
      <w:r>
        <w:t xml:space="preserve">by</w:t>
      </w:r>
      <w:r>
        <w:t xml:space="preserve"> </w:t>
      </w:r>
      <w:r>
        <w:t xml:space="preserve">“</w:t>
      </w:r>
      <w:r>
        <w:t xml:space="preserve">karaṇādhikaraṇayoś ca</w:t>
      </w:r>
      <w:r>
        <w:t xml:space="preserve">”</w:t>
      </w:r>
      <w:r>
        <w:t xml:space="preserve"> </w:t>
      </w:r>
      <w:r>
        <w:t xml:space="preserve">(Pā. sū. 3-3-117); the substitute</w:t>
      </w:r>
      <w:r>
        <w:t xml:space="preserve"> </w:t>
      </w:r>
      <w:r>
        <w:rPr>
          <w:iCs/>
          <w:i/>
        </w:rPr>
        <w:t xml:space="preserve">ana</w:t>
      </w:r>
      <w:r>
        <w:t xml:space="preserve"> </w:t>
      </w:r>
      <w:r>
        <w:t xml:space="preserve">by</w:t>
      </w:r>
      <w:r>
        <w:t xml:space="preserve"> </w:t>
      </w:r>
      <w:r>
        <w:t xml:space="preserve">“</w:t>
      </w:r>
      <w:r>
        <w:t xml:space="preserve">yuvor anākau</w:t>
      </w:r>
      <w:r>
        <w:t xml:space="preserve">”</w:t>
      </w:r>
      <w:r>
        <w:t xml:space="preserve"> </w:t>
      </w:r>
      <w:r>
        <w:t xml:space="preserve">(Pā. sū. 7-1-1):</w:t>
      </w:r>
      <w:r>
        <w:t xml:space="preserve"> </w:t>
      </w:r>
      <w:r>
        <w:rPr>
          <w:iCs/>
          <w:i/>
        </w:rPr>
        <w:t xml:space="preserve">sū</w:t>
      </w:r>
      <w:r>
        <w:t xml:space="preserve"> </w:t>
      </w:r>
      <w:r>
        <w:t xml:space="preserve">+</w:t>
      </w:r>
      <w:r>
        <w:t xml:space="preserve"> </w:t>
      </w:r>
      <w:r>
        <w:rPr>
          <w:iCs/>
          <w:i/>
        </w:rPr>
        <w:t xml:space="preserve">ana</w:t>
      </w:r>
      <w:r>
        <w:t xml:space="preserve">;</w:t>
      </w:r>
      <w:r>
        <w:t xml:space="preserve"> </w:t>
      </w:r>
      <w:r>
        <w:rPr>
          <w:iCs/>
          <w:i/>
        </w:rPr>
        <w:t xml:space="preserve">guṇa</w:t>
      </w:r>
      <w:r>
        <w:t xml:space="preserve"> </w:t>
      </w:r>
      <w:r>
        <w:t xml:space="preserve">by</w:t>
      </w:r>
      <w:r>
        <w:t xml:space="preserve"> </w:t>
      </w:r>
      <w:r>
        <w:t xml:space="preserve">“</w:t>
      </w:r>
      <w:r>
        <w:t xml:space="preserve">sārvadhātukārdhadhātukayoḥ</w:t>
      </w:r>
      <w:r>
        <w:t xml:space="preserve">”</w:t>
      </w:r>
      <w:r>
        <w:t xml:space="preserve"> </w:t>
      </w:r>
      <w:r>
        <w:t xml:space="preserve">(Pā. sū. 7-3-44 [as printed, for 7-3-84]); the substitute</w:t>
      </w:r>
      <w:r>
        <w:t xml:space="preserve"> </w:t>
      </w:r>
      <w:r>
        <w:rPr>
          <w:iCs/>
          <w:i/>
        </w:rPr>
        <w:t xml:space="preserve">av</w:t>
      </w:r>
      <w:r>
        <w:t xml:space="preserve"> </w:t>
      </w:r>
      <w:r>
        <w:t xml:space="preserve">by</w:t>
      </w:r>
      <w:r>
        <w:t xml:space="preserve"> </w:t>
      </w:r>
      <w:r>
        <w:t xml:space="preserve">“</w:t>
      </w:r>
      <w:r>
        <w:t xml:space="preserve">eco ’yavāyāvaḥ</w:t>
      </w:r>
      <w:r>
        <w:t xml:space="preserve">”</w:t>
      </w:r>
      <w:r>
        <w:t xml:space="preserve"> </w:t>
      </w:r>
      <w:r>
        <w:t xml:space="preserve">(Pā. sū. 6-1-78):</w:t>
      </w:r>
      <w:r>
        <w:t xml:space="preserve"> </w:t>
      </w:r>
      <w:r>
        <w:rPr>
          <w:iCs/>
          <w:i/>
        </w:rPr>
        <w:t xml:space="preserve">savana</w:t>
      </w:r>
      <w:r>
        <w:t xml:space="preserve">. The</w:t>
      </w:r>
      <w:r>
        <w:t xml:space="preserve"> </w:t>
      </w:r>
      <w:r>
        <w:rPr>
          <w:iCs/>
          <w:i/>
        </w:rPr>
        <w:t xml:space="preserve">a</w:t>
      </w:r>
      <w:r>
        <w:t xml:space="preserve"> </w:t>
      </w:r>
      <w:r>
        <w:t xml:space="preserve">before the suffix</w:t>
      </w:r>
      <w:r>
        <w:t xml:space="preserve"> </w:t>
      </w:r>
      <w:r>
        <w:rPr>
          <w:iCs/>
          <w:i/>
        </w:rPr>
        <w:t xml:space="preserve">ana</w:t>
      </w:r>
      <w:r>
        <w:t xml:space="preserve"> </w:t>
      </w:r>
      <w:r>
        <w:t xml:space="preserve">is udātta by</w:t>
      </w:r>
      <w:r>
        <w:t xml:space="preserve"> </w:t>
      </w:r>
      <w:r>
        <w:t xml:space="preserve">“</w:t>
      </w:r>
      <w:r>
        <w:t xml:space="preserve">liti</w:t>
      </w:r>
      <w:r>
        <w:t xml:space="preserve">”</w:t>
      </w:r>
      <w:r>
        <w:t xml:space="preserve"> </w:t>
      </w:r>
      <w:r>
        <w:t xml:space="preserve">(Pā. sū. 6-1-193).</w:t>
      </w:r>
      <w:r>
        <w:t xml:space="preserve"> </w:t>
      </w:r>
      <w:r>
        <w:rPr>
          <w:iCs/>
          <w:i/>
        </w:rPr>
        <w:t xml:space="preserve">Savana</w:t>
      </w:r>
      <w:r>
        <w:t xml:space="preserve"> </w:t>
      </w:r>
      <w:r>
        <w:t xml:space="preserve">is a</w:t>
      </w:r>
      <w:r>
        <w:t xml:space="preserve"> </w:t>
      </w:r>
      <w:r>
        <w:rPr>
          <w:iCs/>
          <w:i/>
        </w:rPr>
        <w:t xml:space="preserve">lyuḍanta</w:t>
      </w:r>
      <w:r>
        <w:t xml:space="preserve"> </w:t>
      </w:r>
      <w:r>
        <w:t xml:space="preserve">in the sense of place. After it comes the locative singular suffix</w:t>
      </w:r>
      <w:r>
        <w:t xml:space="preserve"> </w:t>
      </w:r>
      <w:r>
        <w:rPr>
          <w:iCs/>
          <w:i/>
        </w:rPr>
        <w:t xml:space="preserve">ṅi</w:t>
      </w:r>
      <w:r>
        <w:t xml:space="preserve">.</w:t>
      </w:r>
    </w:p>
    <w:bookmarkEnd w:id="752"/>
    <w:bookmarkStart w:id="753" w:name="page-692-upper-rik-5-grammar-end"/>
    <w:p>
      <w:pPr>
        <w:pStyle w:val="Heading3"/>
      </w:pPr>
      <w:r>
        <w:t xml:space="preserve">Page 692 (upper) — Rik 5: grammar (end)</w:t>
      </w:r>
    </w:p>
    <w:p>
      <w:pPr>
        <w:pStyle w:val="FirstParagraph"/>
      </w:pPr>
      <w:r>
        <w:t xml:space="preserve">In its place, by</w:t>
      </w:r>
      <w:r>
        <w:t xml:space="preserve"> </w:t>
      </w:r>
      <w:r>
        <w:t xml:space="preserve">“</w:t>
      </w:r>
      <w:r>
        <w:t xml:space="preserve">supāṃ supo bhavanti</w:t>
      </w:r>
      <w:r>
        <w:t xml:space="preserve">”</w:t>
      </w:r>
      <w:r>
        <w:t xml:space="preserve"> </w:t>
      </w:r>
      <w:r>
        <w:t xml:space="preserve">(Pā. sū. Vā. 3-1-39-1 [as printed; the vārttika is on 7-1-39]), stated in the sūtra</w:t>
      </w:r>
      <w:r>
        <w:t xml:space="preserve"> </w:t>
      </w:r>
      <w:r>
        <w:t xml:space="preserve">“</w:t>
      </w:r>
      <w:r>
        <w:t xml:space="preserve">supāṃ suluk…</w:t>
      </w:r>
      <w:r>
        <w:t xml:space="preserve">”</w:t>
      </w:r>
      <w:r>
        <w:t xml:space="preserve"> </w:t>
      </w:r>
      <w:r>
        <w:t xml:space="preserve">(Pā. sū. 7-1-39) (in place of</w:t>
      </w:r>
      <w:r>
        <w:t xml:space="preserve"> </w:t>
      </w:r>
      <w:r>
        <w:rPr>
          <w:iCs/>
          <w:i/>
        </w:rPr>
        <w:t xml:space="preserve">sup</w:t>
      </w:r>
      <w:r>
        <w:t xml:space="preserve"> </w:t>
      </w:r>
      <w:r>
        <w:t xml:space="preserve">endings the intended</w:t>
      </w:r>
      <w:r>
        <w:t xml:space="preserve"> </w:t>
      </w:r>
      <w:r>
        <w:rPr>
          <w:iCs/>
          <w:i/>
        </w:rPr>
        <w:t xml:space="preserve">sup</w:t>
      </w:r>
      <w:r>
        <w:t xml:space="preserve"> </w:t>
      </w:r>
      <w:r>
        <w:t xml:space="preserve">endings come), the accusative singular</w:t>
      </w:r>
      <w:r>
        <w:t xml:space="preserve"> </w:t>
      </w:r>
      <w:r>
        <w:rPr>
          <w:iCs/>
          <w:i/>
        </w:rPr>
        <w:t xml:space="preserve">am</w:t>
      </w:r>
      <w:r>
        <w:t xml:space="preserve"> </w:t>
      </w:r>
      <w:r>
        <w:t xml:space="preserve">comes.</w:t>
      </w:r>
      <w:r>
        <w:t xml:space="preserve"> </w:t>
      </w:r>
      <w:r>
        <w:rPr>
          <w:iCs/>
          <w:i/>
        </w:rPr>
        <w:t xml:space="preserve">Savana</w:t>
      </w:r>
      <w:r>
        <w:t xml:space="preserve"> </w:t>
      </w:r>
      <w:r>
        <w:t xml:space="preserve">+</w:t>
      </w:r>
      <w:r>
        <w:t xml:space="preserve"> </w:t>
      </w:r>
      <w:r>
        <w:rPr>
          <w:iCs/>
          <w:i/>
        </w:rPr>
        <w:t xml:space="preserve">am</w:t>
      </w:r>
      <w:r>
        <w:t xml:space="preserve">: by</w:t>
      </w:r>
      <w:r>
        <w:t xml:space="preserve"> </w:t>
      </w:r>
      <w:r>
        <w:t xml:space="preserve">“</w:t>
      </w:r>
      <w:r>
        <w:t xml:space="preserve">ami pūrvaḥ</w:t>
      </w:r>
      <w:r>
        <w:t xml:space="preserve">”</w:t>
      </w:r>
      <w:r>
        <w:t xml:space="preserve"> </w:t>
      </w:r>
      <w:r>
        <w:t xml:space="preserve">(Pā. sū. 6-1-107) the</w:t>
      </w:r>
      <w:r>
        <w:t xml:space="preserve"> </w:t>
      </w:r>
      <w:r>
        <w:rPr>
          <w:iCs/>
          <w:i/>
        </w:rPr>
        <w:t xml:space="preserve">pūrvarūpa</w:t>
      </w:r>
      <w:r>
        <w:t xml:space="preserve">:</w:t>
      </w:r>
      <w:r>
        <w:t xml:space="preserve"> </w:t>
      </w:r>
      <w:r>
        <w:rPr>
          <w:iCs/>
          <w:i/>
        </w:rPr>
        <w:t xml:space="preserve">savanam</w:t>
      </w:r>
      <w:r>
        <w:t xml:space="preserve">.</w:t>
      </w:r>
      <w:r>
        <w:t xml:space="preserve"> </w:t>
      </w:r>
      <w:r>
        <w:rPr>
          <w:iCs/>
          <w:i/>
        </w:rPr>
        <w:t xml:space="preserve">Savane sutam idaṃ piba</w:t>
      </w:r>
      <w:r>
        <w:t xml:space="preserve">: in this alternative the sense is</w:t>
      </w:r>
      <w:r>
        <w:t xml:space="preserve"> </w:t>
      </w:r>
      <w:r>
        <w:t xml:space="preserve">“</w:t>
      </w:r>
      <w:r>
        <w:t xml:space="preserve">O Indra, drink the soma pressed in the rite in the form of the morning pressing and so on</w:t>
      </w:r>
      <w:r>
        <w:t xml:space="preserve">”</w:t>
      </w:r>
      <w:r>
        <w:t xml:space="preserve">. Or, meant as</w:t>
      </w:r>
      <w:r>
        <w:t xml:space="preserve"> </w:t>
      </w:r>
      <w:r>
        <w:t xml:space="preserve">“</w:t>
      </w:r>
      <w:r>
        <w:rPr>
          <w:iCs/>
          <w:i/>
        </w:rPr>
        <w:t xml:space="preserve">sutam asya asti</w:t>
      </w:r>
      <w:r>
        <w:t xml:space="preserve">”</w:t>
      </w:r>
      <w:r>
        <w:t xml:space="preserve">, by</w:t>
      </w:r>
      <w:r>
        <w:t xml:space="preserve"> </w:t>
      </w:r>
      <w:r>
        <w:t xml:space="preserve">“</w:t>
      </w:r>
      <w:r>
        <w:t xml:space="preserve">arśaādibhyo ’c</w:t>
      </w:r>
      <w:r>
        <w:t xml:space="preserve">”</w:t>
      </w:r>
      <w:r>
        <w:t xml:space="preserve"> </w:t>
      </w:r>
      <w:r>
        <w:t xml:space="preserve">(Pā. sū. 5-2-127) the suffix</w:t>
      </w:r>
      <w:r>
        <w:t xml:space="preserve"> </w:t>
      </w:r>
      <w:r>
        <w:rPr>
          <w:iCs/>
          <w:i/>
        </w:rPr>
        <w:t xml:space="preserve">ac</w:t>
      </w:r>
      <w:r>
        <w:t xml:space="preserve">:</w:t>
      </w:r>
      <w:r>
        <w:t xml:space="preserve"> </w:t>
      </w:r>
      <w:r>
        <w:rPr>
          <w:iCs/>
          <w:i/>
        </w:rPr>
        <w:t xml:space="preserve">suta</w:t>
      </w:r>
      <w:r>
        <w:t xml:space="preserve"> </w:t>
      </w:r>
      <w:r>
        <w:t xml:space="preserve">+</w:t>
      </w:r>
      <w:r>
        <w:t xml:space="preserve"> </w:t>
      </w:r>
      <w:r>
        <w:rPr>
          <w:iCs/>
          <w:i/>
        </w:rPr>
        <w:t xml:space="preserve">a</w:t>
      </w:r>
      <w:r>
        <w:t xml:space="preserve">; by</w:t>
      </w:r>
      <w:r>
        <w:t xml:space="preserve"> </w:t>
      </w:r>
      <w:r>
        <w:t xml:space="preserve">“</w:t>
      </w:r>
      <w:r>
        <w:t xml:space="preserve">yasyeti ca</w:t>
      </w:r>
      <w:r>
        <w:t xml:space="preserve">”</w:t>
      </w:r>
      <w:r>
        <w:t xml:space="preserve"> </w:t>
      </w:r>
      <w:r>
        <w:t xml:space="preserve">(Pā. sū. 6-4-148) the</w:t>
      </w:r>
      <w:r>
        <w:t xml:space="preserve"> </w:t>
      </w:r>
      <w:r>
        <w:rPr>
          <w:iCs/>
          <w:i/>
        </w:rPr>
        <w:t xml:space="preserve">a</w:t>
      </w:r>
      <w:r>
        <w:t xml:space="preserve"> </w:t>
      </w:r>
      <w:r>
        <w:t xml:space="preserve">is dropped.</w:t>
      </w:r>
      <w:r>
        <w:t xml:space="preserve"> </w:t>
      </w:r>
      <w:r>
        <w:rPr>
          <w:iCs/>
          <w:i/>
        </w:rPr>
        <w:t xml:space="preserve">Sutam</w:t>
      </w:r>
      <w:r>
        <w:t xml:space="preserve"> </w:t>
      </w:r>
      <w:r>
        <w:t xml:space="preserve">means</w:t>
      </w:r>
      <w:r>
        <w:t xml:space="preserve"> </w:t>
      </w:r>
      <w:r>
        <w:t xml:space="preserve">“</w:t>
      </w:r>
      <w:r>
        <w:t xml:space="preserve">joined with the pressed soma juice</w:t>
      </w:r>
      <w:r>
        <w:t xml:space="preserve">”</w:t>
      </w:r>
      <w:r>
        <w:t xml:space="preserve">. In this alternative</w:t>
      </w:r>
      <w:r>
        <w:t xml:space="preserve"> </w:t>
      </w:r>
      <w:r>
        <w:rPr>
          <w:iCs/>
          <w:i/>
        </w:rPr>
        <w:t xml:space="preserve">sutam idaṃ savanaṃ piba</w:t>
      </w:r>
      <w:r>
        <w:t xml:space="preserve"> </w:t>
      </w:r>
      <w:r>
        <w:t xml:space="preserve">means</w:t>
      </w:r>
      <w:r>
        <w:t xml:space="preserve"> </w:t>
      </w:r>
      <w:r>
        <w:t xml:space="preserve">“</w:t>
      </w:r>
      <w:r>
        <w:t xml:space="preserve">enjoy this rite of the morning pressing and so on, joined with the pressed soma juice</w:t>
      </w:r>
      <w:r>
        <w:t xml:space="preserve">”</w:t>
      </w:r>
      <w:r>
        <w:t xml:space="preserve">. Since</w:t>
      </w:r>
      <w:r>
        <w:t xml:space="preserve"> </w:t>
      </w:r>
      <w:r>
        <w:rPr>
          <w:iCs/>
          <w:i/>
        </w:rPr>
        <w:t xml:space="preserve">savana</w:t>
      </w:r>
      <w:r>
        <w:t xml:space="preserve"> </w:t>
      </w:r>
      <w:r>
        <w:t xml:space="preserve">denotes the object marked by the action conveyed by the root</w:t>
      </w:r>
      <w:r>
        <w:t xml:space="preserve"> </w:t>
      </w:r>
      <w:r>
        <w:rPr>
          <w:iCs/>
          <w:i/>
        </w:rPr>
        <w:t xml:space="preserve">pā</w:t>
      </w:r>
      <w:r>
        <w:t xml:space="preserve">, the justification can be given that the accusative comes by</w:t>
      </w:r>
      <w:r>
        <w:t xml:space="preserve"> </w:t>
      </w:r>
      <w:r>
        <w:t xml:space="preserve">“</w:t>
      </w:r>
      <w:r>
        <w:t xml:space="preserve">karmaṇi dvitīyā</w:t>
      </w:r>
      <w:r>
        <w:t xml:space="preserve">”</w:t>
      </w:r>
      <w:r>
        <w:t xml:space="preserve"> </w:t>
      </w:r>
      <w:r>
        <w:t xml:space="preserve">(Pā. sū. 2-9-2 [as read; for 2-3-2] [?]). In the Vedabhāṣya, explaining the sense,</w:t>
      </w:r>
      <w:r>
        <w:t xml:space="preserve"> </w:t>
      </w:r>
      <w:r>
        <w:rPr>
          <w:iCs/>
          <w:i/>
        </w:rPr>
        <w:t xml:space="preserve">savanam</w:t>
      </w:r>
      <w:r>
        <w:t xml:space="preserve"> </w:t>
      </w:r>
      <w:r>
        <w:t xml:space="preserve">is taken as a nominative and the verb is supplied; in that alternative it must be said that</w:t>
      </w:r>
      <w:r>
        <w:t xml:space="preserve"> </w:t>
      </w:r>
      <w:r>
        <w:rPr>
          <w:iCs/>
          <w:i/>
        </w:rPr>
        <w:t xml:space="preserve">am</w:t>
      </w:r>
      <w:r>
        <w:t xml:space="preserve"> </w:t>
      </w:r>
      <w:r>
        <w:t xml:space="preserve">is substituted for the nominative singular suffix by</w:t>
      </w:r>
      <w:r>
        <w:t xml:space="preserve"> </w:t>
      </w:r>
      <w:r>
        <w:rPr>
          <w:iCs/>
          <w:i/>
        </w:rPr>
        <w:t xml:space="preserve">supāṃ suluk</w:t>
      </w:r>
      <w:r>
        <w:t xml:space="preserve">.</w:t>
      </w:r>
    </w:p>
    <w:p>
      <w:pPr>
        <w:pStyle w:val="BodyText"/>
      </w:pPr>
      <w:r>
        <w:rPr>
          <w:bCs/>
          <w:b/>
        </w:rPr>
        <w:t xml:space="preserve">तृषितः (</w:t>
      </w:r>
      <w:r>
        <w:rPr>
          <w:iCs/>
          <w:i/>
          <w:bCs/>
          <w:b/>
        </w:rPr>
        <w:t xml:space="preserve">tṛṣitaḥ</w:t>
      </w:r>
      <w:r>
        <w:rPr>
          <w:bCs/>
          <w:b/>
        </w:rPr>
        <w:t xml:space="preserve">)</w:t>
      </w:r>
      <w:r>
        <w:t xml:space="preserve">: the root</w:t>
      </w:r>
      <w:r>
        <w:t xml:space="preserve"> </w:t>
      </w:r>
      <w:r>
        <w:rPr>
          <w:iCs/>
          <w:i/>
        </w:rPr>
        <w:t xml:space="preserve">ñitṛṣa pipāsāyām</w:t>
      </w:r>
      <w:r>
        <w:t xml:space="preserve">; the suffix</w:t>
      </w:r>
      <w:r>
        <w:t xml:space="preserve"> </w:t>
      </w:r>
      <w:r>
        <w:rPr>
          <w:iCs/>
          <w:i/>
        </w:rPr>
        <w:t xml:space="preserve">kta</w:t>
      </w:r>
      <w:r>
        <w:t xml:space="preserve"> </w:t>
      </w:r>
      <w:r>
        <w:t xml:space="preserve">in the object sense by</w:t>
      </w:r>
      <w:r>
        <w:t xml:space="preserve"> </w:t>
      </w:r>
      <w:r>
        <w:t xml:space="preserve">“</w:t>
      </w:r>
      <w:r>
        <w:t xml:space="preserve">niṣṭhā</w:t>
      </w:r>
      <w:r>
        <w:t xml:space="preserve">”</w:t>
      </w:r>
      <w:r>
        <w:t xml:space="preserve"> </w:t>
      </w:r>
      <w:r>
        <w:t xml:space="preserve">(Pā. sū. 2-2-36 [as printed, for 3-2-102]); the augment</w:t>
      </w:r>
      <w:r>
        <w:t xml:space="preserve"> </w:t>
      </w:r>
      <w:r>
        <w:rPr>
          <w:iCs/>
          <w:i/>
        </w:rPr>
        <w:t xml:space="preserve">iṭ</w:t>
      </w:r>
      <w:r>
        <w:t xml:space="preserve"> </w:t>
      </w:r>
      <w:r>
        <w:t xml:space="preserve">by</w:t>
      </w:r>
      <w:r>
        <w:t xml:space="preserve"> </w:t>
      </w:r>
      <w:r>
        <w:t xml:space="preserve">“</w:t>
      </w:r>
      <w:r>
        <w:t xml:space="preserve">ārdhadhātukasyeḍ valādeḥ</w:t>
      </w:r>
      <w:r>
        <w:t xml:space="preserve">”</w:t>
      </w:r>
      <w:r>
        <w:t xml:space="preserve"> </w:t>
      </w:r>
      <w:r>
        <w:t xml:space="preserve">(Pā. sū. 7-2-35):</w:t>
      </w:r>
      <w:r>
        <w:t xml:space="preserve"> </w:t>
      </w:r>
      <w:r>
        <w:rPr>
          <w:iCs/>
          <w:i/>
        </w:rPr>
        <w:t xml:space="preserve">tṛṣita</w:t>
      </w:r>
      <w:r>
        <w:t xml:space="preserve">. After the</w:t>
      </w:r>
      <w:r>
        <w:t xml:space="preserve"> </w:t>
      </w:r>
      <w:r>
        <w:rPr>
          <w:iCs/>
          <w:i/>
        </w:rPr>
        <w:t xml:space="preserve">kta</w:t>
      </w:r>
      <w:r>
        <w:t xml:space="preserve"> </w:t>
      </w:r>
      <w:r>
        <w:t xml:space="preserve">suffix is made initial udātta by</w:t>
      </w:r>
      <w:r>
        <w:t xml:space="preserve"> </w:t>
      </w:r>
      <w:r>
        <w:rPr>
          <w:iCs/>
          <w:i/>
        </w:rPr>
        <w:t xml:space="preserve">ādyudāttaś ca</w:t>
      </w:r>
      <w:r>
        <w:t xml:space="preserve">, the augment</w:t>
      </w:r>
      <w:r>
        <w:t xml:space="preserve"> </w:t>
      </w:r>
      <w:r>
        <w:rPr>
          <w:iCs/>
          <w:i/>
        </w:rPr>
        <w:t xml:space="preserve">iṭ</w:t>
      </w:r>
      <w:r>
        <w:t xml:space="preserve"> </w:t>
      </w:r>
      <w:r>
        <w:t xml:space="preserve">that comes is unaccented by</w:t>
      </w:r>
      <w:r>
        <w:t xml:space="preserve"> </w:t>
      </w:r>
      <w:r>
        <w:rPr>
          <w:iCs/>
          <w:i/>
        </w:rPr>
        <w:t xml:space="preserve">āgamā anudāttāḥ</w:t>
      </w:r>
      <w:r>
        <w:t xml:space="preserve">.</w:t>
      </w:r>
    </w:p>
    <w:p>
      <w:pPr>
        <w:pStyle w:val="BodyText"/>
      </w:pPr>
      <w:r>
        <w:rPr>
          <w:bCs/>
          <w:b/>
        </w:rPr>
        <w:t xml:space="preserve">॥५॥</w:t>
      </w:r>
    </w:p>
    <w:p>
      <w:r>
        <w:pict>
          <v:rect style="width:0;height:1.5pt" o:hralign="center" o:hrstd="t" o:hr="t"/>
        </w:pict>
      </w:r>
    </w:p>
    <w:bookmarkEnd w:id="753"/>
    <w:bookmarkStart w:id="754" w:name="page-692-lower-sūkta-16-rik-6"/>
    <w:p>
      <w:pPr>
        <w:pStyle w:val="Heading3"/>
      </w:pPr>
      <w:r>
        <w:t xml:space="preserve">Page 692 (lower) — Sūkta 16, Rik 6</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इ॒मे सोमा॑स॒ इन्द॑वः सु॒तासो॒ अधि॑ ब॒र्हिषि॑ ।</w:t>
      </w:r>
      <w:r>
        <w:t xml:space="preserve"> </w:t>
      </w:r>
      <w:r>
        <w:t xml:space="preserve">ताँ इ॑न्द्र॒ सह॑से पिब ॥६॥ [accent ?]</w:t>
      </w:r>
    </w:p>
    <w:p>
      <w:pPr>
        <w:pStyle w:val="BlockText"/>
      </w:pPr>
      <w:r>
        <w:rPr>
          <w:iCs/>
          <w:i/>
        </w:rPr>
        <w:t xml:space="preserve">imé sómāsa índavaḥ sutā́so ádhi barhíṣi |</w:t>
      </w:r>
      <w:r>
        <w:t xml:space="preserve"> </w:t>
      </w:r>
      <w:r>
        <w:rPr>
          <w:iCs/>
          <w:i/>
        </w:rPr>
        <w:t xml:space="preserve">tā́m̐ indra sáhase piba ||6||</w:t>
      </w:r>
      <w:r>
        <w:t xml:space="preserve"> </w:t>
      </w:r>
      <w:r>
        <w:t xml:space="preserve">[accent ?]</w:t>
      </w:r>
    </w:p>
    <w:p>
      <w:pPr>
        <w:pStyle w:val="FirstParagraph"/>
      </w:pPr>
      <w:r>
        <w:rPr>
          <w:iCs/>
          <w:i/>
        </w:rPr>
        <w:t xml:space="preserve">(Bars under इ (इमे), स (सोमास), सु, सो (सुतासो), ब and in line 2 under द्र; strokes over मा, द, धि, षि and in line 2 over इ and ह. No bar is printed before the stroke over इ in line 2. The Saṃhitā prints the nasalised ताँ; the Pada has तान्.)</w:t>
      </w:r>
    </w:p>
    <w:p>
      <w:pPr>
        <w:pStyle w:val="BodyText"/>
      </w:pPr>
      <w:r>
        <w:rPr>
          <w:bCs/>
          <w:b/>
        </w:rPr>
        <w:t xml:space="preserve">॥ Pada-pāṭhaḥ ॥</w:t>
      </w:r>
    </w:p>
    <w:p>
      <w:pPr>
        <w:pStyle w:val="BlockText"/>
      </w:pPr>
      <w:r>
        <w:t xml:space="preserve">इमे । सोमासः । इन्दवः । सुतासः । अधि । बर्हिषि ॥</w:t>
      </w:r>
      <w:r>
        <w:t xml:space="preserve"> </w:t>
      </w:r>
      <w:r>
        <w:t xml:space="preserve">तान् । इन्द्र । सहसे । पिब ॥६॥</w:t>
      </w:r>
    </w:p>
    <w:p>
      <w:pPr>
        <w:pStyle w:val="BlockText"/>
      </w:pPr>
      <w:r>
        <w:rPr>
          <w:iCs/>
          <w:i/>
        </w:rPr>
        <w:t xml:space="preserve">ime | somāsaḥ | indavaḥ | sutāsaḥ | adhi | barhiṣi ||</w:t>
      </w:r>
      <w:r>
        <w:t xml:space="preserve"> </w:t>
      </w:r>
      <w:r>
        <w:rPr>
          <w:iCs/>
          <w:i/>
        </w:rPr>
        <w:t xml:space="preserve">tān | indra | sahase | piba ||6||</w:t>
      </w:r>
    </w:p>
    <w:bookmarkEnd w:id="754"/>
    <w:bookmarkStart w:id="755" w:name="X0af867dd0a5088051e5db4dc9731dcde9cc5232"/>
    <w:p>
      <w:pPr>
        <w:pStyle w:val="Heading3"/>
      </w:pPr>
      <w:r>
        <w:t xml:space="preserve">Page 693 — Rik 6: bhāṣya, word-meanings, overall sense, English, Special Topics</w:t>
      </w:r>
    </w:p>
    <w:p>
      <w:pPr>
        <w:pStyle w:val="FirstParagraph"/>
      </w:pPr>
      <w:r>
        <w:rPr>
          <w:bCs/>
          <w:b/>
        </w:rPr>
        <w:t xml:space="preserve">॥ Sāyaṇa-bhāṣyam ॥</w:t>
      </w:r>
    </w:p>
    <w:p>
      <w:pPr>
        <w:pStyle w:val="BodyText"/>
      </w:pPr>
      <w:r>
        <w:rPr>
          <w:iCs/>
          <w:i/>
        </w:rPr>
        <w:t xml:space="preserve">(The earlier reading अधिकेन is corrected from the print: यज्ञेऽध्याधिक्येन, i.e. </w:t>
      </w:r>
      <w:r>
        <w:t xml:space="preserve">adhi* glossed by</w:t>
      </w:r>
      <w:r>
        <w:t xml:space="preserve"> </w:t>
      </w:r>
      <w:r>
        <w:rPr>
          <w:iCs/>
          <w:i/>
        </w:rPr>
        <w:t xml:space="preserve">ādhikyena</w:t>
      </w:r>
      <w:r>
        <w:t xml:space="preserve">.)*</w:t>
      </w:r>
    </w:p>
    <w:p>
      <w:pPr>
        <w:pStyle w:val="BlockText"/>
      </w:pPr>
      <w:r>
        <w:t xml:space="preserve">इन्दुशब्द उन्दी क्लेदन इति धातोरुत्पन्नः । इन्दवः क्लेदनयुक्ता इमे वेद्यामवस्थिताः सोमासस्तत्तत्पात्रगताः सोमा बर्हिषि यज्ञेऽध्याधिक्येन सुतासः । अभिषुताः । हे इन्द्र सहसे बलार्थं तान् सोमान् पिब ॥ सोमासः । आज्जसेरसुगिति जसोऽसुगागमः । इन्दवः । उक्तम् । सुतासः । पूर्ववदसुक् । संहितायां प्रकृत्यान्तःपादमव्यपर इति प्रकृतिभावात्स्वरपूर्वत्वं न भवति । बर्हिषि । बृंहेर्नलोपश्च । उ. २-१०० । इतीस् । प्रत्ययस्वरः । ताँ इन्द्रेत्यत्र दीर्घादटि समानपाद इति रुत्वम् । यत्वयलोपौ । अनुनासिकः । सहसे । षह मर्षणे । असुनन्तो नित्त्वादाद्युदात्तः ॥</w:t>
      </w:r>
    </w:p>
    <w:p>
      <w:pPr>
        <w:pStyle w:val="BlockText"/>
      </w:pPr>
      <w:r>
        <w:rPr>
          <w:iCs/>
          <w:i/>
        </w:rPr>
        <w:t xml:space="preserve">induśabda undī kledana iti dhātorutpannaḥ | indavaḥ kledanayuktā ime vedyāmavasthitāḥ somāsastattatpātragatāḥ somā barhiṣi yajñe ’dhyādhikyena sutāsaḥ | abhiṣutāḥ | he indra sahase balārthaṃ tān somān piba || somāsaḥ | ājjaserasugiti jaso ’sugāgamaḥ | indavaḥ | uktam | sutāsaḥ | pūrvavadasuk | saṃhitāyāṃ prakṛtyāntaḥpādamavyapara iti prakṛtibhāvātsvarapūrvatvaṃ na bhavati | barhiṣi | bṛṃhernalopaśca | u. 2-100 | itīs | pratyayasvaraḥ | tām̐ indretyatra dīrghādaṭi samānapāda iti rutvam | yatvayalopau | anunāsikaḥ | sahase | ṣaha marṣaṇe | asunanto nittvādādyudāttaḥ ||</w:t>
      </w:r>
    </w:p>
    <w:p>
      <w:pPr>
        <w:pStyle w:val="FirstParagraph"/>
      </w:pPr>
      <w:r>
        <w:rPr>
          <w:bCs/>
          <w:b/>
        </w:rPr>
        <w:t xml:space="preserve">Translation:</w:t>
      </w:r>
      <w:r>
        <w:t xml:space="preserve"> </w:t>
      </w:r>
      <w:r>
        <w:t xml:space="preserve">“</w:t>
      </w:r>
      <w:r>
        <w:t xml:space="preserve">The word</w:t>
      </w:r>
      <w:r>
        <w:t xml:space="preserve"> </w:t>
      </w:r>
      <w:r>
        <w:rPr>
          <w:iCs/>
          <w:i/>
        </w:rPr>
        <w:t xml:space="preserve">indu</w:t>
      </w:r>
      <w:r>
        <w:t xml:space="preserve"> </w:t>
      </w:r>
      <w:r>
        <w:t xml:space="preserve">is formed from the root</w:t>
      </w:r>
      <w:r>
        <w:t xml:space="preserve"> </w:t>
      </w:r>
      <w:r>
        <w:rPr>
          <w:iCs/>
          <w:i/>
        </w:rPr>
        <w:t xml:space="preserve">undī kledane</w:t>
      </w:r>
      <w:r>
        <w:t xml:space="preserve">, to wet.</w:t>
      </w:r>
      <w:r>
        <w:t xml:space="preserve"> </w:t>
      </w:r>
      <w:r>
        <w:rPr>
          <w:iCs/>
          <w:i/>
        </w:rPr>
        <w:t xml:space="preserve">Indavaḥ</w:t>
      </w:r>
      <w:r>
        <w:t xml:space="preserve">, wet: these</w:t>
      </w:r>
      <w:r>
        <w:t xml:space="preserve"> </w:t>
      </w:r>
      <w:r>
        <w:rPr>
          <w:iCs/>
          <w:i/>
        </w:rPr>
        <w:t xml:space="preserve">somāsaḥ</w:t>
      </w:r>
      <w:r>
        <w:t xml:space="preserve">, soma juices standing on the altar and held in their several vessels, are</w:t>
      </w:r>
      <w:r>
        <w:t xml:space="preserve"> </w:t>
      </w:r>
      <w:r>
        <w:rPr>
          <w:iCs/>
          <w:i/>
        </w:rPr>
        <w:t xml:space="preserve">sutāsaḥ</w:t>
      </w:r>
      <w:r>
        <w:t xml:space="preserve">, pressed, at the sacrifice,</w:t>
      </w:r>
      <w:r>
        <w:t xml:space="preserve"> </w:t>
      </w:r>
      <w:r>
        <w:rPr>
          <w:iCs/>
          <w:i/>
        </w:rPr>
        <w:t xml:space="preserve">barhiṣi</w:t>
      </w:r>
      <w:r>
        <w:t xml:space="preserve">, in abundance,</w:t>
      </w:r>
      <w:r>
        <w:t xml:space="preserve"> </w:t>
      </w:r>
      <w:r>
        <w:rPr>
          <w:iCs/>
          <w:i/>
        </w:rPr>
        <w:t xml:space="preserve">adhi</w:t>
      </w:r>
      <w:r>
        <w:t xml:space="preserve">. O Indra, drink those soma juices for strength,</w:t>
      </w:r>
      <w:r>
        <w:t xml:space="preserve"> </w:t>
      </w:r>
      <w:r>
        <w:rPr>
          <w:iCs/>
          <w:i/>
        </w:rPr>
        <w:t xml:space="preserve">sahase</w:t>
      </w:r>
      <w:r>
        <w:t xml:space="preserve">.</w:t>
      </w:r>
      <w:r>
        <w:t xml:space="preserve">”</w:t>
      </w:r>
      <w:r>
        <w:t xml:space="preserve"> </w:t>
      </w:r>
      <w:r>
        <w:t xml:space="preserve">(Grammatical tail:</w:t>
      </w:r>
      <w:r>
        <w:t xml:space="preserve"> </w:t>
      </w:r>
      <w:r>
        <w:rPr>
          <w:iCs/>
          <w:i/>
        </w:rPr>
        <w:t xml:space="preserve">somāsaḥ</w:t>
      </w:r>
      <w:r>
        <w:t xml:space="preserve">,</w:t>
      </w:r>
      <w:r>
        <w:t xml:space="preserve"> </w:t>
      </w:r>
      <w:r>
        <w:rPr>
          <w:iCs/>
          <w:i/>
        </w:rPr>
        <w:t xml:space="preserve">asuk</w:t>
      </w:r>
      <w:r>
        <w:t xml:space="preserve"> </w:t>
      </w:r>
      <w:r>
        <w:t xml:space="preserve">for</w:t>
      </w:r>
      <w:r>
        <w:t xml:space="preserve"> </w:t>
      </w:r>
      <w:r>
        <w:rPr>
          <w:iCs/>
          <w:i/>
        </w:rPr>
        <w:t xml:space="preserve">jas</w:t>
      </w:r>
      <w:r>
        <w:t xml:space="preserve"> </w:t>
      </w:r>
      <w:r>
        <w:t xml:space="preserve">by</w:t>
      </w:r>
      <w:r>
        <w:t xml:space="preserve"> </w:t>
      </w:r>
      <w:r>
        <w:rPr>
          <w:iCs/>
          <w:i/>
        </w:rPr>
        <w:t xml:space="preserve">āj jaser asuk</w:t>
      </w:r>
      <w:r>
        <w:t xml:space="preserve">;</w:t>
      </w:r>
      <w:r>
        <w:t xml:space="preserve"> </w:t>
      </w:r>
      <w:r>
        <w:rPr>
          <w:iCs/>
          <w:i/>
        </w:rPr>
        <w:t xml:space="preserve">indavaḥ</w:t>
      </w:r>
      <w:r>
        <w:t xml:space="preserve">, explained;</w:t>
      </w:r>
      <w:r>
        <w:t xml:space="preserve"> </w:t>
      </w:r>
      <w:r>
        <w:rPr>
          <w:iCs/>
          <w:i/>
        </w:rPr>
        <w:t xml:space="preserve">sutāsaḥ</w:t>
      </w:r>
      <w:r>
        <w:t xml:space="preserve">,</w:t>
      </w:r>
      <w:r>
        <w:t xml:space="preserve"> </w:t>
      </w:r>
      <w:r>
        <w:rPr>
          <w:iCs/>
          <w:i/>
        </w:rPr>
        <w:t xml:space="preserve">asuk</w:t>
      </w:r>
      <w:r>
        <w:t xml:space="preserve"> </w:t>
      </w:r>
      <w:r>
        <w:t xml:space="preserve">as before, and in the Saṃhitā no loss of the following vowel, by the</w:t>
      </w:r>
      <w:r>
        <w:t xml:space="preserve"> </w:t>
      </w:r>
      <w:r>
        <w:rPr>
          <w:iCs/>
          <w:i/>
        </w:rPr>
        <w:t xml:space="preserve">prakṛtibhāva</w:t>
      </w:r>
      <w:r>
        <w:t xml:space="preserve"> </w:t>
      </w:r>
      <w:r>
        <w:t xml:space="preserve">of</w:t>
      </w:r>
      <w:r>
        <w:t xml:space="preserve"> </w:t>
      </w:r>
      <w:r>
        <w:rPr>
          <w:iCs/>
          <w:i/>
        </w:rPr>
        <w:t xml:space="preserve">prakṛtyāntaḥpādam avyapare</w:t>
      </w:r>
      <w:r>
        <w:t xml:space="preserve">;</w:t>
      </w:r>
      <w:r>
        <w:t xml:space="preserve"> </w:t>
      </w:r>
      <w:r>
        <w:rPr>
          <w:iCs/>
          <w:i/>
        </w:rPr>
        <w:t xml:space="preserve">barhiṣi</w:t>
      </w:r>
      <w:r>
        <w:t xml:space="preserve">,</w:t>
      </w:r>
      <w:r>
        <w:t xml:space="preserve"> </w:t>
      </w:r>
      <w:r>
        <w:rPr>
          <w:iCs/>
          <w:i/>
        </w:rPr>
        <w:t xml:space="preserve">is</w:t>
      </w:r>
      <w:r>
        <w:t xml:space="preserve"> </w:t>
      </w:r>
      <w:r>
        <w:t xml:space="preserve">by</w:t>
      </w:r>
      <w:r>
        <w:t xml:space="preserve"> </w:t>
      </w:r>
      <w:r>
        <w:rPr>
          <w:iCs/>
          <w:i/>
        </w:rPr>
        <w:t xml:space="preserve">bṛṃher nalopaś ca</w:t>
      </w:r>
      <w:r>
        <w:t xml:space="preserve"> </w:t>
      </w:r>
      <w:r>
        <w:t xml:space="preserve">(Uṇ. 2-100), the suffix accent;</w:t>
      </w:r>
      <w:r>
        <w:t xml:space="preserve"> </w:t>
      </w:r>
      <w:r>
        <w:rPr>
          <w:iCs/>
          <w:i/>
        </w:rPr>
        <w:t xml:space="preserve">tām̐ indra</w:t>
      </w:r>
      <w:r>
        <w:t xml:space="preserve">,</w:t>
      </w:r>
      <w:r>
        <w:t xml:space="preserve"> </w:t>
      </w:r>
      <w:r>
        <w:rPr>
          <w:iCs/>
          <w:i/>
        </w:rPr>
        <w:t xml:space="preserve">ru</w:t>
      </w:r>
      <w:r>
        <w:t xml:space="preserve"> </w:t>
      </w:r>
      <w:r>
        <w:t xml:space="preserve">by</w:t>
      </w:r>
      <w:r>
        <w:t xml:space="preserve"> </w:t>
      </w:r>
      <w:r>
        <w:rPr>
          <w:iCs/>
          <w:i/>
        </w:rPr>
        <w:t xml:space="preserve">dīrghād aṭi samānapāde</w:t>
      </w:r>
      <w:r>
        <w:t xml:space="preserve">,</w:t>
      </w:r>
      <w:r>
        <w:t xml:space="preserve"> </w:t>
      </w:r>
      <w:r>
        <w:rPr>
          <w:iCs/>
          <w:i/>
        </w:rPr>
        <w:t xml:space="preserve">y</w:t>
      </w:r>
      <w:r>
        <w:t xml:space="preserve"> </w:t>
      </w:r>
      <w:r>
        <w:t xml:space="preserve">and its loss, the nasal;</w:t>
      </w:r>
      <w:r>
        <w:t xml:space="preserve"> </w:t>
      </w:r>
      <w:r>
        <w:rPr>
          <w:iCs/>
          <w:i/>
        </w:rPr>
        <w:t xml:space="preserve">sahase</w:t>
      </w:r>
      <w:r>
        <w:t xml:space="preserve">,</w:t>
      </w:r>
      <w:r>
        <w:t xml:space="preserve"> </w:t>
      </w:r>
      <w:r>
        <w:rPr>
          <w:iCs/>
          <w:i/>
        </w:rPr>
        <w:t xml:space="preserve">ṣaha marṣaṇe</w:t>
      </w:r>
      <w:r>
        <w:t xml:space="preserve">, an</w:t>
      </w:r>
      <w:r>
        <w:t xml:space="preserve"> </w:t>
      </w:r>
      <w:r>
        <w:rPr>
          <w:iCs/>
          <w:i/>
        </w:rPr>
        <w:t xml:space="preserve">asun</w:t>
      </w:r>
      <w:r>
        <w:t xml:space="preserve"> </w:t>
      </w:r>
      <w:r>
        <w:t xml:space="preserve">form, initial udātta as</w:t>
      </w:r>
      <w:r>
        <w:t xml:space="preserve"> </w:t>
      </w:r>
      <w:r>
        <w:rPr>
          <w:iCs/>
          <w:i/>
        </w:rPr>
        <w:t xml:space="preserve">nit</w:t>
      </w:r>
      <w:r>
        <w:t xml:space="preserve">.)</w:t>
      </w:r>
    </w:p>
    <w:p>
      <w:pPr>
        <w:pStyle w:val="BodyText"/>
      </w:pPr>
      <w:r>
        <w:rPr>
          <w:bCs/>
          <w:b/>
        </w:rPr>
        <w:t xml:space="preserve">॥ Prati-padārthaḥ ॥</w:t>
      </w:r>
    </w:p>
    <w:p>
      <w:pPr>
        <w:pStyle w:val="BodyText"/>
      </w:pPr>
      <w:r>
        <w:rPr>
          <w:bCs/>
          <w:b/>
        </w:rPr>
        <w:t xml:space="preserve">सुतासः (sutāsaḥ)</w:t>
      </w:r>
      <w:r>
        <w:t xml:space="preserve"> </w:t>
      </w:r>
      <w:r>
        <w:t xml:space="preserve">— prepared |</w:t>
      </w:r>
      <w:r>
        <w:t xml:space="preserve"> </w:t>
      </w:r>
      <w:r>
        <w:rPr>
          <w:bCs/>
          <w:b/>
        </w:rPr>
        <w:t xml:space="preserve">इन्दवः (indavaḥ)</w:t>
      </w:r>
      <w:r>
        <w:t xml:space="preserve"> </w:t>
      </w:r>
      <w:r>
        <w:t xml:space="preserve">— liquid (or, dripping) |</w:t>
      </w:r>
      <w:r>
        <w:t xml:space="preserve"> </w:t>
      </w:r>
      <w:r>
        <w:rPr>
          <w:bCs/>
          <w:b/>
        </w:rPr>
        <w:t xml:space="preserve">इमे (ime)</w:t>
      </w:r>
      <w:r>
        <w:t xml:space="preserve"> </w:t>
      </w:r>
      <w:r>
        <w:t xml:space="preserve">— these (on the altar) |</w:t>
      </w:r>
      <w:r>
        <w:t xml:space="preserve"> </w:t>
      </w:r>
      <w:r>
        <w:rPr>
          <w:bCs/>
          <w:b/>
        </w:rPr>
        <w:t xml:space="preserve">सोमासः (somāsaḥ)</w:t>
      </w:r>
      <w:r>
        <w:t xml:space="preserve"> </w:t>
      </w:r>
      <w:r>
        <w:t xml:space="preserve">— soma juices (in the several vessels) |</w:t>
      </w:r>
      <w:r>
        <w:t xml:space="preserve"> </w:t>
      </w:r>
      <w:r>
        <w:rPr>
          <w:bCs/>
          <w:b/>
        </w:rPr>
        <w:t xml:space="preserve">बर्हिषि (barhiṣi)</w:t>
      </w:r>
      <w:r>
        <w:t xml:space="preserve"> </w:t>
      </w:r>
      <w:r>
        <w:t xml:space="preserve">— in the sacrifice |</w:t>
      </w:r>
      <w:r>
        <w:t xml:space="preserve"> </w:t>
      </w:r>
      <w:r>
        <w:rPr>
          <w:bCs/>
          <w:b/>
        </w:rPr>
        <w:t xml:space="preserve">अधि (adhi)</w:t>
      </w:r>
      <w:r>
        <w:t xml:space="preserve"> </w:t>
      </w:r>
      <w:r>
        <w:t xml:space="preserve">— in abundant measure (in a pure, special way) are placed |</w:t>
      </w:r>
      <w:r>
        <w:t xml:space="preserve"> </w:t>
      </w:r>
      <w:r>
        <w:rPr>
          <w:bCs/>
          <w:b/>
        </w:rPr>
        <w:t xml:space="preserve">इन्द्र (indra)</w:t>
      </w:r>
      <w:r>
        <w:t xml:space="preserve"> </w:t>
      </w:r>
      <w:r>
        <w:t xml:space="preserve">— O Indra |</w:t>
      </w:r>
      <w:r>
        <w:t xml:space="preserve"> </w:t>
      </w:r>
      <w:r>
        <w:rPr>
          <w:bCs/>
          <w:b/>
        </w:rPr>
        <w:t xml:space="preserve">सहसे (sahase)</w:t>
      </w:r>
      <w:r>
        <w:t xml:space="preserve"> </w:t>
      </w:r>
      <w:r>
        <w:t xml:space="preserve">— for the increase of strength |</w:t>
      </w:r>
      <w:r>
        <w:t xml:space="preserve"> </w:t>
      </w:r>
      <w:r>
        <w:rPr>
          <w:bCs/>
          <w:b/>
        </w:rPr>
        <w:t xml:space="preserve">तान् (tān)</w:t>
      </w:r>
      <w:r>
        <w:t xml:space="preserve"> </w:t>
      </w:r>
      <w:r>
        <w:t xml:space="preserve">— those soma juices |</w:t>
      </w:r>
      <w:r>
        <w:t xml:space="preserve"> </w:t>
      </w:r>
      <w:r>
        <w:rPr>
          <w:bCs/>
          <w:b/>
        </w:rPr>
        <w:t xml:space="preserve">पिब (piba)</w:t>
      </w:r>
      <w:r>
        <w:t xml:space="preserve"> </w:t>
      </w:r>
      <w:r>
        <w:t xml:space="preserve">— drink.</w:t>
      </w:r>
    </w:p>
    <w:p>
      <w:pPr>
        <w:pStyle w:val="BodyText"/>
      </w:pPr>
      <w:r>
        <w:rPr>
          <w:bCs/>
          <w:b/>
        </w:rPr>
        <w:t xml:space="preserve">॥ Bhāvārthaḥ ॥</w:t>
      </w:r>
    </w:p>
    <w:p>
      <w:pPr>
        <w:pStyle w:val="BodyText"/>
      </w:pPr>
      <w:r>
        <w:t xml:space="preserve">The soma juice in the various vessels on this altar was not squeezed out in an ordinary way; it has been prepared with mantras as a part of the sacrifice. O Indra, drink it for the increase of your strength.</w:t>
      </w:r>
    </w:p>
    <w:p>
      <w:pPr>
        <w:pStyle w:val="BodyText"/>
      </w:pPr>
      <w:r>
        <w:rPr>
          <w:bCs/>
          <w:b/>
        </w:rPr>
        <w:t xml:space="preserve">॥ English Translation ॥</w:t>
      </w:r>
      <w:r>
        <w:t xml:space="preserve"> </w:t>
      </w:r>
      <w:r>
        <w:rPr>
          <w:iCs/>
          <w:i/>
        </w:rPr>
        <w:t xml:space="preserve">(as printed in the source)</w:t>
      </w:r>
    </w:p>
    <w:p>
      <w:pPr>
        <w:pStyle w:val="BlockText"/>
      </w:pPr>
      <w:r>
        <w:t xml:space="preserve">These dripping Soma juices are effused upon the sacred grass; drink them Indra, to recruit your strength.</w:t>
      </w:r>
    </w:p>
    <w:p>
      <w:pPr>
        <w:pStyle w:val="FirstParagraph"/>
      </w:pPr>
      <w:r>
        <w:rPr>
          <w:bCs/>
          <w:b/>
        </w:rPr>
        <w:t xml:space="preserve">॥ Viśeṣa-viṣayagaḷu (Special Topics) ॥</w:t>
      </w:r>
    </w:p>
    <w:p>
      <w:pPr>
        <w:pStyle w:val="BodyText"/>
      </w:pPr>
      <w:r>
        <w:rPr>
          <w:bCs/>
          <w:b/>
        </w:rPr>
        <w:t xml:space="preserve">Indavaḥ</w:t>
      </w:r>
      <w:r>
        <w:t xml:space="preserve">: when the soma plant is crushed with stones and the juice squeezed out, the juice oozes in drops. Soma juice dripping in this way is by usage called</w:t>
      </w:r>
      <w:r>
        <w:t xml:space="preserve"> </w:t>
      </w:r>
      <w:r>
        <w:rPr>
          <w:iCs/>
          <w:i/>
        </w:rPr>
        <w:t xml:space="preserve">indavaḥ</w:t>
      </w:r>
      <w:r>
        <w:t xml:space="preserve">. The word is formed from the root</w:t>
      </w:r>
      <w:r>
        <w:t xml:space="preserve"> </w:t>
      </w:r>
      <w:r>
        <w:rPr>
          <w:iCs/>
          <w:i/>
        </w:rPr>
        <w:t xml:space="preserve">undī kledane</w:t>
      </w:r>
      <w:r>
        <w:t xml:space="preserve">.</w:t>
      </w:r>
    </w:p>
    <w:bookmarkEnd w:id="755"/>
    <w:bookmarkStart w:id="756" w:name="page-694-rik-6-grammar"/>
    <w:p>
      <w:pPr>
        <w:pStyle w:val="Heading3"/>
      </w:pPr>
      <w:r>
        <w:t xml:space="preserve">Page 694 — Rik 6: grammar</w:t>
      </w:r>
    </w:p>
    <w:p>
      <w:pPr>
        <w:pStyle w:val="FirstParagraph"/>
      </w:pPr>
      <w:r>
        <w:rPr>
          <w:bCs/>
          <w:b/>
        </w:rPr>
        <w:t xml:space="preserve">॥ Vyākaraṇa-prakriyā ॥</w:t>
      </w:r>
      <w:r>
        <w:t xml:space="preserve"> </w:t>
      </w:r>
      <w:r>
        <w:rPr>
          <w:iCs/>
          <w:i/>
        </w:rPr>
        <w:t xml:space="preserve">(grammar pages 694–695, noted briefly)</w:t>
      </w:r>
    </w:p>
    <w:p>
      <w:pPr>
        <w:pStyle w:val="BodyText"/>
      </w:pPr>
      <w:r>
        <w:rPr>
          <w:bCs/>
          <w:b/>
        </w:rPr>
        <w:t xml:space="preserve">सोमासः (</w:t>
      </w:r>
      <w:r>
        <w:rPr>
          <w:iCs/>
          <w:i/>
          <w:bCs/>
          <w:b/>
        </w:rPr>
        <w:t xml:space="preserve">somāsaḥ</w:t>
      </w:r>
      <w:r>
        <w:rPr>
          <w:bCs/>
          <w:b/>
        </w:rPr>
        <w:t xml:space="preserve">)</w:t>
      </w:r>
      <w:r>
        <w:t xml:space="preserve">:</w:t>
      </w:r>
      <w:r>
        <w:t xml:space="preserve"> </w:t>
      </w:r>
      <w:r>
        <w:rPr>
          <w:iCs/>
          <w:i/>
        </w:rPr>
        <w:t xml:space="preserve">ṣuñ abhiṣave</w:t>
      </w:r>
      <w:r>
        <w:t xml:space="preserve">;</w:t>
      </w:r>
      <w:r>
        <w:t xml:space="preserve"> </w:t>
      </w:r>
      <w:r>
        <w:rPr>
          <w:iCs/>
          <w:i/>
        </w:rPr>
        <w:t xml:space="preserve">s</w:t>
      </w:r>
      <w:r>
        <w:t xml:space="preserve"> </w:t>
      </w:r>
      <w:r>
        <w:t xml:space="preserve">for</w:t>
      </w:r>
      <w:r>
        <w:t xml:space="preserve"> </w:t>
      </w:r>
      <w:r>
        <w:rPr>
          <w:iCs/>
          <w:i/>
        </w:rPr>
        <w:t xml:space="preserve">ṣ</w:t>
      </w:r>
      <w:r>
        <w:t xml:space="preserve"> </w:t>
      </w:r>
      <w:r>
        <w:t xml:space="preserve">by</w:t>
      </w:r>
      <w:r>
        <w:t xml:space="preserve"> </w:t>
      </w:r>
      <w:r>
        <w:t xml:space="preserve">“</w:t>
      </w:r>
      <w:r>
        <w:t xml:space="preserve">dhātvādeḥ ṣaḥ saḥ</w:t>
      </w:r>
      <w:r>
        <w:t xml:space="preserve">”</w:t>
      </w:r>
      <w:r>
        <w:t xml:space="preserve"> </w:t>
      </w:r>
      <w:r>
        <w:t xml:space="preserve">(Pā. sū. 6-1-64); after</w:t>
      </w:r>
      <w:r>
        <w:t xml:space="preserve"> </w:t>
      </w:r>
      <w:r>
        <w:rPr>
          <w:iCs/>
          <w:i/>
        </w:rPr>
        <w:t xml:space="preserve">su</w:t>
      </w:r>
      <w:r>
        <w:t xml:space="preserve">,</w:t>
      </w:r>
      <w:r>
        <w:t xml:space="preserve"> </w:t>
      </w:r>
      <w:r>
        <w:rPr>
          <w:iCs/>
          <w:i/>
        </w:rPr>
        <w:t xml:space="preserve">man</w:t>
      </w:r>
      <w:r>
        <w:t xml:space="preserve"> </w:t>
      </w:r>
      <w:r>
        <w:t xml:space="preserve">by</w:t>
      </w:r>
      <w:r>
        <w:t xml:space="preserve"> </w:t>
      </w:r>
      <w:r>
        <w:t xml:space="preserve">“</w:t>
      </w:r>
      <w:r>
        <w:t xml:space="preserve">arti-stu-su-…</w:t>
      </w:r>
      <w:r>
        <w:t xml:space="preserve">”</w:t>
      </w:r>
      <w:r>
        <w:t xml:space="preserve"> </w:t>
      </w:r>
      <w:r>
        <w:t xml:space="preserve">(Uṇ. sū.</w:t>
      </w:r>
      <w:r>
        <w:t xml:space="preserve"> </w:t>
      </w:r>
      <w:r>
        <w:t xml:space="preserve">“</w:t>
      </w:r>
      <w:r>
        <w:t xml:space="preserve">1-13[?]</w:t>
      </w:r>
      <w:r>
        <w:t xml:space="preserve">”</w:t>
      </w:r>
      <w:r>
        <w:t xml:space="preserve"> </w:t>
      </w:r>
      <w:r>
        <w:t xml:space="preserve">[?]);</w:t>
      </w:r>
      <w:r>
        <w:t xml:space="preserve"> </w:t>
      </w:r>
      <w:r>
        <w:rPr>
          <w:iCs/>
          <w:i/>
        </w:rPr>
        <w:t xml:space="preserve">guṇa</w:t>
      </w:r>
      <w:r>
        <w:t xml:space="preserve"> </w:t>
      </w:r>
      <w:r>
        <w:t xml:space="preserve">by</w:t>
      </w:r>
      <w:r>
        <w:t xml:space="preserve"> </w:t>
      </w:r>
      <w:r>
        <w:rPr>
          <w:iCs/>
          <w:i/>
        </w:rPr>
        <w:t xml:space="preserve">sārvadhātukārdhadhātukayoḥ</w:t>
      </w:r>
      <w:r>
        <w:t xml:space="preserve">:</w:t>
      </w:r>
      <w:r>
        <w:t xml:space="preserve"> </w:t>
      </w:r>
      <w:r>
        <w:rPr>
          <w:iCs/>
          <w:i/>
        </w:rPr>
        <w:t xml:space="preserve">soma</w:t>
      </w:r>
      <w:r>
        <w:t xml:space="preserve">, initial udātta by the</w:t>
      </w:r>
      <w:r>
        <w:t xml:space="preserve"> </w:t>
      </w:r>
      <w:r>
        <w:rPr>
          <w:iCs/>
          <w:i/>
        </w:rPr>
        <w:t xml:space="preserve">nit</w:t>
      </w:r>
      <w:r>
        <w:t xml:space="preserve"> </w:t>
      </w:r>
      <w:r>
        <w:t xml:space="preserve">accent. After it</w:t>
      </w:r>
      <w:r>
        <w:t xml:space="preserve"> </w:t>
      </w:r>
      <w:r>
        <w:rPr>
          <w:iCs/>
          <w:i/>
        </w:rPr>
        <w:t xml:space="preserve">jas</w:t>
      </w:r>
      <w:r>
        <w:t xml:space="preserve">:</w:t>
      </w:r>
      <w:r>
        <w:t xml:space="preserve"> </w:t>
      </w:r>
      <w:r>
        <w:rPr>
          <w:iCs/>
          <w:i/>
        </w:rPr>
        <w:t xml:space="preserve">soma</w:t>
      </w:r>
      <w:r>
        <w:t xml:space="preserve"> </w:t>
      </w:r>
      <w:r>
        <w:t xml:space="preserve">+</w:t>
      </w:r>
      <w:r>
        <w:t xml:space="preserve"> </w:t>
      </w:r>
      <w:r>
        <w:rPr>
          <w:iCs/>
          <w:i/>
        </w:rPr>
        <w:t xml:space="preserve">as</w:t>
      </w:r>
      <w:r>
        <w:t xml:space="preserve">; by</w:t>
      </w:r>
      <w:r>
        <w:t xml:space="preserve"> </w:t>
      </w:r>
      <w:r>
        <w:t xml:space="preserve">“</w:t>
      </w:r>
      <w:r>
        <w:t xml:space="preserve">āj jaser asuk</w:t>
      </w:r>
      <w:r>
        <w:t xml:space="preserve">”</w:t>
      </w:r>
      <w:r>
        <w:t xml:space="preserve"> </w:t>
      </w:r>
      <w:r>
        <w:t xml:space="preserve">(Pā. sū. 7-1-50) the augment</w:t>
      </w:r>
      <w:r>
        <w:t xml:space="preserve"> </w:t>
      </w:r>
      <w:r>
        <w:rPr>
          <w:iCs/>
          <w:i/>
        </w:rPr>
        <w:t xml:space="preserve">asuk</w:t>
      </w:r>
      <w:r>
        <w:t xml:space="preserve"> </w:t>
      </w:r>
      <w:r>
        <w:t xml:space="preserve">for</w:t>
      </w:r>
      <w:r>
        <w:t xml:space="preserve"> </w:t>
      </w:r>
      <w:r>
        <w:rPr>
          <w:iCs/>
          <w:i/>
        </w:rPr>
        <w:t xml:space="preserve">jas</w:t>
      </w:r>
      <w:r>
        <w:t xml:space="preserve">, which, being</w:t>
      </w:r>
      <w:r>
        <w:t xml:space="preserve"> </w:t>
      </w:r>
      <w:r>
        <w:rPr>
          <w:iCs/>
          <w:i/>
        </w:rPr>
        <w:t xml:space="preserve">kit</w:t>
      </w:r>
      <w:r>
        <w:t xml:space="preserve">, comes as its first part by</w:t>
      </w:r>
      <w:r>
        <w:t xml:space="preserve"> </w:t>
      </w:r>
      <w:r>
        <w:t xml:space="preserve">“</w:t>
      </w:r>
      <w:r>
        <w:t xml:space="preserve">ādyantau ṭakitau</w:t>
      </w:r>
      <w:r>
        <w:t xml:space="preserve">”</w:t>
      </w:r>
      <w:r>
        <w:t xml:space="preserve"> </w:t>
      </w:r>
      <w:r>
        <w:t xml:space="preserve">(Pā. sū. 1-1-46):</w:t>
      </w:r>
      <w:r>
        <w:t xml:space="preserve"> </w:t>
      </w:r>
      <w:r>
        <w:rPr>
          <w:iCs/>
          <w:i/>
        </w:rPr>
        <w:t xml:space="preserve">soma</w:t>
      </w:r>
      <w:r>
        <w:t xml:space="preserve"> </w:t>
      </w:r>
      <w:r>
        <w:t xml:space="preserve">+</w:t>
      </w:r>
      <w:r>
        <w:t xml:space="preserve"> </w:t>
      </w:r>
      <w:r>
        <w:rPr>
          <w:iCs/>
          <w:i/>
        </w:rPr>
        <w:t xml:space="preserve">asas</w:t>
      </w:r>
      <w:r>
        <w:t xml:space="preserve">; lengthening of the like vowel;</w:t>
      </w:r>
      <w:r>
        <w:t xml:space="preserve"> </w:t>
      </w:r>
      <w:r>
        <w:rPr>
          <w:iCs/>
          <w:i/>
        </w:rPr>
        <w:t xml:space="preserve">somāsas</w:t>
      </w:r>
      <w:r>
        <w:t xml:space="preserve">,</w:t>
      </w:r>
      <w:r>
        <w:t xml:space="preserve"> </w:t>
      </w:r>
      <w:r>
        <w:rPr>
          <w:iCs/>
          <w:i/>
        </w:rPr>
        <w:t xml:space="preserve">ru</w:t>
      </w:r>
      <w:r>
        <w:t xml:space="preserve"> </w:t>
      </w:r>
      <w:r>
        <w:t xml:space="preserve">and visarga.</w:t>
      </w:r>
    </w:p>
    <w:p>
      <w:pPr>
        <w:pStyle w:val="BodyText"/>
      </w:pPr>
      <w:r>
        <w:rPr>
          <w:bCs/>
          <w:b/>
        </w:rPr>
        <w:t xml:space="preserve">इन्दवः (</w:t>
      </w:r>
      <w:r>
        <w:rPr>
          <w:iCs/>
          <w:i/>
          <w:bCs/>
          <w:b/>
        </w:rPr>
        <w:t xml:space="preserve">indavaḥ</w:t>
      </w:r>
      <w:r>
        <w:rPr>
          <w:bCs/>
          <w:b/>
        </w:rPr>
        <w:t xml:space="preserve">)</w:t>
      </w:r>
      <w:r>
        <w:t xml:space="preserve">: explained at the mantra</w:t>
      </w:r>
      <w:r>
        <w:t xml:space="preserve"> </w:t>
      </w:r>
      <w:r>
        <w:t xml:space="preserve">“</w:t>
      </w:r>
      <w:r>
        <w:t xml:space="preserve">pra vo bhriyanta indavaḥ</w:t>
      </w:r>
      <w:r>
        <w:t xml:space="preserve">”</w:t>
      </w:r>
      <w:r>
        <w:t xml:space="preserve"> </w:t>
      </w:r>
      <w:r>
        <w:t xml:space="preserve">(Ṛ. saṃ. 1-14-4).</w:t>
      </w:r>
    </w:p>
    <w:p>
      <w:pPr>
        <w:pStyle w:val="BodyText"/>
      </w:pPr>
      <w:r>
        <w:rPr>
          <w:bCs/>
          <w:b/>
        </w:rPr>
        <w:t xml:space="preserve">सुतासः (</w:t>
      </w:r>
      <w:r>
        <w:rPr>
          <w:iCs/>
          <w:i/>
          <w:bCs/>
          <w:b/>
        </w:rPr>
        <w:t xml:space="preserve">sutāsaḥ</w:t>
      </w:r>
      <w:r>
        <w:rPr>
          <w:bCs/>
          <w:b/>
        </w:rPr>
        <w:t xml:space="preserve">)</w:t>
      </w:r>
      <w:r>
        <w:t xml:space="preserve">: the root</w:t>
      </w:r>
      <w:r>
        <w:t xml:space="preserve"> </w:t>
      </w:r>
      <w:r>
        <w:rPr>
          <w:iCs/>
          <w:i/>
        </w:rPr>
        <w:t xml:space="preserve">ṣuñ</w:t>
      </w:r>
      <w:r>
        <w:t xml:space="preserve">;</w:t>
      </w:r>
      <w:r>
        <w:t xml:space="preserve"> </w:t>
      </w:r>
      <w:r>
        <w:rPr>
          <w:iCs/>
          <w:i/>
        </w:rPr>
        <w:t xml:space="preserve">s</w:t>
      </w:r>
      <w:r>
        <w:t xml:space="preserve"> </w:t>
      </w:r>
      <w:r>
        <w:t xml:space="preserve">for</w:t>
      </w:r>
      <w:r>
        <w:t xml:space="preserve"> </w:t>
      </w:r>
      <w:r>
        <w:rPr>
          <w:iCs/>
          <w:i/>
        </w:rPr>
        <w:t xml:space="preserve">ṣ</w:t>
      </w:r>
      <w:r>
        <w:t xml:space="preserve">;</w:t>
      </w:r>
      <w:r>
        <w:t xml:space="preserve"> </w:t>
      </w:r>
      <w:r>
        <w:rPr>
          <w:iCs/>
          <w:i/>
        </w:rPr>
        <w:t xml:space="preserve">kta</w:t>
      </w:r>
      <w:r>
        <w:t xml:space="preserve"> </w:t>
      </w:r>
      <w:r>
        <w:t xml:space="preserve">by</w:t>
      </w:r>
      <w:r>
        <w:t xml:space="preserve"> </w:t>
      </w:r>
      <w:r>
        <w:rPr>
          <w:iCs/>
          <w:i/>
        </w:rPr>
        <w:t xml:space="preserve">niṣṭhā</w:t>
      </w:r>
      <w:r>
        <w:t xml:space="preserve">; the augment</w:t>
      </w:r>
      <w:r>
        <w:t xml:space="preserve"> </w:t>
      </w:r>
      <w:r>
        <w:rPr>
          <w:iCs/>
          <w:i/>
        </w:rPr>
        <w:t xml:space="preserve">iṭ</w:t>
      </w:r>
      <w:r>
        <w:t xml:space="preserve">, due by</w:t>
      </w:r>
      <w:r>
        <w:t xml:space="preserve"> </w:t>
      </w:r>
      <w:r>
        <w:rPr>
          <w:iCs/>
          <w:i/>
        </w:rPr>
        <w:t xml:space="preserve">ārdhadhātukasyeḍ valādeḥ</w:t>
      </w:r>
      <w:r>
        <w:t xml:space="preserve">, is barred by</w:t>
      </w:r>
      <w:r>
        <w:t xml:space="preserve"> </w:t>
      </w:r>
      <w:r>
        <w:t xml:space="preserve">“</w:t>
      </w:r>
      <w:r>
        <w:t xml:space="preserve">ekāca upadeśe ’nudāttāt</w:t>
      </w:r>
      <w:r>
        <w:t xml:space="preserve">”</w:t>
      </w:r>
      <w:r>
        <w:t xml:space="preserve">. After</w:t>
      </w:r>
      <w:r>
        <w:t xml:space="preserve"> </w:t>
      </w:r>
      <w:r>
        <w:rPr>
          <w:iCs/>
          <w:i/>
        </w:rPr>
        <w:t xml:space="preserve">suta</w:t>
      </w:r>
      <w:r>
        <w:t xml:space="preserve">,</w:t>
      </w:r>
      <w:r>
        <w:t xml:space="preserve"> </w:t>
      </w:r>
      <w:r>
        <w:rPr>
          <w:iCs/>
          <w:i/>
        </w:rPr>
        <w:t xml:space="preserve">jas</w:t>
      </w:r>
      <w:r>
        <w:t xml:space="preserve">;</w:t>
      </w:r>
      <w:r>
        <w:t xml:space="preserve"> </w:t>
      </w:r>
      <w:r>
        <w:rPr>
          <w:iCs/>
          <w:i/>
        </w:rPr>
        <w:t xml:space="preserve">asuk</w:t>
      </w:r>
      <w:r>
        <w:t xml:space="preserve"> </w:t>
      </w:r>
      <w:r>
        <w:t xml:space="preserve">as before; lengthening;</w:t>
      </w:r>
      <w:r>
        <w:t xml:space="preserve"> </w:t>
      </w:r>
      <w:r>
        <w:rPr>
          <w:iCs/>
          <w:i/>
        </w:rPr>
        <w:t xml:space="preserve">ru</w:t>
      </w:r>
      <w:r>
        <w:t xml:space="preserve"> </w:t>
      </w:r>
      <w:r>
        <w:t xml:space="preserve">and visarga:</w:t>
      </w:r>
      <w:r>
        <w:t xml:space="preserve"> </w:t>
      </w:r>
      <w:r>
        <w:rPr>
          <w:iCs/>
          <w:i/>
        </w:rPr>
        <w:t xml:space="preserve">sutāsaḥ</w:t>
      </w:r>
      <w:r>
        <w:t xml:space="preserve">. In the Saṃhitā, with</w:t>
      </w:r>
      <w:r>
        <w:t xml:space="preserve"> </w:t>
      </w:r>
      <w:r>
        <w:rPr>
          <w:iCs/>
          <w:i/>
        </w:rPr>
        <w:t xml:space="preserve">sutāsas adhi</w:t>
      </w:r>
      <w:r>
        <w:t xml:space="preserve">,</w:t>
      </w:r>
      <w:r>
        <w:t xml:space="preserve"> </w:t>
      </w:r>
      <w:r>
        <w:rPr>
          <w:iCs/>
          <w:i/>
        </w:rPr>
        <w:t xml:space="preserve">ru</w:t>
      </w:r>
      <w:r>
        <w:t xml:space="preserve"> </w:t>
      </w:r>
      <w:r>
        <w:t xml:space="preserve">for</w:t>
      </w:r>
      <w:r>
        <w:t xml:space="preserve"> </w:t>
      </w:r>
      <w:r>
        <w:rPr>
          <w:iCs/>
          <w:i/>
        </w:rPr>
        <w:t xml:space="preserve">s</w:t>
      </w:r>
      <w:r>
        <w:t xml:space="preserve"> </w:t>
      </w:r>
      <w:r>
        <w:t xml:space="preserve">by</w:t>
      </w:r>
      <w:r>
        <w:t xml:space="preserve"> </w:t>
      </w:r>
      <w:r>
        <w:t xml:space="preserve">“</w:t>
      </w:r>
      <w:r>
        <w:t xml:space="preserve">sasajuṣo ruḥ</w:t>
      </w:r>
      <w:r>
        <w:t xml:space="preserve">”</w:t>
      </w:r>
      <w:r>
        <w:t xml:space="preserve"> </w:t>
      </w:r>
      <w:r>
        <w:t xml:space="preserve">(Pā. sū.</w:t>
      </w:r>
      <w:r>
        <w:t xml:space="preserve"> </w:t>
      </w:r>
      <w:r>
        <w:t xml:space="preserve">“</w:t>
      </w:r>
      <w:r>
        <w:t xml:space="preserve">8-2-6[?]</w:t>
      </w:r>
      <w:r>
        <w:t xml:space="preserve">”</w:t>
      </w:r>
      <w:r>
        <w:t xml:space="preserve"> </w:t>
      </w:r>
      <w:r>
        <w:t xml:space="preserve">[?]):</w:t>
      </w:r>
      <w:r>
        <w:t xml:space="preserve"> </w:t>
      </w:r>
      <w:r>
        <w:rPr>
          <w:iCs/>
          <w:i/>
        </w:rPr>
        <w:t xml:space="preserve">sutāsar</w:t>
      </w:r>
      <w:r>
        <w:t xml:space="preserve"> </w:t>
      </w:r>
      <w:r>
        <w:t xml:space="preserve">+</w:t>
      </w:r>
      <w:r>
        <w:t xml:space="preserve"> </w:t>
      </w:r>
      <w:r>
        <w:rPr>
          <w:iCs/>
          <w:i/>
        </w:rPr>
        <w:t xml:space="preserve">adhi</w:t>
      </w:r>
      <w:r>
        <w:t xml:space="preserve">;</w:t>
      </w:r>
      <w:r>
        <w:t xml:space="preserve"> </w:t>
      </w:r>
      <w:r>
        <w:rPr>
          <w:iCs/>
          <w:i/>
        </w:rPr>
        <w:t xml:space="preserve">u</w:t>
      </w:r>
      <w:r>
        <w:t xml:space="preserve"> </w:t>
      </w:r>
      <w:r>
        <w:t xml:space="preserve">for</w:t>
      </w:r>
      <w:r>
        <w:t xml:space="preserve"> </w:t>
      </w:r>
      <w:r>
        <w:rPr>
          <w:iCs/>
          <w:i/>
        </w:rPr>
        <w:t xml:space="preserve">ru</w:t>
      </w:r>
      <w:r>
        <w:t xml:space="preserve"> </w:t>
      </w:r>
      <w:r>
        <w:t xml:space="preserve">by</w:t>
      </w:r>
      <w:r>
        <w:t xml:space="preserve"> </w:t>
      </w:r>
      <w:r>
        <w:rPr>
          <w:iCs/>
          <w:i/>
        </w:rPr>
        <w:t xml:space="preserve">ato ror aplutād aplute</w:t>
      </w:r>
      <w:r>
        <w:t xml:space="preserve">;</w:t>
      </w:r>
      <w:r>
        <w:t xml:space="preserve"> </w:t>
      </w:r>
      <w:r>
        <w:rPr>
          <w:iCs/>
          <w:i/>
        </w:rPr>
        <w:t xml:space="preserve">guṇa</w:t>
      </w:r>
      <w:r>
        <w:t xml:space="preserve"> </w:t>
      </w:r>
      <w:r>
        <w:t xml:space="preserve">by</w:t>
      </w:r>
      <w:r>
        <w:t xml:space="preserve"> </w:t>
      </w:r>
      <w:r>
        <w:rPr>
          <w:iCs/>
          <w:i/>
        </w:rPr>
        <w:t xml:space="preserve">ād guṇaḥ</w:t>
      </w:r>
      <w:r>
        <w:t xml:space="preserve">:</w:t>
      </w:r>
      <w:r>
        <w:t xml:space="preserve"> </w:t>
      </w:r>
      <w:r>
        <w:rPr>
          <w:iCs/>
          <w:i/>
        </w:rPr>
        <w:t xml:space="preserve">sutāso</w:t>
      </w:r>
      <w:r>
        <w:t xml:space="preserve"> </w:t>
      </w:r>
      <w:r>
        <w:t xml:space="preserve">+</w:t>
      </w:r>
      <w:r>
        <w:t xml:space="preserve"> </w:t>
      </w:r>
      <w:r>
        <w:rPr>
          <w:iCs/>
          <w:i/>
        </w:rPr>
        <w:t xml:space="preserve">adhi</w:t>
      </w:r>
      <w:r>
        <w:t xml:space="preserve">. By</w:t>
      </w:r>
      <w:r>
        <w:t xml:space="preserve"> </w:t>
      </w:r>
      <w:r>
        <w:t xml:space="preserve">“</w:t>
      </w:r>
      <w:r>
        <w:t xml:space="preserve">eṅaḥ padāntād ati</w:t>
      </w:r>
      <w:r>
        <w:t xml:space="preserve">”</w:t>
      </w:r>
      <w:r>
        <w:t xml:space="preserve"> </w:t>
      </w:r>
      <w:r>
        <w:t xml:space="preserve">(Pā. sū. 6-1-109) the</w:t>
      </w:r>
      <w:r>
        <w:t xml:space="preserve"> </w:t>
      </w:r>
      <w:r>
        <w:rPr>
          <w:iCs/>
          <w:i/>
        </w:rPr>
        <w:t xml:space="preserve">pūrvarūpa</w:t>
      </w:r>
      <w:r>
        <w:t xml:space="preserve"> </w:t>
      </w:r>
      <w:r>
        <w:t xml:space="preserve">would come; but by</w:t>
      </w:r>
      <w:r>
        <w:t xml:space="preserve"> </w:t>
      </w:r>
      <w:r>
        <w:t xml:space="preserve">“</w:t>
      </w:r>
      <w:r>
        <w:t xml:space="preserve">prakṛtyāntaḥpādam avyapare</w:t>
      </w:r>
      <w:r>
        <w:t xml:space="preserve">”</w:t>
      </w:r>
      <w:r>
        <w:t xml:space="preserve"> </w:t>
      </w:r>
      <w:r>
        <w:t xml:space="preserve">(Pā. sū. 6-1-115)</w:t>
      </w:r>
      <w:r>
        <w:t xml:space="preserve"> </w:t>
      </w:r>
      <w:r>
        <w:rPr>
          <w:iCs/>
          <w:i/>
        </w:rPr>
        <w:t xml:space="preserve">e</w:t>
      </w:r>
      <w:r>
        <w:t xml:space="preserve"> </w:t>
      </w:r>
      <w:r>
        <w:t xml:space="preserve">and</w:t>
      </w:r>
      <w:r>
        <w:t xml:space="preserve"> </w:t>
      </w:r>
      <w:r>
        <w:rPr>
          <w:iCs/>
          <w:i/>
        </w:rPr>
        <w:t xml:space="preserve">o</w:t>
      </w:r>
      <w:r>
        <w:t xml:space="preserve"> </w:t>
      </w:r>
      <w:r>
        <w:t xml:space="preserve">in the middle of a</w:t>
      </w:r>
      <w:r>
        <w:t xml:space="preserve"> </w:t>
      </w:r>
      <w:r>
        <w:rPr>
          <w:iCs/>
          <w:i/>
        </w:rPr>
        <w:t xml:space="preserve">pāda</w:t>
      </w:r>
      <w:r>
        <w:t xml:space="preserve"> </w:t>
      </w:r>
      <w:r>
        <w:t xml:space="preserve">keep their form before a vowel, unless that vowel is followed by</w:t>
      </w:r>
      <w:r>
        <w:t xml:space="preserve"> </w:t>
      </w:r>
      <w:r>
        <w:rPr>
          <w:iCs/>
          <w:i/>
        </w:rPr>
        <w:t xml:space="preserve">v</w:t>
      </w:r>
      <w:r>
        <w:t xml:space="preserve"> </w:t>
      </w:r>
      <w:r>
        <w:t xml:space="preserve">or</w:t>
      </w:r>
      <w:r>
        <w:t xml:space="preserve"> </w:t>
      </w:r>
      <w:r>
        <w:rPr>
          <w:iCs/>
          <w:i/>
        </w:rPr>
        <w:t xml:space="preserve">y</w:t>
      </w:r>
      <w:r>
        <w:t xml:space="preserve">; so here they keep it, and there is no</w:t>
      </w:r>
      <w:r>
        <w:t xml:space="preserve"> </w:t>
      </w:r>
      <w:r>
        <w:rPr>
          <w:iCs/>
          <w:i/>
        </w:rPr>
        <w:t xml:space="preserve">pūrvarūpa</w:t>
      </w:r>
      <w:r>
        <w:t xml:space="preserve">.</w:t>
      </w:r>
    </w:p>
    <w:p>
      <w:pPr>
        <w:pStyle w:val="BodyText"/>
      </w:pPr>
      <w:r>
        <w:rPr>
          <w:bCs/>
          <w:b/>
        </w:rPr>
        <w:t xml:space="preserve">बर्हिषि (</w:t>
      </w:r>
      <w:r>
        <w:rPr>
          <w:iCs/>
          <w:i/>
          <w:bCs/>
          <w:b/>
        </w:rPr>
        <w:t xml:space="preserve">barhiṣi</w:t>
      </w:r>
      <w:r>
        <w:rPr>
          <w:bCs/>
          <w:b/>
        </w:rPr>
        <w:t xml:space="preserve">)</w:t>
      </w:r>
      <w:r>
        <w:t xml:space="preserve">: the root</w:t>
      </w:r>
      <w:r>
        <w:t xml:space="preserve"> </w:t>
      </w:r>
      <w:r>
        <w:rPr>
          <w:iCs/>
          <w:i/>
        </w:rPr>
        <w:t xml:space="preserve">bṛhi vṛddhau</w:t>
      </w:r>
      <w:r>
        <w:t xml:space="preserve">; being</w:t>
      </w:r>
      <w:r>
        <w:t xml:space="preserve"> </w:t>
      </w:r>
      <w:r>
        <w:rPr>
          <w:iCs/>
          <w:i/>
        </w:rPr>
        <w:t xml:space="preserve">idit</w:t>
      </w:r>
      <w:r>
        <w:t xml:space="preserve">, it takes the augment</w:t>
      </w:r>
      <w:r>
        <w:t xml:space="preserve"> </w:t>
      </w:r>
      <w:r>
        <w:rPr>
          <w:iCs/>
          <w:i/>
        </w:rPr>
        <w:t xml:space="preserve">num</w:t>
      </w:r>
      <w:r>
        <w:t xml:space="preserve"> </w:t>
      </w:r>
      <w:r>
        <w:t xml:space="preserve">by</w:t>
      </w:r>
      <w:r>
        <w:t xml:space="preserve"> </w:t>
      </w:r>
      <w:r>
        <w:t xml:space="preserve">“</w:t>
      </w:r>
      <w:r>
        <w:t xml:space="preserve">idito num dhātoḥ</w:t>
      </w:r>
      <w:r>
        <w:t xml:space="preserve">”</w:t>
      </w:r>
      <w:r>
        <w:t xml:space="preserve"> </w:t>
      </w:r>
      <w:r>
        <w:t xml:space="preserve">(Pā. sū. 7-1-58):</w:t>
      </w:r>
      <w:r>
        <w:t xml:space="preserve"> </w:t>
      </w:r>
      <w:r>
        <w:rPr>
          <w:iCs/>
          <w:i/>
        </w:rPr>
        <w:t xml:space="preserve">bṛnh</w:t>
      </w:r>
      <w:r>
        <w:t xml:space="preserve">. By</w:t>
      </w:r>
      <w:r>
        <w:t xml:space="preserve"> </w:t>
      </w:r>
      <w:r>
        <w:t xml:space="preserve">“</w:t>
      </w:r>
      <w:r>
        <w:t xml:space="preserve">bṛṃher nalopaś ca</w:t>
      </w:r>
      <w:r>
        <w:t xml:space="preserve">”</w:t>
      </w:r>
      <w:r>
        <w:t xml:space="preserve"> </w:t>
      </w:r>
      <w:r>
        <w:t xml:space="preserve">(Uṇ. sū.</w:t>
      </w:r>
      <w:r>
        <w:t xml:space="preserve"> </w:t>
      </w:r>
      <w:r>
        <w:t xml:space="preserve">“</w:t>
      </w:r>
      <w:r>
        <w:t xml:space="preserve">2-[?]</w:t>
      </w:r>
      <w:r>
        <w:t xml:space="preserve">”</w:t>
      </w:r>
      <w:r>
        <w:t xml:space="preserve"> </w:t>
      </w:r>
      <w:r>
        <w:t xml:space="preserve">[?]; the bhāṣya gives 2-100), after</w:t>
      </w:r>
      <w:r>
        <w:t xml:space="preserve"> </w:t>
      </w:r>
      <w:r>
        <w:rPr>
          <w:iCs/>
          <w:i/>
        </w:rPr>
        <w:t xml:space="preserve">bṛhi</w:t>
      </w:r>
      <w:r>
        <w:t xml:space="preserve"> </w:t>
      </w:r>
      <w:r>
        <w:t xml:space="preserve">the suffix</w:t>
      </w:r>
      <w:r>
        <w:t xml:space="preserve"> </w:t>
      </w:r>
      <w:r>
        <w:rPr>
          <w:iCs/>
          <w:i/>
        </w:rPr>
        <w:t xml:space="preserve">isi</w:t>
      </w:r>
      <w:r>
        <w:t xml:space="preserve"> </w:t>
      </w:r>
      <w:r>
        <w:t xml:space="preserve">comes and the</w:t>
      </w:r>
      <w:r>
        <w:t xml:space="preserve"> </w:t>
      </w:r>
      <w:r>
        <w:rPr>
          <w:iCs/>
          <w:i/>
        </w:rPr>
        <w:t xml:space="preserve">n</w:t>
      </w:r>
      <w:r>
        <w:t xml:space="preserve"> </w:t>
      </w:r>
      <w:r>
        <w:t xml:space="preserve">is dropped:</w:t>
      </w:r>
      <w:r>
        <w:t xml:space="preserve"> </w:t>
      </w:r>
      <w:r>
        <w:rPr>
          <w:iCs/>
          <w:i/>
        </w:rPr>
        <w:t xml:space="preserve">bṛh</w:t>
      </w:r>
      <w:r>
        <w:t xml:space="preserve"> </w:t>
      </w:r>
      <w:r>
        <w:t xml:space="preserve">+</w:t>
      </w:r>
      <w:r>
        <w:t xml:space="preserve"> </w:t>
      </w:r>
      <w:r>
        <w:rPr>
          <w:iCs/>
          <w:i/>
        </w:rPr>
        <w:t xml:space="preserve">is</w:t>
      </w:r>
      <w:r>
        <w:t xml:space="preserve">; the</w:t>
      </w:r>
      <w:r>
        <w:t xml:space="preserve"> </w:t>
      </w:r>
      <w:r>
        <w:rPr>
          <w:iCs/>
          <w:i/>
        </w:rPr>
        <w:t xml:space="preserve">laghūpadha-guṇa</w:t>
      </w:r>
      <w:r>
        <w:t xml:space="preserve"> </w:t>
      </w:r>
      <w:r>
        <w:t xml:space="preserve">by</w:t>
      </w:r>
      <w:r>
        <w:t xml:space="preserve"> </w:t>
      </w:r>
      <w:r>
        <w:rPr>
          <w:iCs/>
          <w:i/>
        </w:rPr>
        <w:t xml:space="preserve">pugantalaghūpadhasya ca</w:t>
      </w:r>
      <w:r>
        <w:t xml:space="preserve">, followed by</w:t>
      </w:r>
      <w:r>
        <w:t xml:space="preserve"> </w:t>
      </w:r>
      <w:r>
        <w:rPr>
          <w:iCs/>
          <w:i/>
        </w:rPr>
        <w:t xml:space="preserve">r</w:t>
      </w:r>
      <w:r>
        <w:t xml:space="preserve"> </w:t>
      </w:r>
      <w:r>
        <w:t xml:space="preserve">by</w:t>
      </w:r>
      <w:r>
        <w:t xml:space="preserve"> </w:t>
      </w:r>
      <w:r>
        <w:rPr>
          <w:iCs/>
          <w:i/>
        </w:rPr>
        <w:t xml:space="preserve">uraṇ raparaḥ</w:t>
      </w:r>
      <w:r>
        <w:t xml:space="preserve">:</w:t>
      </w:r>
      <w:r>
        <w:t xml:space="preserve"> </w:t>
      </w:r>
      <w:r>
        <w:rPr>
          <w:iCs/>
          <w:i/>
        </w:rPr>
        <w:t xml:space="preserve">barhis</w:t>
      </w:r>
      <w:r>
        <w:t xml:space="preserve">, final udātta by the suffix accent. Locative singular</w:t>
      </w:r>
      <w:r>
        <w:t xml:space="preserve"> </w:t>
      </w:r>
      <w:r>
        <w:rPr>
          <w:iCs/>
          <w:i/>
        </w:rPr>
        <w:t xml:space="preserve">ṅi</w:t>
      </w:r>
      <w:r>
        <w:t xml:space="preserve">; by</w:t>
      </w:r>
      <w:r>
        <w:t xml:space="preserve"> </w:t>
      </w:r>
      <w:r>
        <w:t xml:space="preserve">“</w:t>
      </w:r>
      <w:r>
        <w:t xml:space="preserve">ādeśapratyayayoḥ</w:t>
      </w:r>
      <w:r>
        <w:t xml:space="preserve">”</w:t>
      </w:r>
      <w:r>
        <w:t xml:space="preserve"> </w:t>
      </w:r>
      <w:r>
        <w:t xml:space="preserve">(Pā. sū.</w:t>
      </w:r>
      <w:r>
        <w:t xml:space="preserve"> </w:t>
      </w:r>
      <w:r>
        <w:t xml:space="preserve">“</w:t>
      </w:r>
      <w:r>
        <w:t xml:space="preserve">8-3-5[?]</w:t>
      </w:r>
      <w:r>
        <w:t xml:space="preserve">”</w:t>
      </w:r>
      <w:r>
        <w:t xml:space="preserve"> </w:t>
      </w:r>
      <w:r>
        <w:t xml:space="preserve">[?])</w:t>
      </w:r>
      <w:r>
        <w:t xml:space="preserve"> </w:t>
      </w:r>
      <w:r>
        <w:rPr>
          <w:iCs/>
          <w:i/>
        </w:rPr>
        <w:t xml:space="preserve">ṣ</w:t>
      </w:r>
      <w:r>
        <w:t xml:space="preserve"> </w:t>
      </w:r>
      <w:r>
        <w:t xml:space="preserve">for the</w:t>
      </w:r>
      <w:r>
        <w:t xml:space="preserve"> </w:t>
      </w:r>
      <w:r>
        <w:rPr>
          <w:iCs/>
          <w:i/>
        </w:rPr>
        <w:t xml:space="preserve">s</w:t>
      </w:r>
      <w:r>
        <w:t xml:space="preserve"> </w:t>
      </w:r>
      <w:r>
        <w:t xml:space="preserve">belonging to the suffix:</w:t>
      </w:r>
      <w:r>
        <w:t xml:space="preserve"> </w:t>
      </w:r>
      <w:r>
        <w:rPr>
          <w:iCs/>
          <w:i/>
        </w:rPr>
        <w:t xml:space="preserve">barhiṣi</w:t>
      </w:r>
      <w:r>
        <w:t xml:space="preserve">.</w:t>
      </w:r>
    </w:p>
    <w:p>
      <w:pPr>
        <w:pStyle w:val="BodyText"/>
      </w:pPr>
      <w:r>
        <w:rPr>
          <w:bCs/>
          <w:b/>
        </w:rPr>
        <w:t xml:space="preserve">ताँ इन्द्र (</w:t>
      </w:r>
      <w:r>
        <w:rPr>
          <w:iCs/>
          <w:i/>
          <w:bCs/>
          <w:b/>
        </w:rPr>
        <w:t xml:space="preserve">tām̐ indra</w:t>
      </w:r>
      <w:r>
        <w:rPr>
          <w:bCs/>
          <w:b/>
        </w:rPr>
        <w:t xml:space="preserve">)</w:t>
      </w:r>
      <w:r>
        <w:t xml:space="preserve">: with</w:t>
      </w:r>
      <w:r>
        <w:t xml:space="preserve"> </w:t>
      </w:r>
      <w:r>
        <w:rPr>
          <w:iCs/>
          <w:i/>
        </w:rPr>
        <w:t xml:space="preserve">tān</w:t>
      </w:r>
      <w:r>
        <w:t xml:space="preserve"> </w:t>
      </w:r>
      <w:r>
        <w:t xml:space="preserve">+</w:t>
      </w:r>
      <w:r>
        <w:t xml:space="preserve"> </w:t>
      </w:r>
      <w:r>
        <w:rPr>
          <w:iCs/>
          <w:i/>
        </w:rPr>
        <w:t xml:space="preserve">indra</w:t>
      </w:r>
      <w:r>
        <w:t xml:space="preserve"> </w:t>
      </w:r>
      <w:r>
        <w:t xml:space="preserve">in the Saṃhitā,</w:t>
      </w:r>
      <w:r>
        <w:t xml:space="preserve"> </w:t>
      </w:r>
      <w:r>
        <w:rPr>
          <w:iCs/>
          <w:i/>
        </w:rPr>
        <w:t xml:space="preserve">ru</w:t>
      </w:r>
      <w:r>
        <w:t xml:space="preserve"> </w:t>
      </w:r>
      <w:r>
        <w:t xml:space="preserve">for the</w:t>
      </w:r>
      <w:r>
        <w:t xml:space="preserve"> </w:t>
      </w:r>
      <w:r>
        <w:rPr>
          <w:iCs/>
          <w:i/>
        </w:rPr>
        <w:t xml:space="preserve">n</w:t>
      </w:r>
      <w:r>
        <w:t xml:space="preserve"> </w:t>
      </w:r>
      <w:r>
        <w:t xml:space="preserve">by</w:t>
      </w:r>
      <w:r>
        <w:t xml:space="preserve"> </w:t>
      </w:r>
      <w:r>
        <w:t xml:space="preserve">“</w:t>
      </w:r>
      <w:r>
        <w:t xml:space="preserve">dīrghād aṭi samānapāde</w:t>
      </w:r>
      <w:r>
        <w:t xml:space="preserve">”</w:t>
      </w:r>
      <w:r>
        <w:t xml:space="preserve"> </w:t>
      </w:r>
      <w:r>
        <w:t xml:space="preserve">(Pā. sū. 8-3-9); by</w:t>
      </w:r>
      <w:r>
        <w:t xml:space="preserve"> </w:t>
      </w:r>
      <w:r>
        <w:t xml:space="preserve">“</w:t>
      </w:r>
      <w:r>
        <w:t xml:space="preserve">āto ’ṭi nityam</w:t>
      </w:r>
      <w:r>
        <w:t xml:space="preserve">”</w:t>
      </w:r>
      <w:r>
        <w:t xml:space="preserve"> </w:t>
      </w:r>
      <w:r>
        <w:t xml:space="preserve">(Pā. sū. 8-3-3)</w:t>
      </w:r>
    </w:p>
    <w:bookmarkEnd w:id="756"/>
    <w:bookmarkStart w:id="757" w:name="page-695-upper-rik-6-grammar-end"/>
    <w:p>
      <w:pPr>
        <w:pStyle w:val="Heading3"/>
      </w:pPr>
      <w:r>
        <w:t xml:space="preserve">Page 695 (upper) — Rik 6: grammar (end)</w:t>
      </w:r>
    </w:p>
    <w:p>
      <w:pPr>
        <w:pStyle w:val="FirstParagraph"/>
      </w:pPr>
      <w:r>
        <w:t xml:space="preserve">the nasal for the</w:t>
      </w:r>
      <w:r>
        <w:t xml:space="preserve"> </w:t>
      </w:r>
      <w:r>
        <w:rPr>
          <w:iCs/>
          <w:i/>
        </w:rPr>
        <w:t xml:space="preserve">ā</w:t>
      </w:r>
      <w:r>
        <w:t xml:space="preserve">; by</w:t>
      </w:r>
      <w:r>
        <w:t xml:space="preserve"> </w:t>
      </w:r>
      <w:r>
        <w:t xml:space="preserve">“</w:t>
      </w:r>
      <w:r>
        <w:t xml:space="preserve">bhobhagoaghoapūrvasya yo ’śi</w:t>
      </w:r>
      <w:r>
        <w:t xml:space="preserve">”</w:t>
      </w:r>
      <w:r>
        <w:t xml:space="preserve"> </w:t>
      </w:r>
      <w:r>
        <w:t xml:space="preserve">(Pā. sū. 8-3-17)</w:t>
      </w:r>
      <w:r>
        <w:t xml:space="preserve"> </w:t>
      </w:r>
      <w:r>
        <w:rPr>
          <w:iCs/>
          <w:i/>
        </w:rPr>
        <w:t xml:space="preserve">y</w:t>
      </w:r>
      <w:r>
        <w:t xml:space="preserve"> </w:t>
      </w:r>
      <w:r>
        <w:t xml:space="preserve">for</w:t>
      </w:r>
      <w:r>
        <w:t xml:space="preserve"> </w:t>
      </w:r>
      <w:r>
        <w:rPr>
          <w:iCs/>
          <w:i/>
        </w:rPr>
        <w:t xml:space="preserve">ru</w:t>
      </w:r>
      <w:r>
        <w:t xml:space="preserve">:</w:t>
      </w:r>
      <w:r>
        <w:t xml:space="preserve"> </w:t>
      </w:r>
      <w:r>
        <w:rPr>
          <w:iCs/>
          <w:i/>
        </w:rPr>
        <w:t xml:space="preserve">tām̐y</w:t>
      </w:r>
      <w:r>
        <w:t xml:space="preserve"> </w:t>
      </w:r>
      <w:r>
        <w:t xml:space="preserve">+</w:t>
      </w:r>
      <w:r>
        <w:t xml:space="preserve"> </w:t>
      </w:r>
      <w:r>
        <w:rPr>
          <w:iCs/>
          <w:i/>
        </w:rPr>
        <w:t xml:space="preserve">indra</w:t>
      </w:r>
      <w:r>
        <w:t xml:space="preserve">; the</w:t>
      </w:r>
      <w:r>
        <w:t xml:space="preserve"> </w:t>
      </w:r>
      <w:r>
        <w:rPr>
          <w:iCs/>
          <w:i/>
        </w:rPr>
        <w:t xml:space="preserve">y</w:t>
      </w:r>
      <w:r>
        <w:t xml:space="preserve"> </w:t>
      </w:r>
      <w:r>
        <w:t xml:space="preserve">dropped by</w:t>
      </w:r>
      <w:r>
        <w:t xml:space="preserve"> </w:t>
      </w:r>
      <w:r>
        <w:rPr>
          <w:iCs/>
          <w:i/>
        </w:rPr>
        <w:t xml:space="preserve">lopaḥ śākalyasya</w:t>
      </w:r>
      <w:r>
        <w:t xml:space="preserve">:</w:t>
      </w:r>
      <w:r>
        <w:t xml:space="preserve"> </w:t>
      </w:r>
      <w:r>
        <w:rPr>
          <w:iCs/>
          <w:i/>
        </w:rPr>
        <w:t xml:space="preserve">tām̐ indra</w:t>
      </w:r>
      <w:r>
        <w:t xml:space="preserve">.</w:t>
      </w:r>
    </w:p>
    <w:p>
      <w:pPr>
        <w:pStyle w:val="BodyText"/>
      </w:pPr>
      <w:r>
        <w:rPr>
          <w:bCs/>
          <w:b/>
        </w:rPr>
        <w:t xml:space="preserve">सहसे (</w:t>
      </w:r>
      <w:r>
        <w:rPr>
          <w:iCs/>
          <w:i/>
          <w:bCs/>
          <w:b/>
        </w:rPr>
        <w:t xml:space="preserve">sahase</w:t>
      </w:r>
      <w:r>
        <w:rPr>
          <w:bCs/>
          <w:b/>
        </w:rPr>
        <w:t xml:space="preserve">)</w:t>
      </w:r>
      <w:r>
        <w:t xml:space="preserve">:</w:t>
      </w:r>
      <w:r>
        <w:t xml:space="preserve"> </w:t>
      </w:r>
      <w:r>
        <w:rPr>
          <w:iCs/>
          <w:i/>
        </w:rPr>
        <w:t xml:space="preserve">ṣaha marṣaṇe</w:t>
      </w:r>
      <w:r>
        <w:t xml:space="preserve">;</w:t>
      </w:r>
      <w:r>
        <w:t xml:space="preserve"> </w:t>
      </w:r>
      <w:r>
        <w:rPr>
          <w:iCs/>
          <w:i/>
        </w:rPr>
        <w:t xml:space="preserve">s</w:t>
      </w:r>
      <w:r>
        <w:t xml:space="preserve"> </w:t>
      </w:r>
      <w:r>
        <w:t xml:space="preserve">for</w:t>
      </w:r>
      <w:r>
        <w:t xml:space="preserve"> </w:t>
      </w:r>
      <w:r>
        <w:rPr>
          <w:iCs/>
          <w:i/>
        </w:rPr>
        <w:t xml:space="preserve">ṣ</w:t>
      </w:r>
      <w:r>
        <w:t xml:space="preserve"> </w:t>
      </w:r>
      <w:r>
        <w:t xml:space="preserve">by</w:t>
      </w:r>
      <w:r>
        <w:t xml:space="preserve"> </w:t>
      </w:r>
      <w:r>
        <w:t xml:space="preserve">“</w:t>
      </w:r>
      <w:r>
        <w:t xml:space="preserve">dhātvādeḥ ṣaḥ saḥ</w:t>
      </w:r>
      <w:r>
        <w:t xml:space="preserve">”</w:t>
      </w:r>
      <w:r>
        <w:t xml:space="preserve"> </w:t>
      </w:r>
      <w:r>
        <w:t xml:space="preserve">(Pā. sū. 6-1-64); the suffix</w:t>
      </w:r>
      <w:r>
        <w:t xml:space="preserve"> </w:t>
      </w:r>
      <w:r>
        <w:rPr>
          <w:iCs/>
          <w:i/>
        </w:rPr>
        <w:t xml:space="preserve">asun</w:t>
      </w:r>
      <w:r>
        <w:t xml:space="preserve"> </w:t>
      </w:r>
      <w:r>
        <w:t xml:space="preserve">by</w:t>
      </w:r>
      <w:r>
        <w:t xml:space="preserve"> </w:t>
      </w:r>
      <w:r>
        <w:t xml:space="preserve">“</w:t>
      </w:r>
      <w:r>
        <w:t xml:space="preserve">sarvadhātubhyo ’sun</w:t>
      </w:r>
      <w:r>
        <w:t xml:space="preserve">”</w:t>
      </w:r>
      <w:r>
        <w:t xml:space="preserve"> </w:t>
      </w:r>
      <w:r>
        <w:t xml:space="preserve">(Uṇ. sū.</w:t>
      </w:r>
      <w:r>
        <w:t xml:space="preserve"> </w:t>
      </w:r>
      <w:r>
        <w:t xml:space="preserve">“</w:t>
      </w:r>
      <w:r>
        <w:t xml:space="preserve">4-[?]</w:t>
      </w:r>
      <w:r>
        <w:t xml:space="preserve">”</w:t>
      </w:r>
      <w:r>
        <w:t xml:space="preserve"> </w:t>
      </w:r>
      <w:r>
        <w:t xml:space="preserve">[?]):</w:t>
      </w:r>
      <w:r>
        <w:t xml:space="preserve"> </w:t>
      </w:r>
      <w:r>
        <w:rPr>
          <w:iCs/>
          <w:i/>
        </w:rPr>
        <w:t xml:space="preserve">sahas</w:t>
      </w:r>
      <w:r>
        <w:t xml:space="preserve">, initial udātta by the</w:t>
      </w:r>
      <w:r>
        <w:t xml:space="preserve"> </w:t>
      </w:r>
      <w:r>
        <w:rPr>
          <w:iCs/>
          <w:i/>
        </w:rPr>
        <w:t xml:space="preserve">nit</w:t>
      </w:r>
      <w:r>
        <w:t xml:space="preserve"> </w:t>
      </w:r>
      <w:r>
        <w:t xml:space="preserve">accent. Dative singular</w:t>
      </w:r>
      <w:r>
        <w:t xml:space="preserve"> </w:t>
      </w:r>
      <w:r>
        <w:rPr>
          <w:iCs/>
          <w:i/>
        </w:rPr>
        <w:t xml:space="preserve">ṅe</w:t>
      </w:r>
      <w:r>
        <w:t xml:space="preserve">:</w:t>
      </w:r>
      <w:r>
        <w:t xml:space="preserve"> </w:t>
      </w:r>
      <w:r>
        <w:rPr>
          <w:iCs/>
          <w:i/>
        </w:rPr>
        <w:t xml:space="preserve">sahase</w:t>
      </w:r>
      <w:r>
        <w:t xml:space="preserve">.</w:t>
      </w:r>
    </w:p>
    <w:p>
      <w:pPr>
        <w:pStyle w:val="BodyText"/>
      </w:pPr>
      <w:r>
        <w:rPr>
          <w:bCs/>
          <w:b/>
        </w:rPr>
        <w:t xml:space="preserve">॥६॥</w:t>
      </w:r>
    </w:p>
    <w:p>
      <w:r>
        <w:pict>
          <v:rect style="width:0;height:1.5pt" o:hralign="center" o:hrstd="t" o:hr="t"/>
        </w:pict>
      </w:r>
    </w:p>
    <w:bookmarkEnd w:id="757"/>
    <w:bookmarkStart w:id="758" w:name="page-695-lower-sūkta-16-rik-7"/>
    <w:p>
      <w:pPr>
        <w:pStyle w:val="Heading3"/>
      </w:pPr>
      <w:r>
        <w:t xml:space="preserve">Page 695 (lower) — Sūkta 16, Rik 7</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अ॒यं ते॒ स्तोमो॑ अग्रि॒यो हृ॑दि॒स्पृग॑स्तु॒ शंत॑मः ।</w:t>
      </w:r>
      <w:r>
        <w:t xml:space="preserve"> </w:t>
      </w:r>
      <w:r>
        <w:t xml:space="preserve">अथा॒ सोमं॑ सु॒तं पि॑ब ॥७॥</w:t>
      </w:r>
    </w:p>
    <w:p>
      <w:pPr>
        <w:pStyle w:val="BlockText"/>
      </w:pPr>
      <w:r>
        <w:rPr>
          <w:iCs/>
          <w:i/>
        </w:rPr>
        <w:t xml:space="preserve">ayáṃ te stómo agriyó hṛdispṛ́g astu śáṃtamaḥ |</w:t>
      </w:r>
      <w:r>
        <w:t xml:space="preserve"> </w:t>
      </w:r>
      <w:r>
        <w:rPr>
          <w:iCs/>
          <w:i/>
        </w:rPr>
        <w:t xml:space="preserve">athā sómaṃ sutáṃ piba ||7||</w:t>
      </w:r>
    </w:p>
    <w:p>
      <w:pPr>
        <w:pStyle w:val="FirstParagraph"/>
      </w:pPr>
      <w:r>
        <w:rPr>
          <w:bCs/>
          <w:b/>
        </w:rPr>
        <w:t xml:space="preserve">॥ Pada-pāṭhaḥ ॥</w:t>
      </w:r>
    </w:p>
    <w:p>
      <w:pPr>
        <w:pStyle w:val="BlockText"/>
      </w:pPr>
      <w:r>
        <w:t xml:space="preserve">अयम् । ते । स्तोमः । अग्रियः । हृदिऽस्पृक् । अस्तु । शम्ऽतमः ॥</w:t>
      </w:r>
      <w:r>
        <w:t xml:space="preserve"> </w:t>
      </w:r>
      <w:r>
        <w:t xml:space="preserve">अथ । सोमम् । सुतम् । पिब ॥७॥</w:t>
      </w:r>
    </w:p>
    <w:p>
      <w:pPr>
        <w:pStyle w:val="BlockText"/>
      </w:pPr>
      <w:r>
        <w:rPr>
          <w:iCs/>
          <w:i/>
        </w:rPr>
        <w:t xml:space="preserve">ayam | te | stomaḥ | agriyaḥ | hṛdi ’spṛk | astu | śam ’tamaḥ ||</w:t>
      </w:r>
      <w:r>
        <w:t xml:space="preserve"> </w:t>
      </w:r>
      <w:r>
        <w:rPr>
          <w:iCs/>
          <w:i/>
        </w:rPr>
        <w:t xml:space="preserve">atha | somam | sutam | piba ||7||</w:t>
      </w:r>
    </w:p>
    <w:p>
      <w:pPr>
        <w:pStyle w:val="FirstParagraph"/>
      </w:pPr>
      <w:r>
        <w:rPr>
          <w:bCs/>
          <w:b/>
        </w:rPr>
        <w:t xml:space="preserve">॥ Sāyaṇa-bhāṣyam ॥</w:t>
      </w:r>
    </w:p>
    <w:p>
      <w:pPr>
        <w:pStyle w:val="BlockText"/>
      </w:pPr>
      <w:r>
        <w:t xml:space="preserve">हे इन्द्र अयमस्माभिः क्रियमाणः स्तोमः स्तोत्रविशेषोऽग्रियः श्रेष्ठः सन् ते तव हृदिस्पृक् मनस्यङ्गीकृतः शंतमः सुखतमोऽस्तु । अथ स्तुतेरनन्तरं सुतमभिषुतं सोमं पिब ॥ अग्रियः । अग्रादित्यनुवृत्तौ घच्छौ च । पा. ४-४-११७ । इति घच् । चित्त्वादन्तोदात्तः । हृदि स्पृशतीति हृदिस्पृक् । स्पृशोऽनुदके क्विन् । पा. ३-२-५८ । तत्पुरुषे कृति बहुलम् । पा. ६-३-१४ । इत्यलुक् । क्विन्प्रत्ययस्य कुः । पा. ८-२-६२ । इति शकारस्य कुत्वम् । कृदुत्तरपदप्रकृतिस्वरत्वम् । शंतमः । सुखकरद्रव्यवचनोऽत्र शंशब्दः ततस्तमप् । अत्र सुखप्रकर्षस्य गुणद्वारा गुणिनिष्ठद्रव्ये संक्रान्तत्वादद्रव्यप्रकर्ष इति निषेधात् किमेत्तिङव्ययेत्यादिना । पा. ५-४-११ । आम् न भवति द्रव्यस्य स्वतः प्रकर्षाभावात् । ईदृगर्थ एव हि स निषेधः । अथा सोमम् । संहितायां निपातस्येति दीर्घः ॥</w:t>
      </w:r>
    </w:p>
    <w:p>
      <w:pPr>
        <w:pStyle w:val="BlockText"/>
      </w:pPr>
      <w:r>
        <w:rPr>
          <w:iCs/>
          <w:i/>
        </w:rPr>
        <w:t xml:space="preserve">he indra ayamasmābhiḥ kriyamāṇaḥ stomaḥ stotraviśeṣo ’griyaḥ śreṣṭhaḥ san te tava hṛdispṛk manasyaṅgīkṛtaḥ śaṃtamaḥ sukhatamo ’stu | atha stuteranantaraṃ sutamabhiṣutaṃ somaṃ piba || agriyaḥ | agrādityanuvṛttau ghacchau ca | pā. 4-4-117 | iti ghac | cittvādantodāttaḥ | hṛdi spṛśatīti hṛdispṛk | spṛśo ’nudake kvin | pā. 3-2-58 | tatpuruṣe kṛti bahulam | pā. 6-3-14 | ityaluk | kvinpratyayasya kuḥ | pā. 8-2-62 | iti śakārasya kutvam | kṛduttarapadaprakṛtisvaratvam | śaṃtamaḥ | sukhakaradravyavacano ’tra śaṃśabdaḥ tatastamap | atra sukhaprakarṣasya guṇadvārā guṇiniṣṭhadravye saṃkrāntatvādadravyaprakarṣa iti niṣedhāt kimettiṅavyayetyādinā | pā. 5-4-11 | ām na bhavati dravyasya svataḥ prakarṣābhāvāt | īdṛgartha eva hi sa niṣedhaḥ | athā somam | saṃhitāyāṃ nipātasyeti dīrghaḥ ||</w:t>
      </w:r>
    </w:p>
    <w:p>
      <w:pPr>
        <w:pStyle w:val="FirstParagraph"/>
      </w:pPr>
      <w:r>
        <w:rPr>
          <w:bCs/>
          <w:b/>
        </w:rPr>
        <w:t xml:space="preserve">Translation:</w:t>
      </w:r>
      <w:r>
        <w:t xml:space="preserve"> </w:t>
      </w:r>
      <w:r>
        <w:t xml:space="preserve">“</w:t>
      </w:r>
      <w:r>
        <w:t xml:space="preserve">O Indra, may this</w:t>
      </w:r>
      <w:r>
        <w:t xml:space="preserve"> </w:t>
      </w:r>
      <w:r>
        <w:rPr>
          <w:iCs/>
          <w:i/>
        </w:rPr>
        <w:t xml:space="preserve">stoma</w:t>
      </w:r>
      <w:r>
        <w:t xml:space="preserve">, this particular hymn being made by us, being</w:t>
      </w:r>
      <w:r>
        <w:t xml:space="preserve"> </w:t>
      </w:r>
      <w:r>
        <w:rPr>
          <w:iCs/>
          <w:i/>
        </w:rPr>
        <w:t xml:space="preserve">agriya</w:t>
      </w:r>
      <w:r>
        <w:t xml:space="preserve">, the best, be</w:t>
      </w:r>
      <w:r>
        <w:t xml:space="preserve"> </w:t>
      </w:r>
      <w:r>
        <w:rPr>
          <w:iCs/>
          <w:i/>
        </w:rPr>
        <w:t xml:space="preserve">hṛdispṛk</w:t>
      </w:r>
      <w:r>
        <w:t xml:space="preserve"> </w:t>
      </w:r>
      <w:r>
        <w:t xml:space="preserve">to you, taken to heart, and</w:t>
      </w:r>
      <w:r>
        <w:t xml:space="preserve"> </w:t>
      </w:r>
      <w:r>
        <w:rPr>
          <w:iCs/>
          <w:i/>
        </w:rPr>
        <w:t xml:space="preserve">śaṃtama</w:t>
      </w:r>
      <w:r>
        <w:t xml:space="preserve">, most pleasing.</w:t>
      </w:r>
      <w:r>
        <w:t xml:space="preserve"> </w:t>
      </w:r>
      <w:r>
        <w:rPr>
          <w:iCs/>
          <w:i/>
        </w:rPr>
        <w:t xml:space="preserve">Atha</w:t>
      </w:r>
      <w:r>
        <w:t xml:space="preserve">, after the praise, drink the</w:t>
      </w:r>
      <w:r>
        <w:t xml:space="preserve"> </w:t>
      </w:r>
      <w:r>
        <w:rPr>
          <w:iCs/>
          <w:i/>
        </w:rPr>
        <w:t xml:space="preserve">sutam</w:t>
      </w:r>
      <w:r>
        <w:t xml:space="preserve">, pressed, soma.</w:t>
      </w:r>
      <w:r>
        <w:t xml:space="preserve">”</w:t>
      </w:r>
      <w:r>
        <w:t xml:space="preserve"> </w:t>
      </w:r>
      <w:r>
        <w:t xml:space="preserve">(Grammatical tail:</w:t>
      </w:r>
      <w:r>
        <w:t xml:space="preserve"> </w:t>
      </w:r>
      <w:r>
        <w:rPr>
          <w:iCs/>
          <w:i/>
        </w:rPr>
        <w:t xml:space="preserve">agriyaḥ</w:t>
      </w:r>
      <w:r>
        <w:t xml:space="preserve">,</w:t>
      </w:r>
      <w:r>
        <w:t xml:space="preserve"> </w:t>
      </w:r>
      <w:r>
        <w:rPr>
          <w:iCs/>
          <w:i/>
        </w:rPr>
        <w:t xml:space="preserve">ghac</w:t>
      </w:r>
      <w:r>
        <w:t xml:space="preserve"> </w:t>
      </w:r>
      <w:r>
        <w:t xml:space="preserve">by</w:t>
      </w:r>
      <w:r>
        <w:t xml:space="preserve"> </w:t>
      </w:r>
      <w:r>
        <w:rPr>
          <w:iCs/>
          <w:i/>
        </w:rPr>
        <w:t xml:space="preserve">ghacchau ca</w:t>
      </w:r>
      <w:r>
        <w:t xml:space="preserve"> </w:t>
      </w:r>
      <w:r>
        <w:t xml:space="preserve">(Pā. 4-4-117), with</w:t>
      </w:r>
      <w:r>
        <w:t xml:space="preserve"> </w:t>
      </w:r>
      <w:r>
        <w:rPr>
          <w:iCs/>
          <w:i/>
        </w:rPr>
        <w:t xml:space="preserve">agrāt</w:t>
      </w:r>
      <w:r>
        <w:t xml:space="preserve"> </w:t>
      </w:r>
      <w:r>
        <w:t xml:space="preserve">carried on, final udātta as</w:t>
      </w:r>
      <w:r>
        <w:t xml:space="preserve"> </w:t>
      </w:r>
      <w:r>
        <w:rPr>
          <w:iCs/>
          <w:i/>
        </w:rPr>
        <w:t xml:space="preserve">cit</w:t>
      </w:r>
      <w:r>
        <w:t xml:space="preserve">;</w:t>
      </w:r>
      <w:r>
        <w:t xml:space="preserve"> </w:t>
      </w:r>
      <w:r>
        <w:rPr>
          <w:iCs/>
          <w:i/>
        </w:rPr>
        <w:t xml:space="preserve">hṛdispṛk</w:t>
      </w:r>
      <w:r>
        <w:t xml:space="preserve">,</w:t>
      </w:r>
      <w:r>
        <w:t xml:space="preserve"> </w:t>
      </w:r>
      <w:r>
        <w:t xml:space="preserve">“</w:t>
      </w:r>
      <w:r>
        <w:t xml:space="preserve">it touches the heart</w:t>
      </w:r>
      <w:r>
        <w:t xml:space="preserve">”</w:t>
      </w:r>
      <w:r>
        <w:t xml:space="preserve">,</w:t>
      </w:r>
      <w:r>
        <w:t xml:space="preserve"> </w:t>
      </w:r>
      <w:r>
        <w:rPr>
          <w:iCs/>
          <w:i/>
        </w:rPr>
        <w:t xml:space="preserve">kvin</w:t>
      </w:r>
      <w:r>
        <w:t xml:space="preserve"> </w:t>
      </w:r>
      <w:r>
        <w:t xml:space="preserve">by Pā. 3-2-58, the case kept by Pā. 6-3-14, the guttural for</w:t>
      </w:r>
      <w:r>
        <w:t xml:space="preserve"> </w:t>
      </w:r>
      <w:r>
        <w:rPr>
          <w:iCs/>
          <w:i/>
        </w:rPr>
        <w:t xml:space="preserve">ś</w:t>
      </w:r>
      <w:r>
        <w:t xml:space="preserve"> </w:t>
      </w:r>
      <w:r>
        <w:t xml:space="preserve">by Pā. 8-2-62, the accent of the</w:t>
      </w:r>
      <w:r>
        <w:t xml:space="preserve"> </w:t>
      </w:r>
      <w:r>
        <w:rPr>
          <w:iCs/>
          <w:i/>
        </w:rPr>
        <w:t xml:space="preserve">kṛt</w:t>
      </w:r>
      <w:r>
        <w:t xml:space="preserve"> </w:t>
      </w:r>
      <w:r>
        <w:t xml:space="preserve">final member;</w:t>
      </w:r>
      <w:r>
        <w:t xml:space="preserve"> </w:t>
      </w:r>
      <w:r>
        <w:rPr>
          <w:iCs/>
          <w:i/>
        </w:rPr>
        <w:t xml:space="preserve">śaṃtamaḥ</w:t>
      </w:r>
      <w:r>
        <w:t xml:space="preserve">,</w:t>
      </w:r>
      <w:r>
        <w:t xml:space="preserve"> </w:t>
      </w:r>
      <w:r>
        <w:rPr>
          <w:iCs/>
          <w:i/>
        </w:rPr>
        <w:t xml:space="preserve">śam</w:t>
      </w:r>
      <w:r>
        <w:t xml:space="preserve"> </w:t>
      </w:r>
      <w:r>
        <w:t xml:space="preserve">here naming a thing that gives happiness, then</w:t>
      </w:r>
      <w:r>
        <w:t xml:space="preserve"> </w:t>
      </w:r>
      <w:r>
        <w:rPr>
          <w:iCs/>
          <w:i/>
        </w:rPr>
        <w:t xml:space="preserve">tamap</w:t>
      </w:r>
      <w:r>
        <w:t xml:space="preserve">; since the excess of happiness passes through the quality to the thing that has it, the bar</w:t>
      </w:r>
      <w:r>
        <w:t xml:space="preserve"> </w:t>
      </w:r>
      <w:r>
        <w:t xml:space="preserve">“</w:t>
      </w:r>
      <w:r>
        <w:rPr>
          <w:iCs/>
          <w:i/>
        </w:rPr>
        <w:t xml:space="preserve">adravyaprakarṣe</w:t>
      </w:r>
      <w:r>
        <w:t xml:space="preserve">”</w:t>
      </w:r>
      <w:r>
        <w:t xml:space="preserve"> </w:t>
      </w:r>
      <w:r>
        <w:t xml:space="preserve">in</w:t>
      </w:r>
      <w:r>
        <w:t xml:space="preserve"> </w:t>
      </w:r>
      <w:r>
        <w:rPr>
          <w:iCs/>
          <w:i/>
        </w:rPr>
        <w:t xml:space="preserve">kim-et-tiṅ-avyaya…</w:t>
      </w:r>
      <w:r>
        <w:t xml:space="preserve"> </w:t>
      </w:r>
      <w:r>
        <w:t xml:space="preserve">(Pā. 5-4-11) applies and</w:t>
      </w:r>
      <w:r>
        <w:t xml:space="preserve"> </w:t>
      </w:r>
      <w:r>
        <w:rPr>
          <w:iCs/>
          <w:i/>
        </w:rPr>
        <w:t xml:space="preserve">ām</w:t>
      </w:r>
      <w:r>
        <w:t xml:space="preserve"> </w:t>
      </w:r>
      <w:r>
        <w:t xml:space="preserve">does not come, a thing having no excess of its own;</w:t>
      </w:r>
      <w:r>
        <w:t xml:space="preserve"> </w:t>
      </w:r>
      <w:r>
        <w:rPr>
          <w:iCs/>
          <w:i/>
        </w:rPr>
        <w:t xml:space="preserve">athā somam</w:t>
      </w:r>
      <w:r>
        <w:t xml:space="preserve">, lengthened in the Saṃhitā by</w:t>
      </w:r>
      <w:r>
        <w:t xml:space="preserve"> </w:t>
      </w:r>
      <w:r>
        <w:rPr>
          <w:iCs/>
          <w:i/>
        </w:rPr>
        <w:t xml:space="preserve">nipātasya</w:t>
      </w:r>
      <w:r>
        <w:t xml:space="preserve">.)</w:t>
      </w:r>
    </w:p>
    <w:bookmarkEnd w:id="758"/>
    <w:bookmarkStart w:id="759" w:name="X34e7f2e25eabab8a5eb5ff34b7c85a18f79f0fd"/>
    <w:p>
      <w:pPr>
        <w:pStyle w:val="Heading3"/>
      </w:pPr>
      <w:r>
        <w:t xml:space="preserve">Page 696 — Rik 7: word-meanings, overall sense, English, Special Topics, grammar</w:t>
      </w:r>
    </w:p>
    <w:p>
      <w:pPr>
        <w:pStyle w:val="FirstParagraph"/>
      </w:pPr>
      <w:r>
        <w:rPr>
          <w:bCs/>
          <w:b/>
        </w:rPr>
        <w:t xml:space="preserve">॥ Prati-padārthaḥ ॥</w:t>
      </w:r>
    </w:p>
    <w:p>
      <w:pPr>
        <w:pStyle w:val="BodyText"/>
      </w:pPr>
      <w:r>
        <w:t xml:space="preserve">(</w:t>
      </w:r>
      <w:r>
        <w:rPr>
          <w:bCs/>
          <w:b/>
        </w:rPr>
        <w:t xml:space="preserve">हे इन्द्र (he indra)</w:t>
      </w:r>
      <w:r>
        <w:t xml:space="preserve"> </w:t>
      </w:r>
      <w:r>
        <w:t xml:space="preserve">— O Indra) |</w:t>
      </w:r>
      <w:r>
        <w:t xml:space="preserve"> </w:t>
      </w:r>
      <w:r>
        <w:rPr>
          <w:bCs/>
          <w:b/>
        </w:rPr>
        <w:t xml:space="preserve">अग्रियः (agriyaḥ)</w:t>
      </w:r>
      <w:r>
        <w:t xml:space="preserve"> </w:t>
      </w:r>
      <w:r>
        <w:t xml:space="preserve">— excellent |</w:t>
      </w:r>
      <w:r>
        <w:t xml:space="preserve"> </w:t>
      </w:r>
      <w:r>
        <w:rPr>
          <w:bCs/>
          <w:b/>
        </w:rPr>
        <w:t xml:space="preserve">अयम् (ayam)</w:t>
      </w:r>
      <w:r>
        <w:t xml:space="preserve"> </w:t>
      </w:r>
      <w:r>
        <w:t xml:space="preserve">— this (being made by us) |</w:t>
      </w:r>
      <w:r>
        <w:t xml:space="preserve"> </w:t>
      </w:r>
      <w:r>
        <w:rPr>
          <w:bCs/>
          <w:b/>
        </w:rPr>
        <w:t xml:space="preserve">स्तोमः (stomaḥ)</w:t>
      </w:r>
      <w:r>
        <w:t xml:space="preserve"> </w:t>
      </w:r>
      <w:r>
        <w:t xml:space="preserve">— hymn of praise |</w:t>
      </w:r>
      <w:r>
        <w:t xml:space="preserve"> </w:t>
      </w:r>
      <w:r>
        <w:rPr>
          <w:bCs/>
          <w:b/>
        </w:rPr>
        <w:t xml:space="preserve">ते (te)</w:t>
      </w:r>
      <w:r>
        <w:t xml:space="preserve"> </w:t>
      </w:r>
      <w:r>
        <w:t xml:space="preserve">— your |</w:t>
      </w:r>
      <w:r>
        <w:t xml:space="preserve"> </w:t>
      </w:r>
      <w:r>
        <w:rPr>
          <w:bCs/>
          <w:b/>
        </w:rPr>
        <w:t xml:space="preserve">हृदिस्पृक् (hṛdispṛk)</w:t>
      </w:r>
      <w:r>
        <w:t xml:space="preserve"> </w:t>
      </w:r>
      <w:r>
        <w:t xml:space="preserve">— touching the heart (and agreeable to the mind) |</w:t>
      </w:r>
      <w:r>
        <w:t xml:space="preserve"> </w:t>
      </w:r>
      <w:r>
        <w:rPr>
          <w:bCs/>
          <w:b/>
        </w:rPr>
        <w:t xml:space="preserve">शंतमः (śaṃtamaḥ)</w:t>
      </w:r>
      <w:r>
        <w:t xml:space="preserve"> </w:t>
      </w:r>
      <w:r>
        <w:t xml:space="preserve">— giving happiness |</w:t>
      </w:r>
      <w:r>
        <w:t xml:space="preserve"> </w:t>
      </w:r>
      <w:r>
        <w:rPr>
          <w:bCs/>
          <w:b/>
        </w:rPr>
        <w:t xml:space="preserve">अस्तु (astu)</w:t>
      </w:r>
      <w:r>
        <w:t xml:space="preserve"> </w:t>
      </w:r>
      <w:r>
        <w:t xml:space="preserve">— may it be |</w:t>
      </w:r>
      <w:r>
        <w:t xml:space="preserve"> </w:t>
      </w:r>
      <w:r>
        <w:rPr>
          <w:bCs/>
          <w:b/>
        </w:rPr>
        <w:t xml:space="preserve">अथ (atha)</w:t>
      </w:r>
      <w:r>
        <w:t xml:space="preserve"> </w:t>
      </w:r>
      <w:r>
        <w:t xml:space="preserve">— after the praise is over |</w:t>
      </w:r>
      <w:r>
        <w:t xml:space="preserve"> </w:t>
      </w:r>
      <w:r>
        <w:rPr>
          <w:bCs/>
          <w:b/>
        </w:rPr>
        <w:t xml:space="preserve">सुतम् (sutam)</w:t>
      </w:r>
      <w:r>
        <w:t xml:space="preserve"> </w:t>
      </w:r>
      <w:r>
        <w:t xml:space="preserve">— made ready |</w:t>
      </w:r>
      <w:r>
        <w:t xml:space="preserve"> </w:t>
      </w:r>
      <w:r>
        <w:rPr>
          <w:bCs/>
          <w:b/>
        </w:rPr>
        <w:t xml:space="preserve">सोमम् (somam)</w:t>
      </w:r>
      <w:r>
        <w:t xml:space="preserve"> </w:t>
      </w:r>
      <w:r>
        <w:t xml:space="preserve">— the soma juice |</w:t>
      </w:r>
      <w:r>
        <w:t xml:space="preserve"> </w:t>
      </w:r>
      <w:r>
        <w:rPr>
          <w:bCs/>
          <w:b/>
        </w:rPr>
        <w:t xml:space="preserve">पिब (piba)</w:t>
      </w:r>
      <w:r>
        <w:t xml:space="preserve"> </w:t>
      </w:r>
      <w:r>
        <w:t xml:space="preserve">— drink.</w:t>
      </w:r>
    </w:p>
    <w:p>
      <w:pPr>
        <w:pStyle w:val="BodyText"/>
      </w:pPr>
      <w:r>
        <w:rPr>
          <w:bCs/>
          <w:b/>
        </w:rPr>
        <w:t xml:space="preserve">॥ Bhāvārthaḥ ॥</w:t>
      </w:r>
    </w:p>
    <w:p>
      <w:pPr>
        <w:pStyle w:val="BodyText"/>
      </w:pPr>
      <w:r>
        <w:t xml:space="preserve">O Indra, may this hymn that we are making about you touch your heart, gladden you and give you joy. Then drink this soma juice that we have prepared.</w:t>
      </w:r>
    </w:p>
    <w:p>
      <w:pPr>
        <w:pStyle w:val="BodyText"/>
      </w:pPr>
      <w:r>
        <w:rPr>
          <w:bCs/>
          <w:b/>
        </w:rPr>
        <w:t xml:space="preserve">॥ English Translation ॥</w:t>
      </w:r>
      <w:r>
        <w:t xml:space="preserve"> </w:t>
      </w:r>
      <w:r>
        <w:rPr>
          <w:iCs/>
          <w:i/>
        </w:rPr>
        <w:t xml:space="preserve">(as printed in the source)</w:t>
      </w:r>
    </w:p>
    <w:p>
      <w:pPr>
        <w:pStyle w:val="BlockText"/>
      </w:pPr>
      <w:r>
        <w:t xml:space="preserve">May this excellent hymn touching you [sic] heart be most agreeable to you. Drink, then Indra, the extracted Soma-juice.</w:t>
      </w:r>
    </w:p>
    <w:p>
      <w:pPr>
        <w:pStyle w:val="FirstParagraph"/>
      </w:pPr>
      <w:r>
        <w:rPr>
          <w:bCs/>
          <w:b/>
        </w:rPr>
        <w:t xml:space="preserve">॥ Viśeṣa-viṣayagaḷu (Special Topics) ॥</w:t>
      </w:r>
    </w:p>
    <w:p>
      <w:pPr>
        <w:pStyle w:val="BodyText"/>
      </w:pPr>
      <w:r>
        <w:rPr>
          <w:bCs/>
          <w:b/>
        </w:rPr>
        <w:t xml:space="preserve">Agriyaḥ</w:t>
      </w:r>
      <w:r>
        <w:t xml:space="preserve">: best (</w:t>
      </w:r>
      <w:r>
        <w:rPr>
          <w:iCs/>
          <w:i/>
        </w:rPr>
        <w:t xml:space="preserve">agre bhavaḥ</w:t>
      </w:r>
      <w:r>
        <w:t xml:space="preserve">, being at the front); excellent, highest.</w:t>
      </w:r>
    </w:p>
    <w:p>
      <w:pPr>
        <w:pStyle w:val="BodyText"/>
      </w:pPr>
      <w:r>
        <w:rPr>
          <w:bCs/>
          <w:b/>
        </w:rPr>
        <w:t xml:space="preserve">Hṛdispṛk</w:t>
      </w:r>
      <w:r>
        <w:t xml:space="preserve">:</w:t>
      </w:r>
      <w:r>
        <w:t xml:space="preserve"> </w:t>
      </w:r>
      <w:r>
        <w:rPr>
          <w:iCs/>
          <w:i/>
        </w:rPr>
        <w:t xml:space="preserve">hṛdi spṛśatīti hṛdispṛk</w:t>
      </w:r>
      <w:r>
        <w:t xml:space="preserve">, it touches the heart: touching the heart, melting the heart, striking the mind,</w:t>
      </w:r>
      <w:r>
        <w:t xml:space="preserve"> </w:t>
      </w:r>
      <w:r>
        <w:t xml:space="preserve">“</w:t>
      </w:r>
      <w:r>
        <w:t xml:space="preserve">touching your heart, etc.</w:t>
      </w:r>
      <w:r>
        <w:t xml:space="preserve">”</w:t>
      </w:r>
      <w:r>
        <w:t xml:space="preserve"> </w:t>
      </w:r>
      <w:r>
        <w:t xml:space="preserve">The intent is: may the hymn we make strike your mind.</w:t>
      </w:r>
    </w:p>
    <w:p>
      <w:pPr>
        <w:pStyle w:val="BodyText"/>
      </w:pPr>
      <w:r>
        <w:rPr>
          <w:bCs/>
          <w:b/>
        </w:rPr>
        <w:t xml:space="preserve">Śaṃtamaḥ</w:t>
      </w:r>
      <w:r>
        <w:t xml:space="preserve">: causing happiness; the sense is: may the hymn we make give you joy.</w:t>
      </w:r>
    </w:p>
    <w:p>
      <w:pPr>
        <w:pStyle w:val="BodyText"/>
      </w:pPr>
      <w:r>
        <w:rPr>
          <w:bCs/>
          <w:b/>
        </w:rPr>
        <w:t xml:space="preserve">Atha</w:t>
      </w:r>
      <w:r>
        <w:t xml:space="preserve">: the last syllable of this word is long in the Saṃhitā-pāṭha to suit the metre.</w:t>
      </w:r>
    </w:p>
    <w:p>
      <w:pPr>
        <w:pStyle w:val="BodyText"/>
      </w:pPr>
      <w:r>
        <w:rPr>
          <w:bCs/>
          <w:b/>
        </w:rPr>
        <w:t xml:space="preserve">॥ Vyākaraṇa-prakriyā ॥</w:t>
      </w:r>
      <w:r>
        <w:t xml:space="preserve"> </w:t>
      </w:r>
      <w:r>
        <w:rPr>
          <w:iCs/>
          <w:i/>
        </w:rPr>
        <w:t xml:space="preserve">(grammar pages 696–698, noted briefly)</w:t>
      </w:r>
    </w:p>
    <w:p>
      <w:pPr>
        <w:pStyle w:val="BodyText"/>
      </w:pPr>
      <w:r>
        <w:rPr>
          <w:bCs/>
          <w:b/>
        </w:rPr>
        <w:t xml:space="preserve">अग्रियः (</w:t>
      </w:r>
      <w:r>
        <w:rPr>
          <w:iCs/>
          <w:i/>
          <w:bCs/>
          <w:b/>
        </w:rPr>
        <w:t xml:space="preserve">agriyaḥ</w:t>
      </w:r>
      <w:r>
        <w:rPr>
          <w:bCs/>
          <w:b/>
        </w:rPr>
        <w:t xml:space="preserve">)</w:t>
      </w:r>
      <w:r>
        <w:t xml:space="preserve">: in</w:t>
      </w:r>
      <w:r>
        <w:t xml:space="preserve"> </w:t>
      </w:r>
      <w:r>
        <w:t xml:space="preserve">“</w:t>
      </w:r>
      <w:r>
        <w:t xml:space="preserve">ghacchau ca</w:t>
      </w:r>
      <w:r>
        <w:t xml:space="preserve">”</w:t>
      </w:r>
      <w:r>
        <w:t xml:space="preserve"> </w:t>
      </w:r>
      <w:r>
        <w:t xml:space="preserve">(Pā. sū. 4-4-117) the word</w:t>
      </w:r>
      <w:r>
        <w:t xml:space="preserve"> </w:t>
      </w:r>
      <w:r>
        <w:rPr>
          <w:iCs/>
          <w:i/>
        </w:rPr>
        <w:t xml:space="preserve">agrāt</w:t>
      </w:r>
      <w:r>
        <w:t xml:space="preserve"> </w:t>
      </w:r>
      <w:r>
        <w:t xml:space="preserve">is carried on from the preceding sūtra</w:t>
      </w:r>
      <w:r>
        <w:t xml:space="preserve"> </w:t>
      </w:r>
      <w:r>
        <w:t xml:space="preserve">“</w:t>
      </w:r>
      <w:r>
        <w:t xml:space="preserve">agrād yat</w:t>
      </w:r>
      <w:r>
        <w:t xml:space="preserve">”</w:t>
      </w:r>
      <w:r>
        <w:t xml:space="preserve"> </w:t>
      </w:r>
      <w:r>
        <w:t xml:space="preserve">(Pā. sū. 4-4-116). After the stem</w:t>
      </w:r>
      <w:r>
        <w:t xml:space="preserve"> </w:t>
      </w:r>
      <w:r>
        <w:rPr>
          <w:iCs/>
          <w:i/>
        </w:rPr>
        <w:t xml:space="preserve">agra</w:t>
      </w:r>
      <w:r>
        <w:t xml:space="preserve"> </w:t>
      </w:r>
      <w:r>
        <w:t xml:space="preserve">ending in the locative, in the sense</w:t>
      </w:r>
      <w:r>
        <w:t xml:space="preserve"> </w:t>
      </w:r>
      <w:r>
        <w:t xml:space="preserve">“</w:t>
      </w:r>
      <w:r>
        <w:rPr>
          <w:iCs/>
          <w:i/>
        </w:rPr>
        <w:t xml:space="preserve">bhava</w:t>
      </w:r>
      <w:r>
        <w:t xml:space="preserve">”</w:t>
      </w:r>
      <w:r>
        <w:t xml:space="preserve">,</w:t>
      </w:r>
    </w:p>
    <w:bookmarkEnd w:id="759"/>
    <w:bookmarkStart w:id="760" w:name="page-697-rik-7-grammar"/>
    <w:p>
      <w:pPr>
        <w:pStyle w:val="Heading3"/>
      </w:pPr>
      <w:r>
        <w:t xml:space="preserve">Page 697 — Rik 7: grammar</w:t>
      </w:r>
    </w:p>
    <w:p>
      <w:pPr>
        <w:pStyle w:val="FirstParagraph"/>
      </w:pPr>
      <w:r>
        <w:t xml:space="preserve">the suffixes</w:t>
      </w:r>
      <w:r>
        <w:t xml:space="preserve"> </w:t>
      </w:r>
      <w:r>
        <w:rPr>
          <w:iCs/>
          <w:i/>
        </w:rPr>
        <w:t xml:space="preserve">gha</w:t>
      </w:r>
      <w:r>
        <w:t xml:space="preserve">,</w:t>
      </w:r>
      <w:r>
        <w:t xml:space="preserve"> </w:t>
      </w:r>
      <w:r>
        <w:rPr>
          <w:iCs/>
          <w:i/>
        </w:rPr>
        <w:t xml:space="preserve">cha</w:t>
      </w:r>
      <w:r>
        <w:t xml:space="preserve"> </w:t>
      </w:r>
      <w:r>
        <w:t xml:space="preserve">and</w:t>
      </w:r>
      <w:r>
        <w:t xml:space="preserve"> </w:t>
      </w:r>
      <w:r>
        <w:rPr>
          <w:iCs/>
          <w:i/>
        </w:rPr>
        <w:t xml:space="preserve">yat</w:t>
      </w:r>
      <w:r>
        <w:t xml:space="preserve"> </w:t>
      </w:r>
      <w:r>
        <w:t xml:space="preserve">come; so here,</w:t>
      </w:r>
      <w:r>
        <w:t xml:space="preserve"> </w:t>
      </w:r>
      <w:r>
        <w:rPr>
          <w:iCs/>
          <w:i/>
        </w:rPr>
        <w:t xml:space="preserve">agre bhavaḥ</w:t>
      </w:r>
      <w:r>
        <w:t xml:space="preserve"> </w:t>
      </w:r>
      <w:r>
        <w:t xml:space="preserve">being meant,</w:t>
      </w:r>
      <w:r>
        <w:t xml:space="preserve"> </w:t>
      </w:r>
      <w:r>
        <w:rPr>
          <w:iCs/>
          <w:i/>
        </w:rPr>
        <w:t xml:space="preserve">ghac</w:t>
      </w:r>
      <w:r>
        <w:t xml:space="preserve"> </w:t>
      </w:r>
      <w:r>
        <w:t xml:space="preserve">comes. The</w:t>
      </w:r>
      <w:r>
        <w:t xml:space="preserve"> </w:t>
      </w:r>
      <w:r>
        <w:rPr>
          <w:iCs/>
          <w:i/>
        </w:rPr>
        <w:t xml:space="preserve">sup</w:t>
      </w:r>
      <w:r>
        <w:t xml:space="preserve"> </w:t>
      </w:r>
      <w:r>
        <w:t xml:space="preserve">inside the</w:t>
      </w:r>
      <w:r>
        <w:t xml:space="preserve"> </w:t>
      </w:r>
      <w:r>
        <w:rPr>
          <w:iCs/>
          <w:i/>
        </w:rPr>
        <w:t xml:space="preserve">taddhita</w:t>
      </w:r>
      <w:r>
        <w:t xml:space="preserve">-final stem takes</w:t>
      </w:r>
      <w:r>
        <w:t xml:space="preserve"> </w:t>
      </w:r>
      <w:r>
        <w:rPr>
          <w:iCs/>
          <w:i/>
        </w:rPr>
        <w:t xml:space="preserve">luk</w:t>
      </w:r>
      <w:r>
        <w:t xml:space="preserve">. By</w:t>
      </w:r>
      <w:r>
        <w:t xml:space="preserve"> </w:t>
      </w:r>
      <w:r>
        <w:t xml:space="preserve">“</w:t>
      </w:r>
      <w:r>
        <w:t xml:space="preserve">āyaneyīnīyiyaḥ phaḍhakhachaghāṃ pratyayādīnām</w:t>
      </w:r>
      <w:r>
        <w:t xml:space="preserve">”</w:t>
      </w:r>
      <w:r>
        <w:t xml:space="preserve"> </w:t>
      </w:r>
      <w:r>
        <w:t xml:space="preserve">(Pā. sū.</w:t>
      </w:r>
      <w:r>
        <w:t xml:space="preserve"> </w:t>
      </w:r>
      <w:r>
        <w:t xml:space="preserve">“</w:t>
      </w:r>
      <w:r>
        <w:t xml:space="preserve">1-3-6</w:t>
      </w:r>
      <w:r>
        <w:t xml:space="preserve">”</w:t>
      </w:r>
      <w:r>
        <w:t xml:space="preserve"> </w:t>
      </w:r>
      <w:r>
        <w:t xml:space="preserve">[as printed, for 7-1-2]), for</w:t>
      </w:r>
      <w:r>
        <w:t xml:space="preserve"> </w:t>
      </w:r>
      <w:r>
        <w:rPr>
          <w:iCs/>
          <w:i/>
        </w:rPr>
        <w:t xml:space="preserve">ph</w:t>
      </w:r>
      <w:r>
        <w:t xml:space="preserve">,</w:t>
      </w:r>
      <w:r>
        <w:t xml:space="preserve"> </w:t>
      </w:r>
      <w:r>
        <w:rPr>
          <w:iCs/>
          <w:i/>
        </w:rPr>
        <w:t xml:space="preserve">ḍh</w:t>
      </w:r>
      <w:r>
        <w:t xml:space="preserve">,</w:t>
      </w:r>
      <w:r>
        <w:t xml:space="preserve"> </w:t>
      </w:r>
      <w:r>
        <w:rPr>
          <w:iCs/>
          <w:i/>
        </w:rPr>
        <w:t xml:space="preserve">kh</w:t>
      </w:r>
      <w:r>
        <w:t xml:space="preserve">,</w:t>
      </w:r>
      <w:r>
        <w:t xml:space="preserve"> </w:t>
      </w:r>
      <w:r>
        <w:rPr>
          <w:iCs/>
          <w:i/>
        </w:rPr>
        <w:t xml:space="preserve">ch</w:t>
      </w:r>
      <w:r>
        <w:t xml:space="preserve"> </w:t>
      </w:r>
      <w:r>
        <w:t xml:space="preserve">and</w:t>
      </w:r>
      <w:r>
        <w:t xml:space="preserve"> </w:t>
      </w:r>
      <w:r>
        <w:rPr>
          <w:iCs/>
          <w:i/>
        </w:rPr>
        <w:t xml:space="preserve">gh</w:t>
      </w:r>
      <w:r>
        <w:t xml:space="preserve"> </w:t>
      </w:r>
      <w:r>
        <w:t xml:space="preserve">at the start of a suffix come</w:t>
      </w:r>
      <w:r>
        <w:t xml:space="preserve"> </w:t>
      </w:r>
      <w:r>
        <w:rPr>
          <w:iCs/>
          <w:i/>
        </w:rPr>
        <w:t xml:space="preserve">āyan</w:t>
      </w:r>
      <w:r>
        <w:t xml:space="preserve">,</w:t>
      </w:r>
      <w:r>
        <w:t xml:space="preserve"> </w:t>
      </w:r>
      <w:r>
        <w:rPr>
          <w:iCs/>
          <w:i/>
        </w:rPr>
        <w:t xml:space="preserve">ey</w:t>
      </w:r>
      <w:r>
        <w:t xml:space="preserve">,</w:t>
      </w:r>
      <w:r>
        <w:t xml:space="preserve"> </w:t>
      </w:r>
      <w:r>
        <w:rPr>
          <w:iCs/>
          <w:i/>
        </w:rPr>
        <w:t xml:space="preserve">īn</w:t>
      </w:r>
      <w:r>
        <w:t xml:space="preserve">,</w:t>
      </w:r>
      <w:r>
        <w:t xml:space="preserve"> </w:t>
      </w:r>
      <w:r>
        <w:rPr>
          <w:iCs/>
          <w:i/>
        </w:rPr>
        <w:t xml:space="preserve">īy</w:t>
      </w:r>
      <w:r>
        <w:t xml:space="preserve"> </w:t>
      </w:r>
      <w:r>
        <w:t xml:space="preserve">and</w:t>
      </w:r>
      <w:r>
        <w:t xml:space="preserve"> </w:t>
      </w:r>
      <w:r>
        <w:rPr>
          <w:iCs/>
          <w:i/>
        </w:rPr>
        <w:t xml:space="preserve">iy</w:t>
      </w:r>
      <w:r>
        <w:t xml:space="preserve">; so</w:t>
      </w:r>
      <w:r>
        <w:t xml:space="preserve"> </w:t>
      </w:r>
      <w:r>
        <w:rPr>
          <w:iCs/>
          <w:i/>
        </w:rPr>
        <w:t xml:space="preserve">iy</w:t>
      </w:r>
      <w:r>
        <w:t xml:space="preserve"> </w:t>
      </w:r>
      <w:r>
        <w:t xml:space="preserve">for</w:t>
      </w:r>
      <w:r>
        <w:t xml:space="preserve"> </w:t>
      </w:r>
      <w:r>
        <w:rPr>
          <w:iCs/>
          <w:i/>
        </w:rPr>
        <w:t xml:space="preserve">gh</w:t>
      </w:r>
      <w:r>
        <w:t xml:space="preserve">:</w:t>
      </w:r>
      <w:r>
        <w:t xml:space="preserve"> </w:t>
      </w:r>
      <w:r>
        <w:rPr>
          <w:iCs/>
          <w:i/>
        </w:rPr>
        <w:t xml:space="preserve">agra</w:t>
      </w:r>
      <w:r>
        <w:t xml:space="preserve"> </w:t>
      </w:r>
      <w:r>
        <w:t xml:space="preserve">+</w:t>
      </w:r>
      <w:r>
        <w:t xml:space="preserve"> </w:t>
      </w:r>
      <w:r>
        <w:rPr>
          <w:iCs/>
          <w:i/>
        </w:rPr>
        <w:t xml:space="preserve">iya</w:t>
      </w:r>
      <w:r>
        <w:t xml:space="preserve">; the</w:t>
      </w:r>
      <w:r>
        <w:t xml:space="preserve"> </w:t>
      </w:r>
      <w:r>
        <w:rPr>
          <w:iCs/>
          <w:i/>
        </w:rPr>
        <w:t xml:space="preserve">a</w:t>
      </w:r>
      <w:r>
        <w:t xml:space="preserve"> </w:t>
      </w:r>
      <w:r>
        <w:t xml:space="preserve">dropped by</w:t>
      </w:r>
      <w:r>
        <w:t xml:space="preserve"> </w:t>
      </w:r>
      <w:r>
        <w:rPr>
          <w:iCs/>
          <w:i/>
        </w:rPr>
        <w:t xml:space="preserve">yasyeti ca</w:t>
      </w:r>
      <w:r>
        <w:t xml:space="preserve">:</w:t>
      </w:r>
      <w:r>
        <w:t xml:space="preserve"> </w:t>
      </w:r>
      <w:r>
        <w:rPr>
          <w:iCs/>
          <w:i/>
        </w:rPr>
        <w:t xml:space="preserve">agriya</w:t>
      </w:r>
      <w:r>
        <w:t xml:space="preserve">. The suffix</w:t>
      </w:r>
      <w:r>
        <w:t xml:space="preserve"> </w:t>
      </w:r>
      <w:r>
        <w:rPr>
          <w:iCs/>
          <w:i/>
        </w:rPr>
        <w:t xml:space="preserve">ghac</w:t>
      </w:r>
      <w:r>
        <w:t xml:space="preserve"> </w:t>
      </w:r>
      <w:r>
        <w:t xml:space="preserve">is</w:t>
      </w:r>
      <w:r>
        <w:t xml:space="preserve"> </w:t>
      </w:r>
      <w:r>
        <w:rPr>
          <w:iCs/>
          <w:i/>
        </w:rPr>
        <w:t xml:space="preserve">cit</w:t>
      </w:r>
      <w:r>
        <w:t xml:space="preserve">; so by</w:t>
      </w:r>
      <w:r>
        <w:t xml:space="preserve"> </w:t>
      </w:r>
      <w:r>
        <w:t xml:space="preserve">“</w:t>
      </w:r>
      <w:r>
        <w:t xml:space="preserve">citaḥ</w:t>
      </w:r>
      <w:r>
        <w:t xml:space="preserve">”</w:t>
      </w:r>
      <w:r>
        <w:t xml:space="preserve"> </w:t>
      </w:r>
      <w:r>
        <w:t xml:space="preserve">(Pā. sū. 6-1-163)</w:t>
      </w:r>
      <w:r>
        <w:t xml:space="preserve"> </w:t>
      </w:r>
      <w:r>
        <w:rPr>
          <w:iCs/>
          <w:i/>
        </w:rPr>
        <w:t xml:space="preserve">agriya</w:t>
      </w:r>
      <w:r>
        <w:t xml:space="preserve"> </w:t>
      </w:r>
      <w:r>
        <w:t xml:space="preserve">is final udātta. Nominative singular</w:t>
      </w:r>
      <w:r>
        <w:t xml:space="preserve"> </w:t>
      </w:r>
      <w:r>
        <w:rPr>
          <w:iCs/>
          <w:i/>
        </w:rPr>
        <w:t xml:space="preserve">su</w:t>
      </w:r>
      <w:r>
        <w:t xml:space="preserve">;</w:t>
      </w:r>
      <w:r>
        <w:t xml:space="preserve"> </w:t>
      </w:r>
      <w:r>
        <w:rPr>
          <w:iCs/>
          <w:i/>
        </w:rPr>
        <w:t xml:space="preserve">ru</w:t>
      </w:r>
      <w:r>
        <w:t xml:space="preserve"> </w:t>
      </w:r>
      <w:r>
        <w:t xml:space="preserve">and visarga:</w:t>
      </w:r>
      <w:r>
        <w:t xml:space="preserve"> </w:t>
      </w:r>
      <w:r>
        <w:rPr>
          <w:iCs/>
          <w:i/>
        </w:rPr>
        <w:t xml:space="preserve">agriyaḥ</w:t>
      </w:r>
      <w:r>
        <w:t xml:space="preserve">.</w:t>
      </w:r>
    </w:p>
    <w:p>
      <w:pPr>
        <w:pStyle w:val="BodyText"/>
      </w:pPr>
      <w:r>
        <w:rPr>
          <w:bCs/>
          <w:b/>
        </w:rPr>
        <w:t xml:space="preserve">हृदिस्पृक् (</w:t>
      </w:r>
      <w:r>
        <w:rPr>
          <w:iCs/>
          <w:i/>
          <w:bCs/>
          <w:b/>
        </w:rPr>
        <w:t xml:space="preserve">hṛdispṛk</w:t>
      </w:r>
      <w:r>
        <w:rPr>
          <w:bCs/>
          <w:b/>
        </w:rPr>
        <w:t xml:space="preserve">)</w:t>
      </w:r>
      <w:r>
        <w:t xml:space="preserve">:</w:t>
      </w:r>
      <w:r>
        <w:t xml:space="preserve"> </w:t>
      </w:r>
      <w:r>
        <w:rPr>
          <w:iCs/>
          <w:i/>
        </w:rPr>
        <w:t xml:space="preserve">hṛdi spṛśati iti hṛdispṛk</w:t>
      </w:r>
      <w:r>
        <w:t xml:space="preserve">. By</w:t>
      </w:r>
      <w:r>
        <w:t xml:space="preserve"> </w:t>
      </w:r>
      <w:r>
        <w:t xml:space="preserve">“</w:t>
      </w:r>
      <w:r>
        <w:t xml:space="preserve">spṛśo ’nudake kvin</w:t>
      </w:r>
      <w:r>
        <w:t xml:space="preserve">”</w:t>
      </w:r>
      <w:r>
        <w:t xml:space="preserve"> </w:t>
      </w:r>
      <w:r>
        <w:t xml:space="preserve">(Pā. sū. 3-2-58), when a</w:t>
      </w:r>
      <w:r>
        <w:t xml:space="preserve"> </w:t>
      </w:r>
      <w:r>
        <w:rPr>
          <w:iCs/>
          <w:i/>
        </w:rPr>
        <w:t xml:space="preserve">subanta</w:t>
      </w:r>
      <w:r>
        <w:t xml:space="preserve"> </w:t>
      </w:r>
      <w:r>
        <w:t xml:space="preserve">other than the word</w:t>
      </w:r>
      <w:r>
        <w:t xml:space="preserve"> </w:t>
      </w:r>
      <w:r>
        <w:rPr>
          <w:iCs/>
          <w:i/>
        </w:rPr>
        <w:t xml:space="preserve">udaka</w:t>
      </w:r>
      <w:r>
        <w:t xml:space="preserve"> </w:t>
      </w:r>
      <w:r>
        <w:t xml:space="preserve">is the</w:t>
      </w:r>
      <w:r>
        <w:t xml:space="preserve"> </w:t>
      </w:r>
      <w:r>
        <w:rPr>
          <w:iCs/>
          <w:i/>
        </w:rPr>
        <w:t xml:space="preserve">upapada</w:t>
      </w:r>
      <w:r>
        <w:t xml:space="preserve">, the suffix</w:t>
      </w:r>
      <w:r>
        <w:t xml:space="preserve"> </w:t>
      </w:r>
      <w:r>
        <w:rPr>
          <w:iCs/>
          <w:i/>
        </w:rPr>
        <w:t xml:space="preserve">kvin</w:t>
      </w:r>
      <w:r>
        <w:t xml:space="preserve"> </w:t>
      </w:r>
      <w:r>
        <w:t xml:space="preserve">comes after the root</w:t>
      </w:r>
      <w:r>
        <w:t xml:space="preserve"> </w:t>
      </w:r>
      <w:r>
        <w:rPr>
          <w:iCs/>
          <w:i/>
        </w:rPr>
        <w:t xml:space="preserve">spṛś</w:t>
      </w:r>
      <w:r>
        <w:t xml:space="preserve">; all its letters drop. By</w:t>
      </w:r>
      <w:r>
        <w:t xml:space="preserve"> </w:t>
      </w:r>
      <w:r>
        <w:t xml:space="preserve">“</w:t>
      </w:r>
      <w:r>
        <w:t xml:space="preserve">tatpuruṣe kṛti bahulam</w:t>
      </w:r>
      <w:r>
        <w:t xml:space="preserve">”</w:t>
      </w:r>
      <w:r>
        <w:t xml:space="preserve"> </w:t>
      </w:r>
      <w:r>
        <w:t xml:space="preserve">(Pā. sū. 6-3-14), when a</w:t>
      </w:r>
      <w:r>
        <w:t xml:space="preserve"> </w:t>
      </w:r>
      <w:r>
        <w:rPr>
          <w:iCs/>
          <w:i/>
        </w:rPr>
        <w:t xml:space="preserve">kṛdanta</w:t>
      </w:r>
      <w:r>
        <w:t xml:space="preserve"> </w:t>
      </w:r>
      <w:r>
        <w:t xml:space="preserve">final member follows, the locative in a</w:t>
      </w:r>
      <w:r>
        <w:t xml:space="preserve"> </w:t>
      </w:r>
      <w:r>
        <w:rPr>
          <w:iCs/>
          <w:i/>
        </w:rPr>
        <w:t xml:space="preserve">tatpuruṣa</w:t>
      </w:r>
      <w:r>
        <w:t xml:space="preserve"> </w:t>
      </w:r>
      <w:r>
        <w:t xml:space="preserve">compound is not dropped; so the</w:t>
      </w:r>
      <w:r>
        <w:t xml:space="preserve"> </w:t>
      </w:r>
      <w:r>
        <w:rPr>
          <w:iCs/>
          <w:i/>
        </w:rPr>
        <w:t xml:space="preserve">luk</w:t>
      </w:r>
      <w:r>
        <w:t xml:space="preserve"> </w:t>
      </w:r>
      <w:r>
        <w:t xml:space="preserve">due by</w:t>
      </w:r>
      <w:r>
        <w:t xml:space="preserve"> </w:t>
      </w:r>
      <w:r>
        <w:t xml:space="preserve">“</w:t>
      </w:r>
      <w:r>
        <w:t xml:space="preserve">supo dhātuprātipadikayoḥ</w:t>
      </w:r>
      <w:r>
        <w:t xml:space="preserve">”</w:t>
      </w:r>
      <w:r>
        <w:t xml:space="preserve"> </w:t>
      </w:r>
      <w:r>
        <w:t xml:space="preserve">does not come. After</w:t>
      </w:r>
      <w:r>
        <w:t xml:space="preserve"> </w:t>
      </w:r>
      <w:r>
        <w:rPr>
          <w:iCs/>
          <w:i/>
        </w:rPr>
        <w:t xml:space="preserve">hṛdispṛś</w:t>
      </w:r>
      <w:r>
        <w:t xml:space="preserve"> </w:t>
      </w:r>
      <w:r>
        <w:t xml:space="preserve">the suffix</w:t>
      </w:r>
      <w:r>
        <w:t xml:space="preserve"> </w:t>
      </w:r>
      <w:r>
        <w:rPr>
          <w:iCs/>
          <w:i/>
        </w:rPr>
        <w:t xml:space="preserve">su</w:t>
      </w:r>
      <w:r>
        <w:t xml:space="preserve">, dropped by</w:t>
      </w:r>
      <w:r>
        <w:t xml:space="preserve"> </w:t>
      </w:r>
      <w:r>
        <w:t xml:space="preserve">“</w:t>
      </w:r>
      <w:r>
        <w:t xml:space="preserve">halṅyābbhyo dīrghāt…</w:t>
      </w:r>
      <w:r>
        <w:t xml:space="preserve">”</w:t>
      </w:r>
      <w:r>
        <w:t xml:space="preserve"> </w:t>
      </w:r>
      <w:r>
        <w:t xml:space="preserve">(Pā. sū. 6-1-68). The guttural enjoined by</w:t>
      </w:r>
      <w:r>
        <w:t xml:space="preserve"> </w:t>
      </w:r>
      <w:r>
        <w:t xml:space="preserve">“</w:t>
      </w:r>
      <w:r>
        <w:t xml:space="preserve">kvinpratyayasya kuḥ</w:t>
      </w:r>
      <w:r>
        <w:t xml:space="preserve">”</w:t>
      </w:r>
      <w:r>
        <w:t xml:space="preserve"> </w:t>
      </w:r>
      <w:r>
        <w:t xml:space="preserve">(Pā. sū. 8-2-62) (in the</w:t>
      </w:r>
      <w:r>
        <w:t xml:space="preserve"> </w:t>
      </w:r>
      <w:r>
        <w:rPr>
          <w:iCs/>
          <w:i/>
        </w:rPr>
        <w:t xml:space="preserve">pada</w:t>
      </w:r>
      <w:r>
        <w:t xml:space="preserve">-final position a word after which</w:t>
      </w:r>
      <w:r>
        <w:t xml:space="preserve"> </w:t>
      </w:r>
      <w:r>
        <w:rPr>
          <w:iCs/>
          <w:i/>
        </w:rPr>
        <w:t xml:space="preserve">kvin</w:t>
      </w:r>
      <w:r>
        <w:t xml:space="preserve"> </w:t>
      </w:r>
      <w:r>
        <w:t xml:space="preserve">came takes a guttural as its final substitute) counts as not done when the</w:t>
      </w:r>
      <w:r>
        <w:t xml:space="preserve"> </w:t>
      </w:r>
      <w:r>
        <w:rPr>
          <w:iCs/>
          <w:i/>
        </w:rPr>
        <w:t xml:space="preserve">ṣ</w:t>
      </w:r>
      <w:r>
        <w:t xml:space="preserve"> </w:t>
      </w:r>
      <w:r>
        <w:t xml:space="preserve">for a final</w:t>
      </w:r>
      <w:r>
        <w:t xml:space="preserve"> </w:t>
      </w:r>
      <w:r>
        <w:rPr>
          <w:iCs/>
          <w:i/>
        </w:rPr>
        <w:t xml:space="preserve">ś</w:t>
      </w:r>
      <w:r>
        <w:t xml:space="preserve"> </w:t>
      </w:r>
      <w:r>
        <w:t xml:space="preserve">is made by</w:t>
      </w:r>
      <w:r>
        <w:t xml:space="preserve"> </w:t>
      </w:r>
      <w:r>
        <w:t xml:space="preserve">“</w:t>
      </w:r>
      <w:r>
        <w:t xml:space="preserve">vraśca-bhrasja-sṛja-mṛja-yaja-rāja-bhrāja-cchaśāṃ ṣaḥ</w:t>
      </w:r>
      <w:r>
        <w:t xml:space="preserve">”</w:t>
      </w:r>
      <w:r>
        <w:t xml:space="preserve"> </w:t>
      </w:r>
      <w:r>
        <w:t xml:space="preserve">(Pā. sū. 8-2-36). So first</w:t>
      </w:r>
      <w:r>
        <w:t xml:space="preserve"> </w:t>
      </w:r>
      <w:r>
        <w:rPr>
          <w:iCs/>
          <w:i/>
        </w:rPr>
        <w:t xml:space="preserve">ṣ</w:t>
      </w:r>
      <w:r>
        <w:t xml:space="preserve"> </w:t>
      </w:r>
      <w:r>
        <w:t xml:space="preserve">comes by this sūtra:</w:t>
      </w:r>
      <w:r>
        <w:t xml:space="preserve"> </w:t>
      </w:r>
      <w:r>
        <w:rPr>
          <w:iCs/>
          <w:i/>
        </w:rPr>
        <w:t xml:space="preserve">spṛṣ</w:t>
      </w:r>
      <w:r>
        <w:t xml:space="preserve">; then</w:t>
      </w:r>
      <w:r>
        <w:t xml:space="preserve"> </w:t>
      </w:r>
      <w:r>
        <w:rPr>
          <w:iCs/>
          <w:i/>
        </w:rPr>
        <w:t xml:space="preserve">jaś</w:t>
      </w:r>
      <w:r>
        <w:t xml:space="preserve">,</w:t>
      </w:r>
      <w:r>
        <w:t xml:space="preserve"> </w:t>
      </w:r>
      <w:r>
        <w:rPr>
          <w:iCs/>
          <w:i/>
        </w:rPr>
        <w:t xml:space="preserve">ḍ</w:t>
      </w:r>
      <w:r>
        <w:t xml:space="preserve"> </w:t>
      </w:r>
      <w:r>
        <w:t xml:space="preserve">for</w:t>
      </w:r>
      <w:r>
        <w:t xml:space="preserve"> </w:t>
      </w:r>
      <w:r>
        <w:rPr>
          <w:iCs/>
          <w:i/>
        </w:rPr>
        <w:t xml:space="preserve">ṣ</w:t>
      </w:r>
      <w:r>
        <w:t xml:space="preserve">, by</w:t>
      </w:r>
      <w:r>
        <w:t xml:space="preserve"> </w:t>
      </w:r>
      <w:r>
        <w:t xml:space="preserve">“</w:t>
      </w:r>
      <w:r>
        <w:t xml:space="preserve">jhalāṃ jaśo ’nte</w:t>
      </w:r>
      <w:r>
        <w:t xml:space="preserve">”</w:t>
      </w:r>
      <w:r>
        <w:t xml:space="preserve"> </w:t>
      </w:r>
      <w:r>
        <w:t xml:space="preserve">(Pā. sū. 8-2-39). Now by</w:t>
      </w:r>
      <w:r>
        <w:t xml:space="preserve"> </w:t>
      </w:r>
      <w:r>
        <w:rPr>
          <w:iCs/>
          <w:i/>
        </w:rPr>
        <w:t xml:space="preserve">kvinpratyayasya kuḥ</w:t>
      </w:r>
      <w:r>
        <w:t xml:space="preserve"> </w:t>
      </w:r>
      <w:r>
        <w:t xml:space="preserve">the guttural: for</w:t>
      </w:r>
      <w:r>
        <w:t xml:space="preserve"> </w:t>
      </w:r>
      <w:r>
        <w:rPr>
          <w:iCs/>
          <w:i/>
        </w:rPr>
        <w:t xml:space="preserve">ḍ</w:t>
      </w:r>
      <w:r>
        <w:t xml:space="preserve">, the third of the</w:t>
      </w:r>
      <w:r>
        <w:t xml:space="preserve"> </w:t>
      </w:r>
      <w:r>
        <w:rPr>
          <w:iCs/>
          <w:i/>
        </w:rPr>
        <w:t xml:space="preserve">ṭ</w:t>
      </w:r>
      <w:r>
        <w:t xml:space="preserve">-class,</w:t>
      </w:r>
      <w:r>
        <w:t xml:space="preserve"> </w:t>
      </w:r>
      <w:r>
        <w:rPr>
          <w:iCs/>
          <w:i/>
        </w:rPr>
        <w:t xml:space="preserve">g</w:t>
      </w:r>
      <w:r>
        <w:t xml:space="preserve">, the third of the</w:t>
      </w:r>
      <w:r>
        <w:t xml:space="preserve"> </w:t>
      </w:r>
      <w:r>
        <w:rPr>
          <w:iCs/>
          <w:i/>
        </w:rPr>
        <w:t xml:space="preserve">k</w:t>
      </w:r>
      <w:r>
        <w:t xml:space="preserve">-class;</w:t>
      </w:r>
      <w:r>
        <w:t xml:space="preserve"> </w:t>
      </w:r>
      <w:r>
        <w:rPr>
          <w:iCs/>
          <w:i/>
        </w:rPr>
        <w:t xml:space="preserve">ghṛtaspṛg</w:t>
      </w:r>
      <w:r>
        <w:t xml:space="preserve">; by</w:t>
      </w:r>
      <w:r>
        <w:t xml:space="preserve"> </w:t>
      </w:r>
      <w:r>
        <w:t xml:space="preserve">“</w:t>
      </w:r>
      <w:r>
        <w:t xml:space="preserve">vā śari</w:t>
      </w:r>
      <w:r>
        <w:t xml:space="preserve">”</w:t>
      </w:r>
      <w:r>
        <w:t xml:space="preserve"> </w:t>
      </w:r>
      <w:r>
        <w:t xml:space="preserve">(Pā. sū. 8-3-36 [as printed])</w:t>
      </w:r>
      <w:r>
        <w:t xml:space="preserve"> </w:t>
      </w:r>
      <w:r>
        <w:rPr>
          <w:iCs/>
          <w:i/>
        </w:rPr>
        <w:t xml:space="preserve">car</w:t>
      </w:r>
      <w:r>
        <w:t xml:space="preserve"> </w:t>
      </w:r>
      <w:r>
        <w:t xml:space="preserve">optionally:</w:t>
      </w:r>
      <w:r>
        <w:t xml:space="preserve"> </w:t>
      </w:r>
      <w:r>
        <w:rPr>
          <w:iCs/>
          <w:i/>
        </w:rPr>
        <w:t xml:space="preserve">ghṛtaspṛk</w:t>
      </w:r>
      <w:r>
        <w:t xml:space="preserve"> </w:t>
      </w:r>
      <w:r>
        <w:t xml:space="preserve">[as printed: the word worked here is</w:t>
      </w:r>
      <w:r>
        <w:t xml:space="preserve"> </w:t>
      </w:r>
      <w:r>
        <w:rPr>
          <w:iCs/>
          <w:i/>
        </w:rPr>
        <w:t xml:space="preserve">ghṛtaspṛk</w:t>
      </w:r>
      <w:r>
        <w:t xml:space="preserve">, not</w:t>
      </w:r>
      <w:r>
        <w:t xml:space="preserve"> </w:t>
      </w:r>
      <w:r>
        <w:rPr>
          <w:iCs/>
          <w:i/>
        </w:rPr>
        <w:t xml:space="preserve">hṛdispṛk</w:t>
      </w:r>
      <w:r>
        <w:t xml:space="preserve">].</w:t>
      </w:r>
      <w:r>
        <w:t xml:space="preserve"> </w:t>
      </w:r>
      <w:r>
        <w:rPr>
          <w:iCs/>
          <w:i/>
        </w:rPr>
        <w:t xml:space="preserve">Spṛk</w:t>
      </w:r>
      <w:r>
        <w:t xml:space="preserve"> </w:t>
      </w:r>
      <w:r>
        <w:t xml:space="preserve">is final udātta by the root accent. After compounding too, by</w:t>
      </w:r>
      <w:r>
        <w:t xml:space="preserve"> </w:t>
      </w:r>
      <w:r>
        <w:t xml:space="preserve">“</w:t>
      </w:r>
      <w:r>
        <w:t xml:space="preserve">gatikārakopapadāt kṛt</w:t>
      </w:r>
      <w:r>
        <w:t xml:space="preserve">”</w:t>
      </w:r>
      <w:r>
        <w:t xml:space="preserve"> </w:t>
      </w:r>
      <w:r>
        <w:t xml:space="preserve">(Pā. sū. 6-2-139), the accent of the</w:t>
      </w:r>
      <w:r>
        <w:t xml:space="preserve"> </w:t>
      </w:r>
      <w:r>
        <w:rPr>
          <w:iCs/>
          <w:i/>
        </w:rPr>
        <w:t xml:space="preserve">kṛt</w:t>
      </w:r>
      <w:r>
        <w:t xml:space="preserve"> </w:t>
      </w:r>
      <w:r>
        <w:t xml:space="preserve">final member comes; the root accent stays.</w:t>
      </w:r>
    </w:p>
    <w:p>
      <w:pPr>
        <w:pStyle w:val="BodyText"/>
      </w:pPr>
      <w:r>
        <w:rPr>
          <w:bCs/>
          <w:b/>
        </w:rPr>
        <w:t xml:space="preserve">शंतमः (</w:t>
      </w:r>
      <w:r>
        <w:rPr>
          <w:iCs/>
          <w:i/>
          <w:bCs/>
          <w:b/>
        </w:rPr>
        <w:t xml:space="preserve">śaṃtamaḥ</w:t>
      </w:r>
      <w:r>
        <w:rPr>
          <w:bCs/>
          <w:b/>
        </w:rPr>
        <w:t xml:space="preserve">)</w:t>
      </w:r>
      <w:r>
        <w:t xml:space="preserve">: the word</w:t>
      </w:r>
      <w:r>
        <w:t xml:space="preserve"> </w:t>
      </w:r>
      <w:r>
        <w:rPr>
          <w:iCs/>
          <w:i/>
        </w:rPr>
        <w:t xml:space="preserve">śam</w:t>
      </w:r>
      <w:r>
        <w:t xml:space="preserve"> </w:t>
      </w:r>
      <w:r>
        <w:t xml:space="preserve">conveys</w:t>
      </w:r>
      <w:r>
        <w:t xml:space="preserve"> </w:t>
      </w:r>
      <w:r>
        <w:t xml:space="preserve">“</w:t>
      </w:r>
      <w:r>
        <w:t xml:space="preserve">a thing that gives happiness</w:t>
      </w:r>
      <w:r>
        <w:t xml:space="preserve">”</w:t>
      </w:r>
      <w:r>
        <w:t xml:space="preserve">.</w:t>
      </w:r>
      <w:r>
        <w:t xml:space="preserve"> </w:t>
      </w:r>
      <w:r>
        <w:rPr>
          <w:iCs/>
          <w:i/>
        </w:rPr>
        <w:t xml:space="preserve">Atiśayitaḥ śam</w:t>
      </w:r>
      <w:r>
        <w:t xml:space="preserve"> </w:t>
      </w:r>
      <w:r>
        <w:t xml:space="preserve">being meant,</w:t>
      </w:r>
      <w:r>
        <w:t xml:space="preserve"> </w:t>
      </w:r>
      <w:r>
        <w:rPr>
          <w:iCs/>
          <w:i/>
        </w:rPr>
        <w:t xml:space="preserve">tamap</w:t>
      </w:r>
      <w:r>
        <w:t xml:space="preserve"> </w:t>
      </w:r>
      <w:r>
        <w:t xml:space="preserve">by</w:t>
      </w:r>
      <w:r>
        <w:t xml:space="preserve"> </w:t>
      </w:r>
      <w:r>
        <w:t xml:space="preserve">“</w:t>
      </w:r>
      <w:r>
        <w:t xml:space="preserve">atiśāyane tamabiṣṭhanau</w:t>
      </w:r>
      <w:r>
        <w:t xml:space="preserve">”</w:t>
      </w:r>
      <w:r>
        <w:t xml:space="preserve"> </w:t>
      </w:r>
      <w:r>
        <w:t xml:space="preserve">(Pā. sū. 5-3-55):</w:t>
      </w:r>
      <w:r>
        <w:t xml:space="preserve"> </w:t>
      </w:r>
      <w:r>
        <w:rPr>
          <w:iCs/>
          <w:i/>
        </w:rPr>
        <w:t xml:space="preserve">śam</w:t>
      </w:r>
      <w:r>
        <w:t xml:space="preserve"> </w:t>
      </w:r>
      <w:r>
        <w:t xml:space="preserve">+</w:t>
      </w:r>
      <w:r>
        <w:t xml:space="preserve"> </w:t>
      </w:r>
      <w:r>
        <w:rPr>
          <w:iCs/>
          <w:i/>
        </w:rPr>
        <w:t xml:space="preserve">tama</w:t>
      </w:r>
      <w:r>
        <w:t xml:space="preserve">. Here the excess of happiness is of the form happiness; through the quality it comes to rest in the excess of the thing marked by the quality happiness. So, because of the bar</w:t>
      </w:r>
      <w:r>
        <w:t xml:space="preserve"> </w:t>
      </w:r>
      <w:r>
        <w:t xml:space="preserve">“</w:t>
      </w:r>
      <w:r>
        <w:rPr>
          <w:iCs/>
          <w:i/>
        </w:rPr>
        <w:t xml:space="preserve">adravyaprakarṣe</w:t>
      </w:r>
      <w:r>
        <w:t xml:space="preserve">”</w:t>
      </w:r>
      <w:r>
        <w:t xml:space="preserve"> </w:t>
      </w:r>
      <w:r>
        <w:t xml:space="preserve">in</w:t>
      </w:r>
      <w:r>
        <w:t xml:space="preserve"> </w:t>
      </w:r>
      <w:r>
        <w:t xml:space="preserve">“</w:t>
      </w:r>
      <w:r>
        <w:t xml:space="preserve">kim-et-tiṅ-avyaya-ghād ām v adravyaprakarṣe</w:t>
      </w:r>
      <w:r>
        <w:t xml:space="preserve">”</w:t>
      </w:r>
      <w:r>
        <w:t xml:space="preserve"> </w:t>
      </w:r>
      <w:r>
        <w:t xml:space="preserve">(Pā. sū. 5-4-11) (after a word ending in a suffix called</w:t>
      </w:r>
      <w:r>
        <w:t xml:space="preserve"> </w:t>
      </w:r>
      <w:r>
        <w:rPr>
          <w:iCs/>
          <w:i/>
        </w:rPr>
        <w:t xml:space="preserve">gha</w:t>
      </w:r>
      <w:r>
        <w:t xml:space="preserve"> </w:t>
      </w:r>
      <w:r>
        <w:t xml:space="preserve">that follows</w:t>
      </w:r>
      <w:r>
        <w:t xml:space="preserve"> </w:t>
      </w:r>
      <w:r>
        <w:rPr>
          <w:iCs/>
          <w:i/>
        </w:rPr>
        <w:t xml:space="preserve">kim</w:t>
      </w:r>
      <w:r>
        <w:t xml:space="preserve">, an</w:t>
      </w:r>
      <w:r>
        <w:t xml:space="preserve"> </w:t>
      </w:r>
      <w:r>
        <w:rPr>
          <w:iCs/>
          <w:i/>
        </w:rPr>
        <w:t xml:space="preserve">e</w:t>
      </w:r>
      <w:r>
        <w:t xml:space="preserve">-final word, a</w:t>
      </w:r>
      <w:r>
        <w:t xml:space="preserve"> </w:t>
      </w:r>
      <w:r>
        <w:rPr>
          <w:iCs/>
          <w:i/>
        </w:rPr>
        <w:t xml:space="preserve">tiṅanta</w:t>
      </w:r>
      <w:r>
        <w:t xml:space="preserve"> </w:t>
      </w:r>
      <w:r>
        <w:t xml:space="preserve">or an</w:t>
      </w:r>
      <w:r>
        <w:t xml:space="preserve"> </w:t>
      </w:r>
      <w:r>
        <w:rPr>
          <w:iCs/>
          <w:i/>
        </w:rPr>
        <w:t xml:space="preserve">avyaya</w:t>
      </w:r>
      <w:r>
        <w:t xml:space="preserve">,</w:t>
      </w:r>
      <w:r>
        <w:t xml:space="preserve"> </w:t>
      </w:r>
      <w:r>
        <w:rPr>
          <w:iCs/>
          <w:i/>
        </w:rPr>
        <w:t xml:space="preserve">āmu</w:t>
      </w:r>
      <w:r>
        <w:t xml:space="preserve"> </w:t>
      </w:r>
      <w:r>
        <w:t xml:space="preserve">comes, but not when an excess of a thing is shown),</w:t>
      </w:r>
      <w:r>
        <w:t xml:space="preserve"> </w:t>
      </w:r>
      <w:r>
        <w:rPr>
          <w:iCs/>
          <w:i/>
        </w:rPr>
        <w:t xml:space="preserve">āmu</w:t>
      </w:r>
      <w:r>
        <w:t xml:space="preserve"> </w:t>
      </w:r>
      <w:r>
        <w:t xml:space="preserve">does not come here. A thing has no excess of its own; so the excess of the thing must be explained by putting first the excess of quality and so on.</w:t>
      </w:r>
    </w:p>
    <w:bookmarkEnd w:id="760"/>
    <w:bookmarkStart w:id="761" w:name="page-698-upper-rik-7-grammar-end"/>
    <w:p>
      <w:pPr>
        <w:pStyle w:val="Heading3"/>
      </w:pPr>
      <w:r>
        <w:t xml:space="preserve">Page 698 (upper) — Rik 7: grammar (end)</w:t>
      </w:r>
    </w:p>
    <w:p>
      <w:pPr>
        <w:pStyle w:val="FirstParagraph"/>
      </w:pPr>
      <w:r>
        <w:t xml:space="preserve">This point Kaiyaṭa states in the</w:t>
      </w:r>
      <w:r>
        <w:t xml:space="preserve"> </w:t>
      </w:r>
      <w:r>
        <w:rPr>
          <w:iCs/>
          <w:i/>
        </w:rPr>
        <w:t xml:space="preserve">tamap</w:t>
      </w:r>
      <w:r>
        <w:t xml:space="preserve"> </w:t>
      </w:r>
      <w:r>
        <w:t xml:space="preserve">sūtra:</w:t>
      </w:r>
    </w:p>
    <w:p>
      <w:pPr>
        <w:pStyle w:val="BlockText"/>
      </w:pPr>
      <w:r>
        <w:t xml:space="preserve">अद्रव्यप्रकर्षे इति निषेध उपचरितगुणक्रियागतप्रकर्षद्रव्यविषयो द्रष्टव्यः</w:t>
      </w:r>
    </w:p>
    <w:p>
      <w:pPr>
        <w:pStyle w:val="BlockText"/>
      </w:pPr>
      <w:r>
        <w:rPr>
          <w:iCs/>
          <w:i/>
        </w:rPr>
        <w:t xml:space="preserve">adravyaprakarṣe iti niṣedha upacaritaguṇakriyāgataprakarṣadravyaviṣayo draṣṭavyaḥ</w:t>
      </w:r>
    </w:p>
    <w:p>
      <w:pPr>
        <w:pStyle w:val="FirstParagraph"/>
      </w:pPr>
      <w:r>
        <w:t xml:space="preserve">(</w:t>
      </w:r>
      <w:r>
        <w:t xml:space="preserve">“</w:t>
      </w:r>
      <w:r>
        <w:t xml:space="preserve">The bar</w:t>
      </w:r>
      <w:r>
        <w:t xml:space="preserve"> </w:t>
      </w:r>
      <w:r>
        <w:t xml:space="preserve">‘</w:t>
      </w:r>
      <w:r>
        <w:rPr>
          <w:iCs/>
          <w:i/>
        </w:rPr>
        <w:t xml:space="preserve">adravyaprakarṣe</w:t>
      </w:r>
      <w:r>
        <w:t xml:space="preserve">’</w:t>
      </w:r>
      <w:r>
        <w:t xml:space="preserve"> </w:t>
      </w:r>
      <w:r>
        <w:t xml:space="preserve">is to be seen as concerning a thing whose excess lies in a quality or action figuratively ascribed to it</w:t>
      </w:r>
      <w:r>
        <w:t xml:space="preserve">”</w:t>
      </w:r>
      <w:r>
        <w:t xml:space="preserve">: my rendering, mine and tentative.) In the present case, since an excess of the thing that has happiness is shown through the excess of the quality happiness, the bar</w:t>
      </w:r>
      <w:r>
        <w:t xml:space="preserve"> </w:t>
      </w:r>
      <w:r>
        <w:rPr>
          <w:iCs/>
          <w:i/>
        </w:rPr>
        <w:t xml:space="preserve">adravyaprakarṣe</w:t>
      </w:r>
      <w:r>
        <w:t xml:space="preserve"> </w:t>
      </w:r>
      <w:r>
        <w:t xml:space="preserve">applies, and the suffix</w:t>
      </w:r>
      <w:r>
        <w:t xml:space="preserve"> </w:t>
      </w:r>
      <w:r>
        <w:rPr>
          <w:iCs/>
          <w:i/>
        </w:rPr>
        <w:t xml:space="preserve">ām</w:t>
      </w:r>
      <w:r>
        <w:t xml:space="preserve"> </w:t>
      </w:r>
      <w:r>
        <w:t xml:space="preserve">does not come. By</w:t>
      </w:r>
      <w:r>
        <w:t xml:space="preserve"> </w:t>
      </w:r>
      <w:r>
        <w:t xml:space="preserve">“</w:t>
      </w:r>
      <w:r>
        <w:t xml:space="preserve">taraptamapau ghaḥ</w:t>
      </w:r>
      <w:r>
        <w:t xml:space="preserve">”</w:t>
      </w:r>
      <w:r>
        <w:t xml:space="preserve"> </w:t>
      </w:r>
      <w:r>
        <w:t xml:space="preserve">(Pā. sū. 1-1-22) the suffixes</w:t>
      </w:r>
      <w:r>
        <w:t xml:space="preserve"> </w:t>
      </w:r>
      <w:r>
        <w:rPr>
          <w:iCs/>
          <w:i/>
        </w:rPr>
        <w:t xml:space="preserve">tarap</w:t>
      </w:r>
      <w:r>
        <w:t xml:space="preserve"> </w:t>
      </w:r>
      <w:r>
        <w:t xml:space="preserve">and</w:t>
      </w:r>
      <w:r>
        <w:t xml:space="preserve"> </w:t>
      </w:r>
      <w:r>
        <w:rPr>
          <w:iCs/>
          <w:i/>
        </w:rPr>
        <w:t xml:space="preserve">tamap</w:t>
      </w:r>
      <w:r>
        <w:t xml:space="preserve"> </w:t>
      </w:r>
      <w:r>
        <w:t xml:space="preserve">are called</w:t>
      </w:r>
      <w:r>
        <w:t xml:space="preserve"> </w:t>
      </w:r>
      <w:r>
        <w:rPr>
          <w:iCs/>
          <w:i/>
        </w:rPr>
        <w:t xml:space="preserve">gha</w:t>
      </w:r>
      <w:r>
        <w:t xml:space="preserve">: this is how the name</w:t>
      </w:r>
      <w:r>
        <w:t xml:space="preserve"> </w:t>
      </w:r>
      <w:r>
        <w:rPr>
          <w:iCs/>
          <w:i/>
        </w:rPr>
        <w:t xml:space="preserve">gha</w:t>
      </w:r>
      <w:r>
        <w:t xml:space="preserve"> </w:t>
      </w:r>
      <w:r>
        <w:t xml:space="preserve">is stated.</w:t>
      </w:r>
    </w:p>
    <w:p>
      <w:pPr>
        <w:pStyle w:val="BodyText"/>
      </w:pPr>
      <w:r>
        <w:rPr>
          <w:bCs/>
          <w:b/>
        </w:rPr>
        <w:t xml:space="preserve">अथा सोमम् (</w:t>
      </w:r>
      <w:r>
        <w:rPr>
          <w:iCs/>
          <w:i/>
          <w:bCs/>
          <w:b/>
        </w:rPr>
        <w:t xml:space="preserve">athā somam</w:t>
      </w:r>
      <w:r>
        <w:rPr>
          <w:bCs/>
          <w:b/>
        </w:rPr>
        <w:t xml:space="preserve">)</w:t>
      </w:r>
      <w:r>
        <w:t xml:space="preserve">: lengthened in the Saṃhitā by</w:t>
      </w:r>
      <w:r>
        <w:t xml:space="preserve"> </w:t>
      </w:r>
      <w:r>
        <w:t xml:space="preserve">“</w:t>
      </w:r>
      <w:r>
        <w:t xml:space="preserve">nipātasya ca</w:t>
      </w:r>
      <w:r>
        <w:t xml:space="preserve">”</w:t>
      </w:r>
      <w:r>
        <w:t xml:space="preserve"> </w:t>
      </w:r>
      <w:r>
        <w:t xml:space="preserve">(Pā. sū. 6-3-136).</w:t>
      </w:r>
    </w:p>
    <w:p>
      <w:pPr>
        <w:pStyle w:val="BodyText"/>
      </w:pPr>
      <w:r>
        <w:rPr>
          <w:bCs/>
          <w:b/>
        </w:rPr>
        <w:t xml:space="preserve">॥७॥</w:t>
      </w:r>
    </w:p>
    <w:p>
      <w:r>
        <w:pict>
          <v:rect style="width:0;height:1.5pt" o:hralign="center" o:hrstd="t" o:hr="t"/>
        </w:pict>
      </w:r>
    </w:p>
    <w:bookmarkEnd w:id="761"/>
    <w:bookmarkStart w:id="762" w:name="page-698-lower-sūkta-16-rik-8"/>
    <w:p>
      <w:pPr>
        <w:pStyle w:val="Heading3"/>
      </w:pPr>
      <w:r>
        <w:t xml:space="preserve">Page 698 (lower) — Sūkta 16, Rik 8</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विश्व॒मित्सव॑नं सु॒तमिन्द्रो॒ मदा॑य गच्छति ।</w:t>
      </w:r>
      <w:r>
        <w:t xml:space="preserve"> </w:t>
      </w:r>
      <w:r>
        <w:t xml:space="preserve">वृ॒त्र॒हा सोम॑पीतये ॥८॥</w:t>
      </w:r>
    </w:p>
    <w:p>
      <w:pPr>
        <w:pStyle w:val="BlockText"/>
      </w:pPr>
      <w:r>
        <w:rPr>
          <w:iCs/>
          <w:i/>
        </w:rPr>
        <w:t xml:space="preserve">viśvam ít sávanaṃ sutám indro mádāya gacchati |</w:t>
      </w:r>
      <w:r>
        <w:t xml:space="preserve"> </w:t>
      </w:r>
      <w:r>
        <w:rPr>
          <w:iCs/>
          <w:i/>
        </w:rPr>
        <w:t xml:space="preserve">vṛtrahā́ sómapītaye ||8||</w:t>
      </w:r>
    </w:p>
    <w:p>
      <w:pPr>
        <w:pStyle w:val="FirstParagraph"/>
      </w:pPr>
      <w:r>
        <w:rPr>
          <w:bCs/>
          <w:b/>
        </w:rPr>
        <w:t xml:space="preserve">॥ Pada-pāṭhaḥ ॥</w:t>
      </w:r>
    </w:p>
    <w:p>
      <w:pPr>
        <w:pStyle w:val="BlockText"/>
      </w:pPr>
      <w:r>
        <w:t xml:space="preserve">विश्वम् । इत् । सवनम् । सुतम् । इन्द्रः । मदाय । गच्छति ॥</w:t>
      </w:r>
      <w:r>
        <w:t xml:space="preserve"> </w:t>
      </w:r>
      <w:r>
        <w:t xml:space="preserve">वृत्रऽहा । सोमऽपीतये ॥८॥</w:t>
      </w:r>
    </w:p>
    <w:p>
      <w:pPr>
        <w:pStyle w:val="BlockText"/>
      </w:pPr>
      <w:r>
        <w:rPr>
          <w:iCs/>
          <w:i/>
        </w:rPr>
        <w:t xml:space="preserve">viśvam | it | savanam | sutam | indraḥ | madāya | gacchati ||</w:t>
      </w:r>
      <w:r>
        <w:t xml:space="preserve"> </w:t>
      </w:r>
      <w:r>
        <w:rPr>
          <w:iCs/>
          <w:i/>
        </w:rPr>
        <w:t xml:space="preserve">vṛtra ’hā | soma ’pītaye ||8||</w:t>
      </w:r>
    </w:p>
    <w:p>
      <w:pPr>
        <w:pStyle w:val="FirstParagraph"/>
      </w:pPr>
      <w:r>
        <w:rPr>
          <w:bCs/>
          <w:b/>
        </w:rPr>
        <w:t xml:space="preserve">॥ Sāyaṇa-bhāṣyam ॥</w:t>
      </w:r>
    </w:p>
    <w:p>
      <w:pPr>
        <w:pStyle w:val="BlockText"/>
      </w:pPr>
      <w:r>
        <w:t xml:space="preserve">वृत्रहा शत्रुघातक इन्द्रः सोमपीतये सोमपानाय मदाय तत्पानजन्यहर्षाय च विश्वमित्सर्वमपि सुतमभिषुतसोमयुक्तं सवनं प्रातःसवनादिरूपं कर्म गच्छति ॥ विश्वम् । अशिप्रुषीत्यादिना क्वन् । नित्त्वादाद्युदात्तः । सवनं सुतम् । पूर्ववत् । मदाय । मदोऽनुपसर्गे । पा. ३-३-६७ । इत्यप्प्रत्ययः । पित्त्वाद्धातुस्वरः । गच्छति । इषुगमियमां छः । वृत्रहा । वृत्रं हतवान् । ब्रह्मभ्रूणवृत्रेषु क्विप् । पा. ३-२-८७ । इन्हन्नित्यादिना निवृत्तं दीर्घत्वं सौ च । पा. ६-४-१२, १३ । इति प्रतिप्रसवाद्भवति । कृदुत्तरपदप्रकृतिस्वरत्वम् । सोमपीतये । व्यधिकरणबहुव्रीहिरित्युक्तम् । तत्पुरुषे वा दासीभारादित्वात् । पा. ६-२-४२ । पूर्वपदप्रकृतिस्वरत्वम् ॥</w:t>
      </w:r>
    </w:p>
    <w:p>
      <w:pPr>
        <w:pStyle w:val="BlockText"/>
      </w:pPr>
      <w:r>
        <w:rPr>
          <w:iCs/>
          <w:i/>
        </w:rPr>
        <w:t xml:space="preserve">vṛtrahā śatrughātaka indraḥ somapītaye somapānāya madāya tatpānajanyaharṣāya ca viśvamitsarvamapi sutamabhiṣutasomayuktaṃ savanaṃ prātaḥsavanādirūpaṃ karma gacchati || viśvam | aśipruṣītyādinā kvan | nittvādādyudāttaḥ | savanaṃ sutam | pūrvavat | madāya | mado ’nupasarge | pā. 3-3-67 | ityappratyayaḥ | pittvāddhātusvaraḥ | gacchati | iṣugamiyamāṃ chaḥ | vṛtrahā | vṛtraṃ hatavān | brahmabhrūṇavṛtreṣu kvip | pā. 3-2-87 | inhannityādinā nivṛttaṃ dīrghatvaṃ sau ca | pā. 6-4-12, 13 | iti pratiprasavādbhavati | kṛduttarapadaprakṛtisvaratvam | somapītaye | vyadhikaraṇabahuvrīhirityuktam | tatpuruṣe vā dāsībhārāditvāt | pā. 6-2-42 | pūrvapadaprakṛtisvaratvam ||</w:t>
      </w:r>
    </w:p>
    <w:p>
      <w:pPr>
        <w:pStyle w:val="FirstParagraph"/>
      </w:pPr>
      <w:r>
        <w:rPr>
          <w:bCs/>
          <w:b/>
        </w:rPr>
        <w:t xml:space="preserve">Translation:</w:t>
      </w:r>
      <w:r>
        <w:t xml:space="preserve"> </w:t>
      </w:r>
      <w:r>
        <w:t xml:space="preserve">“</w:t>
      </w:r>
      <w:r>
        <w:t xml:space="preserve">Indra,</w:t>
      </w:r>
      <w:r>
        <w:t xml:space="preserve"> </w:t>
      </w:r>
      <w:r>
        <w:rPr>
          <w:iCs/>
          <w:i/>
        </w:rPr>
        <w:t xml:space="preserve">vṛtrahā</w:t>
      </w:r>
      <w:r>
        <w:t xml:space="preserve">, the slayer of enemies, goes for</w:t>
      </w:r>
      <w:r>
        <w:t xml:space="preserve"> </w:t>
      </w:r>
      <w:r>
        <w:rPr>
          <w:iCs/>
          <w:i/>
        </w:rPr>
        <w:t xml:space="preserve">somapīti</w:t>
      </w:r>
      <w:r>
        <w:t xml:space="preserve">, the drinking of soma, and for</w:t>
      </w:r>
      <w:r>
        <w:t xml:space="preserve"> </w:t>
      </w:r>
      <w:r>
        <w:rPr>
          <w:iCs/>
          <w:i/>
        </w:rPr>
        <w:t xml:space="preserve">mada</w:t>
      </w:r>
      <w:r>
        <w:t xml:space="preserve">, the joy born of drinking it, to</w:t>
      </w:r>
      <w:r>
        <w:t xml:space="preserve"> </w:t>
      </w:r>
      <w:r>
        <w:rPr>
          <w:iCs/>
          <w:i/>
        </w:rPr>
        <w:t xml:space="preserve">viśvam it</w:t>
      </w:r>
      <w:r>
        <w:t xml:space="preserve">, every,</w:t>
      </w:r>
      <w:r>
        <w:t xml:space="preserve"> </w:t>
      </w:r>
      <w:r>
        <w:rPr>
          <w:iCs/>
          <w:i/>
        </w:rPr>
        <w:t xml:space="preserve">savana</w:t>
      </w:r>
      <w:r>
        <w:t xml:space="preserve">, rite in the form of the morning pressing and so on,</w:t>
      </w:r>
      <w:r>
        <w:t xml:space="preserve"> </w:t>
      </w:r>
      <w:r>
        <w:rPr>
          <w:iCs/>
          <w:i/>
        </w:rPr>
        <w:t xml:space="preserve">sutam</w:t>
      </w:r>
      <w:r>
        <w:t xml:space="preserve">, joined with pressed soma.</w:t>
      </w:r>
      <w:r>
        <w:t xml:space="preserve">”</w:t>
      </w:r>
      <w:r>
        <w:t xml:space="preserve"> </w:t>
      </w:r>
      <w:r>
        <w:t xml:space="preserve">(Grammatical tail:</w:t>
      </w:r>
      <w:r>
        <w:t xml:space="preserve"> </w:t>
      </w:r>
      <w:r>
        <w:rPr>
          <w:iCs/>
          <w:i/>
        </w:rPr>
        <w:t xml:space="preserve">viśvam</w:t>
      </w:r>
      <w:r>
        <w:t xml:space="preserve">,</w:t>
      </w:r>
      <w:r>
        <w:t xml:space="preserve"> </w:t>
      </w:r>
      <w:r>
        <w:rPr>
          <w:iCs/>
          <w:i/>
        </w:rPr>
        <w:t xml:space="preserve">kvan</w:t>
      </w:r>
      <w:r>
        <w:t xml:space="preserve"> </w:t>
      </w:r>
      <w:r>
        <w:t xml:space="preserve">by</w:t>
      </w:r>
      <w:r>
        <w:t xml:space="preserve"> </w:t>
      </w:r>
      <w:r>
        <w:rPr>
          <w:iCs/>
          <w:i/>
        </w:rPr>
        <w:t xml:space="preserve">aśipruṣi…</w:t>
      </w:r>
      <w:r>
        <w:t xml:space="preserve">, initial udātta as</w:t>
      </w:r>
      <w:r>
        <w:t xml:space="preserve"> </w:t>
      </w:r>
      <w:r>
        <w:rPr>
          <w:iCs/>
          <w:i/>
        </w:rPr>
        <w:t xml:space="preserve">nit</w:t>
      </w:r>
      <w:r>
        <w:t xml:space="preserve">;</w:t>
      </w:r>
      <w:r>
        <w:t xml:space="preserve"> </w:t>
      </w:r>
      <w:r>
        <w:rPr>
          <w:iCs/>
          <w:i/>
        </w:rPr>
        <w:t xml:space="preserve">savanaṃ sutam</w:t>
      </w:r>
      <w:r>
        <w:t xml:space="preserve">, as before;</w:t>
      </w:r>
      <w:r>
        <w:t xml:space="preserve"> </w:t>
      </w:r>
      <w:r>
        <w:rPr>
          <w:iCs/>
          <w:i/>
        </w:rPr>
        <w:t xml:space="preserve">madāya</w:t>
      </w:r>
      <w:r>
        <w:t xml:space="preserve">, the suffix</w:t>
      </w:r>
      <w:r>
        <w:t xml:space="preserve"> </w:t>
      </w:r>
      <w:r>
        <w:rPr>
          <w:iCs/>
          <w:i/>
        </w:rPr>
        <w:t xml:space="preserve">ap</w:t>
      </w:r>
      <w:r>
        <w:t xml:space="preserve"> </w:t>
      </w:r>
      <w:r>
        <w:t xml:space="preserve">by</w:t>
      </w:r>
      <w:r>
        <w:t xml:space="preserve"> </w:t>
      </w:r>
      <w:r>
        <w:rPr>
          <w:iCs/>
          <w:i/>
        </w:rPr>
        <w:t xml:space="preserve">mado ’nupasarge</w:t>
      </w:r>
      <w:r>
        <w:t xml:space="preserve"> </w:t>
      </w:r>
      <w:r>
        <w:t xml:space="preserve">(Pā. 3-3-67), the root accent since</w:t>
      </w:r>
      <w:r>
        <w:t xml:space="preserve"> </w:t>
      </w:r>
      <w:r>
        <w:rPr>
          <w:iCs/>
          <w:i/>
        </w:rPr>
        <w:t xml:space="preserve">ap</w:t>
      </w:r>
      <w:r>
        <w:t xml:space="preserve"> </w:t>
      </w:r>
      <w:r>
        <w:t xml:space="preserve">is</w:t>
      </w:r>
      <w:r>
        <w:t xml:space="preserve"> </w:t>
      </w:r>
      <w:r>
        <w:rPr>
          <w:iCs/>
          <w:i/>
        </w:rPr>
        <w:t xml:space="preserve">pit</w:t>
      </w:r>
      <w:r>
        <w:t xml:space="preserve">;</w:t>
      </w:r>
      <w:r>
        <w:t xml:space="preserve"> </w:t>
      </w:r>
      <w:r>
        <w:rPr>
          <w:iCs/>
          <w:i/>
        </w:rPr>
        <w:t xml:space="preserve">gacchati</w:t>
      </w:r>
      <w:r>
        <w:t xml:space="preserve">,</w:t>
      </w:r>
      <w:r>
        <w:t xml:space="preserve"> </w:t>
      </w:r>
      <w:r>
        <w:rPr>
          <w:iCs/>
          <w:i/>
        </w:rPr>
        <w:t xml:space="preserve">ch</w:t>
      </w:r>
      <w:r>
        <w:t xml:space="preserve"> </w:t>
      </w:r>
      <w:r>
        <w:t xml:space="preserve">by</w:t>
      </w:r>
      <w:r>
        <w:t xml:space="preserve"> </w:t>
      </w:r>
      <w:r>
        <w:rPr>
          <w:iCs/>
          <w:i/>
        </w:rPr>
        <w:t xml:space="preserve">iṣugamiyamāṃ chaḥ</w:t>
      </w:r>
      <w:r>
        <w:t xml:space="preserve">;</w:t>
      </w:r>
      <w:r>
        <w:t xml:space="preserve"> </w:t>
      </w:r>
      <w:r>
        <w:rPr>
          <w:iCs/>
          <w:i/>
        </w:rPr>
        <w:t xml:space="preserve">vṛtrahā</w:t>
      </w:r>
      <w:r>
        <w:t xml:space="preserve">,</w:t>
      </w:r>
      <w:r>
        <w:t xml:space="preserve"> </w:t>
      </w:r>
      <w:r>
        <w:t xml:space="preserve">“</w:t>
      </w:r>
      <w:r>
        <w:t xml:space="preserve">he killed Vṛtra</w:t>
      </w:r>
      <w:r>
        <w:t xml:space="preserve">”</w:t>
      </w:r>
      <w:r>
        <w:t xml:space="preserve">,</w:t>
      </w:r>
      <w:r>
        <w:t xml:space="preserve"> </w:t>
      </w:r>
      <w:r>
        <w:rPr>
          <w:iCs/>
          <w:i/>
        </w:rPr>
        <w:t xml:space="preserve">kvip</w:t>
      </w:r>
      <w:r>
        <w:t xml:space="preserve"> </w:t>
      </w:r>
      <w:r>
        <w:t xml:space="preserve">by Pā. 3-2-87; the lengthening, cancelled by</w:t>
      </w:r>
      <w:r>
        <w:t xml:space="preserve"> </w:t>
      </w:r>
      <w:r>
        <w:rPr>
          <w:iCs/>
          <w:i/>
        </w:rPr>
        <w:t xml:space="preserve">in-han-…</w:t>
      </w:r>
      <w:r>
        <w:t xml:space="preserve">, comes back by the counter-rule</w:t>
      </w:r>
      <w:r>
        <w:t xml:space="preserve"> </w:t>
      </w:r>
      <w:r>
        <w:rPr>
          <w:iCs/>
          <w:i/>
        </w:rPr>
        <w:t xml:space="preserve">sau ca</w:t>
      </w:r>
      <w:r>
        <w:t xml:space="preserve"> </w:t>
      </w:r>
      <w:r>
        <w:t xml:space="preserve">(Pā. 6-4-12, 13); the accent of the</w:t>
      </w:r>
      <w:r>
        <w:t xml:space="preserve"> </w:t>
      </w:r>
      <w:r>
        <w:rPr>
          <w:iCs/>
          <w:i/>
        </w:rPr>
        <w:t xml:space="preserve">kṛt</w:t>
      </w:r>
      <w:r>
        <w:t xml:space="preserve"> </w:t>
      </w:r>
      <w:r>
        <w:t xml:space="preserve">final member;</w:t>
      </w:r>
      <w:r>
        <w:t xml:space="preserve"> </w:t>
      </w:r>
      <w:r>
        <w:rPr>
          <w:iCs/>
          <w:i/>
        </w:rPr>
        <w:t xml:space="preserve">somapītaye</w:t>
      </w:r>
      <w:r>
        <w:t xml:space="preserve">, a</w:t>
      </w:r>
      <w:r>
        <w:t xml:space="preserve"> </w:t>
      </w:r>
      <w:r>
        <w:rPr>
          <w:iCs/>
          <w:i/>
        </w:rPr>
        <w:t xml:space="preserve">vyadhikaraṇa-bahuvrīhi</w:t>
      </w:r>
      <w:r>
        <w:t xml:space="preserve">, as said, or a</w:t>
      </w:r>
      <w:r>
        <w:t xml:space="preserve"> </w:t>
      </w:r>
      <w:r>
        <w:rPr>
          <w:iCs/>
          <w:i/>
        </w:rPr>
        <w:t xml:space="preserve">tatpuruṣa</w:t>
      </w:r>
      <w:r>
        <w:t xml:space="preserve"> </w:t>
      </w:r>
      <w:r>
        <w:t xml:space="preserve">with the accent of the first member, as one of the</w:t>
      </w:r>
      <w:r>
        <w:t xml:space="preserve"> </w:t>
      </w:r>
      <w:r>
        <w:rPr>
          <w:iCs/>
          <w:i/>
        </w:rPr>
        <w:t xml:space="preserve">dāsībhāra-ādi</w:t>
      </w:r>
      <w:r>
        <w:t xml:space="preserve"> </w:t>
      </w:r>
      <w:r>
        <w:t xml:space="preserve">(Pā. 6-2-42).)</w:t>
      </w:r>
    </w:p>
    <w:bookmarkEnd w:id="762"/>
    <w:bookmarkStart w:id="763" w:name="X70792aa28e5990b501b8fd98ae9b97b6a2662cd"/>
    <w:p>
      <w:pPr>
        <w:pStyle w:val="Heading3"/>
      </w:pPr>
      <w:r>
        <w:t xml:space="preserve">Page 699 — Rik 8: word-meanings, overall sense, English, Special Topics, grammar</w:t>
      </w:r>
    </w:p>
    <w:p>
      <w:pPr>
        <w:pStyle w:val="FirstParagraph"/>
      </w:pPr>
      <w:r>
        <w:rPr>
          <w:bCs/>
          <w:b/>
        </w:rPr>
        <w:t xml:space="preserve">॥ Prati-padārthaḥ ॥</w:t>
      </w:r>
    </w:p>
    <w:p>
      <w:pPr>
        <w:pStyle w:val="BodyText"/>
      </w:pPr>
      <w:r>
        <w:rPr>
          <w:bCs/>
          <w:b/>
        </w:rPr>
        <w:t xml:space="preserve">वृत्रहा (vṛtrahā)</w:t>
      </w:r>
      <w:r>
        <w:t xml:space="preserve"> </w:t>
      </w:r>
      <w:r>
        <w:t xml:space="preserve">— who destroys enemies, or who destroyed the demon Vṛtra |</w:t>
      </w:r>
      <w:r>
        <w:t xml:space="preserve"> </w:t>
      </w:r>
      <w:r>
        <w:rPr>
          <w:bCs/>
          <w:b/>
        </w:rPr>
        <w:t xml:space="preserve">इन्द्रः (indraḥ)</w:t>
      </w:r>
      <w:r>
        <w:t xml:space="preserve"> </w:t>
      </w:r>
      <w:r>
        <w:t xml:space="preserve">— Indra |</w:t>
      </w:r>
      <w:r>
        <w:t xml:space="preserve"> </w:t>
      </w:r>
      <w:r>
        <w:rPr>
          <w:bCs/>
          <w:b/>
        </w:rPr>
        <w:t xml:space="preserve">सोमपीतये (somapītaye)</w:t>
      </w:r>
      <w:r>
        <w:t xml:space="preserve"> </w:t>
      </w:r>
      <w:r>
        <w:t xml:space="preserve">— for drinking soma |</w:t>
      </w:r>
      <w:r>
        <w:t xml:space="preserve"> </w:t>
      </w:r>
      <w:r>
        <w:rPr>
          <w:bCs/>
          <w:b/>
        </w:rPr>
        <w:t xml:space="preserve">मदाय (madāya)</w:t>
      </w:r>
      <w:r>
        <w:t xml:space="preserve"> </w:t>
      </w:r>
      <w:r>
        <w:t xml:space="preserve">— and for the joy (that comes from drinking soma) |</w:t>
      </w:r>
      <w:r>
        <w:t xml:space="preserve"> </w:t>
      </w:r>
      <w:r>
        <w:rPr>
          <w:bCs/>
          <w:b/>
        </w:rPr>
        <w:t xml:space="preserve">विश्वम् (viśvam)</w:t>
      </w:r>
      <w:r>
        <w:t xml:space="preserve"> </w:t>
      </w:r>
      <w:r>
        <w:t xml:space="preserve">— all |</w:t>
      </w:r>
      <w:r>
        <w:t xml:space="preserve"> </w:t>
      </w:r>
      <w:r>
        <w:rPr>
          <w:bCs/>
          <w:b/>
        </w:rPr>
        <w:t xml:space="preserve">सुतम् (sutam)</w:t>
      </w:r>
      <w:r>
        <w:t xml:space="preserve"> </w:t>
      </w:r>
      <w:r>
        <w:t xml:space="preserve">— where the soma juice is made ready |</w:t>
      </w:r>
      <w:r>
        <w:t xml:space="preserve"> </w:t>
      </w:r>
      <w:r>
        <w:rPr>
          <w:bCs/>
          <w:b/>
        </w:rPr>
        <w:t xml:space="preserve">सवनम् (savanam)</w:t>
      </w:r>
      <w:r>
        <w:t xml:space="preserve"> </w:t>
      </w:r>
      <w:r>
        <w:t xml:space="preserve">— to the rites (in the form of the morning pressing and so on) |</w:t>
      </w:r>
      <w:r>
        <w:t xml:space="preserve"> </w:t>
      </w:r>
      <w:r>
        <w:rPr>
          <w:bCs/>
          <w:b/>
        </w:rPr>
        <w:t xml:space="preserve">गच्छति इत् (gacchati it)</w:t>
      </w:r>
      <w:r>
        <w:t xml:space="preserve"> </w:t>
      </w:r>
      <w:r>
        <w:t xml:space="preserve">— surely goes.</w:t>
      </w:r>
    </w:p>
    <w:p>
      <w:pPr>
        <w:pStyle w:val="BodyText"/>
      </w:pPr>
      <w:r>
        <w:rPr>
          <w:bCs/>
          <w:b/>
        </w:rPr>
        <w:t xml:space="preserve">॥ Bhāvārthaḥ ॥</w:t>
      </w:r>
    </w:p>
    <w:p>
      <w:pPr>
        <w:pStyle w:val="BodyText"/>
      </w:pPr>
      <w:r>
        <w:t xml:space="preserve">Indra, who destroys the demons or Vṛtra, goes to every rite of the morning pressing and so on where the soma juice is pressed out, drinks the soma, and is pleased by it.</w:t>
      </w:r>
    </w:p>
    <w:p>
      <w:pPr>
        <w:pStyle w:val="BodyText"/>
      </w:pPr>
      <w:r>
        <w:rPr>
          <w:bCs/>
          <w:b/>
        </w:rPr>
        <w:t xml:space="preserve">॥ English Translation ॥</w:t>
      </w:r>
      <w:r>
        <w:t xml:space="preserve"> </w:t>
      </w:r>
      <w:r>
        <w:rPr>
          <w:iCs/>
          <w:i/>
        </w:rPr>
        <w:t xml:space="preserve">(as printed in the source)</w:t>
      </w:r>
    </w:p>
    <w:p>
      <w:pPr>
        <w:pStyle w:val="BlockText"/>
      </w:pPr>
      <w:r>
        <w:t xml:space="preserve">Indra, the killer of Vritra (or of enemies) goes to every ceremoney [sic] where Soma is prepared that he may drink the Soma and be intoxicated.</w:t>
      </w:r>
    </w:p>
    <w:p>
      <w:pPr>
        <w:pStyle w:val="FirstParagraph"/>
      </w:pPr>
      <w:r>
        <w:rPr>
          <w:bCs/>
          <w:b/>
        </w:rPr>
        <w:t xml:space="preserve">॥ Viśeṣa-viṣayagaḷu (Special Topics) ॥</w:t>
      </w:r>
    </w:p>
    <w:p>
      <w:pPr>
        <w:pStyle w:val="BodyText"/>
      </w:pPr>
      <w:r>
        <w:rPr>
          <w:bCs/>
          <w:b/>
        </w:rPr>
        <w:t xml:space="preserve">Vṛtrahā</w:t>
      </w:r>
      <w:r>
        <w:t xml:space="preserve">: though the word</w:t>
      </w:r>
      <w:r>
        <w:t xml:space="preserve"> </w:t>
      </w:r>
      <w:r>
        <w:rPr>
          <w:iCs/>
          <w:i/>
        </w:rPr>
        <w:t xml:space="preserve">vṛtra</w:t>
      </w:r>
      <w:r>
        <w:t xml:space="preserve"> </w:t>
      </w:r>
      <w:r>
        <w:t xml:space="preserve">denotes many things, cloud, strength, water, the demon Vṛtra and so on, here the commentator takes it as</w:t>
      </w:r>
      <w:r>
        <w:t xml:space="preserve"> </w:t>
      </w:r>
      <w:r>
        <w:t xml:space="preserve">“</w:t>
      </w:r>
      <w:r>
        <w:t xml:space="preserve">enemy</w:t>
      </w:r>
      <w:r>
        <w:t xml:space="preserve">”</w:t>
      </w:r>
      <w:r>
        <w:t xml:space="preserve">. It may also be taken as the demon Vṛtra if wished. Accordingly</w:t>
      </w:r>
      <w:r>
        <w:t xml:space="preserve"> </w:t>
      </w:r>
      <w:r>
        <w:rPr>
          <w:iCs/>
          <w:i/>
        </w:rPr>
        <w:t xml:space="preserve">vṛtrahā</w:t>
      </w:r>
      <w:r>
        <w:t xml:space="preserve"> </w:t>
      </w:r>
      <w:r>
        <w:t xml:space="preserve">means destroyer of enemies, or slayer of the demon Vṛtra.</w:t>
      </w:r>
    </w:p>
    <w:p>
      <w:pPr>
        <w:pStyle w:val="BodyText"/>
      </w:pPr>
      <w:r>
        <w:rPr>
          <w:bCs/>
          <w:b/>
        </w:rPr>
        <w:t xml:space="preserve">Madāya</w:t>
      </w:r>
      <w:r>
        <w:t xml:space="preserve">: for the</w:t>
      </w:r>
      <w:r>
        <w:t xml:space="preserve"> </w:t>
      </w:r>
      <w:r>
        <w:rPr>
          <w:iCs/>
          <w:i/>
        </w:rPr>
        <w:t xml:space="preserve">mada</w:t>
      </w:r>
      <w:r>
        <w:t xml:space="preserve"> </w:t>
      </w:r>
      <w:r>
        <w:t xml:space="preserve">(intoxication) or joy that comes from drinking soma,</w:t>
      </w:r>
      <w:r>
        <w:t xml:space="preserve"> </w:t>
      </w:r>
      <w:r>
        <w:t xml:space="preserve">“</w:t>
      </w:r>
      <w:r>
        <w:t xml:space="preserve">Intoxication</w:t>
      </w:r>
      <w:r>
        <w:t xml:space="preserve">”</w:t>
      </w:r>
      <w:r>
        <w:t xml:space="preserve">.</w:t>
      </w:r>
    </w:p>
    <w:p>
      <w:pPr>
        <w:pStyle w:val="BodyText"/>
      </w:pPr>
      <w:r>
        <w:rPr>
          <w:bCs/>
          <w:b/>
        </w:rPr>
        <w:t xml:space="preserve">॥ Vyākaraṇa-prakriyā ॥</w:t>
      </w:r>
      <w:r>
        <w:t xml:space="preserve"> </w:t>
      </w:r>
      <w:r>
        <w:rPr>
          <w:iCs/>
          <w:i/>
        </w:rPr>
        <w:t xml:space="preserve">(grammar pages 699–703, noted briefly)</w:t>
      </w:r>
    </w:p>
    <w:p>
      <w:pPr>
        <w:pStyle w:val="BodyText"/>
      </w:pPr>
      <w:r>
        <w:rPr>
          <w:bCs/>
          <w:b/>
        </w:rPr>
        <w:t xml:space="preserve">विश्वम् (</w:t>
      </w:r>
      <w:r>
        <w:rPr>
          <w:iCs/>
          <w:i/>
          <w:bCs/>
          <w:b/>
        </w:rPr>
        <w:t xml:space="preserve">viśvam</w:t>
      </w:r>
      <w:r>
        <w:rPr>
          <w:bCs/>
          <w:b/>
        </w:rPr>
        <w:t xml:space="preserve">)</w:t>
      </w:r>
      <w:r>
        <w:t xml:space="preserve">: the root</w:t>
      </w:r>
      <w:r>
        <w:t xml:space="preserve"> </w:t>
      </w:r>
      <w:r>
        <w:rPr>
          <w:iCs/>
          <w:i/>
        </w:rPr>
        <w:t xml:space="preserve">viśa praveśane</w:t>
      </w:r>
      <w:r>
        <w:t xml:space="preserve">; after it the suffix</w:t>
      </w:r>
      <w:r>
        <w:t xml:space="preserve"> </w:t>
      </w:r>
      <w:r>
        <w:rPr>
          <w:iCs/>
          <w:i/>
        </w:rPr>
        <w:t xml:space="preserve">kvan</w:t>
      </w:r>
      <w:r>
        <w:t xml:space="preserve"> </w:t>
      </w:r>
      <w:r>
        <w:t xml:space="preserve">by</w:t>
      </w:r>
      <w:r>
        <w:t xml:space="preserve"> </w:t>
      </w:r>
      <w:r>
        <w:t xml:space="preserve">“</w:t>
      </w:r>
      <w:r>
        <w:t xml:space="preserve">aśūpruṣilaṭikaṇikhaṭiviśibhyaḥ kvan</w:t>
      </w:r>
      <w:r>
        <w:t xml:space="preserve">”</w:t>
      </w:r>
      <w:r>
        <w:t xml:space="preserve"> </w:t>
      </w:r>
      <w:r>
        <w:t xml:space="preserve">(Uṇ. sū. 1-149); by</w:t>
      </w:r>
      <w:r>
        <w:t xml:space="preserve"> </w:t>
      </w:r>
      <w:r>
        <w:t xml:space="preserve">“</w:t>
      </w:r>
      <w:r>
        <w:t xml:space="preserve">ñnityādir nityam</w:t>
      </w:r>
      <w:r>
        <w:t xml:space="preserve">”</w:t>
      </w:r>
      <w:r>
        <w:t xml:space="preserve"> </w:t>
      </w:r>
      <w:r>
        <w:t xml:space="preserve">(Pā. sū. 6-1-197) the</w:t>
      </w:r>
      <w:r>
        <w:t xml:space="preserve"> </w:t>
      </w:r>
      <w:r>
        <w:rPr>
          <w:iCs/>
          <w:i/>
        </w:rPr>
        <w:t xml:space="preserve">nit</w:t>
      </w:r>
      <w:r>
        <w:t xml:space="preserve"> </w:t>
      </w:r>
      <w:r>
        <w:t xml:space="preserve">accent:</w:t>
      </w:r>
      <w:r>
        <w:t xml:space="preserve"> </w:t>
      </w:r>
      <w:r>
        <w:rPr>
          <w:iCs/>
          <w:i/>
        </w:rPr>
        <w:t xml:space="preserve">viśva</w:t>
      </w:r>
      <w:r>
        <w:t xml:space="preserve"> </w:t>
      </w:r>
      <w:r>
        <w:t xml:space="preserve">is initial udātta.</w:t>
      </w:r>
      <w:r>
        <w:t xml:space="preserve"> </w:t>
      </w:r>
      <w:r>
        <w:rPr>
          <w:iCs/>
          <w:i/>
        </w:rPr>
        <w:t xml:space="preserve">Savanaṃ sutam</w:t>
      </w:r>
      <w:r>
        <w:t xml:space="preserve"> </w:t>
      </w:r>
      <w:r>
        <w:t xml:space="preserve">are explained at</w:t>
      </w:r>
      <w:r>
        <w:t xml:space="preserve"> </w:t>
      </w:r>
      <w:r>
        <w:t xml:space="preserve">“</w:t>
      </w:r>
      <w:r>
        <w:t xml:space="preserve">semaṃ naḥ</w:t>
      </w:r>
      <w:r>
        <w:t xml:space="preserve">”</w:t>
      </w:r>
      <w:r>
        <w:t xml:space="preserve"> </w:t>
      </w:r>
      <w:r>
        <w:t xml:space="preserve">(Ṛ. saṃ. 1-16-5).</w:t>
      </w:r>
    </w:p>
    <w:p>
      <w:pPr>
        <w:pStyle w:val="BodyText"/>
      </w:pPr>
      <w:r>
        <w:rPr>
          <w:bCs/>
          <w:b/>
        </w:rPr>
        <w:t xml:space="preserve">मदाय (</w:t>
      </w:r>
      <w:r>
        <w:rPr>
          <w:iCs/>
          <w:i/>
          <w:bCs/>
          <w:b/>
        </w:rPr>
        <w:t xml:space="preserve">madāya</w:t>
      </w:r>
      <w:r>
        <w:rPr>
          <w:bCs/>
          <w:b/>
        </w:rPr>
        <w:t xml:space="preserve">)</w:t>
      </w:r>
      <w:r>
        <w:t xml:space="preserve">: by</w:t>
      </w:r>
      <w:r>
        <w:t xml:space="preserve"> </w:t>
      </w:r>
      <w:r>
        <w:t xml:space="preserve">“</w:t>
      </w:r>
      <w:r>
        <w:t xml:space="preserve">mado ’nupasarge</w:t>
      </w:r>
      <w:r>
        <w:t xml:space="preserve">”</w:t>
      </w:r>
      <w:r>
        <w:t xml:space="preserve"> </w:t>
      </w:r>
      <w:r>
        <w:t xml:space="preserve">(Pā. sū. 3-3-67), when a</w:t>
      </w:r>
      <w:r>
        <w:t xml:space="preserve"> </w:t>
      </w:r>
      <w:r>
        <w:rPr>
          <w:iCs/>
          <w:i/>
        </w:rPr>
        <w:t xml:space="preserve">subanta</w:t>
      </w:r>
      <w:r>
        <w:t xml:space="preserve"> </w:t>
      </w:r>
      <w:r>
        <w:t xml:space="preserve">other than a preverb is the</w:t>
      </w:r>
      <w:r>
        <w:t xml:space="preserve"> </w:t>
      </w:r>
      <w:r>
        <w:rPr>
          <w:iCs/>
          <w:i/>
        </w:rPr>
        <w:t xml:space="preserve">upapada</w:t>
      </w:r>
      <w:r>
        <w:t xml:space="preserve">, the suffix</w:t>
      </w:r>
      <w:r>
        <w:t xml:space="preserve"> </w:t>
      </w:r>
      <w:r>
        <w:rPr>
          <w:iCs/>
          <w:i/>
        </w:rPr>
        <w:t xml:space="preserve">ap</w:t>
      </w:r>
      <w:r>
        <w:t xml:space="preserve"> </w:t>
      </w:r>
      <w:r>
        <w:t xml:space="preserve">comes after the root</w:t>
      </w:r>
      <w:r>
        <w:t xml:space="preserve"> </w:t>
      </w:r>
      <w:r>
        <w:rPr>
          <w:iCs/>
          <w:i/>
        </w:rPr>
        <w:t xml:space="preserve">mad</w:t>
      </w:r>
      <w:r>
        <w:t xml:space="preserve">; so after the root</w:t>
      </w:r>
      <w:r>
        <w:t xml:space="preserve"> </w:t>
      </w:r>
      <w:r>
        <w:rPr>
          <w:iCs/>
          <w:i/>
        </w:rPr>
        <w:t xml:space="preserve">mad</w:t>
      </w:r>
    </w:p>
    <w:bookmarkEnd w:id="763"/>
    <w:bookmarkStart w:id="764" w:name="page-700-rik-8-grammar"/>
    <w:p>
      <w:pPr>
        <w:pStyle w:val="Heading3"/>
      </w:pPr>
      <w:r>
        <w:t xml:space="preserve">Page 700 — Rik 8: grammar</w:t>
      </w:r>
    </w:p>
    <w:p>
      <w:pPr>
        <w:pStyle w:val="FirstParagraph"/>
      </w:pPr>
      <w:r>
        <w:t xml:space="preserve">the suffix</w:t>
      </w:r>
      <w:r>
        <w:t xml:space="preserve"> </w:t>
      </w:r>
      <w:r>
        <w:rPr>
          <w:iCs/>
          <w:i/>
        </w:rPr>
        <w:t xml:space="preserve">ap</w:t>
      </w:r>
      <w:r>
        <w:t xml:space="preserve">. It is</w:t>
      </w:r>
      <w:r>
        <w:t xml:space="preserve"> </w:t>
      </w:r>
      <w:r>
        <w:rPr>
          <w:iCs/>
          <w:i/>
        </w:rPr>
        <w:t xml:space="preserve">pit</w:t>
      </w:r>
      <w:r>
        <w:t xml:space="preserve">, that is, has</w:t>
      </w:r>
      <w:r>
        <w:t xml:space="preserve"> </w:t>
      </w:r>
      <w:r>
        <w:rPr>
          <w:iCs/>
          <w:i/>
        </w:rPr>
        <w:t xml:space="preserve">p</w:t>
      </w:r>
      <w:r>
        <w:t xml:space="preserve"> </w:t>
      </w:r>
      <w:r>
        <w:t xml:space="preserve">as</w:t>
      </w:r>
      <w:r>
        <w:t xml:space="preserve"> </w:t>
      </w:r>
      <w:r>
        <w:rPr>
          <w:iCs/>
          <w:i/>
        </w:rPr>
        <w:t xml:space="preserve">it</w:t>
      </w:r>
      <w:r>
        <w:t xml:space="preserve">; so it is unaccented by</w:t>
      </w:r>
      <w:r>
        <w:t xml:space="preserve"> </w:t>
      </w:r>
      <w:r>
        <w:t xml:space="preserve">“</w:t>
      </w:r>
      <w:r>
        <w:t xml:space="preserve">anudāttau suppitau</w:t>
      </w:r>
      <w:r>
        <w:t xml:space="preserve">”</w:t>
      </w:r>
      <w:r>
        <w:t xml:space="preserve"> </w:t>
      </w:r>
      <w:r>
        <w:t xml:space="preserve">(Pā. sū. 3-1-4), and the root accent stays.</w:t>
      </w:r>
    </w:p>
    <w:p>
      <w:pPr>
        <w:pStyle w:val="BodyText"/>
      </w:pPr>
      <w:r>
        <w:rPr>
          <w:bCs/>
          <w:b/>
        </w:rPr>
        <w:t xml:space="preserve">गच्छति (</w:t>
      </w:r>
      <w:r>
        <w:rPr>
          <w:iCs/>
          <w:i/>
          <w:bCs/>
          <w:b/>
        </w:rPr>
        <w:t xml:space="preserve">gacchati</w:t>
      </w:r>
      <w:r>
        <w:rPr>
          <w:bCs/>
          <w:b/>
        </w:rPr>
        <w:t xml:space="preserve">)</w:t>
      </w:r>
      <w:r>
        <w:t xml:space="preserve">:</w:t>
      </w:r>
      <w:r>
        <w:t xml:space="preserve"> </w:t>
      </w:r>
      <w:r>
        <w:rPr>
          <w:iCs/>
          <w:i/>
        </w:rPr>
        <w:t xml:space="preserve">gamḷ gatau</w:t>
      </w:r>
      <w:r>
        <w:t xml:space="preserve">. By</w:t>
      </w:r>
      <w:r>
        <w:t xml:space="preserve"> </w:t>
      </w:r>
      <w:r>
        <w:t xml:space="preserve">“</w:t>
      </w:r>
      <w:r>
        <w:t xml:space="preserve">iṣugamiyamāṃ chaḥ</w:t>
      </w:r>
      <w:r>
        <w:t xml:space="preserve">”</w:t>
      </w:r>
      <w:r>
        <w:t xml:space="preserve"> </w:t>
      </w:r>
      <w:r>
        <w:t xml:space="preserve">(Pā. sū. 7-3-77), when</w:t>
      </w:r>
      <w:r>
        <w:t xml:space="preserve"> </w:t>
      </w:r>
      <w:r>
        <w:rPr>
          <w:iCs/>
          <w:i/>
        </w:rPr>
        <w:t xml:space="preserve">laṭ</w:t>
      </w:r>
      <w:r>
        <w:t xml:space="preserve">,</w:t>
      </w:r>
      <w:r>
        <w:t xml:space="preserve"> </w:t>
      </w:r>
      <w:r>
        <w:rPr>
          <w:iCs/>
          <w:i/>
        </w:rPr>
        <w:t xml:space="preserve">tip</w:t>
      </w:r>
      <w:r>
        <w:t xml:space="preserve"> </w:t>
      </w:r>
      <w:r>
        <w:t xml:space="preserve">and</w:t>
      </w:r>
      <w:r>
        <w:t xml:space="preserve"> </w:t>
      </w:r>
      <w:r>
        <w:rPr>
          <w:iCs/>
          <w:i/>
        </w:rPr>
        <w:t xml:space="preserve">śap</w:t>
      </w:r>
      <w:r>
        <w:t xml:space="preserve"> </w:t>
      </w:r>
      <w:r>
        <w:t xml:space="preserve">have come after the root</w:t>
      </w:r>
      <w:r>
        <w:t xml:space="preserve"> </w:t>
      </w:r>
      <w:r>
        <w:rPr>
          <w:iCs/>
          <w:i/>
        </w:rPr>
        <w:t xml:space="preserve">gam</w:t>
      </w:r>
      <w:r>
        <w:t xml:space="preserve">, the substitute</w:t>
      </w:r>
      <w:r>
        <w:t xml:space="preserve"> </w:t>
      </w:r>
      <w:r>
        <w:rPr>
          <w:iCs/>
          <w:i/>
        </w:rPr>
        <w:t xml:space="preserve">ch</w:t>
      </w:r>
      <w:r>
        <w:t xml:space="preserve">.</w:t>
      </w:r>
    </w:p>
    <w:p>
      <w:pPr>
        <w:pStyle w:val="BodyText"/>
      </w:pPr>
      <w:r>
        <w:rPr>
          <w:bCs/>
          <w:b/>
        </w:rPr>
        <w:t xml:space="preserve">वृत्रहा (</w:t>
      </w:r>
      <w:r>
        <w:rPr>
          <w:iCs/>
          <w:i/>
          <w:bCs/>
          <w:b/>
        </w:rPr>
        <w:t xml:space="preserve">vṛtrahā</w:t>
      </w:r>
      <w:r>
        <w:rPr>
          <w:bCs/>
          <w:b/>
        </w:rPr>
        <w:t xml:space="preserve">)</w:t>
      </w:r>
      <w:r>
        <w:t xml:space="preserve">: the analysis is</w:t>
      </w:r>
      <w:r>
        <w:t xml:space="preserve"> </w:t>
      </w:r>
      <w:r>
        <w:rPr>
          <w:iCs/>
          <w:i/>
        </w:rPr>
        <w:t xml:space="preserve">vṛtraṃ hatavān</w:t>
      </w:r>
      <w:r>
        <w:t xml:space="preserve">; the root</w:t>
      </w:r>
      <w:r>
        <w:t xml:space="preserve"> </w:t>
      </w:r>
      <w:r>
        <w:rPr>
          <w:iCs/>
          <w:i/>
        </w:rPr>
        <w:t xml:space="preserve">hana hiṃsāgatyoḥ</w:t>
      </w:r>
      <w:r>
        <w:t xml:space="preserve">. By</w:t>
      </w:r>
      <w:r>
        <w:t xml:space="preserve"> </w:t>
      </w:r>
      <w:r>
        <w:t xml:space="preserve">“</w:t>
      </w:r>
      <w:r>
        <w:t xml:space="preserve">brahma-bhrūṇa-vṛtreṣu kvip</w:t>
      </w:r>
      <w:r>
        <w:t xml:space="preserve">”</w:t>
      </w:r>
      <w:r>
        <w:t xml:space="preserve"> </w:t>
      </w:r>
      <w:r>
        <w:t xml:space="preserve">(Pā. sū. 3-2-87), when the words</w:t>
      </w:r>
      <w:r>
        <w:t xml:space="preserve"> </w:t>
      </w:r>
      <w:r>
        <w:rPr>
          <w:iCs/>
          <w:i/>
        </w:rPr>
        <w:t xml:space="preserve">brahma</w:t>
      </w:r>
      <w:r>
        <w:t xml:space="preserve">,</w:t>
      </w:r>
      <w:r>
        <w:t xml:space="preserve"> </w:t>
      </w:r>
      <w:r>
        <w:rPr>
          <w:iCs/>
          <w:i/>
        </w:rPr>
        <w:t xml:space="preserve">bhrūṇa</w:t>
      </w:r>
      <w:r>
        <w:t xml:space="preserve"> </w:t>
      </w:r>
      <w:r>
        <w:t xml:space="preserve">and</w:t>
      </w:r>
      <w:r>
        <w:t xml:space="preserve"> </w:t>
      </w:r>
      <w:r>
        <w:rPr>
          <w:iCs/>
          <w:i/>
        </w:rPr>
        <w:t xml:space="preserve">vṛtra</w:t>
      </w:r>
      <w:r>
        <w:t xml:space="preserve">, denoting the object, are the</w:t>
      </w:r>
      <w:r>
        <w:t xml:space="preserve"> </w:t>
      </w:r>
      <w:r>
        <w:rPr>
          <w:iCs/>
          <w:i/>
        </w:rPr>
        <w:t xml:space="preserve">upapada</w:t>
      </w:r>
      <w:r>
        <w:t xml:space="preserve">, the suffix</w:t>
      </w:r>
      <w:r>
        <w:t xml:space="preserve"> </w:t>
      </w:r>
      <w:r>
        <w:rPr>
          <w:iCs/>
          <w:i/>
        </w:rPr>
        <w:t xml:space="preserve">kvip</w:t>
      </w:r>
      <w:r>
        <w:t xml:space="preserve"> </w:t>
      </w:r>
      <w:r>
        <w:t xml:space="preserve">comes after the root</w:t>
      </w:r>
      <w:r>
        <w:t xml:space="preserve"> </w:t>
      </w:r>
      <w:r>
        <w:rPr>
          <w:iCs/>
          <w:i/>
        </w:rPr>
        <w:t xml:space="preserve">han</w:t>
      </w:r>
      <w:r>
        <w:t xml:space="preserve"> </w:t>
      </w:r>
      <w:r>
        <w:t xml:space="preserve">in the past sense. Here, though</w:t>
      </w:r>
      <w:r>
        <w:t xml:space="preserve"> </w:t>
      </w:r>
      <w:r>
        <w:rPr>
          <w:iCs/>
          <w:i/>
        </w:rPr>
        <w:t xml:space="preserve">kvip</w:t>
      </w:r>
      <w:r>
        <w:t xml:space="preserve"> </w:t>
      </w:r>
      <w:r>
        <w:t xml:space="preserve">would come anyway by</w:t>
      </w:r>
      <w:r>
        <w:t xml:space="preserve"> </w:t>
      </w:r>
      <w:r>
        <w:t xml:space="preserve">“</w:t>
      </w:r>
      <w:r>
        <w:t xml:space="preserve">kvip ca</w:t>
      </w:r>
      <w:r>
        <w:t xml:space="preserve">”</w:t>
      </w:r>
      <w:r>
        <w:t xml:space="preserve"> </w:t>
      </w:r>
      <w:r>
        <w:t xml:space="preserve">(Pā. sū. 3-2-76), this sūtra is needed as a restriction, by the maxim</w:t>
      </w:r>
    </w:p>
    <w:p>
      <w:pPr>
        <w:pStyle w:val="BlockText"/>
      </w:pPr>
      <w:r>
        <w:t xml:space="preserve">सिद्धे सत्यारभ्यमाणो विधिर्नियमाय भवति</w:t>
      </w:r>
    </w:p>
    <w:p>
      <w:pPr>
        <w:pStyle w:val="BlockText"/>
      </w:pPr>
      <w:r>
        <w:rPr>
          <w:iCs/>
          <w:i/>
        </w:rPr>
        <w:t xml:space="preserve">siddhe satyārabhyamāṇo vidhirniyamāya bhavati</w:t>
      </w:r>
    </w:p>
    <w:p>
      <w:pPr>
        <w:pStyle w:val="FirstParagraph"/>
      </w:pPr>
      <w:r>
        <w:t xml:space="preserve">(</w:t>
      </w:r>
      <w:r>
        <w:t xml:space="preserve">“</w:t>
      </w:r>
      <w:r>
        <w:t xml:space="preserve">A rule stated when the result is already obtained serves as a restriction.</w:t>
      </w:r>
      <w:r>
        <w:t xml:space="preserve">”</w:t>
      </w:r>
      <w:r>
        <w:t xml:space="preserve">) Here the Kāśikā gives the restriction in four ways. Since they are heard in the sūtra, the words</w:t>
      </w:r>
      <w:r>
        <w:t xml:space="preserve"> </w:t>
      </w:r>
      <w:r>
        <w:rPr>
          <w:iCs/>
          <w:i/>
        </w:rPr>
        <w:t xml:space="preserve">brahma</w:t>
      </w:r>
      <w:r>
        <w:t xml:space="preserve"> </w:t>
      </w:r>
      <w:r>
        <w:t xml:space="preserve">and so on are to be used first, then, as the base, the root</w:t>
      </w:r>
      <w:r>
        <w:t xml:space="preserve"> </w:t>
      </w:r>
      <w:r>
        <w:rPr>
          <w:iCs/>
          <w:i/>
        </w:rPr>
        <w:t xml:space="preserve">han</w:t>
      </w:r>
      <w:r>
        <w:t xml:space="preserve">, then, by elimination,</w:t>
      </w:r>
      <w:r>
        <w:t xml:space="preserve"> </w:t>
      </w:r>
      <w:r>
        <w:rPr>
          <w:iCs/>
          <w:i/>
        </w:rPr>
        <w:t xml:space="preserve">bhūte</w:t>
      </w:r>
      <w:r>
        <w:t xml:space="preserve">, and</w:t>
      </w:r>
      <w:r>
        <w:t xml:space="preserve"> </w:t>
      </w:r>
      <w:r>
        <w:rPr>
          <w:iCs/>
          <w:i/>
        </w:rPr>
        <w:t xml:space="preserve">kvip</w:t>
      </w:r>
      <w:r>
        <w:t xml:space="preserve">, being what is enjoined, comes last of all; so it reads</w:t>
      </w:r>
    </w:p>
    <w:p>
      <w:pPr>
        <w:pStyle w:val="BlockText"/>
      </w:pPr>
      <w:r>
        <w:t xml:space="preserve">ब्रह्मादिषु उपपदेषु हन्तेः भूते क्विप्</w:t>
      </w:r>
    </w:p>
    <w:p>
      <w:pPr>
        <w:pStyle w:val="BlockText"/>
      </w:pPr>
      <w:r>
        <w:rPr>
          <w:iCs/>
          <w:i/>
        </w:rPr>
        <w:t xml:space="preserve">brahmādiṣu upapadeṣu hanteḥ bhūte kvip</w:t>
      </w:r>
    </w:p>
    <w:p>
      <w:pPr>
        <w:pStyle w:val="FirstParagraph"/>
      </w:pPr>
      <w:r>
        <w:t xml:space="preserve">(</w:t>
      </w:r>
      <w:r>
        <w:t xml:space="preserve">“</w:t>
      </w:r>
      <w:r>
        <w:t xml:space="preserve">When</w:t>
      </w:r>
      <w:r>
        <w:t xml:space="preserve"> </w:t>
      </w:r>
      <w:r>
        <w:rPr>
          <w:iCs/>
          <w:i/>
        </w:rPr>
        <w:t xml:space="preserve">brahma</w:t>
      </w:r>
      <w:r>
        <w:t xml:space="preserve"> </w:t>
      </w:r>
      <w:r>
        <w:t xml:space="preserve">and the rest are the</w:t>
      </w:r>
      <w:r>
        <w:t xml:space="preserve"> </w:t>
      </w:r>
      <w:r>
        <w:rPr>
          <w:iCs/>
          <w:i/>
        </w:rPr>
        <w:t xml:space="preserve">upapada</w:t>
      </w:r>
      <w:r>
        <w:t xml:space="preserve">,</w:t>
      </w:r>
      <w:r>
        <w:t xml:space="preserve"> </w:t>
      </w:r>
      <w:r>
        <w:rPr>
          <w:iCs/>
          <w:i/>
        </w:rPr>
        <w:t xml:space="preserve">kvip</w:t>
      </w:r>
      <w:r>
        <w:t xml:space="preserve"> </w:t>
      </w:r>
      <w:r>
        <w:t xml:space="preserve">after</w:t>
      </w:r>
      <w:r>
        <w:t xml:space="preserve"> </w:t>
      </w:r>
      <w:r>
        <w:rPr>
          <w:iCs/>
          <w:i/>
        </w:rPr>
        <w:t xml:space="preserve">han</w:t>
      </w:r>
      <w:r>
        <w:t xml:space="preserve"> </w:t>
      </w:r>
      <w:r>
        <w:t xml:space="preserve">in the past.</w:t>
      </w:r>
      <w:r>
        <w:t xml:space="preserve">”</w:t>
      </w:r>
      <w:r>
        <w:t xml:space="preserve">) By the maxim</w:t>
      </w:r>
    </w:p>
    <w:p>
      <w:pPr>
        <w:pStyle w:val="BlockText"/>
      </w:pPr>
      <w:r>
        <w:t xml:space="preserve">यत एवकारस्ततोऽन्यत्र नियमः</w:t>
      </w:r>
    </w:p>
    <w:p>
      <w:pPr>
        <w:pStyle w:val="BlockText"/>
      </w:pPr>
      <w:r>
        <w:rPr>
          <w:iCs/>
          <w:i/>
        </w:rPr>
        <w:t xml:space="preserve">yata evakārastato ’nyatra niyamaḥ</w:t>
      </w:r>
    </w:p>
    <w:p>
      <w:pPr>
        <w:pStyle w:val="FirstParagraph"/>
      </w:pPr>
      <w:r>
        <w:t xml:space="preserve">(</w:t>
      </w:r>
      <w:r>
        <w:t xml:space="preserve">“</w:t>
      </w:r>
      <w:r>
        <w:t xml:space="preserve">The restriction applies to what is other than where the</w:t>
      </w:r>
      <w:r>
        <w:t xml:space="preserve"> </w:t>
      </w:r>
      <w:r>
        <w:rPr>
          <w:iCs/>
          <w:i/>
        </w:rPr>
        <w:t xml:space="preserve">eva</w:t>
      </w:r>
      <w:r>
        <w:t xml:space="preserve"> </w:t>
      </w:r>
      <w:r>
        <w:t xml:space="preserve">stands</w:t>
      </w:r>
      <w:r>
        <w:t xml:space="preserve">”</w:t>
      </w:r>
      <w:r>
        <w:t xml:space="preserve">), the restriction falls on what stands next to the word it is attached to. So if the restriction is stated as</w:t>
      </w:r>
    </w:p>
    <w:p>
      <w:pPr>
        <w:pStyle w:val="BlockText"/>
      </w:pPr>
      <w:r>
        <w:t xml:space="preserve">ब्रह्मादिष्वेव हन्तेः भूते क्विप्</w:t>
      </w:r>
    </w:p>
    <w:p>
      <w:pPr>
        <w:pStyle w:val="BlockText"/>
      </w:pPr>
      <w:r>
        <w:rPr>
          <w:iCs/>
          <w:i/>
        </w:rPr>
        <w:t xml:space="preserve">brahmādiṣveva hanteḥ bhūte kvip</w:t>
      </w:r>
    </w:p>
    <w:p>
      <w:pPr>
        <w:pStyle w:val="FirstParagraph"/>
      </w:pPr>
      <w:r>
        <w:t xml:space="preserve">(</w:t>
      </w:r>
      <w:r>
        <w:t xml:space="preserve">“</w:t>
      </w:r>
      <w:r>
        <w:t xml:space="preserve">Only when</w:t>
      </w:r>
      <w:r>
        <w:t xml:space="preserve"> </w:t>
      </w:r>
      <w:r>
        <w:rPr>
          <w:iCs/>
          <w:i/>
        </w:rPr>
        <w:t xml:space="preserve">brahma</w:t>
      </w:r>
      <w:r>
        <w:t xml:space="preserve"> </w:t>
      </w:r>
      <w:r>
        <w:t xml:space="preserve">and the rest are</w:t>
      </w:r>
      <w:r>
        <w:t xml:space="preserve"> </w:t>
      </w:r>
      <w:r>
        <w:rPr>
          <w:iCs/>
          <w:i/>
        </w:rPr>
        <w:t xml:space="preserve">upapada</w:t>
      </w:r>
      <w:r>
        <w:t xml:space="preserve">,</w:t>
      </w:r>
      <w:r>
        <w:t xml:space="preserve"> </w:t>
      </w:r>
      <w:r>
        <w:rPr>
          <w:iCs/>
          <w:i/>
        </w:rPr>
        <w:t xml:space="preserve">kvip</w:t>
      </w:r>
      <w:r>
        <w:t xml:space="preserve"> </w:t>
      </w:r>
      <w:r>
        <w:t xml:space="preserve">after</w:t>
      </w:r>
      <w:r>
        <w:t xml:space="preserve"> </w:t>
      </w:r>
      <w:r>
        <w:rPr>
          <w:iCs/>
          <w:i/>
        </w:rPr>
        <w:t xml:space="preserve">han</w:t>
      </w:r>
      <w:r>
        <w:t xml:space="preserve"> </w:t>
      </w:r>
      <w:r>
        <w:t xml:space="preserve">in the past</w:t>
      </w:r>
      <w:r>
        <w:t xml:space="preserve">”</w:t>
      </w:r>
      <w:r>
        <w:t xml:space="preserve">), what stands next to it is the root</w:t>
      </w:r>
      <w:r>
        <w:t xml:space="preserve"> </w:t>
      </w:r>
      <w:r>
        <w:rPr>
          <w:iCs/>
          <w:i/>
        </w:rPr>
        <w:t xml:space="preserve">han</w:t>
      </w:r>
      <w:r>
        <w:t xml:space="preserve">; so it is a</w:t>
      </w:r>
      <w:r>
        <w:t xml:space="preserve"> </w:t>
      </w:r>
      <w:r>
        <w:rPr>
          <w:iCs/>
          <w:i/>
        </w:rPr>
        <w:t xml:space="preserve">prakṛti-niyama</w:t>
      </w:r>
      <w:r>
        <w:t xml:space="preserve">, a restriction on the base, whose result is to exclude other</w:t>
      </w:r>
      <w:r>
        <w:t xml:space="preserve"> </w:t>
      </w:r>
      <w:r>
        <w:rPr>
          <w:iCs/>
          <w:i/>
        </w:rPr>
        <w:t xml:space="preserve">upapadas</w:t>
      </w:r>
      <w:r>
        <w:t xml:space="preserve"> </w:t>
      </w:r>
      <w:r>
        <w:t xml:space="preserve">from that root.</w:t>
      </w:r>
    </w:p>
    <w:p>
      <w:pPr>
        <w:pStyle w:val="BlockText"/>
      </w:pPr>
      <w:r>
        <w:t xml:space="preserve">स्वसजातीयेतरव्यावर्तकत्वं नियमत्वम्</w:t>
      </w:r>
    </w:p>
    <w:p>
      <w:pPr>
        <w:pStyle w:val="BlockText"/>
      </w:pPr>
      <w:r>
        <w:rPr>
          <w:iCs/>
          <w:i/>
        </w:rPr>
        <w:t xml:space="preserve">svasajātīyetaravyāvartakatvaṃ niyamatvam</w:t>
      </w:r>
    </w:p>
    <w:p>
      <w:pPr>
        <w:pStyle w:val="FirstParagraph"/>
      </w:pPr>
      <w:r>
        <w:t xml:space="preserve">(</w:t>
      </w:r>
      <w:r>
        <w:t xml:space="preserve">“</w:t>
      </w:r>
      <w:r>
        <w:t xml:space="preserve">Being a restriction is excluding what is other than its own kind.</w:t>
      </w:r>
      <w:r>
        <w:t xml:space="preserve">”</w:t>
      </w:r>
      <w:r>
        <w:t xml:space="preserve">) By this restriction it is settled that if there is connection with an</w:t>
      </w:r>
      <w:r>
        <w:t xml:space="preserve"> </w:t>
      </w:r>
      <w:r>
        <w:rPr>
          <w:iCs/>
          <w:i/>
        </w:rPr>
        <w:t xml:space="preserve">upapada</w:t>
      </w:r>
      <w:r>
        <w:t xml:space="preserve"> </w:t>
      </w:r>
      <w:r>
        <w:t xml:space="preserve">other than</w:t>
      </w:r>
      <w:r>
        <w:t xml:space="preserve"> </w:t>
      </w:r>
      <w:r>
        <w:rPr>
          <w:iCs/>
          <w:i/>
        </w:rPr>
        <w:t xml:space="preserve">brahma</w:t>
      </w:r>
      <w:r>
        <w:t xml:space="preserve"> </w:t>
      </w:r>
      <w:r>
        <w:t xml:space="preserve">and the rest,</w:t>
      </w:r>
      <w:r>
        <w:t xml:space="preserve"> </w:t>
      </w:r>
      <w:r>
        <w:rPr>
          <w:iCs/>
          <w:i/>
        </w:rPr>
        <w:t xml:space="preserve">kvip</w:t>
      </w:r>
      <w:r>
        <w:t xml:space="preserve"> </w:t>
      </w:r>
      <w:r>
        <w:t xml:space="preserve">does not come after the root</w:t>
      </w:r>
      <w:r>
        <w:t xml:space="preserve"> </w:t>
      </w:r>
      <w:r>
        <w:rPr>
          <w:iCs/>
          <w:i/>
        </w:rPr>
        <w:t xml:space="preserve">han</w:t>
      </w:r>
      <w:r>
        <w:t xml:space="preserve"> </w:t>
      </w:r>
      <w:r>
        <w:t xml:space="preserve">in the past sense. Example: for</w:t>
      </w:r>
      <w:r>
        <w:t xml:space="preserve"> </w:t>
      </w:r>
      <w:r>
        <w:rPr>
          <w:iCs/>
          <w:i/>
        </w:rPr>
        <w:t xml:space="preserve">puruṣaṃ hatavān</w:t>
      </w:r>
      <w:r>
        <w:t xml:space="preserve">, the form</w:t>
      </w:r>
      <w:r>
        <w:t xml:space="preserve"> </w:t>
      </w:r>
      <w:r>
        <w:rPr>
          <w:iCs/>
          <w:i/>
        </w:rPr>
        <w:t xml:space="preserve">puruṣahā</w:t>
      </w:r>
      <w:r>
        <w:t xml:space="preserve"> </w:t>
      </w:r>
      <w:r>
        <w:t xml:space="preserve">is not used. Though not used in the past sense, in the present and future senses,</w:t>
      </w:r>
      <w:r>
        <w:t xml:space="preserve"> </w:t>
      </w:r>
      <w:r>
        <w:rPr>
          <w:iCs/>
          <w:i/>
        </w:rPr>
        <w:t xml:space="preserve">puruṣaṃ hanti</w:t>
      </w:r>
      <w:r>
        <w:t xml:space="preserve">,</w:t>
      </w:r>
      <w:r>
        <w:t xml:space="preserve"> </w:t>
      </w:r>
      <w:r>
        <w:rPr>
          <w:iCs/>
          <w:i/>
        </w:rPr>
        <w:t xml:space="preserve">puruṣaṃ haniṣyati</w:t>
      </w:r>
      <w:r>
        <w:t xml:space="preserve">,</w:t>
      </w:r>
      <w:r>
        <w:t xml:space="preserve"> </w:t>
      </w:r>
      <w:r>
        <w:rPr>
          <w:iCs/>
          <w:i/>
        </w:rPr>
        <w:t xml:space="preserve">kvip</w:t>
      </w:r>
      <w:r>
        <w:t xml:space="preserve"> </w:t>
      </w:r>
      <w:r>
        <w:t xml:space="preserve">does come, and in those senses</w:t>
      </w:r>
      <w:r>
        <w:t xml:space="preserve"> </w:t>
      </w:r>
      <w:r>
        <w:rPr>
          <w:iCs/>
          <w:i/>
        </w:rPr>
        <w:t xml:space="preserve">puruṣahā</w:t>
      </w:r>
      <w:r>
        <w:t xml:space="preserve"> </w:t>
      </w:r>
      <w:r>
        <w:t xml:space="preserve">is correct. This restriction is called</w:t>
      </w:r>
      <w:r>
        <w:t xml:space="preserve"> </w:t>
      </w:r>
      <w:r>
        <w:rPr>
          <w:iCs/>
          <w:i/>
        </w:rPr>
        <w:t xml:space="preserve">prakṛti-niyama</w:t>
      </w:r>
      <w:r>
        <w:t xml:space="preserve">; the name comes because its result is to exclude other</w:t>
      </w:r>
      <w:r>
        <w:t xml:space="preserve"> </w:t>
      </w:r>
      <w:r>
        <w:rPr>
          <w:iCs/>
          <w:i/>
        </w:rPr>
        <w:t xml:space="preserve">upapadas</w:t>
      </w:r>
      <w:r>
        <w:t xml:space="preserve"> </w:t>
      </w:r>
      <w:r>
        <w:t xml:space="preserve">from the base. Next, when the restriction is stated as</w:t>
      </w:r>
    </w:p>
    <w:p>
      <w:pPr>
        <w:pStyle w:val="BlockText"/>
      </w:pPr>
      <w:r>
        <w:t xml:space="preserve">ब्रह्मादिषु उपपदेषु हन्तेरेव भूते क्विप्</w:t>
      </w:r>
    </w:p>
    <w:p>
      <w:pPr>
        <w:pStyle w:val="BlockText"/>
      </w:pPr>
      <w:r>
        <w:rPr>
          <w:iCs/>
          <w:i/>
        </w:rPr>
        <w:t xml:space="preserve">brahmādiṣu upapadeṣu hantereva bhūte kvip</w:t>
      </w:r>
    </w:p>
    <w:p>
      <w:pPr>
        <w:pStyle w:val="FirstParagraph"/>
      </w:pPr>
      <w:r>
        <w:t xml:space="preserve">(</w:t>
      </w:r>
      <w:r>
        <w:t xml:space="preserve">“</w:t>
      </w:r>
      <w:r>
        <w:t xml:space="preserve">When</w:t>
      </w:r>
      <w:r>
        <w:t xml:space="preserve"> </w:t>
      </w:r>
      <w:r>
        <w:rPr>
          <w:iCs/>
          <w:i/>
        </w:rPr>
        <w:t xml:space="preserve">brahma</w:t>
      </w:r>
      <w:r>
        <w:t xml:space="preserve"> </w:t>
      </w:r>
      <w:r>
        <w:t xml:space="preserve">and the rest are</w:t>
      </w:r>
      <w:r>
        <w:t xml:space="preserve"> </w:t>
      </w:r>
      <w:r>
        <w:rPr>
          <w:iCs/>
          <w:i/>
        </w:rPr>
        <w:t xml:space="preserve">upapada</w:t>
      </w:r>
      <w:r>
        <w:t xml:space="preserve">,</w:t>
      </w:r>
      <w:r>
        <w:t xml:space="preserve"> </w:t>
      </w:r>
      <w:r>
        <w:rPr>
          <w:iCs/>
          <w:i/>
        </w:rPr>
        <w:t xml:space="preserve">kvip</w:t>
      </w:r>
      <w:r>
        <w:t xml:space="preserve"> </w:t>
      </w:r>
      <w:r>
        <w:t xml:space="preserve">in the past only after</w:t>
      </w:r>
      <w:r>
        <w:t xml:space="preserve"> </w:t>
      </w:r>
      <w:r>
        <w:rPr>
          <w:iCs/>
          <w:i/>
        </w:rPr>
        <w:t xml:space="preserve">han</w:t>
      </w:r>
      <w:r>
        <w:t xml:space="preserve">”</w:t>
      </w:r>
      <w:r>
        <w:t xml:space="preserve">), the</w:t>
      </w:r>
      <w:r>
        <w:t xml:space="preserve"> </w:t>
      </w:r>
      <w:r>
        <w:rPr>
          <w:iCs/>
          <w:i/>
        </w:rPr>
        <w:t xml:space="preserve">upapada</w:t>
      </w:r>
      <w:r>
        <w:t xml:space="preserve"> </w:t>
      </w:r>
      <w:r>
        <w:t xml:space="preserve">and</w:t>
      </w:r>
      <w:r>
        <w:t xml:space="preserve"> </w:t>
      </w:r>
      <w:r>
        <w:rPr>
          <w:iCs/>
          <w:i/>
        </w:rPr>
        <w:t xml:space="preserve">bhūte</w:t>
      </w:r>
      <w:r>
        <w:t xml:space="preserve">, the word for the time, both stand equally near; yet since the</w:t>
      </w:r>
      <w:r>
        <w:t xml:space="preserve"> </w:t>
      </w:r>
      <w:r>
        <w:rPr>
          <w:iCs/>
          <w:i/>
        </w:rPr>
        <w:t xml:space="preserve">upapada</w:t>
      </w:r>
      <w:r>
        <w:t xml:space="preserve"> </w:t>
      </w:r>
      <w:r>
        <w:t xml:space="preserve">is named first, it is called an</w:t>
      </w:r>
      <w:r>
        <w:t xml:space="preserve"> </w:t>
      </w:r>
      <w:r>
        <w:rPr>
          <w:iCs/>
          <w:i/>
        </w:rPr>
        <w:t xml:space="preserve">upapada-niyama</w:t>
      </w:r>
      <w:r>
        <w:t xml:space="preserve">. By it, when this</w:t>
      </w:r>
      <w:r>
        <w:t xml:space="preserve"> </w:t>
      </w:r>
      <w:r>
        <w:rPr>
          <w:iCs/>
          <w:i/>
        </w:rPr>
        <w:t xml:space="preserve">upapada</w:t>
      </w:r>
      <w:r>
        <w:t xml:space="preserve"> </w:t>
      </w:r>
      <w:r>
        <w:t xml:space="preserve">is connected,</w:t>
      </w:r>
      <w:r>
        <w:t xml:space="preserve"> </w:t>
      </w:r>
      <w:r>
        <w:rPr>
          <w:iCs/>
          <w:i/>
        </w:rPr>
        <w:t xml:space="preserve">kvip</w:t>
      </w:r>
      <w:r>
        <w:t xml:space="preserve"> </w:t>
      </w:r>
      <w:r>
        <w:t xml:space="preserve">does not come in the past sense after other roots. Example: for</w:t>
      </w:r>
      <w:r>
        <w:t xml:space="preserve"> </w:t>
      </w:r>
      <w:r>
        <w:rPr>
          <w:iCs/>
          <w:i/>
        </w:rPr>
        <w:t xml:space="preserve">vṛtraṃ jitavān</w:t>
      </w:r>
      <w:r>
        <w:t xml:space="preserve">, with</w:t>
      </w:r>
      <w:r>
        <w:t xml:space="preserve"> </w:t>
      </w:r>
      <w:r>
        <w:rPr>
          <w:iCs/>
          <w:i/>
        </w:rPr>
        <w:t xml:space="preserve">vṛtra</w:t>
      </w:r>
      <w:r>
        <w:t xml:space="preserve"> </w:t>
      </w:r>
      <w:r>
        <w:t xml:space="preserve">as</w:t>
      </w:r>
      <w:r>
        <w:t xml:space="preserve"> </w:t>
      </w:r>
      <w:r>
        <w:rPr>
          <w:iCs/>
          <w:i/>
        </w:rPr>
        <w:t xml:space="preserve">upapada</w:t>
      </w:r>
      <w:r>
        <w:t xml:space="preserve">,</w:t>
      </w:r>
      <w:r>
        <w:t xml:space="preserve"> </w:t>
      </w:r>
      <w:r>
        <w:rPr>
          <w:iCs/>
          <w:i/>
        </w:rPr>
        <w:t xml:space="preserve">kvip</w:t>
      </w:r>
      <w:r>
        <w:t xml:space="preserve"> </w:t>
      </w:r>
      <w:r>
        <w:t xml:space="preserve">does not come after the root</w:t>
      </w:r>
      <w:r>
        <w:t xml:space="preserve"> </w:t>
      </w:r>
      <w:r>
        <w:rPr>
          <w:iCs/>
          <w:i/>
        </w:rPr>
        <w:t xml:space="preserve">ji</w:t>
      </w:r>
      <w:r>
        <w:t xml:space="preserve"> </w:t>
      </w:r>
      <w:r>
        <w:t xml:space="preserve">in the past sense, so</w:t>
      </w:r>
      <w:r>
        <w:t xml:space="preserve"> </w:t>
      </w:r>
      <w:r>
        <w:rPr>
          <w:iCs/>
          <w:i/>
        </w:rPr>
        <w:t xml:space="preserve">vṛtrajit</w:t>
      </w:r>
      <w:r>
        <w:t xml:space="preserve"> </w:t>
      </w:r>
      <w:r>
        <w:t xml:space="preserve">is not a correct usage in that sense. When the present and future times are meant,</w:t>
      </w:r>
      <w:r>
        <w:t xml:space="preserve"> </w:t>
      </w:r>
      <w:r>
        <w:rPr>
          <w:iCs/>
          <w:i/>
        </w:rPr>
        <w:t xml:space="preserve">vṛtraṃ jayati</w:t>
      </w:r>
      <w:r>
        <w:t xml:space="preserve">,</w:t>
      </w:r>
      <w:r>
        <w:t xml:space="preserve"> </w:t>
      </w:r>
      <w:r>
        <w:rPr>
          <w:iCs/>
          <w:i/>
        </w:rPr>
        <w:t xml:space="preserve">vṛtraṃ jeṣyati</w:t>
      </w:r>
      <w:r>
        <w:t xml:space="preserve">, with</w:t>
      </w:r>
      <w:r>
        <w:t xml:space="preserve"> </w:t>
      </w:r>
      <w:r>
        <w:rPr>
          <w:iCs/>
          <w:i/>
        </w:rPr>
        <w:t xml:space="preserve">brahma</w:t>
      </w:r>
      <w:r>
        <w:t xml:space="preserve"> </w:t>
      </w:r>
      <w:r>
        <w:t xml:space="preserve">and the rest as</w:t>
      </w:r>
      <w:r>
        <w:t xml:space="preserve"> </w:t>
      </w:r>
      <w:r>
        <w:rPr>
          <w:iCs/>
          <w:i/>
        </w:rPr>
        <w:t xml:space="preserve">upapada</w:t>
      </w:r>
      <w:r>
        <w:t xml:space="preserve">,</w:t>
      </w:r>
    </w:p>
    <w:bookmarkEnd w:id="764"/>
    <w:bookmarkStart w:id="765" w:name="page-701-rik-8-grammar"/>
    <w:p>
      <w:pPr>
        <w:pStyle w:val="Heading3"/>
      </w:pPr>
      <w:r>
        <w:t xml:space="preserve">Page 701 — Rik 8: grammar</w:t>
      </w:r>
    </w:p>
    <w:p>
      <w:pPr>
        <w:pStyle w:val="FirstParagraph"/>
      </w:pPr>
      <w:r>
        <w:t xml:space="preserve">since the exclusion that</w:t>
      </w:r>
      <w:r>
        <w:t xml:space="preserve"> </w:t>
      </w:r>
      <w:r>
        <w:rPr>
          <w:iCs/>
          <w:i/>
        </w:rPr>
        <w:t xml:space="preserve">kvip</w:t>
      </w:r>
      <w:r>
        <w:t xml:space="preserve"> </w:t>
      </w:r>
      <w:r>
        <w:t xml:space="preserve">does not come in the past sense after a root other than</w:t>
      </w:r>
      <w:r>
        <w:t xml:space="preserve"> </w:t>
      </w:r>
      <w:r>
        <w:rPr>
          <w:iCs/>
          <w:i/>
        </w:rPr>
        <w:t xml:space="preserve">han</w:t>
      </w:r>
      <w:r>
        <w:t xml:space="preserve"> </w:t>
      </w:r>
      <w:r>
        <w:t xml:space="preserve">is settled, the usage</w:t>
      </w:r>
      <w:r>
        <w:t xml:space="preserve"> </w:t>
      </w:r>
      <w:r>
        <w:rPr>
          <w:iCs/>
          <w:i/>
        </w:rPr>
        <w:t xml:space="preserve">vṛtrajit</w:t>
      </w:r>
      <w:r>
        <w:t xml:space="preserve"> </w:t>
      </w:r>
      <w:r>
        <w:t xml:space="preserve">is correct. Thus there are two restrictions,</w:t>
      </w:r>
      <w:r>
        <w:t xml:space="preserve"> </w:t>
      </w:r>
      <w:r>
        <w:rPr>
          <w:iCs/>
          <w:i/>
        </w:rPr>
        <w:t xml:space="preserve">prakṛti-niyama</w:t>
      </w:r>
      <w:r>
        <w:t xml:space="preserve"> </w:t>
      </w:r>
      <w:r>
        <w:t xml:space="preserve">and</w:t>
      </w:r>
      <w:r>
        <w:t xml:space="preserve"> </w:t>
      </w:r>
      <w:r>
        <w:rPr>
          <w:iCs/>
          <w:i/>
        </w:rPr>
        <w:t xml:space="preserve">upapada-niyama</w:t>
      </w:r>
      <w:r>
        <w:t xml:space="preserve">. Next, if the restriction takes the form</w:t>
      </w:r>
    </w:p>
    <w:p>
      <w:pPr>
        <w:pStyle w:val="BlockText"/>
      </w:pPr>
      <w:r>
        <w:t xml:space="preserve">ब्रह्मादिषु उपपदेषु हन्तेः भूते क्विबेव</w:t>
      </w:r>
    </w:p>
    <w:p>
      <w:pPr>
        <w:pStyle w:val="BlockText"/>
      </w:pPr>
      <w:r>
        <w:rPr>
          <w:iCs/>
          <w:i/>
        </w:rPr>
        <w:t xml:space="preserve">brahmādiṣu upapadeṣu hanteḥ bhūte kvibeva</w:t>
      </w:r>
    </w:p>
    <w:p>
      <w:pPr>
        <w:pStyle w:val="FirstParagraph"/>
      </w:pPr>
      <w:r>
        <w:t xml:space="preserve">(</w:t>
      </w:r>
      <w:r>
        <w:t xml:space="preserve">“</w:t>
      </w:r>
      <w:r>
        <w:t xml:space="preserve">When</w:t>
      </w:r>
      <w:r>
        <w:t xml:space="preserve"> </w:t>
      </w:r>
      <w:r>
        <w:rPr>
          <w:iCs/>
          <w:i/>
        </w:rPr>
        <w:t xml:space="preserve">brahma</w:t>
      </w:r>
      <w:r>
        <w:t xml:space="preserve"> </w:t>
      </w:r>
      <w:r>
        <w:t xml:space="preserve">and the rest are</w:t>
      </w:r>
      <w:r>
        <w:t xml:space="preserve"> </w:t>
      </w:r>
      <w:r>
        <w:rPr>
          <w:iCs/>
          <w:i/>
        </w:rPr>
        <w:t xml:space="preserve">upapada</w:t>
      </w:r>
      <w:r>
        <w:t xml:space="preserve">, after</w:t>
      </w:r>
      <w:r>
        <w:t xml:space="preserve"> </w:t>
      </w:r>
      <w:r>
        <w:rPr>
          <w:iCs/>
          <w:i/>
        </w:rPr>
        <w:t xml:space="preserve">han</w:t>
      </w:r>
      <w:r>
        <w:t xml:space="preserve"> </w:t>
      </w:r>
      <w:r>
        <w:t xml:space="preserve">in the past only</w:t>
      </w:r>
      <w:r>
        <w:t xml:space="preserve"> </w:t>
      </w:r>
      <w:r>
        <w:rPr>
          <w:iCs/>
          <w:i/>
        </w:rPr>
        <w:t xml:space="preserve">kvip</w:t>
      </w:r>
      <w:r>
        <w:t xml:space="preserve">”</w:t>
      </w:r>
      <w:r>
        <w:t xml:space="preserve">), here</w:t>
      </w:r>
      <w:r>
        <w:t xml:space="preserve"> </w:t>
      </w:r>
      <w:r>
        <w:rPr>
          <w:iCs/>
          <w:i/>
        </w:rPr>
        <w:t xml:space="preserve">hanteḥ</w:t>
      </w:r>
      <w:r>
        <w:t xml:space="preserve"> </w:t>
      </w:r>
      <w:r>
        <w:t xml:space="preserve">and</w:t>
      </w:r>
      <w:r>
        <w:t xml:space="preserve"> </w:t>
      </w:r>
      <w:r>
        <w:rPr>
          <w:iCs/>
          <w:i/>
        </w:rPr>
        <w:t xml:space="preserve">kvip</w:t>
      </w:r>
      <w:r>
        <w:t xml:space="preserve"> </w:t>
      </w:r>
      <w:r>
        <w:t xml:space="preserve">both stand equally near; though they are equal, the suffix is the principal thing, so this is a</w:t>
      </w:r>
      <w:r>
        <w:t xml:space="preserve"> </w:t>
      </w:r>
      <w:r>
        <w:rPr>
          <w:iCs/>
          <w:i/>
        </w:rPr>
        <w:t xml:space="preserve">pratyaya-niyama</w:t>
      </w:r>
      <w:r>
        <w:t xml:space="preserve">. By it it is settled that, with</w:t>
      </w:r>
      <w:r>
        <w:t xml:space="preserve"> </w:t>
      </w:r>
      <w:r>
        <w:rPr>
          <w:iCs/>
          <w:i/>
        </w:rPr>
        <w:t xml:space="preserve">brahma</w:t>
      </w:r>
      <w:r>
        <w:t xml:space="preserve"> </w:t>
      </w:r>
      <w:r>
        <w:t xml:space="preserve">and the rest as</w:t>
      </w:r>
      <w:r>
        <w:t xml:space="preserve"> </w:t>
      </w:r>
      <w:r>
        <w:rPr>
          <w:iCs/>
          <w:i/>
        </w:rPr>
        <w:t xml:space="preserve">upapada</w:t>
      </w:r>
      <w:r>
        <w:t xml:space="preserve">,</w:t>
      </w:r>
      <w:r>
        <w:t xml:space="preserve"> </w:t>
      </w:r>
      <w:r>
        <w:rPr>
          <w:iCs/>
          <w:i/>
        </w:rPr>
        <w:t xml:space="preserve">kvip</w:t>
      </w:r>
      <w:r>
        <w:t xml:space="preserve"> </w:t>
      </w:r>
      <w:r>
        <w:t xml:space="preserve">does not come after the root</w:t>
      </w:r>
      <w:r>
        <w:t xml:space="preserve"> </w:t>
      </w:r>
      <w:r>
        <w:rPr>
          <w:iCs/>
          <w:i/>
        </w:rPr>
        <w:t xml:space="preserve">han</w:t>
      </w:r>
      <w:r>
        <w:t xml:space="preserve"> </w:t>
      </w:r>
      <w:r>
        <w:t xml:space="preserve">at a time other than the past. Example: in the senses</w:t>
      </w:r>
      <w:r>
        <w:t xml:space="preserve"> </w:t>
      </w:r>
      <w:r>
        <w:rPr>
          <w:iCs/>
          <w:i/>
        </w:rPr>
        <w:t xml:space="preserve">brāhmaṇaṃ hanti</w:t>
      </w:r>
      <w:r>
        <w:t xml:space="preserve">,</w:t>
      </w:r>
      <w:r>
        <w:t xml:space="preserve"> </w:t>
      </w:r>
      <w:r>
        <w:rPr>
          <w:iCs/>
          <w:i/>
        </w:rPr>
        <w:t xml:space="preserve">brāhmaṇaṃ haniṣyati</w:t>
      </w:r>
      <w:r>
        <w:t xml:space="preserve">, present and future time being understood,</w:t>
      </w:r>
      <w:r>
        <w:t xml:space="preserve"> </w:t>
      </w:r>
      <w:r>
        <w:rPr>
          <w:iCs/>
          <w:i/>
        </w:rPr>
        <w:t xml:space="preserve">kvip</w:t>
      </w:r>
      <w:r>
        <w:t xml:space="preserve"> </w:t>
      </w:r>
      <w:r>
        <w:t xml:space="preserve">does not come; so in these senses</w:t>
      </w:r>
      <w:r>
        <w:t xml:space="preserve"> </w:t>
      </w:r>
      <w:r>
        <w:rPr>
          <w:iCs/>
          <w:i/>
        </w:rPr>
        <w:t xml:space="preserve">brahmahā</w:t>
      </w:r>
      <w:r>
        <w:t xml:space="preserve"> </w:t>
      </w:r>
      <w:r>
        <w:t xml:space="preserve">is not formed. With these</w:t>
      </w:r>
      <w:r>
        <w:t xml:space="preserve"> </w:t>
      </w:r>
      <w:r>
        <w:rPr>
          <w:iCs/>
          <w:i/>
        </w:rPr>
        <w:t xml:space="preserve">upapadas</w:t>
      </w:r>
      <w:r>
        <w:t xml:space="preserve"> </w:t>
      </w:r>
      <w:r>
        <w:t xml:space="preserve">absent, even if</w:t>
      </w:r>
      <w:r>
        <w:t xml:space="preserve"> </w:t>
      </w:r>
      <w:r>
        <w:rPr>
          <w:iCs/>
          <w:i/>
        </w:rPr>
        <w:t xml:space="preserve">kvip</w:t>
      </w:r>
      <w:r>
        <w:t xml:space="preserve"> </w:t>
      </w:r>
      <w:r>
        <w:t xml:space="preserve">does not come after</w:t>
      </w:r>
      <w:r>
        <w:t xml:space="preserve"> </w:t>
      </w:r>
      <w:r>
        <w:rPr>
          <w:iCs/>
          <w:i/>
        </w:rPr>
        <w:t xml:space="preserve">han</w:t>
      </w:r>
      <w:r>
        <w:t xml:space="preserve"> </w:t>
      </w:r>
      <w:r>
        <w:t xml:space="preserve">in the past sense, when there is connection with another</w:t>
      </w:r>
      <w:r>
        <w:t xml:space="preserve"> </w:t>
      </w:r>
      <w:r>
        <w:rPr>
          <w:iCs/>
          <w:i/>
        </w:rPr>
        <w:t xml:space="preserve">upapada</w:t>
      </w:r>
      <w:r>
        <w:t xml:space="preserve"> </w:t>
      </w:r>
      <w:r>
        <w:t xml:space="preserve">it does come after</w:t>
      </w:r>
      <w:r>
        <w:t xml:space="preserve"> </w:t>
      </w:r>
      <w:r>
        <w:rPr>
          <w:iCs/>
          <w:i/>
        </w:rPr>
        <w:t xml:space="preserve">han</w:t>
      </w:r>
      <w:r>
        <w:t xml:space="preserve"> </w:t>
      </w:r>
      <w:r>
        <w:t xml:space="preserve">in the past sense: for</w:t>
      </w:r>
      <w:r>
        <w:t xml:space="preserve"> </w:t>
      </w:r>
      <w:r>
        <w:rPr>
          <w:iCs/>
          <w:i/>
        </w:rPr>
        <w:t xml:space="preserve">puruṣaṃ hanti</w:t>
      </w:r>
      <w:r>
        <w:t xml:space="preserve"> </w:t>
      </w:r>
      <w:r>
        <w:t xml:space="preserve">or</w:t>
      </w:r>
      <w:r>
        <w:t xml:space="preserve"> </w:t>
      </w:r>
      <w:r>
        <w:rPr>
          <w:iCs/>
          <w:i/>
        </w:rPr>
        <w:t xml:space="preserve">haniṣyati</w:t>
      </w:r>
      <w:r>
        <w:t xml:space="preserve">,</w:t>
      </w:r>
      <w:r>
        <w:t xml:space="preserve"> </w:t>
      </w:r>
      <w:r>
        <w:rPr>
          <w:iCs/>
          <w:i/>
        </w:rPr>
        <w:t xml:space="preserve">puruṣahā</w:t>
      </w:r>
      <w:r>
        <w:t xml:space="preserve"> </w:t>
      </w:r>
      <w:r>
        <w:t xml:space="preserve">is formed. When the restriction is</w:t>
      </w:r>
    </w:p>
    <w:p>
      <w:pPr>
        <w:pStyle w:val="BlockText"/>
      </w:pPr>
      <w:r>
        <w:t xml:space="preserve">ब्रह्मादिषु उपपदेषु हन्तेः भूत एव क्विप्</w:t>
      </w:r>
    </w:p>
    <w:p>
      <w:pPr>
        <w:pStyle w:val="BlockText"/>
      </w:pPr>
      <w:r>
        <w:rPr>
          <w:iCs/>
          <w:i/>
        </w:rPr>
        <w:t xml:space="preserve">brahmādiṣu upapadeṣu hanteḥ bhūta eva kvip</w:t>
      </w:r>
    </w:p>
    <w:p>
      <w:pPr>
        <w:pStyle w:val="FirstParagraph"/>
      </w:pPr>
      <w:r>
        <w:t xml:space="preserve">(</w:t>
      </w:r>
      <w:r>
        <w:t xml:space="preserve">“</w:t>
      </w:r>
      <w:r>
        <w:t xml:space="preserve">When</w:t>
      </w:r>
      <w:r>
        <w:t xml:space="preserve"> </w:t>
      </w:r>
      <w:r>
        <w:rPr>
          <w:iCs/>
          <w:i/>
        </w:rPr>
        <w:t xml:space="preserve">brahma</w:t>
      </w:r>
      <w:r>
        <w:t xml:space="preserve"> </w:t>
      </w:r>
      <w:r>
        <w:t xml:space="preserve">and the rest are</w:t>
      </w:r>
      <w:r>
        <w:t xml:space="preserve"> </w:t>
      </w:r>
      <w:r>
        <w:rPr>
          <w:iCs/>
          <w:i/>
        </w:rPr>
        <w:t xml:space="preserve">upapada</w:t>
      </w:r>
      <w:r>
        <w:t xml:space="preserve">,</w:t>
      </w:r>
      <w:r>
        <w:t xml:space="preserve"> </w:t>
      </w:r>
      <w:r>
        <w:rPr>
          <w:iCs/>
          <w:i/>
        </w:rPr>
        <w:t xml:space="preserve">kvip</w:t>
      </w:r>
      <w:r>
        <w:t xml:space="preserve"> </w:t>
      </w:r>
      <w:r>
        <w:t xml:space="preserve">after</w:t>
      </w:r>
      <w:r>
        <w:t xml:space="preserve"> </w:t>
      </w:r>
      <w:r>
        <w:rPr>
          <w:iCs/>
          <w:i/>
        </w:rPr>
        <w:t xml:space="preserve">han</w:t>
      </w:r>
      <w:r>
        <w:t xml:space="preserve"> </w:t>
      </w:r>
      <w:r>
        <w:t xml:space="preserve">only in the past</w:t>
      </w:r>
      <w:r>
        <w:t xml:space="preserve">”</w:t>
      </w:r>
      <w:r>
        <w:t xml:space="preserve">), since</w:t>
      </w:r>
      <w:r>
        <w:t xml:space="preserve"> </w:t>
      </w:r>
      <w:r>
        <w:rPr>
          <w:iCs/>
          <w:i/>
        </w:rPr>
        <w:t xml:space="preserve">bhūte</w:t>
      </w:r>
      <w:r>
        <w:t xml:space="preserve"> </w:t>
      </w:r>
      <w:r>
        <w:t xml:space="preserve">stands next to it, it is a</w:t>
      </w:r>
      <w:r>
        <w:t xml:space="preserve"> </w:t>
      </w:r>
      <w:r>
        <w:rPr>
          <w:iCs/>
          <w:i/>
        </w:rPr>
        <w:t xml:space="preserve">kāla-niyama</w:t>
      </w:r>
      <w:r>
        <w:t xml:space="preserve">, a restriction of time, by the maxim</w:t>
      </w:r>
      <w:r>
        <w:t xml:space="preserve"> </w:t>
      </w:r>
      <w:r>
        <w:rPr>
          <w:iCs/>
          <w:i/>
        </w:rPr>
        <w:t xml:space="preserve">yata evakāraḥ</w:t>
      </w:r>
      <w:r>
        <w:t xml:space="preserve">. By it it is settled that, with</w:t>
      </w:r>
      <w:r>
        <w:t xml:space="preserve"> </w:t>
      </w:r>
      <w:r>
        <w:rPr>
          <w:iCs/>
          <w:i/>
        </w:rPr>
        <w:t xml:space="preserve">brahma</w:t>
      </w:r>
      <w:r>
        <w:t xml:space="preserve"> </w:t>
      </w:r>
      <w:r>
        <w:t xml:space="preserve">and the rest as</w:t>
      </w:r>
      <w:r>
        <w:t xml:space="preserve"> </w:t>
      </w:r>
      <w:r>
        <w:rPr>
          <w:iCs/>
          <w:i/>
        </w:rPr>
        <w:t xml:space="preserve">upapada</w:t>
      </w:r>
      <w:r>
        <w:t xml:space="preserve">, no suffix other than</w:t>
      </w:r>
      <w:r>
        <w:t xml:space="preserve"> </w:t>
      </w:r>
      <w:r>
        <w:rPr>
          <w:iCs/>
          <w:i/>
        </w:rPr>
        <w:t xml:space="preserve">kvip</w:t>
      </w:r>
      <w:r>
        <w:t xml:space="preserve"> </w:t>
      </w:r>
      <w:r>
        <w:t xml:space="preserve">comes after the root</w:t>
      </w:r>
      <w:r>
        <w:t xml:space="preserve"> </w:t>
      </w:r>
      <w:r>
        <w:rPr>
          <w:iCs/>
          <w:i/>
        </w:rPr>
        <w:t xml:space="preserve">han</w:t>
      </w:r>
      <w:r>
        <w:t xml:space="preserve"> </w:t>
      </w:r>
      <w:r>
        <w:t xml:space="preserve">in the past sense. So for</w:t>
      </w:r>
      <w:r>
        <w:t xml:space="preserve"> </w:t>
      </w:r>
      <w:r>
        <w:rPr>
          <w:iCs/>
          <w:i/>
        </w:rPr>
        <w:t xml:space="preserve">brāhmaṇaṃ hatavān</w:t>
      </w:r>
      <w:r>
        <w:t xml:space="preserve"> </w:t>
      </w:r>
      <w:r>
        <w:t xml:space="preserve">the suffix</w:t>
      </w:r>
      <w:r>
        <w:t xml:space="preserve"> </w:t>
      </w:r>
      <w:r>
        <w:rPr>
          <w:iCs/>
          <w:i/>
        </w:rPr>
        <w:t xml:space="preserve">ṇini</w:t>
      </w:r>
      <w:r>
        <w:t xml:space="preserve"> </w:t>
      </w:r>
      <w:r>
        <w:t xml:space="preserve">in the past sense by</w:t>
      </w:r>
      <w:r>
        <w:t xml:space="preserve"> </w:t>
      </w:r>
      <w:r>
        <w:t xml:space="preserve">“</w:t>
      </w:r>
      <w:r>
        <w:t xml:space="preserve">karmaṇi hanaḥ</w:t>
      </w:r>
      <w:r>
        <w:t xml:space="preserve">”</w:t>
      </w:r>
      <w:r>
        <w:t xml:space="preserve"> </w:t>
      </w:r>
      <w:r>
        <w:t xml:space="preserve">(Pā. sū. 3-2-86) does not come, and the usage</w:t>
      </w:r>
      <w:r>
        <w:t xml:space="preserve"> </w:t>
      </w:r>
      <w:r>
        <w:rPr>
          <w:iCs/>
          <w:i/>
        </w:rPr>
        <w:t xml:space="preserve">brahmaghātī</w:t>
      </w:r>
      <w:r>
        <w:t xml:space="preserve"> </w:t>
      </w:r>
      <w:r>
        <w:t xml:space="preserve">is not correct. But since the restriction contains</w:t>
      </w:r>
      <w:r>
        <w:t xml:space="preserve"> </w:t>
      </w:r>
      <w:r>
        <w:t xml:space="preserve">“</w:t>
      </w:r>
      <w:r>
        <w:rPr>
          <w:iCs/>
          <w:i/>
        </w:rPr>
        <w:t xml:space="preserve">brahmādiṣu</w:t>
      </w:r>
      <w:r>
        <w:t xml:space="preserve">”</w:t>
      </w:r>
      <w:r>
        <w:t xml:space="preserve">, when other words are the</w:t>
      </w:r>
      <w:r>
        <w:t xml:space="preserve"> </w:t>
      </w:r>
      <w:r>
        <w:rPr>
          <w:iCs/>
          <w:i/>
        </w:rPr>
        <w:t xml:space="preserve">upapada</w:t>
      </w:r>
      <w:r>
        <w:t xml:space="preserve">,</w:t>
      </w:r>
      <w:r>
        <w:t xml:space="preserve"> </w:t>
      </w:r>
      <w:r>
        <w:rPr>
          <w:iCs/>
          <w:i/>
        </w:rPr>
        <w:t xml:space="preserve">kvip</w:t>
      </w:r>
      <w:r>
        <w:t xml:space="preserve"> </w:t>
      </w:r>
      <w:r>
        <w:t xml:space="preserve">does come after the root</w:t>
      </w:r>
      <w:r>
        <w:t xml:space="preserve"> </w:t>
      </w:r>
      <w:r>
        <w:rPr>
          <w:iCs/>
          <w:i/>
        </w:rPr>
        <w:t xml:space="preserve">han</w:t>
      </w:r>
      <w:r>
        <w:t xml:space="preserve"> </w:t>
      </w:r>
      <w:r>
        <w:t xml:space="preserve">in the past sense [as printed; the example is a</w:t>
      </w:r>
      <w:r>
        <w:t xml:space="preserve"> </w:t>
      </w:r>
      <w:r>
        <w:rPr>
          <w:iCs/>
          <w:i/>
        </w:rPr>
        <w:t xml:space="preserve">ṇini</w:t>
      </w:r>
      <w:r>
        <w:t xml:space="preserve"> </w:t>
      </w:r>
      <w:r>
        <w:t xml:space="preserve">form]: example,</w:t>
      </w:r>
      <w:r>
        <w:t xml:space="preserve"> </w:t>
      </w:r>
      <w:r>
        <w:rPr>
          <w:iCs/>
          <w:i/>
        </w:rPr>
        <w:t xml:space="preserve">pitṛvyaṃ hatavān</w:t>
      </w:r>
      <w:r>
        <w:t xml:space="preserve">,</w:t>
      </w:r>
      <w:r>
        <w:t xml:space="preserve"> </w:t>
      </w:r>
      <w:r>
        <w:rPr>
          <w:iCs/>
          <w:i/>
        </w:rPr>
        <w:t xml:space="preserve">pitṛvyaghātī</w:t>
      </w:r>
      <w:r>
        <w:t xml:space="preserve">. The Kāśikā’s view is that the sūtra</w:t>
      </w:r>
      <w:r>
        <w:t xml:space="preserve"> </w:t>
      </w:r>
      <w:r>
        <w:t xml:space="preserve">“</w:t>
      </w:r>
      <w:r>
        <w:t xml:space="preserve">brahma-bhrūṇa-vṛtreṣu kvip</w:t>
      </w:r>
      <w:r>
        <w:t xml:space="preserve">”</w:t>
      </w:r>
      <w:r>
        <w:t xml:space="preserve"> </w:t>
      </w:r>
      <w:r>
        <w:t xml:space="preserve">(Pā. sū. 3-2-87) is needed to obtain these four restrictions, the</w:t>
      </w:r>
      <w:r>
        <w:t xml:space="preserve"> </w:t>
      </w:r>
      <w:r>
        <w:rPr>
          <w:iCs/>
          <w:i/>
        </w:rPr>
        <w:t xml:space="preserve">prakṛti-niyama</w:t>
      </w:r>
      <w:r>
        <w:t xml:space="preserve">,</w:t>
      </w:r>
      <w:r>
        <w:t xml:space="preserve"> </w:t>
      </w:r>
      <w:r>
        <w:rPr>
          <w:iCs/>
          <w:i/>
        </w:rPr>
        <w:t xml:space="preserve">upapada-niyama</w:t>
      </w:r>
      <w:r>
        <w:t xml:space="preserve">,</w:t>
      </w:r>
      <w:r>
        <w:t xml:space="preserve"> </w:t>
      </w:r>
      <w:r>
        <w:rPr>
          <w:iCs/>
          <w:i/>
        </w:rPr>
        <w:t xml:space="preserve">pratyaya-niyama</w:t>
      </w:r>
      <w:r>
        <w:t xml:space="preserve"> </w:t>
      </w:r>
      <w:r>
        <w:t xml:space="preserve">and</w:t>
      </w:r>
      <w:r>
        <w:t xml:space="preserve"> </w:t>
      </w:r>
      <w:r>
        <w:rPr>
          <w:iCs/>
          <w:i/>
        </w:rPr>
        <w:t xml:space="preserve">kāla-niyama</w:t>
      </w:r>
      <w:r>
        <w:t xml:space="preserve">. In the Mahābhāṣya it reads:</w:t>
      </w:r>
    </w:p>
    <w:p>
      <w:pPr>
        <w:pStyle w:val="BlockText"/>
      </w:pPr>
      <w:r>
        <w:t xml:space="preserve">उभयतो नियमोऽयम् । ब्रह्मादिष्वेव । क्विबेव ।</w:t>
      </w:r>
    </w:p>
    <w:p>
      <w:pPr>
        <w:pStyle w:val="BlockText"/>
      </w:pPr>
      <w:r>
        <w:rPr>
          <w:iCs/>
          <w:i/>
        </w:rPr>
        <w:t xml:space="preserve">ubhayato niyamo ’yam | brahmādiṣveva | kvibeva |</w:t>
      </w:r>
    </w:p>
    <w:p>
      <w:pPr>
        <w:pStyle w:val="FirstParagraph"/>
      </w:pPr>
      <w:r>
        <w:t xml:space="preserve">(</w:t>
      </w:r>
      <w:r>
        <w:t xml:space="preserve">“</w:t>
      </w:r>
      <w:r>
        <w:t xml:space="preserve">This is a restriction both ways: only with</w:t>
      </w:r>
      <w:r>
        <w:t xml:space="preserve"> </w:t>
      </w:r>
      <w:r>
        <w:rPr>
          <w:iCs/>
          <w:i/>
        </w:rPr>
        <w:t xml:space="preserve">brahma</w:t>
      </w:r>
      <w:r>
        <w:t xml:space="preserve"> </w:t>
      </w:r>
      <w:r>
        <w:t xml:space="preserve">and the rest; only</w:t>
      </w:r>
      <w:r>
        <w:t xml:space="preserve"> </w:t>
      </w:r>
      <w:r>
        <w:rPr>
          <w:iCs/>
          <w:i/>
        </w:rPr>
        <w:t xml:space="preserve">kvip</w:t>
      </w:r>
      <w:r>
        <w:t xml:space="preserve">.</w:t>
      </w:r>
      <w:r>
        <w:t xml:space="preserve">”</w:t>
      </w:r>
      <w:r>
        <w:t xml:space="preserve">) So the two restrictions accepted by the Bhāṣya are the</w:t>
      </w:r>
      <w:r>
        <w:t xml:space="preserve"> </w:t>
      </w:r>
      <w:r>
        <w:rPr>
          <w:iCs/>
          <w:i/>
        </w:rPr>
        <w:t xml:space="preserve">prakṛti-niyama</w:t>
      </w:r>
      <w:r>
        <w:t xml:space="preserve"> </w:t>
      </w:r>
      <w:r>
        <w:t xml:space="preserve">and the</w:t>
      </w:r>
      <w:r>
        <w:t xml:space="preserve"> </w:t>
      </w:r>
      <w:r>
        <w:rPr>
          <w:iCs/>
          <w:i/>
        </w:rPr>
        <w:t xml:space="preserve">kāla-niyama</w:t>
      </w:r>
      <w:r>
        <w:t xml:space="preserve">. Readers will not fail to ask what the Bhāṣya’s intention may be in relying on two restrictions in this way. In the sūtra</w:t>
      </w:r>
      <w:r>
        <w:t xml:space="preserve"> </w:t>
      </w:r>
      <w:r>
        <w:t xml:space="preserve">“</w:t>
      </w:r>
      <w:r>
        <w:t xml:space="preserve">brahma-bhrūṇa-vṛtreṣu kvip</w:t>
      </w:r>
      <w:r>
        <w:t xml:space="preserve">”</w:t>
      </w:r>
      <w:r>
        <w:t xml:space="preserve"> </w:t>
      </w:r>
      <w:r>
        <w:t xml:space="preserve">(Pā. sū. 3-2-87) the</w:t>
      </w:r>
      <w:r>
        <w:t xml:space="preserve"> </w:t>
      </w:r>
      <w:r>
        <w:rPr>
          <w:iCs/>
          <w:i/>
        </w:rPr>
        <w:t xml:space="preserve">upapada</w:t>
      </w:r>
      <w:r>
        <w:t xml:space="preserve"> </w:t>
      </w:r>
      <w:r>
        <w:t xml:space="preserve">and the suffix are both heard; the root</w:t>
      </w:r>
      <w:r>
        <w:t xml:space="preserve"> </w:t>
      </w:r>
      <w:r>
        <w:rPr>
          <w:iCs/>
          <w:i/>
        </w:rPr>
        <w:t xml:space="preserve">han</w:t>
      </w:r>
      <w:r>
        <w:t xml:space="preserve"> </w:t>
      </w:r>
      <w:r>
        <w:t xml:space="preserve">and the time-word</w:t>
      </w:r>
      <w:r>
        <w:t xml:space="preserve"> </w:t>
      </w:r>
      <w:r>
        <w:rPr>
          <w:iCs/>
          <w:i/>
        </w:rPr>
        <w:t xml:space="preserve">bhūte</w:t>
      </w:r>
      <w:r>
        <w:t xml:space="preserve"> </w:t>
      </w:r>
      <w:r>
        <w:t xml:space="preserve">are not heard. They are obtained from the context; and by</w:t>
      </w:r>
    </w:p>
    <w:p>
      <w:pPr>
        <w:pStyle w:val="BlockText"/>
      </w:pPr>
      <w:r>
        <w:t xml:space="preserve">श्रुतिलिङ्गवाक्यप्रकरणस्थानसमाख्यानां पारदौर्बल्यमर्थविप्रकर्षात्</w:t>
      </w:r>
    </w:p>
    <w:p>
      <w:pPr>
        <w:pStyle w:val="BlockText"/>
      </w:pPr>
      <w:r>
        <w:rPr>
          <w:iCs/>
          <w:i/>
        </w:rPr>
        <w:t xml:space="preserve">śrutiliṅgavākyaprakaraṇasthānasamākhyānāṃ pāradaurbalyamarthaviprakarṣāt</w:t>
      </w:r>
    </w:p>
    <w:p>
      <w:pPr>
        <w:pStyle w:val="FirstParagraph"/>
      </w:pPr>
      <w:r>
        <w:t xml:space="preserve">(</w:t>
      </w:r>
      <w:r>
        <w:t xml:space="preserve">“</w:t>
      </w:r>
      <w:r>
        <w:t xml:space="preserve">Of direct statement, indication, syntactic connection, context, position and name, each later one is weaker, because its meaning is more remote</w:t>
      </w:r>
      <w:r>
        <w:t xml:space="preserve">”</w:t>
      </w:r>
      <w:r>
        <w:t xml:space="preserve">), context is much weaker than direct statement. So the Mahābhāṣyakāra’s view is that it is proper to restrict the base and the time, supplied by a weaker means of knowledge, and not proper to restrict the</w:t>
      </w:r>
      <w:r>
        <w:t xml:space="preserve"> </w:t>
      </w:r>
      <w:r>
        <w:rPr>
          <w:iCs/>
          <w:i/>
        </w:rPr>
        <w:t xml:space="preserve">upapada</w:t>
      </w:r>
      <w:r>
        <w:t xml:space="preserve"> </w:t>
      </w:r>
      <w:r>
        <w:t xml:space="preserve">and the suffix, which are heard. Kaiyaṭa makes it clear that, since it conflicts with the Bhāṣya, which follows this reasoning, the view of the Vṛttikāra is to be disregarded. Haradatta says here:</w:t>
      </w:r>
    </w:p>
    <w:p>
      <w:pPr>
        <w:pStyle w:val="BlockText"/>
      </w:pPr>
      <w:r>
        <w:t xml:space="preserve">धातूपपदविषयं नियमद्वयं भाष्ये प्रदर्शितम्</w:t>
      </w:r>
    </w:p>
    <w:p>
      <w:pPr>
        <w:pStyle w:val="BlockText"/>
      </w:pPr>
      <w:r>
        <w:rPr>
          <w:iCs/>
          <w:i/>
        </w:rPr>
        <w:t xml:space="preserve">dhātūpapadaviṣayaṃ niyamadvayaṃ bhāṣye pradarśitam</w:t>
      </w:r>
    </w:p>
    <w:p>
      <w:pPr>
        <w:pStyle w:val="FirstParagraph"/>
      </w:pPr>
      <w:r>
        <w:t xml:space="preserve">(</w:t>
      </w:r>
      <w:r>
        <w:t xml:space="preserve">“</w:t>
      </w:r>
      <w:r>
        <w:t xml:space="preserve">The two restrictions, concerning the root and the</w:t>
      </w:r>
      <w:r>
        <w:t xml:space="preserve"> </w:t>
      </w:r>
      <w:r>
        <w:rPr>
          <w:iCs/>
          <w:i/>
        </w:rPr>
        <w:t xml:space="preserve">upapada</w:t>
      </w:r>
      <w:r>
        <w:t xml:space="preserve">, are shown in the Bhāṣya.</w:t>
      </w:r>
      <w:r>
        <w:t xml:space="preserve">”</w:t>
      </w:r>
      <w:r>
        <w:t xml:space="preserve">) Instead of saying here</w:t>
      </w:r>
    </w:p>
    <w:p>
      <w:pPr>
        <w:pStyle w:val="BlockText"/>
      </w:pPr>
      <w:r>
        <w:t xml:space="preserve">धातुकालविषयम्</w:t>
      </w:r>
    </w:p>
    <w:p>
      <w:pPr>
        <w:pStyle w:val="BlockText"/>
      </w:pPr>
      <w:r>
        <w:rPr>
          <w:iCs/>
          <w:i/>
        </w:rPr>
        <w:t xml:space="preserve">dhātukālaviṣayam</w:t>
      </w:r>
    </w:p>
    <w:p>
      <w:pPr>
        <w:pStyle w:val="FirstParagraph"/>
      </w:pPr>
      <w:r>
        <w:t xml:space="preserve">(</w:t>
      </w:r>
      <w:r>
        <w:t xml:space="preserve">“</w:t>
      </w:r>
      <w:r>
        <w:t xml:space="preserve">concerning the root and the time</w:t>
      </w:r>
      <w:r>
        <w:t xml:space="preserve">”</w:t>
      </w:r>
      <w:r>
        <w:t xml:space="preserve">), [the text continues on p. 702:]</w:t>
      </w:r>
    </w:p>
    <w:bookmarkEnd w:id="765"/>
    <w:bookmarkStart w:id="766" w:name="page-702-rik-8-grammar"/>
    <w:p>
      <w:pPr>
        <w:pStyle w:val="Heading3"/>
      </w:pPr>
      <w:r>
        <w:t xml:space="preserve">Page 702 — Rik 8: grammar</w:t>
      </w:r>
    </w:p>
    <w:p>
      <w:pPr>
        <w:pStyle w:val="FirstParagraph"/>
      </w:pPr>
      <w:r>
        <w:t xml:space="preserve">Jñānendra Sarasvatī (the ascetic) has shown that the word</w:t>
      </w:r>
      <w:r>
        <w:t xml:space="preserve"> </w:t>
      </w:r>
      <w:r>
        <w:rPr>
          <w:iCs/>
          <w:i/>
        </w:rPr>
        <w:t xml:space="preserve">upapada</w:t>
      </w:r>
      <w:r>
        <w:t xml:space="preserve"> </w:t>
      </w:r>
      <w:r>
        <w:t xml:space="preserve">has slipped in through an oversight. Thus the sūtra</w:t>
      </w:r>
      <w:r>
        <w:t xml:space="preserve"> </w:t>
      </w:r>
      <w:r>
        <w:rPr>
          <w:iCs/>
          <w:i/>
        </w:rPr>
        <w:t xml:space="preserve">brahma-bhrūṇa…</w:t>
      </w:r>
      <w:r>
        <w:t xml:space="preserve"> </w:t>
      </w:r>
      <w:r>
        <w:t xml:space="preserve">is needed to obtain the restrictions. In</w:t>
      </w:r>
      <w:r>
        <w:t xml:space="preserve"> </w:t>
      </w:r>
      <w:r>
        <w:rPr>
          <w:iCs/>
          <w:i/>
        </w:rPr>
        <w:t xml:space="preserve">vṛtraṃ hatavān</w:t>
      </w:r>
      <w:r>
        <w:t xml:space="preserve">, when by it the form ends in</w:t>
      </w:r>
      <w:r>
        <w:t xml:space="preserve"> </w:t>
      </w:r>
      <w:r>
        <w:rPr>
          <w:iCs/>
          <w:i/>
        </w:rPr>
        <w:t xml:space="preserve">kvip</w:t>
      </w:r>
      <w:r>
        <w:t xml:space="preserve">, it is called</w:t>
      </w:r>
      <w:r>
        <w:t xml:space="preserve"> </w:t>
      </w:r>
      <w:r>
        <w:rPr>
          <w:iCs/>
          <w:i/>
        </w:rPr>
        <w:t xml:space="preserve">prātipadika</w:t>
      </w:r>
      <w:r>
        <w:t xml:space="preserve"> </w:t>
      </w:r>
      <w:r>
        <w:t xml:space="preserve">by</w:t>
      </w:r>
      <w:r>
        <w:t xml:space="preserve"> </w:t>
      </w:r>
      <w:r>
        <w:t xml:space="preserve">“</w:t>
      </w:r>
      <w:r>
        <w:t xml:space="preserve">kṛttaddhitasamāsāś ca</w:t>
      </w:r>
      <w:r>
        <w:t xml:space="preserve">”</w:t>
      </w:r>
      <w:r>
        <w:t xml:space="preserve"> </w:t>
      </w:r>
      <w:r>
        <w:t xml:space="preserve">(Pā. sū. 1-2-46); by</w:t>
      </w:r>
      <w:r>
        <w:t xml:space="preserve"> </w:t>
      </w:r>
      <w:r>
        <w:t xml:space="preserve">“</w:t>
      </w:r>
      <w:r>
        <w:t xml:space="preserve">supo dhātuprātipadikayoḥ</w:t>
      </w:r>
      <w:r>
        <w:t xml:space="preserve">”</w:t>
      </w:r>
      <w:r>
        <w:t xml:space="preserve"> </w:t>
      </w:r>
      <w:r>
        <w:t xml:space="preserve">(Pā. sū. 2-4-71) the</w:t>
      </w:r>
      <w:r>
        <w:t xml:space="preserve"> </w:t>
      </w:r>
      <w:r>
        <w:rPr>
          <w:iCs/>
          <w:i/>
        </w:rPr>
        <w:t xml:space="preserve">am</w:t>
      </w:r>
      <w:r>
        <w:t xml:space="preserve"> </w:t>
      </w:r>
      <w:r>
        <w:t xml:space="preserve">inside the stem takes</w:t>
      </w:r>
      <w:r>
        <w:t xml:space="preserve"> </w:t>
      </w:r>
      <w:r>
        <w:rPr>
          <w:iCs/>
          <w:i/>
        </w:rPr>
        <w:t xml:space="preserve">luk</w:t>
      </w:r>
      <w:r>
        <w:t xml:space="preserve">; the whole of</w:t>
      </w:r>
      <w:r>
        <w:t xml:space="preserve"> </w:t>
      </w:r>
      <w:r>
        <w:rPr>
          <w:iCs/>
          <w:i/>
        </w:rPr>
        <w:t xml:space="preserve">kvip</w:t>
      </w:r>
      <w:r>
        <w:t xml:space="preserve"> </w:t>
      </w:r>
      <w:r>
        <w:t xml:space="preserve">drops. After</w:t>
      </w:r>
      <w:r>
        <w:t xml:space="preserve"> </w:t>
      </w:r>
      <w:r>
        <w:rPr>
          <w:iCs/>
          <w:i/>
        </w:rPr>
        <w:t xml:space="preserve">vṛtrahan</w:t>
      </w:r>
      <w:r>
        <w:t xml:space="preserve"> </w:t>
      </w:r>
      <w:r>
        <w:t xml:space="preserve">the nominative singular</w:t>
      </w:r>
      <w:r>
        <w:t xml:space="preserve"> </w:t>
      </w:r>
      <w:r>
        <w:rPr>
          <w:iCs/>
          <w:i/>
        </w:rPr>
        <w:t xml:space="preserve">su</w:t>
      </w:r>
      <w:r>
        <w:t xml:space="preserve">:</w:t>
      </w:r>
      <w:r>
        <w:t xml:space="preserve"> </w:t>
      </w:r>
      <w:r>
        <w:rPr>
          <w:iCs/>
          <w:i/>
        </w:rPr>
        <w:t xml:space="preserve">vṛtrahan</w:t>
      </w:r>
      <w:r>
        <w:t xml:space="preserve"> </w:t>
      </w:r>
      <w:r>
        <w:t xml:space="preserve">+</w:t>
      </w:r>
      <w:r>
        <w:t xml:space="preserve"> </w:t>
      </w:r>
      <w:r>
        <w:rPr>
          <w:iCs/>
          <w:i/>
        </w:rPr>
        <w:t xml:space="preserve">su</w:t>
      </w:r>
      <w:r>
        <w:t xml:space="preserve">. By</w:t>
      </w:r>
      <w:r>
        <w:t xml:space="preserve"> </w:t>
      </w:r>
      <w:r>
        <w:t xml:space="preserve">“</w:t>
      </w:r>
      <w:r>
        <w:t xml:space="preserve">sarvanāmasthāne cāsambuddhau</w:t>
      </w:r>
      <w:r>
        <w:t xml:space="preserve">”</w:t>
      </w:r>
      <w:r>
        <w:t xml:space="preserve"> </w:t>
      </w:r>
      <w:r>
        <w:t xml:space="preserve">(Pā. sū. 6-4-8), before a</w:t>
      </w:r>
      <w:r>
        <w:t xml:space="preserve"> </w:t>
      </w:r>
      <w:r>
        <w:rPr>
          <w:iCs/>
          <w:i/>
        </w:rPr>
        <w:t xml:space="preserve">sarvanāmasthāna</w:t>
      </w:r>
      <w:r>
        <w:t xml:space="preserve"> </w:t>
      </w:r>
      <w:r>
        <w:t xml:space="preserve">suffix other than the vocative, the penultimate of an</w:t>
      </w:r>
      <w:r>
        <w:t xml:space="preserve"> </w:t>
      </w:r>
      <w:r>
        <w:rPr>
          <w:iCs/>
          <w:i/>
        </w:rPr>
        <w:t xml:space="preserve">n</w:t>
      </w:r>
      <w:r>
        <w:t xml:space="preserve">-final stem is lengthened; so lengthening is due. But the sense of</w:t>
      </w:r>
      <w:r>
        <w:t xml:space="preserve"> </w:t>
      </w:r>
      <w:r>
        <w:t xml:space="preserve">“</w:t>
      </w:r>
      <w:r>
        <w:t xml:space="preserve">in-han-pūṣāryamṇāṃ śau</w:t>
      </w:r>
      <w:r>
        <w:t xml:space="preserve">”</w:t>
      </w:r>
      <w:r>
        <w:t xml:space="preserve"> </w:t>
      </w:r>
      <w:r>
        <w:t xml:space="preserve">(Pā. sū. 6-4-12) is that the penultimate of a stem ending in</w:t>
      </w:r>
      <w:r>
        <w:t xml:space="preserve"> </w:t>
      </w:r>
      <w:r>
        <w:rPr>
          <w:iCs/>
          <w:i/>
        </w:rPr>
        <w:t xml:space="preserve">in</w:t>
      </w:r>
      <w:r>
        <w:t xml:space="preserve">,</w:t>
      </w:r>
      <w:r>
        <w:t xml:space="preserve"> </w:t>
      </w:r>
      <w:r>
        <w:rPr>
          <w:iCs/>
          <w:i/>
        </w:rPr>
        <w:t xml:space="preserve">han</w:t>
      </w:r>
      <w:r>
        <w:t xml:space="preserve">,</w:t>
      </w:r>
      <w:r>
        <w:t xml:space="preserve"> </w:t>
      </w:r>
      <w:r>
        <w:rPr>
          <w:iCs/>
          <w:i/>
        </w:rPr>
        <w:t xml:space="preserve">pūṣan</w:t>
      </w:r>
      <w:r>
        <w:t xml:space="preserve"> </w:t>
      </w:r>
      <w:r>
        <w:t xml:space="preserve">or</w:t>
      </w:r>
      <w:r>
        <w:t xml:space="preserve"> </w:t>
      </w:r>
      <w:r>
        <w:rPr>
          <w:iCs/>
          <w:i/>
        </w:rPr>
        <w:t xml:space="preserve">aryaman</w:t>
      </w:r>
      <w:r>
        <w:t xml:space="preserve"> </w:t>
      </w:r>
      <w:r>
        <w:t xml:space="preserve">is lengthened before the suffix</w:t>
      </w:r>
      <w:r>
        <w:t xml:space="preserve"> </w:t>
      </w:r>
      <w:r>
        <w:rPr>
          <w:iCs/>
          <w:i/>
        </w:rPr>
        <w:t xml:space="preserve">śi</w:t>
      </w:r>
      <w:r>
        <w:t xml:space="preserve">. By</w:t>
      </w:r>
      <w:r>
        <w:t xml:space="preserve"> </w:t>
      </w:r>
      <w:r>
        <w:rPr>
          <w:iCs/>
          <w:i/>
        </w:rPr>
        <w:t xml:space="preserve">sarvanāmasthāne cāsambuddhau</w:t>
      </w:r>
      <w:r>
        <w:t xml:space="preserve"> </w:t>
      </w:r>
      <w:r>
        <w:t xml:space="preserve">(Pā. sū. 6-4-8) the lengthening of their penultimate is already established; so by</w:t>
      </w:r>
      <w:r>
        <w:t xml:space="preserve"> </w:t>
      </w:r>
      <w:r>
        <w:rPr>
          <w:iCs/>
          <w:i/>
        </w:rPr>
        <w:t xml:space="preserve">siddhe satyārabhyamāṇo vidhir niyamāya bhavati</w:t>
      </w:r>
      <w:r>
        <w:t xml:space="preserve"> </w:t>
      </w:r>
      <w:r>
        <w:t xml:space="preserve">this sūtra is a restriction: for stems ending in</w:t>
      </w:r>
      <w:r>
        <w:t xml:space="preserve"> </w:t>
      </w:r>
      <w:r>
        <w:rPr>
          <w:iCs/>
          <w:i/>
        </w:rPr>
        <w:t xml:space="preserve">in</w:t>
      </w:r>
      <w:r>
        <w:t xml:space="preserve">,</w:t>
      </w:r>
      <w:r>
        <w:t xml:space="preserve"> </w:t>
      </w:r>
      <w:r>
        <w:rPr>
          <w:iCs/>
          <w:i/>
        </w:rPr>
        <w:t xml:space="preserve">han</w:t>
      </w:r>
      <w:r>
        <w:t xml:space="preserve">,</w:t>
      </w:r>
      <w:r>
        <w:t xml:space="preserve"> </w:t>
      </w:r>
      <w:r>
        <w:rPr>
          <w:iCs/>
          <w:i/>
        </w:rPr>
        <w:t xml:space="preserve">pūṣan</w:t>
      </w:r>
      <w:r>
        <w:t xml:space="preserve"> </w:t>
      </w:r>
      <w:r>
        <w:t xml:space="preserve">and</w:t>
      </w:r>
      <w:r>
        <w:t xml:space="preserve"> </w:t>
      </w:r>
      <w:r>
        <w:rPr>
          <w:iCs/>
          <w:i/>
        </w:rPr>
        <w:t xml:space="preserve">aryaman</w:t>
      </w:r>
      <w:r>
        <w:t xml:space="preserve">, the lengthening of the penultimate comes only before</w:t>
      </w:r>
      <w:r>
        <w:t xml:space="preserve"> </w:t>
      </w:r>
      <w:r>
        <w:rPr>
          <w:iCs/>
          <w:i/>
        </w:rPr>
        <w:t xml:space="preserve">śi</w:t>
      </w:r>
      <w:r>
        <w:t xml:space="preserve">. By it it is settled that without</w:t>
      </w:r>
      <w:r>
        <w:t xml:space="preserve"> </w:t>
      </w:r>
      <w:r>
        <w:rPr>
          <w:iCs/>
          <w:i/>
        </w:rPr>
        <w:t xml:space="preserve">śi</w:t>
      </w:r>
      <w:r>
        <w:t xml:space="preserve"> </w:t>
      </w:r>
      <w:r>
        <w:t xml:space="preserve">following, the penultimate of a stem ending in</w:t>
      </w:r>
      <w:r>
        <w:t xml:space="preserve"> </w:t>
      </w:r>
      <w:r>
        <w:rPr>
          <w:iCs/>
          <w:i/>
        </w:rPr>
        <w:t xml:space="preserve">in</w:t>
      </w:r>
      <w:r>
        <w:t xml:space="preserve"> </w:t>
      </w:r>
      <w:r>
        <w:t xml:space="preserve">and the rest is not lengthened. So in</w:t>
      </w:r>
      <w:r>
        <w:t xml:space="preserve"> </w:t>
      </w:r>
      <w:r>
        <w:rPr>
          <w:iCs/>
          <w:i/>
        </w:rPr>
        <w:t xml:space="preserve">vṛtrahan</w:t>
      </w:r>
      <w:r>
        <w:t xml:space="preserve"> </w:t>
      </w:r>
      <w:r>
        <w:t xml:space="preserve">+</w:t>
      </w:r>
      <w:r>
        <w:t xml:space="preserve"> </w:t>
      </w:r>
      <w:r>
        <w:rPr>
          <w:iCs/>
          <w:i/>
        </w:rPr>
        <w:t xml:space="preserve">su</w:t>
      </w:r>
      <w:r>
        <w:t xml:space="preserve">,</w:t>
      </w:r>
      <w:r>
        <w:t xml:space="preserve"> </w:t>
      </w:r>
      <w:r>
        <w:rPr>
          <w:iCs/>
          <w:i/>
        </w:rPr>
        <w:t xml:space="preserve">śi</w:t>
      </w:r>
      <w:r>
        <w:t xml:space="preserve"> </w:t>
      </w:r>
      <w:r>
        <w:t xml:space="preserve">not following, there would be no lengthening. Yet by</w:t>
      </w:r>
      <w:r>
        <w:t xml:space="preserve"> </w:t>
      </w:r>
      <w:r>
        <w:t xml:space="preserve">“</w:t>
      </w:r>
      <w:r>
        <w:t xml:space="preserve">sau ca</w:t>
      </w:r>
      <w:r>
        <w:t xml:space="preserve">”</w:t>
      </w:r>
      <w:r>
        <w:t xml:space="preserve"> </w:t>
      </w:r>
      <w:r>
        <w:t xml:space="preserve">(Pā. sū. 6-4-13), when the suffix</w:t>
      </w:r>
      <w:r>
        <w:t xml:space="preserve"> </w:t>
      </w:r>
      <w:r>
        <w:rPr>
          <w:iCs/>
          <w:i/>
        </w:rPr>
        <w:t xml:space="preserve">su</w:t>
      </w:r>
      <w:r>
        <w:t xml:space="preserve"> </w:t>
      </w:r>
      <w:r>
        <w:t xml:space="preserve">follows, the penultimate of a stem ending in</w:t>
      </w:r>
      <w:r>
        <w:t xml:space="preserve"> </w:t>
      </w:r>
      <w:r>
        <w:rPr>
          <w:iCs/>
          <w:i/>
        </w:rPr>
        <w:t xml:space="preserve">in</w:t>
      </w:r>
      <w:r>
        <w:t xml:space="preserve">,</w:t>
      </w:r>
      <w:r>
        <w:t xml:space="preserve"> </w:t>
      </w:r>
      <w:r>
        <w:rPr>
          <w:iCs/>
          <w:i/>
        </w:rPr>
        <w:t xml:space="preserve">han</w:t>
      </w:r>
      <w:r>
        <w:t xml:space="preserve">,</w:t>
      </w:r>
      <w:r>
        <w:t xml:space="preserve"> </w:t>
      </w:r>
      <w:r>
        <w:rPr>
          <w:iCs/>
          <w:i/>
        </w:rPr>
        <w:t xml:space="preserve">pūṣan</w:t>
      </w:r>
      <w:r>
        <w:t xml:space="preserve"> </w:t>
      </w:r>
      <w:r>
        <w:t xml:space="preserve">or</w:t>
      </w:r>
      <w:r>
        <w:t xml:space="preserve"> </w:t>
      </w:r>
      <w:r>
        <w:rPr>
          <w:iCs/>
          <w:i/>
        </w:rPr>
        <w:t xml:space="preserve">aryaman</w:t>
      </w:r>
      <w:r>
        <w:t xml:space="preserve"> </w:t>
      </w:r>
      <w:r>
        <w:t xml:space="preserve">is lengthened; so the lengthening comes.</w:t>
      </w:r>
      <w:r>
        <w:t xml:space="preserve"> </w:t>
      </w:r>
      <w:r>
        <w:rPr>
          <w:iCs/>
          <w:i/>
        </w:rPr>
        <w:t xml:space="preserve">Pratiprasava</w:t>
      </w:r>
      <w:r>
        <w:t xml:space="preserve"> </w:t>
      </w:r>
      <w:r>
        <w:t xml:space="preserve">means a bar to a bar. Here the lengthening due by</w:t>
      </w:r>
      <w:r>
        <w:t xml:space="preserve"> </w:t>
      </w:r>
      <w:r>
        <w:rPr>
          <w:iCs/>
          <w:i/>
        </w:rPr>
        <w:t xml:space="preserve">sarvanāmasthāne ca</w:t>
      </w:r>
      <w:r>
        <w:t xml:space="preserve"> </w:t>
      </w:r>
      <w:r>
        <w:t xml:space="preserve">was in effect barred by</w:t>
      </w:r>
      <w:r>
        <w:t xml:space="preserve"> </w:t>
      </w:r>
      <w:r>
        <w:rPr>
          <w:iCs/>
          <w:i/>
        </w:rPr>
        <w:t xml:space="preserve">in-han-pūṣā…</w:t>
      </w:r>
      <w:r>
        <w:t xml:space="preserve">; and</w:t>
      </w:r>
      <w:r>
        <w:t xml:space="preserve"> </w:t>
      </w:r>
      <w:r>
        <w:rPr>
          <w:iCs/>
          <w:i/>
        </w:rPr>
        <w:t xml:space="preserve">sau ca</w:t>
      </w:r>
      <w:r>
        <w:t xml:space="preserve"> </w:t>
      </w:r>
      <w:r>
        <w:t xml:space="preserve">(Pā. sū. 6-4-13) in effect bars that bar. So the Bhāṣya says</w:t>
      </w:r>
    </w:p>
    <w:p>
      <w:pPr>
        <w:pStyle w:val="BlockText"/>
      </w:pPr>
      <w:r>
        <w:t xml:space="preserve">दीर्घत्वं सौ चेति प्रतिप्रसवाद्भवति</w:t>
      </w:r>
    </w:p>
    <w:p>
      <w:pPr>
        <w:pStyle w:val="BlockText"/>
      </w:pPr>
      <w:r>
        <w:rPr>
          <w:iCs/>
          <w:i/>
        </w:rPr>
        <w:t xml:space="preserve">dīrghatvaṃ sau ceti pratiprasavādbhavati</w:t>
      </w:r>
    </w:p>
    <w:p>
      <w:pPr>
        <w:pStyle w:val="FirstParagraph"/>
      </w:pPr>
      <w:r>
        <w:t xml:space="preserve">(</w:t>
      </w:r>
      <w:r>
        <w:t xml:space="preserve">“</w:t>
      </w:r>
      <w:r>
        <w:t xml:space="preserve">The lengthening comes by the counter-rule</w:t>
      </w:r>
      <w:r>
        <w:t xml:space="preserve"> </w:t>
      </w:r>
      <w:r>
        <w:rPr>
          <w:iCs/>
          <w:i/>
        </w:rPr>
        <w:t xml:space="preserve">sau ca</w:t>
      </w:r>
      <w:r>
        <w:t xml:space="preserve">.</w:t>
      </w:r>
      <w:r>
        <w:t xml:space="preserve">”</w:t>
      </w:r>
      <w:r>
        <w:t xml:space="preserve">) With</w:t>
      </w:r>
      <w:r>
        <w:t xml:space="preserve"> </w:t>
      </w:r>
      <w:r>
        <w:rPr>
          <w:iCs/>
          <w:i/>
        </w:rPr>
        <w:t xml:space="preserve">vṛtrahān</w:t>
      </w:r>
      <w:r>
        <w:t xml:space="preserve"> </w:t>
      </w:r>
      <w:r>
        <w:t xml:space="preserve">+</w:t>
      </w:r>
      <w:r>
        <w:t xml:space="preserve"> </w:t>
      </w:r>
      <w:r>
        <w:rPr>
          <w:iCs/>
          <w:i/>
        </w:rPr>
        <w:t xml:space="preserve">su</w:t>
      </w:r>
      <w:r>
        <w:t xml:space="preserve">, the</w:t>
      </w:r>
      <w:r>
        <w:t xml:space="preserve"> </w:t>
      </w:r>
      <w:r>
        <w:rPr>
          <w:iCs/>
          <w:i/>
        </w:rPr>
        <w:t xml:space="preserve">su</w:t>
      </w:r>
      <w:r>
        <w:t xml:space="preserve"> </w:t>
      </w:r>
      <w:r>
        <w:t xml:space="preserve">drops by</w:t>
      </w:r>
      <w:r>
        <w:t xml:space="preserve"> </w:t>
      </w:r>
      <w:r>
        <w:t xml:space="preserve">“</w:t>
      </w:r>
      <w:r>
        <w:t xml:space="preserve">halṅyābbhyaḥ…</w:t>
      </w:r>
      <w:r>
        <w:t xml:space="preserve">”</w:t>
      </w:r>
      <w:r>
        <w:t xml:space="preserve"> </w:t>
      </w:r>
      <w:r>
        <w:t xml:space="preserve">(Pā. sū. 6-1-68); the</w:t>
      </w:r>
      <w:r>
        <w:t xml:space="preserve"> </w:t>
      </w:r>
      <w:r>
        <w:rPr>
          <w:iCs/>
          <w:i/>
        </w:rPr>
        <w:t xml:space="preserve">n</w:t>
      </w:r>
      <w:r>
        <w:t xml:space="preserve"> </w:t>
      </w:r>
      <w:r>
        <w:t xml:space="preserve">drops by</w:t>
      </w:r>
      <w:r>
        <w:t xml:space="preserve"> </w:t>
      </w:r>
      <w:r>
        <w:t xml:space="preserve">“</w:t>
      </w:r>
      <w:r>
        <w:t xml:space="preserve">na lopaḥ prātipadikāntasya</w:t>
      </w:r>
      <w:r>
        <w:t xml:space="preserve">”</w:t>
      </w:r>
      <w:r>
        <w:t xml:space="preserve"> </w:t>
      </w:r>
      <w:r>
        <w:t xml:space="preserve">(Pā. sū. 8-2-7):</w:t>
      </w:r>
      <w:r>
        <w:t xml:space="preserve"> </w:t>
      </w:r>
      <w:r>
        <w:rPr>
          <w:iCs/>
          <w:i/>
        </w:rPr>
        <w:t xml:space="preserve">vṛtrahā</w:t>
      </w:r>
      <w:r>
        <w:t xml:space="preserve">.</w:t>
      </w:r>
      <w:r>
        <w:t xml:space="preserve"> </w:t>
      </w:r>
      <w:r>
        <w:rPr>
          <w:iCs/>
          <w:i/>
        </w:rPr>
        <w:t xml:space="preserve">Hā</w:t>
      </w:r>
      <w:r>
        <w:t xml:space="preserve"> </w:t>
      </w:r>
      <w:r>
        <w:t xml:space="preserve">is udātta by the root accent; after compounding too the same accent comes by the accent of the</w:t>
      </w:r>
      <w:r>
        <w:t xml:space="preserve"> </w:t>
      </w:r>
      <w:r>
        <w:rPr>
          <w:iCs/>
          <w:i/>
        </w:rPr>
        <w:t xml:space="preserve">kṛt</w:t>
      </w:r>
      <w:r>
        <w:t xml:space="preserve"> </w:t>
      </w:r>
      <w:r>
        <w:t xml:space="preserve">final member, that is, by</w:t>
      </w:r>
      <w:r>
        <w:t xml:space="preserve"> </w:t>
      </w:r>
      <w:r>
        <w:t xml:space="preserve">“</w:t>
      </w:r>
      <w:r>
        <w:t xml:space="preserve">gatikārakopapadāt kṛt</w:t>
      </w:r>
      <w:r>
        <w:t xml:space="preserve">”</w:t>
      </w:r>
      <w:r>
        <w:t xml:space="preserve"> </w:t>
      </w:r>
      <w:r>
        <w:t xml:space="preserve">(Pā. sū.</w:t>
      </w:r>
      <w:r>
        <w:t xml:space="preserve"> </w:t>
      </w:r>
      <w:r>
        <w:t xml:space="preserve">“</w:t>
      </w:r>
      <w:r>
        <w:t xml:space="preserve">7-2-139</w:t>
      </w:r>
      <w:r>
        <w:t xml:space="preserve">”</w:t>
      </w:r>
      <w:r>
        <w:t xml:space="preserve"> </w:t>
      </w:r>
      <w:r>
        <w:t xml:space="preserve">[as read; for 6-2-139] [?]).</w:t>
      </w:r>
    </w:p>
    <w:p>
      <w:pPr>
        <w:pStyle w:val="BodyText"/>
      </w:pPr>
      <w:r>
        <w:rPr>
          <w:bCs/>
          <w:b/>
        </w:rPr>
        <w:t xml:space="preserve">सोमपीतये (</w:t>
      </w:r>
      <w:r>
        <w:rPr>
          <w:iCs/>
          <w:i/>
          <w:bCs/>
          <w:b/>
        </w:rPr>
        <w:t xml:space="preserve">somapītaye</w:t>
      </w:r>
      <w:r>
        <w:rPr>
          <w:bCs/>
          <w:b/>
        </w:rPr>
        <w:t xml:space="preserve">)</w:t>
      </w:r>
      <w:r>
        <w:t xml:space="preserve">: a</w:t>
      </w:r>
      <w:r>
        <w:t xml:space="preserve"> </w:t>
      </w:r>
      <w:r>
        <w:rPr>
          <w:iCs/>
          <w:i/>
        </w:rPr>
        <w:t xml:space="preserve">bahuvrīhi</w:t>
      </w:r>
      <w:r>
        <w:t xml:space="preserve"> </w:t>
      </w:r>
      <w:r>
        <w:t xml:space="preserve">compound is made of words ending in the nominative; when words in other cases enter a</w:t>
      </w:r>
      <w:r>
        <w:t xml:space="preserve"> </w:t>
      </w:r>
      <w:r>
        <w:rPr>
          <w:iCs/>
          <w:i/>
        </w:rPr>
        <w:t xml:space="preserve">bahuvrīhi</w:t>
      </w:r>
      <w:r>
        <w:t xml:space="preserve">, it is called a</w:t>
      </w:r>
      <w:r>
        <w:t xml:space="preserve"> </w:t>
      </w:r>
      <w:r>
        <w:rPr>
          <w:iCs/>
          <w:i/>
        </w:rPr>
        <w:t xml:space="preserve">vyadhikaraṇa-bahuvrīhi</w:t>
      </w:r>
      <w:r>
        <w:t xml:space="preserve">. At</w:t>
      </w:r>
      <w:r>
        <w:t xml:space="preserve"> </w:t>
      </w:r>
      <w:r>
        <w:t xml:space="preserve">“</w:t>
      </w:r>
      <w:r>
        <w:t xml:space="preserve">aibhir agne duvo giraḥ</w:t>
      </w:r>
      <w:r>
        <w:t xml:space="preserve">”</w:t>
      </w:r>
      <w:r>
        <w:t xml:space="preserve"> </w:t>
      </w:r>
      <w:r>
        <w:t xml:space="preserve">(Ṛ. saṃ. 1-14-1)</w:t>
      </w:r>
      <w:r>
        <w:t xml:space="preserve"> </w:t>
      </w:r>
      <w:r>
        <w:rPr>
          <w:iCs/>
          <w:i/>
        </w:rPr>
        <w:t xml:space="preserve">somapītaye</w:t>
      </w:r>
      <w:r>
        <w:t xml:space="preserve"> </w:t>
      </w:r>
      <w:r>
        <w:t xml:space="preserve">was shown to be a</w:t>
      </w:r>
      <w:r>
        <w:t xml:space="preserve"> </w:t>
      </w:r>
      <w:r>
        <w:rPr>
          <w:iCs/>
          <w:i/>
        </w:rPr>
        <w:t xml:space="preserve">vyadhikaraṇa-bahuvrīhi</w:t>
      </w:r>
      <w:r>
        <w:t xml:space="preserve">. The word</w:t>
      </w:r>
      <w:r>
        <w:t xml:space="preserve"> </w:t>
      </w:r>
      <w:r>
        <w:rPr>
          <w:iCs/>
          <w:i/>
        </w:rPr>
        <w:t xml:space="preserve">soma</w:t>
      </w:r>
      <w:r>
        <w:t xml:space="preserve"> </w:t>
      </w:r>
      <w:r>
        <w:t xml:space="preserve">is initial udātta by the</w:t>
      </w:r>
      <w:r>
        <w:t xml:space="preserve"> </w:t>
      </w:r>
      <w:r>
        <w:rPr>
          <w:iCs/>
          <w:i/>
        </w:rPr>
        <w:t xml:space="preserve">nit</w:t>
      </w:r>
      <w:r>
        <w:t xml:space="preserve"> </w:t>
      </w:r>
      <w:r>
        <w:t xml:space="preserve">accent; in the</w:t>
      </w:r>
      <w:r>
        <w:t xml:space="preserve"> </w:t>
      </w:r>
      <w:r>
        <w:rPr>
          <w:iCs/>
          <w:i/>
        </w:rPr>
        <w:t xml:space="preserve">bahuvrīhi</w:t>
      </w:r>
      <w:r>
        <w:t xml:space="preserve"> </w:t>
      </w:r>
      <w:r>
        <w:t xml:space="preserve">the same accent comes by</w:t>
      </w:r>
      <w:r>
        <w:t xml:space="preserve"> </w:t>
      </w:r>
      <w:r>
        <w:t xml:space="preserve">“</w:t>
      </w:r>
      <w:r>
        <w:t xml:space="preserve">bahuvrīhau prakṛtyā pūrvapadam</w:t>
      </w:r>
      <w:r>
        <w:t xml:space="preserve">”</w:t>
      </w:r>
      <w:r>
        <w:t xml:space="preserve"> </w:t>
      </w:r>
      <w:r>
        <w:t xml:space="preserve">(Pā. sū. 6-2-1). Even if a</w:t>
      </w:r>
      <w:r>
        <w:t xml:space="preserve"> </w:t>
      </w:r>
      <w:r>
        <w:rPr>
          <w:iCs/>
          <w:i/>
        </w:rPr>
        <w:t xml:space="preserve">tatpuruṣa</w:t>
      </w:r>
      <w:r>
        <w:t xml:space="preserve"> </w:t>
      </w:r>
      <w:r>
        <w:t xml:space="preserve">is made,</w:t>
      </w:r>
      <w:r>
        <w:t xml:space="preserve"> </w:t>
      </w:r>
      <w:r>
        <w:rPr>
          <w:iCs/>
          <w:i/>
        </w:rPr>
        <w:t xml:space="preserve">somasya pītiḥ somapītiḥ</w:t>
      </w:r>
      <w:r>
        <w:t xml:space="preserve">,</w:t>
      </w:r>
      <w:r>
        <w:t xml:space="preserve"> </w:t>
      </w:r>
      <w:r>
        <w:rPr>
          <w:iCs/>
          <w:i/>
        </w:rPr>
        <w:t xml:space="preserve">tasyai somapītaye</w:t>
      </w:r>
      <w:r>
        <w:t xml:space="preserve">, then, by</w:t>
      </w:r>
      <w:r>
        <w:t xml:space="preserve"> </w:t>
      </w:r>
      <w:r>
        <w:rPr>
          <w:iCs/>
          <w:i/>
        </w:rPr>
        <w:t xml:space="preserve">samāsasya</w:t>
      </w:r>
    </w:p>
    <w:bookmarkEnd w:id="766"/>
    <w:bookmarkStart w:id="767" w:name="page-703-upper-rik-8-grammar-end"/>
    <w:p>
      <w:pPr>
        <w:pStyle w:val="Heading3"/>
      </w:pPr>
      <w:r>
        <w:t xml:space="preserve">Page 703 (upper) — Rik 8: grammar (end)</w:t>
      </w:r>
    </w:p>
    <w:p>
      <w:pPr>
        <w:pStyle w:val="FirstParagraph"/>
      </w:pPr>
      <w:r>
        <w:t xml:space="preserve">overriding the final udātta that would come, since</w:t>
      </w:r>
      <w:r>
        <w:t xml:space="preserve"> </w:t>
      </w:r>
      <w:r>
        <w:rPr>
          <w:iCs/>
          <w:i/>
        </w:rPr>
        <w:t xml:space="preserve">dāsībhāra-ādi</w:t>
      </w:r>
      <w:r>
        <w:t xml:space="preserve"> </w:t>
      </w:r>
      <w:r>
        <w:t xml:space="preserve">is an</w:t>
      </w:r>
      <w:r>
        <w:t xml:space="preserve"> </w:t>
      </w:r>
      <w:r>
        <w:rPr>
          <w:iCs/>
          <w:i/>
        </w:rPr>
        <w:t xml:space="preserve">ākṛtigaṇa</w:t>
      </w:r>
      <w:r>
        <w:t xml:space="preserve">,</w:t>
      </w:r>
      <w:r>
        <w:t xml:space="preserve"> </w:t>
      </w:r>
      <w:r>
        <w:rPr>
          <w:iCs/>
          <w:i/>
        </w:rPr>
        <w:t xml:space="preserve">somapīti</w:t>
      </w:r>
      <w:r>
        <w:t xml:space="preserve">, which belongs to that group, takes the accent of its first member by</w:t>
      </w:r>
    </w:p>
    <w:p>
      <w:pPr>
        <w:pStyle w:val="BlockText"/>
      </w:pPr>
      <w:r>
        <w:t xml:space="preserve">कुरुगार्हपततरिक्तगुर्वसूतजरत्यश्लीलदृढरूपापारेवडवातैतिलकद्रूःपण्यकम्बलो दासीभाराणां च</w:t>
      </w:r>
    </w:p>
    <w:p>
      <w:pPr>
        <w:pStyle w:val="BlockText"/>
      </w:pPr>
      <w:r>
        <w:rPr>
          <w:iCs/>
          <w:i/>
        </w:rPr>
        <w:t xml:space="preserve">kurugārhapatatariktagurvasūtajaratyaślīladṛḍharūpāpārevaḍavātaitilakadrūḥpaṇyakambalo dāsībhārāṇāṃ ca</w:t>
      </w:r>
    </w:p>
    <w:p>
      <w:pPr>
        <w:pStyle w:val="FirstParagraph"/>
      </w:pPr>
      <w:r>
        <w:t xml:space="preserve">(Pā. sū. 6-2-42). Since recourse to a</w:t>
      </w:r>
      <w:r>
        <w:t xml:space="preserve"> </w:t>
      </w:r>
      <w:r>
        <w:rPr>
          <w:iCs/>
          <w:i/>
        </w:rPr>
        <w:t xml:space="preserve">vyadhikaraṇa-bahuvrīhi</w:t>
      </w:r>
      <w:r>
        <w:t xml:space="preserve"> </w:t>
      </w:r>
      <w:r>
        <w:t xml:space="preserve">is a last resort, the</w:t>
      </w:r>
      <w:r>
        <w:t xml:space="preserve"> </w:t>
      </w:r>
      <w:r>
        <w:rPr>
          <w:iCs/>
          <w:i/>
        </w:rPr>
        <w:t xml:space="preserve">tatpuruṣa</w:t>
      </w:r>
      <w:r>
        <w:t xml:space="preserve"> </w:t>
      </w:r>
      <w:r>
        <w:t xml:space="preserve">has been described.</w:t>
      </w:r>
    </w:p>
    <w:p>
      <w:pPr>
        <w:pStyle w:val="BodyText"/>
      </w:pPr>
      <w:r>
        <w:rPr>
          <w:bCs/>
          <w:b/>
        </w:rPr>
        <w:t xml:space="preserve">॥८॥</w:t>
      </w:r>
    </w:p>
    <w:p>
      <w:r>
        <w:pict>
          <v:rect style="width:0;height:1.5pt" o:hralign="center" o:hrstd="t" o:hr="t"/>
        </w:pict>
      </w:r>
    </w:p>
    <w:bookmarkEnd w:id="767"/>
    <w:bookmarkStart w:id="768" w:name="X7283590d6f763a53f1ea09be58b297c872dc2fc"/>
    <w:p>
      <w:pPr>
        <w:pStyle w:val="Heading3"/>
      </w:pPr>
      <w:r>
        <w:t xml:space="preserve">Page 703 (lower) — Sūkta 16, Rik 9 (last ṛk of the sūkta)</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सेमं नः॒ काम॒मा पृ॑ण॒ गोभि॒रश्वैः॑ शतक्रतो ।</w:t>
      </w:r>
      <w:r>
        <w:t xml:space="preserve"> </w:t>
      </w:r>
      <w:r>
        <w:t xml:space="preserve">स्तवा॑म त्वा स्वा॒ध्यः॑ ॥९॥</w:t>
      </w:r>
    </w:p>
    <w:p>
      <w:pPr>
        <w:pStyle w:val="BlockText"/>
      </w:pPr>
      <w:r>
        <w:rPr>
          <w:iCs/>
          <w:i/>
        </w:rPr>
        <w:t xml:space="preserve">semaṃ naḥ kā́mam ā́ pṛṇa góbhir áśvaiḥ śatakrato |</w:t>
      </w:r>
      <w:r>
        <w:t xml:space="preserve"> </w:t>
      </w:r>
      <w:r>
        <w:rPr>
          <w:iCs/>
          <w:i/>
        </w:rPr>
        <w:t xml:space="preserve">stávāma tvā svādhyaḥ ||9||</w:t>
      </w:r>
    </w:p>
    <w:p>
      <w:pPr>
        <w:pStyle w:val="FirstParagraph"/>
      </w:pPr>
      <w:r>
        <w:rPr>
          <w:bCs/>
          <w:b/>
        </w:rPr>
        <w:t xml:space="preserve">॥ Pada-pāṭhaḥ ॥</w:t>
      </w:r>
    </w:p>
    <w:p>
      <w:pPr>
        <w:pStyle w:val="BlockText"/>
      </w:pPr>
      <w:r>
        <w:t xml:space="preserve">सः । इमम् । नः । कामम् । आ । पृण । गोभिः । अश्वैः । शतक्रतो इति शतऽक्रतो ॥</w:t>
      </w:r>
      <w:r>
        <w:t xml:space="preserve"> </w:t>
      </w:r>
      <w:r>
        <w:t xml:space="preserve">स्तवाम । त्वा । सुऽआध्यः ॥९॥</w:t>
      </w:r>
    </w:p>
    <w:p>
      <w:pPr>
        <w:pStyle w:val="BlockText"/>
      </w:pPr>
      <w:r>
        <w:rPr>
          <w:iCs/>
          <w:i/>
        </w:rPr>
        <w:t xml:space="preserve">saḥ | imam | naḥ | kāmam | ā | pṛṇa | gobhiḥ | aśvaiḥ | śatakrato iti śata ’krato ||</w:t>
      </w:r>
      <w:r>
        <w:t xml:space="preserve"> </w:t>
      </w:r>
      <w:r>
        <w:rPr>
          <w:iCs/>
          <w:i/>
        </w:rPr>
        <w:t xml:space="preserve">stavāma | tvā | su ’ādhyaḥ ||9||</w:t>
      </w:r>
    </w:p>
    <w:p>
      <w:pPr>
        <w:pStyle w:val="FirstParagraph"/>
      </w:pPr>
      <w:r>
        <w:rPr>
          <w:bCs/>
          <w:b/>
        </w:rPr>
        <w:t xml:space="preserve">॥ Sāyaṇa-bhāṣyam ॥</w:t>
      </w:r>
    </w:p>
    <w:p>
      <w:pPr>
        <w:pStyle w:val="BlockText"/>
      </w:pPr>
      <w:r>
        <w:t xml:space="preserve">हे शतक्रतो स त्वं नोऽस्मदीयमिमं कामं काम्यमानं फलं गोभिरश्वैश्च सहा पृण । सर्वतः पूरय । वयमपि स्वाध्यः सुष्ठु सर्वतो ध्यानयुक्ताः सन्तस्त्वां स्तवाम ॥ सेमम् । संहितायां सोऽचि लोपे चेत्पादपूरणमिति सुलोपः । कामम् । कमेर्घञ् । कर्षात्वतो घञोऽन्त उदात्तः । पा. ६-१-१५९ । इत्यन्तोदात्तत्वे प्राप्ते वृषादिषु पाठादाद्युदात्तत्वम् । पृण । पृण प्रीणने । लोटः सेर्हिः । तुदादिभ्यः शः । तस्य ङित्त्वाद्गुणाभावः । अतो हेरिति हेर्लुक् । गोभिः । सावेकाच इति प्राप्तं विभक्तेरुदात्तत्वं न गोश्वन्साववर्णेति प्रतिषिध्यते । अश्वैः । क्वनन्त इत्युक्तम् । असामर्थ्यान्न पराङ्गवद्भावः । स्तवाम । ष्टुञ् स्तुतौ । धात्वादेः षः सः । लोडुत्तमबहुवचनस्य लोटो लङ्वदिति लङ्वद्भावान्नित्यं ङितः ।</w:t>
      </w:r>
    </w:p>
    <w:p>
      <w:pPr>
        <w:pStyle w:val="BlockText"/>
      </w:pPr>
      <w:r>
        <w:rPr>
          <w:iCs/>
          <w:i/>
        </w:rPr>
        <w:t xml:space="preserve">he śatakrato sa tvaṃ no ’smadīyamimaṃ kāmaṃ kāmyamānaṃ phalaṃ gobhiraśvaiśca sahā pṛṇa | sarvataḥ pūraya | vayamapi svādhyaḥ suṣṭhu sarvato dhyānayuktāḥ santastvāṃ stavāma || semam | saṃhitāyāṃ so ’ci lope cetpādapūraṇamiti sulopaḥ | kāmam | kamerghañ | karṣātvato ghaño ’nta udāttaḥ | pā. 6-1-159 | ityantodāttatve prāpte vṛṣādiṣu pāṭhādādyudāttatvam | pṛṇa | pṛṇa prīṇane | loṭaḥ serhiḥ | tudādibhyaḥ śaḥ | tasya ṅittvādguṇābhāvaḥ | ato heriti herluk | gobhiḥ | sāvekāca iti prāptaṃ vibhakterudāttatvaṃ na gośvansāvavarṇeti pratiṣidhyate | aśvaiḥ | kvananta ityuktam | asāmarthyānna parāṅgavadbhāvaḥ | stavāma | ṣṭuñ stutau | dhātvādeḥ ṣaḥ saḥ | loḍuttamabahuvacanasya loṭo laṅvaditi laṅvadbhāvānnityaṃ ṅitaḥ |</w:t>
      </w:r>
    </w:p>
    <w:bookmarkEnd w:id="768"/>
    <w:bookmarkStart w:id="769" w:name="Xaac1a9a8a6a99bf8ce15631adbf2c3048f7d051"/>
    <w:p>
      <w:pPr>
        <w:pStyle w:val="Heading3"/>
      </w:pPr>
      <w:r>
        <w:t xml:space="preserve">Page 704 — Rik 9: bhāṣya (end), word-meanings, overall sense, English, Special Topics</w:t>
      </w:r>
    </w:p>
    <w:p>
      <w:pPr>
        <w:pStyle w:val="FirstParagraph"/>
      </w:pPr>
      <w:r>
        <w:rPr>
          <w:iCs/>
          <w:i/>
        </w:rPr>
        <w:t xml:space="preserve">(॥३१॥ closes Varga 31.)</w:t>
      </w:r>
    </w:p>
    <w:p>
      <w:pPr>
        <w:pStyle w:val="BlockText"/>
      </w:pPr>
      <w:r>
        <w:t xml:space="preserve">पा. ३-४-९९ । इति सकारस्य लोपः । आडुत्तमस्य पिच्च । पा. ३-४-९२ । इत्याडागमः । प्रत्ययस्य पित्त्वादनुदात्तत्वम् । धातुस्वर एव । स्वाध्यः । ध्यै चिन्तायाम् । स्वाङोरुपसर्गयोः प्राक्प्रयोगः । अन्येभ्योऽपि दृश्यते । पा. ३-२-१७८ । इति क्विप् । दृशिग्रहणस्य विध्यन्तरोपसंग्रहणार्थत्वादत्र संप्रसारणे सति परपूर्वत्वम् । हल इति दीर्घः । जस्येरनेकाचः । पा. ६-४-८२ । इति यणादेशः । गतिकारकोपपदात्कृदिति कृदुत्तरपदप्रकृतिस्वरत्वम् । उदात्तयणो हल्पूर्वादिति जस उदात्तत्वं न भवति तत्रासर्वनामस्थानमित्यनुवृत्तेः । अत उदात्तस्वरितयोर्यणः स्वरितोऽनुदात्तस्येति स्वरितत्वमेव भवति ॥३१॥</w:t>
      </w:r>
    </w:p>
    <w:p>
      <w:pPr>
        <w:pStyle w:val="BlockText"/>
      </w:pPr>
      <w:r>
        <w:rPr>
          <w:iCs/>
          <w:i/>
        </w:rPr>
        <w:t xml:space="preserve">pā. 3-4-99 | iti sakārasya lopaḥ | āḍuttamasya picca | pā. 3-4-92 | ityāḍāgamaḥ | pratyayasya pittvādanudāttatvam | dhātusvara eva | svādhyaḥ | dhyai cintāyām | svāṅorupasargayoḥ prākprayogaḥ | anyebhyo ’pi dṛśyate | pā. 3-2-178 | iti kvip | dṛśigrahaṇasya vidhyantaropasaṃgrahaṇārthatvādatra saṃprasāraṇe sati parapūrvatvam | hala iti dīrghaḥ | jasyeranekācaḥ | pā. 6-4-82 | iti yaṇādeśaḥ | gatikārakopapadātkṛditi kṛduttarapadaprakṛtisvaratvam | udāttayaṇo halpūrvāditi jasa udāttatvaṃ na bhavati tatrāsarvanāmasthānamityanuvṛtteḥ | ata udāttasvaritayoryaṇaḥ svarito ’nudāttasyeti svaritatvameva bhavati ||31||</w:t>
      </w:r>
    </w:p>
    <w:p>
      <w:pPr>
        <w:pStyle w:val="FirstParagraph"/>
      </w:pPr>
      <w:r>
        <w:rPr>
          <w:bCs/>
          <w:b/>
        </w:rPr>
        <w:t xml:space="preserve">Translation:</w:t>
      </w:r>
      <w:r>
        <w:t xml:space="preserve"> </w:t>
      </w:r>
      <w:r>
        <w:t xml:space="preserve">“</w:t>
      </w:r>
      <w:r>
        <w:t xml:space="preserve">O Śatakratu, such as you are,</w:t>
      </w:r>
      <w:r>
        <w:t xml:space="preserve"> </w:t>
      </w:r>
      <w:r>
        <w:rPr>
          <w:iCs/>
          <w:i/>
        </w:rPr>
        <w:t xml:space="preserve">ā pṛṇa</w:t>
      </w:r>
      <w:r>
        <w:t xml:space="preserve">, fill up on all sides, this our</w:t>
      </w:r>
      <w:r>
        <w:t xml:space="preserve"> </w:t>
      </w:r>
      <w:r>
        <w:rPr>
          <w:iCs/>
          <w:i/>
        </w:rPr>
        <w:t xml:space="preserve">kāma</w:t>
      </w:r>
      <w:r>
        <w:t xml:space="preserve">, the fruit we desire, with cows and horses. We too,</w:t>
      </w:r>
      <w:r>
        <w:t xml:space="preserve"> </w:t>
      </w:r>
      <w:r>
        <w:rPr>
          <w:iCs/>
          <w:i/>
        </w:rPr>
        <w:t xml:space="preserve">svādhyaḥ</w:t>
      </w:r>
      <w:r>
        <w:t xml:space="preserve">, well and wholly given to meditation, praise you.</w:t>
      </w:r>
      <w:r>
        <w:t xml:space="preserve">”</w:t>
      </w:r>
      <w:r>
        <w:t xml:space="preserve"> </w:t>
      </w:r>
      <w:r>
        <w:t xml:space="preserve">(Grammatical tail:</w:t>
      </w:r>
      <w:r>
        <w:t xml:space="preserve"> </w:t>
      </w:r>
      <w:r>
        <w:rPr>
          <w:iCs/>
          <w:i/>
        </w:rPr>
        <w:t xml:space="preserve">semam</w:t>
      </w:r>
      <w:r>
        <w:t xml:space="preserve">, the loss of</w:t>
      </w:r>
      <w:r>
        <w:t xml:space="preserve"> </w:t>
      </w:r>
      <w:r>
        <w:rPr>
          <w:iCs/>
          <w:i/>
        </w:rPr>
        <w:t xml:space="preserve">su</w:t>
      </w:r>
      <w:r>
        <w:t xml:space="preserve"> </w:t>
      </w:r>
      <w:r>
        <w:t xml:space="preserve">in the Saṃhitā by</w:t>
      </w:r>
      <w:r>
        <w:t xml:space="preserve"> </w:t>
      </w:r>
      <w:r>
        <w:rPr>
          <w:iCs/>
          <w:i/>
        </w:rPr>
        <w:t xml:space="preserve">so ’ci lope…</w:t>
      </w:r>
      <w:r>
        <w:t xml:space="preserve">;</w:t>
      </w:r>
      <w:r>
        <w:t xml:space="preserve"> </w:t>
      </w:r>
      <w:r>
        <w:rPr>
          <w:iCs/>
          <w:i/>
        </w:rPr>
        <w:t xml:space="preserve">kāmam</w:t>
      </w:r>
      <w:r>
        <w:t xml:space="preserve">,</w:t>
      </w:r>
      <w:r>
        <w:t xml:space="preserve"> </w:t>
      </w:r>
      <w:r>
        <w:rPr>
          <w:iCs/>
          <w:i/>
        </w:rPr>
        <w:t xml:space="preserve">ghañ</w:t>
      </w:r>
      <w:r>
        <w:t xml:space="preserve"> </w:t>
      </w:r>
      <w:r>
        <w:t xml:space="preserve">after</w:t>
      </w:r>
      <w:r>
        <w:t xml:space="preserve"> </w:t>
      </w:r>
      <w:r>
        <w:rPr>
          <w:iCs/>
          <w:i/>
        </w:rPr>
        <w:t xml:space="preserve">kam</w:t>
      </w:r>
      <w:r>
        <w:t xml:space="preserve">; final udātta due by Pā. 6-1-159, initial udātta because it is read in the</w:t>
      </w:r>
      <w:r>
        <w:t xml:space="preserve"> </w:t>
      </w:r>
      <w:r>
        <w:rPr>
          <w:iCs/>
          <w:i/>
        </w:rPr>
        <w:t xml:space="preserve">vṛṣa-ādi</w:t>
      </w:r>
      <w:r>
        <w:t xml:space="preserve">;</w:t>
      </w:r>
      <w:r>
        <w:t xml:space="preserve"> </w:t>
      </w:r>
      <w:r>
        <w:rPr>
          <w:iCs/>
          <w:i/>
        </w:rPr>
        <w:t xml:space="preserve">pṛṇa</w:t>
      </w:r>
      <w:r>
        <w:t xml:space="preserve">,</w:t>
      </w:r>
      <w:r>
        <w:t xml:space="preserve"> </w:t>
      </w:r>
      <w:r>
        <w:rPr>
          <w:iCs/>
          <w:i/>
        </w:rPr>
        <w:t xml:space="preserve">pṛṇa prīṇane</w:t>
      </w:r>
      <w:r>
        <w:t xml:space="preserve">,</w:t>
      </w:r>
      <w:r>
        <w:t xml:space="preserve"> </w:t>
      </w:r>
      <w:r>
        <w:rPr>
          <w:iCs/>
          <w:i/>
        </w:rPr>
        <w:t xml:space="preserve">hi</w:t>
      </w:r>
      <w:r>
        <w:t xml:space="preserve"> </w:t>
      </w:r>
      <w:r>
        <w:t xml:space="preserve">for</w:t>
      </w:r>
      <w:r>
        <w:t xml:space="preserve"> </w:t>
      </w:r>
      <w:r>
        <w:rPr>
          <w:iCs/>
          <w:i/>
        </w:rPr>
        <w:t xml:space="preserve">si</w:t>
      </w:r>
      <w:r>
        <w:t xml:space="preserve">,</w:t>
      </w:r>
      <w:r>
        <w:t xml:space="preserve"> </w:t>
      </w:r>
      <w:r>
        <w:rPr>
          <w:iCs/>
          <w:i/>
        </w:rPr>
        <w:t xml:space="preserve">śa</w:t>
      </w:r>
      <w:r>
        <w:t xml:space="preserve"> </w:t>
      </w:r>
      <w:r>
        <w:t xml:space="preserve">by</w:t>
      </w:r>
      <w:r>
        <w:t xml:space="preserve"> </w:t>
      </w:r>
      <w:r>
        <w:rPr>
          <w:iCs/>
          <w:i/>
        </w:rPr>
        <w:t xml:space="preserve">tudādibhyaḥ śaḥ</w:t>
      </w:r>
      <w:r>
        <w:t xml:space="preserve">, no</w:t>
      </w:r>
      <w:r>
        <w:t xml:space="preserve"> </w:t>
      </w:r>
      <w:r>
        <w:rPr>
          <w:iCs/>
          <w:i/>
        </w:rPr>
        <w:t xml:space="preserve">guṇa</w:t>
      </w:r>
      <w:r>
        <w:t xml:space="preserve"> </w:t>
      </w:r>
      <w:r>
        <w:t xml:space="preserve">as it is</w:t>
      </w:r>
      <w:r>
        <w:t xml:space="preserve"> </w:t>
      </w:r>
      <w:r>
        <w:rPr>
          <w:iCs/>
          <w:i/>
        </w:rPr>
        <w:t xml:space="preserve">ṅit</w:t>
      </w:r>
      <w:r>
        <w:t xml:space="preserve">,</w:t>
      </w:r>
      <w:r>
        <w:t xml:space="preserve"> </w:t>
      </w:r>
      <w:r>
        <w:rPr>
          <w:iCs/>
          <w:i/>
        </w:rPr>
        <w:t xml:space="preserve">hi</w:t>
      </w:r>
      <w:r>
        <w:t xml:space="preserve"> </w:t>
      </w:r>
      <w:r>
        <w:t xml:space="preserve">dropped by</w:t>
      </w:r>
      <w:r>
        <w:t xml:space="preserve"> </w:t>
      </w:r>
      <w:r>
        <w:rPr>
          <w:iCs/>
          <w:i/>
        </w:rPr>
        <w:t xml:space="preserve">ato heḥ</w:t>
      </w:r>
      <w:r>
        <w:t xml:space="preserve">;</w:t>
      </w:r>
      <w:r>
        <w:t xml:space="preserve"> </w:t>
      </w:r>
      <w:r>
        <w:rPr>
          <w:iCs/>
          <w:i/>
        </w:rPr>
        <w:t xml:space="preserve">gobhiḥ</w:t>
      </w:r>
      <w:r>
        <w:t xml:space="preserve">, the case-ending accent due by</w:t>
      </w:r>
      <w:r>
        <w:t xml:space="preserve"> </w:t>
      </w:r>
      <w:r>
        <w:rPr>
          <w:iCs/>
          <w:i/>
        </w:rPr>
        <w:t xml:space="preserve">sāv ekācaḥ</w:t>
      </w:r>
      <w:r>
        <w:t xml:space="preserve"> </w:t>
      </w:r>
      <w:r>
        <w:t xml:space="preserve">barred by</w:t>
      </w:r>
      <w:r>
        <w:t xml:space="preserve"> </w:t>
      </w:r>
      <w:r>
        <w:rPr>
          <w:iCs/>
          <w:i/>
        </w:rPr>
        <w:t xml:space="preserve">na gośvan…</w:t>
      </w:r>
      <w:r>
        <w:t xml:space="preserve">;</w:t>
      </w:r>
      <w:r>
        <w:t xml:space="preserve"> </w:t>
      </w:r>
      <w:r>
        <w:rPr>
          <w:iCs/>
          <w:i/>
        </w:rPr>
        <w:t xml:space="preserve">aśvaiḥ</w:t>
      </w:r>
      <w:r>
        <w:t xml:space="preserve">, a</w:t>
      </w:r>
      <w:r>
        <w:t xml:space="preserve"> </w:t>
      </w:r>
      <w:r>
        <w:rPr>
          <w:iCs/>
          <w:i/>
        </w:rPr>
        <w:t xml:space="preserve">kvan</w:t>
      </w:r>
      <w:r>
        <w:t xml:space="preserve"> </w:t>
      </w:r>
      <w:r>
        <w:t xml:space="preserve">form, as said; for lack of syntactic connection [with</w:t>
      </w:r>
      <w:r>
        <w:t xml:space="preserve"> </w:t>
      </w:r>
      <w:r>
        <w:rPr>
          <w:iCs/>
          <w:i/>
        </w:rPr>
        <w:t xml:space="preserve">śatakrato</w:t>
      </w:r>
      <w:r>
        <w:t xml:space="preserve">], no</w:t>
      </w:r>
      <w:r>
        <w:t xml:space="preserve"> </w:t>
      </w:r>
      <w:r>
        <w:rPr>
          <w:iCs/>
          <w:i/>
        </w:rPr>
        <w:t xml:space="preserve">parāṅgavadbhāva</w:t>
      </w:r>
      <w:r>
        <w:t xml:space="preserve">;</w:t>
      </w:r>
      <w:r>
        <w:t xml:space="preserve"> </w:t>
      </w:r>
      <w:r>
        <w:rPr>
          <w:iCs/>
          <w:i/>
        </w:rPr>
        <w:t xml:space="preserve">stavāma</w:t>
      </w:r>
      <w:r>
        <w:t xml:space="preserve">,</w:t>
      </w:r>
      <w:r>
        <w:t xml:space="preserve"> </w:t>
      </w:r>
      <w:r>
        <w:rPr>
          <w:iCs/>
          <w:i/>
        </w:rPr>
        <w:t xml:space="preserve">ṣṭuñ stutau</w:t>
      </w:r>
      <w:r>
        <w:t xml:space="preserve">,</w:t>
      </w:r>
      <w:r>
        <w:t xml:space="preserve"> </w:t>
      </w:r>
      <w:r>
        <w:rPr>
          <w:iCs/>
          <w:i/>
        </w:rPr>
        <w:t xml:space="preserve">s</w:t>
      </w:r>
      <w:r>
        <w:t xml:space="preserve"> </w:t>
      </w:r>
      <w:r>
        <w:t xml:space="preserve">for</w:t>
      </w:r>
      <w:r>
        <w:t xml:space="preserve"> </w:t>
      </w:r>
      <w:r>
        <w:rPr>
          <w:iCs/>
          <w:i/>
        </w:rPr>
        <w:t xml:space="preserve">ṣ</w:t>
      </w:r>
      <w:r>
        <w:t xml:space="preserve">, the loss of</w:t>
      </w:r>
      <w:r>
        <w:t xml:space="preserve"> </w:t>
      </w:r>
      <w:r>
        <w:rPr>
          <w:iCs/>
          <w:i/>
        </w:rPr>
        <w:t xml:space="preserve">s</w:t>
      </w:r>
      <w:r>
        <w:t xml:space="preserve"> </w:t>
      </w:r>
      <w:r>
        <w:t xml:space="preserve">by</w:t>
      </w:r>
      <w:r>
        <w:t xml:space="preserve"> </w:t>
      </w:r>
      <w:r>
        <w:rPr>
          <w:iCs/>
          <w:i/>
        </w:rPr>
        <w:t xml:space="preserve">nityaṃ ṅitaḥ</w:t>
      </w:r>
      <w:r>
        <w:t xml:space="preserve"> </w:t>
      </w:r>
      <w:r>
        <w:t xml:space="preserve">(Pā. 3-4-99) since the</w:t>
      </w:r>
      <w:r>
        <w:t xml:space="preserve"> </w:t>
      </w:r>
      <w:r>
        <w:rPr>
          <w:iCs/>
          <w:i/>
        </w:rPr>
        <w:t xml:space="preserve">loṭ</w:t>
      </w:r>
      <w:r>
        <w:t xml:space="preserve"> </w:t>
      </w:r>
      <w:r>
        <w:t xml:space="preserve">is treated as</w:t>
      </w:r>
      <w:r>
        <w:t xml:space="preserve"> </w:t>
      </w:r>
      <w:r>
        <w:rPr>
          <w:iCs/>
          <w:i/>
        </w:rPr>
        <w:t xml:space="preserve">laṅ</w:t>
      </w:r>
      <w:r>
        <w:t xml:space="preserve">, the augment</w:t>
      </w:r>
      <w:r>
        <w:t xml:space="preserve"> </w:t>
      </w:r>
      <w:r>
        <w:rPr>
          <w:iCs/>
          <w:i/>
        </w:rPr>
        <w:t xml:space="preserve">āṭ</w:t>
      </w:r>
      <w:r>
        <w:t xml:space="preserve"> </w:t>
      </w:r>
      <w:r>
        <w:t xml:space="preserve">by Pā. 3-4-92, the root accent;</w:t>
      </w:r>
      <w:r>
        <w:t xml:space="preserve"> </w:t>
      </w:r>
      <w:r>
        <w:rPr>
          <w:iCs/>
          <w:i/>
        </w:rPr>
        <w:t xml:space="preserve">svādhyaḥ</w:t>
      </w:r>
      <w:r>
        <w:t xml:space="preserve">,</w:t>
      </w:r>
      <w:r>
        <w:t xml:space="preserve"> </w:t>
      </w:r>
      <w:r>
        <w:rPr>
          <w:iCs/>
          <w:i/>
        </w:rPr>
        <w:t xml:space="preserve">dhyai cintāyām</w:t>
      </w:r>
      <w:r>
        <w:t xml:space="preserve">,</w:t>
      </w:r>
      <w:r>
        <w:t xml:space="preserve"> </w:t>
      </w:r>
      <w:r>
        <w:rPr>
          <w:iCs/>
          <w:i/>
        </w:rPr>
        <w:t xml:space="preserve">su</w:t>
      </w:r>
      <w:r>
        <w:t xml:space="preserve"> </w:t>
      </w:r>
      <w:r>
        <w:t xml:space="preserve">and</w:t>
      </w:r>
      <w:r>
        <w:t xml:space="preserve"> </w:t>
      </w:r>
      <w:r>
        <w:rPr>
          <w:iCs/>
          <w:i/>
        </w:rPr>
        <w:t xml:space="preserve">āṅ</w:t>
      </w:r>
      <w:r>
        <w:t xml:space="preserve"> </w:t>
      </w:r>
      <w:r>
        <w:t xml:space="preserve">used before it,</w:t>
      </w:r>
      <w:r>
        <w:t xml:space="preserve"> </w:t>
      </w:r>
      <w:r>
        <w:rPr>
          <w:iCs/>
          <w:i/>
        </w:rPr>
        <w:t xml:space="preserve">kvip</w:t>
      </w:r>
      <w:r>
        <w:t xml:space="preserve"> </w:t>
      </w:r>
      <w:r>
        <w:t xml:space="preserve">by Pā. 3-2-178,</w:t>
      </w:r>
      <w:r>
        <w:t xml:space="preserve"> </w:t>
      </w:r>
      <w:r>
        <w:rPr>
          <w:iCs/>
          <w:i/>
        </w:rPr>
        <w:t xml:space="preserve">saṃprasāraṇa</w:t>
      </w:r>
      <w:r>
        <w:t xml:space="preserve"> </w:t>
      </w:r>
      <w:r>
        <w:t xml:space="preserve">since</w:t>
      </w:r>
      <w:r>
        <w:t xml:space="preserve"> </w:t>
      </w:r>
      <w:r>
        <w:rPr>
          <w:iCs/>
          <w:i/>
        </w:rPr>
        <w:t xml:space="preserve">dṛśi</w:t>
      </w:r>
      <w:r>
        <w:t xml:space="preserve"> </w:t>
      </w:r>
      <w:r>
        <w:t xml:space="preserve">takes in other rules, lengthening by</w:t>
      </w:r>
      <w:r>
        <w:t xml:space="preserve"> </w:t>
      </w:r>
      <w:r>
        <w:rPr>
          <w:iCs/>
          <w:i/>
        </w:rPr>
        <w:t xml:space="preserve">halaḥ</w:t>
      </w:r>
      <w:r>
        <w:t xml:space="preserve">,</w:t>
      </w:r>
      <w:r>
        <w:t xml:space="preserve"> </w:t>
      </w:r>
      <w:r>
        <w:rPr>
          <w:iCs/>
          <w:i/>
        </w:rPr>
        <w:t xml:space="preserve">yaṇ</w:t>
      </w:r>
      <w:r>
        <w:t xml:space="preserve"> </w:t>
      </w:r>
      <w:r>
        <w:t xml:space="preserve">by Pā. 6-4-82, the accent of the</w:t>
      </w:r>
      <w:r>
        <w:t xml:space="preserve"> </w:t>
      </w:r>
      <w:r>
        <w:rPr>
          <w:iCs/>
          <w:i/>
        </w:rPr>
        <w:t xml:space="preserve">kṛt</w:t>
      </w:r>
      <w:r>
        <w:t xml:space="preserve"> </w:t>
      </w:r>
      <w:r>
        <w:t xml:space="preserve">final member; the</w:t>
      </w:r>
      <w:r>
        <w:t xml:space="preserve"> </w:t>
      </w:r>
      <w:r>
        <w:rPr>
          <w:iCs/>
          <w:i/>
        </w:rPr>
        <w:t xml:space="preserve">jas</w:t>
      </w:r>
      <w:r>
        <w:t xml:space="preserve"> </w:t>
      </w:r>
      <w:r>
        <w:t xml:space="preserve">is not udātta by</w:t>
      </w:r>
      <w:r>
        <w:t xml:space="preserve"> </w:t>
      </w:r>
      <w:r>
        <w:rPr>
          <w:iCs/>
          <w:i/>
        </w:rPr>
        <w:t xml:space="preserve">udāttayaṇo halpūrvāt</w:t>
      </w:r>
      <w:r>
        <w:t xml:space="preserve">, since</w:t>
      </w:r>
      <w:r>
        <w:t xml:space="preserve"> </w:t>
      </w:r>
      <w:r>
        <w:rPr>
          <w:iCs/>
          <w:i/>
        </w:rPr>
        <w:t xml:space="preserve">asarvanāmasthāna</w:t>
      </w:r>
      <w:r>
        <w:t xml:space="preserve"> </w:t>
      </w:r>
      <w:r>
        <w:t xml:space="preserve">is carried on there, and becomes svarita by</w:t>
      </w:r>
      <w:r>
        <w:t xml:space="preserve"> </w:t>
      </w:r>
      <w:r>
        <w:rPr>
          <w:iCs/>
          <w:i/>
        </w:rPr>
        <w:t xml:space="preserve">udāttasvaritayor yaṇaḥ…</w:t>
      </w:r>
      <w:r>
        <w:t xml:space="preserve">.)</w:t>
      </w:r>
    </w:p>
    <w:p>
      <w:pPr>
        <w:pStyle w:val="BodyText"/>
      </w:pPr>
      <w:r>
        <w:rPr>
          <w:bCs/>
          <w:b/>
        </w:rPr>
        <w:t xml:space="preserve">॥ Prati-padārthaḥ ॥</w:t>
      </w:r>
    </w:p>
    <w:p>
      <w:pPr>
        <w:pStyle w:val="BodyText"/>
      </w:pPr>
      <w:r>
        <w:rPr>
          <w:bCs/>
          <w:b/>
        </w:rPr>
        <w:t xml:space="preserve">हे शतक्रतो (he śatakrato)</w:t>
      </w:r>
      <w:r>
        <w:t xml:space="preserve"> </w:t>
      </w:r>
      <w:r>
        <w:t xml:space="preserve">— O Indra |</w:t>
      </w:r>
      <w:r>
        <w:t xml:space="preserve"> </w:t>
      </w:r>
      <w:r>
        <w:rPr>
          <w:bCs/>
          <w:b/>
        </w:rPr>
        <w:t xml:space="preserve">सः त्वम् (saḥ tvam)</w:t>
      </w:r>
      <w:r>
        <w:t xml:space="preserve"> </w:t>
      </w:r>
      <w:r>
        <w:t xml:space="preserve">— you |</w:t>
      </w:r>
      <w:r>
        <w:t xml:space="preserve"> </w:t>
      </w:r>
      <w:r>
        <w:rPr>
          <w:bCs/>
          <w:b/>
        </w:rPr>
        <w:t xml:space="preserve">नः (naḥ)</w:t>
      </w:r>
      <w:r>
        <w:t xml:space="preserve"> </w:t>
      </w:r>
      <w:r>
        <w:t xml:space="preserve">— our |</w:t>
      </w:r>
      <w:r>
        <w:t xml:space="preserve"> </w:t>
      </w:r>
      <w:r>
        <w:rPr>
          <w:bCs/>
          <w:b/>
        </w:rPr>
        <w:t xml:space="preserve">इमम् (imam)</w:t>
      </w:r>
      <w:r>
        <w:t xml:space="preserve"> </w:t>
      </w:r>
      <w:r>
        <w:t xml:space="preserve">— this |</w:t>
      </w:r>
      <w:r>
        <w:t xml:space="preserve"> </w:t>
      </w:r>
      <w:r>
        <w:rPr>
          <w:bCs/>
          <w:b/>
        </w:rPr>
        <w:t xml:space="preserve">कामम् (kāmam)</w:t>
      </w:r>
      <w:r>
        <w:t xml:space="preserve"> </w:t>
      </w:r>
      <w:r>
        <w:t xml:space="preserve">— desired fruit (the object wished for) |</w:t>
      </w:r>
      <w:r>
        <w:t xml:space="preserve"> </w:t>
      </w:r>
      <w:r>
        <w:rPr>
          <w:bCs/>
          <w:b/>
        </w:rPr>
        <w:t xml:space="preserve">गोभिः अश्वैः (gobhiḥ aśvaiḥ)</w:t>
      </w:r>
      <w:r>
        <w:t xml:space="preserve"> </w:t>
      </w:r>
      <w:r>
        <w:t xml:space="preserve">— with cows and horses |</w:t>
      </w:r>
      <w:r>
        <w:t xml:space="preserve"> </w:t>
      </w:r>
      <w:r>
        <w:rPr>
          <w:bCs/>
          <w:b/>
        </w:rPr>
        <w:t xml:space="preserve">आ पृण (ā pṛṇa)</w:t>
      </w:r>
      <w:r>
        <w:t xml:space="preserve"> </w:t>
      </w:r>
      <w:r>
        <w:t xml:space="preserve">— fill up | (</w:t>
      </w:r>
      <w:r>
        <w:rPr>
          <w:bCs/>
          <w:b/>
        </w:rPr>
        <w:t xml:space="preserve">वयम् अपि (vayam api)</w:t>
      </w:r>
      <w:r>
        <w:t xml:space="preserve"> </w:t>
      </w:r>
      <w:r>
        <w:t xml:space="preserve">— we too) |</w:t>
      </w:r>
      <w:r>
        <w:t xml:space="preserve"> </w:t>
      </w:r>
      <w:r>
        <w:rPr>
          <w:bCs/>
          <w:b/>
        </w:rPr>
        <w:t xml:space="preserve">स्वाध्यः (svādhyaḥ)</w:t>
      </w:r>
      <w:r>
        <w:t xml:space="preserve"> </w:t>
      </w:r>
      <w:r>
        <w:t xml:space="preserve">— being well given to meditation |</w:t>
      </w:r>
      <w:r>
        <w:t xml:space="preserve"> </w:t>
      </w:r>
      <w:r>
        <w:rPr>
          <w:bCs/>
          <w:b/>
        </w:rPr>
        <w:t xml:space="preserve">त्वा (tvā)</w:t>
      </w:r>
      <w:r>
        <w:t xml:space="preserve"> </w:t>
      </w:r>
      <w:r>
        <w:t xml:space="preserve">— you |</w:t>
      </w:r>
      <w:r>
        <w:t xml:space="preserve"> </w:t>
      </w:r>
      <w:r>
        <w:rPr>
          <w:bCs/>
          <w:b/>
        </w:rPr>
        <w:t xml:space="preserve">स्तवाम (stavāma)</w:t>
      </w:r>
      <w:r>
        <w:t xml:space="preserve"> </w:t>
      </w:r>
      <w:r>
        <w:t xml:space="preserve">— praise.</w:t>
      </w:r>
    </w:p>
    <w:p>
      <w:pPr>
        <w:pStyle w:val="BodyText"/>
      </w:pPr>
      <w:r>
        <w:rPr>
          <w:bCs/>
          <w:b/>
        </w:rPr>
        <w:t xml:space="preserve">॥ Bhāvārthaḥ ॥</w:t>
      </w:r>
    </w:p>
    <w:p>
      <w:pPr>
        <w:pStyle w:val="BodyText"/>
      </w:pPr>
      <w:r>
        <w:t xml:space="preserve">O Indra, give us cows, horses and the like and fulfil our desire. We too, always given to meditation, praise you.</w:t>
      </w:r>
    </w:p>
    <w:p>
      <w:pPr>
        <w:pStyle w:val="BodyText"/>
      </w:pPr>
      <w:r>
        <w:rPr>
          <w:bCs/>
          <w:b/>
        </w:rPr>
        <w:t xml:space="preserve">॥ English Translation ॥</w:t>
      </w:r>
      <w:r>
        <w:t xml:space="preserve"> </w:t>
      </w:r>
      <w:r>
        <w:rPr>
          <w:iCs/>
          <w:i/>
        </w:rPr>
        <w:t xml:space="preserve">(as printed in the source)</w:t>
      </w:r>
    </w:p>
    <w:p>
      <w:pPr>
        <w:pStyle w:val="BlockText"/>
      </w:pPr>
      <w:r>
        <w:t xml:space="preserve">O Satakratu (Indra) fulfil this our desire by giving us cows and horses. Profoundly meditating we praise yon [sic].</w:t>
      </w:r>
    </w:p>
    <w:p>
      <w:pPr>
        <w:pStyle w:val="FirstParagraph"/>
      </w:pPr>
      <w:r>
        <w:rPr>
          <w:bCs/>
          <w:b/>
        </w:rPr>
        <w:t xml:space="preserve">॥ Viśeṣa-viṣayagaḷu (Special Topics) ॥</w:t>
      </w:r>
    </w:p>
    <w:p>
      <w:pPr>
        <w:pStyle w:val="BodyText"/>
      </w:pPr>
      <w:r>
        <w:rPr>
          <w:bCs/>
          <w:b/>
        </w:rPr>
        <w:t xml:space="preserve">Gobhir aśvaiḥ āpṛṇa</w:t>
      </w:r>
      <w:r>
        <w:t xml:space="preserve">: fill with cows and horses; that is, give us cows and horses and fulfil our desire.</w:t>
      </w:r>
    </w:p>
    <w:p>
      <w:pPr>
        <w:pStyle w:val="BodyText"/>
      </w:pPr>
      <w:r>
        <w:rPr>
          <w:bCs/>
          <w:b/>
        </w:rPr>
        <w:t xml:space="preserve">Svādhyaḥ</w:t>
      </w:r>
      <w:r>
        <w:t xml:space="preserve">:</w:t>
      </w:r>
      <w:r>
        <w:t xml:space="preserve"> </w:t>
      </w:r>
      <w:r>
        <w:rPr>
          <w:iCs/>
          <w:i/>
        </w:rPr>
        <w:t xml:space="preserve">dhyai cintāyām</w:t>
      </w:r>
      <w:r>
        <w:t xml:space="preserve">;</w:t>
      </w:r>
    </w:p>
    <w:p>
      <w:pPr>
        <w:pStyle w:val="BlockText"/>
      </w:pPr>
      <w:r>
        <w:t xml:space="preserve">सुष्ठु सर्वतो ध्यानयुक्ताः सन्तः ॥</w:t>
      </w:r>
    </w:p>
    <w:p>
      <w:pPr>
        <w:pStyle w:val="BlockText"/>
      </w:pPr>
      <w:r>
        <w:rPr>
          <w:iCs/>
          <w:i/>
        </w:rPr>
        <w:t xml:space="preserve">suṣṭhu sarvato dhyānayuktāḥ santaḥ ||</w:t>
      </w:r>
    </w:p>
    <w:p>
      <w:pPr>
        <w:pStyle w:val="FirstParagraph"/>
      </w:pPr>
      <w:r>
        <w:t xml:space="preserve">(</w:t>
      </w:r>
      <w:r>
        <w:t xml:space="preserve">“</w:t>
      </w:r>
      <w:r>
        <w:t xml:space="preserve">Well and wholly given to meditation.</w:t>
      </w:r>
      <w:r>
        <w:t xml:space="preserve">”</w:t>
      </w:r>
      <w:r>
        <w:t xml:space="preserve">) The sense is: meditating well in the mind (on you, Indra).</w:t>
      </w:r>
    </w:p>
    <w:bookmarkEnd w:id="769"/>
    <w:bookmarkStart w:id="770" w:name="page-705-rik-9-grammar"/>
    <w:p>
      <w:pPr>
        <w:pStyle w:val="Heading3"/>
      </w:pPr>
      <w:r>
        <w:t xml:space="preserve">Page 705 — Rik 9: grammar</w:t>
      </w:r>
    </w:p>
    <w:p>
      <w:pPr>
        <w:pStyle w:val="FirstParagraph"/>
      </w:pPr>
      <w:r>
        <w:rPr>
          <w:bCs/>
          <w:b/>
        </w:rPr>
        <w:t xml:space="preserve">॥ Vyākaraṇa-prakriyā ॥</w:t>
      </w:r>
      <w:r>
        <w:t xml:space="preserve"> </w:t>
      </w:r>
      <w:r>
        <w:rPr>
          <w:iCs/>
          <w:i/>
        </w:rPr>
        <w:t xml:space="preserve">(grammar pages 705–707, noted briefly)</w:t>
      </w:r>
    </w:p>
    <w:p>
      <w:pPr>
        <w:pStyle w:val="BodyText"/>
      </w:pPr>
      <w:r>
        <w:rPr>
          <w:bCs/>
          <w:b/>
        </w:rPr>
        <w:t xml:space="preserve">सेमम् (</w:t>
      </w:r>
      <w:r>
        <w:rPr>
          <w:iCs/>
          <w:i/>
          <w:bCs/>
          <w:b/>
        </w:rPr>
        <w:t xml:space="preserve">semam</w:t>
      </w:r>
      <w:r>
        <w:rPr>
          <w:bCs/>
          <w:b/>
        </w:rPr>
        <w:t xml:space="preserve">)</w:t>
      </w:r>
      <w:r>
        <w:t xml:space="preserve">: after the word</w:t>
      </w:r>
      <w:r>
        <w:t xml:space="preserve"> </w:t>
      </w:r>
      <w:r>
        <w:rPr>
          <w:iCs/>
          <w:i/>
        </w:rPr>
        <w:t xml:space="preserve">tad</w:t>
      </w:r>
      <w:r>
        <w:t xml:space="preserve"> </w:t>
      </w:r>
      <w:r>
        <w:t xml:space="preserve">the nominative singular</w:t>
      </w:r>
      <w:r>
        <w:t xml:space="preserve"> </w:t>
      </w:r>
      <w:r>
        <w:rPr>
          <w:iCs/>
          <w:i/>
        </w:rPr>
        <w:t xml:space="preserve">su</w:t>
      </w:r>
      <w:r>
        <w:t xml:space="preserve">. By</w:t>
      </w:r>
      <w:r>
        <w:t xml:space="preserve"> </w:t>
      </w:r>
      <w:r>
        <w:t xml:space="preserve">“</w:t>
      </w:r>
      <w:r>
        <w:t xml:space="preserve">tadoḥ saḥ sāv anantyayoḥ</w:t>
      </w:r>
      <w:r>
        <w:t xml:space="preserve">”</w:t>
      </w:r>
      <w:r>
        <w:t xml:space="preserve"> </w:t>
      </w:r>
      <w:r>
        <w:t xml:space="preserve">(Pā. sū. 7-2-106)</w:t>
      </w:r>
      <w:r>
        <w:t xml:space="preserve"> </w:t>
      </w:r>
      <w:r>
        <w:rPr>
          <w:iCs/>
          <w:i/>
        </w:rPr>
        <w:t xml:space="preserve">s</w:t>
      </w:r>
      <w:r>
        <w:t xml:space="preserve"> </w:t>
      </w:r>
      <w:r>
        <w:t xml:space="preserve">comes for a non-final</w:t>
      </w:r>
      <w:r>
        <w:t xml:space="preserve"> </w:t>
      </w:r>
      <w:r>
        <w:rPr>
          <w:iCs/>
          <w:i/>
        </w:rPr>
        <w:t xml:space="preserve">t</w:t>
      </w:r>
      <w:r>
        <w:t xml:space="preserve"> </w:t>
      </w:r>
      <w:r>
        <w:t xml:space="preserve">or</w:t>
      </w:r>
      <w:r>
        <w:t xml:space="preserve"> </w:t>
      </w:r>
      <w:r>
        <w:rPr>
          <w:iCs/>
          <w:i/>
        </w:rPr>
        <w:t xml:space="preserve">d</w:t>
      </w:r>
      <w:r>
        <w:t xml:space="preserve"> </w:t>
      </w:r>
      <w:r>
        <w:t xml:space="preserve">of the words of the</w:t>
      </w:r>
      <w:r>
        <w:t xml:space="preserve"> </w:t>
      </w:r>
      <w:r>
        <w:rPr>
          <w:iCs/>
          <w:i/>
        </w:rPr>
        <w:t xml:space="preserve">tyad-ādi</w:t>
      </w:r>
      <w:r>
        <w:t xml:space="preserve"> </w:t>
      </w:r>
      <w:r>
        <w:t xml:space="preserve">group before</w:t>
      </w:r>
      <w:r>
        <w:t xml:space="preserve"> </w:t>
      </w:r>
      <w:r>
        <w:rPr>
          <w:iCs/>
          <w:i/>
        </w:rPr>
        <w:t xml:space="preserve">su</w:t>
      </w:r>
      <w:r>
        <w:t xml:space="preserve">:</w:t>
      </w:r>
      <w:r>
        <w:t xml:space="preserve"> </w:t>
      </w:r>
      <w:r>
        <w:rPr>
          <w:iCs/>
          <w:i/>
        </w:rPr>
        <w:t xml:space="preserve">s</w:t>
      </w:r>
      <w:r>
        <w:t xml:space="preserve"> </w:t>
      </w:r>
      <w:r>
        <w:t xml:space="preserve">for</w:t>
      </w:r>
      <w:r>
        <w:t xml:space="preserve"> </w:t>
      </w:r>
      <w:r>
        <w:rPr>
          <w:iCs/>
          <w:i/>
        </w:rPr>
        <w:t xml:space="preserve">t</w:t>
      </w:r>
      <w:r>
        <w:t xml:space="preserve">,</w:t>
      </w:r>
      <w:r>
        <w:t xml:space="preserve"> </w:t>
      </w:r>
      <w:r>
        <w:rPr>
          <w:iCs/>
          <w:i/>
        </w:rPr>
        <w:t xml:space="preserve">sad</w:t>
      </w:r>
      <w:r>
        <w:t xml:space="preserve"> </w:t>
      </w:r>
      <w:r>
        <w:t xml:space="preserve">+</w:t>
      </w:r>
      <w:r>
        <w:t xml:space="preserve"> </w:t>
      </w:r>
      <w:r>
        <w:rPr>
          <w:iCs/>
          <w:i/>
        </w:rPr>
        <w:t xml:space="preserve">s</w:t>
      </w:r>
      <w:r>
        <w:t xml:space="preserve">; by</w:t>
      </w:r>
      <w:r>
        <w:t xml:space="preserve"> </w:t>
      </w:r>
      <w:r>
        <w:t xml:space="preserve">“</w:t>
      </w:r>
      <w:r>
        <w:t xml:space="preserve">tyadādīnām aḥ</w:t>
      </w:r>
      <w:r>
        <w:t xml:space="preserve">”</w:t>
      </w:r>
      <w:r>
        <w:t xml:space="preserve"> </w:t>
      </w:r>
      <w:r>
        <w:t xml:space="preserve">(Pā. sū. 7-2-102)</w:t>
      </w:r>
      <w:r>
        <w:t xml:space="preserve"> </w:t>
      </w:r>
      <w:r>
        <w:rPr>
          <w:iCs/>
          <w:i/>
        </w:rPr>
        <w:t xml:space="preserve">a</w:t>
      </w:r>
      <w:r>
        <w:t xml:space="preserve"> </w:t>
      </w:r>
      <w:r>
        <w:t xml:space="preserve">for the</w:t>
      </w:r>
      <w:r>
        <w:t xml:space="preserve"> </w:t>
      </w:r>
      <w:r>
        <w:rPr>
          <w:iCs/>
          <w:i/>
        </w:rPr>
        <w:t xml:space="preserve">d</w:t>
      </w:r>
      <w:r>
        <w:t xml:space="preserve">:</w:t>
      </w:r>
      <w:r>
        <w:t xml:space="preserve"> </w:t>
      </w:r>
      <w:r>
        <w:rPr>
          <w:iCs/>
          <w:i/>
        </w:rPr>
        <w:t xml:space="preserve">sa</w:t>
      </w:r>
      <w:r>
        <w:t xml:space="preserve"> </w:t>
      </w:r>
      <w:r>
        <w:t xml:space="preserve">+</w:t>
      </w:r>
      <w:r>
        <w:t xml:space="preserve"> </w:t>
      </w:r>
      <w:r>
        <w:rPr>
          <w:iCs/>
          <w:i/>
        </w:rPr>
        <w:t xml:space="preserve">a</w:t>
      </w:r>
      <w:r>
        <w:t xml:space="preserve"> </w:t>
      </w:r>
      <w:r>
        <w:t xml:space="preserve">+</w:t>
      </w:r>
      <w:r>
        <w:t xml:space="preserve"> </w:t>
      </w:r>
      <w:r>
        <w:rPr>
          <w:iCs/>
          <w:i/>
        </w:rPr>
        <w:t xml:space="preserve">s</w:t>
      </w:r>
      <w:r>
        <w:t xml:space="preserve">; by</w:t>
      </w:r>
      <w:r>
        <w:t xml:space="preserve"> </w:t>
      </w:r>
      <w:r>
        <w:t xml:space="preserve">“</w:t>
      </w:r>
      <w:r>
        <w:t xml:space="preserve">ato guṇe</w:t>
      </w:r>
      <w:r>
        <w:t xml:space="preserve">”</w:t>
      </w:r>
      <w:r>
        <w:t xml:space="preserve"> </w:t>
      </w:r>
      <w:r>
        <w:t xml:space="preserve">(Pā. sū. 6-1-97) the</w:t>
      </w:r>
      <w:r>
        <w:t xml:space="preserve"> </w:t>
      </w:r>
      <w:r>
        <w:rPr>
          <w:iCs/>
          <w:i/>
        </w:rPr>
        <w:t xml:space="preserve">pararūpa</w:t>
      </w:r>
      <w:r>
        <w:t xml:space="preserve">. These points are to be taken at</w:t>
      </w:r>
      <w:r>
        <w:t xml:space="preserve"> </w:t>
      </w:r>
      <w:r>
        <w:t xml:space="preserve">“</w:t>
      </w:r>
      <w:r>
        <w:t xml:space="preserve">semaṃ na stomam ā</w:t>
      </w:r>
      <w:r>
        <w:t xml:space="preserve">”</w:t>
      </w:r>
      <w:r>
        <w:t xml:space="preserve"> </w:t>
      </w:r>
      <w:r>
        <w:t xml:space="preserve">(Ṛ. saṃ. 1-16-5) too.</w:t>
      </w:r>
      <w:r>
        <w:t xml:space="preserve"> </w:t>
      </w:r>
      <w:r>
        <w:rPr>
          <w:iCs/>
          <w:i/>
        </w:rPr>
        <w:t xml:space="preserve">Sas</w:t>
      </w:r>
      <w:r>
        <w:t xml:space="preserve"> </w:t>
      </w:r>
      <w:r>
        <w:t xml:space="preserve">+</w:t>
      </w:r>
      <w:r>
        <w:t xml:space="preserve"> </w:t>
      </w:r>
      <w:r>
        <w:rPr>
          <w:iCs/>
          <w:i/>
        </w:rPr>
        <w:t xml:space="preserve">imam</w:t>
      </w:r>
      <w:r>
        <w:t xml:space="preserve">: by</w:t>
      </w:r>
      <w:r>
        <w:t xml:space="preserve"> </w:t>
      </w:r>
      <w:r>
        <w:t xml:space="preserve">“</w:t>
      </w:r>
      <w:r>
        <w:t xml:space="preserve">so ’ci lope cet pādapūraṇam</w:t>
      </w:r>
      <w:r>
        <w:t xml:space="preserve">”</w:t>
      </w:r>
      <w:r>
        <w:t xml:space="preserve"> </w:t>
      </w:r>
      <w:r>
        <w:t xml:space="preserve">(Pā. sū. 6-1-134) the</w:t>
      </w:r>
      <w:r>
        <w:t xml:space="preserve"> </w:t>
      </w:r>
      <w:r>
        <w:rPr>
          <w:iCs/>
          <w:i/>
        </w:rPr>
        <w:t xml:space="preserve">s</w:t>
      </w:r>
      <w:r>
        <w:t xml:space="preserve"> </w:t>
      </w:r>
      <w:r>
        <w:t xml:space="preserve">is dropped;</w:t>
      </w:r>
      <w:r>
        <w:t xml:space="preserve"> </w:t>
      </w:r>
      <w:r>
        <w:rPr>
          <w:iCs/>
          <w:i/>
        </w:rPr>
        <w:t xml:space="preserve">guṇa</w:t>
      </w:r>
      <w:r>
        <w:t xml:space="preserve">:</w:t>
      </w:r>
      <w:r>
        <w:t xml:space="preserve"> </w:t>
      </w:r>
      <w:r>
        <w:rPr>
          <w:iCs/>
          <w:i/>
        </w:rPr>
        <w:t xml:space="preserve">semam</w:t>
      </w:r>
      <w:r>
        <w:t xml:space="preserve">. The rest of its explanation is at the mantra</w:t>
      </w:r>
      <w:r>
        <w:t xml:space="preserve"> </w:t>
      </w:r>
      <w:r>
        <w:rPr>
          <w:iCs/>
          <w:i/>
        </w:rPr>
        <w:t xml:space="preserve">semaṃ na stomam ā</w:t>
      </w:r>
      <w:r>
        <w:t xml:space="preserve">.</w:t>
      </w:r>
    </w:p>
    <w:p>
      <w:pPr>
        <w:pStyle w:val="BodyText"/>
      </w:pPr>
      <w:r>
        <w:rPr>
          <w:bCs/>
          <w:b/>
        </w:rPr>
        <w:t xml:space="preserve">कामम् (</w:t>
      </w:r>
      <w:r>
        <w:rPr>
          <w:iCs/>
          <w:i/>
          <w:bCs/>
          <w:b/>
        </w:rPr>
        <w:t xml:space="preserve">kāmam</w:t>
      </w:r>
      <w:r>
        <w:rPr>
          <w:bCs/>
          <w:b/>
        </w:rPr>
        <w:t xml:space="preserve">)</w:t>
      </w:r>
      <w:r>
        <w:t xml:space="preserve">: the root</w:t>
      </w:r>
      <w:r>
        <w:t xml:space="preserve"> </w:t>
      </w:r>
      <w:r>
        <w:rPr>
          <w:iCs/>
          <w:i/>
        </w:rPr>
        <w:t xml:space="preserve">kamu kāntau</w:t>
      </w:r>
      <w:r>
        <w:t xml:space="preserve">; after it the suffix</w:t>
      </w:r>
      <w:r>
        <w:t xml:space="preserve"> </w:t>
      </w:r>
      <w:r>
        <w:rPr>
          <w:iCs/>
          <w:i/>
        </w:rPr>
        <w:t xml:space="preserve">ghañ</w:t>
      </w:r>
      <w:r>
        <w:t xml:space="preserve"> </w:t>
      </w:r>
      <w:r>
        <w:t xml:space="preserve">by</w:t>
      </w:r>
      <w:r>
        <w:t xml:space="preserve"> </w:t>
      </w:r>
      <w:r>
        <w:t xml:space="preserve">“</w:t>
      </w:r>
      <w:r>
        <w:t xml:space="preserve">halaś ca</w:t>
      </w:r>
      <w:r>
        <w:t xml:space="preserve">”</w:t>
      </w:r>
      <w:r>
        <w:t xml:space="preserve"> </w:t>
      </w:r>
      <w:r>
        <w:t xml:space="preserve">(Pā. sū. 3-3-121):</w:t>
      </w:r>
      <w:r>
        <w:t xml:space="preserve"> </w:t>
      </w:r>
      <w:r>
        <w:rPr>
          <w:iCs/>
          <w:i/>
        </w:rPr>
        <w:t xml:space="preserve">kam</w:t>
      </w:r>
      <w:r>
        <w:t xml:space="preserve"> </w:t>
      </w:r>
      <w:r>
        <w:t xml:space="preserve">+</w:t>
      </w:r>
      <w:r>
        <w:t xml:space="preserve"> </w:t>
      </w:r>
      <w:r>
        <w:rPr>
          <w:iCs/>
          <w:i/>
        </w:rPr>
        <w:t xml:space="preserve">a</w:t>
      </w:r>
      <w:r>
        <w:t xml:space="preserve">;</w:t>
      </w:r>
      <w:r>
        <w:t xml:space="preserve"> </w:t>
      </w:r>
      <w:r>
        <w:rPr>
          <w:iCs/>
          <w:i/>
        </w:rPr>
        <w:t xml:space="preserve">vṛddhi</w:t>
      </w:r>
      <w:r>
        <w:t xml:space="preserve"> </w:t>
      </w:r>
      <w:r>
        <w:t xml:space="preserve">of the penultimate by</w:t>
      </w:r>
      <w:r>
        <w:t xml:space="preserve"> </w:t>
      </w:r>
      <w:r>
        <w:t xml:space="preserve">“</w:t>
      </w:r>
      <w:r>
        <w:t xml:space="preserve">ata upadhāyāḥ</w:t>
      </w:r>
      <w:r>
        <w:t xml:space="preserve">”</w:t>
      </w:r>
      <w:r>
        <w:t xml:space="preserve"> </w:t>
      </w:r>
      <w:r>
        <w:t xml:space="preserve">(Pā. sū. 7-2-116):</w:t>
      </w:r>
      <w:r>
        <w:t xml:space="preserve"> </w:t>
      </w:r>
      <w:r>
        <w:rPr>
          <w:iCs/>
          <w:i/>
        </w:rPr>
        <w:t xml:space="preserve">kāma</w:t>
      </w:r>
      <w:r>
        <w:t xml:space="preserve">.</w:t>
      </w:r>
      <w:r>
        <w:t xml:space="preserve"> </w:t>
      </w:r>
      <w:r>
        <w:rPr>
          <w:iCs/>
          <w:i/>
        </w:rPr>
        <w:t xml:space="preserve">Ghañ</w:t>
      </w:r>
      <w:r>
        <w:t xml:space="preserve"> </w:t>
      </w:r>
      <w:r>
        <w:t xml:space="preserve">being</w:t>
      </w:r>
      <w:r>
        <w:t xml:space="preserve"> </w:t>
      </w:r>
      <w:r>
        <w:rPr>
          <w:iCs/>
          <w:i/>
        </w:rPr>
        <w:t xml:space="preserve">ñit</w:t>
      </w:r>
      <w:r>
        <w:t xml:space="preserve">, initial udātta would come by</w:t>
      </w:r>
      <w:r>
        <w:t xml:space="preserve"> </w:t>
      </w:r>
      <w:r>
        <w:t xml:space="preserve">“</w:t>
      </w:r>
      <w:r>
        <w:t xml:space="preserve">ñnityādir nityam</w:t>
      </w:r>
      <w:r>
        <w:t xml:space="preserve">”</w:t>
      </w:r>
      <w:r>
        <w:t xml:space="preserve"> </w:t>
      </w:r>
      <w:r>
        <w:t xml:space="preserve">(Pā. sū. 6-1-197); overriding it, by</w:t>
      </w:r>
      <w:r>
        <w:t xml:space="preserve"> </w:t>
      </w:r>
      <w:r>
        <w:t xml:space="preserve">“</w:t>
      </w:r>
      <w:r>
        <w:t xml:space="preserve">karṣātvato ghaño ’nta udāttaḥ</w:t>
      </w:r>
      <w:r>
        <w:t xml:space="preserve">”</w:t>
      </w:r>
      <w:r>
        <w:t xml:space="preserve"> </w:t>
      </w:r>
      <w:r>
        <w:t xml:space="preserve">(Pā. sū. 6-1-159) (after the root</w:t>
      </w:r>
      <w:r>
        <w:t xml:space="preserve"> </w:t>
      </w:r>
      <w:r>
        <w:rPr>
          <w:iCs/>
          <w:i/>
        </w:rPr>
        <w:t xml:space="preserve">karṣ</w:t>
      </w:r>
      <w:r>
        <w:t xml:space="preserve"> </w:t>
      </w:r>
      <w:r>
        <w:t xml:space="preserve">and roots having</w:t>
      </w:r>
      <w:r>
        <w:t xml:space="preserve"> </w:t>
      </w:r>
      <w:r>
        <w:rPr>
          <w:iCs/>
          <w:i/>
        </w:rPr>
        <w:t xml:space="preserve">ā</w:t>
      </w:r>
      <w:r>
        <w:t xml:space="preserve">, the last letter of a word ending in</w:t>
      </w:r>
      <w:r>
        <w:t xml:space="preserve"> </w:t>
      </w:r>
      <w:r>
        <w:rPr>
          <w:iCs/>
          <w:i/>
        </w:rPr>
        <w:t xml:space="preserve">ghañ</w:t>
      </w:r>
      <w:r>
        <w:t xml:space="preserve"> </w:t>
      </w:r>
      <w:r>
        <w:t xml:space="preserve">is udātta) final udātta comes. Overriding that too, by</w:t>
      </w:r>
      <w:r>
        <w:t xml:space="preserve"> </w:t>
      </w:r>
      <w:r>
        <w:t xml:space="preserve">“</w:t>
      </w:r>
      <w:r>
        <w:t xml:space="preserve">vṛṣādīnāṃ ca</w:t>
      </w:r>
      <w:r>
        <w:t xml:space="preserve">”</w:t>
      </w:r>
      <w:r>
        <w:t xml:space="preserve"> </w:t>
      </w:r>
      <w:r>
        <w:t xml:space="preserve">(Pā. sū. 6-1-203) (the first syllable of words read in the</w:t>
      </w:r>
      <w:r>
        <w:t xml:space="preserve"> </w:t>
      </w:r>
      <w:r>
        <w:rPr>
          <w:iCs/>
          <w:i/>
        </w:rPr>
        <w:t xml:space="preserve">vṛṣa-ādi</w:t>
      </w:r>
      <w:r>
        <w:t xml:space="preserve"> </w:t>
      </w:r>
      <w:r>
        <w:t xml:space="preserve">group is udātta),</w:t>
      </w:r>
      <w:r>
        <w:t xml:space="preserve"> </w:t>
      </w:r>
      <w:r>
        <w:rPr>
          <w:iCs/>
          <w:i/>
        </w:rPr>
        <w:t xml:space="preserve">kāma</w:t>
      </w:r>
      <w:r>
        <w:t xml:space="preserve">, read in that group, is initial udātta.</w:t>
      </w:r>
    </w:p>
    <w:p>
      <w:pPr>
        <w:pStyle w:val="BodyText"/>
      </w:pPr>
      <w:r>
        <w:rPr>
          <w:bCs/>
          <w:b/>
        </w:rPr>
        <w:t xml:space="preserve">पृण (</w:t>
      </w:r>
      <w:r>
        <w:rPr>
          <w:iCs/>
          <w:i/>
          <w:bCs/>
          <w:b/>
        </w:rPr>
        <w:t xml:space="preserve">pṛṇa</w:t>
      </w:r>
      <w:r>
        <w:rPr>
          <w:bCs/>
          <w:b/>
        </w:rPr>
        <w:t xml:space="preserve">)</w:t>
      </w:r>
      <w:r>
        <w:t xml:space="preserve">:</w:t>
      </w:r>
      <w:r>
        <w:t xml:space="preserve"> </w:t>
      </w:r>
      <w:r>
        <w:rPr>
          <w:iCs/>
          <w:i/>
        </w:rPr>
        <w:t xml:space="preserve">pṛṇa prīṇane</w:t>
      </w:r>
      <w:r>
        <w:t xml:space="preserve">, a root of the</w:t>
      </w:r>
      <w:r>
        <w:t xml:space="preserve"> </w:t>
      </w:r>
      <w:r>
        <w:rPr>
          <w:iCs/>
          <w:i/>
        </w:rPr>
        <w:t xml:space="preserve">tud-ādi</w:t>
      </w:r>
      <w:r>
        <w:t xml:space="preserve"> </w:t>
      </w:r>
      <w:r>
        <w:t xml:space="preserve">class; after it</w:t>
      </w:r>
      <w:r>
        <w:t xml:space="preserve"> </w:t>
      </w:r>
      <w:r>
        <w:rPr>
          <w:iCs/>
          <w:i/>
        </w:rPr>
        <w:t xml:space="preserve">loṭ</w:t>
      </w:r>
      <w:r>
        <w:t xml:space="preserve">, 2nd singular</w:t>
      </w:r>
      <w:r>
        <w:t xml:space="preserve"> </w:t>
      </w:r>
      <w:r>
        <w:rPr>
          <w:iCs/>
          <w:i/>
        </w:rPr>
        <w:t xml:space="preserve">sip</w:t>
      </w:r>
      <w:r>
        <w:t xml:space="preserve">. By</w:t>
      </w:r>
      <w:r>
        <w:t xml:space="preserve"> </w:t>
      </w:r>
      <w:r>
        <w:t xml:space="preserve">“</w:t>
      </w:r>
      <w:r>
        <w:t xml:space="preserve">ser hy apic ca</w:t>
      </w:r>
      <w:r>
        <w:t xml:space="preserve">”</w:t>
      </w:r>
      <w:r>
        <w:t xml:space="preserve"> </w:t>
      </w:r>
      <w:r>
        <w:t xml:space="preserve">(Pā. sū. 3-4-87) the substitute</w:t>
      </w:r>
      <w:r>
        <w:t xml:space="preserve"> </w:t>
      </w:r>
      <w:r>
        <w:rPr>
          <w:iCs/>
          <w:i/>
        </w:rPr>
        <w:t xml:space="preserve">hi</w:t>
      </w:r>
      <w:r>
        <w:t xml:space="preserve">; by</w:t>
      </w:r>
      <w:r>
        <w:t xml:space="preserve"> </w:t>
      </w:r>
      <w:r>
        <w:t xml:space="preserve">“</w:t>
      </w:r>
      <w:r>
        <w:t xml:space="preserve">tudādibhyaḥ śaḥ</w:t>
      </w:r>
      <w:r>
        <w:t xml:space="preserve">”</w:t>
      </w:r>
      <w:r>
        <w:t xml:space="preserve"> </w:t>
      </w:r>
      <w:r>
        <w:t xml:space="preserve">(Pā. sū. 3-1-77) the</w:t>
      </w:r>
      <w:r>
        <w:t xml:space="preserve"> </w:t>
      </w:r>
      <w:r>
        <w:rPr>
          <w:iCs/>
          <w:i/>
        </w:rPr>
        <w:t xml:space="preserve">vikaraṇa</w:t>
      </w:r>
      <w:r>
        <w:t xml:space="preserve"> </w:t>
      </w:r>
      <w:r>
        <w:rPr>
          <w:iCs/>
          <w:i/>
        </w:rPr>
        <w:t xml:space="preserve">śa</w:t>
      </w:r>
      <w:r>
        <w:t xml:space="preserve">:</w:t>
      </w:r>
      <w:r>
        <w:t xml:space="preserve"> </w:t>
      </w:r>
      <w:r>
        <w:rPr>
          <w:iCs/>
          <w:i/>
        </w:rPr>
        <w:t xml:space="preserve">pṛṇ</w:t>
      </w:r>
      <w:r>
        <w:t xml:space="preserve"> </w:t>
      </w:r>
      <w:r>
        <w:t xml:space="preserve">+</w:t>
      </w:r>
      <w:r>
        <w:t xml:space="preserve"> </w:t>
      </w:r>
      <w:r>
        <w:rPr>
          <w:iCs/>
          <w:i/>
        </w:rPr>
        <w:t xml:space="preserve">a</w:t>
      </w:r>
      <w:r>
        <w:t xml:space="preserve"> </w:t>
      </w:r>
      <w:r>
        <w:t xml:space="preserve">+</w:t>
      </w:r>
      <w:r>
        <w:t xml:space="preserve"> </w:t>
      </w:r>
      <w:r>
        <w:rPr>
          <w:iCs/>
          <w:i/>
        </w:rPr>
        <w:t xml:space="preserve">hi</w:t>
      </w:r>
      <w:r>
        <w:t xml:space="preserve">. By</w:t>
      </w:r>
      <w:r>
        <w:t xml:space="preserve"> </w:t>
      </w:r>
      <w:r>
        <w:t xml:space="preserve">“</w:t>
      </w:r>
      <w:r>
        <w:t xml:space="preserve">sārvadhātukam apit</w:t>
      </w:r>
      <w:r>
        <w:t xml:space="preserve">”</w:t>
      </w:r>
      <w:r>
        <w:t xml:space="preserve"> </w:t>
      </w:r>
      <w:r>
        <w:t xml:space="preserve">(Pā. sū. 1-2-4) a</w:t>
      </w:r>
      <w:r>
        <w:t xml:space="preserve"> </w:t>
      </w:r>
      <w:r>
        <w:rPr>
          <w:iCs/>
          <w:i/>
        </w:rPr>
        <w:t xml:space="preserve">sārvadhātuka</w:t>
      </w:r>
      <w:r>
        <w:t xml:space="preserve"> </w:t>
      </w:r>
      <w:r>
        <w:t xml:space="preserve">without</w:t>
      </w:r>
      <w:r>
        <w:t xml:space="preserve"> </w:t>
      </w:r>
      <w:r>
        <w:rPr>
          <w:iCs/>
          <w:i/>
        </w:rPr>
        <w:t xml:space="preserve">p</w:t>
      </w:r>
      <w:r>
        <w:t xml:space="preserve"> </w:t>
      </w:r>
      <w:r>
        <w:t xml:space="preserve">as</w:t>
      </w:r>
      <w:r>
        <w:t xml:space="preserve"> </w:t>
      </w:r>
      <w:r>
        <w:rPr>
          <w:iCs/>
          <w:i/>
        </w:rPr>
        <w:t xml:space="preserve">it</w:t>
      </w:r>
      <w:r>
        <w:t xml:space="preserve"> </w:t>
      </w:r>
      <w:r>
        <w:t xml:space="preserve">counts as</w:t>
      </w:r>
      <w:r>
        <w:t xml:space="preserve"> </w:t>
      </w:r>
      <w:r>
        <w:rPr>
          <w:iCs/>
          <w:i/>
        </w:rPr>
        <w:t xml:space="preserve">ṅit</w:t>
      </w:r>
      <w:r>
        <w:t xml:space="preserve">, so the suffix</w:t>
      </w:r>
      <w:r>
        <w:t xml:space="preserve"> </w:t>
      </w:r>
      <w:r>
        <w:rPr>
          <w:iCs/>
          <w:i/>
        </w:rPr>
        <w:t xml:space="preserve">śa</w:t>
      </w:r>
      <w:r>
        <w:t xml:space="preserve"> </w:t>
      </w:r>
      <w:r>
        <w:t xml:space="preserve">is</w:t>
      </w:r>
      <w:r>
        <w:t xml:space="preserve"> </w:t>
      </w:r>
      <w:r>
        <w:rPr>
          <w:iCs/>
          <w:i/>
        </w:rPr>
        <w:t xml:space="preserve">ṅit</w:t>
      </w:r>
      <w:r>
        <w:t xml:space="preserve">; so by</w:t>
      </w:r>
      <w:r>
        <w:t xml:space="preserve"> </w:t>
      </w:r>
      <w:r>
        <w:t xml:space="preserve">“</w:t>
      </w:r>
      <w:r>
        <w:t xml:space="preserve">kṅiti ca</w:t>
      </w:r>
      <w:r>
        <w:t xml:space="preserve">”</w:t>
      </w:r>
      <w:r>
        <w:t xml:space="preserve"> </w:t>
      </w:r>
      <w:r>
        <w:t xml:space="preserve">(Pā. sū. 1-1-5)</w:t>
      </w:r>
      <w:r>
        <w:t xml:space="preserve"> </w:t>
      </w:r>
      <w:r>
        <w:rPr>
          <w:iCs/>
          <w:i/>
        </w:rPr>
        <w:t xml:space="preserve">guṇa</w:t>
      </w:r>
      <w:r>
        <w:t xml:space="preserve"> </w:t>
      </w:r>
      <w:r>
        <w:t xml:space="preserve">is barred, and</w:t>
      </w:r>
      <w:r>
        <w:t xml:space="preserve"> </w:t>
      </w:r>
      <w:r>
        <w:rPr>
          <w:iCs/>
          <w:i/>
        </w:rPr>
        <w:t xml:space="preserve">guṇa</w:t>
      </w:r>
      <w:r>
        <w:t xml:space="preserve"> </w:t>
      </w:r>
      <w:r>
        <w:t xml:space="preserve">by</w:t>
      </w:r>
      <w:r>
        <w:t xml:space="preserve"> </w:t>
      </w:r>
      <w:r>
        <w:t xml:space="preserve">“</w:t>
      </w:r>
      <w:r>
        <w:t xml:space="preserve">pugantalaghūpadhasya ca</w:t>
      </w:r>
      <w:r>
        <w:t xml:space="preserve">”</w:t>
      </w:r>
      <w:r>
        <w:t xml:space="preserve"> </w:t>
      </w:r>
      <w:r>
        <w:t xml:space="preserve">(Pā. sū. 7-3-86) does not come. By</w:t>
      </w:r>
      <w:r>
        <w:t xml:space="preserve"> </w:t>
      </w:r>
      <w:r>
        <w:t xml:space="preserve">“</w:t>
      </w:r>
      <w:r>
        <w:t xml:space="preserve">ato heḥ</w:t>
      </w:r>
      <w:r>
        <w:t xml:space="preserve">”</w:t>
      </w:r>
      <w:r>
        <w:t xml:space="preserve"> </w:t>
      </w:r>
      <w:r>
        <w:t xml:space="preserve">(Pā. sū. 6-4-105)</w:t>
      </w:r>
      <w:r>
        <w:t xml:space="preserve"> </w:t>
      </w:r>
      <w:r>
        <w:rPr>
          <w:iCs/>
          <w:i/>
        </w:rPr>
        <w:t xml:space="preserve">hi</w:t>
      </w:r>
      <w:r>
        <w:t xml:space="preserve"> </w:t>
      </w:r>
      <w:r>
        <w:t xml:space="preserve">takes</w:t>
      </w:r>
      <w:r>
        <w:t xml:space="preserve"> </w:t>
      </w:r>
      <w:r>
        <w:rPr>
          <w:iCs/>
          <w:i/>
        </w:rPr>
        <w:t xml:space="preserve">luk</w:t>
      </w:r>
      <w:r>
        <w:t xml:space="preserve">:</w:t>
      </w:r>
      <w:r>
        <w:t xml:space="preserve"> </w:t>
      </w:r>
      <w:r>
        <w:rPr>
          <w:iCs/>
          <w:i/>
        </w:rPr>
        <w:t xml:space="preserve">pṛṇa</w:t>
      </w:r>
      <w:r>
        <w:t xml:space="preserve">. By</w:t>
      </w:r>
      <w:r>
        <w:t xml:space="preserve"> </w:t>
      </w:r>
      <w:r>
        <w:t xml:space="preserve">“</w:t>
      </w:r>
      <w:r>
        <w:t xml:space="preserve">tiṅṅatiṅaḥ</w:t>
      </w:r>
      <w:r>
        <w:t xml:space="preserve">”</w:t>
      </w:r>
      <w:r>
        <w:t xml:space="preserve"> </w:t>
      </w:r>
      <w:r>
        <w:t xml:space="preserve">(Pā. sū. 8-1-28) it is wholly unaccented. In the Saṃhitā, the</w:t>
      </w:r>
      <w:r>
        <w:t xml:space="preserve"> </w:t>
      </w:r>
      <w:r>
        <w:rPr>
          <w:iCs/>
          <w:i/>
        </w:rPr>
        <w:t xml:space="preserve">pṛ</w:t>
      </w:r>
      <w:r>
        <w:t xml:space="preserve"> </w:t>
      </w:r>
      <w:r>
        <w:t xml:space="preserve">after the udātta</w:t>
      </w:r>
      <w:r>
        <w:t xml:space="preserve"> </w:t>
      </w:r>
      <w:r>
        <w:rPr>
          <w:iCs/>
          <w:i/>
        </w:rPr>
        <w:t xml:space="preserve">ā</w:t>
      </w:r>
      <w:r>
        <w:t xml:space="preserve"> </w:t>
      </w:r>
      <w:r>
        <w:t xml:space="preserve">becomes svarita by</w:t>
      </w:r>
      <w:r>
        <w:t xml:space="preserve"> </w:t>
      </w:r>
      <w:r>
        <w:t xml:space="preserve">“</w:t>
      </w:r>
      <w:r>
        <w:t xml:space="preserve">udāttād anudāttasya svaritaḥ</w:t>
      </w:r>
      <w:r>
        <w:t xml:space="preserve">”</w:t>
      </w:r>
      <w:r>
        <w:t xml:space="preserve"> </w:t>
      </w:r>
      <w:r>
        <w:t xml:space="preserve">(Pā. sū. 8-4-66). The unaccented</w:t>
      </w:r>
      <w:r>
        <w:t xml:space="preserve"> </w:t>
      </w:r>
      <w:r>
        <w:rPr>
          <w:iCs/>
          <w:i/>
        </w:rPr>
        <w:t xml:space="preserve">ṇa</w:t>
      </w:r>
      <w:r>
        <w:t xml:space="preserve"> </w:t>
      </w:r>
      <w:r>
        <w:t xml:space="preserve">after it, since the udātta</w:t>
      </w:r>
      <w:r>
        <w:t xml:space="preserve"> </w:t>
      </w:r>
      <w:r>
        <w:rPr>
          <w:iCs/>
          <w:i/>
        </w:rPr>
        <w:t xml:space="preserve">go</w:t>
      </w:r>
      <w:r>
        <w:t xml:space="preserve"> </w:t>
      </w:r>
      <w:r>
        <w:t xml:space="preserve">follows, takes the</w:t>
      </w:r>
      <w:r>
        <w:t xml:space="preserve"> </w:t>
      </w:r>
      <w:r>
        <w:rPr>
          <w:iCs/>
          <w:i/>
        </w:rPr>
        <w:t xml:space="preserve">anudātta</w:t>
      </w:r>
      <w:r>
        <w:t xml:space="preserve"> </w:t>
      </w:r>
      <w:r>
        <w:t xml:space="preserve">tone by</w:t>
      </w:r>
      <w:r>
        <w:t xml:space="preserve"> </w:t>
      </w:r>
      <w:r>
        <w:t xml:space="preserve">“</w:t>
      </w:r>
      <w:r>
        <w:t xml:space="preserve">udāttasvaritaparasya sannataraḥ</w:t>
      </w:r>
      <w:r>
        <w:t xml:space="preserve">”</w:t>
      </w:r>
      <w:r>
        <w:t xml:space="preserve"> </w:t>
      </w:r>
      <w:r>
        <w:t xml:space="preserve">(Pā. sū. 1-2-40).</w:t>
      </w:r>
    </w:p>
    <w:p>
      <w:pPr>
        <w:pStyle w:val="BodyText"/>
      </w:pPr>
      <w:r>
        <w:rPr>
          <w:bCs/>
          <w:b/>
        </w:rPr>
        <w:t xml:space="preserve">गोभिः (</w:t>
      </w:r>
      <w:r>
        <w:rPr>
          <w:iCs/>
          <w:i/>
          <w:bCs/>
          <w:b/>
        </w:rPr>
        <w:t xml:space="preserve">gobhiḥ</w:t>
      </w:r>
      <w:r>
        <w:rPr>
          <w:bCs/>
          <w:b/>
        </w:rPr>
        <w:t xml:space="preserve">)</w:t>
      </w:r>
      <w:r>
        <w:t xml:space="preserve">: by</w:t>
      </w:r>
      <w:r>
        <w:t xml:space="preserve"> </w:t>
      </w:r>
      <w:r>
        <w:t xml:space="preserve">“</w:t>
      </w:r>
      <w:r>
        <w:t xml:space="preserve">sāv ekācas tṛtīyādir vibhaktiḥ</w:t>
      </w:r>
      <w:r>
        <w:t xml:space="preserve">”</w:t>
      </w:r>
      <w:r>
        <w:t xml:space="preserve"> </w:t>
      </w:r>
      <w:r>
        <w:t xml:space="preserve">(Pā. sū. 6-1-168), after a word of one vowel the case-endings from the instrumental on are udātta when the locative plural</w:t>
      </w:r>
      <w:r>
        <w:t xml:space="preserve"> </w:t>
      </w:r>
      <w:r>
        <w:rPr>
          <w:iCs/>
          <w:i/>
        </w:rPr>
        <w:t xml:space="preserve">sup</w:t>
      </w:r>
      <w:r>
        <w:t xml:space="preserve"> </w:t>
      </w:r>
      <w:r>
        <w:t xml:space="preserve">follows; so in</w:t>
      </w:r>
      <w:r>
        <w:t xml:space="preserve"> </w:t>
      </w:r>
      <w:r>
        <w:rPr>
          <w:iCs/>
          <w:i/>
        </w:rPr>
        <w:t xml:space="preserve">gobhiḥ</w:t>
      </w:r>
      <w:r>
        <w:t xml:space="preserve">,</w:t>
      </w:r>
    </w:p>
    <w:bookmarkEnd w:id="770"/>
    <w:bookmarkStart w:id="771" w:name="page-706-rik-9-grammar"/>
    <w:p>
      <w:pPr>
        <w:pStyle w:val="Heading3"/>
      </w:pPr>
      <w:r>
        <w:t xml:space="preserve">Page 706 — Rik 9: grammar</w:t>
      </w:r>
    </w:p>
    <w:p>
      <w:pPr>
        <w:pStyle w:val="FirstParagraph"/>
      </w:pPr>
      <w:r>
        <w:t xml:space="preserve">the base</w:t>
      </w:r>
      <w:r>
        <w:t xml:space="preserve"> </w:t>
      </w:r>
      <w:r>
        <w:rPr>
          <w:iCs/>
          <w:i/>
        </w:rPr>
        <w:t xml:space="preserve">go</w:t>
      </w:r>
      <w:r>
        <w:t xml:space="preserve"> </w:t>
      </w:r>
      <w:r>
        <w:t xml:space="preserve">having one vowel, udātta is due for the</w:t>
      </w:r>
      <w:r>
        <w:t xml:space="preserve"> </w:t>
      </w:r>
      <w:r>
        <w:rPr>
          <w:iCs/>
          <w:i/>
        </w:rPr>
        <w:t xml:space="preserve">bhis</w:t>
      </w:r>
      <w:r>
        <w:t xml:space="preserve"> </w:t>
      </w:r>
      <w:r>
        <w:t xml:space="preserve">after it. But by</w:t>
      </w:r>
      <w:r>
        <w:t xml:space="preserve"> </w:t>
      </w:r>
      <w:r>
        <w:t xml:space="preserve">“</w:t>
      </w:r>
      <w:r>
        <w:t xml:space="preserve">na gośvansāvavarṇarāḍaṅkruṅkṛdbhyaḥ</w:t>
      </w:r>
      <w:r>
        <w:t xml:space="preserve">”</w:t>
      </w:r>
      <w:r>
        <w:t xml:space="preserve"> </w:t>
      </w:r>
      <w:r>
        <w:t xml:space="preserve">(Pā. sū. 6-1-182) it is barred that the accent just stated comes for a case-ending or</w:t>
      </w:r>
      <w:r>
        <w:t xml:space="preserve"> </w:t>
      </w:r>
      <w:r>
        <w:rPr>
          <w:iCs/>
          <w:i/>
        </w:rPr>
        <w:t xml:space="preserve">matup</w:t>
      </w:r>
      <w:r>
        <w:t xml:space="preserve"> </w:t>
      </w:r>
      <w:r>
        <w:t xml:space="preserve">after</w:t>
      </w:r>
      <w:r>
        <w:t xml:space="preserve"> </w:t>
      </w:r>
      <w:r>
        <w:rPr>
          <w:iCs/>
          <w:i/>
        </w:rPr>
        <w:t xml:space="preserve">go</w:t>
      </w:r>
      <w:r>
        <w:t xml:space="preserve"> </w:t>
      </w:r>
      <w:r>
        <w:t xml:space="preserve">and the rest; so the case-ending is not udātta.</w:t>
      </w:r>
    </w:p>
    <w:p>
      <w:pPr>
        <w:pStyle w:val="BodyText"/>
      </w:pPr>
      <w:r>
        <w:rPr>
          <w:bCs/>
          <w:b/>
        </w:rPr>
        <w:t xml:space="preserve">अश्वैः (</w:t>
      </w:r>
      <w:r>
        <w:rPr>
          <w:iCs/>
          <w:i/>
          <w:bCs/>
          <w:b/>
        </w:rPr>
        <w:t xml:space="preserve">aśvaiḥ</w:t>
      </w:r>
      <w:r>
        <w:rPr>
          <w:bCs/>
          <w:b/>
        </w:rPr>
        <w:t xml:space="preserve">)</w:t>
      </w:r>
      <w:r>
        <w:t xml:space="preserve">:</w:t>
      </w:r>
      <w:r>
        <w:t xml:space="preserve"> </w:t>
      </w:r>
      <w:r>
        <w:rPr>
          <w:iCs/>
          <w:i/>
        </w:rPr>
        <w:t xml:space="preserve">aśva</w:t>
      </w:r>
      <w:r>
        <w:t xml:space="preserve"> </w:t>
      </w:r>
      <w:r>
        <w:t xml:space="preserve">ends in the suffix</w:t>
      </w:r>
      <w:r>
        <w:t xml:space="preserve"> </w:t>
      </w:r>
      <w:r>
        <w:rPr>
          <w:iCs/>
          <w:i/>
        </w:rPr>
        <w:t xml:space="preserve">kvan</w:t>
      </w:r>
      <w:r>
        <w:t xml:space="preserve"> </w:t>
      </w:r>
      <w:r>
        <w:t xml:space="preserve">by</w:t>
      </w:r>
      <w:r>
        <w:t xml:space="preserve"> </w:t>
      </w:r>
      <w:r>
        <w:t xml:space="preserve">“</w:t>
      </w:r>
      <w:r>
        <w:t xml:space="preserve">aśūpruṣi…</w:t>
      </w:r>
      <w:r>
        <w:t xml:space="preserve">”</w:t>
      </w:r>
      <w:r>
        <w:t xml:space="preserve"> </w:t>
      </w:r>
      <w:r>
        <w:t xml:space="preserve">(Uṇ. sū. 1-149); initial udātta by the</w:t>
      </w:r>
      <w:r>
        <w:t xml:space="preserve"> </w:t>
      </w:r>
      <w:r>
        <w:rPr>
          <w:iCs/>
          <w:i/>
        </w:rPr>
        <w:t xml:space="preserve">nit</w:t>
      </w:r>
      <w:r>
        <w:t xml:space="preserve"> </w:t>
      </w:r>
      <w:r>
        <w:t xml:space="preserve">accent. After it stands the vocative</w:t>
      </w:r>
      <w:r>
        <w:t xml:space="preserve"> </w:t>
      </w:r>
      <w:r>
        <w:rPr>
          <w:iCs/>
          <w:i/>
        </w:rPr>
        <w:t xml:space="preserve">śatakrato</w:t>
      </w:r>
      <w:r>
        <w:t xml:space="preserve">.</w:t>
      </w:r>
      <w:r>
        <w:t xml:space="preserve"> </w:t>
      </w:r>
      <w:r>
        <w:rPr>
          <w:iCs/>
          <w:i/>
        </w:rPr>
        <w:t xml:space="preserve">Aśvaiḥ</w:t>
      </w:r>
      <w:r>
        <w:t xml:space="preserve"> </w:t>
      </w:r>
      <w:r>
        <w:t xml:space="preserve">and</w:t>
      </w:r>
      <w:r>
        <w:t xml:space="preserve"> </w:t>
      </w:r>
      <w:r>
        <w:rPr>
          <w:iCs/>
          <w:i/>
        </w:rPr>
        <w:t xml:space="preserve">śatakrato</w:t>
      </w:r>
      <w:r>
        <w:t xml:space="preserve"> </w:t>
      </w:r>
      <w:r>
        <w:t xml:space="preserve">have no mutual syntactic connection, so there is no</w:t>
      </w:r>
      <w:r>
        <w:t xml:space="preserve"> </w:t>
      </w:r>
      <w:r>
        <w:rPr>
          <w:iCs/>
          <w:i/>
        </w:rPr>
        <w:t xml:space="preserve">sāmarthya</w:t>
      </w:r>
      <w:r>
        <w:t xml:space="preserve">. For that reason it is not treated as one word by</w:t>
      </w:r>
      <w:r>
        <w:t xml:space="preserve"> </w:t>
      </w:r>
      <w:r>
        <w:rPr>
          <w:iCs/>
          <w:i/>
        </w:rPr>
        <w:t xml:space="preserve">parāṅgavadbhāva</w:t>
      </w:r>
      <w:r>
        <w:t xml:space="preserve"> </w:t>
      </w:r>
      <w:r>
        <w:t xml:space="preserve">through</w:t>
      </w:r>
      <w:r>
        <w:t xml:space="preserve"> </w:t>
      </w:r>
      <w:r>
        <w:t xml:space="preserve">“</w:t>
      </w:r>
      <w:r>
        <w:t xml:space="preserve">subāmantrite parāṅgavat svare</w:t>
      </w:r>
      <w:r>
        <w:t xml:space="preserve">”</w:t>
      </w:r>
      <w:r>
        <w:t xml:space="preserve"> </w:t>
      </w:r>
      <w:r>
        <w:t xml:space="preserve">(Pā. sū. 2-1-2), and so it does not become wholly unaccented by the eighth-chapter</w:t>
      </w:r>
      <w:r>
        <w:t xml:space="preserve"> </w:t>
      </w:r>
      <w:r>
        <w:t xml:space="preserve">“</w:t>
      </w:r>
      <w:r>
        <w:t xml:space="preserve">āmantritasya ca</w:t>
      </w:r>
      <w:r>
        <w:t xml:space="preserve">”</w:t>
      </w:r>
      <w:r>
        <w:t xml:space="preserve">.</w:t>
      </w:r>
    </w:p>
    <w:p>
      <w:pPr>
        <w:pStyle w:val="BodyText"/>
      </w:pPr>
      <w:r>
        <w:rPr>
          <w:bCs/>
          <w:b/>
        </w:rPr>
        <w:t xml:space="preserve">स्तवाम (</w:t>
      </w:r>
      <w:r>
        <w:rPr>
          <w:iCs/>
          <w:i/>
          <w:bCs/>
          <w:b/>
        </w:rPr>
        <w:t xml:space="preserve">stavāma</w:t>
      </w:r>
      <w:r>
        <w:rPr>
          <w:bCs/>
          <w:b/>
        </w:rPr>
        <w:t xml:space="preserve">)</w:t>
      </w:r>
      <w:r>
        <w:t xml:space="preserve">: the root</w:t>
      </w:r>
      <w:r>
        <w:t xml:space="preserve"> </w:t>
      </w:r>
      <w:r>
        <w:rPr>
          <w:iCs/>
          <w:i/>
        </w:rPr>
        <w:t xml:space="preserve">ṣṭuñ stutau</w:t>
      </w:r>
      <w:r>
        <w:t xml:space="preserve">;</w:t>
      </w:r>
      <w:r>
        <w:t xml:space="preserve"> </w:t>
      </w:r>
      <w:r>
        <w:rPr>
          <w:iCs/>
          <w:i/>
        </w:rPr>
        <w:t xml:space="preserve">s</w:t>
      </w:r>
      <w:r>
        <w:t xml:space="preserve"> </w:t>
      </w:r>
      <w:r>
        <w:t xml:space="preserve">for</w:t>
      </w:r>
      <w:r>
        <w:t xml:space="preserve"> </w:t>
      </w:r>
      <w:r>
        <w:rPr>
          <w:iCs/>
          <w:i/>
        </w:rPr>
        <w:t xml:space="preserve">ṣ</w:t>
      </w:r>
      <w:r>
        <w:t xml:space="preserve"> </w:t>
      </w:r>
      <w:r>
        <w:t xml:space="preserve">by</w:t>
      </w:r>
      <w:r>
        <w:t xml:space="preserve"> </w:t>
      </w:r>
      <w:r>
        <w:t xml:space="preserve">“</w:t>
      </w:r>
      <w:r>
        <w:t xml:space="preserve">dhātvādeḥ ṣaḥ saḥ</w:t>
      </w:r>
      <w:r>
        <w:t xml:space="preserve">”</w:t>
      </w:r>
      <w:r>
        <w:t xml:space="preserve"> </w:t>
      </w:r>
      <w:r>
        <w:t xml:space="preserve">(Pā. sū. 6-1-64);</w:t>
      </w:r>
      <w:r>
        <w:t xml:space="preserve"> </w:t>
      </w:r>
      <w:r>
        <w:rPr>
          <w:iCs/>
          <w:i/>
        </w:rPr>
        <w:t xml:space="preserve">loṭ</w:t>
      </w:r>
      <w:r>
        <w:t xml:space="preserve">, 1st plural</w:t>
      </w:r>
      <w:r>
        <w:t xml:space="preserve"> </w:t>
      </w:r>
      <w:r>
        <w:rPr>
          <w:iCs/>
          <w:i/>
        </w:rPr>
        <w:t xml:space="preserve">mas</w:t>
      </w:r>
      <w:r>
        <w:t xml:space="preserve">:</w:t>
      </w:r>
      <w:r>
        <w:t xml:space="preserve"> </w:t>
      </w:r>
      <w:r>
        <w:rPr>
          <w:iCs/>
          <w:i/>
        </w:rPr>
        <w:t xml:space="preserve">stu</w:t>
      </w:r>
      <w:r>
        <w:t xml:space="preserve"> </w:t>
      </w:r>
      <w:r>
        <w:t xml:space="preserve">+</w:t>
      </w:r>
      <w:r>
        <w:t xml:space="preserve"> </w:t>
      </w:r>
      <w:r>
        <w:rPr>
          <w:iCs/>
          <w:i/>
        </w:rPr>
        <w:t xml:space="preserve">mas</w:t>
      </w:r>
      <w:r>
        <w:t xml:space="preserve">. By</w:t>
      </w:r>
      <w:r>
        <w:t xml:space="preserve"> </w:t>
      </w:r>
      <w:r>
        <w:t xml:space="preserve">“</w:t>
      </w:r>
      <w:r>
        <w:t xml:space="preserve">loṭo laṅvat</w:t>
      </w:r>
      <w:r>
        <w:t xml:space="preserve">”</w:t>
      </w:r>
      <w:r>
        <w:t xml:space="preserve"> </w:t>
      </w:r>
      <w:r>
        <w:t xml:space="preserve">(Pā. sū. 3-4-85) it is treated as</w:t>
      </w:r>
      <w:r>
        <w:t xml:space="preserve"> </w:t>
      </w:r>
      <w:r>
        <w:rPr>
          <w:iCs/>
          <w:i/>
        </w:rPr>
        <w:t xml:space="preserve">laṅ</w:t>
      </w:r>
      <w:r>
        <w:t xml:space="preserve">; so by</w:t>
      </w:r>
      <w:r>
        <w:t xml:space="preserve"> </w:t>
      </w:r>
      <w:r>
        <w:t xml:space="preserve">“</w:t>
      </w:r>
      <w:r>
        <w:t xml:space="preserve">nityaṃ ṅitaḥ</w:t>
      </w:r>
      <w:r>
        <w:t xml:space="preserve">”</w:t>
      </w:r>
      <w:r>
        <w:t xml:space="preserve"> </w:t>
      </w:r>
      <w:r>
        <w:t xml:space="preserve">(Pā. sū. 3-4-99) the final</w:t>
      </w:r>
      <w:r>
        <w:t xml:space="preserve"> </w:t>
      </w:r>
      <w:r>
        <w:rPr>
          <w:iCs/>
          <w:i/>
        </w:rPr>
        <w:t xml:space="preserve">s</w:t>
      </w:r>
      <w:r>
        <w:t xml:space="preserve"> </w:t>
      </w:r>
      <w:r>
        <w:t xml:space="preserve">of the 1st person of a</w:t>
      </w:r>
      <w:r>
        <w:t xml:space="preserve"> </w:t>
      </w:r>
      <w:r>
        <w:rPr>
          <w:iCs/>
          <w:i/>
        </w:rPr>
        <w:t xml:space="preserve">ṅit</w:t>
      </w:r>
      <w:r>
        <w:t xml:space="preserve"> </w:t>
      </w:r>
      <w:r>
        <w:t xml:space="preserve">drops.</w:t>
      </w:r>
      <w:r>
        <w:t xml:space="preserve"> </w:t>
      </w:r>
      <w:r>
        <w:rPr>
          <w:iCs/>
          <w:i/>
        </w:rPr>
        <w:t xml:space="preserve">Śap</w:t>
      </w:r>
      <w:r>
        <w:t xml:space="preserve"> </w:t>
      </w:r>
      <w:r>
        <w:t xml:space="preserve">by</w:t>
      </w:r>
      <w:r>
        <w:t xml:space="preserve"> </w:t>
      </w:r>
      <w:r>
        <w:t xml:space="preserve">“</w:t>
      </w:r>
      <w:r>
        <w:t xml:space="preserve">kartari śap</w:t>
      </w:r>
      <w:r>
        <w:t xml:space="preserve">”</w:t>
      </w:r>
      <w:r>
        <w:t xml:space="preserve"> </w:t>
      </w:r>
      <w:r>
        <w:t xml:space="preserve">(Pā. sū. 3-1-68);</w:t>
      </w:r>
      <w:r>
        <w:t xml:space="preserve"> </w:t>
      </w:r>
      <w:r>
        <w:rPr>
          <w:iCs/>
          <w:i/>
        </w:rPr>
        <w:t xml:space="preserve">luk</w:t>
      </w:r>
      <w:r>
        <w:t xml:space="preserve"> </w:t>
      </w:r>
      <w:r>
        <w:t xml:space="preserve">for it by</w:t>
      </w:r>
      <w:r>
        <w:t xml:space="preserve"> </w:t>
      </w:r>
      <w:r>
        <w:t xml:space="preserve">“</w:t>
      </w:r>
      <w:r>
        <w:t xml:space="preserve">adiprabhṛtibhyaḥ śapaḥ</w:t>
      </w:r>
      <w:r>
        <w:t xml:space="preserve">”</w:t>
      </w:r>
      <w:r>
        <w:t xml:space="preserve"> </w:t>
      </w:r>
      <w:r>
        <w:t xml:space="preserve">(Pā. sū. 2-4-72). By</w:t>
      </w:r>
      <w:r>
        <w:t xml:space="preserve"> </w:t>
      </w:r>
      <w:r>
        <w:t xml:space="preserve">“</w:t>
      </w:r>
      <w:r>
        <w:t xml:space="preserve">āḍ uttamasya pic ca</w:t>
      </w:r>
      <w:r>
        <w:t xml:space="preserve">”</w:t>
      </w:r>
      <w:r>
        <w:t xml:space="preserve"> </w:t>
      </w:r>
      <w:r>
        <w:t xml:space="preserve">(Pā. sū. 3-4-92) the augment</w:t>
      </w:r>
      <w:r>
        <w:t xml:space="preserve"> </w:t>
      </w:r>
      <w:r>
        <w:rPr>
          <w:iCs/>
          <w:i/>
        </w:rPr>
        <w:t xml:space="preserve">āṭ</w:t>
      </w:r>
      <w:r>
        <w:t xml:space="preserve"> </w:t>
      </w:r>
      <w:r>
        <w:t xml:space="preserve">for</w:t>
      </w:r>
      <w:r>
        <w:t xml:space="preserve"> </w:t>
      </w:r>
      <w:r>
        <w:rPr>
          <w:iCs/>
          <w:i/>
        </w:rPr>
        <w:t xml:space="preserve">ma</w:t>
      </w:r>
      <w:r>
        <w:t xml:space="preserve">:</w:t>
      </w:r>
      <w:r>
        <w:t xml:space="preserve"> </w:t>
      </w:r>
      <w:r>
        <w:rPr>
          <w:iCs/>
          <w:i/>
        </w:rPr>
        <w:t xml:space="preserve">stu</w:t>
      </w:r>
      <w:r>
        <w:t xml:space="preserve"> </w:t>
      </w:r>
      <w:r>
        <w:t xml:space="preserve">+</w:t>
      </w:r>
      <w:r>
        <w:t xml:space="preserve"> </w:t>
      </w:r>
      <w:r>
        <w:rPr>
          <w:iCs/>
          <w:i/>
        </w:rPr>
        <w:t xml:space="preserve">āma</w:t>
      </w:r>
      <w:r>
        <w:t xml:space="preserve">; the</w:t>
      </w:r>
      <w:r>
        <w:t xml:space="preserve"> </w:t>
      </w:r>
      <w:r>
        <w:rPr>
          <w:iCs/>
          <w:i/>
        </w:rPr>
        <w:t xml:space="preserve">tiṅ</w:t>
      </w:r>
      <w:r>
        <w:t xml:space="preserve"> </w:t>
      </w:r>
      <w:r>
        <w:rPr>
          <w:iCs/>
          <w:i/>
        </w:rPr>
        <w:t xml:space="preserve">āma</w:t>
      </w:r>
      <w:r>
        <w:t xml:space="preserve"> </w:t>
      </w:r>
      <w:r>
        <w:t xml:space="preserve">now begins with a vowel. So the optional augment</w:t>
      </w:r>
      <w:r>
        <w:t xml:space="preserve"> </w:t>
      </w:r>
      <w:r>
        <w:rPr>
          <w:iCs/>
          <w:i/>
        </w:rPr>
        <w:t xml:space="preserve">īṭ</w:t>
      </w:r>
      <w:r>
        <w:t xml:space="preserve"> </w:t>
      </w:r>
      <w:r>
        <w:t xml:space="preserve">enjoined by</w:t>
      </w:r>
      <w:r>
        <w:t xml:space="preserve"> </w:t>
      </w:r>
      <w:r>
        <w:t xml:space="preserve">“</w:t>
      </w:r>
      <w:r>
        <w:t xml:space="preserve">turustuśamyamaḥ sārvadhātuke</w:t>
      </w:r>
      <w:r>
        <w:t xml:space="preserve">”</w:t>
      </w:r>
      <w:r>
        <w:t xml:space="preserve"> </w:t>
      </w:r>
      <w:r>
        <w:t xml:space="preserve">(Pā. sū. 7-3-95) for a consonant-initial</w:t>
      </w:r>
      <w:r>
        <w:t xml:space="preserve"> </w:t>
      </w:r>
      <w:r>
        <w:rPr>
          <w:iCs/>
          <w:i/>
        </w:rPr>
        <w:t xml:space="preserve">tiṅ</w:t>
      </w:r>
      <w:r>
        <w:t xml:space="preserve"> </w:t>
      </w:r>
      <w:r>
        <w:t xml:space="preserve">called</w:t>
      </w:r>
      <w:r>
        <w:t xml:space="preserve"> </w:t>
      </w:r>
      <w:r>
        <w:rPr>
          <w:iCs/>
          <w:i/>
        </w:rPr>
        <w:t xml:space="preserve">sārvadhātuka</w:t>
      </w:r>
      <w:r>
        <w:t xml:space="preserve"> </w:t>
      </w:r>
      <w:r>
        <w:t xml:space="preserve">after these roots does not come.</w:t>
      </w:r>
      <w:r>
        <w:t xml:space="preserve"> </w:t>
      </w:r>
      <w:r>
        <w:rPr>
          <w:iCs/>
          <w:i/>
        </w:rPr>
        <w:t xml:space="preserve">Guṇa</w:t>
      </w:r>
      <w:r>
        <w:t xml:space="preserve"> </w:t>
      </w:r>
      <w:r>
        <w:t xml:space="preserve">by</w:t>
      </w:r>
      <w:r>
        <w:t xml:space="preserve"> </w:t>
      </w:r>
      <w:r>
        <w:t xml:space="preserve">“</w:t>
      </w:r>
      <w:r>
        <w:t xml:space="preserve">sārvadhātukārdhadhātukayoḥ</w:t>
      </w:r>
      <w:r>
        <w:t xml:space="preserve">”</w:t>
      </w:r>
      <w:r>
        <w:t xml:space="preserve"> </w:t>
      </w:r>
      <w:r>
        <w:t xml:space="preserve">(Pā. sū. 7-3-84),</w:t>
      </w:r>
      <w:r>
        <w:t xml:space="preserve"> </w:t>
      </w:r>
      <w:r>
        <w:rPr>
          <w:iCs/>
          <w:i/>
        </w:rPr>
        <w:t xml:space="preserve">o</w:t>
      </w:r>
      <w:r>
        <w:t xml:space="preserve"> </w:t>
      </w:r>
      <w:r>
        <w:t xml:space="preserve">for</w:t>
      </w:r>
      <w:r>
        <w:t xml:space="preserve"> </w:t>
      </w:r>
      <w:r>
        <w:rPr>
          <w:iCs/>
          <w:i/>
        </w:rPr>
        <w:t xml:space="preserve">u</w:t>
      </w:r>
      <w:r>
        <w:t xml:space="preserve">, and the substitute</w:t>
      </w:r>
      <w:r>
        <w:t xml:space="preserve"> </w:t>
      </w:r>
      <w:r>
        <w:rPr>
          <w:iCs/>
          <w:i/>
        </w:rPr>
        <w:t xml:space="preserve">av</w:t>
      </w:r>
      <w:r>
        <w:t xml:space="preserve"> </w:t>
      </w:r>
      <w:r>
        <w:t xml:space="preserve">by</w:t>
      </w:r>
      <w:r>
        <w:t xml:space="preserve"> </w:t>
      </w:r>
      <w:r>
        <w:t xml:space="preserve">“</w:t>
      </w:r>
      <w:r>
        <w:t xml:space="preserve">eco ’yavāyāvaḥ</w:t>
      </w:r>
      <w:r>
        <w:t xml:space="preserve">”</w:t>
      </w:r>
      <w:r>
        <w:t xml:space="preserve"> </w:t>
      </w:r>
      <w:r>
        <w:t xml:space="preserve">(Pā. sū. 6-1-78):</w:t>
      </w:r>
      <w:r>
        <w:t xml:space="preserve"> </w:t>
      </w:r>
      <w:r>
        <w:rPr>
          <w:iCs/>
          <w:i/>
        </w:rPr>
        <w:t xml:space="preserve">stavāma</w:t>
      </w:r>
      <w:r>
        <w:t xml:space="preserve">. The suffix, being</w:t>
      </w:r>
      <w:r>
        <w:t xml:space="preserve"> </w:t>
      </w:r>
      <w:r>
        <w:rPr>
          <w:iCs/>
          <w:i/>
        </w:rPr>
        <w:t xml:space="preserve">pit</w:t>
      </w:r>
      <w:r>
        <w:t xml:space="preserve">, is unaccented by</w:t>
      </w:r>
      <w:r>
        <w:t xml:space="preserve"> </w:t>
      </w:r>
      <w:r>
        <w:t xml:space="preserve">“</w:t>
      </w:r>
      <w:r>
        <w:t xml:space="preserve">anudāttau suppitau</w:t>
      </w:r>
      <w:r>
        <w:t xml:space="preserve">”</w:t>
      </w:r>
      <w:r>
        <w:t xml:space="preserve"> </w:t>
      </w:r>
      <w:r>
        <w:t xml:space="preserve">(Pā. sū. 3-1-4); so the root accent stays.</w:t>
      </w:r>
    </w:p>
    <w:p>
      <w:pPr>
        <w:pStyle w:val="BodyText"/>
      </w:pPr>
      <w:r>
        <w:rPr>
          <w:bCs/>
          <w:b/>
        </w:rPr>
        <w:t xml:space="preserve">स्वाध्यः (</w:t>
      </w:r>
      <w:r>
        <w:rPr>
          <w:iCs/>
          <w:i/>
          <w:bCs/>
          <w:b/>
        </w:rPr>
        <w:t xml:space="preserve">svādhyaḥ</w:t>
      </w:r>
      <w:r>
        <w:rPr>
          <w:bCs/>
          <w:b/>
        </w:rPr>
        <w:t xml:space="preserve">)</w:t>
      </w:r>
      <w:r>
        <w:t xml:space="preserve">: the root</w:t>
      </w:r>
      <w:r>
        <w:t xml:space="preserve"> </w:t>
      </w:r>
      <w:r>
        <w:rPr>
          <w:iCs/>
          <w:i/>
        </w:rPr>
        <w:t xml:space="preserve">dhyai cintāyām</w:t>
      </w:r>
      <w:r>
        <w:t xml:space="preserve">; the preverbs</w:t>
      </w:r>
      <w:r>
        <w:t xml:space="preserve"> </w:t>
      </w:r>
      <w:r>
        <w:rPr>
          <w:iCs/>
          <w:i/>
        </w:rPr>
        <w:t xml:space="preserve">su</w:t>
      </w:r>
      <w:r>
        <w:t xml:space="preserve"> </w:t>
      </w:r>
      <w:r>
        <w:t xml:space="preserve">and</w:t>
      </w:r>
      <w:r>
        <w:t xml:space="preserve"> </w:t>
      </w:r>
      <w:r>
        <w:rPr>
          <w:iCs/>
          <w:i/>
        </w:rPr>
        <w:t xml:space="preserve">āṅ</w:t>
      </w:r>
      <w:r>
        <w:t xml:space="preserve"> </w:t>
      </w:r>
      <w:r>
        <w:t xml:space="preserve">used before it;</w:t>
      </w:r>
      <w:r>
        <w:t xml:space="preserve"> </w:t>
      </w:r>
      <w:r>
        <w:rPr>
          <w:iCs/>
          <w:i/>
        </w:rPr>
        <w:t xml:space="preserve">ā</w:t>
      </w:r>
      <w:r>
        <w:t xml:space="preserve"> </w:t>
      </w:r>
      <w:r>
        <w:t xml:space="preserve">for the final by</w:t>
      </w:r>
      <w:r>
        <w:t xml:space="preserve"> </w:t>
      </w:r>
      <w:r>
        <w:t xml:space="preserve">“</w:t>
      </w:r>
      <w:r>
        <w:t xml:space="preserve">ādeca upadeśe ’śiti</w:t>
      </w:r>
      <w:r>
        <w:t xml:space="preserve">”</w:t>
      </w:r>
      <w:r>
        <w:t xml:space="preserve"> </w:t>
      </w:r>
      <w:r>
        <w:t xml:space="preserve">(Pā. sū. 6-1-45):</w:t>
      </w:r>
      <w:r>
        <w:t xml:space="preserve"> </w:t>
      </w:r>
      <w:r>
        <w:rPr>
          <w:iCs/>
          <w:i/>
        </w:rPr>
        <w:t xml:space="preserve">su</w:t>
      </w:r>
      <w:r>
        <w:t xml:space="preserve"> </w:t>
      </w:r>
      <w:r>
        <w:t xml:space="preserve">+</w:t>
      </w:r>
      <w:r>
        <w:t xml:space="preserve"> </w:t>
      </w:r>
      <w:r>
        <w:rPr>
          <w:iCs/>
          <w:i/>
        </w:rPr>
        <w:t xml:space="preserve">ā</w:t>
      </w:r>
      <w:r>
        <w:t xml:space="preserve"> </w:t>
      </w:r>
      <w:r>
        <w:t xml:space="preserve">+</w:t>
      </w:r>
      <w:r>
        <w:t xml:space="preserve"> </w:t>
      </w:r>
      <w:r>
        <w:rPr>
          <w:iCs/>
          <w:i/>
        </w:rPr>
        <w:t xml:space="preserve">dhyā</w:t>
      </w:r>
      <w:r>
        <w:t xml:space="preserve">;</w:t>
      </w:r>
      <w:r>
        <w:t xml:space="preserve"> </w:t>
      </w:r>
      <w:r>
        <w:rPr>
          <w:iCs/>
          <w:i/>
        </w:rPr>
        <w:t xml:space="preserve">yaṇ</w:t>
      </w:r>
      <w:r>
        <w:t xml:space="preserve">:</w:t>
      </w:r>
      <w:r>
        <w:t xml:space="preserve"> </w:t>
      </w:r>
      <w:r>
        <w:rPr>
          <w:iCs/>
          <w:i/>
        </w:rPr>
        <w:t xml:space="preserve">svā</w:t>
      </w:r>
      <w:r>
        <w:t xml:space="preserve"> </w:t>
      </w:r>
      <w:r>
        <w:t xml:space="preserve">+</w:t>
      </w:r>
      <w:r>
        <w:t xml:space="preserve"> </w:t>
      </w:r>
      <w:r>
        <w:rPr>
          <w:iCs/>
          <w:i/>
        </w:rPr>
        <w:t xml:space="preserve">dhyā</w:t>
      </w:r>
      <w:r>
        <w:t xml:space="preserve">. By</w:t>
      </w:r>
      <w:r>
        <w:t xml:space="preserve"> </w:t>
      </w:r>
      <w:r>
        <w:t xml:space="preserve">“</w:t>
      </w:r>
      <w:r>
        <w:t xml:space="preserve">anyebhyo ’pi dṛśyate</w:t>
      </w:r>
      <w:r>
        <w:t xml:space="preserve">”</w:t>
      </w:r>
      <w:r>
        <w:t xml:space="preserve"> </w:t>
      </w:r>
      <w:r>
        <w:t xml:space="preserve">(Pā. sū. 3-2-178) (</w:t>
      </w:r>
      <w:r>
        <w:rPr>
          <w:iCs/>
          <w:i/>
        </w:rPr>
        <w:t xml:space="preserve">kvip</w:t>
      </w:r>
      <w:r>
        <w:t xml:space="preserve"> </w:t>
      </w:r>
      <w:r>
        <w:t xml:space="preserve">is seen after roots other than</w:t>
      </w:r>
      <w:r>
        <w:t xml:space="preserve"> </w:t>
      </w:r>
      <w:r>
        <w:rPr>
          <w:iCs/>
          <w:i/>
        </w:rPr>
        <w:t xml:space="preserve">bhrāj</w:t>
      </w:r>
      <w:r>
        <w:t xml:space="preserve"> </w:t>
      </w:r>
      <w:r>
        <w:t xml:space="preserve">and the rest too)</w:t>
      </w:r>
      <w:r>
        <w:t xml:space="preserve"> </w:t>
      </w:r>
      <w:r>
        <w:rPr>
          <w:iCs/>
          <w:i/>
        </w:rPr>
        <w:t xml:space="preserve">kvip</w:t>
      </w:r>
      <w:r>
        <w:t xml:space="preserve">, and all of it drops. Here the mention of</w:t>
      </w:r>
      <w:r>
        <w:t xml:space="preserve"> </w:t>
      </w:r>
      <w:r>
        <w:rPr>
          <w:iCs/>
          <w:i/>
        </w:rPr>
        <w:t xml:space="preserve">dṛśi</w:t>
      </w:r>
      <w:r>
        <w:t xml:space="preserve"> </w:t>
      </w:r>
      <w:r>
        <w:t xml:space="preserve">in the sūtra serves to take in operations not got from other rules; so in the present case</w:t>
      </w:r>
      <w:r>
        <w:t xml:space="preserve"> </w:t>
      </w:r>
      <w:r>
        <w:rPr>
          <w:iCs/>
          <w:i/>
        </w:rPr>
        <w:t xml:space="preserve">saṃprasāraṇa</w:t>
      </w:r>
      <w:r>
        <w:t xml:space="preserve"> </w:t>
      </w:r>
      <w:r>
        <w:t xml:space="preserve">comes:</w:t>
      </w:r>
      <w:r>
        <w:t xml:space="preserve"> </w:t>
      </w:r>
      <w:r>
        <w:rPr>
          <w:iCs/>
          <w:i/>
        </w:rPr>
        <w:t xml:space="preserve">svādh</w:t>
      </w:r>
      <w:r>
        <w:t xml:space="preserve"> </w:t>
      </w:r>
      <w:r>
        <w:t xml:space="preserve">+</w:t>
      </w:r>
      <w:r>
        <w:t xml:space="preserve"> </w:t>
      </w:r>
      <w:r>
        <w:rPr>
          <w:iCs/>
          <w:i/>
        </w:rPr>
        <w:t xml:space="preserve">i</w:t>
      </w:r>
      <w:r>
        <w:t xml:space="preserve"> </w:t>
      </w:r>
      <w:r>
        <w:t xml:space="preserve">+</w:t>
      </w:r>
      <w:r>
        <w:t xml:space="preserve"> </w:t>
      </w:r>
      <w:r>
        <w:rPr>
          <w:iCs/>
          <w:i/>
        </w:rPr>
        <w:t xml:space="preserve">a</w:t>
      </w:r>
      <w:r>
        <w:t xml:space="preserve">; by</w:t>
      </w:r>
      <w:r>
        <w:t xml:space="preserve"> </w:t>
      </w:r>
      <w:r>
        <w:t xml:space="preserve">“</w:t>
      </w:r>
      <w:r>
        <w:t xml:space="preserve">saṃprasāraṇāc ca</w:t>
      </w:r>
      <w:r>
        <w:t xml:space="preserve">”</w:t>
      </w:r>
      <w:r>
        <w:t xml:space="preserve"> </w:t>
      </w:r>
      <w:r>
        <w:t xml:space="preserve">(Pā. sū. 6-1-108) the</w:t>
      </w:r>
      <w:r>
        <w:t xml:space="preserve"> </w:t>
      </w:r>
      <w:r>
        <w:rPr>
          <w:iCs/>
          <w:i/>
        </w:rPr>
        <w:t xml:space="preserve">pūrvarūpa</w:t>
      </w:r>
      <w:r>
        <w:t xml:space="preserve"> </w:t>
      </w:r>
      <w:r>
        <w:t xml:space="preserve">for</w:t>
      </w:r>
      <w:r>
        <w:t xml:space="preserve"> </w:t>
      </w:r>
      <w:r>
        <w:rPr>
          <w:iCs/>
          <w:i/>
        </w:rPr>
        <w:t xml:space="preserve">i</w:t>
      </w:r>
      <w:r>
        <w:t xml:space="preserve"> </w:t>
      </w:r>
      <w:r>
        <w:t xml:space="preserve">+</w:t>
      </w:r>
      <w:r>
        <w:t xml:space="preserve"> </w:t>
      </w:r>
      <w:r>
        <w:rPr>
          <w:iCs/>
          <w:i/>
        </w:rPr>
        <w:t xml:space="preserve">a</w:t>
      </w:r>
      <w:r>
        <w:t xml:space="preserve">:</w:t>
      </w:r>
      <w:r>
        <w:t xml:space="preserve"> </w:t>
      </w:r>
      <w:r>
        <w:rPr>
          <w:iCs/>
          <w:i/>
        </w:rPr>
        <w:t xml:space="preserve">svādhi</w:t>
      </w:r>
      <w:r>
        <w:t xml:space="preserve">. With the dropped suffix</w:t>
      </w:r>
      <w:r>
        <w:t xml:space="preserve"> </w:t>
      </w:r>
      <w:r>
        <w:rPr>
          <w:iCs/>
          <w:i/>
        </w:rPr>
        <w:t xml:space="preserve">kvi</w:t>
      </w:r>
      <w:r>
        <w:t xml:space="preserve"> </w:t>
      </w:r>
      <w:r>
        <w:t xml:space="preserve">as the condition, by</w:t>
      </w:r>
      <w:r>
        <w:t xml:space="preserve"> </w:t>
      </w:r>
      <w:r>
        <w:t xml:space="preserve">“</w:t>
      </w:r>
      <w:r>
        <w:t xml:space="preserve">yasmāt pratyayavidhis tadādi pratyaye ’ṅgam</w:t>
      </w:r>
      <w:r>
        <w:t xml:space="preserve">”</w:t>
      </w:r>
      <w:r>
        <w:t xml:space="preserve"> </w:t>
      </w:r>
      <w:r>
        <w:t xml:space="preserve">(Pā. sū. 1-4-13) (the word beginning with the base after which a suffix is enjoined, and ending before the suffix,</w:t>
      </w:r>
    </w:p>
    <w:bookmarkEnd w:id="771"/>
    <w:bookmarkStart w:id="772" w:name="page-707-rik-9-grammar-end"/>
    <w:p>
      <w:pPr>
        <w:pStyle w:val="Heading3"/>
      </w:pPr>
      <w:r>
        <w:t xml:space="preserve">Page 707 — Rik 9: grammar (end)</w:t>
      </w:r>
    </w:p>
    <w:p>
      <w:pPr>
        <w:pStyle w:val="FirstParagraph"/>
      </w:pPr>
      <w:r>
        <w:t xml:space="preserve">is called</w:t>
      </w:r>
      <w:r>
        <w:t xml:space="preserve"> </w:t>
      </w:r>
      <w:r>
        <w:rPr>
          <w:iCs/>
          <w:i/>
        </w:rPr>
        <w:t xml:space="preserve">aṅga</w:t>
      </w:r>
      <w:r>
        <w:t xml:space="preserve"> </w:t>
      </w:r>
      <w:r>
        <w:t xml:space="preserve">when that suffix follows) the name</w:t>
      </w:r>
      <w:r>
        <w:t xml:space="preserve"> </w:t>
      </w:r>
      <w:r>
        <w:rPr>
          <w:iCs/>
          <w:i/>
        </w:rPr>
        <w:t xml:space="preserve">aṅga</w:t>
      </w:r>
      <w:r>
        <w:t xml:space="preserve"> </w:t>
      </w:r>
      <w:r>
        <w:t xml:space="preserve">applies. So by</w:t>
      </w:r>
      <w:r>
        <w:t xml:space="preserve"> </w:t>
      </w:r>
      <w:r>
        <w:t xml:space="preserve">“</w:t>
      </w:r>
      <w:r>
        <w:t xml:space="preserve">halaḥ</w:t>
      </w:r>
      <w:r>
        <w:t xml:space="preserve">”</w:t>
      </w:r>
      <w:r>
        <w:t xml:space="preserve"> </w:t>
      </w:r>
      <w:r>
        <w:t xml:space="preserve">(Pā. sū. 6-4-2) (a stem ending in a</w:t>
      </w:r>
      <w:r>
        <w:t xml:space="preserve"> </w:t>
      </w:r>
      <w:r>
        <w:rPr>
          <w:iCs/>
          <w:i/>
        </w:rPr>
        <w:t xml:space="preserve">saṃprasāraṇa</w:t>
      </w:r>
      <w:r>
        <w:t xml:space="preserve"> </w:t>
      </w:r>
      <w:r>
        <w:t xml:space="preserve">that follows a consonant belonging to the stem is lengthened) the lengthening:</w:t>
      </w:r>
      <w:r>
        <w:t xml:space="preserve"> </w:t>
      </w:r>
      <w:r>
        <w:rPr>
          <w:iCs/>
          <w:i/>
        </w:rPr>
        <w:t xml:space="preserve">svādhī</w:t>
      </w:r>
      <w:r>
        <w:t xml:space="preserve">. After it</w:t>
      </w:r>
      <w:r>
        <w:t xml:space="preserve"> </w:t>
      </w:r>
      <w:r>
        <w:rPr>
          <w:iCs/>
          <w:i/>
        </w:rPr>
        <w:t xml:space="preserve">jas</w:t>
      </w:r>
      <w:r>
        <w:t xml:space="preserve">:</w:t>
      </w:r>
      <w:r>
        <w:t xml:space="preserve"> </w:t>
      </w:r>
      <w:r>
        <w:rPr>
          <w:iCs/>
          <w:i/>
        </w:rPr>
        <w:t xml:space="preserve">svādhī</w:t>
      </w:r>
      <w:r>
        <w:t xml:space="preserve"> </w:t>
      </w:r>
      <w:r>
        <w:t xml:space="preserve">+</w:t>
      </w:r>
      <w:r>
        <w:t xml:space="preserve"> </w:t>
      </w:r>
      <w:r>
        <w:rPr>
          <w:iCs/>
          <w:i/>
        </w:rPr>
        <w:t xml:space="preserve">as</w:t>
      </w:r>
      <w:r>
        <w:t xml:space="preserve">. Now the substitute</w:t>
      </w:r>
      <w:r>
        <w:t xml:space="preserve"> </w:t>
      </w:r>
      <w:r>
        <w:rPr>
          <w:iCs/>
          <w:i/>
        </w:rPr>
        <w:t xml:space="preserve">iyaṅ</w:t>
      </w:r>
      <w:r>
        <w:t xml:space="preserve">, due by</w:t>
      </w:r>
      <w:r>
        <w:t xml:space="preserve"> </w:t>
      </w:r>
      <w:r>
        <w:t xml:space="preserve">“</w:t>
      </w:r>
      <w:r>
        <w:t xml:space="preserve">aci śnudhātu…</w:t>
      </w:r>
      <w:r>
        <w:t xml:space="preserve">”</w:t>
      </w:r>
      <w:r>
        <w:t xml:space="preserve"> </w:t>
      </w:r>
      <w:r>
        <w:t xml:space="preserve">(Pā. sū. 6-4-77), is overridden by</w:t>
      </w:r>
      <w:r>
        <w:t xml:space="preserve"> </w:t>
      </w:r>
      <w:r>
        <w:t xml:space="preserve">“</w:t>
      </w:r>
      <w:r>
        <w:t xml:space="preserve">er anekāco ’saṃyogapūrvasya</w:t>
      </w:r>
      <w:r>
        <w:t xml:space="preserve">”</w:t>
      </w:r>
      <w:r>
        <w:t xml:space="preserve"> </w:t>
      </w:r>
      <w:r>
        <w:t xml:space="preserve">(Pā. sū. 6-4-82) (an</w:t>
      </w:r>
      <w:r>
        <w:t xml:space="preserve"> </w:t>
      </w:r>
      <w:r>
        <w:rPr>
          <w:iCs/>
          <w:i/>
        </w:rPr>
        <w:t xml:space="preserve">aṅga</w:t>
      </w:r>
      <w:r>
        <w:t xml:space="preserve"> </w:t>
      </w:r>
      <w:r>
        <w:t xml:space="preserve">of more than one vowel, ending in a root that ends in an</w:t>
      </w:r>
      <w:r>
        <w:t xml:space="preserve"> </w:t>
      </w:r>
      <w:r>
        <w:rPr>
          <w:iCs/>
          <w:i/>
        </w:rPr>
        <w:t xml:space="preserve">i</w:t>
      </w:r>
      <w:r>
        <w:t xml:space="preserve">-vowel not preceded by a conjunct formed of root letters alone, takes</w:t>
      </w:r>
      <w:r>
        <w:t xml:space="preserve"> </w:t>
      </w:r>
      <w:r>
        <w:rPr>
          <w:iCs/>
          <w:i/>
        </w:rPr>
        <w:t xml:space="preserve">yaṇ</w:t>
      </w:r>
      <w:r>
        <w:t xml:space="preserve"> </w:t>
      </w:r>
      <w:r>
        <w:t xml:space="preserve">before a vowel-initial suffix), so</w:t>
      </w:r>
      <w:r>
        <w:t xml:space="preserve"> </w:t>
      </w:r>
      <w:r>
        <w:rPr>
          <w:iCs/>
          <w:i/>
        </w:rPr>
        <w:t xml:space="preserve">yaṇ</w:t>
      </w:r>
      <w:r>
        <w:t xml:space="preserve"> </w:t>
      </w:r>
      <w:r>
        <w:t xml:space="preserve">comes. For in</w:t>
      </w:r>
      <w:r>
        <w:t xml:space="preserve"> </w:t>
      </w:r>
      <w:r>
        <w:rPr>
          <w:iCs/>
          <w:i/>
        </w:rPr>
        <w:t xml:space="preserve">svādhī</w:t>
      </w:r>
      <w:r>
        <w:t xml:space="preserve"> </w:t>
      </w:r>
      <w:r>
        <w:t xml:space="preserve">the</w:t>
      </w:r>
      <w:r>
        <w:t xml:space="preserve"> </w:t>
      </w:r>
      <w:r>
        <w:rPr>
          <w:iCs/>
          <w:i/>
        </w:rPr>
        <w:t xml:space="preserve">ī</w:t>
      </w:r>
      <w:r>
        <w:t xml:space="preserve"> </w:t>
      </w:r>
      <w:r>
        <w:t xml:space="preserve">does not follow a conjunct, still less a conjunct of root letters alone; the root it ends in is</w:t>
      </w:r>
      <w:r>
        <w:t xml:space="preserve"> </w:t>
      </w:r>
      <w:r>
        <w:rPr>
          <w:iCs/>
          <w:i/>
        </w:rPr>
        <w:t xml:space="preserve">dhī</w:t>
      </w:r>
      <w:r>
        <w:t xml:space="preserve">, the</w:t>
      </w:r>
      <w:r>
        <w:t xml:space="preserve"> </w:t>
      </w:r>
      <w:r>
        <w:rPr>
          <w:iCs/>
          <w:i/>
        </w:rPr>
        <w:t xml:space="preserve">aṅga</w:t>
      </w:r>
      <w:r>
        <w:t xml:space="preserve"> </w:t>
      </w:r>
      <w:r>
        <w:t xml:space="preserve">ending in it is</w:t>
      </w:r>
      <w:r>
        <w:t xml:space="preserve"> </w:t>
      </w:r>
      <w:r>
        <w:rPr>
          <w:iCs/>
          <w:i/>
        </w:rPr>
        <w:t xml:space="preserve">svādhī</w:t>
      </w:r>
      <w:r>
        <w:t xml:space="preserve">, and it has more than one vowel. So</w:t>
      </w:r>
      <w:r>
        <w:t xml:space="preserve"> </w:t>
      </w:r>
      <w:r>
        <w:rPr>
          <w:iCs/>
          <w:i/>
        </w:rPr>
        <w:t xml:space="preserve">yaṇ</w:t>
      </w:r>
      <w:r>
        <w:t xml:space="preserve"> </w:t>
      </w:r>
      <w:r>
        <w:t xml:space="preserve">comes, and by the</w:t>
      </w:r>
      <w:r>
        <w:t xml:space="preserve"> </w:t>
      </w:r>
      <w:r>
        <w:rPr>
          <w:iCs/>
          <w:i/>
        </w:rPr>
        <w:t xml:space="preserve">paribhāṣā</w:t>
      </w:r>
      <w:r>
        <w:t xml:space="preserve"> </w:t>
      </w:r>
      <w:r>
        <w:t xml:space="preserve">“</w:t>
      </w:r>
      <w:r>
        <w:t xml:space="preserve">alo ’ntyasya</w:t>
      </w:r>
      <w:r>
        <w:t xml:space="preserve">”</w:t>
      </w:r>
      <w:r>
        <w:t xml:space="preserve"> </w:t>
      </w:r>
      <w:r>
        <w:t xml:space="preserve">(Pā. sū. 1-1-52) for the last letter</w:t>
      </w:r>
      <w:r>
        <w:t xml:space="preserve"> </w:t>
      </w:r>
      <w:r>
        <w:rPr>
          <w:iCs/>
          <w:i/>
        </w:rPr>
        <w:t xml:space="preserve">ī</w:t>
      </w:r>
      <w:r>
        <w:t xml:space="preserve">:</w:t>
      </w:r>
      <w:r>
        <w:t xml:space="preserve"> </w:t>
      </w:r>
      <w:r>
        <w:rPr>
          <w:iCs/>
          <w:i/>
        </w:rPr>
        <w:t xml:space="preserve">svādhyas</w:t>
      </w:r>
      <w:r>
        <w:t xml:space="preserve">;</w:t>
      </w:r>
      <w:r>
        <w:t xml:space="preserve"> </w:t>
      </w:r>
      <w:r>
        <w:rPr>
          <w:iCs/>
          <w:i/>
        </w:rPr>
        <w:t xml:space="preserve">ru</w:t>
      </w:r>
      <w:r>
        <w:t xml:space="preserve"> </w:t>
      </w:r>
      <w:r>
        <w:t xml:space="preserve">and visarga:</w:t>
      </w:r>
      <w:r>
        <w:t xml:space="preserve"> </w:t>
      </w:r>
      <w:r>
        <w:rPr>
          <w:iCs/>
          <w:i/>
        </w:rPr>
        <w:t xml:space="preserve">svādhyaḥ</w:t>
      </w:r>
      <w:r>
        <w:t xml:space="preserve">.</w:t>
      </w:r>
      <w:r>
        <w:t xml:space="preserve"> </w:t>
      </w:r>
      <w:r>
        <w:rPr>
          <w:iCs/>
          <w:i/>
        </w:rPr>
        <w:t xml:space="preserve">Dhī</w:t>
      </w:r>
      <w:r>
        <w:t xml:space="preserve"> </w:t>
      </w:r>
      <w:r>
        <w:t xml:space="preserve">is final udātta by the root accent; after compounding with the preverbs the accent of the</w:t>
      </w:r>
      <w:r>
        <w:t xml:space="preserve"> </w:t>
      </w:r>
      <w:r>
        <w:rPr>
          <w:iCs/>
          <w:i/>
        </w:rPr>
        <w:t xml:space="preserve">kṛt</w:t>
      </w:r>
      <w:r>
        <w:t xml:space="preserve"> </w:t>
      </w:r>
      <w:r>
        <w:t xml:space="preserve">final member stays by</w:t>
      </w:r>
      <w:r>
        <w:t xml:space="preserve"> </w:t>
      </w:r>
      <w:r>
        <w:t xml:space="preserve">“</w:t>
      </w:r>
      <w:r>
        <w:t xml:space="preserve">gatikārakopapadāt kṛt</w:t>
      </w:r>
      <w:r>
        <w:t xml:space="preserve">”</w:t>
      </w:r>
      <w:r>
        <w:t xml:space="preserve"> </w:t>
      </w:r>
      <w:r>
        <w:t xml:space="preserve">(Pā. sū. 6-2-139). The</w:t>
      </w:r>
      <w:r>
        <w:t xml:space="preserve"> </w:t>
      </w:r>
      <w:r>
        <w:rPr>
          <w:iCs/>
          <w:i/>
        </w:rPr>
        <w:t xml:space="preserve">yaṇ</w:t>
      </w:r>
      <w:r>
        <w:t xml:space="preserve"> </w:t>
      </w:r>
      <w:r>
        <w:t xml:space="preserve">stands in place of the udātta</w:t>
      </w:r>
      <w:r>
        <w:t xml:space="preserve"> </w:t>
      </w:r>
      <w:r>
        <w:rPr>
          <w:iCs/>
          <w:i/>
        </w:rPr>
        <w:t xml:space="preserve">ī</w:t>
      </w:r>
      <w:r>
        <w:t xml:space="preserve">, and it is preceded by a consonant. Yet by</w:t>
      </w:r>
      <w:r>
        <w:t xml:space="preserve"> </w:t>
      </w:r>
      <w:r>
        <w:t xml:space="preserve">“</w:t>
      </w:r>
      <w:r>
        <w:t xml:space="preserve">udāttayaṇo halpūrvāt</w:t>
      </w:r>
      <w:r>
        <w:t xml:space="preserve">”</w:t>
      </w:r>
      <w:r>
        <w:t xml:space="preserve"> </w:t>
      </w:r>
      <w:r>
        <w:t xml:space="preserve">(Pā. sū. 6-1-174) the</w:t>
      </w:r>
      <w:r>
        <w:t xml:space="preserve"> </w:t>
      </w:r>
      <w:r>
        <w:rPr>
          <w:iCs/>
          <w:i/>
        </w:rPr>
        <w:t xml:space="preserve">jas</w:t>
      </w:r>
      <w:r>
        <w:t xml:space="preserve"> </w:t>
      </w:r>
      <w:r>
        <w:t xml:space="preserve">ending is not udātta, because into this sūtra</w:t>
      </w:r>
      <w:r>
        <w:t xml:space="preserve"> </w:t>
      </w:r>
      <w:r>
        <w:t xml:space="preserve">“</w:t>
      </w:r>
      <w:r>
        <w:t xml:space="preserve">asarvanāmasthānam</w:t>
      </w:r>
      <w:r>
        <w:t xml:space="preserve">”</w:t>
      </w:r>
      <w:r>
        <w:t xml:space="preserve"> </w:t>
      </w:r>
      <w:r>
        <w:t xml:space="preserve">is carried on from</w:t>
      </w:r>
      <w:r>
        <w:t xml:space="preserve"> </w:t>
      </w:r>
      <w:r>
        <w:t xml:space="preserve">“</w:t>
      </w:r>
      <w:r>
        <w:t xml:space="preserve">añceś chandasy asarvanāmasthānam</w:t>
      </w:r>
      <w:r>
        <w:t xml:space="preserve">”</w:t>
      </w:r>
      <w:r>
        <w:t xml:space="preserve"> </w:t>
      </w:r>
      <w:r>
        <w:t xml:space="preserve">(Pā. sū. 6-1-170). So the sense of</w:t>
      </w:r>
      <w:r>
        <w:t xml:space="preserve"> </w:t>
      </w:r>
      <w:r>
        <w:rPr>
          <w:iCs/>
          <w:i/>
        </w:rPr>
        <w:t xml:space="preserve">udāttayaṇo halpūrvāt</w:t>
      </w:r>
      <w:r>
        <w:t xml:space="preserve"> </w:t>
      </w:r>
      <w:r>
        <w:t xml:space="preserve">is: after a</w:t>
      </w:r>
      <w:r>
        <w:t xml:space="preserve"> </w:t>
      </w:r>
      <w:r>
        <w:rPr>
          <w:iCs/>
          <w:i/>
        </w:rPr>
        <w:t xml:space="preserve">yaṇ</w:t>
      </w:r>
      <w:r>
        <w:t xml:space="preserve"> </w:t>
      </w:r>
      <w:r>
        <w:t xml:space="preserve">that stands in place of an udātta and is preceded by a consonant, a suffix called</w:t>
      </w:r>
      <w:r>
        <w:t xml:space="preserve"> </w:t>
      </w:r>
      <w:r>
        <w:rPr>
          <w:iCs/>
          <w:i/>
        </w:rPr>
        <w:t xml:space="preserve">nadī</w:t>
      </w:r>
      <w:r>
        <w:t xml:space="preserve"> </w:t>
      </w:r>
      <w:r>
        <w:t xml:space="preserve">and a case-ending that is not</w:t>
      </w:r>
      <w:r>
        <w:t xml:space="preserve"> </w:t>
      </w:r>
      <w:r>
        <w:rPr>
          <w:iCs/>
          <w:i/>
        </w:rPr>
        <w:t xml:space="preserve">sarvanāmasthāna</w:t>
      </w:r>
      <w:r>
        <w:t xml:space="preserve"> </w:t>
      </w:r>
      <w:r>
        <w:t xml:space="preserve">are udātta. The present</w:t>
      </w:r>
      <w:r>
        <w:t xml:space="preserve"> </w:t>
      </w:r>
      <w:r>
        <w:rPr>
          <w:iCs/>
          <w:i/>
        </w:rPr>
        <w:t xml:space="preserve">jas</w:t>
      </w:r>
      <w:r>
        <w:t xml:space="preserve"> </w:t>
      </w:r>
      <w:r>
        <w:t xml:space="preserve">is a</w:t>
      </w:r>
      <w:r>
        <w:t xml:space="preserve"> </w:t>
      </w:r>
      <w:r>
        <w:rPr>
          <w:iCs/>
          <w:i/>
        </w:rPr>
        <w:t xml:space="preserve">sarvanāmasthāna</w:t>
      </w:r>
      <w:r>
        <w:t xml:space="preserve"> </w:t>
      </w:r>
      <w:r>
        <w:t xml:space="preserve">by</w:t>
      </w:r>
      <w:r>
        <w:t xml:space="preserve"> </w:t>
      </w:r>
      <w:r>
        <w:t xml:space="preserve">“</w:t>
      </w:r>
      <w:r>
        <w:t xml:space="preserve">suḍ anapuṃsakasya</w:t>
      </w:r>
      <w:r>
        <w:t xml:space="preserve">”</w:t>
      </w:r>
      <w:r>
        <w:t xml:space="preserve"> </w:t>
      </w:r>
      <w:r>
        <w:t xml:space="preserve">(Pā. sū. 1-1-43) (the five suffixes</w:t>
      </w:r>
      <w:r>
        <w:t xml:space="preserve"> </w:t>
      </w:r>
      <w:r>
        <w:rPr>
          <w:iCs/>
          <w:i/>
        </w:rPr>
        <w:t xml:space="preserve">su</w:t>
      </w:r>
      <w:r>
        <w:t xml:space="preserve">,</w:t>
      </w:r>
      <w:r>
        <w:t xml:space="preserve"> </w:t>
      </w:r>
      <w:r>
        <w:rPr>
          <w:iCs/>
          <w:i/>
        </w:rPr>
        <w:t xml:space="preserve">au</w:t>
      </w:r>
      <w:r>
        <w:t xml:space="preserve">,</w:t>
      </w:r>
      <w:r>
        <w:t xml:space="preserve"> </w:t>
      </w:r>
      <w:r>
        <w:rPr>
          <w:iCs/>
          <w:i/>
        </w:rPr>
        <w:t xml:space="preserve">jas</w:t>
      </w:r>
      <w:r>
        <w:t xml:space="preserve">,</w:t>
      </w:r>
      <w:r>
        <w:t xml:space="preserve"> </w:t>
      </w:r>
      <w:r>
        <w:rPr>
          <w:iCs/>
          <w:i/>
        </w:rPr>
        <w:t xml:space="preserve">am</w:t>
      </w:r>
      <w:r>
        <w:t xml:space="preserve">,</w:t>
      </w:r>
      <w:r>
        <w:t xml:space="preserve"> </w:t>
      </w:r>
      <w:r>
        <w:rPr>
          <w:iCs/>
          <w:i/>
        </w:rPr>
        <w:t xml:space="preserve">auṭ</w:t>
      </w:r>
      <w:r>
        <w:t xml:space="preserve">, not after a neuter word, are called</w:t>
      </w:r>
      <w:r>
        <w:t xml:space="preserve"> </w:t>
      </w:r>
      <w:r>
        <w:rPr>
          <w:iCs/>
          <w:i/>
        </w:rPr>
        <w:t xml:space="preserve">sarvanāmasthāna</w:t>
      </w:r>
      <w:r>
        <w:t xml:space="preserve">); it is not</w:t>
      </w:r>
      <w:r>
        <w:t xml:space="preserve"> </w:t>
      </w:r>
      <w:r>
        <w:rPr>
          <w:iCs/>
          <w:i/>
        </w:rPr>
        <w:t xml:space="preserve">asarvanāmasthāna</w:t>
      </w:r>
      <w:r>
        <w:t xml:space="preserve">. So the udātta accent does not come for the</w:t>
      </w:r>
      <w:r>
        <w:t xml:space="preserve"> </w:t>
      </w:r>
      <w:r>
        <w:rPr>
          <w:iCs/>
          <w:i/>
        </w:rPr>
        <w:t xml:space="preserve">jas</w:t>
      </w:r>
      <w:r>
        <w:t xml:space="preserve"> </w:t>
      </w:r>
      <w:r>
        <w:t xml:space="preserve">by</w:t>
      </w:r>
      <w:r>
        <w:t xml:space="preserve"> </w:t>
      </w:r>
      <w:r>
        <w:rPr>
          <w:iCs/>
          <w:i/>
        </w:rPr>
        <w:t xml:space="preserve">udāttayaṇaḥ</w:t>
      </w:r>
      <w:r>
        <w:t xml:space="preserve">. By</w:t>
      </w:r>
      <w:r>
        <w:t xml:space="preserve"> </w:t>
      </w:r>
      <w:r>
        <w:t xml:space="preserve">“</w:t>
      </w:r>
      <w:r>
        <w:t xml:space="preserve">udāttasvaritayor yaṇaḥ svarito ’nudāttasya</w:t>
      </w:r>
      <w:r>
        <w:t xml:space="preserve">”</w:t>
      </w:r>
      <w:r>
        <w:t xml:space="preserve"> </w:t>
      </w:r>
      <w:r>
        <w:t xml:space="preserve">(after a</w:t>
      </w:r>
      <w:r>
        <w:t xml:space="preserve"> </w:t>
      </w:r>
      <w:r>
        <w:rPr>
          <w:iCs/>
          <w:i/>
        </w:rPr>
        <w:t xml:space="preserve">yaṇ</w:t>
      </w:r>
      <w:r>
        <w:t xml:space="preserve"> </w:t>
      </w:r>
      <w:r>
        <w:t xml:space="preserve">standing in place of an udātta or svarita, an unaccented vowel becomes svarita), the</w:t>
      </w:r>
      <w:r>
        <w:t xml:space="preserve"> </w:t>
      </w:r>
      <w:r>
        <w:rPr>
          <w:iCs/>
          <w:i/>
        </w:rPr>
        <w:t xml:space="preserve">jas</w:t>
      </w:r>
      <w:r>
        <w:t xml:space="preserve">, unaccented by</w:t>
      </w:r>
      <w:r>
        <w:t xml:space="preserve"> </w:t>
      </w:r>
      <w:r>
        <w:rPr>
          <w:iCs/>
          <w:i/>
        </w:rPr>
        <w:t xml:space="preserve">anudāttau suppitau</w:t>
      </w:r>
      <w:r>
        <w:t xml:space="preserve">, gets only the svarita tone.</w:t>
      </w:r>
    </w:p>
    <w:p>
      <w:pPr>
        <w:pStyle w:val="BodyText"/>
      </w:pPr>
      <w:r>
        <w:rPr>
          <w:bCs/>
          <w:b/>
        </w:rPr>
        <w:t xml:space="preserve">॥९॥</w:t>
      </w:r>
    </w:p>
    <w:p>
      <w:pPr>
        <w:pStyle w:val="BodyText"/>
      </w:pPr>
      <w:r>
        <w:rPr>
          <w:iCs/>
          <w:i/>
        </w:rPr>
        <w:t xml:space="preserve">(An ornament closes Sūkta 16 at the foot of p. 707; no colophon is printed.)</w:t>
      </w:r>
    </w:p>
    <w:p>
      <w:r>
        <w:pict>
          <v:rect style="width:0;height:1.5pt" o:hralign="center" o:hrstd="t" o:hr="t"/>
        </w:pict>
      </w:r>
    </w:p>
    <w:bookmarkEnd w:id="772"/>
    <w:bookmarkEnd w:id="773"/>
    <w:bookmarkStart w:id="821" w:name="Xb654e481523816359440be567c2fde83f7dff50"/>
    <w:p>
      <w:pPr>
        <w:pStyle w:val="Heading2"/>
      </w:pPr>
      <w:r>
        <w:t xml:space="preserve">॥ ಹದಿನೇಳನೆಯ ಸೂಕ್ತವು ॥ — Sūkta 17 —</w:t>
      </w:r>
      <w:r>
        <w:t xml:space="preserve"> </w:t>
      </w:r>
      <w:r>
        <w:rPr>
          <w:iCs/>
          <w:i/>
        </w:rPr>
        <w:t xml:space="preserve">“</w:t>
      </w:r>
      <w:r>
        <w:rPr>
          <w:iCs/>
          <w:i/>
        </w:rPr>
        <w:t xml:space="preserve">indrāvaruṇayor aham</w:t>
      </w:r>
      <w:r>
        <w:rPr>
          <w:iCs/>
          <w:i/>
        </w:rPr>
        <w:t xml:space="preserve">”</w:t>
      </w:r>
      <w:r>
        <w:t xml:space="preserve"> </w:t>
      </w:r>
      <w:r>
        <w:t xml:space="preserve">(</w:t>
      </w:r>
      <w:r>
        <w:t xml:space="preserve">“</w:t>
      </w:r>
      <w:r>
        <w:t xml:space="preserve">The Seventeenth Sūkta</w:t>
      </w:r>
      <w:r>
        <w:t xml:space="preserve">”</w:t>
      </w:r>
      <w:r>
        <w:t xml:space="preserve">)</w:t>
      </w:r>
    </w:p>
    <w:p>
      <w:pPr>
        <w:pStyle w:val="FirstParagraph"/>
      </w:pPr>
      <w:r>
        <w:rPr>
          <w:iCs/>
          <w:i/>
        </w:rPr>
        <w:t xml:space="preserve">(Printed p. 708 opens with the title ಹದಿನೇಳನೆಯ ಸೂಕ್ತವು (</w:t>
      </w:r>
      <w:r>
        <w:rPr>
          <w:iCs/>
          <w:i/>
        </w:rPr>
        <w:t xml:space="preserve">“</w:t>
      </w:r>
      <w:r>
        <w:rPr>
          <w:iCs/>
          <w:i/>
        </w:rPr>
        <w:t xml:space="preserve">The Seventeenth Sūkta</w:t>
      </w:r>
      <w:r>
        <w:rPr>
          <w:iCs/>
          <w:i/>
        </w:rPr>
        <w:t xml:space="preserve">”</w:t>
      </w:r>
      <w:r>
        <w:rPr>
          <w:iCs/>
          <w:i/>
        </w:rPr>
        <w:t xml:space="preserve">) and an ornament.)</w:t>
      </w:r>
    </w:p>
    <w:bookmarkStart w:id="774" w:name="X4af21d0e0968d3b82ab991526aaeb42825e19d6"/>
    <w:p>
      <w:pPr>
        <w:pStyle w:val="Heading3"/>
      </w:pPr>
      <w:r>
        <w:t xml:space="preserve">Page 708 — Sūkta 17: introduction, heading, Rik 1 Saṃhitā</w:t>
      </w:r>
    </w:p>
    <w:p>
      <w:pPr>
        <w:pStyle w:val="FirstParagraph"/>
      </w:pPr>
      <w:r>
        <w:rPr>
          <w:bCs/>
          <w:b/>
        </w:rPr>
        <w:t xml:space="preserve">॥ Sāyaṇa-bhāṣyam ॥</w:t>
      </w:r>
      <w:r>
        <w:t xml:space="preserve"> </w:t>
      </w:r>
      <w:r>
        <w:t xml:space="preserve">(introductory note)</w:t>
      </w:r>
    </w:p>
    <w:p>
      <w:pPr>
        <w:pStyle w:val="BodyText"/>
      </w:pPr>
      <w:r>
        <w:rPr>
          <w:iCs/>
          <w:i/>
        </w:rPr>
        <w:t xml:space="preserve">(वनुक्रम्यते is as printed, probably for ऽनुक्रम्यते.)</w:t>
      </w:r>
    </w:p>
    <w:p>
      <w:pPr>
        <w:pStyle w:val="BlockText"/>
      </w:pPr>
      <w:r>
        <w:t xml:space="preserve">इन्द्रावरुणयोरित्यादिकं नवर्चं षष्ठं सूक्तम् । अत एव नवशब्दानुवृत्त्यावनुक्रम्यते । इन्द्रावरुणयोरैन्द्रावरुणं युवाकु पादनिचृताविति । अत्र देवता विस्पष्टा । ऋषिच्छन्दसी तु पूर्ववदनुवर्तेते । अयं तु विशेषः । युवाकु हीत्यादिके द्वे ऋचौ पादनिचृन्नामकच्छन्दोयुक्ते ॥ विनियोगस्तु स्मार्तो लैङ्गिको वा कश्चिदवगन्तव्यः ॥</w:t>
      </w:r>
    </w:p>
    <w:p>
      <w:pPr>
        <w:pStyle w:val="BlockText"/>
      </w:pPr>
      <w:r>
        <w:rPr>
          <w:iCs/>
          <w:i/>
        </w:rPr>
        <w:t xml:space="preserve">indrāvaruṇayorityādikaṃ navarcaṃ ṣaṣṭhaṃ sūktam | ata eva navaśabdānuvṛttyāvanukramyate | indrāvaruṇayoraindrāvaruṇaṃ yuvāku pādanicṛtāviti | atra devatā vispaṣṭā | ṛṣicchandasī tu pūrvavadanuvartete | ayaṃ tu viśeṣaḥ | yuvāku hītyādike dve ṛcau pādanicṛnnāmakacchandoyukte || viniyogastu smārto laiṅgiko vā kaścidavagantavyaḥ ||</w:t>
      </w:r>
    </w:p>
    <w:p>
      <w:pPr>
        <w:pStyle w:val="FirstParagraph"/>
      </w:pPr>
      <w:r>
        <w:rPr>
          <w:bCs/>
          <w:b/>
        </w:rPr>
        <w:t xml:space="preserve">Translation:</w:t>
      </w:r>
      <w:r>
        <w:t xml:space="preserve"> </w:t>
      </w:r>
      <w:r>
        <w:t xml:space="preserve">“</w:t>
      </w:r>
      <w:r>
        <w:t xml:space="preserve">The sūkta beginning</w:t>
      </w:r>
      <w:r>
        <w:t xml:space="preserve"> </w:t>
      </w:r>
      <w:r>
        <w:rPr>
          <w:iCs/>
          <w:i/>
        </w:rPr>
        <w:t xml:space="preserve">indrāvaruṇayoḥ</w:t>
      </w:r>
      <w:r>
        <w:t xml:space="preserve">, of nine ṛks, is the sixth. So, with the word</w:t>
      </w:r>
      <w:r>
        <w:t xml:space="preserve"> </w:t>
      </w:r>
      <w:r>
        <w:t xml:space="preserve">‘</w:t>
      </w:r>
      <w:r>
        <w:t xml:space="preserve">nine</w:t>
      </w:r>
      <w:r>
        <w:t xml:space="preserve">’</w:t>
      </w:r>
      <w:r>
        <w:t xml:space="preserve"> </w:t>
      </w:r>
      <w:r>
        <w:t xml:space="preserve">carried on, the Anukramaṇī states:</w:t>
      </w:r>
      <w:r>
        <w:t xml:space="preserve"> </w:t>
      </w:r>
      <w:r>
        <w:t xml:space="preserve">‘</w:t>
      </w:r>
      <w:r>
        <w:rPr>
          <w:iCs/>
          <w:i/>
        </w:rPr>
        <w:t xml:space="preserve">indrāvaruṇayoḥ</w:t>
      </w:r>
      <w:r>
        <w:t xml:space="preserve">, to Indra and Varuṇa;</w:t>
      </w:r>
      <w:r>
        <w:t xml:space="preserve"> </w:t>
      </w:r>
      <w:r>
        <w:rPr>
          <w:iCs/>
          <w:i/>
        </w:rPr>
        <w:t xml:space="preserve">yuvāku</w:t>
      </w:r>
      <w:r>
        <w:t xml:space="preserve">, two in</w:t>
      </w:r>
      <w:r>
        <w:t xml:space="preserve"> </w:t>
      </w:r>
      <w:r>
        <w:rPr>
          <w:iCs/>
          <w:i/>
        </w:rPr>
        <w:t xml:space="preserve">pādanicṛt</w:t>
      </w:r>
      <w:r>
        <w:t xml:space="preserve">’</w:t>
      </w:r>
      <w:r>
        <w:t xml:space="preserve">. Here the deity is plain; the ṛṣi and the metre continue as before. This, however, is special: the two ṛks beginning</w:t>
      </w:r>
      <w:r>
        <w:t xml:space="preserve"> </w:t>
      </w:r>
      <w:r>
        <w:rPr>
          <w:iCs/>
          <w:i/>
        </w:rPr>
        <w:t xml:space="preserve">yuvāku hi</w:t>
      </w:r>
      <w:r>
        <w:t xml:space="preserve"> </w:t>
      </w:r>
      <w:r>
        <w:t xml:space="preserve">have the metre called</w:t>
      </w:r>
      <w:r>
        <w:t xml:space="preserve"> </w:t>
      </w:r>
      <w:r>
        <w:rPr>
          <w:iCs/>
          <w:i/>
        </w:rPr>
        <w:t xml:space="preserve">pādanicṛt</w:t>
      </w:r>
      <w:r>
        <w:t xml:space="preserve">. The application is to be understood as some</w:t>
      </w:r>
      <w:r>
        <w:t xml:space="preserve"> </w:t>
      </w:r>
      <w:r>
        <w:rPr>
          <w:iCs/>
          <w:i/>
        </w:rPr>
        <w:t xml:space="preserve">smārta</w:t>
      </w:r>
      <w:r>
        <w:t xml:space="preserve"> </w:t>
      </w:r>
      <w:r>
        <w:t xml:space="preserve">or</w:t>
      </w:r>
      <w:r>
        <w:t xml:space="preserve"> </w:t>
      </w:r>
      <w:r>
        <w:rPr>
          <w:iCs/>
          <w:i/>
        </w:rPr>
        <w:t xml:space="preserve">laiṅgika</w:t>
      </w:r>
      <w:r>
        <w:t xml:space="preserve"> </w:t>
      </w:r>
      <w:r>
        <w:t xml:space="preserve">one.</w:t>
      </w:r>
      <w:r>
        <w:t xml:space="preserve">”</w:t>
      </w:r>
    </w:p>
    <w:p>
      <w:pPr>
        <w:pStyle w:val="BodyText"/>
      </w:pPr>
      <w:r>
        <w:rPr>
          <w:bCs/>
          <w:b/>
        </w:rPr>
        <w:t xml:space="preserve">Anuvāda (Kannada rendering):</w:t>
      </w:r>
      <w:r>
        <w:t xml:space="preserve"> </w:t>
      </w:r>
      <w:r>
        <w:rPr>
          <w:iCs/>
          <w:i/>
        </w:rPr>
        <w:t xml:space="preserve">Indrāvaruṇayoḥ</w:t>
      </w:r>
      <w:r>
        <w:t xml:space="preserve"> </w:t>
      </w:r>
      <w:r>
        <w:t xml:space="preserve">is the sixth sūkta in this fourth anuvāka. It has nine ṛks. In the Anukramaṇikā the 4th and 5th ṛks are said to be ṛks of the metre called</w:t>
      </w:r>
      <w:r>
        <w:t xml:space="preserve"> </w:t>
      </w:r>
      <w:r>
        <w:rPr>
          <w:iCs/>
          <w:i/>
        </w:rPr>
        <w:t xml:space="preserve">pādanicṛt</w:t>
      </w:r>
      <w:r>
        <w:t xml:space="preserve">. Indra and Varuṇa are the deities. The ṛṣi and metre are as in the previous sūkta; but the two ṛks</w:t>
      </w:r>
      <w:r>
        <w:t xml:space="preserve"> </w:t>
      </w:r>
      <w:r>
        <w:rPr>
          <w:iCs/>
          <w:i/>
        </w:rPr>
        <w:t xml:space="preserve">yuvāku hi śacīnām</w:t>
      </w:r>
      <w:r>
        <w:t xml:space="preserve"> </w:t>
      </w:r>
      <w:r>
        <w:t xml:space="preserve">and</w:t>
      </w:r>
      <w:r>
        <w:t xml:space="preserve"> </w:t>
      </w:r>
      <w:r>
        <w:rPr>
          <w:iCs/>
          <w:i/>
        </w:rPr>
        <w:t xml:space="preserve">indraḥ sahasradāvnām</w:t>
      </w:r>
      <w:r>
        <w:t xml:space="preserve"> </w:t>
      </w:r>
      <w:r>
        <w:t xml:space="preserve">alone have the metre named</w:t>
      </w:r>
      <w:r>
        <w:t xml:space="preserve"> </w:t>
      </w:r>
      <w:r>
        <w:rPr>
          <w:iCs/>
          <w:i/>
        </w:rPr>
        <w:t xml:space="preserve">pādanicṛt</w:t>
      </w:r>
      <w:r>
        <w:t xml:space="preserve">. The application may be learnt by looking at the</w:t>
      </w:r>
      <w:r>
        <w:t xml:space="preserve"> </w:t>
      </w:r>
      <w:r>
        <w:rPr>
          <w:iCs/>
          <w:i/>
        </w:rPr>
        <w:t xml:space="preserve">smārta</w:t>
      </w:r>
      <w:r>
        <w:t xml:space="preserve"> </w:t>
      </w:r>
      <w:r>
        <w:t xml:space="preserve">usage.</w:t>
      </w:r>
    </w:p>
    <w:p>
      <w:pPr>
        <w:pStyle w:val="BodyText"/>
      </w:pPr>
      <w:r>
        <w:rPr>
          <w:bCs/>
          <w:b/>
        </w:rPr>
        <w:t xml:space="preserve">॥ ॐ ॥</w:t>
      </w:r>
    </w:p>
    <w:p>
      <w:pPr>
        <w:pStyle w:val="BodyText"/>
      </w:pPr>
      <w:r>
        <w:rPr>
          <w:bCs/>
          <w:b/>
        </w:rPr>
        <w:t xml:space="preserve">॥ Sūkta — 17 ॥</w:t>
      </w:r>
      <w:r>
        <w:t xml:space="preserve"> </w:t>
      </w:r>
      <w:r>
        <w:rPr>
          <w:bCs/>
          <w:b/>
        </w:rPr>
        <w:t xml:space="preserve">॥ Maṇḍala — 1 ॥ Anuvāka — 4 ॥ Sūkta — 17 ॥</w:t>
      </w:r>
      <w:r>
        <w:t xml:space="preserve"> </w:t>
      </w:r>
      <w:r>
        <w:rPr>
          <w:bCs/>
          <w:b/>
        </w:rPr>
        <w:t xml:space="preserve">॥ Aṣṭaka — 1 ॥ Adhyāya — 1 ॥ Varga — 32, 33 ॥</w:t>
      </w:r>
      <w:r>
        <w:t xml:space="preserve"> </w:t>
      </w:r>
      <w:r>
        <w:rPr>
          <w:bCs/>
          <w:b/>
        </w:rPr>
        <w:t xml:space="preserve">॥ Number of ṛks in the sūkta: 1–9 ॥</w:t>
      </w:r>
      <w:r>
        <w:t xml:space="preserve"> </w:t>
      </w:r>
      <w:r>
        <w:rPr>
          <w:bCs/>
          <w:b/>
        </w:rPr>
        <w:t xml:space="preserve">॥ Ṛṣiḥ — Medhātithiḥ Kāṇvaḥ ॥</w:t>
      </w:r>
      <w:r>
        <w:t xml:space="preserve"> </w:t>
      </w:r>
      <w:r>
        <w:rPr>
          <w:bCs/>
          <w:b/>
        </w:rPr>
        <w:t xml:space="preserve">॥ Devatā — Indrāvaruṇau ॥</w:t>
      </w:r>
      <w:r>
        <w:t xml:space="preserve"> </w:t>
      </w:r>
      <w:r>
        <w:rPr>
          <w:bCs/>
          <w:b/>
        </w:rPr>
        <w:t xml:space="preserve">॥ Chandaḥ — 1–3, 6–9, Gāyatrī; 4, 5, Pādanicṛt ॥</w:t>
      </w:r>
    </w:p>
    <w:bookmarkEnd w:id="774"/>
    <w:bookmarkStart w:id="775" w:name="sūkta-17-rik-1"/>
    <w:p>
      <w:pPr>
        <w:pStyle w:val="Heading3"/>
      </w:pPr>
      <w:r>
        <w:t xml:space="preserve">Sūkta 17, Rik 1</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इन्द्रा॒वरु॑णयोर॒हं स॒म्राजो॒रव॒ आ वृ॑णे ।</w:t>
      </w:r>
      <w:r>
        <w:t xml:space="preserve"> </w:t>
      </w:r>
      <w:r>
        <w:t xml:space="preserve">ता नो॑ मृळात ई॒दृशे॑ ॥१॥</w:t>
      </w:r>
    </w:p>
    <w:p>
      <w:pPr>
        <w:pStyle w:val="BlockText"/>
      </w:pPr>
      <w:r>
        <w:rPr>
          <w:iCs/>
          <w:i/>
        </w:rPr>
        <w:t xml:space="preserve">indrāváruṇayor aháṃ samrā́jor áva ā́ vṛṇe |</w:t>
      </w:r>
      <w:r>
        <w:t xml:space="preserve"> </w:t>
      </w:r>
      <w:r>
        <w:rPr>
          <w:iCs/>
          <w:i/>
        </w:rPr>
        <w:t xml:space="preserve">tā́ no mṛḷāta īdṛ́śe ||1||</w:t>
      </w:r>
    </w:p>
    <w:bookmarkEnd w:id="775"/>
    <w:bookmarkStart w:id="776" w:name="page-709-rik-1-pada-bhāṣya-word-meanings"/>
    <w:p>
      <w:pPr>
        <w:pStyle w:val="Heading3"/>
      </w:pPr>
      <w:r>
        <w:t xml:space="preserve">Page 709 — Rik 1: Pada, bhāṣya, word-meanings</w:t>
      </w:r>
    </w:p>
    <w:p>
      <w:pPr>
        <w:pStyle w:val="FirstParagraph"/>
      </w:pPr>
      <w:r>
        <w:rPr>
          <w:bCs/>
          <w:b/>
        </w:rPr>
        <w:t xml:space="preserve">॥ Pada-pāṭhaḥ ॥</w:t>
      </w:r>
    </w:p>
    <w:p>
      <w:pPr>
        <w:pStyle w:val="BlockText"/>
      </w:pPr>
      <w:r>
        <w:t xml:space="preserve">इन्द्रावरुणयोः । अहम् । सम्ऽराजोः । अवः । आ । वृणे ॥</w:t>
      </w:r>
      <w:r>
        <w:t xml:space="preserve"> </w:t>
      </w:r>
      <w:r>
        <w:t xml:space="preserve">ता । नः । मृळातः । ईदृशे ॥१॥</w:t>
      </w:r>
    </w:p>
    <w:p>
      <w:pPr>
        <w:pStyle w:val="BlockText"/>
      </w:pPr>
      <w:r>
        <w:rPr>
          <w:iCs/>
          <w:i/>
        </w:rPr>
        <w:t xml:space="preserve">indrāvaruṇayoḥ | aham | sam ’rājoḥ | avaḥ | ā | vṛṇe ||</w:t>
      </w:r>
      <w:r>
        <w:t xml:space="preserve"> </w:t>
      </w:r>
      <w:r>
        <w:rPr>
          <w:iCs/>
          <w:i/>
        </w:rPr>
        <w:t xml:space="preserve">tā | naḥ | mṛḷātaḥ | īdṛśe ||1||</w:t>
      </w:r>
    </w:p>
    <w:p>
      <w:pPr>
        <w:pStyle w:val="FirstParagraph"/>
      </w:pPr>
      <w:r>
        <w:rPr>
          <w:bCs/>
          <w:b/>
        </w:rPr>
        <w:t xml:space="preserve">॥ Sāyaṇa-bhāṣyam ॥</w:t>
      </w:r>
    </w:p>
    <w:p>
      <w:pPr>
        <w:pStyle w:val="BodyText"/>
      </w:pPr>
      <w:r>
        <w:rPr>
          <w:iCs/>
          <w:i/>
        </w:rPr>
        <w:t xml:space="preserve">(समो before मोऽनुस्वारः is as read; the first letter may be स or a misprint.)</w:t>
      </w:r>
    </w:p>
    <w:p>
      <w:pPr>
        <w:pStyle w:val="BlockText"/>
      </w:pPr>
      <w:r>
        <w:t xml:space="preserve">अहमनुष्ठाता सम्राजोः समीचीनराज्योपेतयोः सम्यग्दीप्यमानयोर्वेन्द्रावरुणयोर्देवयोः संबन्ध्यवो रक्षणमा वृणे । सर्वतः प्रार्थये । ता तौ देवावीदृशे एवंविधेऽस्मदीयवरणे निमित्तभूते सति मृळातः । अस्मान्सुखयतः ॥ इन्द्रशब्दो रन्प्रत्ययान्तः । वरुणशब्द उनन्प्रत्ययान्तः । उभौ नित्त्वादाद्युदात्तौ । समासे देवताद्वन्द्वे चेति पूर्वपदस्यानङादेशः । उभे युगपदित्यनुवृत्तौ देवताद्वन्द्वे चेति युगपदुभयपदप्रकृतिस्वरत्वम् । सम्राजोः । राजृ दीप्तौ । सत्सूद्विषेत्यादिना क्विप् । समो[?] मोऽनुस्वारः । पा. ८-३-२३ । इत्यनुस्वारे प्राप्ते मो राजि समः क्वौ । पा. ८-३-२५ । इति मकारादेशः । कृदुत्तरपदप्रकृतिस्वरत्वम् । कर्तृकर्मणोः कृति । पा. २-३-६५ । इति कर्तरि षष्ठी । अवः । अव रक्षणादिषु । भावेऽसुन् । नित्त्वादाद्युदात्तः । ता । सुपां सुलुगित्यादिना द्विवचनस्य डादेशः । टिलोपे विभक्तेरुदात्तनिवृत्तिस्वरः । मृळातः । मृड सुखने । प्रार्थनायां लिङर्थे लेट् । द्विवचनं तस् । लेटोऽडाटावित्याडागमः । तुदादिभ्यः शः । ङित्त्वाल्लघूपधगुणाभावः । ईदृशे । त्यदादिषु दृशोऽनालोचने कञ्च । पा. ३-२-६० । इतीदंशब्द उपपदे दृशेः कञ् । उपपदसमास इदंकिमोरीश्की । पा. ६-३-९० । इतीदम ईश् । शित्त्वात्सर्वादेशः । कञः कित्त्वाद्गुणाभावः । ञित्त्वादुत्तरपदस्याद्युदात्तत्वम् । उपपदसमासे कृदुत्तरपदप्रकृतिस्वरत्वेन तदेव शिष्यते ॥</w:t>
      </w:r>
    </w:p>
    <w:p>
      <w:pPr>
        <w:pStyle w:val="BlockText"/>
      </w:pPr>
      <w:r>
        <w:rPr>
          <w:iCs/>
          <w:i/>
        </w:rPr>
        <w:t xml:space="preserve">ahamanuṣṭhātā samrājoḥ samīcīnarājyopetayoḥ samyagdīpyamānayorvendrāvaruṇayordevayoḥ saṃbandhyavo rakṣaṇamā vṛṇe | sarvataḥ prārthaye | tā tau devāvīdṛśe evaṃvidhe ’smadīyavaraṇe nimittabhūte sati mṛḷātaḥ | asmānsukhayataḥ || indraśabdo ranpratyayāntaḥ | varuṇaśabda unanpratyayāntaḥ | ubhau nittvādādyudāttau | samāse devatādvandve ceti pūrvapadasyānaṅādeśaḥ | ubhe yugapadityanuvṛttau devatādvandve ceti yugapadubhayapadaprakṛtisvaratvam | samrājoḥ | rājṛ dīptau | satsūdviṣetyādinā kvip | samo[?] mo ’nusvāraḥ | pā. 8-3-23 | ityanusvāre prāpte mo rāji samaḥ kvau | pā. 8-3-25 | iti makārādeśaḥ | kṛduttarapadaprakṛtisvaratvam | kartṛkarmaṇoḥ kṛti | pā. 2-3-65 | iti kartari ṣaṣṭhī | avaḥ | ava rakṣaṇādiṣu | bhāve ’sun | nittvādādyudāttaḥ | tā | supāṃ sulugityādinā dvivacanasya ḍādeśaḥ | ṭilope vibhakterudāttanivṛttisvaraḥ | mṛḷātaḥ | mṛḍa sukhane | prārthanāyāṃ liṅarthe leṭ | dvivacanaṃ tas | leṭo ’ḍāṭāvityāḍāgamaḥ | tudādibhyaḥ śaḥ | ṅittvāllaghūpadhaguṇābhāvaḥ | īdṛśe | tyadādiṣu dṛśo ’nālocane kañca | pā. 3-2-60 | itīdaṃśabda upapade dṛśeḥ kañ | upapadasamāsa idaṃkimorīśkī | pā. 6-3-90 | itīdama īś | śittvātsarvādeśaḥ | kañaḥ kittvādguṇābhāvaḥ | ñittvāduttarapadasyādyudāttatvam | upapadasamāse kṛduttarapadaprakṛtisvaratvena tadeva śiṣyate ||</w:t>
      </w:r>
    </w:p>
    <w:p>
      <w:pPr>
        <w:pStyle w:val="FirstParagraph"/>
      </w:pPr>
      <w:r>
        <w:rPr>
          <w:bCs/>
          <w:b/>
        </w:rPr>
        <w:t xml:space="preserve">Translation:</w:t>
      </w:r>
      <w:r>
        <w:t xml:space="preserve"> </w:t>
      </w:r>
      <w:r>
        <w:t xml:space="preserve">“</w:t>
      </w:r>
      <w:r>
        <w:t xml:space="preserve">I, the performer,</w:t>
      </w:r>
      <w:r>
        <w:t xml:space="preserve"> </w:t>
      </w:r>
      <w:r>
        <w:rPr>
          <w:iCs/>
          <w:i/>
        </w:rPr>
        <w:t xml:space="preserve">ā vṛṇe</w:t>
      </w:r>
      <w:r>
        <w:t xml:space="preserve">, pray from all sides for the</w:t>
      </w:r>
      <w:r>
        <w:t xml:space="preserve"> </w:t>
      </w:r>
      <w:r>
        <w:rPr>
          <w:iCs/>
          <w:i/>
        </w:rPr>
        <w:t xml:space="preserve">avaḥ</w:t>
      </w:r>
      <w:r>
        <w:t xml:space="preserve">, protection, belonging to the two gods Indra and Varuṇa,</w:t>
      </w:r>
      <w:r>
        <w:t xml:space="preserve"> </w:t>
      </w:r>
      <w:r>
        <w:rPr>
          <w:iCs/>
          <w:i/>
        </w:rPr>
        <w:t xml:space="preserve">samrājau</w:t>
      </w:r>
      <w:r>
        <w:t xml:space="preserve">, possessed of excellent sovereignty, or shining well. May those two gods,</w:t>
      </w:r>
      <w:r>
        <w:t xml:space="preserve"> </w:t>
      </w:r>
      <w:r>
        <w:rPr>
          <w:iCs/>
          <w:i/>
        </w:rPr>
        <w:t xml:space="preserve">īdṛśe</w:t>
      </w:r>
      <w:r>
        <w:t xml:space="preserve">, on such an occasion, our choosing [them] being the cause,</w:t>
      </w:r>
      <w:r>
        <w:t xml:space="preserve"> </w:t>
      </w:r>
      <w:r>
        <w:rPr>
          <w:iCs/>
          <w:i/>
        </w:rPr>
        <w:t xml:space="preserve">mṛḷātaḥ</w:t>
      </w:r>
      <w:r>
        <w:t xml:space="preserve">, make us happy.</w:t>
      </w:r>
      <w:r>
        <w:t xml:space="preserve">”</w:t>
      </w:r>
      <w:r>
        <w:t xml:space="preserve"> </w:t>
      </w:r>
      <w:r>
        <w:t xml:space="preserve">(Grammatical tail:</w:t>
      </w:r>
      <w:r>
        <w:t xml:space="preserve"> </w:t>
      </w:r>
      <w:r>
        <w:rPr>
          <w:iCs/>
          <w:i/>
        </w:rPr>
        <w:t xml:space="preserve">indra</w:t>
      </w:r>
      <w:r>
        <w:t xml:space="preserve"> </w:t>
      </w:r>
      <w:r>
        <w:t xml:space="preserve">ends in</w:t>
      </w:r>
      <w:r>
        <w:t xml:space="preserve"> </w:t>
      </w:r>
      <w:r>
        <w:rPr>
          <w:iCs/>
          <w:i/>
        </w:rPr>
        <w:t xml:space="preserve">ran</w:t>
      </w:r>
      <w:r>
        <w:t xml:space="preserve">,</w:t>
      </w:r>
      <w:r>
        <w:t xml:space="preserve"> </w:t>
      </w:r>
      <w:r>
        <w:rPr>
          <w:iCs/>
          <w:i/>
        </w:rPr>
        <w:t xml:space="preserve">varuṇa</w:t>
      </w:r>
      <w:r>
        <w:t xml:space="preserve"> </w:t>
      </w:r>
      <w:r>
        <w:t xml:space="preserve">in</w:t>
      </w:r>
      <w:r>
        <w:t xml:space="preserve"> </w:t>
      </w:r>
      <w:r>
        <w:rPr>
          <w:iCs/>
          <w:i/>
        </w:rPr>
        <w:t xml:space="preserve">unan</w:t>
      </w:r>
      <w:r>
        <w:t xml:space="preserve">, both initial udātta as</w:t>
      </w:r>
      <w:r>
        <w:t xml:space="preserve"> </w:t>
      </w:r>
      <w:r>
        <w:rPr>
          <w:iCs/>
          <w:i/>
        </w:rPr>
        <w:t xml:space="preserve">nit</w:t>
      </w:r>
      <w:r>
        <w:t xml:space="preserve">; in the compound</w:t>
      </w:r>
      <w:r>
        <w:t xml:space="preserve"> </w:t>
      </w:r>
      <w:r>
        <w:rPr>
          <w:iCs/>
          <w:i/>
        </w:rPr>
        <w:t xml:space="preserve">ānaṅ</w:t>
      </w:r>
      <w:r>
        <w:t xml:space="preserve"> </w:t>
      </w:r>
      <w:r>
        <w:t xml:space="preserve">for the first member by</w:t>
      </w:r>
      <w:r>
        <w:t xml:space="preserve"> </w:t>
      </w:r>
      <w:r>
        <w:rPr>
          <w:iCs/>
          <w:i/>
        </w:rPr>
        <w:t xml:space="preserve">devatādvandve ca</w:t>
      </w:r>
      <w:r>
        <w:t xml:space="preserve">, and, with</w:t>
      </w:r>
      <w:r>
        <w:t xml:space="preserve"> </w:t>
      </w:r>
      <w:r>
        <w:rPr>
          <w:iCs/>
          <w:i/>
        </w:rPr>
        <w:t xml:space="preserve">ubhe yugapat</w:t>
      </w:r>
      <w:r>
        <w:t xml:space="preserve"> </w:t>
      </w:r>
      <w:r>
        <w:t xml:space="preserve">carried on, both members keep their own accent at once by</w:t>
      </w:r>
      <w:r>
        <w:t xml:space="preserve"> </w:t>
      </w:r>
      <w:r>
        <w:rPr>
          <w:iCs/>
          <w:i/>
        </w:rPr>
        <w:t xml:space="preserve">devatādvandve ca</w:t>
      </w:r>
      <w:r>
        <w:t xml:space="preserve">;</w:t>
      </w:r>
      <w:r>
        <w:t xml:space="preserve"> </w:t>
      </w:r>
      <w:r>
        <w:rPr>
          <w:iCs/>
          <w:i/>
        </w:rPr>
        <w:t xml:space="preserve">samrājoḥ</w:t>
      </w:r>
      <w:r>
        <w:t xml:space="preserve">,</w:t>
      </w:r>
      <w:r>
        <w:t xml:space="preserve"> </w:t>
      </w:r>
      <w:r>
        <w:rPr>
          <w:iCs/>
          <w:i/>
        </w:rPr>
        <w:t xml:space="preserve">rājṛ dīptau</w:t>
      </w:r>
      <w:r>
        <w:t xml:space="preserve">,</w:t>
      </w:r>
      <w:r>
        <w:t xml:space="preserve"> </w:t>
      </w:r>
      <w:r>
        <w:rPr>
          <w:iCs/>
          <w:i/>
        </w:rPr>
        <w:t xml:space="preserve">kvip</w:t>
      </w:r>
      <w:r>
        <w:t xml:space="preserve"> </w:t>
      </w:r>
      <w:r>
        <w:t xml:space="preserve">by</w:t>
      </w:r>
      <w:r>
        <w:t xml:space="preserve"> </w:t>
      </w:r>
      <w:r>
        <w:rPr>
          <w:iCs/>
          <w:i/>
        </w:rPr>
        <w:t xml:space="preserve">satsūdviṣa…</w:t>
      </w:r>
      <w:r>
        <w:t xml:space="preserve">, the</w:t>
      </w:r>
      <w:r>
        <w:t xml:space="preserve"> </w:t>
      </w:r>
      <w:r>
        <w:rPr>
          <w:iCs/>
          <w:i/>
        </w:rPr>
        <w:t xml:space="preserve">anusvāra</w:t>
      </w:r>
      <w:r>
        <w:t xml:space="preserve"> </w:t>
      </w:r>
      <w:r>
        <w:t xml:space="preserve">due by Pā. 8-3-23 replaced by</w:t>
      </w:r>
      <w:r>
        <w:t xml:space="preserve"> </w:t>
      </w:r>
      <w:r>
        <w:rPr>
          <w:iCs/>
          <w:i/>
        </w:rPr>
        <w:t xml:space="preserve">m</w:t>
      </w:r>
      <w:r>
        <w:t xml:space="preserve"> </w:t>
      </w:r>
      <w:r>
        <w:t xml:space="preserve">by Pā. 8-3-25, the accent of the</w:t>
      </w:r>
      <w:r>
        <w:t xml:space="preserve"> </w:t>
      </w:r>
      <w:r>
        <w:rPr>
          <w:iCs/>
          <w:i/>
        </w:rPr>
        <w:t xml:space="preserve">kṛt</w:t>
      </w:r>
      <w:r>
        <w:t xml:space="preserve"> </w:t>
      </w:r>
      <w:r>
        <w:t xml:space="preserve">final member, the genitive of agent by Pā. 2-3-65;</w:t>
      </w:r>
      <w:r>
        <w:t xml:space="preserve"> </w:t>
      </w:r>
      <w:r>
        <w:rPr>
          <w:iCs/>
          <w:i/>
        </w:rPr>
        <w:t xml:space="preserve">avaḥ</w:t>
      </w:r>
      <w:r>
        <w:t xml:space="preserve">,</w:t>
      </w:r>
      <w:r>
        <w:t xml:space="preserve"> </w:t>
      </w:r>
      <w:r>
        <w:rPr>
          <w:iCs/>
          <w:i/>
        </w:rPr>
        <w:t xml:space="preserve">ava rakṣaṇādiṣu</w:t>
      </w:r>
      <w:r>
        <w:t xml:space="preserve">,</w:t>
      </w:r>
      <w:r>
        <w:t xml:space="preserve"> </w:t>
      </w:r>
      <w:r>
        <w:rPr>
          <w:iCs/>
          <w:i/>
        </w:rPr>
        <w:t xml:space="preserve">asun</w:t>
      </w:r>
      <w:r>
        <w:t xml:space="preserve"> </w:t>
      </w:r>
      <w:r>
        <w:t xml:space="preserve">in the sense of the action, initial udātta as</w:t>
      </w:r>
      <w:r>
        <w:t xml:space="preserve"> </w:t>
      </w:r>
      <w:r>
        <w:rPr>
          <w:iCs/>
          <w:i/>
        </w:rPr>
        <w:t xml:space="preserve">nit</w:t>
      </w:r>
      <w:r>
        <w:t xml:space="preserve">;</w:t>
      </w:r>
      <w:r>
        <w:t xml:space="preserve"> </w:t>
      </w:r>
      <w:r>
        <w:rPr>
          <w:iCs/>
          <w:i/>
        </w:rPr>
        <w:t xml:space="preserve">tā</w:t>
      </w:r>
      <w:r>
        <w:t xml:space="preserve">,</w:t>
      </w:r>
      <w:r>
        <w:t xml:space="preserve"> </w:t>
      </w:r>
      <w:r>
        <w:rPr>
          <w:iCs/>
          <w:i/>
        </w:rPr>
        <w:t xml:space="preserve">ḍā</w:t>
      </w:r>
      <w:r>
        <w:t xml:space="preserve"> </w:t>
      </w:r>
      <w:r>
        <w:t xml:space="preserve">for the dual ending by</w:t>
      </w:r>
      <w:r>
        <w:t xml:space="preserve"> </w:t>
      </w:r>
      <w:r>
        <w:rPr>
          <w:iCs/>
          <w:i/>
        </w:rPr>
        <w:t xml:space="preserve">supāṃ suluk…</w:t>
      </w:r>
      <w:r>
        <w:t xml:space="preserve">, with the loss of the</w:t>
      </w:r>
      <w:r>
        <w:t xml:space="preserve"> </w:t>
      </w:r>
      <w:r>
        <w:rPr>
          <w:iCs/>
          <w:i/>
        </w:rPr>
        <w:t xml:space="preserve">ṭi</w:t>
      </w:r>
      <w:r>
        <w:t xml:space="preserve"> </w:t>
      </w:r>
      <w:r>
        <w:t xml:space="preserve">the case-ending takes the accent of the lost udātta;</w:t>
      </w:r>
      <w:r>
        <w:t xml:space="preserve"> </w:t>
      </w:r>
      <w:r>
        <w:rPr>
          <w:iCs/>
          <w:i/>
        </w:rPr>
        <w:t xml:space="preserve">mṛḷātaḥ</w:t>
      </w:r>
      <w:r>
        <w:t xml:space="preserve">,</w:t>
      </w:r>
      <w:r>
        <w:t xml:space="preserve"> </w:t>
      </w:r>
      <w:r>
        <w:rPr>
          <w:iCs/>
          <w:i/>
        </w:rPr>
        <w:t xml:space="preserve">mṛḍa sukhane</w:t>
      </w:r>
      <w:r>
        <w:t xml:space="preserve">,</w:t>
      </w:r>
      <w:r>
        <w:t xml:space="preserve"> </w:t>
      </w:r>
      <w:r>
        <w:rPr>
          <w:iCs/>
          <w:i/>
        </w:rPr>
        <w:t xml:space="preserve">leṭ</w:t>
      </w:r>
      <w:r>
        <w:t xml:space="preserve"> </w:t>
      </w:r>
      <w:r>
        <w:t xml:space="preserve">in the sense of</w:t>
      </w:r>
      <w:r>
        <w:t xml:space="preserve"> </w:t>
      </w:r>
      <w:r>
        <w:rPr>
          <w:iCs/>
          <w:i/>
        </w:rPr>
        <w:t xml:space="preserve">liṅ</w:t>
      </w:r>
      <w:r>
        <w:t xml:space="preserve">, of a prayer, dual</w:t>
      </w:r>
      <w:r>
        <w:t xml:space="preserve"> </w:t>
      </w:r>
      <w:r>
        <w:rPr>
          <w:iCs/>
          <w:i/>
        </w:rPr>
        <w:t xml:space="preserve">tas</w:t>
      </w:r>
      <w:r>
        <w:t xml:space="preserve">, the augment</w:t>
      </w:r>
      <w:r>
        <w:t xml:space="preserve"> </w:t>
      </w:r>
      <w:r>
        <w:rPr>
          <w:iCs/>
          <w:i/>
        </w:rPr>
        <w:t xml:space="preserve">āṭ</w:t>
      </w:r>
      <w:r>
        <w:t xml:space="preserve"> </w:t>
      </w:r>
      <w:r>
        <w:t xml:space="preserve">by</w:t>
      </w:r>
      <w:r>
        <w:t xml:space="preserve"> </w:t>
      </w:r>
      <w:r>
        <w:rPr>
          <w:iCs/>
          <w:i/>
        </w:rPr>
        <w:t xml:space="preserve">leṭo ’ḍāṭau</w:t>
      </w:r>
      <w:r>
        <w:t xml:space="preserve">,</w:t>
      </w:r>
      <w:r>
        <w:t xml:space="preserve"> </w:t>
      </w:r>
      <w:r>
        <w:rPr>
          <w:iCs/>
          <w:i/>
        </w:rPr>
        <w:t xml:space="preserve">śa</w:t>
      </w:r>
      <w:r>
        <w:t xml:space="preserve"> </w:t>
      </w:r>
      <w:r>
        <w:t xml:space="preserve">by</w:t>
      </w:r>
      <w:r>
        <w:t xml:space="preserve"> </w:t>
      </w:r>
      <w:r>
        <w:rPr>
          <w:iCs/>
          <w:i/>
        </w:rPr>
        <w:t xml:space="preserve">tudādibhyaḥ śaḥ</w:t>
      </w:r>
      <w:r>
        <w:t xml:space="preserve">, no</w:t>
      </w:r>
      <w:r>
        <w:t xml:space="preserve"> </w:t>
      </w:r>
      <w:r>
        <w:rPr>
          <w:iCs/>
          <w:i/>
        </w:rPr>
        <w:t xml:space="preserve">guṇa</w:t>
      </w:r>
      <w:r>
        <w:t xml:space="preserve"> </w:t>
      </w:r>
      <w:r>
        <w:t xml:space="preserve">of the light penultimate as it is</w:t>
      </w:r>
      <w:r>
        <w:t xml:space="preserve"> </w:t>
      </w:r>
      <w:r>
        <w:rPr>
          <w:iCs/>
          <w:i/>
        </w:rPr>
        <w:t xml:space="preserve">ṅit</w:t>
      </w:r>
      <w:r>
        <w:t xml:space="preserve">;</w:t>
      </w:r>
      <w:r>
        <w:t xml:space="preserve"> </w:t>
      </w:r>
      <w:r>
        <w:rPr>
          <w:iCs/>
          <w:i/>
        </w:rPr>
        <w:t xml:space="preserve">īdṛśe</w:t>
      </w:r>
      <w:r>
        <w:t xml:space="preserve">,</w:t>
      </w:r>
      <w:r>
        <w:t xml:space="preserve"> </w:t>
      </w:r>
      <w:r>
        <w:rPr>
          <w:iCs/>
          <w:i/>
        </w:rPr>
        <w:t xml:space="preserve">kañ</w:t>
      </w:r>
      <w:r>
        <w:t xml:space="preserve"> </w:t>
      </w:r>
      <w:r>
        <w:t xml:space="preserve">after</w:t>
      </w:r>
      <w:r>
        <w:t xml:space="preserve"> </w:t>
      </w:r>
      <w:r>
        <w:rPr>
          <w:iCs/>
          <w:i/>
        </w:rPr>
        <w:t xml:space="preserve">dṛś</w:t>
      </w:r>
      <w:r>
        <w:t xml:space="preserve"> </w:t>
      </w:r>
      <w:r>
        <w:t xml:space="preserve">with</w:t>
      </w:r>
      <w:r>
        <w:t xml:space="preserve"> </w:t>
      </w:r>
      <w:r>
        <w:rPr>
          <w:iCs/>
          <w:i/>
        </w:rPr>
        <w:t xml:space="preserve">idam</w:t>
      </w:r>
      <w:r>
        <w:t xml:space="preserve"> </w:t>
      </w:r>
      <w:r>
        <w:t xml:space="preserve">as</w:t>
      </w:r>
      <w:r>
        <w:t xml:space="preserve"> </w:t>
      </w:r>
      <w:r>
        <w:rPr>
          <w:iCs/>
          <w:i/>
        </w:rPr>
        <w:t xml:space="preserve">upapada</w:t>
      </w:r>
      <w:r>
        <w:t xml:space="preserve"> </w:t>
      </w:r>
      <w:r>
        <w:t xml:space="preserve">by Pā. 3-2-60,</w:t>
      </w:r>
      <w:r>
        <w:t xml:space="preserve"> </w:t>
      </w:r>
      <w:r>
        <w:rPr>
          <w:iCs/>
          <w:i/>
        </w:rPr>
        <w:t xml:space="preserve">īś</w:t>
      </w:r>
      <w:r>
        <w:t xml:space="preserve"> </w:t>
      </w:r>
      <w:r>
        <w:t xml:space="preserve">for</w:t>
      </w:r>
      <w:r>
        <w:t xml:space="preserve"> </w:t>
      </w:r>
      <w:r>
        <w:rPr>
          <w:iCs/>
          <w:i/>
        </w:rPr>
        <w:t xml:space="preserve">idam</w:t>
      </w:r>
      <w:r>
        <w:t xml:space="preserve"> </w:t>
      </w:r>
      <w:r>
        <w:t xml:space="preserve">in the</w:t>
      </w:r>
      <w:r>
        <w:t xml:space="preserve"> </w:t>
      </w:r>
      <w:r>
        <w:rPr>
          <w:iCs/>
          <w:i/>
        </w:rPr>
        <w:t xml:space="preserve">upapada</w:t>
      </w:r>
      <w:r>
        <w:t xml:space="preserve"> </w:t>
      </w:r>
      <w:r>
        <w:t xml:space="preserve">compound by Pā. 6-3-90, replacing the whole as it is</w:t>
      </w:r>
      <w:r>
        <w:t xml:space="preserve"> </w:t>
      </w:r>
      <w:r>
        <w:rPr>
          <w:iCs/>
          <w:i/>
        </w:rPr>
        <w:t xml:space="preserve">śit</w:t>
      </w:r>
      <w:r>
        <w:t xml:space="preserve">, no</w:t>
      </w:r>
      <w:r>
        <w:t xml:space="preserve"> </w:t>
      </w:r>
      <w:r>
        <w:rPr>
          <w:iCs/>
          <w:i/>
        </w:rPr>
        <w:t xml:space="preserve">guṇa</w:t>
      </w:r>
      <w:r>
        <w:t xml:space="preserve"> </w:t>
      </w:r>
      <w:r>
        <w:t xml:space="preserve">as</w:t>
      </w:r>
      <w:r>
        <w:t xml:space="preserve"> </w:t>
      </w:r>
      <w:r>
        <w:rPr>
          <w:iCs/>
          <w:i/>
        </w:rPr>
        <w:t xml:space="preserve">kañ</w:t>
      </w:r>
      <w:r>
        <w:t xml:space="preserve"> </w:t>
      </w:r>
      <w:r>
        <w:t xml:space="preserve">is</w:t>
      </w:r>
      <w:r>
        <w:t xml:space="preserve"> </w:t>
      </w:r>
      <w:r>
        <w:rPr>
          <w:iCs/>
          <w:i/>
        </w:rPr>
        <w:t xml:space="preserve">kit</w:t>
      </w:r>
      <w:r>
        <w:t xml:space="preserve">, initial udātta of the final member as</w:t>
      </w:r>
      <w:r>
        <w:t xml:space="preserve"> </w:t>
      </w:r>
      <w:r>
        <w:rPr>
          <w:iCs/>
          <w:i/>
        </w:rPr>
        <w:t xml:space="preserve">ñit</w:t>
      </w:r>
      <w:r>
        <w:t xml:space="preserve">, and that alone stays by the accent of the</w:t>
      </w:r>
      <w:r>
        <w:t xml:space="preserve"> </w:t>
      </w:r>
      <w:r>
        <w:rPr>
          <w:iCs/>
          <w:i/>
        </w:rPr>
        <w:t xml:space="preserve">kṛt</w:t>
      </w:r>
      <w:r>
        <w:t xml:space="preserve"> </w:t>
      </w:r>
      <w:r>
        <w:t xml:space="preserve">final member.)</w:t>
      </w:r>
    </w:p>
    <w:p>
      <w:pPr>
        <w:pStyle w:val="BodyText"/>
      </w:pPr>
      <w:r>
        <w:rPr>
          <w:bCs/>
          <w:b/>
        </w:rPr>
        <w:t xml:space="preserve">॥ Prati-padārthaḥ ॥</w:t>
      </w:r>
    </w:p>
    <w:p>
      <w:pPr>
        <w:pStyle w:val="BodyText"/>
      </w:pPr>
      <w:r>
        <w:rPr>
          <w:bCs/>
          <w:b/>
        </w:rPr>
        <w:t xml:space="preserve">अहम् (aham)</w:t>
      </w:r>
      <w:r>
        <w:t xml:space="preserve"> </w:t>
      </w:r>
      <w:r>
        <w:t xml:space="preserve">— I (the performer of the sacrifice) |</w:t>
      </w:r>
      <w:r>
        <w:t xml:space="preserve"> </w:t>
      </w:r>
      <w:r>
        <w:rPr>
          <w:bCs/>
          <w:b/>
        </w:rPr>
        <w:t xml:space="preserve">सम्राजोः (samrājoḥ)</w:t>
      </w:r>
      <w:r>
        <w:t xml:space="preserve"> </w:t>
      </w:r>
      <w:r>
        <w:t xml:space="preserve">— who shine well, or who have good sovereignty |</w:t>
      </w:r>
      <w:r>
        <w:t xml:space="preserve"> </w:t>
      </w:r>
      <w:r>
        <w:rPr>
          <w:bCs/>
          <w:b/>
        </w:rPr>
        <w:t xml:space="preserve">इन्द्रावरुणयोः (indrāvaruṇayoḥ)</w:t>
      </w:r>
      <w:r>
        <w:t xml:space="preserve"> </w:t>
      </w:r>
      <w:r>
        <w:t xml:space="preserve">— of Indra and Varuṇa |</w:t>
      </w:r>
      <w:r>
        <w:t xml:space="preserve"> </w:t>
      </w:r>
      <w:r>
        <w:rPr>
          <w:bCs/>
          <w:b/>
        </w:rPr>
        <w:t xml:space="preserve">अवः (avaḥ)</w:t>
      </w:r>
      <w:r>
        <w:t xml:space="preserve"> </w:t>
      </w:r>
      <w:r>
        <w:t xml:space="preserve">— protection |</w:t>
      </w:r>
      <w:r>
        <w:t xml:space="preserve"> </w:t>
      </w:r>
      <w:r>
        <w:rPr>
          <w:bCs/>
          <w:b/>
        </w:rPr>
        <w:t xml:space="preserve">आ वृणे (ā vṛṇe)</w:t>
      </w:r>
      <w:r>
        <w:t xml:space="preserve"> </w:t>
      </w:r>
      <w:r>
        <w:t xml:space="preserve">— I pray for (on all sides) |</w:t>
      </w:r>
      <w:r>
        <w:t xml:space="preserve"> </w:t>
      </w:r>
      <w:r>
        <w:rPr>
          <w:bCs/>
          <w:b/>
        </w:rPr>
        <w:t xml:space="preserve">ता (tā)</w:t>
      </w:r>
      <w:r>
        <w:t xml:space="preserve"> </w:t>
      </w:r>
      <w:r>
        <w:t xml:space="preserve">— those two deities |</w:t>
      </w:r>
      <w:r>
        <w:t xml:space="preserve"> </w:t>
      </w:r>
      <w:r>
        <w:rPr>
          <w:bCs/>
          <w:b/>
        </w:rPr>
        <w:t xml:space="preserve">ईदृशे (īdṛśe)</w:t>
      </w:r>
      <w:r>
        <w:t xml:space="preserve"> </w:t>
      </w:r>
      <w:r>
        <w:t xml:space="preserve">— in this matter of our prayer |</w:t>
      </w:r>
      <w:r>
        <w:t xml:space="preserve"> </w:t>
      </w:r>
      <w:r>
        <w:rPr>
          <w:bCs/>
          <w:b/>
        </w:rPr>
        <w:t xml:space="preserve">नः (naḥ)</w:t>
      </w:r>
      <w:r>
        <w:t xml:space="preserve"> </w:t>
      </w:r>
      <w:r>
        <w:t xml:space="preserve">— to us |</w:t>
      </w:r>
      <w:r>
        <w:t xml:space="preserve"> </w:t>
      </w:r>
      <w:r>
        <w:rPr>
          <w:bCs/>
          <w:b/>
        </w:rPr>
        <w:t xml:space="preserve">मृळातः (mṛḷātaḥ)</w:t>
      </w:r>
      <w:r>
        <w:t xml:space="preserve"> </w:t>
      </w:r>
      <w:r>
        <w:t xml:space="preserve">— may they give happiness.</w:t>
      </w:r>
    </w:p>
    <w:bookmarkEnd w:id="776"/>
    <w:bookmarkStart w:id="777" w:name="X8d1afb65fe917370d7348e8e120f7dbc74d059f"/>
    <w:p>
      <w:pPr>
        <w:pStyle w:val="Heading3"/>
      </w:pPr>
      <w:r>
        <w:t xml:space="preserve">Page 710 — Rik 1: overall sense, English, Special Topics</w:t>
      </w:r>
    </w:p>
    <w:p>
      <w:pPr>
        <w:pStyle w:val="FirstParagraph"/>
      </w:pPr>
      <w:r>
        <w:rPr>
          <w:bCs/>
          <w:b/>
        </w:rPr>
        <w:t xml:space="preserve">॥ Bhāvārthaḥ ॥</w:t>
      </w:r>
    </w:p>
    <w:p>
      <w:pPr>
        <w:pStyle w:val="BodyText"/>
      </w:pPr>
      <w:r>
        <w:t xml:space="preserve">I, who have begun the sacrifice, with the aim that my sacrifice be completed in all its parts, take refuge with Indra and Varuṇa, who are very radiant and possessed of sovereignty. May they fulfil this prayer of mine and give me joy.</w:t>
      </w:r>
    </w:p>
    <w:p>
      <w:pPr>
        <w:pStyle w:val="BodyText"/>
      </w:pPr>
      <w:r>
        <w:rPr>
          <w:bCs/>
          <w:b/>
        </w:rPr>
        <w:t xml:space="preserve">॥ English Translation ॥</w:t>
      </w:r>
      <w:r>
        <w:t xml:space="preserve"> </w:t>
      </w:r>
      <w:r>
        <w:rPr>
          <w:iCs/>
          <w:i/>
        </w:rPr>
        <w:t xml:space="preserve">(as printed in the source)</w:t>
      </w:r>
    </w:p>
    <w:p>
      <w:pPr>
        <w:pStyle w:val="BlockText"/>
      </w:pPr>
      <w:r>
        <w:t xml:space="preserve">I seek the protection of the sovereign rulers Indra and Varuna; may they both favour us accordingly.</w:t>
      </w:r>
    </w:p>
    <w:p>
      <w:pPr>
        <w:pStyle w:val="FirstParagraph"/>
      </w:pPr>
      <w:r>
        <w:rPr>
          <w:bCs/>
          <w:b/>
        </w:rPr>
        <w:t xml:space="preserve">॥ Viśeṣa-viṣayagaḷu (Special Topics) ॥</w:t>
      </w:r>
    </w:p>
    <w:p>
      <w:pPr>
        <w:pStyle w:val="BodyText"/>
      </w:pPr>
      <w:r>
        <w:t xml:space="preserve">The deities of this sūkta are the two, Indra and Varuṇa. In the Ṛgveda, the calling of two deities together and their praise together is especially to be seen. Mantras setting forth such pairs of deities (</w:t>
      </w:r>
      <w:r>
        <w:rPr>
          <w:iCs/>
          <w:i/>
        </w:rPr>
        <w:t xml:space="preserve">devatādvandvas</w:t>
      </w:r>
      <w:r>
        <w:t xml:space="preserve">) are called</w:t>
      </w:r>
      <w:r>
        <w:t xml:space="preserve"> </w:t>
      </w:r>
      <w:r>
        <w:rPr>
          <w:iCs/>
          <w:i/>
        </w:rPr>
        <w:t xml:space="preserve">saṃstavika</w:t>
      </w:r>
      <w:r>
        <w:t xml:space="preserve"> </w:t>
      </w:r>
      <w:r>
        <w:t xml:space="preserve">mantras. The chief deities in them are fourteen: Agni, Soma, Varuṇa, Pūṣan, Bṛhaspati, Brahmaṇaspati, Parvata, Kutsa, Viṣṇu, Vāyu, Mitra, Rudra, Vāta and Parjanya. For example:</w:t>
      </w:r>
    </w:p>
    <w:p>
      <w:pPr>
        <w:pStyle w:val="BodyText"/>
      </w:pPr>
      <w:r>
        <w:rPr>
          <w:bCs/>
          <w:b/>
        </w:rPr>
        <w:t xml:space="preserve">इन्द्राग्नी</w:t>
      </w:r>
      <w:r>
        <w:t xml:space="preserve"> </w:t>
      </w:r>
      <w:r>
        <w:t xml:space="preserve">(indra + agni):</w:t>
      </w:r>
    </w:p>
    <w:p>
      <w:pPr>
        <w:pStyle w:val="BlockText"/>
      </w:pPr>
      <w:r>
        <w:t xml:space="preserve">इन्द्राग्नी रोचना दिवः (Ṛ. saṃ. 3-12-9)</w:t>
      </w:r>
    </w:p>
    <w:p>
      <w:pPr>
        <w:pStyle w:val="BlockText"/>
      </w:pPr>
      <w:r>
        <w:rPr>
          <w:iCs/>
          <w:i/>
        </w:rPr>
        <w:t xml:space="preserve">indrāgnī rocanā divaḥ (Ṛ. saṃ. 3-12-9)</w:t>
      </w:r>
    </w:p>
    <w:p>
      <w:pPr>
        <w:pStyle w:val="FirstParagraph"/>
      </w:pPr>
      <w:r>
        <w:t xml:space="preserve">(</w:t>
      </w:r>
      <w:r>
        <w:t xml:space="preserve">“</w:t>
      </w:r>
      <w:r>
        <w:t xml:space="preserve">Indra and Agni, the bright realms of heaven</w:t>
      </w:r>
      <w:r>
        <w:t xml:space="preserve">”</w:t>
      </w:r>
      <w:r>
        <w:t xml:space="preserve">: mine and tentative.)</w:t>
      </w:r>
    </w:p>
    <w:p>
      <w:pPr>
        <w:pStyle w:val="BodyText"/>
      </w:pPr>
      <w:r>
        <w:rPr>
          <w:bCs/>
          <w:b/>
        </w:rPr>
        <w:t xml:space="preserve">इन्द्रासोमा</w:t>
      </w:r>
      <w:r>
        <w:t xml:space="preserve"> </w:t>
      </w:r>
      <w:r>
        <w:t xml:space="preserve">(indra + soma):</w:t>
      </w:r>
    </w:p>
    <w:p>
      <w:pPr>
        <w:pStyle w:val="BlockText"/>
      </w:pPr>
      <w:r>
        <w:t xml:space="preserve">इन्द्रासोमा समघशंसम् (Ṛ. saṃ. 7-104-2)</w:t>
      </w:r>
    </w:p>
    <w:p>
      <w:pPr>
        <w:pStyle w:val="BlockText"/>
      </w:pPr>
      <w:r>
        <w:rPr>
          <w:iCs/>
          <w:i/>
        </w:rPr>
        <w:t xml:space="preserve">indrāsomā samaghaśaṃsam (Ṛ. saṃ. 7-104-2)</w:t>
      </w:r>
    </w:p>
    <w:p>
      <w:pPr>
        <w:pStyle w:val="FirstParagraph"/>
      </w:pPr>
      <w:r>
        <w:t xml:space="preserve">(</w:t>
      </w:r>
      <w:r>
        <w:t xml:space="preserve">“</w:t>
      </w:r>
      <w:r>
        <w:t xml:space="preserve">Indra and Soma, [burn] the one who speaks evil</w:t>
      </w:r>
      <w:r>
        <w:t xml:space="preserve">”</w:t>
      </w:r>
      <w:r>
        <w:t xml:space="preserve">: mine and tentative.)</w:t>
      </w:r>
    </w:p>
    <w:p>
      <w:pPr>
        <w:pStyle w:val="BodyText"/>
      </w:pPr>
      <w:r>
        <w:rPr>
          <w:bCs/>
          <w:b/>
        </w:rPr>
        <w:t xml:space="preserve">इन्द्रावरुणा</w:t>
      </w:r>
      <w:r>
        <w:t xml:space="preserve"> </w:t>
      </w:r>
      <w:r>
        <w:t xml:space="preserve">(indra + varuṇa):</w:t>
      </w:r>
    </w:p>
    <w:p>
      <w:pPr>
        <w:pStyle w:val="BlockText"/>
      </w:pPr>
      <w:r>
        <w:t xml:space="preserve">इन्द्रावरुणा युवमध्वराय नः (Ṛ. saṃ. 7-82-1)</w:t>
      </w:r>
    </w:p>
    <w:p>
      <w:pPr>
        <w:pStyle w:val="BlockText"/>
      </w:pPr>
      <w:r>
        <w:rPr>
          <w:iCs/>
          <w:i/>
        </w:rPr>
        <w:t xml:space="preserve">indrāvaruṇā yuvamadhvarāya naḥ (Ṛ. saṃ. 7-82-1)</w:t>
      </w:r>
    </w:p>
    <w:p>
      <w:pPr>
        <w:pStyle w:val="FirstParagraph"/>
      </w:pPr>
      <w:r>
        <w:t xml:space="preserve">(</w:t>
      </w:r>
      <w:r>
        <w:t xml:space="preserve">“</w:t>
      </w:r>
      <w:r>
        <w:t xml:space="preserve">Indra and Varuṇa, you two, for our sacrifice</w:t>
      </w:r>
      <w:r>
        <w:t xml:space="preserve">”</w:t>
      </w:r>
      <w:r>
        <w:t xml:space="preserve">: mine and tentative.)</w:t>
      </w:r>
    </w:p>
    <w:p>
      <w:pPr>
        <w:pStyle w:val="BodyText"/>
      </w:pPr>
      <w:r>
        <w:rPr>
          <w:bCs/>
          <w:b/>
        </w:rPr>
        <w:t xml:space="preserve">इन्द्रापूषणा</w:t>
      </w:r>
      <w:r>
        <w:t xml:space="preserve"> </w:t>
      </w:r>
      <w:r>
        <w:t xml:space="preserve">(indra + pūṣan):</w:t>
      </w:r>
    </w:p>
    <w:p>
      <w:pPr>
        <w:pStyle w:val="BlockText"/>
      </w:pPr>
      <w:r>
        <w:t xml:space="preserve">इन्द्रपूषणा वयम् (Ṛ. saṃ. 6-57-1)</w:t>
      </w:r>
    </w:p>
    <w:p>
      <w:pPr>
        <w:pStyle w:val="BlockText"/>
      </w:pPr>
      <w:r>
        <w:rPr>
          <w:iCs/>
          <w:i/>
        </w:rPr>
        <w:t xml:space="preserve">indrapūṣaṇā vayam (Ṛ. saṃ. 6-57-1)</w:t>
      </w:r>
    </w:p>
    <w:p>
      <w:pPr>
        <w:pStyle w:val="FirstParagraph"/>
      </w:pPr>
      <w:r>
        <w:t xml:space="preserve">(</w:t>
      </w:r>
      <w:r>
        <w:t xml:space="preserve">“</w:t>
      </w:r>
      <w:r>
        <w:t xml:space="preserve">Indra and Pūṣan, we …</w:t>
      </w:r>
      <w:r>
        <w:t xml:space="preserve">”</w:t>
      </w:r>
      <w:r>
        <w:t xml:space="preserve">: mine and tentative. इन्द्रपूषणा, without the long ā, is as printed; the heading has इन्द्रापूषणा.)</w:t>
      </w:r>
    </w:p>
    <w:p>
      <w:pPr>
        <w:pStyle w:val="BodyText"/>
      </w:pPr>
      <w:r>
        <w:rPr>
          <w:bCs/>
          <w:b/>
        </w:rPr>
        <w:t xml:space="preserve">इन्द्राबृहस्पती</w:t>
      </w:r>
      <w:r>
        <w:t xml:space="preserve"> </w:t>
      </w:r>
      <w:r>
        <w:t xml:space="preserve">(indra + bṛhaspati):</w:t>
      </w:r>
    </w:p>
    <w:p>
      <w:pPr>
        <w:pStyle w:val="BlockText"/>
      </w:pPr>
      <w:r>
        <w:t xml:space="preserve">इदं वामास्ये हविः प्रियमिन्द्राबृहस्पती (Ṛ. saṃ. 4-49-1)</w:t>
      </w:r>
    </w:p>
    <w:p>
      <w:pPr>
        <w:pStyle w:val="BlockText"/>
      </w:pPr>
      <w:r>
        <w:rPr>
          <w:iCs/>
          <w:i/>
        </w:rPr>
        <w:t xml:space="preserve">idaṃ vāmāsye haviḥ priyamindrābṛhaspatī (Ṛ. saṃ. 4-49-1)</w:t>
      </w:r>
    </w:p>
    <w:p>
      <w:pPr>
        <w:pStyle w:val="FirstParagraph"/>
      </w:pPr>
      <w:r>
        <w:t xml:space="preserve">(</w:t>
      </w:r>
      <w:r>
        <w:t xml:space="preserve">“</w:t>
      </w:r>
      <w:r>
        <w:t xml:space="preserve">This dear offering in your mouth, Indra and Bṛhaspati</w:t>
      </w:r>
      <w:r>
        <w:t xml:space="preserve">”</w:t>
      </w:r>
      <w:r>
        <w:t xml:space="preserve">: mine and tentative.)</w:t>
      </w:r>
    </w:p>
    <w:p>
      <w:pPr>
        <w:pStyle w:val="BodyText"/>
      </w:pPr>
      <w:r>
        <w:rPr>
          <w:bCs/>
          <w:b/>
        </w:rPr>
        <w:t xml:space="preserve">इन्द्राब्रह्मणस्पती</w:t>
      </w:r>
      <w:r>
        <w:t xml:space="preserve"> </w:t>
      </w:r>
      <w:r>
        <w:t xml:space="preserve">(indra + brahmaṇaspati):</w:t>
      </w:r>
    </w:p>
    <w:p>
      <w:pPr>
        <w:pStyle w:val="BlockText"/>
      </w:pPr>
      <w:r>
        <w:t xml:space="preserve">अच्छेन्द्राब्रह्मणस्पती हविर्नः (Ṛ. saṃ. 2-24-12)</w:t>
      </w:r>
    </w:p>
    <w:p>
      <w:pPr>
        <w:pStyle w:val="BlockText"/>
      </w:pPr>
      <w:r>
        <w:rPr>
          <w:iCs/>
          <w:i/>
        </w:rPr>
        <w:t xml:space="preserve">acchendrābrahmaṇaspatī havirnaḥ (Ṛ. saṃ. 2-24-12)</w:t>
      </w:r>
    </w:p>
    <w:p>
      <w:pPr>
        <w:pStyle w:val="FirstParagraph"/>
      </w:pPr>
      <w:r>
        <w:t xml:space="preserve">(</w:t>
      </w:r>
      <w:r>
        <w:t xml:space="preserve">“</w:t>
      </w:r>
      <w:r>
        <w:t xml:space="preserve">Towards our offering, Indra and Brahmaṇaspati</w:t>
      </w:r>
      <w:r>
        <w:t xml:space="preserve">”</w:t>
      </w:r>
      <w:r>
        <w:t xml:space="preserve">: mine and tentative.)</w:t>
      </w:r>
    </w:p>
    <w:bookmarkEnd w:id="777"/>
    <w:bookmarkStart w:id="778" w:name="page-711-rik-1-special-topics-continued"/>
    <w:p>
      <w:pPr>
        <w:pStyle w:val="Heading3"/>
      </w:pPr>
      <w:r>
        <w:t xml:space="preserve">Page 711 — Rik 1: Special Topics (continued)</w:t>
      </w:r>
    </w:p>
    <w:p>
      <w:pPr>
        <w:pStyle w:val="FirstParagraph"/>
      </w:pPr>
      <w:r>
        <w:rPr>
          <w:bCs/>
          <w:b/>
        </w:rPr>
        <w:t xml:space="preserve">इन्द्रापर्वता</w:t>
      </w:r>
      <w:r>
        <w:t xml:space="preserve"> </w:t>
      </w:r>
      <w:r>
        <w:t xml:space="preserve">(indra + parvata):</w:t>
      </w:r>
    </w:p>
    <w:p>
      <w:pPr>
        <w:pStyle w:val="BlockText"/>
      </w:pPr>
      <w:r>
        <w:t xml:space="preserve">इन्द्रापर्वता बृहता रथेन (Ṛ. saṃ. 3-53-1)</w:t>
      </w:r>
    </w:p>
    <w:p>
      <w:pPr>
        <w:pStyle w:val="BlockText"/>
      </w:pPr>
      <w:r>
        <w:rPr>
          <w:iCs/>
          <w:i/>
        </w:rPr>
        <w:t xml:space="preserve">indrāparvatā bṛhatā rathena (Ṛ. saṃ. 3-53-1)</w:t>
      </w:r>
    </w:p>
    <w:p>
      <w:pPr>
        <w:pStyle w:val="FirstParagraph"/>
      </w:pPr>
      <w:r>
        <w:t xml:space="preserve">(</w:t>
      </w:r>
      <w:r>
        <w:t xml:space="preserve">“</w:t>
      </w:r>
      <w:r>
        <w:t xml:space="preserve">Indra and Parvata, with your great chariot</w:t>
      </w:r>
      <w:r>
        <w:t xml:space="preserve">”</w:t>
      </w:r>
      <w:r>
        <w:t xml:space="preserve">: mine and tentative.)</w:t>
      </w:r>
    </w:p>
    <w:p>
      <w:pPr>
        <w:pStyle w:val="BodyText"/>
      </w:pPr>
      <w:r>
        <w:rPr>
          <w:bCs/>
          <w:b/>
        </w:rPr>
        <w:t xml:space="preserve">इन्द्राकुत्सा</w:t>
      </w:r>
      <w:r>
        <w:t xml:space="preserve"> </w:t>
      </w:r>
      <w:r>
        <w:t xml:space="preserve">(indra + kutsa):</w:t>
      </w:r>
    </w:p>
    <w:p>
      <w:pPr>
        <w:pStyle w:val="BlockText"/>
      </w:pPr>
      <w:r>
        <w:t xml:space="preserve">इन्द्राकुत्सा वहमाना रथेन (Ṛ. saṃ. 5-31-9)</w:t>
      </w:r>
    </w:p>
    <w:p>
      <w:pPr>
        <w:pStyle w:val="BlockText"/>
      </w:pPr>
      <w:r>
        <w:rPr>
          <w:iCs/>
          <w:i/>
        </w:rPr>
        <w:t xml:space="preserve">indrākutsā vahamānā rathena (Ṛ. saṃ. 5-31-9)</w:t>
      </w:r>
    </w:p>
    <w:p>
      <w:pPr>
        <w:pStyle w:val="FirstParagraph"/>
      </w:pPr>
      <w:r>
        <w:t xml:space="preserve">(</w:t>
      </w:r>
      <w:r>
        <w:t xml:space="preserve">“</w:t>
      </w:r>
      <w:r>
        <w:t xml:space="preserve">Indra and Kutsa, riding on the chariot</w:t>
      </w:r>
      <w:r>
        <w:t xml:space="preserve">”</w:t>
      </w:r>
      <w:r>
        <w:t xml:space="preserve">: mine and tentative.)</w:t>
      </w:r>
    </w:p>
    <w:p>
      <w:pPr>
        <w:pStyle w:val="BodyText"/>
      </w:pPr>
      <w:r>
        <w:rPr>
          <w:bCs/>
          <w:b/>
        </w:rPr>
        <w:t xml:space="preserve">इन्द्राविष्णू</w:t>
      </w:r>
      <w:r>
        <w:t xml:space="preserve"> </w:t>
      </w:r>
      <w:r>
        <w:t xml:space="preserve">(indra + viṣṇu):</w:t>
      </w:r>
    </w:p>
    <w:p>
      <w:pPr>
        <w:pStyle w:val="BlockText"/>
      </w:pPr>
      <w:r>
        <w:t xml:space="preserve">इन्द्राविष्णू दृंहिताः शम्बरस्य (Ṛ. saṃ. 7-99-5)</w:t>
      </w:r>
    </w:p>
    <w:p>
      <w:pPr>
        <w:pStyle w:val="BlockText"/>
      </w:pPr>
      <w:r>
        <w:rPr>
          <w:iCs/>
          <w:i/>
        </w:rPr>
        <w:t xml:space="preserve">indrāviṣṇū dṛṃhitāḥ śambarasya (Ṛ. saṃ. 7-99-5)</w:t>
      </w:r>
    </w:p>
    <w:p>
      <w:pPr>
        <w:pStyle w:val="FirstParagraph"/>
      </w:pPr>
      <w:r>
        <w:t xml:space="preserve">(</w:t>
      </w:r>
      <w:r>
        <w:t xml:space="preserve">“</w:t>
      </w:r>
      <w:r>
        <w:t xml:space="preserve">Indra and Viṣṇu, the strongholds of Śambara</w:t>
      </w:r>
      <w:r>
        <w:t xml:space="preserve">”</w:t>
      </w:r>
      <w:r>
        <w:t xml:space="preserve">: mine and tentative.)</w:t>
      </w:r>
    </w:p>
    <w:p>
      <w:pPr>
        <w:pStyle w:val="BodyText"/>
      </w:pPr>
      <w:r>
        <w:rPr>
          <w:bCs/>
          <w:b/>
        </w:rPr>
        <w:t xml:space="preserve">इन्द्रवायू</w:t>
      </w:r>
      <w:r>
        <w:t xml:space="preserve"> </w:t>
      </w:r>
      <w:r>
        <w:t xml:space="preserve">(indra + vāyu):</w:t>
      </w:r>
    </w:p>
    <w:p>
      <w:pPr>
        <w:pStyle w:val="BlockText"/>
      </w:pPr>
      <w:r>
        <w:t xml:space="preserve">इन्द्रवायू इमे सुताः (Ṛ. saṃ. 1-2-4)</w:t>
      </w:r>
    </w:p>
    <w:p>
      <w:pPr>
        <w:pStyle w:val="BlockText"/>
      </w:pPr>
      <w:r>
        <w:rPr>
          <w:iCs/>
          <w:i/>
        </w:rPr>
        <w:t xml:space="preserve">indravāyū ime sutāḥ (Ṛ. saṃ. 1-2-4)</w:t>
      </w:r>
    </w:p>
    <w:p>
      <w:pPr>
        <w:pStyle w:val="FirstParagraph"/>
      </w:pPr>
      <w:r>
        <w:t xml:space="preserve">(</w:t>
      </w:r>
      <w:r>
        <w:t xml:space="preserve">“</w:t>
      </w:r>
      <w:r>
        <w:t xml:space="preserve">Indra and Vāyu, these [soma juices] are pressed</w:t>
      </w:r>
      <w:r>
        <w:t xml:space="preserve">”</w:t>
      </w:r>
      <w:r>
        <w:t xml:space="preserve">: mine and tentative.)</w:t>
      </w:r>
    </w:p>
    <w:p>
      <w:pPr>
        <w:pStyle w:val="BodyText"/>
      </w:pPr>
      <w:r>
        <w:rPr>
          <w:bCs/>
          <w:b/>
        </w:rPr>
        <w:t xml:space="preserve">मित्रावरुणा</w:t>
      </w:r>
      <w:r>
        <w:t xml:space="preserve"> </w:t>
      </w:r>
      <w:r>
        <w:t xml:space="preserve">(mitra + varuṇa):</w:t>
      </w:r>
    </w:p>
    <w:p>
      <w:pPr>
        <w:pStyle w:val="BlockText"/>
      </w:pPr>
      <w:r>
        <w:t xml:space="preserve">आ नो मित्रावरुणा (Ṛ. saṃ. 3-62-16)</w:t>
      </w:r>
    </w:p>
    <w:p>
      <w:pPr>
        <w:pStyle w:val="BlockText"/>
      </w:pPr>
      <w:r>
        <w:rPr>
          <w:iCs/>
          <w:i/>
        </w:rPr>
        <w:t xml:space="preserve">ā no mitrāvaruṇā (Ṛ. saṃ. 3-62-16)</w:t>
      </w:r>
    </w:p>
    <w:p>
      <w:pPr>
        <w:pStyle w:val="FirstParagraph"/>
      </w:pPr>
      <w:r>
        <w:t xml:space="preserve">(</w:t>
      </w:r>
      <w:r>
        <w:t xml:space="preserve">“</w:t>
      </w:r>
      <w:r>
        <w:t xml:space="preserve">[Come] to us, Mitra and Varuṇa</w:t>
      </w:r>
      <w:r>
        <w:t xml:space="preserve">”</w:t>
      </w:r>
      <w:r>
        <w:t xml:space="preserve">: mine and tentative.)</w:t>
      </w:r>
    </w:p>
    <w:p>
      <w:pPr>
        <w:pStyle w:val="BodyText"/>
      </w:pPr>
      <w:r>
        <w:rPr>
          <w:bCs/>
          <w:b/>
        </w:rPr>
        <w:t xml:space="preserve">सोमापूषणा</w:t>
      </w:r>
      <w:r>
        <w:t xml:space="preserve"> </w:t>
      </w:r>
      <w:r>
        <w:t xml:space="preserve">(soma + pūṣan):</w:t>
      </w:r>
    </w:p>
    <w:p>
      <w:pPr>
        <w:pStyle w:val="BlockText"/>
      </w:pPr>
      <w:r>
        <w:t xml:space="preserve">सोमापूषणा जनना रयीणाम् (Ṛ. saṃ. 2-40-1)</w:t>
      </w:r>
    </w:p>
    <w:p>
      <w:pPr>
        <w:pStyle w:val="BlockText"/>
      </w:pPr>
      <w:r>
        <w:rPr>
          <w:iCs/>
          <w:i/>
        </w:rPr>
        <w:t xml:space="preserve">somāpūṣaṇā jananā rayīṇām (Ṛ. saṃ. 2-40-1)</w:t>
      </w:r>
    </w:p>
    <w:p>
      <w:pPr>
        <w:pStyle w:val="FirstParagraph"/>
      </w:pPr>
      <w:r>
        <w:t xml:space="preserve">(</w:t>
      </w:r>
      <w:r>
        <w:t xml:space="preserve">“</w:t>
      </w:r>
      <w:r>
        <w:t xml:space="preserve">Soma and Pūṣan, begetters of riches</w:t>
      </w:r>
      <w:r>
        <w:t xml:space="preserve">”</w:t>
      </w:r>
      <w:r>
        <w:t xml:space="preserve">: mine and tentative.)</w:t>
      </w:r>
    </w:p>
    <w:p>
      <w:pPr>
        <w:pStyle w:val="BodyText"/>
      </w:pPr>
      <w:r>
        <w:rPr>
          <w:bCs/>
          <w:b/>
        </w:rPr>
        <w:t xml:space="preserve">सोमारुद्रा</w:t>
      </w:r>
      <w:r>
        <w:t xml:space="preserve"> </w:t>
      </w:r>
      <w:r>
        <w:t xml:space="preserve">(soma + rudra):</w:t>
      </w:r>
    </w:p>
    <w:p>
      <w:pPr>
        <w:pStyle w:val="BlockText"/>
      </w:pPr>
      <w:r>
        <w:t xml:space="preserve">सोमारुद्रा युवमेतान्यस्मे (Ṛ. saṃ. 6-74-3)</w:t>
      </w:r>
    </w:p>
    <w:p>
      <w:pPr>
        <w:pStyle w:val="BlockText"/>
      </w:pPr>
      <w:r>
        <w:rPr>
          <w:iCs/>
          <w:i/>
        </w:rPr>
        <w:t xml:space="preserve">somārudrā yuvametānyasme (Ṛ. saṃ. 6-74-3)</w:t>
      </w:r>
    </w:p>
    <w:p>
      <w:pPr>
        <w:pStyle w:val="FirstParagraph"/>
      </w:pPr>
      <w:r>
        <w:t xml:space="preserve">(</w:t>
      </w:r>
      <w:r>
        <w:t xml:space="preserve">“</w:t>
      </w:r>
      <w:r>
        <w:t xml:space="preserve">Soma and Rudra, you two, these [remedies] for us</w:t>
      </w:r>
      <w:r>
        <w:t xml:space="preserve">”</w:t>
      </w:r>
      <w:r>
        <w:t xml:space="preserve">: mine and tentative.)</w:t>
      </w:r>
    </w:p>
    <w:p>
      <w:pPr>
        <w:pStyle w:val="BodyText"/>
      </w:pPr>
      <w:r>
        <w:rPr>
          <w:bCs/>
          <w:b/>
        </w:rPr>
        <w:t xml:space="preserve">वातापर्जन्या</w:t>
      </w:r>
      <w:r>
        <w:t xml:space="preserve"> </w:t>
      </w:r>
      <w:r>
        <w:t xml:space="preserve">(vāta + parjanya):</w:t>
      </w:r>
    </w:p>
    <w:p>
      <w:pPr>
        <w:pStyle w:val="BlockText"/>
      </w:pPr>
      <w:r>
        <w:t xml:space="preserve">धर्तारो दिव ऋभवः सुहस्ता वातापर्जन्या महिषस्य तन्यतोः (Ṛ. saṃ. 10-66-10)</w:t>
      </w:r>
    </w:p>
    <w:p>
      <w:pPr>
        <w:pStyle w:val="BlockText"/>
      </w:pPr>
      <w:r>
        <w:rPr>
          <w:iCs/>
          <w:i/>
        </w:rPr>
        <w:t xml:space="preserve">dhartāro diva ṛbhavaḥ suhastā vātāparjanyā mahiṣasya tanyatoḥ (Ṛ. saṃ. 10-66-10)</w:t>
      </w:r>
    </w:p>
    <w:p>
      <w:pPr>
        <w:pStyle w:val="FirstParagraph"/>
      </w:pPr>
      <w:r>
        <w:t xml:space="preserve">(</w:t>
      </w:r>
      <w:r>
        <w:t xml:space="preserve">“</w:t>
      </w:r>
      <w:r>
        <w:t xml:space="preserve">The upholders of heaven, the skilful-handed Ṛbhus, Vāta and Parjanya of the roaring buffalo [thunder]</w:t>
      </w:r>
      <w:r>
        <w:t xml:space="preserve">”</w:t>
      </w:r>
      <w:r>
        <w:t xml:space="preserve">: mine and tentative.)</w:t>
      </w:r>
    </w:p>
    <w:p>
      <w:pPr>
        <w:pStyle w:val="BodyText"/>
      </w:pPr>
      <w:r>
        <w:rPr>
          <w:bCs/>
          <w:b/>
        </w:rPr>
        <w:t xml:space="preserve">अग्नीषोमौ</w:t>
      </w:r>
      <w:r>
        <w:t xml:space="preserve"> </w:t>
      </w:r>
      <w:r>
        <w:t xml:space="preserve">(agni + soma):</w:t>
      </w:r>
    </w:p>
    <w:p>
      <w:pPr>
        <w:pStyle w:val="BlockText"/>
      </w:pPr>
      <w:r>
        <w:t xml:space="preserve">अग्नीषोमाविमं सु मे (Ṛ. saṃ. 1-93-1)</w:t>
      </w:r>
    </w:p>
    <w:p>
      <w:pPr>
        <w:pStyle w:val="BlockText"/>
      </w:pPr>
      <w:r>
        <w:rPr>
          <w:iCs/>
          <w:i/>
        </w:rPr>
        <w:t xml:space="preserve">agnīṣomāvimaṃ su me (Ṛ. saṃ. 1-93-1)</w:t>
      </w:r>
    </w:p>
    <w:p>
      <w:pPr>
        <w:pStyle w:val="FirstParagraph"/>
      </w:pPr>
      <w:r>
        <w:t xml:space="preserve">(</w:t>
      </w:r>
      <w:r>
        <w:t xml:space="preserve">“</w:t>
      </w:r>
      <w:r>
        <w:t xml:space="preserve">Agni and Soma, [hear] well this [call] of mine</w:t>
      </w:r>
      <w:r>
        <w:t xml:space="preserve">”</w:t>
      </w:r>
      <w:r>
        <w:t xml:space="preserve">: mine and tentative.)</w:t>
      </w:r>
    </w:p>
    <w:p>
      <w:pPr>
        <w:pStyle w:val="BodyText"/>
      </w:pPr>
      <w:r>
        <w:rPr>
          <w:bCs/>
          <w:b/>
        </w:rPr>
        <w:t xml:space="preserve">अग्नीपर्जन्या</w:t>
      </w:r>
      <w:r>
        <w:t xml:space="preserve"> </w:t>
      </w:r>
      <w:r>
        <w:t xml:space="preserve">(agni + parjanya):</w:t>
      </w:r>
    </w:p>
    <w:p>
      <w:pPr>
        <w:pStyle w:val="BlockText"/>
      </w:pPr>
      <w:r>
        <w:t xml:space="preserve">अग्नीपर्जन्याववतं धियं मे (Ṛ. saṃ. 6-52-16)</w:t>
      </w:r>
    </w:p>
    <w:p>
      <w:pPr>
        <w:pStyle w:val="BlockText"/>
      </w:pPr>
      <w:r>
        <w:rPr>
          <w:iCs/>
          <w:i/>
        </w:rPr>
        <w:t xml:space="preserve">agnīparjanyāvavataṃ dhiyaṃ me (Ṛ. saṃ. 6-52-16)</w:t>
      </w:r>
    </w:p>
    <w:p>
      <w:pPr>
        <w:pStyle w:val="FirstParagraph"/>
      </w:pPr>
      <w:r>
        <w:t xml:space="preserve">(</w:t>
      </w:r>
      <w:r>
        <w:t xml:space="preserve">“</w:t>
      </w:r>
      <w:r>
        <w:t xml:space="preserve">Agni and Parjanya, favour my prayer</w:t>
      </w:r>
      <w:r>
        <w:t xml:space="preserve">”</w:t>
      </w:r>
      <w:r>
        <w:t xml:space="preserve">: mine and tentative.)</w:t>
      </w:r>
    </w:p>
    <w:p>
      <w:pPr>
        <w:pStyle w:val="BodyText"/>
      </w:pPr>
      <w:r>
        <w:rPr>
          <w:bCs/>
          <w:b/>
        </w:rPr>
        <w:t xml:space="preserve">अग्नाविष्णू</w:t>
      </w:r>
      <w:r>
        <w:t xml:space="preserve"> </w:t>
      </w:r>
      <w:r>
        <w:t xml:space="preserve">(agni + viṣṇu):</w:t>
      </w:r>
    </w:p>
    <w:p>
      <w:pPr>
        <w:pStyle w:val="BlockText"/>
      </w:pPr>
      <w:r>
        <w:t xml:space="preserve">अग्नाविष्णू सजोषसा (Tai. saṃ. 4-7-1)</w:t>
      </w:r>
    </w:p>
    <w:p>
      <w:pPr>
        <w:pStyle w:val="BlockText"/>
      </w:pPr>
      <w:r>
        <w:rPr>
          <w:iCs/>
          <w:i/>
        </w:rPr>
        <w:t xml:space="preserve">agnāviṣṇū sajoṣasā (Tai. saṃ. 4-7-1)</w:t>
      </w:r>
    </w:p>
    <w:p>
      <w:pPr>
        <w:pStyle w:val="FirstParagraph"/>
      </w:pPr>
      <w:r>
        <w:t xml:space="preserve">(</w:t>
      </w:r>
      <w:r>
        <w:t xml:space="preserve">“</w:t>
      </w:r>
      <w:r>
        <w:t xml:space="preserve">Agni and Viṣṇu, of one accord</w:t>
      </w:r>
      <w:r>
        <w:t xml:space="preserve">”</w:t>
      </w:r>
      <w:r>
        <w:t xml:space="preserve">: mine and tentative.)</w:t>
      </w:r>
    </w:p>
    <w:p>
      <w:pPr>
        <w:pStyle w:val="BodyText"/>
      </w:pPr>
      <w:r>
        <w:t xml:space="preserve">Such</w:t>
      </w:r>
      <w:r>
        <w:t xml:space="preserve"> </w:t>
      </w:r>
      <w:r>
        <w:rPr>
          <w:iCs/>
          <w:i/>
        </w:rPr>
        <w:t xml:space="preserve">saṃstava</w:t>
      </w:r>
      <w:r>
        <w:t xml:space="preserve"> </w:t>
      </w:r>
      <w:r>
        <w:t xml:space="preserve">mantras are many in the Ṛgveda. There are also many ṛks in which, in naming a pair of deities, the dual is not used, but the singular is used for each separately. For example:</w:t>
      </w:r>
    </w:p>
    <w:p>
      <w:pPr>
        <w:pStyle w:val="BlockText"/>
      </w:pPr>
      <w:r>
        <w:t xml:space="preserve">अग्न इन्द्रश्च दाशुषे दुरोणे (Ṛ. saṃ. 3-25-4)</w:t>
      </w:r>
    </w:p>
    <w:p>
      <w:pPr>
        <w:pStyle w:val="BlockText"/>
      </w:pPr>
      <w:r>
        <w:rPr>
          <w:iCs/>
          <w:i/>
        </w:rPr>
        <w:t xml:space="preserve">agna indraśca dāśuṣe duroṇe (Ṛ. saṃ. 3-25-4)</w:t>
      </w:r>
    </w:p>
    <w:p>
      <w:pPr>
        <w:pStyle w:val="FirstParagraph"/>
      </w:pPr>
      <w:r>
        <w:t xml:space="preserve">(</w:t>
      </w:r>
      <w:r>
        <w:t xml:space="preserve">“</w:t>
      </w:r>
      <w:r>
        <w:t xml:space="preserve">Agni, and Indra, in the house of the worshipper</w:t>
      </w:r>
      <w:r>
        <w:t xml:space="preserve">”</w:t>
      </w:r>
      <w:r>
        <w:t xml:space="preserve">: mine and tentative.)</w:t>
      </w:r>
    </w:p>
    <w:p>
      <w:pPr>
        <w:pStyle w:val="BlockText"/>
      </w:pPr>
      <w:r>
        <w:t xml:space="preserve">त्वं नो अग्ने वरुणस्य विद्वान् (Ṛ. saṃ. 4-1-4)</w:t>
      </w:r>
    </w:p>
    <w:p>
      <w:pPr>
        <w:pStyle w:val="BlockText"/>
      </w:pPr>
      <w:r>
        <w:rPr>
          <w:iCs/>
          <w:i/>
        </w:rPr>
        <w:t xml:space="preserve">tvaṃ no agne varuṇasya vidvān (Ṛ. saṃ. 4-1-4)</w:t>
      </w:r>
    </w:p>
    <w:p>
      <w:pPr>
        <w:pStyle w:val="FirstParagraph"/>
      </w:pPr>
      <w:r>
        <w:t xml:space="preserve">(</w:t>
      </w:r>
      <w:r>
        <w:t xml:space="preserve">“</w:t>
      </w:r>
      <w:r>
        <w:t xml:space="preserve">You, Agni, knowing Varuṇa, [for] us</w:t>
      </w:r>
      <w:r>
        <w:t xml:space="preserve">”</w:t>
      </w:r>
      <w:r>
        <w:t xml:space="preserve">: mine and tentative.)</w:t>
      </w:r>
    </w:p>
    <w:p>
      <w:pPr>
        <w:pStyle w:val="BlockText"/>
      </w:pPr>
      <w:r>
        <w:t xml:space="preserve">मरुतः पिबत ऋतुना (Ṛ. saṃ. 1-15-2)</w:t>
      </w:r>
    </w:p>
    <w:p>
      <w:pPr>
        <w:pStyle w:val="BlockText"/>
      </w:pPr>
      <w:r>
        <w:rPr>
          <w:iCs/>
          <w:i/>
        </w:rPr>
        <w:t xml:space="preserve">marutaḥ pibata ṛtunā (Ṛ. saṃ. 1-15-2)</w:t>
      </w:r>
    </w:p>
    <w:p>
      <w:pPr>
        <w:pStyle w:val="FirstParagraph"/>
      </w:pPr>
      <w:r>
        <w:t xml:space="preserve">(</w:t>
      </w:r>
      <w:r>
        <w:t xml:space="preserve">“</w:t>
      </w:r>
      <w:r>
        <w:t xml:space="preserve">Maruts, drink with the season</w:t>
      </w:r>
      <w:r>
        <w:t xml:space="preserve">”</w:t>
      </w:r>
      <w:r>
        <w:t xml:space="preserve">: mine and tentative.)</w:t>
      </w:r>
    </w:p>
    <w:bookmarkEnd w:id="778"/>
    <w:bookmarkStart w:id="779" w:name="X5e43e03e72f9fc71310f720b5252b326975a602"/>
    <w:p>
      <w:pPr>
        <w:pStyle w:val="Heading3"/>
      </w:pPr>
      <w:r>
        <w:t xml:space="preserve">Page 712 — Rik 1: Special Topics (end) and grammar</w:t>
      </w:r>
    </w:p>
    <w:p>
      <w:pPr>
        <w:pStyle w:val="FirstParagraph"/>
      </w:pPr>
      <w:r>
        <w:t xml:space="preserve">and so on. In these ṛks, though the pairs of deities Agni + Indra, Agni + Varuṇa and the Maruts + Ṛtu are named, the dual is not used; the deities are named each separately, in the singular.</w:t>
      </w:r>
    </w:p>
    <w:p>
      <w:pPr>
        <w:pStyle w:val="BodyText"/>
      </w:pPr>
      <w:r>
        <w:rPr>
          <w:bCs/>
          <w:b/>
        </w:rPr>
        <w:t xml:space="preserve">॥ Vyākaraṇa-prakriyā ॥</w:t>
      </w:r>
      <w:r>
        <w:t xml:space="preserve"> </w:t>
      </w:r>
      <w:r>
        <w:rPr>
          <w:iCs/>
          <w:i/>
        </w:rPr>
        <w:t xml:space="preserve">(grammar pages 712–714, noted briefly)</w:t>
      </w:r>
    </w:p>
    <w:p>
      <w:pPr>
        <w:pStyle w:val="BodyText"/>
      </w:pPr>
      <w:r>
        <w:rPr>
          <w:bCs/>
          <w:b/>
        </w:rPr>
        <w:t xml:space="preserve">इन्द्रावरुणयोः (</w:t>
      </w:r>
      <w:r>
        <w:rPr>
          <w:iCs/>
          <w:i/>
          <w:bCs/>
          <w:b/>
        </w:rPr>
        <w:t xml:space="preserve">indrāvaruṇayoḥ</w:t>
      </w:r>
      <w:r>
        <w:rPr>
          <w:bCs/>
          <w:b/>
        </w:rPr>
        <w:t xml:space="preserve">)</w:t>
      </w:r>
      <w:r>
        <w:t xml:space="preserve">: the</w:t>
      </w:r>
      <w:r>
        <w:t xml:space="preserve"> </w:t>
      </w:r>
      <w:r>
        <w:rPr>
          <w:iCs/>
          <w:i/>
        </w:rPr>
        <w:t xml:space="preserve">dvandva</w:t>
      </w:r>
      <w:r>
        <w:t xml:space="preserve"> </w:t>
      </w:r>
      <w:r>
        <w:t xml:space="preserve">compound</w:t>
      </w:r>
      <w:r>
        <w:t xml:space="preserve"> </w:t>
      </w:r>
      <w:r>
        <w:rPr>
          <w:iCs/>
          <w:i/>
        </w:rPr>
        <w:t xml:space="preserve">indraś ca varuṇaś ca indrāvaruṇau, tayoḥ</w:t>
      </w:r>
      <w:r>
        <w:t xml:space="preserve">. After the root</w:t>
      </w:r>
      <w:r>
        <w:t xml:space="preserve"> </w:t>
      </w:r>
      <w:r>
        <w:rPr>
          <w:iCs/>
          <w:i/>
        </w:rPr>
        <w:t xml:space="preserve">idi paramaiśvarye</w:t>
      </w:r>
      <w:r>
        <w:t xml:space="preserve"> </w:t>
      </w:r>
      <w:r>
        <w:t xml:space="preserve">the suffix</w:t>
      </w:r>
      <w:r>
        <w:t xml:space="preserve"> </w:t>
      </w:r>
      <w:r>
        <w:rPr>
          <w:iCs/>
          <w:i/>
        </w:rPr>
        <w:t xml:space="preserve">ran</w:t>
      </w:r>
      <w:r>
        <w:t xml:space="preserve"> </w:t>
      </w:r>
      <w:r>
        <w:t xml:space="preserve">by</w:t>
      </w:r>
      <w:r>
        <w:t xml:space="preserve"> </w:t>
      </w:r>
      <w:r>
        <w:t xml:space="preserve">“</w:t>
      </w:r>
      <w:r>
        <w:t xml:space="preserve">ṛjrendrāgra…</w:t>
      </w:r>
      <w:r>
        <w:t xml:space="preserve">”</w:t>
      </w:r>
      <w:r>
        <w:t xml:space="preserve"> </w:t>
      </w:r>
      <w:r>
        <w:t xml:space="preserve">(Uṇ. sū. 2-186); the root being</w:t>
      </w:r>
      <w:r>
        <w:t xml:space="preserve"> </w:t>
      </w:r>
      <w:r>
        <w:rPr>
          <w:iCs/>
          <w:i/>
        </w:rPr>
        <w:t xml:space="preserve">idit</w:t>
      </w:r>
      <w:r>
        <w:t xml:space="preserve">, the augment</w:t>
      </w:r>
      <w:r>
        <w:t xml:space="preserve"> </w:t>
      </w:r>
      <w:r>
        <w:rPr>
          <w:iCs/>
          <w:i/>
        </w:rPr>
        <w:t xml:space="preserve">num</w:t>
      </w:r>
      <w:r>
        <w:t xml:space="preserve"> </w:t>
      </w:r>
      <w:r>
        <w:t xml:space="preserve">by</w:t>
      </w:r>
      <w:r>
        <w:t xml:space="preserve"> </w:t>
      </w:r>
      <w:r>
        <w:t xml:space="preserve">“</w:t>
      </w:r>
      <w:r>
        <w:t xml:space="preserve">idito num dhātoḥ</w:t>
      </w:r>
      <w:r>
        <w:t xml:space="preserve">”</w:t>
      </w:r>
      <w:r>
        <w:t xml:space="preserve"> </w:t>
      </w:r>
      <w:r>
        <w:t xml:space="preserve">(Pā. sū. 7-1-58):</w:t>
      </w:r>
      <w:r>
        <w:t xml:space="preserve"> </w:t>
      </w:r>
      <w:r>
        <w:rPr>
          <w:iCs/>
          <w:i/>
        </w:rPr>
        <w:t xml:space="preserve">indra</w:t>
      </w:r>
      <w:r>
        <w:t xml:space="preserve">. By</w:t>
      </w:r>
      <w:r>
        <w:t xml:space="preserve"> </w:t>
      </w:r>
      <w:r>
        <w:t xml:space="preserve">“</w:t>
      </w:r>
      <w:r>
        <w:t xml:space="preserve">kṝvṝdāribhya unan</w:t>
      </w:r>
      <w:r>
        <w:t xml:space="preserve">”</w:t>
      </w:r>
      <w:r>
        <w:t xml:space="preserve"> </w:t>
      </w:r>
      <w:r>
        <w:t xml:space="preserve">(Uṇ. sū.</w:t>
      </w:r>
      <w:r>
        <w:t xml:space="preserve"> </w:t>
      </w:r>
      <w:r>
        <w:t xml:space="preserve">“</w:t>
      </w:r>
      <w:r>
        <w:t xml:space="preserve">3-333</w:t>
      </w:r>
      <w:r>
        <w:t xml:space="preserve">”</w:t>
      </w:r>
      <w:r>
        <w:t xml:space="preserve"> </w:t>
      </w:r>
      <w:r>
        <w:t xml:space="preserve">[as read; ?]) the suffix</w:t>
      </w:r>
      <w:r>
        <w:t xml:space="preserve"> </w:t>
      </w:r>
      <w:r>
        <w:rPr>
          <w:iCs/>
          <w:i/>
        </w:rPr>
        <w:t xml:space="preserve">unan</w:t>
      </w:r>
      <w:r>
        <w:t xml:space="preserve"> </w:t>
      </w:r>
      <w:r>
        <w:t xml:space="preserve">comes after</w:t>
      </w:r>
      <w:r>
        <w:t xml:space="preserve"> </w:t>
      </w:r>
      <w:r>
        <w:rPr>
          <w:iCs/>
          <w:i/>
        </w:rPr>
        <w:t xml:space="preserve">kṝ vikṣepe</w:t>
      </w:r>
      <w:r>
        <w:t xml:space="preserve">,</w:t>
      </w:r>
      <w:r>
        <w:t xml:space="preserve"> </w:t>
      </w:r>
      <w:r>
        <w:rPr>
          <w:iCs/>
          <w:i/>
        </w:rPr>
        <w:t xml:space="preserve">vṛñ varaṇe</w:t>
      </w:r>
      <w:r>
        <w:t xml:space="preserve"> </w:t>
      </w:r>
      <w:r>
        <w:t xml:space="preserve">and</w:t>
      </w:r>
      <w:r>
        <w:t xml:space="preserve"> </w:t>
      </w:r>
      <w:r>
        <w:rPr>
          <w:iCs/>
          <w:i/>
        </w:rPr>
        <w:t xml:space="preserve">dṝ vidāraṇe</w:t>
      </w:r>
      <w:r>
        <w:t xml:space="preserve">; so after the root</w:t>
      </w:r>
      <w:r>
        <w:t xml:space="preserve"> </w:t>
      </w:r>
      <w:r>
        <w:rPr>
          <w:iCs/>
          <w:i/>
        </w:rPr>
        <w:t xml:space="preserve">vṛñ</w:t>
      </w:r>
      <w:r>
        <w:t xml:space="preserve">,</w:t>
      </w:r>
      <w:r>
        <w:t xml:space="preserve"> </w:t>
      </w:r>
      <w:r>
        <w:rPr>
          <w:iCs/>
          <w:i/>
        </w:rPr>
        <w:t xml:space="preserve">unan</w:t>
      </w:r>
      <w:r>
        <w:t xml:space="preserve">:</w:t>
      </w:r>
      <w:r>
        <w:t xml:space="preserve"> </w:t>
      </w:r>
      <w:r>
        <w:rPr>
          <w:iCs/>
          <w:i/>
        </w:rPr>
        <w:t xml:space="preserve">vṛ</w:t>
      </w:r>
      <w:r>
        <w:t xml:space="preserve"> </w:t>
      </w:r>
      <w:r>
        <w:t xml:space="preserve">+</w:t>
      </w:r>
      <w:r>
        <w:t xml:space="preserve"> </w:t>
      </w:r>
      <w:r>
        <w:rPr>
          <w:iCs/>
          <w:i/>
        </w:rPr>
        <w:t xml:space="preserve">una</w:t>
      </w:r>
      <w:r>
        <w:t xml:space="preserve">;</w:t>
      </w:r>
      <w:r>
        <w:t xml:space="preserve"> </w:t>
      </w:r>
      <w:r>
        <w:rPr>
          <w:iCs/>
          <w:i/>
        </w:rPr>
        <w:t xml:space="preserve">guṇa</w:t>
      </w:r>
      <w:r>
        <w:t xml:space="preserve"> </w:t>
      </w:r>
      <w:r>
        <w:t xml:space="preserve">by</w:t>
      </w:r>
      <w:r>
        <w:t xml:space="preserve"> </w:t>
      </w:r>
      <w:r>
        <w:t xml:space="preserve">“</w:t>
      </w:r>
      <w:r>
        <w:t xml:space="preserve">sārvadhātukārdhadhātukayoḥ</w:t>
      </w:r>
      <w:r>
        <w:t xml:space="preserve">”</w:t>
      </w:r>
      <w:r>
        <w:t xml:space="preserve"> </w:t>
      </w:r>
      <w:r>
        <w:t xml:space="preserve">(Pā. sū. 7-3-84), followed by</w:t>
      </w:r>
      <w:r>
        <w:t xml:space="preserve"> </w:t>
      </w:r>
      <w:r>
        <w:rPr>
          <w:iCs/>
          <w:i/>
        </w:rPr>
        <w:t xml:space="preserve">r</w:t>
      </w:r>
      <w:r>
        <w:t xml:space="preserve"> </w:t>
      </w:r>
      <w:r>
        <w:t xml:space="preserve">by</w:t>
      </w:r>
      <w:r>
        <w:t xml:space="preserve"> </w:t>
      </w:r>
      <w:r>
        <w:t xml:space="preserve">“</w:t>
      </w:r>
      <w:r>
        <w:t xml:space="preserve">uraṇ raparaḥ</w:t>
      </w:r>
      <w:r>
        <w:t xml:space="preserve">”</w:t>
      </w:r>
      <w:r>
        <w:t xml:space="preserve"> </w:t>
      </w:r>
      <w:r>
        <w:t xml:space="preserve">(Pā. sū. 1-1-51):</w:t>
      </w:r>
      <w:r>
        <w:t xml:space="preserve"> </w:t>
      </w:r>
      <w:r>
        <w:rPr>
          <w:iCs/>
          <w:i/>
        </w:rPr>
        <w:t xml:space="preserve">varuna</w:t>
      </w:r>
      <w:r>
        <w:t xml:space="preserve">; by</w:t>
      </w:r>
      <w:r>
        <w:t xml:space="preserve"> </w:t>
      </w:r>
      <w:r>
        <w:t xml:space="preserve">“</w:t>
      </w:r>
      <w:r>
        <w:t xml:space="preserve">aṭkupvāṅnumvyavāye ’pi</w:t>
      </w:r>
      <w:r>
        <w:t xml:space="preserve">”</w:t>
      </w:r>
      <w:r>
        <w:t xml:space="preserve"> </w:t>
      </w:r>
      <w:r>
        <w:t xml:space="preserve">(Pā. sū. 8-4-2)</w:t>
      </w:r>
      <w:r>
        <w:t xml:space="preserve"> </w:t>
      </w:r>
      <w:r>
        <w:rPr>
          <w:iCs/>
          <w:i/>
        </w:rPr>
        <w:t xml:space="preserve">ṇ</w:t>
      </w:r>
      <w:r>
        <w:t xml:space="preserve"> </w:t>
      </w:r>
      <w:r>
        <w:t xml:space="preserve">for</w:t>
      </w:r>
      <w:r>
        <w:t xml:space="preserve"> </w:t>
      </w:r>
      <w:r>
        <w:rPr>
          <w:iCs/>
          <w:i/>
        </w:rPr>
        <w:t xml:space="preserve">n</w:t>
      </w:r>
      <w:r>
        <w:t xml:space="preserve">:</w:t>
      </w:r>
      <w:r>
        <w:t xml:space="preserve"> </w:t>
      </w:r>
      <w:r>
        <w:rPr>
          <w:iCs/>
          <w:i/>
        </w:rPr>
        <w:t xml:space="preserve">varuṇa</w:t>
      </w:r>
      <w:r>
        <w:t xml:space="preserve">. Both words end in a suffix with</w:t>
      </w:r>
      <w:r>
        <w:t xml:space="preserve"> </w:t>
      </w:r>
      <w:r>
        <w:rPr>
          <w:iCs/>
          <w:i/>
        </w:rPr>
        <w:t xml:space="preserve">n</w:t>
      </w:r>
      <w:r>
        <w:t xml:space="preserve"> </w:t>
      </w:r>
      <w:r>
        <w:t xml:space="preserve">as</w:t>
      </w:r>
      <w:r>
        <w:t xml:space="preserve"> </w:t>
      </w:r>
      <w:r>
        <w:rPr>
          <w:iCs/>
          <w:i/>
        </w:rPr>
        <w:t xml:space="preserve">it</w:t>
      </w:r>
      <w:r>
        <w:t xml:space="preserve">; so both are initial udātta by</w:t>
      </w:r>
      <w:r>
        <w:t xml:space="preserve"> </w:t>
      </w:r>
      <w:r>
        <w:t xml:space="preserve">“</w:t>
      </w:r>
      <w:r>
        <w:t xml:space="preserve">ñnityādir nityam</w:t>
      </w:r>
      <w:r>
        <w:t xml:space="preserve">”</w:t>
      </w:r>
      <w:r>
        <w:t xml:space="preserve"> </w:t>
      </w:r>
      <w:r>
        <w:t xml:space="preserve">(Pā. sū. 6-1-197). In their</w:t>
      </w:r>
      <w:r>
        <w:t xml:space="preserve"> </w:t>
      </w:r>
      <w:r>
        <w:rPr>
          <w:iCs/>
          <w:i/>
        </w:rPr>
        <w:t xml:space="preserve">dvandva</w:t>
      </w:r>
      <w:r>
        <w:t xml:space="preserve">, by</w:t>
      </w:r>
      <w:r>
        <w:t xml:space="preserve"> </w:t>
      </w:r>
      <w:r>
        <w:t xml:space="preserve">“</w:t>
      </w:r>
      <w:r>
        <w:t xml:space="preserve">devatādvandve ca</w:t>
      </w:r>
      <w:r>
        <w:t xml:space="preserve">”</w:t>
      </w:r>
      <w:r>
        <w:t xml:space="preserve"> </w:t>
      </w:r>
      <w:r>
        <w:t xml:space="preserve">(Pā. sū. 6-3-26), in a</w:t>
      </w:r>
      <w:r>
        <w:t xml:space="preserve"> </w:t>
      </w:r>
      <w:r>
        <w:rPr>
          <w:iCs/>
          <w:i/>
        </w:rPr>
        <w:t xml:space="preserve">dvandva</w:t>
      </w:r>
      <w:r>
        <w:t xml:space="preserve"> </w:t>
      </w:r>
      <w:r>
        <w:t xml:space="preserve">of two words naming deities, the first member takes the substitute</w:t>
      </w:r>
      <w:r>
        <w:t xml:space="preserve"> </w:t>
      </w:r>
      <w:r>
        <w:rPr>
          <w:iCs/>
          <w:i/>
        </w:rPr>
        <w:t xml:space="preserve">ānaṅ</w:t>
      </w:r>
      <w:r>
        <w:t xml:space="preserve"> </w:t>
      </w:r>
      <w:r>
        <w:t xml:space="preserve">when the second follows; being</w:t>
      </w:r>
      <w:r>
        <w:t xml:space="preserve"> </w:t>
      </w:r>
      <w:r>
        <w:rPr>
          <w:iCs/>
          <w:i/>
        </w:rPr>
        <w:t xml:space="preserve">ṅit</w:t>
      </w:r>
      <w:r>
        <w:t xml:space="preserve">, it replaces the final by</w:t>
      </w:r>
      <w:r>
        <w:t xml:space="preserve"> </w:t>
      </w:r>
      <w:r>
        <w:t xml:space="preserve">“</w:t>
      </w:r>
      <w:r>
        <w:t xml:space="preserve">ṅic ca</w:t>
      </w:r>
      <w:r>
        <w:t xml:space="preserve">”</w:t>
      </w:r>
      <w:r>
        <w:t xml:space="preserve"> </w:t>
      </w:r>
      <w:r>
        <w:t xml:space="preserve">(Pā. sū. 1-1-53); the</w:t>
      </w:r>
      <w:r>
        <w:t xml:space="preserve"> </w:t>
      </w:r>
      <w:r>
        <w:rPr>
          <w:iCs/>
          <w:i/>
        </w:rPr>
        <w:t xml:space="preserve">n</w:t>
      </w:r>
      <w:r>
        <w:t xml:space="preserve"> </w:t>
      </w:r>
      <w:r>
        <w:t xml:space="preserve">is dropped by</w:t>
      </w:r>
      <w:r>
        <w:t xml:space="preserve"> </w:t>
      </w:r>
      <w:r>
        <w:t xml:space="preserve">“</w:t>
      </w:r>
      <w:r>
        <w:t xml:space="preserve">nalopaḥ prātipadikāntasya</w:t>
      </w:r>
      <w:r>
        <w:t xml:space="preserve">”</w:t>
      </w:r>
      <w:r>
        <w:t xml:space="preserve"> </w:t>
      </w:r>
      <w:r>
        <w:t xml:space="preserve">(Pā. sū. 8-2-7). In</w:t>
      </w:r>
      <w:r>
        <w:t xml:space="preserve"> </w:t>
      </w:r>
      <w:r>
        <w:t xml:space="preserve">“</w:t>
      </w:r>
      <w:r>
        <w:t xml:space="preserve">devatādvandve ca</w:t>
      </w:r>
      <w:r>
        <w:t xml:space="preserve">”</w:t>
      </w:r>
      <w:r>
        <w:t xml:space="preserve"> </w:t>
      </w:r>
      <w:r>
        <w:t xml:space="preserve">(Pā. sū. 6-2-141) the two words</w:t>
      </w:r>
      <w:r>
        <w:t xml:space="preserve"> </w:t>
      </w:r>
      <w:r>
        <w:rPr>
          <w:iCs/>
          <w:i/>
        </w:rPr>
        <w:t xml:space="preserve">ubhe</w:t>
      </w:r>
      <w:r>
        <w:t xml:space="preserve"> </w:t>
      </w:r>
      <w:r>
        <w:t xml:space="preserve">and</w:t>
      </w:r>
      <w:r>
        <w:t xml:space="preserve"> </w:t>
      </w:r>
      <w:r>
        <w:rPr>
          <w:iCs/>
          <w:i/>
        </w:rPr>
        <w:t xml:space="preserve">yugapat</w:t>
      </w:r>
      <w:r>
        <w:t xml:space="preserve"> </w:t>
      </w:r>
      <w:r>
        <w:t xml:space="preserve">are carried on from</w:t>
      </w:r>
      <w:r>
        <w:t xml:space="preserve"> </w:t>
      </w:r>
      <w:r>
        <w:t xml:space="preserve">“</w:t>
      </w:r>
      <w:r>
        <w:t xml:space="preserve">ubhe vanaspatyādiṣu yugapat</w:t>
      </w:r>
      <w:r>
        <w:t xml:space="preserve">”</w:t>
      </w:r>
      <w:r>
        <w:t xml:space="preserve"> </w:t>
      </w:r>
      <w:r>
        <w:t xml:space="preserve">(Pā. sū. 6-2-140); so the sūtra means that in a</w:t>
      </w:r>
      <w:r>
        <w:t xml:space="preserve"> </w:t>
      </w:r>
      <w:r>
        <w:rPr>
          <w:iCs/>
          <w:i/>
        </w:rPr>
        <w:t xml:space="preserve">dvandva</w:t>
      </w:r>
      <w:r>
        <w:t xml:space="preserve"> </w:t>
      </w:r>
      <w:r>
        <w:t xml:space="preserve">of words naming deities, the first and second members both keep their own accent at the same time; so both members keep their accent.</w:t>
      </w:r>
    </w:p>
    <w:p>
      <w:pPr>
        <w:pStyle w:val="BodyText"/>
      </w:pPr>
      <w:r>
        <w:rPr>
          <w:bCs/>
          <w:b/>
        </w:rPr>
        <w:t xml:space="preserve">सम्राजोः (</w:t>
      </w:r>
      <w:r>
        <w:rPr>
          <w:iCs/>
          <w:i/>
          <w:bCs/>
          <w:b/>
        </w:rPr>
        <w:t xml:space="preserve">samrājoḥ</w:t>
      </w:r>
      <w:r>
        <w:rPr>
          <w:bCs/>
          <w:b/>
        </w:rPr>
        <w:t xml:space="preserve">)</w:t>
      </w:r>
      <w:r>
        <w:t xml:space="preserve">: the root</w:t>
      </w:r>
      <w:r>
        <w:t xml:space="preserve"> </w:t>
      </w:r>
      <w:r>
        <w:rPr>
          <w:iCs/>
          <w:i/>
        </w:rPr>
        <w:t xml:space="preserve">rājṛ dīptau</w:t>
      </w:r>
      <w:r>
        <w:t xml:space="preserve">. By</w:t>
      </w:r>
      <w:r>
        <w:t xml:space="preserve"> </w:t>
      </w:r>
      <w:r>
        <w:t xml:space="preserve">“</w:t>
      </w:r>
      <w:r>
        <w:t xml:space="preserve">satsūdviṣa…janirājām upasarge ’pi kvip</w:t>
      </w:r>
      <w:r>
        <w:t xml:space="preserve">”</w:t>
      </w:r>
      <w:r>
        <w:t xml:space="preserve"> </w:t>
      </w:r>
      <w:r>
        <w:t xml:space="preserve">(Pā. sū. 3-2-61) the suffix</w:t>
      </w:r>
      <w:r>
        <w:t xml:space="preserve"> </w:t>
      </w:r>
      <w:r>
        <w:rPr>
          <w:iCs/>
          <w:i/>
        </w:rPr>
        <w:t xml:space="preserve">kvip</w:t>
      </w:r>
      <w:r>
        <w:t xml:space="preserve">. With</w:t>
      </w:r>
      <w:r>
        <w:t xml:space="preserve"> </w:t>
      </w:r>
      <w:r>
        <w:rPr>
          <w:iCs/>
          <w:i/>
        </w:rPr>
        <w:t xml:space="preserve">sam</w:t>
      </w:r>
      <w:r>
        <w:t xml:space="preserve"> </w:t>
      </w:r>
      <w:r>
        <w:t xml:space="preserve">+</w:t>
      </w:r>
      <w:r>
        <w:t xml:space="preserve"> </w:t>
      </w:r>
      <w:r>
        <w:rPr>
          <w:iCs/>
          <w:i/>
        </w:rPr>
        <w:t xml:space="preserve">rāj</w:t>
      </w:r>
      <w:r>
        <w:t xml:space="preserve">, the</w:t>
      </w:r>
      <w:r>
        <w:t xml:space="preserve"> </w:t>
      </w:r>
      <w:r>
        <w:rPr>
          <w:iCs/>
          <w:i/>
        </w:rPr>
        <w:t xml:space="preserve">anusvāra</w:t>
      </w:r>
      <w:r>
        <w:t xml:space="preserve"> </w:t>
      </w:r>
      <w:r>
        <w:t xml:space="preserve">is due for the</w:t>
      </w:r>
      <w:r>
        <w:t xml:space="preserve"> </w:t>
      </w:r>
      <w:r>
        <w:rPr>
          <w:iCs/>
          <w:i/>
        </w:rPr>
        <w:t xml:space="preserve">m</w:t>
      </w:r>
      <w:r>
        <w:t xml:space="preserve"> </w:t>
      </w:r>
      <w:r>
        <w:t xml:space="preserve">of</w:t>
      </w:r>
      <w:r>
        <w:t xml:space="preserve"> </w:t>
      </w:r>
      <w:r>
        <w:rPr>
          <w:iCs/>
          <w:i/>
        </w:rPr>
        <w:t xml:space="preserve">sam</w:t>
      </w:r>
      <w:r>
        <w:t xml:space="preserve"> </w:t>
      </w:r>
      <w:r>
        <w:t xml:space="preserve">by</w:t>
      </w:r>
      <w:r>
        <w:t xml:space="preserve"> </w:t>
      </w:r>
      <w:r>
        <w:t xml:space="preserve">“</w:t>
      </w:r>
      <w:r>
        <w:t xml:space="preserve">mo ’nusvāraḥ</w:t>
      </w:r>
      <w:r>
        <w:t xml:space="preserve">”</w:t>
      </w:r>
      <w:r>
        <w:t xml:space="preserve"> </w:t>
      </w:r>
      <w:r>
        <w:t xml:space="preserve">(Pā. sū. 8-3-23) (before a consonant the final</w:t>
      </w:r>
      <w:r>
        <w:t xml:space="preserve"> </w:t>
      </w:r>
      <w:r>
        <w:rPr>
          <w:iCs/>
          <w:i/>
        </w:rPr>
        <w:t xml:space="preserve">m</w:t>
      </w:r>
      <w:r>
        <w:t xml:space="preserve"> </w:t>
      </w:r>
      <w:r>
        <w:t xml:space="preserve">of a word becomes</w:t>
      </w:r>
      <w:r>
        <w:t xml:space="preserve"> </w:t>
      </w:r>
      <w:r>
        <w:rPr>
          <w:iCs/>
          <w:i/>
        </w:rPr>
        <w:t xml:space="preserve">anusvāra</w:t>
      </w:r>
      <w:r>
        <w:t xml:space="preserve">). But by</w:t>
      </w:r>
      <w:r>
        <w:t xml:space="preserve"> </w:t>
      </w:r>
      <w:r>
        <w:t xml:space="preserve">“</w:t>
      </w:r>
      <w:r>
        <w:t xml:space="preserve">mo rāji samaḥ kvau</w:t>
      </w:r>
      <w:r>
        <w:t xml:space="preserve">”</w:t>
      </w:r>
      <w:r>
        <w:t xml:space="preserve"> </w:t>
      </w:r>
      <w:r>
        <w:t xml:space="preserve">(Pā. sū. 8-3-25), when the root</w:t>
      </w:r>
      <w:r>
        <w:t xml:space="preserve"> </w:t>
      </w:r>
      <w:r>
        <w:rPr>
          <w:iCs/>
          <w:i/>
        </w:rPr>
        <w:t xml:space="preserve">rāj</w:t>
      </w:r>
      <w:r>
        <w:t xml:space="preserve"> </w:t>
      </w:r>
      <w:r>
        <w:t xml:space="preserve">ending in</w:t>
      </w:r>
      <w:r>
        <w:t xml:space="preserve"> </w:t>
      </w:r>
      <w:r>
        <w:rPr>
          <w:iCs/>
          <w:i/>
        </w:rPr>
        <w:t xml:space="preserve">kvip</w:t>
      </w:r>
      <w:r>
        <w:t xml:space="preserve"> </w:t>
      </w:r>
      <w:r>
        <w:t xml:space="preserve">follows, the</w:t>
      </w:r>
      <w:r>
        <w:t xml:space="preserve"> </w:t>
      </w:r>
      <w:r>
        <w:rPr>
          <w:iCs/>
          <w:i/>
        </w:rPr>
        <w:t xml:space="preserve">m</w:t>
      </w:r>
      <w:r>
        <w:t xml:space="preserve"> </w:t>
      </w:r>
      <w:r>
        <w:t xml:space="preserve">of</w:t>
      </w:r>
      <w:r>
        <w:t xml:space="preserve"> </w:t>
      </w:r>
      <w:r>
        <w:rPr>
          <w:iCs/>
          <w:i/>
        </w:rPr>
        <w:t xml:space="preserve">sam</w:t>
      </w:r>
      <w:r>
        <w:t xml:space="preserve"> </w:t>
      </w:r>
      <w:r>
        <w:t xml:space="preserve">stays</w:t>
      </w:r>
      <w:r>
        <w:t xml:space="preserve"> </w:t>
      </w:r>
      <w:r>
        <w:rPr>
          <w:iCs/>
          <w:i/>
        </w:rPr>
        <w:t xml:space="preserve">m</w:t>
      </w:r>
      <w:r>
        <w:t xml:space="preserve">:</w:t>
      </w:r>
      <w:r>
        <w:t xml:space="preserve"> </w:t>
      </w:r>
      <w:r>
        <w:rPr>
          <w:iCs/>
          <w:i/>
        </w:rPr>
        <w:t xml:space="preserve">samrāj</w:t>
      </w:r>
      <w:r>
        <w:t xml:space="preserve">.</w:t>
      </w:r>
    </w:p>
    <w:p>
      <w:pPr>
        <w:pStyle w:val="BodyText"/>
      </w:pPr>
      <w:r>
        <w:rPr>
          <w:bCs/>
          <w:b/>
        </w:rPr>
        <w:t xml:space="preserve">अवः (</w:t>
      </w:r>
      <w:r>
        <w:rPr>
          <w:iCs/>
          <w:i/>
          <w:bCs/>
          <w:b/>
        </w:rPr>
        <w:t xml:space="preserve">avaḥ</w:t>
      </w:r>
      <w:r>
        <w:rPr>
          <w:bCs/>
          <w:b/>
        </w:rPr>
        <w:t xml:space="preserve">)</w:t>
      </w:r>
      <w:r>
        <w:t xml:space="preserve">: the root</w:t>
      </w:r>
      <w:r>
        <w:t xml:space="preserve"> </w:t>
      </w:r>
      <w:r>
        <w:rPr>
          <w:iCs/>
          <w:i/>
        </w:rPr>
        <w:t xml:space="preserve">ava rakṣaṇādau</w:t>
      </w:r>
      <w:r>
        <w:t xml:space="preserve">. By</w:t>
      </w:r>
      <w:r>
        <w:t xml:space="preserve"> </w:t>
      </w:r>
      <w:r>
        <w:t xml:space="preserve">“</w:t>
      </w:r>
      <w:r>
        <w:t xml:space="preserve">sarvadhātubhyo ’sun</w:t>
      </w:r>
      <w:r>
        <w:t xml:space="preserve">”</w:t>
      </w:r>
      <w:r>
        <w:t xml:space="preserve"> </w:t>
      </w:r>
      <w:r>
        <w:t xml:space="preserve">(Uṇ. sū.</w:t>
      </w:r>
      <w:r>
        <w:t xml:space="preserve"> </w:t>
      </w:r>
      <w:r>
        <w:t xml:space="preserve">“</w:t>
      </w:r>
      <w:r>
        <w:t xml:space="preserve">4-628</w:t>
      </w:r>
      <w:r>
        <w:t xml:space="preserve">”</w:t>
      </w:r>
      <w:r>
        <w:t xml:space="preserve"> </w:t>
      </w:r>
      <w:r>
        <w:t xml:space="preserve">[?]) the suffix</w:t>
      </w:r>
      <w:r>
        <w:t xml:space="preserve"> </w:t>
      </w:r>
      <w:r>
        <w:rPr>
          <w:iCs/>
          <w:i/>
        </w:rPr>
        <w:t xml:space="preserve">asun</w:t>
      </w:r>
      <w:r>
        <w:t xml:space="preserve"> </w:t>
      </w:r>
      <w:r>
        <w:t xml:space="preserve">in the sense of the action; initial udātta by the</w:t>
      </w:r>
      <w:r>
        <w:t xml:space="preserve"> </w:t>
      </w:r>
      <w:r>
        <w:rPr>
          <w:iCs/>
          <w:i/>
        </w:rPr>
        <w:t xml:space="preserve">nit</w:t>
      </w:r>
      <w:r>
        <w:t xml:space="preserve"> </w:t>
      </w:r>
      <w:r>
        <w:t xml:space="preserve">accent. So</w:t>
      </w:r>
      <w:r>
        <w:t xml:space="preserve"> </w:t>
      </w:r>
      <w:r>
        <w:rPr>
          <w:iCs/>
          <w:i/>
        </w:rPr>
        <w:t xml:space="preserve">avaḥ</w:t>
      </w:r>
      <w:r>
        <w:t xml:space="preserve"> </w:t>
      </w:r>
      <w:r>
        <w:t xml:space="preserve">is a</w:t>
      </w:r>
      <w:r>
        <w:t xml:space="preserve"> </w:t>
      </w:r>
      <w:r>
        <w:rPr>
          <w:iCs/>
          <w:i/>
        </w:rPr>
        <w:t xml:space="preserve">kṛdanta</w:t>
      </w:r>
      <w:r>
        <w:t xml:space="preserve">;</w:t>
      </w:r>
    </w:p>
    <w:bookmarkEnd w:id="779"/>
    <w:bookmarkStart w:id="780" w:name="page-713-rik-1-grammar"/>
    <w:p>
      <w:pPr>
        <w:pStyle w:val="Heading3"/>
      </w:pPr>
      <w:r>
        <w:t xml:space="preserve">Page 713 — Rik 1: grammar</w:t>
      </w:r>
    </w:p>
    <w:p>
      <w:pPr>
        <w:pStyle w:val="FirstParagraph"/>
      </w:pPr>
      <w:r>
        <w:t xml:space="preserve">since there is connection with this</w:t>
      </w:r>
      <w:r>
        <w:t xml:space="preserve"> </w:t>
      </w:r>
      <w:r>
        <w:rPr>
          <w:iCs/>
          <w:i/>
        </w:rPr>
        <w:t xml:space="preserve">kṛdanta</w:t>
      </w:r>
      <w:r>
        <w:t xml:space="preserve">, in</w:t>
      </w:r>
      <w:r>
        <w:t xml:space="preserve"> </w:t>
      </w:r>
      <w:r>
        <w:rPr>
          <w:iCs/>
          <w:i/>
        </w:rPr>
        <w:t xml:space="preserve">indrāvaruṇayoḥ</w:t>
      </w:r>
      <w:r>
        <w:t xml:space="preserve"> </w:t>
      </w:r>
      <w:r>
        <w:t xml:space="preserve">the genitive comes by</w:t>
      </w:r>
      <w:r>
        <w:t xml:space="preserve"> </w:t>
      </w:r>
      <w:r>
        <w:t xml:space="preserve">“</w:t>
      </w:r>
      <w:r>
        <w:t xml:space="preserve">kartṛkarmaṇoḥ kṛti</w:t>
      </w:r>
      <w:r>
        <w:t xml:space="preserve">”</w:t>
      </w:r>
      <w:r>
        <w:t xml:space="preserve"> </w:t>
      </w:r>
      <w:r>
        <w:t xml:space="preserve">(Pā. sū. 2-3-65) (the genitive comes after a word that is the agent or object in the action denoted by the root that is the base of a</w:t>
      </w:r>
      <w:r>
        <w:t xml:space="preserve"> </w:t>
      </w:r>
      <w:r>
        <w:rPr>
          <w:iCs/>
          <w:i/>
        </w:rPr>
        <w:t xml:space="preserve">kṛt</w:t>
      </w:r>
      <w:r>
        <w:t xml:space="preserve"> </w:t>
      </w:r>
      <w:r>
        <w:t xml:space="preserve">suffix). For the</w:t>
      </w:r>
      <w:r>
        <w:t xml:space="preserve"> </w:t>
      </w:r>
      <w:r>
        <w:rPr>
          <w:iCs/>
          <w:i/>
        </w:rPr>
        <w:t xml:space="preserve">kṛt</w:t>
      </w:r>
      <w:r>
        <w:t xml:space="preserve"> </w:t>
      </w:r>
      <w:r>
        <w:t xml:space="preserve">is the suffix</w:t>
      </w:r>
      <w:r>
        <w:t xml:space="preserve"> </w:t>
      </w:r>
      <w:r>
        <w:rPr>
          <w:iCs/>
          <w:i/>
        </w:rPr>
        <w:t xml:space="preserve">asun</w:t>
      </w:r>
      <w:r>
        <w:t xml:space="preserve">, its base is the root</w:t>
      </w:r>
      <w:r>
        <w:t xml:space="preserve"> </w:t>
      </w:r>
      <w:r>
        <w:rPr>
          <w:iCs/>
          <w:i/>
        </w:rPr>
        <w:t xml:space="preserve">av</w:t>
      </w:r>
      <w:r>
        <w:t xml:space="preserve">, its sense is the action, an activity leading to warding off the unwanted and gaining the wanted; Indra and Varuṇa are the substrate of that activity, so they are the agents in the action meant by the root</w:t>
      </w:r>
      <w:r>
        <w:t xml:space="preserve"> </w:t>
      </w:r>
      <w:r>
        <w:rPr>
          <w:iCs/>
          <w:i/>
        </w:rPr>
        <w:t xml:space="preserve">av</w:t>
      </w:r>
      <w:r>
        <w:t xml:space="preserve">; after the word</w:t>
      </w:r>
      <w:r>
        <w:t xml:space="preserve"> </w:t>
      </w:r>
      <w:r>
        <w:rPr>
          <w:iCs/>
          <w:i/>
        </w:rPr>
        <w:t xml:space="preserve">indrāvaruṇa</w:t>
      </w:r>
      <w:r>
        <w:t xml:space="preserve">, naming the agents, the genitive comes by the sūtra just stated. On the view</w:t>
      </w:r>
      <w:r>
        <w:t xml:space="preserve"> </w:t>
      </w:r>
      <w:r>
        <w:t xml:space="preserve">“</w:t>
      </w:r>
      <w:r>
        <w:rPr>
          <w:iCs/>
          <w:i/>
        </w:rPr>
        <w:t xml:space="preserve">kārakāṇāṃ kriyayaivānvayaḥ</w:t>
      </w:r>
      <w:r>
        <w:t xml:space="preserve">”</w:t>
      </w:r>
      <w:r>
        <w:t xml:space="preserve"> </w:t>
      </w:r>
      <w:r>
        <w:t xml:space="preserve">(the</w:t>
      </w:r>
      <w:r>
        <w:t xml:space="preserve"> </w:t>
      </w:r>
      <w:r>
        <w:rPr>
          <w:iCs/>
          <w:i/>
        </w:rPr>
        <w:t xml:space="preserve">kārakas</w:t>
      </w:r>
      <w:r>
        <w:t xml:space="preserve"> </w:t>
      </w:r>
      <w:r>
        <w:t xml:space="preserve">are construed with the action alone), in</w:t>
      </w:r>
      <w:r>
        <w:t xml:space="preserve"> </w:t>
      </w:r>
      <w:r>
        <w:rPr>
          <w:iCs/>
          <w:i/>
        </w:rPr>
        <w:t xml:space="preserve">samrājoḥ</w:t>
      </w:r>
      <w:r>
        <w:t xml:space="preserve"> </w:t>
      </w:r>
      <w:r>
        <w:t xml:space="preserve">too the genitive comes in the same way.</w:t>
      </w:r>
    </w:p>
    <w:p>
      <w:pPr>
        <w:pStyle w:val="BodyText"/>
      </w:pPr>
      <w:r>
        <w:rPr>
          <w:bCs/>
          <w:b/>
        </w:rPr>
        <w:t xml:space="preserve">ता (</w:t>
      </w:r>
      <w:r>
        <w:rPr>
          <w:iCs/>
          <w:i/>
          <w:bCs/>
          <w:b/>
        </w:rPr>
        <w:t xml:space="preserve">tā</w:t>
      </w:r>
      <w:r>
        <w:rPr>
          <w:bCs/>
          <w:b/>
        </w:rPr>
        <w:t xml:space="preserve">)</w:t>
      </w:r>
      <w:r>
        <w:t xml:space="preserve">: after the word</w:t>
      </w:r>
      <w:r>
        <w:t xml:space="preserve"> </w:t>
      </w:r>
      <w:r>
        <w:rPr>
          <w:iCs/>
          <w:i/>
        </w:rPr>
        <w:t xml:space="preserve">tad</w:t>
      </w:r>
      <w:r>
        <w:t xml:space="preserve"> </w:t>
      </w:r>
      <w:r>
        <w:t xml:space="preserve">the nominative dual</w:t>
      </w:r>
      <w:r>
        <w:t xml:space="preserve"> </w:t>
      </w:r>
      <w:r>
        <w:rPr>
          <w:iCs/>
          <w:i/>
        </w:rPr>
        <w:t xml:space="preserve">au</w:t>
      </w:r>
      <w:r>
        <w:t xml:space="preserve">:</w:t>
      </w:r>
      <w:r>
        <w:t xml:space="preserve"> </w:t>
      </w:r>
      <w:r>
        <w:rPr>
          <w:iCs/>
          <w:i/>
        </w:rPr>
        <w:t xml:space="preserve">tad</w:t>
      </w:r>
      <w:r>
        <w:t xml:space="preserve"> </w:t>
      </w:r>
      <w:r>
        <w:t xml:space="preserve">+</w:t>
      </w:r>
      <w:r>
        <w:t xml:space="preserve"> </w:t>
      </w:r>
      <w:r>
        <w:rPr>
          <w:iCs/>
          <w:i/>
        </w:rPr>
        <w:t xml:space="preserve">au</w:t>
      </w:r>
      <w:r>
        <w:t xml:space="preserve">. By</w:t>
      </w:r>
      <w:r>
        <w:t xml:space="preserve"> </w:t>
      </w:r>
      <w:r>
        <w:t xml:space="preserve">“</w:t>
      </w:r>
      <w:r>
        <w:t xml:space="preserve">supāṃ suluk…</w:t>
      </w:r>
      <w:r>
        <w:t xml:space="preserve">”</w:t>
      </w:r>
      <w:r>
        <w:t xml:space="preserve"> </w:t>
      </w:r>
      <w:r>
        <w:t xml:space="preserve">(Pā. sū. 7-1-39) the substitute</w:t>
      </w:r>
      <w:r>
        <w:t xml:space="preserve"> </w:t>
      </w:r>
      <w:r>
        <w:rPr>
          <w:iCs/>
          <w:i/>
        </w:rPr>
        <w:t xml:space="preserve">ḍā</w:t>
      </w:r>
      <w:r>
        <w:t xml:space="preserve"> </w:t>
      </w:r>
      <w:r>
        <w:t xml:space="preserve">for</w:t>
      </w:r>
      <w:r>
        <w:t xml:space="preserve"> </w:t>
      </w:r>
      <w:r>
        <w:rPr>
          <w:iCs/>
          <w:i/>
        </w:rPr>
        <w:t xml:space="preserve">au</w:t>
      </w:r>
      <w:r>
        <w:t xml:space="preserve">; by force of its being marked with</w:t>
      </w:r>
      <w:r>
        <w:t xml:space="preserve"> </w:t>
      </w:r>
      <w:r>
        <w:rPr>
          <w:iCs/>
          <w:i/>
        </w:rPr>
        <w:t xml:space="preserve">ḍ</w:t>
      </w:r>
      <w:r>
        <w:t xml:space="preserve">, though it is not called</w:t>
      </w:r>
      <w:r>
        <w:t xml:space="preserve"> </w:t>
      </w:r>
      <w:r>
        <w:rPr>
          <w:iCs/>
          <w:i/>
        </w:rPr>
        <w:t xml:space="preserve">bha</w:t>
      </w:r>
      <w:r>
        <w:t xml:space="preserve">, the</w:t>
      </w:r>
      <w:r>
        <w:t xml:space="preserve"> </w:t>
      </w:r>
      <w:r>
        <w:rPr>
          <w:iCs/>
          <w:i/>
        </w:rPr>
        <w:t xml:space="preserve">ṭi</w:t>
      </w:r>
      <w:r>
        <w:t xml:space="preserve"> </w:t>
      </w:r>
      <w:r>
        <w:rPr>
          <w:iCs/>
          <w:i/>
        </w:rPr>
        <w:t xml:space="preserve">ad</w:t>
      </w:r>
      <w:r>
        <w:t xml:space="preserve"> </w:t>
      </w:r>
      <w:r>
        <w:t xml:space="preserve">drops. By</w:t>
      </w:r>
      <w:r>
        <w:t xml:space="preserve"> </w:t>
      </w:r>
      <w:r>
        <w:t xml:space="preserve">“</w:t>
      </w:r>
      <w:r>
        <w:t xml:space="preserve">anudāttasya ca yatrodāttalopaḥ</w:t>
      </w:r>
      <w:r>
        <w:t xml:space="preserve">”</w:t>
      </w:r>
      <w:r>
        <w:t xml:space="preserve"> </w:t>
      </w:r>
      <w:r>
        <w:t xml:space="preserve">(Pā. sū. 6-1-161), the accent of the lost udātta, the ending</w:t>
      </w:r>
      <w:r>
        <w:t xml:space="preserve"> </w:t>
      </w:r>
      <w:r>
        <w:rPr>
          <w:iCs/>
          <w:i/>
        </w:rPr>
        <w:t xml:space="preserve">ā</w:t>
      </w:r>
      <w:r>
        <w:t xml:space="preserve"> </w:t>
      </w:r>
      <w:r>
        <w:t xml:space="preserve">is udātta.</w:t>
      </w:r>
    </w:p>
    <w:p>
      <w:pPr>
        <w:pStyle w:val="BodyText"/>
      </w:pPr>
      <w:r>
        <w:rPr>
          <w:bCs/>
          <w:b/>
        </w:rPr>
        <w:t xml:space="preserve">मृळातः (</w:t>
      </w:r>
      <w:r>
        <w:rPr>
          <w:iCs/>
          <w:i/>
          <w:bCs/>
          <w:b/>
        </w:rPr>
        <w:t xml:space="preserve">mṛḷātaḥ</w:t>
      </w:r>
      <w:r>
        <w:rPr>
          <w:bCs/>
          <w:b/>
        </w:rPr>
        <w:t xml:space="preserve">)</w:t>
      </w:r>
      <w:r>
        <w:t xml:space="preserve">: the root</w:t>
      </w:r>
      <w:r>
        <w:t xml:space="preserve"> </w:t>
      </w:r>
      <w:r>
        <w:rPr>
          <w:iCs/>
          <w:i/>
        </w:rPr>
        <w:t xml:space="preserve">mṛḍa sukhane</w:t>
      </w:r>
      <w:r>
        <w:t xml:space="preserve">. After the root</w:t>
      </w:r>
      <w:r>
        <w:t xml:space="preserve"> </w:t>
      </w:r>
      <w:r>
        <w:rPr>
          <w:iCs/>
          <w:i/>
        </w:rPr>
        <w:t xml:space="preserve">mṛḍ</w:t>
      </w:r>
      <w:r>
        <w:t xml:space="preserve">, by</w:t>
      </w:r>
      <w:r>
        <w:t xml:space="preserve"> </w:t>
      </w:r>
      <w:r>
        <w:t xml:space="preserve">“</w:t>
      </w:r>
      <w:r>
        <w:t xml:space="preserve">liṅarthe leṭ</w:t>
      </w:r>
      <w:r>
        <w:t xml:space="preserve">”</w:t>
      </w:r>
      <w:r>
        <w:t xml:space="preserve"> </w:t>
      </w:r>
      <w:r>
        <w:t xml:space="preserve">(Pā. sū. 3-4-7),</w:t>
      </w:r>
      <w:r>
        <w:t xml:space="preserve"> </w:t>
      </w:r>
      <w:r>
        <w:rPr>
          <w:iCs/>
          <w:i/>
        </w:rPr>
        <w:t xml:space="preserve">leṭ</w:t>
      </w:r>
      <w:r>
        <w:t xml:space="preserve"> </w:t>
      </w:r>
      <w:r>
        <w:t xml:space="preserve">comes in the sense of</w:t>
      </w:r>
      <w:r>
        <w:t xml:space="preserve"> </w:t>
      </w:r>
      <w:r>
        <w:rPr>
          <w:iCs/>
          <w:i/>
        </w:rPr>
        <w:t xml:space="preserve">liṅ</w:t>
      </w:r>
      <w:r>
        <w:t xml:space="preserve">, of a prayer; in its place the 3rd dual</w:t>
      </w:r>
      <w:r>
        <w:t xml:space="preserve"> </w:t>
      </w:r>
      <w:r>
        <w:rPr>
          <w:iCs/>
          <w:i/>
        </w:rPr>
        <w:t xml:space="preserve">tas</w:t>
      </w:r>
      <w:r>
        <w:t xml:space="preserve">:</w:t>
      </w:r>
      <w:r>
        <w:t xml:space="preserve"> </w:t>
      </w:r>
      <w:r>
        <w:rPr>
          <w:iCs/>
          <w:i/>
        </w:rPr>
        <w:t xml:space="preserve">mṛḍ</w:t>
      </w:r>
      <w:r>
        <w:t xml:space="preserve"> </w:t>
      </w:r>
      <w:r>
        <w:t xml:space="preserve">+</w:t>
      </w:r>
      <w:r>
        <w:t xml:space="preserve"> </w:t>
      </w:r>
      <w:r>
        <w:rPr>
          <w:iCs/>
          <w:i/>
        </w:rPr>
        <w:t xml:space="preserve">tas</w:t>
      </w:r>
      <w:r>
        <w:t xml:space="preserve">. By</w:t>
      </w:r>
      <w:r>
        <w:t xml:space="preserve"> </w:t>
      </w:r>
      <w:r>
        <w:t xml:space="preserve">“</w:t>
      </w:r>
      <w:r>
        <w:t xml:space="preserve">leṭo ’ḍāṭau</w:t>
      </w:r>
      <w:r>
        <w:t xml:space="preserve">”</w:t>
      </w:r>
      <w:r>
        <w:t xml:space="preserve"> </w:t>
      </w:r>
      <w:r>
        <w:t xml:space="preserve">(Pā. sū. 3-4-94) the augment</w:t>
      </w:r>
      <w:r>
        <w:t xml:space="preserve"> </w:t>
      </w:r>
      <w:r>
        <w:rPr>
          <w:iCs/>
          <w:i/>
        </w:rPr>
        <w:t xml:space="preserve">āṭ</w:t>
      </w:r>
      <w:r>
        <w:t xml:space="preserve">; being</w:t>
      </w:r>
      <w:r>
        <w:t xml:space="preserve"> </w:t>
      </w:r>
      <w:r>
        <w:rPr>
          <w:iCs/>
          <w:i/>
        </w:rPr>
        <w:t xml:space="preserve">ṭit</w:t>
      </w:r>
      <w:r>
        <w:t xml:space="preserve">, it comes as the first part by</w:t>
      </w:r>
      <w:r>
        <w:t xml:space="preserve"> </w:t>
      </w:r>
      <w:r>
        <w:t xml:space="preserve">“</w:t>
      </w:r>
      <w:r>
        <w:t xml:space="preserve">ādyantau ṭakitau</w:t>
      </w:r>
      <w:r>
        <w:t xml:space="preserve">”</w:t>
      </w:r>
      <w:r>
        <w:t xml:space="preserve"> </w:t>
      </w:r>
      <w:r>
        <w:t xml:space="preserve">(</w:t>
      </w:r>
      <w:r>
        <w:rPr>
          <w:iCs/>
          <w:i/>
        </w:rPr>
        <w:t xml:space="preserve">paribhāṣā</w:t>
      </w:r>
      <w:r>
        <w:t xml:space="preserve">, Pā. sū. 1-1-46).</w:t>
      </w:r>
      <w:r>
        <w:t xml:space="preserve"> </w:t>
      </w:r>
      <w:r>
        <w:rPr>
          <w:iCs/>
          <w:i/>
        </w:rPr>
        <w:t xml:space="preserve">Mṛḍ</w:t>
      </w:r>
      <w:r>
        <w:t xml:space="preserve"> </w:t>
      </w:r>
      <w:r>
        <w:t xml:space="preserve">+</w:t>
      </w:r>
      <w:r>
        <w:t xml:space="preserve"> </w:t>
      </w:r>
      <w:r>
        <w:rPr>
          <w:iCs/>
          <w:i/>
        </w:rPr>
        <w:t xml:space="preserve">ātas</w:t>
      </w:r>
      <w:r>
        <w:t xml:space="preserve">: the</w:t>
      </w:r>
      <w:r>
        <w:t xml:space="preserve"> </w:t>
      </w:r>
      <w:r>
        <w:rPr>
          <w:iCs/>
          <w:i/>
        </w:rPr>
        <w:t xml:space="preserve">vikaraṇa</w:t>
      </w:r>
      <w:r>
        <w:t xml:space="preserve"> </w:t>
      </w:r>
      <w:r>
        <w:t xml:space="preserve">suffix</w:t>
      </w:r>
      <w:r>
        <w:t xml:space="preserve"> </w:t>
      </w:r>
      <w:r>
        <w:rPr>
          <w:iCs/>
          <w:i/>
        </w:rPr>
        <w:t xml:space="preserve">śa</w:t>
      </w:r>
      <w:r>
        <w:t xml:space="preserve"> </w:t>
      </w:r>
      <w:r>
        <w:t xml:space="preserve">by</w:t>
      </w:r>
      <w:r>
        <w:t xml:space="preserve"> </w:t>
      </w:r>
      <w:r>
        <w:t xml:space="preserve">“</w:t>
      </w:r>
      <w:r>
        <w:t xml:space="preserve">tudādibhyaḥ śaḥ</w:t>
      </w:r>
      <w:r>
        <w:t xml:space="preserve">”</w:t>
      </w:r>
      <w:r>
        <w:t xml:space="preserve"> </w:t>
      </w:r>
      <w:r>
        <w:t xml:space="preserve">(Pā. sū. 3-1-77). It is a</w:t>
      </w:r>
      <w:r>
        <w:t xml:space="preserve"> </w:t>
      </w:r>
      <w:r>
        <w:rPr>
          <w:iCs/>
          <w:i/>
        </w:rPr>
        <w:t xml:space="preserve">sārvadhātuka</w:t>
      </w:r>
      <w:r>
        <w:t xml:space="preserve"> </w:t>
      </w:r>
      <w:r>
        <w:t xml:space="preserve">without</w:t>
      </w:r>
      <w:r>
        <w:t xml:space="preserve"> </w:t>
      </w:r>
      <w:r>
        <w:rPr>
          <w:iCs/>
          <w:i/>
        </w:rPr>
        <w:t xml:space="preserve">p</w:t>
      </w:r>
      <w:r>
        <w:t xml:space="preserve">, so by</w:t>
      </w:r>
      <w:r>
        <w:t xml:space="preserve"> </w:t>
      </w:r>
      <w:r>
        <w:t xml:space="preserve">“</w:t>
      </w:r>
      <w:r>
        <w:t xml:space="preserve">sārvadhātukam apit</w:t>
      </w:r>
      <w:r>
        <w:t xml:space="preserve">”</w:t>
      </w:r>
      <w:r>
        <w:t xml:space="preserve"> </w:t>
      </w:r>
      <w:r>
        <w:t xml:space="preserve">(Pā. sū. 1-2-4) it is</w:t>
      </w:r>
      <w:r>
        <w:t xml:space="preserve"> </w:t>
      </w:r>
      <w:r>
        <w:rPr>
          <w:iCs/>
          <w:i/>
        </w:rPr>
        <w:t xml:space="preserve">ṅit</w:t>
      </w:r>
      <w:r>
        <w:t xml:space="preserve">; so</w:t>
      </w:r>
      <w:r>
        <w:t xml:space="preserve"> </w:t>
      </w:r>
      <w:r>
        <w:rPr>
          <w:iCs/>
          <w:i/>
        </w:rPr>
        <w:t xml:space="preserve">guṇa</w:t>
      </w:r>
      <w:r>
        <w:t xml:space="preserve"> </w:t>
      </w:r>
      <w:r>
        <w:t xml:space="preserve">is barred by</w:t>
      </w:r>
      <w:r>
        <w:t xml:space="preserve"> </w:t>
      </w:r>
      <w:r>
        <w:t xml:space="preserve">“</w:t>
      </w:r>
      <w:r>
        <w:t xml:space="preserve">kṅiti ca</w:t>
      </w:r>
      <w:r>
        <w:t xml:space="preserve">”</w:t>
      </w:r>
      <w:r>
        <w:t xml:space="preserve"> </w:t>
      </w:r>
      <w:r>
        <w:t xml:space="preserve">(Pā. sū. 1-1-5), and the</w:t>
      </w:r>
      <w:r>
        <w:t xml:space="preserve"> </w:t>
      </w:r>
      <w:r>
        <w:rPr>
          <w:iCs/>
          <w:i/>
        </w:rPr>
        <w:t xml:space="preserve">laghūpadha-guṇa</w:t>
      </w:r>
      <w:r>
        <w:t xml:space="preserve"> </w:t>
      </w:r>
      <w:r>
        <w:t xml:space="preserve">by</w:t>
      </w:r>
      <w:r>
        <w:t xml:space="preserve"> </w:t>
      </w:r>
      <w:r>
        <w:t xml:space="preserve">“</w:t>
      </w:r>
      <w:r>
        <w:t xml:space="preserve">pugantalaghūpadhasya ca</w:t>
      </w:r>
      <w:r>
        <w:t xml:space="preserve">”</w:t>
      </w:r>
      <w:r>
        <w:t xml:space="preserve"> </w:t>
      </w:r>
      <w:r>
        <w:t xml:space="preserve">(Pā. sū. 7-3-86) does not come. [After] the lengthening of like vowels, since by</w:t>
      </w:r>
      <w:r>
        <w:t xml:space="preserve"> </w:t>
      </w:r>
      <w:r>
        <w:t xml:space="preserve">“</w:t>
      </w:r>
      <w:r>
        <w:t xml:space="preserve">antādivac ca</w:t>
      </w:r>
      <w:r>
        <w:t xml:space="preserve">”</w:t>
      </w:r>
      <w:r>
        <w:t xml:space="preserve"> </w:t>
      </w:r>
      <w:r>
        <w:t xml:space="preserve">(Pā. sū. 6-1-85) the result counts as the end of what precedes, the</w:t>
      </w:r>
      <w:r>
        <w:t xml:space="preserve"> </w:t>
      </w:r>
      <w:r>
        <w:rPr>
          <w:iCs/>
          <w:i/>
        </w:rPr>
        <w:t xml:space="preserve">śa vikaraṇa</w:t>
      </w:r>
      <w:r>
        <w:t xml:space="preserve"> </w:t>
      </w:r>
      <w:r>
        <w:t xml:space="preserve">can count as following, so</w:t>
      </w:r>
      <w:r>
        <w:t xml:space="preserve"> </w:t>
      </w:r>
      <w:r>
        <w:rPr>
          <w:iCs/>
          <w:i/>
        </w:rPr>
        <w:t xml:space="preserve">guṇa</w:t>
      </w:r>
      <w:r>
        <w:t xml:space="preserve"> </w:t>
      </w:r>
      <w:r>
        <w:t xml:space="preserve">does not come.</w:t>
      </w:r>
      <w:r>
        <w:t xml:space="preserve"> </w:t>
      </w:r>
      <w:r>
        <w:rPr>
          <w:iCs/>
          <w:i/>
        </w:rPr>
        <w:t xml:space="preserve">Mṛḍātaḥ</w:t>
      </w:r>
      <w:r>
        <w:t xml:space="preserve">: by</w:t>
      </w:r>
      <w:r>
        <w:t xml:space="preserve"> </w:t>
      </w:r>
      <w:r>
        <w:t xml:space="preserve">“</w:t>
      </w:r>
      <w:r>
        <w:rPr>
          <w:iCs/>
          <w:i/>
        </w:rPr>
        <w:t xml:space="preserve">ajmadhyasthaḍakārasya ḷakāraṃ bahvṛcā jaguḥ</w:t>
      </w:r>
      <w:r>
        <w:t xml:space="preserve">”</w:t>
      </w:r>
      <w:r>
        <w:t xml:space="preserve"> </w:t>
      </w:r>
      <w:r>
        <w:t xml:space="preserve">(the Ṛgvedins pronounce</w:t>
      </w:r>
      <w:r>
        <w:t xml:space="preserve"> </w:t>
      </w:r>
      <w:r>
        <w:rPr>
          <w:iCs/>
          <w:i/>
        </w:rPr>
        <w:t xml:space="preserve">ḍ</w:t>
      </w:r>
      <w:r>
        <w:t xml:space="preserve"> </w:t>
      </w:r>
      <w:r>
        <w:t xml:space="preserve">between vowels as</w:t>
      </w:r>
      <w:r>
        <w:t xml:space="preserve"> </w:t>
      </w:r>
      <w:r>
        <w:rPr>
          <w:iCs/>
          <w:i/>
        </w:rPr>
        <w:t xml:space="preserve">ḷ</w:t>
      </w:r>
      <w:r>
        <w:t xml:space="preserve">),</w:t>
      </w:r>
      <w:r>
        <w:t xml:space="preserve"> </w:t>
      </w:r>
      <w:r>
        <w:rPr>
          <w:iCs/>
          <w:i/>
        </w:rPr>
        <w:t xml:space="preserve">ḷ</w:t>
      </w:r>
      <w:r>
        <w:t xml:space="preserve"> </w:t>
      </w:r>
      <w:r>
        <w:t xml:space="preserve">for</w:t>
      </w:r>
      <w:r>
        <w:t xml:space="preserve"> </w:t>
      </w:r>
      <w:r>
        <w:rPr>
          <w:iCs/>
          <w:i/>
        </w:rPr>
        <w:t xml:space="preserve">ḍ</w:t>
      </w:r>
      <w:r>
        <w:t xml:space="preserve">.</w:t>
      </w:r>
    </w:p>
    <w:p>
      <w:pPr>
        <w:pStyle w:val="BodyText"/>
      </w:pPr>
      <w:r>
        <w:rPr>
          <w:bCs/>
          <w:b/>
        </w:rPr>
        <w:t xml:space="preserve">ईदृशे (</w:t>
      </w:r>
      <w:r>
        <w:rPr>
          <w:iCs/>
          <w:i/>
          <w:bCs/>
          <w:b/>
        </w:rPr>
        <w:t xml:space="preserve">īdṛśe</w:t>
      </w:r>
      <w:r>
        <w:rPr>
          <w:bCs/>
          <w:b/>
        </w:rPr>
        <w:t xml:space="preserve">)</w:t>
      </w:r>
      <w:r>
        <w:t xml:space="preserve">:</w:t>
      </w:r>
      <w:r>
        <w:t xml:space="preserve"> </w:t>
      </w:r>
      <w:r>
        <w:rPr>
          <w:iCs/>
          <w:i/>
        </w:rPr>
        <w:t xml:space="preserve">idam iva paśyati iti īdṛśaḥ, tasmin īdṛśe</w:t>
      </w:r>
      <w:r>
        <w:t xml:space="preserve">. By</w:t>
      </w:r>
      <w:r>
        <w:t xml:space="preserve"> </w:t>
      </w:r>
      <w:r>
        <w:t xml:space="preserve">“</w:t>
      </w:r>
      <w:r>
        <w:t xml:space="preserve">tyadādiṣu dṛśo ’nālocane kañ ca</w:t>
      </w:r>
      <w:r>
        <w:t xml:space="preserve">”</w:t>
      </w:r>
      <w:r>
        <w:t xml:space="preserve"> </w:t>
      </w:r>
      <w:r>
        <w:t xml:space="preserve">(Pā. sū. 3-2-60), when words of the</w:t>
      </w:r>
      <w:r>
        <w:t xml:space="preserve"> </w:t>
      </w:r>
      <w:r>
        <w:rPr>
          <w:iCs/>
          <w:i/>
        </w:rPr>
        <w:t xml:space="preserve">tyad-ādi</w:t>
      </w:r>
      <w:r>
        <w:t xml:space="preserve"> </w:t>
      </w:r>
      <w:r>
        <w:t xml:space="preserve">group are the</w:t>
      </w:r>
      <w:r>
        <w:t xml:space="preserve"> </w:t>
      </w:r>
      <w:r>
        <w:rPr>
          <w:iCs/>
          <w:i/>
        </w:rPr>
        <w:t xml:space="preserve">upapada</w:t>
      </w:r>
      <w:r>
        <w:t xml:space="preserve">, the suffix</w:t>
      </w:r>
      <w:r>
        <w:t xml:space="preserve"> </w:t>
      </w:r>
      <w:r>
        <w:rPr>
          <w:iCs/>
          <w:i/>
        </w:rPr>
        <w:t xml:space="preserve">kañ</w:t>
      </w:r>
      <w:r>
        <w:t xml:space="preserve"> </w:t>
      </w:r>
      <w:r>
        <w:t xml:space="preserve">comes after the root</w:t>
      </w:r>
      <w:r>
        <w:t xml:space="preserve"> </w:t>
      </w:r>
      <w:r>
        <w:rPr>
          <w:iCs/>
          <w:i/>
        </w:rPr>
        <w:t xml:space="preserve">dṛś</w:t>
      </w:r>
      <w:r>
        <w:t xml:space="preserve"> </w:t>
      </w:r>
      <w:r>
        <w:t xml:space="preserve">not in the sense of seeing; by the</w:t>
      </w:r>
      <w:r>
        <w:t xml:space="preserve"> </w:t>
      </w:r>
      <w:r>
        <w:rPr>
          <w:iCs/>
          <w:i/>
        </w:rPr>
        <w:t xml:space="preserve">ca</w:t>
      </w:r>
      <w:r>
        <w:t xml:space="preserve">, optionally</w:t>
      </w:r>
      <w:r>
        <w:t xml:space="preserve"> </w:t>
      </w:r>
      <w:r>
        <w:rPr>
          <w:iCs/>
          <w:i/>
        </w:rPr>
        <w:t xml:space="preserve">kvin</w:t>
      </w:r>
      <w:r>
        <w:t xml:space="preserve"> </w:t>
      </w:r>
      <w:r>
        <w:t xml:space="preserve">too; so after the root</w:t>
      </w:r>
      <w:r>
        <w:t xml:space="preserve"> </w:t>
      </w:r>
      <w:r>
        <w:rPr>
          <w:iCs/>
          <w:i/>
        </w:rPr>
        <w:t xml:space="preserve">dṛś</w:t>
      </w:r>
      <w:r>
        <w:t xml:space="preserve"> </w:t>
      </w:r>
      <w:r>
        <w:t xml:space="preserve">with the word</w:t>
      </w:r>
      <w:r>
        <w:t xml:space="preserve"> </w:t>
      </w:r>
      <w:r>
        <w:rPr>
          <w:iCs/>
          <w:i/>
        </w:rPr>
        <w:t xml:space="preserve">idam</w:t>
      </w:r>
      <w:r>
        <w:t xml:space="preserve"> </w:t>
      </w:r>
      <w:r>
        <w:t xml:space="preserve">as</w:t>
      </w:r>
      <w:r>
        <w:t xml:space="preserve"> </w:t>
      </w:r>
      <w:r>
        <w:rPr>
          <w:iCs/>
          <w:i/>
        </w:rPr>
        <w:t xml:space="preserve">upapada</w:t>
      </w:r>
      <w:r>
        <w:t xml:space="preserve">, the suffix</w:t>
      </w:r>
      <w:r>
        <w:t xml:space="preserve"> </w:t>
      </w:r>
      <w:r>
        <w:rPr>
          <w:iCs/>
          <w:i/>
        </w:rPr>
        <w:t xml:space="preserve">kañ</w:t>
      </w:r>
      <w:r>
        <w:t xml:space="preserve">. By</w:t>
      </w:r>
      <w:r>
        <w:t xml:space="preserve"> </w:t>
      </w:r>
      <w:r>
        <w:t xml:space="preserve">“</w:t>
      </w:r>
      <w:r>
        <w:t xml:space="preserve">upapadam atiṅ</w:t>
      </w:r>
      <w:r>
        <w:t xml:space="preserve">”</w:t>
      </w:r>
      <w:r>
        <w:t xml:space="preserve"> </w:t>
      </w:r>
      <w:r>
        <w:t xml:space="preserve">(Pā. sū. 2-2-19) compounding; the</w:t>
      </w:r>
      <w:r>
        <w:t xml:space="preserve"> </w:t>
      </w:r>
      <w:r>
        <w:rPr>
          <w:iCs/>
          <w:i/>
        </w:rPr>
        <w:t xml:space="preserve">sup</w:t>
      </w:r>
      <w:r>
        <w:t xml:space="preserve"> </w:t>
      </w:r>
      <w:r>
        <w:t xml:space="preserve">inside the compound takes</w:t>
      </w:r>
      <w:r>
        <w:t xml:space="preserve"> </w:t>
      </w:r>
      <w:r>
        <w:rPr>
          <w:iCs/>
          <w:i/>
        </w:rPr>
        <w:t xml:space="preserve">luk</w:t>
      </w:r>
      <w:r>
        <w:t xml:space="preserve">:</w:t>
      </w:r>
      <w:r>
        <w:t xml:space="preserve"> </w:t>
      </w:r>
      <w:r>
        <w:rPr>
          <w:iCs/>
          <w:i/>
        </w:rPr>
        <w:t xml:space="preserve">idam</w:t>
      </w:r>
      <w:r>
        <w:t xml:space="preserve"> </w:t>
      </w:r>
      <w:r>
        <w:t xml:space="preserve">+</w:t>
      </w:r>
      <w:r>
        <w:t xml:space="preserve"> </w:t>
      </w:r>
      <w:r>
        <w:rPr>
          <w:iCs/>
          <w:i/>
        </w:rPr>
        <w:t xml:space="preserve">dṛśa</w:t>
      </w:r>
      <w:r>
        <w:t xml:space="preserve">. By</w:t>
      </w:r>
      <w:r>
        <w:t xml:space="preserve"> </w:t>
      </w:r>
      <w:r>
        <w:t xml:space="preserve">“</w:t>
      </w:r>
      <w:r>
        <w:t xml:space="preserve">idaṃkimor īśkī</w:t>
      </w:r>
      <w:r>
        <w:t xml:space="preserve">”</w:t>
      </w:r>
      <w:r>
        <w:t xml:space="preserve"> </w:t>
      </w:r>
      <w:r>
        <w:t xml:space="preserve">(Pā. sū. 6-3-90), when</w:t>
      </w:r>
      <w:r>
        <w:t xml:space="preserve"> </w:t>
      </w:r>
      <w:r>
        <w:rPr>
          <w:iCs/>
          <w:i/>
        </w:rPr>
        <w:t xml:space="preserve">dṛk</w:t>
      </w:r>
      <w:r>
        <w:t xml:space="preserve">,</w:t>
      </w:r>
      <w:r>
        <w:t xml:space="preserve"> </w:t>
      </w:r>
      <w:r>
        <w:rPr>
          <w:iCs/>
          <w:i/>
        </w:rPr>
        <w:t xml:space="preserve">dṛśa</w:t>
      </w:r>
      <w:r>
        <w:t xml:space="preserve"> </w:t>
      </w:r>
      <w:r>
        <w:t xml:space="preserve">or</w:t>
      </w:r>
      <w:r>
        <w:t xml:space="preserve"> </w:t>
      </w:r>
      <w:r>
        <w:rPr>
          <w:iCs/>
          <w:i/>
        </w:rPr>
        <w:t xml:space="preserve">vatu</w:t>
      </w:r>
      <w:r>
        <w:t xml:space="preserve"> </w:t>
      </w:r>
      <w:r>
        <w:t xml:space="preserve">follow,</w:t>
      </w:r>
      <w:r>
        <w:t xml:space="preserve"> </w:t>
      </w:r>
      <w:r>
        <w:rPr>
          <w:iCs/>
          <w:i/>
        </w:rPr>
        <w:t xml:space="preserve">īś</w:t>
      </w:r>
      <w:r>
        <w:t xml:space="preserve"> </w:t>
      </w:r>
      <w:r>
        <w:t xml:space="preserve">is substituted for</w:t>
      </w:r>
      <w:r>
        <w:t xml:space="preserve"> </w:t>
      </w:r>
      <w:r>
        <w:rPr>
          <w:iCs/>
          <w:i/>
        </w:rPr>
        <w:t xml:space="preserve">idam</w:t>
      </w:r>
      <w:r>
        <w:t xml:space="preserve"> </w:t>
      </w:r>
      <w:r>
        <w:t xml:space="preserve">and</w:t>
      </w:r>
      <w:r>
        <w:t xml:space="preserve"> </w:t>
      </w:r>
      <w:r>
        <w:rPr>
          <w:iCs/>
          <w:i/>
        </w:rPr>
        <w:t xml:space="preserve">kī</w:t>
      </w:r>
      <w:r>
        <w:t xml:space="preserve"> </w:t>
      </w:r>
      <w:r>
        <w:t xml:space="preserve">for</w:t>
      </w:r>
      <w:r>
        <w:t xml:space="preserve"> </w:t>
      </w:r>
      <w:r>
        <w:rPr>
          <w:iCs/>
          <w:i/>
        </w:rPr>
        <w:t xml:space="preserve">kim</w:t>
      </w:r>
      <w:r>
        <w:t xml:space="preserve">; so</w:t>
      </w:r>
      <w:r>
        <w:t xml:space="preserve"> </w:t>
      </w:r>
      <w:r>
        <w:rPr>
          <w:iCs/>
          <w:i/>
        </w:rPr>
        <w:t xml:space="preserve">īś</w:t>
      </w:r>
      <w:r>
        <w:t xml:space="preserve"> </w:t>
      </w:r>
      <w:r>
        <w:t xml:space="preserve">for</w:t>
      </w:r>
      <w:r>
        <w:t xml:space="preserve"> </w:t>
      </w:r>
      <w:r>
        <w:rPr>
          <w:iCs/>
          <w:i/>
        </w:rPr>
        <w:t xml:space="preserve">idam</w:t>
      </w:r>
      <w:r>
        <w:t xml:space="preserve">; being</w:t>
      </w:r>
      <w:r>
        <w:t xml:space="preserve"> </w:t>
      </w:r>
      <w:r>
        <w:rPr>
          <w:iCs/>
          <w:i/>
        </w:rPr>
        <w:t xml:space="preserve">śit</w:t>
      </w:r>
      <w:r>
        <w:t xml:space="preserve">, by</w:t>
      </w:r>
      <w:r>
        <w:t xml:space="preserve"> </w:t>
      </w:r>
      <w:r>
        <w:t xml:space="preserve">“</w:t>
      </w:r>
      <w:r>
        <w:t xml:space="preserve">anekālśit sarvasya</w:t>
      </w:r>
      <w:r>
        <w:t xml:space="preserve">”</w:t>
      </w:r>
      <w:r>
        <w:t xml:space="preserve"> </w:t>
      </w:r>
      <w:r>
        <w:t xml:space="preserve">(Pā. sū.</w:t>
      </w:r>
    </w:p>
    <w:bookmarkEnd w:id="780"/>
    <w:bookmarkStart w:id="781" w:name="page-714-upper-rik-1-grammar-end"/>
    <w:p>
      <w:pPr>
        <w:pStyle w:val="Heading3"/>
      </w:pPr>
      <w:r>
        <w:t xml:space="preserve">Page 714 (upper) — Rik 1: grammar (end)</w:t>
      </w:r>
    </w:p>
    <w:p>
      <w:pPr>
        <w:pStyle w:val="FirstParagraph"/>
      </w:pPr>
      <w:r>
        <w:t xml:space="preserve">1-1-55) it replaces the whole:</w:t>
      </w:r>
      <w:r>
        <w:t xml:space="preserve"> </w:t>
      </w:r>
      <w:r>
        <w:rPr>
          <w:iCs/>
          <w:i/>
        </w:rPr>
        <w:t xml:space="preserve">īdṛśa</w:t>
      </w:r>
      <w:r>
        <w:t xml:space="preserve">; in the locative singular</w:t>
      </w:r>
      <w:r>
        <w:t xml:space="preserve"> </w:t>
      </w:r>
      <w:r>
        <w:rPr>
          <w:iCs/>
          <w:i/>
        </w:rPr>
        <w:t xml:space="preserve">īdṛśe</w:t>
      </w:r>
      <w:r>
        <w:t xml:space="preserve">. The suffix</w:t>
      </w:r>
      <w:r>
        <w:t xml:space="preserve"> </w:t>
      </w:r>
      <w:r>
        <w:rPr>
          <w:iCs/>
          <w:i/>
        </w:rPr>
        <w:t xml:space="preserve">kañ</w:t>
      </w:r>
      <w:r>
        <w:t xml:space="preserve"> </w:t>
      </w:r>
      <w:r>
        <w:t xml:space="preserve">being</w:t>
      </w:r>
      <w:r>
        <w:t xml:space="preserve"> </w:t>
      </w:r>
      <w:r>
        <w:rPr>
          <w:iCs/>
          <w:i/>
        </w:rPr>
        <w:t xml:space="preserve">kit</w:t>
      </w:r>
      <w:r>
        <w:t xml:space="preserve">,</w:t>
      </w:r>
      <w:r>
        <w:t xml:space="preserve"> </w:t>
      </w:r>
      <w:r>
        <w:rPr>
          <w:iCs/>
          <w:i/>
        </w:rPr>
        <w:t xml:space="preserve">laghūpadha-guṇa</w:t>
      </w:r>
      <w:r>
        <w:t xml:space="preserve"> </w:t>
      </w:r>
      <w:r>
        <w:t xml:space="preserve">does not come in</w:t>
      </w:r>
      <w:r>
        <w:t xml:space="preserve"> </w:t>
      </w:r>
      <w:r>
        <w:rPr>
          <w:iCs/>
          <w:i/>
        </w:rPr>
        <w:t xml:space="preserve">dṛśa</w:t>
      </w:r>
      <w:r>
        <w:t xml:space="preserve">. The suffix is</w:t>
      </w:r>
      <w:r>
        <w:t xml:space="preserve"> </w:t>
      </w:r>
      <w:r>
        <w:rPr>
          <w:iCs/>
          <w:i/>
        </w:rPr>
        <w:t xml:space="preserve">ñit</w:t>
      </w:r>
      <w:r>
        <w:t xml:space="preserve">; so by</w:t>
      </w:r>
      <w:r>
        <w:t xml:space="preserve"> </w:t>
      </w:r>
      <w:r>
        <w:t xml:space="preserve">“</w:t>
      </w:r>
      <w:r>
        <w:t xml:space="preserve">ñnityādir nityam</w:t>
      </w:r>
      <w:r>
        <w:t xml:space="preserve">”</w:t>
      </w:r>
      <w:r>
        <w:t xml:space="preserve"> </w:t>
      </w:r>
      <w:r>
        <w:rPr>
          <w:iCs/>
          <w:i/>
        </w:rPr>
        <w:t xml:space="preserve">dṛśa</w:t>
      </w:r>
      <w:r>
        <w:t xml:space="preserve"> </w:t>
      </w:r>
      <w:r>
        <w:t xml:space="preserve">is initial udātta. After compounding, the accent of the</w:t>
      </w:r>
      <w:r>
        <w:t xml:space="preserve"> </w:t>
      </w:r>
      <w:r>
        <w:rPr>
          <w:iCs/>
          <w:i/>
        </w:rPr>
        <w:t xml:space="preserve">kṛt</w:t>
      </w:r>
      <w:r>
        <w:t xml:space="preserve"> </w:t>
      </w:r>
      <w:r>
        <w:t xml:space="preserve">final member coming by</w:t>
      </w:r>
      <w:r>
        <w:t xml:space="preserve"> </w:t>
      </w:r>
      <w:r>
        <w:t xml:space="preserve">“</w:t>
      </w:r>
      <w:r>
        <w:t xml:space="preserve">gatikārakopapadāt kṛt</w:t>
      </w:r>
      <w:r>
        <w:t xml:space="preserve">”</w:t>
      </w:r>
      <w:r>
        <w:t xml:space="preserve"> </w:t>
      </w:r>
      <w:r>
        <w:t xml:space="preserve">(Pā. sū. 6-2-139),</w:t>
      </w:r>
      <w:r>
        <w:t xml:space="preserve"> </w:t>
      </w:r>
      <w:r>
        <w:rPr>
          <w:iCs/>
          <w:i/>
        </w:rPr>
        <w:t xml:space="preserve">dṛśa</w:t>
      </w:r>
      <w:r>
        <w:t xml:space="preserve"> </w:t>
      </w:r>
      <w:r>
        <w:t xml:space="preserve">stays initial udātta. So</w:t>
      </w:r>
      <w:r>
        <w:t xml:space="preserve"> </w:t>
      </w:r>
      <w:r>
        <w:rPr>
          <w:iCs/>
          <w:i/>
        </w:rPr>
        <w:t xml:space="preserve">īdṛśe</w:t>
      </w:r>
      <w:r>
        <w:t xml:space="preserve"> </w:t>
      </w:r>
      <w:r>
        <w:t xml:space="preserve">is udātta in the middle.</w:t>
      </w:r>
    </w:p>
    <w:p>
      <w:pPr>
        <w:pStyle w:val="BodyText"/>
      </w:pPr>
      <w:r>
        <w:rPr>
          <w:bCs/>
          <w:b/>
        </w:rPr>
        <w:t xml:space="preserve">॥१॥</w:t>
      </w:r>
    </w:p>
    <w:p>
      <w:r>
        <w:pict>
          <v:rect style="width:0;height:1.5pt" o:hralign="center" o:hrstd="t" o:hr="t"/>
        </w:pict>
      </w:r>
    </w:p>
    <w:bookmarkEnd w:id="781"/>
    <w:bookmarkStart w:id="782" w:name="page-714-lower-sūkta-17-rik-2"/>
    <w:p>
      <w:pPr>
        <w:pStyle w:val="Heading3"/>
      </w:pPr>
      <w:r>
        <w:t xml:space="preserve">Page 714 (lower) — Sūkta 17, Rik 2</w:t>
      </w:r>
    </w:p>
    <w:p>
      <w:pPr>
        <w:pStyle w:val="FirstParagraph"/>
      </w:pPr>
      <w:r>
        <w:rPr>
          <w:iCs/>
          <w:i/>
        </w:rPr>
        <w:t xml:space="preserve">(Saṃhitā accents as printed; Pada unaccented. The Saṃhitā prints स्थोवसे without the avagraha.)</w:t>
      </w:r>
    </w:p>
    <w:p>
      <w:pPr>
        <w:pStyle w:val="BodyText"/>
      </w:pPr>
      <w:r>
        <w:rPr>
          <w:bCs/>
          <w:b/>
        </w:rPr>
        <w:t xml:space="preserve">॥ Saṃhitā-pāṭhaḥ ॥</w:t>
      </w:r>
    </w:p>
    <w:p>
      <w:pPr>
        <w:pStyle w:val="BlockText"/>
      </w:pPr>
      <w:r>
        <w:t xml:space="preserve">गन्ता॑रा॒ हि स्थोव॑से॒ हवं॒ विप्र॑स्य॒ माव॑तः ।</w:t>
      </w:r>
      <w:r>
        <w:t xml:space="preserve"> </w:t>
      </w:r>
      <w:r>
        <w:t xml:space="preserve">ध॒र्ता॑रा चर्षणी॒नाम् ॥२॥</w:t>
      </w:r>
    </w:p>
    <w:p>
      <w:pPr>
        <w:pStyle w:val="BlockText"/>
      </w:pPr>
      <w:r>
        <w:rPr>
          <w:iCs/>
          <w:i/>
        </w:rPr>
        <w:t xml:space="preserve">gántārā hí sthóvase hávaṃ víprasya mā́vataḥ |</w:t>
      </w:r>
      <w:r>
        <w:t xml:space="preserve"> </w:t>
      </w:r>
      <w:r>
        <w:rPr>
          <w:iCs/>
          <w:i/>
        </w:rPr>
        <w:t xml:space="preserve">dhartārā carṣaṇīnā́m ||2||</w:t>
      </w:r>
    </w:p>
    <w:p>
      <w:pPr>
        <w:pStyle w:val="FirstParagraph"/>
      </w:pPr>
      <w:r>
        <w:rPr>
          <w:bCs/>
          <w:b/>
        </w:rPr>
        <w:t xml:space="preserve">॥ Pada-pāṭhaḥ ॥</w:t>
      </w:r>
    </w:p>
    <w:p>
      <w:pPr>
        <w:pStyle w:val="BlockText"/>
      </w:pPr>
      <w:r>
        <w:t xml:space="preserve">गन्तारा । हि । स्थः । अवसे । हवम् । विप्रस्य । माऽवतः ॥</w:t>
      </w:r>
      <w:r>
        <w:t xml:space="preserve"> </w:t>
      </w:r>
      <w:r>
        <w:t xml:space="preserve">धर्तारा । चर्षणीनाम् ॥२॥</w:t>
      </w:r>
    </w:p>
    <w:p>
      <w:pPr>
        <w:pStyle w:val="BlockText"/>
      </w:pPr>
      <w:r>
        <w:rPr>
          <w:iCs/>
          <w:i/>
        </w:rPr>
        <w:t xml:space="preserve">gantārā | hi | sthaḥ | avase | havam | viprasya | mā ’vataḥ ||</w:t>
      </w:r>
      <w:r>
        <w:t xml:space="preserve"> </w:t>
      </w:r>
      <w:r>
        <w:rPr>
          <w:iCs/>
          <w:i/>
        </w:rPr>
        <w:t xml:space="preserve">dhartārā | carṣaṇīnām ||2||</w:t>
      </w:r>
    </w:p>
    <w:p>
      <w:pPr>
        <w:pStyle w:val="FirstParagraph"/>
      </w:pPr>
      <w:r>
        <w:rPr>
          <w:bCs/>
          <w:b/>
        </w:rPr>
        <w:t xml:space="preserve">॥ Sāyaṇa-bhāṣyam ॥</w:t>
      </w:r>
    </w:p>
    <w:p>
      <w:pPr>
        <w:pStyle w:val="BodyText"/>
      </w:pPr>
      <w:r>
        <w:rPr>
          <w:iCs/>
          <w:i/>
        </w:rPr>
        <w:t xml:space="preserve">(In लट्[?] the second letter is not clear (ಟ್ or ಙ್); the grammar page has ಲಟ್.)</w:t>
      </w:r>
    </w:p>
    <w:p>
      <w:pPr>
        <w:pStyle w:val="BlockText"/>
      </w:pPr>
      <w:r>
        <w:t xml:space="preserve">हे इन्द्रावरुणौ अवसेऽवितुमनुष्ठातारं रक्षितुं मावतो मद्विधस्य विप्रस्य ब्राह्मणस्यर्त्विजो हवमाह्वानं गन्तारौ स्थो हि । प्राप्तिशीलौ भवथः खलु । कीदृशौ । चर्षणीनां मनुष्याणां धर्तारौ योगक्षेमसंपादनेन धारयितारौ ॥ गन्तारा । गमेस्ताच्छील्ये तृन् । द्विवचनस्य सुपां सुलुगित्यादिनाकारादेशः । ऋदृशोऽङि गुणः । पा. ७-४-१६ । अप्तृन्नित्यादिनोपधादीर्घत्वम् । तृनो नित्त्वादाद्युदात्तत्वम् । स्थः । अस भुवि । लट्[?] मध्यमपुरुषद्विवचनं थस् । अदिप्रभृतिभ्यः शप इति शपो लुक् । हि चेति निघातप्रतिषेधः । अवसे । अव रक्षणे । तुमर्थे सेसेनित्यसेन् । पा. ३-४-९ । नित्त्वादाद्युदात्तः । हवम् । ह्वेञो बहुलं छन्दसीत्यनैमित्तिके संप्रसारणे परपूर्वत्वे च ऋदोरबित्यप् । गुणावादेशौ । अपः पित्त्वादनुदात्तत्वम् । धातुस्वर एव । विप्रस्य । डुवप् बीजतन्तुसंताने । अस्य ऋज्रेन्द्रेत्यादिना रन् निपातितः । नित्त्वा-</w:t>
      </w:r>
    </w:p>
    <w:p>
      <w:pPr>
        <w:pStyle w:val="BlockText"/>
      </w:pPr>
      <w:r>
        <w:rPr>
          <w:iCs/>
          <w:i/>
        </w:rPr>
        <w:t xml:space="preserve">he indrāvaruṇau avase ’vitumanuṣṭhātāraṃ rakṣituṃ māvato madvidhasya viprasya brāhmaṇasyartvijo havamāhvānaṃ gantārau stho hi | prāptiśīlau bhavathaḥ khalu | kīdṛśau | carṣaṇīnāṃ manuṣyāṇāṃ dhartārau yogakṣemasaṃpādanena dhārayitārau || gantārā | gamestācchīlye tṛn | dvivacanasya supāṃ sulugityādinākārādeśaḥ | ṛdṛśo ’ṅi guṇaḥ | pā. 7-4-16 | aptṛnnityādinopadhādīrghatvam | tṛno nittvādādyudāttatvam | sthaḥ | asa bhuvi | laṭ[?] madhyamapuruṣadvivacanaṃ thas | adiprabhṛtibhyaḥ śapa iti śapo luk | hi ceti nighātapratiṣedhaḥ | avase | ava rakṣaṇe | tumarthe sesenityasen | pā. 3-4-9 | nittvādādyudāttaḥ | havam | hveño bahulaṃ chandasītyanaimittike saṃprasāraṇe parapūrvatve ca ṛdorabityap | guṇāvādeśau | apaḥ pittvādanudāttatvam | dhātusvara eva | viprasya | ḍuvap bījatantusaṃtāne | asya ṛjrendretyādinā ran nipātitaḥ | nittvā-</w:t>
      </w:r>
    </w:p>
    <w:bookmarkEnd w:id="782"/>
    <w:bookmarkStart w:id="783" w:name="X392f4b1b16faf51654f9067a60369cf871c3bbe"/>
    <w:p>
      <w:pPr>
        <w:pStyle w:val="Heading3"/>
      </w:pPr>
      <w:r>
        <w:t xml:space="preserve">Page 715 — Rik 2: bhāṣya (end), word-meanings, overall sense, English, Special Topics</w:t>
      </w:r>
    </w:p>
    <w:p>
      <w:pPr>
        <w:pStyle w:val="FirstParagraph"/>
      </w:pPr>
      <w:r>
        <w:rPr>
          <w:iCs/>
          <w:i/>
        </w:rPr>
        <w:t xml:space="preserve">(मतुपः is as printed, for वतुपः.)</w:t>
      </w:r>
    </w:p>
    <w:p>
      <w:pPr>
        <w:pStyle w:val="BlockText"/>
      </w:pPr>
      <w:r>
        <w:t xml:space="preserve">दाद्युदात्तः । मावतः । वतुप्प्रकरणे युष्मदस्मद्भ्यां छन्दसि सादृश्य उपसंख्यानम् । पा. ५-२-३९-१ । वतुप् । प्रत्ययोत्तरपदयोरस्मदो मपर्यन्तस्य मादेशः । पा. ७-२-९८ । आ सर्वनाम्नः । पा. ६-३-९१ । इति दकारस्याकारः । सवर्णदीर्घः । मतुपः पित्त्वादनुदात्तत्वम् । प्रातिपदिकान्तोदात्तत्वे स एव शिष्यते । धर्तारा । धृञ् धारणे । ण्वुल्तृचौ । पा. ३-१-१३३ । इति तृच् । एकाच उपदेश इतीट्प्रतिषेधः । गुणो रपरत्वम् । अप्तृन्नित्यादिनोपधादीर्घः । सुपां सुलुगित्याकारः । तृचश्चित्त्वादन्तोदात्तत्वम् । चर्षणीनाम् । कृषेरादेश्च चः । उ. २-१०४ । इत्यनिप्रत्ययः । तत्संनियोगेन ककारस्य चकारः । प्रत्ययाद्युदात्तत्वं बाधित्वा छान्दसमन्तोदात्तत्वम् । अत एव नामन्यतरस्यामिति विभक्तेरुदात्तत्वम् । तत्र हि मतुपि यो ह्रस्वान्तस्तत उत्तरस्य नाम उदात्तत्वमिति व्याख्यातम् ॥</w:t>
      </w:r>
    </w:p>
    <w:p>
      <w:pPr>
        <w:pStyle w:val="BlockText"/>
      </w:pPr>
      <w:r>
        <w:rPr>
          <w:iCs/>
          <w:i/>
        </w:rPr>
        <w:t xml:space="preserve">dādyudāttaḥ | māvataḥ | vatupprakaraṇe yuṣmadasmadbhyāṃ chandasi sādṛśya upasaṃkhyānam | pā. 5-2-39-1 | vatup | pratyayottarapadayorasmado maparyantasya mādeśaḥ | pā. 7-2-98 | ā sarvanāmnaḥ | pā. 6-3-91 | iti dakārasyākāraḥ | savarṇadīrghaḥ | matupaḥ pittvādanudāttatvam | prātipadikāntodāttatve sa eva śiṣyate | dhartārā | dhṛñ dhāraṇe | ṇvultṛcau | pā. 3-1-133 | iti tṛc | ekāca upadeśa itīṭpratiṣedhaḥ | guṇo raparatvam | aptṛnnityādinopadhādīrghaḥ | supāṃ sulugityākāraḥ | tṛcaścittvādantodāttatvam | carṣaṇīnām | kṛṣerādeśca caḥ | u. 2-104 | ityanipratyayaḥ | tatsaṃniyogena kakārasya cakāraḥ | pratyayādyudāttatvaṃ bādhitvā chāndasamantodāttatvam | ata eva nāmanyatarasyāmiti vibhakterudāttatvam | tatra hi matupi yo hrasvāntastata uttarasya nāma udāttatvamiti vyākhyātam ||</w:t>
      </w:r>
    </w:p>
    <w:p>
      <w:pPr>
        <w:pStyle w:val="FirstParagraph"/>
      </w:pPr>
      <w:r>
        <w:rPr>
          <w:bCs/>
          <w:b/>
        </w:rPr>
        <w:t xml:space="preserve">Translation:</w:t>
      </w:r>
      <w:r>
        <w:t xml:space="preserve"> </w:t>
      </w:r>
      <w:r>
        <w:t xml:space="preserve">“</w:t>
      </w:r>
      <w:r>
        <w:t xml:space="preserve">O Indra and Varuṇa,</w:t>
      </w:r>
      <w:r>
        <w:t xml:space="preserve"> </w:t>
      </w:r>
      <w:r>
        <w:rPr>
          <w:iCs/>
          <w:i/>
        </w:rPr>
        <w:t xml:space="preserve">avase</w:t>
      </w:r>
      <w:r>
        <w:t xml:space="preserve">, to protect the performer, you are indeed</w:t>
      </w:r>
      <w:r>
        <w:t xml:space="preserve"> </w:t>
      </w:r>
      <w:r>
        <w:rPr>
          <w:iCs/>
          <w:i/>
        </w:rPr>
        <w:t xml:space="preserve">gantārau</w:t>
      </w:r>
      <w:r>
        <w:t xml:space="preserve">, given to coming, to the</w:t>
      </w:r>
      <w:r>
        <w:t xml:space="preserve"> </w:t>
      </w:r>
      <w:r>
        <w:rPr>
          <w:iCs/>
          <w:i/>
        </w:rPr>
        <w:t xml:space="preserve">havam</w:t>
      </w:r>
      <w:r>
        <w:t xml:space="preserve">, the call, of a</w:t>
      </w:r>
      <w:r>
        <w:t xml:space="preserve"> </w:t>
      </w:r>
      <w:r>
        <w:rPr>
          <w:iCs/>
          <w:i/>
        </w:rPr>
        <w:t xml:space="preserve">vipra</w:t>
      </w:r>
      <w:r>
        <w:t xml:space="preserve">, a brahmin priest,</w:t>
      </w:r>
      <w:r>
        <w:t xml:space="preserve"> </w:t>
      </w:r>
      <w:r>
        <w:rPr>
          <w:iCs/>
          <w:i/>
        </w:rPr>
        <w:t xml:space="preserve">māvataḥ</w:t>
      </w:r>
      <w:r>
        <w:t xml:space="preserve">, like me. Of what kind?</w:t>
      </w:r>
      <w:r>
        <w:t xml:space="preserve"> </w:t>
      </w:r>
      <w:r>
        <w:rPr>
          <w:iCs/>
          <w:i/>
        </w:rPr>
        <w:t xml:space="preserve">Dhartārau</w:t>
      </w:r>
      <w:r>
        <w:t xml:space="preserve">, upholders, of</w:t>
      </w:r>
      <w:r>
        <w:t xml:space="preserve"> </w:t>
      </w:r>
      <w:r>
        <w:rPr>
          <w:iCs/>
          <w:i/>
        </w:rPr>
        <w:t xml:space="preserve">carṣaṇi</w:t>
      </w:r>
      <w:r>
        <w:t xml:space="preserve">, men, by bringing about their</w:t>
      </w:r>
      <w:r>
        <w:t xml:space="preserve"> </w:t>
      </w:r>
      <w:r>
        <w:rPr>
          <w:iCs/>
          <w:i/>
        </w:rPr>
        <w:t xml:space="preserve">yogakṣema</w:t>
      </w:r>
      <w:r>
        <w:t xml:space="preserve">.</w:t>
      </w:r>
      <w:r>
        <w:t xml:space="preserve">”</w:t>
      </w:r>
      <w:r>
        <w:t xml:space="preserve"> </w:t>
      </w:r>
      <w:r>
        <w:t xml:space="preserve">(Grammatical tail:</w:t>
      </w:r>
      <w:r>
        <w:t xml:space="preserve"> </w:t>
      </w:r>
      <w:r>
        <w:rPr>
          <w:iCs/>
          <w:i/>
        </w:rPr>
        <w:t xml:space="preserve">gantārā</w:t>
      </w:r>
      <w:r>
        <w:t xml:space="preserve">,</w:t>
      </w:r>
      <w:r>
        <w:t xml:space="preserve"> </w:t>
      </w:r>
      <w:r>
        <w:rPr>
          <w:iCs/>
          <w:i/>
        </w:rPr>
        <w:t xml:space="preserve">tṛn</w:t>
      </w:r>
      <w:r>
        <w:t xml:space="preserve"> </w:t>
      </w:r>
      <w:r>
        <w:t xml:space="preserve">after</w:t>
      </w:r>
      <w:r>
        <w:t xml:space="preserve"> </w:t>
      </w:r>
      <w:r>
        <w:rPr>
          <w:iCs/>
          <w:i/>
        </w:rPr>
        <w:t xml:space="preserve">gam</w:t>
      </w:r>
      <w:r>
        <w:t xml:space="preserve"> </w:t>
      </w:r>
      <w:r>
        <w:t xml:space="preserve">in the sense of habit,</w:t>
      </w:r>
      <w:r>
        <w:t xml:space="preserve"> </w:t>
      </w:r>
      <w:r>
        <w:rPr>
          <w:iCs/>
          <w:i/>
        </w:rPr>
        <w:t xml:space="preserve">ā</w:t>
      </w:r>
      <w:r>
        <w:t xml:space="preserve"> </w:t>
      </w:r>
      <w:r>
        <w:t xml:space="preserve">for the dual by</w:t>
      </w:r>
      <w:r>
        <w:t xml:space="preserve"> </w:t>
      </w:r>
      <w:r>
        <w:rPr>
          <w:iCs/>
          <w:i/>
        </w:rPr>
        <w:t xml:space="preserve">supāṃ suluk…</w:t>
      </w:r>
      <w:r>
        <w:t xml:space="preserve">,</w:t>
      </w:r>
      <w:r>
        <w:t xml:space="preserve"> </w:t>
      </w:r>
      <w:r>
        <w:rPr>
          <w:iCs/>
          <w:i/>
        </w:rPr>
        <w:t xml:space="preserve">guṇa</w:t>
      </w:r>
      <w:r>
        <w:t xml:space="preserve"> </w:t>
      </w:r>
      <w:r>
        <w:t xml:space="preserve">by</w:t>
      </w:r>
      <w:r>
        <w:t xml:space="preserve"> </w:t>
      </w:r>
      <w:r>
        <w:rPr>
          <w:iCs/>
          <w:i/>
        </w:rPr>
        <w:t xml:space="preserve">ṛdṛśo ’ṅi guṇaḥ</w:t>
      </w:r>
      <w:r>
        <w:t xml:space="preserve"> </w:t>
      </w:r>
      <w:r>
        <w:t xml:space="preserve">(Pā. 7-4-16), the penultimate lengthened by</w:t>
      </w:r>
      <w:r>
        <w:t xml:space="preserve"> </w:t>
      </w:r>
      <w:r>
        <w:rPr>
          <w:iCs/>
          <w:i/>
        </w:rPr>
        <w:t xml:space="preserve">aptṛn…</w:t>
      </w:r>
      <w:r>
        <w:t xml:space="preserve">, initial udātta as</w:t>
      </w:r>
      <w:r>
        <w:t xml:space="preserve"> </w:t>
      </w:r>
      <w:r>
        <w:rPr>
          <w:iCs/>
          <w:i/>
        </w:rPr>
        <w:t xml:space="preserve">tṛn</w:t>
      </w:r>
      <w:r>
        <w:t xml:space="preserve"> </w:t>
      </w:r>
      <w:r>
        <w:t xml:space="preserve">is</w:t>
      </w:r>
      <w:r>
        <w:t xml:space="preserve"> </w:t>
      </w:r>
      <w:r>
        <w:rPr>
          <w:iCs/>
          <w:i/>
        </w:rPr>
        <w:t xml:space="preserve">nit</w:t>
      </w:r>
      <w:r>
        <w:t xml:space="preserve">;</w:t>
      </w:r>
      <w:r>
        <w:t xml:space="preserve"> </w:t>
      </w:r>
      <w:r>
        <w:rPr>
          <w:iCs/>
          <w:i/>
        </w:rPr>
        <w:t xml:space="preserve">sthaḥ</w:t>
      </w:r>
      <w:r>
        <w:t xml:space="preserve">,</w:t>
      </w:r>
      <w:r>
        <w:t xml:space="preserve"> </w:t>
      </w:r>
      <w:r>
        <w:rPr>
          <w:iCs/>
          <w:i/>
        </w:rPr>
        <w:t xml:space="preserve">asa bhuvi</w:t>
      </w:r>
      <w:r>
        <w:t xml:space="preserve">, 2nd dual</w:t>
      </w:r>
      <w:r>
        <w:t xml:space="preserve"> </w:t>
      </w:r>
      <w:r>
        <w:rPr>
          <w:iCs/>
          <w:i/>
        </w:rPr>
        <w:t xml:space="preserve">thas</w:t>
      </w:r>
      <w:r>
        <w:t xml:space="preserve">,</w:t>
      </w:r>
      <w:r>
        <w:t xml:space="preserve"> </w:t>
      </w:r>
      <w:r>
        <w:rPr>
          <w:iCs/>
          <w:i/>
        </w:rPr>
        <w:t xml:space="preserve">śap</w:t>
      </w:r>
      <w:r>
        <w:t xml:space="preserve"> </w:t>
      </w:r>
      <w:r>
        <w:t xml:space="preserve">dropped by</w:t>
      </w:r>
      <w:r>
        <w:t xml:space="preserve"> </w:t>
      </w:r>
      <w:r>
        <w:rPr>
          <w:iCs/>
          <w:i/>
        </w:rPr>
        <w:t xml:space="preserve">adiprabhṛtibhyaḥ</w:t>
      </w:r>
      <w:r>
        <w:t xml:space="preserve">, the lowering barred by</w:t>
      </w:r>
      <w:r>
        <w:t xml:space="preserve"> </w:t>
      </w:r>
      <w:r>
        <w:rPr>
          <w:iCs/>
          <w:i/>
        </w:rPr>
        <w:t xml:space="preserve">hi ca</w:t>
      </w:r>
      <w:r>
        <w:t xml:space="preserve">;</w:t>
      </w:r>
      <w:r>
        <w:t xml:space="preserve"> </w:t>
      </w:r>
      <w:r>
        <w:rPr>
          <w:iCs/>
          <w:i/>
        </w:rPr>
        <w:t xml:space="preserve">avase</w:t>
      </w:r>
      <w:r>
        <w:t xml:space="preserve">,</w:t>
      </w:r>
      <w:r>
        <w:t xml:space="preserve"> </w:t>
      </w:r>
      <w:r>
        <w:rPr>
          <w:iCs/>
          <w:i/>
        </w:rPr>
        <w:t xml:space="preserve">ava rakṣaṇe</w:t>
      </w:r>
      <w:r>
        <w:t xml:space="preserve">,</w:t>
      </w:r>
      <w:r>
        <w:t xml:space="preserve"> </w:t>
      </w:r>
      <w:r>
        <w:rPr>
          <w:iCs/>
          <w:i/>
        </w:rPr>
        <w:t xml:space="preserve">asen</w:t>
      </w:r>
      <w:r>
        <w:t xml:space="preserve"> </w:t>
      </w:r>
      <w:r>
        <w:t xml:space="preserve">in the sense of the infinitive (Pā. 3-4-9), initial udātta as</w:t>
      </w:r>
      <w:r>
        <w:t xml:space="preserve"> </w:t>
      </w:r>
      <w:r>
        <w:rPr>
          <w:iCs/>
          <w:i/>
        </w:rPr>
        <w:t xml:space="preserve">nit</w:t>
      </w:r>
      <w:r>
        <w:t xml:space="preserve">;</w:t>
      </w:r>
      <w:r>
        <w:t xml:space="preserve"> </w:t>
      </w:r>
      <w:r>
        <w:rPr>
          <w:iCs/>
          <w:i/>
        </w:rPr>
        <w:t xml:space="preserve">havam</w:t>
      </w:r>
      <w:r>
        <w:t xml:space="preserve">,</w:t>
      </w:r>
      <w:r>
        <w:t xml:space="preserve"> </w:t>
      </w:r>
      <w:r>
        <w:rPr>
          <w:iCs/>
          <w:i/>
        </w:rPr>
        <w:t xml:space="preserve">hveñ</w:t>
      </w:r>
      <w:r>
        <w:t xml:space="preserve"> </w:t>
      </w:r>
      <w:r>
        <w:t xml:space="preserve">with</w:t>
      </w:r>
      <w:r>
        <w:t xml:space="preserve"> </w:t>
      </w:r>
      <w:r>
        <w:rPr>
          <w:iCs/>
          <w:i/>
        </w:rPr>
        <w:t xml:space="preserve">saṃprasāraṇa</w:t>
      </w:r>
      <w:r>
        <w:t xml:space="preserve"> </w:t>
      </w:r>
      <w:r>
        <w:t xml:space="preserve">by</w:t>
      </w:r>
      <w:r>
        <w:t xml:space="preserve"> </w:t>
      </w:r>
      <w:r>
        <w:rPr>
          <w:iCs/>
          <w:i/>
        </w:rPr>
        <w:t xml:space="preserve">bahulaṃ chandasi</w:t>
      </w:r>
      <w:r>
        <w:t xml:space="preserve">,</w:t>
      </w:r>
      <w:r>
        <w:t xml:space="preserve"> </w:t>
      </w:r>
      <w:r>
        <w:rPr>
          <w:iCs/>
          <w:i/>
        </w:rPr>
        <w:t xml:space="preserve">ap</w:t>
      </w:r>
      <w:r>
        <w:t xml:space="preserve"> </w:t>
      </w:r>
      <w:r>
        <w:t xml:space="preserve">by</w:t>
      </w:r>
      <w:r>
        <w:t xml:space="preserve"> </w:t>
      </w:r>
      <w:r>
        <w:rPr>
          <w:iCs/>
          <w:i/>
        </w:rPr>
        <w:t xml:space="preserve">ṛdor ap</w:t>
      </w:r>
      <w:r>
        <w:t xml:space="preserve">,</w:t>
      </w:r>
      <w:r>
        <w:t xml:space="preserve"> </w:t>
      </w:r>
      <w:r>
        <w:rPr>
          <w:iCs/>
          <w:i/>
        </w:rPr>
        <w:t xml:space="preserve">guṇa</w:t>
      </w:r>
      <w:r>
        <w:t xml:space="preserve"> </w:t>
      </w:r>
      <w:r>
        <w:t xml:space="preserve">and</w:t>
      </w:r>
      <w:r>
        <w:t xml:space="preserve"> </w:t>
      </w:r>
      <w:r>
        <w:rPr>
          <w:iCs/>
          <w:i/>
        </w:rPr>
        <w:t xml:space="preserve">av</w:t>
      </w:r>
      <w:r>
        <w:t xml:space="preserve">,</w:t>
      </w:r>
      <w:r>
        <w:t xml:space="preserve"> </w:t>
      </w:r>
      <w:r>
        <w:rPr>
          <w:iCs/>
          <w:i/>
        </w:rPr>
        <w:t xml:space="preserve">ap</w:t>
      </w:r>
      <w:r>
        <w:t xml:space="preserve"> </w:t>
      </w:r>
      <w:r>
        <w:t xml:space="preserve">unaccented as</w:t>
      </w:r>
      <w:r>
        <w:t xml:space="preserve"> </w:t>
      </w:r>
      <w:r>
        <w:rPr>
          <w:iCs/>
          <w:i/>
        </w:rPr>
        <w:t xml:space="preserve">pit</w:t>
      </w:r>
      <w:r>
        <w:t xml:space="preserve">, the root accent;</w:t>
      </w:r>
      <w:r>
        <w:t xml:space="preserve"> </w:t>
      </w:r>
      <w:r>
        <w:rPr>
          <w:iCs/>
          <w:i/>
        </w:rPr>
        <w:t xml:space="preserve">viprasya</w:t>
      </w:r>
      <w:r>
        <w:t xml:space="preserve">,</w:t>
      </w:r>
      <w:r>
        <w:t xml:space="preserve"> </w:t>
      </w:r>
      <w:r>
        <w:rPr>
          <w:iCs/>
          <w:i/>
        </w:rPr>
        <w:t xml:space="preserve">ḍuvap bījatantusaṃtāne</w:t>
      </w:r>
      <w:r>
        <w:t xml:space="preserve">,</w:t>
      </w:r>
      <w:r>
        <w:t xml:space="preserve"> </w:t>
      </w:r>
      <w:r>
        <w:rPr>
          <w:iCs/>
          <w:i/>
        </w:rPr>
        <w:t xml:space="preserve">ran</w:t>
      </w:r>
      <w:r>
        <w:t xml:space="preserve"> </w:t>
      </w:r>
      <w:r>
        <w:t xml:space="preserve">by</w:t>
      </w:r>
      <w:r>
        <w:t xml:space="preserve"> </w:t>
      </w:r>
      <w:r>
        <w:rPr>
          <w:iCs/>
          <w:i/>
        </w:rPr>
        <w:t xml:space="preserve">ṛjrendra…</w:t>
      </w:r>
      <w:r>
        <w:t xml:space="preserve">, initial udātta as</w:t>
      </w:r>
      <w:r>
        <w:t xml:space="preserve"> </w:t>
      </w:r>
      <w:r>
        <w:rPr>
          <w:iCs/>
          <w:i/>
        </w:rPr>
        <w:t xml:space="preserve">nit</w:t>
      </w:r>
      <w:r>
        <w:t xml:space="preserve">;</w:t>
      </w:r>
      <w:r>
        <w:t xml:space="preserve"> </w:t>
      </w:r>
      <w:r>
        <w:rPr>
          <w:iCs/>
          <w:i/>
        </w:rPr>
        <w:t xml:space="preserve">māvataḥ</w:t>
      </w:r>
      <w:r>
        <w:t xml:space="preserve">,</w:t>
      </w:r>
      <w:r>
        <w:t xml:space="preserve"> </w:t>
      </w:r>
      <w:r>
        <w:rPr>
          <w:iCs/>
          <w:i/>
        </w:rPr>
        <w:t xml:space="preserve">vatup</w:t>
      </w:r>
      <w:r>
        <w:t xml:space="preserve"> </w:t>
      </w:r>
      <w:r>
        <w:t xml:space="preserve">in the sense of likeness after</w:t>
      </w:r>
      <w:r>
        <w:t xml:space="preserve"> </w:t>
      </w:r>
      <w:r>
        <w:rPr>
          <w:iCs/>
          <w:i/>
        </w:rPr>
        <w:t xml:space="preserve">asmad</w:t>
      </w:r>
      <w:r>
        <w:t xml:space="preserve"> </w:t>
      </w:r>
      <w:r>
        <w:t xml:space="preserve">in the Veda (Pā. 5-2-39-1),</w:t>
      </w:r>
      <w:r>
        <w:t xml:space="preserve"> </w:t>
      </w:r>
      <w:r>
        <w:rPr>
          <w:iCs/>
          <w:i/>
        </w:rPr>
        <w:t xml:space="preserve">ma</w:t>
      </w:r>
      <w:r>
        <w:t xml:space="preserve"> </w:t>
      </w:r>
      <w:r>
        <w:t xml:space="preserve">for the part up to</w:t>
      </w:r>
      <w:r>
        <w:t xml:space="preserve"> </w:t>
      </w:r>
      <w:r>
        <w:rPr>
          <w:iCs/>
          <w:i/>
        </w:rPr>
        <w:t xml:space="preserve">m</w:t>
      </w:r>
      <w:r>
        <w:t xml:space="preserve"> </w:t>
      </w:r>
      <w:r>
        <w:t xml:space="preserve">(Pā. 7-2-98),</w:t>
      </w:r>
      <w:r>
        <w:t xml:space="preserve"> </w:t>
      </w:r>
      <w:r>
        <w:rPr>
          <w:iCs/>
          <w:i/>
        </w:rPr>
        <w:t xml:space="preserve">ā</w:t>
      </w:r>
      <w:r>
        <w:t xml:space="preserve"> </w:t>
      </w:r>
      <w:r>
        <w:t xml:space="preserve">for the</w:t>
      </w:r>
      <w:r>
        <w:t xml:space="preserve"> </w:t>
      </w:r>
      <w:r>
        <w:rPr>
          <w:iCs/>
          <w:i/>
        </w:rPr>
        <w:t xml:space="preserve">d</w:t>
      </w:r>
      <w:r>
        <w:t xml:space="preserve"> </w:t>
      </w:r>
      <w:r>
        <w:t xml:space="preserve">(Pā. 6-3-91), lengthening, the suffix unaccented as</w:t>
      </w:r>
      <w:r>
        <w:t xml:space="preserve"> </w:t>
      </w:r>
      <w:r>
        <w:rPr>
          <w:iCs/>
          <w:i/>
        </w:rPr>
        <w:t xml:space="preserve">pit</w:t>
      </w:r>
      <w:r>
        <w:t xml:space="preserve">, and the stem-final udātta stays;</w:t>
      </w:r>
      <w:r>
        <w:t xml:space="preserve"> </w:t>
      </w:r>
      <w:r>
        <w:rPr>
          <w:iCs/>
          <w:i/>
        </w:rPr>
        <w:t xml:space="preserve">dhartārā</w:t>
      </w:r>
      <w:r>
        <w:t xml:space="preserve">,</w:t>
      </w:r>
      <w:r>
        <w:t xml:space="preserve"> </w:t>
      </w:r>
      <w:r>
        <w:rPr>
          <w:iCs/>
          <w:i/>
        </w:rPr>
        <w:t xml:space="preserve">dhṛñ dhāraṇe</w:t>
      </w:r>
      <w:r>
        <w:t xml:space="preserve">,</w:t>
      </w:r>
      <w:r>
        <w:t xml:space="preserve"> </w:t>
      </w:r>
      <w:r>
        <w:rPr>
          <w:iCs/>
          <w:i/>
        </w:rPr>
        <w:t xml:space="preserve">tṛc</w:t>
      </w:r>
      <w:r>
        <w:t xml:space="preserve"> </w:t>
      </w:r>
      <w:r>
        <w:t xml:space="preserve">(Pā. 3-1-133), no</w:t>
      </w:r>
      <w:r>
        <w:t xml:space="preserve"> </w:t>
      </w:r>
      <w:r>
        <w:rPr>
          <w:iCs/>
          <w:i/>
        </w:rPr>
        <w:t xml:space="preserve">iṭ</w:t>
      </w:r>
      <w:r>
        <w:t xml:space="preserve"> </w:t>
      </w:r>
      <w:r>
        <w:t xml:space="preserve">by</w:t>
      </w:r>
      <w:r>
        <w:t xml:space="preserve"> </w:t>
      </w:r>
      <w:r>
        <w:rPr>
          <w:iCs/>
          <w:i/>
        </w:rPr>
        <w:t xml:space="preserve">ekāca upadeśe…</w:t>
      </w:r>
      <w:r>
        <w:t xml:space="preserve">,</w:t>
      </w:r>
      <w:r>
        <w:t xml:space="preserve"> </w:t>
      </w:r>
      <w:r>
        <w:rPr>
          <w:iCs/>
          <w:i/>
        </w:rPr>
        <w:t xml:space="preserve">guṇa</w:t>
      </w:r>
      <w:r>
        <w:t xml:space="preserve"> </w:t>
      </w:r>
      <w:r>
        <w:t xml:space="preserve">with</w:t>
      </w:r>
      <w:r>
        <w:t xml:space="preserve"> </w:t>
      </w:r>
      <w:r>
        <w:rPr>
          <w:iCs/>
          <w:i/>
        </w:rPr>
        <w:t xml:space="preserve">r</w:t>
      </w:r>
      <w:r>
        <w:t xml:space="preserve">, lengthening,</w:t>
      </w:r>
      <w:r>
        <w:t xml:space="preserve"> </w:t>
      </w:r>
      <w:r>
        <w:rPr>
          <w:iCs/>
          <w:i/>
        </w:rPr>
        <w:t xml:space="preserve">ā</w:t>
      </w:r>
      <w:r>
        <w:t xml:space="preserve"> </w:t>
      </w:r>
      <w:r>
        <w:t xml:space="preserve">for the dual, final udātta as</w:t>
      </w:r>
      <w:r>
        <w:t xml:space="preserve"> </w:t>
      </w:r>
      <w:r>
        <w:rPr>
          <w:iCs/>
          <w:i/>
        </w:rPr>
        <w:t xml:space="preserve">tṛc</w:t>
      </w:r>
      <w:r>
        <w:t xml:space="preserve"> </w:t>
      </w:r>
      <w:r>
        <w:t xml:space="preserve">is</w:t>
      </w:r>
      <w:r>
        <w:t xml:space="preserve"> </w:t>
      </w:r>
      <w:r>
        <w:rPr>
          <w:iCs/>
          <w:i/>
        </w:rPr>
        <w:t xml:space="preserve">cit</w:t>
      </w:r>
      <w:r>
        <w:t xml:space="preserve">;</w:t>
      </w:r>
      <w:r>
        <w:t xml:space="preserve"> </w:t>
      </w:r>
      <w:r>
        <w:rPr>
          <w:iCs/>
          <w:i/>
        </w:rPr>
        <w:t xml:space="preserve">carṣaṇīnām</w:t>
      </w:r>
      <w:r>
        <w:t xml:space="preserve">,</w:t>
      </w:r>
      <w:r>
        <w:t xml:space="preserve"> </w:t>
      </w:r>
      <w:r>
        <w:rPr>
          <w:iCs/>
          <w:i/>
        </w:rPr>
        <w:t xml:space="preserve">ani</w:t>
      </w:r>
      <w:r>
        <w:t xml:space="preserve"> </w:t>
      </w:r>
      <w:r>
        <w:t xml:space="preserve">by</w:t>
      </w:r>
      <w:r>
        <w:t xml:space="preserve"> </w:t>
      </w:r>
      <w:r>
        <w:rPr>
          <w:iCs/>
          <w:i/>
        </w:rPr>
        <w:t xml:space="preserve">kṛṣer ādeś ca caḥ</w:t>
      </w:r>
      <w:r>
        <w:t xml:space="preserve"> </w:t>
      </w:r>
      <w:r>
        <w:t xml:space="preserve">(Uṇ. 2-104),</w:t>
      </w:r>
      <w:r>
        <w:t xml:space="preserve"> </w:t>
      </w:r>
      <w:r>
        <w:rPr>
          <w:iCs/>
          <w:i/>
        </w:rPr>
        <w:t xml:space="preserve">c</w:t>
      </w:r>
      <w:r>
        <w:t xml:space="preserve"> </w:t>
      </w:r>
      <w:r>
        <w:t xml:space="preserve">for</w:t>
      </w:r>
      <w:r>
        <w:t xml:space="preserve"> </w:t>
      </w:r>
      <w:r>
        <w:rPr>
          <w:iCs/>
          <w:i/>
        </w:rPr>
        <w:t xml:space="preserve">k</w:t>
      </w:r>
      <w:r>
        <w:t xml:space="preserve"> </w:t>
      </w:r>
      <w:r>
        <w:t xml:space="preserve">with it; overriding the suffix-initial udātta, a Vedic final udātta; so the ending is udātta by</w:t>
      </w:r>
      <w:r>
        <w:t xml:space="preserve"> </w:t>
      </w:r>
      <w:r>
        <w:rPr>
          <w:iCs/>
          <w:i/>
        </w:rPr>
        <w:t xml:space="preserve">nām anyatarasyām</w:t>
      </w:r>
      <w:r>
        <w:t xml:space="preserve">, explained there as</w:t>
      </w:r>
      <w:r>
        <w:t xml:space="preserve"> </w:t>
      </w:r>
      <w:r>
        <w:t xml:space="preserve">“</w:t>
      </w:r>
      <w:r>
        <w:rPr>
          <w:iCs/>
          <w:i/>
        </w:rPr>
        <w:t xml:space="preserve">nām</w:t>
      </w:r>
      <w:r>
        <w:t xml:space="preserve"> </w:t>
      </w:r>
      <w:r>
        <w:t xml:space="preserve">after what ends in a short vowel before</w:t>
      </w:r>
      <w:r>
        <w:t xml:space="preserve"> </w:t>
      </w:r>
      <w:r>
        <w:rPr>
          <w:iCs/>
          <w:i/>
        </w:rPr>
        <w:t xml:space="preserve">matup</w:t>
      </w:r>
      <w:r>
        <w:t xml:space="preserve">”</w:t>
      </w:r>
      <w:r>
        <w:t xml:space="preserve">.)</w:t>
      </w:r>
    </w:p>
    <w:p>
      <w:pPr>
        <w:pStyle w:val="BodyText"/>
      </w:pPr>
      <w:r>
        <w:rPr>
          <w:bCs/>
          <w:b/>
        </w:rPr>
        <w:t xml:space="preserve">॥ Prati-padārthaḥ ॥</w:t>
      </w:r>
    </w:p>
    <w:p>
      <w:pPr>
        <w:pStyle w:val="BodyText"/>
      </w:pPr>
      <w:r>
        <w:t xml:space="preserve">(</w:t>
      </w:r>
      <w:r>
        <w:rPr>
          <w:bCs/>
          <w:b/>
        </w:rPr>
        <w:t xml:space="preserve">हे इन्द्रावरुणौ (he indrāvaruṇau)</w:t>
      </w:r>
      <w:r>
        <w:t xml:space="preserve"> </w:t>
      </w:r>
      <w:r>
        <w:t xml:space="preserve">— O Indra and Varuṇa) |</w:t>
      </w:r>
      <w:r>
        <w:t xml:space="preserve"> </w:t>
      </w:r>
      <w:r>
        <w:rPr>
          <w:bCs/>
          <w:b/>
        </w:rPr>
        <w:t xml:space="preserve">चर्षणीनाम् (carṣaṇīnām)</w:t>
      </w:r>
      <w:r>
        <w:t xml:space="preserve"> </w:t>
      </w:r>
      <w:r>
        <w:t xml:space="preserve">— of men |</w:t>
      </w:r>
      <w:r>
        <w:t xml:space="preserve"> </w:t>
      </w:r>
      <w:r>
        <w:rPr>
          <w:bCs/>
          <w:b/>
        </w:rPr>
        <w:t xml:space="preserve">धर्तारौ (dhartārau)</w:t>
      </w:r>
      <w:r>
        <w:t xml:space="preserve"> </w:t>
      </w:r>
      <w:r>
        <w:t xml:space="preserve">— upholders (of their</w:t>
      </w:r>
      <w:r>
        <w:t xml:space="preserve"> </w:t>
      </w:r>
      <w:r>
        <w:rPr>
          <w:iCs/>
          <w:i/>
        </w:rPr>
        <w:t xml:space="preserve">yogakṣema</w:t>
      </w:r>
      <w:r>
        <w:t xml:space="preserve">) (you are) |</w:t>
      </w:r>
      <w:r>
        <w:t xml:space="preserve"> </w:t>
      </w:r>
      <w:r>
        <w:rPr>
          <w:bCs/>
          <w:b/>
        </w:rPr>
        <w:t xml:space="preserve">अवसे (avase)</w:t>
      </w:r>
      <w:r>
        <w:t xml:space="preserve"> </w:t>
      </w:r>
      <w:r>
        <w:t xml:space="preserve">— for protection (of the sacrificer) |</w:t>
      </w:r>
      <w:r>
        <w:t xml:space="preserve"> </w:t>
      </w:r>
      <w:r>
        <w:rPr>
          <w:bCs/>
          <w:b/>
        </w:rPr>
        <w:t xml:space="preserve">मावतः (māvataḥ)</w:t>
      </w:r>
      <w:r>
        <w:t xml:space="preserve"> </w:t>
      </w:r>
      <w:r>
        <w:t xml:space="preserve">— of one like me |</w:t>
      </w:r>
      <w:r>
        <w:t xml:space="preserve"> </w:t>
      </w:r>
      <w:r>
        <w:rPr>
          <w:bCs/>
          <w:b/>
        </w:rPr>
        <w:t xml:space="preserve">विप्रस्य (viprasya)</w:t>
      </w:r>
      <w:r>
        <w:t xml:space="preserve"> </w:t>
      </w:r>
      <w:r>
        <w:t xml:space="preserve">— of the priest (a brahmin) |</w:t>
      </w:r>
      <w:r>
        <w:t xml:space="preserve"> </w:t>
      </w:r>
      <w:r>
        <w:rPr>
          <w:bCs/>
          <w:b/>
        </w:rPr>
        <w:t xml:space="preserve">हवम् (havam)</w:t>
      </w:r>
      <w:r>
        <w:t xml:space="preserve"> </w:t>
      </w:r>
      <w:r>
        <w:t xml:space="preserve">— the call (honouring it) |</w:t>
      </w:r>
      <w:r>
        <w:t xml:space="preserve"> </w:t>
      </w:r>
      <w:r>
        <w:rPr>
          <w:bCs/>
          <w:b/>
        </w:rPr>
        <w:t xml:space="preserve">गन्तारा स्थः हि (gantārā sthaḥ hi)</w:t>
      </w:r>
      <w:r>
        <w:t xml:space="preserve"> </w:t>
      </w:r>
      <w:r>
        <w:t xml:space="preserve">— you are indeed of the nature of coming.</w:t>
      </w:r>
    </w:p>
    <w:p>
      <w:pPr>
        <w:pStyle w:val="BodyText"/>
      </w:pPr>
      <w:r>
        <w:rPr>
          <w:bCs/>
          <w:b/>
        </w:rPr>
        <w:t xml:space="preserve">॥ Bhāvārthaḥ ॥</w:t>
      </w:r>
    </w:p>
    <w:p>
      <w:pPr>
        <w:pStyle w:val="BodyText"/>
      </w:pPr>
      <w:r>
        <w:t xml:space="preserve">O Indra and Varuṇa, you look after the</w:t>
      </w:r>
      <w:r>
        <w:t xml:space="preserve"> </w:t>
      </w:r>
      <w:r>
        <w:rPr>
          <w:iCs/>
          <w:i/>
        </w:rPr>
        <w:t xml:space="preserve">yogakṣema</w:t>
      </w:r>
      <w:r>
        <w:t xml:space="preserve"> </w:t>
      </w:r>
      <w:r>
        <w:t xml:space="preserve">of men. So you are of the nature to come here without fail, honouring my call, for the protection of a priest like me.</w:t>
      </w:r>
    </w:p>
    <w:p>
      <w:pPr>
        <w:pStyle w:val="BodyText"/>
      </w:pPr>
      <w:r>
        <w:rPr>
          <w:bCs/>
          <w:b/>
        </w:rPr>
        <w:t xml:space="preserve">॥ English Translation ॥</w:t>
      </w:r>
      <w:r>
        <w:t xml:space="preserve"> </w:t>
      </w:r>
      <w:r>
        <w:rPr>
          <w:iCs/>
          <w:i/>
        </w:rPr>
        <w:t xml:space="preserve">(as printed in the source)</w:t>
      </w:r>
    </w:p>
    <w:p>
      <w:pPr>
        <w:pStyle w:val="BlockText"/>
      </w:pPr>
      <w:r>
        <w:t xml:space="preserve">O Indra and Varuna, you are the protectors of the people and you go at the call of a minister like me to protect him.</w:t>
      </w:r>
    </w:p>
    <w:p>
      <w:pPr>
        <w:pStyle w:val="FirstParagraph"/>
      </w:pPr>
      <w:r>
        <w:rPr>
          <w:bCs/>
          <w:b/>
        </w:rPr>
        <w:t xml:space="preserve">॥ Viśeṣa-viṣayagaḷu (Special Topics) ॥</w:t>
      </w:r>
    </w:p>
    <w:p>
      <w:pPr>
        <w:pStyle w:val="BodyText"/>
      </w:pPr>
      <w:r>
        <w:rPr>
          <w:bCs/>
          <w:b/>
        </w:rPr>
        <w:t xml:space="preserve">Viprasya</w:t>
      </w:r>
      <w:r>
        <w:t xml:space="preserve">: though the word</w:t>
      </w:r>
      <w:r>
        <w:t xml:space="preserve"> </w:t>
      </w:r>
      <w:r>
        <w:rPr>
          <w:iCs/>
          <w:i/>
        </w:rPr>
        <w:t xml:space="preserve">vipra</w:t>
      </w:r>
      <w:r>
        <w:t xml:space="preserve"> </w:t>
      </w:r>
      <w:r>
        <w:t xml:space="preserve">means</w:t>
      </w:r>
      <w:r>
        <w:t xml:space="preserve"> </w:t>
      </w:r>
      <w:r>
        <w:t xml:space="preserve">“</w:t>
      </w:r>
      <w:r>
        <w:t xml:space="preserve">wise</w:t>
      </w:r>
      <w:r>
        <w:t xml:space="preserve">”</w:t>
      </w:r>
      <w:r>
        <w:t xml:space="preserve">, here the sense</w:t>
      </w:r>
      <w:r>
        <w:t xml:space="preserve"> </w:t>
      </w:r>
      <w:r>
        <w:t xml:space="preserve">“</w:t>
      </w:r>
      <w:r>
        <w:t xml:space="preserve">one who is praising</w:t>
      </w:r>
      <w:r>
        <w:t xml:space="preserve">”</w:t>
      </w:r>
      <w:r>
        <w:t xml:space="preserve"> </w:t>
      </w:r>
      <w:r>
        <w:t xml:space="preserve">fits well.</w:t>
      </w:r>
    </w:p>
    <w:p>
      <w:pPr>
        <w:pStyle w:val="BodyText"/>
      </w:pPr>
      <w:r>
        <w:rPr>
          <w:bCs/>
          <w:b/>
        </w:rPr>
        <w:t xml:space="preserve">Māvataḥ</w:t>
      </w:r>
      <w:r>
        <w:t xml:space="preserve">:</w:t>
      </w:r>
    </w:p>
    <w:p>
      <w:pPr>
        <w:pStyle w:val="BlockText"/>
      </w:pPr>
      <w:r>
        <w:t xml:space="preserve">मद्विधस्य</w:t>
      </w:r>
    </w:p>
    <w:p>
      <w:pPr>
        <w:pStyle w:val="BlockText"/>
      </w:pPr>
      <w:r>
        <w:rPr>
          <w:iCs/>
          <w:i/>
        </w:rPr>
        <w:t xml:space="preserve">madvidhasya</w:t>
      </w:r>
    </w:p>
    <w:p>
      <w:pPr>
        <w:pStyle w:val="FirstParagraph"/>
      </w:pPr>
      <w:r>
        <w:t xml:space="preserve">(</w:t>
      </w:r>
      <w:r>
        <w:t xml:space="preserve">“</w:t>
      </w:r>
      <w:r>
        <w:t xml:space="preserve">Of one like me.</w:t>
      </w:r>
      <w:r>
        <w:t xml:space="preserve">”</w:t>
      </w:r>
      <w:r>
        <w:t xml:space="preserve">) Like me: that is, to the sacrificer who praises you as I do.</w:t>
      </w:r>
    </w:p>
    <w:p>
      <w:pPr>
        <w:pStyle w:val="BodyText"/>
      </w:pPr>
      <w:r>
        <w:rPr>
          <w:bCs/>
          <w:b/>
        </w:rPr>
        <w:t xml:space="preserve">Dhartārā</w:t>
      </w:r>
      <w:r>
        <w:t xml:space="preserve">:</w:t>
      </w:r>
    </w:p>
    <w:p>
      <w:pPr>
        <w:pStyle w:val="BlockText"/>
      </w:pPr>
      <w:r>
        <w:t xml:space="preserve">धृञ् धारणे । योगक्षेमसंपादनेन धारयितारौ ।</w:t>
      </w:r>
    </w:p>
    <w:p>
      <w:pPr>
        <w:pStyle w:val="BlockText"/>
      </w:pPr>
      <w:r>
        <w:rPr>
          <w:iCs/>
          <w:i/>
        </w:rPr>
        <w:t xml:space="preserve">dhṛñ dhāraṇe | yogakṣemasaṃpādanena dhārayitārau |</w:t>
      </w:r>
    </w:p>
    <w:p>
      <w:pPr>
        <w:pStyle w:val="FirstParagraph"/>
      </w:pPr>
      <w:r>
        <w:t xml:space="preserve">(</w:t>
      </w:r>
      <w:r>
        <w:t xml:space="preserve">“</w:t>
      </w:r>
      <w:r>
        <w:rPr>
          <w:iCs/>
          <w:i/>
        </w:rPr>
        <w:t xml:space="preserve">Dhṛñ</w:t>
      </w:r>
      <w:r>
        <w:t xml:space="preserve">, to hold; who uphold by bringing about</w:t>
      </w:r>
      <w:r>
        <w:t xml:space="preserve"> </w:t>
      </w:r>
      <w:r>
        <w:rPr>
          <w:iCs/>
          <w:i/>
        </w:rPr>
        <w:t xml:space="preserve">yogakṣema</w:t>
      </w:r>
      <w:r>
        <w:t xml:space="preserve">.</w:t>
      </w:r>
      <w:r>
        <w:t xml:space="preserve">”</w:t>
      </w:r>
      <w:r>
        <w:t xml:space="preserve">) Those who uphold the</w:t>
      </w:r>
      <w:r>
        <w:t xml:space="preserve"> </w:t>
      </w:r>
      <w:r>
        <w:rPr>
          <w:iCs/>
          <w:i/>
        </w:rPr>
        <w:t xml:space="preserve">yogakṣema</w:t>
      </w:r>
      <w:r>
        <w:t xml:space="preserve"> </w:t>
      </w:r>
      <w:r>
        <w:t xml:space="preserve">of men, that is, who care for it, who bear the burden of</w:t>
      </w:r>
      <w:r>
        <w:t xml:space="preserve"> </w:t>
      </w:r>
      <w:r>
        <w:rPr>
          <w:iCs/>
          <w:i/>
        </w:rPr>
        <w:t xml:space="preserve">yogakṣema</w:t>
      </w:r>
      <w:r>
        <w:t xml:space="preserve">.</w:t>
      </w:r>
    </w:p>
    <w:bookmarkEnd w:id="783"/>
    <w:bookmarkStart w:id="784" w:name="page-716-rik-2-grammar"/>
    <w:p>
      <w:pPr>
        <w:pStyle w:val="Heading3"/>
      </w:pPr>
      <w:r>
        <w:t xml:space="preserve">Page 716 — Rik 2: grammar</w:t>
      </w:r>
    </w:p>
    <w:p>
      <w:pPr>
        <w:pStyle w:val="FirstParagraph"/>
      </w:pPr>
      <w:r>
        <w:rPr>
          <w:bCs/>
          <w:b/>
        </w:rPr>
        <w:t xml:space="preserve">॥ Vyākaraṇa-prakriyā ॥</w:t>
      </w:r>
      <w:r>
        <w:t xml:space="preserve"> </w:t>
      </w:r>
      <w:r>
        <w:rPr>
          <w:iCs/>
          <w:i/>
        </w:rPr>
        <w:t xml:space="preserve">(grammar pages 716–718, noted briefly)</w:t>
      </w:r>
    </w:p>
    <w:p>
      <w:pPr>
        <w:pStyle w:val="BodyText"/>
      </w:pPr>
      <w:r>
        <w:rPr>
          <w:bCs/>
          <w:b/>
        </w:rPr>
        <w:t xml:space="preserve">गन्तारा (</w:t>
      </w:r>
      <w:r>
        <w:rPr>
          <w:iCs/>
          <w:i/>
          <w:bCs/>
          <w:b/>
        </w:rPr>
        <w:t xml:space="preserve">gantārā</w:t>
      </w:r>
      <w:r>
        <w:rPr>
          <w:bCs/>
          <w:b/>
        </w:rPr>
        <w:t xml:space="preserve">)</w:t>
      </w:r>
      <w:r>
        <w:t xml:space="preserve">: the root</w:t>
      </w:r>
      <w:r>
        <w:t xml:space="preserve"> </w:t>
      </w:r>
      <w:r>
        <w:rPr>
          <w:iCs/>
          <w:i/>
        </w:rPr>
        <w:t xml:space="preserve">gamḷ gatau</w:t>
      </w:r>
      <w:r>
        <w:t xml:space="preserve">. After it</w:t>
      </w:r>
      <w:r>
        <w:t xml:space="preserve"> </w:t>
      </w:r>
      <w:r>
        <w:rPr>
          <w:iCs/>
          <w:i/>
        </w:rPr>
        <w:t xml:space="preserve">tṛn</w:t>
      </w:r>
      <w:r>
        <w:t xml:space="preserve"> </w:t>
      </w:r>
      <w:r>
        <w:t xml:space="preserve">comes in the sense</w:t>
      </w:r>
      <w:r>
        <w:t xml:space="preserve"> </w:t>
      </w:r>
      <w:r>
        <w:t xml:space="preserve">“</w:t>
      </w:r>
      <w:r>
        <w:rPr>
          <w:iCs/>
          <w:i/>
        </w:rPr>
        <w:t xml:space="preserve">tacchīla</w:t>
      </w:r>
      <w:r>
        <w:t xml:space="preserve">”</w:t>
      </w:r>
      <w:r>
        <w:t xml:space="preserve"> </w:t>
      </w:r>
      <w:r>
        <w:t xml:space="preserve">by</w:t>
      </w:r>
      <w:r>
        <w:t xml:space="preserve"> </w:t>
      </w:r>
      <w:r>
        <w:t xml:space="preserve">“</w:t>
      </w:r>
      <w:r>
        <w:t xml:space="preserve">tṛn</w:t>
      </w:r>
      <w:r>
        <w:t xml:space="preserve">”</w:t>
      </w:r>
      <w:r>
        <w:t xml:space="preserve"> </w:t>
      </w:r>
      <w:r>
        <w:t xml:space="preserve">(Pā. sū. 3-2-135):</w:t>
      </w:r>
      <w:r>
        <w:t xml:space="preserve"> </w:t>
      </w:r>
      <w:r>
        <w:rPr>
          <w:iCs/>
          <w:i/>
        </w:rPr>
        <w:t xml:space="preserve">gam</w:t>
      </w:r>
      <w:r>
        <w:t xml:space="preserve"> </w:t>
      </w:r>
      <w:r>
        <w:t xml:space="preserve">+</w:t>
      </w:r>
      <w:r>
        <w:t xml:space="preserve"> </w:t>
      </w:r>
      <w:r>
        <w:rPr>
          <w:iCs/>
          <w:i/>
        </w:rPr>
        <w:t xml:space="preserve">tṛ</w:t>
      </w:r>
      <w:r>
        <w:t xml:space="preserve">. By</w:t>
      </w:r>
      <w:r>
        <w:t xml:space="preserve"> </w:t>
      </w:r>
      <w:r>
        <w:t xml:space="preserve">“</w:t>
      </w:r>
      <w:r>
        <w:t xml:space="preserve">naś cāpadāntasya jhali</w:t>
      </w:r>
      <w:r>
        <w:t xml:space="preserve">”</w:t>
      </w:r>
      <w:r>
        <w:t xml:space="preserve"> </w:t>
      </w:r>
      <w:r>
        <w:t xml:space="preserve">(Pā. sū. 8-3-24)</w:t>
      </w:r>
      <w:r>
        <w:t xml:space="preserve"> </w:t>
      </w:r>
      <w:r>
        <w:rPr>
          <w:iCs/>
          <w:i/>
        </w:rPr>
        <w:t xml:space="preserve">anusvāra</w:t>
      </w:r>
      <w:r>
        <w:t xml:space="preserve"> </w:t>
      </w:r>
      <w:r>
        <w:t xml:space="preserve">for the</w:t>
      </w:r>
      <w:r>
        <w:t xml:space="preserve"> </w:t>
      </w:r>
      <w:r>
        <w:rPr>
          <w:iCs/>
          <w:i/>
        </w:rPr>
        <w:t xml:space="preserve">m</w:t>
      </w:r>
      <w:r>
        <w:t xml:space="preserve">; by</w:t>
      </w:r>
      <w:r>
        <w:t xml:space="preserve"> </w:t>
      </w:r>
      <w:r>
        <w:t xml:space="preserve">“</w:t>
      </w:r>
      <w:r>
        <w:t xml:space="preserve">anusvārasya yayi parasavarṇaḥ</w:t>
      </w:r>
      <w:r>
        <w:t xml:space="preserve">”</w:t>
      </w:r>
      <w:r>
        <w:t xml:space="preserve"> </w:t>
      </w:r>
      <w:r>
        <w:t xml:space="preserve">(Pā. sū. 8-4-58), with the help of the</w:t>
      </w:r>
      <w:r>
        <w:t xml:space="preserve"> </w:t>
      </w:r>
      <w:r>
        <w:rPr>
          <w:iCs/>
          <w:i/>
        </w:rPr>
        <w:t xml:space="preserve">paribhāṣā</w:t>
      </w:r>
      <w:r>
        <w:t xml:space="preserve"> </w:t>
      </w:r>
      <w:r>
        <w:rPr>
          <w:iCs/>
          <w:i/>
        </w:rPr>
        <w:t xml:space="preserve">sthāne ’ntaratamaḥ</w:t>
      </w:r>
      <w:r>
        <w:t xml:space="preserve">, in place of the</w:t>
      </w:r>
      <w:r>
        <w:t xml:space="preserve"> </w:t>
      </w:r>
      <w:r>
        <w:rPr>
          <w:iCs/>
          <w:i/>
        </w:rPr>
        <w:t xml:space="preserve">anusvāra</w:t>
      </w:r>
      <w:r>
        <w:t xml:space="preserve"> </w:t>
      </w:r>
      <w:r>
        <w:t xml:space="preserve">comes</w:t>
      </w:r>
      <w:r>
        <w:t xml:space="preserve"> </w:t>
      </w:r>
      <w:r>
        <w:rPr>
          <w:iCs/>
          <w:i/>
        </w:rPr>
        <w:t xml:space="preserve">n</w:t>
      </w:r>
      <w:r>
        <w:t xml:space="preserve">, homorganic with what follows and nasal:</w:t>
      </w:r>
      <w:r>
        <w:t xml:space="preserve"> </w:t>
      </w:r>
      <w:r>
        <w:rPr>
          <w:iCs/>
          <w:i/>
        </w:rPr>
        <w:t xml:space="preserve">gantṛ</w:t>
      </w:r>
      <w:r>
        <w:t xml:space="preserve">. After it the nominative dual</w:t>
      </w:r>
      <w:r>
        <w:t xml:space="preserve"> </w:t>
      </w:r>
      <w:r>
        <w:rPr>
          <w:iCs/>
          <w:i/>
        </w:rPr>
        <w:t xml:space="preserve">au</w:t>
      </w:r>
      <w:r>
        <w:t xml:space="preserve">; for it the substitute</w:t>
      </w:r>
      <w:r>
        <w:t xml:space="preserve"> </w:t>
      </w:r>
      <w:r>
        <w:rPr>
          <w:iCs/>
          <w:i/>
        </w:rPr>
        <w:t xml:space="preserve">ā</w:t>
      </w:r>
      <w:r>
        <w:t xml:space="preserve"> </w:t>
      </w:r>
      <w:r>
        <w:t xml:space="preserve">by</w:t>
      </w:r>
      <w:r>
        <w:t xml:space="preserve"> </w:t>
      </w:r>
      <w:r>
        <w:t xml:space="preserve">“</w:t>
      </w:r>
      <w:r>
        <w:t xml:space="preserve">supāṃ suluk…</w:t>
      </w:r>
      <w:r>
        <w:t xml:space="preserve">”</w:t>
      </w:r>
      <w:r>
        <w:t xml:space="preserve"> </w:t>
      </w:r>
      <w:r>
        <w:t xml:space="preserve">(Pā. sū. 7-1-39):</w:t>
      </w:r>
      <w:r>
        <w:t xml:space="preserve"> </w:t>
      </w:r>
      <w:r>
        <w:rPr>
          <w:iCs/>
          <w:i/>
        </w:rPr>
        <w:t xml:space="preserve">gantṛ</w:t>
      </w:r>
      <w:r>
        <w:t xml:space="preserve"> </w:t>
      </w:r>
      <w:r>
        <w:t xml:space="preserve">+</w:t>
      </w:r>
      <w:r>
        <w:t xml:space="preserve"> </w:t>
      </w:r>
      <w:r>
        <w:rPr>
          <w:iCs/>
          <w:i/>
        </w:rPr>
        <w:t xml:space="preserve">ā</w:t>
      </w:r>
      <w:r>
        <w:t xml:space="preserve">.</w:t>
      </w:r>
      <w:r>
        <w:t xml:space="preserve"> </w:t>
      </w:r>
      <w:r>
        <w:rPr>
          <w:iCs/>
          <w:i/>
        </w:rPr>
        <w:t xml:space="preserve">Guṇa</w:t>
      </w:r>
      <w:r>
        <w:t xml:space="preserve"> </w:t>
      </w:r>
      <w:r>
        <w:t xml:space="preserve">by</w:t>
      </w:r>
      <w:r>
        <w:t xml:space="preserve"> </w:t>
      </w:r>
      <w:r>
        <w:t xml:space="preserve">“</w:t>
      </w:r>
      <w:r>
        <w:t xml:space="preserve">ṛto ṅisarvanāmasthānayoḥ</w:t>
      </w:r>
      <w:r>
        <w:t xml:space="preserve">”</w:t>
      </w:r>
      <w:r>
        <w:t xml:space="preserve"> </w:t>
      </w:r>
      <w:r>
        <w:t xml:space="preserve">(Pā. sū. 7-3-110), followed by</w:t>
      </w:r>
      <w:r>
        <w:t xml:space="preserve"> </w:t>
      </w:r>
      <w:r>
        <w:rPr>
          <w:iCs/>
          <w:i/>
        </w:rPr>
        <w:t xml:space="preserve">r</w:t>
      </w:r>
      <w:r>
        <w:t xml:space="preserve"> </w:t>
      </w:r>
      <w:r>
        <w:t xml:space="preserve">by</w:t>
      </w:r>
      <w:r>
        <w:t xml:space="preserve"> </w:t>
      </w:r>
      <w:r>
        <w:rPr>
          <w:iCs/>
          <w:i/>
        </w:rPr>
        <w:t xml:space="preserve">uraṇ raparaḥ</w:t>
      </w:r>
      <w:r>
        <w:t xml:space="preserve">:</w:t>
      </w:r>
      <w:r>
        <w:t xml:space="preserve"> </w:t>
      </w:r>
      <w:r>
        <w:rPr>
          <w:iCs/>
          <w:i/>
        </w:rPr>
        <w:t xml:space="preserve">gantar</w:t>
      </w:r>
      <w:r>
        <w:t xml:space="preserve"> </w:t>
      </w:r>
      <w:r>
        <w:t xml:space="preserve">+</w:t>
      </w:r>
      <w:r>
        <w:t xml:space="preserve"> </w:t>
      </w:r>
      <w:r>
        <w:rPr>
          <w:iCs/>
          <w:i/>
        </w:rPr>
        <w:t xml:space="preserve">ā</w:t>
      </w:r>
      <w:r>
        <w:t xml:space="preserve">. Here, by</w:t>
      </w:r>
      <w:r>
        <w:t xml:space="preserve"> </w:t>
      </w:r>
      <w:r>
        <w:t xml:space="preserve">“</w:t>
      </w:r>
      <w:r>
        <w:t xml:space="preserve">ṛdṛśo ’ṅi guṇaḥ</w:t>
      </w:r>
      <w:r>
        <w:t xml:space="preserve">”</w:t>
      </w:r>
      <w:r>
        <w:t xml:space="preserve"> </w:t>
      </w:r>
      <w:r>
        <w:t xml:space="preserve">(Pā. sū. 7-4-16), the</w:t>
      </w:r>
      <w:r>
        <w:t xml:space="preserve"> </w:t>
      </w:r>
      <w:r>
        <w:rPr>
          <w:iCs/>
          <w:i/>
        </w:rPr>
        <w:t xml:space="preserve">guṇa</w:t>
      </w:r>
      <w:r>
        <w:t xml:space="preserve"> </w:t>
      </w:r>
      <w:r>
        <w:t xml:space="preserve">enjoined for</w:t>
      </w:r>
      <w:r>
        <w:t xml:space="preserve"> </w:t>
      </w:r>
      <w:r>
        <w:rPr>
          <w:iCs/>
          <w:i/>
        </w:rPr>
        <w:t xml:space="preserve">ṛ</w:t>
      </w:r>
      <w:r>
        <w:t xml:space="preserve">-final roots and</w:t>
      </w:r>
      <w:r>
        <w:t xml:space="preserve"> </w:t>
      </w:r>
      <w:r>
        <w:rPr>
          <w:iCs/>
          <w:i/>
        </w:rPr>
        <w:t xml:space="preserve">dṛś</w:t>
      </w:r>
      <w:r>
        <w:t xml:space="preserve"> </w:t>
      </w:r>
      <w:r>
        <w:t xml:space="preserve">comes when</w:t>
      </w:r>
      <w:r>
        <w:t xml:space="preserve"> </w:t>
      </w:r>
      <w:r>
        <w:rPr>
          <w:iCs/>
          <w:i/>
        </w:rPr>
        <w:t xml:space="preserve">aṅ</w:t>
      </w:r>
      <w:r>
        <w:t xml:space="preserve"> </w:t>
      </w:r>
      <w:r>
        <w:t xml:space="preserve">follows; here there is no suffix</w:t>
      </w:r>
      <w:r>
        <w:t xml:space="preserve"> </w:t>
      </w:r>
      <w:r>
        <w:rPr>
          <w:iCs/>
          <w:i/>
        </w:rPr>
        <w:t xml:space="preserve">aṅ</w:t>
      </w:r>
      <w:r>
        <w:t xml:space="preserve">, so this sūtra does not apply. So it should be understood that the derivation of</w:t>
      </w:r>
      <w:r>
        <w:t xml:space="preserve"> </w:t>
      </w:r>
      <w:r>
        <w:rPr>
          <w:iCs/>
          <w:i/>
        </w:rPr>
        <w:t xml:space="preserve">guṇa</w:t>
      </w:r>
      <w:r>
        <w:t xml:space="preserve"> </w:t>
      </w:r>
      <w:r>
        <w:t xml:space="preserve">here from the sūtra</w:t>
      </w:r>
      <w:r>
        <w:t xml:space="preserve"> </w:t>
      </w:r>
      <w:r>
        <w:rPr>
          <w:iCs/>
          <w:i/>
        </w:rPr>
        <w:t xml:space="preserve">ṛdṛśo ’ṅi</w:t>
      </w:r>
      <w:r>
        <w:t xml:space="preserve"> </w:t>
      </w:r>
      <w:r>
        <w:t xml:space="preserve">[in the bhāṣya] is an oversight. By</w:t>
      </w:r>
      <w:r>
        <w:t xml:space="preserve"> </w:t>
      </w:r>
      <w:r>
        <w:t xml:space="preserve">“</w:t>
      </w:r>
      <w:r>
        <w:t xml:space="preserve">aptṛntṛc…</w:t>
      </w:r>
      <w:r>
        <w:t xml:space="preserve">”</w:t>
      </w:r>
      <w:r>
        <w:t xml:space="preserve"> </w:t>
      </w:r>
      <w:r>
        <w:t xml:space="preserve">(Pā. sū. 6-4-11) the penultimate is lengthened:</w:t>
      </w:r>
      <w:r>
        <w:t xml:space="preserve"> </w:t>
      </w:r>
      <w:r>
        <w:rPr>
          <w:iCs/>
          <w:i/>
        </w:rPr>
        <w:t xml:space="preserve">gantāram</w:t>
      </w:r>
      <w:r>
        <w:t xml:space="preserve"> </w:t>
      </w:r>
      <w:r>
        <w:t xml:space="preserve">[as printed]. The suffix</w:t>
      </w:r>
      <w:r>
        <w:t xml:space="preserve"> </w:t>
      </w:r>
      <w:r>
        <w:rPr>
          <w:iCs/>
          <w:i/>
        </w:rPr>
        <w:t xml:space="preserve">tṛn</w:t>
      </w:r>
      <w:r>
        <w:t xml:space="preserve"> </w:t>
      </w:r>
      <w:r>
        <w:t xml:space="preserve">is</w:t>
      </w:r>
      <w:r>
        <w:t xml:space="preserve"> </w:t>
      </w:r>
      <w:r>
        <w:rPr>
          <w:iCs/>
          <w:i/>
        </w:rPr>
        <w:t xml:space="preserve">nit</w:t>
      </w:r>
      <w:r>
        <w:t xml:space="preserve">; so</w:t>
      </w:r>
      <w:r>
        <w:t xml:space="preserve"> </w:t>
      </w:r>
      <w:r>
        <w:rPr>
          <w:iCs/>
          <w:i/>
        </w:rPr>
        <w:t xml:space="preserve">gantṛ</w:t>
      </w:r>
      <w:r>
        <w:t xml:space="preserve"> </w:t>
      </w:r>
      <w:r>
        <w:t xml:space="preserve">is initial udātta by</w:t>
      </w:r>
      <w:r>
        <w:t xml:space="preserve"> </w:t>
      </w:r>
      <w:r>
        <w:rPr>
          <w:iCs/>
          <w:i/>
        </w:rPr>
        <w:t xml:space="preserve">ñnityādir nityam</w:t>
      </w:r>
      <w:r>
        <w:t xml:space="preserve">.</w:t>
      </w:r>
    </w:p>
    <w:p>
      <w:pPr>
        <w:pStyle w:val="BodyText"/>
      </w:pPr>
      <w:r>
        <w:rPr>
          <w:bCs/>
          <w:b/>
        </w:rPr>
        <w:t xml:space="preserve">स्थः (</w:t>
      </w:r>
      <w:r>
        <w:rPr>
          <w:iCs/>
          <w:i/>
          <w:bCs/>
          <w:b/>
        </w:rPr>
        <w:t xml:space="preserve">sthaḥ</w:t>
      </w:r>
      <w:r>
        <w:rPr>
          <w:bCs/>
          <w:b/>
        </w:rPr>
        <w:t xml:space="preserve">)</w:t>
      </w:r>
      <w:r>
        <w:t xml:space="preserve">: the root</w:t>
      </w:r>
      <w:r>
        <w:t xml:space="preserve"> </w:t>
      </w:r>
      <w:r>
        <w:rPr>
          <w:iCs/>
          <w:i/>
        </w:rPr>
        <w:t xml:space="preserve">asa bhuvi</w:t>
      </w:r>
      <w:r>
        <w:t xml:space="preserve">, of the</w:t>
      </w:r>
      <w:r>
        <w:t xml:space="preserve"> </w:t>
      </w:r>
      <w:r>
        <w:rPr>
          <w:iCs/>
          <w:i/>
        </w:rPr>
        <w:t xml:space="preserve">ad-ādi</w:t>
      </w:r>
      <w:r>
        <w:t xml:space="preserve"> </w:t>
      </w:r>
      <w:r>
        <w:t xml:space="preserve">class; after it</w:t>
      </w:r>
      <w:r>
        <w:t xml:space="preserve"> </w:t>
      </w:r>
      <w:r>
        <w:rPr>
          <w:iCs/>
          <w:i/>
        </w:rPr>
        <w:t xml:space="preserve">laṭ</w:t>
      </w:r>
      <w:r>
        <w:t xml:space="preserve">, 2nd dual</w:t>
      </w:r>
      <w:r>
        <w:t xml:space="preserve"> </w:t>
      </w:r>
      <w:r>
        <w:rPr>
          <w:iCs/>
          <w:i/>
        </w:rPr>
        <w:t xml:space="preserve">thas</w:t>
      </w:r>
      <w:r>
        <w:t xml:space="preserve">:</w:t>
      </w:r>
      <w:r>
        <w:t xml:space="preserve"> </w:t>
      </w:r>
      <w:r>
        <w:rPr>
          <w:iCs/>
          <w:i/>
        </w:rPr>
        <w:t xml:space="preserve">as</w:t>
      </w:r>
      <w:r>
        <w:t xml:space="preserve"> </w:t>
      </w:r>
      <w:r>
        <w:t xml:space="preserve">+</w:t>
      </w:r>
      <w:r>
        <w:t xml:space="preserve"> </w:t>
      </w:r>
      <w:r>
        <w:rPr>
          <w:iCs/>
          <w:i/>
        </w:rPr>
        <w:t xml:space="preserve">thas</w:t>
      </w:r>
      <w:r>
        <w:t xml:space="preserve">;</w:t>
      </w:r>
      <w:r>
        <w:t xml:space="preserve"> </w:t>
      </w:r>
      <w:r>
        <w:rPr>
          <w:iCs/>
          <w:i/>
        </w:rPr>
        <w:t xml:space="preserve">śap</w:t>
      </w:r>
      <w:r>
        <w:t xml:space="preserve"> </w:t>
      </w:r>
      <w:r>
        <w:t xml:space="preserve">by</w:t>
      </w:r>
      <w:r>
        <w:t xml:space="preserve"> </w:t>
      </w:r>
      <w:r>
        <w:t xml:space="preserve">“</w:t>
      </w:r>
      <w:r>
        <w:t xml:space="preserve">kartari śap</w:t>
      </w:r>
      <w:r>
        <w:t xml:space="preserve">”</w:t>
      </w:r>
      <w:r>
        <w:t xml:space="preserve"> </w:t>
      </w:r>
      <w:r>
        <w:t xml:space="preserve">(Pā. sū. 3-1-68),</w:t>
      </w:r>
      <w:r>
        <w:t xml:space="preserve"> </w:t>
      </w:r>
      <w:r>
        <w:rPr>
          <w:iCs/>
          <w:i/>
        </w:rPr>
        <w:t xml:space="preserve">luk</w:t>
      </w:r>
      <w:r>
        <w:t xml:space="preserve"> </w:t>
      </w:r>
      <w:r>
        <w:t xml:space="preserve">for it by</w:t>
      </w:r>
      <w:r>
        <w:t xml:space="preserve"> </w:t>
      </w:r>
      <w:r>
        <w:t xml:space="preserve">“</w:t>
      </w:r>
      <w:r>
        <w:t xml:space="preserve">adiprabhṛtibhyaḥ śapaḥ</w:t>
      </w:r>
      <w:r>
        <w:t xml:space="preserve">”</w:t>
      </w:r>
      <w:r>
        <w:t xml:space="preserve"> </w:t>
      </w:r>
      <w:r>
        <w:t xml:space="preserve">(Pā. sū. 2-4-72);</w:t>
      </w:r>
      <w:r>
        <w:t xml:space="preserve"> </w:t>
      </w:r>
      <w:r>
        <w:rPr>
          <w:iCs/>
          <w:i/>
        </w:rPr>
        <w:t xml:space="preserve">thas</w:t>
      </w:r>
      <w:r>
        <w:t xml:space="preserve"> </w:t>
      </w:r>
      <w:r>
        <w:t xml:space="preserve">is</w:t>
      </w:r>
      <w:r>
        <w:t xml:space="preserve"> </w:t>
      </w:r>
      <w:r>
        <w:rPr>
          <w:iCs/>
          <w:i/>
        </w:rPr>
        <w:t xml:space="preserve">ṅit</w:t>
      </w:r>
      <w:r>
        <w:t xml:space="preserve"> </w:t>
      </w:r>
      <w:r>
        <w:t xml:space="preserve">by</w:t>
      </w:r>
      <w:r>
        <w:t xml:space="preserve"> </w:t>
      </w:r>
      <w:r>
        <w:t xml:space="preserve">“</w:t>
      </w:r>
      <w:r>
        <w:t xml:space="preserve">sārvadhātukam apit</w:t>
      </w:r>
      <w:r>
        <w:t xml:space="preserve">”</w:t>
      </w:r>
      <w:r>
        <w:t xml:space="preserve"> </w:t>
      </w:r>
      <w:r>
        <w:t xml:space="preserve">(Pā. sū. 1-2-4). By</w:t>
      </w:r>
      <w:r>
        <w:t xml:space="preserve"> </w:t>
      </w:r>
      <w:r>
        <w:t xml:space="preserve">“</w:t>
      </w:r>
      <w:r>
        <w:t xml:space="preserve">śnasor allopaḥ</w:t>
      </w:r>
      <w:r>
        <w:t xml:space="preserve">”</w:t>
      </w:r>
      <w:r>
        <w:t xml:space="preserve"> </w:t>
      </w:r>
      <w:r>
        <w:t xml:space="preserve">(Pā. sū. 6-4-111) the</w:t>
      </w:r>
      <w:r>
        <w:t xml:space="preserve"> </w:t>
      </w:r>
      <w:r>
        <w:rPr>
          <w:iCs/>
          <w:i/>
        </w:rPr>
        <w:t xml:space="preserve">a</w:t>
      </w:r>
      <w:r>
        <w:t xml:space="preserve"> </w:t>
      </w:r>
      <w:r>
        <w:t xml:space="preserve">of</w:t>
      </w:r>
      <w:r>
        <w:t xml:space="preserve"> </w:t>
      </w:r>
      <w:r>
        <w:rPr>
          <w:iCs/>
          <w:i/>
        </w:rPr>
        <w:t xml:space="preserve">as</w:t>
      </w:r>
      <w:r>
        <w:t xml:space="preserve"> </w:t>
      </w:r>
      <w:r>
        <w:t xml:space="preserve">drops;</w:t>
      </w:r>
      <w:r>
        <w:t xml:space="preserve"> </w:t>
      </w:r>
      <w:r>
        <w:rPr>
          <w:iCs/>
          <w:i/>
        </w:rPr>
        <w:t xml:space="preserve">ru</w:t>
      </w:r>
      <w:r>
        <w:t xml:space="preserve"> </w:t>
      </w:r>
      <w:r>
        <w:t xml:space="preserve">and visarga:</w:t>
      </w:r>
      <w:r>
        <w:t xml:space="preserve"> </w:t>
      </w:r>
      <w:r>
        <w:rPr>
          <w:iCs/>
          <w:i/>
        </w:rPr>
        <w:t xml:space="preserve">sthaḥ</w:t>
      </w:r>
      <w:r>
        <w:t xml:space="preserve">. By</w:t>
      </w:r>
      <w:r>
        <w:t xml:space="preserve"> </w:t>
      </w:r>
      <w:r>
        <w:t xml:space="preserve">“</w:t>
      </w:r>
      <w:r>
        <w:t xml:space="preserve">hi ca</w:t>
      </w:r>
      <w:r>
        <w:t xml:space="preserve">”</w:t>
      </w:r>
      <w:r>
        <w:t xml:space="preserve"> </w:t>
      </w:r>
      <w:r>
        <w:t xml:space="preserve">(Pā. sū. 8-1-34) a</w:t>
      </w:r>
      <w:r>
        <w:t xml:space="preserve"> </w:t>
      </w:r>
      <w:r>
        <w:rPr>
          <w:iCs/>
          <w:i/>
        </w:rPr>
        <w:t xml:space="preserve">tiṅanta</w:t>
      </w:r>
      <w:r>
        <w:t xml:space="preserve"> </w:t>
      </w:r>
      <w:r>
        <w:t xml:space="preserve">joined with</w:t>
      </w:r>
      <w:r>
        <w:t xml:space="preserve"> </w:t>
      </w:r>
      <w:r>
        <w:rPr>
          <w:iCs/>
          <w:i/>
        </w:rPr>
        <w:t xml:space="preserve">hi</w:t>
      </w:r>
      <w:r>
        <w:t xml:space="preserve"> </w:t>
      </w:r>
      <w:r>
        <w:t xml:space="preserve">is not unaccented; since</w:t>
      </w:r>
      <w:r>
        <w:t xml:space="preserve"> </w:t>
      </w:r>
      <w:r>
        <w:rPr>
          <w:iCs/>
          <w:i/>
        </w:rPr>
        <w:t xml:space="preserve">stha</w:t>
      </w:r>
      <w:r>
        <w:t xml:space="preserve">, joined with</w:t>
      </w:r>
      <w:r>
        <w:t xml:space="preserve"> </w:t>
      </w:r>
      <w:r>
        <w:rPr>
          <w:iCs/>
          <w:i/>
        </w:rPr>
        <w:t xml:space="preserve">hi</w:t>
      </w:r>
      <w:r>
        <w:t xml:space="preserve"> </w:t>
      </w:r>
      <w:r>
        <w:t xml:space="preserve">as</w:t>
      </w:r>
      <w:r>
        <w:t xml:space="preserve"> </w:t>
      </w:r>
      <w:r>
        <w:rPr>
          <w:iCs/>
          <w:i/>
        </w:rPr>
        <w:t xml:space="preserve">hi stha</w:t>
      </w:r>
      <w:r>
        <w:t xml:space="preserve">, is barred from being wholly unaccented, it does not become wholly unaccented by</w:t>
      </w:r>
      <w:r>
        <w:t xml:space="preserve"> </w:t>
      </w:r>
      <w:r>
        <w:rPr>
          <w:iCs/>
          <w:i/>
        </w:rPr>
        <w:t xml:space="preserve">tiṅṅatiṅaḥ</w:t>
      </w:r>
      <w:r>
        <w:t xml:space="preserve">.</w:t>
      </w:r>
    </w:p>
    <w:p>
      <w:pPr>
        <w:pStyle w:val="BodyText"/>
      </w:pPr>
      <w:r>
        <w:rPr>
          <w:bCs/>
          <w:b/>
        </w:rPr>
        <w:t xml:space="preserve">अवसे (</w:t>
      </w:r>
      <w:r>
        <w:rPr>
          <w:iCs/>
          <w:i/>
          <w:bCs/>
          <w:b/>
        </w:rPr>
        <w:t xml:space="preserve">avase</w:t>
      </w:r>
      <w:r>
        <w:rPr>
          <w:bCs/>
          <w:b/>
        </w:rPr>
        <w:t xml:space="preserve">)</w:t>
      </w:r>
      <w:r>
        <w:t xml:space="preserve">: the root</w:t>
      </w:r>
      <w:r>
        <w:t xml:space="preserve"> </w:t>
      </w:r>
      <w:r>
        <w:rPr>
          <w:iCs/>
          <w:i/>
        </w:rPr>
        <w:t xml:space="preserve">ava rakṣaṇe</w:t>
      </w:r>
      <w:r>
        <w:t xml:space="preserve">. By the statement</w:t>
      </w:r>
      <w:r>
        <w:t xml:space="preserve"> </w:t>
      </w:r>
      <w:r>
        <w:t xml:space="preserve">“</w:t>
      </w:r>
      <w:r>
        <w:t xml:space="preserve">tumarthe se-sen-ase-asen-kse-kasen-adhyai-adhyain-kadhyai-kadhyain-śadhyai-śadhyain-tavai-taveṅ-tavenaḥ</w:t>
      </w:r>
      <w:r>
        <w:t xml:space="preserve">”</w:t>
      </w:r>
      <w:r>
        <w:t xml:space="preserve"> </w:t>
      </w:r>
      <w:r>
        <w:t xml:space="preserve">(Pā. sū. 3-4-9), with</w:t>
      </w:r>
      <w:r>
        <w:t xml:space="preserve"> </w:t>
      </w:r>
      <w:r>
        <w:rPr>
          <w:iCs/>
          <w:i/>
        </w:rPr>
        <w:t xml:space="preserve">avyayakṛto bhāve</w:t>
      </w:r>
      <w:r>
        <w:t xml:space="preserve">, the infinitive sense is the action, and in it the suffixes named come; so the suffix</w:t>
      </w:r>
      <w:r>
        <w:t xml:space="preserve"> </w:t>
      </w:r>
      <w:r>
        <w:rPr>
          <w:iCs/>
          <w:i/>
        </w:rPr>
        <w:t xml:space="preserve">asen</w:t>
      </w:r>
      <w:r>
        <w:t xml:space="preserve">:</w:t>
      </w:r>
      <w:r>
        <w:t xml:space="preserve"> </w:t>
      </w:r>
      <w:r>
        <w:rPr>
          <w:iCs/>
          <w:i/>
        </w:rPr>
        <w:t xml:space="preserve">av</w:t>
      </w:r>
      <w:r>
        <w:t xml:space="preserve"> </w:t>
      </w:r>
      <w:r>
        <w:t xml:space="preserve">+</w:t>
      </w:r>
      <w:r>
        <w:t xml:space="preserve"> </w:t>
      </w:r>
      <w:r>
        <w:rPr>
          <w:iCs/>
          <w:i/>
        </w:rPr>
        <w:t xml:space="preserve">ase</w:t>
      </w:r>
      <w:r>
        <w:t xml:space="preserve"> </w:t>
      </w:r>
      <w:r>
        <w:t xml:space="preserve">=</w:t>
      </w:r>
      <w:r>
        <w:t xml:space="preserve"> </w:t>
      </w:r>
      <w:r>
        <w:rPr>
          <w:iCs/>
          <w:i/>
        </w:rPr>
        <w:t xml:space="preserve">avase</w:t>
      </w:r>
      <w:r>
        <w:t xml:space="preserve">, initial udātta by the</w:t>
      </w:r>
      <w:r>
        <w:t xml:space="preserve"> </w:t>
      </w:r>
      <w:r>
        <w:rPr>
          <w:iCs/>
          <w:i/>
        </w:rPr>
        <w:t xml:space="preserve">nit</w:t>
      </w:r>
      <w:r>
        <w:t xml:space="preserve"> </w:t>
      </w:r>
      <w:r>
        <w:t xml:space="preserve">accent.</w:t>
      </w:r>
    </w:p>
    <w:p>
      <w:pPr>
        <w:pStyle w:val="BodyText"/>
      </w:pPr>
      <w:r>
        <w:rPr>
          <w:bCs/>
          <w:b/>
        </w:rPr>
        <w:t xml:space="preserve">हवम् (</w:t>
      </w:r>
      <w:r>
        <w:rPr>
          <w:iCs/>
          <w:i/>
          <w:bCs/>
          <w:b/>
        </w:rPr>
        <w:t xml:space="preserve">havam</w:t>
      </w:r>
      <w:r>
        <w:rPr>
          <w:bCs/>
          <w:b/>
        </w:rPr>
        <w:t xml:space="preserve">)</w:t>
      </w:r>
      <w:r>
        <w:t xml:space="preserve">: the root</w:t>
      </w:r>
      <w:r>
        <w:t xml:space="preserve"> </w:t>
      </w:r>
      <w:r>
        <w:rPr>
          <w:iCs/>
          <w:i/>
        </w:rPr>
        <w:t xml:space="preserve">hveñ spardhāyāṃ śabde ca</w:t>
      </w:r>
      <w:r>
        <w:t xml:space="preserve">; with</w:t>
      </w:r>
      <w:r>
        <w:t xml:space="preserve"> </w:t>
      </w:r>
      <w:r>
        <w:t xml:space="preserve">“</w:t>
      </w:r>
      <w:r>
        <w:t xml:space="preserve">hvaḥ saṃprasāraṇam</w:t>
      </w:r>
      <w:r>
        <w:t xml:space="preserve">”</w:t>
      </w:r>
      <w:r>
        <w:t xml:space="preserve"> </w:t>
      </w:r>
      <w:r>
        <w:t xml:space="preserve">(Pā. sū. 6-1-32) carried on, by</w:t>
      </w:r>
      <w:r>
        <w:t xml:space="preserve"> </w:t>
      </w:r>
      <w:r>
        <w:t xml:space="preserve">“</w:t>
      </w:r>
      <w:r>
        <w:t xml:space="preserve">bahulaṃ chandasi</w:t>
      </w:r>
      <w:r>
        <w:t xml:space="preserve">”</w:t>
      </w:r>
      <w:r>
        <w:t xml:space="preserve"> </w:t>
      </w:r>
      <w:r>
        <w:t xml:space="preserve">(Pā. sū. 6-1-34)</w:t>
      </w:r>
      <w:r>
        <w:t xml:space="preserve"> </w:t>
      </w:r>
      <w:r>
        <w:rPr>
          <w:iCs/>
          <w:i/>
        </w:rPr>
        <w:t xml:space="preserve">saṃprasāraṇa</w:t>
      </w:r>
      <w:r>
        <w:t xml:space="preserve"> </w:t>
      </w:r>
      <w:r>
        <w:t xml:space="preserve">without a condition, that is,</w:t>
      </w:r>
      <w:r>
        <w:t xml:space="preserve"> </w:t>
      </w:r>
      <w:r>
        <w:rPr>
          <w:iCs/>
          <w:i/>
        </w:rPr>
        <w:t xml:space="preserve">u</w:t>
      </w:r>
      <w:r>
        <w:t xml:space="preserve"> </w:t>
      </w:r>
      <w:r>
        <w:t xml:space="preserve">for</w:t>
      </w:r>
      <w:r>
        <w:t xml:space="preserve"> </w:t>
      </w:r>
      <w:r>
        <w:rPr>
          <w:iCs/>
          <w:i/>
        </w:rPr>
        <w:t xml:space="preserve">v</w:t>
      </w:r>
      <w:r>
        <w:t xml:space="preserve">; the</w:t>
      </w:r>
      <w:r>
        <w:t xml:space="preserve"> </w:t>
      </w:r>
      <w:r>
        <w:rPr>
          <w:iCs/>
          <w:i/>
        </w:rPr>
        <w:t xml:space="preserve">pūrvarūpa</w:t>
      </w:r>
      <w:r>
        <w:t xml:space="preserve"> </w:t>
      </w:r>
      <w:r>
        <w:t xml:space="preserve">by</w:t>
      </w:r>
      <w:r>
        <w:t xml:space="preserve"> </w:t>
      </w:r>
      <w:r>
        <w:t xml:space="preserve">“</w:t>
      </w:r>
      <w:r>
        <w:t xml:space="preserve">saṃprasāraṇāc ca</w:t>
      </w:r>
      <w:r>
        <w:t xml:space="preserve">”</w:t>
      </w:r>
      <w:r>
        <w:t xml:space="preserve"> </w:t>
      </w:r>
      <w:r>
        <w:t xml:space="preserve">(Pā. sū. 6-1-108):</w:t>
      </w:r>
      <w:r>
        <w:t xml:space="preserve"> </w:t>
      </w:r>
      <w:r>
        <w:rPr>
          <w:iCs/>
          <w:i/>
        </w:rPr>
        <w:t xml:space="preserve">hu</w:t>
      </w:r>
      <w:r>
        <w:t xml:space="preserve">. By</w:t>
      </w:r>
      <w:r>
        <w:t xml:space="preserve"> </w:t>
      </w:r>
      <w:r>
        <w:t xml:space="preserve">“</w:t>
      </w:r>
      <w:r>
        <w:t xml:space="preserve">ṛdor ap</w:t>
      </w:r>
      <w:r>
        <w:t xml:space="preserve">”</w:t>
      </w:r>
      <w:r>
        <w:t xml:space="preserve"> </w:t>
      </w:r>
      <w:r>
        <w:t xml:space="preserve">(Pā. sū. 3-3-57) (after roots ending in</w:t>
      </w:r>
      <w:r>
        <w:t xml:space="preserve"> </w:t>
      </w:r>
      <w:r>
        <w:rPr>
          <w:iCs/>
          <w:i/>
        </w:rPr>
        <w:t xml:space="preserve">ṝ</w:t>
      </w:r>
      <w:r>
        <w:t xml:space="preserve"> </w:t>
      </w:r>
      <w:r>
        <w:t xml:space="preserve">or</w:t>
      </w:r>
      <w:r>
        <w:t xml:space="preserve"> </w:t>
      </w:r>
      <w:r>
        <w:rPr>
          <w:iCs/>
          <w:i/>
        </w:rPr>
        <w:t xml:space="preserve">u</w:t>
      </w:r>
      <w:r>
        <w:t xml:space="preserve"> </w:t>
      </w:r>
      <w:r>
        <w:t xml:space="preserve">comes the suffix</w:t>
      </w:r>
      <w:r>
        <w:t xml:space="preserve"> </w:t>
      </w:r>
      <w:r>
        <w:rPr>
          <w:iCs/>
          <w:i/>
        </w:rPr>
        <w:t xml:space="preserve">ap</w:t>
      </w:r>
      <w:r>
        <w:t xml:space="preserve">), after</w:t>
      </w:r>
      <w:r>
        <w:t xml:space="preserve"> </w:t>
      </w:r>
      <w:r>
        <w:rPr>
          <w:iCs/>
          <w:i/>
        </w:rPr>
        <w:t xml:space="preserve">hu</w:t>
      </w:r>
      <w:r>
        <w:t xml:space="preserve"> </w:t>
      </w:r>
      <w:r>
        <w:t xml:space="preserve">the suffix</w:t>
      </w:r>
      <w:r>
        <w:t xml:space="preserve"> </w:t>
      </w:r>
      <w:r>
        <w:rPr>
          <w:iCs/>
          <w:i/>
        </w:rPr>
        <w:t xml:space="preserve">ap</w:t>
      </w:r>
      <w:r>
        <w:t xml:space="preserve">;</w:t>
      </w:r>
      <w:r>
        <w:t xml:space="preserve"> </w:t>
      </w:r>
      <w:r>
        <w:rPr>
          <w:iCs/>
          <w:i/>
        </w:rPr>
        <w:t xml:space="preserve">guṇa</w:t>
      </w:r>
      <w:r>
        <w:t xml:space="preserve">,</w:t>
      </w:r>
      <w:r>
        <w:t xml:space="preserve"> </w:t>
      </w:r>
      <w:r>
        <w:rPr>
          <w:iCs/>
          <w:i/>
        </w:rPr>
        <w:t xml:space="preserve">o</w:t>
      </w:r>
      <w:r>
        <w:t xml:space="preserve"> </w:t>
      </w:r>
      <w:r>
        <w:t xml:space="preserve">for</w:t>
      </w:r>
      <w:r>
        <w:t xml:space="preserve"> </w:t>
      </w:r>
      <w:r>
        <w:rPr>
          <w:iCs/>
          <w:i/>
        </w:rPr>
        <w:t xml:space="preserve">u</w:t>
      </w:r>
      <w:r>
        <w:t xml:space="preserve">, by</w:t>
      </w:r>
      <w:r>
        <w:t xml:space="preserve"> </w:t>
      </w:r>
      <w:r>
        <w:t xml:space="preserve">“</w:t>
      </w:r>
      <w:r>
        <w:t xml:space="preserve">sārvadhātukārdhadhātukayoḥ</w:t>
      </w:r>
      <w:r>
        <w:t xml:space="preserve">”</w:t>
      </w:r>
      <w:r>
        <w:t xml:space="preserve"> </w:t>
      </w:r>
      <w:r>
        <w:t xml:space="preserve">(Pā. sū. 7-3-84); by “eco ’ya-</w:t>
      </w:r>
    </w:p>
    <w:bookmarkEnd w:id="784"/>
    <w:bookmarkStart w:id="785" w:name="page-717-rik-2-grammar"/>
    <w:p>
      <w:pPr>
        <w:pStyle w:val="Heading3"/>
      </w:pPr>
      <w:r>
        <w:t xml:space="preserve">Page 717 — Rik 2: grammar</w:t>
      </w:r>
    </w:p>
    <w:p>
      <w:pPr>
        <w:pStyle w:val="FirstParagraph"/>
      </w:pPr>
      <w:r>
        <w:t xml:space="preserve">vāyāvaḥ” (Pā. sū. 6-1-78) the substitute</w:t>
      </w:r>
      <w:r>
        <w:t xml:space="preserve"> </w:t>
      </w:r>
      <w:r>
        <w:rPr>
          <w:iCs/>
          <w:i/>
        </w:rPr>
        <w:t xml:space="preserve">av</w:t>
      </w:r>
      <w:r>
        <w:t xml:space="preserve">:</w:t>
      </w:r>
      <w:r>
        <w:t xml:space="preserve"> </w:t>
      </w:r>
      <w:r>
        <w:rPr>
          <w:iCs/>
          <w:i/>
        </w:rPr>
        <w:t xml:space="preserve">hava</w:t>
      </w:r>
      <w:r>
        <w:t xml:space="preserve">. The suffix</w:t>
      </w:r>
      <w:r>
        <w:t xml:space="preserve"> </w:t>
      </w:r>
      <w:r>
        <w:rPr>
          <w:iCs/>
          <w:i/>
        </w:rPr>
        <w:t xml:space="preserve">ap</w:t>
      </w:r>
      <w:r>
        <w:t xml:space="preserve"> </w:t>
      </w:r>
      <w:r>
        <w:t xml:space="preserve">being</w:t>
      </w:r>
      <w:r>
        <w:t xml:space="preserve"> </w:t>
      </w:r>
      <w:r>
        <w:rPr>
          <w:iCs/>
          <w:i/>
        </w:rPr>
        <w:t xml:space="preserve">pit</w:t>
      </w:r>
      <w:r>
        <w:t xml:space="preserve">, it is unaccented by</w:t>
      </w:r>
      <w:r>
        <w:t xml:space="preserve"> </w:t>
      </w:r>
      <w:r>
        <w:rPr>
          <w:iCs/>
          <w:i/>
        </w:rPr>
        <w:t xml:space="preserve">anudāttau suppitau</w:t>
      </w:r>
      <w:r>
        <w:t xml:space="preserve">; so the root accent stays. After it the suffix</w:t>
      </w:r>
      <w:r>
        <w:t xml:space="preserve"> </w:t>
      </w:r>
      <w:r>
        <w:rPr>
          <w:iCs/>
          <w:i/>
        </w:rPr>
        <w:t xml:space="preserve">am</w:t>
      </w:r>
      <w:r>
        <w:t xml:space="preserve">; the</w:t>
      </w:r>
      <w:r>
        <w:t xml:space="preserve"> </w:t>
      </w:r>
      <w:r>
        <w:rPr>
          <w:iCs/>
          <w:i/>
        </w:rPr>
        <w:t xml:space="preserve">pūrvarūpa</w:t>
      </w:r>
      <w:r>
        <w:t xml:space="preserve"> </w:t>
      </w:r>
      <w:r>
        <w:t xml:space="preserve">by</w:t>
      </w:r>
      <w:r>
        <w:t xml:space="preserve"> </w:t>
      </w:r>
      <w:r>
        <w:t xml:space="preserve">“</w:t>
      </w:r>
      <w:r>
        <w:t xml:space="preserve">ami pūrvaḥ</w:t>
      </w:r>
      <w:r>
        <w:t xml:space="preserve">”</w:t>
      </w:r>
      <w:r>
        <w:t xml:space="preserve"> </w:t>
      </w:r>
      <w:r>
        <w:t xml:space="preserve">(Pā. sū. 6-1-107):</w:t>
      </w:r>
      <w:r>
        <w:t xml:space="preserve"> </w:t>
      </w:r>
      <w:r>
        <w:rPr>
          <w:iCs/>
          <w:i/>
        </w:rPr>
        <w:t xml:space="preserve">havam</w:t>
      </w:r>
      <w:r>
        <w:t xml:space="preserve">.</w:t>
      </w:r>
    </w:p>
    <w:p>
      <w:pPr>
        <w:pStyle w:val="BodyText"/>
      </w:pPr>
      <w:r>
        <w:rPr>
          <w:bCs/>
          <w:b/>
        </w:rPr>
        <w:t xml:space="preserve">विप्रस्य (</w:t>
      </w:r>
      <w:r>
        <w:rPr>
          <w:iCs/>
          <w:i/>
          <w:bCs/>
          <w:b/>
        </w:rPr>
        <w:t xml:space="preserve">viprasya</w:t>
      </w:r>
      <w:r>
        <w:rPr>
          <w:bCs/>
          <w:b/>
        </w:rPr>
        <w:t xml:space="preserve">)</w:t>
      </w:r>
      <w:r>
        <w:t xml:space="preserve">: the root</w:t>
      </w:r>
      <w:r>
        <w:t xml:space="preserve"> </w:t>
      </w:r>
      <w:r>
        <w:rPr>
          <w:iCs/>
          <w:i/>
        </w:rPr>
        <w:t xml:space="preserve">ḍuvap bījasantāne</w:t>
      </w:r>
      <w:r>
        <w:t xml:space="preserve">. For it the suffix</w:t>
      </w:r>
      <w:r>
        <w:t xml:space="preserve"> </w:t>
      </w:r>
      <w:r>
        <w:rPr>
          <w:iCs/>
          <w:i/>
        </w:rPr>
        <w:t xml:space="preserve">ran</w:t>
      </w:r>
      <w:r>
        <w:t xml:space="preserve"> </w:t>
      </w:r>
      <w:r>
        <w:t xml:space="preserve">is given as a ready-made form by the sūtra</w:t>
      </w:r>
      <w:r>
        <w:t xml:space="preserve"> </w:t>
      </w:r>
      <w:r>
        <w:t xml:space="preserve">“</w:t>
      </w:r>
      <w:r>
        <w:t xml:space="preserve">ṛjrendrāgravipra…</w:t>
      </w:r>
      <w:r>
        <w:t xml:space="preserve">”</w:t>
      </w:r>
      <w:r>
        <w:t xml:space="preserve"> </w:t>
      </w:r>
      <w:r>
        <w:t xml:space="preserve">(Uṇ. sū. 2-186). Initial udātta by the</w:t>
      </w:r>
      <w:r>
        <w:t xml:space="preserve"> </w:t>
      </w:r>
      <w:r>
        <w:rPr>
          <w:iCs/>
          <w:i/>
        </w:rPr>
        <w:t xml:space="preserve">nit</w:t>
      </w:r>
      <w:r>
        <w:t xml:space="preserve"> </w:t>
      </w:r>
      <w:r>
        <w:t xml:space="preserve">accent.</w:t>
      </w:r>
    </w:p>
    <w:p>
      <w:pPr>
        <w:pStyle w:val="BodyText"/>
      </w:pPr>
      <w:r>
        <w:rPr>
          <w:bCs/>
          <w:b/>
        </w:rPr>
        <w:t xml:space="preserve">मावतः (</w:t>
      </w:r>
      <w:r>
        <w:rPr>
          <w:iCs/>
          <w:i/>
          <w:bCs/>
          <w:b/>
        </w:rPr>
        <w:t xml:space="preserve">māvataḥ</w:t>
      </w:r>
      <w:r>
        <w:rPr>
          <w:bCs/>
          <w:b/>
        </w:rPr>
        <w:t xml:space="preserve">)</w:t>
      </w:r>
      <w:r>
        <w:t xml:space="preserve">:</w:t>
      </w:r>
      <w:r>
        <w:t xml:space="preserve"> </w:t>
      </w:r>
      <w:r>
        <w:t xml:space="preserve">“</w:t>
      </w:r>
      <w:r>
        <w:t xml:space="preserve">yattadetebhyaḥ parimāṇe vatup</w:t>
      </w:r>
      <w:r>
        <w:t xml:space="preserve">”</w:t>
      </w:r>
      <w:r>
        <w:t xml:space="preserve"> </w:t>
      </w:r>
      <w:r>
        <w:t xml:space="preserve">(Pā. sū. 5-2-39). By the statement on this sūtra,</w:t>
      </w:r>
      <w:r>
        <w:t xml:space="preserve"> </w:t>
      </w:r>
      <w:r>
        <w:t xml:space="preserve">“</w:t>
      </w:r>
      <w:r>
        <w:t xml:space="preserve">vatupprakaraṇe yuṣmadasmadbhyāṃ chandasi sādṛśya upasaṃkhyānam</w:t>
      </w:r>
      <w:r>
        <w:t xml:space="preserve">”</w:t>
      </w:r>
      <w:r>
        <w:t xml:space="preserve"> </w:t>
      </w:r>
      <w:r>
        <w:t xml:space="preserve">(Pā. sū. 5-2-39-1) (in the Veda,</w:t>
      </w:r>
      <w:r>
        <w:t xml:space="preserve"> </w:t>
      </w:r>
      <w:r>
        <w:rPr>
          <w:iCs/>
          <w:i/>
        </w:rPr>
        <w:t xml:space="preserve">vatup</w:t>
      </w:r>
      <w:r>
        <w:t xml:space="preserve"> </w:t>
      </w:r>
      <w:r>
        <w:t xml:space="preserve">in the sense of likeness after</w:t>
      </w:r>
      <w:r>
        <w:t xml:space="preserve"> </w:t>
      </w:r>
      <w:r>
        <w:rPr>
          <w:iCs/>
          <w:i/>
        </w:rPr>
        <w:t xml:space="preserve">yuṣmad</w:t>
      </w:r>
      <w:r>
        <w:t xml:space="preserve"> </w:t>
      </w:r>
      <w:r>
        <w:t xml:space="preserve">and</w:t>
      </w:r>
      <w:r>
        <w:t xml:space="preserve"> </w:t>
      </w:r>
      <w:r>
        <w:rPr>
          <w:iCs/>
          <w:i/>
        </w:rPr>
        <w:t xml:space="preserve">asmad</w:t>
      </w:r>
      <w:r>
        <w:t xml:space="preserve"> </w:t>
      </w:r>
      <w:r>
        <w:t xml:space="preserve">is to be stated in the</w:t>
      </w:r>
      <w:r>
        <w:t xml:space="preserve"> </w:t>
      </w:r>
      <w:r>
        <w:rPr>
          <w:iCs/>
          <w:i/>
        </w:rPr>
        <w:t xml:space="preserve">vatup</w:t>
      </w:r>
      <w:r>
        <w:t xml:space="preserve"> </w:t>
      </w:r>
      <w:r>
        <w:t xml:space="preserve">section),</w:t>
      </w:r>
      <w:r>
        <w:t xml:space="preserve"> </w:t>
      </w:r>
      <w:r>
        <w:rPr>
          <w:iCs/>
          <w:i/>
        </w:rPr>
        <w:t xml:space="preserve">vatup</w:t>
      </w:r>
      <w:r>
        <w:t xml:space="preserve"> </w:t>
      </w:r>
      <w:r>
        <w:t xml:space="preserve">comes after</w:t>
      </w:r>
      <w:r>
        <w:t xml:space="preserve"> </w:t>
      </w:r>
      <w:r>
        <w:rPr>
          <w:iCs/>
          <w:i/>
        </w:rPr>
        <w:t xml:space="preserve">asmad</w:t>
      </w:r>
      <w:r>
        <w:t xml:space="preserve"> </w:t>
      </w:r>
      <w:r>
        <w:t xml:space="preserve">in the sense of likeness:</w:t>
      </w:r>
      <w:r>
        <w:t xml:space="preserve"> </w:t>
      </w:r>
      <w:r>
        <w:rPr>
          <w:iCs/>
          <w:i/>
        </w:rPr>
        <w:t xml:space="preserve">asmad</w:t>
      </w:r>
      <w:r>
        <w:t xml:space="preserve"> </w:t>
      </w:r>
      <w:r>
        <w:t xml:space="preserve">+</w:t>
      </w:r>
      <w:r>
        <w:t xml:space="preserve"> </w:t>
      </w:r>
      <w:r>
        <w:rPr>
          <w:iCs/>
          <w:i/>
        </w:rPr>
        <w:t xml:space="preserve">vat</w:t>
      </w:r>
      <w:r>
        <w:t xml:space="preserve">. By</w:t>
      </w:r>
      <w:r>
        <w:t xml:space="preserve"> </w:t>
      </w:r>
      <w:r>
        <w:t xml:space="preserve">“</w:t>
      </w:r>
      <w:r>
        <w:t xml:space="preserve">pratyayottarapadayoś ca</w:t>
      </w:r>
      <w:r>
        <w:t xml:space="preserve">”</w:t>
      </w:r>
      <w:r>
        <w:t xml:space="preserve"> </w:t>
      </w:r>
      <w:r>
        <w:t xml:space="preserve">(Pā. sū. 7-2-98), when a suffix or a final member follows, the part of</w:t>
      </w:r>
      <w:r>
        <w:t xml:space="preserve"> </w:t>
      </w:r>
      <w:r>
        <w:rPr>
          <w:iCs/>
          <w:i/>
        </w:rPr>
        <w:t xml:space="preserve">yuṣmad</w:t>
      </w:r>
      <w:r>
        <w:t xml:space="preserve"> </w:t>
      </w:r>
      <w:r>
        <w:t xml:space="preserve">and</w:t>
      </w:r>
      <w:r>
        <w:t xml:space="preserve"> </w:t>
      </w:r>
      <w:r>
        <w:rPr>
          <w:iCs/>
          <w:i/>
        </w:rPr>
        <w:t xml:space="preserve">asmad</w:t>
      </w:r>
      <w:r>
        <w:t xml:space="preserve"> </w:t>
      </w:r>
      <w:r>
        <w:t xml:space="preserve">up to the</w:t>
      </w:r>
      <w:r>
        <w:t xml:space="preserve"> </w:t>
      </w:r>
      <w:r>
        <w:rPr>
          <w:iCs/>
          <w:i/>
        </w:rPr>
        <w:t xml:space="preserve">m</w:t>
      </w:r>
      <w:r>
        <w:t xml:space="preserve"> </w:t>
      </w:r>
      <w:r>
        <w:t xml:space="preserve">takes</w:t>
      </w:r>
      <w:r>
        <w:t xml:space="preserve"> </w:t>
      </w:r>
      <w:r>
        <w:rPr>
          <w:iCs/>
          <w:i/>
        </w:rPr>
        <w:t xml:space="preserve">tva</w:t>
      </w:r>
      <w:r>
        <w:t xml:space="preserve"> </w:t>
      </w:r>
      <w:r>
        <w:t xml:space="preserve">and</w:t>
      </w:r>
      <w:r>
        <w:t xml:space="preserve"> </w:t>
      </w:r>
      <w:r>
        <w:rPr>
          <w:iCs/>
          <w:i/>
        </w:rPr>
        <w:t xml:space="preserve">ma</w:t>
      </w:r>
      <w:r>
        <w:t xml:space="preserve">; so</w:t>
      </w:r>
      <w:r>
        <w:t xml:space="preserve"> </w:t>
      </w:r>
      <w:r>
        <w:rPr>
          <w:iCs/>
          <w:i/>
        </w:rPr>
        <w:t xml:space="preserve">ma</w:t>
      </w:r>
      <w:r>
        <w:t xml:space="preserve"> </w:t>
      </w:r>
      <w:r>
        <w:t xml:space="preserve">for</w:t>
      </w:r>
      <w:r>
        <w:t xml:space="preserve"> </w:t>
      </w:r>
      <w:r>
        <w:rPr>
          <w:iCs/>
          <w:i/>
        </w:rPr>
        <w:t xml:space="preserve">asm</w:t>
      </w:r>
      <w:r>
        <w:t xml:space="preserve">:</w:t>
      </w:r>
      <w:r>
        <w:t xml:space="preserve"> </w:t>
      </w:r>
      <w:r>
        <w:rPr>
          <w:iCs/>
          <w:i/>
        </w:rPr>
        <w:t xml:space="preserve">ma</w:t>
      </w:r>
      <w:r>
        <w:t xml:space="preserve"> </w:t>
      </w:r>
      <w:r>
        <w:t xml:space="preserve">+</w:t>
      </w:r>
      <w:r>
        <w:t xml:space="preserve"> </w:t>
      </w:r>
      <w:r>
        <w:rPr>
          <w:iCs/>
          <w:i/>
        </w:rPr>
        <w:t xml:space="preserve">ad</w:t>
      </w:r>
      <w:r>
        <w:t xml:space="preserve"> </w:t>
      </w:r>
      <w:r>
        <w:t xml:space="preserve">+</w:t>
      </w:r>
      <w:r>
        <w:t xml:space="preserve"> </w:t>
      </w:r>
      <w:r>
        <w:rPr>
          <w:iCs/>
          <w:i/>
        </w:rPr>
        <w:t xml:space="preserve">vat</w:t>
      </w:r>
      <w:r>
        <w:t xml:space="preserve">. The</w:t>
      </w:r>
      <w:r>
        <w:t xml:space="preserve"> </w:t>
      </w:r>
      <w:r>
        <w:rPr>
          <w:iCs/>
          <w:i/>
        </w:rPr>
        <w:t xml:space="preserve">pararūpa</w:t>
      </w:r>
      <w:r>
        <w:t xml:space="preserve"> </w:t>
      </w:r>
      <w:r>
        <w:t xml:space="preserve">by</w:t>
      </w:r>
      <w:r>
        <w:t xml:space="preserve"> </w:t>
      </w:r>
      <w:r>
        <w:t xml:space="preserve">“</w:t>
      </w:r>
      <w:r>
        <w:t xml:space="preserve">ato guṇe</w:t>
      </w:r>
      <w:r>
        <w:t xml:space="preserve">”</w:t>
      </w:r>
      <w:r>
        <w:t xml:space="preserve"> </w:t>
      </w:r>
      <w:r>
        <w:t xml:space="preserve">(Pā. sū. 6-1-97):</w:t>
      </w:r>
      <w:r>
        <w:t xml:space="preserve"> </w:t>
      </w:r>
      <w:r>
        <w:rPr>
          <w:iCs/>
          <w:i/>
        </w:rPr>
        <w:t xml:space="preserve">mad</w:t>
      </w:r>
      <w:r>
        <w:t xml:space="preserve"> </w:t>
      </w:r>
      <w:r>
        <w:t xml:space="preserve">+</w:t>
      </w:r>
      <w:r>
        <w:t xml:space="preserve"> </w:t>
      </w:r>
      <w:r>
        <w:rPr>
          <w:iCs/>
          <w:i/>
        </w:rPr>
        <w:t xml:space="preserve">vat</w:t>
      </w:r>
      <w:r>
        <w:t xml:space="preserve">. By</w:t>
      </w:r>
      <w:r>
        <w:t xml:space="preserve"> </w:t>
      </w:r>
      <w:r>
        <w:t xml:space="preserve">“</w:t>
      </w:r>
      <w:r>
        <w:t xml:space="preserve">ā sarvanāmnaḥ</w:t>
      </w:r>
      <w:r>
        <w:t xml:space="preserve">”</w:t>
      </w:r>
      <w:r>
        <w:t xml:space="preserve"> </w:t>
      </w:r>
      <w:r>
        <w:t xml:space="preserve">(Pā. sū. 6-3-91), when</w:t>
      </w:r>
      <w:r>
        <w:t xml:space="preserve"> </w:t>
      </w:r>
      <w:r>
        <w:rPr>
          <w:iCs/>
          <w:i/>
        </w:rPr>
        <w:t xml:space="preserve">dṛk</w:t>
      </w:r>
      <w:r>
        <w:t xml:space="preserve">,</w:t>
      </w:r>
      <w:r>
        <w:t xml:space="preserve"> </w:t>
      </w:r>
      <w:r>
        <w:rPr>
          <w:iCs/>
          <w:i/>
        </w:rPr>
        <w:t xml:space="preserve">dṛśa</w:t>
      </w:r>
      <w:r>
        <w:t xml:space="preserve"> </w:t>
      </w:r>
      <w:r>
        <w:t xml:space="preserve">or</w:t>
      </w:r>
      <w:r>
        <w:t xml:space="preserve"> </w:t>
      </w:r>
      <w:r>
        <w:rPr>
          <w:iCs/>
          <w:i/>
        </w:rPr>
        <w:t xml:space="preserve">vatu</w:t>
      </w:r>
      <w:r>
        <w:t xml:space="preserve"> </w:t>
      </w:r>
      <w:r>
        <w:t xml:space="preserve">follow, the final of a pronoun takes</w:t>
      </w:r>
      <w:r>
        <w:t xml:space="preserve"> </w:t>
      </w:r>
      <w:r>
        <w:rPr>
          <w:iCs/>
          <w:i/>
        </w:rPr>
        <w:t xml:space="preserve">ā</w:t>
      </w:r>
      <w:r>
        <w:t xml:space="preserve">:</w:t>
      </w:r>
      <w:r>
        <w:t xml:space="preserve"> </w:t>
      </w:r>
      <w:r>
        <w:rPr>
          <w:iCs/>
          <w:i/>
        </w:rPr>
        <w:t xml:space="preserve">ma</w:t>
      </w:r>
      <w:r>
        <w:t xml:space="preserve"> </w:t>
      </w:r>
      <w:r>
        <w:t xml:space="preserve">+</w:t>
      </w:r>
      <w:r>
        <w:t xml:space="preserve"> </w:t>
      </w:r>
      <w:r>
        <w:rPr>
          <w:iCs/>
          <w:i/>
        </w:rPr>
        <w:t xml:space="preserve">ā</w:t>
      </w:r>
      <w:r>
        <w:t xml:space="preserve"> </w:t>
      </w:r>
      <w:r>
        <w:t xml:space="preserve">+</w:t>
      </w:r>
      <w:r>
        <w:t xml:space="preserve"> </w:t>
      </w:r>
      <w:r>
        <w:rPr>
          <w:iCs/>
          <w:i/>
        </w:rPr>
        <w:t xml:space="preserve">vat</w:t>
      </w:r>
      <w:r>
        <w:t xml:space="preserve">; lengthening of like vowels by</w:t>
      </w:r>
      <w:r>
        <w:t xml:space="preserve"> </w:t>
      </w:r>
      <w:r>
        <w:t xml:space="preserve">“</w:t>
      </w:r>
      <w:r>
        <w:t xml:space="preserve">akaḥ savarṇe dīrghaḥ</w:t>
      </w:r>
      <w:r>
        <w:t xml:space="preserve">”</w:t>
      </w:r>
      <w:r>
        <w:t xml:space="preserve"> </w:t>
      </w:r>
      <w:r>
        <w:t xml:space="preserve">(Pā. sū. 6-1-101):</w:t>
      </w:r>
      <w:r>
        <w:t xml:space="preserve"> </w:t>
      </w:r>
      <w:r>
        <w:rPr>
          <w:iCs/>
          <w:i/>
        </w:rPr>
        <w:t xml:space="preserve">māvat</w:t>
      </w:r>
      <w:r>
        <w:t xml:space="preserve">. The suffix</w:t>
      </w:r>
      <w:r>
        <w:t xml:space="preserve"> </w:t>
      </w:r>
      <w:r>
        <w:rPr>
          <w:iCs/>
          <w:i/>
        </w:rPr>
        <w:t xml:space="preserve">vatup</w:t>
      </w:r>
      <w:r>
        <w:t xml:space="preserve"> </w:t>
      </w:r>
      <w:r>
        <w:t xml:space="preserve">being</w:t>
      </w:r>
      <w:r>
        <w:t xml:space="preserve"> </w:t>
      </w:r>
      <w:r>
        <w:rPr>
          <w:iCs/>
          <w:i/>
        </w:rPr>
        <w:t xml:space="preserve">pit</w:t>
      </w:r>
      <w:r>
        <w:t xml:space="preserve">, it is unaccented by</w:t>
      </w:r>
      <w:r>
        <w:t xml:space="preserve"> </w:t>
      </w:r>
      <w:r>
        <w:rPr>
          <w:iCs/>
          <w:i/>
        </w:rPr>
        <w:t xml:space="preserve">anudāttau suppitau</w:t>
      </w:r>
      <w:r>
        <w:t xml:space="preserve">.</w:t>
      </w:r>
      <w:r>
        <w:t xml:space="preserve"> </w:t>
      </w:r>
      <w:r>
        <w:rPr>
          <w:iCs/>
          <w:i/>
        </w:rPr>
        <w:t xml:space="preserve">Mā</w:t>
      </w:r>
      <w:r>
        <w:t xml:space="preserve"> </w:t>
      </w:r>
      <w:r>
        <w:t xml:space="preserve">is final udātta by the stem accent; that accent stays.</w:t>
      </w:r>
    </w:p>
    <w:p>
      <w:pPr>
        <w:pStyle w:val="BodyText"/>
      </w:pPr>
      <w:r>
        <w:rPr>
          <w:bCs/>
          <w:b/>
        </w:rPr>
        <w:t xml:space="preserve">धर्तारा (</w:t>
      </w:r>
      <w:r>
        <w:rPr>
          <w:iCs/>
          <w:i/>
          <w:bCs/>
          <w:b/>
        </w:rPr>
        <w:t xml:space="preserve">dhartārā</w:t>
      </w:r>
      <w:r>
        <w:rPr>
          <w:bCs/>
          <w:b/>
        </w:rPr>
        <w:t xml:space="preserve">)</w:t>
      </w:r>
      <w:r>
        <w:t xml:space="preserve">: the root</w:t>
      </w:r>
      <w:r>
        <w:t xml:space="preserve"> </w:t>
      </w:r>
      <w:r>
        <w:rPr>
          <w:iCs/>
          <w:i/>
        </w:rPr>
        <w:t xml:space="preserve">dhṛñ dhāraṇe</w:t>
      </w:r>
      <w:r>
        <w:t xml:space="preserve">;</w:t>
      </w:r>
      <w:r>
        <w:t xml:space="preserve"> </w:t>
      </w:r>
      <w:r>
        <w:rPr>
          <w:iCs/>
          <w:i/>
        </w:rPr>
        <w:t xml:space="preserve">tṛc</w:t>
      </w:r>
      <w:r>
        <w:t xml:space="preserve"> </w:t>
      </w:r>
      <w:r>
        <w:t xml:space="preserve">by</w:t>
      </w:r>
      <w:r>
        <w:t xml:space="preserve"> </w:t>
      </w:r>
      <w:r>
        <w:t xml:space="preserve">“</w:t>
      </w:r>
      <w:r>
        <w:t xml:space="preserve">ṇvultṛcau</w:t>
      </w:r>
      <w:r>
        <w:t xml:space="preserve">”</w:t>
      </w:r>
      <w:r>
        <w:t xml:space="preserve"> </w:t>
      </w:r>
      <w:r>
        <w:t xml:space="preserve">(Pā. sū. 3-1-133). The root</w:t>
      </w:r>
      <w:r>
        <w:t xml:space="preserve"> </w:t>
      </w:r>
      <w:r>
        <w:rPr>
          <w:iCs/>
          <w:i/>
        </w:rPr>
        <w:t xml:space="preserve">dhṛ</w:t>
      </w:r>
      <w:r>
        <w:t xml:space="preserve"> </w:t>
      </w:r>
      <w:r>
        <w:t xml:space="preserve">is</w:t>
      </w:r>
      <w:r>
        <w:t xml:space="preserve"> </w:t>
      </w:r>
      <w:r>
        <w:rPr>
          <w:iCs/>
          <w:i/>
        </w:rPr>
        <w:t xml:space="preserve">anudātta</w:t>
      </w:r>
      <w:r>
        <w:t xml:space="preserve"> </w:t>
      </w:r>
      <w:r>
        <w:t xml:space="preserve">in the</w:t>
      </w:r>
      <w:r>
        <w:t xml:space="preserve"> </w:t>
      </w:r>
      <w:r>
        <w:rPr>
          <w:iCs/>
          <w:i/>
        </w:rPr>
        <w:t xml:space="preserve">upadeśa</w:t>
      </w:r>
      <w:r>
        <w:t xml:space="preserve"> </w:t>
      </w:r>
      <w:r>
        <w:t xml:space="preserve">and has one vowel; so by</w:t>
      </w:r>
      <w:r>
        <w:t xml:space="preserve"> </w:t>
      </w:r>
      <w:r>
        <w:t xml:space="preserve">“</w:t>
      </w:r>
      <w:r>
        <w:t xml:space="preserve">ekāca upadeśe ’nudāttāt</w:t>
      </w:r>
      <w:r>
        <w:t xml:space="preserve">”</w:t>
      </w:r>
      <w:r>
        <w:t xml:space="preserve"> </w:t>
      </w:r>
      <w:r>
        <w:t xml:space="preserve">(Pā. sū. 7-2-10) the augment</w:t>
      </w:r>
      <w:r>
        <w:t xml:space="preserve"> </w:t>
      </w:r>
      <w:r>
        <w:rPr>
          <w:iCs/>
          <w:i/>
        </w:rPr>
        <w:t xml:space="preserve">iṭ</w:t>
      </w:r>
      <w:r>
        <w:t xml:space="preserve"> </w:t>
      </w:r>
      <w:r>
        <w:t xml:space="preserve">due by</w:t>
      </w:r>
      <w:r>
        <w:t xml:space="preserve"> </w:t>
      </w:r>
      <w:r>
        <w:rPr>
          <w:iCs/>
          <w:i/>
        </w:rPr>
        <w:t xml:space="preserve">ārdhadhātukasyeḍ valādeḥ</w:t>
      </w:r>
      <w:r>
        <w:t xml:space="preserve"> </w:t>
      </w:r>
      <w:r>
        <w:t xml:space="preserve">is barred for the</w:t>
      </w:r>
      <w:r>
        <w:t xml:space="preserve"> </w:t>
      </w:r>
      <w:r>
        <w:rPr>
          <w:iCs/>
          <w:i/>
        </w:rPr>
        <w:t xml:space="preserve">tṛ</w:t>
      </w:r>
      <w:r>
        <w:t xml:space="preserve">. With</w:t>
      </w:r>
      <w:r>
        <w:t xml:space="preserve"> </w:t>
      </w:r>
      <w:r>
        <w:rPr>
          <w:iCs/>
          <w:i/>
        </w:rPr>
        <w:t xml:space="preserve">tṛc</w:t>
      </w:r>
      <w:r>
        <w:t xml:space="preserve"> </w:t>
      </w:r>
      <w:r>
        <w:t xml:space="preserve">as the condition,</w:t>
      </w:r>
      <w:r>
        <w:t xml:space="preserve"> </w:t>
      </w:r>
      <w:r>
        <w:rPr>
          <w:iCs/>
          <w:i/>
        </w:rPr>
        <w:t xml:space="preserve">guṇa</w:t>
      </w:r>
      <w:r>
        <w:t xml:space="preserve"> </w:t>
      </w:r>
      <w:r>
        <w:t xml:space="preserve">for</w:t>
      </w:r>
      <w:r>
        <w:t xml:space="preserve"> </w:t>
      </w:r>
      <w:r>
        <w:rPr>
          <w:iCs/>
          <w:i/>
        </w:rPr>
        <w:t xml:space="preserve">dhṛ</w:t>
      </w:r>
      <w:r>
        <w:t xml:space="preserve"> </w:t>
      </w:r>
      <w:r>
        <w:t xml:space="preserve">by</w:t>
      </w:r>
      <w:r>
        <w:t xml:space="preserve"> </w:t>
      </w:r>
      <w:r>
        <w:rPr>
          <w:iCs/>
          <w:i/>
        </w:rPr>
        <w:t xml:space="preserve">sārvadhātukārdhadhātukayoḥ</w:t>
      </w:r>
      <w:r>
        <w:t xml:space="preserve">, followed by</w:t>
      </w:r>
      <w:r>
        <w:t xml:space="preserve"> </w:t>
      </w:r>
      <w:r>
        <w:rPr>
          <w:iCs/>
          <w:i/>
        </w:rPr>
        <w:t xml:space="preserve">r</w:t>
      </w:r>
      <w:r>
        <w:t xml:space="preserve">:</w:t>
      </w:r>
      <w:r>
        <w:t xml:space="preserve"> </w:t>
      </w:r>
      <w:r>
        <w:rPr>
          <w:iCs/>
          <w:i/>
        </w:rPr>
        <w:t xml:space="preserve">dhartṛ</w:t>
      </w:r>
      <w:r>
        <w:t xml:space="preserve">. After it the suffix</w:t>
      </w:r>
      <w:r>
        <w:t xml:space="preserve"> </w:t>
      </w:r>
      <w:r>
        <w:rPr>
          <w:iCs/>
          <w:i/>
        </w:rPr>
        <w:t xml:space="preserve">au</w:t>
      </w:r>
      <w:r>
        <w:t xml:space="preserve">; for it the substitute</w:t>
      </w:r>
      <w:r>
        <w:t xml:space="preserve"> </w:t>
      </w:r>
      <w:r>
        <w:rPr>
          <w:iCs/>
          <w:i/>
        </w:rPr>
        <w:t xml:space="preserve">ā</w:t>
      </w:r>
      <w:r>
        <w:t xml:space="preserve"> </w:t>
      </w:r>
      <w:r>
        <w:t xml:space="preserve">by</w:t>
      </w:r>
      <w:r>
        <w:t xml:space="preserve"> </w:t>
      </w:r>
      <w:r>
        <w:t xml:space="preserve">“</w:t>
      </w:r>
      <w:r>
        <w:t xml:space="preserve">supāṃ suluk…</w:t>
      </w:r>
      <w:r>
        <w:t xml:space="preserve">”</w:t>
      </w:r>
      <w:r>
        <w:t xml:space="preserve"> </w:t>
      </w:r>
      <w:r>
        <w:t xml:space="preserve">(Pā. sū. 7-1-39); in</w:t>
      </w:r>
      <w:r>
        <w:t xml:space="preserve"> </w:t>
      </w:r>
      <w:r>
        <w:rPr>
          <w:iCs/>
          <w:i/>
        </w:rPr>
        <w:t xml:space="preserve">dhartṛ</w:t>
      </w:r>
      <w:r>
        <w:t xml:space="preserve"> </w:t>
      </w:r>
      <w:r>
        <w:rPr>
          <w:iCs/>
          <w:i/>
        </w:rPr>
        <w:t xml:space="preserve">guṇa</w:t>
      </w:r>
      <w:r>
        <w:t xml:space="preserve"> </w:t>
      </w:r>
      <w:r>
        <w:t xml:space="preserve">by</w:t>
      </w:r>
      <w:r>
        <w:t xml:space="preserve"> </w:t>
      </w:r>
      <w:r>
        <w:rPr>
          <w:iCs/>
          <w:i/>
        </w:rPr>
        <w:t xml:space="preserve">ṛto ṅisarvanāmasthānayoḥ</w:t>
      </w:r>
      <w:r>
        <w:t xml:space="preserve">, followed by</w:t>
      </w:r>
      <w:r>
        <w:t xml:space="preserve"> </w:t>
      </w:r>
      <w:r>
        <w:rPr>
          <w:iCs/>
          <w:i/>
        </w:rPr>
        <w:t xml:space="preserve">r</w:t>
      </w:r>
      <w:r>
        <w:t xml:space="preserve">, and the penultimate lengthened by the sūtra</w:t>
      </w:r>
      <w:r>
        <w:t xml:space="preserve"> </w:t>
      </w:r>
      <w:r>
        <w:rPr>
          <w:iCs/>
          <w:i/>
        </w:rPr>
        <w:t xml:space="preserve">aptṛntṛc…</w:t>
      </w:r>
      <w:r>
        <w:t xml:space="preserve">:</w:t>
      </w:r>
      <w:r>
        <w:t xml:space="preserve"> </w:t>
      </w:r>
      <w:r>
        <w:rPr>
          <w:iCs/>
          <w:i/>
        </w:rPr>
        <w:t xml:space="preserve">dhartārā</w:t>
      </w:r>
      <w:r>
        <w:t xml:space="preserve">. The suffix</w:t>
      </w:r>
      <w:r>
        <w:t xml:space="preserve"> </w:t>
      </w:r>
      <w:r>
        <w:rPr>
          <w:iCs/>
          <w:i/>
        </w:rPr>
        <w:t xml:space="preserve">tṛc</w:t>
      </w:r>
      <w:r>
        <w:t xml:space="preserve"> </w:t>
      </w:r>
      <w:r>
        <w:t xml:space="preserve">being</w:t>
      </w:r>
      <w:r>
        <w:t xml:space="preserve"> </w:t>
      </w:r>
      <w:r>
        <w:rPr>
          <w:iCs/>
          <w:i/>
        </w:rPr>
        <w:t xml:space="preserve">cit</w:t>
      </w:r>
      <w:r>
        <w:t xml:space="preserve">,</w:t>
      </w:r>
      <w:r>
        <w:t xml:space="preserve"> </w:t>
      </w:r>
      <w:r>
        <w:rPr>
          <w:iCs/>
          <w:i/>
        </w:rPr>
        <w:t xml:space="preserve">dhartṛ</w:t>
      </w:r>
      <w:r>
        <w:t xml:space="preserve"> </w:t>
      </w:r>
      <w:r>
        <w:t xml:space="preserve">is final udātta by</w:t>
      </w:r>
      <w:r>
        <w:t xml:space="preserve"> </w:t>
      </w:r>
      <w:r>
        <w:rPr>
          <w:iCs/>
          <w:i/>
        </w:rPr>
        <w:t xml:space="preserve">citaḥ</w:t>
      </w:r>
      <w:r>
        <w:t xml:space="preserve">.</w:t>
      </w:r>
    </w:p>
    <w:p>
      <w:pPr>
        <w:pStyle w:val="BodyText"/>
      </w:pPr>
      <w:r>
        <w:rPr>
          <w:bCs/>
          <w:b/>
        </w:rPr>
        <w:t xml:space="preserve">चर्षणीनाम् (</w:t>
      </w:r>
      <w:r>
        <w:rPr>
          <w:iCs/>
          <w:i/>
          <w:bCs/>
          <w:b/>
        </w:rPr>
        <w:t xml:space="preserve">carṣaṇīnām</w:t>
      </w:r>
      <w:r>
        <w:rPr>
          <w:bCs/>
          <w:b/>
        </w:rPr>
        <w:t xml:space="preserve">)</w:t>
      </w:r>
      <w:r>
        <w:t xml:space="preserve">: the root</w:t>
      </w:r>
      <w:r>
        <w:t xml:space="preserve"> </w:t>
      </w:r>
      <w:r>
        <w:rPr>
          <w:iCs/>
          <w:i/>
        </w:rPr>
        <w:t xml:space="preserve">kṛṣa vilekhane</w:t>
      </w:r>
      <w:r>
        <w:t xml:space="preserve">. After it, by</w:t>
      </w:r>
      <w:r>
        <w:t xml:space="preserve"> </w:t>
      </w:r>
      <w:r>
        <w:t xml:space="preserve">“</w:t>
      </w:r>
      <w:r>
        <w:t xml:space="preserve">kṛṣer ādeś ca caḥ</w:t>
      </w:r>
      <w:r>
        <w:t xml:space="preserve">”</w:t>
      </w:r>
      <w:r>
        <w:t xml:space="preserve"> </w:t>
      </w:r>
      <w:r>
        <w:t xml:space="preserve">(Uṇ. sū.</w:t>
      </w:r>
      <w:r>
        <w:t xml:space="preserve"> </w:t>
      </w:r>
      <w:r>
        <w:t xml:space="preserve">“</w:t>
      </w:r>
      <w:r>
        <w:t xml:space="preserve">2-26</w:t>
      </w:r>
      <w:r>
        <w:t xml:space="preserve">”</w:t>
      </w:r>
      <w:r>
        <w:t xml:space="preserve"> </w:t>
      </w:r>
      <w:r>
        <w:t xml:space="preserve">[?]; the bhāṣya gives 2-104), the suffix</w:t>
      </w:r>
      <w:r>
        <w:t xml:space="preserve"> </w:t>
      </w:r>
      <w:r>
        <w:rPr>
          <w:iCs/>
          <w:i/>
        </w:rPr>
        <w:t xml:space="preserve">ani</w:t>
      </w:r>
      <w:r>
        <w:t xml:space="preserve"> </w:t>
      </w:r>
      <w:r>
        <w:t xml:space="preserve">comes after the root</w:t>
      </w:r>
      <w:r>
        <w:t xml:space="preserve"> </w:t>
      </w:r>
      <w:r>
        <w:rPr>
          <w:iCs/>
          <w:i/>
        </w:rPr>
        <w:t xml:space="preserve">kṛṣ</w:t>
      </w:r>
      <w:r>
        <w:t xml:space="preserve">, and</w:t>
      </w:r>
      <w:r>
        <w:t xml:space="preserve"> </w:t>
      </w:r>
      <w:r>
        <w:rPr>
          <w:iCs/>
          <w:i/>
        </w:rPr>
        <w:t xml:space="preserve">c</w:t>
      </w:r>
      <w:r>
        <w:t xml:space="preserve"> </w:t>
      </w:r>
      <w:r>
        <w:t xml:space="preserve">for the first letter</w:t>
      </w:r>
      <w:r>
        <w:t xml:space="preserve"> </w:t>
      </w:r>
      <w:r>
        <w:rPr>
          <w:iCs/>
          <w:i/>
        </w:rPr>
        <w:t xml:space="preserve">k</w:t>
      </w:r>
      <w:r>
        <w:t xml:space="preserve">; so with the suffix</w:t>
      </w:r>
      <w:r>
        <w:t xml:space="preserve"> </w:t>
      </w:r>
      <w:r>
        <w:rPr>
          <w:iCs/>
          <w:i/>
        </w:rPr>
        <w:t xml:space="preserve">ani</w:t>
      </w:r>
      <w:r>
        <w:t xml:space="preserve"> </w:t>
      </w:r>
      <w:r>
        <w:t xml:space="preserve">and</w:t>
      </w:r>
      <w:r>
        <w:t xml:space="preserve"> </w:t>
      </w:r>
      <w:r>
        <w:rPr>
          <w:iCs/>
          <w:i/>
        </w:rPr>
        <w:t xml:space="preserve">c</w:t>
      </w:r>
      <w:r>
        <w:t xml:space="preserve"> </w:t>
      </w:r>
      <w:r>
        <w:t xml:space="preserve">for</w:t>
      </w:r>
      <w:r>
        <w:t xml:space="preserve"> </w:t>
      </w:r>
      <w:r>
        <w:rPr>
          <w:iCs/>
          <w:i/>
        </w:rPr>
        <w:t xml:space="preserve">k</w:t>
      </w:r>
      <w:r>
        <w:t xml:space="preserve">:</w:t>
      </w:r>
      <w:r>
        <w:t xml:space="preserve"> </w:t>
      </w:r>
      <w:r>
        <w:rPr>
          <w:iCs/>
          <w:i/>
        </w:rPr>
        <w:t xml:space="preserve">cṛṣ</w:t>
      </w:r>
      <w:r>
        <w:t xml:space="preserve"> </w:t>
      </w:r>
      <w:r>
        <w:t xml:space="preserve">+</w:t>
      </w:r>
      <w:r>
        <w:t xml:space="preserve"> </w:t>
      </w:r>
      <w:r>
        <w:rPr>
          <w:iCs/>
          <w:i/>
        </w:rPr>
        <w:t xml:space="preserve">ani</w:t>
      </w:r>
      <w:r>
        <w:t xml:space="preserve">; by “puganta-</w:t>
      </w:r>
    </w:p>
    <w:bookmarkEnd w:id="785"/>
    <w:bookmarkStart w:id="786" w:name="page-718-upper-rik-2-grammar-end"/>
    <w:p>
      <w:pPr>
        <w:pStyle w:val="Heading3"/>
      </w:pPr>
      <w:r>
        <w:t xml:space="preserve">Page 718 (upper) — Rik 2: grammar (end)</w:t>
      </w:r>
    </w:p>
    <w:p>
      <w:pPr>
        <w:pStyle w:val="FirstParagraph"/>
      </w:pPr>
      <w:r>
        <w:t xml:space="preserve">laghūpadhasya ca” (Pā. sū. 7-3-86) the</w:t>
      </w:r>
      <w:r>
        <w:t xml:space="preserve"> </w:t>
      </w:r>
      <w:r>
        <w:rPr>
          <w:iCs/>
          <w:i/>
        </w:rPr>
        <w:t xml:space="preserve">laghūpadha-guṇa</w:t>
      </w:r>
      <w:r>
        <w:t xml:space="preserve">, followed by</w:t>
      </w:r>
      <w:r>
        <w:t xml:space="preserve"> </w:t>
      </w:r>
      <w:r>
        <w:rPr>
          <w:iCs/>
          <w:i/>
        </w:rPr>
        <w:t xml:space="preserve">r</w:t>
      </w:r>
      <w:r>
        <w:t xml:space="preserve">:</w:t>
      </w:r>
      <w:r>
        <w:t xml:space="preserve"> </w:t>
      </w:r>
      <w:r>
        <w:rPr>
          <w:iCs/>
          <w:i/>
        </w:rPr>
        <w:t xml:space="preserve">carṣani</w:t>
      </w:r>
      <w:r>
        <w:t xml:space="preserve">; by</w:t>
      </w:r>
      <w:r>
        <w:t xml:space="preserve"> </w:t>
      </w:r>
      <w:r>
        <w:t xml:space="preserve">“</w:t>
      </w:r>
      <w:r>
        <w:t xml:space="preserve">aṭkupvāṅnumvyavāye ’pi</w:t>
      </w:r>
      <w:r>
        <w:t xml:space="preserve">”</w:t>
      </w:r>
      <w:r>
        <w:t xml:space="preserve"> </w:t>
      </w:r>
      <w:r>
        <w:t xml:space="preserve">(Pā. sū. 8-4-2)</w:t>
      </w:r>
      <w:r>
        <w:t xml:space="preserve"> </w:t>
      </w:r>
      <w:r>
        <w:rPr>
          <w:iCs/>
          <w:i/>
        </w:rPr>
        <w:t xml:space="preserve">ṇ</w:t>
      </w:r>
      <w:r>
        <w:t xml:space="preserve"> </w:t>
      </w:r>
      <w:r>
        <w:t xml:space="preserve">for</w:t>
      </w:r>
      <w:r>
        <w:t xml:space="preserve"> </w:t>
      </w:r>
      <w:r>
        <w:rPr>
          <w:iCs/>
          <w:i/>
        </w:rPr>
        <w:t xml:space="preserve">n</w:t>
      </w:r>
      <w:r>
        <w:t xml:space="preserve">:</w:t>
      </w:r>
      <w:r>
        <w:t xml:space="preserve"> </w:t>
      </w:r>
      <w:r>
        <w:rPr>
          <w:iCs/>
          <w:i/>
        </w:rPr>
        <w:t xml:space="preserve">carṣaṇi</w:t>
      </w:r>
      <w:r>
        <w:t xml:space="preserve">. After it the genitive plural</w:t>
      </w:r>
      <w:r>
        <w:t xml:space="preserve"> </w:t>
      </w:r>
      <w:r>
        <w:rPr>
          <w:iCs/>
          <w:i/>
        </w:rPr>
        <w:t xml:space="preserve">ām</w:t>
      </w:r>
      <w:r>
        <w:t xml:space="preserve">:</w:t>
      </w:r>
      <w:r>
        <w:t xml:space="preserve"> </w:t>
      </w:r>
      <w:r>
        <w:rPr>
          <w:iCs/>
          <w:i/>
        </w:rPr>
        <w:t xml:space="preserve">carṣaṇi</w:t>
      </w:r>
      <w:r>
        <w:t xml:space="preserve"> </w:t>
      </w:r>
      <w:r>
        <w:t xml:space="preserve">+</w:t>
      </w:r>
      <w:r>
        <w:t xml:space="preserve"> </w:t>
      </w:r>
      <w:r>
        <w:rPr>
          <w:iCs/>
          <w:i/>
        </w:rPr>
        <w:t xml:space="preserve">ām</w:t>
      </w:r>
      <w:r>
        <w:t xml:space="preserve">. By</w:t>
      </w:r>
      <w:r>
        <w:t xml:space="preserve"> </w:t>
      </w:r>
      <w:r>
        <w:t xml:space="preserve">“</w:t>
      </w:r>
      <w:r>
        <w:t xml:space="preserve">hrasvanadyāpo nuṭ</w:t>
      </w:r>
      <w:r>
        <w:t xml:space="preserve">”</w:t>
      </w:r>
      <w:r>
        <w:t xml:space="preserve"> </w:t>
      </w:r>
      <w:r>
        <w:t xml:space="preserve">(Pā. sū. 7-1-54) the augment</w:t>
      </w:r>
      <w:r>
        <w:t xml:space="preserve"> </w:t>
      </w:r>
      <w:r>
        <w:rPr>
          <w:iCs/>
          <w:i/>
        </w:rPr>
        <w:t xml:space="preserve">nuṭ</w:t>
      </w:r>
      <w:r>
        <w:t xml:space="preserve">; by</w:t>
      </w:r>
      <w:r>
        <w:t xml:space="preserve"> </w:t>
      </w:r>
      <w:r>
        <w:t xml:space="preserve">“</w:t>
      </w:r>
      <w:r>
        <w:t xml:space="preserve">nāmi</w:t>
      </w:r>
      <w:r>
        <w:t xml:space="preserve">”</w:t>
      </w:r>
      <w:r>
        <w:t xml:space="preserve"> </w:t>
      </w:r>
      <w:r>
        <w:t xml:space="preserve">(Pā. sū. 6-4-3), before</w:t>
      </w:r>
      <w:r>
        <w:t xml:space="preserve"> </w:t>
      </w:r>
      <w:r>
        <w:rPr>
          <w:iCs/>
          <w:i/>
        </w:rPr>
        <w:t xml:space="preserve">nām</w:t>
      </w:r>
      <w:r>
        <w:t xml:space="preserve">, a vowel-final</w:t>
      </w:r>
      <w:r>
        <w:t xml:space="preserve"> </w:t>
      </w:r>
      <w:r>
        <w:rPr>
          <w:iCs/>
          <w:i/>
        </w:rPr>
        <w:t xml:space="preserve">aṅga</w:t>
      </w:r>
      <w:r>
        <w:t xml:space="preserve"> </w:t>
      </w:r>
      <w:r>
        <w:t xml:space="preserve">is lengthened:</w:t>
      </w:r>
      <w:r>
        <w:t xml:space="preserve"> </w:t>
      </w:r>
      <w:r>
        <w:rPr>
          <w:iCs/>
          <w:i/>
        </w:rPr>
        <w:t xml:space="preserve">carṣaṇīnām</w:t>
      </w:r>
      <w:r>
        <w:t xml:space="preserve">. Though the suffix-initial udātta is due for</w:t>
      </w:r>
      <w:r>
        <w:t xml:space="preserve"> </w:t>
      </w:r>
      <w:r>
        <w:rPr>
          <w:iCs/>
          <w:i/>
        </w:rPr>
        <w:t xml:space="preserve">ani</w:t>
      </w:r>
      <w:r>
        <w:t xml:space="preserve"> </w:t>
      </w:r>
      <w:r>
        <w:t xml:space="preserve">by</w:t>
      </w:r>
      <w:r>
        <w:t xml:space="preserve"> </w:t>
      </w:r>
      <w:r>
        <w:rPr>
          <w:iCs/>
          <w:i/>
        </w:rPr>
        <w:t xml:space="preserve">ādyudāttaś ca</w:t>
      </w:r>
      <w:r>
        <w:t xml:space="preserve">, a Vedic final udātta comes. Because it is final udātta, the ending is udātta by</w:t>
      </w:r>
      <w:r>
        <w:t xml:space="preserve"> </w:t>
      </w:r>
      <w:r>
        <w:t xml:space="preserve">“</w:t>
      </w:r>
      <w:r>
        <w:t xml:space="preserve">nām anyatarasyām</w:t>
      </w:r>
      <w:r>
        <w:t xml:space="preserve">”</w:t>
      </w:r>
      <w:r>
        <w:t xml:space="preserve"> </w:t>
      </w:r>
      <w:r>
        <w:t xml:space="preserve">(Pā. sū.</w:t>
      </w:r>
      <w:r>
        <w:t xml:space="preserve"> </w:t>
      </w:r>
      <w:r>
        <w:t xml:space="preserve">“</w:t>
      </w:r>
      <w:r>
        <w:t xml:space="preserve">6-1-77</w:t>
      </w:r>
      <w:r>
        <w:t xml:space="preserve">”</w:t>
      </w:r>
      <w:r>
        <w:t xml:space="preserve"> </w:t>
      </w:r>
      <w:r>
        <w:t xml:space="preserve">[as printed, for 6-1-177]).</w:t>
      </w:r>
      <w:r>
        <w:t xml:space="preserve"> </w:t>
      </w:r>
      <w:r>
        <w:rPr>
          <w:iCs/>
          <w:i/>
        </w:rPr>
        <w:t xml:space="preserve">Carṣaṇī</w:t>
      </w:r>
      <w:r>
        <w:t xml:space="preserve">, though final udātta, does not end in a short vowel; so how does the udātta come? The sense of</w:t>
      </w:r>
      <w:r>
        <w:t xml:space="preserve"> </w:t>
      </w:r>
      <w:r>
        <w:rPr>
          <w:iCs/>
          <w:i/>
        </w:rPr>
        <w:t xml:space="preserve">nām anyatarasyām</w:t>
      </w:r>
      <w:r>
        <w:t xml:space="preserve"> </w:t>
      </w:r>
      <w:r>
        <w:t xml:space="preserve">is: after what is short-final and final udātta when the suffix</w:t>
      </w:r>
      <w:r>
        <w:t xml:space="preserve"> </w:t>
      </w:r>
      <w:r>
        <w:rPr>
          <w:iCs/>
          <w:i/>
        </w:rPr>
        <w:t xml:space="preserve">matup</w:t>
      </w:r>
      <w:r>
        <w:t xml:space="preserve"> </w:t>
      </w:r>
      <w:r>
        <w:t xml:space="preserve">follows, the</w:t>
      </w:r>
      <w:r>
        <w:t xml:space="preserve"> </w:t>
      </w:r>
      <w:r>
        <w:rPr>
          <w:iCs/>
          <w:i/>
        </w:rPr>
        <w:t xml:space="preserve">nām</w:t>
      </w:r>
      <w:r>
        <w:t xml:space="preserve"> </w:t>
      </w:r>
      <w:r>
        <w:t xml:space="preserve">is optionally udātta. If</w:t>
      </w:r>
      <w:r>
        <w:t xml:space="preserve"> </w:t>
      </w:r>
      <w:r>
        <w:rPr>
          <w:iCs/>
          <w:i/>
        </w:rPr>
        <w:t xml:space="preserve">matup</w:t>
      </w:r>
      <w:r>
        <w:t xml:space="preserve"> </w:t>
      </w:r>
      <w:r>
        <w:t xml:space="preserve">is placed after</w:t>
      </w:r>
      <w:r>
        <w:t xml:space="preserve"> </w:t>
      </w:r>
      <w:r>
        <w:rPr>
          <w:iCs/>
          <w:i/>
        </w:rPr>
        <w:t xml:space="preserve">carṣaṇi</w:t>
      </w:r>
      <w:r>
        <w:t xml:space="preserve">, it is short-final and final udātta; so, though it is now long-final, the ending may be udātta.</w:t>
      </w:r>
    </w:p>
    <w:p>
      <w:pPr>
        <w:pStyle w:val="BodyText"/>
      </w:pPr>
      <w:r>
        <w:rPr>
          <w:bCs/>
          <w:b/>
        </w:rPr>
        <w:t xml:space="preserve">॥२॥</w:t>
      </w:r>
    </w:p>
    <w:p>
      <w:r>
        <w:pict>
          <v:rect style="width:0;height:1.5pt" o:hralign="center" o:hrstd="t" o:hr="t"/>
        </w:pict>
      </w:r>
    </w:p>
    <w:bookmarkEnd w:id="786"/>
    <w:bookmarkStart w:id="787" w:name="page-718-lower-sūkta-17-rik-3"/>
    <w:p>
      <w:pPr>
        <w:pStyle w:val="Heading3"/>
      </w:pPr>
      <w:r>
        <w:t xml:space="preserve">Page 718 (lower) — Sūkta 17, Rik 3</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अ॒नु॒का॒मं त॑र्पयेथा॒मिन्द्रा॑वरुण रा॒य आ । [accent ?]</w:t>
      </w:r>
      <w:r>
        <w:t xml:space="preserve"> </w:t>
      </w:r>
      <w:r>
        <w:t xml:space="preserve">ता वां॒ नेदि॑ष्ठमीमहे ॥३॥</w:t>
      </w:r>
    </w:p>
    <w:p>
      <w:pPr>
        <w:pStyle w:val="BlockText"/>
      </w:pPr>
      <w:r>
        <w:rPr>
          <w:iCs/>
          <w:i/>
        </w:rPr>
        <w:t xml:space="preserve">anukāmáṃ tarpayethām índrāvaruṇa rāyá ā |</w:t>
      </w:r>
      <w:r>
        <w:t xml:space="preserve"> </w:t>
      </w:r>
      <w:r>
        <w:t xml:space="preserve">[accent ?]</w:t>
      </w:r>
      <w:r>
        <w:t xml:space="preserve"> </w:t>
      </w:r>
      <w:r>
        <w:rPr>
          <w:iCs/>
          <w:i/>
        </w:rPr>
        <w:t xml:space="preserve">tā vāṃ nédiṣṭham īmahe ||3||</w:t>
      </w:r>
    </w:p>
    <w:p>
      <w:pPr>
        <w:pStyle w:val="FirstParagraph"/>
      </w:pPr>
      <w:r>
        <w:rPr>
          <w:iCs/>
          <w:i/>
        </w:rPr>
        <w:t xml:space="preserve">(Bars under अ, नु, का, था and रा; strokes over त and द्रा. The bar under अ is faint.)</w:t>
      </w:r>
    </w:p>
    <w:p>
      <w:pPr>
        <w:pStyle w:val="BodyText"/>
      </w:pPr>
      <w:r>
        <w:rPr>
          <w:bCs/>
          <w:b/>
        </w:rPr>
        <w:t xml:space="preserve">॥ Pada-pāṭhaḥ ॥</w:t>
      </w:r>
    </w:p>
    <w:p>
      <w:pPr>
        <w:pStyle w:val="BlockText"/>
      </w:pPr>
      <w:r>
        <w:t xml:space="preserve">अनुऽकामम् । तर्पयेथाम् । इन्द्रावरुणा । रायः । आ ॥</w:t>
      </w:r>
      <w:r>
        <w:t xml:space="preserve"> </w:t>
      </w:r>
      <w:r>
        <w:t xml:space="preserve">ता । वाम् । नेदिष्ठम् । ईमहे ॥३॥</w:t>
      </w:r>
    </w:p>
    <w:p>
      <w:pPr>
        <w:pStyle w:val="BlockText"/>
      </w:pPr>
      <w:r>
        <w:rPr>
          <w:iCs/>
          <w:i/>
        </w:rPr>
        <w:t xml:space="preserve">anu ’kāmam | tarpayethām | indrāvaruṇā | rāyaḥ | ā ||</w:t>
      </w:r>
      <w:r>
        <w:t xml:space="preserve"> </w:t>
      </w:r>
      <w:r>
        <w:rPr>
          <w:iCs/>
          <w:i/>
        </w:rPr>
        <w:t xml:space="preserve">tā | vām | nediṣṭham | īmahe ||3||</w:t>
      </w:r>
    </w:p>
    <w:p>
      <w:pPr>
        <w:pStyle w:val="FirstParagraph"/>
      </w:pPr>
      <w:r>
        <w:rPr>
          <w:bCs/>
          <w:b/>
        </w:rPr>
        <w:t xml:space="preserve">॥ Sāyaṇa-bhāṣyam ॥</w:t>
      </w:r>
    </w:p>
    <w:p>
      <w:pPr>
        <w:pStyle w:val="BlockText"/>
      </w:pPr>
      <w:r>
        <w:t xml:space="preserve">इन्द्रावरुणा हे इन्द्रावरुणौ अनुकाममस्मदीयाभिलाषमनु रायो धनस्य प्रदानेन तर्पयेथाम् । सर्वतोऽस्मांस्तृप्तान्कुरुतम् । वयं यदा यदा धनं कामयामहे तदा तदा प्रयच्छतमित्यर्थः । ता वां तादृशौ युवां नेदिष्ठ-</w:t>
      </w:r>
    </w:p>
    <w:p>
      <w:pPr>
        <w:pStyle w:val="BlockText"/>
      </w:pPr>
      <w:r>
        <w:rPr>
          <w:iCs/>
          <w:i/>
        </w:rPr>
        <w:t xml:space="preserve">indrāvaruṇā he indrāvaruṇau anukāmamasmadīyābhilāṣamanu rāyo dhanasya pradānena tarpayethām | sarvato ’smāṃstṛptānkurutam | vayaṃ yadā yadā dhanaṃ kāmayāmahe tadā tadā prayacchatamityarthaḥ | tā vāṃ tādṛśau yuvāṃ nediṣṭha-</w:t>
      </w:r>
    </w:p>
    <w:bookmarkEnd w:id="787"/>
    <w:bookmarkStart w:id="788" w:name="Xb21d85b6320f41192d8b531a718aed432da00f7"/>
    <w:p>
      <w:pPr>
        <w:pStyle w:val="Heading3"/>
      </w:pPr>
      <w:r>
        <w:t xml:space="preserve">Page 719 — Rik 3: bhāṣya (end), word-meanings, overall sense, English</w:t>
      </w:r>
    </w:p>
    <w:p>
      <w:pPr>
        <w:pStyle w:val="BlockText"/>
      </w:pPr>
      <w:r>
        <w:t xml:space="preserve">मतिशयेन सामीप्यं यथा भवति तथा ईमहे । याचामहे कालविलम्बमन्तरेण धनं दातव्यमित्यर्थः । सप्तदशसु याच्ञाकर्मस्वीमह इति पठितम् ॥ अनुकामम् । कामस्य पश्चादनुकामम् । अथवा कामे कामेऽनुकामम् । अनुरिह पश्चादर्थे । अथवा वीप्सालक्षणे यथार्थे । योग्यता वीप्सा पदार्थानतिवृत्तिः सादृश्यं चेति चत्वारो हि यथार्था गृहीताः । अव्ययं विभक्तीत्यादिना । पा. २-१-६ । अव्ययीभावसमासः । अव्ययीभावश्च । पा. १-१-४१ । इत्यव्ययसंज्ञायामव्ययादाप्सुपः । पा. २-४-८२ । इति प्राप्तस्य लुकोऽपवादो नाव्ययीभावादतोऽम्त्वपञ्चम्याः । पा. २-४-८३ । इति विभक्तेरमादेशः । समासस्येत्यन्तोदात्तत्वम् । तर्पयेथाम् । तृपेर्ण्यन्ताल्लोटो णिचश्च । पा. १-३-७४ । इत्यात्मनेपदम् । मध्यमद्विवचनमाथाम् । टेरेत्वे आमेतः । पा. ३-४-९० । इत्यामादेशः । शपि सत्यतो येयः । पा. ७-२-८० । इत्याकारस्येयादेशः । आद्गुणो यलोपश्च । इन्द्रावरुणा । सुपां सुलुगिति द्विवचनस्याकारः । आमन्त्रिताद्युदात्तत्वम् । संहितायामाकारस्य ह्रस्वत्वम् । रायः । ऊडिदमित्यादिना विभक्तेरुदात्तत्वम् । ता । सुपां सुलुगिति विभक्तेराकारः । पदात्परत्वाद्युष्मदस्मदित्यस्य वामादेशोऽनुदात्तः । नेदिष्ठम् । अतिशयेनान्तिकम् । अतिशायन इष्ठन् । अन्तिकबाढयोर्नेदसाधौ । पा. ५-३-६३ । इति नेदादेशः । यस्येति लोपः । इष्ठनो नित्त्वादाद्युदात्तत्वम् । ईमहे । ईङ् गतौ । ङित्त्वादात्मनेपदम् । बहुलं छन्दसीति श्यनो लुक् । निघातः ॥</w:t>
      </w:r>
    </w:p>
    <w:p>
      <w:pPr>
        <w:pStyle w:val="BlockText"/>
      </w:pPr>
      <w:r>
        <w:rPr>
          <w:iCs/>
          <w:i/>
        </w:rPr>
        <w:t xml:space="preserve">matiśayena sāmīpyaṃ yathā bhavati tathā īmahe | yācāmahe kālavilambamantareṇa dhanaṃ dātavyamityarthaḥ | saptadaśasu yācñākarmasvīmaha iti paṭhitam || anukāmam | kāmasya paścādanukāmam | athavā kāme kāme ’nukāmam | anuriha paścādarthe | athavā vīpsālakṣaṇe yathārthe | yogyatā vīpsā padārthānativṛttiḥ sādṛśyaṃ ceti catvāro hi yathārthā gṛhītāḥ | avyayaṃ vibhaktītyādinā | pā. 2-1-6 | avyayībhāvasamāsaḥ | avyayībhāvaśca | pā. 1-1-41 | ityavyayasaṃjñāyāmavyayādāpsupaḥ | pā. 2-4-82 | iti prāptasya luko ’pavādo nāvyayībhāvādato ’mtvapañcamyāḥ | pā. 2-4-83 | iti vibhakteramādeśaḥ | samāsasyetyantodāttatvam | tarpayethām | tṛperṇyantālloṭo ṇicaśca | pā. 1-3-74 | ityātmanepadam | madhyamadvivacanamāthām | ṭeretve āmetaḥ | pā. 3-4-90 | ityāmādeśaḥ | śapi satyato yeyaḥ | pā. 7-2-80 | ityākārasyeyādeśaḥ | ādguṇo yalopaśca | indrāvaruṇā | supāṃ sulugiti dvivacanasyākāraḥ | āmantritādyudāttatvam | saṃhitāyāmākārasya hrasvatvam | rāyaḥ | ūḍidamityādinā vibhakterudāttatvam | tā | supāṃ sulugiti vibhakterākāraḥ | padātparatvādyuṣmadasmadityasya vāmādeśo ’nudāttaḥ | nediṣṭham | atiśayenāntikam | atiśāyana iṣṭhan | antikabāḍhayornedasādhau | pā. 5-3-63 | iti nedādeśaḥ | yasyeti lopaḥ | iṣṭhano nittvādādyudāttatvam | īmahe | īṅ gatau | ṅittvādātmanepadam | bahulaṃ chandasīti śyano luk | nighātaḥ ||</w:t>
      </w:r>
    </w:p>
    <w:p>
      <w:pPr>
        <w:pStyle w:val="FirstParagraph"/>
      </w:pPr>
      <w:r>
        <w:rPr>
          <w:bCs/>
          <w:b/>
        </w:rPr>
        <w:t xml:space="preserve">Translation:</w:t>
      </w:r>
      <w:r>
        <w:t xml:space="preserve"> </w:t>
      </w:r>
      <w:r>
        <w:t xml:space="preserve">“</w:t>
      </w:r>
      <w:r>
        <w:t xml:space="preserve">O Indra and Varuṇa,</w:t>
      </w:r>
      <w:r>
        <w:t xml:space="preserve"> </w:t>
      </w:r>
      <w:r>
        <w:rPr>
          <w:iCs/>
          <w:i/>
        </w:rPr>
        <w:t xml:space="preserve">anukāmam</w:t>
      </w:r>
      <w:r>
        <w:t xml:space="preserve">, according to our wish,</w:t>
      </w:r>
      <w:r>
        <w:t xml:space="preserve"> </w:t>
      </w:r>
      <w:r>
        <w:rPr>
          <w:iCs/>
          <w:i/>
        </w:rPr>
        <w:t xml:space="preserve">tarpayethām</w:t>
      </w:r>
      <w:r>
        <w:t xml:space="preserve">, satisfy us by the gift of</w:t>
      </w:r>
      <w:r>
        <w:t xml:space="preserve"> </w:t>
      </w:r>
      <w:r>
        <w:rPr>
          <w:iCs/>
          <w:i/>
        </w:rPr>
        <w:t xml:space="preserve">rāyaḥ</w:t>
      </w:r>
      <w:r>
        <w:t xml:space="preserve">, wealth: make us content on all sides; that is, whenever we desire wealth, then give it.</w:t>
      </w:r>
      <w:r>
        <w:t xml:space="preserve"> </w:t>
      </w:r>
      <w:r>
        <w:rPr>
          <w:iCs/>
          <w:i/>
        </w:rPr>
        <w:t xml:space="preserve">Tā vām</w:t>
      </w:r>
      <w:r>
        <w:t xml:space="preserve">, you two, such as you are,</w:t>
      </w:r>
      <w:r>
        <w:t xml:space="preserve"> </w:t>
      </w:r>
      <w:r>
        <w:rPr>
          <w:iCs/>
          <w:i/>
        </w:rPr>
        <w:t xml:space="preserve">īmahe</w:t>
      </w:r>
      <w:r>
        <w:t xml:space="preserve">, we beg, so that you are</w:t>
      </w:r>
      <w:r>
        <w:t xml:space="preserve"> </w:t>
      </w:r>
      <w:r>
        <w:rPr>
          <w:iCs/>
          <w:i/>
        </w:rPr>
        <w:t xml:space="preserve">nediṣṭham</w:t>
      </w:r>
      <w:r>
        <w:t xml:space="preserve">, nearest: that is, wealth is to be given without delay.</w:t>
      </w:r>
      <w:r>
        <w:t xml:space="preserve"> </w:t>
      </w:r>
      <w:r>
        <w:rPr>
          <w:iCs/>
          <w:i/>
        </w:rPr>
        <w:t xml:space="preserve">Īmahe</w:t>
      </w:r>
      <w:r>
        <w:t xml:space="preserve"> </w:t>
      </w:r>
      <w:r>
        <w:t xml:space="preserve">is read among the seventeen words meaning</w:t>
      </w:r>
      <w:r>
        <w:t xml:space="preserve"> </w:t>
      </w:r>
      <w:r>
        <w:t xml:space="preserve">‘</w:t>
      </w:r>
      <w:r>
        <w:t xml:space="preserve">to beg</w:t>
      </w:r>
      <w:r>
        <w:t xml:space="preserve">’</w:t>
      </w:r>
      <w:r>
        <w:t xml:space="preserve">.</w:t>
      </w:r>
      <w:r>
        <w:t xml:space="preserve">”</w:t>
      </w:r>
      <w:r>
        <w:t xml:space="preserve"> </w:t>
      </w:r>
      <w:r>
        <w:t xml:space="preserve">(Grammatical tail:</w:t>
      </w:r>
      <w:r>
        <w:t xml:space="preserve"> </w:t>
      </w:r>
      <w:r>
        <w:rPr>
          <w:iCs/>
          <w:i/>
        </w:rPr>
        <w:t xml:space="preserve">anukāmam</w:t>
      </w:r>
      <w:r>
        <w:t xml:space="preserve">,</w:t>
      </w:r>
      <w:r>
        <w:t xml:space="preserve"> </w:t>
      </w:r>
      <w:r>
        <w:t xml:space="preserve">“</w:t>
      </w:r>
      <w:r>
        <w:t xml:space="preserve">after the wish</w:t>
      </w:r>
      <w:r>
        <w:t xml:space="preserve">”</w:t>
      </w:r>
      <w:r>
        <w:t xml:space="preserve">, or</w:t>
      </w:r>
      <w:r>
        <w:t xml:space="preserve"> </w:t>
      </w:r>
      <w:r>
        <w:t xml:space="preserve">“</w:t>
      </w:r>
      <w:r>
        <w:t xml:space="preserve">at each wish</w:t>
      </w:r>
      <w:r>
        <w:t xml:space="preserve">”</w:t>
      </w:r>
      <w:r>
        <w:t xml:space="preserve">,</w:t>
      </w:r>
      <w:r>
        <w:t xml:space="preserve"> </w:t>
      </w:r>
      <w:r>
        <w:rPr>
          <w:iCs/>
          <w:i/>
        </w:rPr>
        <w:t xml:space="preserve">anu</w:t>
      </w:r>
      <w:r>
        <w:t xml:space="preserve"> </w:t>
      </w:r>
      <w:r>
        <w:t xml:space="preserve">here in the sense</w:t>
      </w:r>
      <w:r>
        <w:t xml:space="preserve"> </w:t>
      </w:r>
      <w:r>
        <w:t xml:space="preserve">“</w:t>
      </w:r>
      <w:r>
        <w:t xml:space="preserve">after</w:t>
      </w:r>
      <w:r>
        <w:t xml:space="preserve">”</w:t>
      </w:r>
      <w:r>
        <w:t xml:space="preserve">, or in the sense</w:t>
      </w:r>
      <w:r>
        <w:t xml:space="preserve"> </w:t>
      </w:r>
      <w:r>
        <w:rPr>
          <w:iCs/>
          <w:i/>
        </w:rPr>
        <w:t xml:space="preserve">yathā</w:t>
      </w:r>
      <w:r>
        <w:t xml:space="preserve"> </w:t>
      </w:r>
      <w:r>
        <w:t xml:space="preserve">marked by repetition, the four senses of</w:t>
      </w:r>
      <w:r>
        <w:t xml:space="preserve"> </w:t>
      </w:r>
      <w:r>
        <w:rPr>
          <w:iCs/>
          <w:i/>
        </w:rPr>
        <w:t xml:space="preserve">yathā</w:t>
      </w:r>
      <w:r>
        <w:t xml:space="preserve"> </w:t>
      </w:r>
      <w:r>
        <w:t xml:space="preserve">being fitness, repetition, not going beyond the sense of the word, and likeness; an</w:t>
      </w:r>
      <w:r>
        <w:t xml:space="preserve"> </w:t>
      </w:r>
      <w:r>
        <w:rPr>
          <w:iCs/>
          <w:i/>
        </w:rPr>
        <w:t xml:space="preserve">avyayībhāva</w:t>
      </w:r>
      <w:r>
        <w:t xml:space="preserve"> </w:t>
      </w:r>
      <w:r>
        <w:t xml:space="preserve">by Pā. 2-1-6; called</w:t>
      </w:r>
      <w:r>
        <w:t xml:space="preserve"> </w:t>
      </w:r>
      <w:r>
        <w:rPr>
          <w:iCs/>
          <w:i/>
        </w:rPr>
        <w:t xml:space="preserve">avyaya</w:t>
      </w:r>
      <w:r>
        <w:t xml:space="preserve"> </w:t>
      </w:r>
      <w:r>
        <w:t xml:space="preserve">by Pā. 1-1-41, the</w:t>
      </w:r>
      <w:r>
        <w:t xml:space="preserve"> </w:t>
      </w:r>
      <w:r>
        <w:rPr>
          <w:iCs/>
          <w:i/>
        </w:rPr>
        <w:t xml:space="preserve">luk</w:t>
      </w:r>
      <w:r>
        <w:t xml:space="preserve"> </w:t>
      </w:r>
      <w:r>
        <w:t xml:space="preserve">due by Pā. 2-4-82 is overridden by Pā. 2-4-83, which gives</w:t>
      </w:r>
      <w:r>
        <w:t xml:space="preserve"> </w:t>
      </w:r>
      <w:r>
        <w:rPr>
          <w:iCs/>
          <w:i/>
        </w:rPr>
        <w:t xml:space="preserve">am</w:t>
      </w:r>
      <w:r>
        <w:t xml:space="preserve"> </w:t>
      </w:r>
      <w:r>
        <w:t xml:space="preserve">for the ending; final udātta by</w:t>
      </w:r>
      <w:r>
        <w:t xml:space="preserve"> </w:t>
      </w:r>
      <w:r>
        <w:rPr>
          <w:iCs/>
          <w:i/>
        </w:rPr>
        <w:t xml:space="preserve">samāsasya</w:t>
      </w:r>
      <w:r>
        <w:t xml:space="preserve">;</w:t>
      </w:r>
      <w:r>
        <w:t xml:space="preserve"> </w:t>
      </w:r>
      <w:r>
        <w:rPr>
          <w:iCs/>
          <w:i/>
        </w:rPr>
        <w:t xml:space="preserve">tarpayethām</w:t>
      </w:r>
      <w:r>
        <w:t xml:space="preserve">,</w:t>
      </w:r>
      <w:r>
        <w:t xml:space="preserve"> </w:t>
      </w:r>
      <w:r>
        <w:rPr>
          <w:iCs/>
          <w:i/>
        </w:rPr>
        <w:t xml:space="preserve">ātmanepada</w:t>
      </w:r>
      <w:r>
        <w:t xml:space="preserve"> </w:t>
      </w:r>
      <w:r>
        <w:t xml:space="preserve">after the causative of</w:t>
      </w:r>
      <w:r>
        <w:t xml:space="preserve"> </w:t>
      </w:r>
      <w:r>
        <w:rPr>
          <w:iCs/>
          <w:i/>
        </w:rPr>
        <w:t xml:space="preserve">tṛp</w:t>
      </w:r>
      <w:r>
        <w:t xml:space="preserve"> </w:t>
      </w:r>
      <w:r>
        <w:t xml:space="preserve">by Pā. 1-3-74, 2nd dual</w:t>
      </w:r>
      <w:r>
        <w:t xml:space="preserve"> </w:t>
      </w:r>
      <w:r>
        <w:rPr>
          <w:iCs/>
          <w:i/>
        </w:rPr>
        <w:t xml:space="preserve">āthām</w:t>
      </w:r>
      <w:r>
        <w:t xml:space="preserve">,</w:t>
      </w:r>
      <w:r>
        <w:t xml:space="preserve"> </w:t>
      </w:r>
      <w:r>
        <w:rPr>
          <w:iCs/>
          <w:i/>
        </w:rPr>
        <w:t xml:space="preserve">ām</w:t>
      </w:r>
      <w:r>
        <w:t xml:space="preserve"> </w:t>
      </w:r>
      <w:r>
        <w:t xml:space="preserve">for the</w:t>
      </w:r>
      <w:r>
        <w:t xml:space="preserve"> </w:t>
      </w:r>
      <w:r>
        <w:rPr>
          <w:iCs/>
          <w:i/>
        </w:rPr>
        <w:t xml:space="preserve">e</w:t>
      </w:r>
      <w:r>
        <w:t xml:space="preserve"> </w:t>
      </w:r>
      <w:r>
        <w:t xml:space="preserve">by Pā. 3-4-90,</w:t>
      </w:r>
      <w:r>
        <w:t xml:space="preserve"> </w:t>
      </w:r>
      <w:r>
        <w:rPr>
          <w:iCs/>
          <w:i/>
        </w:rPr>
        <w:t xml:space="preserve">iy</w:t>
      </w:r>
      <w:r>
        <w:t xml:space="preserve"> </w:t>
      </w:r>
      <w:r>
        <w:t xml:space="preserve">for the</w:t>
      </w:r>
      <w:r>
        <w:t xml:space="preserve"> </w:t>
      </w:r>
      <w:r>
        <w:rPr>
          <w:iCs/>
          <w:i/>
        </w:rPr>
        <w:t xml:space="preserve">ā</w:t>
      </w:r>
      <w:r>
        <w:t xml:space="preserve"> </w:t>
      </w:r>
      <w:r>
        <w:t xml:space="preserve">by Pā. 7-2-80 since</w:t>
      </w:r>
      <w:r>
        <w:t xml:space="preserve"> </w:t>
      </w:r>
      <w:r>
        <w:rPr>
          <w:iCs/>
          <w:i/>
        </w:rPr>
        <w:t xml:space="preserve">śap</w:t>
      </w:r>
      <w:r>
        <w:t xml:space="preserve"> </w:t>
      </w:r>
      <w:r>
        <w:t xml:space="preserve">follows,</w:t>
      </w:r>
      <w:r>
        <w:t xml:space="preserve"> </w:t>
      </w:r>
      <w:r>
        <w:rPr>
          <w:iCs/>
          <w:i/>
        </w:rPr>
        <w:t xml:space="preserve">guṇa</w:t>
      </w:r>
      <w:r>
        <w:t xml:space="preserve"> </w:t>
      </w:r>
      <w:r>
        <w:t xml:space="preserve">by</w:t>
      </w:r>
      <w:r>
        <w:t xml:space="preserve"> </w:t>
      </w:r>
      <w:r>
        <w:rPr>
          <w:iCs/>
          <w:i/>
        </w:rPr>
        <w:t xml:space="preserve">ād guṇaḥ</w:t>
      </w:r>
      <w:r>
        <w:t xml:space="preserve"> </w:t>
      </w:r>
      <w:r>
        <w:t xml:space="preserve">and the loss of</w:t>
      </w:r>
      <w:r>
        <w:t xml:space="preserve"> </w:t>
      </w:r>
      <w:r>
        <w:rPr>
          <w:iCs/>
          <w:i/>
        </w:rPr>
        <w:t xml:space="preserve">y</w:t>
      </w:r>
      <w:r>
        <w:t xml:space="preserve">;</w:t>
      </w:r>
      <w:r>
        <w:t xml:space="preserve"> </w:t>
      </w:r>
      <w:r>
        <w:rPr>
          <w:iCs/>
          <w:i/>
        </w:rPr>
        <w:t xml:space="preserve">indrāvaruṇā</w:t>
      </w:r>
      <w:r>
        <w:t xml:space="preserve">,</w:t>
      </w:r>
      <w:r>
        <w:t xml:space="preserve"> </w:t>
      </w:r>
      <w:r>
        <w:rPr>
          <w:iCs/>
          <w:i/>
        </w:rPr>
        <w:t xml:space="preserve">ā</w:t>
      </w:r>
      <w:r>
        <w:t xml:space="preserve"> </w:t>
      </w:r>
      <w:r>
        <w:t xml:space="preserve">for the dual by</w:t>
      </w:r>
      <w:r>
        <w:t xml:space="preserve"> </w:t>
      </w:r>
      <w:r>
        <w:rPr>
          <w:iCs/>
          <w:i/>
        </w:rPr>
        <w:t xml:space="preserve">supāṃ suluk</w:t>
      </w:r>
      <w:r>
        <w:t xml:space="preserve">, initial udātta of the vocative, shortened in the Saṃhitā;</w:t>
      </w:r>
      <w:r>
        <w:t xml:space="preserve"> </w:t>
      </w:r>
      <w:r>
        <w:rPr>
          <w:iCs/>
          <w:i/>
        </w:rPr>
        <w:t xml:space="preserve">rāyaḥ</w:t>
      </w:r>
      <w:r>
        <w:t xml:space="preserve">, the ending udātta by</w:t>
      </w:r>
      <w:r>
        <w:t xml:space="preserve"> </w:t>
      </w:r>
      <w:r>
        <w:rPr>
          <w:iCs/>
          <w:i/>
        </w:rPr>
        <w:t xml:space="preserve">ūḍidam…</w:t>
      </w:r>
      <w:r>
        <w:t xml:space="preserve">;</w:t>
      </w:r>
      <w:r>
        <w:t xml:space="preserve"> </w:t>
      </w:r>
      <w:r>
        <w:rPr>
          <w:iCs/>
          <w:i/>
        </w:rPr>
        <w:t xml:space="preserve">tā</w:t>
      </w:r>
      <w:r>
        <w:t xml:space="preserve">,</w:t>
      </w:r>
      <w:r>
        <w:t xml:space="preserve"> </w:t>
      </w:r>
      <w:r>
        <w:rPr>
          <w:iCs/>
          <w:i/>
        </w:rPr>
        <w:t xml:space="preserve">ā</w:t>
      </w:r>
      <w:r>
        <w:t xml:space="preserve"> </w:t>
      </w:r>
      <w:r>
        <w:t xml:space="preserve">for the ending by</w:t>
      </w:r>
      <w:r>
        <w:t xml:space="preserve"> </w:t>
      </w:r>
      <w:r>
        <w:rPr>
          <w:iCs/>
          <w:i/>
        </w:rPr>
        <w:t xml:space="preserve">supāṃ suluk</w:t>
      </w:r>
      <w:r>
        <w:t xml:space="preserve">; following a word,</w:t>
      </w:r>
      <w:r>
        <w:t xml:space="preserve"> </w:t>
      </w:r>
      <w:r>
        <w:rPr>
          <w:iCs/>
          <w:i/>
        </w:rPr>
        <w:t xml:space="preserve">vām</w:t>
      </w:r>
      <w:r>
        <w:t xml:space="preserve">, unaccented, replaces</w:t>
      </w:r>
      <w:r>
        <w:t xml:space="preserve"> </w:t>
      </w:r>
      <w:r>
        <w:rPr>
          <w:iCs/>
          <w:i/>
        </w:rPr>
        <w:t xml:space="preserve">yuṣmad</w:t>
      </w:r>
      <w:r>
        <w:t xml:space="preserve">;</w:t>
      </w:r>
      <w:r>
        <w:t xml:space="preserve"> </w:t>
      </w:r>
      <w:r>
        <w:rPr>
          <w:iCs/>
          <w:i/>
        </w:rPr>
        <w:t xml:space="preserve">nediṣṭham</w:t>
      </w:r>
      <w:r>
        <w:t xml:space="preserve">,</w:t>
      </w:r>
      <w:r>
        <w:t xml:space="preserve"> </w:t>
      </w:r>
      <w:r>
        <w:t xml:space="preserve">“</w:t>
      </w:r>
      <w:r>
        <w:t xml:space="preserve">very near</w:t>
      </w:r>
      <w:r>
        <w:t xml:space="preserve">”</w:t>
      </w:r>
      <w:r>
        <w:t xml:space="preserve">,</w:t>
      </w:r>
      <w:r>
        <w:t xml:space="preserve"> </w:t>
      </w:r>
      <w:r>
        <w:rPr>
          <w:iCs/>
          <w:i/>
        </w:rPr>
        <w:t xml:space="preserve">iṣṭhan</w:t>
      </w:r>
      <w:r>
        <w:t xml:space="preserve"> </w:t>
      </w:r>
      <w:r>
        <w:t xml:space="preserve">in the sense of excess,</w:t>
      </w:r>
      <w:r>
        <w:t xml:space="preserve"> </w:t>
      </w:r>
      <w:r>
        <w:rPr>
          <w:iCs/>
          <w:i/>
        </w:rPr>
        <w:t xml:space="preserve">neda</w:t>
      </w:r>
      <w:r>
        <w:t xml:space="preserve"> </w:t>
      </w:r>
      <w:r>
        <w:t xml:space="preserve">for</w:t>
      </w:r>
      <w:r>
        <w:t xml:space="preserve"> </w:t>
      </w:r>
      <w:r>
        <w:rPr>
          <w:iCs/>
          <w:i/>
        </w:rPr>
        <w:t xml:space="preserve">antika</w:t>
      </w:r>
      <w:r>
        <w:t xml:space="preserve"> </w:t>
      </w:r>
      <w:r>
        <w:t xml:space="preserve">by Pā. 5-3-63, the loss by</w:t>
      </w:r>
      <w:r>
        <w:t xml:space="preserve"> </w:t>
      </w:r>
      <w:r>
        <w:rPr>
          <w:iCs/>
          <w:i/>
        </w:rPr>
        <w:t xml:space="preserve">yasyeti</w:t>
      </w:r>
      <w:r>
        <w:t xml:space="preserve">, initial udātta as</w:t>
      </w:r>
      <w:r>
        <w:t xml:space="preserve"> </w:t>
      </w:r>
      <w:r>
        <w:rPr>
          <w:iCs/>
          <w:i/>
        </w:rPr>
        <w:t xml:space="preserve">iṣṭhan</w:t>
      </w:r>
      <w:r>
        <w:t xml:space="preserve"> </w:t>
      </w:r>
      <w:r>
        <w:t xml:space="preserve">is</w:t>
      </w:r>
      <w:r>
        <w:t xml:space="preserve"> </w:t>
      </w:r>
      <w:r>
        <w:rPr>
          <w:iCs/>
          <w:i/>
        </w:rPr>
        <w:t xml:space="preserve">nit</w:t>
      </w:r>
      <w:r>
        <w:t xml:space="preserve">;</w:t>
      </w:r>
      <w:r>
        <w:t xml:space="preserve"> </w:t>
      </w:r>
      <w:r>
        <w:rPr>
          <w:iCs/>
          <w:i/>
        </w:rPr>
        <w:t xml:space="preserve">īmahe</w:t>
      </w:r>
      <w:r>
        <w:t xml:space="preserve">,</w:t>
      </w:r>
      <w:r>
        <w:t xml:space="preserve"> </w:t>
      </w:r>
      <w:r>
        <w:rPr>
          <w:iCs/>
          <w:i/>
        </w:rPr>
        <w:t xml:space="preserve">īṅ gatau</w:t>
      </w:r>
      <w:r>
        <w:t xml:space="preserve">,</w:t>
      </w:r>
      <w:r>
        <w:t xml:space="preserve"> </w:t>
      </w:r>
      <w:r>
        <w:rPr>
          <w:iCs/>
          <w:i/>
        </w:rPr>
        <w:t xml:space="preserve">ātmanepada</w:t>
      </w:r>
      <w:r>
        <w:t xml:space="preserve"> </w:t>
      </w:r>
      <w:r>
        <w:t xml:space="preserve">as</w:t>
      </w:r>
      <w:r>
        <w:t xml:space="preserve"> </w:t>
      </w:r>
      <w:r>
        <w:rPr>
          <w:iCs/>
          <w:i/>
        </w:rPr>
        <w:t xml:space="preserve">ṅit</w:t>
      </w:r>
      <w:r>
        <w:t xml:space="preserve">,</w:t>
      </w:r>
      <w:r>
        <w:t xml:space="preserve"> </w:t>
      </w:r>
      <w:r>
        <w:rPr>
          <w:iCs/>
          <w:i/>
        </w:rPr>
        <w:t xml:space="preserve">luk</w:t>
      </w:r>
      <w:r>
        <w:t xml:space="preserve"> </w:t>
      </w:r>
      <w:r>
        <w:t xml:space="preserve">of</w:t>
      </w:r>
      <w:r>
        <w:t xml:space="preserve"> </w:t>
      </w:r>
      <w:r>
        <w:rPr>
          <w:iCs/>
          <w:i/>
        </w:rPr>
        <w:t xml:space="preserve">śyan</w:t>
      </w:r>
      <w:r>
        <w:t xml:space="preserve"> </w:t>
      </w:r>
      <w:r>
        <w:t xml:space="preserve">by</w:t>
      </w:r>
      <w:r>
        <w:t xml:space="preserve"> </w:t>
      </w:r>
      <w:r>
        <w:rPr>
          <w:iCs/>
          <w:i/>
        </w:rPr>
        <w:t xml:space="preserve">bahulaṃ chandasi</w:t>
      </w:r>
      <w:r>
        <w:t xml:space="preserve">, wholly unaccented.)</w:t>
      </w:r>
    </w:p>
    <w:p>
      <w:pPr>
        <w:pStyle w:val="BodyText"/>
      </w:pPr>
      <w:r>
        <w:rPr>
          <w:bCs/>
          <w:b/>
        </w:rPr>
        <w:t xml:space="preserve">॥ Prati-padārthaḥ ॥</w:t>
      </w:r>
    </w:p>
    <w:p>
      <w:pPr>
        <w:pStyle w:val="BodyText"/>
      </w:pPr>
      <w:r>
        <w:rPr>
          <w:bCs/>
          <w:b/>
        </w:rPr>
        <w:t xml:space="preserve">इन्द्रावरुणा (indrāvaruṇā)</w:t>
      </w:r>
      <w:r>
        <w:t xml:space="preserve"> </w:t>
      </w:r>
      <w:r>
        <w:t xml:space="preserve">— O Indra and Varuṇa |</w:t>
      </w:r>
      <w:r>
        <w:t xml:space="preserve"> </w:t>
      </w:r>
      <w:r>
        <w:rPr>
          <w:bCs/>
          <w:b/>
        </w:rPr>
        <w:t xml:space="preserve">अनुकामम् (anukāmam)</w:t>
      </w:r>
      <w:r>
        <w:t xml:space="preserve"> </w:t>
      </w:r>
      <w:r>
        <w:t xml:space="preserve">— according to our desire, or our desires one by one |</w:t>
      </w:r>
      <w:r>
        <w:t xml:space="preserve"> </w:t>
      </w:r>
      <w:r>
        <w:rPr>
          <w:bCs/>
          <w:b/>
        </w:rPr>
        <w:t xml:space="preserve">रायः (rāyaḥ)</w:t>
      </w:r>
      <w:r>
        <w:t xml:space="preserve"> </w:t>
      </w:r>
      <w:r>
        <w:t xml:space="preserve">— by the gift of wealth |</w:t>
      </w:r>
      <w:r>
        <w:t xml:space="preserve"> </w:t>
      </w:r>
      <w:r>
        <w:rPr>
          <w:bCs/>
          <w:b/>
        </w:rPr>
        <w:t xml:space="preserve">आ तर्पयेथाम् (ā tarpayethām)</w:t>
      </w:r>
      <w:r>
        <w:t xml:space="preserve"> </w:t>
      </w:r>
      <w:r>
        <w:t xml:space="preserve">— satisfy (us) |</w:t>
      </w:r>
      <w:r>
        <w:t xml:space="preserve"> </w:t>
      </w:r>
      <w:r>
        <w:rPr>
          <w:bCs/>
          <w:b/>
        </w:rPr>
        <w:t xml:space="preserve">ता (tā)</w:t>
      </w:r>
      <w:r>
        <w:t xml:space="preserve"> </w:t>
      </w:r>
      <w:r>
        <w:t xml:space="preserve">— such |</w:t>
      </w:r>
      <w:r>
        <w:t xml:space="preserve"> </w:t>
      </w:r>
      <w:r>
        <w:rPr>
          <w:bCs/>
          <w:b/>
        </w:rPr>
        <w:t xml:space="preserve">वाम् (vām)</w:t>
      </w:r>
      <w:r>
        <w:t xml:space="preserve"> </w:t>
      </w:r>
      <w:r>
        <w:t xml:space="preserve">— you two |</w:t>
      </w:r>
      <w:r>
        <w:t xml:space="preserve"> </w:t>
      </w:r>
      <w:r>
        <w:rPr>
          <w:bCs/>
          <w:b/>
        </w:rPr>
        <w:t xml:space="preserve">नेदिष्ठम् (nediṣṭham)</w:t>
      </w:r>
      <w:r>
        <w:t xml:space="preserve"> </w:t>
      </w:r>
      <w:r>
        <w:t xml:space="preserve">— very near (without delay) |</w:t>
      </w:r>
      <w:r>
        <w:t xml:space="preserve"> </w:t>
      </w:r>
      <w:r>
        <w:rPr>
          <w:bCs/>
          <w:b/>
        </w:rPr>
        <w:t xml:space="preserve">ईमहे (īmahe)</w:t>
      </w:r>
      <w:r>
        <w:t xml:space="preserve"> </w:t>
      </w:r>
      <w:r>
        <w:t xml:space="preserve">— we praise.</w:t>
      </w:r>
    </w:p>
    <w:p>
      <w:pPr>
        <w:pStyle w:val="BodyText"/>
      </w:pPr>
      <w:r>
        <w:rPr>
          <w:bCs/>
          <w:b/>
        </w:rPr>
        <w:t xml:space="preserve">॥ Bhāvārthaḥ ॥</w:t>
      </w:r>
    </w:p>
    <w:p>
      <w:pPr>
        <w:pStyle w:val="BodyText"/>
      </w:pPr>
      <w:r>
        <w:t xml:space="preserve">O Indra and Varuṇa, we praise you for riches and the like, that you may be near us. As soon as we pray, give us the wealth we need.</w:t>
      </w:r>
    </w:p>
    <w:p>
      <w:pPr>
        <w:pStyle w:val="BodyText"/>
      </w:pPr>
      <w:r>
        <w:rPr>
          <w:bCs/>
          <w:b/>
        </w:rPr>
        <w:t xml:space="preserve">॥ English Translation ॥</w:t>
      </w:r>
      <w:r>
        <w:t xml:space="preserve"> </w:t>
      </w:r>
      <w:r>
        <w:rPr>
          <w:iCs/>
          <w:i/>
        </w:rPr>
        <w:t xml:space="preserve">(as printed in the source)</w:t>
      </w:r>
    </w:p>
    <w:p>
      <w:pPr>
        <w:pStyle w:val="BlockText"/>
      </w:pPr>
      <w:r>
        <w:t xml:space="preserve">Indra and Varuna, satisfy us with wealth according to our desires We [sic] therefore pray you to be nearest to us.</w:t>
      </w:r>
    </w:p>
    <w:bookmarkEnd w:id="788"/>
    <w:bookmarkStart w:id="789" w:name="Xff5d5652412ec6274744178f16fa4c8f4c0681f"/>
    <w:p>
      <w:pPr>
        <w:pStyle w:val="Heading3"/>
      </w:pPr>
      <w:r>
        <w:t xml:space="preserve">Page 720 — Rik 3: Special Topics and grammar</w:t>
      </w:r>
    </w:p>
    <w:p>
      <w:pPr>
        <w:pStyle w:val="FirstParagraph"/>
      </w:pPr>
      <w:r>
        <w:rPr>
          <w:bCs/>
          <w:b/>
        </w:rPr>
        <w:t xml:space="preserve">॥ Viśeṣa-viṣayagaḷu (Special Topics) ॥</w:t>
      </w:r>
    </w:p>
    <w:p>
      <w:pPr>
        <w:pStyle w:val="BodyText"/>
      </w:pPr>
      <w:r>
        <w:rPr>
          <w:bCs/>
          <w:b/>
        </w:rPr>
        <w:t xml:space="preserve">Anukāmam</w:t>
      </w:r>
      <w:r>
        <w:t xml:space="preserve">:</w:t>
      </w:r>
    </w:p>
    <w:p>
      <w:pPr>
        <w:pStyle w:val="BlockText"/>
      </w:pPr>
      <w:r>
        <w:t xml:space="preserve">कामस्य पश्चादनुकामम् । अथवा कामे कामेऽनुकामम् । अनुरिह पश्चादर्थे अथवा वीप्सालक्षणे यथार्थे ॥ अस्मदीयमभिलाषमनु ॥</w:t>
      </w:r>
    </w:p>
    <w:p>
      <w:pPr>
        <w:pStyle w:val="BlockText"/>
      </w:pPr>
      <w:r>
        <w:rPr>
          <w:iCs/>
          <w:i/>
        </w:rPr>
        <w:t xml:space="preserve">kāmasya paścādanukāmam | athavā kāme kāme ’nukāmam | anuriha paścādarthe athavā vīpsālakṣaṇe yathārthe || asmadīyamabhilāṣamanu ||</w:t>
      </w:r>
    </w:p>
    <w:p>
      <w:pPr>
        <w:pStyle w:val="FirstParagraph"/>
      </w:pPr>
      <w:r>
        <w:t xml:space="preserve">(</w:t>
      </w:r>
      <w:r>
        <w:t xml:space="preserve">“</w:t>
      </w:r>
      <w:r>
        <w:t xml:space="preserve">After the wish, or at each wish;</w:t>
      </w:r>
      <w:r>
        <w:t xml:space="preserve"> </w:t>
      </w:r>
      <w:r>
        <w:rPr>
          <w:iCs/>
          <w:i/>
        </w:rPr>
        <w:t xml:space="preserve">anu</w:t>
      </w:r>
      <w:r>
        <w:t xml:space="preserve"> </w:t>
      </w:r>
      <w:r>
        <w:t xml:space="preserve">here in the sense</w:t>
      </w:r>
      <w:r>
        <w:t xml:space="preserve"> </w:t>
      </w:r>
      <w:r>
        <w:t xml:space="preserve">‘</w:t>
      </w:r>
      <w:r>
        <w:t xml:space="preserve">after</w:t>
      </w:r>
      <w:r>
        <w:t xml:space="preserve">’</w:t>
      </w:r>
      <w:r>
        <w:t xml:space="preserve">, or in the sense</w:t>
      </w:r>
      <w:r>
        <w:t xml:space="preserve"> </w:t>
      </w:r>
      <w:r>
        <w:rPr>
          <w:iCs/>
          <w:i/>
        </w:rPr>
        <w:t xml:space="preserve">yathā</w:t>
      </w:r>
      <w:r>
        <w:t xml:space="preserve"> </w:t>
      </w:r>
      <w:r>
        <w:t xml:space="preserve">marked by repetition: according to our wish.</w:t>
      </w:r>
      <w:r>
        <w:t xml:space="preserve">”</w:t>
      </w:r>
      <w:r>
        <w:t xml:space="preserve">) That is, according to our wish, or every wish that we want.</w:t>
      </w:r>
    </w:p>
    <w:p>
      <w:pPr>
        <w:pStyle w:val="BodyText"/>
      </w:pPr>
      <w:r>
        <w:rPr>
          <w:bCs/>
          <w:b/>
        </w:rPr>
        <w:t xml:space="preserve">Nediṣṭham</w:t>
      </w:r>
      <w:r>
        <w:t xml:space="preserve">:</w:t>
      </w:r>
    </w:p>
    <w:p>
      <w:pPr>
        <w:pStyle w:val="BlockText"/>
      </w:pPr>
      <w:r>
        <w:t xml:space="preserve">अतिशयेन सामीप्यं यथा भवति तथा । अतिशयेनान्तिकम् ।</w:t>
      </w:r>
    </w:p>
    <w:p>
      <w:pPr>
        <w:pStyle w:val="BlockText"/>
      </w:pPr>
      <w:r>
        <w:rPr>
          <w:iCs/>
          <w:i/>
        </w:rPr>
        <w:t xml:space="preserve">atiśayena sāmīpyaṃ yathā bhavati tathā | atiśayenāntikam |</w:t>
      </w:r>
    </w:p>
    <w:p>
      <w:pPr>
        <w:pStyle w:val="FirstParagraph"/>
      </w:pPr>
      <w:r>
        <w:t xml:space="preserve">(</w:t>
      </w:r>
      <w:r>
        <w:t xml:space="preserve">“</w:t>
      </w:r>
      <w:r>
        <w:t xml:space="preserve">So that nearness is in the highest degree: very near.</w:t>
      </w:r>
      <w:r>
        <w:t xml:space="preserve">”</w:t>
      </w:r>
      <w:r>
        <w:t xml:space="preserve">) The sense is: you should be very near us, so as to give us our desires.</w:t>
      </w:r>
    </w:p>
    <w:p>
      <w:pPr>
        <w:pStyle w:val="BodyText"/>
      </w:pPr>
      <w:r>
        <w:rPr>
          <w:bCs/>
          <w:b/>
        </w:rPr>
        <w:t xml:space="preserve">Īmahe</w:t>
      </w:r>
      <w:r>
        <w:t xml:space="preserve">: since the word</w:t>
      </w:r>
      <w:r>
        <w:t xml:space="preserve"> </w:t>
      </w:r>
      <w:r>
        <w:rPr>
          <w:iCs/>
          <w:i/>
        </w:rPr>
        <w:t xml:space="preserve">īmahe</w:t>
      </w:r>
      <w:r>
        <w:t xml:space="preserve"> </w:t>
      </w:r>
      <w:r>
        <w:t xml:space="preserve">is read among the seventeen words meaning</w:t>
      </w:r>
      <w:r>
        <w:t xml:space="preserve"> </w:t>
      </w:r>
      <w:r>
        <w:t xml:space="preserve">“</w:t>
      </w:r>
      <w:r>
        <w:t xml:space="preserve">to beg</w:t>
      </w:r>
      <w:r>
        <w:t xml:space="preserve">”</w:t>
      </w:r>
      <w:r>
        <w:t xml:space="preserve">,</w:t>
      </w:r>
      <w:r>
        <w:t xml:space="preserve"> </w:t>
      </w:r>
      <w:r>
        <w:rPr>
          <w:iCs/>
          <w:i/>
        </w:rPr>
        <w:t xml:space="preserve">yāmi</w:t>
      </w:r>
      <w:r>
        <w:t xml:space="preserve"> </w:t>
      </w:r>
      <w:r>
        <w:t xml:space="preserve">and the rest (Ni. 3-19),</w:t>
      </w:r>
      <w:r>
        <w:t xml:space="preserve"> </w:t>
      </w:r>
      <w:r>
        <w:rPr>
          <w:iCs/>
          <w:i/>
        </w:rPr>
        <w:t xml:space="preserve">īmahe</w:t>
      </w:r>
      <w:r>
        <w:t xml:space="preserve"> </w:t>
      </w:r>
      <w:r>
        <w:t xml:space="preserve">means</w:t>
      </w:r>
      <w:r>
        <w:t xml:space="preserve"> </w:t>
      </w:r>
      <w:r>
        <w:t xml:space="preserve">“</w:t>
      </w:r>
      <w:r>
        <w:t xml:space="preserve">we beg, we pray</w:t>
      </w:r>
      <w:r>
        <w:t xml:space="preserve">”</w:t>
      </w:r>
      <w:r>
        <w:t xml:space="preserve">.</w:t>
      </w:r>
    </w:p>
    <w:p>
      <w:pPr>
        <w:pStyle w:val="BodyText"/>
      </w:pPr>
      <w:r>
        <w:rPr>
          <w:bCs/>
          <w:b/>
        </w:rPr>
        <w:t xml:space="preserve">॥ Vyākaraṇa-prakriyā ॥</w:t>
      </w:r>
      <w:r>
        <w:t xml:space="preserve"> </w:t>
      </w:r>
      <w:r>
        <w:rPr>
          <w:iCs/>
          <w:i/>
        </w:rPr>
        <w:t xml:space="preserve">(grammar pages 720–723, noted briefly)</w:t>
      </w:r>
    </w:p>
    <w:p>
      <w:pPr>
        <w:pStyle w:val="BodyText"/>
      </w:pPr>
      <w:r>
        <w:rPr>
          <w:bCs/>
          <w:b/>
        </w:rPr>
        <w:t xml:space="preserve">अनुकामम् (</w:t>
      </w:r>
      <w:r>
        <w:rPr>
          <w:iCs/>
          <w:i/>
          <w:bCs/>
          <w:b/>
        </w:rPr>
        <w:t xml:space="preserve">anukāmam</w:t>
      </w:r>
      <w:r>
        <w:rPr>
          <w:bCs/>
          <w:b/>
        </w:rPr>
        <w:t xml:space="preserve">)</w:t>
      </w:r>
      <w:r>
        <w:t xml:space="preserve">: the analysis is</w:t>
      </w:r>
      <w:r>
        <w:t xml:space="preserve"> </w:t>
      </w:r>
      <w:r>
        <w:rPr>
          <w:iCs/>
          <w:i/>
        </w:rPr>
        <w:t xml:space="preserve">kāmasya paścāt anukāmam</w:t>
      </w:r>
      <w:r>
        <w:t xml:space="preserve">; here the preverb</w:t>
      </w:r>
      <w:r>
        <w:t xml:space="preserve"> </w:t>
      </w:r>
      <w:r>
        <w:rPr>
          <w:iCs/>
          <w:i/>
        </w:rPr>
        <w:t xml:space="preserve">anu</w:t>
      </w:r>
      <w:r>
        <w:t xml:space="preserve"> </w:t>
      </w:r>
      <w:r>
        <w:t xml:space="preserve">means</w:t>
      </w:r>
      <w:r>
        <w:t xml:space="preserve"> </w:t>
      </w:r>
      <w:r>
        <w:t xml:space="preserve">“</w:t>
      </w:r>
      <w:r>
        <w:t xml:space="preserve">after</w:t>
      </w:r>
      <w:r>
        <w:t xml:space="preserve">”</w:t>
      </w:r>
      <w:r>
        <w:t xml:space="preserve">. Or the analysis is</w:t>
      </w:r>
      <w:r>
        <w:t xml:space="preserve"> </w:t>
      </w:r>
      <w:r>
        <w:rPr>
          <w:iCs/>
          <w:i/>
        </w:rPr>
        <w:t xml:space="preserve">kāme kāme anukāmam</w:t>
      </w:r>
      <w:r>
        <w:t xml:space="preserve">; here</w:t>
      </w:r>
      <w:r>
        <w:t xml:space="preserve"> </w:t>
      </w:r>
      <w:r>
        <w:rPr>
          <w:iCs/>
          <w:i/>
        </w:rPr>
        <w:t xml:space="preserve">anu</w:t>
      </w:r>
      <w:r>
        <w:t xml:space="preserve"> </w:t>
      </w:r>
      <w:r>
        <w:t xml:space="preserve">means repetition. This repetition is included in the senses of the word</w:t>
      </w:r>
      <w:r>
        <w:t xml:space="preserve"> </w:t>
      </w:r>
      <w:r>
        <w:rPr>
          <w:iCs/>
          <w:i/>
        </w:rPr>
        <w:t xml:space="preserve">yathā</w:t>
      </w:r>
      <w:r>
        <w:t xml:space="preserve">: the word</w:t>
      </w:r>
      <w:r>
        <w:t xml:space="preserve"> </w:t>
      </w:r>
      <w:r>
        <w:rPr>
          <w:iCs/>
          <w:i/>
        </w:rPr>
        <w:t xml:space="preserve">yathā</w:t>
      </w:r>
      <w:r>
        <w:t xml:space="preserve"> </w:t>
      </w:r>
      <w:r>
        <w:t xml:space="preserve">has four senses, fitness, repetition, not going beyond the sense of the word, and likeness. In the first sense the indeclinable</w:t>
      </w:r>
      <w:r>
        <w:t xml:space="preserve"> </w:t>
      </w:r>
      <w:r>
        <w:rPr>
          <w:iCs/>
          <w:i/>
        </w:rPr>
        <w:t xml:space="preserve">anu</w:t>
      </w:r>
      <w:r>
        <w:t xml:space="preserve"> </w:t>
      </w:r>
      <w:r>
        <w:t xml:space="preserve">means</w:t>
      </w:r>
      <w:r>
        <w:t xml:space="preserve"> </w:t>
      </w:r>
      <w:r>
        <w:t xml:space="preserve">“</w:t>
      </w:r>
      <w:r>
        <w:t xml:space="preserve">after</w:t>
      </w:r>
      <w:r>
        <w:t xml:space="preserve">”</w:t>
      </w:r>
      <w:r>
        <w:t xml:space="preserve">; in the second it means</w:t>
      </w:r>
      <w:r>
        <w:t xml:space="preserve"> </w:t>
      </w:r>
      <w:r>
        <w:rPr>
          <w:iCs/>
          <w:i/>
        </w:rPr>
        <w:t xml:space="preserve">yathā</w:t>
      </w:r>
      <w:r>
        <w:t xml:space="preserve">. In both views, by</w:t>
      </w:r>
      <w:r>
        <w:t xml:space="preserve"> </w:t>
      </w:r>
      <w:r>
        <w:t xml:space="preserve">“</w:t>
      </w:r>
      <w:r>
        <w:t xml:space="preserve">avyayaṃ vibhakti-samīpa-samṛddhi-vyṛddhy-arthābhāvātyayāsaṃprati-śabdaprādurbhāva-paścād-yathānupūrvya-yaugapadya-sādṛśya-saṃpatti-sākalyānta-vacaneṣu</w:t>
      </w:r>
      <w:r>
        <w:t xml:space="preserve">”</w:t>
      </w:r>
      <w:r>
        <w:t xml:space="preserve"> </w:t>
      </w:r>
      <w:r>
        <w:t xml:space="preserve">(Pā. sū. 2-1-6) (the sixteen words from</w:t>
      </w:r>
      <w:r>
        <w:t xml:space="preserve"> </w:t>
      </w:r>
      <w:r>
        <w:rPr>
          <w:iCs/>
          <w:i/>
        </w:rPr>
        <w:t xml:space="preserve">vibhakti</w:t>
      </w:r>
      <w:r>
        <w:t xml:space="preserve"> </w:t>
      </w:r>
      <w:r>
        <w:t xml:space="preserve">to</w:t>
      </w:r>
      <w:r>
        <w:t xml:space="preserve"> </w:t>
      </w:r>
      <w:r>
        <w:rPr>
          <w:iCs/>
          <w:i/>
        </w:rPr>
        <w:t xml:space="preserve">anta</w:t>
      </w:r>
      <w:r>
        <w:t xml:space="preserve"> </w:t>
      </w:r>
      <w:r>
        <w:t xml:space="preserve">form a</w:t>
      </w:r>
      <w:r>
        <w:t xml:space="preserve"> </w:t>
      </w:r>
      <w:r>
        <w:rPr>
          <w:iCs/>
          <w:i/>
        </w:rPr>
        <w:t xml:space="preserve">dvandva</w:t>
      </w:r>
      <w:r>
        <w:t xml:space="preserve">; the analysis is</w:t>
      </w:r>
      <w:r>
        <w:t xml:space="preserve"> </w:t>
      </w:r>
      <w:r>
        <w:rPr>
          <w:iCs/>
          <w:i/>
        </w:rPr>
        <w:t xml:space="preserve">antaś cāsau vacanāś ca antavacanāḥ, teṣu vibhaktyādi-antavacaneṣu</w:t>
      </w:r>
      <w:r>
        <w:t xml:space="preserve">), an indeclinable conveying the sense of a case and the rest is compounded with a</w:t>
      </w:r>
      <w:r>
        <w:t xml:space="preserve"> </w:t>
      </w:r>
      <w:r>
        <w:rPr>
          <w:iCs/>
          <w:i/>
        </w:rPr>
        <w:t xml:space="preserve">subanta</w:t>
      </w:r>
      <w:r>
        <w:t xml:space="preserve"> </w:t>
      </w:r>
      <w:r>
        <w:t xml:space="preserve">that is syntactically fit; it is an</w:t>
      </w:r>
      <w:r>
        <w:t xml:space="preserve"> </w:t>
      </w:r>
      <w:r>
        <w:rPr>
          <w:iCs/>
          <w:i/>
        </w:rPr>
        <w:t xml:space="preserve">avyayībhāva</w:t>
      </w:r>
      <w:r>
        <w:t xml:space="preserve">, so the</w:t>
      </w:r>
      <w:r>
        <w:t xml:space="preserve"> </w:t>
      </w:r>
      <w:r>
        <w:rPr>
          <w:iCs/>
          <w:i/>
        </w:rPr>
        <w:t xml:space="preserve">avyayībhāva</w:t>
      </w:r>
      <w:r>
        <w:t xml:space="preserve"> </w:t>
      </w:r>
      <w:r>
        <w:t xml:space="preserve">compound comes. By</w:t>
      </w:r>
      <w:r>
        <w:t xml:space="preserve"> </w:t>
      </w:r>
      <w:r>
        <w:t xml:space="preserve">“</w:t>
      </w:r>
      <w:r>
        <w:t xml:space="preserve">avyayībhāvaś ca</w:t>
      </w:r>
      <w:r>
        <w:t xml:space="preserve">”</w:t>
      </w:r>
      <w:r>
        <w:t xml:space="preserve"> </w:t>
      </w:r>
      <w:r>
        <w:t xml:space="preserve">(Pā. sū. 1-1-41) the</w:t>
      </w:r>
      <w:r>
        <w:t xml:space="preserve"> </w:t>
      </w:r>
      <w:r>
        <w:rPr>
          <w:iCs/>
          <w:i/>
        </w:rPr>
        <w:t xml:space="preserve">avyayībhāva</w:t>
      </w:r>
      <w:r>
        <w:t xml:space="preserve"> </w:t>
      </w:r>
      <w:r>
        <w:t xml:space="preserve">compound also is called</w:t>
      </w:r>
      <w:r>
        <w:t xml:space="preserve"> </w:t>
      </w:r>
      <w:r>
        <w:rPr>
          <w:iCs/>
          <w:i/>
        </w:rPr>
        <w:t xml:space="preserve">avyaya</w:t>
      </w:r>
      <w:r>
        <w:t xml:space="preserve">; so</w:t>
      </w:r>
      <w:r>
        <w:t xml:space="preserve"> </w:t>
      </w:r>
      <w:r>
        <w:rPr>
          <w:iCs/>
          <w:i/>
        </w:rPr>
        <w:t xml:space="preserve">anukāma</w:t>
      </w:r>
      <w:r>
        <w:t xml:space="preserve"> </w:t>
      </w:r>
      <w:r>
        <w:t xml:space="preserve">is called</w:t>
      </w:r>
      <w:r>
        <w:t xml:space="preserve"> </w:t>
      </w:r>
      <w:r>
        <w:rPr>
          <w:iCs/>
          <w:i/>
        </w:rPr>
        <w:t xml:space="preserve">avyaya</w:t>
      </w:r>
      <w:r>
        <w:t xml:space="preserve">. So when the</w:t>
      </w:r>
      <w:r>
        <w:t xml:space="preserve"> </w:t>
      </w:r>
      <w:r>
        <w:rPr>
          <w:iCs/>
          <w:i/>
        </w:rPr>
        <w:t xml:space="preserve">sup</w:t>
      </w:r>
      <w:r>
        <w:t xml:space="preserve"> </w:t>
      </w:r>
      <w:r>
        <w:t xml:space="preserve">suffix comes after</w:t>
      </w:r>
      <w:r>
        <w:t xml:space="preserve"> </w:t>
      </w:r>
      <w:r>
        <w:rPr>
          <w:iCs/>
          <w:i/>
        </w:rPr>
        <w:t xml:space="preserve">anukāma</w:t>
      </w:r>
      <w:r>
        <w:t xml:space="preserve">,</w:t>
      </w:r>
      <w:r>
        <w:t xml:space="preserve"> </w:t>
      </w:r>
      <w:r>
        <w:rPr>
          <w:iCs/>
          <w:i/>
        </w:rPr>
        <w:t xml:space="preserve">luk</w:t>
      </w:r>
      <w:r>
        <w:t xml:space="preserve"> </w:t>
      </w:r>
      <w:r>
        <w:t xml:space="preserve">is due by</w:t>
      </w:r>
      <w:r>
        <w:t xml:space="preserve"> </w:t>
      </w:r>
      <w:r>
        <w:t xml:space="preserve">“</w:t>
      </w:r>
      <w:r>
        <w:t xml:space="preserve">avyayād āpsupaḥ</w:t>
      </w:r>
      <w:r>
        <w:t xml:space="preserve">”</w:t>
      </w:r>
      <w:r>
        <w:t xml:space="preserve"> </w:t>
      </w:r>
      <w:r>
        <w:t xml:space="preserve">(Pā. sū. 2-4-82) (the</w:t>
      </w:r>
      <w:r>
        <w:t xml:space="preserve"> </w:t>
      </w:r>
      <w:r>
        <w:rPr>
          <w:iCs/>
          <w:i/>
        </w:rPr>
        <w:t xml:space="preserve">āp</w:t>
      </w:r>
      <w:r>
        <w:t xml:space="preserve"> </w:t>
      </w:r>
      <w:r>
        <w:t xml:space="preserve">and</w:t>
      </w:r>
      <w:r>
        <w:t xml:space="preserve"> </w:t>
      </w:r>
      <w:r>
        <w:rPr>
          <w:iCs/>
          <w:i/>
        </w:rPr>
        <w:t xml:space="preserve">sup</w:t>
      </w:r>
      <w:r>
        <w:t xml:space="preserve"> </w:t>
      </w:r>
      <w:r>
        <w:t xml:space="preserve">after an</w:t>
      </w:r>
      <w:r>
        <w:t xml:space="preserve"> </w:t>
      </w:r>
      <w:r>
        <w:rPr>
          <w:iCs/>
          <w:i/>
        </w:rPr>
        <w:t xml:space="preserve">avyaya</w:t>
      </w:r>
      <w:r>
        <w:t xml:space="preserve"> </w:t>
      </w:r>
      <w:r>
        <w:t xml:space="preserve">take</w:t>
      </w:r>
      <w:r>
        <w:t xml:space="preserve"> </w:t>
      </w:r>
      <w:r>
        <w:rPr>
          <w:iCs/>
          <w:i/>
        </w:rPr>
        <w:t xml:space="preserve">luk</w:t>
      </w:r>
      <w:r>
        <w:t xml:space="preserve">), but by</w:t>
      </w:r>
      <w:r>
        <w:t xml:space="preserve"> </w:t>
      </w:r>
      <w:r>
        <w:t xml:space="preserve">“</w:t>
      </w:r>
      <w:r>
        <w:t xml:space="preserve">nāvyayībhāvād ato ’m tv apañcamyāḥ</w:t>
      </w:r>
      <w:r>
        <w:t xml:space="preserve">”</w:t>
      </w:r>
      <w:r>
        <w:t xml:space="preserve"> </w:t>
      </w:r>
      <w:r>
        <w:t xml:space="preserve">(Pā. sū. 2-4-83) come the bar and the substitute</w:t>
      </w:r>
      <w:r>
        <w:t xml:space="preserve"> </w:t>
      </w:r>
      <w:r>
        <w:rPr>
          <w:iCs/>
          <w:i/>
        </w:rPr>
        <w:t xml:space="preserve">am</w:t>
      </w:r>
      <w:r>
        <w:t xml:space="preserve">. In this sūtra</w:t>
      </w:r>
      <w:r>
        <w:t xml:space="preserve"> </w:t>
      </w:r>
      <w:r>
        <w:rPr>
          <w:iCs/>
          <w:i/>
        </w:rPr>
        <w:t xml:space="preserve">nāvyayībhāvād ataḥ</w:t>
      </w:r>
      <w:r>
        <w:t xml:space="preserve"> </w:t>
      </w:r>
      <w:r>
        <w:t xml:space="preserve">is one statement: its sense is that the</w:t>
      </w:r>
      <w:r>
        <w:t xml:space="preserve"> </w:t>
      </w:r>
      <w:r>
        <w:rPr>
          <w:iCs/>
          <w:i/>
        </w:rPr>
        <w:t xml:space="preserve">sup</w:t>
      </w:r>
      <w:r>
        <w:t xml:space="preserve"> </w:t>
      </w:r>
      <w:r>
        <w:t xml:space="preserve">after an</w:t>
      </w:r>
      <w:r>
        <w:t xml:space="preserve"> </w:t>
      </w:r>
      <w:r>
        <w:rPr>
          <w:iCs/>
          <w:i/>
        </w:rPr>
        <w:t xml:space="preserve">a</w:t>
      </w:r>
      <w:r>
        <w:t xml:space="preserve">-final</w:t>
      </w:r>
      <w:r>
        <w:t xml:space="preserve"> </w:t>
      </w:r>
      <w:r>
        <w:rPr>
          <w:iCs/>
          <w:i/>
        </w:rPr>
        <w:t xml:space="preserve">avyayībhāva</w:t>
      </w:r>
      <w:r>
        <w:t xml:space="preserve"> </w:t>
      </w:r>
      <w:r>
        <w:t xml:space="preserve">does not take</w:t>
      </w:r>
      <w:r>
        <w:t xml:space="preserve"> </w:t>
      </w:r>
      <w:r>
        <w:rPr>
          <w:iCs/>
          <w:i/>
        </w:rPr>
        <w:t xml:space="preserve">luk</w:t>
      </w:r>
      <w:r>
        <w:t xml:space="preserve">.</w:t>
      </w:r>
      <w:r>
        <w:t xml:space="preserve"> </w:t>
      </w:r>
      <w:r>
        <w:rPr>
          <w:iCs/>
          <w:i/>
        </w:rPr>
        <w:t xml:space="preserve">Anukāma</w:t>
      </w:r>
      <w:r>
        <w:t xml:space="preserve"> </w:t>
      </w:r>
      <w:r>
        <w:t xml:space="preserve">is an</w:t>
      </w:r>
      <w:r>
        <w:t xml:space="preserve"> </w:t>
      </w:r>
      <w:r>
        <w:rPr>
          <w:iCs/>
          <w:i/>
        </w:rPr>
        <w:t xml:space="preserve">a</w:t>
      </w:r>
      <w:r>
        <w:t xml:space="preserve">-final</w:t>
      </w:r>
    </w:p>
    <w:bookmarkEnd w:id="789"/>
    <w:bookmarkStart w:id="790" w:name="page-721-rik-3-grammar"/>
    <w:p>
      <w:pPr>
        <w:pStyle w:val="Heading3"/>
      </w:pPr>
      <w:r>
        <w:t xml:space="preserve">Page 721 — Rik 3: grammar</w:t>
      </w:r>
    </w:p>
    <w:p>
      <w:pPr>
        <w:pStyle w:val="FirstParagraph"/>
      </w:pPr>
      <w:r>
        <w:rPr>
          <w:iCs/>
          <w:i/>
        </w:rPr>
        <w:t xml:space="preserve">avyayībhāva</w:t>
      </w:r>
      <w:r>
        <w:t xml:space="preserve">; so by this statement the</w:t>
      </w:r>
      <w:r>
        <w:t xml:space="preserve"> </w:t>
      </w:r>
      <w:r>
        <w:rPr>
          <w:iCs/>
          <w:i/>
        </w:rPr>
        <w:t xml:space="preserve">sup</w:t>
      </w:r>
      <w:r>
        <w:t xml:space="preserve"> </w:t>
      </w:r>
      <w:r>
        <w:t xml:space="preserve">ending after it does not take</w:t>
      </w:r>
      <w:r>
        <w:t xml:space="preserve"> </w:t>
      </w:r>
      <w:r>
        <w:rPr>
          <w:iCs/>
          <w:i/>
        </w:rPr>
        <w:t xml:space="preserve">luk</w:t>
      </w:r>
      <w:r>
        <w:t xml:space="preserve">.</w:t>
      </w:r>
      <w:r>
        <w:t xml:space="preserve"> </w:t>
      </w:r>
      <w:r>
        <w:rPr>
          <w:iCs/>
          <w:i/>
        </w:rPr>
        <w:t xml:space="preserve">Am tv apañcamyāḥ</w:t>
      </w:r>
      <w:r>
        <w:t xml:space="preserve"> </w:t>
      </w:r>
      <w:r>
        <w:t xml:space="preserve">is the second statement: its sense is that a</w:t>
      </w:r>
      <w:r>
        <w:t xml:space="preserve"> </w:t>
      </w:r>
      <w:r>
        <w:rPr>
          <w:iCs/>
          <w:i/>
        </w:rPr>
        <w:t xml:space="preserve">sup</w:t>
      </w:r>
      <w:r>
        <w:t xml:space="preserve"> </w:t>
      </w:r>
      <w:r>
        <w:t xml:space="preserve">other than the ablative after an</w:t>
      </w:r>
      <w:r>
        <w:t xml:space="preserve"> </w:t>
      </w:r>
      <w:r>
        <w:rPr>
          <w:iCs/>
          <w:i/>
        </w:rPr>
        <w:t xml:space="preserve">a</w:t>
      </w:r>
      <w:r>
        <w:t xml:space="preserve">-final</w:t>
      </w:r>
      <w:r>
        <w:t xml:space="preserve"> </w:t>
      </w:r>
      <w:r>
        <w:rPr>
          <w:iCs/>
          <w:i/>
        </w:rPr>
        <w:t xml:space="preserve">avyayībhāva</w:t>
      </w:r>
      <w:r>
        <w:t xml:space="preserve"> </w:t>
      </w:r>
      <w:r>
        <w:t xml:space="preserve">takes</w:t>
      </w:r>
      <w:r>
        <w:t xml:space="preserve"> </w:t>
      </w:r>
      <w:r>
        <w:rPr>
          <w:iCs/>
          <w:i/>
        </w:rPr>
        <w:t xml:space="preserve">am</w:t>
      </w:r>
      <w:r>
        <w:t xml:space="preserve">. So when the accusative or locative, other than the ablative, is put after</w:t>
      </w:r>
      <w:r>
        <w:t xml:space="preserve"> </w:t>
      </w:r>
      <w:r>
        <w:rPr>
          <w:iCs/>
          <w:i/>
        </w:rPr>
        <w:t xml:space="preserve">anukāma</w:t>
      </w:r>
      <w:r>
        <w:t xml:space="preserve">, by the former statement they do not take</w:t>
      </w:r>
      <w:r>
        <w:t xml:space="preserve"> </w:t>
      </w:r>
      <w:r>
        <w:rPr>
          <w:iCs/>
          <w:i/>
        </w:rPr>
        <w:t xml:space="preserve">luk</w:t>
      </w:r>
      <w:r>
        <w:t xml:space="preserve">, and by this statement the substitute</w:t>
      </w:r>
      <w:r>
        <w:t xml:space="preserve"> </w:t>
      </w:r>
      <w:r>
        <w:rPr>
          <w:iCs/>
          <w:i/>
        </w:rPr>
        <w:t xml:space="preserve">am</w:t>
      </w:r>
      <w:r>
        <w:t xml:space="preserve"> </w:t>
      </w:r>
      <w:r>
        <w:t xml:space="preserve">comes.</w:t>
      </w:r>
      <w:r>
        <w:t xml:space="preserve"> </w:t>
      </w:r>
      <w:r>
        <w:rPr>
          <w:iCs/>
          <w:i/>
        </w:rPr>
        <w:t xml:space="preserve">Anukāma</w:t>
      </w:r>
      <w:r>
        <w:t xml:space="preserve"> </w:t>
      </w:r>
      <w:r>
        <w:t xml:space="preserve">+</w:t>
      </w:r>
      <w:r>
        <w:t xml:space="preserve"> </w:t>
      </w:r>
      <w:r>
        <w:rPr>
          <w:iCs/>
          <w:i/>
        </w:rPr>
        <w:t xml:space="preserve">am</w:t>
      </w:r>
      <w:r>
        <w:t xml:space="preserve">: by</w:t>
      </w:r>
      <w:r>
        <w:t xml:space="preserve"> </w:t>
      </w:r>
      <w:r>
        <w:t xml:space="preserve">“</w:t>
      </w:r>
      <w:r>
        <w:t xml:space="preserve">ami pūrvaḥ</w:t>
      </w:r>
      <w:r>
        <w:t xml:space="preserve">”</w:t>
      </w:r>
      <w:r>
        <w:t xml:space="preserve"> </w:t>
      </w:r>
      <w:r>
        <w:t xml:space="preserve">(Pā. sū. 6-1-107) the</w:t>
      </w:r>
      <w:r>
        <w:t xml:space="preserve"> </w:t>
      </w:r>
      <w:r>
        <w:rPr>
          <w:iCs/>
          <w:i/>
        </w:rPr>
        <w:t xml:space="preserve">pūrvarūpa</w:t>
      </w:r>
      <w:r>
        <w:t xml:space="preserve">:</w:t>
      </w:r>
      <w:r>
        <w:t xml:space="preserve"> </w:t>
      </w:r>
      <w:r>
        <w:rPr>
          <w:iCs/>
          <w:i/>
        </w:rPr>
        <w:t xml:space="preserve">anukāmam</w:t>
      </w:r>
      <w:r>
        <w:t xml:space="preserve">. By</w:t>
      </w:r>
      <w:r>
        <w:t xml:space="preserve"> </w:t>
      </w:r>
      <w:r>
        <w:t xml:space="preserve">“</w:t>
      </w:r>
      <w:r>
        <w:t xml:space="preserve">samāsasya</w:t>
      </w:r>
      <w:r>
        <w:t xml:space="preserve">”</w:t>
      </w:r>
      <w:r>
        <w:t xml:space="preserve"> </w:t>
      </w:r>
      <w:r>
        <w:t xml:space="preserve">(Pā. sū. 6-1-223) (the last letter of a compound is udātta)</w:t>
      </w:r>
      <w:r>
        <w:t xml:space="preserve"> </w:t>
      </w:r>
      <w:r>
        <w:rPr>
          <w:iCs/>
          <w:i/>
        </w:rPr>
        <w:t xml:space="preserve">anukāma</w:t>
      </w:r>
      <w:r>
        <w:t xml:space="preserve"> </w:t>
      </w:r>
      <w:r>
        <w:t xml:space="preserve">is final udātta. The</w:t>
      </w:r>
      <w:r>
        <w:t xml:space="preserve"> </w:t>
      </w:r>
      <w:r>
        <w:rPr>
          <w:iCs/>
          <w:i/>
        </w:rPr>
        <w:t xml:space="preserve">am</w:t>
      </w:r>
      <w:r>
        <w:t xml:space="preserve"> </w:t>
      </w:r>
      <w:r>
        <w:t xml:space="preserve">is unaccented by</w:t>
      </w:r>
      <w:r>
        <w:t xml:space="preserve"> </w:t>
      </w:r>
      <w:r>
        <w:rPr>
          <w:iCs/>
          <w:i/>
        </w:rPr>
        <w:t xml:space="preserve">anudāttau suppitau</w:t>
      </w:r>
      <w:r>
        <w:t xml:space="preserve">. The single substitute is udātta by</w:t>
      </w:r>
      <w:r>
        <w:t xml:space="preserve"> </w:t>
      </w:r>
      <w:r>
        <w:t xml:space="preserve">“</w:t>
      </w:r>
      <w:r>
        <w:t xml:space="preserve">ekādeśa udāttenodāttaḥ</w:t>
      </w:r>
      <w:r>
        <w:t xml:space="preserve">”</w:t>
      </w:r>
      <w:r>
        <w:t xml:space="preserve">. So</w:t>
      </w:r>
      <w:r>
        <w:t xml:space="preserve"> </w:t>
      </w:r>
      <w:r>
        <w:rPr>
          <w:iCs/>
          <w:i/>
        </w:rPr>
        <w:t xml:space="preserve">anukāmam</w:t>
      </w:r>
      <w:r>
        <w:t xml:space="preserve"> </w:t>
      </w:r>
      <w:r>
        <w:t xml:space="preserve">is final udātta.</w:t>
      </w:r>
    </w:p>
    <w:p>
      <w:pPr>
        <w:pStyle w:val="BodyText"/>
      </w:pPr>
      <w:r>
        <w:rPr>
          <w:bCs/>
          <w:b/>
        </w:rPr>
        <w:t xml:space="preserve">तर्पयेथाम् (</w:t>
      </w:r>
      <w:r>
        <w:rPr>
          <w:iCs/>
          <w:i/>
          <w:bCs/>
          <w:b/>
        </w:rPr>
        <w:t xml:space="preserve">tarpayethām</w:t>
      </w:r>
      <w:r>
        <w:rPr>
          <w:bCs/>
          <w:b/>
        </w:rPr>
        <w:t xml:space="preserve">)</w:t>
      </w:r>
      <w:r>
        <w:t xml:space="preserve">: the root</w:t>
      </w:r>
      <w:r>
        <w:t xml:space="preserve"> </w:t>
      </w:r>
      <w:r>
        <w:rPr>
          <w:iCs/>
          <w:i/>
        </w:rPr>
        <w:t xml:space="preserve">tṛpa prīṇane</w:t>
      </w:r>
      <w:r>
        <w:t xml:space="preserve">. By</w:t>
      </w:r>
      <w:r>
        <w:t xml:space="preserve"> </w:t>
      </w:r>
      <w:r>
        <w:t xml:space="preserve">“</w:t>
      </w:r>
      <w:r>
        <w:t xml:space="preserve">tatprayojako hetuś ca</w:t>
      </w:r>
      <w:r>
        <w:t xml:space="preserve">”</w:t>
      </w:r>
      <w:r>
        <w:t xml:space="preserve"> </w:t>
      </w:r>
      <w:r>
        <w:t xml:space="preserve">(Pā. sū. 1-4-55) it is called</w:t>
      </w:r>
      <w:r>
        <w:t xml:space="preserve"> </w:t>
      </w:r>
      <w:r>
        <w:rPr>
          <w:iCs/>
          <w:i/>
        </w:rPr>
        <w:t xml:space="preserve">hetu</w:t>
      </w:r>
      <w:r>
        <w:t xml:space="preserve">; by</w:t>
      </w:r>
      <w:r>
        <w:t xml:space="preserve"> </w:t>
      </w:r>
      <w:r>
        <w:t xml:space="preserve">“</w:t>
      </w:r>
      <w:r>
        <w:t xml:space="preserve">hetumati ca</w:t>
      </w:r>
      <w:r>
        <w:t xml:space="preserve">”</w:t>
      </w:r>
      <w:r>
        <w:t xml:space="preserve"> </w:t>
      </w:r>
      <w:r>
        <w:t xml:space="preserve">(Pā. sū.</w:t>
      </w:r>
      <w:r>
        <w:t xml:space="preserve"> </w:t>
      </w:r>
      <w:r>
        <w:t xml:space="preserve">“</w:t>
      </w:r>
      <w:r>
        <w:t xml:space="preserve">3-1-26</w:t>
      </w:r>
      <w:r>
        <w:t xml:space="preserve">”</w:t>
      </w:r>
      <w:r>
        <w:t xml:space="preserve"> </w:t>
      </w:r>
      <w:r>
        <w:t xml:space="preserve">[?])</w:t>
      </w:r>
      <w:r>
        <w:t xml:space="preserve"> </w:t>
      </w:r>
      <w:r>
        <w:rPr>
          <w:iCs/>
          <w:i/>
        </w:rPr>
        <w:t xml:space="preserve">ṇic</w:t>
      </w:r>
      <w:r>
        <w:t xml:space="preserve">. By</w:t>
      </w:r>
      <w:r>
        <w:t xml:space="preserve"> </w:t>
      </w:r>
      <w:r>
        <w:t xml:space="preserve">“</w:t>
      </w:r>
      <w:r>
        <w:t xml:space="preserve">ṇicaś ca</w:t>
      </w:r>
      <w:r>
        <w:t xml:space="preserve">”</w:t>
      </w:r>
      <w:r>
        <w:t xml:space="preserve"> </w:t>
      </w:r>
      <w:r>
        <w:t xml:space="preserve">(Pā. sū. 1-3-74) (when the fruit of the action goes to the agent,</w:t>
      </w:r>
      <w:r>
        <w:t xml:space="preserve"> </w:t>
      </w:r>
      <w:r>
        <w:rPr>
          <w:iCs/>
          <w:i/>
        </w:rPr>
        <w:t xml:space="preserve">ātmanepada</w:t>
      </w:r>
      <w:r>
        <w:t xml:space="preserve"> </w:t>
      </w:r>
      <w:r>
        <w:t xml:space="preserve">comes after a root ending in</w:t>
      </w:r>
      <w:r>
        <w:t xml:space="preserve"> </w:t>
      </w:r>
      <w:r>
        <w:rPr>
          <w:iCs/>
          <w:i/>
        </w:rPr>
        <w:t xml:space="preserve">ṇic</w:t>
      </w:r>
      <w:r>
        <w:t xml:space="preserve">), in place of the</w:t>
      </w:r>
      <w:r>
        <w:t xml:space="preserve"> </w:t>
      </w:r>
      <w:r>
        <w:rPr>
          <w:iCs/>
          <w:i/>
        </w:rPr>
        <w:t xml:space="preserve">loṭ</w:t>
      </w:r>
      <w:r>
        <w:t xml:space="preserve"> </w:t>
      </w:r>
      <w:r>
        <w:t xml:space="preserve">after the</w:t>
      </w:r>
      <w:r>
        <w:t xml:space="preserve"> </w:t>
      </w:r>
      <w:r>
        <w:rPr>
          <w:iCs/>
          <w:i/>
        </w:rPr>
        <w:t xml:space="preserve">ṇic</w:t>
      </w:r>
      <w:r>
        <w:t xml:space="preserve">-final root</w:t>
      </w:r>
      <w:r>
        <w:t xml:space="preserve"> </w:t>
      </w:r>
      <w:r>
        <w:rPr>
          <w:iCs/>
          <w:i/>
        </w:rPr>
        <w:t xml:space="preserve">tṛp</w:t>
      </w:r>
      <w:r>
        <w:t xml:space="preserve"> </w:t>
      </w:r>
      <w:r>
        <w:t xml:space="preserve">+</w:t>
      </w:r>
      <w:r>
        <w:t xml:space="preserve"> </w:t>
      </w:r>
      <w:r>
        <w:rPr>
          <w:iCs/>
          <w:i/>
        </w:rPr>
        <w:t xml:space="preserve">i</w:t>
      </w:r>
      <w:r>
        <w:t xml:space="preserve"> </w:t>
      </w:r>
      <w:r>
        <w:t xml:space="preserve">comes an</w:t>
      </w:r>
      <w:r>
        <w:t xml:space="preserve"> </w:t>
      </w:r>
      <w:r>
        <w:rPr>
          <w:iCs/>
          <w:i/>
        </w:rPr>
        <w:t xml:space="preserve">ātmanepada</w:t>
      </w:r>
      <w:r>
        <w:t xml:space="preserve"> </w:t>
      </w:r>
      <w:r>
        <w:t xml:space="preserve">suffix; when the 2nd dual is meant,</w:t>
      </w:r>
      <w:r>
        <w:t xml:space="preserve"> </w:t>
      </w:r>
      <w:r>
        <w:rPr>
          <w:iCs/>
          <w:i/>
        </w:rPr>
        <w:t xml:space="preserve">āthām</w:t>
      </w:r>
      <w:r>
        <w:t xml:space="preserve"> </w:t>
      </w:r>
      <w:r>
        <w:t xml:space="preserve">comes:</w:t>
      </w:r>
      <w:r>
        <w:t xml:space="preserve"> </w:t>
      </w:r>
      <w:r>
        <w:rPr>
          <w:iCs/>
          <w:i/>
        </w:rPr>
        <w:t xml:space="preserve">tṛp</w:t>
      </w:r>
      <w:r>
        <w:t xml:space="preserve"> </w:t>
      </w:r>
      <w:r>
        <w:t xml:space="preserve">+</w:t>
      </w:r>
      <w:r>
        <w:t xml:space="preserve"> </w:t>
      </w:r>
      <w:r>
        <w:rPr>
          <w:iCs/>
          <w:i/>
        </w:rPr>
        <w:t xml:space="preserve">i</w:t>
      </w:r>
      <w:r>
        <w:t xml:space="preserve"> </w:t>
      </w:r>
      <w:r>
        <w:t xml:space="preserve">+</w:t>
      </w:r>
      <w:r>
        <w:t xml:space="preserve"> </w:t>
      </w:r>
      <w:r>
        <w:rPr>
          <w:iCs/>
          <w:i/>
        </w:rPr>
        <w:t xml:space="preserve">āthām</w:t>
      </w:r>
      <w:r>
        <w:t xml:space="preserve">. By</w:t>
      </w:r>
      <w:r>
        <w:t xml:space="preserve"> </w:t>
      </w:r>
      <w:r>
        <w:t xml:space="preserve">“</w:t>
      </w:r>
      <w:r>
        <w:t xml:space="preserve">ṭita ātmanepadānāṃ ṭere</w:t>
      </w:r>
      <w:r>
        <w:t xml:space="preserve">”</w:t>
      </w:r>
      <w:r>
        <w:t xml:space="preserve"> </w:t>
      </w:r>
      <w:r>
        <w:t xml:space="preserve">(Pā. sū. 3-4-79)</w:t>
      </w:r>
      <w:r>
        <w:t xml:space="preserve"> </w:t>
      </w:r>
      <w:r>
        <w:rPr>
          <w:iCs/>
          <w:i/>
        </w:rPr>
        <w:t xml:space="preserve">e</w:t>
      </w:r>
      <w:r>
        <w:t xml:space="preserve"> </w:t>
      </w:r>
      <w:r>
        <w:t xml:space="preserve">for the</w:t>
      </w:r>
      <w:r>
        <w:t xml:space="preserve"> </w:t>
      </w:r>
      <w:r>
        <w:rPr>
          <w:iCs/>
          <w:i/>
        </w:rPr>
        <w:t xml:space="preserve">ṭi</w:t>
      </w:r>
      <w:r>
        <w:t xml:space="preserve"> </w:t>
      </w:r>
      <w:r>
        <w:rPr>
          <w:iCs/>
          <w:i/>
        </w:rPr>
        <w:t xml:space="preserve">ām</w:t>
      </w:r>
      <w:r>
        <w:t xml:space="preserve">; by</w:t>
      </w:r>
      <w:r>
        <w:t xml:space="preserve"> </w:t>
      </w:r>
      <w:r>
        <w:t xml:space="preserve">“</w:t>
      </w:r>
      <w:r>
        <w:t xml:space="preserve">āmetaḥ</w:t>
      </w:r>
      <w:r>
        <w:t xml:space="preserve">”</w:t>
      </w:r>
      <w:r>
        <w:t xml:space="preserve"> </w:t>
      </w:r>
      <w:r>
        <w:t xml:space="preserve">(Pā. sū. 3-4-90) (the</w:t>
      </w:r>
      <w:r>
        <w:t xml:space="preserve"> </w:t>
      </w:r>
      <w:r>
        <w:rPr>
          <w:iCs/>
          <w:i/>
        </w:rPr>
        <w:t xml:space="preserve">e</w:t>
      </w:r>
      <w:r>
        <w:t xml:space="preserve"> </w:t>
      </w:r>
      <w:r>
        <w:t xml:space="preserve">belonging to</w:t>
      </w:r>
      <w:r>
        <w:t xml:space="preserve"> </w:t>
      </w:r>
      <w:r>
        <w:rPr>
          <w:iCs/>
          <w:i/>
        </w:rPr>
        <w:t xml:space="preserve">loṭ</w:t>
      </w:r>
      <w:r>
        <w:t xml:space="preserve"> </w:t>
      </w:r>
      <w:r>
        <w:t xml:space="preserve">takes</w:t>
      </w:r>
      <w:r>
        <w:t xml:space="preserve"> </w:t>
      </w:r>
      <w:r>
        <w:rPr>
          <w:iCs/>
          <w:i/>
        </w:rPr>
        <w:t xml:space="preserve">ām</w:t>
      </w:r>
      <w:r>
        <w:t xml:space="preserve">)</w:t>
      </w:r>
      <w:r>
        <w:t xml:space="preserve"> </w:t>
      </w:r>
      <w:r>
        <w:rPr>
          <w:iCs/>
          <w:i/>
        </w:rPr>
        <w:t xml:space="preserve">ām</w:t>
      </w:r>
      <w:r>
        <w:t xml:space="preserve">:</w:t>
      </w:r>
      <w:r>
        <w:t xml:space="preserve"> </w:t>
      </w:r>
      <w:r>
        <w:rPr>
          <w:iCs/>
          <w:i/>
        </w:rPr>
        <w:t xml:space="preserve">tṛp</w:t>
      </w:r>
      <w:r>
        <w:t xml:space="preserve"> </w:t>
      </w:r>
      <w:r>
        <w:t xml:space="preserve">+</w:t>
      </w:r>
      <w:r>
        <w:t xml:space="preserve"> </w:t>
      </w:r>
      <w:r>
        <w:rPr>
          <w:iCs/>
          <w:i/>
        </w:rPr>
        <w:t xml:space="preserve">i</w:t>
      </w:r>
      <w:r>
        <w:t xml:space="preserve"> </w:t>
      </w:r>
      <w:r>
        <w:t xml:space="preserve">+</w:t>
      </w:r>
      <w:r>
        <w:t xml:space="preserve"> </w:t>
      </w:r>
      <w:r>
        <w:rPr>
          <w:iCs/>
          <w:i/>
        </w:rPr>
        <w:t xml:space="preserve">āthām</w:t>
      </w:r>
      <w:r>
        <w:t xml:space="preserve">. With the</w:t>
      </w:r>
      <w:r>
        <w:t xml:space="preserve"> </w:t>
      </w:r>
      <w:r>
        <w:rPr>
          <w:iCs/>
          <w:i/>
        </w:rPr>
        <w:t xml:space="preserve">ṇic</w:t>
      </w:r>
      <w:r>
        <w:t xml:space="preserve"> </w:t>
      </w:r>
      <w:r>
        <w:t xml:space="preserve">as condition, the</w:t>
      </w:r>
      <w:r>
        <w:t xml:space="preserve"> </w:t>
      </w:r>
      <w:r>
        <w:rPr>
          <w:iCs/>
          <w:i/>
        </w:rPr>
        <w:t xml:space="preserve">laghūpadha-guṇa</w:t>
      </w:r>
      <w:r>
        <w:t xml:space="preserve"> </w:t>
      </w:r>
      <w:r>
        <w:t xml:space="preserve">for</w:t>
      </w:r>
      <w:r>
        <w:t xml:space="preserve"> </w:t>
      </w:r>
      <w:r>
        <w:rPr>
          <w:iCs/>
          <w:i/>
        </w:rPr>
        <w:t xml:space="preserve">tṛp</w:t>
      </w:r>
      <w:r>
        <w:t xml:space="preserve"> </w:t>
      </w:r>
      <w:r>
        <w:t xml:space="preserve">by</w:t>
      </w:r>
      <w:r>
        <w:t xml:space="preserve"> </w:t>
      </w:r>
      <w:r>
        <w:rPr>
          <w:iCs/>
          <w:i/>
        </w:rPr>
        <w:t xml:space="preserve">pugantalaghūpadhasya ca</w:t>
      </w:r>
      <w:r>
        <w:t xml:space="preserve">, followed by</w:t>
      </w:r>
      <w:r>
        <w:t xml:space="preserve"> </w:t>
      </w:r>
      <w:r>
        <w:rPr>
          <w:iCs/>
          <w:i/>
        </w:rPr>
        <w:t xml:space="preserve">r</w:t>
      </w:r>
      <w:r>
        <w:t xml:space="preserve"> </w:t>
      </w:r>
      <w:r>
        <w:t xml:space="preserve">by</w:t>
      </w:r>
      <w:r>
        <w:t xml:space="preserve"> </w:t>
      </w:r>
      <w:r>
        <w:rPr>
          <w:iCs/>
          <w:i/>
        </w:rPr>
        <w:t xml:space="preserve">uraṇ raparaḥ</w:t>
      </w:r>
      <w:r>
        <w:t xml:space="preserve">:</w:t>
      </w:r>
      <w:r>
        <w:t xml:space="preserve"> </w:t>
      </w:r>
      <w:r>
        <w:rPr>
          <w:iCs/>
          <w:i/>
        </w:rPr>
        <w:t xml:space="preserve">tarpi</w:t>
      </w:r>
      <w:r>
        <w:t xml:space="preserve"> </w:t>
      </w:r>
      <w:r>
        <w:t xml:space="preserve">+</w:t>
      </w:r>
      <w:r>
        <w:t xml:space="preserve"> </w:t>
      </w:r>
      <w:r>
        <w:rPr>
          <w:iCs/>
          <w:i/>
        </w:rPr>
        <w:t xml:space="preserve">āthām</w:t>
      </w:r>
      <w:r>
        <w:t xml:space="preserve">;</w:t>
      </w:r>
      <w:r>
        <w:t xml:space="preserve"> </w:t>
      </w:r>
      <w:r>
        <w:rPr>
          <w:iCs/>
          <w:i/>
        </w:rPr>
        <w:t xml:space="preserve">śap</w:t>
      </w:r>
      <w:r>
        <w:t xml:space="preserve"> </w:t>
      </w:r>
      <w:r>
        <w:t xml:space="preserve">by</w:t>
      </w:r>
      <w:r>
        <w:t xml:space="preserve"> </w:t>
      </w:r>
      <w:r>
        <w:rPr>
          <w:iCs/>
          <w:i/>
        </w:rPr>
        <w:t xml:space="preserve">kartari śap</w:t>
      </w:r>
      <w:r>
        <w:t xml:space="preserve">:</w:t>
      </w:r>
      <w:r>
        <w:t xml:space="preserve"> </w:t>
      </w:r>
      <w:r>
        <w:rPr>
          <w:iCs/>
          <w:i/>
        </w:rPr>
        <w:t xml:space="preserve">tarpi</w:t>
      </w:r>
      <w:r>
        <w:t xml:space="preserve"> </w:t>
      </w:r>
      <w:r>
        <w:t xml:space="preserve">+</w:t>
      </w:r>
      <w:r>
        <w:t xml:space="preserve"> </w:t>
      </w:r>
      <w:r>
        <w:rPr>
          <w:iCs/>
          <w:i/>
        </w:rPr>
        <w:t xml:space="preserve">a</w:t>
      </w:r>
      <w:r>
        <w:t xml:space="preserve"> </w:t>
      </w:r>
      <w:r>
        <w:t xml:space="preserve">+</w:t>
      </w:r>
      <w:r>
        <w:t xml:space="preserve"> </w:t>
      </w:r>
      <w:r>
        <w:rPr>
          <w:iCs/>
          <w:i/>
        </w:rPr>
        <w:t xml:space="preserve">āthām</w:t>
      </w:r>
      <w:r>
        <w:t xml:space="preserve">. With the</w:t>
      </w:r>
      <w:r>
        <w:t xml:space="preserve"> </w:t>
      </w:r>
      <w:r>
        <w:rPr>
          <w:iCs/>
          <w:i/>
        </w:rPr>
        <w:t xml:space="preserve">śap</w:t>
      </w:r>
      <w:r>
        <w:t xml:space="preserve"> </w:t>
      </w:r>
      <w:r>
        <w:t xml:space="preserve">as condition,</w:t>
      </w:r>
      <w:r>
        <w:t xml:space="preserve"> </w:t>
      </w:r>
      <w:r>
        <w:rPr>
          <w:iCs/>
          <w:i/>
        </w:rPr>
        <w:t xml:space="preserve">guṇa</w:t>
      </w:r>
      <w:r>
        <w:t xml:space="preserve"> </w:t>
      </w:r>
      <w:r>
        <w:t xml:space="preserve">by</w:t>
      </w:r>
      <w:r>
        <w:t xml:space="preserve"> </w:t>
      </w:r>
      <w:r>
        <w:t xml:space="preserve">“</w:t>
      </w:r>
      <w:r>
        <w:t xml:space="preserve">sārvadhātukārdhadhātukayoḥ</w:t>
      </w:r>
      <w:r>
        <w:t xml:space="preserve">”</w:t>
      </w:r>
      <w:r>
        <w:t xml:space="preserve"> </w:t>
      </w:r>
      <w:r>
        <w:t xml:space="preserve">(Pā. sū. 7-3-84); the substitute</w:t>
      </w:r>
      <w:r>
        <w:t xml:space="preserve"> </w:t>
      </w:r>
      <w:r>
        <w:rPr>
          <w:iCs/>
          <w:i/>
        </w:rPr>
        <w:t xml:space="preserve">ay</w:t>
      </w:r>
      <w:r>
        <w:t xml:space="preserve"> </w:t>
      </w:r>
      <w:r>
        <w:t xml:space="preserve">by</w:t>
      </w:r>
      <w:r>
        <w:t xml:space="preserve"> </w:t>
      </w:r>
      <w:r>
        <w:t xml:space="preserve">“</w:t>
      </w:r>
      <w:r>
        <w:t xml:space="preserve">eco ’yavāyāvaḥ</w:t>
      </w:r>
      <w:r>
        <w:t xml:space="preserve">”</w:t>
      </w:r>
      <w:r>
        <w:t xml:space="preserve"> </w:t>
      </w:r>
      <w:r>
        <w:t xml:space="preserve">(Pā. sū. 6-1-78):</w:t>
      </w:r>
      <w:r>
        <w:t xml:space="preserve"> </w:t>
      </w:r>
      <w:r>
        <w:rPr>
          <w:iCs/>
          <w:i/>
        </w:rPr>
        <w:t xml:space="preserve">tarpaya</w:t>
      </w:r>
      <w:r>
        <w:t xml:space="preserve"> </w:t>
      </w:r>
      <w:r>
        <w:t xml:space="preserve">+</w:t>
      </w:r>
      <w:r>
        <w:t xml:space="preserve"> </w:t>
      </w:r>
      <w:r>
        <w:rPr>
          <w:iCs/>
          <w:i/>
        </w:rPr>
        <w:t xml:space="preserve">āthām</w:t>
      </w:r>
      <w:r>
        <w:t xml:space="preserve">.</w:t>
      </w:r>
      <w:r>
        <w:t xml:space="preserve"> </w:t>
      </w:r>
      <w:r>
        <w:rPr>
          <w:iCs/>
          <w:i/>
        </w:rPr>
        <w:t xml:space="preserve">Āthām</w:t>
      </w:r>
      <w:r>
        <w:t xml:space="preserve"> </w:t>
      </w:r>
      <w:r>
        <w:t xml:space="preserve">is a</w:t>
      </w:r>
      <w:r>
        <w:t xml:space="preserve"> </w:t>
      </w:r>
      <w:r>
        <w:rPr>
          <w:iCs/>
          <w:i/>
        </w:rPr>
        <w:t xml:space="preserve">sārvadhātuka</w:t>
      </w:r>
      <w:r>
        <w:t xml:space="preserve"> </w:t>
      </w:r>
      <w:r>
        <w:t xml:space="preserve">without</w:t>
      </w:r>
      <w:r>
        <w:t xml:space="preserve"> </w:t>
      </w:r>
      <w:r>
        <w:rPr>
          <w:iCs/>
          <w:i/>
        </w:rPr>
        <w:t xml:space="preserve">p</w:t>
      </w:r>
      <w:r>
        <w:t xml:space="preserve">; so by</w:t>
      </w:r>
      <w:r>
        <w:t xml:space="preserve"> </w:t>
      </w:r>
      <w:r>
        <w:t xml:space="preserve">“</w:t>
      </w:r>
      <w:r>
        <w:t xml:space="preserve">sārvadhātukam apit</w:t>
      </w:r>
      <w:r>
        <w:t xml:space="preserve">”</w:t>
      </w:r>
      <w:r>
        <w:t xml:space="preserve"> </w:t>
      </w:r>
      <w:r>
        <w:t xml:space="preserve">(Pā. sū. 1-2-4) it is</w:t>
      </w:r>
      <w:r>
        <w:t xml:space="preserve"> </w:t>
      </w:r>
      <w:r>
        <w:rPr>
          <w:iCs/>
          <w:i/>
        </w:rPr>
        <w:t xml:space="preserve">ṅit</w:t>
      </w:r>
      <w:r>
        <w:t xml:space="preserve">. So by</w:t>
      </w:r>
      <w:r>
        <w:t xml:space="preserve"> </w:t>
      </w:r>
      <w:r>
        <w:t xml:space="preserve">“</w:t>
      </w:r>
      <w:r>
        <w:t xml:space="preserve">āto ṅitaḥ</w:t>
      </w:r>
      <w:r>
        <w:t xml:space="preserve">”</w:t>
      </w:r>
      <w:r>
        <w:t xml:space="preserve"> </w:t>
      </w:r>
      <w:r>
        <w:t xml:space="preserve">(Pā. sū. 7-2-81) (the</w:t>
      </w:r>
      <w:r>
        <w:t xml:space="preserve"> </w:t>
      </w:r>
      <w:r>
        <w:rPr>
          <w:iCs/>
          <w:i/>
        </w:rPr>
        <w:t xml:space="preserve">ā</w:t>
      </w:r>
      <w:r>
        <w:t xml:space="preserve"> </w:t>
      </w:r>
      <w:r>
        <w:t xml:space="preserve">belonging to a suffix marked with</w:t>
      </w:r>
      <w:r>
        <w:t xml:space="preserve"> </w:t>
      </w:r>
      <w:r>
        <w:rPr>
          <w:iCs/>
          <w:i/>
        </w:rPr>
        <w:t xml:space="preserve">ṅ</w:t>
      </w:r>
      <w:r>
        <w:t xml:space="preserve"> </w:t>
      </w:r>
      <w:r>
        <w:t xml:space="preserve">after a short</w:t>
      </w:r>
      <w:r>
        <w:t xml:space="preserve"> </w:t>
      </w:r>
      <w:r>
        <w:rPr>
          <w:iCs/>
          <w:i/>
        </w:rPr>
        <w:t xml:space="preserve">a</w:t>
      </w:r>
      <w:r>
        <w:t xml:space="preserve"> </w:t>
      </w:r>
      <w:r>
        <w:t xml:space="preserve">takes</w:t>
      </w:r>
      <w:r>
        <w:t xml:space="preserve"> </w:t>
      </w:r>
      <w:r>
        <w:rPr>
          <w:iCs/>
          <w:i/>
        </w:rPr>
        <w:t xml:space="preserve">iy</w:t>
      </w:r>
      <w:r>
        <w:t xml:space="preserve">)</w:t>
      </w:r>
      <w:r>
        <w:t xml:space="preserve"> </w:t>
      </w:r>
      <w:r>
        <w:rPr>
          <w:iCs/>
          <w:i/>
        </w:rPr>
        <w:t xml:space="preserve">iy</w:t>
      </w:r>
      <w:r>
        <w:t xml:space="preserve"> </w:t>
      </w:r>
      <w:r>
        <w:t xml:space="preserve">for the</w:t>
      </w:r>
      <w:r>
        <w:t xml:space="preserve"> </w:t>
      </w:r>
      <w:r>
        <w:rPr>
          <w:iCs/>
          <w:i/>
        </w:rPr>
        <w:t xml:space="preserve">ā</w:t>
      </w:r>
      <w:r>
        <w:t xml:space="preserve">:</w:t>
      </w:r>
      <w:r>
        <w:t xml:space="preserve"> </w:t>
      </w:r>
      <w:r>
        <w:rPr>
          <w:iCs/>
          <w:i/>
        </w:rPr>
        <w:t xml:space="preserve">tarpaya</w:t>
      </w:r>
      <w:r>
        <w:t xml:space="preserve"> </w:t>
      </w:r>
      <w:r>
        <w:t xml:space="preserve">+</w:t>
      </w:r>
      <w:r>
        <w:t xml:space="preserve"> </w:t>
      </w:r>
      <w:r>
        <w:rPr>
          <w:iCs/>
          <w:i/>
        </w:rPr>
        <w:t xml:space="preserve">iy</w:t>
      </w:r>
      <w:r>
        <w:t xml:space="preserve"> </w:t>
      </w:r>
      <w:r>
        <w:t xml:space="preserve">+</w:t>
      </w:r>
      <w:r>
        <w:t xml:space="preserve"> </w:t>
      </w:r>
      <w:r>
        <w:rPr>
          <w:iCs/>
          <w:i/>
        </w:rPr>
        <w:t xml:space="preserve">thām</w:t>
      </w:r>
      <w:r>
        <w:t xml:space="preserve">. By</w:t>
      </w:r>
      <w:r>
        <w:t xml:space="preserve"> </w:t>
      </w:r>
      <w:r>
        <w:t xml:space="preserve">“</w:t>
      </w:r>
      <w:r>
        <w:t xml:space="preserve">ād guṇaḥ</w:t>
      </w:r>
      <w:r>
        <w:t xml:space="preserve">”</w:t>
      </w:r>
      <w:r>
        <w:t xml:space="preserve"> </w:t>
      </w:r>
      <w:r>
        <w:t xml:space="preserve">(Pā. sū. 6-1-87)</w:t>
      </w:r>
      <w:r>
        <w:t xml:space="preserve"> </w:t>
      </w:r>
      <w:r>
        <w:rPr>
          <w:iCs/>
          <w:i/>
        </w:rPr>
        <w:t xml:space="preserve">e</w:t>
      </w:r>
      <w:r>
        <w:t xml:space="preserve"> </w:t>
      </w:r>
      <w:r>
        <w:t xml:space="preserve">for</w:t>
      </w:r>
      <w:r>
        <w:t xml:space="preserve"> </w:t>
      </w:r>
      <w:r>
        <w:rPr>
          <w:iCs/>
          <w:i/>
        </w:rPr>
        <w:t xml:space="preserve">a</w:t>
      </w:r>
      <w:r>
        <w:t xml:space="preserve"> </w:t>
      </w:r>
      <w:r>
        <w:t xml:space="preserve">and</w:t>
      </w:r>
      <w:r>
        <w:t xml:space="preserve"> </w:t>
      </w:r>
      <w:r>
        <w:rPr>
          <w:iCs/>
          <w:i/>
        </w:rPr>
        <w:t xml:space="preserve">i</w:t>
      </w:r>
      <w:r>
        <w:t xml:space="preserve">:</w:t>
      </w:r>
      <w:r>
        <w:t xml:space="preserve"> </w:t>
      </w:r>
      <w:r>
        <w:rPr>
          <w:iCs/>
          <w:i/>
        </w:rPr>
        <w:t xml:space="preserve">tarpayey</w:t>
      </w:r>
      <w:r>
        <w:t xml:space="preserve"> </w:t>
      </w:r>
      <w:r>
        <w:t xml:space="preserve">+</w:t>
      </w:r>
      <w:r>
        <w:t xml:space="preserve"> </w:t>
      </w:r>
      <w:r>
        <w:rPr>
          <w:iCs/>
          <w:i/>
        </w:rPr>
        <w:t xml:space="preserve">thām</w:t>
      </w:r>
      <w:r>
        <w:t xml:space="preserve">. Since the</w:t>
      </w:r>
      <w:r>
        <w:t xml:space="preserve"> </w:t>
      </w:r>
      <w:r>
        <w:rPr>
          <w:iCs/>
          <w:i/>
        </w:rPr>
        <w:t xml:space="preserve">v</w:t>
      </w:r>
      <w:r>
        <w:t xml:space="preserve">-class letter [</w:t>
      </w:r>
      <w:r>
        <w:rPr>
          <w:iCs/>
          <w:i/>
        </w:rPr>
        <w:t xml:space="preserve">th</w:t>
      </w:r>
      <w:r>
        <w:t xml:space="preserve">, a</w:t>
      </w:r>
      <w:r>
        <w:t xml:space="preserve"> </w:t>
      </w:r>
      <w:r>
        <w:rPr>
          <w:iCs/>
          <w:i/>
        </w:rPr>
        <w:t xml:space="preserve">val</w:t>
      </w:r>
      <w:r>
        <w:t xml:space="preserve">] follows, by</w:t>
      </w:r>
      <w:r>
        <w:t xml:space="preserve"> </w:t>
      </w:r>
      <w:r>
        <w:t xml:space="preserve">“</w:t>
      </w:r>
      <w:r>
        <w:t xml:space="preserve">lopo vyor vali</w:t>
      </w:r>
      <w:r>
        <w:t xml:space="preserve">”</w:t>
      </w:r>
      <w:r>
        <w:t xml:space="preserve"> </w:t>
      </w:r>
      <w:r>
        <w:t xml:space="preserve">(Pā. sū. 6-1-66) the</w:t>
      </w:r>
      <w:r>
        <w:t xml:space="preserve"> </w:t>
      </w:r>
      <w:r>
        <w:rPr>
          <w:iCs/>
          <w:i/>
        </w:rPr>
        <w:t xml:space="preserve">y</w:t>
      </w:r>
      <w:r>
        <w:t xml:space="preserve"> </w:t>
      </w:r>
      <w:r>
        <w:t xml:space="preserve">drops:</w:t>
      </w:r>
      <w:r>
        <w:t xml:space="preserve"> </w:t>
      </w:r>
      <w:r>
        <w:rPr>
          <w:iCs/>
          <w:i/>
        </w:rPr>
        <w:t xml:space="preserve">tarpayethām</w:t>
      </w:r>
      <w:r>
        <w:t xml:space="preserve">.</w:t>
      </w:r>
      <w:r>
        <w:t xml:space="preserve"> </w:t>
      </w:r>
      <w:r>
        <w:t xml:space="preserve">“</w:t>
      </w:r>
      <w:r>
        <w:t xml:space="preserve">Ato yeyaḥ</w:t>
      </w:r>
      <w:r>
        <w:t xml:space="preserve">”</w:t>
      </w:r>
      <w:r>
        <w:t xml:space="preserve"> </w:t>
      </w:r>
      <w:r>
        <w:t xml:space="preserve">(Pā. sū. 7-2-80): here the word division is made in two ways,</w:t>
      </w:r>
      <w:r>
        <w:t xml:space="preserve"> </w:t>
      </w:r>
      <w:r>
        <w:rPr>
          <w:iCs/>
          <w:i/>
        </w:rPr>
        <w:t xml:space="preserve">yā</w:t>
      </w:r>
      <w:r>
        <w:t xml:space="preserve">,</w:t>
      </w:r>
      <w:r>
        <w:t xml:space="preserve"> </w:t>
      </w:r>
      <w:r>
        <w:rPr>
          <w:iCs/>
          <w:i/>
        </w:rPr>
        <w:t xml:space="preserve">iyaḥ</w:t>
      </w:r>
      <w:r>
        <w:t xml:space="preserve">, or</w:t>
      </w:r>
      <w:r>
        <w:t xml:space="preserve"> </w:t>
      </w:r>
      <w:r>
        <w:rPr>
          <w:iCs/>
          <w:i/>
        </w:rPr>
        <w:t xml:space="preserve">yās</w:t>
      </w:r>
      <w:r>
        <w:t xml:space="preserve">,</w:t>
      </w:r>
      <w:r>
        <w:t xml:space="preserve"> </w:t>
      </w:r>
      <w:r>
        <w:rPr>
          <w:iCs/>
          <w:i/>
        </w:rPr>
        <w:t xml:space="preserve">iyaḥ</w:t>
      </w:r>
      <w:r>
        <w:t xml:space="preserve">. In the second view, with</w:t>
      </w:r>
      <w:r>
        <w:t xml:space="preserve"> </w:t>
      </w:r>
      <w:r>
        <w:rPr>
          <w:iCs/>
          <w:i/>
        </w:rPr>
        <w:t xml:space="preserve">yās</w:t>
      </w:r>
      <w:r>
        <w:t xml:space="preserve"> </w:t>
      </w:r>
      <w:r>
        <w:t xml:space="preserve">+</w:t>
      </w:r>
      <w:r>
        <w:t xml:space="preserve"> </w:t>
      </w:r>
      <w:r>
        <w:rPr>
          <w:iCs/>
          <w:i/>
        </w:rPr>
        <w:t xml:space="preserve">iya</w:t>
      </w:r>
      <w:r>
        <w:t xml:space="preserve">,</w:t>
      </w:r>
      <w:r>
        <w:t xml:space="preserve"> </w:t>
      </w:r>
      <w:r>
        <w:rPr>
          <w:iCs/>
          <w:i/>
        </w:rPr>
        <w:t xml:space="preserve">ru</w:t>
      </w:r>
      <w:r>
        <w:t xml:space="preserve"> </w:t>
      </w:r>
      <w:r>
        <w:t xml:space="preserve">for the</w:t>
      </w:r>
      <w:r>
        <w:t xml:space="preserve"> </w:t>
      </w:r>
      <w:r>
        <w:rPr>
          <w:iCs/>
          <w:i/>
        </w:rPr>
        <w:t xml:space="preserve">s</w:t>
      </w:r>
      <w:r>
        <w:t xml:space="preserve"> </w:t>
      </w:r>
      <w:r>
        <w:t xml:space="preserve">by</w:t>
      </w:r>
      <w:r>
        <w:t xml:space="preserve"> </w:t>
      </w:r>
      <w:r>
        <w:rPr>
          <w:iCs/>
          <w:i/>
        </w:rPr>
        <w:t xml:space="preserve">sasajuṣo ruḥ</w:t>
      </w:r>
      <w:r>
        <w:t xml:space="preserve">,</w:t>
      </w:r>
      <w:r>
        <w:t xml:space="preserve"> </w:t>
      </w:r>
      <w:r>
        <w:rPr>
          <w:iCs/>
          <w:i/>
        </w:rPr>
        <w:t xml:space="preserve">y</w:t>
      </w:r>
      <w:r>
        <w:t xml:space="preserve"> </w:t>
      </w:r>
      <w:r>
        <w:t xml:space="preserve">for it by</w:t>
      </w:r>
      <w:r>
        <w:t xml:space="preserve"> </w:t>
      </w:r>
      <w:r>
        <w:rPr>
          <w:iCs/>
          <w:i/>
        </w:rPr>
        <w:t xml:space="preserve">bhobhago…</w:t>
      </w:r>
      <w:r>
        <w:t xml:space="preserve">, and after the loss of</w:t>
      </w:r>
      <w:r>
        <w:t xml:space="preserve"> </w:t>
      </w:r>
      <w:r>
        <w:rPr>
          <w:iCs/>
          <w:i/>
        </w:rPr>
        <w:t xml:space="preserve">y</w:t>
      </w:r>
      <w:r>
        <w:t xml:space="preserve"> </w:t>
      </w:r>
      <w:r>
        <w:t xml:space="preserve">by</w:t>
      </w:r>
      <w:r>
        <w:t xml:space="preserve"> </w:t>
      </w:r>
      <w:r>
        <w:rPr>
          <w:iCs/>
          <w:i/>
        </w:rPr>
        <w:t xml:space="preserve">lopaḥ śākalyasya</w:t>
      </w:r>
      <w:r>
        <w:t xml:space="preserve">, with</w:t>
      </w:r>
      <w:r>
        <w:t xml:space="preserve"> </w:t>
      </w:r>
      <w:r>
        <w:rPr>
          <w:iCs/>
          <w:i/>
        </w:rPr>
        <w:t xml:space="preserve">yā</w:t>
      </w:r>
      <w:r>
        <w:t xml:space="preserve"> </w:t>
      </w:r>
      <w:r>
        <w:t xml:space="preserve">+</w:t>
      </w:r>
      <w:r>
        <w:t xml:space="preserve"> </w:t>
      </w:r>
      <w:r>
        <w:rPr>
          <w:iCs/>
          <w:i/>
        </w:rPr>
        <w:t xml:space="preserve">iya</w:t>
      </w:r>
      <w:r>
        <w:t xml:space="preserve">, the loss of</w:t>
      </w:r>
      <w:r>
        <w:t xml:space="preserve"> </w:t>
      </w:r>
      <w:r>
        <w:rPr>
          <w:iCs/>
          <w:i/>
        </w:rPr>
        <w:t xml:space="preserve">y</w:t>
      </w:r>
      <w:r>
        <w:t xml:space="preserve"> </w:t>
      </w:r>
      <w:r>
        <w:t xml:space="preserve">counts as not done, by</w:t>
      </w:r>
      <w:r>
        <w:t xml:space="preserve"> </w:t>
      </w:r>
      <w:r>
        <w:rPr>
          <w:iCs/>
          <w:i/>
        </w:rPr>
        <w:t xml:space="preserve">pūrvatrāsiddham</w:t>
      </w:r>
      <w:r>
        <w:t xml:space="preserve">, when</w:t>
      </w:r>
      <w:r>
        <w:t xml:space="preserve"> </w:t>
      </w:r>
      <w:r>
        <w:rPr>
          <w:iCs/>
          <w:i/>
        </w:rPr>
        <w:t xml:space="preserve">guṇa</w:t>
      </w:r>
      <w:r>
        <w:t xml:space="preserve"> </w:t>
      </w:r>
      <w:r>
        <w:t xml:space="preserve">is to be made; so, though</w:t>
      </w:r>
      <w:r>
        <w:t xml:space="preserve"> </w:t>
      </w:r>
      <w:r>
        <w:rPr>
          <w:iCs/>
          <w:i/>
        </w:rPr>
        <w:t xml:space="preserve">guṇa</w:t>
      </w:r>
      <w:r>
        <w:t xml:space="preserve">-sandhi does not come, since this is a ṛṣi’s</w:t>
      </w:r>
    </w:p>
    <w:bookmarkEnd w:id="790"/>
    <w:bookmarkStart w:id="791" w:name="page-722-rik-3-grammar"/>
    <w:p>
      <w:pPr>
        <w:pStyle w:val="Heading3"/>
      </w:pPr>
      <w:r>
        <w:t xml:space="preserve">Page 722 — Rik 3: grammar</w:t>
      </w:r>
    </w:p>
    <w:p>
      <w:pPr>
        <w:pStyle w:val="FirstParagraph"/>
      </w:pPr>
      <w:r>
        <w:t xml:space="preserve">usage, it may be said that the sandhi comes as an</w:t>
      </w:r>
      <w:r>
        <w:t xml:space="preserve"> </w:t>
      </w:r>
      <w:r>
        <w:rPr>
          <w:iCs/>
          <w:i/>
        </w:rPr>
        <w:t xml:space="preserve">ārṣa</w:t>
      </w:r>
      <w:r>
        <w:t xml:space="preserve"> </w:t>
      </w:r>
      <w:r>
        <w:t xml:space="preserve">form. In any case, whichever of the two ways is taken, the sense of the sūtra</w:t>
      </w:r>
      <w:r>
        <w:t xml:space="preserve"> </w:t>
      </w:r>
      <w:r>
        <w:rPr>
          <w:iCs/>
          <w:i/>
        </w:rPr>
        <w:t xml:space="preserve">ato yeyaḥ</w:t>
      </w:r>
      <w:r>
        <w:t xml:space="preserve"> </w:t>
      </w:r>
      <w:r>
        <w:t xml:space="preserve">is that</w:t>
      </w:r>
      <w:r>
        <w:t xml:space="preserve"> </w:t>
      </w:r>
      <w:r>
        <w:rPr>
          <w:iCs/>
          <w:i/>
        </w:rPr>
        <w:t xml:space="preserve">yā</w:t>
      </w:r>
      <w:r>
        <w:t xml:space="preserve"> </w:t>
      </w:r>
      <w:r>
        <w:t xml:space="preserve">or</w:t>
      </w:r>
      <w:r>
        <w:t xml:space="preserve"> </w:t>
      </w:r>
      <w:r>
        <w:rPr>
          <w:iCs/>
          <w:i/>
        </w:rPr>
        <w:t xml:space="preserve">yās</w:t>
      </w:r>
      <w:r>
        <w:t xml:space="preserve">, part of a</w:t>
      </w:r>
      <w:r>
        <w:t xml:space="preserve"> </w:t>
      </w:r>
      <w:r>
        <w:rPr>
          <w:iCs/>
          <w:i/>
        </w:rPr>
        <w:t xml:space="preserve">sārvadhātuka</w:t>
      </w:r>
      <w:r>
        <w:t xml:space="preserve"> </w:t>
      </w:r>
      <w:r>
        <w:t xml:space="preserve">suffix after a short</w:t>
      </w:r>
      <w:r>
        <w:t xml:space="preserve"> </w:t>
      </w:r>
      <w:r>
        <w:rPr>
          <w:iCs/>
          <w:i/>
        </w:rPr>
        <w:t xml:space="preserve">a</w:t>
      </w:r>
      <w:r>
        <w:t xml:space="preserve">, takes</w:t>
      </w:r>
      <w:r>
        <w:t xml:space="preserve"> </w:t>
      </w:r>
      <w:r>
        <w:rPr>
          <w:iCs/>
          <w:i/>
        </w:rPr>
        <w:t xml:space="preserve">iya</w:t>
      </w:r>
      <w:r>
        <w:t xml:space="preserve">. In</w:t>
      </w:r>
      <w:r>
        <w:t xml:space="preserve"> </w:t>
      </w:r>
      <w:r>
        <w:rPr>
          <w:iCs/>
          <w:i/>
        </w:rPr>
        <w:t xml:space="preserve">tarpa</w:t>
      </w:r>
      <w:r>
        <w:t xml:space="preserve"> </w:t>
      </w:r>
      <w:r>
        <w:t xml:space="preserve">+</w:t>
      </w:r>
      <w:r>
        <w:t xml:space="preserve"> </w:t>
      </w:r>
      <w:r>
        <w:rPr>
          <w:iCs/>
          <w:i/>
        </w:rPr>
        <w:t xml:space="preserve">ya</w:t>
      </w:r>
      <w:r>
        <w:t xml:space="preserve"> </w:t>
      </w:r>
      <w:r>
        <w:t xml:space="preserve">+</w:t>
      </w:r>
      <w:r>
        <w:t xml:space="preserve"> </w:t>
      </w:r>
      <w:r>
        <w:rPr>
          <w:iCs/>
          <w:i/>
        </w:rPr>
        <w:t xml:space="preserve">āthām</w:t>
      </w:r>
      <w:r>
        <w:t xml:space="preserve"> </w:t>
      </w:r>
      <w:r>
        <w:t xml:space="preserve">there is no</w:t>
      </w:r>
      <w:r>
        <w:t xml:space="preserve"> </w:t>
      </w:r>
      <w:r>
        <w:rPr>
          <w:iCs/>
          <w:i/>
        </w:rPr>
        <w:t xml:space="preserve">yā</w:t>
      </w:r>
      <w:r>
        <w:t xml:space="preserve"> </w:t>
      </w:r>
      <w:r>
        <w:t xml:space="preserve">or</w:t>
      </w:r>
      <w:r>
        <w:t xml:space="preserve"> </w:t>
      </w:r>
      <w:r>
        <w:rPr>
          <w:iCs/>
          <w:i/>
        </w:rPr>
        <w:t xml:space="preserve">yās</w:t>
      </w:r>
      <w:r>
        <w:t xml:space="preserve">; so this sūtra does not give</w:t>
      </w:r>
      <w:r>
        <w:t xml:space="preserve"> </w:t>
      </w:r>
      <w:r>
        <w:rPr>
          <w:iCs/>
          <w:i/>
        </w:rPr>
        <w:t xml:space="preserve">iya</w:t>
      </w:r>
      <w:r>
        <w:t xml:space="preserve"> </w:t>
      </w:r>
      <w:r>
        <w:t xml:space="preserve">here. So the account of the</w:t>
      </w:r>
      <w:r>
        <w:t xml:space="preserve"> </w:t>
      </w:r>
      <w:r>
        <w:rPr>
          <w:iCs/>
          <w:i/>
        </w:rPr>
        <w:t xml:space="preserve">iya</w:t>
      </w:r>
      <w:r>
        <w:t xml:space="preserve"> </w:t>
      </w:r>
      <w:r>
        <w:t xml:space="preserve">substitute by this sūtra [in the bhāṣya] may be called an oversight.</w:t>
      </w:r>
    </w:p>
    <w:p>
      <w:pPr>
        <w:pStyle w:val="BodyText"/>
      </w:pPr>
      <w:r>
        <w:rPr>
          <w:bCs/>
          <w:b/>
        </w:rPr>
        <w:t xml:space="preserve">इन्द्रावरुणा (</w:t>
      </w:r>
      <w:r>
        <w:rPr>
          <w:iCs/>
          <w:i/>
          <w:bCs/>
          <w:b/>
        </w:rPr>
        <w:t xml:space="preserve">indrāvaruṇā</w:t>
      </w:r>
      <w:r>
        <w:rPr>
          <w:bCs/>
          <w:b/>
        </w:rPr>
        <w:t xml:space="preserve">)</w:t>
      </w:r>
      <w:r>
        <w:t xml:space="preserve">: the</w:t>
      </w:r>
      <w:r>
        <w:t xml:space="preserve"> </w:t>
      </w:r>
      <w:r>
        <w:rPr>
          <w:iCs/>
          <w:i/>
        </w:rPr>
        <w:t xml:space="preserve">dvandva</w:t>
      </w:r>
      <w:r>
        <w:t xml:space="preserve"> </w:t>
      </w:r>
      <w:r>
        <w:rPr>
          <w:iCs/>
          <w:i/>
        </w:rPr>
        <w:t xml:space="preserve">indraś ca varuṇaś ca indrāvaruṇā</w:t>
      </w:r>
      <w:r>
        <w:t xml:space="preserve">. Its explanation is at</w:t>
      </w:r>
      <w:r>
        <w:t xml:space="preserve"> </w:t>
      </w:r>
      <w:r>
        <w:t xml:space="preserve">“</w:t>
      </w:r>
      <w:r>
        <w:t xml:space="preserve">indrāvaruṇayor aham</w:t>
      </w:r>
      <w:r>
        <w:t xml:space="preserve">”</w:t>
      </w:r>
      <w:r>
        <w:t xml:space="preserve"> </w:t>
      </w:r>
      <w:r>
        <w:t xml:space="preserve">(Ṛ. saṃ.</w:t>
      </w:r>
      <w:r>
        <w:t xml:space="preserve"> </w:t>
      </w:r>
      <w:r>
        <w:t xml:space="preserve">“</w:t>
      </w:r>
      <w:r>
        <w:t xml:space="preserve">1-12-1</w:t>
      </w:r>
      <w:r>
        <w:t xml:space="preserve">”</w:t>
      </w:r>
      <w:r>
        <w:t xml:space="preserve"> </w:t>
      </w:r>
      <w:r>
        <w:t xml:space="preserve">[as read, ?; the mantra is 1-17-1, Ṛk 17.1 above]). Here after</w:t>
      </w:r>
      <w:r>
        <w:t xml:space="preserve"> </w:t>
      </w:r>
      <w:r>
        <w:rPr>
          <w:iCs/>
          <w:i/>
        </w:rPr>
        <w:t xml:space="preserve">indravaruṇa</w:t>
      </w:r>
      <w:r>
        <w:t xml:space="preserve"> </w:t>
      </w:r>
      <w:r>
        <w:t xml:space="preserve">the vocative dual</w:t>
      </w:r>
      <w:r>
        <w:t xml:space="preserve"> </w:t>
      </w:r>
      <w:r>
        <w:rPr>
          <w:iCs/>
          <w:i/>
        </w:rPr>
        <w:t xml:space="preserve">au</w:t>
      </w:r>
      <w:r>
        <w:t xml:space="preserve">; for it</w:t>
      </w:r>
      <w:r>
        <w:t xml:space="preserve"> </w:t>
      </w:r>
      <w:r>
        <w:rPr>
          <w:iCs/>
          <w:i/>
        </w:rPr>
        <w:t xml:space="preserve">ā</w:t>
      </w:r>
      <w:r>
        <w:t xml:space="preserve"> </w:t>
      </w:r>
      <w:r>
        <w:t xml:space="preserve">by</w:t>
      </w:r>
      <w:r>
        <w:t xml:space="preserve"> </w:t>
      </w:r>
      <w:r>
        <w:t xml:space="preserve">“</w:t>
      </w:r>
      <w:r>
        <w:t xml:space="preserve">supāṃ suluk…</w:t>
      </w:r>
      <w:r>
        <w:t xml:space="preserve">”</w:t>
      </w:r>
      <w:r>
        <w:t xml:space="preserve"> </w:t>
      </w:r>
      <w:r>
        <w:t xml:space="preserve">(Pā. sū. 7-1-39); lengthening of like vowels:</w:t>
      </w:r>
      <w:r>
        <w:t xml:space="preserve"> </w:t>
      </w:r>
      <w:r>
        <w:rPr>
          <w:iCs/>
          <w:i/>
        </w:rPr>
        <w:t xml:space="preserve">indrāvaruṇā</w:t>
      </w:r>
      <w:r>
        <w:t xml:space="preserve">. Since it stands at the start of a</w:t>
      </w:r>
      <w:r>
        <w:t xml:space="preserve"> </w:t>
      </w:r>
      <w:r>
        <w:rPr>
          <w:iCs/>
          <w:i/>
        </w:rPr>
        <w:t xml:space="preserve">pāda</w:t>
      </w:r>
      <w:r>
        <w:t xml:space="preserve">, it is not wholly unaccented by the eighth-chapter rule; by the sixth-chapter</w:t>
      </w:r>
      <w:r>
        <w:t xml:space="preserve"> </w:t>
      </w:r>
      <w:r>
        <w:t xml:space="preserve">“</w:t>
      </w:r>
      <w:r>
        <w:t xml:space="preserve">āmantritasya ca</w:t>
      </w:r>
      <w:r>
        <w:t xml:space="preserve">”</w:t>
      </w:r>
      <w:r>
        <w:t xml:space="preserve"> </w:t>
      </w:r>
      <w:r>
        <w:t xml:space="preserve">it is initial udātta, and in the Saṃhitā the</w:t>
      </w:r>
      <w:r>
        <w:t xml:space="preserve"> </w:t>
      </w:r>
      <w:r>
        <w:rPr>
          <w:iCs/>
          <w:i/>
        </w:rPr>
        <w:t xml:space="preserve">ā</w:t>
      </w:r>
      <w:r>
        <w:t xml:space="preserve"> </w:t>
      </w:r>
      <w:r>
        <w:t xml:space="preserve">is shortened.</w:t>
      </w:r>
    </w:p>
    <w:p>
      <w:pPr>
        <w:pStyle w:val="BodyText"/>
      </w:pPr>
      <w:r>
        <w:rPr>
          <w:bCs/>
          <w:b/>
        </w:rPr>
        <w:t xml:space="preserve">रायः (</w:t>
      </w:r>
      <w:r>
        <w:rPr>
          <w:iCs/>
          <w:i/>
          <w:bCs/>
          <w:b/>
        </w:rPr>
        <w:t xml:space="preserve">rāyaḥ</w:t>
      </w:r>
      <w:r>
        <w:rPr>
          <w:bCs/>
          <w:b/>
        </w:rPr>
        <w:t xml:space="preserve">)</w:t>
      </w:r>
      <w:r>
        <w:t xml:space="preserve">: the word</w:t>
      </w:r>
      <w:r>
        <w:t xml:space="preserve"> </w:t>
      </w:r>
      <w:r>
        <w:rPr>
          <w:iCs/>
          <w:i/>
        </w:rPr>
        <w:t xml:space="preserve">rai</w:t>
      </w:r>
      <w:r>
        <w:t xml:space="preserve"> </w:t>
      </w:r>
      <w:r>
        <w:t xml:space="preserve">means wealth; after it the genitive singular</w:t>
      </w:r>
      <w:r>
        <w:t xml:space="preserve"> </w:t>
      </w:r>
      <w:r>
        <w:rPr>
          <w:iCs/>
          <w:i/>
        </w:rPr>
        <w:t xml:space="preserve">ṅas</w:t>
      </w:r>
      <w:r>
        <w:t xml:space="preserve"> </w:t>
      </w:r>
      <w:r>
        <w:t xml:space="preserve">[as read; the letter may be ಜ,</w:t>
      </w:r>
      <w:r>
        <w:t xml:space="preserve"> </w:t>
      </w:r>
      <w:r>
        <w:rPr>
          <w:iCs/>
          <w:i/>
        </w:rPr>
        <w:t xml:space="preserve">jas</w:t>
      </w:r>
      <w:r>
        <w:t xml:space="preserve">, ?]:</w:t>
      </w:r>
      <w:r>
        <w:t xml:space="preserve"> </w:t>
      </w:r>
      <w:r>
        <w:rPr>
          <w:iCs/>
          <w:i/>
        </w:rPr>
        <w:t xml:space="preserve">rai</w:t>
      </w:r>
      <w:r>
        <w:t xml:space="preserve"> </w:t>
      </w:r>
      <w:r>
        <w:t xml:space="preserve">+</w:t>
      </w:r>
      <w:r>
        <w:t xml:space="preserve"> </w:t>
      </w:r>
      <w:r>
        <w:rPr>
          <w:iCs/>
          <w:i/>
        </w:rPr>
        <w:t xml:space="preserve">as</w:t>
      </w:r>
      <w:r>
        <w:t xml:space="preserve">; the substitute</w:t>
      </w:r>
      <w:r>
        <w:t xml:space="preserve"> </w:t>
      </w:r>
      <w:r>
        <w:rPr>
          <w:iCs/>
          <w:i/>
        </w:rPr>
        <w:t xml:space="preserve">āy</w:t>
      </w:r>
      <w:r>
        <w:t xml:space="preserve">,</w:t>
      </w:r>
      <w:r>
        <w:t xml:space="preserve"> </w:t>
      </w:r>
      <w:r>
        <w:rPr>
          <w:iCs/>
          <w:i/>
        </w:rPr>
        <w:t xml:space="preserve">ru</w:t>
      </w:r>
      <w:r>
        <w:t xml:space="preserve"> </w:t>
      </w:r>
      <w:r>
        <w:t xml:space="preserve">and visarga. By</w:t>
      </w:r>
      <w:r>
        <w:t xml:space="preserve"> </w:t>
      </w:r>
      <w:r>
        <w:t xml:space="preserve">“</w:t>
      </w:r>
      <w:r>
        <w:t xml:space="preserve">ūḍidaṃpadādyappumraidyubhyaḥ</w:t>
      </w:r>
      <w:r>
        <w:t xml:space="preserve">”</w:t>
      </w:r>
      <w:r>
        <w:t xml:space="preserve"> </w:t>
      </w:r>
      <w:r>
        <w:t xml:space="preserve">(Pā. sū. 6-1-171) the ending is udātta.</w:t>
      </w:r>
    </w:p>
    <w:p>
      <w:pPr>
        <w:pStyle w:val="BodyText"/>
      </w:pPr>
      <w:r>
        <w:rPr>
          <w:bCs/>
          <w:b/>
        </w:rPr>
        <w:t xml:space="preserve">ता (</w:t>
      </w:r>
      <w:r>
        <w:rPr>
          <w:iCs/>
          <w:i/>
          <w:bCs/>
          <w:b/>
        </w:rPr>
        <w:t xml:space="preserve">tā</w:t>
      </w:r>
      <w:r>
        <w:rPr>
          <w:bCs/>
          <w:b/>
        </w:rPr>
        <w:t xml:space="preserve">)</w:t>
      </w:r>
      <w:r>
        <w:t xml:space="preserve">: after the word</w:t>
      </w:r>
      <w:r>
        <w:t xml:space="preserve"> </w:t>
      </w:r>
      <w:r>
        <w:rPr>
          <w:iCs/>
          <w:i/>
        </w:rPr>
        <w:t xml:space="preserve">tad</w:t>
      </w:r>
      <w:r>
        <w:t xml:space="preserve"> </w:t>
      </w:r>
      <w:r>
        <w:t xml:space="preserve">the accusative dual</w:t>
      </w:r>
      <w:r>
        <w:t xml:space="preserve"> </w:t>
      </w:r>
      <w:r>
        <w:rPr>
          <w:iCs/>
          <w:i/>
        </w:rPr>
        <w:t xml:space="preserve">auṭ</w:t>
      </w:r>
      <w:r>
        <w:t xml:space="preserve">; for it, by</w:t>
      </w:r>
      <w:r>
        <w:t xml:space="preserve"> </w:t>
      </w:r>
      <w:r>
        <w:rPr>
          <w:iCs/>
          <w:i/>
        </w:rPr>
        <w:t xml:space="preserve">supāṃ suluk</w:t>
      </w:r>
      <w:r>
        <w:t xml:space="preserve">, the substitute</w:t>
      </w:r>
      <w:r>
        <w:t xml:space="preserve"> </w:t>
      </w:r>
      <w:r>
        <w:rPr>
          <w:iCs/>
          <w:i/>
        </w:rPr>
        <w:t xml:space="preserve">ā</w:t>
      </w:r>
      <w:r>
        <w:t xml:space="preserve">. By</w:t>
      </w:r>
      <w:r>
        <w:t xml:space="preserve"> </w:t>
      </w:r>
      <w:r>
        <w:t xml:space="preserve">“</w:t>
      </w:r>
      <w:r>
        <w:t xml:space="preserve">tyadādīnām aḥ</w:t>
      </w:r>
      <w:r>
        <w:t xml:space="preserve">”</w:t>
      </w:r>
      <w:r>
        <w:t xml:space="preserve"> </w:t>
      </w:r>
      <w:r>
        <w:t xml:space="preserve">(Pā. sū. 7-2-102)</w:t>
      </w:r>
      <w:r>
        <w:t xml:space="preserve"> </w:t>
      </w:r>
      <w:r>
        <w:rPr>
          <w:iCs/>
          <w:i/>
        </w:rPr>
        <w:t xml:space="preserve">a</w:t>
      </w:r>
      <w:r>
        <w:t xml:space="preserve"> </w:t>
      </w:r>
      <w:r>
        <w:t xml:space="preserve">for the</w:t>
      </w:r>
      <w:r>
        <w:t xml:space="preserve"> </w:t>
      </w:r>
      <w:r>
        <w:rPr>
          <w:iCs/>
          <w:i/>
        </w:rPr>
        <w:t xml:space="preserve">d</w:t>
      </w:r>
      <w:r>
        <w:t xml:space="preserve">; by</w:t>
      </w:r>
      <w:r>
        <w:t xml:space="preserve"> </w:t>
      </w:r>
      <w:r>
        <w:rPr>
          <w:iCs/>
          <w:i/>
        </w:rPr>
        <w:t xml:space="preserve">ato guṇe</w:t>
      </w:r>
      <w:r>
        <w:t xml:space="preserve"> </w:t>
      </w:r>
      <w:r>
        <w:t xml:space="preserve">the</w:t>
      </w:r>
      <w:r>
        <w:t xml:space="preserve"> </w:t>
      </w:r>
      <w:r>
        <w:rPr>
          <w:iCs/>
          <w:i/>
        </w:rPr>
        <w:t xml:space="preserve">pararūpa</w:t>
      </w:r>
      <w:r>
        <w:t xml:space="preserve">; lengthening of like vowels:</w:t>
      </w:r>
      <w:r>
        <w:t xml:space="preserve"> </w:t>
      </w:r>
      <w:r>
        <w:rPr>
          <w:iCs/>
          <w:i/>
        </w:rPr>
        <w:t xml:space="preserve">tā</w:t>
      </w:r>
      <w:r>
        <w:t xml:space="preserve">.</w:t>
      </w:r>
    </w:p>
    <w:p>
      <w:pPr>
        <w:pStyle w:val="BodyText"/>
      </w:pPr>
      <w:r>
        <w:rPr>
          <w:bCs/>
          <w:b/>
        </w:rPr>
        <w:t xml:space="preserve">वाम् (</w:t>
      </w:r>
      <w:r>
        <w:rPr>
          <w:iCs/>
          <w:i/>
          <w:bCs/>
          <w:b/>
        </w:rPr>
        <w:t xml:space="preserve">vām</w:t>
      </w:r>
      <w:r>
        <w:rPr>
          <w:bCs/>
          <w:b/>
        </w:rPr>
        <w:t xml:space="preserve">)</w:t>
      </w:r>
      <w:r>
        <w:t xml:space="preserve">: this stands after a word; so for</w:t>
      </w:r>
      <w:r>
        <w:t xml:space="preserve"> </w:t>
      </w:r>
      <w:r>
        <w:rPr>
          <w:iCs/>
          <w:i/>
        </w:rPr>
        <w:t xml:space="preserve">yuvām</w:t>
      </w:r>
      <w:r>
        <w:t xml:space="preserve">, ending in the accusative dual, by</w:t>
      </w:r>
      <w:r>
        <w:t xml:space="preserve"> </w:t>
      </w:r>
      <w:r>
        <w:t xml:space="preserve">“</w:t>
      </w:r>
      <w:r>
        <w:t xml:space="preserve">yuṣmadasmadoḥ ṣaṣṭhīcaturthīdvitīyāsthayor vāṃnāvau</w:t>
      </w:r>
      <w:r>
        <w:t xml:space="preserve">”</w:t>
      </w:r>
      <w:r>
        <w:t xml:space="preserve"> </w:t>
      </w:r>
      <w:r>
        <w:t xml:space="preserve">(Pā. sū. 8-1-20) the unaccented substitute</w:t>
      </w:r>
      <w:r>
        <w:t xml:space="preserve"> </w:t>
      </w:r>
      <w:r>
        <w:rPr>
          <w:iCs/>
          <w:i/>
        </w:rPr>
        <w:t xml:space="preserve">vām</w:t>
      </w:r>
      <w:r>
        <w:t xml:space="preserve">.</w:t>
      </w:r>
    </w:p>
    <w:p>
      <w:pPr>
        <w:pStyle w:val="BodyText"/>
      </w:pPr>
      <w:r>
        <w:rPr>
          <w:bCs/>
          <w:b/>
        </w:rPr>
        <w:t xml:space="preserve">नेदिष्ठम् (</w:t>
      </w:r>
      <w:r>
        <w:rPr>
          <w:iCs/>
          <w:i/>
          <w:bCs/>
          <w:b/>
        </w:rPr>
        <w:t xml:space="preserve">nediṣṭham</w:t>
      </w:r>
      <w:r>
        <w:rPr>
          <w:bCs/>
          <w:b/>
        </w:rPr>
        <w:t xml:space="preserve">)</w:t>
      </w:r>
      <w:r>
        <w:t xml:space="preserve">: the analysis is</w:t>
      </w:r>
      <w:r>
        <w:t xml:space="preserve"> </w:t>
      </w:r>
      <w:r>
        <w:rPr>
          <w:iCs/>
          <w:i/>
        </w:rPr>
        <w:t xml:space="preserve">atiśayena antikam</w:t>
      </w:r>
      <w:r>
        <w:t xml:space="preserve">. By</w:t>
      </w:r>
      <w:r>
        <w:t xml:space="preserve"> </w:t>
      </w:r>
      <w:r>
        <w:t xml:space="preserve">“</w:t>
      </w:r>
      <w:r>
        <w:t xml:space="preserve">atiśāyane tamabiṣṭhanau</w:t>
      </w:r>
      <w:r>
        <w:t xml:space="preserve">”</w:t>
      </w:r>
      <w:r>
        <w:t xml:space="preserve"> </w:t>
      </w:r>
      <w:r>
        <w:t xml:space="preserve">(Pā. sū. 5-3-55) the suffix</w:t>
      </w:r>
      <w:r>
        <w:t xml:space="preserve"> </w:t>
      </w:r>
      <w:r>
        <w:rPr>
          <w:iCs/>
          <w:i/>
        </w:rPr>
        <w:t xml:space="preserve">iṣṭhan</w:t>
      </w:r>
      <w:r>
        <w:t xml:space="preserve">:</w:t>
      </w:r>
      <w:r>
        <w:t xml:space="preserve"> </w:t>
      </w:r>
      <w:r>
        <w:rPr>
          <w:iCs/>
          <w:i/>
        </w:rPr>
        <w:t xml:space="preserve">antika</w:t>
      </w:r>
      <w:r>
        <w:t xml:space="preserve"> </w:t>
      </w:r>
      <w:r>
        <w:t xml:space="preserve">+</w:t>
      </w:r>
      <w:r>
        <w:t xml:space="preserve"> </w:t>
      </w:r>
      <w:r>
        <w:rPr>
          <w:iCs/>
          <w:i/>
        </w:rPr>
        <w:t xml:space="preserve">iṣṭha</w:t>
      </w:r>
      <w:r>
        <w:t xml:space="preserve">. By</w:t>
      </w:r>
      <w:r>
        <w:t xml:space="preserve"> </w:t>
      </w:r>
      <w:r>
        <w:t xml:space="preserve">“</w:t>
      </w:r>
      <w:r>
        <w:t xml:space="preserve">antikabāḍhayor nedasādhau</w:t>
      </w:r>
      <w:r>
        <w:t xml:space="preserve">”</w:t>
      </w:r>
      <w:r>
        <w:t xml:space="preserve"> </w:t>
      </w:r>
      <w:r>
        <w:t xml:space="preserve">(Pā. sū. 5-3-63), when the suffixes</w:t>
      </w:r>
      <w:r>
        <w:t xml:space="preserve"> </w:t>
      </w:r>
      <w:r>
        <w:rPr>
          <w:iCs/>
          <w:i/>
        </w:rPr>
        <w:t xml:space="preserve">iṣṭhan</w:t>
      </w:r>
      <w:r>
        <w:t xml:space="preserve"> </w:t>
      </w:r>
      <w:r>
        <w:t xml:space="preserve">and</w:t>
      </w:r>
      <w:r>
        <w:t xml:space="preserve"> </w:t>
      </w:r>
      <w:r>
        <w:rPr>
          <w:iCs/>
          <w:i/>
        </w:rPr>
        <w:t xml:space="preserve">īyasun</w:t>
      </w:r>
      <w:r>
        <w:t xml:space="preserve"> </w:t>
      </w:r>
      <w:r>
        <w:t xml:space="preserve">follow,</w:t>
      </w:r>
      <w:r>
        <w:t xml:space="preserve"> </w:t>
      </w:r>
      <w:r>
        <w:rPr>
          <w:iCs/>
          <w:i/>
        </w:rPr>
        <w:t xml:space="preserve">neda</w:t>
      </w:r>
      <w:r>
        <w:t xml:space="preserve"> </w:t>
      </w:r>
      <w:r>
        <w:t xml:space="preserve">is substituted for</w:t>
      </w:r>
      <w:r>
        <w:t xml:space="preserve"> </w:t>
      </w:r>
      <w:r>
        <w:rPr>
          <w:iCs/>
          <w:i/>
        </w:rPr>
        <w:t xml:space="preserve">antika</w:t>
      </w:r>
      <w:r>
        <w:t xml:space="preserve"> </w:t>
      </w:r>
      <w:r>
        <w:t xml:space="preserve">and</w:t>
      </w:r>
      <w:r>
        <w:t xml:space="preserve"> </w:t>
      </w:r>
      <w:r>
        <w:rPr>
          <w:iCs/>
          <w:i/>
        </w:rPr>
        <w:t xml:space="preserve">sādha</w:t>
      </w:r>
      <w:r>
        <w:t xml:space="preserve"> </w:t>
      </w:r>
      <w:r>
        <w:t xml:space="preserve">for</w:t>
      </w:r>
      <w:r>
        <w:t xml:space="preserve"> </w:t>
      </w:r>
      <w:r>
        <w:rPr>
          <w:iCs/>
          <w:i/>
        </w:rPr>
        <w:t xml:space="preserve">bāḍha</w:t>
      </w:r>
      <w:r>
        <w:t xml:space="preserve">; so</w:t>
      </w:r>
      <w:r>
        <w:t xml:space="preserve"> </w:t>
      </w:r>
      <w:r>
        <w:rPr>
          <w:iCs/>
          <w:i/>
        </w:rPr>
        <w:t xml:space="preserve">neda</w:t>
      </w:r>
      <w:r>
        <w:t xml:space="preserve">:</w:t>
      </w:r>
      <w:r>
        <w:t xml:space="preserve"> </w:t>
      </w:r>
      <w:r>
        <w:rPr>
          <w:iCs/>
          <w:i/>
        </w:rPr>
        <w:t xml:space="preserve">neda</w:t>
      </w:r>
      <w:r>
        <w:t xml:space="preserve"> </w:t>
      </w:r>
      <w:r>
        <w:t xml:space="preserve">+</w:t>
      </w:r>
      <w:r>
        <w:t xml:space="preserve"> </w:t>
      </w:r>
      <w:r>
        <w:rPr>
          <w:iCs/>
          <w:i/>
        </w:rPr>
        <w:t xml:space="preserve">iṣṭha</w:t>
      </w:r>
      <w:r>
        <w:t xml:space="preserve">; by</w:t>
      </w:r>
      <w:r>
        <w:t xml:space="preserve"> </w:t>
      </w:r>
      <w:r>
        <w:t xml:space="preserve">“</w:t>
      </w:r>
      <w:r>
        <w:t xml:space="preserve">yasyeti ca</w:t>
      </w:r>
      <w:r>
        <w:t xml:space="preserve">”</w:t>
      </w:r>
      <w:r>
        <w:t xml:space="preserve"> </w:t>
      </w:r>
      <w:r>
        <w:t xml:space="preserve">(Pā. sū. 6-4-148) the</w:t>
      </w:r>
      <w:r>
        <w:t xml:space="preserve"> </w:t>
      </w:r>
      <w:r>
        <w:rPr>
          <w:iCs/>
          <w:i/>
        </w:rPr>
        <w:t xml:space="preserve">a</w:t>
      </w:r>
      <w:r>
        <w:t xml:space="preserve"> </w:t>
      </w:r>
      <w:r>
        <w:t xml:space="preserve">drops:</w:t>
      </w:r>
      <w:r>
        <w:t xml:space="preserve"> </w:t>
      </w:r>
      <w:r>
        <w:rPr>
          <w:iCs/>
          <w:i/>
        </w:rPr>
        <w:t xml:space="preserve">nediṣṭha</w:t>
      </w:r>
      <w:r>
        <w:t xml:space="preserve">. The suffix</w:t>
      </w:r>
      <w:r>
        <w:t xml:space="preserve"> </w:t>
      </w:r>
      <w:r>
        <w:rPr>
          <w:iCs/>
          <w:i/>
        </w:rPr>
        <w:t xml:space="preserve">iṣṭhan</w:t>
      </w:r>
      <w:r>
        <w:t xml:space="preserve"> </w:t>
      </w:r>
      <w:r>
        <w:t xml:space="preserve">is</w:t>
      </w:r>
      <w:r>
        <w:t xml:space="preserve"> </w:t>
      </w:r>
      <w:r>
        <w:rPr>
          <w:iCs/>
          <w:i/>
        </w:rPr>
        <w:t xml:space="preserve">nit</w:t>
      </w:r>
      <w:r>
        <w:t xml:space="preserve">; so</w:t>
      </w:r>
      <w:r>
        <w:t xml:space="preserve"> </w:t>
      </w:r>
      <w:r>
        <w:rPr>
          <w:iCs/>
          <w:i/>
        </w:rPr>
        <w:t xml:space="preserve">nediṣṭha</w:t>
      </w:r>
      <w:r>
        <w:t xml:space="preserve"> </w:t>
      </w:r>
      <w:r>
        <w:t xml:space="preserve">is initial udātta by</w:t>
      </w:r>
      <w:r>
        <w:t xml:space="preserve"> </w:t>
      </w:r>
      <w:r>
        <w:rPr>
          <w:iCs/>
          <w:i/>
        </w:rPr>
        <w:t xml:space="preserve">ñnityādir nityam</w:t>
      </w:r>
      <w:r>
        <w:t xml:space="preserve">.</w:t>
      </w:r>
    </w:p>
    <w:p>
      <w:pPr>
        <w:pStyle w:val="BodyText"/>
      </w:pPr>
      <w:r>
        <w:rPr>
          <w:bCs/>
          <w:b/>
        </w:rPr>
        <w:t xml:space="preserve">ईमहे (</w:t>
      </w:r>
      <w:r>
        <w:rPr>
          <w:iCs/>
          <w:i/>
          <w:bCs/>
          <w:b/>
        </w:rPr>
        <w:t xml:space="preserve">īmahe</w:t>
      </w:r>
      <w:r>
        <w:rPr>
          <w:bCs/>
          <w:b/>
        </w:rPr>
        <w:t xml:space="preserve">)</w:t>
      </w:r>
      <w:r>
        <w:t xml:space="preserve">: the root</w:t>
      </w:r>
      <w:r>
        <w:t xml:space="preserve"> </w:t>
      </w:r>
      <w:r>
        <w:rPr>
          <w:iCs/>
          <w:i/>
        </w:rPr>
        <w:t xml:space="preserve">īṅ gatau</w:t>
      </w:r>
      <w:r>
        <w:t xml:space="preserve">,</w:t>
      </w:r>
      <w:r>
        <w:t xml:space="preserve"> </w:t>
      </w:r>
      <w:r>
        <w:rPr>
          <w:iCs/>
          <w:i/>
        </w:rPr>
        <w:t xml:space="preserve">ṅit</w:t>
      </w:r>
      <w:r>
        <w:t xml:space="preserve">; so by</w:t>
      </w:r>
      <w:r>
        <w:t xml:space="preserve"> </w:t>
      </w:r>
      <w:r>
        <w:t xml:space="preserve">“</w:t>
      </w:r>
      <w:r>
        <w:t xml:space="preserve">anudāttaṅita ātmanepadam</w:t>
      </w:r>
      <w:r>
        <w:t xml:space="preserve">”</w:t>
      </w:r>
      <w:r>
        <w:t xml:space="preserve"> </w:t>
      </w:r>
      <w:r>
        <w:t xml:space="preserve">(Pā. sū. 1-3-12) the</w:t>
      </w:r>
      <w:r>
        <w:t xml:space="preserve"> </w:t>
      </w:r>
      <w:r>
        <w:rPr>
          <w:iCs/>
          <w:i/>
        </w:rPr>
        <w:t xml:space="preserve">ātmanepada</w:t>
      </w:r>
      <w:r>
        <w:t xml:space="preserve"> </w:t>
      </w:r>
      <w:r>
        <w:t xml:space="preserve">comes.</w:t>
      </w:r>
      <w:r>
        <w:t xml:space="preserve"> </w:t>
      </w:r>
      <w:r>
        <w:rPr>
          <w:iCs/>
          <w:i/>
        </w:rPr>
        <w:t xml:space="preserve">Laṭ</w:t>
      </w:r>
      <w:r>
        <w:t xml:space="preserve">, 1st plural</w:t>
      </w:r>
      <w:r>
        <w:t xml:space="preserve"> </w:t>
      </w:r>
      <w:r>
        <w:rPr>
          <w:iCs/>
          <w:i/>
        </w:rPr>
        <w:t xml:space="preserve">mahiṅ</w:t>
      </w:r>
      <w:r>
        <w:t xml:space="preserve">:</w:t>
      </w:r>
    </w:p>
    <w:bookmarkEnd w:id="791"/>
    <w:bookmarkStart w:id="792" w:name="page-723-upper-rik-3-grammar-end"/>
    <w:p>
      <w:pPr>
        <w:pStyle w:val="Heading3"/>
      </w:pPr>
      <w:r>
        <w:t xml:space="preserve">Page 723 (upper) — Rik 3: grammar (end)</w:t>
      </w:r>
    </w:p>
    <w:p>
      <w:pPr>
        <w:pStyle w:val="FirstParagraph"/>
      </w:pPr>
      <w:r>
        <w:rPr>
          <w:iCs/>
          <w:i/>
        </w:rPr>
        <w:t xml:space="preserve">ī</w:t>
      </w:r>
      <w:r>
        <w:t xml:space="preserve"> </w:t>
      </w:r>
      <w:r>
        <w:t xml:space="preserve">+</w:t>
      </w:r>
      <w:r>
        <w:t xml:space="preserve"> </w:t>
      </w:r>
      <w:r>
        <w:rPr>
          <w:iCs/>
          <w:i/>
        </w:rPr>
        <w:t xml:space="preserve">mahi</w:t>
      </w:r>
      <w:r>
        <w:t xml:space="preserve">; by</w:t>
      </w:r>
      <w:r>
        <w:t xml:space="preserve"> </w:t>
      </w:r>
      <w:r>
        <w:rPr>
          <w:iCs/>
          <w:i/>
        </w:rPr>
        <w:t xml:space="preserve">ṭita ātmanepadānām</w:t>
      </w:r>
      <w:r>
        <w:t xml:space="preserve"> </w:t>
      </w:r>
      <w:r>
        <w:rPr>
          <w:iCs/>
          <w:i/>
        </w:rPr>
        <w:t xml:space="preserve">e</w:t>
      </w:r>
      <w:r>
        <w:t xml:space="preserve"> </w:t>
      </w:r>
      <w:r>
        <w:t xml:space="preserve">for the</w:t>
      </w:r>
      <w:r>
        <w:t xml:space="preserve"> </w:t>
      </w:r>
      <w:r>
        <w:rPr>
          <w:iCs/>
          <w:i/>
        </w:rPr>
        <w:t xml:space="preserve">ṭi</w:t>
      </w:r>
      <w:r>
        <w:t xml:space="preserve">; by</w:t>
      </w:r>
      <w:r>
        <w:t xml:space="preserve"> </w:t>
      </w:r>
      <w:r>
        <w:t xml:space="preserve">“</w:t>
      </w:r>
      <w:r>
        <w:t xml:space="preserve">divādibhyaḥ śyan</w:t>
      </w:r>
      <w:r>
        <w:t xml:space="preserve">”</w:t>
      </w:r>
      <w:r>
        <w:t xml:space="preserve"> </w:t>
      </w:r>
      <w:r>
        <w:t xml:space="preserve">(Pā. sū. 3-1-69)</w:t>
      </w:r>
      <w:r>
        <w:t xml:space="preserve"> </w:t>
      </w:r>
      <w:r>
        <w:rPr>
          <w:iCs/>
          <w:i/>
        </w:rPr>
        <w:t xml:space="preserve">śyan</w:t>
      </w:r>
      <w:r>
        <w:t xml:space="preserve">, and by</w:t>
      </w:r>
      <w:r>
        <w:t xml:space="preserve"> </w:t>
      </w:r>
      <w:r>
        <w:t xml:space="preserve">“</w:t>
      </w:r>
      <w:r>
        <w:t xml:space="preserve">bahulaṃ chandasi</w:t>
      </w:r>
      <w:r>
        <w:t xml:space="preserve">”</w:t>
      </w:r>
      <w:r>
        <w:t xml:space="preserve"> </w:t>
      </w:r>
      <w:r>
        <w:t xml:space="preserve">(Pā. sū. 2-4-73) its</w:t>
      </w:r>
      <w:r>
        <w:t xml:space="preserve"> </w:t>
      </w:r>
      <w:r>
        <w:rPr>
          <w:iCs/>
          <w:i/>
        </w:rPr>
        <w:t xml:space="preserve">luk</w:t>
      </w:r>
      <w:r>
        <w:t xml:space="preserve">:</w:t>
      </w:r>
      <w:r>
        <w:t xml:space="preserve"> </w:t>
      </w:r>
      <w:r>
        <w:rPr>
          <w:iCs/>
          <w:i/>
        </w:rPr>
        <w:t xml:space="preserve">īmahe</w:t>
      </w:r>
      <w:r>
        <w:t xml:space="preserve">. By</w:t>
      </w:r>
      <w:r>
        <w:t xml:space="preserve"> </w:t>
      </w:r>
      <w:r>
        <w:rPr>
          <w:iCs/>
          <w:i/>
        </w:rPr>
        <w:t xml:space="preserve">tiṅṅatiṅaḥ</w:t>
      </w:r>
      <w:r>
        <w:t xml:space="preserve"> </w:t>
      </w:r>
      <w:r>
        <w:t xml:space="preserve">it is wholly unaccented.</w:t>
      </w:r>
    </w:p>
    <w:p>
      <w:pPr>
        <w:pStyle w:val="BodyText"/>
      </w:pPr>
      <w:r>
        <w:rPr>
          <w:bCs/>
          <w:b/>
        </w:rPr>
        <w:t xml:space="preserve">॥३॥</w:t>
      </w:r>
    </w:p>
    <w:p>
      <w:r>
        <w:pict>
          <v:rect style="width:0;height:1.5pt" o:hralign="center" o:hrstd="t" o:hr="t"/>
        </w:pict>
      </w:r>
    </w:p>
    <w:bookmarkEnd w:id="792"/>
    <w:bookmarkStart w:id="793" w:name="Xb37f8db69f7a7bdaa880eabfe1a89fe98812c46"/>
    <w:p>
      <w:pPr>
        <w:pStyle w:val="Heading3"/>
      </w:pPr>
      <w:r>
        <w:t xml:space="preserve">Page 723 (lower) — Sūkta 17, Rik 4 (metre</w:t>
      </w:r>
      <w:r>
        <w:t xml:space="preserve"> </w:t>
      </w:r>
      <w:r>
        <w:rPr>
          <w:iCs/>
          <w:i/>
        </w:rPr>
        <w:t xml:space="preserve">pādanicṛt</w:t>
      </w:r>
      <w:r>
        <w:t xml:space="preserve">)</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यु॒वाकु॒ हि शची॑नां यु॒वाकु॑ सुमती॒नाम् ।</w:t>
      </w:r>
      <w:r>
        <w:t xml:space="preserve"> </w:t>
      </w:r>
      <w:r>
        <w:t xml:space="preserve">भू॒याम॑ वाज॒दाव्ना॑म् ॥४॥</w:t>
      </w:r>
    </w:p>
    <w:p>
      <w:pPr>
        <w:pStyle w:val="BlockText"/>
      </w:pPr>
      <w:r>
        <w:rPr>
          <w:iCs/>
          <w:i/>
        </w:rPr>
        <w:t xml:space="preserve">yuvā́ku hí śácīnāṃ yuvā́ku sumatīnā́m |</w:t>
      </w:r>
      <w:r>
        <w:t xml:space="preserve"> </w:t>
      </w:r>
      <w:r>
        <w:rPr>
          <w:iCs/>
          <w:i/>
        </w:rPr>
        <w:t xml:space="preserve">bhūyā́ma vājadā́vnām ||4||</w:t>
      </w:r>
    </w:p>
    <w:p>
      <w:pPr>
        <w:pStyle w:val="FirstParagraph"/>
      </w:pPr>
      <w:r>
        <w:rPr>
          <w:bCs/>
          <w:b/>
        </w:rPr>
        <w:t xml:space="preserve">॥ Pada-pāṭhaḥ ॥</w:t>
      </w:r>
    </w:p>
    <w:p>
      <w:pPr>
        <w:pStyle w:val="BlockText"/>
      </w:pPr>
      <w:r>
        <w:t xml:space="preserve">युवाकु । हि । शचीनाम् । युवाकु । सुऽमतीनाम् ॥</w:t>
      </w:r>
      <w:r>
        <w:t xml:space="preserve"> </w:t>
      </w:r>
      <w:r>
        <w:t xml:space="preserve">भूयाम । वाजऽदाव्नाम् ॥४॥</w:t>
      </w:r>
    </w:p>
    <w:p>
      <w:pPr>
        <w:pStyle w:val="BlockText"/>
      </w:pPr>
      <w:r>
        <w:rPr>
          <w:iCs/>
          <w:i/>
        </w:rPr>
        <w:t xml:space="preserve">yuvāku | hi | śacīnām | yuvāku | su ’matīnām ||</w:t>
      </w:r>
      <w:r>
        <w:t xml:space="preserve"> </w:t>
      </w:r>
      <w:r>
        <w:rPr>
          <w:iCs/>
          <w:i/>
        </w:rPr>
        <w:t xml:space="preserve">bhūyāma | vāja ’dāvnām ||4||</w:t>
      </w:r>
    </w:p>
    <w:p>
      <w:pPr>
        <w:pStyle w:val="FirstParagraph"/>
      </w:pPr>
      <w:r>
        <w:rPr>
          <w:bCs/>
          <w:b/>
        </w:rPr>
        <w:t xml:space="preserve">॥ Sāyaṇa-bhāṣyam ॥</w:t>
      </w:r>
    </w:p>
    <w:p>
      <w:pPr>
        <w:pStyle w:val="BodyText"/>
      </w:pPr>
      <w:r>
        <w:rPr>
          <w:iCs/>
          <w:i/>
        </w:rPr>
        <w:t xml:space="preserve">(The Uṇādi number ३-७७ is read with some doubt; the grammar page has</w:t>
      </w:r>
      <w:r>
        <w:rPr>
          <w:iCs/>
          <w:i/>
        </w:rPr>
        <w:t xml:space="preserve"> </w:t>
      </w:r>
      <w:r>
        <w:rPr>
          <w:iCs/>
          <w:i/>
        </w:rPr>
        <w:t xml:space="preserve">“</w:t>
      </w:r>
      <w:r>
        <w:rPr>
          <w:iCs/>
          <w:i/>
        </w:rPr>
        <w:t xml:space="preserve">3-362</w:t>
      </w:r>
      <w:r>
        <w:rPr>
          <w:iCs/>
          <w:i/>
        </w:rPr>
        <w:t xml:space="preserve">”</w:t>
      </w:r>
      <w:r>
        <w:rPr>
          <w:iCs/>
          <w:i/>
        </w:rPr>
        <w:t xml:space="preserve"> </w:t>
      </w:r>
      <w:r>
        <w:rPr>
          <w:iCs/>
          <w:i/>
        </w:rPr>
        <w:t xml:space="preserve">[?]. वसतीवर्येकधन… is as printed here; the Special Topics print …एकधाना….)</w:t>
      </w:r>
    </w:p>
    <w:p>
      <w:pPr>
        <w:pStyle w:val="BlockText"/>
      </w:pPr>
      <w:r>
        <w:t xml:space="preserve">हि यस्मात्कारणाच्छचीनामस्मदीयकर्मणां संबन्धि सोमरूपं हविर्युवाकु वसतीवर्येकधनात्मकैरुदकैः पयःसक्त्वादिद्रव्यान्तरैश्च मिश्रितम् । तथा सुमतीनां शोभनबुद्धियुक्तानामृत्विजां स्तोत्ररूपं वचनमपि युवाकु नानाविधैः स्तुत्यगुणैर्मिश्रितम् । तस्मात्कारणात् हे इन्द्रावरुणौ तथाविधं हविः स्वीकुर्वतोर्युवयोः प्रसादाद्वयं वाजदाव्नामन्नप्रदानां पुरुषाणां मध्ये मुख्या भूयाम । भवेम । अपोऽप्न इत्यादिषु षड्विंशतिसंख्याकेषु कर्मनामसु शचीशमीति पठितम् ॥ युवाकु । यु मिश्रणे । कटिकुषिभ्यां काकुः । उ. ३-७७ । इत्यत्र बाहुलकाद्यौतेरपि काकुः प्रत्ययः । कित्त्वेन गुणाभावादुकारस्योवङादेशः । प्रत्ययस्वरेण मध्योदात्तत्वम् । शचीशब्दः केषांचिन्मते शार्ङ्गरवादिः । ङीनन्तो नित्त्वादाद्युदात्तः । पा. ४-१-७३ । इत्युभे वनस्पत्यादिषु युगपदित्यत्र । का. ६-२-१४० । वृत्तिकृतोक्तम् । सुमतीनाम् । विद्याम सुमतीनाम् । ऋग्वे. १-४-३ । इत्यत्रोक्तम् । भूयाम । प्रार्थनायां लिङ् । उत्तमबहुवचने नित्यं ङित इति सकारलोपः । यासुट् परस्मैपदेषूदात्तो ङिच्च । पा. ३-४-१०३ । इत्युदात्तो यासुडागमः । लिङः सलोपोऽनन्त्यस्य । पा. ७-२-७९ । इति सकारलोपः । बहुलं छन्दसीति शपो लुक् । सतिशिष्टत्वाद्यासुडुदात्त एव शिष्यते । वाजदाव्नाम् । वाजं ददातीति वाजदावानः । आतो मनि-</w:t>
      </w:r>
    </w:p>
    <w:p>
      <w:pPr>
        <w:pStyle w:val="BlockText"/>
      </w:pPr>
      <w:r>
        <w:rPr>
          <w:iCs/>
          <w:i/>
        </w:rPr>
        <w:t xml:space="preserve">hi yasmātkāraṇācchacīnāmasmadīyakarmaṇāṃ saṃbandhi somarūpaṃ haviryuvāku vasatīvaryekadhanātmakairudakaiḥ payaḥsaktvādidravyāntaraiśca miśritam | tathā sumatīnāṃ śobhanabuddhiyuktānāmṛtvijāṃ stotrarūpaṃ vacanamapi yuvāku nānāvidhaiḥ stutyaguṇairmiśritam | tasmātkāraṇāt he indrāvaruṇau tathāvidhaṃ haviḥ svīkurvatoryuvayoḥ prasādādvayaṃ vājadāvnāmannapradānāṃ puruṣāṇāṃ madhye mukhyā bhūyāma | bhavema | apo ’pna ityādiṣu ṣaḍviṃśatisaṃkhyākeṣu karmanāmasu śacīśamīti paṭhitam || yuvāku | yu miśraṇe | kaṭikuṣibhyāṃ kākuḥ | u. 3-77 | ityatra bāhulakādyauterapi kākuḥ pratyayaḥ | kittvena guṇābhāvādukārasyovaṅādeśaḥ | pratyayasvareṇa madhyodāttatvam | śacīśabdaḥ keṣāṃcinmate śārṅgaravādiḥ | ṅīnanto nittvādādyudāttaḥ | pā. 4-1-73 | ityubhe vanaspatyādiṣu yugapadityatra | kā. 6-2-140 | vṛttikṛtoktam | sumatīnām | vidyāma sumatīnām | ṛgve. 1-4-3 | ityatroktam | bhūyāma | prārthanāyāṃ liṅ | uttamabahuvacane nityaṃ ṅita iti sakāralopaḥ | yāsuṭ parasmaipadeṣūdātto ṅicca | pā. 3-4-103 | ityudātto yāsuḍāgamaḥ | liṅaḥ salopo ’nantyasya | pā. 7-2-79 | iti sakāralopaḥ | bahulaṃ chandasīti śapo luk | satiśiṣṭatvādyāsuḍudātta eva śiṣyate | vājadāvnām | vājaṃ dadātīti vājadāvānaḥ | āto mani-</w:t>
      </w:r>
    </w:p>
    <w:bookmarkEnd w:id="793"/>
    <w:bookmarkStart w:id="794" w:name="X34f054121e792841c645fbe9100c5064ccd7ef8"/>
    <w:p>
      <w:pPr>
        <w:pStyle w:val="Heading3"/>
      </w:pPr>
      <w:r>
        <w:t xml:space="preserve">Page 724 — Rik 4: bhāṣya (end), word-meanings, overall sense, English, Special Topics</w:t>
      </w:r>
    </w:p>
    <w:p>
      <w:pPr>
        <w:pStyle w:val="BlockText"/>
      </w:pPr>
      <w:r>
        <w:t xml:space="preserve">न्नित्यादिना वनिप् । तस्य पित्त्वाद्धातुस्वर एव शिष्यते । समासे कृदुत्तरपदप्रकृतिस्वरत्वेन स एव शिष्यते । अल्लोपोऽनः । पा. ६-४-१३४ । इत्यकारलोपः । तस्याचः परस्मिन्निति स्थानिवद्भावाल्लोपो व्योर्वलीति वकारलोपो न भवति ॥</w:t>
      </w:r>
    </w:p>
    <w:p>
      <w:pPr>
        <w:pStyle w:val="BlockText"/>
      </w:pPr>
      <w:r>
        <w:rPr>
          <w:iCs/>
          <w:i/>
        </w:rPr>
        <w:t xml:space="preserve">nnityādinā vanip | tasya pittvāddhātusvara eva śiṣyate | samāse kṛduttarapadaprakṛtisvaratvena sa eva śiṣyate | allopo ’naḥ | pā. 6-4-134 | ityakāralopaḥ | tasyācaḥ parasminniti sthānivadbhāvāllopo vyorvalīti vakāralopo na bhavati ||</w:t>
      </w:r>
    </w:p>
    <w:p>
      <w:pPr>
        <w:pStyle w:val="FirstParagraph"/>
      </w:pPr>
      <w:r>
        <w:rPr>
          <w:bCs/>
          <w:b/>
        </w:rPr>
        <w:t xml:space="preserve">Translation:</w:t>
      </w:r>
      <w:r>
        <w:t xml:space="preserve"> </w:t>
      </w:r>
      <w:r>
        <w:t xml:space="preserve">“</w:t>
      </w:r>
      <w:r>
        <w:t xml:space="preserve">Because the oblation in the form of soma belonging to</w:t>
      </w:r>
      <w:r>
        <w:t xml:space="preserve"> </w:t>
      </w:r>
      <w:r>
        <w:rPr>
          <w:iCs/>
          <w:i/>
        </w:rPr>
        <w:t xml:space="preserve">śacīnām</w:t>
      </w:r>
      <w:r>
        <w:t xml:space="preserve">, our rites, is</w:t>
      </w:r>
      <w:r>
        <w:t xml:space="preserve"> </w:t>
      </w:r>
      <w:r>
        <w:rPr>
          <w:iCs/>
          <w:i/>
        </w:rPr>
        <w:t xml:space="preserve">yuvāku</w:t>
      </w:r>
      <w:r>
        <w:t xml:space="preserve">, mixed with waters, the</w:t>
      </w:r>
      <w:r>
        <w:t xml:space="preserve"> </w:t>
      </w:r>
      <w:r>
        <w:rPr>
          <w:iCs/>
          <w:i/>
        </w:rPr>
        <w:t xml:space="preserve">vasatīvarī</w:t>
      </w:r>
      <w:r>
        <w:t xml:space="preserve"> </w:t>
      </w:r>
      <w:r>
        <w:t xml:space="preserve">and</w:t>
      </w:r>
      <w:r>
        <w:t xml:space="preserve"> </w:t>
      </w:r>
      <w:r>
        <w:rPr>
          <w:iCs/>
          <w:i/>
        </w:rPr>
        <w:t xml:space="preserve">ekadhana</w:t>
      </w:r>
      <w:r>
        <w:t xml:space="preserve">, and with other substances such as milk and barley meal; and likewise the speech in the form of praise of the priests</w:t>
      </w:r>
      <w:r>
        <w:t xml:space="preserve"> </w:t>
      </w:r>
      <w:r>
        <w:rPr>
          <w:iCs/>
          <w:i/>
        </w:rPr>
        <w:t xml:space="preserve">sumatīnām</w:t>
      </w:r>
      <w:r>
        <w:t xml:space="preserve">, with good minds, is</w:t>
      </w:r>
      <w:r>
        <w:t xml:space="preserve"> </w:t>
      </w:r>
      <w:r>
        <w:rPr>
          <w:iCs/>
          <w:i/>
        </w:rPr>
        <w:t xml:space="preserve">yuvāku</w:t>
      </w:r>
      <w:r>
        <w:t xml:space="preserve">, mixed with various qualities to be praised; for that reason, O Indra and Varuṇa, by the grace of you two who accept such an oblation, may we</w:t>
      </w:r>
      <w:r>
        <w:t xml:space="preserve"> </w:t>
      </w:r>
      <w:r>
        <w:rPr>
          <w:iCs/>
          <w:i/>
        </w:rPr>
        <w:t xml:space="preserve">bhūyāma</w:t>
      </w:r>
      <w:r>
        <w:t xml:space="preserve">, become, chief among</w:t>
      </w:r>
      <w:r>
        <w:t xml:space="preserve"> </w:t>
      </w:r>
      <w:r>
        <w:rPr>
          <w:iCs/>
          <w:i/>
        </w:rPr>
        <w:t xml:space="preserve">vājadāvnām</w:t>
      </w:r>
      <w:r>
        <w:t xml:space="preserve">, men who give food.</w:t>
      </w:r>
      <w:r>
        <w:t xml:space="preserve"> </w:t>
      </w:r>
      <w:r>
        <w:rPr>
          <w:iCs/>
          <w:i/>
        </w:rPr>
        <w:t xml:space="preserve">Śacī</w:t>
      </w:r>
      <w:r>
        <w:t xml:space="preserve"> </w:t>
      </w:r>
      <w:r>
        <w:t xml:space="preserve">is read among the twenty-six action words beginning</w:t>
      </w:r>
      <w:r>
        <w:t xml:space="preserve"> </w:t>
      </w:r>
      <w:r>
        <w:rPr>
          <w:iCs/>
          <w:i/>
        </w:rPr>
        <w:t xml:space="preserve">apaḥ</w:t>
      </w:r>
      <w:r>
        <w:t xml:space="preserve">,</w:t>
      </w:r>
      <w:r>
        <w:t xml:space="preserve"> </w:t>
      </w:r>
      <w:r>
        <w:rPr>
          <w:iCs/>
          <w:i/>
        </w:rPr>
        <w:t xml:space="preserve">apnaḥ</w:t>
      </w:r>
      <w:r>
        <w:t xml:space="preserve">.</w:t>
      </w:r>
      <w:r>
        <w:t xml:space="preserve">”</w:t>
      </w:r>
      <w:r>
        <w:t xml:space="preserve"> </w:t>
      </w:r>
      <w:r>
        <w:t xml:space="preserve">(Grammatical tail:</w:t>
      </w:r>
      <w:r>
        <w:t xml:space="preserve"> </w:t>
      </w:r>
      <w:r>
        <w:rPr>
          <w:iCs/>
          <w:i/>
        </w:rPr>
        <w:t xml:space="preserve">yuvāku</w:t>
      </w:r>
      <w:r>
        <w:t xml:space="preserve">,</w:t>
      </w:r>
      <w:r>
        <w:t xml:space="preserve"> </w:t>
      </w:r>
      <w:r>
        <w:rPr>
          <w:iCs/>
          <w:i/>
        </w:rPr>
        <w:t xml:space="preserve">yu miśraṇe</w:t>
      </w:r>
      <w:r>
        <w:t xml:space="preserve">, the suffix</w:t>
      </w:r>
      <w:r>
        <w:t xml:space="preserve"> </w:t>
      </w:r>
      <w:r>
        <w:rPr>
          <w:iCs/>
          <w:i/>
        </w:rPr>
        <w:t xml:space="preserve">kāku</w:t>
      </w:r>
      <w:r>
        <w:t xml:space="preserve"> </w:t>
      </w:r>
      <w:r>
        <w:t xml:space="preserve">of</w:t>
      </w:r>
      <w:r>
        <w:t xml:space="preserve"> </w:t>
      </w:r>
      <w:r>
        <w:rPr>
          <w:iCs/>
          <w:i/>
        </w:rPr>
        <w:t xml:space="preserve">kaṭikuṣibhyāṃ kākuḥ</w:t>
      </w:r>
      <w:r>
        <w:t xml:space="preserve"> </w:t>
      </w:r>
      <w:r>
        <w:t xml:space="preserve">(Uṇ. 3-77 [?]) after</w:t>
      </w:r>
      <w:r>
        <w:t xml:space="preserve"> </w:t>
      </w:r>
      <w:r>
        <w:rPr>
          <w:iCs/>
          <w:i/>
        </w:rPr>
        <w:t xml:space="preserve">yu</w:t>
      </w:r>
      <w:r>
        <w:t xml:space="preserve"> </w:t>
      </w:r>
      <w:r>
        <w:t xml:space="preserve">too by</w:t>
      </w:r>
      <w:r>
        <w:t xml:space="preserve"> </w:t>
      </w:r>
      <w:r>
        <w:rPr>
          <w:iCs/>
          <w:i/>
        </w:rPr>
        <w:t xml:space="preserve">bāhulaka</w:t>
      </w:r>
      <w:r>
        <w:t xml:space="preserve">, no</w:t>
      </w:r>
      <w:r>
        <w:t xml:space="preserve"> </w:t>
      </w:r>
      <w:r>
        <w:rPr>
          <w:iCs/>
          <w:i/>
        </w:rPr>
        <w:t xml:space="preserve">guṇa</w:t>
      </w:r>
      <w:r>
        <w:t xml:space="preserve"> </w:t>
      </w:r>
      <w:r>
        <w:t xml:space="preserve">as it is</w:t>
      </w:r>
      <w:r>
        <w:t xml:space="preserve"> </w:t>
      </w:r>
      <w:r>
        <w:rPr>
          <w:iCs/>
          <w:i/>
        </w:rPr>
        <w:t xml:space="preserve">kit</w:t>
      </w:r>
      <w:r>
        <w:t xml:space="preserve">,</w:t>
      </w:r>
      <w:r>
        <w:t xml:space="preserve"> </w:t>
      </w:r>
      <w:r>
        <w:rPr>
          <w:iCs/>
          <w:i/>
        </w:rPr>
        <w:t xml:space="preserve">uvaṅ</w:t>
      </w:r>
      <w:r>
        <w:t xml:space="preserve"> </w:t>
      </w:r>
      <w:r>
        <w:t xml:space="preserve">for the</w:t>
      </w:r>
      <w:r>
        <w:t xml:space="preserve"> </w:t>
      </w:r>
      <w:r>
        <w:rPr>
          <w:iCs/>
          <w:i/>
        </w:rPr>
        <w:t xml:space="preserve">u</w:t>
      </w:r>
      <w:r>
        <w:t xml:space="preserve">, middle udātta by the suffix accent;</w:t>
      </w:r>
      <w:r>
        <w:t xml:space="preserve"> </w:t>
      </w:r>
      <w:r>
        <w:rPr>
          <w:iCs/>
          <w:i/>
        </w:rPr>
        <w:t xml:space="preserve">śacī</w:t>
      </w:r>
      <w:r>
        <w:t xml:space="preserve">, in some views of the</w:t>
      </w:r>
      <w:r>
        <w:t xml:space="preserve"> </w:t>
      </w:r>
      <w:r>
        <w:rPr>
          <w:iCs/>
          <w:i/>
        </w:rPr>
        <w:t xml:space="preserve">śārṅgarava-ādi</w:t>
      </w:r>
      <w:r>
        <w:t xml:space="preserve">, ending in</w:t>
      </w:r>
      <w:r>
        <w:t xml:space="preserve"> </w:t>
      </w:r>
      <w:r>
        <w:rPr>
          <w:iCs/>
          <w:i/>
        </w:rPr>
        <w:t xml:space="preserve">ṅīn</w:t>
      </w:r>
      <w:r>
        <w:t xml:space="preserve">, initial udātta as</w:t>
      </w:r>
      <w:r>
        <w:t xml:space="preserve"> </w:t>
      </w:r>
      <w:r>
        <w:rPr>
          <w:iCs/>
          <w:i/>
        </w:rPr>
        <w:t xml:space="preserve">nit</w:t>
      </w:r>
      <w:r>
        <w:t xml:space="preserve"> </w:t>
      </w:r>
      <w:r>
        <w:t xml:space="preserve">(Pā. 4-1-73), as the Vṛtti says on</w:t>
      </w:r>
      <w:r>
        <w:t xml:space="preserve"> </w:t>
      </w:r>
      <w:r>
        <w:rPr>
          <w:iCs/>
          <w:i/>
        </w:rPr>
        <w:t xml:space="preserve">ubhe vanaspatyādiṣu yugapat</w:t>
      </w:r>
      <w:r>
        <w:t xml:space="preserve"> </w:t>
      </w:r>
      <w:r>
        <w:t xml:space="preserve">(Kā. 6-2-140);</w:t>
      </w:r>
      <w:r>
        <w:t xml:space="preserve"> </w:t>
      </w:r>
      <w:r>
        <w:rPr>
          <w:iCs/>
          <w:i/>
        </w:rPr>
        <w:t xml:space="preserve">sumatīnām</w:t>
      </w:r>
      <w:r>
        <w:t xml:space="preserve">, explained at Ṛgveda 1-4-3;</w:t>
      </w:r>
      <w:r>
        <w:t xml:space="preserve"> </w:t>
      </w:r>
      <w:r>
        <w:rPr>
          <w:iCs/>
          <w:i/>
        </w:rPr>
        <w:t xml:space="preserve">bhūyāma</w:t>
      </w:r>
      <w:r>
        <w:t xml:space="preserve">,</w:t>
      </w:r>
      <w:r>
        <w:t xml:space="preserve"> </w:t>
      </w:r>
      <w:r>
        <w:rPr>
          <w:iCs/>
          <w:i/>
        </w:rPr>
        <w:t xml:space="preserve">liṅ</w:t>
      </w:r>
      <w:r>
        <w:t xml:space="preserve"> </w:t>
      </w:r>
      <w:r>
        <w:t xml:space="preserve">of prayer, the</w:t>
      </w:r>
      <w:r>
        <w:t xml:space="preserve"> </w:t>
      </w:r>
      <w:r>
        <w:rPr>
          <w:iCs/>
          <w:i/>
        </w:rPr>
        <w:t xml:space="preserve">s</w:t>
      </w:r>
      <w:r>
        <w:t xml:space="preserve"> </w:t>
      </w:r>
      <w:r>
        <w:t xml:space="preserve">lost by</w:t>
      </w:r>
      <w:r>
        <w:t xml:space="preserve"> </w:t>
      </w:r>
      <w:r>
        <w:rPr>
          <w:iCs/>
          <w:i/>
        </w:rPr>
        <w:t xml:space="preserve">nityaṃ ṅitaḥ</w:t>
      </w:r>
      <w:r>
        <w:t xml:space="preserve">, the udātta augment</w:t>
      </w:r>
      <w:r>
        <w:t xml:space="preserve"> </w:t>
      </w:r>
      <w:r>
        <w:rPr>
          <w:iCs/>
          <w:i/>
        </w:rPr>
        <w:t xml:space="preserve">yāsuṭ</w:t>
      </w:r>
      <w:r>
        <w:t xml:space="preserve"> </w:t>
      </w:r>
      <w:r>
        <w:t xml:space="preserve">by Pā. 3-4-103, the</w:t>
      </w:r>
      <w:r>
        <w:t xml:space="preserve"> </w:t>
      </w:r>
      <w:r>
        <w:rPr>
          <w:iCs/>
          <w:i/>
        </w:rPr>
        <w:t xml:space="preserve">s</w:t>
      </w:r>
      <w:r>
        <w:t xml:space="preserve"> </w:t>
      </w:r>
      <w:r>
        <w:t xml:space="preserve">lost by Pā. 7-2-79,</w:t>
      </w:r>
      <w:r>
        <w:t xml:space="preserve"> </w:t>
      </w:r>
      <w:r>
        <w:rPr>
          <w:iCs/>
          <w:i/>
        </w:rPr>
        <w:t xml:space="preserve">śap</w:t>
      </w:r>
      <w:r>
        <w:t xml:space="preserve"> </w:t>
      </w:r>
      <w:r>
        <w:t xml:space="preserve">dropped by</w:t>
      </w:r>
      <w:r>
        <w:t xml:space="preserve"> </w:t>
      </w:r>
      <w:r>
        <w:rPr>
          <w:iCs/>
          <w:i/>
        </w:rPr>
        <w:t xml:space="preserve">bahulaṃ chandasi</w:t>
      </w:r>
      <w:r>
        <w:t xml:space="preserve">, the udātta of</w:t>
      </w:r>
      <w:r>
        <w:t xml:space="preserve"> </w:t>
      </w:r>
      <w:r>
        <w:rPr>
          <w:iCs/>
          <w:i/>
        </w:rPr>
        <w:t xml:space="preserve">yāsuṭ</w:t>
      </w:r>
      <w:r>
        <w:t xml:space="preserve"> </w:t>
      </w:r>
      <w:r>
        <w:t xml:space="preserve">stays as</w:t>
      </w:r>
      <w:r>
        <w:t xml:space="preserve"> </w:t>
      </w:r>
      <w:r>
        <w:rPr>
          <w:iCs/>
          <w:i/>
        </w:rPr>
        <w:t xml:space="preserve">satiśiṣṭa</w:t>
      </w:r>
      <w:r>
        <w:t xml:space="preserve">;</w:t>
      </w:r>
      <w:r>
        <w:t xml:space="preserve"> </w:t>
      </w:r>
      <w:r>
        <w:rPr>
          <w:iCs/>
          <w:i/>
        </w:rPr>
        <w:t xml:space="preserve">vājadāvnām</w:t>
      </w:r>
      <w:r>
        <w:t xml:space="preserve">,</w:t>
      </w:r>
      <w:r>
        <w:t xml:space="preserve"> </w:t>
      </w:r>
      <w:r>
        <w:t xml:space="preserve">“</w:t>
      </w:r>
      <w:r>
        <w:t xml:space="preserve">they give</w:t>
      </w:r>
      <w:r>
        <w:t xml:space="preserve"> </w:t>
      </w:r>
      <w:r>
        <w:rPr>
          <w:iCs/>
          <w:i/>
        </w:rPr>
        <w:t xml:space="preserve">vāja</w:t>
      </w:r>
      <w:r>
        <w:t xml:space="preserve">”</w:t>
      </w:r>
      <w:r>
        <w:t xml:space="preserve">,</w:t>
      </w:r>
      <w:r>
        <w:t xml:space="preserve"> </w:t>
      </w:r>
      <w:r>
        <w:rPr>
          <w:iCs/>
          <w:i/>
        </w:rPr>
        <w:t xml:space="preserve">vanip</w:t>
      </w:r>
      <w:r>
        <w:t xml:space="preserve"> </w:t>
      </w:r>
      <w:r>
        <w:t xml:space="preserve">by</w:t>
      </w:r>
      <w:r>
        <w:t xml:space="preserve"> </w:t>
      </w:r>
      <w:r>
        <w:rPr>
          <w:iCs/>
          <w:i/>
        </w:rPr>
        <w:t xml:space="preserve">āto maninn…</w:t>
      </w:r>
      <w:r>
        <w:t xml:space="preserve">, the root accent as it is</w:t>
      </w:r>
      <w:r>
        <w:t xml:space="preserve"> </w:t>
      </w:r>
      <w:r>
        <w:rPr>
          <w:iCs/>
          <w:i/>
        </w:rPr>
        <w:t xml:space="preserve">pit</w:t>
      </w:r>
      <w:r>
        <w:t xml:space="preserve">, which stays in the compound by the accent of the</w:t>
      </w:r>
      <w:r>
        <w:t xml:space="preserve"> </w:t>
      </w:r>
      <w:r>
        <w:rPr>
          <w:iCs/>
          <w:i/>
        </w:rPr>
        <w:t xml:space="preserve">kṛt</w:t>
      </w:r>
      <w:r>
        <w:t xml:space="preserve"> </w:t>
      </w:r>
      <w:r>
        <w:t xml:space="preserve">final member; the</w:t>
      </w:r>
      <w:r>
        <w:t xml:space="preserve"> </w:t>
      </w:r>
      <w:r>
        <w:rPr>
          <w:iCs/>
          <w:i/>
        </w:rPr>
        <w:t xml:space="preserve">a</w:t>
      </w:r>
      <w:r>
        <w:t xml:space="preserve"> </w:t>
      </w:r>
      <w:r>
        <w:t xml:space="preserve">lost by Pā. 6-4-134, and since that loss is</w:t>
      </w:r>
      <w:r>
        <w:t xml:space="preserve"> </w:t>
      </w:r>
      <w:r>
        <w:rPr>
          <w:iCs/>
          <w:i/>
        </w:rPr>
        <w:t xml:space="preserve">sthānivat</w:t>
      </w:r>
      <w:r>
        <w:t xml:space="preserve"> </w:t>
      </w:r>
      <w:r>
        <w:t xml:space="preserve">by</w:t>
      </w:r>
      <w:r>
        <w:t xml:space="preserve"> </w:t>
      </w:r>
      <w:r>
        <w:rPr>
          <w:iCs/>
          <w:i/>
        </w:rPr>
        <w:t xml:space="preserve">acaḥ parasmin</w:t>
      </w:r>
      <w:r>
        <w:t xml:space="preserve">, the</w:t>
      </w:r>
      <w:r>
        <w:t xml:space="preserve"> </w:t>
      </w:r>
      <w:r>
        <w:rPr>
          <w:iCs/>
          <w:i/>
        </w:rPr>
        <w:t xml:space="preserve">v</w:t>
      </w:r>
      <w:r>
        <w:t xml:space="preserve"> </w:t>
      </w:r>
      <w:r>
        <w:t xml:space="preserve">is not lost by</w:t>
      </w:r>
      <w:r>
        <w:t xml:space="preserve"> </w:t>
      </w:r>
      <w:r>
        <w:rPr>
          <w:iCs/>
          <w:i/>
        </w:rPr>
        <w:t xml:space="preserve">lopo vyor vali</w:t>
      </w:r>
      <w:r>
        <w:t xml:space="preserve">.)</w:t>
      </w:r>
    </w:p>
    <w:p>
      <w:pPr>
        <w:pStyle w:val="BodyText"/>
      </w:pPr>
      <w:r>
        <w:rPr>
          <w:bCs/>
          <w:b/>
        </w:rPr>
        <w:t xml:space="preserve">॥ Prati-padārthaḥ ॥</w:t>
      </w:r>
    </w:p>
    <w:p>
      <w:pPr>
        <w:pStyle w:val="BodyText"/>
      </w:pPr>
      <w:r>
        <w:rPr>
          <w:bCs/>
          <w:b/>
        </w:rPr>
        <w:t xml:space="preserve">हि (hi)</w:t>
      </w:r>
      <w:r>
        <w:t xml:space="preserve"> </w:t>
      </w:r>
      <w:r>
        <w:t xml:space="preserve">— because |</w:t>
      </w:r>
      <w:r>
        <w:t xml:space="preserve"> </w:t>
      </w:r>
      <w:r>
        <w:rPr>
          <w:bCs/>
          <w:b/>
        </w:rPr>
        <w:t xml:space="preserve">शचीनाम् (śacīnām)</w:t>
      </w:r>
      <w:r>
        <w:t xml:space="preserve"> </w:t>
      </w:r>
      <w:r>
        <w:t xml:space="preserve">— of the rites (we perform) (the oblation in the form of soma belonging to them) |</w:t>
      </w:r>
      <w:r>
        <w:t xml:space="preserve"> </w:t>
      </w:r>
      <w:r>
        <w:rPr>
          <w:bCs/>
          <w:b/>
        </w:rPr>
        <w:t xml:space="preserve">युवाकु (yuvāku)</w:t>
      </w:r>
      <w:r>
        <w:t xml:space="preserve"> </w:t>
      </w:r>
      <w:r>
        <w:t xml:space="preserve">— is joined with substances such as milk and barley meal |</w:t>
      </w:r>
      <w:r>
        <w:t xml:space="preserve"> </w:t>
      </w:r>
      <w:r>
        <w:rPr>
          <w:bCs/>
          <w:b/>
        </w:rPr>
        <w:t xml:space="preserve">सुमतीनाम् (sumatīnām)</w:t>
      </w:r>
      <w:r>
        <w:t xml:space="preserve"> </w:t>
      </w:r>
      <w:r>
        <w:t xml:space="preserve">— of those with pure minds (the praise of the priests) |</w:t>
      </w:r>
      <w:r>
        <w:t xml:space="preserve"> </w:t>
      </w:r>
      <w:r>
        <w:rPr>
          <w:bCs/>
          <w:b/>
        </w:rPr>
        <w:t xml:space="preserve">युवाकु (yuvāku)</w:t>
      </w:r>
      <w:r>
        <w:t xml:space="preserve"> </w:t>
      </w:r>
      <w:r>
        <w:t xml:space="preserve">— is joined with the various qualities (that hymns should have) (so we) |</w:t>
      </w:r>
      <w:r>
        <w:t xml:space="preserve"> </w:t>
      </w:r>
      <w:r>
        <w:rPr>
          <w:bCs/>
          <w:b/>
        </w:rPr>
        <w:t xml:space="preserve">वाजदाव्नाम् (vājadāvnām)</w:t>
      </w:r>
      <w:r>
        <w:t xml:space="preserve"> </w:t>
      </w:r>
      <w:r>
        <w:t xml:space="preserve">— among those who give food (oblations) (as foremost) |</w:t>
      </w:r>
      <w:r>
        <w:t xml:space="preserve"> </w:t>
      </w:r>
      <w:r>
        <w:rPr>
          <w:bCs/>
          <w:b/>
        </w:rPr>
        <w:t xml:space="preserve">भूयाम (bhūyāma)</w:t>
      </w:r>
      <w:r>
        <w:t xml:space="preserve"> </w:t>
      </w:r>
      <w:r>
        <w:t xml:space="preserve">— may we be (by the grace of you who have accepted the oblation we gave).</w:t>
      </w:r>
    </w:p>
    <w:p>
      <w:pPr>
        <w:pStyle w:val="BodyText"/>
      </w:pPr>
      <w:r>
        <w:rPr>
          <w:bCs/>
          <w:b/>
        </w:rPr>
        <w:t xml:space="preserve">॥ Bhāvārthaḥ ॥</w:t>
      </w:r>
    </w:p>
    <w:p>
      <w:pPr>
        <w:pStyle w:val="BodyText"/>
      </w:pPr>
      <w:r>
        <w:t xml:space="preserve">What we offer you as oblation is joined with substances such as milk and barley meal, and the priests praise you as possessed of various excellent qualities. Pleased by both, you should make us chief, or best, among the givers of food.</w:t>
      </w:r>
    </w:p>
    <w:p>
      <w:pPr>
        <w:pStyle w:val="BodyText"/>
      </w:pPr>
      <w:r>
        <w:rPr>
          <w:bCs/>
          <w:b/>
        </w:rPr>
        <w:t xml:space="preserve">॥ English Translation ॥</w:t>
      </w:r>
      <w:r>
        <w:t xml:space="preserve"> </w:t>
      </w:r>
      <w:r>
        <w:rPr>
          <w:iCs/>
          <w:i/>
        </w:rPr>
        <w:t xml:space="preserve">(as printed in the source)</w:t>
      </w:r>
    </w:p>
    <w:p>
      <w:pPr>
        <w:pStyle w:val="BlockText"/>
      </w:pPr>
      <w:r>
        <w:t xml:space="preserve">The mingled libations of our pious rites, the different praises of our right-minded priests are prepared; may we be included among the givers of food.</w:t>
      </w:r>
    </w:p>
    <w:p>
      <w:pPr>
        <w:pStyle w:val="FirstParagraph"/>
      </w:pPr>
      <w:r>
        <w:rPr>
          <w:bCs/>
          <w:b/>
        </w:rPr>
        <w:t xml:space="preserve">॥ Viśeṣa-viṣayagaḷu (Special Topics) ॥</w:t>
      </w:r>
    </w:p>
    <w:p>
      <w:pPr>
        <w:pStyle w:val="BodyText"/>
      </w:pPr>
      <w:r>
        <w:rPr>
          <w:bCs/>
          <w:b/>
        </w:rPr>
        <w:t xml:space="preserve">Yuvāku</w:t>
      </w:r>
      <w:r>
        <w:t xml:space="preserve">:</w:t>
      </w:r>
    </w:p>
    <w:p>
      <w:pPr>
        <w:pStyle w:val="BlockText"/>
      </w:pPr>
      <w:r>
        <w:t xml:space="preserve">वसतीवर्येकधानात्मकैरुदकैः पयःसक्त्वादिद्रव्यान्तरैश्च मिश्रितम् ।</w:t>
      </w:r>
    </w:p>
    <w:p>
      <w:pPr>
        <w:pStyle w:val="BlockText"/>
      </w:pPr>
      <w:r>
        <w:rPr>
          <w:iCs/>
          <w:i/>
        </w:rPr>
        <w:t xml:space="preserve">vasatīvaryekadhānātmakairudakaiḥ payaḥsaktvādidravyāntaraiśca miśritam |</w:t>
      </w:r>
    </w:p>
    <w:p>
      <w:pPr>
        <w:pStyle w:val="FirstParagraph"/>
      </w:pPr>
      <w:r>
        <w:t xml:space="preserve">The commentator here explains this word as the oblation made ready for the homa by mixing water, milk and barley meal (flour). For the word</w:t>
      </w:r>
      <w:r>
        <w:t xml:space="preserve"> </w:t>
      </w:r>
      <w:r>
        <w:rPr>
          <w:iCs/>
          <w:i/>
        </w:rPr>
        <w:t xml:space="preserve">yuvāku</w:t>
      </w:r>
      <w:r>
        <w:t xml:space="preserve"> </w:t>
      </w:r>
      <w:r>
        <w:t xml:space="preserve">in its second occurrence he explains it as a mixture of hymns, or a collection of various hymns. Further, in the ṛk</w:t>
      </w:r>
    </w:p>
    <w:p>
      <w:pPr>
        <w:pStyle w:val="BlockText"/>
      </w:pPr>
      <w:r>
        <w:t xml:space="preserve">अश्विना मधुषुत्तमो युवाकुः सोमस्तं पातमा गतं दुरोणे । (ऋ. सं. ३-५८-९)</w:t>
      </w:r>
    </w:p>
    <w:p>
      <w:pPr>
        <w:pStyle w:val="BlockText"/>
      </w:pPr>
      <w:r>
        <w:rPr>
          <w:iCs/>
          <w:i/>
        </w:rPr>
        <w:t xml:space="preserve">aśvinā madhuṣuttamo yuvākuḥ somastaṃ pātamā gataṃ duroṇe | (ṛ. saṃ. 3-58-9)</w:t>
      </w:r>
    </w:p>
    <w:p>
      <w:pPr>
        <w:pStyle w:val="FirstParagraph"/>
      </w:pPr>
      <w:r>
        <w:t xml:space="preserve">(</w:t>
      </w:r>
      <w:r>
        <w:t xml:space="preserve">“</w:t>
      </w:r>
      <w:r>
        <w:t xml:space="preserve">Aśvins, the soma sweetest-pressed is</w:t>
      </w:r>
      <w:r>
        <w:t xml:space="preserve"> </w:t>
      </w:r>
      <w:r>
        <w:rPr>
          <w:iCs/>
          <w:i/>
        </w:rPr>
        <w:t xml:space="preserve">yuvāku</w:t>
      </w:r>
      <w:r>
        <w:t xml:space="preserve">; drink it, come to the house</w:t>
      </w:r>
      <w:r>
        <w:t xml:space="preserve">”</w:t>
      </w:r>
      <w:r>
        <w:t xml:space="preserve">: mine and tentative.)</w:t>
      </w:r>
    </w:p>
    <w:bookmarkEnd w:id="794"/>
    <w:bookmarkStart w:id="795" w:name="page-725-rik-4-special-topics"/>
    <w:p>
      <w:pPr>
        <w:pStyle w:val="Heading3"/>
      </w:pPr>
      <w:r>
        <w:t xml:space="preserve">Page 725 — Rik 4: Special Topics</w:t>
      </w:r>
    </w:p>
    <w:p>
      <w:pPr>
        <w:pStyle w:val="FirstParagraph"/>
      </w:pPr>
      <w:r>
        <w:t xml:space="preserve">for the word</w:t>
      </w:r>
      <w:r>
        <w:t xml:space="preserve"> </w:t>
      </w:r>
      <w:r>
        <w:rPr>
          <w:iCs/>
          <w:i/>
        </w:rPr>
        <w:t xml:space="preserve">yuvākuḥ</w:t>
      </w:r>
      <w:r>
        <w:t xml:space="preserve"> </w:t>
      </w:r>
      <w:r>
        <w:t xml:space="preserve">in it,</w:t>
      </w:r>
    </w:p>
    <w:p>
      <w:pPr>
        <w:pStyle w:val="BlockText"/>
      </w:pPr>
      <w:r>
        <w:t xml:space="preserve">युवां कामयमानो वर्तते । यद्वा युवाकुर्वसतीवरीप्रभृतिभिर्मिश्रित इत्यर्थः ॥</w:t>
      </w:r>
    </w:p>
    <w:p>
      <w:pPr>
        <w:pStyle w:val="BlockText"/>
      </w:pPr>
      <w:r>
        <w:rPr>
          <w:iCs/>
          <w:i/>
        </w:rPr>
        <w:t xml:space="preserve">yuvāṃ kāmayamāno vartate | yadvā yuvākurvasatīvarīprabhṛtibhirmiśrita ityarthaḥ ||</w:t>
      </w:r>
    </w:p>
    <w:p>
      <w:pPr>
        <w:pStyle w:val="FirstParagraph"/>
      </w:pPr>
      <w:r>
        <w:t xml:space="preserve">(</w:t>
      </w:r>
      <w:r>
        <w:t xml:space="preserve">“</w:t>
      </w:r>
      <w:r>
        <w:t xml:space="preserve">It is there desiring you two; or,</w:t>
      </w:r>
      <w:r>
        <w:t xml:space="preserve"> </w:t>
      </w:r>
      <w:r>
        <w:rPr>
          <w:iCs/>
          <w:i/>
        </w:rPr>
        <w:t xml:space="preserve">yuvākuḥ</w:t>
      </w:r>
      <w:r>
        <w:t xml:space="preserve"> </w:t>
      </w:r>
      <w:r>
        <w:t xml:space="preserve">means mixed with the</w:t>
      </w:r>
      <w:r>
        <w:t xml:space="preserve"> </w:t>
      </w:r>
      <w:r>
        <w:rPr>
          <w:iCs/>
          <w:i/>
        </w:rPr>
        <w:t xml:space="preserve">vasatīvarī</w:t>
      </w:r>
      <w:r>
        <w:t xml:space="preserve"> </w:t>
      </w:r>
      <w:r>
        <w:t xml:space="preserve">waters and the rest.</w:t>
      </w:r>
      <w:r>
        <w:t xml:space="preserve">”</w:t>
      </w:r>
      <w:r>
        <w:t xml:space="preserve">) That is, he gives both the sense</w:t>
      </w:r>
      <w:r>
        <w:t xml:space="preserve"> </w:t>
      </w:r>
      <w:r>
        <w:t xml:space="preserve">“</w:t>
      </w:r>
      <w:r>
        <w:t xml:space="preserve">desiring you, or wanted by you</w:t>
      </w:r>
      <w:r>
        <w:t xml:space="preserve">”</w:t>
      </w:r>
      <w:r>
        <w:t xml:space="preserve"> </w:t>
      </w:r>
      <w:r>
        <w:t xml:space="preserve">and the sense of mixing stated above. Further:</w:t>
      </w:r>
    </w:p>
    <w:p>
      <w:pPr>
        <w:pStyle w:val="BlockText"/>
      </w:pPr>
      <w:r>
        <w:t xml:space="preserve">ता विद्वांसा हवामहे वां ता नो विद्वांसा मन्म वोचेतमद्य । प्रार्चद्दयमानो युवाकुः ॥ (ऋ. सं. १-१२०-३)</w:t>
      </w:r>
    </w:p>
    <w:p>
      <w:pPr>
        <w:pStyle w:val="BlockText"/>
      </w:pPr>
      <w:r>
        <w:rPr>
          <w:iCs/>
          <w:i/>
        </w:rPr>
        <w:t xml:space="preserve">tā vidvāṃsā havāmahe vāṃ tā no vidvāṃsā manma vocetamadya | prārcaddayamāno yuvākuḥ || (ṛ. saṃ. 1-120-3)</w:t>
      </w:r>
    </w:p>
    <w:p>
      <w:pPr>
        <w:pStyle w:val="FirstParagraph"/>
      </w:pPr>
      <w:r>
        <w:t xml:space="preserve">(</w:t>
      </w:r>
      <w:r>
        <w:t xml:space="preserve">“</w:t>
      </w:r>
      <w:r>
        <w:t xml:space="preserve">We call on you two, the wise ones; may you two, the wise, speak to us today a thought; the one desiring you, praising, worshipping …</w:t>
      </w:r>
      <w:r>
        <w:t xml:space="preserve">”</w:t>
      </w:r>
      <w:r>
        <w:t xml:space="preserve">: mine and tentative.)</w:t>
      </w:r>
    </w:p>
    <w:p>
      <w:pPr>
        <w:pStyle w:val="BlockText"/>
      </w:pPr>
      <w:r>
        <w:t xml:space="preserve">डुहीयन्मित्रधितये युवाकु राये च नो मिमीतं वाजवत्यै । (ऋ. सं. १-१२०-९)</w:t>
      </w:r>
    </w:p>
    <w:p>
      <w:pPr>
        <w:pStyle w:val="BlockText"/>
      </w:pPr>
      <w:r>
        <w:rPr>
          <w:iCs/>
          <w:i/>
        </w:rPr>
        <w:t xml:space="preserve">ḍuhīyanmitradhitaye yuvāku rāye ca no mimītaṃ vājavatyai | (ṛ. saṃ. 1-120-9)</w:t>
      </w:r>
    </w:p>
    <w:p>
      <w:pPr>
        <w:pStyle w:val="FirstParagraph"/>
      </w:pPr>
      <w:r>
        <w:t xml:space="preserve">(</w:t>
      </w:r>
      <w:r>
        <w:t xml:space="preserve">“</w:t>
      </w:r>
      <w:r>
        <w:t xml:space="preserve">… desiring you, for the setting of a friend; measure out for us wealth rich in strength</w:t>
      </w:r>
      <w:r>
        <w:t xml:space="preserve">”</w:t>
      </w:r>
      <w:r>
        <w:t xml:space="preserve">: mine and tentative.)</w:t>
      </w:r>
    </w:p>
    <w:p>
      <w:pPr>
        <w:pStyle w:val="BlockText"/>
      </w:pPr>
      <w:r>
        <w:t xml:space="preserve">धामानि मित्रावरुणा युवाकुः सं यो यूथेव जनिमानि चष्टे । (ऋ. सं. ७-६०-३)</w:t>
      </w:r>
    </w:p>
    <w:p>
      <w:pPr>
        <w:pStyle w:val="BlockText"/>
      </w:pPr>
      <w:r>
        <w:rPr>
          <w:iCs/>
          <w:i/>
        </w:rPr>
        <w:t xml:space="preserve">dhāmāni mitrāvaruṇā yuvākuḥ saṃ yo yūtheva janimāni caṣṭe | (ṛ. saṃ. 7-60-3)</w:t>
      </w:r>
    </w:p>
    <w:p>
      <w:pPr>
        <w:pStyle w:val="FirstParagraph"/>
      </w:pPr>
      <w:r>
        <w:t xml:space="preserve">(</w:t>
      </w:r>
      <w:r>
        <w:t xml:space="preserve">“</w:t>
      </w:r>
      <w:r>
        <w:t xml:space="preserve">Mitra and Varuṇa, the one desiring you, who surveys the abodes, the races, like herds</w:t>
      </w:r>
      <w:r>
        <w:t xml:space="preserve">”</w:t>
      </w:r>
      <w:r>
        <w:t xml:space="preserve">: mine and tentative.)</w:t>
      </w:r>
    </w:p>
    <w:p>
      <w:pPr>
        <w:pStyle w:val="BlockText"/>
      </w:pPr>
      <w:r>
        <w:t xml:space="preserve">अवोर्वां नूनमश्विना युवाकुर्हुवे यद्वां सुते माध्वी वसूयुः । (ऋ. सं. ७-६७-४)</w:t>
      </w:r>
    </w:p>
    <w:p>
      <w:pPr>
        <w:pStyle w:val="BlockText"/>
      </w:pPr>
      <w:r>
        <w:rPr>
          <w:iCs/>
          <w:i/>
        </w:rPr>
        <w:t xml:space="preserve">avorvāṃ nūnamaśvinā yuvākurhuve yadvāṃ sute mādhvī vasūyuḥ | (ṛ. saṃ. 7-67-4)</w:t>
      </w:r>
    </w:p>
    <w:p>
      <w:pPr>
        <w:pStyle w:val="FirstParagraph"/>
      </w:pPr>
      <w:r>
        <w:t xml:space="preserve">(</w:t>
      </w:r>
      <w:r>
        <w:t xml:space="preserve">“</w:t>
      </w:r>
      <w:r>
        <w:t xml:space="preserve">… Aśvins, the one desiring you, I call, when at your pressing, O sweet ones, seeking goods</w:t>
      </w:r>
      <w:r>
        <w:t xml:space="preserve">”</w:t>
      </w:r>
      <w:r>
        <w:t xml:space="preserve">: mine and tentative.)</w:t>
      </w:r>
    </w:p>
    <w:p>
      <w:pPr>
        <w:pStyle w:val="BlockText"/>
      </w:pPr>
      <w:r>
        <w:t xml:space="preserve">उत त्यं भुज्युमश्विना सखायो मध्ये जहुर्दुरेवासः समुद्रे । निरीं पर्षदरावा यो युवाकुः ॥ (ऋ. सं. ७-६८-७)</w:t>
      </w:r>
    </w:p>
    <w:p>
      <w:pPr>
        <w:pStyle w:val="BlockText"/>
      </w:pPr>
      <w:r>
        <w:rPr>
          <w:iCs/>
          <w:i/>
        </w:rPr>
        <w:t xml:space="preserve">uta tyaṃ bhujyumaśvinā sakhāyo madhye jahurdurevāsaḥ samudre | nirīṃ parṣadarāvā yo yuvākuḥ || (ṛ. saṃ. 7-68-7)</w:t>
      </w:r>
    </w:p>
    <w:p>
      <w:pPr>
        <w:pStyle w:val="FirstParagraph"/>
      </w:pPr>
      <w:r>
        <w:t xml:space="preserve">(</w:t>
      </w:r>
      <w:r>
        <w:t xml:space="preserve">“</w:t>
      </w:r>
      <w:r>
        <w:t xml:space="preserve">And that Bhujyu, Aśvins, his ill-going companions left in the middle of the sea; the hostile one who is yours shall bring him across</w:t>
      </w:r>
      <w:r>
        <w:t xml:space="preserve">”</w:t>
      </w:r>
      <w:r>
        <w:t xml:space="preserve">: mine and tentative.)</w:t>
      </w:r>
    </w:p>
    <w:p>
      <w:pPr>
        <w:pStyle w:val="BodyText"/>
      </w:pPr>
      <w:r>
        <w:t xml:space="preserve">In these ṛks the commentator gives for the word</w:t>
      </w:r>
      <w:r>
        <w:t xml:space="preserve"> </w:t>
      </w:r>
      <w:r>
        <w:rPr>
          <w:iCs/>
          <w:i/>
        </w:rPr>
        <w:t xml:space="preserve">yuvākuḥ</w:t>
      </w:r>
      <w:r>
        <w:t xml:space="preserve"> </w:t>
      </w:r>
      <w:r>
        <w:t xml:space="preserve">the sense</w:t>
      </w:r>
      <w:r>
        <w:t xml:space="preserve"> </w:t>
      </w:r>
      <w:r>
        <w:rPr>
          <w:iCs/>
          <w:i/>
        </w:rPr>
        <w:t xml:space="preserve">yuvāṃ kāmayamānaḥ</w:t>
      </w:r>
      <w:r>
        <w:t xml:space="preserve">, desiring you, or wanted by you. Yet it seems the word should have some definite sense.</w:t>
      </w:r>
    </w:p>
    <w:p>
      <w:pPr>
        <w:pStyle w:val="BodyText"/>
      </w:pPr>
      <w:r>
        <w:rPr>
          <w:iCs/>
          <w:i/>
        </w:rPr>
        <w:t xml:space="preserve">(डुहीयन् and अवोर्वां are as read; the first letters are not clear [?].)</w:t>
      </w:r>
    </w:p>
    <w:p>
      <w:pPr>
        <w:pStyle w:val="BodyText"/>
      </w:pPr>
      <w:r>
        <w:rPr>
          <w:bCs/>
          <w:b/>
        </w:rPr>
        <w:t xml:space="preserve">Śacīnām</w:t>
      </w:r>
      <w:r>
        <w:t xml:space="preserve">: since the word</w:t>
      </w:r>
      <w:r>
        <w:t xml:space="preserve"> </w:t>
      </w:r>
      <w:r>
        <w:rPr>
          <w:iCs/>
          <w:i/>
        </w:rPr>
        <w:t xml:space="preserve">śacī</w:t>
      </w:r>
      <w:r>
        <w:t xml:space="preserve"> </w:t>
      </w:r>
      <w:r>
        <w:t xml:space="preserve">is read among the fifty-seven words for speech,</w:t>
      </w:r>
      <w:r>
        <w:t xml:space="preserve"> </w:t>
      </w:r>
      <w:r>
        <w:rPr>
          <w:iCs/>
          <w:i/>
        </w:rPr>
        <w:t xml:space="preserve">ślokaḥ</w:t>
      </w:r>
      <w:r>
        <w:t xml:space="preserve">,</w:t>
      </w:r>
      <w:r>
        <w:t xml:space="preserve"> </w:t>
      </w:r>
      <w:r>
        <w:rPr>
          <w:iCs/>
          <w:i/>
        </w:rPr>
        <w:t xml:space="preserve">dharā</w:t>
      </w:r>
      <w:r>
        <w:t xml:space="preserve"> </w:t>
      </w:r>
      <w:r>
        <w:t xml:space="preserve">and so on (Ni.</w:t>
      </w:r>
      <w:r>
        <w:t xml:space="preserve"> </w:t>
      </w:r>
      <w:r>
        <w:t xml:space="preserve">“</w:t>
      </w:r>
      <w:r>
        <w:t xml:space="preserve">2-23</w:t>
      </w:r>
      <w:r>
        <w:t xml:space="preserve">”</w:t>
      </w:r>
      <w:r>
        <w:t xml:space="preserve"> </w:t>
      </w:r>
      <w:r>
        <w:t xml:space="preserve">[as read, ?]),</w:t>
      </w:r>
      <w:r>
        <w:t xml:space="preserve"> </w:t>
      </w:r>
      <w:r>
        <w:rPr>
          <w:iCs/>
          <w:i/>
        </w:rPr>
        <w:t xml:space="preserve">śacī</w:t>
      </w:r>
      <w:r>
        <w:t xml:space="preserve"> </w:t>
      </w:r>
      <w:r>
        <w:t xml:space="preserve">means speech. And since it is read among the twenty-six action-names,</w:t>
      </w:r>
      <w:r>
        <w:t xml:space="preserve"> </w:t>
      </w:r>
      <w:r>
        <w:rPr>
          <w:iCs/>
          <w:i/>
        </w:rPr>
        <w:t xml:space="preserve">apaḥ</w:t>
      </w:r>
      <w:r>
        <w:t xml:space="preserve">,</w:t>
      </w:r>
      <w:r>
        <w:t xml:space="preserve"> </w:t>
      </w:r>
      <w:r>
        <w:rPr>
          <w:iCs/>
          <w:i/>
        </w:rPr>
        <w:t xml:space="preserve">apnaḥ</w:t>
      </w:r>
      <w:r>
        <w:t xml:space="preserve"> </w:t>
      </w:r>
      <w:r>
        <w:t xml:space="preserve">and so on (Ni.</w:t>
      </w:r>
      <w:r>
        <w:t xml:space="preserve"> </w:t>
      </w:r>
      <w:r>
        <w:t xml:space="preserve">“</w:t>
      </w:r>
      <w:r>
        <w:t xml:space="preserve">3-2</w:t>
      </w:r>
      <w:r>
        <w:t xml:space="preserve">”</w:t>
      </w:r>
      <w:r>
        <w:t xml:space="preserve"> </w:t>
      </w:r>
      <w:r>
        <w:t xml:space="preserve">[as read, ?]), it also means action. Since it is read among the eleven names of intelligence,</w:t>
      </w:r>
      <w:r>
        <w:t xml:space="preserve"> </w:t>
      </w:r>
      <w:r>
        <w:rPr>
          <w:iCs/>
          <w:i/>
        </w:rPr>
        <w:t xml:space="preserve">ketaḥ</w:t>
      </w:r>
      <w:r>
        <w:t xml:space="preserve">,</w:t>
      </w:r>
      <w:r>
        <w:t xml:space="preserve"> </w:t>
      </w:r>
      <w:r>
        <w:rPr>
          <w:iCs/>
          <w:i/>
        </w:rPr>
        <w:t xml:space="preserve">ketu</w:t>
      </w:r>
      <w:r>
        <w:t xml:space="preserve"> </w:t>
      </w:r>
      <w:r>
        <w:t xml:space="preserve">and so on (Ni.</w:t>
      </w:r>
      <w:r>
        <w:t xml:space="preserve"> </w:t>
      </w:r>
      <w:r>
        <w:t xml:space="preserve">“</w:t>
      </w:r>
      <w:r>
        <w:t xml:space="preserve">3-13</w:t>
      </w:r>
      <w:r>
        <w:t xml:space="preserve">”</w:t>
      </w:r>
      <w:r>
        <w:t xml:space="preserve"> </w:t>
      </w:r>
      <w:r>
        <w:t xml:space="preserve">[as read, ?]), it also means intelligence. So though the word</w:t>
      </w:r>
      <w:r>
        <w:t xml:space="preserve"> </w:t>
      </w:r>
      <w:r>
        <w:rPr>
          <w:iCs/>
          <w:i/>
        </w:rPr>
        <w:t xml:space="preserve">śacī</w:t>
      </w:r>
      <w:r>
        <w:t xml:space="preserve"> </w:t>
      </w:r>
      <w:r>
        <w:t xml:space="preserve">has three senses, speech, action and intelligence, here the commentator has given first place to the sense action. Yāska too,</w:t>
      </w:r>
    </w:p>
    <w:p>
      <w:pPr>
        <w:pStyle w:val="BlockText"/>
      </w:pPr>
      <w:r>
        <w:t xml:space="preserve">त्रयः केशिन ऋतुथा विचक्षते संवत्सरे वपत एक एषाम् । विश्वमेको अभि चष्टे शचीभिर्ध्राजिरेकस्य ददृशे न रूपम् ॥ (ऋ. सं. १-१६४-४४)</w:t>
      </w:r>
    </w:p>
    <w:p>
      <w:pPr>
        <w:pStyle w:val="BlockText"/>
      </w:pPr>
      <w:r>
        <w:rPr>
          <w:iCs/>
          <w:i/>
        </w:rPr>
        <w:t xml:space="preserve">trayaḥ keśina ṛtuthā vicakṣate saṃvatsare vapata eka eṣām | viśvameko abhi caṣṭe śacībhirdhrājirekasya dadṛśe na rūpam || (ṛ. saṃ. 1-164-44)</w:t>
      </w:r>
    </w:p>
    <w:p>
      <w:pPr>
        <w:pStyle w:val="FirstParagraph"/>
      </w:pPr>
      <w:r>
        <w:t xml:space="preserve">(</w:t>
      </w:r>
      <w:r>
        <w:t xml:space="preserve">“</w:t>
      </w:r>
      <w:r>
        <w:t xml:space="preserve">Three long-haired ones look out in season; one of them shears in the year; one surveys all with his powers; of one the rush is seen, not the form</w:t>
      </w:r>
      <w:r>
        <w:t xml:space="preserve">”</w:t>
      </w:r>
      <w:r>
        <w:t xml:space="preserve">: mine and tentative.)</w:t>
      </w:r>
    </w:p>
    <w:bookmarkEnd w:id="795"/>
    <w:bookmarkStart w:id="796" w:name="X8f8df0979e500ee56ff12ac514efa2bb091a667"/>
    <w:p>
      <w:pPr>
        <w:pStyle w:val="Heading3"/>
      </w:pPr>
      <w:r>
        <w:t xml:space="preserve">Page 726 — Rik 4: Special Topics (end) and grammar</w:t>
      </w:r>
    </w:p>
    <w:p>
      <w:pPr>
        <w:pStyle w:val="FirstParagraph"/>
      </w:pPr>
      <w:r>
        <w:t xml:space="preserve">explaining this ṛk, for</w:t>
      </w:r>
      <w:r>
        <w:t xml:space="preserve"> </w:t>
      </w:r>
      <w:r>
        <w:rPr>
          <w:iCs/>
          <w:i/>
        </w:rPr>
        <w:t xml:space="preserve">viśvam eko abhi caṣṭe śacībhiḥ</w:t>
      </w:r>
    </w:p>
    <w:p>
      <w:pPr>
        <w:pStyle w:val="BlockText"/>
      </w:pPr>
      <w:r>
        <w:t xml:space="preserve">सर्वमेकोऽभिविपश्यति कर्मभिरादित्यः</w:t>
      </w:r>
    </w:p>
    <w:p>
      <w:pPr>
        <w:pStyle w:val="BlockText"/>
      </w:pPr>
      <w:r>
        <w:rPr>
          <w:iCs/>
          <w:i/>
        </w:rPr>
        <w:t xml:space="preserve">sarvameko ’bhivipaśyati karmabhirādityaḥ</w:t>
      </w:r>
    </w:p>
    <w:p>
      <w:pPr>
        <w:pStyle w:val="FirstParagraph"/>
      </w:pPr>
      <w:r>
        <w:t xml:space="preserve">(</w:t>
      </w:r>
      <w:r>
        <w:t xml:space="preserve">“</w:t>
      </w:r>
      <w:r>
        <w:t xml:space="preserve">The one, the Sun, looks over all with his actions</w:t>
      </w:r>
      <w:r>
        <w:t xml:space="preserve">”</w:t>
      </w:r>
      <w:r>
        <w:t xml:space="preserve">, Ni.</w:t>
      </w:r>
      <w:r>
        <w:t xml:space="preserve"> </w:t>
      </w:r>
      <w:r>
        <w:t xml:space="preserve">“</w:t>
      </w:r>
      <w:r>
        <w:t xml:space="preserve">12-27</w:t>
      </w:r>
      <w:r>
        <w:t xml:space="preserve">”</w:t>
      </w:r>
      <w:r>
        <w:t xml:space="preserve"> </w:t>
      </w:r>
      <w:r>
        <w:t xml:space="preserve">[?]), gives the word</w:t>
      </w:r>
      <w:r>
        <w:t xml:space="preserve"> </w:t>
      </w:r>
      <w:r>
        <w:rPr>
          <w:iCs/>
          <w:i/>
        </w:rPr>
        <w:t xml:space="preserve">śacī</w:t>
      </w:r>
      <w:r>
        <w:t xml:space="preserve"> </w:t>
      </w:r>
      <w:r>
        <w:t xml:space="preserve">the sense action. In giving the sense of the present ṛk, any one of the three senses of</w:t>
      </w:r>
      <w:r>
        <w:t xml:space="preserve"> </w:t>
      </w:r>
      <w:r>
        <w:rPr>
          <w:iCs/>
          <w:i/>
        </w:rPr>
        <w:t xml:space="preserve">śacī</w:t>
      </w:r>
      <w:r>
        <w:t xml:space="preserve"> </w:t>
      </w:r>
      <w:r>
        <w:t xml:space="preserve">may be taken.</w:t>
      </w:r>
    </w:p>
    <w:p>
      <w:pPr>
        <w:pStyle w:val="BodyText"/>
      </w:pPr>
      <w:r>
        <w:rPr>
          <w:bCs/>
          <w:b/>
        </w:rPr>
        <w:t xml:space="preserve">Sumatīnām</w:t>
      </w:r>
      <w:r>
        <w:t xml:space="preserve">:</w:t>
      </w:r>
    </w:p>
    <w:p>
      <w:pPr>
        <w:pStyle w:val="BlockText"/>
      </w:pPr>
      <w:r>
        <w:t xml:space="preserve">शोभनबुद्धियुक्तानामृत्विजाम् ।</w:t>
      </w:r>
    </w:p>
    <w:p>
      <w:pPr>
        <w:pStyle w:val="BlockText"/>
      </w:pPr>
      <w:r>
        <w:rPr>
          <w:iCs/>
          <w:i/>
        </w:rPr>
        <w:t xml:space="preserve">śobhanabuddhiyuktānāmṛtvijām |</w:t>
      </w:r>
    </w:p>
    <w:p>
      <w:pPr>
        <w:pStyle w:val="FirstParagraph"/>
      </w:pPr>
      <w:r>
        <w:t xml:space="preserve">(</w:t>
      </w:r>
      <w:r>
        <w:t xml:space="preserve">“</w:t>
      </w:r>
      <w:r>
        <w:t xml:space="preserve">Of the priests with good minds.</w:t>
      </w:r>
      <w:r>
        <w:t xml:space="preserve">”</w:t>
      </w:r>
      <w:r>
        <w:t xml:space="preserve">) Of the priests who are well endowed with intelligence, or of intelligent people.</w:t>
      </w:r>
    </w:p>
    <w:p>
      <w:pPr>
        <w:pStyle w:val="BodyText"/>
      </w:pPr>
      <w:r>
        <w:rPr>
          <w:bCs/>
          <w:b/>
        </w:rPr>
        <w:t xml:space="preserve">Vājadāvnām</w:t>
      </w:r>
      <w:r>
        <w:t xml:space="preserve">:</w:t>
      </w:r>
    </w:p>
    <w:p>
      <w:pPr>
        <w:pStyle w:val="BlockText"/>
      </w:pPr>
      <w:r>
        <w:t xml:space="preserve">वाजमन्नं ददतीति वाजदावानस्तेषाम् ।</w:t>
      </w:r>
    </w:p>
    <w:p>
      <w:pPr>
        <w:pStyle w:val="BlockText"/>
      </w:pPr>
      <w:r>
        <w:rPr>
          <w:iCs/>
          <w:i/>
        </w:rPr>
        <w:t xml:space="preserve">vājamannaṃ dadatīti vājadāvānasteṣām |</w:t>
      </w:r>
    </w:p>
    <w:p>
      <w:pPr>
        <w:pStyle w:val="FirstParagraph"/>
      </w:pPr>
      <w:r>
        <w:t xml:space="preserve">(</w:t>
      </w:r>
      <w:r>
        <w:t xml:space="preserve">“</w:t>
      </w:r>
      <w:r>
        <w:t xml:space="preserve">They give</w:t>
      </w:r>
      <w:r>
        <w:t xml:space="preserve"> </w:t>
      </w:r>
      <w:r>
        <w:rPr>
          <w:iCs/>
          <w:i/>
        </w:rPr>
        <w:t xml:space="preserve">vāja</w:t>
      </w:r>
      <w:r>
        <w:t xml:space="preserve">, food: of them.</w:t>
      </w:r>
      <w:r>
        <w:t xml:space="preserve">”</w:t>
      </w:r>
      <w:r>
        <w:t xml:space="preserve">) To give the sense</w:t>
      </w:r>
      <w:r>
        <w:t xml:space="preserve"> </w:t>
      </w:r>
      <w:r>
        <w:t xml:space="preserve">“</w:t>
      </w:r>
      <w:r>
        <w:t xml:space="preserve">chief among those who give food or oblations (who offer them)</w:t>
      </w:r>
      <w:r>
        <w:t xml:space="preserve">”</w:t>
      </w:r>
      <w:r>
        <w:t xml:space="preserve">, the commentator has supplied the word</w:t>
      </w:r>
      <w:r>
        <w:t xml:space="preserve"> </w:t>
      </w:r>
      <w:r>
        <w:t xml:space="preserve">“</w:t>
      </w:r>
      <w:r>
        <w:t xml:space="preserve">chief</w:t>
      </w:r>
      <w:r>
        <w:t xml:space="preserve">”</w:t>
      </w:r>
      <w:r>
        <w:t xml:space="preserve">. On the whole the sense of this ṛk is very tangled; the sense is not clear.</w:t>
      </w:r>
    </w:p>
    <w:p>
      <w:pPr>
        <w:pStyle w:val="BodyText"/>
      </w:pPr>
      <w:r>
        <w:rPr>
          <w:bCs/>
          <w:b/>
        </w:rPr>
        <w:t xml:space="preserve">॥ Vyākaraṇa-prakriyā ॥</w:t>
      </w:r>
      <w:r>
        <w:t xml:space="preserve"> </w:t>
      </w:r>
      <w:r>
        <w:rPr>
          <w:iCs/>
          <w:i/>
        </w:rPr>
        <w:t xml:space="preserve">(grammar pages 726–727, noted briefly)</w:t>
      </w:r>
    </w:p>
    <w:p>
      <w:pPr>
        <w:pStyle w:val="BodyText"/>
      </w:pPr>
      <w:r>
        <w:rPr>
          <w:bCs/>
          <w:b/>
        </w:rPr>
        <w:t xml:space="preserve">युवाकु (</w:t>
      </w:r>
      <w:r>
        <w:rPr>
          <w:iCs/>
          <w:i/>
          <w:bCs/>
          <w:b/>
        </w:rPr>
        <w:t xml:space="preserve">yuvāku</w:t>
      </w:r>
      <w:r>
        <w:rPr>
          <w:bCs/>
          <w:b/>
        </w:rPr>
        <w:t xml:space="preserve">)</w:t>
      </w:r>
      <w:r>
        <w:t xml:space="preserve">: the root</w:t>
      </w:r>
      <w:r>
        <w:t xml:space="preserve"> </w:t>
      </w:r>
      <w:r>
        <w:rPr>
          <w:iCs/>
          <w:i/>
        </w:rPr>
        <w:t xml:space="preserve">yu miśraṇe</w:t>
      </w:r>
      <w:r>
        <w:t xml:space="preserve">.</w:t>
      </w:r>
      <w:r>
        <w:t xml:space="preserve"> </w:t>
      </w:r>
      <w:r>
        <w:t xml:space="preserve">“</w:t>
      </w:r>
      <w:r>
        <w:t xml:space="preserve">Kaṭikuṣibhyāṃ kākuḥ</w:t>
      </w:r>
      <w:r>
        <w:t xml:space="preserve">”</w:t>
      </w:r>
      <w:r>
        <w:t xml:space="preserve"> </w:t>
      </w:r>
      <w:r>
        <w:t xml:space="preserve">(Uṇ. sū.</w:t>
      </w:r>
      <w:r>
        <w:t xml:space="preserve"> </w:t>
      </w:r>
      <w:r>
        <w:t xml:space="preserve">“</w:t>
      </w:r>
      <w:r>
        <w:t xml:space="preserve">3-362</w:t>
      </w:r>
      <w:r>
        <w:t xml:space="preserve">”</w:t>
      </w:r>
      <w:r>
        <w:t xml:space="preserve"> </w:t>
      </w:r>
      <w:r>
        <w:t xml:space="preserve">[?]): the sense of this sūtra is that the suffix</w:t>
      </w:r>
      <w:r>
        <w:t xml:space="preserve"> </w:t>
      </w:r>
      <w:r>
        <w:rPr>
          <w:iCs/>
          <w:i/>
        </w:rPr>
        <w:t xml:space="preserve">kāku</w:t>
      </w:r>
      <w:r>
        <w:t xml:space="preserve"> </w:t>
      </w:r>
      <w:r>
        <w:t xml:space="preserve">comes after the roots</w:t>
      </w:r>
      <w:r>
        <w:t xml:space="preserve"> </w:t>
      </w:r>
      <w:r>
        <w:rPr>
          <w:iCs/>
          <w:i/>
        </w:rPr>
        <w:t xml:space="preserve">kaṭe varṣāvaraṇayoḥ</w:t>
      </w:r>
      <w:r>
        <w:t xml:space="preserve"> </w:t>
      </w:r>
      <w:r>
        <w:t xml:space="preserve">and</w:t>
      </w:r>
      <w:r>
        <w:t xml:space="preserve"> </w:t>
      </w:r>
      <w:r>
        <w:rPr>
          <w:iCs/>
          <w:i/>
        </w:rPr>
        <w:t xml:space="preserve">kuṣa niṣkarṣe</w:t>
      </w:r>
      <w:r>
        <w:t xml:space="preserve">. Some read this sūtra as</w:t>
      </w:r>
      <w:r>
        <w:t xml:space="preserve"> </w:t>
      </w:r>
      <w:r>
        <w:rPr>
          <w:iCs/>
          <w:i/>
        </w:rPr>
        <w:t xml:space="preserve">kaṭhi kuṣibhyāṃ kākuḥ</w:t>
      </w:r>
      <w:r>
        <w:t xml:space="preserve">; in their view the root</w:t>
      </w:r>
      <w:r>
        <w:t xml:space="preserve"> </w:t>
      </w:r>
      <w:r>
        <w:rPr>
          <w:iCs/>
          <w:i/>
        </w:rPr>
        <w:t xml:space="preserve">kaṭha kṛcchrajīvane</w:t>
      </w:r>
      <w:r>
        <w:t xml:space="preserve"> </w:t>
      </w:r>
      <w:r>
        <w:t xml:space="preserve">is to be taken. Here Ujjvaladatta, keeping the reading</w:t>
      </w:r>
      <w:r>
        <w:t xml:space="preserve"> </w:t>
      </w:r>
      <w:r>
        <w:rPr>
          <w:iCs/>
          <w:i/>
        </w:rPr>
        <w:t xml:space="preserve">kaṭikaṣibhyām</w:t>
      </w:r>
      <w:r>
        <w:t xml:space="preserve">, says the root</w:t>
      </w:r>
      <w:r>
        <w:t xml:space="preserve"> </w:t>
      </w:r>
      <w:r>
        <w:rPr>
          <w:iCs/>
          <w:i/>
        </w:rPr>
        <w:t xml:space="preserve">kaṣa śiṣa</w:t>
      </w:r>
      <w:r>
        <w:t xml:space="preserve"> </w:t>
      </w:r>
      <w:r>
        <w:t xml:space="preserve">read in the</w:t>
      </w:r>
      <w:r>
        <w:t xml:space="preserve"> </w:t>
      </w:r>
      <w:r>
        <w:rPr>
          <w:iCs/>
          <w:i/>
        </w:rPr>
        <w:t xml:space="preserve">daṇḍaka</w:t>
      </w:r>
      <w:r>
        <w:t xml:space="preserve"> </w:t>
      </w:r>
      <w:r>
        <w:t xml:space="preserve">is meant, and shows the example</w:t>
      </w:r>
      <w:r>
        <w:t xml:space="preserve"> </w:t>
      </w:r>
      <w:r>
        <w:rPr>
          <w:iCs/>
          <w:i/>
        </w:rPr>
        <w:t xml:space="preserve">kaṣākuḥ</w:t>
      </w:r>
      <w:r>
        <w:t xml:space="preserve">.</w:t>
      </w:r>
      <w:r>
        <w:t xml:space="preserve"> </w:t>
      </w:r>
      <w:r>
        <w:rPr>
          <w:iCs/>
          <w:i/>
        </w:rPr>
        <w:t xml:space="preserve">Kuṣākuḥ</w:t>
      </w:r>
      <w:r>
        <w:t xml:space="preserve"> </w:t>
      </w:r>
      <w:r>
        <w:t xml:space="preserve">conflicts with the Medinī-kośa</w:t>
      </w:r>
      <w:r>
        <w:t xml:space="preserve"> </w:t>
      </w:r>
      <w:r>
        <w:t xml:space="preserve">“</w:t>
      </w:r>
      <w:r>
        <w:rPr>
          <w:iCs/>
          <w:i/>
        </w:rPr>
        <w:t xml:space="preserve">kapivahnyarke</w:t>
      </w:r>
      <w:r>
        <w:t xml:space="preserve">”</w:t>
      </w:r>
      <w:r>
        <w:t xml:space="preserve"> </w:t>
      </w:r>
      <w:r>
        <w:t xml:space="preserve">[as printed]. Be that as it may: here, by the word</w:t>
      </w:r>
      <w:r>
        <w:t xml:space="preserve"> </w:t>
      </w:r>
      <w:r>
        <w:rPr>
          <w:iCs/>
          <w:i/>
        </w:rPr>
        <w:t xml:space="preserve">bahula</w:t>
      </w:r>
      <w:r>
        <w:t xml:space="preserve">, the suffix</w:t>
      </w:r>
      <w:r>
        <w:t xml:space="preserve"> </w:t>
      </w:r>
      <w:r>
        <w:rPr>
          <w:iCs/>
          <w:i/>
        </w:rPr>
        <w:t xml:space="preserve">kāku</w:t>
      </w:r>
      <w:r>
        <w:t xml:space="preserve"> </w:t>
      </w:r>
      <w:r>
        <w:t xml:space="preserve">comes after the root</w:t>
      </w:r>
      <w:r>
        <w:t xml:space="preserve"> </w:t>
      </w:r>
      <w:r>
        <w:rPr>
          <w:iCs/>
          <w:i/>
        </w:rPr>
        <w:t xml:space="preserve">yu</w:t>
      </w:r>
      <w:r>
        <w:t xml:space="preserve"> </w:t>
      </w:r>
      <w:r>
        <w:t xml:space="preserve">too. The</w:t>
      </w:r>
      <w:r>
        <w:t xml:space="preserve"> </w:t>
      </w:r>
      <w:r>
        <w:rPr>
          <w:iCs/>
          <w:i/>
        </w:rPr>
        <w:t xml:space="preserve">k</w:t>
      </w:r>
      <w:r>
        <w:t xml:space="preserve"> </w:t>
      </w:r>
      <w:r>
        <w:t xml:space="preserve">of the suffix is</w:t>
      </w:r>
      <w:r>
        <w:t xml:space="preserve"> </w:t>
      </w:r>
      <w:r>
        <w:rPr>
          <w:iCs/>
          <w:i/>
        </w:rPr>
        <w:t xml:space="preserve">it</w:t>
      </w:r>
      <w:r>
        <w:t xml:space="preserve">, so no</w:t>
      </w:r>
      <w:r>
        <w:t xml:space="preserve"> </w:t>
      </w:r>
      <w:r>
        <w:rPr>
          <w:iCs/>
          <w:i/>
        </w:rPr>
        <w:t xml:space="preserve">guṇa</w:t>
      </w:r>
      <w:r>
        <w:t xml:space="preserve">.</w:t>
      </w:r>
      <w:r>
        <w:t xml:space="preserve"> </w:t>
      </w:r>
      <w:r>
        <w:rPr>
          <w:iCs/>
          <w:i/>
        </w:rPr>
        <w:t xml:space="preserve">Yu</w:t>
      </w:r>
      <w:r>
        <w:t xml:space="preserve"> </w:t>
      </w:r>
      <w:r>
        <w:t xml:space="preserve">+</w:t>
      </w:r>
      <w:r>
        <w:t xml:space="preserve"> </w:t>
      </w:r>
      <w:r>
        <w:rPr>
          <w:iCs/>
          <w:i/>
        </w:rPr>
        <w:t xml:space="preserve">āku</w:t>
      </w:r>
      <w:r>
        <w:t xml:space="preserve">: by</w:t>
      </w:r>
      <w:r>
        <w:t xml:space="preserve"> </w:t>
      </w:r>
      <w:r>
        <w:t xml:space="preserve">“</w:t>
      </w:r>
      <w:r>
        <w:t xml:space="preserve">aci śnudhātu…</w:t>
      </w:r>
      <w:r>
        <w:t xml:space="preserve">”</w:t>
      </w:r>
      <w:r>
        <w:t xml:space="preserve"> </w:t>
      </w:r>
      <w:r>
        <w:t xml:space="preserve">(Pā. sū. 6-4-77) the substitute</w:t>
      </w:r>
      <w:r>
        <w:t xml:space="preserve"> </w:t>
      </w:r>
      <w:r>
        <w:rPr>
          <w:iCs/>
          <w:i/>
        </w:rPr>
        <w:t xml:space="preserve">uvaṅ</w:t>
      </w:r>
      <w:r>
        <w:t xml:space="preserve">:</w:t>
      </w:r>
      <w:r>
        <w:t xml:space="preserve"> </w:t>
      </w:r>
      <w:r>
        <w:rPr>
          <w:iCs/>
          <w:i/>
        </w:rPr>
        <w:t xml:space="preserve">yuvāku</w:t>
      </w:r>
      <w:r>
        <w:t xml:space="preserve">. By</w:t>
      </w:r>
      <w:r>
        <w:t xml:space="preserve"> </w:t>
      </w:r>
      <w:r>
        <w:t xml:space="preserve">“</w:t>
      </w:r>
      <w:r>
        <w:t xml:space="preserve">ādyudāttaś ca</w:t>
      </w:r>
      <w:r>
        <w:t xml:space="preserve">”</w:t>
      </w:r>
      <w:r>
        <w:t xml:space="preserve"> </w:t>
      </w:r>
      <w:r>
        <w:t xml:space="preserve">(Pā. sū. 3-1-3) the</w:t>
      </w:r>
      <w:r>
        <w:t xml:space="preserve"> </w:t>
      </w:r>
      <w:r>
        <w:rPr>
          <w:iCs/>
          <w:i/>
        </w:rPr>
        <w:t xml:space="preserve">ā</w:t>
      </w:r>
      <w:r>
        <w:t xml:space="preserve"> </w:t>
      </w:r>
      <w:r>
        <w:t xml:space="preserve">at the start of the suffix is udātta; so</w:t>
      </w:r>
      <w:r>
        <w:t xml:space="preserve"> </w:t>
      </w:r>
      <w:r>
        <w:rPr>
          <w:iCs/>
          <w:i/>
        </w:rPr>
        <w:t xml:space="preserve">yuvāku</w:t>
      </w:r>
      <w:r>
        <w:t xml:space="preserve"> </w:t>
      </w:r>
      <w:r>
        <w:t xml:space="preserve">is middle udātta.</w:t>
      </w:r>
    </w:p>
    <w:p>
      <w:pPr>
        <w:pStyle w:val="BodyText"/>
      </w:pPr>
      <w:r>
        <w:rPr>
          <w:bCs/>
          <w:b/>
        </w:rPr>
        <w:t xml:space="preserve">शचीनाम् (</w:t>
      </w:r>
      <w:r>
        <w:rPr>
          <w:iCs/>
          <w:i/>
          <w:bCs/>
          <w:b/>
        </w:rPr>
        <w:t xml:space="preserve">śacīnām</w:t>
      </w:r>
      <w:r>
        <w:rPr>
          <w:bCs/>
          <w:b/>
        </w:rPr>
        <w:t xml:space="preserve">)</w:t>
      </w:r>
      <w:r>
        <w:t xml:space="preserve">:</w:t>
      </w:r>
      <w:r>
        <w:t xml:space="preserve"> </w:t>
      </w:r>
      <w:r>
        <w:t xml:space="preserve">“</w:t>
      </w:r>
      <w:r>
        <w:rPr>
          <w:iCs/>
          <w:i/>
        </w:rPr>
        <w:t xml:space="preserve">śacīśabdaḥ keṣāṃcin mate śārṅgaravādiḥ ṅīnantaḥ, nittvād ādyudāttaḥ</w:t>
      </w:r>
      <w:r>
        <w:t xml:space="preserve">”</w:t>
      </w:r>
      <w:r>
        <w:t xml:space="preserve">, says the Vṛttikāra on</w:t>
      </w:r>
      <w:r>
        <w:t xml:space="preserve"> </w:t>
      </w:r>
      <w:r>
        <w:t xml:space="preserve">“</w:t>
      </w:r>
      <w:r>
        <w:t xml:space="preserve">ubhe vanaspatyādiṣu yugapat</w:t>
      </w:r>
      <w:r>
        <w:t xml:space="preserve">”</w:t>
      </w:r>
      <w:r>
        <w:t xml:space="preserve"> </w:t>
      </w:r>
      <w:r>
        <w:t xml:space="preserve">(Pā. sū. 6-2-140). Some say that, since</w:t>
      </w:r>
      <w:r>
        <w:t xml:space="preserve"> </w:t>
      </w:r>
      <w:r>
        <w:rPr>
          <w:iCs/>
          <w:i/>
        </w:rPr>
        <w:t xml:space="preserve">śacī</w:t>
      </w:r>
      <w:r>
        <w:t xml:space="preserve"> </w:t>
      </w:r>
      <w:r>
        <w:t xml:space="preserve">is read among the words of the</w:t>
      </w:r>
      <w:r>
        <w:t xml:space="preserve"> </w:t>
      </w:r>
      <w:r>
        <w:rPr>
          <w:iCs/>
          <w:i/>
        </w:rPr>
        <w:t xml:space="preserve">śārṅgarava-ādi</w:t>
      </w:r>
      <w:r>
        <w:t xml:space="preserve"> </w:t>
      </w:r>
      <w:r>
        <w:t xml:space="preserve">group, the suffix</w:t>
      </w:r>
      <w:r>
        <w:t xml:space="preserve"> </w:t>
      </w:r>
      <w:r>
        <w:rPr>
          <w:iCs/>
          <w:i/>
        </w:rPr>
        <w:t xml:space="preserve">ṅīn</w:t>
      </w:r>
      <w:r>
        <w:t xml:space="preserve"> </w:t>
      </w:r>
      <w:r>
        <w:t xml:space="preserve">comes; the suffix is</w:t>
      </w:r>
      <w:r>
        <w:t xml:space="preserve"> </w:t>
      </w:r>
      <w:r>
        <w:rPr>
          <w:iCs/>
          <w:i/>
        </w:rPr>
        <w:t xml:space="preserve">ñit</w:t>
      </w:r>
      <w:r>
        <w:t xml:space="preserve">, so by</w:t>
      </w:r>
      <w:r>
        <w:t xml:space="preserve"> </w:t>
      </w:r>
      <w:r>
        <w:t xml:space="preserve">“</w:t>
      </w:r>
      <w:r>
        <w:t xml:space="preserve">ñnityādir nityam</w:t>
      </w:r>
      <w:r>
        <w:t xml:space="preserve">”</w:t>
      </w:r>
      <w:r>
        <w:t xml:space="preserve"> </w:t>
      </w:r>
      <w:r>
        <w:t xml:space="preserve">(Pā. sū. 6-1-197) the suffix-final</w:t>
      </w:r>
      <w:r>
        <w:t xml:space="preserve"> </w:t>
      </w:r>
      <w:r>
        <w:rPr>
          <w:iCs/>
          <w:i/>
        </w:rPr>
        <w:t xml:space="preserve">śacī</w:t>
      </w:r>
      <w:r>
        <w:t xml:space="preserve"> </w:t>
      </w:r>
      <w:r>
        <w:t xml:space="preserve">is initial udātta: so the Kāśikā Vṛttikāra says in the sūtra</w:t>
      </w:r>
      <w:r>
        <w:t xml:space="preserve"> </w:t>
      </w:r>
      <w:r>
        <w:rPr>
          <w:iCs/>
          <w:i/>
        </w:rPr>
        <w:t xml:space="preserve">ubhe vanaspatyādiṣu yugapat</w:t>
      </w:r>
      <w:r>
        <w:t xml:space="preserve">. So the word</w:t>
      </w:r>
      <w:r>
        <w:t xml:space="preserve"> </w:t>
      </w:r>
      <w:r>
        <w:rPr>
          <w:iCs/>
          <w:i/>
        </w:rPr>
        <w:t xml:space="preserve">śacī</w:t>
      </w:r>
      <w:r>
        <w:t xml:space="preserve"> </w:t>
      </w:r>
      <w:r>
        <w:t xml:space="preserve">is initial udātta.</w:t>
      </w:r>
    </w:p>
    <w:p>
      <w:pPr>
        <w:pStyle w:val="BodyText"/>
      </w:pPr>
      <w:r>
        <w:rPr>
          <w:bCs/>
          <w:b/>
        </w:rPr>
        <w:t xml:space="preserve">सुमतीनाम् (</w:t>
      </w:r>
      <w:r>
        <w:rPr>
          <w:iCs/>
          <w:i/>
          <w:bCs/>
          <w:b/>
        </w:rPr>
        <w:t xml:space="preserve">sumatīnām</w:t>
      </w:r>
      <w:r>
        <w:rPr>
          <w:bCs/>
          <w:b/>
        </w:rPr>
        <w:t xml:space="preserve">)</w:t>
      </w:r>
      <w:r>
        <w:t xml:space="preserve">: this is explained at</w:t>
      </w:r>
      <w:r>
        <w:t xml:space="preserve"> </w:t>
      </w:r>
      <w:r>
        <w:t xml:space="preserve">“</w:t>
      </w:r>
      <w:r>
        <w:t xml:space="preserve">vidyāma sumatīnām</w:t>
      </w:r>
      <w:r>
        <w:t xml:space="preserve">”</w:t>
      </w:r>
      <w:r>
        <w:t xml:space="preserve"> </w:t>
      </w:r>
      <w:r>
        <w:t xml:space="preserve">(Ṛ. saṃ. 1-4-3).</w:t>
      </w:r>
    </w:p>
    <w:bookmarkEnd w:id="796"/>
    <w:bookmarkStart w:id="797" w:name="page-727-rik-4-grammar-end"/>
    <w:p>
      <w:pPr>
        <w:pStyle w:val="Heading3"/>
      </w:pPr>
      <w:r>
        <w:t xml:space="preserve">Page 727 — Rik 4: grammar (end)</w:t>
      </w:r>
    </w:p>
    <w:p>
      <w:pPr>
        <w:pStyle w:val="FirstParagraph"/>
      </w:pPr>
      <w:r>
        <w:rPr>
          <w:bCs/>
          <w:b/>
        </w:rPr>
        <w:t xml:space="preserve">भूयाम (</w:t>
      </w:r>
      <w:r>
        <w:rPr>
          <w:iCs/>
          <w:i/>
          <w:bCs/>
          <w:b/>
        </w:rPr>
        <w:t xml:space="preserve">bhūyāma</w:t>
      </w:r>
      <w:r>
        <w:rPr>
          <w:bCs/>
          <w:b/>
        </w:rPr>
        <w:t xml:space="preserve">)</w:t>
      </w:r>
      <w:r>
        <w:t xml:space="preserve">: the root</w:t>
      </w:r>
      <w:r>
        <w:t xml:space="preserve"> </w:t>
      </w:r>
      <w:r>
        <w:rPr>
          <w:iCs/>
          <w:i/>
        </w:rPr>
        <w:t xml:space="preserve">bhū sattāyām</w:t>
      </w:r>
      <w:r>
        <w:t xml:space="preserve">. After it, in the sense of prayer,</w:t>
      </w:r>
      <w:r>
        <w:t xml:space="preserve"> </w:t>
      </w:r>
      <w:r>
        <w:rPr>
          <w:iCs/>
          <w:i/>
        </w:rPr>
        <w:t xml:space="preserve">liṅ</w:t>
      </w:r>
      <w:r>
        <w:t xml:space="preserve">; 1st plural</w:t>
      </w:r>
      <w:r>
        <w:t xml:space="preserve"> </w:t>
      </w:r>
      <w:r>
        <w:rPr>
          <w:iCs/>
          <w:i/>
        </w:rPr>
        <w:t xml:space="preserve">mas</w:t>
      </w:r>
      <w:r>
        <w:t xml:space="preserve">:</w:t>
      </w:r>
      <w:r>
        <w:t xml:space="preserve"> </w:t>
      </w:r>
      <w:r>
        <w:rPr>
          <w:iCs/>
          <w:i/>
        </w:rPr>
        <w:t xml:space="preserve">bhū</w:t>
      </w:r>
      <w:r>
        <w:t xml:space="preserve"> </w:t>
      </w:r>
      <w:r>
        <w:t xml:space="preserve">+</w:t>
      </w:r>
      <w:r>
        <w:t xml:space="preserve"> </w:t>
      </w:r>
      <w:r>
        <w:rPr>
          <w:iCs/>
          <w:i/>
        </w:rPr>
        <w:t xml:space="preserve">mas</w:t>
      </w:r>
      <w:r>
        <w:t xml:space="preserve">. By</w:t>
      </w:r>
      <w:r>
        <w:t xml:space="preserve"> </w:t>
      </w:r>
      <w:r>
        <w:t xml:space="preserve">“</w:t>
      </w:r>
      <w:r>
        <w:t xml:space="preserve">nityaṃ ṅitaḥ</w:t>
      </w:r>
      <w:r>
        <w:t xml:space="preserve">”</w:t>
      </w:r>
      <w:r>
        <w:t xml:space="preserve"> </w:t>
      </w:r>
      <w:r>
        <w:t xml:space="preserve">(Pā. sū. 3-4-99) the</w:t>
      </w:r>
      <w:r>
        <w:t xml:space="preserve"> </w:t>
      </w:r>
      <w:r>
        <w:rPr>
          <w:iCs/>
          <w:i/>
        </w:rPr>
        <w:t xml:space="preserve">s</w:t>
      </w:r>
      <w:r>
        <w:t xml:space="preserve"> </w:t>
      </w:r>
      <w:r>
        <w:t xml:space="preserve">drops. By</w:t>
      </w:r>
      <w:r>
        <w:t xml:space="preserve"> </w:t>
      </w:r>
      <w:r>
        <w:t xml:space="preserve">“</w:t>
      </w:r>
      <w:r>
        <w:t xml:space="preserve">yāsuṭ parasmaipadeṣūdātto ṅic ca</w:t>
      </w:r>
      <w:r>
        <w:t xml:space="preserve">”</w:t>
      </w:r>
      <w:r>
        <w:t xml:space="preserve"> </w:t>
      </w:r>
      <w:r>
        <w:t xml:space="preserve">(Pā. sū. 3-4-103) the augment</w:t>
      </w:r>
      <w:r>
        <w:t xml:space="preserve"> </w:t>
      </w:r>
      <w:r>
        <w:rPr>
          <w:iCs/>
          <w:i/>
        </w:rPr>
        <w:t xml:space="preserve">yāsuṭ</w:t>
      </w:r>
      <w:r>
        <w:t xml:space="preserve"> </w:t>
      </w:r>
      <w:r>
        <w:t xml:space="preserve">for the</w:t>
      </w:r>
      <w:r>
        <w:t xml:space="preserve"> </w:t>
      </w:r>
      <w:r>
        <w:rPr>
          <w:iCs/>
          <w:i/>
        </w:rPr>
        <w:t xml:space="preserve">liṅ</w:t>
      </w:r>
      <w:r>
        <w:t xml:space="preserve">; being</w:t>
      </w:r>
      <w:r>
        <w:t xml:space="preserve"> </w:t>
      </w:r>
      <w:r>
        <w:rPr>
          <w:iCs/>
          <w:i/>
        </w:rPr>
        <w:t xml:space="preserve">ṭit</w:t>
      </w:r>
      <w:r>
        <w:t xml:space="preserve">, it comes as the first part by</w:t>
      </w:r>
      <w:r>
        <w:t xml:space="preserve"> </w:t>
      </w:r>
      <w:r>
        <w:t xml:space="preserve">“</w:t>
      </w:r>
      <w:r>
        <w:t xml:space="preserve">ādyantau ṭakitau</w:t>
      </w:r>
      <w:r>
        <w:t xml:space="preserve">”</w:t>
      </w:r>
      <w:r>
        <w:t xml:space="preserve"> </w:t>
      </w:r>
      <w:r>
        <w:t xml:space="preserve">(Pā. sū. 1-1-46):</w:t>
      </w:r>
      <w:r>
        <w:t xml:space="preserve"> </w:t>
      </w:r>
      <w:r>
        <w:rPr>
          <w:iCs/>
          <w:i/>
        </w:rPr>
        <w:t xml:space="preserve">bhū</w:t>
      </w:r>
      <w:r>
        <w:t xml:space="preserve"> </w:t>
      </w:r>
      <w:r>
        <w:t xml:space="preserve">+</w:t>
      </w:r>
      <w:r>
        <w:t xml:space="preserve"> </w:t>
      </w:r>
      <w:r>
        <w:rPr>
          <w:iCs/>
          <w:i/>
        </w:rPr>
        <w:t xml:space="preserve">yās</w:t>
      </w:r>
      <w:r>
        <w:t xml:space="preserve"> </w:t>
      </w:r>
      <w:r>
        <w:t xml:space="preserve">+</w:t>
      </w:r>
      <w:r>
        <w:t xml:space="preserve"> </w:t>
      </w:r>
      <w:r>
        <w:rPr>
          <w:iCs/>
          <w:i/>
        </w:rPr>
        <w:t xml:space="preserve">ma</w:t>
      </w:r>
      <w:r>
        <w:t xml:space="preserve">. By</w:t>
      </w:r>
      <w:r>
        <w:t xml:space="preserve"> </w:t>
      </w:r>
      <w:r>
        <w:t xml:space="preserve">“</w:t>
      </w:r>
      <w:r>
        <w:t xml:space="preserve">liṅaḥ salopo ’nantyasya</w:t>
      </w:r>
      <w:r>
        <w:t xml:space="preserve">”</w:t>
      </w:r>
      <w:r>
        <w:t xml:space="preserve"> </w:t>
      </w:r>
      <w:r>
        <w:t xml:space="preserve">(Pā. sū. 7-2-79) (the non-final</w:t>
      </w:r>
      <w:r>
        <w:t xml:space="preserve"> </w:t>
      </w:r>
      <w:r>
        <w:rPr>
          <w:iCs/>
          <w:i/>
        </w:rPr>
        <w:t xml:space="preserve">s</w:t>
      </w:r>
      <w:r>
        <w:t xml:space="preserve"> </w:t>
      </w:r>
      <w:r>
        <w:t xml:space="preserve">belonging to a</w:t>
      </w:r>
      <w:r>
        <w:t xml:space="preserve"> </w:t>
      </w:r>
      <w:r>
        <w:rPr>
          <w:iCs/>
          <w:i/>
        </w:rPr>
        <w:t xml:space="preserve">liṅ</w:t>
      </w:r>
      <w:r>
        <w:t xml:space="preserve"> </w:t>
      </w:r>
      <w:r>
        <w:t xml:space="preserve">called</w:t>
      </w:r>
      <w:r>
        <w:t xml:space="preserve"> </w:t>
      </w:r>
      <w:r>
        <w:rPr>
          <w:iCs/>
          <w:i/>
        </w:rPr>
        <w:t xml:space="preserve">sārvadhātuka</w:t>
      </w:r>
      <w:r>
        <w:t xml:space="preserve"> </w:t>
      </w:r>
      <w:r>
        <w:t xml:space="preserve">drops) the</w:t>
      </w:r>
      <w:r>
        <w:t xml:space="preserve"> </w:t>
      </w:r>
      <w:r>
        <w:rPr>
          <w:iCs/>
          <w:i/>
        </w:rPr>
        <w:t xml:space="preserve">s</w:t>
      </w:r>
      <w:r>
        <w:t xml:space="preserve"> </w:t>
      </w:r>
      <w:r>
        <w:t xml:space="preserve">drops:</w:t>
      </w:r>
      <w:r>
        <w:t xml:space="preserve"> </w:t>
      </w:r>
      <w:r>
        <w:rPr>
          <w:iCs/>
          <w:i/>
        </w:rPr>
        <w:t xml:space="preserve">bhū</w:t>
      </w:r>
      <w:r>
        <w:t xml:space="preserve"> </w:t>
      </w:r>
      <w:r>
        <w:t xml:space="preserve">+</w:t>
      </w:r>
      <w:r>
        <w:t xml:space="preserve"> </w:t>
      </w:r>
      <w:r>
        <w:rPr>
          <w:iCs/>
          <w:i/>
        </w:rPr>
        <w:t xml:space="preserve">yāma</w:t>
      </w:r>
      <w:r>
        <w:t xml:space="preserve">. The</w:t>
      </w:r>
      <w:r>
        <w:t xml:space="preserve"> </w:t>
      </w:r>
      <w:r>
        <w:rPr>
          <w:iCs/>
          <w:i/>
        </w:rPr>
        <w:t xml:space="preserve">vikaraṇa</w:t>
      </w:r>
      <w:r>
        <w:t xml:space="preserve"> </w:t>
      </w:r>
      <w:r>
        <w:rPr>
          <w:iCs/>
          <w:i/>
        </w:rPr>
        <w:t xml:space="preserve">śap</w:t>
      </w:r>
      <w:r>
        <w:t xml:space="preserve">, come by</w:t>
      </w:r>
      <w:r>
        <w:t xml:space="preserve"> </w:t>
      </w:r>
      <w:r>
        <w:rPr>
          <w:iCs/>
          <w:i/>
        </w:rPr>
        <w:t xml:space="preserve">kartari śap</w:t>
      </w:r>
      <w:r>
        <w:t xml:space="preserve">, takes</w:t>
      </w:r>
      <w:r>
        <w:t xml:space="preserve"> </w:t>
      </w:r>
      <w:r>
        <w:rPr>
          <w:iCs/>
          <w:i/>
        </w:rPr>
        <w:t xml:space="preserve">luk</w:t>
      </w:r>
      <w:r>
        <w:t xml:space="preserve"> </w:t>
      </w:r>
      <w:r>
        <w:t xml:space="preserve">by</w:t>
      </w:r>
      <w:r>
        <w:t xml:space="preserve"> </w:t>
      </w:r>
      <w:r>
        <w:rPr>
          <w:iCs/>
          <w:i/>
        </w:rPr>
        <w:t xml:space="preserve">bahulaṃ chandasi</w:t>
      </w:r>
      <w:r>
        <w:t xml:space="preserve">. The udātta enjoined for the augment</w:t>
      </w:r>
      <w:r>
        <w:t xml:space="preserve"> </w:t>
      </w:r>
      <w:r>
        <w:rPr>
          <w:iCs/>
          <w:i/>
        </w:rPr>
        <w:t xml:space="preserve">yāsuṭ</w:t>
      </w:r>
      <w:r>
        <w:t xml:space="preserve"> </w:t>
      </w:r>
      <w:r>
        <w:t xml:space="preserve">is</w:t>
      </w:r>
      <w:r>
        <w:t xml:space="preserve"> </w:t>
      </w:r>
      <w:r>
        <w:rPr>
          <w:iCs/>
          <w:i/>
        </w:rPr>
        <w:t xml:space="preserve">satiśiṣṭa</w:t>
      </w:r>
      <w:r>
        <w:t xml:space="preserve">; by</w:t>
      </w:r>
      <w:r>
        <w:t xml:space="preserve"> </w:t>
      </w:r>
      <w:r>
        <w:t xml:space="preserve">“</w:t>
      </w:r>
      <w:r>
        <w:t xml:space="preserve">satiśiṣṭasvarabalīyastvaṃ ca</w:t>
      </w:r>
      <w:r>
        <w:t xml:space="preserve">”</w:t>
      </w:r>
      <w:r>
        <w:t xml:space="preserve"> </w:t>
      </w:r>
      <w:r>
        <w:t xml:space="preserve">(Pā. Ma. 6-1-158), being the stronger, it alone stays.</w:t>
      </w:r>
    </w:p>
    <w:p>
      <w:pPr>
        <w:pStyle w:val="BodyText"/>
      </w:pPr>
      <w:r>
        <w:rPr>
          <w:bCs/>
          <w:b/>
        </w:rPr>
        <w:t xml:space="preserve">वाजदाव्नाम् (</w:t>
      </w:r>
      <w:r>
        <w:rPr>
          <w:iCs/>
          <w:i/>
          <w:bCs/>
          <w:b/>
        </w:rPr>
        <w:t xml:space="preserve">vājadāvnām</w:t>
      </w:r>
      <w:r>
        <w:rPr>
          <w:bCs/>
          <w:b/>
        </w:rPr>
        <w:t xml:space="preserve">)</w:t>
      </w:r>
      <w:r>
        <w:t xml:space="preserve">:</w:t>
      </w:r>
      <w:r>
        <w:t xml:space="preserve"> </w:t>
      </w:r>
      <w:r>
        <w:rPr>
          <w:iCs/>
          <w:i/>
        </w:rPr>
        <w:t xml:space="preserve">vājaṃ dadati iti vājadāvānaḥ</w:t>
      </w:r>
      <w:r>
        <w:t xml:space="preserve">. With</w:t>
      </w:r>
      <w:r>
        <w:t xml:space="preserve"> </w:t>
      </w:r>
      <w:r>
        <w:rPr>
          <w:iCs/>
          <w:i/>
        </w:rPr>
        <w:t xml:space="preserve">vāja</w:t>
      </w:r>
      <w:r>
        <w:t xml:space="preserve">, denoting the object, as</w:t>
      </w:r>
      <w:r>
        <w:t xml:space="preserve"> </w:t>
      </w:r>
      <w:r>
        <w:rPr>
          <w:iCs/>
          <w:i/>
        </w:rPr>
        <w:t xml:space="preserve">upapada</w:t>
      </w:r>
      <w:r>
        <w:t xml:space="preserve">, after the root</w:t>
      </w:r>
      <w:r>
        <w:t xml:space="preserve"> </w:t>
      </w:r>
      <w:r>
        <w:rPr>
          <w:iCs/>
          <w:i/>
        </w:rPr>
        <w:t xml:space="preserve">dāñ</w:t>
      </w:r>
      <w:r>
        <w:t xml:space="preserve">, by</w:t>
      </w:r>
      <w:r>
        <w:t xml:space="preserve"> </w:t>
      </w:r>
      <w:r>
        <w:t xml:space="preserve">“</w:t>
      </w:r>
      <w:r>
        <w:t xml:space="preserve">āto maninkvanibvanipaś ca</w:t>
      </w:r>
      <w:r>
        <w:t xml:space="preserve">”</w:t>
      </w:r>
      <w:r>
        <w:t xml:space="preserve"> </w:t>
      </w:r>
      <w:r>
        <w:t xml:space="preserve">(Pā. sū. 3-2-74) (after an</w:t>
      </w:r>
      <w:r>
        <w:t xml:space="preserve"> </w:t>
      </w:r>
      <w:r>
        <w:rPr>
          <w:iCs/>
          <w:i/>
        </w:rPr>
        <w:t xml:space="preserve">ā</w:t>
      </w:r>
      <w:r>
        <w:t xml:space="preserve">-final root, in the Veda, the suffixes</w:t>
      </w:r>
      <w:r>
        <w:t xml:space="preserve"> </w:t>
      </w:r>
      <w:r>
        <w:rPr>
          <w:iCs/>
          <w:i/>
        </w:rPr>
        <w:t xml:space="preserve">manin</w:t>
      </w:r>
      <w:r>
        <w:t xml:space="preserve">,</w:t>
      </w:r>
      <w:r>
        <w:t xml:space="preserve"> </w:t>
      </w:r>
      <w:r>
        <w:rPr>
          <w:iCs/>
          <w:i/>
        </w:rPr>
        <w:t xml:space="preserve">kvanip</w:t>
      </w:r>
      <w:r>
        <w:t xml:space="preserve"> </w:t>
      </w:r>
      <w:r>
        <w:t xml:space="preserve">and</w:t>
      </w:r>
      <w:r>
        <w:t xml:space="preserve"> </w:t>
      </w:r>
      <w:r>
        <w:rPr>
          <w:iCs/>
          <w:i/>
        </w:rPr>
        <w:t xml:space="preserve">vanip</w:t>
      </w:r>
      <w:r>
        <w:t xml:space="preserve"> </w:t>
      </w:r>
      <w:r>
        <w:t xml:space="preserve">come, whether a</w:t>
      </w:r>
      <w:r>
        <w:t xml:space="preserve"> </w:t>
      </w:r>
      <w:r>
        <w:rPr>
          <w:iCs/>
          <w:i/>
        </w:rPr>
        <w:t xml:space="preserve">subanta</w:t>
      </w:r>
      <w:r>
        <w:t xml:space="preserve"> </w:t>
      </w:r>
      <w:r>
        <w:t xml:space="preserve">or a preverb is the</w:t>
      </w:r>
      <w:r>
        <w:t xml:space="preserve"> </w:t>
      </w:r>
      <w:r>
        <w:rPr>
          <w:iCs/>
          <w:i/>
        </w:rPr>
        <w:t xml:space="preserve">upapada</w:t>
      </w:r>
      <w:r>
        <w:t xml:space="preserve">)</w:t>
      </w:r>
      <w:r>
        <w:t xml:space="preserve"> </w:t>
      </w:r>
      <w:r>
        <w:rPr>
          <w:iCs/>
          <w:i/>
        </w:rPr>
        <w:t xml:space="preserve">vanip</w:t>
      </w:r>
      <w:r>
        <w:t xml:space="preserve"> </w:t>
      </w:r>
      <w:r>
        <w:t xml:space="preserve">comes:</w:t>
      </w:r>
      <w:r>
        <w:t xml:space="preserve"> </w:t>
      </w:r>
      <w:r>
        <w:rPr>
          <w:iCs/>
          <w:i/>
        </w:rPr>
        <w:t xml:space="preserve">vāja</w:t>
      </w:r>
      <w:r>
        <w:t xml:space="preserve"> </w:t>
      </w:r>
      <w:r>
        <w:t xml:space="preserve">+</w:t>
      </w:r>
      <w:r>
        <w:t xml:space="preserve"> </w:t>
      </w:r>
      <w:r>
        <w:rPr>
          <w:iCs/>
          <w:i/>
        </w:rPr>
        <w:t xml:space="preserve">am</w:t>
      </w:r>
      <w:r>
        <w:t xml:space="preserve"> </w:t>
      </w:r>
      <w:r>
        <w:t xml:space="preserve">+</w:t>
      </w:r>
      <w:r>
        <w:t xml:space="preserve"> </w:t>
      </w:r>
      <w:r>
        <w:rPr>
          <w:iCs/>
          <w:i/>
        </w:rPr>
        <w:t xml:space="preserve">dā</w:t>
      </w:r>
      <w:r>
        <w:t xml:space="preserve"> </w:t>
      </w:r>
      <w:r>
        <w:t xml:space="preserve">+</w:t>
      </w:r>
      <w:r>
        <w:t xml:space="preserve"> </w:t>
      </w:r>
      <w:r>
        <w:rPr>
          <w:iCs/>
          <w:i/>
        </w:rPr>
        <w:t xml:space="preserve">van</w:t>
      </w:r>
      <w:r>
        <w:t xml:space="preserve">. This is a</w:t>
      </w:r>
      <w:r>
        <w:t xml:space="preserve"> </w:t>
      </w:r>
      <w:r>
        <w:rPr>
          <w:iCs/>
          <w:i/>
        </w:rPr>
        <w:t xml:space="preserve">kṛdanta</w:t>
      </w:r>
      <w:r>
        <w:t xml:space="preserve">; by</w:t>
      </w:r>
      <w:r>
        <w:t xml:space="preserve"> </w:t>
      </w:r>
      <w:r>
        <w:rPr>
          <w:iCs/>
          <w:i/>
        </w:rPr>
        <w:t xml:space="preserve">kṛttaddhitasamāsāś ca</w:t>
      </w:r>
      <w:r>
        <w:t xml:space="preserve"> </w:t>
      </w:r>
      <w:r>
        <w:t xml:space="preserve">it is called</w:t>
      </w:r>
      <w:r>
        <w:t xml:space="preserve"> </w:t>
      </w:r>
      <w:r>
        <w:rPr>
          <w:iCs/>
          <w:i/>
        </w:rPr>
        <w:t xml:space="preserve">prātipadika</w:t>
      </w:r>
      <w:r>
        <w:t xml:space="preserve">; by</w:t>
      </w:r>
      <w:r>
        <w:t xml:space="preserve"> </w:t>
      </w:r>
      <w:r>
        <w:rPr>
          <w:iCs/>
          <w:i/>
        </w:rPr>
        <w:t xml:space="preserve">supo dhātuprātipadikayoḥ</w:t>
      </w:r>
      <w:r>
        <w:t xml:space="preserve"> </w:t>
      </w:r>
      <w:r>
        <w:rPr>
          <w:iCs/>
          <w:i/>
        </w:rPr>
        <w:t xml:space="preserve">luk</w:t>
      </w:r>
      <w:r>
        <w:t xml:space="preserve"> </w:t>
      </w:r>
      <w:r>
        <w:t xml:space="preserve">for the</w:t>
      </w:r>
      <w:r>
        <w:t xml:space="preserve"> </w:t>
      </w:r>
      <w:r>
        <w:rPr>
          <w:iCs/>
          <w:i/>
        </w:rPr>
        <w:t xml:space="preserve">am</w:t>
      </w:r>
      <w:r>
        <w:t xml:space="preserve">.</w:t>
      </w:r>
      <w:r>
        <w:t xml:space="preserve"> </w:t>
      </w:r>
      <w:r>
        <w:rPr>
          <w:iCs/>
          <w:i/>
        </w:rPr>
        <w:t xml:space="preserve">Vanip</w:t>
      </w:r>
      <w:r>
        <w:t xml:space="preserve"> </w:t>
      </w:r>
      <w:r>
        <w:t xml:space="preserve">being</w:t>
      </w:r>
      <w:r>
        <w:t xml:space="preserve"> </w:t>
      </w:r>
      <w:r>
        <w:rPr>
          <w:iCs/>
          <w:i/>
        </w:rPr>
        <w:t xml:space="preserve">pit</w:t>
      </w:r>
      <w:r>
        <w:t xml:space="preserve">, it is unaccented by</w:t>
      </w:r>
      <w:r>
        <w:t xml:space="preserve"> </w:t>
      </w:r>
      <w:r>
        <w:rPr>
          <w:iCs/>
          <w:i/>
        </w:rPr>
        <w:t xml:space="preserve">anudāttau suppitau</w:t>
      </w:r>
      <w:r>
        <w:t xml:space="preserve">;</w:t>
      </w:r>
      <w:r>
        <w:t xml:space="preserve"> </w:t>
      </w:r>
      <w:r>
        <w:rPr>
          <w:iCs/>
          <w:i/>
        </w:rPr>
        <w:t xml:space="preserve">dā</w:t>
      </w:r>
      <w:r>
        <w:t xml:space="preserve"> </w:t>
      </w:r>
      <w:r>
        <w:t xml:space="preserve">is udātta by the root accent. After</w:t>
      </w:r>
      <w:r>
        <w:t xml:space="preserve"> </w:t>
      </w:r>
      <w:r>
        <w:rPr>
          <w:iCs/>
          <w:i/>
        </w:rPr>
        <w:t xml:space="preserve">vāja</w:t>
      </w:r>
      <w:r>
        <w:t xml:space="preserve"> </w:t>
      </w:r>
      <w:r>
        <w:t xml:space="preserve">is compounded with the</w:t>
      </w:r>
      <w:r>
        <w:t xml:space="preserve"> </w:t>
      </w:r>
      <w:r>
        <w:rPr>
          <w:iCs/>
          <w:i/>
        </w:rPr>
        <w:t xml:space="preserve">kṛdanta</w:t>
      </w:r>
      <w:r>
        <w:t xml:space="preserve"> </w:t>
      </w:r>
      <w:r>
        <w:rPr>
          <w:iCs/>
          <w:i/>
        </w:rPr>
        <w:t xml:space="preserve">dāvan</w:t>
      </w:r>
      <w:r>
        <w:t xml:space="preserve"> </w:t>
      </w:r>
      <w:r>
        <w:t xml:space="preserve">by</w:t>
      </w:r>
      <w:r>
        <w:t xml:space="preserve"> </w:t>
      </w:r>
      <w:r>
        <w:t xml:space="preserve">“</w:t>
      </w:r>
      <w:r>
        <w:t xml:space="preserve">upapadam atiṅ</w:t>
      </w:r>
      <w:r>
        <w:t xml:space="preserve">”</w:t>
      </w:r>
      <w:r>
        <w:t xml:space="preserve"> </w:t>
      </w:r>
      <w:r>
        <w:t xml:space="preserve">(Pā. sū. 2-2-19), by</w:t>
      </w:r>
      <w:r>
        <w:t xml:space="preserve"> </w:t>
      </w:r>
      <w:r>
        <w:t xml:space="preserve">“</w:t>
      </w:r>
      <w:r>
        <w:t xml:space="preserve">gatikārakopapadāt kṛt</w:t>
      </w:r>
      <w:r>
        <w:t xml:space="preserve">”</w:t>
      </w:r>
      <w:r>
        <w:t xml:space="preserve"> </w:t>
      </w:r>
      <w:r>
        <w:t xml:space="preserve">(Pā. sū.</w:t>
      </w:r>
      <w:r>
        <w:t xml:space="preserve"> </w:t>
      </w:r>
      <w:r>
        <w:t xml:space="preserve">“</w:t>
      </w:r>
      <w:r>
        <w:t xml:space="preserve">9-2-139</w:t>
      </w:r>
      <w:r>
        <w:t xml:space="preserve">”</w:t>
      </w:r>
      <w:r>
        <w:t xml:space="preserve"> </w:t>
      </w:r>
      <w:r>
        <w:t xml:space="preserve">[as printed, for 6-2-139]) the accent of the</w:t>
      </w:r>
      <w:r>
        <w:t xml:space="preserve"> </w:t>
      </w:r>
      <w:r>
        <w:rPr>
          <w:iCs/>
          <w:i/>
        </w:rPr>
        <w:t xml:space="preserve">kṛt</w:t>
      </w:r>
      <w:r>
        <w:t xml:space="preserve"> </w:t>
      </w:r>
      <w:r>
        <w:t xml:space="preserve">final member comes and stays. After it the genitive plural</w:t>
      </w:r>
      <w:r>
        <w:t xml:space="preserve"> </w:t>
      </w:r>
      <w:r>
        <w:rPr>
          <w:iCs/>
          <w:i/>
        </w:rPr>
        <w:t xml:space="preserve">ām</w:t>
      </w:r>
      <w:r>
        <w:t xml:space="preserve">:</w:t>
      </w:r>
      <w:r>
        <w:t xml:space="preserve"> </w:t>
      </w:r>
      <w:r>
        <w:rPr>
          <w:iCs/>
          <w:i/>
        </w:rPr>
        <w:t xml:space="preserve">vājadāvan</w:t>
      </w:r>
      <w:r>
        <w:t xml:space="preserve"> </w:t>
      </w:r>
      <w:r>
        <w:t xml:space="preserve">+</w:t>
      </w:r>
      <w:r>
        <w:t xml:space="preserve"> </w:t>
      </w:r>
      <w:r>
        <w:rPr>
          <w:iCs/>
          <w:i/>
        </w:rPr>
        <w:t xml:space="preserve">ām</w:t>
      </w:r>
      <w:r>
        <w:t xml:space="preserve">. The part before this suffix is called</w:t>
      </w:r>
      <w:r>
        <w:t xml:space="preserve"> </w:t>
      </w:r>
      <w:r>
        <w:rPr>
          <w:iCs/>
          <w:i/>
        </w:rPr>
        <w:t xml:space="preserve">bha</w:t>
      </w:r>
      <w:r>
        <w:t xml:space="preserve"> </w:t>
      </w:r>
      <w:r>
        <w:t xml:space="preserve">by</w:t>
      </w:r>
      <w:r>
        <w:t xml:space="preserve"> </w:t>
      </w:r>
      <w:r>
        <w:t xml:space="preserve">“</w:t>
      </w:r>
      <w:r>
        <w:t xml:space="preserve">yaci bham</w:t>
      </w:r>
      <w:r>
        <w:t xml:space="preserve">”</w:t>
      </w:r>
      <w:r>
        <w:t xml:space="preserve"> </w:t>
      </w:r>
      <w:r>
        <w:t xml:space="preserve">(Pā. sū. 1-4-18). By</w:t>
      </w:r>
      <w:r>
        <w:t xml:space="preserve"> </w:t>
      </w:r>
      <w:r>
        <w:t xml:space="preserve">“</w:t>
      </w:r>
      <w:r>
        <w:t xml:space="preserve">allopo ’naḥ</w:t>
      </w:r>
      <w:r>
        <w:t xml:space="preserve">”</w:t>
      </w:r>
      <w:r>
        <w:t xml:space="preserve"> </w:t>
      </w:r>
      <w:r>
        <w:t xml:space="preserve">(Pā. sū. 6-4-134) (the short</w:t>
      </w:r>
      <w:r>
        <w:t xml:space="preserve"> </w:t>
      </w:r>
      <w:r>
        <w:rPr>
          <w:iCs/>
          <w:i/>
        </w:rPr>
        <w:t xml:space="preserve">a</w:t>
      </w:r>
      <w:r>
        <w:t xml:space="preserve"> </w:t>
      </w:r>
      <w:r>
        <w:t xml:space="preserve">of an</w:t>
      </w:r>
      <w:r>
        <w:t xml:space="preserve"> </w:t>
      </w:r>
      <w:r>
        <w:rPr>
          <w:iCs/>
          <w:i/>
        </w:rPr>
        <w:t xml:space="preserve">an</w:t>
      </w:r>
      <w:r>
        <w:t xml:space="preserve"> </w:t>
      </w:r>
      <w:r>
        <w:t xml:space="preserve">that is part of the</w:t>
      </w:r>
      <w:r>
        <w:t xml:space="preserve"> </w:t>
      </w:r>
      <w:r>
        <w:rPr>
          <w:iCs/>
          <w:i/>
        </w:rPr>
        <w:t xml:space="preserve">aṅga</w:t>
      </w:r>
      <w:r>
        <w:t xml:space="preserve"> </w:t>
      </w:r>
      <w:r>
        <w:t xml:space="preserve">and stands immediately before a</w:t>
      </w:r>
      <w:r>
        <w:t xml:space="preserve"> </w:t>
      </w:r>
      <w:r>
        <w:rPr>
          <w:iCs/>
          <w:i/>
        </w:rPr>
        <w:t xml:space="preserve">y</w:t>
      </w:r>
      <w:r>
        <w:t xml:space="preserve">- or vowel-initial</w:t>
      </w:r>
      <w:r>
        <w:t xml:space="preserve"> </w:t>
      </w:r>
      <w:r>
        <w:rPr>
          <w:iCs/>
          <w:i/>
        </w:rPr>
        <w:t xml:space="preserve">svādi</w:t>
      </w:r>
      <w:r>
        <w:t xml:space="preserve"> </w:t>
      </w:r>
      <w:r>
        <w:t xml:space="preserve">suffix not called</w:t>
      </w:r>
      <w:r>
        <w:t xml:space="preserve"> </w:t>
      </w:r>
      <w:r>
        <w:rPr>
          <w:iCs/>
          <w:i/>
        </w:rPr>
        <w:t xml:space="preserve">sarvanāmasthāna</w:t>
      </w:r>
      <w:r>
        <w:t xml:space="preserve"> </w:t>
      </w:r>
      <w:r>
        <w:t xml:space="preserve">drops) the</w:t>
      </w:r>
      <w:r>
        <w:t xml:space="preserve"> </w:t>
      </w:r>
      <w:r>
        <w:rPr>
          <w:iCs/>
          <w:i/>
        </w:rPr>
        <w:t xml:space="preserve">a</w:t>
      </w:r>
      <w:r>
        <w:t xml:space="preserve"> </w:t>
      </w:r>
      <w:r>
        <w:t xml:space="preserve">of the final</w:t>
      </w:r>
      <w:r>
        <w:t xml:space="preserve"> </w:t>
      </w:r>
      <w:r>
        <w:rPr>
          <w:iCs/>
          <w:i/>
        </w:rPr>
        <w:t xml:space="preserve">an</w:t>
      </w:r>
      <w:r>
        <w:t xml:space="preserve"> </w:t>
      </w:r>
      <w:r>
        <w:t xml:space="preserve">in</w:t>
      </w:r>
      <w:r>
        <w:t xml:space="preserve"> </w:t>
      </w:r>
      <w:r>
        <w:rPr>
          <w:iCs/>
          <w:i/>
        </w:rPr>
        <w:t xml:space="preserve">vājadāvan</w:t>
      </w:r>
      <w:r>
        <w:t xml:space="preserve"> </w:t>
      </w:r>
      <w:r>
        <w:t xml:space="preserve">drops:</w:t>
      </w:r>
      <w:r>
        <w:t xml:space="preserve"> </w:t>
      </w:r>
      <w:r>
        <w:rPr>
          <w:iCs/>
          <w:i/>
        </w:rPr>
        <w:t xml:space="preserve">vājadāv</w:t>
      </w:r>
      <w:r>
        <w:t xml:space="preserve"> </w:t>
      </w:r>
      <w:r>
        <w:t xml:space="preserve">+</w:t>
      </w:r>
      <w:r>
        <w:t xml:space="preserve"> </w:t>
      </w:r>
      <w:r>
        <w:rPr>
          <w:iCs/>
          <w:i/>
        </w:rPr>
        <w:t xml:space="preserve">n</w:t>
      </w:r>
      <w:r>
        <w:t xml:space="preserve"> </w:t>
      </w:r>
      <w:r>
        <w:t xml:space="preserve">+</w:t>
      </w:r>
      <w:r>
        <w:t xml:space="preserve"> </w:t>
      </w:r>
      <w:r>
        <w:rPr>
          <w:iCs/>
          <w:i/>
        </w:rPr>
        <w:t xml:space="preserve">ām</w:t>
      </w:r>
      <w:r>
        <w:t xml:space="preserve">. Now, since the</w:t>
      </w:r>
      <w:r>
        <w:t xml:space="preserve"> </w:t>
      </w:r>
      <w:r>
        <w:rPr>
          <w:iCs/>
          <w:i/>
        </w:rPr>
        <w:t xml:space="preserve">val</w:t>
      </w:r>
      <w:r>
        <w:t xml:space="preserve"> </w:t>
      </w:r>
      <w:r>
        <w:rPr>
          <w:iCs/>
          <w:i/>
        </w:rPr>
        <w:t xml:space="preserve">n</w:t>
      </w:r>
      <w:r>
        <w:t xml:space="preserve"> </w:t>
      </w:r>
      <w:r>
        <w:t xml:space="preserve">follows, the loss of</w:t>
      </w:r>
      <w:r>
        <w:t xml:space="preserve"> </w:t>
      </w:r>
      <w:r>
        <w:rPr>
          <w:iCs/>
          <w:i/>
        </w:rPr>
        <w:t xml:space="preserve">v</w:t>
      </w:r>
      <w:r>
        <w:t xml:space="preserve"> </w:t>
      </w:r>
      <w:r>
        <w:t xml:space="preserve">would come by</w:t>
      </w:r>
      <w:r>
        <w:t xml:space="preserve"> </w:t>
      </w:r>
      <w:r>
        <w:t xml:space="preserve">“</w:t>
      </w:r>
      <w:r>
        <w:t xml:space="preserve">lopo vyor vali</w:t>
      </w:r>
      <w:r>
        <w:t xml:space="preserve">”</w:t>
      </w:r>
      <w:r>
        <w:t xml:space="preserve"> </w:t>
      </w:r>
      <w:r>
        <w:t xml:space="preserve">(Pā. sū. 6-1-66). But the</w:t>
      </w:r>
      <w:r>
        <w:t xml:space="preserve"> </w:t>
      </w:r>
      <w:r>
        <w:rPr>
          <w:iCs/>
          <w:i/>
        </w:rPr>
        <w:t xml:space="preserve">a</w:t>
      </w:r>
      <w:r>
        <w:t xml:space="preserve">-loss that has come here is</w:t>
      </w:r>
      <w:r>
        <w:t xml:space="preserve"> </w:t>
      </w:r>
      <w:r>
        <w:rPr>
          <w:iCs/>
          <w:i/>
        </w:rPr>
        <w:t xml:space="preserve">sthānivat</w:t>
      </w:r>
      <w:r>
        <w:t xml:space="preserve"> </w:t>
      </w:r>
      <w:r>
        <w:t xml:space="preserve">by</w:t>
      </w:r>
      <w:r>
        <w:t xml:space="preserve"> </w:t>
      </w:r>
      <w:r>
        <w:t xml:space="preserve">“</w:t>
      </w:r>
      <w:r>
        <w:t xml:space="preserve">acaḥ parasmin pūrvavidhau</w:t>
      </w:r>
      <w:r>
        <w:t xml:space="preserve">”</w:t>
      </w:r>
      <w:r>
        <w:t xml:space="preserve"> </w:t>
      </w:r>
      <w:r>
        <w:t xml:space="preserve">(Pā. sū. 1-1-57): the sense of this sūtra is that a substitute that has come in place of a vowel, conditioned by what follows, is treated as the original when an operation is made on what is seen before the original. Here the original is</w:t>
      </w:r>
      <w:r>
        <w:t xml:space="preserve"> </w:t>
      </w:r>
      <w:r>
        <w:rPr>
          <w:iCs/>
          <w:i/>
        </w:rPr>
        <w:t xml:space="preserve">a</w:t>
      </w:r>
      <w:r>
        <w:t xml:space="preserve">, what is seen before it is</w:t>
      </w:r>
      <w:r>
        <w:t xml:space="preserve"> </w:t>
      </w:r>
      <w:r>
        <w:rPr>
          <w:iCs/>
          <w:i/>
        </w:rPr>
        <w:t xml:space="preserve">v</w:t>
      </w:r>
      <w:r>
        <w:t xml:space="preserve">; when the loss operation is made on it, the loss, which came in place of the vowel</w:t>
      </w:r>
      <w:r>
        <w:t xml:space="preserve"> </w:t>
      </w:r>
      <w:r>
        <w:rPr>
          <w:iCs/>
          <w:i/>
        </w:rPr>
        <w:t xml:space="preserve">a</w:t>
      </w:r>
      <w:r>
        <w:t xml:space="preserve"> </w:t>
      </w:r>
      <w:r>
        <w:t xml:space="preserve">and is conditioned by the following</w:t>
      </w:r>
      <w:r>
        <w:t xml:space="preserve"> </w:t>
      </w:r>
      <w:r>
        <w:rPr>
          <w:iCs/>
          <w:i/>
        </w:rPr>
        <w:t xml:space="preserve">ām</w:t>
      </w:r>
      <w:r>
        <w:t xml:space="preserve">, is</w:t>
      </w:r>
      <w:r>
        <w:t xml:space="preserve"> </w:t>
      </w:r>
      <w:r>
        <w:rPr>
          <w:iCs/>
          <w:i/>
        </w:rPr>
        <w:t xml:space="preserve">sthānivat</w:t>
      </w:r>
      <w:r>
        <w:t xml:space="preserve">; that is, it is as if the original were there. So, because the</w:t>
      </w:r>
      <w:r>
        <w:t xml:space="preserve"> </w:t>
      </w:r>
      <w:r>
        <w:rPr>
          <w:iCs/>
          <w:i/>
        </w:rPr>
        <w:t xml:space="preserve">a</w:t>
      </w:r>
      <w:r>
        <w:t xml:space="preserve"> </w:t>
      </w:r>
      <w:r>
        <w:t xml:space="preserve">intervenes, the</w:t>
      </w:r>
      <w:r>
        <w:t xml:space="preserve"> </w:t>
      </w:r>
      <w:r>
        <w:rPr>
          <w:iCs/>
          <w:i/>
        </w:rPr>
        <w:t xml:space="preserve">v</w:t>
      </w:r>
      <w:r>
        <w:t xml:space="preserve"> </w:t>
      </w:r>
      <w:r>
        <w:t xml:space="preserve">is not dropped by</w:t>
      </w:r>
      <w:r>
        <w:t xml:space="preserve"> </w:t>
      </w:r>
      <w:r>
        <w:rPr>
          <w:iCs/>
          <w:i/>
        </w:rPr>
        <w:t xml:space="preserve">lopo vyor vali</w:t>
      </w:r>
      <w:r>
        <w:t xml:space="preserve">:</w:t>
      </w:r>
      <w:r>
        <w:t xml:space="preserve"> </w:t>
      </w:r>
      <w:r>
        <w:rPr>
          <w:iCs/>
          <w:i/>
        </w:rPr>
        <w:t xml:space="preserve">vājadāvnām</w:t>
      </w:r>
      <w:r>
        <w:t xml:space="preserve">.</w:t>
      </w:r>
    </w:p>
    <w:p>
      <w:pPr>
        <w:pStyle w:val="BodyText"/>
      </w:pPr>
      <w:r>
        <w:rPr>
          <w:bCs/>
          <w:b/>
        </w:rPr>
        <w:t xml:space="preserve">॥४॥</w:t>
      </w:r>
    </w:p>
    <w:p>
      <w:r>
        <w:pict>
          <v:rect style="width:0;height:1.5pt" o:hralign="center" o:hrstd="t" o:hr="t"/>
        </w:pict>
      </w:r>
    </w:p>
    <w:bookmarkEnd w:id="797"/>
    <w:bookmarkStart w:id="798" w:name="page-728-sūkta-17-rik-5-metre-pādanicṛt"/>
    <w:p>
      <w:pPr>
        <w:pStyle w:val="Heading3"/>
      </w:pPr>
      <w:r>
        <w:t xml:space="preserve">Page 728 — Sūkta 17, Rik 5 (metre</w:t>
      </w:r>
      <w:r>
        <w:t xml:space="preserve"> </w:t>
      </w:r>
      <w:r>
        <w:rPr>
          <w:iCs/>
          <w:i/>
        </w:rPr>
        <w:t xml:space="preserve">pādanicṛt</w:t>
      </w:r>
      <w:r>
        <w:t xml:space="preserve">)</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इन्द्रः॑ सहस्र॒दाव्नां॑ वरु॑णः॒ शंस्या॑नाम् ।</w:t>
      </w:r>
      <w:r>
        <w:t xml:space="preserve"> </w:t>
      </w:r>
      <w:r>
        <w:t xml:space="preserve">क्रतु॑र्भवत्यु॒क्थ्यः॑ ॥५॥</w:t>
      </w:r>
    </w:p>
    <w:p>
      <w:pPr>
        <w:pStyle w:val="BlockText"/>
      </w:pPr>
      <w:r>
        <w:rPr>
          <w:iCs/>
          <w:i/>
        </w:rPr>
        <w:t xml:space="preserve">índraḥ sahasradā́vnāṃ váruṇaḥ śáṃsyānām |</w:t>
      </w:r>
      <w:r>
        <w:t xml:space="preserve"> </w:t>
      </w:r>
      <w:r>
        <w:rPr>
          <w:iCs/>
          <w:i/>
        </w:rPr>
        <w:t xml:space="preserve">krátur bhavaty ukthyaḥ ||5||</w:t>
      </w:r>
    </w:p>
    <w:p>
      <w:pPr>
        <w:pStyle w:val="FirstParagraph"/>
      </w:pPr>
      <w:r>
        <w:rPr>
          <w:bCs/>
          <w:b/>
        </w:rPr>
        <w:t xml:space="preserve">॥ Pada-pāṭhaḥ ॥</w:t>
      </w:r>
    </w:p>
    <w:p>
      <w:pPr>
        <w:pStyle w:val="BlockText"/>
      </w:pPr>
      <w:r>
        <w:t xml:space="preserve">इन्द्रः । सहस्रऽदाव्नाम् । वरुणः । शंस्यानाम् ॥</w:t>
      </w:r>
      <w:r>
        <w:t xml:space="preserve"> </w:t>
      </w:r>
      <w:r>
        <w:t xml:space="preserve">क्रतुः । भवति । उक्थ्यः ॥५॥</w:t>
      </w:r>
    </w:p>
    <w:p>
      <w:pPr>
        <w:pStyle w:val="BlockText"/>
      </w:pPr>
      <w:r>
        <w:rPr>
          <w:iCs/>
          <w:i/>
        </w:rPr>
        <w:t xml:space="preserve">indraḥ | sahasra ’dāvnām | varuṇaḥ | śaṃsyānām ||</w:t>
      </w:r>
      <w:r>
        <w:t xml:space="preserve"> </w:t>
      </w:r>
      <w:r>
        <w:rPr>
          <w:iCs/>
          <w:i/>
        </w:rPr>
        <w:t xml:space="preserve">kratuḥ | bhavati | ukthyaḥ ||5||</w:t>
      </w:r>
    </w:p>
    <w:p>
      <w:pPr>
        <w:pStyle w:val="FirstParagraph"/>
      </w:pPr>
      <w:r>
        <w:rPr>
          <w:bCs/>
          <w:b/>
        </w:rPr>
        <w:t xml:space="preserve">॥ Sāyaṇa-bhāṣyam ॥</w:t>
      </w:r>
    </w:p>
    <w:p>
      <w:pPr>
        <w:pStyle w:val="BodyText"/>
      </w:pPr>
      <w:r>
        <w:rPr>
          <w:iCs/>
          <w:i/>
        </w:rPr>
        <w:t xml:space="preserve">(येयमिति is as printed; the Kannada on p. 731 has जेयम्. छान्दस्यान्न is as printed, probably for छान्दसत्वान्न [?]. ॥३२॥ closes Varga 32.)</w:t>
      </w:r>
    </w:p>
    <w:p>
      <w:pPr>
        <w:pStyle w:val="BlockText"/>
      </w:pPr>
      <w:r>
        <w:t xml:space="preserve">अयमिन्द्रः सहस्रदाव्नां सहस्रसंख्याकधनप्रदानां मध्ये क्रतुर्धनदानस्य कर्ता भवति । प्रभूतं ददातीत्यर्थः । तथा वरुणः शंस्यानां स्तुत्यानां मध्य उक्थ्यः स्तुत्यो भवति । अतिशयेन स्तुत्य इत्यर्थः ॥ वरुणः उनन्प्रत्ययो नित्त्वादाद्युदात्तः । शंस्यानाम् । शंसु स्तुतौ । ऋहलोर्ण्यत् । तित्स्वरितमिति प्राप्ते ईडवन्दवृशंसदुहां ण्यत इत्याद्युदात्तः । क्रतुः । कृञः कतुः । उ. १-७८ । इति कतुः । कित्त्वाद्गुणाभावे यणादेशः । प्रत्ययस्वरेणाद्युदात्तः । उक्थ्यः । उक्थं शस्त्रम् । तेन स्तुत्यत्वेन तत्र भव उक्थ्यः । भवे छन्दसि । पा. ४-४-११० । इति यत् । यस्येति लोपः । अत्र तित्स्वरितमित्येतद्बाधित्वा तीर्थ्याय कूप्यायेत्यादिवत् द्व्यच्त्वाद्यतोऽनाव इति प्राप्तमाद्युदात्तत्वं सर्वे विधयश्छन्दसि विकल्प्यन्त इति न क्रियते । ननु यस्येति लोपात्प्रागेव तित्स्वरितत्वमस्तु न हि तदा यतोऽनाव इत्येतदस्ति द्व्यच्त्वाभावात् । अत एव ह्यूर्म्याय च सूर्म्याय चेत्यादौ स्वरितत्वं दृश्यते । न च परत्वान्नित्यत्वाच्च यस्येति लोपेन प्रथमतो भाव्यमिति वाच्यम् । प्रकृतिप्रत्ययाश्रयाद्बहिरङ्गाद्यस्येति लोपात्प्रत्ययमात्राश्रयतयान्तरङ्गत्वेन तित्स्वरितमित्येतस्य प्राबल्यात् । अत ऊर्म्यायेत्यादिवदुक्थ्य इत्यत्रापि लक्षणत एव स्वरितत्वं भविष्यतीति किं छान्दसत्वेन । यत्र हि लोपमन्तरेणैव द्व्यच्त्वं तत्र यतोऽनाव इत्येतद्भवति । यथा चेयं येयमिति । लोपनिबन्धनद्व्यच्त्वप्रदेशेषु तु स्वरितेनैव भवितव्यमिति । एवं तर्हि तीर्थ्याय कूप्यायेत्यादौ यदाद्युदात्तत्वं तदेव छान्दसमस्तु । अथात्र तु वर्णादाङ्गं बलीयः । परि. ५५ । इत्यन्तरङ्गत्वेऽपि स्वरितत्वं बाधित्वा लोप एव भविष्यति । तर्ह्युक्थ्य ऊर्म्याय सूर्म्यायेत्यादौ च छान्दसमस्तु । सर्वथैकत्र छान्दस्यान्न मुच्यते ॥३२॥</w:t>
      </w:r>
    </w:p>
    <w:p>
      <w:pPr>
        <w:pStyle w:val="BlockText"/>
      </w:pPr>
      <w:r>
        <w:rPr>
          <w:iCs/>
          <w:i/>
        </w:rPr>
        <w:t xml:space="preserve">ayamindraḥ sahasradāvnāṃ sahasrasaṃkhyākadhanapradānāṃ madhye kraturdhanadānasya kartā bhavati | prabhūtaṃ dadātītyarthaḥ | tathā varuṇaḥ śaṃsyānāṃ stutyānāṃ madhya ukthyaḥ stutyo bhavati | atiśayena stutya ityarthaḥ || varuṇaḥ unanpratyayo nittvādādyudāttaḥ | śaṃsyānām | śaṃsu stutau | ṛhalorṇyat | titsvaritamiti prāpte īḍavandavṛśaṃsaduhāṃ ṇyata ityādyudāttaḥ | kratuḥ | kṛñaḥ katuḥ | u. 1-78 | iti katuḥ | kittvādguṇābhāve yaṇādeśaḥ | pratyayasvareṇādyudāttaḥ | ukthyaḥ | ukthaṃ śastram | tena stutyatvena tatra bhava ukthyaḥ | bhave chandasi | pā. 4-4-110 | iti yat | yasyeti lopaḥ | atra titsvaritamityetadbādhitvā tīrthyāya kūpyāyetyādivat dvyactvādyato ’nāva iti prāptamādyudāttatvaṃ sarve vidhayaśchandasi vikalpyanta iti na kriyate | nanu yasyeti lopātprāgeva titsvaritatvamastu na hi tadā yato ’nāva ityetadasti dvyactvābhāvāt | ata eva hyūrmyāya ca sūrmyāya cetyādau svaritatvaṃ dṛśyate | na ca paratvānnityatvācca yasyeti lopena prathamato bhāvyamiti vācyam | prakṛtipratyayāśrayādbahiraṅgādyasyeti lopātpratyayamātrāśrayatayāntaraṅgatvena titsvaritamityetasya prābalyāt | ata ūrmyāyetyādivadukthya ityatrāpi lakṣaṇata eva svaritatvaṃ bhaviṣyatīti kiṃ chāndasatvena | yatra hi lopamantareṇaiva dvyactvaṃ tatra yato ’nāva ityetadbhavati | yathā ceyaṃ yeyamiti | lopanibandhanadvyactvapradeśeṣu tu svaritenaiva bhavitavyamiti | evaṃ tarhi tīrthyāya kūpyāyetyādau yadādyudāttatvaṃ tadeva chāndasamastu | athātra tu varṇādāṅgaṃ balīyaḥ | pari. 55 | ityantaraṅgatve ’pi svaritatvaṃ bādhitvā lopa eva bhaviṣyati | tarhyukthya ūrmyāya sūrmyāyetyādau ca chāndasamastu | sarvathaikatra chāndasyānna mucyate ||32||</w:t>
      </w:r>
    </w:p>
    <w:p>
      <w:pPr>
        <w:pStyle w:val="FirstParagraph"/>
      </w:pPr>
      <w:r>
        <w:rPr>
          <w:bCs/>
          <w:b/>
        </w:rPr>
        <w:t xml:space="preserve">Translation:</w:t>
      </w:r>
      <w:r>
        <w:t xml:space="preserve"> </w:t>
      </w:r>
      <w:r>
        <w:t xml:space="preserve">“</w:t>
      </w:r>
      <w:r>
        <w:t xml:space="preserve">This Indra, among the</w:t>
      </w:r>
      <w:r>
        <w:t xml:space="preserve"> </w:t>
      </w:r>
      <w:r>
        <w:rPr>
          <w:iCs/>
          <w:i/>
        </w:rPr>
        <w:t xml:space="preserve">sahasradāvan</w:t>
      </w:r>
      <w:r>
        <w:t xml:space="preserve">, givers of wealth by thousands, is</w:t>
      </w:r>
      <w:r>
        <w:t xml:space="preserve"> </w:t>
      </w:r>
      <w:r>
        <w:rPr>
          <w:iCs/>
          <w:i/>
        </w:rPr>
        <w:t xml:space="preserve">kratu</w:t>
      </w:r>
      <w:r>
        <w:t xml:space="preserve">, the doer of the giving of wealth: that is, he gives abundantly. Likewise Varuṇa, among the</w:t>
      </w:r>
      <w:r>
        <w:t xml:space="preserve"> </w:t>
      </w:r>
      <w:r>
        <w:rPr>
          <w:iCs/>
          <w:i/>
        </w:rPr>
        <w:t xml:space="preserve">śaṃsya</w:t>
      </w:r>
      <w:r>
        <w:t xml:space="preserve">, those to be praised, is</w:t>
      </w:r>
      <w:r>
        <w:t xml:space="preserve"> </w:t>
      </w:r>
      <w:r>
        <w:rPr>
          <w:iCs/>
          <w:i/>
        </w:rPr>
        <w:t xml:space="preserve">ukthya</w:t>
      </w:r>
      <w:r>
        <w:t xml:space="preserve">, praiseworthy: that is, praiseworthy in the highest degree.</w:t>
      </w:r>
      <w:r>
        <w:t xml:space="preserve">”</w:t>
      </w:r>
      <w:r>
        <w:t xml:space="preserve"> </w:t>
      </w:r>
      <w:r>
        <w:t xml:space="preserve">(Grammatical tail:</w:t>
      </w:r>
      <w:r>
        <w:t xml:space="preserve"> </w:t>
      </w:r>
      <w:r>
        <w:rPr>
          <w:iCs/>
          <w:i/>
        </w:rPr>
        <w:t xml:space="preserve">varuṇaḥ</w:t>
      </w:r>
      <w:r>
        <w:t xml:space="preserve">, in</w:t>
      </w:r>
      <w:r>
        <w:t xml:space="preserve"> </w:t>
      </w:r>
      <w:r>
        <w:rPr>
          <w:iCs/>
          <w:i/>
        </w:rPr>
        <w:t xml:space="preserve">unan</w:t>
      </w:r>
      <w:r>
        <w:t xml:space="preserve">, initial udātta as</w:t>
      </w:r>
      <w:r>
        <w:t xml:space="preserve"> </w:t>
      </w:r>
      <w:r>
        <w:rPr>
          <w:iCs/>
          <w:i/>
        </w:rPr>
        <w:t xml:space="preserve">nit</w:t>
      </w:r>
      <w:r>
        <w:t xml:space="preserve">;</w:t>
      </w:r>
      <w:r>
        <w:t xml:space="preserve"> </w:t>
      </w:r>
      <w:r>
        <w:rPr>
          <w:iCs/>
          <w:i/>
        </w:rPr>
        <w:t xml:space="preserve">śaṃsyānām</w:t>
      </w:r>
      <w:r>
        <w:t xml:space="preserve">,</w:t>
      </w:r>
      <w:r>
        <w:t xml:space="preserve"> </w:t>
      </w:r>
      <w:r>
        <w:rPr>
          <w:iCs/>
          <w:i/>
        </w:rPr>
        <w:t xml:space="preserve">śaṃsu stutau</w:t>
      </w:r>
      <w:r>
        <w:t xml:space="preserve">,</w:t>
      </w:r>
      <w:r>
        <w:t xml:space="preserve"> </w:t>
      </w:r>
      <w:r>
        <w:rPr>
          <w:iCs/>
          <w:i/>
        </w:rPr>
        <w:t xml:space="preserve">ṇyat</w:t>
      </w:r>
      <w:r>
        <w:t xml:space="preserve"> </w:t>
      </w:r>
      <w:r>
        <w:t xml:space="preserve">by</w:t>
      </w:r>
      <w:r>
        <w:t xml:space="preserve"> </w:t>
      </w:r>
      <w:r>
        <w:rPr>
          <w:iCs/>
          <w:i/>
        </w:rPr>
        <w:t xml:space="preserve">ṛhalor ṇyat</w:t>
      </w:r>
      <w:r>
        <w:t xml:space="preserve">, the svarita due by</w:t>
      </w:r>
      <w:r>
        <w:t xml:space="preserve"> </w:t>
      </w:r>
      <w:r>
        <w:rPr>
          <w:iCs/>
          <w:i/>
        </w:rPr>
        <w:t xml:space="preserve">tit svaritam</w:t>
      </w:r>
      <w:r>
        <w:t xml:space="preserve"> </w:t>
      </w:r>
      <w:r>
        <w:t xml:space="preserve">replaced by initial udātta by</w:t>
      </w:r>
      <w:r>
        <w:t xml:space="preserve"> </w:t>
      </w:r>
      <w:r>
        <w:rPr>
          <w:iCs/>
          <w:i/>
        </w:rPr>
        <w:t xml:space="preserve">īḍavandavṛśaṃsaduhāṃ ṇyataḥ</w:t>
      </w:r>
      <w:r>
        <w:t xml:space="preserve">;</w:t>
      </w:r>
      <w:r>
        <w:t xml:space="preserve"> </w:t>
      </w:r>
      <w:r>
        <w:rPr>
          <w:iCs/>
          <w:i/>
        </w:rPr>
        <w:t xml:space="preserve">kratuḥ</w:t>
      </w:r>
      <w:r>
        <w:t xml:space="preserve">,</w:t>
      </w:r>
      <w:r>
        <w:t xml:space="preserve"> </w:t>
      </w:r>
      <w:r>
        <w:rPr>
          <w:iCs/>
          <w:i/>
        </w:rPr>
        <w:t xml:space="preserve">katu</w:t>
      </w:r>
      <w:r>
        <w:t xml:space="preserve"> </w:t>
      </w:r>
      <w:r>
        <w:t xml:space="preserve">by</w:t>
      </w:r>
      <w:r>
        <w:t xml:space="preserve"> </w:t>
      </w:r>
      <w:r>
        <w:rPr>
          <w:iCs/>
          <w:i/>
        </w:rPr>
        <w:t xml:space="preserve">kṛñaḥ katuḥ</w:t>
      </w:r>
      <w:r>
        <w:t xml:space="preserve"> </w:t>
      </w:r>
      <w:r>
        <w:t xml:space="preserve">(Uṇ. 1-78), no</w:t>
      </w:r>
      <w:r>
        <w:t xml:space="preserve"> </w:t>
      </w:r>
      <w:r>
        <w:rPr>
          <w:iCs/>
          <w:i/>
        </w:rPr>
        <w:t xml:space="preserve">guṇa</w:t>
      </w:r>
      <w:r>
        <w:t xml:space="preserve"> </w:t>
      </w:r>
      <w:r>
        <w:t xml:space="preserve">as it is</w:t>
      </w:r>
      <w:r>
        <w:t xml:space="preserve"> </w:t>
      </w:r>
      <w:r>
        <w:rPr>
          <w:iCs/>
          <w:i/>
        </w:rPr>
        <w:t xml:space="preserve">kit</w:t>
      </w:r>
      <w:r>
        <w:t xml:space="preserve">,</w:t>
      </w:r>
      <w:r>
        <w:t xml:space="preserve"> </w:t>
      </w:r>
      <w:r>
        <w:rPr>
          <w:iCs/>
          <w:i/>
        </w:rPr>
        <w:t xml:space="preserve">yaṇ</w:t>
      </w:r>
      <w:r>
        <w:t xml:space="preserve">, initial udātta by the suffix accent;</w:t>
      </w:r>
      <w:r>
        <w:t xml:space="preserve"> </w:t>
      </w:r>
      <w:r>
        <w:rPr>
          <w:iCs/>
          <w:i/>
        </w:rPr>
        <w:t xml:space="preserve">ukthyaḥ</w:t>
      </w:r>
      <w:r>
        <w:t xml:space="preserve">,</w:t>
      </w:r>
      <w:r>
        <w:t xml:space="preserve"> </w:t>
      </w:r>
      <w:r>
        <w:t xml:space="preserve">“</w:t>
      </w:r>
      <w:r>
        <w:rPr>
          <w:iCs/>
          <w:i/>
        </w:rPr>
        <w:t xml:space="preserve">uktha</w:t>
      </w:r>
      <w:r>
        <w:t xml:space="preserve"> </w:t>
      </w:r>
      <w:r>
        <w:t xml:space="preserve">is the</w:t>
      </w:r>
      <w:r>
        <w:t xml:space="preserve"> </w:t>
      </w:r>
      <w:r>
        <w:rPr>
          <w:iCs/>
          <w:i/>
        </w:rPr>
        <w:t xml:space="preserve">śastra</w:t>
      </w:r>
      <w:r>
        <w:t xml:space="preserve">; being praised by it, he is</w:t>
      </w:r>
      <w:r>
        <w:t xml:space="preserve"> </w:t>
      </w:r>
      <w:r>
        <w:rPr>
          <w:iCs/>
          <w:i/>
        </w:rPr>
        <w:t xml:space="preserve">bhava</w:t>
      </w:r>
      <w:r>
        <w:t xml:space="preserve">, there</w:t>
      </w:r>
      <w:r>
        <w:t xml:space="preserve">”</w:t>
      </w:r>
      <w:r>
        <w:t xml:space="preserve">,</w:t>
      </w:r>
      <w:r>
        <w:t xml:space="preserve"> </w:t>
      </w:r>
      <w:r>
        <w:rPr>
          <w:iCs/>
          <w:i/>
        </w:rPr>
        <w:t xml:space="preserve">yat</w:t>
      </w:r>
      <w:r>
        <w:t xml:space="preserve"> </w:t>
      </w:r>
      <w:r>
        <w:t xml:space="preserve">by</w:t>
      </w:r>
      <w:r>
        <w:t xml:space="preserve"> </w:t>
      </w:r>
      <w:r>
        <w:rPr>
          <w:iCs/>
          <w:i/>
        </w:rPr>
        <w:t xml:space="preserve">bhave chandasi</w:t>
      </w:r>
      <w:r>
        <w:t xml:space="preserve"> </w:t>
      </w:r>
      <w:r>
        <w:t xml:space="preserve">(Pā. 4-4-110), the loss by</w:t>
      </w:r>
      <w:r>
        <w:t xml:space="preserve"> </w:t>
      </w:r>
      <w:r>
        <w:rPr>
          <w:iCs/>
          <w:i/>
        </w:rPr>
        <w:t xml:space="preserve">yasyeti</w:t>
      </w:r>
      <w:r>
        <w:t xml:space="preserve">. Here the initial udātta, due as in</w:t>
      </w:r>
      <w:r>
        <w:t xml:space="preserve"> </w:t>
      </w:r>
      <w:r>
        <w:rPr>
          <w:iCs/>
          <w:i/>
        </w:rPr>
        <w:t xml:space="preserve">tīrthyāya</w:t>
      </w:r>
      <w:r>
        <w:t xml:space="preserve">,</w:t>
      </w:r>
      <w:r>
        <w:t xml:space="preserve"> </w:t>
      </w:r>
      <w:r>
        <w:rPr>
          <w:iCs/>
          <w:i/>
        </w:rPr>
        <w:t xml:space="preserve">kūpyāya</w:t>
      </w:r>
      <w:r>
        <w:t xml:space="preserve"> </w:t>
      </w:r>
      <w:r>
        <w:t xml:space="preserve">by</w:t>
      </w:r>
      <w:r>
        <w:t xml:space="preserve"> </w:t>
      </w:r>
      <w:r>
        <w:rPr>
          <w:iCs/>
          <w:i/>
        </w:rPr>
        <w:t xml:space="preserve">yato ’nāvaḥ</w:t>
      </w:r>
      <w:r>
        <w:t xml:space="preserve"> </w:t>
      </w:r>
      <w:r>
        <w:t xml:space="preserve">because there are two vowels, overriding</w:t>
      </w:r>
      <w:r>
        <w:t xml:space="preserve"> </w:t>
      </w:r>
      <w:r>
        <w:rPr>
          <w:iCs/>
          <w:i/>
        </w:rPr>
        <w:t xml:space="preserve">tit svaritam</w:t>
      </w:r>
      <w:r>
        <w:t xml:space="preserve">, is not made, since all rules are optional in the Veda. The objection follows: let the svarita of</w:t>
      </w:r>
      <w:r>
        <w:t xml:space="preserve"> </w:t>
      </w:r>
      <w:r>
        <w:rPr>
          <w:iCs/>
          <w:i/>
        </w:rPr>
        <w:t xml:space="preserve">tit svaritam</w:t>
      </w:r>
      <w:r>
        <w:t xml:space="preserve"> </w:t>
      </w:r>
      <w:r>
        <w:t xml:space="preserve">come before the loss, when</w:t>
      </w:r>
      <w:r>
        <w:t xml:space="preserve"> </w:t>
      </w:r>
      <w:r>
        <w:rPr>
          <w:iCs/>
          <w:i/>
        </w:rPr>
        <w:t xml:space="preserve">yato ’nāvaḥ</w:t>
      </w:r>
      <w:r>
        <w:t xml:space="preserve"> </w:t>
      </w:r>
      <w:r>
        <w:t xml:space="preserve">has no scope, there not being two vowels; hence the svarita in</w:t>
      </w:r>
      <w:r>
        <w:t xml:space="preserve"> </w:t>
      </w:r>
      <w:r>
        <w:rPr>
          <w:iCs/>
          <w:i/>
        </w:rPr>
        <w:t xml:space="preserve">ūrmyāya ca sūrmyāya ca</w:t>
      </w:r>
      <w:r>
        <w:t xml:space="preserve">; nor may one say that the loss comes first as later and</w:t>
      </w:r>
      <w:r>
        <w:t xml:space="preserve"> </w:t>
      </w:r>
      <w:r>
        <w:rPr>
          <w:iCs/>
          <w:i/>
        </w:rPr>
        <w:t xml:space="preserve">nitya</w:t>
      </w:r>
      <w:r>
        <w:t xml:space="preserve">, since</w:t>
      </w:r>
      <w:r>
        <w:t xml:space="preserve"> </w:t>
      </w:r>
      <w:r>
        <w:rPr>
          <w:iCs/>
          <w:i/>
        </w:rPr>
        <w:t xml:space="preserve">tit svaritam</w:t>
      </w:r>
      <w:r>
        <w:t xml:space="preserve">, depending on the suffix alone, is</w:t>
      </w:r>
      <w:r>
        <w:t xml:space="preserve"> </w:t>
      </w:r>
      <w:r>
        <w:rPr>
          <w:iCs/>
          <w:i/>
        </w:rPr>
        <w:t xml:space="preserve">antaraṅga</w:t>
      </w:r>
      <w:r>
        <w:t xml:space="preserve"> </w:t>
      </w:r>
      <w:r>
        <w:t xml:space="preserve">and stronger than the loss, which depends on base and suffix; so in</w:t>
      </w:r>
      <w:r>
        <w:t xml:space="preserve"> </w:t>
      </w:r>
      <w:r>
        <w:rPr>
          <w:iCs/>
          <w:i/>
        </w:rPr>
        <w:t xml:space="preserve">ukthya</w:t>
      </w:r>
      <w:r>
        <w:t xml:space="preserve"> </w:t>
      </w:r>
      <w:r>
        <w:t xml:space="preserve">too the svarita comes by rule, like</w:t>
      </w:r>
      <w:r>
        <w:t xml:space="preserve"> </w:t>
      </w:r>
      <w:r>
        <w:rPr>
          <w:iCs/>
          <w:i/>
        </w:rPr>
        <w:t xml:space="preserve">ūrmyāya</w:t>
      </w:r>
      <w:r>
        <w:t xml:space="preserve">, and why appeal to the Veda?</w:t>
      </w:r>
      <w:r>
        <w:t xml:space="preserve"> </w:t>
      </w:r>
      <w:r>
        <w:rPr>
          <w:iCs/>
          <w:i/>
        </w:rPr>
        <w:t xml:space="preserve">Yato ’nāvaḥ</w:t>
      </w:r>
      <w:r>
        <w:t xml:space="preserve"> </w:t>
      </w:r>
      <w:r>
        <w:t xml:space="preserve">applies where there are two vowels without a loss, as in</w:t>
      </w:r>
      <w:r>
        <w:t xml:space="preserve"> </w:t>
      </w:r>
      <w:r>
        <w:rPr>
          <w:iCs/>
          <w:i/>
        </w:rPr>
        <w:t xml:space="preserve">ceyam</w:t>
      </w:r>
      <w:r>
        <w:t xml:space="preserve">,</w:t>
      </w:r>
      <w:r>
        <w:t xml:space="preserve"> </w:t>
      </w:r>
      <w:r>
        <w:rPr>
          <w:iCs/>
          <w:i/>
        </w:rPr>
        <w:t xml:space="preserve">jeyam</w:t>
      </w:r>
      <w:r>
        <w:t xml:space="preserve">; where the two vowels depend on the loss, there must be svarita. Then let the initial udātta in</w:t>
      </w:r>
      <w:r>
        <w:t xml:space="preserve"> </w:t>
      </w:r>
      <w:r>
        <w:rPr>
          <w:iCs/>
          <w:i/>
        </w:rPr>
        <w:t xml:space="preserve">tīrthyāya</w:t>
      </w:r>
      <w:r>
        <w:t xml:space="preserve">,</w:t>
      </w:r>
      <w:r>
        <w:t xml:space="preserve"> </w:t>
      </w:r>
      <w:r>
        <w:rPr>
          <w:iCs/>
          <w:i/>
        </w:rPr>
        <w:t xml:space="preserve">kūpyāya</w:t>
      </w:r>
      <w:r>
        <w:t xml:space="preserve"> </w:t>
      </w:r>
      <w:r>
        <w:t xml:space="preserve">be the Vedic one. Or, here, by</w:t>
      </w:r>
      <w:r>
        <w:t xml:space="preserve"> </w:t>
      </w:r>
      <w:r>
        <w:t xml:space="preserve">“</w:t>
      </w:r>
      <w:r>
        <w:t xml:space="preserve">a rule of the</w:t>
      </w:r>
      <w:r>
        <w:t xml:space="preserve"> </w:t>
      </w:r>
      <w:r>
        <w:rPr>
          <w:iCs/>
          <w:i/>
        </w:rPr>
        <w:t xml:space="preserve">aṅga</w:t>
      </w:r>
      <w:r>
        <w:t xml:space="preserve"> </w:t>
      </w:r>
      <w:r>
        <w:t xml:space="preserve">is stronger than one of letters</w:t>
      </w:r>
      <w:r>
        <w:t xml:space="preserve">”</w:t>
      </w:r>
      <w:r>
        <w:t xml:space="preserve"> </w:t>
      </w:r>
      <w:r>
        <w:t xml:space="preserve">(</w:t>
      </w:r>
      <w:r>
        <w:rPr>
          <w:iCs/>
          <w:i/>
        </w:rPr>
        <w:t xml:space="preserve">paribhāṣā</w:t>
      </w:r>
      <w:r>
        <w:t xml:space="preserve"> </w:t>
      </w:r>
      <w:r>
        <w:t xml:space="preserve">55), the loss will override the svarita even though that is</w:t>
      </w:r>
      <w:r>
        <w:t xml:space="preserve"> </w:t>
      </w:r>
      <w:r>
        <w:rPr>
          <w:iCs/>
          <w:i/>
        </w:rPr>
        <w:t xml:space="preserve">antaraṅga</w:t>
      </w:r>
      <w:r>
        <w:t xml:space="preserve">; then let</w:t>
      </w:r>
      <w:r>
        <w:t xml:space="preserve"> </w:t>
      </w:r>
      <w:r>
        <w:rPr>
          <w:iCs/>
          <w:i/>
        </w:rPr>
        <w:t xml:space="preserve">ukthya</w:t>
      </w:r>
      <w:r>
        <w:t xml:space="preserve">,</w:t>
      </w:r>
      <w:r>
        <w:t xml:space="preserve"> </w:t>
      </w:r>
      <w:r>
        <w:rPr>
          <w:iCs/>
          <w:i/>
        </w:rPr>
        <w:t xml:space="preserve">ūrmyāya</w:t>
      </w:r>
      <w:r>
        <w:t xml:space="preserve">,</w:t>
      </w:r>
      <w:r>
        <w:t xml:space="preserve"> </w:t>
      </w:r>
      <w:r>
        <w:rPr>
          <w:iCs/>
          <w:i/>
        </w:rPr>
        <w:t xml:space="preserve">sūrmyāya</w:t>
      </w:r>
      <w:r>
        <w:t xml:space="preserve"> </w:t>
      </w:r>
      <w:r>
        <w:t xml:space="preserve">be Vedic. In every way one does not escape Vedic licence in one place.)</w:t>
      </w:r>
    </w:p>
    <w:bookmarkEnd w:id="798"/>
    <w:bookmarkStart w:id="799" w:name="Xe620230d1d111f23de6922eada85ab63c326df9"/>
    <w:p>
      <w:pPr>
        <w:pStyle w:val="Heading3"/>
      </w:pPr>
      <w:r>
        <w:t xml:space="preserve">Page 729 — Rik 5: word-meanings, overall sense, English, Special Topics, grammar</w:t>
      </w:r>
    </w:p>
    <w:p>
      <w:pPr>
        <w:pStyle w:val="FirstParagraph"/>
      </w:pPr>
      <w:r>
        <w:rPr>
          <w:bCs/>
          <w:b/>
        </w:rPr>
        <w:t xml:space="preserve">॥ Prati-padārthaḥ ॥</w:t>
      </w:r>
    </w:p>
    <w:p>
      <w:pPr>
        <w:pStyle w:val="BodyText"/>
      </w:pPr>
      <w:r>
        <w:t xml:space="preserve">(</w:t>
      </w:r>
      <w:r>
        <w:rPr>
          <w:bCs/>
          <w:b/>
        </w:rPr>
        <w:t xml:space="preserve">अयम् (ayam)</w:t>
      </w:r>
      <w:r>
        <w:t xml:space="preserve">)</w:t>
      </w:r>
      <w:r>
        <w:t xml:space="preserve"> </w:t>
      </w:r>
      <w:r>
        <w:rPr>
          <w:bCs/>
          <w:b/>
        </w:rPr>
        <w:t xml:space="preserve">इन्द्रः (indraḥ)</w:t>
      </w:r>
      <w:r>
        <w:t xml:space="preserve"> </w:t>
      </w:r>
      <w:r>
        <w:t xml:space="preserve">— Indra (who accepts the oblations and the rest mentioned above and brings us good) |</w:t>
      </w:r>
      <w:r>
        <w:t xml:space="preserve"> </w:t>
      </w:r>
      <w:r>
        <w:rPr>
          <w:bCs/>
          <w:b/>
        </w:rPr>
        <w:t xml:space="preserve">सहस्रदाव्नाम् (sahasradāvnām)</w:t>
      </w:r>
      <w:r>
        <w:t xml:space="preserve"> </w:t>
      </w:r>
      <w:r>
        <w:t xml:space="preserve">— among those who give (wealth) by thousands |</w:t>
      </w:r>
      <w:r>
        <w:t xml:space="preserve"> </w:t>
      </w:r>
      <w:r>
        <w:rPr>
          <w:bCs/>
          <w:b/>
        </w:rPr>
        <w:t xml:space="preserve">क्रतुः (kratuḥ)</w:t>
      </w:r>
      <w:r>
        <w:t xml:space="preserve"> </w:t>
      </w:r>
      <w:r>
        <w:t xml:space="preserve">— the doer (of the giving of wealth) |</w:t>
      </w:r>
      <w:r>
        <w:t xml:space="preserve"> </w:t>
      </w:r>
      <w:r>
        <w:rPr>
          <w:bCs/>
          <w:b/>
        </w:rPr>
        <w:t xml:space="preserve">भवति (bhavati)</w:t>
      </w:r>
      <w:r>
        <w:t xml:space="preserve"> </w:t>
      </w:r>
      <w:r>
        <w:t xml:space="preserve">— becomes |</w:t>
      </w:r>
      <w:r>
        <w:t xml:space="preserve"> </w:t>
      </w:r>
      <w:r>
        <w:rPr>
          <w:bCs/>
          <w:b/>
        </w:rPr>
        <w:t xml:space="preserve">वरुणः (varuṇaḥ)</w:t>
      </w:r>
      <w:r>
        <w:t xml:space="preserve"> </w:t>
      </w:r>
      <w:r>
        <w:t xml:space="preserve">— Varuṇa |</w:t>
      </w:r>
      <w:r>
        <w:t xml:space="preserve"> </w:t>
      </w:r>
      <w:r>
        <w:rPr>
          <w:bCs/>
          <w:b/>
        </w:rPr>
        <w:t xml:space="preserve">शंस्यानाम् (śaṃsyānām)</w:t>
      </w:r>
      <w:r>
        <w:t xml:space="preserve"> </w:t>
      </w:r>
      <w:r>
        <w:t xml:space="preserve">— among those who are praised |</w:t>
      </w:r>
      <w:r>
        <w:t xml:space="preserve"> </w:t>
      </w:r>
      <w:r>
        <w:rPr>
          <w:bCs/>
          <w:b/>
        </w:rPr>
        <w:t xml:space="preserve">उक्थ्यः (ukthyaḥ)</w:t>
      </w:r>
      <w:r>
        <w:t xml:space="preserve"> </w:t>
      </w:r>
      <w:r>
        <w:t xml:space="preserve">— praiseworthy (especially) |</w:t>
      </w:r>
      <w:r>
        <w:t xml:space="preserve"> </w:t>
      </w:r>
      <w:r>
        <w:rPr>
          <w:bCs/>
          <w:b/>
        </w:rPr>
        <w:t xml:space="preserve">भवति (bhavati)</w:t>
      </w:r>
      <w:r>
        <w:t xml:space="preserve"> </w:t>
      </w:r>
      <w:r>
        <w:t xml:space="preserve">— becomes.</w:t>
      </w:r>
    </w:p>
    <w:p>
      <w:pPr>
        <w:pStyle w:val="BodyText"/>
      </w:pPr>
      <w:r>
        <w:rPr>
          <w:bCs/>
          <w:b/>
        </w:rPr>
        <w:t xml:space="preserve">॥ Bhāvārthaḥ ॥</w:t>
      </w:r>
    </w:p>
    <w:p>
      <w:pPr>
        <w:pStyle w:val="BodyText"/>
      </w:pPr>
      <w:r>
        <w:t xml:space="preserve">Indra, satisfied as described before, gives us as much wealth as we need. In the same way Varuṇa too is especially praised by us.</w:t>
      </w:r>
    </w:p>
    <w:p>
      <w:pPr>
        <w:pStyle w:val="BodyText"/>
      </w:pPr>
      <w:r>
        <w:rPr>
          <w:bCs/>
          <w:b/>
        </w:rPr>
        <w:t xml:space="preserve">॥ English Translation ॥</w:t>
      </w:r>
      <w:r>
        <w:t xml:space="preserve"> </w:t>
      </w:r>
      <w:r>
        <w:rPr>
          <w:iCs/>
          <w:i/>
        </w:rPr>
        <w:t xml:space="preserve">(as printed in the source)</w:t>
      </w:r>
    </w:p>
    <w:p>
      <w:pPr>
        <w:pStyle w:val="BlockText"/>
      </w:pPr>
      <w:r>
        <w:t xml:space="preserve">Indra is a giver among the givers of thousands; Varuna is to be praised among those who deserve to be praised.</w:t>
      </w:r>
    </w:p>
    <w:p>
      <w:pPr>
        <w:pStyle w:val="FirstParagraph"/>
      </w:pPr>
      <w:r>
        <w:rPr>
          <w:bCs/>
          <w:b/>
        </w:rPr>
        <w:t xml:space="preserve">॥ Viśeṣa-viṣayagaḷu (Special Topics) ॥</w:t>
      </w:r>
    </w:p>
    <w:p>
      <w:pPr>
        <w:pStyle w:val="BodyText"/>
      </w:pPr>
      <w:r>
        <w:t xml:space="preserve">If the sense given above for this ṛk is changed slightly, the intent fits well: Indra is renowned among those who give wealth and the like by thousands, and Varuṇa among those who are greatly praised; their deeds are worthy of praise.</w:t>
      </w:r>
    </w:p>
    <w:p>
      <w:pPr>
        <w:pStyle w:val="BodyText"/>
      </w:pPr>
      <w:r>
        <w:rPr>
          <w:bCs/>
          <w:b/>
        </w:rPr>
        <w:t xml:space="preserve">Kratuḥ</w:t>
      </w:r>
      <w:r>
        <w:t xml:space="preserve">: since the word</w:t>
      </w:r>
      <w:r>
        <w:t xml:space="preserve"> </w:t>
      </w:r>
      <w:r>
        <w:rPr>
          <w:iCs/>
          <w:i/>
        </w:rPr>
        <w:t xml:space="preserve">kratu</w:t>
      </w:r>
      <w:r>
        <w:t xml:space="preserve"> </w:t>
      </w:r>
      <w:r>
        <w:t xml:space="preserve">is read among the twenty-six action-names,</w:t>
      </w:r>
      <w:r>
        <w:t xml:space="preserve"> </w:t>
      </w:r>
      <w:r>
        <w:rPr>
          <w:iCs/>
          <w:i/>
        </w:rPr>
        <w:t xml:space="preserve">apaḥ</w:t>
      </w:r>
      <w:r>
        <w:t xml:space="preserve">,</w:t>
      </w:r>
      <w:r>
        <w:t xml:space="preserve"> </w:t>
      </w:r>
      <w:r>
        <w:rPr>
          <w:iCs/>
          <w:i/>
        </w:rPr>
        <w:t xml:space="preserve">apnaḥ</w:t>
      </w:r>
      <w:r>
        <w:t xml:space="preserve"> </w:t>
      </w:r>
      <w:r>
        <w:t xml:space="preserve">and so on (Ni.</w:t>
      </w:r>
      <w:r>
        <w:t xml:space="preserve"> </w:t>
      </w:r>
      <w:r>
        <w:t xml:space="preserve">“</w:t>
      </w:r>
      <w:r>
        <w:t xml:space="preserve">3-2</w:t>
      </w:r>
      <w:r>
        <w:t xml:space="preserve">”</w:t>
      </w:r>
      <w:r>
        <w:t xml:space="preserve"> </w:t>
      </w:r>
      <w:r>
        <w:t xml:space="preserve">[as read, ?]),</w:t>
      </w:r>
      <w:r>
        <w:t xml:space="preserve"> </w:t>
      </w:r>
      <w:r>
        <w:rPr>
          <w:iCs/>
          <w:i/>
        </w:rPr>
        <w:t xml:space="preserve">kratu</w:t>
      </w:r>
      <w:r>
        <w:t xml:space="preserve"> </w:t>
      </w:r>
      <w:r>
        <w:t xml:space="preserve">means action: here, the daring deed that Indra and Varuṇa do, or the deed of giving wealth and the like to people.</w:t>
      </w:r>
    </w:p>
    <w:p>
      <w:pPr>
        <w:pStyle w:val="BodyText"/>
      </w:pPr>
      <w:r>
        <w:rPr>
          <w:bCs/>
          <w:b/>
        </w:rPr>
        <w:t xml:space="preserve">Ukthyaḥ</w:t>
      </w:r>
      <w:r>
        <w:t xml:space="preserve">:</w:t>
      </w:r>
    </w:p>
    <w:p>
      <w:pPr>
        <w:pStyle w:val="BlockText"/>
      </w:pPr>
      <w:r>
        <w:t xml:space="preserve">उक्थं शस्त्रम् । तेन स्तुत्यत्वेन तत्र भव उक्थ्यः ।</w:t>
      </w:r>
    </w:p>
    <w:p>
      <w:pPr>
        <w:pStyle w:val="BlockText"/>
      </w:pPr>
      <w:r>
        <w:rPr>
          <w:iCs/>
          <w:i/>
        </w:rPr>
        <w:t xml:space="preserve">ukthaṃ śastram | tena stutyatvena tatra bhava ukthyaḥ |</w:t>
      </w:r>
    </w:p>
    <w:p>
      <w:pPr>
        <w:pStyle w:val="FirstParagraph"/>
      </w:pPr>
      <w:r>
        <w:t xml:space="preserve">(</w:t>
      </w:r>
      <w:r>
        <w:t xml:space="preserve">“</w:t>
      </w:r>
      <w:r>
        <w:rPr>
          <w:iCs/>
          <w:i/>
        </w:rPr>
        <w:t xml:space="preserve">Uktha</w:t>
      </w:r>
      <w:r>
        <w:t xml:space="preserve"> </w:t>
      </w:r>
      <w:r>
        <w:t xml:space="preserve">is the</w:t>
      </w:r>
      <w:r>
        <w:t xml:space="preserve"> </w:t>
      </w:r>
      <w:r>
        <w:rPr>
          <w:iCs/>
          <w:i/>
        </w:rPr>
        <w:t xml:space="preserve">śastra</w:t>
      </w:r>
      <w:r>
        <w:t xml:space="preserve">; being praised by it, he who is there is</w:t>
      </w:r>
      <w:r>
        <w:t xml:space="preserve"> </w:t>
      </w:r>
      <w:r>
        <w:rPr>
          <w:iCs/>
          <w:i/>
        </w:rPr>
        <w:t xml:space="preserve">ukthya</w:t>
      </w:r>
      <w:r>
        <w:t xml:space="preserve">.</w:t>
      </w:r>
      <w:r>
        <w:t xml:space="preserve">”</w:t>
      </w:r>
      <w:r>
        <w:t xml:space="preserve">)</w:t>
      </w:r>
      <w:r>
        <w:t xml:space="preserve"> </w:t>
      </w:r>
      <w:r>
        <w:rPr>
          <w:iCs/>
          <w:i/>
        </w:rPr>
        <w:t xml:space="preserve">Uktha</w:t>
      </w:r>
      <w:r>
        <w:t xml:space="preserve"> </w:t>
      </w:r>
      <w:r>
        <w:t xml:space="preserve">means the</w:t>
      </w:r>
      <w:r>
        <w:t xml:space="preserve"> </w:t>
      </w:r>
      <w:r>
        <w:rPr>
          <w:iCs/>
          <w:i/>
        </w:rPr>
        <w:t xml:space="preserve">śastra</w:t>
      </w:r>
      <w:r>
        <w:t xml:space="preserve"> </w:t>
      </w:r>
      <w:r>
        <w:t xml:space="preserve">mantra;</w:t>
      </w:r>
      <w:r>
        <w:t xml:space="preserve"> </w:t>
      </w:r>
      <w:r>
        <w:rPr>
          <w:iCs/>
          <w:i/>
        </w:rPr>
        <w:t xml:space="preserve">ukthya</w:t>
      </w:r>
      <w:r>
        <w:t xml:space="preserve"> </w:t>
      </w:r>
      <w:r>
        <w:t xml:space="preserve">means fit to be praised by reciting that mantra. Here the intent is that the deed of Indra and Varuṇa in giving wealth and the like is praiseworthy.</w:t>
      </w:r>
    </w:p>
    <w:p>
      <w:pPr>
        <w:pStyle w:val="BodyText"/>
      </w:pPr>
      <w:r>
        <w:rPr>
          <w:bCs/>
          <w:b/>
        </w:rPr>
        <w:t xml:space="preserve">॥ Vyākaraṇa-prakriyā ॥</w:t>
      </w:r>
      <w:r>
        <w:t xml:space="preserve"> </w:t>
      </w:r>
      <w:r>
        <w:rPr>
          <w:iCs/>
          <w:i/>
        </w:rPr>
        <w:t xml:space="preserve">(grammar pages 729–732, noted briefly)</w:t>
      </w:r>
    </w:p>
    <w:p>
      <w:pPr>
        <w:pStyle w:val="BodyText"/>
      </w:pPr>
      <w:r>
        <w:rPr>
          <w:bCs/>
          <w:b/>
        </w:rPr>
        <w:t xml:space="preserve">वरुणः (</w:t>
      </w:r>
      <w:r>
        <w:rPr>
          <w:iCs/>
          <w:i/>
          <w:bCs/>
          <w:b/>
        </w:rPr>
        <w:t xml:space="preserve">varuṇaḥ</w:t>
      </w:r>
      <w:r>
        <w:rPr>
          <w:bCs/>
          <w:b/>
        </w:rPr>
        <w:t xml:space="preserve">)</w:t>
      </w:r>
      <w:r>
        <w:t xml:space="preserve">: formed with the suffix</w:t>
      </w:r>
      <w:r>
        <w:t xml:space="preserve"> </w:t>
      </w:r>
      <w:r>
        <w:rPr>
          <w:iCs/>
          <w:i/>
        </w:rPr>
        <w:t xml:space="preserve">unan</w:t>
      </w:r>
      <w:r>
        <w:t xml:space="preserve"> </w:t>
      </w:r>
      <w:r>
        <w:t xml:space="preserve">after the root</w:t>
      </w:r>
      <w:r>
        <w:t xml:space="preserve"> </w:t>
      </w:r>
      <w:r>
        <w:rPr>
          <w:iCs/>
          <w:i/>
        </w:rPr>
        <w:t xml:space="preserve">vṛ</w:t>
      </w:r>
      <w:r>
        <w:t xml:space="preserve"> </w:t>
      </w:r>
      <w:r>
        <w:t xml:space="preserve">by</w:t>
      </w:r>
      <w:r>
        <w:t xml:space="preserve"> </w:t>
      </w:r>
      <w:r>
        <w:t xml:space="preserve">“</w:t>
      </w:r>
      <w:r>
        <w:t xml:space="preserve">kṝvṝdāribhya unan</w:t>
      </w:r>
      <w:r>
        <w:t xml:space="preserve">”</w:t>
      </w:r>
      <w:r>
        <w:t xml:space="preserve"> </w:t>
      </w:r>
      <w:r>
        <w:t xml:space="preserve">(Uṇ. sū.</w:t>
      </w:r>
      <w:r>
        <w:t xml:space="preserve"> </w:t>
      </w:r>
      <w:r>
        <w:t xml:space="preserve">“</w:t>
      </w:r>
      <w:r>
        <w:t xml:space="preserve">3-53</w:t>
      </w:r>
      <w:r>
        <w:t xml:space="preserve">”</w:t>
      </w:r>
      <w:r>
        <w:t xml:space="preserve"> </w:t>
      </w:r>
      <w:r>
        <w:t xml:space="preserve">[?]). Initial udātta by the</w:t>
      </w:r>
      <w:r>
        <w:t xml:space="preserve"> </w:t>
      </w:r>
      <w:r>
        <w:rPr>
          <w:iCs/>
          <w:i/>
        </w:rPr>
        <w:t xml:space="preserve">nit</w:t>
      </w:r>
      <w:r>
        <w:t xml:space="preserve"> </w:t>
      </w:r>
      <w:r>
        <w:t xml:space="preserve">accent.</w:t>
      </w:r>
    </w:p>
    <w:bookmarkEnd w:id="799"/>
    <w:bookmarkStart w:id="800" w:name="page-730-rik-5-grammar"/>
    <w:p>
      <w:pPr>
        <w:pStyle w:val="Heading3"/>
      </w:pPr>
      <w:r>
        <w:t xml:space="preserve">Page 730 — Rik 5: grammar</w:t>
      </w:r>
    </w:p>
    <w:p>
      <w:pPr>
        <w:pStyle w:val="FirstParagraph"/>
      </w:pPr>
      <w:r>
        <w:rPr>
          <w:bCs/>
          <w:b/>
        </w:rPr>
        <w:t xml:space="preserve">शंस्यानाम् (</w:t>
      </w:r>
      <w:r>
        <w:rPr>
          <w:iCs/>
          <w:i/>
          <w:bCs/>
          <w:b/>
        </w:rPr>
        <w:t xml:space="preserve">śaṃsyānām</w:t>
      </w:r>
      <w:r>
        <w:rPr>
          <w:bCs/>
          <w:b/>
        </w:rPr>
        <w:t xml:space="preserve">)</w:t>
      </w:r>
      <w:r>
        <w:t xml:space="preserve">: the root</w:t>
      </w:r>
      <w:r>
        <w:t xml:space="preserve"> </w:t>
      </w:r>
      <w:r>
        <w:rPr>
          <w:iCs/>
          <w:i/>
        </w:rPr>
        <w:t xml:space="preserve">śaṃsu stutau</w:t>
      </w:r>
      <w:r>
        <w:t xml:space="preserve">. By</w:t>
      </w:r>
      <w:r>
        <w:t xml:space="preserve"> </w:t>
      </w:r>
      <w:r>
        <w:t xml:space="preserve">“</w:t>
      </w:r>
      <w:r>
        <w:t xml:space="preserve">ṛhalor ṇyat</w:t>
      </w:r>
      <w:r>
        <w:t xml:space="preserve">”</w:t>
      </w:r>
      <w:r>
        <w:t xml:space="preserve"> </w:t>
      </w:r>
      <w:r>
        <w:t xml:space="preserve">(Pā. sū. 3-1-124)</w:t>
      </w:r>
      <w:r>
        <w:t xml:space="preserve"> </w:t>
      </w:r>
      <w:r>
        <w:rPr>
          <w:iCs/>
          <w:i/>
        </w:rPr>
        <w:t xml:space="preserve">ṇyat</w:t>
      </w:r>
      <w:r>
        <w:t xml:space="preserve"> </w:t>
      </w:r>
      <w:r>
        <w:t xml:space="preserve">comes. By</w:t>
      </w:r>
      <w:r>
        <w:t xml:space="preserve"> </w:t>
      </w:r>
      <w:r>
        <w:t xml:space="preserve">“</w:t>
      </w:r>
      <w:r>
        <w:t xml:space="preserve">tit svaritam</w:t>
      </w:r>
      <w:r>
        <w:t xml:space="preserve">”</w:t>
      </w:r>
      <w:r>
        <w:t xml:space="preserve"> </w:t>
      </w:r>
      <w:r>
        <w:t xml:space="preserve">(Pā. sū. 6-1-185) svarita is due; but by its exception</w:t>
      </w:r>
      <w:r>
        <w:t xml:space="preserve"> </w:t>
      </w:r>
      <w:r>
        <w:t xml:space="preserve">“</w:t>
      </w:r>
      <w:r>
        <w:t xml:space="preserve">īḍavandavṛśaṃsaduhāṃ ṇyataḥ</w:t>
      </w:r>
      <w:r>
        <w:t xml:space="preserve">”</w:t>
      </w:r>
      <w:r>
        <w:t xml:space="preserve"> </w:t>
      </w:r>
      <w:r>
        <w:t xml:space="preserve">(Pā. sū. 6-1-214)</w:t>
      </w:r>
      <w:r>
        <w:t xml:space="preserve"> </w:t>
      </w:r>
      <w:r>
        <w:rPr>
          <w:iCs/>
          <w:i/>
        </w:rPr>
        <w:t xml:space="preserve">śaṃsya</w:t>
      </w:r>
      <w:r>
        <w:t xml:space="preserve">, ending in the suffix</w:t>
      </w:r>
      <w:r>
        <w:t xml:space="preserve"> </w:t>
      </w:r>
      <w:r>
        <w:rPr>
          <w:iCs/>
          <w:i/>
        </w:rPr>
        <w:t xml:space="preserve">ṇyat</w:t>
      </w:r>
      <w:r>
        <w:t xml:space="preserve">, is initial udātta.</w:t>
      </w:r>
    </w:p>
    <w:p>
      <w:pPr>
        <w:pStyle w:val="BodyText"/>
      </w:pPr>
      <w:r>
        <w:rPr>
          <w:bCs/>
          <w:b/>
        </w:rPr>
        <w:t xml:space="preserve">क्रतुः (</w:t>
      </w:r>
      <w:r>
        <w:rPr>
          <w:iCs/>
          <w:i/>
          <w:bCs/>
          <w:b/>
        </w:rPr>
        <w:t xml:space="preserve">kratuḥ</w:t>
      </w:r>
      <w:r>
        <w:rPr>
          <w:bCs/>
          <w:b/>
        </w:rPr>
        <w:t xml:space="preserve">)</w:t>
      </w:r>
      <w:r>
        <w:t xml:space="preserve">: by</w:t>
      </w:r>
      <w:r>
        <w:t xml:space="preserve"> </w:t>
      </w:r>
      <w:r>
        <w:t xml:space="preserve">“</w:t>
      </w:r>
      <w:r>
        <w:t xml:space="preserve">kṛñaḥ katuḥ</w:t>
      </w:r>
      <w:r>
        <w:t xml:space="preserve">”</w:t>
      </w:r>
      <w:r>
        <w:t xml:space="preserve"> </w:t>
      </w:r>
      <w:r>
        <w:t xml:space="preserve">(Uṇ. sū.</w:t>
      </w:r>
      <w:r>
        <w:t xml:space="preserve"> </w:t>
      </w:r>
      <w:r>
        <w:t xml:space="preserve">“</w:t>
      </w:r>
      <w:r>
        <w:t xml:space="preserve">1-77</w:t>
      </w:r>
      <w:r>
        <w:t xml:space="preserve">”</w:t>
      </w:r>
      <w:r>
        <w:t xml:space="preserve"> </w:t>
      </w:r>
      <w:r>
        <w:t xml:space="preserve">[?]; the bhāṣya gives 1-78) the suffix</w:t>
      </w:r>
      <w:r>
        <w:t xml:space="preserve"> </w:t>
      </w:r>
      <w:r>
        <w:rPr>
          <w:iCs/>
          <w:i/>
        </w:rPr>
        <w:t xml:space="preserve">katu</w:t>
      </w:r>
      <w:r>
        <w:t xml:space="preserve"> </w:t>
      </w:r>
      <w:r>
        <w:t xml:space="preserve">comes after</w:t>
      </w:r>
      <w:r>
        <w:t xml:space="preserve"> </w:t>
      </w:r>
      <w:r>
        <w:rPr>
          <w:iCs/>
          <w:i/>
        </w:rPr>
        <w:t xml:space="preserve">ḍukṛñ karaṇe</w:t>
      </w:r>
      <w:r>
        <w:t xml:space="preserve">. So after the root</w:t>
      </w:r>
      <w:r>
        <w:t xml:space="preserve"> </w:t>
      </w:r>
      <w:r>
        <w:rPr>
          <w:iCs/>
          <w:i/>
        </w:rPr>
        <w:t xml:space="preserve">kṛ</w:t>
      </w:r>
      <w:r>
        <w:t xml:space="preserve"> </w:t>
      </w:r>
      <w:r>
        <w:t xml:space="preserve">the suffix</w:t>
      </w:r>
      <w:r>
        <w:t xml:space="preserve"> </w:t>
      </w:r>
      <w:r>
        <w:rPr>
          <w:iCs/>
          <w:i/>
        </w:rPr>
        <w:t xml:space="preserve">katu</w:t>
      </w:r>
      <w:r>
        <w:t xml:space="preserve">; by</w:t>
      </w:r>
      <w:r>
        <w:t xml:space="preserve"> </w:t>
      </w:r>
      <w:r>
        <w:rPr>
          <w:iCs/>
          <w:i/>
        </w:rPr>
        <w:t xml:space="preserve">laśakv ataddhite</w:t>
      </w:r>
      <w:r>
        <w:t xml:space="preserve"> </w:t>
      </w:r>
      <w:r>
        <w:t xml:space="preserve">the</w:t>
      </w:r>
      <w:r>
        <w:t xml:space="preserve"> </w:t>
      </w:r>
      <w:r>
        <w:rPr>
          <w:iCs/>
          <w:i/>
        </w:rPr>
        <w:t xml:space="preserve">k</w:t>
      </w:r>
      <w:r>
        <w:t xml:space="preserve"> </w:t>
      </w:r>
      <w:r>
        <w:t xml:space="preserve">at the start of the suffix is called</w:t>
      </w:r>
      <w:r>
        <w:t xml:space="preserve"> </w:t>
      </w:r>
      <w:r>
        <w:rPr>
          <w:iCs/>
          <w:i/>
        </w:rPr>
        <w:t xml:space="preserve">it</w:t>
      </w:r>
      <w:r>
        <w:t xml:space="preserve"> </w:t>
      </w:r>
      <w:r>
        <w:t xml:space="preserve">and dropped; the suffix being</w:t>
      </w:r>
      <w:r>
        <w:t xml:space="preserve"> </w:t>
      </w:r>
      <w:r>
        <w:rPr>
          <w:iCs/>
          <w:i/>
        </w:rPr>
        <w:t xml:space="preserve">kit</w:t>
      </w:r>
      <w:r>
        <w:t xml:space="preserve">,</w:t>
      </w:r>
      <w:r>
        <w:t xml:space="preserve"> </w:t>
      </w:r>
      <w:r>
        <w:rPr>
          <w:iCs/>
          <w:i/>
        </w:rPr>
        <w:t xml:space="preserve">guṇa</w:t>
      </w:r>
      <w:r>
        <w:t xml:space="preserve"> </w:t>
      </w:r>
      <w:r>
        <w:t xml:space="preserve">does not come. By</w:t>
      </w:r>
      <w:r>
        <w:t xml:space="preserve"> </w:t>
      </w:r>
      <w:r>
        <w:t xml:space="preserve">“</w:t>
      </w:r>
      <w:r>
        <w:t xml:space="preserve">iko yaṇ aci</w:t>
      </w:r>
      <w:r>
        <w:t xml:space="preserve">”</w:t>
      </w:r>
      <w:r>
        <w:t xml:space="preserve"> </w:t>
      </w:r>
      <w:r>
        <w:t xml:space="preserve">(Pā. sū. 6-1-77) the substitute</w:t>
      </w:r>
      <w:r>
        <w:t xml:space="preserve"> </w:t>
      </w:r>
      <w:r>
        <w:rPr>
          <w:iCs/>
          <w:i/>
        </w:rPr>
        <w:t xml:space="preserve">yaṇ</w:t>
      </w:r>
      <w:r>
        <w:t xml:space="preserve">, that is,</w:t>
      </w:r>
      <w:r>
        <w:t xml:space="preserve"> </w:t>
      </w:r>
      <w:r>
        <w:rPr>
          <w:iCs/>
          <w:i/>
        </w:rPr>
        <w:t xml:space="preserve">r</w:t>
      </w:r>
      <w:r>
        <w:t xml:space="preserve"> </w:t>
      </w:r>
      <w:r>
        <w:t xml:space="preserve">for</w:t>
      </w:r>
      <w:r>
        <w:t xml:space="preserve"> </w:t>
      </w:r>
      <w:r>
        <w:rPr>
          <w:iCs/>
          <w:i/>
        </w:rPr>
        <w:t xml:space="preserve">ṛ</w:t>
      </w:r>
      <w:r>
        <w:t xml:space="preserve">:</w:t>
      </w:r>
      <w:r>
        <w:t xml:space="preserve"> </w:t>
      </w:r>
      <w:r>
        <w:rPr>
          <w:iCs/>
          <w:i/>
        </w:rPr>
        <w:t xml:space="preserve">kratu</w:t>
      </w:r>
      <w:r>
        <w:t xml:space="preserve">. This is final udātta by the suffix accent [as printed; the bhāṣya says initial udātta].</w:t>
      </w:r>
    </w:p>
    <w:p>
      <w:pPr>
        <w:pStyle w:val="BodyText"/>
      </w:pPr>
      <w:r>
        <w:rPr>
          <w:bCs/>
          <w:b/>
        </w:rPr>
        <w:t xml:space="preserve">उक्थ्यः (</w:t>
      </w:r>
      <w:r>
        <w:rPr>
          <w:iCs/>
          <w:i/>
          <w:bCs/>
          <w:b/>
        </w:rPr>
        <w:t xml:space="preserve">ukthyaḥ</w:t>
      </w:r>
      <w:r>
        <w:rPr>
          <w:bCs/>
          <w:b/>
        </w:rPr>
        <w:t xml:space="preserve">)</w:t>
      </w:r>
      <w:r>
        <w:t xml:space="preserve">:</w:t>
      </w:r>
      <w:r>
        <w:t xml:space="preserve"> </w:t>
      </w:r>
      <w:r>
        <w:rPr>
          <w:iCs/>
          <w:i/>
        </w:rPr>
        <w:t xml:space="preserve">uktha</w:t>
      </w:r>
      <w:r>
        <w:t xml:space="preserve"> </w:t>
      </w:r>
      <w:r>
        <w:t xml:space="preserve">means</w:t>
      </w:r>
      <w:r>
        <w:t xml:space="preserve"> </w:t>
      </w:r>
      <w:r>
        <w:rPr>
          <w:iCs/>
          <w:i/>
        </w:rPr>
        <w:t xml:space="preserve">śastra</w:t>
      </w:r>
      <w:r>
        <w:t xml:space="preserve">. The</w:t>
      </w:r>
      <w:r>
        <w:t xml:space="preserve"> </w:t>
      </w:r>
      <w:r>
        <w:rPr>
          <w:iCs/>
          <w:i/>
        </w:rPr>
        <w:t xml:space="preserve">yājñikas</w:t>
      </w:r>
      <w:r>
        <w:t xml:space="preserve"> </w:t>
      </w:r>
      <w:r>
        <w:t xml:space="preserve">give the definition of</w:t>
      </w:r>
      <w:r>
        <w:t xml:space="preserve"> </w:t>
      </w:r>
      <w:r>
        <w:rPr>
          <w:iCs/>
          <w:i/>
        </w:rPr>
        <w:t xml:space="preserve">śastra</w:t>
      </w:r>
      <w:r>
        <w:t xml:space="preserve"> </w:t>
      </w:r>
      <w:r>
        <w:t xml:space="preserve">as</w:t>
      </w:r>
    </w:p>
    <w:p>
      <w:pPr>
        <w:pStyle w:val="BlockText"/>
      </w:pPr>
      <w:r>
        <w:t xml:space="preserve">अप्रगीतमन्त्रसाध्यगुणिनिष्ठगुणाभिधानं शस्त्रम्</w:t>
      </w:r>
    </w:p>
    <w:p>
      <w:pPr>
        <w:pStyle w:val="BlockText"/>
      </w:pPr>
      <w:r>
        <w:rPr>
          <w:iCs/>
          <w:i/>
        </w:rPr>
        <w:t xml:space="preserve">apragītamantrasādhyaguṇiniṣṭhaguṇābhidhānaṃ śastram</w:t>
      </w:r>
    </w:p>
    <w:p>
      <w:pPr>
        <w:pStyle w:val="FirstParagraph"/>
      </w:pPr>
      <w:r>
        <w:t xml:space="preserve">(</w:t>
      </w:r>
      <w:r>
        <w:t xml:space="preserve">“</w:t>
      </w:r>
      <w:r>
        <w:rPr>
          <w:iCs/>
          <w:i/>
        </w:rPr>
        <w:t xml:space="preserve">Śastra</w:t>
      </w:r>
      <w:r>
        <w:t xml:space="preserve"> </w:t>
      </w:r>
      <w:r>
        <w:t xml:space="preserve">is the declaration of the qualities residing in the one who has them, accomplished by mantras not sung.</w:t>
      </w:r>
      <w:r>
        <w:t xml:space="preserve">”</w:t>
      </w:r>
      <w:r>
        <w:t xml:space="preserve">) Varuṇa is praised by this</w:t>
      </w:r>
      <w:r>
        <w:t xml:space="preserve"> </w:t>
      </w:r>
      <w:r>
        <w:rPr>
          <w:iCs/>
          <w:i/>
        </w:rPr>
        <w:t xml:space="preserve">śastra</w:t>
      </w:r>
      <w:r>
        <w:t xml:space="preserve">. If the analysis</w:t>
      </w:r>
      <w:r>
        <w:t xml:space="preserve"> </w:t>
      </w:r>
      <w:r>
        <w:rPr>
          <w:iCs/>
          <w:i/>
        </w:rPr>
        <w:t xml:space="preserve">ukthe bhavaḥ</w:t>
      </w:r>
      <w:r>
        <w:t xml:space="preserve"> </w:t>
      </w:r>
      <w:r>
        <w:t xml:space="preserve">is made, by</w:t>
      </w:r>
      <w:r>
        <w:t xml:space="preserve"> </w:t>
      </w:r>
      <w:r>
        <w:t xml:space="preserve">“</w:t>
      </w:r>
      <w:r>
        <w:t xml:space="preserve">bhave chandasi</w:t>
      </w:r>
      <w:r>
        <w:t xml:space="preserve">”</w:t>
      </w:r>
      <w:r>
        <w:t xml:space="preserve"> </w:t>
      </w:r>
      <w:r>
        <w:t xml:space="preserve">(Pā. sū. 4-4-110) (after a locative-final, in the sense</w:t>
      </w:r>
      <w:r>
        <w:t xml:space="preserve"> </w:t>
      </w:r>
      <w:r>
        <w:rPr>
          <w:iCs/>
          <w:i/>
        </w:rPr>
        <w:t xml:space="preserve">bhava</w:t>
      </w:r>
      <w:r>
        <w:t xml:space="preserve">, the suffix</w:t>
      </w:r>
      <w:r>
        <w:t xml:space="preserve"> </w:t>
      </w:r>
      <w:r>
        <w:rPr>
          <w:iCs/>
          <w:i/>
        </w:rPr>
        <w:t xml:space="preserve">yat</w:t>
      </w:r>
      <w:r>
        <w:t xml:space="preserve"> </w:t>
      </w:r>
      <w:r>
        <w:t xml:space="preserve">comes)</w:t>
      </w:r>
      <w:r>
        <w:t xml:space="preserve"> </w:t>
      </w:r>
      <w:r>
        <w:rPr>
          <w:iCs/>
          <w:i/>
        </w:rPr>
        <w:t xml:space="preserve">yat</w:t>
      </w:r>
      <w:r>
        <w:t xml:space="preserve"> </w:t>
      </w:r>
      <w:r>
        <w:t xml:space="preserve">comes;</w:t>
      </w:r>
      <w:r>
        <w:t xml:space="preserve"> </w:t>
      </w:r>
      <w:r>
        <w:rPr>
          <w:iCs/>
          <w:i/>
        </w:rPr>
        <w:t xml:space="preserve">luk</w:t>
      </w:r>
      <w:r>
        <w:t xml:space="preserve"> </w:t>
      </w:r>
      <w:r>
        <w:t xml:space="preserve">for the locative singular suffix inside the stem:</w:t>
      </w:r>
      <w:r>
        <w:t xml:space="preserve"> </w:t>
      </w:r>
      <w:r>
        <w:rPr>
          <w:iCs/>
          <w:i/>
        </w:rPr>
        <w:t xml:space="preserve">uktha</w:t>
      </w:r>
      <w:r>
        <w:t xml:space="preserve"> </w:t>
      </w:r>
      <w:r>
        <w:t xml:space="preserve">+</w:t>
      </w:r>
      <w:r>
        <w:t xml:space="preserve"> </w:t>
      </w:r>
      <w:r>
        <w:rPr>
          <w:iCs/>
          <w:i/>
        </w:rPr>
        <w:t xml:space="preserve">ya</w:t>
      </w:r>
      <w:r>
        <w:t xml:space="preserve">. By</w:t>
      </w:r>
      <w:r>
        <w:t xml:space="preserve"> </w:t>
      </w:r>
      <w:r>
        <w:t xml:space="preserve">“</w:t>
      </w:r>
      <w:r>
        <w:t xml:space="preserve">yasyeti ca</w:t>
      </w:r>
      <w:r>
        <w:t xml:space="preserve">”</w:t>
      </w:r>
      <w:r>
        <w:t xml:space="preserve"> </w:t>
      </w:r>
      <w:r>
        <w:t xml:space="preserve">(Pā. sū. 6-4-148) (when</w:t>
      </w:r>
      <w:r>
        <w:t xml:space="preserve"> </w:t>
      </w:r>
      <w:r>
        <w:rPr>
          <w:iCs/>
          <w:i/>
        </w:rPr>
        <w:t xml:space="preserve">ī</w:t>
      </w:r>
      <w:r>
        <w:t xml:space="preserve"> </w:t>
      </w:r>
      <w:r>
        <w:t xml:space="preserve">or a</w:t>
      </w:r>
      <w:r>
        <w:t xml:space="preserve"> </w:t>
      </w:r>
      <w:r>
        <w:rPr>
          <w:iCs/>
          <w:i/>
        </w:rPr>
        <w:t xml:space="preserve">taddhita</w:t>
      </w:r>
      <w:r>
        <w:t xml:space="preserve"> </w:t>
      </w:r>
      <w:r>
        <w:t xml:space="preserve">follows, the</w:t>
      </w:r>
      <w:r>
        <w:t xml:space="preserve"> </w:t>
      </w:r>
      <w:r>
        <w:rPr>
          <w:iCs/>
          <w:i/>
        </w:rPr>
        <w:t xml:space="preserve">i</w:t>
      </w:r>
      <w:r>
        <w:t xml:space="preserve"> </w:t>
      </w:r>
      <w:r>
        <w:t xml:space="preserve">and</w:t>
      </w:r>
      <w:r>
        <w:t xml:space="preserve"> </w:t>
      </w:r>
      <w:r>
        <w:rPr>
          <w:iCs/>
          <w:i/>
        </w:rPr>
        <w:t xml:space="preserve">a</w:t>
      </w:r>
      <w:r>
        <w:t xml:space="preserve"> </w:t>
      </w:r>
      <w:r>
        <w:t xml:space="preserve">belonging to an</w:t>
      </w:r>
      <w:r>
        <w:t xml:space="preserve"> </w:t>
      </w:r>
      <w:r>
        <w:rPr>
          <w:iCs/>
          <w:i/>
        </w:rPr>
        <w:t xml:space="preserve">aṅga</w:t>
      </w:r>
      <w:r>
        <w:t xml:space="preserve"> </w:t>
      </w:r>
      <w:r>
        <w:t xml:space="preserve">called</w:t>
      </w:r>
      <w:r>
        <w:t xml:space="preserve"> </w:t>
      </w:r>
      <w:r>
        <w:rPr>
          <w:iCs/>
          <w:i/>
        </w:rPr>
        <w:t xml:space="preserve">bha</w:t>
      </w:r>
      <w:r>
        <w:t xml:space="preserve"> </w:t>
      </w:r>
      <w:r>
        <w:t xml:space="preserve">drop) the</w:t>
      </w:r>
      <w:r>
        <w:t xml:space="preserve"> </w:t>
      </w:r>
      <w:r>
        <w:rPr>
          <w:iCs/>
          <w:i/>
        </w:rPr>
        <w:t xml:space="preserve">a</w:t>
      </w:r>
      <w:r>
        <w:t xml:space="preserve"> </w:t>
      </w:r>
      <w:r>
        <w:t xml:space="preserve">drops when the</w:t>
      </w:r>
      <w:r>
        <w:t xml:space="preserve"> </w:t>
      </w:r>
      <w:r>
        <w:rPr>
          <w:iCs/>
          <w:i/>
        </w:rPr>
        <w:t xml:space="preserve">taddhita</w:t>
      </w:r>
      <w:r>
        <w:t xml:space="preserve"> </w:t>
      </w:r>
      <w:r>
        <w:rPr>
          <w:iCs/>
          <w:i/>
        </w:rPr>
        <w:t xml:space="preserve">yat</w:t>
      </w:r>
      <w:r>
        <w:t xml:space="preserve"> </w:t>
      </w:r>
      <w:r>
        <w:t xml:space="preserve">follows:</w:t>
      </w:r>
      <w:r>
        <w:t xml:space="preserve"> </w:t>
      </w:r>
      <w:r>
        <w:rPr>
          <w:iCs/>
          <w:i/>
        </w:rPr>
        <w:t xml:space="preserve">ukthya</w:t>
      </w:r>
      <w:r>
        <w:t xml:space="preserve">. The suffix</w:t>
      </w:r>
      <w:r>
        <w:t xml:space="preserve"> </w:t>
      </w:r>
      <w:r>
        <w:rPr>
          <w:iCs/>
          <w:i/>
        </w:rPr>
        <w:t xml:space="preserve">yat</w:t>
      </w:r>
      <w:r>
        <w:t xml:space="preserve"> </w:t>
      </w:r>
      <w:r>
        <w:t xml:space="preserve">has</w:t>
      </w:r>
      <w:r>
        <w:t xml:space="preserve"> </w:t>
      </w:r>
      <w:r>
        <w:rPr>
          <w:iCs/>
          <w:i/>
        </w:rPr>
        <w:t xml:space="preserve">t</w:t>
      </w:r>
      <w:r>
        <w:t xml:space="preserve"> </w:t>
      </w:r>
      <w:r>
        <w:t xml:space="preserve">as</w:t>
      </w:r>
      <w:r>
        <w:t xml:space="preserve"> </w:t>
      </w:r>
      <w:r>
        <w:rPr>
          <w:iCs/>
          <w:i/>
        </w:rPr>
        <w:t xml:space="preserve">it</w:t>
      </w:r>
      <w:r>
        <w:t xml:space="preserve">; so by</w:t>
      </w:r>
      <w:r>
        <w:t xml:space="preserve"> </w:t>
      </w:r>
      <w:r>
        <w:t xml:space="preserve">“</w:t>
      </w:r>
      <w:r>
        <w:t xml:space="preserve">tit svaritam</w:t>
      </w:r>
      <w:r>
        <w:t xml:space="preserve">”</w:t>
      </w:r>
      <w:r>
        <w:t xml:space="preserve"> </w:t>
      </w:r>
      <w:r>
        <w:t xml:space="preserve">(Pā. sū. 6-1-185) (the last letter of a suffix with</w:t>
      </w:r>
      <w:r>
        <w:t xml:space="preserve"> </w:t>
      </w:r>
      <w:r>
        <w:rPr>
          <w:iCs/>
          <w:i/>
        </w:rPr>
        <w:t xml:space="preserve">t</w:t>
      </w:r>
      <w:r>
        <w:t xml:space="preserve"> </w:t>
      </w:r>
      <w:r>
        <w:t xml:space="preserve">as</w:t>
      </w:r>
      <w:r>
        <w:t xml:space="preserve"> </w:t>
      </w:r>
      <w:r>
        <w:rPr>
          <w:iCs/>
          <w:i/>
        </w:rPr>
        <w:t xml:space="preserve">it</w:t>
      </w:r>
      <w:r>
        <w:t xml:space="preserve"> </w:t>
      </w:r>
      <w:r>
        <w:t xml:space="preserve">is svarita) the svarita comes. Although here the</w:t>
      </w:r>
      <w:r>
        <w:t xml:space="preserve"> </w:t>
      </w:r>
      <w:r>
        <w:rPr>
          <w:iCs/>
          <w:i/>
        </w:rPr>
        <w:t xml:space="preserve">yat</w:t>
      </w:r>
      <w:r>
        <w:t xml:space="preserve">-final</w:t>
      </w:r>
      <w:r>
        <w:t xml:space="preserve"> </w:t>
      </w:r>
      <w:r>
        <w:rPr>
          <w:iCs/>
          <w:i/>
        </w:rPr>
        <w:t xml:space="preserve">ukthya</w:t>
      </w:r>
      <w:r>
        <w:t xml:space="preserve"> </w:t>
      </w:r>
      <w:r>
        <w:t xml:space="preserve">has two vowels (</w:t>
      </w:r>
      <w:r>
        <w:rPr>
          <w:iCs/>
          <w:i/>
        </w:rPr>
        <w:t xml:space="preserve">ac</w:t>
      </w:r>
      <w:r>
        <w:t xml:space="preserve">), and so, just as initial udātta comes in</w:t>
      </w:r>
      <w:r>
        <w:t xml:space="preserve"> </w:t>
      </w:r>
      <w:r>
        <w:rPr>
          <w:iCs/>
          <w:i/>
        </w:rPr>
        <w:t xml:space="preserve">tīrthya</w:t>
      </w:r>
      <w:r>
        <w:t xml:space="preserve"> </w:t>
      </w:r>
      <w:r>
        <w:t xml:space="preserve">of</w:t>
      </w:r>
      <w:r>
        <w:t xml:space="preserve"> </w:t>
      </w:r>
      <w:r>
        <w:rPr>
          <w:iCs/>
          <w:i/>
        </w:rPr>
        <w:t xml:space="preserve">tīrthyāya</w:t>
      </w:r>
      <w:r>
        <w:t xml:space="preserve"> </w:t>
      </w:r>
      <w:r>
        <w:t xml:space="preserve">and</w:t>
      </w:r>
      <w:r>
        <w:t xml:space="preserve"> </w:t>
      </w:r>
      <w:r>
        <w:rPr>
          <w:iCs/>
          <w:i/>
        </w:rPr>
        <w:t xml:space="preserve">kūpya</w:t>
      </w:r>
      <w:r>
        <w:t xml:space="preserve"> </w:t>
      </w:r>
      <w:r>
        <w:t xml:space="preserve">of</w:t>
      </w:r>
      <w:r>
        <w:t xml:space="preserve"> </w:t>
      </w:r>
      <w:r>
        <w:rPr>
          <w:iCs/>
          <w:i/>
        </w:rPr>
        <w:t xml:space="preserve">kūpyāya</w:t>
      </w:r>
      <w:r>
        <w:t xml:space="preserve"> </w:t>
      </w:r>
      <w:r>
        <w:t xml:space="preserve">by</w:t>
      </w:r>
      <w:r>
        <w:t xml:space="preserve"> </w:t>
      </w:r>
      <w:r>
        <w:t xml:space="preserve">“</w:t>
      </w:r>
      <w:r>
        <w:t xml:space="preserve">yato ’nāvaḥ</w:t>
      </w:r>
      <w:r>
        <w:t xml:space="preserve">”</w:t>
      </w:r>
      <w:r>
        <w:t xml:space="preserve"> </w:t>
      </w:r>
      <w:r>
        <w:t xml:space="preserve">(Pā. sū. 6-1-213), the exception to</w:t>
      </w:r>
      <w:r>
        <w:t xml:space="preserve"> </w:t>
      </w:r>
      <w:r>
        <w:rPr>
          <w:iCs/>
          <w:i/>
        </w:rPr>
        <w:t xml:space="preserve">tit svaritam</w:t>
      </w:r>
      <w:r>
        <w:t xml:space="preserve"> </w:t>
      </w:r>
      <w:r>
        <w:t xml:space="preserve">(a two-vowel word ending in a</w:t>
      </w:r>
      <w:r>
        <w:t xml:space="preserve"> </w:t>
      </w:r>
      <w:r>
        <w:rPr>
          <w:iCs/>
          <w:i/>
        </w:rPr>
        <w:t xml:space="preserve">yat</w:t>
      </w:r>
      <w:r>
        <w:t xml:space="preserve"> </w:t>
      </w:r>
      <w:r>
        <w:t xml:space="preserve">enjoined after a word other than</w:t>
      </w:r>
      <w:r>
        <w:t xml:space="preserve"> </w:t>
      </w:r>
      <w:r>
        <w:rPr>
          <w:iCs/>
          <w:i/>
        </w:rPr>
        <w:t xml:space="preserve">nau</w:t>
      </w:r>
      <w:r>
        <w:t xml:space="preserve"> </w:t>
      </w:r>
      <w:r>
        <w:t xml:space="preserve">is initial udātta), initial udātta would be due here too by</w:t>
      </w:r>
      <w:r>
        <w:t xml:space="preserve"> </w:t>
      </w:r>
      <w:r>
        <w:rPr>
          <w:iCs/>
          <w:i/>
        </w:rPr>
        <w:t xml:space="preserve">yato ’nāvaḥ</w:t>
      </w:r>
      <w:r>
        <w:t xml:space="preserve">; yet by</w:t>
      </w:r>
      <w:r>
        <w:t xml:space="preserve"> </w:t>
      </w:r>
      <w:r>
        <w:t xml:space="preserve">“</w:t>
      </w:r>
      <w:r>
        <w:t xml:space="preserve">sarve vidhayaś chandasi vikalpyante</w:t>
      </w:r>
      <w:r>
        <w:t xml:space="preserve">”</w:t>
      </w:r>
      <w:r>
        <w:t xml:space="preserve"> </w:t>
      </w:r>
      <w:r>
        <w:t xml:space="preserve">(</w:t>
      </w:r>
      <w:r>
        <w:rPr>
          <w:iCs/>
          <w:i/>
        </w:rPr>
        <w:t xml:space="preserve">paribhāṣā</w:t>
      </w:r>
      <w:r>
        <w:t xml:space="preserve"> </w:t>
      </w:r>
      <w:r>
        <w:t xml:space="preserve">35) (in the Veda all rules are optional)</w:t>
      </w:r>
      <w:r>
        <w:t xml:space="preserve"> </w:t>
      </w:r>
      <w:r>
        <w:rPr>
          <w:iCs/>
          <w:i/>
        </w:rPr>
        <w:t xml:space="preserve">yato ’nāvaḥ</w:t>
      </w:r>
      <w:r>
        <w:t xml:space="preserve"> </w:t>
      </w:r>
      <w:r>
        <w:t xml:space="preserve">too is optional, so it does not come here.</w:t>
      </w:r>
    </w:p>
    <w:p>
      <w:pPr>
        <w:pStyle w:val="BodyText"/>
      </w:pPr>
      <w:r>
        <w:t xml:space="preserve">But with</w:t>
      </w:r>
      <w:r>
        <w:t xml:space="preserve"> </w:t>
      </w:r>
      <w:r>
        <w:rPr>
          <w:iCs/>
          <w:i/>
        </w:rPr>
        <w:t xml:space="preserve">uktha</w:t>
      </w:r>
      <w:r>
        <w:t xml:space="preserve"> </w:t>
      </w:r>
      <w:r>
        <w:t xml:space="preserve">+</w:t>
      </w:r>
      <w:r>
        <w:t xml:space="preserve"> </w:t>
      </w:r>
      <w:r>
        <w:rPr>
          <w:iCs/>
          <w:i/>
        </w:rPr>
        <w:t xml:space="preserve">ya</w:t>
      </w:r>
      <w:r>
        <w:t xml:space="preserve">, let the svarita of</w:t>
      </w:r>
      <w:r>
        <w:t xml:space="preserve"> </w:t>
      </w:r>
      <w:r>
        <w:rPr>
          <w:iCs/>
          <w:i/>
        </w:rPr>
        <w:t xml:space="preserve">tit svaritam</w:t>
      </w:r>
      <w:r>
        <w:t xml:space="preserve"> </w:t>
      </w:r>
      <w:r>
        <w:t xml:space="preserve">come first, before the loss of</w:t>
      </w:r>
      <w:r>
        <w:t xml:space="preserve"> </w:t>
      </w:r>
      <w:r>
        <w:rPr>
          <w:iCs/>
          <w:i/>
        </w:rPr>
        <w:t xml:space="preserve">a</w:t>
      </w:r>
      <w:r>
        <w:t xml:space="preserve"> </w:t>
      </w:r>
      <w:r>
        <w:t xml:space="preserve">by</w:t>
      </w:r>
      <w:r>
        <w:t xml:space="preserve"> </w:t>
      </w:r>
      <w:r>
        <w:rPr>
          <w:iCs/>
          <w:i/>
        </w:rPr>
        <w:t xml:space="preserve">yasyeti ca</w:t>
      </w:r>
      <w:r>
        <w:t xml:space="preserve">. Now, since there are three vowels, the exception</w:t>
      </w:r>
      <w:r>
        <w:t xml:space="preserve"> </w:t>
      </w:r>
      <w:r>
        <w:rPr>
          <w:iCs/>
          <w:i/>
        </w:rPr>
        <w:t xml:space="preserve">yato ’nāvaḥ</w:t>
      </w:r>
      <w:r>
        <w:t xml:space="preserve"> </w:t>
      </w:r>
      <w:r>
        <w:t xml:space="preserve">has no scope at all. Yet</w:t>
      </w:r>
      <w:r>
        <w:t xml:space="preserve"> </w:t>
      </w:r>
      <w:r>
        <w:rPr>
          <w:iCs/>
          <w:i/>
        </w:rPr>
        <w:t xml:space="preserve">yasyeti ca</w:t>
      </w:r>
      <w:r>
        <w:t xml:space="preserve"> </w:t>
      </w:r>
      <w:r>
        <w:t xml:space="preserve">is read later than</w:t>
      </w:r>
      <w:r>
        <w:t xml:space="preserve"> </w:t>
      </w:r>
      <w:r>
        <w:rPr>
          <w:iCs/>
          <w:i/>
        </w:rPr>
        <w:t xml:space="preserve">tit svaritam</w:t>
      </w:r>
      <w:r>
        <w:t xml:space="preserve"> </w:t>
      </w:r>
      <w:r>
        <w:t xml:space="preserve">in the Aṣṭādhyāyī; so by</w:t>
      </w:r>
      <w:r>
        <w:t xml:space="preserve"> </w:t>
      </w:r>
      <w:r>
        <w:t xml:space="preserve">“</w:t>
      </w:r>
      <w:r>
        <w:t xml:space="preserve">vipratiṣedhe paraṃ kāryam</w:t>
      </w:r>
      <w:r>
        <w:t xml:space="preserve">”</w:t>
      </w:r>
      <w:r>
        <w:t xml:space="preserve"> </w:t>
      </w:r>
      <w:r>
        <w:t xml:space="preserve">(Pā. sū. 1-4-2) the later loss by</w:t>
      </w:r>
      <w:r>
        <w:t xml:space="preserve"> </w:t>
      </w:r>
      <w:r>
        <w:rPr>
          <w:iCs/>
          <w:i/>
        </w:rPr>
        <w:t xml:space="preserve">yasyeti</w:t>
      </w:r>
      <w:r>
        <w:t xml:space="preserve"> </w:t>
      </w:r>
      <w:r>
        <w:t xml:space="preserve">must come first. Moreover,</w:t>
      </w:r>
      <w:r>
        <w:t xml:space="preserve"> </w:t>
      </w:r>
      <w:r>
        <w:rPr>
          <w:iCs/>
          <w:i/>
        </w:rPr>
        <w:t xml:space="preserve">yasyeti ca</w:t>
      </w:r>
      <w:r>
        <w:t xml:space="preserve"> </w:t>
      </w:r>
      <w:r>
        <w:t xml:space="preserve">is</w:t>
      </w:r>
      <w:r>
        <w:t xml:space="preserve"> </w:t>
      </w:r>
      <w:r>
        <w:rPr>
          <w:iCs/>
          <w:i/>
        </w:rPr>
        <w:t xml:space="preserve">nitya</w:t>
      </w:r>
      <w:r>
        <w:t xml:space="preserve">, that is</w:t>
      </w:r>
      <w:r>
        <w:t xml:space="preserve"> </w:t>
      </w:r>
      <w:r>
        <w:rPr>
          <w:iCs/>
          <w:i/>
        </w:rPr>
        <w:t xml:space="preserve">kṛtākṛtaprasaṅgī</w:t>
      </w:r>
      <w:r>
        <w:t xml:space="preserve">: whether the rule</w:t>
      </w:r>
      <w:r>
        <w:t xml:space="preserve"> </w:t>
      </w:r>
      <w:r>
        <w:rPr>
          <w:iCs/>
          <w:i/>
        </w:rPr>
        <w:t xml:space="preserve">tit svaritam</w:t>
      </w:r>
    </w:p>
    <w:bookmarkEnd w:id="800"/>
    <w:bookmarkStart w:id="801" w:name="page-731-rik-5-grammar"/>
    <w:p>
      <w:pPr>
        <w:pStyle w:val="Heading3"/>
      </w:pPr>
      <w:r>
        <w:t xml:space="preserve">Page 731 — Rik 5: grammar</w:t>
      </w:r>
    </w:p>
    <w:p>
      <w:pPr>
        <w:pStyle w:val="FirstParagraph"/>
      </w:pPr>
      <w:r>
        <w:t xml:space="preserve">has applied or not, it comes.</w:t>
      </w:r>
      <w:r>
        <w:t xml:space="preserve"> </w:t>
      </w:r>
      <w:r>
        <w:rPr>
          <w:iCs/>
          <w:i/>
        </w:rPr>
        <w:t xml:space="preserve">Tit svaritam</w:t>
      </w:r>
      <w:r>
        <w:t xml:space="preserve"> </w:t>
      </w:r>
      <w:r>
        <w:t xml:space="preserve">comes if the loss by</w:t>
      </w:r>
      <w:r>
        <w:t xml:space="preserve"> </w:t>
      </w:r>
      <w:r>
        <w:rPr>
          <w:iCs/>
          <w:i/>
        </w:rPr>
        <w:t xml:space="preserve">yasyeti ca</w:t>
      </w:r>
      <w:r>
        <w:t xml:space="preserve"> </w:t>
      </w:r>
      <w:r>
        <w:t xml:space="preserve">has not come; if the loss has come, it is overridden by</w:t>
      </w:r>
      <w:r>
        <w:t xml:space="preserve"> </w:t>
      </w:r>
      <w:r>
        <w:rPr>
          <w:iCs/>
          <w:i/>
        </w:rPr>
        <w:t xml:space="preserve">yato ’nāvaḥ</w:t>
      </w:r>
      <w:r>
        <w:t xml:space="preserve"> </w:t>
      </w:r>
      <w:r>
        <w:t xml:space="preserve">and does not come; so it is not</w:t>
      </w:r>
      <w:r>
        <w:t xml:space="preserve"> </w:t>
      </w:r>
      <w:r>
        <w:rPr>
          <w:iCs/>
          <w:i/>
        </w:rPr>
        <w:t xml:space="preserve">kṛtākṛtaprasaṅgī</w:t>
      </w:r>
      <w:r>
        <w:t xml:space="preserve">. (By the</w:t>
      </w:r>
      <w:r>
        <w:t xml:space="preserve"> </w:t>
      </w:r>
      <w:r>
        <w:rPr>
          <w:iCs/>
          <w:i/>
        </w:rPr>
        <w:t xml:space="preserve">paribhāṣā</w:t>
      </w:r>
    </w:p>
    <w:p>
      <w:pPr>
        <w:pStyle w:val="BlockText"/>
      </w:pPr>
      <w:r>
        <w:t xml:space="preserve">यस्य च लक्षणान्तरेण निमित्तं विहन्यते तदप्यनित्यम्</w:t>
      </w:r>
    </w:p>
    <w:p>
      <w:pPr>
        <w:pStyle w:val="BlockText"/>
      </w:pPr>
      <w:r>
        <w:rPr>
          <w:iCs/>
          <w:i/>
        </w:rPr>
        <w:t xml:space="preserve">yasya ca lakṣaṇāntareṇa nimittaṃ vihanyate tadapyanityam</w:t>
      </w:r>
    </w:p>
    <w:p>
      <w:pPr>
        <w:pStyle w:val="FirstParagraph"/>
      </w:pPr>
      <w:r>
        <w:t xml:space="preserve">(</w:t>
      </w:r>
      <w:r>
        <w:t xml:space="preserve">“</w:t>
      </w:r>
      <w:r>
        <w:t xml:space="preserve">That too whose condition is destroyed by another rule is not</w:t>
      </w:r>
      <w:r>
        <w:t xml:space="preserve"> </w:t>
      </w:r>
      <w:r>
        <w:rPr>
          <w:iCs/>
          <w:i/>
        </w:rPr>
        <w:t xml:space="preserve">nitya</w:t>
      </w:r>
      <w:r>
        <w:t xml:space="preserve">”</w:t>
      </w:r>
      <w:r>
        <w:t xml:space="preserve">), its non-</w:t>
      </w:r>
      <w:r>
        <w:rPr>
          <w:iCs/>
          <w:i/>
        </w:rPr>
        <w:t xml:space="preserve">nitya</w:t>
      </w:r>
      <w:r>
        <w:t xml:space="preserve"> </w:t>
      </w:r>
      <w:r>
        <w:t xml:space="preserve">status is established here.) So it is not</w:t>
      </w:r>
      <w:r>
        <w:t xml:space="preserve"> </w:t>
      </w:r>
      <w:r>
        <w:rPr>
          <w:iCs/>
          <w:i/>
        </w:rPr>
        <w:t xml:space="preserve">nitya</w:t>
      </w:r>
      <w:r>
        <w:t xml:space="preserve">. Thus, being</w:t>
      </w:r>
      <w:r>
        <w:t xml:space="preserve"> </w:t>
      </w:r>
      <w:r>
        <w:rPr>
          <w:iCs/>
          <w:i/>
        </w:rPr>
        <w:t xml:space="preserve">nitya</w:t>
      </w:r>
      <w:r>
        <w:t xml:space="preserve"> </w:t>
      </w:r>
      <w:r>
        <w:t xml:space="preserve">and being later,</w:t>
      </w:r>
      <w:r>
        <w:t xml:space="preserve"> </w:t>
      </w:r>
      <w:r>
        <w:rPr>
          <w:iCs/>
          <w:i/>
        </w:rPr>
        <w:t xml:space="preserve">yasyeti ca</w:t>
      </w:r>
      <w:r>
        <w:t xml:space="preserve"> </w:t>
      </w:r>
      <w:r>
        <w:t xml:space="preserve">is the stronger; so it may be said that the loss must come first by</w:t>
      </w:r>
      <w:r>
        <w:t xml:space="preserve"> </w:t>
      </w:r>
      <w:r>
        <w:rPr>
          <w:iCs/>
          <w:i/>
        </w:rPr>
        <w:t xml:space="preserve">yasyeti ca</w:t>
      </w:r>
      <w:r>
        <w:t xml:space="preserve">, and</w:t>
      </w:r>
      <w:r>
        <w:t xml:space="preserve"> </w:t>
      </w:r>
      <w:r>
        <w:rPr>
          <w:iCs/>
          <w:i/>
        </w:rPr>
        <w:t xml:space="preserve">tit svaritam</w:t>
      </w:r>
      <w:r>
        <w:t xml:space="preserve"> </w:t>
      </w:r>
      <w:r>
        <w:t xml:space="preserve">has no room. Yet</w:t>
      </w:r>
      <w:r>
        <w:t xml:space="preserve"> </w:t>
      </w:r>
      <w:r>
        <w:rPr>
          <w:iCs/>
          <w:i/>
        </w:rPr>
        <w:t xml:space="preserve">tit svaritam</w:t>
      </w:r>
      <w:r>
        <w:t xml:space="preserve"> </w:t>
      </w:r>
      <w:r>
        <w:t xml:space="preserve">depends on the suffix alone, so it needs little, or is not conditioned by what follows, and is</w:t>
      </w:r>
      <w:r>
        <w:t xml:space="preserve"> </w:t>
      </w:r>
      <w:r>
        <w:rPr>
          <w:iCs/>
          <w:i/>
        </w:rPr>
        <w:t xml:space="preserve">antaraṅga</w:t>
      </w:r>
      <w:r>
        <w:t xml:space="preserve">;</w:t>
      </w:r>
      <w:r>
        <w:t xml:space="preserve"> </w:t>
      </w:r>
      <w:r>
        <w:rPr>
          <w:iCs/>
          <w:i/>
        </w:rPr>
        <w:t xml:space="preserve">yasyeti ca</w:t>
      </w:r>
      <w:r>
        <w:t xml:space="preserve"> </w:t>
      </w:r>
      <w:r>
        <w:t xml:space="preserve">comes relying on both base and suffix, so it needs much, or is conditioned by what follows, and is</w:t>
      </w:r>
      <w:r>
        <w:t xml:space="preserve"> </w:t>
      </w:r>
      <w:r>
        <w:rPr>
          <w:iCs/>
          <w:i/>
        </w:rPr>
        <w:t xml:space="preserve">bahiraṅga</w:t>
      </w:r>
      <w:r>
        <w:t xml:space="preserve">. By</w:t>
      </w:r>
      <w:r>
        <w:t xml:space="preserve"> </w:t>
      </w:r>
      <w:r>
        <w:t xml:space="preserve">“</w:t>
      </w:r>
      <w:r>
        <w:t xml:space="preserve">paranityāntaraṅgāpavādānām uttarottaraṃ balīyaḥ</w:t>
      </w:r>
      <w:r>
        <w:t xml:space="preserve">”</w:t>
      </w:r>
      <w:r>
        <w:t xml:space="preserve"> </w:t>
      </w:r>
      <w:r>
        <w:t xml:space="preserve">(</w:t>
      </w:r>
      <w:r>
        <w:rPr>
          <w:iCs/>
          <w:i/>
        </w:rPr>
        <w:t xml:space="preserve">paribhāṣā</w:t>
      </w:r>
      <w:r>
        <w:t xml:space="preserve"> </w:t>
      </w:r>
      <w:r>
        <w:t xml:space="preserve">38) the</w:t>
      </w:r>
      <w:r>
        <w:t xml:space="preserve"> </w:t>
      </w:r>
      <w:r>
        <w:rPr>
          <w:iCs/>
          <w:i/>
        </w:rPr>
        <w:t xml:space="preserve">antaraṅga</w:t>
      </w:r>
      <w:r>
        <w:t xml:space="preserve"> </w:t>
      </w:r>
      <w:r>
        <w:t xml:space="preserve">rule is stronger than both the later and the</w:t>
      </w:r>
      <w:r>
        <w:t xml:space="preserve"> </w:t>
      </w:r>
      <w:r>
        <w:rPr>
          <w:iCs/>
          <w:i/>
        </w:rPr>
        <w:t xml:space="preserve">nitya</w:t>
      </w:r>
      <w:r>
        <w:t xml:space="preserve">. So by</w:t>
      </w:r>
      <w:r>
        <w:t xml:space="preserve"> </w:t>
      </w:r>
      <w:r>
        <w:t xml:space="preserve">“</w:t>
      </w:r>
      <w:r>
        <w:t xml:space="preserve">asiddhaṃ bahiraṅgam antaraṅge</w:t>
      </w:r>
      <w:r>
        <w:t xml:space="preserve">”</w:t>
      </w:r>
      <w:r>
        <w:t xml:space="preserve"> </w:t>
      </w:r>
      <w:r>
        <w:t xml:space="preserve">(</w:t>
      </w:r>
      <w:r>
        <w:rPr>
          <w:iCs/>
          <w:i/>
        </w:rPr>
        <w:t xml:space="preserve">paribhāṣā</w:t>
      </w:r>
      <w:r>
        <w:t xml:space="preserve"> </w:t>
      </w:r>
      <w:r>
        <w:t xml:space="preserve">50), when the</w:t>
      </w:r>
      <w:r>
        <w:t xml:space="preserve"> </w:t>
      </w:r>
      <w:r>
        <w:rPr>
          <w:iCs/>
          <w:i/>
        </w:rPr>
        <w:t xml:space="preserve">antaraṅga</w:t>
      </w:r>
      <w:r>
        <w:t xml:space="preserve"> </w:t>
      </w:r>
      <w:r>
        <w:rPr>
          <w:iCs/>
          <w:i/>
        </w:rPr>
        <w:t xml:space="preserve">tit svaritam</w:t>
      </w:r>
      <w:r>
        <w:t xml:space="preserve"> </w:t>
      </w:r>
      <w:r>
        <w:t xml:space="preserve">is made, the</w:t>
      </w:r>
      <w:r>
        <w:t xml:space="preserve"> </w:t>
      </w:r>
      <w:r>
        <w:rPr>
          <w:iCs/>
          <w:i/>
        </w:rPr>
        <w:t xml:space="preserve">bahiraṅga</w:t>
      </w:r>
      <w:r>
        <w:t xml:space="preserve"> </w:t>
      </w:r>
      <w:r>
        <w:rPr>
          <w:iCs/>
          <w:i/>
        </w:rPr>
        <w:t xml:space="preserve">yasyeti ca</w:t>
      </w:r>
      <w:r>
        <w:t xml:space="preserve"> </w:t>
      </w:r>
      <w:r>
        <w:t xml:space="preserve">counts as not done. So</w:t>
      </w:r>
      <w:r>
        <w:t xml:space="preserve"> </w:t>
      </w:r>
      <w:r>
        <w:rPr>
          <w:iCs/>
          <w:i/>
        </w:rPr>
        <w:t xml:space="preserve">tit svaritam</w:t>
      </w:r>
      <w:r>
        <w:t xml:space="preserve"> </w:t>
      </w:r>
      <w:r>
        <w:t xml:space="preserve">comes first, before</w:t>
      </w:r>
      <w:r>
        <w:t xml:space="preserve"> </w:t>
      </w:r>
      <w:r>
        <w:rPr>
          <w:iCs/>
          <w:i/>
        </w:rPr>
        <w:t xml:space="preserve">yasyeti ca</w:t>
      </w:r>
      <w:r>
        <w:t xml:space="preserve">. That is why the svarita stands in places such as</w:t>
      </w:r>
      <w:r>
        <w:t xml:space="preserve"> </w:t>
      </w:r>
      <w:r>
        <w:rPr>
          <w:iCs/>
          <w:i/>
        </w:rPr>
        <w:t xml:space="preserve">ūrmyāya ca sūrmyāya ca</w:t>
      </w:r>
      <w:r>
        <w:t xml:space="preserve">. In the same way in</w:t>
      </w:r>
      <w:r>
        <w:t xml:space="preserve"> </w:t>
      </w:r>
      <w:r>
        <w:rPr>
          <w:iCs/>
          <w:i/>
        </w:rPr>
        <w:t xml:space="preserve">ukthya</w:t>
      </w:r>
      <w:r>
        <w:t xml:space="preserve"> </w:t>
      </w:r>
      <w:r>
        <w:t xml:space="preserve">the svarita is established by Pāṇini’s sūtra itself. That being so, why establish the svarita in</w:t>
      </w:r>
      <w:r>
        <w:t xml:space="preserve"> </w:t>
      </w:r>
      <w:r>
        <w:rPr>
          <w:iCs/>
          <w:i/>
        </w:rPr>
        <w:t xml:space="preserve">ukthya</w:t>
      </w:r>
      <w:r>
        <w:t xml:space="preserve"> </w:t>
      </w:r>
      <w:r>
        <w:t xml:space="preserve">by relying on the</w:t>
      </w:r>
      <w:r>
        <w:t xml:space="preserve"> </w:t>
      </w:r>
      <w:r>
        <w:rPr>
          <w:iCs/>
          <w:i/>
        </w:rPr>
        <w:t xml:space="preserve">paribhāṣā</w:t>
      </w:r>
      <w:r>
        <w:t xml:space="preserve"> </w:t>
      </w:r>
      <w:r>
        <w:rPr>
          <w:iCs/>
          <w:i/>
        </w:rPr>
        <w:t xml:space="preserve">sarve vidhayaś chandasi</w:t>
      </w:r>
      <w:r>
        <w:t xml:space="preserve">? If it is said that the sūtra</w:t>
      </w:r>
      <w:r>
        <w:t xml:space="preserve"> </w:t>
      </w:r>
      <w:r>
        <w:rPr>
          <w:iCs/>
          <w:i/>
        </w:rPr>
        <w:t xml:space="preserve">yato ’nāvaḥ</w:t>
      </w:r>
      <w:r>
        <w:t xml:space="preserve"> </w:t>
      </w:r>
      <w:r>
        <w:t xml:space="preserve">has scope where there is a</w:t>
      </w:r>
      <w:r>
        <w:t xml:space="preserve"> </w:t>
      </w:r>
      <w:r>
        <w:rPr>
          <w:iCs/>
          <w:i/>
        </w:rPr>
        <w:t xml:space="preserve">yat</w:t>
      </w:r>
      <w:r>
        <w:t xml:space="preserve">-final of two vowels without the loss by</w:t>
      </w:r>
      <w:r>
        <w:t xml:space="preserve"> </w:t>
      </w:r>
      <w:r>
        <w:rPr>
          <w:iCs/>
          <w:i/>
        </w:rPr>
        <w:t xml:space="preserve">yasyeti ca</w:t>
      </w:r>
      <w:r>
        <w:t xml:space="preserve">, in places such as</w:t>
      </w:r>
      <w:r>
        <w:t xml:space="preserve"> </w:t>
      </w:r>
      <w:r>
        <w:rPr>
          <w:iCs/>
          <w:i/>
        </w:rPr>
        <w:t xml:space="preserve">ceyam</w:t>
      </w:r>
      <w:r>
        <w:t xml:space="preserve">,</w:t>
      </w:r>
      <w:r>
        <w:t xml:space="preserve"> </w:t>
      </w:r>
      <w:r>
        <w:rPr>
          <w:iCs/>
          <w:i/>
        </w:rPr>
        <w:t xml:space="preserve">jeyam</w:t>
      </w:r>
      <w:r>
        <w:t xml:space="preserve">, and that in instances where two vowels are got after the loss, svarita alone is right; if the svarita is justified here in this proper way, then in</w:t>
      </w:r>
      <w:r>
        <w:t xml:space="preserve"> </w:t>
      </w:r>
      <w:r>
        <w:rPr>
          <w:iCs/>
          <w:i/>
        </w:rPr>
        <w:t xml:space="preserve">tīrthya</w:t>
      </w:r>
      <w:r>
        <w:t xml:space="preserve"> </w:t>
      </w:r>
      <w:r>
        <w:t xml:space="preserve">and</w:t>
      </w:r>
      <w:r>
        <w:t xml:space="preserve"> </w:t>
      </w:r>
      <w:r>
        <w:rPr>
          <w:iCs/>
          <w:i/>
        </w:rPr>
        <w:t xml:space="preserve">kūpya</w:t>
      </w:r>
      <w:r>
        <w:t xml:space="preserve"> </w:t>
      </w:r>
      <w:r>
        <w:t xml:space="preserve">too, since there are two vowels after the loss, svarita ought to come; so it must be said that initial udātta comes there as a Vedic form. For this there is</w:t>
      </w:r>
      <w:r>
        <w:t xml:space="preserve"> </w:t>
      </w:r>
      <w:r>
        <w:t xml:space="preserve">“</w:t>
      </w:r>
      <w:r>
        <w:t xml:space="preserve">vārṇād āṅgaṃ balīyaḥ</w:t>
      </w:r>
      <w:r>
        <w:t xml:space="preserve">”</w:t>
      </w:r>
      <w:r>
        <w:t xml:space="preserve"> </w:t>
      </w:r>
      <w:r>
        <w:t xml:space="preserve">(</w:t>
      </w:r>
      <w:r>
        <w:rPr>
          <w:iCs/>
          <w:i/>
        </w:rPr>
        <w:t xml:space="preserve">paribhāṣā</w:t>
      </w:r>
      <w:r>
        <w:t xml:space="preserve"> </w:t>
      </w:r>
      <w:r>
        <w:t xml:space="preserve">55): a rule in the section on the</w:t>
      </w:r>
      <w:r>
        <w:t xml:space="preserve"> </w:t>
      </w:r>
      <w:r>
        <w:rPr>
          <w:iCs/>
          <w:i/>
        </w:rPr>
        <w:t xml:space="preserve">aṅga</w:t>
      </w:r>
      <w:r>
        <w:t xml:space="preserve"> </w:t>
      </w:r>
      <w:r>
        <w:t xml:space="preserve">is stronger than a rule conditioned by letters.</w:t>
      </w:r>
      <w:r>
        <w:t xml:space="preserve"> </w:t>
      </w:r>
      <w:r>
        <w:rPr>
          <w:iCs/>
          <w:i/>
        </w:rPr>
        <w:t xml:space="preserve">Yasyeti ca</w:t>
      </w:r>
      <w:r>
        <w:t xml:space="preserve">, being in the</w:t>
      </w:r>
      <w:r>
        <w:t xml:space="preserve"> </w:t>
      </w:r>
      <w:r>
        <w:rPr>
          <w:iCs/>
          <w:i/>
        </w:rPr>
        <w:t xml:space="preserve">aṅga</w:t>
      </w:r>
      <w:r>
        <w:t xml:space="preserve"> </w:t>
      </w:r>
      <w:r>
        <w:t xml:space="preserve">section, is stronger than</w:t>
      </w:r>
      <w:r>
        <w:t xml:space="preserve"> </w:t>
      </w:r>
      <w:r>
        <w:rPr>
          <w:iCs/>
          <w:i/>
        </w:rPr>
        <w:t xml:space="preserve">tit svaritam</w:t>
      </w:r>
      <w:r>
        <w:t xml:space="preserve">. So first the loss of</w:t>
      </w:r>
      <w:r>
        <w:t xml:space="preserve"> </w:t>
      </w:r>
      <w:r>
        <w:rPr>
          <w:iCs/>
          <w:i/>
        </w:rPr>
        <w:t xml:space="preserve">a</w:t>
      </w:r>
      <w:r>
        <w:t xml:space="preserve"> </w:t>
      </w:r>
      <w:r>
        <w:t xml:space="preserve">by</w:t>
      </w:r>
      <w:r>
        <w:t xml:space="preserve"> </w:t>
      </w:r>
      <w:r>
        <w:rPr>
          <w:iCs/>
          <w:i/>
        </w:rPr>
        <w:t xml:space="preserve">yasyeti ca</w:t>
      </w:r>
      <w:r>
        <w:t xml:space="preserve">, then initial udātta is established by</w:t>
      </w:r>
      <w:r>
        <w:t xml:space="preserve"> </w:t>
      </w:r>
      <w:r>
        <w:rPr>
          <w:iCs/>
          <w:i/>
        </w:rPr>
        <w:t xml:space="preserve">yato ’nāvaḥ</w:t>
      </w:r>
      <w:r>
        <w:t xml:space="preserve">, the exception to</w:t>
      </w:r>
      <w:r>
        <w:t xml:space="preserve"> </w:t>
      </w:r>
      <w:r>
        <w:rPr>
          <w:iCs/>
          <w:i/>
        </w:rPr>
        <w:t xml:space="preserve">tit svaritam</w:t>
      </w:r>
      <w:r>
        <w:t xml:space="preserve">; it may be said that here no Vedic form need be stated. Then in instances such as</w:t>
      </w:r>
      <w:r>
        <w:t xml:space="preserve"> </w:t>
      </w:r>
      <w:r>
        <w:rPr>
          <w:iCs/>
          <w:i/>
        </w:rPr>
        <w:t xml:space="preserve">ukthyaḥ</w:t>
      </w:r>
      <w:r>
        <w:t xml:space="preserve">,</w:t>
      </w:r>
      <w:r>
        <w:t xml:space="preserve"> </w:t>
      </w:r>
      <w:r>
        <w:rPr>
          <w:iCs/>
          <w:i/>
        </w:rPr>
        <w:t xml:space="preserve">ūrmyāya</w:t>
      </w:r>
      <w:r>
        <w:t xml:space="preserve">,</w:t>
      </w:r>
      <w:r>
        <w:t xml:space="preserve"> </w:t>
      </w:r>
      <w:r>
        <w:rPr>
          <w:iCs/>
          <w:i/>
        </w:rPr>
        <w:t xml:space="preserve">sūrmyāya</w:t>
      </w:r>
      <w:r>
        <w:t xml:space="preserve">, the svarita must be justified by saying that</w:t>
      </w:r>
      <w:r>
        <w:t xml:space="preserve"> </w:t>
      </w:r>
      <w:r>
        <w:rPr>
          <w:iCs/>
          <w:i/>
        </w:rPr>
        <w:t xml:space="preserve">yato ’nāvaḥ</w:t>
      </w:r>
      <w:r>
        <w:t xml:space="preserve"> </w:t>
      </w:r>
      <w:r>
        <w:t xml:space="preserve">does not apply, as a Vedic form. In every way one must accept Vedic licence in some one place. If the svarita in</w:t>
      </w:r>
      <w:r>
        <w:t xml:space="preserve"> </w:t>
      </w:r>
      <w:r>
        <w:rPr>
          <w:iCs/>
          <w:i/>
        </w:rPr>
        <w:t xml:space="preserve">ukthya</w:t>
      </w:r>
      <w:r>
        <w:t xml:space="preserve">,</w:t>
      </w:r>
      <w:r>
        <w:t xml:space="preserve"> </w:t>
      </w:r>
      <w:r>
        <w:rPr>
          <w:iCs/>
          <w:i/>
        </w:rPr>
        <w:t xml:space="preserve">sūrmya</w:t>
      </w:r>
      <w:r>
        <w:t xml:space="preserve"> </w:t>
      </w:r>
      <w:r>
        <w:t xml:space="preserve">and the rest is justified as established by the</w:t>
      </w:r>
      <w:r>
        <w:t xml:space="preserve"> </w:t>
      </w:r>
      <w:r>
        <w:rPr>
          <w:iCs/>
          <w:i/>
        </w:rPr>
        <w:t xml:space="preserve">śāstra</w:t>
      </w:r>
      <w:r>
        <w:t xml:space="preserve">, the initial udātta in</w:t>
      </w:r>
      <w:r>
        <w:t xml:space="preserve"> </w:t>
      </w:r>
      <w:r>
        <w:rPr>
          <w:iCs/>
          <w:i/>
        </w:rPr>
        <w:t xml:space="preserve">tīrthya</w:t>
      </w:r>
      <w:r>
        <w:t xml:space="preserve"> </w:t>
      </w:r>
      <w:r>
        <w:t xml:space="preserve">and the rest must be justified as Vedic. If the initial udātta in places such as</w:t>
      </w:r>
      <w:r>
        <w:t xml:space="preserve"> </w:t>
      </w:r>
      <w:r>
        <w:rPr>
          <w:iCs/>
          <w:i/>
        </w:rPr>
        <w:t xml:space="preserve">tīrthya</w:t>
      </w:r>
      <w:r>
        <w:t xml:space="preserve"> </w:t>
      </w:r>
      <w:r>
        <w:t xml:space="preserve">is justified as established by the</w:t>
      </w:r>
      <w:r>
        <w:t xml:space="preserve"> </w:t>
      </w:r>
      <w:r>
        <w:rPr>
          <w:iCs/>
          <w:i/>
        </w:rPr>
        <w:t xml:space="preserve">śāstra</w:t>
      </w:r>
      <w:r>
        <w:t xml:space="preserve">,</w:t>
      </w:r>
    </w:p>
    <w:bookmarkEnd w:id="801"/>
    <w:bookmarkStart w:id="802" w:name="page-732-upper-rik-5-grammar-end"/>
    <w:p>
      <w:pPr>
        <w:pStyle w:val="Heading3"/>
      </w:pPr>
      <w:r>
        <w:t xml:space="preserve">Page 732 (upper) — Rik 5: grammar (end)</w:t>
      </w:r>
    </w:p>
    <w:p>
      <w:pPr>
        <w:pStyle w:val="FirstParagraph"/>
      </w:pPr>
      <w:r>
        <w:t xml:space="preserve">the svarita in places such as</w:t>
      </w:r>
      <w:r>
        <w:t xml:space="preserve"> </w:t>
      </w:r>
      <w:r>
        <w:rPr>
          <w:iCs/>
          <w:i/>
        </w:rPr>
        <w:t xml:space="preserve">ukthya</w:t>
      </w:r>
      <w:r>
        <w:t xml:space="preserve">,</w:t>
      </w:r>
      <w:r>
        <w:t xml:space="preserve"> </w:t>
      </w:r>
      <w:r>
        <w:rPr>
          <w:iCs/>
          <w:i/>
        </w:rPr>
        <w:t xml:space="preserve">sūrmya</w:t>
      </w:r>
      <w:r>
        <w:t xml:space="preserve"> </w:t>
      </w:r>
      <w:r>
        <w:t xml:space="preserve">must be justified as Vedic. In any case one cannot escape stating Vedic licence in one of the two places.</w:t>
      </w:r>
    </w:p>
    <w:p>
      <w:pPr>
        <w:pStyle w:val="BodyText"/>
      </w:pPr>
      <w:r>
        <w:rPr>
          <w:bCs/>
          <w:b/>
        </w:rPr>
        <w:t xml:space="preserve">॥५॥</w:t>
      </w:r>
    </w:p>
    <w:p>
      <w:r>
        <w:pict>
          <v:rect style="width:0;height:1.5pt" o:hralign="center" o:hrstd="t" o:hr="t"/>
        </w:pict>
      </w:r>
    </w:p>
    <w:bookmarkEnd w:id="802"/>
    <w:bookmarkStart w:id="803" w:name="page-732-lower-sūkta-17-rik-6"/>
    <w:p>
      <w:pPr>
        <w:pStyle w:val="Heading3"/>
      </w:pPr>
      <w:r>
        <w:t xml:space="preserve">Page 732 (lower) — Sūkta 17, Rik 6</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तयो॒रिदव॑सा व॒यं स॒नेम॒ नि च॑ धीमहि । [accent ?]</w:t>
      </w:r>
      <w:r>
        <w:t xml:space="preserve"> </w:t>
      </w:r>
      <w:r>
        <w:t xml:space="preserve">स्यादु॒त प्र॒रे॑चनम् ॥६॥ [accent ?]</w:t>
      </w:r>
    </w:p>
    <w:p>
      <w:pPr>
        <w:pStyle w:val="BlockText"/>
      </w:pPr>
      <w:r>
        <w:rPr>
          <w:iCs/>
          <w:i/>
        </w:rPr>
        <w:t xml:space="preserve">tayor íd ávasā vayáṃ sanéma ní ca dhīmahi |</w:t>
      </w:r>
      <w:r>
        <w:t xml:space="preserve"> </w:t>
      </w:r>
      <w:r>
        <w:t xml:space="preserve">[accent ?]</w:t>
      </w:r>
      <w:r>
        <w:t xml:space="preserve"> </w:t>
      </w:r>
      <w:r>
        <w:rPr>
          <w:iCs/>
          <w:i/>
        </w:rPr>
        <w:t xml:space="preserve">syād utá prarécanam ||6||</w:t>
      </w:r>
      <w:r>
        <w:t xml:space="preserve"> </w:t>
      </w:r>
      <w:r>
        <w:t xml:space="preserve">[accent ?]</w:t>
      </w:r>
    </w:p>
    <w:p>
      <w:pPr>
        <w:pStyle w:val="FirstParagraph"/>
      </w:pPr>
      <w:r>
        <w:rPr>
          <w:iCs/>
          <w:i/>
        </w:rPr>
        <w:t xml:space="preserve">(Read as printed: bars under यो, व (वयं), स and म (सनेम) and प्र; strokes over व (अवसा), च and रे. The bar under यो and the absence of marks on धीमहि are as printed.)</w:t>
      </w:r>
    </w:p>
    <w:p>
      <w:pPr>
        <w:pStyle w:val="BodyText"/>
      </w:pPr>
      <w:r>
        <w:rPr>
          <w:bCs/>
          <w:b/>
        </w:rPr>
        <w:t xml:space="preserve">॥ Pada-pāṭhaḥ ॥</w:t>
      </w:r>
    </w:p>
    <w:p>
      <w:pPr>
        <w:pStyle w:val="BlockText"/>
      </w:pPr>
      <w:r>
        <w:t xml:space="preserve">तयोः । इत् । अवसा । वयम् । सनेम । नि । च । धीमहि ॥</w:t>
      </w:r>
      <w:r>
        <w:t xml:space="preserve"> </w:t>
      </w:r>
      <w:r>
        <w:t xml:space="preserve">स्यात् । उत । प्रऽरेचनम् ॥६॥</w:t>
      </w:r>
    </w:p>
    <w:p>
      <w:pPr>
        <w:pStyle w:val="BlockText"/>
      </w:pPr>
      <w:r>
        <w:rPr>
          <w:iCs/>
          <w:i/>
        </w:rPr>
        <w:t xml:space="preserve">tayoḥ | it | avasā | vayam | sanema | ni | ca | dhīmahi ||</w:t>
      </w:r>
      <w:r>
        <w:t xml:space="preserve"> </w:t>
      </w:r>
      <w:r>
        <w:rPr>
          <w:iCs/>
          <w:i/>
        </w:rPr>
        <w:t xml:space="preserve">syāt | uta | pra ’recanam ||6||</w:t>
      </w:r>
    </w:p>
    <w:p>
      <w:pPr>
        <w:pStyle w:val="FirstParagraph"/>
      </w:pPr>
      <w:r>
        <w:rPr>
          <w:bCs/>
          <w:b/>
        </w:rPr>
        <w:t xml:space="preserve">॥ Sāyaṇa-bhāṣyam ॥</w:t>
      </w:r>
    </w:p>
    <w:p>
      <w:pPr>
        <w:pStyle w:val="BlockText"/>
      </w:pPr>
      <w:r>
        <w:t xml:space="preserve">तयोरित्थंविधयोरिन्द्रावरुणयोरेवावसा रक्षणेन वयमनुष्ठातारः सनेम । संभजेम धनमिति शेषः । नि धीमहि च । प्राप्ते धने यावदपेक्षितं तावद्भुक्त्वा ततोऽवशिष्टं धनं क्वचिन्निधिरूपेण स्थापयामश्च । उतापि च प्ररेचनं भुक्तान्निहिताच्च प्रकर्षेणाधिकं धनं स्यात् । संपद्यताम् ॥ अवसा । असुन् । नित्त्वादाद्युदात्तः । वयम् । यूयं हि ष्ठा । ऋग्वे. १-१५-२ । इत्यत्र यदुक्तं तदत्र द्रष्टव्यम् । सनेम । आशिषि लिङ् । तस्य मस् । नित्यं ङित इति सकारलोपः । किदाशिषि । पा. ३-४-१०४ । इति यासुट् । छन्दस्युभयथेति सार्वधातुकमप्यस्तीति लिङः सलोपोऽनन्त्यस्येति सकारलोपः । अतो येय इतीयादेशः । लोपो व्योर्वलीति यलोपः । लिङ्याशिष्यङ् । पा. ३-१-८६ । इत्यङ् । आद्गुणः । पादादित्वान्न निघातः । धीमहि । डुधाञ् धारणपोषणयोः । आशिषि लिङो महिङ् । तस्य छन्दस्युभयथेति सार्वधातुकार्धधातुकसंज्ञे । तत्र सार्वधातुकत्वेन लिङः सलोपोऽनन्त्यस्येति सकारलोपः । सार्वधातुकमपिदिति ङित्वं शप् च । बहुलं छन्दसीति जुहोत्यादेरपि शपो लुक् । आर्धधातुकत्वादातो लोप इटि च । पा. ६-४-६४ ।</w:t>
      </w:r>
    </w:p>
    <w:p>
      <w:pPr>
        <w:pStyle w:val="BlockText"/>
      </w:pPr>
      <w:r>
        <w:rPr>
          <w:iCs/>
          <w:i/>
        </w:rPr>
        <w:t xml:space="preserve">tayoritthaṃvidhayorindrāvaruṇayorevāvasā rakṣaṇena vayamanuṣṭhātāraḥ sanema | saṃbhajema dhanamiti śeṣaḥ | ni dhīmahi ca | prāpte dhane yāvadapekṣitaṃ tāvadbhuktvā tato ’vaśiṣṭaṃ dhanaṃ kvacinnidhirūpeṇa sthāpayāmaśca | utāpi ca prarecanaṃ bhuktānnihitācca prakarṣeṇādhikaṃ dhanaṃ syāt | saṃpadyatām || avasā | asun | nittvādādyudāttaḥ | vayam | yūyaṃ hi ṣṭhā | ṛgve. 1-15-2 | ityatra yaduktaṃ tadatra draṣṭavyam | sanema | āśiṣi liṅ | tasya mas | nityaṃ ṅita iti sakāralopaḥ | kidāśiṣi | pā. 3-4-104 | iti yāsuṭ | chandasyubhayatheti sārvadhātukamapyastīti liṅaḥ salopo ’nantyasyeti sakāralopaḥ | ato yeya itīyādeśaḥ | lopo vyorvalīti yalopaḥ | liṅyāśiṣyaṅ | pā. 3-1-86 | ityaṅ | ādguṇaḥ | pādāditvānna nighātaḥ | dhīmahi | ḍudhāñ dhāraṇapoṣaṇayoḥ | āśiṣi liṅo mahiṅ | tasya chandasyubhayatheti sārvadhātukārdhadhātukasaṃjñe | tatra sārvadhātukatvena liṅaḥ salopo ’nantyasyeti sakāralopaḥ | sārvadhātukamapiditi ṅitvaṃ śap ca | bahulaṃ chandasīti juhotyāderapi śapo luk | ārdhadhātukatvādāto lopa iṭi ca | pā. 6-4-64 |</w:t>
      </w:r>
    </w:p>
    <w:bookmarkEnd w:id="803"/>
    <w:bookmarkStart w:id="804" w:name="Xae8d1d34fad60bfca606d68b164fd25f3bc9d6a"/>
    <w:p>
      <w:pPr>
        <w:pStyle w:val="Heading3"/>
      </w:pPr>
      <w:r>
        <w:t xml:space="preserve">Page 733 — Rik 6: bhāṣya (end), word-meanings, overall sense, English, Special Topics, grammar</w:t>
      </w:r>
    </w:p>
    <w:p>
      <w:pPr>
        <w:pStyle w:val="BlockText"/>
      </w:pPr>
      <w:r>
        <w:t xml:space="preserve">इत्याकारलोपः । निघातः । सनेमेत्यपेक्षया द्वितीयत्वादत्र चवायोगे प्रथमेति न निषेधः । स्यात् । अस्तेः । प्रार्थनायां लिङ् । तिप् । इतश्चेतीकारलोपः । यासुट् परस्मैपदेषूदात्तो ङिच्चेति यासुड्ङित्त्वे । अदिप्रभृतिभ्यः शप इति शपो लुक् । श्नसोरल्लोप इत्यकारलोपः । पादादित्वादनिघातः । उत । एवमादीनामन्त इत्यन्तोदात्तः । प्ररेचनम् । रिचिर् विरेचने । भावे ल्युट् । योरनादेशः । लितीति प्रत्ययात्पूर्वस्योदात्तत्वम् । प्रादिसमासः । कृदुत्तरपदप्रकृतिस्वरत्वम् ॥</w:t>
      </w:r>
    </w:p>
    <w:p>
      <w:pPr>
        <w:pStyle w:val="BlockText"/>
      </w:pPr>
      <w:r>
        <w:rPr>
          <w:iCs/>
          <w:i/>
        </w:rPr>
        <w:t xml:space="preserve">ityākāralopaḥ | nighātaḥ | sanemetyapekṣayā dvitīyatvādatra cavāyoge prathameti na niṣedhaḥ | syāt | asteḥ | prārthanāyāṃ liṅ | tip | itaścetīkāralopaḥ | yāsuṭ parasmaipadeṣūdātto ṅicceti yāsuḍṅittve | adiprabhṛtibhyaḥ śapa iti śapo luk | śnasorallopa ityakāralopaḥ | pādāditvādanighātaḥ | uta | evamādīnāmanta ityantodāttaḥ | prarecanam | ricir virecane | bhāve lyuṭ | yoranādeśaḥ | litīti pratyayātpūrvasyodāttatvam | prādisamāsaḥ | kṛduttarapadaprakṛtisvaratvam ||</w:t>
      </w:r>
    </w:p>
    <w:p>
      <w:pPr>
        <w:pStyle w:val="FirstParagraph"/>
      </w:pPr>
      <w:r>
        <w:rPr>
          <w:bCs/>
          <w:b/>
        </w:rPr>
        <w:t xml:space="preserve">Translation:</w:t>
      </w:r>
      <w:r>
        <w:t xml:space="preserve"> </w:t>
      </w:r>
      <w:r>
        <w:t xml:space="preserve">“</w:t>
      </w:r>
      <w:r>
        <w:t xml:space="preserve">By the</w:t>
      </w:r>
      <w:r>
        <w:t xml:space="preserve"> </w:t>
      </w:r>
      <w:r>
        <w:rPr>
          <w:iCs/>
          <w:i/>
        </w:rPr>
        <w:t xml:space="preserve">avas</w:t>
      </w:r>
      <w:r>
        <w:t xml:space="preserve">, protection, of those very two, Indra and Varuṇa, such as they are, may we, the performers,</w:t>
      </w:r>
      <w:r>
        <w:t xml:space="preserve"> </w:t>
      </w:r>
      <w:r>
        <w:rPr>
          <w:iCs/>
          <w:i/>
        </w:rPr>
        <w:t xml:space="preserve">sanema</w:t>
      </w:r>
      <w:r>
        <w:t xml:space="preserve">, obtain (wealth, is understood); and</w:t>
      </w:r>
      <w:r>
        <w:t xml:space="preserve"> </w:t>
      </w:r>
      <w:r>
        <w:rPr>
          <w:iCs/>
          <w:i/>
        </w:rPr>
        <w:t xml:space="preserve">ni dhīmahi</w:t>
      </w:r>
      <w:r>
        <w:t xml:space="preserve">, store it: of the wealth obtained, having enjoyed as much as is wanted, we put the rest away somewhere as a treasure.</w:t>
      </w:r>
      <w:r>
        <w:t xml:space="preserve"> </w:t>
      </w:r>
      <w:r>
        <w:rPr>
          <w:iCs/>
          <w:i/>
        </w:rPr>
        <w:t xml:space="preserve">Uta</w:t>
      </w:r>
      <w:r>
        <w:t xml:space="preserve">, and also, may there be</w:t>
      </w:r>
      <w:r>
        <w:t xml:space="preserve"> </w:t>
      </w:r>
      <w:r>
        <w:rPr>
          <w:iCs/>
          <w:i/>
        </w:rPr>
        <w:t xml:space="preserve">prarecanam</w:t>
      </w:r>
      <w:r>
        <w:t xml:space="preserve">, wealth exceeding by far what was enjoyed and stored: may it come about.</w:t>
      </w:r>
      <w:r>
        <w:t xml:space="preserve">”</w:t>
      </w:r>
      <w:r>
        <w:t xml:space="preserve"> </w:t>
      </w:r>
      <w:r>
        <w:t xml:space="preserve">(Grammatical tail:</w:t>
      </w:r>
      <w:r>
        <w:t xml:space="preserve"> </w:t>
      </w:r>
      <w:r>
        <w:rPr>
          <w:iCs/>
          <w:i/>
        </w:rPr>
        <w:t xml:space="preserve">avasā</w:t>
      </w:r>
      <w:r>
        <w:t xml:space="preserve">,</w:t>
      </w:r>
      <w:r>
        <w:t xml:space="preserve"> </w:t>
      </w:r>
      <w:r>
        <w:rPr>
          <w:iCs/>
          <w:i/>
        </w:rPr>
        <w:t xml:space="preserve">asun</w:t>
      </w:r>
      <w:r>
        <w:t xml:space="preserve">, initial udātta as</w:t>
      </w:r>
      <w:r>
        <w:t xml:space="preserve"> </w:t>
      </w:r>
      <w:r>
        <w:rPr>
          <w:iCs/>
          <w:i/>
        </w:rPr>
        <w:t xml:space="preserve">nit</w:t>
      </w:r>
      <w:r>
        <w:t xml:space="preserve">;</w:t>
      </w:r>
      <w:r>
        <w:t xml:space="preserve"> </w:t>
      </w:r>
      <w:r>
        <w:rPr>
          <w:iCs/>
          <w:i/>
        </w:rPr>
        <w:t xml:space="preserve">vayam</w:t>
      </w:r>
      <w:r>
        <w:t xml:space="preserve">, as said at</w:t>
      </w:r>
      <w:r>
        <w:t xml:space="preserve"> </w:t>
      </w:r>
      <w:r>
        <w:rPr>
          <w:iCs/>
          <w:i/>
        </w:rPr>
        <w:t xml:space="preserve">yūyaṃ hi ṣṭhā</w:t>
      </w:r>
      <w:r>
        <w:t xml:space="preserve"> </w:t>
      </w:r>
      <w:r>
        <w:t xml:space="preserve">(Ṛgveda 1-15-2);</w:t>
      </w:r>
      <w:r>
        <w:t xml:space="preserve"> </w:t>
      </w:r>
      <w:r>
        <w:rPr>
          <w:iCs/>
          <w:i/>
        </w:rPr>
        <w:t xml:space="preserve">sanema</w:t>
      </w:r>
      <w:r>
        <w:t xml:space="preserve">,</w:t>
      </w:r>
      <w:r>
        <w:t xml:space="preserve"> </w:t>
      </w:r>
      <w:r>
        <w:rPr>
          <w:iCs/>
          <w:i/>
        </w:rPr>
        <w:t xml:space="preserve">āśīr-liṅ</w:t>
      </w:r>
      <w:r>
        <w:t xml:space="preserve">,</w:t>
      </w:r>
      <w:r>
        <w:t xml:space="preserve"> </w:t>
      </w:r>
      <w:r>
        <w:rPr>
          <w:iCs/>
          <w:i/>
        </w:rPr>
        <w:t xml:space="preserve">mas</w:t>
      </w:r>
      <w:r>
        <w:t xml:space="preserve">, the</w:t>
      </w:r>
      <w:r>
        <w:t xml:space="preserve"> </w:t>
      </w:r>
      <w:r>
        <w:rPr>
          <w:iCs/>
          <w:i/>
        </w:rPr>
        <w:t xml:space="preserve">s</w:t>
      </w:r>
      <w:r>
        <w:t xml:space="preserve"> </w:t>
      </w:r>
      <w:r>
        <w:t xml:space="preserve">lost by</w:t>
      </w:r>
      <w:r>
        <w:t xml:space="preserve"> </w:t>
      </w:r>
      <w:r>
        <w:rPr>
          <w:iCs/>
          <w:i/>
        </w:rPr>
        <w:t xml:space="preserve">nityaṃ ṅitaḥ</w:t>
      </w:r>
      <w:r>
        <w:t xml:space="preserve">,</w:t>
      </w:r>
      <w:r>
        <w:t xml:space="preserve"> </w:t>
      </w:r>
      <w:r>
        <w:rPr>
          <w:iCs/>
          <w:i/>
        </w:rPr>
        <w:t xml:space="preserve">yāsuṭ</w:t>
      </w:r>
      <w:r>
        <w:t xml:space="preserve"> </w:t>
      </w:r>
      <w:r>
        <w:t xml:space="preserve">by</w:t>
      </w:r>
      <w:r>
        <w:t xml:space="preserve"> </w:t>
      </w:r>
      <w:r>
        <w:rPr>
          <w:iCs/>
          <w:i/>
        </w:rPr>
        <w:t xml:space="preserve">kid āśiṣi</w:t>
      </w:r>
      <w:r>
        <w:t xml:space="preserve"> </w:t>
      </w:r>
      <w:r>
        <w:t xml:space="preserve">(Pā. 3-4-104), and, since by</w:t>
      </w:r>
      <w:r>
        <w:t xml:space="preserve"> </w:t>
      </w:r>
      <w:r>
        <w:rPr>
          <w:iCs/>
          <w:i/>
        </w:rPr>
        <w:t xml:space="preserve">chandasy ubhayathā</w:t>
      </w:r>
      <w:r>
        <w:t xml:space="preserve"> </w:t>
      </w:r>
      <w:r>
        <w:t xml:space="preserve">it is also</w:t>
      </w:r>
      <w:r>
        <w:t xml:space="preserve"> </w:t>
      </w:r>
      <w:r>
        <w:rPr>
          <w:iCs/>
          <w:i/>
        </w:rPr>
        <w:t xml:space="preserve">sārvadhātuka</w:t>
      </w:r>
      <w:r>
        <w:t xml:space="preserve">, the</w:t>
      </w:r>
      <w:r>
        <w:t xml:space="preserve"> </w:t>
      </w:r>
      <w:r>
        <w:rPr>
          <w:iCs/>
          <w:i/>
        </w:rPr>
        <w:t xml:space="preserve">s</w:t>
      </w:r>
      <w:r>
        <w:t xml:space="preserve"> </w:t>
      </w:r>
      <w:r>
        <w:t xml:space="preserve">lost by</w:t>
      </w:r>
      <w:r>
        <w:t xml:space="preserve"> </w:t>
      </w:r>
      <w:r>
        <w:rPr>
          <w:iCs/>
          <w:i/>
        </w:rPr>
        <w:t xml:space="preserve">liṅaḥ salopo ’nantyasya</w:t>
      </w:r>
      <w:r>
        <w:t xml:space="preserve">,</w:t>
      </w:r>
      <w:r>
        <w:t xml:space="preserve"> </w:t>
      </w:r>
      <w:r>
        <w:rPr>
          <w:iCs/>
          <w:i/>
        </w:rPr>
        <w:t xml:space="preserve">iy</w:t>
      </w:r>
      <w:r>
        <w:t xml:space="preserve"> </w:t>
      </w:r>
      <w:r>
        <w:t xml:space="preserve">by</w:t>
      </w:r>
      <w:r>
        <w:t xml:space="preserve"> </w:t>
      </w:r>
      <w:r>
        <w:rPr>
          <w:iCs/>
          <w:i/>
        </w:rPr>
        <w:t xml:space="preserve">ato yeyaḥ</w:t>
      </w:r>
      <w:r>
        <w:t xml:space="preserve">,</w:t>
      </w:r>
      <w:r>
        <w:t xml:space="preserve"> </w:t>
      </w:r>
      <w:r>
        <w:rPr>
          <w:iCs/>
          <w:i/>
        </w:rPr>
        <w:t xml:space="preserve">y</w:t>
      </w:r>
      <w:r>
        <w:t xml:space="preserve"> </w:t>
      </w:r>
      <w:r>
        <w:t xml:space="preserve">lost by</w:t>
      </w:r>
      <w:r>
        <w:t xml:space="preserve"> </w:t>
      </w:r>
      <w:r>
        <w:rPr>
          <w:iCs/>
          <w:i/>
        </w:rPr>
        <w:t xml:space="preserve">lopo vyor vali</w:t>
      </w:r>
      <w:r>
        <w:t xml:space="preserve">,</w:t>
      </w:r>
      <w:r>
        <w:t xml:space="preserve"> </w:t>
      </w:r>
      <w:r>
        <w:rPr>
          <w:iCs/>
          <w:i/>
        </w:rPr>
        <w:t xml:space="preserve">aṅ</w:t>
      </w:r>
      <w:r>
        <w:t xml:space="preserve"> </w:t>
      </w:r>
      <w:r>
        <w:t xml:space="preserve">by Pā. 3-1-86,</w:t>
      </w:r>
      <w:r>
        <w:t xml:space="preserve"> </w:t>
      </w:r>
      <w:r>
        <w:rPr>
          <w:iCs/>
          <w:i/>
        </w:rPr>
        <w:t xml:space="preserve">guṇa</w:t>
      </w:r>
      <w:r>
        <w:t xml:space="preserve">, not lowered at the start of the</w:t>
      </w:r>
      <w:r>
        <w:t xml:space="preserve"> </w:t>
      </w:r>
      <w:r>
        <w:rPr>
          <w:iCs/>
          <w:i/>
        </w:rPr>
        <w:t xml:space="preserve">pāda</w:t>
      </w:r>
      <w:r>
        <w:t xml:space="preserve">;</w:t>
      </w:r>
      <w:r>
        <w:t xml:space="preserve"> </w:t>
      </w:r>
      <w:r>
        <w:rPr>
          <w:iCs/>
          <w:i/>
        </w:rPr>
        <w:t xml:space="preserve">dhīmahi</w:t>
      </w:r>
      <w:r>
        <w:t xml:space="preserve">,</w:t>
      </w:r>
      <w:r>
        <w:t xml:space="preserve"> </w:t>
      </w:r>
      <w:r>
        <w:rPr>
          <w:iCs/>
          <w:i/>
        </w:rPr>
        <w:t xml:space="preserve">ḍudhāñ</w:t>
      </w:r>
      <w:r>
        <w:t xml:space="preserve">,</w:t>
      </w:r>
      <w:r>
        <w:t xml:space="preserve"> </w:t>
      </w:r>
      <w:r>
        <w:rPr>
          <w:iCs/>
          <w:i/>
        </w:rPr>
        <w:t xml:space="preserve">mahiṅ</w:t>
      </w:r>
      <w:r>
        <w:t xml:space="preserve"> </w:t>
      </w:r>
      <w:r>
        <w:t xml:space="preserve">for</w:t>
      </w:r>
      <w:r>
        <w:t xml:space="preserve"> </w:t>
      </w:r>
      <w:r>
        <w:rPr>
          <w:iCs/>
          <w:i/>
        </w:rPr>
        <w:t xml:space="preserve">āśīr-liṅ</w:t>
      </w:r>
      <w:r>
        <w:t xml:space="preserve">, both names by</w:t>
      </w:r>
      <w:r>
        <w:t xml:space="preserve"> </w:t>
      </w:r>
      <w:r>
        <w:rPr>
          <w:iCs/>
          <w:i/>
        </w:rPr>
        <w:t xml:space="preserve">chandasy ubhayathā</w:t>
      </w:r>
      <w:r>
        <w:t xml:space="preserve">, the</w:t>
      </w:r>
      <w:r>
        <w:t xml:space="preserve"> </w:t>
      </w:r>
      <w:r>
        <w:rPr>
          <w:iCs/>
          <w:i/>
        </w:rPr>
        <w:t xml:space="preserve">s</w:t>
      </w:r>
      <w:r>
        <w:t xml:space="preserve"> </w:t>
      </w:r>
      <w:r>
        <w:t xml:space="preserve">lost as</w:t>
      </w:r>
      <w:r>
        <w:t xml:space="preserve"> </w:t>
      </w:r>
      <w:r>
        <w:rPr>
          <w:iCs/>
          <w:i/>
        </w:rPr>
        <w:t xml:space="preserve">sārvadhātuka</w:t>
      </w:r>
      <w:r>
        <w:t xml:space="preserve">,</w:t>
      </w:r>
      <w:r>
        <w:t xml:space="preserve"> </w:t>
      </w:r>
      <w:r>
        <w:rPr>
          <w:iCs/>
          <w:i/>
        </w:rPr>
        <w:t xml:space="preserve">ṅit</w:t>
      </w:r>
      <w:r>
        <w:t xml:space="preserve"> </w:t>
      </w:r>
      <w:r>
        <w:t xml:space="preserve">by</w:t>
      </w:r>
      <w:r>
        <w:t xml:space="preserve"> </w:t>
      </w:r>
      <w:r>
        <w:rPr>
          <w:iCs/>
          <w:i/>
        </w:rPr>
        <w:t xml:space="preserve">sārvadhātukam apit</w:t>
      </w:r>
      <w:r>
        <w:t xml:space="preserve">, and</w:t>
      </w:r>
      <w:r>
        <w:t xml:space="preserve"> </w:t>
      </w:r>
      <w:r>
        <w:rPr>
          <w:iCs/>
          <w:i/>
        </w:rPr>
        <w:t xml:space="preserve">śap</w:t>
      </w:r>
      <w:r>
        <w:t xml:space="preserve">, dropped by</w:t>
      </w:r>
      <w:r>
        <w:t xml:space="preserve"> </w:t>
      </w:r>
      <w:r>
        <w:rPr>
          <w:iCs/>
          <w:i/>
        </w:rPr>
        <w:t xml:space="preserve">bahulaṃ chandasi</w:t>
      </w:r>
      <w:r>
        <w:t xml:space="preserve"> </w:t>
      </w:r>
      <w:r>
        <w:t xml:space="preserve">as for the</w:t>
      </w:r>
      <w:r>
        <w:t xml:space="preserve"> </w:t>
      </w:r>
      <w:r>
        <w:rPr>
          <w:iCs/>
          <w:i/>
        </w:rPr>
        <w:t xml:space="preserve">juhoty-ādi</w:t>
      </w:r>
      <w:r>
        <w:t xml:space="preserve">, the</w:t>
      </w:r>
      <w:r>
        <w:t xml:space="preserve"> </w:t>
      </w:r>
      <w:r>
        <w:rPr>
          <w:iCs/>
          <w:i/>
        </w:rPr>
        <w:t xml:space="preserve">ā</w:t>
      </w:r>
      <w:r>
        <w:t xml:space="preserve"> </w:t>
      </w:r>
      <w:r>
        <w:t xml:space="preserve">lost as</w:t>
      </w:r>
      <w:r>
        <w:t xml:space="preserve"> </w:t>
      </w:r>
      <w:r>
        <w:rPr>
          <w:iCs/>
          <w:i/>
        </w:rPr>
        <w:t xml:space="preserve">ārdhadhātuka</w:t>
      </w:r>
      <w:r>
        <w:t xml:space="preserve"> </w:t>
      </w:r>
      <w:r>
        <w:t xml:space="preserve">by Pā. 6-4-64, wholly unaccented: being second relative to</w:t>
      </w:r>
      <w:r>
        <w:t xml:space="preserve"> </w:t>
      </w:r>
      <w:r>
        <w:rPr>
          <w:iCs/>
          <w:i/>
        </w:rPr>
        <w:t xml:space="preserve">sanema</w:t>
      </w:r>
      <w:r>
        <w:t xml:space="preserve">, the bar</w:t>
      </w:r>
      <w:r>
        <w:t xml:space="preserve"> </w:t>
      </w:r>
      <w:r>
        <w:rPr>
          <w:iCs/>
          <w:i/>
        </w:rPr>
        <w:t xml:space="preserve">cavāyoge prathamā</w:t>
      </w:r>
      <w:r>
        <w:t xml:space="preserve"> </w:t>
      </w:r>
      <w:r>
        <w:t xml:space="preserve">does not apply;</w:t>
      </w:r>
      <w:r>
        <w:t xml:space="preserve"> </w:t>
      </w:r>
      <w:r>
        <w:rPr>
          <w:iCs/>
          <w:i/>
        </w:rPr>
        <w:t xml:space="preserve">syāt</w:t>
      </w:r>
      <w:r>
        <w:t xml:space="preserve">,</w:t>
      </w:r>
      <w:r>
        <w:t xml:space="preserve"> </w:t>
      </w:r>
      <w:r>
        <w:rPr>
          <w:iCs/>
          <w:i/>
        </w:rPr>
        <w:t xml:space="preserve">liṅ</w:t>
      </w:r>
      <w:r>
        <w:t xml:space="preserve"> </w:t>
      </w:r>
      <w:r>
        <w:t xml:space="preserve">of prayer after</w:t>
      </w:r>
      <w:r>
        <w:t xml:space="preserve"> </w:t>
      </w:r>
      <w:r>
        <w:rPr>
          <w:iCs/>
          <w:i/>
        </w:rPr>
        <w:t xml:space="preserve">as</w:t>
      </w:r>
      <w:r>
        <w:t xml:space="preserve">,</w:t>
      </w:r>
      <w:r>
        <w:t xml:space="preserve"> </w:t>
      </w:r>
      <w:r>
        <w:rPr>
          <w:iCs/>
          <w:i/>
        </w:rPr>
        <w:t xml:space="preserve">tip</w:t>
      </w:r>
      <w:r>
        <w:t xml:space="preserve">, the</w:t>
      </w:r>
      <w:r>
        <w:t xml:space="preserve"> </w:t>
      </w:r>
      <w:r>
        <w:rPr>
          <w:iCs/>
          <w:i/>
        </w:rPr>
        <w:t xml:space="preserve">i</w:t>
      </w:r>
      <w:r>
        <w:t xml:space="preserve"> </w:t>
      </w:r>
      <w:r>
        <w:t xml:space="preserve">lost by</w:t>
      </w:r>
      <w:r>
        <w:t xml:space="preserve"> </w:t>
      </w:r>
      <w:r>
        <w:rPr>
          <w:iCs/>
          <w:i/>
        </w:rPr>
        <w:t xml:space="preserve">itaś ca</w:t>
      </w:r>
      <w:r>
        <w:t xml:space="preserve">,</w:t>
      </w:r>
      <w:r>
        <w:t xml:space="preserve"> </w:t>
      </w:r>
      <w:r>
        <w:rPr>
          <w:iCs/>
          <w:i/>
        </w:rPr>
        <w:t xml:space="preserve">yāsuṭ</w:t>
      </w:r>
      <w:r>
        <w:t xml:space="preserve"> </w:t>
      </w:r>
      <w:r>
        <w:t xml:space="preserve">udātta and</w:t>
      </w:r>
      <w:r>
        <w:t xml:space="preserve"> </w:t>
      </w:r>
      <w:r>
        <w:rPr>
          <w:iCs/>
          <w:i/>
        </w:rPr>
        <w:t xml:space="preserve">ṅit</w:t>
      </w:r>
      <w:r>
        <w:t xml:space="preserve">,</w:t>
      </w:r>
      <w:r>
        <w:t xml:space="preserve"> </w:t>
      </w:r>
      <w:r>
        <w:rPr>
          <w:iCs/>
          <w:i/>
        </w:rPr>
        <w:t xml:space="preserve">śap</w:t>
      </w:r>
      <w:r>
        <w:t xml:space="preserve"> </w:t>
      </w:r>
      <w:r>
        <w:t xml:space="preserve">dropped, the</w:t>
      </w:r>
      <w:r>
        <w:t xml:space="preserve"> </w:t>
      </w:r>
      <w:r>
        <w:rPr>
          <w:iCs/>
          <w:i/>
        </w:rPr>
        <w:t xml:space="preserve">a</w:t>
      </w:r>
      <w:r>
        <w:t xml:space="preserve"> </w:t>
      </w:r>
      <w:r>
        <w:t xml:space="preserve">lost by</w:t>
      </w:r>
      <w:r>
        <w:t xml:space="preserve"> </w:t>
      </w:r>
      <w:r>
        <w:rPr>
          <w:iCs/>
          <w:i/>
        </w:rPr>
        <w:t xml:space="preserve">śnasor allopaḥ</w:t>
      </w:r>
      <w:r>
        <w:t xml:space="preserve">, not lowered at the start of the</w:t>
      </w:r>
      <w:r>
        <w:t xml:space="preserve"> </w:t>
      </w:r>
      <w:r>
        <w:rPr>
          <w:iCs/>
          <w:i/>
        </w:rPr>
        <w:t xml:space="preserve">pāda</w:t>
      </w:r>
      <w:r>
        <w:t xml:space="preserve">;</w:t>
      </w:r>
      <w:r>
        <w:t xml:space="preserve"> </w:t>
      </w:r>
      <w:r>
        <w:rPr>
          <w:iCs/>
          <w:i/>
        </w:rPr>
        <w:t xml:space="preserve">uta</w:t>
      </w:r>
      <w:r>
        <w:t xml:space="preserve">, final udātta by</w:t>
      </w:r>
      <w:r>
        <w:t xml:space="preserve"> </w:t>
      </w:r>
      <w:r>
        <w:rPr>
          <w:iCs/>
          <w:i/>
        </w:rPr>
        <w:t xml:space="preserve">evam-ādīnām antaḥ</w:t>
      </w:r>
      <w:r>
        <w:t xml:space="preserve">;</w:t>
      </w:r>
      <w:r>
        <w:t xml:space="preserve"> </w:t>
      </w:r>
      <w:r>
        <w:rPr>
          <w:iCs/>
          <w:i/>
        </w:rPr>
        <w:t xml:space="preserve">prarecanam</w:t>
      </w:r>
      <w:r>
        <w:t xml:space="preserve">,</w:t>
      </w:r>
      <w:r>
        <w:t xml:space="preserve"> </w:t>
      </w:r>
      <w:r>
        <w:rPr>
          <w:iCs/>
          <w:i/>
        </w:rPr>
        <w:t xml:space="preserve">ricir virecane</w:t>
      </w:r>
      <w:r>
        <w:t xml:space="preserve">,</w:t>
      </w:r>
      <w:r>
        <w:t xml:space="preserve"> </w:t>
      </w:r>
      <w:r>
        <w:rPr>
          <w:iCs/>
          <w:i/>
        </w:rPr>
        <w:t xml:space="preserve">lyuṭ</w:t>
      </w:r>
      <w:r>
        <w:t xml:space="preserve"> </w:t>
      </w:r>
      <w:r>
        <w:t xml:space="preserve">of the action,</w:t>
      </w:r>
      <w:r>
        <w:t xml:space="preserve"> </w:t>
      </w:r>
      <w:r>
        <w:rPr>
          <w:iCs/>
          <w:i/>
        </w:rPr>
        <w:t xml:space="preserve">ana</w:t>
      </w:r>
      <w:r>
        <w:t xml:space="preserve"> </w:t>
      </w:r>
      <w:r>
        <w:t xml:space="preserve">for</w:t>
      </w:r>
      <w:r>
        <w:t xml:space="preserve"> </w:t>
      </w:r>
      <w:r>
        <w:rPr>
          <w:iCs/>
          <w:i/>
        </w:rPr>
        <w:t xml:space="preserve">yu</w:t>
      </w:r>
      <w:r>
        <w:t xml:space="preserve">, udātta before the suffix by</w:t>
      </w:r>
      <w:r>
        <w:t xml:space="preserve"> </w:t>
      </w:r>
      <w:r>
        <w:rPr>
          <w:iCs/>
          <w:i/>
        </w:rPr>
        <w:t xml:space="preserve">liti</w:t>
      </w:r>
      <w:r>
        <w:t xml:space="preserve">, a</w:t>
      </w:r>
      <w:r>
        <w:t xml:space="preserve"> </w:t>
      </w:r>
      <w:r>
        <w:rPr>
          <w:iCs/>
          <w:i/>
        </w:rPr>
        <w:t xml:space="preserve">prādi</w:t>
      </w:r>
      <w:r>
        <w:t xml:space="preserve"> </w:t>
      </w:r>
      <w:r>
        <w:t xml:space="preserve">compound, the accent of the</w:t>
      </w:r>
      <w:r>
        <w:t xml:space="preserve"> </w:t>
      </w:r>
      <w:r>
        <w:rPr>
          <w:iCs/>
          <w:i/>
        </w:rPr>
        <w:t xml:space="preserve">kṛt</w:t>
      </w:r>
      <w:r>
        <w:t xml:space="preserve"> </w:t>
      </w:r>
      <w:r>
        <w:t xml:space="preserve">final member.)</w:t>
      </w:r>
    </w:p>
    <w:p>
      <w:pPr>
        <w:pStyle w:val="BodyText"/>
      </w:pPr>
      <w:r>
        <w:rPr>
          <w:bCs/>
          <w:b/>
        </w:rPr>
        <w:t xml:space="preserve">॥ Prati-padārthaḥ ॥</w:t>
      </w:r>
    </w:p>
    <w:p>
      <w:pPr>
        <w:pStyle w:val="BodyText"/>
      </w:pPr>
      <w:r>
        <w:rPr>
          <w:bCs/>
          <w:b/>
        </w:rPr>
        <w:t xml:space="preserve">तयोः (tayoḥ)</w:t>
      </w:r>
      <w:r>
        <w:t xml:space="preserve"> </w:t>
      </w:r>
      <w:r>
        <w:t xml:space="preserve">— of those Indra and Varuṇa |</w:t>
      </w:r>
      <w:r>
        <w:t xml:space="preserve"> </w:t>
      </w:r>
      <w:r>
        <w:rPr>
          <w:bCs/>
          <w:b/>
        </w:rPr>
        <w:t xml:space="preserve">अवसा इत् (avasā it)</w:t>
      </w:r>
      <w:r>
        <w:t xml:space="preserve"> </w:t>
      </w:r>
      <w:r>
        <w:t xml:space="preserve">— by protection alone |</w:t>
      </w:r>
      <w:r>
        <w:t xml:space="preserve"> </w:t>
      </w:r>
      <w:r>
        <w:rPr>
          <w:bCs/>
          <w:b/>
        </w:rPr>
        <w:t xml:space="preserve">वयम् (vayam)</w:t>
      </w:r>
      <w:r>
        <w:t xml:space="preserve"> </w:t>
      </w:r>
      <w:r>
        <w:t xml:space="preserve">— we (the performers) |</w:t>
      </w:r>
      <w:r>
        <w:t xml:space="preserve"> </w:t>
      </w:r>
      <w:r>
        <w:rPr>
          <w:bCs/>
          <w:b/>
        </w:rPr>
        <w:t xml:space="preserve">सनेम (sanema)</w:t>
      </w:r>
      <w:r>
        <w:t xml:space="preserve"> </w:t>
      </w:r>
      <w:r>
        <w:t xml:space="preserve">— may we gather (wealth) |</w:t>
      </w:r>
      <w:r>
        <w:t xml:space="preserve"> </w:t>
      </w:r>
      <w:r>
        <w:rPr>
          <w:bCs/>
          <w:b/>
        </w:rPr>
        <w:t xml:space="preserve">नि धीमहि च (ni dhīmahi ca)</w:t>
      </w:r>
      <w:r>
        <w:t xml:space="preserve"> </w:t>
      </w:r>
      <w:r>
        <w:t xml:space="preserve">— and may we store it and lay it by |</w:t>
      </w:r>
      <w:r>
        <w:t xml:space="preserve"> </w:t>
      </w:r>
      <w:r>
        <w:rPr>
          <w:bCs/>
          <w:b/>
        </w:rPr>
        <w:t xml:space="preserve">उत (uta)</w:t>
      </w:r>
      <w:r>
        <w:t xml:space="preserve"> </w:t>
      </w:r>
      <w:r>
        <w:t xml:space="preserve">— and | (</w:t>
      </w:r>
      <w:r>
        <w:rPr>
          <w:bCs/>
          <w:b/>
        </w:rPr>
        <w:t xml:space="preserve">that wealth</w:t>
      </w:r>
      <w:r>
        <w:t xml:space="preserve">)</w:t>
      </w:r>
      <w:r>
        <w:t xml:space="preserve"> </w:t>
      </w:r>
      <w:r>
        <w:rPr>
          <w:bCs/>
          <w:b/>
        </w:rPr>
        <w:t xml:space="preserve">प्ररेचनम् (prarecanam)</w:t>
      </w:r>
      <w:r>
        <w:t xml:space="preserve"> </w:t>
      </w:r>
      <w:r>
        <w:t xml:space="preserve">— more (than what we enjoyed and stored) |</w:t>
      </w:r>
      <w:r>
        <w:t xml:space="preserve"> </w:t>
      </w:r>
      <w:r>
        <w:rPr>
          <w:bCs/>
          <w:b/>
        </w:rPr>
        <w:t xml:space="preserve">स्यात् (syāt)</w:t>
      </w:r>
      <w:r>
        <w:t xml:space="preserve"> </w:t>
      </w:r>
      <w:r>
        <w:t xml:space="preserve">— may it be.</w:t>
      </w:r>
    </w:p>
    <w:p>
      <w:pPr>
        <w:pStyle w:val="BodyText"/>
      </w:pPr>
      <w:r>
        <w:rPr>
          <w:bCs/>
          <w:b/>
        </w:rPr>
        <w:t xml:space="preserve">॥ Bhāvārthaḥ ॥</w:t>
      </w:r>
      <w:r>
        <w:t xml:space="preserve"> </w:t>
      </w:r>
      <w:r>
        <w:rPr>
          <w:iCs/>
          <w:i/>
        </w:rPr>
        <w:t xml:space="preserve">(the heading is misprinted ॥ ಪದಪಾಠಃ ॥ [sic])</w:t>
      </w:r>
    </w:p>
    <w:p>
      <w:pPr>
        <w:pStyle w:val="BodyText"/>
      </w:pPr>
      <w:r>
        <w:t xml:space="preserve">By the grace of Indra and Varuṇa may we gather boundless wealth, enjoy it as we wish and store what remains; and however much we enjoy, may that wealth keep growing.</w:t>
      </w:r>
    </w:p>
    <w:p>
      <w:pPr>
        <w:pStyle w:val="BodyText"/>
      </w:pPr>
      <w:r>
        <w:rPr>
          <w:bCs/>
          <w:b/>
        </w:rPr>
        <w:t xml:space="preserve">॥ English Translation ॥</w:t>
      </w:r>
      <w:r>
        <w:t xml:space="preserve"> </w:t>
      </w:r>
      <w:r>
        <w:rPr>
          <w:iCs/>
          <w:i/>
        </w:rPr>
        <w:t xml:space="preserve">(as printed in the source)</w:t>
      </w:r>
    </w:p>
    <w:p>
      <w:pPr>
        <w:pStyle w:val="BlockText"/>
      </w:pPr>
      <w:r>
        <w:t xml:space="preserve">Through their protection we enjoy riches and heap them up ; still may we have even a surplus.</w:t>
      </w:r>
    </w:p>
    <w:p>
      <w:pPr>
        <w:pStyle w:val="FirstParagraph"/>
      </w:pPr>
      <w:r>
        <w:rPr>
          <w:bCs/>
          <w:b/>
        </w:rPr>
        <w:t xml:space="preserve">॥ Viśeṣa-viṣayagaḷu (Special Topics) ॥</w:t>
      </w:r>
    </w:p>
    <w:p>
      <w:pPr>
        <w:pStyle w:val="BodyText"/>
      </w:pPr>
      <w:r>
        <w:rPr>
          <w:bCs/>
          <w:b/>
        </w:rPr>
        <w:t xml:space="preserve">Ni dhīmahi</w:t>
      </w:r>
      <w:r>
        <w:t xml:space="preserve">: let us store it, let us heap it up,</w:t>
      </w:r>
      <w:r>
        <w:t xml:space="preserve"> </w:t>
      </w:r>
      <w:r>
        <w:t xml:space="preserve">“</w:t>
      </w:r>
      <w:r>
        <w:t xml:space="preserve">lay by</w:t>
      </w:r>
      <w:r>
        <w:t xml:space="preserve">”</w:t>
      </w:r>
      <w:r>
        <w:t xml:space="preserve">.</w:t>
      </w:r>
    </w:p>
    <w:p>
      <w:pPr>
        <w:pStyle w:val="BodyText"/>
      </w:pPr>
      <w:r>
        <w:rPr>
          <w:bCs/>
          <w:b/>
        </w:rPr>
        <w:t xml:space="preserve">Uta</w:t>
      </w:r>
      <w:r>
        <w:t xml:space="preserve">:</w:t>
      </w:r>
      <w:r>
        <w:t xml:space="preserve"> </w:t>
      </w:r>
      <w:r>
        <w:t xml:space="preserve">“</w:t>
      </w:r>
      <w:r>
        <w:t xml:space="preserve">not only that</w:t>
      </w:r>
      <w:r>
        <w:t xml:space="preserve">”</w:t>
      </w:r>
      <w:r>
        <w:t xml:space="preserve">, or</w:t>
      </w:r>
      <w:r>
        <w:t xml:space="preserve"> </w:t>
      </w:r>
      <w:r>
        <w:t xml:space="preserve">“</w:t>
      </w:r>
      <w:r>
        <w:t xml:space="preserve">and</w:t>
      </w:r>
      <w:r>
        <w:t xml:space="preserve">”</w:t>
      </w:r>
      <w:r>
        <w:t xml:space="preserve">: either sense may be taken.</w:t>
      </w:r>
    </w:p>
    <w:p>
      <w:pPr>
        <w:pStyle w:val="BodyText"/>
      </w:pPr>
      <w:r>
        <w:rPr>
          <w:bCs/>
          <w:b/>
        </w:rPr>
        <w:t xml:space="preserve">Prarecanam</w:t>
      </w:r>
      <w:r>
        <w:t xml:space="preserve">:</w:t>
      </w:r>
    </w:p>
    <w:p>
      <w:pPr>
        <w:pStyle w:val="BlockText"/>
      </w:pPr>
      <w:r>
        <w:t xml:space="preserve">भुक्तान्निहिताच्च प्रकर्षेणाधिकं धनम् ।</w:t>
      </w:r>
    </w:p>
    <w:p>
      <w:pPr>
        <w:pStyle w:val="BlockText"/>
      </w:pPr>
      <w:r>
        <w:rPr>
          <w:iCs/>
          <w:i/>
        </w:rPr>
        <w:t xml:space="preserve">bhuktānnihitācca prakarṣeṇādhikaṃ dhanam |</w:t>
      </w:r>
    </w:p>
    <w:p>
      <w:pPr>
        <w:pStyle w:val="FirstParagraph"/>
      </w:pPr>
      <w:r>
        <w:t xml:space="preserve">(</w:t>
      </w:r>
      <w:r>
        <w:t xml:space="preserve">“</w:t>
      </w:r>
      <w:r>
        <w:t xml:space="preserve">Wealth exceeding by far what was enjoyed and stored.</w:t>
      </w:r>
      <w:r>
        <w:t xml:space="preserve">”</w:t>
      </w:r>
      <w:r>
        <w:t xml:space="preserve">) Wealth more than what we enjoyed as we wished and heaped up: that is, the intent is that the wealth Indra and Varuṇa give should grow greater by their favour.</w:t>
      </w:r>
    </w:p>
    <w:p>
      <w:pPr>
        <w:pStyle w:val="BodyText"/>
      </w:pPr>
      <w:r>
        <w:rPr>
          <w:bCs/>
          <w:b/>
        </w:rPr>
        <w:t xml:space="preserve">॥ Vyākaraṇa-prakriyā ॥</w:t>
      </w:r>
      <w:r>
        <w:t xml:space="preserve"> </w:t>
      </w:r>
      <w:r>
        <w:rPr>
          <w:iCs/>
          <w:i/>
        </w:rPr>
        <w:t xml:space="preserve">(grammar pages 733–735, noted briefly)</w:t>
      </w:r>
    </w:p>
    <w:p>
      <w:pPr>
        <w:pStyle w:val="BodyText"/>
      </w:pPr>
      <w:r>
        <w:rPr>
          <w:bCs/>
          <w:b/>
        </w:rPr>
        <w:t xml:space="preserve">अवसा (</w:t>
      </w:r>
      <w:r>
        <w:rPr>
          <w:iCs/>
          <w:i/>
          <w:bCs/>
          <w:b/>
        </w:rPr>
        <w:t xml:space="preserve">avasā</w:t>
      </w:r>
      <w:r>
        <w:rPr>
          <w:bCs/>
          <w:b/>
        </w:rPr>
        <w:t xml:space="preserve">)</w:t>
      </w:r>
      <w:r>
        <w:t xml:space="preserve">: by</w:t>
      </w:r>
      <w:r>
        <w:t xml:space="preserve"> </w:t>
      </w:r>
      <w:r>
        <w:t xml:space="preserve">“</w:t>
      </w:r>
      <w:r>
        <w:t xml:space="preserve">sarvadhātubhyo ’sun</w:t>
      </w:r>
      <w:r>
        <w:t xml:space="preserve">”</w:t>
      </w:r>
      <w:r>
        <w:t xml:space="preserve"> </w:t>
      </w:r>
      <w:r>
        <w:t xml:space="preserve">(Uṇ. sū.</w:t>
      </w:r>
      <w:r>
        <w:t xml:space="preserve"> </w:t>
      </w:r>
      <w:r>
        <w:t xml:space="preserve">“</w:t>
      </w:r>
      <w:r>
        <w:t xml:space="preserve">4-628</w:t>
      </w:r>
      <w:r>
        <w:t xml:space="preserve">”</w:t>
      </w:r>
      <w:r>
        <w:t xml:space="preserve"> </w:t>
      </w:r>
      <w:r>
        <w:t xml:space="preserve">[?]) the suffix</w:t>
      </w:r>
      <w:r>
        <w:t xml:space="preserve"> </w:t>
      </w:r>
      <w:r>
        <w:rPr>
          <w:iCs/>
          <w:i/>
        </w:rPr>
        <w:t xml:space="preserve">asun</w:t>
      </w:r>
      <w:r>
        <w:t xml:space="preserve"> </w:t>
      </w:r>
      <w:r>
        <w:t xml:space="preserve">after the root</w:t>
      </w:r>
      <w:r>
        <w:t xml:space="preserve"> </w:t>
      </w:r>
      <w:r>
        <w:rPr>
          <w:iCs/>
          <w:i/>
        </w:rPr>
        <w:t xml:space="preserve">av</w:t>
      </w:r>
      <w:r>
        <w:t xml:space="preserve">; initial udātta by the</w:t>
      </w:r>
      <w:r>
        <w:t xml:space="preserve"> </w:t>
      </w:r>
      <w:r>
        <w:rPr>
          <w:iCs/>
          <w:i/>
        </w:rPr>
        <w:t xml:space="preserve">nit</w:t>
      </w:r>
      <w:r>
        <w:t xml:space="preserve"> </w:t>
      </w:r>
      <w:r>
        <w:t xml:space="preserve">accent; it ends in the instrumental singular.</w:t>
      </w:r>
    </w:p>
    <w:bookmarkEnd w:id="804"/>
    <w:bookmarkStart w:id="805" w:name="page-734-rik-6-grammar"/>
    <w:p>
      <w:pPr>
        <w:pStyle w:val="Heading3"/>
      </w:pPr>
      <w:r>
        <w:t xml:space="preserve">Page 734 — Rik 6: grammar</w:t>
      </w:r>
    </w:p>
    <w:p>
      <w:pPr>
        <w:pStyle w:val="FirstParagraph"/>
      </w:pPr>
      <w:r>
        <w:rPr>
          <w:bCs/>
          <w:b/>
        </w:rPr>
        <w:t xml:space="preserve">वयम् (</w:t>
      </w:r>
      <w:r>
        <w:rPr>
          <w:iCs/>
          <w:i/>
          <w:bCs/>
          <w:b/>
        </w:rPr>
        <w:t xml:space="preserve">vayam</w:t>
      </w:r>
      <w:r>
        <w:rPr>
          <w:bCs/>
          <w:b/>
        </w:rPr>
        <w:t xml:space="preserve">)</w:t>
      </w:r>
      <w:r>
        <w:t xml:space="preserve">: the derivation stated for</w:t>
      </w:r>
      <w:r>
        <w:t xml:space="preserve"> </w:t>
      </w:r>
      <w:r>
        <w:rPr>
          <w:iCs/>
          <w:i/>
        </w:rPr>
        <w:t xml:space="preserve">yūyam</w:t>
      </w:r>
      <w:r>
        <w:t xml:space="preserve"> </w:t>
      </w:r>
      <w:r>
        <w:t xml:space="preserve">in the mantra</w:t>
      </w:r>
      <w:r>
        <w:t xml:space="preserve"> </w:t>
      </w:r>
      <w:r>
        <w:t xml:space="preserve">“</w:t>
      </w:r>
      <w:r>
        <w:t xml:space="preserve">yūyaṃ hi ṣṭhā</w:t>
      </w:r>
      <w:r>
        <w:t xml:space="preserve">”</w:t>
      </w:r>
      <w:r>
        <w:t xml:space="preserve"> </w:t>
      </w:r>
      <w:r>
        <w:t xml:space="preserve">(Ṛ. saṃ. 1-15-2) is to be stated for</w:t>
      </w:r>
      <w:r>
        <w:t xml:space="preserve"> </w:t>
      </w:r>
      <w:r>
        <w:rPr>
          <w:iCs/>
          <w:i/>
        </w:rPr>
        <w:t xml:space="preserve">vayam</w:t>
      </w:r>
      <w:r>
        <w:t xml:space="preserve"> </w:t>
      </w:r>
      <w:r>
        <w:t xml:space="preserve">too. In</w:t>
      </w:r>
      <w:r>
        <w:t xml:space="preserve"> </w:t>
      </w:r>
      <w:r>
        <w:rPr>
          <w:iCs/>
          <w:i/>
        </w:rPr>
        <w:t xml:space="preserve">yūyam</w:t>
      </w:r>
      <w:r>
        <w:t xml:space="preserve"> </w:t>
      </w:r>
      <w:r>
        <w:t xml:space="preserve">the base is</w:t>
      </w:r>
      <w:r>
        <w:t xml:space="preserve"> </w:t>
      </w:r>
      <w:r>
        <w:rPr>
          <w:iCs/>
          <w:i/>
        </w:rPr>
        <w:t xml:space="preserve">yuṣmad</w:t>
      </w:r>
      <w:r>
        <w:t xml:space="preserve">; in</w:t>
      </w:r>
      <w:r>
        <w:t xml:space="preserve"> </w:t>
      </w:r>
      <w:r>
        <w:rPr>
          <w:iCs/>
          <w:i/>
        </w:rPr>
        <w:t xml:space="preserve">vayam</w:t>
      </w:r>
      <w:r>
        <w:t xml:space="preserve"> </w:t>
      </w:r>
      <w:r>
        <w:t xml:space="preserve">the base is</w:t>
      </w:r>
      <w:r>
        <w:t xml:space="preserve"> </w:t>
      </w:r>
      <w:r>
        <w:rPr>
          <w:iCs/>
          <w:i/>
        </w:rPr>
        <w:t xml:space="preserve">asmad</w:t>
      </w:r>
      <w:r>
        <w:t xml:space="preserve">: only that is the difference.</w:t>
      </w:r>
    </w:p>
    <w:p>
      <w:pPr>
        <w:pStyle w:val="BodyText"/>
      </w:pPr>
      <w:r>
        <w:rPr>
          <w:bCs/>
          <w:b/>
        </w:rPr>
        <w:t xml:space="preserve">सनेम (</w:t>
      </w:r>
      <w:r>
        <w:rPr>
          <w:iCs/>
          <w:i/>
          <w:bCs/>
          <w:b/>
        </w:rPr>
        <w:t xml:space="preserve">sanema</w:t>
      </w:r>
      <w:r>
        <w:rPr>
          <w:bCs/>
          <w:b/>
        </w:rPr>
        <w:t xml:space="preserve">)</w:t>
      </w:r>
      <w:r>
        <w:t xml:space="preserve">: the root</w:t>
      </w:r>
      <w:r>
        <w:t xml:space="preserve"> </w:t>
      </w:r>
      <w:r>
        <w:rPr>
          <w:iCs/>
          <w:i/>
        </w:rPr>
        <w:t xml:space="preserve">vana ṣaṇa saṃbhaktau</w:t>
      </w:r>
      <w:r>
        <w:t xml:space="preserve">;</w:t>
      </w:r>
      <w:r>
        <w:t xml:space="preserve"> </w:t>
      </w:r>
      <w:r>
        <w:rPr>
          <w:iCs/>
          <w:i/>
        </w:rPr>
        <w:t xml:space="preserve">s</w:t>
      </w:r>
      <w:r>
        <w:t xml:space="preserve"> </w:t>
      </w:r>
      <w:r>
        <w:t xml:space="preserve">for</w:t>
      </w:r>
      <w:r>
        <w:t xml:space="preserve"> </w:t>
      </w:r>
      <w:r>
        <w:rPr>
          <w:iCs/>
          <w:i/>
        </w:rPr>
        <w:t xml:space="preserve">ṣ</w:t>
      </w:r>
      <w:r>
        <w:t xml:space="preserve"> </w:t>
      </w:r>
      <w:r>
        <w:t xml:space="preserve">by</w:t>
      </w:r>
      <w:r>
        <w:t xml:space="preserve"> </w:t>
      </w:r>
      <w:r>
        <w:rPr>
          <w:iCs/>
          <w:i/>
        </w:rPr>
        <w:t xml:space="preserve">dhātvādeḥ ṣaḥ saḥ</w:t>
      </w:r>
      <w:r>
        <w:t xml:space="preserve">. After it</w:t>
      </w:r>
      <w:r>
        <w:t xml:space="preserve"> </w:t>
      </w:r>
      <w:r>
        <w:rPr>
          <w:iCs/>
          <w:i/>
        </w:rPr>
        <w:t xml:space="preserve">āśīr-liṅ</w:t>
      </w:r>
      <w:r>
        <w:t xml:space="preserve">, 1st plural</w:t>
      </w:r>
      <w:r>
        <w:t xml:space="preserve"> </w:t>
      </w:r>
      <w:r>
        <w:rPr>
          <w:iCs/>
          <w:i/>
        </w:rPr>
        <w:t xml:space="preserve">mas</w:t>
      </w:r>
      <w:r>
        <w:t xml:space="preserve">:</w:t>
      </w:r>
      <w:r>
        <w:t xml:space="preserve"> </w:t>
      </w:r>
      <w:r>
        <w:rPr>
          <w:iCs/>
          <w:i/>
        </w:rPr>
        <w:t xml:space="preserve">san</w:t>
      </w:r>
      <w:r>
        <w:t xml:space="preserve"> </w:t>
      </w:r>
      <w:r>
        <w:t xml:space="preserve">+</w:t>
      </w:r>
      <w:r>
        <w:t xml:space="preserve"> </w:t>
      </w:r>
      <w:r>
        <w:rPr>
          <w:iCs/>
          <w:i/>
        </w:rPr>
        <w:t xml:space="preserve">mas</w:t>
      </w:r>
      <w:r>
        <w:t xml:space="preserve">; by</w:t>
      </w:r>
      <w:r>
        <w:t xml:space="preserve"> </w:t>
      </w:r>
      <w:r>
        <w:t xml:space="preserve">“</w:t>
      </w:r>
      <w:r>
        <w:t xml:space="preserve">nityaṃ ṅitaḥ</w:t>
      </w:r>
      <w:r>
        <w:t xml:space="preserve">”</w:t>
      </w:r>
      <w:r>
        <w:t xml:space="preserve"> </w:t>
      </w:r>
      <w:r>
        <w:t xml:space="preserve">(Pā. sū. 3-4-99) the</w:t>
      </w:r>
      <w:r>
        <w:t xml:space="preserve"> </w:t>
      </w:r>
      <w:r>
        <w:rPr>
          <w:iCs/>
          <w:i/>
        </w:rPr>
        <w:t xml:space="preserve">s</w:t>
      </w:r>
      <w:r>
        <w:t xml:space="preserve"> </w:t>
      </w:r>
      <w:r>
        <w:t xml:space="preserve">of</w:t>
      </w:r>
      <w:r>
        <w:t xml:space="preserve"> </w:t>
      </w:r>
      <w:r>
        <w:rPr>
          <w:iCs/>
          <w:i/>
        </w:rPr>
        <w:t xml:space="preserve">mas</w:t>
      </w:r>
      <w:r>
        <w:t xml:space="preserve"> </w:t>
      </w:r>
      <w:r>
        <w:t xml:space="preserve">drops. By</w:t>
      </w:r>
      <w:r>
        <w:t xml:space="preserve"> </w:t>
      </w:r>
      <w:r>
        <w:t xml:space="preserve">“</w:t>
      </w:r>
      <w:r>
        <w:t xml:space="preserve">yāsuṭ parasmaipadeṣūdātto ṅic ca</w:t>
      </w:r>
      <w:r>
        <w:t xml:space="preserve">”</w:t>
      </w:r>
      <w:r>
        <w:t xml:space="preserve"> </w:t>
      </w:r>
      <w:r>
        <w:t xml:space="preserve">(Pā. sū. 3-4-103) the augment</w:t>
      </w:r>
      <w:r>
        <w:t xml:space="preserve"> </w:t>
      </w:r>
      <w:r>
        <w:rPr>
          <w:iCs/>
          <w:i/>
        </w:rPr>
        <w:t xml:space="preserve">yāsuṭ</w:t>
      </w:r>
      <w:r>
        <w:t xml:space="preserve">; being</w:t>
      </w:r>
      <w:r>
        <w:t xml:space="preserve"> </w:t>
      </w:r>
      <w:r>
        <w:rPr>
          <w:iCs/>
          <w:i/>
        </w:rPr>
        <w:t xml:space="preserve">ṭit</w:t>
      </w:r>
      <w:r>
        <w:t xml:space="preserve">, it comes as the first part by</w:t>
      </w:r>
      <w:r>
        <w:t xml:space="preserve"> </w:t>
      </w:r>
      <w:r>
        <w:rPr>
          <w:iCs/>
          <w:i/>
        </w:rPr>
        <w:t xml:space="preserve">ādyantau ṭakitau</w:t>
      </w:r>
      <w:r>
        <w:t xml:space="preserve">. By</w:t>
      </w:r>
      <w:r>
        <w:t xml:space="preserve"> </w:t>
      </w:r>
      <w:r>
        <w:t xml:space="preserve">“</w:t>
      </w:r>
      <w:r>
        <w:t xml:space="preserve">kid āśiṣi</w:t>
      </w:r>
      <w:r>
        <w:t xml:space="preserve">”</w:t>
      </w:r>
      <w:r>
        <w:t xml:space="preserve"> </w:t>
      </w:r>
      <w:r>
        <w:t xml:space="preserve">(Pā. sū. 3-4-104) it becomes</w:t>
      </w:r>
      <w:r>
        <w:t xml:space="preserve"> </w:t>
      </w:r>
      <w:r>
        <w:rPr>
          <w:iCs/>
          <w:i/>
        </w:rPr>
        <w:t xml:space="preserve">kit</w:t>
      </w:r>
      <w:r>
        <w:t xml:space="preserve">; it was said before that this is not the rule enjoining the augment</w:t>
      </w:r>
      <w:r>
        <w:t xml:space="preserve"> </w:t>
      </w:r>
      <w:r>
        <w:rPr>
          <w:iCs/>
          <w:i/>
        </w:rPr>
        <w:t xml:space="preserve">yāsuṭ</w:t>
      </w:r>
      <w:r>
        <w:t xml:space="preserve">.</w:t>
      </w:r>
      <w:r>
        <w:t xml:space="preserve"> </w:t>
      </w:r>
      <w:r>
        <w:rPr>
          <w:iCs/>
          <w:i/>
        </w:rPr>
        <w:t xml:space="preserve">San</w:t>
      </w:r>
      <w:r>
        <w:t xml:space="preserve"> </w:t>
      </w:r>
      <w:r>
        <w:t xml:space="preserve">+</w:t>
      </w:r>
      <w:r>
        <w:t xml:space="preserve"> </w:t>
      </w:r>
      <w:r>
        <w:rPr>
          <w:iCs/>
          <w:i/>
        </w:rPr>
        <w:t xml:space="preserve">yās</w:t>
      </w:r>
      <w:r>
        <w:t xml:space="preserve"> </w:t>
      </w:r>
      <w:r>
        <w:t xml:space="preserve">+</w:t>
      </w:r>
      <w:r>
        <w:t xml:space="preserve"> </w:t>
      </w:r>
      <w:r>
        <w:rPr>
          <w:iCs/>
          <w:i/>
        </w:rPr>
        <w:t xml:space="preserve">ma</w:t>
      </w:r>
      <w:r>
        <w:t xml:space="preserve">: by</w:t>
      </w:r>
      <w:r>
        <w:t xml:space="preserve"> </w:t>
      </w:r>
      <w:r>
        <w:t xml:space="preserve">“</w:t>
      </w:r>
      <w:r>
        <w:t xml:space="preserve">chandasy ubhayathā</w:t>
      </w:r>
      <w:r>
        <w:t xml:space="preserve">”</w:t>
      </w:r>
      <w:r>
        <w:t xml:space="preserve"> </w:t>
      </w:r>
      <w:r>
        <w:t xml:space="preserve">(Pā. sū. 3-4-117)</w:t>
      </w:r>
      <w:r>
        <w:t xml:space="preserve"> </w:t>
      </w:r>
      <w:r>
        <w:rPr>
          <w:iCs/>
          <w:i/>
        </w:rPr>
        <w:t xml:space="preserve">yāsma</w:t>
      </w:r>
      <w:r>
        <w:t xml:space="preserve"> </w:t>
      </w:r>
      <w:r>
        <w:t xml:space="preserve">has both names,</w:t>
      </w:r>
      <w:r>
        <w:t xml:space="preserve"> </w:t>
      </w:r>
      <w:r>
        <w:rPr>
          <w:iCs/>
          <w:i/>
        </w:rPr>
        <w:t xml:space="preserve">sārvadhātuka</w:t>
      </w:r>
      <w:r>
        <w:t xml:space="preserve"> </w:t>
      </w:r>
      <w:r>
        <w:t xml:space="preserve">and</w:t>
      </w:r>
      <w:r>
        <w:t xml:space="preserve"> </w:t>
      </w:r>
      <w:r>
        <w:rPr>
          <w:iCs/>
          <w:i/>
        </w:rPr>
        <w:t xml:space="preserve">ārdhadhātuka</w:t>
      </w:r>
      <w:r>
        <w:t xml:space="preserve">. So, putting the</w:t>
      </w:r>
      <w:r>
        <w:t xml:space="preserve"> </w:t>
      </w:r>
      <w:r>
        <w:rPr>
          <w:iCs/>
          <w:i/>
        </w:rPr>
        <w:t xml:space="preserve">sārvadhātuka</w:t>
      </w:r>
      <w:r>
        <w:t xml:space="preserve"> </w:t>
      </w:r>
      <w:r>
        <w:t xml:space="preserve">name first, the</w:t>
      </w:r>
      <w:r>
        <w:t xml:space="preserve"> </w:t>
      </w:r>
      <w:r>
        <w:rPr>
          <w:iCs/>
          <w:i/>
        </w:rPr>
        <w:t xml:space="preserve">s</w:t>
      </w:r>
      <w:r>
        <w:t xml:space="preserve"> </w:t>
      </w:r>
      <w:r>
        <w:t xml:space="preserve">drops; by</w:t>
      </w:r>
      <w:r>
        <w:t xml:space="preserve"> </w:t>
      </w:r>
      <w:r>
        <w:t xml:space="preserve">“</w:t>
      </w:r>
      <w:r>
        <w:t xml:space="preserve">liṅy āśiṣy aṅ</w:t>
      </w:r>
      <w:r>
        <w:t xml:space="preserve">”</w:t>
      </w:r>
      <w:r>
        <w:t xml:space="preserve"> </w:t>
      </w:r>
      <w:r>
        <w:t xml:space="preserve">(Pā. sū. 3-1-86), when a</w:t>
      </w:r>
      <w:r>
        <w:t xml:space="preserve"> </w:t>
      </w:r>
      <w:r>
        <w:rPr>
          <w:iCs/>
          <w:i/>
        </w:rPr>
        <w:t xml:space="preserve">liṅ</w:t>
      </w:r>
      <w:r>
        <w:t xml:space="preserve"> </w:t>
      </w:r>
      <w:r>
        <w:t xml:space="preserve">of blessing follows,</w:t>
      </w:r>
      <w:r>
        <w:t xml:space="preserve"> </w:t>
      </w:r>
      <w:r>
        <w:rPr>
          <w:iCs/>
          <w:i/>
        </w:rPr>
        <w:t xml:space="preserve">aṅ</w:t>
      </w:r>
      <w:r>
        <w:t xml:space="preserve"> </w:t>
      </w:r>
      <w:r>
        <w:t xml:space="preserve">comes after the root:</w:t>
      </w:r>
      <w:r>
        <w:t xml:space="preserve"> </w:t>
      </w:r>
      <w:r>
        <w:rPr>
          <w:iCs/>
          <w:i/>
        </w:rPr>
        <w:t xml:space="preserve">san</w:t>
      </w:r>
      <w:r>
        <w:t xml:space="preserve"> </w:t>
      </w:r>
      <w:r>
        <w:t xml:space="preserve">+</w:t>
      </w:r>
      <w:r>
        <w:t xml:space="preserve"> </w:t>
      </w:r>
      <w:r>
        <w:rPr>
          <w:iCs/>
          <w:i/>
        </w:rPr>
        <w:t xml:space="preserve">a</w:t>
      </w:r>
      <w:r>
        <w:t xml:space="preserve"> </w:t>
      </w:r>
      <w:r>
        <w:t xml:space="preserve">+</w:t>
      </w:r>
      <w:r>
        <w:t xml:space="preserve"> </w:t>
      </w:r>
      <w:r>
        <w:rPr>
          <w:iCs/>
          <w:i/>
        </w:rPr>
        <w:t xml:space="preserve">yā</w:t>
      </w:r>
      <w:r>
        <w:t xml:space="preserve"> </w:t>
      </w:r>
      <w:r>
        <w:t xml:space="preserve">+</w:t>
      </w:r>
      <w:r>
        <w:t xml:space="preserve"> </w:t>
      </w:r>
      <w:r>
        <w:rPr>
          <w:iCs/>
          <w:i/>
        </w:rPr>
        <w:t xml:space="preserve">ma</w:t>
      </w:r>
      <w:r>
        <w:t xml:space="preserve">. By</w:t>
      </w:r>
      <w:r>
        <w:t xml:space="preserve"> </w:t>
      </w:r>
      <w:r>
        <w:t xml:space="preserve">“</w:t>
      </w:r>
      <w:r>
        <w:t xml:space="preserve">ato yeyaḥ</w:t>
      </w:r>
      <w:r>
        <w:t xml:space="preserve">”</w:t>
      </w:r>
      <w:r>
        <w:t xml:space="preserve"> </w:t>
      </w:r>
      <w:r>
        <w:t xml:space="preserve">(Pā. sū. 7-2-80)</w:t>
      </w:r>
      <w:r>
        <w:t xml:space="preserve"> </w:t>
      </w:r>
      <w:r>
        <w:rPr>
          <w:iCs/>
          <w:i/>
        </w:rPr>
        <w:t xml:space="preserve">iy</w:t>
      </w:r>
      <w:r>
        <w:t xml:space="preserve"> </w:t>
      </w:r>
      <w:r>
        <w:t xml:space="preserve">for</w:t>
      </w:r>
      <w:r>
        <w:t xml:space="preserve"> </w:t>
      </w:r>
      <w:r>
        <w:rPr>
          <w:iCs/>
          <w:i/>
        </w:rPr>
        <w:t xml:space="preserve">yā</w:t>
      </w:r>
      <w:r>
        <w:t xml:space="preserve">:</w:t>
      </w:r>
      <w:r>
        <w:t xml:space="preserve"> </w:t>
      </w:r>
      <w:r>
        <w:rPr>
          <w:iCs/>
          <w:i/>
        </w:rPr>
        <w:t xml:space="preserve">sana</w:t>
      </w:r>
      <w:r>
        <w:t xml:space="preserve"> </w:t>
      </w:r>
      <w:r>
        <w:t xml:space="preserve">+</w:t>
      </w:r>
      <w:r>
        <w:t xml:space="preserve"> </w:t>
      </w:r>
      <w:r>
        <w:rPr>
          <w:iCs/>
          <w:i/>
        </w:rPr>
        <w:t xml:space="preserve">iy</w:t>
      </w:r>
      <w:r>
        <w:t xml:space="preserve"> </w:t>
      </w:r>
      <w:r>
        <w:t xml:space="preserve">+</w:t>
      </w:r>
      <w:r>
        <w:t xml:space="preserve"> </w:t>
      </w:r>
      <w:r>
        <w:rPr>
          <w:iCs/>
          <w:i/>
        </w:rPr>
        <w:t xml:space="preserve">ma</w:t>
      </w:r>
      <w:r>
        <w:t xml:space="preserve">; by</w:t>
      </w:r>
      <w:r>
        <w:t xml:space="preserve"> </w:t>
      </w:r>
      <w:r>
        <w:t xml:space="preserve">“</w:t>
      </w:r>
      <w:r>
        <w:t xml:space="preserve">lopo vyor vali</w:t>
      </w:r>
      <w:r>
        <w:t xml:space="preserve">”</w:t>
      </w:r>
      <w:r>
        <w:t xml:space="preserve"> </w:t>
      </w:r>
      <w:r>
        <w:t xml:space="preserve">(Pā. sū. 6-1-66) the</w:t>
      </w:r>
      <w:r>
        <w:t xml:space="preserve"> </w:t>
      </w:r>
      <w:r>
        <w:rPr>
          <w:iCs/>
          <w:i/>
        </w:rPr>
        <w:t xml:space="preserve">y</w:t>
      </w:r>
      <w:r>
        <w:t xml:space="preserve"> </w:t>
      </w:r>
      <w:r>
        <w:t xml:space="preserve">drops; by</w:t>
      </w:r>
      <w:r>
        <w:t xml:space="preserve"> </w:t>
      </w:r>
      <w:r>
        <w:t xml:space="preserve">“</w:t>
      </w:r>
      <w:r>
        <w:t xml:space="preserve">ād guṇaḥ</w:t>
      </w:r>
      <w:r>
        <w:t xml:space="preserve">”</w:t>
      </w:r>
      <w:r>
        <w:t xml:space="preserve"> </w:t>
      </w:r>
      <w:r>
        <w:t xml:space="preserve">(Pā. sū. 6-1-87)</w:t>
      </w:r>
      <w:r>
        <w:t xml:space="preserve"> </w:t>
      </w:r>
      <w:r>
        <w:rPr>
          <w:iCs/>
          <w:i/>
        </w:rPr>
        <w:t xml:space="preserve">guṇa</w:t>
      </w:r>
      <w:r>
        <w:t xml:space="preserve">:</w:t>
      </w:r>
      <w:r>
        <w:t xml:space="preserve"> </w:t>
      </w:r>
      <w:r>
        <w:rPr>
          <w:iCs/>
          <w:i/>
        </w:rPr>
        <w:t xml:space="preserve">sanema</w:t>
      </w:r>
      <w:r>
        <w:t xml:space="preserve">. Since it stands at the start of the</w:t>
      </w:r>
      <w:r>
        <w:t xml:space="preserve"> </w:t>
      </w:r>
      <w:r>
        <w:rPr>
          <w:iCs/>
          <w:i/>
        </w:rPr>
        <w:t xml:space="preserve">pāda</w:t>
      </w:r>
      <w:r>
        <w:t xml:space="preserve">, it is not made unaccented by</w:t>
      </w:r>
      <w:r>
        <w:t xml:space="preserve"> </w:t>
      </w:r>
      <w:r>
        <w:rPr>
          <w:iCs/>
          <w:i/>
        </w:rPr>
        <w:t xml:space="preserve">tiṅṅatiṅaḥ</w:t>
      </w:r>
      <w:r>
        <w:t xml:space="preserve">; the single substitute</w:t>
      </w:r>
      <w:r>
        <w:t xml:space="preserve"> </w:t>
      </w:r>
      <w:r>
        <w:rPr>
          <w:iCs/>
          <w:i/>
        </w:rPr>
        <w:t xml:space="preserve">e</w:t>
      </w:r>
      <w:r>
        <w:t xml:space="preserve"> </w:t>
      </w:r>
      <w:r>
        <w:t xml:space="preserve">stays udātta.</w:t>
      </w:r>
    </w:p>
    <w:p>
      <w:pPr>
        <w:pStyle w:val="BodyText"/>
      </w:pPr>
      <w:r>
        <w:rPr>
          <w:bCs/>
          <w:b/>
        </w:rPr>
        <w:t xml:space="preserve">धीमहि (</w:t>
      </w:r>
      <w:r>
        <w:rPr>
          <w:iCs/>
          <w:i/>
          <w:bCs/>
          <w:b/>
        </w:rPr>
        <w:t xml:space="preserve">dhīmahi</w:t>
      </w:r>
      <w:r>
        <w:rPr>
          <w:bCs/>
          <w:b/>
        </w:rPr>
        <w:t xml:space="preserve">)</w:t>
      </w:r>
      <w:r>
        <w:t xml:space="preserve">: the root</w:t>
      </w:r>
      <w:r>
        <w:t xml:space="preserve"> </w:t>
      </w:r>
      <w:r>
        <w:rPr>
          <w:iCs/>
          <w:i/>
        </w:rPr>
        <w:t xml:space="preserve">ḍudhāñ dhāraṇapoṣaṇayoḥ</w:t>
      </w:r>
      <w:r>
        <w:t xml:space="preserve">.</w:t>
      </w:r>
      <w:r>
        <w:t xml:space="preserve"> </w:t>
      </w:r>
      <w:r>
        <w:rPr>
          <w:iCs/>
          <w:i/>
        </w:rPr>
        <w:t xml:space="preserve">Liṅ</w:t>
      </w:r>
      <w:r>
        <w:t xml:space="preserve"> </w:t>
      </w:r>
      <w:r>
        <w:t xml:space="preserve">in the sense of blessing; by</w:t>
      </w:r>
      <w:r>
        <w:t xml:space="preserve"> </w:t>
      </w:r>
      <w:r>
        <w:rPr>
          <w:iCs/>
          <w:i/>
        </w:rPr>
        <w:t xml:space="preserve">liṅaḥ sīyuṭ</w:t>
      </w:r>
      <w:r>
        <w:t xml:space="preserve"> </w:t>
      </w:r>
      <w:r>
        <w:t xml:space="preserve">the augment</w:t>
      </w:r>
      <w:r>
        <w:t xml:space="preserve"> </w:t>
      </w:r>
      <w:r>
        <w:rPr>
          <w:iCs/>
          <w:i/>
        </w:rPr>
        <w:t xml:space="preserve">sīyuṭ</w:t>
      </w:r>
      <w:r>
        <w:t xml:space="preserve">; 1st plural</w:t>
      </w:r>
      <w:r>
        <w:t xml:space="preserve"> </w:t>
      </w:r>
      <w:r>
        <w:rPr>
          <w:iCs/>
          <w:i/>
        </w:rPr>
        <w:t xml:space="preserve">mahiṅ</w:t>
      </w:r>
      <w:r>
        <w:t xml:space="preserve">; by</w:t>
      </w:r>
      <w:r>
        <w:t xml:space="preserve"> </w:t>
      </w:r>
      <w:r>
        <w:rPr>
          <w:iCs/>
          <w:i/>
        </w:rPr>
        <w:t xml:space="preserve">chandasy ubhayathā</w:t>
      </w:r>
      <w:r>
        <w:t xml:space="preserve"> </w:t>
      </w:r>
      <w:r>
        <w:t xml:space="preserve">it has the</w:t>
      </w:r>
      <w:r>
        <w:t xml:space="preserve"> </w:t>
      </w:r>
      <w:r>
        <w:rPr>
          <w:iCs/>
          <w:i/>
        </w:rPr>
        <w:t xml:space="preserve">sārvadhātuka</w:t>
      </w:r>
      <w:r>
        <w:t xml:space="preserve"> </w:t>
      </w:r>
      <w:r>
        <w:t xml:space="preserve">name too. Since it has the</w:t>
      </w:r>
      <w:r>
        <w:t xml:space="preserve"> </w:t>
      </w:r>
      <w:r>
        <w:rPr>
          <w:iCs/>
          <w:i/>
        </w:rPr>
        <w:t xml:space="preserve">sārvadhātuka</w:t>
      </w:r>
      <w:r>
        <w:t xml:space="preserve"> </w:t>
      </w:r>
      <w:r>
        <w:t xml:space="preserve">name, by</w:t>
      </w:r>
      <w:r>
        <w:t xml:space="preserve"> </w:t>
      </w:r>
      <w:r>
        <w:rPr>
          <w:iCs/>
          <w:i/>
        </w:rPr>
        <w:t xml:space="preserve">liṅaḥ salopo ’nantyasya</w:t>
      </w:r>
      <w:r>
        <w:t xml:space="preserve"> </w:t>
      </w:r>
      <w:r>
        <w:t xml:space="preserve">the</w:t>
      </w:r>
      <w:r>
        <w:t xml:space="preserve"> </w:t>
      </w:r>
      <w:r>
        <w:rPr>
          <w:iCs/>
          <w:i/>
        </w:rPr>
        <w:t xml:space="preserve">s</w:t>
      </w:r>
      <w:r>
        <w:t xml:space="preserve"> </w:t>
      </w:r>
      <w:r>
        <w:t xml:space="preserve">of</w:t>
      </w:r>
      <w:r>
        <w:t xml:space="preserve"> </w:t>
      </w:r>
      <w:r>
        <w:rPr>
          <w:iCs/>
          <w:i/>
        </w:rPr>
        <w:t xml:space="preserve">sīyuṭ</w:t>
      </w:r>
      <w:r>
        <w:t xml:space="preserve"> </w:t>
      </w:r>
      <w:r>
        <w:t xml:space="preserve">drops, and by</w:t>
      </w:r>
      <w:r>
        <w:t xml:space="preserve"> </w:t>
      </w:r>
      <w:r>
        <w:t xml:space="preserve">“</w:t>
      </w:r>
      <w:r>
        <w:t xml:space="preserve">sārvadhātukam apit</w:t>
      </w:r>
      <w:r>
        <w:t xml:space="preserve">”</w:t>
      </w:r>
      <w:r>
        <w:t xml:space="preserve"> </w:t>
      </w:r>
      <w:r>
        <w:t xml:space="preserve">(Pā. sū. 1-2-4) it is</w:t>
      </w:r>
      <w:r>
        <w:t xml:space="preserve"> </w:t>
      </w:r>
      <w:r>
        <w:rPr>
          <w:iCs/>
          <w:i/>
        </w:rPr>
        <w:t xml:space="preserve">ṅit</w:t>
      </w:r>
      <w:r>
        <w:t xml:space="preserve">.</w:t>
      </w:r>
      <w:r>
        <w:t xml:space="preserve"> </w:t>
      </w:r>
      <w:r>
        <w:rPr>
          <w:iCs/>
          <w:i/>
        </w:rPr>
        <w:t xml:space="preserve">Śap</w:t>
      </w:r>
      <w:r>
        <w:t xml:space="preserve"> </w:t>
      </w:r>
      <w:r>
        <w:t xml:space="preserve">comes by</w:t>
      </w:r>
      <w:r>
        <w:t xml:space="preserve"> </w:t>
      </w:r>
      <w:r>
        <w:rPr>
          <w:iCs/>
          <w:i/>
        </w:rPr>
        <w:t xml:space="preserve">kartari śap</w:t>
      </w:r>
      <w:r>
        <w:t xml:space="preserve">; but by</w:t>
      </w:r>
      <w:r>
        <w:t xml:space="preserve"> </w:t>
      </w:r>
      <w:r>
        <w:t xml:space="preserve">“</w:t>
      </w:r>
      <w:r>
        <w:t xml:space="preserve">bahulaṃ chandasi</w:t>
      </w:r>
      <w:r>
        <w:t xml:space="preserve">”</w:t>
      </w:r>
      <w:r>
        <w:t xml:space="preserve"> </w:t>
      </w:r>
      <w:r>
        <w:t xml:space="preserve">(Pā. sū. 2-4-73) the root</w:t>
      </w:r>
      <w:r>
        <w:t xml:space="preserve"> </w:t>
      </w:r>
      <w:r>
        <w:rPr>
          <w:iCs/>
          <w:i/>
        </w:rPr>
        <w:t xml:space="preserve">dhāñ</w:t>
      </w:r>
      <w:r>
        <w:t xml:space="preserve">, being of the</w:t>
      </w:r>
      <w:r>
        <w:t xml:space="preserve"> </w:t>
      </w:r>
      <w:r>
        <w:rPr>
          <w:iCs/>
          <w:i/>
        </w:rPr>
        <w:t xml:space="preserve">juhoty-ādi</w:t>
      </w:r>
      <w:r>
        <w:t xml:space="preserve"> </w:t>
      </w:r>
      <w:r>
        <w:t xml:space="preserve">class, takes</w:t>
      </w:r>
      <w:r>
        <w:t xml:space="preserve"> </w:t>
      </w:r>
      <w:r>
        <w:rPr>
          <w:iCs/>
          <w:i/>
        </w:rPr>
        <w:t xml:space="preserve">luk</w:t>
      </w:r>
      <w:r>
        <w:t xml:space="preserve">. Or it may be said that, taking the</w:t>
      </w:r>
      <w:r>
        <w:t xml:space="preserve"> </w:t>
      </w:r>
      <w:r>
        <w:rPr>
          <w:iCs/>
          <w:i/>
        </w:rPr>
        <w:t xml:space="preserve">ārdhadhātuka</w:t>
      </w:r>
      <w:r>
        <w:t xml:space="preserve"> </w:t>
      </w:r>
      <w:r>
        <w:t xml:space="preserve">name when</w:t>
      </w:r>
      <w:r>
        <w:t xml:space="preserve"> </w:t>
      </w:r>
      <w:r>
        <w:rPr>
          <w:iCs/>
          <w:i/>
        </w:rPr>
        <w:t xml:space="preserve">śap</w:t>
      </w:r>
      <w:r>
        <w:t xml:space="preserve"> </w:t>
      </w:r>
      <w:r>
        <w:t xml:space="preserve">is to be made,</w:t>
      </w:r>
      <w:r>
        <w:t xml:space="preserve"> </w:t>
      </w:r>
      <w:r>
        <w:rPr>
          <w:iCs/>
          <w:i/>
        </w:rPr>
        <w:t xml:space="preserve">śap</w:t>
      </w:r>
      <w:r>
        <w:t xml:space="preserve"> </w:t>
      </w:r>
      <w:r>
        <w:t xml:space="preserve">does not come.</w:t>
      </w:r>
      <w:r>
        <w:t xml:space="preserve"> </w:t>
      </w:r>
      <w:r>
        <w:rPr>
          <w:iCs/>
          <w:i/>
        </w:rPr>
        <w:t xml:space="preserve">Dhā</w:t>
      </w:r>
      <w:r>
        <w:t xml:space="preserve"> </w:t>
      </w:r>
      <w:r>
        <w:t xml:space="preserve">+</w:t>
      </w:r>
      <w:r>
        <w:t xml:space="preserve"> </w:t>
      </w:r>
      <w:r>
        <w:rPr>
          <w:iCs/>
          <w:i/>
        </w:rPr>
        <w:t xml:space="preserve">īy</w:t>
      </w:r>
      <w:r>
        <w:t xml:space="preserve"> </w:t>
      </w:r>
      <w:r>
        <w:t xml:space="preserve">+</w:t>
      </w:r>
      <w:r>
        <w:t xml:space="preserve"> </w:t>
      </w:r>
      <w:r>
        <w:rPr>
          <w:iCs/>
          <w:i/>
        </w:rPr>
        <w:t xml:space="preserve">mahi</w:t>
      </w:r>
      <w:r>
        <w:t xml:space="preserve">: having the</w:t>
      </w:r>
      <w:r>
        <w:t xml:space="preserve"> </w:t>
      </w:r>
      <w:r>
        <w:rPr>
          <w:iCs/>
          <w:i/>
        </w:rPr>
        <w:t xml:space="preserve">ārdhadhātuka</w:t>
      </w:r>
      <w:r>
        <w:t xml:space="preserve"> </w:t>
      </w:r>
      <w:r>
        <w:t xml:space="preserve">name, by</w:t>
      </w:r>
      <w:r>
        <w:t xml:space="preserve"> </w:t>
      </w:r>
      <w:r>
        <w:t xml:space="preserve">“</w:t>
      </w:r>
      <w:r>
        <w:t xml:space="preserve">āto lopa iṭi ca</w:t>
      </w:r>
      <w:r>
        <w:t xml:space="preserve">”</w:t>
      </w:r>
      <w:r>
        <w:t xml:space="preserve"> </w:t>
      </w:r>
      <w:r>
        <w:t xml:space="preserve">(Pā. sū. 6-4-64) the</w:t>
      </w:r>
      <w:r>
        <w:t xml:space="preserve"> </w:t>
      </w:r>
      <w:r>
        <w:rPr>
          <w:iCs/>
          <w:i/>
        </w:rPr>
        <w:t xml:space="preserve">ā</w:t>
      </w:r>
      <w:r>
        <w:t xml:space="preserve"> </w:t>
      </w:r>
      <w:r>
        <w:t xml:space="preserve">drops; by</w:t>
      </w:r>
      <w:r>
        <w:t xml:space="preserve"> </w:t>
      </w:r>
      <w:r>
        <w:rPr>
          <w:iCs/>
          <w:i/>
        </w:rPr>
        <w:t xml:space="preserve">lopo vyor vali</w:t>
      </w:r>
      <w:r>
        <w:t xml:space="preserve"> </w:t>
      </w:r>
      <w:r>
        <w:t xml:space="preserve">the</w:t>
      </w:r>
      <w:r>
        <w:t xml:space="preserve"> </w:t>
      </w:r>
      <w:r>
        <w:rPr>
          <w:iCs/>
          <w:i/>
        </w:rPr>
        <w:t xml:space="preserve">y</w:t>
      </w:r>
      <w:r>
        <w:t xml:space="preserve"> </w:t>
      </w:r>
      <w:r>
        <w:t xml:space="preserve">drops:</w:t>
      </w:r>
      <w:r>
        <w:t xml:space="preserve"> </w:t>
      </w:r>
      <w:r>
        <w:rPr>
          <w:iCs/>
          <w:i/>
        </w:rPr>
        <w:t xml:space="preserve">dhīmahi</w:t>
      </w:r>
      <w:r>
        <w:t xml:space="preserve">. Here, since the suffix is</w:t>
      </w:r>
      <w:r>
        <w:t xml:space="preserve"> </w:t>
      </w:r>
      <w:r>
        <w:rPr>
          <w:iCs/>
          <w:i/>
        </w:rPr>
        <w:t xml:space="preserve">ṅit</w:t>
      </w:r>
      <w:r>
        <w:t xml:space="preserve"> </w:t>
      </w:r>
      <w:r>
        <w:t xml:space="preserve">of itself, the extended</w:t>
      </w:r>
      <w:r>
        <w:t xml:space="preserve"> </w:t>
      </w:r>
      <w:r>
        <w:rPr>
          <w:iCs/>
          <w:i/>
        </w:rPr>
        <w:t xml:space="preserve">ṅit</w:t>
      </w:r>
      <w:r>
        <w:t xml:space="preserve">-ness by</w:t>
      </w:r>
      <w:r>
        <w:t xml:space="preserve"> </w:t>
      </w:r>
      <w:r>
        <w:rPr>
          <w:iCs/>
          <w:i/>
        </w:rPr>
        <w:t xml:space="preserve">sārvadhātukam apit</w:t>
      </w:r>
      <w:r>
        <w:t xml:space="preserve"> </w:t>
      </w:r>
      <w:r>
        <w:t xml:space="preserve">has no result; the</w:t>
      </w:r>
      <w:r>
        <w:t xml:space="preserve"> </w:t>
      </w:r>
      <w:r>
        <w:rPr>
          <w:iCs/>
          <w:i/>
        </w:rPr>
        <w:t xml:space="preserve">ṅit</w:t>
      </w:r>
      <w:r>
        <w:t xml:space="preserve">-ness is set out with the intent that this too is a result of the</w:t>
      </w:r>
      <w:r>
        <w:t xml:space="preserve"> </w:t>
      </w:r>
      <w:r>
        <w:rPr>
          <w:iCs/>
          <w:i/>
        </w:rPr>
        <w:t xml:space="preserve">sārvadhātuka</w:t>
      </w:r>
      <w:r>
        <w:t xml:space="preserve"> </w:t>
      </w:r>
      <w:r>
        <w:t xml:space="preserve">name. In</w:t>
      </w:r>
      <w:r>
        <w:t xml:space="preserve"> </w:t>
      </w:r>
      <w:r>
        <w:rPr>
          <w:iCs/>
          <w:i/>
        </w:rPr>
        <w:t xml:space="preserve">ni ca dhīmahi</w:t>
      </w:r>
      <w:r>
        <w:t xml:space="preserve"> </w:t>
      </w:r>
      <w:r>
        <w:t xml:space="preserve">the word</w:t>
      </w:r>
      <w:r>
        <w:t xml:space="preserve"> </w:t>
      </w:r>
      <w:r>
        <w:rPr>
          <w:iCs/>
          <w:i/>
        </w:rPr>
        <w:t xml:space="preserve">ca</w:t>
      </w:r>
      <w:r>
        <w:t xml:space="preserve"> </w:t>
      </w:r>
      <w:r>
        <w:t xml:space="preserve">is used; but since the</w:t>
      </w:r>
      <w:r>
        <w:t xml:space="preserve"> </w:t>
      </w:r>
      <w:r>
        <w:rPr>
          <w:iCs/>
          <w:i/>
        </w:rPr>
        <w:t xml:space="preserve">tiṅanta</w:t>
      </w:r>
      <w:r>
        <w:t xml:space="preserve"> </w:t>
      </w:r>
      <w:r>
        <w:rPr>
          <w:iCs/>
          <w:i/>
        </w:rPr>
        <w:t xml:space="preserve">sanema</w:t>
      </w:r>
      <w:r>
        <w:t xml:space="preserve"> </w:t>
      </w:r>
      <w:r>
        <w:t xml:space="preserve">comes first,</w:t>
      </w:r>
      <w:r>
        <w:t xml:space="preserve"> </w:t>
      </w:r>
      <w:r>
        <w:rPr>
          <w:iCs/>
          <w:i/>
        </w:rPr>
        <w:t xml:space="preserve">dhīmahi</w:t>
      </w:r>
      <w:r>
        <w:t xml:space="preserve"> </w:t>
      </w:r>
      <w:r>
        <w:t xml:space="preserve">is the second relative to it. So by</w:t>
      </w:r>
      <w:r>
        <w:t xml:space="preserve"> </w:t>
      </w:r>
      <w:r>
        <w:t xml:space="preserve">“</w:t>
      </w:r>
      <w:r>
        <w:t xml:space="preserve">cavāyoge prathamā</w:t>
      </w:r>
      <w:r>
        <w:t xml:space="preserve">”</w:t>
      </w:r>
      <w:r>
        <w:t xml:space="preserve"> </w:t>
      </w:r>
      <w:r>
        <w:t xml:space="preserve">(Pā. sū. 8-1-59) the bar to unaccentedness does not come; by</w:t>
      </w:r>
      <w:r>
        <w:t xml:space="preserve"> </w:t>
      </w:r>
      <w:r>
        <w:rPr>
          <w:iCs/>
          <w:i/>
        </w:rPr>
        <w:t xml:space="preserve">tiṅṅatiṅaḥ</w:t>
      </w:r>
      <w:r>
        <w:t xml:space="preserve"> </w:t>
      </w:r>
      <w:r>
        <w:t xml:space="preserve">it is wholly unaccented.</w:t>
      </w:r>
    </w:p>
    <w:bookmarkEnd w:id="805"/>
    <w:bookmarkStart w:id="806" w:name="page-735-upper-rik-6-grammar-end"/>
    <w:p>
      <w:pPr>
        <w:pStyle w:val="Heading3"/>
      </w:pPr>
      <w:r>
        <w:t xml:space="preserve">Page 735 (upper) — Rik 6: grammar (end)</w:t>
      </w:r>
    </w:p>
    <w:p>
      <w:pPr>
        <w:pStyle w:val="FirstParagraph"/>
      </w:pPr>
      <w:r>
        <w:rPr>
          <w:bCs/>
          <w:b/>
        </w:rPr>
        <w:t xml:space="preserve">स्यात् (</w:t>
      </w:r>
      <w:r>
        <w:rPr>
          <w:iCs/>
          <w:i/>
          <w:bCs/>
          <w:b/>
        </w:rPr>
        <w:t xml:space="preserve">syāt</w:t>
      </w:r>
      <w:r>
        <w:rPr>
          <w:bCs/>
          <w:b/>
        </w:rPr>
        <w:t xml:space="preserve">)</w:t>
      </w:r>
      <w:r>
        <w:t xml:space="preserve">:</w:t>
      </w:r>
      <w:r>
        <w:t xml:space="preserve"> </w:t>
      </w:r>
      <w:r>
        <w:rPr>
          <w:iCs/>
          <w:i/>
        </w:rPr>
        <w:t xml:space="preserve">asa bhuvi</w:t>
      </w:r>
      <w:r>
        <w:t xml:space="preserve">. By</w:t>
      </w:r>
      <w:r>
        <w:t xml:space="preserve"> </w:t>
      </w:r>
      <w:r>
        <w:t xml:space="preserve">“</w:t>
      </w:r>
      <w:r>
        <w:t xml:space="preserve">vidhinimantraṇāmantraṇādhīṣṭasaṃpraśnaprārthaneṣu liṅ</w:t>
      </w:r>
      <w:r>
        <w:t xml:space="preserve">”</w:t>
      </w:r>
      <w:r>
        <w:t xml:space="preserve"> </w:t>
      </w:r>
      <w:r>
        <w:t xml:space="preserve">(Pā. sū. 3-3-161)</w:t>
      </w:r>
      <w:r>
        <w:t xml:space="preserve"> </w:t>
      </w:r>
      <w:r>
        <w:rPr>
          <w:iCs/>
          <w:i/>
        </w:rPr>
        <w:t xml:space="preserve">liṅ</w:t>
      </w:r>
      <w:r>
        <w:t xml:space="preserve"> </w:t>
      </w:r>
      <w:r>
        <w:t xml:space="preserve">in the sense of prayer;</w:t>
      </w:r>
      <w:r>
        <w:t xml:space="preserve"> </w:t>
      </w:r>
      <w:r>
        <w:rPr>
          <w:iCs/>
          <w:i/>
        </w:rPr>
        <w:t xml:space="preserve">tip</w:t>
      </w:r>
      <w:r>
        <w:t xml:space="preserve">. By</w:t>
      </w:r>
      <w:r>
        <w:t xml:space="preserve"> </w:t>
      </w:r>
      <w:r>
        <w:t xml:space="preserve">“</w:t>
      </w:r>
      <w:r>
        <w:t xml:space="preserve">itaś ca</w:t>
      </w:r>
      <w:r>
        <w:t xml:space="preserve">”</w:t>
      </w:r>
      <w:r>
        <w:t xml:space="preserve"> </w:t>
      </w:r>
      <w:r>
        <w:t xml:space="preserve">(Pā. sū. 3-4-100) the augment</w:t>
      </w:r>
      <w:r>
        <w:t xml:space="preserve"> </w:t>
      </w:r>
      <w:r>
        <w:rPr>
          <w:iCs/>
          <w:i/>
        </w:rPr>
        <w:t xml:space="preserve">yāsuṭ</w:t>
      </w:r>
      <w:r>
        <w:t xml:space="preserve"> </w:t>
      </w:r>
      <w:r>
        <w:t xml:space="preserve">[as printed;</w:t>
      </w:r>
      <w:r>
        <w:t xml:space="preserve"> </w:t>
      </w:r>
      <w:r>
        <w:rPr>
          <w:iCs/>
          <w:i/>
        </w:rPr>
        <w:t xml:space="preserve">itaś ca</w:t>
      </w:r>
      <w:r>
        <w:t xml:space="preserve"> </w:t>
      </w:r>
      <w:r>
        <w:t xml:space="preserve">drops the</w:t>
      </w:r>
      <w:r>
        <w:t xml:space="preserve"> </w:t>
      </w:r>
      <w:r>
        <w:rPr>
          <w:iCs/>
          <w:i/>
        </w:rPr>
        <w:t xml:space="preserve">i</w:t>
      </w:r>
      <w:r>
        <w:t xml:space="preserve">, and</w:t>
      </w:r>
      <w:r>
        <w:t xml:space="preserve"> </w:t>
      </w:r>
      <w:r>
        <w:rPr>
          <w:iCs/>
          <w:i/>
        </w:rPr>
        <w:t xml:space="preserve">yāsuṭ</w:t>
      </w:r>
      <w:r>
        <w:t xml:space="preserve"> </w:t>
      </w:r>
      <w:r>
        <w:t xml:space="preserve">comes by Pā. 3-4-103]; by this it is also</w:t>
      </w:r>
      <w:r>
        <w:t xml:space="preserve"> </w:t>
      </w:r>
      <w:r>
        <w:rPr>
          <w:iCs/>
          <w:i/>
        </w:rPr>
        <w:t xml:space="preserve">ṅit</w:t>
      </w:r>
      <w:r>
        <w:t xml:space="preserve">.</w:t>
      </w:r>
      <w:r>
        <w:t xml:space="preserve"> </w:t>
      </w:r>
      <w:r>
        <w:rPr>
          <w:iCs/>
          <w:i/>
        </w:rPr>
        <w:t xml:space="preserve">As</w:t>
      </w:r>
      <w:r>
        <w:t xml:space="preserve"> </w:t>
      </w:r>
      <w:r>
        <w:t xml:space="preserve">+</w:t>
      </w:r>
      <w:r>
        <w:t xml:space="preserve"> </w:t>
      </w:r>
      <w:r>
        <w:rPr>
          <w:iCs/>
          <w:i/>
        </w:rPr>
        <w:t xml:space="preserve">yās</w:t>
      </w:r>
      <w:r>
        <w:t xml:space="preserve"> </w:t>
      </w:r>
      <w:r>
        <w:t xml:space="preserve">+</w:t>
      </w:r>
      <w:r>
        <w:t xml:space="preserve"> </w:t>
      </w:r>
      <w:r>
        <w:rPr>
          <w:iCs/>
          <w:i/>
        </w:rPr>
        <w:t xml:space="preserve">t</w:t>
      </w:r>
      <w:r>
        <w:t xml:space="preserve">;</w:t>
      </w:r>
      <w:r>
        <w:t xml:space="preserve"> </w:t>
      </w:r>
      <w:r>
        <w:rPr>
          <w:iCs/>
          <w:i/>
        </w:rPr>
        <w:t xml:space="preserve">śap</w:t>
      </w:r>
      <w:r>
        <w:t xml:space="preserve"> </w:t>
      </w:r>
      <w:r>
        <w:t xml:space="preserve">by</w:t>
      </w:r>
      <w:r>
        <w:t xml:space="preserve"> </w:t>
      </w:r>
      <w:r>
        <w:rPr>
          <w:iCs/>
          <w:i/>
        </w:rPr>
        <w:t xml:space="preserve">kartari śap</w:t>
      </w:r>
      <w:r>
        <w:t xml:space="preserve">, and its</w:t>
      </w:r>
      <w:r>
        <w:t xml:space="preserve"> </w:t>
      </w:r>
      <w:r>
        <w:rPr>
          <w:iCs/>
          <w:i/>
        </w:rPr>
        <w:t xml:space="preserve">luk</w:t>
      </w:r>
      <w:r>
        <w:t xml:space="preserve"> </w:t>
      </w:r>
      <w:r>
        <w:t xml:space="preserve">by</w:t>
      </w:r>
      <w:r>
        <w:t xml:space="preserve"> </w:t>
      </w:r>
      <w:r>
        <w:t xml:space="preserve">“</w:t>
      </w:r>
      <w:r>
        <w:t xml:space="preserve">adiprabhṛtibhyaḥ śapaḥ</w:t>
      </w:r>
      <w:r>
        <w:t xml:space="preserve">”</w:t>
      </w:r>
      <w:r>
        <w:t xml:space="preserve"> </w:t>
      </w:r>
      <w:r>
        <w:t xml:space="preserve">(Pā. sū. 2-4-72). By</w:t>
      </w:r>
      <w:r>
        <w:t xml:space="preserve"> </w:t>
      </w:r>
      <w:r>
        <w:t xml:space="preserve">“</w:t>
      </w:r>
      <w:r>
        <w:t xml:space="preserve">śnasor allopaḥ</w:t>
      </w:r>
      <w:r>
        <w:t xml:space="preserve">”</w:t>
      </w:r>
      <w:r>
        <w:t xml:space="preserve"> </w:t>
      </w:r>
      <w:r>
        <w:t xml:space="preserve">(Pā. sū. 6-4-111) the</w:t>
      </w:r>
      <w:r>
        <w:t xml:space="preserve"> </w:t>
      </w:r>
      <w:r>
        <w:rPr>
          <w:iCs/>
          <w:i/>
        </w:rPr>
        <w:t xml:space="preserve">a</w:t>
      </w:r>
      <w:r>
        <w:t xml:space="preserve"> </w:t>
      </w:r>
      <w:r>
        <w:t xml:space="preserve">of the root drops; by</w:t>
      </w:r>
      <w:r>
        <w:t xml:space="preserve"> </w:t>
      </w:r>
      <w:r>
        <w:rPr>
          <w:iCs/>
          <w:i/>
        </w:rPr>
        <w:t xml:space="preserve">liṅaḥ salopo ’nantyasya</w:t>
      </w:r>
      <w:r>
        <w:t xml:space="preserve"> </w:t>
      </w:r>
      <w:r>
        <w:t xml:space="preserve">the</w:t>
      </w:r>
      <w:r>
        <w:t xml:space="preserve"> </w:t>
      </w:r>
      <w:r>
        <w:rPr>
          <w:iCs/>
          <w:i/>
        </w:rPr>
        <w:t xml:space="preserve">s</w:t>
      </w:r>
      <w:r>
        <w:t xml:space="preserve"> </w:t>
      </w:r>
      <w:r>
        <w:t xml:space="preserve">of the augment</w:t>
      </w:r>
      <w:r>
        <w:t xml:space="preserve"> </w:t>
      </w:r>
      <w:r>
        <w:rPr>
          <w:iCs/>
          <w:i/>
        </w:rPr>
        <w:t xml:space="preserve">yāsuṭ</w:t>
      </w:r>
      <w:r>
        <w:t xml:space="preserve"> </w:t>
      </w:r>
      <w:r>
        <w:t xml:space="preserve">drops:</w:t>
      </w:r>
      <w:r>
        <w:t xml:space="preserve"> </w:t>
      </w:r>
      <w:r>
        <w:rPr>
          <w:iCs/>
          <w:i/>
        </w:rPr>
        <w:t xml:space="preserve">syāt</w:t>
      </w:r>
      <w:r>
        <w:t xml:space="preserve">. Since it stands at the start of the</w:t>
      </w:r>
      <w:r>
        <w:t xml:space="preserve"> </w:t>
      </w:r>
      <w:r>
        <w:rPr>
          <w:iCs/>
          <w:i/>
        </w:rPr>
        <w:t xml:space="preserve">pāda</w:t>
      </w:r>
      <w:r>
        <w:t xml:space="preserve">, it is not wholly unaccented by</w:t>
      </w:r>
      <w:r>
        <w:t xml:space="preserve"> </w:t>
      </w:r>
      <w:r>
        <w:rPr>
          <w:iCs/>
          <w:i/>
        </w:rPr>
        <w:t xml:space="preserve">tiṅṅatiṅaḥ</w:t>
      </w:r>
      <w:r>
        <w:t xml:space="preserve">.</w:t>
      </w:r>
    </w:p>
    <w:p>
      <w:pPr>
        <w:pStyle w:val="BodyText"/>
      </w:pPr>
      <w:r>
        <w:rPr>
          <w:bCs/>
          <w:b/>
        </w:rPr>
        <w:t xml:space="preserve">उत (</w:t>
      </w:r>
      <w:r>
        <w:rPr>
          <w:iCs/>
          <w:i/>
          <w:bCs/>
          <w:b/>
        </w:rPr>
        <w:t xml:space="preserve">uta</w:t>
      </w:r>
      <w:r>
        <w:rPr>
          <w:bCs/>
          <w:b/>
        </w:rPr>
        <w:t xml:space="preserve">)</w:t>
      </w:r>
      <w:r>
        <w:t xml:space="preserve">: final udātta by</w:t>
      </w:r>
      <w:r>
        <w:t xml:space="preserve"> </w:t>
      </w:r>
      <w:r>
        <w:t xml:space="preserve">“</w:t>
      </w:r>
      <w:r>
        <w:t xml:space="preserve">evādīnām antaḥ</w:t>
      </w:r>
      <w:r>
        <w:t xml:space="preserve">”</w:t>
      </w:r>
      <w:r>
        <w:t xml:space="preserve"> </w:t>
      </w:r>
      <w:r>
        <w:t xml:space="preserve">(Phi. sū.</w:t>
      </w:r>
      <w:r>
        <w:t xml:space="preserve"> </w:t>
      </w:r>
      <w:r>
        <w:t xml:space="preserve">“</w:t>
      </w:r>
      <w:r>
        <w:t xml:space="preserve">4-83</w:t>
      </w:r>
      <w:r>
        <w:t xml:space="preserve">”</w:t>
      </w:r>
      <w:r>
        <w:t xml:space="preserve"> </w:t>
      </w:r>
      <w:r>
        <w:t xml:space="preserve">[?]).</w:t>
      </w:r>
    </w:p>
    <w:p>
      <w:pPr>
        <w:pStyle w:val="BodyText"/>
      </w:pPr>
      <w:r>
        <w:rPr>
          <w:bCs/>
          <w:b/>
        </w:rPr>
        <w:t xml:space="preserve">प्ररेचनम् (</w:t>
      </w:r>
      <w:r>
        <w:rPr>
          <w:iCs/>
          <w:i/>
          <w:bCs/>
          <w:b/>
        </w:rPr>
        <w:t xml:space="preserve">prarecanam</w:t>
      </w:r>
      <w:r>
        <w:rPr>
          <w:bCs/>
          <w:b/>
        </w:rPr>
        <w:t xml:space="preserve">)</w:t>
      </w:r>
      <w:r>
        <w:t xml:space="preserve">: the root</w:t>
      </w:r>
      <w:r>
        <w:t xml:space="preserve"> </w:t>
      </w:r>
      <w:r>
        <w:rPr>
          <w:iCs/>
          <w:i/>
        </w:rPr>
        <w:t xml:space="preserve">ricir virecane</w:t>
      </w:r>
      <w:r>
        <w:t xml:space="preserve">. By</w:t>
      </w:r>
      <w:r>
        <w:t xml:space="preserve"> </w:t>
      </w:r>
      <w:r>
        <w:t xml:space="preserve">“</w:t>
      </w:r>
      <w:r>
        <w:t xml:space="preserve">irit saṃjñā vācyā</w:t>
      </w:r>
      <w:r>
        <w:t xml:space="preserve">”</w:t>
      </w:r>
      <w:r>
        <w:t xml:space="preserve"> </w:t>
      </w:r>
      <w:r>
        <w:t xml:space="preserve">(Vārttika</w:t>
      </w:r>
      <w:r>
        <w:t xml:space="preserve"> </w:t>
      </w:r>
      <w:r>
        <w:t xml:space="preserve">“</w:t>
      </w:r>
      <w:r>
        <w:t xml:space="preserve">1-3-7</w:t>
      </w:r>
      <w:r>
        <w:t xml:space="preserve">”</w:t>
      </w:r>
      <w:r>
        <w:t xml:space="preserve"> </w:t>
      </w:r>
      <w:r>
        <w:t xml:space="preserve">[?]) the</w:t>
      </w:r>
      <w:r>
        <w:t xml:space="preserve"> </w:t>
      </w:r>
      <w:r>
        <w:rPr>
          <w:iCs/>
          <w:i/>
        </w:rPr>
        <w:t xml:space="preserve">ir</w:t>
      </w:r>
      <w:r>
        <w:t xml:space="preserve"> </w:t>
      </w:r>
      <w:r>
        <w:t xml:space="preserve">is called</w:t>
      </w:r>
      <w:r>
        <w:t xml:space="preserve"> </w:t>
      </w:r>
      <w:r>
        <w:rPr>
          <w:iCs/>
          <w:i/>
        </w:rPr>
        <w:t xml:space="preserve">it</w:t>
      </w:r>
      <w:r>
        <w:t xml:space="preserve"> </w:t>
      </w:r>
      <w:r>
        <w:t xml:space="preserve">and dropped. By</w:t>
      </w:r>
      <w:r>
        <w:t xml:space="preserve"> </w:t>
      </w:r>
      <w:r>
        <w:t xml:space="preserve">“</w:t>
      </w:r>
      <w:r>
        <w:t xml:space="preserve">lyuṭ ca</w:t>
      </w:r>
      <w:r>
        <w:t xml:space="preserve">”</w:t>
      </w:r>
      <w:r>
        <w:t xml:space="preserve"> </w:t>
      </w:r>
      <w:r>
        <w:t xml:space="preserve">(Pā. sū. 3-3-115) (in the neuter, in the sense of the action, the suffixes</w:t>
      </w:r>
      <w:r>
        <w:t xml:space="preserve"> </w:t>
      </w:r>
      <w:r>
        <w:rPr>
          <w:iCs/>
          <w:i/>
        </w:rPr>
        <w:t xml:space="preserve">kta</w:t>
      </w:r>
      <w:r>
        <w:t xml:space="preserve"> </w:t>
      </w:r>
      <w:r>
        <w:t xml:space="preserve">and</w:t>
      </w:r>
      <w:r>
        <w:t xml:space="preserve"> </w:t>
      </w:r>
      <w:r>
        <w:rPr>
          <w:iCs/>
          <w:i/>
        </w:rPr>
        <w:t xml:space="preserve">lyuṭ</w:t>
      </w:r>
      <w:r>
        <w:t xml:space="preserve"> </w:t>
      </w:r>
      <w:r>
        <w:t xml:space="preserve">come after a root) the suffix</w:t>
      </w:r>
      <w:r>
        <w:t xml:space="preserve"> </w:t>
      </w:r>
      <w:r>
        <w:rPr>
          <w:iCs/>
          <w:i/>
        </w:rPr>
        <w:t xml:space="preserve">lyuṭ</w:t>
      </w:r>
      <w:r>
        <w:t xml:space="preserve">; by</w:t>
      </w:r>
      <w:r>
        <w:t xml:space="preserve"> </w:t>
      </w:r>
      <w:r>
        <w:t xml:space="preserve">“</w:t>
      </w:r>
      <w:r>
        <w:t xml:space="preserve">yuvor anākau</w:t>
      </w:r>
      <w:r>
        <w:t xml:space="preserve">”</w:t>
      </w:r>
      <w:r>
        <w:t xml:space="preserve"> </w:t>
      </w:r>
      <w:r>
        <w:t xml:space="preserve">(Pā. sū. 7-1-1)</w:t>
      </w:r>
      <w:r>
        <w:t xml:space="preserve"> </w:t>
      </w:r>
      <w:r>
        <w:rPr>
          <w:iCs/>
          <w:i/>
        </w:rPr>
        <w:t xml:space="preserve">ana</w:t>
      </w:r>
      <w:r>
        <w:t xml:space="preserve"> </w:t>
      </w:r>
      <w:r>
        <w:t xml:space="preserve">for</w:t>
      </w:r>
      <w:r>
        <w:t xml:space="preserve"> </w:t>
      </w:r>
      <w:r>
        <w:rPr>
          <w:iCs/>
          <w:i/>
        </w:rPr>
        <w:t xml:space="preserve">yu</w:t>
      </w:r>
      <w:r>
        <w:t xml:space="preserve">:</w:t>
      </w:r>
      <w:r>
        <w:t xml:space="preserve"> </w:t>
      </w:r>
      <w:r>
        <w:rPr>
          <w:iCs/>
          <w:i/>
        </w:rPr>
        <w:t xml:space="preserve">ric</w:t>
      </w:r>
      <w:r>
        <w:t xml:space="preserve"> </w:t>
      </w:r>
      <w:r>
        <w:t xml:space="preserve">+</w:t>
      </w:r>
      <w:r>
        <w:t xml:space="preserve"> </w:t>
      </w:r>
      <w:r>
        <w:rPr>
          <w:iCs/>
          <w:i/>
        </w:rPr>
        <w:t xml:space="preserve">ana</w:t>
      </w:r>
      <w:r>
        <w:t xml:space="preserve">; by</w:t>
      </w:r>
      <w:r>
        <w:t xml:space="preserve"> </w:t>
      </w:r>
      <w:r>
        <w:t xml:space="preserve">“</w:t>
      </w:r>
      <w:r>
        <w:t xml:space="preserve">pugantalaghūpadhasya ca</w:t>
      </w:r>
      <w:r>
        <w:t xml:space="preserve">”</w:t>
      </w:r>
      <w:r>
        <w:t xml:space="preserve"> </w:t>
      </w:r>
      <w:r>
        <w:t xml:space="preserve">(Pā. sū. 7-3-86) the</w:t>
      </w:r>
      <w:r>
        <w:t xml:space="preserve"> </w:t>
      </w:r>
      <w:r>
        <w:rPr>
          <w:iCs/>
          <w:i/>
        </w:rPr>
        <w:t xml:space="preserve">laghūpadha-guṇa</w:t>
      </w:r>
      <w:r>
        <w:t xml:space="preserve">:</w:t>
      </w:r>
      <w:r>
        <w:t xml:space="preserve"> </w:t>
      </w:r>
      <w:r>
        <w:rPr>
          <w:iCs/>
          <w:i/>
        </w:rPr>
        <w:t xml:space="preserve">recana</w:t>
      </w:r>
      <w:r>
        <w:t xml:space="preserve">; by</w:t>
      </w:r>
      <w:r>
        <w:t xml:space="preserve"> </w:t>
      </w:r>
      <w:r>
        <w:t xml:space="preserve">“</w:t>
      </w:r>
      <w:r>
        <w:t xml:space="preserve">liti</w:t>
      </w:r>
      <w:r>
        <w:t xml:space="preserve">”</w:t>
      </w:r>
      <w:r>
        <w:t xml:space="preserve"> </w:t>
      </w:r>
      <w:r>
        <w:t xml:space="preserve">(Pā. sū. 6-1-193) the syllable before the suffix</w:t>
      </w:r>
      <w:r>
        <w:t xml:space="preserve"> </w:t>
      </w:r>
      <w:r>
        <w:rPr>
          <w:iCs/>
          <w:i/>
        </w:rPr>
        <w:t xml:space="preserve">ana</w:t>
      </w:r>
      <w:r>
        <w:t xml:space="preserve"> </w:t>
      </w:r>
      <w:r>
        <w:t xml:space="preserve">is udātta. With the word</w:t>
      </w:r>
      <w:r>
        <w:t xml:space="preserve"> </w:t>
      </w:r>
      <w:r>
        <w:rPr>
          <w:iCs/>
          <w:i/>
        </w:rPr>
        <w:t xml:space="preserve">pra</w:t>
      </w:r>
      <w:r>
        <w:t xml:space="preserve">, by</w:t>
      </w:r>
      <w:r>
        <w:t xml:space="preserve"> </w:t>
      </w:r>
      <w:r>
        <w:t xml:space="preserve">“</w:t>
      </w:r>
      <w:r>
        <w:t xml:space="preserve">kugatiprādayaḥ</w:t>
      </w:r>
      <w:r>
        <w:t xml:space="preserve">”</w:t>
      </w:r>
      <w:r>
        <w:t xml:space="preserve"> </w:t>
      </w:r>
      <w:r>
        <w:t xml:space="preserve">(Pā. sū. 2-2-18) the</w:t>
      </w:r>
      <w:r>
        <w:t xml:space="preserve"> </w:t>
      </w:r>
      <w:r>
        <w:rPr>
          <w:iCs/>
          <w:i/>
        </w:rPr>
        <w:t xml:space="preserve">prādi</w:t>
      </w:r>
      <w:r>
        <w:t xml:space="preserve"> </w:t>
      </w:r>
      <w:r>
        <w:t xml:space="preserve">compound; by</w:t>
      </w:r>
      <w:r>
        <w:t xml:space="preserve"> </w:t>
      </w:r>
      <w:r>
        <w:rPr>
          <w:iCs/>
          <w:i/>
        </w:rPr>
        <w:t xml:space="preserve">gatikārakopapadāt kṛt</w:t>
      </w:r>
      <w:r>
        <w:t xml:space="preserve"> </w:t>
      </w:r>
      <w:r>
        <w:t xml:space="preserve">the accent of the</w:t>
      </w:r>
      <w:r>
        <w:t xml:space="preserve"> </w:t>
      </w:r>
      <w:r>
        <w:rPr>
          <w:iCs/>
          <w:i/>
        </w:rPr>
        <w:t xml:space="preserve">kṛt</w:t>
      </w:r>
      <w:r>
        <w:t xml:space="preserve"> </w:t>
      </w:r>
      <w:r>
        <w:t xml:space="preserve">final member.</w:t>
      </w:r>
    </w:p>
    <w:p>
      <w:pPr>
        <w:pStyle w:val="BodyText"/>
      </w:pPr>
      <w:r>
        <w:rPr>
          <w:bCs/>
          <w:b/>
        </w:rPr>
        <w:t xml:space="preserve">॥६॥</w:t>
      </w:r>
    </w:p>
    <w:p>
      <w:r>
        <w:pict>
          <v:rect style="width:0;height:1.5pt" o:hralign="center" o:hrstd="t" o:hr="t"/>
        </w:pict>
      </w:r>
    </w:p>
    <w:bookmarkEnd w:id="806"/>
    <w:bookmarkStart w:id="807" w:name="page-735-lower-sūkta-17-rik-7"/>
    <w:p>
      <w:pPr>
        <w:pStyle w:val="Heading3"/>
      </w:pPr>
      <w:r>
        <w:t xml:space="preserve">Page 735 (lower) — Sūkta 17, Rik 7</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इन्द्रा॑वरुण वाम॒हं हु॒वे चि॒त्राय॒ रा॑धसे । [accent ?]</w:t>
      </w:r>
      <w:r>
        <w:t xml:space="preserve"> </w:t>
      </w:r>
      <w:r>
        <w:t xml:space="preserve">अ॒स्मान्त्सु जि॒ग्यु॑षस्कृतम् ॥७॥</w:t>
      </w:r>
    </w:p>
    <w:p>
      <w:pPr>
        <w:pStyle w:val="BlockText"/>
      </w:pPr>
      <w:r>
        <w:rPr>
          <w:iCs/>
          <w:i/>
        </w:rPr>
        <w:t xml:space="preserve">índrāvaruṇa vām aháṃ huvé citrā́ya rādhase |</w:t>
      </w:r>
      <w:r>
        <w:t xml:space="preserve"> </w:t>
      </w:r>
      <w:r>
        <w:t xml:space="preserve">[accent ?]</w:t>
      </w:r>
      <w:r>
        <w:t xml:space="preserve"> </w:t>
      </w:r>
      <w:r>
        <w:rPr>
          <w:iCs/>
          <w:i/>
        </w:rPr>
        <w:t xml:space="preserve">asmā́nt su jigyúṣas kṛtam ||7||</w:t>
      </w:r>
    </w:p>
    <w:p>
      <w:pPr>
        <w:pStyle w:val="FirstParagraph"/>
      </w:pPr>
      <w:r>
        <w:rPr>
          <w:iCs/>
          <w:i/>
        </w:rPr>
        <w:t xml:space="preserve">(Read as printed: strokes over द्रा, रा and ग्यु; bars under म (वामहं), हु, चि, य (चित्राय), अ and जि.)</w:t>
      </w:r>
    </w:p>
    <w:p>
      <w:pPr>
        <w:pStyle w:val="BodyText"/>
      </w:pPr>
      <w:r>
        <w:rPr>
          <w:bCs/>
          <w:b/>
        </w:rPr>
        <w:t xml:space="preserve">॥ Pada-pāṭhaḥ ॥</w:t>
      </w:r>
    </w:p>
    <w:p>
      <w:pPr>
        <w:pStyle w:val="BlockText"/>
      </w:pPr>
      <w:r>
        <w:t xml:space="preserve">इन्द्रावरुणा । वाम् । अहम् । हुवे । चित्राय । राधसे ॥</w:t>
      </w:r>
      <w:r>
        <w:t xml:space="preserve"> </w:t>
      </w:r>
      <w:r>
        <w:t xml:space="preserve">अस्मान् । सु । जिग्युषः । कृतम् ॥७॥</w:t>
      </w:r>
    </w:p>
    <w:p>
      <w:pPr>
        <w:pStyle w:val="BlockText"/>
      </w:pPr>
      <w:r>
        <w:rPr>
          <w:iCs/>
          <w:i/>
        </w:rPr>
        <w:t xml:space="preserve">indrāvaruṇā | vām | aham | huve | citrāya | rādhase ||</w:t>
      </w:r>
      <w:r>
        <w:t xml:space="preserve"> </w:t>
      </w:r>
      <w:r>
        <w:rPr>
          <w:iCs/>
          <w:i/>
        </w:rPr>
        <w:t xml:space="preserve">asmān | su | jigyuṣaḥ | kṛtam ||7||</w:t>
      </w:r>
    </w:p>
    <w:bookmarkEnd w:id="807"/>
    <w:bookmarkStart w:id="808" w:name="X3b90ca8e00fa55a9b1da26b1f09ffd50d984a15"/>
    <w:p>
      <w:pPr>
        <w:pStyle w:val="Heading3"/>
      </w:pPr>
      <w:r>
        <w:t xml:space="preserve">Page 736 — Rik 7: bhāṣya, word-meanings, overall sense, English</w:t>
      </w:r>
    </w:p>
    <w:p>
      <w:pPr>
        <w:pStyle w:val="FirstParagraph"/>
      </w:pPr>
      <w:r>
        <w:rPr>
          <w:bCs/>
          <w:b/>
        </w:rPr>
        <w:t xml:space="preserve">॥ Sāyaṇa-bhāṣyam ॥</w:t>
      </w:r>
    </w:p>
    <w:p>
      <w:pPr>
        <w:pStyle w:val="BodyText"/>
      </w:pPr>
      <w:r>
        <w:rPr>
          <w:iCs/>
          <w:i/>
        </w:rPr>
        <w:t xml:space="preserve">(शासिवसिघसीनां चेति षत्वम् is as printed; the grammar page (p. 739) says that this sūtra does not apply to the</w:t>
      </w:r>
      <w:r>
        <w:rPr>
          <w:iCs/>
          <w:i/>
        </w:rPr>
        <w:t xml:space="preserve"> </w:t>
      </w:r>
      <w:r>
        <w:t xml:space="preserve">s* of</w:t>
      </w:r>
      <w:r>
        <w:t xml:space="preserve"> </w:t>
      </w:r>
      <w:r>
        <w:rPr>
          <w:iCs/>
          <w:i/>
        </w:rPr>
        <w:t xml:space="preserve">vas</w:t>
      </w:r>
      <w:r>
        <w:t xml:space="preserve">.)*</w:t>
      </w:r>
    </w:p>
    <w:p>
      <w:pPr>
        <w:pStyle w:val="BlockText"/>
      </w:pPr>
      <w:r>
        <w:t xml:space="preserve">इन्द्रावरुणा हे इन्द्रावरुणौ वां युवामुभावहं हुवे । आह्वयामि । किमर्थम् । चित्राय मणिमुक्तादिरूपेण विविधाय राधसे धनाय । तत आहुतौ युवामस्माननुष्ठातॄन्सु जिग्युषः । शत्रुविषये सुष्ठु जययुक्तान्कृतं कुरुतम् ॥ इन्द्रावरुणा । सुपां सुलुगित्यादिना संबोधनस्याकारः । देवताद्वन्द्वे चेति पूर्वपदस्यानङ् । आमन्त्रिताद्युदात्तत्वम् । संहितायां छान्दसं ह्रस्वत्वम् । हुवे । ह्वयतेर्लट्युत्तमैकवचनमिट् । शप इत्यनुवृत्तौ बहुलं छन्दसीति लुक् । ह्व इत्यनुवृत्तौ बहुलं छन्दसीति संप्रसारणं परपूर्वत्वम् । अचि श्नुधात्वित्यादिनोवङ् । पा. ६-४-७७ । न च हुश्नुवोरित्यादिना । पा. ६-४-८७ । यणादेशः । जुहोतेरेव हि प्रतिपदोक्तस्य तत् । न पुनरस्य लाक्षणिकत्वात् । इटः प्रत्ययस्वरेणोदात्तत्वम् । पादादित्वान्न निघातः । राधसे । असुन् । नित्त्वादाद्युदात्तत्वम् । अस्मान् । शसि द्वितीयायां च । पा. ७-२-८७ । इत्यात्वम् । शसो नः । पा. ७-१-२९ । इति नत्वम् । जिग्युषः । जि जये । लिटः क्वसुश्चेति क्वसुः । द्विर्भावः । सन्लिटोर्जेः । पा. ७-३-५७ । इति द्वितीयस्य कुत्वम् । क्वसोः कित्त्वाद्गुणाभावः । क्र्यादिनियमात्प्राप्तस्येटो वस्वेकाजाद्घसामिति नियमेन निवृत्तिः । द्वितीया बहुवचनं शस् । भसंज्ञायां वसोः संप्रसारणमिति संप्रसारणम् । परपूर्वत्वम् । एरनेकाच इति यणादेशः । शासिवसिघसीनां चेति षत्वम् । प्रत्ययस्वरेणोकार उदात्तः । कृतम् । डुकृञ् करणे । लोण्मध्यमद्विवचनस्य लङ्वद्भावात्तमादेशः । शपो बहुलं छन्दसीति लुक् । तिङ्ङतिङ इति निघातः ॥</w:t>
      </w:r>
    </w:p>
    <w:p>
      <w:pPr>
        <w:pStyle w:val="BlockText"/>
      </w:pPr>
      <w:r>
        <w:rPr>
          <w:iCs/>
          <w:i/>
        </w:rPr>
        <w:t xml:space="preserve">indrāvaruṇā he indrāvaruṇau vāṃ yuvāmubhāvahaṃ huve | āhvayāmi | kimartham | citrāya maṇimuktādirūpeṇa vividhāya rādhase dhanāya | tata āhutau yuvāmasmānanuṣṭhātṝnsu jigyuṣaḥ | śatruviṣaye suṣṭhu jayayuktānkṛtaṃ kurutam || indrāvaruṇā | supāṃ sulugityādinā saṃbodhanasyākāraḥ | devatādvandve ceti pūrvapadasyānaṅ | āmantritādyudāttatvam | saṃhitāyāṃ chāndasaṃ hrasvatvam | huve | hvayaterlaṭyuttamaikavacanamiṭ | śapa ityanuvṛttau bahulaṃ chandasīti luk | hva ityanuvṛttau bahulaṃ chandasīti saṃprasāraṇaṃ parapūrvatvam | aci śnudhātvityādinovaṅ | pā. 6-4-77 | na ca huśnuvorityādinā | pā. 6-4-87 | yaṇādeśaḥ | juhotereva hi pratipadoktasya tat | na punarasya lākṣaṇikatvāt | iṭaḥ pratyayasvareṇodāttatvam | pādāditvānna nighātaḥ | rādhase | asun | nittvādādyudāttatvam | asmān | śasi dvitīyāyāṃ ca | pā. 7-2-87 | ityātvam | śaso naḥ | pā. 7-1-29 | iti natvam | jigyuṣaḥ | ji jaye | liṭaḥ kvasuśceti kvasuḥ | dvirbhāvaḥ | sanliṭorjeḥ | pā. 7-3-57 | iti dvitīyasya kutvam | kvasoḥ kittvādguṇābhāvaḥ | kryādiniyamātprāptasyeṭo vasvekājādghasāmiti niyamena nivṛttiḥ | dvitīyā bahuvacanaṃ śas | bhasaṃjñāyāṃ vasoḥ saṃprasāraṇamiti saṃprasāraṇam | parapūrvatvam | eranekāca iti yaṇādeśaḥ | śāsivasighasīnāṃ ceti ṣatvam | pratyayasvareṇokāra udāttaḥ | kṛtam | ḍukṛñ karaṇe | loṇmadhyamadvivacanasya laṅvadbhāvāttamādeśaḥ | śapo bahulaṃ chandasīti luk | tiṅṅatiṅa iti nighātaḥ ||</w:t>
      </w:r>
    </w:p>
    <w:p>
      <w:pPr>
        <w:pStyle w:val="FirstParagraph"/>
      </w:pPr>
      <w:r>
        <w:rPr>
          <w:bCs/>
          <w:b/>
        </w:rPr>
        <w:t xml:space="preserve">Translation:</w:t>
      </w:r>
      <w:r>
        <w:t xml:space="preserve"> </w:t>
      </w:r>
      <w:r>
        <w:t xml:space="preserve">“</w:t>
      </w:r>
      <w:r>
        <w:rPr>
          <w:iCs/>
          <w:i/>
        </w:rPr>
        <w:t xml:space="preserve">Indrāvaruṇā</w:t>
      </w:r>
      <w:r>
        <w:t xml:space="preserve">, O Indra and Varuṇa, I call,</w:t>
      </w:r>
      <w:r>
        <w:t xml:space="preserve"> </w:t>
      </w:r>
      <w:r>
        <w:rPr>
          <w:iCs/>
          <w:i/>
        </w:rPr>
        <w:t xml:space="preserve">huve</w:t>
      </w:r>
      <w:r>
        <w:t xml:space="preserve">, you both. For what? For</w:t>
      </w:r>
      <w:r>
        <w:t xml:space="preserve"> </w:t>
      </w:r>
      <w:r>
        <w:rPr>
          <w:iCs/>
          <w:i/>
        </w:rPr>
        <w:t xml:space="preserve">rādhas</w:t>
      </w:r>
      <w:r>
        <w:t xml:space="preserve">, wealth,</w:t>
      </w:r>
      <w:r>
        <w:t xml:space="preserve"> </w:t>
      </w:r>
      <w:r>
        <w:rPr>
          <w:iCs/>
          <w:i/>
        </w:rPr>
        <w:t xml:space="preserve">citra</w:t>
      </w:r>
      <w:r>
        <w:t xml:space="preserve">, of many kinds, in the form of gems, pearls and the like. Then, being called,</w:t>
      </w:r>
      <w:r>
        <w:t xml:space="preserve"> </w:t>
      </w:r>
      <w:r>
        <w:rPr>
          <w:iCs/>
          <w:i/>
        </w:rPr>
        <w:t xml:space="preserve">kṛtam</w:t>
      </w:r>
      <w:r>
        <w:t xml:space="preserve">, make us, the performers,</w:t>
      </w:r>
      <w:r>
        <w:t xml:space="preserve"> </w:t>
      </w:r>
      <w:r>
        <w:rPr>
          <w:iCs/>
          <w:i/>
        </w:rPr>
        <w:t xml:space="preserve">su jigyuṣaḥ</w:t>
      </w:r>
      <w:r>
        <w:t xml:space="preserve">, well victorious over our enemies.</w:t>
      </w:r>
      <w:r>
        <w:t xml:space="preserve">”</w:t>
      </w:r>
      <w:r>
        <w:t xml:space="preserve"> </w:t>
      </w:r>
      <w:r>
        <w:t xml:space="preserve">(Grammatical tail:</w:t>
      </w:r>
      <w:r>
        <w:t xml:space="preserve"> </w:t>
      </w:r>
      <w:r>
        <w:rPr>
          <w:iCs/>
          <w:i/>
        </w:rPr>
        <w:t xml:space="preserve">indrāvaruṇā</w:t>
      </w:r>
      <w:r>
        <w:t xml:space="preserve">,</w:t>
      </w:r>
      <w:r>
        <w:t xml:space="preserve"> </w:t>
      </w:r>
      <w:r>
        <w:rPr>
          <w:iCs/>
          <w:i/>
        </w:rPr>
        <w:t xml:space="preserve">ā</w:t>
      </w:r>
      <w:r>
        <w:t xml:space="preserve"> </w:t>
      </w:r>
      <w:r>
        <w:t xml:space="preserve">for the vocative by</w:t>
      </w:r>
      <w:r>
        <w:t xml:space="preserve"> </w:t>
      </w:r>
      <w:r>
        <w:rPr>
          <w:iCs/>
          <w:i/>
        </w:rPr>
        <w:t xml:space="preserve">supāṃ suluk…</w:t>
      </w:r>
      <w:r>
        <w:t xml:space="preserve">,</w:t>
      </w:r>
      <w:r>
        <w:t xml:space="preserve"> </w:t>
      </w:r>
      <w:r>
        <w:rPr>
          <w:iCs/>
          <w:i/>
        </w:rPr>
        <w:t xml:space="preserve">ānaṅ</w:t>
      </w:r>
      <w:r>
        <w:t xml:space="preserve"> </w:t>
      </w:r>
      <w:r>
        <w:t xml:space="preserve">for the first member by</w:t>
      </w:r>
      <w:r>
        <w:t xml:space="preserve"> </w:t>
      </w:r>
      <w:r>
        <w:rPr>
          <w:iCs/>
          <w:i/>
        </w:rPr>
        <w:t xml:space="preserve">devatādvandve ca</w:t>
      </w:r>
      <w:r>
        <w:t xml:space="preserve">, initial udātta of the vocative, shortened in the Saṃhitā as a Vedic form;</w:t>
      </w:r>
      <w:r>
        <w:t xml:space="preserve"> </w:t>
      </w:r>
      <w:r>
        <w:rPr>
          <w:iCs/>
          <w:i/>
        </w:rPr>
        <w:t xml:space="preserve">huve</w:t>
      </w:r>
      <w:r>
        <w:t xml:space="preserve">, 1st singular</w:t>
      </w:r>
      <w:r>
        <w:t xml:space="preserve"> </w:t>
      </w:r>
      <w:r>
        <w:rPr>
          <w:iCs/>
          <w:i/>
        </w:rPr>
        <w:t xml:space="preserve">iṭ</w:t>
      </w:r>
      <w:r>
        <w:t xml:space="preserve"> </w:t>
      </w:r>
      <w:r>
        <w:t xml:space="preserve">of</w:t>
      </w:r>
      <w:r>
        <w:t xml:space="preserve"> </w:t>
      </w:r>
      <w:r>
        <w:rPr>
          <w:iCs/>
          <w:i/>
        </w:rPr>
        <w:t xml:space="preserve">laṭ</w:t>
      </w:r>
      <w:r>
        <w:t xml:space="preserve"> </w:t>
      </w:r>
      <w:r>
        <w:t xml:space="preserve">after</w:t>
      </w:r>
      <w:r>
        <w:t xml:space="preserve"> </w:t>
      </w:r>
      <w:r>
        <w:rPr>
          <w:iCs/>
          <w:i/>
        </w:rPr>
        <w:t xml:space="preserve">hve</w:t>
      </w:r>
      <w:r>
        <w:t xml:space="preserve">, the</w:t>
      </w:r>
      <w:r>
        <w:t xml:space="preserve"> </w:t>
      </w:r>
      <w:r>
        <w:rPr>
          <w:iCs/>
          <w:i/>
        </w:rPr>
        <w:t xml:space="preserve">śap</w:t>
      </w:r>
      <w:r>
        <w:t xml:space="preserve"> </w:t>
      </w:r>
      <w:r>
        <w:t xml:space="preserve">dropped by</w:t>
      </w:r>
      <w:r>
        <w:t xml:space="preserve"> </w:t>
      </w:r>
      <w:r>
        <w:rPr>
          <w:iCs/>
          <w:i/>
        </w:rPr>
        <w:t xml:space="preserve">bahulaṃ chandasi</w:t>
      </w:r>
      <w:r>
        <w:t xml:space="preserve">,</w:t>
      </w:r>
      <w:r>
        <w:t xml:space="preserve"> </w:t>
      </w:r>
      <w:r>
        <w:rPr>
          <w:iCs/>
          <w:i/>
        </w:rPr>
        <w:t xml:space="preserve">saṃprasāraṇa</w:t>
      </w:r>
      <w:r>
        <w:t xml:space="preserve"> </w:t>
      </w:r>
      <w:r>
        <w:t xml:space="preserve">by</w:t>
      </w:r>
      <w:r>
        <w:t xml:space="preserve"> </w:t>
      </w:r>
      <w:r>
        <w:rPr>
          <w:iCs/>
          <w:i/>
        </w:rPr>
        <w:t xml:space="preserve">bahulaṃ chandasi</w:t>
      </w:r>
      <w:r>
        <w:t xml:space="preserve"> </w:t>
      </w:r>
      <w:r>
        <w:t xml:space="preserve">with</w:t>
      </w:r>
      <w:r>
        <w:t xml:space="preserve"> </w:t>
      </w:r>
      <w:r>
        <w:rPr>
          <w:iCs/>
          <w:i/>
        </w:rPr>
        <w:t xml:space="preserve">hvaḥ</w:t>
      </w:r>
      <w:r>
        <w:t xml:space="preserve"> </w:t>
      </w:r>
      <w:r>
        <w:t xml:space="preserve">carried on, the</w:t>
      </w:r>
      <w:r>
        <w:t xml:space="preserve"> </w:t>
      </w:r>
      <w:r>
        <w:rPr>
          <w:iCs/>
          <w:i/>
        </w:rPr>
        <w:t xml:space="preserve">pūrvarūpa</w:t>
      </w:r>
      <w:r>
        <w:t xml:space="preserve">,</w:t>
      </w:r>
      <w:r>
        <w:t xml:space="preserve"> </w:t>
      </w:r>
      <w:r>
        <w:rPr>
          <w:iCs/>
          <w:i/>
        </w:rPr>
        <w:t xml:space="preserve">uvaṅ</w:t>
      </w:r>
      <w:r>
        <w:t xml:space="preserve"> </w:t>
      </w:r>
      <w:r>
        <w:t xml:space="preserve">by Pā. 6-4-77; not</w:t>
      </w:r>
      <w:r>
        <w:t xml:space="preserve"> </w:t>
      </w:r>
      <w:r>
        <w:rPr>
          <w:iCs/>
          <w:i/>
        </w:rPr>
        <w:t xml:space="preserve">yaṇ</w:t>
      </w:r>
      <w:r>
        <w:t xml:space="preserve"> </w:t>
      </w:r>
      <w:r>
        <w:t xml:space="preserve">by</w:t>
      </w:r>
      <w:r>
        <w:t xml:space="preserve"> </w:t>
      </w:r>
      <w:r>
        <w:rPr>
          <w:iCs/>
          <w:i/>
        </w:rPr>
        <w:t xml:space="preserve">huśnuvoḥ…</w:t>
      </w:r>
      <w:r>
        <w:t xml:space="preserve"> </w:t>
      </w:r>
      <w:r>
        <w:t xml:space="preserve">(Pā. 6-4-87), which is for the</w:t>
      </w:r>
      <w:r>
        <w:t xml:space="preserve"> </w:t>
      </w:r>
      <w:r>
        <w:rPr>
          <w:iCs/>
          <w:i/>
        </w:rPr>
        <w:t xml:space="preserve">pratipadokta</w:t>
      </w:r>
      <w:r>
        <w:t xml:space="preserve"> </w:t>
      </w:r>
      <w:r>
        <w:rPr>
          <w:iCs/>
          <w:i/>
        </w:rPr>
        <w:t xml:space="preserve">juhoti</w:t>
      </w:r>
      <w:r>
        <w:t xml:space="preserve"> </w:t>
      </w:r>
      <w:r>
        <w:t xml:space="preserve">only, not for this, which is</w:t>
      </w:r>
      <w:r>
        <w:t xml:space="preserve"> </w:t>
      </w:r>
      <w:r>
        <w:rPr>
          <w:iCs/>
          <w:i/>
        </w:rPr>
        <w:t xml:space="preserve">lākṣaṇika</w:t>
      </w:r>
      <w:r>
        <w:t xml:space="preserve">;</w:t>
      </w:r>
      <w:r>
        <w:t xml:space="preserve"> </w:t>
      </w:r>
      <w:r>
        <w:rPr>
          <w:iCs/>
          <w:i/>
        </w:rPr>
        <w:t xml:space="preserve">iṭ</w:t>
      </w:r>
      <w:r>
        <w:t xml:space="preserve"> </w:t>
      </w:r>
      <w:r>
        <w:t xml:space="preserve">udātta by the suffix accent, not lowered at the start of the</w:t>
      </w:r>
      <w:r>
        <w:t xml:space="preserve"> </w:t>
      </w:r>
      <w:r>
        <w:rPr>
          <w:iCs/>
          <w:i/>
        </w:rPr>
        <w:t xml:space="preserve">pāda</w:t>
      </w:r>
      <w:r>
        <w:t xml:space="preserve">;</w:t>
      </w:r>
      <w:r>
        <w:t xml:space="preserve"> </w:t>
      </w:r>
      <w:r>
        <w:rPr>
          <w:iCs/>
          <w:i/>
        </w:rPr>
        <w:t xml:space="preserve">rādhase</w:t>
      </w:r>
      <w:r>
        <w:t xml:space="preserve">,</w:t>
      </w:r>
      <w:r>
        <w:t xml:space="preserve"> </w:t>
      </w:r>
      <w:r>
        <w:rPr>
          <w:iCs/>
          <w:i/>
        </w:rPr>
        <w:t xml:space="preserve">asun</w:t>
      </w:r>
      <w:r>
        <w:t xml:space="preserve">, initial udātta as</w:t>
      </w:r>
      <w:r>
        <w:t xml:space="preserve"> </w:t>
      </w:r>
      <w:r>
        <w:rPr>
          <w:iCs/>
          <w:i/>
        </w:rPr>
        <w:t xml:space="preserve">nit</w:t>
      </w:r>
      <w:r>
        <w:t xml:space="preserve">;</w:t>
      </w:r>
      <w:r>
        <w:t xml:space="preserve"> </w:t>
      </w:r>
      <w:r>
        <w:rPr>
          <w:iCs/>
          <w:i/>
        </w:rPr>
        <w:t xml:space="preserve">asmān</w:t>
      </w:r>
      <w:r>
        <w:t xml:space="preserve">,</w:t>
      </w:r>
      <w:r>
        <w:t xml:space="preserve"> </w:t>
      </w:r>
      <w:r>
        <w:rPr>
          <w:iCs/>
          <w:i/>
        </w:rPr>
        <w:t xml:space="preserve">ā</w:t>
      </w:r>
      <w:r>
        <w:t xml:space="preserve"> </w:t>
      </w:r>
      <w:r>
        <w:t xml:space="preserve">by Pā. 7-2-87,</w:t>
      </w:r>
      <w:r>
        <w:t xml:space="preserve"> </w:t>
      </w:r>
      <w:r>
        <w:rPr>
          <w:iCs/>
          <w:i/>
        </w:rPr>
        <w:t xml:space="preserve">n</w:t>
      </w:r>
      <w:r>
        <w:t xml:space="preserve"> </w:t>
      </w:r>
      <w:r>
        <w:t xml:space="preserve">by</w:t>
      </w:r>
      <w:r>
        <w:t xml:space="preserve"> </w:t>
      </w:r>
      <w:r>
        <w:rPr>
          <w:iCs/>
          <w:i/>
        </w:rPr>
        <w:t xml:space="preserve">śaso naḥ</w:t>
      </w:r>
      <w:r>
        <w:t xml:space="preserve"> </w:t>
      </w:r>
      <w:r>
        <w:t xml:space="preserve">(Pā. 7-1-29);</w:t>
      </w:r>
      <w:r>
        <w:t xml:space="preserve"> </w:t>
      </w:r>
      <w:r>
        <w:rPr>
          <w:iCs/>
          <w:i/>
        </w:rPr>
        <w:t xml:space="preserve">jigyuṣaḥ</w:t>
      </w:r>
      <w:r>
        <w:t xml:space="preserve">,</w:t>
      </w:r>
      <w:r>
        <w:t xml:space="preserve"> </w:t>
      </w:r>
      <w:r>
        <w:rPr>
          <w:iCs/>
          <w:i/>
        </w:rPr>
        <w:t xml:space="preserve">ji jaye</w:t>
      </w:r>
      <w:r>
        <w:t xml:space="preserve">,</w:t>
      </w:r>
      <w:r>
        <w:t xml:space="preserve"> </w:t>
      </w:r>
      <w:r>
        <w:rPr>
          <w:iCs/>
          <w:i/>
        </w:rPr>
        <w:t xml:space="preserve">kvasu</w:t>
      </w:r>
      <w:r>
        <w:t xml:space="preserve"> </w:t>
      </w:r>
      <w:r>
        <w:t xml:space="preserve">for</w:t>
      </w:r>
      <w:r>
        <w:t xml:space="preserve"> </w:t>
      </w:r>
      <w:r>
        <w:rPr>
          <w:iCs/>
          <w:i/>
        </w:rPr>
        <w:t xml:space="preserve">liṭ</w:t>
      </w:r>
      <w:r>
        <w:t xml:space="preserve">, doubling, the guttural for the second by Pā. 7-3-57, no</w:t>
      </w:r>
      <w:r>
        <w:t xml:space="preserve"> </w:t>
      </w:r>
      <w:r>
        <w:rPr>
          <w:iCs/>
          <w:i/>
        </w:rPr>
        <w:t xml:space="preserve">guṇa</w:t>
      </w:r>
      <w:r>
        <w:t xml:space="preserve"> </w:t>
      </w:r>
      <w:r>
        <w:t xml:space="preserve">as</w:t>
      </w:r>
      <w:r>
        <w:t xml:space="preserve"> </w:t>
      </w:r>
      <w:r>
        <w:rPr>
          <w:iCs/>
          <w:i/>
        </w:rPr>
        <w:t xml:space="preserve">kvasu</w:t>
      </w:r>
      <w:r>
        <w:t xml:space="preserve"> </w:t>
      </w:r>
      <w:r>
        <w:t xml:space="preserve">is</w:t>
      </w:r>
      <w:r>
        <w:t xml:space="preserve"> </w:t>
      </w:r>
      <w:r>
        <w:rPr>
          <w:iCs/>
          <w:i/>
        </w:rPr>
        <w:t xml:space="preserve">kit</w:t>
      </w:r>
      <w:r>
        <w:t xml:space="preserve">, the</w:t>
      </w:r>
      <w:r>
        <w:t xml:space="preserve"> </w:t>
      </w:r>
      <w:r>
        <w:rPr>
          <w:iCs/>
          <w:i/>
        </w:rPr>
        <w:t xml:space="preserve">iṭ</w:t>
      </w:r>
      <w:r>
        <w:t xml:space="preserve"> </w:t>
      </w:r>
      <w:r>
        <w:t xml:space="preserve">due by the</w:t>
      </w:r>
      <w:r>
        <w:t xml:space="preserve"> </w:t>
      </w:r>
      <w:r>
        <w:rPr>
          <w:iCs/>
          <w:i/>
        </w:rPr>
        <w:t xml:space="preserve">kryādi-niyama</w:t>
      </w:r>
      <w:r>
        <w:t xml:space="preserve"> </w:t>
      </w:r>
      <w:r>
        <w:t xml:space="preserve">withdrawn by the restriction</w:t>
      </w:r>
      <w:r>
        <w:t xml:space="preserve"> </w:t>
      </w:r>
      <w:r>
        <w:rPr>
          <w:iCs/>
          <w:i/>
        </w:rPr>
        <w:t xml:space="preserve">vasv ekājādghasām</w:t>
      </w:r>
      <w:r>
        <w:t xml:space="preserve">, accusative plural</w:t>
      </w:r>
      <w:r>
        <w:t xml:space="preserve"> </w:t>
      </w:r>
      <w:r>
        <w:rPr>
          <w:iCs/>
          <w:i/>
        </w:rPr>
        <w:t xml:space="preserve">śas</w:t>
      </w:r>
      <w:r>
        <w:t xml:space="preserve">,</w:t>
      </w:r>
      <w:r>
        <w:t xml:space="preserve"> </w:t>
      </w:r>
      <w:r>
        <w:rPr>
          <w:iCs/>
          <w:i/>
        </w:rPr>
        <w:t xml:space="preserve">saṃprasāraṇa</w:t>
      </w:r>
      <w:r>
        <w:t xml:space="preserve"> </w:t>
      </w:r>
      <w:r>
        <w:t xml:space="preserve">by</w:t>
      </w:r>
      <w:r>
        <w:t xml:space="preserve"> </w:t>
      </w:r>
      <w:r>
        <w:rPr>
          <w:iCs/>
          <w:i/>
        </w:rPr>
        <w:t xml:space="preserve">vasoḥ saṃprasāraṇam</w:t>
      </w:r>
      <w:r>
        <w:t xml:space="preserve"> </w:t>
      </w:r>
      <w:r>
        <w:t xml:space="preserve">in the</w:t>
      </w:r>
      <w:r>
        <w:t xml:space="preserve"> </w:t>
      </w:r>
      <w:r>
        <w:rPr>
          <w:iCs/>
          <w:i/>
        </w:rPr>
        <w:t xml:space="preserve">bha</w:t>
      </w:r>
      <w:r>
        <w:t xml:space="preserve"> </w:t>
      </w:r>
      <w:r>
        <w:t xml:space="preserve">stem, the</w:t>
      </w:r>
      <w:r>
        <w:t xml:space="preserve"> </w:t>
      </w:r>
      <w:r>
        <w:rPr>
          <w:iCs/>
          <w:i/>
        </w:rPr>
        <w:t xml:space="preserve">pūrvarūpa</w:t>
      </w:r>
      <w:r>
        <w:t xml:space="preserve">,</w:t>
      </w:r>
      <w:r>
        <w:t xml:space="preserve"> </w:t>
      </w:r>
      <w:r>
        <w:rPr>
          <w:iCs/>
          <w:i/>
        </w:rPr>
        <w:t xml:space="preserve">yaṇ</w:t>
      </w:r>
      <w:r>
        <w:t xml:space="preserve"> </w:t>
      </w:r>
      <w:r>
        <w:t xml:space="preserve">by</w:t>
      </w:r>
      <w:r>
        <w:t xml:space="preserve"> </w:t>
      </w:r>
      <w:r>
        <w:rPr>
          <w:iCs/>
          <w:i/>
        </w:rPr>
        <w:t xml:space="preserve">er anekācaḥ</w:t>
      </w:r>
      <w:r>
        <w:t xml:space="preserve">,</w:t>
      </w:r>
      <w:r>
        <w:t xml:space="preserve"> </w:t>
      </w:r>
      <w:r>
        <w:rPr>
          <w:iCs/>
          <w:i/>
        </w:rPr>
        <w:t xml:space="preserve">ṣ</w:t>
      </w:r>
      <w:r>
        <w:t xml:space="preserve"> </w:t>
      </w:r>
      <w:r>
        <w:t xml:space="preserve">by</w:t>
      </w:r>
      <w:r>
        <w:t xml:space="preserve"> </w:t>
      </w:r>
      <w:r>
        <w:rPr>
          <w:iCs/>
          <w:i/>
        </w:rPr>
        <w:t xml:space="preserve">śāsivasighasīnāṃ ca</w:t>
      </w:r>
      <w:r>
        <w:t xml:space="preserve">, the</w:t>
      </w:r>
      <w:r>
        <w:t xml:space="preserve"> </w:t>
      </w:r>
      <w:r>
        <w:rPr>
          <w:iCs/>
          <w:i/>
        </w:rPr>
        <w:t xml:space="preserve">u</w:t>
      </w:r>
      <w:r>
        <w:t xml:space="preserve"> </w:t>
      </w:r>
      <w:r>
        <w:t xml:space="preserve">udātta by the suffix accent;</w:t>
      </w:r>
      <w:r>
        <w:t xml:space="preserve"> </w:t>
      </w:r>
      <w:r>
        <w:rPr>
          <w:iCs/>
          <w:i/>
        </w:rPr>
        <w:t xml:space="preserve">kṛtam</w:t>
      </w:r>
      <w:r>
        <w:t xml:space="preserve">,</w:t>
      </w:r>
      <w:r>
        <w:t xml:space="preserve"> </w:t>
      </w:r>
      <w:r>
        <w:rPr>
          <w:iCs/>
          <w:i/>
        </w:rPr>
        <w:t xml:space="preserve">ḍukṛñ karaṇe</w:t>
      </w:r>
      <w:r>
        <w:t xml:space="preserve">,</w:t>
      </w:r>
      <w:r>
        <w:t xml:space="preserve"> </w:t>
      </w:r>
      <w:r>
        <w:rPr>
          <w:iCs/>
          <w:i/>
        </w:rPr>
        <w:t xml:space="preserve">tam</w:t>
      </w:r>
      <w:r>
        <w:t xml:space="preserve"> </w:t>
      </w:r>
      <w:r>
        <w:t xml:space="preserve">for the 2nd dual of</w:t>
      </w:r>
      <w:r>
        <w:t xml:space="preserve"> </w:t>
      </w:r>
      <w:r>
        <w:rPr>
          <w:iCs/>
          <w:i/>
        </w:rPr>
        <w:t xml:space="preserve">loṭ</w:t>
      </w:r>
      <w:r>
        <w:t xml:space="preserve"> </w:t>
      </w:r>
      <w:r>
        <w:t xml:space="preserve">as it is treated as</w:t>
      </w:r>
      <w:r>
        <w:t xml:space="preserve"> </w:t>
      </w:r>
      <w:r>
        <w:rPr>
          <w:iCs/>
          <w:i/>
        </w:rPr>
        <w:t xml:space="preserve">laṅ</w:t>
      </w:r>
      <w:r>
        <w:t xml:space="preserve">,</w:t>
      </w:r>
      <w:r>
        <w:t xml:space="preserve"> </w:t>
      </w:r>
      <w:r>
        <w:rPr>
          <w:iCs/>
          <w:i/>
        </w:rPr>
        <w:t xml:space="preserve">śap</w:t>
      </w:r>
      <w:r>
        <w:t xml:space="preserve"> </w:t>
      </w:r>
      <w:r>
        <w:t xml:space="preserve">dropped by</w:t>
      </w:r>
      <w:r>
        <w:t xml:space="preserve"> </w:t>
      </w:r>
      <w:r>
        <w:rPr>
          <w:iCs/>
          <w:i/>
        </w:rPr>
        <w:t xml:space="preserve">bahulaṃ chandasi</w:t>
      </w:r>
      <w:r>
        <w:t xml:space="preserve">, wholly unaccented by</w:t>
      </w:r>
      <w:r>
        <w:t xml:space="preserve"> </w:t>
      </w:r>
      <w:r>
        <w:rPr>
          <w:iCs/>
          <w:i/>
        </w:rPr>
        <w:t xml:space="preserve">tiṅṅatiṅaḥ</w:t>
      </w:r>
      <w:r>
        <w:t xml:space="preserve">.)</w:t>
      </w:r>
    </w:p>
    <w:p>
      <w:pPr>
        <w:pStyle w:val="BodyText"/>
      </w:pPr>
      <w:r>
        <w:rPr>
          <w:bCs/>
          <w:b/>
        </w:rPr>
        <w:t xml:space="preserve">॥ Prati-padārthaḥ ॥</w:t>
      </w:r>
    </w:p>
    <w:p>
      <w:pPr>
        <w:pStyle w:val="BodyText"/>
      </w:pPr>
      <w:r>
        <w:rPr>
          <w:bCs/>
          <w:b/>
        </w:rPr>
        <w:t xml:space="preserve">इन्द्रावरुणा (indrāvaruṇā)</w:t>
      </w:r>
      <w:r>
        <w:t xml:space="preserve"> </w:t>
      </w:r>
      <w:r>
        <w:t xml:space="preserve">— O Indra and Varuṇa |</w:t>
      </w:r>
      <w:r>
        <w:t xml:space="preserve"> </w:t>
      </w:r>
      <w:r>
        <w:rPr>
          <w:bCs/>
          <w:b/>
        </w:rPr>
        <w:t xml:space="preserve">वाम् (vām)</w:t>
      </w:r>
      <w:r>
        <w:t xml:space="preserve"> </w:t>
      </w:r>
      <w:r>
        <w:t xml:space="preserve">— you two |</w:t>
      </w:r>
      <w:r>
        <w:t xml:space="preserve"> </w:t>
      </w:r>
      <w:r>
        <w:rPr>
          <w:bCs/>
          <w:b/>
        </w:rPr>
        <w:t xml:space="preserve">अहम् (aham)</w:t>
      </w:r>
      <w:r>
        <w:t xml:space="preserve"> </w:t>
      </w:r>
      <w:r>
        <w:t xml:space="preserve">— I (the performer) |</w:t>
      </w:r>
      <w:r>
        <w:t xml:space="preserve"> </w:t>
      </w:r>
      <w:r>
        <w:rPr>
          <w:bCs/>
          <w:b/>
        </w:rPr>
        <w:t xml:space="preserve">चित्राय (citrāya)</w:t>
      </w:r>
      <w:r>
        <w:t xml:space="preserve"> </w:t>
      </w:r>
      <w:r>
        <w:t xml:space="preserve">— of various forms (diamond, lapis lazuli and the like) |</w:t>
      </w:r>
      <w:r>
        <w:t xml:space="preserve"> </w:t>
      </w:r>
      <w:r>
        <w:rPr>
          <w:bCs/>
          <w:b/>
        </w:rPr>
        <w:t xml:space="preserve">राधसे (rādhase)</w:t>
      </w:r>
      <w:r>
        <w:t xml:space="preserve"> </w:t>
      </w:r>
      <w:r>
        <w:t xml:space="preserve">— for wealth |</w:t>
      </w:r>
      <w:r>
        <w:t xml:space="preserve"> </w:t>
      </w:r>
      <w:r>
        <w:rPr>
          <w:bCs/>
          <w:b/>
        </w:rPr>
        <w:t xml:space="preserve">हुवे (huve)</w:t>
      </w:r>
      <w:r>
        <w:t xml:space="preserve"> </w:t>
      </w:r>
      <w:r>
        <w:t xml:space="preserve">— I call (you, being called thus) |</w:t>
      </w:r>
      <w:r>
        <w:t xml:space="preserve"> </w:t>
      </w:r>
      <w:r>
        <w:rPr>
          <w:bCs/>
          <w:b/>
        </w:rPr>
        <w:t xml:space="preserve">अस्मान् (asmān)</w:t>
      </w:r>
      <w:r>
        <w:t xml:space="preserve"> </w:t>
      </w:r>
      <w:r>
        <w:t xml:space="preserve">— us (the performers) |</w:t>
      </w:r>
      <w:r>
        <w:t xml:space="preserve"> </w:t>
      </w:r>
      <w:r>
        <w:rPr>
          <w:bCs/>
          <w:b/>
        </w:rPr>
        <w:t xml:space="preserve">सु जिग्युषः (su jigyuṣaḥ)</w:t>
      </w:r>
      <w:r>
        <w:t xml:space="preserve"> </w:t>
      </w:r>
      <w:r>
        <w:t xml:space="preserve">— as good victors |</w:t>
      </w:r>
      <w:r>
        <w:t xml:space="preserve"> </w:t>
      </w:r>
      <w:r>
        <w:rPr>
          <w:bCs/>
          <w:b/>
        </w:rPr>
        <w:t xml:space="preserve">कृतम् (kṛtam)</w:t>
      </w:r>
      <w:r>
        <w:t xml:space="preserve"> </w:t>
      </w:r>
      <w:r>
        <w:t xml:space="preserve">— make.</w:t>
      </w:r>
    </w:p>
    <w:p>
      <w:pPr>
        <w:pStyle w:val="BodyText"/>
      </w:pPr>
      <w:r>
        <w:rPr>
          <w:bCs/>
          <w:b/>
        </w:rPr>
        <w:t xml:space="preserve">॥ Bhāvārthaḥ ॥</w:t>
      </w:r>
    </w:p>
    <w:p>
      <w:pPr>
        <w:pStyle w:val="BodyText"/>
      </w:pPr>
      <w:r>
        <w:t xml:space="preserve">O Indra and Varuṇa, we praise you with hymns and call you. Give us various kinds of goods such as diamonds and lapis lazuli, and make us conquer our enemies.</w:t>
      </w:r>
    </w:p>
    <w:p>
      <w:pPr>
        <w:pStyle w:val="BodyText"/>
      </w:pPr>
      <w:r>
        <w:rPr>
          <w:bCs/>
          <w:b/>
        </w:rPr>
        <w:t xml:space="preserve">॥ English Translation ॥</w:t>
      </w:r>
      <w:r>
        <w:t xml:space="preserve"> </w:t>
      </w:r>
      <w:r>
        <w:rPr>
          <w:iCs/>
          <w:i/>
        </w:rPr>
        <w:t xml:space="preserve">(as printed in the source)</w:t>
      </w:r>
    </w:p>
    <w:p>
      <w:pPr>
        <w:pStyle w:val="BlockText"/>
      </w:pPr>
      <w:r>
        <w:t xml:space="preserve">Indra and Varuna, I invoke you for several kinds of wealth ; make us victorious (over our enemies).</w:t>
      </w:r>
    </w:p>
    <w:bookmarkEnd w:id="808"/>
    <w:bookmarkStart w:id="809" w:name="X80b5a52a10d00be37db17c55a20d6ada3b21617"/>
    <w:p>
      <w:pPr>
        <w:pStyle w:val="Heading3"/>
      </w:pPr>
      <w:r>
        <w:t xml:space="preserve">Page 737 — Rik 7: Special Topics and grammar</w:t>
      </w:r>
    </w:p>
    <w:p>
      <w:pPr>
        <w:pStyle w:val="FirstParagraph"/>
      </w:pPr>
      <w:r>
        <w:rPr>
          <w:bCs/>
          <w:b/>
        </w:rPr>
        <w:t xml:space="preserve">॥ Viśeṣa-viṣayagaḷu (Special Topics) ॥</w:t>
      </w:r>
    </w:p>
    <w:p>
      <w:pPr>
        <w:pStyle w:val="BodyText"/>
      </w:pPr>
      <w:r>
        <w:rPr>
          <w:bCs/>
          <w:b/>
        </w:rPr>
        <w:t xml:space="preserve">Indrāvaruṇā</w:t>
      </w:r>
      <w:r>
        <w:t xml:space="preserve">: though the last syllable of this word is long, in the Saṃhitā-pāṭha it is short to suit the metre. In the same way, in the 3rd ṛk of this sūkta and in the 8th and 9th ṛks too, the last syllable of this word is short in the Saṃhitā-pāṭha.</w:t>
      </w:r>
    </w:p>
    <w:p>
      <w:pPr>
        <w:pStyle w:val="BodyText"/>
      </w:pPr>
      <w:r>
        <w:rPr>
          <w:bCs/>
          <w:b/>
        </w:rPr>
        <w:t xml:space="preserve">Citrāya</w:t>
      </w:r>
      <w:r>
        <w:t xml:space="preserve">: the commentator says</w:t>
      </w:r>
      <w:r>
        <w:t xml:space="preserve"> </w:t>
      </w:r>
      <w:r>
        <w:t xml:space="preserve">“</w:t>
      </w:r>
      <w:r>
        <w:rPr>
          <w:iCs/>
          <w:i/>
        </w:rPr>
        <w:t xml:space="preserve">maṇimuktādirūpeṇa vividhāya</w:t>
      </w:r>
      <w:r>
        <w:t xml:space="preserve">”</w:t>
      </w:r>
      <w:r>
        <w:t xml:space="preserve">, various, in the form of gems, pearls and the like. Rather than saying this, it would be more fitting to say various useful riches such as wealth, cattle and food. It may freely be said that for the ṛṣis of that time the need for cows, food, victory over enemies and the like was greater than for wealth such as gems and pearls.</w:t>
      </w:r>
    </w:p>
    <w:p>
      <w:pPr>
        <w:pStyle w:val="BodyText"/>
      </w:pPr>
      <w:r>
        <w:rPr>
          <w:bCs/>
          <w:b/>
        </w:rPr>
        <w:t xml:space="preserve">Jigyuṣaḥ</w:t>
      </w:r>
      <w:r>
        <w:t xml:space="preserve">:</w:t>
      </w:r>
      <w:r>
        <w:t xml:space="preserve"> </w:t>
      </w:r>
      <w:r>
        <w:rPr>
          <w:iCs/>
          <w:i/>
        </w:rPr>
        <w:t xml:space="preserve">ji jaye</w:t>
      </w:r>
      <w:r>
        <w:t xml:space="preserve">;</w:t>
      </w:r>
    </w:p>
    <w:p>
      <w:pPr>
        <w:pStyle w:val="BlockText"/>
      </w:pPr>
      <w:r>
        <w:t xml:space="preserve">शत्रुविषये सुष्ठु जययुक्तान् ॥</w:t>
      </w:r>
    </w:p>
    <w:p>
      <w:pPr>
        <w:pStyle w:val="BlockText"/>
      </w:pPr>
      <w:r>
        <w:rPr>
          <w:iCs/>
          <w:i/>
        </w:rPr>
        <w:t xml:space="preserve">śatruviṣaye suṣṭhu jayayuktān ||</w:t>
      </w:r>
    </w:p>
    <w:p>
      <w:pPr>
        <w:pStyle w:val="FirstParagraph"/>
      </w:pPr>
      <w:r>
        <w:t xml:space="preserve">(</w:t>
      </w:r>
      <w:r>
        <w:t xml:space="preserve">“</w:t>
      </w:r>
      <w:r>
        <w:t xml:space="preserve">Well endowed with victory over enemies.</w:t>
      </w:r>
      <w:r>
        <w:t xml:space="preserve">”</w:t>
      </w:r>
      <w:r>
        <w:t xml:space="preserve">) The sense is: possessed of the power to conquer enemies.</w:t>
      </w:r>
    </w:p>
    <w:p>
      <w:pPr>
        <w:pStyle w:val="BodyText"/>
      </w:pPr>
      <w:r>
        <w:rPr>
          <w:bCs/>
          <w:b/>
        </w:rPr>
        <w:t xml:space="preserve">॥ Vyākaraṇa-prakriyā ॥</w:t>
      </w:r>
      <w:r>
        <w:t xml:space="preserve"> </w:t>
      </w:r>
      <w:r>
        <w:rPr>
          <w:iCs/>
          <w:i/>
        </w:rPr>
        <w:t xml:space="preserve">(grammar pages 737–740, noted briefly)</w:t>
      </w:r>
    </w:p>
    <w:p>
      <w:pPr>
        <w:pStyle w:val="BodyText"/>
      </w:pPr>
      <w:r>
        <w:rPr>
          <w:bCs/>
          <w:b/>
        </w:rPr>
        <w:t xml:space="preserve">इन्द्रावरुणा (</w:t>
      </w:r>
      <w:r>
        <w:rPr>
          <w:iCs/>
          <w:i/>
          <w:bCs/>
          <w:b/>
        </w:rPr>
        <w:t xml:space="preserve">indrāvaruṇā</w:t>
      </w:r>
      <w:r>
        <w:rPr>
          <w:bCs/>
          <w:b/>
        </w:rPr>
        <w:t xml:space="preserve">)</w:t>
      </w:r>
      <w:r>
        <w:t xml:space="preserve">:</w:t>
      </w:r>
      <w:r>
        <w:t xml:space="preserve"> </w:t>
      </w:r>
      <w:r>
        <w:rPr>
          <w:iCs/>
          <w:i/>
        </w:rPr>
        <w:t xml:space="preserve">indraś ca varuṇaś ca</w:t>
      </w:r>
      <w:r>
        <w:t xml:space="preserve">, a</w:t>
      </w:r>
      <w:r>
        <w:t xml:space="preserve"> </w:t>
      </w:r>
      <w:r>
        <w:rPr>
          <w:iCs/>
          <w:i/>
        </w:rPr>
        <w:t xml:space="preserve">dvandva</w:t>
      </w:r>
      <w:r>
        <w:t xml:space="preserve"> </w:t>
      </w:r>
      <w:r>
        <w:t xml:space="preserve">compound. For the vocative dual suffix</w:t>
      </w:r>
      <w:r>
        <w:t xml:space="preserve"> </w:t>
      </w:r>
      <w:r>
        <w:rPr>
          <w:iCs/>
          <w:i/>
        </w:rPr>
        <w:t xml:space="preserve">au</w:t>
      </w:r>
      <w:r>
        <w:t xml:space="preserve">, by</w:t>
      </w:r>
      <w:r>
        <w:t xml:space="preserve"> </w:t>
      </w:r>
      <w:r>
        <w:t xml:space="preserve">“</w:t>
      </w:r>
      <w:r>
        <w:t xml:space="preserve">supāṃ suluk…</w:t>
      </w:r>
      <w:r>
        <w:t xml:space="preserve">”</w:t>
      </w:r>
      <w:r>
        <w:t xml:space="preserve"> </w:t>
      </w:r>
      <w:r>
        <w:t xml:space="preserve">(Pā. sū. 7-1-39) the substitute</w:t>
      </w:r>
      <w:r>
        <w:t xml:space="preserve"> </w:t>
      </w:r>
      <w:r>
        <w:rPr>
          <w:iCs/>
          <w:i/>
        </w:rPr>
        <w:t xml:space="preserve">ā</w:t>
      </w:r>
      <w:r>
        <w:t xml:space="preserve">. By</w:t>
      </w:r>
      <w:r>
        <w:t xml:space="preserve"> </w:t>
      </w:r>
      <w:r>
        <w:t xml:space="preserve">“</w:t>
      </w:r>
      <w:r>
        <w:t xml:space="preserve">devatādvandve ca</w:t>
      </w:r>
      <w:r>
        <w:t xml:space="preserve">”</w:t>
      </w:r>
      <w:r>
        <w:t xml:space="preserve"> </w:t>
      </w:r>
      <w:r>
        <w:t xml:space="preserve">(Pā. sū. 6-3-26) the first member takes</w:t>
      </w:r>
      <w:r>
        <w:t xml:space="preserve"> </w:t>
      </w:r>
      <w:r>
        <w:rPr>
          <w:iCs/>
          <w:i/>
        </w:rPr>
        <w:t xml:space="preserve">ānaṅ</w:t>
      </w:r>
      <w:r>
        <w:t xml:space="preserve">. Since it stands at the start of a</w:t>
      </w:r>
      <w:r>
        <w:t xml:space="preserve"> </w:t>
      </w:r>
      <w:r>
        <w:rPr>
          <w:iCs/>
          <w:i/>
        </w:rPr>
        <w:t xml:space="preserve">pāda</w:t>
      </w:r>
      <w:r>
        <w:t xml:space="preserve">, it is not wholly unaccented by the eighth-chapter</w:t>
      </w:r>
      <w:r>
        <w:t xml:space="preserve"> </w:t>
      </w:r>
      <w:r>
        <w:rPr>
          <w:iCs/>
          <w:i/>
        </w:rPr>
        <w:t xml:space="preserve">āmantritasya ca</w:t>
      </w:r>
      <w:r>
        <w:t xml:space="preserve">; by the sixth-chapter</w:t>
      </w:r>
      <w:r>
        <w:t xml:space="preserve"> </w:t>
      </w:r>
      <w:r>
        <w:rPr>
          <w:iCs/>
          <w:i/>
        </w:rPr>
        <w:t xml:space="preserve">āmantritasya ca</w:t>
      </w:r>
      <w:r>
        <w:t xml:space="preserve"> </w:t>
      </w:r>
      <w:r>
        <w:t xml:space="preserve">it is initial udātta. In the Saṃhitā it is shortened as a Vedic form.</w:t>
      </w:r>
    </w:p>
    <w:p>
      <w:pPr>
        <w:pStyle w:val="BodyText"/>
      </w:pPr>
      <w:r>
        <w:rPr>
          <w:bCs/>
          <w:b/>
        </w:rPr>
        <w:t xml:space="preserve">हुवे (</w:t>
      </w:r>
      <w:r>
        <w:rPr>
          <w:iCs/>
          <w:i/>
          <w:bCs/>
          <w:b/>
        </w:rPr>
        <w:t xml:space="preserve">huve</w:t>
      </w:r>
      <w:r>
        <w:rPr>
          <w:bCs/>
          <w:b/>
        </w:rPr>
        <w:t xml:space="preserve">)</w:t>
      </w:r>
      <w:r>
        <w:t xml:space="preserve">: the root</w:t>
      </w:r>
      <w:r>
        <w:t xml:space="preserve"> </w:t>
      </w:r>
      <w:r>
        <w:rPr>
          <w:iCs/>
          <w:i/>
        </w:rPr>
        <w:t xml:space="preserve">hveñ spardhāyāṃ śabde ca</w:t>
      </w:r>
      <w:r>
        <w:t xml:space="preserve">. Since it is</w:t>
      </w:r>
      <w:r>
        <w:t xml:space="preserve"> </w:t>
      </w:r>
      <w:r>
        <w:rPr>
          <w:iCs/>
          <w:i/>
        </w:rPr>
        <w:t xml:space="preserve">ñit</w:t>
      </w:r>
      <w:r>
        <w:t xml:space="preserve">, it is</w:t>
      </w:r>
      <w:r>
        <w:t xml:space="preserve"> </w:t>
      </w:r>
      <w:r>
        <w:rPr>
          <w:iCs/>
          <w:i/>
        </w:rPr>
        <w:t xml:space="preserve">ātmanepadin</w:t>
      </w:r>
      <w:r>
        <w:t xml:space="preserve"> </w:t>
      </w:r>
      <w:r>
        <w:t xml:space="preserve">when the fruit goes to the agent;</w:t>
      </w:r>
      <w:r>
        <w:t xml:space="preserve"> </w:t>
      </w:r>
      <w:r>
        <w:rPr>
          <w:iCs/>
          <w:i/>
        </w:rPr>
        <w:t xml:space="preserve">laṭ</w:t>
      </w:r>
      <w:r>
        <w:t xml:space="preserve">, and in its place the 1st singular</w:t>
      </w:r>
      <w:r>
        <w:t xml:space="preserve"> </w:t>
      </w:r>
      <w:r>
        <w:rPr>
          <w:iCs/>
          <w:i/>
        </w:rPr>
        <w:t xml:space="preserve">iṭ</w:t>
      </w:r>
      <w:r>
        <w:t xml:space="preserve">:</w:t>
      </w:r>
      <w:r>
        <w:t xml:space="preserve"> </w:t>
      </w:r>
      <w:r>
        <w:rPr>
          <w:iCs/>
          <w:i/>
        </w:rPr>
        <w:t xml:space="preserve">hve</w:t>
      </w:r>
      <w:r>
        <w:t xml:space="preserve"> </w:t>
      </w:r>
      <w:r>
        <w:t xml:space="preserve">+</w:t>
      </w:r>
      <w:r>
        <w:t xml:space="preserve"> </w:t>
      </w:r>
      <w:r>
        <w:rPr>
          <w:iCs/>
          <w:i/>
        </w:rPr>
        <w:t xml:space="preserve">i</w:t>
      </w:r>
      <w:r>
        <w:t xml:space="preserve">;</w:t>
      </w:r>
      <w:r>
        <w:t xml:space="preserve"> </w:t>
      </w:r>
      <w:r>
        <w:rPr>
          <w:iCs/>
          <w:i/>
        </w:rPr>
        <w:t xml:space="preserve">śap</w:t>
      </w:r>
      <w:r>
        <w:t xml:space="preserve"> </w:t>
      </w:r>
      <w:r>
        <w:t xml:space="preserve">by</w:t>
      </w:r>
      <w:r>
        <w:t xml:space="preserve"> </w:t>
      </w:r>
      <w:r>
        <w:rPr>
          <w:iCs/>
          <w:i/>
        </w:rPr>
        <w:t xml:space="preserve">kartari śap</w:t>
      </w:r>
      <w:r>
        <w:t xml:space="preserve">. In</w:t>
      </w:r>
      <w:r>
        <w:t xml:space="preserve"> </w:t>
      </w:r>
      <w:r>
        <w:t xml:space="preserve">“</w:t>
      </w:r>
      <w:r>
        <w:t xml:space="preserve">bahulaṃ chandasi</w:t>
      </w:r>
      <w:r>
        <w:t xml:space="preserve">”</w:t>
      </w:r>
      <w:r>
        <w:t xml:space="preserve"> </w:t>
      </w:r>
      <w:r>
        <w:t xml:space="preserve">(Pā. sū. 2-4-73) the word</w:t>
      </w:r>
      <w:r>
        <w:t xml:space="preserve"> </w:t>
      </w:r>
      <w:r>
        <w:rPr>
          <w:iCs/>
          <w:i/>
        </w:rPr>
        <w:t xml:space="preserve">śapaḥ</w:t>
      </w:r>
      <w:r>
        <w:t xml:space="preserve"> </w:t>
      </w:r>
      <w:r>
        <w:t xml:space="preserve">is carried on from</w:t>
      </w:r>
      <w:r>
        <w:t xml:space="preserve"> </w:t>
      </w:r>
      <w:r>
        <w:rPr>
          <w:iCs/>
          <w:i/>
        </w:rPr>
        <w:t xml:space="preserve">adiprabhṛtibhyaḥ śapaḥ</w:t>
      </w:r>
      <w:r>
        <w:t xml:space="preserve">; so, since in the Veda</w:t>
      </w:r>
      <w:r>
        <w:t xml:space="preserve"> </w:t>
      </w:r>
      <w:r>
        <w:rPr>
          <w:iCs/>
          <w:i/>
        </w:rPr>
        <w:t xml:space="preserve">śap</w:t>
      </w:r>
      <w:r>
        <w:t xml:space="preserve"> </w:t>
      </w:r>
      <w:r>
        <w:t xml:space="preserve">takes</w:t>
      </w:r>
      <w:r>
        <w:t xml:space="preserve"> </w:t>
      </w:r>
      <w:r>
        <w:rPr>
          <w:iCs/>
          <w:i/>
        </w:rPr>
        <w:t xml:space="preserve">luk</w:t>
      </w:r>
      <w:r>
        <w:t xml:space="preserve"> </w:t>
      </w:r>
      <w:r>
        <w:t xml:space="preserve">variously,</w:t>
      </w:r>
      <w:r>
        <w:t xml:space="preserve"> </w:t>
      </w:r>
      <w:r>
        <w:rPr>
          <w:iCs/>
          <w:i/>
        </w:rPr>
        <w:t xml:space="preserve">śap</w:t>
      </w:r>
      <w:r>
        <w:t xml:space="preserve"> </w:t>
      </w:r>
      <w:r>
        <w:t xml:space="preserve">takes</w:t>
      </w:r>
      <w:r>
        <w:t xml:space="preserve"> </w:t>
      </w:r>
      <w:r>
        <w:rPr>
          <w:iCs/>
          <w:i/>
        </w:rPr>
        <w:t xml:space="preserve">luk</w:t>
      </w:r>
      <w:r>
        <w:t xml:space="preserve">. In</w:t>
      </w:r>
      <w:r>
        <w:t xml:space="preserve"> </w:t>
      </w:r>
      <w:r>
        <w:t xml:space="preserve">“</w:t>
      </w:r>
      <w:r>
        <w:t xml:space="preserve">bahulaṃ chandasi</w:t>
      </w:r>
      <w:r>
        <w:t xml:space="preserve">”</w:t>
      </w:r>
      <w:r>
        <w:t xml:space="preserve"> </w:t>
      </w:r>
      <w:r>
        <w:t xml:space="preserve">(Pā. sū. 6-1-34) the sūtra</w:t>
      </w:r>
      <w:r>
        <w:t xml:space="preserve"> </w:t>
      </w:r>
      <w:r>
        <w:t xml:space="preserve">“</w:t>
      </w:r>
      <w:r>
        <w:t xml:space="preserve">hvaḥ saṃprasāraṇam</w:t>
      </w:r>
      <w:r>
        <w:t xml:space="preserve">”</w:t>
      </w:r>
      <w:r>
        <w:t xml:space="preserve"> </w:t>
      </w:r>
      <w:r>
        <w:t xml:space="preserve">(Pā. sū. 6-1-32) is carried on: in the Veda the root</w:t>
      </w:r>
      <w:r>
        <w:t xml:space="preserve"> </w:t>
      </w:r>
      <w:r>
        <w:rPr>
          <w:iCs/>
          <w:i/>
        </w:rPr>
        <w:t xml:space="preserve">hveñ</w:t>
      </w:r>
      <w:r>
        <w:t xml:space="preserve"> </w:t>
      </w:r>
      <w:r>
        <w:t xml:space="preserve">takes</w:t>
      </w:r>
      <w:r>
        <w:t xml:space="preserve"> </w:t>
      </w:r>
      <w:r>
        <w:rPr>
          <w:iCs/>
          <w:i/>
        </w:rPr>
        <w:t xml:space="preserve">saṃprasāraṇa</w:t>
      </w:r>
      <w:r>
        <w:t xml:space="preserve"> </w:t>
      </w:r>
      <w:r>
        <w:t xml:space="preserve">variously, so</w:t>
      </w:r>
      <w:r>
        <w:t xml:space="preserve"> </w:t>
      </w:r>
      <w:r>
        <w:rPr>
          <w:iCs/>
          <w:i/>
        </w:rPr>
        <w:t xml:space="preserve">saṃprasāraṇa</w:t>
      </w:r>
      <w:r>
        <w:t xml:space="preserve">,</w:t>
      </w:r>
      <w:r>
        <w:t xml:space="preserve"> </w:t>
      </w:r>
      <w:r>
        <w:rPr>
          <w:iCs/>
          <w:i/>
        </w:rPr>
        <w:t xml:space="preserve">u</w:t>
      </w:r>
      <w:r>
        <w:t xml:space="preserve"> </w:t>
      </w:r>
      <w:r>
        <w:t xml:space="preserve">for</w:t>
      </w:r>
      <w:r>
        <w:t xml:space="preserve"> </w:t>
      </w:r>
      <w:r>
        <w:rPr>
          <w:iCs/>
          <w:i/>
        </w:rPr>
        <w:t xml:space="preserve">v</w:t>
      </w:r>
      <w:r>
        <w:t xml:space="preserve">. By</w:t>
      </w:r>
      <w:r>
        <w:t xml:space="preserve"> </w:t>
      </w:r>
      <w:r>
        <w:t xml:space="preserve">“</w:t>
      </w:r>
      <w:r>
        <w:t xml:space="preserve">saṃprasāraṇāc ca</w:t>
      </w:r>
      <w:r>
        <w:t xml:space="preserve">”</w:t>
      </w:r>
      <w:r>
        <w:t xml:space="preserve"> </w:t>
      </w:r>
      <w:r>
        <w:t xml:space="preserve">(Pā. sū. 6-1-108) the</w:t>
      </w:r>
      <w:r>
        <w:t xml:space="preserve"> </w:t>
      </w:r>
      <w:r>
        <w:rPr>
          <w:iCs/>
          <w:i/>
        </w:rPr>
        <w:t xml:space="preserve">pūrvarūpa</w:t>
      </w:r>
      <w:r>
        <w:t xml:space="preserve">:</w:t>
      </w:r>
      <w:r>
        <w:t xml:space="preserve"> </w:t>
      </w:r>
      <w:r>
        <w:rPr>
          <w:iCs/>
          <w:i/>
        </w:rPr>
        <w:t xml:space="preserve">hu</w:t>
      </w:r>
      <w:r>
        <w:t xml:space="preserve"> </w:t>
      </w:r>
      <w:r>
        <w:t xml:space="preserve">+</w:t>
      </w:r>
      <w:r>
        <w:t xml:space="preserve"> </w:t>
      </w:r>
      <w:r>
        <w:rPr>
          <w:iCs/>
          <w:i/>
        </w:rPr>
        <w:t xml:space="preserve">i</w:t>
      </w:r>
      <w:r>
        <w:t xml:space="preserve">. By</w:t>
      </w:r>
      <w:r>
        <w:t xml:space="preserve"> </w:t>
      </w:r>
      <w:r>
        <w:t xml:space="preserve">“</w:t>
      </w:r>
      <w:r>
        <w:t xml:space="preserve">aci śnudhātubhruvāṃ yvor iyaṅuvaṅau</w:t>
      </w:r>
      <w:r>
        <w:t xml:space="preserve">”</w:t>
      </w:r>
      <w:r>
        <w:t xml:space="preserve"> </w:t>
      </w:r>
      <w:r>
        <w:t xml:space="preserve">(Pā. sū. 6-4-77) the substitute</w:t>
      </w:r>
      <w:r>
        <w:t xml:space="preserve"> </w:t>
      </w:r>
      <w:r>
        <w:rPr>
          <w:iCs/>
          <w:i/>
        </w:rPr>
        <w:t xml:space="preserve">uvaṅ</w:t>
      </w:r>
      <w:r>
        <w:t xml:space="preserve">:</w:t>
      </w:r>
      <w:r>
        <w:t xml:space="preserve"> </w:t>
      </w:r>
      <w:r>
        <w:rPr>
          <w:iCs/>
          <w:i/>
        </w:rPr>
        <w:t xml:space="preserve">huve</w:t>
      </w:r>
      <w:r>
        <w:t xml:space="preserve">. Here, with</w:t>
      </w:r>
      <w:r>
        <w:t xml:space="preserve"> </w:t>
      </w:r>
      <w:r>
        <w:rPr>
          <w:iCs/>
          <w:i/>
        </w:rPr>
        <w:t xml:space="preserve">hu</w:t>
      </w:r>
      <w:r>
        <w:t xml:space="preserve"> </w:t>
      </w:r>
      <w:r>
        <w:t xml:space="preserve">+</w:t>
      </w:r>
      <w:r>
        <w:t xml:space="preserve"> </w:t>
      </w:r>
      <w:r>
        <w:rPr>
          <w:iCs/>
          <w:i/>
        </w:rPr>
        <w:t xml:space="preserve">i</w:t>
      </w:r>
      <w:r>
        <w:t xml:space="preserve">, one may doubt that</w:t>
      </w:r>
      <w:r>
        <w:t xml:space="preserve"> </w:t>
      </w:r>
      <w:r>
        <w:rPr>
          <w:iCs/>
          <w:i/>
        </w:rPr>
        <w:t xml:space="preserve">yaṇ</w:t>
      </w:r>
      <w:r>
        <w:t xml:space="preserve"> </w:t>
      </w:r>
      <w:r>
        <w:t xml:space="preserve">should come, since by</w:t>
      </w:r>
      <w:r>
        <w:t xml:space="preserve"> </w:t>
      </w:r>
      <w:r>
        <w:t xml:space="preserve">“</w:t>
      </w:r>
      <w:r>
        <w:t xml:space="preserve">huśnuvoḥ sārvadhātuke</w:t>
      </w:r>
      <w:r>
        <w:t xml:space="preserve">”</w:t>
      </w:r>
      <w:r>
        <w:t xml:space="preserve"> </w:t>
      </w:r>
      <w:r>
        <w:t xml:space="preserve">(Pā. sū. 6-4-87), before a vowel-initial</w:t>
      </w:r>
      <w:r>
        <w:t xml:space="preserve"> </w:t>
      </w:r>
      <w:r>
        <w:rPr>
          <w:iCs/>
          <w:i/>
        </w:rPr>
        <w:t xml:space="preserve">sārvadhātuka</w:t>
      </w:r>
      <w:r>
        <w:t xml:space="preserve"> </w:t>
      </w:r>
      <w:r>
        <w:t xml:space="preserve">suffix, the</w:t>
      </w:r>
      <w:r>
        <w:t xml:space="preserve"> </w:t>
      </w:r>
      <w:r>
        <w:rPr>
          <w:iCs/>
          <w:i/>
        </w:rPr>
        <w:t xml:space="preserve">u</w:t>
      </w:r>
      <w:r>
        <w:t xml:space="preserve">, not preceded by a conjunct, of the root</w:t>
      </w:r>
      <w:r>
        <w:t xml:space="preserve"> </w:t>
      </w:r>
      <w:r>
        <w:rPr>
          <w:iCs/>
          <w:i/>
        </w:rPr>
        <w:t xml:space="preserve">hu</w:t>
      </w:r>
      <w:r>
        <w:t xml:space="preserve"> </w:t>
      </w:r>
      <w:r>
        <w:t xml:space="preserve">and of a many-voweled</w:t>
      </w:r>
      <w:r>
        <w:t xml:space="preserve"> </w:t>
      </w:r>
      <w:r>
        <w:rPr>
          <w:iCs/>
          <w:i/>
        </w:rPr>
        <w:t xml:space="preserve">aṅga</w:t>
      </w:r>
      <w:r>
        <w:t xml:space="preserve"> </w:t>
      </w:r>
      <w:r>
        <w:t xml:space="preserve">ending in the suffix</w:t>
      </w:r>
      <w:r>
        <w:t xml:space="preserve"> </w:t>
      </w:r>
      <w:r>
        <w:rPr>
          <w:iCs/>
          <w:i/>
        </w:rPr>
        <w:t xml:space="preserve">śnu</w:t>
      </w:r>
    </w:p>
    <w:bookmarkEnd w:id="809"/>
    <w:bookmarkStart w:id="810" w:name="page-738-rik-7-grammar"/>
    <w:p>
      <w:pPr>
        <w:pStyle w:val="Heading3"/>
      </w:pPr>
      <w:r>
        <w:t xml:space="preserve">Page 738 — Rik 7: grammar</w:t>
      </w:r>
    </w:p>
    <w:p>
      <w:pPr>
        <w:pStyle w:val="FirstParagraph"/>
      </w:pPr>
      <w:r>
        <w:t xml:space="preserve">takes the substitute</w:t>
      </w:r>
      <w:r>
        <w:t xml:space="preserve"> </w:t>
      </w:r>
      <w:r>
        <w:rPr>
          <w:iCs/>
          <w:i/>
        </w:rPr>
        <w:t xml:space="preserve">yaṇ</w:t>
      </w:r>
      <w:r>
        <w:t xml:space="preserve">. But in the sūtra</w:t>
      </w:r>
      <w:r>
        <w:t xml:space="preserve"> </w:t>
      </w:r>
      <w:r>
        <w:rPr>
          <w:iCs/>
          <w:i/>
        </w:rPr>
        <w:t xml:space="preserve">huśnuvoḥ</w:t>
      </w:r>
      <w:r>
        <w:t xml:space="preserve"> </w:t>
      </w:r>
      <w:r>
        <w:t xml:space="preserve">only the</w:t>
      </w:r>
      <w:r>
        <w:t xml:space="preserve"> </w:t>
      </w:r>
      <w:r>
        <w:rPr>
          <w:iCs/>
          <w:i/>
        </w:rPr>
        <w:t xml:space="preserve">pratipadokta</w:t>
      </w:r>
      <w:r>
        <w:t xml:space="preserve"> </w:t>
      </w:r>
      <w:r>
        <w:rPr>
          <w:iCs/>
          <w:i/>
        </w:rPr>
        <w:t xml:space="preserve">hu</w:t>
      </w:r>
      <w:r>
        <w:t xml:space="preserve"> </w:t>
      </w:r>
      <w:r>
        <w:t xml:space="preserve">is taken, not the</w:t>
      </w:r>
      <w:r>
        <w:t xml:space="preserve"> </w:t>
      </w:r>
      <w:r>
        <w:rPr>
          <w:iCs/>
          <w:i/>
        </w:rPr>
        <w:t xml:space="preserve">lākṣaṇika</w:t>
      </w:r>
      <w:r>
        <w:t xml:space="preserve"> </w:t>
      </w:r>
      <w:r>
        <w:rPr>
          <w:iCs/>
          <w:i/>
        </w:rPr>
        <w:t xml:space="preserve">hu</w:t>
      </w:r>
      <w:r>
        <w:t xml:space="preserve">.</w:t>
      </w:r>
      <w:r>
        <w:t xml:space="preserve"> </w:t>
      </w:r>
      <w:r>
        <w:rPr>
          <w:iCs/>
          <w:i/>
        </w:rPr>
        <w:t xml:space="preserve">Lakṣaṇa</w:t>
      </w:r>
      <w:r>
        <w:t xml:space="preserve"> </w:t>
      </w:r>
      <w:r>
        <w:t xml:space="preserve">means sūtra;</w:t>
      </w:r>
      <w:r>
        <w:t xml:space="preserve"> </w:t>
      </w:r>
      <w:r>
        <w:rPr>
          <w:iCs/>
          <w:i/>
        </w:rPr>
        <w:t xml:space="preserve">lakṣaṇena nirvṛttaṃ lākṣaṇikam</w:t>
      </w:r>
      <w:r>
        <w:t xml:space="preserve">: what is produced with the help of a sūtra is called</w:t>
      </w:r>
      <w:r>
        <w:t xml:space="preserve"> </w:t>
      </w:r>
      <w:r>
        <w:rPr>
          <w:iCs/>
          <w:i/>
        </w:rPr>
        <w:t xml:space="preserve">lākṣaṇika</w:t>
      </w:r>
      <w:r>
        <w:t xml:space="preserve">. Here</w:t>
      </w:r>
      <w:r>
        <w:t xml:space="preserve"> </w:t>
      </w:r>
      <w:r>
        <w:rPr>
          <w:iCs/>
          <w:i/>
        </w:rPr>
        <w:t xml:space="preserve">hu</w:t>
      </w:r>
      <w:r>
        <w:t xml:space="preserve"> </w:t>
      </w:r>
      <w:r>
        <w:t xml:space="preserve">is produced from the root</w:t>
      </w:r>
      <w:r>
        <w:t xml:space="preserve"> </w:t>
      </w:r>
      <w:r>
        <w:rPr>
          <w:iCs/>
          <w:i/>
        </w:rPr>
        <w:t xml:space="preserve">hve</w:t>
      </w:r>
      <w:r>
        <w:t xml:space="preserve"> </w:t>
      </w:r>
      <w:r>
        <w:t xml:space="preserve">with the help of sūtras such as</w:t>
      </w:r>
      <w:r>
        <w:t xml:space="preserve"> </w:t>
      </w:r>
      <w:r>
        <w:rPr>
          <w:iCs/>
          <w:i/>
        </w:rPr>
        <w:t xml:space="preserve">bahulaṃ chandasi</w:t>
      </w:r>
      <w:r>
        <w:t xml:space="preserve">; so it is</w:t>
      </w:r>
      <w:r>
        <w:t xml:space="preserve"> </w:t>
      </w:r>
      <w:r>
        <w:rPr>
          <w:iCs/>
          <w:i/>
        </w:rPr>
        <w:t xml:space="preserve">lākṣaṇika</w:t>
      </w:r>
      <w:r>
        <w:t xml:space="preserve">. The root</w:t>
      </w:r>
      <w:r>
        <w:t xml:space="preserve"> </w:t>
      </w:r>
      <w:r>
        <w:rPr>
          <w:iCs/>
          <w:i/>
        </w:rPr>
        <w:t xml:space="preserve">hu dānādanayoḥ</w:t>
      </w:r>
      <w:r>
        <w:t xml:space="preserve"> </w:t>
      </w:r>
      <w:r>
        <w:t xml:space="preserve">is not produced in this way with the help of a sūtra; so it is not</w:t>
      </w:r>
      <w:r>
        <w:t xml:space="preserve"> </w:t>
      </w:r>
      <w:r>
        <w:rPr>
          <w:iCs/>
          <w:i/>
        </w:rPr>
        <w:t xml:space="preserve">lākṣaṇika</w:t>
      </w:r>
      <w:r>
        <w:t xml:space="preserve">. In</w:t>
      </w:r>
      <w:r>
        <w:t xml:space="preserve"> </w:t>
      </w:r>
      <w:r>
        <w:rPr>
          <w:iCs/>
          <w:i/>
        </w:rPr>
        <w:t xml:space="preserve">huśnuvoḥ</w:t>
      </w:r>
      <w:r>
        <w:t xml:space="preserve"> </w:t>
      </w:r>
      <w:r>
        <w:t xml:space="preserve">the word</w:t>
      </w:r>
      <w:r>
        <w:t xml:space="preserve"> </w:t>
      </w:r>
      <w:r>
        <w:rPr>
          <w:iCs/>
          <w:i/>
        </w:rPr>
        <w:t xml:space="preserve">hu</w:t>
      </w:r>
      <w:r>
        <w:t xml:space="preserve"> </w:t>
      </w:r>
      <w:r>
        <w:t xml:space="preserve">takes the</w:t>
      </w:r>
      <w:r>
        <w:t xml:space="preserve"> </w:t>
      </w:r>
      <w:r>
        <w:rPr>
          <w:iCs/>
          <w:i/>
        </w:rPr>
        <w:t xml:space="preserve">pratipadokta</w:t>
      </w:r>
      <w:r>
        <w:t xml:space="preserve"> </w:t>
      </w:r>
      <w:r>
        <w:t xml:space="preserve">root</w:t>
      </w:r>
      <w:r>
        <w:t xml:space="preserve"> </w:t>
      </w:r>
      <w:r>
        <w:rPr>
          <w:iCs/>
          <w:i/>
        </w:rPr>
        <w:t xml:space="preserve">hu dānādanayoḥ</w:t>
      </w:r>
      <w:r>
        <w:t xml:space="preserve">, by</w:t>
      </w:r>
    </w:p>
    <w:p>
      <w:pPr>
        <w:pStyle w:val="BlockText"/>
      </w:pPr>
      <w:r>
        <w:t xml:space="preserve">लक्षणप्रतिपदोक्तयोः प्रतिपदोक्तस्यैव ग्रहणम्</w:t>
      </w:r>
    </w:p>
    <w:p>
      <w:pPr>
        <w:pStyle w:val="BlockText"/>
      </w:pPr>
      <w:r>
        <w:rPr>
          <w:iCs/>
          <w:i/>
        </w:rPr>
        <w:t xml:space="preserve">lakṣaṇapratipadoktayoḥ pratipadoktasyaiva grahaṇam</w:t>
      </w:r>
    </w:p>
    <w:p>
      <w:pPr>
        <w:pStyle w:val="FirstParagraph"/>
      </w:pPr>
      <w:r>
        <w:t xml:space="preserve">(</w:t>
      </w:r>
      <w:r>
        <w:t xml:space="preserve">“</w:t>
      </w:r>
      <w:r>
        <w:t xml:space="preserve">Of the</w:t>
      </w:r>
      <w:r>
        <w:t xml:space="preserve"> </w:t>
      </w:r>
      <w:r>
        <w:rPr>
          <w:iCs/>
          <w:i/>
        </w:rPr>
        <w:t xml:space="preserve">lākṣaṇika</w:t>
      </w:r>
      <w:r>
        <w:t xml:space="preserve"> </w:t>
      </w:r>
      <w:r>
        <w:t xml:space="preserve">and the</w:t>
      </w:r>
      <w:r>
        <w:t xml:space="preserve"> </w:t>
      </w:r>
      <w:r>
        <w:rPr>
          <w:iCs/>
          <w:i/>
        </w:rPr>
        <w:t xml:space="preserve">pratipadokta</w:t>
      </w:r>
      <w:r>
        <w:t xml:space="preserve">, only the</w:t>
      </w:r>
      <w:r>
        <w:t xml:space="preserve"> </w:t>
      </w:r>
      <w:r>
        <w:rPr>
          <w:iCs/>
          <w:i/>
        </w:rPr>
        <w:t xml:space="preserve">pratipadokta</w:t>
      </w:r>
      <w:r>
        <w:t xml:space="preserve"> </w:t>
      </w:r>
      <w:r>
        <w:t xml:space="preserve">is taken</w:t>
      </w:r>
      <w:r>
        <w:t xml:space="preserve">”</w:t>
      </w:r>
      <w:r>
        <w:t xml:space="preserve">,</w:t>
      </w:r>
      <w:r>
        <w:t xml:space="preserve"> </w:t>
      </w:r>
      <w:r>
        <w:rPr>
          <w:iCs/>
          <w:i/>
        </w:rPr>
        <w:t xml:space="preserve">paribhāṣā</w:t>
      </w:r>
      <w:r>
        <w:t xml:space="preserve"> </w:t>
      </w:r>
      <w:r>
        <w:t xml:space="preserve">“</w:t>
      </w:r>
      <w:r>
        <w:t xml:space="preserve">114</w:t>
      </w:r>
      <w:r>
        <w:t xml:space="preserve">”</w:t>
      </w:r>
      <w:r>
        <w:t xml:space="preserve"> </w:t>
      </w:r>
      <w:r>
        <w:t xml:space="preserve">[?].) So</w:t>
      </w:r>
      <w:r>
        <w:t xml:space="preserve"> </w:t>
      </w:r>
      <w:r>
        <w:rPr>
          <w:iCs/>
          <w:i/>
        </w:rPr>
        <w:t xml:space="preserve">yaṇ</w:t>
      </w:r>
      <w:r>
        <w:t xml:space="preserve"> </w:t>
      </w:r>
      <w:r>
        <w:t xml:space="preserve">does not come by</w:t>
      </w:r>
      <w:r>
        <w:t xml:space="preserve"> </w:t>
      </w:r>
      <w:r>
        <w:rPr>
          <w:iCs/>
          <w:i/>
        </w:rPr>
        <w:t xml:space="preserve">huśnuvoḥ</w:t>
      </w:r>
      <w:r>
        <w:t xml:space="preserve"> </w:t>
      </w:r>
      <w:r>
        <w:t xml:space="preserve">for the</w:t>
      </w:r>
      <w:r>
        <w:t xml:space="preserve"> </w:t>
      </w:r>
      <w:r>
        <w:rPr>
          <w:iCs/>
          <w:i/>
        </w:rPr>
        <w:t xml:space="preserve">hu</w:t>
      </w:r>
      <w:r>
        <w:t xml:space="preserve"> </w:t>
      </w:r>
      <w:r>
        <w:t xml:space="preserve">derived from the</w:t>
      </w:r>
      <w:r>
        <w:t xml:space="preserve"> </w:t>
      </w:r>
      <w:r>
        <w:rPr>
          <w:iCs/>
          <w:i/>
        </w:rPr>
        <w:t xml:space="preserve">lākṣaṇika</w:t>
      </w:r>
      <w:r>
        <w:t xml:space="preserve"> </w:t>
      </w:r>
      <w:r>
        <w:t xml:space="preserve">root</w:t>
      </w:r>
      <w:r>
        <w:t xml:space="preserve"> </w:t>
      </w:r>
      <w:r>
        <w:rPr>
          <w:iCs/>
          <w:i/>
        </w:rPr>
        <w:t xml:space="preserve">hveñ</w:t>
      </w:r>
      <w:r>
        <w:t xml:space="preserve">.</w:t>
      </w:r>
      <w:r>
        <w:t xml:space="preserve"> </w:t>
      </w:r>
      <w:r>
        <w:rPr>
          <w:iCs/>
          <w:i/>
        </w:rPr>
        <w:t xml:space="preserve">Anekācaḥ</w:t>
      </w:r>
      <w:r>
        <w:t xml:space="preserve">, carried on from</w:t>
      </w:r>
      <w:r>
        <w:t xml:space="preserve"> </w:t>
      </w:r>
      <w:r>
        <w:rPr>
          <w:iCs/>
          <w:i/>
        </w:rPr>
        <w:t xml:space="preserve">er anekācaḥ</w:t>
      </w:r>
      <w:r>
        <w:t xml:space="preserve">, qualifies the</w:t>
      </w:r>
      <w:r>
        <w:t xml:space="preserve"> </w:t>
      </w:r>
      <w:r>
        <w:rPr>
          <w:iCs/>
          <w:i/>
        </w:rPr>
        <w:t xml:space="preserve">aṅga</w:t>
      </w:r>
      <w:r>
        <w:t xml:space="preserve">; since</w:t>
      </w:r>
      <w:r>
        <w:t xml:space="preserve"> </w:t>
      </w:r>
      <w:r>
        <w:rPr>
          <w:iCs/>
          <w:i/>
        </w:rPr>
        <w:t xml:space="preserve">śnu</w:t>
      </w:r>
      <w:r>
        <w:t xml:space="preserve"> </w:t>
      </w:r>
      <w:r>
        <w:t xml:space="preserve">is a suffix, the</w:t>
      </w:r>
      <w:r>
        <w:t xml:space="preserve"> </w:t>
      </w:r>
      <w:r>
        <w:rPr>
          <w:iCs/>
          <w:i/>
        </w:rPr>
        <w:t xml:space="preserve">tadanta</w:t>
      </w:r>
      <w:r>
        <w:t xml:space="preserve"> </w:t>
      </w:r>
      <w:r>
        <w:t xml:space="preserve">is obtained.</w:t>
      </w:r>
      <w:r>
        <w:t xml:space="preserve"> </w:t>
      </w:r>
      <w:r>
        <w:rPr>
          <w:iCs/>
          <w:i/>
        </w:rPr>
        <w:t xml:space="preserve">Huśnuvoḥ</w:t>
      </w:r>
      <w:r>
        <w:t xml:space="preserve">, with</w:t>
      </w:r>
      <w:r>
        <w:t xml:space="preserve"> </w:t>
      </w:r>
      <w:r>
        <w:rPr>
          <w:iCs/>
          <w:i/>
        </w:rPr>
        <w:t xml:space="preserve">aṅgasya</w:t>
      </w:r>
      <w:r>
        <w:t xml:space="preserve"> </w:t>
      </w:r>
      <w:r>
        <w:t xml:space="preserve">carried on and changed into</w:t>
      </w:r>
      <w:r>
        <w:t xml:space="preserve"> </w:t>
      </w:r>
      <w:r>
        <w:rPr>
          <w:iCs/>
          <w:i/>
        </w:rPr>
        <w:t xml:space="preserve">aṅgayoḥ</w:t>
      </w:r>
      <w:r>
        <w:t xml:space="preserve">, qualifies it; by</w:t>
      </w:r>
      <w:r>
        <w:t xml:space="preserve"> </w:t>
      </w:r>
      <w:r>
        <w:t xml:space="preserve">“</w:t>
      </w:r>
      <w:r>
        <w:t xml:space="preserve">yena vidhis tadantasya</w:t>
      </w:r>
      <w:r>
        <w:t xml:space="preserve">”</w:t>
      </w:r>
      <w:r>
        <w:t xml:space="preserve"> </w:t>
      </w:r>
      <w:r>
        <w:t xml:space="preserve">(Pā. sū. 1-1-72) the</w:t>
      </w:r>
      <w:r>
        <w:t xml:space="preserve"> </w:t>
      </w:r>
      <w:r>
        <w:rPr>
          <w:iCs/>
          <w:i/>
        </w:rPr>
        <w:t xml:space="preserve">tadanta</w:t>
      </w:r>
      <w:r>
        <w:t xml:space="preserve"> </w:t>
      </w:r>
      <w:r>
        <w:t xml:space="preserve">is obtained. Thus the sense of</w:t>
      </w:r>
      <w:r>
        <w:t xml:space="preserve"> </w:t>
      </w:r>
      <w:r>
        <w:rPr>
          <w:iCs/>
          <w:i/>
        </w:rPr>
        <w:t xml:space="preserve">huśnuvoḥ</w:t>
      </w:r>
      <w:r>
        <w:t xml:space="preserve"> </w:t>
      </w:r>
      <w:r>
        <w:t xml:space="preserve">is: the</w:t>
      </w:r>
      <w:r>
        <w:t xml:space="preserve"> </w:t>
      </w:r>
      <w:r>
        <w:rPr>
          <w:iCs/>
          <w:i/>
        </w:rPr>
        <w:t xml:space="preserve">u</w:t>
      </w:r>
      <w:r>
        <w:t xml:space="preserve">, not preceded by a conjunct, of an</w:t>
      </w:r>
      <w:r>
        <w:t xml:space="preserve"> </w:t>
      </w:r>
      <w:r>
        <w:rPr>
          <w:iCs/>
          <w:i/>
        </w:rPr>
        <w:t xml:space="preserve">aṅga</w:t>
      </w:r>
      <w:r>
        <w:t xml:space="preserve"> </w:t>
      </w:r>
      <w:r>
        <w:t xml:space="preserve">that ends in the root</w:t>
      </w:r>
      <w:r>
        <w:t xml:space="preserve"> </w:t>
      </w:r>
      <w:r>
        <w:rPr>
          <w:iCs/>
          <w:i/>
        </w:rPr>
        <w:t xml:space="preserve">hu</w:t>
      </w:r>
      <w:r>
        <w:t xml:space="preserve"> </w:t>
      </w:r>
      <w:r>
        <w:t xml:space="preserve">or in the suffix</w:t>
      </w:r>
      <w:r>
        <w:t xml:space="preserve"> </w:t>
      </w:r>
      <w:r>
        <w:rPr>
          <w:iCs/>
          <w:i/>
        </w:rPr>
        <w:t xml:space="preserve">śnu</w:t>
      </w:r>
      <w:r>
        <w:t xml:space="preserve"> </w:t>
      </w:r>
      <w:r>
        <w:t xml:space="preserve">and has more than one vowel takes</w:t>
      </w:r>
      <w:r>
        <w:t xml:space="preserve"> </w:t>
      </w:r>
      <w:r>
        <w:rPr>
          <w:iCs/>
          <w:i/>
        </w:rPr>
        <w:t xml:space="preserve">yaṇ</w:t>
      </w:r>
      <w:r>
        <w:t xml:space="preserve">. So with</w:t>
      </w:r>
      <w:r>
        <w:t xml:space="preserve"> </w:t>
      </w:r>
      <w:r>
        <w:rPr>
          <w:iCs/>
          <w:i/>
        </w:rPr>
        <w:t xml:space="preserve">hu</w:t>
      </w:r>
      <w:r>
        <w:t xml:space="preserve"> </w:t>
      </w:r>
      <w:r>
        <w:t xml:space="preserve">+</w:t>
      </w:r>
      <w:r>
        <w:t xml:space="preserve"> </w:t>
      </w:r>
      <w:r>
        <w:rPr>
          <w:iCs/>
          <w:i/>
        </w:rPr>
        <w:t xml:space="preserve">i</w:t>
      </w:r>
      <w:r>
        <w:t xml:space="preserve">, since the</w:t>
      </w:r>
      <w:r>
        <w:t xml:space="preserve"> </w:t>
      </w:r>
      <w:r>
        <w:rPr>
          <w:iCs/>
          <w:i/>
        </w:rPr>
        <w:t xml:space="preserve">aṅga</w:t>
      </w:r>
      <w:r>
        <w:t xml:space="preserve"> </w:t>
      </w:r>
      <w:r>
        <w:t xml:space="preserve">does not have more than one vowel, the</w:t>
      </w:r>
      <w:r>
        <w:t xml:space="preserve"> </w:t>
      </w:r>
      <w:r>
        <w:rPr>
          <w:iCs/>
          <w:i/>
        </w:rPr>
        <w:t xml:space="preserve">yaṇ</w:t>
      </w:r>
      <w:r>
        <w:t xml:space="preserve"> </w:t>
      </w:r>
      <w:r>
        <w:t xml:space="preserve">enjoined by</w:t>
      </w:r>
      <w:r>
        <w:t xml:space="preserve"> </w:t>
      </w:r>
      <w:r>
        <w:rPr>
          <w:iCs/>
          <w:i/>
        </w:rPr>
        <w:t xml:space="preserve">huśnuvoḥ</w:t>
      </w:r>
      <w:r>
        <w:t xml:space="preserve"> </w:t>
      </w:r>
      <w:r>
        <w:t xml:space="preserve">has no scope at all. It may be said, rightly, that the Vedabhāṣyakāra barred the</w:t>
      </w:r>
      <w:r>
        <w:t xml:space="preserve"> </w:t>
      </w:r>
      <w:r>
        <w:rPr>
          <w:iCs/>
          <w:i/>
        </w:rPr>
        <w:t xml:space="preserve">yaṇ</w:t>
      </w:r>
      <w:r>
        <w:t xml:space="preserve"> </w:t>
      </w:r>
      <w:r>
        <w:t xml:space="preserve">by the</w:t>
      </w:r>
      <w:r>
        <w:t xml:space="preserve"> </w:t>
      </w:r>
      <w:r>
        <w:rPr>
          <w:iCs/>
          <w:i/>
        </w:rPr>
        <w:t xml:space="preserve">lakṣaṇa-pratipadokta</w:t>
      </w:r>
      <w:r>
        <w:t xml:space="preserve"> </w:t>
      </w:r>
      <w:r>
        <w:rPr>
          <w:iCs/>
          <w:i/>
        </w:rPr>
        <w:t xml:space="preserve">paribhāṣā</w:t>
      </w:r>
      <w:r>
        <w:t xml:space="preserve"> </w:t>
      </w:r>
      <w:r>
        <w:t xml:space="preserve">either by the maxim</w:t>
      </w:r>
      <w:r>
        <w:t xml:space="preserve"> </w:t>
      </w:r>
      <w:r>
        <w:t xml:space="preserve">“</w:t>
      </w:r>
      <w:r>
        <w:rPr>
          <w:iCs/>
          <w:i/>
        </w:rPr>
        <w:t xml:space="preserve">upāyasya upāyāntarādūṣakatvam</w:t>
      </w:r>
      <w:r>
        <w:t xml:space="preserve">”</w:t>
      </w:r>
      <w:r>
        <w:t xml:space="preserve"> </w:t>
      </w:r>
      <w:r>
        <w:t xml:space="preserve">(one means does not spoil another) or on the view that rejects the mention of</w:t>
      </w:r>
      <w:r>
        <w:t xml:space="preserve"> </w:t>
      </w:r>
      <w:r>
        <w:rPr>
          <w:iCs/>
          <w:i/>
        </w:rPr>
        <w:t xml:space="preserve">anekāc</w:t>
      </w:r>
      <w:r>
        <w:t xml:space="preserve">. The</w:t>
      </w:r>
      <w:r>
        <w:t xml:space="preserve"> </w:t>
      </w:r>
      <w:r>
        <w:rPr>
          <w:iCs/>
          <w:i/>
        </w:rPr>
        <w:t xml:space="preserve">iṭ</w:t>
      </w:r>
      <w:r>
        <w:t xml:space="preserve"> </w:t>
      </w:r>
      <w:r>
        <w:t xml:space="preserve">is a suffix, so it is udātta by the suffix accent. Since</w:t>
      </w:r>
      <w:r>
        <w:t xml:space="preserve"> </w:t>
      </w:r>
      <w:r>
        <w:t xml:space="preserve">“</w:t>
      </w:r>
      <w:r>
        <w:t xml:space="preserve">anudāttaṃ sarvam apādādau</w:t>
      </w:r>
      <w:r>
        <w:t xml:space="preserve">”</w:t>
      </w:r>
      <w:r>
        <w:t xml:space="preserve"> </w:t>
      </w:r>
      <w:r>
        <w:t xml:space="preserve">(Pā. sū. 8-1-18) excludes the start of a</w:t>
      </w:r>
      <w:r>
        <w:t xml:space="preserve"> </w:t>
      </w:r>
      <w:r>
        <w:rPr>
          <w:iCs/>
          <w:i/>
        </w:rPr>
        <w:t xml:space="preserve">pāda</w:t>
      </w:r>
      <w:r>
        <w:t xml:space="preserve">,</w:t>
      </w:r>
      <w:r>
        <w:t xml:space="preserve"> </w:t>
      </w:r>
      <w:r>
        <w:rPr>
          <w:iCs/>
          <w:i/>
        </w:rPr>
        <w:t xml:space="preserve">huve</w:t>
      </w:r>
      <w:r>
        <w:t xml:space="preserve">, standing at the start of a</w:t>
      </w:r>
      <w:r>
        <w:t xml:space="preserve"> </w:t>
      </w:r>
      <w:r>
        <w:rPr>
          <w:iCs/>
          <w:i/>
        </w:rPr>
        <w:t xml:space="preserve">pāda</w:t>
      </w:r>
      <w:r>
        <w:t xml:space="preserve">, is not wholly unaccented by</w:t>
      </w:r>
      <w:r>
        <w:t xml:space="preserve"> </w:t>
      </w:r>
      <w:r>
        <w:rPr>
          <w:iCs/>
          <w:i/>
        </w:rPr>
        <w:t xml:space="preserve">tiṅṅatiṅaḥ</w:t>
      </w:r>
      <w:r>
        <w:t xml:space="preserve">.</w:t>
      </w:r>
    </w:p>
    <w:p>
      <w:pPr>
        <w:pStyle w:val="BodyText"/>
      </w:pPr>
      <w:r>
        <w:rPr>
          <w:bCs/>
          <w:b/>
        </w:rPr>
        <w:t xml:space="preserve">राधसे (</w:t>
      </w:r>
      <w:r>
        <w:rPr>
          <w:iCs/>
          <w:i/>
          <w:bCs/>
          <w:b/>
        </w:rPr>
        <w:t xml:space="preserve">rādhase</w:t>
      </w:r>
      <w:r>
        <w:rPr>
          <w:bCs/>
          <w:b/>
        </w:rPr>
        <w:t xml:space="preserve">)</w:t>
      </w:r>
      <w:r>
        <w:t xml:space="preserve">:</w:t>
      </w:r>
      <w:r>
        <w:t xml:space="preserve"> </w:t>
      </w:r>
      <w:r>
        <w:rPr>
          <w:iCs/>
          <w:i/>
        </w:rPr>
        <w:t xml:space="preserve">rādha saṃsiddhau</w:t>
      </w:r>
      <w:r>
        <w:t xml:space="preserve">. After it the suffix</w:t>
      </w:r>
      <w:r>
        <w:t xml:space="preserve"> </w:t>
      </w:r>
      <w:r>
        <w:rPr>
          <w:iCs/>
          <w:i/>
        </w:rPr>
        <w:t xml:space="preserve">asun</w:t>
      </w:r>
      <w:r>
        <w:t xml:space="preserve"> </w:t>
      </w:r>
      <w:r>
        <w:t xml:space="preserve">by</w:t>
      </w:r>
      <w:r>
        <w:t xml:space="preserve"> </w:t>
      </w:r>
      <w:r>
        <w:t xml:space="preserve">“</w:t>
      </w:r>
      <w:r>
        <w:t xml:space="preserve">sarvadhātubhyo ’sun</w:t>
      </w:r>
      <w:r>
        <w:t xml:space="preserve">”</w:t>
      </w:r>
      <w:r>
        <w:t xml:space="preserve"> </w:t>
      </w:r>
      <w:r>
        <w:t xml:space="preserve">(Uṇ. sū.</w:t>
      </w:r>
      <w:r>
        <w:t xml:space="preserve"> </w:t>
      </w:r>
      <w:r>
        <w:t xml:space="preserve">“</w:t>
      </w:r>
      <w:r>
        <w:t xml:space="preserve">4-628</w:t>
      </w:r>
      <w:r>
        <w:t xml:space="preserve">”</w:t>
      </w:r>
      <w:r>
        <w:t xml:space="preserve"> </w:t>
      </w:r>
      <w:r>
        <w:t xml:space="preserve">[?]); initial udātta by the</w:t>
      </w:r>
      <w:r>
        <w:t xml:space="preserve"> </w:t>
      </w:r>
      <w:r>
        <w:rPr>
          <w:iCs/>
          <w:i/>
        </w:rPr>
        <w:t xml:space="preserve">nit</w:t>
      </w:r>
      <w:r>
        <w:t xml:space="preserve"> </w:t>
      </w:r>
      <w:r>
        <w:t xml:space="preserve">accent,</w:t>
      </w:r>
      <w:r>
        <w:t xml:space="preserve"> </w:t>
      </w:r>
      <w:r>
        <w:rPr>
          <w:iCs/>
          <w:i/>
        </w:rPr>
        <w:t xml:space="preserve">ñnityādir nityam</w:t>
      </w:r>
      <w:r>
        <w:t xml:space="preserve">.</w:t>
      </w:r>
    </w:p>
    <w:p>
      <w:pPr>
        <w:pStyle w:val="BodyText"/>
      </w:pPr>
      <w:r>
        <w:rPr>
          <w:bCs/>
          <w:b/>
        </w:rPr>
        <w:t xml:space="preserve">अस्मान् (</w:t>
      </w:r>
      <w:r>
        <w:rPr>
          <w:iCs/>
          <w:i/>
          <w:bCs/>
          <w:b/>
        </w:rPr>
        <w:t xml:space="preserve">asmān</w:t>
      </w:r>
      <w:r>
        <w:rPr>
          <w:bCs/>
          <w:b/>
        </w:rPr>
        <w:t xml:space="preserve">)</w:t>
      </w:r>
      <w:r>
        <w:t xml:space="preserve">: after the word</w:t>
      </w:r>
      <w:r>
        <w:t xml:space="preserve"> </w:t>
      </w:r>
      <w:r>
        <w:rPr>
          <w:iCs/>
          <w:i/>
        </w:rPr>
        <w:t xml:space="preserve">asmad</w:t>
      </w:r>
      <w:r>
        <w:t xml:space="preserve"> </w:t>
      </w:r>
      <w:r>
        <w:t xml:space="preserve">the accusative plural</w:t>
      </w:r>
      <w:r>
        <w:t xml:space="preserve"> </w:t>
      </w:r>
      <w:r>
        <w:rPr>
          <w:iCs/>
          <w:i/>
        </w:rPr>
        <w:t xml:space="preserve">śas</w:t>
      </w:r>
      <w:r>
        <w:t xml:space="preserve">; the</w:t>
      </w:r>
      <w:r>
        <w:t xml:space="preserve"> </w:t>
      </w:r>
      <w:r>
        <w:rPr>
          <w:iCs/>
          <w:i/>
        </w:rPr>
        <w:t xml:space="preserve">ś</w:t>
      </w:r>
      <w:r>
        <w:t xml:space="preserve"> </w:t>
      </w:r>
      <w:r>
        <w:t xml:space="preserve">is called</w:t>
      </w:r>
      <w:r>
        <w:t xml:space="preserve"> </w:t>
      </w:r>
      <w:r>
        <w:rPr>
          <w:iCs/>
          <w:i/>
        </w:rPr>
        <w:t xml:space="preserve">it</w:t>
      </w:r>
      <w:r>
        <w:t xml:space="preserve"> </w:t>
      </w:r>
      <w:r>
        <w:t xml:space="preserve">and dropped:</w:t>
      </w:r>
      <w:r>
        <w:t xml:space="preserve"> </w:t>
      </w:r>
      <w:r>
        <w:rPr>
          <w:iCs/>
          <w:i/>
        </w:rPr>
        <w:t xml:space="preserve">asmad</w:t>
      </w:r>
      <w:r>
        <w:t xml:space="preserve"> </w:t>
      </w:r>
      <w:r>
        <w:t xml:space="preserve">+</w:t>
      </w:r>
      <w:r>
        <w:t xml:space="preserve"> </w:t>
      </w:r>
      <w:r>
        <w:rPr>
          <w:iCs/>
          <w:i/>
        </w:rPr>
        <w:t xml:space="preserve">as</w:t>
      </w:r>
      <w:r>
        <w:t xml:space="preserve">. By</w:t>
      </w:r>
      <w:r>
        <w:t xml:space="preserve"> </w:t>
      </w:r>
      <w:r>
        <w:t xml:space="preserve">“</w:t>
      </w:r>
      <w:r>
        <w:t xml:space="preserve">dvitīyāyāṃ ca</w:t>
      </w:r>
      <w:r>
        <w:t xml:space="preserve">”</w:t>
      </w:r>
      <w:r>
        <w:t xml:space="preserve"> </w:t>
      </w:r>
      <w:r>
        <w:t xml:space="preserve">(Pā. sū. 7-2-87), when an accusative ending follows, the last letter of</w:t>
      </w:r>
      <w:r>
        <w:t xml:space="preserve"> </w:t>
      </w:r>
      <w:r>
        <w:rPr>
          <w:iCs/>
          <w:i/>
        </w:rPr>
        <w:t xml:space="preserve">yuṣmad</w:t>
      </w:r>
      <w:r>
        <w:t xml:space="preserve"> </w:t>
      </w:r>
      <w:r>
        <w:t xml:space="preserve">and</w:t>
      </w:r>
      <w:r>
        <w:t xml:space="preserve"> </w:t>
      </w:r>
      <w:r>
        <w:rPr>
          <w:iCs/>
          <w:i/>
        </w:rPr>
        <w:t xml:space="preserve">asmad</w:t>
      </w:r>
      <w:r>
        <w:t xml:space="preserve"> </w:t>
      </w:r>
      <w:r>
        <w:t xml:space="preserve">takes</w:t>
      </w:r>
      <w:r>
        <w:t xml:space="preserve"> </w:t>
      </w:r>
      <w:r>
        <w:rPr>
          <w:iCs/>
          <w:i/>
        </w:rPr>
        <w:t xml:space="preserve">ā</w:t>
      </w:r>
      <w:r>
        <w:t xml:space="preserve">:</w:t>
      </w:r>
      <w:r>
        <w:t xml:space="preserve"> </w:t>
      </w:r>
      <w:r>
        <w:rPr>
          <w:iCs/>
          <w:i/>
        </w:rPr>
        <w:t xml:space="preserve">ā</w:t>
      </w:r>
      <w:r>
        <w:t xml:space="preserve"> </w:t>
      </w:r>
      <w:r>
        <w:t xml:space="preserve">for</w:t>
      </w:r>
      <w:r>
        <w:t xml:space="preserve"> </w:t>
      </w:r>
      <w:r>
        <w:rPr>
          <w:iCs/>
          <w:i/>
        </w:rPr>
        <w:t xml:space="preserve">d</w:t>
      </w:r>
      <w:r>
        <w:t xml:space="preserve">:</w:t>
      </w:r>
      <w:r>
        <w:t xml:space="preserve"> </w:t>
      </w:r>
      <w:r>
        <w:rPr>
          <w:iCs/>
          <w:i/>
        </w:rPr>
        <w:t xml:space="preserve">asma</w:t>
      </w:r>
      <w:r>
        <w:t xml:space="preserve"> </w:t>
      </w:r>
      <w:r>
        <w:t xml:space="preserve">+</w:t>
      </w:r>
      <w:r>
        <w:t xml:space="preserve"> </w:t>
      </w:r>
      <w:r>
        <w:rPr>
          <w:iCs/>
          <w:i/>
        </w:rPr>
        <w:t xml:space="preserve">ā</w:t>
      </w:r>
      <w:r>
        <w:t xml:space="preserve"> </w:t>
      </w:r>
      <w:r>
        <w:t xml:space="preserve">+</w:t>
      </w:r>
      <w:r>
        <w:t xml:space="preserve"> </w:t>
      </w:r>
      <w:r>
        <w:rPr>
          <w:iCs/>
          <w:i/>
        </w:rPr>
        <w:t xml:space="preserve">as</w:t>
      </w:r>
      <w:r>
        <w:t xml:space="preserve">; lengthening of like vowels:</w:t>
      </w:r>
      <w:r>
        <w:t xml:space="preserve"> </w:t>
      </w:r>
      <w:r>
        <w:rPr>
          <w:iCs/>
          <w:i/>
        </w:rPr>
        <w:t xml:space="preserve">asmā</w:t>
      </w:r>
      <w:r>
        <w:t xml:space="preserve"> </w:t>
      </w:r>
      <w:r>
        <w:t xml:space="preserve">+</w:t>
      </w:r>
      <w:r>
        <w:t xml:space="preserve"> </w:t>
      </w:r>
      <w:r>
        <w:rPr>
          <w:iCs/>
          <w:i/>
        </w:rPr>
        <w:t xml:space="preserve">as</w:t>
      </w:r>
      <w:r>
        <w:t xml:space="preserve">. By</w:t>
      </w:r>
      <w:r>
        <w:t xml:space="preserve"> </w:t>
      </w:r>
      <w:r>
        <w:t xml:space="preserve">“</w:t>
      </w:r>
      <w:r>
        <w:t xml:space="preserve">śaso na</w:t>
      </w:r>
      <w:r>
        <w:t xml:space="preserve">”</w:t>
      </w:r>
      <w:r>
        <w:t xml:space="preserve"> </w:t>
      </w:r>
      <w:r>
        <w:t xml:space="preserve">(Pā. sū. 7-1-29)</w:t>
      </w:r>
      <w:r>
        <w:t xml:space="preserve"> </w:t>
      </w:r>
      <w:r>
        <w:rPr>
          <w:iCs/>
          <w:i/>
        </w:rPr>
        <w:t xml:space="preserve">n</w:t>
      </w:r>
      <w:r>
        <w:t xml:space="preserve"> </w:t>
      </w:r>
      <w:r>
        <w:t xml:space="preserve">is substituted for the</w:t>
      </w:r>
      <w:r>
        <w:t xml:space="preserve"> </w:t>
      </w:r>
      <w:r>
        <w:rPr>
          <w:iCs/>
          <w:i/>
        </w:rPr>
        <w:t xml:space="preserve">śas</w:t>
      </w:r>
      <w:r>
        <w:t xml:space="preserve"> </w:t>
      </w:r>
      <w:r>
        <w:t xml:space="preserve">after</w:t>
      </w:r>
      <w:r>
        <w:t xml:space="preserve"> </w:t>
      </w:r>
      <w:r>
        <w:rPr>
          <w:iCs/>
          <w:i/>
        </w:rPr>
        <w:t xml:space="preserve">yuṣmad</w:t>
      </w:r>
      <w:r>
        <w:t xml:space="preserve"> </w:t>
      </w:r>
      <w:r>
        <w:t xml:space="preserve">and</w:t>
      </w:r>
      <w:r>
        <w:t xml:space="preserve"> </w:t>
      </w:r>
      <w:r>
        <w:rPr>
          <w:iCs/>
          <w:i/>
        </w:rPr>
        <w:t xml:space="preserve">asmad</w:t>
      </w:r>
      <w:r>
        <w:t xml:space="preserve">; that substitute, which would come by</w:t>
      </w:r>
      <w:r>
        <w:t xml:space="preserve"> </w:t>
      </w:r>
      <w:r>
        <w:rPr>
          <w:iCs/>
          <w:i/>
        </w:rPr>
        <w:t xml:space="preserve">alo ’ntyasya</w:t>
      </w:r>
      <w:r>
        <w:t xml:space="preserve">, comes for the</w:t>
      </w:r>
      <w:r>
        <w:t xml:space="preserve"> </w:t>
      </w:r>
      <w:r>
        <w:rPr>
          <w:iCs/>
          <w:i/>
        </w:rPr>
        <w:t xml:space="preserve">a</w:t>
      </w:r>
      <w:r>
        <w:t xml:space="preserve"> </w:t>
      </w:r>
      <w:r>
        <w:t xml:space="preserve">of</w:t>
      </w:r>
      <w:r>
        <w:t xml:space="preserve"> </w:t>
      </w:r>
      <w:r>
        <w:rPr>
          <w:iCs/>
          <w:i/>
        </w:rPr>
        <w:t xml:space="preserve">as</w:t>
      </w:r>
      <w:r>
        <w:t xml:space="preserve"> </w:t>
      </w:r>
      <w:r>
        <w:t xml:space="preserve">by its exception</w:t>
      </w:r>
      <w:r>
        <w:t xml:space="preserve"> </w:t>
      </w:r>
      <w:r>
        <w:t xml:space="preserve">“</w:t>
      </w:r>
      <w:r>
        <w:t xml:space="preserve">ādeḥ parasya</w:t>
      </w:r>
      <w:r>
        <w:t xml:space="preserve">”</w:t>
      </w:r>
      <w:r>
        <w:t xml:space="preserve"> </w:t>
      </w:r>
      <w:r>
        <w:t xml:space="preserve">(Pā. sū. 1-1-54).</w:t>
      </w:r>
      <w:r>
        <w:t xml:space="preserve"> </w:t>
      </w:r>
      <w:r>
        <w:rPr>
          <w:iCs/>
          <w:i/>
        </w:rPr>
        <w:t xml:space="preserve">Asmān</w:t>
      </w:r>
      <w:r>
        <w:t xml:space="preserve"> </w:t>
      </w:r>
      <w:r>
        <w:t xml:space="preserve">+</w:t>
      </w:r>
      <w:r>
        <w:t xml:space="preserve"> </w:t>
      </w:r>
      <w:r>
        <w:rPr>
          <w:iCs/>
          <w:i/>
        </w:rPr>
        <w:t xml:space="preserve">s</w:t>
      </w:r>
      <w:r>
        <w:t xml:space="preserve">: by</w:t>
      </w:r>
      <w:r>
        <w:t xml:space="preserve"> </w:t>
      </w:r>
      <w:r>
        <w:t xml:space="preserve">“</w:t>
      </w:r>
      <w:r>
        <w:t xml:space="preserve">saṃyogāntasya lopaḥ</w:t>
      </w:r>
      <w:r>
        <w:t xml:space="preserve">”</w:t>
      </w:r>
      <w:r>
        <w:t xml:space="preserve"> </w:t>
      </w:r>
      <w:r>
        <w:t xml:space="preserve">(Pā. sū.</w:t>
      </w:r>
      <w:r>
        <w:t xml:space="preserve"> </w:t>
      </w:r>
      <w:r>
        <w:t xml:space="preserve">“</w:t>
      </w:r>
      <w:r>
        <w:t xml:space="preserve">0-2-23</w:t>
      </w:r>
      <w:r>
        <w:t xml:space="preserve">”</w:t>
      </w:r>
      <w:r>
        <w:t xml:space="preserve"> </w:t>
      </w:r>
      <w:r>
        <w:t xml:space="preserve">[as printed, for 8-2-23]) the</w:t>
      </w:r>
      <w:r>
        <w:t xml:space="preserve"> </w:t>
      </w:r>
      <w:r>
        <w:rPr>
          <w:iCs/>
          <w:i/>
        </w:rPr>
        <w:t xml:space="preserve">s</w:t>
      </w:r>
      <w:r>
        <w:t xml:space="preserve"> </w:t>
      </w:r>
      <w:r>
        <w:t xml:space="preserve">drops:</w:t>
      </w:r>
      <w:r>
        <w:t xml:space="preserve"> </w:t>
      </w:r>
      <w:r>
        <w:rPr>
          <w:iCs/>
          <w:i/>
        </w:rPr>
        <w:t xml:space="preserve">asmān</w:t>
      </w:r>
      <w:r>
        <w:t xml:space="preserve">.</w:t>
      </w:r>
    </w:p>
    <w:bookmarkEnd w:id="810"/>
    <w:bookmarkStart w:id="811" w:name="page-739-rik-7-grammar"/>
    <w:p>
      <w:pPr>
        <w:pStyle w:val="Heading3"/>
      </w:pPr>
      <w:r>
        <w:t xml:space="preserve">Page 739 — Rik 7: grammar</w:t>
      </w:r>
    </w:p>
    <w:p>
      <w:pPr>
        <w:pStyle w:val="FirstParagraph"/>
      </w:pPr>
      <w:r>
        <w:rPr>
          <w:bCs/>
          <w:b/>
        </w:rPr>
        <w:t xml:space="preserve">जिग्युषः (</w:t>
      </w:r>
      <w:r>
        <w:rPr>
          <w:iCs/>
          <w:i/>
          <w:bCs/>
          <w:b/>
        </w:rPr>
        <w:t xml:space="preserve">jigyuṣaḥ</w:t>
      </w:r>
      <w:r>
        <w:rPr>
          <w:bCs/>
          <w:b/>
        </w:rPr>
        <w:t xml:space="preserve">)</w:t>
      </w:r>
      <w:r>
        <w:t xml:space="preserve">: the root</w:t>
      </w:r>
      <w:r>
        <w:t xml:space="preserve"> </w:t>
      </w:r>
      <w:r>
        <w:rPr>
          <w:iCs/>
          <w:i/>
        </w:rPr>
        <w:t xml:space="preserve">ji jaye</w:t>
      </w:r>
      <w:r>
        <w:t xml:space="preserve">;</w:t>
      </w:r>
      <w:r>
        <w:t xml:space="preserve"> </w:t>
      </w:r>
      <w:r>
        <w:rPr>
          <w:iCs/>
          <w:i/>
        </w:rPr>
        <w:t xml:space="preserve">liṭ</w:t>
      </w:r>
      <w:r>
        <w:t xml:space="preserve">, and for it the substitute</w:t>
      </w:r>
      <w:r>
        <w:t xml:space="preserve"> </w:t>
      </w:r>
      <w:r>
        <w:rPr>
          <w:iCs/>
          <w:i/>
        </w:rPr>
        <w:t xml:space="preserve">kvasu</w:t>
      </w:r>
      <w:r>
        <w:t xml:space="preserve"> </w:t>
      </w:r>
      <w:r>
        <w:t xml:space="preserve">by</w:t>
      </w:r>
      <w:r>
        <w:t xml:space="preserve"> </w:t>
      </w:r>
      <w:r>
        <w:t xml:space="preserve">“</w:t>
      </w:r>
      <w:r>
        <w:t xml:space="preserve">kvasuś ca</w:t>
      </w:r>
      <w:r>
        <w:t xml:space="preserve">”</w:t>
      </w:r>
      <w:r>
        <w:t xml:space="preserve"> </w:t>
      </w:r>
      <w:r>
        <w:t xml:space="preserve">(Pā. sū. 3-2-107). By</w:t>
      </w:r>
      <w:r>
        <w:t xml:space="preserve"> </w:t>
      </w:r>
      <w:r>
        <w:t xml:space="preserve">“</w:t>
      </w:r>
      <w:r>
        <w:t xml:space="preserve">liṭi dhātor anabhyāsasya</w:t>
      </w:r>
      <w:r>
        <w:t xml:space="preserve">”</w:t>
      </w:r>
      <w:r>
        <w:t xml:space="preserve"> </w:t>
      </w:r>
      <w:r>
        <w:t xml:space="preserve">(Pā. sū. 6-1-8) doubling:</w:t>
      </w:r>
      <w:r>
        <w:t xml:space="preserve"> </w:t>
      </w:r>
      <w:r>
        <w:rPr>
          <w:iCs/>
          <w:i/>
        </w:rPr>
        <w:t xml:space="preserve">ji</w:t>
      </w:r>
      <w:r>
        <w:t xml:space="preserve"> </w:t>
      </w:r>
      <w:r>
        <w:t xml:space="preserve">+</w:t>
      </w:r>
      <w:r>
        <w:t xml:space="preserve"> </w:t>
      </w:r>
      <w:r>
        <w:rPr>
          <w:iCs/>
          <w:i/>
        </w:rPr>
        <w:t xml:space="preserve">ji</w:t>
      </w:r>
      <w:r>
        <w:t xml:space="preserve"> </w:t>
      </w:r>
      <w:r>
        <w:t xml:space="preserve">+</w:t>
      </w:r>
      <w:r>
        <w:t xml:space="preserve"> </w:t>
      </w:r>
      <w:r>
        <w:rPr>
          <w:iCs/>
          <w:i/>
        </w:rPr>
        <w:t xml:space="preserve">vas</w:t>
      </w:r>
      <w:r>
        <w:t xml:space="preserve">. By</w:t>
      </w:r>
      <w:r>
        <w:t xml:space="preserve"> </w:t>
      </w:r>
      <w:r>
        <w:t xml:space="preserve">“</w:t>
      </w:r>
      <w:r>
        <w:t xml:space="preserve">sanliṭor jeḥ</w:t>
      </w:r>
      <w:r>
        <w:t xml:space="preserve">”</w:t>
      </w:r>
      <w:r>
        <w:t xml:space="preserve"> </w:t>
      </w:r>
      <w:r>
        <w:t xml:space="preserve">(Pā. sū. 7-3-57), what follows the</w:t>
      </w:r>
      <w:r>
        <w:t xml:space="preserve"> </w:t>
      </w:r>
      <w:r>
        <w:rPr>
          <w:iCs/>
          <w:i/>
        </w:rPr>
        <w:t xml:space="preserve">abhyāsa</w:t>
      </w:r>
      <w:r>
        <w:t xml:space="preserve"> </w:t>
      </w:r>
      <w:r>
        <w:t xml:space="preserve">of the root</w:t>
      </w:r>
      <w:r>
        <w:t xml:space="preserve"> </w:t>
      </w:r>
      <w:r>
        <w:rPr>
          <w:iCs/>
          <w:i/>
        </w:rPr>
        <w:t xml:space="preserve">ji</w:t>
      </w:r>
      <w:r>
        <w:t xml:space="preserve">, conditioned by</w:t>
      </w:r>
      <w:r>
        <w:t xml:space="preserve"> </w:t>
      </w:r>
      <w:r>
        <w:rPr>
          <w:iCs/>
          <w:i/>
        </w:rPr>
        <w:t xml:space="preserve">san</w:t>
      </w:r>
      <w:r>
        <w:t xml:space="preserve"> </w:t>
      </w:r>
      <w:r>
        <w:t xml:space="preserve">or</w:t>
      </w:r>
      <w:r>
        <w:t xml:space="preserve"> </w:t>
      </w:r>
      <w:r>
        <w:rPr>
          <w:iCs/>
          <w:i/>
        </w:rPr>
        <w:t xml:space="preserve">liṭ</w:t>
      </w:r>
      <w:r>
        <w:t xml:space="preserve">, takes a guttural:</w:t>
      </w:r>
      <w:r>
        <w:t xml:space="preserve"> </w:t>
      </w:r>
      <w:r>
        <w:rPr>
          <w:iCs/>
          <w:i/>
        </w:rPr>
        <w:t xml:space="preserve">g</w:t>
      </w:r>
      <w:r>
        <w:t xml:space="preserve"> </w:t>
      </w:r>
      <w:r>
        <w:t xml:space="preserve">for</w:t>
      </w:r>
      <w:r>
        <w:t xml:space="preserve"> </w:t>
      </w:r>
      <w:r>
        <w:rPr>
          <w:iCs/>
          <w:i/>
        </w:rPr>
        <w:t xml:space="preserve">j</w:t>
      </w:r>
      <w:r>
        <w:t xml:space="preserve">:</w:t>
      </w:r>
      <w:r>
        <w:t xml:space="preserve"> </w:t>
      </w:r>
      <w:r>
        <w:rPr>
          <w:iCs/>
          <w:i/>
        </w:rPr>
        <w:t xml:space="preserve">ji</w:t>
      </w:r>
      <w:r>
        <w:t xml:space="preserve"> </w:t>
      </w:r>
      <w:r>
        <w:t xml:space="preserve">+</w:t>
      </w:r>
      <w:r>
        <w:t xml:space="preserve"> </w:t>
      </w:r>
      <w:r>
        <w:rPr>
          <w:iCs/>
          <w:i/>
        </w:rPr>
        <w:t xml:space="preserve">gi</w:t>
      </w:r>
      <w:r>
        <w:t xml:space="preserve"> </w:t>
      </w:r>
      <w:r>
        <w:t xml:space="preserve">+</w:t>
      </w:r>
      <w:r>
        <w:t xml:space="preserve"> </w:t>
      </w:r>
      <w:r>
        <w:rPr>
          <w:iCs/>
          <w:i/>
        </w:rPr>
        <w:t xml:space="preserve">vas</w:t>
      </w:r>
      <w:r>
        <w:t xml:space="preserve">. The suffix</w:t>
      </w:r>
      <w:r>
        <w:t xml:space="preserve"> </w:t>
      </w:r>
      <w:r>
        <w:rPr>
          <w:iCs/>
          <w:i/>
        </w:rPr>
        <w:t xml:space="preserve">vas</w:t>
      </w:r>
      <w:r>
        <w:t xml:space="preserve"> </w:t>
      </w:r>
      <w:r>
        <w:t xml:space="preserve">is a</w:t>
      </w:r>
      <w:r>
        <w:t xml:space="preserve"> </w:t>
      </w:r>
      <w:r>
        <w:rPr>
          <w:iCs/>
          <w:i/>
        </w:rPr>
        <w:t xml:space="preserve">val</w:t>
      </w:r>
      <w:r>
        <w:t xml:space="preserve">-initial</w:t>
      </w:r>
      <w:r>
        <w:t xml:space="preserve"> </w:t>
      </w:r>
      <w:r>
        <w:rPr>
          <w:iCs/>
          <w:i/>
        </w:rPr>
        <w:t xml:space="preserve">ārdhadhātuka</w:t>
      </w:r>
      <w:r>
        <w:t xml:space="preserve">; so the augment</w:t>
      </w:r>
      <w:r>
        <w:t xml:space="preserve"> </w:t>
      </w:r>
      <w:r>
        <w:rPr>
          <w:iCs/>
          <w:i/>
        </w:rPr>
        <w:t xml:space="preserve">iṭ</w:t>
      </w:r>
      <w:r>
        <w:t xml:space="preserve"> </w:t>
      </w:r>
      <w:r>
        <w:t xml:space="preserve">is due by</w:t>
      </w:r>
      <w:r>
        <w:t xml:space="preserve"> </w:t>
      </w:r>
      <w:r>
        <w:t xml:space="preserve">“</w:t>
      </w:r>
      <w:r>
        <w:t xml:space="preserve">ārdhadhātukasyeḍ valādeḥ</w:t>
      </w:r>
      <w:r>
        <w:t xml:space="preserve">”</w:t>
      </w:r>
      <w:r>
        <w:t xml:space="preserve"> </w:t>
      </w:r>
      <w:r>
        <w:t xml:space="preserve">(Pā. sū. 7-2-35); for that the bar comes by</w:t>
      </w:r>
      <w:r>
        <w:t xml:space="preserve"> </w:t>
      </w:r>
      <w:r>
        <w:t xml:space="preserve">“</w:t>
      </w:r>
      <w:r>
        <w:t xml:space="preserve">ekāca upadeśe ’nudāttāt</w:t>
      </w:r>
      <w:r>
        <w:t xml:space="preserve">”</w:t>
      </w:r>
      <w:r>
        <w:t xml:space="preserve"> </w:t>
      </w:r>
      <w:r>
        <w:t xml:space="preserve">(Pā. sū. 7-2-10). Again, by</w:t>
      </w:r>
      <w:r>
        <w:t xml:space="preserve"> </w:t>
      </w:r>
      <w:r>
        <w:t xml:space="preserve">“</w:t>
      </w:r>
      <w:r>
        <w:t xml:space="preserve">kṛsṛbhṛvṛstudrusruśruvo liṭi</w:t>
      </w:r>
      <w:r>
        <w:t xml:space="preserve">”</w:t>
      </w:r>
      <w:r>
        <w:t xml:space="preserve"> </w:t>
      </w:r>
      <w:r>
        <w:t xml:space="preserve">(Pā. sū. 7-2-13), whatever bars to</w:t>
      </w:r>
      <w:r>
        <w:t xml:space="preserve"> </w:t>
      </w:r>
      <w:r>
        <w:rPr>
          <w:iCs/>
          <w:i/>
        </w:rPr>
        <w:t xml:space="preserve">iṭ</w:t>
      </w:r>
      <w:r>
        <w:t xml:space="preserve"> </w:t>
      </w:r>
      <w:r>
        <w:t xml:space="preserve">there are, based on the base and on the suffix, if they come in the</w:t>
      </w:r>
      <w:r>
        <w:t xml:space="preserve"> </w:t>
      </w:r>
      <w:r>
        <w:rPr>
          <w:iCs/>
          <w:i/>
        </w:rPr>
        <w:t xml:space="preserve">liṭ</w:t>
      </w:r>
      <w:r>
        <w:t xml:space="preserve">, come only for the roots</w:t>
      </w:r>
      <w:r>
        <w:t xml:space="preserve"> </w:t>
      </w:r>
      <w:r>
        <w:rPr>
          <w:iCs/>
          <w:i/>
        </w:rPr>
        <w:t xml:space="preserve">kṛ</w:t>
      </w:r>
      <w:r>
        <w:t xml:space="preserve">,</w:t>
      </w:r>
      <w:r>
        <w:t xml:space="preserve"> </w:t>
      </w:r>
      <w:r>
        <w:rPr>
          <w:iCs/>
          <w:i/>
        </w:rPr>
        <w:t xml:space="preserve">sṛ</w:t>
      </w:r>
      <w:r>
        <w:t xml:space="preserve"> </w:t>
      </w:r>
      <w:r>
        <w:t xml:space="preserve">and the rest. By the</w:t>
      </w:r>
      <w:r>
        <w:t xml:space="preserve"> </w:t>
      </w:r>
      <w:r>
        <w:rPr>
          <w:iCs/>
          <w:i/>
        </w:rPr>
        <w:t xml:space="preserve">kryādi-niyama</w:t>
      </w:r>
      <w:r>
        <w:t xml:space="preserve">, that for the</w:t>
      </w:r>
      <w:r>
        <w:t xml:space="preserve"> </w:t>
      </w:r>
      <w:r>
        <w:rPr>
          <w:iCs/>
          <w:i/>
        </w:rPr>
        <w:t xml:space="preserve">liṭ</w:t>
      </w:r>
      <w:r>
        <w:t xml:space="preserve"> </w:t>
      </w:r>
      <w:r>
        <w:t xml:space="preserve">after roots other than the</w:t>
      </w:r>
      <w:r>
        <w:t xml:space="preserve"> </w:t>
      </w:r>
      <w:r>
        <w:rPr>
          <w:iCs/>
          <w:i/>
        </w:rPr>
        <w:t xml:space="preserve">kṛ-ādi</w:t>
      </w:r>
      <w:r>
        <w:t xml:space="preserve"> </w:t>
      </w:r>
      <w:r>
        <w:t xml:space="preserve">the bar to the augment</w:t>
      </w:r>
      <w:r>
        <w:t xml:space="preserve"> </w:t>
      </w:r>
      <w:r>
        <w:rPr>
          <w:iCs/>
          <w:i/>
        </w:rPr>
        <w:t xml:space="preserve">iṭ</w:t>
      </w:r>
      <w:r>
        <w:t xml:space="preserve"> </w:t>
      </w:r>
      <w:r>
        <w:t xml:space="preserve">does not come, the bar does not come for the</w:t>
      </w:r>
      <w:r>
        <w:t xml:space="preserve"> </w:t>
      </w:r>
      <w:r>
        <w:rPr>
          <w:iCs/>
          <w:i/>
        </w:rPr>
        <w:t xml:space="preserve">liṭ</w:t>
      </w:r>
      <w:r>
        <w:t xml:space="preserve"> </w:t>
      </w:r>
      <w:r>
        <w:rPr>
          <w:iCs/>
          <w:i/>
        </w:rPr>
        <w:t xml:space="preserve">vas</w:t>
      </w:r>
      <w:r>
        <w:t xml:space="preserve"> </w:t>
      </w:r>
      <w:r>
        <w:t xml:space="preserve">after the root</w:t>
      </w:r>
      <w:r>
        <w:t xml:space="preserve"> </w:t>
      </w:r>
      <w:r>
        <w:rPr>
          <w:iCs/>
          <w:i/>
        </w:rPr>
        <w:t xml:space="preserve">ji</w:t>
      </w:r>
      <w:r>
        <w:t xml:space="preserve">, which is not of the</w:t>
      </w:r>
      <w:r>
        <w:t xml:space="preserve"> </w:t>
      </w:r>
      <w:r>
        <w:rPr>
          <w:iCs/>
          <w:i/>
        </w:rPr>
        <w:t xml:space="preserve">kṛ-ādi</w:t>
      </w:r>
      <w:r>
        <w:t xml:space="preserve">. So the augment</w:t>
      </w:r>
      <w:r>
        <w:t xml:space="preserve"> </w:t>
      </w:r>
      <w:r>
        <w:rPr>
          <w:iCs/>
          <w:i/>
        </w:rPr>
        <w:t xml:space="preserve">iṭ</w:t>
      </w:r>
      <w:r>
        <w:t xml:space="preserve"> </w:t>
      </w:r>
      <w:r>
        <w:t xml:space="preserve">is due. For this, by</w:t>
      </w:r>
      <w:r>
        <w:t xml:space="preserve"> </w:t>
      </w:r>
      <w:r>
        <w:t xml:space="preserve">“</w:t>
      </w:r>
      <w:r>
        <w:t xml:space="preserve">vasv ekājādghasām</w:t>
      </w:r>
      <w:r>
        <w:t xml:space="preserve">”</w:t>
      </w:r>
      <w:r>
        <w:t xml:space="preserve"> </w:t>
      </w:r>
      <w:r>
        <w:t xml:space="preserve">(Pā. sū. 7-2-67), in the view where</w:t>
      </w:r>
      <w:r>
        <w:t xml:space="preserve"> </w:t>
      </w:r>
      <w:r>
        <w:rPr>
          <w:iCs/>
          <w:i/>
        </w:rPr>
        <w:t xml:space="preserve">iṭ</w:t>
      </w:r>
      <w:r>
        <w:t xml:space="preserve"> </w:t>
      </w:r>
      <w:r>
        <w:t xml:space="preserve">comes to</w:t>
      </w:r>
      <w:r>
        <w:t xml:space="preserve"> </w:t>
      </w:r>
      <w:r>
        <w:rPr>
          <w:iCs/>
          <w:i/>
        </w:rPr>
        <w:t xml:space="preserve">vas</w:t>
      </w:r>
      <w:r>
        <w:t xml:space="preserve">, only for the</w:t>
      </w:r>
      <w:r>
        <w:t xml:space="preserve"> </w:t>
      </w:r>
      <w:r>
        <w:rPr>
          <w:iCs/>
          <w:i/>
        </w:rPr>
        <w:t xml:space="preserve">vas</w:t>
      </w:r>
      <w:r>
        <w:t xml:space="preserve"> </w:t>
      </w:r>
      <w:r>
        <w:t xml:space="preserve">after a root of one vowel after doubling, a root ending in</w:t>
      </w:r>
      <w:r>
        <w:t xml:space="preserve"> </w:t>
      </w:r>
      <w:r>
        <w:rPr>
          <w:iCs/>
          <w:i/>
        </w:rPr>
        <w:t xml:space="preserve">ā</w:t>
      </w:r>
      <w:r>
        <w:t xml:space="preserve">, and the root</w:t>
      </w:r>
      <w:r>
        <w:t xml:space="preserve"> </w:t>
      </w:r>
      <w:r>
        <w:rPr>
          <w:iCs/>
          <w:i/>
        </w:rPr>
        <w:t xml:space="preserve">ghas</w:t>
      </w:r>
      <w:r>
        <w:t xml:space="preserve">, does</w:t>
      </w:r>
      <w:r>
        <w:t xml:space="preserve"> </w:t>
      </w:r>
      <w:r>
        <w:rPr>
          <w:iCs/>
          <w:i/>
        </w:rPr>
        <w:t xml:space="preserve">iṭ</w:t>
      </w:r>
      <w:r>
        <w:t xml:space="preserve"> </w:t>
      </w:r>
      <w:r>
        <w:t xml:space="preserve">come; for</w:t>
      </w:r>
      <w:r>
        <w:t xml:space="preserve"> </w:t>
      </w:r>
      <w:r>
        <w:rPr>
          <w:iCs/>
          <w:i/>
        </w:rPr>
        <w:t xml:space="preserve">vas</w:t>
      </w:r>
      <w:r>
        <w:t xml:space="preserve"> </w:t>
      </w:r>
      <w:r>
        <w:t xml:space="preserve">after other roots</w:t>
      </w:r>
      <w:r>
        <w:t xml:space="preserve"> </w:t>
      </w:r>
      <w:r>
        <w:rPr>
          <w:iCs/>
          <w:i/>
        </w:rPr>
        <w:t xml:space="preserve">iṭ</w:t>
      </w:r>
      <w:r>
        <w:t xml:space="preserve"> </w:t>
      </w:r>
      <w:r>
        <w:t xml:space="preserve">does not come: by this restriction it is withdrawn. After</w:t>
      </w:r>
      <w:r>
        <w:t xml:space="preserve"> </w:t>
      </w:r>
      <w:r>
        <w:rPr>
          <w:iCs/>
          <w:i/>
        </w:rPr>
        <w:t xml:space="preserve">jigivas</w:t>
      </w:r>
      <w:r>
        <w:t xml:space="preserve"> </w:t>
      </w:r>
      <w:r>
        <w:t xml:space="preserve">the accusative plural</w:t>
      </w:r>
      <w:r>
        <w:t xml:space="preserve"> </w:t>
      </w:r>
      <w:r>
        <w:rPr>
          <w:iCs/>
          <w:i/>
        </w:rPr>
        <w:t xml:space="preserve">śas</w:t>
      </w:r>
      <w:r>
        <w:t xml:space="preserve">:</w:t>
      </w:r>
      <w:r>
        <w:t xml:space="preserve"> </w:t>
      </w:r>
      <w:r>
        <w:rPr>
          <w:iCs/>
          <w:i/>
        </w:rPr>
        <w:t xml:space="preserve">jigivas</w:t>
      </w:r>
      <w:r>
        <w:t xml:space="preserve"> </w:t>
      </w:r>
      <w:r>
        <w:t xml:space="preserve">+</w:t>
      </w:r>
      <w:r>
        <w:t xml:space="preserve"> </w:t>
      </w:r>
      <w:r>
        <w:rPr>
          <w:iCs/>
          <w:i/>
        </w:rPr>
        <w:t xml:space="preserve">as</w:t>
      </w:r>
      <w:r>
        <w:t xml:space="preserve">; by</w:t>
      </w:r>
      <w:r>
        <w:t xml:space="preserve"> </w:t>
      </w:r>
      <w:r>
        <w:t xml:space="preserve">“</w:t>
      </w:r>
      <w:r>
        <w:t xml:space="preserve">yaci bham</w:t>
      </w:r>
      <w:r>
        <w:t xml:space="preserve">”</w:t>
      </w:r>
      <w:r>
        <w:t xml:space="preserve"> </w:t>
      </w:r>
      <w:r>
        <w:t xml:space="preserve">(Pā. sū. 1-4-18) it is called</w:t>
      </w:r>
      <w:r>
        <w:t xml:space="preserve"> </w:t>
      </w:r>
      <w:r>
        <w:rPr>
          <w:iCs/>
          <w:i/>
        </w:rPr>
        <w:t xml:space="preserve">bha</w:t>
      </w:r>
      <w:r>
        <w:t xml:space="preserve">. By</w:t>
      </w:r>
      <w:r>
        <w:t xml:space="preserve"> </w:t>
      </w:r>
      <w:r>
        <w:t xml:space="preserve">“</w:t>
      </w:r>
      <w:r>
        <w:t xml:space="preserve">vasoḥ saṃprasāraṇam</w:t>
      </w:r>
      <w:r>
        <w:t xml:space="preserve">”</w:t>
      </w:r>
      <w:r>
        <w:t xml:space="preserve"> </w:t>
      </w:r>
      <w:r>
        <w:t xml:space="preserve">(Pā. sū. 6-4-131) a</w:t>
      </w:r>
      <w:r>
        <w:t xml:space="preserve"> </w:t>
      </w:r>
      <w:r>
        <w:rPr>
          <w:iCs/>
          <w:i/>
        </w:rPr>
        <w:t xml:space="preserve">bha</w:t>
      </w:r>
      <w:r>
        <w:t xml:space="preserve"> </w:t>
      </w:r>
      <w:r>
        <w:t xml:space="preserve">stem ending in the suffix</w:t>
      </w:r>
      <w:r>
        <w:t xml:space="preserve"> </w:t>
      </w:r>
      <w:r>
        <w:rPr>
          <w:iCs/>
          <w:i/>
        </w:rPr>
        <w:t xml:space="preserve">vasu</w:t>
      </w:r>
      <w:r>
        <w:t xml:space="preserve"> </w:t>
      </w:r>
      <w:r>
        <w:t xml:space="preserve">takes</w:t>
      </w:r>
      <w:r>
        <w:t xml:space="preserve"> </w:t>
      </w:r>
      <w:r>
        <w:rPr>
          <w:iCs/>
          <w:i/>
        </w:rPr>
        <w:t xml:space="preserve">saṃprasāraṇa</w:t>
      </w:r>
      <w:r>
        <w:t xml:space="preserve">:</w:t>
      </w:r>
      <w:r>
        <w:t xml:space="preserve"> </w:t>
      </w:r>
      <w:r>
        <w:rPr>
          <w:iCs/>
          <w:i/>
        </w:rPr>
        <w:t xml:space="preserve">u</w:t>
      </w:r>
      <w:r>
        <w:t xml:space="preserve"> </w:t>
      </w:r>
      <w:r>
        <w:t xml:space="preserve">for</w:t>
      </w:r>
      <w:r>
        <w:t xml:space="preserve"> </w:t>
      </w:r>
      <w:r>
        <w:rPr>
          <w:iCs/>
          <w:i/>
        </w:rPr>
        <w:t xml:space="preserve">v</w:t>
      </w:r>
      <w:r>
        <w:t xml:space="preserve">; the</w:t>
      </w:r>
      <w:r>
        <w:t xml:space="preserve"> </w:t>
      </w:r>
      <w:r>
        <w:rPr>
          <w:iCs/>
          <w:i/>
        </w:rPr>
        <w:t xml:space="preserve">pūrvarūpa</w:t>
      </w:r>
      <w:r>
        <w:t xml:space="preserve"> </w:t>
      </w:r>
      <w:r>
        <w:t xml:space="preserve">by</w:t>
      </w:r>
      <w:r>
        <w:t xml:space="preserve"> </w:t>
      </w:r>
      <w:r>
        <w:rPr>
          <w:iCs/>
          <w:i/>
        </w:rPr>
        <w:t xml:space="preserve">saṃprasāraṇāc ca</w:t>
      </w:r>
      <w:r>
        <w:t xml:space="preserve">:</w:t>
      </w:r>
      <w:r>
        <w:t xml:space="preserve"> </w:t>
      </w:r>
      <w:r>
        <w:rPr>
          <w:iCs/>
          <w:i/>
        </w:rPr>
        <w:t xml:space="preserve">jigi</w:t>
      </w:r>
      <w:r>
        <w:t xml:space="preserve"> </w:t>
      </w:r>
      <w:r>
        <w:t xml:space="preserve">+</w:t>
      </w:r>
      <w:r>
        <w:t xml:space="preserve"> </w:t>
      </w:r>
      <w:r>
        <w:rPr>
          <w:iCs/>
          <w:i/>
        </w:rPr>
        <w:t xml:space="preserve">us</w:t>
      </w:r>
      <w:r>
        <w:t xml:space="preserve"> </w:t>
      </w:r>
      <w:r>
        <w:t xml:space="preserve">+</w:t>
      </w:r>
      <w:r>
        <w:t xml:space="preserve"> </w:t>
      </w:r>
      <w:r>
        <w:rPr>
          <w:iCs/>
          <w:i/>
        </w:rPr>
        <w:t xml:space="preserve">as</w:t>
      </w:r>
      <w:r>
        <w:t xml:space="preserve">; by</w:t>
      </w:r>
      <w:r>
        <w:t xml:space="preserve"> </w:t>
      </w:r>
      <w:r>
        <w:t xml:space="preserve">“</w:t>
      </w:r>
      <w:r>
        <w:t xml:space="preserve">er anekācaḥ</w:t>
      </w:r>
      <w:r>
        <w:t xml:space="preserve">”</w:t>
      </w:r>
      <w:r>
        <w:t xml:space="preserve"> </w:t>
      </w:r>
      <w:r>
        <w:t xml:space="preserve">(Pā. sū. 6-4-82)</w:t>
      </w:r>
      <w:r>
        <w:t xml:space="preserve"> </w:t>
      </w:r>
      <w:r>
        <w:rPr>
          <w:iCs/>
          <w:i/>
        </w:rPr>
        <w:t xml:space="preserve">yaṇ</w:t>
      </w:r>
      <w:r>
        <w:t xml:space="preserve">,</w:t>
      </w:r>
      <w:r>
        <w:t xml:space="preserve"> </w:t>
      </w:r>
      <w:r>
        <w:rPr>
          <w:iCs/>
          <w:i/>
        </w:rPr>
        <w:t xml:space="preserve">y</w:t>
      </w:r>
      <w:r>
        <w:t xml:space="preserve"> </w:t>
      </w:r>
      <w:r>
        <w:t xml:space="preserve">for</w:t>
      </w:r>
      <w:r>
        <w:t xml:space="preserve"> </w:t>
      </w:r>
      <w:r>
        <w:rPr>
          <w:iCs/>
          <w:i/>
        </w:rPr>
        <w:t xml:space="preserve">i</w:t>
      </w:r>
      <w:r>
        <w:t xml:space="preserve">; by</w:t>
      </w:r>
      <w:r>
        <w:t xml:space="preserve"> </w:t>
      </w:r>
      <w:r>
        <w:t xml:space="preserve">“</w:t>
      </w:r>
      <w:r>
        <w:t xml:space="preserve">ādeśapratyayayoḥ</w:t>
      </w:r>
      <w:r>
        <w:t xml:space="preserve">”</w:t>
      </w:r>
      <w:r>
        <w:t xml:space="preserve"> </w:t>
      </w:r>
      <w:r>
        <w:t xml:space="preserve">(Pā. sū. 8-3-59)</w:t>
      </w:r>
      <w:r>
        <w:t xml:space="preserve"> </w:t>
      </w:r>
      <w:r>
        <w:rPr>
          <w:iCs/>
          <w:i/>
        </w:rPr>
        <w:t xml:space="preserve">ṣ</w:t>
      </w:r>
      <w:r>
        <w:t xml:space="preserve"> </w:t>
      </w:r>
      <w:r>
        <w:t xml:space="preserve">for</w:t>
      </w:r>
      <w:r>
        <w:t xml:space="preserve"> </w:t>
      </w:r>
      <w:r>
        <w:rPr>
          <w:iCs/>
          <w:i/>
        </w:rPr>
        <w:t xml:space="preserve">s</w:t>
      </w:r>
      <w:r>
        <w:t xml:space="preserve">. For the</w:t>
      </w:r>
      <w:r>
        <w:t xml:space="preserve"> </w:t>
      </w:r>
      <w:r>
        <w:rPr>
          <w:iCs/>
          <w:i/>
        </w:rPr>
        <w:t xml:space="preserve">s</w:t>
      </w:r>
      <w:r>
        <w:t xml:space="preserve"> </w:t>
      </w:r>
      <w:r>
        <w:t xml:space="preserve">of the suffix</w:t>
      </w:r>
      <w:r>
        <w:t xml:space="preserve"> </w:t>
      </w:r>
      <w:r>
        <w:rPr>
          <w:iCs/>
          <w:i/>
        </w:rPr>
        <w:t xml:space="preserve">vas</w:t>
      </w:r>
      <w:r>
        <w:t xml:space="preserve">, it was made clear before that</w:t>
      </w:r>
      <w:r>
        <w:t xml:space="preserve"> </w:t>
      </w:r>
      <w:r>
        <w:rPr>
          <w:iCs/>
          <w:i/>
        </w:rPr>
        <w:t xml:space="preserve">ṣ</w:t>
      </w:r>
      <w:r>
        <w:t xml:space="preserve"> </w:t>
      </w:r>
      <w:r>
        <w:t xml:space="preserve">does not come by</w:t>
      </w:r>
      <w:r>
        <w:t xml:space="preserve"> </w:t>
      </w:r>
      <w:r>
        <w:t xml:space="preserve">“</w:t>
      </w:r>
      <w:r>
        <w:t xml:space="preserve">śāsivasighasīnāṃ ca</w:t>
      </w:r>
      <w:r>
        <w:t xml:space="preserve">”</w:t>
      </w:r>
      <w:r>
        <w:t xml:space="preserve"> </w:t>
      </w:r>
      <w:r>
        <w:t xml:space="preserve">(Pā. sū. 8-3-60).</w:t>
      </w:r>
      <w:r>
        <w:t xml:space="preserve"> </w:t>
      </w:r>
      <w:r>
        <w:rPr>
          <w:iCs/>
          <w:i/>
        </w:rPr>
        <w:t xml:space="preserve">Ru</w:t>
      </w:r>
      <w:r>
        <w:t xml:space="preserve"> </w:t>
      </w:r>
      <w:r>
        <w:t xml:space="preserve">and visarga. With</w:t>
      </w:r>
      <w:r>
        <w:t xml:space="preserve"> </w:t>
      </w:r>
      <w:r>
        <w:rPr>
          <w:iCs/>
          <w:i/>
        </w:rPr>
        <w:t xml:space="preserve">jigyuṣaḥ</w:t>
      </w:r>
      <w:r>
        <w:t xml:space="preserve"> </w:t>
      </w:r>
      <w:r>
        <w:t xml:space="preserve">+</w:t>
      </w:r>
      <w:r>
        <w:t xml:space="preserve"> </w:t>
      </w:r>
      <w:r>
        <w:rPr>
          <w:iCs/>
          <w:i/>
        </w:rPr>
        <w:t xml:space="preserve">kṛtam</w:t>
      </w:r>
      <w:r>
        <w:t xml:space="preserve">, by</w:t>
      </w:r>
      <w:r>
        <w:t xml:space="preserve"> </w:t>
      </w:r>
      <w:r>
        <w:t xml:space="preserve">“</w:t>
      </w:r>
      <w:r>
        <w:t xml:space="preserve">kaḥkarat-karati-kṛdhi-kṛteṣv anaditeḥ</w:t>
      </w:r>
      <w:r>
        <w:t xml:space="preserve">”</w:t>
      </w:r>
      <w:r>
        <w:t xml:space="preserve"> </w:t>
      </w:r>
      <w:r>
        <w:t xml:space="preserve">(Pā. sū. 8-3-50), for a visarga not after the word</w:t>
      </w:r>
      <w:r>
        <w:t xml:space="preserve"> </w:t>
      </w:r>
      <w:r>
        <w:rPr>
          <w:iCs/>
          <w:i/>
        </w:rPr>
        <w:t xml:space="preserve">aditi</w:t>
      </w:r>
      <w:r>
        <w:t xml:space="preserve">, when</w:t>
      </w:r>
      <w:r>
        <w:t xml:space="preserve"> </w:t>
      </w:r>
      <w:r>
        <w:rPr>
          <w:iCs/>
          <w:i/>
        </w:rPr>
        <w:t xml:space="preserve">kaḥ</w:t>
      </w:r>
      <w:r>
        <w:t xml:space="preserve"> </w:t>
      </w:r>
      <w:r>
        <w:t xml:space="preserve">and the rest follow,</w:t>
      </w:r>
      <w:r>
        <w:t xml:space="preserve"> </w:t>
      </w:r>
      <w:r>
        <w:rPr>
          <w:iCs/>
          <w:i/>
        </w:rPr>
        <w:t xml:space="preserve">s</w:t>
      </w:r>
      <w:r>
        <w:t xml:space="preserve"> </w:t>
      </w:r>
      <w:r>
        <w:t xml:space="preserve">comes: so</w:t>
      </w:r>
      <w:r>
        <w:t xml:space="preserve"> </w:t>
      </w:r>
      <w:r>
        <w:rPr>
          <w:iCs/>
          <w:i/>
        </w:rPr>
        <w:t xml:space="preserve">s</w:t>
      </w:r>
      <w:r>
        <w:t xml:space="preserve">. Though the commentators have explained</w:t>
      </w:r>
      <w:r>
        <w:t xml:space="preserve"> </w:t>
      </w:r>
      <w:r>
        <w:rPr>
          <w:iCs/>
          <w:i/>
        </w:rPr>
        <w:t xml:space="preserve">kṛta</w:t>
      </w:r>
      <w:r>
        <w:t xml:space="preserve"> </w:t>
      </w:r>
      <w:r>
        <w:t xml:space="preserve">as ending in the suffix</w:t>
      </w:r>
      <w:r>
        <w:t xml:space="preserve"> </w:t>
      </w:r>
      <w:r>
        <w:rPr>
          <w:iCs/>
          <w:i/>
        </w:rPr>
        <w:t xml:space="preserve">kta</w:t>
      </w:r>
      <w:r>
        <w:t xml:space="preserve">, there is no harm if this too is taken; but there is no sufficient proof that only the</w:t>
      </w:r>
      <w:r>
        <w:t xml:space="preserve"> </w:t>
      </w:r>
      <w:r>
        <w:rPr>
          <w:iCs/>
          <w:i/>
        </w:rPr>
        <w:t xml:space="preserve">kta</w:t>
      </w:r>
      <w:r>
        <w:t xml:space="preserve">-final must be taken.</w:t>
      </w:r>
      <w:r>
        <w:t xml:space="preserve"> </w:t>
      </w:r>
      <w:r>
        <w:rPr>
          <w:iCs/>
          <w:i/>
        </w:rPr>
        <w:t xml:space="preserve">Kṛta</w:t>
      </w:r>
      <w:r>
        <w:t xml:space="preserve"> </w:t>
      </w:r>
      <w:r>
        <w:t xml:space="preserve">means a word having the sequence</w:t>
      </w:r>
      <w:r>
        <w:t xml:space="preserve"> </w:t>
      </w:r>
      <w:r>
        <w:rPr>
          <w:iCs/>
          <w:i/>
        </w:rPr>
        <w:t xml:space="preserve">kṛ-ta</w:t>
      </w:r>
      <w:r>
        <w:t xml:space="preserve">. Such a sequence exists both when the suffix [</w:t>
      </w:r>
      <w:r>
        <w:rPr>
          <w:iCs/>
          <w:i/>
        </w:rPr>
        <w:t xml:space="preserve">kta</w:t>
      </w:r>
      <w:r>
        <w:t xml:space="preserve">] has come and when the form is derived as explained below. Here, since nothing is specified, both are taken. In</w:t>
      </w:r>
      <w:r>
        <w:t xml:space="preserve"> </w:t>
      </w:r>
      <w:r>
        <w:rPr>
          <w:iCs/>
          <w:i/>
        </w:rPr>
        <w:t xml:space="preserve">jigyuṣaḥ</w:t>
      </w:r>
      <w:r>
        <w:t xml:space="preserve"> </w:t>
      </w:r>
      <w:r>
        <w:t xml:space="preserve">the</w:t>
      </w:r>
      <w:r>
        <w:t xml:space="preserve"> </w:t>
      </w:r>
      <w:r>
        <w:rPr>
          <w:iCs/>
          <w:i/>
        </w:rPr>
        <w:t xml:space="preserve">u</w:t>
      </w:r>
      <w:r>
        <w:t xml:space="preserve"> </w:t>
      </w:r>
      <w:r>
        <w:t xml:space="preserve">is udātta by the suffix accent.</w:t>
      </w:r>
    </w:p>
    <w:p>
      <w:pPr>
        <w:pStyle w:val="BodyText"/>
      </w:pPr>
      <w:r>
        <w:rPr>
          <w:bCs/>
          <w:b/>
        </w:rPr>
        <w:t xml:space="preserve">कृतम् (</w:t>
      </w:r>
      <w:r>
        <w:rPr>
          <w:iCs/>
          <w:i/>
          <w:bCs/>
          <w:b/>
        </w:rPr>
        <w:t xml:space="preserve">kṛtam</w:t>
      </w:r>
      <w:r>
        <w:rPr>
          <w:bCs/>
          <w:b/>
        </w:rPr>
        <w:t xml:space="preserve">)</w:t>
      </w:r>
      <w:r>
        <w:t xml:space="preserve">: the root</w:t>
      </w:r>
      <w:r>
        <w:t xml:space="preserve"> </w:t>
      </w:r>
      <w:r>
        <w:rPr>
          <w:iCs/>
          <w:i/>
        </w:rPr>
        <w:t xml:space="preserve">ḍukṛñ karaṇe</w:t>
      </w:r>
      <w:r>
        <w:t xml:space="preserve">.</w:t>
      </w:r>
      <w:r>
        <w:t xml:space="preserve"> </w:t>
      </w:r>
      <w:r>
        <w:rPr>
          <w:iCs/>
          <w:i/>
        </w:rPr>
        <w:t xml:space="preserve">Loṭ</w:t>
      </w:r>
      <w:r>
        <w:t xml:space="preserve">, 2nd dual</w:t>
      </w:r>
      <w:r>
        <w:t xml:space="preserve"> </w:t>
      </w:r>
      <w:r>
        <w:rPr>
          <w:iCs/>
          <w:i/>
        </w:rPr>
        <w:t xml:space="preserve">thas</w:t>
      </w:r>
      <w:r>
        <w:t xml:space="preserve">. By</w:t>
      </w:r>
      <w:r>
        <w:t xml:space="preserve"> </w:t>
      </w:r>
      <w:r>
        <w:t xml:space="preserve">“</w:t>
      </w:r>
      <w:r>
        <w:t xml:space="preserve">loṭo laṅvat</w:t>
      </w:r>
      <w:r>
        <w:t xml:space="preserve">”</w:t>
      </w:r>
      <w:r>
        <w:t xml:space="preserve"> </w:t>
      </w:r>
      <w:r>
        <w:t xml:space="preserve">(Pā. sū. 3-4-85) it is treated as</w:t>
      </w:r>
      <w:r>
        <w:t xml:space="preserve"> </w:t>
      </w:r>
      <w:r>
        <w:rPr>
          <w:iCs/>
          <w:i/>
        </w:rPr>
        <w:t xml:space="preserve">laṅ</w:t>
      </w:r>
      <w:r>
        <w:t xml:space="preserve">, and by</w:t>
      </w:r>
      <w:r>
        <w:t xml:space="preserve"> </w:t>
      </w:r>
      <w:r>
        <w:t xml:space="preserve">“</w:t>
      </w:r>
      <w:r>
        <w:t xml:space="preserve">tasthasthamipāṃ tāṃtaṃtāmaḥ</w:t>
      </w:r>
      <w:r>
        <w:t xml:space="preserve">”</w:t>
      </w:r>
      <w:r>
        <w:t xml:space="preserve"> </w:t>
      </w:r>
      <w:r>
        <w:t xml:space="preserve">(Pā. sū.</w:t>
      </w:r>
    </w:p>
    <w:bookmarkEnd w:id="811"/>
    <w:bookmarkStart w:id="812" w:name="page-740-upper-rik-7-grammar-end"/>
    <w:p>
      <w:pPr>
        <w:pStyle w:val="Heading3"/>
      </w:pPr>
      <w:r>
        <w:t xml:space="preserve">Page 740 (upper) — Rik 7: grammar (end)</w:t>
      </w:r>
    </w:p>
    <w:p>
      <w:pPr>
        <w:pStyle w:val="FirstParagraph"/>
      </w:pPr>
      <w:r>
        <w:t xml:space="preserve">3-4-101)</w:t>
      </w:r>
      <w:r>
        <w:t xml:space="preserve"> </w:t>
      </w:r>
      <w:r>
        <w:rPr>
          <w:iCs/>
          <w:i/>
        </w:rPr>
        <w:t xml:space="preserve">tam</w:t>
      </w:r>
      <w:r>
        <w:t xml:space="preserve"> </w:t>
      </w:r>
      <w:r>
        <w:t xml:space="preserve">for</w:t>
      </w:r>
      <w:r>
        <w:t xml:space="preserve"> </w:t>
      </w:r>
      <w:r>
        <w:rPr>
          <w:iCs/>
          <w:i/>
        </w:rPr>
        <w:t xml:space="preserve">thas</w:t>
      </w:r>
      <w:r>
        <w:t xml:space="preserve">:</w:t>
      </w:r>
      <w:r>
        <w:t xml:space="preserve"> </w:t>
      </w:r>
      <w:r>
        <w:rPr>
          <w:iCs/>
          <w:i/>
        </w:rPr>
        <w:t xml:space="preserve">kṛtam</w:t>
      </w:r>
      <w:r>
        <w:t xml:space="preserve">. The</w:t>
      </w:r>
      <w:r>
        <w:t xml:space="preserve"> </w:t>
      </w:r>
      <w:r>
        <w:rPr>
          <w:iCs/>
          <w:i/>
        </w:rPr>
        <w:t xml:space="preserve">śap</w:t>
      </w:r>
      <w:r>
        <w:t xml:space="preserve"> </w:t>
      </w:r>
      <w:r>
        <w:t xml:space="preserve">that comes by</w:t>
      </w:r>
      <w:r>
        <w:t xml:space="preserve"> </w:t>
      </w:r>
      <w:r>
        <w:rPr>
          <w:iCs/>
          <w:i/>
        </w:rPr>
        <w:t xml:space="preserve">kartari śap</w:t>
      </w:r>
      <w:r>
        <w:t xml:space="preserve"> </w:t>
      </w:r>
      <w:r>
        <w:t xml:space="preserve">takes</w:t>
      </w:r>
      <w:r>
        <w:t xml:space="preserve"> </w:t>
      </w:r>
      <w:r>
        <w:rPr>
          <w:iCs/>
          <w:i/>
        </w:rPr>
        <w:t xml:space="preserve">luk</w:t>
      </w:r>
      <w:r>
        <w:t xml:space="preserve"> </w:t>
      </w:r>
      <w:r>
        <w:t xml:space="preserve">by</w:t>
      </w:r>
      <w:r>
        <w:t xml:space="preserve"> </w:t>
      </w:r>
      <w:r>
        <w:t xml:space="preserve">“</w:t>
      </w:r>
      <w:r>
        <w:t xml:space="preserve">bahulaṃ chandasi</w:t>
      </w:r>
      <w:r>
        <w:t xml:space="preserve">”</w:t>
      </w:r>
      <w:r>
        <w:t xml:space="preserve"> </w:t>
      </w:r>
      <w:r>
        <w:t xml:space="preserve">(Pā. sū. 2-4-73). Although here the</w:t>
      </w:r>
      <w:r>
        <w:t xml:space="preserve"> </w:t>
      </w:r>
      <w:r>
        <w:rPr>
          <w:iCs/>
          <w:i/>
        </w:rPr>
        <w:t xml:space="preserve">vikaraṇa</w:t>
      </w:r>
      <w:r>
        <w:t xml:space="preserve"> </w:t>
      </w:r>
      <w:r>
        <w:rPr>
          <w:iCs/>
          <w:i/>
        </w:rPr>
        <w:t xml:space="preserve">u</w:t>
      </w:r>
      <w:r>
        <w:t xml:space="preserve"> </w:t>
      </w:r>
      <w:r>
        <w:t xml:space="preserve">is due by</w:t>
      </w:r>
      <w:r>
        <w:t xml:space="preserve"> </w:t>
      </w:r>
      <w:r>
        <w:t xml:space="preserve">“</w:t>
      </w:r>
      <w:r>
        <w:t xml:space="preserve">tanādikṛñbhya uḥ</w:t>
      </w:r>
      <w:r>
        <w:t xml:space="preserve">”</w:t>
      </w:r>
      <w:r>
        <w:t xml:space="preserve"> </w:t>
      </w:r>
      <w:r>
        <w:t xml:space="preserve">(Pā. sū. 3-1-79), the exception to</w:t>
      </w:r>
      <w:r>
        <w:t xml:space="preserve"> </w:t>
      </w:r>
      <w:r>
        <w:rPr>
          <w:iCs/>
          <w:i/>
        </w:rPr>
        <w:t xml:space="preserve">kartari śap</w:t>
      </w:r>
      <w:r>
        <w:t xml:space="preserve">, it does not come, since it is optional by</w:t>
      </w:r>
      <w:r>
        <w:t xml:space="preserve"> </w:t>
      </w:r>
      <w:r>
        <w:t xml:space="preserve">“</w:t>
      </w:r>
      <w:r>
        <w:t xml:space="preserve">sarve vidhayaś chandasi vikalpyante</w:t>
      </w:r>
      <w:r>
        <w:t xml:space="preserve">”</w:t>
      </w:r>
      <w:r>
        <w:t xml:space="preserve"> </w:t>
      </w:r>
      <w:r>
        <w:t xml:space="preserve">(</w:t>
      </w:r>
      <w:r>
        <w:rPr>
          <w:iCs/>
          <w:i/>
        </w:rPr>
        <w:t xml:space="preserve">paribhāṣā</w:t>
      </w:r>
      <w:r>
        <w:t xml:space="preserve"> </w:t>
      </w:r>
      <w:r>
        <w:t xml:space="preserve">“</w:t>
      </w:r>
      <w:r>
        <w:t xml:space="preserve">75</w:t>
      </w:r>
      <w:r>
        <w:t xml:space="preserve">”</w:t>
      </w:r>
      <w:r>
        <w:t xml:space="preserve"> </w:t>
      </w:r>
      <w:r>
        <w:t xml:space="preserve">[as read, ?; elsewhere 35]). To avoid these difficulties it might be said to be</w:t>
      </w:r>
      <w:r>
        <w:t xml:space="preserve"> </w:t>
      </w:r>
      <w:r>
        <w:rPr>
          <w:iCs/>
          <w:i/>
        </w:rPr>
        <w:t xml:space="preserve">kta</w:t>
      </w:r>
      <w:r>
        <w:t xml:space="preserve">-final; but in that view the intended total unaccentedness is not obtained. So it cannot be described as</w:t>
      </w:r>
      <w:r>
        <w:t xml:space="preserve"> </w:t>
      </w:r>
      <w:r>
        <w:rPr>
          <w:iCs/>
          <w:i/>
        </w:rPr>
        <w:t xml:space="preserve">kta</w:t>
      </w:r>
      <w:r>
        <w:t xml:space="preserve">-final. If it is set out as a</w:t>
      </w:r>
      <w:r>
        <w:t xml:space="preserve"> </w:t>
      </w:r>
      <w:r>
        <w:rPr>
          <w:iCs/>
          <w:i/>
        </w:rPr>
        <w:t xml:space="preserve">tiṅanta</w:t>
      </w:r>
      <w:r>
        <w:t xml:space="preserve"> </w:t>
      </w:r>
      <w:r>
        <w:t xml:space="preserve">in the way stated above, it becomes wholly unaccented by</w:t>
      </w:r>
      <w:r>
        <w:t xml:space="preserve"> </w:t>
      </w:r>
      <w:r>
        <w:rPr>
          <w:iCs/>
          <w:i/>
        </w:rPr>
        <w:t xml:space="preserve">tiṅṅatiṅaḥ</w:t>
      </w:r>
      <w:r>
        <w:t xml:space="preserve">.</w:t>
      </w:r>
    </w:p>
    <w:p>
      <w:pPr>
        <w:pStyle w:val="BodyText"/>
      </w:pPr>
      <w:r>
        <w:rPr>
          <w:bCs/>
          <w:b/>
        </w:rPr>
        <w:t xml:space="preserve">॥७॥</w:t>
      </w:r>
    </w:p>
    <w:p>
      <w:r>
        <w:pict>
          <v:rect style="width:0;height:1.5pt" o:hralign="center" o:hrstd="t" o:hr="t"/>
        </w:pict>
      </w:r>
    </w:p>
    <w:bookmarkEnd w:id="812"/>
    <w:bookmarkStart w:id="813" w:name="page-740-lower-sūkta-17-rik-8"/>
    <w:p>
      <w:pPr>
        <w:pStyle w:val="Heading3"/>
      </w:pPr>
      <w:r>
        <w:t xml:space="preserve">Page 740 (lower) — Sūkta 17, Rik 8</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इन्द्रा॑वरुण॒ नू नु वां॒ सिषा॑सन्तीषु धी॒ष्वा । [accent ?]</w:t>
      </w:r>
      <w:r>
        <w:t xml:space="preserve"> </w:t>
      </w:r>
      <w:r>
        <w:t xml:space="preserve">अ॒स्मभ्यं॒ शर्म॑ यच्छतम् ॥८॥ [accent ?]</w:t>
      </w:r>
    </w:p>
    <w:p>
      <w:pPr>
        <w:pStyle w:val="BlockText"/>
      </w:pPr>
      <w:r>
        <w:rPr>
          <w:iCs/>
          <w:i/>
        </w:rPr>
        <w:t xml:space="preserve">índrāvaruṇa nū́ nu vāṃ síṣāsantīṣu dhīṣvā́ |</w:t>
      </w:r>
      <w:r>
        <w:t xml:space="preserve"> </w:t>
      </w:r>
      <w:r>
        <w:t xml:space="preserve">[accent ?]</w:t>
      </w:r>
      <w:r>
        <w:t xml:space="preserve"> </w:t>
      </w:r>
      <w:r>
        <w:rPr>
          <w:iCs/>
          <w:i/>
        </w:rPr>
        <w:t xml:space="preserve">asmábhyaṃ śárma yacchatam ||8||</w:t>
      </w:r>
      <w:r>
        <w:t xml:space="preserve"> </w:t>
      </w:r>
      <w:r>
        <w:t xml:space="preserve">[accent ?]</w:t>
      </w:r>
    </w:p>
    <w:p>
      <w:pPr>
        <w:pStyle w:val="FirstParagraph"/>
      </w:pPr>
      <w:r>
        <w:rPr>
          <w:iCs/>
          <w:i/>
        </w:rPr>
        <w:t xml:space="preserve">(Read as printed: strokes over द्रा, षा and र्म; bars under ण, वां, धी, अ and भ्यं.)</w:t>
      </w:r>
    </w:p>
    <w:p>
      <w:pPr>
        <w:pStyle w:val="BodyText"/>
      </w:pPr>
      <w:r>
        <w:rPr>
          <w:bCs/>
          <w:b/>
        </w:rPr>
        <w:t xml:space="preserve">॥ Pada-pāṭhaḥ ॥</w:t>
      </w:r>
    </w:p>
    <w:p>
      <w:pPr>
        <w:pStyle w:val="BodyText"/>
      </w:pPr>
      <w:r>
        <w:rPr>
          <w:iCs/>
          <w:i/>
        </w:rPr>
        <w:t xml:space="preserve">(सिसासन्तीषु, with स, is as printed in the Pada; the Saṃhitā and bhāṣya have सिषासन्तीषु.)</w:t>
      </w:r>
    </w:p>
    <w:p>
      <w:pPr>
        <w:pStyle w:val="BlockText"/>
      </w:pPr>
      <w:r>
        <w:t xml:space="preserve">इन्द्रावरुणा । नु । नु । वाम् । सिसासन्तीषु । धीषु । आ ॥</w:t>
      </w:r>
      <w:r>
        <w:t xml:space="preserve"> </w:t>
      </w:r>
      <w:r>
        <w:t xml:space="preserve">अस्मभ्यम् । शर्म । यच्छतम् ॥८॥</w:t>
      </w:r>
    </w:p>
    <w:p>
      <w:pPr>
        <w:pStyle w:val="BlockText"/>
      </w:pPr>
      <w:r>
        <w:rPr>
          <w:iCs/>
          <w:i/>
        </w:rPr>
        <w:t xml:space="preserve">indrāvaruṇā | nu | nu | vām | sisāsantīṣu | dhīṣu | ā ||</w:t>
      </w:r>
      <w:r>
        <w:t xml:space="preserve"> </w:t>
      </w:r>
      <w:r>
        <w:rPr>
          <w:iCs/>
          <w:i/>
        </w:rPr>
        <w:t xml:space="preserve">asmabhyam | śarma | yacchatam ||8||</w:t>
      </w:r>
    </w:p>
    <w:p>
      <w:pPr>
        <w:pStyle w:val="FirstParagraph"/>
      </w:pPr>
      <w:r>
        <w:rPr>
          <w:bCs/>
          <w:b/>
        </w:rPr>
        <w:t xml:space="preserve">॥ Sāyaṇa-bhāṣyam ॥</w:t>
      </w:r>
    </w:p>
    <w:p>
      <w:pPr>
        <w:pStyle w:val="BlockText"/>
      </w:pPr>
      <w:r>
        <w:t xml:space="preserve">इन्द्रावरुणा हे इन्द्रावरुणौ धीष्वस्मदीयबुद्धिषु वां युवां सिषासन्तीषु सनितुं संभक्तुं सम्यक्सेवितुमिच्छन्तीषु तदानीमासमन्तादस्मभ्यं शर्म सुखं नू नु अतिशयेन क्षिप्रं यच्छतम् । दत्तम् । षड्विंशतिसंख्याकेषु क्षिप्रनामसु नु मक्ष्विति पठितम् । तस्य द्विरावृत्तिबलादतिशयो लभ्यते ॥ इन्द्रावरुणा । उक्तम् । नू नु । ऋचि तुनुघमक्षुतङ्कुत्रोरुष्याणाम् । पा. ६-३-१३३ । इति पूर्वस्य दीर्घत्वम् । सिषासन्तीषु । वन षण संभक्तौ । धात्वादेः षः सः । इच्छायां सन् । द्विर्भावो हलादिशेषः । सन्यत इतीत्वम् । आदेशप्रत्यययोरिति षत्वम् । सनीवन्तेत्यादिना । पा. ७-२-४९ । विकल्पादिडभावः । जनसनखनां सन्झलोः । पा. ६-४-४२ । इति नकारस्याकारः । उपरि लटः शतृ । कर्तरि शप् । उगितश्चेति ङीप् । शप्श्यनोर्नित्यम् । पा. ७-१-८१ । इति नुम् । ङीपः शपश्च पित्त्वाच्छतुश्च लसार्वधातुकत्वेनानुदात्तत्वम् ।</w:t>
      </w:r>
    </w:p>
    <w:p>
      <w:pPr>
        <w:pStyle w:val="BlockText"/>
      </w:pPr>
      <w:r>
        <w:rPr>
          <w:iCs/>
          <w:i/>
        </w:rPr>
        <w:t xml:space="preserve">indrāvaruṇā he indrāvaruṇau dhīṣvasmadīyabuddhiṣu vāṃ yuvāṃ siṣāsantīṣu sanituṃ saṃbhaktuṃ samyaksevitumicchantīṣu tadānīmāsamantādasmabhyaṃ śarma sukhaṃ nū nu atiśayena kṣipraṃ yacchatam | dattam | ṣaḍviṃśatisaṃkhyākeṣu kṣipranāmasu nu makṣviti paṭhitam | tasya dvirāvṛttibalādatiśayo labhyate || indrāvaruṇā | uktam | nū nu | ṛci tunughamakṣutaṅkutroruṣyāṇām | pā. 6-3-133 | iti pūrvasya dīrghatvam | siṣāsantīṣu | vana ṣaṇa saṃbhaktau | dhātvādeḥ ṣaḥ saḥ | icchāyāṃ san | dvirbhāvo halādiśeṣaḥ | sanyata itītvam | ādeśapratyayayoriti ṣatvam | sanīvantetyādinā | pā. 7-2-49 | vikalpādiḍabhāvaḥ | janasanakhanāṃ sanjhaloḥ | pā. 6-4-42 | iti nakārasyākāraḥ | upari laṭaḥ śatṛ | kartari śap | ugitaśceti ṅīp | śapśyanornityam | pā. 7-1-81 | iti num | ṅīpaḥ śapaśca pittvācchatuśca lasārvadhātukatvenānudāttatvam |</w:t>
      </w:r>
    </w:p>
    <w:bookmarkEnd w:id="813"/>
    <w:bookmarkStart w:id="814" w:name="X42d56419312e4eae705fa577d90500e7e897933"/>
    <w:p>
      <w:pPr>
        <w:pStyle w:val="Heading3"/>
      </w:pPr>
      <w:r>
        <w:t xml:space="preserve">Page 741 — Rik 8: bhāṣya (end), word-meanings, overall sense, English, Special Topics</w:t>
      </w:r>
    </w:p>
    <w:p>
      <w:pPr>
        <w:pStyle w:val="BlockText"/>
      </w:pPr>
      <w:r>
        <w:t xml:space="preserve">सनो नित्त्वादाद्युदात्तत्वम् । तदेव शिष्यते । धीषु । सावेकाच इति विभक्तेरुदात्तत्वम् । अस्मभ्यम् । अस्मभ्यमप्रतिष्कुतः । ऋग्वे. १-७-६ । इत्यत्रोक्तम् । यच्छतम् । दाण् दाने । शपि पाघ्रेत्यादिना यच्छादेशः ॥</w:t>
      </w:r>
    </w:p>
    <w:p>
      <w:pPr>
        <w:pStyle w:val="BlockText"/>
      </w:pPr>
      <w:r>
        <w:rPr>
          <w:iCs/>
          <w:i/>
        </w:rPr>
        <w:t xml:space="preserve">sano nittvādādyudāttatvam | tadeva śiṣyate | dhīṣu | sāvekāca iti vibhakterudāttatvam | asmabhyam | asmabhyamapratiṣkutaḥ | ṛgve. 1-7-6 | ityatroktam | yacchatam | dāṇ dāne | śapi pāghretyādinā yacchādeśaḥ ||</w:t>
      </w:r>
    </w:p>
    <w:p>
      <w:pPr>
        <w:pStyle w:val="FirstParagraph"/>
      </w:pPr>
      <w:r>
        <w:rPr>
          <w:bCs/>
          <w:b/>
        </w:rPr>
        <w:t xml:space="preserve">Translation:</w:t>
      </w:r>
      <w:r>
        <w:t xml:space="preserve"> </w:t>
      </w:r>
      <w:r>
        <w:t xml:space="preserve">“</w:t>
      </w:r>
      <w:r>
        <w:t xml:space="preserve">O Indra and Varuṇa, while</w:t>
      </w:r>
      <w:r>
        <w:t xml:space="preserve"> </w:t>
      </w:r>
      <w:r>
        <w:rPr>
          <w:iCs/>
          <w:i/>
        </w:rPr>
        <w:t xml:space="preserve">dhīṣu</w:t>
      </w:r>
      <w:r>
        <w:t xml:space="preserve">, our minds, are</w:t>
      </w:r>
      <w:r>
        <w:t xml:space="preserve"> </w:t>
      </w:r>
      <w:r>
        <w:rPr>
          <w:iCs/>
          <w:i/>
        </w:rPr>
        <w:t xml:space="preserve">siṣāsantīṣu</w:t>
      </w:r>
      <w:r>
        <w:t xml:space="preserve">, wishing to serve you two, to attend on you well, at that time give,</w:t>
      </w:r>
      <w:r>
        <w:t xml:space="preserve"> </w:t>
      </w:r>
      <w:r>
        <w:rPr>
          <w:iCs/>
          <w:i/>
        </w:rPr>
        <w:t xml:space="preserve">yacchatam</w:t>
      </w:r>
      <w:r>
        <w:t xml:space="preserve">, to us from all sides</w:t>
      </w:r>
      <w:r>
        <w:t xml:space="preserve"> </w:t>
      </w:r>
      <w:r>
        <w:rPr>
          <w:iCs/>
          <w:i/>
        </w:rPr>
        <w:t xml:space="preserve">śarma</w:t>
      </w:r>
      <w:r>
        <w:t xml:space="preserve">, happiness,</w:t>
      </w:r>
      <w:r>
        <w:t xml:space="preserve"> </w:t>
      </w:r>
      <w:r>
        <w:rPr>
          <w:iCs/>
          <w:i/>
        </w:rPr>
        <w:t xml:space="preserve">nū nu</w:t>
      </w:r>
      <w:r>
        <w:t xml:space="preserve">, very quickly.</w:t>
      </w:r>
      <w:r>
        <w:t xml:space="preserve"> </w:t>
      </w:r>
      <w:r>
        <w:rPr>
          <w:iCs/>
          <w:i/>
        </w:rPr>
        <w:t xml:space="preserve">Nu</w:t>
      </w:r>
      <w:r>
        <w:t xml:space="preserve"> </w:t>
      </w:r>
      <w:r>
        <w:t xml:space="preserve">is read among the twenty-six names for</w:t>
      </w:r>
      <w:r>
        <w:t xml:space="preserve"> </w:t>
      </w:r>
      <w:r>
        <w:t xml:space="preserve">‘</w:t>
      </w:r>
      <w:r>
        <w:t xml:space="preserve">quick</w:t>
      </w:r>
      <w:r>
        <w:t xml:space="preserve">’</w:t>
      </w:r>
      <w:r>
        <w:t xml:space="preserve"> </w:t>
      </w:r>
      <w:r>
        <w:t xml:space="preserve">as</w:t>
      </w:r>
      <w:r>
        <w:t xml:space="preserve"> </w:t>
      </w:r>
      <w:r>
        <w:rPr>
          <w:iCs/>
          <w:i/>
        </w:rPr>
        <w:t xml:space="preserve">nu</w:t>
      </w:r>
      <w:r>
        <w:t xml:space="preserve">,</w:t>
      </w:r>
      <w:r>
        <w:t xml:space="preserve"> </w:t>
      </w:r>
      <w:r>
        <w:rPr>
          <w:iCs/>
          <w:i/>
        </w:rPr>
        <w:t xml:space="preserve">makṣu</w:t>
      </w:r>
      <w:r>
        <w:t xml:space="preserve">; from its repetition the intensity is obtained.</w:t>
      </w:r>
      <w:r>
        <w:t xml:space="preserve">”</w:t>
      </w:r>
      <w:r>
        <w:t xml:space="preserve"> </w:t>
      </w:r>
      <w:r>
        <w:t xml:space="preserve">(Grammatical tail:</w:t>
      </w:r>
      <w:r>
        <w:t xml:space="preserve"> </w:t>
      </w:r>
      <w:r>
        <w:rPr>
          <w:iCs/>
          <w:i/>
        </w:rPr>
        <w:t xml:space="preserve">indrāvaruṇā</w:t>
      </w:r>
      <w:r>
        <w:t xml:space="preserve">, explained;</w:t>
      </w:r>
      <w:r>
        <w:t xml:space="preserve"> </w:t>
      </w:r>
      <w:r>
        <w:rPr>
          <w:iCs/>
          <w:i/>
        </w:rPr>
        <w:t xml:space="preserve">nū nu</w:t>
      </w:r>
      <w:r>
        <w:t xml:space="preserve">, the first lengthened by Pā. 6-3-133;</w:t>
      </w:r>
      <w:r>
        <w:t xml:space="preserve"> </w:t>
      </w:r>
      <w:r>
        <w:rPr>
          <w:iCs/>
          <w:i/>
        </w:rPr>
        <w:t xml:space="preserve">siṣāsantīṣu</w:t>
      </w:r>
      <w:r>
        <w:t xml:space="preserve">,</w:t>
      </w:r>
      <w:r>
        <w:t xml:space="preserve"> </w:t>
      </w:r>
      <w:r>
        <w:rPr>
          <w:iCs/>
          <w:i/>
        </w:rPr>
        <w:t xml:space="preserve">vana ṣaṇa saṃbhaktau</w:t>
      </w:r>
      <w:r>
        <w:t xml:space="preserve">,</w:t>
      </w:r>
      <w:r>
        <w:t xml:space="preserve"> </w:t>
      </w:r>
      <w:r>
        <w:rPr>
          <w:iCs/>
          <w:i/>
        </w:rPr>
        <w:t xml:space="preserve">s</w:t>
      </w:r>
      <w:r>
        <w:t xml:space="preserve"> </w:t>
      </w:r>
      <w:r>
        <w:t xml:space="preserve">for</w:t>
      </w:r>
      <w:r>
        <w:t xml:space="preserve"> </w:t>
      </w:r>
      <w:r>
        <w:rPr>
          <w:iCs/>
          <w:i/>
        </w:rPr>
        <w:t xml:space="preserve">ṣ</w:t>
      </w:r>
      <w:r>
        <w:t xml:space="preserve">,</w:t>
      </w:r>
      <w:r>
        <w:t xml:space="preserve"> </w:t>
      </w:r>
      <w:r>
        <w:rPr>
          <w:iCs/>
          <w:i/>
        </w:rPr>
        <w:t xml:space="preserve">san</w:t>
      </w:r>
      <w:r>
        <w:t xml:space="preserve"> </w:t>
      </w:r>
      <w:r>
        <w:t xml:space="preserve">of desire, doubling,</w:t>
      </w:r>
      <w:r>
        <w:t xml:space="preserve"> </w:t>
      </w:r>
      <w:r>
        <w:rPr>
          <w:iCs/>
          <w:i/>
        </w:rPr>
        <w:t xml:space="preserve">halādiḥ śeṣaḥ</w:t>
      </w:r>
      <w:r>
        <w:t xml:space="preserve">,</w:t>
      </w:r>
      <w:r>
        <w:t xml:space="preserve"> </w:t>
      </w:r>
      <w:r>
        <w:rPr>
          <w:iCs/>
          <w:i/>
        </w:rPr>
        <w:t xml:space="preserve">i</w:t>
      </w:r>
      <w:r>
        <w:t xml:space="preserve"> </w:t>
      </w:r>
      <w:r>
        <w:t xml:space="preserve">by</w:t>
      </w:r>
      <w:r>
        <w:t xml:space="preserve"> </w:t>
      </w:r>
      <w:r>
        <w:rPr>
          <w:iCs/>
          <w:i/>
        </w:rPr>
        <w:t xml:space="preserve">sanyataḥ</w:t>
      </w:r>
      <w:r>
        <w:t xml:space="preserve">,</w:t>
      </w:r>
      <w:r>
        <w:t xml:space="preserve"> </w:t>
      </w:r>
      <w:r>
        <w:rPr>
          <w:iCs/>
          <w:i/>
        </w:rPr>
        <w:t xml:space="preserve">ṣ</w:t>
      </w:r>
      <w:r>
        <w:t xml:space="preserve"> </w:t>
      </w:r>
      <w:r>
        <w:t xml:space="preserve">by</w:t>
      </w:r>
      <w:r>
        <w:t xml:space="preserve"> </w:t>
      </w:r>
      <w:r>
        <w:rPr>
          <w:iCs/>
          <w:i/>
        </w:rPr>
        <w:t xml:space="preserve">ādeśapratyayayoḥ</w:t>
      </w:r>
      <w:r>
        <w:t xml:space="preserve">, no</w:t>
      </w:r>
      <w:r>
        <w:t xml:space="preserve"> </w:t>
      </w:r>
      <w:r>
        <w:rPr>
          <w:iCs/>
          <w:i/>
        </w:rPr>
        <w:t xml:space="preserve">iṭ</w:t>
      </w:r>
      <w:r>
        <w:t xml:space="preserve"> </w:t>
      </w:r>
      <w:r>
        <w:t xml:space="preserve">as it is optional by Pā. 7-2-49,</w:t>
      </w:r>
      <w:r>
        <w:t xml:space="preserve"> </w:t>
      </w:r>
      <w:r>
        <w:rPr>
          <w:iCs/>
          <w:i/>
        </w:rPr>
        <w:t xml:space="preserve">ā</w:t>
      </w:r>
      <w:r>
        <w:t xml:space="preserve"> </w:t>
      </w:r>
      <w:r>
        <w:t xml:space="preserve">for the</w:t>
      </w:r>
      <w:r>
        <w:t xml:space="preserve"> </w:t>
      </w:r>
      <w:r>
        <w:rPr>
          <w:iCs/>
          <w:i/>
        </w:rPr>
        <w:t xml:space="preserve">n</w:t>
      </w:r>
      <w:r>
        <w:t xml:space="preserve"> </w:t>
      </w:r>
      <w:r>
        <w:t xml:space="preserve">by Pā. 6-4-42, then</w:t>
      </w:r>
      <w:r>
        <w:t xml:space="preserve"> </w:t>
      </w:r>
      <w:r>
        <w:rPr>
          <w:iCs/>
          <w:i/>
        </w:rPr>
        <w:t xml:space="preserve">śatṛ</w:t>
      </w:r>
      <w:r>
        <w:t xml:space="preserve"> </w:t>
      </w:r>
      <w:r>
        <w:t xml:space="preserve">for</w:t>
      </w:r>
      <w:r>
        <w:t xml:space="preserve"> </w:t>
      </w:r>
      <w:r>
        <w:rPr>
          <w:iCs/>
          <w:i/>
        </w:rPr>
        <w:t xml:space="preserve">laṭ</w:t>
      </w:r>
      <w:r>
        <w:t xml:space="preserve">,</w:t>
      </w:r>
      <w:r>
        <w:t xml:space="preserve"> </w:t>
      </w:r>
      <w:r>
        <w:rPr>
          <w:iCs/>
          <w:i/>
        </w:rPr>
        <w:t xml:space="preserve">śap</w:t>
      </w:r>
      <w:r>
        <w:t xml:space="preserve">,</w:t>
      </w:r>
      <w:r>
        <w:t xml:space="preserve"> </w:t>
      </w:r>
      <w:r>
        <w:rPr>
          <w:iCs/>
          <w:i/>
        </w:rPr>
        <w:t xml:space="preserve">ṅīp</w:t>
      </w:r>
      <w:r>
        <w:t xml:space="preserve"> </w:t>
      </w:r>
      <w:r>
        <w:t xml:space="preserve">by</w:t>
      </w:r>
      <w:r>
        <w:t xml:space="preserve"> </w:t>
      </w:r>
      <w:r>
        <w:rPr>
          <w:iCs/>
          <w:i/>
        </w:rPr>
        <w:t xml:space="preserve">ugitaś ca</w:t>
      </w:r>
      <w:r>
        <w:t xml:space="preserve">,</w:t>
      </w:r>
      <w:r>
        <w:t xml:space="preserve"> </w:t>
      </w:r>
      <w:r>
        <w:rPr>
          <w:iCs/>
          <w:i/>
        </w:rPr>
        <w:t xml:space="preserve">num</w:t>
      </w:r>
      <w:r>
        <w:t xml:space="preserve"> </w:t>
      </w:r>
      <w:r>
        <w:t xml:space="preserve">by Pā. 7-1-81;</w:t>
      </w:r>
      <w:r>
        <w:t xml:space="preserve"> </w:t>
      </w:r>
      <w:r>
        <w:rPr>
          <w:iCs/>
          <w:i/>
        </w:rPr>
        <w:t xml:space="preserve">ṅīp</w:t>
      </w:r>
      <w:r>
        <w:t xml:space="preserve"> </w:t>
      </w:r>
      <w:r>
        <w:t xml:space="preserve">and</w:t>
      </w:r>
      <w:r>
        <w:t xml:space="preserve"> </w:t>
      </w:r>
      <w:r>
        <w:rPr>
          <w:iCs/>
          <w:i/>
        </w:rPr>
        <w:t xml:space="preserve">śap</w:t>
      </w:r>
      <w:r>
        <w:t xml:space="preserve"> </w:t>
      </w:r>
      <w:r>
        <w:t xml:space="preserve">unaccented as</w:t>
      </w:r>
      <w:r>
        <w:t xml:space="preserve"> </w:t>
      </w:r>
      <w:r>
        <w:rPr>
          <w:iCs/>
          <w:i/>
        </w:rPr>
        <w:t xml:space="preserve">pit</w:t>
      </w:r>
      <w:r>
        <w:t xml:space="preserve">,</w:t>
      </w:r>
      <w:r>
        <w:t xml:space="preserve"> </w:t>
      </w:r>
      <w:r>
        <w:rPr>
          <w:iCs/>
          <w:i/>
        </w:rPr>
        <w:t xml:space="preserve">śatṛ</w:t>
      </w:r>
      <w:r>
        <w:t xml:space="preserve"> </w:t>
      </w:r>
      <w:r>
        <w:t xml:space="preserve">as an</w:t>
      </w:r>
      <w:r>
        <w:t xml:space="preserve"> </w:t>
      </w:r>
      <w:r>
        <w:rPr>
          <w:iCs/>
          <w:i/>
        </w:rPr>
        <w:t xml:space="preserve">lasārvadhātuka</w:t>
      </w:r>
      <w:r>
        <w:t xml:space="preserve">; initial udātta as</w:t>
      </w:r>
      <w:r>
        <w:t xml:space="preserve"> </w:t>
      </w:r>
      <w:r>
        <w:rPr>
          <w:iCs/>
          <w:i/>
        </w:rPr>
        <w:t xml:space="preserve">san</w:t>
      </w:r>
      <w:r>
        <w:t xml:space="preserve"> </w:t>
      </w:r>
      <w:r>
        <w:t xml:space="preserve">is</w:t>
      </w:r>
      <w:r>
        <w:t xml:space="preserve"> </w:t>
      </w:r>
      <w:r>
        <w:rPr>
          <w:iCs/>
          <w:i/>
        </w:rPr>
        <w:t xml:space="preserve">nit</w:t>
      </w:r>
      <w:r>
        <w:t xml:space="preserve">, and that stays;</w:t>
      </w:r>
      <w:r>
        <w:t xml:space="preserve"> </w:t>
      </w:r>
      <w:r>
        <w:rPr>
          <w:iCs/>
          <w:i/>
        </w:rPr>
        <w:t xml:space="preserve">dhīṣu</w:t>
      </w:r>
      <w:r>
        <w:t xml:space="preserve">, the ending udātta by</w:t>
      </w:r>
      <w:r>
        <w:t xml:space="preserve"> </w:t>
      </w:r>
      <w:r>
        <w:rPr>
          <w:iCs/>
          <w:i/>
        </w:rPr>
        <w:t xml:space="preserve">sāv ekācaḥ</w:t>
      </w:r>
      <w:r>
        <w:t xml:space="preserve">;</w:t>
      </w:r>
      <w:r>
        <w:t xml:space="preserve"> </w:t>
      </w:r>
      <w:r>
        <w:rPr>
          <w:iCs/>
          <w:i/>
        </w:rPr>
        <w:t xml:space="preserve">asmabhyam</w:t>
      </w:r>
      <w:r>
        <w:t xml:space="preserve">, as said at Ṛgveda 1-7-6;</w:t>
      </w:r>
      <w:r>
        <w:t xml:space="preserve"> </w:t>
      </w:r>
      <w:r>
        <w:rPr>
          <w:iCs/>
          <w:i/>
        </w:rPr>
        <w:t xml:space="preserve">yacchatam</w:t>
      </w:r>
      <w:r>
        <w:t xml:space="preserve">,</w:t>
      </w:r>
      <w:r>
        <w:t xml:space="preserve"> </w:t>
      </w:r>
      <w:r>
        <w:rPr>
          <w:iCs/>
          <w:i/>
        </w:rPr>
        <w:t xml:space="preserve">dāṇ dāne</w:t>
      </w:r>
      <w:r>
        <w:t xml:space="preserve">,</w:t>
      </w:r>
      <w:r>
        <w:t xml:space="preserve"> </w:t>
      </w:r>
      <w:r>
        <w:rPr>
          <w:iCs/>
          <w:i/>
        </w:rPr>
        <w:t xml:space="preserve">yaccha</w:t>
      </w:r>
      <w:r>
        <w:t xml:space="preserve"> </w:t>
      </w:r>
      <w:r>
        <w:t xml:space="preserve">by</w:t>
      </w:r>
      <w:r>
        <w:t xml:space="preserve"> </w:t>
      </w:r>
      <w:r>
        <w:rPr>
          <w:iCs/>
          <w:i/>
        </w:rPr>
        <w:t xml:space="preserve">pāghrā…</w:t>
      </w:r>
      <w:r>
        <w:t xml:space="preserve"> </w:t>
      </w:r>
      <w:r>
        <w:t xml:space="preserve">before</w:t>
      </w:r>
      <w:r>
        <w:t xml:space="preserve"> </w:t>
      </w:r>
      <w:r>
        <w:rPr>
          <w:iCs/>
          <w:i/>
        </w:rPr>
        <w:t xml:space="preserve">śap</w:t>
      </w:r>
      <w:r>
        <w:t xml:space="preserve">.)</w:t>
      </w:r>
    </w:p>
    <w:p>
      <w:pPr>
        <w:pStyle w:val="BodyText"/>
      </w:pPr>
      <w:r>
        <w:rPr>
          <w:bCs/>
          <w:b/>
        </w:rPr>
        <w:t xml:space="preserve">॥ Prati-padārthaḥ ॥</w:t>
      </w:r>
    </w:p>
    <w:p>
      <w:pPr>
        <w:pStyle w:val="BodyText"/>
      </w:pPr>
      <w:r>
        <w:rPr>
          <w:bCs/>
          <w:b/>
        </w:rPr>
        <w:t xml:space="preserve">इन्द्रावरुणा (indrāvaruṇā)</w:t>
      </w:r>
      <w:r>
        <w:t xml:space="preserve"> </w:t>
      </w:r>
      <w:r>
        <w:t xml:space="preserve">— O Indra and Varuṇa |</w:t>
      </w:r>
      <w:r>
        <w:t xml:space="preserve"> </w:t>
      </w:r>
      <w:r>
        <w:rPr>
          <w:bCs/>
          <w:b/>
        </w:rPr>
        <w:t xml:space="preserve">धीषु (dhīṣu)</w:t>
      </w:r>
      <w:r>
        <w:t xml:space="preserve"> </w:t>
      </w:r>
      <w:r>
        <w:t xml:space="preserve">— (our) minds |</w:t>
      </w:r>
      <w:r>
        <w:t xml:space="preserve"> </w:t>
      </w:r>
      <w:r>
        <w:rPr>
          <w:bCs/>
          <w:b/>
        </w:rPr>
        <w:t xml:space="preserve">वाम् (vām)</w:t>
      </w:r>
      <w:r>
        <w:t xml:space="preserve"> </w:t>
      </w:r>
      <w:r>
        <w:t xml:space="preserve">— you two |</w:t>
      </w:r>
      <w:r>
        <w:t xml:space="preserve"> </w:t>
      </w:r>
      <w:r>
        <w:rPr>
          <w:bCs/>
          <w:b/>
        </w:rPr>
        <w:t xml:space="preserve">सिषासन्तीषु (siṣāsantīṣu)</w:t>
      </w:r>
      <w:r>
        <w:t xml:space="preserve"> </w:t>
      </w:r>
      <w:r>
        <w:t xml:space="preserve">— while wishing to serve |</w:t>
      </w:r>
      <w:r>
        <w:t xml:space="preserve"> </w:t>
      </w:r>
      <w:r>
        <w:rPr>
          <w:bCs/>
          <w:b/>
        </w:rPr>
        <w:t xml:space="preserve">अस्मभ्यम् (asmabhyam)</w:t>
      </w:r>
      <w:r>
        <w:t xml:space="preserve"> </w:t>
      </w:r>
      <w:r>
        <w:t xml:space="preserve">— to us |</w:t>
      </w:r>
      <w:r>
        <w:t xml:space="preserve"> </w:t>
      </w:r>
      <w:r>
        <w:rPr>
          <w:bCs/>
          <w:b/>
        </w:rPr>
        <w:t xml:space="preserve">आ (ā)</w:t>
      </w:r>
      <w:r>
        <w:t xml:space="preserve"> </w:t>
      </w:r>
      <w:r>
        <w:t xml:space="preserve">— in every respect |</w:t>
      </w:r>
      <w:r>
        <w:t xml:space="preserve"> </w:t>
      </w:r>
      <w:r>
        <w:rPr>
          <w:bCs/>
          <w:b/>
        </w:rPr>
        <w:t xml:space="preserve">शर्म (śarma)</w:t>
      </w:r>
      <w:r>
        <w:t xml:space="preserve"> </w:t>
      </w:r>
      <w:r>
        <w:t xml:space="preserve">— happiness |</w:t>
      </w:r>
      <w:r>
        <w:t xml:space="preserve"> </w:t>
      </w:r>
      <w:r>
        <w:rPr>
          <w:bCs/>
          <w:b/>
        </w:rPr>
        <w:t xml:space="preserve">नू नु (nū nu)</w:t>
      </w:r>
      <w:r>
        <w:t xml:space="preserve"> </w:t>
      </w:r>
      <w:r>
        <w:t xml:space="preserve">— very quickly |</w:t>
      </w:r>
      <w:r>
        <w:t xml:space="preserve"> </w:t>
      </w:r>
      <w:r>
        <w:rPr>
          <w:bCs/>
          <w:b/>
        </w:rPr>
        <w:t xml:space="preserve">यच्छतम् (yacchatam)</w:t>
      </w:r>
      <w:r>
        <w:t xml:space="preserve"> </w:t>
      </w:r>
      <w:r>
        <w:t xml:space="preserve">— give.</w:t>
      </w:r>
    </w:p>
    <w:p>
      <w:pPr>
        <w:pStyle w:val="BodyText"/>
      </w:pPr>
      <w:r>
        <w:rPr>
          <w:bCs/>
          <w:b/>
        </w:rPr>
        <w:t xml:space="preserve">॥ Bhāvārthaḥ ॥</w:t>
      </w:r>
    </w:p>
    <w:p>
      <w:pPr>
        <w:pStyle w:val="BodyText"/>
      </w:pPr>
      <w:r>
        <w:t xml:space="preserve">O Indra and Varuṇa, our minds are always absorbed in serving you; that is, we are serving you constantly. So, being pleased, give us happiness in every way.</w:t>
      </w:r>
    </w:p>
    <w:p>
      <w:pPr>
        <w:pStyle w:val="BodyText"/>
      </w:pPr>
      <w:r>
        <w:rPr>
          <w:bCs/>
          <w:b/>
        </w:rPr>
        <w:t xml:space="preserve">॥ English Translation ॥</w:t>
      </w:r>
      <w:r>
        <w:t xml:space="preserve"> </w:t>
      </w:r>
      <w:r>
        <w:rPr>
          <w:iCs/>
          <w:i/>
        </w:rPr>
        <w:t xml:space="preserve">(as printed in the source)</w:t>
      </w:r>
    </w:p>
    <w:p>
      <w:pPr>
        <w:pStyle w:val="BlockText"/>
      </w:pPr>
      <w:r>
        <w:t xml:space="preserve">Indra and Varuna, quickly bestow happiness upon us, for our minds are devoted to you both.</w:t>
      </w:r>
    </w:p>
    <w:p>
      <w:pPr>
        <w:pStyle w:val="FirstParagraph"/>
      </w:pPr>
      <w:r>
        <w:rPr>
          <w:bCs/>
          <w:b/>
        </w:rPr>
        <w:t xml:space="preserve">॥ Viśeṣa-viṣayagaḷu (Special Topics) ॥</w:t>
      </w:r>
    </w:p>
    <w:p>
      <w:pPr>
        <w:pStyle w:val="BodyText"/>
      </w:pPr>
      <w:r>
        <w:rPr>
          <w:bCs/>
          <w:b/>
        </w:rPr>
        <w:t xml:space="preserve">Nū nu</w:t>
      </w:r>
      <w:r>
        <w:t xml:space="preserve">: since the word</w:t>
      </w:r>
      <w:r>
        <w:t xml:space="preserve"> </w:t>
      </w:r>
      <w:r>
        <w:rPr>
          <w:iCs/>
          <w:i/>
        </w:rPr>
        <w:t xml:space="preserve">nu</w:t>
      </w:r>
      <w:r>
        <w:t xml:space="preserve"> </w:t>
      </w:r>
      <w:r>
        <w:t xml:space="preserve">is read among the twenty-six words meaning</w:t>
      </w:r>
      <w:r>
        <w:t xml:space="preserve"> </w:t>
      </w:r>
      <w:r>
        <w:t xml:space="preserve">“</w:t>
      </w:r>
      <w:r>
        <w:t xml:space="preserve">quick</w:t>
      </w:r>
      <w:r>
        <w:t xml:space="preserve">”</w:t>
      </w:r>
      <w:r>
        <w:t xml:space="preserve">,</w:t>
      </w:r>
      <w:r>
        <w:t xml:space="preserve"> </w:t>
      </w:r>
      <w:r>
        <w:rPr>
          <w:iCs/>
          <w:i/>
        </w:rPr>
        <w:t xml:space="preserve">nu</w:t>
      </w:r>
      <w:r>
        <w:t xml:space="preserve">,</w:t>
      </w:r>
      <w:r>
        <w:t xml:space="preserve"> </w:t>
      </w:r>
      <w:r>
        <w:rPr>
          <w:iCs/>
          <w:i/>
        </w:rPr>
        <w:t xml:space="preserve">makṣu</w:t>
      </w:r>
      <w:r>
        <w:t xml:space="preserve"> </w:t>
      </w:r>
      <w:r>
        <w:t xml:space="preserve">and so on,</w:t>
      </w:r>
      <w:r>
        <w:t xml:space="preserve"> </w:t>
      </w:r>
      <w:r>
        <w:rPr>
          <w:iCs/>
          <w:i/>
        </w:rPr>
        <w:t xml:space="preserve">nu</w:t>
      </w:r>
      <w:r>
        <w:t xml:space="preserve"> </w:t>
      </w:r>
      <w:r>
        <w:t xml:space="preserve">means quickly, swiftly. Here, since</w:t>
      </w:r>
      <w:r>
        <w:t xml:space="preserve"> </w:t>
      </w:r>
      <w:r>
        <w:rPr>
          <w:iCs/>
          <w:i/>
        </w:rPr>
        <w:t xml:space="preserve">nu</w:t>
      </w:r>
      <w:r>
        <w:t xml:space="preserve"> </w:t>
      </w:r>
      <w:r>
        <w:t xml:space="preserve">is read twice, it means very quickly, without the least delay. To suit the metre the first</w:t>
      </w:r>
      <w:r>
        <w:t xml:space="preserve"> </w:t>
      </w:r>
      <w:r>
        <w:rPr>
          <w:iCs/>
          <w:i/>
        </w:rPr>
        <w:t xml:space="preserve">nu</w:t>
      </w:r>
      <w:r>
        <w:t xml:space="preserve"> </w:t>
      </w:r>
      <w:r>
        <w:t xml:space="preserve">is long. Besides this, Yāska gives some more senses for the word</w:t>
      </w:r>
      <w:r>
        <w:t xml:space="preserve"> </w:t>
      </w:r>
      <w:r>
        <w:rPr>
          <w:iCs/>
          <w:i/>
        </w:rPr>
        <w:t xml:space="preserve">nu</w:t>
      </w:r>
      <w:r>
        <w:t xml:space="preserve">:</w:t>
      </w:r>
    </w:p>
    <w:p>
      <w:pPr>
        <w:pStyle w:val="BlockText"/>
      </w:pPr>
      <w:r>
        <w:t xml:space="preserve">नु इत्येषोऽनेककर्मा ।</w:t>
      </w:r>
      <w:r>
        <w:t xml:space="preserve"> </w:t>
      </w:r>
      <w:r>
        <w:t xml:space="preserve">इदं नु करिष्यतीति हेत्वपदेशे ।</w:t>
      </w:r>
      <w:r>
        <w:t xml:space="preserve"> </w:t>
      </w:r>
      <w:r>
        <w:t xml:space="preserve">अथाप्युपमार्थे भवति ॥ (नि. १-४)</w:t>
      </w:r>
    </w:p>
    <w:p>
      <w:pPr>
        <w:pStyle w:val="BlockText"/>
      </w:pPr>
      <w:r>
        <w:rPr>
          <w:iCs/>
          <w:i/>
        </w:rPr>
        <w:t xml:space="preserve">nu ityeṣo ’nekakarmā |</w:t>
      </w:r>
      <w:r>
        <w:t xml:space="preserve"> </w:t>
      </w:r>
      <w:r>
        <w:rPr>
          <w:iCs/>
          <w:i/>
        </w:rPr>
        <w:t xml:space="preserve">idaṃ nu kariṣyatīti hetvapadeśe |</w:t>
      </w:r>
      <w:r>
        <w:t xml:space="preserve"> </w:t>
      </w:r>
      <w:r>
        <w:rPr>
          <w:iCs/>
          <w:i/>
        </w:rPr>
        <w:t xml:space="preserve">athāpyupamārthe bhavati || (ni. 1-4)</w:t>
      </w:r>
    </w:p>
    <w:p>
      <w:pPr>
        <w:pStyle w:val="FirstParagraph"/>
      </w:pPr>
      <w:r>
        <w:t xml:space="preserve">(</w:t>
      </w:r>
      <w:r>
        <w:t xml:space="preserve">“</w:t>
      </w:r>
      <w:r>
        <w:rPr>
          <w:iCs/>
          <w:i/>
        </w:rPr>
        <w:t xml:space="preserve">Nu</w:t>
      </w:r>
      <w:r>
        <w:t xml:space="preserve"> </w:t>
      </w:r>
      <w:r>
        <w:t xml:space="preserve">has many uses: in</w:t>
      </w:r>
      <w:r>
        <w:t xml:space="preserve"> </w:t>
      </w:r>
      <w:r>
        <w:t xml:space="preserve">‘</w:t>
      </w:r>
      <w:r>
        <w:t xml:space="preserve">he will now do this</w:t>
      </w:r>
      <w:r>
        <w:t xml:space="preserve">’</w:t>
      </w:r>
      <w:r>
        <w:t xml:space="preserve"> </w:t>
      </w:r>
      <w:r>
        <w:t xml:space="preserve">it states a cause; it also has the sense of comparison</w:t>
      </w:r>
      <w:r>
        <w:t xml:space="preserve">”</w:t>
      </w:r>
      <w:r>
        <w:t xml:space="preserve">: mine and tentative.) The word</w:t>
      </w:r>
      <w:r>
        <w:t xml:space="preserve"> </w:t>
      </w:r>
      <w:r>
        <w:rPr>
          <w:iCs/>
          <w:i/>
        </w:rPr>
        <w:t xml:space="preserve">nu</w:t>
      </w:r>
      <w:r>
        <w:t xml:space="preserve"> </w:t>
      </w:r>
      <w:r>
        <w:t xml:space="preserve">denotes many actions and a cause, and is used in the sense of comparison too. For example,</w:t>
      </w:r>
    </w:p>
    <w:p>
      <w:pPr>
        <w:pStyle w:val="BlockText"/>
      </w:pPr>
      <w:r>
        <w:t xml:space="preserve">वृक्षस्य नु ते (ऋ. सं. ६-२४-३)</w:t>
      </w:r>
    </w:p>
    <w:p>
      <w:pPr>
        <w:pStyle w:val="BlockText"/>
      </w:pPr>
      <w:r>
        <w:rPr>
          <w:iCs/>
          <w:i/>
        </w:rPr>
        <w:t xml:space="preserve">vṛkṣasya nu te (ṛ. saṃ. 6-24-3)</w:t>
      </w:r>
    </w:p>
    <w:p>
      <w:pPr>
        <w:pStyle w:val="FirstParagraph"/>
      </w:pPr>
      <w:r>
        <w:t xml:space="preserve">means</w:t>
      </w:r>
    </w:p>
    <w:p>
      <w:pPr>
        <w:pStyle w:val="BlockText"/>
      </w:pPr>
      <w:r>
        <w:t xml:space="preserve">वृक्षस्येव ते</w:t>
      </w:r>
    </w:p>
    <w:p>
      <w:pPr>
        <w:pStyle w:val="BlockText"/>
      </w:pPr>
      <w:r>
        <w:rPr>
          <w:iCs/>
          <w:i/>
        </w:rPr>
        <w:t xml:space="preserve">vṛkṣasyeva te</w:t>
      </w:r>
    </w:p>
    <w:p>
      <w:pPr>
        <w:pStyle w:val="FirstParagraph"/>
      </w:pPr>
      <w:r>
        <w:t xml:space="preserve">(</w:t>
      </w:r>
      <w:r>
        <w:t xml:space="preserve">“</w:t>
      </w:r>
      <w:r>
        <w:t xml:space="preserve">Like a tree’s, your …</w:t>
      </w:r>
      <w:r>
        <w:t xml:space="preserve">”</w:t>
      </w:r>
      <w:r>
        <w:t xml:space="preserve">: mine and tentative.)</w:t>
      </w:r>
    </w:p>
    <w:bookmarkEnd w:id="814"/>
    <w:bookmarkStart w:id="815" w:name="X77def0ecf228dc478b258df4d59f9e74134fa22"/>
    <w:p>
      <w:pPr>
        <w:pStyle w:val="Heading3"/>
      </w:pPr>
      <w:r>
        <w:t xml:space="preserve">Page 742 — Rik 8: Special Topics (end) and grammar</w:t>
      </w:r>
    </w:p>
    <w:p>
      <w:pPr>
        <w:pStyle w:val="FirstParagraph"/>
      </w:pPr>
      <w:r>
        <w:rPr>
          <w:bCs/>
          <w:b/>
        </w:rPr>
        <w:t xml:space="preserve">Siṣāsantīṣu dhīṣu</w:t>
      </w:r>
      <w:r>
        <w:t xml:space="preserve">: our minds, or hearts, longing to serve you, expecting it. Here the locative is used in the sense of the nominative. Such usage is especially common in modern Sanskrit too.</w:t>
      </w:r>
    </w:p>
    <w:p>
      <w:pPr>
        <w:pStyle w:val="BodyText"/>
      </w:pPr>
      <w:r>
        <w:rPr>
          <w:bCs/>
          <w:b/>
        </w:rPr>
        <w:t xml:space="preserve">॥ Vyākaraṇa-prakriyā ॥</w:t>
      </w:r>
      <w:r>
        <w:t xml:space="preserve"> </w:t>
      </w:r>
      <w:r>
        <w:rPr>
          <w:iCs/>
          <w:i/>
        </w:rPr>
        <w:t xml:space="preserve">(grammar pages 742–743, noted briefly)</w:t>
      </w:r>
    </w:p>
    <w:p>
      <w:pPr>
        <w:pStyle w:val="BodyText"/>
      </w:pPr>
      <w:r>
        <w:rPr>
          <w:bCs/>
          <w:b/>
        </w:rPr>
        <w:t xml:space="preserve">इन्द्रावरुणा (</w:t>
      </w:r>
      <w:r>
        <w:rPr>
          <w:iCs/>
          <w:i/>
          <w:bCs/>
          <w:b/>
        </w:rPr>
        <w:t xml:space="preserve">indrāvaruṇā</w:t>
      </w:r>
      <w:r>
        <w:rPr>
          <w:bCs/>
          <w:b/>
        </w:rPr>
        <w:t xml:space="preserve">)</w:t>
      </w:r>
      <w:r>
        <w:t xml:space="preserve">: explained in the previous mantra.</w:t>
      </w:r>
    </w:p>
    <w:p>
      <w:pPr>
        <w:pStyle w:val="BodyText"/>
      </w:pPr>
      <w:r>
        <w:rPr>
          <w:bCs/>
          <w:b/>
        </w:rPr>
        <w:t xml:space="preserve">नू नु (</w:t>
      </w:r>
      <w:r>
        <w:rPr>
          <w:iCs/>
          <w:i/>
          <w:bCs/>
          <w:b/>
        </w:rPr>
        <w:t xml:space="preserve">nū nu</w:t>
      </w:r>
      <w:r>
        <w:rPr>
          <w:bCs/>
          <w:b/>
        </w:rPr>
        <w:t xml:space="preserve">)</w:t>
      </w:r>
      <w:r>
        <w:t xml:space="preserve">: by</w:t>
      </w:r>
      <w:r>
        <w:t xml:space="preserve"> </w:t>
      </w:r>
      <w:r>
        <w:t xml:space="preserve">“</w:t>
      </w:r>
      <w:r>
        <w:t xml:space="preserve">ṛci tunughamakṣutaṅkutroruṣyāṇām</w:t>
      </w:r>
      <w:r>
        <w:t xml:space="preserve">”</w:t>
      </w:r>
      <w:r>
        <w:t xml:space="preserve"> </w:t>
      </w:r>
      <w:r>
        <w:t xml:space="preserve">(Pā. sū. 6-3-133) the first</w:t>
      </w:r>
      <w:r>
        <w:t xml:space="preserve"> </w:t>
      </w:r>
      <w:r>
        <w:rPr>
          <w:iCs/>
          <w:i/>
        </w:rPr>
        <w:t xml:space="preserve">nu</w:t>
      </w:r>
      <w:r>
        <w:t xml:space="preserve"> </w:t>
      </w:r>
      <w:r>
        <w:t xml:space="preserve">is lengthened.</w:t>
      </w:r>
    </w:p>
    <w:p>
      <w:pPr>
        <w:pStyle w:val="BodyText"/>
      </w:pPr>
      <w:r>
        <w:rPr>
          <w:bCs/>
          <w:b/>
        </w:rPr>
        <w:t xml:space="preserve">सिषासन्तीषु (</w:t>
      </w:r>
      <w:r>
        <w:rPr>
          <w:iCs/>
          <w:i/>
          <w:bCs/>
          <w:b/>
        </w:rPr>
        <w:t xml:space="preserve">siṣāsantīṣu</w:t>
      </w:r>
      <w:r>
        <w:rPr>
          <w:bCs/>
          <w:b/>
        </w:rPr>
        <w:t xml:space="preserve">)</w:t>
      </w:r>
      <w:r>
        <w:t xml:space="preserve">: the root</w:t>
      </w:r>
      <w:r>
        <w:t xml:space="preserve"> </w:t>
      </w:r>
      <w:r>
        <w:rPr>
          <w:iCs/>
          <w:i/>
        </w:rPr>
        <w:t xml:space="preserve">vana ṣaṇa saṃbhaktau</w:t>
      </w:r>
      <w:r>
        <w:t xml:space="preserve">; by</w:t>
      </w:r>
      <w:r>
        <w:t xml:space="preserve"> </w:t>
      </w:r>
      <w:r>
        <w:rPr>
          <w:iCs/>
          <w:i/>
        </w:rPr>
        <w:t xml:space="preserve">dhātvādeḥ ṣaḥ saḥ</w:t>
      </w:r>
      <w:r>
        <w:t xml:space="preserve"> </w:t>
      </w:r>
      <w:r>
        <w:rPr>
          <w:iCs/>
          <w:i/>
        </w:rPr>
        <w:t xml:space="preserve">s</w:t>
      </w:r>
      <w:r>
        <w:t xml:space="preserve"> </w:t>
      </w:r>
      <w:r>
        <w:t xml:space="preserve">for the</w:t>
      </w:r>
      <w:r>
        <w:t xml:space="preserve"> </w:t>
      </w:r>
      <w:r>
        <w:rPr>
          <w:iCs/>
          <w:i/>
        </w:rPr>
        <w:t xml:space="preserve">ṣ</w:t>
      </w:r>
      <w:r>
        <w:t xml:space="preserve"> </w:t>
      </w:r>
      <w:r>
        <w:t xml:space="preserve">of the root</w:t>
      </w:r>
      <w:r>
        <w:t xml:space="preserve"> </w:t>
      </w:r>
      <w:r>
        <w:rPr>
          <w:iCs/>
          <w:i/>
        </w:rPr>
        <w:t xml:space="preserve">ṣaṇa</w:t>
      </w:r>
      <w:r>
        <w:t xml:space="preserve">, and the</w:t>
      </w:r>
      <w:r>
        <w:t xml:space="preserve"> </w:t>
      </w:r>
      <w:r>
        <w:rPr>
          <w:iCs/>
          <w:i/>
        </w:rPr>
        <w:t xml:space="preserve">ṇ</w:t>
      </w:r>
      <w:r>
        <w:t xml:space="preserve"> </w:t>
      </w:r>
      <w:r>
        <w:t xml:space="preserve">is withdrawn. By</w:t>
      </w:r>
      <w:r>
        <w:t xml:space="preserve"> </w:t>
      </w:r>
      <w:r>
        <w:t xml:space="preserve">“</w:t>
      </w:r>
      <w:r>
        <w:t xml:space="preserve">dhātoḥ karmaṇaḥ samānakartṛkād icchāyāṃ vā</w:t>
      </w:r>
      <w:r>
        <w:t xml:space="preserve">”</w:t>
      </w:r>
      <w:r>
        <w:t xml:space="preserve"> </w:t>
      </w:r>
      <w:r>
        <w:t xml:space="preserve">(Pā. sū. 3-1-7), when</w:t>
      </w:r>
      <w:r>
        <w:t xml:space="preserve"> </w:t>
      </w:r>
      <w:r>
        <w:rPr>
          <w:iCs/>
          <w:i/>
        </w:rPr>
        <w:t xml:space="preserve">sanitum icchati</w:t>
      </w:r>
      <w:r>
        <w:t xml:space="preserve"> </w:t>
      </w:r>
      <w:r>
        <w:t xml:space="preserve">is meant, the suffix</w:t>
      </w:r>
      <w:r>
        <w:t xml:space="preserve"> </w:t>
      </w:r>
      <w:r>
        <w:rPr>
          <w:iCs/>
          <w:i/>
        </w:rPr>
        <w:t xml:space="preserve">san</w:t>
      </w:r>
      <w:r>
        <w:t xml:space="preserve"> </w:t>
      </w:r>
      <w:r>
        <w:t xml:space="preserve">after the root</w:t>
      </w:r>
      <w:r>
        <w:t xml:space="preserve"> </w:t>
      </w:r>
      <w:r>
        <w:rPr>
          <w:iCs/>
          <w:i/>
        </w:rPr>
        <w:t xml:space="preserve">san</w:t>
      </w:r>
      <w:r>
        <w:t xml:space="preserve">:</w:t>
      </w:r>
      <w:r>
        <w:t xml:space="preserve"> </w:t>
      </w:r>
      <w:r>
        <w:rPr>
          <w:iCs/>
          <w:i/>
        </w:rPr>
        <w:t xml:space="preserve">san</w:t>
      </w:r>
      <w:r>
        <w:t xml:space="preserve"> </w:t>
      </w:r>
      <w:r>
        <w:t xml:space="preserve">+</w:t>
      </w:r>
      <w:r>
        <w:t xml:space="preserve"> </w:t>
      </w:r>
      <w:r>
        <w:rPr>
          <w:iCs/>
          <w:i/>
        </w:rPr>
        <w:t xml:space="preserve">sa</w:t>
      </w:r>
      <w:r>
        <w:t xml:space="preserve">. By</w:t>
      </w:r>
      <w:r>
        <w:t xml:space="preserve"> </w:t>
      </w:r>
      <w:r>
        <w:t xml:space="preserve">“</w:t>
      </w:r>
      <w:r>
        <w:t xml:space="preserve">sanyaṅoḥ</w:t>
      </w:r>
      <w:r>
        <w:t xml:space="preserve">”</w:t>
      </w:r>
      <w:r>
        <w:t xml:space="preserve"> </w:t>
      </w:r>
      <w:r>
        <w:t xml:space="preserve">(Pā. sū. 6-1-9) doubling:</w:t>
      </w:r>
      <w:r>
        <w:t xml:space="preserve"> </w:t>
      </w:r>
      <w:r>
        <w:rPr>
          <w:iCs/>
          <w:i/>
        </w:rPr>
        <w:t xml:space="preserve">san san</w:t>
      </w:r>
      <w:r>
        <w:t xml:space="preserve"> </w:t>
      </w:r>
      <w:r>
        <w:t xml:space="preserve">+</w:t>
      </w:r>
      <w:r>
        <w:t xml:space="preserve"> </w:t>
      </w:r>
      <w:r>
        <w:rPr>
          <w:iCs/>
          <w:i/>
        </w:rPr>
        <w:t xml:space="preserve">sa</w:t>
      </w:r>
      <w:r>
        <w:t xml:space="preserve">; by</w:t>
      </w:r>
      <w:r>
        <w:t xml:space="preserve"> </w:t>
      </w:r>
      <w:r>
        <w:t xml:space="preserve">“</w:t>
      </w:r>
      <w:r>
        <w:t xml:space="preserve">halādiḥ śeṣaḥ</w:t>
      </w:r>
      <w:r>
        <w:t xml:space="preserve">”</w:t>
      </w:r>
      <w:r>
        <w:t xml:space="preserve"> </w:t>
      </w:r>
      <w:r>
        <w:t xml:space="preserve">(Pā. sū. 7-4-60) the</w:t>
      </w:r>
      <w:r>
        <w:t xml:space="preserve"> </w:t>
      </w:r>
      <w:r>
        <w:rPr>
          <w:iCs/>
          <w:i/>
        </w:rPr>
        <w:t xml:space="preserve">n</w:t>
      </w:r>
      <w:r>
        <w:t xml:space="preserve"> </w:t>
      </w:r>
      <w:r>
        <w:t xml:space="preserve">of the first</w:t>
      </w:r>
      <w:r>
        <w:t xml:space="preserve"> </w:t>
      </w:r>
      <w:r>
        <w:rPr>
          <w:iCs/>
          <w:i/>
        </w:rPr>
        <w:t xml:space="preserve">san</w:t>
      </w:r>
      <w:r>
        <w:t xml:space="preserve">, of the</w:t>
      </w:r>
      <w:r>
        <w:t xml:space="preserve"> </w:t>
      </w:r>
      <w:r>
        <w:rPr>
          <w:iCs/>
          <w:i/>
        </w:rPr>
        <w:t xml:space="preserve">abhyāsa</w:t>
      </w:r>
      <w:r>
        <w:t xml:space="preserve">, is withdrawn; by</w:t>
      </w:r>
      <w:r>
        <w:t xml:space="preserve"> </w:t>
      </w:r>
      <w:r>
        <w:t xml:space="preserve">“</w:t>
      </w:r>
      <w:r>
        <w:t xml:space="preserve">sanyataḥ</w:t>
      </w:r>
      <w:r>
        <w:t xml:space="preserve">”</w:t>
      </w:r>
      <w:r>
        <w:t xml:space="preserve"> </w:t>
      </w:r>
      <w:r>
        <w:t xml:space="preserve">(Pā. sū. 7-4-79)</w:t>
      </w:r>
      <w:r>
        <w:t xml:space="preserve"> </w:t>
      </w:r>
      <w:r>
        <w:rPr>
          <w:iCs/>
          <w:i/>
        </w:rPr>
        <w:t xml:space="preserve">i</w:t>
      </w:r>
      <w:r>
        <w:t xml:space="preserve"> </w:t>
      </w:r>
      <w:r>
        <w:t xml:space="preserve">for the</w:t>
      </w:r>
      <w:r>
        <w:t xml:space="preserve"> </w:t>
      </w:r>
      <w:r>
        <w:rPr>
          <w:iCs/>
          <w:i/>
        </w:rPr>
        <w:t xml:space="preserve">a</w:t>
      </w:r>
      <w:r>
        <w:t xml:space="preserve"> </w:t>
      </w:r>
      <w:r>
        <w:t xml:space="preserve">of the</w:t>
      </w:r>
      <w:r>
        <w:t xml:space="preserve"> </w:t>
      </w:r>
      <w:r>
        <w:rPr>
          <w:iCs/>
          <w:i/>
        </w:rPr>
        <w:t xml:space="preserve">abhyāsa</w:t>
      </w:r>
      <w:r>
        <w:t xml:space="preserve">:</w:t>
      </w:r>
      <w:r>
        <w:t xml:space="preserve"> </w:t>
      </w:r>
      <w:r>
        <w:rPr>
          <w:iCs/>
          <w:i/>
        </w:rPr>
        <w:t xml:space="preserve">sisan</w:t>
      </w:r>
      <w:r>
        <w:t xml:space="preserve"> </w:t>
      </w:r>
      <w:r>
        <w:t xml:space="preserve">+</w:t>
      </w:r>
      <w:r>
        <w:t xml:space="preserve"> </w:t>
      </w:r>
      <w:r>
        <w:rPr>
          <w:iCs/>
          <w:i/>
        </w:rPr>
        <w:t xml:space="preserve">sa</w:t>
      </w:r>
      <w:r>
        <w:t xml:space="preserve">. The suffix</w:t>
      </w:r>
      <w:r>
        <w:t xml:space="preserve"> </w:t>
      </w:r>
      <w:r>
        <w:rPr>
          <w:iCs/>
          <w:i/>
        </w:rPr>
        <w:t xml:space="preserve">san</w:t>
      </w:r>
      <w:r>
        <w:t xml:space="preserve"> </w:t>
      </w:r>
      <w:r>
        <w:t xml:space="preserve">is</w:t>
      </w:r>
      <w:r>
        <w:t xml:space="preserve"> </w:t>
      </w:r>
      <w:r>
        <w:rPr>
          <w:iCs/>
          <w:i/>
        </w:rPr>
        <w:t xml:space="preserve">ārdhadhātuka</w:t>
      </w:r>
      <w:r>
        <w:t xml:space="preserve">, so the augment</w:t>
      </w:r>
      <w:r>
        <w:t xml:space="preserve"> </w:t>
      </w:r>
      <w:r>
        <w:rPr>
          <w:iCs/>
          <w:i/>
        </w:rPr>
        <w:t xml:space="preserve">iṭ</w:t>
      </w:r>
      <w:r>
        <w:t xml:space="preserve"> </w:t>
      </w:r>
      <w:r>
        <w:t xml:space="preserve">is due by</w:t>
      </w:r>
      <w:r>
        <w:t xml:space="preserve"> </w:t>
      </w:r>
      <w:r>
        <w:t xml:space="preserve">“</w:t>
      </w:r>
      <w:r>
        <w:t xml:space="preserve">ārdhadhātukasyeḍ valādeḥ</w:t>
      </w:r>
      <w:r>
        <w:t xml:space="preserve">”</w:t>
      </w:r>
      <w:r>
        <w:t xml:space="preserve"> </w:t>
      </w:r>
      <w:r>
        <w:t xml:space="preserve">(Pā. sū.</w:t>
      </w:r>
      <w:r>
        <w:t xml:space="preserve"> </w:t>
      </w:r>
      <w:r>
        <w:t xml:space="preserve">“</w:t>
      </w:r>
      <w:r>
        <w:t xml:space="preserve">3-2-34</w:t>
      </w:r>
      <w:r>
        <w:t xml:space="preserve">”</w:t>
      </w:r>
      <w:r>
        <w:t xml:space="preserve"> </w:t>
      </w:r>
      <w:r>
        <w:t xml:space="preserve">[as printed, for 7-2-35]). But by</w:t>
      </w:r>
      <w:r>
        <w:t xml:space="preserve"> </w:t>
      </w:r>
      <w:r>
        <w:t xml:space="preserve">“</w:t>
      </w:r>
      <w:r>
        <w:t xml:space="preserve">sanīvantardhabhrasjadambhuśrisvṛyūrṇubharajñapisanām</w:t>
      </w:r>
      <w:r>
        <w:t xml:space="preserve">”</w:t>
      </w:r>
      <w:r>
        <w:t xml:space="preserve"> </w:t>
      </w:r>
      <w:r>
        <w:t xml:space="preserve">(Pā. sū. 7-2-49), for the</w:t>
      </w:r>
      <w:r>
        <w:t xml:space="preserve"> </w:t>
      </w:r>
      <w:r>
        <w:rPr>
          <w:iCs/>
          <w:i/>
        </w:rPr>
        <w:t xml:space="preserve">san</w:t>
      </w:r>
      <w:r>
        <w:t xml:space="preserve"> </w:t>
      </w:r>
      <w:r>
        <w:t xml:space="preserve">after the roots ending in</w:t>
      </w:r>
      <w:r>
        <w:t xml:space="preserve"> </w:t>
      </w:r>
      <w:r>
        <w:rPr>
          <w:iCs/>
          <w:i/>
        </w:rPr>
        <w:t xml:space="preserve">iv</w:t>
      </w:r>
      <w:r>
        <w:t xml:space="preserve">, and</w:t>
      </w:r>
      <w:r>
        <w:t xml:space="preserve"> </w:t>
      </w:r>
      <w:r>
        <w:rPr>
          <w:iCs/>
          <w:i/>
        </w:rPr>
        <w:t xml:space="preserve">ṛdh</w:t>
      </w:r>
      <w:r>
        <w:t xml:space="preserve">,</w:t>
      </w:r>
      <w:r>
        <w:t xml:space="preserve"> </w:t>
      </w:r>
      <w:r>
        <w:rPr>
          <w:iCs/>
          <w:i/>
        </w:rPr>
        <w:t xml:space="preserve">bhrasj</w:t>
      </w:r>
      <w:r>
        <w:t xml:space="preserve">,</w:t>
      </w:r>
      <w:r>
        <w:t xml:space="preserve"> </w:t>
      </w:r>
      <w:r>
        <w:rPr>
          <w:iCs/>
          <w:i/>
        </w:rPr>
        <w:t xml:space="preserve">dambh</w:t>
      </w:r>
      <w:r>
        <w:t xml:space="preserve">,</w:t>
      </w:r>
      <w:r>
        <w:t xml:space="preserve"> </w:t>
      </w:r>
      <w:r>
        <w:rPr>
          <w:iCs/>
          <w:i/>
        </w:rPr>
        <w:t xml:space="preserve">śri</w:t>
      </w:r>
      <w:r>
        <w:t xml:space="preserve">,</w:t>
      </w:r>
      <w:r>
        <w:t xml:space="preserve"> </w:t>
      </w:r>
      <w:r>
        <w:rPr>
          <w:iCs/>
          <w:i/>
        </w:rPr>
        <w:t xml:space="preserve">svṛ</w:t>
      </w:r>
      <w:r>
        <w:t xml:space="preserve">,</w:t>
      </w:r>
      <w:r>
        <w:t xml:space="preserve"> </w:t>
      </w:r>
      <w:r>
        <w:rPr>
          <w:iCs/>
          <w:i/>
        </w:rPr>
        <w:t xml:space="preserve">yu</w:t>
      </w:r>
      <w:r>
        <w:t xml:space="preserve">,</w:t>
      </w:r>
      <w:r>
        <w:t xml:space="preserve"> </w:t>
      </w:r>
      <w:r>
        <w:rPr>
          <w:iCs/>
          <w:i/>
        </w:rPr>
        <w:t xml:space="preserve">ūrṇu</w:t>
      </w:r>
      <w:r>
        <w:t xml:space="preserve">,</w:t>
      </w:r>
      <w:r>
        <w:t xml:space="preserve"> </w:t>
      </w:r>
      <w:r>
        <w:rPr>
          <w:iCs/>
          <w:i/>
        </w:rPr>
        <w:t xml:space="preserve">bhara</w:t>
      </w:r>
      <w:r>
        <w:t xml:space="preserve">,</w:t>
      </w:r>
      <w:r>
        <w:t xml:space="preserve"> </w:t>
      </w:r>
      <w:r>
        <w:rPr>
          <w:iCs/>
          <w:i/>
        </w:rPr>
        <w:t xml:space="preserve">jñapi</w:t>
      </w:r>
      <w:r>
        <w:t xml:space="preserve"> </w:t>
      </w:r>
      <w:r>
        <w:t xml:space="preserve">and</w:t>
      </w:r>
      <w:r>
        <w:t xml:space="preserve"> </w:t>
      </w:r>
      <w:r>
        <w:rPr>
          <w:iCs/>
          <w:i/>
        </w:rPr>
        <w:t xml:space="preserve">san</w:t>
      </w:r>
      <w:r>
        <w:t xml:space="preserve">, the augment</w:t>
      </w:r>
      <w:r>
        <w:t xml:space="preserve"> </w:t>
      </w:r>
      <w:r>
        <w:rPr>
          <w:iCs/>
          <w:i/>
        </w:rPr>
        <w:t xml:space="preserve">iṭ</w:t>
      </w:r>
      <w:r>
        <w:t xml:space="preserve"> </w:t>
      </w:r>
      <w:r>
        <w:t xml:space="preserve">comes optionally; so for the</w:t>
      </w:r>
      <w:r>
        <w:t xml:space="preserve"> </w:t>
      </w:r>
      <w:r>
        <w:rPr>
          <w:iCs/>
          <w:i/>
        </w:rPr>
        <w:t xml:space="preserve">san</w:t>
      </w:r>
      <w:r>
        <w:t xml:space="preserve"> </w:t>
      </w:r>
      <w:r>
        <w:t xml:space="preserve">after the root</w:t>
      </w:r>
      <w:r>
        <w:t xml:space="preserve"> </w:t>
      </w:r>
      <w:r>
        <w:rPr>
          <w:iCs/>
          <w:i/>
        </w:rPr>
        <w:t xml:space="preserve">san</w:t>
      </w:r>
      <w:r>
        <w:t xml:space="preserve">,</w:t>
      </w:r>
      <w:r>
        <w:t xml:space="preserve"> </w:t>
      </w:r>
      <w:r>
        <w:rPr>
          <w:iCs/>
          <w:i/>
        </w:rPr>
        <w:t xml:space="preserve">iṭ</w:t>
      </w:r>
      <w:r>
        <w:t xml:space="preserve"> </w:t>
      </w:r>
      <w:r>
        <w:t xml:space="preserve">is enjoined optionally, and in one alternative it does not come. By</w:t>
      </w:r>
      <w:r>
        <w:t xml:space="preserve"> </w:t>
      </w:r>
      <w:r>
        <w:t xml:space="preserve">“</w:t>
      </w:r>
      <w:r>
        <w:t xml:space="preserve">janasanakhanāṃ sañjhaloḥ</w:t>
      </w:r>
      <w:r>
        <w:t xml:space="preserve">”</w:t>
      </w:r>
      <w:r>
        <w:t xml:space="preserve"> </w:t>
      </w:r>
      <w:r>
        <w:t xml:space="preserve">(Pā. sū. 6-4-42), before a</w:t>
      </w:r>
      <w:r>
        <w:t xml:space="preserve"> </w:t>
      </w:r>
      <w:r>
        <w:rPr>
          <w:iCs/>
          <w:i/>
        </w:rPr>
        <w:t xml:space="preserve">jhal</w:t>
      </w:r>
      <w:r>
        <w:t xml:space="preserve">-initial</w:t>
      </w:r>
      <w:r>
        <w:t xml:space="preserve"> </w:t>
      </w:r>
      <w:r>
        <w:rPr>
          <w:iCs/>
          <w:i/>
        </w:rPr>
        <w:t xml:space="preserve">san</w:t>
      </w:r>
      <w:r>
        <w:t xml:space="preserve">, and before a</w:t>
      </w:r>
      <w:r>
        <w:t xml:space="preserve"> </w:t>
      </w:r>
      <w:r>
        <w:rPr>
          <w:iCs/>
          <w:i/>
        </w:rPr>
        <w:t xml:space="preserve">jhal</w:t>
      </w:r>
      <w:r>
        <w:t xml:space="preserve">-initial suffix that is</w:t>
      </w:r>
      <w:r>
        <w:t xml:space="preserve"> </w:t>
      </w:r>
      <w:r>
        <w:rPr>
          <w:iCs/>
          <w:i/>
        </w:rPr>
        <w:t xml:space="preserve">kit</w:t>
      </w:r>
      <w:r>
        <w:t xml:space="preserve"> </w:t>
      </w:r>
      <w:r>
        <w:t xml:space="preserve">or</w:t>
      </w:r>
      <w:r>
        <w:t xml:space="preserve"> </w:t>
      </w:r>
      <w:r>
        <w:rPr>
          <w:iCs/>
          <w:i/>
        </w:rPr>
        <w:t xml:space="preserve">ṅit</w:t>
      </w:r>
      <w:r>
        <w:t xml:space="preserve">, the last letter of the three roots</w:t>
      </w:r>
      <w:r>
        <w:t xml:space="preserve"> </w:t>
      </w:r>
      <w:r>
        <w:rPr>
          <w:iCs/>
          <w:i/>
        </w:rPr>
        <w:t xml:space="preserve">jan</w:t>
      </w:r>
      <w:r>
        <w:t xml:space="preserve">,</w:t>
      </w:r>
      <w:r>
        <w:t xml:space="preserve"> </w:t>
      </w:r>
      <w:r>
        <w:rPr>
          <w:iCs/>
          <w:i/>
        </w:rPr>
        <w:t xml:space="preserve">san</w:t>
      </w:r>
      <w:r>
        <w:t xml:space="preserve">,</w:t>
      </w:r>
      <w:r>
        <w:t xml:space="preserve"> </w:t>
      </w:r>
      <w:r>
        <w:rPr>
          <w:iCs/>
          <w:i/>
        </w:rPr>
        <w:t xml:space="preserve">khan</w:t>
      </w:r>
      <w:r>
        <w:t xml:space="preserve"> </w:t>
      </w:r>
      <w:r>
        <w:t xml:space="preserve">takes</w:t>
      </w:r>
      <w:r>
        <w:t xml:space="preserve"> </w:t>
      </w:r>
      <w:r>
        <w:rPr>
          <w:iCs/>
          <w:i/>
        </w:rPr>
        <w:t xml:space="preserve">ā</w:t>
      </w:r>
      <w:r>
        <w:t xml:space="preserve">:</w:t>
      </w:r>
      <w:r>
        <w:t xml:space="preserve"> </w:t>
      </w:r>
      <w:r>
        <w:rPr>
          <w:iCs/>
          <w:i/>
        </w:rPr>
        <w:t xml:space="preserve">ā</w:t>
      </w:r>
      <w:r>
        <w:t xml:space="preserve"> </w:t>
      </w:r>
      <w:r>
        <w:t xml:space="preserve">for</w:t>
      </w:r>
      <w:r>
        <w:t xml:space="preserve"> </w:t>
      </w:r>
      <w:r>
        <w:rPr>
          <w:iCs/>
          <w:i/>
        </w:rPr>
        <w:t xml:space="preserve">n</w:t>
      </w:r>
      <w:r>
        <w:t xml:space="preserve">; lengthening of like vowels:</w:t>
      </w:r>
      <w:r>
        <w:t xml:space="preserve"> </w:t>
      </w:r>
      <w:r>
        <w:rPr>
          <w:iCs/>
          <w:i/>
        </w:rPr>
        <w:t xml:space="preserve">sisā</w:t>
      </w:r>
      <w:r>
        <w:t xml:space="preserve"> </w:t>
      </w:r>
      <w:r>
        <w:t xml:space="preserve">+</w:t>
      </w:r>
      <w:r>
        <w:t xml:space="preserve"> </w:t>
      </w:r>
      <w:r>
        <w:rPr>
          <w:iCs/>
          <w:i/>
        </w:rPr>
        <w:t xml:space="preserve">sa</w:t>
      </w:r>
      <w:r>
        <w:t xml:space="preserve">. By</w:t>
      </w:r>
      <w:r>
        <w:t xml:space="preserve"> </w:t>
      </w:r>
      <w:r>
        <w:t xml:space="preserve">“</w:t>
      </w:r>
      <w:r>
        <w:t xml:space="preserve">ādeśapratyayayoḥ</w:t>
      </w:r>
      <w:r>
        <w:t xml:space="preserve">”</w:t>
      </w:r>
      <w:r>
        <w:t xml:space="preserve"> </w:t>
      </w:r>
      <w:r>
        <w:t xml:space="preserve">(Pā. sū. 8-3-59)</w:t>
      </w:r>
      <w:r>
        <w:t xml:space="preserve"> </w:t>
      </w:r>
      <w:r>
        <w:rPr>
          <w:iCs/>
          <w:i/>
        </w:rPr>
        <w:t xml:space="preserve">ṣ</w:t>
      </w:r>
      <w:r>
        <w:t xml:space="preserve"> </w:t>
      </w:r>
      <w:r>
        <w:t xml:space="preserve">for the second</w:t>
      </w:r>
      <w:r>
        <w:t xml:space="preserve"> </w:t>
      </w:r>
      <w:r>
        <w:rPr>
          <w:iCs/>
          <w:i/>
        </w:rPr>
        <w:t xml:space="preserve">s</w:t>
      </w:r>
      <w:r>
        <w:t xml:space="preserve">:</w:t>
      </w:r>
      <w:r>
        <w:t xml:space="preserve"> </w:t>
      </w:r>
      <w:r>
        <w:rPr>
          <w:iCs/>
          <w:i/>
        </w:rPr>
        <w:t xml:space="preserve">siṣāsa</w:t>
      </w:r>
      <w:r>
        <w:t xml:space="preserve">; it is called</w:t>
      </w:r>
      <w:r>
        <w:t xml:space="preserve"> </w:t>
      </w:r>
      <w:r>
        <w:rPr>
          <w:iCs/>
          <w:i/>
        </w:rPr>
        <w:t xml:space="preserve">dhātu</w:t>
      </w:r>
      <w:r>
        <w:t xml:space="preserve"> </w:t>
      </w:r>
      <w:r>
        <w:t xml:space="preserve">by</w:t>
      </w:r>
      <w:r>
        <w:t xml:space="preserve"> </w:t>
      </w:r>
      <w:r>
        <w:t xml:space="preserve">“</w:t>
      </w:r>
      <w:r>
        <w:t xml:space="preserve">sanādyantā dhātavaḥ</w:t>
      </w:r>
      <w:r>
        <w:t xml:space="preserve">”</w:t>
      </w:r>
      <w:r>
        <w:t xml:space="preserve"> </w:t>
      </w:r>
      <w:r>
        <w:t xml:space="preserve">(Pā. sū. 3-1-32). After it</w:t>
      </w:r>
      <w:r>
        <w:t xml:space="preserve"> </w:t>
      </w:r>
      <w:r>
        <w:rPr>
          <w:iCs/>
          <w:i/>
        </w:rPr>
        <w:t xml:space="preserve">laṭ</w:t>
      </w:r>
      <w:r>
        <w:t xml:space="preserve">; by</w:t>
      </w:r>
      <w:r>
        <w:t xml:space="preserve"> </w:t>
      </w:r>
      <w:r>
        <w:t xml:space="preserve">“</w:t>
      </w:r>
      <w:r>
        <w:t xml:space="preserve">laṭaḥ śatṛśānacāv aprathamāsamānādhikaraṇe</w:t>
      </w:r>
      <w:r>
        <w:t xml:space="preserve">”</w:t>
      </w:r>
      <w:r>
        <w:t xml:space="preserve"> </w:t>
      </w:r>
      <w:r>
        <w:t xml:space="preserve">(Pā. sū. 3-2-124) the suffix</w:t>
      </w:r>
      <w:r>
        <w:t xml:space="preserve"> </w:t>
      </w:r>
      <w:r>
        <w:rPr>
          <w:iCs/>
          <w:i/>
        </w:rPr>
        <w:t xml:space="preserve">śatṛ</w:t>
      </w:r>
      <w:r>
        <w:t xml:space="preserve">;</w:t>
      </w:r>
      <w:r>
        <w:t xml:space="preserve"> </w:t>
      </w:r>
      <w:r>
        <w:rPr>
          <w:iCs/>
          <w:i/>
        </w:rPr>
        <w:t xml:space="preserve">śap</w:t>
      </w:r>
      <w:r>
        <w:t xml:space="preserve"> </w:t>
      </w:r>
      <w:r>
        <w:t xml:space="preserve">by</w:t>
      </w:r>
      <w:r>
        <w:t xml:space="preserve"> </w:t>
      </w:r>
      <w:r>
        <w:rPr>
          <w:iCs/>
          <w:i/>
        </w:rPr>
        <w:t xml:space="preserve">kartari śap</w:t>
      </w:r>
      <w:r>
        <w:t xml:space="preserve">:</w:t>
      </w:r>
      <w:r>
        <w:t xml:space="preserve"> </w:t>
      </w:r>
      <w:r>
        <w:rPr>
          <w:iCs/>
          <w:i/>
        </w:rPr>
        <w:t xml:space="preserve">siṣāsa</w:t>
      </w:r>
      <w:r>
        <w:t xml:space="preserve"> </w:t>
      </w:r>
      <w:r>
        <w:t xml:space="preserve">+</w:t>
      </w:r>
      <w:r>
        <w:t xml:space="preserve"> </w:t>
      </w:r>
      <w:r>
        <w:rPr>
          <w:iCs/>
          <w:i/>
        </w:rPr>
        <w:t xml:space="preserve">a</w:t>
      </w:r>
      <w:r>
        <w:t xml:space="preserve"> </w:t>
      </w:r>
      <w:r>
        <w:t xml:space="preserve">+</w:t>
      </w:r>
      <w:r>
        <w:t xml:space="preserve"> </w:t>
      </w:r>
      <w:r>
        <w:rPr>
          <w:iCs/>
          <w:i/>
        </w:rPr>
        <w:t xml:space="preserve">at</w:t>
      </w:r>
      <w:r>
        <w:t xml:space="preserve">; by</w:t>
      </w:r>
      <w:r>
        <w:t xml:space="preserve"> </w:t>
      </w:r>
      <w:r>
        <w:rPr>
          <w:iCs/>
          <w:i/>
        </w:rPr>
        <w:t xml:space="preserve">ato guṇe</w:t>
      </w:r>
      <w:r>
        <w:t xml:space="preserve"> </w:t>
      </w:r>
      <w:r>
        <w:t xml:space="preserve">the</w:t>
      </w:r>
      <w:r>
        <w:t xml:space="preserve"> </w:t>
      </w:r>
      <w:r>
        <w:rPr>
          <w:iCs/>
          <w:i/>
        </w:rPr>
        <w:t xml:space="preserve">pararūpa</w:t>
      </w:r>
      <w:r>
        <w:t xml:space="preserve"> </w:t>
      </w:r>
      <w:r>
        <w:t xml:space="preserve">twice:</w:t>
      </w:r>
      <w:r>
        <w:t xml:space="preserve"> </w:t>
      </w:r>
      <w:r>
        <w:rPr>
          <w:iCs/>
          <w:i/>
        </w:rPr>
        <w:t xml:space="preserve">siṣāsat</w:t>
      </w:r>
      <w:r>
        <w:t xml:space="preserve">. By</w:t>
      </w:r>
      <w:r>
        <w:t xml:space="preserve"> </w:t>
      </w:r>
      <w:r>
        <w:t xml:space="preserve">“</w:t>
      </w:r>
      <w:r>
        <w:t xml:space="preserve">ugitaś ca</w:t>
      </w:r>
      <w:r>
        <w:t xml:space="preserve">”</w:t>
      </w:r>
      <w:r>
        <w:t xml:space="preserve"> </w:t>
      </w:r>
      <w:r>
        <w:t xml:space="preserve">(Pā. sū. 4-1-6)</w:t>
      </w:r>
      <w:r>
        <w:t xml:space="preserve"> </w:t>
      </w:r>
      <w:r>
        <w:rPr>
          <w:iCs/>
          <w:i/>
        </w:rPr>
        <w:t xml:space="preserve">ṅīp</w:t>
      </w:r>
      <w:r>
        <w:t xml:space="preserve">:</w:t>
      </w:r>
      <w:r>
        <w:t xml:space="preserve"> </w:t>
      </w:r>
      <w:r>
        <w:rPr>
          <w:iCs/>
          <w:i/>
        </w:rPr>
        <w:t xml:space="preserve">siṣāsat</w:t>
      </w:r>
      <w:r>
        <w:t xml:space="preserve"> </w:t>
      </w:r>
      <w:r>
        <w:t xml:space="preserve">+</w:t>
      </w:r>
      <w:r>
        <w:t xml:space="preserve"> </w:t>
      </w:r>
      <w:r>
        <w:rPr>
          <w:iCs/>
          <w:i/>
        </w:rPr>
        <w:t xml:space="preserve">ī</w:t>
      </w:r>
      <w:r>
        <w:t xml:space="preserve">. By</w:t>
      </w:r>
      <w:r>
        <w:t xml:space="preserve"> </w:t>
      </w:r>
      <w:r>
        <w:t xml:space="preserve">“</w:t>
      </w:r>
      <w:r>
        <w:t xml:space="preserve">śapśyanor nityam</w:t>
      </w:r>
      <w:r>
        <w:t xml:space="preserve">”</w:t>
      </w:r>
      <w:r>
        <w:t xml:space="preserve"> </w:t>
      </w:r>
      <w:r>
        <w:t xml:space="preserve">(Pā. sū. 7-1-81), for an</w:t>
      </w:r>
      <w:r>
        <w:t xml:space="preserve"> </w:t>
      </w:r>
      <w:r>
        <w:rPr>
          <w:iCs/>
          <w:i/>
        </w:rPr>
        <w:t xml:space="preserve">aṅga</w:t>
      </w:r>
      <w:r>
        <w:t xml:space="preserve"> </w:t>
      </w:r>
      <w:r>
        <w:t xml:space="preserve">ending in the</w:t>
      </w:r>
      <w:r>
        <w:t xml:space="preserve"> </w:t>
      </w:r>
      <w:r>
        <w:rPr>
          <w:iCs/>
          <w:i/>
        </w:rPr>
        <w:t xml:space="preserve">śatṛ</w:t>
      </w:r>
      <w:r>
        <w:t xml:space="preserve"> </w:t>
      </w:r>
      <w:r>
        <w:t xml:space="preserve">part that follows the</w:t>
      </w:r>
      <w:r>
        <w:t xml:space="preserve"> </w:t>
      </w:r>
      <w:r>
        <w:rPr>
          <w:iCs/>
          <w:i/>
        </w:rPr>
        <w:t xml:space="preserve">a</w:t>
      </w:r>
      <w:r>
        <w:t xml:space="preserve"> </w:t>
      </w:r>
      <w:r>
        <w:t xml:space="preserve">belonging to</w:t>
      </w:r>
      <w:r>
        <w:t xml:space="preserve"> </w:t>
      </w:r>
      <w:r>
        <w:rPr>
          <w:iCs/>
          <w:i/>
        </w:rPr>
        <w:t xml:space="preserve">śap</w:t>
      </w:r>
      <w:r>
        <w:t xml:space="preserve"> </w:t>
      </w:r>
      <w:r>
        <w:t xml:space="preserve">or</w:t>
      </w:r>
      <w:r>
        <w:t xml:space="preserve"> </w:t>
      </w:r>
      <w:r>
        <w:rPr>
          <w:iCs/>
          <w:i/>
        </w:rPr>
        <w:t xml:space="preserve">śyan</w:t>
      </w:r>
      <w:r>
        <w:t xml:space="preserve">, when</w:t>
      </w:r>
      <w:r>
        <w:t xml:space="preserve"> </w:t>
      </w:r>
      <w:r>
        <w:rPr>
          <w:iCs/>
          <w:i/>
        </w:rPr>
        <w:t xml:space="preserve">śī</w:t>
      </w:r>
      <w:r>
        <w:t xml:space="preserve"> </w:t>
      </w:r>
      <w:r>
        <w:t xml:space="preserve">or a letter called</w:t>
      </w:r>
      <w:r>
        <w:t xml:space="preserve"> </w:t>
      </w:r>
      <w:r>
        <w:rPr>
          <w:iCs/>
          <w:i/>
        </w:rPr>
        <w:t xml:space="preserve">nadī</w:t>
      </w:r>
      <w:r>
        <w:t xml:space="preserve"> </w:t>
      </w:r>
      <w:r>
        <w:t xml:space="preserve">follows, the augment</w:t>
      </w:r>
      <w:r>
        <w:t xml:space="preserve"> </w:t>
      </w:r>
      <w:r>
        <w:rPr>
          <w:iCs/>
          <w:i/>
        </w:rPr>
        <w:t xml:space="preserve">num</w:t>
      </w:r>
      <w:r>
        <w:t xml:space="preserve"> </w:t>
      </w:r>
      <w:r>
        <w:t xml:space="preserve">comes always;</w:t>
      </w:r>
    </w:p>
    <w:bookmarkEnd w:id="815"/>
    <w:bookmarkStart w:id="816" w:name="page-743-upper-rik-8-grammar-end"/>
    <w:p>
      <w:pPr>
        <w:pStyle w:val="Heading3"/>
      </w:pPr>
      <w:r>
        <w:t xml:space="preserve">Page 743 (upper) — Rik 8: grammar (end)</w:t>
      </w:r>
    </w:p>
    <w:p>
      <w:pPr>
        <w:pStyle w:val="FirstParagraph"/>
      </w:pPr>
      <w:r>
        <w:t xml:space="preserve">so the augment</w:t>
      </w:r>
      <w:r>
        <w:t xml:space="preserve"> </w:t>
      </w:r>
      <w:r>
        <w:rPr>
          <w:iCs/>
          <w:i/>
        </w:rPr>
        <w:t xml:space="preserve">num</w:t>
      </w:r>
      <w:r>
        <w:t xml:space="preserve">. By</w:t>
      </w:r>
      <w:r>
        <w:t xml:space="preserve"> </w:t>
      </w:r>
      <w:r>
        <w:t xml:space="preserve">“</w:t>
      </w:r>
      <w:r>
        <w:t xml:space="preserve">mid aco ’ntyāt paraḥ</w:t>
      </w:r>
      <w:r>
        <w:t xml:space="preserve">”</w:t>
      </w:r>
      <w:r>
        <w:t xml:space="preserve"> </w:t>
      </w:r>
      <w:r>
        <w:t xml:space="preserve">(Pā. sū. 1-1-47) it comes after the last vowel:</w:t>
      </w:r>
      <w:r>
        <w:t xml:space="preserve"> </w:t>
      </w:r>
      <w:r>
        <w:rPr>
          <w:iCs/>
          <w:i/>
        </w:rPr>
        <w:t xml:space="preserve">siṣāsantī</w:t>
      </w:r>
      <w:r>
        <w:t xml:space="preserve">.</w:t>
      </w:r>
      <w:r>
        <w:t xml:space="preserve"> </w:t>
      </w:r>
      <w:r>
        <w:rPr>
          <w:iCs/>
          <w:i/>
        </w:rPr>
        <w:t xml:space="preserve">Ṅīp</w:t>
      </w:r>
      <w:r>
        <w:t xml:space="preserve"> </w:t>
      </w:r>
      <w:r>
        <w:t xml:space="preserve">and</w:t>
      </w:r>
      <w:r>
        <w:t xml:space="preserve"> </w:t>
      </w:r>
      <w:r>
        <w:rPr>
          <w:iCs/>
          <w:i/>
        </w:rPr>
        <w:t xml:space="preserve">śap</w:t>
      </w:r>
      <w:r>
        <w:t xml:space="preserve"> </w:t>
      </w:r>
      <w:r>
        <w:t xml:space="preserve">are both</w:t>
      </w:r>
      <w:r>
        <w:t xml:space="preserve"> </w:t>
      </w:r>
      <w:r>
        <w:rPr>
          <w:iCs/>
          <w:i/>
        </w:rPr>
        <w:t xml:space="preserve">pit</w:t>
      </w:r>
      <w:r>
        <w:t xml:space="preserve">, so unaccented by</w:t>
      </w:r>
      <w:r>
        <w:t xml:space="preserve"> </w:t>
      </w:r>
      <w:r>
        <w:rPr>
          <w:iCs/>
          <w:i/>
        </w:rPr>
        <w:t xml:space="preserve">anudāttau suppitau</w:t>
      </w:r>
      <w:r>
        <w:t xml:space="preserve">. The suffix</w:t>
      </w:r>
      <w:r>
        <w:t xml:space="preserve"> </w:t>
      </w:r>
      <w:r>
        <w:rPr>
          <w:iCs/>
          <w:i/>
        </w:rPr>
        <w:t xml:space="preserve">śatṛ</w:t>
      </w:r>
      <w:r>
        <w:t xml:space="preserve"> </w:t>
      </w:r>
      <w:r>
        <w:t xml:space="preserve">stands after the</w:t>
      </w:r>
      <w:r>
        <w:t xml:space="preserve"> </w:t>
      </w:r>
      <w:r>
        <w:rPr>
          <w:iCs/>
          <w:i/>
        </w:rPr>
        <w:t xml:space="preserve">śap</w:t>
      </w:r>
      <w:r>
        <w:t xml:space="preserve">, an</w:t>
      </w:r>
      <w:r>
        <w:t xml:space="preserve"> </w:t>
      </w:r>
      <w:r>
        <w:rPr>
          <w:iCs/>
          <w:i/>
        </w:rPr>
        <w:t xml:space="preserve">adupadeśa</w:t>
      </w:r>
      <w:r>
        <w:t xml:space="preserve">; so it is unaccented by</w:t>
      </w:r>
      <w:r>
        <w:t xml:space="preserve"> </w:t>
      </w:r>
      <w:r>
        <w:t xml:space="preserve">“</w:t>
      </w:r>
      <w:r>
        <w:t xml:space="preserve">tāsyanudātteṅ…</w:t>
      </w:r>
      <w:r>
        <w:t xml:space="preserve">”</w:t>
      </w:r>
      <w:r>
        <w:t xml:space="preserve"> </w:t>
      </w:r>
      <w:r>
        <w:t xml:space="preserve">(Pā. sū. 6-1-186). The suffix</w:t>
      </w:r>
      <w:r>
        <w:t xml:space="preserve"> </w:t>
      </w:r>
      <w:r>
        <w:rPr>
          <w:iCs/>
          <w:i/>
        </w:rPr>
        <w:t xml:space="preserve">san</w:t>
      </w:r>
      <w:r>
        <w:t xml:space="preserve"> </w:t>
      </w:r>
      <w:r>
        <w:t xml:space="preserve">is</w:t>
      </w:r>
      <w:r>
        <w:t xml:space="preserve"> </w:t>
      </w:r>
      <w:r>
        <w:rPr>
          <w:iCs/>
          <w:i/>
        </w:rPr>
        <w:t xml:space="preserve">nit</w:t>
      </w:r>
      <w:r>
        <w:t xml:space="preserve">; so by</w:t>
      </w:r>
      <w:r>
        <w:t xml:space="preserve"> </w:t>
      </w:r>
      <w:r>
        <w:t xml:space="preserve">“</w:t>
      </w:r>
      <w:r>
        <w:t xml:space="preserve">ñnityādir nityam</w:t>
      </w:r>
      <w:r>
        <w:t xml:space="preserve">”</w:t>
      </w:r>
      <w:r>
        <w:t xml:space="preserve"> </w:t>
      </w:r>
      <w:r>
        <w:t xml:space="preserve">(Pā. sū. 6-1-197)</w:t>
      </w:r>
      <w:r>
        <w:t xml:space="preserve"> </w:t>
      </w:r>
      <w:r>
        <w:rPr>
          <w:iCs/>
          <w:i/>
        </w:rPr>
        <w:t xml:space="preserve">siṣāsa</w:t>
      </w:r>
      <w:r>
        <w:t xml:space="preserve"> </w:t>
      </w:r>
      <w:r>
        <w:t xml:space="preserve">is initial udātta, and that accent stays. In the locative plural it becomes</w:t>
      </w:r>
      <w:r>
        <w:t xml:space="preserve"> </w:t>
      </w:r>
      <w:r>
        <w:rPr>
          <w:iCs/>
          <w:i/>
        </w:rPr>
        <w:t xml:space="preserve">siṣāsantīṣu</w:t>
      </w:r>
      <w:r>
        <w:t xml:space="preserve">.</w:t>
      </w:r>
    </w:p>
    <w:p>
      <w:pPr>
        <w:pStyle w:val="BodyText"/>
      </w:pPr>
      <w:r>
        <w:rPr>
          <w:bCs/>
          <w:b/>
        </w:rPr>
        <w:t xml:space="preserve">धीषु (</w:t>
      </w:r>
      <w:r>
        <w:rPr>
          <w:iCs/>
          <w:i/>
          <w:bCs/>
          <w:b/>
        </w:rPr>
        <w:t xml:space="preserve">dhīṣu</w:t>
      </w:r>
      <w:r>
        <w:rPr>
          <w:bCs/>
          <w:b/>
        </w:rPr>
        <w:t xml:space="preserve">)</w:t>
      </w:r>
      <w:r>
        <w:t xml:space="preserve">:</w:t>
      </w:r>
      <w:r>
        <w:t xml:space="preserve"> </w:t>
      </w:r>
      <w:r>
        <w:rPr>
          <w:iCs/>
          <w:i/>
        </w:rPr>
        <w:t xml:space="preserve">dhyai cintāyām</w:t>
      </w:r>
      <w:r>
        <w:t xml:space="preserve">. By</w:t>
      </w:r>
      <w:r>
        <w:t xml:space="preserve"> </w:t>
      </w:r>
      <w:r>
        <w:t xml:space="preserve">“</w:t>
      </w:r>
      <w:r>
        <w:t xml:space="preserve">dhyāyateḥ saṃprasāraṇaṃ ca</w:t>
      </w:r>
      <w:r>
        <w:t xml:space="preserve">”</w:t>
      </w:r>
      <w:r>
        <w:t xml:space="preserve"> </w:t>
      </w:r>
      <w:r>
        <w:t xml:space="preserve">(Pā. sū.</w:t>
      </w:r>
      <w:r>
        <w:t xml:space="preserve"> </w:t>
      </w:r>
      <w:r>
        <w:t xml:space="preserve">“</w:t>
      </w:r>
      <w:r>
        <w:t xml:space="preserve">3-2-178</w:t>
      </w:r>
      <w:r>
        <w:t xml:space="preserve">”</w:t>
      </w:r>
      <w:r>
        <w:t xml:space="preserve"> </w:t>
      </w:r>
      <w:r>
        <w:t xml:space="preserve">[as printed; a vārttika there]) the root</w:t>
      </w:r>
      <w:r>
        <w:t xml:space="preserve"> </w:t>
      </w:r>
      <w:r>
        <w:rPr>
          <w:iCs/>
          <w:i/>
        </w:rPr>
        <w:t xml:space="preserve">dhyai</w:t>
      </w:r>
      <w:r>
        <w:t xml:space="preserve"> </w:t>
      </w:r>
      <w:r>
        <w:t xml:space="preserve">takes</w:t>
      </w:r>
      <w:r>
        <w:t xml:space="preserve"> </w:t>
      </w:r>
      <w:r>
        <w:rPr>
          <w:iCs/>
          <w:i/>
        </w:rPr>
        <w:t xml:space="preserve">saṃprasāraṇa</w:t>
      </w:r>
      <w:r>
        <w:t xml:space="preserve"> </w:t>
      </w:r>
      <w:r>
        <w:t xml:space="preserve">and after it the suffix</w:t>
      </w:r>
      <w:r>
        <w:t xml:space="preserve"> </w:t>
      </w:r>
      <w:r>
        <w:rPr>
          <w:iCs/>
          <w:i/>
        </w:rPr>
        <w:t xml:space="preserve">kvip</w:t>
      </w:r>
      <w:r>
        <w:t xml:space="preserve">; so</w:t>
      </w:r>
      <w:r>
        <w:t xml:space="preserve"> </w:t>
      </w:r>
      <w:r>
        <w:rPr>
          <w:iCs/>
          <w:i/>
        </w:rPr>
        <w:t xml:space="preserve">kvip</w:t>
      </w:r>
      <w:r>
        <w:t xml:space="preserve">, which drops;</w:t>
      </w:r>
      <w:r>
        <w:t xml:space="preserve"> </w:t>
      </w:r>
      <w:r>
        <w:rPr>
          <w:iCs/>
          <w:i/>
        </w:rPr>
        <w:t xml:space="preserve">saṃprasāraṇa</w:t>
      </w:r>
      <w:r>
        <w:t xml:space="preserve">,</w:t>
      </w:r>
      <w:r>
        <w:t xml:space="preserve"> </w:t>
      </w:r>
      <w:r>
        <w:rPr>
          <w:iCs/>
          <w:i/>
        </w:rPr>
        <w:t xml:space="preserve">i</w:t>
      </w:r>
      <w:r>
        <w:t xml:space="preserve"> </w:t>
      </w:r>
      <w:r>
        <w:t xml:space="preserve">for</w:t>
      </w:r>
      <w:r>
        <w:t xml:space="preserve"> </w:t>
      </w:r>
      <w:r>
        <w:rPr>
          <w:iCs/>
          <w:i/>
        </w:rPr>
        <w:t xml:space="preserve">y</w:t>
      </w:r>
      <w:r>
        <w:t xml:space="preserve">; by</w:t>
      </w:r>
      <w:r>
        <w:t xml:space="preserve"> </w:t>
      </w:r>
      <w:r>
        <w:t xml:space="preserve">“</w:t>
      </w:r>
      <w:r>
        <w:t xml:space="preserve">saṃprasāraṇāc ca</w:t>
      </w:r>
      <w:r>
        <w:t xml:space="preserve">”</w:t>
      </w:r>
      <w:r>
        <w:t xml:space="preserve"> </w:t>
      </w:r>
      <w:r>
        <w:t xml:space="preserve">(Pā. sū.</w:t>
      </w:r>
      <w:r>
        <w:t xml:space="preserve"> </w:t>
      </w:r>
      <w:r>
        <w:t xml:space="preserve">“</w:t>
      </w:r>
      <w:r>
        <w:t xml:space="preserve">6-1-100</w:t>
      </w:r>
      <w:r>
        <w:t xml:space="preserve">”</w:t>
      </w:r>
      <w:r>
        <w:t xml:space="preserve"> </w:t>
      </w:r>
      <w:r>
        <w:t xml:space="preserve">[as printed, for 6-1-108]) the</w:t>
      </w:r>
      <w:r>
        <w:t xml:space="preserve"> </w:t>
      </w:r>
      <w:r>
        <w:rPr>
          <w:iCs/>
          <w:i/>
        </w:rPr>
        <w:t xml:space="preserve">pūrvarūpa</w:t>
      </w:r>
      <w:r>
        <w:t xml:space="preserve">:</w:t>
      </w:r>
      <w:r>
        <w:t xml:space="preserve"> </w:t>
      </w:r>
      <w:r>
        <w:rPr>
          <w:iCs/>
          <w:i/>
        </w:rPr>
        <w:t xml:space="preserve">dhi</w:t>
      </w:r>
      <w:r>
        <w:t xml:space="preserve">. By</w:t>
      </w:r>
      <w:r>
        <w:t xml:space="preserve"> </w:t>
      </w:r>
      <w:r>
        <w:t xml:space="preserve">“</w:t>
      </w:r>
      <w:r>
        <w:t xml:space="preserve">halaḥ</w:t>
      </w:r>
      <w:r>
        <w:t xml:space="preserve">”</w:t>
      </w:r>
      <w:r>
        <w:t xml:space="preserve"> </w:t>
      </w:r>
      <w:r>
        <w:t xml:space="preserve">(Pā. sū. 6-4-2) lengthening:</w:t>
      </w:r>
      <w:r>
        <w:t xml:space="preserve"> </w:t>
      </w:r>
      <w:r>
        <w:rPr>
          <w:iCs/>
          <w:i/>
        </w:rPr>
        <w:t xml:space="preserve">dhī</w:t>
      </w:r>
      <w:r>
        <w:t xml:space="preserve">. After it the locative plural</w:t>
      </w:r>
      <w:r>
        <w:t xml:space="preserve"> </w:t>
      </w:r>
      <w:r>
        <w:rPr>
          <w:iCs/>
          <w:i/>
        </w:rPr>
        <w:t xml:space="preserve">sup</w:t>
      </w:r>
      <w:r>
        <w:t xml:space="preserve">:</w:t>
      </w:r>
      <w:r>
        <w:t xml:space="preserve"> </w:t>
      </w:r>
      <w:r>
        <w:rPr>
          <w:iCs/>
          <w:i/>
        </w:rPr>
        <w:t xml:space="preserve">dhī</w:t>
      </w:r>
      <w:r>
        <w:t xml:space="preserve"> </w:t>
      </w:r>
      <w:r>
        <w:t xml:space="preserve">+</w:t>
      </w:r>
      <w:r>
        <w:t xml:space="preserve"> </w:t>
      </w:r>
      <w:r>
        <w:rPr>
          <w:iCs/>
          <w:i/>
        </w:rPr>
        <w:t xml:space="preserve">su</w:t>
      </w:r>
      <w:r>
        <w:t xml:space="preserve">;</w:t>
      </w:r>
      <w:r>
        <w:t xml:space="preserve"> </w:t>
      </w:r>
      <w:r>
        <w:rPr>
          <w:iCs/>
          <w:i/>
        </w:rPr>
        <w:t xml:space="preserve">ṣ</w:t>
      </w:r>
      <w:r>
        <w:t xml:space="preserve"> </w:t>
      </w:r>
      <w:r>
        <w:t xml:space="preserve">by</w:t>
      </w:r>
      <w:r>
        <w:t xml:space="preserve"> </w:t>
      </w:r>
      <w:r>
        <w:rPr>
          <w:iCs/>
          <w:i/>
        </w:rPr>
        <w:t xml:space="preserve">ādeśapratyayayoḥ</w:t>
      </w:r>
      <w:r>
        <w:t xml:space="preserve">; by</w:t>
      </w:r>
      <w:r>
        <w:t xml:space="preserve"> </w:t>
      </w:r>
      <w:r>
        <w:t xml:space="preserve">“</w:t>
      </w:r>
      <w:r>
        <w:t xml:space="preserve">sāv ekācas tṛtīyādir vibhaktiḥ</w:t>
      </w:r>
      <w:r>
        <w:t xml:space="preserve">”</w:t>
      </w:r>
      <w:r>
        <w:t xml:space="preserve"> </w:t>
      </w:r>
      <w:r>
        <w:t xml:space="preserve">(Pā. sū. 6-1-168) the ending is udātta.</w:t>
      </w:r>
    </w:p>
    <w:p>
      <w:pPr>
        <w:pStyle w:val="BodyText"/>
      </w:pPr>
      <w:r>
        <w:rPr>
          <w:bCs/>
          <w:b/>
        </w:rPr>
        <w:t xml:space="preserve">अस्मभ्यम् (</w:t>
      </w:r>
      <w:r>
        <w:rPr>
          <w:iCs/>
          <w:i/>
          <w:bCs/>
          <w:b/>
        </w:rPr>
        <w:t xml:space="preserve">asmabhyam</w:t>
      </w:r>
      <w:r>
        <w:rPr>
          <w:bCs/>
          <w:b/>
        </w:rPr>
        <w:t xml:space="preserve">)</w:t>
      </w:r>
      <w:r>
        <w:t xml:space="preserve">: explained at</w:t>
      </w:r>
      <w:r>
        <w:t xml:space="preserve"> </w:t>
      </w:r>
      <w:r>
        <w:t xml:space="preserve">“</w:t>
      </w:r>
      <w:r>
        <w:t xml:space="preserve">asmabhyam apratiṣkutaḥ</w:t>
      </w:r>
      <w:r>
        <w:t xml:space="preserve">”</w:t>
      </w:r>
      <w:r>
        <w:t xml:space="preserve"> </w:t>
      </w:r>
      <w:r>
        <w:t xml:space="preserve">(Ṛ. saṃ. 1-7-6).</w:t>
      </w:r>
    </w:p>
    <w:p>
      <w:pPr>
        <w:pStyle w:val="BodyText"/>
      </w:pPr>
      <w:r>
        <w:rPr>
          <w:bCs/>
          <w:b/>
        </w:rPr>
        <w:t xml:space="preserve">यच्छतम् (</w:t>
      </w:r>
      <w:r>
        <w:rPr>
          <w:iCs/>
          <w:i/>
          <w:bCs/>
          <w:b/>
        </w:rPr>
        <w:t xml:space="preserve">yacchatam</w:t>
      </w:r>
      <w:r>
        <w:rPr>
          <w:bCs/>
          <w:b/>
        </w:rPr>
        <w:t xml:space="preserve">)</w:t>
      </w:r>
      <w:r>
        <w:t xml:space="preserve">:</w:t>
      </w:r>
      <w:r>
        <w:t xml:space="preserve"> </w:t>
      </w:r>
      <w:r>
        <w:rPr>
          <w:iCs/>
          <w:i/>
        </w:rPr>
        <w:t xml:space="preserve">dāṇ dāne</w:t>
      </w:r>
      <w:r>
        <w:t xml:space="preserve">;</w:t>
      </w:r>
      <w:r>
        <w:t xml:space="preserve"> </w:t>
      </w:r>
      <w:r>
        <w:rPr>
          <w:iCs/>
          <w:i/>
        </w:rPr>
        <w:t xml:space="preserve">loṭ</w:t>
      </w:r>
      <w:r>
        <w:t xml:space="preserve">, 2nd dual</w:t>
      </w:r>
      <w:r>
        <w:t xml:space="preserve"> </w:t>
      </w:r>
      <w:r>
        <w:rPr>
          <w:iCs/>
          <w:i/>
        </w:rPr>
        <w:t xml:space="preserve">thas</w:t>
      </w:r>
      <w:r>
        <w:t xml:space="preserve">; treated as</w:t>
      </w:r>
      <w:r>
        <w:t xml:space="preserve"> </w:t>
      </w:r>
      <w:r>
        <w:rPr>
          <w:iCs/>
          <w:i/>
        </w:rPr>
        <w:t xml:space="preserve">laṅ</w:t>
      </w:r>
      <w:r>
        <w:t xml:space="preserve"> </w:t>
      </w:r>
      <w:r>
        <w:t xml:space="preserve">by</w:t>
      </w:r>
      <w:r>
        <w:t xml:space="preserve"> </w:t>
      </w:r>
      <w:r>
        <w:rPr>
          <w:iCs/>
          <w:i/>
        </w:rPr>
        <w:t xml:space="preserve">loṭo laṅvat</w:t>
      </w:r>
      <w:r>
        <w:t xml:space="preserve">,</w:t>
      </w:r>
      <w:r>
        <w:t xml:space="preserve"> </w:t>
      </w:r>
      <w:r>
        <w:rPr>
          <w:iCs/>
          <w:i/>
        </w:rPr>
        <w:t xml:space="preserve">tam</w:t>
      </w:r>
      <w:r>
        <w:t xml:space="preserve"> </w:t>
      </w:r>
      <w:r>
        <w:t xml:space="preserve">by</w:t>
      </w:r>
      <w:r>
        <w:t xml:space="preserve"> </w:t>
      </w:r>
      <w:r>
        <w:rPr>
          <w:iCs/>
          <w:i/>
        </w:rPr>
        <w:t xml:space="preserve">tasthasthamipām</w:t>
      </w:r>
      <w:r>
        <w:t xml:space="preserve">,</w:t>
      </w:r>
      <w:r>
        <w:t xml:space="preserve"> </w:t>
      </w:r>
      <w:r>
        <w:rPr>
          <w:iCs/>
          <w:i/>
        </w:rPr>
        <w:t xml:space="preserve">śap</w:t>
      </w:r>
      <w:r>
        <w:t xml:space="preserve"> </w:t>
      </w:r>
      <w:r>
        <w:t xml:space="preserve">by</w:t>
      </w:r>
      <w:r>
        <w:t xml:space="preserve"> </w:t>
      </w:r>
      <w:r>
        <w:rPr>
          <w:iCs/>
          <w:i/>
        </w:rPr>
        <w:t xml:space="preserve">kartari śap</w:t>
      </w:r>
      <w:r>
        <w:t xml:space="preserve">; by</w:t>
      </w:r>
      <w:r>
        <w:t xml:space="preserve"> </w:t>
      </w:r>
      <w:r>
        <w:t xml:space="preserve">“</w:t>
      </w:r>
      <w:r>
        <w:t xml:space="preserve">pāghrādhmā…</w:t>
      </w:r>
      <w:r>
        <w:t xml:space="preserve">”</w:t>
      </w:r>
      <w:r>
        <w:t xml:space="preserve"> </w:t>
      </w:r>
      <w:r>
        <w:t xml:space="preserve">(Pā. sū. 7-3-78)</w:t>
      </w:r>
      <w:r>
        <w:t xml:space="preserve"> </w:t>
      </w:r>
      <w:r>
        <w:rPr>
          <w:iCs/>
          <w:i/>
        </w:rPr>
        <w:t xml:space="preserve">yacch</w:t>
      </w:r>
      <w:r>
        <w:t xml:space="preserve"> </w:t>
      </w:r>
      <w:r>
        <w:t xml:space="preserve">for</w:t>
      </w:r>
      <w:r>
        <w:t xml:space="preserve"> </w:t>
      </w:r>
      <w:r>
        <w:rPr>
          <w:iCs/>
          <w:i/>
        </w:rPr>
        <w:t xml:space="preserve">dāṇ</w:t>
      </w:r>
      <w:r>
        <w:t xml:space="preserve">:</w:t>
      </w:r>
      <w:r>
        <w:t xml:space="preserve"> </w:t>
      </w:r>
      <w:r>
        <w:rPr>
          <w:iCs/>
          <w:i/>
        </w:rPr>
        <w:t xml:space="preserve">yacchatam</w:t>
      </w:r>
      <w:r>
        <w:t xml:space="preserve">.</w:t>
      </w:r>
    </w:p>
    <w:p>
      <w:pPr>
        <w:pStyle w:val="BodyText"/>
      </w:pPr>
      <w:r>
        <w:rPr>
          <w:bCs/>
          <w:b/>
        </w:rPr>
        <w:t xml:space="preserve">॥८॥</w:t>
      </w:r>
    </w:p>
    <w:p>
      <w:r>
        <w:pict>
          <v:rect style="width:0;height:1.5pt" o:hralign="center" o:hrstd="t" o:hr="t"/>
        </w:pict>
      </w:r>
    </w:p>
    <w:bookmarkEnd w:id="816"/>
    <w:bookmarkStart w:id="817" w:name="Xaada08797f59bc1d64e5573f8851da64cda2eb9"/>
    <w:p>
      <w:pPr>
        <w:pStyle w:val="Heading3"/>
      </w:pPr>
      <w:r>
        <w:t xml:space="preserve">Page 743 (lower) — Sūkta 17, Rik 9 (last ṛk of the sūkta)</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प्र वा॑मश्नोतु सुष्टुतिरिन्द्रा॑वरुण॒ यां हु॒वे । [accent ?]</w:t>
      </w:r>
      <w:r>
        <w:t xml:space="preserve"> </w:t>
      </w:r>
      <w:r>
        <w:t xml:space="preserve">यामृ॒धा॑थे स॒धस्तु॑तिम् ॥९॥ [accent ?]</w:t>
      </w:r>
    </w:p>
    <w:p>
      <w:pPr>
        <w:pStyle w:val="BlockText"/>
      </w:pPr>
      <w:r>
        <w:rPr>
          <w:iCs/>
          <w:i/>
        </w:rPr>
        <w:t xml:space="preserve">prá vām aśnotu suṣṭutír índrāvaruṇa yā́ṃ huvé |</w:t>
      </w:r>
      <w:r>
        <w:t xml:space="preserve"> </w:t>
      </w:r>
      <w:r>
        <w:t xml:space="preserve">[accent ?]</w:t>
      </w:r>
      <w:r>
        <w:t xml:space="preserve"> </w:t>
      </w:r>
      <w:r>
        <w:rPr>
          <w:iCs/>
          <w:i/>
        </w:rPr>
        <w:t xml:space="preserve">yā́m ṛdhā́the sadhástutim ||9||</w:t>
      </w:r>
      <w:r>
        <w:t xml:space="preserve"> </w:t>
      </w:r>
      <w:r>
        <w:t xml:space="preserve">[accent ?]</w:t>
      </w:r>
    </w:p>
    <w:p>
      <w:pPr>
        <w:pStyle w:val="FirstParagraph"/>
      </w:pPr>
      <w:r>
        <w:rPr>
          <w:iCs/>
          <w:i/>
        </w:rPr>
        <w:t xml:space="preserve">(Read as printed: strokes over वा, द्रा, धा and स्तु; bars under ण, हु, मृ and स. The marks in line 2 are small; their positions are not certain.)</w:t>
      </w:r>
    </w:p>
    <w:p>
      <w:pPr>
        <w:pStyle w:val="BodyText"/>
      </w:pPr>
      <w:r>
        <w:rPr>
          <w:bCs/>
          <w:b/>
        </w:rPr>
        <w:t xml:space="preserve">॥ Pada-pāṭhaḥ ॥</w:t>
      </w:r>
    </w:p>
    <w:p>
      <w:pPr>
        <w:pStyle w:val="BlockText"/>
      </w:pPr>
      <w:r>
        <w:t xml:space="preserve">प्र । वाम् । अश्नोतु । सुऽस्तुतिः । इन्द्रावरुणा । याम् । हुवे ॥</w:t>
      </w:r>
      <w:r>
        <w:t xml:space="preserve"> </w:t>
      </w:r>
      <w:r>
        <w:t xml:space="preserve">याम् । ऋधाथे इति । सधऽस्तुतिम् ॥९॥</w:t>
      </w:r>
    </w:p>
    <w:p>
      <w:pPr>
        <w:pStyle w:val="BlockText"/>
      </w:pPr>
      <w:r>
        <w:rPr>
          <w:iCs/>
          <w:i/>
        </w:rPr>
        <w:t xml:space="preserve">pra | vām | aśnotu | su ’stutiḥ | indrāvaruṇā | yām | huve ||</w:t>
      </w:r>
      <w:r>
        <w:t xml:space="preserve"> </w:t>
      </w:r>
      <w:r>
        <w:rPr>
          <w:iCs/>
          <w:i/>
        </w:rPr>
        <w:t xml:space="preserve">yām | ṛdhāthe iti | sadha ’stutim ||9||</w:t>
      </w:r>
    </w:p>
    <w:bookmarkEnd w:id="817"/>
    <w:bookmarkStart w:id="818" w:name="Xc2c45ce83ce5cb547e5348504af23cf45595019"/>
    <w:p>
      <w:pPr>
        <w:pStyle w:val="Heading3"/>
      </w:pPr>
      <w:r>
        <w:t xml:space="preserve">Page 744 — Rik 9: bhāṣya, word-meanings, overall sense, English, Special Topics</w:t>
      </w:r>
    </w:p>
    <w:p>
      <w:pPr>
        <w:pStyle w:val="FirstParagraph"/>
      </w:pPr>
      <w:r>
        <w:rPr>
          <w:bCs/>
          <w:b/>
        </w:rPr>
        <w:t xml:space="preserve">॥ Sāyaṇa-bhāṣyam ॥</w:t>
      </w:r>
    </w:p>
    <w:p>
      <w:pPr>
        <w:pStyle w:val="BodyText"/>
      </w:pPr>
      <w:r>
        <w:rPr>
          <w:iCs/>
          <w:i/>
        </w:rPr>
        <w:t xml:space="preserve">(॥३३॥ closes Varga 33; ॥४॥ closes the fourth Anuvāka.)</w:t>
      </w:r>
    </w:p>
    <w:p>
      <w:pPr>
        <w:pStyle w:val="BlockText"/>
      </w:pPr>
      <w:r>
        <w:t xml:space="preserve">इन्द्रावरुणा हे इन्द्रावरुणौ यामस्मत्कर्तृकां शोभनस्तुतिं प्रति हुवे युवामुभावाह्वयामि । किंच सधस्तुतिं युवयोरुभयोः साहित्येन क्रियमाणायाः स्तवक्रियाया यां सुष्टुतिं प्रतिलभ्य ऋधाथे युवां वर्धेथे । तादृशी सुष्टुतिः शोभनस्तुतिहेतुभूत ऋक्समूहो वामश्नोतु । युवां व्याप्नोतु ॥ अश्नोतु । अशू व्याप्तौ । लोटो व्यत्ययेन तिप् । स्वादिभ्यः श्नुः । सुष्टुतिः । न विन्धे अस्य सुष्टुतिम् । ऋग्वे. १-७-७ । इत्यत्रोक्तम् । इन्द्रावरुणा । हुवे । उक्ते । अत्र तु यद्वृत्तयोगान्न निघातः । ऋधाथे । ऋधु वृद्धौ । लट् । व्यत्ययेनात्मनेपदम् । मध्यमद्विवचने श्नोर्बहुलं छन्दसीति लुक् । प्रत्ययस्वरेणाकार उदात्तः । यच्छब्दयोगान्न निघातः । सधस्तुतिम् । सह स्तुतिर्यस्यां सुष्टुतौ सा सधस्तुतिः । अत्र सुष्टुतिरित्यन्यपदार्थे स्तुतिशब्दस्य स्तूयतेऽनयेति करणसाधनत्वेन ऋक्परत्वेऽयं स्तुतिशब्दो भावसाधनतया स्तवनक्रियापरः । तस्मिन्भावसाधनत्वेन क्रियापरेऽयं करणसाधनतया ऋक्पर इति समस्यमानपदार्थादन्यः । सहेत्यत्र हकारस्य व्यत्ययेन धकारः । सहशब्द एवमादित्वादन्तोदात्तः । बहुव्रीहित्वेन पूर्वपदप्रकृतिस्वरत्वम् ॥३३॥ ॥४॥</w:t>
      </w:r>
    </w:p>
    <w:p>
      <w:pPr>
        <w:pStyle w:val="BlockText"/>
      </w:pPr>
      <w:r>
        <w:rPr>
          <w:iCs/>
          <w:i/>
        </w:rPr>
        <w:t xml:space="preserve">indrāvaruṇā he indrāvaruṇau yāmasmatkartṛkāṃ śobhanastutiṃ prati huve yuvāmubhāvāhvayāmi | kiṃca sadhastutiṃ yuvayorubhayoḥ sāhityena kriyamāṇāyāḥ stavakriyāyā yāṃ suṣṭutiṃ pratilabhya ṛdhāthe yuvāṃ vardhethe | tādṛśī suṣṭutiḥ śobhanastutihetubhūta ṛksamūho vāmaśnotu | yuvāṃ vyāpnotu || aśnotu | aśū vyāptau | loṭo vyatyayena tip | svādibhyaḥ śnuḥ | suṣṭutiḥ | na vindhe asya suṣṭutim | ṛgve. 1-7-7 | ityatroktam | indrāvaruṇā | huve | ukte | atra tu yadvṛttayogānna nighātaḥ | ṛdhāthe | ṛdhu vṛddhau | laṭ | vyatyayenātmanepadam | madhyamadvivacane śnorbahulaṃ chandasīti luk | pratyayasvareṇākāra udāttaḥ | yacchabdayogānna nighātaḥ | sadhastutim | saha stutiryasyāṃ suṣṭutau sā sadhastutiḥ | atra suṣṭutirityanyapadārthe stutiśabdasya stūyate ’nayeti karaṇasādhanatvena ṛkparatve ’yaṃ stutiśabdo bhāvasādhanatayā stavanakriyāparaḥ | tasminbhāvasādhanatvena kriyāpare ’yaṃ karaṇasādhanatayā ṛkpara iti samasyamānapadārthādanyaḥ | sahetyatra hakārasya vyatyayena dhakāraḥ | sahaśabda evamāditvādantodāttaḥ | bahuvrīhitvena pūrvapadaprakṛtisvaratvam ||33|| ||4||</w:t>
      </w:r>
    </w:p>
    <w:p>
      <w:pPr>
        <w:pStyle w:val="FirstParagraph"/>
      </w:pPr>
      <w:r>
        <w:rPr>
          <w:bCs/>
          <w:b/>
        </w:rPr>
        <w:t xml:space="preserve">Translation:</w:t>
      </w:r>
      <w:r>
        <w:t xml:space="preserve"> </w:t>
      </w:r>
      <w:r>
        <w:t xml:space="preserve">“</w:t>
      </w:r>
      <w:r>
        <w:t xml:space="preserve">O Indra and Varuṇa, I call you both towards the excellent praise that we make. Further, the</w:t>
      </w:r>
      <w:r>
        <w:t xml:space="preserve"> </w:t>
      </w:r>
      <w:r>
        <w:rPr>
          <w:iCs/>
          <w:i/>
        </w:rPr>
        <w:t xml:space="preserve">suṣṭuti</w:t>
      </w:r>
      <w:r>
        <w:t xml:space="preserve">, excellent praise, which is</w:t>
      </w:r>
      <w:r>
        <w:t xml:space="preserve"> </w:t>
      </w:r>
      <w:r>
        <w:rPr>
          <w:iCs/>
          <w:i/>
        </w:rPr>
        <w:t xml:space="preserve">sadhastuti</w:t>
      </w:r>
      <w:r>
        <w:t xml:space="preserve">, an act of praise made of you both together, by obtaining which you</w:t>
      </w:r>
      <w:r>
        <w:t xml:space="preserve"> </w:t>
      </w:r>
      <w:r>
        <w:rPr>
          <w:iCs/>
          <w:i/>
        </w:rPr>
        <w:t xml:space="preserve">ṛdhāthe</w:t>
      </w:r>
      <w:r>
        <w:t xml:space="preserve">, grow: may such</w:t>
      </w:r>
      <w:r>
        <w:t xml:space="preserve"> </w:t>
      </w:r>
      <w:r>
        <w:rPr>
          <w:iCs/>
          <w:i/>
        </w:rPr>
        <w:t xml:space="preserve">suṣṭuti</w:t>
      </w:r>
      <w:r>
        <w:t xml:space="preserve">, the collection of ṛks that is the cause of excellent praise,</w:t>
      </w:r>
      <w:r>
        <w:t xml:space="preserve"> </w:t>
      </w:r>
      <w:r>
        <w:rPr>
          <w:iCs/>
          <w:i/>
        </w:rPr>
        <w:t xml:space="preserve">aśnotu</w:t>
      </w:r>
      <w:r>
        <w:t xml:space="preserve">, reach you.</w:t>
      </w:r>
      <w:r>
        <w:t xml:space="preserve">”</w:t>
      </w:r>
      <w:r>
        <w:t xml:space="preserve"> </w:t>
      </w:r>
      <w:r>
        <w:t xml:space="preserve">(Grammatical tail:</w:t>
      </w:r>
      <w:r>
        <w:t xml:space="preserve"> </w:t>
      </w:r>
      <w:r>
        <w:rPr>
          <w:iCs/>
          <w:i/>
        </w:rPr>
        <w:t xml:space="preserve">aśnotu</w:t>
      </w:r>
      <w:r>
        <w:t xml:space="preserve">,</w:t>
      </w:r>
      <w:r>
        <w:t xml:space="preserve"> </w:t>
      </w:r>
      <w:r>
        <w:rPr>
          <w:iCs/>
          <w:i/>
        </w:rPr>
        <w:t xml:space="preserve">aśū vyāptau</w:t>
      </w:r>
      <w:r>
        <w:t xml:space="preserve">,</w:t>
      </w:r>
      <w:r>
        <w:t xml:space="preserve"> </w:t>
      </w:r>
      <w:r>
        <w:rPr>
          <w:iCs/>
          <w:i/>
        </w:rPr>
        <w:t xml:space="preserve">tip</w:t>
      </w:r>
      <w:r>
        <w:t xml:space="preserve"> </w:t>
      </w:r>
      <w:r>
        <w:t xml:space="preserve">for</w:t>
      </w:r>
      <w:r>
        <w:t xml:space="preserve"> </w:t>
      </w:r>
      <w:r>
        <w:rPr>
          <w:iCs/>
          <w:i/>
        </w:rPr>
        <w:t xml:space="preserve">loṭ</w:t>
      </w:r>
      <w:r>
        <w:t xml:space="preserve"> </w:t>
      </w:r>
      <w:r>
        <w:t xml:space="preserve">by exchange,</w:t>
      </w:r>
      <w:r>
        <w:t xml:space="preserve"> </w:t>
      </w:r>
      <w:r>
        <w:rPr>
          <w:iCs/>
          <w:i/>
        </w:rPr>
        <w:t xml:space="preserve">śnu</w:t>
      </w:r>
      <w:r>
        <w:t xml:space="preserve"> </w:t>
      </w:r>
      <w:r>
        <w:t xml:space="preserve">by</w:t>
      </w:r>
      <w:r>
        <w:t xml:space="preserve"> </w:t>
      </w:r>
      <w:r>
        <w:rPr>
          <w:iCs/>
          <w:i/>
        </w:rPr>
        <w:t xml:space="preserve">svādibhyaḥ śnuḥ</w:t>
      </w:r>
      <w:r>
        <w:t xml:space="preserve">;</w:t>
      </w:r>
      <w:r>
        <w:t xml:space="preserve"> </w:t>
      </w:r>
      <w:r>
        <w:rPr>
          <w:iCs/>
          <w:i/>
        </w:rPr>
        <w:t xml:space="preserve">suṣṭutiḥ</w:t>
      </w:r>
      <w:r>
        <w:t xml:space="preserve">, as said at Ṛgveda 1-7-7;</w:t>
      </w:r>
      <w:r>
        <w:t xml:space="preserve"> </w:t>
      </w:r>
      <w:r>
        <w:rPr>
          <w:iCs/>
          <w:i/>
        </w:rPr>
        <w:t xml:space="preserve">indrāvaruṇā</w:t>
      </w:r>
      <w:r>
        <w:t xml:space="preserve">,</w:t>
      </w:r>
      <w:r>
        <w:t xml:space="preserve"> </w:t>
      </w:r>
      <w:r>
        <w:rPr>
          <w:iCs/>
          <w:i/>
        </w:rPr>
        <w:t xml:space="preserve">huve</w:t>
      </w:r>
      <w:r>
        <w:t xml:space="preserve">, explained; here, though, not lowered because joined with</w:t>
      </w:r>
      <w:r>
        <w:t xml:space="preserve"> </w:t>
      </w:r>
      <w:r>
        <w:rPr>
          <w:iCs/>
          <w:i/>
        </w:rPr>
        <w:t xml:space="preserve">yad</w:t>
      </w:r>
      <w:r>
        <w:t xml:space="preserve">;</w:t>
      </w:r>
      <w:r>
        <w:t xml:space="preserve"> </w:t>
      </w:r>
      <w:r>
        <w:rPr>
          <w:iCs/>
          <w:i/>
        </w:rPr>
        <w:t xml:space="preserve">ṛdhāthe</w:t>
      </w:r>
      <w:r>
        <w:t xml:space="preserve">,</w:t>
      </w:r>
      <w:r>
        <w:t xml:space="preserve"> </w:t>
      </w:r>
      <w:r>
        <w:rPr>
          <w:iCs/>
          <w:i/>
        </w:rPr>
        <w:t xml:space="preserve">ṛdhu vṛddhau</w:t>
      </w:r>
      <w:r>
        <w:t xml:space="preserve">,</w:t>
      </w:r>
      <w:r>
        <w:t xml:space="preserve"> </w:t>
      </w:r>
      <w:r>
        <w:rPr>
          <w:iCs/>
          <w:i/>
        </w:rPr>
        <w:t xml:space="preserve">laṭ</w:t>
      </w:r>
      <w:r>
        <w:t xml:space="preserve">,</w:t>
      </w:r>
      <w:r>
        <w:t xml:space="preserve"> </w:t>
      </w:r>
      <w:r>
        <w:rPr>
          <w:iCs/>
          <w:i/>
        </w:rPr>
        <w:t xml:space="preserve">ātmanepada</w:t>
      </w:r>
      <w:r>
        <w:t xml:space="preserve"> </w:t>
      </w:r>
      <w:r>
        <w:t xml:space="preserve">by exchange, in the 2nd dual the</w:t>
      </w:r>
      <w:r>
        <w:t xml:space="preserve"> </w:t>
      </w:r>
      <w:r>
        <w:rPr>
          <w:iCs/>
          <w:i/>
        </w:rPr>
        <w:t xml:space="preserve">śnu</w:t>
      </w:r>
      <w:r>
        <w:t xml:space="preserve"> </w:t>
      </w:r>
      <w:r>
        <w:t xml:space="preserve">dropped by</w:t>
      </w:r>
      <w:r>
        <w:t xml:space="preserve"> </w:t>
      </w:r>
      <w:r>
        <w:rPr>
          <w:iCs/>
          <w:i/>
        </w:rPr>
        <w:t xml:space="preserve">bahulaṃ chandasi</w:t>
      </w:r>
      <w:r>
        <w:t xml:space="preserve">, the</w:t>
      </w:r>
      <w:r>
        <w:t xml:space="preserve"> </w:t>
      </w:r>
      <w:r>
        <w:rPr>
          <w:iCs/>
          <w:i/>
        </w:rPr>
        <w:t xml:space="preserve">ā</w:t>
      </w:r>
      <w:r>
        <w:t xml:space="preserve"> </w:t>
      </w:r>
      <w:r>
        <w:t xml:space="preserve">udātta by the suffix accent, not lowered because joined with</w:t>
      </w:r>
      <w:r>
        <w:t xml:space="preserve"> </w:t>
      </w:r>
      <w:r>
        <w:rPr>
          <w:iCs/>
          <w:i/>
        </w:rPr>
        <w:t xml:space="preserve">yad</w:t>
      </w:r>
      <w:r>
        <w:t xml:space="preserve">;</w:t>
      </w:r>
      <w:r>
        <w:t xml:space="preserve"> </w:t>
      </w:r>
      <w:r>
        <w:rPr>
          <w:iCs/>
          <w:i/>
        </w:rPr>
        <w:t xml:space="preserve">sadhastutim</w:t>
      </w:r>
      <w:r>
        <w:t xml:space="preserve">,</w:t>
      </w:r>
      <w:r>
        <w:t xml:space="preserve"> </w:t>
      </w:r>
      <w:r>
        <w:t xml:space="preserve">“</w:t>
      </w:r>
      <w:r>
        <w:t xml:space="preserve">the</w:t>
      </w:r>
      <w:r>
        <w:t xml:space="preserve"> </w:t>
      </w:r>
      <w:r>
        <w:rPr>
          <w:iCs/>
          <w:i/>
        </w:rPr>
        <w:t xml:space="preserve">suṣṭuti</w:t>
      </w:r>
      <w:r>
        <w:t xml:space="preserve"> </w:t>
      </w:r>
      <w:r>
        <w:t xml:space="preserve">in which there is praise together</w:t>
      </w:r>
      <w:r>
        <w:t xml:space="preserve">”</w:t>
      </w:r>
      <w:r>
        <w:t xml:space="preserve">; here the word</w:t>
      </w:r>
      <w:r>
        <w:t xml:space="preserve"> </w:t>
      </w:r>
      <w:r>
        <w:rPr>
          <w:iCs/>
          <w:i/>
        </w:rPr>
        <w:t xml:space="preserve">stuti</w:t>
      </w:r>
      <w:r>
        <w:t xml:space="preserve"> </w:t>
      </w:r>
      <w:r>
        <w:t xml:space="preserve">in</w:t>
      </w:r>
      <w:r>
        <w:t xml:space="preserve"> </w:t>
      </w:r>
      <w:r>
        <w:rPr>
          <w:iCs/>
          <w:i/>
        </w:rPr>
        <w:t xml:space="preserve">suṣṭuti</w:t>
      </w:r>
      <w:r>
        <w:t xml:space="preserve">, the other thing meant, being an instrument noun,</w:t>
      </w:r>
      <w:r>
        <w:t xml:space="preserve"> </w:t>
      </w:r>
      <w:r>
        <w:t xml:space="preserve">“</w:t>
      </w:r>
      <w:r>
        <w:t xml:space="preserve">that by which one praises</w:t>
      </w:r>
      <w:r>
        <w:t xml:space="preserve">”</w:t>
      </w:r>
      <w:r>
        <w:t xml:space="preserve">, denotes the ṛk, while this</w:t>
      </w:r>
      <w:r>
        <w:t xml:space="preserve"> </w:t>
      </w:r>
      <w:r>
        <w:rPr>
          <w:iCs/>
          <w:i/>
        </w:rPr>
        <w:t xml:space="preserve">stuti</w:t>
      </w:r>
      <w:r>
        <w:t xml:space="preserve"> </w:t>
      </w:r>
      <w:r>
        <w:t xml:space="preserve">[in the compound], an action noun, denotes the act of praising; where that one is an action noun denoting the act, this one, an instrument noun, denotes the ṛk; so it differs from the sense of the compounded words. In</w:t>
      </w:r>
      <w:r>
        <w:t xml:space="preserve"> </w:t>
      </w:r>
      <w:r>
        <w:rPr>
          <w:iCs/>
          <w:i/>
        </w:rPr>
        <w:t xml:space="preserve">saha</w:t>
      </w:r>
      <w:r>
        <w:t xml:space="preserve">,</w:t>
      </w:r>
      <w:r>
        <w:t xml:space="preserve"> </w:t>
      </w:r>
      <w:r>
        <w:rPr>
          <w:iCs/>
          <w:i/>
        </w:rPr>
        <w:t xml:space="preserve">dh</w:t>
      </w:r>
      <w:r>
        <w:t xml:space="preserve"> </w:t>
      </w:r>
      <w:r>
        <w:t xml:space="preserve">for</w:t>
      </w:r>
      <w:r>
        <w:t xml:space="preserve"> </w:t>
      </w:r>
      <w:r>
        <w:rPr>
          <w:iCs/>
          <w:i/>
        </w:rPr>
        <w:t xml:space="preserve">h</w:t>
      </w:r>
      <w:r>
        <w:t xml:space="preserve"> </w:t>
      </w:r>
      <w:r>
        <w:t xml:space="preserve">by exchange;</w:t>
      </w:r>
      <w:r>
        <w:t xml:space="preserve"> </w:t>
      </w:r>
      <w:r>
        <w:rPr>
          <w:iCs/>
          <w:i/>
        </w:rPr>
        <w:t xml:space="preserve">saha</w:t>
      </w:r>
      <w:r>
        <w:t xml:space="preserve"> </w:t>
      </w:r>
      <w:r>
        <w:t xml:space="preserve">is final udātta as one of the</w:t>
      </w:r>
      <w:r>
        <w:t xml:space="preserve"> </w:t>
      </w:r>
      <w:r>
        <w:rPr>
          <w:iCs/>
          <w:i/>
        </w:rPr>
        <w:t xml:space="preserve">evam-ādi</w:t>
      </w:r>
      <w:r>
        <w:t xml:space="preserve">; as a</w:t>
      </w:r>
      <w:r>
        <w:t xml:space="preserve"> </w:t>
      </w:r>
      <w:r>
        <w:rPr>
          <w:iCs/>
          <w:i/>
        </w:rPr>
        <w:t xml:space="preserve">bahuvrīhi</w:t>
      </w:r>
      <w:r>
        <w:t xml:space="preserve">, the accent of the first member.)</w:t>
      </w:r>
    </w:p>
    <w:p>
      <w:pPr>
        <w:pStyle w:val="BodyText"/>
      </w:pPr>
      <w:r>
        <w:rPr>
          <w:bCs/>
          <w:b/>
        </w:rPr>
        <w:t xml:space="preserve">॥ Prati-padārthaḥ ॥</w:t>
      </w:r>
    </w:p>
    <w:p>
      <w:pPr>
        <w:pStyle w:val="BodyText"/>
      </w:pPr>
      <w:r>
        <w:rPr>
          <w:bCs/>
          <w:b/>
        </w:rPr>
        <w:t xml:space="preserve">इन्द्रावरुणा (indrāvaruṇā)</w:t>
      </w:r>
      <w:r>
        <w:t xml:space="preserve"> </w:t>
      </w:r>
      <w:r>
        <w:t xml:space="preserve">— O Indra and Varuṇa |</w:t>
      </w:r>
      <w:r>
        <w:t xml:space="preserve"> </w:t>
      </w:r>
      <w:r>
        <w:rPr>
          <w:bCs/>
          <w:b/>
        </w:rPr>
        <w:t xml:space="preserve">याम् (yām)</w:t>
      </w:r>
      <w:r>
        <w:t xml:space="preserve"> </w:t>
      </w:r>
      <w:r>
        <w:t xml:space="preserve">— which (praise of ours, towards it) |</w:t>
      </w:r>
      <w:r>
        <w:t xml:space="preserve"> </w:t>
      </w:r>
      <w:r>
        <w:rPr>
          <w:bCs/>
          <w:b/>
        </w:rPr>
        <w:t xml:space="preserve">हुवे (huve)</w:t>
      </w:r>
      <w:r>
        <w:t xml:space="preserve"> </w:t>
      </w:r>
      <w:r>
        <w:t xml:space="preserve">— I call (you both) | (and)</w:t>
      </w:r>
      <w:r>
        <w:t xml:space="preserve"> </w:t>
      </w:r>
      <w:r>
        <w:rPr>
          <w:bCs/>
          <w:b/>
        </w:rPr>
        <w:t xml:space="preserve">याम् सधस्तुतिम् (yām sadhastutim)</w:t>
      </w:r>
      <w:r>
        <w:t xml:space="preserve"> </w:t>
      </w:r>
      <w:r>
        <w:t xml:space="preserve">— by which hymn made of you both together |</w:t>
      </w:r>
      <w:r>
        <w:t xml:space="preserve"> </w:t>
      </w:r>
      <w:r>
        <w:rPr>
          <w:bCs/>
          <w:b/>
        </w:rPr>
        <w:t xml:space="preserve">ऋधाथे (ṛdhāthe)</w:t>
      </w:r>
      <w:r>
        <w:t xml:space="preserve"> </w:t>
      </w:r>
      <w:r>
        <w:t xml:space="preserve">— you grow (you are pleased) |</w:t>
      </w:r>
      <w:r>
        <w:t xml:space="preserve"> </w:t>
      </w:r>
      <w:r>
        <w:rPr>
          <w:bCs/>
          <w:b/>
        </w:rPr>
        <w:t xml:space="preserve">सुष्टुतिः (suṣṭutiḥ)</w:t>
      </w:r>
      <w:r>
        <w:t xml:space="preserve"> </w:t>
      </w:r>
      <w:r>
        <w:t xml:space="preserve">— (such a) collection of ṛks in the form of a hymn |</w:t>
      </w:r>
      <w:r>
        <w:t xml:space="preserve"> </w:t>
      </w:r>
      <w:r>
        <w:rPr>
          <w:bCs/>
          <w:b/>
        </w:rPr>
        <w:t xml:space="preserve">वाम् अश्नोतु (vām aśnotu)</w:t>
      </w:r>
      <w:r>
        <w:t xml:space="preserve"> </w:t>
      </w:r>
      <w:r>
        <w:t xml:space="preserve">— may it reach you.</w:t>
      </w:r>
    </w:p>
    <w:p>
      <w:pPr>
        <w:pStyle w:val="BodyText"/>
      </w:pPr>
      <w:r>
        <w:rPr>
          <w:bCs/>
          <w:b/>
        </w:rPr>
        <w:t xml:space="preserve">॥ Bhāvārthaḥ ॥</w:t>
      </w:r>
    </w:p>
    <w:p>
      <w:pPr>
        <w:pStyle w:val="BodyText"/>
      </w:pPr>
      <w:r>
        <w:t xml:space="preserve">O Indra and Varuṇa, we call each of you separately with praise. At times we also praise you both together. Be pleased with such hymns.</w:t>
      </w:r>
    </w:p>
    <w:p>
      <w:pPr>
        <w:pStyle w:val="BodyText"/>
      </w:pPr>
      <w:r>
        <w:rPr>
          <w:bCs/>
          <w:b/>
        </w:rPr>
        <w:t xml:space="preserve">॥ English Translation ॥</w:t>
      </w:r>
      <w:r>
        <w:t xml:space="preserve"> </w:t>
      </w:r>
      <w:r>
        <w:rPr>
          <w:iCs/>
          <w:i/>
        </w:rPr>
        <w:t xml:space="preserve">(as printed in the source)</w:t>
      </w:r>
    </w:p>
    <w:p>
      <w:pPr>
        <w:pStyle w:val="BlockText"/>
      </w:pPr>
      <w:r>
        <w:t xml:space="preserve">May the earnest praise which I offer to Indra and Varuna reach you both ; and may you fulfil that prayer addressed to you both.</w:t>
      </w:r>
    </w:p>
    <w:p>
      <w:pPr>
        <w:pStyle w:val="FirstParagraph"/>
      </w:pPr>
      <w:r>
        <w:rPr>
          <w:bCs/>
          <w:b/>
        </w:rPr>
        <w:t xml:space="preserve">॥ Viśeṣa-viṣayagaḷu (Special Topics) ॥</w:t>
      </w:r>
    </w:p>
    <w:p>
      <w:pPr>
        <w:pStyle w:val="BodyText"/>
      </w:pPr>
      <w:r>
        <w:rPr>
          <w:bCs/>
          <w:b/>
        </w:rPr>
        <w:t xml:space="preserve">Aśnotu</w:t>
      </w:r>
      <w:r>
        <w:t xml:space="preserve">:</w:t>
      </w:r>
      <w:r>
        <w:t xml:space="preserve"> </w:t>
      </w:r>
      <w:r>
        <w:rPr>
          <w:iCs/>
          <w:i/>
        </w:rPr>
        <w:t xml:space="preserve">vyāpnotu</w:t>
      </w:r>
      <w:r>
        <w:t xml:space="preserve">, may it reach: the sense is, may the hymn we make reach you and be dear to you.</w:t>
      </w:r>
    </w:p>
    <w:bookmarkEnd w:id="818"/>
    <w:bookmarkStart w:id="819" w:name="X6799fb54c3568e4dae18c60069aab80ada36958"/>
    <w:p>
      <w:pPr>
        <w:pStyle w:val="Heading3"/>
      </w:pPr>
      <w:r>
        <w:t xml:space="preserve">Page 745 — Rik 9: Special Topics (end) and grammar</w:t>
      </w:r>
    </w:p>
    <w:p>
      <w:pPr>
        <w:pStyle w:val="FirstParagraph"/>
      </w:pPr>
      <w:r>
        <w:rPr>
          <w:bCs/>
          <w:b/>
        </w:rPr>
        <w:t xml:space="preserve">Ṛdhāthe</w:t>
      </w:r>
      <w:r>
        <w:t xml:space="preserve">:</w:t>
      </w:r>
    </w:p>
    <w:p>
      <w:pPr>
        <w:pStyle w:val="BlockText"/>
      </w:pPr>
      <w:r>
        <w:t xml:space="preserve">ऋधु वृद्धौ । वर्धेथाम् ॥</w:t>
      </w:r>
    </w:p>
    <w:p>
      <w:pPr>
        <w:pStyle w:val="BlockText"/>
      </w:pPr>
      <w:r>
        <w:rPr>
          <w:iCs/>
          <w:i/>
        </w:rPr>
        <w:t xml:space="preserve">ṛdhu vṛddhau | vardhethām ||</w:t>
      </w:r>
    </w:p>
    <w:p>
      <w:pPr>
        <w:pStyle w:val="FirstParagraph"/>
      </w:pPr>
      <w:r>
        <w:t xml:space="preserve">(</w:t>
      </w:r>
      <w:r>
        <w:t xml:space="preserve">“</w:t>
      </w:r>
      <w:r>
        <w:rPr>
          <w:iCs/>
          <w:i/>
        </w:rPr>
        <w:t xml:space="preserve">Ṛdhu</w:t>
      </w:r>
      <w:r>
        <w:t xml:space="preserve">, to grow: may you grow.</w:t>
      </w:r>
      <w:r>
        <w:t xml:space="preserve">”</w:t>
      </w:r>
      <w:r>
        <w:t xml:space="preserve">) The senses</w:t>
      </w:r>
      <w:r>
        <w:t xml:space="preserve"> </w:t>
      </w:r>
      <w:r>
        <w:t xml:space="preserve">“</w:t>
      </w:r>
      <w:r>
        <w:t xml:space="preserve">you liked the praise we made, or praised it, and so were well satisfied</w:t>
      </w:r>
      <w:r>
        <w:t xml:space="preserve">”</w:t>
      </w:r>
      <w:r>
        <w:t xml:space="preserve"> </w:t>
      </w:r>
      <w:r>
        <w:t xml:space="preserve">and the like may be given.</w:t>
      </w:r>
    </w:p>
    <w:p>
      <w:pPr>
        <w:pStyle w:val="BodyText"/>
      </w:pPr>
      <w:r>
        <w:rPr>
          <w:bCs/>
          <w:b/>
        </w:rPr>
        <w:t xml:space="preserve">Sadhastutim</w:t>
      </w:r>
      <w:r>
        <w:t xml:space="preserve">:</w:t>
      </w:r>
    </w:p>
    <w:p>
      <w:pPr>
        <w:pStyle w:val="BlockText"/>
      </w:pPr>
      <w:r>
        <w:t xml:space="preserve">सह स्तुतिर्यस्यां सुष्टुतौ सा सधस्तुतिः ॥</w:t>
      </w:r>
    </w:p>
    <w:p>
      <w:pPr>
        <w:pStyle w:val="BlockText"/>
      </w:pPr>
      <w:r>
        <w:rPr>
          <w:iCs/>
          <w:i/>
        </w:rPr>
        <w:t xml:space="preserve">saha stutiryasyāṃ suṣṭutau sā sadhastutiḥ ||</w:t>
      </w:r>
    </w:p>
    <w:p>
      <w:pPr>
        <w:pStyle w:val="FirstParagraph"/>
      </w:pPr>
      <w:r>
        <w:t xml:space="preserve">(</w:t>
      </w:r>
      <w:r>
        <w:t xml:space="preserve">“</w:t>
      </w:r>
      <w:r>
        <w:t xml:space="preserve">The</w:t>
      </w:r>
      <w:r>
        <w:t xml:space="preserve"> </w:t>
      </w:r>
      <w:r>
        <w:rPr>
          <w:iCs/>
          <w:i/>
        </w:rPr>
        <w:t xml:space="preserve">suṣṭuti</w:t>
      </w:r>
      <w:r>
        <w:t xml:space="preserve"> </w:t>
      </w:r>
      <w:r>
        <w:t xml:space="preserve">in which there is praise together is the</w:t>
      </w:r>
      <w:r>
        <w:t xml:space="preserve"> </w:t>
      </w:r>
      <w:r>
        <w:rPr>
          <w:iCs/>
          <w:i/>
        </w:rPr>
        <w:t xml:space="preserve">sadhastuti</w:t>
      </w:r>
      <w:r>
        <w:t xml:space="preserve">.</w:t>
      </w:r>
      <w:r>
        <w:t xml:space="preserve">”</w:t>
      </w:r>
      <w:r>
        <w:t xml:space="preserve">) A hymn that praises two together is called</w:t>
      </w:r>
      <w:r>
        <w:t xml:space="preserve"> </w:t>
      </w:r>
      <w:r>
        <w:rPr>
          <w:iCs/>
          <w:i/>
        </w:rPr>
        <w:t xml:space="preserve">sadhastuti</w:t>
      </w:r>
      <w:r>
        <w:t xml:space="preserve">. Here the two deities Indra and Varuṇa are praised together.</w:t>
      </w:r>
    </w:p>
    <w:p>
      <w:pPr>
        <w:pStyle w:val="BodyText"/>
      </w:pPr>
      <w:r>
        <w:rPr>
          <w:bCs/>
          <w:b/>
        </w:rPr>
        <w:t xml:space="preserve">॥ Vyākaraṇa-prakriyā ॥</w:t>
      </w:r>
      <w:r>
        <w:t xml:space="preserve"> </w:t>
      </w:r>
      <w:r>
        <w:rPr>
          <w:iCs/>
          <w:i/>
        </w:rPr>
        <w:t xml:space="preserve">(grammar pages 745–746, noted briefly)</w:t>
      </w:r>
    </w:p>
    <w:p>
      <w:pPr>
        <w:pStyle w:val="BodyText"/>
      </w:pPr>
      <w:r>
        <w:rPr>
          <w:bCs/>
          <w:b/>
        </w:rPr>
        <w:t xml:space="preserve">अश्नोतु (</w:t>
      </w:r>
      <w:r>
        <w:rPr>
          <w:iCs/>
          <w:i/>
          <w:bCs/>
          <w:b/>
        </w:rPr>
        <w:t xml:space="preserve">aśnotu</w:t>
      </w:r>
      <w:r>
        <w:rPr>
          <w:bCs/>
          <w:b/>
        </w:rPr>
        <w:t xml:space="preserve">)</w:t>
      </w:r>
      <w:r>
        <w:t xml:space="preserve">:</w:t>
      </w:r>
      <w:r>
        <w:t xml:space="preserve"> </w:t>
      </w:r>
      <w:r>
        <w:rPr>
          <w:iCs/>
          <w:i/>
        </w:rPr>
        <w:t xml:space="preserve">aśū vyāptau</w:t>
      </w:r>
      <w:r>
        <w:t xml:space="preserve">.</w:t>
      </w:r>
      <w:r>
        <w:t xml:space="preserve"> </w:t>
      </w:r>
      <w:r>
        <w:rPr>
          <w:iCs/>
          <w:i/>
        </w:rPr>
        <w:t xml:space="preserve">Loṭ</w:t>
      </w:r>
      <w:r>
        <w:t xml:space="preserve">; the root is</w:t>
      </w:r>
      <w:r>
        <w:t xml:space="preserve"> </w:t>
      </w:r>
      <w:r>
        <w:rPr>
          <w:iCs/>
          <w:i/>
        </w:rPr>
        <w:t xml:space="preserve">anudāttet</w:t>
      </w:r>
      <w:r>
        <w:t xml:space="preserve">, so</w:t>
      </w:r>
      <w:r>
        <w:t xml:space="preserve"> </w:t>
      </w:r>
      <w:r>
        <w:rPr>
          <w:iCs/>
          <w:i/>
        </w:rPr>
        <w:t xml:space="preserve">ātmanepada</w:t>
      </w:r>
      <w:r>
        <w:t xml:space="preserve"> </w:t>
      </w:r>
      <w:r>
        <w:t xml:space="preserve">ought to come by</w:t>
      </w:r>
      <w:r>
        <w:t xml:space="preserve"> </w:t>
      </w:r>
      <w:r>
        <w:t xml:space="preserve">“</w:t>
      </w:r>
      <w:r>
        <w:rPr>
          <w:iCs/>
          <w:i/>
        </w:rPr>
        <w:t xml:space="preserve">anudāttaṅita ātmanepadam</w:t>
      </w:r>
      <w:r>
        <w:t xml:space="preserve">”</w:t>
      </w:r>
      <w:r>
        <w:t xml:space="preserve">. But by</w:t>
      </w:r>
      <w:r>
        <w:t xml:space="preserve"> </w:t>
      </w:r>
      <w:r>
        <w:t xml:space="preserve">“</w:t>
      </w:r>
      <w:r>
        <w:t xml:space="preserve">vyatyayo bahulam</w:t>
      </w:r>
      <w:r>
        <w:t xml:space="preserve">”</w:t>
      </w:r>
      <w:r>
        <w:t xml:space="preserve"> </w:t>
      </w:r>
      <w:r>
        <w:t xml:space="preserve">(Pā. sū. 3-1-85) the</w:t>
      </w:r>
      <w:r>
        <w:t xml:space="preserve"> </w:t>
      </w:r>
      <w:r>
        <w:rPr>
          <w:iCs/>
          <w:i/>
        </w:rPr>
        <w:t xml:space="preserve">parasmaipada</w:t>
      </w:r>
      <w:r>
        <w:t xml:space="preserve"> </w:t>
      </w:r>
      <w:r>
        <w:t xml:space="preserve">suffix</w:t>
      </w:r>
      <w:r>
        <w:t xml:space="preserve"> </w:t>
      </w:r>
      <w:r>
        <w:rPr>
          <w:iCs/>
          <w:i/>
        </w:rPr>
        <w:t xml:space="preserve">ti</w:t>
      </w:r>
      <w:r>
        <w:t xml:space="preserve"> </w:t>
      </w:r>
      <w:r>
        <w:t xml:space="preserve">comes by exchange. By</w:t>
      </w:r>
      <w:r>
        <w:t xml:space="preserve"> </w:t>
      </w:r>
      <w:r>
        <w:t xml:space="preserve">“</w:t>
      </w:r>
      <w:r>
        <w:t xml:space="preserve">svādibhyaḥ śnuḥ</w:t>
      </w:r>
      <w:r>
        <w:t xml:space="preserve">”</w:t>
      </w:r>
      <w:r>
        <w:t xml:space="preserve"> </w:t>
      </w:r>
      <w:r>
        <w:t xml:space="preserve">(Pā. sū. 3-1-73) the</w:t>
      </w:r>
      <w:r>
        <w:t xml:space="preserve"> </w:t>
      </w:r>
      <w:r>
        <w:rPr>
          <w:iCs/>
          <w:i/>
        </w:rPr>
        <w:t xml:space="preserve">vikaraṇa</w:t>
      </w:r>
      <w:r>
        <w:t xml:space="preserve"> </w:t>
      </w:r>
      <w:r>
        <w:rPr>
          <w:iCs/>
          <w:i/>
        </w:rPr>
        <w:t xml:space="preserve">śnu</w:t>
      </w:r>
      <w:r>
        <w:t xml:space="preserve">:</w:t>
      </w:r>
      <w:r>
        <w:t xml:space="preserve"> </w:t>
      </w:r>
      <w:r>
        <w:rPr>
          <w:iCs/>
          <w:i/>
        </w:rPr>
        <w:t xml:space="preserve">aś</w:t>
      </w:r>
      <w:r>
        <w:t xml:space="preserve"> </w:t>
      </w:r>
      <w:r>
        <w:t xml:space="preserve">+</w:t>
      </w:r>
      <w:r>
        <w:t xml:space="preserve"> </w:t>
      </w:r>
      <w:r>
        <w:rPr>
          <w:iCs/>
          <w:i/>
        </w:rPr>
        <w:t xml:space="preserve">nu</w:t>
      </w:r>
      <w:r>
        <w:t xml:space="preserve"> </w:t>
      </w:r>
      <w:r>
        <w:t xml:space="preserve">+</w:t>
      </w:r>
      <w:r>
        <w:t xml:space="preserve"> </w:t>
      </w:r>
      <w:r>
        <w:rPr>
          <w:iCs/>
          <w:i/>
        </w:rPr>
        <w:t xml:space="preserve">ti</w:t>
      </w:r>
      <w:r>
        <w:t xml:space="preserve">;</w:t>
      </w:r>
      <w:r>
        <w:t xml:space="preserve"> </w:t>
      </w:r>
      <w:r>
        <w:rPr>
          <w:iCs/>
          <w:i/>
        </w:rPr>
        <w:t xml:space="preserve">guṇa</w:t>
      </w:r>
      <w:r>
        <w:t xml:space="preserve">; by</w:t>
      </w:r>
      <w:r>
        <w:t xml:space="preserve"> </w:t>
      </w:r>
      <w:r>
        <w:rPr>
          <w:iCs/>
          <w:i/>
        </w:rPr>
        <w:t xml:space="preserve">eruḥ</w:t>
      </w:r>
      <w:r>
        <w:t xml:space="preserve"> </w:t>
      </w:r>
      <w:r>
        <w:rPr>
          <w:iCs/>
          <w:i/>
        </w:rPr>
        <w:t xml:space="preserve">u</w:t>
      </w:r>
      <w:r>
        <w:t xml:space="preserve"> </w:t>
      </w:r>
      <w:r>
        <w:t xml:space="preserve">for the</w:t>
      </w:r>
      <w:r>
        <w:t xml:space="preserve"> </w:t>
      </w:r>
      <w:r>
        <w:rPr>
          <w:iCs/>
          <w:i/>
        </w:rPr>
        <w:t xml:space="preserve">i</w:t>
      </w:r>
      <w:r>
        <w:t xml:space="preserve">.</w:t>
      </w:r>
    </w:p>
    <w:p>
      <w:pPr>
        <w:pStyle w:val="BodyText"/>
      </w:pPr>
      <w:r>
        <w:rPr>
          <w:bCs/>
          <w:b/>
        </w:rPr>
        <w:t xml:space="preserve">सुष्टुतिः (</w:t>
      </w:r>
      <w:r>
        <w:rPr>
          <w:iCs/>
          <w:i/>
          <w:bCs/>
          <w:b/>
        </w:rPr>
        <w:t xml:space="preserve">suṣṭutiḥ</w:t>
      </w:r>
      <w:r>
        <w:rPr>
          <w:bCs/>
          <w:b/>
        </w:rPr>
        <w:t xml:space="preserve">)</w:t>
      </w:r>
      <w:r>
        <w:t xml:space="preserve">: explained at</w:t>
      </w:r>
      <w:r>
        <w:t xml:space="preserve"> </w:t>
      </w:r>
      <w:r>
        <w:t xml:space="preserve">“</w:t>
      </w:r>
      <w:r>
        <w:t xml:space="preserve">na vindhe asya suṣṭutim</w:t>
      </w:r>
      <w:r>
        <w:t xml:space="preserve">”</w:t>
      </w:r>
      <w:r>
        <w:t xml:space="preserve"> </w:t>
      </w:r>
      <w:r>
        <w:t xml:space="preserve">(Ṛ. saṃ. 1-7-7).</w:t>
      </w:r>
    </w:p>
    <w:p>
      <w:pPr>
        <w:pStyle w:val="BodyText"/>
      </w:pPr>
      <w:r>
        <w:rPr>
          <w:bCs/>
          <w:b/>
        </w:rPr>
        <w:t xml:space="preserve">इन्द्रावरुणा, हुवे (</w:t>
      </w:r>
      <w:r>
        <w:rPr>
          <w:iCs/>
          <w:i/>
          <w:bCs/>
          <w:b/>
        </w:rPr>
        <w:t xml:space="preserve">indrāvaruṇā</w:t>
      </w:r>
      <w:r>
        <w:rPr>
          <w:bCs/>
          <w:b/>
        </w:rPr>
        <w:t xml:space="preserve">,</w:t>
      </w:r>
      <w:r>
        <w:rPr>
          <w:bCs/>
          <w:b/>
        </w:rPr>
        <w:t xml:space="preserve"> </w:t>
      </w:r>
      <w:r>
        <w:rPr>
          <w:iCs/>
          <w:i/>
          <w:bCs/>
          <w:b/>
        </w:rPr>
        <w:t xml:space="preserve">huve</w:t>
      </w:r>
      <w:r>
        <w:rPr>
          <w:bCs/>
          <w:b/>
        </w:rPr>
        <w:t xml:space="preserve">)</w:t>
      </w:r>
      <w:r>
        <w:t xml:space="preserve">: see the 7th mantra of this sūkta. There it was said that, standing at the start of a</w:t>
      </w:r>
      <w:r>
        <w:t xml:space="preserve"> </w:t>
      </w:r>
      <w:r>
        <w:rPr>
          <w:iCs/>
          <w:i/>
        </w:rPr>
        <w:t xml:space="preserve">pāda</w:t>
      </w:r>
      <w:r>
        <w:t xml:space="preserve">, it is not wholly unaccented; here too, by</w:t>
      </w:r>
      <w:r>
        <w:t xml:space="preserve"> </w:t>
      </w:r>
      <w:r>
        <w:t xml:space="preserve">“</w:t>
      </w:r>
      <w:r>
        <w:t xml:space="preserve">yadvṛttān nityam</w:t>
      </w:r>
      <w:r>
        <w:t xml:space="preserve">”</w:t>
      </w:r>
      <w:r>
        <w:t xml:space="preserve"> </w:t>
      </w:r>
      <w:r>
        <w:t xml:space="preserve">(Pā. sū. 8-1-66) (a</w:t>
      </w:r>
      <w:r>
        <w:t xml:space="preserve"> </w:t>
      </w:r>
      <w:r>
        <w:rPr>
          <w:iCs/>
          <w:i/>
        </w:rPr>
        <w:t xml:space="preserve">tiṅanta</w:t>
      </w:r>
      <w:r>
        <w:t xml:space="preserve"> </w:t>
      </w:r>
      <w:r>
        <w:t xml:space="preserve">after a word containing</w:t>
      </w:r>
      <w:r>
        <w:t xml:space="preserve"> </w:t>
      </w:r>
      <w:r>
        <w:rPr>
          <w:iCs/>
          <w:i/>
        </w:rPr>
        <w:t xml:space="preserve">yad</w:t>
      </w:r>
      <w:r>
        <w:t xml:space="preserve"> </w:t>
      </w:r>
      <w:r>
        <w:t xml:space="preserve">does not become unaccented), it is not wholly unaccented.</w:t>
      </w:r>
    </w:p>
    <w:p>
      <w:pPr>
        <w:pStyle w:val="BodyText"/>
      </w:pPr>
      <w:r>
        <w:rPr>
          <w:bCs/>
          <w:b/>
        </w:rPr>
        <w:t xml:space="preserve">ऋधाथे (</w:t>
      </w:r>
      <w:r>
        <w:rPr>
          <w:iCs/>
          <w:i/>
          <w:bCs/>
          <w:b/>
        </w:rPr>
        <w:t xml:space="preserve">ṛdhāthe</w:t>
      </w:r>
      <w:r>
        <w:rPr>
          <w:bCs/>
          <w:b/>
        </w:rPr>
        <w:t xml:space="preserve">)</w:t>
      </w:r>
      <w:r>
        <w:t xml:space="preserve">:</w:t>
      </w:r>
      <w:r>
        <w:t xml:space="preserve"> </w:t>
      </w:r>
      <w:r>
        <w:rPr>
          <w:iCs/>
          <w:i/>
        </w:rPr>
        <w:t xml:space="preserve">ṛdhu vṛddhau</w:t>
      </w:r>
      <w:r>
        <w:t xml:space="preserve">.</w:t>
      </w:r>
      <w:r>
        <w:t xml:space="preserve"> </w:t>
      </w:r>
      <w:r>
        <w:rPr>
          <w:iCs/>
          <w:i/>
        </w:rPr>
        <w:t xml:space="preserve">Laṭ</w:t>
      </w:r>
      <w:r>
        <w:t xml:space="preserve">; by exchange,</w:t>
      </w:r>
      <w:r>
        <w:t xml:space="preserve"> </w:t>
      </w:r>
      <w:r>
        <w:rPr>
          <w:iCs/>
          <w:i/>
        </w:rPr>
        <w:t xml:space="preserve">ātmanepada</w:t>
      </w:r>
      <w:r>
        <w:t xml:space="preserve">, 1st-person [as printed;</w:t>
      </w:r>
      <w:r>
        <w:t xml:space="preserve"> </w:t>
      </w:r>
      <w:r>
        <w:rPr>
          <w:iCs/>
          <w:i/>
        </w:rPr>
        <w:t xml:space="preserve">āthām</w:t>
      </w:r>
      <w:r>
        <w:t xml:space="preserve"> </w:t>
      </w:r>
      <w:r>
        <w:t xml:space="preserve">is 2nd person] dual</w:t>
      </w:r>
      <w:r>
        <w:t xml:space="preserve"> </w:t>
      </w:r>
      <w:r>
        <w:rPr>
          <w:iCs/>
          <w:i/>
        </w:rPr>
        <w:t xml:space="preserve">āthām</w:t>
      </w:r>
      <w:r>
        <w:t xml:space="preserve">. By</w:t>
      </w:r>
      <w:r>
        <w:t xml:space="preserve"> </w:t>
      </w:r>
      <w:r>
        <w:t xml:space="preserve">“</w:t>
      </w:r>
      <w:r>
        <w:t xml:space="preserve">ṭita ātmanepadānāṃ ṭere</w:t>
      </w:r>
      <w:r>
        <w:t xml:space="preserve">”</w:t>
      </w:r>
      <w:r>
        <w:t xml:space="preserve"> </w:t>
      </w:r>
      <w:r>
        <w:t xml:space="preserve">(Pā. sū. 3-4-79)</w:t>
      </w:r>
      <w:r>
        <w:t xml:space="preserve"> </w:t>
      </w:r>
      <w:r>
        <w:rPr>
          <w:iCs/>
          <w:i/>
        </w:rPr>
        <w:t xml:space="preserve">e</w:t>
      </w:r>
      <w:r>
        <w:t xml:space="preserve"> </w:t>
      </w:r>
      <w:r>
        <w:t xml:space="preserve">for the</w:t>
      </w:r>
      <w:r>
        <w:t xml:space="preserve"> </w:t>
      </w:r>
      <w:r>
        <w:rPr>
          <w:iCs/>
          <w:i/>
        </w:rPr>
        <w:t xml:space="preserve">ṭi</w:t>
      </w:r>
      <w:r>
        <w:t xml:space="preserve"> </w:t>
      </w:r>
      <w:r>
        <w:t xml:space="preserve">(</w:t>
      </w:r>
      <w:r>
        <w:rPr>
          <w:iCs/>
          <w:i/>
        </w:rPr>
        <w:t xml:space="preserve">ām</w:t>
      </w:r>
      <w:r>
        <w:t xml:space="preserve">). By</w:t>
      </w:r>
      <w:r>
        <w:t xml:space="preserve"> </w:t>
      </w:r>
      <w:r>
        <w:rPr>
          <w:iCs/>
          <w:i/>
        </w:rPr>
        <w:t xml:space="preserve">svādibhyaḥ śnuḥ</w:t>
      </w:r>
      <w:r>
        <w:t xml:space="preserve"> </w:t>
      </w:r>
      <w:r>
        <w:t xml:space="preserve">the suffix</w:t>
      </w:r>
      <w:r>
        <w:t xml:space="preserve"> </w:t>
      </w:r>
      <w:r>
        <w:rPr>
          <w:iCs/>
          <w:i/>
        </w:rPr>
        <w:t xml:space="preserve">śnu</w:t>
      </w:r>
      <w:r>
        <w:t xml:space="preserve">; for it</w:t>
      </w:r>
      <w:r>
        <w:t xml:space="preserve"> </w:t>
      </w:r>
      <w:r>
        <w:rPr>
          <w:iCs/>
          <w:i/>
        </w:rPr>
        <w:t xml:space="preserve">luk</w:t>
      </w:r>
      <w:r>
        <w:t xml:space="preserve"> </w:t>
      </w:r>
      <w:r>
        <w:t xml:space="preserve">by</w:t>
      </w:r>
      <w:r>
        <w:t xml:space="preserve"> </w:t>
      </w:r>
      <w:r>
        <w:t xml:space="preserve">“</w:t>
      </w:r>
      <w:r>
        <w:t xml:space="preserve">bahulaṃ chandasi</w:t>
      </w:r>
      <w:r>
        <w:t xml:space="preserve">”</w:t>
      </w:r>
      <w:r>
        <w:t xml:space="preserve"> </w:t>
      </w:r>
      <w:r>
        <w:t xml:space="preserve">(Pā. sū. 2-4-73):</w:t>
      </w:r>
      <w:r>
        <w:t xml:space="preserve"> </w:t>
      </w:r>
      <w:r>
        <w:rPr>
          <w:iCs/>
          <w:i/>
        </w:rPr>
        <w:t xml:space="preserve">ṛdhāthe</w:t>
      </w:r>
      <w:r>
        <w:t xml:space="preserve">. By the suffix accent, that is, by</w:t>
      </w:r>
      <w:r>
        <w:t xml:space="preserve"> </w:t>
      </w:r>
      <w:r>
        <w:t xml:space="preserve">“</w:t>
      </w:r>
      <w:r>
        <w:t xml:space="preserve">ādyudāttaś ca</w:t>
      </w:r>
      <w:r>
        <w:t xml:space="preserve">”</w:t>
      </w:r>
      <w:r>
        <w:t xml:space="preserve"> </w:t>
      </w:r>
      <w:r>
        <w:t xml:space="preserve">(Pā. sū. 3-1-3), the</w:t>
      </w:r>
      <w:r>
        <w:t xml:space="preserve"> </w:t>
      </w:r>
      <w:r>
        <w:rPr>
          <w:iCs/>
          <w:i/>
        </w:rPr>
        <w:t xml:space="preserve">ā</w:t>
      </w:r>
      <w:r>
        <w:t xml:space="preserve"> </w:t>
      </w:r>
      <w:r>
        <w:t xml:space="preserve">at the start of the suffix</w:t>
      </w:r>
      <w:r>
        <w:t xml:space="preserve"> </w:t>
      </w:r>
      <w:r>
        <w:rPr>
          <w:iCs/>
          <w:i/>
        </w:rPr>
        <w:t xml:space="preserve">āthe</w:t>
      </w:r>
      <w:r>
        <w:t xml:space="preserve"> </w:t>
      </w:r>
      <w:r>
        <w:t xml:space="preserve">is udātta.</w:t>
      </w:r>
      <w:r>
        <w:t xml:space="preserve"> </w:t>
      </w:r>
      <w:r>
        <w:rPr>
          <w:iCs/>
          <w:i/>
        </w:rPr>
        <w:t xml:space="preserve">Yām ṛdhāthe</w:t>
      </w:r>
      <w:r>
        <w:t xml:space="preserve">: it follows a word formed with</w:t>
      </w:r>
      <w:r>
        <w:t xml:space="preserve"> </w:t>
      </w:r>
      <w:r>
        <w:rPr>
          <w:iCs/>
          <w:i/>
        </w:rPr>
        <w:t xml:space="preserve">yad</w:t>
      </w:r>
      <w:r>
        <w:t xml:space="preserve">; so, since the bar comes by</w:t>
      </w:r>
      <w:r>
        <w:t xml:space="preserve"> </w:t>
      </w:r>
      <w:r>
        <w:rPr>
          <w:iCs/>
          <w:i/>
        </w:rPr>
        <w:t xml:space="preserve">yadvṛttān nityam</w:t>
      </w:r>
      <w:r>
        <w:t xml:space="preserve">, it is not wholly unaccented by</w:t>
      </w:r>
      <w:r>
        <w:t xml:space="preserve"> </w:t>
      </w:r>
      <w:r>
        <w:rPr>
          <w:iCs/>
          <w:i/>
        </w:rPr>
        <w:t xml:space="preserve">tiṅṅatiṅaḥ</w:t>
      </w:r>
      <w:r>
        <w:t xml:space="preserve">.</w:t>
      </w:r>
    </w:p>
    <w:p>
      <w:pPr>
        <w:pStyle w:val="BodyText"/>
      </w:pPr>
      <w:r>
        <w:rPr>
          <w:bCs/>
          <w:b/>
        </w:rPr>
        <w:t xml:space="preserve">सधस्तुतिम् (</w:t>
      </w:r>
      <w:r>
        <w:rPr>
          <w:iCs/>
          <w:i/>
          <w:bCs/>
          <w:b/>
        </w:rPr>
        <w:t xml:space="preserve">sadhastutim</w:t>
      </w:r>
      <w:r>
        <w:rPr>
          <w:bCs/>
          <w:b/>
        </w:rPr>
        <w:t xml:space="preserve">)</w:t>
      </w:r>
      <w:r>
        <w:t xml:space="preserve">:</w:t>
      </w:r>
      <w:r>
        <w:t xml:space="preserve"> </w:t>
      </w:r>
      <w:r>
        <w:rPr>
          <w:iCs/>
          <w:i/>
        </w:rPr>
        <w:t xml:space="preserve">saha stutir yasyāṃ suṣṭutau sā sadhastutiḥ</w:t>
      </w:r>
      <w:r>
        <w:t xml:space="preserve">: by</w:t>
      </w:r>
      <w:r>
        <w:t xml:space="preserve"> </w:t>
      </w:r>
      <w:r>
        <w:t xml:space="preserve">“</w:t>
      </w:r>
      <w:r>
        <w:t xml:space="preserve">anekam anyapadārthe</w:t>
      </w:r>
      <w:r>
        <w:t xml:space="preserve">”</w:t>
      </w:r>
      <w:r>
        <w:t xml:space="preserve"> </w:t>
      </w:r>
      <w:r>
        <w:t xml:space="preserve">(Pā. sū. 2-2-24) a</w:t>
      </w:r>
      <w:r>
        <w:t xml:space="preserve"> </w:t>
      </w:r>
      <w:r>
        <w:rPr>
          <w:iCs/>
          <w:i/>
        </w:rPr>
        <w:t xml:space="preserve">bahuvrīhi</w:t>
      </w:r>
      <w:r>
        <w:t xml:space="preserve">. The sense of the sūtra is: several</w:t>
      </w:r>
      <w:r>
        <w:t xml:space="preserve"> </w:t>
      </w:r>
      <w:r>
        <w:rPr>
          <w:iCs/>
          <w:i/>
        </w:rPr>
        <w:t xml:space="preserve">subantas</w:t>
      </w:r>
      <w:r>
        <w:t xml:space="preserve"> </w:t>
      </w:r>
      <w:r>
        <w:t xml:space="preserve">are compounded in the sense of another word, and these are called</w:t>
      </w:r>
      <w:r>
        <w:t xml:space="preserve"> </w:t>
      </w:r>
      <w:r>
        <w:rPr>
          <w:iCs/>
          <w:i/>
        </w:rPr>
        <w:t xml:space="preserve">bahuvrīhi</w:t>
      </w:r>
      <w:r>
        <w:t xml:space="preserve">.</w:t>
      </w:r>
      <w:r>
        <w:t xml:space="preserve"> </w:t>
      </w:r>
      <w:r>
        <w:rPr>
          <w:iCs/>
          <w:i/>
        </w:rPr>
        <w:t xml:space="preserve">Anyapadārtha</w:t>
      </w:r>
      <w:r>
        <w:t xml:space="preserve"> </w:t>
      </w:r>
      <w:r>
        <w:t xml:space="preserve">means that which stands in the sense of a word other than the words that are compounded. Here the words</w:t>
      </w:r>
      <w:r>
        <w:t xml:space="preserve"> </w:t>
      </w:r>
      <w:r>
        <w:rPr>
          <w:iCs/>
          <w:i/>
        </w:rPr>
        <w:t xml:space="preserve">saha</w:t>
      </w:r>
      <w:r>
        <w:t xml:space="preserve"> </w:t>
      </w:r>
      <w:r>
        <w:t xml:space="preserve">and</w:t>
      </w:r>
      <w:r>
        <w:t xml:space="preserve"> </w:t>
      </w:r>
      <w:r>
        <w:rPr>
          <w:iCs/>
          <w:i/>
        </w:rPr>
        <w:t xml:space="preserve">stuti</w:t>
      </w:r>
      <w:r>
        <w:t xml:space="preserve"> </w:t>
      </w:r>
      <w:r>
        <w:t xml:space="preserve">are compounded. So there is no room for the doubt how</w:t>
      </w:r>
      <w:r>
        <w:t xml:space="preserve"> </w:t>
      </w:r>
      <w:r>
        <w:rPr>
          <w:iCs/>
          <w:i/>
        </w:rPr>
        <w:t xml:space="preserve">stuti</w:t>
      </w:r>
      <w:r>
        <w:t xml:space="preserve"> </w:t>
      </w:r>
      <w:r>
        <w:t xml:space="preserve">can be the</w:t>
      </w:r>
      <w:r>
        <w:t xml:space="preserve"> </w:t>
      </w:r>
      <w:r>
        <w:rPr>
          <w:iCs/>
          <w:i/>
        </w:rPr>
        <w:t xml:space="preserve">anyapadārtha</w:t>
      </w:r>
      <w:r>
        <w:t xml:space="preserve">. The sense of the word</w:t>
      </w:r>
      <w:r>
        <w:t xml:space="preserve"> </w:t>
      </w:r>
      <w:r>
        <w:rPr>
          <w:iCs/>
          <w:i/>
        </w:rPr>
        <w:t xml:space="preserve">stuti</w:t>
      </w:r>
      <w:r>
        <w:t xml:space="preserve"> </w:t>
      </w:r>
      <w:r>
        <w:t xml:space="preserve">included in the compound is</w:t>
      </w:r>
    </w:p>
    <w:bookmarkEnd w:id="819"/>
    <w:bookmarkStart w:id="820" w:name="page-746-upper-rik-9-grammar-end"/>
    <w:p>
      <w:pPr>
        <w:pStyle w:val="Heading3"/>
      </w:pPr>
      <w:r>
        <w:t xml:space="preserve">Page 746 (upper) — Rik 9: grammar (end)</w:t>
      </w:r>
    </w:p>
    <w:p>
      <w:pPr>
        <w:pStyle w:val="FirstParagraph"/>
      </w:pPr>
      <w:r>
        <w:t xml:space="preserve">one thing; the sense set forth by the word</w:t>
      </w:r>
      <w:r>
        <w:t xml:space="preserve"> </w:t>
      </w:r>
      <w:r>
        <w:rPr>
          <w:iCs/>
          <w:i/>
        </w:rPr>
        <w:t xml:space="preserve">suṣṭuti</w:t>
      </w:r>
      <w:r>
        <w:t xml:space="preserve">, meant as the</w:t>
      </w:r>
      <w:r>
        <w:t xml:space="preserve"> </w:t>
      </w:r>
      <w:r>
        <w:rPr>
          <w:iCs/>
          <w:i/>
        </w:rPr>
        <w:t xml:space="preserve">anyapadārtha</w:t>
      </w:r>
      <w:r>
        <w:t xml:space="preserve">, is another. For in</w:t>
      </w:r>
      <w:r>
        <w:t xml:space="preserve"> </w:t>
      </w:r>
      <w:r>
        <w:rPr>
          <w:iCs/>
          <w:i/>
        </w:rPr>
        <w:t xml:space="preserve">suṣṭuti</w:t>
      </w:r>
      <w:r>
        <w:t xml:space="preserve">, the</w:t>
      </w:r>
      <w:r>
        <w:t xml:space="preserve"> </w:t>
      </w:r>
      <w:r>
        <w:rPr>
          <w:iCs/>
          <w:i/>
        </w:rPr>
        <w:t xml:space="preserve">anyapadārtha</w:t>
      </w:r>
      <w:r>
        <w:t xml:space="preserve">, if the word</w:t>
      </w:r>
      <w:r>
        <w:t xml:space="preserve"> </w:t>
      </w:r>
      <w:r>
        <w:rPr>
          <w:iCs/>
          <w:i/>
        </w:rPr>
        <w:t xml:space="preserve">stuti</w:t>
      </w:r>
      <w:r>
        <w:t xml:space="preserve"> </w:t>
      </w:r>
      <w:r>
        <w:t xml:space="preserve">means</w:t>
      </w:r>
      <w:r>
        <w:t xml:space="preserve"> </w:t>
      </w:r>
      <w:r>
        <w:rPr>
          <w:iCs/>
          <w:i/>
        </w:rPr>
        <w:t xml:space="preserve">stūyate anayā iti stutiḥ</w:t>
      </w:r>
      <w:r>
        <w:t xml:space="preserve">, with</w:t>
      </w:r>
      <w:r>
        <w:t xml:space="preserve"> </w:t>
      </w:r>
      <w:r>
        <w:rPr>
          <w:iCs/>
          <w:i/>
        </w:rPr>
        <w:t xml:space="preserve">ktin</w:t>
      </w:r>
      <w:r>
        <w:t xml:space="preserve"> </w:t>
      </w:r>
      <w:r>
        <w:t xml:space="preserve">in the sense of instrument, the ṛk which is the instrument of praise, then the word</w:t>
      </w:r>
      <w:r>
        <w:t xml:space="preserve"> </w:t>
      </w:r>
      <w:r>
        <w:rPr>
          <w:iCs/>
          <w:i/>
        </w:rPr>
        <w:t xml:space="preserve">stuti</w:t>
      </w:r>
      <w:r>
        <w:t xml:space="preserve"> </w:t>
      </w:r>
      <w:r>
        <w:t xml:space="preserve">in the compound,</w:t>
      </w:r>
      <w:r>
        <w:t xml:space="preserve"> </w:t>
      </w:r>
      <w:r>
        <w:rPr>
          <w:iCs/>
          <w:i/>
        </w:rPr>
        <w:t xml:space="preserve">stavanaṃ stutiḥ</w:t>
      </w:r>
      <w:r>
        <w:t xml:space="preserve">, with</w:t>
      </w:r>
      <w:r>
        <w:t xml:space="preserve"> </w:t>
      </w:r>
      <w:r>
        <w:rPr>
          <w:iCs/>
          <w:i/>
        </w:rPr>
        <w:t xml:space="preserve">ktin</w:t>
      </w:r>
      <w:r>
        <w:t xml:space="preserve"> </w:t>
      </w:r>
      <w:r>
        <w:t xml:space="preserve">in the sense of the action, means the act of praising. If in the</w:t>
      </w:r>
      <w:r>
        <w:t xml:space="preserve"> </w:t>
      </w:r>
      <w:r>
        <w:rPr>
          <w:iCs/>
          <w:i/>
        </w:rPr>
        <w:t xml:space="preserve">anyapadārtha</w:t>
      </w:r>
      <w:r>
        <w:t xml:space="preserve"> </w:t>
      </w:r>
      <w:r>
        <w:t xml:space="preserve">the word</w:t>
      </w:r>
      <w:r>
        <w:t xml:space="preserve"> </w:t>
      </w:r>
      <w:r>
        <w:rPr>
          <w:iCs/>
          <w:i/>
        </w:rPr>
        <w:t xml:space="preserve">stuti</w:t>
      </w:r>
      <w:r>
        <w:t xml:space="preserve"> </w:t>
      </w:r>
      <w:r>
        <w:t xml:space="preserve">is meant to state the praising, as ending in</w:t>
      </w:r>
      <w:r>
        <w:t xml:space="preserve"> </w:t>
      </w:r>
      <w:r>
        <w:rPr>
          <w:iCs/>
          <w:i/>
        </w:rPr>
        <w:t xml:space="preserve">ktin</w:t>
      </w:r>
      <w:r>
        <w:t xml:space="preserve"> </w:t>
      </w:r>
      <w:r>
        <w:t xml:space="preserve">in the sense of the action, then the word</w:t>
      </w:r>
      <w:r>
        <w:t xml:space="preserve"> </w:t>
      </w:r>
      <w:r>
        <w:rPr>
          <w:iCs/>
          <w:i/>
        </w:rPr>
        <w:t xml:space="preserve">stuti</w:t>
      </w:r>
      <w:r>
        <w:t xml:space="preserve"> </w:t>
      </w:r>
      <w:r>
        <w:t xml:space="preserve">in the compound, ending in</w:t>
      </w:r>
      <w:r>
        <w:t xml:space="preserve"> </w:t>
      </w:r>
      <w:r>
        <w:rPr>
          <w:iCs/>
          <w:i/>
        </w:rPr>
        <w:t xml:space="preserve">ktin</w:t>
      </w:r>
      <w:r>
        <w:t xml:space="preserve"> </w:t>
      </w:r>
      <w:r>
        <w:t xml:space="preserve">in the sense of instrument, sets forth the sense ṛk. Thus the sense put forward by the word</w:t>
      </w:r>
      <w:r>
        <w:t xml:space="preserve"> </w:t>
      </w:r>
      <w:r>
        <w:rPr>
          <w:iCs/>
          <w:i/>
        </w:rPr>
        <w:t xml:space="preserve">suṣṭuti</w:t>
      </w:r>
      <w:r>
        <w:t xml:space="preserve"> </w:t>
      </w:r>
      <w:r>
        <w:t xml:space="preserve">differs from the sense set forth by the compounded words, so it is the</w:t>
      </w:r>
      <w:r>
        <w:t xml:space="preserve"> </w:t>
      </w:r>
      <w:r>
        <w:rPr>
          <w:iCs/>
          <w:i/>
        </w:rPr>
        <w:t xml:space="preserve">anyapadārtha</w:t>
      </w:r>
      <w:r>
        <w:t xml:space="preserve">. In</w:t>
      </w:r>
      <w:r>
        <w:t xml:space="preserve"> </w:t>
      </w:r>
      <w:r>
        <w:rPr>
          <w:iCs/>
          <w:i/>
        </w:rPr>
        <w:t xml:space="preserve">saha</w:t>
      </w:r>
      <w:r>
        <w:t xml:space="preserve"> </w:t>
      </w:r>
      <w:r>
        <w:t xml:space="preserve">the</w:t>
      </w:r>
      <w:r>
        <w:t xml:space="preserve"> </w:t>
      </w:r>
      <w:r>
        <w:rPr>
          <w:iCs/>
          <w:i/>
        </w:rPr>
        <w:t xml:space="preserve">h</w:t>
      </w:r>
      <w:r>
        <w:t xml:space="preserve"> </w:t>
      </w:r>
      <w:r>
        <w:t xml:space="preserve">becomes</w:t>
      </w:r>
      <w:r>
        <w:t xml:space="preserve"> </w:t>
      </w:r>
      <w:r>
        <w:rPr>
          <w:iCs/>
          <w:i/>
        </w:rPr>
        <w:t xml:space="preserve">dh</w:t>
      </w:r>
      <w:r>
        <w:t xml:space="preserve"> </w:t>
      </w:r>
      <w:r>
        <w:t xml:space="preserve">by exchange. By</w:t>
      </w:r>
      <w:r>
        <w:t xml:space="preserve"> </w:t>
      </w:r>
      <w:r>
        <w:t xml:space="preserve">“</w:t>
      </w:r>
      <w:r>
        <w:t xml:space="preserve">evādīnām antaḥ</w:t>
      </w:r>
      <w:r>
        <w:t xml:space="preserve">”</w:t>
      </w:r>
      <w:r>
        <w:t xml:space="preserve"> </w:t>
      </w:r>
      <w:r>
        <w:t xml:space="preserve">(Phi. sū.</w:t>
      </w:r>
      <w:r>
        <w:t xml:space="preserve"> </w:t>
      </w:r>
      <w:r>
        <w:t xml:space="preserve">“</w:t>
      </w:r>
      <w:r>
        <w:t xml:space="preserve">4-83</w:t>
      </w:r>
      <w:r>
        <w:t xml:space="preserve">”</w:t>
      </w:r>
      <w:r>
        <w:t xml:space="preserve"> </w:t>
      </w:r>
      <w:r>
        <w:t xml:space="preserve">[?]) the word</w:t>
      </w:r>
      <w:r>
        <w:t xml:space="preserve"> </w:t>
      </w:r>
      <w:r>
        <w:rPr>
          <w:iCs/>
          <w:i/>
        </w:rPr>
        <w:t xml:space="preserve">saha</w:t>
      </w:r>
      <w:r>
        <w:t xml:space="preserve"> </w:t>
      </w:r>
      <w:r>
        <w:t xml:space="preserve">is final udātta. After the</w:t>
      </w:r>
      <w:r>
        <w:t xml:space="preserve"> </w:t>
      </w:r>
      <w:r>
        <w:rPr>
          <w:iCs/>
          <w:i/>
        </w:rPr>
        <w:t xml:space="preserve">bahuvrīhi</w:t>
      </w:r>
      <w:r>
        <w:t xml:space="preserve"> </w:t>
      </w:r>
      <w:r>
        <w:t xml:space="preserve">compound has come too, by</w:t>
      </w:r>
      <w:r>
        <w:t xml:space="preserve"> </w:t>
      </w:r>
      <w:r>
        <w:t xml:space="preserve">“</w:t>
      </w:r>
      <w:r>
        <w:t xml:space="preserve">bahuvrīhau prakṛtyā pūrvapadam</w:t>
      </w:r>
      <w:r>
        <w:t xml:space="preserve">”</w:t>
      </w:r>
      <w:r>
        <w:t xml:space="preserve"> </w:t>
      </w:r>
      <w:r>
        <w:t xml:space="preserve">(Pā. sū. 6-2-1) the accent of the first member comes.</w:t>
      </w:r>
    </w:p>
    <w:p>
      <w:pPr>
        <w:pStyle w:val="BodyText"/>
      </w:pPr>
      <w:r>
        <w:rPr>
          <w:bCs/>
          <w:b/>
        </w:rPr>
        <w:t xml:space="preserve">॥९॥</w:t>
      </w:r>
    </w:p>
    <w:p>
      <w:pPr>
        <w:pStyle w:val="BodyText"/>
      </w:pPr>
      <w:r>
        <w:rPr>
          <w:iCs/>
          <w:i/>
        </w:rPr>
        <w:t xml:space="preserve">(Sūkta 17 ends here, mid-page; p. 746 continues with the title of the Eighteenth Sūkta. No colophon is printed.)</w:t>
      </w:r>
    </w:p>
    <w:p>
      <w:r>
        <w:pict>
          <v:rect style="width:0;height:1.5pt" o:hralign="center" o:hrstd="t" o:hr="t"/>
        </w:pict>
      </w:r>
    </w:p>
    <w:bookmarkEnd w:id="820"/>
    <w:bookmarkEnd w:id="821"/>
    <w:bookmarkStart w:id="866" w:name="Xb276451cc4920d11571a4134318736fe71d57d1"/>
    <w:p>
      <w:pPr>
        <w:pStyle w:val="Heading2"/>
      </w:pPr>
      <w:r>
        <w:t xml:space="preserve">॥ ಹದಿನೆಂಟನೆಯ ಸೂಕ್ತವು ॥ — Sūkta 18 —</w:t>
      </w:r>
      <w:r>
        <w:t xml:space="preserve"> </w:t>
      </w:r>
      <w:r>
        <w:rPr>
          <w:iCs/>
          <w:i/>
        </w:rPr>
        <w:t xml:space="preserve">“</w:t>
      </w:r>
      <w:r>
        <w:rPr>
          <w:iCs/>
          <w:i/>
        </w:rPr>
        <w:t xml:space="preserve">somānaṃ svaraṇaṃ kṛṇuhi</w:t>
      </w:r>
      <w:r>
        <w:rPr>
          <w:iCs/>
          <w:i/>
        </w:rPr>
        <w:t xml:space="preserve">”</w:t>
      </w:r>
      <w:r>
        <w:t xml:space="preserve"> </w:t>
      </w:r>
      <w:r>
        <w:t xml:space="preserve">(</w:t>
      </w:r>
      <w:r>
        <w:t xml:space="preserve">“</w:t>
      </w:r>
      <w:r>
        <w:t xml:space="preserve">The Eighteenth Sūkta</w:t>
      </w:r>
      <w:r>
        <w:t xml:space="preserve">”</w:t>
      </w:r>
      <w:r>
        <w:t xml:space="preserve">; first sūkta of the Fifth Anuvāka)</w:t>
      </w:r>
    </w:p>
    <w:p>
      <w:pPr>
        <w:pStyle w:val="FirstParagraph"/>
      </w:pPr>
      <w:r>
        <w:rPr>
          <w:iCs/>
          <w:i/>
        </w:rPr>
        <w:t xml:space="preserve">(Printed p. 746, lower half: the title ಹದಿನೆಂಟನೆಯ ಸೂಕ್ತವು (</w:t>
      </w:r>
      <w:r>
        <w:rPr>
          <w:iCs/>
          <w:i/>
        </w:rPr>
        <w:t xml:space="preserve">“</w:t>
      </w:r>
      <w:r>
        <w:rPr>
          <w:iCs/>
          <w:i/>
        </w:rPr>
        <w:t xml:space="preserve">The Eighteenth Sūkta</w:t>
      </w:r>
      <w:r>
        <w:rPr>
          <w:iCs/>
          <w:i/>
        </w:rPr>
        <w:t xml:space="preserve">”</w:t>
      </w:r>
      <w:r>
        <w:rPr>
          <w:iCs/>
          <w:i/>
        </w:rPr>
        <w:t xml:space="preserve">) and an ornament.)</w:t>
      </w:r>
    </w:p>
    <w:bookmarkStart w:id="822" w:name="page-746-lower-sūkta-18-introduction"/>
    <w:p>
      <w:pPr>
        <w:pStyle w:val="Heading3"/>
      </w:pPr>
      <w:r>
        <w:t xml:space="preserve">Page 746 (lower) — Sūkta 18: introduction</w:t>
      </w:r>
    </w:p>
    <w:p>
      <w:pPr>
        <w:pStyle w:val="FirstParagraph"/>
      </w:pPr>
      <w:r>
        <w:rPr>
          <w:bCs/>
          <w:b/>
        </w:rPr>
        <w:t xml:space="preserve">॥ Sāyaṇa-bhāṣyam ॥</w:t>
      </w:r>
      <w:r>
        <w:t xml:space="preserve"> </w:t>
      </w:r>
      <w:r>
        <w:t xml:space="preserve">(introductory note)</w:t>
      </w:r>
    </w:p>
    <w:p>
      <w:pPr>
        <w:pStyle w:val="BodyText"/>
      </w:pPr>
      <w:r>
        <w:rPr>
          <w:iCs/>
          <w:i/>
        </w:rPr>
        <w:t xml:space="preserve">(सादसस्पत्या, in the Anukramaṇī quotation, is as printed.)</w:t>
      </w:r>
    </w:p>
    <w:p>
      <w:pPr>
        <w:pStyle w:val="BlockText"/>
      </w:pPr>
      <w:r>
        <w:t xml:space="preserve">पञ्चमेऽनुवाके षट् सूक्तानि । तत्र सोमानमित्यादिकं नवर्चं प्रथमं सूक्तम् । ऋषिच्छन्दसी पूर्ववत् । देवताविशेषस्त्वेवमनुक्रम्यते । सोमानमिति पञ्च ब्राह्मणस्पत्याश्चतुर्थ्यामिन्द्रश्च सोमश्च पञ्चम्यां दक्षिणा चान्याः सादसस्पत्या नाराशंसी वान्त्येति । सूक्तगता आद्याः पञ्चर्चो ब्रह्मणस्पतिदेवताकाः । तासां मध्ये स घा वीर इत्येतस्याश्चतुर्थ्या ऋचो ब्रह्मणस्पतिरिन्द्रश्च सोमश्चेति तिस्रो देवताः । त्वं तमित्येतस्याः पञ्चम्या दक्षिणया सह पूर्वोक्तास्तिस्रो देवताः । षष्ठीमारभ्य तिसृणां सदसस्पतिर्देवता । नराशंसमित्येतस्या नवम्याः सदसस्पतिर्नराशंसो वा विकल्प्यते ॥ विनियोगस्तु पूर्ववत् ॥</w:t>
      </w:r>
    </w:p>
    <w:p>
      <w:pPr>
        <w:pStyle w:val="BlockText"/>
      </w:pPr>
      <w:r>
        <w:rPr>
          <w:iCs/>
          <w:i/>
        </w:rPr>
        <w:t xml:space="preserve">pañcame ’nuvāke ṣaṭ sūktāni | tatra somānamityādikaṃ navarcaṃ prathamaṃ sūktam | ṛṣicchandasī pūrvavat | devatāviśeṣastvevamanukramyate | somānamiti pañca brāhmaṇaspatyāścaturthyāmindraśca somaśca pañcamyāṃ dakṣiṇā cānyāḥ sādasaspatyā nārāśaṃsī vāntyeti | sūktagatā ādyāḥ pañcarco brahmaṇaspatidevatākāḥ | tāsāṃ madhye sa ghā vīra ityetasyāścaturthyā ṛco brahmaṇaspatirindraśca somaśceti tisro devatāḥ | tvaṃ tamityetasyāḥ pañcamyā dakṣiṇayā saha pūrvoktāstisro devatāḥ | ṣaṣṭhīmārabhya tisṛṇāṃ sadasaspatirdevatā | narāśaṃsamityetasyā navamyāḥ sadasaspatirnarāśaṃso vā vikalpyate || viniyogastu pūrvavat ||</w:t>
      </w:r>
    </w:p>
    <w:p>
      <w:pPr>
        <w:pStyle w:val="FirstParagraph"/>
      </w:pPr>
      <w:r>
        <w:rPr>
          <w:bCs/>
          <w:b/>
        </w:rPr>
        <w:t xml:space="preserve">Translation:</w:t>
      </w:r>
      <w:r>
        <w:t xml:space="preserve"> </w:t>
      </w:r>
      <w:r>
        <w:t xml:space="preserve">“</w:t>
      </w:r>
      <w:r>
        <w:t xml:space="preserve">In the fifth anuvāka there are six sūktas. Of them the sūkta beginning</w:t>
      </w:r>
      <w:r>
        <w:t xml:space="preserve"> </w:t>
      </w:r>
      <w:r>
        <w:rPr>
          <w:iCs/>
          <w:i/>
        </w:rPr>
        <w:t xml:space="preserve">somānam</w:t>
      </w:r>
      <w:r>
        <w:t xml:space="preserve">, of nine ṛks, is the first. The ṛṣi and metre are as before. The particular deities are stated in the Anukramaṇī thus:</w:t>
      </w:r>
      <w:r>
        <w:t xml:space="preserve"> </w:t>
      </w:r>
      <w:r>
        <w:t xml:space="preserve">‘</w:t>
      </w:r>
      <w:r>
        <w:rPr>
          <w:iCs/>
          <w:i/>
        </w:rPr>
        <w:t xml:space="preserve">somānam</w:t>
      </w:r>
      <w:r>
        <w:t xml:space="preserve">: five to Brahmaṇaspati; in the fourth Indra and Soma too; in the fifth Dakṣiṇā too; the others to Sadasaspati; the last optionally to Narāśaṃsa.</w:t>
      </w:r>
      <w:r>
        <w:t xml:space="preserve">’</w:t>
      </w:r>
      <w:r>
        <w:t xml:space="preserve"> </w:t>
      </w:r>
      <w:r>
        <w:t xml:space="preserve">The first five ṛks of the sūkta have Brahmaṇaspati as deity. Among them, the fourth ṛk,</w:t>
      </w:r>
      <w:r>
        <w:t xml:space="preserve"> </w:t>
      </w:r>
      <w:r>
        <w:rPr>
          <w:iCs/>
          <w:i/>
        </w:rPr>
        <w:t xml:space="preserve">sa ghā vīraḥ</w:t>
      </w:r>
      <w:r>
        <w:t xml:space="preserve">, has three deities: Brahmaṇaspati, Indra and Soma. The fifth,</w:t>
      </w:r>
      <w:r>
        <w:t xml:space="preserve"> </w:t>
      </w:r>
      <w:r>
        <w:rPr>
          <w:iCs/>
          <w:i/>
        </w:rPr>
        <w:t xml:space="preserve">tvaṃ tam</w:t>
      </w:r>
      <w:r>
        <w:t xml:space="preserve">, has the three named before together with Dakṣiṇā. From the sixth on, three have Sadasaspati as deity. For the ninth,</w:t>
      </w:r>
      <w:r>
        <w:t xml:space="preserve"> </w:t>
      </w:r>
      <w:r>
        <w:rPr>
          <w:iCs/>
          <w:i/>
        </w:rPr>
        <w:t xml:space="preserve">narāśaṃsam</w:t>
      </w:r>
      <w:r>
        <w:t xml:space="preserve">, Sadasaspati or Narāśaṃsa is the option. The application is as before.</w:t>
      </w:r>
      <w:r>
        <w:t xml:space="preserve">”</w:t>
      </w:r>
    </w:p>
    <w:bookmarkEnd w:id="822"/>
    <w:bookmarkStart w:id="823" w:name="X3998f1a627a07e6513452b06459f58072db048c"/>
    <w:p>
      <w:pPr>
        <w:pStyle w:val="Heading3"/>
      </w:pPr>
      <w:r>
        <w:t xml:space="preserve">Page 747 — Sūkta 18: introduction (end), heading, Rik 1 Saṃhitā and Pada</w:t>
      </w:r>
    </w:p>
    <w:p>
      <w:pPr>
        <w:pStyle w:val="FirstParagraph"/>
      </w:pPr>
      <w:r>
        <w:rPr>
          <w:bCs/>
          <w:b/>
        </w:rPr>
        <w:t xml:space="preserve">Anuvāda (Kannada rendering):</w:t>
      </w:r>
      <w:r>
        <w:t xml:space="preserve"> </w:t>
      </w:r>
      <w:r>
        <w:t xml:space="preserve">With this sūkta the fifth anuvāka begins. In this anuvāka there are six sūktas. Of them the nine-ṛk sūkta</w:t>
      </w:r>
      <w:r>
        <w:t xml:space="preserve"> </w:t>
      </w:r>
      <w:r>
        <w:rPr>
          <w:iCs/>
          <w:i/>
        </w:rPr>
        <w:t xml:space="preserve">somānam</w:t>
      </w:r>
      <w:r>
        <w:t xml:space="preserve"> </w:t>
      </w:r>
      <w:r>
        <w:t xml:space="preserve">is the first. The ṛṣi and metres are as in the previous sūkta. The particular deities are stated in the Anukramaṇikā thus:</w:t>
      </w:r>
      <w:r>
        <w:t xml:space="preserve"> </w:t>
      </w:r>
      <w:r>
        <w:t xml:space="preserve">“</w:t>
      </w:r>
      <w:r>
        <w:rPr>
          <w:iCs/>
          <w:i/>
        </w:rPr>
        <w:t xml:space="preserve">somānam iti pañca brāhmaṇaspatyaś caturthyām indraś ca somaś ca pañcamyāṃ dakṣiṇā cānyāḥ sādasaspatyā nārāśaṃsī vāntyeti</w:t>
      </w:r>
      <w:r>
        <w:t xml:space="preserve">”</w:t>
      </w:r>
      <w:r>
        <w:t xml:space="preserve">; that is, in the sūkta</w:t>
      </w:r>
      <w:r>
        <w:t xml:space="preserve"> </w:t>
      </w:r>
      <w:r>
        <w:rPr>
          <w:iCs/>
          <w:i/>
        </w:rPr>
        <w:t xml:space="preserve">somānam</w:t>
      </w:r>
      <w:r>
        <w:t xml:space="preserve"> </w:t>
      </w:r>
      <w:r>
        <w:t xml:space="preserve">of the fifth anuvāka, the deities are Brahmaṇaspati for the first three ṛks; Brahmaṇaspati, Indra and Soma for the fourth; Brahmaṇaspati and Dakṣiṇā for the fifth; Sadasaspati for the ṛks from the sixth to the eighth; and Sadasaspati or Narāśaṃsa for the ninth. The first five ṛks of the sūkta have Brahmaṇaspati as deity. Among them the fourth ṛk,</w:t>
      </w:r>
      <w:r>
        <w:t xml:space="preserve"> </w:t>
      </w:r>
      <w:r>
        <w:rPr>
          <w:iCs/>
          <w:i/>
        </w:rPr>
        <w:t xml:space="preserve">sa ghā vīraḥ</w:t>
      </w:r>
      <w:r>
        <w:t xml:space="preserve">, has three deities, Brahmaṇaspati, Indra and Soma. The fifth ṛk,</w:t>
      </w:r>
      <w:r>
        <w:t xml:space="preserve"> </w:t>
      </w:r>
      <w:r>
        <w:rPr>
          <w:iCs/>
          <w:i/>
        </w:rPr>
        <w:t xml:space="preserve">tvaṃ tam</w:t>
      </w:r>
      <w:r>
        <w:t xml:space="preserve">, has the three deities of the previous ṛk together with the deity Dakṣiṇā. The three ṛks from the sixth to the eighth have Sadasaspati as deity. The ninth ṛk,</w:t>
      </w:r>
      <w:r>
        <w:t xml:space="preserve"> </w:t>
      </w:r>
      <w:r>
        <w:rPr>
          <w:iCs/>
          <w:i/>
        </w:rPr>
        <w:t xml:space="preserve">narāśaṃsam</w:t>
      </w:r>
      <w:r>
        <w:t xml:space="preserve">, has Sadasaspati or Narāśaṃsa as deity, optionally. The application is as before.</w:t>
      </w:r>
    </w:p>
    <w:p>
      <w:pPr>
        <w:pStyle w:val="BodyText"/>
      </w:pPr>
      <w:r>
        <w:rPr>
          <w:bCs/>
          <w:b/>
        </w:rPr>
        <w:t xml:space="preserve">॥ ॐ ॥</w:t>
      </w:r>
    </w:p>
    <w:p>
      <w:pPr>
        <w:pStyle w:val="BodyText"/>
      </w:pPr>
      <w:r>
        <w:rPr>
          <w:bCs/>
          <w:b/>
        </w:rPr>
        <w:t xml:space="preserve">॥ Sūkta — 18 ॥</w:t>
      </w:r>
      <w:r>
        <w:t xml:space="preserve"> </w:t>
      </w:r>
      <w:r>
        <w:rPr>
          <w:bCs/>
          <w:b/>
        </w:rPr>
        <w:t xml:space="preserve">॥ Maṇḍala — 1 ॥ Anuvāka — 5 ॥ Sūkta — 18 ॥</w:t>
      </w:r>
      <w:r>
        <w:t xml:space="preserve"> </w:t>
      </w:r>
      <w:r>
        <w:rPr>
          <w:bCs/>
          <w:b/>
        </w:rPr>
        <w:t xml:space="preserve">॥ Aṣṭaka — 1 ॥ Adhyāya — 1 ॥ Varga — 34, 35 ॥</w:t>
      </w:r>
      <w:r>
        <w:t xml:space="preserve"> </w:t>
      </w:r>
      <w:r>
        <w:rPr>
          <w:bCs/>
          <w:b/>
        </w:rPr>
        <w:t xml:space="preserve">॥ Number of ṛks in the sūkta: 1–9 ॥</w:t>
      </w:r>
      <w:r>
        <w:t xml:space="preserve"> </w:t>
      </w:r>
      <w:r>
        <w:rPr>
          <w:bCs/>
          <w:b/>
        </w:rPr>
        <w:t xml:space="preserve">॥ Ṛṣiḥ — Medhātithiḥ Kāṇvaḥ ॥</w:t>
      </w:r>
      <w:r>
        <w:t xml:space="preserve"> </w:t>
      </w:r>
      <w:r>
        <w:rPr>
          <w:bCs/>
          <w:b/>
        </w:rPr>
        <w:t xml:space="preserve">॥ Devatā — 1–3 Brahmaṇaspatiḥ ॥ 4. Brahmaṇaspatir Indraś ca Somaś ca । 5. Brahmaṇaspatir Dakṣiṇā ca । 6–8. Sadasaspatiḥ । 9. Sadasaspatir Narāśaṃso vā ॥</w:t>
      </w:r>
      <w:r>
        <w:t xml:space="preserve"> </w:t>
      </w:r>
      <w:r>
        <w:rPr>
          <w:bCs/>
          <w:b/>
        </w:rPr>
        <w:t xml:space="preserve">॥ Chandaḥ — Gāyatrī ॥</w:t>
      </w:r>
    </w:p>
    <w:bookmarkEnd w:id="823"/>
    <w:bookmarkStart w:id="824" w:name="sūkta-18-rik-1"/>
    <w:p>
      <w:pPr>
        <w:pStyle w:val="Heading3"/>
      </w:pPr>
      <w:r>
        <w:t xml:space="preserve">Sūkta 18, Rik 1</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सो॒मानं॒ स्वर॑णं कृणु॒हि ब्र॑ह्मणस्पते ।</w:t>
      </w:r>
      <w:r>
        <w:t xml:space="preserve"> </w:t>
      </w:r>
      <w:r>
        <w:t xml:space="preserve">क॒क्षीव॑न्तं॒ य औ॑शि॒जः ॥१॥</w:t>
      </w:r>
    </w:p>
    <w:p>
      <w:pPr>
        <w:pStyle w:val="BlockText"/>
      </w:pPr>
      <w:r>
        <w:rPr>
          <w:iCs/>
          <w:i/>
        </w:rPr>
        <w:t xml:space="preserve">somā́naṃ sváraṇaṃ kṛṇuhí brahmaṇaspate |</w:t>
      </w:r>
      <w:r>
        <w:t xml:space="preserve"> </w:t>
      </w:r>
      <w:r>
        <w:rPr>
          <w:iCs/>
          <w:i/>
        </w:rPr>
        <w:t xml:space="preserve">kakṣī́vantaṃ yá auśijáḥ ||1||</w:t>
      </w:r>
    </w:p>
    <w:p>
      <w:pPr>
        <w:pStyle w:val="FirstParagraph"/>
      </w:pPr>
      <w:r>
        <w:rPr>
          <w:bCs/>
          <w:b/>
        </w:rPr>
        <w:t xml:space="preserve">॥ Pada-pāṭhaḥ ॥</w:t>
      </w:r>
    </w:p>
    <w:p>
      <w:pPr>
        <w:pStyle w:val="BlockText"/>
      </w:pPr>
      <w:r>
        <w:t xml:space="preserve">सोमानम् । स्वरणम् । कृणुहि । ब्रह्मणः । पते ॥</w:t>
      </w:r>
      <w:r>
        <w:t xml:space="preserve"> </w:t>
      </w:r>
      <w:r>
        <w:t xml:space="preserve">कक्षीवन्तम् । यः । औशिजः ॥१॥</w:t>
      </w:r>
    </w:p>
    <w:p>
      <w:pPr>
        <w:pStyle w:val="BlockText"/>
      </w:pPr>
      <w:r>
        <w:rPr>
          <w:iCs/>
          <w:i/>
        </w:rPr>
        <w:t xml:space="preserve">somānam | svaraṇam | kṛṇuhi | brahmaṇaḥ | pate ||</w:t>
      </w:r>
      <w:r>
        <w:t xml:space="preserve"> </w:t>
      </w:r>
      <w:r>
        <w:rPr>
          <w:iCs/>
          <w:i/>
        </w:rPr>
        <w:t xml:space="preserve">kakṣīvantam | yaḥ | auśijaḥ ||1||</w:t>
      </w:r>
    </w:p>
    <w:bookmarkEnd w:id="824"/>
    <w:bookmarkStart w:id="825" w:name="page-748-rik-1-bhāṣya"/>
    <w:p>
      <w:pPr>
        <w:pStyle w:val="Heading3"/>
      </w:pPr>
      <w:r>
        <w:t xml:space="preserve">Page 748 — Rik 1: bhāṣya</w:t>
      </w:r>
    </w:p>
    <w:p>
      <w:pPr>
        <w:pStyle w:val="FirstParagraph"/>
      </w:pPr>
      <w:r>
        <w:rPr>
          <w:bCs/>
          <w:b/>
        </w:rPr>
        <w:t xml:space="preserve">॥ Sāyaṇa-bhāṣyam ॥</w:t>
      </w:r>
    </w:p>
    <w:p>
      <w:pPr>
        <w:pStyle w:val="BodyText"/>
      </w:pPr>
      <w:r>
        <w:rPr>
          <w:iCs/>
          <w:i/>
        </w:rPr>
        <w:t xml:space="preserve">(पर आट्णारः is as printed (also in the Kannada on p. 750).)</w:t>
      </w:r>
    </w:p>
    <w:p>
      <w:pPr>
        <w:pStyle w:val="BlockText"/>
      </w:pPr>
      <w:r>
        <w:t xml:space="preserve">हे ब्रह्मणस्पते एतन्नामकदेव सोमानमभिषवस्य कर्तारं मामनुष्ठातारं स्वरणं देवेषु प्रकाशनवन्तं कृणुहि । कुरु । अत्र दृष्टान्तः । कक्षीवन्तमेतन्नामकमृषिम् । इवशब्दोऽत्राध्याहर्तव्यः । कक्षीवान्यथा देवेषु प्रसिद्धस्तद्वदित्यर्थः । यः कक्षीवानृषिरौशिज उशिजः पुत्रः । तमिवेति पूर्वत्र योजना । कक्षीवतोऽनुष्ठातृषु मुनिषु प्रसिद्धिस्तैत्तिरीयैराम्नायते । एवं वै पर आट्णारः कक्षीवाँ औशिजो वीतहव्यः श्रायसस्त्रसदस्युः पौरुकुत्स्यः प्रजाकामा अचिन्वत । तै. सं. ५-६-५-३ । इति । ऋगन्तरेऽप्यृषित्वकथनेनानुष्ठातृत्वप्रसिद्धिः सूच्यते । अहं कक्षीवाँ ऋषिरस्मि विप्रः । ऋग्वे. ४-२६-१ । इति । तस्मादस्यानुष्ठातारं प्रति दृष्टान्तत्वं युक्तम् । सोऽयं मन्त्रो यास्केनैवं व्याख्यातः । सोमानं सोतारं प्रकाशनवन्तं कुरु ब्रह्मणस्पते कक्षीवन्तमिव य औशिजः । कक्षीवान्कक्ष्यावानौशिज उशिजः पुत्र उशिग्वष्टेः कान्तिकर्मणोऽपि त्वयं मनुष्यकक्ष एवाभिप्रेतः स्यात्तं सोमानं सोतारं मा प्रकाशनवन्तं कुरु ब्रह्मणस्पते । नि. ६-१० । इति । अस्मिन्मन्त्रे सोमानमिति पादेन कृणुहि ब्रह्मण इति पादेन सूचितं तात्पर्यं तैत्तिरीया आमनन्ति । सोमानं स्वरणमित्याह सोमपीथमेवाव रुन्द्धे । कृणुहि ब्रह्मणस्पत इत्याह ब्रह्मवर्चसमेवाव रुन्द्धे । तै. सं. १-५-८-४ । इति ॥ सोमानम् । सुनोतीति । षुञ् अभिषवे । अन्येभ्योऽपि दृश्यन्त इति मनिन् । दृशिग्रहणस्य विध्यन्तरोपसंग्रहणार्थत्वान्नित्त्वेऽपि नाद्युदात्तत्वं किंतु प्रत्ययस्वर एव । उञ्छादिषु वा सोमञ्शब्दो द्रष्टव्यः । पा. ६-१-१६० । बहुलग्रहणादौणादिको वा मनिर्द्रष्टव्यः । स्वरणम् । प्रख्यातम् । स्वृ शब्दोपतापयोः । कृत्यल्युटो बहुलम् । पा. ३-३-११३ । इति कर्मणि ल्युट् । लितीत्यकार उदात्तः । कृणुहि । कृवि हिंसाकरणयोश्च । इदितो नुम् धातोरिति नुम् । लोटः सिपो हिः । शपि प्राप्ते धिन्विकृण्व्योरच्चेत्युप्रत्ययः । तत्सन्नियोगेन वकारस्याकारः । तस्यातो लोप इति लोपः । तस्य स्थानिवद्भावान्न पूर्वस्य लघूपधगुणः । हेर्ङित्त्वादुकारस्य न गुणः । उतश्च प्रत्ययाच्छन्दो वा वचनम् । पा. ६-४-१०६-१ । इति हेर्लुङ्न । सतिशिष्टस्वरबलीयस्त्वमन्यत्र विकरणेभ्य इति वचनाद्धेरेव प्रत्ययस्वरेणोदात्तत्वम् । पादादित्वान्न निघातः । ब्रह्मणः । षष्ठ्याः पतिपुत्रेत्यादिना । पा. ८-३-५३ । संहितायां विसर्जनीयस्य सकारः । सुबामन्त्रिते पराङ्गवद्भावात्पदद्वयस्यामन्त्रितनिघातः । कक्षीवन्तम् । कक्षे भवा कक्ष्या अश्वोदरसंबन्धिनी रज्जुः । भवे छन्दसि । पा. ४-४-११० । इति यत्प्रत्ययः । सास्यास्तीत्यर्थ आसन्दीवदष्ठीवच्चक्रीवत्कक्षीवत् । पा. ८-२-१२ । इत्यृषिविशेषनाम कक्षीवच्छब्दो निपातितः । छन्दसीर इति वत्वम् । यप्रत्ययस्वरेण तदादेशो निपातित ईकार उदात्तः । मतुप्सुपौ पित्त्वादनुदात्तौ । औशिजः । वश कान्तौ । इजीत्यनुवृत्तौ वशेः किच्च । उ. २-७१ । इतीजिप्रत्ययः । तस्य कित्त्वाद्ग्रहिज्येत्यादिना संप्रसारणं परपूर्वत्वे गुणाभावः । तस्यापत्यम् । पा. ४-१-९२ । इति प्राग्दीव्यतोऽण् । पा. ४-१-८३ । आदिवृद्धिः । प्रत्ययस्वरेणान्तोदात्तत्वम् ॥</w:t>
      </w:r>
    </w:p>
    <w:p>
      <w:pPr>
        <w:pStyle w:val="BlockText"/>
      </w:pPr>
      <w:r>
        <w:rPr>
          <w:iCs/>
          <w:i/>
        </w:rPr>
        <w:t xml:space="preserve">he brahmaṇaspate etannāmakadeva somānamabhiṣavasya kartāraṃ māmanuṣṭhātāraṃ svaraṇaṃ deveṣu prakāśanavantaṃ kṛṇuhi | kuru | atra dṛṣṭāntaḥ | kakṣīvantametannāmakamṛṣim | ivaśabdo ’trādhyāhartavyaḥ | kakṣīvānyathā deveṣu prasiddhastadvadityarthaḥ | yaḥ kakṣīvānṛṣirauśija uśijaḥ putraḥ | tamiveti pūrvatra yojanā | kakṣīvato ’nuṣṭhātṛṣu muniṣu prasiddhistaittirīyairāmnāyate | evaṃ vai para āṭṇāraḥ kakṣīvā~ auśijo vītahavyaḥ śrāyasastrasadasyuḥ paurukutsyaḥ prajākāmā acinvata | tai. saṃ. 5-6-5-3 | iti | ṛgantare ’pyṛṣitvakathanenānuṣṭhātṛtvaprasiddhiḥ sūcyate | ahaṃ kakṣīvā~ ṛṣirasmi vipraḥ | ṛgve. 4-26-1 | iti | tasmādasyānuṣṭhātāraṃ prati dṛṣṭāntatvaṃ yuktam | so ’yaṃ mantro yāskenaivaṃ vyākhyātaḥ | somānaṃ sotāraṃ prakāśanavantaṃ kuru brahmaṇaspate kakṣīvantamiva ya auśijaḥ | kakṣīvānkakṣyāvānauśija uśijaḥ putra uśigvaṣṭeḥ kāntikarmaṇo ’pi tvayaṃ manuṣyakakṣa evābhipretaḥ syāttaṃ somānaṃ sotāraṃ mā prakāśanavantaṃ kuru brahmaṇaspate | ni. 6-10 | iti | asminmantre somānamiti pādena kṛṇuhi brahmaṇa iti pādena sūcitaṃ tātparyaṃ taittirīyā āmananti | somānaṃ svaraṇamityāha somapīthamevāva runddhe | kṛṇuhi brahmaṇaspata ityāha brahmavarcasamevāva runddhe | tai. saṃ. 1-5-8-4 | iti || somānam | sunotīti | ṣuñ abhiṣave | anyebhyo ’pi dṛśyanta iti manin | dṛśigrahaṇasya vidhyantaropasaṃgrahaṇārthatvānnittve ’pi nādyudāttatvaṃ kiṃtu pratyayasvara eva | uñchādiṣu vā somañśabdo draṣṭavyaḥ | pā. 6-1-160 | bahulagrahaṇādauṇādiko vā manirdraṣṭavyaḥ | svaraṇam | prakhyātam | svṛ śabdopatāpayoḥ | kṛtyalyuṭo bahulam | pā. 3-3-113 | iti karmaṇi lyuṭ | litītyakāra udāttaḥ | kṛṇuhi | kṛvi hiṃsākaraṇayośca | idito num dhātoriti num | loṭaḥ sipo hiḥ | śapi prāpte dhinvikṛṇvyoraccetyupratyayaḥ | tatsanniyogena vakārasyākāraḥ | tasyāto lopa iti lopaḥ | tasya sthānivadbhāvānna pūrvasya laghūpadhaguṇaḥ | herṅittvādukārasya na guṇaḥ | utaśca pratyayācchando vā vacanam | pā. 6-4-106-1 | iti herluṅna | satiśiṣṭasvarabalīyastvamanyatra vikaraṇebhya iti vacanāddhereva pratyayasvareṇodāttatvam | pādāditvānna nighātaḥ | brahmaṇaḥ | ṣaṣṭhyāḥ patiputretyādinā | pā. 8-3-53 | saṃhitāyāṃ visarjanīyasya sakāraḥ | subāmantrite parāṅgavadbhāvātpadadvayasyāmantritanighātaḥ | kakṣīvantam | kakṣe bhavā kakṣyā aśvodarasaṃbandhinī rajjuḥ | bhave chandasi | pā. 4-4-110 | iti yatpratyayaḥ | sāsyāstītyartha āsandīvadaṣṭhīvaccakrīvatkakṣīvat | pā. 8-2-12 | ityṛṣiviśeṣanāma kakṣīvacchabdo nipātitaḥ | chandasīra iti vatvam | yapratyayasvareṇa tadādeśo nipātita īkāra udāttaḥ | matupsupau pittvādanudāttau | auśijaḥ | vaśa kāntau | ijītyanuvṛttau vaśeḥ kicca | u. 2-71 | itījipratyayaḥ | tasya kittvādgrahijyetyādinā saṃprasāraṇaṃ parapūrvatve guṇābhāvaḥ | tasyāpatyam | pā. 4-1-92 | iti prāgdīvyato ’ṇ | pā. 4-1-83 | ādivṛddhiḥ | pratyayasvareṇāntodāttatvam ||</w:t>
      </w:r>
    </w:p>
    <w:p>
      <w:pPr>
        <w:pStyle w:val="FirstParagraph"/>
      </w:pPr>
      <w:r>
        <w:rPr>
          <w:bCs/>
          <w:b/>
        </w:rPr>
        <w:t xml:space="preserve">Translation:</w:t>
      </w:r>
      <w:r>
        <w:t xml:space="preserve"> </w:t>
      </w:r>
      <w:r>
        <w:t xml:space="preserve">“</w:t>
      </w:r>
      <w:r>
        <w:t xml:space="preserve">O Brahmaṇaspati, god of that name,</w:t>
      </w:r>
      <w:r>
        <w:t xml:space="preserve"> </w:t>
      </w:r>
      <w:r>
        <w:rPr>
          <w:iCs/>
          <w:i/>
        </w:rPr>
        <w:t xml:space="preserve">kṛṇuhi</w:t>
      </w:r>
      <w:r>
        <w:t xml:space="preserve">, make</w:t>
      </w:r>
      <w:r>
        <w:t xml:space="preserve"> </w:t>
      </w:r>
      <w:r>
        <w:rPr>
          <w:iCs/>
          <w:i/>
        </w:rPr>
        <w:t xml:space="preserve">somānam</w:t>
      </w:r>
      <w:r>
        <w:t xml:space="preserve">, me the performer, the presser of soma,</w:t>
      </w:r>
      <w:r>
        <w:t xml:space="preserve"> </w:t>
      </w:r>
      <w:r>
        <w:rPr>
          <w:iCs/>
          <w:i/>
        </w:rPr>
        <w:t xml:space="preserve">svaraṇam</w:t>
      </w:r>
      <w:r>
        <w:t xml:space="preserve">, renowned among the gods. Here is an example:</w:t>
      </w:r>
      <w:r>
        <w:t xml:space="preserve"> </w:t>
      </w:r>
      <w:r>
        <w:rPr>
          <w:iCs/>
          <w:i/>
        </w:rPr>
        <w:t xml:space="preserve">kakṣīvantam</w:t>
      </w:r>
      <w:r>
        <w:t xml:space="preserve">, the ṛṣi of that name; the word</w:t>
      </w:r>
      <w:r>
        <w:t xml:space="preserve"> </w:t>
      </w:r>
      <w:r>
        <w:t xml:space="preserve">‘</w:t>
      </w:r>
      <w:r>
        <w:t xml:space="preserve">like</w:t>
      </w:r>
      <w:r>
        <w:t xml:space="preserve">’</w:t>
      </w:r>
      <w:r>
        <w:t xml:space="preserve"> </w:t>
      </w:r>
      <w:r>
        <w:t xml:space="preserve">is to be supplied: as Kakṣīvān is renowned among the gods, so; that ṛṣi Kakṣīvān who is</w:t>
      </w:r>
      <w:r>
        <w:t xml:space="preserve"> </w:t>
      </w:r>
      <w:r>
        <w:rPr>
          <w:iCs/>
          <w:i/>
        </w:rPr>
        <w:t xml:space="preserve">auśija</w:t>
      </w:r>
      <w:r>
        <w:t xml:space="preserve">, the son of Uśij; the construction is</w:t>
      </w:r>
      <w:r>
        <w:t xml:space="preserve"> </w:t>
      </w:r>
      <w:r>
        <w:t xml:space="preserve">‘</w:t>
      </w:r>
      <w:r>
        <w:t xml:space="preserve">like him</w:t>
      </w:r>
      <w:r>
        <w:t xml:space="preserve">’</w:t>
      </w:r>
      <w:r>
        <w:t xml:space="preserve"> </w:t>
      </w:r>
      <w:r>
        <w:t xml:space="preserve">with what precedes. Kakṣīvān’s renown among the sages who perform rites is recorded by the Taittirīyas:</w:t>
      </w:r>
      <w:r>
        <w:t xml:space="preserve"> </w:t>
      </w:r>
      <w:r>
        <w:t xml:space="preserve">‘</w:t>
      </w:r>
      <w:r>
        <w:t xml:space="preserve">… Kakṣīvān Auśija, Vītahavya Śrāyasa, Trasadasyu Paurukutsya, desiring offspring, piled [the fire]</w:t>
      </w:r>
      <w:r>
        <w:t xml:space="preserve">’</w:t>
      </w:r>
      <w:r>
        <w:t xml:space="preserve"> </w:t>
      </w:r>
      <w:r>
        <w:t xml:space="preserve">(Tai. saṃ. 5-6-5-3). In another ṛk too, by the statement that he is a ṛṣi, his renown as a performer is indicated:</w:t>
      </w:r>
      <w:r>
        <w:t xml:space="preserve"> </w:t>
      </w:r>
      <w:r>
        <w:t xml:space="preserve">‘</w:t>
      </w:r>
      <w:r>
        <w:t xml:space="preserve">I am Kakṣīvān, the ṛṣi, the inspired one</w:t>
      </w:r>
      <w:r>
        <w:t xml:space="preserve">’</w:t>
      </w:r>
      <w:r>
        <w:t xml:space="preserve"> </w:t>
      </w:r>
      <w:r>
        <w:t xml:space="preserve">(Ṛgveda 4-26-1). So it is fitting that he is the example for the performer. Yāska explains this mantra thus:</w:t>
      </w:r>
      <w:r>
        <w:t xml:space="preserve"> </w:t>
      </w:r>
      <w:r>
        <w:t xml:space="preserve">‘</w:t>
      </w:r>
      <w:r>
        <w:t xml:space="preserve">Make the</w:t>
      </w:r>
      <w:r>
        <w:t xml:space="preserve"> </w:t>
      </w:r>
      <w:r>
        <w:rPr>
          <w:iCs/>
          <w:i/>
        </w:rPr>
        <w:t xml:space="preserve">somānam</w:t>
      </w:r>
      <w:r>
        <w:t xml:space="preserve">, the presser, renowned, O Brahmaṇaspati, like Kakṣīvān, who is Auśija; Kakṣīvān is one having a girth [</w:t>
      </w:r>
      <w:r>
        <w:rPr>
          <w:iCs/>
          <w:i/>
        </w:rPr>
        <w:t xml:space="preserve">kakṣyā</w:t>
      </w:r>
      <w:r>
        <w:t xml:space="preserve">]; Auśija is the son of Uśij;</w:t>
      </w:r>
      <w:r>
        <w:t xml:space="preserve"> </w:t>
      </w:r>
      <w:r>
        <w:rPr>
          <w:iCs/>
          <w:i/>
        </w:rPr>
        <w:t xml:space="preserve">uśik</w:t>
      </w:r>
      <w:r>
        <w:t xml:space="preserve"> </w:t>
      </w:r>
      <w:r>
        <w:t xml:space="preserve">is from</w:t>
      </w:r>
      <w:r>
        <w:t xml:space="preserve"> </w:t>
      </w:r>
      <w:r>
        <w:rPr>
          <w:iCs/>
          <w:i/>
        </w:rPr>
        <w:t xml:space="preserve">vaś</w:t>
      </w:r>
      <w:r>
        <w:t xml:space="preserve">, an action of desire; but here a man’s girth may be meant; make me, the presser, renowned, O Brahmaṇaspati</w:t>
      </w:r>
      <w:r>
        <w:t xml:space="preserve">’</w:t>
      </w:r>
      <w:r>
        <w:t xml:space="preserve"> </w:t>
      </w:r>
      <w:r>
        <w:t xml:space="preserve">(Ni. 6-10). The purport suggested in this mantra by the</w:t>
      </w:r>
      <w:r>
        <w:t xml:space="preserve"> </w:t>
      </w:r>
      <w:r>
        <w:rPr>
          <w:iCs/>
          <w:i/>
        </w:rPr>
        <w:t xml:space="preserve">pāda</w:t>
      </w:r>
      <w:r>
        <w:t xml:space="preserve"> </w:t>
      </w:r>
      <w:r>
        <w:rPr>
          <w:iCs/>
          <w:i/>
        </w:rPr>
        <w:t xml:space="preserve">somānam</w:t>
      </w:r>
      <w:r>
        <w:t xml:space="preserve"> </w:t>
      </w:r>
      <w:r>
        <w:t xml:space="preserve">and by the</w:t>
      </w:r>
      <w:r>
        <w:t xml:space="preserve"> </w:t>
      </w:r>
      <w:r>
        <w:rPr>
          <w:iCs/>
          <w:i/>
        </w:rPr>
        <w:t xml:space="preserve">pāda</w:t>
      </w:r>
      <w:r>
        <w:t xml:space="preserve"> </w:t>
      </w:r>
      <w:r>
        <w:rPr>
          <w:iCs/>
          <w:i/>
        </w:rPr>
        <w:t xml:space="preserve">kṛṇuhi brahmaṇaḥ</w:t>
      </w:r>
      <w:r>
        <w:t xml:space="preserve"> </w:t>
      </w:r>
      <w:r>
        <w:t xml:space="preserve">the Taittirīyas declare:</w:t>
      </w:r>
      <w:r>
        <w:t xml:space="preserve"> </w:t>
      </w:r>
      <w:r>
        <w:t xml:space="preserve">‘</w:t>
      </w:r>
      <w:r>
        <w:t xml:space="preserve">He says</w:t>
      </w:r>
      <w:r>
        <w:t xml:space="preserve"> </w:t>
      </w:r>
      <w:r>
        <w:rPr>
          <w:iCs/>
          <w:i/>
        </w:rPr>
        <w:t xml:space="preserve">somānaṃ svaraṇam</w:t>
      </w:r>
      <w:r>
        <w:t xml:space="preserve">: he secures the drinking of soma. He says</w:t>
      </w:r>
      <w:r>
        <w:t xml:space="preserve"> </w:t>
      </w:r>
      <w:r>
        <w:rPr>
          <w:iCs/>
          <w:i/>
        </w:rPr>
        <w:t xml:space="preserve">kṛṇuhi brahmaṇaspate</w:t>
      </w:r>
      <w:r>
        <w:t xml:space="preserve">: he secures brahmavarcas</w:t>
      </w:r>
      <w:r>
        <w:t xml:space="preserve">’</w:t>
      </w:r>
      <w:r>
        <w:t xml:space="preserve"> </w:t>
      </w:r>
      <w:r>
        <w:t xml:space="preserve">(Tai. saṃ. 1-5-8-4).</w:t>
      </w:r>
      <w:r>
        <w:t xml:space="preserve">”</w:t>
      </w:r>
      <w:r>
        <w:t xml:space="preserve"> </w:t>
      </w:r>
      <w:r>
        <w:t xml:space="preserve">(Grammatical tail:</w:t>
      </w:r>
      <w:r>
        <w:t xml:space="preserve"> </w:t>
      </w:r>
      <w:r>
        <w:rPr>
          <w:iCs/>
          <w:i/>
        </w:rPr>
        <w:t xml:space="preserve">somānam</w:t>
      </w:r>
      <w:r>
        <w:t xml:space="preserve">,</w:t>
      </w:r>
      <w:r>
        <w:t xml:space="preserve"> </w:t>
      </w:r>
      <w:r>
        <w:t xml:space="preserve">“</w:t>
      </w:r>
      <w:r>
        <w:t xml:space="preserve">he presses</w:t>
      </w:r>
      <w:r>
        <w:t xml:space="preserve">”</w:t>
      </w:r>
      <w:r>
        <w:t xml:space="preserve">,</w:t>
      </w:r>
      <w:r>
        <w:t xml:space="preserve"> </w:t>
      </w:r>
      <w:r>
        <w:rPr>
          <w:iCs/>
          <w:i/>
        </w:rPr>
        <w:t xml:space="preserve">ṣuñ abhiṣave</w:t>
      </w:r>
      <w:r>
        <w:t xml:space="preserve">,</w:t>
      </w:r>
      <w:r>
        <w:t xml:space="preserve"> </w:t>
      </w:r>
      <w:r>
        <w:rPr>
          <w:iCs/>
          <w:i/>
        </w:rPr>
        <w:t xml:space="preserve">manin</w:t>
      </w:r>
      <w:r>
        <w:t xml:space="preserve"> </w:t>
      </w:r>
      <w:r>
        <w:t xml:space="preserve">by</w:t>
      </w:r>
      <w:r>
        <w:t xml:space="preserve"> </w:t>
      </w:r>
      <w:r>
        <w:rPr>
          <w:iCs/>
          <w:i/>
        </w:rPr>
        <w:t xml:space="preserve">anyebhyo ’pi dṛśyante</w:t>
      </w:r>
      <w:r>
        <w:t xml:space="preserve">; since the mention of</w:t>
      </w:r>
      <w:r>
        <w:t xml:space="preserve"> </w:t>
      </w:r>
      <w:r>
        <w:rPr>
          <w:iCs/>
          <w:i/>
        </w:rPr>
        <w:t xml:space="preserve">dṛśi</w:t>
      </w:r>
      <w:r>
        <w:t xml:space="preserve"> </w:t>
      </w:r>
      <w:r>
        <w:t xml:space="preserve">takes in other operations, though</w:t>
      </w:r>
      <w:r>
        <w:t xml:space="preserve"> </w:t>
      </w:r>
      <w:r>
        <w:rPr>
          <w:iCs/>
          <w:i/>
        </w:rPr>
        <w:t xml:space="preserve">nit</w:t>
      </w:r>
      <w:r>
        <w:t xml:space="preserve"> </w:t>
      </w:r>
      <w:r>
        <w:t xml:space="preserve">it is not initial udātta but has the suffix accent; or the word</w:t>
      </w:r>
      <w:r>
        <w:t xml:space="preserve"> </w:t>
      </w:r>
      <w:r>
        <w:rPr>
          <w:iCs/>
          <w:i/>
        </w:rPr>
        <w:t xml:space="preserve">soman</w:t>
      </w:r>
      <w:r>
        <w:t xml:space="preserve"> </w:t>
      </w:r>
      <w:r>
        <w:t xml:space="preserve">is to be seen in the</w:t>
      </w:r>
      <w:r>
        <w:t xml:space="preserve"> </w:t>
      </w:r>
      <w:r>
        <w:rPr>
          <w:iCs/>
          <w:i/>
        </w:rPr>
        <w:t xml:space="preserve">uñcha-ādi</w:t>
      </w:r>
      <w:r>
        <w:t xml:space="preserve"> </w:t>
      </w:r>
      <w:r>
        <w:t xml:space="preserve">(Pā. 6-1-160); or, by the mention of</w:t>
      </w:r>
      <w:r>
        <w:t xml:space="preserve"> </w:t>
      </w:r>
      <w:r>
        <w:rPr>
          <w:iCs/>
          <w:i/>
        </w:rPr>
        <w:t xml:space="preserve">bahula</w:t>
      </w:r>
      <w:r>
        <w:t xml:space="preserve">, the</w:t>
      </w:r>
      <w:r>
        <w:t xml:space="preserve"> </w:t>
      </w:r>
      <w:r>
        <w:rPr>
          <w:iCs/>
          <w:i/>
        </w:rPr>
        <w:t xml:space="preserve">manin</w:t>
      </w:r>
      <w:r>
        <w:t xml:space="preserve"> </w:t>
      </w:r>
      <w:r>
        <w:t xml:space="preserve">is an Uṇādi one;</w:t>
      </w:r>
      <w:r>
        <w:t xml:space="preserve"> </w:t>
      </w:r>
      <w:r>
        <w:rPr>
          <w:iCs/>
          <w:i/>
        </w:rPr>
        <w:t xml:space="preserve">svaraṇam</w:t>
      </w:r>
      <w:r>
        <w:t xml:space="preserve">,</w:t>
      </w:r>
      <w:r>
        <w:t xml:space="preserve"> </w:t>
      </w:r>
      <w:r>
        <w:t xml:space="preserve">“</w:t>
      </w:r>
      <w:r>
        <w:t xml:space="preserve">renowned</w:t>
      </w:r>
      <w:r>
        <w:t xml:space="preserve">”</w:t>
      </w:r>
      <w:r>
        <w:t xml:space="preserve">,</w:t>
      </w:r>
      <w:r>
        <w:t xml:space="preserve"> </w:t>
      </w:r>
      <w:r>
        <w:rPr>
          <w:iCs/>
          <w:i/>
        </w:rPr>
        <w:t xml:space="preserve">svṛ śabdopatāpayoḥ</w:t>
      </w:r>
      <w:r>
        <w:t xml:space="preserve">,</w:t>
      </w:r>
      <w:r>
        <w:t xml:space="preserve"> </w:t>
      </w:r>
      <w:r>
        <w:rPr>
          <w:iCs/>
          <w:i/>
        </w:rPr>
        <w:t xml:space="preserve">lyuṭ</w:t>
      </w:r>
      <w:r>
        <w:t xml:space="preserve"> </w:t>
      </w:r>
      <w:r>
        <w:t xml:space="preserve">in the object sense by Pā. 3-3-113, the</w:t>
      </w:r>
      <w:r>
        <w:t xml:space="preserve"> </w:t>
      </w:r>
      <w:r>
        <w:rPr>
          <w:iCs/>
          <w:i/>
        </w:rPr>
        <w:t xml:space="preserve">a</w:t>
      </w:r>
      <w:r>
        <w:t xml:space="preserve"> </w:t>
      </w:r>
      <w:r>
        <w:t xml:space="preserve">udātta by</w:t>
      </w:r>
      <w:r>
        <w:t xml:space="preserve"> </w:t>
      </w:r>
      <w:r>
        <w:rPr>
          <w:iCs/>
          <w:i/>
        </w:rPr>
        <w:t xml:space="preserve">liti</w:t>
      </w:r>
      <w:r>
        <w:t xml:space="preserve">;</w:t>
      </w:r>
      <w:r>
        <w:t xml:space="preserve"> </w:t>
      </w:r>
      <w:r>
        <w:rPr>
          <w:iCs/>
          <w:i/>
        </w:rPr>
        <w:t xml:space="preserve">kṛṇuhi</w:t>
      </w:r>
      <w:r>
        <w:t xml:space="preserve">,</w:t>
      </w:r>
      <w:r>
        <w:t xml:space="preserve"> </w:t>
      </w:r>
      <w:r>
        <w:rPr>
          <w:iCs/>
          <w:i/>
        </w:rPr>
        <w:t xml:space="preserve">kṛvi hiṃsākaraṇayoś ca</w:t>
      </w:r>
      <w:r>
        <w:t xml:space="preserve">,</w:t>
      </w:r>
      <w:r>
        <w:t xml:space="preserve"> </w:t>
      </w:r>
      <w:r>
        <w:rPr>
          <w:iCs/>
          <w:i/>
        </w:rPr>
        <w:t xml:space="preserve">num</w:t>
      </w:r>
      <w:r>
        <w:t xml:space="preserve"> </w:t>
      </w:r>
      <w:r>
        <w:t xml:space="preserve">by</w:t>
      </w:r>
      <w:r>
        <w:t xml:space="preserve"> </w:t>
      </w:r>
      <w:r>
        <w:rPr>
          <w:iCs/>
          <w:i/>
        </w:rPr>
        <w:t xml:space="preserve">idito num dhātoḥ</w:t>
      </w:r>
      <w:r>
        <w:t xml:space="preserve">,</w:t>
      </w:r>
      <w:r>
        <w:t xml:space="preserve"> </w:t>
      </w:r>
      <w:r>
        <w:rPr>
          <w:iCs/>
          <w:i/>
        </w:rPr>
        <w:t xml:space="preserve">hi</w:t>
      </w:r>
      <w:r>
        <w:t xml:space="preserve"> </w:t>
      </w:r>
      <w:r>
        <w:t xml:space="preserve">for</w:t>
      </w:r>
      <w:r>
        <w:t xml:space="preserve"> </w:t>
      </w:r>
      <w:r>
        <w:rPr>
          <w:iCs/>
          <w:i/>
        </w:rPr>
        <w:t xml:space="preserve">sip</w:t>
      </w:r>
      <w:r>
        <w:t xml:space="preserve"> </w:t>
      </w:r>
      <w:r>
        <w:t xml:space="preserve">of</w:t>
      </w:r>
      <w:r>
        <w:t xml:space="preserve"> </w:t>
      </w:r>
      <w:r>
        <w:rPr>
          <w:iCs/>
          <w:i/>
        </w:rPr>
        <w:t xml:space="preserve">loṭ</w:t>
      </w:r>
      <w:r>
        <w:t xml:space="preserve">, in place of</w:t>
      </w:r>
      <w:r>
        <w:t xml:space="preserve"> </w:t>
      </w:r>
      <w:r>
        <w:rPr>
          <w:iCs/>
          <w:i/>
        </w:rPr>
        <w:t xml:space="preserve">śap</w:t>
      </w:r>
      <w:r>
        <w:t xml:space="preserve"> </w:t>
      </w:r>
      <w:r>
        <w:t xml:space="preserve">the suffix</w:t>
      </w:r>
      <w:r>
        <w:t xml:space="preserve"> </w:t>
      </w:r>
      <w:r>
        <w:rPr>
          <w:iCs/>
          <w:i/>
        </w:rPr>
        <w:t xml:space="preserve">u</w:t>
      </w:r>
      <w:r>
        <w:t xml:space="preserve"> </w:t>
      </w:r>
      <w:r>
        <w:t xml:space="preserve">by</w:t>
      </w:r>
      <w:r>
        <w:t xml:space="preserve"> </w:t>
      </w:r>
      <w:r>
        <w:rPr>
          <w:iCs/>
          <w:i/>
        </w:rPr>
        <w:t xml:space="preserve">dhinvikṛṇvyor a ca</w:t>
      </w:r>
      <w:r>
        <w:t xml:space="preserve">, with it</w:t>
      </w:r>
      <w:r>
        <w:t xml:space="preserve"> </w:t>
      </w:r>
      <w:r>
        <w:rPr>
          <w:iCs/>
          <w:i/>
        </w:rPr>
        <w:t xml:space="preserve">a</w:t>
      </w:r>
      <w:r>
        <w:t xml:space="preserve"> </w:t>
      </w:r>
      <w:r>
        <w:t xml:space="preserve">for the</w:t>
      </w:r>
      <w:r>
        <w:t xml:space="preserve"> </w:t>
      </w:r>
      <w:r>
        <w:rPr>
          <w:iCs/>
          <w:i/>
        </w:rPr>
        <w:t xml:space="preserve">v</w:t>
      </w:r>
      <w:r>
        <w:t xml:space="preserve">, dropped by</w:t>
      </w:r>
      <w:r>
        <w:t xml:space="preserve"> </w:t>
      </w:r>
      <w:r>
        <w:rPr>
          <w:iCs/>
          <w:i/>
        </w:rPr>
        <w:t xml:space="preserve">ato lopaḥ</w:t>
      </w:r>
      <w:r>
        <w:t xml:space="preserve">, and since that is</w:t>
      </w:r>
      <w:r>
        <w:t xml:space="preserve"> </w:t>
      </w:r>
      <w:r>
        <w:rPr>
          <w:iCs/>
          <w:i/>
        </w:rPr>
        <w:t xml:space="preserve">sthānivat</w:t>
      </w:r>
      <w:r>
        <w:t xml:space="preserve"> </w:t>
      </w:r>
      <w:r>
        <w:t xml:space="preserve">no</w:t>
      </w:r>
      <w:r>
        <w:t xml:space="preserve"> </w:t>
      </w:r>
      <w:r>
        <w:rPr>
          <w:iCs/>
          <w:i/>
        </w:rPr>
        <w:t xml:space="preserve">laghūpadha-guṇa</w:t>
      </w:r>
      <w:r>
        <w:t xml:space="preserve"> </w:t>
      </w:r>
      <w:r>
        <w:t xml:space="preserve">of what precedes, no</w:t>
      </w:r>
      <w:r>
        <w:t xml:space="preserve"> </w:t>
      </w:r>
      <w:r>
        <w:rPr>
          <w:iCs/>
          <w:i/>
        </w:rPr>
        <w:t xml:space="preserve">guṇa</w:t>
      </w:r>
      <w:r>
        <w:t xml:space="preserve"> </w:t>
      </w:r>
      <w:r>
        <w:t xml:space="preserve">of the</w:t>
      </w:r>
      <w:r>
        <w:t xml:space="preserve"> </w:t>
      </w:r>
      <w:r>
        <w:rPr>
          <w:iCs/>
          <w:i/>
        </w:rPr>
        <w:t xml:space="preserve">u</w:t>
      </w:r>
      <w:r>
        <w:t xml:space="preserve"> </w:t>
      </w:r>
      <w:r>
        <w:t xml:space="preserve">as</w:t>
      </w:r>
      <w:r>
        <w:t xml:space="preserve"> </w:t>
      </w:r>
      <w:r>
        <w:rPr>
          <w:iCs/>
          <w:i/>
        </w:rPr>
        <w:t xml:space="preserve">hi</w:t>
      </w:r>
      <w:r>
        <w:t xml:space="preserve"> </w:t>
      </w:r>
      <w:r>
        <w:t xml:space="preserve">is</w:t>
      </w:r>
      <w:r>
        <w:t xml:space="preserve"> </w:t>
      </w:r>
      <w:r>
        <w:rPr>
          <w:iCs/>
          <w:i/>
        </w:rPr>
        <w:t xml:space="preserve">ṅit</w:t>
      </w:r>
      <w:r>
        <w:t xml:space="preserve">, the</w:t>
      </w:r>
      <w:r>
        <w:t xml:space="preserve"> </w:t>
      </w:r>
      <w:r>
        <w:rPr>
          <w:iCs/>
          <w:i/>
        </w:rPr>
        <w:t xml:space="preserve">hi</w:t>
      </w:r>
      <w:r>
        <w:t xml:space="preserve"> </w:t>
      </w:r>
      <w:r>
        <w:t xml:space="preserve">not dropped by Pā. 6-4-106-1, and by the statement on</w:t>
      </w:r>
      <w:r>
        <w:t xml:space="preserve"> </w:t>
      </w:r>
      <w:r>
        <w:rPr>
          <w:iCs/>
          <w:i/>
        </w:rPr>
        <w:t xml:space="preserve">satiśiṣṭa</w:t>
      </w:r>
      <w:r>
        <w:t xml:space="preserve"> </w:t>
      </w:r>
      <w:r>
        <w:t xml:space="preserve">accent</w:t>
      </w:r>
      <w:r>
        <w:t xml:space="preserve"> </w:t>
      </w:r>
      <w:r>
        <w:t xml:space="preserve">“</w:t>
      </w:r>
      <w:r>
        <w:t xml:space="preserve">except for</w:t>
      </w:r>
      <w:r>
        <w:t xml:space="preserve"> </w:t>
      </w:r>
      <w:r>
        <w:rPr>
          <w:iCs/>
          <w:i/>
        </w:rPr>
        <w:t xml:space="preserve">vikaraṇas</w:t>
      </w:r>
      <w:r>
        <w:t xml:space="preserve">”</w:t>
      </w:r>
      <w:r>
        <w:t xml:space="preserve"> </w:t>
      </w:r>
      <w:r>
        <w:t xml:space="preserve">the</w:t>
      </w:r>
      <w:r>
        <w:t xml:space="preserve"> </w:t>
      </w:r>
      <w:r>
        <w:rPr>
          <w:iCs/>
          <w:i/>
        </w:rPr>
        <w:t xml:space="preserve">hi</w:t>
      </w:r>
      <w:r>
        <w:t xml:space="preserve"> </w:t>
      </w:r>
      <w:r>
        <w:t xml:space="preserve">alone is udātta by the suffix accent, not lowered at the start of the</w:t>
      </w:r>
      <w:r>
        <w:t xml:space="preserve"> </w:t>
      </w:r>
      <w:r>
        <w:rPr>
          <w:iCs/>
          <w:i/>
        </w:rPr>
        <w:t xml:space="preserve">pāda</w:t>
      </w:r>
      <w:r>
        <w:t xml:space="preserve">;</w:t>
      </w:r>
      <w:r>
        <w:t xml:space="preserve"> </w:t>
      </w:r>
      <w:r>
        <w:rPr>
          <w:iCs/>
          <w:i/>
        </w:rPr>
        <w:t xml:space="preserve">brahmaṇaḥ</w:t>
      </w:r>
      <w:r>
        <w:t xml:space="preserve">,</w:t>
      </w:r>
      <w:r>
        <w:t xml:space="preserve"> </w:t>
      </w:r>
      <w:r>
        <w:rPr>
          <w:iCs/>
          <w:i/>
        </w:rPr>
        <w:t xml:space="preserve">s</w:t>
      </w:r>
      <w:r>
        <w:t xml:space="preserve"> </w:t>
      </w:r>
      <w:r>
        <w:t xml:space="preserve">for the visarga in the Saṃhitā by Pā. 8-3-53, both words unaccented as a vocative by</w:t>
      </w:r>
      <w:r>
        <w:t xml:space="preserve"> </w:t>
      </w:r>
      <w:r>
        <w:rPr>
          <w:iCs/>
          <w:i/>
        </w:rPr>
        <w:t xml:space="preserve">parāṅgavadbhāva</w:t>
      </w:r>
      <w:r>
        <w:t xml:space="preserve">;</w:t>
      </w:r>
      <w:r>
        <w:t xml:space="preserve"> </w:t>
      </w:r>
      <w:r>
        <w:rPr>
          <w:iCs/>
          <w:i/>
        </w:rPr>
        <w:t xml:space="preserve">kakṣīvantam</w:t>
      </w:r>
      <w:r>
        <w:t xml:space="preserve">,</w:t>
      </w:r>
      <w:r>
        <w:t xml:space="preserve"> </w:t>
      </w:r>
      <w:r>
        <w:rPr>
          <w:iCs/>
          <w:i/>
        </w:rPr>
        <w:t xml:space="preserve">kakṣyā</w:t>
      </w:r>
      <w:r>
        <w:t xml:space="preserve">,</w:t>
      </w:r>
      <w:r>
        <w:t xml:space="preserve"> </w:t>
      </w:r>
      <w:r>
        <w:t xml:space="preserve">“</w:t>
      </w:r>
      <w:r>
        <w:t xml:space="preserve">being at the girth</w:t>
      </w:r>
      <w:r>
        <w:t xml:space="preserve">”</w:t>
      </w:r>
      <w:r>
        <w:t xml:space="preserve">, the girth-rope of a horse’s belly,</w:t>
      </w:r>
      <w:r>
        <w:t xml:space="preserve"> </w:t>
      </w:r>
      <w:r>
        <w:rPr>
          <w:iCs/>
          <w:i/>
        </w:rPr>
        <w:t xml:space="preserve">yat</w:t>
      </w:r>
      <w:r>
        <w:t xml:space="preserve"> </w:t>
      </w:r>
      <w:r>
        <w:t xml:space="preserve">by Pā. 4-4-110;</w:t>
      </w:r>
      <w:r>
        <w:t xml:space="preserve"> </w:t>
      </w:r>
      <w:r>
        <w:t xml:space="preserve">“</w:t>
      </w:r>
      <w:r>
        <w:t xml:space="preserve">it has that</w:t>
      </w:r>
      <w:r>
        <w:t xml:space="preserve">”</w:t>
      </w:r>
      <w:r>
        <w:t xml:space="preserve">: the ṛṣi’s name</w:t>
      </w:r>
      <w:r>
        <w:t xml:space="preserve"> </w:t>
      </w:r>
      <w:r>
        <w:rPr>
          <w:iCs/>
          <w:i/>
        </w:rPr>
        <w:t xml:space="preserve">kakṣīvat</w:t>
      </w:r>
      <w:r>
        <w:t xml:space="preserve"> </w:t>
      </w:r>
      <w:r>
        <w:t xml:space="preserve">is given ready-made by Pā. 8-2-12,</w:t>
      </w:r>
      <w:r>
        <w:t xml:space="preserve"> </w:t>
      </w:r>
      <w:r>
        <w:rPr>
          <w:iCs/>
          <w:i/>
        </w:rPr>
        <w:t xml:space="preserve">v</w:t>
      </w:r>
      <w:r>
        <w:t xml:space="preserve"> </w:t>
      </w:r>
      <w:r>
        <w:t xml:space="preserve">by</w:t>
      </w:r>
      <w:r>
        <w:t xml:space="preserve"> </w:t>
      </w:r>
      <w:r>
        <w:rPr>
          <w:iCs/>
          <w:i/>
        </w:rPr>
        <w:t xml:space="preserve">chandasīraḥ</w:t>
      </w:r>
      <w:r>
        <w:t xml:space="preserve">, the</w:t>
      </w:r>
      <w:r>
        <w:t xml:space="preserve"> </w:t>
      </w:r>
      <w:r>
        <w:rPr>
          <w:iCs/>
          <w:i/>
        </w:rPr>
        <w:t xml:space="preserve">ī</w:t>
      </w:r>
      <w:r>
        <w:t xml:space="preserve"> </w:t>
      </w:r>
      <w:r>
        <w:t xml:space="preserve">given as its substitute udātta by the accent of the suffix</w:t>
      </w:r>
      <w:r>
        <w:t xml:space="preserve"> </w:t>
      </w:r>
      <w:r>
        <w:rPr>
          <w:iCs/>
          <w:i/>
        </w:rPr>
        <w:t xml:space="preserve">ya</w:t>
      </w:r>
      <w:r>
        <w:t xml:space="preserve">,</w:t>
      </w:r>
      <w:r>
        <w:t xml:space="preserve"> </w:t>
      </w:r>
      <w:r>
        <w:rPr>
          <w:iCs/>
          <w:i/>
        </w:rPr>
        <w:t xml:space="preserve">matup</w:t>
      </w:r>
      <w:r>
        <w:t xml:space="preserve"> </w:t>
      </w:r>
      <w:r>
        <w:t xml:space="preserve">and</w:t>
      </w:r>
      <w:r>
        <w:t xml:space="preserve"> </w:t>
      </w:r>
      <w:r>
        <w:rPr>
          <w:iCs/>
          <w:i/>
        </w:rPr>
        <w:t xml:space="preserve">sup</w:t>
      </w:r>
      <w:r>
        <w:t xml:space="preserve"> </w:t>
      </w:r>
      <w:r>
        <w:t xml:space="preserve">unaccented as</w:t>
      </w:r>
      <w:r>
        <w:t xml:space="preserve"> </w:t>
      </w:r>
      <w:r>
        <w:rPr>
          <w:iCs/>
          <w:i/>
        </w:rPr>
        <w:t xml:space="preserve">pit</w:t>
      </w:r>
      <w:r>
        <w:t xml:space="preserve">;</w:t>
      </w:r>
      <w:r>
        <w:t xml:space="preserve"> </w:t>
      </w:r>
      <w:r>
        <w:rPr>
          <w:iCs/>
          <w:i/>
        </w:rPr>
        <w:t xml:space="preserve">auśijaḥ</w:t>
      </w:r>
      <w:r>
        <w:t xml:space="preserve">,</w:t>
      </w:r>
      <w:r>
        <w:t xml:space="preserve"> </w:t>
      </w:r>
      <w:r>
        <w:rPr>
          <w:iCs/>
          <w:i/>
        </w:rPr>
        <w:t xml:space="preserve">vaśa kāntau</w:t>
      </w:r>
      <w:r>
        <w:t xml:space="preserve">,</w:t>
      </w:r>
      <w:r>
        <w:t xml:space="preserve"> </w:t>
      </w:r>
      <w:r>
        <w:rPr>
          <w:iCs/>
          <w:i/>
        </w:rPr>
        <w:t xml:space="preserve">iji</w:t>
      </w:r>
      <w:r>
        <w:t xml:space="preserve"> </w:t>
      </w:r>
      <w:r>
        <w:t xml:space="preserve">by</w:t>
      </w:r>
      <w:r>
        <w:t xml:space="preserve"> </w:t>
      </w:r>
      <w:r>
        <w:rPr>
          <w:iCs/>
          <w:i/>
        </w:rPr>
        <w:t xml:space="preserve">vaśeḥ kic ca</w:t>
      </w:r>
      <w:r>
        <w:t xml:space="preserve"> </w:t>
      </w:r>
      <w:r>
        <w:t xml:space="preserve">(Uṇ. 2-71),</w:t>
      </w:r>
      <w:r>
        <w:t xml:space="preserve"> </w:t>
      </w:r>
      <w:r>
        <w:rPr>
          <w:iCs/>
          <w:i/>
        </w:rPr>
        <w:t xml:space="preserve">saṃprasāraṇa</w:t>
      </w:r>
      <w:r>
        <w:t xml:space="preserve"> </w:t>
      </w:r>
      <w:r>
        <w:t xml:space="preserve">by</w:t>
      </w:r>
      <w:r>
        <w:t xml:space="preserve"> </w:t>
      </w:r>
      <w:r>
        <w:rPr>
          <w:iCs/>
          <w:i/>
        </w:rPr>
        <w:t xml:space="preserve">grahijyā…</w:t>
      </w:r>
      <w:r>
        <w:t xml:space="preserve"> </w:t>
      </w:r>
      <w:r>
        <w:t xml:space="preserve">as it is</w:t>
      </w:r>
      <w:r>
        <w:t xml:space="preserve"> </w:t>
      </w:r>
      <w:r>
        <w:rPr>
          <w:iCs/>
          <w:i/>
        </w:rPr>
        <w:t xml:space="preserve">kit</w:t>
      </w:r>
      <w:r>
        <w:t xml:space="preserve">, no</w:t>
      </w:r>
      <w:r>
        <w:t xml:space="preserve"> </w:t>
      </w:r>
      <w:r>
        <w:rPr>
          <w:iCs/>
          <w:i/>
        </w:rPr>
        <w:t xml:space="preserve">guṇa</w:t>
      </w:r>
      <w:r>
        <w:t xml:space="preserve">;</w:t>
      </w:r>
      <w:r>
        <w:t xml:space="preserve"> </w:t>
      </w:r>
      <w:r>
        <w:rPr>
          <w:iCs/>
          <w:i/>
        </w:rPr>
        <w:t xml:space="preserve">aṇ</w:t>
      </w:r>
      <w:r>
        <w:t xml:space="preserve"> </w:t>
      </w:r>
      <w:r>
        <w:t xml:space="preserve">by Pā. 4-1-92 and 4-1-83, initial</w:t>
      </w:r>
      <w:r>
        <w:t xml:space="preserve"> </w:t>
      </w:r>
      <w:r>
        <w:rPr>
          <w:iCs/>
          <w:i/>
        </w:rPr>
        <w:t xml:space="preserve">vṛddhi</w:t>
      </w:r>
      <w:r>
        <w:t xml:space="preserve">, final udātta by the suffix accent.)</w:t>
      </w:r>
    </w:p>
    <w:bookmarkEnd w:id="825"/>
    <w:bookmarkStart w:id="826" w:name="Xb509a6e0b9245c9eb6d051e9259e29c2cd3514a"/>
    <w:p>
      <w:pPr>
        <w:pStyle w:val="Heading3"/>
      </w:pPr>
      <w:r>
        <w:t xml:space="preserve">Page 749 — Rik 1: word-meanings, overall sense, English, Special Topics</w:t>
      </w:r>
    </w:p>
    <w:p>
      <w:pPr>
        <w:pStyle w:val="FirstParagraph"/>
      </w:pPr>
      <w:r>
        <w:rPr>
          <w:bCs/>
          <w:b/>
        </w:rPr>
        <w:t xml:space="preserve">॥ Prati-padārthaḥ ॥</w:t>
      </w:r>
    </w:p>
    <w:p>
      <w:pPr>
        <w:pStyle w:val="BodyText"/>
      </w:pPr>
      <w:r>
        <w:rPr>
          <w:bCs/>
          <w:b/>
        </w:rPr>
        <w:t xml:space="preserve">हे ब्रह्मणस्पते (he brahmaṇaspate)</w:t>
      </w:r>
      <w:r>
        <w:t xml:space="preserve"> </w:t>
      </w:r>
      <w:r>
        <w:t xml:space="preserve">— O Brahmaṇaspati |</w:t>
      </w:r>
      <w:r>
        <w:t xml:space="preserve"> </w:t>
      </w:r>
      <w:r>
        <w:rPr>
          <w:bCs/>
          <w:b/>
        </w:rPr>
        <w:t xml:space="preserve">यः (yaḥ)</w:t>
      </w:r>
      <w:r>
        <w:t xml:space="preserve"> </w:t>
      </w:r>
      <w:r>
        <w:t xml:space="preserve">— who |</w:t>
      </w:r>
      <w:r>
        <w:t xml:space="preserve"> </w:t>
      </w:r>
      <w:r>
        <w:rPr>
          <w:bCs/>
          <w:b/>
        </w:rPr>
        <w:t xml:space="preserve">औशिजः (auśijaḥ)</w:t>
      </w:r>
      <w:r>
        <w:t xml:space="preserve"> </w:t>
      </w:r>
      <w:r>
        <w:t xml:space="preserve">— the son of Uśik, the ṛṣi called Kakṣīvān, was |</w:t>
      </w:r>
      <w:r>
        <w:t xml:space="preserve"> </w:t>
      </w:r>
      <w:r>
        <w:rPr>
          <w:bCs/>
          <w:b/>
        </w:rPr>
        <w:t xml:space="preserve">कक्षीवन्तम् (kakṣīvantam)</w:t>
      </w:r>
      <w:r>
        <w:t xml:space="preserve"> </w:t>
      </w:r>
      <w:r>
        <w:t xml:space="preserve">— like that ṛṣi Kakṣīvān |</w:t>
      </w:r>
      <w:r>
        <w:t xml:space="preserve"> </w:t>
      </w:r>
      <w:r>
        <w:rPr>
          <w:bCs/>
          <w:b/>
        </w:rPr>
        <w:t xml:space="preserve">सोमानम् (somānam)</w:t>
      </w:r>
      <w:r>
        <w:t xml:space="preserve"> </w:t>
      </w:r>
      <w:r>
        <w:t xml:space="preserve">— the one who prepares soma juice (me, the sacrificer) |</w:t>
      </w:r>
      <w:r>
        <w:t xml:space="preserve"> </w:t>
      </w:r>
      <w:r>
        <w:rPr>
          <w:bCs/>
          <w:b/>
        </w:rPr>
        <w:t xml:space="preserve">स्वरणम् (svaraṇam)</w:t>
      </w:r>
      <w:r>
        <w:t xml:space="preserve"> </w:t>
      </w:r>
      <w:r>
        <w:t xml:space="preserve">— renowned among the gods, or full of</w:t>
      </w:r>
      <w:r>
        <w:t xml:space="preserve"> </w:t>
      </w:r>
      <w:r>
        <w:rPr>
          <w:iCs/>
          <w:i/>
        </w:rPr>
        <w:t xml:space="preserve">brahmavarcas</w:t>
      </w:r>
      <w:r>
        <w:t xml:space="preserve"> </w:t>
      </w:r>
      <w:r>
        <w:t xml:space="preserve">|</w:t>
      </w:r>
      <w:r>
        <w:t xml:space="preserve"> </w:t>
      </w:r>
      <w:r>
        <w:rPr>
          <w:bCs/>
          <w:b/>
        </w:rPr>
        <w:t xml:space="preserve">कृणुहि (kṛṇuhi)</w:t>
      </w:r>
      <w:r>
        <w:t xml:space="preserve"> </w:t>
      </w:r>
      <w:r>
        <w:t xml:space="preserve">— make.</w:t>
      </w:r>
    </w:p>
    <w:p>
      <w:pPr>
        <w:pStyle w:val="BodyText"/>
      </w:pPr>
      <w:r>
        <w:rPr>
          <w:bCs/>
          <w:b/>
        </w:rPr>
        <w:t xml:space="preserve">॥ Bhāvārthaḥ ॥</w:t>
      </w:r>
    </w:p>
    <w:p>
      <w:pPr>
        <w:pStyle w:val="BodyText"/>
      </w:pPr>
      <w:r>
        <w:t xml:space="preserve">Kakṣīvān, son of Uśik, is renowned among the gods as one who performed the soma sacrifice. O Brahmaṇaspati, make me too, the performer of the sacrifice, renowned as a performer of soma sacrifice, like that Kakṣīvān.</w:t>
      </w:r>
    </w:p>
    <w:p>
      <w:pPr>
        <w:pStyle w:val="BodyText"/>
      </w:pPr>
      <w:r>
        <w:rPr>
          <w:bCs/>
          <w:b/>
        </w:rPr>
        <w:t xml:space="preserve">॥ English Translation ॥</w:t>
      </w:r>
      <w:r>
        <w:t xml:space="preserve"> </w:t>
      </w:r>
      <w:r>
        <w:rPr>
          <w:iCs/>
          <w:i/>
        </w:rPr>
        <w:t xml:space="preserve">(as printed in the source)</w:t>
      </w:r>
    </w:p>
    <w:p>
      <w:pPr>
        <w:pStyle w:val="BlockText"/>
      </w:pPr>
      <w:r>
        <w:t xml:space="preserve">O Brahmanaspati, make (me) who offer Soma juice illustrious among the gods like Kakshivan, the son of Usij.</w:t>
      </w:r>
    </w:p>
    <w:p>
      <w:pPr>
        <w:pStyle w:val="FirstParagraph"/>
      </w:pPr>
      <w:r>
        <w:rPr>
          <w:bCs/>
          <w:b/>
        </w:rPr>
        <w:t xml:space="preserve">॥ Viśeṣa-viṣayagaḷu (Special Topics) ॥</w:t>
      </w:r>
    </w:p>
    <w:p>
      <w:pPr>
        <w:pStyle w:val="BodyText"/>
      </w:pPr>
      <w:r>
        <w:t xml:space="preserve">The deity of this sūkta is Brahmaṇaspati. Who is this Brahmaṇaspati? What are his place and rank among the gods? We explain this briefly. In the Nirukta (Ni. 10-14) Yāska says this about Brahmaṇaspati:</w:t>
      </w:r>
    </w:p>
    <w:p>
      <w:pPr>
        <w:pStyle w:val="BlockText"/>
      </w:pPr>
      <w:r>
        <w:t xml:space="preserve">ब्रह्मणस्पतिः । ब्रह्मणस्पतिर्ब्रह्मणः पाता वा पालयिता वा ॥</w:t>
      </w:r>
    </w:p>
    <w:p>
      <w:pPr>
        <w:pStyle w:val="BlockText"/>
      </w:pPr>
      <w:r>
        <w:rPr>
          <w:iCs/>
          <w:i/>
        </w:rPr>
        <w:t xml:space="preserve">brahmaṇaspatiḥ | brahmaṇaspatirbrahmaṇaḥ pātā vā pālayitā vā ||</w:t>
      </w:r>
    </w:p>
    <w:p>
      <w:pPr>
        <w:pStyle w:val="FirstParagraph"/>
      </w:pPr>
      <w:r>
        <w:t xml:space="preserve">(</w:t>
      </w:r>
      <w:r>
        <w:t xml:space="preserve">“</w:t>
      </w:r>
      <w:r>
        <w:t xml:space="preserve">Brahmaṇaspati: the protector or guardian of</w:t>
      </w:r>
      <w:r>
        <w:t xml:space="preserve"> </w:t>
      </w:r>
      <w:r>
        <w:rPr>
          <w:iCs/>
          <w:i/>
        </w:rPr>
        <w:t xml:space="preserve">brahman</w:t>
      </w:r>
      <w:r>
        <w:t xml:space="preserve">.</w:t>
      </w:r>
      <w:r>
        <w:t xml:space="preserve">”</w:t>
      </w:r>
      <w:r>
        <w:t xml:space="preserve">) Here the word</w:t>
      </w:r>
      <w:r>
        <w:t xml:space="preserve"> </w:t>
      </w:r>
      <w:r>
        <w:rPr>
          <w:iCs/>
          <w:i/>
        </w:rPr>
        <w:t xml:space="preserve">brahman</w:t>
      </w:r>
      <w:r>
        <w:t xml:space="preserve"> </w:t>
      </w:r>
      <w:r>
        <w:t xml:space="preserve">means food, wealth and hymn (Ni. 3-9). So</w:t>
      </w:r>
      <w:r>
        <w:t xml:space="preserve"> </w:t>
      </w:r>
      <w:r>
        <w:rPr>
          <w:iCs/>
          <w:i/>
        </w:rPr>
        <w:t xml:space="preserve">brahmaṇaḥ pātā</w:t>
      </w:r>
      <w:r>
        <w:t xml:space="preserve"> </w:t>
      </w:r>
      <w:r>
        <w:t xml:space="preserve">means</w:t>
      </w:r>
      <w:r>
        <w:t xml:space="preserve"> </w:t>
      </w:r>
      <w:r>
        <w:rPr>
          <w:iCs/>
          <w:i/>
        </w:rPr>
        <w:t xml:space="preserve">annasya pātā</w:t>
      </w:r>
      <w:r>
        <w:t xml:space="preserve">, the lord or master of food. As an example of how Brahmaṇaspati is lord of food, Yāska gives the ṛk</w:t>
      </w:r>
    </w:p>
    <w:p>
      <w:pPr>
        <w:pStyle w:val="BlockText"/>
      </w:pPr>
      <w:r>
        <w:t xml:space="preserve">अश्मास्यमवतं ब्रह्मणस्पतिर्मधुधारमभि यमोजसातृणत् ।</w:t>
      </w:r>
      <w:r>
        <w:t xml:space="preserve"> </w:t>
      </w:r>
      <w:r>
        <w:t xml:space="preserve">तमेव विश्वे पपिरे स्वर्दृशो बहु साकं सिसिचुरुत्समुद्रिणम् ॥ (ऋ. सं. २-२४-४)</w:t>
      </w:r>
    </w:p>
    <w:p>
      <w:pPr>
        <w:pStyle w:val="BlockText"/>
      </w:pPr>
      <w:r>
        <w:rPr>
          <w:iCs/>
          <w:i/>
        </w:rPr>
        <w:t xml:space="preserve">aśmāsyamavataṃ brahmaṇaspatirmadhudhāramabhi yamojasātṛṇat |</w:t>
      </w:r>
      <w:r>
        <w:t xml:space="preserve"> </w:t>
      </w:r>
      <w:r>
        <w:rPr>
          <w:iCs/>
          <w:i/>
        </w:rPr>
        <w:t xml:space="preserve">tameva viśve papire svardṛśo bahu sākaṃ sisicurutsamudriṇam || (ṛ. saṃ. 2-24-4)</w:t>
      </w:r>
    </w:p>
    <w:p>
      <w:pPr>
        <w:pStyle w:val="FirstParagraph"/>
      </w:pPr>
      <w:r>
        <w:t xml:space="preserve">(</w:t>
      </w:r>
      <w:r>
        <w:t xml:space="preserve">“</w:t>
      </w:r>
      <w:r>
        <w:t xml:space="preserve">The stone-mouthed, honey-streaming one which Brahmaṇaspati pierced with might: from it all the sun-seers drank; together they poured out much the watery spring</w:t>
      </w:r>
      <w:r>
        <w:t xml:space="preserve">”</w:t>
      </w:r>
      <w:r>
        <w:t xml:space="preserve">: mine and tentative.) and for it gives the Nirukta</w:t>
      </w:r>
    </w:p>
    <w:p>
      <w:pPr>
        <w:pStyle w:val="BlockText"/>
      </w:pPr>
      <w:r>
        <w:t xml:space="preserve">अशनवन्तमास्यन्तनवन्तमवातितं ब्रह्मणस्पतिर्मधुधारमभियमोजसा बलेनाभ्यतृणत्तमेव सर्वे पिबन्ति रश्मयः सूर्यदृशो बह्वेनं सह सिञ्चन्त्युत्समुद्रिणमुदकवन्तम् ॥ (नि. १०-१२)</w:t>
      </w:r>
    </w:p>
    <w:p>
      <w:pPr>
        <w:pStyle w:val="BlockText"/>
      </w:pPr>
      <w:r>
        <w:rPr>
          <w:iCs/>
          <w:i/>
        </w:rPr>
        <w:t xml:space="preserve">aśanavantamāsyantanavantamavātitaṃ brahmaṇaspatirmadhudhāramabhiyamojasā balenābhyatṛṇattameva sarve pibanti raśmayaḥ sūryadṛśo bahvenaṃ saha siñcantyutsamudriṇamudakavantam || (ni. 10-12)</w:t>
      </w:r>
    </w:p>
    <w:p>
      <w:pPr>
        <w:pStyle w:val="FirstParagraph"/>
      </w:pPr>
      <w:r>
        <w:rPr>
          <w:iCs/>
          <w:i/>
        </w:rPr>
        <w:t xml:space="preserve">(आस्यन्तनवन्तम् is as printed.)</w:t>
      </w:r>
      <w:r>
        <w:t xml:space="preserve"> </w:t>
      </w:r>
      <w:r>
        <w:t xml:space="preserve">(</w:t>
      </w:r>
      <w:r>
        <w:t xml:space="preserve">“</w:t>
      </w:r>
      <w:r>
        <w:t xml:space="preserve">Having food, having an outflow, unbroken, the honey-streaming one which Brahmaṇaspati pierced with force, with strength: from it all the rays, the sun-seers, drink; together they pour it out abundantly, the spring that has water</w:t>
      </w:r>
      <w:r>
        <w:t xml:space="preserve">”</w:t>
      </w:r>
      <w:r>
        <w:t xml:space="preserve">: mine and tentative.)</w:t>
      </w:r>
    </w:p>
    <w:bookmarkEnd w:id="826"/>
    <w:bookmarkStart w:id="827" w:name="page-750-rik-1-special-topics"/>
    <w:p>
      <w:pPr>
        <w:pStyle w:val="Heading3"/>
      </w:pPr>
      <w:r>
        <w:t xml:space="preserve">Page 750 — Rik 1: Special Topics</w:t>
      </w:r>
    </w:p>
    <w:p>
      <w:pPr>
        <w:pStyle w:val="FirstParagraph"/>
      </w:pPr>
      <w:r>
        <w:t xml:space="preserve">The chief intent is this: since this Brahmaṇaspati, with the help of the sun’s rays, makes the clouds drink the water of the ocean and makes that water fall especially on the earth as rain, herbs and trees come from the rain, and from the herbs and trees food and the like are obtained; so Brahmaṇaspati is the protector of food. When the word</w:t>
      </w:r>
      <w:r>
        <w:t xml:space="preserve"> </w:t>
      </w:r>
      <w:r>
        <w:rPr>
          <w:iCs/>
          <w:i/>
        </w:rPr>
        <w:t xml:space="preserve">brahman</w:t>
      </w:r>
      <w:r>
        <w:t xml:space="preserve"> </w:t>
      </w:r>
      <w:r>
        <w:t xml:space="preserve">is taken as hymn or wealth, Brahmaṇaspati is the lord of mantra, and must be called the lord of wealth. The commentator states this very sense when explaining the ṛk cited above.</w:t>
      </w:r>
    </w:p>
    <w:p>
      <w:pPr>
        <w:pStyle w:val="BodyText"/>
      </w:pPr>
      <w:r>
        <w:t xml:space="preserve">Mantras about Brahmaṇaspati are especially numerous in the Ṛgveda. In those mantras Brahmaṇaspati is said to give wealth and food. Many doubt whether this Brahmaṇaspati is a separate deity or another form of Agni. Since other deities such as Agni also give wealth and food, some argue that Brahmaṇaspati is a special form of Agni. Yāska is silent on this matter; that is, he has said nothing clearly. In the ṛks about Brahmaṇaspati too there is not enough basis to say this deity is a form of Agni. So it may freely be said that Brahmaṇaspati is a separate deity, like Indra and Agni.</w:t>
      </w:r>
    </w:p>
    <w:p>
      <w:pPr>
        <w:pStyle w:val="BodyText"/>
      </w:pPr>
      <w:r>
        <w:rPr>
          <w:bCs/>
          <w:b/>
        </w:rPr>
        <w:t xml:space="preserve">Somānam</w:t>
      </w:r>
      <w:r>
        <w:t xml:space="preserve">:</w:t>
      </w:r>
    </w:p>
    <w:p>
      <w:pPr>
        <w:pStyle w:val="BlockText"/>
      </w:pPr>
      <w:r>
        <w:t xml:space="preserve">अभिषवस्य कर्तारम्</w:t>
      </w:r>
    </w:p>
    <w:p>
      <w:pPr>
        <w:pStyle w:val="BlockText"/>
      </w:pPr>
      <w:r>
        <w:rPr>
          <w:iCs/>
          <w:i/>
        </w:rPr>
        <w:t xml:space="preserve">abhiṣavasya kartāram</w:t>
      </w:r>
    </w:p>
    <w:p>
      <w:pPr>
        <w:pStyle w:val="FirstParagraph"/>
      </w:pPr>
      <w:r>
        <w:t xml:space="preserve">(</w:t>
      </w:r>
      <w:r>
        <w:t xml:space="preserve">“</w:t>
      </w:r>
      <w:r>
        <w:t xml:space="preserve">The doer of the pressing.</w:t>
      </w:r>
      <w:r>
        <w:t xml:space="preserve">”</w:t>
      </w:r>
      <w:r>
        <w:t xml:space="preserve">) The intent is: (me) who have prepared the soma juice.</w:t>
      </w:r>
    </w:p>
    <w:p>
      <w:pPr>
        <w:pStyle w:val="BodyText"/>
      </w:pPr>
      <w:r>
        <w:rPr>
          <w:bCs/>
          <w:b/>
        </w:rPr>
        <w:t xml:space="preserve">Svaraṇam</w:t>
      </w:r>
      <w:r>
        <w:t xml:space="preserve">:</w:t>
      </w:r>
    </w:p>
    <w:p>
      <w:pPr>
        <w:pStyle w:val="BlockText"/>
      </w:pPr>
      <w:r>
        <w:t xml:space="preserve">देवेषु प्रकाशनवन्तम् । प्रख्यातमित्यर्थः ॥</w:t>
      </w:r>
    </w:p>
    <w:p>
      <w:pPr>
        <w:pStyle w:val="BlockText"/>
      </w:pPr>
      <w:r>
        <w:rPr>
          <w:iCs/>
          <w:i/>
        </w:rPr>
        <w:t xml:space="preserve">deveṣu prakāśanavantam | prakhyātamityarthaḥ ||</w:t>
      </w:r>
    </w:p>
    <w:p>
      <w:pPr>
        <w:pStyle w:val="FirstParagraph"/>
      </w:pPr>
      <w:r>
        <w:t xml:space="preserve">(</w:t>
      </w:r>
      <w:r>
        <w:t xml:space="preserve">“</w:t>
      </w:r>
      <w:r>
        <w:t xml:space="preserve">Renowned among the gods; that is, famous.</w:t>
      </w:r>
      <w:r>
        <w:t xml:space="preserve">”</w:t>
      </w:r>
      <w:r>
        <w:t xml:space="preserve">) The intent is: renowned and famous among the gods.</w:t>
      </w:r>
    </w:p>
    <w:p>
      <w:pPr>
        <w:pStyle w:val="BodyText"/>
      </w:pPr>
      <w:r>
        <w:rPr>
          <w:bCs/>
          <w:b/>
        </w:rPr>
        <w:t xml:space="preserve">Kakṣīvantam, auśijaḥ</w:t>
      </w:r>
      <w:r>
        <w:t xml:space="preserve">: the ṛṣi Kakṣīvān is the son born to the ṛṣi Dīrghatamas from a woman named Uśik. It is told in the Purāṇas and elsewhere that this Uśik was a maid of the queen of the king of Kaliṅga; that the king of Kaliṅga, wishing for a son, sent his wife to the ṛṣi Dīrghatamas; and that the king’s wife, unwilling, secretly sent her maid Uśik, and this son Kakṣīvān was born to her from the ṛṣi Dīrghatamas. Though this ṛṣi Kakṣīvān was born of a</w:t>
      </w:r>
      <w:r>
        <w:t xml:space="preserve"> </w:t>
      </w:r>
      <w:r>
        <w:rPr>
          <w:iCs/>
          <w:i/>
        </w:rPr>
        <w:t xml:space="preserve">kṣatriya</w:t>
      </w:r>
      <w:r>
        <w:t xml:space="preserve"> </w:t>
      </w:r>
      <w:r>
        <w:t xml:space="preserve">woman [as printed], by contact with brāhmaṇas he is known as a brāhmaṇa. This ṛṣi is the seer of many ṛks of the Ṛgveda. That this ṛṣi Kakṣīvān is renowned among those who perform sacrifices is stated in Taittirīya-saṃhitā 5-6-5-3:</w:t>
      </w:r>
    </w:p>
    <w:p>
      <w:pPr>
        <w:pStyle w:val="BlockText"/>
      </w:pPr>
      <w:r>
        <w:t xml:space="preserve">एवं वै पर आट्णारः कक्षीवाँ औशिजो वीतहव्यः श्रायसस्त्रसदस्युः पौरुकुत्स्यः प्रजाकामा अचिन्वत ॥</w:t>
      </w:r>
    </w:p>
    <w:p>
      <w:pPr>
        <w:pStyle w:val="BlockText"/>
      </w:pPr>
      <w:r>
        <w:rPr>
          <w:iCs/>
          <w:i/>
        </w:rPr>
        <w:t xml:space="preserve">evaṃ vai para āṭṇāraḥ kakṣīvā~ auśijo vītahavyaḥ śrāyasastrasadasyuḥ paurukutsyaḥ prajākāmā acinvata ||</w:t>
      </w:r>
    </w:p>
    <w:p>
      <w:pPr>
        <w:pStyle w:val="FirstParagraph"/>
      </w:pPr>
      <w:r>
        <w:t xml:space="preserve">So this ṛṣi is very renowned both in composing mantras and in performing sacrifices. Medhātithi, the ṛṣi of this sūkta, has prayed to the deity Brahmaṇaspati to make him renowned like Kakṣīvān.</w:t>
      </w:r>
    </w:p>
    <w:bookmarkEnd w:id="827"/>
    <w:bookmarkStart w:id="828" w:name="page-751-rik-1-grammar"/>
    <w:p>
      <w:pPr>
        <w:pStyle w:val="Heading3"/>
      </w:pPr>
      <w:r>
        <w:t xml:space="preserve">Page 751 — Rik 1: grammar</w:t>
      </w:r>
    </w:p>
    <w:p>
      <w:pPr>
        <w:pStyle w:val="FirstParagraph"/>
      </w:pPr>
      <w:r>
        <w:rPr>
          <w:bCs/>
          <w:b/>
        </w:rPr>
        <w:t xml:space="preserve">॥ Vyākaraṇa-prakriyā ॥</w:t>
      </w:r>
      <w:r>
        <w:t xml:space="preserve"> </w:t>
      </w:r>
      <w:r>
        <w:rPr>
          <w:iCs/>
          <w:i/>
        </w:rPr>
        <w:t xml:space="preserve">(grammar pages 751–754, noted briefly)</w:t>
      </w:r>
    </w:p>
    <w:p>
      <w:pPr>
        <w:pStyle w:val="BodyText"/>
      </w:pPr>
      <w:r>
        <w:rPr>
          <w:bCs/>
          <w:b/>
        </w:rPr>
        <w:t xml:space="preserve">सोमानम् (</w:t>
      </w:r>
      <w:r>
        <w:rPr>
          <w:iCs/>
          <w:i/>
          <w:bCs/>
          <w:b/>
        </w:rPr>
        <w:t xml:space="preserve">somānam</w:t>
      </w:r>
      <w:r>
        <w:rPr>
          <w:bCs/>
          <w:b/>
        </w:rPr>
        <w:t xml:space="preserve">)</w:t>
      </w:r>
      <w:r>
        <w:t xml:space="preserve">:</w:t>
      </w:r>
      <w:r>
        <w:t xml:space="preserve"> </w:t>
      </w:r>
      <w:r>
        <w:rPr>
          <w:iCs/>
          <w:i/>
        </w:rPr>
        <w:t xml:space="preserve">sunotīti somā</w:t>
      </w:r>
      <w:r>
        <w:t xml:space="preserve">; the root</w:t>
      </w:r>
      <w:r>
        <w:t xml:space="preserve"> </w:t>
      </w:r>
      <w:r>
        <w:rPr>
          <w:iCs/>
          <w:i/>
        </w:rPr>
        <w:t xml:space="preserve">ṣuñ abhiṣave</w:t>
      </w:r>
      <w:r>
        <w:t xml:space="preserve">;</w:t>
      </w:r>
      <w:r>
        <w:t xml:space="preserve"> </w:t>
      </w:r>
      <w:r>
        <w:rPr>
          <w:iCs/>
          <w:i/>
        </w:rPr>
        <w:t xml:space="preserve">s</w:t>
      </w:r>
      <w:r>
        <w:t xml:space="preserve"> </w:t>
      </w:r>
      <w:r>
        <w:t xml:space="preserve">for</w:t>
      </w:r>
      <w:r>
        <w:t xml:space="preserve"> </w:t>
      </w:r>
      <w:r>
        <w:rPr>
          <w:iCs/>
          <w:i/>
        </w:rPr>
        <w:t xml:space="preserve">ṣ</w:t>
      </w:r>
      <w:r>
        <w:t xml:space="preserve"> </w:t>
      </w:r>
      <w:r>
        <w:t xml:space="preserve">by</w:t>
      </w:r>
      <w:r>
        <w:t xml:space="preserve"> </w:t>
      </w:r>
      <w:r>
        <w:rPr>
          <w:iCs/>
          <w:i/>
        </w:rPr>
        <w:t xml:space="preserve">dhātvādeḥ ṣaḥ saḥ</w:t>
      </w:r>
      <w:r>
        <w:t xml:space="preserve">. The suffix</w:t>
      </w:r>
      <w:r>
        <w:t xml:space="preserve"> </w:t>
      </w:r>
      <w:r>
        <w:rPr>
          <w:iCs/>
          <w:i/>
        </w:rPr>
        <w:t xml:space="preserve">manin</w:t>
      </w:r>
      <w:r>
        <w:t xml:space="preserve"> </w:t>
      </w:r>
      <w:r>
        <w:t xml:space="preserve">by</w:t>
      </w:r>
      <w:r>
        <w:t xml:space="preserve"> </w:t>
      </w:r>
      <w:r>
        <w:rPr>
          <w:iCs/>
          <w:i/>
        </w:rPr>
        <w:t xml:space="preserve">anyebhyo ’pi dṛśyante</w:t>
      </w:r>
      <w:r>
        <w:t xml:space="preserve">. Here the mention of</w:t>
      </w:r>
      <w:r>
        <w:t xml:space="preserve"> </w:t>
      </w:r>
      <w:r>
        <w:rPr>
          <w:iCs/>
          <w:i/>
        </w:rPr>
        <w:t xml:space="preserve">dṛśi</w:t>
      </w:r>
      <w:r>
        <w:t xml:space="preserve"> </w:t>
      </w:r>
      <w:r>
        <w:t xml:space="preserve">serves to enjoin other operations; so, though the suffix is</w:t>
      </w:r>
      <w:r>
        <w:t xml:space="preserve"> </w:t>
      </w:r>
      <w:r>
        <w:rPr>
          <w:iCs/>
          <w:i/>
        </w:rPr>
        <w:t xml:space="preserve">nit</w:t>
      </w:r>
      <w:r>
        <w:t xml:space="preserve">, initial udātta by</w:t>
      </w:r>
      <w:r>
        <w:t xml:space="preserve"> </w:t>
      </w:r>
      <w:r>
        <w:rPr>
          <w:iCs/>
          <w:i/>
        </w:rPr>
        <w:t xml:space="preserve">ñnityādiḥ</w:t>
      </w:r>
      <w:r>
        <w:t xml:space="preserve"> </w:t>
      </w:r>
      <w:r>
        <w:t xml:space="preserve">does not come; the suffix accent alone comes. Or it is widely accepted that the</w:t>
      </w:r>
      <w:r>
        <w:t xml:space="preserve"> </w:t>
      </w:r>
      <w:r>
        <w:rPr>
          <w:iCs/>
          <w:i/>
        </w:rPr>
        <w:t xml:space="preserve">uñcha-ādi</w:t>
      </w:r>
      <w:r>
        <w:t xml:space="preserve"> </w:t>
      </w:r>
      <w:r>
        <w:t xml:space="preserve">is an</w:t>
      </w:r>
      <w:r>
        <w:t xml:space="preserve"> </w:t>
      </w:r>
      <w:r>
        <w:rPr>
          <w:iCs/>
          <w:i/>
        </w:rPr>
        <w:t xml:space="preserve">ākṛtigaṇa</w:t>
      </w:r>
      <w:r>
        <w:t xml:space="preserve">; so, putting the word</w:t>
      </w:r>
      <w:r>
        <w:t xml:space="preserve"> </w:t>
      </w:r>
      <w:r>
        <w:rPr>
          <w:iCs/>
          <w:i/>
        </w:rPr>
        <w:t xml:space="preserve">soman</w:t>
      </w:r>
      <w:r>
        <w:t xml:space="preserve"> </w:t>
      </w:r>
      <w:r>
        <w:t xml:space="preserve">in the</w:t>
      </w:r>
      <w:r>
        <w:t xml:space="preserve"> </w:t>
      </w:r>
      <w:r>
        <w:rPr>
          <w:iCs/>
          <w:i/>
        </w:rPr>
        <w:t xml:space="preserve">uñcha-ādi</w:t>
      </w:r>
      <w:r>
        <w:t xml:space="preserve">, final udātta may be stated by</w:t>
      </w:r>
      <w:r>
        <w:t xml:space="preserve"> </w:t>
      </w:r>
      <w:r>
        <w:t xml:space="preserve">“</w:t>
      </w:r>
      <w:r>
        <w:t xml:space="preserve">uñchādīnāṃ ca</w:t>
      </w:r>
      <w:r>
        <w:t xml:space="preserve">”</w:t>
      </w:r>
      <w:r>
        <w:t xml:space="preserve"> </w:t>
      </w:r>
      <w:r>
        <w:t xml:space="preserve">(Pā. sū. 6-1-160). Or, since</w:t>
      </w:r>
      <w:r>
        <w:t xml:space="preserve"> </w:t>
      </w:r>
      <w:r>
        <w:t xml:space="preserve">“</w:t>
      </w:r>
      <w:r>
        <w:t xml:space="preserve">uṇādayo bahulam</w:t>
      </w:r>
      <w:r>
        <w:t xml:space="preserve">”</w:t>
      </w:r>
      <w:r>
        <w:t xml:space="preserve"> </w:t>
      </w:r>
      <w:r>
        <w:t xml:space="preserve">(Pā. sū. 3-3-1) contains the word</w:t>
      </w:r>
      <w:r>
        <w:t xml:space="preserve"> </w:t>
      </w:r>
      <w:r>
        <w:rPr>
          <w:iCs/>
          <w:i/>
        </w:rPr>
        <w:t xml:space="preserve">bahula</w:t>
      </w:r>
      <w:r>
        <w:t xml:space="preserve">, the Uṇādi suffix</w:t>
      </w:r>
      <w:r>
        <w:t xml:space="preserve"> </w:t>
      </w:r>
      <w:r>
        <w:rPr>
          <w:iCs/>
          <w:i/>
        </w:rPr>
        <w:t xml:space="preserve">manin</w:t>
      </w:r>
      <w:r>
        <w:t xml:space="preserve"> </w:t>
      </w:r>
      <w:r>
        <w:t xml:space="preserve">comes after the root</w:t>
      </w:r>
      <w:r>
        <w:t xml:space="preserve"> </w:t>
      </w:r>
      <w:r>
        <w:rPr>
          <w:iCs/>
          <w:i/>
        </w:rPr>
        <w:t xml:space="preserve">su</w:t>
      </w:r>
      <w:r>
        <w:t xml:space="preserve">; so it is final udātta by the suffix accent. In any case the word</w:t>
      </w:r>
      <w:r>
        <w:t xml:space="preserve"> </w:t>
      </w:r>
      <w:r>
        <w:rPr>
          <w:iCs/>
          <w:i/>
        </w:rPr>
        <w:t xml:space="preserve">soman</w:t>
      </w:r>
      <w:r>
        <w:t xml:space="preserve"> </w:t>
      </w:r>
      <w:r>
        <w:t xml:space="preserve">is final udātta, and in the accusative singular becomes</w:t>
      </w:r>
      <w:r>
        <w:t xml:space="preserve"> </w:t>
      </w:r>
      <w:r>
        <w:rPr>
          <w:iCs/>
          <w:i/>
        </w:rPr>
        <w:t xml:space="preserve">somānam</w:t>
      </w:r>
      <w:r>
        <w:t xml:space="preserve">.</w:t>
      </w:r>
    </w:p>
    <w:p>
      <w:pPr>
        <w:pStyle w:val="BodyText"/>
      </w:pPr>
      <w:r>
        <w:rPr>
          <w:bCs/>
          <w:b/>
        </w:rPr>
        <w:t xml:space="preserve">स्वरणम् (</w:t>
      </w:r>
      <w:r>
        <w:rPr>
          <w:iCs/>
          <w:i/>
          <w:bCs/>
          <w:b/>
        </w:rPr>
        <w:t xml:space="preserve">svaraṇam</w:t>
      </w:r>
      <w:r>
        <w:rPr>
          <w:bCs/>
          <w:b/>
        </w:rPr>
        <w:t xml:space="preserve">)</w:t>
      </w:r>
      <w:r>
        <w:t xml:space="preserve">: meaning</w:t>
      </w:r>
      <w:r>
        <w:t xml:space="preserve"> </w:t>
      </w:r>
      <w:r>
        <w:t xml:space="preserve">“</w:t>
      </w:r>
      <w:r>
        <w:t xml:space="preserve">renowned</w:t>
      </w:r>
      <w:r>
        <w:t xml:space="preserve">”</w:t>
      </w:r>
      <w:r>
        <w:t xml:space="preserve">. The root</w:t>
      </w:r>
      <w:r>
        <w:t xml:space="preserve"> </w:t>
      </w:r>
      <w:r>
        <w:rPr>
          <w:iCs/>
          <w:i/>
        </w:rPr>
        <w:t xml:space="preserve">svṛ śabdopatāpayoḥ</w:t>
      </w:r>
      <w:r>
        <w:t xml:space="preserve">. By</w:t>
      </w:r>
      <w:r>
        <w:t xml:space="preserve"> </w:t>
      </w:r>
      <w:r>
        <w:t xml:space="preserve">“</w:t>
      </w:r>
      <w:r>
        <w:t xml:space="preserve">kṛtyalyuṭo bahulam</w:t>
      </w:r>
      <w:r>
        <w:t xml:space="preserve">”</w:t>
      </w:r>
      <w:r>
        <w:t xml:space="preserve"> </w:t>
      </w:r>
      <w:r>
        <w:t xml:space="preserve">(Pā. sū. 3-3-113) the suffix</w:t>
      </w:r>
      <w:r>
        <w:t xml:space="preserve"> </w:t>
      </w:r>
      <w:r>
        <w:rPr>
          <w:iCs/>
          <w:i/>
        </w:rPr>
        <w:t xml:space="preserve">lyuṭ</w:t>
      </w:r>
      <w:r>
        <w:t xml:space="preserve"> </w:t>
      </w:r>
      <w:r>
        <w:t xml:space="preserve">in the object sense; by</w:t>
      </w:r>
      <w:r>
        <w:t xml:space="preserve"> </w:t>
      </w:r>
      <w:r>
        <w:t xml:space="preserve">“</w:t>
      </w:r>
      <w:r>
        <w:t xml:space="preserve">yuvor anākau</w:t>
      </w:r>
      <w:r>
        <w:t xml:space="preserve">”</w:t>
      </w:r>
      <w:r>
        <w:t xml:space="preserve"> </w:t>
      </w:r>
      <w:r>
        <w:t xml:space="preserve">(Pā. sū. 7-1-1)</w:t>
      </w:r>
      <w:r>
        <w:t xml:space="preserve"> </w:t>
      </w:r>
      <w:r>
        <w:rPr>
          <w:iCs/>
          <w:i/>
        </w:rPr>
        <w:t xml:space="preserve">ana</w:t>
      </w:r>
      <w:r>
        <w:t xml:space="preserve"> </w:t>
      </w:r>
      <w:r>
        <w:t xml:space="preserve">for</w:t>
      </w:r>
      <w:r>
        <w:t xml:space="preserve"> </w:t>
      </w:r>
      <w:r>
        <w:rPr>
          <w:iCs/>
          <w:i/>
        </w:rPr>
        <w:t xml:space="preserve">yu</w:t>
      </w:r>
      <w:r>
        <w:t xml:space="preserve">;</w:t>
      </w:r>
      <w:r>
        <w:t xml:space="preserve"> </w:t>
      </w:r>
      <w:r>
        <w:rPr>
          <w:iCs/>
          <w:i/>
        </w:rPr>
        <w:t xml:space="preserve">guṇa</w:t>
      </w:r>
      <w:r>
        <w:t xml:space="preserve"> </w:t>
      </w:r>
      <w:r>
        <w:t xml:space="preserve">followed by</w:t>
      </w:r>
      <w:r>
        <w:t xml:space="preserve"> </w:t>
      </w:r>
      <w:r>
        <w:rPr>
          <w:iCs/>
          <w:i/>
        </w:rPr>
        <w:t xml:space="preserve">r</w:t>
      </w:r>
      <w:r>
        <w:t xml:space="preserve">; by</w:t>
      </w:r>
      <w:r>
        <w:t xml:space="preserve"> </w:t>
      </w:r>
      <w:r>
        <w:rPr>
          <w:iCs/>
          <w:i/>
        </w:rPr>
        <w:t xml:space="preserve">liti</w:t>
      </w:r>
      <w:r>
        <w:t xml:space="preserve"> </w:t>
      </w:r>
      <w:r>
        <w:t xml:space="preserve">the</w:t>
      </w:r>
      <w:r>
        <w:t xml:space="preserve"> </w:t>
      </w:r>
      <w:r>
        <w:rPr>
          <w:iCs/>
          <w:i/>
        </w:rPr>
        <w:t xml:space="preserve">a</w:t>
      </w:r>
      <w:r>
        <w:t xml:space="preserve"> </w:t>
      </w:r>
      <w:r>
        <w:t xml:space="preserve">of</w:t>
      </w:r>
      <w:r>
        <w:t xml:space="preserve"> </w:t>
      </w:r>
      <w:r>
        <w:rPr>
          <w:iCs/>
          <w:i/>
        </w:rPr>
        <w:t xml:space="preserve">sva</w:t>
      </w:r>
      <w:r>
        <w:t xml:space="preserve"> </w:t>
      </w:r>
      <w:r>
        <w:t xml:space="preserve">before the suffix is udātta; by</w:t>
      </w:r>
      <w:r>
        <w:t xml:space="preserve"> </w:t>
      </w:r>
      <w:r>
        <w:rPr>
          <w:iCs/>
          <w:i/>
        </w:rPr>
        <w:t xml:space="preserve">raṣābhyām</w:t>
      </w:r>
      <w:r>
        <w:t xml:space="preserve"> </w:t>
      </w:r>
      <w:r>
        <w:rPr>
          <w:iCs/>
          <w:i/>
        </w:rPr>
        <w:t xml:space="preserve">ṇ</w:t>
      </w:r>
      <w:r>
        <w:t xml:space="preserve"> </w:t>
      </w:r>
      <w:r>
        <w:t xml:space="preserve">for</w:t>
      </w:r>
      <w:r>
        <w:t xml:space="preserve"> </w:t>
      </w:r>
      <w:r>
        <w:rPr>
          <w:iCs/>
          <w:i/>
        </w:rPr>
        <w:t xml:space="preserve">n</w:t>
      </w:r>
      <w:r>
        <w:t xml:space="preserve">. Accusative singular</w:t>
      </w:r>
      <w:r>
        <w:t xml:space="preserve"> </w:t>
      </w:r>
      <w:r>
        <w:rPr>
          <w:iCs/>
          <w:i/>
        </w:rPr>
        <w:t xml:space="preserve">am</w:t>
      </w:r>
      <w:r>
        <w:t xml:space="preserve">; the</w:t>
      </w:r>
      <w:r>
        <w:t xml:space="preserve"> </w:t>
      </w:r>
      <w:r>
        <w:rPr>
          <w:iCs/>
          <w:i/>
        </w:rPr>
        <w:t xml:space="preserve">pūrvarūpa</w:t>
      </w:r>
      <w:r>
        <w:t xml:space="preserve"> </w:t>
      </w:r>
      <w:r>
        <w:t xml:space="preserve">by</w:t>
      </w:r>
      <w:r>
        <w:t xml:space="preserve"> </w:t>
      </w:r>
      <w:r>
        <w:rPr>
          <w:iCs/>
          <w:i/>
        </w:rPr>
        <w:t xml:space="preserve">ami pūrvaḥ</w:t>
      </w:r>
      <w:r>
        <w:t xml:space="preserve">:</w:t>
      </w:r>
      <w:r>
        <w:t xml:space="preserve"> </w:t>
      </w:r>
      <w:r>
        <w:rPr>
          <w:iCs/>
          <w:i/>
        </w:rPr>
        <w:t xml:space="preserve">svaraṇam</w:t>
      </w:r>
      <w:r>
        <w:t xml:space="preserve">.</w:t>
      </w:r>
    </w:p>
    <w:p>
      <w:pPr>
        <w:pStyle w:val="BodyText"/>
      </w:pPr>
      <w:r>
        <w:rPr>
          <w:bCs/>
          <w:b/>
        </w:rPr>
        <w:t xml:space="preserve">कृणुहि (</w:t>
      </w:r>
      <w:r>
        <w:rPr>
          <w:iCs/>
          <w:i/>
          <w:bCs/>
          <w:b/>
        </w:rPr>
        <w:t xml:space="preserve">kṛṇuhi</w:t>
      </w:r>
      <w:r>
        <w:rPr>
          <w:bCs/>
          <w:b/>
        </w:rPr>
        <w:t xml:space="preserve">)</w:t>
      </w:r>
      <w:r>
        <w:t xml:space="preserve">: the root</w:t>
      </w:r>
      <w:r>
        <w:t xml:space="preserve"> </w:t>
      </w:r>
      <w:r>
        <w:rPr>
          <w:iCs/>
          <w:i/>
        </w:rPr>
        <w:t xml:space="preserve">kṛvi hiṃsākaraṇayoś ca</w:t>
      </w:r>
      <w:r>
        <w:t xml:space="preserve">. The augment</w:t>
      </w:r>
      <w:r>
        <w:t xml:space="preserve"> </w:t>
      </w:r>
      <w:r>
        <w:rPr>
          <w:iCs/>
          <w:i/>
        </w:rPr>
        <w:t xml:space="preserve">num</w:t>
      </w:r>
      <w:r>
        <w:t xml:space="preserve"> </w:t>
      </w:r>
      <w:r>
        <w:t xml:space="preserve">by</w:t>
      </w:r>
      <w:r>
        <w:t xml:space="preserve"> </w:t>
      </w:r>
      <w:r>
        <w:t xml:space="preserve">“</w:t>
      </w:r>
      <w:r>
        <w:t xml:space="preserve">idito num dhātoḥ</w:t>
      </w:r>
      <w:r>
        <w:t xml:space="preserve">”</w:t>
      </w:r>
      <w:r>
        <w:t xml:space="preserve"> </w:t>
      </w:r>
      <w:r>
        <w:t xml:space="preserve">(Pā. sū. 7-1-58):</w:t>
      </w:r>
      <w:r>
        <w:t xml:space="preserve"> </w:t>
      </w:r>
      <w:r>
        <w:rPr>
          <w:iCs/>
          <w:i/>
        </w:rPr>
        <w:t xml:space="preserve">kṛnv</w:t>
      </w:r>
      <w:r>
        <w:t xml:space="preserve">; after it</w:t>
      </w:r>
      <w:r>
        <w:t xml:space="preserve"> </w:t>
      </w:r>
      <w:r>
        <w:rPr>
          <w:iCs/>
          <w:i/>
        </w:rPr>
        <w:t xml:space="preserve">loṭ</w:t>
      </w:r>
      <w:r>
        <w:t xml:space="preserve">, 2nd singular</w:t>
      </w:r>
      <w:r>
        <w:t xml:space="preserve"> </w:t>
      </w:r>
      <w:r>
        <w:rPr>
          <w:iCs/>
          <w:i/>
        </w:rPr>
        <w:t xml:space="preserve">sip</w:t>
      </w:r>
      <w:r>
        <w:t xml:space="preserve">. By</w:t>
      </w:r>
      <w:r>
        <w:t xml:space="preserve"> </w:t>
      </w:r>
      <w:r>
        <w:t xml:space="preserve">“</w:t>
      </w:r>
      <w:r>
        <w:t xml:space="preserve">ser hy apic ca</w:t>
      </w:r>
      <w:r>
        <w:t xml:space="preserve">”</w:t>
      </w:r>
      <w:r>
        <w:t xml:space="preserve"> </w:t>
      </w:r>
      <w:r>
        <w:t xml:space="preserve">(Pā. sū. 3-4-87)</w:t>
      </w:r>
      <w:r>
        <w:t xml:space="preserve"> </w:t>
      </w:r>
      <w:r>
        <w:rPr>
          <w:iCs/>
          <w:i/>
        </w:rPr>
        <w:t xml:space="preserve">hi</w:t>
      </w:r>
      <w:r>
        <w:t xml:space="preserve"> </w:t>
      </w:r>
      <w:r>
        <w:t xml:space="preserve">for</w:t>
      </w:r>
      <w:r>
        <w:t xml:space="preserve"> </w:t>
      </w:r>
      <w:r>
        <w:rPr>
          <w:iCs/>
          <w:i/>
        </w:rPr>
        <w:t xml:space="preserve">sip</w:t>
      </w:r>
      <w:r>
        <w:t xml:space="preserve">;</w:t>
      </w:r>
      <w:r>
        <w:t xml:space="preserve"> </w:t>
      </w:r>
      <w:r>
        <w:rPr>
          <w:iCs/>
          <w:i/>
        </w:rPr>
        <w:t xml:space="preserve">śap</w:t>
      </w:r>
      <w:r>
        <w:t xml:space="preserve"> </w:t>
      </w:r>
      <w:r>
        <w:t xml:space="preserve">is due by</w:t>
      </w:r>
      <w:r>
        <w:t xml:space="preserve"> </w:t>
      </w:r>
      <w:r>
        <w:rPr>
          <w:iCs/>
          <w:i/>
        </w:rPr>
        <w:t xml:space="preserve">kartari śap</w:t>
      </w:r>
      <w:r>
        <w:t xml:space="preserve">, but by its exception</w:t>
      </w:r>
      <w:r>
        <w:t xml:space="preserve"> </w:t>
      </w:r>
      <w:r>
        <w:t xml:space="preserve">“</w:t>
      </w:r>
      <w:r>
        <w:t xml:space="preserve">dhinvikṛṇvyor a ca</w:t>
      </w:r>
      <w:r>
        <w:t xml:space="preserve">”</w:t>
      </w:r>
      <w:r>
        <w:t xml:space="preserve"> </w:t>
      </w:r>
      <w:r>
        <w:t xml:space="preserve">(Pā. sū. 3-1-80) the</w:t>
      </w:r>
      <w:r>
        <w:t xml:space="preserve"> </w:t>
      </w:r>
      <w:r>
        <w:rPr>
          <w:iCs/>
          <w:i/>
        </w:rPr>
        <w:t xml:space="preserve">vikaraṇa</w:t>
      </w:r>
      <w:r>
        <w:t xml:space="preserve"> </w:t>
      </w:r>
      <w:r>
        <w:rPr>
          <w:iCs/>
          <w:i/>
        </w:rPr>
        <w:t xml:space="preserve">u</w:t>
      </w:r>
      <w:r>
        <w:t xml:space="preserve">, and with it</w:t>
      </w:r>
      <w:r>
        <w:t xml:space="preserve"> </w:t>
      </w:r>
      <w:r>
        <w:rPr>
          <w:iCs/>
          <w:i/>
        </w:rPr>
        <w:t xml:space="preserve">a</w:t>
      </w:r>
      <w:r>
        <w:t xml:space="preserve"> </w:t>
      </w:r>
      <w:r>
        <w:t xml:space="preserve">for the</w:t>
      </w:r>
      <w:r>
        <w:t xml:space="preserve"> </w:t>
      </w:r>
      <w:r>
        <w:rPr>
          <w:iCs/>
          <w:i/>
        </w:rPr>
        <w:t xml:space="preserve">v</w:t>
      </w:r>
      <w:r>
        <w:t xml:space="preserve">:</w:t>
      </w:r>
      <w:r>
        <w:t xml:space="preserve"> </w:t>
      </w:r>
      <w:r>
        <w:rPr>
          <w:iCs/>
          <w:i/>
        </w:rPr>
        <w:t xml:space="preserve">kṛna</w:t>
      </w:r>
      <w:r>
        <w:t xml:space="preserve"> </w:t>
      </w:r>
      <w:r>
        <w:t xml:space="preserve">+</w:t>
      </w:r>
      <w:r>
        <w:t xml:space="preserve"> </w:t>
      </w:r>
      <w:r>
        <w:rPr>
          <w:iCs/>
          <w:i/>
        </w:rPr>
        <w:t xml:space="preserve">u</w:t>
      </w:r>
      <w:r>
        <w:t xml:space="preserve"> </w:t>
      </w:r>
      <w:r>
        <w:t xml:space="preserve">+</w:t>
      </w:r>
      <w:r>
        <w:t xml:space="preserve"> </w:t>
      </w:r>
      <w:r>
        <w:rPr>
          <w:iCs/>
          <w:i/>
        </w:rPr>
        <w:t xml:space="preserve">hi</w:t>
      </w:r>
      <w:r>
        <w:t xml:space="preserve">. By</w:t>
      </w:r>
      <w:r>
        <w:t xml:space="preserve"> </w:t>
      </w:r>
      <w:r>
        <w:t xml:space="preserve">“</w:t>
      </w:r>
      <w:r>
        <w:t xml:space="preserve">ato lopaḥ</w:t>
      </w:r>
      <w:r>
        <w:t xml:space="preserve">”</w:t>
      </w:r>
      <w:r>
        <w:t xml:space="preserve"> </w:t>
      </w:r>
      <w:r>
        <w:t xml:space="preserve">(Pā. sū. 6-4-48) the</w:t>
      </w:r>
      <w:r>
        <w:t xml:space="preserve"> </w:t>
      </w:r>
      <w:r>
        <w:rPr>
          <w:iCs/>
          <w:i/>
        </w:rPr>
        <w:t xml:space="preserve">a</w:t>
      </w:r>
      <w:r>
        <w:t xml:space="preserve"> </w:t>
      </w:r>
      <w:r>
        <w:t xml:space="preserve">drops:</w:t>
      </w:r>
      <w:r>
        <w:t xml:space="preserve"> </w:t>
      </w:r>
      <w:r>
        <w:rPr>
          <w:iCs/>
          <w:i/>
        </w:rPr>
        <w:t xml:space="preserve">kṛn</w:t>
      </w:r>
      <w:r>
        <w:t xml:space="preserve"> </w:t>
      </w:r>
      <w:r>
        <w:t xml:space="preserve">+</w:t>
      </w:r>
      <w:r>
        <w:t xml:space="preserve"> </w:t>
      </w:r>
      <w:r>
        <w:rPr>
          <w:iCs/>
          <w:i/>
        </w:rPr>
        <w:t xml:space="preserve">u</w:t>
      </w:r>
      <w:r>
        <w:t xml:space="preserve"> </w:t>
      </w:r>
      <w:r>
        <w:t xml:space="preserve">+</w:t>
      </w:r>
      <w:r>
        <w:t xml:space="preserve"> </w:t>
      </w:r>
      <w:r>
        <w:rPr>
          <w:iCs/>
          <w:i/>
        </w:rPr>
        <w:t xml:space="preserve">hi</w:t>
      </w:r>
      <w:r>
        <w:t xml:space="preserve">. Now, with the suffix</w:t>
      </w:r>
      <w:r>
        <w:t xml:space="preserve"> </w:t>
      </w:r>
      <w:r>
        <w:rPr>
          <w:iCs/>
          <w:i/>
        </w:rPr>
        <w:t xml:space="preserve">u</w:t>
      </w:r>
      <w:r>
        <w:t xml:space="preserve"> </w:t>
      </w:r>
      <w:r>
        <w:t xml:space="preserve">as condition, the</w:t>
      </w:r>
      <w:r>
        <w:t xml:space="preserve"> </w:t>
      </w:r>
      <w:r>
        <w:rPr>
          <w:iCs/>
          <w:i/>
        </w:rPr>
        <w:t xml:space="preserve">laghūpadha-guṇa</w:t>
      </w:r>
      <w:r>
        <w:t xml:space="preserve"> </w:t>
      </w:r>
      <w:r>
        <w:t xml:space="preserve">would be due by</w:t>
      </w:r>
      <w:r>
        <w:t xml:space="preserve"> </w:t>
      </w:r>
      <w:r>
        <w:t xml:space="preserve">“</w:t>
      </w:r>
      <w:r>
        <w:t xml:space="preserve">pugantalaghūpadhasya ca</w:t>
      </w:r>
      <w:r>
        <w:t xml:space="preserve">”</w:t>
      </w:r>
      <w:r>
        <w:t xml:space="preserve"> </w:t>
      </w:r>
      <w:r>
        <w:t xml:space="preserve">(Pā. sū. 7-3-86); but by</w:t>
      </w:r>
      <w:r>
        <w:t xml:space="preserve"> </w:t>
      </w:r>
      <w:r>
        <w:t xml:space="preserve">“</w:t>
      </w:r>
      <w:r>
        <w:t xml:space="preserve">acaḥ parasmin pūrvavidhau</w:t>
      </w:r>
      <w:r>
        <w:t xml:space="preserve">”</w:t>
      </w:r>
      <w:r>
        <w:t xml:space="preserve"> </w:t>
      </w:r>
      <w:r>
        <w:t xml:space="preserve">(Pā. sū. 1-1-57) the loss of</w:t>
      </w:r>
      <w:r>
        <w:t xml:space="preserve"> </w:t>
      </w:r>
      <w:r>
        <w:rPr>
          <w:iCs/>
          <w:i/>
        </w:rPr>
        <w:t xml:space="preserve">a</w:t>
      </w:r>
      <w:r>
        <w:t xml:space="preserve"> </w:t>
      </w:r>
      <w:r>
        <w:t xml:space="preserve">is</w:t>
      </w:r>
      <w:r>
        <w:t xml:space="preserve"> </w:t>
      </w:r>
      <w:r>
        <w:rPr>
          <w:iCs/>
          <w:i/>
        </w:rPr>
        <w:t xml:space="preserve">sthānivat</w:t>
      </w:r>
      <w:r>
        <w:t xml:space="preserve">, so the</w:t>
      </w:r>
      <w:r>
        <w:t xml:space="preserve"> </w:t>
      </w:r>
      <w:r>
        <w:rPr>
          <w:iCs/>
          <w:i/>
        </w:rPr>
        <w:t xml:space="preserve">laghūpadha-guṇa</w:t>
      </w:r>
      <w:r>
        <w:t xml:space="preserve"> </w:t>
      </w:r>
      <w:r>
        <w:t xml:space="preserve">does not come. With</w:t>
      </w:r>
      <w:r>
        <w:t xml:space="preserve"> </w:t>
      </w:r>
      <w:r>
        <w:rPr>
          <w:iCs/>
          <w:i/>
        </w:rPr>
        <w:t xml:space="preserve">hi</w:t>
      </w:r>
      <w:r>
        <w:t xml:space="preserve"> </w:t>
      </w:r>
      <w:r>
        <w:t xml:space="preserve">as condition,</w:t>
      </w:r>
      <w:r>
        <w:t xml:space="preserve"> </w:t>
      </w:r>
      <w:r>
        <w:rPr>
          <w:iCs/>
          <w:i/>
        </w:rPr>
        <w:t xml:space="preserve">guṇa</w:t>
      </w:r>
      <w:r>
        <w:t xml:space="preserve"> </w:t>
      </w:r>
      <w:r>
        <w:t xml:space="preserve">would be due for the</w:t>
      </w:r>
      <w:r>
        <w:t xml:space="preserve"> </w:t>
      </w:r>
      <w:r>
        <w:rPr>
          <w:iCs/>
          <w:i/>
        </w:rPr>
        <w:t xml:space="preserve">u</w:t>
      </w:r>
      <w:r>
        <w:t xml:space="preserve"> </w:t>
      </w:r>
      <w:r>
        <w:t xml:space="preserve">in</w:t>
      </w:r>
      <w:r>
        <w:t xml:space="preserve"> </w:t>
      </w:r>
      <w:r>
        <w:rPr>
          <w:iCs/>
          <w:i/>
        </w:rPr>
        <w:t xml:space="preserve">kṛnu</w:t>
      </w:r>
      <w:r>
        <w:t xml:space="preserve"> </w:t>
      </w:r>
      <w:r>
        <w:t xml:space="preserve">by</w:t>
      </w:r>
      <w:r>
        <w:t xml:space="preserve"> </w:t>
      </w:r>
      <w:r>
        <w:t xml:space="preserve">“</w:t>
      </w:r>
      <w:r>
        <w:t xml:space="preserve">sārvadhātukārdhadhātukayoḥ</w:t>
      </w:r>
      <w:r>
        <w:t xml:space="preserve">”</w:t>
      </w:r>
      <w:r>
        <w:t xml:space="preserve"> </w:t>
      </w:r>
      <w:r>
        <w:t xml:space="preserve">(Pā. sū. 7-3-84); but by</w:t>
      </w:r>
      <w:r>
        <w:t xml:space="preserve"> </w:t>
      </w:r>
      <w:r>
        <w:t xml:space="preserve">“</w:t>
      </w:r>
      <w:r>
        <w:t xml:space="preserve">sārvadhātukam apit</w:t>
      </w:r>
      <w:r>
        <w:t xml:space="preserve">”</w:t>
      </w:r>
      <w:r>
        <w:t xml:space="preserve"> </w:t>
      </w:r>
      <w:r>
        <w:t xml:space="preserve">(Pā. sū. 1-2-4)</w:t>
      </w:r>
      <w:r>
        <w:t xml:space="preserve"> </w:t>
      </w:r>
      <w:r>
        <w:rPr>
          <w:iCs/>
          <w:i/>
        </w:rPr>
        <w:t xml:space="preserve">hi</w:t>
      </w:r>
      <w:r>
        <w:t xml:space="preserve"> </w:t>
      </w:r>
      <w:r>
        <w:t xml:space="preserve">is</w:t>
      </w:r>
      <w:r>
        <w:t xml:space="preserve"> </w:t>
      </w:r>
      <w:r>
        <w:rPr>
          <w:iCs/>
          <w:i/>
        </w:rPr>
        <w:t xml:space="preserve">ṅit</w:t>
      </w:r>
      <w:r>
        <w:t xml:space="preserve">, so by</w:t>
      </w:r>
      <w:r>
        <w:t xml:space="preserve"> </w:t>
      </w:r>
      <w:r>
        <w:t xml:space="preserve">“</w:t>
      </w:r>
      <w:r>
        <w:t xml:space="preserve">kṅiti ca</w:t>
      </w:r>
      <w:r>
        <w:t xml:space="preserve">”</w:t>
      </w:r>
      <w:r>
        <w:t xml:space="preserve"> </w:t>
      </w:r>
      <w:r>
        <w:t xml:space="preserve">(Pā. sū. 1-1-5)</w:t>
      </w:r>
      <w:r>
        <w:t xml:space="preserve"> </w:t>
      </w:r>
      <w:r>
        <w:rPr>
          <w:iCs/>
          <w:i/>
        </w:rPr>
        <w:t xml:space="preserve">guṇa</w:t>
      </w:r>
      <w:r>
        <w:t xml:space="preserve"> </w:t>
      </w:r>
      <w:r>
        <w:t xml:space="preserve">is barred. By</w:t>
      </w:r>
      <w:r>
        <w:t xml:space="preserve"> </w:t>
      </w:r>
      <w:r>
        <w:t xml:space="preserve">“</w:t>
      </w:r>
      <w:r>
        <w:t xml:space="preserve">utaś ca pratyayād asaṃyogapūrvāt</w:t>
      </w:r>
      <w:r>
        <w:t xml:space="preserve">”</w:t>
      </w:r>
      <w:r>
        <w:t xml:space="preserve"> </w:t>
      </w:r>
      <w:r>
        <w:t xml:space="preserve">(Pā. sū. 6-4-106)</w:t>
      </w:r>
      <w:r>
        <w:t xml:space="preserve"> </w:t>
      </w:r>
      <w:r>
        <w:rPr>
          <w:iCs/>
          <w:i/>
        </w:rPr>
        <w:t xml:space="preserve">luk</w:t>
      </w:r>
      <w:r>
        <w:t xml:space="preserve"> </w:t>
      </w:r>
      <w:r>
        <w:t xml:space="preserve">of</w:t>
      </w:r>
      <w:r>
        <w:t xml:space="preserve"> </w:t>
      </w:r>
      <w:r>
        <w:rPr>
          <w:iCs/>
          <w:i/>
        </w:rPr>
        <w:t xml:space="preserve">hi</w:t>
      </w:r>
      <w:r>
        <w:t xml:space="preserve"> </w:t>
      </w:r>
      <w:r>
        <w:t xml:space="preserve">would be due; but by the statement</w:t>
      </w:r>
      <w:r>
        <w:t xml:space="preserve"> </w:t>
      </w:r>
      <w:r>
        <w:t xml:space="preserve">“</w:t>
      </w:r>
      <w:r>
        <w:t xml:space="preserve">utaś ca pratyayāc chando vā vacanam</w:t>
      </w:r>
      <w:r>
        <w:t xml:space="preserve">”</w:t>
      </w:r>
      <w:r>
        <w:t xml:space="preserve"> </w:t>
      </w:r>
      <w:r>
        <w:t xml:space="preserve">(Pā. sū. 6-4-106-1), that in the Veda</w:t>
      </w:r>
      <w:r>
        <w:t xml:space="preserve"> </w:t>
      </w:r>
      <w:r>
        <w:rPr>
          <w:iCs/>
          <w:i/>
        </w:rPr>
        <w:t xml:space="preserve">utaś ca pratyayāt</w:t>
      </w:r>
      <w:r>
        <w:t xml:space="preserve"> </w:t>
      </w:r>
      <w:r>
        <w:t xml:space="preserve">applies optionally, in one alternative the loss does not come. In</w:t>
      </w:r>
      <w:r>
        <w:t xml:space="preserve"> </w:t>
      </w:r>
      <w:r>
        <w:t xml:space="preserve">“</w:t>
      </w:r>
      <w:r>
        <w:t xml:space="preserve">satiśiṣṭasvarabalīyastvam anyatra vikaraṇebhyaḥ</w:t>
      </w:r>
      <w:r>
        <w:t xml:space="preserve">”</w:t>
      </w:r>
      <w:r>
        <w:t xml:space="preserve">,</w:t>
      </w:r>
      <w:r>
        <w:t xml:space="preserve"> </w:t>
      </w:r>
      <w:r>
        <w:rPr>
          <w:iCs/>
          <w:i/>
        </w:rPr>
        <w:t xml:space="preserve">sati</w:t>
      </w:r>
    </w:p>
    <w:bookmarkEnd w:id="828"/>
    <w:bookmarkStart w:id="829" w:name="page-752-rik-1-grammar"/>
    <w:p>
      <w:pPr>
        <w:pStyle w:val="Heading3"/>
      </w:pPr>
      <w:r>
        <w:t xml:space="preserve">Page 752 — Rik 1: grammar</w:t>
      </w:r>
    </w:p>
    <w:p>
      <w:pPr>
        <w:pStyle w:val="FirstParagraph"/>
      </w:pPr>
      <w:r>
        <w:t xml:space="preserve">means</w:t>
      </w:r>
      <w:r>
        <w:t xml:space="preserve"> </w:t>
      </w:r>
      <w:r>
        <w:t xml:space="preserve">“</w:t>
      </w:r>
      <w:r>
        <w:t xml:space="preserve">having come about</w:t>
      </w:r>
      <w:r>
        <w:t xml:space="preserve">”</w:t>
      </w:r>
      <w:r>
        <w:t xml:space="preserve">,</w:t>
      </w:r>
      <w:r>
        <w:t xml:space="preserve"> </w:t>
      </w:r>
      <w:r>
        <w:rPr>
          <w:iCs/>
          <w:i/>
        </w:rPr>
        <w:t xml:space="preserve">śiṣṭa</w:t>
      </w:r>
      <w:r>
        <w:t xml:space="preserve"> </w:t>
      </w:r>
      <w:r>
        <w:t xml:space="preserve">means</w:t>
      </w:r>
      <w:r>
        <w:t xml:space="preserve"> </w:t>
      </w:r>
      <w:r>
        <w:t xml:space="preserve">“</w:t>
      </w:r>
      <w:r>
        <w:t xml:space="preserve">enjoined</w:t>
      </w:r>
      <w:r>
        <w:t xml:space="preserve">”</w:t>
      </w:r>
      <w:r>
        <w:t xml:space="preserve">. When udātta is due for several letters, the udātta enjoined last, after udātta has come for some, is the stronger. But since it is said that this part does not hold for</w:t>
      </w:r>
      <w:r>
        <w:t xml:space="preserve"> </w:t>
      </w:r>
      <w:r>
        <w:rPr>
          <w:iCs/>
          <w:i/>
        </w:rPr>
        <w:t xml:space="preserve">vikaraṇas</w:t>
      </w:r>
      <w:r>
        <w:t xml:space="preserve">, the accent that would come to the</w:t>
      </w:r>
      <w:r>
        <w:t xml:space="preserve"> </w:t>
      </w:r>
      <w:r>
        <w:rPr>
          <w:iCs/>
          <w:i/>
        </w:rPr>
        <w:t xml:space="preserve">vikaraṇa</w:t>
      </w:r>
      <w:r>
        <w:t xml:space="preserve"> </w:t>
      </w:r>
      <w:r>
        <w:rPr>
          <w:iCs/>
          <w:i/>
        </w:rPr>
        <w:t xml:space="preserve">u</w:t>
      </w:r>
      <w:r>
        <w:t xml:space="preserve">, though</w:t>
      </w:r>
      <w:r>
        <w:t xml:space="preserve"> </w:t>
      </w:r>
      <w:r>
        <w:rPr>
          <w:iCs/>
          <w:i/>
        </w:rPr>
        <w:t xml:space="preserve">satiśiṣṭa</w:t>
      </w:r>
      <w:r>
        <w:t xml:space="preserve">, is not the stronger. So the udātta comes to</w:t>
      </w:r>
      <w:r>
        <w:t xml:space="preserve"> </w:t>
      </w:r>
      <w:r>
        <w:rPr>
          <w:iCs/>
          <w:i/>
        </w:rPr>
        <w:t xml:space="preserve">hi</w:t>
      </w:r>
      <w:r>
        <w:t xml:space="preserve"> </w:t>
      </w:r>
      <w:r>
        <w:t xml:space="preserve">by the suffix accent. Since it stands at the start of a</w:t>
      </w:r>
      <w:r>
        <w:t xml:space="preserve"> </w:t>
      </w:r>
      <w:r>
        <w:rPr>
          <w:iCs/>
          <w:i/>
        </w:rPr>
        <w:t xml:space="preserve">pāda</w:t>
      </w:r>
      <w:r>
        <w:t xml:space="preserve">, the bar</w:t>
      </w:r>
      <w:r>
        <w:t xml:space="preserve"> </w:t>
      </w:r>
      <w:r>
        <w:rPr>
          <w:iCs/>
          <w:i/>
        </w:rPr>
        <w:t xml:space="preserve">apādādau</w:t>
      </w:r>
      <w:r>
        <w:t xml:space="preserve"> </w:t>
      </w:r>
      <w:r>
        <w:t xml:space="preserve">comes, so it is not wholly unaccented by</w:t>
      </w:r>
      <w:r>
        <w:t xml:space="preserve"> </w:t>
      </w:r>
      <w:r>
        <w:rPr>
          <w:iCs/>
          <w:i/>
        </w:rPr>
        <w:t xml:space="preserve">tiṅṅatiṅaḥ</w:t>
      </w:r>
      <w:r>
        <w:t xml:space="preserve">.</w:t>
      </w:r>
    </w:p>
    <w:p>
      <w:pPr>
        <w:pStyle w:val="BodyText"/>
      </w:pPr>
      <w:r>
        <w:rPr>
          <w:bCs/>
          <w:b/>
        </w:rPr>
        <w:t xml:space="preserve">ब्रह्मणस्पते (</w:t>
      </w:r>
      <w:r>
        <w:rPr>
          <w:iCs/>
          <w:i/>
          <w:bCs/>
          <w:b/>
        </w:rPr>
        <w:t xml:space="preserve">brahmaṇaspate</w:t>
      </w:r>
      <w:r>
        <w:rPr>
          <w:bCs/>
          <w:b/>
        </w:rPr>
        <w:t xml:space="preserve">)</w:t>
      </w:r>
      <w:r>
        <w:t xml:space="preserve">: with</w:t>
      </w:r>
      <w:r>
        <w:t xml:space="preserve"> </w:t>
      </w:r>
      <w:r>
        <w:rPr>
          <w:iCs/>
          <w:i/>
        </w:rPr>
        <w:t xml:space="preserve">brahmaṇaḥ pate</w:t>
      </w:r>
      <w:r>
        <w:t xml:space="preserve">, by</w:t>
      </w:r>
      <w:r>
        <w:t xml:space="preserve"> </w:t>
      </w:r>
      <w:r>
        <w:t xml:space="preserve">“</w:t>
      </w:r>
      <w:r>
        <w:t xml:space="preserve">ṣaṣṭhyāḥ patiputrapṛṣṭhapārapadapayasposheṣu</w:t>
      </w:r>
      <w:r>
        <w:t xml:space="preserve">”</w:t>
      </w:r>
      <w:r>
        <w:t xml:space="preserve"> </w:t>
      </w:r>
      <w:r>
        <w:t xml:space="preserve">(Pā. sū. 8-3-53), when</w:t>
      </w:r>
      <w:r>
        <w:t xml:space="preserve"> </w:t>
      </w:r>
      <w:r>
        <w:rPr>
          <w:iCs/>
          <w:i/>
        </w:rPr>
        <w:t xml:space="preserve">pati</w:t>
      </w:r>
      <w:r>
        <w:t xml:space="preserve"> </w:t>
      </w:r>
      <w:r>
        <w:t xml:space="preserve">and the other words follow, the visarga belonging to the genitive takes</w:t>
      </w:r>
      <w:r>
        <w:t xml:space="preserve"> </w:t>
      </w:r>
      <w:r>
        <w:rPr>
          <w:iCs/>
          <w:i/>
        </w:rPr>
        <w:t xml:space="preserve">s</w:t>
      </w:r>
      <w:r>
        <w:t xml:space="preserve">; so in the Saṃhitā the visarga becomes</w:t>
      </w:r>
      <w:r>
        <w:t xml:space="preserve"> </w:t>
      </w:r>
      <w:r>
        <w:rPr>
          <w:iCs/>
          <w:i/>
        </w:rPr>
        <w:t xml:space="preserve">s</w:t>
      </w:r>
      <w:r>
        <w:t xml:space="preserve">.</w:t>
      </w:r>
      <w:r>
        <w:t xml:space="preserve"> </w:t>
      </w:r>
      <w:r>
        <w:rPr>
          <w:iCs/>
          <w:i/>
        </w:rPr>
        <w:t xml:space="preserve">Pate</w:t>
      </w:r>
      <w:r>
        <w:t xml:space="preserve"> </w:t>
      </w:r>
      <w:r>
        <w:t xml:space="preserve">is a vocative. By</w:t>
      </w:r>
      <w:r>
        <w:t xml:space="preserve"> </w:t>
      </w:r>
      <w:r>
        <w:t xml:space="preserve">“</w:t>
      </w:r>
      <w:r>
        <w:t xml:space="preserve">subāmantrite parāṅgavat svare</w:t>
      </w:r>
      <w:r>
        <w:t xml:space="preserve">”</w:t>
      </w:r>
      <w:r>
        <w:t xml:space="preserve"> </w:t>
      </w:r>
      <w:r>
        <w:t xml:space="preserve">(Pā. sū. 2-1-2)</w:t>
      </w:r>
      <w:r>
        <w:t xml:space="preserve"> </w:t>
      </w:r>
      <w:r>
        <w:rPr>
          <w:iCs/>
          <w:i/>
        </w:rPr>
        <w:t xml:space="preserve">brahmaṇaḥ</w:t>
      </w:r>
      <w:r>
        <w:t xml:space="preserve"> </w:t>
      </w:r>
      <w:r>
        <w:t xml:space="preserve">is treated as part of what follows; so by</w:t>
      </w:r>
      <w:r>
        <w:t xml:space="preserve"> </w:t>
      </w:r>
      <w:r>
        <w:t xml:space="preserve">“</w:t>
      </w:r>
      <w:r>
        <w:t xml:space="preserve">āmantritasya ca</w:t>
      </w:r>
      <w:r>
        <w:t xml:space="preserve">”</w:t>
      </w:r>
      <w:r>
        <w:t xml:space="preserve"> </w:t>
      </w:r>
      <w:r>
        <w:t xml:space="preserve">(Pā. sū. 8-1-19) both words are unaccented.</w:t>
      </w:r>
    </w:p>
    <w:p>
      <w:pPr>
        <w:pStyle w:val="BodyText"/>
      </w:pPr>
      <w:r>
        <w:rPr>
          <w:bCs/>
          <w:b/>
        </w:rPr>
        <w:t xml:space="preserve">कक्षीवन्तम् (</w:t>
      </w:r>
      <w:r>
        <w:rPr>
          <w:iCs/>
          <w:i/>
          <w:bCs/>
          <w:b/>
        </w:rPr>
        <w:t xml:space="preserve">kakṣīvantam</w:t>
      </w:r>
      <w:r>
        <w:rPr>
          <w:bCs/>
          <w:b/>
        </w:rPr>
        <w:t xml:space="preserve">)</w:t>
      </w:r>
      <w:r>
        <w:t xml:space="preserve">:</w:t>
      </w:r>
      <w:r>
        <w:t xml:space="preserve"> </w:t>
      </w:r>
      <w:r>
        <w:rPr>
          <w:iCs/>
          <w:i/>
        </w:rPr>
        <w:t xml:space="preserve">kakṣa</w:t>
      </w:r>
      <w:r>
        <w:t xml:space="preserve"> </w:t>
      </w:r>
      <w:r>
        <w:t xml:space="preserve">means the side; with the analysis</w:t>
      </w:r>
      <w:r>
        <w:t xml:space="preserve"> </w:t>
      </w:r>
      <w:r>
        <w:rPr>
          <w:iCs/>
          <w:i/>
        </w:rPr>
        <w:t xml:space="preserve">kakṣe bhavā</w:t>
      </w:r>
      <w:r>
        <w:t xml:space="preserve">, by</w:t>
      </w:r>
      <w:r>
        <w:t xml:space="preserve"> </w:t>
      </w:r>
      <w:r>
        <w:t xml:space="preserve">“</w:t>
      </w:r>
      <w:r>
        <w:t xml:space="preserve">bhave chandasi</w:t>
      </w:r>
      <w:r>
        <w:t xml:space="preserve">”</w:t>
      </w:r>
      <w:r>
        <w:t xml:space="preserve"> </w:t>
      </w:r>
      <w:r>
        <w:t xml:space="preserve">(Pā. sū. 4-4-110)</w:t>
      </w:r>
      <w:r>
        <w:t xml:space="preserve"> </w:t>
      </w:r>
      <w:r>
        <w:rPr>
          <w:iCs/>
          <w:i/>
        </w:rPr>
        <w:t xml:space="preserve">yat</w:t>
      </w:r>
      <w:r>
        <w:t xml:space="preserve">; since the feminine is meant, the suffix</w:t>
      </w:r>
      <w:r>
        <w:t xml:space="preserve"> </w:t>
      </w:r>
      <w:r>
        <w:rPr>
          <w:iCs/>
          <w:i/>
        </w:rPr>
        <w:t xml:space="preserve">ṭāp</w:t>
      </w:r>
      <w:r>
        <w:t xml:space="preserve">:</w:t>
      </w:r>
      <w:r>
        <w:t xml:space="preserve"> </w:t>
      </w:r>
      <w:r>
        <w:rPr>
          <w:iCs/>
          <w:i/>
        </w:rPr>
        <w:t xml:space="preserve">kakṣyā</w:t>
      </w:r>
      <w:r>
        <w:t xml:space="preserve">. The analysis</w:t>
      </w:r>
      <w:r>
        <w:t xml:space="preserve"> </w:t>
      </w:r>
      <w:r>
        <w:rPr>
          <w:iCs/>
          <w:i/>
        </w:rPr>
        <w:t xml:space="preserve">kakṣyā asya asti</w:t>
      </w:r>
      <w:r>
        <w:t xml:space="preserve">. By</w:t>
      </w:r>
      <w:r>
        <w:t xml:space="preserve"> </w:t>
      </w:r>
      <w:r>
        <w:t xml:space="preserve">“</w:t>
      </w:r>
      <w:r>
        <w:t xml:space="preserve">tad asyāsty asminn iti matup</w:t>
      </w:r>
      <w:r>
        <w:t xml:space="preserve">”</w:t>
      </w:r>
      <w:r>
        <w:t xml:space="preserve"> </w:t>
      </w:r>
      <w:r>
        <w:t xml:space="preserve">(Pā. sū. 5-2-94) the suffix</w:t>
      </w:r>
      <w:r>
        <w:t xml:space="preserve"> </w:t>
      </w:r>
      <w:r>
        <w:rPr>
          <w:iCs/>
          <w:i/>
        </w:rPr>
        <w:t xml:space="preserve">matup</w:t>
      </w:r>
      <w:r>
        <w:t xml:space="preserve">:</w:t>
      </w:r>
      <w:r>
        <w:t xml:space="preserve"> </w:t>
      </w:r>
      <w:r>
        <w:rPr>
          <w:iCs/>
          <w:i/>
        </w:rPr>
        <w:t xml:space="preserve">kakṣyā</w:t>
      </w:r>
      <w:r>
        <w:t xml:space="preserve"> </w:t>
      </w:r>
      <w:r>
        <w:t xml:space="preserve">+</w:t>
      </w:r>
      <w:r>
        <w:t xml:space="preserve"> </w:t>
      </w:r>
      <w:r>
        <w:rPr>
          <w:iCs/>
          <w:i/>
        </w:rPr>
        <w:t xml:space="preserve">mat</w:t>
      </w:r>
      <w:r>
        <w:t xml:space="preserve">.</w:t>
      </w:r>
      <w:r>
        <w:t xml:space="preserve"> </w:t>
      </w:r>
      <w:r>
        <w:t xml:space="preserve">“</w:t>
      </w:r>
      <w:r>
        <w:t xml:space="preserve">Āsandīvad-aṣṭhīvac-cakrīvat-kakṣīvad-rumaṇvac-carmaṇvatī</w:t>
      </w:r>
      <w:r>
        <w:t xml:space="preserve">”</w:t>
      </w:r>
      <w:r>
        <w:t xml:space="preserve"> </w:t>
      </w:r>
      <w:r>
        <w:t xml:space="preserve">(Pā. sū. 8-2-12): the sense of the sūtra is that these six words are given ready-made when a name is meant.</w:t>
      </w:r>
      <w:r>
        <w:t xml:space="preserve"> </w:t>
      </w:r>
      <w:r>
        <w:rPr>
          <w:iCs/>
          <w:i/>
        </w:rPr>
        <w:t xml:space="preserve">Nipātana</w:t>
      </w:r>
      <w:r>
        <w:t xml:space="preserve"> </w:t>
      </w:r>
      <w:r>
        <w:t xml:space="preserve">means pronouncing a form containing an operation not got from another rule. In</w:t>
      </w:r>
      <w:r>
        <w:t xml:space="preserve"> </w:t>
      </w:r>
      <w:r>
        <w:rPr>
          <w:iCs/>
          <w:i/>
        </w:rPr>
        <w:t xml:space="preserve">kakṣyā</w:t>
      </w:r>
      <w:r>
        <w:t xml:space="preserve"> </w:t>
      </w:r>
      <w:r>
        <w:t xml:space="preserve">no</w:t>
      </w:r>
      <w:r>
        <w:t xml:space="preserve"> </w:t>
      </w:r>
      <w:r>
        <w:rPr>
          <w:iCs/>
          <w:i/>
        </w:rPr>
        <w:t xml:space="preserve">saṃprasāraṇa</w:t>
      </w:r>
      <w:r>
        <w:t xml:space="preserve"> </w:t>
      </w:r>
      <w:r>
        <w:t xml:space="preserve">comes from another rule; since this sūtra pronounces the operation of</w:t>
      </w:r>
      <w:r>
        <w:t xml:space="preserve"> </w:t>
      </w:r>
      <w:r>
        <w:rPr>
          <w:iCs/>
          <w:i/>
        </w:rPr>
        <w:t xml:space="preserve">saṃprasāraṇa</w:t>
      </w:r>
      <w:r>
        <w:t xml:space="preserve"> </w:t>
      </w:r>
      <w:r>
        <w:t xml:space="preserve">within it,</w:t>
      </w:r>
      <w:r>
        <w:t xml:space="preserve"> </w:t>
      </w:r>
      <w:r>
        <w:rPr>
          <w:iCs/>
          <w:i/>
        </w:rPr>
        <w:t xml:space="preserve">saṃprasāraṇa</w:t>
      </w:r>
      <w:r>
        <w:t xml:space="preserve"> </w:t>
      </w:r>
      <w:r>
        <w:t xml:space="preserve">comes:</w:t>
      </w:r>
      <w:r>
        <w:t xml:space="preserve"> </w:t>
      </w:r>
      <w:r>
        <w:rPr>
          <w:iCs/>
          <w:i/>
        </w:rPr>
        <w:t xml:space="preserve">i</w:t>
      </w:r>
      <w:r>
        <w:t xml:space="preserve"> </w:t>
      </w:r>
      <w:r>
        <w:t xml:space="preserve">for</w:t>
      </w:r>
      <w:r>
        <w:t xml:space="preserve"> </w:t>
      </w:r>
      <w:r>
        <w:rPr>
          <w:iCs/>
          <w:i/>
        </w:rPr>
        <w:t xml:space="preserve">y</w:t>
      </w:r>
      <w:r>
        <w:t xml:space="preserve">; the</w:t>
      </w:r>
      <w:r>
        <w:t xml:space="preserve"> </w:t>
      </w:r>
      <w:r>
        <w:rPr>
          <w:iCs/>
          <w:i/>
        </w:rPr>
        <w:t xml:space="preserve">pūrvarūpa</w:t>
      </w:r>
      <w:r>
        <w:t xml:space="preserve"> </w:t>
      </w:r>
      <w:r>
        <w:t xml:space="preserve">by</w:t>
      </w:r>
      <w:r>
        <w:t xml:space="preserve"> </w:t>
      </w:r>
      <w:r>
        <w:rPr>
          <w:iCs/>
          <w:i/>
        </w:rPr>
        <w:t xml:space="preserve">saṃprasāraṇāc ca</w:t>
      </w:r>
      <w:r>
        <w:t xml:space="preserve">; lengthening by</w:t>
      </w:r>
      <w:r>
        <w:t xml:space="preserve"> </w:t>
      </w:r>
      <w:r>
        <w:t xml:space="preserve">“</w:t>
      </w:r>
      <w:r>
        <w:t xml:space="preserve">halaḥ</w:t>
      </w:r>
      <w:r>
        <w:t xml:space="preserve">”</w:t>
      </w:r>
      <w:r>
        <w:t xml:space="preserve"> </w:t>
      </w:r>
      <w:r>
        <w:t xml:space="preserve">(Pā. sū. 6-4-2):</w:t>
      </w:r>
      <w:r>
        <w:t xml:space="preserve"> </w:t>
      </w:r>
      <w:r>
        <w:rPr>
          <w:iCs/>
          <w:i/>
        </w:rPr>
        <w:t xml:space="preserve">kakṣīmat</w:t>
      </w:r>
      <w:r>
        <w:t xml:space="preserve">. Now by</w:t>
      </w:r>
      <w:r>
        <w:t xml:space="preserve"> </w:t>
      </w:r>
      <w:r>
        <w:t xml:space="preserve">“</w:t>
      </w:r>
      <w:r>
        <w:t xml:space="preserve">chandasīraḥ</w:t>
      </w:r>
      <w:r>
        <w:t xml:space="preserve">”</w:t>
      </w:r>
      <w:r>
        <w:t xml:space="preserve"> </w:t>
      </w:r>
      <w:r>
        <w:t xml:space="preserve">(Pā. sū. 8-2-15) the</w:t>
      </w:r>
      <w:r>
        <w:t xml:space="preserve"> </w:t>
      </w:r>
      <w:r>
        <w:rPr>
          <w:iCs/>
          <w:i/>
        </w:rPr>
        <w:t xml:space="preserve">m</w:t>
      </w:r>
      <w:r>
        <w:t xml:space="preserve"> </w:t>
      </w:r>
      <w:r>
        <w:t xml:space="preserve">of a</w:t>
      </w:r>
      <w:r>
        <w:t xml:space="preserve"> </w:t>
      </w:r>
      <w:r>
        <w:rPr>
          <w:iCs/>
          <w:i/>
        </w:rPr>
        <w:t xml:space="preserve">matup</w:t>
      </w:r>
      <w:r>
        <w:t xml:space="preserve"> </w:t>
      </w:r>
      <w:r>
        <w:t xml:space="preserve">after a word ending in an</w:t>
      </w:r>
      <w:r>
        <w:t xml:space="preserve"> </w:t>
      </w:r>
      <w:r>
        <w:rPr>
          <w:iCs/>
          <w:i/>
        </w:rPr>
        <w:t xml:space="preserve">i</w:t>
      </w:r>
      <w:r>
        <w:t xml:space="preserve">-vowel or in</w:t>
      </w:r>
      <w:r>
        <w:t xml:space="preserve"> </w:t>
      </w:r>
      <w:r>
        <w:rPr>
          <w:iCs/>
          <w:i/>
        </w:rPr>
        <w:t xml:space="preserve">r</w:t>
      </w:r>
      <w:r>
        <w:t xml:space="preserve"> </w:t>
      </w:r>
      <w:r>
        <w:t xml:space="preserve">takes</w:t>
      </w:r>
      <w:r>
        <w:t xml:space="preserve"> </w:t>
      </w:r>
      <w:r>
        <w:rPr>
          <w:iCs/>
          <w:i/>
        </w:rPr>
        <w:t xml:space="preserve">v</w:t>
      </w:r>
      <w:r>
        <w:t xml:space="preserve">:</w:t>
      </w:r>
      <w:r>
        <w:t xml:space="preserve"> </w:t>
      </w:r>
      <w:r>
        <w:rPr>
          <w:iCs/>
          <w:i/>
        </w:rPr>
        <w:t xml:space="preserve">kakṣīvat</w:t>
      </w:r>
      <w:r>
        <w:t xml:space="preserve">. After it the suffix</w:t>
      </w:r>
      <w:r>
        <w:t xml:space="preserve"> </w:t>
      </w:r>
      <w:r>
        <w:rPr>
          <w:iCs/>
          <w:i/>
        </w:rPr>
        <w:t xml:space="preserve">su</w:t>
      </w:r>
      <w:r>
        <w:t xml:space="preserve">. By</w:t>
      </w:r>
      <w:r>
        <w:t xml:space="preserve"> </w:t>
      </w:r>
      <w:r>
        <w:t xml:space="preserve">“</w:t>
      </w:r>
      <w:r>
        <w:t xml:space="preserve">atvasantasya cādhātoḥ</w:t>
      </w:r>
      <w:r>
        <w:t xml:space="preserve">”</w:t>
      </w:r>
      <w:r>
        <w:t xml:space="preserve"> </w:t>
      </w:r>
      <w:r>
        <w:t xml:space="preserve">(Pā. sū. 6-4-14), when a</w:t>
      </w:r>
      <w:r>
        <w:t xml:space="preserve"> </w:t>
      </w:r>
      <w:r>
        <w:rPr>
          <w:iCs/>
          <w:i/>
        </w:rPr>
        <w:t xml:space="preserve">sarvanāmasthāna</w:t>
      </w:r>
      <w:r>
        <w:t xml:space="preserve"> </w:t>
      </w:r>
      <w:r>
        <w:t xml:space="preserve">suffix other than the vocative follows, the penultimate of an</w:t>
      </w:r>
      <w:r>
        <w:t xml:space="preserve"> </w:t>
      </w:r>
      <w:r>
        <w:rPr>
          <w:iCs/>
          <w:i/>
        </w:rPr>
        <w:t xml:space="preserve">aṅga</w:t>
      </w:r>
      <w:r>
        <w:t xml:space="preserve"> </w:t>
      </w:r>
      <w:r>
        <w:t xml:space="preserve">ending in</w:t>
      </w:r>
      <w:r>
        <w:t xml:space="preserve"> </w:t>
      </w:r>
      <w:r>
        <w:rPr>
          <w:iCs/>
          <w:i/>
        </w:rPr>
        <w:t xml:space="preserve">atu</w:t>
      </w:r>
      <w:r>
        <w:t xml:space="preserve"> </w:t>
      </w:r>
      <w:r>
        <w:t xml:space="preserve">and of a non-root</w:t>
      </w:r>
      <w:r>
        <w:t xml:space="preserve"> </w:t>
      </w:r>
      <w:r>
        <w:rPr>
          <w:iCs/>
          <w:i/>
        </w:rPr>
        <w:t xml:space="preserve">aṅga</w:t>
      </w:r>
      <w:r>
        <w:t xml:space="preserve"> </w:t>
      </w:r>
      <w:r>
        <w:t xml:space="preserve">ending in</w:t>
      </w:r>
      <w:r>
        <w:t xml:space="preserve"> </w:t>
      </w:r>
      <w:r>
        <w:rPr>
          <w:iCs/>
          <w:i/>
        </w:rPr>
        <w:t xml:space="preserve">as</w:t>
      </w:r>
      <w:r>
        <w:t xml:space="preserve"> </w:t>
      </w:r>
      <w:r>
        <w:t xml:space="preserve">is lengthened: the penultimate lengthening. By</w:t>
      </w:r>
      <w:r>
        <w:t xml:space="preserve"> </w:t>
      </w:r>
      <w:r>
        <w:t xml:space="preserve">“</w:t>
      </w:r>
      <w:r>
        <w:t xml:space="preserve">ugid acām</w:t>
      </w:r>
      <w:r>
        <w:t xml:space="preserve">”</w:t>
      </w:r>
      <w:r>
        <w:t xml:space="preserve"> </w:t>
      </w:r>
      <w:r>
        <w:t xml:space="preserve">(Pā. sū. 7-1-70) the augment</w:t>
      </w:r>
      <w:r>
        <w:t xml:space="preserve"> </w:t>
      </w:r>
      <w:r>
        <w:rPr>
          <w:iCs/>
          <w:i/>
        </w:rPr>
        <w:t xml:space="preserve">num</w:t>
      </w:r>
      <w:r>
        <w:t xml:space="preserve">. Though the augment</w:t>
      </w:r>
      <w:r>
        <w:t xml:space="preserve"> </w:t>
      </w:r>
      <w:r>
        <w:rPr>
          <w:iCs/>
          <w:i/>
        </w:rPr>
        <w:t xml:space="preserve">num</w:t>
      </w:r>
      <w:r>
        <w:t xml:space="preserve"> </w:t>
      </w:r>
      <w:r>
        <w:t xml:space="preserve">is later and</w:t>
      </w:r>
      <w:r>
        <w:t xml:space="preserve"> </w:t>
      </w:r>
      <w:r>
        <w:rPr>
          <w:iCs/>
          <w:i/>
        </w:rPr>
        <w:t xml:space="preserve">nitya</w:t>
      </w:r>
      <w:r>
        <w:t xml:space="preserve">, by force of the statement it must be taken that first comes the lengthening, then the augment</w:t>
      </w:r>
      <w:r>
        <w:t xml:space="preserve"> </w:t>
      </w:r>
      <w:r>
        <w:rPr>
          <w:iCs/>
          <w:i/>
        </w:rPr>
        <w:t xml:space="preserve">num</w:t>
      </w:r>
      <w:r>
        <w:t xml:space="preserve">. By</w:t>
      </w:r>
      <w:r>
        <w:t xml:space="preserve"> </w:t>
      </w:r>
      <w:r>
        <w:t xml:space="preserve">“</w:t>
      </w:r>
      <w:r>
        <w:t xml:space="preserve">halṅyābbhyaḥ…</w:t>
      </w:r>
      <w:r>
        <w:t xml:space="preserve">”</w:t>
      </w:r>
      <w:r>
        <w:t xml:space="preserve"> </w:t>
      </w:r>
      <w:r>
        <w:t xml:space="preserve">(Pā. sū. 6-1-68) the loss of</w:t>
      </w:r>
      <w:r>
        <w:t xml:space="preserve"> </w:t>
      </w:r>
      <w:r>
        <w:rPr>
          <w:iCs/>
          <w:i/>
        </w:rPr>
        <w:t xml:space="preserve">su</w:t>
      </w:r>
      <w:r>
        <w:t xml:space="preserve">; by</w:t>
      </w:r>
      <w:r>
        <w:t xml:space="preserve"> </w:t>
      </w:r>
      <w:r>
        <w:t xml:space="preserve">“</w:t>
      </w:r>
      <w:r>
        <w:t xml:space="preserve">saṃyogāntasya lopaḥ</w:t>
      </w:r>
      <w:r>
        <w:t xml:space="preserve">”</w:t>
      </w:r>
      <w:r>
        <w:t xml:space="preserve"> </w:t>
      </w:r>
      <w:r>
        <w:t xml:space="preserve">(Pā. sū. 8-2-23) the loss of</w:t>
      </w:r>
      <w:r>
        <w:t xml:space="preserve"> </w:t>
      </w:r>
      <w:r>
        <w:rPr>
          <w:iCs/>
          <w:i/>
        </w:rPr>
        <w:t xml:space="preserve">t</w:t>
      </w:r>
      <w:r>
        <w:t xml:space="preserve">. When the loss of</w:t>
      </w:r>
      <w:r>
        <w:t xml:space="preserve"> </w:t>
      </w:r>
      <w:r>
        <w:rPr>
          <w:iCs/>
          <w:i/>
        </w:rPr>
        <w:t xml:space="preserve">n</w:t>
      </w:r>
      <w:r>
        <w:t xml:space="preserve"> </w:t>
      </w:r>
      <w:r>
        <w:t xml:space="preserve">is to be made by</w:t>
      </w:r>
      <w:r>
        <w:t xml:space="preserve"> </w:t>
      </w:r>
      <w:r>
        <w:rPr>
          <w:iCs/>
          <w:i/>
        </w:rPr>
        <w:t xml:space="preserve">nalopaḥ prātipadikāntasya</w:t>
      </w:r>
      <w:r>
        <w:t xml:space="preserve">, the loss of the conjunct final counts as not done by</w:t>
      </w:r>
      <w:r>
        <w:t xml:space="preserve"> </w:t>
      </w:r>
      <w:r>
        <w:t xml:space="preserve">“</w:t>
      </w:r>
      <w:r>
        <w:t xml:space="preserve">pūrvatrāsiddham</w:t>
      </w:r>
      <w:r>
        <w:t xml:space="preserve">”</w:t>
      </w:r>
      <w:r>
        <w:t xml:space="preserve"> </w:t>
      </w:r>
      <w:r>
        <w:t xml:space="preserve">(Pā. sū. 8-2-1); so the</w:t>
      </w:r>
      <w:r>
        <w:t xml:space="preserve"> </w:t>
      </w:r>
      <w:r>
        <w:rPr>
          <w:iCs/>
          <w:i/>
        </w:rPr>
        <w:t xml:space="preserve">n</w:t>
      </w:r>
      <w:r>
        <w:t xml:space="preserve"> </w:t>
      </w:r>
      <w:r>
        <w:t xml:space="preserve">is not dropped:</w:t>
      </w:r>
      <w:r>
        <w:t xml:space="preserve"> </w:t>
      </w:r>
      <w:r>
        <w:rPr>
          <w:iCs/>
          <w:i/>
        </w:rPr>
        <w:t xml:space="preserve">kakṣīvān</w:t>
      </w:r>
      <w:r>
        <w:t xml:space="preserve">.</w:t>
      </w:r>
      <w:r>
        <w:t xml:space="preserve"> </w:t>
      </w:r>
      <w:r>
        <w:rPr>
          <w:iCs/>
          <w:i/>
        </w:rPr>
        <w:t xml:space="preserve">Kakṣīvān</w:t>
      </w:r>
      <w:r>
        <w:t xml:space="preserve"> </w:t>
      </w:r>
      <w:r>
        <w:t xml:space="preserve">is the ṛṣi’s name. In the sūtra “na saṃprasāraṇe</w:t>
      </w:r>
    </w:p>
    <w:bookmarkEnd w:id="829"/>
    <w:bookmarkStart w:id="830" w:name="page-753-rik-1-grammar"/>
    <w:p>
      <w:pPr>
        <w:pStyle w:val="Heading3"/>
      </w:pPr>
      <w:r>
        <w:t xml:space="preserve">Page 753 — Rik 1: grammar</w:t>
      </w:r>
    </w:p>
    <w:p>
      <w:pPr>
        <w:pStyle w:val="FirstParagraph"/>
      </w:pPr>
      <w:r>
        <w:t xml:space="preserve">saṃprasāraṇam” (Pā. sū.</w:t>
      </w:r>
      <w:r>
        <w:t xml:space="preserve"> </w:t>
      </w:r>
      <w:r>
        <w:t xml:space="preserve">“</w:t>
      </w:r>
      <w:r>
        <w:t xml:space="preserve">9-1-37</w:t>
      </w:r>
      <w:r>
        <w:t xml:space="preserve">”</w:t>
      </w:r>
      <w:r>
        <w:t xml:space="preserve"> </w:t>
      </w:r>
      <w:r>
        <w:t xml:space="preserve">[as printed, for 6-1-37]), Patañjali in the Mahābhāṣya has begun the statement</w:t>
      </w:r>
      <w:r>
        <w:t xml:space="preserve"> </w:t>
      </w:r>
      <w:r>
        <w:t xml:space="preserve">“</w:t>
      </w:r>
      <w:r>
        <w:t xml:space="preserve">kakṣyāyāḥ saṃjñāyām</w:t>
      </w:r>
      <w:r>
        <w:t xml:space="preserve">”</w:t>
      </w:r>
      <w:r>
        <w:t xml:space="preserve"> </w:t>
      </w:r>
      <w:r>
        <w:t xml:space="preserve">(Pā. sū. 6-1-37-2), that when a name is meant</w:t>
      </w:r>
      <w:r>
        <w:t xml:space="preserve"> </w:t>
      </w:r>
      <w:r>
        <w:rPr>
          <w:iCs/>
          <w:i/>
        </w:rPr>
        <w:t xml:space="preserve">saṃprasāraṇa</w:t>
      </w:r>
      <w:r>
        <w:t xml:space="preserve"> </w:t>
      </w:r>
      <w:r>
        <w:t xml:space="preserve">is to be stated for the word</w:t>
      </w:r>
      <w:r>
        <w:t xml:space="preserve"> </w:t>
      </w:r>
      <w:r>
        <w:rPr>
          <w:iCs/>
          <w:i/>
        </w:rPr>
        <w:t xml:space="preserve">kakṣyā</w:t>
      </w:r>
      <w:r>
        <w:t xml:space="preserve"> </w:t>
      </w:r>
      <w:r>
        <w:t xml:space="preserve">before the suffix</w:t>
      </w:r>
      <w:r>
        <w:t xml:space="preserve"> </w:t>
      </w:r>
      <w:r>
        <w:rPr>
          <w:iCs/>
          <w:i/>
        </w:rPr>
        <w:t xml:space="preserve">matup</w:t>
      </w:r>
      <w:r>
        <w:t xml:space="preserve">. By this very statement the form</w:t>
      </w:r>
      <w:r>
        <w:t xml:space="preserve"> </w:t>
      </w:r>
      <w:r>
        <w:rPr>
          <w:iCs/>
          <w:i/>
        </w:rPr>
        <w:t xml:space="preserve">kakṣīvān</w:t>
      </w:r>
      <w:r>
        <w:t xml:space="preserve"> </w:t>
      </w:r>
      <w:r>
        <w:t xml:space="preserve">is established. So some think the reading</w:t>
      </w:r>
      <w:r>
        <w:t xml:space="preserve"> </w:t>
      </w:r>
      <w:r>
        <w:rPr>
          <w:iCs/>
          <w:i/>
        </w:rPr>
        <w:t xml:space="preserve">kakṣīvat</w:t>
      </w:r>
      <w:r>
        <w:t xml:space="preserve"> </w:t>
      </w:r>
      <w:r>
        <w:t xml:space="preserve">in the sūtra</w:t>
      </w:r>
      <w:r>
        <w:t xml:space="preserve"> </w:t>
      </w:r>
      <w:r>
        <w:rPr>
          <w:iCs/>
          <w:i/>
        </w:rPr>
        <w:t xml:space="preserve">āsandīvat…</w:t>
      </w:r>
      <w:r>
        <w:t xml:space="preserve"> </w:t>
      </w:r>
      <w:r>
        <w:t xml:space="preserve">is an interpolation. By</w:t>
      </w:r>
      <w:r>
        <w:t xml:space="preserve"> </w:t>
      </w:r>
      <w:r>
        <w:t xml:space="preserve">“</w:t>
      </w:r>
      <w:r>
        <w:t xml:space="preserve">saṃjñāyām</w:t>
      </w:r>
      <w:r>
        <w:t xml:space="preserve">”</w:t>
      </w:r>
      <w:r>
        <w:t xml:space="preserve"> </w:t>
      </w:r>
      <w:r>
        <w:t xml:space="preserve">(Pā. sū. 8-2-11), when a name is meant,</w:t>
      </w:r>
      <w:r>
        <w:t xml:space="preserve"> </w:t>
      </w:r>
      <w:r>
        <w:rPr>
          <w:iCs/>
          <w:i/>
        </w:rPr>
        <w:t xml:space="preserve">v</w:t>
      </w:r>
      <w:r>
        <w:t xml:space="preserve"> </w:t>
      </w:r>
      <w:r>
        <w:t xml:space="preserve">for the</w:t>
      </w:r>
      <w:r>
        <w:t xml:space="preserve"> </w:t>
      </w:r>
      <w:r>
        <w:rPr>
          <w:iCs/>
          <w:i/>
        </w:rPr>
        <w:t xml:space="preserve">m</w:t>
      </w:r>
      <w:r>
        <w:t xml:space="preserve"> </w:t>
      </w:r>
      <w:r>
        <w:t xml:space="preserve">of the suffix</w:t>
      </w:r>
      <w:r>
        <w:t xml:space="preserve"> </w:t>
      </w:r>
      <w:r>
        <w:rPr>
          <w:iCs/>
          <w:i/>
        </w:rPr>
        <w:t xml:space="preserve">matup</w:t>
      </w:r>
      <w:r>
        <w:t xml:space="preserve">; so the</w:t>
      </w:r>
      <w:r>
        <w:t xml:space="preserve"> </w:t>
      </w:r>
      <w:r>
        <w:rPr>
          <w:iCs/>
          <w:i/>
        </w:rPr>
        <w:t xml:space="preserve">v</w:t>
      </w:r>
      <w:r>
        <w:t xml:space="preserve"> </w:t>
      </w:r>
      <w:r>
        <w:t xml:space="preserve">for</w:t>
      </w:r>
      <w:r>
        <w:t xml:space="preserve"> </w:t>
      </w:r>
      <w:r>
        <w:rPr>
          <w:iCs/>
          <w:i/>
        </w:rPr>
        <w:t xml:space="preserve">m</w:t>
      </w:r>
      <w:r>
        <w:t xml:space="preserve"> </w:t>
      </w:r>
      <w:r>
        <w:t xml:space="preserve">is also established. So it cannot be said that the word</w:t>
      </w:r>
      <w:r>
        <w:t xml:space="preserve"> </w:t>
      </w:r>
      <w:r>
        <w:rPr>
          <w:iCs/>
          <w:i/>
        </w:rPr>
        <w:t xml:space="preserve">kakṣīvat</w:t>
      </w:r>
      <w:r>
        <w:t xml:space="preserve"> </w:t>
      </w:r>
      <w:r>
        <w:t xml:space="preserve">must be placed in the sūtra to give the</w:t>
      </w:r>
      <w:r>
        <w:t xml:space="preserve"> </w:t>
      </w:r>
      <w:r>
        <w:rPr>
          <w:iCs/>
          <w:i/>
        </w:rPr>
        <w:t xml:space="preserve">v</w:t>
      </w:r>
      <w:r>
        <w:t xml:space="preserve"> </w:t>
      </w:r>
      <w:r>
        <w:t xml:space="preserve">ready-made. The sense of</w:t>
      </w:r>
      <w:r>
        <w:t xml:space="preserve"> </w:t>
      </w:r>
      <w:r>
        <w:rPr>
          <w:iCs/>
          <w:i/>
        </w:rPr>
        <w:t xml:space="preserve">chandasīraḥ</w:t>
      </w:r>
      <w:r>
        <w:t xml:space="preserve"> </w:t>
      </w:r>
      <w:r>
        <w:t xml:space="preserve">is that the</w:t>
      </w:r>
      <w:r>
        <w:t xml:space="preserve"> </w:t>
      </w:r>
      <w:r>
        <w:rPr>
          <w:iCs/>
          <w:i/>
        </w:rPr>
        <w:t xml:space="preserve">m</w:t>
      </w:r>
      <w:r>
        <w:t xml:space="preserve"> </w:t>
      </w:r>
      <w:r>
        <w:t xml:space="preserve">of a</w:t>
      </w:r>
      <w:r>
        <w:t xml:space="preserve"> </w:t>
      </w:r>
      <w:r>
        <w:rPr>
          <w:iCs/>
          <w:i/>
        </w:rPr>
        <w:t xml:space="preserve">matup</w:t>
      </w:r>
      <w:r>
        <w:t xml:space="preserve"> </w:t>
      </w:r>
      <w:r>
        <w:t xml:space="preserve">enjoined after a word ending in an</w:t>
      </w:r>
      <w:r>
        <w:t xml:space="preserve"> </w:t>
      </w:r>
      <w:r>
        <w:rPr>
          <w:iCs/>
          <w:i/>
        </w:rPr>
        <w:t xml:space="preserve">i</w:t>
      </w:r>
      <w:r>
        <w:t xml:space="preserve">-vowel or in</w:t>
      </w:r>
      <w:r>
        <w:t xml:space="preserve"> </w:t>
      </w:r>
      <w:r>
        <w:rPr>
          <w:iCs/>
          <w:i/>
        </w:rPr>
        <w:t xml:space="preserve">r</w:t>
      </w:r>
      <w:r>
        <w:t xml:space="preserve"> </w:t>
      </w:r>
      <w:r>
        <w:t xml:space="preserve">takes</w:t>
      </w:r>
      <w:r>
        <w:t xml:space="preserve"> </w:t>
      </w:r>
      <w:r>
        <w:rPr>
          <w:iCs/>
          <w:i/>
        </w:rPr>
        <w:t xml:space="preserve">v</w:t>
      </w:r>
      <w:r>
        <w:t xml:space="preserve">. So in</w:t>
      </w:r>
      <w:r>
        <w:t xml:space="preserve"> </w:t>
      </w:r>
      <w:r>
        <w:rPr>
          <w:iCs/>
          <w:i/>
        </w:rPr>
        <w:t xml:space="preserve">revān</w:t>
      </w:r>
      <w:r>
        <w:t xml:space="preserve"> </w:t>
      </w:r>
      <w:r>
        <w:t xml:space="preserve">the</w:t>
      </w:r>
      <w:r>
        <w:t xml:space="preserve"> </w:t>
      </w:r>
      <w:r>
        <w:rPr>
          <w:iCs/>
          <w:i/>
        </w:rPr>
        <w:t xml:space="preserve">v</w:t>
      </w:r>
      <w:r>
        <w:t xml:space="preserve"> </w:t>
      </w:r>
      <w:r>
        <w:t xml:space="preserve">for</w:t>
      </w:r>
      <w:r>
        <w:t xml:space="preserve"> </w:t>
      </w:r>
      <w:r>
        <w:rPr>
          <w:iCs/>
          <w:i/>
        </w:rPr>
        <w:t xml:space="preserve">m</w:t>
      </w:r>
      <w:r>
        <w:t xml:space="preserve"> </w:t>
      </w:r>
      <w:r>
        <w:t xml:space="preserve">is established with no trouble; there is no need to strive as seen in the next mantra. Here</w:t>
      </w:r>
      <w:r>
        <w:t xml:space="preserve"> </w:t>
      </w:r>
      <w:r>
        <w:rPr>
          <w:iCs/>
          <w:i/>
        </w:rPr>
        <w:t xml:space="preserve">matup</w:t>
      </w:r>
      <w:r>
        <w:t xml:space="preserve"> </w:t>
      </w:r>
      <w:r>
        <w:t xml:space="preserve">is enjoined after the word</w:t>
      </w:r>
      <w:r>
        <w:t xml:space="preserve"> </w:t>
      </w:r>
      <w:r>
        <w:rPr>
          <w:iCs/>
          <w:i/>
        </w:rPr>
        <w:t xml:space="preserve">kakṣyā</w:t>
      </w:r>
      <w:r>
        <w:t xml:space="preserve">, not after an</w:t>
      </w:r>
      <w:r>
        <w:t xml:space="preserve"> </w:t>
      </w:r>
      <w:r>
        <w:rPr>
          <w:iCs/>
          <w:i/>
        </w:rPr>
        <w:t xml:space="preserve">i</w:t>
      </w:r>
      <w:r>
        <w:t xml:space="preserve">-final word. So here the justification of</w:t>
      </w:r>
      <w:r>
        <w:t xml:space="preserve"> </w:t>
      </w:r>
      <w:r>
        <w:rPr>
          <w:iCs/>
          <w:i/>
        </w:rPr>
        <w:t xml:space="preserve">v</w:t>
      </w:r>
      <w:r>
        <w:t xml:space="preserve"> </w:t>
      </w:r>
      <w:r>
        <w:t xml:space="preserve">by</w:t>
      </w:r>
      <w:r>
        <w:t xml:space="preserve"> </w:t>
      </w:r>
      <w:r>
        <w:t xml:space="preserve">“</w:t>
      </w:r>
      <w:r>
        <w:t xml:space="preserve">chandasīraḥ</w:t>
      </w:r>
      <w:r>
        <w:t xml:space="preserve">”</w:t>
      </w:r>
      <w:r>
        <w:t xml:space="preserve"> </w:t>
      </w:r>
      <w:r>
        <w:t xml:space="preserve">(Pā. sū. 8-2-15) is not quite right; it is proper to justify the</w:t>
      </w:r>
      <w:r>
        <w:t xml:space="preserve"> </w:t>
      </w:r>
      <w:r>
        <w:rPr>
          <w:iCs/>
          <w:i/>
        </w:rPr>
        <w:t xml:space="preserve">v</w:t>
      </w:r>
      <w:r>
        <w:t xml:space="preserve"> </w:t>
      </w:r>
      <w:r>
        <w:t xml:space="preserve">for</w:t>
      </w:r>
      <w:r>
        <w:t xml:space="preserve"> </w:t>
      </w:r>
      <w:r>
        <w:rPr>
          <w:iCs/>
          <w:i/>
        </w:rPr>
        <w:t xml:space="preserve">m</w:t>
      </w:r>
      <w:r>
        <w:t xml:space="preserve"> </w:t>
      </w:r>
      <w:r>
        <w:t xml:space="preserve">by</w:t>
      </w:r>
      <w:r>
        <w:t xml:space="preserve"> </w:t>
      </w:r>
      <w:r>
        <w:rPr>
          <w:iCs/>
          <w:i/>
        </w:rPr>
        <w:t xml:space="preserve">saṃjñāyām</w:t>
      </w:r>
      <w:r>
        <w:t xml:space="preserve">. After</w:t>
      </w:r>
      <w:r>
        <w:t xml:space="preserve"> </w:t>
      </w:r>
      <w:r>
        <w:rPr>
          <w:iCs/>
          <w:i/>
        </w:rPr>
        <w:t xml:space="preserve">kakṣīvat</w:t>
      </w:r>
      <w:r>
        <w:t xml:space="preserve"> </w:t>
      </w:r>
      <w:r>
        <w:t xml:space="preserve">the accusative singular</w:t>
      </w:r>
      <w:r>
        <w:t xml:space="preserve"> </w:t>
      </w:r>
      <w:r>
        <w:rPr>
          <w:iCs/>
          <w:i/>
        </w:rPr>
        <w:t xml:space="preserve">am</w:t>
      </w:r>
      <w:r>
        <w:t xml:space="preserve">; the augment</w:t>
      </w:r>
      <w:r>
        <w:t xml:space="preserve"> </w:t>
      </w:r>
      <w:r>
        <w:rPr>
          <w:iCs/>
          <w:i/>
        </w:rPr>
        <w:t xml:space="preserve">num</w:t>
      </w:r>
      <w:r>
        <w:t xml:space="preserve"> </w:t>
      </w:r>
      <w:r>
        <w:t xml:space="preserve">by</w:t>
      </w:r>
      <w:r>
        <w:t xml:space="preserve"> </w:t>
      </w:r>
      <w:r>
        <w:rPr>
          <w:iCs/>
          <w:i/>
        </w:rPr>
        <w:t xml:space="preserve">ugid acām</w:t>
      </w:r>
      <w:r>
        <w:t xml:space="preserve">:</w:t>
      </w:r>
      <w:r>
        <w:t xml:space="preserve"> </w:t>
      </w:r>
      <w:r>
        <w:rPr>
          <w:iCs/>
          <w:i/>
        </w:rPr>
        <w:t xml:space="preserve">kakṣīvantam</w:t>
      </w:r>
      <w:r>
        <w:t xml:space="preserve">. The suffix</w:t>
      </w:r>
      <w:r>
        <w:t xml:space="preserve"> </w:t>
      </w:r>
      <w:r>
        <w:rPr>
          <w:iCs/>
          <w:i/>
        </w:rPr>
        <w:t xml:space="preserve">yat</w:t>
      </w:r>
      <w:r>
        <w:t xml:space="preserve"> </w:t>
      </w:r>
      <w:r>
        <w:t xml:space="preserve">is udātta by the suffix accent; the</w:t>
      </w:r>
      <w:r>
        <w:t xml:space="preserve"> </w:t>
      </w:r>
      <w:r>
        <w:rPr>
          <w:iCs/>
          <w:i/>
        </w:rPr>
        <w:t xml:space="preserve">ī</w:t>
      </w:r>
      <w:r>
        <w:t xml:space="preserve"> </w:t>
      </w:r>
      <w:r>
        <w:t xml:space="preserve">that comes as its substitute is udātta by</w:t>
      </w:r>
      <w:r>
        <w:t xml:space="preserve"> </w:t>
      </w:r>
      <w:r>
        <w:rPr>
          <w:iCs/>
          <w:i/>
        </w:rPr>
        <w:t xml:space="preserve">sthānivadbhāva</w:t>
      </w:r>
      <w:r>
        <w:t xml:space="preserve">; the suffix</w:t>
      </w:r>
      <w:r>
        <w:t xml:space="preserve"> </w:t>
      </w:r>
      <w:r>
        <w:rPr>
          <w:iCs/>
          <w:i/>
        </w:rPr>
        <w:t xml:space="preserve">matup</w:t>
      </w:r>
      <w:r>
        <w:t xml:space="preserve">, being</w:t>
      </w:r>
      <w:r>
        <w:t xml:space="preserve"> </w:t>
      </w:r>
      <w:r>
        <w:rPr>
          <w:iCs/>
          <w:i/>
        </w:rPr>
        <w:t xml:space="preserve">pit</w:t>
      </w:r>
      <w:r>
        <w:t xml:space="preserve">, and</w:t>
      </w:r>
      <w:r>
        <w:t xml:space="preserve"> </w:t>
      </w:r>
      <w:r>
        <w:rPr>
          <w:iCs/>
          <w:i/>
        </w:rPr>
        <w:t xml:space="preserve">am</w:t>
      </w:r>
      <w:r>
        <w:t xml:space="preserve">, being a</w:t>
      </w:r>
      <w:r>
        <w:t xml:space="preserve"> </w:t>
      </w:r>
      <w:r>
        <w:rPr>
          <w:iCs/>
          <w:i/>
        </w:rPr>
        <w:t xml:space="preserve">sup</w:t>
      </w:r>
      <w:r>
        <w:t xml:space="preserve">, are unaccented by</w:t>
      </w:r>
      <w:r>
        <w:t xml:space="preserve"> </w:t>
      </w:r>
      <w:r>
        <w:rPr>
          <w:iCs/>
          <w:i/>
        </w:rPr>
        <w:t xml:space="preserve">anudāttau suppitau</w:t>
      </w:r>
      <w:r>
        <w:t xml:space="preserve">.</w:t>
      </w:r>
    </w:p>
    <w:p>
      <w:pPr>
        <w:pStyle w:val="BodyText"/>
      </w:pPr>
      <w:r>
        <w:rPr>
          <w:bCs/>
          <w:b/>
        </w:rPr>
        <w:t xml:space="preserve">औशिजः (</w:t>
      </w:r>
      <w:r>
        <w:rPr>
          <w:iCs/>
          <w:i/>
          <w:bCs/>
          <w:b/>
        </w:rPr>
        <w:t xml:space="preserve">auśijaḥ</w:t>
      </w:r>
      <w:r>
        <w:rPr>
          <w:bCs/>
          <w:b/>
        </w:rPr>
        <w:t xml:space="preserve">)</w:t>
      </w:r>
      <w:r>
        <w:t xml:space="preserve">: the root</w:t>
      </w:r>
      <w:r>
        <w:t xml:space="preserve"> </w:t>
      </w:r>
      <w:r>
        <w:rPr>
          <w:iCs/>
          <w:i/>
        </w:rPr>
        <w:t xml:space="preserve">vaśa kāntau</w:t>
      </w:r>
      <w:r>
        <w:t xml:space="preserve">. With</w:t>
      </w:r>
      <w:r>
        <w:t xml:space="preserve"> </w:t>
      </w:r>
      <w:r>
        <w:rPr>
          <w:iCs/>
          <w:i/>
        </w:rPr>
        <w:t xml:space="preserve">iji</w:t>
      </w:r>
      <w:r>
        <w:t xml:space="preserve"> </w:t>
      </w:r>
      <w:r>
        <w:t xml:space="preserve">carried on from</w:t>
      </w:r>
      <w:r>
        <w:t xml:space="preserve"> </w:t>
      </w:r>
      <w:r>
        <w:t xml:space="preserve">“</w:t>
      </w:r>
      <w:r>
        <w:t xml:space="preserve">paṇer ij ādeś ca vaḥ</w:t>
      </w:r>
      <w:r>
        <w:t xml:space="preserve">”</w:t>
      </w:r>
      <w:r>
        <w:t xml:space="preserve"> </w:t>
      </w:r>
      <w:r>
        <w:t xml:space="preserve">(Uṇ. sū. 2-70), by</w:t>
      </w:r>
      <w:r>
        <w:t xml:space="preserve"> </w:t>
      </w:r>
      <w:r>
        <w:t xml:space="preserve">“</w:t>
      </w:r>
      <w:r>
        <w:t xml:space="preserve">vaśeḥ kic ca</w:t>
      </w:r>
      <w:r>
        <w:t xml:space="preserve">”</w:t>
      </w:r>
      <w:r>
        <w:t xml:space="preserve"> </w:t>
      </w:r>
      <w:r>
        <w:t xml:space="preserve">(Uṇ. sū. 2-71) the suffix</w:t>
      </w:r>
      <w:r>
        <w:t xml:space="preserve"> </w:t>
      </w:r>
      <w:r>
        <w:rPr>
          <w:iCs/>
          <w:i/>
        </w:rPr>
        <w:t xml:space="preserve">iji</w:t>
      </w:r>
      <w:r>
        <w:t xml:space="preserve"> </w:t>
      </w:r>
      <w:r>
        <w:t xml:space="preserve">comes after the root</w:t>
      </w:r>
      <w:r>
        <w:t xml:space="preserve"> </w:t>
      </w:r>
      <w:r>
        <w:rPr>
          <w:iCs/>
          <w:i/>
        </w:rPr>
        <w:t xml:space="preserve">vaśa kāntau</w:t>
      </w:r>
      <w:r>
        <w:t xml:space="preserve">, and it is</w:t>
      </w:r>
      <w:r>
        <w:t xml:space="preserve"> </w:t>
      </w:r>
      <w:r>
        <w:rPr>
          <w:iCs/>
          <w:i/>
        </w:rPr>
        <w:t xml:space="preserve">kit</w:t>
      </w:r>
      <w:r>
        <w:t xml:space="preserve">; so after the root</w:t>
      </w:r>
      <w:r>
        <w:t xml:space="preserve"> </w:t>
      </w:r>
      <w:r>
        <w:rPr>
          <w:iCs/>
          <w:i/>
        </w:rPr>
        <w:t xml:space="preserve">vaś</w:t>
      </w:r>
      <w:r>
        <w:t xml:space="preserve"> </w:t>
      </w:r>
      <w:r>
        <w:t xml:space="preserve">the suffix</w:t>
      </w:r>
      <w:r>
        <w:t xml:space="preserve"> </w:t>
      </w:r>
      <w:r>
        <w:rPr>
          <w:iCs/>
          <w:i/>
        </w:rPr>
        <w:t xml:space="preserve">iji</w:t>
      </w:r>
      <w:r>
        <w:t xml:space="preserve">.</w:t>
      </w:r>
      <w:r>
        <w:t xml:space="preserve"> </w:t>
      </w:r>
      <w:r>
        <w:rPr>
          <w:iCs/>
          <w:i/>
        </w:rPr>
        <w:t xml:space="preserve">Vaś</w:t>
      </w:r>
      <w:r>
        <w:t xml:space="preserve"> </w:t>
      </w:r>
      <w:r>
        <w:t xml:space="preserve">+</w:t>
      </w:r>
      <w:r>
        <w:t xml:space="preserve"> </w:t>
      </w:r>
      <w:r>
        <w:rPr>
          <w:iCs/>
          <w:i/>
        </w:rPr>
        <w:t xml:space="preserve">iji</w:t>
      </w:r>
      <w:r>
        <w:t xml:space="preserve">: the suffix is</w:t>
      </w:r>
      <w:r>
        <w:t xml:space="preserve"> </w:t>
      </w:r>
      <w:r>
        <w:rPr>
          <w:iCs/>
          <w:i/>
        </w:rPr>
        <w:t xml:space="preserve">kit</w:t>
      </w:r>
      <w:r>
        <w:t xml:space="preserve">; so by</w:t>
      </w:r>
      <w:r>
        <w:t xml:space="preserve"> </w:t>
      </w:r>
      <w:r>
        <w:t xml:space="preserve">“</w:t>
      </w:r>
      <w:r>
        <w:t xml:space="preserve">grahijyāvayivyadhivaṣṭi…</w:t>
      </w:r>
      <w:r>
        <w:t xml:space="preserve">”</w:t>
      </w:r>
      <w:r>
        <w:t xml:space="preserve"> </w:t>
      </w:r>
      <w:r>
        <w:t xml:space="preserve">(Pā. sū. 6-1-16) the root takes</w:t>
      </w:r>
      <w:r>
        <w:t xml:space="preserve"> </w:t>
      </w:r>
      <w:r>
        <w:rPr>
          <w:iCs/>
          <w:i/>
        </w:rPr>
        <w:t xml:space="preserve">saṃprasāraṇa</w:t>
      </w:r>
      <w:r>
        <w:t xml:space="preserve">,</w:t>
      </w:r>
      <w:r>
        <w:t xml:space="preserve"> </w:t>
      </w:r>
      <w:r>
        <w:rPr>
          <w:iCs/>
          <w:i/>
        </w:rPr>
        <w:t xml:space="preserve">u</w:t>
      </w:r>
      <w:r>
        <w:t xml:space="preserve"> </w:t>
      </w:r>
      <w:r>
        <w:t xml:space="preserve">for</w:t>
      </w:r>
      <w:r>
        <w:t xml:space="preserve"> </w:t>
      </w:r>
      <w:r>
        <w:rPr>
          <w:iCs/>
          <w:i/>
        </w:rPr>
        <w:t xml:space="preserve">v</w:t>
      </w:r>
      <w:r>
        <w:t xml:space="preserve">; the</w:t>
      </w:r>
      <w:r>
        <w:t xml:space="preserve"> </w:t>
      </w:r>
      <w:r>
        <w:rPr>
          <w:iCs/>
          <w:i/>
        </w:rPr>
        <w:t xml:space="preserve">pūrvarūpa</w:t>
      </w:r>
      <w:r>
        <w:t xml:space="preserve"> </w:t>
      </w:r>
      <w:r>
        <w:t xml:space="preserve">by</w:t>
      </w:r>
      <w:r>
        <w:t xml:space="preserve"> </w:t>
      </w:r>
      <w:r>
        <w:rPr>
          <w:iCs/>
          <w:i/>
        </w:rPr>
        <w:t xml:space="preserve">saṃprasāraṇāc ca</w:t>
      </w:r>
      <w:r>
        <w:t xml:space="preserve">. Since the suffix is</w:t>
      </w:r>
      <w:r>
        <w:t xml:space="preserve"> </w:t>
      </w:r>
      <w:r>
        <w:rPr>
          <w:iCs/>
          <w:i/>
        </w:rPr>
        <w:t xml:space="preserve">kit</w:t>
      </w:r>
      <w:r>
        <w:t xml:space="preserve">, the bar</w:t>
      </w:r>
      <w:r>
        <w:t xml:space="preserve"> </w:t>
      </w:r>
      <w:r>
        <w:rPr>
          <w:iCs/>
          <w:i/>
        </w:rPr>
        <w:t xml:space="preserve">kṅiti ca</w:t>
      </w:r>
      <w:r>
        <w:t xml:space="preserve"> </w:t>
      </w:r>
      <w:r>
        <w:t xml:space="preserve">comes, so the</w:t>
      </w:r>
      <w:r>
        <w:t xml:space="preserve"> </w:t>
      </w:r>
      <w:r>
        <w:rPr>
          <w:iCs/>
          <w:i/>
        </w:rPr>
        <w:t xml:space="preserve">laghūpadha-guṇa</w:t>
      </w:r>
      <w:r>
        <w:t xml:space="preserve"> </w:t>
      </w:r>
      <w:r>
        <w:t xml:space="preserve">by</w:t>
      </w:r>
      <w:r>
        <w:t xml:space="preserve"> </w:t>
      </w:r>
      <w:r>
        <w:rPr>
          <w:iCs/>
          <w:i/>
        </w:rPr>
        <w:t xml:space="preserve">pugantalaghūpadhasya ca</w:t>
      </w:r>
      <w:r>
        <w:t xml:space="preserve"> </w:t>
      </w:r>
      <w:r>
        <w:t xml:space="preserve">does not come for</w:t>
      </w:r>
      <w:r>
        <w:t xml:space="preserve"> </w:t>
      </w:r>
      <w:r>
        <w:rPr>
          <w:iCs/>
          <w:i/>
        </w:rPr>
        <w:t xml:space="preserve">uś</w:t>
      </w:r>
      <w:r>
        <w:t xml:space="preserve">:</w:t>
      </w:r>
      <w:r>
        <w:t xml:space="preserve"> </w:t>
      </w:r>
      <w:r>
        <w:rPr>
          <w:iCs/>
          <w:i/>
        </w:rPr>
        <w:t xml:space="preserve">uśij</w:t>
      </w:r>
      <w:r>
        <w:t xml:space="preserve">. The analysis is</w:t>
      </w:r>
      <w:r>
        <w:t xml:space="preserve"> </w:t>
      </w:r>
      <w:r>
        <w:rPr>
          <w:iCs/>
          <w:i/>
        </w:rPr>
        <w:t xml:space="preserve">uśijaḥ apatyaṃ pumān</w:t>
      </w:r>
      <w:r>
        <w:t xml:space="preserve">.</w:t>
      </w:r>
      <w:r>
        <w:t xml:space="preserve"> </w:t>
      </w:r>
      <w:r>
        <w:t xml:space="preserve">“</w:t>
      </w:r>
      <w:r>
        <w:t xml:space="preserve">Tasyāpatyam</w:t>
      </w:r>
      <w:r>
        <w:t xml:space="preserve">”</w:t>
      </w:r>
      <w:r>
        <w:t xml:space="preserve"> </w:t>
      </w:r>
      <w:r>
        <w:t xml:space="preserve">(Pā. sū. 4-1-92).</w:t>
      </w:r>
      <w:r>
        <w:t xml:space="preserve"> </w:t>
      </w:r>
      <w:r>
        <w:t xml:space="preserve">“</w:t>
      </w:r>
      <w:r>
        <w:t xml:space="preserve">Prāg dīvyato ’ṇ</w:t>
      </w:r>
      <w:r>
        <w:t xml:space="preserve">”</w:t>
      </w:r>
      <w:r>
        <w:t xml:space="preserve"> </w:t>
      </w:r>
      <w:r>
        <w:t xml:space="preserve">(Pā. sū.</w:t>
      </w:r>
      <w:r>
        <w:t xml:space="preserve"> </w:t>
      </w:r>
      <w:r>
        <w:t xml:space="preserve">“</w:t>
      </w:r>
      <w:r>
        <w:t xml:space="preserve">5-1-83</w:t>
      </w:r>
      <w:r>
        <w:t xml:space="preserve">”</w:t>
      </w:r>
      <w:r>
        <w:t xml:space="preserve"> </w:t>
      </w:r>
      <w:r>
        <w:t xml:space="preserve">[as read, ?; for 4-1-83]): up to the sūtra</w:t>
      </w:r>
      <w:r>
        <w:t xml:space="preserve"> </w:t>
      </w:r>
      <w:r>
        <w:rPr>
          <w:iCs/>
          <w:i/>
        </w:rPr>
        <w:t xml:space="preserve">tena dīvyati</w:t>
      </w:r>
      <w:r>
        <w:t xml:space="preserve"> </w:t>
      </w:r>
      <w:r>
        <w:t xml:space="preserve">the heading</w:t>
      </w:r>
      <w:r>
        <w:t xml:space="preserve"> </w:t>
      </w:r>
      <w:r>
        <w:rPr>
          <w:iCs/>
          <w:i/>
        </w:rPr>
        <w:t xml:space="preserve">aṇ</w:t>
      </w:r>
      <w:r>
        <w:t xml:space="preserve"> </w:t>
      </w:r>
      <w:r>
        <w:t xml:space="preserve">runs, so the word</w:t>
      </w:r>
      <w:r>
        <w:t xml:space="preserve"> </w:t>
      </w:r>
      <w:r>
        <w:rPr>
          <w:iCs/>
          <w:i/>
        </w:rPr>
        <w:t xml:space="preserve">aṇ</w:t>
      </w:r>
      <w:r>
        <w:t xml:space="preserve"> </w:t>
      </w:r>
      <w:r>
        <w:t xml:space="preserve">is carried on. The sense of the sūtra [</w:t>
      </w:r>
      <w:r>
        <w:rPr>
          <w:iCs/>
          <w:i/>
        </w:rPr>
        <w:t xml:space="preserve">tasyāpatyam</w:t>
      </w:r>
      <w:r>
        <w:t xml:space="preserve">] is: after a syntactically fit word ending in the genitive, which is one of the</w:t>
      </w:r>
      <w:r>
        <w:t xml:space="preserve"> </w:t>
      </w:r>
      <w:r>
        <w:rPr>
          <w:iCs/>
          <w:i/>
        </w:rPr>
        <w:t xml:space="preserve">ṅyanta</w:t>
      </w:r>
      <w:r>
        <w:t xml:space="preserve">,</w:t>
      </w:r>
      <w:r>
        <w:t xml:space="preserve"> </w:t>
      </w:r>
      <w:r>
        <w:rPr>
          <w:iCs/>
          <w:i/>
        </w:rPr>
        <w:t xml:space="preserve">āpanta</w:t>
      </w:r>
      <w:r>
        <w:t xml:space="preserve"> </w:t>
      </w:r>
      <w:r>
        <w:t xml:space="preserve">or</w:t>
      </w:r>
      <w:r>
        <w:t xml:space="preserve"> </w:t>
      </w:r>
      <w:r>
        <w:rPr>
          <w:iCs/>
          <w:i/>
        </w:rPr>
        <w:t xml:space="preserve">prātipadikas</w:t>
      </w:r>
      <w:r>
        <w:t xml:space="preserve"> </w:t>
      </w:r>
      <w:r>
        <w:t xml:space="preserve">understood from the word first pronounced in the rule enjoining the</w:t>
      </w:r>
      <w:r>
        <w:t xml:space="preserve"> </w:t>
      </w:r>
      <w:r>
        <w:rPr>
          <w:iCs/>
          <w:i/>
        </w:rPr>
        <w:t xml:space="preserve">taddhita</w:t>
      </w:r>
      <w:r>
        <w:t xml:space="preserve"> </w:t>
      </w:r>
      <w:r>
        <w:t xml:space="preserve">suffix,</w:t>
      </w:r>
      <w:r>
        <w:t xml:space="preserve"> </w:t>
      </w:r>
      <w:r>
        <w:rPr>
          <w:iCs/>
          <w:i/>
        </w:rPr>
        <w:t xml:space="preserve">aṇ</w:t>
      </w:r>
      <w:r>
        <w:t xml:space="preserve"> </w:t>
      </w:r>
      <w:r>
        <w:t xml:space="preserve">comes optionally in the sense of offspring; it comes after; it is called a suffix;</w:t>
      </w:r>
    </w:p>
    <w:bookmarkEnd w:id="830"/>
    <w:bookmarkStart w:id="831" w:name="page-754-upper-rik-1-grammar-end"/>
    <w:p>
      <w:pPr>
        <w:pStyle w:val="Heading3"/>
      </w:pPr>
      <w:r>
        <w:t xml:space="preserve">Page 754 (upper) — Rik 1: grammar (end)</w:t>
      </w:r>
    </w:p>
    <w:p>
      <w:pPr>
        <w:pStyle w:val="FirstParagraph"/>
      </w:pPr>
      <w:r>
        <w:t xml:space="preserve">it is initial udātta; and it is a</w:t>
      </w:r>
      <w:r>
        <w:t xml:space="preserve"> </w:t>
      </w:r>
      <w:r>
        <w:rPr>
          <w:iCs/>
          <w:i/>
        </w:rPr>
        <w:t xml:space="preserve">taddhita</w:t>
      </w:r>
      <w:r>
        <w:t xml:space="preserve">: so the Kannada sense. When the suffix</w:t>
      </w:r>
      <w:r>
        <w:t xml:space="preserve"> </w:t>
      </w:r>
      <w:r>
        <w:rPr>
          <w:iCs/>
          <w:i/>
        </w:rPr>
        <w:t xml:space="preserve">aṇ</w:t>
      </w:r>
      <w:r>
        <w:t xml:space="preserve"> </w:t>
      </w:r>
      <w:r>
        <w:t xml:space="preserve">comes by this sūtra,</w:t>
      </w:r>
      <w:r>
        <w:t xml:space="preserve"> </w:t>
      </w:r>
      <w:r>
        <w:rPr>
          <w:iCs/>
          <w:i/>
        </w:rPr>
        <w:t xml:space="preserve">uśij</w:t>
      </w:r>
      <w:r>
        <w:t xml:space="preserve"> </w:t>
      </w:r>
      <w:r>
        <w:t xml:space="preserve">+</w:t>
      </w:r>
      <w:r>
        <w:t xml:space="preserve"> </w:t>
      </w:r>
      <w:r>
        <w:rPr>
          <w:iCs/>
          <w:i/>
        </w:rPr>
        <w:t xml:space="preserve">a</w:t>
      </w:r>
      <w:r>
        <w:t xml:space="preserve">; by</w:t>
      </w:r>
      <w:r>
        <w:t xml:space="preserve"> </w:t>
      </w:r>
      <w:r>
        <w:t xml:space="preserve">“</w:t>
      </w:r>
      <w:r>
        <w:t xml:space="preserve">taddhiteṣv acām ādeḥ</w:t>
      </w:r>
      <w:r>
        <w:t xml:space="preserve">”</w:t>
      </w:r>
      <w:r>
        <w:t xml:space="preserve"> </w:t>
      </w:r>
      <w:r>
        <w:t xml:space="preserve">(Pā. sū. 7-2-117) the initial</w:t>
      </w:r>
      <w:r>
        <w:t xml:space="preserve"> </w:t>
      </w:r>
      <w:r>
        <w:rPr>
          <w:iCs/>
          <w:i/>
        </w:rPr>
        <w:t xml:space="preserve">vṛddhi</w:t>
      </w:r>
      <w:r>
        <w:t xml:space="preserve">,</w:t>
      </w:r>
      <w:r>
        <w:t xml:space="preserve"> </w:t>
      </w:r>
      <w:r>
        <w:rPr>
          <w:iCs/>
          <w:i/>
        </w:rPr>
        <w:t xml:space="preserve">au</w:t>
      </w:r>
      <w:r>
        <w:t xml:space="preserve"> </w:t>
      </w:r>
      <w:r>
        <w:t xml:space="preserve">for</w:t>
      </w:r>
      <w:r>
        <w:t xml:space="preserve"> </w:t>
      </w:r>
      <w:r>
        <w:rPr>
          <w:iCs/>
          <w:i/>
        </w:rPr>
        <w:t xml:space="preserve">u</w:t>
      </w:r>
      <w:r>
        <w:t xml:space="preserve">:</w:t>
      </w:r>
      <w:r>
        <w:t xml:space="preserve"> </w:t>
      </w:r>
      <w:r>
        <w:rPr>
          <w:iCs/>
          <w:i/>
        </w:rPr>
        <w:t xml:space="preserve">auśija</w:t>
      </w:r>
      <w:r>
        <w:t xml:space="preserve">. After it the nominative singular</w:t>
      </w:r>
      <w:r>
        <w:t xml:space="preserve"> </w:t>
      </w:r>
      <w:r>
        <w:rPr>
          <w:iCs/>
          <w:i/>
        </w:rPr>
        <w:t xml:space="preserve">su</w:t>
      </w:r>
      <w:r>
        <w:t xml:space="preserve">,</w:t>
      </w:r>
      <w:r>
        <w:t xml:space="preserve"> </w:t>
      </w:r>
      <w:r>
        <w:rPr>
          <w:iCs/>
          <w:i/>
        </w:rPr>
        <w:t xml:space="preserve">ru</w:t>
      </w:r>
      <w:r>
        <w:t xml:space="preserve"> </w:t>
      </w:r>
      <w:r>
        <w:t xml:space="preserve">and visarga:</w:t>
      </w:r>
      <w:r>
        <w:t xml:space="preserve"> </w:t>
      </w:r>
      <w:r>
        <w:rPr>
          <w:iCs/>
          <w:i/>
        </w:rPr>
        <w:t xml:space="preserve">auśijaḥ</w:t>
      </w:r>
      <w:r>
        <w:t xml:space="preserve">.</w:t>
      </w:r>
      <w:r>
        <w:t xml:space="preserve"> </w:t>
      </w:r>
      <w:r>
        <w:rPr>
          <w:iCs/>
          <w:i/>
        </w:rPr>
        <w:t xml:space="preserve">Auśija</w:t>
      </w:r>
      <w:r>
        <w:t xml:space="preserve"> </w:t>
      </w:r>
      <w:r>
        <w:t xml:space="preserve">is final udātta by the suffix accent [as printed].</w:t>
      </w:r>
    </w:p>
    <w:p>
      <w:pPr>
        <w:pStyle w:val="BodyText"/>
      </w:pPr>
      <w:r>
        <w:rPr>
          <w:bCs/>
          <w:b/>
        </w:rPr>
        <w:t xml:space="preserve">॥१॥</w:t>
      </w:r>
    </w:p>
    <w:p>
      <w:r>
        <w:pict>
          <v:rect style="width:0;height:1.5pt" o:hralign="center" o:hrstd="t" o:hr="t"/>
        </w:pict>
      </w:r>
    </w:p>
    <w:bookmarkEnd w:id="831"/>
    <w:bookmarkStart w:id="832" w:name="page-754-lower-sūkta-18-rik-2"/>
    <w:p>
      <w:pPr>
        <w:pStyle w:val="Heading3"/>
      </w:pPr>
      <w:r>
        <w:t xml:space="preserve">Page 754 (lower) — Sūkta 18, Rik 2</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यो रे॒वान्यो अ॑मीव॒हा व॑सु॒वित्पु॑ष्टि॒वर्ध॑नः । [accent ?]</w:t>
      </w:r>
      <w:r>
        <w:t xml:space="preserve"> </w:t>
      </w:r>
      <w:r>
        <w:t xml:space="preserve">स नः॑ सिषक्तु॒ यस्तु॒रः ॥२॥ [accent ?]</w:t>
      </w:r>
    </w:p>
    <w:p>
      <w:pPr>
        <w:pStyle w:val="BlockText"/>
      </w:pPr>
      <w:r>
        <w:rPr>
          <w:iCs/>
          <w:i/>
        </w:rPr>
        <w:t xml:space="preserve">yo revā́n yó amīvahā́ vasuvít puṣṭivárdhanaḥ |</w:t>
      </w:r>
      <w:r>
        <w:t xml:space="preserve"> </w:t>
      </w:r>
      <w:r>
        <w:t xml:space="preserve">[accent ?]</w:t>
      </w:r>
      <w:r>
        <w:t xml:space="preserve"> </w:t>
      </w:r>
      <w:r>
        <w:rPr>
          <w:iCs/>
          <w:i/>
        </w:rPr>
        <w:t xml:space="preserve">sá naḥ siṣaktu yás turáḥ ||2||</w:t>
      </w:r>
      <w:r>
        <w:t xml:space="preserve"> </w:t>
      </w:r>
      <w:r>
        <w:t xml:space="preserve">[accent ?]</w:t>
      </w:r>
    </w:p>
    <w:p>
      <w:pPr>
        <w:pStyle w:val="FirstParagraph"/>
      </w:pPr>
      <w:r>
        <w:rPr>
          <w:iCs/>
          <w:i/>
        </w:rPr>
        <w:t xml:space="preserve">(Read as printed: strokes over म (अमीव), व, पु and र्ध; bars under रे, व (अमीवहा), सु and ष्टि; in line 2 a stroke over नः and a bar under स्तु; the bar under क्तु is not certain.)</w:t>
      </w:r>
    </w:p>
    <w:p>
      <w:pPr>
        <w:pStyle w:val="BodyText"/>
      </w:pPr>
      <w:r>
        <w:rPr>
          <w:bCs/>
          <w:b/>
        </w:rPr>
        <w:t xml:space="preserve">॥ Pada-pāṭhaḥ ॥</w:t>
      </w:r>
    </w:p>
    <w:p>
      <w:pPr>
        <w:pStyle w:val="BodyText"/>
      </w:pPr>
      <w:r>
        <w:rPr>
          <w:iCs/>
          <w:i/>
        </w:rPr>
        <w:t xml:space="preserve">(सिसक्तु, with स, is as printed in the Pada.)</w:t>
      </w:r>
    </w:p>
    <w:p>
      <w:pPr>
        <w:pStyle w:val="BlockText"/>
      </w:pPr>
      <w:r>
        <w:t xml:space="preserve">यः । रेवान् । यः । अमीवऽहा । वसुऽवित् । पुष्टिऽवर्धनः ॥</w:t>
      </w:r>
      <w:r>
        <w:t xml:space="preserve"> </w:t>
      </w:r>
      <w:r>
        <w:t xml:space="preserve">सः । नः । सिसक्तु । यः । तुरः ॥२॥</w:t>
      </w:r>
    </w:p>
    <w:p>
      <w:pPr>
        <w:pStyle w:val="BlockText"/>
      </w:pPr>
      <w:r>
        <w:rPr>
          <w:iCs/>
          <w:i/>
        </w:rPr>
        <w:t xml:space="preserve">yaḥ | revān | yaḥ | amīva ’hā | vasu ’vit | puṣṭi ’vardhanaḥ ||</w:t>
      </w:r>
      <w:r>
        <w:t xml:space="preserve"> </w:t>
      </w:r>
      <w:r>
        <w:rPr>
          <w:iCs/>
          <w:i/>
        </w:rPr>
        <w:t xml:space="preserve">saḥ | naḥ | sisaktu | yaḥ | turaḥ ||2||</w:t>
      </w:r>
    </w:p>
    <w:p>
      <w:pPr>
        <w:pStyle w:val="FirstParagraph"/>
      </w:pPr>
      <w:r>
        <w:rPr>
          <w:bCs/>
          <w:b/>
        </w:rPr>
        <w:t xml:space="preserve">॥ Sāyaṇa-bhāṣyam ॥</w:t>
      </w:r>
    </w:p>
    <w:p>
      <w:pPr>
        <w:pStyle w:val="BlockText"/>
      </w:pPr>
      <w:r>
        <w:t xml:space="preserve">यो ब्रह्मणस्पती रेवान्धनवान्यश्चामीवहा रोगाणां हन्ता वसुविद्धनलब्धा पुष्टिवर्धनः पुष्टेर्वर्धयिता यश्च तुरस्त्वरोपेतः शीघ्रफलदः स ब्रह्मणस्पतिर्नोऽस्मान् सिषक्तु । सेवताम् । परिगृह्यानुगृह्णात्वित्यर्थः । अत्र सिषक्तुशब्दस्य सेवार्थत्वं यास्क आह । सिषक्तु सचत इति सेवमानस्य । नि. ३-२१ । इति प्रत्याय्यकौ शब्दाविति शेषः ॥ रेवान् । रयिरस्यास्तीति मतुप् । रयेर्मतौ बहुलम् । पा. ६-१-३७-६ । इति यकारस्य संप्रसारणं परपूर्वत्वम् । छन्दसीर इति वत्वम् । आद्गुणः । ननु वत्वस्यासिद्धत्वाद्बहिरङ्गत्वाच्च प्रागेव गुणे कृते इवर्णाभावान्न वत्वम् । न चान्तादिवच्च । पा. ६-१-८५ । इत्यादिवद्भावेनेवर्णसंपादनं वर्णाश्रयविधौ तत्प्रतिषेधात् । अन्यथा खट्वाभिरित्यत्र सवर्णदीर्घस्यान्तवद्भावेनाकारत्वादतो भिस ऐस् । पा. ७-१-९ । इत्यैसादेशः स्यात् । न च निरवकाशत्वेन वत्वस्यानवकाशत्वम् । अग्निवान्वैदर्भस्तम्बः । उप ब्रह्माणि हरिवः । ऋग्वे. १०-१०४-६ । इत्यादावनवकाशलाभात्</w:t>
      </w:r>
    </w:p>
    <w:p>
      <w:pPr>
        <w:pStyle w:val="BlockText"/>
      </w:pPr>
      <w:r>
        <w:rPr>
          <w:iCs/>
          <w:i/>
        </w:rPr>
        <w:t xml:space="preserve">yo brahmaṇaspatī revāndhanavānyaścāmīvahā rogāṇāṃ hantā vasuviddhanalabdhā puṣṭivardhanaḥ puṣṭervardhayitā yaśca turastvaropetaḥ śīghraphaladaḥ sa brahmaṇaspatirno ’smān siṣaktu | sevatām | parigṛhyānugṛhṇātvityarthaḥ | atra siṣaktuśabdasya sevārthatvaṃ yāska āha | siṣaktu sacata iti sevamānasya | ni. 3-21 | iti pratyāyyakau śabdāviti śeṣaḥ || revān | rayirasyāstīti matup | rayermatau bahulam | pā. 6-1-37-6 | iti yakārasya saṃprasāraṇaṃ parapūrvatvam | chandasīra iti vatvam | ādguṇaḥ | nanu vatvasyāsiddhatvādbahiraṅgatvācca prāgeva guṇe kṛte ivarṇābhāvānna vatvam | na cāntādivacca | pā. 6-1-85 | ityādivadbhāvenevarṇasaṃpādanaṃ varṇāśrayavidhau tatpratiṣedhāt | anyathā khaṭvābhirityatra savarṇadīrghasyāntavadbhāvenākāratvādato bhisa ais | pā. 7-1-9 | ityaisādeśaḥ syāt | na ca niravakāśatvena vatvasyānavakāśatvam | agnivānvaidarbhastambaḥ | upa brahmāṇi harivaḥ | ṛgve. 10-104-6 | ityādāvanavakāśalābhāt</w:t>
      </w:r>
    </w:p>
    <w:bookmarkEnd w:id="832"/>
    <w:bookmarkStart w:id="833" w:name="Xc1ead51da76063ce66e941cc5cfc5bedc9a6366"/>
    <w:p>
      <w:pPr>
        <w:pStyle w:val="Heading3"/>
      </w:pPr>
      <w:r>
        <w:t xml:space="preserve">Page 755 — Rik 2: bhāṣya (end), word-meanings, overall sense, English</w:t>
      </w:r>
    </w:p>
    <w:p>
      <w:pPr>
        <w:pStyle w:val="BlockText"/>
      </w:pPr>
      <w:r>
        <w:t xml:space="preserve">सत्यम् । अत्र गुणप्रवृत्तेः प्रागिकारात्परो मतुप् । कदाचिदिवर्णात्परस्य मतुपः पश्चादेकारादेशेनेवर्णाभावेऽपि भवति वत्वमिति छन्दसीर इति सूत्रकृता विवक्षितम् । अमुमेवाभिप्रायेण हरिव इत्यादिकमुदाहृत्याप्यन्ते वृत्तिकृता आरेवानित्युदाहृतम् । का. ८-२-१५ । ह्रस्वनुड्भ्यामित्यत्रारेशब्दान्मतुप उदात्तत्वं वक्तव्यम् । पा. ६-१-१७६-१ । इत्यत्रारेशब्दो रेशब्दस्याप्युपलक्षणम् । अत एव हि रेवाँ इन्द्रेत्यादौ मतुप उदात्तत्वं दृष्टम् । अथवा ह्रस्वनुड्भ्यामित्यत्रापि कदाचिद्ध्रस्वात्परस्य मतुप उदात्तत्वमित्येव व्याख्येयम् । एवं च संप्रसारणपरपूर्वत्वयोः कृतयोर्गुणात्प्राग्ध्रस्वात्परो मतुबिति रेवानारेवानित्यादौ सर्वत्रोदात्तत्वं सिध्यति । अयमेव सूत्रकृतोऽभिप्रायो वार्तिककृता व्याख्यात इति ॥ अमीवहा । अम रोग इत्येतस्माद्वन्प्रत्ययेनामीवशब्दो निपातितः । तं हन्तीति बहुलं छन्दसीति क्विप् । कृदुत्तरपदप्रकृतिस्वरत्वम् । वसुवित् । वसु विन्दतीति वसुवित् । क्विप्चेति क्विप् । उत्तरपदप्रकृतिस्वरत्वम् । पुष्टिवर्धनः । वर्धयतेर्नन्द्यादित्वाल्ल्युः । पा. ३-१-१३४ । लितीति प्रत्ययात्पूर्वस्योदात्तत्वम् । पुष्टेर्वर्धन इति कर्मणि षष्ठ्याः समासः । कृदुत्तरपदप्रकृतिस्वरत्वम् । सिषक्तु । षच समवाये । लोटि बहुलं छन्दसीति शपः श्लुः । श्लाविति द्वित्वे हलादिशेषे बहुलं छन्दसीत्यभ्यासस्याकारस्येकारः । पा. ७-४-७८ । तुरः । तुर त्वरणे । इगुपधज्ञाप्रीकिरः कः । कः प्रत्ययस्वरः ॥</w:t>
      </w:r>
    </w:p>
    <w:p>
      <w:pPr>
        <w:pStyle w:val="BlockText"/>
      </w:pPr>
      <w:r>
        <w:rPr>
          <w:iCs/>
          <w:i/>
        </w:rPr>
        <w:t xml:space="preserve">satyam | atra guṇapravṛtteḥ prāgikārātparo matup | kadācidivarṇātparasya matupaḥ paścādekārādeśenevarṇābhāve ’pi bhavati vatvamiti chandasīra iti sūtrakṛtā vivakṣitam | amumevābhiprāyeṇa hariva ityādikamudāhṛtyāpyante vṛttikṛtā ārevānityudāhṛtam | kā. 8-2-15 | hrasvanuḍbhyāmityatrāreśabdānmatupa udāttatvaṃ vaktavyam | pā. 6-1-176-1 | ityatrāreśabdo reśabdasyāpyupalakṣaṇam | ata eva hi revā~ indretyādau matupa udāttatvaṃ dṛṣṭam | athavā hrasvanuḍbhyāmityatrāpi kadāciddhrasvātparasya matupa udāttatvamityeva vyākhyeyam | evaṃ ca saṃprasāraṇaparapūrvatvayoḥ kṛtayorguṇātprāgdhrasvātparo matubiti revānārevānityādau sarvatrodāttatvaṃ sidhyati | ayameva sūtrakṛto ’bhiprāyo vārtikakṛtā vyākhyāta iti || amīvahā | ama roga ityetasmādvanpratyayenāmīvaśabdo nipātitaḥ | taṃ hantīti bahulaṃ chandasīti kvip | kṛduttarapadaprakṛtisvaratvam | vasuvit | vasu vindatīti vasuvit | kvipceti kvip | uttarapadaprakṛtisvaratvam | puṣṭivardhanaḥ | vardhayaternandyāditvāllyuḥ | pā. 3-1-134 | litīti pratyayātpūrvasyodāttatvam | puṣṭervardhana iti karmaṇi ṣaṣṭhyāḥ samāsaḥ | kṛduttarapadaprakṛtisvaratvam | siṣaktu | ṣaca samavāye | loṭi bahulaṃ chandasīti śapaḥ śluḥ | ślāviti dvitve halādiśeṣe bahulaṃ chandasītyabhyāsasyākārasyekāraḥ | pā. 7-4-78 | turaḥ | tura tvaraṇe | igupadhajñāprīkiraḥ kaḥ | kaḥ pratyayasvaraḥ ||</w:t>
      </w:r>
    </w:p>
    <w:p>
      <w:pPr>
        <w:pStyle w:val="FirstParagraph"/>
      </w:pPr>
      <w:r>
        <w:rPr>
          <w:bCs/>
          <w:b/>
        </w:rPr>
        <w:t xml:space="preserve">Translation:</w:t>
      </w:r>
      <w:r>
        <w:t xml:space="preserve"> </w:t>
      </w:r>
      <w:r>
        <w:t xml:space="preserve">“</w:t>
      </w:r>
      <w:r>
        <w:t xml:space="preserve">The Brahmaṇaspati who is</w:t>
      </w:r>
      <w:r>
        <w:t xml:space="preserve"> </w:t>
      </w:r>
      <w:r>
        <w:rPr>
          <w:iCs/>
          <w:i/>
        </w:rPr>
        <w:t xml:space="preserve">revān</w:t>
      </w:r>
      <w:r>
        <w:t xml:space="preserve">, wealthy, and who is</w:t>
      </w:r>
      <w:r>
        <w:t xml:space="preserve"> </w:t>
      </w:r>
      <w:r>
        <w:rPr>
          <w:iCs/>
          <w:i/>
        </w:rPr>
        <w:t xml:space="preserve">amīvahā</w:t>
      </w:r>
      <w:r>
        <w:t xml:space="preserve">, slayer of diseases,</w:t>
      </w:r>
      <w:r>
        <w:t xml:space="preserve"> </w:t>
      </w:r>
      <w:r>
        <w:rPr>
          <w:iCs/>
          <w:i/>
        </w:rPr>
        <w:t xml:space="preserve">vasuvit</w:t>
      </w:r>
      <w:r>
        <w:t xml:space="preserve">, finder of wealth,</w:t>
      </w:r>
      <w:r>
        <w:t xml:space="preserve"> </w:t>
      </w:r>
      <w:r>
        <w:rPr>
          <w:iCs/>
          <w:i/>
        </w:rPr>
        <w:t xml:space="preserve">puṣṭivardhana</w:t>
      </w:r>
      <w:r>
        <w:t xml:space="preserve">, increaser of nourishment, and who is</w:t>
      </w:r>
      <w:r>
        <w:t xml:space="preserve"> </w:t>
      </w:r>
      <w:r>
        <w:rPr>
          <w:iCs/>
          <w:i/>
        </w:rPr>
        <w:t xml:space="preserve">tura</w:t>
      </w:r>
      <w:r>
        <w:t xml:space="preserve">, swift, giving fruit quickly: may that Brahmaṇaspati</w:t>
      </w:r>
      <w:r>
        <w:t xml:space="preserve"> </w:t>
      </w:r>
      <w:r>
        <w:rPr>
          <w:iCs/>
          <w:i/>
        </w:rPr>
        <w:t xml:space="preserve">siṣaktu</w:t>
      </w:r>
      <w:r>
        <w:t xml:space="preserve">, serve us: that is, take us up and favour us. Yāska states that</w:t>
      </w:r>
      <w:r>
        <w:t xml:space="preserve"> </w:t>
      </w:r>
      <w:r>
        <w:rPr>
          <w:iCs/>
          <w:i/>
        </w:rPr>
        <w:t xml:space="preserve">siṣaktu</w:t>
      </w:r>
      <w:r>
        <w:t xml:space="preserve"> </w:t>
      </w:r>
      <w:r>
        <w:t xml:space="preserve">means serving:</w:t>
      </w:r>
      <w:r>
        <w:t xml:space="preserve"> </w:t>
      </w:r>
      <w:r>
        <w:t xml:space="preserve">‘</w:t>
      </w:r>
      <w:r>
        <w:rPr>
          <w:iCs/>
          <w:i/>
        </w:rPr>
        <w:t xml:space="preserve">siṣaktu</w:t>
      </w:r>
      <w:r>
        <w:t xml:space="preserve">,</w:t>
      </w:r>
      <w:r>
        <w:t xml:space="preserve"> </w:t>
      </w:r>
      <w:r>
        <w:rPr>
          <w:iCs/>
          <w:i/>
        </w:rPr>
        <w:t xml:space="preserve">sacate</w:t>
      </w:r>
      <w:r>
        <w:t xml:space="preserve">: of one who serves</w:t>
      </w:r>
      <w:r>
        <w:t xml:space="preserve">’</w:t>
      </w:r>
      <w:r>
        <w:t xml:space="preserve"> </w:t>
      </w:r>
      <w:r>
        <w:t xml:space="preserve">(Ni. 3-21);</w:t>
      </w:r>
      <w:r>
        <w:t xml:space="preserve"> </w:t>
      </w:r>
      <w:r>
        <w:t xml:space="preserve">‘</w:t>
      </w:r>
      <w:r>
        <w:t xml:space="preserve">two words to be understood</w:t>
      </w:r>
      <w:r>
        <w:t xml:space="preserve">’</w:t>
      </w:r>
      <w:r>
        <w:t xml:space="preserve"> </w:t>
      </w:r>
      <w:r>
        <w:t xml:space="preserve">is to be supplied.</w:t>
      </w:r>
      <w:r>
        <w:t xml:space="preserve">”</w:t>
      </w:r>
      <w:r>
        <w:t xml:space="preserve"> </w:t>
      </w:r>
      <w:r>
        <w:t xml:space="preserve">(Grammatical tail:</w:t>
      </w:r>
      <w:r>
        <w:t xml:space="preserve"> </w:t>
      </w:r>
      <w:r>
        <w:rPr>
          <w:iCs/>
          <w:i/>
        </w:rPr>
        <w:t xml:space="preserve">revān</w:t>
      </w:r>
      <w:r>
        <w:t xml:space="preserve">,</w:t>
      </w:r>
      <w:r>
        <w:t xml:space="preserve"> </w:t>
      </w:r>
      <w:r>
        <w:rPr>
          <w:iCs/>
          <w:i/>
        </w:rPr>
        <w:t xml:space="preserve">matup</w:t>
      </w:r>
      <w:r>
        <w:t xml:space="preserve"> </w:t>
      </w:r>
      <w:r>
        <w:t xml:space="preserve">in</w:t>
      </w:r>
      <w:r>
        <w:t xml:space="preserve"> </w:t>
      </w:r>
      <w:r>
        <w:t xml:space="preserve">“</w:t>
      </w:r>
      <w:r>
        <w:t xml:space="preserve">he has</w:t>
      </w:r>
      <w:r>
        <w:t xml:space="preserve"> </w:t>
      </w:r>
      <w:r>
        <w:rPr>
          <w:iCs/>
          <w:i/>
        </w:rPr>
        <w:t xml:space="preserve">rayi</w:t>
      </w:r>
      <w:r>
        <w:t xml:space="preserve">”</w:t>
      </w:r>
      <w:r>
        <w:t xml:space="preserve">,</w:t>
      </w:r>
      <w:r>
        <w:t xml:space="preserve"> </w:t>
      </w:r>
      <w:r>
        <w:rPr>
          <w:iCs/>
          <w:i/>
        </w:rPr>
        <w:t xml:space="preserve">saṃprasāraṇa</w:t>
      </w:r>
      <w:r>
        <w:t xml:space="preserve"> </w:t>
      </w:r>
      <w:r>
        <w:t xml:space="preserve">of the</w:t>
      </w:r>
      <w:r>
        <w:t xml:space="preserve"> </w:t>
      </w:r>
      <w:r>
        <w:rPr>
          <w:iCs/>
          <w:i/>
        </w:rPr>
        <w:t xml:space="preserve">y</w:t>
      </w:r>
      <w:r>
        <w:t xml:space="preserve"> </w:t>
      </w:r>
      <w:r>
        <w:t xml:space="preserve">by Pā. 6-1-37-6, the</w:t>
      </w:r>
      <w:r>
        <w:t xml:space="preserve"> </w:t>
      </w:r>
      <w:r>
        <w:rPr>
          <w:iCs/>
          <w:i/>
        </w:rPr>
        <w:t xml:space="preserve">pūrvarūpa</w:t>
      </w:r>
      <w:r>
        <w:t xml:space="preserve">,</w:t>
      </w:r>
      <w:r>
        <w:t xml:space="preserve"> </w:t>
      </w:r>
      <w:r>
        <w:rPr>
          <w:iCs/>
          <w:i/>
        </w:rPr>
        <w:t xml:space="preserve">v</w:t>
      </w:r>
      <w:r>
        <w:t xml:space="preserve"> </w:t>
      </w:r>
      <w:r>
        <w:t xml:space="preserve">by</w:t>
      </w:r>
      <w:r>
        <w:t xml:space="preserve"> </w:t>
      </w:r>
      <w:r>
        <w:rPr>
          <w:iCs/>
          <w:i/>
        </w:rPr>
        <w:t xml:space="preserve">chandasīraḥ</w:t>
      </w:r>
      <w:r>
        <w:t xml:space="preserve">,</w:t>
      </w:r>
      <w:r>
        <w:t xml:space="preserve"> </w:t>
      </w:r>
      <w:r>
        <w:rPr>
          <w:iCs/>
          <w:i/>
        </w:rPr>
        <w:t xml:space="preserve">guṇa</w:t>
      </w:r>
      <w:r>
        <w:t xml:space="preserve"> </w:t>
      </w:r>
      <w:r>
        <w:t xml:space="preserve">by</w:t>
      </w:r>
      <w:r>
        <w:t xml:space="preserve"> </w:t>
      </w:r>
      <w:r>
        <w:rPr>
          <w:iCs/>
          <w:i/>
        </w:rPr>
        <w:t xml:space="preserve">ād guṇaḥ</w:t>
      </w:r>
      <w:r>
        <w:t xml:space="preserve">. An objection: since the</w:t>
      </w:r>
      <w:r>
        <w:t xml:space="preserve"> </w:t>
      </w:r>
      <w:r>
        <w:rPr>
          <w:iCs/>
          <w:i/>
        </w:rPr>
        <w:t xml:space="preserve">v</w:t>
      </w:r>
      <w:r>
        <w:t xml:space="preserve"> </w:t>
      </w:r>
      <w:r>
        <w:t xml:space="preserve">is</w:t>
      </w:r>
      <w:r>
        <w:t xml:space="preserve"> </w:t>
      </w:r>
      <w:r>
        <w:rPr>
          <w:iCs/>
          <w:i/>
        </w:rPr>
        <w:t xml:space="preserve">asiddha</w:t>
      </w:r>
      <w:r>
        <w:t xml:space="preserve"> </w:t>
      </w:r>
      <w:r>
        <w:t xml:space="preserve">and</w:t>
      </w:r>
      <w:r>
        <w:t xml:space="preserve"> </w:t>
      </w:r>
      <w:r>
        <w:rPr>
          <w:iCs/>
          <w:i/>
        </w:rPr>
        <w:t xml:space="preserve">bahiraṅga</w:t>
      </w:r>
      <w:r>
        <w:t xml:space="preserve">,</w:t>
      </w:r>
      <w:r>
        <w:t xml:space="preserve"> </w:t>
      </w:r>
      <w:r>
        <w:rPr>
          <w:iCs/>
          <w:i/>
        </w:rPr>
        <w:t xml:space="preserve">guṇa</w:t>
      </w:r>
      <w:r>
        <w:t xml:space="preserve"> </w:t>
      </w:r>
      <w:r>
        <w:t xml:space="preserve">comes first and there is no</w:t>
      </w:r>
      <w:r>
        <w:t xml:space="preserve"> </w:t>
      </w:r>
      <w:r>
        <w:rPr>
          <w:iCs/>
          <w:i/>
        </w:rPr>
        <w:t xml:space="preserve">i</w:t>
      </w:r>
      <w:r>
        <w:t xml:space="preserve">, so no</w:t>
      </w:r>
      <w:r>
        <w:t xml:space="preserve"> </w:t>
      </w:r>
      <w:r>
        <w:rPr>
          <w:iCs/>
          <w:i/>
        </w:rPr>
        <w:t xml:space="preserve">v</w:t>
      </w:r>
      <w:r>
        <w:t xml:space="preserve">; nor can the</w:t>
      </w:r>
      <w:r>
        <w:t xml:space="preserve"> </w:t>
      </w:r>
      <w:r>
        <w:rPr>
          <w:iCs/>
          <w:i/>
        </w:rPr>
        <w:t xml:space="preserve">i</w:t>
      </w:r>
      <w:r>
        <w:t xml:space="preserve"> </w:t>
      </w:r>
      <w:r>
        <w:t xml:space="preserve">be supplied by treating it as the beginning by</w:t>
      </w:r>
      <w:r>
        <w:t xml:space="preserve"> </w:t>
      </w:r>
      <w:r>
        <w:rPr>
          <w:iCs/>
          <w:i/>
        </w:rPr>
        <w:t xml:space="preserve">antādivac ca</w:t>
      </w:r>
      <w:r>
        <w:t xml:space="preserve"> </w:t>
      </w:r>
      <w:r>
        <w:t xml:space="preserve">(Pā. 6-1-85), since that is barred in a rule depending on letters; otherwise in</w:t>
      </w:r>
      <w:r>
        <w:t xml:space="preserve"> </w:t>
      </w:r>
      <w:r>
        <w:rPr>
          <w:iCs/>
          <w:i/>
        </w:rPr>
        <w:t xml:space="preserve">khaṭvābhiḥ</w:t>
      </w:r>
      <w:r>
        <w:t xml:space="preserve"> </w:t>
      </w:r>
      <w:r>
        <w:t xml:space="preserve">the lengthened vowel, treated as the end, would be</w:t>
      </w:r>
      <w:r>
        <w:t xml:space="preserve"> </w:t>
      </w:r>
      <w:r>
        <w:rPr>
          <w:iCs/>
          <w:i/>
        </w:rPr>
        <w:t xml:space="preserve">a</w:t>
      </w:r>
      <w:r>
        <w:t xml:space="preserve"> </w:t>
      </w:r>
      <w:r>
        <w:t xml:space="preserve">and take</w:t>
      </w:r>
      <w:r>
        <w:t xml:space="preserve"> </w:t>
      </w:r>
      <w:r>
        <w:rPr>
          <w:iCs/>
          <w:i/>
        </w:rPr>
        <w:t xml:space="preserve">ais</w:t>
      </w:r>
      <w:r>
        <w:t xml:space="preserve"> </w:t>
      </w:r>
      <w:r>
        <w:t xml:space="preserve">by Pā. 7-1-9; nor is the</w:t>
      </w:r>
      <w:r>
        <w:t xml:space="preserve"> </w:t>
      </w:r>
      <w:r>
        <w:rPr>
          <w:iCs/>
          <w:i/>
        </w:rPr>
        <w:t xml:space="preserve">v</w:t>
      </w:r>
      <w:r>
        <w:t xml:space="preserve"> </w:t>
      </w:r>
      <w:r>
        <w:t xml:space="preserve">rule left without scope, since it has scope in</w:t>
      </w:r>
      <w:r>
        <w:t xml:space="preserve"> </w:t>
      </w:r>
      <w:r>
        <w:rPr>
          <w:iCs/>
          <w:i/>
        </w:rPr>
        <w:t xml:space="preserve">agnivān vaidarbhaḥ stambaḥ</w:t>
      </w:r>
      <w:r>
        <w:t xml:space="preserve">,</w:t>
      </w:r>
      <w:r>
        <w:t xml:space="preserve"> </w:t>
      </w:r>
      <w:r>
        <w:rPr>
          <w:iCs/>
          <w:i/>
        </w:rPr>
        <w:t xml:space="preserve">upa brahmāṇi harivaḥ</w:t>
      </w:r>
      <w:r>
        <w:t xml:space="preserve"> </w:t>
      </w:r>
      <w:r>
        <w:t xml:space="preserve">(Ṛgveda 10-104-6). Answer: true; here, before</w:t>
      </w:r>
      <w:r>
        <w:t xml:space="preserve"> </w:t>
      </w:r>
      <w:r>
        <w:rPr>
          <w:iCs/>
          <w:i/>
        </w:rPr>
        <w:t xml:space="preserve">guṇa</w:t>
      </w:r>
      <w:r>
        <w:t xml:space="preserve"> </w:t>
      </w:r>
      <w:r>
        <w:t xml:space="preserve">applies, the</w:t>
      </w:r>
      <w:r>
        <w:t xml:space="preserve"> </w:t>
      </w:r>
      <w:r>
        <w:rPr>
          <w:iCs/>
          <w:i/>
        </w:rPr>
        <w:t xml:space="preserve">matup</w:t>
      </w:r>
      <w:r>
        <w:t xml:space="preserve"> </w:t>
      </w:r>
      <w:r>
        <w:t xml:space="preserve">follows the</w:t>
      </w:r>
      <w:r>
        <w:t xml:space="preserve"> </w:t>
      </w:r>
      <w:r>
        <w:rPr>
          <w:iCs/>
          <w:i/>
        </w:rPr>
        <w:t xml:space="preserve">i</w:t>
      </w:r>
      <w:r>
        <w:t xml:space="preserve">; the author of the sūtra meant</w:t>
      </w:r>
      <w:r>
        <w:t xml:space="preserve"> </w:t>
      </w:r>
      <w:r>
        <w:rPr>
          <w:iCs/>
          <w:i/>
        </w:rPr>
        <w:t xml:space="preserve">chandasīraḥ</w:t>
      </w:r>
      <w:r>
        <w:t xml:space="preserve"> </w:t>
      </w:r>
      <w:r>
        <w:t xml:space="preserve">to give</w:t>
      </w:r>
      <w:r>
        <w:t xml:space="preserve"> </w:t>
      </w:r>
      <w:r>
        <w:rPr>
          <w:iCs/>
          <w:i/>
        </w:rPr>
        <w:t xml:space="preserve">v</w:t>
      </w:r>
      <w:r>
        <w:t xml:space="preserve"> </w:t>
      </w:r>
      <w:r>
        <w:t xml:space="preserve">even when, after a</w:t>
      </w:r>
      <w:r>
        <w:t xml:space="preserve"> </w:t>
      </w:r>
      <w:r>
        <w:rPr>
          <w:iCs/>
          <w:i/>
        </w:rPr>
        <w:t xml:space="preserve">matup</w:t>
      </w:r>
      <w:r>
        <w:t xml:space="preserve"> </w:t>
      </w:r>
      <w:r>
        <w:t xml:space="preserve">once following an</w:t>
      </w:r>
      <w:r>
        <w:t xml:space="preserve"> </w:t>
      </w:r>
      <w:r>
        <w:rPr>
          <w:iCs/>
          <w:i/>
        </w:rPr>
        <w:t xml:space="preserve">i</w:t>
      </w:r>
      <w:r>
        <w:t xml:space="preserve">, the</w:t>
      </w:r>
      <w:r>
        <w:t xml:space="preserve"> </w:t>
      </w:r>
      <w:r>
        <w:rPr>
          <w:iCs/>
          <w:i/>
        </w:rPr>
        <w:t xml:space="preserve">e</w:t>
      </w:r>
      <w:r>
        <w:t xml:space="preserve"> </w:t>
      </w:r>
      <w:r>
        <w:t xml:space="preserve">substitute has removed the</w:t>
      </w:r>
      <w:r>
        <w:t xml:space="preserve"> </w:t>
      </w:r>
      <w:r>
        <w:rPr>
          <w:iCs/>
          <w:i/>
        </w:rPr>
        <w:t xml:space="preserve">i</w:t>
      </w:r>
      <w:r>
        <w:t xml:space="preserve">. With this intent the Vṛttikāra, after giving</w:t>
      </w:r>
      <w:r>
        <w:t xml:space="preserve"> </w:t>
      </w:r>
      <w:r>
        <w:rPr>
          <w:iCs/>
          <w:i/>
        </w:rPr>
        <w:t xml:space="preserve">harivaḥ</w:t>
      </w:r>
      <w:r>
        <w:t xml:space="preserve"> </w:t>
      </w:r>
      <w:r>
        <w:t xml:space="preserve">and the rest, gives</w:t>
      </w:r>
      <w:r>
        <w:t xml:space="preserve"> </w:t>
      </w:r>
      <w:r>
        <w:rPr>
          <w:iCs/>
          <w:i/>
        </w:rPr>
        <w:t xml:space="preserve">ārevān</w:t>
      </w:r>
      <w:r>
        <w:t xml:space="preserve"> </w:t>
      </w:r>
      <w:r>
        <w:t xml:space="preserve">at the end (Kā. 8-2-15). In the statement on</w:t>
      </w:r>
      <w:r>
        <w:t xml:space="preserve"> </w:t>
      </w:r>
      <w:r>
        <w:rPr>
          <w:iCs/>
          <w:i/>
        </w:rPr>
        <w:t xml:space="preserve">hrasvanuḍbhyām</w:t>
      </w:r>
      <w:r>
        <w:t xml:space="preserve">,</w:t>
      </w:r>
      <w:r>
        <w:t xml:space="preserve"> </w:t>
      </w:r>
      <w:r>
        <w:t xml:space="preserve">“</w:t>
      </w:r>
      <w:r>
        <w:t xml:space="preserve">the udātta of</w:t>
      </w:r>
      <w:r>
        <w:t xml:space="preserve"> </w:t>
      </w:r>
      <w:r>
        <w:rPr>
          <w:iCs/>
          <w:i/>
        </w:rPr>
        <w:t xml:space="preserve">matup</w:t>
      </w:r>
      <w:r>
        <w:t xml:space="preserve"> </w:t>
      </w:r>
      <w:r>
        <w:t xml:space="preserve">after the word</w:t>
      </w:r>
      <w:r>
        <w:t xml:space="preserve"> </w:t>
      </w:r>
      <w:r>
        <w:rPr>
          <w:iCs/>
          <w:i/>
        </w:rPr>
        <w:t xml:space="preserve">āre</w:t>
      </w:r>
      <w:r>
        <w:t xml:space="preserve">”</w:t>
      </w:r>
      <w:r>
        <w:t xml:space="preserve"> </w:t>
      </w:r>
      <w:r>
        <w:t xml:space="preserve">(Pā. 6-1-176-1),</w:t>
      </w:r>
      <w:r>
        <w:t xml:space="preserve"> </w:t>
      </w:r>
      <w:r>
        <w:rPr>
          <w:iCs/>
          <w:i/>
        </w:rPr>
        <w:t xml:space="preserve">āre</w:t>
      </w:r>
      <w:r>
        <w:t xml:space="preserve"> </w:t>
      </w:r>
      <w:r>
        <w:t xml:space="preserve">stands also for</w:t>
      </w:r>
      <w:r>
        <w:t xml:space="preserve"> </w:t>
      </w:r>
      <w:r>
        <w:rPr>
          <w:iCs/>
          <w:i/>
        </w:rPr>
        <w:t xml:space="preserve">re</w:t>
      </w:r>
      <w:r>
        <w:t xml:space="preserve">; hence the udātta of</w:t>
      </w:r>
      <w:r>
        <w:t xml:space="preserve"> </w:t>
      </w:r>
      <w:r>
        <w:rPr>
          <w:iCs/>
          <w:i/>
        </w:rPr>
        <w:t xml:space="preserve">matup</w:t>
      </w:r>
      <w:r>
        <w:t xml:space="preserve"> </w:t>
      </w:r>
      <w:r>
        <w:t xml:space="preserve">seen in</w:t>
      </w:r>
      <w:r>
        <w:t xml:space="preserve"> </w:t>
      </w:r>
      <w:r>
        <w:rPr>
          <w:iCs/>
          <w:i/>
        </w:rPr>
        <w:t xml:space="preserve">revām̐ indra</w:t>
      </w:r>
      <w:r>
        <w:t xml:space="preserve"> </w:t>
      </w:r>
      <w:r>
        <w:t xml:space="preserve">and the like. Or in</w:t>
      </w:r>
      <w:r>
        <w:t xml:space="preserve"> </w:t>
      </w:r>
      <w:r>
        <w:rPr>
          <w:iCs/>
          <w:i/>
        </w:rPr>
        <w:t xml:space="preserve">hrasvanuḍbhyām</w:t>
      </w:r>
      <w:r>
        <w:t xml:space="preserve"> </w:t>
      </w:r>
      <w:r>
        <w:t xml:space="preserve">too the sense is</w:t>
      </w:r>
      <w:r>
        <w:t xml:space="preserve"> </w:t>
      </w:r>
      <w:r>
        <w:t xml:space="preserve">“</w:t>
      </w:r>
      <w:r>
        <w:t xml:space="preserve">the udātta of a</w:t>
      </w:r>
      <w:r>
        <w:t xml:space="preserve"> </w:t>
      </w:r>
      <w:r>
        <w:rPr>
          <w:iCs/>
          <w:i/>
        </w:rPr>
        <w:t xml:space="preserve">matup</w:t>
      </w:r>
      <w:r>
        <w:t xml:space="preserve"> </w:t>
      </w:r>
      <w:r>
        <w:t xml:space="preserve">once following a short vowel</w:t>
      </w:r>
      <w:r>
        <w:t xml:space="preserve">”</w:t>
      </w:r>
      <w:r>
        <w:t xml:space="preserve">; thus,</w:t>
      </w:r>
      <w:r>
        <w:t xml:space="preserve"> </w:t>
      </w:r>
      <w:r>
        <w:rPr>
          <w:iCs/>
          <w:i/>
        </w:rPr>
        <w:t xml:space="preserve">saṃprasāraṇa</w:t>
      </w:r>
      <w:r>
        <w:t xml:space="preserve"> </w:t>
      </w:r>
      <w:r>
        <w:t xml:space="preserve">and the</w:t>
      </w:r>
      <w:r>
        <w:t xml:space="preserve"> </w:t>
      </w:r>
      <w:r>
        <w:rPr>
          <w:iCs/>
          <w:i/>
        </w:rPr>
        <w:t xml:space="preserve">pūrvarūpa</w:t>
      </w:r>
      <w:r>
        <w:t xml:space="preserve"> </w:t>
      </w:r>
      <w:r>
        <w:t xml:space="preserve">done, before</w:t>
      </w:r>
      <w:r>
        <w:t xml:space="preserve"> </w:t>
      </w:r>
      <w:r>
        <w:rPr>
          <w:iCs/>
          <w:i/>
        </w:rPr>
        <w:t xml:space="preserve">guṇa</w:t>
      </w:r>
      <w:r>
        <w:t xml:space="preserve"> </w:t>
      </w:r>
      <w:r>
        <w:t xml:space="preserve">the</w:t>
      </w:r>
      <w:r>
        <w:t xml:space="preserve"> </w:t>
      </w:r>
      <w:r>
        <w:rPr>
          <w:iCs/>
          <w:i/>
        </w:rPr>
        <w:t xml:space="preserve">matup</w:t>
      </w:r>
      <w:r>
        <w:t xml:space="preserve"> </w:t>
      </w:r>
      <w:r>
        <w:t xml:space="preserve">follows a short vowel, and the udātta is established everywhere, in</w:t>
      </w:r>
      <w:r>
        <w:t xml:space="preserve"> </w:t>
      </w:r>
      <w:r>
        <w:rPr>
          <w:iCs/>
          <w:i/>
        </w:rPr>
        <w:t xml:space="preserve">revān</w:t>
      </w:r>
      <w:r>
        <w:t xml:space="preserve">,</w:t>
      </w:r>
      <w:r>
        <w:t xml:space="preserve"> </w:t>
      </w:r>
      <w:r>
        <w:rPr>
          <w:iCs/>
          <w:i/>
        </w:rPr>
        <w:t xml:space="preserve">ārevān</w:t>
      </w:r>
      <w:r>
        <w:t xml:space="preserve"> </w:t>
      </w:r>
      <w:r>
        <w:t xml:space="preserve">and the rest. This intent of the sūtra’s author is what the Vārttikakāra explained.</w:t>
      </w:r>
      <w:r>
        <w:t xml:space="preserve"> </w:t>
      </w:r>
      <w:r>
        <w:rPr>
          <w:iCs/>
          <w:i/>
        </w:rPr>
        <w:t xml:space="preserve">Amīvahā</w:t>
      </w:r>
      <w:r>
        <w:t xml:space="preserve">,</w:t>
      </w:r>
      <w:r>
        <w:t xml:space="preserve"> </w:t>
      </w:r>
      <w:r>
        <w:rPr>
          <w:iCs/>
          <w:i/>
        </w:rPr>
        <w:t xml:space="preserve">amīva</w:t>
      </w:r>
      <w:r>
        <w:t xml:space="preserve"> </w:t>
      </w:r>
      <w:r>
        <w:t xml:space="preserve">given ready-made with the suffix</w:t>
      </w:r>
      <w:r>
        <w:t xml:space="preserve"> </w:t>
      </w:r>
      <w:r>
        <w:rPr>
          <w:iCs/>
          <w:i/>
        </w:rPr>
        <w:t xml:space="preserve">van</w:t>
      </w:r>
      <w:r>
        <w:t xml:space="preserve"> </w:t>
      </w:r>
      <w:r>
        <w:t xml:space="preserve">after</w:t>
      </w:r>
      <w:r>
        <w:t xml:space="preserve"> </w:t>
      </w:r>
      <w:r>
        <w:rPr>
          <w:iCs/>
          <w:i/>
        </w:rPr>
        <w:t xml:space="preserve">ama roge</w:t>
      </w:r>
      <w:r>
        <w:t xml:space="preserve">;</w:t>
      </w:r>
      <w:r>
        <w:t xml:space="preserve"> </w:t>
      </w:r>
      <w:r>
        <w:t xml:space="preserve">“</w:t>
      </w:r>
      <w:r>
        <w:t xml:space="preserve">he kills it</w:t>
      </w:r>
      <w:r>
        <w:t xml:space="preserve">”</w:t>
      </w:r>
      <w:r>
        <w:t xml:space="preserve">,</w:t>
      </w:r>
      <w:r>
        <w:t xml:space="preserve"> </w:t>
      </w:r>
      <w:r>
        <w:rPr>
          <w:iCs/>
          <w:i/>
        </w:rPr>
        <w:t xml:space="preserve">kvip</w:t>
      </w:r>
      <w:r>
        <w:t xml:space="preserve"> </w:t>
      </w:r>
      <w:r>
        <w:t xml:space="preserve">by</w:t>
      </w:r>
      <w:r>
        <w:t xml:space="preserve"> </w:t>
      </w:r>
      <w:r>
        <w:rPr>
          <w:iCs/>
          <w:i/>
        </w:rPr>
        <w:t xml:space="preserve">bahulaṃ chandasi</w:t>
      </w:r>
      <w:r>
        <w:t xml:space="preserve">, the accent of the</w:t>
      </w:r>
      <w:r>
        <w:t xml:space="preserve"> </w:t>
      </w:r>
      <w:r>
        <w:rPr>
          <w:iCs/>
          <w:i/>
        </w:rPr>
        <w:t xml:space="preserve">kṛt</w:t>
      </w:r>
      <w:r>
        <w:t xml:space="preserve"> </w:t>
      </w:r>
      <w:r>
        <w:t xml:space="preserve">final member;</w:t>
      </w:r>
      <w:r>
        <w:t xml:space="preserve"> </w:t>
      </w:r>
      <w:r>
        <w:rPr>
          <w:iCs/>
          <w:i/>
        </w:rPr>
        <w:t xml:space="preserve">vasuvit</w:t>
      </w:r>
      <w:r>
        <w:t xml:space="preserve">,</w:t>
      </w:r>
      <w:r>
        <w:t xml:space="preserve"> </w:t>
      </w:r>
      <w:r>
        <w:t xml:space="preserve">“</w:t>
      </w:r>
      <w:r>
        <w:t xml:space="preserve">he finds wealth</w:t>
      </w:r>
      <w:r>
        <w:t xml:space="preserve">”</w:t>
      </w:r>
      <w:r>
        <w:t xml:space="preserve">,</w:t>
      </w:r>
      <w:r>
        <w:t xml:space="preserve"> </w:t>
      </w:r>
      <w:r>
        <w:rPr>
          <w:iCs/>
          <w:i/>
        </w:rPr>
        <w:t xml:space="preserve">kvip</w:t>
      </w:r>
      <w:r>
        <w:t xml:space="preserve"> </w:t>
      </w:r>
      <w:r>
        <w:t xml:space="preserve">by</w:t>
      </w:r>
      <w:r>
        <w:t xml:space="preserve"> </w:t>
      </w:r>
      <w:r>
        <w:rPr>
          <w:iCs/>
          <w:i/>
        </w:rPr>
        <w:t xml:space="preserve">kvip ca</w:t>
      </w:r>
      <w:r>
        <w:t xml:space="preserve">, the accent of the final member;</w:t>
      </w:r>
      <w:r>
        <w:t xml:space="preserve"> </w:t>
      </w:r>
      <w:r>
        <w:rPr>
          <w:iCs/>
          <w:i/>
        </w:rPr>
        <w:t xml:space="preserve">puṣṭivardhanaḥ</w:t>
      </w:r>
      <w:r>
        <w:t xml:space="preserve">,</w:t>
      </w:r>
      <w:r>
        <w:t xml:space="preserve"> </w:t>
      </w:r>
      <w:r>
        <w:rPr>
          <w:iCs/>
          <w:i/>
        </w:rPr>
        <w:t xml:space="preserve">lyu</w:t>
      </w:r>
      <w:r>
        <w:t xml:space="preserve"> </w:t>
      </w:r>
      <w:r>
        <w:t xml:space="preserve">after the causative of</w:t>
      </w:r>
      <w:r>
        <w:t xml:space="preserve"> </w:t>
      </w:r>
      <w:r>
        <w:rPr>
          <w:iCs/>
          <w:i/>
        </w:rPr>
        <w:t xml:space="preserve">vṛdh</w:t>
      </w:r>
      <w:r>
        <w:t xml:space="preserve"> </w:t>
      </w:r>
      <w:r>
        <w:t xml:space="preserve">as one of the</w:t>
      </w:r>
      <w:r>
        <w:t xml:space="preserve"> </w:t>
      </w:r>
      <w:r>
        <w:rPr>
          <w:iCs/>
          <w:i/>
        </w:rPr>
        <w:t xml:space="preserve">nandy-ādi</w:t>
      </w:r>
      <w:r>
        <w:t xml:space="preserve"> </w:t>
      </w:r>
      <w:r>
        <w:t xml:space="preserve">(Pā. 3-1-134), udātta before the suffix by</w:t>
      </w:r>
      <w:r>
        <w:t xml:space="preserve"> </w:t>
      </w:r>
      <w:r>
        <w:rPr>
          <w:iCs/>
          <w:i/>
        </w:rPr>
        <w:t xml:space="preserve">liti</w:t>
      </w:r>
      <w:r>
        <w:t xml:space="preserve">, compounded with the genitive of the object,</w:t>
      </w:r>
      <w:r>
        <w:t xml:space="preserve"> </w:t>
      </w:r>
      <w:r>
        <w:rPr>
          <w:iCs/>
          <w:i/>
        </w:rPr>
        <w:t xml:space="preserve">puṣṭer vardhanaḥ</w:t>
      </w:r>
      <w:r>
        <w:t xml:space="preserve">, the accent of the</w:t>
      </w:r>
      <w:r>
        <w:t xml:space="preserve"> </w:t>
      </w:r>
      <w:r>
        <w:rPr>
          <w:iCs/>
          <w:i/>
        </w:rPr>
        <w:t xml:space="preserve">kṛt</w:t>
      </w:r>
      <w:r>
        <w:t xml:space="preserve"> </w:t>
      </w:r>
      <w:r>
        <w:t xml:space="preserve">final member;</w:t>
      </w:r>
      <w:r>
        <w:t xml:space="preserve"> </w:t>
      </w:r>
      <w:r>
        <w:rPr>
          <w:iCs/>
          <w:i/>
        </w:rPr>
        <w:t xml:space="preserve">siṣaktu</w:t>
      </w:r>
      <w:r>
        <w:t xml:space="preserve">,</w:t>
      </w:r>
      <w:r>
        <w:t xml:space="preserve"> </w:t>
      </w:r>
      <w:r>
        <w:rPr>
          <w:iCs/>
          <w:i/>
        </w:rPr>
        <w:t xml:space="preserve">ṣaca samavāye</w:t>
      </w:r>
      <w:r>
        <w:t xml:space="preserve">,</w:t>
      </w:r>
      <w:r>
        <w:t xml:space="preserve"> </w:t>
      </w:r>
      <w:r>
        <w:rPr>
          <w:iCs/>
          <w:i/>
        </w:rPr>
        <w:t xml:space="preserve">ślu</w:t>
      </w:r>
      <w:r>
        <w:t xml:space="preserve"> </w:t>
      </w:r>
      <w:r>
        <w:t xml:space="preserve">for</w:t>
      </w:r>
      <w:r>
        <w:t xml:space="preserve"> </w:t>
      </w:r>
      <w:r>
        <w:rPr>
          <w:iCs/>
          <w:i/>
        </w:rPr>
        <w:t xml:space="preserve">śap</w:t>
      </w:r>
      <w:r>
        <w:t xml:space="preserve"> </w:t>
      </w:r>
      <w:r>
        <w:t xml:space="preserve">in the</w:t>
      </w:r>
      <w:r>
        <w:t xml:space="preserve"> </w:t>
      </w:r>
      <w:r>
        <w:rPr>
          <w:iCs/>
          <w:i/>
        </w:rPr>
        <w:t xml:space="preserve">loṭ</w:t>
      </w:r>
      <w:r>
        <w:t xml:space="preserve"> </w:t>
      </w:r>
      <w:r>
        <w:t xml:space="preserve">by</w:t>
      </w:r>
      <w:r>
        <w:t xml:space="preserve"> </w:t>
      </w:r>
      <w:r>
        <w:rPr>
          <w:iCs/>
          <w:i/>
        </w:rPr>
        <w:t xml:space="preserve">bahulaṃ chandasi</w:t>
      </w:r>
      <w:r>
        <w:t xml:space="preserve">, doubling by</w:t>
      </w:r>
      <w:r>
        <w:t xml:space="preserve"> </w:t>
      </w:r>
      <w:r>
        <w:rPr>
          <w:iCs/>
          <w:i/>
        </w:rPr>
        <w:t xml:space="preserve">ślau</w:t>
      </w:r>
      <w:r>
        <w:t xml:space="preserve">,</w:t>
      </w:r>
      <w:r>
        <w:t xml:space="preserve"> </w:t>
      </w:r>
      <w:r>
        <w:rPr>
          <w:iCs/>
          <w:i/>
        </w:rPr>
        <w:t xml:space="preserve">halādiḥ śeṣaḥ</w:t>
      </w:r>
      <w:r>
        <w:t xml:space="preserve">,</w:t>
      </w:r>
      <w:r>
        <w:t xml:space="preserve"> </w:t>
      </w:r>
      <w:r>
        <w:rPr>
          <w:iCs/>
          <w:i/>
        </w:rPr>
        <w:t xml:space="preserve">i</w:t>
      </w:r>
      <w:r>
        <w:t xml:space="preserve"> </w:t>
      </w:r>
      <w:r>
        <w:t xml:space="preserve">for the</w:t>
      </w:r>
      <w:r>
        <w:t xml:space="preserve"> </w:t>
      </w:r>
      <w:r>
        <w:rPr>
          <w:iCs/>
          <w:i/>
        </w:rPr>
        <w:t xml:space="preserve">a</w:t>
      </w:r>
      <w:r>
        <w:t xml:space="preserve"> </w:t>
      </w:r>
      <w:r>
        <w:t xml:space="preserve">of the</w:t>
      </w:r>
      <w:r>
        <w:t xml:space="preserve"> </w:t>
      </w:r>
      <w:r>
        <w:rPr>
          <w:iCs/>
          <w:i/>
        </w:rPr>
        <w:t xml:space="preserve">abhyāsa</w:t>
      </w:r>
      <w:r>
        <w:t xml:space="preserve"> </w:t>
      </w:r>
      <w:r>
        <w:t xml:space="preserve">by</w:t>
      </w:r>
      <w:r>
        <w:t xml:space="preserve"> </w:t>
      </w:r>
      <w:r>
        <w:rPr>
          <w:iCs/>
          <w:i/>
        </w:rPr>
        <w:t xml:space="preserve">bahulaṃ chandasi</w:t>
      </w:r>
      <w:r>
        <w:t xml:space="preserve"> </w:t>
      </w:r>
      <w:r>
        <w:t xml:space="preserve">(Pā. 7-4-78);</w:t>
      </w:r>
      <w:r>
        <w:t xml:space="preserve"> </w:t>
      </w:r>
      <w:r>
        <w:rPr>
          <w:iCs/>
          <w:i/>
        </w:rPr>
        <w:t xml:space="preserve">turaḥ</w:t>
      </w:r>
      <w:r>
        <w:t xml:space="preserve">,</w:t>
      </w:r>
      <w:r>
        <w:t xml:space="preserve"> </w:t>
      </w:r>
      <w:r>
        <w:rPr>
          <w:iCs/>
          <w:i/>
        </w:rPr>
        <w:t xml:space="preserve">tura tvaraṇe</w:t>
      </w:r>
      <w:r>
        <w:t xml:space="preserve">,</w:t>
      </w:r>
      <w:r>
        <w:t xml:space="preserve"> </w:t>
      </w:r>
      <w:r>
        <w:rPr>
          <w:iCs/>
          <w:i/>
        </w:rPr>
        <w:t xml:space="preserve">ka</w:t>
      </w:r>
      <w:r>
        <w:t xml:space="preserve"> </w:t>
      </w:r>
      <w:r>
        <w:t xml:space="preserve">by</w:t>
      </w:r>
      <w:r>
        <w:t xml:space="preserve"> </w:t>
      </w:r>
      <w:r>
        <w:rPr>
          <w:iCs/>
          <w:i/>
        </w:rPr>
        <w:t xml:space="preserve">igupadhajñāprīkiraḥ kaḥ</w:t>
      </w:r>
      <w:r>
        <w:t xml:space="preserve">, the suffix accent.)</w:t>
      </w:r>
    </w:p>
    <w:p>
      <w:pPr>
        <w:pStyle w:val="BodyText"/>
      </w:pPr>
      <w:r>
        <w:rPr>
          <w:bCs/>
          <w:b/>
        </w:rPr>
        <w:t xml:space="preserve">॥ Prati-padārthaḥ ॥</w:t>
      </w:r>
    </w:p>
    <w:p>
      <w:pPr>
        <w:pStyle w:val="BodyText"/>
      </w:pPr>
      <w:r>
        <w:rPr>
          <w:bCs/>
          <w:b/>
        </w:rPr>
        <w:t xml:space="preserve">यः (yaḥ)</w:t>
      </w:r>
      <w:r>
        <w:t xml:space="preserve"> </w:t>
      </w:r>
      <w:r>
        <w:t xml:space="preserve">— which Brahmaṇaspati |</w:t>
      </w:r>
      <w:r>
        <w:t xml:space="preserve"> </w:t>
      </w:r>
      <w:r>
        <w:rPr>
          <w:bCs/>
          <w:b/>
        </w:rPr>
        <w:t xml:space="preserve">रेवान् (revān)</w:t>
      </w:r>
      <w:r>
        <w:t xml:space="preserve"> </w:t>
      </w:r>
      <w:r>
        <w:t xml:space="preserve">— is possessed of wealth |</w:t>
      </w:r>
      <w:r>
        <w:t xml:space="preserve"> </w:t>
      </w:r>
      <w:r>
        <w:rPr>
          <w:bCs/>
          <w:b/>
        </w:rPr>
        <w:t xml:space="preserve">यः (yaḥ)</w:t>
      </w:r>
      <w:r>
        <w:t xml:space="preserve"> </w:t>
      </w:r>
      <w:r>
        <w:t xml:space="preserve">— which Brahmaṇaspati |</w:t>
      </w:r>
      <w:r>
        <w:t xml:space="preserve"> </w:t>
      </w:r>
      <w:r>
        <w:rPr>
          <w:bCs/>
          <w:b/>
        </w:rPr>
        <w:t xml:space="preserve">अमीवहा (amīvahā)</w:t>
      </w:r>
      <w:r>
        <w:t xml:space="preserve"> </w:t>
      </w:r>
      <w:r>
        <w:t xml:space="preserve">— removes diseases |</w:t>
      </w:r>
      <w:r>
        <w:t xml:space="preserve"> </w:t>
      </w:r>
      <w:r>
        <w:rPr>
          <w:bCs/>
          <w:b/>
        </w:rPr>
        <w:t xml:space="preserve">वसुवित् (vasuvit)</w:t>
      </w:r>
      <w:r>
        <w:t xml:space="preserve"> </w:t>
      </w:r>
      <w:r>
        <w:t xml:space="preserve">— provides wealth |</w:t>
      </w:r>
      <w:r>
        <w:t xml:space="preserve"> </w:t>
      </w:r>
      <w:r>
        <w:rPr>
          <w:bCs/>
          <w:b/>
        </w:rPr>
        <w:t xml:space="preserve">पुष्टिवर्धनः (puṣṭivardhanaḥ)</w:t>
      </w:r>
      <w:r>
        <w:t xml:space="preserve"> </w:t>
      </w:r>
      <w:r>
        <w:t xml:space="preserve">— increases nourishment |</w:t>
      </w:r>
      <w:r>
        <w:t xml:space="preserve"> </w:t>
      </w:r>
      <w:r>
        <w:rPr>
          <w:bCs/>
          <w:b/>
        </w:rPr>
        <w:t xml:space="preserve">यः (yaḥ)</w:t>
      </w:r>
      <w:r>
        <w:t xml:space="preserve"> </w:t>
      </w:r>
      <w:r>
        <w:t xml:space="preserve">— who |</w:t>
      </w:r>
      <w:r>
        <w:t xml:space="preserve"> </w:t>
      </w:r>
      <w:r>
        <w:rPr>
          <w:bCs/>
          <w:b/>
        </w:rPr>
        <w:t xml:space="preserve">तुरः (turaḥ)</w:t>
      </w:r>
      <w:r>
        <w:t xml:space="preserve"> </w:t>
      </w:r>
      <w:r>
        <w:t xml:space="preserve">— gives fruit quickly |</w:t>
      </w:r>
      <w:r>
        <w:t xml:space="preserve"> </w:t>
      </w:r>
      <w:r>
        <w:rPr>
          <w:bCs/>
          <w:b/>
        </w:rPr>
        <w:t xml:space="preserve">सः (saḥ)</w:t>
      </w:r>
      <w:r>
        <w:t xml:space="preserve"> </w:t>
      </w:r>
      <w:r>
        <w:t xml:space="preserve">— that Brahmaṇaspati |</w:t>
      </w:r>
      <w:r>
        <w:t xml:space="preserve"> </w:t>
      </w:r>
      <w:r>
        <w:rPr>
          <w:bCs/>
          <w:b/>
        </w:rPr>
        <w:t xml:space="preserve">नः (naḥ)</w:t>
      </w:r>
      <w:r>
        <w:t xml:space="preserve"> </w:t>
      </w:r>
      <w:r>
        <w:t xml:space="preserve">— us |</w:t>
      </w:r>
      <w:r>
        <w:t xml:space="preserve"> </w:t>
      </w:r>
      <w:r>
        <w:rPr>
          <w:bCs/>
          <w:b/>
        </w:rPr>
        <w:t xml:space="preserve">सिषक्तु (siṣaktu)</w:t>
      </w:r>
      <w:r>
        <w:t xml:space="preserve"> </w:t>
      </w:r>
      <w:r>
        <w:t xml:space="preserve">— may he serve (favour).</w:t>
      </w:r>
    </w:p>
    <w:p>
      <w:pPr>
        <w:pStyle w:val="BodyText"/>
      </w:pPr>
      <w:r>
        <w:rPr>
          <w:bCs/>
          <w:b/>
        </w:rPr>
        <w:t xml:space="preserve">॥ Bhāvārthaḥ ॥</w:t>
      </w:r>
    </w:p>
    <w:p>
      <w:pPr>
        <w:pStyle w:val="BodyText"/>
      </w:pPr>
      <w:r>
        <w:t xml:space="preserve">Brahmaṇaspati is very rich, a giver of wealth to others, one who brings about nourishment, a quick giver of fruit. May such a Brahmaṇaspati favour us.</w:t>
      </w:r>
    </w:p>
    <w:p>
      <w:pPr>
        <w:pStyle w:val="BodyText"/>
      </w:pPr>
      <w:r>
        <w:rPr>
          <w:bCs/>
          <w:b/>
        </w:rPr>
        <w:t xml:space="preserve">॥ English Translation ॥</w:t>
      </w:r>
      <w:r>
        <w:t xml:space="preserve"> </w:t>
      </w:r>
      <w:r>
        <w:rPr>
          <w:iCs/>
          <w:i/>
        </w:rPr>
        <w:t xml:space="preserve">(as printed in the source)</w:t>
      </w:r>
    </w:p>
    <w:p>
      <w:pPr>
        <w:pStyle w:val="BlockText"/>
      </w:pPr>
      <w:r>
        <w:t xml:space="preserve">May he (Brahmanaspati) who is wealthy, the healer of disease; the acquirer of riches, incraaser [sic] of nourishments, the prompt bestower of rewards be favourable to us.</w:t>
      </w:r>
    </w:p>
    <w:bookmarkEnd w:id="833"/>
    <w:bookmarkStart w:id="834" w:name="Xfcc4f37c56e9d50362634d7ec7a00774453ed20"/>
    <w:p>
      <w:pPr>
        <w:pStyle w:val="Heading3"/>
      </w:pPr>
      <w:r>
        <w:t xml:space="preserve">Page 756 — Rik 2: Special Topics and grammar</w:t>
      </w:r>
    </w:p>
    <w:p>
      <w:pPr>
        <w:pStyle w:val="FirstParagraph"/>
      </w:pPr>
      <w:r>
        <w:rPr>
          <w:bCs/>
          <w:b/>
        </w:rPr>
        <w:t xml:space="preserve">॥ Viśeṣa-viṣayagaḷu (Special Topics) ॥</w:t>
      </w:r>
    </w:p>
    <w:p>
      <w:pPr>
        <w:pStyle w:val="BodyText"/>
      </w:pPr>
      <w:r>
        <w:rPr>
          <w:bCs/>
          <w:b/>
        </w:rPr>
        <w:t xml:space="preserve">Revān</w:t>
      </w:r>
      <w:r>
        <w:t xml:space="preserve">:</w:t>
      </w:r>
    </w:p>
    <w:p>
      <w:pPr>
        <w:pStyle w:val="BlockText"/>
      </w:pPr>
      <w:r>
        <w:t xml:space="preserve">रयिरस्यास्तीति रेवान् ॥</w:t>
      </w:r>
    </w:p>
    <w:p>
      <w:pPr>
        <w:pStyle w:val="BlockText"/>
      </w:pPr>
      <w:r>
        <w:rPr>
          <w:iCs/>
          <w:i/>
        </w:rPr>
        <w:t xml:space="preserve">rayirasyāstīti revān ||</w:t>
      </w:r>
    </w:p>
    <w:p>
      <w:pPr>
        <w:pStyle w:val="FirstParagraph"/>
      </w:pPr>
      <w:r>
        <w:t xml:space="preserve">(</w:t>
      </w:r>
      <w:r>
        <w:t xml:space="preserve">“</w:t>
      </w:r>
      <w:r>
        <w:t xml:space="preserve">He has</w:t>
      </w:r>
      <w:r>
        <w:t xml:space="preserve"> </w:t>
      </w:r>
      <w:r>
        <w:rPr>
          <w:iCs/>
          <w:i/>
        </w:rPr>
        <w:t xml:space="preserve">rayi</w:t>
      </w:r>
      <w:r>
        <w:t xml:space="preserve">:</w:t>
      </w:r>
      <w:r>
        <w:t xml:space="preserve"> </w:t>
      </w:r>
      <w:r>
        <w:rPr>
          <w:iCs/>
          <w:i/>
        </w:rPr>
        <w:t xml:space="preserve">revān</w:t>
      </w:r>
      <w:r>
        <w:t xml:space="preserve">.</w:t>
      </w:r>
      <w:r>
        <w:t xml:space="preserve">”</w:t>
      </w:r>
      <w:r>
        <w:t xml:space="preserve">) One who has wealth.</w:t>
      </w:r>
    </w:p>
    <w:p>
      <w:pPr>
        <w:pStyle w:val="BodyText"/>
      </w:pPr>
      <w:r>
        <w:rPr>
          <w:bCs/>
          <w:b/>
        </w:rPr>
        <w:t xml:space="preserve">Amīvahā</w:t>
      </w:r>
      <w:r>
        <w:t xml:space="preserve">:</w:t>
      </w:r>
    </w:p>
    <w:p>
      <w:pPr>
        <w:pStyle w:val="BlockText"/>
      </w:pPr>
      <w:r>
        <w:t xml:space="preserve">अम रोगः । तं हन्तीति अमीवहा ॥</w:t>
      </w:r>
    </w:p>
    <w:p>
      <w:pPr>
        <w:pStyle w:val="BlockText"/>
      </w:pPr>
      <w:r>
        <w:rPr>
          <w:iCs/>
          <w:i/>
        </w:rPr>
        <w:t xml:space="preserve">ama rogaḥ | taṃ hantīti amīvahā ||</w:t>
      </w:r>
    </w:p>
    <w:p>
      <w:pPr>
        <w:pStyle w:val="FirstParagraph"/>
      </w:pPr>
      <w:r>
        <w:t xml:space="preserve">(</w:t>
      </w:r>
      <w:r>
        <w:t xml:space="preserve">“</w:t>
      </w:r>
      <w:r>
        <w:rPr>
          <w:iCs/>
          <w:i/>
        </w:rPr>
        <w:t xml:space="preserve">Ama</w:t>
      </w:r>
      <w:r>
        <w:t xml:space="preserve"> </w:t>
      </w:r>
      <w:r>
        <w:t xml:space="preserve">is disease; he kills it:</w:t>
      </w:r>
      <w:r>
        <w:t xml:space="preserve"> </w:t>
      </w:r>
      <w:r>
        <w:rPr>
          <w:iCs/>
          <w:i/>
        </w:rPr>
        <w:t xml:space="preserve">amīvahā</w:t>
      </w:r>
      <w:r>
        <w:t xml:space="preserve">.</w:t>
      </w:r>
      <w:r>
        <w:t xml:space="preserve">”</w:t>
      </w:r>
      <w:r>
        <w:t xml:space="preserve">) One who destroys disease.</w:t>
      </w:r>
    </w:p>
    <w:p>
      <w:pPr>
        <w:pStyle w:val="BodyText"/>
      </w:pPr>
      <w:r>
        <w:rPr>
          <w:bCs/>
          <w:b/>
        </w:rPr>
        <w:t xml:space="preserve">Turaḥ</w:t>
      </w:r>
      <w:r>
        <w:t xml:space="preserve">:</w:t>
      </w:r>
    </w:p>
    <w:p>
      <w:pPr>
        <w:pStyle w:val="BlockText"/>
      </w:pPr>
      <w:r>
        <w:t xml:space="preserve">त्वरोपेतः शीघ्रफलदः ॥</w:t>
      </w:r>
    </w:p>
    <w:p>
      <w:pPr>
        <w:pStyle w:val="BlockText"/>
      </w:pPr>
      <w:r>
        <w:rPr>
          <w:iCs/>
          <w:i/>
        </w:rPr>
        <w:t xml:space="preserve">tvaropetaḥ śīghraphaladaḥ ||</w:t>
      </w:r>
    </w:p>
    <w:p>
      <w:pPr>
        <w:pStyle w:val="FirstParagraph"/>
      </w:pPr>
      <w:r>
        <w:t xml:space="preserve">(</w:t>
      </w:r>
      <w:r>
        <w:t xml:space="preserve">“</w:t>
      </w:r>
      <w:r>
        <w:t xml:space="preserve">Possessed of speed, giving fruit quickly.</w:t>
      </w:r>
      <w:r>
        <w:t xml:space="preserve">”</w:t>
      </w:r>
      <w:r>
        <w:t xml:space="preserve">) One who gives fruits quickly. Though the word</w:t>
      </w:r>
      <w:r>
        <w:t xml:space="preserve"> </w:t>
      </w:r>
      <w:r>
        <w:rPr>
          <w:iCs/>
          <w:i/>
        </w:rPr>
        <w:t xml:space="preserve">tura</w:t>
      </w:r>
      <w:r>
        <w:t xml:space="preserve"> </w:t>
      </w:r>
      <w:r>
        <w:t xml:space="preserve">means</w:t>
      </w:r>
      <w:r>
        <w:t xml:space="preserve"> </w:t>
      </w:r>
      <w:r>
        <w:t xml:space="preserve">“</w:t>
      </w:r>
      <w:r>
        <w:t xml:space="preserve">possessed of speed, quick</w:t>
      </w:r>
      <w:r>
        <w:t xml:space="preserve">”</w:t>
      </w:r>
      <w:r>
        <w:t xml:space="preserve">, that is, one who works quickly or fast, here the commentator has taken the sense</w:t>
      </w:r>
      <w:r>
        <w:t xml:space="preserve"> </w:t>
      </w:r>
      <w:r>
        <w:t xml:space="preserve">“</w:t>
      </w:r>
      <w:r>
        <w:t xml:space="preserve">one who gives fruit to rites quickly</w:t>
      </w:r>
      <w:r>
        <w:t xml:space="preserve">”</w:t>
      </w:r>
      <w:r>
        <w:t xml:space="preserve">.</w:t>
      </w:r>
    </w:p>
    <w:p>
      <w:pPr>
        <w:pStyle w:val="BodyText"/>
      </w:pPr>
      <w:r>
        <w:rPr>
          <w:bCs/>
          <w:b/>
        </w:rPr>
        <w:t xml:space="preserve">॥ Vyākaraṇa-prakriyā ॥</w:t>
      </w:r>
      <w:r>
        <w:t xml:space="preserve"> </w:t>
      </w:r>
      <w:r>
        <w:rPr>
          <w:iCs/>
          <w:i/>
        </w:rPr>
        <w:t xml:space="preserve">(grammar pages 756–759, noted briefly)</w:t>
      </w:r>
    </w:p>
    <w:p>
      <w:pPr>
        <w:pStyle w:val="BodyText"/>
      </w:pPr>
      <w:r>
        <w:rPr>
          <w:bCs/>
          <w:b/>
        </w:rPr>
        <w:t xml:space="preserve">रेवान् (</w:t>
      </w:r>
      <w:r>
        <w:rPr>
          <w:iCs/>
          <w:i/>
          <w:bCs/>
          <w:b/>
        </w:rPr>
        <w:t xml:space="preserve">revān</w:t>
      </w:r>
      <w:r>
        <w:rPr>
          <w:bCs/>
          <w:b/>
        </w:rPr>
        <w:t xml:space="preserve">)</w:t>
      </w:r>
      <w:r>
        <w:t xml:space="preserve">: the analysis</w:t>
      </w:r>
      <w:r>
        <w:t xml:space="preserve"> </w:t>
      </w:r>
      <w:r>
        <w:rPr>
          <w:iCs/>
          <w:i/>
        </w:rPr>
        <w:t xml:space="preserve">rayiḥ asya asti</w:t>
      </w:r>
      <w:r>
        <w:t xml:space="preserve">. By</w:t>
      </w:r>
      <w:r>
        <w:t xml:space="preserve"> </w:t>
      </w:r>
      <w:r>
        <w:t xml:space="preserve">“</w:t>
      </w:r>
      <w:r>
        <w:t xml:space="preserve">tad asyāsty asminn iti matup</w:t>
      </w:r>
      <w:r>
        <w:t xml:space="preserve">”</w:t>
      </w:r>
      <w:r>
        <w:t xml:space="preserve"> </w:t>
      </w:r>
      <w:r>
        <w:t xml:space="preserve">(Pā. sū. 5-2-94) the suffix</w:t>
      </w:r>
      <w:r>
        <w:t xml:space="preserve"> </w:t>
      </w:r>
      <w:r>
        <w:rPr>
          <w:iCs/>
          <w:i/>
        </w:rPr>
        <w:t xml:space="preserve">matup</w:t>
      </w:r>
      <w:r>
        <w:t xml:space="preserve">; the</w:t>
      </w:r>
      <w:r>
        <w:t xml:space="preserve"> </w:t>
      </w:r>
      <w:r>
        <w:rPr>
          <w:iCs/>
          <w:i/>
        </w:rPr>
        <w:t xml:space="preserve">su</w:t>
      </w:r>
      <w:r>
        <w:t xml:space="preserve"> </w:t>
      </w:r>
      <w:r>
        <w:t xml:space="preserve">that is part of the stem takes</w:t>
      </w:r>
      <w:r>
        <w:t xml:space="preserve"> </w:t>
      </w:r>
      <w:r>
        <w:rPr>
          <w:iCs/>
          <w:i/>
        </w:rPr>
        <w:t xml:space="preserve">luk</w:t>
      </w:r>
      <w:r>
        <w:t xml:space="preserve"> </w:t>
      </w:r>
      <w:r>
        <w:t xml:space="preserve">by</w:t>
      </w:r>
      <w:r>
        <w:t xml:space="preserve"> </w:t>
      </w:r>
      <w:r>
        <w:rPr>
          <w:iCs/>
          <w:i/>
        </w:rPr>
        <w:t xml:space="preserve">supo dhātu…</w:t>
      </w:r>
      <w:r>
        <w:t xml:space="preserve">:</w:t>
      </w:r>
      <w:r>
        <w:t xml:space="preserve"> </w:t>
      </w:r>
      <w:r>
        <w:rPr>
          <w:iCs/>
          <w:i/>
        </w:rPr>
        <w:t xml:space="preserve">rayi</w:t>
      </w:r>
      <w:r>
        <w:t xml:space="preserve"> </w:t>
      </w:r>
      <w:r>
        <w:t xml:space="preserve">+</w:t>
      </w:r>
      <w:r>
        <w:t xml:space="preserve"> </w:t>
      </w:r>
      <w:r>
        <w:rPr>
          <w:iCs/>
          <w:i/>
        </w:rPr>
        <w:t xml:space="preserve">mat</w:t>
      </w:r>
      <w:r>
        <w:t xml:space="preserve">. By</w:t>
      </w:r>
      <w:r>
        <w:t xml:space="preserve"> </w:t>
      </w:r>
      <w:r>
        <w:t xml:space="preserve">“</w:t>
      </w:r>
      <w:r>
        <w:t xml:space="preserve">rayer matau bahulam</w:t>
      </w:r>
      <w:r>
        <w:t xml:space="preserve">”</w:t>
      </w:r>
      <w:r>
        <w:t xml:space="preserve"> </w:t>
      </w:r>
      <w:r>
        <w:t xml:space="preserve">(Pā. sū. 6-1-37-6), when the suffix</w:t>
      </w:r>
      <w:r>
        <w:t xml:space="preserve"> </w:t>
      </w:r>
      <w:r>
        <w:rPr>
          <w:iCs/>
          <w:i/>
        </w:rPr>
        <w:t xml:space="preserve">matup</w:t>
      </w:r>
      <w:r>
        <w:t xml:space="preserve"> </w:t>
      </w:r>
      <w:r>
        <w:t xml:space="preserve">follows, the word</w:t>
      </w:r>
      <w:r>
        <w:t xml:space="preserve"> </w:t>
      </w:r>
      <w:r>
        <w:rPr>
          <w:iCs/>
          <w:i/>
        </w:rPr>
        <w:t xml:space="preserve">rayi</w:t>
      </w:r>
      <w:r>
        <w:t xml:space="preserve"> </w:t>
      </w:r>
      <w:r>
        <w:t xml:space="preserve">takes</w:t>
      </w:r>
      <w:r>
        <w:t xml:space="preserve"> </w:t>
      </w:r>
      <w:r>
        <w:rPr>
          <w:iCs/>
          <w:i/>
        </w:rPr>
        <w:t xml:space="preserve">saṃprasāraṇa</w:t>
      </w:r>
      <w:r>
        <w:t xml:space="preserve"> </w:t>
      </w:r>
      <w:r>
        <w:t xml:space="preserve">variously:</w:t>
      </w:r>
      <w:r>
        <w:t xml:space="preserve"> </w:t>
      </w:r>
      <w:r>
        <w:rPr>
          <w:iCs/>
          <w:i/>
        </w:rPr>
        <w:t xml:space="preserve">saṃprasāraṇa</w:t>
      </w:r>
      <w:r>
        <w:t xml:space="preserve">,</w:t>
      </w:r>
      <w:r>
        <w:t xml:space="preserve"> </w:t>
      </w:r>
      <w:r>
        <w:rPr>
          <w:iCs/>
          <w:i/>
        </w:rPr>
        <w:t xml:space="preserve">i</w:t>
      </w:r>
      <w:r>
        <w:t xml:space="preserve"> </w:t>
      </w:r>
      <w:r>
        <w:t xml:space="preserve">for</w:t>
      </w:r>
      <w:r>
        <w:t xml:space="preserve"> </w:t>
      </w:r>
      <w:r>
        <w:rPr>
          <w:iCs/>
          <w:i/>
        </w:rPr>
        <w:t xml:space="preserve">y</w:t>
      </w:r>
      <w:r>
        <w:t xml:space="preserve">; the</w:t>
      </w:r>
      <w:r>
        <w:t xml:space="preserve"> </w:t>
      </w:r>
      <w:r>
        <w:rPr>
          <w:iCs/>
          <w:i/>
        </w:rPr>
        <w:t xml:space="preserve">pūrvarūpa</w:t>
      </w:r>
      <w:r>
        <w:t xml:space="preserve"> </w:t>
      </w:r>
      <w:r>
        <w:t xml:space="preserve">by</w:t>
      </w:r>
      <w:r>
        <w:t xml:space="preserve"> </w:t>
      </w:r>
      <w:r>
        <w:t xml:space="preserve">“</w:t>
      </w:r>
      <w:r>
        <w:t xml:space="preserve">saṃprasāraṇāc ca</w:t>
      </w:r>
      <w:r>
        <w:t xml:space="preserve">”</w:t>
      </w:r>
      <w:r>
        <w:t xml:space="preserve"> </w:t>
      </w:r>
      <w:r>
        <w:t xml:space="preserve">(Pā. sū. 6-1-108):</w:t>
      </w:r>
      <w:r>
        <w:t xml:space="preserve"> </w:t>
      </w:r>
      <w:r>
        <w:rPr>
          <w:iCs/>
          <w:i/>
        </w:rPr>
        <w:t xml:space="preserve">ra</w:t>
      </w:r>
      <w:r>
        <w:t xml:space="preserve"> </w:t>
      </w:r>
      <w:r>
        <w:t xml:space="preserve">+</w:t>
      </w:r>
      <w:r>
        <w:t xml:space="preserve"> </w:t>
      </w:r>
      <w:r>
        <w:rPr>
          <w:iCs/>
          <w:i/>
        </w:rPr>
        <w:t xml:space="preserve">i</w:t>
      </w:r>
      <w:r>
        <w:t xml:space="preserve"> </w:t>
      </w:r>
      <w:r>
        <w:t xml:space="preserve">+</w:t>
      </w:r>
      <w:r>
        <w:t xml:space="preserve"> </w:t>
      </w:r>
      <w:r>
        <w:rPr>
          <w:iCs/>
          <w:i/>
        </w:rPr>
        <w:t xml:space="preserve">mat</w:t>
      </w:r>
      <w:r>
        <w:t xml:space="preserve">. By</w:t>
      </w:r>
      <w:r>
        <w:t xml:space="preserve"> </w:t>
      </w:r>
      <w:r>
        <w:t xml:space="preserve">“</w:t>
      </w:r>
      <w:r>
        <w:t xml:space="preserve">chandasīraḥ</w:t>
      </w:r>
      <w:r>
        <w:t xml:space="preserve">”</w:t>
      </w:r>
      <w:r>
        <w:t xml:space="preserve"> </w:t>
      </w:r>
      <w:r>
        <w:t xml:space="preserve">(Pā. sū. 8-2-15)</w:t>
      </w:r>
      <w:r>
        <w:t xml:space="preserve"> </w:t>
      </w:r>
      <w:r>
        <w:rPr>
          <w:iCs/>
          <w:i/>
        </w:rPr>
        <w:t xml:space="preserve">v</w:t>
      </w:r>
      <w:r>
        <w:t xml:space="preserve"> </w:t>
      </w:r>
      <w:r>
        <w:t xml:space="preserve">for the</w:t>
      </w:r>
      <w:r>
        <w:t xml:space="preserve"> </w:t>
      </w:r>
      <w:r>
        <w:rPr>
          <w:iCs/>
          <w:i/>
        </w:rPr>
        <w:t xml:space="preserve">m</w:t>
      </w:r>
      <w:r>
        <w:t xml:space="preserve">; by</w:t>
      </w:r>
      <w:r>
        <w:t xml:space="preserve"> </w:t>
      </w:r>
      <w:r>
        <w:t xml:space="preserve">“</w:t>
      </w:r>
      <w:r>
        <w:t xml:space="preserve">ād guṇaḥ</w:t>
      </w:r>
      <w:r>
        <w:t xml:space="preserve">”</w:t>
      </w:r>
      <w:r>
        <w:t xml:space="preserve"> </w:t>
      </w:r>
      <w:r>
        <w:t xml:space="preserve">(Pā. sū. 6-1-87)</w:t>
      </w:r>
      <w:r>
        <w:t xml:space="preserve"> </w:t>
      </w:r>
      <w:r>
        <w:rPr>
          <w:iCs/>
          <w:i/>
        </w:rPr>
        <w:t xml:space="preserve">e</w:t>
      </w:r>
      <w:r>
        <w:t xml:space="preserve"> </w:t>
      </w:r>
      <w:r>
        <w:t xml:space="preserve">for</w:t>
      </w:r>
      <w:r>
        <w:t xml:space="preserve"> </w:t>
      </w:r>
      <w:r>
        <w:rPr>
          <w:iCs/>
          <w:i/>
        </w:rPr>
        <w:t xml:space="preserve">a</w:t>
      </w:r>
      <w:r>
        <w:t xml:space="preserve"> </w:t>
      </w:r>
      <w:r>
        <w:t xml:space="preserve">+</w:t>
      </w:r>
      <w:r>
        <w:t xml:space="preserve"> </w:t>
      </w:r>
      <w:r>
        <w:rPr>
          <w:iCs/>
          <w:i/>
        </w:rPr>
        <w:t xml:space="preserve">i</w:t>
      </w:r>
      <w:r>
        <w:t xml:space="preserve">:</w:t>
      </w:r>
      <w:r>
        <w:t xml:space="preserve"> </w:t>
      </w:r>
      <w:r>
        <w:rPr>
          <w:iCs/>
          <w:i/>
        </w:rPr>
        <w:t xml:space="preserve">re</w:t>
      </w:r>
      <w:r>
        <w:t xml:space="preserve"> </w:t>
      </w:r>
      <w:r>
        <w:t xml:space="preserve">+</w:t>
      </w:r>
      <w:r>
        <w:t xml:space="preserve"> </w:t>
      </w:r>
      <w:r>
        <w:rPr>
          <w:iCs/>
          <w:i/>
        </w:rPr>
        <w:t xml:space="preserve">vat</w:t>
      </w:r>
      <w:r>
        <w:t xml:space="preserve">. With</w:t>
      </w:r>
      <w:r>
        <w:t xml:space="preserve"> </w:t>
      </w:r>
      <w:r>
        <w:rPr>
          <w:iCs/>
          <w:i/>
        </w:rPr>
        <w:t xml:space="preserve">ra</w:t>
      </w:r>
      <w:r>
        <w:t xml:space="preserve"> </w:t>
      </w:r>
      <w:r>
        <w:t xml:space="preserve">+</w:t>
      </w:r>
      <w:r>
        <w:t xml:space="preserve"> </w:t>
      </w:r>
      <w:r>
        <w:rPr>
          <w:iCs/>
          <w:i/>
        </w:rPr>
        <w:t xml:space="preserve">i</w:t>
      </w:r>
      <w:r>
        <w:t xml:space="preserve"> </w:t>
      </w:r>
      <w:r>
        <w:t xml:space="preserve">+</w:t>
      </w:r>
      <w:r>
        <w:t xml:space="preserve"> </w:t>
      </w:r>
      <w:r>
        <w:rPr>
          <w:iCs/>
          <w:i/>
        </w:rPr>
        <w:t xml:space="preserve">mat</w:t>
      </w:r>
      <w:r>
        <w:t xml:space="preserve">, does the</w:t>
      </w:r>
      <w:r>
        <w:t xml:space="preserve"> </w:t>
      </w:r>
      <w:r>
        <w:rPr>
          <w:iCs/>
          <w:i/>
        </w:rPr>
        <w:t xml:space="preserve">v</w:t>
      </w:r>
      <w:r>
        <w:t xml:space="preserve"> </w:t>
      </w:r>
      <w:r>
        <w:t xml:space="preserve">of</w:t>
      </w:r>
      <w:r>
        <w:t xml:space="preserve"> </w:t>
      </w:r>
      <w:r>
        <w:rPr>
          <w:iCs/>
          <w:i/>
        </w:rPr>
        <w:t xml:space="preserve">chandasīraḥ</w:t>
      </w:r>
      <w:r>
        <w:t xml:space="preserve"> </w:t>
      </w:r>
      <w:r>
        <w:t xml:space="preserve">come first, or the</w:t>
      </w:r>
      <w:r>
        <w:t xml:space="preserve"> </w:t>
      </w:r>
      <w:r>
        <w:rPr>
          <w:iCs/>
          <w:i/>
        </w:rPr>
        <w:t xml:space="preserve">guṇa</w:t>
      </w:r>
      <w:r>
        <w:t xml:space="preserve"> </w:t>
      </w:r>
      <w:r>
        <w:t xml:space="preserve">of</w:t>
      </w:r>
      <w:r>
        <w:t xml:space="preserve"> </w:t>
      </w:r>
      <w:r>
        <w:rPr>
          <w:iCs/>
          <w:i/>
        </w:rPr>
        <w:t xml:space="preserve">ād guṇaḥ</w:t>
      </w:r>
      <w:r>
        <w:t xml:space="preserve">?</w:t>
      </w:r>
      <w:r>
        <w:t xml:space="preserve"> </w:t>
      </w:r>
      <w:r>
        <w:rPr>
          <w:iCs/>
          <w:i/>
        </w:rPr>
        <w:t xml:space="preserve">Chandasīraḥ</w:t>
      </w:r>
      <w:r>
        <w:t xml:space="preserve"> </w:t>
      </w:r>
      <w:r>
        <w:t xml:space="preserve">is in the second</w:t>
      </w:r>
      <w:r>
        <w:t xml:space="preserve"> </w:t>
      </w:r>
      <w:r>
        <w:rPr>
          <w:iCs/>
          <w:i/>
        </w:rPr>
        <w:t xml:space="preserve">pāda</w:t>
      </w:r>
      <w:r>
        <w:t xml:space="preserve"> </w:t>
      </w:r>
      <w:r>
        <w:t xml:space="preserve">of the eighth chapter; the sūtra</w:t>
      </w:r>
      <w:r>
        <w:t xml:space="preserve"> </w:t>
      </w:r>
      <w:r>
        <w:rPr>
          <w:iCs/>
          <w:i/>
        </w:rPr>
        <w:t xml:space="preserve">ād guṇaḥ</w:t>
      </w:r>
      <w:r>
        <w:t xml:space="preserve"> </w:t>
      </w:r>
      <w:r>
        <w:t xml:space="preserve">is in the first</w:t>
      </w:r>
      <w:r>
        <w:t xml:space="preserve"> </w:t>
      </w:r>
      <w:r>
        <w:rPr>
          <w:iCs/>
          <w:i/>
        </w:rPr>
        <w:t xml:space="preserve">pāda</w:t>
      </w:r>
      <w:r>
        <w:t xml:space="preserve"> </w:t>
      </w:r>
      <w:r>
        <w:t xml:space="preserve">of the sixth chapter. So by</w:t>
      </w:r>
      <w:r>
        <w:t xml:space="preserve"> </w:t>
      </w:r>
      <w:r>
        <w:t xml:space="preserve">“</w:t>
      </w:r>
      <w:r>
        <w:t xml:space="preserve">pūrvatrāsiddham</w:t>
      </w:r>
      <w:r>
        <w:t xml:space="preserve">”</w:t>
      </w:r>
      <w:r>
        <w:t xml:space="preserve"> </w:t>
      </w:r>
      <w:r>
        <w:t xml:space="preserve">(Pā. sū. 8-2-1), when the</w:t>
      </w:r>
      <w:r>
        <w:t xml:space="preserve"> </w:t>
      </w:r>
      <w:r>
        <w:rPr>
          <w:iCs/>
          <w:i/>
        </w:rPr>
        <w:t xml:space="preserve">guṇa</w:t>
      </w:r>
      <w:r>
        <w:t xml:space="preserve"> </w:t>
      </w:r>
      <w:r>
        <w:t xml:space="preserve">of the earlier rule is made, the</w:t>
      </w:r>
      <w:r>
        <w:t xml:space="preserve"> </w:t>
      </w:r>
      <w:r>
        <w:rPr>
          <w:iCs/>
          <w:i/>
        </w:rPr>
        <w:t xml:space="preserve">v</w:t>
      </w:r>
      <w:r>
        <w:t xml:space="preserve"> </w:t>
      </w:r>
      <w:r>
        <w:t xml:space="preserve">of the later rule, of the</w:t>
      </w:r>
      <w:r>
        <w:t xml:space="preserve"> </w:t>
      </w:r>
      <w:r>
        <w:rPr>
          <w:iCs/>
          <w:i/>
        </w:rPr>
        <w:t xml:space="preserve">tripādī</w:t>
      </w:r>
      <w:r>
        <w:t xml:space="preserve">, is</w:t>
      </w:r>
      <w:r>
        <w:t xml:space="preserve"> </w:t>
      </w:r>
      <w:r>
        <w:rPr>
          <w:iCs/>
          <w:i/>
        </w:rPr>
        <w:t xml:space="preserve">asiddha</w:t>
      </w:r>
      <w:r>
        <w:t xml:space="preserve">. So it is proper that</w:t>
      </w:r>
      <w:r>
        <w:t xml:space="preserve"> </w:t>
      </w:r>
      <w:r>
        <w:rPr>
          <w:iCs/>
          <w:i/>
        </w:rPr>
        <w:t xml:space="preserve">guṇa</w:t>
      </w:r>
      <w:r>
        <w:t xml:space="preserve"> </w:t>
      </w:r>
      <w:r>
        <w:t xml:space="preserve">comes first. Further,</w:t>
      </w:r>
      <w:r>
        <w:t xml:space="preserve"> </w:t>
      </w:r>
      <w:r>
        <w:rPr>
          <w:iCs/>
          <w:i/>
        </w:rPr>
        <w:t xml:space="preserve">ghaṭakanimittakam antaraṅgam</w:t>
      </w:r>
      <w:r>
        <w:t xml:space="preserve"> </w:t>
      </w:r>
      <w:r>
        <w:t xml:space="preserve">is the definition of</w:t>
      </w:r>
      <w:r>
        <w:t xml:space="preserve"> </w:t>
      </w:r>
      <w:r>
        <w:rPr>
          <w:iCs/>
          <w:i/>
        </w:rPr>
        <w:t xml:space="preserve">antaraṅga</w:t>
      </w:r>
      <w:r>
        <w:t xml:space="preserve">. Here, since</w:t>
      </w:r>
      <w:r>
        <w:t xml:space="preserve"> </w:t>
      </w:r>
      <w:r>
        <w:rPr>
          <w:iCs/>
          <w:i/>
        </w:rPr>
        <w:t xml:space="preserve">guṇa</w:t>
      </w:r>
      <w:r>
        <w:t xml:space="preserve"> </w:t>
      </w:r>
      <w:r>
        <w:t xml:space="preserve">is conditioned only by a pair of letters included in the group of conditions of the</w:t>
      </w:r>
      <w:r>
        <w:t xml:space="preserve"> </w:t>
      </w:r>
      <w:r>
        <w:rPr>
          <w:iCs/>
          <w:i/>
        </w:rPr>
        <w:t xml:space="preserve">bahiraṅga</w:t>
      </w:r>
      <w:r>
        <w:t xml:space="preserve"> </w:t>
      </w:r>
      <w:r>
        <w:t xml:space="preserve">rule, the</w:t>
      </w:r>
      <w:r>
        <w:t xml:space="preserve"> </w:t>
      </w:r>
      <w:r>
        <w:rPr>
          <w:iCs/>
          <w:i/>
        </w:rPr>
        <w:t xml:space="preserve">v</w:t>
      </w:r>
      <w:r>
        <w:t xml:space="preserve"> </w:t>
      </w:r>
      <w:r>
        <w:t xml:space="preserve">rule,</w:t>
      </w:r>
      <w:r>
        <w:t xml:space="preserve"> </w:t>
      </w:r>
      <w:r>
        <w:rPr>
          <w:iCs/>
          <w:i/>
        </w:rPr>
        <w:t xml:space="preserve">guṇa</w:t>
      </w:r>
      <w:r>
        <w:t xml:space="preserve"> </w:t>
      </w:r>
      <w:r>
        <w:t xml:space="preserve">is</w:t>
      </w:r>
      <w:r>
        <w:t xml:space="preserve"> </w:t>
      </w:r>
      <w:r>
        <w:rPr>
          <w:iCs/>
          <w:i/>
        </w:rPr>
        <w:t xml:space="preserve">antaraṅga</w:t>
      </w:r>
      <w:r>
        <w:t xml:space="preserve">; since the</w:t>
      </w:r>
      <w:r>
        <w:t xml:space="preserve"> </w:t>
      </w:r>
      <w:r>
        <w:rPr>
          <w:iCs/>
          <w:i/>
        </w:rPr>
        <w:t xml:space="preserve">v</w:t>
      </w:r>
      <w:r>
        <w:t xml:space="preserve"> </w:t>
      </w:r>
      <w:r>
        <w:t xml:space="preserve">is conditioned by what contains such a pair of letters, the</w:t>
      </w:r>
      <w:r>
        <w:t xml:space="preserve"> </w:t>
      </w:r>
      <w:r>
        <w:rPr>
          <w:iCs/>
          <w:i/>
        </w:rPr>
        <w:t xml:space="preserve">v</w:t>
      </w:r>
      <w:r>
        <w:t xml:space="preserve"> </w:t>
      </w:r>
      <w:r>
        <w:t xml:space="preserve">is</w:t>
      </w:r>
      <w:r>
        <w:t xml:space="preserve"> </w:t>
      </w:r>
      <w:r>
        <w:rPr>
          <w:iCs/>
          <w:i/>
        </w:rPr>
        <w:t xml:space="preserve">bahiraṅga</w:t>
      </w:r>
      <w:r>
        <w:t xml:space="preserve">. So by</w:t>
      </w:r>
      <w:r>
        <w:t xml:space="preserve"> </w:t>
      </w:r>
      <w:r>
        <w:t xml:space="preserve">“</w:t>
      </w:r>
      <w:r>
        <w:t xml:space="preserve">asiddhaṃ bahiraṅgam antaraṅge</w:t>
      </w:r>
      <w:r>
        <w:t xml:space="preserve">”</w:t>
      </w:r>
      <w:r>
        <w:t xml:space="preserve"> </w:t>
      </w:r>
      <w:r>
        <w:t xml:space="preserve">(</w:t>
      </w:r>
      <w:r>
        <w:rPr>
          <w:iCs/>
          <w:i/>
        </w:rPr>
        <w:t xml:space="preserve">paribhāṣā</w:t>
      </w:r>
      <w:r>
        <w:t xml:space="preserve"> </w:t>
      </w:r>
      <w:r>
        <w:t xml:space="preserve">50), when the</w:t>
      </w:r>
      <w:r>
        <w:t xml:space="preserve"> </w:t>
      </w:r>
      <w:r>
        <w:rPr>
          <w:iCs/>
          <w:i/>
        </w:rPr>
        <w:t xml:space="preserve">antaraṅga</w:t>
      </w:r>
      <w:r>
        <w:t xml:space="preserve"> </w:t>
      </w:r>
      <w:r>
        <w:rPr>
          <w:iCs/>
          <w:i/>
        </w:rPr>
        <w:t xml:space="preserve">guṇa</w:t>
      </w:r>
      <w:r>
        <w:t xml:space="preserve"> </w:t>
      </w:r>
      <w:r>
        <w:t xml:space="preserve">is made, the</w:t>
      </w:r>
      <w:r>
        <w:t xml:space="preserve"> </w:t>
      </w:r>
      <w:r>
        <w:rPr>
          <w:iCs/>
          <w:i/>
        </w:rPr>
        <w:t xml:space="preserve">bahiraṅga</w:t>
      </w:r>
      <w:r>
        <w:t xml:space="preserve"> </w:t>
      </w:r>
      <w:r>
        <w:rPr>
          <w:iCs/>
          <w:i/>
        </w:rPr>
        <w:t xml:space="preserve">v</w:t>
      </w:r>
      <w:r>
        <w:t xml:space="preserve"> </w:t>
      </w:r>
      <w:r>
        <w:t xml:space="preserve">rule is</w:t>
      </w:r>
      <w:r>
        <w:t xml:space="preserve"> </w:t>
      </w:r>
      <w:r>
        <w:rPr>
          <w:iCs/>
          <w:i/>
        </w:rPr>
        <w:t xml:space="preserve">asiddha</w:t>
      </w:r>
      <w:r>
        <w:t xml:space="preserve">. For these two reasons it is right that</w:t>
      </w:r>
      <w:r>
        <w:t xml:space="preserve"> </w:t>
      </w:r>
      <w:r>
        <w:rPr>
          <w:iCs/>
          <w:i/>
        </w:rPr>
        <w:t xml:space="preserve">guṇa</w:t>
      </w:r>
      <w:r>
        <w:t xml:space="preserve"> </w:t>
      </w:r>
      <w:r>
        <w:t xml:space="preserve">comes first. If</w:t>
      </w:r>
      <w:r>
        <w:t xml:space="preserve"> </w:t>
      </w:r>
      <w:r>
        <w:rPr>
          <w:iCs/>
          <w:i/>
        </w:rPr>
        <w:t xml:space="preserve">guṇa</w:t>
      </w:r>
      <w:r>
        <w:t xml:space="preserve"> </w:t>
      </w:r>
      <w:r>
        <w:t xml:space="preserve">comes first in this way,</w:t>
      </w:r>
    </w:p>
    <w:bookmarkEnd w:id="834"/>
    <w:bookmarkStart w:id="835" w:name="page-757-rik-2-grammar"/>
    <w:p>
      <w:pPr>
        <w:pStyle w:val="Heading3"/>
      </w:pPr>
      <w:r>
        <w:t xml:space="preserve">Page 757 — Rik 2: grammar</w:t>
      </w:r>
    </w:p>
    <w:p>
      <w:pPr>
        <w:pStyle w:val="FirstParagraph"/>
      </w:pPr>
      <w:r>
        <w:t xml:space="preserve">it becomes</w:t>
      </w:r>
      <w:r>
        <w:t xml:space="preserve"> </w:t>
      </w:r>
      <w:r>
        <w:rPr>
          <w:iCs/>
          <w:i/>
        </w:rPr>
        <w:t xml:space="preserve">re</w:t>
      </w:r>
      <w:r>
        <w:t xml:space="preserve"> </w:t>
      </w:r>
      <w:r>
        <w:t xml:space="preserve">+</w:t>
      </w:r>
      <w:r>
        <w:t xml:space="preserve"> </w:t>
      </w:r>
      <w:r>
        <w:rPr>
          <w:iCs/>
          <w:i/>
        </w:rPr>
        <w:t xml:space="preserve">mat</w:t>
      </w:r>
      <w:r>
        <w:t xml:space="preserve">. Now there is no</w:t>
      </w:r>
      <w:r>
        <w:t xml:space="preserve"> </w:t>
      </w:r>
      <w:r>
        <w:rPr>
          <w:iCs/>
          <w:i/>
        </w:rPr>
        <w:t xml:space="preserve">matup</w:t>
      </w:r>
      <w:r>
        <w:t xml:space="preserve"> </w:t>
      </w:r>
      <w:r>
        <w:t xml:space="preserve">after an</w:t>
      </w:r>
      <w:r>
        <w:t xml:space="preserve"> </w:t>
      </w:r>
      <w:r>
        <w:rPr>
          <w:iCs/>
          <w:i/>
        </w:rPr>
        <w:t xml:space="preserve">i</w:t>
      </w:r>
      <w:r>
        <w:t xml:space="preserve">-final word. So how does the</w:t>
      </w:r>
      <w:r>
        <w:t xml:space="preserve"> </w:t>
      </w:r>
      <w:r>
        <w:rPr>
          <w:iCs/>
          <w:i/>
        </w:rPr>
        <w:t xml:space="preserve">v</w:t>
      </w:r>
      <w:r>
        <w:t xml:space="preserve"> </w:t>
      </w:r>
      <w:r>
        <w:t xml:space="preserve">come, by</w:t>
      </w:r>
      <w:r>
        <w:t xml:space="preserve"> </w:t>
      </w:r>
      <w:r>
        <w:t xml:space="preserve">“</w:t>
      </w:r>
      <w:r>
        <w:t xml:space="preserve">chandasīraḥ</w:t>
      </w:r>
      <w:r>
        <w:t xml:space="preserve">”</w:t>
      </w:r>
      <w:r>
        <w:t xml:space="preserve"> </w:t>
      </w:r>
      <w:r>
        <w:t xml:space="preserve">(8-2-15),</w:t>
      </w:r>
      <w:r>
        <w:t xml:space="preserve"> </w:t>
      </w:r>
      <w:r>
        <w:rPr>
          <w:iCs/>
          <w:i/>
        </w:rPr>
        <w:t xml:space="preserve">v</w:t>
      </w:r>
      <w:r>
        <w:t xml:space="preserve"> </w:t>
      </w:r>
      <w:r>
        <w:t xml:space="preserve">for the</w:t>
      </w:r>
      <w:r>
        <w:t xml:space="preserve"> </w:t>
      </w:r>
      <w:r>
        <w:rPr>
          <w:iCs/>
          <w:i/>
        </w:rPr>
        <w:t xml:space="preserve">m</w:t>
      </w:r>
      <w:r>
        <w:t xml:space="preserve"> </w:t>
      </w:r>
      <w:r>
        <w:t xml:space="preserve">of a</w:t>
      </w:r>
      <w:r>
        <w:t xml:space="preserve"> </w:t>
      </w:r>
      <w:r>
        <w:rPr>
          <w:iCs/>
          <w:i/>
        </w:rPr>
        <w:t xml:space="preserve">matup</w:t>
      </w:r>
      <w:r>
        <w:t xml:space="preserve"> </w:t>
      </w:r>
      <w:r>
        <w:t xml:space="preserve">after an</w:t>
      </w:r>
      <w:r>
        <w:t xml:space="preserve"> </w:t>
      </w:r>
      <w:r>
        <w:rPr>
          <w:iCs/>
          <w:i/>
        </w:rPr>
        <w:t xml:space="preserve">i</w:t>
      </w:r>
      <w:r>
        <w:t xml:space="preserve">-final or</w:t>
      </w:r>
      <w:r>
        <w:t xml:space="preserve"> </w:t>
      </w:r>
      <w:r>
        <w:rPr>
          <w:iCs/>
          <w:i/>
        </w:rPr>
        <w:t xml:space="preserve">r</w:t>
      </w:r>
      <w:r>
        <w:t xml:space="preserve">-final word? Since</w:t>
      </w:r>
      <w:r>
        <w:t xml:space="preserve"> </w:t>
      </w:r>
      <w:r>
        <w:t xml:space="preserve">“</w:t>
      </w:r>
      <w:r>
        <w:t xml:space="preserve">antādivac ca</w:t>
      </w:r>
      <w:r>
        <w:t xml:space="preserve">”</w:t>
      </w:r>
      <w:r>
        <w:t xml:space="preserve"> </w:t>
      </w:r>
      <w:r>
        <w:t xml:space="preserve">(Pā. sū. 6-1-85) says a single substitute is like the end of what precedes and like the beginning of what follows, here we resort to its being like the beginning of what follows, as the intended form requires. Since there is the bar</w:t>
      </w:r>
      <w:r>
        <w:t xml:space="preserve"> </w:t>
      </w:r>
      <w:r>
        <w:t xml:space="preserve">“</w:t>
      </w:r>
      <w:r>
        <w:rPr>
          <w:iCs/>
          <w:i/>
        </w:rPr>
        <w:t xml:space="preserve">ubhayata āśrayaṇe nāntādivat</w:t>
      </w:r>
      <w:r>
        <w:t xml:space="preserve">”</w:t>
      </w:r>
      <w:r>
        <w:t xml:space="preserve">, being like the end of the former and like the beginning of the latter cannot both be stated at once. So for the single substitute in the form of</w:t>
      </w:r>
      <w:r>
        <w:t xml:space="preserve"> </w:t>
      </w:r>
      <w:r>
        <w:rPr>
          <w:iCs/>
          <w:i/>
        </w:rPr>
        <w:t xml:space="preserve">guṇa</w:t>
      </w:r>
      <w:r>
        <w:t xml:space="preserve">, what follows is the</w:t>
      </w:r>
      <w:r>
        <w:t xml:space="preserve"> </w:t>
      </w:r>
      <w:r>
        <w:rPr>
          <w:iCs/>
          <w:i/>
        </w:rPr>
        <w:t xml:space="preserve">i</w:t>
      </w:r>
      <w:r>
        <w:t xml:space="preserve">; it is like its beginning, so it becomes like the</w:t>
      </w:r>
      <w:r>
        <w:t xml:space="preserve"> </w:t>
      </w:r>
      <w:r>
        <w:rPr>
          <w:iCs/>
          <w:i/>
        </w:rPr>
        <w:t xml:space="preserve">i</w:t>
      </w:r>
    </w:p>
    <w:bookmarkEnd w:id="835"/>
    <w:bookmarkStart w:id="836" w:name="page-758-rik-2-grammar"/>
    <w:p>
      <w:pPr>
        <w:pStyle w:val="Heading3"/>
      </w:pPr>
      <w:r>
        <w:t xml:space="preserve">Page 758 — Rik 2: grammar</w:t>
      </w:r>
    </w:p>
    <w:p>
      <w:pPr>
        <w:pStyle w:val="FirstParagraph"/>
      </w:pPr>
      <w:r>
        <w:t xml:space="preserve">itself. So if it is said that following an</w:t>
      </w:r>
      <w:r>
        <w:t xml:space="preserve"> </w:t>
      </w:r>
      <w:r>
        <w:rPr>
          <w:iCs/>
          <w:i/>
        </w:rPr>
        <w:t xml:space="preserve">i</w:t>
      </w:r>
      <w:r>
        <w:t xml:space="preserve"> </w:t>
      </w:r>
      <w:r>
        <w:t xml:space="preserve">is possible, that cannot be said, because</w:t>
      </w:r>
      <w:r>
        <w:t xml:space="preserve"> </w:t>
      </w:r>
      <w:r>
        <w:rPr>
          <w:iCs/>
          <w:i/>
        </w:rPr>
        <w:t xml:space="preserve">i</w:t>
      </w:r>
      <w:r>
        <w:t xml:space="preserve">-ness is a property residing in a letter alone. So, since</w:t>
      </w:r>
      <w:r>
        <w:t xml:space="preserve"> </w:t>
      </w:r>
      <w:r>
        <w:rPr>
          <w:iCs/>
          <w:i/>
        </w:rPr>
        <w:t xml:space="preserve">na vā atādrūpyātideśāt</w:t>
      </w:r>
      <w:r>
        <w:t xml:space="preserve"> </w:t>
      </w:r>
      <w:r>
        <w:t xml:space="preserve">[is said], there is no need to make the statement that, in a rule depending on letters, being like the end or the beginning does not come; for in</w:t>
      </w:r>
      <w:r>
        <w:t xml:space="preserve"> </w:t>
      </w:r>
      <w:r>
        <w:rPr>
          <w:iCs/>
          <w:i/>
        </w:rPr>
        <w:t xml:space="preserve">na vā atādrūpyātideśāt</w:t>
      </w:r>
      <w:r>
        <w:t xml:space="preserve">,</w:t>
      </w:r>
      <w:r>
        <w:t xml:space="preserve"> </w:t>
      </w:r>
      <w:r>
        <w:rPr>
          <w:iCs/>
          <w:i/>
        </w:rPr>
        <w:t xml:space="preserve">tādrūpya</w:t>
      </w:r>
      <w:r>
        <w:t xml:space="preserve"> </w:t>
      </w:r>
      <w:r>
        <w:t xml:space="preserve">means a property residing in a letter, and the extension does not come from this sūtra at all; since it is said that the statement mentioned before need not be begun, the extension by</w:t>
      </w:r>
      <w:r>
        <w:t xml:space="preserve"> </w:t>
      </w:r>
      <w:r>
        <w:rPr>
          <w:iCs/>
          <w:i/>
        </w:rPr>
        <w:t xml:space="preserve">antādivac ca</w:t>
      </w:r>
      <w:r>
        <w:t xml:space="preserve"> </w:t>
      </w:r>
      <w:r>
        <w:t xml:space="preserve">does not come for the letter-property</w:t>
      </w:r>
      <w:r>
        <w:t xml:space="preserve"> </w:t>
      </w:r>
      <w:r>
        <w:rPr>
          <w:iCs/>
          <w:i/>
        </w:rPr>
        <w:t xml:space="preserve">i</w:t>
      </w:r>
      <w:r>
        <w:t xml:space="preserve">-ness. If the extension</w:t>
      </w:r>
      <w:r>
        <w:t xml:space="preserve"> </w:t>
      </w:r>
      <w:r>
        <w:rPr>
          <w:iCs/>
          <w:i/>
        </w:rPr>
        <w:t xml:space="preserve">antādivac ca</w:t>
      </w:r>
      <w:r>
        <w:t xml:space="preserve"> </w:t>
      </w:r>
      <w:r>
        <w:t xml:space="preserve">were admitted in a rule depending on letters, the substitute</w:t>
      </w:r>
      <w:r>
        <w:t xml:space="preserve"> </w:t>
      </w:r>
      <w:r>
        <w:rPr>
          <w:iCs/>
          <w:i/>
        </w:rPr>
        <w:t xml:space="preserve">ais</w:t>
      </w:r>
      <w:r>
        <w:t xml:space="preserve"> </w:t>
      </w:r>
      <w:r>
        <w:t xml:space="preserve">would have to come in</w:t>
      </w:r>
      <w:r>
        <w:t xml:space="preserve"> </w:t>
      </w:r>
      <w:r>
        <w:rPr>
          <w:iCs/>
          <w:i/>
        </w:rPr>
        <w:t xml:space="preserve">khaṭvābhiḥ</w:t>
      </w:r>
      <w:r>
        <w:t xml:space="preserve">: for after the word</w:t>
      </w:r>
      <w:r>
        <w:t xml:space="preserve"> </w:t>
      </w:r>
      <w:r>
        <w:rPr>
          <w:iCs/>
          <w:i/>
        </w:rPr>
        <w:t xml:space="preserve">khaṭvā</w:t>
      </w:r>
      <w:r>
        <w:t xml:space="preserve">,</w:t>
      </w:r>
      <w:r>
        <w:t xml:space="preserve"> </w:t>
      </w:r>
      <w:r>
        <w:rPr>
          <w:iCs/>
          <w:i/>
        </w:rPr>
        <w:t xml:space="preserve">ṭāp</w:t>
      </w:r>
      <w:r>
        <w:t xml:space="preserve">, lengthening of like vowels:</w:t>
      </w:r>
      <w:r>
        <w:t xml:space="preserve"> </w:t>
      </w:r>
      <w:r>
        <w:rPr>
          <w:iCs/>
          <w:i/>
        </w:rPr>
        <w:t xml:space="preserve">khaṭvā</w:t>
      </w:r>
      <w:r>
        <w:t xml:space="preserve">. Though this does not end in short</w:t>
      </w:r>
      <w:r>
        <w:t xml:space="preserve"> </w:t>
      </w:r>
      <w:r>
        <w:rPr>
          <w:iCs/>
          <w:i/>
        </w:rPr>
        <w:t xml:space="preserve">a</w:t>
      </w:r>
      <w:r>
        <w:t xml:space="preserve">, the letter before the single substitute is short; so by being like the end of the former, the</w:t>
      </w:r>
      <w:r>
        <w:t xml:space="preserve"> </w:t>
      </w:r>
      <w:r>
        <w:rPr>
          <w:iCs/>
          <w:i/>
        </w:rPr>
        <w:t xml:space="preserve">a</w:t>
      </w:r>
      <w:r>
        <w:t xml:space="preserve">-ness of the former letter comes to the single substitute. So, since</w:t>
      </w:r>
      <w:r>
        <w:t xml:space="preserve"> </w:t>
      </w:r>
      <w:r>
        <w:rPr>
          <w:iCs/>
          <w:i/>
        </w:rPr>
        <w:t xml:space="preserve">bhis</w:t>
      </w:r>
      <w:r>
        <w:t xml:space="preserve"> </w:t>
      </w:r>
      <w:r>
        <w:t xml:space="preserve">follows a short-</w:t>
      </w:r>
      <w:r>
        <w:rPr>
          <w:iCs/>
          <w:i/>
        </w:rPr>
        <w:t xml:space="preserve">a</w:t>
      </w:r>
      <w:r>
        <w:t xml:space="preserve">-final, the substitute</w:t>
      </w:r>
      <w:r>
        <w:t xml:space="preserve"> </w:t>
      </w:r>
      <w:r>
        <w:rPr>
          <w:iCs/>
          <w:i/>
        </w:rPr>
        <w:t xml:space="preserve">ais</w:t>
      </w:r>
      <w:r>
        <w:t xml:space="preserve"> </w:t>
      </w:r>
      <w:r>
        <w:t xml:space="preserve">would have to come by</w:t>
      </w:r>
      <w:r>
        <w:t xml:space="preserve"> </w:t>
      </w:r>
      <w:r>
        <w:t xml:space="preserve">“</w:t>
      </w:r>
      <w:r>
        <w:t xml:space="preserve">ato bhisa ais</w:t>
      </w:r>
      <w:r>
        <w:t xml:space="preserve">”</w:t>
      </w:r>
      <w:r>
        <w:t xml:space="preserve"> </w:t>
      </w:r>
      <w:r>
        <w:t xml:space="preserve">(Pā. sū. 7-1-9). So when an operation depending on letters is made, being like the beginning does not come. In</w:t>
      </w:r>
      <w:r>
        <w:t xml:space="preserve"> </w:t>
      </w:r>
      <w:r>
        <w:rPr>
          <w:iCs/>
          <w:i/>
        </w:rPr>
        <w:t xml:space="preserve">are</w:t>
      </w:r>
      <w:r>
        <w:t xml:space="preserve"> </w:t>
      </w:r>
      <w:r>
        <w:t xml:space="preserve">+</w:t>
      </w:r>
      <w:r>
        <w:t xml:space="preserve"> </w:t>
      </w:r>
      <w:r>
        <w:rPr>
          <w:iCs/>
          <w:i/>
        </w:rPr>
        <w:t xml:space="preserve">mat</w:t>
      </w:r>
      <w:r>
        <w:t xml:space="preserve"> </w:t>
      </w:r>
      <w:r>
        <w:t xml:space="preserve">there is no following an</w:t>
      </w:r>
      <w:r>
        <w:t xml:space="preserve"> </w:t>
      </w:r>
      <w:r>
        <w:rPr>
          <w:iCs/>
          <w:i/>
        </w:rPr>
        <w:t xml:space="preserve">i</w:t>
      </w:r>
      <w:r>
        <w:t xml:space="preserve">-final; how then does the</w:t>
      </w:r>
      <w:r>
        <w:t xml:space="preserve"> </w:t>
      </w:r>
      <w:r>
        <w:rPr>
          <w:iCs/>
          <w:i/>
        </w:rPr>
        <w:t xml:space="preserve">v</w:t>
      </w:r>
      <w:r>
        <w:t xml:space="preserve"> </w:t>
      </w:r>
      <w:r>
        <w:t xml:space="preserve">come? For this we say that the</w:t>
      </w:r>
      <w:r>
        <w:t xml:space="preserve"> </w:t>
      </w:r>
      <w:r>
        <w:rPr>
          <w:iCs/>
          <w:i/>
        </w:rPr>
        <w:t xml:space="preserve">v</w:t>
      </w:r>
      <w:r>
        <w:t xml:space="preserve">, being an exception, comes earlier than the</w:t>
      </w:r>
      <w:r>
        <w:t xml:space="preserve"> </w:t>
      </w:r>
      <w:r>
        <w:rPr>
          <w:iCs/>
          <w:i/>
        </w:rPr>
        <w:t xml:space="preserve">antaraṅga</w:t>
      </w:r>
      <w:r>
        <w:t xml:space="preserve">. For</w:t>
      </w:r>
      <w:r>
        <w:t xml:space="preserve"> </w:t>
      </w:r>
      <w:r>
        <w:rPr>
          <w:iCs/>
          <w:i/>
        </w:rPr>
        <w:t xml:space="preserve">niravakāśo vidhir apavādaḥ</w:t>
      </w:r>
      <w:r>
        <w:t xml:space="preserve">: scope means some application in an instance; if that is not found, the rule is an exception. Here, if</w:t>
      </w:r>
      <w:r>
        <w:t xml:space="preserve"> </w:t>
      </w:r>
      <w:r>
        <w:rPr>
          <w:iCs/>
          <w:i/>
        </w:rPr>
        <w:t xml:space="preserve">guṇa</w:t>
      </w:r>
      <w:r>
        <w:t xml:space="preserve"> </w:t>
      </w:r>
      <w:r>
        <w:t xml:space="preserve">comes before the</w:t>
      </w:r>
      <w:r>
        <w:t xml:space="preserve"> </w:t>
      </w:r>
      <w:r>
        <w:rPr>
          <w:iCs/>
          <w:i/>
        </w:rPr>
        <w:t xml:space="preserve">v</w:t>
      </w:r>
      <w:r>
        <w:t xml:space="preserve">, it may happen so in the other places too. Since no other instance is found for it, we would call it an exception. Being an exception, we would say the</w:t>
      </w:r>
      <w:r>
        <w:t xml:space="preserve"> </w:t>
      </w:r>
      <w:r>
        <w:rPr>
          <w:iCs/>
          <w:i/>
        </w:rPr>
        <w:t xml:space="preserve">v</w:t>
      </w:r>
      <w:r>
        <w:t xml:space="preserve"> </w:t>
      </w:r>
      <w:r>
        <w:t xml:space="preserve">comes earlier than</w:t>
      </w:r>
      <w:r>
        <w:t xml:space="preserve"> </w:t>
      </w:r>
      <w:r>
        <w:rPr>
          <w:iCs/>
          <w:i/>
        </w:rPr>
        <w:t xml:space="preserve">guṇa</w:t>
      </w:r>
      <w:r>
        <w:t xml:space="preserve">; but that cannot be said, because it could be said only on the view in which the</w:t>
      </w:r>
      <w:r>
        <w:t xml:space="preserve"> </w:t>
      </w:r>
      <w:r>
        <w:rPr>
          <w:iCs/>
          <w:i/>
        </w:rPr>
        <w:t xml:space="preserve">v</w:t>
      </w:r>
      <w:r>
        <w:t xml:space="preserve"> </w:t>
      </w:r>
      <w:r>
        <w:t xml:space="preserve">rule is wholly useless. But the</w:t>
      </w:r>
      <w:r>
        <w:t xml:space="preserve"> </w:t>
      </w:r>
      <w:r>
        <w:rPr>
          <w:iCs/>
          <w:i/>
        </w:rPr>
        <w:t xml:space="preserve">v</w:t>
      </w:r>
      <w:r>
        <w:t xml:space="preserve"> </w:t>
      </w:r>
      <w:r>
        <w:t xml:space="preserve">rule has scope in</w:t>
      </w:r>
      <w:r>
        <w:t xml:space="preserve"> </w:t>
      </w:r>
      <w:r>
        <w:rPr>
          <w:iCs/>
          <w:i/>
        </w:rPr>
        <w:t xml:space="preserve">agnivān</w:t>
      </w:r>
      <w:r>
        <w:t xml:space="preserve"> </w:t>
      </w:r>
      <w:r>
        <w:t xml:space="preserve">and</w:t>
      </w:r>
      <w:r>
        <w:t xml:space="preserve"> </w:t>
      </w:r>
      <w:r>
        <w:rPr>
          <w:iCs/>
          <w:i/>
        </w:rPr>
        <w:t xml:space="preserve">harivaḥ</w:t>
      </w:r>
      <w:r>
        <w:t xml:space="preserve"> </w:t>
      </w:r>
      <w:r>
        <w:t xml:space="preserve">in the mantras</w:t>
      </w:r>
      <w:r>
        <w:t xml:space="preserve"> </w:t>
      </w:r>
      <w:r>
        <w:t xml:space="preserve">“</w:t>
      </w:r>
      <w:r>
        <w:t xml:space="preserve">agnivān vaidarbhaḥ stambaḥ</w:t>
      </w:r>
      <w:r>
        <w:t xml:space="preserve">”</w:t>
      </w:r>
      <w:r>
        <w:t xml:space="preserve"> </w:t>
      </w:r>
      <w:r>
        <w:t xml:space="preserve">(Tai. Brā.</w:t>
      </w:r>
      <w:r>
        <w:t xml:space="preserve"> </w:t>
      </w:r>
      <w:r>
        <w:t xml:space="preserve">“</w:t>
      </w:r>
      <w:r>
        <w:t xml:space="preserve">2-2-1-5</w:t>
      </w:r>
      <w:r>
        <w:t xml:space="preserve">”</w:t>
      </w:r>
      <w:r>
        <w:t xml:space="preserve"> </w:t>
      </w:r>
      <w:r>
        <w:t xml:space="preserve">[?]) and</w:t>
      </w:r>
      <w:r>
        <w:t xml:space="preserve"> </w:t>
      </w:r>
      <w:r>
        <w:t xml:space="preserve">“</w:t>
      </w:r>
      <w:r>
        <w:t xml:space="preserve">upa brahmāṇi harivaḥ</w:t>
      </w:r>
      <w:r>
        <w:t xml:space="preserve">”</w:t>
      </w:r>
      <w:r>
        <w:t xml:space="preserve"> </w:t>
      </w:r>
      <w:r>
        <w:t xml:space="preserve">(Ṛ. saṃ. 10-104-6). So this is not an exception. For that reason too it cannot be said that the</w:t>
      </w:r>
      <w:r>
        <w:t xml:space="preserve"> </w:t>
      </w:r>
      <w:r>
        <w:rPr>
          <w:iCs/>
          <w:i/>
        </w:rPr>
        <w:t xml:space="preserve">v</w:t>
      </w:r>
      <w:r>
        <w:t xml:space="preserve"> </w:t>
      </w:r>
      <w:r>
        <w:t xml:space="preserve">comes first as an exception. So how</w:t>
      </w:r>
      <w:r>
        <w:t xml:space="preserve"> </w:t>
      </w:r>
      <w:r>
        <w:rPr>
          <w:iCs/>
          <w:i/>
        </w:rPr>
        <w:t xml:space="preserve">revān</w:t>
      </w:r>
      <w:r>
        <w:t xml:space="preserve"> </w:t>
      </w:r>
      <w:r>
        <w:t xml:space="preserve">is established: though what was said before is true, here, before</w:t>
      </w:r>
      <w:r>
        <w:t xml:space="preserve"> </w:t>
      </w:r>
      <w:r>
        <w:rPr>
          <w:iCs/>
          <w:i/>
        </w:rPr>
        <w:t xml:space="preserve">guṇa</w:t>
      </w:r>
      <w:r>
        <w:t xml:space="preserve"> </w:t>
      </w:r>
      <w:r>
        <w:t xml:space="preserve">comes, with</w:t>
      </w:r>
      <w:r>
        <w:t xml:space="preserve"> </w:t>
      </w:r>
      <w:r>
        <w:rPr>
          <w:iCs/>
          <w:i/>
        </w:rPr>
        <w:t xml:space="preserve">ra</w:t>
      </w:r>
      <w:r>
        <w:t xml:space="preserve"> </w:t>
      </w:r>
      <w:r>
        <w:t xml:space="preserve">+</w:t>
      </w:r>
      <w:r>
        <w:t xml:space="preserve"> </w:t>
      </w:r>
      <w:r>
        <w:rPr>
          <w:iCs/>
          <w:i/>
        </w:rPr>
        <w:t xml:space="preserve">i</w:t>
      </w:r>
      <w:r>
        <w:t xml:space="preserve"> </w:t>
      </w:r>
      <w:r>
        <w:t xml:space="preserve">+</w:t>
      </w:r>
      <w:r>
        <w:t xml:space="preserve"> </w:t>
      </w:r>
      <w:r>
        <w:rPr>
          <w:iCs/>
          <w:i/>
        </w:rPr>
        <w:t xml:space="preserve">mat</w:t>
      </w:r>
      <w:r>
        <w:t xml:space="preserve">, the</w:t>
      </w:r>
      <w:r>
        <w:t xml:space="preserve"> </w:t>
      </w:r>
      <w:r>
        <w:rPr>
          <w:iCs/>
          <w:i/>
        </w:rPr>
        <w:t xml:space="preserve">matup</w:t>
      </w:r>
      <w:r>
        <w:t xml:space="preserve"> </w:t>
      </w:r>
      <w:r>
        <w:t xml:space="preserve">stands after the</w:t>
      </w:r>
      <w:r>
        <w:t xml:space="preserve"> </w:t>
      </w:r>
      <w:r>
        <w:rPr>
          <w:iCs/>
          <w:i/>
        </w:rPr>
        <w:t xml:space="preserve">i</w:t>
      </w:r>
      <w:r>
        <w:t xml:space="preserve">; so, even if the</w:t>
      </w:r>
      <w:r>
        <w:t xml:space="preserve"> </w:t>
      </w:r>
      <w:r>
        <w:rPr>
          <w:iCs/>
          <w:i/>
        </w:rPr>
        <w:t xml:space="preserve">e</w:t>
      </w:r>
      <w:r>
        <w:t xml:space="preserve"> </w:t>
      </w:r>
      <w:r>
        <w:t xml:space="preserve">substitute comes later to the</w:t>
      </w:r>
      <w:r>
        <w:t xml:space="preserve"> </w:t>
      </w:r>
      <w:r>
        <w:rPr>
          <w:iCs/>
          <w:i/>
        </w:rPr>
        <w:t xml:space="preserve">matup</w:t>
      </w:r>
      <w:r>
        <w:t xml:space="preserve"> </w:t>
      </w:r>
      <w:r>
        <w:t xml:space="preserve">that once followed an</w:t>
      </w:r>
      <w:r>
        <w:t xml:space="preserve"> </w:t>
      </w:r>
      <w:r>
        <w:rPr>
          <w:iCs/>
          <w:i/>
        </w:rPr>
        <w:t xml:space="preserve">i</w:t>
      </w:r>
      <w:r>
        <w:t xml:space="preserve"> </w:t>
      </w:r>
      <w:r>
        <w:t xml:space="preserve">and there is no following an</w:t>
      </w:r>
      <w:r>
        <w:t xml:space="preserve"> </w:t>
      </w:r>
      <w:r>
        <w:rPr>
          <w:iCs/>
          <w:i/>
        </w:rPr>
        <w:t xml:space="preserve">i</w:t>
      </w:r>
      <w:r>
        <w:t xml:space="preserve">-final, the</w:t>
      </w:r>
      <w:r>
        <w:t xml:space="preserve"> </w:t>
      </w:r>
      <w:r>
        <w:rPr>
          <w:iCs/>
          <w:i/>
        </w:rPr>
        <w:t xml:space="preserve">v</w:t>
      </w:r>
      <w:r>
        <w:t xml:space="preserve"> </w:t>
      </w:r>
      <w:r>
        <w:t xml:space="preserve">comes; that is why the author, giving</w:t>
      </w:r>
      <w:r>
        <w:t xml:space="preserve"> </w:t>
      </w:r>
      <w:r>
        <w:rPr>
          <w:iCs/>
          <w:i/>
        </w:rPr>
        <w:t xml:space="preserve">harivaḥ</w:t>
      </w:r>
      <w:r>
        <w:t xml:space="preserve"> </w:t>
      </w:r>
      <w:r>
        <w:t xml:space="preserve">and other examples for</w:t>
      </w:r>
      <w:r>
        <w:t xml:space="preserve"> </w:t>
      </w:r>
      <w:r>
        <w:rPr>
          <w:iCs/>
          <w:i/>
        </w:rPr>
        <w:t xml:space="preserve">chandasīraḥ</w:t>
      </w:r>
      <w:r>
        <w:t xml:space="preserve">, also cited</w:t>
      </w:r>
      <w:r>
        <w:t xml:space="preserve"> </w:t>
      </w:r>
      <w:r>
        <w:rPr>
          <w:iCs/>
          <w:i/>
        </w:rPr>
        <w:t xml:space="preserve">ārevān</w:t>
      </w:r>
      <w:r>
        <w:t xml:space="preserve"> </w:t>
      </w:r>
      <w:r>
        <w:t xml:space="preserve">at the end. In</w:t>
      </w:r>
      <w:r>
        <w:t xml:space="preserve"> </w:t>
      </w:r>
      <w:r>
        <w:rPr>
          <w:iCs/>
          <w:i/>
        </w:rPr>
        <w:t xml:space="preserve">hrasvanuḍbhyāṃ matup</w:t>
      </w:r>
      <w:r>
        <w:t xml:space="preserve"> </w:t>
      </w:r>
      <w:r>
        <w:t xml:space="preserve">(Pā. sū. 6-1-176), there is the statement</w:t>
      </w:r>
      <w:r>
        <w:t xml:space="preserve"> </w:t>
      </w:r>
      <w:r>
        <w:t xml:space="preserve">“</w:t>
      </w:r>
      <w:r>
        <w:t xml:space="preserve">āreśabdāt matupaḥ</w:t>
      </w:r>
      <w:r>
        <w:t xml:space="preserve">”</w:t>
      </w:r>
      <w:r>
        <w:t xml:space="preserve"> </w:t>
      </w:r>
      <w:r>
        <w:t xml:space="preserve">(Pā. sū. Vā. 6-1-176-1), that a</w:t>
      </w:r>
      <w:r>
        <w:t xml:space="preserve"> </w:t>
      </w:r>
      <w:r>
        <w:rPr>
          <w:iCs/>
          <w:i/>
        </w:rPr>
        <w:t xml:space="preserve">matup</w:t>
      </w:r>
      <w:r>
        <w:t xml:space="preserve"> </w:t>
      </w:r>
      <w:r>
        <w:t xml:space="preserve">after the word</w:t>
      </w:r>
      <w:r>
        <w:t xml:space="preserve"> </w:t>
      </w:r>
      <w:r>
        <w:rPr>
          <w:iCs/>
          <w:i/>
        </w:rPr>
        <w:t xml:space="preserve">āre</w:t>
      </w:r>
      <w:r>
        <w:t xml:space="preserve"> </w:t>
      </w:r>
      <w:r>
        <w:t xml:space="preserve">is udātta. Here the word</w:t>
      </w:r>
      <w:r>
        <w:t xml:space="preserve"> </w:t>
      </w:r>
      <w:r>
        <w:rPr>
          <w:iCs/>
          <w:i/>
        </w:rPr>
        <w:t xml:space="preserve">āre</w:t>
      </w:r>
      <w:r>
        <w:t xml:space="preserve"> </w:t>
      </w:r>
      <w:r>
        <w:t xml:space="preserve">also stands for the word</w:t>
      </w:r>
      <w:r>
        <w:t xml:space="preserve"> </w:t>
      </w:r>
      <w:r>
        <w:rPr>
          <w:iCs/>
          <w:i/>
        </w:rPr>
        <w:t xml:space="preserve">re</w:t>
      </w:r>
      <w:r>
        <w:t xml:space="preserve">; the sense is that a</w:t>
      </w:r>
      <w:r>
        <w:t xml:space="preserve"> </w:t>
      </w:r>
      <w:r>
        <w:rPr>
          <w:iCs/>
          <w:i/>
        </w:rPr>
        <w:t xml:space="preserve">matup</w:t>
      </w:r>
      <w:r>
        <w:t xml:space="preserve"> </w:t>
      </w:r>
      <w:r>
        <w:t xml:space="preserve">after the word</w:t>
      </w:r>
      <w:r>
        <w:t xml:space="preserve"> </w:t>
      </w:r>
      <w:r>
        <w:rPr>
          <w:iCs/>
          <w:i/>
        </w:rPr>
        <w:t xml:space="preserve">re</w:t>
      </w:r>
      <w:r>
        <w:t xml:space="preserve"> </w:t>
      </w:r>
      <w:r>
        <w:t xml:space="preserve">should be taken as udātta too. That is why in places such as</w:t>
      </w:r>
      <w:r>
        <w:t xml:space="preserve"> </w:t>
      </w:r>
      <w:r>
        <w:rPr>
          <w:iCs/>
          <w:i/>
        </w:rPr>
        <w:t xml:space="preserve">revām̐ indra</w:t>
      </w:r>
      <w:r>
        <w:t xml:space="preserve"> </w:t>
      </w:r>
      <w:r>
        <w:t xml:space="preserve">the</w:t>
      </w:r>
      <w:r>
        <w:t xml:space="preserve"> </w:t>
      </w:r>
      <w:r>
        <w:rPr>
          <w:iCs/>
          <w:i/>
        </w:rPr>
        <w:t xml:space="preserve">matup</w:t>
      </w:r>
      <w:r>
        <w:t xml:space="preserve"> </w:t>
      </w:r>
      <w:r>
        <w:t xml:space="preserve">is udātta. Or, in</w:t>
      </w:r>
      <w:r>
        <w:t xml:space="preserve"> </w:t>
      </w:r>
      <w:r>
        <w:rPr>
          <w:iCs/>
          <w:i/>
        </w:rPr>
        <w:t xml:space="preserve">hrasvamaḍbhyāṃ matup</w:t>
      </w:r>
      <w:r>
        <w:t xml:space="preserve"> </w:t>
      </w:r>
      <w:r>
        <w:t xml:space="preserve">[as printed]</w:t>
      </w:r>
    </w:p>
    <w:bookmarkEnd w:id="836"/>
    <w:bookmarkStart w:id="837" w:name="page-759-upper-rik-2-grammar-end"/>
    <w:p>
      <w:pPr>
        <w:pStyle w:val="Heading3"/>
      </w:pPr>
      <w:r>
        <w:t xml:space="preserve">Page 759 (upper) — Rik 2: grammar (end)</w:t>
      </w:r>
    </w:p>
    <w:p>
      <w:pPr>
        <w:pStyle w:val="FirstParagraph"/>
      </w:pPr>
      <w:r>
        <w:t xml:space="preserve">too the meaning to be stated is that a</w:t>
      </w:r>
      <w:r>
        <w:t xml:space="preserve"> </w:t>
      </w:r>
      <w:r>
        <w:rPr>
          <w:iCs/>
          <w:i/>
        </w:rPr>
        <w:t xml:space="preserve">matup</w:t>
      </w:r>
      <w:r>
        <w:t xml:space="preserve"> </w:t>
      </w:r>
      <w:r>
        <w:t xml:space="preserve">that once followed a short-final is udātta. So, whether when the word</w:t>
      </w:r>
      <w:r>
        <w:t xml:space="preserve"> </w:t>
      </w:r>
      <w:r>
        <w:rPr>
          <w:iCs/>
          <w:i/>
        </w:rPr>
        <w:t xml:space="preserve">rayi</w:t>
      </w:r>
      <w:r>
        <w:t xml:space="preserve"> </w:t>
      </w:r>
      <w:r>
        <w:t xml:space="preserve">precedes, or when, after the</w:t>
      </w:r>
      <w:r>
        <w:t xml:space="preserve"> </w:t>
      </w:r>
      <w:r>
        <w:rPr>
          <w:iCs/>
          <w:i/>
        </w:rPr>
        <w:t xml:space="preserve">saṃprasāraṇa</w:t>
      </w:r>
      <w:r>
        <w:t xml:space="preserve"> </w:t>
      </w:r>
      <w:r>
        <w:t xml:space="preserve">and</w:t>
      </w:r>
      <w:r>
        <w:t xml:space="preserve"> </w:t>
      </w:r>
      <w:r>
        <w:rPr>
          <w:iCs/>
          <w:i/>
        </w:rPr>
        <w:t xml:space="preserve">pūrvarūpa</w:t>
      </w:r>
      <w:r>
        <w:t xml:space="preserve"> </w:t>
      </w:r>
      <w:r>
        <w:t xml:space="preserve">of</w:t>
      </w:r>
      <w:r>
        <w:t xml:space="preserve"> </w:t>
      </w:r>
      <w:r>
        <w:rPr>
          <w:iCs/>
          <w:i/>
        </w:rPr>
        <w:t xml:space="preserve">y</w:t>
      </w:r>
      <w:r>
        <w:t xml:space="preserve">, it stands as</w:t>
      </w:r>
      <w:r>
        <w:t xml:space="preserve"> </w:t>
      </w:r>
      <w:r>
        <w:rPr>
          <w:iCs/>
          <w:i/>
        </w:rPr>
        <w:t xml:space="preserve">ra</w:t>
      </w:r>
      <w:r>
        <w:t xml:space="preserve"> </w:t>
      </w:r>
      <w:r>
        <w:t xml:space="preserve">+</w:t>
      </w:r>
      <w:r>
        <w:t xml:space="preserve"> </w:t>
      </w:r>
      <w:r>
        <w:rPr>
          <w:iCs/>
          <w:i/>
        </w:rPr>
        <w:t xml:space="preserve">i</w:t>
      </w:r>
      <w:r>
        <w:t xml:space="preserve"> </w:t>
      </w:r>
      <w:r>
        <w:t xml:space="preserve">+</w:t>
      </w:r>
      <w:r>
        <w:t xml:space="preserve"> </w:t>
      </w:r>
      <w:r>
        <w:rPr>
          <w:iCs/>
          <w:i/>
        </w:rPr>
        <w:t xml:space="preserve">mat</w:t>
      </w:r>
      <w:r>
        <w:t xml:space="preserve"> </w:t>
      </w:r>
      <w:r>
        <w:t xml:space="preserve">before</w:t>
      </w:r>
      <w:r>
        <w:t xml:space="preserve"> </w:t>
      </w:r>
      <w:r>
        <w:rPr>
          <w:iCs/>
          <w:i/>
        </w:rPr>
        <w:t xml:space="preserve">guṇa</w:t>
      </w:r>
      <w:r>
        <w:t xml:space="preserve"> </w:t>
      </w:r>
      <w:r>
        <w:t xml:space="preserve">comes, the</w:t>
      </w:r>
      <w:r>
        <w:t xml:space="preserve"> </w:t>
      </w:r>
      <w:r>
        <w:rPr>
          <w:iCs/>
          <w:i/>
        </w:rPr>
        <w:t xml:space="preserve">matup</w:t>
      </w:r>
      <w:r>
        <w:t xml:space="preserve"> </w:t>
      </w:r>
      <w:r>
        <w:t xml:space="preserve">follows a short-final; so in all instances,</w:t>
      </w:r>
      <w:r>
        <w:t xml:space="preserve"> </w:t>
      </w:r>
      <w:r>
        <w:rPr>
          <w:iCs/>
          <w:i/>
        </w:rPr>
        <w:t xml:space="preserve">revān</w:t>
      </w:r>
      <w:r>
        <w:t xml:space="preserve">,</w:t>
      </w:r>
      <w:r>
        <w:t xml:space="preserve"> </w:t>
      </w:r>
      <w:r>
        <w:rPr>
          <w:iCs/>
          <w:i/>
        </w:rPr>
        <w:t xml:space="preserve">ārevān</w:t>
      </w:r>
      <w:r>
        <w:t xml:space="preserve"> </w:t>
      </w:r>
      <w:r>
        <w:t xml:space="preserve">and the rest, the udātta accent of the</w:t>
      </w:r>
      <w:r>
        <w:t xml:space="preserve"> </w:t>
      </w:r>
      <w:r>
        <w:rPr>
          <w:iCs/>
          <w:i/>
        </w:rPr>
        <w:t xml:space="preserve">matup</w:t>
      </w:r>
      <w:r>
        <w:t xml:space="preserve"> </w:t>
      </w:r>
      <w:r>
        <w:t xml:space="preserve">is established. This is what the sūtrakāra intended; the vārttikakāra explained just this. So in</w:t>
      </w:r>
      <w:r>
        <w:t xml:space="preserve"> </w:t>
      </w:r>
      <w:r>
        <w:rPr>
          <w:iCs/>
          <w:i/>
        </w:rPr>
        <w:t xml:space="preserve">revān</w:t>
      </w:r>
      <w:r>
        <w:t xml:space="preserve"> </w:t>
      </w:r>
      <w:r>
        <w:t xml:space="preserve">both the</w:t>
      </w:r>
      <w:r>
        <w:t xml:space="preserve"> </w:t>
      </w:r>
      <w:r>
        <w:rPr>
          <w:iCs/>
          <w:i/>
        </w:rPr>
        <w:t xml:space="preserve">v</w:t>
      </w:r>
      <w:r>
        <w:t xml:space="preserve"> </w:t>
      </w:r>
      <w:r>
        <w:t xml:space="preserve">and the accent are established. If</w:t>
      </w:r>
      <w:r>
        <w:t xml:space="preserve"> </w:t>
      </w:r>
      <w:r>
        <w:rPr>
          <w:iCs/>
          <w:i/>
        </w:rPr>
        <w:t xml:space="preserve">chandasīraḥ</w:t>
      </w:r>
      <w:r>
        <w:t xml:space="preserve"> </w:t>
      </w:r>
      <w:r>
        <w:t xml:space="preserve">is explained as in the previous mantra, that the</w:t>
      </w:r>
      <w:r>
        <w:t xml:space="preserve"> </w:t>
      </w:r>
      <w:r>
        <w:rPr>
          <w:iCs/>
          <w:i/>
        </w:rPr>
        <w:t xml:space="preserve">m</w:t>
      </w:r>
      <w:r>
        <w:t xml:space="preserve"> </w:t>
      </w:r>
      <w:r>
        <w:t xml:space="preserve">of a</w:t>
      </w:r>
      <w:r>
        <w:t xml:space="preserve"> </w:t>
      </w:r>
      <w:r>
        <w:rPr>
          <w:iCs/>
          <w:i/>
        </w:rPr>
        <w:t xml:space="preserve">matup</w:t>
      </w:r>
      <w:r>
        <w:t xml:space="preserve"> </w:t>
      </w:r>
      <w:r>
        <w:t xml:space="preserve">enjoined after an</w:t>
      </w:r>
      <w:r>
        <w:t xml:space="preserve"> </w:t>
      </w:r>
      <w:r>
        <w:rPr>
          <w:iCs/>
          <w:i/>
        </w:rPr>
        <w:t xml:space="preserve">i</w:t>
      </w:r>
      <w:r>
        <w:t xml:space="preserve">-final or</w:t>
      </w:r>
      <w:r>
        <w:t xml:space="preserve"> </w:t>
      </w:r>
      <w:r>
        <w:rPr>
          <w:iCs/>
          <w:i/>
        </w:rPr>
        <w:t xml:space="preserve">r</w:t>
      </w:r>
      <w:r>
        <w:t xml:space="preserve">-final word takes</w:t>
      </w:r>
      <w:r>
        <w:t xml:space="preserve"> </w:t>
      </w:r>
      <w:r>
        <w:rPr>
          <w:iCs/>
          <w:i/>
        </w:rPr>
        <w:t xml:space="preserve">v</w:t>
      </w:r>
      <w:r>
        <w:t xml:space="preserve">, then even though there is no</w:t>
      </w:r>
      <w:r>
        <w:t xml:space="preserve"> </w:t>
      </w:r>
      <w:r>
        <w:rPr>
          <w:iCs/>
          <w:i/>
        </w:rPr>
        <w:t xml:space="preserve">i</w:t>
      </w:r>
      <w:r>
        <w:t xml:space="preserve"> </w:t>
      </w:r>
      <w:r>
        <w:t xml:space="preserve">after</w:t>
      </w:r>
      <w:r>
        <w:t xml:space="preserve"> </w:t>
      </w:r>
      <w:r>
        <w:rPr>
          <w:iCs/>
          <w:i/>
        </w:rPr>
        <w:t xml:space="preserve">guṇa</w:t>
      </w:r>
      <w:r>
        <w:t xml:space="preserve">, the</w:t>
      </w:r>
      <w:r>
        <w:t xml:space="preserve"> </w:t>
      </w:r>
      <w:r>
        <w:rPr>
          <w:iCs/>
          <w:i/>
        </w:rPr>
        <w:t xml:space="preserve">matup</w:t>
      </w:r>
      <w:r>
        <w:t xml:space="preserve"> </w:t>
      </w:r>
      <w:r>
        <w:t xml:space="preserve">is enjoined after the word</w:t>
      </w:r>
      <w:r>
        <w:t xml:space="preserve"> </w:t>
      </w:r>
      <w:r>
        <w:rPr>
          <w:iCs/>
          <w:i/>
        </w:rPr>
        <w:t xml:space="preserve">rayi</w:t>
      </w:r>
      <w:r>
        <w:t xml:space="preserve">; since it is enjoined after an</w:t>
      </w:r>
      <w:r>
        <w:t xml:space="preserve"> </w:t>
      </w:r>
      <w:r>
        <w:rPr>
          <w:iCs/>
          <w:i/>
        </w:rPr>
        <w:t xml:space="preserve">i</w:t>
      </w:r>
      <w:r>
        <w:t xml:space="preserve">-final, there is no obstacle at all to the</w:t>
      </w:r>
      <w:r>
        <w:t xml:space="preserve"> </w:t>
      </w:r>
      <w:r>
        <w:rPr>
          <w:iCs/>
          <w:i/>
        </w:rPr>
        <w:t xml:space="preserve">v</w:t>
      </w:r>
      <w:r>
        <w:t xml:space="preserve">. In</w:t>
      </w:r>
      <w:r>
        <w:t xml:space="preserve"> </w:t>
      </w:r>
      <w:r>
        <w:rPr>
          <w:iCs/>
          <w:i/>
        </w:rPr>
        <w:t xml:space="preserve">hrasvanuḍbhyām</w:t>
      </w:r>
      <w:r>
        <w:t xml:space="preserve"> </w:t>
      </w:r>
      <w:r>
        <w:t xml:space="preserve">the Bhāṣya has the vārttika</w:t>
      </w:r>
      <w:r>
        <w:t xml:space="preserve"> </w:t>
      </w:r>
      <w:r>
        <w:t xml:space="preserve">“</w:t>
      </w:r>
      <w:r>
        <w:rPr>
          <w:iCs/>
          <w:i/>
        </w:rPr>
        <w:t xml:space="preserve">reśabdāc ca</w:t>
      </w:r>
      <w:r>
        <w:t xml:space="preserve">”</w:t>
      </w:r>
      <w:r>
        <w:t xml:space="preserve">. So there is no room at all for explaining</w:t>
      </w:r>
      <w:r>
        <w:t xml:space="preserve"> </w:t>
      </w:r>
      <w:r>
        <w:rPr>
          <w:iCs/>
          <w:i/>
        </w:rPr>
        <w:t xml:space="preserve">āre</w:t>
      </w:r>
      <w:r>
        <w:t xml:space="preserve"> </w:t>
      </w:r>
      <w:r>
        <w:t xml:space="preserve">as standing for something.</w:t>
      </w:r>
    </w:p>
    <w:p>
      <w:pPr>
        <w:pStyle w:val="BodyText"/>
      </w:pPr>
      <w:r>
        <w:rPr>
          <w:bCs/>
          <w:b/>
        </w:rPr>
        <w:t xml:space="preserve">अमीवहा (</w:t>
      </w:r>
      <w:r>
        <w:rPr>
          <w:iCs/>
          <w:i/>
          <w:bCs/>
          <w:b/>
        </w:rPr>
        <w:t xml:space="preserve">amīvahā</w:t>
      </w:r>
      <w:r>
        <w:rPr>
          <w:bCs/>
          <w:b/>
        </w:rPr>
        <w:t xml:space="preserve">)</w:t>
      </w:r>
      <w:r>
        <w:t xml:space="preserve">: the root</w:t>
      </w:r>
      <w:r>
        <w:t xml:space="preserve"> </w:t>
      </w:r>
      <w:r>
        <w:rPr>
          <w:iCs/>
          <w:i/>
        </w:rPr>
        <w:t xml:space="preserve">ama roge</w:t>
      </w:r>
      <w:r>
        <w:t xml:space="preserve">. By</w:t>
      </w:r>
      <w:r>
        <w:t xml:space="preserve"> </w:t>
      </w:r>
      <w:r>
        <w:t xml:space="preserve">“</w:t>
      </w:r>
      <w:r>
        <w:t xml:space="preserve">śevayahva…</w:t>
      </w:r>
      <w:r>
        <w:t xml:space="preserve">”</w:t>
      </w:r>
      <w:r>
        <w:t xml:space="preserve"> </w:t>
      </w:r>
      <w:r>
        <w:t xml:space="preserve">(Uṇ. sū.</w:t>
      </w:r>
      <w:r>
        <w:t xml:space="preserve"> </w:t>
      </w:r>
      <w:r>
        <w:t xml:space="preserve">“</w:t>
      </w:r>
      <w:r>
        <w:t xml:space="preserve">1-153</w:t>
      </w:r>
      <w:r>
        <w:t xml:space="preserve">”</w:t>
      </w:r>
      <w:r>
        <w:t xml:space="preserve"> </w:t>
      </w:r>
      <w:r>
        <w:t xml:space="preserve">[?]) the suffix</w:t>
      </w:r>
      <w:r>
        <w:t xml:space="preserve"> </w:t>
      </w:r>
      <w:r>
        <w:rPr>
          <w:iCs/>
          <w:i/>
        </w:rPr>
        <w:t xml:space="preserve">van</w:t>
      </w:r>
      <w:r>
        <w:t xml:space="preserve"> </w:t>
      </w:r>
      <w:r>
        <w:t xml:space="preserve">after the root</w:t>
      </w:r>
      <w:r>
        <w:t xml:space="preserve"> </w:t>
      </w:r>
      <w:r>
        <w:rPr>
          <w:iCs/>
          <w:i/>
        </w:rPr>
        <w:t xml:space="preserve">am</w:t>
      </w:r>
      <w:r>
        <w:t xml:space="preserve"> </w:t>
      </w:r>
      <w:r>
        <w:t xml:space="preserve">and the augment</w:t>
      </w:r>
      <w:r>
        <w:t xml:space="preserve"> </w:t>
      </w:r>
      <w:r>
        <w:rPr>
          <w:iCs/>
          <w:i/>
        </w:rPr>
        <w:t xml:space="preserve">īṭ</w:t>
      </w:r>
      <w:r>
        <w:t xml:space="preserve"> </w:t>
      </w:r>
      <w:r>
        <w:t xml:space="preserve">for it are given ready-made.</w:t>
      </w:r>
      <w:r>
        <w:t xml:space="preserve"> </w:t>
      </w:r>
      <w:r>
        <w:rPr>
          <w:iCs/>
          <w:i/>
        </w:rPr>
        <w:t xml:space="preserve">Amīvaṃ hanti</w:t>
      </w:r>
      <w:r>
        <w:t xml:space="preserve">: being meant, though another</w:t>
      </w:r>
      <w:r>
        <w:t xml:space="preserve"> </w:t>
      </w:r>
      <w:r>
        <w:rPr>
          <w:iCs/>
          <w:i/>
        </w:rPr>
        <w:t xml:space="preserve">upapada</w:t>
      </w:r>
      <w:r>
        <w:t xml:space="preserve"> </w:t>
      </w:r>
      <w:r>
        <w:t xml:space="preserve">is connected, by</w:t>
      </w:r>
      <w:r>
        <w:t xml:space="preserve"> </w:t>
      </w:r>
      <w:r>
        <w:t xml:space="preserve">“</w:t>
      </w:r>
      <w:r>
        <w:t xml:space="preserve">bahulaṃ chandasi</w:t>
      </w:r>
      <w:r>
        <w:t xml:space="preserve">”</w:t>
      </w:r>
      <w:r>
        <w:t xml:space="preserve"> </w:t>
      </w:r>
      <w:r>
        <w:t xml:space="preserve">(Pā. sū. 3-2-88)</w:t>
      </w:r>
      <w:r>
        <w:t xml:space="preserve"> </w:t>
      </w:r>
      <w:r>
        <w:rPr>
          <w:iCs/>
          <w:i/>
        </w:rPr>
        <w:t xml:space="preserve">kvip</w:t>
      </w:r>
      <w:r>
        <w:t xml:space="preserve"> </w:t>
      </w:r>
      <w:r>
        <w:t xml:space="preserve">comes variously after the root</w:t>
      </w:r>
      <w:r>
        <w:t xml:space="preserve"> </w:t>
      </w:r>
      <w:r>
        <w:rPr>
          <w:iCs/>
          <w:i/>
        </w:rPr>
        <w:t xml:space="preserve">han</w:t>
      </w:r>
      <w:r>
        <w:t xml:space="preserve">:</w:t>
      </w:r>
      <w:r>
        <w:t xml:space="preserve"> </w:t>
      </w:r>
      <w:r>
        <w:rPr>
          <w:iCs/>
          <w:i/>
        </w:rPr>
        <w:t xml:space="preserve">amīvahan</w:t>
      </w:r>
      <w:r>
        <w:t xml:space="preserve">;</w:t>
      </w:r>
      <w:r>
        <w:t xml:space="preserve"> </w:t>
      </w:r>
      <w:r>
        <w:rPr>
          <w:iCs/>
          <w:i/>
        </w:rPr>
        <w:t xml:space="preserve">han</w:t>
      </w:r>
      <w:r>
        <w:t xml:space="preserve"> </w:t>
      </w:r>
      <w:r>
        <w:t xml:space="preserve">is final udātta by the root accent; after compounding, by</w:t>
      </w:r>
      <w:r>
        <w:t xml:space="preserve"> </w:t>
      </w:r>
      <w:r>
        <w:rPr>
          <w:iCs/>
          <w:i/>
        </w:rPr>
        <w:t xml:space="preserve">gatikārakopapadāt kṛt</w:t>
      </w:r>
      <w:r>
        <w:t xml:space="preserve"> </w:t>
      </w:r>
      <w:r>
        <w:t xml:space="preserve">the accent of the</w:t>
      </w:r>
      <w:r>
        <w:t xml:space="preserve"> </w:t>
      </w:r>
      <w:r>
        <w:rPr>
          <w:iCs/>
          <w:i/>
        </w:rPr>
        <w:t xml:space="preserve">kṛt</w:t>
      </w:r>
      <w:r>
        <w:t xml:space="preserve"> </w:t>
      </w:r>
      <w:r>
        <w:t xml:space="preserve">final member comes and that accent stays.</w:t>
      </w:r>
    </w:p>
    <w:p>
      <w:pPr>
        <w:pStyle w:val="BodyText"/>
      </w:pPr>
      <w:r>
        <w:rPr>
          <w:bCs/>
          <w:b/>
        </w:rPr>
        <w:t xml:space="preserve">वसुवित् (</w:t>
      </w:r>
      <w:r>
        <w:rPr>
          <w:iCs/>
          <w:i/>
          <w:bCs/>
          <w:b/>
        </w:rPr>
        <w:t xml:space="preserve">vasuvit</w:t>
      </w:r>
      <w:r>
        <w:rPr>
          <w:bCs/>
          <w:b/>
        </w:rPr>
        <w:t xml:space="preserve">)</w:t>
      </w:r>
      <w:r>
        <w:t xml:space="preserve">:</w:t>
      </w:r>
      <w:r>
        <w:t xml:space="preserve"> </w:t>
      </w:r>
      <w:r>
        <w:rPr>
          <w:iCs/>
          <w:i/>
        </w:rPr>
        <w:t xml:space="preserve">vasu vindati iti vasuvit</w:t>
      </w:r>
      <w:r>
        <w:t xml:space="preserve">: by</w:t>
      </w:r>
      <w:r>
        <w:t xml:space="preserve"> </w:t>
      </w:r>
      <w:r>
        <w:rPr>
          <w:iCs/>
          <w:i/>
        </w:rPr>
        <w:t xml:space="preserve">kvip ca</w:t>
      </w:r>
      <w:r>
        <w:t xml:space="preserve">, after</w:t>
      </w:r>
      <w:r>
        <w:t xml:space="preserve"> </w:t>
      </w:r>
      <w:r>
        <w:rPr>
          <w:iCs/>
          <w:i/>
        </w:rPr>
        <w:t xml:space="preserve">vidḷ lābhe</w:t>
      </w:r>
      <w:r>
        <w:t xml:space="preserve">,</w:t>
      </w:r>
      <w:r>
        <w:t xml:space="preserve"> </w:t>
      </w:r>
      <w:r>
        <w:rPr>
          <w:iCs/>
          <w:i/>
        </w:rPr>
        <w:t xml:space="preserve">kvip</w:t>
      </w:r>
      <w:r>
        <w:t xml:space="preserve">; the accent of the</w:t>
      </w:r>
      <w:r>
        <w:t xml:space="preserve"> </w:t>
      </w:r>
      <w:r>
        <w:rPr>
          <w:iCs/>
          <w:i/>
        </w:rPr>
        <w:t xml:space="preserve">kṛt</w:t>
      </w:r>
      <w:r>
        <w:t xml:space="preserve"> </w:t>
      </w:r>
      <w:r>
        <w:t xml:space="preserve">final member as before.</w:t>
      </w:r>
    </w:p>
    <w:p>
      <w:pPr>
        <w:pStyle w:val="BodyText"/>
      </w:pPr>
      <w:r>
        <w:rPr>
          <w:bCs/>
          <w:b/>
        </w:rPr>
        <w:t xml:space="preserve">पुष्टिवर्धनः (</w:t>
      </w:r>
      <w:r>
        <w:rPr>
          <w:iCs/>
          <w:i/>
          <w:bCs/>
          <w:b/>
        </w:rPr>
        <w:t xml:space="preserve">puṣṭivardhanaḥ</w:t>
      </w:r>
      <w:r>
        <w:rPr>
          <w:bCs/>
          <w:b/>
        </w:rPr>
        <w:t xml:space="preserve">)</w:t>
      </w:r>
      <w:r>
        <w:t xml:space="preserve">:</w:t>
      </w:r>
      <w:r>
        <w:t xml:space="preserve"> </w:t>
      </w:r>
      <w:r>
        <w:rPr>
          <w:iCs/>
          <w:i/>
        </w:rPr>
        <w:t xml:space="preserve">puṣṭiṃ vardhayati iti puṣṭivardhanaḥ</w:t>
      </w:r>
      <w:r>
        <w:t xml:space="preserve">; the root</w:t>
      </w:r>
      <w:r>
        <w:t xml:space="preserve"> </w:t>
      </w:r>
      <w:r>
        <w:rPr>
          <w:iCs/>
          <w:i/>
        </w:rPr>
        <w:t xml:space="preserve">vṛdhu vṛddhau</w:t>
      </w:r>
      <w:r>
        <w:t xml:space="preserve">. After it</w:t>
      </w:r>
      <w:r>
        <w:t xml:space="preserve"> </w:t>
      </w:r>
      <w:r>
        <w:rPr>
          <w:iCs/>
          <w:i/>
        </w:rPr>
        <w:t xml:space="preserve">ṇic</w:t>
      </w:r>
      <w:r>
        <w:t xml:space="preserve">. In</w:t>
      </w:r>
    </w:p>
    <w:p>
      <w:pPr>
        <w:pStyle w:val="BlockText"/>
      </w:pPr>
      <w:r>
        <w:t xml:space="preserve">नन्दिवाशिमदिदूषिसाधिवर्धिशोभिरोचिभ्यो ण्यन्तेभ्यः संज्ञायाम्</w:t>
      </w:r>
    </w:p>
    <w:p>
      <w:pPr>
        <w:pStyle w:val="BlockText"/>
      </w:pPr>
      <w:r>
        <w:rPr>
          <w:iCs/>
          <w:i/>
        </w:rPr>
        <w:t xml:space="preserve">nandivāśimadidūṣisādhivardhiśobhirocibhyo ṇyantebhyaḥ saṃjñāyām</w:t>
      </w:r>
    </w:p>
    <w:p>
      <w:pPr>
        <w:pStyle w:val="FirstParagraph"/>
      </w:pPr>
      <w:r>
        <w:t xml:space="preserve">the</w:t>
      </w:r>
      <w:r>
        <w:t xml:space="preserve"> </w:t>
      </w:r>
      <w:r>
        <w:rPr>
          <w:iCs/>
          <w:i/>
        </w:rPr>
        <w:t xml:space="preserve">ṇic</w:t>
      </w:r>
      <w:r>
        <w:t xml:space="preserve">-final root</w:t>
      </w:r>
      <w:r>
        <w:t xml:space="preserve"> </w:t>
      </w:r>
      <w:r>
        <w:rPr>
          <w:iCs/>
          <w:i/>
        </w:rPr>
        <w:t xml:space="preserve">vṛdh</w:t>
      </w:r>
      <w:r>
        <w:t xml:space="preserve"> </w:t>
      </w:r>
      <w:r>
        <w:t xml:space="preserve">is read among the</w:t>
      </w:r>
      <w:r>
        <w:t xml:space="preserve"> </w:t>
      </w:r>
      <w:r>
        <w:rPr>
          <w:iCs/>
          <w:i/>
        </w:rPr>
        <w:t xml:space="preserve">nandy-ādi</w:t>
      </w:r>
      <w:r>
        <w:t xml:space="preserve">. So after it the suffix</w:t>
      </w:r>
      <w:r>
        <w:t xml:space="preserve"> </w:t>
      </w:r>
      <w:r>
        <w:rPr>
          <w:iCs/>
          <w:i/>
        </w:rPr>
        <w:t xml:space="preserve">lyu</w:t>
      </w:r>
      <w:r>
        <w:t xml:space="preserve"> </w:t>
      </w:r>
      <w:r>
        <w:t xml:space="preserve">by</w:t>
      </w:r>
      <w:r>
        <w:t xml:space="preserve"> </w:t>
      </w:r>
      <w:r>
        <w:t xml:space="preserve">“</w:t>
      </w:r>
      <w:r>
        <w:t xml:space="preserve">nandigrahipacādibhyo lyuṇinyacaḥ</w:t>
      </w:r>
      <w:r>
        <w:t xml:space="preserve">”</w:t>
      </w:r>
      <w:r>
        <w:t xml:space="preserve"> </w:t>
      </w:r>
      <w:r>
        <w:t xml:space="preserve">(Pā. sū. 3-1-134); the loss of</w:t>
      </w:r>
      <w:r>
        <w:t xml:space="preserve"> </w:t>
      </w:r>
      <w:r>
        <w:rPr>
          <w:iCs/>
          <w:i/>
        </w:rPr>
        <w:t xml:space="preserve">ṇi</w:t>
      </w:r>
      <w:r>
        <w:t xml:space="preserve"> </w:t>
      </w:r>
      <w:r>
        <w:t xml:space="preserve">by</w:t>
      </w:r>
      <w:r>
        <w:t xml:space="preserve"> </w:t>
      </w:r>
      <w:r>
        <w:rPr>
          <w:iCs/>
          <w:i/>
        </w:rPr>
        <w:t xml:space="preserve">ṇer aniṭi</w:t>
      </w:r>
      <w:r>
        <w:t xml:space="preserve">;</w:t>
      </w:r>
      <w:r>
        <w:t xml:space="preserve"> </w:t>
      </w:r>
      <w:r>
        <w:rPr>
          <w:iCs/>
          <w:i/>
        </w:rPr>
        <w:t xml:space="preserve">ana</w:t>
      </w:r>
      <w:r>
        <w:t xml:space="preserve"> </w:t>
      </w:r>
      <w:r>
        <w:t xml:space="preserve">for</w:t>
      </w:r>
      <w:r>
        <w:t xml:space="preserve"> </w:t>
      </w:r>
      <w:r>
        <w:rPr>
          <w:iCs/>
          <w:i/>
        </w:rPr>
        <w:t xml:space="preserve">yu</w:t>
      </w:r>
      <w:r>
        <w:t xml:space="preserve"> </w:t>
      </w:r>
      <w:r>
        <w:t xml:space="preserve">by</w:t>
      </w:r>
      <w:r>
        <w:t xml:space="preserve"> </w:t>
      </w:r>
      <w:r>
        <w:rPr>
          <w:iCs/>
          <w:i/>
        </w:rPr>
        <w:t xml:space="preserve">yuvor anākau</w:t>
      </w:r>
      <w:r>
        <w:t xml:space="preserve">; the</w:t>
      </w:r>
      <w:r>
        <w:t xml:space="preserve"> </w:t>
      </w:r>
      <w:r>
        <w:rPr>
          <w:iCs/>
          <w:i/>
        </w:rPr>
        <w:t xml:space="preserve">laghūpadha-guṇa</w:t>
      </w:r>
      <w:r>
        <w:t xml:space="preserve">, followed by</w:t>
      </w:r>
      <w:r>
        <w:t xml:space="preserve"> </w:t>
      </w:r>
      <w:r>
        <w:rPr>
          <w:iCs/>
          <w:i/>
        </w:rPr>
        <w:t xml:space="preserve">r</w:t>
      </w:r>
      <w:r>
        <w:t xml:space="preserve">:</w:t>
      </w:r>
      <w:r>
        <w:t xml:space="preserve"> </w:t>
      </w:r>
      <w:r>
        <w:rPr>
          <w:iCs/>
          <w:i/>
        </w:rPr>
        <w:t xml:space="preserve">vardhana</w:t>
      </w:r>
      <w:r>
        <w:t xml:space="preserve">. By</w:t>
      </w:r>
      <w:r>
        <w:t xml:space="preserve"> </w:t>
      </w:r>
      <w:r>
        <w:t xml:space="preserve">“</w:t>
      </w:r>
      <w:r>
        <w:t xml:space="preserve">liti</w:t>
      </w:r>
      <w:r>
        <w:t xml:space="preserve">”</w:t>
      </w:r>
      <w:r>
        <w:t xml:space="preserve"> </w:t>
      </w:r>
      <w:r>
        <w:t xml:space="preserve">(Pā. sū.</w:t>
      </w:r>
      <w:r>
        <w:t xml:space="preserve"> </w:t>
      </w:r>
      <w:r>
        <w:t xml:space="preserve">“</w:t>
      </w:r>
      <w:r>
        <w:t xml:space="preserve">2-1-1</w:t>
      </w:r>
      <w:r>
        <w:t xml:space="preserve">”</w:t>
      </w:r>
      <w:r>
        <w:t xml:space="preserve"> </w:t>
      </w:r>
      <w:r>
        <w:t xml:space="preserve">[as printed, for 6-1-193]) what precedes the suffix</w:t>
      </w:r>
      <w:r>
        <w:t xml:space="preserve"> </w:t>
      </w:r>
      <w:r>
        <w:rPr>
          <w:iCs/>
          <w:i/>
        </w:rPr>
        <w:t xml:space="preserve">ana</w:t>
      </w:r>
      <w:r>
        <w:t xml:space="preserve"> </w:t>
      </w:r>
      <w:r>
        <w:t xml:space="preserve">is udātta.</w:t>
      </w:r>
      <w:r>
        <w:t xml:space="preserve"> </w:t>
      </w:r>
      <w:r>
        <w:rPr>
          <w:iCs/>
          <w:i/>
        </w:rPr>
        <w:t xml:space="preserve">Puṣṭer vardhanaḥ</w:t>
      </w:r>
      <w:r>
        <w:t xml:space="preserve">: compounded with the genitive of the object; the accent of the</w:t>
      </w:r>
      <w:r>
        <w:t xml:space="preserve"> </w:t>
      </w:r>
      <w:r>
        <w:rPr>
          <w:iCs/>
          <w:i/>
        </w:rPr>
        <w:t xml:space="preserve">kṛt</w:t>
      </w:r>
      <w:r>
        <w:t xml:space="preserve"> </w:t>
      </w:r>
      <w:r>
        <w:t xml:space="preserve">final member.</w:t>
      </w:r>
    </w:p>
    <w:p>
      <w:pPr>
        <w:pStyle w:val="BodyText"/>
      </w:pPr>
      <w:r>
        <w:rPr>
          <w:bCs/>
          <w:b/>
        </w:rPr>
        <w:t xml:space="preserve">सिषक्तु (</w:t>
      </w:r>
      <w:r>
        <w:rPr>
          <w:iCs/>
          <w:i/>
          <w:bCs/>
          <w:b/>
        </w:rPr>
        <w:t xml:space="preserve">siṣaktu</w:t>
      </w:r>
      <w:r>
        <w:rPr>
          <w:bCs/>
          <w:b/>
        </w:rPr>
        <w:t xml:space="preserve">)</w:t>
      </w:r>
      <w:r>
        <w:t xml:space="preserve">:</w:t>
      </w:r>
      <w:r>
        <w:t xml:space="preserve"> </w:t>
      </w:r>
      <w:r>
        <w:rPr>
          <w:iCs/>
          <w:i/>
        </w:rPr>
        <w:t xml:space="preserve">ṣaca samavāye</w:t>
      </w:r>
      <w:r>
        <w:t xml:space="preserve">;</w:t>
      </w:r>
      <w:r>
        <w:t xml:space="preserve"> </w:t>
      </w:r>
      <w:r>
        <w:rPr>
          <w:iCs/>
          <w:i/>
        </w:rPr>
        <w:t xml:space="preserve">s</w:t>
      </w:r>
      <w:r>
        <w:t xml:space="preserve"> </w:t>
      </w:r>
      <w:r>
        <w:t xml:space="preserve">for</w:t>
      </w:r>
      <w:r>
        <w:t xml:space="preserve"> </w:t>
      </w:r>
      <w:r>
        <w:rPr>
          <w:iCs/>
          <w:i/>
        </w:rPr>
        <w:t xml:space="preserve">ṣ</w:t>
      </w:r>
      <w:r>
        <w:t xml:space="preserve"> </w:t>
      </w:r>
      <w:r>
        <w:t xml:space="preserve">by</w:t>
      </w:r>
      <w:r>
        <w:t xml:space="preserve"> </w:t>
      </w:r>
      <w:r>
        <w:rPr>
          <w:iCs/>
          <w:i/>
        </w:rPr>
        <w:t xml:space="preserve">dhātvādeḥ ṣaḥ saḥ</w:t>
      </w:r>
      <w:r>
        <w:t xml:space="preserve">;</w:t>
      </w:r>
      <w:r>
        <w:t xml:space="preserve"> </w:t>
      </w:r>
      <w:r>
        <w:rPr>
          <w:iCs/>
          <w:i/>
        </w:rPr>
        <w:t xml:space="preserve">loṭ</w:t>
      </w:r>
      <w:r>
        <w:t xml:space="preserve">,</w:t>
      </w:r>
      <w:r>
        <w:t xml:space="preserve"> </w:t>
      </w:r>
      <w:r>
        <w:rPr>
          <w:iCs/>
          <w:i/>
        </w:rPr>
        <w:t xml:space="preserve">tip</w:t>
      </w:r>
      <w:r>
        <w:t xml:space="preserve">; by</w:t>
      </w:r>
      <w:r>
        <w:t xml:space="preserve"> </w:t>
      </w:r>
      <w:r>
        <w:rPr>
          <w:iCs/>
          <w:i/>
        </w:rPr>
        <w:t xml:space="preserve">eruḥ</w:t>
      </w:r>
      <w:r>
        <w:t xml:space="preserve"> </w:t>
      </w:r>
      <w:r>
        <w:rPr>
          <w:iCs/>
          <w:i/>
        </w:rPr>
        <w:t xml:space="preserve">u</w:t>
      </w:r>
      <w:r>
        <w:t xml:space="preserve"> </w:t>
      </w:r>
      <w:r>
        <w:t xml:space="preserve">for the</w:t>
      </w:r>
      <w:r>
        <w:t xml:space="preserve"> </w:t>
      </w:r>
      <w:r>
        <w:rPr>
          <w:iCs/>
          <w:i/>
        </w:rPr>
        <w:t xml:space="preserve">i</w:t>
      </w:r>
      <w:r>
        <w:t xml:space="preserve"> </w:t>
      </w:r>
      <w:r>
        <w:t xml:space="preserve">of</w:t>
      </w:r>
      <w:r>
        <w:t xml:space="preserve"> </w:t>
      </w:r>
      <w:r>
        <w:rPr>
          <w:iCs/>
          <w:i/>
        </w:rPr>
        <w:t xml:space="preserve">ti</w:t>
      </w:r>
      <w:r>
        <w:t xml:space="preserve">.</w:t>
      </w:r>
      <w:r>
        <w:t xml:space="preserve"> </w:t>
      </w:r>
      <w:r>
        <w:rPr>
          <w:iCs/>
          <w:i/>
        </w:rPr>
        <w:t xml:space="preserve">Śap</w:t>
      </w:r>
      <w:r>
        <w:t xml:space="preserve"> </w:t>
      </w:r>
      <w:r>
        <w:t xml:space="preserve">by</w:t>
      </w:r>
      <w:r>
        <w:t xml:space="preserve"> </w:t>
      </w:r>
      <w:r>
        <w:rPr>
          <w:iCs/>
          <w:i/>
        </w:rPr>
        <w:t xml:space="preserve">kartari śap</w:t>
      </w:r>
      <w:r>
        <w:t xml:space="preserve">; for it, by</w:t>
      </w:r>
      <w:r>
        <w:t xml:space="preserve"> </w:t>
      </w:r>
      <w:r>
        <w:t xml:space="preserve">“</w:t>
      </w:r>
      <w:r>
        <w:t xml:space="preserve">bahulaṃ chandasi</w:t>
      </w:r>
      <w:r>
        <w:t xml:space="preserve">”</w:t>
      </w:r>
      <w:r>
        <w:t xml:space="preserve"> </w:t>
      </w:r>
      <w:r>
        <w:t xml:space="preserve">(Pā. sū. 2-4-76), in the Veda</w:t>
      </w:r>
      <w:r>
        <w:t xml:space="preserve"> </w:t>
      </w:r>
      <w:r>
        <w:rPr>
          <w:iCs/>
          <w:i/>
        </w:rPr>
        <w:t xml:space="preserve">ślu</w:t>
      </w:r>
      <w:r>
        <w:t xml:space="preserve"> </w:t>
      </w:r>
      <w:r>
        <w:t xml:space="preserve">(loss) comes variously for</w:t>
      </w:r>
      <w:r>
        <w:t xml:space="preserve"> </w:t>
      </w:r>
      <w:r>
        <w:rPr>
          <w:iCs/>
          <w:i/>
        </w:rPr>
        <w:t xml:space="preserve">śap</w:t>
      </w:r>
      <w:r>
        <w:t xml:space="preserve">: so</w:t>
      </w:r>
      <w:r>
        <w:t xml:space="preserve"> </w:t>
      </w:r>
      <w:r>
        <w:rPr>
          <w:iCs/>
          <w:i/>
        </w:rPr>
        <w:t xml:space="preserve">ślu</w:t>
      </w:r>
      <w:r>
        <w:t xml:space="preserve">; doubling by</w:t>
      </w:r>
      <w:r>
        <w:t xml:space="preserve"> </w:t>
      </w:r>
      <w:r>
        <w:t xml:space="preserve">“</w:t>
      </w:r>
      <w:r>
        <w:t xml:space="preserve">ślau</w:t>
      </w:r>
      <w:r>
        <w:t xml:space="preserve">”</w:t>
      </w:r>
      <w:r>
        <w:t xml:space="preserve"> </w:t>
      </w:r>
      <w:r>
        <w:t xml:space="preserve">(Pā. sū. 6-1-10):</w:t>
      </w:r>
      <w:r>
        <w:t xml:space="preserve"> </w:t>
      </w:r>
      <w:r>
        <w:rPr>
          <w:iCs/>
          <w:i/>
        </w:rPr>
        <w:t xml:space="preserve">sac sac</w:t>
      </w:r>
      <w:r>
        <w:t xml:space="preserve"> </w:t>
      </w:r>
      <w:r>
        <w:t xml:space="preserve">+</w:t>
      </w:r>
      <w:r>
        <w:t xml:space="preserve"> </w:t>
      </w:r>
      <w:r>
        <w:rPr>
          <w:iCs/>
          <w:i/>
        </w:rPr>
        <w:t xml:space="preserve">tu</w:t>
      </w:r>
      <w:r>
        <w:t xml:space="preserve">; by</w:t>
      </w:r>
      <w:r>
        <w:t xml:space="preserve"> </w:t>
      </w:r>
      <w:r>
        <w:t xml:space="preserve">“</w:t>
      </w:r>
      <w:r>
        <w:t xml:space="preserve">halādiḥ śeṣaḥ</w:t>
      </w:r>
      <w:r>
        <w:t xml:space="preserve">”</w:t>
      </w:r>
      <w:r>
        <w:t xml:space="preserve"> </w:t>
      </w:r>
      <w:r>
        <w:t xml:space="preserve">(Pā. sū. 7-4-60) the</w:t>
      </w:r>
      <w:r>
        <w:t xml:space="preserve"> </w:t>
      </w:r>
      <w:r>
        <w:rPr>
          <w:iCs/>
          <w:i/>
        </w:rPr>
        <w:t xml:space="preserve">c</w:t>
      </w:r>
      <w:r>
        <w:t xml:space="preserve"> </w:t>
      </w:r>
      <w:r>
        <w:t xml:space="preserve">of the</w:t>
      </w:r>
      <w:r>
        <w:t xml:space="preserve"> </w:t>
      </w:r>
      <w:r>
        <w:rPr>
          <w:iCs/>
          <w:i/>
        </w:rPr>
        <w:t xml:space="preserve">abhyāsa</w:t>
      </w:r>
      <w:r>
        <w:t xml:space="preserve"> </w:t>
      </w:r>
      <w:r>
        <w:t xml:space="preserve">drops; by</w:t>
      </w:r>
      <w:r>
        <w:t xml:space="preserve"> </w:t>
      </w:r>
      <w:r>
        <w:t xml:space="preserve">“</w:t>
      </w:r>
      <w:r>
        <w:t xml:space="preserve">bahulaṃ chandasi</w:t>
      </w:r>
      <w:r>
        <w:t xml:space="preserve">”</w:t>
      </w:r>
      <w:r>
        <w:t xml:space="preserve"> </w:t>
      </w:r>
      <w:r>
        <w:t xml:space="preserve">(Ṛ. saṃ. [as printed, for Pā. sū.]</w:t>
      </w:r>
      <w:r>
        <w:t xml:space="preserve"> </w:t>
      </w:r>
      <w:r>
        <w:t xml:space="preserve">“</w:t>
      </w:r>
      <w:r>
        <w:t xml:space="preserve">2-4-78</w:t>
      </w:r>
      <w:r>
        <w:t xml:space="preserve">”</w:t>
      </w:r>
      <w:r>
        <w:t xml:space="preserve"> </w:t>
      </w:r>
      <w:r>
        <w:t xml:space="preserve">[as printed, for 7-4-78]) the</w:t>
      </w:r>
      <w:r>
        <w:t xml:space="preserve"> </w:t>
      </w:r>
      <w:r>
        <w:rPr>
          <w:iCs/>
          <w:i/>
        </w:rPr>
        <w:t xml:space="preserve">a</w:t>
      </w:r>
      <w:r>
        <w:t xml:space="preserve"> </w:t>
      </w:r>
      <w:r>
        <w:t xml:space="preserve">of the</w:t>
      </w:r>
      <w:r>
        <w:t xml:space="preserve"> </w:t>
      </w:r>
      <w:r>
        <w:rPr>
          <w:iCs/>
          <w:i/>
        </w:rPr>
        <w:t xml:space="preserve">abhyāsa</w:t>
      </w:r>
      <w:r>
        <w:t xml:space="preserve"> </w:t>
      </w:r>
      <w:r>
        <w:t xml:space="preserve">takes</w:t>
      </w:r>
      <w:r>
        <w:t xml:space="preserve"> </w:t>
      </w:r>
      <w:r>
        <w:rPr>
          <w:iCs/>
          <w:i/>
        </w:rPr>
        <w:t xml:space="preserve">i</w:t>
      </w:r>
      <w:r>
        <w:t xml:space="preserve"> </w:t>
      </w:r>
      <w:r>
        <w:t xml:space="preserve">variously in the Veda:</w:t>
      </w:r>
      <w:r>
        <w:t xml:space="preserve"> </w:t>
      </w:r>
      <w:r>
        <w:rPr>
          <w:iCs/>
          <w:i/>
        </w:rPr>
        <w:t xml:space="preserve">i</w:t>
      </w:r>
      <w:r>
        <w:t xml:space="preserve"> </w:t>
      </w:r>
      <w:r>
        <w:t xml:space="preserve">for the</w:t>
      </w:r>
      <w:r>
        <w:t xml:space="preserve"> </w:t>
      </w:r>
      <w:r>
        <w:rPr>
          <w:iCs/>
          <w:i/>
        </w:rPr>
        <w:t xml:space="preserve">a</w:t>
      </w:r>
      <w:r>
        <w:t xml:space="preserve"> </w:t>
      </w:r>
      <w:r>
        <w:t xml:space="preserve">of the first</w:t>
      </w:r>
      <w:r>
        <w:t xml:space="preserve"> </w:t>
      </w:r>
      <w:r>
        <w:rPr>
          <w:iCs/>
          <w:i/>
        </w:rPr>
        <w:t xml:space="preserve">s</w:t>
      </w:r>
      <w:r>
        <w:t xml:space="preserve">:</w:t>
      </w:r>
      <w:r>
        <w:t xml:space="preserve"> </w:t>
      </w:r>
      <w:r>
        <w:rPr>
          <w:iCs/>
          <w:i/>
        </w:rPr>
        <w:t xml:space="preserve">sisac</w:t>
      </w:r>
      <w:r>
        <w:t xml:space="preserve"> </w:t>
      </w:r>
      <w:r>
        <w:t xml:space="preserve">+</w:t>
      </w:r>
      <w:r>
        <w:t xml:space="preserve"> </w:t>
      </w:r>
      <w:r>
        <w:rPr>
          <w:iCs/>
          <w:i/>
        </w:rPr>
        <w:t xml:space="preserve">tu</w:t>
      </w:r>
      <w:r>
        <w:t xml:space="preserve">; by</w:t>
      </w:r>
      <w:r>
        <w:t xml:space="preserve"> </w:t>
      </w:r>
      <w:r>
        <w:t xml:space="preserve">“</w:t>
      </w:r>
      <w:r>
        <w:t xml:space="preserve">coḥ kuḥ</w:t>
      </w:r>
      <w:r>
        <w:t xml:space="preserve">”</w:t>
      </w:r>
      <w:r>
        <w:t xml:space="preserve"> </w:t>
      </w:r>
      <w:r>
        <w:t xml:space="preserve">(Pā. sū. 8-2-30)</w:t>
      </w:r>
      <w:r>
        <w:t xml:space="preserve"> </w:t>
      </w:r>
      <w:r>
        <w:rPr>
          <w:iCs/>
          <w:i/>
        </w:rPr>
        <w:t xml:space="preserve">k</w:t>
      </w:r>
      <w:r>
        <w:t xml:space="preserve"> </w:t>
      </w:r>
      <w:r>
        <w:t xml:space="preserve">for</w:t>
      </w:r>
      <w:r>
        <w:t xml:space="preserve"> </w:t>
      </w:r>
      <w:r>
        <w:rPr>
          <w:iCs/>
          <w:i/>
        </w:rPr>
        <w:t xml:space="preserve">c</w:t>
      </w:r>
      <w:r>
        <w:t xml:space="preserve">; by</w:t>
      </w:r>
      <w:r>
        <w:t xml:space="preserve"> </w:t>
      </w:r>
      <w:r>
        <w:rPr>
          <w:iCs/>
          <w:i/>
        </w:rPr>
        <w:t xml:space="preserve">ādeśapratyayayoḥ</w:t>
      </w:r>
      <w:r>
        <w:t xml:space="preserve"> </w:t>
      </w:r>
      <w:r>
        <w:rPr>
          <w:iCs/>
          <w:i/>
        </w:rPr>
        <w:t xml:space="preserve">ṣ</w:t>
      </w:r>
      <w:r>
        <w:t xml:space="preserve"> </w:t>
      </w:r>
      <w:r>
        <w:t xml:space="preserve">for the second</w:t>
      </w:r>
      <w:r>
        <w:t xml:space="preserve"> </w:t>
      </w:r>
      <w:r>
        <w:rPr>
          <w:iCs/>
          <w:i/>
        </w:rPr>
        <w:t xml:space="preserve">s</w:t>
      </w:r>
      <w:r>
        <w:t xml:space="preserve">:</w:t>
      </w:r>
      <w:r>
        <w:t xml:space="preserve"> </w:t>
      </w:r>
      <w:r>
        <w:rPr>
          <w:iCs/>
          <w:i/>
        </w:rPr>
        <w:t xml:space="preserve">siṣaktu</w:t>
      </w:r>
      <w:r>
        <w:t xml:space="preserve">.</w:t>
      </w:r>
    </w:p>
    <w:p>
      <w:pPr>
        <w:pStyle w:val="BodyText"/>
      </w:pPr>
      <w:r>
        <w:rPr>
          <w:bCs/>
          <w:b/>
        </w:rPr>
        <w:t xml:space="preserve">तुरः (</w:t>
      </w:r>
      <w:r>
        <w:rPr>
          <w:iCs/>
          <w:i/>
          <w:bCs/>
          <w:b/>
        </w:rPr>
        <w:t xml:space="preserve">turaḥ</w:t>
      </w:r>
      <w:r>
        <w:rPr>
          <w:bCs/>
          <w:b/>
        </w:rPr>
        <w:t xml:space="preserve">)</w:t>
      </w:r>
      <w:r>
        <w:t xml:space="preserve">: the root</w:t>
      </w:r>
      <w:r>
        <w:t xml:space="preserve"> </w:t>
      </w:r>
      <w:r>
        <w:rPr>
          <w:iCs/>
          <w:i/>
        </w:rPr>
        <w:t xml:space="preserve">tura tvaraṇe</w:t>
      </w:r>
      <w:r>
        <w:t xml:space="preserve">, with</w:t>
      </w:r>
      <w:r>
        <w:t xml:space="preserve"> </w:t>
      </w:r>
      <w:r>
        <w:rPr>
          <w:iCs/>
          <w:i/>
        </w:rPr>
        <w:t xml:space="preserve">i</w:t>
      </w:r>
      <w:r>
        <w:t xml:space="preserve">/</w:t>
      </w:r>
      <w:r>
        <w:rPr>
          <w:iCs/>
          <w:i/>
        </w:rPr>
        <w:t xml:space="preserve">u</w:t>
      </w:r>
      <w:r>
        <w:t xml:space="preserve"> </w:t>
      </w:r>
      <w:r>
        <w:t xml:space="preserve">as penultimate. After it, by</w:t>
      </w:r>
      <w:r>
        <w:t xml:space="preserve"> </w:t>
      </w:r>
      <w:r>
        <w:t xml:space="preserve">“</w:t>
      </w:r>
      <w:r>
        <w:t xml:space="preserve">igupadhajñāprīkiraḥ kaḥ</w:t>
      </w:r>
      <w:r>
        <w:t xml:space="preserve">”</w:t>
      </w:r>
      <w:r>
        <w:t xml:space="preserve"> </w:t>
      </w:r>
      <w:r>
        <w:t xml:space="preserve">(Pā. sū. 3-1-135), the suffix</w:t>
      </w:r>
      <w:r>
        <w:t xml:space="preserve"> </w:t>
      </w:r>
      <w:r>
        <w:rPr>
          <w:iCs/>
          <w:i/>
        </w:rPr>
        <w:t xml:space="preserve">ka</w:t>
      </w:r>
      <w:r>
        <w:t xml:space="preserve">; the</w:t>
      </w:r>
      <w:r>
        <w:t xml:space="preserve"> </w:t>
      </w:r>
      <w:r>
        <w:rPr>
          <w:iCs/>
          <w:i/>
        </w:rPr>
        <w:t xml:space="preserve">k</w:t>
      </w:r>
      <w:r>
        <w:t xml:space="preserve"> </w:t>
      </w:r>
      <w:r>
        <w:t xml:space="preserve">is called</w:t>
      </w:r>
      <w:r>
        <w:t xml:space="preserve"> </w:t>
      </w:r>
      <w:r>
        <w:rPr>
          <w:iCs/>
          <w:i/>
        </w:rPr>
        <w:t xml:space="preserve">it</w:t>
      </w:r>
      <w:r>
        <w:t xml:space="preserve"> </w:t>
      </w:r>
      <w:r>
        <w:t xml:space="preserve">and dropped; the suffix is</w:t>
      </w:r>
      <w:r>
        <w:t xml:space="preserve"> </w:t>
      </w:r>
      <w:r>
        <w:rPr>
          <w:iCs/>
          <w:i/>
        </w:rPr>
        <w:t xml:space="preserve">kit</w:t>
      </w:r>
      <w:r>
        <w:t xml:space="preserve">, so the</w:t>
      </w:r>
      <w:r>
        <w:t xml:space="preserve"> </w:t>
      </w:r>
      <w:r>
        <w:rPr>
          <w:iCs/>
          <w:i/>
        </w:rPr>
        <w:t xml:space="preserve">laghūpadha-guṇa</w:t>
      </w:r>
      <w:r>
        <w:t xml:space="preserve"> </w:t>
      </w:r>
      <w:r>
        <w:t xml:space="preserve">does not come. By</w:t>
      </w:r>
      <w:r>
        <w:t xml:space="preserve"> </w:t>
      </w:r>
      <w:r>
        <w:rPr>
          <w:iCs/>
          <w:i/>
        </w:rPr>
        <w:t xml:space="preserve">ādyudāttaś ca</w:t>
      </w:r>
      <w:r>
        <w:t xml:space="preserve"> </w:t>
      </w:r>
      <w:r>
        <w:t xml:space="preserve">the suffix accent comes;</w:t>
      </w:r>
      <w:r>
        <w:t xml:space="preserve"> </w:t>
      </w:r>
      <w:r>
        <w:rPr>
          <w:iCs/>
          <w:i/>
        </w:rPr>
        <w:t xml:space="preserve">turaḥ</w:t>
      </w:r>
      <w:r>
        <w:t xml:space="preserve"> </w:t>
      </w:r>
      <w:r>
        <w:t xml:space="preserve">is final udātta.</w:t>
      </w:r>
    </w:p>
    <w:p>
      <w:pPr>
        <w:pStyle w:val="BodyText"/>
      </w:pPr>
      <w:r>
        <w:rPr>
          <w:bCs/>
          <w:b/>
        </w:rPr>
        <w:t xml:space="preserve">॥२॥</w:t>
      </w:r>
    </w:p>
    <w:p>
      <w:r>
        <w:pict>
          <v:rect style="width:0;height:1.5pt" o:hralign="center" o:hrstd="t" o:hr="t"/>
        </w:pict>
      </w:r>
    </w:p>
    <w:bookmarkEnd w:id="837"/>
    <w:bookmarkStart w:id="838" w:name="page-759-lower-sūkta-18-rik-3"/>
    <w:p>
      <w:pPr>
        <w:pStyle w:val="Heading3"/>
      </w:pPr>
      <w:r>
        <w:t xml:space="preserve">Page 759 (lower) — Sūkta 18, Rik 3</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मा नः॒ शंसो॒ अर॑रुषो धू॒र्तिः प्रण॒ङ्मर्त्य॑स्य । [accent ?]</w:t>
      </w:r>
      <w:r>
        <w:t xml:space="preserve"> </w:t>
      </w:r>
      <w:r>
        <w:t xml:space="preserve">र॑क्षा णो ब्रह्मणस्पते ॥३॥ [accent ?]</w:t>
      </w:r>
    </w:p>
    <w:p>
      <w:pPr>
        <w:pStyle w:val="BlockText"/>
      </w:pPr>
      <w:r>
        <w:rPr>
          <w:iCs/>
          <w:i/>
        </w:rPr>
        <w:t xml:space="preserve">mā naḥ śáṃso áraruṣo dhūrtíḥ praṇaṅ mártyasya |</w:t>
      </w:r>
      <w:r>
        <w:t xml:space="preserve"> </w:t>
      </w:r>
      <w:r>
        <w:t xml:space="preserve">[accent ?]</w:t>
      </w:r>
      <w:r>
        <w:t xml:space="preserve"> </w:t>
      </w:r>
      <w:r>
        <w:rPr>
          <w:iCs/>
          <w:i/>
        </w:rPr>
        <w:t xml:space="preserve">rakṣā ṇo brahmaṇaspate ||3||</w:t>
      </w:r>
      <w:r>
        <w:t xml:space="preserve"> </w:t>
      </w:r>
      <w:r>
        <w:t xml:space="preserve">[accent ?]</w:t>
      </w:r>
    </w:p>
    <w:p>
      <w:pPr>
        <w:pStyle w:val="FirstParagraph"/>
      </w:pPr>
      <w:r>
        <w:rPr>
          <w:iCs/>
          <w:i/>
        </w:rPr>
        <w:t xml:space="preserve">(Read as printed: bars under नः, सो, धू and ण; strokes over the first र of अररुषो, over र्त्य and over र (रक्षा). Line 2 is printed small at the head of the next strip; its bars, if any, are not certain.)</w:t>
      </w:r>
    </w:p>
    <w:p>
      <w:pPr>
        <w:pStyle w:val="BodyText"/>
      </w:pPr>
      <w:r>
        <w:rPr>
          <w:bCs/>
          <w:b/>
        </w:rPr>
        <w:t xml:space="preserve">॥ Pada-pāṭhaḥ ॥</w:t>
      </w:r>
    </w:p>
    <w:p>
      <w:pPr>
        <w:pStyle w:val="BlockText"/>
      </w:pPr>
      <w:r>
        <w:t xml:space="preserve">मा । नः । शंसः । अररुषः । धूर्तिः । प्रणक् । मर्त्यस्य ॥</w:t>
      </w:r>
      <w:r>
        <w:t xml:space="preserve"> </w:t>
      </w:r>
      <w:r>
        <w:t xml:space="preserve">रक्ष । नः । ब्रह्मणः । पते ॥३॥</w:t>
      </w:r>
    </w:p>
    <w:p>
      <w:pPr>
        <w:pStyle w:val="BlockText"/>
      </w:pPr>
      <w:r>
        <w:rPr>
          <w:iCs/>
          <w:i/>
        </w:rPr>
        <w:t xml:space="preserve">mā | naḥ | śaṃsaḥ | araruṣaḥ | dhūrtiḥ | praṇak | martyasya ||</w:t>
      </w:r>
      <w:r>
        <w:t xml:space="preserve"> </w:t>
      </w:r>
      <w:r>
        <w:rPr>
          <w:iCs/>
          <w:i/>
        </w:rPr>
        <w:t xml:space="preserve">rakṣa | naḥ | brahmaṇaḥ | pate ||3||</w:t>
      </w:r>
    </w:p>
    <w:p>
      <w:pPr>
        <w:pStyle w:val="FirstParagraph"/>
      </w:pPr>
      <w:r>
        <w:rPr>
          <w:bCs/>
          <w:b/>
        </w:rPr>
        <w:t xml:space="preserve">॥ Sāyaṇa-bhāṣyam ॥</w:t>
      </w:r>
    </w:p>
    <w:p>
      <w:pPr>
        <w:pStyle w:val="BodyText"/>
      </w:pPr>
      <w:r>
        <w:rPr>
          <w:iCs/>
          <w:i/>
        </w:rPr>
        <w:t xml:space="preserve">(The Uṇādi numbers ४-७९ and ३-८६ are read with some doubt [?].)</w:t>
      </w:r>
    </w:p>
    <w:p>
      <w:pPr>
        <w:pStyle w:val="BlockText"/>
      </w:pPr>
      <w:r>
        <w:t xml:space="preserve">अररुषो मर्त्यस्योपद्रवं कर्तुमस्मत्समीपं प्राप्तस्य शत्रुरूपस्य मनुष्यस्य धूर्तिर्हिंसकः शंसः शंसनम् । अधिक्षेप इत्यर्थः । तादृशो वाग्विशेषो नोऽस्मान्मा प्रणक् । मा संपृणक्तु । शत्रुणा प्रयुक्तोऽधिक्षेपः कदाचिदस्मान्मा प्राप्नोत्वित्यर्थः । तदर्थं हे ब्रह्मणस्पते नोऽस्मान्रक्ष । पालय ॥ मा । निपातः । शंसनं शंसः । भावे घञ् । ञित्त्वादाद्युदात्तः । अररुषः । अर्तेररुः । उ. ४-७९ । इत्यन्तर्भावितण्यर्थादृ गतावित्यस्मादरुस् । गुणो रपरत्वम् । प्रत्ययस्वरे प्राप्ते वृषादित्वादाद्युदात्तः । धूर्तिः । धुर्वी हिंसार्थः । क्तिच्क्तौ च संज्ञायामिति क्तिच् । तितुत्रतथसिसुसरकसेषु चेतीट्प्रतिषेधः । उपधायाश्च । पा. ७-१-१०१ । इत्युपधादीर्घत्वम् । वलि लोपं बाधित्वोठि प्राप्ते । पा. ६-४-१९ । राल्लोपः । पा.</w:t>
      </w:r>
    </w:p>
    <w:p>
      <w:pPr>
        <w:pStyle w:val="BlockText"/>
      </w:pPr>
      <w:r>
        <w:rPr>
          <w:iCs/>
          <w:i/>
        </w:rPr>
        <w:t xml:space="preserve">araruṣo martyasyopadravaṃ kartumasmatsamīpaṃ prāptasya śatrurūpasya manuṣyasya dhūrtirhiṃsakaḥ śaṃsaḥ śaṃsanam | adhikṣepa ityarthaḥ | tādṛśo vāgviśeṣo no ’smānmā praṇak | mā saṃpṛṇaktu | śatruṇā prayukto ’dhikṣepaḥ kadācidasmānmā prāpnotvityarthaḥ | tadarthaṃ he brahmaṇaspate no ’smānrakṣa | pālaya || mā | nipātaḥ | śaṃsanaṃ śaṃsaḥ | bhāve ghañ | ñittvādādyudāttaḥ | araruṣaḥ | arteraruḥ | u. 4-79 | ityantarbhāvitaṇyarthādṛ gatāvityasmādarus | guṇo raparatvam | pratyayasvare prāpte vṛṣāditvādādyudāttaḥ | dhūrtiḥ | dhurvī hiṃsārthaḥ | kticktau ca saṃjñāyāmiti ktic | titutratathasisusarakaseṣu cetīṭpratiṣedhaḥ | upadhāyāśca | pā. 7-1-101 | ityupadhādīrghatvam | vali lopaṃ bādhitvoṭhi prāpte | pā. 6-4-19 | rāllopaḥ | pā.</w:t>
      </w:r>
    </w:p>
    <w:bookmarkEnd w:id="838"/>
    <w:bookmarkStart w:id="839" w:name="X6a838bb25e75c0ab1e623c808f87a1c8d0459cd"/>
    <w:p>
      <w:pPr>
        <w:pStyle w:val="Heading3"/>
      </w:pPr>
      <w:r>
        <w:t xml:space="preserve">Page 760 — Rik 3: bhāṣya (end), word-meanings, overall sense, English, Special Topics</w:t>
      </w:r>
    </w:p>
    <w:p>
      <w:pPr>
        <w:pStyle w:val="BlockText"/>
      </w:pPr>
      <w:r>
        <w:t xml:space="preserve">६-४-२१ । इति वकारलोपः । प्रणक् । पृची संपर्के । लङस्तिप् । इतश्चेतीकारलोपः । हल्ङ्यादिलोपः । कुत्वम् । रुधादिभ्यः श्नम् । तस्य व्यत्ययो बहुलम् । पा. ३-१-८५ । इत्याडागमः । यणादेशः । अकारस्यागमानुदात्तत्वं बाधित्वा व्यत्ययेनोदात्तत्वम् । चादिलोपे विभाषेति निघाताभावः । मर्त्यस्य । मृङ् प्राणत्यागे । असिहसिमृ इत्यादिना । उ. ३-८६ । औणादिकस्तन्प्रत्ययः । मर्तेषु भव इत्यर्थे भवे छन्दसीति यत् । यतोऽनाव इत्याद्युदात्तत्वम् । रक्ष । रक्ष पालने । शपः पित्त्वादनुदात्तत्वम् । धातुस्वर एव शिष्यते । पादादित्वान्न निघातः । रक्षा णः । द्व्यचोऽतस्तिङ इति दीर्घः । उपसर्गाद्बहुलम् । पा. ८-४-२८ । इति बहुलग्रहणादनुपसर्गादपि नसो णत्वम् । ब्रह्मणस्पते । षष्ठ्याः पतिपुत्रेति संहितायां विसर्गस्य सकारः । सुबामन्त्रिते पराङ्गवद्भावात्पदद्वयस्यामन्त्रितनिघातः ॥</w:t>
      </w:r>
    </w:p>
    <w:p>
      <w:pPr>
        <w:pStyle w:val="BlockText"/>
      </w:pPr>
      <w:r>
        <w:rPr>
          <w:iCs/>
          <w:i/>
        </w:rPr>
        <w:t xml:space="preserve">6-4-21 | iti vakāralopaḥ | praṇak | pṛcī saṃparke | laṅastip | itaścetīkāralopaḥ | halṅyādilopaḥ | kutvam | rudhādibhyaḥ śnam | tasya vyatyayo bahulam | pā. 3-1-85 | ityāḍāgamaḥ | yaṇādeśaḥ | akārasyāgamānudāttatvaṃ bādhitvā vyatyayenodāttatvam | cādilope vibhāṣeti nighātābhāvaḥ | martyasya | mṛṅ prāṇatyāge | asihasimṛ ityādinā | u. 3-86 | auṇādikastanpratyayaḥ | marteṣu bhava ityarthe bhave chandasīti yat | yato ’nāva ityādyudāttatvam | rakṣa | rakṣa pālane | śapaḥ pittvādanudāttatvam | dhātusvara eva śiṣyate | pādāditvānna nighātaḥ | rakṣā ṇaḥ | dvyaco ’tastiṅa iti dīrghaḥ | upasargādbahulam | pā. 8-4-28 | iti bahulagrahaṇādanupasargādapi naso ṇatvam | brahmaṇaspate | ṣaṣṭhyāḥ patiputreti saṃhitāyāṃ visargasya sakāraḥ | subāmantrite parāṅgavadbhāvātpadadvayasyāmantritanighātaḥ ||</w:t>
      </w:r>
    </w:p>
    <w:p>
      <w:pPr>
        <w:pStyle w:val="FirstParagraph"/>
      </w:pPr>
      <w:r>
        <w:rPr>
          <w:bCs/>
          <w:b/>
        </w:rPr>
        <w:t xml:space="preserve">Translation:</w:t>
      </w:r>
      <w:r>
        <w:t xml:space="preserve"> </w:t>
      </w:r>
      <w:r>
        <w:t xml:space="preserve">“</w:t>
      </w:r>
      <w:r>
        <w:t xml:space="preserve">May the</w:t>
      </w:r>
      <w:r>
        <w:t xml:space="preserve"> </w:t>
      </w:r>
      <w:r>
        <w:rPr>
          <w:iCs/>
          <w:i/>
        </w:rPr>
        <w:t xml:space="preserve">dhūrti</w:t>
      </w:r>
      <w:r>
        <w:t xml:space="preserve">, harmful,</w:t>
      </w:r>
      <w:r>
        <w:t xml:space="preserve"> </w:t>
      </w:r>
      <w:r>
        <w:rPr>
          <w:iCs/>
          <w:i/>
        </w:rPr>
        <w:t xml:space="preserve">śaṃsa</w:t>
      </w:r>
      <w:r>
        <w:t xml:space="preserve">, speech, that is, reviling, of the</w:t>
      </w:r>
      <w:r>
        <w:t xml:space="preserve"> </w:t>
      </w:r>
      <w:r>
        <w:rPr>
          <w:iCs/>
          <w:i/>
        </w:rPr>
        <w:t xml:space="preserve">araruṣ</w:t>
      </w:r>
      <w:r>
        <w:t xml:space="preserve"> </w:t>
      </w:r>
      <w:r>
        <w:t xml:space="preserve">mortal, the man in the form of an enemy who has come near us to do harm: may such a particular speech</w:t>
      </w:r>
      <w:r>
        <w:t xml:space="preserve"> </w:t>
      </w:r>
      <w:r>
        <w:rPr>
          <w:iCs/>
          <w:i/>
        </w:rPr>
        <w:t xml:space="preserve">mā praṇak</w:t>
      </w:r>
      <w:r>
        <w:t xml:space="preserve">, not touch us: that is, may the reviling set going by the enemy never reach us. For that, O Brahmaṇaspati,</w:t>
      </w:r>
      <w:r>
        <w:t xml:space="preserve"> </w:t>
      </w:r>
      <w:r>
        <w:rPr>
          <w:iCs/>
          <w:i/>
        </w:rPr>
        <w:t xml:space="preserve">rakṣa</w:t>
      </w:r>
      <w:r>
        <w:t xml:space="preserve">, protect us.</w:t>
      </w:r>
      <w:r>
        <w:t xml:space="preserve">”</w:t>
      </w:r>
      <w:r>
        <w:t xml:space="preserve"> </w:t>
      </w:r>
      <w:r>
        <w:t xml:space="preserve">(Grammatical tail:</w:t>
      </w:r>
      <w:r>
        <w:t xml:space="preserve"> </w:t>
      </w:r>
      <w:r>
        <w:rPr>
          <w:iCs/>
          <w:i/>
        </w:rPr>
        <w:t xml:space="preserve">mā</w:t>
      </w:r>
      <w:r>
        <w:t xml:space="preserve">, a particle;</w:t>
      </w:r>
      <w:r>
        <w:t xml:space="preserve"> </w:t>
      </w:r>
      <w:r>
        <w:rPr>
          <w:iCs/>
          <w:i/>
        </w:rPr>
        <w:t xml:space="preserve">śaṃsaḥ</w:t>
      </w:r>
      <w:r>
        <w:t xml:space="preserve">,</w:t>
      </w:r>
      <w:r>
        <w:t xml:space="preserve"> </w:t>
      </w:r>
      <w:r>
        <w:t xml:space="preserve">“</w:t>
      </w:r>
      <w:r>
        <w:t xml:space="preserve">speaking</w:t>
      </w:r>
      <w:r>
        <w:t xml:space="preserve">”</w:t>
      </w:r>
      <w:r>
        <w:t xml:space="preserve">,</w:t>
      </w:r>
      <w:r>
        <w:t xml:space="preserve"> </w:t>
      </w:r>
      <w:r>
        <w:rPr>
          <w:iCs/>
          <w:i/>
        </w:rPr>
        <w:t xml:space="preserve">ghañ</w:t>
      </w:r>
      <w:r>
        <w:t xml:space="preserve"> </w:t>
      </w:r>
      <w:r>
        <w:t xml:space="preserve">of the action, initial udātta as</w:t>
      </w:r>
      <w:r>
        <w:t xml:space="preserve"> </w:t>
      </w:r>
      <w:r>
        <w:rPr>
          <w:iCs/>
          <w:i/>
        </w:rPr>
        <w:t xml:space="preserve">ñit</w:t>
      </w:r>
      <w:r>
        <w:t xml:space="preserve">;</w:t>
      </w:r>
      <w:r>
        <w:t xml:space="preserve"> </w:t>
      </w:r>
      <w:r>
        <w:rPr>
          <w:iCs/>
          <w:i/>
        </w:rPr>
        <w:t xml:space="preserve">araruṣaḥ</w:t>
      </w:r>
      <w:r>
        <w:t xml:space="preserve">,</w:t>
      </w:r>
      <w:r>
        <w:t xml:space="preserve"> </w:t>
      </w:r>
      <w:r>
        <w:rPr>
          <w:iCs/>
          <w:i/>
        </w:rPr>
        <w:t xml:space="preserve">arus</w:t>
      </w:r>
      <w:r>
        <w:t xml:space="preserve"> </w:t>
      </w:r>
      <w:r>
        <w:t xml:space="preserve">by</w:t>
      </w:r>
      <w:r>
        <w:t xml:space="preserve"> </w:t>
      </w:r>
      <w:r>
        <w:rPr>
          <w:iCs/>
          <w:i/>
        </w:rPr>
        <w:t xml:space="preserve">arter aruḥ</w:t>
      </w:r>
      <w:r>
        <w:t xml:space="preserve"> </w:t>
      </w:r>
      <w:r>
        <w:t xml:space="preserve">(Uṇ. 4-79 [?]) after</w:t>
      </w:r>
      <w:r>
        <w:t xml:space="preserve"> </w:t>
      </w:r>
      <w:r>
        <w:rPr>
          <w:iCs/>
          <w:i/>
        </w:rPr>
        <w:t xml:space="preserve">ṛ gatau</w:t>
      </w:r>
      <w:r>
        <w:t xml:space="preserve"> </w:t>
      </w:r>
      <w:r>
        <w:t xml:space="preserve">with the causative sense included,</w:t>
      </w:r>
      <w:r>
        <w:t xml:space="preserve"> </w:t>
      </w:r>
      <w:r>
        <w:rPr>
          <w:iCs/>
          <w:i/>
        </w:rPr>
        <w:t xml:space="preserve">guṇa</w:t>
      </w:r>
      <w:r>
        <w:t xml:space="preserve"> </w:t>
      </w:r>
      <w:r>
        <w:t xml:space="preserve">with</w:t>
      </w:r>
      <w:r>
        <w:t xml:space="preserve"> </w:t>
      </w:r>
      <w:r>
        <w:rPr>
          <w:iCs/>
          <w:i/>
        </w:rPr>
        <w:t xml:space="preserve">r</w:t>
      </w:r>
      <w:r>
        <w:t xml:space="preserve">, initial udātta, though the suffix accent was due, as one of the</w:t>
      </w:r>
      <w:r>
        <w:t xml:space="preserve"> </w:t>
      </w:r>
      <w:r>
        <w:rPr>
          <w:iCs/>
          <w:i/>
        </w:rPr>
        <w:t xml:space="preserve">vṛṣa-ādi</w:t>
      </w:r>
      <w:r>
        <w:t xml:space="preserve">;</w:t>
      </w:r>
      <w:r>
        <w:t xml:space="preserve"> </w:t>
      </w:r>
      <w:r>
        <w:rPr>
          <w:iCs/>
          <w:i/>
        </w:rPr>
        <w:t xml:space="preserve">dhūrtiḥ</w:t>
      </w:r>
      <w:r>
        <w:t xml:space="preserve">,</w:t>
      </w:r>
      <w:r>
        <w:t xml:space="preserve"> </w:t>
      </w:r>
      <w:r>
        <w:rPr>
          <w:iCs/>
          <w:i/>
        </w:rPr>
        <w:t xml:space="preserve">dhurvī</w:t>
      </w:r>
      <w:r>
        <w:t xml:space="preserve"> </w:t>
      </w:r>
      <w:r>
        <w:t xml:space="preserve">in the sense of harm,</w:t>
      </w:r>
      <w:r>
        <w:t xml:space="preserve"> </w:t>
      </w:r>
      <w:r>
        <w:rPr>
          <w:iCs/>
          <w:i/>
        </w:rPr>
        <w:t xml:space="preserve">ktic</w:t>
      </w:r>
      <w:r>
        <w:t xml:space="preserve"> </w:t>
      </w:r>
      <w:r>
        <w:t xml:space="preserve">by</w:t>
      </w:r>
      <w:r>
        <w:t xml:space="preserve"> </w:t>
      </w:r>
      <w:r>
        <w:rPr>
          <w:iCs/>
          <w:i/>
        </w:rPr>
        <w:t xml:space="preserve">kticktau ca saṃjñāyām</w:t>
      </w:r>
      <w:r>
        <w:t xml:space="preserve">, no</w:t>
      </w:r>
      <w:r>
        <w:t xml:space="preserve"> </w:t>
      </w:r>
      <w:r>
        <w:rPr>
          <w:iCs/>
          <w:i/>
        </w:rPr>
        <w:t xml:space="preserve">iṭ</w:t>
      </w:r>
      <w:r>
        <w:t xml:space="preserve"> </w:t>
      </w:r>
      <w:r>
        <w:t xml:space="preserve">by</w:t>
      </w:r>
      <w:r>
        <w:t xml:space="preserve"> </w:t>
      </w:r>
      <w:r>
        <w:rPr>
          <w:iCs/>
          <w:i/>
        </w:rPr>
        <w:t xml:space="preserve">titutra…</w:t>
      </w:r>
      <w:r>
        <w:t xml:space="preserve">, the penultimate lengthened by Pā. 7-1-101; overriding the loss before</w:t>
      </w:r>
      <w:r>
        <w:t xml:space="preserve"> </w:t>
      </w:r>
      <w:r>
        <w:rPr>
          <w:iCs/>
          <w:i/>
        </w:rPr>
        <w:t xml:space="preserve">val</w:t>
      </w:r>
      <w:r>
        <w:t xml:space="preserve">,</w:t>
      </w:r>
      <w:r>
        <w:t xml:space="preserve"> </w:t>
      </w:r>
      <w:r>
        <w:rPr>
          <w:iCs/>
          <w:i/>
        </w:rPr>
        <w:t xml:space="preserve">ūṭh</w:t>
      </w:r>
      <w:r>
        <w:t xml:space="preserve"> </w:t>
      </w:r>
      <w:r>
        <w:t xml:space="preserve">being due (Pā. 6-4-19), the</w:t>
      </w:r>
      <w:r>
        <w:t xml:space="preserve"> </w:t>
      </w:r>
      <w:r>
        <w:rPr>
          <w:iCs/>
          <w:i/>
        </w:rPr>
        <w:t xml:space="preserve">v</w:t>
      </w:r>
      <w:r>
        <w:t xml:space="preserve"> </w:t>
      </w:r>
      <w:r>
        <w:t xml:space="preserve">lost by</w:t>
      </w:r>
      <w:r>
        <w:t xml:space="preserve"> </w:t>
      </w:r>
      <w:r>
        <w:rPr>
          <w:iCs/>
          <w:i/>
        </w:rPr>
        <w:t xml:space="preserve">rāl lopaḥ</w:t>
      </w:r>
      <w:r>
        <w:t xml:space="preserve"> </w:t>
      </w:r>
      <w:r>
        <w:t xml:space="preserve">(Pā. 6-4-21);</w:t>
      </w:r>
      <w:r>
        <w:t xml:space="preserve"> </w:t>
      </w:r>
      <w:r>
        <w:rPr>
          <w:iCs/>
          <w:i/>
        </w:rPr>
        <w:t xml:space="preserve">praṇak</w:t>
      </w:r>
      <w:r>
        <w:t xml:space="preserve">,</w:t>
      </w:r>
      <w:r>
        <w:t xml:space="preserve"> </w:t>
      </w:r>
      <w:r>
        <w:rPr>
          <w:iCs/>
          <w:i/>
        </w:rPr>
        <w:t xml:space="preserve">pṛcī saṃparke</w:t>
      </w:r>
      <w:r>
        <w:t xml:space="preserve">,</w:t>
      </w:r>
      <w:r>
        <w:t xml:space="preserve"> </w:t>
      </w:r>
      <w:r>
        <w:rPr>
          <w:iCs/>
          <w:i/>
        </w:rPr>
        <w:t xml:space="preserve">tip</w:t>
      </w:r>
      <w:r>
        <w:t xml:space="preserve"> </w:t>
      </w:r>
      <w:r>
        <w:t xml:space="preserve">for</w:t>
      </w:r>
      <w:r>
        <w:t xml:space="preserve"> </w:t>
      </w:r>
      <w:r>
        <w:rPr>
          <w:iCs/>
          <w:i/>
        </w:rPr>
        <w:t xml:space="preserve">laṅ</w:t>
      </w:r>
      <w:r>
        <w:t xml:space="preserve">, the</w:t>
      </w:r>
      <w:r>
        <w:t xml:space="preserve"> </w:t>
      </w:r>
      <w:r>
        <w:rPr>
          <w:iCs/>
          <w:i/>
        </w:rPr>
        <w:t xml:space="preserve">i</w:t>
      </w:r>
      <w:r>
        <w:t xml:space="preserve"> </w:t>
      </w:r>
      <w:r>
        <w:t xml:space="preserve">lost by</w:t>
      </w:r>
      <w:r>
        <w:t xml:space="preserve"> </w:t>
      </w:r>
      <w:r>
        <w:rPr>
          <w:iCs/>
          <w:i/>
        </w:rPr>
        <w:t xml:space="preserve">itaś ca</w:t>
      </w:r>
      <w:r>
        <w:t xml:space="preserve">,</w:t>
      </w:r>
      <w:r>
        <w:t xml:space="preserve"> </w:t>
      </w:r>
      <w:r>
        <w:rPr>
          <w:iCs/>
          <w:i/>
        </w:rPr>
        <w:t xml:space="preserve">halṅyādi</w:t>
      </w:r>
      <w:r>
        <w:t xml:space="preserve"> </w:t>
      </w:r>
      <w:r>
        <w:t xml:space="preserve">loss, the guttural,</w:t>
      </w:r>
      <w:r>
        <w:t xml:space="preserve"> </w:t>
      </w:r>
      <w:r>
        <w:rPr>
          <w:iCs/>
          <w:i/>
        </w:rPr>
        <w:t xml:space="preserve">śnam</w:t>
      </w:r>
      <w:r>
        <w:t xml:space="preserve"> </w:t>
      </w:r>
      <w:r>
        <w:t xml:space="preserve">by</w:t>
      </w:r>
      <w:r>
        <w:t xml:space="preserve"> </w:t>
      </w:r>
      <w:r>
        <w:rPr>
          <w:iCs/>
          <w:i/>
        </w:rPr>
        <w:t xml:space="preserve">rudhādibhyaḥ</w:t>
      </w:r>
      <w:r>
        <w:t xml:space="preserve">, for it the augment</w:t>
      </w:r>
      <w:r>
        <w:t xml:space="preserve"> </w:t>
      </w:r>
      <w:r>
        <w:rPr>
          <w:iCs/>
          <w:i/>
        </w:rPr>
        <w:t xml:space="preserve">āṭ</w:t>
      </w:r>
      <w:r>
        <w:t xml:space="preserve"> </w:t>
      </w:r>
      <w:r>
        <w:t xml:space="preserve">by Pā. 3-1-85,</w:t>
      </w:r>
      <w:r>
        <w:t xml:space="preserve"> </w:t>
      </w:r>
      <w:r>
        <w:rPr>
          <w:iCs/>
          <w:i/>
        </w:rPr>
        <w:t xml:space="preserve">yaṇ</w:t>
      </w:r>
      <w:r>
        <w:t xml:space="preserve">, the</w:t>
      </w:r>
      <w:r>
        <w:t xml:space="preserve"> </w:t>
      </w:r>
      <w:r>
        <w:rPr>
          <w:iCs/>
          <w:i/>
        </w:rPr>
        <w:t xml:space="preserve">a</w:t>
      </w:r>
      <w:r>
        <w:t xml:space="preserve"> </w:t>
      </w:r>
      <w:r>
        <w:t xml:space="preserve">made udātta by exchange, overriding the unaccentedness of augments, not lowered by</w:t>
      </w:r>
      <w:r>
        <w:t xml:space="preserve"> </w:t>
      </w:r>
      <w:r>
        <w:rPr>
          <w:iCs/>
          <w:i/>
        </w:rPr>
        <w:t xml:space="preserve">cādilope vibhāṣā</w:t>
      </w:r>
      <w:r>
        <w:t xml:space="preserve">;</w:t>
      </w:r>
      <w:r>
        <w:t xml:space="preserve"> </w:t>
      </w:r>
      <w:r>
        <w:rPr>
          <w:iCs/>
          <w:i/>
        </w:rPr>
        <w:t xml:space="preserve">martyasya</w:t>
      </w:r>
      <w:r>
        <w:t xml:space="preserve">,</w:t>
      </w:r>
      <w:r>
        <w:t xml:space="preserve"> </w:t>
      </w:r>
      <w:r>
        <w:rPr>
          <w:iCs/>
          <w:i/>
        </w:rPr>
        <w:t xml:space="preserve">mṛṅ prāṇatyāge</w:t>
      </w:r>
      <w:r>
        <w:t xml:space="preserve">, the Uṇādi</w:t>
      </w:r>
      <w:r>
        <w:t xml:space="preserve"> </w:t>
      </w:r>
      <w:r>
        <w:rPr>
          <w:iCs/>
          <w:i/>
        </w:rPr>
        <w:t xml:space="preserve">tan</w:t>
      </w:r>
      <w:r>
        <w:t xml:space="preserve"> </w:t>
      </w:r>
      <w:r>
        <w:t xml:space="preserve">by</w:t>
      </w:r>
      <w:r>
        <w:t xml:space="preserve"> </w:t>
      </w:r>
      <w:r>
        <w:rPr>
          <w:iCs/>
          <w:i/>
        </w:rPr>
        <w:t xml:space="preserve">asihasimṛ…</w:t>
      </w:r>
      <w:r>
        <w:t xml:space="preserve"> </w:t>
      </w:r>
      <w:r>
        <w:t xml:space="preserve">(Uṇ. 3-86 [?]),</w:t>
      </w:r>
      <w:r>
        <w:t xml:space="preserve"> </w:t>
      </w:r>
      <w:r>
        <w:rPr>
          <w:iCs/>
          <w:i/>
        </w:rPr>
        <w:t xml:space="preserve">yat</w:t>
      </w:r>
      <w:r>
        <w:t xml:space="preserve"> </w:t>
      </w:r>
      <w:r>
        <w:t xml:space="preserve">by</w:t>
      </w:r>
      <w:r>
        <w:t xml:space="preserve"> </w:t>
      </w:r>
      <w:r>
        <w:rPr>
          <w:iCs/>
          <w:i/>
        </w:rPr>
        <w:t xml:space="preserve">bhave chandasi</w:t>
      </w:r>
      <w:r>
        <w:t xml:space="preserve"> </w:t>
      </w:r>
      <w:r>
        <w:t xml:space="preserve">in</w:t>
      </w:r>
      <w:r>
        <w:t xml:space="preserve"> </w:t>
      </w:r>
      <w:r>
        <w:t xml:space="preserve">“</w:t>
      </w:r>
      <w:r>
        <w:t xml:space="preserve">being among mortals</w:t>
      </w:r>
      <w:r>
        <w:t xml:space="preserve">”</w:t>
      </w:r>
      <w:r>
        <w:t xml:space="preserve">, initial udātta by</w:t>
      </w:r>
      <w:r>
        <w:t xml:space="preserve"> </w:t>
      </w:r>
      <w:r>
        <w:rPr>
          <w:iCs/>
          <w:i/>
        </w:rPr>
        <w:t xml:space="preserve">yato ’nāvaḥ</w:t>
      </w:r>
      <w:r>
        <w:t xml:space="preserve">;</w:t>
      </w:r>
      <w:r>
        <w:t xml:space="preserve"> </w:t>
      </w:r>
      <w:r>
        <w:rPr>
          <w:iCs/>
          <w:i/>
        </w:rPr>
        <w:t xml:space="preserve">rakṣa</w:t>
      </w:r>
      <w:r>
        <w:t xml:space="preserve">,</w:t>
      </w:r>
      <w:r>
        <w:t xml:space="preserve"> </w:t>
      </w:r>
      <w:r>
        <w:rPr>
          <w:iCs/>
          <w:i/>
        </w:rPr>
        <w:t xml:space="preserve">rakṣa pālane</w:t>
      </w:r>
      <w:r>
        <w:t xml:space="preserve">,</w:t>
      </w:r>
      <w:r>
        <w:t xml:space="preserve"> </w:t>
      </w:r>
      <w:r>
        <w:rPr>
          <w:iCs/>
          <w:i/>
        </w:rPr>
        <w:t xml:space="preserve">śap</w:t>
      </w:r>
      <w:r>
        <w:t xml:space="preserve"> </w:t>
      </w:r>
      <w:r>
        <w:t xml:space="preserve">unaccented as</w:t>
      </w:r>
      <w:r>
        <w:t xml:space="preserve"> </w:t>
      </w:r>
      <w:r>
        <w:rPr>
          <w:iCs/>
          <w:i/>
        </w:rPr>
        <w:t xml:space="preserve">pit</w:t>
      </w:r>
      <w:r>
        <w:t xml:space="preserve">, the root accent stays, not lowered at the start of the</w:t>
      </w:r>
      <w:r>
        <w:t xml:space="preserve"> </w:t>
      </w:r>
      <w:r>
        <w:rPr>
          <w:iCs/>
          <w:i/>
        </w:rPr>
        <w:t xml:space="preserve">pāda</w:t>
      </w:r>
      <w:r>
        <w:t xml:space="preserve">;</w:t>
      </w:r>
      <w:r>
        <w:t xml:space="preserve"> </w:t>
      </w:r>
      <w:r>
        <w:rPr>
          <w:iCs/>
          <w:i/>
        </w:rPr>
        <w:t xml:space="preserve">rakṣā ṇaḥ</w:t>
      </w:r>
      <w:r>
        <w:t xml:space="preserve">, lengthened by</w:t>
      </w:r>
      <w:r>
        <w:t xml:space="preserve"> </w:t>
      </w:r>
      <w:r>
        <w:rPr>
          <w:iCs/>
          <w:i/>
        </w:rPr>
        <w:t xml:space="preserve">dvyaco ’tas tiṅaḥ</w:t>
      </w:r>
      <w:r>
        <w:t xml:space="preserve">,</w:t>
      </w:r>
      <w:r>
        <w:t xml:space="preserve"> </w:t>
      </w:r>
      <w:r>
        <w:rPr>
          <w:iCs/>
          <w:i/>
        </w:rPr>
        <w:t xml:space="preserve">ṇ</w:t>
      </w:r>
      <w:r>
        <w:t xml:space="preserve"> </w:t>
      </w:r>
      <w:r>
        <w:t xml:space="preserve">for the</w:t>
      </w:r>
      <w:r>
        <w:t xml:space="preserve"> </w:t>
      </w:r>
      <w:r>
        <w:rPr>
          <w:iCs/>
          <w:i/>
        </w:rPr>
        <w:t xml:space="preserve">n</w:t>
      </w:r>
      <w:r>
        <w:t xml:space="preserve"> </w:t>
      </w:r>
      <w:r>
        <w:t xml:space="preserve">of</w:t>
      </w:r>
      <w:r>
        <w:t xml:space="preserve"> </w:t>
      </w:r>
      <w:r>
        <w:rPr>
          <w:iCs/>
          <w:i/>
        </w:rPr>
        <w:t xml:space="preserve">nas</w:t>
      </w:r>
      <w:r>
        <w:t xml:space="preserve"> </w:t>
      </w:r>
      <w:r>
        <w:t xml:space="preserve">though not after a preverb, by the</w:t>
      </w:r>
      <w:r>
        <w:t xml:space="preserve"> </w:t>
      </w:r>
      <w:r>
        <w:rPr>
          <w:iCs/>
          <w:i/>
        </w:rPr>
        <w:t xml:space="preserve">bahula</w:t>
      </w:r>
      <w:r>
        <w:t xml:space="preserve"> </w:t>
      </w:r>
      <w:r>
        <w:t xml:space="preserve">of Pā. 8-4-28;</w:t>
      </w:r>
      <w:r>
        <w:t xml:space="preserve"> </w:t>
      </w:r>
      <w:r>
        <w:rPr>
          <w:iCs/>
          <w:i/>
        </w:rPr>
        <w:t xml:space="preserve">brahmaṇaspate</w:t>
      </w:r>
      <w:r>
        <w:t xml:space="preserve">,</w:t>
      </w:r>
      <w:r>
        <w:t xml:space="preserve"> </w:t>
      </w:r>
      <w:r>
        <w:rPr>
          <w:iCs/>
          <w:i/>
        </w:rPr>
        <w:t xml:space="preserve">s</w:t>
      </w:r>
      <w:r>
        <w:t xml:space="preserve"> </w:t>
      </w:r>
      <w:r>
        <w:t xml:space="preserve">for the visarga in the Saṃhitā by</w:t>
      </w:r>
      <w:r>
        <w:t xml:space="preserve"> </w:t>
      </w:r>
      <w:r>
        <w:rPr>
          <w:iCs/>
          <w:i/>
        </w:rPr>
        <w:t xml:space="preserve">ṣaṣṭhyāḥ patiputra…</w:t>
      </w:r>
      <w:r>
        <w:t xml:space="preserve">, both words unaccented as a vocative by</w:t>
      </w:r>
      <w:r>
        <w:t xml:space="preserve"> </w:t>
      </w:r>
      <w:r>
        <w:rPr>
          <w:iCs/>
          <w:i/>
        </w:rPr>
        <w:t xml:space="preserve">parāṅgavadbhāva</w:t>
      </w:r>
      <w:r>
        <w:t xml:space="preserve">.)</w:t>
      </w:r>
    </w:p>
    <w:p>
      <w:pPr>
        <w:pStyle w:val="BodyText"/>
      </w:pPr>
      <w:r>
        <w:rPr>
          <w:bCs/>
          <w:b/>
        </w:rPr>
        <w:t xml:space="preserve">॥ Prati-padārthaḥ ॥</w:t>
      </w:r>
    </w:p>
    <w:p>
      <w:pPr>
        <w:pStyle w:val="BodyText"/>
      </w:pPr>
      <w:r>
        <w:rPr>
          <w:bCs/>
          <w:b/>
        </w:rPr>
        <w:t xml:space="preserve">अररुषः (araruṣaḥ)</w:t>
      </w:r>
      <w:r>
        <w:t xml:space="preserve"> </w:t>
      </w:r>
      <w:r>
        <w:t xml:space="preserve">— come with the intent to harm (in the form of an enemy) |</w:t>
      </w:r>
      <w:r>
        <w:t xml:space="preserve"> </w:t>
      </w:r>
      <w:r>
        <w:rPr>
          <w:bCs/>
          <w:b/>
        </w:rPr>
        <w:t xml:space="preserve">मर्त्यस्य (martyasya)</w:t>
      </w:r>
      <w:r>
        <w:t xml:space="preserve"> </w:t>
      </w:r>
      <w:r>
        <w:t xml:space="preserve">— of a man |</w:t>
      </w:r>
      <w:r>
        <w:t xml:space="preserve"> </w:t>
      </w:r>
      <w:r>
        <w:rPr>
          <w:bCs/>
          <w:b/>
        </w:rPr>
        <w:t xml:space="preserve">धूर्तिः (dhūrtiḥ)</w:t>
      </w:r>
      <w:r>
        <w:t xml:space="preserve"> </w:t>
      </w:r>
      <w:r>
        <w:t xml:space="preserve">— causing harm |</w:t>
      </w:r>
      <w:r>
        <w:t xml:space="preserve"> </w:t>
      </w:r>
      <w:r>
        <w:rPr>
          <w:bCs/>
          <w:b/>
        </w:rPr>
        <w:t xml:space="preserve">शंसः (śaṃsaḥ)</w:t>
      </w:r>
      <w:r>
        <w:t xml:space="preserve"> </w:t>
      </w:r>
      <w:r>
        <w:t xml:space="preserve">— speech in the form of reviling |</w:t>
      </w:r>
      <w:r>
        <w:t xml:space="preserve"> </w:t>
      </w:r>
      <w:r>
        <w:rPr>
          <w:bCs/>
          <w:b/>
        </w:rPr>
        <w:t xml:space="preserve">नः (naḥ)</w:t>
      </w:r>
      <w:r>
        <w:t xml:space="preserve"> </w:t>
      </w:r>
      <w:r>
        <w:t xml:space="preserve">— us |</w:t>
      </w:r>
      <w:r>
        <w:t xml:space="preserve"> </w:t>
      </w:r>
      <w:r>
        <w:rPr>
          <w:bCs/>
          <w:b/>
        </w:rPr>
        <w:t xml:space="preserve">मा प्रणक् (mā praṇak)</w:t>
      </w:r>
      <w:r>
        <w:t xml:space="preserve"> </w:t>
      </w:r>
      <w:r>
        <w:t xml:space="preserve">— may it not touch (for that) |</w:t>
      </w:r>
      <w:r>
        <w:t xml:space="preserve"> </w:t>
      </w:r>
      <w:r>
        <w:rPr>
          <w:bCs/>
          <w:b/>
        </w:rPr>
        <w:t xml:space="preserve">हे ब्रह्मणस्पते (he brahmaṇaspate)</w:t>
      </w:r>
      <w:r>
        <w:t xml:space="preserve"> </w:t>
      </w:r>
      <w:r>
        <w:t xml:space="preserve">— O Brahmaṇaspati |</w:t>
      </w:r>
      <w:r>
        <w:t xml:space="preserve"> </w:t>
      </w:r>
      <w:r>
        <w:rPr>
          <w:bCs/>
          <w:b/>
        </w:rPr>
        <w:t xml:space="preserve">नः (naḥ)</w:t>
      </w:r>
      <w:r>
        <w:t xml:space="preserve"> </w:t>
      </w:r>
      <w:r>
        <w:t xml:space="preserve">— us |</w:t>
      </w:r>
      <w:r>
        <w:t xml:space="preserve"> </w:t>
      </w:r>
      <w:r>
        <w:rPr>
          <w:bCs/>
          <w:b/>
        </w:rPr>
        <w:t xml:space="preserve">रक्ष (rakṣa)</w:t>
      </w:r>
      <w:r>
        <w:t xml:space="preserve"> </w:t>
      </w:r>
      <w:r>
        <w:t xml:space="preserve">— protect.</w:t>
      </w:r>
    </w:p>
    <w:p>
      <w:pPr>
        <w:pStyle w:val="BodyText"/>
      </w:pPr>
      <w:r>
        <w:rPr>
          <w:bCs/>
          <w:b/>
        </w:rPr>
        <w:t xml:space="preserve">॥ Bhāvārthaḥ ॥</w:t>
      </w:r>
    </w:p>
    <w:p>
      <w:pPr>
        <w:pStyle w:val="BodyText"/>
      </w:pPr>
      <w:r>
        <w:t xml:space="preserve">O Brahmaṇaspati, protect us so that no trouble comes to us from the reviling words our enemies speak.</w:t>
      </w:r>
    </w:p>
    <w:p>
      <w:pPr>
        <w:pStyle w:val="BodyText"/>
      </w:pPr>
      <w:r>
        <w:rPr>
          <w:bCs/>
          <w:b/>
        </w:rPr>
        <w:t xml:space="preserve">॥ English Translation ॥</w:t>
      </w:r>
      <w:r>
        <w:t xml:space="preserve"> </w:t>
      </w:r>
      <w:r>
        <w:rPr>
          <w:iCs/>
          <w:i/>
        </w:rPr>
        <w:t xml:space="preserve">(as printed in the source)</w:t>
      </w:r>
    </w:p>
    <w:p>
      <w:pPr>
        <w:pStyle w:val="BlockText"/>
      </w:pPr>
      <w:r>
        <w:t xml:space="preserve">May the harmful imprecation of the wicked mortal not reach us ; protect us, O Brahmanaspati.</w:t>
      </w:r>
    </w:p>
    <w:p>
      <w:pPr>
        <w:pStyle w:val="FirstParagraph"/>
      </w:pPr>
      <w:r>
        <w:rPr>
          <w:bCs/>
          <w:b/>
        </w:rPr>
        <w:t xml:space="preserve">॥ Viśeṣa-viṣayagaḷu (Special Topics) ॥</w:t>
      </w:r>
    </w:p>
    <w:p>
      <w:pPr>
        <w:pStyle w:val="BodyText"/>
      </w:pPr>
      <w:r>
        <w:rPr>
          <w:bCs/>
          <w:b/>
        </w:rPr>
        <w:t xml:space="preserve">Śaṃsaḥ</w:t>
      </w:r>
      <w:r>
        <w:t xml:space="preserve">:</w:t>
      </w:r>
      <w:r>
        <w:t xml:space="preserve"> </w:t>
      </w:r>
      <w:r>
        <w:rPr>
          <w:iCs/>
          <w:i/>
        </w:rPr>
        <w:t xml:space="preserve">śaṃsanam</w:t>
      </w:r>
      <w:r>
        <w:t xml:space="preserve">. Though this word means speech, saying, here the commentator has supported the sense, for the words</w:t>
      </w:r>
      <w:r>
        <w:t xml:space="preserve"> </w:t>
      </w:r>
      <w:r>
        <w:rPr>
          <w:iCs/>
          <w:i/>
        </w:rPr>
        <w:t xml:space="preserve">dhūrtiḥ śaṃsaḥ</w:t>
      </w:r>
      <w:r>
        <w:t xml:space="preserve">, of reviling words, bad words, abuse, words joined with the wish that harm come.</w:t>
      </w:r>
    </w:p>
    <w:bookmarkEnd w:id="839"/>
    <w:bookmarkStart w:id="840" w:name="X94833a88f3c3eab0493727a2fa5a02899beed29"/>
    <w:p>
      <w:pPr>
        <w:pStyle w:val="Heading3"/>
      </w:pPr>
      <w:r>
        <w:t xml:space="preserve">Page 761 — Rik 3: Special Topics (end) and grammar</w:t>
      </w:r>
    </w:p>
    <w:p>
      <w:pPr>
        <w:pStyle w:val="FirstParagraph"/>
      </w:pPr>
      <w:r>
        <w:rPr>
          <w:bCs/>
          <w:b/>
        </w:rPr>
        <w:t xml:space="preserve">Araruṣaḥ martyasya</w:t>
      </w:r>
      <w:r>
        <w:t xml:space="preserve">: of a man with the intent to do harm or trouble.</w:t>
      </w:r>
    </w:p>
    <w:p>
      <w:pPr>
        <w:pStyle w:val="BodyText"/>
      </w:pPr>
      <w:r>
        <w:rPr>
          <w:bCs/>
          <w:b/>
        </w:rPr>
        <w:t xml:space="preserve">Mā praṇak</w:t>
      </w:r>
      <w:r>
        <w:t xml:space="preserve">:</w:t>
      </w:r>
    </w:p>
    <w:p>
      <w:pPr>
        <w:pStyle w:val="BlockText"/>
      </w:pPr>
      <w:r>
        <w:t xml:space="preserve">मा संपृणक्तु ॥</w:t>
      </w:r>
    </w:p>
    <w:p>
      <w:pPr>
        <w:pStyle w:val="BlockText"/>
      </w:pPr>
      <w:r>
        <w:rPr>
          <w:iCs/>
          <w:i/>
        </w:rPr>
        <w:t xml:space="preserve">mā saṃpṛṇaktu ||</w:t>
      </w:r>
    </w:p>
    <w:p>
      <w:pPr>
        <w:pStyle w:val="FirstParagraph"/>
      </w:pPr>
      <w:r>
        <w:t xml:space="preserve">(</w:t>
      </w:r>
      <w:r>
        <w:t xml:space="preserve">“</w:t>
      </w:r>
      <w:r>
        <w:t xml:space="preserve">May it not touch.</w:t>
      </w:r>
      <w:r>
        <w:t xml:space="preserve">”</w:t>
      </w:r>
      <w:r>
        <w:t xml:space="preserve">) May it not touch:</w:t>
      </w:r>
      <w:r>
        <w:t xml:space="preserve"> </w:t>
      </w:r>
      <w:r>
        <w:t xml:space="preserve">“</w:t>
      </w:r>
      <w:r>
        <w:t xml:space="preserve">not reach us</w:t>
      </w:r>
      <w:r>
        <w:t xml:space="preserve">”</w:t>
      </w:r>
      <w:r>
        <w:t xml:space="preserve">. The word</w:t>
      </w:r>
      <w:r>
        <w:t xml:space="preserve"> </w:t>
      </w:r>
      <w:r>
        <w:rPr>
          <w:iCs/>
          <w:i/>
        </w:rPr>
        <w:t xml:space="preserve">mā</w:t>
      </w:r>
      <w:r>
        <w:t xml:space="preserve"> </w:t>
      </w:r>
      <w:r>
        <w:t xml:space="preserve">expresses prohibition.</w:t>
      </w:r>
    </w:p>
    <w:p>
      <w:pPr>
        <w:pStyle w:val="BodyText"/>
      </w:pPr>
      <w:r>
        <w:rPr>
          <w:bCs/>
          <w:b/>
        </w:rPr>
        <w:t xml:space="preserve">Rakṣa</w:t>
      </w:r>
      <w:r>
        <w:t xml:space="preserve">: the last syllable of this word is long in the Saṃhitā-pāṭha to suit the metre.</w:t>
      </w:r>
    </w:p>
    <w:p>
      <w:pPr>
        <w:pStyle w:val="BodyText"/>
      </w:pPr>
      <w:r>
        <w:rPr>
          <w:bCs/>
          <w:b/>
        </w:rPr>
        <w:t xml:space="preserve">॥ Vyākaraṇa-prakriyā ॥</w:t>
      </w:r>
      <w:r>
        <w:t xml:space="preserve"> </w:t>
      </w:r>
      <w:r>
        <w:rPr>
          <w:iCs/>
          <w:i/>
        </w:rPr>
        <w:t xml:space="preserve">(grammar pages 761–764, noted briefly)</w:t>
      </w:r>
    </w:p>
    <w:p>
      <w:pPr>
        <w:pStyle w:val="BodyText"/>
      </w:pPr>
      <w:r>
        <w:rPr>
          <w:bCs/>
          <w:b/>
        </w:rPr>
        <w:t xml:space="preserve">मा (</w:t>
      </w:r>
      <w:r>
        <w:rPr>
          <w:iCs/>
          <w:i/>
          <w:bCs/>
          <w:b/>
        </w:rPr>
        <w:t xml:space="preserve">mā</w:t>
      </w:r>
      <w:r>
        <w:rPr>
          <w:bCs/>
          <w:b/>
        </w:rPr>
        <w:t xml:space="preserve">)</w:t>
      </w:r>
      <w:r>
        <w:t xml:space="preserve">: this is a particle; so it is initial udātta by</w:t>
      </w:r>
      <w:r>
        <w:t xml:space="preserve"> </w:t>
      </w:r>
      <w:r>
        <w:t xml:space="preserve">“</w:t>
      </w:r>
      <w:r>
        <w:t xml:space="preserve">nipātā ādyudāttāḥ</w:t>
      </w:r>
      <w:r>
        <w:t xml:space="preserve">”</w:t>
      </w:r>
      <w:r>
        <w:t xml:space="preserve"> </w:t>
      </w:r>
      <w:r>
        <w:t xml:space="preserve">(Pā. sū.</w:t>
      </w:r>
      <w:r>
        <w:t xml:space="preserve"> </w:t>
      </w:r>
      <w:r>
        <w:t xml:space="preserve">“</w:t>
      </w:r>
      <w:r>
        <w:t xml:space="preserve">80</w:t>
      </w:r>
      <w:r>
        <w:t xml:space="preserve">”</w:t>
      </w:r>
      <w:r>
        <w:t xml:space="preserve"> </w:t>
      </w:r>
      <w:r>
        <w:t xml:space="preserve">[as printed; a Phiṭ-sūtra]).</w:t>
      </w:r>
    </w:p>
    <w:p>
      <w:pPr>
        <w:pStyle w:val="BodyText"/>
      </w:pPr>
      <w:r>
        <w:rPr>
          <w:bCs/>
          <w:b/>
        </w:rPr>
        <w:t xml:space="preserve">शंसः (</w:t>
      </w:r>
      <w:r>
        <w:rPr>
          <w:iCs/>
          <w:i/>
          <w:bCs/>
          <w:b/>
        </w:rPr>
        <w:t xml:space="preserve">śaṃsaḥ</w:t>
      </w:r>
      <w:r>
        <w:rPr>
          <w:bCs/>
          <w:b/>
        </w:rPr>
        <w:t xml:space="preserve">)</w:t>
      </w:r>
      <w:r>
        <w:t xml:space="preserve">: the root</w:t>
      </w:r>
      <w:r>
        <w:t xml:space="preserve"> </w:t>
      </w:r>
      <w:r>
        <w:rPr>
          <w:iCs/>
          <w:i/>
        </w:rPr>
        <w:t xml:space="preserve">śaṃsu stutau</w:t>
      </w:r>
      <w:r>
        <w:t xml:space="preserve">. By</w:t>
      </w:r>
      <w:r>
        <w:t xml:space="preserve"> </w:t>
      </w:r>
      <w:r>
        <w:t xml:space="preserve">“</w:t>
      </w:r>
      <w:r>
        <w:t xml:space="preserve">bhāve</w:t>
      </w:r>
      <w:r>
        <w:t xml:space="preserve">”</w:t>
      </w:r>
      <w:r>
        <w:t xml:space="preserve"> </w:t>
      </w:r>
      <w:r>
        <w:t xml:space="preserve">(Pā. sū. 3-3-18)</w:t>
      </w:r>
      <w:r>
        <w:t xml:space="preserve"> </w:t>
      </w:r>
      <w:r>
        <w:rPr>
          <w:iCs/>
          <w:i/>
        </w:rPr>
        <w:t xml:space="preserve">ghañ</w:t>
      </w:r>
      <w:r>
        <w:t xml:space="preserve"> </w:t>
      </w:r>
      <w:r>
        <w:t xml:space="preserve">in the sense of the action; being</w:t>
      </w:r>
      <w:r>
        <w:t xml:space="preserve"> </w:t>
      </w:r>
      <w:r>
        <w:rPr>
          <w:iCs/>
          <w:i/>
        </w:rPr>
        <w:t xml:space="preserve">ñit</w:t>
      </w:r>
      <w:r>
        <w:t xml:space="preserve">, it is initial udātta by</w:t>
      </w:r>
      <w:r>
        <w:t xml:space="preserve"> </w:t>
      </w:r>
      <w:r>
        <w:rPr>
          <w:iCs/>
          <w:i/>
        </w:rPr>
        <w:t xml:space="preserve">ñnityādir nityam</w:t>
      </w:r>
      <w:r>
        <w:t xml:space="preserve">. The analysis is</w:t>
      </w:r>
      <w:r>
        <w:t xml:space="preserve"> </w:t>
      </w:r>
      <w:r>
        <w:rPr>
          <w:iCs/>
          <w:i/>
        </w:rPr>
        <w:t xml:space="preserve">śaṃsanaṃ śaṃsaḥ</w:t>
      </w:r>
      <w:r>
        <w:t xml:space="preserve">.</w:t>
      </w:r>
    </w:p>
    <w:p>
      <w:pPr>
        <w:pStyle w:val="BodyText"/>
      </w:pPr>
      <w:r>
        <w:rPr>
          <w:bCs/>
          <w:b/>
        </w:rPr>
        <w:t xml:space="preserve">अररुषः (</w:t>
      </w:r>
      <w:r>
        <w:rPr>
          <w:iCs/>
          <w:i/>
          <w:bCs/>
          <w:b/>
        </w:rPr>
        <w:t xml:space="preserve">araruṣaḥ</w:t>
      </w:r>
      <w:r>
        <w:rPr>
          <w:bCs/>
          <w:b/>
        </w:rPr>
        <w:t xml:space="preserve">)</w:t>
      </w:r>
      <w:r>
        <w:t xml:space="preserve">: by</w:t>
      </w:r>
      <w:r>
        <w:t xml:space="preserve"> </w:t>
      </w:r>
      <w:r>
        <w:t xml:space="preserve">“</w:t>
      </w:r>
      <w:r>
        <w:t xml:space="preserve">arter aruḥ</w:t>
      </w:r>
      <w:r>
        <w:t xml:space="preserve">”</w:t>
      </w:r>
      <w:r>
        <w:t xml:space="preserve"> </w:t>
      </w:r>
      <w:r>
        <w:t xml:space="preserve">(Uṇ. sū.</w:t>
      </w:r>
      <w:r>
        <w:t xml:space="preserve"> </w:t>
      </w:r>
      <w:r>
        <w:t xml:space="preserve">“</w:t>
      </w:r>
      <w:r>
        <w:t xml:space="preserve">4-5[?]</w:t>
      </w:r>
      <w:r>
        <w:t xml:space="preserve">”</w:t>
      </w:r>
      <w:r>
        <w:t xml:space="preserve"> </w:t>
      </w:r>
      <w:r>
        <w:t xml:space="preserve">[?]) the suffix</w:t>
      </w:r>
      <w:r>
        <w:t xml:space="preserve"> </w:t>
      </w:r>
      <w:r>
        <w:rPr>
          <w:iCs/>
          <w:i/>
        </w:rPr>
        <w:t xml:space="preserve">arus</w:t>
      </w:r>
      <w:r>
        <w:t xml:space="preserve"> </w:t>
      </w:r>
      <w:r>
        <w:t xml:space="preserve">comes after the root</w:t>
      </w:r>
      <w:r>
        <w:t xml:space="preserve"> </w:t>
      </w:r>
      <w:r>
        <w:rPr>
          <w:iCs/>
          <w:i/>
        </w:rPr>
        <w:t xml:space="preserve">ṛ gatau</w:t>
      </w:r>
      <w:r>
        <w:t xml:space="preserve">, with the causative sense included:</w:t>
      </w:r>
      <w:r>
        <w:t xml:space="preserve"> </w:t>
      </w:r>
      <w:r>
        <w:rPr>
          <w:iCs/>
          <w:i/>
        </w:rPr>
        <w:t xml:space="preserve">ṛ</w:t>
      </w:r>
      <w:r>
        <w:t xml:space="preserve"> </w:t>
      </w:r>
      <w:r>
        <w:t xml:space="preserve">+</w:t>
      </w:r>
      <w:r>
        <w:t xml:space="preserve"> </w:t>
      </w:r>
      <w:r>
        <w:rPr>
          <w:iCs/>
          <w:i/>
        </w:rPr>
        <w:t xml:space="preserve">arus</w:t>
      </w:r>
      <w:r>
        <w:t xml:space="preserve">;</w:t>
      </w:r>
      <w:r>
        <w:t xml:space="preserve"> </w:t>
      </w:r>
      <w:r>
        <w:rPr>
          <w:iCs/>
          <w:i/>
        </w:rPr>
        <w:t xml:space="preserve">guṇa</w:t>
      </w:r>
      <w:r>
        <w:t xml:space="preserve"> </w:t>
      </w:r>
      <w:r>
        <w:t xml:space="preserve">by</w:t>
      </w:r>
      <w:r>
        <w:t xml:space="preserve"> </w:t>
      </w:r>
      <w:r>
        <w:t xml:space="preserve">“</w:t>
      </w:r>
      <w:r>
        <w:t xml:space="preserve">sārvadhātukārdhadhātukayoḥ</w:t>
      </w:r>
      <w:r>
        <w:t xml:space="preserve">”</w:t>
      </w:r>
      <w:r>
        <w:t xml:space="preserve"> </w:t>
      </w:r>
      <w:r>
        <w:t xml:space="preserve">(Pā. sū. 7-3-84), followed by</w:t>
      </w:r>
      <w:r>
        <w:t xml:space="preserve"> </w:t>
      </w:r>
      <w:r>
        <w:rPr>
          <w:iCs/>
          <w:i/>
        </w:rPr>
        <w:t xml:space="preserve">r</w:t>
      </w:r>
      <w:r>
        <w:t xml:space="preserve"> </w:t>
      </w:r>
      <w:r>
        <w:t xml:space="preserve">by</w:t>
      </w:r>
      <w:r>
        <w:t xml:space="preserve"> </w:t>
      </w:r>
      <w:r>
        <w:t xml:space="preserve">“</w:t>
      </w:r>
      <w:r>
        <w:t xml:space="preserve">uraṇ raparaḥ</w:t>
      </w:r>
      <w:r>
        <w:t xml:space="preserve">”</w:t>
      </w:r>
      <w:r>
        <w:t xml:space="preserve"> </w:t>
      </w:r>
      <w:r>
        <w:t xml:space="preserve">(Pā. sū. 1-1-51):</w:t>
      </w:r>
      <w:r>
        <w:t xml:space="preserve"> </w:t>
      </w:r>
      <w:r>
        <w:rPr>
          <w:iCs/>
          <w:i/>
        </w:rPr>
        <w:t xml:space="preserve">ar</w:t>
      </w:r>
      <w:r>
        <w:t xml:space="preserve"> </w:t>
      </w:r>
      <w:r>
        <w:t xml:space="preserve">+</w:t>
      </w:r>
      <w:r>
        <w:t xml:space="preserve"> </w:t>
      </w:r>
      <w:r>
        <w:rPr>
          <w:iCs/>
          <w:i/>
        </w:rPr>
        <w:t xml:space="preserve">arus</w:t>
      </w:r>
      <w:r>
        <w:t xml:space="preserve">,</w:t>
      </w:r>
      <w:r>
        <w:t xml:space="preserve"> </w:t>
      </w:r>
      <w:r>
        <w:rPr>
          <w:iCs/>
          <w:i/>
        </w:rPr>
        <w:t xml:space="preserve">ararus</w:t>
      </w:r>
      <w:r>
        <w:t xml:space="preserve">. By</w:t>
      </w:r>
      <w:r>
        <w:t xml:space="preserve"> </w:t>
      </w:r>
      <w:r>
        <w:rPr>
          <w:iCs/>
          <w:i/>
        </w:rPr>
        <w:t xml:space="preserve">ādyudāttaś ca</w:t>
      </w:r>
      <w:r>
        <w:t xml:space="preserve"> </w:t>
      </w:r>
      <w:r>
        <w:t xml:space="preserve">the</w:t>
      </w:r>
      <w:r>
        <w:t xml:space="preserve"> </w:t>
      </w:r>
      <w:r>
        <w:rPr>
          <w:iCs/>
          <w:i/>
        </w:rPr>
        <w:t xml:space="preserve">a</w:t>
      </w:r>
      <w:r>
        <w:t xml:space="preserve"> </w:t>
      </w:r>
      <w:r>
        <w:t xml:space="preserve">of the suffix</w:t>
      </w:r>
      <w:r>
        <w:t xml:space="preserve"> </w:t>
      </w:r>
      <w:r>
        <w:rPr>
          <w:iCs/>
          <w:i/>
        </w:rPr>
        <w:t xml:space="preserve">arus</w:t>
      </w:r>
      <w:r>
        <w:t xml:space="preserve"> </w:t>
      </w:r>
      <w:r>
        <w:t xml:space="preserve">would be udātta; but since the</w:t>
      </w:r>
      <w:r>
        <w:t xml:space="preserve"> </w:t>
      </w:r>
      <w:r>
        <w:rPr>
          <w:iCs/>
          <w:i/>
        </w:rPr>
        <w:t xml:space="preserve">vṛṣa-ādi</w:t>
      </w:r>
      <w:r>
        <w:t xml:space="preserve"> </w:t>
      </w:r>
      <w:r>
        <w:t xml:space="preserve">is an</w:t>
      </w:r>
      <w:r>
        <w:t xml:space="preserve"> </w:t>
      </w:r>
      <w:r>
        <w:rPr>
          <w:iCs/>
          <w:i/>
        </w:rPr>
        <w:t xml:space="preserve">ākṛtigaṇa</w:t>
      </w:r>
      <w:r>
        <w:t xml:space="preserve">, this word is to be included there; so initial udātta comes by</w:t>
      </w:r>
      <w:r>
        <w:t xml:space="preserve"> </w:t>
      </w:r>
      <w:r>
        <w:t xml:space="preserve">“</w:t>
      </w:r>
      <w:r>
        <w:t xml:space="preserve">vṛṣādīnāṃ ca</w:t>
      </w:r>
      <w:r>
        <w:t xml:space="preserve">”</w:t>
      </w:r>
      <w:r>
        <w:t xml:space="preserve"> </w:t>
      </w:r>
      <w:r>
        <w:t xml:space="preserve">(Pā. sū. 6-1-203). Genitive singular</w:t>
      </w:r>
      <w:r>
        <w:t xml:space="preserve"> </w:t>
      </w:r>
      <w:r>
        <w:rPr>
          <w:iCs/>
          <w:i/>
        </w:rPr>
        <w:t xml:space="preserve">ṅas</w:t>
      </w:r>
      <w:r>
        <w:t xml:space="preserve">:</w:t>
      </w:r>
      <w:r>
        <w:t xml:space="preserve"> </w:t>
      </w:r>
      <w:r>
        <w:rPr>
          <w:iCs/>
          <w:i/>
        </w:rPr>
        <w:t xml:space="preserve">ararus</w:t>
      </w:r>
      <w:r>
        <w:t xml:space="preserve"> </w:t>
      </w:r>
      <w:r>
        <w:t xml:space="preserve">+</w:t>
      </w:r>
      <w:r>
        <w:t xml:space="preserve"> </w:t>
      </w:r>
      <w:r>
        <w:rPr>
          <w:iCs/>
          <w:i/>
        </w:rPr>
        <w:t xml:space="preserve">as</w:t>
      </w:r>
      <w:r>
        <w:t xml:space="preserve">; by</w:t>
      </w:r>
      <w:r>
        <w:t xml:space="preserve"> </w:t>
      </w:r>
      <w:r>
        <w:t xml:space="preserve">“</w:t>
      </w:r>
      <w:r>
        <w:t xml:space="preserve">ādeśapratyayayoḥ</w:t>
      </w:r>
      <w:r>
        <w:t xml:space="preserve">”</w:t>
      </w:r>
      <w:r>
        <w:t xml:space="preserve"> </w:t>
      </w:r>
      <w:r>
        <w:t xml:space="preserve">(Pā. sū. 8-3-59)</w:t>
      </w:r>
      <w:r>
        <w:t xml:space="preserve"> </w:t>
      </w:r>
      <w:r>
        <w:rPr>
          <w:iCs/>
          <w:i/>
        </w:rPr>
        <w:t xml:space="preserve">ṣ</w:t>
      </w:r>
      <w:r>
        <w:t xml:space="preserve"> </w:t>
      </w:r>
      <w:r>
        <w:t xml:space="preserve">for the</w:t>
      </w:r>
      <w:r>
        <w:t xml:space="preserve"> </w:t>
      </w:r>
      <w:r>
        <w:rPr>
          <w:iCs/>
          <w:i/>
        </w:rPr>
        <w:t xml:space="preserve">s</w:t>
      </w:r>
      <w:r>
        <w:t xml:space="preserve"> </w:t>
      </w:r>
      <w:r>
        <w:t xml:space="preserve">after the</w:t>
      </w:r>
      <w:r>
        <w:t xml:space="preserve"> </w:t>
      </w:r>
      <w:r>
        <w:rPr>
          <w:iCs/>
          <w:i/>
        </w:rPr>
        <w:t xml:space="preserve">u</w:t>
      </w:r>
      <w:r>
        <w:t xml:space="preserve">;</w:t>
      </w:r>
      <w:r>
        <w:t xml:space="preserve"> </w:t>
      </w:r>
      <w:r>
        <w:rPr>
          <w:iCs/>
          <w:i/>
        </w:rPr>
        <w:t xml:space="preserve">ru</w:t>
      </w:r>
      <w:r>
        <w:t xml:space="preserve"> </w:t>
      </w:r>
      <w:r>
        <w:t xml:space="preserve">for the final</w:t>
      </w:r>
      <w:r>
        <w:t xml:space="preserve"> </w:t>
      </w:r>
      <w:r>
        <w:rPr>
          <w:iCs/>
          <w:i/>
        </w:rPr>
        <w:t xml:space="preserve">s</w:t>
      </w:r>
      <w:r>
        <w:t xml:space="preserve"> </w:t>
      </w:r>
      <w:r>
        <w:t xml:space="preserve">by</w:t>
      </w:r>
      <w:r>
        <w:t xml:space="preserve"> </w:t>
      </w:r>
      <w:r>
        <w:t xml:space="preserve">“</w:t>
      </w:r>
      <w:r>
        <w:t xml:space="preserve">sasajuṣo ruḥ</w:t>
      </w:r>
      <w:r>
        <w:t xml:space="preserve">”</w:t>
      </w:r>
      <w:r>
        <w:t xml:space="preserve"> </w:t>
      </w:r>
      <w:r>
        <w:t xml:space="preserve">(Pā. sū. 8-2-66), visarga by</w:t>
      </w:r>
      <w:r>
        <w:t xml:space="preserve"> </w:t>
      </w:r>
      <w:r>
        <w:t xml:space="preserve">“</w:t>
      </w:r>
      <w:r>
        <w:t xml:space="preserve">kharavasānayoḥ</w:t>
      </w:r>
      <w:r>
        <w:t xml:space="preserve">”</w:t>
      </w:r>
      <w:r>
        <w:t xml:space="preserve"> </w:t>
      </w:r>
      <w:r>
        <w:t xml:space="preserve">(Pā. sū. 8-3-15):</w:t>
      </w:r>
      <w:r>
        <w:t xml:space="preserve"> </w:t>
      </w:r>
      <w:r>
        <w:rPr>
          <w:iCs/>
          <w:i/>
        </w:rPr>
        <w:t xml:space="preserve">araruṣaḥ</w:t>
      </w:r>
      <w:r>
        <w:t xml:space="preserve">. Some derive</w:t>
      </w:r>
      <w:r>
        <w:t xml:space="preserve"> </w:t>
      </w:r>
      <w:r>
        <w:rPr>
          <w:iCs/>
          <w:i/>
        </w:rPr>
        <w:t xml:space="preserve">araruṣaḥ</w:t>
      </w:r>
      <w:r>
        <w:t xml:space="preserve"> </w:t>
      </w:r>
      <w:r>
        <w:t xml:space="preserve">another way: the root</w:t>
      </w:r>
      <w:r>
        <w:t xml:space="preserve"> </w:t>
      </w:r>
      <w:r>
        <w:rPr>
          <w:iCs/>
          <w:i/>
        </w:rPr>
        <w:t xml:space="preserve">rā ādāne</w:t>
      </w:r>
      <w:r>
        <w:t xml:space="preserve">; after it</w:t>
      </w:r>
      <w:r>
        <w:t xml:space="preserve"> </w:t>
      </w:r>
      <w:r>
        <w:rPr>
          <w:iCs/>
          <w:i/>
        </w:rPr>
        <w:t xml:space="preserve">liṭ</w:t>
      </w:r>
      <w:r>
        <w:t xml:space="preserve">; the substitute</w:t>
      </w:r>
      <w:r>
        <w:t xml:space="preserve"> </w:t>
      </w:r>
      <w:r>
        <w:rPr>
          <w:iCs/>
          <w:i/>
        </w:rPr>
        <w:t xml:space="preserve">kvasu</w:t>
      </w:r>
      <w:r>
        <w:t xml:space="preserve"> </w:t>
      </w:r>
      <w:r>
        <w:t xml:space="preserve">by</w:t>
      </w:r>
      <w:r>
        <w:t xml:space="preserve"> </w:t>
      </w:r>
      <w:r>
        <w:t xml:space="preserve">“</w:t>
      </w:r>
      <w:r>
        <w:t xml:space="preserve">kvasuś ca</w:t>
      </w:r>
      <w:r>
        <w:t xml:space="preserve">”</w:t>
      </w:r>
      <w:r>
        <w:t xml:space="preserve"> </w:t>
      </w:r>
      <w:r>
        <w:t xml:space="preserve">(Pā. sū. 3-2-107); doubling by</w:t>
      </w:r>
      <w:r>
        <w:t xml:space="preserve"> </w:t>
      </w:r>
      <w:r>
        <w:t xml:space="preserve">“</w:t>
      </w:r>
      <w:r>
        <w:t xml:space="preserve">liṭi dhātor anabhyāsasya</w:t>
      </w:r>
      <w:r>
        <w:t xml:space="preserve">”</w:t>
      </w:r>
      <w:r>
        <w:t xml:space="preserve"> </w:t>
      </w:r>
      <w:r>
        <w:t xml:space="preserve">(Pā. sū. 6-1-8):</w:t>
      </w:r>
      <w:r>
        <w:t xml:space="preserve"> </w:t>
      </w:r>
      <w:r>
        <w:rPr>
          <w:iCs/>
          <w:i/>
        </w:rPr>
        <w:t xml:space="preserve">rā rā</w:t>
      </w:r>
      <w:r>
        <w:t xml:space="preserve"> </w:t>
      </w:r>
      <w:r>
        <w:t xml:space="preserve">+</w:t>
      </w:r>
      <w:r>
        <w:t xml:space="preserve"> </w:t>
      </w:r>
      <w:r>
        <w:rPr>
          <w:iCs/>
          <w:i/>
        </w:rPr>
        <w:t xml:space="preserve">vas</w:t>
      </w:r>
      <w:r>
        <w:t xml:space="preserve">; by</w:t>
      </w:r>
      <w:r>
        <w:t xml:space="preserve"> </w:t>
      </w:r>
      <w:r>
        <w:t xml:space="preserve">“</w:t>
      </w:r>
      <w:r>
        <w:t xml:space="preserve">vasv ekājādghasām</w:t>
      </w:r>
      <w:r>
        <w:t xml:space="preserve">”</w:t>
      </w:r>
      <w:r>
        <w:t xml:space="preserve"> </w:t>
      </w:r>
      <w:r>
        <w:t xml:space="preserve">(Pā. sū. 7-2-67) the augment</w:t>
      </w:r>
      <w:r>
        <w:t xml:space="preserve"> </w:t>
      </w:r>
      <w:r>
        <w:rPr>
          <w:iCs/>
          <w:i/>
        </w:rPr>
        <w:t xml:space="preserve">iṭ</w:t>
      </w:r>
      <w:r>
        <w:t xml:space="preserve"> </w:t>
      </w:r>
      <w:r>
        <w:t xml:space="preserve">for the</w:t>
      </w:r>
      <w:r>
        <w:t xml:space="preserve"> </w:t>
      </w:r>
      <w:r>
        <w:rPr>
          <w:iCs/>
          <w:i/>
        </w:rPr>
        <w:t xml:space="preserve">vas</w:t>
      </w:r>
      <w:r>
        <w:t xml:space="preserve"> </w:t>
      </w:r>
      <w:r>
        <w:t xml:space="preserve">after the</w:t>
      </w:r>
      <w:r>
        <w:t xml:space="preserve"> </w:t>
      </w:r>
      <w:r>
        <w:rPr>
          <w:iCs/>
          <w:i/>
        </w:rPr>
        <w:t xml:space="preserve">ā</w:t>
      </w:r>
      <w:r>
        <w:t xml:space="preserve">-final root</w:t>
      </w:r>
      <w:r>
        <w:t xml:space="preserve"> </w:t>
      </w:r>
      <w:r>
        <w:rPr>
          <w:iCs/>
          <w:i/>
        </w:rPr>
        <w:t xml:space="preserve">rā</w:t>
      </w:r>
      <w:r>
        <w:t xml:space="preserve">; by</w:t>
      </w:r>
      <w:r>
        <w:t xml:space="preserve"> </w:t>
      </w:r>
      <w:r>
        <w:t xml:space="preserve">“</w:t>
      </w:r>
      <w:r>
        <w:t xml:space="preserve">āto lopa iṭi ca</w:t>
      </w:r>
      <w:r>
        <w:t xml:space="preserve">”</w:t>
      </w:r>
      <w:r>
        <w:t xml:space="preserve"> </w:t>
      </w:r>
      <w:r>
        <w:t xml:space="preserve">(Pā. sū. 6-4-64) the</w:t>
      </w:r>
      <w:r>
        <w:t xml:space="preserve"> </w:t>
      </w:r>
      <w:r>
        <w:rPr>
          <w:iCs/>
          <w:i/>
        </w:rPr>
        <w:t xml:space="preserve">ā</w:t>
      </w:r>
      <w:r>
        <w:t xml:space="preserve"> </w:t>
      </w:r>
      <w:r>
        <w:t xml:space="preserve">of the second</w:t>
      </w:r>
      <w:r>
        <w:t xml:space="preserve"> </w:t>
      </w:r>
      <w:r>
        <w:rPr>
          <w:iCs/>
          <w:i/>
        </w:rPr>
        <w:t xml:space="preserve">rā</w:t>
      </w:r>
      <w:r>
        <w:t xml:space="preserve"> </w:t>
      </w:r>
      <w:r>
        <w:t xml:space="preserve">drops; by</w:t>
      </w:r>
      <w:r>
        <w:t xml:space="preserve"> </w:t>
      </w:r>
      <w:r>
        <w:t xml:space="preserve">“</w:t>
      </w:r>
      <w:r>
        <w:t xml:space="preserve">hrasvaḥ</w:t>
      </w:r>
      <w:r>
        <w:t xml:space="preserve">”</w:t>
      </w:r>
      <w:r>
        <w:t xml:space="preserve"> </w:t>
      </w:r>
      <w:r>
        <w:t xml:space="preserve">(Pā. sū. 7-4-59) the first</w:t>
      </w:r>
      <w:r>
        <w:t xml:space="preserve"> </w:t>
      </w:r>
      <w:r>
        <w:rPr>
          <w:iCs/>
          <w:i/>
        </w:rPr>
        <w:t xml:space="preserve">rā</w:t>
      </w:r>
      <w:r>
        <w:t xml:space="preserve"> </w:t>
      </w:r>
      <w:r>
        <w:t xml:space="preserve">is shortened:</w:t>
      </w:r>
      <w:r>
        <w:t xml:space="preserve"> </w:t>
      </w:r>
      <w:r>
        <w:rPr>
          <w:iCs/>
          <w:i/>
        </w:rPr>
        <w:t xml:space="preserve">rarivas</w:t>
      </w:r>
      <w:r>
        <w:t xml:space="preserve">. In the nominative singular it becomes</w:t>
      </w:r>
      <w:r>
        <w:t xml:space="preserve"> </w:t>
      </w:r>
      <w:r>
        <w:rPr>
          <w:iCs/>
          <w:i/>
        </w:rPr>
        <w:t xml:space="preserve">rarivān</w:t>
      </w:r>
      <w:r>
        <w:t xml:space="preserve">, like</w:t>
      </w:r>
      <w:r>
        <w:t xml:space="preserve"> </w:t>
      </w:r>
      <w:r>
        <w:rPr>
          <w:iCs/>
          <w:i/>
        </w:rPr>
        <w:t xml:space="preserve">sedivān</w:t>
      </w:r>
      <w:r>
        <w:t xml:space="preserve">. When the genitive singular</w:t>
      </w:r>
      <w:r>
        <w:t xml:space="preserve"> </w:t>
      </w:r>
      <w:r>
        <w:rPr>
          <w:iCs/>
          <w:i/>
        </w:rPr>
        <w:t xml:space="preserve">ṅas</w:t>
      </w:r>
      <w:r>
        <w:t xml:space="preserve"> </w:t>
      </w:r>
      <w:r>
        <w:t xml:space="preserve">[as printed:</w:t>
      </w:r>
      <w:r>
        <w:t xml:space="preserve"> </w:t>
      </w:r>
      <w:r>
        <w:rPr>
          <w:iCs/>
          <w:i/>
        </w:rPr>
        <w:t xml:space="preserve">jas</w:t>
      </w:r>
      <w:r>
        <w:t xml:space="preserve">] comes,</w:t>
      </w:r>
      <w:r>
        <w:t xml:space="preserve"> </w:t>
      </w:r>
      <w:r>
        <w:rPr>
          <w:iCs/>
          <w:i/>
        </w:rPr>
        <w:t xml:space="preserve">saṃprasāraṇa</w:t>
      </w:r>
      <w:r>
        <w:t xml:space="preserve"> </w:t>
      </w:r>
      <w:r>
        <w:t xml:space="preserve">by</w:t>
      </w:r>
      <w:r>
        <w:t xml:space="preserve"> </w:t>
      </w:r>
      <w:r>
        <w:t xml:space="preserve">“</w:t>
      </w:r>
      <w:r>
        <w:t xml:space="preserve">vasoḥ saṃprasāraṇam</w:t>
      </w:r>
      <w:r>
        <w:t xml:space="preserve">”</w:t>
      </w:r>
      <w:r>
        <w:t xml:space="preserve"> </w:t>
      </w:r>
      <w:r>
        <w:t xml:space="preserve">(Pā. sū. 6-4-131).</w:t>
      </w:r>
    </w:p>
    <w:bookmarkEnd w:id="840"/>
    <w:bookmarkStart w:id="841" w:name="page-762-rik-3-grammar"/>
    <w:p>
      <w:pPr>
        <w:pStyle w:val="Heading3"/>
      </w:pPr>
      <w:r>
        <w:t xml:space="preserve">Page 762 — Rik 3: grammar</w:t>
      </w:r>
    </w:p>
    <w:p>
      <w:pPr>
        <w:pStyle w:val="FirstParagraph"/>
      </w:pPr>
      <w:r>
        <w:t xml:space="preserve">With</w:t>
      </w:r>
      <w:r>
        <w:t xml:space="preserve"> </w:t>
      </w:r>
      <w:r>
        <w:rPr>
          <w:iCs/>
          <w:i/>
        </w:rPr>
        <w:t xml:space="preserve">rarāvas</w:t>
      </w:r>
      <w:r>
        <w:t xml:space="preserve"> </w:t>
      </w:r>
      <w:r>
        <w:t xml:space="preserve">[as printed], if the genitive singular is added, the</w:t>
      </w:r>
      <w:r>
        <w:t xml:space="preserve"> </w:t>
      </w:r>
      <w:r>
        <w:rPr>
          <w:iCs/>
          <w:i/>
        </w:rPr>
        <w:t xml:space="preserve">saṃprasāraṇa</w:t>
      </w:r>
      <w:r>
        <w:t xml:space="preserve"> </w:t>
      </w:r>
      <w:r>
        <w:t xml:space="preserve">comes and the</w:t>
      </w:r>
      <w:r>
        <w:t xml:space="preserve"> </w:t>
      </w:r>
      <w:r>
        <w:rPr>
          <w:iCs/>
          <w:i/>
        </w:rPr>
        <w:t xml:space="preserve">vas</w:t>
      </w:r>
      <w:r>
        <w:t xml:space="preserve"> </w:t>
      </w:r>
      <w:r>
        <w:t xml:space="preserve">becomes</w:t>
      </w:r>
      <w:r>
        <w:t xml:space="preserve"> </w:t>
      </w:r>
      <w:r>
        <w:rPr>
          <w:iCs/>
          <w:i/>
        </w:rPr>
        <w:t xml:space="preserve">us</w:t>
      </w:r>
      <w:r>
        <w:t xml:space="preserve">; so it is not</w:t>
      </w:r>
      <w:r>
        <w:t xml:space="preserve"> </w:t>
      </w:r>
      <w:r>
        <w:rPr>
          <w:iCs/>
          <w:i/>
        </w:rPr>
        <w:t xml:space="preserve">val</w:t>
      </w:r>
      <w:r>
        <w:t xml:space="preserve">-initial. So, though the augment</w:t>
      </w:r>
      <w:r>
        <w:t xml:space="preserve"> </w:t>
      </w:r>
      <w:r>
        <w:rPr>
          <w:iCs/>
          <w:i/>
        </w:rPr>
        <w:t xml:space="preserve">iṭ</w:t>
      </w:r>
      <w:r>
        <w:t xml:space="preserve"> </w:t>
      </w:r>
      <w:r>
        <w:t xml:space="preserve">enjoined by</w:t>
      </w:r>
      <w:r>
        <w:t xml:space="preserve"> </w:t>
      </w:r>
      <w:r>
        <w:rPr>
          <w:iCs/>
          <w:i/>
        </w:rPr>
        <w:t xml:space="preserve">ārdhadhātukasyeḍ valādeḥ</w:t>
      </w:r>
      <w:r>
        <w:t xml:space="preserve"> </w:t>
      </w:r>
      <w:r>
        <w:t xml:space="preserve">is</w:t>
      </w:r>
      <w:r>
        <w:t xml:space="preserve"> </w:t>
      </w:r>
      <w:r>
        <w:rPr>
          <w:iCs/>
          <w:i/>
        </w:rPr>
        <w:t xml:space="preserve">antaraṅga</w:t>
      </w:r>
      <w:r>
        <w:t xml:space="preserve">, there is a possibility that its condition, being</w:t>
      </w:r>
      <w:r>
        <w:t xml:space="preserve"> </w:t>
      </w:r>
      <w:r>
        <w:rPr>
          <w:iCs/>
          <w:i/>
        </w:rPr>
        <w:t xml:space="preserve">val</w:t>
      </w:r>
      <w:r>
        <w:t xml:space="preserve">-initial, is destroyed by the</w:t>
      </w:r>
      <w:r>
        <w:t xml:space="preserve"> </w:t>
      </w:r>
      <w:r>
        <w:rPr>
          <w:iCs/>
          <w:i/>
        </w:rPr>
        <w:t xml:space="preserve">bahiraṅga</w:t>
      </w:r>
      <w:r>
        <w:t xml:space="preserve"> </w:t>
      </w:r>
      <w:r>
        <w:t xml:space="preserve">rule of</w:t>
      </w:r>
      <w:r>
        <w:t xml:space="preserve"> </w:t>
      </w:r>
      <w:r>
        <w:rPr>
          <w:iCs/>
          <w:i/>
        </w:rPr>
        <w:t xml:space="preserve">saṃprasāraṇa</w:t>
      </w:r>
      <w:r>
        <w:t xml:space="preserve">. For that reason, by</w:t>
      </w:r>
      <w:r>
        <w:t xml:space="preserve"> </w:t>
      </w:r>
      <w:r>
        <w:t xml:space="preserve">“</w:t>
      </w:r>
      <w:r>
        <w:t xml:space="preserve">akṛtavyūhāḥ pāṇinīyāḥ</w:t>
      </w:r>
      <w:r>
        <w:t xml:space="preserve">”</w:t>
      </w:r>
      <w:r>
        <w:t xml:space="preserve"> </w:t>
      </w:r>
      <w:r>
        <w:t xml:space="preserve">(</w:t>
      </w:r>
      <w:r>
        <w:rPr>
          <w:iCs/>
          <w:i/>
        </w:rPr>
        <w:t xml:space="preserve">paribhāṣā</w:t>
      </w:r>
      <w:r>
        <w:t xml:space="preserve"> </w:t>
      </w:r>
      <w:r>
        <w:t xml:space="preserve">42) (if the destruction of the condition of an</w:t>
      </w:r>
      <w:r>
        <w:t xml:space="preserve"> </w:t>
      </w:r>
      <w:r>
        <w:rPr>
          <w:iCs/>
          <w:i/>
        </w:rPr>
        <w:t xml:space="preserve">antaraṅga</w:t>
      </w:r>
      <w:r>
        <w:t xml:space="preserve"> </w:t>
      </w:r>
      <w:r>
        <w:t xml:space="preserve">rule by a</w:t>
      </w:r>
      <w:r>
        <w:t xml:space="preserve"> </w:t>
      </w:r>
      <w:r>
        <w:rPr>
          <w:iCs/>
          <w:i/>
        </w:rPr>
        <w:t xml:space="preserve">bahiraṅga</w:t>
      </w:r>
      <w:r>
        <w:t xml:space="preserve"> </w:t>
      </w:r>
      <w:r>
        <w:t xml:space="preserve">rule is possible, the</w:t>
      </w:r>
      <w:r>
        <w:t xml:space="preserve"> </w:t>
      </w:r>
      <w:r>
        <w:rPr>
          <w:iCs/>
          <w:i/>
        </w:rPr>
        <w:t xml:space="preserve">antaraṅga</w:t>
      </w:r>
      <w:r>
        <w:t xml:space="preserve"> </w:t>
      </w:r>
      <w:r>
        <w:t xml:space="preserve">rule does not come first), some state the exclusion of the augment</w:t>
      </w:r>
      <w:r>
        <w:t xml:space="preserve"> </w:t>
      </w:r>
      <w:r>
        <w:rPr>
          <w:iCs/>
          <w:i/>
        </w:rPr>
        <w:t xml:space="preserve">iṭ</w:t>
      </w:r>
      <w:r>
        <w:t xml:space="preserve">, that it does not come where</w:t>
      </w:r>
      <w:r>
        <w:t xml:space="preserve"> </w:t>
      </w:r>
      <w:r>
        <w:rPr>
          <w:iCs/>
          <w:i/>
        </w:rPr>
        <w:t xml:space="preserve">saṃprasāraṇa</w:t>
      </w:r>
      <w:r>
        <w:t xml:space="preserve"> </w:t>
      </w:r>
      <w:r>
        <w:t xml:space="preserve">comes. Others again, on the view of the</w:t>
      </w:r>
      <w:r>
        <w:t xml:space="preserve"> </w:t>
      </w:r>
      <w:r>
        <w:rPr>
          <w:iCs/>
          <w:i/>
        </w:rPr>
        <w:t xml:space="preserve">padāvadhika</w:t>
      </w:r>
      <w:r>
        <w:t xml:space="preserve"> </w:t>
      </w:r>
      <w:r>
        <w:t xml:space="preserve">explanation, that words are derived as having case-endings, if the word is analysed it is</w:t>
      </w:r>
      <w:r>
        <w:t xml:space="preserve"> </w:t>
      </w:r>
      <w:r>
        <w:rPr>
          <w:iCs/>
          <w:i/>
        </w:rPr>
        <w:t xml:space="preserve">rarāvas</w:t>
      </w:r>
      <w:r>
        <w:t xml:space="preserve"> </w:t>
      </w:r>
      <w:r>
        <w:t xml:space="preserve">+</w:t>
      </w:r>
      <w:r>
        <w:t xml:space="preserve"> </w:t>
      </w:r>
      <w:r>
        <w:rPr>
          <w:iCs/>
          <w:i/>
        </w:rPr>
        <w:t xml:space="preserve">as</w:t>
      </w:r>
      <w:r>
        <w:t xml:space="preserve">. Now both the augment</w:t>
      </w:r>
      <w:r>
        <w:t xml:space="preserve"> </w:t>
      </w:r>
      <w:r>
        <w:rPr>
          <w:iCs/>
          <w:i/>
        </w:rPr>
        <w:t xml:space="preserve">iṭ</w:t>
      </w:r>
      <w:r>
        <w:t xml:space="preserve"> </w:t>
      </w:r>
      <w:r>
        <w:t xml:space="preserve">and the</w:t>
      </w:r>
      <w:r>
        <w:t xml:space="preserve"> </w:t>
      </w:r>
      <w:r>
        <w:rPr>
          <w:iCs/>
          <w:i/>
        </w:rPr>
        <w:t xml:space="preserve">saṃprasāraṇa</w:t>
      </w:r>
      <w:r>
        <w:t xml:space="preserve"> </w:t>
      </w:r>
      <w:r>
        <w:t xml:space="preserve">are due. Though the augment</w:t>
      </w:r>
      <w:r>
        <w:t xml:space="preserve"> </w:t>
      </w:r>
      <w:r>
        <w:rPr>
          <w:iCs/>
          <w:i/>
        </w:rPr>
        <w:t xml:space="preserve">iṭ</w:t>
      </w:r>
      <w:r>
        <w:t xml:space="preserve"> </w:t>
      </w:r>
      <w:r>
        <w:t xml:space="preserve">is</w:t>
      </w:r>
      <w:r>
        <w:t xml:space="preserve"> </w:t>
      </w:r>
      <w:r>
        <w:rPr>
          <w:iCs/>
          <w:i/>
        </w:rPr>
        <w:t xml:space="preserve">antaraṅga</w:t>
      </w:r>
      <w:r>
        <w:t xml:space="preserve">, the</w:t>
      </w:r>
      <w:r>
        <w:t xml:space="preserve"> </w:t>
      </w:r>
      <w:r>
        <w:rPr>
          <w:iCs/>
          <w:i/>
        </w:rPr>
        <w:t xml:space="preserve">saṃprasāraṇa</w:t>
      </w:r>
      <w:r>
        <w:t xml:space="preserve"> </w:t>
      </w:r>
      <w:r>
        <w:t xml:space="preserve">is a rule enjoined by naming a particular word, so, being</w:t>
      </w:r>
      <w:r>
        <w:t xml:space="preserve"> </w:t>
      </w:r>
      <w:r>
        <w:rPr>
          <w:iCs/>
          <w:i/>
        </w:rPr>
        <w:t xml:space="preserve">pratipadokta</w:t>
      </w:r>
      <w:r>
        <w:t xml:space="preserve">, it alone comes first. Then, since there is no</w:t>
      </w:r>
      <w:r>
        <w:t xml:space="preserve"> </w:t>
      </w:r>
      <w:r>
        <w:rPr>
          <w:iCs/>
          <w:i/>
        </w:rPr>
        <w:t xml:space="preserve">val</w:t>
      </w:r>
      <w:r>
        <w:t xml:space="preserve">-initial</w:t>
      </w:r>
      <w:r>
        <w:t xml:space="preserve"> </w:t>
      </w:r>
      <w:r>
        <w:rPr>
          <w:iCs/>
          <w:i/>
        </w:rPr>
        <w:t xml:space="preserve">ārdhadhātuka</w:t>
      </w:r>
      <w:r>
        <w:t xml:space="preserve">, the augment</w:t>
      </w:r>
      <w:r>
        <w:t xml:space="preserve"> </w:t>
      </w:r>
      <w:r>
        <w:rPr>
          <w:iCs/>
          <w:i/>
        </w:rPr>
        <w:t xml:space="preserve">iṭ</w:t>
      </w:r>
      <w:r>
        <w:t xml:space="preserve"> </w:t>
      </w:r>
      <w:r>
        <w:t xml:space="preserve">does not come: in this way they state the exclusion of the augment</w:t>
      </w:r>
      <w:r>
        <w:t xml:space="preserve"> </w:t>
      </w:r>
      <w:r>
        <w:rPr>
          <w:iCs/>
          <w:i/>
        </w:rPr>
        <w:t xml:space="preserve">iṭ</w:t>
      </w:r>
      <w:r>
        <w:t xml:space="preserve">. Now, even without the augment</w:t>
      </w:r>
      <w:r>
        <w:t xml:space="preserve"> </w:t>
      </w:r>
      <w:r>
        <w:rPr>
          <w:iCs/>
          <w:i/>
        </w:rPr>
        <w:t xml:space="preserve">iṭ</w:t>
      </w:r>
      <w:r>
        <w:t xml:space="preserve">, by</w:t>
      </w:r>
      <w:r>
        <w:t xml:space="preserve"> </w:t>
      </w:r>
      <w:r>
        <w:t xml:space="preserve">“</w:t>
      </w:r>
      <w:r>
        <w:t xml:space="preserve">asaṃyogāl liṭ kit</w:t>
      </w:r>
      <w:r>
        <w:t xml:space="preserve">”</w:t>
      </w:r>
      <w:r>
        <w:t xml:space="preserve"> </w:t>
      </w:r>
      <w:r>
        <w:t xml:space="preserve">(Pā. sū.</w:t>
      </w:r>
      <w:r>
        <w:t xml:space="preserve"> </w:t>
      </w:r>
      <w:r>
        <w:t xml:space="preserve">“</w:t>
      </w:r>
      <w:r>
        <w:t xml:space="preserve">1-2-5</w:t>
      </w:r>
      <w:r>
        <w:t xml:space="preserve">”</w:t>
      </w:r>
      <w:r>
        <w:t xml:space="preserve"> </w:t>
      </w:r>
      <w:r>
        <w:t xml:space="preserve">[?]) a non-</w:t>
      </w:r>
      <w:r>
        <w:rPr>
          <w:iCs/>
          <w:i/>
        </w:rPr>
        <w:t xml:space="preserve">pit</w:t>
      </w:r>
      <w:r>
        <w:t xml:space="preserve"> </w:t>
      </w:r>
      <w:r>
        <w:rPr>
          <w:iCs/>
          <w:i/>
        </w:rPr>
        <w:t xml:space="preserve">liṭ</w:t>
      </w:r>
      <w:r>
        <w:t xml:space="preserve"> </w:t>
      </w:r>
      <w:r>
        <w:t xml:space="preserve">not after a conjunct is</w:t>
      </w:r>
      <w:r>
        <w:t xml:space="preserve"> </w:t>
      </w:r>
      <w:r>
        <w:rPr>
          <w:iCs/>
          <w:i/>
        </w:rPr>
        <w:t xml:space="preserve">kit</w:t>
      </w:r>
      <w:r>
        <w:t xml:space="preserve">; since the</w:t>
      </w:r>
      <w:r>
        <w:t xml:space="preserve"> </w:t>
      </w:r>
      <w:r>
        <w:rPr>
          <w:iCs/>
          <w:i/>
        </w:rPr>
        <w:t xml:space="preserve">ārdhadhātuka</w:t>
      </w:r>
      <w:r>
        <w:t xml:space="preserve"> </w:t>
      </w:r>
      <w:r>
        <w:rPr>
          <w:iCs/>
          <w:i/>
        </w:rPr>
        <w:t xml:space="preserve">us</w:t>
      </w:r>
      <w:r>
        <w:t xml:space="preserve">, which is</w:t>
      </w:r>
      <w:r>
        <w:t xml:space="preserve"> </w:t>
      </w:r>
      <w:r>
        <w:rPr>
          <w:iCs/>
          <w:i/>
        </w:rPr>
        <w:t xml:space="preserve">kit</w:t>
      </w:r>
      <w:r>
        <w:t xml:space="preserve">, follows, the loss of</w:t>
      </w:r>
      <w:r>
        <w:t xml:space="preserve"> </w:t>
      </w:r>
      <w:r>
        <w:rPr>
          <w:iCs/>
          <w:i/>
        </w:rPr>
        <w:t xml:space="preserve">ā</w:t>
      </w:r>
      <w:r>
        <w:t xml:space="preserve"> </w:t>
      </w:r>
      <w:r>
        <w:t xml:space="preserve">comes by</w:t>
      </w:r>
      <w:r>
        <w:t xml:space="preserve"> </w:t>
      </w:r>
      <w:r>
        <w:rPr>
          <w:iCs/>
          <w:i/>
        </w:rPr>
        <w:t xml:space="preserve">āto lopa iṭi ca</w:t>
      </w:r>
      <w:r>
        <w:t xml:space="preserve">. The</w:t>
      </w:r>
      <w:r>
        <w:t xml:space="preserve"> </w:t>
      </w:r>
      <w:r>
        <w:rPr>
          <w:iCs/>
          <w:i/>
        </w:rPr>
        <w:t xml:space="preserve">ṣ</w:t>
      </w:r>
      <w:r>
        <w:t xml:space="preserve"> </w:t>
      </w:r>
      <w:r>
        <w:t xml:space="preserve">and the rest as before. When</w:t>
      </w:r>
      <w:r>
        <w:t xml:space="preserve"> </w:t>
      </w:r>
      <w:r>
        <w:rPr>
          <w:iCs/>
          <w:i/>
        </w:rPr>
        <w:t xml:space="preserve">raruṣaḥ</w:t>
      </w:r>
      <w:r>
        <w:t xml:space="preserve"> </w:t>
      </w:r>
      <w:r>
        <w:t xml:space="preserve">is established in this way, if</w:t>
      </w:r>
      <w:r>
        <w:t xml:space="preserve"> </w:t>
      </w:r>
      <w:r>
        <w:rPr>
          <w:iCs/>
          <w:i/>
        </w:rPr>
        <w:t xml:space="preserve">nañ</w:t>
      </w:r>
      <w:r>
        <w:t xml:space="preserve"> </w:t>
      </w:r>
      <w:r>
        <w:t xml:space="preserve">is compounded with</w:t>
      </w:r>
      <w:r>
        <w:t xml:space="preserve"> </w:t>
      </w:r>
      <w:r>
        <w:rPr>
          <w:iCs/>
          <w:i/>
        </w:rPr>
        <w:t xml:space="preserve">na raruṣaḥ</w:t>
      </w:r>
      <w:r>
        <w:t xml:space="preserve">, the form</w:t>
      </w:r>
      <w:r>
        <w:t xml:space="preserve"> </w:t>
      </w:r>
      <w:r>
        <w:rPr>
          <w:iCs/>
          <w:i/>
        </w:rPr>
        <w:t xml:space="preserve">araruṣaḥ</w:t>
      </w:r>
      <w:r>
        <w:t xml:space="preserve"> </w:t>
      </w:r>
      <w:r>
        <w:t xml:space="preserve">results. Now by</w:t>
      </w:r>
      <w:r>
        <w:t xml:space="preserve"> </w:t>
      </w:r>
      <w:r>
        <w:t xml:space="preserve">“</w:t>
      </w:r>
      <w:r>
        <w:t xml:space="preserve">tatpuruṣe tulyārtha…</w:t>
      </w:r>
      <w:r>
        <w:t xml:space="preserve">”</w:t>
      </w:r>
      <w:r>
        <w:t xml:space="preserve"> </w:t>
      </w:r>
      <w:r>
        <w:t xml:space="preserve">(Pā. sū. 6-2-2) the accent of the first member, an indeclinable, comes. The first member,</w:t>
      </w:r>
      <w:r>
        <w:t xml:space="preserve"> </w:t>
      </w:r>
      <w:r>
        <w:rPr>
          <w:iCs/>
          <w:i/>
        </w:rPr>
        <w:t xml:space="preserve">nañ</w:t>
      </w:r>
      <w:r>
        <w:t xml:space="preserve">, is a particle, so it is initial udātta by</w:t>
      </w:r>
      <w:r>
        <w:t xml:space="preserve"> </w:t>
      </w:r>
      <w:r>
        <w:t xml:space="preserve">“</w:t>
      </w:r>
      <w:r>
        <w:t xml:space="preserve">nipātā ādyudāttāḥ</w:t>
      </w:r>
      <w:r>
        <w:t xml:space="preserve">”</w:t>
      </w:r>
      <w:r>
        <w:t xml:space="preserve"> </w:t>
      </w:r>
      <w:r>
        <w:t xml:space="preserve">(Pā. sū.</w:t>
      </w:r>
      <w:r>
        <w:t xml:space="preserve"> </w:t>
      </w:r>
      <w:r>
        <w:t xml:space="preserve">“</w:t>
      </w:r>
      <w:r>
        <w:t xml:space="preserve">80</w:t>
      </w:r>
      <w:r>
        <w:t xml:space="preserve">”</w:t>
      </w:r>
      <w:r>
        <w:t xml:space="preserve"> </w:t>
      </w:r>
      <w:r>
        <w:t xml:space="preserve">[as printed]). After compounding too this comes by the accent of the first member. So it need not be included in the</w:t>
      </w:r>
      <w:r>
        <w:t xml:space="preserve"> </w:t>
      </w:r>
      <w:r>
        <w:rPr>
          <w:iCs/>
          <w:i/>
        </w:rPr>
        <w:t xml:space="preserve">vṛṣa-ādi</w:t>
      </w:r>
      <w:r>
        <w:t xml:space="preserve"> </w:t>
      </w:r>
      <w:r>
        <w:t xml:space="preserve">group. The Vedabhāṣyakāra too has explained it in this same way at</w:t>
      </w:r>
      <w:r>
        <w:t xml:space="preserve"> </w:t>
      </w:r>
      <w:r>
        <w:t xml:space="preserve">“</w:t>
      </w:r>
      <w:r>
        <w:t xml:space="preserve">gurudveṣo araruṣe dadhanti</w:t>
      </w:r>
      <w:r>
        <w:t xml:space="preserve">”</w:t>
      </w:r>
      <w:r>
        <w:t xml:space="preserve"> </w:t>
      </w:r>
      <w:r>
        <w:t xml:space="preserve">(Tai. Brā. [no number printed]). Besides, in</w:t>
      </w:r>
      <w:r>
        <w:t xml:space="preserve"> </w:t>
      </w:r>
      <w:r>
        <w:t xml:space="preserve">“</w:t>
      </w:r>
      <w:r>
        <w:t xml:space="preserve">yo no agne ararivān</w:t>
      </w:r>
      <w:r>
        <w:t xml:space="preserve">”</w:t>
      </w:r>
      <w:r>
        <w:t xml:space="preserve"> </w:t>
      </w:r>
      <w:r>
        <w:t xml:space="preserve">(Ṛ. saṃ. 1-147-4) there is agreement of another mantra with this kind of explanation. So the derivation in this way is right for</w:t>
      </w:r>
      <w:r>
        <w:t xml:space="preserve"> </w:t>
      </w:r>
      <w:r>
        <w:rPr>
          <w:iCs/>
          <w:i/>
        </w:rPr>
        <w:t xml:space="preserve">araruṣa</w:t>
      </w:r>
      <w:r>
        <w:t xml:space="preserve">. The suffix enjoined in</w:t>
      </w:r>
      <w:r>
        <w:t xml:space="preserve"> </w:t>
      </w:r>
      <w:r>
        <w:rPr>
          <w:iCs/>
          <w:i/>
        </w:rPr>
        <w:t xml:space="preserve">arter aruḥ</w:t>
      </w:r>
      <w:r>
        <w:t xml:space="preserve"> </w:t>
      </w:r>
      <w:r>
        <w:t xml:space="preserve">ends in</w:t>
      </w:r>
      <w:r>
        <w:t xml:space="preserve"> </w:t>
      </w:r>
      <w:r>
        <w:rPr>
          <w:iCs/>
          <w:i/>
        </w:rPr>
        <w:t xml:space="preserve">u</w:t>
      </w:r>
      <w:r>
        <w:t xml:space="preserve">, not in</w:t>
      </w:r>
      <w:r>
        <w:t xml:space="preserve"> </w:t>
      </w:r>
      <w:r>
        <w:rPr>
          <w:iCs/>
          <w:i/>
        </w:rPr>
        <w:t xml:space="preserve">s</w:t>
      </w:r>
      <w:r>
        <w:t xml:space="preserve">. That is why the word</w:t>
      </w:r>
      <w:r>
        <w:t xml:space="preserve"> </w:t>
      </w:r>
      <w:r>
        <w:rPr>
          <w:iCs/>
          <w:i/>
        </w:rPr>
        <w:t xml:space="preserve">araru</w:t>
      </w:r>
      <w:r>
        <w:t xml:space="preserve"> </w:t>
      </w:r>
      <w:r>
        <w:t xml:space="preserve">ends in</w:t>
      </w:r>
      <w:r>
        <w:t xml:space="preserve"> </w:t>
      </w:r>
      <w:r>
        <w:rPr>
          <w:iCs/>
          <w:i/>
        </w:rPr>
        <w:t xml:space="preserve">u</w:t>
      </w:r>
      <w:r>
        <w:t xml:space="preserve"> </w:t>
      </w:r>
      <w:r>
        <w:t xml:space="preserve">in the mantras</w:t>
      </w:r>
      <w:r>
        <w:t xml:space="preserve"> </w:t>
      </w:r>
      <w:r>
        <w:t xml:space="preserve">“</w:t>
      </w:r>
      <w:r>
        <w:t xml:space="preserve">kaṃ cid yāvīr araruṃ śūra martyam</w:t>
      </w:r>
      <w:r>
        <w:t xml:space="preserve">”</w:t>
      </w:r>
      <w:r>
        <w:t xml:space="preserve"> </w:t>
      </w:r>
      <w:r>
        <w:t xml:space="preserve">(Ṛ. saṃ. 1-129-3) and</w:t>
      </w:r>
      <w:r>
        <w:t xml:space="preserve"> </w:t>
      </w:r>
      <w:r>
        <w:t xml:space="preserve">“</w:t>
      </w:r>
      <w:r>
        <w:t xml:space="preserve">apāraruṃ adevayuṃ jano jahi</w:t>
      </w:r>
      <w:r>
        <w:t xml:space="preserve">”</w:t>
      </w:r>
      <w:r>
        <w:t xml:space="preserve"> </w:t>
      </w:r>
      <w:r>
        <w:t xml:space="preserve">[no number printed]. If</w:t>
      </w:r>
      <w:r>
        <w:t xml:space="preserve"> </w:t>
      </w:r>
      <w:r>
        <w:rPr>
          <w:iCs/>
          <w:i/>
        </w:rPr>
        <w:t xml:space="preserve">arter aruḥ</w:t>
      </w:r>
      <w:r>
        <w:t xml:space="preserve"> </w:t>
      </w:r>
      <w:r>
        <w:t xml:space="preserve">enjoined an</w:t>
      </w:r>
      <w:r>
        <w:t xml:space="preserve"> </w:t>
      </w:r>
      <w:r>
        <w:rPr>
          <w:iCs/>
          <w:i/>
        </w:rPr>
        <w:t xml:space="preserve">s</w:t>
      </w:r>
      <w:r>
        <w:t xml:space="preserve">-final suffix, the accent of</w:t>
      </w:r>
      <w:r>
        <w:t xml:space="preserve"> </w:t>
      </w:r>
      <w:r>
        <w:rPr>
          <w:iCs/>
          <w:i/>
        </w:rPr>
        <w:t xml:space="preserve">araruṣaḥ</w:t>
      </w:r>
      <w:r>
        <w:t xml:space="preserve"> </w:t>
      </w:r>
      <w:r>
        <w:t xml:space="preserve">would be</w:t>
      </w:r>
    </w:p>
    <w:bookmarkEnd w:id="841"/>
    <w:bookmarkStart w:id="842" w:name="page-763-rik-3-grammar"/>
    <w:p>
      <w:pPr>
        <w:pStyle w:val="Heading3"/>
      </w:pPr>
      <w:r>
        <w:t xml:space="preserve">Page 763 — Rik 3: grammar</w:t>
      </w:r>
    </w:p>
    <w:p>
      <w:pPr>
        <w:pStyle w:val="FirstParagraph"/>
      </w:pPr>
      <w:r>
        <w:t xml:space="preserve">hard to account for, and besides, the words</w:t>
      </w:r>
      <w:r>
        <w:t xml:space="preserve"> </w:t>
      </w:r>
      <w:r>
        <w:rPr>
          <w:iCs/>
          <w:i/>
        </w:rPr>
        <w:t xml:space="preserve">araru</w:t>
      </w:r>
      <w:r>
        <w:t xml:space="preserve"> </w:t>
      </w:r>
      <w:r>
        <w:t xml:space="preserve">in the mantras just cited could not be formed. So the suffix enjoined by</w:t>
      </w:r>
      <w:r>
        <w:t xml:space="preserve"> </w:t>
      </w:r>
      <w:r>
        <w:rPr>
          <w:iCs/>
          <w:i/>
        </w:rPr>
        <w:t xml:space="preserve">arter aruḥ</w:t>
      </w:r>
      <w:r>
        <w:t xml:space="preserve"> </w:t>
      </w:r>
      <w:r>
        <w:t xml:space="preserve">ends in</w:t>
      </w:r>
      <w:r>
        <w:t xml:space="preserve"> </w:t>
      </w:r>
      <w:r>
        <w:rPr>
          <w:iCs/>
          <w:i/>
        </w:rPr>
        <w:t xml:space="preserve">u</w:t>
      </w:r>
      <w:r>
        <w:t xml:space="preserve"> </w:t>
      </w:r>
      <w:r>
        <w:t xml:space="preserve">only. It is more fitting to describe</w:t>
      </w:r>
      <w:r>
        <w:t xml:space="preserve"> </w:t>
      </w:r>
      <w:r>
        <w:rPr>
          <w:iCs/>
          <w:i/>
        </w:rPr>
        <w:t xml:space="preserve">araruṣaḥ</w:t>
      </w:r>
      <w:r>
        <w:t xml:space="preserve"> </w:t>
      </w:r>
      <w:r>
        <w:t xml:space="preserve">as formed from the root</w:t>
      </w:r>
      <w:r>
        <w:t xml:space="preserve"> </w:t>
      </w:r>
      <w:r>
        <w:rPr>
          <w:iCs/>
          <w:i/>
        </w:rPr>
        <w:t xml:space="preserve">rā</w:t>
      </w:r>
      <w:r>
        <w:t xml:space="preserve">.</w:t>
      </w:r>
    </w:p>
    <w:p>
      <w:pPr>
        <w:pStyle w:val="BodyText"/>
      </w:pPr>
      <w:r>
        <w:rPr>
          <w:bCs/>
          <w:b/>
        </w:rPr>
        <w:t xml:space="preserve">धूर्तिः (</w:t>
      </w:r>
      <w:r>
        <w:rPr>
          <w:iCs/>
          <w:i/>
          <w:bCs/>
          <w:b/>
        </w:rPr>
        <w:t xml:space="preserve">dhūrtiḥ</w:t>
      </w:r>
      <w:r>
        <w:rPr>
          <w:bCs/>
          <w:b/>
        </w:rPr>
        <w:t xml:space="preserve">)</w:t>
      </w:r>
      <w:r>
        <w:t xml:space="preserve">: the root</w:t>
      </w:r>
      <w:r>
        <w:t xml:space="preserve"> </w:t>
      </w:r>
      <w:r>
        <w:rPr>
          <w:iCs/>
          <w:i/>
        </w:rPr>
        <w:t xml:space="preserve">dhurvī hiṃsārthaḥ</w:t>
      </w:r>
      <w:r>
        <w:t xml:space="preserve">. The suffix</w:t>
      </w:r>
      <w:r>
        <w:t xml:space="preserve"> </w:t>
      </w:r>
      <w:r>
        <w:rPr>
          <w:iCs/>
          <w:i/>
        </w:rPr>
        <w:t xml:space="preserve">ktic</w:t>
      </w:r>
      <w:r>
        <w:t xml:space="preserve"> </w:t>
      </w:r>
      <w:r>
        <w:t xml:space="preserve">by</w:t>
      </w:r>
      <w:r>
        <w:t xml:space="preserve"> </w:t>
      </w:r>
      <w:r>
        <w:t xml:space="preserve">“</w:t>
      </w:r>
      <w:r>
        <w:t xml:space="preserve">kticktau ca saṃjñāyām</w:t>
      </w:r>
      <w:r>
        <w:t xml:space="preserve">”</w:t>
      </w:r>
      <w:r>
        <w:t xml:space="preserve"> </w:t>
      </w:r>
      <w:r>
        <w:t xml:space="preserve">(Pā. sū. 3-3-174). The augment</w:t>
      </w:r>
      <w:r>
        <w:t xml:space="preserve"> </w:t>
      </w:r>
      <w:r>
        <w:rPr>
          <w:iCs/>
          <w:i/>
        </w:rPr>
        <w:t xml:space="preserve">iṭ</w:t>
      </w:r>
      <w:r>
        <w:t xml:space="preserve"> </w:t>
      </w:r>
      <w:r>
        <w:t xml:space="preserve">is due for it by</w:t>
      </w:r>
      <w:r>
        <w:t xml:space="preserve"> </w:t>
      </w:r>
      <w:r>
        <w:t xml:space="preserve">“</w:t>
      </w:r>
      <w:r>
        <w:t xml:space="preserve">ārdhadhātukasyeḍ valādeḥ</w:t>
      </w:r>
      <w:r>
        <w:t xml:space="preserve">”</w:t>
      </w:r>
      <w:r>
        <w:t xml:space="preserve"> </w:t>
      </w:r>
      <w:r>
        <w:t xml:space="preserve">(Pā. sū. 7-2-35); but by</w:t>
      </w:r>
      <w:r>
        <w:t xml:space="preserve"> </w:t>
      </w:r>
      <w:r>
        <w:t xml:space="preserve">“</w:t>
      </w:r>
      <w:r>
        <w:t xml:space="preserve">ti-tu-tra-ta-tha-si-su-sara-ka-seṣu ca</w:t>
      </w:r>
      <w:r>
        <w:t xml:space="preserve">”</w:t>
      </w:r>
      <w:r>
        <w:t xml:space="preserve"> </w:t>
      </w:r>
      <w:r>
        <w:t xml:space="preserve">(Pā. sū. 7-2-9) these ten suffixes do not take the augment</w:t>
      </w:r>
      <w:r>
        <w:t xml:space="preserve"> </w:t>
      </w:r>
      <w:r>
        <w:rPr>
          <w:iCs/>
          <w:i/>
        </w:rPr>
        <w:t xml:space="preserve">iṭ</w:t>
      </w:r>
      <w:r>
        <w:t xml:space="preserve">; so</w:t>
      </w:r>
      <w:r>
        <w:t xml:space="preserve"> </w:t>
      </w:r>
      <w:r>
        <w:rPr>
          <w:iCs/>
          <w:i/>
        </w:rPr>
        <w:t xml:space="preserve">ti</w:t>
      </w:r>
      <w:r>
        <w:t xml:space="preserve"> </w:t>
      </w:r>
      <w:r>
        <w:t xml:space="preserve">takes no</w:t>
      </w:r>
      <w:r>
        <w:t xml:space="preserve"> </w:t>
      </w:r>
      <w:r>
        <w:rPr>
          <w:iCs/>
          <w:i/>
        </w:rPr>
        <w:t xml:space="preserve">iṭ</w:t>
      </w:r>
      <w:r>
        <w:t xml:space="preserve">. With</w:t>
      </w:r>
      <w:r>
        <w:t xml:space="preserve"> </w:t>
      </w:r>
      <w:r>
        <w:rPr>
          <w:iCs/>
          <w:i/>
        </w:rPr>
        <w:t xml:space="preserve">dhurv</w:t>
      </w:r>
      <w:r>
        <w:t xml:space="preserve"> </w:t>
      </w:r>
      <w:r>
        <w:t xml:space="preserve">+</w:t>
      </w:r>
      <w:r>
        <w:t xml:space="preserve"> </w:t>
      </w:r>
      <w:r>
        <w:rPr>
          <w:iCs/>
          <w:i/>
        </w:rPr>
        <w:t xml:space="preserve">ti</w:t>
      </w:r>
      <w:r>
        <w:t xml:space="preserve">, by</w:t>
      </w:r>
      <w:r>
        <w:t xml:space="preserve"> </w:t>
      </w:r>
      <w:r>
        <w:t xml:space="preserve">“</w:t>
      </w:r>
      <w:r>
        <w:t xml:space="preserve">upadhāyāṃ ca</w:t>
      </w:r>
      <w:r>
        <w:t xml:space="preserve">”</w:t>
      </w:r>
      <w:r>
        <w:t xml:space="preserve"> </w:t>
      </w:r>
      <w:r>
        <w:t xml:space="preserve">(Pā. sū. 8-2-78), when a consonant follows the</w:t>
      </w:r>
      <w:r>
        <w:t xml:space="preserve"> </w:t>
      </w:r>
      <w:r>
        <w:rPr>
          <w:iCs/>
          <w:i/>
        </w:rPr>
        <w:t xml:space="preserve">r</w:t>
      </w:r>
      <w:r>
        <w:t xml:space="preserve"> </w:t>
      </w:r>
      <w:r>
        <w:t xml:space="preserve">or</w:t>
      </w:r>
      <w:r>
        <w:t xml:space="preserve"> </w:t>
      </w:r>
      <w:r>
        <w:rPr>
          <w:iCs/>
          <w:i/>
        </w:rPr>
        <w:t xml:space="preserve">v</w:t>
      </w:r>
      <w:r>
        <w:t xml:space="preserve"> </w:t>
      </w:r>
      <w:r>
        <w:t xml:space="preserve">standing in the penultimate place of a root, the</w:t>
      </w:r>
      <w:r>
        <w:t xml:space="preserve"> </w:t>
      </w:r>
      <w:r>
        <w:rPr>
          <w:iCs/>
          <w:i/>
        </w:rPr>
        <w:t xml:space="preserve">i</w:t>
      </w:r>
      <w:r>
        <w:t xml:space="preserve">,</w:t>
      </w:r>
      <w:r>
        <w:t xml:space="preserve"> </w:t>
      </w:r>
      <w:r>
        <w:rPr>
          <w:iCs/>
          <w:i/>
        </w:rPr>
        <w:t xml:space="preserve">u</w:t>
      </w:r>
      <w:r>
        <w:t xml:space="preserve">,</w:t>
      </w:r>
      <w:r>
        <w:t xml:space="preserve"> </w:t>
      </w:r>
      <w:r>
        <w:rPr>
          <w:iCs/>
          <w:i/>
        </w:rPr>
        <w:t xml:space="preserve">ṛ</w:t>
      </w:r>
      <w:r>
        <w:t xml:space="preserve">,</w:t>
      </w:r>
      <w:r>
        <w:t xml:space="preserve"> </w:t>
      </w:r>
      <w:r>
        <w:rPr>
          <w:iCs/>
          <w:i/>
        </w:rPr>
        <w:t xml:space="preserve">ḷ</w:t>
      </w:r>
      <w:r>
        <w:t xml:space="preserve"> </w:t>
      </w:r>
      <w:r>
        <w:t xml:space="preserve">before that</w:t>
      </w:r>
      <w:r>
        <w:t xml:space="preserve"> </w:t>
      </w:r>
      <w:r>
        <w:rPr>
          <w:iCs/>
          <w:i/>
        </w:rPr>
        <w:t xml:space="preserve">r</w:t>
      </w:r>
      <w:r>
        <w:t xml:space="preserve"> </w:t>
      </w:r>
      <w:r>
        <w:t xml:space="preserve">or</w:t>
      </w:r>
      <w:r>
        <w:t xml:space="preserve"> </w:t>
      </w:r>
      <w:r>
        <w:rPr>
          <w:iCs/>
          <w:i/>
        </w:rPr>
        <w:t xml:space="preserve">v</w:t>
      </w:r>
      <w:r>
        <w:t xml:space="preserve"> </w:t>
      </w:r>
      <w:r>
        <w:t xml:space="preserve">is lengthened: so the</w:t>
      </w:r>
      <w:r>
        <w:t xml:space="preserve"> </w:t>
      </w:r>
      <w:r>
        <w:rPr>
          <w:iCs/>
          <w:i/>
        </w:rPr>
        <w:t xml:space="preserve">u</w:t>
      </w:r>
      <w:r>
        <w:t xml:space="preserve"> </w:t>
      </w:r>
      <w:r>
        <w:t xml:space="preserve">is lengthened:</w:t>
      </w:r>
      <w:r>
        <w:t xml:space="preserve"> </w:t>
      </w:r>
      <w:r>
        <w:rPr>
          <w:iCs/>
          <w:i/>
        </w:rPr>
        <w:t xml:space="preserve">dhūrv</w:t>
      </w:r>
      <w:r>
        <w:t xml:space="preserve"> </w:t>
      </w:r>
      <w:r>
        <w:t xml:space="preserve">+</w:t>
      </w:r>
      <w:r>
        <w:t xml:space="preserve"> </w:t>
      </w:r>
      <w:r>
        <w:rPr>
          <w:iCs/>
          <w:i/>
        </w:rPr>
        <w:t xml:space="preserve">ti</w:t>
      </w:r>
      <w:r>
        <w:t xml:space="preserve">. In</w:t>
      </w:r>
      <w:r>
        <w:t xml:space="preserve"> </w:t>
      </w:r>
      <w:r>
        <w:t xml:space="preserve">“</w:t>
      </w:r>
      <w:r>
        <w:t xml:space="preserve">upadhāyāś ca</w:t>
      </w:r>
      <w:r>
        <w:t xml:space="preserve">”</w:t>
      </w:r>
      <w:r>
        <w:t xml:space="preserve"> </w:t>
      </w:r>
      <w:r>
        <w:t xml:space="preserve">(Pā. sū. 7-1-101) the preceding sūtra</w:t>
      </w:r>
      <w:r>
        <w:t xml:space="preserve"> </w:t>
      </w:r>
      <w:r>
        <w:t xml:space="preserve">“</w:t>
      </w:r>
      <w:r>
        <w:t xml:space="preserve">ṛta id dhātoḥ</w:t>
      </w:r>
      <w:r>
        <w:t xml:space="preserve">”</w:t>
      </w:r>
      <w:r>
        <w:t xml:space="preserve"> </w:t>
      </w:r>
      <w:r>
        <w:t xml:space="preserve">(Pā. sū. 7-1-100) is carried on; so its sense is that the</w:t>
      </w:r>
      <w:r>
        <w:t xml:space="preserve"> </w:t>
      </w:r>
      <w:r>
        <w:rPr>
          <w:iCs/>
          <w:i/>
        </w:rPr>
        <w:t xml:space="preserve">ṝ</w:t>
      </w:r>
      <w:r>
        <w:t xml:space="preserve"> </w:t>
      </w:r>
      <w:r>
        <w:t xml:space="preserve">in the penultimate of a root takes</w:t>
      </w:r>
      <w:r>
        <w:t xml:space="preserve"> </w:t>
      </w:r>
      <w:r>
        <w:rPr>
          <w:iCs/>
          <w:i/>
        </w:rPr>
        <w:t xml:space="preserve">i</w:t>
      </w:r>
      <w:r>
        <w:t xml:space="preserve">. So the lengthening must be stated by</w:t>
      </w:r>
      <w:r>
        <w:t xml:space="preserve"> </w:t>
      </w:r>
      <w:r>
        <w:rPr>
          <w:iCs/>
          <w:i/>
        </w:rPr>
        <w:t xml:space="preserve">upadhāyāṃ ca</w:t>
      </w:r>
      <w:r>
        <w:t xml:space="preserve"> </w:t>
      </w:r>
      <w:r>
        <w:t xml:space="preserve">[the bhāṣya’s citation of 7-1-101 being taken as for</w:t>
      </w:r>
      <w:r>
        <w:t xml:space="preserve"> </w:t>
      </w:r>
      <w:r>
        <w:rPr>
          <w:iCs/>
          <w:i/>
        </w:rPr>
        <w:t xml:space="preserve">upadhāyāṃ ca</w:t>
      </w:r>
      <w:r>
        <w:t xml:space="preserve">]. There the sūtras</w:t>
      </w:r>
      <w:r>
        <w:t xml:space="preserve"> </w:t>
      </w:r>
      <w:r>
        <w:t xml:space="preserve">“</w:t>
      </w:r>
      <w:r>
        <w:t xml:space="preserve">rvor upadhāyā dīrgha ikaḥ</w:t>
      </w:r>
      <w:r>
        <w:t xml:space="preserve">”</w:t>
      </w:r>
      <w:r>
        <w:t xml:space="preserve"> </w:t>
      </w:r>
      <w:r>
        <w:t xml:space="preserve">(Pā. sū. 8-2-76) and</w:t>
      </w:r>
      <w:r>
        <w:t xml:space="preserve"> </w:t>
      </w:r>
      <w:r>
        <w:t xml:space="preserve">“</w:t>
      </w:r>
      <w:r>
        <w:t xml:space="preserve">hali ca</w:t>
      </w:r>
      <w:r>
        <w:t xml:space="preserve">”</w:t>
      </w:r>
      <w:r>
        <w:t xml:space="preserve"> </w:t>
      </w:r>
      <w:r>
        <w:t xml:space="preserve">(Pā. sū. 8-2-77) are carried on, and from</w:t>
      </w:r>
      <w:r>
        <w:t xml:space="preserve"> </w:t>
      </w:r>
      <w:r>
        <w:t xml:space="preserve">“</w:t>
      </w:r>
      <w:r>
        <w:t xml:space="preserve">sipi dhātor rur vā</w:t>
      </w:r>
      <w:r>
        <w:t xml:space="preserve">”</w:t>
      </w:r>
      <w:r>
        <w:t xml:space="preserve"> </w:t>
      </w:r>
      <w:r>
        <w:t xml:space="preserve">(Pā. sū. 8-2-74) the word</w:t>
      </w:r>
      <w:r>
        <w:t xml:space="preserve"> </w:t>
      </w:r>
      <w:r>
        <w:rPr>
          <w:iCs/>
          <w:i/>
        </w:rPr>
        <w:t xml:space="preserve">dhātoḥ</w:t>
      </w:r>
      <w:r>
        <w:t xml:space="preserve"> </w:t>
      </w:r>
      <w:r>
        <w:t xml:space="preserve">too. So</w:t>
      </w:r>
      <w:r>
        <w:t xml:space="preserve"> </w:t>
      </w:r>
      <w:r>
        <w:rPr>
          <w:iCs/>
          <w:i/>
        </w:rPr>
        <w:t xml:space="preserve">upadhāyāṃ ca</w:t>
      </w:r>
      <w:r>
        <w:t xml:space="preserve"> </w:t>
      </w:r>
      <w:r>
        <w:t xml:space="preserve">enjoins lengthening. With</w:t>
      </w:r>
      <w:r>
        <w:t xml:space="preserve"> </w:t>
      </w:r>
      <w:r>
        <w:rPr>
          <w:iCs/>
          <w:i/>
        </w:rPr>
        <w:t xml:space="preserve">dhūrv</w:t>
      </w:r>
      <w:r>
        <w:t xml:space="preserve"> </w:t>
      </w:r>
      <w:r>
        <w:t xml:space="preserve">+</w:t>
      </w:r>
      <w:r>
        <w:t xml:space="preserve"> </w:t>
      </w:r>
      <w:r>
        <w:rPr>
          <w:iCs/>
          <w:i/>
        </w:rPr>
        <w:t xml:space="preserve">ti</w:t>
      </w:r>
      <w:r>
        <w:t xml:space="preserve">, the loss of</w:t>
      </w:r>
      <w:r>
        <w:t xml:space="preserve"> </w:t>
      </w:r>
      <w:r>
        <w:rPr>
          <w:iCs/>
          <w:i/>
        </w:rPr>
        <w:t xml:space="preserve">v</w:t>
      </w:r>
      <w:r>
        <w:t xml:space="preserve"> </w:t>
      </w:r>
      <w:r>
        <w:t xml:space="preserve">would come by</w:t>
      </w:r>
      <w:r>
        <w:t xml:space="preserve"> </w:t>
      </w:r>
      <w:r>
        <w:t xml:space="preserve">“</w:t>
      </w:r>
      <w:r>
        <w:t xml:space="preserve">lopo vyor vali</w:t>
      </w:r>
      <w:r>
        <w:t xml:space="preserve">”</w:t>
      </w:r>
      <w:r>
        <w:t xml:space="preserve"> </w:t>
      </w:r>
      <w:r>
        <w:t xml:space="preserve">(Pā. sū. 6-1-66). But overriding that, by</w:t>
      </w:r>
      <w:r>
        <w:t xml:space="preserve"> </w:t>
      </w:r>
      <w:r>
        <w:t xml:space="preserve">“</w:t>
      </w:r>
      <w:r>
        <w:t xml:space="preserve">cchvoḥ śūḍ anunāsike ca</w:t>
      </w:r>
      <w:r>
        <w:t xml:space="preserve">”</w:t>
      </w:r>
      <w:r>
        <w:t xml:space="preserve"> </w:t>
      </w:r>
      <w:r>
        <w:t xml:space="preserve">(Pā. sū. 6-4-19), when an initial-nasal suffix follows, or</w:t>
      </w:r>
      <w:r>
        <w:t xml:space="preserve"> </w:t>
      </w:r>
      <w:r>
        <w:rPr>
          <w:iCs/>
          <w:i/>
        </w:rPr>
        <w:t xml:space="preserve">kvip</w:t>
      </w:r>
      <w:r>
        <w:t xml:space="preserve">, or a</w:t>
      </w:r>
      <w:r>
        <w:t xml:space="preserve"> </w:t>
      </w:r>
      <w:r>
        <w:rPr>
          <w:iCs/>
          <w:i/>
        </w:rPr>
        <w:t xml:space="preserve">jhal</w:t>
      </w:r>
      <w:r>
        <w:t xml:space="preserve">-initial suffix that is</w:t>
      </w:r>
      <w:r>
        <w:t xml:space="preserve"> </w:t>
      </w:r>
      <w:r>
        <w:rPr>
          <w:iCs/>
          <w:i/>
        </w:rPr>
        <w:t xml:space="preserve">kit</w:t>
      </w:r>
      <w:r>
        <w:t xml:space="preserve"> </w:t>
      </w:r>
      <w:r>
        <w:t xml:space="preserve">or</w:t>
      </w:r>
      <w:r>
        <w:t xml:space="preserve"> </w:t>
      </w:r>
      <w:r>
        <w:rPr>
          <w:iCs/>
          <w:i/>
        </w:rPr>
        <w:t xml:space="preserve">ṅit</w:t>
      </w:r>
      <w:r>
        <w:t xml:space="preserve">,</w:t>
      </w:r>
      <w:r>
        <w:t xml:space="preserve"> </w:t>
      </w:r>
      <w:r>
        <w:rPr>
          <w:iCs/>
          <w:i/>
        </w:rPr>
        <w:t xml:space="preserve">ś</w:t>
      </w:r>
      <w:r>
        <w:t xml:space="preserve"> </w:t>
      </w:r>
      <w:r>
        <w:t xml:space="preserve">for</w:t>
      </w:r>
      <w:r>
        <w:t xml:space="preserve"> </w:t>
      </w:r>
      <w:r>
        <w:rPr>
          <w:iCs/>
          <w:i/>
        </w:rPr>
        <w:t xml:space="preserve">ch</w:t>
      </w:r>
      <w:r>
        <w:t xml:space="preserve"> </w:t>
      </w:r>
      <w:r>
        <w:t xml:space="preserve">with the augment</w:t>
      </w:r>
      <w:r>
        <w:t xml:space="preserve"> </w:t>
      </w:r>
      <w:r>
        <w:rPr>
          <w:iCs/>
          <w:i/>
        </w:rPr>
        <w:t xml:space="preserve">tuk</w:t>
      </w:r>
      <w:r>
        <w:t xml:space="preserve">, and the substitute</w:t>
      </w:r>
      <w:r>
        <w:t xml:space="preserve"> </w:t>
      </w:r>
      <w:r>
        <w:rPr>
          <w:iCs/>
          <w:i/>
        </w:rPr>
        <w:t xml:space="preserve">ūṭh</w:t>
      </w:r>
      <w:r>
        <w:t xml:space="preserve"> </w:t>
      </w:r>
      <w:r>
        <w:t xml:space="preserve">for</w:t>
      </w:r>
      <w:r>
        <w:t xml:space="preserve"> </w:t>
      </w:r>
      <w:r>
        <w:rPr>
          <w:iCs/>
          <w:i/>
        </w:rPr>
        <w:t xml:space="preserve">v</w:t>
      </w:r>
      <w:r>
        <w:t xml:space="preserve">; since the</w:t>
      </w:r>
      <w:r>
        <w:t xml:space="preserve"> </w:t>
      </w:r>
      <w:r>
        <w:rPr>
          <w:iCs/>
          <w:i/>
        </w:rPr>
        <w:t xml:space="preserve">kit</w:t>
      </w:r>
      <w:r>
        <w:t xml:space="preserve"> </w:t>
      </w:r>
      <w:r>
        <w:rPr>
          <w:iCs/>
          <w:i/>
        </w:rPr>
        <w:t xml:space="preserve">ktic</w:t>
      </w:r>
      <w:r>
        <w:t xml:space="preserve">,</w:t>
      </w:r>
      <w:r>
        <w:t xml:space="preserve"> </w:t>
      </w:r>
      <w:r>
        <w:rPr>
          <w:iCs/>
          <w:i/>
        </w:rPr>
        <w:t xml:space="preserve">jhal</w:t>
      </w:r>
      <w:r>
        <w:t xml:space="preserve">-initial, follows, the substitute</w:t>
      </w:r>
      <w:r>
        <w:t xml:space="preserve"> </w:t>
      </w:r>
      <w:r>
        <w:rPr>
          <w:iCs/>
          <w:i/>
        </w:rPr>
        <w:t xml:space="preserve">ūṭh</w:t>
      </w:r>
      <w:r>
        <w:t xml:space="preserve"> </w:t>
      </w:r>
      <w:r>
        <w:t xml:space="preserve">for</w:t>
      </w:r>
      <w:r>
        <w:t xml:space="preserve"> </w:t>
      </w:r>
      <w:r>
        <w:rPr>
          <w:iCs/>
          <w:i/>
        </w:rPr>
        <w:t xml:space="preserve">v</w:t>
      </w:r>
      <w:r>
        <w:t xml:space="preserve"> </w:t>
      </w:r>
      <w:r>
        <w:t xml:space="preserve">is due. Yet overriding this substitute</w:t>
      </w:r>
      <w:r>
        <w:t xml:space="preserve"> </w:t>
      </w:r>
      <w:r>
        <w:rPr>
          <w:iCs/>
          <w:i/>
        </w:rPr>
        <w:t xml:space="preserve">ūṭh</w:t>
      </w:r>
      <w:r>
        <w:t xml:space="preserve"> </w:t>
      </w:r>
      <w:r>
        <w:t xml:space="preserve">too, by</w:t>
      </w:r>
      <w:r>
        <w:t xml:space="preserve"> </w:t>
      </w:r>
      <w:r>
        <w:t xml:space="preserve">“</w:t>
      </w:r>
      <w:r>
        <w:t xml:space="preserve">rāl lopaḥ</w:t>
      </w:r>
      <w:r>
        <w:t xml:space="preserve">”</w:t>
      </w:r>
      <w:r>
        <w:t xml:space="preserve"> </w:t>
      </w:r>
      <w:r>
        <w:t xml:space="preserve">(Pā. sū. 6-4-21), when</w:t>
      </w:r>
      <w:r>
        <w:t xml:space="preserve"> </w:t>
      </w:r>
      <w:r>
        <w:rPr>
          <w:iCs/>
          <w:i/>
        </w:rPr>
        <w:t xml:space="preserve">kvip</w:t>
      </w:r>
      <w:r>
        <w:t xml:space="preserve">, a</w:t>
      </w:r>
      <w:r>
        <w:t xml:space="preserve"> </w:t>
      </w:r>
      <w:r>
        <w:rPr>
          <w:iCs/>
          <w:i/>
        </w:rPr>
        <w:t xml:space="preserve">jhal</w:t>
      </w:r>
      <w:r>
        <w:t xml:space="preserve">-initial suffix, or an initial-nasal suffix follows, the</w:t>
      </w:r>
      <w:r>
        <w:t xml:space="preserve"> </w:t>
      </w:r>
      <w:r>
        <w:rPr>
          <w:iCs/>
          <w:i/>
        </w:rPr>
        <w:t xml:space="preserve">ch</w:t>
      </w:r>
      <w:r>
        <w:t xml:space="preserve"> </w:t>
      </w:r>
      <w:r>
        <w:t xml:space="preserve">with the augment</w:t>
      </w:r>
      <w:r>
        <w:t xml:space="preserve"> </w:t>
      </w:r>
      <w:r>
        <w:rPr>
          <w:iCs/>
          <w:i/>
        </w:rPr>
        <w:t xml:space="preserve">tuk</w:t>
      </w:r>
      <w:r>
        <w:t xml:space="preserve"> </w:t>
      </w:r>
      <w:r>
        <w:t xml:space="preserve">and the</w:t>
      </w:r>
      <w:r>
        <w:t xml:space="preserve"> </w:t>
      </w:r>
      <w:r>
        <w:rPr>
          <w:iCs/>
          <w:i/>
        </w:rPr>
        <w:t xml:space="preserve">v</w:t>
      </w:r>
      <w:r>
        <w:t xml:space="preserve"> </w:t>
      </w:r>
      <w:r>
        <w:t xml:space="preserve">after an</w:t>
      </w:r>
      <w:r>
        <w:t xml:space="preserve"> </w:t>
      </w:r>
      <w:r>
        <w:rPr>
          <w:iCs/>
          <w:i/>
        </w:rPr>
        <w:t xml:space="preserve">r</w:t>
      </w:r>
      <w:r>
        <w:t xml:space="preserve"> </w:t>
      </w:r>
      <w:r>
        <w:t xml:space="preserve">drop; so the</w:t>
      </w:r>
      <w:r>
        <w:t xml:space="preserve"> </w:t>
      </w:r>
      <w:r>
        <w:rPr>
          <w:iCs/>
          <w:i/>
        </w:rPr>
        <w:t xml:space="preserve">v</w:t>
      </w:r>
      <w:r>
        <w:t xml:space="preserve"> </w:t>
      </w:r>
      <w:r>
        <w:t xml:space="preserve">after the</w:t>
      </w:r>
      <w:r>
        <w:t xml:space="preserve"> </w:t>
      </w:r>
      <w:r>
        <w:rPr>
          <w:iCs/>
          <w:i/>
        </w:rPr>
        <w:t xml:space="preserve">r</w:t>
      </w:r>
      <w:r>
        <w:t xml:space="preserve"> </w:t>
      </w:r>
      <w:r>
        <w:t xml:space="preserve">drops:</w:t>
      </w:r>
      <w:r>
        <w:t xml:space="preserve"> </w:t>
      </w:r>
      <w:r>
        <w:rPr>
          <w:iCs/>
          <w:i/>
        </w:rPr>
        <w:t xml:space="preserve">dhūr</w:t>
      </w:r>
      <w:r>
        <w:t xml:space="preserve"> </w:t>
      </w:r>
      <w:r>
        <w:t xml:space="preserve">+</w:t>
      </w:r>
      <w:r>
        <w:t xml:space="preserve"> </w:t>
      </w:r>
      <w:r>
        <w:rPr>
          <w:iCs/>
          <w:i/>
        </w:rPr>
        <w:t xml:space="preserve">ti</w:t>
      </w:r>
      <w:r>
        <w:t xml:space="preserve"> </w:t>
      </w:r>
      <w:r>
        <w:t xml:space="preserve">=</w:t>
      </w:r>
      <w:r>
        <w:t xml:space="preserve"> </w:t>
      </w:r>
      <w:r>
        <w:rPr>
          <w:iCs/>
          <w:i/>
        </w:rPr>
        <w:t xml:space="preserve">dhūrti</w:t>
      </w:r>
      <w:r>
        <w:t xml:space="preserve">.</w:t>
      </w:r>
    </w:p>
    <w:p>
      <w:pPr>
        <w:pStyle w:val="BodyText"/>
      </w:pPr>
      <w:r>
        <w:rPr>
          <w:bCs/>
          <w:b/>
        </w:rPr>
        <w:t xml:space="preserve">प्रणक् (</w:t>
      </w:r>
      <w:r>
        <w:rPr>
          <w:iCs/>
          <w:i/>
          <w:bCs/>
          <w:b/>
        </w:rPr>
        <w:t xml:space="preserve">praṇak</w:t>
      </w:r>
      <w:r>
        <w:rPr>
          <w:bCs/>
          <w:b/>
        </w:rPr>
        <w:t xml:space="preserve">)</w:t>
      </w:r>
      <w:r>
        <w:t xml:space="preserve">: the root</w:t>
      </w:r>
      <w:r>
        <w:t xml:space="preserve"> </w:t>
      </w:r>
      <w:r>
        <w:rPr>
          <w:iCs/>
          <w:i/>
        </w:rPr>
        <w:t xml:space="preserve">pṛcī saṃparke</w:t>
      </w:r>
      <w:r>
        <w:t xml:space="preserve">, of the</w:t>
      </w:r>
      <w:r>
        <w:t xml:space="preserve"> </w:t>
      </w:r>
      <w:r>
        <w:rPr>
          <w:iCs/>
          <w:i/>
        </w:rPr>
        <w:t xml:space="preserve">rudh-ādi</w:t>
      </w:r>
      <w:r>
        <w:t xml:space="preserve"> </w:t>
      </w:r>
      <w:r>
        <w:t xml:space="preserve">class. After it</w:t>
      </w:r>
      <w:r>
        <w:t xml:space="preserve"> </w:t>
      </w:r>
      <w:r>
        <w:rPr>
          <w:iCs/>
          <w:i/>
        </w:rPr>
        <w:t xml:space="preserve">laṅ</w:t>
      </w:r>
      <w:r>
        <w:t xml:space="preserve">, 3rd singular</w:t>
      </w:r>
      <w:r>
        <w:t xml:space="preserve"> </w:t>
      </w:r>
      <w:r>
        <w:rPr>
          <w:iCs/>
          <w:i/>
        </w:rPr>
        <w:t xml:space="preserve">tip</w:t>
      </w:r>
      <w:r>
        <w:t xml:space="preserve">. By</w:t>
      </w:r>
      <w:r>
        <w:t xml:space="preserve"> </w:t>
      </w:r>
      <w:r>
        <w:t xml:space="preserve">“</w:t>
      </w:r>
      <w:r>
        <w:t xml:space="preserve">itaś ca</w:t>
      </w:r>
      <w:r>
        <w:t xml:space="preserve">”</w:t>
      </w:r>
      <w:r>
        <w:t xml:space="preserve"> </w:t>
      </w:r>
      <w:r>
        <w:t xml:space="preserve">(Pā. sū. 3-4-100) the</w:t>
      </w:r>
      <w:r>
        <w:t xml:space="preserve"> </w:t>
      </w:r>
      <w:r>
        <w:rPr>
          <w:iCs/>
          <w:i/>
        </w:rPr>
        <w:t xml:space="preserve">i</w:t>
      </w:r>
      <w:r>
        <w:t xml:space="preserve"> </w:t>
      </w:r>
      <w:r>
        <w:t xml:space="preserve">drops. The</w:t>
      </w:r>
      <w:r>
        <w:t xml:space="preserve"> </w:t>
      </w:r>
      <w:r>
        <w:rPr>
          <w:iCs/>
          <w:i/>
        </w:rPr>
        <w:t xml:space="preserve">vikaraṇa</w:t>
      </w:r>
      <w:r>
        <w:t xml:space="preserve"> </w:t>
      </w:r>
      <w:r>
        <w:rPr>
          <w:iCs/>
          <w:i/>
        </w:rPr>
        <w:t xml:space="preserve">śnam</w:t>
      </w:r>
      <w:r>
        <w:t xml:space="preserve"> </w:t>
      </w:r>
      <w:r>
        <w:t xml:space="preserve">enjoined by</w:t>
      </w:r>
      <w:r>
        <w:t xml:space="preserve"> </w:t>
      </w:r>
      <w:r>
        <w:t xml:space="preserve">“</w:t>
      </w:r>
      <w:r>
        <w:t xml:space="preserve">rudhādibhyaḥ śnam</w:t>
      </w:r>
      <w:r>
        <w:t xml:space="preserve">”</w:t>
      </w:r>
      <w:r>
        <w:t xml:space="preserve"> </w:t>
      </w:r>
      <w:r>
        <w:t xml:space="preserve">(Pā. sū. 3-1-78), being</w:t>
      </w:r>
      <w:r>
        <w:t xml:space="preserve"> </w:t>
      </w:r>
      <w:r>
        <w:rPr>
          <w:iCs/>
          <w:i/>
        </w:rPr>
        <w:t xml:space="preserve">mit</w:t>
      </w:r>
      <w:r>
        <w:t xml:space="preserve">, comes after the</w:t>
      </w:r>
      <w:r>
        <w:t xml:space="preserve"> </w:t>
      </w:r>
      <w:r>
        <w:rPr>
          <w:iCs/>
          <w:i/>
        </w:rPr>
        <w:t xml:space="preserve">ṛ</w:t>
      </w:r>
      <w:r>
        <w:t xml:space="preserve"> </w:t>
      </w:r>
      <w:r>
        <w:t xml:space="preserve">by</w:t>
      </w:r>
      <w:r>
        <w:t xml:space="preserve"> </w:t>
      </w:r>
      <w:r>
        <w:t xml:space="preserve">“</w:t>
      </w:r>
      <w:r>
        <w:t xml:space="preserve">mid aco ’ntyāt paraḥ</w:t>
      </w:r>
      <w:r>
        <w:t xml:space="preserve">”</w:t>
      </w:r>
      <w:r>
        <w:t xml:space="preserve"> </w:t>
      </w:r>
      <w:r>
        <w:t xml:space="preserve">(Pā. sū. 1-1-47):</w:t>
      </w:r>
      <w:r>
        <w:t xml:space="preserve"> </w:t>
      </w:r>
      <w:r>
        <w:rPr>
          <w:iCs/>
          <w:i/>
        </w:rPr>
        <w:t xml:space="preserve">pṛnac</w:t>
      </w:r>
      <w:r>
        <w:t xml:space="preserve"> </w:t>
      </w:r>
      <w:r>
        <w:t xml:space="preserve">+</w:t>
      </w:r>
      <w:r>
        <w:t xml:space="preserve"> </w:t>
      </w:r>
      <w:r>
        <w:rPr>
          <w:iCs/>
          <w:i/>
        </w:rPr>
        <w:t xml:space="preserve">t</w:t>
      </w:r>
      <w:r>
        <w:t xml:space="preserve">. By</w:t>
      </w:r>
      <w:r>
        <w:t xml:space="preserve"> </w:t>
      </w:r>
      <w:r>
        <w:t xml:space="preserve">“</w:t>
      </w:r>
      <w:r>
        <w:t xml:space="preserve">vyatyayo bahulam</w:t>
      </w:r>
      <w:r>
        <w:t xml:space="preserve">”</w:t>
      </w:r>
      <w:r>
        <w:t xml:space="preserve"> </w:t>
      </w:r>
      <w:r>
        <w:t xml:space="preserve">(Pā. sū. 3-1-85) the augment</w:t>
      </w:r>
      <w:r>
        <w:t xml:space="preserve"> </w:t>
      </w:r>
      <w:r>
        <w:rPr>
          <w:iCs/>
          <w:i/>
        </w:rPr>
        <w:t xml:space="preserve">āṭ</w:t>
      </w:r>
      <w:r>
        <w:t xml:space="preserve"> </w:t>
      </w:r>
      <w:r>
        <w:t xml:space="preserve">for the</w:t>
      </w:r>
      <w:r>
        <w:t xml:space="preserve"> </w:t>
      </w:r>
      <w:r>
        <w:rPr>
          <w:iCs/>
          <w:i/>
        </w:rPr>
        <w:t xml:space="preserve">vikaraṇa</w:t>
      </w:r>
      <w:r>
        <w:t xml:space="preserve"> </w:t>
      </w:r>
      <w:r>
        <w:rPr>
          <w:iCs/>
          <w:i/>
        </w:rPr>
        <w:t xml:space="preserve">śnam</w:t>
      </w:r>
      <w:r>
        <w:t xml:space="preserve">:</w:t>
      </w:r>
      <w:r>
        <w:t xml:space="preserve"> </w:t>
      </w:r>
      <w:r>
        <w:rPr>
          <w:iCs/>
          <w:i/>
        </w:rPr>
        <w:t xml:space="preserve">pṛ</w:t>
      </w:r>
      <w:r>
        <w:t xml:space="preserve"> </w:t>
      </w:r>
      <w:r>
        <w:t xml:space="preserve">+</w:t>
      </w:r>
      <w:r>
        <w:t xml:space="preserve"> </w:t>
      </w:r>
      <w:r>
        <w:rPr>
          <w:iCs/>
          <w:i/>
        </w:rPr>
        <w:t xml:space="preserve">an</w:t>
      </w:r>
      <w:r>
        <w:t xml:space="preserve"> </w:t>
      </w:r>
      <w:r>
        <w:t xml:space="preserve">+</w:t>
      </w:r>
      <w:r>
        <w:t xml:space="preserve"> </w:t>
      </w:r>
      <w:r>
        <w:rPr>
          <w:iCs/>
          <w:i/>
        </w:rPr>
        <w:t xml:space="preserve">c</w:t>
      </w:r>
      <w:r>
        <w:t xml:space="preserve"> </w:t>
      </w:r>
      <w:r>
        <w:t xml:space="preserve">+</w:t>
      </w:r>
      <w:r>
        <w:t xml:space="preserve"> </w:t>
      </w:r>
      <w:r>
        <w:rPr>
          <w:iCs/>
          <w:i/>
        </w:rPr>
        <w:t xml:space="preserve">t</w:t>
      </w:r>
      <w:r>
        <w:t xml:space="preserve">. By</w:t>
      </w:r>
      <w:r>
        <w:t xml:space="preserve"> </w:t>
      </w:r>
      <w:r>
        <w:t xml:space="preserve">“</w:t>
      </w:r>
      <w:r>
        <w:t xml:space="preserve">iko yaṇ aci</w:t>
      </w:r>
      <w:r>
        <w:t xml:space="preserve">”</w:t>
      </w:r>
      <w:r>
        <w:t xml:space="preserve"> </w:t>
      </w:r>
      <w:r>
        <w:t xml:space="preserve">(Pā. sū. 6-1-77)</w:t>
      </w:r>
      <w:r>
        <w:t xml:space="preserve"> </w:t>
      </w:r>
      <w:r>
        <w:rPr>
          <w:iCs/>
          <w:i/>
        </w:rPr>
        <w:t xml:space="preserve">yaṇ</w:t>
      </w:r>
      <w:r>
        <w:t xml:space="preserve">,</w:t>
      </w:r>
      <w:r>
        <w:t xml:space="preserve"> </w:t>
      </w:r>
      <w:r>
        <w:rPr>
          <w:iCs/>
          <w:i/>
        </w:rPr>
        <w:t xml:space="preserve">r</w:t>
      </w:r>
      <w:r>
        <w:t xml:space="preserve"> </w:t>
      </w:r>
      <w:r>
        <w:t xml:space="preserve">for</w:t>
      </w:r>
      <w:r>
        <w:t xml:space="preserve"> </w:t>
      </w:r>
      <w:r>
        <w:rPr>
          <w:iCs/>
          <w:i/>
        </w:rPr>
        <w:t xml:space="preserve">ṛ</w:t>
      </w:r>
      <w:r>
        <w:t xml:space="preserve">:</w:t>
      </w:r>
      <w:r>
        <w:t xml:space="preserve"> </w:t>
      </w:r>
      <w:r>
        <w:rPr>
          <w:iCs/>
          <w:i/>
        </w:rPr>
        <w:t xml:space="preserve">pranac</w:t>
      </w:r>
      <w:r>
        <w:t xml:space="preserve"> </w:t>
      </w:r>
      <w:r>
        <w:t xml:space="preserve">+</w:t>
      </w:r>
      <w:r>
        <w:t xml:space="preserve"> </w:t>
      </w:r>
      <w:r>
        <w:rPr>
          <w:iCs/>
          <w:i/>
        </w:rPr>
        <w:t xml:space="preserve">t</w:t>
      </w:r>
      <w:r>
        <w:t xml:space="preserve">. By</w:t>
      </w:r>
      <w:r>
        <w:t xml:space="preserve"> </w:t>
      </w:r>
      <w:r>
        <w:t xml:space="preserve">“</w:t>
      </w:r>
      <w:r>
        <w:t xml:space="preserve">halṅyābbhyaḥ…</w:t>
      </w:r>
      <w:r>
        <w:t xml:space="preserve">”</w:t>
      </w:r>
      <w:r>
        <w:t xml:space="preserve"> </w:t>
      </w:r>
      <w:r>
        <w:t xml:space="preserve">(Pā. sū. 6-1-68) the</w:t>
      </w:r>
      <w:r>
        <w:t xml:space="preserve"> </w:t>
      </w:r>
      <w:r>
        <w:rPr>
          <w:iCs/>
          <w:i/>
        </w:rPr>
        <w:t xml:space="preserve">t</w:t>
      </w:r>
      <w:r>
        <w:t xml:space="preserve"> </w:t>
      </w:r>
      <w:r>
        <w:t xml:space="preserve">drops; by</w:t>
      </w:r>
      <w:r>
        <w:t xml:space="preserve"> </w:t>
      </w:r>
      <w:r>
        <w:t xml:space="preserve">“</w:t>
      </w:r>
      <w:r>
        <w:t xml:space="preserve">coḥ kuḥ</w:t>
      </w:r>
      <w:r>
        <w:t xml:space="preserve">”</w:t>
      </w:r>
      <w:r>
        <w:t xml:space="preserve"> </w:t>
      </w:r>
      <w:r>
        <w:t xml:space="preserve">(Pā. sū. 8-2-30)</w:t>
      </w:r>
      <w:r>
        <w:t xml:space="preserve"> </w:t>
      </w:r>
      <w:r>
        <w:rPr>
          <w:iCs/>
          <w:i/>
        </w:rPr>
        <w:t xml:space="preserve">k</w:t>
      </w:r>
      <w:r>
        <w:t xml:space="preserve"> </w:t>
      </w:r>
      <w:r>
        <w:t xml:space="preserve">for</w:t>
      </w:r>
      <w:r>
        <w:t xml:space="preserve"> </w:t>
      </w:r>
      <w:r>
        <w:rPr>
          <w:iCs/>
          <w:i/>
        </w:rPr>
        <w:t xml:space="preserve">c</w:t>
      </w:r>
      <w:r>
        <w:t xml:space="preserve">; by</w:t>
      </w:r>
      <w:r>
        <w:t xml:space="preserve"> </w:t>
      </w:r>
      <w:r>
        <w:t xml:space="preserve">“</w:t>
      </w:r>
      <w:r>
        <w:t xml:space="preserve">aṭkupvāṅ…</w:t>
      </w:r>
      <w:r>
        <w:t xml:space="preserve">”</w:t>
      </w:r>
      <w:r>
        <w:t xml:space="preserve"> </w:t>
      </w:r>
      <w:r>
        <w:t xml:space="preserve">(Pā. sū. 8-4-2)</w:t>
      </w:r>
      <w:r>
        <w:t xml:space="preserve"> </w:t>
      </w:r>
      <w:r>
        <w:rPr>
          <w:iCs/>
          <w:i/>
        </w:rPr>
        <w:t xml:space="preserve">ṇ</w:t>
      </w:r>
      <w:r>
        <w:t xml:space="preserve"> </w:t>
      </w:r>
      <w:r>
        <w:t xml:space="preserve">for</w:t>
      </w:r>
      <w:r>
        <w:t xml:space="preserve"> </w:t>
      </w:r>
      <w:r>
        <w:rPr>
          <w:iCs/>
          <w:i/>
        </w:rPr>
        <w:t xml:space="preserve">n</w:t>
      </w:r>
      <w:r>
        <w:t xml:space="preserve">:</w:t>
      </w:r>
      <w:r>
        <w:t xml:space="preserve"> </w:t>
      </w:r>
      <w:r>
        <w:rPr>
          <w:iCs/>
          <w:i/>
        </w:rPr>
        <w:t xml:space="preserve">praṇak</w:t>
      </w:r>
      <w:r>
        <w:t xml:space="preserve">. The</w:t>
      </w:r>
      <w:r>
        <w:t xml:space="preserve"> </w:t>
      </w:r>
      <w:r>
        <w:rPr>
          <w:iCs/>
          <w:i/>
        </w:rPr>
        <w:t xml:space="preserve">a</w:t>
      </w:r>
      <w:r>
        <w:t xml:space="preserve"> </w:t>
      </w:r>
      <w:r>
        <w:t xml:space="preserve">that came as an augment to the</w:t>
      </w:r>
      <w:r>
        <w:t xml:space="preserve"> </w:t>
      </w:r>
      <w:r>
        <w:rPr>
          <w:iCs/>
          <w:i/>
        </w:rPr>
        <w:t xml:space="preserve">śnam</w:t>
      </w:r>
      <w:r>
        <w:t xml:space="preserve"> </w:t>
      </w:r>
      <w:r>
        <w:t xml:space="preserve">would be unaccented by</w:t>
      </w:r>
      <w:r>
        <w:t xml:space="preserve"> </w:t>
      </w:r>
      <w:r>
        <w:rPr>
          <w:iCs/>
          <w:i/>
        </w:rPr>
        <w:t xml:space="preserve">āgamā anudāttāḥ</w:t>
      </w:r>
      <w:r>
        <w:t xml:space="preserve">; by exchange it is udātta. By</w:t>
      </w:r>
      <w:r>
        <w:t xml:space="preserve"> </w:t>
      </w:r>
      <w:r>
        <w:t xml:space="preserve">“</w:t>
      </w:r>
      <w:r>
        <w:t xml:space="preserve">cādilope vibhāṣā</w:t>
      </w:r>
      <w:r>
        <w:t xml:space="preserve">”</w:t>
      </w:r>
      <w:r>
        <w:t xml:space="preserve"> </w:t>
      </w:r>
      <w:r>
        <w:t xml:space="preserve">(Pā. sū. 8-1-63), when</w:t>
      </w:r>
      <w:r>
        <w:t xml:space="preserve"> </w:t>
      </w:r>
      <w:r>
        <w:rPr>
          <w:iCs/>
          <w:i/>
        </w:rPr>
        <w:t xml:space="preserve">ca</w:t>
      </w:r>
      <w:r>
        <w:t xml:space="preserve">,</w:t>
      </w:r>
      <w:r>
        <w:t xml:space="preserve"> </w:t>
      </w:r>
      <w:r>
        <w:rPr>
          <w:iCs/>
          <w:i/>
        </w:rPr>
        <w:t xml:space="preserve">vā</w:t>
      </w:r>
      <w:r>
        <w:t xml:space="preserve">,</w:t>
      </w:r>
      <w:r>
        <w:t xml:space="preserve"> </w:t>
      </w:r>
      <w:r>
        <w:rPr>
          <w:iCs/>
          <w:i/>
        </w:rPr>
        <w:t xml:space="preserve">ha</w:t>
      </w:r>
      <w:r>
        <w:t xml:space="preserve">,</w:t>
      </w:r>
      <w:r>
        <w:t xml:space="preserve"> </w:t>
      </w:r>
      <w:r>
        <w:rPr>
          <w:iCs/>
          <w:i/>
        </w:rPr>
        <w:t xml:space="preserve">aha</w:t>
      </w:r>
      <w:r>
        <w:t xml:space="preserve">,</w:t>
      </w:r>
      <w:r>
        <w:t xml:space="preserve"> </w:t>
      </w:r>
      <w:r>
        <w:rPr>
          <w:iCs/>
          <w:i/>
        </w:rPr>
        <w:t xml:space="preserve">eva</w:t>
      </w:r>
      <w:r>
        <w:t xml:space="preserve"> </w:t>
      </w:r>
      <w:r>
        <w:t xml:space="preserve">are dropped, the first</w:t>
      </w:r>
      <w:r>
        <w:t xml:space="preserve"> </w:t>
      </w:r>
      <w:r>
        <w:rPr>
          <w:iCs/>
          <w:i/>
        </w:rPr>
        <w:t xml:space="preserve">tiṅanta</w:t>
      </w:r>
      <w:r>
        <w:t xml:space="preserve"> </w:t>
      </w:r>
      <w:r>
        <w:t xml:space="preserve">is optionally not unaccented; because of this bar</w:t>
      </w:r>
      <w:r>
        <w:t xml:space="preserve"> </w:t>
      </w:r>
      <w:r>
        <w:rPr>
          <w:iCs/>
          <w:i/>
        </w:rPr>
        <w:t xml:space="preserve">praṇak</w:t>
      </w:r>
      <w:r>
        <w:t xml:space="preserve"> </w:t>
      </w:r>
      <w:r>
        <w:t xml:space="preserve">is not wholly unaccented by</w:t>
      </w:r>
      <w:r>
        <w:t xml:space="preserve"> </w:t>
      </w:r>
      <w:r>
        <w:rPr>
          <w:iCs/>
          <w:i/>
        </w:rPr>
        <w:t xml:space="preserve">tiṅṅatiṅaḥ</w:t>
      </w:r>
      <w:r>
        <w:t xml:space="preserve">.</w:t>
      </w:r>
    </w:p>
    <w:bookmarkEnd w:id="842"/>
    <w:bookmarkStart w:id="843" w:name="page-764-rik-3-grammar-end"/>
    <w:p>
      <w:pPr>
        <w:pStyle w:val="Heading3"/>
      </w:pPr>
      <w:r>
        <w:t xml:space="preserve">Page 764 — Rik 3: grammar (end)</w:t>
      </w:r>
    </w:p>
    <w:p>
      <w:pPr>
        <w:pStyle w:val="FirstParagraph"/>
      </w:pPr>
      <w:r>
        <w:rPr>
          <w:bCs/>
          <w:b/>
        </w:rPr>
        <w:t xml:space="preserve">मर्त्यस्य (</w:t>
      </w:r>
      <w:r>
        <w:rPr>
          <w:iCs/>
          <w:i/>
          <w:bCs/>
          <w:b/>
        </w:rPr>
        <w:t xml:space="preserve">martyasya</w:t>
      </w:r>
      <w:r>
        <w:rPr>
          <w:bCs/>
          <w:b/>
        </w:rPr>
        <w:t xml:space="preserve">)</w:t>
      </w:r>
      <w:r>
        <w:t xml:space="preserve">: the root</w:t>
      </w:r>
      <w:r>
        <w:t xml:space="preserve"> </w:t>
      </w:r>
      <w:r>
        <w:rPr>
          <w:iCs/>
          <w:i/>
        </w:rPr>
        <w:t xml:space="preserve">mṛṅ prāṇatyāge</w:t>
      </w:r>
      <w:r>
        <w:t xml:space="preserve">.</w:t>
      </w:r>
      <w:r>
        <w:t xml:space="preserve"> </w:t>
      </w:r>
      <w:r>
        <w:t xml:space="preserve">“</w:t>
      </w:r>
      <w:r>
        <w:t xml:space="preserve">Hasimṛgriṇvāmidamilūpūdhurvibhyas tan</w:t>
      </w:r>
      <w:r>
        <w:t xml:space="preserve">”</w:t>
      </w:r>
      <w:r>
        <w:t xml:space="preserve"> </w:t>
      </w:r>
      <w:r>
        <w:t xml:space="preserve">(Uṇ. sū.</w:t>
      </w:r>
      <w:r>
        <w:t xml:space="preserve"> </w:t>
      </w:r>
      <w:r>
        <w:t xml:space="preserve">“</w:t>
      </w:r>
      <w:r>
        <w:t xml:space="preserve">3-366</w:t>
      </w:r>
      <w:r>
        <w:t xml:space="preserve">”</w:t>
      </w:r>
      <w:r>
        <w:t xml:space="preserve"> </w:t>
      </w:r>
      <w:r>
        <w:t xml:space="preserve">[?]): the sense of the sūtra is that the suffix</w:t>
      </w:r>
      <w:r>
        <w:t xml:space="preserve"> </w:t>
      </w:r>
      <w:r>
        <w:rPr>
          <w:iCs/>
          <w:i/>
        </w:rPr>
        <w:t xml:space="preserve">tan</w:t>
      </w:r>
      <w:r>
        <w:t xml:space="preserve"> </w:t>
      </w:r>
      <w:r>
        <w:t xml:space="preserve">comes after the roots</w:t>
      </w:r>
      <w:r>
        <w:t xml:space="preserve"> </w:t>
      </w:r>
      <w:r>
        <w:rPr>
          <w:iCs/>
          <w:i/>
        </w:rPr>
        <w:t xml:space="preserve">hase hasane</w:t>
      </w:r>
      <w:r>
        <w:t xml:space="preserve">,</w:t>
      </w:r>
      <w:r>
        <w:t xml:space="preserve"> </w:t>
      </w:r>
      <w:r>
        <w:rPr>
          <w:iCs/>
          <w:i/>
        </w:rPr>
        <w:t xml:space="preserve">mṛṅ prāṇatyāge</w:t>
      </w:r>
      <w:r>
        <w:t xml:space="preserve">,</w:t>
      </w:r>
      <w:r>
        <w:t xml:space="preserve"> </w:t>
      </w:r>
      <w:r>
        <w:rPr>
          <w:iCs/>
          <w:i/>
        </w:rPr>
        <w:t xml:space="preserve">gṝ nigaraṇe</w:t>
      </w:r>
      <w:r>
        <w:t xml:space="preserve">,</w:t>
      </w:r>
      <w:r>
        <w:t xml:space="preserve"> </w:t>
      </w:r>
      <w:r>
        <w:rPr>
          <w:iCs/>
          <w:i/>
        </w:rPr>
        <w:t xml:space="preserve">iṇ gatau</w:t>
      </w:r>
      <w:r>
        <w:t xml:space="preserve">,</w:t>
      </w:r>
      <w:r>
        <w:t xml:space="preserve"> </w:t>
      </w:r>
      <w:r>
        <w:rPr>
          <w:iCs/>
          <w:i/>
        </w:rPr>
        <w:t xml:space="preserve">vā gatigandhanayoḥ</w:t>
      </w:r>
      <w:r>
        <w:t xml:space="preserve">,</w:t>
      </w:r>
      <w:r>
        <w:t xml:space="preserve"> </w:t>
      </w:r>
      <w:r>
        <w:rPr>
          <w:iCs/>
          <w:i/>
        </w:rPr>
        <w:t xml:space="preserve">ama gatyādiṣu</w:t>
      </w:r>
      <w:r>
        <w:t xml:space="preserve">,</w:t>
      </w:r>
      <w:r>
        <w:t xml:space="preserve"> </w:t>
      </w:r>
      <w:r>
        <w:rPr>
          <w:iCs/>
          <w:i/>
        </w:rPr>
        <w:t xml:space="preserve">damu upaśame</w:t>
      </w:r>
      <w:r>
        <w:t xml:space="preserve">,</w:t>
      </w:r>
      <w:r>
        <w:t xml:space="preserve"> </w:t>
      </w:r>
      <w:r>
        <w:rPr>
          <w:iCs/>
          <w:i/>
        </w:rPr>
        <w:t xml:space="preserve">lūñ chedane</w:t>
      </w:r>
      <w:r>
        <w:t xml:space="preserve">,</w:t>
      </w:r>
      <w:r>
        <w:t xml:space="preserve"> </w:t>
      </w:r>
      <w:r>
        <w:rPr>
          <w:iCs/>
          <w:i/>
        </w:rPr>
        <w:t xml:space="preserve">pūñ pavane</w:t>
      </w:r>
      <w:r>
        <w:t xml:space="preserve">,</w:t>
      </w:r>
      <w:r>
        <w:t xml:space="preserve"> </w:t>
      </w:r>
      <w:r>
        <w:rPr>
          <w:iCs/>
          <w:i/>
        </w:rPr>
        <w:t xml:space="preserve">dhurvī hiṃsāyām</w:t>
      </w:r>
      <w:r>
        <w:t xml:space="preserve">. Here the Vedabhāṣyakāra has read at the beginning one more root,</w:t>
      </w:r>
      <w:r>
        <w:t xml:space="preserve"> </w:t>
      </w:r>
      <w:r>
        <w:rPr>
          <w:iCs/>
          <w:i/>
        </w:rPr>
        <w:t xml:space="preserve">asi</w:t>
      </w:r>
      <w:r>
        <w:t xml:space="preserve">; it is not seen in the sūtras as they now stand. With</w:t>
      </w:r>
      <w:r>
        <w:t xml:space="preserve"> </w:t>
      </w:r>
      <w:r>
        <w:rPr>
          <w:iCs/>
          <w:i/>
        </w:rPr>
        <w:t xml:space="preserve">tan</w:t>
      </w:r>
      <w:r>
        <w:t xml:space="preserve"> </w:t>
      </w:r>
      <w:r>
        <w:t xml:space="preserve">after the root</w:t>
      </w:r>
      <w:r>
        <w:t xml:space="preserve"> </w:t>
      </w:r>
      <w:r>
        <w:rPr>
          <w:iCs/>
          <w:i/>
        </w:rPr>
        <w:t xml:space="preserve">mṛ</w:t>
      </w:r>
      <w:r>
        <w:t xml:space="preserve">,</w:t>
      </w:r>
      <w:r>
        <w:t xml:space="preserve"> </w:t>
      </w:r>
      <w:r>
        <w:rPr>
          <w:iCs/>
          <w:i/>
        </w:rPr>
        <w:t xml:space="preserve">mṛ</w:t>
      </w:r>
      <w:r>
        <w:t xml:space="preserve"> </w:t>
      </w:r>
      <w:r>
        <w:t xml:space="preserve">+</w:t>
      </w:r>
      <w:r>
        <w:t xml:space="preserve"> </w:t>
      </w:r>
      <w:r>
        <w:rPr>
          <w:iCs/>
          <w:i/>
        </w:rPr>
        <w:t xml:space="preserve">ta</w:t>
      </w:r>
      <w:r>
        <w:t xml:space="preserve">;</w:t>
      </w:r>
      <w:r>
        <w:t xml:space="preserve"> </w:t>
      </w:r>
      <w:r>
        <w:rPr>
          <w:iCs/>
          <w:i/>
        </w:rPr>
        <w:t xml:space="preserve">guṇa</w:t>
      </w:r>
      <w:r>
        <w:t xml:space="preserve"> </w:t>
      </w:r>
      <w:r>
        <w:t xml:space="preserve">by</w:t>
      </w:r>
      <w:r>
        <w:t xml:space="preserve"> </w:t>
      </w:r>
      <w:r>
        <w:rPr>
          <w:iCs/>
          <w:i/>
        </w:rPr>
        <w:t xml:space="preserve">sārvadhātuka…</w:t>
      </w:r>
      <w:r>
        <w:t xml:space="preserve">, followed by</w:t>
      </w:r>
      <w:r>
        <w:t xml:space="preserve"> </w:t>
      </w:r>
      <w:r>
        <w:rPr>
          <w:iCs/>
          <w:i/>
        </w:rPr>
        <w:t xml:space="preserve">r</w:t>
      </w:r>
      <w:r>
        <w:t xml:space="preserve">:</w:t>
      </w:r>
      <w:r>
        <w:t xml:space="preserve"> </w:t>
      </w:r>
      <w:r>
        <w:rPr>
          <w:iCs/>
          <w:i/>
        </w:rPr>
        <w:t xml:space="preserve">marta</w:t>
      </w:r>
      <w:r>
        <w:t xml:space="preserve">. The analysis</w:t>
      </w:r>
      <w:r>
        <w:t xml:space="preserve"> </w:t>
      </w:r>
      <w:r>
        <w:rPr>
          <w:iCs/>
          <w:i/>
        </w:rPr>
        <w:t xml:space="preserve">marteṣu bhavaḥ</w:t>
      </w:r>
      <w:r>
        <w:t xml:space="preserve">: the suffix</w:t>
      </w:r>
      <w:r>
        <w:t xml:space="preserve"> </w:t>
      </w:r>
      <w:r>
        <w:rPr>
          <w:iCs/>
          <w:i/>
        </w:rPr>
        <w:t xml:space="preserve">yat</w:t>
      </w:r>
      <w:r>
        <w:t xml:space="preserve"> </w:t>
      </w:r>
      <w:r>
        <w:t xml:space="preserve">by</w:t>
      </w:r>
      <w:r>
        <w:t xml:space="preserve"> </w:t>
      </w:r>
      <w:r>
        <w:t xml:space="preserve">“</w:t>
      </w:r>
      <w:r>
        <w:t xml:space="preserve">bhave chandasi</w:t>
      </w:r>
      <w:r>
        <w:t xml:space="preserve">”</w:t>
      </w:r>
      <w:r>
        <w:t xml:space="preserve"> </w:t>
      </w:r>
      <w:r>
        <w:t xml:space="preserve">(Pā. sū. 4-4-110); the</w:t>
      </w:r>
      <w:r>
        <w:t xml:space="preserve"> </w:t>
      </w:r>
      <w:r>
        <w:rPr>
          <w:iCs/>
          <w:i/>
        </w:rPr>
        <w:t xml:space="preserve">a</w:t>
      </w:r>
      <w:r>
        <w:t xml:space="preserve"> </w:t>
      </w:r>
      <w:r>
        <w:t xml:space="preserve">drops by</w:t>
      </w:r>
      <w:r>
        <w:t xml:space="preserve"> </w:t>
      </w:r>
      <w:r>
        <w:rPr>
          <w:iCs/>
          <w:i/>
        </w:rPr>
        <w:t xml:space="preserve">yasyeti ca</w:t>
      </w:r>
      <w:r>
        <w:t xml:space="preserve">. The svarita due by</w:t>
      </w:r>
      <w:r>
        <w:t xml:space="preserve"> </w:t>
      </w:r>
      <w:r>
        <w:rPr>
          <w:iCs/>
          <w:i/>
        </w:rPr>
        <w:t xml:space="preserve">tit svaritam</w:t>
      </w:r>
      <w:r>
        <w:t xml:space="preserve"> </w:t>
      </w:r>
      <w:r>
        <w:t xml:space="preserve">is overridden by</w:t>
      </w:r>
      <w:r>
        <w:t xml:space="preserve"> </w:t>
      </w:r>
      <w:r>
        <w:t xml:space="preserve">“</w:t>
      </w:r>
      <w:r>
        <w:t xml:space="preserve">yato ’nāvaḥ</w:t>
      </w:r>
      <w:r>
        <w:t xml:space="preserve">”</w:t>
      </w:r>
      <w:r>
        <w:t xml:space="preserve"> </w:t>
      </w:r>
      <w:r>
        <w:t xml:space="preserve">(Pā. sū. 6-1-213), and initial udātta comes.</w:t>
      </w:r>
    </w:p>
    <w:p>
      <w:pPr>
        <w:pStyle w:val="BodyText"/>
      </w:pPr>
      <w:r>
        <w:rPr>
          <w:bCs/>
          <w:b/>
        </w:rPr>
        <w:t xml:space="preserve">रक्ष (</w:t>
      </w:r>
      <w:r>
        <w:rPr>
          <w:iCs/>
          <w:i/>
          <w:bCs/>
          <w:b/>
        </w:rPr>
        <w:t xml:space="preserve">rakṣa</w:t>
      </w:r>
      <w:r>
        <w:rPr>
          <w:bCs/>
          <w:b/>
        </w:rPr>
        <w:t xml:space="preserve">)</w:t>
      </w:r>
      <w:r>
        <w:t xml:space="preserve">: the root</w:t>
      </w:r>
      <w:r>
        <w:t xml:space="preserve"> </w:t>
      </w:r>
      <w:r>
        <w:rPr>
          <w:iCs/>
          <w:i/>
        </w:rPr>
        <w:t xml:space="preserve">rakṣa pālane</w:t>
      </w:r>
      <w:r>
        <w:t xml:space="preserve">.</w:t>
      </w:r>
      <w:r>
        <w:t xml:space="preserve"> </w:t>
      </w:r>
      <w:r>
        <w:rPr>
          <w:iCs/>
          <w:i/>
        </w:rPr>
        <w:t xml:space="preserve">Loṭ</w:t>
      </w:r>
      <w:r>
        <w:t xml:space="preserve">, 2nd singular</w:t>
      </w:r>
      <w:r>
        <w:t xml:space="preserve"> </w:t>
      </w:r>
      <w:r>
        <w:rPr>
          <w:iCs/>
          <w:i/>
        </w:rPr>
        <w:t xml:space="preserve">sip</w:t>
      </w:r>
      <w:r>
        <w:t xml:space="preserve">;</w:t>
      </w:r>
      <w:r>
        <w:t xml:space="preserve"> </w:t>
      </w:r>
      <w:r>
        <w:rPr>
          <w:iCs/>
          <w:i/>
        </w:rPr>
        <w:t xml:space="preserve">śap</w:t>
      </w:r>
      <w:r>
        <w:t xml:space="preserve"> </w:t>
      </w:r>
      <w:r>
        <w:t xml:space="preserve">by</w:t>
      </w:r>
      <w:r>
        <w:t xml:space="preserve"> </w:t>
      </w:r>
      <w:r>
        <w:rPr>
          <w:iCs/>
          <w:i/>
        </w:rPr>
        <w:t xml:space="preserve">kartari śap</w:t>
      </w:r>
      <w:r>
        <w:t xml:space="preserve">;</w:t>
      </w:r>
      <w:r>
        <w:t xml:space="preserve"> </w:t>
      </w:r>
      <w:r>
        <w:rPr>
          <w:iCs/>
          <w:i/>
        </w:rPr>
        <w:t xml:space="preserve">hi</w:t>
      </w:r>
      <w:r>
        <w:t xml:space="preserve"> </w:t>
      </w:r>
      <w:r>
        <w:t xml:space="preserve">by</w:t>
      </w:r>
      <w:r>
        <w:t xml:space="preserve"> </w:t>
      </w:r>
      <w:r>
        <w:rPr>
          <w:iCs/>
          <w:i/>
        </w:rPr>
        <w:t xml:space="preserve">ser hy apic ca</w:t>
      </w:r>
      <w:r>
        <w:t xml:space="preserve">;</w:t>
      </w:r>
      <w:r>
        <w:t xml:space="preserve"> </w:t>
      </w:r>
      <w:r>
        <w:rPr>
          <w:iCs/>
          <w:i/>
        </w:rPr>
        <w:t xml:space="preserve">luk</w:t>
      </w:r>
      <w:r>
        <w:t xml:space="preserve"> </w:t>
      </w:r>
      <w:r>
        <w:t xml:space="preserve">of</w:t>
      </w:r>
      <w:r>
        <w:t xml:space="preserve"> </w:t>
      </w:r>
      <w:r>
        <w:rPr>
          <w:iCs/>
          <w:i/>
        </w:rPr>
        <w:t xml:space="preserve">hi</w:t>
      </w:r>
      <w:r>
        <w:t xml:space="preserve"> </w:t>
      </w:r>
      <w:r>
        <w:t xml:space="preserve">by</w:t>
      </w:r>
      <w:r>
        <w:t xml:space="preserve"> </w:t>
      </w:r>
      <w:r>
        <w:rPr>
          <w:iCs/>
          <w:i/>
        </w:rPr>
        <w:t xml:space="preserve">ato heḥ</w:t>
      </w:r>
      <w:r>
        <w:t xml:space="preserve">.</w:t>
      </w:r>
      <w:r>
        <w:t xml:space="preserve"> </w:t>
      </w:r>
      <w:r>
        <w:rPr>
          <w:iCs/>
          <w:i/>
        </w:rPr>
        <w:t xml:space="preserve">Śap</w:t>
      </w:r>
      <w:r>
        <w:t xml:space="preserve"> </w:t>
      </w:r>
      <w:r>
        <w:t xml:space="preserve">is</w:t>
      </w:r>
      <w:r>
        <w:t xml:space="preserve"> </w:t>
      </w:r>
      <w:r>
        <w:rPr>
          <w:iCs/>
          <w:i/>
        </w:rPr>
        <w:t xml:space="preserve">pit</w:t>
      </w:r>
      <w:r>
        <w:t xml:space="preserve">, so unaccented by</w:t>
      </w:r>
      <w:r>
        <w:t xml:space="preserve"> </w:t>
      </w:r>
      <w:r>
        <w:rPr>
          <w:iCs/>
          <w:i/>
        </w:rPr>
        <w:t xml:space="preserve">anudāttau suppitau</w:t>
      </w:r>
      <w:r>
        <w:t xml:space="preserve">; the root accent alone remains. Since it stands at the start of a</w:t>
      </w:r>
      <w:r>
        <w:t xml:space="preserve"> </w:t>
      </w:r>
      <w:r>
        <w:rPr>
          <w:iCs/>
          <w:i/>
        </w:rPr>
        <w:t xml:space="preserve">pāda</w:t>
      </w:r>
      <w:r>
        <w:t xml:space="preserve">, the bar</w:t>
      </w:r>
      <w:r>
        <w:t xml:space="preserve"> </w:t>
      </w:r>
      <w:r>
        <w:t xml:space="preserve">“</w:t>
      </w:r>
      <w:r>
        <w:t xml:space="preserve">anudāttaṃ sarvam apādādau</w:t>
      </w:r>
      <w:r>
        <w:t xml:space="preserve">”</w:t>
      </w:r>
      <w:r>
        <w:t xml:space="preserve"> </w:t>
      </w:r>
      <w:r>
        <w:t xml:space="preserve">(Pā. sū. 8-1-18) comes; so it is not wholly unaccented by</w:t>
      </w:r>
      <w:r>
        <w:t xml:space="preserve"> </w:t>
      </w:r>
      <w:r>
        <w:rPr>
          <w:iCs/>
          <w:i/>
        </w:rPr>
        <w:t xml:space="preserve">tiṅṅatiṅaḥ</w:t>
      </w:r>
      <w:r>
        <w:t xml:space="preserve">.</w:t>
      </w:r>
      <w:r>
        <w:t xml:space="preserve"> </w:t>
      </w:r>
      <w:r>
        <w:rPr>
          <w:iCs/>
          <w:i/>
        </w:rPr>
        <w:t xml:space="preserve">Rakṣā ṇaḥ</w:t>
      </w:r>
      <w:r>
        <w:t xml:space="preserve">: by</w:t>
      </w:r>
      <w:r>
        <w:t xml:space="preserve"> </w:t>
      </w:r>
      <w:r>
        <w:t xml:space="preserve">“</w:t>
      </w:r>
      <w:r>
        <w:t xml:space="preserve">dvyaco ’tas tiṅaḥ</w:t>
      </w:r>
      <w:r>
        <w:t xml:space="preserve">”</w:t>
      </w:r>
      <w:r>
        <w:t xml:space="preserve"> </w:t>
      </w:r>
      <w:r>
        <w:t xml:space="preserve">(Pā. sū. 6-3-135) it is lengthened in the Saṃhitā.</w:t>
      </w:r>
      <w:r>
        <w:t xml:space="preserve"> </w:t>
      </w:r>
      <w:r>
        <w:t xml:space="preserve">“</w:t>
      </w:r>
      <w:r>
        <w:t xml:space="preserve">Upasargād bahulam</w:t>
      </w:r>
      <w:r>
        <w:t xml:space="preserve">”</w:t>
      </w:r>
      <w:r>
        <w:t xml:space="preserve"> </w:t>
      </w:r>
      <w:r>
        <w:t xml:space="preserve">(Pā. sū. 8-4-28): the sense of this is that the</w:t>
      </w:r>
      <w:r>
        <w:t xml:space="preserve"> </w:t>
      </w:r>
      <w:r>
        <w:rPr>
          <w:iCs/>
          <w:i/>
        </w:rPr>
        <w:t xml:space="preserve">n</w:t>
      </w:r>
      <w:r>
        <w:t xml:space="preserve"> </w:t>
      </w:r>
      <w:r>
        <w:t xml:space="preserve">of</w:t>
      </w:r>
      <w:r>
        <w:t xml:space="preserve"> </w:t>
      </w:r>
      <w:r>
        <w:rPr>
          <w:iCs/>
          <w:i/>
        </w:rPr>
        <w:t xml:space="preserve">nas</w:t>
      </w:r>
      <w:r>
        <w:t xml:space="preserve"> </w:t>
      </w:r>
      <w:r>
        <w:t xml:space="preserve">after the</w:t>
      </w:r>
      <w:r>
        <w:t xml:space="preserve"> </w:t>
      </w:r>
      <w:r>
        <w:rPr>
          <w:iCs/>
          <w:i/>
        </w:rPr>
        <w:t xml:space="preserve">r</w:t>
      </w:r>
      <w:r>
        <w:t xml:space="preserve"> </w:t>
      </w:r>
      <w:r>
        <w:t xml:space="preserve">or</w:t>
      </w:r>
      <w:r>
        <w:t xml:space="preserve"> </w:t>
      </w:r>
      <w:r>
        <w:rPr>
          <w:iCs/>
          <w:i/>
        </w:rPr>
        <w:t xml:space="preserve">ṣ</w:t>
      </w:r>
      <w:r>
        <w:t xml:space="preserve"> </w:t>
      </w:r>
      <w:r>
        <w:t xml:space="preserve">in a preverb takes</w:t>
      </w:r>
      <w:r>
        <w:t xml:space="preserve"> </w:t>
      </w:r>
      <w:r>
        <w:rPr>
          <w:iCs/>
          <w:i/>
        </w:rPr>
        <w:t xml:space="preserve">ṇ</w:t>
      </w:r>
      <w:r>
        <w:t xml:space="preserve">. By</w:t>
      </w:r>
      <w:r>
        <w:t xml:space="preserve"> </w:t>
      </w:r>
      <w:r>
        <w:rPr>
          <w:iCs/>
          <w:i/>
        </w:rPr>
        <w:t xml:space="preserve">nas</w:t>
      </w:r>
      <w:r>
        <w:t xml:space="preserve"> </w:t>
      </w:r>
      <w:r>
        <w:t xml:space="preserve">both the</w:t>
      </w:r>
      <w:r>
        <w:t xml:space="preserve"> </w:t>
      </w:r>
      <w:r>
        <w:rPr>
          <w:iCs/>
          <w:i/>
        </w:rPr>
        <w:t xml:space="preserve">nas</w:t>
      </w:r>
      <w:r>
        <w:t xml:space="preserve"> </w:t>
      </w:r>
      <w:r>
        <w:t xml:space="preserve">that stands for the word</w:t>
      </w:r>
      <w:r>
        <w:t xml:space="preserve"> </w:t>
      </w:r>
      <w:r>
        <w:rPr>
          <w:iCs/>
          <w:i/>
        </w:rPr>
        <w:t xml:space="preserve">nāsikā</w:t>
      </w:r>
      <w:r>
        <w:t xml:space="preserve"> </w:t>
      </w:r>
      <w:r>
        <w:t xml:space="preserve">and the</w:t>
      </w:r>
      <w:r>
        <w:t xml:space="preserve"> </w:t>
      </w:r>
      <w:r>
        <w:rPr>
          <w:iCs/>
          <w:i/>
        </w:rPr>
        <w:t xml:space="preserve">nas</w:t>
      </w:r>
      <w:r>
        <w:t xml:space="preserve"> </w:t>
      </w:r>
      <w:r>
        <w:t xml:space="preserve">enjoined as</w:t>
      </w:r>
      <w:r>
        <w:t xml:space="preserve"> </w:t>
      </w:r>
      <w:r>
        <w:rPr>
          <w:iCs/>
          <w:i/>
        </w:rPr>
        <w:t xml:space="preserve">bahuvacanasya vasnasau</w:t>
      </w:r>
      <w:r>
        <w:t xml:space="preserve"> </w:t>
      </w:r>
      <w:r>
        <w:t xml:space="preserve">are taken; here it is the second</w:t>
      </w:r>
      <w:r>
        <w:t xml:space="preserve"> </w:t>
      </w:r>
      <w:r>
        <w:rPr>
          <w:iCs/>
          <w:i/>
        </w:rPr>
        <w:t xml:space="preserve">nas</w:t>
      </w:r>
      <w:r>
        <w:t xml:space="preserve">. But it stands after the word</w:t>
      </w:r>
      <w:r>
        <w:t xml:space="preserve"> </w:t>
      </w:r>
      <w:r>
        <w:rPr>
          <w:iCs/>
          <w:i/>
        </w:rPr>
        <w:t xml:space="preserve">rakṣā</w:t>
      </w:r>
      <w:r>
        <w:t xml:space="preserve">, which is not a preverb. Yet by force of the mention of</w:t>
      </w:r>
      <w:r>
        <w:t xml:space="preserve"> </w:t>
      </w:r>
      <w:r>
        <w:rPr>
          <w:iCs/>
          <w:i/>
        </w:rPr>
        <w:t xml:space="preserve">bahula</w:t>
      </w:r>
      <w:r>
        <w:t xml:space="preserve">,</w:t>
      </w:r>
      <w:r>
        <w:t xml:space="preserve"> </w:t>
      </w:r>
      <w:r>
        <w:rPr>
          <w:iCs/>
          <w:i/>
        </w:rPr>
        <w:t xml:space="preserve">ṇ</w:t>
      </w:r>
      <w:r>
        <w:t xml:space="preserve"> </w:t>
      </w:r>
      <w:r>
        <w:t xml:space="preserve">comes even for the</w:t>
      </w:r>
      <w:r>
        <w:t xml:space="preserve"> </w:t>
      </w:r>
      <w:r>
        <w:rPr>
          <w:iCs/>
          <w:i/>
        </w:rPr>
        <w:t xml:space="preserve">n</w:t>
      </w:r>
      <w:r>
        <w:t xml:space="preserve"> </w:t>
      </w:r>
      <w:r>
        <w:t xml:space="preserve">of a</w:t>
      </w:r>
      <w:r>
        <w:t xml:space="preserve"> </w:t>
      </w:r>
      <w:r>
        <w:rPr>
          <w:iCs/>
          <w:i/>
        </w:rPr>
        <w:t xml:space="preserve">nas</w:t>
      </w:r>
      <w:r>
        <w:t xml:space="preserve"> </w:t>
      </w:r>
      <w:r>
        <w:t xml:space="preserve">after an</w:t>
      </w:r>
      <w:r>
        <w:t xml:space="preserve"> </w:t>
      </w:r>
      <w:r>
        <w:rPr>
          <w:iCs/>
          <w:i/>
        </w:rPr>
        <w:t xml:space="preserve">r</w:t>
      </w:r>
      <w:r>
        <w:t xml:space="preserve"> </w:t>
      </w:r>
      <w:r>
        <w:t xml:space="preserve">or</w:t>
      </w:r>
      <w:r>
        <w:t xml:space="preserve"> </w:t>
      </w:r>
      <w:r>
        <w:rPr>
          <w:iCs/>
          <w:i/>
        </w:rPr>
        <w:t xml:space="preserve">ṣ</w:t>
      </w:r>
      <w:r>
        <w:t xml:space="preserve"> </w:t>
      </w:r>
      <w:r>
        <w:t xml:space="preserve">not marked as a preverb. In fact, there is no need to labour to establish the</w:t>
      </w:r>
      <w:r>
        <w:t xml:space="preserve"> </w:t>
      </w:r>
      <w:r>
        <w:rPr>
          <w:iCs/>
          <w:i/>
        </w:rPr>
        <w:t xml:space="preserve">ṇ</w:t>
      </w:r>
      <w:r>
        <w:t xml:space="preserve"> </w:t>
      </w:r>
      <w:r>
        <w:t xml:space="preserve">by the mention of</w:t>
      </w:r>
      <w:r>
        <w:t xml:space="preserve"> </w:t>
      </w:r>
      <w:r>
        <w:rPr>
          <w:iCs/>
          <w:i/>
        </w:rPr>
        <w:t xml:space="preserve">bahula</w:t>
      </w:r>
      <w:r>
        <w:t xml:space="preserve"> </w:t>
      </w:r>
      <w:r>
        <w:t xml:space="preserve">here.</w:t>
      </w:r>
      <w:r>
        <w:t xml:space="preserve"> </w:t>
      </w:r>
      <w:r>
        <w:t xml:space="preserve">“</w:t>
      </w:r>
      <w:r>
        <w:t xml:space="preserve">Naś ca dhātusthoruṣubhyaḥ</w:t>
      </w:r>
      <w:r>
        <w:t xml:space="preserve">”</w:t>
      </w:r>
      <w:r>
        <w:t xml:space="preserve"> </w:t>
      </w:r>
      <w:r>
        <w:t xml:space="preserve">(Pā. sū. 8-4-27): the sense of the sūtra is that the</w:t>
      </w:r>
      <w:r>
        <w:t xml:space="preserve"> </w:t>
      </w:r>
      <w:r>
        <w:rPr>
          <w:iCs/>
          <w:i/>
        </w:rPr>
        <w:t xml:space="preserve">n</w:t>
      </w:r>
      <w:r>
        <w:t xml:space="preserve"> </w:t>
      </w:r>
      <w:r>
        <w:t xml:space="preserve">of the</w:t>
      </w:r>
      <w:r>
        <w:t xml:space="preserve"> </w:t>
      </w:r>
      <w:r>
        <w:rPr>
          <w:iCs/>
          <w:i/>
        </w:rPr>
        <w:t xml:space="preserve">nas</w:t>
      </w:r>
      <w:r>
        <w:t xml:space="preserve"> </w:t>
      </w:r>
      <w:r>
        <w:t xml:space="preserve">standing for</w:t>
      </w:r>
      <w:r>
        <w:t xml:space="preserve"> </w:t>
      </w:r>
      <w:r>
        <w:rPr>
          <w:iCs/>
          <w:i/>
        </w:rPr>
        <w:t xml:space="preserve">asmad</w:t>
      </w:r>
      <w:r>
        <w:t xml:space="preserve"> </w:t>
      </w:r>
      <w:r>
        <w:t xml:space="preserve">after the</w:t>
      </w:r>
      <w:r>
        <w:t xml:space="preserve"> </w:t>
      </w:r>
      <w:r>
        <w:rPr>
          <w:iCs/>
          <w:i/>
        </w:rPr>
        <w:t xml:space="preserve">r</w:t>
      </w:r>
      <w:r>
        <w:t xml:space="preserve"> </w:t>
      </w:r>
      <w:r>
        <w:t xml:space="preserve">or</w:t>
      </w:r>
      <w:r>
        <w:t xml:space="preserve"> </w:t>
      </w:r>
      <w:r>
        <w:rPr>
          <w:iCs/>
          <w:i/>
        </w:rPr>
        <w:t xml:space="preserve">ṣ</w:t>
      </w:r>
      <w:r>
        <w:t xml:space="preserve"> </w:t>
      </w:r>
      <w:r>
        <w:t xml:space="preserve">in a root, after the word</w:t>
      </w:r>
      <w:r>
        <w:t xml:space="preserve"> </w:t>
      </w:r>
      <w:r>
        <w:rPr>
          <w:iCs/>
          <w:i/>
        </w:rPr>
        <w:t xml:space="preserve">uru</w:t>
      </w:r>
      <w:r>
        <w:t xml:space="preserve">, and after</w:t>
      </w:r>
      <w:r>
        <w:t xml:space="preserve"> </w:t>
      </w:r>
      <w:r>
        <w:rPr>
          <w:iCs/>
          <w:i/>
        </w:rPr>
        <w:t xml:space="preserve">ṣu</w:t>
      </w:r>
      <w:r>
        <w:t xml:space="preserve"> </w:t>
      </w:r>
      <w:r>
        <w:t xml:space="preserve">(the</w:t>
      </w:r>
      <w:r>
        <w:t xml:space="preserve"> </w:t>
      </w:r>
      <w:r>
        <w:rPr>
          <w:iCs/>
          <w:i/>
        </w:rPr>
        <w:t xml:space="preserve">ṣ</w:t>
      </w:r>
      <w:r>
        <w:t xml:space="preserve"> </w:t>
      </w:r>
      <w:r>
        <w:t xml:space="preserve">coming for</w:t>
      </w:r>
      <w:r>
        <w:t xml:space="preserve"> </w:t>
      </w:r>
      <w:r>
        <w:rPr>
          <w:iCs/>
          <w:i/>
        </w:rPr>
        <w:t xml:space="preserve">ṣuñ abhiṣave</w:t>
      </w:r>
      <w:r>
        <w:t xml:space="preserve">), takes</w:t>
      </w:r>
      <w:r>
        <w:t xml:space="preserve"> </w:t>
      </w:r>
      <w:r>
        <w:rPr>
          <w:iCs/>
          <w:i/>
        </w:rPr>
        <w:t xml:space="preserve">ṇ</w:t>
      </w:r>
      <w:r>
        <w:t xml:space="preserve">. Here</w:t>
      </w:r>
      <w:r>
        <w:t xml:space="preserve"> </w:t>
      </w:r>
      <w:r>
        <w:rPr>
          <w:iCs/>
          <w:i/>
        </w:rPr>
        <w:t xml:space="preserve">rakṣa</w:t>
      </w:r>
      <w:r>
        <w:t xml:space="preserve"> </w:t>
      </w:r>
      <w:r>
        <w:t xml:space="preserve">is a root, and it contains</w:t>
      </w:r>
      <w:r>
        <w:t xml:space="preserve"> </w:t>
      </w:r>
      <w:r>
        <w:rPr>
          <w:iCs/>
          <w:i/>
        </w:rPr>
        <w:t xml:space="preserve">ṣ</w:t>
      </w:r>
      <w:r>
        <w:t xml:space="preserve">. So the</w:t>
      </w:r>
      <w:r>
        <w:t xml:space="preserve"> </w:t>
      </w:r>
      <w:r>
        <w:rPr>
          <w:iCs/>
          <w:i/>
        </w:rPr>
        <w:t xml:space="preserve">n</w:t>
      </w:r>
      <w:r>
        <w:t xml:space="preserve"> </w:t>
      </w:r>
      <w:r>
        <w:t xml:space="preserve">of the</w:t>
      </w:r>
      <w:r>
        <w:t xml:space="preserve"> </w:t>
      </w:r>
      <w:r>
        <w:rPr>
          <w:iCs/>
          <w:i/>
        </w:rPr>
        <w:t xml:space="preserve">nas</w:t>
      </w:r>
      <w:r>
        <w:t xml:space="preserve"> </w:t>
      </w:r>
      <w:r>
        <w:t xml:space="preserve">after the</w:t>
      </w:r>
      <w:r>
        <w:t xml:space="preserve"> </w:t>
      </w:r>
      <w:r>
        <w:rPr>
          <w:iCs/>
          <w:i/>
        </w:rPr>
        <w:t xml:space="preserve">ṣ</w:t>
      </w:r>
      <w:r>
        <w:t xml:space="preserve">, one of the</w:t>
      </w:r>
      <w:r>
        <w:t xml:space="preserve"> </w:t>
      </w:r>
      <w:r>
        <w:rPr>
          <w:iCs/>
          <w:i/>
        </w:rPr>
        <w:t xml:space="preserve">r</w:t>
      </w:r>
      <w:r>
        <w:t xml:space="preserve"> </w:t>
      </w:r>
      <w:r>
        <w:t xml:space="preserve">or</w:t>
      </w:r>
      <w:r>
        <w:t xml:space="preserve"> </w:t>
      </w:r>
      <w:r>
        <w:rPr>
          <w:iCs/>
          <w:i/>
        </w:rPr>
        <w:t xml:space="preserve">ṣ</w:t>
      </w:r>
      <w:r>
        <w:t xml:space="preserve"> </w:t>
      </w:r>
      <w:r>
        <w:t xml:space="preserve">contained in the root, takes</w:t>
      </w:r>
      <w:r>
        <w:t xml:space="preserve"> </w:t>
      </w:r>
      <w:r>
        <w:rPr>
          <w:iCs/>
          <w:i/>
        </w:rPr>
        <w:t xml:space="preserve">ṇ</w:t>
      </w:r>
      <w:r>
        <w:t xml:space="preserve"> </w:t>
      </w:r>
      <w:r>
        <w:t xml:space="preserve">by this sūtra.</w:t>
      </w:r>
    </w:p>
    <w:p>
      <w:pPr>
        <w:pStyle w:val="BodyText"/>
      </w:pPr>
      <w:r>
        <w:rPr>
          <w:bCs/>
          <w:b/>
        </w:rPr>
        <w:t xml:space="preserve">ब्रह्मणस्पते (</w:t>
      </w:r>
      <w:r>
        <w:rPr>
          <w:iCs/>
          <w:i/>
          <w:bCs/>
          <w:b/>
        </w:rPr>
        <w:t xml:space="preserve">brahmaṇaspate</w:t>
      </w:r>
      <w:r>
        <w:rPr>
          <w:bCs/>
          <w:b/>
        </w:rPr>
        <w:t xml:space="preserve">)</w:t>
      </w:r>
      <w:r>
        <w:t xml:space="preserve">: for the visarga belonging to the genitive in</w:t>
      </w:r>
      <w:r>
        <w:t xml:space="preserve"> </w:t>
      </w:r>
      <w:r>
        <w:rPr>
          <w:iCs/>
          <w:i/>
        </w:rPr>
        <w:t xml:space="preserve">brahmaṇaḥ</w:t>
      </w:r>
      <w:r>
        <w:t xml:space="preserve">, in the Saṃhitā the substitute</w:t>
      </w:r>
      <w:r>
        <w:t xml:space="preserve"> </w:t>
      </w:r>
      <w:r>
        <w:rPr>
          <w:iCs/>
          <w:i/>
        </w:rPr>
        <w:t xml:space="preserve">s</w:t>
      </w:r>
      <w:r>
        <w:t xml:space="preserve"> </w:t>
      </w:r>
      <w:r>
        <w:t xml:space="preserve">by</w:t>
      </w:r>
      <w:r>
        <w:t xml:space="preserve"> </w:t>
      </w:r>
      <w:r>
        <w:t xml:space="preserve">“</w:t>
      </w:r>
      <w:r>
        <w:t xml:space="preserve">ṣaṣṭhyāḥ patiputra…</w:t>
      </w:r>
      <w:r>
        <w:t xml:space="preserve">”</w:t>
      </w:r>
      <w:r>
        <w:t xml:space="preserve"> </w:t>
      </w:r>
      <w:r>
        <w:t xml:space="preserve">(Pā. sū. 8-3-53).</w:t>
      </w:r>
      <w:r>
        <w:t xml:space="preserve"> </w:t>
      </w:r>
      <w:r>
        <w:rPr>
          <w:iCs/>
          <w:i/>
        </w:rPr>
        <w:t xml:space="preserve">Pate</w:t>
      </w:r>
      <w:r>
        <w:t xml:space="preserve"> </w:t>
      </w:r>
      <w:r>
        <w:t xml:space="preserve">is a vocative. So the word before it takes</w:t>
      </w:r>
      <w:r>
        <w:t xml:space="preserve"> </w:t>
      </w:r>
      <w:r>
        <w:rPr>
          <w:iCs/>
          <w:i/>
        </w:rPr>
        <w:t xml:space="preserve">parāṅgavadbhāva</w:t>
      </w:r>
      <w:r>
        <w:t xml:space="preserve"> </w:t>
      </w:r>
      <w:r>
        <w:t xml:space="preserve">by</w:t>
      </w:r>
      <w:r>
        <w:t xml:space="preserve"> </w:t>
      </w:r>
      <w:r>
        <w:t xml:space="preserve">“</w:t>
      </w:r>
      <w:r>
        <w:t xml:space="preserve">subāmantrite parāṅgavat svare</w:t>
      </w:r>
      <w:r>
        <w:t xml:space="preserve">”</w:t>
      </w:r>
      <w:r>
        <w:t xml:space="preserve"> </w:t>
      </w:r>
      <w:r>
        <w:t xml:space="preserve">(Pā. sū. 2-1-2). So the name vocative rests on the whole</w:t>
      </w:r>
      <w:r>
        <w:t xml:space="preserve"> </w:t>
      </w:r>
      <w:r>
        <w:rPr>
          <w:iCs/>
          <w:i/>
        </w:rPr>
        <w:t xml:space="preserve">brahmaṇaspate</w:t>
      </w:r>
      <w:r>
        <w:t xml:space="preserve">. So by</w:t>
      </w:r>
      <w:r>
        <w:t xml:space="preserve"> </w:t>
      </w:r>
      <w:r>
        <w:t xml:space="preserve">“</w:t>
      </w:r>
      <w:r>
        <w:t xml:space="preserve">āmantritasya ca</w:t>
      </w:r>
      <w:r>
        <w:t xml:space="preserve">”</w:t>
      </w:r>
      <w:r>
        <w:t xml:space="preserve"> </w:t>
      </w:r>
      <w:r>
        <w:t xml:space="preserve">(Pā. sū. 8-1-19) both words are wholly unaccented.</w:t>
      </w:r>
    </w:p>
    <w:p>
      <w:pPr>
        <w:pStyle w:val="BodyText"/>
      </w:pPr>
      <w:r>
        <w:rPr>
          <w:bCs/>
          <w:b/>
        </w:rPr>
        <w:t xml:space="preserve">॥३॥</w:t>
      </w:r>
    </w:p>
    <w:p>
      <w:r>
        <w:pict>
          <v:rect style="width:0;height:1.5pt" o:hralign="center" o:hrstd="t" o:hr="t"/>
        </w:pict>
      </w:r>
    </w:p>
    <w:bookmarkEnd w:id="843"/>
    <w:bookmarkStart w:id="844" w:name="page-765-sūkta-18-rik-4"/>
    <w:p>
      <w:pPr>
        <w:pStyle w:val="Heading3"/>
      </w:pPr>
      <w:r>
        <w:t xml:space="preserve">Page 765 — Sūkta 18, Rik 4</w:t>
      </w:r>
    </w:p>
    <w:p>
      <w:pPr>
        <w:pStyle w:val="FirstParagraph"/>
      </w:pPr>
      <w:r>
        <w:rPr>
          <w:iCs/>
          <w:i/>
        </w:rPr>
        <w:t xml:space="preserve">(Saṃhitā accents as printed; Pada unaccented. Deities: Brahmaṇaspati, Indra and Soma.)</w:t>
      </w:r>
    </w:p>
    <w:p>
      <w:pPr>
        <w:pStyle w:val="BodyText"/>
      </w:pPr>
      <w:r>
        <w:rPr>
          <w:bCs/>
          <w:b/>
        </w:rPr>
        <w:t xml:space="preserve">॥ Saṃhitā-pāṭhaḥ ॥</w:t>
      </w:r>
    </w:p>
    <w:p>
      <w:pPr>
        <w:pStyle w:val="BlockText"/>
      </w:pPr>
      <w:r>
        <w:t xml:space="preserve">स घा॑ वी॒रो न रि॑ष्यति॒ यमिन्द्रो॒ ब्रह्म॑ण॒स्पतिः॑ । [accent ?]</w:t>
      </w:r>
      <w:r>
        <w:t xml:space="preserve"> </w:t>
      </w:r>
      <w:r>
        <w:t xml:space="preserve">सो॑मो हि॒नोति॒ मर्त्य॑म् ॥४॥ [accent ?]</w:t>
      </w:r>
    </w:p>
    <w:p>
      <w:pPr>
        <w:pStyle w:val="BlockText"/>
      </w:pPr>
      <w:r>
        <w:rPr>
          <w:iCs/>
          <w:i/>
        </w:rPr>
        <w:t xml:space="preserve">sá ghā vīró ná riṣyati yám indro bráhmaṇaspátiḥ |</w:t>
      </w:r>
      <w:r>
        <w:t xml:space="preserve"> </w:t>
      </w:r>
      <w:r>
        <w:t xml:space="preserve">[accent ?]</w:t>
      </w:r>
      <w:r>
        <w:t xml:space="preserve"> </w:t>
      </w:r>
      <w:r>
        <w:rPr>
          <w:iCs/>
          <w:i/>
        </w:rPr>
        <w:t xml:space="preserve">somo hinóti mártyam ||4||</w:t>
      </w:r>
      <w:r>
        <w:t xml:space="preserve"> </w:t>
      </w:r>
      <w:r>
        <w:t xml:space="preserve">[accent ?]</w:t>
      </w:r>
    </w:p>
    <w:p>
      <w:pPr>
        <w:pStyle w:val="FirstParagraph"/>
      </w:pPr>
      <w:r>
        <w:rPr>
          <w:iCs/>
          <w:i/>
        </w:rPr>
        <w:t xml:space="preserve">(Read as printed: strokes over घा, रि, ह्म, तिः, सो and र्त्य; bars under वी, ति (रिष्यति), द्रो, ण, हि and ति (हिनोति). A mark over मि of यमिन्द्रो is not clear.)</w:t>
      </w:r>
    </w:p>
    <w:p>
      <w:pPr>
        <w:pStyle w:val="BodyText"/>
      </w:pPr>
      <w:r>
        <w:rPr>
          <w:bCs/>
          <w:b/>
        </w:rPr>
        <w:t xml:space="preserve">॥ Pada-pāṭhaḥ ॥</w:t>
      </w:r>
    </w:p>
    <w:p>
      <w:pPr>
        <w:pStyle w:val="BlockText"/>
      </w:pPr>
      <w:r>
        <w:t xml:space="preserve">सः । घ । वीरः । न । रिष्यति । यम् । इन्द्रः । ब्रह्मणः । पतिः ॥</w:t>
      </w:r>
      <w:r>
        <w:t xml:space="preserve"> </w:t>
      </w:r>
      <w:r>
        <w:t xml:space="preserve">सोमः । हिनोति । मर्त्यम् ॥४॥</w:t>
      </w:r>
    </w:p>
    <w:p>
      <w:pPr>
        <w:pStyle w:val="BlockText"/>
      </w:pPr>
      <w:r>
        <w:rPr>
          <w:iCs/>
          <w:i/>
        </w:rPr>
        <w:t xml:space="preserve">saḥ | gha | vīraḥ | na | riṣyati | yam | indraḥ | brahmaṇaḥ | patiḥ ||</w:t>
      </w:r>
      <w:r>
        <w:t xml:space="preserve"> </w:t>
      </w:r>
      <w:r>
        <w:rPr>
          <w:iCs/>
          <w:i/>
        </w:rPr>
        <w:t xml:space="preserve">somaḥ | hinoti | martyam ||4||</w:t>
      </w:r>
    </w:p>
    <w:p>
      <w:pPr>
        <w:pStyle w:val="FirstParagraph"/>
      </w:pPr>
      <w:r>
        <w:rPr>
          <w:bCs/>
          <w:b/>
        </w:rPr>
        <w:t xml:space="preserve">॥ Sāyaṇa-bhāṣyam ॥</w:t>
      </w:r>
    </w:p>
    <w:p>
      <w:pPr>
        <w:pStyle w:val="BlockText"/>
      </w:pPr>
      <w:r>
        <w:t xml:space="preserve">इन्द्रो देवो यं मर्त्यं यक्ष्यमाणं हिनोति प्राप्नोति वर्धयति वा । तथा ब्रह्मणस्पतिर्देवो हिनोति । तथा सोमो हिनोति । स घ स एव यजमानो वीरो वीर्ययुक्तः सन्न रिष्यति । न विनश्यति ॥ घ । चादिरनुदात्तः । संहितायामृचि तुनुघमक्षुतङ्कुत्रोरुष्याणाम् । पा. ६-३-१३३ । इति दीर्घः । ब्रह्मणस्पतिः । उक्तम् । हिनोति । हि गतौ वृद्धौ च । स्वादिभ्यः श्नुः । तिपः पित्त्वाच्छ्नुप्रत्ययस्वर एव शिष्यते ॥</w:t>
      </w:r>
    </w:p>
    <w:p>
      <w:pPr>
        <w:pStyle w:val="BlockText"/>
      </w:pPr>
      <w:r>
        <w:rPr>
          <w:iCs/>
          <w:i/>
        </w:rPr>
        <w:t xml:space="preserve">indro devo yaṃ martyaṃ yakṣyamāṇaṃ hinoti prāpnoti vardhayati vā | tathā brahmaṇaspatirdevo hinoti | tathā somo hinoti | sa gha sa eva yajamāno vīro vīryayuktaḥ sanna riṣyati | na vinaśyati || gha | cādiranudāttaḥ | saṃhitāyāmṛci tunughamakṣutaṅkutroruṣyāṇām | pā. 6-3-133 | iti dīrghaḥ | brahmaṇaspatiḥ | uktam | hinoti | hi gatau vṛddhau ca | svādibhyaḥ śnuḥ | tipaḥ pittvācchnupratyayasvara eva śiṣyate ||</w:t>
      </w:r>
    </w:p>
    <w:p>
      <w:pPr>
        <w:pStyle w:val="FirstParagraph"/>
      </w:pPr>
      <w:r>
        <w:rPr>
          <w:bCs/>
          <w:b/>
        </w:rPr>
        <w:t xml:space="preserve">Translation:</w:t>
      </w:r>
      <w:r>
        <w:t xml:space="preserve"> </w:t>
      </w:r>
      <w:r>
        <w:t xml:space="preserve">“</w:t>
      </w:r>
      <w:r>
        <w:t xml:space="preserve">The mortal, about to sacrifice, whom the god Indra</w:t>
      </w:r>
      <w:r>
        <w:t xml:space="preserve"> </w:t>
      </w:r>
      <w:r>
        <w:rPr>
          <w:iCs/>
          <w:i/>
        </w:rPr>
        <w:t xml:space="preserve">hinoti</w:t>
      </w:r>
      <w:r>
        <w:t xml:space="preserve">, reaches or makes to grow; likewise whom the god Brahmaṇaspati furthers; likewise whom Soma furthers:</w:t>
      </w:r>
      <w:r>
        <w:t xml:space="preserve"> </w:t>
      </w:r>
      <w:r>
        <w:rPr>
          <w:iCs/>
          <w:i/>
        </w:rPr>
        <w:t xml:space="preserve">sa gha</w:t>
      </w:r>
      <w:r>
        <w:t xml:space="preserve">, that very sacrificer, being</w:t>
      </w:r>
      <w:r>
        <w:t xml:space="preserve"> </w:t>
      </w:r>
      <w:r>
        <w:rPr>
          <w:iCs/>
          <w:i/>
        </w:rPr>
        <w:t xml:space="preserve">vīra</w:t>
      </w:r>
      <w:r>
        <w:t xml:space="preserve">, possessed of valour,</w:t>
      </w:r>
      <w:r>
        <w:t xml:space="preserve"> </w:t>
      </w:r>
      <w:r>
        <w:rPr>
          <w:iCs/>
          <w:i/>
        </w:rPr>
        <w:t xml:space="preserve">na riṣyati</w:t>
      </w:r>
      <w:r>
        <w:t xml:space="preserve">, does not perish.</w:t>
      </w:r>
      <w:r>
        <w:t xml:space="preserve">”</w:t>
      </w:r>
      <w:r>
        <w:t xml:space="preserve"> </w:t>
      </w:r>
      <w:r>
        <w:t xml:space="preserve">(Grammatical tail:</w:t>
      </w:r>
      <w:r>
        <w:t xml:space="preserve"> </w:t>
      </w:r>
      <w:r>
        <w:rPr>
          <w:iCs/>
          <w:i/>
        </w:rPr>
        <w:t xml:space="preserve">gha</w:t>
      </w:r>
      <w:r>
        <w:t xml:space="preserve">, unaccented as one of the</w:t>
      </w:r>
      <w:r>
        <w:t xml:space="preserve"> </w:t>
      </w:r>
      <w:r>
        <w:rPr>
          <w:iCs/>
          <w:i/>
        </w:rPr>
        <w:t xml:space="preserve">ca-ādi</w:t>
      </w:r>
      <w:r>
        <w:t xml:space="preserve">; lengthened in the Saṃhitā by Pā. 6-3-133;</w:t>
      </w:r>
      <w:r>
        <w:t xml:space="preserve"> </w:t>
      </w:r>
      <w:r>
        <w:rPr>
          <w:iCs/>
          <w:i/>
        </w:rPr>
        <w:t xml:space="preserve">brahmaṇaspatiḥ</w:t>
      </w:r>
      <w:r>
        <w:t xml:space="preserve">, explained;</w:t>
      </w:r>
      <w:r>
        <w:t xml:space="preserve"> </w:t>
      </w:r>
      <w:r>
        <w:rPr>
          <w:iCs/>
          <w:i/>
        </w:rPr>
        <w:t xml:space="preserve">hinoti</w:t>
      </w:r>
      <w:r>
        <w:t xml:space="preserve">,</w:t>
      </w:r>
      <w:r>
        <w:t xml:space="preserve"> </w:t>
      </w:r>
      <w:r>
        <w:rPr>
          <w:iCs/>
          <w:i/>
        </w:rPr>
        <w:t xml:space="preserve">hi gatau vṛddhau ca</w:t>
      </w:r>
      <w:r>
        <w:t xml:space="preserve">,</w:t>
      </w:r>
      <w:r>
        <w:t xml:space="preserve"> </w:t>
      </w:r>
      <w:r>
        <w:rPr>
          <w:iCs/>
          <w:i/>
        </w:rPr>
        <w:t xml:space="preserve">śnu</w:t>
      </w:r>
      <w:r>
        <w:t xml:space="preserve"> </w:t>
      </w:r>
      <w:r>
        <w:t xml:space="preserve">by</w:t>
      </w:r>
      <w:r>
        <w:t xml:space="preserve"> </w:t>
      </w:r>
      <w:r>
        <w:rPr>
          <w:iCs/>
          <w:i/>
        </w:rPr>
        <w:t xml:space="preserve">svādibhyaḥ śnuḥ</w:t>
      </w:r>
      <w:r>
        <w:t xml:space="preserve">; since</w:t>
      </w:r>
      <w:r>
        <w:t xml:space="preserve"> </w:t>
      </w:r>
      <w:r>
        <w:rPr>
          <w:iCs/>
          <w:i/>
        </w:rPr>
        <w:t xml:space="preserve">tip</w:t>
      </w:r>
      <w:r>
        <w:t xml:space="preserve"> </w:t>
      </w:r>
      <w:r>
        <w:t xml:space="preserve">is</w:t>
      </w:r>
      <w:r>
        <w:t xml:space="preserve"> </w:t>
      </w:r>
      <w:r>
        <w:rPr>
          <w:iCs/>
          <w:i/>
        </w:rPr>
        <w:t xml:space="preserve">pit</w:t>
      </w:r>
      <w:r>
        <w:t xml:space="preserve">, the accent of the suffix</w:t>
      </w:r>
      <w:r>
        <w:t xml:space="preserve"> </w:t>
      </w:r>
      <w:r>
        <w:rPr>
          <w:iCs/>
          <w:i/>
        </w:rPr>
        <w:t xml:space="preserve">śnu</w:t>
      </w:r>
      <w:r>
        <w:t xml:space="preserve"> </w:t>
      </w:r>
      <w:r>
        <w:t xml:space="preserve">alone stays.)</w:t>
      </w:r>
    </w:p>
    <w:p>
      <w:pPr>
        <w:pStyle w:val="BodyText"/>
      </w:pPr>
      <w:r>
        <w:rPr>
          <w:bCs/>
          <w:b/>
        </w:rPr>
        <w:t xml:space="preserve">॥ Prati-padārthaḥ ॥</w:t>
      </w:r>
    </w:p>
    <w:p>
      <w:pPr>
        <w:pStyle w:val="BodyText"/>
      </w:pPr>
      <w:r>
        <w:rPr>
          <w:bCs/>
          <w:b/>
        </w:rPr>
        <w:t xml:space="preserve">इन्द्रः (indraḥ)</w:t>
      </w:r>
      <w:r>
        <w:t xml:space="preserve"> </w:t>
      </w:r>
      <w:r>
        <w:t xml:space="preserve">— Indra |</w:t>
      </w:r>
      <w:r>
        <w:t xml:space="preserve"> </w:t>
      </w:r>
      <w:r>
        <w:rPr>
          <w:bCs/>
          <w:b/>
        </w:rPr>
        <w:t xml:space="preserve">यम् (yam)</w:t>
      </w:r>
      <w:r>
        <w:t xml:space="preserve"> </w:t>
      </w:r>
      <w:r>
        <w:t xml:space="preserve">— which |</w:t>
      </w:r>
      <w:r>
        <w:t xml:space="preserve"> </w:t>
      </w:r>
      <w:r>
        <w:rPr>
          <w:bCs/>
          <w:b/>
        </w:rPr>
        <w:t xml:space="preserve">मर्त्यम् (martyam)</w:t>
      </w:r>
      <w:r>
        <w:t xml:space="preserve"> </w:t>
      </w:r>
      <w:r>
        <w:t xml:space="preserve">— sacrificer (performing the sacrifice) |</w:t>
      </w:r>
      <w:r>
        <w:t xml:space="preserve"> </w:t>
      </w:r>
      <w:r>
        <w:rPr>
          <w:bCs/>
          <w:b/>
        </w:rPr>
        <w:t xml:space="preserve">हिनोति (hinoti)</w:t>
      </w:r>
      <w:r>
        <w:t xml:space="preserve"> </w:t>
      </w:r>
      <w:r>
        <w:t xml:space="preserve">— reaches, or protects |</w:t>
      </w:r>
      <w:r>
        <w:t xml:space="preserve"> </w:t>
      </w:r>
      <w:r>
        <w:rPr>
          <w:bCs/>
          <w:b/>
        </w:rPr>
        <w:t xml:space="preserve">ब्रह्मणस्पतिः (brahmaṇaspatiḥ)</w:t>
      </w:r>
      <w:r>
        <w:t xml:space="preserve"> </w:t>
      </w:r>
      <w:r>
        <w:t xml:space="preserve">— Brahmaṇaspati too |</w:t>
      </w:r>
      <w:r>
        <w:t xml:space="preserve"> </w:t>
      </w:r>
      <w:r>
        <w:rPr>
          <w:bCs/>
          <w:b/>
        </w:rPr>
        <w:t xml:space="preserve">हिनोति (hinoti)</w:t>
      </w:r>
      <w:r>
        <w:t xml:space="preserve"> </w:t>
      </w:r>
      <w:r>
        <w:t xml:space="preserve">— protects |</w:t>
      </w:r>
      <w:r>
        <w:t xml:space="preserve"> </w:t>
      </w:r>
      <w:r>
        <w:rPr>
          <w:bCs/>
          <w:b/>
        </w:rPr>
        <w:t xml:space="preserve">सोमः (somaḥ)</w:t>
      </w:r>
      <w:r>
        <w:t xml:space="preserve"> </w:t>
      </w:r>
      <w:r>
        <w:t xml:space="preserve">— (likewise) the deity Soma |</w:t>
      </w:r>
      <w:r>
        <w:t xml:space="preserve"> </w:t>
      </w:r>
      <w:r>
        <w:rPr>
          <w:bCs/>
          <w:b/>
        </w:rPr>
        <w:t xml:space="preserve">हिनोति (hinoti)</w:t>
      </w:r>
      <w:r>
        <w:t xml:space="preserve"> </w:t>
      </w:r>
      <w:r>
        <w:t xml:space="preserve">— protects |</w:t>
      </w:r>
      <w:r>
        <w:t xml:space="preserve"> </w:t>
      </w:r>
      <w:r>
        <w:rPr>
          <w:bCs/>
          <w:b/>
        </w:rPr>
        <w:t xml:space="preserve">सः घ (saḥ gha)</w:t>
      </w:r>
      <w:r>
        <w:t xml:space="preserve"> </w:t>
      </w:r>
      <w:r>
        <w:t xml:space="preserve">— that very man |</w:t>
      </w:r>
      <w:r>
        <w:t xml:space="preserve"> </w:t>
      </w:r>
      <w:r>
        <w:rPr>
          <w:bCs/>
          <w:b/>
        </w:rPr>
        <w:t xml:space="preserve">वीरः (vīraḥ)</w:t>
      </w:r>
      <w:r>
        <w:t xml:space="preserve"> </w:t>
      </w:r>
      <w:r>
        <w:t xml:space="preserve">— being possessed of valour |</w:t>
      </w:r>
      <w:r>
        <w:t xml:space="preserve"> </w:t>
      </w:r>
      <w:r>
        <w:rPr>
          <w:bCs/>
          <w:b/>
        </w:rPr>
        <w:t xml:space="preserve">न रिष्यति (na riṣyati)</w:t>
      </w:r>
      <w:r>
        <w:t xml:space="preserve"> </w:t>
      </w:r>
      <w:r>
        <w:t xml:space="preserve">— does not perish.</w:t>
      </w:r>
    </w:p>
    <w:p>
      <w:pPr>
        <w:pStyle w:val="BodyText"/>
      </w:pPr>
      <w:r>
        <w:rPr>
          <w:bCs/>
          <w:b/>
        </w:rPr>
        <w:t xml:space="preserve">॥ Bhāvārthaḥ ॥</w:t>
      </w:r>
    </w:p>
    <w:p>
      <w:pPr>
        <w:pStyle w:val="BodyText"/>
      </w:pPr>
      <w:r>
        <w:t xml:space="preserve">For the sacrificer devoted to the sacrifice, the three deities Indra, Brahmaṇaspati and Soma bring increase; that is, they become his protectors. A man who has become worthy of their grace never comes to ruin.</w:t>
      </w:r>
    </w:p>
    <w:bookmarkEnd w:id="844"/>
    <w:bookmarkStart w:id="845" w:name="Xe7dbffe65a53a90227dd5c3906609a14f1fd7c2"/>
    <w:p>
      <w:pPr>
        <w:pStyle w:val="Heading3"/>
      </w:pPr>
      <w:r>
        <w:t xml:space="preserve">Page 766 — Rik 4: English, Special Topics and grammar</w:t>
      </w:r>
    </w:p>
    <w:p>
      <w:pPr>
        <w:pStyle w:val="FirstParagraph"/>
      </w:pPr>
      <w:r>
        <w:rPr>
          <w:bCs/>
          <w:b/>
        </w:rPr>
        <w:t xml:space="preserve">॥ English Translation ॥</w:t>
      </w:r>
      <w:r>
        <w:t xml:space="preserve"> </w:t>
      </w:r>
      <w:r>
        <w:rPr>
          <w:iCs/>
          <w:i/>
        </w:rPr>
        <w:t xml:space="preserve">(as printed in the source)</w:t>
      </w:r>
    </w:p>
    <w:p>
      <w:pPr>
        <w:pStyle w:val="BlockText"/>
      </w:pPr>
      <w:r>
        <w:t xml:space="preserve">That valiant man whom Indra, Brahmanaspati and Soma protect never perishes.</w:t>
      </w:r>
    </w:p>
    <w:p>
      <w:pPr>
        <w:pStyle w:val="FirstParagraph"/>
      </w:pPr>
      <w:r>
        <w:rPr>
          <w:bCs/>
          <w:b/>
        </w:rPr>
        <w:t xml:space="preserve">॥ Viśeṣa-viṣayagaḷu (Special Topics) ॥</w:t>
      </w:r>
    </w:p>
    <w:p>
      <w:pPr>
        <w:pStyle w:val="BodyText"/>
      </w:pPr>
      <w:r>
        <w:t xml:space="preserve">This ṛk is addressed to the three deities Indra, Brahmaṇaspati and Soma. The intent is: the man whom these deities take to themselves, that is, favour, lives as a hero, and never meets with ruin.</w:t>
      </w:r>
    </w:p>
    <w:p>
      <w:pPr>
        <w:pStyle w:val="BodyText"/>
      </w:pPr>
      <w:r>
        <w:rPr>
          <w:bCs/>
          <w:b/>
        </w:rPr>
        <w:t xml:space="preserve">Ghā</w:t>
      </w:r>
      <w:r>
        <w:t xml:space="preserve">: this syllable is long in the Saṃhitā-pāṭha to suit the metre.</w:t>
      </w:r>
    </w:p>
    <w:p>
      <w:pPr>
        <w:pStyle w:val="BodyText"/>
      </w:pPr>
      <w:r>
        <w:rPr>
          <w:bCs/>
          <w:b/>
        </w:rPr>
        <w:t xml:space="preserve">Yaṃ martyam</w:t>
      </w:r>
      <w:r>
        <w:t xml:space="preserve">: which man; that is, the man who worships Indra, Brahmaṇaspati and Soma.</w:t>
      </w:r>
    </w:p>
    <w:p>
      <w:pPr>
        <w:pStyle w:val="BodyText"/>
      </w:pPr>
      <w:r>
        <w:rPr>
          <w:bCs/>
          <w:b/>
        </w:rPr>
        <w:t xml:space="preserve">॥ Vyākaraṇa-prakriyā ॥</w:t>
      </w:r>
      <w:r>
        <w:t xml:space="preserve"> </w:t>
      </w:r>
      <w:r>
        <w:rPr>
          <w:iCs/>
          <w:i/>
        </w:rPr>
        <w:t xml:space="preserve">(grammar pages 766–767, noted briefly)</w:t>
      </w:r>
    </w:p>
    <w:p>
      <w:pPr>
        <w:pStyle w:val="BodyText"/>
      </w:pPr>
      <w:r>
        <w:rPr>
          <w:bCs/>
          <w:b/>
        </w:rPr>
        <w:t xml:space="preserve">घ (</w:t>
      </w:r>
      <w:r>
        <w:rPr>
          <w:iCs/>
          <w:i/>
          <w:bCs/>
          <w:b/>
        </w:rPr>
        <w:t xml:space="preserve">gha</w:t>
      </w:r>
      <w:r>
        <w:rPr>
          <w:bCs/>
          <w:b/>
        </w:rPr>
        <w:t xml:space="preserve">)</w:t>
      </w:r>
      <w:r>
        <w:t xml:space="preserve">: since the</w:t>
      </w:r>
      <w:r>
        <w:t xml:space="preserve"> </w:t>
      </w:r>
      <w:r>
        <w:rPr>
          <w:iCs/>
          <w:i/>
        </w:rPr>
        <w:t xml:space="preserve">ca-ādi</w:t>
      </w:r>
      <w:r>
        <w:t xml:space="preserve"> </w:t>
      </w:r>
      <w:r>
        <w:t xml:space="preserve">group is an</w:t>
      </w:r>
      <w:r>
        <w:t xml:space="preserve"> </w:t>
      </w:r>
      <w:r>
        <w:rPr>
          <w:iCs/>
          <w:i/>
        </w:rPr>
        <w:t xml:space="preserve">ākṛtigaṇa</w:t>
      </w:r>
      <w:r>
        <w:t xml:space="preserve">, this is included in it. So it is unaccented by</w:t>
      </w:r>
      <w:r>
        <w:t xml:space="preserve"> </w:t>
      </w:r>
      <w:r>
        <w:t xml:space="preserve">“</w:t>
      </w:r>
      <w:r>
        <w:t xml:space="preserve">cādayo ’nudāttāḥ</w:t>
      </w:r>
      <w:r>
        <w:t xml:space="preserve">”</w:t>
      </w:r>
      <w:r>
        <w:t xml:space="preserve"> </w:t>
      </w:r>
      <w:r>
        <w:t xml:space="preserve">(Phi. sū. 4-84). In the Saṃhitā, by</w:t>
      </w:r>
      <w:r>
        <w:t xml:space="preserve"> </w:t>
      </w:r>
      <w:r>
        <w:t xml:space="preserve">“</w:t>
      </w:r>
      <w:r>
        <w:t xml:space="preserve">ṛci tunughamakṣutaṅkutroruṣyāṇām</w:t>
      </w:r>
      <w:r>
        <w:t xml:space="preserve">”</w:t>
      </w:r>
      <w:r>
        <w:t xml:space="preserve"> </w:t>
      </w:r>
      <w:r>
        <w:t xml:space="preserve">(Pā. sū. 6-3-133), the word</w:t>
      </w:r>
      <w:r>
        <w:t xml:space="preserve"> </w:t>
      </w:r>
      <w:r>
        <w:rPr>
          <w:iCs/>
          <w:i/>
        </w:rPr>
        <w:t xml:space="preserve">gha</w:t>
      </w:r>
      <w:r>
        <w:t xml:space="preserve"> </w:t>
      </w:r>
      <w:r>
        <w:t xml:space="preserve">takes in the sequence</w:t>
      </w:r>
      <w:r>
        <w:t xml:space="preserve"> </w:t>
      </w:r>
      <w:r>
        <w:rPr>
          <w:iCs/>
          <w:i/>
        </w:rPr>
        <w:t xml:space="preserve">gha</w:t>
      </w:r>
      <w:r>
        <w:t xml:space="preserve"> </w:t>
      </w:r>
      <w:r>
        <w:t xml:space="preserve">(</w:t>
      </w:r>
      <w:r>
        <w:rPr>
          <w:iCs/>
          <w:i/>
        </w:rPr>
        <w:t xml:space="preserve">gh</w:t>
      </w:r>
      <w:r>
        <w:t xml:space="preserve"> </w:t>
      </w:r>
      <w:r>
        <w:t xml:space="preserve">followed by</w:t>
      </w:r>
      <w:r>
        <w:t xml:space="preserve"> </w:t>
      </w:r>
      <w:r>
        <w:rPr>
          <w:iCs/>
          <w:i/>
        </w:rPr>
        <w:t xml:space="preserve">a</w:t>
      </w:r>
      <w:r>
        <w:t xml:space="preserve">). Since the lengthening of</w:t>
      </w:r>
      <w:r>
        <w:t xml:space="preserve"> </w:t>
      </w:r>
      <w:r>
        <w:rPr>
          <w:iCs/>
          <w:i/>
        </w:rPr>
        <w:t xml:space="preserve">gha</w:t>
      </w:r>
      <w:r>
        <w:t xml:space="preserve"> </w:t>
      </w:r>
      <w:r>
        <w:t xml:space="preserve">is seen in the Veda, it is to be taken this way.</w:t>
      </w:r>
      <w:r>
        <w:t xml:space="preserve"> </w:t>
      </w:r>
      <w:r>
        <w:t xml:space="preserve">“</w:t>
      </w:r>
      <w:r>
        <w:t xml:space="preserve">Kṛtrimākṛtrimayoḥ kṛtrimasyaiva grahaṇam</w:t>
      </w:r>
      <w:r>
        <w:t xml:space="preserve">”</w:t>
      </w:r>
      <w:r>
        <w:t xml:space="preserve"> </w:t>
      </w:r>
      <w:r>
        <w:t xml:space="preserve">(</w:t>
      </w:r>
      <w:r>
        <w:rPr>
          <w:iCs/>
          <w:i/>
        </w:rPr>
        <w:t xml:space="preserve">paribhāṣā</w:t>
      </w:r>
      <w:r>
        <w:t xml:space="preserve">):</w:t>
      </w:r>
    </w:p>
    <w:p>
      <w:pPr>
        <w:pStyle w:val="BlockText"/>
      </w:pPr>
      <w:r>
        <w:t xml:space="preserve">कृत्रिमाकृत्रिमयोः कृत्रिमस्यैव ग्रहणम्</w:t>
      </w:r>
    </w:p>
    <w:p>
      <w:pPr>
        <w:pStyle w:val="BlockText"/>
      </w:pPr>
      <w:r>
        <w:rPr>
          <w:iCs/>
          <w:i/>
        </w:rPr>
        <w:t xml:space="preserve">kṛtrimākṛtrimayoḥ kṛtrimasyaiva grahaṇam</w:t>
      </w:r>
    </w:p>
    <w:p>
      <w:pPr>
        <w:pStyle w:val="FirstParagraph"/>
      </w:pPr>
      <w:r>
        <w:rPr>
          <w:iCs/>
          <w:i/>
        </w:rPr>
        <w:t xml:space="preserve">kṛtrima</w:t>
      </w:r>
      <w:r>
        <w:t xml:space="preserve"> </w:t>
      </w:r>
      <w:r>
        <w:t xml:space="preserve">means</w:t>
      </w:r>
      <w:r>
        <w:t xml:space="preserve"> </w:t>
      </w:r>
      <w:r>
        <w:t xml:space="preserve">“</w:t>
      </w:r>
      <w:r>
        <w:t xml:space="preserve">fixed by the convention of grammar</w:t>
      </w:r>
      <w:r>
        <w:t xml:space="preserve">”</w:t>
      </w:r>
      <w:r>
        <w:t xml:space="preserve">;</w:t>
      </w:r>
      <w:r>
        <w:t xml:space="preserve"> </w:t>
      </w:r>
      <w:r>
        <w:rPr>
          <w:iCs/>
          <w:i/>
        </w:rPr>
        <w:t xml:space="preserve">akṛtrima</w:t>
      </w:r>
      <w:r>
        <w:t xml:space="preserve"> </w:t>
      </w:r>
      <w:r>
        <w:t xml:space="preserve">means</w:t>
      </w:r>
      <w:r>
        <w:t xml:space="preserve"> </w:t>
      </w:r>
      <w:r>
        <w:t xml:space="preserve">“</w:t>
      </w:r>
      <w:r>
        <w:t xml:space="preserve">known in the world</w:t>
      </w:r>
      <w:r>
        <w:t xml:space="preserve">”</w:t>
      </w:r>
      <w:r>
        <w:t xml:space="preserve">; the sense of the</w:t>
      </w:r>
      <w:r>
        <w:t xml:space="preserve"> </w:t>
      </w:r>
      <w:r>
        <w:rPr>
          <w:iCs/>
          <w:i/>
        </w:rPr>
        <w:t xml:space="preserve">paribhāṣā</w:t>
      </w:r>
      <w:r>
        <w:t xml:space="preserve"> </w:t>
      </w:r>
      <w:r>
        <w:t xml:space="preserve">is that when both could be taken, the</w:t>
      </w:r>
      <w:r>
        <w:t xml:space="preserve"> </w:t>
      </w:r>
      <w:r>
        <w:rPr>
          <w:iCs/>
          <w:i/>
        </w:rPr>
        <w:t xml:space="preserve">kṛtrima</w:t>
      </w:r>
      <w:r>
        <w:t xml:space="preserve"> </w:t>
      </w:r>
      <w:r>
        <w:t xml:space="preserve">is taken. By</w:t>
      </w:r>
      <w:r>
        <w:t xml:space="preserve"> </w:t>
      </w:r>
      <w:r>
        <w:t xml:space="preserve">“</w:t>
      </w:r>
      <w:r>
        <w:t xml:space="preserve">taraptamapau ghaḥ</w:t>
      </w:r>
      <w:r>
        <w:t xml:space="preserve">”</w:t>
      </w:r>
      <w:r>
        <w:t xml:space="preserve"> </w:t>
      </w:r>
      <w:r>
        <w:t xml:space="preserve">(Pā. sū. 1-1-22) the suffixes</w:t>
      </w:r>
      <w:r>
        <w:t xml:space="preserve"> </w:t>
      </w:r>
      <w:r>
        <w:rPr>
          <w:iCs/>
          <w:i/>
        </w:rPr>
        <w:t xml:space="preserve">tarap</w:t>
      </w:r>
      <w:r>
        <w:t xml:space="preserve"> </w:t>
      </w:r>
      <w:r>
        <w:t xml:space="preserve">and</w:t>
      </w:r>
      <w:r>
        <w:t xml:space="preserve"> </w:t>
      </w:r>
      <w:r>
        <w:rPr>
          <w:iCs/>
          <w:i/>
        </w:rPr>
        <w:t xml:space="preserve">tamap</w:t>
      </w:r>
      <w:r>
        <w:t xml:space="preserve"> </w:t>
      </w:r>
      <w:r>
        <w:t xml:space="preserve">have this conventional name in grammar. Yet here it is not taken in the way just stated; for in the Veda lengthening is not seen for</w:t>
      </w:r>
      <w:r>
        <w:t xml:space="preserve"> </w:t>
      </w:r>
      <w:r>
        <w:rPr>
          <w:iCs/>
          <w:i/>
        </w:rPr>
        <w:t xml:space="preserve">tarap</w:t>
      </w:r>
      <w:r>
        <w:t xml:space="preserve"> </w:t>
      </w:r>
      <w:r>
        <w:t xml:space="preserve">and</w:t>
      </w:r>
      <w:r>
        <w:t xml:space="preserve"> </w:t>
      </w:r>
      <w:r>
        <w:rPr>
          <w:iCs/>
          <w:i/>
        </w:rPr>
        <w:t xml:space="preserve">tamap</w:t>
      </w:r>
      <w:r>
        <w:t xml:space="preserve">, while lengthening is seen for</w:t>
      </w:r>
      <w:r>
        <w:t xml:space="preserve"> </w:t>
      </w:r>
      <w:r>
        <w:rPr>
          <w:iCs/>
          <w:i/>
        </w:rPr>
        <w:t xml:space="preserve">gha</w:t>
      </w:r>
      <w:r>
        <w:t xml:space="preserve">. Since the sūtra says</w:t>
      </w:r>
      <w:r>
        <w:t xml:space="preserve"> </w:t>
      </w:r>
      <w:r>
        <w:rPr>
          <w:iCs/>
          <w:i/>
        </w:rPr>
        <w:t xml:space="preserve">ṛci</w:t>
      </w:r>
      <w:r>
        <w:t xml:space="preserve">, it must apply in the Ṛgveda alone. So, if</w:t>
      </w:r>
      <w:r>
        <w:t xml:space="preserve"> </w:t>
      </w:r>
      <w:r>
        <w:rPr>
          <w:iCs/>
          <w:i/>
        </w:rPr>
        <w:t xml:space="preserve">tarap</w:t>
      </w:r>
      <w:r>
        <w:t xml:space="preserve"> </w:t>
      </w:r>
      <w:r>
        <w:t xml:space="preserve">and the rest were taken, the sūtra would have no purpose. So the word</w:t>
      </w:r>
      <w:r>
        <w:t xml:space="preserve"> </w:t>
      </w:r>
      <w:r>
        <w:rPr>
          <w:iCs/>
          <w:i/>
        </w:rPr>
        <w:t xml:space="preserve">gha</w:t>
      </w:r>
      <w:r>
        <w:t xml:space="preserve"> </w:t>
      </w:r>
      <w:r>
        <w:t xml:space="preserve">itself is taken. For</w:t>
      </w:r>
      <w:r>
        <w:t xml:space="preserve"> </w:t>
      </w:r>
      <w:r>
        <w:rPr>
          <w:iCs/>
          <w:i/>
        </w:rPr>
        <w:t xml:space="preserve">tha</w:t>
      </w:r>
      <w:r>
        <w:t xml:space="preserve"> </w:t>
      </w:r>
      <w:r>
        <w:t xml:space="preserve">[as printed], the 2nd plural of</w:t>
      </w:r>
      <w:r>
        <w:t xml:space="preserve"> </w:t>
      </w:r>
      <w:r>
        <w:rPr>
          <w:iCs/>
          <w:i/>
        </w:rPr>
        <w:t xml:space="preserve">taṅ</w:t>
      </w:r>
      <w:r>
        <w:t xml:space="preserve"> </w:t>
      </w:r>
      <w:r>
        <w:t xml:space="preserve">[as printed], when the substitute</w:t>
      </w:r>
      <w:r>
        <w:t xml:space="preserve"> </w:t>
      </w:r>
      <w:r>
        <w:rPr>
          <w:iCs/>
          <w:i/>
        </w:rPr>
        <w:t xml:space="preserve">ta</w:t>
      </w:r>
      <w:r>
        <w:t xml:space="preserve"> </w:t>
      </w:r>
      <w:r>
        <w:t xml:space="preserve">comes by</w:t>
      </w:r>
      <w:r>
        <w:t xml:space="preserve"> </w:t>
      </w:r>
      <w:r>
        <w:rPr>
          <w:iCs/>
          <w:i/>
        </w:rPr>
        <w:t xml:space="preserve">tasthasthamipām</w:t>
      </w:r>
      <w:r>
        <w:t xml:space="preserve">, it becomes</w:t>
      </w:r>
      <w:r>
        <w:t xml:space="preserve"> </w:t>
      </w:r>
      <w:r>
        <w:rPr>
          <w:iCs/>
          <w:i/>
        </w:rPr>
        <w:t xml:space="preserve">ṅit</w:t>
      </w:r>
      <w:r>
        <w:t xml:space="preserve"> </w:t>
      </w:r>
      <w:r>
        <w:t xml:space="preserve">by</w:t>
      </w:r>
      <w:r>
        <w:t xml:space="preserve"> </w:t>
      </w:r>
      <w:r>
        <w:rPr>
          <w:iCs/>
          <w:i/>
        </w:rPr>
        <w:t xml:space="preserve">sārvadhātukam apit</w:t>
      </w:r>
      <w:r>
        <w:t xml:space="preserve">; the</w:t>
      </w:r>
      <w:r>
        <w:t xml:space="preserve"> </w:t>
      </w:r>
      <w:r>
        <w:rPr>
          <w:iCs/>
          <w:i/>
        </w:rPr>
        <w:t xml:space="preserve">ta</w:t>
      </w:r>
      <w:r>
        <w:t xml:space="preserve"> </w:t>
      </w:r>
      <w:r>
        <w:t xml:space="preserve">substituted for</w:t>
      </w:r>
      <w:r>
        <w:t xml:space="preserve"> </w:t>
      </w:r>
      <w:r>
        <w:rPr>
          <w:iCs/>
          <w:i/>
        </w:rPr>
        <w:t xml:space="preserve">tha</w:t>
      </w:r>
      <w:r>
        <w:t xml:space="preserve">, having this</w:t>
      </w:r>
      <w:r>
        <w:t xml:space="preserve"> </w:t>
      </w:r>
      <w:r>
        <w:rPr>
          <w:iCs/>
          <w:i/>
        </w:rPr>
        <w:t xml:space="preserve">ṅit</w:t>
      </w:r>
      <w:r>
        <w:t xml:space="preserve">-ness, is taken. When lengthening comes to</w:t>
      </w:r>
      <w:r>
        <w:t xml:space="preserve"> </w:t>
      </w:r>
      <w:r>
        <w:rPr>
          <w:iCs/>
          <w:i/>
        </w:rPr>
        <w:t xml:space="preserve">gha</w:t>
      </w:r>
      <w:r>
        <w:t xml:space="preserve"> </w:t>
      </w:r>
      <w:r>
        <w:t xml:space="preserve">by this sūtra, it becomes</w:t>
      </w:r>
      <w:r>
        <w:t xml:space="preserve"> </w:t>
      </w:r>
      <w:r>
        <w:rPr>
          <w:iCs/>
          <w:i/>
        </w:rPr>
        <w:t xml:space="preserve">ghā</w:t>
      </w:r>
      <w:r>
        <w:t xml:space="preserve">.</w:t>
      </w:r>
    </w:p>
    <w:p>
      <w:pPr>
        <w:pStyle w:val="BodyText"/>
      </w:pPr>
      <w:r>
        <w:rPr>
          <w:bCs/>
          <w:b/>
        </w:rPr>
        <w:t xml:space="preserve">ब्रह्मणस्पतिः (</w:t>
      </w:r>
      <w:r>
        <w:rPr>
          <w:iCs/>
          <w:i/>
          <w:bCs/>
          <w:b/>
        </w:rPr>
        <w:t xml:space="preserve">brahmaṇaspatiḥ</w:t>
      </w:r>
      <w:r>
        <w:rPr>
          <w:bCs/>
          <w:b/>
        </w:rPr>
        <w:t xml:space="preserve">)</w:t>
      </w:r>
      <w:r>
        <w:t xml:space="preserve">: by</w:t>
      </w:r>
      <w:r>
        <w:t xml:space="preserve"> </w:t>
      </w:r>
      <w:r>
        <w:t xml:space="preserve">“</w:t>
      </w:r>
      <w:r>
        <w:t xml:space="preserve">ṣaṣṭhyāḥ pati…</w:t>
      </w:r>
      <w:r>
        <w:t xml:space="preserve">”</w:t>
      </w:r>
      <w:r>
        <w:t xml:space="preserve"> </w:t>
      </w:r>
      <w:r>
        <w:t xml:space="preserve">(Pā. sū. 8-3-53)</w:t>
      </w:r>
      <w:r>
        <w:t xml:space="preserve"> </w:t>
      </w:r>
      <w:r>
        <w:rPr>
          <w:iCs/>
          <w:i/>
        </w:rPr>
        <w:t xml:space="preserve">s</w:t>
      </w:r>
      <w:r>
        <w:t xml:space="preserve"> </w:t>
      </w:r>
      <w:r>
        <w:t xml:space="preserve">for the visarga belonging to the genitive.</w:t>
      </w:r>
    </w:p>
    <w:bookmarkEnd w:id="845"/>
    <w:bookmarkStart w:id="846" w:name="page-767-upper-rik-4-grammar-end"/>
    <w:p>
      <w:pPr>
        <w:pStyle w:val="Heading3"/>
      </w:pPr>
      <w:r>
        <w:t xml:space="preserve">Page 767 (upper) — Rik 4: grammar (end)</w:t>
      </w:r>
    </w:p>
    <w:p>
      <w:pPr>
        <w:pStyle w:val="FirstParagraph"/>
      </w:pPr>
      <w:r>
        <w:rPr>
          <w:bCs/>
          <w:b/>
        </w:rPr>
        <w:t xml:space="preserve">हिनोति (</w:t>
      </w:r>
      <w:r>
        <w:rPr>
          <w:iCs/>
          <w:i/>
          <w:bCs/>
          <w:b/>
        </w:rPr>
        <w:t xml:space="preserve">hinoti</w:t>
      </w:r>
      <w:r>
        <w:rPr>
          <w:bCs/>
          <w:b/>
        </w:rPr>
        <w:t xml:space="preserve">)</w:t>
      </w:r>
      <w:r>
        <w:t xml:space="preserve">: the root</w:t>
      </w:r>
      <w:r>
        <w:t xml:space="preserve"> </w:t>
      </w:r>
      <w:r>
        <w:rPr>
          <w:iCs/>
          <w:i/>
        </w:rPr>
        <w:t xml:space="preserve">hi gatau vṛddhau ca</w:t>
      </w:r>
      <w:r>
        <w:t xml:space="preserve">.</w:t>
      </w:r>
      <w:r>
        <w:t xml:space="preserve"> </w:t>
      </w:r>
      <w:r>
        <w:rPr>
          <w:iCs/>
          <w:i/>
        </w:rPr>
        <w:t xml:space="preserve">Laṭ</w:t>
      </w:r>
      <w:r>
        <w:t xml:space="preserve">,</w:t>
      </w:r>
      <w:r>
        <w:t xml:space="preserve"> </w:t>
      </w:r>
      <w:r>
        <w:rPr>
          <w:iCs/>
          <w:i/>
        </w:rPr>
        <w:t xml:space="preserve">tip</w:t>
      </w:r>
      <w:r>
        <w:t xml:space="preserve">. By</w:t>
      </w:r>
      <w:r>
        <w:t xml:space="preserve"> </w:t>
      </w:r>
      <w:r>
        <w:t xml:space="preserve">“</w:t>
      </w:r>
      <w:r>
        <w:t xml:space="preserve">svādibhyaḥ śnuḥ</w:t>
      </w:r>
      <w:r>
        <w:t xml:space="preserve">”</w:t>
      </w:r>
      <w:r>
        <w:t xml:space="preserve"> </w:t>
      </w:r>
      <w:r>
        <w:t xml:space="preserve">(Pā. sū. 3-1-73) the</w:t>
      </w:r>
      <w:r>
        <w:t xml:space="preserve"> </w:t>
      </w:r>
      <w:r>
        <w:rPr>
          <w:iCs/>
          <w:i/>
        </w:rPr>
        <w:t xml:space="preserve">vikaraṇa</w:t>
      </w:r>
      <w:r>
        <w:t xml:space="preserve"> </w:t>
      </w:r>
      <w:r>
        <w:rPr>
          <w:iCs/>
          <w:i/>
        </w:rPr>
        <w:t xml:space="preserve">śnu</w:t>
      </w:r>
      <w:r>
        <w:t xml:space="preserve">:</w:t>
      </w:r>
      <w:r>
        <w:t xml:space="preserve"> </w:t>
      </w:r>
      <w:r>
        <w:rPr>
          <w:iCs/>
          <w:i/>
        </w:rPr>
        <w:t xml:space="preserve">hi</w:t>
      </w:r>
      <w:r>
        <w:t xml:space="preserve"> </w:t>
      </w:r>
      <w:r>
        <w:t xml:space="preserve">+</w:t>
      </w:r>
      <w:r>
        <w:t xml:space="preserve"> </w:t>
      </w:r>
      <w:r>
        <w:rPr>
          <w:iCs/>
          <w:i/>
        </w:rPr>
        <w:t xml:space="preserve">nu</w:t>
      </w:r>
      <w:r>
        <w:t xml:space="preserve"> </w:t>
      </w:r>
      <w:r>
        <w:t xml:space="preserve">+</w:t>
      </w:r>
      <w:r>
        <w:t xml:space="preserve"> </w:t>
      </w:r>
      <w:r>
        <w:rPr>
          <w:iCs/>
          <w:i/>
        </w:rPr>
        <w:t xml:space="preserve">ti</w:t>
      </w:r>
      <w:r>
        <w:t xml:space="preserve">. With</w:t>
      </w:r>
      <w:r>
        <w:t xml:space="preserve"> </w:t>
      </w:r>
      <w:r>
        <w:rPr>
          <w:iCs/>
          <w:i/>
        </w:rPr>
        <w:t xml:space="preserve">ti</w:t>
      </w:r>
      <w:r>
        <w:t xml:space="preserve"> </w:t>
      </w:r>
      <w:r>
        <w:t xml:space="preserve">as condition,</w:t>
      </w:r>
      <w:r>
        <w:t xml:space="preserve"> </w:t>
      </w:r>
      <w:r>
        <w:rPr>
          <w:iCs/>
          <w:i/>
        </w:rPr>
        <w:t xml:space="preserve">guṇa</w:t>
      </w:r>
      <w:r>
        <w:t xml:space="preserve"> </w:t>
      </w:r>
      <w:r>
        <w:t xml:space="preserve">for</w:t>
      </w:r>
      <w:r>
        <w:t xml:space="preserve"> </w:t>
      </w:r>
      <w:r>
        <w:rPr>
          <w:iCs/>
          <w:i/>
        </w:rPr>
        <w:t xml:space="preserve">śnu</w:t>
      </w:r>
      <w:r>
        <w:t xml:space="preserve"> </w:t>
      </w:r>
      <w:r>
        <w:t xml:space="preserve">by</w:t>
      </w:r>
      <w:r>
        <w:t xml:space="preserve"> </w:t>
      </w:r>
      <w:r>
        <w:t xml:space="preserve">“</w:t>
      </w:r>
      <w:r>
        <w:t xml:space="preserve">sārvadhātukārdha…</w:t>
      </w:r>
      <w:r>
        <w:t xml:space="preserve">”</w:t>
      </w:r>
      <w:r>
        <w:t xml:space="preserve"> </w:t>
      </w:r>
      <w:r>
        <w:t xml:space="preserve">(Pā. sū. 7-3-84):</w:t>
      </w:r>
      <w:r>
        <w:t xml:space="preserve"> </w:t>
      </w:r>
      <w:r>
        <w:rPr>
          <w:iCs/>
          <w:i/>
        </w:rPr>
        <w:t xml:space="preserve">o</w:t>
      </w:r>
      <w:r>
        <w:t xml:space="preserve">. By</w:t>
      </w:r>
      <w:r>
        <w:t xml:space="preserve"> </w:t>
      </w:r>
      <w:r>
        <w:t xml:space="preserve">“</w:t>
      </w:r>
      <w:r>
        <w:t xml:space="preserve">sārvadhātukam apit</w:t>
      </w:r>
      <w:r>
        <w:t xml:space="preserve">”</w:t>
      </w:r>
      <w:r>
        <w:t xml:space="preserve"> </w:t>
      </w:r>
      <w:r>
        <w:t xml:space="preserve">(Pā. sū. 1-2-4)</w:t>
      </w:r>
      <w:r>
        <w:t xml:space="preserve"> </w:t>
      </w:r>
      <w:r>
        <w:rPr>
          <w:iCs/>
          <w:i/>
        </w:rPr>
        <w:t xml:space="preserve">hi</w:t>
      </w:r>
      <w:r>
        <w:t xml:space="preserve"> </w:t>
      </w:r>
      <w:r>
        <w:t xml:space="preserve">[as printed;</w:t>
      </w:r>
      <w:r>
        <w:t xml:space="preserve"> </w:t>
      </w:r>
      <w:r>
        <w:rPr>
          <w:iCs/>
          <w:i/>
        </w:rPr>
        <w:t xml:space="preserve">nu</w:t>
      </w:r>
      <w:r>
        <w:t xml:space="preserve"> </w:t>
      </w:r>
      <w:r>
        <w:t xml:space="preserve">is meant] is</w:t>
      </w:r>
      <w:r>
        <w:t xml:space="preserve"> </w:t>
      </w:r>
      <w:r>
        <w:rPr>
          <w:iCs/>
          <w:i/>
        </w:rPr>
        <w:t xml:space="preserve">ṅit</w:t>
      </w:r>
      <w:r>
        <w:t xml:space="preserve">. Since the bar</w:t>
      </w:r>
      <w:r>
        <w:t xml:space="preserve"> </w:t>
      </w:r>
      <w:r>
        <w:rPr>
          <w:iCs/>
          <w:i/>
        </w:rPr>
        <w:t xml:space="preserve">kṅiti ca</w:t>
      </w:r>
      <w:r>
        <w:t xml:space="preserve"> </w:t>
      </w:r>
      <w:r>
        <w:t xml:space="preserve">comes, the</w:t>
      </w:r>
      <w:r>
        <w:t xml:space="preserve"> </w:t>
      </w:r>
      <w:r>
        <w:rPr>
          <w:iCs/>
          <w:i/>
        </w:rPr>
        <w:t xml:space="preserve">ik</w:t>
      </w:r>
      <w:r>
        <w:t xml:space="preserve">-</w:t>
      </w:r>
      <w:r>
        <w:rPr>
          <w:iCs/>
          <w:i/>
        </w:rPr>
        <w:t xml:space="preserve">guṇa</w:t>
      </w:r>
      <w:r>
        <w:t xml:space="preserve"> </w:t>
      </w:r>
      <w:r>
        <w:t xml:space="preserve">for</w:t>
      </w:r>
      <w:r>
        <w:t xml:space="preserve"> </w:t>
      </w:r>
      <w:r>
        <w:rPr>
          <w:iCs/>
          <w:i/>
        </w:rPr>
        <w:t xml:space="preserve">hi</w:t>
      </w:r>
      <w:r>
        <w:t xml:space="preserve">, with</w:t>
      </w:r>
      <w:r>
        <w:t xml:space="preserve"> </w:t>
      </w:r>
      <w:r>
        <w:rPr>
          <w:iCs/>
          <w:i/>
        </w:rPr>
        <w:t xml:space="preserve">nu</w:t>
      </w:r>
      <w:r>
        <w:t xml:space="preserve"> </w:t>
      </w:r>
      <w:r>
        <w:t xml:space="preserve">as condition, does not come.</w:t>
      </w:r>
      <w:r>
        <w:t xml:space="preserve"> </w:t>
      </w:r>
      <w:r>
        <w:rPr>
          <w:iCs/>
          <w:i/>
        </w:rPr>
        <w:t xml:space="preserve">Tip</w:t>
      </w:r>
      <w:r>
        <w:t xml:space="preserve"> </w:t>
      </w:r>
      <w:r>
        <w:t xml:space="preserve">is</w:t>
      </w:r>
      <w:r>
        <w:t xml:space="preserve"> </w:t>
      </w:r>
      <w:r>
        <w:rPr>
          <w:iCs/>
          <w:i/>
        </w:rPr>
        <w:t xml:space="preserve">pit</w:t>
      </w:r>
      <w:r>
        <w:t xml:space="preserve">, so unaccented by</w:t>
      </w:r>
      <w:r>
        <w:t xml:space="preserve"> </w:t>
      </w:r>
      <w:r>
        <w:rPr>
          <w:iCs/>
          <w:i/>
        </w:rPr>
        <w:t xml:space="preserve">anudāttau…</w:t>
      </w:r>
      <w:r>
        <w:t xml:space="preserve">; the accent of the suffix</w:t>
      </w:r>
      <w:r>
        <w:t xml:space="preserve"> </w:t>
      </w:r>
      <w:r>
        <w:rPr>
          <w:iCs/>
          <w:i/>
        </w:rPr>
        <w:t xml:space="preserve">śnu</w:t>
      </w:r>
      <w:r>
        <w:t xml:space="preserve"> </w:t>
      </w:r>
      <w:r>
        <w:t xml:space="preserve">alone remains.</w:t>
      </w:r>
    </w:p>
    <w:p>
      <w:pPr>
        <w:pStyle w:val="BodyText"/>
      </w:pPr>
      <w:r>
        <w:rPr>
          <w:bCs/>
          <w:b/>
        </w:rPr>
        <w:t xml:space="preserve">॥४॥</w:t>
      </w:r>
    </w:p>
    <w:p>
      <w:r>
        <w:pict>
          <v:rect style="width:0;height:1.5pt" o:hralign="center" o:hrstd="t" o:hr="t"/>
        </w:pict>
      </w:r>
    </w:p>
    <w:bookmarkEnd w:id="846"/>
    <w:bookmarkStart w:id="847" w:name="page-767-lower-sūkta-18-rik-5"/>
    <w:p>
      <w:pPr>
        <w:pStyle w:val="Heading3"/>
      </w:pPr>
      <w:r>
        <w:t xml:space="preserve">Page 767 (lower) — Sūkta 18, Rik 5</w:t>
      </w:r>
    </w:p>
    <w:p>
      <w:pPr>
        <w:pStyle w:val="FirstParagraph"/>
      </w:pPr>
      <w:r>
        <w:rPr>
          <w:iCs/>
          <w:i/>
        </w:rPr>
        <w:t xml:space="preserve">(Saṃhitā accents as printed; Pada unaccented. Deities: Brahmaṇaspati, Soma, Indra and Dakṣiṇā.)</w:t>
      </w:r>
    </w:p>
    <w:p>
      <w:pPr>
        <w:pStyle w:val="BodyText"/>
      </w:pPr>
      <w:r>
        <w:rPr>
          <w:bCs/>
          <w:b/>
        </w:rPr>
        <w:t xml:space="preserve">॥ Saṃhitā-pāṭhaḥ ॥</w:t>
      </w:r>
    </w:p>
    <w:p>
      <w:pPr>
        <w:pStyle w:val="BlockText"/>
      </w:pPr>
      <w:r>
        <w:t xml:space="preserve">त्वं तं ब्र॑ह्मणस्प॒ते सोम॒ इन्द्र॑श्च॒ मर्त्य॑म् । [accent ?]</w:t>
      </w:r>
      <w:r>
        <w:t xml:space="preserve"> </w:t>
      </w:r>
      <w:r>
        <w:t xml:space="preserve">द॑क्षिणा पा॒त्वंह॑सः ॥५॥ [accent ?]</w:t>
      </w:r>
    </w:p>
    <w:p>
      <w:pPr>
        <w:pStyle w:val="BlockText"/>
      </w:pPr>
      <w:r>
        <w:rPr>
          <w:iCs/>
          <w:i/>
        </w:rPr>
        <w:t xml:space="preserve">tvaṃ táṃ brahmaṇaspaté soma índraś ca mártyam |</w:t>
      </w:r>
      <w:r>
        <w:t xml:space="preserve"> </w:t>
      </w:r>
      <w:r>
        <w:t xml:space="preserve">[accent ?]</w:t>
      </w:r>
      <w:r>
        <w:t xml:space="preserve"> </w:t>
      </w:r>
      <w:r>
        <w:rPr>
          <w:iCs/>
          <w:i/>
        </w:rPr>
        <w:t xml:space="preserve">dakṣiṇā pātv áṃhasaḥ ||5||</w:t>
      </w:r>
      <w:r>
        <w:t xml:space="preserve"> </w:t>
      </w:r>
      <w:r>
        <w:t xml:space="preserve">[accent ?]</w:t>
      </w:r>
    </w:p>
    <w:p>
      <w:pPr>
        <w:pStyle w:val="FirstParagraph"/>
      </w:pPr>
      <w:r>
        <w:rPr>
          <w:iCs/>
          <w:i/>
        </w:rPr>
        <w:t xml:space="preserve">(Read as printed: strokes over ब्र, द्र, र्त्य, द (दक्षिणा) and ह (अंहसः); bars under स्प, म (सोम), श्च and पा; a bar under त्वं is not certain.)</w:t>
      </w:r>
    </w:p>
    <w:p>
      <w:pPr>
        <w:pStyle w:val="BodyText"/>
      </w:pPr>
      <w:r>
        <w:rPr>
          <w:bCs/>
          <w:b/>
        </w:rPr>
        <w:t xml:space="preserve">॥ Pada-pāṭhaḥ ॥</w:t>
      </w:r>
    </w:p>
    <w:p>
      <w:pPr>
        <w:pStyle w:val="BlockText"/>
      </w:pPr>
      <w:r>
        <w:t xml:space="preserve">त्वम् । तम् । ब्रह्मणः । पते । सोमः । इन्द्रः । च । मर्त्यम् ॥</w:t>
      </w:r>
      <w:r>
        <w:t xml:space="preserve"> </w:t>
      </w:r>
      <w:r>
        <w:t xml:space="preserve">दक्षिणा । पातु । अंहसः ॥५॥</w:t>
      </w:r>
    </w:p>
    <w:p>
      <w:pPr>
        <w:pStyle w:val="BlockText"/>
      </w:pPr>
      <w:r>
        <w:rPr>
          <w:iCs/>
          <w:i/>
        </w:rPr>
        <w:t xml:space="preserve">tvam | tam | brahmaṇaḥ | pate | somaḥ | indraḥ | ca | martyam ||</w:t>
      </w:r>
      <w:r>
        <w:t xml:space="preserve"> </w:t>
      </w:r>
      <w:r>
        <w:rPr>
          <w:iCs/>
          <w:i/>
        </w:rPr>
        <w:t xml:space="preserve">dakṣiṇā | pātu | aṃhasaḥ ||5||</w:t>
      </w:r>
    </w:p>
    <w:p>
      <w:pPr>
        <w:pStyle w:val="FirstParagraph"/>
      </w:pPr>
      <w:r>
        <w:rPr>
          <w:bCs/>
          <w:b/>
        </w:rPr>
        <w:t xml:space="preserve">॥ Sāyaṇa-bhāṣyam ॥</w:t>
      </w:r>
    </w:p>
    <w:p>
      <w:pPr>
        <w:pStyle w:val="BodyText"/>
      </w:pPr>
      <w:r>
        <w:rPr>
          <w:iCs/>
          <w:i/>
        </w:rPr>
        <w:t xml:space="preserve">(॥३४॥ closes Varga 34.)</w:t>
      </w:r>
    </w:p>
    <w:p>
      <w:pPr>
        <w:pStyle w:val="BlockText"/>
      </w:pPr>
      <w:r>
        <w:t xml:space="preserve">हे ब्रह्मणस्पते त्वं तं मर्त्यमनुष्ठातारं मनुष्यमंहसः पापात्पाहीति शेषः । तथा सोमः पातु । इन्द्रश्च पातु दक्षिणाख्या देवता च पातु ॥ दक्षिणा । दक्ष वृद्धौ । द्रुदक्षिभ्यामिनन् । उ. २-५० । नित्त्वादाद्युदात्तः । अंहसः । नब्विषयस्येत्यादिनाद्युदात्तः ॥३४॥</w:t>
      </w:r>
    </w:p>
    <w:p>
      <w:pPr>
        <w:pStyle w:val="BlockText"/>
      </w:pPr>
      <w:r>
        <w:rPr>
          <w:iCs/>
          <w:i/>
        </w:rPr>
        <w:t xml:space="preserve">he brahmaṇaspate tvaṃ taṃ martyamanuṣṭhātāraṃ manuṣyamaṃhasaḥ pāpātpāhīti śeṣaḥ | tathā somaḥ pātu | indraśca pātu dakṣiṇākhyā devatā ca pātu || dakṣiṇā | dakṣa vṛddhau | drudakṣibhyāminan | u. 2-50 | nittvādādyudāttaḥ | aṃhasaḥ | nabviṣayasyetyādinādyudāttaḥ ||34||</w:t>
      </w:r>
    </w:p>
    <w:p>
      <w:pPr>
        <w:pStyle w:val="FirstParagraph"/>
      </w:pPr>
      <w:r>
        <w:rPr>
          <w:bCs/>
          <w:b/>
        </w:rPr>
        <w:t xml:space="preserve">Translation:</w:t>
      </w:r>
      <w:r>
        <w:t xml:space="preserve"> </w:t>
      </w:r>
      <w:r>
        <w:t xml:space="preserve">“</w:t>
      </w:r>
      <w:r>
        <w:t xml:space="preserve">O Brahmaṇaspati, you (protect, is to be supplied) that mortal, the performer, from</w:t>
      </w:r>
      <w:r>
        <w:t xml:space="preserve"> </w:t>
      </w:r>
      <w:r>
        <w:rPr>
          <w:iCs/>
          <w:i/>
        </w:rPr>
        <w:t xml:space="preserve">aṃhas</w:t>
      </w:r>
      <w:r>
        <w:t xml:space="preserve">, sin. Likewise may Soma protect; may Indra protect; and may the deity called Dakṣiṇā protect.</w:t>
      </w:r>
      <w:r>
        <w:t xml:space="preserve">”</w:t>
      </w:r>
      <w:r>
        <w:t xml:space="preserve"> </w:t>
      </w:r>
      <w:r>
        <w:t xml:space="preserve">(Grammatical tail:</w:t>
      </w:r>
      <w:r>
        <w:t xml:space="preserve"> </w:t>
      </w:r>
      <w:r>
        <w:rPr>
          <w:iCs/>
          <w:i/>
        </w:rPr>
        <w:t xml:space="preserve">dakṣiṇā</w:t>
      </w:r>
      <w:r>
        <w:t xml:space="preserve">,</w:t>
      </w:r>
      <w:r>
        <w:t xml:space="preserve"> </w:t>
      </w:r>
      <w:r>
        <w:rPr>
          <w:iCs/>
          <w:i/>
        </w:rPr>
        <w:t xml:space="preserve">dakṣa vṛddhau</w:t>
      </w:r>
      <w:r>
        <w:t xml:space="preserve">,</w:t>
      </w:r>
      <w:r>
        <w:t xml:space="preserve"> </w:t>
      </w:r>
      <w:r>
        <w:rPr>
          <w:iCs/>
          <w:i/>
        </w:rPr>
        <w:t xml:space="preserve">inan</w:t>
      </w:r>
      <w:r>
        <w:t xml:space="preserve"> </w:t>
      </w:r>
      <w:r>
        <w:t xml:space="preserve">by</w:t>
      </w:r>
      <w:r>
        <w:t xml:space="preserve"> </w:t>
      </w:r>
      <w:r>
        <w:rPr>
          <w:iCs/>
          <w:i/>
        </w:rPr>
        <w:t xml:space="preserve">drudakṣibhyām inan</w:t>
      </w:r>
      <w:r>
        <w:t xml:space="preserve"> </w:t>
      </w:r>
      <w:r>
        <w:t xml:space="preserve">(Uṇ. 2-50), initial udātta as</w:t>
      </w:r>
      <w:r>
        <w:t xml:space="preserve"> </w:t>
      </w:r>
      <w:r>
        <w:rPr>
          <w:iCs/>
          <w:i/>
        </w:rPr>
        <w:t xml:space="preserve">nit</w:t>
      </w:r>
      <w:r>
        <w:t xml:space="preserve">;</w:t>
      </w:r>
      <w:r>
        <w:t xml:space="preserve"> </w:t>
      </w:r>
      <w:r>
        <w:rPr>
          <w:iCs/>
          <w:i/>
        </w:rPr>
        <w:t xml:space="preserve">aṃhasaḥ</w:t>
      </w:r>
      <w:r>
        <w:t xml:space="preserve">, initial udātta by</w:t>
      </w:r>
      <w:r>
        <w:t xml:space="preserve"> </w:t>
      </w:r>
      <w:r>
        <w:rPr>
          <w:iCs/>
          <w:i/>
        </w:rPr>
        <w:t xml:space="preserve">nabviṣayasya…</w:t>
      </w:r>
      <w:r>
        <w:t xml:space="preserve">.)</w:t>
      </w:r>
    </w:p>
    <w:p>
      <w:pPr>
        <w:pStyle w:val="BodyText"/>
      </w:pPr>
      <w:r>
        <w:rPr>
          <w:bCs/>
          <w:b/>
        </w:rPr>
        <w:t xml:space="preserve">॥ Prati-padārthaḥ ॥</w:t>
      </w:r>
    </w:p>
    <w:p>
      <w:pPr>
        <w:pStyle w:val="BodyText"/>
      </w:pPr>
      <w:r>
        <w:rPr>
          <w:bCs/>
          <w:b/>
        </w:rPr>
        <w:t xml:space="preserve">(हे) ब्रह्मणस्पते ((he) brahmaṇaspate)</w:t>
      </w:r>
      <w:r>
        <w:t xml:space="preserve"> </w:t>
      </w:r>
      <w:r>
        <w:t xml:space="preserve">— O Brahmaṇaspati |</w:t>
      </w:r>
      <w:r>
        <w:t xml:space="preserve"> </w:t>
      </w:r>
      <w:r>
        <w:rPr>
          <w:bCs/>
          <w:b/>
        </w:rPr>
        <w:t xml:space="preserve">त्वम् (tvam)</w:t>
      </w:r>
      <w:r>
        <w:t xml:space="preserve"> </w:t>
      </w:r>
      <w:r>
        <w:t xml:space="preserve">— you |</w:t>
      </w:r>
      <w:r>
        <w:t xml:space="preserve"> </w:t>
      </w:r>
      <w:r>
        <w:rPr>
          <w:bCs/>
          <w:b/>
        </w:rPr>
        <w:t xml:space="preserve">तं मर्त्यम् (taṃ martyam)</w:t>
      </w:r>
      <w:r>
        <w:t xml:space="preserve"> </w:t>
      </w:r>
      <w:r>
        <w:t xml:space="preserve">— that man (the performer) |</w:t>
      </w:r>
      <w:r>
        <w:t xml:space="preserve"> </w:t>
      </w:r>
      <w:r>
        <w:rPr>
          <w:bCs/>
          <w:b/>
        </w:rPr>
        <w:t xml:space="preserve">अंहसः (aṃhasaḥ)</w:t>
      </w:r>
      <w:r>
        <w:t xml:space="preserve"> </w:t>
      </w:r>
      <w:r>
        <w:t xml:space="preserve">— from sin (protect) |</w:t>
      </w:r>
      <w:r>
        <w:t xml:space="preserve"> </w:t>
      </w:r>
      <w:r>
        <w:rPr>
          <w:bCs/>
          <w:b/>
        </w:rPr>
        <w:t xml:space="preserve">सोमः (somaḥ)</w:t>
      </w:r>
      <w:r>
        <w:t xml:space="preserve"> </w:t>
      </w:r>
      <w:r>
        <w:t xml:space="preserve">— the deity Soma |</w:t>
      </w:r>
      <w:r>
        <w:t xml:space="preserve"> </w:t>
      </w:r>
      <w:r>
        <w:rPr>
          <w:bCs/>
          <w:b/>
        </w:rPr>
        <w:t xml:space="preserve">पातु (pātu)</w:t>
      </w:r>
      <w:r>
        <w:t xml:space="preserve"> </w:t>
      </w:r>
      <w:r>
        <w:t xml:space="preserve">— may he protect |</w:t>
      </w:r>
      <w:r>
        <w:t xml:space="preserve"> </w:t>
      </w:r>
      <w:r>
        <w:rPr>
          <w:bCs/>
          <w:b/>
        </w:rPr>
        <w:t xml:space="preserve">इन्द्रः च (indraḥ ca)</w:t>
      </w:r>
      <w:r>
        <w:t xml:space="preserve"> </w:t>
      </w:r>
      <w:r>
        <w:t xml:space="preserve">— and Indra |</w:t>
      </w:r>
      <w:r>
        <w:t xml:space="preserve"> </w:t>
      </w:r>
      <w:r>
        <w:rPr>
          <w:bCs/>
          <w:b/>
        </w:rPr>
        <w:t xml:space="preserve">पातु (pātu)</w:t>
      </w:r>
      <w:r>
        <w:t xml:space="preserve"> </w:t>
      </w:r>
      <w:r>
        <w:t xml:space="preserve">— may he protect |</w:t>
      </w:r>
      <w:r>
        <w:t xml:space="preserve"> </w:t>
      </w:r>
      <w:r>
        <w:rPr>
          <w:bCs/>
          <w:b/>
        </w:rPr>
        <w:t xml:space="preserve">दक्षिणा (dakṣiṇā)</w:t>
      </w:r>
      <w:r>
        <w:t xml:space="preserve"> </w:t>
      </w:r>
      <w:r>
        <w:t xml:space="preserve">— the deity called Dakṣiṇā too |</w:t>
      </w:r>
      <w:r>
        <w:t xml:space="preserve"> </w:t>
      </w:r>
      <w:r>
        <w:rPr>
          <w:bCs/>
          <w:b/>
        </w:rPr>
        <w:t xml:space="preserve">पातु (pātu)</w:t>
      </w:r>
      <w:r>
        <w:t xml:space="preserve"> </w:t>
      </w:r>
      <w:r>
        <w:t xml:space="preserve">— may she protect.</w:t>
      </w:r>
    </w:p>
    <w:bookmarkEnd w:id="847"/>
    <w:bookmarkStart w:id="848" w:name="Xc033bc0d70a695ffda18e257380d735b373aaa4"/>
    <w:p>
      <w:pPr>
        <w:pStyle w:val="Heading3"/>
      </w:pPr>
      <w:r>
        <w:t xml:space="preserve">Page 768 — Rik 5: overall sense, English, Special Topics</w:t>
      </w:r>
    </w:p>
    <w:p>
      <w:pPr>
        <w:pStyle w:val="FirstParagraph"/>
      </w:pPr>
      <w:r>
        <w:rPr>
          <w:bCs/>
          <w:b/>
        </w:rPr>
        <w:t xml:space="preserve">॥ Bhāvārthaḥ ॥</w:t>
      </w:r>
    </w:p>
    <w:p>
      <w:pPr>
        <w:pStyle w:val="BodyText"/>
      </w:pPr>
      <w:r>
        <w:t xml:space="preserve">O Brahmaṇaspati, protect the sacrificer so that he does no sinful deed: you, Indra, Soma and Dakṣiṇā, all of you.</w:t>
      </w:r>
    </w:p>
    <w:p>
      <w:pPr>
        <w:pStyle w:val="BodyText"/>
      </w:pPr>
      <w:r>
        <w:rPr>
          <w:bCs/>
          <w:b/>
        </w:rPr>
        <w:t xml:space="preserve">॥ English Translation ॥</w:t>
      </w:r>
      <w:r>
        <w:t xml:space="preserve"> </w:t>
      </w:r>
      <w:r>
        <w:rPr>
          <w:iCs/>
          <w:i/>
        </w:rPr>
        <w:t xml:space="preserve">(as printed in the source)</w:t>
      </w:r>
    </w:p>
    <w:p>
      <w:pPr>
        <w:pStyle w:val="BlockText"/>
      </w:pPr>
      <w:r>
        <w:t xml:space="preserve">Do you Brahmanaspati, and do you Soma, Indra. and Dakshina protect that man from sin.</w:t>
      </w:r>
    </w:p>
    <w:p>
      <w:pPr>
        <w:pStyle w:val="FirstParagraph"/>
      </w:pPr>
      <w:r>
        <w:rPr>
          <w:bCs/>
          <w:b/>
        </w:rPr>
        <w:t xml:space="preserve">॥ Viśeṣa-viṣayagaḷu (Special Topics) ॥</w:t>
      </w:r>
    </w:p>
    <w:p>
      <w:pPr>
        <w:pStyle w:val="BodyText"/>
      </w:pPr>
      <w:r>
        <w:t xml:space="preserve">In this ṛk the deities Brahmaṇaspati, Soma, Indra and Dakṣiṇā are set forth.</w:t>
      </w:r>
    </w:p>
    <w:p>
      <w:pPr>
        <w:pStyle w:val="BodyText"/>
      </w:pPr>
      <w:r>
        <w:rPr>
          <w:bCs/>
          <w:b/>
        </w:rPr>
        <w:t xml:space="preserve">Dakṣiṇā</w:t>
      </w:r>
      <w:r>
        <w:t xml:space="preserve">: in this ṛk the word</w:t>
      </w:r>
      <w:r>
        <w:t xml:space="preserve"> </w:t>
      </w:r>
      <w:r>
        <w:rPr>
          <w:iCs/>
          <w:i/>
        </w:rPr>
        <w:t xml:space="preserve">dakṣiṇā</w:t>
      </w:r>
      <w:r>
        <w:t xml:space="preserve"> </w:t>
      </w:r>
      <w:r>
        <w:t xml:space="preserve">indicates the deity presiding over the</w:t>
      </w:r>
      <w:r>
        <w:t xml:space="preserve"> </w:t>
      </w:r>
      <w:r>
        <w:rPr>
          <w:iCs/>
          <w:i/>
        </w:rPr>
        <w:t xml:space="preserve">dakṣiṇā</w:t>
      </w:r>
      <w:r>
        <w:t xml:space="preserve">. For the word</w:t>
      </w:r>
      <w:r>
        <w:t xml:space="preserve"> </w:t>
      </w:r>
      <w:r>
        <w:rPr>
          <w:iCs/>
          <w:i/>
        </w:rPr>
        <w:t xml:space="preserve">dakṣiṇā</w:t>
      </w:r>
      <w:r>
        <w:t xml:space="preserve"> </w:t>
      </w:r>
      <w:r>
        <w:t xml:space="preserve">Yāska gives this derivation of sense (Ni.</w:t>
      </w:r>
      <w:r>
        <w:t xml:space="preserve"> </w:t>
      </w:r>
      <w:r>
        <w:t xml:space="preserve">“</w:t>
      </w:r>
      <w:r>
        <w:t xml:space="preserve">1-7</w:t>
      </w:r>
      <w:r>
        <w:t xml:space="preserve">”</w:t>
      </w:r>
      <w:r>
        <w:t xml:space="preserve"> </w:t>
      </w:r>
      <w:r>
        <w:t xml:space="preserve">[?]):</w:t>
      </w:r>
    </w:p>
    <w:p>
      <w:pPr>
        <w:pStyle w:val="BlockText"/>
      </w:pPr>
      <w:r>
        <w:t xml:space="preserve">दक्षिणा दक्षतेः समर्धयतिकर्मणो व्यृद्धं समर्धयतीति । अपि वा प्रदक्षिणागमनात् । दिशमभिप्रेत्य दिग्घस्तप्रकृतिः दक्षिणो हस्तो दक्षतेरुत्साहकर्मणः । दाशतेर्वा स्याद्दानकर्मणः ॥</w:t>
      </w:r>
    </w:p>
    <w:p>
      <w:pPr>
        <w:pStyle w:val="BlockText"/>
      </w:pPr>
      <w:r>
        <w:rPr>
          <w:iCs/>
          <w:i/>
        </w:rPr>
        <w:t xml:space="preserve">dakṣiṇā dakṣateḥ samardhayatikarmaṇo vyṛddhaṃ samardhayatīti | api vā pradakṣiṇāgamanāt | diśamabhipretya digghastaprakṛtiḥ dakṣiṇo hasto dakṣaterutsāhakarmaṇaḥ | dāśatervā syāddānakarmaṇaḥ ||</w:t>
      </w:r>
    </w:p>
    <w:p>
      <w:pPr>
        <w:pStyle w:val="FirstParagraph"/>
      </w:pPr>
      <w:r>
        <w:t xml:space="preserve">(</w:t>
      </w:r>
      <w:r>
        <w:t xml:space="preserve">“</w:t>
      </w:r>
      <w:r>
        <w:rPr>
          <w:iCs/>
          <w:i/>
        </w:rPr>
        <w:t xml:space="preserve">Dakṣiṇā</w:t>
      </w:r>
      <w:r>
        <w:t xml:space="preserve">, from</w:t>
      </w:r>
      <w:r>
        <w:t xml:space="preserve"> </w:t>
      </w:r>
      <w:r>
        <w:rPr>
          <w:iCs/>
          <w:i/>
        </w:rPr>
        <w:t xml:space="preserve">dakṣ</w:t>
      </w:r>
      <w:r>
        <w:t xml:space="preserve">, meaning</w:t>
      </w:r>
      <w:r>
        <w:t xml:space="preserve"> </w:t>
      </w:r>
      <w:r>
        <w:t xml:space="preserve">‘</w:t>
      </w:r>
      <w:r>
        <w:t xml:space="preserve">to make prosper</w:t>
      </w:r>
      <w:r>
        <w:t xml:space="preserve">’</w:t>
      </w:r>
      <w:r>
        <w:t xml:space="preserve">: it makes prosperous what has failed; or from going round to the right; with reference to the quarter, it has the right hand as its source; the right hand, from</w:t>
      </w:r>
      <w:r>
        <w:t xml:space="preserve"> </w:t>
      </w:r>
      <w:r>
        <w:rPr>
          <w:iCs/>
          <w:i/>
        </w:rPr>
        <w:t xml:space="preserve">dakṣ</w:t>
      </w:r>
      <w:r>
        <w:t xml:space="preserve">, meaning energy; or it may be from</w:t>
      </w:r>
      <w:r>
        <w:t xml:space="preserve"> </w:t>
      </w:r>
      <w:r>
        <w:rPr>
          <w:iCs/>
          <w:i/>
        </w:rPr>
        <w:t xml:space="preserve">dāś</w:t>
      </w:r>
      <w:r>
        <w:t xml:space="preserve">, meaning giving</w:t>
      </w:r>
      <w:r>
        <w:t xml:space="preserve">”</w:t>
      </w:r>
      <w:r>
        <w:t xml:space="preserve">: mine and tentative.) He gives four kinds of sense:</w:t>
      </w:r>
    </w:p>
    <w:p>
      <w:pPr>
        <w:numPr>
          <w:ilvl w:val="0"/>
          <w:numId w:val="1051"/>
        </w:numPr>
      </w:pPr>
      <w:r>
        <w:rPr>
          <w:iCs/>
          <w:i/>
        </w:rPr>
        <w:t xml:space="preserve">Dakṣiṇā dakṣateḥ samardhayatikarmaṇo vyṛddhaṃ samardhayatīti</w:t>
      </w:r>
      <w:r>
        <w:t xml:space="preserve">: the word</w:t>
      </w:r>
      <w:r>
        <w:t xml:space="preserve"> </w:t>
      </w:r>
      <w:r>
        <w:rPr>
          <w:iCs/>
          <w:i/>
        </w:rPr>
        <w:t xml:space="preserve">dakṣiṇā</w:t>
      </w:r>
      <w:r>
        <w:t xml:space="preserve"> </w:t>
      </w:r>
      <w:r>
        <w:t xml:space="preserve">comes from the root</w:t>
      </w:r>
      <w:r>
        <w:t xml:space="preserve"> </w:t>
      </w:r>
      <w:r>
        <w:rPr>
          <w:iCs/>
          <w:i/>
        </w:rPr>
        <w:t xml:space="preserve">dakṣ</w:t>
      </w:r>
      <w:r>
        <w:t xml:space="preserve">; for this root the sense is</w:t>
      </w:r>
      <w:r>
        <w:t xml:space="preserve"> </w:t>
      </w:r>
      <w:r>
        <w:t xml:space="preserve">“</w:t>
      </w:r>
      <w:r>
        <w:t xml:space="preserve">make (wealth) grow</w:t>
      </w:r>
      <w:r>
        <w:t xml:space="preserve">”</w:t>
      </w:r>
      <w:r>
        <w:t xml:space="preserve">. Since the little wealth spent in the sacrifice, that is, given as</w:t>
      </w:r>
      <w:r>
        <w:t xml:space="preserve"> </w:t>
      </w:r>
      <w:r>
        <w:rPr>
          <w:iCs/>
          <w:i/>
        </w:rPr>
        <w:t xml:space="preserve">dakṣiṇā</w:t>
      </w:r>
      <w:r>
        <w:t xml:space="preserve">, is made to grow greatly (as fruit), the word is named</w:t>
      </w:r>
      <w:r>
        <w:t xml:space="preserve"> </w:t>
      </w:r>
      <w:r>
        <w:rPr>
          <w:iCs/>
          <w:i/>
        </w:rPr>
        <w:t xml:space="preserve">dakṣiṇā</w:t>
      </w:r>
      <w:r>
        <w:t xml:space="preserve">.</w:t>
      </w:r>
    </w:p>
    <w:p>
      <w:pPr>
        <w:numPr>
          <w:ilvl w:val="0"/>
          <w:numId w:val="1051"/>
        </w:numPr>
      </w:pPr>
      <w:r>
        <w:rPr>
          <w:iCs/>
          <w:i/>
        </w:rPr>
        <w:t xml:space="preserve">Api vā pradakṣiṇāgamanāt</w:t>
      </w:r>
      <w:r>
        <w:t xml:space="preserve">: since on the sacrificial altar one goes round the places called</w:t>
      </w:r>
      <w:r>
        <w:t xml:space="preserve"> </w:t>
      </w:r>
      <w:r>
        <w:rPr>
          <w:iCs/>
          <w:i/>
        </w:rPr>
        <w:t xml:space="preserve">gārhapatya</w:t>
      </w:r>
      <w:r>
        <w:t xml:space="preserve">,</w:t>
      </w:r>
      <w:r>
        <w:t xml:space="preserve"> </w:t>
      </w:r>
      <w:r>
        <w:rPr>
          <w:iCs/>
          <w:i/>
        </w:rPr>
        <w:t xml:space="preserve">sadas</w:t>
      </w:r>
      <w:r>
        <w:t xml:space="preserve"> </w:t>
      </w:r>
      <w:r>
        <w:t xml:space="preserve">and</w:t>
      </w:r>
      <w:r>
        <w:t xml:space="preserve"> </w:t>
      </w:r>
      <w:r>
        <w:rPr>
          <w:iCs/>
          <w:i/>
        </w:rPr>
        <w:t xml:space="preserve">āgnīdhrīya</w:t>
      </w:r>
      <w:r>
        <w:t xml:space="preserve"> </w:t>
      </w:r>
      <w:r>
        <w:t xml:space="preserve">clockwise and stands in the inner altar, the going round clockwise done in this way is named</w:t>
      </w:r>
      <w:r>
        <w:t xml:space="preserve"> </w:t>
      </w:r>
      <w:r>
        <w:rPr>
          <w:iCs/>
          <w:i/>
        </w:rPr>
        <w:t xml:space="preserve">dakṣiṇā</w:t>
      </w:r>
      <w:r>
        <w:t xml:space="preserve">.</w:t>
      </w:r>
    </w:p>
    <w:p>
      <w:pPr>
        <w:numPr>
          <w:ilvl w:val="0"/>
          <w:numId w:val="1051"/>
        </w:numPr>
      </w:pPr>
      <w:r>
        <w:rPr>
          <w:iCs/>
          <w:i/>
        </w:rPr>
        <w:t xml:space="preserve">Diśam abhipretya dighastaprakṛtiḥ dakṣiṇo hasto dakṣater utsāhakarmaṇaḥ</w:t>
      </w:r>
      <w:r>
        <w:t xml:space="preserve">: since among the hands of Prajāpati, who faces east, the right hand faces south (is on the side of the southern quarter), and since the right hand does with energy whatever work is to be done, it has become usage to call the right hand</w:t>
      </w:r>
      <w:r>
        <w:t xml:space="preserve"> </w:t>
      </w:r>
      <w:r>
        <w:rPr>
          <w:iCs/>
          <w:i/>
        </w:rPr>
        <w:t xml:space="preserve">dakṣiṇo hastaḥ</w:t>
      </w:r>
      <w:r>
        <w:t xml:space="preserve"> </w:t>
      </w:r>
      <w:r>
        <w:t xml:space="preserve">with the word</w:t>
      </w:r>
      <w:r>
        <w:t xml:space="preserve"> </w:t>
      </w:r>
      <w:r>
        <w:rPr>
          <w:iCs/>
          <w:i/>
        </w:rPr>
        <w:t xml:space="preserve">dakṣiṇa</w:t>
      </w:r>
      <w:r>
        <w:t xml:space="preserve">.</w:t>
      </w:r>
    </w:p>
    <w:p>
      <w:pPr>
        <w:numPr>
          <w:ilvl w:val="0"/>
          <w:numId w:val="1051"/>
        </w:numPr>
      </w:pPr>
      <w:r>
        <w:rPr>
          <w:iCs/>
          <w:i/>
        </w:rPr>
        <w:t xml:space="preserve">Dāśater vā syād dānakarmaṇaḥ</w:t>
      </w:r>
      <w:r>
        <w:t xml:space="preserve">: the root</w:t>
      </w:r>
      <w:r>
        <w:t xml:space="preserve"> </w:t>
      </w:r>
      <w:r>
        <w:rPr>
          <w:iCs/>
          <w:i/>
        </w:rPr>
        <w:t xml:space="preserve">dāś</w:t>
      </w:r>
      <w:r>
        <w:t xml:space="preserve"> </w:t>
      </w:r>
      <w:r>
        <w:t xml:space="preserve">means giving. Since in giving one usually uses the right hand, the act of giving is named</w:t>
      </w:r>
      <w:r>
        <w:t xml:space="preserve"> </w:t>
      </w:r>
      <w:r>
        <w:rPr>
          <w:iCs/>
          <w:i/>
        </w:rPr>
        <w:t xml:space="preserve">dakṣiṇā</w:t>
      </w:r>
      <w:r>
        <w:t xml:space="preserve">.</w:t>
      </w:r>
    </w:p>
    <w:bookmarkEnd w:id="848"/>
    <w:bookmarkStart w:id="849" w:name="X99edd01eca15fb46743a9a174151392ee84e91f"/>
    <w:p>
      <w:pPr>
        <w:pStyle w:val="Heading3"/>
      </w:pPr>
      <w:r>
        <w:t xml:space="preserve">Page 769 (upper) — Rik 5: Special Topics (end) and grammar</w:t>
      </w:r>
    </w:p>
    <w:p>
      <w:pPr>
        <w:pStyle w:val="FirstParagraph"/>
      </w:pPr>
      <w:r>
        <w:t xml:space="preserve">Of these four kinds of sense, the last, the act of giving, is what is meant in this ṛk as the deity presiding over the</w:t>
      </w:r>
      <w:r>
        <w:t xml:space="preserve"> </w:t>
      </w:r>
      <w:r>
        <w:rPr>
          <w:iCs/>
          <w:i/>
        </w:rPr>
        <w:t xml:space="preserve">dakṣiṇā</w:t>
      </w:r>
      <w:r>
        <w:t xml:space="preserve">.</w:t>
      </w:r>
    </w:p>
    <w:p>
      <w:pPr>
        <w:pStyle w:val="BodyText"/>
      </w:pPr>
      <w:r>
        <w:rPr>
          <w:bCs/>
          <w:b/>
        </w:rPr>
        <w:t xml:space="preserve">Pātu, aṃhasaḥ</w:t>
      </w:r>
      <w:r>
        <w:t xml:space="preserve">:</w:t>
      </w:r>
      <w:r>
        <w:t xml:space="preserve"> </w:t>
      </w:r>
      <w:r>
        <w:rPr>
          <w:iCs/>
          <w:i/>
        </w:rPr>
        <w:t xml:space="preserve">aṃhaḥ</w:t>
      </w:r>
      <w:r>
        <w:t xml:space="preserve"> </w:t>
      </w:r>
      <w:r>
        <w:t xml:space="preserve">means sin.</w:t>
      </w:r>
      <w:r>
        <w:t xml:space="preserve"> </w:t>
      </w:r>
      <w:r>
        <w:t xml:space="preserve">“</w:t>
      </w:r>
      <w:r>
        <w:t xml:space="preserve">May he protect from sin</w:t>
      </w:r>
      <w:r>
        <w:t xml:space="preserve">”</w:t>
      </w:r>
      <w:r>
        <w:t xml:space="preserve"> </w:t>
      </w:r>
      <w:r>
        <w:t xml:space="preserve">means: may he protect by giving good understanding so that one does no sinful deeds.</w:t>
      </w:r>
    </w:p>
    <w:p>
      <w:pPr>
        <w:pStyle w:val="BodyText"/>
      </w:pPr>
      <w:r>
        <w:rPr>
          <w:bCs/>
          <w:b/>
        </w:rPr>
        <w:t xml:space="preserve">॥ Vyākaraṇa-prakriyā ॥</w:t>
      </w:r>
      <w:r>
        <w:t xml:space="preserve"> </w:t>
      </w:r>
      <w:r>
        <w:rPr>
          <w:iCs/>
          <w:i/>
        </w:rPr>
        <w:t xml:space="preserve">(grammar on p. 769, noted briefly)</w:t>
      </w:r>
    </w:p>
    <w:p>
      <w:pPr>
        <w:pStyle w:val="BodyText"/>
      </w:pPr>
      <w:r>
        <w:rPr>
          <w:bCs/>
          <w:b/>
        </w:rPr>
        <w:t xml:space="preserve">ब्रह्मणस्पते (</w:t>
      </w:r>
      <w:r>
        <w:rPr>
          <w:iCs/>
          <w:i/>
          <w:bCs/>
          <w:b/>
        </w:rPr>
        <w:t xml:space="preserve">brahmaṇaspate</w:t>
      </w:r>
      <w:r>
        <w:rPr>
          <w:bCs/>
          <w:b/>
        </w:rPr>
        <w:t xml:space="preserve">)</w:t>
      </w:r>
      <w:r>
        <w:t xml:space="preserve">: explained in an earlier mantra.</w:t>
      </w:r>
    </w:p>
    <w:p>
      <w:pPr>
        <w:pStyle w:val="BodyText"/>
      </w:pPr>
      <w:r>
        <w:rPr>
          <w:bCs/>
          <w:b/>
        </w:rPr>
        <w:t xml:space="preserve">दक्षिणा (</w:t>
      </w:r>
      <w:r>
        <w:rPr>
          <w:iCs/>
          <w:i/>
          <w:bCs/>
          <w:b/>
        </w:rPr>
        <w:t xml:space="preserve">dakṣiṇā</w:t>
      </w:r>
      <w:r>
        <w:rPr>
          <w:bCs/>
          <w:b/>
        </w:rPr>
        <w:t xml:space="preserve">)</w:t>
      </w:r>
      <w:r>
        <w:t xml:space="preserve">: the root</w:t>
      </w:r>
      <w:r>
        <w:t xml:space="preserve"> </w:t>
      </w:r>
      <w:r>
        <w:rPr>
          <w:iCs/>
          <w:i/>
        </w:rPr>
        <w:t xml:space="preserve">dakṣa vṛddhau</w:t>
      </w:r>
      <w:r>
        <w:t xml:space="preserve">. By</w:t>
      </w:r>
      <w:r>
        <w:t xml:space="preserve"> </w:t>
      </w:r>
      <w:r>
        <w:t xml:space="preserve">“</w:t>
      </w:r>
      <w:r>
        <w:t xml:space="preserve">drudakṣibhyām inan</w:t>
      </w:r>
      <w:r>
        <w:t xml:space="preserve">”</w:t>
      </w:r>
      <w:r>
        <w:t xml:space="preserve"> </w:t>
      </w:r>
      <w:r>
        <w:t xml:space="preserve">(Uṇ. sū.</w:t>
      </w:r>
      <w:r>
        <w:t xml:space="preserve"> </w:t>
      </w:r>
      <w:r>
        <w:t xml:space="preserve">“</w:t>
      </w:r>
      <w:r>
        <w:t xml:space="preserve">2-208</w:t>
      </w:r>
      <w:r>
        <w:t xml:space="preserve">”</w:t>
      </w:r>
      <w:r>
        <w:t xml:space="preserve"> </w:t>
      </w:r>
      <w:r>
        <w:t xml:space="preserve">[?]; the bhāṣya gives 2-50), after the roots</w:t>
      </w:r>
      <w:r>
        <w:t xml:space="preserve"> </w:t>
      </w:r>
      <w:r>
        <w:rPr>
          <w:iCs/>
          <w:i/>
        </w:rPr>
        <w:t xml:space="preserve">dru gatau</w:t>
      </w:r>
      <w:r>
        <w:t xml:space="preserve"> </w:t>
      </w:r>
      <w:r>
        <w:t xml:space="preserve">and</w:t>
      </w:r>
      <w:r>
        <w:t xml:space="preserve"> </w:t>
      </w:r>
      <w:r>
        <w:rPr>
          <w:iCs/>
          <w:i/>
        </w:rPr>
        <w:t xml:space="preserve">dakṣa vṛddhau</w:t>
      </w:r>
      <w:r>
        <w:t xml:space="preserve"> </w:t>
      </w:r>
      <w:r>
        <w:t xml:space="preserve">the suffix</w:t>
      </w:r>
      <w:r>
        <w:t xml:space="preserve"> </w:t>
      </w:r>
      <w:r>
        <w:rPr>
          <w:iCs/>
          <w:i/>
        </w:rPr>
        <w:t xml:space="preserve">inan</w:t>
      </w:r>
      <w:r>
        <w:t xml:space="preserve">; so after</w:t>
      </w:r>
      <w:r>
        <w:t xml:space="preserve"> </w:t>
      </w:r>
      <w:r>
        <w:rPr>
          <w:iCs/>
          <w:i/>
        </w:rPr>
        <w:t xml:space="preserve">dakṣ</w:t>
      </w:r>
      <w:r>
        <w:t xml:space="preserve"> </w:t>
      </w:r>
      <w:r>
        <w:t xml:space="preserve">the suffix</w:t>
      </w:r>
      <w:r>
        <w:t xml:space="preserve"> </w:t>
      </w:r>
      <w:r>
        <w:rPr>
          <w:iCs/>
          <w:i/>
        </w:rPr>
        <w:t xml:space="preserve">inan</w:t>
      </w:r>
      <w:r>
        <w:t xml:space="preserve">; the</w:t>
      </w:r>
      <w:r>
        <w:t xml:space="preserve"> </w:t>
      </w:r>
      <w:r>
        <w:rPr>
          <w:iCs/>
          <w:i/>
        </w:rPr>
        <w:t xml:space="preserve">n</w:t>
      </w:r>
      <w:r>
        <w:t xml:space="preserve"> </w:t>
      </w:r>
      <w:r>
        <w:t xml:space="preserve">of the suffix is called</w:t>
      </w:r>
      <w:r>
        <w:t xml:space="preserve"> </w:t>
      </w:r>
      <w:r>
        <w:rPr>
          <w:iCs/>
          <w:i/>
        </w:rPr>
        <w:t xml:space="preserve">it</w:t>
      </w:r>
      <w:r>
        <w:t xml:space="preserve">:</w:t>
      </w:r>
      <w:r>
        <w:t xml:space="preserve"> </w:t>
      </w:r>
      <w:r>
        <w:rPr>
          <w:iCs/>
          <w:i/>
        </w:rPr>
        <w:t xml:space="preserve">dakṣi</w:t>
      </w:r>
      <w:r>
        <w:t xml:space="preserve"> </w:t>
      </w:r>
      <w:r>
        <w:t xml:space="preserve">+</w:t>
      </w:r>
      <w:r>
        <w:t xml:space="preserve"> </w:t>
      </w:r>
      <w:r>
        <w:rPr>
          <w:iCs/>
          <w:i/>
        </w:rPr>
        <w:t xml:space="preserve">na</w:t>
      </w:r>
      <w:r>
        <w:t xml:space="preserve">; by</w:t>
      </w:r>
      <w:r>
        <w:t xml:space="preserve"> </w:t>
      </w:r>
      <w:r>
        <w:t xml:space="preserve">“</w:t>
      </w:r>
      <w:r>
        <w:t xml:space="preserve">aṭkupvāṅnum…</w:t>
      </w:r>
      <w:r>
        <w:t xml:space="preserve">”</w:t>
      </w:r>
      <w:r>
        <w:t xml:space="preserve"> </w:t>
      </w:r>
      <w:r>
        <w:t xml:space="preserve">(Pā. sū. 8-4-2)</w:t>
      </w:r>
      <w:r>
        <w:t xml:space="preserve"> </w:t>
      </w:r>
      <w:r>
        <w:rPr>
          <w:iCs/>
          <w:i/>
        </w:rPr>
        <w:t xml:space="preserve">ṇ</w:t>
      </w:r>
      <w:r>
        <w:t xml:space="preserve"> </w:t>
      </w:r>
      <w:r>
        <w:t xml:space="preserve">for</w:t>
      </w:r>
      <w:r>
        <w:t xml:space="preserve"> </w:t>
      </w:r>
      <w:r>
        <w:rPr>
          <w:iCs/>
          <w:i/>
        </w:rPr>
        <w:t xml:space="preserve">n</w:t>
      </w:r>
      <w:r>
        <w:t xml:space="preserve">. What is to be given in rites enjoined by the śāstra, such as sacrifice, is named</w:t>
      </w:r>
      <w:r>
        <w:t xml:space="preserve"> </w:t>
      </w:r>
      <w:r>
        <w:rPr>
          <w:iCs/>
          <w:i/>
        </w:rPr>
        <w:t xml:space="preserve">dakṣiṇā</w:t>
      </w:r>
      <w:r>
        <w:t xml:space="preserve">; in this sense it is feminine. The Medinī-kośa has</w:t>
      </w:r>
    </w:p>
    <w:p>
      <w:pPr>
        <w:pStyle w:val="BlockText"/>
      </w:pPr>
      <w:r>
        <w:t xml:space="preserve">द्रविणं न द्वयोर्वित्ते काञ्चने च पराक्रमे ।</w:t>
      </w:r>
      <w:r>
        <w:t xml:space="preserve"> </w:t>
      </w:r>
      <w:r>
        <w:t xml:space="preserve">दक्षिणा दक्षिणोद्भूतसरलच्छन्दवृत्तिषु ।</w:t>
      </w:r>
      <w:r>
        <w:t xml:space="preserve"> </w:t>
      </w:r>
      <w:r>
        <w:t xml:space="preserve">अवामे त्रिषु यज्ञादिविधिदाने दिशि स्त्रियाम् ॥</w:t>
      </w:r>
    </w:p>
    <w:p>
      <w:pPr>
        <w:pStyle w:val="BlockText"/>
      </w:pPr>
      <w:r>
        <w:rPr>
          <w:iCs/>
          <w:i/>
        </w:rPr>
        <w:t xml:space="preserve">draviṇaṃ na dvayorvitte kāñcane ca parākrame |</w:t>
      </w:r>
      <w:r>
        <w:t xml:space="preserve"> </w:t>
      </w:r>
      <w:r>
        <w:rPr>
          <w:iCs/>
          <w:i/>
        </w:rPr>
        <w:t xml:space="preserve">dakṣiṇā dakṣiṇodbhūtasaralacchandavṛttiṣu |</w:t>
      </w:r>
      <w:r>
        <w:t xml:space="preserve"> </w:t>
      </w:r>
      <w:r>
        <w:rPr>
          <w:iCs/>
          <w:i/>
        </w:rPr>
        <w:t xml:space="preserve">avāme triṣu yajñādividhidāne diśi striyām ||</w:t>
      </w:r>
    </w:p>
    <w:p>
      <w:pPr>
        <w:pStyle w:val="FirstParagraph"/>
      </w:pPr>
      <w:r>
        <w:t xml:space="preserve">(</w:t>
      </w:r>
      <w:r>
        <w:t xml:space="preserve">“</w:t>
      </w:r>
      <w:r>
        <w:rPr>
          <w:iCs/>
          <w:i/>
        </w:rPr>
        <w:t xml:space="preserve">Draviṇa</w:t>
      </w:r>
      <w:r>
        <w:t xml:space="preserve">, not of two genders, is wealth, gold and valour;</w:t>
      </w:r>
      <w:r>
        <w:t xml:space="preserve"> </w:t>
      </w:r>
      <w:r>
        <w:rPr>
          <w:iCs/>
          <w:i/>
        </w:rPr>
        <w:t xml:space="preserve">dakṣiṇā</w:t>
      </w:r>
      <w:r>
        <w:t xml:space="preserve"> </w:t>
      </w:r>
      <w:r>
        <w:t xml:space="preserve">… in the senses of south-born, straight, will and conduct; in the three genders for</w:t>
      </w:r>
      <w:r>
        <w:t xml:space="preserve"> </w:t>
      </w:r>
      <w:r>
        <w:t xml:space="preserve">‘</w:t>
      </w:r>
      <w:r>
        <w:t xml:space="preserve">not left</w:t>
      </w:r>
      <w:r>
        <w:t xml:space="preserve">’</w:t>
      </w:r>
      <w:r>
        <w:t xml:space="preserve">; feminine for the gift at a sacrifice and the like, and for the quarter</w:t>
      </w:r>
      <w:r>
        <w:t xml:space="preserve">”</w:t>
      </w:r>
      <w:r>
        <w:t xml:space="preserve">: mine and tentative; the lines are as printed.) So, with</w:t>
      </w:r>
      <w:r>
        <w:t xml:space="preserve"> </w:t>
      </w:r>
      <w:r>
        <w:rPr>
          <w:iCs/>
          <w:i/>
        </w:rPr>
        <w:t xml:space="preserve">ṭāp</w:t>
      </w:r>
      <w:r>
        <w:t xml:space="preserve"> </w:t>
      </w:r>
      <w:r>
        <w:t xml:space="preserve">by</w:t>
      </w:r>
      <w:r>
        <w:t xml:space="preserve"> </w:t>
      </w:r>
      <w:r>
        <w:t xml:space="preserve">“</w:t>
      </w:r>
      <w:r>
        <w:t xml:space="preserve">ajādyataṣ ṭāp</w:t>
      </w:r>
      <w:r>
        <w:t xml:space="preserve">”</w:t>
      </w:r>
      <w:r>
        <w:t xml:space="preserve"> </w:t>
      </w:r>
      <w:r>
        <w:t xml:space="preserve">(Pā. sū. 4-1-4) and lengthening of like vowels, it becomes</w:t>
      </w:r>
      <w:r>
        <w:t xml:space="preserve"> </w:t>
      </w:r>
      <w:r>
        <w:rPr>
          <w:iCs/>
          <w:i/>
        </w:rPr>
        <w:t xml:space="preserve">dakṣiṇā</w:t>
      </w:r>
      <w:r>
        <w:t xml:space="preserve">. Since</w:t>
      </w:r>
      <w:r>
        <w:t xml:space="preserve"> </w:t>
      </w:r>
      <w:r>
        <w:rPr>
          <w:iCs/>
          <w:i/>
        </w:rPr>
        <w:t xml:space="preserve">dakṣiṇa</w:t>
      </w:r>
      <w:r>
        <w:t xml:space="preserve"> </w:t>
      </w:r>
      <w:r>
        <w:t xml:space="preserve">ends in a suffix with</w:t>
      </w:r>
      <w:r>
        <w:t xml:space="preserve"> </w:t>
      </w:r>
      <w:r>
        <w:rPr>
          <w:iCs/>
          <w:i/>
        </w:rPr>
        <w:t xml:space="preserve">n</w:t>
      </w:r>
      <w:r>
        <w:t xml:space="preserve"> </w:t>
      </w:r>
      <w:r>
        <w:t xml:space="preserve">as</w:t>
      </w:r>
      <w:r>
        <w:t xml:space="preserve"> </w:t>
      </w:r>
      <w:r>
        <w:rPr>
          <w:iCs/>
          <w:i/>
        </w:rPr>
        <w:t xml:space="preserve">it</w:t>
      </w:r>
      <w:r>
        <w:t xml:space="preserve">, it is initial udātta by</w:t>
      </w:r>
      <w:r>
        <w:t xml:space="preserve"> </w:t>
      </w:r>
      <w:r>
        <w:t xml:space="preserve">“</w:t>
      </w:r>
      <w:r>
        <w:t xml:space="preserve">ñnityādir nityam</w:t>
      </w:r>
      <w:r>
        <w:t xml:space="preserve">”</w:t>
      </w:r>
      <w:r>
        <w:t xml:space="preserve"> </w:t>
      </w:r>
      <w:r>
        <w:t xml:space="preserve">(Pā. sū. 6-1-197).</w:t>
      </w:r>
    </w:p>
    <w:p>
      <w:pPr>
        <w:pStyle w:val="BodyText"/>
      </w:pPr>
      <w:r>
        <w:rPr>
          <w:bCs/>
          <w:b/>
        </w:rPr>
        <w:t xml:space="preserve">अंहसः (</w:t>
      </w:r>
      <w:r>
        <w:rPr>
          <w:iCs/>
          <w:i/>
          <w:bCs/>
          <w:b/>
        </w:rPr>
        <w:t xml:space="preserve">aṃhasaḥ</w:t>
      </w:r>
      <w:r>
        <w:rPr>
          <w:bCs/>
          <w:b/>
        </w:rPr>
        <w:t xml:space="preserve">)</w:t>
      </w:r>
      <w:r>
        <w:t xml:space="preserve">: initial udātta by</w:t>
      </w:r>
      <w:r>
        <w:t xml:space="preserve"> </w:t>
      </w:r>
      <w:r>
        <w:t xml:space="preserve">“</w:t>
      </w:r>
      <w:r>
        <w:t xml:space="preserve">nabviṣayasyānisantasya</w:t>
      </w:r>
      <w:r>
        <w:t xml:space="preserve">”</w:t>
      </w:r>
      <w:r>
        <w:t xml:space="preserve"> </w:t>
      </w:r>
      <w:r>
        <w:t xml:space="preserve">[no number printed].</w:t>
      </w:r>
    </w:p>
    <w:p>
      <w:pPr>
        <w:pStyle w:val="BodyText"/>
      </w:pPr>
      <w:r>
        <w:rPr>
          <w:bCs/>
          <w:b/>
        </w:rPr>
        <w:t xml:space="preserve">॥५॥</w:t>
      </w:r>
    </w:p>
    <w:p>
      <w:r>
        <w:pict>
          <v:rect style="width:0;height:1.5pt" o:hralign="center" o:hrstd="t" o:hr="t"/>
        </w:pict>
      </w:r>
    </w:p>
    <w:bookmarkEnd w:id="849"/>
    <w:bookmarkStart w:id="850" w:name="page-769-lower-sūkta-18-rik-6"/>
    <w:p>
      <w:pPr>
        <w:pStyle w:val="Heading3"/>
      </w:pPr>
      <w:r>
        <w:t xml:space="preserve">Page 769 (lower) — Sūkta 18, Rik 6</w:t>
      </w:r>
    </w:p>
    <w:p>
      <w:pPr>
        <w:pStyle w:val="FirstParagraph"/>
      </w:pPr>
      <w:r>
        <w:rPr>
          <w:iCs/>
          <w:i/>
        </w:rPr>
        <w:t xml:space="preserve">(Saṃhitā accents as printed; Pada unaccented. Deity: Sadasaspati.)</w:t>
      </w:r>
    </w:p>
    <w:p>
      <w:pPr>
        <w:pStyle w:val="BodyText"/>
      </w:pPr>
      <w:r>
        <w:rPr>
          <w:bCs/>
          <w:b/>
        </w:rPr>
        <w:t xml:space="preserve">॥ Saṃhitā-pāṭhaḥ ॥</w:t>
      </w:r>
    </w:p>
    <w:p>
      <w:pPr>
        <w:pStyle w:val="BlockText"/>
      </w:pPr>
      <w:r>
        <w:t xml:space="preserve">सद॑स॒स्पति॒मद्भु॑तं प्रि॒यमिन्द्र॑स्य॒ काम्य॑म् । [accent ?]</w:t>
      </w:r>
      <w:r>
        <w:t xml:space="preserve"> </w:t>
      </w:r>
      <w:r>
        <w:t xml:space="preserve">स॒निं मे॒धाम॑यासिषम् ॥६॥ [accent ?]</w:t>
      </w:r>
    </w:p>
    <w:p>
      <w:pPr>
        <w:pStyle w:val="BlockText"/>
      </w:pPr>
      <w:r>
        <w:rPr>
          <w:iCs/>
          <w:i/>
        </w:rPr>
        <w:t xml:space="preserve">sádasaspátim ádbhutaṃ priyám índrasya kā́myam |</w:t>
      </w:r>
      <w:r>
        <w:t xml:space="preserve"> </w:t>
      </w:r>
      <w:r>
        <w:t xml:space="preserve">[accent ?]</w:t>
      </w:r>
      <w:r>
        <w:t xml:space="preserve"> </w:t>
      </w:r>
      <w:r>
        <w:rPr>
          <w:iCs/>
          <w:i/>
        </w:rPr>
        <w:t xml:space="preserve">saníṃ medhā́m ayāsiṣam ||6||</w:t>
      </w:r>
      <w:r>
        <w:t xml:space="preserve"> </w:t>
      </w:r>
      <w:r>
        <w:t xml:space="preserve">[accent ?]</w:t>
      </w:r>
    </w:p>
    <w:p>
      <w:pPr>
        <w:pStyle w:val="FirstParagraph"/>
      </w:pPr>
      <w:r>
        <w:rPr>
          <w:iCs/>
          <w:i/>
        </w:rPr>
        <w:t xml:space="preserve">(Read as printed: strokes over द (सदस), द्भु, द्र and का, and in line 2 over म (मेधाम); bars under स (सदस), ति, प्रि, स्य, स (सनिं) and मे.)</w:t>
      </w:r>
    </w:p>
    <w:p>
      <w:pPr>
        <w:pStyle w:val="BodyText"/>
      </w:pPr>
      <w:r>
        <w:rPr>
          <w:bCs/>
          <w:b/>
        </w:rPr>
        <w:t xml:space="preserve">॥ Pada-pāṭhaḥ ॥</w:t>
      </w:r>
    </w:p>
    <w:p>
      <w:pPr>
        <w:pStyle w:val="BlockText"/>
      </w:pPr>
      <w:r>
        <w:t xml:space="preserve">सदसः । पतिम् । अद्भुतम् । प्रियम् । इन्द्रस्य । काम्यम् ॥</w:t>
      </w:r>
      <w:r>
        <w:t xml:space="preserve"> </w:t>
      </w:r>
      <w:r>
        <w:t xml:space="preserve">सनिम् । मेधाम् । अयासिषम् ॥६॥</w:t>
      </w:r>
    </w:p>
    <w:p>
      <w:pPr>
        <w:pStyle w:val="BlockText"/>
      </w:pPr>
      <w:r>
        <w:rPr>
          <w:iCs/>
          <w:i/>
        </w:rPr>
        <w:t xml:space="preserve">sadasaḥ | patim | adbhutam | priyam | indrasya | kāmyam ||</w:t>
      </w:r>
      <w:r>
        <w:t xml:space="preserve"> </w:t>
      </w:r>
      <w:r>
        <w:rPr>
          <w:iCs/>
          <w:i/>
        </w:rPr>
        <w:t xml:space="preserve">sanim | medhām | ayāsiṣam ||6||</w:t>
      </w:r>
    </w:p>
    <w:bookmarkEnd w:id="850"/>
    <w:bookmarkStart w:id="851" w:name="X4222e221cbe83d123da3e85a15157d21a8a2a97"/>
    <w:p>
      <w:pPr>
        <w:pStyle w:val="Heading3"/>
      </w:pPr>
      <w:r>
        <w:t xml:space="preserve">Page 770 — Rik 6: bhāṣya, word-meanings, overall sense, English</w:t>
      </w:r>
    </w:p>
    <w:p>
      <w:pPr>
        <w:pStyle w:val="FirstParagraph"/>
      </w:pPr>
      <w:r>
        <w:rPr>
          <w:bCs/>
          <w:b/>
        </w:rPr>
        <w:t xml:space="preserve">॥ Sāyaṇa-bhāṣyam ॥</w:t>
      </w:r>
    </w:p>
    <w:p>
      <w:pPr>
        <w:pStyle w:val="BlockText"/>
      </w:pPr>
      <w:r>
        <w:t xml:space="preserve">अनुप्रवचनीयचरोर्होमे सदसस्पतिमित्येषा विनियुक्ता । तथा च गृह्ये मेखलामाबध्येति खण्डे पठ्यते । आचार्यः समन्वारब्धे जुहुयात्सदसस्पतिमद्भुतम् । आ. गृ. १-२२-११ । इति ॥ मेधां लब्धुं सदसस्पतिमेतन्नामकं देवमयासिषम् । प्राप्तवानस्मि । कीदृशम् । अद्भुतमाश्चर्यकरम् । इन्द्रस्य प्रियं सोमपाने सहचारित्वात् । काम्यं कमनीयम् । सनिं धनस्य दातारम् ॥ सदसः । षद्लृ विशरणादौ । सर्वधातुभ्योऽसुन् । नित्त्वादाद्युदात्तः । पतिम् । पातेर्डतिः । उ. ४-५७ । टिलोपः । प्रत्ययस्वरः । प्रियम् । इगुपधज्ञाप्रीकिरः कः । इयङादेशः । प्रत्ययस्वरः । काम्यम् । कामयतेरचो यत् । णेरनिटीति णिलोपः । यतोऽनाव इत्याद्युदात्तत्वम् । सनिम् । षणु दाने । धात्वादेः षः सः । अच इरित्यनुवृत्तौ खनिकष्यञ्ज्यसिवसिवनिसनिध्वनिग्रन्थिचरिभ्यश्च । उ. ४-१४० । इति इप्रत्ययः । प्रत्ययस्वरः । अयासिषम् । या प्रापणे । लुङ् । मिपोऽमादेशः । यमरमनमातां सक् च । पा. ७-२-७३ । इति सिच इडागमः । धातोः सगागमः । निघातः ॥</w:t>
      </w:r>
    </w:p>
    <w:p>
      <w:pPr>
        <w:pStyle w:val="BlockText"/>
      </w:pPr>
      <w:r>
        <w:rPr>
          <w:iCs/>
          <w:i/>
        </w:rPr>
        <w:t xml:space="preserve">anupravacanīyacarorhome sadasaspatimityeṣā viniyuktā | tathā ca gṛhye mekhalāmābadhyeti khaṇḍe paṭhyate | ācāryaḥ samanvārabdhe juhuyātsadasaspatimadbhutam | ā. gṛ. 1-22-11 | iti || medhāṃ labdhuṃ sadasaspatimetannāmakaṃ devamayāsiṣam | prāptavānasmi | kīdṛśam | adbhutamāścaryakaram | indrasya priyaṃ somapāne sahacāritvāt | kāmyaṃ kamanīyam | saniṃ dhanasya dātāram || sadasaḥ | ṣadlṛ viśaraṇādau | sarvadhātubhyo ’sun | nittvādādyudāttaḥ | patim | pāterḍatiḥ | u. 4-57 | ṭilopaḥ | pratyayasvaraḥ | priyam | igupadhajñāprīkiraḥ kaḥ | iyaṅādeśaḥ | pratyayasvaraḥ | kāmyam | kāmayateraco yat | ṇeraniṭīti ṇilopaḥ | yato ’nāva ityādyudāttatvam | sanim | ṣaṇu dāne | dhātvādeḥ ṣaḥ saḥ | aca irityanuvṛttau khanikaṣyañjyasivasivanisanidhvanigranthicaribhyaśca | u. 4-140 | iti ipratyayaḥ | pratyayasvaraḥ | ayāsiṣam | yā prāpaṇe | luṅ | mipo ’mādeśaḥ | yamaramanamātāṃ sak ca | pā. 7-2-73 | iti sica iḍāgamaḥ | dhātoḥ sagāgamaḥ | nighātaḥ ||</w:t>
      </w:r>
    </w:p>
    <w:p>
      <w:pPr>
        <w:pStyle w:val="FirstParagraph"/>
      </w:pPr>
      <w:r>
        <w:rPr>
          <w:bCs/>
          <w:b/>
        </w:rPr>
        <w:t xml:space="preserve">Translation:</w:t>
      </w:r>
      <w:r>
        <w:t xml:space="preserve"> </w:t>
      </w:r>
      <w:r>
        <w:t xml:space="preserve">“</w:t>
      </w:r>
      <w:r>
        <w:t xml:space="preserve">This ṛk</w:t>
      </w:r>
      <w:r>
        <w:t xml:space="preserve"> </w:t>
      </w:r>
      <w:r>
        <w:rPr>
          <w:iCs/>
          <w:i/>
        </w:rPr>
        <w:t xml:space="preserve">sadasaspatim</w:t>
      </w:r>
      <w:r>
        <w:t xml:space="preserve"> </w:t>
      </w:r>
      <w:r>
        <w:t xml:space="preserve">is applied in the oblation of the</w:t>
      </w:r>
      <w:r>
        <w:t xml:space="preserve"> </w:t>
      </w:r>
      <w:r>
        <w:rPr>
          <w:iCs/>
          <w:i/>
        </w:rPr>
        <w:t xml:space="preserve">anupravacanīya</w:t>
      </w:r>
      <w:r>
        <w:t xml:space="preserve"> </w:t>
      </w:r>
      <w:r>
        <w:t xml:space="preserve">rice-pot. So it is read in the Gṛhya, in the section beginning</w:t>
      </w:r>
      <w:r>
        <w:t xml:space="preserve"> </w:t>
      </w:r>
      <w:r>
        <w:rPr>
          <w:iCs/>
          <w:i/>
        </w:rPr>
        <w:t xml:space="preserve">mekhalām ābadhya</w:t>
      </w:r>
      <w:r>
        <w:t xml:space="preserve">:</w:t>
      </w:r>
      <w:r>
        <w:t xml:space="preserve"> </w:t>
      </w:r>
      <w:r>
        <w:t xml:space="preserve">‘</w:t>
      </w:r>
      <w:r>
        <w:t xml:space="preserve">While the teacher is held on to, he should offer with</w:t>
      </w:r>
      <w:r>
        <w:t xml:space="preserve"> </w:t>
      </w:r>
      <w:r>
        <w:rPr>
          <w:iCs/>
          <w:i/>
        </w:rPr>
        <w:t xml:space="preserve">sadasaspatim adbhutam</w:t>
      </w:r>
      <w:r>
        <w:t xml:space="preserve">’</w:t>
      </w:r>
      <w:r>
        <w:t xml:space="preserve"> </w:t>
      </w:r>
      <w:r>
        <w:t xml:space="preserve">(Āśv. Gṛ. 1-22-11). To obtain</w:t>
      </w:r>
      <w:r>
        <w:t xml:space="preserve"> </w:t>
      </w:r>
      <w:r>
        <w:rPr>
          <w:iCs/>
          <w:i/>
        </w:rPr>
        <w:t xml:space="preserve">medhā</w:t>
      </w:r>
      <w:r>
        <w:t xml:space="preserve">, intelligence, I have</w:t>
      </w:r>
      <w:r>
        <w:t xml:space="preserve"> </w:t>
      </w:r>
      <w:r>
        <w:rPr>
          <w:iCs/>
          <w:i/>
        </w:rPr>
        <w:t xml:space="preserve">ayāsiṣam</w:t>
      </w:r>
      <w:r>
        <w:t xml:space="preserve">, approached, the god named Sadasaspati. Of what kind?</w:t>
      </w:r>
      <w:r>
        <w:t xml:space="preserve"> </w:t>
      </w:r>
      <w:r>
        <w:rPr>
          <w:iCs/>
          <w:i/>
        </w:rPr>
        <w:t xml:space="preserve">Adbhuta</w:t>
      </w:r>
      <w:r>
        <w:t xml:space="preserve">, causing wonder;</w:t>
      </w:r>
      <w:r>
        <w:t xml:space="preserve"> </w:t>
      </w:r>
      <w:r>
        <w:rPr>
          <w:iCs/>
          <w:i/>
        </w:rPr>
        <w:t xml:space="preserve">priya</w:t>
      </w:r>
      <w:r>
        <w:t xml:space="preserve">, dear, to Indra, as his companion in soma-drinking;</w:t>
      </w:r>
      <w:r>
        <w:t xml:space="preserve"> </w:t>
      </w:r>
      <w:r>
        <w:rPr>
          <w:iCs/>
          <w:i/>
        </w:rPr>
        <w:t xml:space="preserve">kāmya</w:t>
      </w:r>
      <w:r>
        <w:t xml:space="preserve">, lovely;</w:t>
      </w:r>
      <w:r>
        <w:t xml:space="preserve"> </w:t>
      </w:r>
      <w:r>
        <w:rPr>
          <w:iCs/>
          <w:i/>
        </w:rPr>
        <w:t xml:space="preserve">sani</w:t>
      </w:r>
      <w:r>
        <w:t xml:space="preserve">, a giver of wealth.</w:t>
      </w:r>
      <w:r>
        <w:t xml:space="preserve">”</w:t>
      </w:r>
      <w:r>
        <w:t xml:space="preserve"> </w:t>
      </w:r>
      <w:r>
        <w:t xml:space="preserve">(Grammatical tail:</w:t>
      </w:r>
      <w:r>
        <w:t xml:space="preserve"> </w:t>
      </w:r>
      <w:r>
        <w:rPr>
          <w:iCs/>
          <w:i/>
        </w:rPr>
        <w:t xml:space="preserve">sadasaḥ</w:t>
      </w:r>
      <w:r>
        <w:t xml:space="preserve">,</w:t>
      </w:r>
      <w:r>
        <w:t xml:space="preserve"> </w:t>
      </w:r>
      <w:r>
        <w:rPr>
          <w:iCs/>
          <w:i/>
        </w:rPr>
        <w:t xml:space="preserve">ṣadḷ viśaraṇādau</w:t>
      </w:r>
      <w:r>
        <w:t xml:space="preserve">,</w:t>
      </w:r>
      <w:r>
        <w:t xml:space="preserve"> </w:t>
      </w:r>
      <w:r>
        <w:rPr>
          <w:iCs/>
          <w:i/>
        </w:rPr>
        <w:t xml:space="preserve">asun</w:t>
      </w:r>
      <w:r>
        <w:t xml:space="preserve"> </w:t>
      </w:r>
      <w:r>
        <w:t xml:space="preserve">by</w:t>
      </w:r>
      <w:r>
        <w:t xml:space="preserve"> </w:t>
      </w:r>
      <w:r>
        <w:rPr>
          <w:iCs/>
          <w:i/>
        </w:rPr>
        <w:t xml:space="preserve">sarvadhātubhyo ’sun</w:t>
      </w:r>
      <w:r>
        <w:t xml:space="preserve">, initial udātta as</w:t>
      </w:r>
      <w:r>
        <w:t xml:space="preserve"> </w:t>
      </w:r>
      <w:r>
        <w:rPr>
          <w:iCs/>
          <w:i/>
        </w:rPr>
        <w:t xml:space="preserve">nit</w:t>
      </w:r>
      <w:r>
        <w:t xml:space="preserve">;</w:t>
      </w:r>
      <w:r>
        <w:t xml:space="preserve"> </w:t>
      </w:r>
      <w:r>
        <w:rPr>
          <w:iCs/>
          <w:i/>
        </w:rPr>
        <w:t xml:space="preserve">patim</w:t>
      </w:r>
      <w:r>
        <w:t xml:space="preserve">,</w:t>
      </w:r>
      <w:r>
        <w:t xml:space="preserve"> </w:t>
      </w:r>
      <w:r>
        <w:rPr>
          <w:iCs/>
          <w:i/>
        </w:rPr>
        <w:t xml:space="preserve">ḍati</w:t>
      </w:r>
      <w:r>
        <w:t xml:space="preserve"> </w:t>
      </w:r>
      <w:r>
        <w:t xml:space="preserve">by</w:t>
      </w:r>
      <w:r>
        <w:t xml:space="preserve"> </w:t>
      </w:r>
      <w:r>
        <w:rPr>
          <w:iCs/>
          <w:i/>
        </w:rPr>
        <w:t xml:space="preserve">pāter ḍatiḥ</w:t>
      </w:r>
      <w:r>
        <w:t xml:space="preserve"> </w:t>
      </w:r>
      <w:r>
        <w:t xml:space="preserve">(Uṇ. 4-57), the loss of the</w:t>
      </w:r>
      <w:r>
        <w:t xml:space="preserve"> </w:t>
      </w:r>
      <w:r>
        <w:rPr>
          <w:iCs/>
          <w:i/>
        </w:rPr>
        <w:t xml:space="preserve">ṭi</w:t>
      </w:r>
      <w:r>
        <w:t xml:space="preserve">, the suffix accent;</w:t>
      </w:r>
      <w:r>
        <w:t xml:space="preserve"> </w:t>
      </w:r>
      <w:r>
        <w:rPr>
          <w:iCs/>
          <w:i/>
        </w:rPr>
        <w:t xml:space="preserve">priyam</w:t>
      </w:r>
      <w:r>
        <w:t xml:space="preserve">,</w:t>
      </w:r>
      <w:r>
        <w:t xml:space="preserve"> </w:t>
      </w:r>
      <w:r>
        <w:rPr>
          <w:iCs/>
          <w:i/>
        </w:rPr>
        <w:t xml:space="preserve">ka</w:t>
      </w:r>
      <w:r>
        <w:t xml:space="preserve"> </w:t>
      </w:r>
      <w:r>
        <w:t xml:space="preserve">by</w:t>
      </w:r>
      <w:r>
        <w:t xml:space="preserve"> </w:t>
      </w:r>
      <w:r>
        <w:rPr>
          <w:iCs/>
          <w:i/>
        </w:rPr>
        <w:t xml:space="preserve">igupadhajñāprīkiraḥ kaḥ</w:t>
      </w:r>
      <w:r>
        <w:t xml:space="preserve">, the substitute</w:t>
      </w:r>
      <w:r>
        <w:t xml:space="preserve"> </w:t>
      </w:r>
      <w:r>
        <w:rPr>
          <w:iCs/>
          <w:i/>
        </w:rPr>
        <w:t xml:space="preserve">iyaṅ</w:t>
      </w:r>
      <w:r>
        <w:t xml:space="preserve">, the suffix accent;</w:t>
      </w:r>
      <w:r>
        <w:t xml:space="preserve"> </w:t>
      </w:r>
      <w:r>
        <w:rPr>
          <w:iCs/>
          <w:i/>
        </w:rPr>
        <w:t xml:space="preserve">kāmyam</w:t>
      </w:r>
      <w:r>
        <w:t xml:space="preserve">,</w:t>
      </w:r>
      <w:r>
        <w:t xml:space="preserve"> </w:t>
      </w:r>
      <w:r>
        <w:rPr>
          <w:iCs/>
          <w:i/>
        </w:rPr>
        <w:t xml:space="preserve">yat</w:t>
      </w:r>
      <w:r>
        <w:t xml:space="preserve"> </w:t>
      </w:r>
      <w:r>
        <w:t xml:space="preserve">by</w:t>
      </w:r>
      <w:r>
        <w:t xml:space="preserve"> </w:t>
      </w:r>
      <w:r>
        <w:rPr>
          <w:iCs/>
          <w:i/>
        </w:rPr>
        <w:t xml:space="preserve">aco yat</w:t>
      </w:r>
      <w:r>
        <w:t xml:space="preserve"> </w:t>
      </w:r>
      <w:r>
        <w:t xml:space="preserve">after the causative of</w:t>
      </w:r>
      <w:r>
        <w:t xml:space="preserve"> </w:t>
      </w:r>
      <w:r>
        <w:rPr>
          <w:iCs/>
          <w:i/>
        </w:rPr>
        <w:t xml:space="preserve">kam</w:t>
      </w:r>
      <w:r>
        <w:t xml:space="preserve">, the loss of</w:t>
      </w:r>
      <w:r>
        <w:t xml:space="preserve"> </w:t>
      </w:r>
      <w:r>
        <w:rPr>
          <w:iCs/>
          <w:i/>
        </w:rPr>
        <w:t xml:space="preserve">ṇi</w:t>
      </w:r>
      <w:r>
        <w:t xml:space="preserve"> </w:t>
      </w:r>
      <w:r>
        <w:t xml:space="preserve">by</w:t>
      </w:r>
      <w:r>
        <w:t xml:space="preserve"> </w:t>
      </w:r>
      <w:r>
        <w:rPr>
          <w:iCs/>
          <w:i/>
        </w:rPr>
        <w:t xml:space="preserve">ṇer aniṭi</w:t>
      </w:r>
      <w:r>
        <w:t xml:space="preserve">, initial udātta by</w:t>
      </w:r>
      <w:r>
        <w:t xml:space="preserve"> </w:t>
      </w:r>
      <w:r>
        <w:rPr>
          <w:iCs/>
          <w:i/>
        </w:rPr>
        <w:t xml:space="preserve">yato ’nāvaḥ</w:t>
      </w:r>
      <w:r>
        <w:t xml:space="preserve">;</w:t>
      </w:r>
      <w:r>
        <w:t xml:space="preserve"> </w:t>
      </w:r>
      <w:r>
        <w:rPr>
          <w:iCs/>
          <w:i/>
        </w:rPr>
        <w:t xml:space="preserve">sanim</w:t>
      </w:r>
      <w:r>
        <w:t xml:space="preserve">,</w:t>
      </w:r>
      <w:r>
        <w:t xml:space="preserve"> </w:t>
      </w:r>
      <w:r>
        <w:rPr>
          <w:iCs/>
          <w:i/>
        </w:rPr>
        <w:t xml:space="preserve">ṣaṇu dāne</w:t>
      </w:r>
      <w:r>
        <w:t xml:space="preserve">,</w:t>
      </w:r>
      <w:r>
        <w:t xml:space="preserve"> </w:t>
      </w:r>
      <w:r>
        <w:rPr>
          <w:iCs/>
          <w:i/>
        </w:rPr>
        <w:t xml:space="preserve">s</w:t>
      </w:r>
      <w:r>
        <w:t xml:space="preserve"> </w:t>
      </w:r>
      <w:r>
        <w:t xml:space="preserve">for</w:t>
      </w:r>
      <w:r>
        <w:t xml:space="preserve"> </w:t>
      </w:r>
      <w:r>
        <w:rPr>
          <w:iCs/>
          <w:i/>
        </w:rPr>
        <w:t xml:space="preserve">ṣ</w:t>
      </w:r>
      <w:r>
        <w:t xml:space="preserve">, the suffix</w:t>
      </w:r>
      <w:r>
        <w:t xml:space="preserve"> </w:t>
      </w:r>
      <w:r>
        <w:rPr>
          <w:iCs/>
          <w:i/>
        </w:rPr>
        <w:t xml:space="preserve">i</w:t>
      </w:r>
      <w:r>
        <w:t xml:space="preserve"> </w:t>
      </w:r>
      <w:r>
        <w:t xml:space="preserve">by Uṇ. 4-140 with</w:t>
      </w:r>
      <w:r>
        <w:t xml:space="preserve"> </w:t>
      </w:r>
      <w:r>
        <w:rPr>
          <w:iCs/>
          <w:i/>
        </w:rPr>
        <w:t xml:space="preserve">aca iḥ</w:t>
      </w:r>
      <w:r>
        <w:t xml:space="preserve"> </w:t>
      </w:r>
      <w:r>
        <w:t xml:space="preserve">carried on, the suffix accent;</w:t>
      </w:r>
      <w:r>
        <w:t xml:space="preserve"> </w:t>
      </w:r>
      <w:r>
        <w:rPr>
          <w:iCs/>
          <w:i/>
        </w:rPr>
        <w:t xml:space="preserve">ayāsiṣam</w:t>
      </w:r>
      <w:r>
        <w:t xml:space="preserve">,</w:t>
      </w:r>
      <w:r>
        <w:t xml:space="preserve"> </w:t>
      </w:r>
      <w:r>
        <w:rPr>
          <w:iCs/>
          <w:i/>
        </w:rPr>
        <w:t xml:space="preserve">yā prāpaṇe</w:t>
      </w:r>
      <w:r>
        <w:t xml:space="preserve">,</w:t>
      </w:r>
      <w:r>
        <w:t xml:space="preserve"> </w:t>
      </w:r>
      <w:r>
        <w:rPr>
          <w:iCs/>
          <w:i/>
        </w:rPr>
        <w:t xml:space="preserve">luṅ</w:t>
      </w:r>
      <w:r>
        <w:t xml:space="preserve">,</w:t>
      </w:r>
      <w:r>
        <w:t xml:space="preserve"> </w:t>
      </w:r>
      <w:r>
        <w:rPr>
          <w:iCs/>
          <w:i/>
        </w:rPr>
        <w:t xml:space="preserve">am</w:t>
      </w:r>
      <w:r>
        <w:t xml:space="preserve"> </w:t>
      </w:r>
      <w:r>
        <w:t xml:space="preserve">for</w:t>
      </w:r>
      <w:r>
        <w:t xml:space="preserve"> </w:t>
      </w:r>
      <w:r>
        <w:rPr>
          <w:iCs/>
          <w:i/>
        </w:rPr>
        <w:t xml:space="preserve">mip</w:t>
      </w:r>
      <w:r>
        <w:t xml:space="preserve">, the augment</w:t>
      </w:r>
      <w:r>
        <w:t xml:space="preserve"> </w:t>
      </w:r>
      <w:r>
        <w:rPr>
          <w:iCs/>
          <w:i/>
        </w:rPr>
        <w:t xml:space="preserve">iṭ</w:t>
      </w:r>
      <w:r>
        <w:t xml:space="preserve"> </w:t>
      </w:r>
      <w:r>
        <w:t xml:space="preserve">for</w:t>
      </w:r>
      <w:r>
        <w:t xml:space="preserve"> </w:t>
      </w:r>
      <w:r>
        <w:rPr>
          <w:iCs/>
          <w:i/>
        </w:rPr>
        <w:t xml:space="preserve">sic</w:t>
      </w:r>
      <w:r>
        <w:t xml:space="preserve"> </w:t>
      </w:r>
      <w:r>
        <w:t xml:space="preserve">by Pā. 7-2-73, the augment</w:t>
      </w:r>
      <w:r>
        <w:t xml:space="preserve"> </w:t>
      </w:r>
      <w:r>
        <w:rPr>
          <w:iCs/>
          <w:i/>
        </w:rPr>
        <w:t xml:space="preserve">sak</w:t>
      </w:r>
      <w:r>
        <w:t xml:space="preserve"> </w:t>
      </w:r>
      <w:r>
        <w:t xml:space="preserve">for the root, wholly unaccented.)</w:t>
      </w:r>
    </w:p>
    <w:p>
      <w:pPr>
        <w:pStyle w:val="BodyText"/>
      </w:pPr>
      <w:r>
        <w:rPr>
          <w:bCs/>
          <w:b/>
        </w:rPr>
        <w:t xml:space="preserve">॥ Prati-padārthaḥ ॥</w:t>
      </w:r>
    </w:p>
    <w:p>
      <w:pPr>
        <w:pStyle w:val="BodyText"/>
      </w:pPr>
      <w:r>
        <w:rPr>
          <w:bCs/>
          <w:b/>
        </w:rPr>
        <w:t xml:space="preserve">मेधाम् (medhām)</w:t>
      </w:r>
      <w:r>
        <w:t xml:space="preserve"> </w:t>
      </w:r>
      <w:r>
        <w:t xml:space="preserve">— the power of intelligence |</w:t>
      </w:r>
      <w:r>
        <w:t xml:space="preserve"> </w:t>
      </w:r>
      <w:r>
        <w:rPr>
          <w:bCs/>
          <w:b/>
        </w:rPr>
        <w:t xml:space="preserve">लब्धुम् (labdhum)</w:t>
      </w:r>
      <w:r>
        <w:t xml:space="preserve"> </w:t>
      </w:r>
      <w:r>
        <w:t xml:space="preserve">— to obtain |</w:t>
      </w:r>
      <w:r>
        <w:t xml:space="preserve"> </w:t>
      </w:r>
      <w:r>
        <w:rPr>
          <w:bCs/>
          <w:b/>
        </w:rPr>
        <w:t xml:space="preserve">अद्भुतम् (adbhutam)</w:t>
      </w:r>
      <w:r>
        <w:t xml:space="preserve"> </w:t>
      </w:r>
      <w:r>
        <w:t xml:space="preserve">— wonder-working |</w:t>
      </w:r>
      <w:r>
        <w:t xml:space="preserve"> </w:t>
      </w:r>
      <w:r>
        <w:rPr>
          <w:bCs/>
          <w:b/>
        </w:rPr>
        <w:t xml:space="preserve">इन्द्रस्य (indrasya)</w:t>
      </w:r>
      <w:r>
        <w:t xml:space="preserve"> </w:t>
      </w:r>
      <w:r>
        <w:t xml:space="preserve">— to Indra |</w:t>
      </w:r>
      <w:r>
        <w:t xml:space="preserve"> </w:t>
      </w:r>
      <w:r>
        <w:rPr>
          <w:bCs/>
          <w:b/>
        </w:rPr>
        <w:t xml:space="preserve">प्रियम् (priyam)</w:t>
      </w:r>
      <w:r>
        <w:t xml:space="preserve"> </w:t>
      </w:r>
      <w:r>
        <w:t xml:space="preserve">— dear |</w:t>
      </w:r>
      <w:r>
        <w:t xml:space="preserve"> </w:t>
      </w:r>
      <w:r>
        <w:rPr>
          <w:bCs/>
          <w:b/>
        </w:rPr>
        <w:t xml:space="preserve">काम्यम् (kāmyam)</w:t>
      </w:r>
      <w:r>
        <w:t xml:space="preserve"> </w:t>
      </w:r>
      <w:r>
        <w:t xml:space="preserve">— lovely |</w:t>
      </w:r>
      <w:r>
        <w:t xml:space="preserve"> </w:t>
      </w:r>
      <w:r>
        <w:rPr>
          <w:bCs/>
          <w:b/>
        </w:rPr>
        <w:t xml:space="preserve">सनिम् (sanim)</w:t>
      </w:r>
      <w:r>
        <w:t xml:space="preserve"> </w:t>
      </w:r>
      <w:r>
        <w:t xml:space="preserve">— giving wealth |</w:t>
      </w:r>
      <w:r>
        <w:t xml:space="preserve"> </w:t>
      </w:r>
      <w:r>
        <w:rPr>
          <w:bCs/>
          <w:b/>
        </w:rPr>
        <w:t xml:space="preserve">सदसस्पतिम् (sadasaspatim)</w:t>
      </w:r>
      <w:r>
        <w:t xml:space="preserve"> </w:t>
      </w:r>
      <w:r>
        <w:t xml:space="preserve">— the deity called Sadasaspati |</w:t>
      </w:r>
      <w:r>
        <w:t xml:space="preserve"> </w:t>
      </w:r>
      <w:r>
        <w:rPr>
          <w:bCs/>
          <w:b/>
        </w:rPr>
        <w:t xml:space="preserve">अयासिषम् (ayāsiṣam)</w:t>
      </w:r>
      <w:r>
        <w:t xml:space="preserve"> </w:t>
      </w:r>
      <w:r>
        <w:t xml:space="preserve">— I have approached (taken refuge with, or pray to).</w:t>
      </w:r>
    </w:p>
    <w:p>
      <w:pPr>
        <w:pStyle w:val="BodyText"/>
      </w:pPr>
      <w:r>
        <w:rPr>
          <w:bCs/>
          <w:b/>
        </w:rPr>
        <w:t xml:space="preserve">॥ Bhāvārthaḥ ॥</w:t>
      </w:r>
    </w:p>
    <w:p>
      <w:pPr>
        <w:pStyle w:val="BodyText"/>
      </w:pPr>
      <w:r>
        <w:t xml:space="preserve">I take refuge with (pray to) the deity called Sadasaspati, who is wonder-working, that is, does wondrous daring deeds, who is dear to Indra, of lovely form, and a giver of wealth, to obtain the power of intelligence.</w:t>
      </w:r>
    </w:p>
    <w:p>
      <w:pPr>
        <w:pStyle w:val="BodyText"/>
      </w:pPr>
      <w:r>
        <w:rPr>
          <w:bCs/>
          <w:b/>
        </w:rPr>
        <w:t xml:space="preserve">॥ English Translation ॥</w:t>
      </w:r>
      <w:r>
        <w:t xml:space="preserve"> </w:t>
      </w:r>
      <w:r>
        <w:rPr>
          <w:iCs/>
          <w:i/>
        </w:rPr>
        <w:t xml:space="preserve">(as printed in the source)</w:t>
      </w:r>
    </w:p>
    <w:p>
      <w:pPr>
        <w:pStyle w:val="BlockText"/>
      </w:pPr>
      <w:r>
        <w:t xml:space="preserve">I pray, for wisdom, Sadasaspati, the wonderful, the beloved of Indra, the dcsirable [sic], and the giver of riches.</w:t>
      </w:r>
    </w:p>
    <w:bookmarkEnd w:id="851"/>
    <w:bookmarkStart w:id="852" w:name="page-771-rik-6-special-topics"/>
    <w:p>
      <w:pPr>
        <w:pStyle w:val="Heading3"/>
      </w:pPr>
      <w:r>
        <w:t xml:space="preserve">Page 771 — Rik 6: Special Topics</w:t>
      </w:r>
    </w:p>
    <w:p>
      <w:pPr>
        <w:pStyle w:val="FirstParagraph"/>
      </w:pPr>
      <w:r>
        <w:rPr>
          <w:bCs/>
          <w:b/>
        </w:rPr>
        <w:t xml:space="preserve">॥ Viśeṣa-viṣayagaḷu (Special Topics) ॥</w:t>
      </w:r>
    </w:p>
    <w:p>
      <w:pPr>
        <w:pStyle w:val="BodyText"/>
      </w:pPr>
      <w:r>
        <w:t xml:space="preserve">Sadasaspati is the deity of this ṛk. In domestic rites such as marriage, this ṛk</w:t>
      </w:r>
      <w:r>
        <w:t xml:space="preserve"> </w:t>
      </w:r>
      <w:r>
        <w:rPr>
          <w:iCs/>
          <w:i/>
        </w:rPr>
        <w:t xml:space="preserve">sadasaspati</w:t>
      </w:r>
      <w:r>
        <w:t xml:space="preserve"> </w:t>
      </w:r>
      <w:r>
        <w:t xml:space="preserve">is recited when the oblation called the</w:t>
      </w:r>
      <w:r>
        <w:t xml:space="preserve"> </w:t>
      </w:r>
      <w:r>
        <w:rPr>
          <w:iCs/>
          <w:i/>
        </w:rPr>
        <w:t xml:space="preserve">anupravacanīya</w:t>
      </w:r>
      <w:r>
        <w:t xml:space="preserve"> </w:t>
      </w:r>
      <w:r>
        <w:t xml:space="preserve">rice-pot is made. In the Āśvalāyana Gṛhyasūtra, in the section</w:t>
      </w:r>
      <w:r>
        <w:t xml:space="preserve"> </w:t>
      </w:r>
      <w:r>
        <w:rPr>
          <w:iCs/>
          <w:i/>
        </w:rPr>
        <w:t xml:space="preserve">mekhalām ābadhya</w:t>
      </w:r>
      <w:r>
        <w:t xml:space="preserve">, the order of application of this ṛk is given as</w:t>
      </w:r>
      <w:r>
        <w:t xml:space="preserve"> </w:t>
      </w:r>
      <w:r>
        <w:rPr>
          <w:iCs/>
          <w:i/>
        </w:rPr>
        <w:t xml:space="preserve">ācāryaḥ samanvārabdhe juhuyāt sadasaspatim adbhutam</w:t>
      </w:r>
      <w:r>
        <w:t xml:space="preserve"> </w:t>
      </w:r>
      <w:r>
        <w:t xml:space="preserve">(Āś. Gṛ. 1-22-11).</w:t>
      </w:r>
    </w:p>
    <w:p>
      <w:pPr>
        <w:pStyle w:val="BodyText"/>
      </w:pPr>
      <w:r>
        <w:rPr>
          <w:bCs/>
          <w:b/>
        </w:rPr>
        <w:t xml:space="preserve">Sadasaspatim</w:t>
      </w:r>
      <w:r>
        <w:t xml:space="preserve">: the deity named Sadasaspati. To give the sense of the parts,</w:t>
      </w:r>
      <w:r>
        <w:t xml:space="preserve"> </w:t>
      </w:r>
      <w:r>
        <w:rPr>
          <w:iCs/>
          <w:i/>
        </w:rPr>
        <w:t xml:space="preserve">sadasaḥ patim</w:t>
      </w:r>
      <w:r>
        <w:t xml:space="preserve"> </w:t>
      </w:r>
      <w:r>
        <w:t xml:space="preserve">means the lord of the</w:t>
      </w:r>
      <w:r>
        <w:t xml:space="preserve"> </w:t>
      </w:r>
      <w:r>
        <w:rPr>
          <w:iCs/>
          <w:i/>
        </w:rPr>
        <w:t xml:space="preserve">sadas</w:t>
      </w:r>
      <w:r>
        <w:t xml:space="preserve"> </w:t>
      </w:r>
      <w:r>
        <w:t xml:space="preserve">or of the assembly. What Skandasvāmin says on this matter is acceptable:</w:t>
      </w:r>
    </w:p>
    <w:p>
      <w:pPr>
        <w:pStyle w:val="BlockText"/>
      </w:pPr>
      <w:r>
        <w:t xml:space="preserve">चतस्रः सादसस्पत्याः । सदः प्रसिद्धं यज्ञगृहं तस्याधिपतिः सदसस्पतिः । कोऽसौ । अग्निः । कुत एतत् । अग्नेः सर्वयज्ञाधिपतित्वात् । अपि च यज्ञसाधनहविष्कृतिसमर्थनाद्यग्निकर्मदर्शनात्तद्देवत्याश्चतस्रश्चर्चः । सदसस्पतिमग्निम् ॥</w:t>
      </w:r>
    </w:p>
    <w:p>
      <w:pPr>
        <w:pStyle w:val="BlockText"/>
      </w:pPr>
      <w:r>
        <w:rPr>
          <w:iCs/>
          <w:i/>
        </w:rPr>
        <w:t xml:space="preserve">catasraḥ sādasaspatyāḥ | sadaḥ prasiddhaṃ yajñagṛhaṃ tasyādhipatiḥ sadasaspatiḥ | ko ’sau | agniḥ | kuta etat | agneḥ sarvayajñādhipatitvāt | api ca yajñasādhanahaviṣkṛtisamarthanādyagnikarmadarśanāttaddevatyāścatasraścarcaḥ | sadasaspatimagnim ||</w:t>
      </w:r>
    </w:p>
    <w:p>
      <w:pPr>
        <w:pStyle w:val="FirstParagraph"/>
      </w:pPr>
      <w:r>
        <w:t xml:space="preserve">(</w:t>
      </w:r>
      <w:r>
        <w:t xml:space="preserve">“</w:t>
      </w:r>
      <w:r>
        <w:t xml:space="preserve">Four ṛks are to Sadasaspati.</w:t>
      </w:r>
      <w:r>
        <w:t xml:space="preserve"> </w:t>
      </w:r>
      <w:r>
        <w:rPr>
          <w:iCs/>
          <w:i/>
        </w:rPr>
        <w:t xml:space="preserve">Sadas</w:t>
      </w:r>
      <w:r>
        <w:t xml:space="preserve"> </w:t>
      </w:r>
      <w:r>
        <w:t xml:space="preserve">is the well-known sacrificial hall; its lord is Sadasaspati. Who is he? Agni. Why so? Because Agni is lord of all sacrifices; and also, since Agni’s acts, such as preparing the oblations, the means of sacrifice, are seen, the four ṛks have him as deity: Sadasaspati is Agni</w:t>
      </w:r>
      <w:r>
        <w:t xml:space="preserve">”</w:t>
      </w:r>
      <w:r>
        <w:t xml:space="preserve">: mine and tentative.) This ṛk and the three ṛks that follow, four ṛks in all, have Sadasaspati as deity.</w:t>
      </w:r>
      <w:r>
        <w:t xml:space="preserve"> </w:t>
      </w:r>
      <w:r>
        <w:rPr>
          <w:iCs/>
          <w:i/>
        </w:rPr>
        <w:t xml:space="preserve">Sadas</w:t>
      </w:r>
      <w:r>
        <w:t xml:space="preserve"> </w:t>
      </w:r>
      <w:r>
        <w:t xml:space="preserve">means the well-known sacrificial hall; since he is its lord, he is named Sadasaspati. Who is the lord of this hall? Agni. For Agni is well known as the lord of all sacrifices. Moreover, since these four ṛks set forth acts connected with Agni, such as preparing the oblation, the means of sacrifice, and the acts of Agni, it is beyond dispute that Sadasaspati is Agni. The name Sadasaspati is not found elsewhere in the Ṛgveda apart from these ṛks. Yāska too has said nothing about this Sadasaspati. So it must be accepted that what Skandasvāmin says is fitting.</w:t>
      </w:r>
    </w:p>
    <w:p>
      <w:pPr>
        <w:pStyle w:val="BodyText"/>
      </w:pPr>
      <w:r>
        <w:rPr>
          <w:bCs/>
          <w:b/>
        </w:rPr>
        <w:t xml:space="preserve">Adbhutam</w:t>
      </w:r>
      <w:r>
        <w:t xml:space="preserve">: the commentator says</w:t>
      </w:r>
      <w:r>
        <w:t xml:space="preserve"> </w:t>
      </w:r>
      <w:r>
        <w:rPr>
          <w:iCs/>
          <w:i/>
        </w:rPr>
        <w:t xml:space="preserve">āścaryakaram</w:t>
      </w:r>
      <w:r>
        <w:t xml:space="preserve">, wonder-working; Skandasvāmin explains the word as</w:t>
      </w:r>
      <w:r>
        <w:t xml:space="preserve"> </w:t>
      </w:r>
      <w:r>
        <w:rPr>
          <w:iCs/>
          <w:i/>
        </w:rPr>
        <w:t xml:space="preserve">mahāntam</w:t>
      </w:r>
      <w:r>
        <w:t xml:space="preserve">, great, excellent.</w:t>
      </w:r>
    </w:p>
    <w:p>
      <w:pPr>
        <w:pStyle w:val="BodyText"/>
      </w:pPr>
      <w:r>
        <w:rPr>
          <w:bCs/>
          <w:b/>
        </w:rPr>
        <w:t xml:space="preserve">Kāmyam</w:t>
      </w:r>
      <w:r>
        <w:t xml:space="preserve">:</w:t>
      </w:r>
      <w:r>
        <w:t xml:space="preserve"> </w:t>
      </w:r>
      <w:r>
        <w:rPr>
          <w:iCs/>
          <w:i/>
        </w:rPr>
        <w:t xml:space="preserve">kamanīyam</w:t>
      </w:r>
      <w:r>
        <w:t xml:space="preserve">, wished for, lovely. Skandasvāmin’s sense is</w:t>
      </w:r>
      <w:r>
        <w:t xml:space="preserve"> </w:t>
      </w:r>
      <w:r>
        <w:rPr>
          <w:iCs/>
          <w:i/>
        </w:rPr>
        <w:t xml:space="preserve">kāmyaṃ prārthayitavyaṃ stotṛṇām</w:t>
      </w:r>
      <w:r>
        <w:t xml:space="preserve">, worthy to be prayed to by the praisers.</w:t>
      </w:r>
    </w:p>
    <w:p>
      <w:pPr>
        <w:pStyle w:val="BodyText"/>
      </w:pPr>
      <w:r>
        <w:rPr>
          <w:bCs/>
          <w:b/>
        </w:rPr>
        <w:t xml:space="preserve">Sanim</w:t>
      </w:r>
      <w:r>
        <w:t xml:space="preserve">: this word, formed from the root</w:t>
      </w:r>
      <w:r>
        <w:t xml:space="preserve"> </w:t>
      </w:r>
      <w:r>
        <w:rPr>
          <w:iCs/>
          <w:i/>
        </w:rPr>
        <w:t xml:space="preserve">ṣaṇu dāne</w:t>
      </w:r>
      <w:r>
        <w:t xml:space="preserve">, may be taken as</w:t>
      </w:r>
      <w:r>
        <w:t xml:space="preserve"> </w:t>
      </w:r>
      <w:r>
        <w:rPr>
          <w:iCs/>
          <w:i/>
        </w:rPr>
        <w:t xml:space="preserve">dhanasya dātāram</w:t>
      </w:r>
      <w:r>
        <w:t xml:space="preserve">, Sadasaspati who gives wealth, or as</w:t>
      </w:r>
      <w:r>
        <w:t xml:space="preserve"> </w:t>
      </w:r>
      <w:r>
        <w:rPr>
          <w:iCs/>
          <w:i/>
        </w:rPr>
        <w:t xml:space="preserve">dhanadānam</w:t>
      </w:r>
      <w:r>
        <w:t xml:space="preserve">, Sadasaspati for the gift of wealth.</w:t>
      </w:r>
    </w:p>
    <w:p>
      <w:pPr>
        <w:pStyle w:val="BodyText"/>
      </w:pPr>
      <w:r>
        <w:rPr>
          <w:bCs/>
          <w:b/>
        </w:rPr>
        <w:t xml:space="preserve">Ayāsiṣam</w:t>
      </w:r>
      <w:r>
        <w:t xml:space="preserve">: this word, formed from the root</w:t>
      </w:r>
      <w:r>
        <w:t xml:space="preserve"> </w:t>
      </w:r>
      <w:r>
        <w:rPr>
          <w:iCs/>
          <w:i/>
        </w:rPr>
        <w:t xml:space="preserve">yā prāpaṇe</w:t>
      </w:r>
      <w:r>
        <w:t xml:space="preserve">, means</w:t>
      </w:r>
      <w:r>
        <w:t xml:space="preserve"> </w:t>
      </w:r>
      <w:r>
        <w:t xml:space="preserve">“</w:t>
      </w:r>
      <w:r>
        <w:t xml:space="preserve">I have reached</w:t>
      </w:r>
      <w:r>
        <w:t xml:space="preserve">”</w:t>
      </w:r>
      <w:r>
        <w:t xml:space="preserve"> </w:t>
      </w:r>
      <w:r>
        <w:t xml:space="preserve">or</w:t>
      </w:r>
      <w:r>
        <w:t xml:space="preserve"> </w:t>
      </w:r>
      <w:r>
        <w:t xml:space="preserve">“</w:t>
      </w:r>
      <w:r>
        <w:t xml:space="preserve">I have taken refuge with</w:t>
      </w:r>
      <w:r>
        <w:t xml:space="preserve">”</w:t>
      </w:r>
      <w:r>
        <w:t xml:space="preserve">: I have taken refuge with Sadasaspati for intelligence and gain of wealth.</w:t>
      </w:r>
    </w:p>
    <w:bookmarkEnd w:id="852"/>
    <w:bookmarkStart w:id="853" w:name="Xc6032799dee91533a784f6d14f9bec330779795"/>
    <w:p>
      <w:pPr>
        <w:pStyle w:val="Heading3"/>
      </w:pPr>
      <w:r>
        <w:t xml:space="preserve">Page 772 — Rik 6: Special Topics (end) and grammar</w:t>
      </w:r>
    </w:p>
    <w:p>
      <w:pPr>
        <w:pStyle w:val="FirstParagraph"/>
      </w:pPr>
      <w:r>
        <w:t xml:space="preserve">Since Skandasvāmin says in the Nirukta that words such as</w:t>
      </w:r>
      <w:r>
        <w:t xml:space="preserve"> </w:t>
      </w:r>
      <w:r>
        <w:rPr>
          <w:iCs/>
          <w:i/>
        </w:rPr>
        <w:t xml:space="preserve">īmahe</w:t>
      </w:r>
      <w:r>
        <w:t xml:space="preserve"> </w:t>
      </w:r>
      <w:r>
        <w:t xml:space="preserve">and</w:t>
      </w:r>
      <w:r>
        <w:t xml:space="preserve"> </w:t>
      </w:r>
      <w:r>
        <w:rPr>
          <w:iCs/>
          <w:i/>
        </w:rPr>
        <w:t xml:space="preserve">yāmi</w:t>
      </w:r>
      <w:r>
        <w:t xml:space="preserve"> </w:t>
      </w:r>
      <w:r>
        <w:t xml:space="preserve">are used in the sense of begging, he explains</w:t>
      </w:r>
      <w:r>
        <w:t xml:space="preserve"> </w:t>
      </w:r>
      <w:r>
        <w:rPr>
          <w:iCs/>
          <w:i/>
        </w:rPr>
        <w:t xml:space="preserve">ayāsiṣam</w:t>
      </w:r>
      <w:r>
        <w:t xml:space="preserve">, a variant form of the root</w:t>
      </w:r>
      <w:r>
        <w:t xml:space="preserve"> </w:t>
      </w:r>
      <w:r>
        <w:rPr>
          <w:iCs/>
          <w:i/>
        </w:rPr>
        <w:t xml:space="preserve">yā</w:t>
      </w:r>
      <w:r>
        <w:t xml:space="preserve">, as</w:t>
      </w:r>
      <w:r>
        <w:t xml:space="preserve"> </w:t>
      </w:r>
      <w:r>
        <w:rPr>
          <w:iCs/>
          <w:i/>
        </w:rPr>
        <w:t xml:space="preserve">yāce</w:t>
      </w:r>
      <w:r>
        <w:t xml:space="preserve">, I beg or pray.</w:t>
      </w:r>
    </w:p>
    <w:p>
      <w:pPr>
        <w:pStyle w:val="BodyText"/>
      </w:pPr>
      <w:r>
        <w:rPr>
          <w:bCs/>
          <w:b/>
        </w:rPr>
        <w:t xml:space="preserve">॥ Vyākaraṇa-prakriyā ॥</w:t>
      </w:r>
      <w:r>
        <w:t xml:space="preserve"> </w:t>
      </w:r>
      <w:r>
        <w:rPr>
          <w:iCs/>
          <w:i/>
        </w:rPr>
        <w:t xml:space="preserve">(grammar pages 772–773, noted briefly)</w:t>
      </w:r>
    </w:p>
    <w:p>
      <w:pPr>
        <w:pStyle w:val="BodyText"/>
      </w:pPr>
      <w:r>
        <w:rPr>
          <w:bCs/>
          <w:b/>
        </w:rPr>
        <w:t xml:space="preserve">सदसः (</w:t>
      </w:r>
      <w:r>
        <w:rPr>
          <w:iCs/>
          <w:i/>
          <w:bCs/>
          <w:b/>
        </w:rPr>
        <w:t xml:space="preserve">sadasaḥ</w:t>
      </w:r>
      <w:r>
        <w:rPr>
          <w:bCs/>
          <w:b/>
        </w:rPr>
        <w:t xml:space="preserve">)</w:t>
      </w:r>
      <w:r>
        <w:t xml:space="preserve">: the root</w:t>
      </w:r>
      <w:r>
        <w:t xml:space="preserve"> </w:t>
      </w:r>
      <w:r>
        <w:rPr>
          <w:iCs/>
          <w:i/>
        </w:rPr>
        <w:t xml:space="preserve">ṣadḷ viśaraṇagatyavasādaneṣu</w:t>
      </w:r>
      <w:r>
        <w:t xml:space="preserve">;</w:t>
      </w:r>
      <w:r>
        <w:t xml:space="preserve"> </w:t>
      </w:r>
      <w:r>
        <w:rPr>
          <w:iCs/>
          <w:i/>
        </w:rPr>
        <w:t xml:space="preserve">s</w:t>
      </w:r>
      <w:r>
        <w:t xml:space="preserve"> </w:t>
      </w:r>
      <w:r>
        <w:t xml:space="preserve">for</w:t>
      </w:r>
      <w:r>
        <w:t xml:space="preserve"> </w:t>
      </w:r>
      <w:r>
        <w:rPr>
          <w:iCs/>
          <w:i/>
        </w:rPr>
        <w:t xml:space="preserve">ṣ</w:t>
      </w:r>
      <w:r>
        <w:t xml:space="preserve"> </w:t>
      </w:r>
      <w:r>
        <w:t xml:space="preserve">by</w:t>
      </w:r>
      <w:r>
        <w:t xml:space="preserve"> </w:t>
      </w:r>
      <w:r>
        <w:rPr>
          <w:iCs/>
          <w:i/>
        </w:rPr>
        <w:t xml:space="preserve">dhātvādeḥ ṣaḥ saḥ</w:t>
      </w:r>
      <w:r>
        <w:t xml:space="preserve">; after</w:t>
      </w:r>
      <w:r>
        <w:t xml:space="preserve"> </w:t>
      </w:r>
      <w:r>
        <w:rPr>
          <w:iCs/>
          <w:i/>
        </w:rPr>
        <w:t xml:space="preserve">sad</w:t>
      </w:r>
      <w:r>
        <w:t xml:space="preserve"> </w:t>
      </w:r>
      <w:r>
        <w:t xml:space="preserve">the suffix</w:t>
      </w:r>
      <w:r>
        <w:t xml:space="preserve"> </w:t>
      </w:r>
      <w:r>
        <w:rPr>
          <w:iCs/>
          <w:i/>
        </w:rPr>
        <w:t xml:space="preserve">asun</w:t>
      </w:r>
      <w:r>
        <w:t xml:space="preserve"> </w:t>
      </w:r>
      <w:r>
        <w:t xml:space="preserve">by</w:t>
      </w:r>
      <w:r>
        <w:t xml:space="preserve"> </w:t>
      </w:r>
      <w:r>
        <w:rPr>
          <w:iCs/>
          <w:i/>
        </w:rPr>
        <w:t xml:space="preserve">sarvadhātubhyo ’sun</w:t>
      </w:r>
      <w:r>
        <w:t xml:space="preserve">. The suffix is</w:t>
      </w:r>
      <w:r>
        <w:t xml:space="preserve"> </w:t>
      </w:r>
      <w:r>
        <w:rPr>
          <w:iCs/>
          <w:i/>
        </w:rPr>
        <w:t xml:space="preserve">nit</w:t>
      </w:r>
      <w:r>
        <w:t xml:space="preserve">, so by</w:t>
      </w:r>
      <w:r>
        <w:t xml:space="preserve"> </w:t>
      </w:r>
      <w:r>
        <w:t xml:space="preserve">“</w:t>
      </w:r>
      <w:r>
        <w:t xml:space="preserve">ñnityādir nityam</w:t>
      </w:r>
      <w:r>
        <w:t xml:space="preserve">”</w:t>
      </w:r>
      <w:r>
        <w:t xml:space="preserve"> </w:t>
      </w:r>
      <w:r>
        <w:t xml:space="preserve">(Pā. sū. 6-1-197), whereby what ends in a suffix with</w:t>
      </w:r>
      <w:r>
        <w:t xml:space="preserve"> </w:t>
      </w:r>
      <w:r>
        <w:rPr>
          <w:iCs/>
          <w:i/>
        </w:rPr>
        <w:t xml:space="preserve">ñ</w:t>
      </w:r>
      <w:r>
        <w:t xml:space="preserve"> </w:t>
      </w:r>
      <w:r>
        <w:t xml:space="preserve">or</w:t>
      </w:r>
      <w:r>
        <w:t xml:space="preserve"> </w:t>
      </w:r>
      <w:r>
        <w:rPr>
          <w:iCs/>
          <w:i/>
        </w:rPr>
        <w:t xml:space="preserve">n</w:t>
      </w:r>
      <w:r>
        <w:t xml:space="preserve"> </w:t>
      </w:r>
      <w:r>
        <w:t xml:space="preserve">as</w:t>
      </w:r>
      <w:r>
        <w:t xml:space="preserve"> </w:t>
      </w:r>
      <w:r>
        <w:rPr>
          <w:iCs/>
          <w:i/>
        </w:rPr>
        <w:t xml:space="preserve">it</w:t>
      </w:r>
      <w:r>
        <w:t xml:space="preserve"> </w:t>
      </w:r>
      <w:r>
        <w:t xml:space="preserve">is initial udātta,</w:t>
      </w:r>
      <w:r>
        <w:t xml:space="preserve"> </w:t>
      </w:r>
      <w:r>
        <w:rPr>
          <w:iCs/>
          <w:i/>
        </w:rPr>
        <w:t xml:space="preserve">sadas</w:t>
      </w:r>
      <w:r>
        <w:t xml:space="preserve"> </w:t>
      </w:r>
      <w:r>
        <w:t xml:space="preserve">is initial udātta. When the genitive singular</w:t>
      </w:r>
      <w:r>
        <w:t xml:space="preserve"> </w:t>
      </w:r>
      <w:r>
        <w:rPr>
          <w:iCs/>
          <w:i/>
        </w:rPr>
        <w:t xml:space="preserve">ṅas</w:t>
      </w:r>
      <w:r>
        <w:t xml:space="preserve"> </w:t>
      </w:r>
      <w:r>
        <w:t xml:space="preserve">[as printed:</w:t>
      </w:r>
      <w:r>
        <w:t xml:space="preserve"> </w:t>
      </w:r>
      <w:r>
        <w:rPr>
          <w:iCs/>
          <w:i/>
        </w:rPr>
        <w:t xml:space="preserve">jas</w:t>
      </w:r>
      <w:r>
        <w:t xml:space="preserve">] comes,</w:t>
      </w:r>
      <w:r>
        <w:t xml:space="preserve"> </w:t>
      </w:r>
      <w:r>
        <w:rPr>
          <w:iCs/>
          <w:i/>
        </w:rPr>
        <w:t xml:space="preserve">sadas</w:t>
      </w:r>
      <w:r>
        <w:t xml:space="preserve"> </w:t>
      </w:r>
      <w:r>
        <w:t xml:space="preserve">+</w:t>
      </w:r>
      <w:r>
        <w:t xml:space="preserve"> </w:t>
      </w:r>
      <w:r>
        <w:rPr>
          <w:iCs/>
          <w:i/>
        </w:rPr>
        <w:t xml:space="preserve">as</w:t>
      </w:r>
      <w:r>
        <w:t xml:space="preserve">,</w:t>
      </w:r>
      <w:r>
        <w:t xml:space="preserve"> </w:t>
      </w:r>
      <w:r>
        <w:rPr>
          <w:iCs/>
          <w:i/>
        </w:rPr>
        <w:t xml:space="preserve">ru</w:t>
      </w:r>
      <w:r>
        <w:t xml:space="preserve"> </w:t>
      </w:r>
      <w:r>
        <w:t xml:space="preserve">and visarga:</w:t>
      </w:r>
      <w:r>
        <w:t xml:space="preserve"> </w:t>
      </w:r>
      <w:r>
        <w:rPr>
          <w:iCs/>
          <w:i/>
        </w:rPr>
        <w:t xml:space="preserve">sadasaḥ</w:t>
      </w:r>
      <w:r>
        <w:t xml:space="preserve">. After it stands the word</w:t>
      </w:r>
      <w:r>
        <w:t xml:space="preserve"> </w:t>
      </w:r>
      <w:r>
        <w:rPr>
          <w:iCs/>
          <w:i/>
        </w:rPr>
        <w:t xml:space="preserve">pati</w:t>
      </w:r>
      <w:r>
        <w:t xml:space="preserve">; so by</w:t>
      </w:r>
      <w:r>
        <w:t xml:space="preserve"> </w:t>
      </w:r>
      <w:r>
        <w:t xml:space="preserve">“</w:t>
      </w:r>
      <w:r>
        <w:t xml:space="preserve">ṣaṣṭhyāḥ patiputra…</w:t>
      </w:r>
      <w:r>
        <w:t xml:space="preserve">”</w:t>
      </w:r>
      <w:r>
        <w:t xml:space="preserve"> </w:t>
      </w:r>
      <w:r>
        <w:t xml:space="preserve">(Pā. sū. 8-3-53)</w:t>
      </w:r>
      <w:r>
        <w:t xml:space="preserve"> </w:t>
      </w:r>
      <w:r>
        <w:rPr>
          <w:iCs/>
          <w:i/>
        </w:rPr>
        <w:t xml:space="preserve">s</w:t>
      </w:r>
      <w:r>
        <w:t xml:space="preserve"> </w:t>
      </w:r>
      <w:r>
        <w:t xml:space="preserve">for the visarga.</w:t>
      </w:r>
    </w:p>
    <w:p>
      <w:pPr>
        <w:pStyle w:val="BodyText"/>
      </w:pPr>
      <w:r>
        <w:rPr>
          <w:bCs/>
          <w:b/>
        </w:rPr>
        <w:t xml:space="preserve">पतिम् (</w:t>
      </w:r>
      <w:r>
        <w:rPr>
          <w:iCs/>
          <w:i/>
          <w:bCs/>
          <w:b/>
        </w:rPr>
        <w:t xml:space="preserve">patim</w:t>
      </w:r>
      <w:r>
        <w:rPr>
          <w:bCs/>
          <w:b/>
        </w:rPr>
        <w:t xml:space="preserve">)</w:t>
      </w:r>
      <w:r>
        <w:t xml:space="preserve">: the root</w:t>
      </w:r>
      <w:r>
        <w:t xml:space="preserve"> </w:t>
      </w:r>
      <w:r>
        <w:rPr>
          <w:iCs/>
          <w:i/>
        </w:rPr>
        <w:t xml:space="preserve">pā rakṣaṇe</w:t>
      </w:r>
      <w:r>
        <w:t xml:space="preserve">. By</w:t>
      </w:r>
      <w:r>
        <w:t xml:space="preserve"> </w:t>
      </w:r>
      <w:r>
        <w:t xml:space="preserve">“</w:t>
      </w:r>
      <w:r>
        <w:t xml:space="preserve">pāter ḍatiḥ</w:t>
      </w:r>
      <w:r>
        <w:t xml:space="preserve">”</w:t>
      </w:r>
      <w:r>
        <w:t xml:space="preserve"> </w:t>
      </w:r>
      <w:r>
        <w:t xml:space="preserve">(Uṇ. sū.</w:t>
      </w:r>
      <w:r>
        <w:t xml:space="preserve"> </w:t>
      </w:r>
      <w:r>
        <w:t xml:space="preserve">“</w:t>
      </w:r>
      <w:r>
        <w:t xml:space="preserve">4-57</w:t>
      </w:r>
      <w:r>
        <w:t xml:space="preserve">”</w:t>
      </w:r>
      <w:r>
        <w:t xml:space="preserve"> </w:t>
      </w:r>
      <w:r>
        <w:t xml:space="preserve">[?]) the suffix</w:t>
      </w:r>
      <w:r>
        <w:t xml:space="preserve"> </w:t>
      </w:r>
      <w:r>
        <w:rPr>
          <w:iCs/>
          <w:i/>
        </w:rPr>
        <w:t xml:space="preserve">ḍati</w:t>
      </w:r>
      <w:r>
        <w:t xml:space="preserve"> </w:t>
      </w:r>
      <w:r>
        <w:t xml:space="preserve">comes after the root</w:t>
      </w:r>
      <w:r>
        <w:t xml:space="preserve"> </w:t>
      </w:r>
      <w:r>
        <w:rPr>
          <w:iCs/>
          <w:i/>
        </w:rPr>
        <w:t xml:space="preserve">pā rakṣaṇe</w:t>
      </w:r>
      <w:r>
        <w:t xml:space="preserve">; the</w:t>
      </w:r>
      <w:r>
        <w:t xml:space="preserve"> </w:t>
      </w:r>
      <w:r>
        <w:rPr>
          <w:iCs/>
          <w:i/>
        </w:rPr>
        <w:t xml:space="preserve">ḍ</w:t>
      </w:r>
      <w:r>
        <w:t xml:space="preserve"> </w:t>
      </w:r>
      <w:r>
        <w:t xml:space="preserve">at the start of the suffix is called</w:t>
      </w:r>
      <w:r>
        <w:t xml:space="preserve"> </w:t>
      </w:r>
      <w:r>
        <w:rPr>
          <w:iCs/>
          <w:i/>
        </w:rPr>
        <w:t xml:space="preserve">it</w:t>
      </w:r>
      <w:r>
        <w:t xml:space="preserve"> </w:t>
      </w:r>
      <w:r>
        <w:t xml:space="preserve">by</w:t>
      </w:r>
      <w:r>
        <w:t xml:space="preserve"> </w:t>
      </w:r>
      <w:r>
        <w:t xml:space="preserve">“</w:t>
      </w:r>
      <w:r>
        <w:t xml:space="preserve">cuṭū</w:t>
      </w:r>
      <w:r>
        <w:t xml:space="preserve">”</w:t>
      </w:r>
      <w:r>
        <w:t xml:space="preserve"> </w:t>
      </w:r>
      <w:r>
        <w:t xml:space="preserve">(Pā. sū. 1-3-7) and dropped by</w:t>
      </w:r>
      <w:r>
        <w:t xml:space="preserve"> </w:t>
      </w:r>
      <w:r>
        <w:t xml:space="preserve">“</w:t>
      </w:r>
      <w:r>
        <w:t xml:space="preserve">tasya lopaḥ</w:t>
      </w:r>
      <w:r>
        <w:t xml:space="preserve">”</w:t>
      </w:r>
      <w:r>
        <w:t xml:space="preserve"> </w:t>
      </w:r>
      <w:r>
        <w:t xml:space="preserve">(Pā. sū. 1-3-9):</w:t>
      </w:r>
      <w:r>
        <w:t xml:space="preserve"> </w:t>
      </w:r>
      <w:r>
        <w:rPr>
          <w:iCs/>
          <w:i/>
        </w:rPr>
        <w:t xml:space="preserve">pā</w:t>
      </w:r>
      <w:r>
        <w:t xml:space="preserve"> </w:t>
      </w:r>
      <w:r>
        <w:t xml:space="preserve">+</w:t>
      </w:r>
      <w:r>
        <w:t xml:space="preserve"> </w:t>
      </w:r>
      <w:r>
        <w:rPr>
          <w:iCs/>
          <w:i/>
        </w:rPr>
        <w:t xml:space="preserve">ati</w:t>
      </w:r>
      <w:r>
        <w:t xml:space="preserve">. By force of the suffix being made</w:t>
      </w:r>
      <w:r>
        <w:t xml:space="preserve"> </w:t>
      </w:r>
      <w:r>
        <w:rPr>
          <w:iCs/>
          <w:i/>
        </w:rPr>
        <w:t xml:space="preserve">ḍit</w:t>
      </w:r>
      <w:r>
        <w:t xml:space="preserve">, though the former has no</w:t>
      </w:r>
      <w:r>
        <w:t xml:space="preserve"> </w:t>
      </w:r>
      <w:r>
        <w:rPr>
          <w:iCs/>
          <w:i/>
        </w:rPr>
        <w:t xml:space="preserve">bha</w:t>
      </w:r>
      <w:r>
        <w:t xml:space="preserve"> </w:t>
      </w:r>
      <w:r>
        <w:t xml:space="preserve">name, by</w:t>
      </w:r>
      <w:r>
        <w:t xml:space="preserve"> </w:t>
      </w:r>
      <w:r>
        <w:t xml:space="preserve">“</w:t>
      </w:r>
      <w:r>
        <w:t xml:space="preserve">ṭeḥ</w:t>
      </w:r>
      <w:r>
        <w:t xml:space="preserve">”</w:t>
      </w:r>
      <w:r>
        <w:t xml:space="preserve"> </w:t>
      </w:r>
      <w:r>
        <w:t xml:space="preserve">(Pā. sū. 6-4-143) the</w:t>
      </w:r>
      <w:r>
        <w:t xml:space="preserve"> </w:t>
      </w:r>
      <w:r>
        <w:rPr>
          <w:iCs/>
          <w:i/>
        </w:rPr>
        <w:t xml:space="preserve">ā</w:t>
      </w:r>
      <w:r>
        <w:t xml:space="preserve"> </w:t>
      </w:r>
      <w:r>
        <w:t xml:space="preserve">of</w:t>
      </w:r>
      <w:r>
        <w:t xml:space="preserve"> </w:t>
      </w:r>
      <w:r>
        <w:rPr>
          <w:iCs/>
          <w:i/>
        </w:rPr>
        <w:t xml:space="preserve">pā</w:t>
      </w:r>
      <w:r>
        <w:t xml:space="preserve">, called</w:t>
      </w:r>
      <w:r>
        <w:t xml:space="preserve"> </w:t>
      </w:r>
      <w:r>
        <w:rPr>
          <w:iCs/>
          <w:i/>
        </w:rPr>
        <w:t xml:space="preserve">ṭi</w:t>
      </w:r>
      <w:r>
        <w:t xml:space="preserve">, drops:</w:t>
      </w:r>
      <w:r>
        <w:t xml:space="preserve"> </w:t>
      </w:r>
      <w:r>
        <w:rPr>
          <w:iCs/>
          <w:i/>
        </w:rPr>
        <w:t xml:space="preserve">pati</w:t>
      </w:r>
      <w:r>
        <w:t xml:space="preserve">. It is initial udātta [as printed] by the suffix accent.</w:t>
      </w:r>
    </w:p>
    <w:p>
      <w:pPr>
        <w:pStyle w:val="BodyText"/>
      </w:pPr>
      <w:r>
        <w:rPr>
          <w:bCs/>
          <w:b/>
        </w:rPr>
        <w:t xml:space="preserve">प्रियम् (</w:t>
      </w:r>
      <w:r>
        <w:rPr>
          <w:iCs/>
          <w:i/>
          <w:bCs/>
          <w:b/>
        </w:rPr>
        <w:t xml:space="preserve">priyam</w:t>
      </w:r>
      <w:r>
        <w:rPr>
          <w:bCs/>
          <w:b/>
        </w:rPr>
        <w:t xml:space="preserve">)</w:t>
      </w:r>
      <w:r>
        <w:t xml:space="preserve">: the root</w:t>
      </w:r>
      <w:r>
        <w:t xml:space="preserve"> </w:t>
      </w:r>
      <w:r>
        <w:rPr>
          <w:iCs/>
          <w:i/>
        </w:rPr>
        <w:t xml:space="preserve">prīñ tarpaṇe</w:t>
      </w:r>
      <w:r>
        <w:t xml:space="preserve">. Since the suffix</w:t>
      </w:r>
      <w:r>
        <w:t xml:space="preserve"> </w:t>
      </w:r>
      <w:r>
        <w:rPr>
          <w:iCs/>
          <w:i/>
        </w:rPr>
        <w:t xml:space="preserve">ka</w:t>
      </w:r>
      <w:r>
        <w:t xml:space="preserve"> </w:t>
      </w:r>
      <w:r>
        <w:t xml:space="preserve">comes after roots with</w:t>
      </w:r>
      <w:r>
        <w:t xml:space="preserve"> </w:t>
      </w:r>
      <w:r>
        <w:rPr>
          <w:iCs/>
          <w:i/>
        </w:rPr>
        <w:t xml:space="preserve">i</w:t>
      </w:r>
      <w:r>
        <w:t xml:space="preserve">,</w:t>
      </w:r>
      <w:r>
        <w:t xml:space="preserve"> </w:t>
      </w:r>
      <w:r>
        <w:rPr>
          <w:iCs/>
          <w:i/>
        </w:rPr>
        <w:t xml:space="preserve">u</w:t>
      </w:r>
      <w:r>
        <w:t xml:space="preserve">,</w:t>
      </w:r>
      <w:r>
        <w:t xml:space="preserve"> </w:t>
      </w:r>
      <w:r>
        <w:rPr>
          <w:iCs/>
          <w:i/>
        </w:rPr>
        <w:t xml:space="preserve">ṛ</w:t>
      </w:r>
      <w:r>
        <w:t xml:space="preserve">,</w:t>
      </w:r>
      <w:r>
        <w:t xml:space="preserve"> </w:t>
      </w:r>
      <w:r>
        <w:rPr>
          <w:iCs/>
          <w:i/>
        </w:rPr>
        <w:t xml:space="preserve">ḷ</w:t>
      </w:r>
      <w:r>
        <w:t xml:space="preserve"> </w:t>
      </w:r>
      <w:r>
        <w:t xml:space="preserve">in the penultimate and after</w:t>
      </w:r>
      <w:r>
        <w:t xml:space="preserve"> </w:t>
      </w:r>
      <w:r>
        <w:rPr>
          <w:iCs/>
          <w:i/>
        </w:rPr>
        <w:t xml:space="preserve">jñā avabodhane</w:t>
      </w:r>
      <w:r>
        <w:t xml:space="preserve">,</w:t>
      </w:r>
      <w:r>
        <w:t xml:space="preserve"> </w:t>
      </w:r>
      <w:r>
        <w:rPr>
          <w:iCs/>
          <w:i/>
        </w:rPr>
        <w:t xml:space="preserve">prīñ tarpaṇe</w:t>
      </w:r>
      <w:r>
        <w:t xml:space="preserve"> </w:t>
      </w:r>
      <w:r>
        <w:t xml:space="preserve">and</w:t>
      </w:r>
      <w:r>
        <w:t xml:space="preserve"> </w:t>
      </w:r>
      <w:r>
        <w:rPr>
          <w:iCs/>
          <w:i/>
        </w:rPr>
        <w:t xml:space="preserve">kṝ vikṣepe</w:t>
      </w:r>
      <w:r>
        <w:t xml:space="preserve">, the suffix</w:t>
      </w:r>
      <w:r>
        <w:t xml:space="preserve"> </w:t>
      </w:r>
      <w:r>
        <w:rPr>
          <w:iCs/>
          <w:i/>
        </w:rPr>
        <w:t xml:space="preserve">ka</w:t>
      </w:r>
      <w:r>
        <w:t xml:space="preserve"> </w:t>
      </w:r>
      <w:r>
        <w:t xml:space="preserve">after</w:t>
      </w:r>
      <w:r>
        <w:t xml:space="preserve"> </w:t>
      </w:r>
      <w:r>
        <w:rPr>
          <w:iCs/>
          <w:i/>
        </w:rPr>
        <w:t xml:space="preserve">prī</w:t>
      </w:r>
      <w:r>
        <w:t xml:space="preserve">. By</w:t>
      </w:r>
      <w:r>
        <w:t xml:space="preserve"> </w:t>
      </w:r>
      <w:r>
        <w:t xml:space="preserve">“</w:t>
      </w:r>
      <w:r>
        <w:t xml:space="preserve">laśakv ataddhite</w:t>
      </w:r>
      <w:r>
        <w:t xml:space="preserve">”</w:t>
      </w:r>
      <w:r>
        <w:t xml:space="preserve"> </w:t>
      </w:r>
      <w:r>
        <w:t xml:space="preserve">(Pā. sū. 1-3-8) the</w:t>
      </w:r>
      <w:r>
        <w:t xml:space="preserve"> </w:t>
      </w:r>
      <w:r>
        <w:rPr>
          <w:iCs/>
          <w:i/>
        </w:rPr>
        <w:t xml:space="preserve">k</w:t>
      </w:r>
      <w:r>
        <w:t xml:space="preserve"> </w:t>
      </w:r>
      <w:r>
        <w:t xml:space="preserve">is called</w:t>
      </w:r>
      <w:r>
        <w:t xml:space="preserve"> </w:t>
      </w:r>
      <w:r>
        <w:rPr>
          <w:iCs/>
          <w:i/>
        </w:rPr>
        <w:t xml:space="preserve">it</w:t>
      </w:r>
      <w:r>
        <w:t xml:space="preserve"> </w:t>
      </w:r>
      <w:r>
        <w:t xml:space="preserve">and dropped:</w:t>
      </w:r>
      <w:r>
        <w:t xml:space="preserve"> </w:t>
      </w:r>
      <w:r>
        <w:rPr>
          <w:iCs/>
          <w:i/>
        </w:rPr>
        <w:t xml:space="preserve">prī</w:t>
      </w:r>
      <w:r>
        <w:t xml:space="preserve"> </w:t>
      </w:r>
      <w:r>
        <w:t xml:space="preserve">+</w:t>
      </w:r>
      <w:r>
        <w:t xml:space="preserve"> </w:t>
      </w:r>
      <w:r>
        <w:rPr>
          <w:iCs/>
          <w:i/>
        </w:rPr>
        <w:t xml:space="preserve">a</w:t>
      </w:r>
      <w:r>
        <w:t xml:space="preserve">. By</w:t>
      </w:r>
      <w:r>
        <w:t xml:space="preserve"> </w:t>
      </w:r>
      <w:r>
        <w:t xml:space="preserve">“</w:t>
      </w:r>
      <w:r>
        <w:t xml:space="preserve">aci śnudhātubhruvāṃ yvor iyaṅuvaṅau</w:t>
      </w:r>
      <w:r>
        <w:t xml:space="preserve">”</w:t>
      </w:r>
      <w:r>
        <w:t xml:space="preserve"> </w:t>
      </w:r>
      <w:r>
        <w:t xml:space="preserve">(Pā. sū. 6-4-77) the substitute</w:t>
      </w:r>
      <w:r>
        <w:t xml:space="preserve"> </w:t>
      </w:r>
      <w:r>
        <w:rPr>
          <w:iCs/>
          <w:i/>
        </w:rPr>
        <w:t xml:space="preserve">iyaṅ</w:t>
      </w:r>
      <w:r>
        <w:t xml:space="preserve"> </w:t>
      </w:r>
      <w:r>
        <w:t xml:space="preserve">for the</w:t>
      </w:r>
      <w:r>
        <w:t xml:space="preserve"> </w:t>
      </w:r>
      <w:r>
        <w:rPr>
          <w:iCs/>
          <w:i/>
        </w:rPr>
        <w:t xml:space="preserve">ī</w:t>
      </w:r>
      <w:r>
        <w:t xml:space="preserve">:</w:t>
      </w:r>
      <w:r>
        <w:t xml:space="preserve"> </w:t>
      </w:r>
      <w:r>
        <w:rPr>
          <w:iCs/>
          <w:i/>
        </w:rPr>
        <w:t xml:space="preserve">priya</w:t>
      </w:r>
      <w:r>
        <w:t xml:space="preserve">. This is final udātta by the suffix accent; accusative singular</w:t>
      </w:r>
      <w:r>
        <w:t xml:space="preserve"> </w:t>
      </w:r>
      <w:r>
        <w:rPr>
          <w:iCs/>
          <w:i/>
        </w:rPr>
        <w:t xml:space="preserve">am</w:t>
      </w:r>
      <w:r>
        <w:t xml:space="preserve">; the</w:t>
      </w:r>
      <w:r>
        <w:t xml:space="preserve"> </w:t>
      </w:r>
      <w:r>
        <w:rPr>
          <w:iCs/>
          <w:i/>
        </w:rPr>
        <w:t xml:space="preserve">pūrvarūpa</w:t>
      </w:r>
      <w:r>
        <w:t xml:space="preserve"> </w:t>
      </w:r>
      <w:r>
        <w:t xml:space="preserve">by</w:t>
      </w:r>
      <w:r>
        <w:t xml:space="preserve"> </w:t>
      </w:r>
      <w:r>
        <w:t xml:space="preserve">“</w:t>
      </w:r>
      <w:r>
        <w:t xml:space="preserve">ami pūrvaḥ</w:t>
      </w:r>
      <w:r>
        <w:t xml:space="preserve">”</w:t>
      </w:r>
      <w:r>
        <w:t xml:space="preserve"> </w:t>
      </w:r>
      <w:r>
        <w:t xml:space="preserve">(Pā. sū. 6-1-107).</w:t>
      </w:r>
    </w:p>
    <w:p>
      <w:pPr>
        <w:pStyle w:val="BodyText"/>
      </w:pPr>
      <w:r>
        <w:rPr>
          <w:bCs/>
          <w:b/>
        </w:rPr>
        <w:t xml:space="preserve">काम्यम् (</w:t>
      </w:r>
      <w:r>
        <w:rPr>
          <w:iCs/>
          <w:i/>
          <w:bCs/>
          <w:b/>
        </w:rPr>
        <w:t xml:space="preserve">kāmyam</w:t>
      </w:r>
      <w:r>
        <w:rPr>
          <w:bCs/>
          <w:b/>
        </w:rPr>
        <w:t xml:space="preserve">)</w:t>
      </w:r>
      <w:r>
        <w:t xml:space="preserve">: the root</w:t>
      </w:r>
      <w:r>
        <w:t xml:space="preserve"> </w:t>
      </w:r>
      <w:r>
        <w:rPr>
          <w:iCs/>
          <w:i/>
        </w:rPr>
        <w:t xml:space="preserve">kamu kāntau</w:t>
      </w:r>
      <w:r>
        <w:t xml:space="preserve">;</w:t>
      </w:r>
      <w:r>
        <w:t xml:space="preserve"> </w:t>
      </w:r>
      <w:r>
        <w:rPr>
          <w:iCs/>
          <w:i/>
        </w:rPr>
        <w:t xml:space="preserve">kānti</w:t>
      </w:r>
      <w:r>
        <w:t xml:space="preserve"> </w:t>
      </w:r>
      <w:r>
        <w:t xml:space="preserve">means wish. By</w:t>
      </w:r>
      <w:r>
        <w:t xml:space="preserve"> </w:t>
      </w:r>
      <w:r>
        <w:t xml:space="preserve">“</w:t>
      </w:r>
      <w:r>
        <w:t xml:space="preserve">kamer ṇiṅ</w:t>
      </w:r>
      <w:r>
        <w:t xml:space="preserve">”</w:t>
      </w:r>
      <w:r>
        <w:t xml:space="preserve"> </w:t>
      </w:r>
      <w:r>
        <w:t xml:space="preserve">(Pā. sū. 3-1-30)</w:t>
      </w:r>
      <w:r>
        <w:t xml:space="preserve"> </w:t>
      </w:r>
      <w:r>
        <w:rPr>
          <w:iCs/>
          <w:i/>
        </w:rPr>
        <w:t xml:space="preserve">ṇiṅ</w:t>
      </w:r>
      <w:r>
        <w:t xml:space="preserve"> </w:t>
      </w:r>
      <w:r>
        <w:t xml:space="preserve">in the sense of the root itself:</w:t>
      </w:r>
      <w:r>
        <w:t xml:space="preserve"> </w:t>
      </w:r>
      <w:r>
        <w:rPr>
          <w:iCs/>
          <w:i/>
        </w:rPr>
        <w:t xml:space="preserve">kam</w:t>
      </w:r>
      <w:r>
        <w:t xml:space="preserve"> </w:t>
      </w:r>
      <w:r>
        <w:t xml:space="preserve">+</w:t>
      </w:r>
      <w:r>
        <w:t xml:space="preserve"> </w:t>
      </w:r>
      <w:r>
        <w:rPr>
          <w:iCs/>
          <w:i/>
        </w:rPr>
        <w:t xml:space="preserve">i</w:t>
      </w:r>
      <w:r>
        <w:t xml:space="preserve">. By</w:t>
      </w:r>
      <w:r>
        <w:t xml:space="preserve"> </w:t>
      </w:r>
      <w:r>
        <w:t xml:space="preserve">“</w:t>
      </w:r>
      <w:r>
        <w:t xml:space="preserve">ata upadhāyāḥ</w:t>
      </w:r>
      <w:r>
        <w:t xml:space="preserve">”</w:t>
      </w:r>
      <w:r>
        <w:t xml:space="preserve"> </w:t>
      </w:r>
      <w:r>
        <w:t xml:space="preserve">(Pā. sū. 7-2-116)</w:t>
      </w:r>
      <w:r>
        <w:t xml:space="preserve"> </w:t>
      </w:r>
      <w:r>
        <w:rPr>
          <w:iCs/>
          <w:i/>
        </w:rPr>
        <w:t xml:space="preserve">vṛddhi</w:t>
      </w:r>
      <w:r>
        <w:t xml:space="preserve"> </w:t>
      </w:r>
      <w:r>
        <w:t xml:space="preserve">of the penultimate:</w:t>
      </w:r>
      <w:r>
        <w:t xml:space="preserve"> </w:t>
      </w:r>
      <w:r>
        <w:rPr>
          <w:iCs/>
          <w:i/>
        </w:rPr>
        <w:t xml:space="preserve">kāmi</w:t>
      </w:r>
      <w:r>
        <w:t xml:space="preserve">. This is vowel-final, so by</w:t>
      </w:r>
      <w:r>
        <w:t xml:space="preserve"> </w:t>
      </w:r>
      <w:r>
        <w:t xml:space="preserve">“</w:t>
      </w:r>
      <w:r>
        <w:t xml:space="preserve">aco yat</w:t>
      </w:r>
      <w:r>
        <w:t xml:space="preserve">”</w:t>
      </w:r>
      <w:r>
        <w:t xml:space="preserve"> </w:t>
      </w:r>
      <w:r>
        <w:t xml:space="preserve">(Pā. sū. 3-1-97), whereby</w:t>
      </w:r>
      <w:r>
        <w:t xml:space="preserve"> </w:t>
      </w:r>
      <w:r>
        <w:rPr>
          <w:iCs/>
          <w:i/>
        </w:rPr>
        <w:t xml:space="preserve">yat</w:t>
      </w:r>
      <w:r>
        <w:t xml:space="preserve"> </w:t>
      </w:r>
      <w:r>
        <w:t xml:space="preserve">comes after a vowel-final root, the suffix</w:t>
      </w:r>
      <w:r>
        <w:t xml:space="preserve"> </w:t>
      </w:r>
      <w:r>
        <w:rPr>
          <w:iCs/>
          <w:i/>
        </w:rPr>
        <w:t xml:space="preserve">yat</w:t>
      </w:r>
      <w:r>
        <w:t xml:space="preserve">:</w:t>
      </w:r>
      <w:r>
        <w:t xml:space="preserve"> </w:t>
      </w:r>
      <w:r>
        <w:rPr>
          <w:iCs/>
          <w:i/>
        </w:rPr>
        <w:t xml:space="preserve">kām</w:t>
      </w:r>
      <w:r>
        <w:t xml:space="preserve"> </w:t>
      </w:r>
      <w:r>
        <w:t xml:space="preserve">+</w:t>
      </w:r>
      <w:r>
        <w:t xml:space="preserve"> </w:t>
      </w:r>
      <w:r>
        <w:rPr>
          <w:iCs/>
          <w:i/>
        </w:rPr>
        <w:t xml:space="preserve">i</w:t>
      </w:r>
      <w:r>
        <w:t xml:space="preserve"> </w:t>
      </w:r>
      <w:r>
        <w:t xml:space="preserve">+</w:t>
      </w:r>
      <w:r>
        <w:t xml:space="preserve"> </w:t>
      </w:r>
      <w:r>
        <w:rPr>
          <w:iCs/>
          <w:i/>
        </w:rPr>
        <w:t xml:space="preserve">ya</w:t>
      </w:r>
      <w:r>
        <w:t xml:space="preserve">. By</w:t>
      </w:r>
      <w:r>
        <w:t xml:space="preserve"> </w:t>
      </w:r>
      <w:r>
        <w:t xml:space="preserve">“</w:t>
      </w:r>
      <w:r>
        <w:t xml:space="preserve">ṇer aniṭi</w:t>
      </w:r>
      <w:r>
        <w:t xml:space="preserve">”</w:t>
      </w:r>
      <w:r>
        <w:t xml:space="preserve"> </w:t>
      </w:r>
      <w:r>
        <w:t xml:space="preserve">(Pā. sū. 6-4-51), when an</w:t>
      </w:r>
      <w:r>
        <w:t xml:space="preserve"> </w:t>
      </w:r>
      <w:r>
        <w:rPr>
          <w:iCs/>
          <w:i/>
        </w:rPr>
        <w:t xml:space="preserve">ārdhadhātuka</w:t>
      </w:r>
      <w:r>
        <w:t xml:space="preserve"> </w:t>
      </w:r>
      <w:r>
        <w:t xml:space="preserve">without</w:t>
      </w:r>
      <w:r>
        <w:t xml:space="preserve"> </w:t>
      </w:r>
      <w:r>
        <w:rPr>
          <w:iCs/>
          <w:i/>
        </w:rPr>
        <w:t xml:space="preserve">iṭ</w:t>
      </w:r>
      <w:r>
        <w:t xml:space="preserve"> </w:t>
      </w:r>
      <w:r>
        <w:t xml:space="preserve">follows,</w:t>
      </w:r>
      <w:r>
        <w:t xml:space="preserve"> </w:t>
      </w:r>
      <w:r>
        <w:rPr>
          <w:iCs/>
          <w:i/>
        </w:rPr>
        <w:t xml:space="preserve">ṇi</w:t>
      </w:r>
      <w:r>
        <w:t xml:space="preserve"> </w:t>
      </w:r>
      <w:r>
        <w:t xml:space="preserve">is dropped:</w:t>
      </w:r>
      <w:r>
        <w:t xml:space="preserve"> </w:t>
      </w:r>
      <w:r>
        <w:rPr>
          <w:iCs/>
          <w:i/>
        </w:rPr>
        <w:t xml:space="preserve">kāmya</w:t>
      </w:r>
      <w:r>
        <w:t xml:space="preserve">. By</w:t>
      </w:r>
      <w:r>
        <w:t xml:space="preserve"> </w:t>
      </w:r>
      <w:r>
        <w:t xml:space="preserve">“</w:t>
      </w:r>
      <w:r>
        <w:t xml:space="preserve">yato ’nāvaḥ</w:t>
      </w:r>
      <w:r>
        <w:t xml:space="preserve">”</w:t>
      </w:r>
      <w:r>
        <w:t xml:space="preserve"> </w:t>
      </w:r>
      <w:r>
        <w:t xml:space="preserve">(Pā. sū. 6-1-213), the exception to</w:t>
      </w:r>
      <w:r>
        <w:t xml:space="preserve"> </w:t>
      </w:r>
      <w:r>
        <w:rPr>
          <w:iCs/>
          <w:i/>
        </w:rPr>
        <w:t xml:space="preserve">tit svaritam</w:t>
      </w:r>
      <w:r>
        <w:t xml:space="preserve">, it is initial udātta. It ends in the accusative singular.</w:t>
      </w:r>
    </w:p>
    <w:bookmarkEnd w:id="853"/>
    <w:bookmarkStart w:id="854" w:name="page-773-upper-rik-6-grammar-end"/>
    <w:p>
      <w:pPr>
        <w:pStyle w:val="Heading3"/>
      </w:pPr>
      <w:r>
        <w:t xml:space="preserve">Page 773 (upper) — Rik 6: grammar (end)</w:t>
      </w:r>
    </w:p>
    <w:p>
      <w:pPr>
        <w:pStyle w:val="FirstParagraph"/>
      </w:pPr>
      <w:r>
        <w:rPr>
          <w:bCs/>
          <w:b/>
        </w:rPr>
        <w:t xml:space="preserve">सनिम् (</w:t>
      </w:r>
      <w:r>
        <w:rPr>
          <w:iCs/>
          <w:i/>
          <w:bCs/>
          <w:b/>
        </w:rPr>
        <w:t xml:space="preserve">sanim</w:t>
      </w:r>
      <w:r>
        <w:rPr>
          <w:bCs/>
          <w:b/>
        </w:rPr>
        <w:t xml:space="preserve">)</w:t>
      </w:r>
      <w:r>
        <w:t xml:space="preserve">:</w:t>
      </w:r>
      <w:r>
        <w:t xml:space="preserve"> </w:t>
      </w:r>
      <w:r>
        <w:rPr>
          <w:iCs/>
          <w:i/>
        </w:rPr>
        <w:t xml:space="preserve">ṣaṇu dāne</w:t>
      </w:r>
      <w:r>
        <w:t xml:space="preserve">;</w:t>
      </w:r>
      <w:r>
        <w:t xml:space="preserve"> </w:t>
      </w:r>
      <w:r>
        <w:rPr>
          <w:iCs/>
          <w:i/>
        </w:rPr>
        <w:t xml:space="preserve">s</w:t>
      </w:r>
      <w:r>
        <w:t xml:space="preserve"> </w:t>
      </w:r>
      <w:r>
        <w:t xml:space="preserve">for</w:t>
      </w:r>
      <w:r>
        <w:t xml:space="preserve"> </w:t>
      </w:r>
      <w:r>
        <w:rPr>
          <w:iCs/>
          <w:i/>
        </w:rPr>
        <w:t xml:space="preserve">ṣ</w:t>
      </w:r>
      <w:r>
        <w:t xml:space="preserve"> </w:t>
      </w:r>
      <w:r>
        <w:t xml:space="preserve">by</w:t>
      </w:r>
      <w:r>
        <w:t xml:space="preserve"> </w:t>
      </w:r>
      <w:r>
        <w:rPr>
          <w:iCs/>
          <w:i/>
        </w:rPr>
        <w:t xml:space="preserve">dhātvādeḥ ṣaḥ saḥ</w:t>
      </w:r>
      <w:r>
        <w:t xml:space="preserve">. In</w:t>
      </w:r>
      <w:r>
        <w:t xml:space="preserve"> </w:t>
      </w:r>
      <w:r>
        <w:t xml:space="preserve">“</w:t>
      </w:r>
      <w:r>
        <w:t xml:space="preserve">khani-kaṣy-añjy-asi-vasi-vani-sani-dhvani-granthi-calibhyaś ca</w:t>
      </w:r>
      <w:r>
        <w:t xml:space="preserve">”</w:t>
      </w:r>
      <w:r>
        <w:t xml:space="preserve"> </w:t>
      </w:r>
      <w:r>
        <w:t xml:space="preserve">(Uṇ. sū.</w:t>
      </w:r>
      <w:r>
        <w:t xml:space="preserve"> </w:t>
      </w:r>
      <w:r>
        <w:t xml:space="preserve">“</w:t>
      </w:r>
      <w:r>
        <w:t xml:space="preserve">4-139</w:t>
      </w:r>
      <w:r>
        <w:t xml:space="preserve">”</w:t>
      </w:r>
      <w:r>
        <w:t xml:space="preserve"> </w:t>
      </w:r>
      <w:r>
        <w:t xml:space="preserve">[?]) the</w:t>
      </w:r>
      <w:r>
        <w:t xml:space="preserve"> </w:t>
      </w:r>
      <w:r>
        <w:rPr>
          <w:iCs/>
          <w:i/>
        </w:rPr>
        <w:t xml:space="preserve">iḥ</w:t>
      </w:r>
      <w:r>
        <w:t xml:space="preserve"> </w:t>
      </w:r>
      <w:r>
        <w:t xml:space="preserve">of</w:t>
      </w:r>
      <w:r>
        <w:t xml:space="preserve"> </w:t>
      </w:r>
      <w:r>
        <w:t xml:space="preserve">“</w:t>
      </w:r>
      <w:r>
        <w:t xml:space="preserve">aca iḥ</w:t>
      </w:r>
      <w:r>
        <w:t xml:space="preserve">”</w:t>
      </w:r>
      <w:r>
        <w:t xml:space="preserve"> </w:t>
      </w:r>
      <w:r>
        <w:t xml:space="preserve">(Uṇ. sū.</w:t>
      </w:r>
      <w:r>
        <w:t xml:space="preserve"> </w:t>
      </w:r>
      <w:r>
        <w:t xml:space="preserve">“</w:t>
      </w:r>
      <w:r>
        <w:t xml:space="preserve">4-138</w:t>
      </w:r>
      <w:r>
        <w:t xml:space="preserve">”</w:t>
      </w:r>
      <w:r>
        <w:t xml:space="preserve"> </w:t>
      </w:r>
      <w:r>
        <w:t xml:space="preserve">[?]) is carried on. The suffix</w:t>
      </w:r>
      <w:r>
        <w:t xml:space="preserve"> </w:t>
      </w:r>
      <w:r>
        <w:rPr>
          <w:iCs/>
          <w:i/>
        </w:rPr>
        <w:t xml:space="preserve">i</w:t>
      </w:r>
      <w:r>
        <w:t xml:space="preserve"> </w:t>
      </w:r>
      <w:r>
        <w:t xml:space="preserve">comes after the roots</w:t>
      </w:r>
      <w:r>
        <w:t xml:space="preserve"> </w:t>
      </w:r>
      <w:r>
        <w:rPr>
          <w:iCs/>
          <w:i/>
        </w:rPr>
        <w:t xml:space="preserve">khanu avadāraṇe</w:t>
      </w:r>
      <w:r>
        <w:t xml:space="preserve">,</w:t>
      </w:r>
      <w:r>
        <w:t xml:space="preserve"> </w:t>
      </w:r>
      <w:r>
        <w:rPr>
          <w:iCs/>
          <w:i/>
        </w:rPr>
        <w:t xml:space="preserve">kaṣa hiṃsāyām</w:t>
      </w:r>
      <w:r>
        <w:t xml:space="preserve">,</w:t>
      </w:r>
      <w:r>
        <w:t xml:space="preserve"> </w:t>
      </w:r>
      <w:r>
        <w:rPr>
          <w:iCs/>
          <w:i/>
        </w:rPr>
        <w:t xml:space="preserve">aja gatikṣepaṇayoḥ</w:t>
      </w:r>
      <w:r>
        <w:t xml:space="preserve">,</w:t>
      </w:r>
      <w:r>
        <w:t xml:space="preserve"> </w:t>
      </w:r>
      <w:r>
        <w:rPr>
          <w:iCs/>
          <w:i/>
        </w:rPr>
        <w:t xml:space="preserve">asu kṣepaṇe</w:t>
      </w:r>
      <w:r>
        <w:t xml:space="preserve">,</w:t>
      </w:r>
      <w:r>
        <w:t xml:space="preserve"> </w:t>
      </w:r>
      <w:r>
        <w:rPr>
          <w:iCs/>
          <w:i/>
        </w:rPr>
        <w:t xml:space="preserve">vasa ācchādane</w:t>
      </w:r>
      <w:r>
        <w:t xml:space="preserve">,</w:t>
      </w:r>
      <w:r>
        <w:t xml:space="preserve"> </w:t>
      </w:r>
      <w:r>
        <w:rPr>
          <w:iCs/>
          <w:i/>
        </w:rPr>
        <w:t xml:space="preserve">vana ṣaṇa saṃbhaktau</w:t>
      </w:r>
      <w:r>
        <w:t xml:space="preserve">,</w:t>
      </w:r>
      <w:r>
        <w:t xml:space="preserve"> </w:t>
      </w:r>
      <w:r>
        <w:rPr>
          <w:iCs/>
          <w:i/>
        </w:rPr>
        <w:t xml:space="preserve">vanu yācane</w:t>
      </w:r>
      <w:r>
        <w:t xml:space="preserve">,</w:t>
      </w:r>
      <w:r>
        <w:t xml:space="preserve"> </w:t>
      </w:r>
      <w:r>
        <w:rPr>
          <w:iCs/>
          <w:i/>
        </w:rPr>
        <w:t xml:space="preserve">ṣaṇu dāne</w:t>
      </w:r>
      <w:r>
        <w:t xml:space="preserve">,</w:t>
      </w:r>
      <w:r>
        <w:t xml:space="preserve"> </w:t>
      </w:r>
      <w:r>
        <w:rPr>
          <w:iCs/>
          <w:i/>
        </w:rPr>
        <w:t xml:space="preserve">dhvana śabde</w:t>
      </w:r>
      <w:r>
        <w:t xml:space="preserve">,</w:t>
      </w:r>
      <w:r>
        <w:t xml:space="preserve"> </w:t>
      </w:r>
      <w:r>
        <w:rPr>
          <w:iCs/>
          <w:i/>
        </w:rPr>
        <w:t xml:space="preserve">grantha bandhane</w:t>
      </w:r>
      <w:r>
        <w:t xml:space="preserve"> </w:t>
      </w:r>
      <w:r>
        <w:t xml:space="preserve">(both of the</w:t>
      </w:r>
      <w:r>
        <w:t xml:space="preserve"> </w:t>
      </w:r>
      <w:r>
        <w:rPr>
          <w:iCs/>
          <w:i/>
        </w:rPr>
        <w:t xml:space="preserve">cur-ādi</w:t>
      </w:r>
      <w:r>
        <w:t xml:space="preserve">) and</w:t>
      </w:r>
      <w:r>
        <w:t xml:space="preserve"> </w:t>
      </w:r>
      <w:r>
        <w:rPr>
          <w:iCs/>
          <w:i/>
        </w:rPr>
        <w:t xml:space="preserve">cala kampane</w:t>
      </w:r>
      <w:r>
        <w:t xml:space="preserve">; so the suffix</w:t>
      </w:r>
      <w:r>
        <w:t xml:space="preserve"> </w:t>
      </w:r>
      <w:r>
        <w:rPr>
          <w:iCs/>
          <w:i/>
        </w:rPr>
        <w:t xml:space="preserve">i</w:t>
      </w:r>
      <w:r>
        <w:t xml:space="preserve">:</w:t>
      </w:r>
      <w:r>
        <w:t xml:space="preserve"> </w:t>
      </w:r>
      <w:r>
        <w:rPr>
          <w:iCs/>
          <w:i/>
        </w:rPr>
        <w:t xml:space="preserve">san</w:t>
      </w:r>
      <w:r>
        <w:t xml:space="preserve"> </w:t>
      </w:r>
      <w:r>
        <w:t xml:space="preserve">+</w:t>
      </w:r>
      <w:r>
        <w:t xml:space="preserve"> </w:t>
      </w:r>
      <w:r>
        <w:rPr>
          <w:iCs/>
          <w:i/>
        </w:rPr>
        <w:t xml:space="preserve">i</w:t>
      </w:r>
      <w:r>
        <w:t xml:space="preserve">. Final udātta by the suffix accent;</w:t>
      </w:r>
      <w:r>
        <w:t xml:space="preserve"> </w:t>
      </w:r>
      <w:r>
        <w:rPr>
          <w:iCs/>
          <w:i/>
        </w:rPr>
        <w:t xml:space="preserve">am</w:t>
      </w:r>
      <w:r>
        <w:t xml:space="preserve">, the</w:t>
      </w:r>
      <w:r>
        <w:t xml:space="preserve"> </w:t>
      </w:r>
      <w:r>
        <w:rPr>
          <w:iCs/>
          <w:i/>
        </w:rPr>
        <w:t xml:space="preserve">pūrvarūpa</w:t>
      </w:r>
      <w:r>
        <w:t xml:space="preserve">:</w:t>
      </w:r>
      <w:r>
        <w:t xml:space="preserve"> </w:t>
      </w:r>
      <w:r>
        <w:rPr>
          <w:iCs/>
          <w:i/>
        </w:rPr>
        <w:t xml:space="preserve">sanim</w:t>
      </w:r>
      <w:r>
        <w:t xml:space="preserve">.</w:t>
      </w:r>
    </w:p>
    <w:p>
      <w:pPr>
        <w:pStyle w:val="BodyText"/>
      </w:pPr>
      <w:r>
        <w:rPr>
          <w:bCs/>
          <w:b/>
        </w:rPr>
        <w:t xml:space="preserve">अयासिषम् (</w:t>
      </w:r>
      <w:r>
        <w:rPr>
          <w:iCs/>
          <w:i/>
          <w:bCs/>
          <w:b/>
        </w:rPr>
        <w:t xml:space="preserve">ayāsiṣam</w:t>
      </w:r>
      <w:r>
        <w:rPr>
          <w:bCs/>
          <w:b/>
        </w:rPr>
        <w:t xml:space="preserve">)</w:t>
      </w:r>
      <w:r>
        <w:t xml:space="preserve">:</w:t>
      </w:r>
      <w:r>
        <w:t xml:space="preserve"> </w:t>
      </w:r>
      <w:r>
        <w:rPr>
          <w:iCs/>
          <w:i/>
        </w:rPr>
        <w:t xml:space="preserve">yā prāpaṇe</w:t>
      </w:r>
      <w:r>
        <w:t xml:space="preserve">;</w:t>
      </w:r>
      <w:r>
        <w:t xml:space="preserve"> </w:t>
      </w:r>
      <w:r>
        <w:rPr>
          <w:iCs/>
          <w:i/>
        </w:rPr>
        <w:t xml:space="preserve">luṅ</w:t>
      </w:r>
      <w:r>
        <w:t xml:space="preserve">, 1st singular</w:t>
      </w:r>
      <w:r>
        <w:t xml:space="preserve"> </w:t>
      </w:r>
      <w:r>
        <w:rPr>
          <w:iCs/>
          <w:i/>
        </w:rPr>
        <w:t xml:space="preserve">mip</w:t>
      </w:r>
      <w:r>
        <w:t xml:space="preserve">:</w:t>
      </w:r>
      <w:r>
        <w:t xml:space="preserve"> </w:t>
      </w:r>
      <w:r>
        <w:rPr>
          <w:iCs/>
          <w:i/>
        </w:rPr>
        <w:t xml:space="preserve">yā</w:t>
      </w:r>
      <w:r>
        <w:t xml:space="preserve"> </w:t>
      </w:r>
      <w:r>
        <w:t xml:space="preserve">+</w:t>
      </w:r>
      <w:r>
        <w:t xml:space="preserve"> </w:t>
      </w:r>
      <w:r>
        <w:rPr>
          <w:iCs/>
          <w:i/>
        </w:rPr>
        <w:t xml:space="preserve">mi</w:t>
      </w:r>
      <w:r>
        <w:t xml:space="preserve">. By</w:t>
      </w:r>
      <w:r>
        <w:t xml:space="preserve"> </w:t>
      </w:r>
      <w:r>
        <w:t xml:space="preserve">“</w:t>
      </w:r>
      <w:r>
        <w:t xml:space="preserve">tasthasthamipāṃ tāṃtaṃtāmaḥ</w:t>
      </w:r>
      <w:r>
        <w:t xml:space="preserve">”</w:t>
      </w:r>
      <w:r>
        <w:t xml:space="preserve"> </w:t>
      </w:r>
      <w:r>
        <w:t xml:space="preserve">(Pā. sū. 3-4-101)</w:t>
      </w:r>
      <w:r>
        <w:t xml:space="preserve"> </w:t>
      </w:r>
      <w:r>
        <w:rPr>
          <w:iCs/>
          <w:i/>
        </w:rPr>
        <w:t xml:space="preserve">am</w:t>
      </w:r>
      <w:r>
        <w:t xml:space="preserve"> </w:t>
      </w:r>
      <w:r>
        <w:t xml:space="preserve">for</w:t>
      </w:r>
      <w:r>
        <w:t xml:space="preserve"> </w:t>
      </w:r>
      <w:r>
        <w:rPr>
          <w:iCs/>
          <w:i/>
        </w:rPr>
        <w:t xml:space="preserve">mi</w:t>
      </w:r>
      <w:r>
        <w:t xml:space="preserve">:</w:t>
      </w:r>
      <w:r>
        <w:t xml:space="preserve"> </w:t>
      </w:r>
      <w:r>
        <w:rPr>
          <w:iCs/>
          <w:i/>
        </w:rPr>
        <w:t xml:space="preserve">yā</w:t>
      </w:r>
      <w:r>
        <w:t xml:space="preserve"> </w:t>
      </w:r>
      <w:r>
        <w:t xml:space="preserve">+</w:t>
      </w:r>
      <w:r>
        <w:t xml:space="preserve"> </w:t>
      </w:r>
      <w:r>
        <w:rPr>
          <w:iCs/>
          <w:i/>
        </w:rPr>
        <w:t xml:space="preserve">am</w:t>
      </w:r>
      <w:r>
        <w:t xml:space="preserve">. By</w:t>
      </w:r>
      <w:r>
        <w:t xml:space="preserve"> </w:t>
      </w:r>
      <w:r>
        <w:t xml:space="preserve">“</w:t>
      </w:r>
      <w:r>
        <w:t xml:space="preserve">cli luṅi</w:t>
      </w:r>
      <w:r>
        <w:t xml:space="preserve">”</w:t>
      </w:r>
      <w:r>
        <w:t xml:space="preserve"> </w:t>
      </w:r>
      <w:r>
        <w:t xml:space="preserve">(Pā. sū. 3-1-43)</w:t>
      </w:r>
      <w:r>
        <w:t xml:space="preserve"> </w:t>
      </w:r>
      <w:r>
        <w:rPr>
          <w:iCs/>
          <w:i/>
        </w:rPr>
        <w:t xml:space="preserve">cli</w:t>
      </w:r>
      <w:r>
        <w:t xml:space="preserve">; for it the substitute</w:t>
      </w:r>
      <w:r>
        <w:t xml:space="preserve"> </w:t>
      </w:r>
      <w:r>
        <w:rPr>
          <w:iCs/>
          <w:i/>
        </w:rPr>
        <w:t xml:space="preserve">sic</w:t>
      </w:r>
      <w:r>
        <w:t xml:space="preserve"> </w:t>
      </w:r>
      <w:r>
        <w:t xml:space="preserve">by</w:t>
      </w:r>
      <w:r>
        <w:t xml:space="preserve"> </w:t>
      </w:r>
      <w:r>
        <w:t xml:space="preserve">“</w:t>
      </w:r>
      <w:r>
        <w:t xml:space="preserve">cleḥ sic</w:t>
      </w:r>
      <w:r>
        <w:t xml:space="preserve">”</w:t>
      </w:r>
      <w:r>
        <w:t xml:space="preserve"> </w:t>
      </w:r>
      <w:r>
        <w:t xml:space="preserve">(Pā. sū. 3-1-44); by</w:t>
      </w:r>
      <w:r>
        <w:t xml:space="preserve"> </w:t>
      </w:r>
      <w:r>
        <w:t xml:space="preserve">“</w:t>
      </w:r>
      <w:r>
        <w:t xml:space="preserve">luṅlaṅlṛṅkṣv aḍ udāttaḥ</w:t>
      </w:r>
      <w:r>
        <w:t xml:space="preserve">”</w:t>
      </w:r>
      <w:r>
        <w:t xml:space="preserve"> </w:t>
      </w:r>
      <w:r>
        <w:t xml:space="preserve">(Pā. sū. 6-4-71) the augment</w:t>
      </w:r>
      <w:r>
        <w:t xml:space="preserve"> </w:t>
      </w:r>
      <w:r>
        <w:rPr>
          <w:iCs/>
          <w:i/>
        </w:rPr>
        <w:t xml:space="preserve">aṭ</w:t>
      </w:r>
      <w:r>
        <w:t xml:space="preserve"> </w:t>
      </w:r>
      <w:r>
        <w:t xml:space="preserve">for the root:</w:t>
      </w:r>
      <w:r>
        <w:t xml:space="preserve"> </w:t>
      </w:r>
      <w:r>
        <w:rPr>
          <w:iCs/>
          <w:i/>
        </w:rPr>
        <w:t xml:space="preserve">ayā</w:t>
      </w:r>
      <w:r>
        <w:t xml:space="preserve"> </w:t>
      </w:r>
      <w:r>
        <w:t xml:space="preserve">+</w:t>
      </w:r>
      <w:r>
        <w:t xml:space="preserve"> </w:t>
      </w:r>
      <w:r>
        <w:rPr>
          <w:iCs/>
          <w:i/>
        </w:rPr>
        <w:t xml:space="preserve">s</w:t>
      </w:r>
      <w:r>
        <w:t xml:space="preserve"> </w:t>
      </w:r>
      <w:r>
        <w:t xml:space="preserve">+</w:t>
      </w:r>
      <w:r>
        <w:t xml:space="preserve"> </w:t>
      </w:r>
      <w:r>
        <w:rPr>
          <w:iCs/>
          <w:i/>
        </w:rPr>
        <w:t xml:space="preserve">am</w:t>
      </w:r>
      <w:r>
        <w:t xml:space="preserve">. By</w:t>
      </w:r>
      <w:r>
        <w:t xml:space="preserve"> </w:t>
      </w:r>
      <w:r>
        <w:t xml:space="preserve">“</w:t>
      </w:r>
      <w:r>
        <w:t xml:space="preserve">yamaramanamātāṃ sak ca</w:t>
      </w:r>
      <w:r>
        <w:t xml:space="preserve">”</w:t>
      </w:r>
      <w:r>
        <w:t xml:space="preserve"> </w:t>
      </w:r>
      <w:r>
        <w:t xml:space="preserve">(Pā. sū. 7-2-73), for the roots</w:t>
      </w:r>
      <w:r>
        <w:t xml:space="preserve"> </w:t>
      </w:r>
      <w:r>
        <w:rPr>
          <w:iCs/>
          <w:i/>
        </w:rPr>
        <w:t xml:space="preserve">yam</w:t>
      </w:r>
      <w:r>
        <w:t xml:space="preserve">,</w:t>
      </w:r>
      <w:r>
        <w:t xml:space="preserve"> </w:t>
      </w:r>
      <w:r>
        <w:rPr>
          <w:iCs/>
          <w:i/>
        </w:rPr>
        <w:t xml:space="preserve">ram</w:t>
      </w:r>
      <w:r>
        <w:t xml:space="preserve">,</w:t>
      </w:r>
      <w:r>
        <w:t xml:space="preserve"> </w:t>
      </w:r>
      <w:r>
        <w:rPr>
          <w:iCs/>
          <w:i/>
        </w:rPr>
        <w:t xml:space="preserve">nam</w:t>
      </w:r>
      <w:r>
        <w:t xml:space="preserve"> </w:t>
      </w:r>
      <w:r>
        <w:t xml:space="preserve">and the</w:t>
      </w:r>
      <w:r>
        <w:t xml:space="preserve"> </w:t>
      </w:r>
      <w:r>
        <w:rPr>
          <w:iCs/>
          <w:i/>
        </w:rPr>
        <w:t xml:space="preserve">ā</w:t>
      </w:r>
      <w:r>
        <w:t xml:space="preserve">-final roots, the augment</w:t>
      </w:r>
      <w:r>
        <w:t xml:space="preserve"> </w:t>
      </w:r>
      <w:r>
        <w:rPr>
          <w:iCs/>
          <w:i/>
        </w:rPr>
        <w:t xml:space="preserve">sak</w:t>
      </w:r>
      <w:r>
        <w:t xml:space="preserve">, and for the</w:t>
      </w:r>
      <w:r>
        <w:t xml:space="preserve"> </w:t>
      </w:r>
      <w:r>
        <w:rPr>
          <w:iCs/>
          <w:i/>
        </w:rPr>
        <w:t xml:space="preserve">sic</w:t>
      </w:r>
      <w:r>
        <w:t xml:space="preserve"> </w:t>
      </w:r>
      <w:r>
        <w:t xml:space="preserve">after them the augment</w:t>
      </w:r>
      <w:r>
        <w:t xml:space="preserve"> </w:t>
      </w:r>
      <w:r>
        <w:rPr>
          <w:iCs/>
          <w:i/>
        </w:rPr>
        <w:t xml:space="preserve">iṭ</w:t>
      </w:r>
      <w:r>
        <w:t xml:space="preserve">, when a</w:t>
      </w:r>
      <w:r>
        <w:t xml:space="preserve"> </w:t>
      </w:r>
      <w:r>
        <w:rPr>
          <w:iCs/>
          <w:i/>
        </w:rPr>
        <w:t xml:space="preserve">parasmaipada</w:t>
      </w:r>
      <w:r>
        <w:t xml:space="preserve"> </w:t>
      </w:r>
      <w:r>
        <w:t xml:space="preserve">suffix follows; so the augment</w:t>
      </w:r>
      <w:r>
        <w:t xml:space="preserve"> </w:t>
      </w:r>
      <w:r>
        <w:rPr>
          <w:iCs/>
          <w:i/>
        </w:rPr>
        <w:t xml:space="preserve">sak</w:t>
      </w:r>
      <w:r>
        <w:t xml:space="preserve"> </w:t>
      </w:r>
      <w:r>
        <w:t xml:space="preserve">for the</w:t>
      </w:r>
      <w:r>
        <w:t xml:space="preserve"> </w:t>
      </w:r>
      <w:r>
        <w:rPr>
          <w:iCs/>
          <w:i/>
        </w:rPr>
        <w:t xml:space="preserve">ā</w:t>
      </w:r>
      <w:r>
        <w:t xml:space="preserve">-final</w:t>
      </w:r>
      <w:r>
        <w:t xml:space="preserve"> </w:t>
      </w:r>
      <w:r>
        <w:rPr>
          <w:iCs/>
          <w:i/>
        </w:rPr>
        <w:t xml:space="preserve">yā</w:t>
      </w:r>
      <w:r>
        <w:t xml:space="preserve">, and</w:t>
      </w:r>
      <w:r>
        <w:t xml:space="preserve"> </w:t>
      </w:r>
      <w:r>
        <w:rPr>
          <w:iCs/>
          <w:i/>
        </w:rPr>
        <w:t xml:space="preserve">iṭ</w:t>
      </w:r>
      <w:r>
        <w:t xml:space="preserve"> </w:t>
      </w:r>
      <w:r>
        <w:t xml:space="preserve">for the</w:t>
      </w:r>
      <w:r>
        <w:t xml:space="preserve"> </w:t>
      </w:r>
      <w:r>
        <w:rPr>
          <w:iCs/>
          <w:i/>
        </w:rPr>
        <w:t xml:space="preserve">sic</w:t>
      </w:r>
      <w:r>
        <w:t xml:space="preserve">:</w:t>
      </w:r>
      <w:r>
        <w:t xml:space="preserve"> </w:t>
      </w:r>
      <w:r>
        <w:rPr>
          <w:iCs/>
          <w:i/>
        </w:rPr>
        <w:t xml:space="preserve">ayās</w:t>
      </w:r>
      <w:r>
        <w:t xml:space="preserve"> </w:t>
      </w:r>
      <w:r>
        <w:t xml:space="preserve">+</w:t>
      </w:r>
      <w:r>
        <w:t xml:space="preserve"> </w:t>
      </w:r>
      <w:r>
        <w:rPr>
          <w:iCs/>
          <w:i/>
        </w:rPr>
        <w:t xml:space="preserve">is</w:t>
      </w:r>
      <w:r>
        <w:t xml:space="preserve"> </w:t>
      </w:r>
      <w:r>
        <w:t xml:space="preserve">+</w:t>
      </w:r>
      <w:r>
        <w:t xml:space="preserve"> </w:t>
      </w:r>
      <w:r>
        <w:rPr>
          <w:iCs/>
          <w:i/>
        </w:rPr>
        <w:t xml:space="preserve">am</w:t>
      </w:r>
      <w:r>
        <w:t xml:space="preserve">. By</w:t>
      </w:r>
      <w:r>
        <w:t xml:space="preserve"> </w:t>
      </w:r>
      <w:r>
        <w:t xml:space="preserve">“</w:t>
      </w:r>
      <w:r>
        <w:t xml:space="preserve">ādeśapratyayayoḥ</w:t>
      </w:r>
      <w:r>
        <w:t xml:space="preserve">”</w:t>
      </w:r>
      <w:r>
        <w:t xml:space="preserve"> </w:t>
      </w:r>
      <w:r>
        <w:t xml:space="preserve">(Pā. sū. 8-3-59)</w:t>
      </w:r>
      <w:r>
        <w:t xml:space="preserve"> </w:t>
      </w:r>
      <w:r>
        <w:rPr>
          <w:iCs/>
          <w:i/>
        </w:rPr>
        <w:t xml:space="preserve">ṣ</w:t>
      </w:r>
      <w:r>
        <w:t xml:space="preserve"> </w:t>
      </w:r>
      <w:r>
        <w:t xml:space="preserve">for the</w:t>
      </w:r>
      <w:r>
        <w:t xml:space="preserve"> </w:t>
      </w:r>
      <w:r>
        <w:rPr>
          <w:iCs/>
          <w:i/>
        </w:rPr>
        <w:t xml:space="preserve">s</w:t>
      </w:r>
      <w:r>
        <w:t xml:space="preserve"> </w:t>
      </w:r>
      <w:r>
        <w:t xml:space="preserve">of</w:t>
      </w:r>
      <w:r>
        <w:t xml:space="preserve"> </w:t>
      </w:r>
      <w:r>
        <w:rPr>
          <w:iCs/>
          <w:i/>
        </w:rPr>
        <w:t xml:space="preserve">sic</w:t>
      </w:r>
      <w:r>
        <w:t xml:space="preserve">:</w:t>
      </w:r>
      <w:r>
        <w:t xml:space="preserve"> </w:t>
      </w:r>
      <w:r>
        <w:rPr>
          <w:iCs/>
          <w:i/>
        </w:rPr>
        <w:t xml:space="preserve">ayāsiṣam</w:t>
      </w:r>
      <w:r>
        <w:t xml:space="preserve">. By</w:t>
      </w:r>
      <w:r>
        <w:t xml:space="preserve"> </w:t>
      </w:r>
      <w:r>
        <w:t xml:space="preserve">“</w:t>
      </w:r>
      <w:r>
        <w:t xml:space="preserve">tiṅṅatiṅaḥ</w:t>
      </w:r>
      <w:r>
        <w:t xml:space="preserve">”</w:t>
      </w:r>
      <w:r>
        <w:t xml:space="preserve"> </w:t>
      </w:r>
      <w:r>
        <w:t xml:space="preserve">(Pā. sū. 8-1-28) it is wholly unaccented.</w:t>
      </w:r>
    </w:p>
    <w:p>
      <w:pPr>
        <w:pStyle w:val="BodyText"/>
      </w:pPr>
      <w:r>
        <w:rPr>
          <w:bCs/>
          <w:b/>
        </w:rPr>
        <w:t xml:space="preserve">॥६॥</w:t>
      </w:r>
    </w:p>
    <w:p>
      <w:r>
        <w:pict>
          <v:rect style="width:0;height:1.5pt" o:hralign="center" o:hrstd="t" o:hr="t"/>
        </w:pict>
      </w:r>
    </w:p>
    <w:bookmarkEnd w:id="854"/>
    <w:bookmarkStart w:id="855" w:name="page-773-lower-sūkta-18-rik-7"/>
    <w:p>
      <w:pPr>
        <w:pStyle w:val="Heading3"/>
      </w:pPr>
      <w:r>
        <w:t xml:space="preserve">Page 773 (lower) — Sūkta 18, Rik 7</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यस्मा॑दृ॒ते न सि॒ध्य॑ति य॒ज्ञो वि॒प॒श्चित॑श्च॒न । [accent ?]</w:t>
      </w:r>
      <w:r>
        <w:t xml:space="preserve"> </w:t>
      </w:r>
      <w:r>
        <w:t xml:space="preserve">स धी॒नां योग॑मिन्वति ॥७॥ [accent ?]</w:t>
      </w:r>
    </w:p>
    <w:p>
      <w:pPr>
        <w:pStyle w:val="BlockText"/>
      </w:pPr>
      <w:r>
        <w:rPr>
          <w:iCs/>
          <w:i/>
        </w:rPr>
        <w:t xml:space="preserve">yásmād ṛté na sidhyati yajñó vipaścítaś caná |</w:t>
      </w:r>
      <w:r>
        <w:t xml:space="preserve"> </w:t>
      </w:r>
      <w:r>
        <w:t xml:space="preserve">[accent ?]</w:t>
      </w:r>
      <w:r>
        <w:t xml:space="preserve"> </w:t>
      </w:r>
      <w:r>
        <w:rPr>
          <w:iCs/>
          <w:i/>
        </w:rPr>
        <w:t xml:space="preserve">sa dhīnā́ṃ yógam invati ||7||</w:t>
      </w:r>
      <w:r>
        <w:t xml:space="preserve"> </w:t>
      </w:r>
      <w:r>
        <w:t xml:space="preserve">[accent ?]</w:t>
      </w:r>
    </w:p>
    <w:p>
      <w:pPr>
        <w:pStyle w:val="FirstParagraph"/>
      </w:pPr>
      <w:r>
        <w:rPr>
          <w:iCs/>
          <w:i/>
        </w:rPr>
        <w:t xml:space="preserve">(Read from the print, small type: strokes over स्मा, ध्य, श्चि and ग; bars under दृ, सि, य (यज्ञो), वि, प, च (चन) and धी. Several positions are not certain.)</w:t>
      </w:r>
    </w:p>
    <w:p>
      <w:pPr>
        <w:pStyle w:val="BodyText"/>
      </w:pPr>
      <w:r>
        <w:rPr>
          <w:bCs/>
          <w:b/>
        </w:rPr>
        <w:t xml:space="preserve">॥ Pada-pāṭhaḥ ॥</w:t>
      </w:r>
    </w:p>
    <w:p>
      <w:pPr>
        <w:pStyle w:val="BlockText"/>
      </w:pPr>
      <w:r>
        <w:t xml:space="preserve">यस्मात् । ऋते । न । सिध्यति । यज्ञः । विपःऽचितः । चन ॥</w:t>
      </w:r>
      <w:r>
        <w:t xml:space="preserve"> </w:t>
      </w:r>
      <w:r>
        <w:t xml:space="preserve">सः । धीनाम् । योगम् । इन्वति ॥७॥</w:t>
      </w:r>
    </w:p>
    <w:p>
      <w:pPr>
        <w:pStyle w:val="BlockText"/>
      </w:pPr>
      <w:r>
        <w:rPr>
          <w:iCs/>
          <w:i/>
        </w:rPr>
        <w:t xml:space="preserve">yasmāt | ṛte | na | sidhyati | yajñaḥ | vipaḥ ’citaḥ | cana ||</w:t>
      </w:r>
      <w:r>
        <w:t xml:space="preserve"> </w:t>
      </w:r>
      <w:r>
        <w:rPr>
          <w:iCs/>
          <w:i/>
        </w:rPr>
        <w:t xml:space="preserve">saḥ | dhīnām | yogam | invati ||7||</w:t>
      </w:r>
    </w:p>
    <w:p>
      <w:pPr>
        <w:pStyle w:val="FirstParagraph"/>
      </w:pPr>
      <w:r>
        <w:rPr>
          <w:bCs/>
          <w:b/>
        </w:rPr>
        <w:t xml:space="preserve">॥ Sāyaṇa-bhāṣyam ॥</w:t>
      </w:r>
    </w:p>
    <w:p>
      <w:pPr>
        <w:pStyle w:val="BlockText"/>
      </w:pPr>
      <w:r>
        <w:t xml:space="preserve">यज्ञोऽयमनुष्ठातव्यो विपश्चितश्चन विदुषोऽपि यजमानस्य यस्मात्सदसस्पतिदेवादृते न सिध्यति सोऽयं सदसस्पतिर्देवो धीनां मनोऽनुष्ठानविषयाणामस्मद्बुद्धीनामनुष्ठेयकर्मणां वा योगं संबन्धमिन्वति । व्याप्नोति । यजमानमनुगृह्य तदीयं यज्ञं निष्पादयतीत्यर्थः ॥ यस्मात् । अन्यारादित्यादिना । पा. २-३-२९ । ऋतेयोगात्पञ्चमी । सावेकाच इति विभक्तेरुदात्तत्वे प्राप्ते न गोश्वन्साववर्णेति प्रतिषेधः । सिध्यति । षिधु संराद्धौ । श्यनो नित्त्वादाद्युदात्तत्वम् । यद्वृत्तान्नित्यमिति निघातप्रतिषेधः । धीनाम् । सावेकाच इति विभक्तेरुदात्तत्वम् । योगम् । युजिर् योगे । घञो ञित्त्वादाद्युदात्तत्वम् । इन्वति । इवि व्याप्तौ । शप् । इदितो नुम् धातोरिति नुम् । निघातः ॥</w:t>
      </w:r>
    </w:p>
    <w:p>
      <w:pPr>
        <w:pStyle w:val="BlockText"/>
      </w:pPr>
      <w:r>
        <w:rPr>
          <w:iCs/>
          <w:i/>
        </w:rPr>
        <w:t xml:space="preserve">yajño ’yamanuṣṭhātavyo vipaścitaścana viduṣo ’pi yajamānasya yasmātsadasaspatidevādṛte na sidhyati so ’yaṃ sadasaspatirdevo dhīnāṃ mano ’nuṣṭhānaviṣayāṇāmasmadbuddhīnāmanuṣṭheyakarmaṇāṃ vā yogaṃ saṃbandhaminvati | vyāpnoti | yajamānamanugṛhya tadīyaṃ yajñaṃ niṣpādayatītyarthaḥ || yasmāt | anyārādityādinā | pā. 2-3-29 | ṛteyogātpañcamī | sāvekāca iti vibhakterudāttatve prāpte na gośvansāvavarṇeti pratiṣedhaḥ | sidhyati | ṣidhu saṃrāddhau | śyano nittvādādyudāttatvam | yadvṛttānnityamiti nighātapratiṣedhaḥ | dhīnām | sāvekāca iti vibhakterudāttatvam | yogam | yujir yoge | ghaño ñittvādādyudāttatvam | invati | ivi vyāptau | śap | idito num dhātoriti num | nighātaḥ ||</w:t>
      </w:r>
    </w:p>
    <w:bookmarkEnd w:id="855"/>
    <w:bookmarkStart w:id="856" w:name="X5c4ff88e8d2228555f3160e113ab0f743fb1d06"/>
    <w:p>
      <w:pPr>
        <w:pStyle w:val="Heading3"/>
      </w:pPr>
      <w:r>
        <w:t xml:space="preserve">Page 774 — Rik 7: (bhāṣya ends at the top of this page, from …णामस्मद्बुद्धीनाम्…) word-meanings, overall sense, English, Special Topics</w:t>
      </w:r>
    </w:p>
    <w:p>
      <w:pPr>
        <w:pStyle w:val="FirstParagraph"/>
      </w:pPr>
      <w:r>
        <w:rPr>
          <w:bCs/>
          <w:b/>
        </w:rPr>
        <w:t xml:space="preserve">Translation:</w:t>
      </w:r>
      <w:r>
        <w:t xml:space="preserve"> </w:t>
      </w:r>
      <w:r>
        <w:t xml:space="preserve">“</w:t>
      </w:r>
      <w:r>
        <w:t xml:space="preserve">Without which god Sadasaspati this sacrifice to be performed by a sacrificer,</w:t>
      </w:r>
      <w:r>
        <w:t xml:space="preserve"> </w:t>
      </w:r>
      <w:r>
        <w:rPr>
          <w:iCs/>
          <w:i/>
        </w:rPr>
        <w:t xml:space="preserve">vipaścitaś cana</w:t>
      </w:r>
      <w:r>
        <w:t xml:space="preserve">, even a learned one,</w:t>
      </w:r>
      <w:r>
        <w:t xml:space="preserve"> </w:t>
      </w:r>
      <w:r>
        <w:rPr>
          <w:iCs/>
          <w:i/>
        </w:rPr>
        <w:t xml:space="preserve">na sidhyati</w:t>
      </w:r>
      <w:r>
        <w:t xml:space="preserve">, does not succeed, that god Sadasaspati</w:t>
      </w:r>
      <w:r>
        <w:t xml:space="preserve"> </w:t>
      </w:r>
      <w:r>
        <w:rPr>
          <w:iCs/>
          <w:i/>
        </w:rPr>
        <w:t xml:space="preserve">invati</w:t>
      </w:r>
      <w:r>
        <w:t xml:space="preserve">, pervades, the</w:t>
      </w:r>
      <w:r>
        <w:t xml:space="preserve"> </w:t>
      </w:r>
      <w:r>
        <w:rPr>
          <w:iCs/>
          <w:i/>
        </w:rPr>
        <w:t xml:space="preserve">yoga</w:t>
      </w:r>
      <w:r>
        <w:t xml:space="preserve">, connection, of</w:t>
      </w:r>
      <w:r>
        <w:t xml:space="preserve"> </w:t>
      </w:r>
      <w:r>
        <w:rPr>
          <w:iCs/>
          <w:i/>
        </w:rPr>
        <w:t xml:space="preserve">dhī</w:t>
      </w:r>
      <w:r>
        <w:t xml:space="preserve">, our minds, whose object is the performance, or of the rites to be performed: that is, favouring the sacrificer he accomplishes his sacrifice.</w:t>
      </w:r>
      <w:r>
        <w:t xml:space="preserve">”</w:t>
      </w:r>
      <w:r>
        <w:t xml:space="preserve"> </w:t>
      </w:r>
      <w:r>
        <w:t xml:space="preserve">(Grammatical tail:</w:t>
      </w:r>
      <w:r>
        <w:t xml:space="preserve"> </w:t>
      </w:r>
      <w:r>
        <w:rPr>
          <w:iCs/>
          <w:i/>
        </w:rPr>
        <w:t xml:space="preserve">yasmāt</w:t>
      </w:r>
      <w:r>
        <w:t xml:space="preserve">, the ablative because of the connection with</w:t>
      </w:r>
      <w:r>
        <w:t xml:space="preserve"> </w:t>
      </w:r>
      <w:r>
        <w:rPr>
          <w:iCs/>
          <w:i/>
        </w:rPr>
        <w:t xml:space="preserve">ṛte</w:t>
      </w:r>
      <w:r>
        <w:t xml:space="preserve"> </w:t>
      </w:r>
      <w:r>
        <w:t xml:space="preserve">by</w:t>
      </w:r>
      <w:r>
        <w:t xml:space="preserve"> </w:t>
      </w:r>
      <w:r>
        <w:rPr>
          <w:iCs/>
          <w:i/>
        </w:rPr>
        <w:t xml:space="preserve">anyārāt…</w:t>
      </w:r>
      <w:r>
        <w:t xml:space="preserve"> </w:t>
      </w:r>
      <w:r>
        <w:t xml:space="preserve">(Pā. 2-3-29); the ending udātta due by</w:t>
      </w:r>
      <w:r>
        <w:t xml:space="preserve"> </w:t>
      </w:r>
      <w:r>
        <w:rPr>
          <w:iCs/>
          <w:i/>
        </w:rPr>
        <w:t xml:space="preserve">sāv ekācaḥ</w:t>
      </w:r>
      <w:r>
        <w:t xml:space="preserve"> </w:t>
      </w:r>
      <w:r>
        <w:t xml:space="preserve">is barred by</w:t>
      </w:r>
      <w:r>
        <w:t xml:space="preserve"> </w:t>
      </w:r>
      <w:r>
        <w:rPr>
          <w:iCs/>
          <w:i/>
        </w:rPr>
        <w:t xml:space="preserve">na gośvan…</w:t>
      </w:r>
      <w:r>
        <w:t xml:space="preserve">;</w:t>
      </w:r>
      <w:r>
        <w:t xml:space="preserve"> </w:t>
      </w:r>
      <w:r>
        <w:rPr>
          <w:iCs/>
          <w:i/>
        </w:rPr>
        <w:t xml:space="preserve">sidhyati</w:t>
      </w:r>
      <w:r>
        <w:t xml:space="preserve">,</w:t>
      </w:r>
      <w:r>
        <w:t xml:space="preserve"> </w:t>
      </w:r>
      <w:r>
        <w:rPr>
          <w:iCs/>
          <w:i/>
        </w:rPr>
        <w:t xml:space="preserve">ṣidhu saṃrāddhau</w:t>
      </w:r>
      <w:r>
        <w:t xml:space="preserve">, initial udātta as</w:t>
      </w:r>
      <w:r>
        <w:t xml:space="preserve"> </w:t>
      </w:r>
      <w:r>
        <w:rPr>
          <w:iCs/>
          <w:i/>
        </w:rPr>
        <w:t xml:space="preserve">śyan</w:t>
      </w:r>
      <w:r>
        <w:t xml:space="preserve"> </w:t>
      </w:r>
      <w:r>
        <w:t xml:space="preserve">is</w:t>
      </w:r>
      <w:r>
        <w:t xml:space="preserve"> </w:t>
      </w:r>
      <w:r>
        <w:rPr>
          <w:iCs/>
          <w:i/>
        </w:rPr>
        <w:t xml:space="preserve">nit</w:t>
      </w:r>
      <w:r>
        <w:t xml:space="preserve">, the lowering barred by</w:t>
      </w:r>
      <w:r>
        <w:t xml:space="preserve"> </w:t>
      </w:r>
      <w:r>
        <w:rPr>
          <w:iCs/>
          <w:i/>
        </w:rPr>
        <w:t xml:space="preserve">yadvṛttān nityam</w:t>
      </w:r>
      <w:r>
        <w:t xml:space="preserve">;</w:t>
      </w:r>
      <w:r>
        <w:t xml:space="preserve"> </w:t>
      </w:r>
      <w:r>
        <w:rPr>
          <w:iCs/>
          <w:i/>
        </w:rPr>
        <w:t xml:space="preserve">dhīnām</w:t>
      </w:r>
      <w:r>
        <w:t xml:space="preserve">, the ending udātta by</w:t>
      </w:r>
      <w:r>
        <w:t xml:space="preserve"> </w:t>
      </w:r>
      <w:r>
        <w:rPr>
          <w:iCs/>
          <w:i/>
        </w:rPr>
        <w:t xml:space="preserve">sāv ekācaḥ</w:t>
      </w:r>
      <w:r>
        <w:t xml:space="preserve">;</w:t>
      </w:r>
      <w:r>
        <w:t xml:space="preserve"> </w:t>
      </w:r>
      <w:r>
        <w:rPr>
          <w:iCs/>
          <w:i/>
        </w:rPr>
        <w:t xml:space="preserve">yogam</w:t>
      </w:r>
      <w:r>
        <w:t xml:space="preserve">,</w:t>
      </w:r>
      <w:r>
        <w:t xml:space="preserve"> </w:t>
      </w:r>
      <w:r>
        <w:rPr>
          <w:iCs/>
          <w:i/>
        </w:rPr>
        <w:t xml:space="preserve">yujir yoge</w:t>
      </w:r>
      <w:r>
        <w:t xml:space="preserve">, initial udātta as</w:t>
      </w:r>
      <w:r>
        <w:t xml:space="preserve"> </w:t>
      </w:r>
      <w:r>
        <w:rPr>
          <w:iCs/>
          <w:i/>
        </w:rPr>
        <w:t xml:space="preserve">ghañ</w:t>
      </w:r>
      <w:r>
        <w:t xml:space="preserve"> </w:t>
      </w:r>
      <w:r>
        <w:t xml:space="preserve">is</w:t>
      </w:r>
      <w:r>
        <w:t xml:space="preserve"> </w:t>
      </w:r>
      <w:r>
        <w:rPr>
          <w:iCs/>
          <w:i/>
        </w:rPr>
        <w:t xml:space="preserve">ñit</w:t>
      </w:r>
      <w:r>
        <w:t xml:space="preserve">;</w:t>
      </w:r>
      <w:r>
        <w:t xml:space="preserve"> </w:t>
      </w:r>
      <w:r>
        <w:rPr>
          <w:iCs/>
          <w:i/>
        </w:rPr>
        <w:t xml:space="preserve">invati</w:t>
      </w:r>
      <w:r>
        <w:t xml:space="preserve">,</w:t>
      </w:r>
      <w:r>
        <w:t xml:space="preserve"> </w:t>
      </w:r>
      <w:r>
        <w:rPr>
          <w:iCs/>
          <w:i/>
        </w:rPr>
        <w:t xml:space="preserve">ivi vyāptau</w:t>
      </w:r>
      <w:r>
        <w:t xml:space="preserve">,</w:t>
      </w:r>
      <w:r>
        <w:t xml:space="preserve"> </w:t>
      </w:r>
      <w:r>
        <w:rPr>
          <w:iCs/>
          <w:i/>
        </w:rPr>
        <w:t xml:space="preserve">śap</w:t>
      </w:r>
      <w:r>
        <w:t xml:space="preserve">,</w:t>
      </w:r>
      <w:r>
        <w:t xml:space="preserve"> </w:t>
      </w:r>
      <w:r>
        <w:rPr>
          <w:iCs/>
          <w:i/>
        </w:rPr>
        <w:t xml:space="preserve">num</w:t>
      </w:r>
      <w:r>
        <w:t xml:space="preserve"> </w:t>
      </w:r>
      <w:r>
        <w:t xml:space="preserve">by</w:t>
      </w:r>
      <w:r>
        <w:t xml:space="preserve"> </w:t>
      </w:r>
      <w:r>
        <w:rPr>
          <w:iCs/>
          <w:i/>
        </w:rPr>
        <w:t xml:space="preserve">idito num dhātoḥ</w:t>
      </w:r>
      <w:r>
        <w:t xml:space="preserve">, wholly unaccented.)</w:t>
      </w:r>
    </w:p>
    <w:p>
      <w:pPr>
        <w:pStyle w:val="BodyText"/>
      </w:pPr>
      <w:r>
        <w:rPr>
          <w:bCs/>
          <w:b/>
        </w:rPr>
        <w:t xml:space="preserve">॥ Prati-padārthaḥ ॥</w:t>
      </w:r>
    </w:p>
    <w:p>
      <w:pPr>
        <w:pStyle w:val="BodyText"/>
      </w:pPr>
      <w:r>
        <w:rPr>
          <w:bCs/>
          <w:b/>
        </w:rPr>
        <w:t xml:space="preserve">यज्ञः (yajñaḥ)</w:t>
      </w:r>
      <w:r>
        <w:t xml:space="preserve"> </w:t>
      </w:r>
      <w:r>
        <w:t xml:space="preserve">— the sacrifice (we have to perform) |</w:t>
      </w:r>
      <w:r>
        <w:t xml:space="preserve"> </w:t>
      </w:r>
      <w:r>
        <w:rPr>
          <w:bCs/>
          <w:b/>
        </w:rPr>
        <w:t xml:space="preserve">विपश्चितः चन (vipaścitaḥ cana)</w:t>
      </w:r>
      <w:r>
        <w:t xml:space="preserve"> </w:t>
      </w:r>
      <w:r>
        <w:t xml:space="preserve">— even for a learned sacrificer |</w:t>
      </w:r>
      <w:r>
        <w:t xml:space="preserve"> </w:t>
      </w:r>
      <w:r>
        <w:rPr>
          <w:bCs/>
          <w:b/>
        </w:rPr>
        <w:t xml:space="preserve">यस्मात् ऋते (yasmāt ṛte)</w:t>
      </w:r>
      <w:r>
        <w:t xml:space="preserve"> </w:t>
      </w:r>
      <w:r>
        <w:t xml:space="preserve">— without the help of which Sadasaspati |</w:t>
      </w:r>
      <w:r>
        <w:t xml:space="preserve"> </w:t>
      </w:r>
      <w:r>
        <w:rPr>
          <w:bCs/>
          <w:b/>
        </w:rPr>
        <w:t xml:space="preserve">न सिध्यति (na sidhyati)</w:t>
      </w:r>
      <w:r>
        <w:t xml:space="preserve"> </w:t>
      </w:r>
      <w:r>
        <w:t xml:space="preserve">— is not accomplished |</w:t>
      </w:r>
      <w:r>
        <w:t xml:space="preserve"> </w:t>
      </w:r>
      <w:r>
        <w:rPr>
          <w:bCs/>
          <w:b/>
        </w:rPr>
        <w:t xml:space="preserve">सः (saḥ)</w:t>
      </w:r>
      <w:r>
        <w:t xml:space="preserve"> </w:t>
      </w:r>
      <w:r>
        <w:t xml:space="preserve">— that Sadasaspati |</w:t>
      </w:r>
      <w:r>
        <w:t xml:space="preserve"> </w:t>
      </w:r>
      <w:r>
        <w:rPr>
          <w:bCs/>
          <w:b/>
        </w:rPr>
        <w:t xml:space="preserve">धीनाम् (dhīnām)</w:t>
      </w:r>
      <w:r>
        <w:t xml:space="preserve"> </w:t>
      </w:r>
      <w:r>
        <w:t xml:space="preserve">— to the mind set on performing the sacrifice, or to the rites to be performed |</w:t>
      </w:r>
      <w:r>
        <w:t xml:space="preserve"> </w:t>
      </w:r>
      <w:r>
        <w:rPr>
          <w:bCs/>
          <w:b/>
        </w:rPr>
        <w:t xml:space="preserve">योगम् (yogam)</w:t>
      </w:r>
      <w:r>
        <w:t xml:space="preserve"> </w:t>
      </w:r>
      <w:r>
        <w:t xml:space="preserve">— connection |</w:t>
      </w:r>
      <w:r>
        <w:t xml:space="preserve"> </w:t>
      </w:r>
      <w:r>
        <w:rPr>
          <w:bCs/>
          <w:b/>
        </w:rPr>
        <w:t xml:space="preserve">इन्वति (invati)</w:t>
      </w:r>
      <w:r>
        <w:t xml:space="preserve"> </w:t>
      </w:r>
      <w:r>
        <w:t xml:space="preserve">— pervades (brings about).</w:t>
      </w:r>
    </w:p>
    <w:p>
      <w:pPr>
        <w:pStyle w:val="BodyText"/>
      </w:pPr>
      <w:r>
        <w:rPr>
          <w:bCs/>
          <w:b/>
        </w:rPr>
        <w:t xml:space="preserve">॥ Bhāvārthaḥ ॥</w:t>
      </w:r>
    </w:p>
    <w:p>
      <w:pPr>
        <w:pStyle w:val="BodyText"/>
      </w:pPr>
      <w:r>
        <w:t xml:space="preserve">Even a learned sacrificer cannot accomplish the rite without the help of Sadasaspati. For this Sadasaspati brings about the connection between the matters that come into our mind and the rites we have to do; that is, he makes our minds intent on the rites to be performed.</w:t>
      </w:r>
    </w:p>
    <w:p>
      <w:pPr>
        <w:pStyle w:val="BodyText"/>
      </w:pPr>
      <w:r>
        <w:rPr>
          <w:bCs/>
          <w:b/>
        </w:rPr>
        <w:t xml:space="preserve">॥ English Translation ॥</w:t>
      </w:r>
      <w:r>
        <w:t xml:space="preserve"> </w:t>
      </w:r>
      <w:r>
        <w:rPr>
          <w:iCs/>
          <w:i/>
        </w:rPr>
        <w:t xml:space="preserve">(as printed in the source)</w:t>
      </w:r>
    </w:p>
    <w:p>
      <w:pPr>
        <w:pStyle w:val="BlockText"/>
      </w:pPr>
      <w:r>
        <w:t xml:space="preserve">Without whose aid the sacrifice even of the wise does not prosper, he prompts the pious feelings in our thonghts [sic].</w:t>
      </w:r>
    </w:p>
    <w:p>
      <w:pPr>
        <w:pStyle w:val="FirstParagraph"/>
      </w:pPr>
      <w:r>
        <w:rPr>
          <w:bCs/>
          <w:b/>
        </w:rPr>
        <w:t xml:space="preserve">॥ Viśeṣa-viṣayagaḷu (Special Topics) ॥</w:t>
      </w:r>
    </w:p>
    <w:p>
      <w:pPr>
        <w:pStyle w:val="BodyText"/>
      </w:pPr>
      <w:r>
        <w:rPr>
          <w:bCs/>
          <w:b/>
        </w:rPr>
        <w:t xml:space="preserve">Cana</w:t>
      </w:r>
      <w:r>
        <w:t xml:space="preserve">:</w:t>
      </w:r>
      <w:r>
        <w:t xml:space="preserve"> </w:t>
      </w:r>
      <w:r>
        <w:rPr>
          <w:iCs/>
          <w:i/>
        </w:rPr>
        <w:t xml:space="preserve">api</w:t>
      </w:r>
      <w:r>
        <w:t xml:space="preserve">; this word means</w:t>
      </w:r>
      <w:r>
        <w:t xml:space="preserve"> </w:t>
      </w:r>
      <w:r>
        <w:t xml:space="preserve">“</w:t>
      </w:r>
      <w:r>
        <w:t xml:space="preserve">even</w:t>
      </w:r>
      <w:r>
        <w:t xml:space="preserve">”</w:t>
      </w:r>
      <w:r>
        <w:t xml:space="preserve">.</w:t>
      </w:r>
    </w:p>
    <w:p>
      <w:pPr>
        <w:pStyle w:val="BodyText"/>
      </w:pPr>
      <w:r>
        <w:rPr>
          <w:bCs/>
          <w:b/>
        </w:rPr>
        <w:t xml:space="preserve">Dhīnām</w:t>
      </w:r>
      <w:r>
        <w:t xml:space="preserve">: the word</w:t>
      </w:r>
      <w:r>
        <w:t xml:space="preserve"> </w:t>
      </w:r>
      <w:r>
        <w:rPr>
          <w:iCs/>
          <w:i/>
        </w:rPr>
        <w:t xml:space="preserve">dhī</w:t>
      </w:r>
      <w:r>
        <w:t xml:space="preserve"> </w:t>
      </w:r>
      <w:r>
        <w:t xml:space="preserve">has two senses, intelligence and action (Ni.</w:t>
      </w:r>
      <w:r>
        <w:t xml:space="preserve"> </w:t>
      </w:r>
      <w:r>
        <w:t xml:space="preserve">“</w:t>
      </w:r>
      <w:r>
        <w:t xml:space="preserve">3-13</w:t>
      </w:r>
      <w:r>
        <w:t xml:space="preserve">”</w:t>
      </w:r>
      <w:r>
        <w:t xml:space="preserve"> </w:t>
      </w:r>
      <w:r>
        <w:t xml:space="preserve">and Ni.</w:t>
      </w:r>
      <w:r>
        <w:t xml:space="preserve"> </w:t>
      </w:r>
      <w:r>
        <w:t xml:space="preserve">“</w:t>
      </w:r>
      <w:r>
        <w:t xml:space="preserve">3-2</w:t>
      </w:r>
      <w:r>
        <w:t xml:space="preserve">”</w:t>
      </w:r>
      <w:r>
        <w:t xml:space="preserve"> </w:t>
      </w:r>
      <w:r>
        <w:t xml:space="preserve">[as read, ?]). So</w:t>
      </w:r>
      <w:r>
        <w:t xml:space="preserve"> </w:t>
      </w:r>
      <w:r>
        <w:rPr>
          <w:iCs/>
          <w:i/>
        </w:rPr>
        <w:t xml:space="preserve">dhīnāṃ yogam invati</w:t>
      </w:r>
      <w:r>
        <w:t xml:space="preserve"> </w:t>
      </w:r>
      <w:r>
        <w:t xml:space="preserve">means he brings about connection with the rites such as sacrifice that we do; or he brings about connection to our understanding so that we do the rites.</w:t>
      </w:r>
      <w:r>
        <w:t xml:space="preserve"> </w:t>
      </w:r>
      <w:r>
        <w:t xml:space="preserve">“</w:t>
      </w:r>
      <w:r>
        <w:t xml:space="preserve">Brings about connection</w:t>
      </w:r>
      <w:r>
        <w:t xml:space="preserve">”</w:t>
      </w:r>
      <w:r>
        <w:t xml:space="preserve"> </w:t>
      </w:r>
      <w:r>
        <w:t xml:space="preserve">means: he urges our understanding to engage in the performance of rites.</w:t>
      </w:r>
    </w:p>
    <w:bookmarkEnd w:id="856"/>
    <w:bookmarkStart w:id="857" w:name="page-775-rik-7-grammar"/>
    <w:p>
      <w:pPr>
        <w:pStyle w:val="Heading3"/>
      </w:pPr>
      <w:r>
        <w:t xml:space="preserve">Page 775 — Rik 7: grammar</w:t>
      </w:r>
    </w:p>
    <w:p>
      <w:pPr>
        <w:pStyle w:val="FirstParagraph"/>
      </w:pPr>
      <w:r>
        <w:rPr>
          <w:bCs/>
          <w:b/>
        </w:rPr>
        <w:t xml:space="preserve">॥ Vyākaraṇa-prakriyā ॥</w:t>
      </w:r>
      <w:r>
        <w:t xml:space="preserve"> </w:t>
      </w:r>
      <w:r>
        <w:rPr>
          <w:iCs/>
          <w:i/>
        </w:rPr>
        <w:t xml:space="preserve">(grammar on p. 775, noted briefly)</w:t>
      </w:r>
    </w:p>
    <w:p>
      <w:pPr>
        <w:pStyle w:val="BodyText"/>
      </w:pPr>
      <w:r>
        <w:rPr>
          <w:bCs/>
          <w:b/>
        </w:rPr>
        <w:t xml:space="preserve">यस्मात् (</w:t>
      </w:r>
      <w:r>
        <w:rPr>
          <w:iCs/>
          <w:i/>
          <w:bCs/>
          <w:b/>
        </w:rPr>
        <w:t xml:space="preserve">yasmāt</w:t>
      </w:r>
      <w:r>
        <w:rPr>
          <w:bCs/>
          <w:b/>
        </w:rPr>
        <w:t xml:space="preserve">)</w:t>
      </w:r>
      <w:r>
        <w:t xml:space="preserve">: here the word</w:t>
      </w:r>
      <w:r>
        <w:t xml:space="preserve"> </w:t>
      </w:r>
      <w:r>
        <w:rPr>
          <w:iCs/>
          <w:i/>
        </w:rPr>
        <w:t xml:space="preserve">yad</w:t>
      </w:r>
      <w:r>
        <w:t xml:space="preserve"> </w:t>
      </w:r>
      <w:r>
        <w:t xml:space="preserve">is connected with the word</w:t>
      </w:r>
      <w:r>
        <w:t xml:space="preserve"> </w:t>
      </w:r>
      <w:r>
        <w:rPr>
          <w:iCs/>
          <w:i/>
        </w:rPr>
        <w:t xml:space="preserve">ṛte</w:t>
      </w:r>
      <w:r>
        <w:t xml:space="preserve">. So by</w:t>
      </w:r>
      <w:r>
        <w:t xml:space="preserve"> </w:t>
      </w:r>
      <w:r>
        <w:t xml:space="preserve">“</w:t>
      </w:r>
      <w:r>
        <w:t xml:space="preserve">anyārāditarartedikśabdāñcūttarapadājāhiyukte</w:t>
      </w:r>
      <w:r>
        <w:t xml:space="preserve">”</w:t>
      </w:r>
      <w:r>
        <w:t xml:space="preserve"> </w:t>
      </w:r>
      <w:r>
        <w:t xml:space="preserve">(Pā. sū. 2-3-29), when connected with</w:t>
      </w:r>
      <w:r>
        <w:t xml:space="preserve"> </w:t>
      </w:r>
      <w:r>
        <w:rPr>
          <w:iCs/>
          <w:i/>
        </w:rPr>
        <w:t xml:space="preserve">anya</w:t>
      </w:r>
      <w:r>
        <w:t xml:space="preserve">,</w:t>
      </w:r>
      <w:r>
        <w:t xml:space="preserve"> </w:t>
      </w:r>
      <w:r>
        <w:rPr>
          <w:iCs/>
          <w:i/>
        </w:rPr>
        <w:t xml:space="preserve">ārāt</w:t>
      </w:r>
      <w:r>
        <w:t xml:space="preserve">,</w:t>
      </w:r>
      <w:r>
        <w:t xml:space="preserve"> </w:t>
      </w:r>
      <w:r>
        <w:rPr>
          <w:iCs/>
          <w:i/>
        </w:rPr>
        <w:t xml:space="preserve">itara</w:t>
      </w:r>
      <w:r>
        <w:t xml:space="preserve">,</w:t>
      </w:r>
      <w:r>
        <w:t xml:space="preserve"> </w:t>
      </w:r>
      <w:r>
        <w:rPr>
          <w:iCs/>
          <w:i/>
        </w:rPr>
        <w:t xml:space="preserve">ṛte</w:t>
      </w:r>
      <w:r>
        <w:t xml:space="preserve">, words seen to denote the quarters such as</w:t>
      </w:r>
      <w:r>
        <w:t xml:space="preserve"> </w:t>
      </w:r>
      <w:r>
        <w:rPr>
          <w:iCs/>
          <w:i/>
        </w:rPr>
        <w:t xml:space="preserve">pūrva</w:t>
      </w:r>
      <w:r>
        <w:t xml:space="preserve">, words with</w:t>
      </w:r>
      <w:r>
        <w:t xml:space="preserve"> </w:t>
      </w:r>
      <w:r>
        <w:rPr>
          <w:iCs/>
          <w:i/>
        </w:rPr>
        <w:t xml:space="preserve">añc</w:t>
      </w:r>
      <w:r>
        <w:t xml:space="preserve"> </w:t>
      </w:r>
      <w:r>
        <w:t xml:space="preserve">as final member, and</w:t>
      </w:r>
      <w:r>
        <w:t xml:space="preserve"> </w:t>
      </w:r>
      <w:r>
        <w:rPr>
          <w:iCs/>
          <w:i/>
        </w:rPr>
        <w:t xml:space="preserve">āc</w:t>
      </w:r>
      <w:r>
        <w:t xml:space="preserve"> </w:t>
      </w:r>
      <w:r>
        <w:t xml:space="preserve">and</w:t>
      </w:r>
      <w:r>
        <w:t xml:space="preserve"> </w:t>
      </w:r>
      <w:r>
        <w:rPr>
          <w:iCs/>
          <w:i/>
        </w:rPr>
        <w:t xml:space="preserve">āhi</w:t>
      </w:r>
      <w:r>
        <w:t xml:space="preserve">, the ablative comes after the stem denoting the sense construed with them; so the ablative comes after the word</w:t>
      </w:r>
      <w:r>
        <w:t xml:space="preserve"> </w:t>
      </w:r>
      <w:r>
        <w:rPr>
          <w:iCs/>
          <w:i/>
        </w:rPr>
        <w:t xml:space="preserve">yad</w:t>
      </w:r>
      <w:r>
        <w:t xml:space="preserve">, construed with the sense of the word</w:t>
      </w:r>
      <w:r>
        <w:t xml:space="preserve"> </w:t>
      </w:r>
      <w:r>
        <w:rPr>
          <w:iCs/>
          <w:i/>
        </w:rPr>
        <w:t xml:space="preserve">ṛte</w:t>
      </w:r>
      <w:r>
        <w:t xml:space="preserve">:</w:t>
      </w:r>
      <w:r>
        <w:t xml:space="preserve"> </w:t>
      </w:r>
      <w:r>
        <w:rPr>
          <w:iCs/>
          <w:i/>
        </w:rPr>
        <w:t xml:space="preserve">yad</w:t>
      </w:r>
      <w:r>
        <w:t xml:space="preserve"> </w:t>
      </w:r>
      <w:r>
        <w:t xml:space="preserve">+</w:t>
      </w:r>
      <w:r>
        <w:t xml:space="preserve"> </w:t>
      </w:r>
      <w:r>
        <w:rPr>
          <w:iCs/>
          <w:i/>
        </w:rPr>
        <w:t xml:space="preserve">ṅasi</w:t>
      </w:r>
      <w:r>
        <w:t xml:space="preserve">. By</w:t>
      </w:r>
      <w:r>
        <w:t xml:space="preserve"> </w:t>
      </w:r>
      <w:r>
        <w:t xml:space="preserve">“</w:t>
      </w:r>
      <w:r>
        <w:t xml:space="preserve">tyadādīnām aḥ</w:t>
      </w:r>
      <w:r>
        <w:t xml:space="preserve">”</w:t>
      </w:r>
      <w:r>
        <w:t xml:space="preserve"> </w:t>
      </w:r>
      <w:r>
        <w:t xml:space="preserve">(Pā. sū. 7-2-102)</w:t>
      </w:r>
      <w:r>
        <w:t xml:space="preserve"> </w:t>
      </w:r>
      <w:r>
        <w:rPr>
          <w:iCs/>
          <w:i/>
        </w:rPr>
        <w:t xml:space="preserve">a</w:t>
      </w:r>
      <w:r>
        <w:t xml:space="preserve"> </w:t>
      </w:r>
      <w:r>
        <w:t xml:space="preserve">for the</w:t>
      </w:r>
      <w:r>
        <w:t xml:space="preserve"> </w:t>
      </w:r>
      <w:r>
        <w:rPr>
          <w:iCs/>
          <w:i/>
        </w:rPr>
        <w:t xml:space="preserve">d</w:t>
      </w:r>
      <w:r>
        <w:t xml:space="preserve">; by</w:t>
      </w:r>
      <w:r>
        <w:t xml:space="preserve"> </w:t>
      </w:r>
      <w:r>
        <w:t xml:space="preserve">“</w:t>
      </w:r>
      <w:r>
        <w:t xml:space="preserve">ato guṇe</w:t>
      </w:r>
      <w:r>
        <w:t xml:space="preserve">”</w:t>
      </w:r>
      <w:r>
        <w:t xml:space="preserve"> </w:t>
      </w:r>
      <w:r>
        <w:t xml:space="preserve">(Pā. sū. 6-1-97) the</w:t>
      </w:r>
      <w:r>
        <w:t xml:space="preserve"> </w:t>
      </w:r>
      <w:r>
        <w:rPr>
          <w:iCs/>
          <w:i/>
        </w:rPr>
        <w:t xml:space="preserve">pararūpa</w:t>
      </w:r>
      <w:r>
        <w:t xml:space="preserve">. By</w:t>
      </w:r>
      <w:r>
        <w:t xml:space="preserve"> </w:t>
      </w:r>
      <w:r>
        <w:t xml:space="preserve">“</w:t>
      </w:r>
      <w:r>
        <w:t xml:space="preserve">ṅasiṅyoḥ smātsminau</w:t>
      </w:r>
      <w:r>
        <w:t xml:space="preserve">”</w:t>
      </w:r>
      <w:r>
        <w:t xml:space="preserve"> </w:t>
      </w:r>
      <w:r>
        <w:t xml:space="preserve">(Pā. sū. 7-1-15), for</w:t>
      </w:r>
      <w:r>
        <w:t xml:space="preserve"> </w:t>
      </w:r>
      <w:r>
        <w:rPr>
          <w:iCs/>
          <w:i/>
        </w:rPr>
        <w:t xml:space="preserve">ṅasi</w:t>
      </w:r>
      <w:r>
        <w:t xml:space="preserve"> </w:t>
      </w:r>
      <w:r>
        <w:t xml:space="preserve">and</w:t>
      </w:r>
      <w:r>
        <w:t xml:space="preserve"> </w:t>
      </w:r>
      <w:r>
        <w:rPr>
          <w:iCs/>
          <w:i/>
        </w:rPr>
        <w:t xml:space="preserve">ṅi</w:t>
      </w:r>
      <w:r>
        <w:t xml:space="preserve"> </w:t>
      </w:r>
      <w:r>
        <w:t xml:space="preserve">after a pronoun ending in short</w:t>
      </w:r>
      <w:r>
        <w:t xml:space="preserve"> </w:t>
      </w:r>
      <w:r>
        <w:rPr>
          <w:iCs/>
          <w:i/>
        </w:rPr>
        <w:t xml:space="preserve">a</w:t>
      </w:r>
      <w:r>
        <w:t xml:space="preserve">, the substitutes</w:t>
      </w:r>
      <w:r>
        <w:t xml:space="preserve"> </w:t>
      </w:r>
      <w:r>
        <w:rPr>
          <w:iCs/>
          <w:i/>
        </w:rPr>
        <w:t xml:space="preserve">smāt</w:t>
      </w:r>
      <w:r>
        <w:t xml:space="preserve"> </w:t>
      </w:r>
      <w:r>
        <w:t xml:space="preserve">and</w:t>
      </w:r>
      <w:r>
        <w:t xml:space="preserve"> </w:t>
      </w:r>
      <w:r>
        <w:rPr>
          <w:iCs/>
          <w:i/>
        </w:rPr>
        <w:t xml:space="preserve">smin</w:t>
      </w:r>
      <w:r>
        <w:t xml:space="preserve"> </w:t>
      </w:r>
      <w:r>
        <w:t xml:space="preserve">respectively; so</w:t>
      </w:r>
      <w:r>
        <w:t xml:space="preserve"> </w:t>
      </w:r>
      <w:r>
        <w:rPr>
          <w:iCs/>
          <w:i/>
        </w:rPr>
        <w:t xml:space="preserve">smāt</w:t>
      </w:r>
      <w:r>
        <w:t xml:space="preserve"> </w:t>
      </w:r>
      <w:r>
        <w:t xml:space="preserve">for</w:t>
      </w:r>
      <w:r>
        <w:t xml:space="preserve"> </w:t>
      </w:r>
      <w:r>
        <w:rPr>
          <w:iCs/>
          <w:i/>
        </w:rPr>
        <w:t xml:space="preserve">ṅasi</w:t>
      </w:r>
      <w:r>
        <w:t xml:space="preserve">:</w:t>
      </w:r>
      <w:r>
        <w:t xml:space="preserve"> </w:t>
      </w:r>
      <w:r>
        <w:rPr>
          <w:iCs/>
          <w:i/>
        </w:rPr>
        <w:t xml:space="preserve">yasmāt</w:t>
      </w:r>
      <w:r>
        <w:t xml:space="preserve">. By</w:t>
      </w:r>
      <w:r>
        <w:t xml:space="preserve"> </w:t>
      </w:r>
      <w:r>
        <w:t xml:space="preserve">“</w:t>
      </w:r>
      <w:r>
        <w:t xml:space="preserve">sāv ekācas tṛtīyādir vibhaktiḥ</w:t>
      </w:r>
      <w:r>
        <w:t xml:space="preserve">”</w:t>
      </w:r>
      <w:r>
        <w:t xml:space="preserve"> </w:t>
      </w:r>
      <w:r>
        <w:t xml:space="preserve">(Pā. sū. 6-1-168),</w:t>
      </w:r>
      <w:r>
        <w:t xml:space="preserve"> </w:t>
      </w:r>
      <w:r>
        <w:rPr>
          <w:iCs/>
          <w:i/>
        </w:rPr>
        <w:t xml:space="preserve">su</w:t>
      </w:r>
      <w:r>
        <w:t xml:space="preserve"> </w:t>
      </w:r>
      <w:r>
        <w:t xml:space="preserve">here meaning the locative plural suffix, the sense of the sūtra is that after a word that has a single vowel when that suffix follows, the case-endings from the instrumental on are udātta. In the locative plural the form is</w:t>
      </w:r>
      <w:r>
        <w:t xml:space="preserve"> </w:t>
      </w:r>
      <w:r>
        <w:rPr>
          <w:iCs/>
          <w:i/>
        </w:rPr>
        <w:t xml:space="preserve">yeṣu</w:t>
      </w:r>
      <w:r>
        <w:t xml:space="preserve">; the</w:t>
      </w:r>
      <w:r>
        <w:t xml:space="preserve"> </w:t>
      </w:r>
      <w:r>
        <w:rPr>
          <w:iCs/>
          <w:i/>
        </w:rPr>
        <w:t xml:space="preserve">ye</w:t>
      </w:r>
      <w:r>
        <w:t xml:space="preserve"> </w:t>
      </w:r>
      <w:r>
        <w:t xml:space="preserve">before the locative plural</w:t>
      </w:r>
      <w:r>
        <w:t xml:space="preserve"> </w:t>
      </w:r>
      <w:r>
        <w:rPr>
          <w:iCs/>
          <w:i/>
        </w:rPr>
        <w:t xml:space="preserve">su</w:t>
      </w:r>
      <w:r>
        <w:t xml:space="preserve"> </w:t>
      </w:r>
      <w:r>
        <w:t xml:space="preserve">is the word</w:t>
      </w:r>
      <w:r>
        <w:t xml:space="preserve"> </w:t>
      </w:r>
      <w:r>
        <w:rPr>
          <w:iCs/>
          <w:i/>
        </w:rPr>
        <w:t xml:space="preserve">yad</w:t>
      </w:r>
      <w:r>
        <w:t xml:space="preserve"> </w:t>
      </w:r>
      <w:r>
        <w:t xml:space="preserve">with one vowel. So udātta would come to the ablative ending after</w:t>
      </w:r>
      <w:r>
        <w:t xml:space="preserve"> </w:t>
      </w:r>
      <w:r>
        <w:rPr>
          <w:iCs/>
          <w:i/>
        </w:rPr>
        <w:t xml:space="preserve">yad</w:t>
      </w:r>
      <w:r>
        <w:t xml:space="preserve">, which is among the endings from the instrumental on. But in the nominative singular</w:t>
      </w:r>
      <w:r>
        <w:t xml:space="preserve"> </w:t>
      </w:r>
      <w:r>
        <w:rPr>
          <w:iCs/>
          <w:i/>
        </w:rPr>
        <w:t xml:space="preserve">yaḥ</w:t>
      </w:r>
      <w:r>
        <w:t xml:space="preserve">, before</w:t>
      </w:r>
      <w:r>
        <w:t xml:space="preserve"> </w:t>
      </w:r>
      <w:r>
        <w:rPr>
          <w:iCs/>
          <w:i/>
        </w:rPr>
        <w:t xml:space="preserve">su</w:t>
      </w:r>
      <w:r>
        <w:t xml:space="preserve">, the word ends in</w:t>
      </w:r>
      <w:r>
        <w:t xml:space="preserve"> </w:t>
      </w:r>
      <w:r>
        <w:rPr>
          <w:iCs/>
          <w:i/>
        </w:rPr>
        <w:t xml:space="preserve">a</w:t>
      </w:r>
      <w:r>
        <w:t xml:space="preserve">. So the bar comes to it by</w:t>
      </w:r>
      <w:r>
        <w:t xml:space="preserve"> </w:t>
      </w:r>
      <w:r>
        <w:t xml:space="preserve">“</w:t>
      </w:r>
      <w:r>
        <w:t xml:space="preserve">na gośvansāvavarṇa…</w:t>
      </w:r>
      <w:r>
        <w:t xml:space="preserve">”</w:t>
      </w:r>
      <w:r>
        <w:t xml:space="preserve"> </w:t>
      </w:r>
      <w:r>
        <w:t xml:space="preserve">(Pā. sū. 6-1-182). So</w:t>
      </w:r>
      <w:r>
        <w:t xml:space="preserve"> </w:t>
      </w:r>
      <w:r>
        <w:rPr>
          <w:iCs/>
          <w:i/>
        </w:rPr>
        <w:t xml:space="preserve">smāt</w:t>
      </w:r>
      <w:r>
        <w:t xml:space="preserve"> </w:t>
      </w:r>
      <w:r>
        <w:t xml:space="preserve">is unaccented by the</w:t>
      </w:r>
      <w:r>
        <w:t xml:space="preserve"> </w:t>
      </w:r>
      <w:r>
        <w:rPr>
          <w:iCs/>
          <w:i/>
        </w:rPr>
        <w:t xml:space="preserve">sup</w:t>
      </w:r>
      <w:r>
        <w:t xml:space="preserve"> </w:t>
      </w:r>
      <w:r>
        <w:t xml:space="preserve">accent.</w:t>
      </w:r>
    </w:p>
    <w:p>
      <w:pPr>
        <w:pStyle w:val="BodyText"/>
      </w:pPr>
      <w:r>
        <w:rPr>
          <w:bCs/>
          <w:b/>
        </w:rPr>
        <w:t xml:space="preserve">सिध्यति (</w:t>
      </w:r>
      <w:r>
        <w:rPr>
          <w:iCs/>
          <w:i/>
          <w:bCs/>
          <w:b/>
        </w:rPr>
        <w:t xml:space="preserve">sidhyati</w:t>
      </w:r>
      <w:r>
        <w:rPr>
          <w:bCs/>
          <w:b/>
        </w:rPr>
        <w:t xml:space="preserve">)</w:t>
      </w:r>
      <w:r>
        <w:t xml:space="preserve">:</w:t>
      </w:r>
      <w:r>
        <w:t xml:space="preserve"> </w:t>
      </w:r>
      <w:r>
        <w:rPr>
          <w:iCs/>
          <w:i/>
        </w:rPr>
        <w:t xml:space="preserve">ṣidhu saṃrāddhau</w:t>
      </w:r>
      <w:r>
        <w:t xml:space="preserve">, of the</w:t>
      </w:r>
      <w:r>
        <w:t xml:space="preserve"> </w:t>
      </w:r>
      <w:r>
        <w:rPr>
          <w:iCs/>
          <w:i/>
        </w:rPr>
        <w:t xml:space="preserve">div-ādi</w:t>
      </w:r>
      <w:r>
        <w:t xml:space="preserve">;</w:t>
      </w:r>
      <w:r>
        <w:t xml:space="preserve"> </w:t>
      </w:r>
      <w:r>
        <w:rPr>
          <w:iCs/>
          <w:i/>
        </w:rPr>
        <w:t xml:space="preserve">s</w:t>
      </w:r>
      <w:r>
        <w:t xml:space="preserve"> </w:t>
      </w:r>
      <w:r>
        <w:t xml:space="preserve">for</w:t>
      </w:r>
      <w:r>
        <w:t xml:space="preserve"> </w:t>
      </w:r>
      <w:r>
        <w:rPr>
          <w:iCs/>
          <w:i/>
        </w:rPr>
        <w:t xml:space="preserve">ṣ</w:t>
      </w:r>
      <w:r>
        <w:t xml:space="preserve"> </w:t>
      </w:r>
      <w:r>
        <w:t xml:space="preserve">by</w:t>
      </w:r>
      <w:r>
        <w:t xml:space="preserve"> </w:t>
      </w:r>
      <w:r>
        <w:rPr>
          <w:iCs/>
          <w:i/>
        </w:rPr>
        <w:t xml:space="preserve">dhātvādeḥ ṣaḥ saḥ</w:t>
      </w:r>
      <w:r>
        <w:t xml:space="preserve">;</w:t>
      </w:r>
      <w:r>
        <w:t xml:space="preserve"> </w:t>
      </w:r>
      <w:r>
        <w:rPr>
          <w:iCs/>
          <w:i/>
        </w:rPr>
        <w:t xml:space="preserve">laṭ</w:t>
      </w:r>
      <w:r>
        <w:t xml:space="preserve">,</w:t>
      </w:r>
      <w:r>
        <w:t xml:space="preserve"> </w:t>
      </w:r>
      <w:r>
        <w:rPr>
          <w:iCs/>
          <w:i/>
        </w:rPr>
        <w:t xml:space="preserve">tip</w:t>
      </w:r>
      <w:r>
        <w:t xml:space="preserve">. By</w:t>
      </w:r>
      <w:r>
        <w:t xml:space="preserve"> </w:t>
      </w:r>
      <w:r>
        <w:t xml:space="preserve">“</w:t>
      </w:r>
      <w:r>
        <w:t xml:space="preserve">divādibhyaḥ śyan</w:t>
      </w:r>
      <w:r>
        <w:t xml:space="preserve">”</w:t>
      </w:r>
      <w:r>
        <w:t xml:space="preserve"> </w:t>
      </w:r>
      <w:r>
        <w:t xml:space="preserve">(Pā. sū. 3-1-69)</w:t>
      </w:r>
      <w:r>
        <w:t xml:space="preserve"> </w:t>
      </w:r>
      <w:r>
        <w:rPr>
          <w:iCs/>
          <w:i/>
        </w:rPr>
        <w:t xml:space="preserve">śyan</w:t>
      </w:r>
      <w:r>
        <w:t xml:space="preserve">:</w:t>
      </w:r>
      <w:r>
        <w:t xml:space="preserve"> </w:t>
      </w:r>
      <w:r>
        <w:rPr>
          <w:iCs/>
          <w:i/>
        </w:rPr>
        <w:t xml:space="preserve">sidhyati</w:t>
      </w:r>
      <w:r>
        <w:t xml:space="preserve">.</w:t>
      </w:r>
      <w:r>
        <w:t xml:space="preserve"> </w:t>
      </w:r>
      <w:r>
        <w:rPr>
          <w:iCs/>
          <w:i/>
        </w:rPr>
        <w:t xml:space="preserve">Śyan</w:t>
      </w:r>
      <w:r>
        <w:t xml:space="preserve"> </w:t>
      </w:r>
      <w:r>
        <w:t xml:space="preserve">is</w:t>
      </w:r>
      <w:r>
        <w:t xml:space="preserve"> </w:t>
      </w:r>
      <w:r>
        <w:rPr>
          <w:iCs/>
          <w:i/>
        </w:rPr>
        <w:t xml:space="preserve">nit</w:t>
      </w:r>
      <w:r>
        <w:t xml:space="preserve">, so it is initial udātta by the</w:t>
      </w:r>
      <w:r>
        <w:t xml:space="preserve"> </w:t>
      </w:r>
      <w:r>
        <w:rPr>
          <w:iCs/>
          <w:i/>
        </w:rPr>
        <w:t xml:space="preserve">nit</w:t>
      </w:r>
      <w:r>
        <w:t xml:space="preserve"> </w:t>
      </w:r>
      <w:r>
        <w:t xml:space="preserve">accent. Since it follows a word containing</w:t>
      </w:r>
      <w:r>
        <w:t xml:space="preserve"> </w:t>
      </w:r>
      <w:r>
        <w:rPr>
          <w:iCs/>
          <w:i/>
        </w:rPr>
        <w:t xml:space="preserve">yad</w:t>
      </w:r>
      <w:r>
        <w:t xml:space="preserve">,</w:t>
      </w:r>
      <w:r>
        <w:t xml:space="preserve"> </w:t>
      </w:r>
      <w:r>
        <w:rPr>
          <w:iCs/>
          <w:i/>
        </w:rPr>
        <w:t xml:space="preserve">yasmāt</w:t>
      </w:r>
      <w:r>
        <w:t xml:space="preserve">, the bar</w:t>
      </w:r>
      <w:r>
        <w:t xml:space="preserve"> </w:t>
      </w:r>
      <w:r>
        <w:t xml:space="preserve">“</w:t>
      </w:r>
      <w:r>
        <w:t xml:space="preserve">yadvṛttān nityam</w:t>
      </w:r>
      <w:r>
        <w:t xml:space="preserve">”</w:t>
      </w:r>
      <w:r>
        <w:t xml:space="preserve"> </w:t>
      </w:r>
      <w:r>
        <w:t xml:space="preserve">(Pā. sū. 8-1-66) comes, so it is not wholly unaccented by</w:t>
      </w:r>
      <w:r>
        <w:t xml:space="preserve"> </w:t>
      </w:r>
      <w:r>
        <w:rPr>
          <w:iCs/>
          <w:i/>
        </w:rPr>
        <w:t xml:space="preserve">tiṅṅatiṅaḥ</w:t>
      </w:r>
      <w:r>
        <w:t xml:space="preserve">.</w:t>
      </w:r>
    </w:p>
    <w:p>
      <w:pPr>
        <w:pStyle w:val="BodyText"/>
      </w:pPr>
      <w:r>
        <w:rPr>
          <w:bCs/>
          <w:b/>
        </w:rPr>
        <w:t xml:space="preserve">धीनाम् (</w:t>
      </w:r>
      <w:r>
        <w:rPr>
          <w:iCs/>
          <w:i/>
          <w:bCs/>
          <w:b/>
        </w:rPr>
        <w:t xml:space="preserve">dhīnām</w:t>
      </w:r>
      <w:r>
        <w:rPr>
          <w:bCs/>
          <w:b/>
        </w:rPr>
        <w:t xml:space="preserve">)</w:t>
      </w:r>
      <w:r>
        <w:t xml:space="preserve">: the ending is udātta by</w:t>
      </w:r>
      <w:r>
        <w:t xml:space="preserve"> </w:t>
      </w:r>
      <w:r>
        <w:rPr>
          <w:iCs/>
          <w:i/>
        </w:rPr>
        <w:t xml:space="preserve">sāv ekācaḥ</w:t>
      </w:r>
      <w:r>
        <w:t xml:space="preserve">.</w:t>
      </w:r>
    </w:p>
    <w:p>
      <w:pPr>
        <w:pStyle w:val="BodyText"/>
      </w:pPr>
      <w:r>
        <w:rPr>
          <w:bCs/>
          <w:b/>
        </w:rPr>
        <w:t xml:space="preserve">योगम् (</w:t>
      </w:r>
      <w:r>
        <w:rPr>
          <w:iCs/>
          <w:i/>
          <w:bCs/>
          <w:b/>
        </w:rPr>
        <w:t xml:space="preserve">yogam</w:t>
      </w:r>
      <w:r>
        <w:rPr>
          <w:bCs/>
          <w:b/>
        </w:rPr>
        <w:t xml:space="preserve">)</w:t>
      </w:r>
      <w:r>
        <w:t xml:space="preserve">: the root</w:t>
      </w:r>
      <w:r>
        <w:t xml:space="preserve"> </w:t>
      </w:r>
      <w:r>
        <w:rPr>
          <w:iCs/>
          <w:i/>
        </w:rPr>
        <w:t xml:space="preserve">yujir yoge</w:t>
      </w:r>
      <w:r>
        <w:t xml:space="preserve">. By</w:t>
      </w:r>
      <w:r>
        <w:t xml:space="preserve"> </w:t>
      </w:r>
      <w:r>
        <w:rPr>
          <w:iCs/>
          <w:i/>
        </w:rPr>
        <w:t xml:space="preserve">bhāve</w:t>
      </w:r>
      <w:r>
        <w:t xml:space="preserve"> </w:t>
      </w:r>
      <w:r>
        <w:t xml:space="preserve">the suffix</w:t>
      </w:r>
      <w:r>
        <w:t xml:space="preserve"> </w:t>
      </w:r>
      <w:r>
        <w:rPr>
          <w:iCs/>
          <w:i/>
        </w:rPr>
        <w:t xml:space="preserve">ghañ</w:t>
      </w:r>
      <w:r>
        <w:t xml:space="preserve">. By</w:t>
      </w:r>
      <w:r>
        <w:t xml:space="preserve"> </w:t>
      </w:r>
      <w:r>
        <w:t xml:space="preserve">“</w:t>
      </w:r>
      <w:r>
        <w:t xml:space="preserve">cajoḥ ku ghiṇṇyatoḥ</w:t>
      </w:r>
      <w:r>
        <w:t xml:space="preserve">”</w:t>
      </w:r>
      <w:r>
        <w:t xml:space="preserve"> </w:t>
      </w:r>
      <w:r>
        <w:t xml:space="preserve">(Pā. sū. 7-3-52), when a suffix with</w:t>
      </w:r>
      <w:r>
        <w:t xml:space="preserve"> </w:t>
      </w:r>
      <w:r>
        <w:rPr>
          <w:iCs/>
          <w:i/>
        </w:rPr>
        <w:t xml:space="preserve">gh</w:t>
      </w:r>
      <w:r>
        <w:t xml:space="preserve"> </w:t>
      </w:r>
      <w:r>
        <w:t xml:space="preserve">as</w:t>
      </w:r>
      <w:r>
        <w:t xml:space="preserve"> </w:t>
      </w:r>
      <w:r>
        <w:rPr>
          <w:iCs/>
          <w:i/>
        </w:rPr>
        <w:t xml:space="preserve">it</w:t>
      </w:r>
      <w:r>
        <w:t xml:space="preserve"> </w:t>
      </w:r>
      <w:r>
        <w:t xml:space="preserve">or the suffix</w:t>
      </w:r>
      <w:r>
        <w:t xml:space="preserve"> </w:t>
      </w:r>
      <w:r>
        <w:rPr>
          <w:iCs/>
          <w:i/>
        </w:rPr>
        <w:t xml:space="preserve">ṇyat</w:t>
      </w:r>
      <w:r>
        <w:t xml:space="preserve"> </w:t>
      </w:r>
      <w:r>
        <w:t xml:space="preserve">follows,</w:t>
      </w:r>
      <w:r>
        <w:t xml:space="preserve"> </w:t>
      </w:r>
      <w:r>
        <w:rPr>
          <w:iCs/>
          <w:i/>
        </w:rPr>
        <w:t xml:space="preserve">c</w:t>
      </w:r>
      <w:r>
        <w:t xml:space="preserve"> </w:t>
      </w:r>
      <w:r>
        <w:t xml:space="preserve">and</w:t>
      </w:r>
      <w:r>
        <w:t xml:space="preserve"> </w:t>
      </w:r>
      <w:r>
        <w:rPr>
          <w:iCs/>
          <w:i/>
        </w:rPr>
        <w:t xml:space="preserve">j</w:t>
      </w:r>
      <w:r>
        <w:t xml:space="preserve"> </w:t>
      </w:r>
      <w:r>
        <w:t xml:space="preserve">take the corresponding guttural; so for</w:t>
      </w:r>
      <w:r>
        <w:t xml:space="preserve"> </w:t>
      </w:r>
      <w:r>
        <w:rPr>
          <w:iCs/>
          <w:i/>
        </w:rPr>
        <w:t xml:space="preserve">j</w:t>
      </w:r>
      <w:r>
        <w:t xml:space="preserve">, the third of the</w:t>
      </w:r>
      <w:r>
        <w:t xml:space="preserve"> </w:t>
      </w:r>
      <w:r>
        <w:rPr>
          <w:iCs/>
          <w:i/>
        </w:rPr>
        <w:t xml:space="preserve">c</w:t>
      </w:r>
      <w:r>
        <w:t xml:space="preserve">-class,</w:t>
      </w:r>
      <w:r>
        <w:t xml:space="preserve"> </w:t>
      </w:r>
      <w:r>
        <w:rPr>
          <w:iCs/>
          <w:i/>
        </w:rPr>
        <w:t xml:space="preserve">g</w:t>
      </w:r>
      <w:r>
        <w:t xml:space="preserve">, the third of the</w:t>
      </w:r>
      <w:r>
        <w:t xml:space="preserve"> </w:t>
      </w:r>
      <w:r>
        <w:rPr>
          <w:iCs/>
          <w:i/>
        </w:rPr>
        <w:t xml:space="preserve">k</w:t>
      </w:r>
      <w:r>
        <w:t xml:space="preserve">-class; the</w:t>
      </w:r>
      <w:r>
        <w:t xml:space="preserve"> </w:t>
      </w:r>
      <w:r>
        <w:rPr>
          <w:iCs/>
          <w:i/>
        </w:rPr>
        <w:t xml:space="preserve">laghūpadha-guṇa</w:t>
      </w:r>
      <w:r>
        <w:t xml:space="preserve">. The suffix is</w:t>
      </w:r>
      <w:r>
        <w:t xml:space="preserve"> </w:t>
      </w:r>
      <w:r>
        <w:rPr>
          <w:iCs/>
          <w:i/>
        </w:rPr>
        <w:t xml:space="preserve">ñit</w:t>
      </w:r>
      <w:r>
        <w:t xml:space="preserve">, so</w:t>
      </w:r>
      <w:r>
        <w:t xml:space="preserve"> </w:t>
      </w:r>
      <w:r>
        <w:rPr>
          <w:iCs/>
          <w:i/>
        </w:rPr>
        <w:t xml:space="preserve">yoga</w:t>
      </w:r>
      <w:r>
        <w:t xml:space="preserve"> </w:t>
      </w:r>
      <w:r>
        <w:t xml:space="preserve">is initial udātta.</w:t>
      </w:r>
    </w:p>
    <w:p>
      <w:pPr>
        <w:pStyle w:val="BodyText"/>
      </w:pPr>
      <w:r>
        <w:rPr>
          <w:bCs/>
          <w:b/>
        </w:rPr>
        <w:t xml:space="preserve">इन्वति (</w:t>
      </w:r>
      <w:r>
        <w:rPr>
          <w:iCs/>
          <w:i/>
          <w:bCs/>
          <w:b/>
        </w:rPr>
        <w:t xml:space="preserve">invati</w:t>
      </w:r>
      <w:r>
        <w:rPr>
          <w:bCs/>
          <w:b/>
        </w:rPr>
        <w:t xml:space="preserve">)</w:t>
      </w:r>
      <w:r>
        <w:t xml:space="preserve">: the root</w:t>
      </w:r>
      <w:r>
        <w:t xml:space="preserve"> </w:t>
      </w:r>
      <w:r>
        <w:rPr>
          <w:iCs/>
          <w:i/>
        </w:rPr>
        <w:t xml:space="preserve">ivi vyāptau</w:t>
      </w:r>
      <w:r>
        <w:t xml:space="preserve">. By</w:t>
      </w:r>
      <w:r>
        <w:t xml:space="preserve"> </w:t>
      </w:r>
      <w:r>
        <w:t xml:space="preserve">“</w:t>
      </w:r>
      <w:r>
        <w:t xml:space="preserve">idito num dhātoḥ</w:t>
      </w:r>
      <w:r>
        <w:t xml:space="preserve">”</w:t>
      </w:r>
      <w:r>
        <w:t xml:space="preserve"> </w:t>
      </w:r>
      <w:r>
        <w:t xml:space="preserve">(Pā. sū. 7-1-58) the augment</w:t>
      </w:r>
      <w:r>
        <w:t xml:space="preserve"> </w:t>
      </w:r>
      <w:r>
        <w:rPr>
          <w:iCs/>
          <w:i/>
        </w:rPr>
        <w:t xml:space="preserve">num</w:t>
      </w:r>
      <w:r>
        <w:t xml:space="preserve">;</w:t>
      </w:r>
      <w:r>
        <w:t xml:space="preserve"> </w:t>
      </w:r>
      <w:r>
        <w:rPr>
          <w:iCs/>
          <w:i/>
        </w:rPr>
        <w:t xml:space="preserve">laṭ</w:t>
      </w:r>
      <w:r>
        <w:t xml:space="preserve">,</w:t>
      </w:r>
      <w:r>
        <w:t xml:space="preserve"> </w:t>
      </w:r>
      <w:r>
        <w:rPr>
          <w:iCs/>
          <w:i/>
        </w:rPr>
        <w:t xml:space="preserve">tip</w:t>
      </w:r>
      <w:r>
        <w:t xml:space="preserve">,</w:t>
      </w:r>
      <w:r>
        <w:t xml:space="preserve"> </w:t>
      </w:r>
      <w:r>
        <w:rPr>
          <w:iCs/>
          <w:i/>
        </w:rPr>
        <w:t xml:space="preserve">śap</w:t>
      </w:r>
      <w:r>
        <w:t xml:space="preserve">:</w:t>
      </w:r>
      <w:r>
        <w:t xml:space="preserve"> </w:t>
      </w:r>
      <w:r>
        <w:rPr>
          <w:iCs/>
          <w:i/>
        </w:rPr>
        <w:t xml:space="preserve">invati</w:t>
      </w:r>
      <w:r>
        <w:t xml:space="preserve">. By</w:t>
      </w:r>
      <w:r>
        <w:t xml:space="preserve"> </w:t>
      </w:r>
      <w:r>
        <w:rPr>
          <w:iCs/>
          <w:i/>
        </w:rPr>
        <w:t xml:space="preserve">tiṅṅatiṅaḥ</w:t>
      </w:r>
      <w:r>
        <w:t xml:space="preserve"> </w:t>
      </w:r>
      <w:r>
        <w:t xml:space="preserve">it is wholly unaccented.</w:t>
      </w:r>
    </w:p>
    <w:p>
      <w:pPr>
        <w:pStyle w:val="BodyText"/>
      </w:pPr>
      <w:r>
        <w:rPr>
          <w:bCs/>
          <w:b/>
        </w:rPr>
        <w:t xml:space="preserve">॥७॥</w:t>
      </w:r>
    </w:p>
    <w:p>
      <w:r>
        <w:pict>
          <v:rect style="width:0;height:1.5pt" o:hralign="center" o:hrstd="t" o:hr="t"/>
        </w:pict>
      </w:r>
    </w:p>
    <w:bookmarkEnd w:id="857"/>
    <w:bookmarkStart w:id="858" w:name="page-776-sūkta-18-rik-8"/>
    <w:p>
      <w:pPr>
        <w:pStyle w:val="Heading3"/>
      </w:pPr>
      <w:r>
        <w:t xml:space="preserve">Page 776 — Sūkta 18, Rik 8</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आदृ॑ध्नोति ह॒विष्कृ॑तिं॒ प्राञ्चं॑ कृणोत्यध्व॒रम् । [accent ?]</w:t>
      </w:r>
      <w:r>
        <w:t xml:space="preserve"> </w:t>
      </w:r>
      <w:r>
        <w:t xml:space="preserve">होत्रा॑ दे॒वेषु॑ गच्छति ॥८॥ [accent ?]</w:t>
      </w:r>
    </w:p>
    <w:p>
      <w:pPr>
        <w:pStyle w:val="BlockText"/>
      </w:pPr>
      <w:r>
        <w:rPr>
          <w:iCs/>
          <w:i/>
        </w:rPr>
        <w:t xml:space="preserve">ā́d ṛdhnoti havíṣkṛtiṃ prā́ñcaṃ kṛṇoty adhvarám |</w:t>
      </w:r>
      <w:r>
        <w:t xml:space="preserve"> </w:t>
      </w:r>
      <w:r>
        <w:t xml:space="preserve">[accent ?]</w:t>
      </w:r>
      <w:r>
        <w:t xml:space="preserve"> </w:t>
      </w:r>
      <w:r>
        <w:rPr>
          <w:iCs/>
          <w:i/>
        </w:rPr>
        <w:t xml:space="preserve">hótrā devéṣu gacchati ||8||</w:t>
      </w:r>
      <w:r>
        <w:t xml:space="preserve"> </w:t>
      </w:r>
      <w:r>
        <w:t xml:space="preserve">[accent ?]</w:t>
      </w:r>
    </w:p>
    <w:p>
      <w:pPr>
        <w:pStyle w:val="FirstParagraph"/>
      </w:pPr>
      <w:r>
        <w:rPr>
          <w:iCs/>
          <w:i/>
        </w:rPr>
        <w:t xml:space="preserve">(Read as printed: strokes over दृ, ष्कृ, चं, त्रा and वे; bars under ह, तिं, ध्व and दे. Positions not all certain.)</w:t>
      </w:r>
    </w:p>
    <w:p>
      <w:pPr>
        <w:pStyle w:val="BodyText"/>
      </w:pPr>
      <w:r>
        <w:rPr>
          <w:bCs/>
          <w:b/>
        </w:rPr>
        <w:t xml:space="preserve">॥ Pada-pāṭhaḥ ॥</w:t>
      </w:r>
    </w:p>
    <w:p>
      <w:pPr>
        <w:pStyle w:val="BlockText"/>
      </w:pPr>
      <w:r>
        <w:t xml:space="preserve">आत् । ऋध्नोति । हविःऽकृतिम् । प्राञ्चम् । कृणोति । अध्वरम् ॥</w:t>
      </w:r>
      <w:r>
        <w:t xml:space="preserve"> </w:t>
      </w:r>
      <w:r>
        <w:t xml:space="preserve">होत्रा । देवेषु । गच्छति ॥८॥</w:t>
      </w:r>
    </w:p>
    <w:p>
      <w:pPr>
        <w:pStyle w:val="BlockText"/>
      </w:pPr>
      <w:r>
        <w:rPr>
          <w:iCs/>
          <w:i/>
        </w:rPr>
        <w:t xml:space="preserve">āt | ṛdhnoti | haviḥ ’kṛtim | prāñcam | kṛṇoti | adhvaram ||</w:t>
      </w:r>
      <w:r>
        <w:t xml:space="preserve"> </w:t>
      </w:r>
      <w:r>
        <w:rPr>
          <w:iCs/>
          <w:i/>
        </w:rPr>
        <w:t xml:space="preserve">hotrā | deveṣu | gacchati ||8||</w:t>
      </w:r>
    </w:p>
    <w:p>
      <w:pPr>
        <w:pStyle w:val="FirstParagraph"/>
      </w:pPr>
      <w:r>
        <w:rPr>
          <w:bCs/>
          <w:b/>
        </w:rPr>
        <w:t xml:space="preserve">॥ Sāyaṇa-bhāṣyam ॥</w:t>
      </w:r>
    </w:p>
    <w:p>
      <w:pPr>
        <w:pStyle w:val="BodyText"/>
      </w:pPr>
      <w:r>
        <w:rPr>
          <w:iCs/>
          <w:i/>
        </w:rPr>
        <w:t xml:space="preserve">(The Uṇādi number ४-१६७ is read with some doubt [?]; the grammar page has</w:t>
      </w:r>
      <w:r>
        <w:rPr>
          <w:iCs/>
          <w:i/>
        </w:rPr>
        <w:t xml:space="preserve"> </w:t>
      </w:r>
      <w:r>
        <w:rPr>
          <w:iCs/>
          <w:i/>
        </w:rPr>
        <w:t xml:space="preserve">“</w:t>
      </w:r>
      <w:r>
        <w:rPr>
          <w:iCs/>
          <w:i/>
        </w:rPr>
        <w:t xml:space="preserve">4-602</w:t>
      </w:r>
      <w:r>
        <w:rPr>
          <w:iCs/>
          <w:i/>
        </w:rPr>
        <w:t xml:space="preserve">”</w:t>
      </w:r>
      <w:r>
        <w:rPr>
          <w:iCs/>
          <w:i/>
        </w:rPr>
        <w:t xml:space="preserve"> </w:t>
      </w:r>
      <w:r>
        <w:rPr>
          <w:iCs/>
          <w:i/>
        </w:rPr>
        <w:t xml:space="preserve">[?].)</w:t>
      </w:r>
    </w:p>
    <w:p>
      <w:pPr>
        <w:pStyle w:val="BlockText"/>
      </w:pPr>
      <w:r>
        <w:t xml:space="preserve">आदनन्तरमेव हविष्कृतिं हविःसंपादनयुक्तं यजमानमृध्नोति । सदसस्पतिर्देवो वर्धयति । हविर्दानानन्तरमेव फलं प्रयच्छतीत्यर्थः । तथाविधफलसिद्धयेऽध्वरं यजमानेनानुष्ठीयमानं यज्ञं प्राञ्चं प्रकर्षेण गच्छन्तमविघ्नेन परिसमाप्तियुक्तं कृणोति । करोति । होत्रा हूयमाना देवता तुष्टा सती यजमानं प्रख्यापयितुं देवेषु गच्छति । यद्वा । होत्रास्मदीयस्तुतिरूपा वाक् देवान्परितोषयितुं देवेषु गच्छति । श्लोको धारेत्यादिषु सप्तपञ्चाशत्सु वाङ्नामसु होत्रा गीरिति पठितम् ॥ हविष्कृतिम् । हविषः कृतिः संपादनं यस्य यजमानस्य सोऽयं हविष्कृतिः । बहुव्रीहौ प्रकृत्येति पूर्वपदप्रकृतिस्वरत्वम् । प्राञ्चम् । अनिगन्तोऽञ्चतौ वप्रत्यये । पा. ६-२-५२ । इति गतेः प्रकृतिस्वरत्वम् । पश्चादेकादेशस्वरः । अध्वरम् । न विद्यते ध्वरो हिंसा यस्मिन् । नञ्सुभ्यामित्युत्तरपदान्तोदात्तत्वम् । हूयतेऽस्यामिति होत्रा देवता । हुयामाश्रुभसिभ्यस्त्रन् । उ. ४-१६७ । इति त्रन् । नित्त्वादाद्युदात्तः ॥</w:t>
      </w:r>
    </w:p>
    <w:p>
      <w:pPr>
        <w:pStyle w:val="BlockText"/>
      </w:pPr>
      <w:r>
        <w:rPr>
          <w:iCs/>
          <w:i/>
        </w:rPr>
        <w:t xml:space="preserve">ādanantarameva haviṣkṛtiṃ haviḥsaṃpādanayuktaṃ yajamānamṛdhnoti | sadasaspatirdevo vardhayati | havirdānānantarameva phalaṃ prayacchatītyarthaḥ | tathāvidhaphalasiddhaye ’dhvaraṃ yajamānenānuṣṭhīyamānaṃ yajñaṃ prāñcaṃ prakarṣeṇa gacchantamavighnena parisamāptiyuktaṃ kṛṇoti | karoti | hotrā hūyamānā devatā tuṣṭā satī yajamānaṃ prakhyāpayituṃ deveṣu gacchati | yadvā | hotrāsmadīyastutirūpā vāk devānparitoṣayituṃ deveṣu gacchati | śloko dhāretyādiṣu saptapañcāśatsu vāṅnāmasu hotrā gīriti paṭhitam || haviṣkṛtim | haviṣaḥ kṛtiḥ saṃpādanaṃ yasya yajamānasya so ’yaṃ haviṣkṛtiḥ | bahuvrīhau prakṛtyeti pūrvapadaprakṛtisvaratvam | prāñcam | aniganto ’ñcatau vapratyaye | pā. 6-2-52 | iti gateḥ prakṛtisvaratvam | paścādekādeśasvaraḥ | adhvaram | na vidyate dhvaro hiṃsā yasmin | nañsubhyāmityuttarapadāntodāttatvam | hūyate ’syāmiti hotrā devatā | huyāmāśrubhasibhyastran | u. 4-167 | iti tran | nittvādādyudāttaḥ ||</w:t>
      </w:r>
    </w:p>
    <w:p>
      <w:pPr>
        <w:pStyle w:val="FirstParagraph"/>
      </w:pPr>
      <w:r>
        <w:rPr>
          <w:bCs/>
          <w:b/>
        </w:rPr>
        <w:t xml:space="preserve">Translation:</w:t>
      </w:r>
      <w:r>
        <w:t xml:space="preserve"> </w:t>
      </w:r>
      <w:r>
        <w:t xml:space="preserve">“</w:t>
      </w:r>
      <w:r>
        <w:rPr>
          <w:iCs/>
          <w:i/>
        </w:rPr>
        <w:t xml:space="preserve">Āt</w:t>
      </w:r>
      <w:r>
        <w:t xml:space="preserve">, right after, (the god Sadasaspati)</w:t>
      </w:r>
      <w:r>
        <w:t xml:space="preserve"> </w:t>
      </w:r>
      <w:r>
        <w:rPr>
          <w:iCs/>
          <w:i/>
        </w:rPr>
        <w:t xml:space="preserve">ṛdhnoti</w:t>
      </w:r>
      <w:r>
        <w:t xml:space="preserve">, makes grow, the sacrificer who is</w:t>
      </w:r>
      <w:r>
        <w:t xml:space="preserve"> </w:t>
      </w:r>
      <w:r>
        <w:rPr>
          <w:iCs/>
          <w:i/>
        </w:rPr>
        <w:t xml:space="preserve">haviṣkṛti</w:t>
      </w:r>
      <w:r>
        <w:t xml:space="preserve">, engaged in preparing the oblation: that is, right after the giving of the oblation he gives the fruit. For obtaining such fruit, he</w:t>
      </w:r>
      <w:r>
        <w:t xml:space="preserve"> </w:t>
      </w:r>
      <w:r>
        <w:rPr>
          <w:iCs/>
          <w:i/>
        </w:rPr>
        <w:t xml:space="preserve">kṛṇoti</w:t>
      </w:r>
      <w:r>
        <w:t xml:space="preserve">, makes, the</w:t>
      </w:r>
      <w:r>
        <w:t xml:space="preserve"> </w:t>
      </w:r>
      <w:r>
        <w:rPr>
          <w:iCs/>
          <w:i/>
        </w:rPr>
        <w:t xml:space="preserve">adhvara</w:t>
      </w:r>
      <w:r>
        <w:t xml:space="preserve">, the sacrifice being performed by the sacrificer,</w:t>
      </w:r>
      <w:r>
        <w:t xml:space="preserve"> </w:t>
      </w:r>
      <w:r>
        <w:rPr>
          <w:iCs/>
          <w:i/>
        </w:rPr>
        <w:t xml:space="preserve">prāñcam</w:t>
      </w:r>
      <w:r>
        <w:t xml:space="preserve">, going forward well, brought to completion without obstacle.</w:t>
      </w:r>
      <w:r>
        <w:t xml:space="preserve"> </w:t>
      </w:r>
      <w:r>
        <w:rPr>
          <w:iCs/>
          <w:i/>
        </w:rPr>
        <w:t xml:space="preserve">Hotrā</w:t>
      </w:r>
      <w:r>
        <w:t xml:space="preserve">, the deity being called, being pleased, goes among the gods to proclaim the sacrificer. Or</w:t>
      </w:r>
      <w:r>
        <w:t xml:space="preserve"> </w:t>
      </w:r>
      <w:r>
        <w:rPr>
          <w:iCs/>
          <w:i/>
        </w:rPr>
        <w:t xml:space="preserve">hotrā</w:t>
      </w:r>
      <w:r>
        <w:t xml:space="preserve">, our speech in the form of praise, goes among the gods to please them.</w:t>
      </w:r>
      <w:r>
        <w:t xml:space="preserve"> </w:t>
      </w:r>
      <w:r>
        <w:rPr>
          <w:iCs/>
          <w:i/>
        </w:rPr>
        <w:t xml:space="preserve">Hotrā</w:t>
      </w:r>
      <w:r>
        <w:t xml:space="preserve"> </w:t>
      </w:r>
      <w:r>
        <w:t xml:space="preserve">and</w:t>
      </w:r>
      <w:r>
        <w:t xml:space="preserve"> </w:t>
      </w:r>
      <w:r>
        <w:rPr>
          <w:iCs/>
          <w:i/>
        </w:rPr>
        <w:t xml:space="preserve">gīḥ</w:t>
      </w:r>
      <w:r>
        <w:t xml:space="preserve"> </w:t>
      </w:r>
      <w:r>
        <w:t xml:space="preserve">are read among the fifty-seven names for speech beginning</w:t>
      </w:r>
      <w:r>
        <w:t xml:space="preserve"> </w:t>
      </w:r>
      <w:r>
        <w:rPr>
          <w:iCs/>
          <w:i/>
        </w:rPr>
        <w:t xml:space="preserve">ślokaḥ</w:t>
      </w:r>
      <w:r>
        <w:t xml:space="preserve">,</w:t>
      </w:r>
      <w:r>
        <w:t xml:space="preserve"> </w:t>
      </w:r>
      <w:r>
        <w:rPr>
          <w:iCs/>
          <w:i/>
        </w:rPr>
        <w:t xml:space="preserve">dhārā</w:t>
      </w:r>
      <w:r>
        <w:t xml:space="preserve">.</w:t>
      </w:r>
      <w:r>
        <w:t xml:space="preserve">”</w:t>
      </w:r>
      <w:r>
        <w:t xml:space="preserve"> </w:t>
      </w:r>
      <w:r>
        <w:t xml:space="preserve">(Grammatical tail:</w:t>
      </w:r>
      <w:r>
        <w:t xml:space="preserve"> </w:t>
      </w:r>
      <w:r>
        <w:rPr>
          <w:iCs/>
          <w:i/>
        </w:rPr>
        <w:t xml:space="preserve">haviṣkṛtim</w:t>
      </w:r>
      <w:r>
        <w:t xml:space="preserve">,</w:t>
      </w:r>
      <w:r>
        <w:t xml:space="preserve"> </w:t>
      </w:r>
      <w:r>
        <w:t xml:space="preserve">“</w:t>
      </w:r>
      <w:r>
        <w:t xml:space="preserve">the sacrificer whose</w:t>
      </w:r>
      <w:r>
        <w:t xml:space="preserve"> </w:t>
      </w:r>
      <w:r>
        <w:rPr>
          <w:iCs/>
          <w:i/>
        </w:rPr>
        <w:t xml:space="preserve">kṛti</w:t>
      </w:r>
      <w:r>
        <w:t xml:space="preserve">, preparing, is of the oblation</w:t>
      </w:r>
      <w:r>
        <w:t xml:space="preserve">”</w:t>
      </w:r>
      <w:r>
        <w:t xml:space="preserve">, the first member’s accent by</w:t>
      </w:r>
      <w:r>
        <w:t xml:space="preserve"> </w:t>
      </w:r>
      <w:r>
        <w:rPr>
          <w:iCs/>
          <w:i/>
        </w:rPr>
        <w:t xml:space="preserve">bahuvrīhau prakṛtyā</w:t>
      </w:r>
      <w:r>
        <w:t xml:space="preserve">;</w:t>
      </w:r>
      <w:r>
        <w:t xml:space="preserve"> </w:t>
      </w:r>
      <w:r>
        <w:rPr>
          <w:iCs/>
          <w:i/>
        </w:rPr>
        <w:t xml:space="preserve">prāñcam</w:t>
      </w:r>
      <w:r>
        <w:t xml:space="preserve">, the preverb keeps its accent by Pā. 6-2-52, then the accent of the single substitute;</w:t>
      </w:r>
      <w:r>
        <w:t xml:space="preserve"> </w:t>
      </w:r>
      <w:r>
        <w:rPr>
          <w:iCs/>
          <w:i/>
        </w:rPr>
        <w:t xml:space="preserve">adhvaram</w:t>
      </w:r>
      <w:r>
        <w:t xml:space="preserve">,</w:t>
      </w:r>
      <w:r>
        <w:t xml:space="preserve"> </w:t>
      </w:r>
      <w:r>
        <w:t xml:space="preserve">“</w:t>
      </w:r>
      <w:r>
        <w:t xml:space="preserve">in which there is no</w:t>
      </w:r>
      <w:r>
        <w:t xml:space="preserve"> </w:t>
      </w:r>
      <w:r>
        <w:rPr>
          <w:iCs/>
          <w:i/>
        </w:rPr>
        <w:t xml:space="preserve">dhvara</w:t>
      </w:r>
      <w:r>
        <w:t xml:space="preserve">, harm</w:t>
      </w:r>
      <w:r>
        <w:t xml:space="preserve">”</w:t>
      </w:r>
      <w:r>
        <w:t xml:space="preserve">, final udātta of the final member by</w:t>
      </w:r>
      <w:r>
        <w:t xml:space="preserve"> </w:t>
      </w:r>
      <w:r>
        <w:rPr>
          <w:iCs/>
          <w:i/>
        </w:rPr>
        <w:t xml:space="preserve">nañsubhyām</w:t>
      </w:r>
      <w:r>
        <w:t xml:space="preserve">;</w:t>
      </w:r>
      <w:r>
        <w:t xml:space="preserve"> </w:t>
      </w:r>
      <w:r>
        <w:rPr>
          <w:iCs/>
          <w:i/>
        </w:rPr>
        <w:t xml:space="preserve">hotrā</w:t>
      </w:r>
      <w:r>
        <w:t xml:space="preserve">,</w:t>
      </w:r>
      <w:r>
        <w:t xml:space="preserve"> </w:t>
      </w:r>
      <w:r>
        <w:t xml:space="preserve">“</w:t>
      </w:r>
      <w:r>
        <w:t xml:space="preserve">she is called on</w:t>
      </w:r>
      <w:r>
        <w:t xml:space="preserve">”</w:t>
      </w:r>
      <w:r>
        <w:t xml:space="preserve">, the deity,</w:t>
      </w:r>
      <w:r>
        <w:t xml:space="preserve"> </w:t>
      </w:r>
      <w:r>
        <w:rPr>
          <w:iCs/>
          <w:i/>
        </w:rPr>
        <w:t xml:space="preserve">tran</w:t>
      </w:r>
      <w:r>
        <w:t xml:space="preserve"> </w:t>
      </w:r>
      <w:r>
        <w:t xml:space="preserve">by</w:t>
      </w:r>
      <w:r>
        <w:t xml:space="preserve"> </w:t>
      </w:r>
      <w:r>
        <w:rPr>
          <w:iCs/>
          <w:i/>
        </w:rPr>
        <w:t xml:space="preserve">huyāmāśrubhasibhyas tran</w:t>
      </w:r>
      <w:r>
        <w:t xml:space="preserve"> </w:t>
      </w:r>
      <w:r>
        <w:t xml:space="preserve">(Uṇ. 4-167 [?]), initial udātta as</w:t>
      </w:r>
      <w:r>
        <w:t xml:space="preserve"> </w:t>
      </w:r>
      <w:r>
        <w:rPr>
          <w:iCs/>
          <w:i/>
        </w:rPr>
        <w:t xml:space="preserve">nit</w:t>
      </w:r>
      <w:r>
        <w:t xml:space="preserve">.)</w:t>
      </w:r>
    </w:p>
    <w:p>
      <w:pPr>
        <w:pStyle w:val="BodyText"/>
      </w:pPr>
      <w:r>
        <w:rPr>
          <w:bCs/>
          <w:b/>
        </w:rPr>
        <w:t xml:space="preserve">॥ Prati-padārthaḥ ॥</w:t>
      </w:r>
    </w:p>
    <w:p>
      <w:pPr>
        <w:pStyle w:val="BodyText"/>
      </w:pPr>
      <w:r>
        <w:rPr>
          <w:bCs/>
          <w:b/>
        </w:rPr>
        <w:t xml:space="preserve">आत् (āt)</w:t>
      </w:r>
      <w:r>
        <w:t xml:space="preserve"> </w:t>
      </w:r>
      <w:r>
        <w:t xml:space="preserve">— then |</w:t>
      </w:r>
      <w:r>
        <w:t xml:space="preserve"> </w:t>
      </w:r>
      <w:r>
        <w:rPr>
          <w:bCs/>
          <w:b/>
        </w:rPr>
        <w:t xml:space="preserve">हविष्कृतिम् (haviṣkṛtim)</w:t>
      </w:r>
      <w:r>
        <w:t xml:space="preserve"> </w:t>
      </w:r>
      <w:r>
        <w:t xml:space="preserve">— the sacrificer who has prepared the oblation |</w:t>
      </w:r>
      <w:r>
        <w:t xml:space="preserve"> </w:t>
      </w:r>
      <w:r>
        <w:rPr>
          <w:bCs/>
          <w:b/>
        </w:rPr>
        <w:t xml:space="preserve">ऋध्नोति (ṛdhnoti)</w:t>
      </w:r>
      <w:r>
        <w:t xml:space="preserve"> </w:t>
      </w:r>
      <w:r>
        <w:t xml:space="preserve">— (Sadasaspati) makes prosper |</w:t>
      </w:r>
      <w:r>
        <w:t xml:space="preserve"> </w:t>
      </w:r>
      <w:r>
        <w:rPr>
          <w:bCs/>
          <w:b/>
        </w:rPr>
        <w:t xml:space="preserve">अध्वरम् (adhvaram)</w:t>
      </w:r>
      <w:r>
        <w:t xml:space="preserve"> </w:t>
      </w:r>
      <w:r>
        <w:t xml:space="preserve">— (the sacrificer’s undertaken) sacrifice |</w:t>
      </w:r>
      <w:r>
        <w:t xml:space="preserve"> </w:t>
      </w:r>
      <w:r>
        <w:rPr>
          <w:bCs/>
          <w:b/>
        </w:rPr>
        <w:t xml:space="preserve">प्राञ्चम् (prāñcam)</w:t>
      </w:r>
      <w:r>
        <w:t xml:space="preserve"> </w:t>
      </w:r>
      <w:r>
        <w:t xml:space="preserve">— so that it goes on well, or ends without obstacle |</w:t>
      </w:r>
      <w:r>
        <w:t xml:space="preserve"> </w:t>
      </w:r>
      <w:r>
        <w:rPr>
          <w:bCs/>
          <w:b/>
        </w:rPr>
        <w:t xml:space="preserve">कृणोति (kṛṇoti)</w:t>
      </w:r>
      <w:r>
        <w:t xml:space="preserve"> </w:t>
      </w:r>
      <w:r>
        <w:t xml:space="preserve">— makes |</w:t>
      </w:r>
      <w:r>
        <w:t xml:space="preserve"> </w:t>
      </w:r>
      <w:r>
        <w:rPr>
          <w:bCs/>
          <w:b/>
        </w:rPr>
        <w:t xml:space="preserve">होत्रा (hotrā)</w:t>
      </w:r>
      <w:r>
        <w:t xml:space="preserve"> </w:t>
      </w:r>
      <w:r>
        <w:t xml:space="preserve">— by the invoking (the deity called, being pleased,</w:t>
      </w:r>
    </w:p>
    <w:bookmarkEnd w:id="858"/>
    <w:bookmarkStart w:id="859" w:name="X2f5f35e79a6472d3fbbada76b886b99368da36d"/>
    <w:p>
      <w:pPr>
        <w:pStyle w:val="Heading3"/>
      </w:pPr>
      <w:r>
        <w:t xml:space="preserve">Page 777 — Rik 8: word-meanings (end), overall sense, English, Special Topics</w:t>
      </w:r>
    </w:p>
    <w:p>
      <w:pPr>
        <w:pStyle w:val="FirstParagraph"/>
      </w:pPr>
      <w:r>
        <w:t xml:space="preserve">to make the sacrificer renowned) |</w:t>
      </w:r>
      <w:r>
        <w:t xml:space="preserve"> </w:t>
      </w:r>
      <w:r>
        <w:rPr>
          <w:bCs/>
          <w:b/>
        </w:rPr>
        <w:t xml:space="preserve">देवेषु (deveṣu)</w:t>
      </w:r>
      <w:r>
        <w:t xml:space="preserve"> </w:t>
      </w:r>
      <w:r>
        <w:t xml:space="preserve">— among the gods (to where the gods are) |</w:t>
      </w:r>
      <w:r>
        <w:t xml:space="preserve"> </w:t>
      </w:r>
      <w:r>
        <w:rPr>
          <w:bCs/>
          <w:b/>
        </w:rPr>
        <w:t xml:space="preserve">गच्छति (gacchati)</w:t>
      </w:r>
      <w:r>
        <w:t xml:space="preserve"> </w:t>
      </w:r>
      <w:r>
        <w:t xml:space="preserve">— goes [or:</w:t>
      </w:r>
      <w:r>
        <w:t xml:space="preserve"> </w:t>
      </w:r>
      <w:r>
        <w:rPr>
          <w:bCs/>
          <w:b/>
        </w:rPr>
        <w:t xml:space="preserve">होत्रा (hotrā)</w:t>
      </w:r>
      <w:r>
        <w:t xml:space="preserve"> </w:t>
      </w:r>
      <w:r>
        <w:t xml:space="preserve">— (our) speech in the form of praise (to please the gods) |</w:t>
      </w:r>
      <w:r>
        <w:t xml:space="preserve"> </w:t>
      </w:r>
      <w:r>
        <w:rPr>
          <w:bCs/>
          <w:b/>
        </w:rPr>
        <w:t xml:space="preserve">देवेषु (deveṣu)</w:t>
      </w:r>
      <w:r>
        <w:t xml:space="preserve"> </w:t>
      </w:r>
      <w:r>
        <w:t xml:space="preserve">— among the gods |</w:t>
      </w:r>
      <w:r>
        <w:t xml:space="preserve"> </w:t>
      </w:r>
      <w:r>
        <w:rPr>
          <w:bCs/>
          <w:b/>
        </w:rPr>
        <w:t xml:space="preserve">गच्छति (gacchati)</w:t>
      </w:r>
      <w:r>
        <w:t xml:space="preserve"> </w:t>
      </w:r>
      <w:r>
        <w:t xml:space="preserve">— goes and reaches.]</w:t>
      </w:r>
    </w:p>
    <w:p>
      <w:pPr>
        <w:pStyle w:val="BodyText"/>
      </w:pPr>
      <w:r>
        <w:rPr>
          <w:bCs/>
          <w:b/>
        </w:rPr>
        <w:t xml:space="preserve">॥ Bhāvārthaḥ ॥</w:t>
      </w:r>
    </w:p>
    <w:p>
      <w:pPr>
        <w:pStyle w:val="BodyText"/>
      </w:pPr>
      <w:r>
        <w:t xml:space="preserve">As soon as we have given the share of oblation in the sacrifice, Sadasaspati brings good to the sacrificer; he brings the sacrifice begun to completion without obstacle. And the deity we invoked, pleased by the sacrifice, goes to the gods to praise the sacrificer; or the speech in the form of praise that we make goes to the gods to praise the sacrificer, that is, makes the gods hear it.</w:t>
      </w:r>
    </w:p>
    <w:p>
      <w:pPr>
        <w:pStyle w:val="BodyText"/>
      </w:pPr>
      <w:r>
        <w:rPr>
          <w:bCs/>
          <w:b/>
        </w:rPr>
        <w:t xml:space="preserve">॥ English Translation ॥</w:t>
      </w:r>
      <w:r>
        <w:t xml:space="preserve"> </w:t>
      </w:r>
      <w:r>
        <w:rPr>
          <w:iCs/>
          <w:i/>
        </w:rPr>
        <w:t xml:space="preserve">(as printed in the source)</w:t>
      </w:r>
    </w:p>
    <w:p>
      <w:pPr>
        <w:pStyle w:val="BlockText"/>
      </w:pPr>
      <w:r>
        <w:t xml:space="preserve">And then he rewards the presenter of oblations ; brings the sacrifiee [sic] to its conclusion ; our prayer then reaches the gods.</w:t>
      </w:r>
    </w:p>
    <w:p>
      <w:pPr>
        <w:pStyle w:val="FirstParagraph"/>
      </w:pPr>
      <w:r>
        <w:rPr>
          <w:bCs/>
          <w:b/>
        </w:rPr>
        <w:t xml:space="preserve">॥ Viśeṣa-viṣayagaḷu (Special Topics) ॥</w:t>
      </w:r>
    </w:p>
    <w:p>
      <w:pPr>
        <w:pStyle w:val="BodyText"/>
      </w:pPr>
      <w:r>
        <w:rPr>
          <w:bCs/>
          <w:b/>
        </w:rPr>
        <w:t xml:space="preserve">Āt</w:t>
      </w:r>
      <w:r>
        <w:t xml:space="preserve">:</w:t>
      </w:r>
      <w:r>
        <w:t xml:space="preserve"> </w:t>
      </w:r>
      <w:r>
        <w:rPr>
          <w:iCs/>
          <w:i/>
        </w:rPr>
        <w:t xml:space="preserve">atha</w:t>
      </w:r>
      <w:r>
        <w:t xml:space="preserve">, meaning</w:t>
      </w:r>
      <w:r>
        <w:t xml:space="preserve"> </w:t>
      </w:r>
      <w:r>
        <w:t xml:space="preserve">“</w:t>
      </w:r>
      <w:r>
        <w:t xml:space="preserve">then</w:t>
      </w:r>
      <w:r>
        <w:t xml:space="preserve">”</w:t>
      </w:r>
      <w:r>
        <w:t xml:space="preserve">. For the word</w:t>
      </w:r>
      <w:r>
        <w:t xml:space="preserve"> </w:t>
      </w:r>
      <w:r>
        <w:rPr>
          <w:iCs/>
          <w:i/>
        </w:rPr>
        <w:t xml:space="preserve">āt</w:t>
      </w:r>
      <w:r>
        <w:t xml:space="preserve"> </w:t>
      </w:r>
      <w:r>
        <w:t xml:space="preserve">in the ṛk</w:t>
      </w:r>
    </w:p>
    <w:p>
      <w:pPr>
        <w:pStyle w:val="BlockText"/>
      </w:pPr>
      <w:r>
        <w:t xml:space="preserve">यदेदयुक्त हरितः सधस्थादाद्रात्री वासस्तनुते सिमस्मै (ऋ. सं. १-११५-४)</w:t>
      </w:r>
    </w:p>
    <w:p>
      <w:pPr>
        <w:pStyle w:val="BlockText"/>
      </w:pPr>
      <w:r>
        <w:rPr>
          <w:iCs/>
          <w:i/>
        </w:rPr>
        <w:t xml:space="preserve">yadedayukta haritaḥ sadhasthādādrātrī vāsastanute simasmai (ṛ. saṃ. 1-115-4)</w:t>
      </w:r>
    </w:p>
    <w:p>
      <w:pPr>
        <w:pStyle w:val="FirstParagraph"/>
      </w:pPr>
      <w:r>
        <w:t xml:space="preserve">(</w:t>
      </w:r>
      <w:r>
        <w:t xml:space="preserve">“</w:t>
      </w:r>
      <w:r>
        <w:t xml:space="preserve">When he has yoked the bay horses from their seat, then night spreads her garment for all</w:t>
      </w:r>
      <w:r>
        <w:t xml:space="preserve">”</w:t>
      </w:r>
      <w:r>
        <w:t xml:space="preserve">: mine and tentative.) Yāska in the Nirukta gives the sense</w:t>
      </w:r>
      <w:r>
        <w:t xml:space="preserve"> </w:t>
      </w:r>
      <w:r>
        <w:rPr>
          <w:iCs/>
          <w:i/>
        </w:rPr>
        <w:t xml:space="preserve">atha</w:t>
      </w:r>
      <w:r>
        <w:t xml:space="preserve">, then (Ni.</w:t>
      </w:r>
      <w:r>
        <w:t xml:space="preserve"> </w:t>
      </w:r>
      <w:r>
        <w:t xml:space="preserve">“</w:t>
      </w:r>
      <w:r>
        <w:t xml:space="preserve">4-11</w:t>
      </w:r>
      <w:r>
        <w:t xml:space="preserve">”</w:t>
      </w:r>
      <w:r>
        <w:t xml:space="preserve"> </w:t>
      </w:r>
      <w:r>
        <w:t xml:space="preserve">[?]).</w:t>
      </w:r>
    </w:p>
    <w:p>
      <w:pPr>
        <w:pStyle w:val="BodyText"/>
      </w:pPr>
      <w:r>
        <w:rPr>
          <w:bCs/>
          <w:b/>
        </w:rPr>
        <w:t xml:space="preserve">Haviṣkṛtim</w:t>
      </w:r>
      <w:r>
        <w:t xml:space="preserve">:</w:t>
      </w:r>
      <w:r>
        <w:t xml:space="preserve"> </w:t>
      </w:r>
      <w:r>
        <w:rPr>
          <w:iCs/>
          <w:i/>
        </w:rPr>
        <w:t xml:space="preserve">haviṣaḥ kṛtiḥ saṃpādanaṃ yasya yajamānasya so ’yaṃ haviṣkṛtiḥ</w:t>
      </w:r>
      <w:r>
        <w:t xml:space="preserve">: the sense is the sacrificer who gives the oblation. Or, as Skandasvāmin says,</w:t>
      </w:r>
    </w:p>
    <w:p>
      <w:pPr>
        <w:pStyle w:val="BlockText"/>
      </w:pPr>
      <w:r>
        <w:t xml:space="preserve">हविष्कृतिं हविष्क्रियां हवींषि सारतो वृद्धानि करोतीत्यर्थः ॥</w:t>
      </w:r>
    </w:p>
    <w:p>
      <w:pPr>
        <w:pStyle w:val="BlockText"/>
      </w:pPr>
      <w:r>
        <w:rPr>
          <w:iCs/>
          <w:i/>
        </w:rPr>
        <w:t xml:space="preserve">haviṣkṛtiṃ haviṣkriyāṃ havīṃṣi sārato vṛddhāni karotītyarthaḥ ||</w:t>
      </w:r>
    </w:p>
    <w:p>
      <w:pPr>
        <w:pStyle w:val="FirstParagraph"/>
      </w:pPr>
      <w:r>
        <w:t xml:space="preserve">(</w:t>
      </w:r>
      <w:r>
        <w:t xml:space="preserve">“</w:t>
      </w:r>
      <w:r>
        <w:rPr>
          <w:iCs/>
          <w:i/>
        </w:rPr>
        <w:t xml:space="preserve">Haviṣkṛtim</w:t>
      </w:r>
      <w:r>
        <w:t xml:space="preserve"> </w:t>
      </w:r>
      <w:r>
        <w:t xml:space="preserve">means the making of the oblation: he makes the oblations grown in substance.</w:t>
      </w:r>
      <w:r>
        <w:t xml:space="preserve">”</w:t>
      </w:r>
      <w:r>
        <w:t xml:space="preserve">)</w:t>
      </w:r>
      <w:r>
        <w:t xml:space="preserve"> </w:t>
      </w:r>
      <w:r>
        <w:rPr>
          <w:iCs/>
          <w:i/>
        </w:rPr>
        <w:t xml:space="preserve">Haviṣkṛti</w:t>
      </w:r>
      <w:r>
        <w:t xml:space="preserve"> </w:t>
      </w:r>
      <w:r>
        <w:t xml:space="preserve">means the act of giving oblation; the intent is that he makes it substantial.</w:t>
      </w:r>
    </w:p>
    <w:p>
      <w:pPr>
        <w:pStyle w:val="BodyText"/>
      </w:pPr>
      <w:r>
        <w:rPr>
          <w:bCs/>
          <w:b/>
        </w:rPr>
        <w:t xml:space="preserve">Prāñcam</w:t>
      </w:r>
      <w:r>
        <w:t xml:space="preserve">:</w:t>
      </w:r>
    </w:p>
    <w:p>
      <w:pPr>
        <w:pStyle w:val="BlockText"/>
      </w:pPr>
      <w:r>
        <w:t xml:space="preserve">प्रकर्षेण गच्छन्तमविघ्नेन परिसमाप्तियुक्तं करोतीत्यर्थः ॥</w:t>
      </w:r>
    </w:p>
    <w:p>
      <w:pPr>
        <w:pStyle w:val="BlockText"/>
      </w:pPr>
      <w:r>
        <w:rPr>
          <w:iCs/>
          <w:i/>
        </w:rPr>
        <w:t xml:space="preserve">prakarṣeṇa gacchantamavighnena parisamāptiyuktaṃ karotītyarthaḥ ||</w:t>
      </w:r>
    </w:p>
    <w:p>
      <w:pPr>
        <w:pStyle w:val="FirstParagraph"/>
      </w:pPr>
      <w:r>
        <w:t xml:space="preserve">(</w:t>
      </w:r>
      <w:r>
        <w:t xml:space="preserve">“</w:t>
      </w:r>
      <w:r>
        <w:t xml:space="preserve">Going forward well, he makes it reach completion without obstacle.</w:t>
      </w:r>
      <w:r>
        <w:t xml:space="preserve">”</w:t>
      </w:r>
      <w:r>
        <w:t xml:space="preserve">) The sense is: he makes the sacrifice reach its end without obstacle.</w:t>
      </w:r>
    </w:p>
    <w:p>
      <w:pPr>
        <w:pStyle w:val="BodyText"/>
      </w:pPr>
      <w:r>
        <w:rPr>
          <w:bCs/>
          <w:b/>
        </w:rPr>
        <w:t xml:space="preserve">Hotrā</w:t>
      </w:r>
      <w:r>
        <w:t xml:space="preserve">:</w:t>
      </w:r>
    </w:p>
    <w:p>
      <w:pPr>
        <w:pStyle w:val="BlockText"/>
      </w:pPr>
      <w:r>
        <w:t xml:space="preserve">हूयमाना देवता अथवा अस्मदीयस्तुतिरूपा वाक्</w:t>
      </w:r>
    </w:p>
    <w:p>
      <w:pPr>
        <w:pStyle w:val="BlockText"/>
      </w:pPr>
      <w:r>
        <w:rPr>
          <w:iCs/>
          <w:i/>
        </w:rPr>
        <w:t xml:space="preserve">hūyamānā devatā athavā asmadīyastutirūpā vāk</w:t>
      </w:r>
    </w:p>
    <w:p>
      <w:pPr>
        <w:pStyle w:val="FirstParagraph"/>
      </w:pPr>
      <w:r>
        <w:t xml:space="preserve">(</w:t>
      </w:r>
      <w:r>
        <w:t xml:space="preserve">“</w:t>
      </w:r>
      <w:r>
        <w:t xml:space="preserve">The deity being called, or our speech in the form of praise.</w:t>
      </w:r>
      <w:r>
        <w:t xml:space="preserve">”</w:t>
      </w:r>
      <w:r>
        <w:t xml:space="preserve">) Two senses are given: the deity called in the sacrifice, or the speech in the form of praise that we make. Of these two the second, speech, seems fitting here. Since the word</w:t>
      </w:r>
      <w:r>
        <w:t xml:space="preserve"> </w:t>
      </w:r>
      <w:r>
        <w:rPr>
          <w:iCs/>
          <w:i/>
        </w:rPr>
        <w:t xml:space="preserve">hotrā</w:t>
      </w:r>
      <w:r>
        <w:t xml:space="preserve"> </w:t>
      </w:r>
      <w:r>
        <w:t xml:space="preserve">is read among the fifty-seven names for speech beginning</w:t>
      </w:r>
      <w:r>
        <w:t xml:space="preserve"> </w:t>
      </w:r>
      <w:r>
        <w:rPr>
          <w:iCs/>
          <w:i/>
        </w:rPr>
        <w:t xml:space="preserve">ślokaḥ</w:t>
      </w:r>
      <w:r>
        <w:t xml:space="preserve">,</w:t>
      </w:r>
      <w:r>
        <w:t xml:space="preserve"> </w:t>
      </w:r>
      <w:r>
        <w:rPr>
          <w:iCs/>
          <w:i/>
        </w:rPr>
        <w:t xml:space="preserve">dhārā</w:t>
      </w:r>
      <w:r>
        <w:t xml:space="preserve"> </w:t>
      </w:r>
      <w:r>
        <w:t xml:space="preserve">(Ni. [?]),</w:t>
      </w:r>
      <w:r>
        <w:t xml:space="preserve"> </w:t>
      </w:r>
      <w:r>
        <w:rPr>
          <w:iCs/>
          <w:i/>
        </w:rPr>
        <w:t xml:space="preserve">hotrā</w:t>
      </w:r>
      <w:r>
        <w:t xml:space="preserve"> </w:t>
      </w:r>
      <w:r>
        <w:t xml:space="preserve">means speech.</w:t>
      </w:r>
    </w:p>
    <w:bookmarkEnd w:id="859"/>
    <w:bookmarkStart w:id="860" w:name="Xf3a8d9590de7b4786eba73e7290bc327047cc9e"/>
    <w:p>
      <w:pPr>
        <w:pStyle w:val="Heading3"/>
      </w:pPr>
      <w:r>
        <w:t xml:space="preserve">Page 778 — Rik 8: Special Topics (end) and grammar</w:t>
      </w:r>
    </w:p>
    <w:p>
      <w:pPr>
        <w:pStyle w:val="FirstParagraph"/>
      </w:pPr>
      <w:r>
        <w:rPr>
          <w:bCs/>
          <w:b/>
        </w:rPr>
        <w:t xml:space="preserve">Deveṣu gacchati</w:t>
      </w:r>
      <w:r>
        <w:t xml:space="preserve">: going to the gods. If it refers to the deity, the intent is that the deity pleased in the sacrifice goes to the gods to tell that the sacrificer has satisfied him well; if it refers to speech, the intent is: may our words of praise reach the gods, or become known to them, or be heard by them, and may they be pleased.</w:t>
      </w:r>
    </w:p>
    <w:p>
      <w:pPr>
        <w:pStyle w:val="BodyText"/>
      </w:pPr>
      <w:r>
        <w:rPr>
          <w:bCs/>
          <w:b/>
        </w:rPr>
        <w:t xml:space="preserve">॥ Vyākaraṇa-prakriyā ॥</w:t>
      </w:r>
      <w:r>
        <w:t xml:space="preserve"> </w:t>
      </w:r>
      <w:r>
        <w:rPr>
          <w:iCs/>
          <w:i/>
        </w:rPr>
        <w:t xml:space="preserve">(grammar pages 778–779, noted briefly)</w:t>
      </w:r>
    </w:p>
    <w:p>
      <w:pPr>
        <w:pStyle w:val="BodyText"/>
      </w:pPr>
      <w:r>
        <w:rPr>
          <w:bCs/>
          <w:b/>
        </w:rPr>
        <w:t xml:space="preserve">हविष्कृतिम् (</w:t>
      </w:r>
      <w:r>
        <w:rPr>
          <w:iCs/>
          <w:i/>
          <w:bCs/>
          <w:b/>
        </w:rPr>
        <w:t xml:space="preserve">haviṣkṛtim</w:t>
      </w:r>
      <w:r>
        <w:rPr>
          <w:bCs/>
          <w:b/>
        </w:rPr>
        <w:t xml:space="preserve">)</w:t>
      </w:r>
      <w:r>
        <w:t xml:space="preserve">:</w:t>
      </w:r>
      <w:r>
        <w:t xml:space="preserve"> </w:t>
      </w:r>
      <w:r>
        <w:rPr>
          <w:iCs/>
          <w:i/>
        </w:rPr>
        <w:t xml:space="preserve">haviṣaḥ kṛtiḥ saṃpādanaṃ yasya yajamānasya saḥ haviṣkṛtiḥ</w:t>
      </w:r>
      <w:r>
        <w:t xml:space="preserve">: the sacrificer who has the preparation of the oblation is called</w:t>
      </w:r>
      <w:r>
        <w:t xml:space="preserve"> </w:t>
      </w:r>
      <w:r>
        <w:rPr>
          <w:iCs/>
          <w:i/>
        </w:rPr>
        <w:t xml:space="preserve">haviṣkṛti</w:t>
      </w:r>
      <w:r>
        <w:t xml:space="preserve">. By</w:t>
      </w:r>
      <w:r>
        <w:t xml:space="preserve"> </w:t>
      </w:r>
      <w:r>
        <w:t xml:space="preserve">“</w:t>
      </w:r>
      <w:r>
        <w:t xml:space="preserve">bahuvrīhau prakṛtyā pūrvapadam</w:t>
      </w:r>
      <w:r>
        <w:t xml:space="preserve">”</w:t>
      </w:r>
      <w:r>
        <w:t xml:space="preserve"> </w:t>
      </w:r>
      <w:r>
        <w:t xml:space="preserve">(Pā. sū. 6-2-1) the accent of the first member.</w:t>
      </w:r>
    </w:p>
    <w:p>
      <w:pPr>
        <w:pStyle w:val="BodyText"/>
      </w:pPr>
      <w:r>
        <w:rPr>
          <w:bCs/>
          <w:b/>
        </w:rPr>
        <w:t xml:space="preserve">प्राञ्चम् (</w:t>
      </w:r>
      <w:r>
        <w:rPr>
          <w:iCs/>
          <w:i/>
          <w:bCs/>
          <w:b/>
        </w:rPr>
        <w:t xml:space="preserve">prāñcam</w:t>
      </w:r>
      <w:r>
        <w:rPr>
          <w:bCs/>
          <w:b/>
        </w:rPr>
        <w:t xml:space="preserve">)</w:t>
      </w:r>
      <w:r>
        <w:t xml:space="preserve">: the analysis</w:t>
      </w:r>
      <w:r>
        <w:t xml:space="preserve"> </w:t>
      </w:r>
      <w:r>
        <w:rPr>
          <w:iCs/>
          <w:i/>
        </w:rPr>
        <w:t xml:space="preserve">pra añcati</w:t>
      </w:r>
      <w:r>
        <w:t xml:space="preserve">. In this sense, with the</w:t>
      </w:r>
      <w:r>
        <w:t xml:space="preserve"> </w:t>
      </w:r>
      <w:r>
        <w:rPr>
          <w:iCs/>
          <w:i/>
        </w:rPr>
        <w:t xml:space="preserve">subanta</w:t>
      </w:r>
      <w:r>
        <w:t xml:space="preserve"> </w:t>
      </w:r>
      <w:r>
        <w:rPr>
          <w:iCs/>
          <w:i/>
        </w:rPr>
        <w:t xml:space="preserve">pra</w:t>
      </w:r>
      <w:r>
        <w:t xml:space="preserve"> </w:t>
      </w:r>
      <w:r>
        <w:t xml:space="preserve">as</w:t>
      </w:r>
      <w:r>
        <w:t xml:space="preserve"> </w:t>
      </w:r>
      <w:r>
        <w:rPr>
          <w:iCs/>
          <w:i/>
        </w:rPr>
        <w:t xml:space="preserve">upapada</w:t>
      </w:r>
      <w:r>
        <w:t xml:space="preserve">, by</w:t>
      </w:r>
      <w:r>
        <w:t xml:space="preserve"> </w:t>
      </w:r>
      <w:r>
        <w:t xml:space="preserve">“</w:t>
      </w:r>
      <w:r>
        <w:t xml:space="preserve">ṛtvigdadhṛk…</w:t>
      </w:r>
      <w:r>
        <w:t xml:space="preserve">”</w:t>
      </w:r>
      <w:r>
        <w:t xml:space="preserve"> </w:t>
      </w:r>
      <w:r>
        <w:t xml:space="preserve">(Pā. sū. 3-2-59) the suffix</w:t>
      </w:r>
      <w:r>
        <w:t xml:space="preserve"> </w:t>
      </w:r>
      <w:r>
        <w:rPr>
          <w:iCs/>
          <w:i/>
        </w:rPr>
        <w:t xml:space="preserve">kvin</w:t>
      </w:r>
      <w:r>
        <w:t xml:space="preserve">;</w:t>
      </w:r>
      <w:r>
        <w:t xml:space="preserve"> </w:t>
      </w:r>
      <w:r>
        <w:rPr>
          <w:iCs/>
          <w:i/>
        </w:rPr>
        <w:t xml:space="preserve">k</w:t>
      </w:r>
      <w:r>
        <w:t xml:space="preserve">,</w:t>
      </w:r>
      <w:r>
        <w:t xml:space="preserve"> </w:t>
      </w:r>
      <w:r>
        <w:rPr>
          <w:iCs/>
          <w:i/>
        </w:rPr>
        <w:t xml:space="preserve">n</w:t>
      </w:r>
      <w:r>
        <w:t xml:space="preserve">,</w:t>
      </w:r>
      <w:r>
        <w:t xml:space="preserve"> </w:t>
      </w:r>
      <w:r>
        <w:rPr>
          <w:iCs/>
          <w:i/>
        </w:rPr>
        <w:t xml:space="preserve">i</w:t>
      </w:r>
      <w:r>
        <w:t xml:space="preserve"> </w:t>
      </w:r>
      <w:r>
        <w:t xml:space="preserve">are called</w:t>
      </w:r>
      <w:r>
        <w:t xml:space="preserve"> </w:t>
      </w:r>
      <w:r>
        <w:rPr>
          <w:iCs/>
          <w:i/>
        </w:rPr>
        <w:t xml:space="preserve">it</w:t>
      </w:r>
      <w:r>
        <w:t xml:space="preserve"> </w:t>
      </w:r>
      <w:r>
        <w:t xml:space="preserve">and dropped;</w:t>
      </w:r>
      <w:r>
        <w:t xml:space="preserve"> </w:t>
      </w:r>
      <w:r>
        <w:rPr>
          <w:iCs/>
          <w:i/>
        </w:rPr>
        <w:t xml:space="preserve">v</w:t>
      </w:r>
      <w:r>
        <w:t xml:space="preserve"> </w:t>
      </w:r>
      <w:r>
        <w:t xml:space="preserve">remains. By</w:t>
      </w:r>
      <w:r>
        <w:t xml:space="preserve"> </w:t>
      </w:r>
      <w:r>
        <w:t xml:space="preserve">“</w:t>
      </w:r>
      <w:r>
        <w:t xml:space="preserve">anidhitāṃ hala upadhāyāḥ kṅiti</w:t>
      </w:r>
      <w:r>
        <w:t xml:space="preserve">”</w:t>
      </w:r>
      <w:r>
        <w:t xml:space="preserve"> </w:t>
      </w:r>
      <w:r>
        <w:t xml:space="preserve">(Pā. sū. 6-4-24), before a</w:t>
      </w:r>
      <w:r>
        <w:t xml:space="preserve"> </w:t>
      </w:r>
      <w:r>
        <w:rPr>
          <w:iCs/>
          <w:i/>
        </w:rPr>
        <w:t xml:space="preserve">kit</w:t>
      </w:r>
      <w:r>
        <w:t xml:space="preserve"> </w:t>
      </w:r>
      <w:r>
        <w:t xml:space="preserve">or</w:t>
      </w:r>
      <w:r>
        <w:t xml:space="preserve"> </w:t>
      </w:r>
      <w:r>
        <w:rPr>
          <w:iCs/>
          <w:i/>
        </w:rPr>
        <w:t xml:space="preserve">ṅit</w:t>
      </w:r>
      <w:r>
        <w:t xml:space="preserve"> </w:t>
      </w:r>
      <w:r>
        <w:t xml:space="preserve">suffix, the</w:t>
      </w:r>
      <w:r>
        <w:t xml:space="preserve"> </w:t>
      </w:r>
      <w:r>
        <w:rPr>
          <w:iCs/>
          <w:i/>
        </w:rPr>
        <w:t xml:space="preserve">n</w:t>
      </w:r>
      <w:r>
        <w:t xml:space="preserve"> </w:t>
      </w:r>
      <w:r>
        <w:t xml:space="preserve">in the penultimate of a consonant-final</w:t>
      </w:r>
      <w:r>
        <w:t xml:space="preserve"> </w:t>
      </w:r>
      <w:r>
        <w:rPr>
          <w:iCs/>
          <w:i/>
        </w:rPr>
        <w:t xml:space="preserve">aṅga</w:t>
      </w:r>
      <w:r>
        <w:t xml:space="preserve"> </w:t>
      </w:r>
      <w:r>
        <w:t xml:space="preserve">not having short</w:t>
      </w:r>
      <w:r>
        <w:t xml:space="preserve"> </w:t>
      </w:r>
      <w:r>
        <w:rPr>
          <w:iCs/>
          <w:i/>
        </w:rPr>
        <w:t xml:space="preserve">i</w:t>
      </w:r>
      <w:r>
        <w:t xml:space="preserve"> </w:t>
      </w:r>
      <w:r>
        <w:t xml:space="preserve">as</w:t>
      </w:r>
      <w:r>
        <w:t xml:space="preserve"> </w:t>
      </w:r>
      <w:r>
        <w:rPr>
          <w:iCs/>
          <w:i/>
        </w:rPr>
        <w:t xml:space="preserve">it</w:t>
      </w:r>
      <w:r>
        <w:t xml:space="preserve"> </w:t>
      </w:r>
      <w:r>
        <w:t xml:space="preserve">is dropped:</w:t>
      </w:r>
      <w:r>
        <w:t xml:space="preserve"> </w:t>
      </w:r>
      <w:r>
        <w:rPr>
          <w:iCs/>
          <w:i/>
        </w:rPr>
        <w:t xml:space="preserve">pra</w:t>
      </w:r>
      <w:r>
        <w:t xml:space="preserve"> </w:t>
      </w:r>
      <w:r>
        <w:t xml:space="preserve">+</w:t>
      </w:r>
      <w:r>
        <w:t xml:space="preserve"> </w:t>
      </w:r>
      <w:r>
        <w:rPr>
          <w:iCs/>
          <w:i/>
        </w:rPr>
        <w:t xml:space="preserve">ac</w:t>
      </w:r>
      <w:r>
        <w:t xml:space="preserve"> </w:t>
      </w:r>
      <w:r>
        <w:t xml:space="preserve">+</w:t>
      </w:r>
      <w:r>
        <w:t xml:space="preserve"> </w:t>
      </w:r>
      <w:r>
        <w:rPr>
          <w:iCs/>
          <w:i/>
        </w:rPr>
        <w:t xml:space="preserve">v</w:t>
      </w:r>
      <w:r>
        <w:t xml:space="preserve">; lengthening of like vowels:</w:t>
      </w:r>
      <w:r>
        <w:t xml:space="preserve"> </w:t>
      </w:r>
      <w:r>
        <w:rPr>
          <w:iCs/>
          <w:i/>
        </w:rPr>
        <w:t xml:space="preserve">prāc</w:t>
      </w:r>
      <w:r>
        <w:t xml:space="preserve"> </w:t>
      </w:r>
      <w:r>
        <w:t xml:space="preserve">+</w:t>
      </w:r>
      <w:r>
        <w:t xml:space="preserve"> </w:t>
      </w:r>
      <w:r>
        <w:rPr>
          <w:iCs/>
          <w:i/>
        </w:rPr>
        <w:t xml:space="preserve">v</w:t>
      </w:r>
      <w:r>
        <w:t xml:space="preserve">. By</w:t>
      </w:r>
      <w:r>
        <w:t xml:space="preserve"> </w:t>
      </w:r>
      <w:r>
        <w:t xml:space="preserve">“</w:t>
      </w:r>
      <w:r>
        <w:t xml:space="preserve">anigantoñcatau vapratyaye</w:t>
      </w:r>
      <w:r>
        <w:t xml:space="preserve">”</w:t>
      </w:r>
      <w:r>
        <w:t xml:space="preserve"> </w:t>
      </w:r>
      <w:r>
        <w:t xml:space="preserve">(Pā. sū. 6-2-52), when the root</w:t>
      </w:r>
      <w:r>
        <w:t xml:space="preserve"> </w:t>
      </w:r>
      <w:r>
        <w:rPr>
          <w:iCs/>
          <w:i/>
        </w:rPr>
        <w:t xml:space="preserve">añc</w:t>
      </w:r>
      <w:r>
        <w:t xml:space="preserve"> </w:t>
      </w:r>
      <w:r>
        <w:t xml:space="preserve">ending in a suffix that is</w:t>
      </w:r>
      <w:r>
        <w:t xml:space="preserve"> </w:t>
      </w:r>
      <w:r>
        <w:rPr>
          <w:iCs/>
          <w:i/>
        </w:rPr>
        <w:t xml:space="preserve">v</w:t>
      </w:r>
      <w:r>
        <w:t xml:space="preserve"> </w:t>
      </w:r>
      <w:r>
        <w:t xml:space="preserve">follows, a</w:t>
      </w:r>
      <w:r>
        <w:t xml:space="preserve"> </w:t>
      </w:r>
      <w:r>
        <w:rPr>
          <w:iCs/>
          <w:i/>
        </w:rPr>
        <w:t xml:space="preserve">gati</w:t>
      </w:r>
      <w:r>
        <w:t xml:space="preserve"> </w:t>
      </w:r>
      <w:r>
        <w:t xml:space="preserve">not ending in</w:t>
      </w:r>
      <w:r>
        <w:t xml:space="preserve"> </w:t>
      </w:r>
      <w:r>
        <w:rPr>
          <w:iCs/>
          <w:i/>
        </w:rPr>
        <w:t xml:space="preserve">ik</w:t>
      </w:r>
      <w:r>
        <w:t xml:space="preserve"> </w:t>
      </w:r>
      <w:r>
        <w:t xml:space="preserve">keeps its own accent; so the first member keeps its accent; the first member</w:t>
      </w:r>
      <w:r>
        <w:t xml:space="preserve"> </w:t>
      </w:r>
      <w:r>
        <w:rPr>
          <w:iCs/>
          <w:i/>
        </w:rPr>
        <w:t xml:space="preserve">pra</w:t>
      </w:r>
      <w:r>
        <w:t xml:space="preserve"> </w:t>
      </w:r>
      <w:r>
        <w:t xml:space="preserve">is initial udātta by</w:t>
      </w:r>
      <w:r>
        <w:t xml:space="preserve"> </w:t>
      </w:r>
      <w:r>
        <w:rPr>
          <w:iCs/>
          <w:i/>
        </w:rPr>
        <w:t xml:space="preserve">upasargāś cābhivarjam</w:t>
      </w:r>
      <w:r>
        <w:t xml:space="preserve">, and after compounding the same accent stays by the sūtra just stated. With</w:t>
      </w:r>
      <w:r>
        <w:t xml:space="preserve"> </w:t>
      </w:r>
      <w:r>
        <w:rPr>
          <w:iCs/>
          <w:i/>
        </w:rPr>
        <w:t xml:space="preserve">pra</w:t>
      </w:r>
      <w:r>
        <w:t xml:space="preserve"> </w:t>
      </w:r>
      <w:r>
        <w:t xml:space="preserve">+</w:t>
      </w:r>
      <w:r>
        <w:t xml:space="preserve"> </w:t>
      </w:r>
      <w:r>
        <w:rPr>
          <w:iCs/>
          <w:i/>
        </w:rPr>
        <w:t xml:space="preserve">ac</w:t>
      </w:r>
      <w:r>
        <w:t xml:space="preserve"> </w:t>
      </w:r>
      <w:r>
        <w:t xml:space="preserve">+</w:t>
      </w:r>
      <w:r>
        <w:t xml:space="preserve"> </w:t>
      </w:r>
      <w:r>
        <w:rPr>
          <w:iCs/>
          <w:i/>
        </w:rPr>
        <w:t xml:space="preserve">v</w:t>
      </w:r>
      <w:r>
        <w:t xml:space="preserve"> </w:t>
      </w:r>
      <w:r>
        <w:t xml:space="preserve">the single substitute from lengthening of like vowels is udātta by</w:t>
      </w:r>
      <w:r>
        <w:t xml:space="preserve"> </w:t>
      </w:r>
      <w:r>
        <w:rPr>
          <w:iCs/>
          <w:i/>
        </w:rPr>
        <w:t xml:space="preserve">ekādeśa udāttenodāttaḥ</w:t>
      </w:r>
      <w:r>
        <w:t xml:space="preserve">. By</w:t>
      </w:r>
      <w:r>
        <w:t xml:space="preserve"> </w:t>
      </w:r>
      <w:r>
        <w:t xml:space="preserve">“</w:t>
      </w:r>
      <w:r>
        <w:t xml:space="preserve">ver apṛktasya</w:t>
      </w:r>
      <w:r>
        <w:t xml:space="preserve">”</w:t>
      </w:r>
      <w:r>
        <w:t xml:space="preserve"> </w:t>
      </w:r>
      <w:r>
        <w:t xml:space="preserve">the</w:t>
      </w:r>
      <w:r>
        <w:t xml:space="preserve"> </w:t>
      </w:r>
      <w:r>
        <w:rPr>
          <w:iCs/>
          <w:i/>
        </w:rPr>
        <w:t xml:space="preserve">v</w:t>
      </w:r>
      <w:r>
        <w:t xml:space="preserve"> </w:t>
      </w:r>
      <w:r>
        <w:t xml:space="preserve">is dropped. Accusative singular</w:t>
      </w:r>
      <w:r>
        <w:t xml:space="preserve"> </w:t>
      </w:r>
      <w:r>
        <w:rPr>
          <w:iCs/>
          <w:i/>
        </w:rPr>
        <w:t xml:space="preserve">am</w:t>
      </w:r>
      <w:r>
        <w:t xml:space="preserve">:</w:t>
      </w:r>
      <w:r>
        <w:t xml:space="preserve"> </w:t>
      </w:r>
      <w:r>
        <w:rPr>
          <w:iCs/>
          <w:i/>
        </w:rPr>
        <w:t xml:space="preserve">prāc</w:t>
      </w:r>
      <w:r>
        <w:t xml:space="preserve"> </w:t>
      </w:r>
      <w:r>
        <w:t xml:space="preserve">+</w:t>
      </w:r>
      <w:r>
        <w:t xml:space="preserve"> </w:t>
      </w:r>
      <w:r>
        <w:rPr>
          <w:iCs/>
          <w:i/>
        </w:rPr>
        <w:t xml:space="preserve">am</w:t>
      </w:r>
      <w:r>
        <w:t xml:space="preserve">. By</w:t>
      </w:r>
      <w:r>
        <w:t xml:space="preserve"> </w:t>
      </w:r>
      <w:r>
        <w:t xml:space="preserve">“</w:t>
      </w:r>
      <w:r>
        <w:t xml:space="preserve">ugidacāṃ sarvanāmasthāne ’dhātoḥ</w:t>
      </w:r>
      <w:r>
        <w:t xml:space="preserve">”</w:t>
      </w:r>
      <w:r>
        <w:t xml:space="preserve"> </w:t>
      </w:r>
      <w:r>
        <w:t xml:space="preserve">(Pā. sū. 7-1-70) the augment</w:t>
      </w:r>
      <w:r>
        <w:t xml:space="preserve"> </w:t>
      </w:r>
      <w:r>
        <w:rPr>
          <w:iCs/>
          <w:i/>
        </w:rPr>
        <w:t xml:space="preserve">num</w:t>
      </w:r>
      <w:r>
        <w:t xml:space="preserve">:</w:t>
      </w:r>
      <w:r>
        <w:t xml:space="preserve"> </w:t>
      </w:r>
      <w:r>
        <w:rPr>
          <w:iCs/>
          <w:i/>
        </w:rPr>
        <w:t xml:space="preserve">prānc</w:t>
      </w:r>
      <w:r>
        <w:t xml:space="preserve"> </w:t>
      </w:r>
      <w:r>
        <w:t xml:space="preserve">+</w:t>
      </w:r>
      <w:r>
        <w:t xml:space="preserve"> </w:t>
      </w:r>
      <w:r>
        <w:rPr>
          <w:iCs/>
          <w:i/>
        </w:rPr>
        <w:t xml:space="preserve">am</w:t>
      </w:r>
      <w:r>
        <w:t xml:space="preserve">; by</w:t>
      </w:r>
      <w:r>
        <w:t xml:space="preserve"> </w:t>
      </w:r>
      <w:r>
        <w:t xml:space="preserve">“</w:t>
      </w:r>
      <w:r>
        <w:t xml:space="preserve">naś cāpadāntasya jhali</w:t>
      </w:r>
      <w:r>
        <w:t xml:space="preserve">”</w:t>
      </w:r>
      <w:r>
        <w:t xml:space="preserve"> </w:t>
      </w:r>
      <w:r>
        <w:t xml:space="preserve">(Pā. sū. 8-3-24)</w:t>
      </w:r>
      <w:r>
        <w:t xml:space="preserve"> </w:t>
      </w:r>
      <w:r>
        <w:rPr>
          <w:iCs/>
          <w:i/>
        </w:rPr>
        <w:t xml:space="preserve">anusvāra</w:t>
      </w:r>
      <w:r>
        <w:t xml:space="preserve"> </w:t>
      </w:r>
      <w:r>
        <w:t xml:space="preserve">for the</w:t>
      </w:r>
      <w:r>
        <w:t xml:space="preserve"> </w:t>
      </w:r>
      <w:r>
        <w:rPr>
          <w:iCs/>
          <w:i/>
        </w:rPr>
        <w:t xml:space="preserve">n</w:t>
      </w:r>
      <w:r>
        <w:t xml:space="preserve">; for it, by</w:t>
      </w:r>
      <w:r>
        <w:t xml:space="preserve"> </w:t>
      </w:r>
      <w:r>
        <w:t xml:space="preserve">“</w:t>
      </w:r>
      <w:r>
        <w:t xml:space="preserve">anusvārasya yayi parasavarṇaḥ</w:t>
      </w:r>
      <w:r>
        <w:t xml:space="preserve">”</w:t>
      </w:r>
      <w:r>
        <w:t xml:space="preserve"> </w:t>
      </w:r>
      <w:r>
        <w:t xml:space="preserve">(Pā. sū. 8-4-58), the homorganic</w:t>
      </w:r>
      <w:r>
        <w:t xml:space="preserve"> </w:t>
      </w:r>
      <w:r>
        <w:rPr>
          <w:iCs/>
          <w:i/>
        </w:rPr>
        <w:t xml:space="preserve">ñ</w:t>
      </w:r>
      <w:r>
        <w:t xml:space="preserve">:</w:t>
      </w:r>
      <w:r>
        <w:t xml:space="preserve"> </w:t>
      </w:r>
      <w:r>
        <w:rPr>
          <w:iCs/>
          <w:i/>
        </w:rPr>
        <w:t xml:space="preserve">prāñcam</w:t>
      </w:r>
      <w:r>
        <w:t xml:space="preserve">.</w:t>
      </w:r>
    </w:p>
    <w:p>
      <w:pPr>
        <w:pStyle w:val="BodyText"/>
      </w:pPr>
      <w:r>
        <w:rPr>
          <w:bCs/>
          <w:b/>
        </w:rPr>
        <w:t xml:space="preserve">अध्वरम् (</w:t>
      </w:r>
      <w:r>
        <w:rPr>
          <w:iCs/>
          <w:i/>
          <w:bCs/>
          <w:b/>
        </w:rPr>
        <w:t xml:space="preserve">adhvaram</w:t>
      </w:r>
      <w:r>
        <w:rPr>
          <w:bCs/>
          <w:b/>
        </w:rPr>
        <w:t xml:space="preserve">)</w:t>
      </w:r>
      <w:r>
        <w:t xml:space="preserve">:</w:t>
      </w:r>
      <w:r>
        <w:t xml:space="preserve"> </w:t>
      </w:r>
      <w:r>
        <w:rPr>
          <w:iCs/>
          <w:i/>
        </w:rPr>
        <w:t xml:space="preserve">na vidyate ’dhvaraḥ</w:t>
      </w:r>
      <w:r>
        <w:t xml:space="preserve"> </w:t>
      </w:r>
      <w:r>
        <w:t xml:space="preserve">[as printed]</w:t>
      </w:r>
      <w:r>
        <w:t xml:space="preserve"> </w:t>
      </w:r>
      <w:r>
        <w:rPr>
          <w:iCs/>
          <w:i/>
        </w:rPr>
        <w:t xml:space="preserve">hiṃsā yasmin sa adhvaraḥ</w:t>
      </w:r>
      <w:r>
        <w:t xml:space="preserve">. Overriding the first-member accent due by</w:t>
      </w:r>
      <w:r>
        <w:t xml:space="preserve"> </w:t>
      </w:r>
      <w:r>
        <w:rPr>
          <w:iCs/>
          <w:i/>
        </w:rPr>
        <w:t xml:space="preserve">bahuvrīhau prakṛtyā pūrvapadam</w:t>
      </w:r>
      <w:r>
        <w:t xml:space="preserve">, by</w:t>
      </w:r>
      <w:r>
        <w:t xml:space="preserve"> </w:t>
      </w:r>
      <w:r>
        <w:t xml:space="preserve">“</w:t>
      </w:r>
      <w:r>
        <w:t xml:space="preserve">nañsubhyām</w:t>
      </w:r>
      <w:r>
        <w:t xml:space="preserve">”</w:t>
      </w:r>
      <w:r>
        <w:t xml:space="preserve"> </w:t>
      </w:r>
      <w:r>
        <w:t xml:space="preserve">(Pā. sū. 6-2-172), the final member after</w:t>
      </w:r>
      <w:r>
        <w:t xml:space="preserve"> </w:t>
      </w:r>
      <w:r>
        <w:rPr>
          <w:iCs/>
          <w:i/>
        </w:rPr>
        <w:t xml:space="preserve">nañ</w:t>
      </w:r>
      <w:r>
        <w:t xml:space="preserve"> </w:t>
      </w:r>
      <w:r>
        <w:t xml:space="preserve">and</w:t>
      </w:r>
      <w:r>
        <w:t xml:space="preserve"> </w:t>
      </w:r>
      <w:r>
        <w:rPr>
          <w:iCs/>
          <w:i/>
        </w:rPr>
        <w:t xml:space="preserve">su</w:t>
      </w:r>
      <w:r>
        <w:t xml:space="preserve"> </w:t>
      </w:r>
      <w:r>
        <w:t xml:space="preserve">is final udātta; so the final member is final udātta.</w:t>
      </w:r>
    </w:p>
    <w:p>
      <w:pPr>
        <w:pStyle w:val="BodyText"/>
      </w:pPr>
      <w:r>
        <w:rPr>
          <w:bCs/>
          <w:b/>
        </w:rPr>
        <w:t xml:space="preserve">होत्रा (</w:t>
      </w:r>
      <w:r>
        <w:rPr>
          <w:iCs/>
          <w:i/>
          <w:bCs/>
          <w:b/>
        </w:rPr>
        <w:t xml:space="preserve">hotrā</w:t>
      </w:r>
      <w:r>
        <w:rPr>
          <w:bCs/>
          <w:b/>
        </w:rPr>
        <w:t xml:space="preserve">)</w:t>
      </w:r>
      <w:r>
        <w:t xml:space="preserve">:</w:t>
      </w:r>
      <w:r>
        <w:t xml:space="preserve"> </w:t>
      </w:r>
      <w:r>
        <w:rPr>
          <w:iCs/>
          <w:i/>
        </w:rPr>
        <w:t xml:space="preserve">hūyate asmin iti hotrā</w:t>
      </w:r>
      <w:r>
        <w:t xml:space="preserve">, the deity. By</w:t>
      </w:r>
      <w:r>
        <w:t xml:space="preserve"> </w:t>
      </w:r>
      <w:r>
        <w:t xml:space="preserve">“</w:t>
      </w:r>
      <w:r>
        <w:t xml:space="preserve">huyāmāśrubhasibhyas tran</w:t>
      </w:r>
      <w:r>
        <w:t xml:space="preserve">”</w:t>
      </w:r>
      <w:r>
        <w:t xml:space="preserve"> </w:t>
      </w:r>
      <w:r>
        <w:t xml:space="preserve">(Uṇ. sū.</w:t>
      </w:r>
      <w:r>
        <w:t xml:space="preserve"> </w:t>
      </w:r>
      <w:r>
        <w:t xml:space="preserve">“</w:t>
      </w:r>
      <w:r>
        <w:t xml:space="preserve">4-602</w:t>
      </w:r>
      <w:r>
        <w:t xml:space="preserve">”</w:t>
      </w:r>
      <w:r>
        <w:t xml:space="preserve"> </w:t>
      </w:r>
      <w:r>
        <w:t xml:space="preserve">[?]), after the roots</w:t>
      </w:r>
      <w:r>
        <w:t xml:space="preserve"> </w:t>
      </w:r>
      <w:r>
        <w:rPr>
          <w:iCs/>
          <w:i/>
        </w:rPr>
        <w:t xml:space="preserve">hu dānādanayoḥ</w:t>
      </w:r>
      <w:r>
        <w:t xml:space="preserve">,</w:t>
      </w:r>
      <w:r>
        <w:t xml:space="preserve"> </w:t>
      </w:r>
      <w:r>
        <w:rPr>
          <w:iCs/>
          <w:i/>
        </w:rPr>
        <w:t xml:space="preserve">yā prāpaṇe</w:t>
      </w:r>
      <w:r>
        <w:t xml:space="preserve">,</w:t>
      </w:r>
      <w:r>
        <w:t xml:space="preserve"> </w:t>
      </w:r>
      <w:r>
        <w:rPr>
          <w:iCs/>
          <w:i/>
        </w:rPr>
        <w:t xml:space="preserve">mā māne</w:t>
      </w:r>
      <w:r>
        <w:t xml:space="preserve">,</w:t>
      </w:r>
      <w:r>
        <w:t xml:space="preserve"> </w:t>
      </w:r>
      <w:r>
        <w:rPr>
          <w:iCs/>
          <w:i/>
        </w:rPr>
        <w:t xml:space="preserve">śru śravaṇe</w:t>
      </w:r>
      <w:r>
        <w:t xml:space="preserve"> </w:t>
      </w:r>
      <w:r>
        <w:t xml:space="preserve">and</w:t>
      </w:r>
      <w:r>
        <w:t xml:space="preserve"> </w:t>
      </w:r>
      <w:r>
        <w:rPr>
          <w:iCs/>
          <w:i/>
        </w:rPr>
        <w:t xml:space="preserve">bhasa bhartsanadīptyoḥ</w:t>
      </w:r>
      <w:r>
        <w:t xml:space="preserve">,</w:t>
      </w:r>
    </w:p>
    <w:bookmarkEnd w:id="860"/>
    <w:bookmarkStart w:id="861" w:name="page-779-upper-rik-8-grammar-end"/>
    <w:p>
      <w:pPr>
        <w:pStyle w:val="Heading3"/>
      </w:pPr>
      <w:r>
        <w:t xml:space="preserve">Page 779 (upper) — Rik 8: grammar (end)</w:t>
      </w:r>
    </w:p>
    <w:p>
      <w:pPr>
        <w:pStyle w:val="FirstParagraph"/>
      </w:pPr>
      <w:r>
        <w:t xml:space="preserve">the suffix</w:t>
      </w:r>
      <w:r>
        <w:t xml:space="preserve"> </w:t>
      </w:r>
      <w:r>
        <w:rPr>
          <w:iCs/>
          <w:i/>
        </w:rPr>
        <w:t xml:space="preserve">tran</w:t>
      </w:r>
      <w:r>
        <w:t xml:space="preserve"> </w:t>
      </w:r>
      <w:r>
        <w:t xml:space="preserve">comes; so after the root</w:t>
      </w:r>
      <w:r>
        <w:t xml:space="preserve"> </w:t>
      </w:r>
      <w:r>
        <w:rPr>
          <w:iCs/>
          <w:i/>
        </w:rPr>
        <w:t xml:space="preserve">hu</w:t>
      </w:r>
      <w:r>
        <w:t xml:space="preserve">,</w:t>
      </w:r>
      <w:r>
        <w:t xml:space="preserve"> </w:t>
      </w:r>
      <w:r>
        <w:rPr>
          <w:iCs/>
          <w:i/>
        </w:rPr>
        <w:t xml:space="preserve">tran</w:t>
      </w:r>
      <w:r>
        <w:t xml:space="preserve">;</w:t>
      </w:r>
      <w:r>
        <w:t xml:space="preserve"> </w:t>
      </w:r>
      <w:r>
        <w:rPr>
          <w:iCs/>
          <w:i/>
        </w:rPr>
        <w:t xml:space="preserve">guṇa</w:t>
      </w:r>
      <w:r>
        <w:t xml:space="preserve">:</w:t>
      </w:r>
      <w:r>
        <w:t xml:space="preserve"> </w:t>
      </w:r>
      <w:r>
        <w:rPr>
          <w:iCs/>
          <w:i/>
        </w:rPr>
        <w:t xml:space="preserve">hotra</w:t>
      </w:r>
      <w:r>
        <w:t xml:space="preserve">. Naming a deity, it is feminine; so</w:t>
      </w:r>
      <w:r>
        <w:t xml:space="preserve"> </w:t>
      </w:r>
      <w:r>
        <w:rPr>
          <w:iCs/>
          <w:i/>
        </w:rPr>
        <w:t xml:space="preserve">ṭāp</w:t>
      </w:r>
      <w:r>
        <w:t xml:space="preserve">:</w:t>
      </w:r>
      <w:r>
        <w:t xml:space="preserve"> </w:t>
      </w:r>
      <w:r>
        <w:rPr>
          <w:iCs/>
          <w:i/>
        </w:rPr>
        <w:t xml:space="preserve">hotrā</w:t>
      </w:r>
      <w:r>
        <w:t xml:space="preserve">. The suffix is</w:t>
      </w:r>
      <w:r>
        <w:t xml:space="preserve"> </w:t>
      </w:r>
      <w:r>
        <w:rPr>
          <w:iCs/>
          <w:i/>
        </w:rPr>
        <w:t xml:space="preserve">nit</w:t>
      </w:r>
      <w:r>
        <w:t xml:space="preserve">; so</w:t>
      </w:r>
      <w:r>
        <w:t xml:space="preserve"> </w:t>
      </w:r>
      <w:r>
        <w:rPr>
          <w:iCs/>
          <w:i/>
        </w:rPr>
        <w:t xml:space="preserve">hotrā</w:t>
      </w:r>
      <w:r>
        <w:t xml:space="preserve"> </w:t>
      </w:r>
      <w:r>
        <w:t xml:space="preserve">is initial udātta by the</w:t>
      </w:r>
      <w:r>
        <w:t xml:space="preserve"> </w:t>
      </w:r>
      <w:r>
        <w:rPr>
          <w:iCs/>
          <w:i/>
        </w:rPr>
        <w:t xml:space="preserve">nit</w:t>
      </w:r>
      <w:r>
        <w:t xml:space="preserve"> </w:t>
      </w:r>
      <w:r>
        <w:t xml:space="preserve">accent.</w:t>
      </w:r>
    </w:p>
    <w:p>
      <w:pPr>
        <w:pStyle w:val="BodyText"/>
      </w:pPr>
      <w:r>
        <w:rPr>
          <w:bCs/>
          <w:b/>
        </w:rPr>
        <w:t xml:space="preserve">॥८॥</w:t>
      </w:r>
    </w:p>
    <w:p>
      <w:r>
        <w:pict>
          <v:rect style="width:0;height:1.5pt" o:hralign="center" o:hrstd="t" o:hr="t"/>
        </w:pict>
      </w:r>
    </w:p>
    <w:bookmarkEnd w:id="861"/>
    <w:bookmarkStart w:id="862" w:name="X637c48ec48a2b04a9e6b4a038d66e158501d7df"/>
    <w:p>
      <w:pPr>
        <w:pStyle w:val="Heading3"/>
      </w:pPr>
      <w:r>
        <w:t xml:space="preserve">Page 779 (lower) — Sūkta 18, Rik 9 (last ṛk of the sūkta)</w:t>
      </w:r>
    </w:p>
    <w:p>
      <w:pPr>
        <w:pStyle w:val="FirstParagraph"/>
      </w:pPr>
      <w:r>
        <w:rPr>
          <w:iCs/>
          <w:i/>
        </w:rPr>
        <w:t xml:space="preserve">(Saṃhitā accents as printed; Pada unaccented. Deity: Sadasaspati or Narāśaṃsa.)</w:t>
      </w:r>
    </w:p>
    <w:p>
      <w:pPr>
        <w:pStyle w:val="BodyText"/>
      </w:pPr>
      <w:r>
        <w:rPr>
          <w:bCs/>
          <w:b/>
        </w:rPr>
        <w:t xml:space="preserve">॥ Saṃhitā-pāṭhaḥ ॥</w:t>
      </w:r>
    </w:p>
    <w:p>
      <w:pPr>
        <w:pStyle w:val="BlockText"/>
      </w:pPr>
      <w:r>
        <w:t xml:space="preserve">नरा॒शंसं॑ सु॒धृष्ट॑म॒मप॑श्यं स॒प्रथ॑स्तमम् । [accent ?]</w:t>
      </w:r>
      <w:r>
        <w:t xml:space="preserve"> </w:t>
      </w:r>
      <w:r>
        <w:t xml:space="preserve">दि॒वो न सद्म॑मखसम् ॥९॥ [accent ?]</w:t>
      </w:r>
    </w:p>
    <w:p>
      <w:pPr>
        <w:pStyle w:val="BlockText"/>
      </w:pPr>
      <w:r>
        <w:rPr>
          <w:iCs/>
          <w:i/>
        </w:rPr>
        <w:t xml:space="preserve">narāśáṃsaṃ sudhṛ́ṣṭamam ápaśyaṃ sapráthastamam |</w:t>
      </w:r>
      <w:r>
        <w:t xml:space="preserve"> </w:t>
      </w:r>
      <w:r>
        <w:t xml:space="preserve">[accent ?]</w:t>
      </w:r>
      <w:r>
        <w:t xml:space="preserve"> </w:t>
      </w:r>
      <w:r>
        <w:rPr>
          <w:iCs/>
          <w:i/>
        </w:rPr>
        <w:t xml:space="preserve">divó na sádmamakhasam ||9||</w:t>
      </w:r>
      <w:r>
        <w:t xml:space="preserve"> </w:t>
      </w:r>
      <w:r>
        <w:t xml:space="preserve">[accent ?]</w:t>
      </w:r>
    </w:p>
    <w:p>
      <w:pPr>
        <w:pStyle w:val="FirstParagraph"/>
      </w:pPr>
      <w:r>
        <w:rPr>
          <w:iCs/>
          <w:i/>
        </w:rPr>
        <w:t xml:space="preserve">(Read as printed: strokes over सं (शंसं), धृ, प (अपश्यं), थ and द्म; bars under रा, सु, म (ष्टम), स (सप्रथ) and दि.)</w:t>
      </w:r>
    </w:p>
    <w:p>
      <w:pPr>
        <w:pStyle w:val="BodyText"/>
      </w:pPr>
      <w:r>
        <w:rPr>
          <w:bCs/>
          <w:b/>
        </w:rPr>
        <w:t xml:space="preserve">॥ Pada-pāṭhaḥ ॥</w:t>
      </w:r>
    </w:p>
    <w:p>
      <w:pPr>
        <w:pStyle w:val="BlockText"/>
      </w:pPr>
      <w:r>
        <w:t xml:space="preserve">नराशंसम् । सुऽधृष्टमम् । अपश्यम् । सप्रथःऽतमम् ॥</w:t>
      </w:r>
      <w:r>
        <w:t xml:space="preserve"> </w:t>
      </w:r>
      <w:r>
        <w:t xml:space="preserve">दिवः । न । सद्मऽमखसम् ॥९॥</w:t>
      </w:r>
    </w:p>
    <w:p>
      <w:pPr>
        <w:pStyle w:val="BlockText"/>
      </w:pPr>
      <w:r>
        <w:rPr>
          <w:iCs/>
          <w:i/>
        </w:rPr>
        <w:t xml:space="preserve">narāśaṃsam | su ’dhṛṣṭamam | apaśyam | saprathaḥ ’tamam ||</w:t>
      </w:r>
      <w:r>
        <w:t xml:space="preserve"> </w:t>
      </w:r>
      <w:r>
        <w:rPr>
          <w:iCs/>
          <w:i/>
        </w:rPr>
        <w:t xml:space="preserve">divaḥ | na | sadma ’makhasam ||9||</w:t>
      </w:r>
    </w:p>
    <w:p>
      <w:pPr>
        <w:pStyle w:val="FirstParagraph"/>
      </w:pPr>
      <w:r>
        <w:rPr>
          <w:bCs/>
          <w:b/>
        </w:rPr>
        <w:t xml:space="preserve">॥ Sāyaṇa-bhāṣyam ॥</w:t>
      </w:r>
    </w:p>
    <w:p>
      <w:pPr>
        <w:pStyle w:val="BlockText"/>
      </w:pPr>
      <w:r>
        <w:t xml:space="preserve">नराशंसमेतन्नामकं देवविशेषम् । यद्वा । अवयवार्थव्युत्पत्त्या सदसस्पतिदेवतापरोऽयं शब्दः । व्युत्पत्तिं च यास्को दर्शयति । नराशंसो यज्ञ इति कात्थक्यो नरा अस्मिन्नासीनाः शंसन्त्यग्निरिति शाकपूणिर्नरैः प्रशस्यो भवति । नि. ८-६ । इति । अत्राग्निवत्सदसस्पतेरपि नरैः शस्यमानत्वान्नराशंसत्वम् । एवमेवाभिप्रायं हृदि निधाय ब्राह्मणमेवमाम्नायते । प्रजा वै नरो वाक् शंसः । ऐ. ब्रा. ६-२७ । इति । अतो मनुष्यैः शस्यमानो यः सदसस्पतिर्यो वा नराशंसनामको देवस्तमपश्यं शास्त्रदृष्ट्या दृष्टवानस्मि । कीदृशम् । सुधृष्टममत्याधिक्येन धार्ष्ट्ययुक्तं सप्रथस्तममतिशयेन प्रख्यातं सद्ममखसं प्राप्ततेजस्कम् । तत्र दृष्टान्तः । दिवो न द्युलोकानिव । आदित्यचन्द्रादिभिरधिष्ठिता द्युलोकविशेषा यथा तेजस्विनस्तद्वदयं नराशंसस्तेजस्वीत्यर्थः ॥ सुधृष्टमम् । शोभनं धृष्णोतीति सुधृक् । क्विप्चेति क्विप् । अतिशायनिकस्तमप् । षकारस्य जश्त्वाभावश्छान्दसः । कृदुत्तरपदप्रकृतिस्वरत्वेन ऋकार उदात्तः । अपश्यम् । पाघ्राध्मेत्यादिना पश्यादेशः । लुङ्लङ्लृङ्क्ष्वडुदात्तः । पा. ६-४-७१ । इत्यट उदात्तत्वम् । पादादित्वान्न निघातः । सप्रथस्तमम् । प्रथ प्रख्याने ।</w:t>
      </w:r>
    </w:p>
    <w:p>
      <w:pPr>
        <w:pStyle w:val="BlockText"/>
      </w:pPr>
      <w:r>
        <w:rPr>
          <w:iCs/>
          <w:i/>
        </w:rPr>
        <w:t xml:space="preserve">narāśaṃsametannāmakaṃ devaviśeṣam | yadvā | avayavārthavyutpattyā sadasaspatidevatāparo ’yaṃ śabdaḥ | vyutpattiṃ ca yāsko darśayati | narāśaṃso yajña iti kātthakyo narā asminnāsīnāḥ śaṃsantyagniriti śākapūṇirnaraiḥ praśasyo bhavati | ni. 8-6 | iti | atrāgnivatsadasaspaterapi naraiḥ śasyamānatvānnarāśaṃsatvam | evamevābhiprāyaṃ hṛdi nidhāya brāhmaṇamevamāmnāyate | prajā vai naro vāk śaṃsaḥ | ai. brā. 6-27 | iti | ato manuṣyaiḥ śasyamāno yaḥ sadasaspatiryo vā narāśaṃsanāmako devastamapaśyaṃ śāstradṛṣṭyā dṛṣṭavānasmi | kīdṛśam | sudhṛṣṭamamatyādhikyena dhārṣṭyayuktaṃ saprathastamamatiśayena prakhyātaṃ sadmamakhasaṃ prāptatejaskam | tatra dṛṣṭāntaḥ | divo na dyulokāniva | ādityacandrādibhiradhiṣṭhitā dyulokaviśeṣā yathā tejasvinastadvadayaṃ narāśaṃsastejasvītyarthaḥ || sudhṛṣṭamam | śobhanaṃ dhṛṣṇotīti sudhṛk | kvipceti kvip | atiśāyanikastamap | ṣakārasya jaśtvābhāvaśchāndasaḥ | kṛduttarapadaprakṛtisvaratvena ṛkāra udāttaḥ | apaśyam | pāghrādhmetyādinā paśyādeśaḥ | luṅlaṅlṛṅkṣvaḍudāttaḥ | pā. 6-4-71 | ityaṭa udāttatvam | pādāditvānna nighātaḥ | saprathastamam | pratha prakhyāne |</w:t>
      </w:r>
    </w:p>
    <w:bookmarkEnd w:id="862"/>
    <w:bookmarkStart w:id="863" w:name="Xf144c21df205d6fb29764495cd328561fcc746b"/>
    <w:p>
      <w:pPr>
        <w:pStyle w:val="Heading3"/>
      </w:pPr>
      <w:r>
        <w:t xml:space="preserve">Page 780 — Rik 9: bhāṣya (end), word-meanings, overall sense, English, Special Topics</w:t>
      </w:r>
    </w:p>
    <w:p>
      <w:pPr>
        <w:pStyle w:val="FirstParagraph"/>
      </w:pPr>
      <w:r>
        <w:rPr>
          <w:iCs/>
          <w:i/>
        </w:rPr>
        <w:t xml:space="preserve">(॥३५॥ closes Varga 35.)</w:t>
      </w:r>
    </w:p>
    <w:p>
      <w:pPr>
        <w:pStyle w:val="BlockText"/>
      </w:pPr>
      <w:r>
        <w:t xml:space="preserve">प्रथनं प्रथः । सर्वधातुभ्योऽसुन् । नित्त्वादाद्युदात्तत्वम् । सह प्रथसा वर्तत इति तेन सहेति तुल्ययोगे । पा. २-२-२८ । इति बहुव्रीहिसमासः । वोपसर्जनस्य । पा. ६-३-८२ । इति सादेशः । पूर्वपदप्रकृतिस्वरत्वे प्राप्ते परादिश्छन्दसि बहुलमित्युत्तरपदाद्युदात्तत्वम् । दिवः । ऊडिदमित्यादिना विभक्तेरुदात्तत्वम् । सद्ममखसम् । सीदन्तीति सद्म । षद्लृ विशरणादौ । अन्येभ्योऽपि दृश्यन्त इति मनिन् । नित्त्वादाद्युदात्तः । सद्म महो यस्येति बहुव्रीहौ हकारस्य व्यत्ययेन खकारः ॥३५॥</w:t>
      </w:r>
    </w:p>
    <w:p>
      <w:pPr>
        <w:pStyle w:val="BlockText"/>
      </w:pPr>
      <w:r>
        <w:rPr>
          <w:iCs/>
          <w:i/>
        </w:rPr>
        <w:t xml:space="preserve">prathanaṃ prathaḥ | sarvadhātubhyo ’sun | nittvādādyudāttatvam | saha prathasā vartata iti tena saheti tulyayoge | pā. 2-2-28 | iti bahuvrīhisamāsaḥ | vopasarjanasya | pā. 6-3-82 | iti sādeśaḥ | pūrvapadaprakṛtisvaratve prāpte parādiśchandasi bahulamityuttarapadādyudāttatvam | divaḥ | ūḍidamityādinā vibhakterudāttatvam | sadmamakhasam | sīdantīti sadma | ṣadlṛ viśaraṇādau | anyebhyo ’pi dṛśyanta iti manin | nittvādādyudāttaḥ | sadma maho yasyeti bahuvrīhau hakārasya vyatyayena khakāraḥ ||35||</w:t>
      </w:r>
    </w:p>
    <w:p>
      <w:pPr>
        <w:pStyle w:val="FirstParagraph"/>
      </w:pPr>
      <w:r>
        <w:rPr>
          <w:bCs/>
          <w:b/>
        </w:rPr>
        <w:t xml:space="preserve">Translation:</w:t>
      </w:r>
      <w:r>
        <w:t xml:space="preserve"> </w:t>
      </w:r>
      <w:r>
        <w:t xml:space="preserve">“</w:t>
      </w:r>
      <w:r>
        <w:rPr>
          <w:iCs/>
          <w:i/>
        </w:rPr>
        <w:t xml:space="preserve">Narāśaṃsa</w:t>
      </w:r>
      <w:r>
        <w:t xml:space="preserve">, the particular god of that name. Or, by derivation from the sense of its parts, this word refers to the deity Sadasaspati. Yāska shows the derivation:</w:t>
      </w:r>
      <w:r>
        <w:t xml:space="preserve"> </w:t>
      </w:r>
      <w:r>
        <w:t xml:space="preserve">‘</w:t>
      </w:r>
      <w:r>
        <w:rPr>
          <w:iCs/>
          <w:i/>
        </w:rPr>
        <w:t xml:space="preserve">Narāśaṃsa</w:t>
      </w:r>
      <w:r>
        <w:t xml:space="preserve"> </w:t>
      </w:r>
      <w:r>
        <w:t xml:space="preserve">is the sacrifice, says Kātthakya: men, seated in it, praise; Agni, says Śākapūṇi: he is to be praised by men</w:t>
      </w:r>
      <w:r>
        <w:t xml:space="preserve">’</w:t>
      </w:r>
      <w:r>
        <w:t xml:space="preserve"> </w:t>
      </w:r>
      <w:r>
        <w:t xml:space="preserve">(Ni. 8-6). Here, like Agni, Sadasaspati too is</w:t>
      </w:r>
      <w:r>
        <w:t xml:space="preserve"> </w:t>
      </w:r>
      <w:r>
        <w:rPr>
          <w:iCs/>
          <w:i/>
        </w:rPr>
        <w:t xml:space="preserve">narāśaṃsa</w:t>
      </w:r>
      <w:r>
        <w:t xml:space="preserve"> </w:t>
      </w:r>
      <w:r>
        <w:t xml:space="preserve">because he is praised by men. With just this intent in mind the Brāhmaṇa declares:</w:t>
      </w:r>
      <w:r>
        <w:t xml:space="preserve"> </w:t>
      </w:r>
      <w:r>
        <w:t xml:space="preserve">‘</w:t>
      </w:r>
      <w:r>
        <w:t xml:space="preserve">The creatures are men; speech is</w:t>
      </w:r>
      <w:r>
        <w:t xml:space="preserve"> </w:t>
      </w:r>
      <w:r>
        <w:rPr>
          <w:iCs/>
          <w:i/>
        </w:rPr>
        <w:t xml:space="preserve">śaṃsa</w:t>
      </w:r>
      <w:r>
        <w:t xml:space="preserve">’</w:t>
      </w:r>
      <w:r>
        <w:t xml:space="preserve"> </w:t>
      </w:r>
      <w:r>
        <w:t xml:space="preserve">(Ai. Brā. 6-27). So I</w:t>
      </w:r>
      <w:r>
        <w:t xml:space="preserve"> </w:t>
      </w:r>
      <w:r>
        <w:rPr>
          <w:iCs/>
          <w:i/>
        </w:rPr>
        <w:t xml:space="preserve">apaśyam</w:t>
      </w:r>
      <w:r>
        <w:t xml:space="preserve">, have seen with the eye of the śāstra, the Sadasaspati praised by men, or the god named Narāśaṃsa. Of what kind?</w:t>
      </w:r>
      <w:r>
        <w:t xml:space="preserve"> </w:t>
      </w:r>
      <w:r>
        <w:rPr>
          <w:iCs/>
          <w:i/>
        </w:rPr>
        <w:t xml:space="preserve">Sudhṛṣṭama</w:t>
      </w:r>
      <w:r>
        <w:t xml:space="preserve">, endowed with boldness in the highest degree;</w:t>
      </w:r>
      <w:r>
        <w:t xml:space="preserve"> </w:t>
      </w:r>
      <w:r>
        <w:rPr>
          <w:iCs/>
          <w:i/>
        </w:rPr>
        <w:t xml:space="preserve">saprathastama</w:t>
      </w:r>
      <w:r>
        <w:t xml:space="preserve">, most renowned;</w:t>
      </w:r>
      <w:r>
        <w:t xml:space="preserve"> </w:t>
      </w:r>
      <w:r>
        <w:rPr>
          <w:iCs/>
          <w:i/>
        </w:rPr>
        <w:t xml:space="preserve">sadmamakhas</w:t>
      </w:r>
      <w:r>
        <w:t xml:space="preserve">, who has attained radiance. Here is the example:</w:t>
      </w:r>
      <w:r>
        <w:t xml:space="preserve"> </w:t>
      </w:r>
      <w:r>
        <w:rPr>
          <w:iCs/>
          <w:i/>
        </w:rPr>
        <w:t xml:space="preserve">divo na</w:t>
      </w:r>
      <w:r>
        <w:t xml:space="preserve">, like the heavenly worlds: as the particular heavenly regions presided over by the sun, the moon and the rest are radiant, so this Narāśaṃsa is radiant.</w:t>
      </w:r>
      <w:r>
        <w:t xml:space="preserve">”</w:t>
      </w:r>
      <w:r>
        <w:t xml:space="preserve"> </w:t>
      </w:r>
      <w:r>
        <w:t xml:space="preserve">(Grammatical tail:</w:t>
      </w:r>
      <w:r>
        <w:t xml:space="preserve"> </w:t>
      </w:r>
      <w:r>
        <w:rPr>
          <w:iCs/>
          <w:i/>
        </w:rPr>
        <w:t xml:space="preserve">sudhṛṣṭamam</w:t>
      </w:r>
      <w:r>
        <w:t xml:space="preserve">,</w:t>
      </w:r>
      <w:r>
        <w:t xml:space="preserve"> </w:t>
      </w:r>
      <w:r>
        <w:t xml:space="preserve">“</w:t>
      </w:r>
      <w:r>
        <w:t xml:space="preserve">he dares well</w:t>
      </w:r>
      <w:r>
        <w:t xml:space="preserve">”</w:t>
      </w:r>
      <w:r>
        <w:t xml:space="preserve">,</w:t>
      </w:r>
      <w:r>
        <w:t xml:space="preserve"> </w:t>
      </w:r>
      <w:r>
        <w:rPr>
          <w:iCs/>
          <w:i/>
        </w:rPr>
        <w:t xml:space="preserve">sudhṛk</w:t>
      </w:r>
      <w:r>
        <w:t xml:space="preserve">,</w:t>
      </w:r>
      <w:r>
        <w:t xml:space="preserve"> </w:t>
      </w:r>
      <w:r>
        <w:rPr>
          <w:iCs/>
          <w:i/>
        </w:rPr>
        <w:t xml:space="preserve">kvip</w:t>
      </w:r>
      <w:r>
        <w:t xml:space="preserve"> </w:t>
      </w:r>
      <w:r>
        <w:t xml:space="preserve">by</w:t>
      </w:r>
      <w:r>
        <w:t xml:space="preserve"> </w:t>
      </w:r>
      <w:r>
        <w:rPr>
          <w:iCs/>
          <w:i/>
        </w:rPr>
        <w:t xml:space="preserve">kvip ca</w:t>
      </w:r>
      <w:r>
        <w:t xml:space="preserve">,</w:t>
      </w:r>
      <w:r>
        <w:t xml:space="preserve"> </w:t>
      </w:r>
      <w:r>
        <w:rPr>
          <w:iCs/>
          <w:i/>
        </w:rPr>
        <w:t xml:space="preserve">tamap</w:t>
      </w:r>
      <w:r>
        <w:t xml:space="preserve"> </w:t>
      </w:r>
      <w:r>
        <w:t xml:space="preserve">of excess, the absence of</w:t>
      </w:r>
      <w:r>
        <w:t xml:space="preserve"> </w:t>
      </w:r>
      <w:r>
        <w:rPr>
          <w:iCs/>
          <w:i/>
        </w:rPr>
        <w:t xml:space="preserve">jaś</w:t>
      </w:r>
      <w:r>
        <w:t xml:space="preserve"> </w:t>
      </w:r>
      <w:r>
        <w:t xml:space="preserve">for the</w:t>
      </w:r>
      <w:r>
        <w:t xml:space="preserve"> </w:t>
      </w:r>
      <w:r>
        <w:rPr>
          <w:iCs/>
          <w:i/>
        </w:rPr>
        <w:t xml:space="preserve">ṣ</w:t>
      </w:r>
      <w:r>
        <w:t xml:space="preserve"> </w:t>
      </w:r>
      <w:r>
        <w:t xml:space="preserve">Vedic, the</w:t>
      </w:r>
      <w:r>
        <w:t xml:space="preserve"> </w:t>
      </w:r>
      <w:r>
        <w:rPr>
          <w:iCs/>
          <w:i/>
        </w:rPr>
        <w:t xml:space="preserve">ṛ</w:t>
      </w:r>
      <w:r>
        <w:t xml:space="preserve"> </w:t>
      </w:r>
      <w:r>
        <w:t xml:space="preserve">udātta by the accent of the</w:t>
      </w:r>
      <w:r>
        <w:t xml:space="preserve"> </w:t>
      </w:r>
      <w:r>
        <w:rPr>
          <w:iCs/>
          <w:i/>
        </w:rPr>
        <w:t xml:space="preserve">kṛt</w:t>
      </w:r>
      <w:r>
        <w:t xml:space="preserve"> </w:t>
      </w:r>
      <w:r>
        <w:t xml:space="preserve">final member;</w:t>
      </w:r>
      <w:r>
        <w:t xml:space="preserve"> </w:t>
      </w:r>
      <w:r>
        <w:rPr>
          <w:iCs/>
          <w:i/>
        </w:rPr>
        <w:t xml:space="preserve">apaśyam</w:t>
      </w:r>
      <w:r>
        <w:t xml:space="preserve">,</w:t>
      </w:r>
      <w:r>
        <w:t xml:space="preserve"> </w:t>
      </w:r>
      <w:r>
        <w:rPr>
          <w:iCs/>
          <w:i/>
        </w:rPr>
        <w:t xml:space="preserve">paśya</w:t>
      </w:r>
      <w:r>
        <w:t xml:space="preserve"> </w:t>
      </w:r>
      <w:r>
        <w:t xml:space="preserve">by</w:t>
      </w:r>
      <w:r>
        <w:t xml:space="preserve"> </w:t>
      </w:r>
      <w:r>
        <w:rPr>
          <w:iCs/>
          <w:i/>
        </w:rPr>
        <w:t xml:space="preserve">pāghrādhmā…</w:t>
      </w:r>
      <w:r>
        <w:t xml:space="preserve">, the</w:t>
      </w:r>
      <w:r>
        <w:t xml:space="preserve"> </w:t>
      </w:r>
      <w:r>
        <w:rPr>
          <w:iCs/>
          <w:i/>
        </w:rPr>
        <w:t xml:space="preserve">aṭ</w:t>
      </w:r>
      <w:r>
        <w:t xml:space="preserve"> </w:t>
      </w:r>
      <w:r>
        <w:t xml:space="preserve">udātta by Pā. 6-4-71, not lowered at the start of the</w:t>
      </w:r>
      <w:r>
        <w:t xml:space="preserve"> </w:t>
      </w:r>
      <w:r>
        <w:rPr>
          <w:iCs/>
          <w:i/>
        </w:rPr>
        <w:t xml:space="preserve">pāda</w:t>
      </w:r>
      <w:r>
        <w:t xml:space="preserve">;</w:t>
      </w:r>
      <w:r>
        <w:t xml:space="preserve"> </w:t>
      </w:r>
      <w:r>
        <w:rPr>
          <w:iCs/>
          <w:i/>
        </w:rPr>
        <w:t xml:space="preserve">saprathastamam</w:t>
      </w:r>
      <w:r>
        <w:t xml:space="preserve">,</w:t>
      </w:r>
      <w:r>
        <w:t xml:space="preserve"> </w:t>
      </w:r>
      <w:r>
        <w:rPr>
          <w:iCs/>
          <w:i/>
        </w:rPr>
        <w:t xml:space="preserve">pratha prakhyāne</w:t>
      </w:r>
      <w:r>
        <w:t xml:space="preserve">,</w:t>
      </w:r>
      <w:r>
        <w:t xml:space="preserve"> </w:t>
      </w:r>
      <w:r>
        <w:t xml:space="preserve">“</w:t>
      </w:r>
      <w:r>
        <w:rPr>
          <w:iCs/>
          <w:i/>
        </w:rPr>
        <w:t xml:space="preserve">prathanaṃ prathaḥ</w:t>
      </w:r>
      <w:r>
        <w:t xml:space="preserve">”</w:t>
      </w:r>
      <w:r>
        <w:t xml:space="preserve">,</w:t>
      </w:r>
      <w:r>
        <w:t xml:space="preserve"> </w:t>
      </w:r>
      <w:r>
        <w:rPr>
          <w:iCs/>
          <w:i/>
        </w:rPr>
        <w:t xml:space="preserve">asun</w:t>
      </w:r>
      <w:r>
        <w:t xml:space="preserve">, initial udātta as</w:t>
      </w:r>
      <w:r>
        <w:t xml:space="preserve"> </w:t>
      </w:r>
      <w:r>
        <w:rPr>
          <w:iCs/>
          <w:i/>
        </w:rPr>
        <w:t xml:space="preserve">nit</w:t>
      </w:r>
      <w:r>
        <w:t xml:space="preserve">;</w:t>
      </w:r>
      <w:r>
        <w:t xml:space="preserve"> </w:t>
      </w:r>
      <w:r>
        <w:t xml:space="preserve">“</w:t>
      </w:r>
      <w:r>
        <w:t xml:space="preserve">it is with</w:t>
      </w:r>
      <w:r>
        <w:t xml:space="preserve"> </w:t>
      </w:r>
      <w:r>
        <w:rPr>
          <w:iCs/>
          <w:i/>
        </w:rPr>
        <w:t xml:space="preserve">prathas</w:t>
      </w:r>
      <w:r>
        <w:t xml:space="preserve">”</w:t>
      </w:r>
      <w:r>
        <w:t xml:space="preserve">, a</w:t>
      </w:r>
      <w:r>
        <w:t xml:space="preserve"> </w:t>
      </w:r>
      <w:r>
        <w:rPr>
          <w:iCs/>
          <w:i/>
        </w:rPr>
        <w:t xml:space="preserve">bahuvrīhi</w:t>
      </w:r>
      <w:r>
        <w:t xml:space="preserve"> </w:t>
      </w:r>
      <w:r>
        <w:t xml:space="preserve">by</w:t>
      </w:r>
      <w:r>
        <w:t xml:space="preserve"> </w:t>
      </w:r>
      <w:r>
        <w:rPr>
          <w:iCs/>
          <w:i/>
        </w:rPr>
        <w:t xml:space="preserve">tena saheti tulyayoge</w:t>
      </w:r>
      <w:r>
        <w:t xml:space="preserve"> </w:t>
      </w:r>
      <w:r>
        <w:t xml:space="preserve">(Pā. 2-2-28),</w:t>
      </w:r>
      <w:r>
        <w:t xml:space="preserve"> </w:t>
      </w:r>
      <w:r>
        <w:rPr>
          <w:iCs/>
          <w:i/>
        </w:rPr>
        <w:t xml:space="preserve">sa</w:t>
      </w:r>
      <w:r>
        <w:t xml:space="preserve"> </w:t>
      </w:r>
      <w:r>
        <w:t xml:space="preserve">substituted by Pā. 6-3-82; the first member’s accent being due, initial udātta of the final member by</w:t>
      </w:r>
      <w:r>
        <w:t xml:space="preserve"> </w:t>
      </w:r>
      <w:r>
        <w:rPr>
          <w:iCs/>
          <w:i/>
        </w:rPr>
        <w:t xml:space="preserve">parādiś chandasi bahulam</w:t>
      </w:r>
      <w:r>
        <w:t xml:space="preserve">;</w:t>
      </w:r>
      <w:r>
        <w:t xml:space="preserve"> </w:t>
      </w:r>
      <w:r>
        <w:rPr>
          <w:iCs/>
          <w:i/>
        </w:rPr>
        <w:t xml:space="preserve">divaḥ</w:t>
      </w:r>
      <w:r>
        <w:t xml:space="preserve">, the ending udātta by</w:t>
      </w:r>
      <w:r>
        <w:t xml:space="preserve"> </w:t>
      </w:r>
      <w:r>
        <w:rPr>
          <w:iCs/>
          <w:i/>
        </w:rPr>
        <w:t xml:space="preserve">ūḍidam…</w:t>
      </w:r>
      <w:r>
        <w:t xml:space="preserve">;</w:t>
      </w:r>
      <w:r>
        <w:t xml:space="preserve"> </w:t>
      </w:r>
      <w:r>
        <w:rPr>
          <w:iCs/>
          <w:i/>
        </w:rPr>
        <w:t xml:space="preserve">sadmamakhasam</w:t>
      </w:r>
      <w:r>
        <w:t xml:space="preserve">,</w:t>
      </w:r>
      <w:r>
        <w:t xml:space="preserve"> </w:t>
      </w:r>
      <w:r>
        <w:t xml:space="preserve">“</w:t>
      </w:r>
      <w:r>
        <w:t xml:space="preserve">they sit</w:t>
      </w:r>
      <w:r>
        <w:t xml:space="preserve">”</w:t>
      </w:r>
      <w:r>
        <w:t xml:space="preserve">:</w:t>
      </w:r>
      <w:r>
        <w:t xml:space="preserve"> </w:t>
      </w:r>
      <w:r>
        <w:rPr>
          <w:iCs/>
          <w:i/>
        </w:rPr>
        <w:t xml:space="preserve">sadma</w:t>
      </w:r>
      <w:r>
        <w:t xml:space="preserve">,</w:t>
      </w:r>
      <w:r>
        <w:t xml:space="preserve"> </w:t>
      </w:r>
      <w:r>
        <w:rPr>
          <w:iCs/>
          <w:i/>
        </w:rPr>
        <w:t xml:space="preserve">ṣadḷ viśaraṇādau</w:t>
      </w:r>
      <w:r>
        <w:t xml:space="preserve">,</w:t>
      </w:r>
      <w:r>
        <w:t xml:space="preserve"> </w:t>
      </w:r>
      <w:r>
        <w:rPr>
          <w:iCs/>
          <w:i/>
        </w:rPr>
        <w:t xml:space="preserve">manin</w:t>
      </w:r>
      <w:r>
        <w:t xml:space="preserve"> </w:t>
      </w:r>
      <w:r>
        <w:t xml:space="preserve">by</w:t>
      </w:r>
      <w:r>
        <w:t xml:space="preserve"> </w:t>
      </w:r>
      <w:r>
        <w:rPr>
          <w:iCs/>
          <w:i/>
        </w:rPr>
        <w:t xml:space="preserve">anyebhyo ’pi dṛśyante</w:t>
      </w:r>
      <w:r>
        <w:t xml:space="preserve">, initial udātta as</w:t>
      </w:r>
      <w:r>
        <w:t xml:space="preserve"> </w:t>
      </w:r>
      <w:r>
        <w:rPr>
          <w:iCs/>
          <w:i/>
        </w:rPr>
        <w:t xml:space="preserve">nit</w:t>
      </w:r>
      <w:r>
        <w:t xml:space="preserve">; in the</w:t>
      </w:r>
      <w:r>
        <w:t xml:space="preserve"> </w:t>
      </w:r>
      <w:r>
        <w:rPr>
          <w:iCs/>
          <w:i/>
        </w:rPr>
        <w:t xml:space="preserve">bahuvrīhi</w:t>
      </w:r>
      <w:r>
        <w:t xml:space="preserve"> </w:t>
      </w:r>
      <w:r>
        <w:t xml:space="preserve">“</w:t>
      </w:r>
      <w:r>
        <w:t xml:space="preserve">whose</w:t>
      </w:r>
      <w:r>
        <w:t xml:space="preserve"> </w:t>
      </w:r>
      <w:r>
        <w:rPr>
          <w:iCs/>
          <w:i/>
        </w:rPr>
        <w:t xml:space="preserve">mahas</w:t>
      </w:r>
      <w:r>
        <w:t xml:space="preserve"> </w:t>
      </w:r>
      <w:r>
        <w:t xml:space="preserve">is a seat</w:t>
      </w:r>
      <w:r>
        <w:t xml:space="preserve">”</w:t>
      </w:r>
      <w:r>
        <w:t xml:space="preserve">,</w:t>
      </w:r>
      <w:r>
        <w:t xml:space="preserve"> </w:t>
      </w:r>
      <w:r>
        <w:rPr>
          <w:iCs/>
          <w:i/>
        </w:rPr>
        <w:t xml:space="preserve">kh</w:t>
      </w:r>
      <w:r>
        <w:t xml:space="preserve"> </w:t>
      </w:r>
      <w:r>
        <w:t xml:space="preserve">for</w:t>
      </w:r>
      <w:r>
        <w:t xml:space="preserve"> </w:t>
      </w:r>
      <w:r>
        <w:rPr>
          <w:iCs/>
          <w:i/>
        </w:rPr>
        <w:t xml:space="preserve">h</w:t>
      </w:r>
      <w:r>
        <w:t xml:space="preserve"> </w:t>
      </w:r>
      <w:r>
        <w:t xml:space="preserve">by exchange.)</w:t>
      </w:r>
    </w:p>
    <w:p>
      <w:pPr>
        <w:pStyle w:val="BodyText"/>
      </w:pPr>
      <w:r>
        <w:rPr>
          <w:bCs/>
          <w:b/>
        </w:rPr>
        <w:t xml:space="preserve">॥ Prati-padārthaḥ ॥</w:t>
      </w:r>
    </w:p>
    <w:p>
      <w:pPr>
        <w:numPr>
          <w:ilvl w:val="0"/>
          <w:numId w:val="1052"/>
        </w:numPr>
        <w:pStyle w:val="Compact"/>
      </w:pPr>
      <w:r>
        <w:rPr>
          <w:bCs/>
          <w:b/>
        </w:rPr>
        <w:t xml:space="preserve">सुधृष्टमम् (sudhṛṣṭamam)</w:t>
      </w:r>
      <w:r>
        <w:t xml:space="preserve"> </w:t>
      </w:r>
      <w:r>
        <w:t xml:space="preserve">— very bold |</w:t>
      </w:r>
      <w:r>
        <w:t xml:space="preserve"> </w:t>
      </w:r>
      <w:r>
        <w:rPr>
          <w:bCs/>
          <w:b/>
        </w:rPr>
        <w:t xml:space="preserve">सप्रथस्तमम् (saprathastamam)</w:t>
      </w:r>
      <w:r>
        <w:t xml:space="preserve"> </w:t>
      </w:r>
      <w:r>
        <w:t xml:space="preserve">— exceedingly renowned |</w:t>
      </w:r>
      <w:r>
        <w:t xml:space="preserve"> </w:t>
      </w:r>
      <w:r>
        <w:rPr>
          <w:bCs/>
          <w:b/>
        </w:rPr>
        <w:t xml:space="preserve">दिवः न (divaḥ na)</w:t>
      </w:r>
      <w:r>
        <w:t xml:space="preserve"> </w:t>
      </w:r>
      <w:r>
        <w:t xml:space="preserve">— like the heavenly world |</w:t>
      </w:r>
      <w:r>
        <w:t xml:space="preserve"> </w:t>
      </w:r>
      <w:r>
        <w:rPr>
          <w:bCs/>
          <w:b/>
        </w:rPr>
        <w:t xml:space="preserve">सद्ममखसम् (sadmamakhasam)</w:t>
      </w:r>
      <w:r>
        <w:t xml:space="preserve"> </w:t>
      </w:r>
      <w:r>
        <w:t xml:space="preserve">— shining with abundant radiance |</w:t>
      </w:r>
      <w:r>
        <w:t xml:space="preserve"> </w:t>
      </w:r>
      <w:r>
        <w:rPr>
          <w:bCs/>
          <w:b/>
        </w:rPr>
        <w:t xml:space="preserve">नराशंसम् (narāśaṃsam)</w:t>
      </w:r>
      <w:r>
        <w:t xml:space="preserve"> </w:t>
      </w:r>
      <w:r>
        <w:t xml:space="preserve">— Sadasaspati, praised by men, or the deity called Narāśaṃsa (Agni) |</w:t>
      </w:r>
      <w:r>
        <w:t xml:space="preserve"> </w:t>
      </w:r>
      <w:r>
        <w:rPr>
          <w:bCs/>
          <w:b/>
        </w:rPr>
        <w:t xml:space="preserve">अपश्यम् (apaśyam)</w:t>
      </w:r>
      <w:r>
        <w:t xml:space="preserve"> </w:t>
      </w:r>
      <w:r>
        <w:t xml:space="preserve">— I have seen.</w:t>
      </w:r>
    </w:p>
    <w:p>
      <w:pPr>
        <w:pStyle w:val="FirstParagraph"/>
      </w:pPr>
      <w:r>
        <w:rPr>
          <w:bCs/>
          <w:b/>
        </w:rPr>
        <w:t xml:space="preserve">॥ Bhāvārthaḥ ॥</w:t>
      </w:r>
    </w:p>
    <w:p>
      <w:pPr>
        <w:pStyle w:val="BodyText"/>
      </w:pPr>
      <w:r>
        <w:t xml:space="preserve">This Sadasaspati (or Narāśaṃsa) has great valour, is very renowned, and shines with exceeding radiance like the heavenly world (where the sun, moon and the rest are). Such a Sadasaspati (or Narāśaṃsa) I have seen.</w:t>
      </w:r>
    </w:p>
    <w:p>
      <w:pPr>
        <w:pStyle w:val="BodyText"/>
      </w:pPr>
      <w:r>
        <w:rPr>
          <w:bCs/>
          <w:b/>
        </w:rPr>
        <w:t xml:space="preserve">॥ English Translation ॥</w:t>
      </w:r>
      <w:r>
        <w:t xml:space="preserve"> </w:t>
      </w:r>
      <w:r>
        <w:rPr>
          <w:iCs/>
          <w:i/>
        </w:rPr>
        <w:t xml:space="preserve">(as printed in the source)</w:t>
      </w:r>
    </w:p>
    <w:p>
      <w:pPr>
        <w:pStyle w:val="BlockText"/>
      </w:pPr>
      <w:r>
        <w:t xml:space="preserve">I have seen Narasamsa the most valiant, the most renowned and radiant as the heavens.</w:t>
      </w:r>
    </w:p>
    <w:p>
      <w:pPr>
        <w:pStyle w:val="FirstParagraph"/>
      </w:pPr>
      <w:r>
        <w:rPr>
          <w:bCs/>
          <w:b/>
        </w:rPr>
        <w:t xml:space="preserve">॥ Viśeṣa-viṣayagaḷu (Special Topics) ॥</w:t>
      </w:r>
    </w:p>
    <w:p>
      <w:pPr>
        <w:pStyle w:val="BodyText"/>
      </w:pPr>
      <w:r>
        <w:t xml:space="preserve">The deity of this ṛk is Sadasaspati or Narāśaṃsa. Though the name Sadasaspati is not indicated in the ṛk, because the three previous ṛks refer to Sadasaspati, and because it is said that the deity of this ṛk is either Sadasaspati or Narāśaṃsa, one should take the word</w:t>
      </w:r>
      <w:r>
        <w:t xml:space="preserve"> </w:t>
      </w:r>
      <w:r>
        <w:rPr>
          <w:iCs/>
          <w:i/>
        </w:rPr>
        <w:t xml:space="preserve">narāśaṃsa</w:t>
      </w:r>
      <w:r>
        <w:t xml:space="preserve"> </w:t>
      </w:r>
      <w:r>
        <w:t xml:space="preserve">in the sense of its parts,</w:t>
      </w:r>
      <w:r>
        <w:t xml:space="preserve"> </w:t>
      </w:r>
      <w:r>
        <w:t xml:space="preserve">“</w:t>
      </w:r>
      <w:r>
        <w:t xml:space="preserve">praised by men</w:t>
      </w:r>
      <w:r>
        <w:t xml:space="preserve">”</w:t>
      </w:r>
      <w:r>
        <w:t xml:space="preserve">, and treat it as a qualifier of the word</w:t>
      </w:r>
      <w:r>
        <w:t xml:space="preserve"> </w:t>
      </w:r>
      <w:r>
        <w:rPr>
          <w:iCs/>
          <w:i/>
        </w:rPr>
        <w:t xml:space="preserve">sadasaspatim</w:t>
      </w:r>
      <w:r>
        <w:t xml:space="preserve"> </w:t>
      </w:r>
      <w:r>
        <w:t xml:space="preserve">(that word is to be supplied here). Or, on the view that names the deity Narāśaṃsa for this ṛk, there is no difficulty, since the very word</w:t>
      </w:r>
      <w:r>
        <w:t xml:space="preserve"> </w:t>
      </w:r>
      <w:r>
        <w:rPr>
          <w:iCs/>
          <w:i/>
        </w:rPr>
        <w:t xml:space="preserve">narāśaṃsam</w:t>
      </w:r>
      <w:r>
        <w:t xml:space="preserve"> </w:t>
      </w:r>
      <w:r>
        <w:t xml:space="preserve">is in the ṛk. Yāska explains the sense of the parts of the word</w:t>
      </w:r>
      <w:r>
        <w:t xml:space="preserve"> </w:t>
      </w:r>
      <w:r>
        <w:rPr>
          <w:iCs/>
          <w:i/>
        </w:rPr>
        <w:t xml:space="preserve">narāśaṃsa</w:t>
      </w:r>
      <w:r>
        <w:t xml:space="preserve"> </w:t>
      </w:r>
      <w:r>
        <w:t xml:space="preserve">thus:</w:t>
      </w:r>
    </w:p>
    <w:bookmarkEnd w:id="863"/>
    <w:bookmarkStart w:id="864" w:name="X9cfef1a4f963d6db19d67489f82867a2bacaed7"/>
    <w:p>
      <w:pPr>
        <w:pStyle w:val="Heading3"/>
      </w:pPr>
      <w:r>
        <w:t xml:space="preserve">Page 781 — Rik 9: Special Topics (end) and grammar</w:t>
      </w:r>
    </w:p>
    <w:p>
      <w:pPr>
        <w:pStyle w:val="BlockText"/>
      </w:pPr>
      <w:r>
        <w:t xml:space="preserve">नराशंसो यज्ञ इति कात्थक्यो नरा अस्मिन्नासीनाः शंसन्त्यग्निरिति शाकपूणिर्नरैः प्रशस्यो भवति ॥ (नि. ८-६)</w:t>
      </w:r>
    </w:p>
    <w:p>
      <w:pPr>
        <w:pStyle w:val="BlockText"/>
      </w:pPr>
      <w:r>
        <w:rPr>
          <w:iCs/>
          <w:i/>
        </w:rPr>
        <w:t xml:space="preserve">narāśaṃso yajña iti kātthakyo narā asminnāsīnāḥ śaṃsantyagniriti śākapūṇirnaraiḥ praśasyo bhavati || (ni. 8-6)</w:t>
      </w:r>
    </w:p>
    <w:p>
      <w:pPr>
        <w:pStyle w:val="FirstParagraph"/>
      </w:pPr>
      <w:r>
        <w:t xml:space="preserve">(</w:t>
      </w:r>
      <w:r>
        <w:t xml:space="preserve">“</w:t>
      </w:r>
      <w:r>
        <w:rPr>
          <w:iCs/>
          <w:i/>
        </w:rPr>
        <w:t xml:space="preserve">Narāśaṃsa</w:t>
      </w:r>
      <w:r>
        <w:t xml:space="preserve"> </w:t>
      </w:r>
      <w:r>
        <w:t xml:space="preserve">is the sacrifice, says Kātthakya: men, seated in it, praise; Agni, says Śākapūṇi: he is to be praised by men</w:t>
      </w:r>
      <w:r>
        <w:t xml:space="preserve">”</w:t>
      </w:r>
      <w:r>
        <w:t xml:space="preserve">: mine and tentative.) Kātthakya’s view is that</w:t>
      </w:r>
      <w:r>
        <w:t xml:space="preserve"> </w:t>
      </w:r>
      <w:r>
        <w:rPr>
          <w:iCs/>
          <w:i/>
        </w:rPr>
        <w:t xml:space="preserve">narāśaṃsa</w:t>
      </w:r>
      <w:r>
        <w:t xml:space="preserve"> </w:t>
      </w:r>
      <w:r>
        <w:t xml:space="preserve">is the sacrifice; Śākapūṇi’s view is that</w:t>
      </w:r>
      <w:r>
        <w:t xml:space="preserve"> </w:t>
      </w:r>
      <w:r>
        <w:rPr>
          <w:iCs/>
          <w:i/>
        </w:rPr>
        <w:t xml:space="preserve">narāśaṃsa</w:t>
      </w:r>
      <w:r>
        <w:t xml:space="preserve"> </w:t>
      </w:r>
      <w:r>
        <w:t xml:space="preserve">is the one praised (Agni), since</w:t>
      </w:r>
      <w:r>
        <w:t xml:space="preserve"> </w:t>
      </w:r>
      <w:r>
        <w:rPr>
          <w:iCs/>
          <w:i/>
        </w:rPr>
        <w:t xml:space="preserve">narāḥ</w:t>
      </w:r>
      <w:r>
        <w:t xml:space="preserve">, men, praise him. On this the commentator cites a statement of the Aitareya Brāhmaṇa,</w:t>
      </w:r>
    </w:p>
    <w:p>
      <w:pPr>
        <w:pStyle w:val="BlockText"/>
      </w:pPr>
      <w:r>
        <w:t xml:space="preserve">प्रजा वै नरो वाक् शंसः (ऐ. ब्रा. ६-२७)</w:t>
      </w:r>
    </w:p>
    <w:p>
      <w:pPr>
        <w:pStyle w:val="BlockText"/>
      </w:pPr>
      <w:r>
        <w:rPr>
          <w:iCs/>
          <w:i/>
        </w:rPr>
        <w:t xml:space="preserve">prajā vai naro vāk śaṃsaḥ (ai. brā. 6-27)</w:t>
      </w:r>
    </w:p>
    <w:p>
      <w:pPr>
        <w:pStyle w:val="FirstParagraph"/>
      </w:pPr>
      <w:r>
        <w:rPr>
          <w:iCs/>
          <w:i/>
        </w:rPr>
        <w:t xml:space="preserve">Nara</w:t>
      </w:r>
      <w:r>
        <w:t xml:space="preserve"> </w:t>
      </w:r>
      <w:r>
        <w:t xml:space="preserve">means creatures or men;</w:t>
      </w:r>
      <w:r>
        <w:t xml:space="preserve"> </w:t>
      </w:r>
      <w:r>
        <w:rPr>
          <w:iCs/>
          <w:i/>
        </w:rPr>
        <w:t xml:space="preserve">śaṃsa</w:t>
      </w:r>
      <w:r>
        <w:t xml:space="preserve"> </w:t>
      </w:r>
      <w:r>
        <w:t xml:space="preserve">means speech. So the intent is that</w:t>
      </w:r>
      <w:r>
        <w:t xml:space="preserve"> </w:t>
      </w:r>
      <w:r>
        <w:rPr>
          <w:iCs/>
          <w:i/>
        </w:rPr>
        <w:t xml:space="preserve">narāśaṃsa</w:t>
      </w:r>
      <w:r>
        <w:t xml:space="preserve"> </w:t>
      </w:r>
      <w:r>
        <w:t xml:space="preserve">means one praised by creatures or men. The word</w:t>
      </w:r>
      <w:r>
        <w:t xml:space="preserve"> </w:t>
      </w:r>
      <w:r>
        <w:rPr>
          <w:iCs/>
          <w:i/>
        </w:rPr>
        <w:t xml:space="preserve">narāśaṃsa</w:t>
      </w:r>
      <w:r>
        <w:t xml:space="preserve"> </w:t>
      </w:r>
      <w:r>
        <w:t xml:space="preserve">can be construed with reference to three deities, Sadasaspati, Narāśaṃsa or Agni. We have discussed this point earlier (see page [the number is left blank in the print]).</w:t>
      </w:r>
    </w:p>
    <w:p>
      <w:pPr>
        <w:pStyle w:val="BodyText"/>
      </w:pPr>
      <w:r>
        <w:rPr>
          <w:bCs/>
          <w:b/>
        </w:rPr>
        <w:t xml:space="preserve">Sudhṛṣṭamam</w:t>
      </w:r>
      <w:r>
        <w:t xml:space="preserve">:</w:t>
      </w:r>
    </w:p>
    <w:p>
      <w:pPr>
        <w:pStyle w:val="BlockText"/>
      </w:pPr>
      <w:r>
        <w:t xml:space="preserve">शोभनं धृष्णोतीति</w:t>
      </w:r>
    </w:p>
    <w:p>
      <w:pPr>
        <w:pStyle w:val="BlockText"/>
      </w:pPr>
      <w:r>
        <w:rPr>
          <w:iCs/>
          <w:i/>
        </w:rPr>
        <w:t xml:space="preserve">śobhanaṃ dhṛṣṇotīti</w:t>
      </w:r>
    </w:p>
    <w:p>
      <w:pPr>
        <w:pStyle w:val="FirstParagraph"/>
      </w:pPr>
      <w:r>
        <w:t xml:space="preserve">(</w:t>
      </w:r>
      <w:r>
        <w:t xml:space="preserve">“</w:t>
      </w:r>
      <w:r>
        <w:t xml:space="preserve">He dares well.</w:t>
      </w:r>
      <w:r>
        <w:t xml:space="preserve">”</w:t>
      </w:r>
      <w:r>
        <w:t xml:space="preserve">) One who has excellent valour (or steadfastness).</w:t>
      </w:r>
    </w:p>
    <w:p>
      <w:pPr>
        <w:pStyle w:val="BodyText"/>
      </w:pPr>
      <w:r>
        <w:rPr>
          <w:bCs/>
          <w:b/>
        </w:rPr>
        <w:t xml:space="preserve">Saprathastamam</w:t>
      </w:r>
      <w:r>
        <w:t xml:space="preserve">:</w:t>
      </w:r>
    </w:p>
    <w:p>
      <w:pPr>
        <w:pStyle w:val="BlockText"/>
      </w:pPr>
      <w:r>
        <w:t xml:space="preserve">प्रथ प्रख्याने । सह प्रथसा वर्तते इति । तेन सह</w:t>
      </w:r>
    </w:p>
    <w:p>
      <w:pPr>
        <w:pStyle w:val="BlockText"/>
      </w:pPr>
      <w:r>
        <w:rPr>
          <w:iCs/>
          <w:i/>
        </w:rPr>
        <w:t xml:space="preserve">pratha prakhyāne | saha prathasā vartate iti | tena saha</w:t>
      </w:r>
    </w:p>
    <w:p>
      <w:pPr>
        <w:pStyle w:val="FirstParagraph"/>
      </w:pPr>
      <w:r>
        <w:t xml:space="preserve">(</w:t>
      </w:r>
      <w:r>
        <w:t xml:space="preserve">“</w:t>
      </w:r>
      <w:r>
        <w:rPr>
          <w:iCs/>
          <w:i/>
        </w:rPr>
        <w:t xml:space="preserve">Pratha</w:t>
      </w:r>
      <w:r>
        <w:t xml:space="preserve">, to be renowned; it is with</w:t>
      </w:r>
      <w:r>
        <w:t xml:space="preserve"> </w:t>
      </w:r>
      <w:r>
        <w:rPr>
          <w:iCs/>
          <w:i/>
        </w:rPr>
        <w:t xml:space="preserve">prathas</w:t>
      </w:r>
      <w:r>
        <w:t xml:space="preserve">; together with it.</w:t>
      </w:r>
      <w:r>
        <w:t xml:space="preserve">”</w:t>
      </w:r>
      <w:r>
        <w:t xml:space="preserve">) Since the root</w:t>
      </w:r>
      <w:r>
        <w:t xml:space="preserve"> </w:t>
      </w:r>
      <w:r>
        <w:rPr>
          <w:iCs/>
          <w:i/>
        </w:rPr>
        <w:t xml:space="preserve">pratha</w:t>
      </w:r>
      <w:r>
        <w:t xml:space="preserve"> </w:t>
      </w:r>
      <w:r>
        <w:t xml:space="preserve">means make known, praise, the word</w:t>
      </w:r>
      <w:r>
        <w:t xml:space="preserve"> </w:t>
      </w:r>
      <w:r>
        <w:rPr>
          <w:iCs/>
          <w:i/>
        </w:rPr>
        <w:t xml:space="preserve">saprathastamam</w:t>
      </w:r>
      <w:r>
        <w:t xml:space="preserve"> </w:t>
      </w:r>
      <w:r>
        <w:t xml:space="preserve">means accompanied by special renown.</w:t>
      </w:r>
    </w:p>
    <w:p>
      <w:pPr>
        <w:pStyle w:val="BodyText"/>
      </w:pPr>
      <w:r>
        <w:rPr>
          <w:bCs/>
          <w:b/>
        </w:rPr>
        <w:t xml:space="preserve">Divo na</w:t>
      </w:r>
      <w:r>
        <w:t xml:space="preserve">: like heaven. This comparison does not fit very well. The ṛṣi may have spoken this comparison with in mind the sun, moon and the rest shining brightly in heaven (in the sky).</w:t>
      </w:r>
    </w:p>
    <w:p>
      <w:pPr>
        <w:pStyle w:val="BodyText"/>
      </w:pPr>
      <w:r>
        <w:rPr>
          <w:bCs/>
          <w:b/>
        </w:rPr>
        <w:t xml:space="preserve">Sadmamakhasam</w:t>
      </w:r>
      <w:r>
        <w:t xml:space="preserve">: here, in the word</w:t>
      </w:r>
      <w:r>
        <w:t xml:space="preserve"> </w:t>
      </w:r>
      <w:r>
        <w:rPr>
          <w:iCs/>
          <w:i/>
        </w:rPr>
        <w:t xml:space="preserve">makhasam</w:t>
      </w:r>
      <w:r>
        <w:t xml:space="preserve">,</w:t>
      </w:r>
      <w:r>
        <w:t xml:space="preserve"> </w:t>
      </w:r>
      <w:r>
        <w:rPr>
          <w:iCs/>
          <w:i/>
        </w:rPr>
        <w:t xml:space="preserve">kh</w:t>
      </w:r>
      <w:r>
        <w:t xml:space="preserve"> </w:t>
      </w:r>
      <w:r>
        <w:t xml:space="preserve">has been used by exchange in place of</w:t>
      </w:r>
      <w:r>
        <w:t xml:space="preserve"> </w:t>
      </w:r>
      <w:r>
        <w:rPr>
          <w:iCs/>
          <w:i/>
        </w:rPr>
        <w:t xml:space="preserve">h</w:t>
      </w:r>
      <w:r>
        <w:t xml:space="preserve">; so</w:t>
      </w:r>
      <w:r>
        <w:t xml:space="preserve"> </w:t>
      </w:r>
      <w:r>
        <w:rPr>
          <w:iCs/>
          <w:i/>
        </w:rPr>
        <w:t xml:space="preserve">makhasam</w:t>
      </w:r>
      <w:r>
        <w:t xml:space="preserve"> </w:t>
      </w:r>
      <w:r>
        <w:t xml:space="preserve">means</w:t>
      </w:r>
      <w:r>
        <w:t xml:space="preserve"> </w:t>
      </w:r>
      <w:r>
        <w:rPr>
          <w:iCs/>
          <w:i/>
        </w:rPr>
        <w:t xml:space="preserve">mahasam</w:t>
      </w:r>
      <w:r>
        <w:t xml:space="preserve">.</w:t>
      </w:r>
    </w:p>
    <w:p>
      <w:pPr>
        <w:pStyle w:val="BlockText"/>
      </w:pPr>
      <w:r>
        <w:t xml:space="preserve">सद्म महो यस्य सः सद्ममहाः अथवा सद्ममखाः तम्</w:t>
      </w:r>
    </w:p>
    <w:p>
      <w:pPr>
        <w:pStyle w:val="BlockText"/>
      </w:pPr>
      <w:r>
        <w:rPr>
          <w:iCs/>
          <w:i/>
        </w:rPr>
        <w:t xml:space="preserve">sadma maho yasya saḥ sadmamahāḥ athavā sadmamakhāḥ tam</w:t>
      </w:r>
    </w:p>
    <w:p>
      <w:pPr>
        <w:pStyle w:val="FirstParagraph"/>
      </w:pPr>
      <w:r>
        <w:t xml:space="preserve">(</w:t>
      </w:r>
      <w:r>
        <w:t xml:space="preserve">“</w:t>
      </w:r>
      <w:r>
        <w:t xml:space="preserve">He whose</w:t>
      </w:r>
      <w:r>
        <w:t xml:space="preserve"> </w:t>
      </w:r>
      <w:r>
        <w:rPr>
          <w:iCs/>
          <w:i/>
        </w:rPr>
        <w:t xml:space="preserve">mahas</w:t>
      </w:r>
      <w:r>
        <w:t xml:space="preserve"> </w:t>
      </w:r>
      <w:r>
        <w:t xml:space="preserve">is a seat,</w:t>
      </w:r>
      <w:r>
        <w:t xml:space="preserve"> </w:t>
      </w:r>
      <w:r>
        <w:rPr>
          <w:iCs/>
          <w:i/>
        </w:rPr>
        <w:t xml:space="preserve">sadmamahāḥ</w:t>
      </w:r>
      <w:r>
        <w:t xml:space="preserve"> </w:t>
      </w:r>
      <w:r>
        <w:t xml:space="preserve">or</w:t>
      </w:r>
      <w:r>
        <w:t xml:space="preserve"> </w:t>
      </w:r>
      <w:r>
        <w:rPr>
          <w:iCs/>
          <w:i/>
        </w:rPr>
        <w:t xml:space="preserve">sadmamakhāḥ</w:t>
      </w:r>
      <w:r>
        <w:t xml:space="preserve">: him.</w:t>
      </w:r>
      <w:r>
        <w:t xml:space="preserve">”</w:t>
      </w:r>
      <w:r>
        <w:t xml:space="preserve">) Such is the analysis. One who is like a house for radiance: the intent is one who shines with exceeding radiance or splendour.</w:t>
      </w:r>
    </w:p>
    <w:p>
      <w:pPr>
        <w:pStyle w:val="BodyText"/>
      </w:pPr>
      <w:r>
        <w:rPr>
          <w:bCs/>
          <w:b/>
        </w:rPr>
        <w:t xml:space="preserve">॥ Vyākaraṇa-prakriyā ॥</w:t>
      </w:r>
      <w:r>
        <w:t xml:space="preserve"> </w:t>
      </w:r>
      <w:r>
        <w:rPr>
          <w:iCs/>
          <w:i/>
        </w:rPr>
        <w:t xml:space="preserve">(grammar pages 781–782, noted briefly)</w:t>
      </w:r>
    </w:p>
    <w:p>
      <w:pPr>
        <w:pStyle w:val="BodyText"/>
      </w:pPr>
      <w:r>
        <w:rPr>
          <w:bCs/>
          <w:b/>
        </w:rPr>
        <w:t xml:space="preserve">सुधृष्टमम् (</w:t>
      </w:r>
      <w:r>
        <w:rPr>
          <w:iCs/>
          <w:i/>
          <w:bCs/>
          <w:b/>
        </w:rPr>
        <w:t xml:space="preserve">sudhṛṣṭamam</w:t>
      </w:r>
      <w:r>
        <w:rPr>
          <w:bCs/>
          <w:b/>
        </w:rPr>
        <w:t xml:space="preserve">)</w:t>
      </w:r>
      <w:r>
        <w:t xml:space="preserve">: the root</w:t>
      </w:r>
      <w:r>
        <w:t xml:space="preserve"> </w:t>
      </w:r>
      <w:r>
        <w:rPr>
          <w:iCs/>
          <w:i/>
        </w:rPr>
        <w:t xml:space="preserve">ñidhṛṣā prāgalbhye</w:t>
      </w:r>
      <w:r>
        <w:t xml:space="preserve">, of the</w:t>
      </w:r>
      <w:r>
        <w:t xml:space="preserve"> </w:t>
      </w:r>
      <w:r>
        <w:rPr>
          <w:iCs/>
          <w:i/>
        </w:rPr>
        <w:t xml:space="preserve">sv-ādi</w:t>
      </w:r>
      <w:r>
        <w:t xml:space="preserve">. When</w:t>
      </w:r>
      <w:r>
        <w:t xml:space="preserve"> </w:t>
      </w:r>
      <w:r>
        <w:rPr>
          <w:iCs/>
          <w:i/>
        </w:rPr>
        <w:t xml:space="preserve">su</w:t>
      </w:r>
      <w:r>
        <w:t xml:space="preserve"> </w:t>
      </w:r>
      <w:r>
        <w:t xml:space="preserve">=</w:t>
      </w:r>
      <w:r>
        <w:t xml:space="preserve"> </w:t>
      </w:r>
      <w:r>
        <w:rPr>
          <w:iCs/>
          <w:i/>
        </w:rPr>
        <w:t xml:space="preserve">śobhanam</w:t>
      </w:r>
      <w:r>
        <w:t xml:space="preserve">,</w:t>
      </w:r>
      <w:r>
        <w:t xml:space="preserve"> </w:t>
      </w:r>
      <w:r>
        <w:rPr>
          <w:iCs/>
          <w:i/>
        </w:rPr>
        <w:t xml:space="preserve">dhṛṣṇoti</w:t>
      </w:r>
      <w:r>
        <w:t xml:space="preserve"> </w:t>
      </w:r>
      <w:r>
        <w:t xml:space="preserve">is meant,</w:t>
      </w:r>
      <w:r>
        <w:t xml:space="preserve"> </w:t>
      </w:r>
      <w:r>
        <w:rPr>
          <w:iCs/>
          <w:i/>
        </w:rPr>
        <w:t xml:space="preserve">kvip</w:t>
      </w:r>
      <w:r>
        <w:t xml:space="preserve"> </w:t>
      </w:r>
      <w:r>
        <w:t xml:space="preserve">by</w:t>
      </w:r>
      <w:r>
        <w:t xml:space="preserve"> </w:t>
      </w:r>
      <w:r>
        <w:t xml:space="preserve">“</w:t>
      </w:r>
      <w:r>
        <w:t xml:space="preserve">kvip ca</w:t>
      </w:r>
      <w:r>
        <w:t xml:space="preserve">”</w:t>
      </w:r>
      <w:r>
        <w:t xml:space="preserve"> </w:t>
      </w:r>
      <w:r>
        <w:t xml:space="preserve">(Pā. sū. 3-2-76); all of</w:t>
      </w:r>
      <w:r>
        <w:t xml:space="preserve"> </w:t>
      </w:r>
      <w:r>
        <w:rPr>
          <w:iCs/>
          <w:i/>
        </w:rPr>
        <w:t xml:space="preserve">kvip</w:t>
      </w:r>
      <w:r>
        <w:t xml:space="preserve"> </w:t>
      </w:r>
      <w:r>
        <w:t xml:space="preserve">drops. By</w:t>
      </w:r>
      <w:r>
        <w:t xml:space="preserve"> </w:t>
      </w:r>
      <w:r>
        <w:t xml:space="preserve">“</w:t>
      </w:r>
      <w:r>
        <w:t xml:space="preserve">atiśāyane tamabiṣṭhanau</w:t>
      </w:r>
      <w:r>
        <w:t xml:space="preserve">”</w:t>
      </w:r>
      <w:r>
        <w:t xml:space="preserve"> </w:t>
      </w:r>
      <w:r>
        <w:t xml:space="preserve">(Pā. sū. 5-3-55)</w:t>
      </w:r>
      <w:r>
        <w:t xml:space="preserve"> </w:t>
      </w:r>
      <w:r>
        <w:rPr>
          <w:iCs/>
          <w:i/>
        </w:rPr>
        <w:t xml:space="preserve">tamap</w:t>
      </w:r>
      <w:r>
        <w:t xml:space="preserve"> </w:t>
      </w:r>
      <w:r>
        <w:t xml:space="preserve">in the sense of excess:</w:t>
      </w:r>
      <w:r>
        <w:t xml:space="preserve"> </w:t>
      </w:r>
      <w:r>
        <w:rPr>
          <w:iCs/>
          <w:i/>
        </w:rPr>
        <w:t xml:space="preserve">sudhṛṣ</w:t>
      </w:r>
      <w:r>
        <w:t xml:space="preserve"> </w:t>
      </w:r>
      <w:r>
        <w:t xml:space="preserve">+</w:t>
      </w:r>
      <w:r>
        <w:t xml:space="preserve"> </w:t>
      </w:r>
      <w:r>
        <w:rPr>
          <w:iCs/>
          <w:i/>
        </w:rPr>
        <w:t xml:space="preserve">tama</w:t>
      </w:r>
      <w:r>
        <w:t xml:space="preserve">. That</w:t>
      </w:r>
      <w:r>
        <w:t xml:space="preserve"> </w:t>
      </w:r>
      <w:r>
        <w:rPr>
          <w:iCs/>
          <w:i/>
        </w:rPr>
        <w:t xml:space="preserve">jaś</w:t>
      </w:r>
      <w:r>
        <w:t xml:space="preserve"> </w:t>
      </w:r>
      <w:r>
        <w:t xml:space="preserve">does not come for the</w:t>
      </w:r>
      <w:r>
        <w:t xml:space="preserve"> </w:t>
      </w:r>
      <w:r>
        <w:rPr>
          <w:iCs/>
          <w:i/>
        </w:rPr>
        <w:t xml:space="preserve">ṣ</w:t>
      </w:r>
      <w:r>
        <w:t xml:space="preserve"> </w:t>
      </w:r>
      <w:r>
        <w:t xml:space="preserve">by</w:t>
      </w:r>
      <w:r>
        <w:t xml:space="preserve"> </w:t>
      </w:r>
      <w:r>
        <w:t xml:space="preserve">“</w:t>
      </w:r>
      <w:r>
        <w:t xml:space="preserve">jhalāṃ jaś jhaśi</w:t>
      </w:r>
      <w:r>
        <w:t xml:space="preserve">”</w:t>
      </w:r>
      <w:r>
        <w:t xml:space="preserve"> </w:t>
      </w:r>
      <w:r>
        <w:t xml:space="preserve">(Pā. sū. 8-4-53) is Vedic. By</w:t>
      </w:r>
      <w:r>
        <w:t xml:space="preserve"> </w:t>
      </w:r>
      <w:r>
        <w:t xml:space="preserve">“</w:t>
      </w:r>
      <w:r>
        <w:t xml:space="preserve">ṣṭunā ṣṭuḥ</w:t>
      </w:r>
      <w:r>
        <w:t xml:space="preserve">”</w:t>
      </w:r>
      <w:r>
        <w:t xml:space="preserve"> </w:t>
      </w:r>
      <w:r>
        <w:t xml:space="preserve">(Pā. sū. 8-4-41)</w:t>
      </w:r>
      <w:r>
        <w:t xml:space="preserve"> </w:t>
      </w:r>
      <w:r>
        <w:rPr>
          <w:iCs/>
          <w:i/>
        </w:rPr>
        <w:t xml:space="preserve">ṭ</w:t>
      </w:r>
      <w:r>
        <w:t xml:space="preserve"> </w:t>
      </w:r>
      <w:r>
        <w:t xml:space="preserve">for the</w:t>
      </w:r>
      <w:r>
        <w:t xml:space="preserve"> </w:t>
      </w:r>
      <w:r>
        <w:rPr>
          <w:iCs/>
          <w:i/>
        </w:rPr>
        <w:t xml:space="preserve">t</w:t>
      </w:r>
      <w:r>
        <w:t xml:space="preserve">. Accusative singular</w:t>
      </w:r>
      <w:r>
        <w:t xml:space="preserve"> </w:t>
      </w:r>
      <w:r>
        <w:rPr>
          <w:iCs/>
          <w:i/>
        </w:rPr>
        <w:t xml:space="preserve">am</w:t>
      </w:r>
      <w:r>
        <w:t xml:space="preserve">; by</w:t>
      </w:r>
      <w:r>
        <w:t xml:space="preserve"> </w:t>
      </w:r>
      <w:r>
        <w:rPr>
          <w:iCs/>
          <w:i/>
        </w:rPr>
        <w:t xml:space="preserve">ami pūrvaḥ</w:t>
      </w:r>
      <w:r>
        <w:t xml:space="preserve"> </w:t>
      </w:r>
      <w:r>
        <w:t xml:space="preserve">the</w:t>
      </w:r>
      <w:r>
        <w:t xml:space="preserve"> </w:t>
      </w:r>
      <w:r>
        <w:rPr>
          <w:iCs/>
          <w:i/>
        </w:rPr>
        <w:t xml:space="preserve">pūrvarūpa</w:t>
      </w:r>
      <w:r>
        <w:t xml:space="preserve">:</w:t>
      </w:r>
      <w:r>
        <w:t xml:space="preserve"> </w:t>
      </w:r>
      <w:r>
        <w:rPr>
          <w:iCs/>
          <w:i/>
        </w:rPr>
        <w:t xml:space="preserve">sudhṛṣṭamam</w:t>
      </w:r>
      <w:r>
        <w:t xml:space="preserve">. The</w:t>
      </w:r>
      <w:r>
        <w:t xml:space="preserve"> </w:t>
      </w:r>
      <w:r>
        <w:rPr>
          <w:iCs/>
          <w:i/>
        </w:rPr>
        <w:t xml:space="preserve">ṛ</w:t>
      </w:r>
      <w:r>
        <w:t xml:space="preserve"> </w:t>
      </w:r>
      <w:r>
        <w:t xml:space="preserve">of</w:t>
      </w:r>
      <w:r>
        <w:t xml:space="preserve"> </w:t>
      </w:r>
      <w:r>
        <w:rPr>
          <w:iCs/>
          <w:i/>
        </w:rPr>
        <w:t xml:space="preserve">dhṛṣ</w:t>
      </w:r>
      <w:r>
        <w:t xml:space="preserve"> </w:t>
      </w:r>
      <w:r>
        <w:t xml:space="preserve">is udātta by the root accent.</w:t>
      </w:r>
    </w:p>
    <w:bookmarkEnd w:id="864"/>
    <w:bookmarkStart w:id="865" w:name="page-782-rik-9-grammar-end"/>
    <w:p>
      <w:pPr>
        <w:pStyle w:val="Heading3"/>
      </w:pPr>
      <w:r>
        <w:t xml:space="preserve">Page 782 — Rik 9: grammar (end)</w:t>
      </w:r>
    </w:p>
    <w:p>
      <w:pPr>
        <w:pStyle w:val="FirstParagraph"/>
      </w:pPr>
      <w:r>
        <w:t xml:space="preserve">After compounding with the word</w:t>
      </w:r>
      <w:r>
        <w:t xml:space="preserve"> </w:t>
      </w:r>
      <w:r>
        <w:rPr>
          <w:iCs/>
          <w:i/>
        </w:rPr>
        <w:t xml:space="preserve">su</w:t>
      </w:r>
      <w:r>
        <w:t xml:space="preserve">, the accent of the</w:t>
      </w:r>
      <w:r>
        <w:t xml:space="preserve"> </w:t>
      </w:r>
      <w:r>
        <w:rPr>
          <w:iCs/>
          <w:i/>
        </w:rPr>
        <w:t xml:space="preserve">kṛt</w:t>
      </w:r>
      <w:r>
        <w:t xml:space="preserve"> </w:t>
      </w:r>
      <w:r>
        <w:t xml:space="preserve">final member comes by</w:t>
      </w:r>
      <w:r>
        <w:t xml:space="preserve"> </w:t>
      </w:r>
      <w:r>
        <w:t xml:space="preserve">“</w:t>
      </w:r>
      <w:r>
        <w:t xml:space="preserve">gatikārakopapadāt kṛt</w:t>
      </w:r>
      <w:r>
        <w:t xml:space="preserve">”</w:t>
      </w:r>
      <w:r>
        <w:t xml:space="preserve"> </w:t>
      </w:r>
      <w:r>
        <w:t xml:space="preserve">(Pā. sū. 6-2-139), and that accent stays.</w:t>
      </w:r>
    </w:p>
    <w:p>
      <w:pPr>
        <w:pStyle w:val="BodyText"/>
      </w:pPr>
      <w:r>
        <w:rPr>
          <w:bCs/>
          <w:b/>
        </w:rPr>
        <w:t xml:space="preserve">अपश्यम् (</w:t>
      </w:r>
      <w:r>
        <w:rPr>
          <w:iCs/>
          <w:i/>
          <w:bCs/>
          <w:b/>
        </w:rPr>
        <w:t xml:space="preserve">apaśyam</w:t>
      </w:r>
      <w:r>
        <w:rPr>
          <w:bCs/>
          <w:b/>
        </w:rPr>
        <w:t xml:space="preserve">)</w:t>
      </w:r>
      <w:r>
        <w:t xml:space="preserve">: the root</w:t>
      </w:r>
      <w:r>
        <w:t xml:space="preserve"> </w:t>
      </w:r>
      <w:r>
        <w:rPr>
          <w:iCs/>
          <w:i/>
        </w:rPr>
        <w:t xml:space="preserve">dṛśir prekṣaṇe</w:t>
      </w:r>
      <w:r>
        <w:t xml:space="preserve">.</w:t>
      </w:r>
      <w:r>
        <w:t xml:space="preserve"> </w:t>
      </w:r>
      <w:r>
        <w:rPr>
          <w:iCs/>
          <w:i/>
        </w:rPr>
        <w:t xml:space="preserve">Laṅ</w:t>
      </w:r>
      <w:r>
        <w:t xml:space="preserve">, 1st singular</w:t>
      </w:r>
      <w:r>
        <w:t xml:space="preserve"> </w:t>
      </w:r>
      <w:r>
        <w:rPr>
          <w:iCs/>
          <w:i/>
        </w:rPr>
        <w:t xml:space="preserve">mip</w:t>
      </w:r>
      <w:r>
        <w:t xml:space="preserve">; for it the substitute</w:t>
      </w:r>
      <w:r>
        <w:t xml:space="preserve"> </w:t>
      </w:r>
      <w:r>
        <w:rPr>
          <w:iCs/>
          <w:i/>
        </w:rPr>
        <w:t xml:space="preserve">am</w:t>
      </w:r>
      <w:r>
        <w:t xml:space="preserve"> </w:t>
      </w:r>
      <w:r>
        <w:t xml:space="preserve">by</w:t>
      </w:r>
      <w:r>
        <w:t xml:space="preserve"> </w:t>
      </w:r>
      <w:r>
        <w:t xml:space="preserve">“</w:t>
      </w:r>
      <w:r>
        <w:t xml:space="preserve">tasthasthamipāṃ tāṃtaṃtāmaḥ</w:t>
      </w:r>
      <w:r>
        <w:t xml:space="preserve">”</w:t>
      </w:r>
      <w:r>
        <w:t xml:space="preserve"> </w:t>
      </w:r>
      <w:r>
        <w:t xml:space="preserve">(Pā. sū. 3-4-101); the</w:t>
      </w:r>
      <w:r>
        <w:t xml:space="preserve"> </w:t>
      </w:r>
      <w:r>
        <w:rPr>
          <w:iCs/>
          <w:i/>
        </w:rPr>
        <w:t xml:space="preserve">vikaraṇa</w:t>
      </w:r>
      <w:r>
        <w:t xml:space="preserve"> </w:t>
      </w:r>
      <w:r>
        <w:rPr>
          <w:iCs/>
          <w:i/>
        </w:rPr>
        <w:t xml:space="preserve">śap</w:t>
      </w:r>
      <w:r>
        <w:t xml:space="preserve"> </w:t>
      </w:r>
      <w:r>
        <w:t xml:space="preserve">by</w:t>
      </w:r>
      <w:r>
        <w:t xml:space="preserve"> </w:t>
      </w:r>
      <w:r>
        <w:t xml:space="preserve">“</w:t>
      </w:r>
      <w:r>
        <w:t xml:space="preserve">kartari śap</w:t>
      </w:r>
      <w:r>
        <w:t xml:space="preserve">”</w:t>
      </w:r>
      <w:r>
        <w:t xml:space="preserve"> </w:t>
      </w:r>
      <w:r>
        <w:t xml:space="preserve">(Pā. sū. 3-1-68). By</w:t>
      </w:r>
      <w:r>
        <w:t xml:space="preserve"> </w:t>
      </w:r>
      <w:r>
        <w:t xml:space="preserve">“</w:t>
      </w:r>
      <w:r>
        <w:t xml:space="preserve">pāghrādhmāsthāmnādāṇdṛśyarti…</w:t>
      </w:r>
      <w:r>
        <w:t xml:space="preserve">”</w:t>
      </w:r>
      <w:r>
        <w:t xml:space="preserve"> </w:t>
      </w:r>
      <w:r>
        <w:t xml:space="preserve">(Pā. sū. 7-3-78) the substitute</w:t>
      </w:r>
      <w:r>
        <w:t xml:space="preserve"> </w:t>
      </w:r>
      <w:r>
        <w:rPr>
          <w:iCs/>
          <w:i/>
        </w:rPr>
        <w:t xml:space="preserve">paśya</w:t>
      </w:r>
      <w:r>
        <w:t xml:space="preserve"> </w:t>
      </w:r>
      <w:r>
        <w:t xml:space="preserve">for</w:t>
      </w:r>
      <w:r>
        <w:t xml:space="preserve"> </w:t>
      </w:r>
      <w:r>
        <w:rPr>
          <w:iCs/>
          <w:i/>
        </w:rPr>
        <w:t xml:space="preserve">dṛś</w:t>
      </w:r>
      <w:r>
        <w:t xml:space="preserve">:</w:t>
      </w:r>
      <w:r>
        <w:t xml:space="preserve"> </w:t>
      </w:r>
      <w:r>
        <w:rPr>
          <w:iCs/>
          <w:i/>
        </w:rPr>
        <w:t xml:space="preserve">paśya</w:t>
      </w:r>
      <w:r>
        <w:t xml:space="preserve"> </w:t>
      </w:r>
      <w:r>
        <w:t xml:space="preserve">+</w:t>
      </w:r>
      <w:r>
        <w:t xml:space="preserve"> </w:t>
      </w:r>
      <w:r>
        <w:rPr>
          <w:iCs/>
          <w:i/>
        </w:rPr>
        <w:t xml:space="preserve">a</w:t>
      </w:r>
      <w:r>
        <w:t xml:space="preserve"> </w:t>
      </w:r>
      <w:r>
        <w:t xml:space="preserve">+</w:t>
      </w:r>
      <w:r>
        <w:t xml:space="preserve"> </w:t>
      </w:r>
      <w:r>
        <w:rPr>
          <w:iCs/>
          <w:i/>
        </w:rPr>
        <w:t xml:space="preserve">am</w:t>
      </w:r>
      <w:r>
        <w:t xml:space="preserve">. By</w:t>
      </w:r>
      <w:r>
        <w:t xml:space="preserve"> </w:t>
      </w:r>
      <w:r>
        <w:t xml:space="preserve">“</w:t>
      </w:r>
      <w:r>
        <w:t xml:space="preserve">ami pūrvaḥ</w:t>
      </w:r>
      <w:r>
        <w:t xml:space="preserve">”</w:t>
      </w:r>
      <w:r>
        <w:t xml:space="preserve"> </w:t>
      </w:r>
      <w:r>
        <w:t xml:space="preserve">(Pā. sū. 6-1-107) the</w:t>
      </w:r>
      <w:r>
        <w:t xml:space="preserve"> </w:t>
      </w:r>
      <w:r>
        <w:rPr>
          <w:iCs/>
          <w:i/>
        </w:rPr>
        <w:t xml:space="preserve">pūrvarūpa</w:t>
      </w:r>
      <w:r>
        <w:t xml:space="preserve">:</w:t>
      </w:r>
      <w:r>
        <w:t xml:space="preserve"> </w:t>
      </w:r>
      <w:r>
        <w:rPr>
          <w:iCs/>
          <w:i/>
        </w:rPr>
        <w:t xml:space="preserve">apaśyam</w:t>
      </w:r>
      <w:r>
        <w:t xml:space="preserve">. By</w:t>
      </w:r>
      <w:r>
        <w:t xml:space="preserve"> </w:t>
      </w:r>
      <w:r>
        <w:rPr>
          <w:iCs/>
          <w:i/>
        </w:rPr>
        <w:t xml:space="preserve">luṅlaṅlṛṅkṣv aḍ udāttaḥ</w:t>
      </w:r>
      <w:r>
        <w:t xml:space="preserve"> </w:t>
      </w:r>
      <w:r>
        <w:t xml:space="preserve">the udātta augment</w:t>
      </w:r>
      <w:r>
        <w:t xml:space="preserve"> </w:t>
      </w:r>
      <w:r>
        <w:rPr>
          <w:iCs/>
          <w:i/>
        </w:rPr>
        <w:t xml:space="preserve">aṭ</w:t>
      </w:r>
      <w:r>
        <w:t xml:space="preserve">. Since it stands at the start of a</w:t>
      </w:r>
      <w:r>
        <w:t xml:space="preserve"> </w:t>
      </w:r>
      <w:r>
        <w:rPr>
          <w:iCs/>
          <w:i/>
        </w:rPr>
        <w:t xml:space="preserve">pāda</w:t>
      </w:r>
      <w:r>
        <w:t xml:space="preserve">, it is not wholly unaccented.</w:t>
      </w:r>
    </w:p>
    <w:p>
      <w:pPr>
        <w:pStyle w:val="BodyText"/>
      </w:pPr>
      <w:r>
        <w:rPr>
          <w:bCs/>
          <w:b/>
        </w:rPr>
        <w:t xml:space="preserve">सप्रथस्तमम् (</w:t>
      </w:r>
      <w:r>
        <w:rPr>
          <w:iCs/>
          <w:i/>
          <w:bCs/>
          <w:b/>
        </w:rPr>
        <w:t xml:space="preserve">saprathastamam</w:t>
      </w:r>
      <w:r>
        <w:rPr>
          <w:bCs/>
          <w:b/>
        </w:rPr>
        <w:t xml:space="preserve">)</w:t>
      </w:r>
      <w:r>
        <w:t xml:space="preserve">: the root</w:t>
      </w:r>
      <w:r>
        <w:t xml:space="preserve"> </w:t>
      </w:r>
      <w:r>
        <w:rPr>
          <w:iCs/>
          <w:i/>
        </w:rPr>
        <w:t xml:space="preserve">pratha prakhyāne</w:t>
      </w:r>
      <w:r>
        <w:t xml:space="preserve">;</w:t>
      </w:r>
      <w:r>
        <w:t xml:space="preserve"> </w:t>
      </w:r>
      <w:r>
        <w:rPr>
          <w:iCs/>
          <w:i/>
        </w:rPr>
        <w:t xml:space="preserve">prathanaṃ prathaḥ</w:t>
      </w:r>
      <w:r>
        <w:t xml:space="preserve">: by</w:t>
      </w:r>
      <w:r>
        <w:t xml:space="preserve"> </w:t>
      </w:r>
      <w:r>
        <w:rPr>
          <w:iCs/>
          <w:i/>
        </w:rPr>
        <w:t xml:space="preserve">sarvadhātubhyo ’sun</w:t>
      </w:r>
      <w:r>
        <w:t xml:space="preserve"> </w:t>
      </w:r>
      <w:r>
        <w:t xml:space="preserve">the suffix</w:t>
      </w:r>
      <w:r>
        <w:t xml:space="preserve"> </w:t>
      </w:r>
      <w:r>
        <w:rPr>
          <w:iCs/>
          <w:i/>
        </w:rPr>
        <w:t xml:space="preserve">asun</w:t>
      </w:r>
      <w:r>
        <w:t xml:space="preserve"> </w:t>
      </w:r>
      <w:r>
        <w:t xml:space="preserve">in the sense of the action;</w:t>
      </w:r>
      <w:r>
        <w:t xml:space="preserve"> </w:t>
      </w:r>
      <w:r>
        <w:rPr>
          <w:iCs/>
          <w:i/>
        </w:rPr>
        <w:t xml:space="preserve">prathas</w:t>
      </w:r>
      <w:r>
        <w:t xml:space="preserve"> </w:t>
      </w:r>
      <w:r>
        <w:t xml:space="preserve">is initial udātta by the</w:t>
      </w:r>
      <w:r>
        <w:t xml:space="preserve"> </w:t>
      </w:r>
      <w:r>
        <w:rPr>
          <w:iCs/>
          <w:i/>
        </w:rPr>
        <w:t xml:space="preserve">nit</w:t>
      </w:r>
      <w:r>
        <w:t xml:space="preserve"> </w:t>
      </w:r>
      <w:r>
        <w:t xml:space="preserve">accent.</w:t>
      </w:r>
      <w:r>
        <w:t xml:space="preserve"> </w:t>
      </w:r>
      <w:r>
        <w:rPr>
          <w:iCs/>
          <w:i/>
        </w:rPr>
        <w:t xml:space="preserve">Saha prathasā vartate</w:t>
      </w:r>
      <w:r>
        <w:t xml:space="preserve">: a</w:t>
      </w:r>
      <w:r>
        <w:t xml:space="preserve"> </w:t>
      </w:r>
      <w:r>
        <w:rPr>
          <w:iCs/>
          <w:i/>
        </w:rPr>
        <w:t xml:space="preserve">bahuvrīhi</w:t>
      </w:r>
      <w:r>
        <w:t xml:space="preserve"> </w:t>
      </w:r>
      <w:r>
        <w:t xml:space="preserve">compound, by</w:t>
      </w:r>
      <w:r>
        <w:t xml:space="preserve"> </w:t>
      </w:r>
      <w:r>
        <w:t xml:space="preserve">“</w:t>
      </w:r>
      <w:r>
        <w:t xml:space="preserve">tena saheti tulyayoge</w:t>
      </w:r>
      <w:r>
        <w:t xml:space="preserve">”</w:t>
      </w:r>
      <w:r>
        <w:t xml:space="preserve"> </w:t>
      </w:r>
      <w:r>
        <w:t xml:space="preserve">(Pā. sū. 2-2-28): the word</w:t>
      </w:r>
      <w:r>
        <w:t xml:space="preserve"> </w:t>
      </w:r>
      <w:r>
        <w:rPr>
          <w:iCs/>
          <w:i/>
        </w:rPr>
        <w:t xml:space="preserve">saha</w:t>
      </w:r>
      <w:r>
        <w:t xml:space="preserve">, conveying an action at the same time, is compounded with a fit word ending in the instrumental, and that is called</w:t>
      </w:r>
      <w:r>
        <w:t xml:space="preserve"> </w:t>
      </w:r>
      <w:r>
        <w:rPr>
          <w:iCs/>
          <w:i/>
        </w:rPr>
        <w:t xml:space="preserve">bahuvrīhi</w:t>
      </w:r>
      <w:r>
        <w:t xml:space="preserve">.</w:t>
      </w:r>
      <w:r>
        <w:t xml:space="preserve"> </w:t>
      </w:r>
      <w:r>
        <w:t xml:space="preserve">“</w:t>
      </w:r>
      <w:r>
        <w:t xml:space="preserve">Vopasarjanasya</w:t>
      </w:r>
      <w:r>
        <w:t xml:space="preserve">”</w:t>
      </w:r>
      <w:r>
        <w:t xml:space="preserve"> </w:t>
      </w:r>
      <w:r>
        <w:t xml:space="preserve">(Pā. sū. 6-3-82): a compound all of whose members are</w:t>
      </w:r>
      <w:r>
        <w:t xml:space="preserve"> </w:t>
      </w:r>
      <w:r>
        <w:rPr>
          <w:iCs/>
          <w:i/>
        </w:rPr>
        <w:t xml:space="preserve">upasarjana</w:t>
      </w:r>
      <w:r>
        <w:t xml:space="preserve"> </w:t>
      </w:r>
      <w:r>
        <w:t xml:space="preserve">is a</w:t>
      </w:r>
      <w:r>
        <w:t xml:space="preserve"> </w:t>
      </w:r>
      <w:r>
        <w:rPr>
          <w:iCs/>
          <w:i/>
        </w:rPr>
        <w:t xml:space="preserve">bahuvrīhi</w:t>
      </w:r>
      <w:r>
        <w:t xml:space="preserve">; the word</w:t>
      </w:r>
      <w:r>
        <w:t xml:space="preserve"> </w:t>
      </w:r>
      <w:r>
        <w:rPr>
          <w:iCs/>
          <w:i/>
        </w:rPr>
        <w:t xml:space="preserve">saha</w:t>
      </w:r>
      <w:r>
        <w:t xml:space="preserve">, standing immediately before the final member in a compound forming a</w:t>
      </w:r>
      <w:r>
        <w:t xml:space="preserve"> </w:t>
      </w:r>
      <w:r>
        <w:rPr>
          <w:iCs/>
          <w:i/>
        </w:rPr>
        <w:t xml:space="preserve">bahuvrīhi</w:t>
      </w:r>
      <w:r>
        <w:t xml:space="preserve">, takes the substitute</w:t>
      </w:r>
      <w:r>
        <w:t xml:space="preserve"> </w:t>
      </w:r>
      <w:r>
        <w:rPr>
          <w:iCs/>
          <w:i/>
        </w:rPr>
        <w:t xml:space="preserve">sa</w:t>
      </w:r>
      <w:r>
        <w:t xml:space="preserve">; so</w:t>
      </w:r>
      <w:r>
        <w:t xml:space="preserve"> </w:t>
      </w:r>
      <w:r>
        <w:rPr>
          <w:iCs/>
          <w:i/>
        </w:rPr>
        <w:t xml:space="preserve">sa</w:t>
      </w:r>
      <w:r>
        <w:t xml:space="preserve"> </w:t>
      </w:r>
      <w:r>
        <w:t xml:space="preserve">for</w:t>
      </w:r>
      <w:r>
        <w:t xml:space="preserve"> </w:t>
      </w:r>
      <w:r>
        <w:rPr>
          <w:iCs/>
          <w:i/>
        </w:rPr>
        <w:t xml:space="preserve">saha</w:t>
      </w:r>
      <w:r>
        <w:t xml:space="preserve">:</w:t>
      </w:r>
      <w:r>
        <w:t xml:space="preserve"> </w:t>
      </w:r>
      <w:r>
        <w:rPr>
          <w:iCs/>
          <w:i/>
        </w:rPr>
        <w:t xml:space="preserve">saprathas</w:t>
      </w:r>
      <w:r>
        <w:t xml:space="preserve">. Since this is a</w:t>
      </w:r>
      <w:r>
        <w:t xml:space="preserve"> </w:t>
      </w:r>
      <w:r>
        <w:rPr>
          <w:iCs/>
          <w:i/>
        </w:rPr>
        <w:t xml:space="preserve">bahuvrīhi</w:t>
      </w:r>
      <w:r>
        <w:t xml:space="preserve">, the first member’s accent is due; but by</w:t>
      </w:r>
      <w:r>
        <w:t xml:space="preserve"> </w:t>
      </w:r>
      <w:r>
        <w:t xml:space="preserve">“</w:t>
      </w:r>
      <w:r>
        <w:t xml:space="preserve">parādiś chandasi bahulam</w:t>
      </w:r>
      <w:r>
        <w:t xml:space="preserve">”</w:t>
      </w:r>
      <w:r>
        <w:t xml:space="preserve"> </w:t>
      </w:r>
      <w:r>
        <w:t xml:space="preserve">(Pā. sū. 6-2-199) the final member</w:t>
      </w:r>
      <w:r>
        <w:t xml:space="preserve"> </w:t>
      </w:r>
      <w:r>
        <w:rPr>
          <w:iCs/>
          <w:i/>
        </w:rPr>
        <w:t xml:space="preserve">prathas</w:t>
      </w:r>
      <w:r>
        <w:t xml:space="preserve"> </w:t>
      </w:r>
      <w:r>
        <w:t xml:space="preserve">is final udātta [as printed]. When excess is meant, the suffix</w:t>
      </w:r>
      <w:r>
        <w:t xml:space="preserve"> </w:t>
      </w:r>
      <w:r>
        <w:rPr>
          <w:iCs/>
          <w:i/>
        </w:rPr>
        <w:t xml:space="preserve">tamap</w:t>
      </w:r>
      <w:r>
        <w:t xml:space="preserve">:</w:t>
      </w:r>
      <w:r>
        <w:t xml:space="preserve"> </w:t>
      </w:r>
      <w:r>
        <w:rPr>
          <w:iCs/>
          <w:i/>
        </w:rPr>
        <w:t xml:space="preserve">saprathastama</w:t>
      </w:r>
      <w:r>
        <w:t xml:space="preserve">; accusative singular,</w:t>
      </w:r>
      <w:r>
        <w:t xml:space="preserve"> </w:t>
      </w:r>
      <w:r>
        <w:rPr>
          <w:iCs/>
          <w:i/>
        </w:rPr>
        <w:t xml:space="preserve">saprathastamam</w:t>
      </w:r>
      <w:r>
        <w:t xml:space="preserve">.</w:t>
      </w:r>
    </w:p>
    <w:p>
      <w:pPr>
        <w:pStyle w:val="BodyText"/>
      </w:pPr>
      <w:r>
        <w:rPr>
          <w:bCs/>
          <w:b/>
        </w:rPr>
        <w:t xml:space="preserve">दिवः (</w:t>
      </w:r>
      <w:r>
        <w:rPr>
          <w:iCs/>
          <w:i/>
          <w:bCs/>
          <w:b/>
        </w:rPr>
        <w:t xml:space="preserve">divaḥ</w:t>
      </w:r>
      <w:r>
        <w:rPr>
          <w:bCs/>
          <w:b/>
        </w:rPr>
        <w:t xml:space="preserve">)</w:t>
      </w:r>
      <w:r>
        <w:t xml:space="preserve">: by</w:t>
      </w:r>
      <w:r>
        <w:t xml:space="preserve"> </w:t>
      </w:r>
      <w:r>
        <w:t xml:space="preserve">“</w:t>
      </w:r>
      <w:r>
        <w:t xml:space="preserve">ūḍidaṃpadādyappumraidyubhyaḥ</w:t>
      </w:r>
      <w:r>
        <w:t xml:space="preserve">”</w:t>
      </w:r>
      <w:r>
        <w:t xml:space="preserve"> </w:t>
      </w:r>
      <w:r>
        <w:t xml:space="preserve">(Pā. sū. 6-1-171) the ending is udātta.</w:t>
      </w:r>
    </w:p>
    <w:p>
      <w:pPr>
        <w:pStyle w:val="BodyText"/>
      </w:pPr>
      <w:r>
        <w:rPr>
          <w:bCs/>
          <w:b/>
        </w:rPr>
        <w:t xml:space="preserve">सद्ममखसम् (</w:t>
      </w:r>
      <w:r>
        <w:rPr>
          <w:iCs/>
          <w:i/>
          <w:bCs/>
          <w:b/>
        </w:rPr>
        <w:t xml:space="preserve">sadmamakhasam</w:t>
      </w:r>
      <w:r>
        <w:rPr>
          <w:bCs/>
          <w:b/>
        </w:rPr>
        <w:t xml:space="preserve">)</w:t>
      </w:r>
      <w:r>
        <w:t xml:space="preserve">:</w:t>
      </w:r>
      <w:r>
        <w:t xml:space="preserve"> </w:t>
      </w:r>
      <w:r>
        <w:rPr>
          <w:iCs/>
          <w:i/>
        </w:rPr>
        <w:t xml:space="preserve">ṣadḷ viśaraṇagatyavasādaneṣu</w:t>
      </w:r>
      <w:r>
        <w:t xml:space="preserve">;</w:t>
      </w:r>
      <w:r>
        <w:t xml:space="preserve"> </w:t>
      </w:r>
      <w:r>
        <w:rPr>
          <w:iCs/>
          <w:i/>
        </w:rPr>
        <w:t xml:space="preserve">s</w:t>
      </w:r>
      <w:r>
        <w:t xml:space="preserve"> </w:t>
      </w:r>
      <w:r>
        <w:t xml:space="preserve">for</w:t>
      </w:r>
      <w:r>
        <w:t xml:space="preserve"> </w:t>
      </w:r>
      <w:r>
        <w:rPr>
          <w:iCs/>
          <w:i/>
        </w:rPr>
        <w:t xml:space="preserve">ṣ</w:t>
      </w:r>
      <w:r>
        <w:t xml:space="preserve"> </w:t>
      </w:r>
      <w:r>
        <w:t xml:space="preserve">by</w:t>
      </w:r>
      <w:r>
        <w:t xml:space="preserve"> </w:t>
      </w:r>
      <w:r>
        <w:rPr>
          <w:iCs/>
          <w:i/>
        </w:rPr>
        <w:t xml:space="preserve">dhātvādeḥ ṣaḥ saḥ</w:t>
      </w:r>
      <w:r>
        <w:t xml:space="preserve">. By</w:t>
      </w:r>
      <w:r>
        <w:t xml:space="preserve"> </w:t>
      </w:r>
      <w:r>
        <w:t xml:space="preserve">“</w:t>
      </w:r>
      <w:r>
        <w:t xml:space="preserve">anyebhyo ’pi dṛśyante</w:t>
      </w:r>
      <w:r>
        <w:t xml:space="preserve">”</w:t>
      </w:r>
      <w:r>
        <w:t xml:space="preserve"> </w:t>
      </w:r>
      <w:r>
        <w:t xml:space="preserve">(Pā. sū. 3-2-75) the suffix</w:t>
      </w:r>
      <w:r>
        <w:t xml:space="preserve"> </w:t>
      </w:r>
      <w:r>
        <w:rPr>
          <w:iCs/>
          <w:i/>
        </w:rPr>
        <w:t xml:space="preserve">manin</w:t>
      </w:r>
      <w:r>
        <w:t xml:space="preserve">:</w:t>
      </w:r>
      <w:r>
        <w:t xml:space="preserve"> </w:t>
      </w:r>
      <w:r>
        <w:rPr>
          <w:iCs/>
          <w:i/>
        </w:rPr>
        <w:t xml:space="preserve">sadman</w:t>
      </w:r>
      <w:r>
        <w:t xml:space="preserve">. By the</w:t>
      </w:r>
      <w:r>
        <w:t xml:space="preserve"> </w:t>
      </w:r>
      <w:r>
        <w:rPr>
          <w:iCs/>
          <w:i/>
        </w:rPr>
        <w:t xml:space="preserve">nit</w:t>
      </w:r>
      <w:r>
        <w:t xml:space="preserve"> </w:t>
      </w:r>
      <w:r>
        <w:t xml:space="preserve">accent it is initial udātta.</w:t>
      </w:r>
      <w:r>
        <w:t xml:space="preserve"> </w:t>
      </w:r>
      <w:r>
        <w:rPr>
          <w:iCs/>
          <w:i/>
        </w:rPr>
        <w:t xml:space="preserve">Sadma mahaḥ yasya saḥ sadmamahāḥ</w:t>
      </w:r>
      <w:r>
        <w:t xml:space="preserve">: a</w:t>
      </w:r>
      <w:r>
        <w:t xml:space="preserve"> </w:t>
      </w:r>
      <w:r>
        <w:rPr>
          <w:iCs/>
          <w:i/>
        </w:rPr>
        <w:t xml:space="preserve">bahuvrīhi</w:t>
      </w:r>
      <w:r>
        <w:t xml:space="preserve"> </w:t>
      </w:r>
      <w:r>
        <w:t xml:space="preserve">compound. By</w:t>
      </w:r>
      <w:r>
        <w:t xml:space="preserve"> </w:t>
      </w:r>
      <w:r>
        <w:t xml:space="preserve">“</w:t>
      </w:r>
      <w:r>
        <w:t xml:space="preserve">vyatyayo bahulam</w:t>
      </w:r>
      <w:r>
        <w:t xml:space="preserve">”</w:t>
      </w:r>
      <w:r>
        <w:t xml:space="preserve"> </w:t>
      </w:r>
      <w:r>
        <w:t xml:space="preserve">(Pā. sū. 3-1-85)</w:t>
      </w:r>
      <w:r>
        <w:t xml:space="preserve"> </w:t>
      </w:r>
      <w:r>
        <w:rPr>
          <w:iCs/>
          <w:i/>
        </w:rPr>
        <w:t xml:space="preserve">kh</w:t>
      </w:r>
      <w:r>
        <w:t xml:space="preserve"> </w:t>
      </w:r>
      <w:r>
        <w:t xml:space="preserve">for</w:t>
      </w:r>
      <w:r>
        <w:t xml:space="preserve"> </w:t>
      </w:r>
      <w:r>
        <w:rPr>
          <w:iCs/>
          <w:i/>
        </w:rPr>
        <w:t xml:space="preserve">h</w:t>
      </w:r>
      <w:r>
        <w:t xml:space="preserve">:</w:t>
      </w:r>
      <w:r>
        <w:t xml:space="preserve"> </w:t>
      </w:r>
      <w:r>
        <w:rPr>
          <w:iCs/>
          <w:i/>
        </w:rPr>
        <w:t xml:space="preserve">sadmamakhas</w:t>
      </w:r>
      <w:r>
        <w:t xml:space="preserve">; accusative singular</w:t>
      </w:r>
      <w:r>
        <w:t xml:space="preserve"> </w:t>
      </w:r>
      <w:r>
        <w:rPr>
          <w:iCs/>
          <w:i/>
        </w:rPr>
        <w:t xml:space="preserve">am</w:t>
      </w:r>
      <w:r>
        <w:t xml:space="preserve">:</w:t>
      </w:r>
      <w:r>
        <w:t xml:space="preserve"> </w:t>
      </w:r>
      <w:r>
        <w:rPr>
          <w:iCs/>
          <w:i/>
        </w:rPr>
        <w:t xml:space="preserve">sadmamakhasam</w:t>
      </w:r>
      <w:r>
        <w:t xml:space="preserve">.</w:t>
      </w:r>
    </w:p>
    <w:p>
      <w:pPr>
        <w:pStyle w:val="BodyText"/>
      </w:pPr>
      <w:r>
        <w:rPr>
          <w:bCs/>
          <w:b/>
        </w:rPr>
        <w:t xml:space="preserve">॥९॥</w:t>
      </w:r>
    </w:p>
    <w:p>
      <w:pPr>
        <w:pStyle w:val="BodyText"/>
      </w:pPr>
      <w:r>
        <w:rPr>
          <w:iCs/>
          <w:i/>
        </w:rPr>
        <w:t xml:space="preserve">(An ornament closes Sūkta 18 at the foot of p. 782; no colophon is printed.)</w:t>
      </w:r>
    </w:p>
    <w:p>
      <w:r>
        <w:pict>
          <v:rect style="width:0;height:1.5pt" o:hralign="center" o:hrstd="t" o:hr="t"/>
        </w:pict>
      </w:r>
    </w:p>
    <w:bookmarkEnd w:id="865"/>
    <w:bookmarkEnd w:id="866"/>
    <w:bookmarkStart w:id="901" w:name="Xbfbde3e81a69023f41c32b2e02812ab4328ffc7"/>
    <w:p>
      <w:pPr>
        <w:pStyle w:val="Heading2"/>
      </w:pPr>
      <w:r>
        <w:t xml:space="preserve">॥ ಹತ್ತೊಂಭತ್ತನೆಯ ಸೂಕ್ತವು ॥ — Sūkta 19 —</w:t>
      </w:r>
      <w:r>
        <w:t xml:space="preserve"> </w:t>
      </w:r>
      <w:r>
        <w:rPr>
          <w:iCs/>
          <w:i/>
        </w:rPr>
        <w:t xml:space="preserve">“</w:t>
      </w:r>
      <w:r>
        <w:rPr>
          <w:iCs/>
          <w:i/>
        </w:rPr>
        <w:t xml:space="preserve">prati tyaṃ cārum adhvaram</w:t>
      </w:r>
      <w:r>
        <w:rPr>
          <w:iCs/>
          <w:i/>
        </w:rPr>
        <w:t xml:space="preserve">”</w:t>
      </w:r>
      <w:r>
        <w:t xml:space="preserve"> </w:t>
      </w:r>
      <w:r>
        <w:t xml:space="preserve">(</w:t>
      </w:r>
      <w:r>
        <w:t xml:space="preserve">“</w:t>
      </w:r>
      <w:r>
        <w:t xml:space="preserve">The Nineteenth Sūkta</w:t>
      </w:r>
      <w:r>
        <w:t xml:space="preserve">”</w:t>
      </w:r>
      <w:r>
        <w:t xml:space="preserve">; second sūkta of the Fifth Anuvāka; last sūkta of this volume)</w:t>
      </w:r>
    </w:p>
    <w:p>
      <w:pPr>
        <w:pStyle w:val="FirstParagraph"/>
      </w:pPr>
      <w:r>
        <w:rPr>
          <w:iCs/>
          <w:i/>
        </w:rPr>
        <w:t xml:space="preserve">(Printed p. 783 opens with the title ಹತ್ತೊಂಭತ್ತನೆಯ ಸೂಕ್ತವು (</w:t>
      </w:r>
      <w:r>
        <w:rPr>
          <w:iCs/>
          <w:i/>
        </w:rPr>
        <w:t xml:space="preserve">“</w:t>
      </w:r>
      <w:r>
        <w:rPr>
          <w:iCs/>
          <w:i/>
        </w:rPr>
        <w:t xml:space="preserve">The Nineteenth Sūkta</w:t>
      </w:r>
      <w:r>
        <w:rPr>
          <w:iCs/>
          <w:i/>
        </w:rPr>
        <w:t xml:space="preserve">”</w:t>
      </w:r>
      <w:r>
        <w:rPr>
          <w:iCs/>
          <w:i/>
        </w:rPr>
        <w:t xml:space="preserve">).)</w:t>
      </w:r>
    </w:p>
    <w:bookmarkStart w:id="867" w:name="Xe35294176eb9ddd4c58073e77ee37eee5ae4000"/>
    <w:p>
      <w:pPr>
        <w:pStyle w:val="Heading3"/>
      </w:pPr>
      <w:r>
        <w:t xml:space="preserve">Page 783 — Sūkta 19: introduction, heading, Rik 1 Saṃhitā</w:t>
      </w:r>
    </w:p>
    <w:p>
      <w:pPr>
        <w:pStyle w:val="FirstParagraph"/>
      </w:pPr>
      <w:r>
        <w:rPr>
          <w:bCs/>
          <w:b/>
        </w:rPr>
        <w:t xml:space="preserve">॥ Sāyaṇa-bhāṣyam ॥</w:t>
      </w:r>
      <w:r>
        <w:t xml:space="preserve"> </w:t>
      </w:r>
      <w:r>
        <w:t xml:space="preserve">(introductory note)</w:t>
      </w:r>
    </w:p>
    <w:p>
      <w:pPr>
        <w:pStyle w:val="BlockText"/>
      </w:pPr>
      <w:r>
        <w:t xml:space="preserve">प्रति त्यमिति नवर्चं द्वितीयं सूक्तम् । ऋषिच्छन्दसी पूर्ववत् । देवता त्वनुक्रम्यते । प्रति त्यमाग्निमारुतमिति ॥ कारीरीष्ट्यां प्रति त्यमित्येषा धाय्या । तथा च सूत्रितम् । वर्षकामेष्टिः कारीरी तस्यां प्रति त्यं चारुमध्वरमीळे अग्निं स्ववसं नमोभिरिति धाय्ये । आ. २-१३ । इति ॥</w:t>
      </w:r>
    </w:p>
    <w:p>
      <w:pPr>
        <w:pStyle w:val="BlockText"/>
      </w:pPr>
      <w:r>
        <w:rPr>
          <w:iCs/>
          <w:i/>
        </w:rPr>
        <w:t xml:space="preserve">prati tyamiti navarcaṃ dvitīyaṃ sūktam | ṛṣicchandasī pūrvavat | devatā tvanukramyate | prati tyamāgnimārutamiti || kārīrīṣṭyāṃ prati tyamityeṣā dhāyyā | tathā ca sūtritam | varṣakāmeṣṭiḥ kārīrī tasyāṃ prati tyaṃ cārumadhvaramīḷe agniṃ svavasaṃ namobhiriti dhāyye | ā. 2-13 | iti ||</w:t>
      </w:r>
    </w:p>
    <w:p>
      <w:pPr>
        <w:pStyle w:val="FirstParagraph"/>
      </w:pPr>
      <w:r>
        <w:rPr>
          <w:bCs/>
          <w:b/>
        </w:rPr>
        <w:t xml:space="preserve">Translation:</w:t>
      </w:r>
      <w:r>
        <w:t xml:space="preserve"> </w:t>
      </w:r>
      <w:r>
        <w:t xml:space="preserve">“</w:t>
      </w:r>
      <w:r>
        <w:t xml:space="preserve">The sūkta beginning</w:t>
      </w:r>
      <w:r>
        <w:t xml:space="preserve"> </w:t>
      </w:r>
      <w:r>
        <w:rPr>
          <w:iCs/>
          <w:i/>
        </w:rPr>
        <w:t xml:space="preserve">prati tyam</w:t>
      </w:r>
      <w:r>
        <w:t xml:space="preserve">, of nine ṛks, is the second. The ṛṣi and metre are as before. The deity is stated in the Anukramaṇī:</w:t>
      </w:r>
      <w:r>
        <w:t xml:space="preserve"> </w:t>
      </w:r>
      <w:r>
        <w:t xml:space="preserve">‘</w:t>
      </w:r>
      <w:r>
        <w:rPr>
          <w:iCs/>
          <w:i/>
        </w:rPr>
        <w:t xml:space="preserve">prati tyam</w:t>
      </w:r>
      <w:r>
        <w:t xml:space="preserve">: to Agni and the Maruts.</w:t>
      </w:r>
      <w:r>
        <w:t xml:space="preserve">’</w:t>
      </w:r>
      <w:r>
        <w:t xml:space="preserve"> </w:t>
      </w:r>
      <w:r>
        <w:t xml:space="preserve">In the</w:t>
      </w:r>
      <w:r>
        <w:t xml:space="preserve"> </w:t>
      </w:r>
      <w:r>
        <w:rPr>
          <w:iCs/>
          <w:i/>
        </w:rPr>
        <w:t xml:space="preserve">kārīrī</w:t>
      </w:r>
      <w:r>
        <w:t xml:space="preserve"> </w:t>
      </w:r>
      <w:r>
        <w:t xml:space="preserve">rite this ṛk</w:t>
      </w:r>
      <w:r>
        <w:t xml:space="preserve"> </w:t>
      </w:r>
      <w:r>
        <w:rPr>
          <w:iCs/>
          <w:i/>
        </w:rPr>
        <w:t xml:space="preserve">prati tyam</w:t>
      </w:r>
      <w:r>
        <w:t xml:space="preserve"> </w:t>
      </w:r>
      <w:r>
        <w:t xml:space="preserve">is the</w:t>
      </w:r>
      <w:r>
        <w:t xml:space="preserve"> </w:t>
      </w:r>
      <w:r>
        <w:rPr>
          <w:iCs/>
          <w:i/>
        </w:rPr>
        <w:t xml:space="preserve">dhāyyā</w:t>
      </w:r>
      <w:r>
        <w:t xml:space="preserve">. So it is laid down in the sūtra:</w:t>
      </w:r>
      <w:r>
        <w:t xml:space="preserve"> </w:t>
      </w:r>
      <w:r>
        <w:t xml:space="preserve">‘</w:t>
      </w:r>
      <w:r>
        <w:t xml:space="preserve">The</w:t>
      </w:r>
      <w:r>
        <w:t xml:space="preserve"> </w:t>
      </w:r>
      <w:r>
        <w:rPr>
          <w:iCs/>
          <w:i/>
        </w:rPr>
        <w:t xml:space="preserve">kārīrī</w:t>
      </w:r>
      <w:r>
        <w:t xml:space="preserve"> </w:t>
      </w:r>
      <w:r>
        <w:t xml:space="preserve">is the rite of one who desires rain; in it</w:t>
      </w:r>
      <w:r>
        <w:t xml:space="preserve"> </w:t>
      </w:r>
      <w:r>
        <w:rPr>
          <w:iCs/>
          <w:i/>
        </w:rPr>
        <w:t xml:space="preserve">prati tyaṃ cārum adhvaram</w:t>
      </w:r>
      <w:r>
        <w:t xml:space="preserve"> </w:t>
      </w:r>
      <w:r>
        <w:t xml:space="preserve">and</w:t>
      </w:r>
      <w:r>
        <w:t xml:space="preserve"> </w:t>
      </w:r>
      <w:r>
        <w:rPr>
          <w:iCs/>
          <w:i/>
        </w:rPr>
        <w:t xml:space="preserve">īḷe agniṃ svavasaṃ namobhiḥ</w:t>
      </w:r>
      <w:r>
        <w:t xml:space="preserve"> </w:t>
      </w:r>
      <w:r>
        <w:t xml:space="preserve">are the two</w:t>
      </w:r>
      <w:r>
        <w:t xml:space="preserve"> </w:t>
      </w:r>
      <w:r>
        <w:rPr>
          <w:iCs/>
          <w:i/>
        </w:rPr>
        <w:t xml:space="preserve">dhāyyās</w:t>
      </w:r>
      <w:r>
        <w:t xml:space="preserve">’</w:t>
      </w:r>
      <w:r>
        <w:t xml:space="preserve"> </w:t>
      </w:r>
      <w:r>
        <w:t xml:space="preserve">(Āśv. 2-13).</w:t>
      </w:r>
      <w:r>
        <w:t xml:space="preserve">”</w:t>
      </w:r>
    </w:p>
    <w:p>
      <w:pPr>
        <w:pStyle w:val="BodyText"/>
      </w:pPr>
      <w:r>
        <w:rPr>
          <w:bCs/>
          <w:b/>
        </w:rPr>
        <w:t xml:space="preserve">Anuvāda (Kannada rendering):</w:t>
      </w:r>
      <w:r>
        <w:t xml:space="preserve"> </w:t>
      </w:r>
      <w:r>
        <w:rPr>
          <w:iCs/>
          <w:i/>
        </w:rPr>
        <w:t xml:space="preserve">Pratityam</w:t>
      </w:r>
      <w:r>
        <w:t xml:space="preserve"> </w:t>
      </w:r>
      <w:r>
        <w:t xml:space="preserve">is the second sūkta in this fifth anuvāka. It has nine ṛks. On the deity of this sūkta the Anukramaṇikā says,</w:t>
      </w:r>
      <w:r>
        <w:t xml:space="preserve"> </w:t>
      </w:r>
      <w:r>
        <w:rPr>
          <w:iCs/>
          <w:i/>
        </w:rPr>
        <w:t xml:space="preserve">pratityam āgnimārutam</w:t>
      </w:r>
      <w:r>
        <w:t xml:space="preserve">: the deities of the sūkta</w:t>
      </w:r>
      <w:r>
        <w:t xml:space="preserve"> </w:t>
      </w:r>
      <w:r>
        <w:rPr>
          <w:iCs/>
          <w:i/>
        </w:rPr>
        <w:t xml:space="preserve">pratityam</w:t>
      </w:r>
      <w:r>
        <w:t xml:space="preserve"> </w:t>
      </w:r>
      <w:r>
        <w:t xml:space="preserve">are Agni and the Maruts. In the rite called</w:t>
      </w:r>
      <w:r>
        <w:t xml:space="preserve"> </w:t>
      </w:r>
      <w:r>
        <w:rPr>
          <w:iCs/>
          <w:i/>
        </w:rPr>
        <w:t xml:space="preserve">kārīrīṣṭi</w:t>
      </w:r>
      <w:r>
        <w:t xml:space="preserve"> </w:t>
      </w:r>
      <w:r>
        <w:t xml:space="preserve">the sūkta</w:t>
      </w:r>
      <w:r>
        <w:t xml:space="preserve"> </w:t>
      </w:r>
      <w:r>
        <w:rPr>
          <w:iCs/>
          <w:i/>
        </w:rPr>
        <w:t xml:space="preserve">prati tyam</w:t>
      </w:r>
      <w:r>
        <w:t xml:space="preserve"> </w:t>
      </w:r>
      <w:r>
        <w:t xml:space="preserve">is to be recited:</w:t>
      </w:r>
      <w:r>
        <w:t xml:space="preserve"> </w:t>
      </w:r>
      <w:r>
        <w:rPr>
          <w:iCs/>
          <w:i/>
        </w:rPr>
        <w:t xml:space="preserve">varṣakāmeṣṭiḥ kārīrī tasyāṃ prati tyaṃ cārum adhvaram īḷe agniṃ svavasaṃ namobhir iti dhāyye</w:t>
      </w:r>
      <w:r>
        <w:t xml:space="preserve"> </w:t>
      </w:r>
      <w:r>
        <w:t xml:space="preserve">(Āśv. 2-13); that is,</w:t>
      </w:r>
      <w:r>
        <w:t xml:space="preserve"> </w:t>
      </w:r>
      <w:r>
        <w:rPr>
          <w:iCs/>
          <w:i/>
        </w:rPr>
        <w:t xml:space="preserve">kārīrī</w:t>
      </w:r>
      <w:r>
        <w:t xml:space="preserve"> </w:t>
      </w:r>
      <w:r>
        <w:t xml:space="preserve">is the rite of one who desires rain, a particular rite done for the coming of rain. In it the two ṛks</w:t>
      </w:r>
      <w:r>
        <w:t xml:space="preserve"> </w:t>
      </w:r>
      <w:r>
        <w:rPr>
          <w:iCs/>
          <w:i/>
        </w:rPr>
        <w:t xml:space="preserve">prati tyaṃ cārum adhvaram</w:t>
      </w:r>
      <w:r>
        <w:t xml:space="preserve"> </w:t>
      </w:r>
      <w:r>
        <w:t xml:space="preserve">(Ṛ. saṃ. 1-19-1) and</w:t>
      </w:r>
      <w:r>
        <w:t xml:space="preserve"> </w:t>
      </w:r>
      <w:r>
        <w:rPr>
          <w:iCs/>
          <w:i/>
        </w:rPr>
        <w:t xml:space="preserve">īḷe agniṃ svavasaṃ namobhiḥ</w:t>
      </w:r>
      <w:r>
        <w:t xml:space="preserve"> </w:t>
      </w:r>
      <w:r>
        <w:t xml:space="preserve">(Ṛ. saṃ. 5-60-1) are to be recited as the</w:t>
      </w:r>
      <w:r>
        <w:t xml:space="preserve"> </w:t>
      </w:r>
      <w:r>
        <w:rPr>
          <w:iCs/>
          <w:i/>
        </w:rPr>
        <w:t xml:space="preserve">yājyā</w:t>
      </w:r>
      <w:r>
        <w:t xml:space="preserve"> </w:t>
      </w:r>
      <w:r>
        <w:t xml:space="preserve">and</w:t>
      </w:r>
      <w:r>
        <w:t xml:space="preserve"> </w:t>
      </w:r>
      <w:r>
        <w:rPr>
          <w:iCs/>
          <w:i/>
        </w:rPr>
        <w:t xml:space="preserve">puronuvākyā</w:t>
      </w:r>
      <w:r>
        <w:t xml:space="preserve"> </w:t>
      </w:r>
      <w:r>
        <w:t xml:space="preserve">ṛks, says the Āśvalāyana Śrautasūtra (Āś. 2-13).</w:t>
      </w:r>
    </w:p>
    <w:p>
      <w:pPr>
        <w:pStyle w:val="BodyText"/>
      </w:pPr>
      <w:r>
        <w:rPr>
          <w:bCs/>
          <w:b/>
        </w:rPr>
        <w:t xml:space="preserve">॥ ॐ ॥</w:t>
      </w:r>
    </w:p>
    <w:p>
      <w:pPr>
        <w:pStyle w:val="BodyText"/>
      </w:pPr>
      <w:r>
        <w:rPr>
          <w:bCs/>
          <w:b/>
        </w:rPr>
        <w:t xml:space="preserve">॥ Sūkta — 19 ॥</w:t>
      </w:r>
      <w:r>
        <w:t xml:space="preserve"> </w:t>
      </w:r>
      <w:r>
        <w:rPr>
          <w:bCs/>
          <w:b/>
        </w:rPr>
        <w:t xml:space="preserve">॥ Maṇḍala — 1 ॥ Anuvāka — 5 ॥ Sūkta — 19 ॥</w:t>
      </w:r>
      <w:r>
        <w:t xml:space="preserve"> </w:t>
      </w:r>
      <w:r>
        <w:rPr>
          <w:bCs/>
          <w:b/>
        </w:rPr>
        <w:t xml:space="preserve">॥ Aṣṭaka — 1 ॥ Adhyāya — 1 ॥ Varga — 36, 37 ॥</w:t>
      </w:r>
      <w:r>
        <w:t xml:space="preserve"> </w:t>
      </w:r>
      <w:r>
        <w:rPr>
          <w:bCs/>
          <w:b/>
        </w:rPr>
        <w:t xml:space="preserve">॥ Number of ṛks in the sūkta: 1–9 ॥</w:t>
      </w:r>
      <w:r>
        <w:t xml:space="preserve"> </w:t>
      </w:r>
      <w:r>
        <w:rPr>
          <w:bCs/>
          <w:b/>
        </w:rPr>
        <w:t xml:space="preserve">॥ Ṛṣiḥ — Medhātithiḥ Kāṇvaḥ ॥</w:t>
      </w:r>
      <w:r>
        <w:t xml:space="preserve"> </w:t>
      </w:r>
      <w:r>
        <w:rPr>
          <w:bCs/>
          <w:b/>
        </w:rPr>
        <w:t xml:space="preserve">॥ Devatā — Agnir Marutaś ca ॥</w:t>
      </w:r>
      <w:r>
        <w:t xml:space="preserve"> </w:t>
      </w:r>
      <w:r>
        <w:rPr>
          <w:bCs/>
          <w:b/>
        </w:rPr>
        <w:t xml:space="preserve">॥ Chandaḥ — Gāyatrī ॥</w:t>
      </w:r>
    </w:p>
    <w:bookmarkEnd w:id="867"/>
    <w:bookmarkStart w:id="868" w:name="sūkta-19-rik-1"/>
    <w:p>
      <w:pPr>
        <w:pStyle w:val="Heading3"/>
      </w:pPr>
      <w:r>
        <w:t xml:space="preserve">Sūkta 19, Rik 1</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प्रति॒ त्यं चारु॑मध्व॒रं गो॑पी॒थाय॒ प्र हू॑यसे । [accent ?]</w:t>
      </w:r>
      <w:r>
        <w:t xml:space="preserve"> </w:t>
      </w:r>
      <w:r>
        <w:t xml:space="preserve">म॒रुद्भि॑रग्न आ ग॑हि ॥१॥ [accent ?]</w:t>
      </w:r>
    </w:p>
    <w:p>
      <w:pPr>
        <w:pStyle w:val="BlockText"/>
      </w:pPr>
      <w:r>
        <w:rPr>
          <w:iCs/>
          <w:i/>
        </w:rPr>
        <w:t xml:space="preserve">prati tyáṃ cā́rum adhvaráṃ gopīthā́ya prá hūyase |</w:t>
      </w:r>
      <w:r>
        <w:t xml:space="preserve"> </w:t>
      </w:r>
      <w:r>
        <w:t xml:space="preserve">[accent ?]</w:t>
      </w:r>
      <w:r>
        <w:t xml:space="preserve"> </w:t>
      </w:r>
      <w:r>
        <w:rPr>
          <w:iCs/>
          <w:i/>
        </w:rPr>
        <w:t xml:space="preserve">marúdbhir agna ā́ gahi ||1||</w:t>
      </w:r>
      <w:r>
        <w:t xml:space="preserve"> </w:t>
      </w:r>
      <w:r>
        <w:t xml:space="preserve">[accent ?]</w:t>
      </w:r>
    </w:p>
    <w:p>
      <w:pPr>
        <w:pStyle w:val="FirstParagraph"/>
      </w:pPr>
      <w:r>
        <w:rPr>
          <w:iCs/>
          <w:i/>
        </w:rPr>
        <w:t xml:space="preserve">(Read as printed: strokes over रु (चारु), गो, हू, द्भि and ग (गहि); bars under ति, ध्व, पी, य (थाय) and म.)</w:t>
      </w:r>
    </w:p>
    <w:bookmarkEnd w:id="868"/>
    <w:bookmarkStart w:id="869" w:name="Xc5a2777a0940bf8759fd132b99eb181ea0324ce"/>
    <w:p>
      <w:pPr>
        <w:pStyle w:val="Heading3"/>
      </w:pPr>
      <w:r>
        <w:t xml:space="preserve">Page 784 — Rik 1: Pada, bhāṣya, word-meanings, overall sense, English</w:t>
      </w:r>
    </w:p>
    <w:p>
      <w:pPr>
        <w:pStyle w:val="FirstParagraph"/>
      </w:pPr>
      <w:r>
        <w:rPr>
          <w:bCs/>
          <w:b/>
        </w:rPr>
        <w:t xml:space="preserve">॥ Pada-pāṭhaḥ ॥</w:t>
      </w:r>
    </w:p>
    <w:p>
      <w:pPr>
        <w:pStyle w:val="BlockText"/>
      </w:pPr>
      <w:r>
        <w:t xml:space="preserve">प्रति । त्यम् । चारुम् । अध्वरम् । गोऽपीथाय । प्र । हूयसे ॥</w:t>
      </w:r>
      <w:r>
        <w:t xml:space="preserve"> </w:t>
      </w:r>
      <w:r>
        <w:t xml:space="preserve">मरुत्ऽभिः । अग्ने । आ । गहि ॥१॥</w:t>
      </w:r>
    </w:p>
    <w:p>
      <w:pPr>
        <w:pStyle w:val="BlockText"/>
      </w:pPr>
      <w:r>
        <w:rPr>
          <w:iCs/>
          <w:i/>
        </w:rPr>
        <w:t xml:space="preserve">prati | tyam | cārum | adhvaram | go ’pīthāya | pra | hūyase ||</w:t>
      </w:r>
      <w:r>
        <w:t xml:space="preserve"> </w:t>
      </w:r>
      <w:r>
        <w:rPr>
          <w:iCs/>
          <w:i/>
        </w:rPr>
        <w:t xml:space="preserve">marut ’bhiḥ | agne | ā | gahi ||1||</w:t>
      </w:r>
    </w:p>
    <w:p>
      <w:pPr>
        <w:pStyle w:val="FirstParagraph"/>
      </w:pPr>
      <w:r>
        <w:rPr>
          <w:bCs/>
          <w:b/>
        </w:rPr>
        <w:t xml:space="preserve">॥ Sāyaṇa-bhāṣyam ॥</w:t>
      </w:r>
    </w:p>
    <w:p>
      <w:pPr>
        <w:pStyle w:val="BlockText"/>
      </w:pPr>
      <w:r>
        <w:t xml:space="preserve">त्यच्छब्दः सर्वनाम तच्छब्दपर्यायः । हे अग्ने यो यज्ञश्चारुरङ्गवैकल्यरहितस्त्यं तथाविधं चारुमध्वरं प्रतिलभ्य गोपीथाय सोमपानाय प्र हूयसे । प्रकर्षेण त्वं हूयसे । तस्मादस्मिन्नध्वरे त्वं मरुद्भिर्देवविशेषैः सहा गहि । आगच्छ । सेयमृग्यास्केनैवं व्याख्याता । तं प्रति चारुमध्वरं सोमपानाय प्रहूयसे सोऽग्ने मरुद्भिः सहागच्छ । नि. १०-३६ । इति ॥ प्रति । निपात आद्युदात्तः । त्यम् । त्यदादीनामः । पा. ७-२-१०२ । प्रातिपदिकस्वरः । चारुम् । दृसनिजनिचरीत्यादिना । उ. १-३ । ञुण् । अत उपधाया इति वृद्धिः । ञित्त्वादाद्युदात्तः । गोपीथाय । निशीथगोपीथावगथाः । उ. २-९ । इति थक्प्रत्ययान्तो निपातितः । प्र । निपातस्वरः ॥</w:t>
      </w:r>
    </w:p>
    <w:p>
      <w:pPr>
        <w:pStyle w:val="BlockText"/>
      </w:pPr>
      <w:r>
        <w:rPr>
          <w:iCs/>
          <w:i/>
        </w:rPr>
        <w:t xml:space="preserve">tyacchabdaḥ sarvanāma tacchabdaparyāyaḥ | he agne yo yajñaścāruraṅgavaikalyarahitastyaṃ tathāvidhaṃ cārumadhvaraṃ pratilabhya gopīthāya somapānāya pra hūyase | prakarṣeṇa tvaṃ hūyase | tasmādasminnadhvare tvaṃ marudbhirdevaviśeṣaiḥ sahā gahi | āgaccha | seyamṛgyāskenaivaṃ vyākhyātā | taṃ prati cārumadhvaraṃ somapānāya prahūyase so ’gne marudbhiḥ sahāgaccha | ni. 10-36 | iti || prati | nipāta ādyudāttaḥ | tyam | tyadādīnāmaḥ | pā. 7-2-102 | prātipadikasvaraḥ | cārum | dṛsanijanicarītyādinā | u. 1-3 | ñuṇ | ata upadhāyā iti vṛddhiḥ | ñittvādādyudāttaḥ | gopīthāya | niśīthagopīthāvagathāḥ | u. 2-9 | iti thakpratyayānto nipātitaḥ | pra | nipātasvaraḥ ||</w:t>
      </w:r>
    </w:p>
    <w:p>
      <w:pPr>
        <w:pStyle w:val="FirstParagraph"/>
      </w:pPr>
      <w:r>
        <w:rPr>
          <w:bCs/>
          <w:b/>
        </w:rPr>
        <w:t xml:space="preserve">Translation:</w:t>
      </w:r>
      <w:r>
        <w:t xml:space="preserve"> </w:t>
      </w:r>
      <w:r>
        <w:t xml:space="preserve">“</w:t>
      </w:r>
      <w:r>
        <w:t xml:space="preserve">The word</w:t>
      </w:r>
      <w:r>
        <w:t xml:space="preserve"> </w:t>
      </w:r>
      <w:r>
        <w:rPr>
          <w:iCs/>
          <w:i/>
        </w:rPr>
        <w:t xml:space="preserve">tya</w:t>
      </w:r>
      <w:r>
        <w:t xml:space="preserve"> </w:t>
      </w:r>
      <w:r>
        <w:t xml:space="preserve">is a pronoun, a synonym of the word</w:t>
      </w:r>
      <w:r>
        <w:t xml:space="preserve"> </w:t>
      </w:r>
      <w:r>
        <w:rPr>
          <w:iCs/>
          <w:i/>
        </w:rPr>
        <w:t xml:space="preserve">tad</w:t>
      </w:r>
      <w:r>
        <w:t xml:space="preserve">. O Agni, the sacrifice which is</w:t>
      </w:r>
      <w:r>
        <w:t xml:space="preserve"> </w:t>
      </w:r>
      <w:r>
        <w:rPr>
          <w:iCs/>
          <w:i/>
        </w:rPr>
        <w:t xml:space="preserve">cāru</w:t>
      </w:r>
      <w:r>
        <w:t xml:space="preserve">, free from any defect in its parts: having obtained</w:t>
      </w:r>
      <w:r>
        <w:t xml:space="preserve"> </w:t>
      </w:r>
      <w:r>
        <w:rPr>
          <w:iCs/>
          <w:i/>
        </w:rPr>
        <w:t xml:space="preserve">tyam</w:t>
      </w:r>
      <w:r>
        <w:t xml:space="preserve">, such a</w:t>
      </w:r>
      <w:r>
        <w:t xml:space="preserve"> </w:t>
      </w:r>
      <w:r>
        <w:rPr>
          <w:iCs/>
          <w:i/>
        </w:rPr>
        <w:t xml:space="preserve">cārum adhvaram</w:t>
      </w:r>
      <w:r>
        <w:t xml:space="preserve">, you are</w:t>
      </w:r>
      <w:r>
        <w:t xml:space="preserve"> </w:t>
      </w:r>
      <w:r>
        <w:rPr>
          <w:iCs/>
          <w:i/>
        </w:rPr>
        <w:t xml:space="preserve">pra hūyase</w:t>
      </w:r>
      <w:r>
        <w:t xml:space="preserve">, called with eminence,</w:t>
      </w:r>
      <w:r>
        <w:t xml:space="preserve"> </w:t>
      </w:r>
      <w:r>
        <w:rPr>
          <w:iCs/>
          <w:i/>
        </w:rPr>
        <w:t xml:space="preserve">gopīthāya</w:t>
      </w:r>
      <w:r>
        <w:t xml:space="preserve">, for the drinking of soma. Therefore come to this sacrifice with the Maruts, the particular gods. This ṛk Yāska explains thus:</w:t>
      </w:r>
      <w:r>
        <w:t xml:space="preserve"> </w:t>
      </w:r>
      <w:r>
        <w:t xml:space="preserve">‘</w:t>
      </w:r>
      <w:r>
        <w:t xml:space="preserve">To that lovely sacrifice you are called for the drinking of soma; O Agni, come with the Maruts</w:t>
      </w:r>
      <w:r>
        <w:t xml:space="preserve">’</w:t>
      </w:r>
      <w:r>
        <w:t xml:space="preserve"> </w:t>
      </w:r>
      <w:r>
        <w:t xml:space="preserve">(Ni. 10-36).</w:t>
      </w:r>
      <w:r>
        <w:t xml:space="preserve">”</w:t>
      </w:r>
      <w:r>
        <w:t xml:space="preserve"> </w:t>
      </w:r>
      <w:r>
        <w:t xml:space="preserve">(Grammatical tail:</w:t>
      </w:r>
      <w:r>
        <w:t xml:space="preserve"> </w:t>
      </w:r>
      <w:r>
        <w:rPr>
          <w:iCs/>
          <w:i/>
        </w:rPr>
        <w:t xml:space="preserve">prati</w:t>
      </w:r>
      <w:r>
        <w:t xml:space="preserve">, a particle, initial udātta;</w:t>
      </w:r>
      <w:r>
        <w:t xml:space="preserve"> </w:t>
      </w:r>
      <w:r>
        <w:rPr>
          <w:iCs/>
          <w:i/>
        </w:rPr>
        <w:t xml:space="preserve">tyam</w:t>
      </w:r>
      <w:r>
        <w:t xml:space="preserve">,</w:t>
      </w:r>
      <w:r>
        <w:t xml:space="preserve"> </w:t>
      </w:r>
      <w:r>
        <w:rPr>
          <w:iCs/>
          <w:i/>
        </w:rPr>
        <w:t xml:space="preserve">a</w:t>
      </w:r>
      <w:r>
        <w:t xml:space="preserve"> </w:t>
      </w:r>
      <w:r>
        <w:t xml:space="preserve">by</w:t>
      </w:r>
      <w:r>
        <w:t xml:space="preserve"> </w:t>
      </w:r>
      <w:r>
        <w:rPr>
          <w:iCs/>
          <w:i/>
        </w:rPr>
        <w:t xml:space="preserve">tyadādīnām aḥ</w:t>
      </w:r>
      <w:r>
        <w:t xml:space="preserve"> </w:t>
      </w:r>
      <w:r>
        <w:t xml:space="preserve">(Pā. 7-2-102), the stem accent;</w:t>
      </w:r>
      <w:r>
        <w:t xml:space="preserve"> </w:t>
      </w:r>
      <w:r>
        <w:rPr>
          <w:iCs/>
          <w:i/>
        </w:rPr>
        <w:t xml:space="preserve">cārum</w:t>
      </w:r>
      <w:r>
        <w:t xml:space="preserve">,</w:t>
      </w:r>
      <w:r>
        <w:t xml:space="preserve"> </w:t>
      </w:r>
      <w:r>
        <w:rPr>
          <w:iCs/>
          <w:i/>
        </w:rPr>
        <w:t xml:space="preserve">ñuṇ</w:t>
      </w:r>
      <w:r>
        <w:t xml:space="preserve"> </w:t>
      </w:r>
      <w:r>
        <w:t xml:space="preserve">by</w:t>
      </w:r>
      <w:r>
        <w:t xml:space="preserve"> </w:t>
      </w:r>
      <w:r>
        <w:rPr>
          <w:iCs/>
          <w:i/>
        </w:rPr>
        <w:t xml:space="preserve">dṛsanijanicari…</w:t>
      </w:r>
      <w:r>
        <w:t xml:space="preserve"> </w:t>
      </w:r>
      <w:r>
        <w:t xml:space="preserve">(Uṇ. 1-3),</w:t>
      </w:r>
      <w:r>
        <w:t xml:space="preserve"> </w:t>
      </w:r>
      <w:r>
        <w:rPr>
          <w:iCs/>
          <w:i/>
        </w:rPr>
        <w:t xml:space="preserve">vṛddhi</w:t>
      </w:r>
      <w:r>
        <w:t xml:space="preserve"> </w:t>
      </w:r>
      <w:r>
        <w:t xml:space="preserve">by</w:t>
      </w:r>
      <w:r>
        <w:t xml:space="preserve"> </w:t>
      </w:r>
      <w:r>
        <w:rPr>
          <w:iCs/>
          <w:i/>
        </w:rPr>
        <w:t xml:space="preserve">ata upadhāyāḥ</w:t>
      </w:r>
      <w:r>
        <w:t xml:space="preserve">, initial udātta as</w:t>
      </w:r>
      <w:r>
        <w:t xml:space="preserve"> </w:t>
      </w:r>
      <w:r>
        <w:rPr>
          <w:iCs/>
          <w:i/>
        </w:rPr>
        <w:t xml:space="preserve">ñit</w:t>
      </w:r>
      <w:r>
        <w:t xml:space="preserve">;</w:t>
      </w:r>
      <w:r>
        <w:t xml:space="preserve"> </w:t>
      </w:r>
      <w:r>
        <w:rPr>
          <w:iCs/>
          <w:i/>
        </w:rPr>
        <w:t xml:space="preserve">gopīthāya</w:t>
      </w:r>
      <w:r>
        <w:t xml:space="preserve">, given ready-made as a</w:t>
      </w:r>
      <w:r>
        <w:t xml:space="preserve"> </w:t>
      </w:r>
      <w:r>
        <w:rPr>
          <w:iCs/>
          <w:i/>
        </w:rPr>
        <w:t xml:space="preserve">thak</w:t>
      </w:r>
      <w:r>
        <w:t xml:space="preserve">-final by</w:t>
      </w:r>
      <w:r>
        <w:t xml:space="preserve"> </w:t>
      </w:r>
      <w:r>
        <w:rPr>
          <w:iCs/>
          <w:i/>
        </w:rPr>
        <w:t xml:space="preserve">niśīthagopīthāvagathāḥ</w:t>
      </w:r>
      <w:r>
        <w:t xml:space="preserve"> </w:t>
      </w:r>
      <w:r>
        <w:t xml:space="preserve">(Uṇ. 2-9);</w:t>
      </w:r>
      <w:r>
        <w:t xml:space="preserve"> </w:t>
      </w:r>
      <w:r>
        <w:rPr>
          <w:iCs/>
          <w:i/>
        </w:rPr>
        <w:t xml:space="preserve">pra</w:t>
      </w:r>
      <w:r>
        <w:t xml:space="preserve">, the particle accent.)</w:t>
      </w:r>
    </w:p>
    <w:p>
      <w:pPr>
        <w:pStyle w:val="BodyText"/>
      </w:pPr>
      <w:r>
        <w:rPr>
          <w:bCs/>
          <w:b/>
        </w:rPr>
        <w:t xml:space="preserve">॥ Prati-padārthaḥ ॥</w:t>
      </w:r>
    </w:p>
    <w:p>
      <w:pPr>
        <w:pStyle w:val="BodyText"/>
      </w:pPr>
      <w:r>
        <w:rPr>
          <w:bCs/>
          <w:b/>
        </w:rPr>
        <w:t xml:space="preserve">(हे) अग्ने ((he) agne)</w:t>
      </w:r>
      <w:r>
        <w:t xml:space="preserve"> </w:t>
      </w:r>
      <w:r>
        <w:t xml:space="preserve">— O Agni |</w:t>
      </w:r>
      <w:r>
        <w:t xml:space="preserve"> </w:t>
      </w:r>
      <w:r>
        <w:rPr>
          <w:bCs/>
          <w:b/>
        </w:rPr>
        <w:t xml:space="preserve">चारुम् (cārum)</w:t>
      </w:r>
      <w:r>
        <w:t xml:space="preserve"> </w:t>
      </w:r>
      <w:r>
        <w:t xml:space="preserve">— free from the faults of deficiency and excess, lovely, or complete (whatever sacrifice there is) |</w:t>
      </w:r>
      <w:r>
        <w:t xml:space="preserve"> </w:t>
      </w:r>
      <w:r>
        <w:rPr>
          <w:bCs/>
          <w:b/>
        </w:rPr>
        <w:t xml:space="preserve">त्यम् (tyam)</w:t>
      </w:r>
      <w:r>
        <w:t xml:space="preserve"> </w:t>
      </w:r>
      <w:r>
        <w:t xml:space="preserve">— that |</w:t>
      </w:r>
      <w:r>
        <w:t xml:space="preserve"> </w:t>
      </w:r>
      <w:r>
        <w:rPr>
          <w:bCs/>
          <w:b/>
        </w:rPr>
        <w:t xml:space="preserve">अध्वरं प्रति (adhvaraṃ prati)</w:t>
      </w:r>
      <w:r>
        <w:t xml:space="preserve"> </w:t>
      </w:r>
      <w:r>
        <w:t xml:space="preserve">— to that sacrifice |</w:t>
      </w:r>
      <w:r>
        <w:t xml:space="preserve"> </w:t>
      </w:r>
      <w:r>
        <w:rPr>
          <w:bCs/>
          <w:b/>
        </w:rPr>
        <w:t xml:space="preserve">गोपीथाय (gopīthāya)</w:t>
      </w:r>
      <w:r>
        <w:t xml:space="preserve"> </w:t>
      </w:r>
      <w:r>
        <w:t xml:space="preserve">— for drinking soma |</w:t>
      </w:r>
      <w:r>
        <w:t xml:space="preserve"> </w:t>
      </w:r>
      <w:r>
        <w:rPr>
          <w:bCs/>
          <w:b/>
        </w:rPr>
        <w:t xml:space="preserve">प्र हूयसे (pra hūyase)</w:t>
      </w:r>
      <w:r>
        <w:t xml:space="preserve"> </w:t>
      </w:r>
      <w:r>
        <w:t xml:space="preserve">— you are invited | (therefore you) |</w:t>
      </w:r>
      <w:r>
        <w:t xml:space="preserve"> </w:t>
      </w:r>
      <w:r>
        <w:rPr>
          <w:bCs/>
          <w:b/>
        </w:rPr>
        <w:t xml:space="preserve">मरुद्भिः (marudbhiḥ)</w:t>
      </w:r>
      <w:r>
        <w:t xml:space="preserve"> </w:t>
      </w:r>
      <w:r>
        <w:t xml:space="preserve">— together with the deities called Maruts |</w:t>
      </w:r>
      <w:r>
        <w:t xml:space="preserve"> </w:t>
      </w:r>
      <w:r>
        <w:rPr>
          <w:bCs/>
          <w:b/>
        </w:rPr>
        <w:t xml:space="preserve">आ गहि (ā gahi)</w:t>
      </w:r>
      <w:r>
        <w:t xml:space="preserve"> </w:t>
      </w:r>
      <w:r>
        <w:t xml:space="preserve">— come.</w:t>
      </w:r>
    </w:p>
    <w:p>
      <w:pPr>
        <w:pStyle w:val="BodyText"/>
      </w:pPr>
      <w:r>
        <w:rPr>
          <w:bCs/>
          <w:b/>
        </w:rPr>
        <w:t xml:space="preserve">॥ Bhāvārthaḥ ॥</w:t>
      </w:r>
    </w:p>
    <w:p>
      <w:pPr>
        <w:pStyle w:val="BodyText"/>
      </w:pPr>
      <w:r>
        <w:t xml:space="preserve">O Agni, you are invited for the drinking of soma in every excellent sacrifice performed without the faults of deficiency, excess or omission. So come here now together with the Marut deities.</w:t>
      </w:r>
    </w:p>
    <w:p>
      <w:pPr>
        <w:pStyle w:val="BodyText"/>
      </w:pPr>
      <w:r>
        <w:rPr>
          <w:bCs/>
          <w:b/>
        </w:rPr>
        <w:t xml:space="preserve">॥ English Translation ॥</w:t>
      </w:r>
      <w:r>
        <w:t xml:space="preserve"> </w:t>
      </w:r>
      <w:r>
        <w:rPr>
          <w:iCs/>
          <w:i/>
        </w:rPr>
        <w:t xml:space="preserve">(as printed in the source)</w:t>
      </w:r>
    </w:p>
    <w:p>
      <w:pPr>
        <w:pStyle w:val="BlockText"/>
      </w:pPr>
      <w:r>
        <w:t xml:space="preserve">O Agni, to every perfect and handsome sacrifice you are invoked to drink Soma ; come hither, Agni, with the Maruths [sic].</w:t>
      </w:r>
    </w:p>
    <w:bookmarkEnd w:id="869"/>
    <w:bookmarkStart w:id="870" w:name="Xcbeb5298b21034e29a16397e3b8d82d41674d7f"/>
    <w:p>
      <w:pPr>
        <w:pStyle w:val="Heading3"/>
      </w:pPr>
      <w:r>
        <w:t xml:space="preserve">Page 785 — Rik 1: Special Topics and grammar</w:t>
      </w:r>
    </w:p>
    <w:p>
      <w:pPr>
        <w:pStyle w:val="FirstParagraph"/>
      </w:pPr>
      <w:r>
        <w:rPr>
          <w:bCs/>
          <w:b/>
        </w:rPr>
        <w:t xml:space="preserve">॥ Viśeṣa-viṣayagaḷu (Special Topics) ॥</w:t>
      </w:r>
    </w:p>
    <w:p>
      <w:pPr>
        <w:pStyle w:val="BodyText"/>
      </w:pPr>
      <w:r>
        <w:t xml:space="preserve">Yāska has explained the sense of this ṛk in the Nirukta. That explanation is just as the commentator gives it; there is no difference.</w:t>
      </w:r>
    </w:p>
    <w:p>
      <w:pPr>
        <w:pStyle w:val="BodyText"/>
      </w:pPr>
      <w:r>
        <w:rPr>
          <w:bCs/>
          <w:b/>
        </w:rPr>
        <w:t xml:space="preserve">Tyam = tam</w:t>
      </w:r>
      <w:r>
        <w:t xml:space="preserve">: this is a pronoun. By exchange</w:t>
      </w:r>
      <w:r>
        <w:t xml:space="preserve"> </w:t>
      </w:r>
      <w:r>
        <w:rPr>
          <w:iCs/>
          <w:i/>
        </w:rPr>
        <w:t xml:space="preserve">tyam</w:t>
      </w:r>
      <w:r>
        <w:t xml:space="preserve"> </w:t>
      </w:r>
      <w:r>
        <w:t xml:space="preserve">stands in place of</w:t>
      </w:r>
      <w:r>
        <w:t xml:space="preserve"> </w:t>
      </w:r>
      <w:r>
        <w:rPr>
          <w:iCs/>
          <w:i/>
        </w:rPr>
        <w:t xml:space="preserve">tam</w:t>
      </w:r>
      <w:r>
        <w:t xml:space="preserve">. We give a few ṛks in which the word</w:t>
      </w:r>
      <w:r>
        <w:t xml:space="preserve"> </w:t>
      </w:r>
      <w:r>
        <w:rPr>
          <w:iCs/>
          <w:i/>
        </w:rPr>
        <w:t xml:space="preserve">tyam</w:t>
      </w:r>
      <w:r>
        <w:t xml:space="preserve"> </w:t>
      </w:r>
      <w:r>
        <w:t xml:space="preserve">has the sense</w:t>
      </w:r>
      <w:r>
        <w:t xml:space="preserve"> </w:t>
      </w:r>
      <w:r>
        <w:rPr>
          <w:iCs/>
          <w:i/>
        </w:rPr>
        <w:t xml:space="preserve">tam</w:t>
      </w:r>
      <w:r>
        <w:t xml:space="preserve">, as examples:</w:t>
      </w:r>
    </w:p>
    <w:p>
      <w:pPr>
        <w:pStyle w:val="BlockText"/>
      </w:pPr>
      <w:r>
        <w:t xml:space="preserve">त्यं चिदत्रिमृतजुरमर्थमश्वं न यातवे । (ऋ. सं. १०-१४३-१)</w:t>
      </w:r>
    </w:p>
    <w:p>
      <w:pPr>
        <w:pStyle w:val="BlockText"/>
      </w:pPr>
      <w:r>
        <w:rPr>
          <w:iCs/>
          <w:i/>
        </w:rPr>
        <w:t xml:space="preserve">tyaṃ cidatrimṛtajuramarthamaśvaṃ na yātave | (ṛ. saṃ. 10-143-1)</w:t>
      </w:r>
    </w:p>
    <w:p>
      <w:pPr>
        <w:pStyle w:val="FirstParagraph"/>
      </w:pPr>
      <w:r>
        <w:t xml:space="preserve">(</w:t>
      </w:r>
      <w:r>
        <w:t xml:space="preserve">“</w:t>
      </w:r>
      <w:r>
        <w:t xml:space="preserve">That Atri, worn out by age, like a horse, to go to his goal …</w:t>
      </w:r>
      <w:r>
        <w:t xml:space="preserve">”</w:t>
      </w:r>
      <w:r>
        <w:t xml:space="preserve">: mine and tentative.)</w:t>
      </w:r>
    </w:p>
    <w:p>
      <w:pPr>
        <w:pStyle w:val="BlockText"/>
      </w:pPr>
      <w:r>
        <w:t xml:space="preserve">त्यं सुमेषं महया स्वर्विदं शतं यस्य सुभ्वः साकमीरते । (ऋ. सं. १-५२-१)</w:t>
      </w:r>
    </w:p>
    <w:p>
      <w:pPr>
        <w:pStyle w:val="BlockText"/>
      </w:pPr>
      <w:r>
        <w:rPr>
          <w:iCs/>
          <w:i/>
        </w:rPr>
        <w:t xml:space="preserve">tyaṃ sumeṣaṃ mahayā svarvidaṃ śataṃ yasya subhvaḥ sākamīrate | (ṛ. saṃ. 1-52-1)</w:t>
      </w:r>
    </w:p>
    <w:p>
      <w:pPr>
        <w:pStyle w:val="FirstParagraph"/>
      </w:pPr>
      <w:r>
        <w:t xml:space="preserve">(</w:t>
      </w:r>
      <w:r>
        <w:t xml:space="preserve">“</w:t>
      </w:r>
      <w:r>
        <w:t xml:space="preserve">Magnify that ram, the finder of light, whose hundred good helpers go forth together</w:t>
      </w:r>
      <w:r>
        <w:t xml:space="preserve">”</w:t>
      </w:r>
      <w:r>
        <w:t xml:space="preserve">: mine and tentative.)</w:t>
      </w:r>
    </w:p>
    <w:p>
      <w:pPr>
        <w:pStyle w:val="BlockText"/>
      </w:pPr>
      <w:r>
        <w:t xml:space="preserve">त्यमूषु वाजिनं देवजूतं सहावानं तरुतारं रथानाम् । (ऋ. सं. १०-१७८-१)</w:t>
      </w:r>
    </w:p>
    <w:p>
      <w:pPr>
        <w:pStyle w:val="BlockText"/>
      </w:pPr>
      <w:r>
        <w:rPr>
          <w:iCs/>
          <w:i/>
        </w:rPr>
        <w:t xml:space="preserve">tyamūṣu vājinaṃ devajūtaṃ sahāvānaṃ tarutāraṃ rathānām | (ṛ. saṃ. 10-178-1)</w:t>
      </w:r>
    </w:p>
    <w:p>
      <w:pPr>
        <w:pStyle w:val="FirstParagraph"/>
      </w:pPr>
      <w:r>
        <w:t xml:space="preserve">(</w:t>
      </w:r>
      <w:r>
        <w:t xml:space="preserve">“</w:t>
      </w:r>
      <w:r>
        <w:t xml:space="preserve">That prize-winner, sped by the gods, mighty, the victor of chariots</w:t>
      </w:r>
      <w:r>
        <w:t xml:space="preserve">”</w:t>
      </w:r>
      <w:r>
        <w:t xml:space="preserve">: mine and tentative.)</w:t>
      </w:r>
    </w:p>
    <w:p>
      <w:pPr>
        <w:pStyle w:val="BlockText"/>
      </w:pPr>
      <w:r>
        <w:t xml:space="preserve">उदु त्यं जातवेदसं देवं वहन्ति केतवः ॥ (ऋ. सं. १-५०-१)</w:t>
      </w:r>
    </w:p>
    <w:p>
      <w:pPr>
        <w:pStyle w:val="BlockText"/>
      </w:pPr>
      <w:r>
        <w:rPr>
          <w:iCs/>
          <w:i/>
        </w:rPr>
        <w:t xml:space="preserve">udu tyaṃ jātavedasaṃ devaṃ vahanti ketavaḥ || (ṛ. saṃ. 1-50-1)</w:t>
      </w:r>
    </w:p>
    <w:p>
      <w:pPr>
        <w:pStyle w:val="FirstParagraph"/>
      </w:pPr>
      <w:r>
        <w:t xml:space="preserve">(</w:t>
      </w:r>
      <w:r>
        <w:t xml:space="preserve">“</w:t>
      </w:r>
      <w:r>
        <w:t xml:space="preserve">The rays carry up that god Jātavedas</w:t>
      </w:r>
      <w:r>
        <w:t xml:space="preserve">”</w:t>
      </w:r>
      <w:r>
        <w:t xml:space="preserve">: mine and tentative.)</w:t>
      </w:r>
    </w:p>
    <w:p>
      <w:pPr>
        <w:pStyle w:val="BodyText"/>
      </w:pPr>
      <w:r>
        <w:t xml:space="preserve">and so on. In these ṛks the word</w:t>
      </w:r>
      <w:r>
        <w:t xml:space="preserve"> </w:t>
      </w:r>
      <w:r>
        <w:rPr>
          <w:iCs/>
          <w:i/>
        </w:rPr>
        <w:t xml:space="preserve">tyam</w:t>
      </w:r>
      <w:r>
        <w:t xml:space="preserve"> </w:t>
      </w:r>
      <w:r>
        <w:t xml:space="preserve">means</w:t>
      </w:r>
      <w:r>
        <w:t xml:space="preserve"> </w:t>
      </w:r>
      <w:r>
        <w:rPr>
          <w:iCs/>
          <w:i/>
        </w:rPr>
        <w:t xml:space="preserve">tam</w:t>
      </w:r>
      <w:r>
        <w:t xml:space="preserve">.</w:t>
      </w:r>
    </w:p>
    <w:p>
      <w:pPr>
        <w:pStyle w:val="BodyText"/>
      </w:pPr>
      <w:r>
        <w:rPr>
          <w:bCs/>
          <w:b/>
        </w:rPr>
        <w:t xml:space="preserve">Gopīthāya</w:t>
      </w:r>
      <w:r>
        <w:t xml:space="preserve">: though the word</w:t>
      </w:r>
      <w:r>
        <w:t xml:space="preserve"> </w:t>
      </w:r>
      <w:r>
        <w:rPr>
          <w:iCs/>
          <w:i/>
        </w:rPr>
        <w:t xml:space="preserve">go</w:t>
      </w:r>
      <w:r>
        <w:t xml:space="preserve"> </w:t>
      </w:r>
      <w:r>
        <w:t xml:space="preserve">has many senses, cow, water, ray, hymn, soma, speech and so on, here the commentator has taken it as soma. The author of the Vedārthayatna and some others take the word</w:t>
      </w:r>
      <w:r>
        <w:t xml:space="preserve"> </w:t>
      </w:r>
      <w:r>
        <w:rPr>
          <w:iCs/>
          <w:i/>
        </w:rPr>
        <w:t xml:space="preserve">go</w:t>
      </w:r>
      <w:r>
        <w:t xml:space="preserve"> </w:t>
      </w:r>
      <w:r>
        <w:t xml:space="preserve">as milk or ghee. This is not very fitting; the sense soma given by the commentator is right.</w:t>
      </w:r>
    </w:p>
    <w:p>
      <w:pPr>
        <w:pStyle w:val="BodyText"/>
      </w:pPr>
      <w:r>
        <w:t xml:space="preserve">The last</w:t>
      </w:r>
      <w:r>
        <w:t xml:space="preserve"> </w:t>
      </w:r>
      <w:r>
        <w:rPr>
          <w:iCs/>
          <w:i/>
        </w:rPr>
        <w:t xml:space="preserve">pāda</w:t>
      </w:r>
      <w:r>
        <w:t xml:space="preserve"> </w:t>
      </w:r>
      <w:r>
        <w:t xml:space="preserve">of every ṛk of this sūkta,</w:t>
      </w:r>
      <w:r>
        <w:t xml:space="preserve"> </w:t>
      </w:r>
      <w:r>
        <w:rPr>
          <w:iCs/>
          <w:i/>
        </w:rPr>
        <w:t xml:space="preserve">marudbhir agna ā gahi</w:t>
      </w:r>
      <w:r>
        <w:t xml:space="preserve">, is read again and again like a refrain.</w:t>
      </w:r>
    </w:p>
    <w:p>
      <w:pPr>
        <w:pStyle w:val="BodyText"/>
      </w:pPr>
      <w:r>
        <w:rPr>
          <w:bCs/>
          <w:b/>
        </w:rPr>
        <w:t xml:space="preserve">॥ Vyākaraṇa-prakriyā ॥</w:t>
      </w:r>
      <w:r>
        <w:t xml:space="preserve"> </w:t>
      </w:r>
      <w:r>
        <w:rPr>
          <w:iCs/>
          <w:i/>
        </w:rPr>
        <w:t xml:space="preserve">(grammar pages 785–786, noted briefly)</w:t>
      </w:r>
    </w:p>
    <w:p>
      <w:pPr>
        <w:pStyle w:val="BodyText"/>
      </w:pPr>
      <w:r>
        <w:rPr>
          <w:bCs/>
          <w:b/>
        </w:rPr>
        <w:t xml:space="preserve">प्रति (</w:t>
      </w:r>
      <w:r>
        <w:rPr>
          <w:iCs/>
          <w:i/>
          <w:bCs/>
          <w:b/>
        </w:rPr>
        <w:t xml:space="preserve">prati</w:t>
      </w:r>
      <w:r>
        <w:rPr>
          <w:bCs/>
          <w:b/>
        </w:rPr>
        <w:t xml:space="preserve">)</w:t>
      </w:r>
      <w:r>
        <w:t xml:space="preserve">: a particle; initial udātta by</w:t>
      </w:r>
      <w:r>
        <w:t xml:space="preserve"> </w:t>
      </w:r>
      <w:r>
        <w:t xml:space="preserve">“</w:t>
      </w:r>
      <w:r>
        <w:t xml:space="preserve">nipātā ādyudāttāḥ</w:t>
      </w:r>
      <w:r>
        <w:t xml:space="preserve">”</w:t>
      </w:r>
      <w:r>
        <w:t xml:space="preserve">, particles are initial udātta.</w:t>
      </w:r>
    </w:p>
    <w:p>
      <w:pPr>
        <w:pStyle w:val="BodyText"/>
      </w:pPr>
      <w:r>
        <w:rPr>
          <w:bCs/>
          <w:b/>
        </w:rPr>
        <w:t xml:space="preserve">त्यम् (</w:t>
      </w:r>
      <w:r>
        <w:rPr>
          <w:iCs/>
          <w:i/>
          <w:bCs/>
          <w:b/>
        </w:rPr>
        <w:t xml:space="preserve">tyam</w:t>
      </w:r>
      <w:r>
        <w:rPr>
          <w:bCs/>
          <w:b/>
        </w:rPr>
        <w:t xml:space="preserve">)</w:t>
      </w:r>
      <w:r>
        <w:t xml:space="preserve">:</w:t>
      </w:r>
      <w:r>
        <w:t xml:space="preserve"> </w:t>
      </w:r>
      <w:r>
        <w:rPr>
          <w:iCs/>
          <w:i/>
        </w:rPr>
        <w:t xml:space="preserve">tyad</w:t>
      </w:r>
      <w:r>
        <w:t xml:space="preserve"> </w:t>
      </w:r>
      <w:r>
        <w:t xml:space="preserve">is in the</w:t>
      </w:r>
      <w:r>
        <w:t xml:space="preserve"> </w:t>
      </w:r>
      <w:r>
        <w:rPr>
          <w:iCs/>
          <w:i/>
        </w:rPr>
        <w:t xml:space="preserve">tyad-ādi</w:t>
      </w:r>
      <w:r>
        <w:t xml:space="preserve">, within the</w:t>
      </w:r>
      <w:r>
        <w:t xml:space="preserve"> </w:t>
      </w:r>
      <w:r>
        <w:rPr>
          <w:iCs/>
          <w:i/>
        </w:rPr>
        <w:t xml:space="preserve">sarva-ādi</w:t>
      </w:r>
      <w:r>
        <w:t xml:space="preserve"> </w:t>
      </w:r>
      <w:r>
        <w:t xml:space="preserve">group. By</w:t>
      </w:r>
      <w:r>
        <w:t xml:space="preserve"> </w:t>
      </w:r>
      <w:r>
        <w:t xml:space="preserve">“</w:t>
      </w:r>
      <w:r>
        <w:t xml:space="preserve">phiṣo ’nta udāttaḥ</w:t>
      </w:r>
      <w:r>
        <w:t xml:space="preserve">”</w:t>
      </w:r>
      <w:r>
        <w:t xml:space="preserve"> </w:t>
      </w:r>
      <w:r>
        <w:t xml:space="preserve">(Phi. sū. 1-1) it is final udātta. After it the accusative singular</w:t>
      </w:r>
      <w:r>
        <w:t xml:space="preserve"> </w:t>
      </w:r>
      <w:r>
        <w:rPr>
          <w:iCs/>
          <w:i/>
        </w:rPr>
        <w:t xml:space="preserve">am</w:t>
      </w:r>
      <w:r>
        <w:t xml:space="preserve">:</w:t>
      </w:r>
      <w:r>
        <w:t xml:space="preserve"> </w:t>
      </w:r>
      <w:r>
        <w:rPr>
          <w:iCs/>
          <w:i/>
        </w:rPr>
        <w:t xml:space="preserve">tyad</w:t>
      </w:r>
      <w:r>
        <w:t xml:space="preserve"> </w:t>
      </w:r>
      <w:r>
        <w:t xml:space="preserve">+</w:t>
      </w:r>
      <w:r>
        <w:t xml:space="preserve"> </w:t>
      </w:r>
      <w:r>
        <w:rPr>
          <w:iCs/>
          <w:i/>
        </w:rPr>
        <w:t xml:space="preserve">am</w:t>
      </w:r>
      <w:r>
        <w:t xml:space="preserve">. By</w:t>
      </w:r>
      <w:r>
        <w:t xml:space="preserve"> </w:t>
      </w:r>
      <w:r>
        <w:t xml:space="preserve">“</w:t>
      </w:r>
      <w:r>
        <w:t xml:space="preserve">tyadādīnām aḥ</w:t>
      </w:r>
      <w:r>
        <w:t xml:space="preserve">”</w:t>
      </w:r>
      <w:r>
        <w:t xml:space="preserve"> </w:t>
      </w:r>
      <w:r>
        <w:t xml:space="preserve">(Pā. sū. 7-2-102), when a case-ending follows, the last letter of the words read in the</w:t>
      </w:r>
      <w:r>
        <w:t xml:space="preserve"> </w:t>
      </w:r>
      <w:r>
        <w:rPr>
          <w:iCs/>
          <w:i/>
        </w:rPr>
        <w:t xml:space="preserve">tyad-ādi</w:t>
      </w:r>
      <w:r>
        <w:t xml:space="preserve"> </w:t>
      </w:r>
      <w:r>
        <w:t xml:space="preserve">group takes</w:t>
      </w:r>
      <w:r>
        <w:t xml:space="preserve"> </w:t>
      </w:r>
      <w:r>
        <w:rPr>
          <w:iCs/>
          <w:i/>
        </w:rPr>
        <w:t xml:space="preserve">a</w:t>
      </w:r>
      <w:r>
        <w:t xml:space="preserve">:</w:t>
      </w:r>
      <w:r>
        <w:t xml:space="preserve"> </w:t>
      </w:r>
      <w:r>
        <w:rPr>
          <w:iCs/>
          <w:i/>
        </w:rPr>
        <w:t xml:space="preserve">a</w:t>
      </w:r>
      <w:r>
        <w:t xml:space="preserve"> </w:t>
      </w:r>
      <w:r>
        <w:t xml:space="preserve">for the</w:t>
      </w:r>
      <w:r>
        <w:t xml:space="preserve"> </w:t>
      </w:r>
      <w:r>
        <w:rPr>
          <w:iCs/>
          <w:i/>
        </w:rPr>
        <w:t xml:space="preserve">d</w:t>
      </w:r>
      <w:r>
        <w:t xml:space="preserve">:</w:t>
      </w:r>
      <w:r>
        <w:t xml:space="preserve"> </w:t>
      </w:r>
      <w:r>
        <w:rPr>
          <w:iCs/>
          <w:i/>
        </w:rPr>
        <w:t xml:space="preserve">tya</w:t>
      </w:r>
      <w:r>
        <w:t xml:space="preserve"> </w:t>
      </w:r>
      <w:r>
        <w:t xml:space="preserve">+</w:t>
      </w:r>
      <w:r>
        <w:t xml:space="preserve"> </w:t>
      </w:r>
      <w:r>
        <w:rPr>
          <w:iCs/>
          <w:i/>
        </w:rPr>
        <w:t xml:space="preserve">a</w:t>
      </w:r>
      <w:r>
        <w:t xml:space="preserve"> </w:t>
      </w:r>
      <w:r>
        <w:t xml:space="preserve">+</w:t>
      </w:r>
      <w:r>
        <w:t xml:space="preserve"> </w:t>
      </w:r>
      <w:r>
        <w:rPr>
          <w:iCs/>
          <w:i/>
        </w:rPr>
        <w:t xml:space="preserve">am</w:t>
      </w:r>
      <w:r>
        <w:t xml:space="preserve">. By</w:t>
      </w:r>
      <w:r>
        <w:t xml:space="preserve"> </w:t>
      </w:r>
      <w:r>
        <w:t xml:space="preserve">“</w:t>
      </w:r>
      <w:r>
        <w:t xml:space="preserve">ato guṇe</w:t>
      </w:r>
      <w:r>
        <w:t xml:space="preserve">”</w:t>
      </w:r>
      <w:r>
        <w:t xml:space="preserve"> </w:t>
      </w:r>
      <w:r>
        <w:t xml:space="preserve">(Pā. sū. 6-1-97), after a short</w:t>
      </w:r>
      <w:r>
        <w:t xml:space="preserve"> </w:t>
      </w:r>
      <w:r>
        <w:rPr>
          <w:iCs/>
          <w:i/>
        </w:rPr>
        <w:t xml:space="preserve">a</w:t>
      </w:r>
      <w:r>
        <w:t xml:space="preserve"> </w:t>
      </w:r>
      <w:r>
        <w:t xml:space="preserve">not at the end of a word, when</w:t>
      </w:r>
      <w:r>
        <w:t xml:space="preserve"> </w:t>
      </w:r>
      <w:r>
        <w:rPr>
          <w:iCs/>
          <w:i/>
        </w:rPr>
        <w:t xml:space="preserve">a</w:t>
      </w:r>
      <w:r>
        <w:t xml:space="preserve">,</w:t>
      </w:r>
      <w:r>
        <w:t xml:space="preserve"> </w:t>
      </w:r>
      <w:r>
        <w:rPr>
          <w:iCs/>
          <w:i/>
        </w:rPr>
        <w:t xml:space="preserve">e</w:t>
      </w:r>
      <w:r>
        <w:t xml:space="preserve">,</w:t>
      </w:r>
      <w:r>
        <w:t xml:space="preserve"> </w:t>
      </w:r>
      <w:r>
        <w:rPr>
          <w:iCs/>
          <w:i/>
        </w:rPr>
        <w:t xml:space="preserve">o</w:t>
      </w:r>
      <w:r>
        <w:t xml:space="preserve">, called</w:t>
      </w:r>
      <w:r>
        <w:t xml:space="preserve"> </w:t>
      </w:r>
      <w:r>
        <w:rPr>
          <w:iCs/>
          <w:i/>
        </w:rPr>
        <w:t xml:space="preserve">guṇa</w:t>
      </w:r>
      <w:r>
        <w:t xml:space="preserve">, follow, the single</w:t>
      </w:r>
      <w:r>
        <w:t xml:space="preserve"> </w:t>
      </w:r>
      <w:r>
        <w:rPr>
          <w:iCs/>
          <w:i/>
        </w:rPr>
        <w:t xml:space="preserve">pararūpa</w:t>
      </w:r>
      <w:r>
        <w:t xml:space="preserve"> </w:t>
      </w:r>
      <w:r>
        <w:t xml:space="preserve">comes in place of both; so the</w:t>
      </w:r>
      <w:r>
        <w:t xml:space="preserve"> </w:t>
      </w:r>
      <w:r>
        <w:rPr>
          <w:iCs/>
          <w:i/>
        </w:rPr>
        <w:t xml:space="preserve">pararūpa</w:t>
      </w:r>
      <w:r>
        <w:t xml:space="preserve">. This</w:t>
      </w:r>
    </w:p>
    <w:bookmarkEnd w:id="870"/>
    <w:bookmarkStart w:id="871" w:name="page-786-upper-rik-1-grammar-end"/>
    <w:p>
      <w:pPr>
        <w:pStyle w:val="Heading3"/>
      </w:pPr>
      <w:r>
        <w:t xml:space="preserve">Page 786 (upper) — Rik 1: grammar (end)</w:t>
      </w:r>
    </w:p>
    <w:p>
      <w:pPr>
        <w:pStyle w:val="FirstParagraph"/>
      </w:pPr>
      <w:r>
        <w:t xml:space="preserve">is udātta by</w:t>
      </w:r>
      <w:r>
        <w:t xml:space="preserve"> </w:t>
      </w:r>
      <w:r>
        <w:rPr>
          <w:iCs/>
          <w:i/>
        </w:rPr>
        <w:t xml:space="preserve">ekādeśa udāttenodāttaḥ</w:t>
      </w:r>
      <w:r>
        <w:t xml:space="preserve">.</w:t>
      </w:r>
      <w:r>
        <w:t xml:space="preserve"> </w:t>
      </w:r>
      <w:r>
        <w:rPr>
          <w:iCs/>
          <w:i/>
        </w:rPr>
        <w:t xml:space="preserve">Tya</w:t>
      </w:r>
      <w:r>
        <w:t xml:space="preserve"> </w:t>
      </w:r>
      <w:r>
        <w:t xml:space="preserve">+</w:t>
      </w:r>
      <w:r>
        <w:t xml:space="preserve"> </w:t>
      </w:r>
      <w:r>
        <w:rPr>
          <w:iCs/>
          <w:i/>
        </w:rPr>
        <w:t xml:space="preserve">am</w:t>
      </w:r>
      <w:r>
        <w:t xml:space="preserve">: by</w:t>
      </w:r>
      <w:r>
        <w:t xml:space="preserve"> </w:t>
      </w:r>
      <w:r>
        <w:t xml:space="preserve">“</w:t>
      </w:r>
      <w:r>
        <w:t xml:space="preserve">ami pūrvaḥ</w:t>
      </w:r>
      <w:r>
        <w:t xml:space="preserve">”</w:t>
      </w:r>
      <w:r>
        <w:t xml:space="preserve"> </w:t>
      </w:r>
      <w:r>
        <w:t xml:space="preserve">(Pā. sū. 6-1-107) the</w:t>
      </w:r>
      <w:r>
        <w:t xml:space="preserve"> </w:t>
      </w:r>
      <w:r>
        <w:rPr>
          <w:iCs/>
          <w:i/>
        </w:rPr>
        <w:t xml:space="preserve">pūrvarūpa</w:t>
      </w:r>
      <w:r>
        <w:t xml:space="preserve">; the</w:t>
      </w:r>
      <w:r>
        <w:t xml:space="preserve"> </w:t>
      </w:r>
      <w:r>
        <w:rPr>
          <w:iCs/>
          <w:i/>
        </w:rPr>
        <w:t xml:space="preserve">a</w:t>
      </w:r>
      <w:r>
        <w:t xml:space="preserve"> </w:t>
      </w:r>
      <w:r>
        <w:t xml:space="preserve">from this</w:t>
      </w:r>
      <w:r>
        <w:t xml:space="preserve"> </w:t>
      </w:r>
      <w:r>
        <w:rPr>
          <w:iCs/>
          <w:i/>
        </w:rPr>
        <w:t xml:space="preserve">pūrvarūpa</w:t>
      </w:r>
      <w:r>
        <w:t xml:space="preserve"> </w:t>
      </w:r>
      <w:r>
        <w:t xml:space="preserve">too is udātta by</w:t>
      </w:r>
      <w:r>
        <w:t xml:space="preserve"> </w:t>
      </w:r>
      <w:r>
        <w:rPr>
          <w:iCs/>
          <w:i/>
        </w:rPr>
        <w:t xml:space="preserve">ekādeśa…</w:t>
      </w:r>
      <w:r>
        <w:t xml:space="preserve">.</w:t>
      </w:r>
    </w:p>
    <w:p>
      <w:pPr>
        <w:pStyle w:val="BodyText"/>
      </w:pPr>
      <w:r>
        <w:rPr>
          <w:bCs/>
          <w:b/>
        </w:rPr>
        <w:t xml:space="preserve">चारुम् (</w:t>
      </w:r>
      <w:r>
        <w:rPr>
          <w:iCs/>
          <w:i/>
          <w:bCs/>
          <w:b/>
        </w:rPr>
        <w:t xml:space="preserve">cārum</w:t>
      </w:r>
      <w:r>
        <w:rPr>
          <w:bCs/>
          <w:b/>
        </w:rPr>
        <w:t xml:space="preserve">)</w:t>
      </w:r>
      <w:r>
        <w:t xml:space="preserve">:</w:t>
      </w:r>
      <w:r>
        <w:t xml:space="preserve"> </w:t>
      </w:r>
      <w:r>
        <w:t xml:space="preserve">“</w:t>
      </w:r>
      <w:r>
        <w:t xml:space="preserve">dṛsanijanicaraticaṭibhyo ñuṇ</w:t>
      </w:r>
      <w:r>
        <w:t xml:space="preserve">”</w:t>
      </w:r>
      <w:r>
        <w:t xml:space="preserve"> </w:t>
      </w:r>
      <w:r>
        <w:t xml:space="preserve">(Uṇ. sū. 1-3): after</w:t>
      </w:r>
      <w:r>
        <w:t xml:space="preserve"> </w:t>
      </w:r>
      <w:r>
        <w:rPr>
          <w:iCs/>
          <w:i/>
        </w:rPr>
        <w:t xml:space="preserve">dṛ vidāraṇe</w:t>
      </w:r>
      <w:r>
        <w:t xml:space="preserve">,</w:t>
      </w:r>
      <w:r>
        <w:t xml:space="preserve"> </w:t>
      </w:r>
      <w:r>
        <w:rPr>
          <w:iCs/>
          <w:i/>
        </w:rPr>
        <w:t xml:space="preserve">ṣaṇu dāne</w:t>
      </w:r>
      <w:r>
        <w:t xml:space="preserve">,</w:t>
      </w:r>
      <w:r>
        <w:t xml:space="preserve"> </w:t>
      </w:r>
      <w:r>
        <w:rPr>
          <w:iCs/>
          <w:i/>
        </w:rPr>
        <w:t xml:space="preserve">jana janane</w:t>
      </w:r>
      <w:r>
        <w:t xml:space="preserve">,</w:t>
      </w:r>
      <w:r>
        <w:t xml:space="preserve"> </w:t>
      </w:r>
      <w:r>
        <w:rPr>
          <w:iCs/>
          <w:i/>
        </w:rPr>
        <w:t xml:space="preserve">cara gatau</w:t>
      </w:r>
      <w:r>
        <w:t xml:space="preserve"> </w:t>
      </w:r>
      <w:r>
        <w:t xml:space="preserve">and</w:t>
      </w:r>
      <w:r>
        <w:t xml:space="preserve"> </w:t>
      </w:r>
      <w:r>
        <w:rPr>
          <w:iCs/>
          <w:i/>
        </w:rPr>
        <w:t xml:space="preserve">caṭe bhedane</w:t>
      </w:r>
      <w:r>
        <w:t xml:space="preserve"> </w:t>
      </w:r>
      <w:r>
        <w:t xml:space="preserve">the suffix</w:t>
      </w:r>
      <w:r>
        <w:t xml:space="preserve"> </w:t>
      </w:r>
      <w:r>
        <w:rPr>
          <w:iCs/>
          <w:i/>
        </w:rPr>
        <w:t xml:space="preserve">ñuṇ</w:t>
      </w:r>
      <w:r>
        <w:t xml:space="preserve"> </w:t>
      </w:r>
      <w:r>
        <w:t xml:space="preserve">comes; so after the root</w:t>
      </w:r>
      <w:r>
        <w:t xml:space="preserve"> </w:t>
      </w:r>
      <w:r>
        <w:rPr>
          <w:iCs/>
          <w:i/>
        </w:rPr>
        <w:t xml:space="preserve">car</w:t>
      </w:r>
      <w:r>
        <w:t xml:space="preserve"> </w:t>
      </w:r>
      <w:r>
        <w:t xml:space="preserve">the suffix</w:t>
      </w:r>
      <w:r>
        <w:t xml:space="preserve"> </w:t>
      </w:r>
      <w:r>
        <w:rPr>
          <w:iCs/>
          <w:i/>
        </w:rPr>
        <w:t xml:space="preserve">ñuṇ</w:t>
      </w:r>
      <w:r>
        <w:t xml:space="preserve">;</w:t>
      </w:r>
      <w:r>
        <w:t xml:space="preserve"> </w:t>
      </w:r>
      <w:r>
        <w:rPr>
          <w:iCs/>
          <w:i/>
        </w:rPr>
        <w:t xml:space="preserve">ñ</w:t>
      </w:r>
      <w:r>
        <w:t xml:space="preserve"> </w:t>
      </w:r>
      <w:r>
        <w:t xml:space="preserve">and</w:t>
      </w:r>
      <w:r>
        <w:t xml:space="preserve"> </w:t>
      </w:r>
      <w:r>
        <w:rPr>
          <w:iCs/>
          <w:i/>
        </w:rPr>
        <w:t xml:space="preserve">ṇ</w:t>
      </w:r>
      <w:r>
        <w:t xml:space="preserve"> </w:t>
      </w:r>
      <w:r>
        <w:t xml:space="preserve">are called</w:t>
      </w:r>
      <w:r>
        <w:t xml:space="preserve"> </w:t>
      </w:r>
      <w:r>
        <w:rPr>
          <w:iCs/>
          <w:i/>
        </w:rPr>
        <w:t xml:space="preserve">it</w:t>
      </w:r>
      <w:r>
        <w:t xml:space="preserve"> </w:t>
      </w:r>
      <w:r>
        <w:t xml:space="preserve">and dropped;</w:t>
      </w:r>
      <w:r>
        <w:t xml:space="preserve"> </w:t>
      </w:r>
      <w:r>
        <w:rPr>
          <w:iCs/>
          <w:i/>
        </w:rPr>
        <w:t xml:space="preserve">u</w:t>
      </w:r>
      <w:r>
        <w:t xml:space="preserve"> </w:t>
      </w:r>
      <w:r>
        <w:t xml:space="preserve">remains:</w:t>
      </w:r>
      <w:r>
        <w:t xml:space="preserve"> </w:t>
      </w:r>
      <w:r>
        <w:rPr>
          <w:iCs/>
          <w:i/>
        </w:rPr>
        <w:t xml:space="preserve">car</w:t>
      </w:r>
      <w:r>
        <w:t xml:space="preserve"> </w:t>
      </w:r>
      <w:r>
        <w:t xml:space="preserve">+</w:t>
      </w:r>
      <w:r>
        <w:t xml:space="preserve"> </w:t>
      </w:r>
      <w:r>
        <w:rPr>
          <w:iCs/>
          <w:i/>
        </w:rPr>
        <w:t xml:space="preserve">u</w:t>
      </w:r>
      <w:r>
        <w:t xml:space="preserve">. By</w:t>
      </w:r>
      <w:r>
        <w:t xml:space="preserve"> </w:t>
      </w:r>
      <w:r>
        <w:t xml:space="preserve">“</w:t>
      </w:r>
      <w:r>
        <w:t xml:space="preserve">ata upadhāyāḥ</w:t>
      </w:r>
      <w:r>
        <w:t xml:space="preserve">”</w:t>
      </w:r>
      <w:r>
        <w:t xml:space="preserve"> </w:t>
      </w:r>
      <w:r>
        <w:t xml:space="preserve">(Pā. sū. 7-2-116), when a</w:t>
      </w:r>
      <w:r>
        <w:t xml:space="preserve"> </w:t>
      </w:r>
      <w:r>
        <w:rPr>
          <w:iCs/>
          <w:i/>
        </w:rPr>
        <w:t xml:space="preserve">ñit</w:t>
      </w:r>
      <w:r>
        <w:t xml:space="preserve"> </w:t>
      </w:r>
      <w:r>
        <w:t xml:space="preserve">or</w:t>
      </w:r>
      <w:r>
        <w:t xml:space="preserve"> </w:t>
      </w:r>
      <w:r>
        <w:rPr>
          <w:iCs/>
          <w:i/>
        </w:rPr>
        <w:t xml:space="preserve">ṇit</w:t>
      </w:r>
      <w:r>
        <w:t xml:space="preserve"> </w:t>
      </w:r>
      <w:r>
        <w:t xml:space="preserve">suffix follows, the short</w:t>
      </w:r>
      <w:r>
        <w:t xml:space="preserve"> </w:t>
      </w:r>
      <w:r>
        <w:rPr>
          <w:iCs/>
          <w:i/>
        </w:rPr>
        <w:t xml:space="preserve">a</w:t>
      </w:r>
      <w:r>
        <w:t xml:space="preserve"> </w:t>
      </w:r>
      <w:r>
        <w:t xml:space="preserve">in the penultimate takes</w:t>
      </w:r>
      <w:r>
        <w:t xml:space="preserve"> </w:t>
      </w:r>
      <w:r>
        <w:rPr>
          <w:iCs/>
          <w:i/>
        </w:rPr>
        <w:t xml:space="preserve">vṛddhi</w:t>
      </w:r>
      <w:r>
        <w:t xml:space="preserve">:</w:t>
      </w:r>
      <w:r>
        <w:t xml:space="preserve"> </w:t>
      </w:r>
      <w:r>
        <w:rPr>
          <w:iCs/>
          <w:i/>
        </w:rPr>
        <w:t xml:space="preserve">cāru</w:t>
      </w:r>
      <w:r>
        <w:t xml:space="preserve">. The suffix is</w:t>
      </w:r>
      <w:r>
        <w:t xml:space="preserve"> </w:t>
      </w:r>
      <w:r>
        <w:rPr>
          <w:iCs/>
          <w:i/>
        </w:rPr>
        <w:t xml:space="preserve">ñit</w:t>
      </w:r>
      <w:r>
        <w:t xml:space="preserve">, so it is initial udātta by</w:t>
      </w:r>
      <w:r>
        <w:t xml:space="preserve"> </w:t>
      </w:r>
      <w:r>
        <w:rPr>
          <w:iCs/>
          <w:i/>
        </w:rPr>
        <w:t xml:space="preserve">ñnityādir nityam</w:t>
      </w:r>
      <w:r>
        <w:t xml:space="preserve">; in the accusative singular,</w:t>
      </w:r>
      <w:r>
        <w:t xml:space="preserve"> </w:t>
      </w:r>
      <w:r>
        <w:rPr>
          <w:iCs/>
          <w:i/>
        </w:rPr>
        <w:t xml:space="preserve">cārum</w:t>
      </w:r>
      <w:r>
        <w:t xml:space="preserve">.</w:t>
      </w:r>
    </w:p>
    <w:p>
      <w:pPr>
        <w:pStyle w:val="BodyText"/>
      </w:pPr>
      <w:r>
        <w:rPr>
          <w:bCs/>
          <w:b/>
        </w:rPr>
        <w:t xml:space="preserve">गोपीथाय (</w:t>
      </w:r>
      <w:r>
        <w:rPr>
          <w:iCs/>
          <w:i/>
          <w:bCs/>
          <w:b/>
        </w:rPr>
        <w:t xml:space="preserve">gopīthāya</w:t>
      </w:r>
      <w:r>
        <w:rPr>
          <w:bCs/>
          <w:b/>
        </w:rPr>
        <w:t xml:space="preserve">)</w:t>
      </w:r>
      <w:r>
        <w:t xml:space="preserve">:</w:t>
      </w:r>
      <w:r>
        <w:t xml:space="preserve"> </w:t>
      </w:r>
      <w:r>
        <w:t xml:space="preserve">“</w:t>
      </w:r>
      <w:r>
        <w:t xml:space="preserve">niśīthagopīthāvagathāḥ</w:t>
      </w:r>
      <w:r>
        <w:t xml:space="preserve">”</w:t>
      </w:r>
      <w:r>
        <w:t xml:space="preserve"> </w:t>
      </w:r>
      <w:r>
        <w:t xml:space="preserve">(Uṇ. sū.</w:t>
      </w:r>
      <w:r>
        <w:t xml:space="preserve"> </w:t>
      </w:r>
      <w:r>
        <w:t xml:space="preserve">“</w:t>
      </w:r>
      <w:r>
        <w:t xml:space="preserve">2-166</w:t>
      </w:r>
      <w:r>
        <w:t xml:space="preserve">”</w:t>
      </w:r>
      <w:r>
        <w:t xml:space="preserve"> </w:t>
      </w:r>
      <w:r>
        <w:t xml:space="preserve">[?]; the bhāṣya gives 2-9): the three words</w:t>
      </w:r>
      <w:r>
        <w:t xml:space="preserve"> </w:t>
      </w:r>
      <w:r>
        <w:rPr>
          <w:iCs/>
          <w:i/>
        </w:rPr>
        <w:t xml:space="preserve">niśītha</w:t>
      </w:r>
      <w:r>
        <w:t xml:space="preserve">,</w:t>
      </w:r>
      <w:r>
        <w:t xml:space="preserve"> </w:t>
      </w:r>
      <w:r>
        <w:rPr>
          <w:iCs/>
          <w:i/>
        </w:rPr>
        <w:t xml:space="preserve">gopītha</w:t>
      </w:r>
      <w:r>
        <w:t xml:space="preserve"> </w:t>
      </w:r>
      <w:r>
        <w:t xml:space="preserve">and</w:t>
      </w:r>
      <w:r>
        <w:t xml:space="preserve"> </w:t>
      </w:r>
      <w:r>
        <w:rPr>
          <w:iCs/>
          <w:i/>
        </w:rPr>
        <w:t xml:space="preserve">avagatha</w:t>
      </w:r>
      <w:r>
        <w:t xml:space="preserve"> </w:t>
      </w:r>
      <w:r>
        <w:t xml:space="preserve">are given ready-made as ending in the suffix</w:t>
      </w:r>
      <w:r>
        <w:t xml:space="preserve"> </w:t>
      </w:r>
      <w:r>
        <w:rPr>
          <w:iCs/>
          <w:i/>
        </w:rPr>
        <w:t xml:space="preserve">thak</w:t>
      </w:r>
      <w:r>
        <w:t xml:space="preserve">; so it is given ready-made as a</w:t>
      </w:r>
      <w:r>
        <w:t xml:space="preserve"> </w:t>
      </w:r>
      <w:r>
        <w:rPr>
          <w:iCs/>
          <w:i/>
        </w:rPr>
        <w:t xml:space="preserve">thak</w:t>
      </w:r>
      <w:r>
        <w:t xml:space="preserve">-final. The Vṛttikāra explains</w:t>
      </w:r>
      <w:r>
        <w:t xml:space="preserve"> </w:t>
      </w:r>
      <w:r>
        <w:rPr>
          <w:iCs/>
          <w:i/>
        </w:rPr>
        <w:t xml:space="preserve">gopītha</w:t>
      </w:r>
      <w:r>
        <w:t xml:space="preserve"> </w:t>
      </w:r>
      <w:r>
        <w:t xml:space="preserve">as</w:t>
      </w:r>
      <w:r>
        <w:t xml:space="preserve"> </w:t>
      </w:r>
      <w:r>
        <w:rPr>
          <w:iCs/>
          <w:i/>
        </w:rPr>
        <w:t xml:space="preserve">tīrtha</w:t>
      </w:r>
      <w:r>
        <w:t xml:space="preserve">; the Vedabhāṣyakāra explains it as soma-drinking.</w:t>
      </w:r>
    </w:p>
    <w:p>
      <w:pPr>
        <w:pStyle w:val="BodyText"/>
      </w:pPr>
      <w:r>
        <w:rPr>
          <w:bCs/>
          <w:b/>
        </w:rPr>
        <w:t xml:space="preserve">प्र (</w:t>
      </w:r>
      <w:r>
        <w:rPr>
          <w:iCs/>
          <w:i/>
          <w:bCs/>
          <w:b/>
        </w:rPr>
        <w:t xml:space="preserve">pra</w:t>
      </w:r>
      <w:r>
        <w:rPr>
          <w:bCs/>
          <w:b/>
        </w:rPr>
        <w:t xml:space="preserve">)</w:t>
      </w:r>
      <w:r>
        <w:t xml:space="preserve">: the particle accent.</w:t>
      </w:r>
    </w:p>
    <w:p>
      <w:pPr>
        <w:pStyle w:val="BodyText"/>
      </w:pPr>
      <w:r>
        <w:rPr>
          <w:bCs/>
          <w:b/>
        </w:rPr>
        <w:t xml:space="preserve">॥१॥</w:t>
      </w:r>
    </w:p>
    <w:p>
      <w:r>
        <w:pict>
          <v:rect style="width:0;height:1.5pt" o:hralign="center" o:hrstd="t" o:hr="t"/>
        </w:pict>
      </w:r>
    </w:p>
    <w:bookmarkEnd w:id="871"/>
    <w:bookmarkStart w:id="872" w:name="page-786-lower-sūkta-19-rik-2"/>
    <w:p>
      <w:pPr>
        <w:pStyle w:val="Heading3"/>
      </w:pPr>
      <w:r>
        <w:t xml:space="preserve">Page 786 (lower) — Sūkta 19, Rik 2</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न॒हि दे॒वो न मर्त्यो॑ म॒हस्तव॒ क्रतुं॑ प॒रः । [accent ?]</w:t>
      </w:r>
      <w:r>
        <w:t xml:space="preserve"> </w:t>
      </w:r>
      <w:r>
        <w:t xml:space="preserve">म॒रुद्भि॑रग्न आ ग॑हि ॥२॥ [accent ?]</w:t>
      </w:r>
    </w:p>
    <w:p>
      <w:pPr>
        <w:pStyle w:val="BlockText"/>
      </w:pPr>
      <w:r>
        <w:rPr>
          <w:iCs/>
          <w:i/>
        </w:rPr>
        <w:t xml:space="preserve">nahí devó na mártyo mahás tava krátuṃ paráḥ |</w:t>
      </w:r>
      <w:r>
        <w:t xml:space="preserve"> </w:t>
      </w:r>
      <w:r>
        <w:t xml:space="preserve">[accent ?]</w:t>
      </w:r>
      <w:r>
        <w:t xml:space="preserve"> </w:t>
      </w:r>
      <w:r>
        <w:rPr>
          <w:iCs/>
          <w:i/>
        </w:rPr>
        <w:t xml:space="preserve">marúdbhir agna ā́ gahi ||2||</w:t>
      </w:r>
      <w:r>
        <w:t xml:space="preserve"> </w:t>
      </w:r>
      <w:r>
        <w:t xml:space="preserve">[accent ?]</w:t>
      </w:r>
    </w:p>
    <w:p>
      <w:pPr>
        <w:pStyle w:val="FirstParagraph"/>
      </w:pPr>
      <w:r>
        <w:rPr>
          <w:iCs/>
          <w:i/>
        </w:rPr>
        <w:t xml:space="preserve">(Read as printed: bars under न (नहि), दे, म (महस्), व (तव), प and म (मरु); strokes over त्यो, तुं, द्भि and ग. No stroke is printed after the bar under म of महस्.)</w:t>
      </w:r>
    </w:p>
    <w:p>
      <w:pPr>
        <w:pStyle w:val="BodyText"/>
      </w:pPr>
      <w:r>
        <w:rPr>
          <w:bCs/>
          <w:b/>
        </w:rPr>
        <w:t xml:space="preserve">॥ Pada-pāṭhaḥ ॥</w:t>
      </w:r>
    </w:p>
    <w:p>
      <w:pPr>
        <w:pStyle w:val="BlockText"/>
      </w:pPr>
      <w:r>
        <w:t xml:space="preserve">नहि । देवः । न । मर्त्यः । महः । तव । क्रतुम् । परः ॥</w:t>
      </w:r>
      <w:r>
        <w:t xml:space="preserve"> </w:t>
      </w:r>
      <w:r>
        <w:t xml:space="preserve">मरुत्ऽभिः । अग्ने । आ । गहि ॥२॥</w:t>
      </w:r>
    </w:p>
    <w:p>
      <w:pPr>
        <w:pStyle w:val="BlockText"/>
      </w:pPr>
      <w:r>
        <w:rPr>
          <w:iCs/>
          <w:i/>
        </w:rPr>
        <w:t xml:space="preserve">nahi | devaḥ | na | martyaḥ | mahaḥ | tava | kratum | paraḥ ||</w:t>
      </w:r>
      <w:r>
        <w:t xml:space="preserve"> </w:t>
      </w:r>
      <w:r>
        <w:rPr>
          <w:iCs/>
          <w:i/>
        </w:rPr>
        <w:t xml:space="preserve">marut ’bhiḥ | agne | ā | gahi ||2||</w:t>
      </w:r>
    </w:p>
    <w:p>
      <w:pPr>
        <w:pStyle w:val="FirstParagraph"/>
      </w:pPr>
      <w:r>
        <w:rPr>
          <w:bCs/>
          <w:b/>
        </w:rPr>
        <w:t xml:space="preserve">॥ Sāyaṇa-bhāṣyam ॥</w:t>
      </w:r>
    </w:p>
    <w:p>
      <w:pPr>
        <w:pStyle w:val="BlockText"/>
      </w:pPr>
      <w:r>
        <w:t xml:space="preserve">हे अग्ने महो महतस्तव संबन्धिनं क्रतुं कर्मविशेषमुल्लङ्घ्य परो नहि उत्कृष्टो देवो न भवति खलु । तथा मर्त्यो मनुष्यश्च परो न भवति । ये मनुष्यास्त्वदीयं क्रतुमनुतिष्ठन्ति ये च देवास्त्वदीये क्रताविज्यन्ते त एवोत्कृष्टा इत्यर्थः । मरुद्भिरित्यादि पूर्ववत् ॥ नहि । एवमादीनामन्त इत्यन्तो-</w:t>
      </w:r>
    </w:p>
    <w:p>
      <w:pPr>
        <w:pStyle w:val="BlockText"/>
      </w:pPr>
      <w:r>
        <w:rPr>
          <w:iCs/>
          <w:i/>
        </w:rPr>
        <w:t xml:space="preserve">he agne maho mahatastava saṃbandhinaṃ kratuṃ karmaviśeṣamullaṅghya paro nahi utkṛṣṭo devo na bhavati khalu | tathā martyo manuṣyaśca paro na bhavati | ye manuṣyāstvadīyaṃ kratumanutiṣṭhanti ye ca devāstvadīye kratāvijyante ta evotkṛṣṭā ityarthaḥ | marudbhirityādi pūrvavat || nahi | evamādīnāmanta ityanto-</w:t>
      </w:r>
    </w:p>
    <w:bookmarkEnd w:id="872"/>
    <w:bookmarkStart w:id="873" w:name="X31ea53827110f5f4a90fc0277ae7d6953bb7535"/>
    <w:p>
      <w:pPr>
        <w:pStyle w:val="Heading3"/>
      </w:pPr>
      <w:r>
        <w:t xml:space="preserve">Page 787 — Rik 2: bhāṣya (end), word-meanings, overall sense, English, Special Topics, grammar</w:t>
      </w:r>
    </w:p>
    <w:p>
      <w:pPr>
        <w:pStyle w:val="FirstParagraph"/>
      </w:pPr>
      <w:r>
        <w:rPr>
          <w:iCs/>
          <w:i/>
        </w:rPr>
        <w:t xml:space="preserve">(The Uṇādi number १-७८ is read with some doubt; लुङ् न is as printed, for लुङ् न / लुग्न.)</w:t>
      </w:r>
    </w:p>
    <w:p>
      <w:pPr>
        <w:pStyle w:val="BlockText"/>
      </w:pPr>
      <w:r>
        <w:t xml:space="preserve">दात्तः । देवः । पचाद्यजन्तश्चित्त्वादन्तोदात्तः । महः । महतस्तलोपश्छान्दसः । बृहन्महतोरुपसंख्यानम् । पा. ६-१-१७३-१ । इति विभक्तेरुदात्तत्वम् । तव । युष्मदस्मदोर्ङसीत्याद्युदात्तत्वम् । क्रतुम् । कृञः कतुः । उ. १-७८ । प्रत्ययाद्युदात्तत्वम् । गहि । गमॢ सृप्ॢ गतौ । लोटः सेर्हिः । बहुलं छन्दसीति शपो लुक् । अनुदात्तोपदेशेत्यादिनानुनासिकलोपः । तस्यासिद्धवदत्राभादित्यसिद्धत्वादतो हेरिति लुङ् न भवति । निघातः ॥</w:t>
      </w:r>
    </w:p>
    <w:p>
      <w:pPr>
        <w:pStyle w:val="BlockText"/>
      </w:pPr>
      <w:r>
        <w:rPr>
          <w:iCs/>
          <w:i/>
        </w:rPr>
        <w:t xml:space="preserve">dāttaḥ | devaḥ | pacādyajantaścittvādantodāttaḥ | mahaḥ | mahatastalopaśchāndasaḥ | bṛhanmahatorupasaṃkhyānam | pā. 6-1-173-1 | iti vibhakterudāttatvam | tava | yuṣmadasmadorṅasītyādyudāttatvam | kratum | kṛñaḥ katuḥ | u. 1-78 | pratyayādyudāttatvam | gahi | gamḷ sṛpḷ gatau | loṭaḥ serhiḥ | bahulaṃ chandasīti śapo luk | anudāttopadeśetyādinānunāsikalopaḥ | tasyāsiddhavadatrābhādityasiddhatvādato heriti luṅ na bhavati | nighātaḥ ||</w:t>
      </w:r>
    </w:p>
    <w:p>
      <w:pPr>
        <w:pStyle w:val="FirstParagraph"/>
      </w:pPr>
      <w:r>
        <w:rPr>
          <w:bCs/>
          <w:b/>
        </w:rPr>
        <w:t xml:space="preserve">Translation:</w:t>
      </w:r>
      <w:r>
        <w:t xml:space="preserve"> </w:t>
      </w:r>
      <w:r>
        <w:t xml:space="preserve">“</w:t>
      </w:r>
      <w:r>
        <w:t xml:space="preserve">O Agni, no god is</w:t>
      </w:r>
      <w:r>
        <w:t xml:space="preserve"> </w:t>
      </w:r>
      <w:r>
        <w:rPr>
          <w:iCs/>
          <w:i/>
        </w:rPr>
        <w:t xml:space="preserve">para</w:t>
      </w:r>
      <w:r>
        <w:t xml:space="preserve">, superior, so as to go beyond the</w:t>
      </w:r>
      <w:r>
        <w:t xml:space="preserve"> </w:t>
      </w:r>
      <w:r>
        <w:rPr>
          <w:iCs/>
          <w:i/>
        </w:rPr>
        <w:t xml:space="preserve">kratu</w:t>
      </w:r>
      <w:r>
        <w:t xml:space="preserve">, the particular rite, belonging to you who are</w:t>
      </w:r>
      <w:r>
        <w:t xml:space="preserve"> </w:t>
      </w:r>
      <w:r>
        <w:rPr>
          <w:iCs/>
          <w:i/>
        </w:rPr>
        <w:t xml:space="preserve">mahas</w:t>
      </w:r>
      <w:r>
        <w:t xml:space="preserve">, great; likewise no</w:t>
      </w:r>
      <w:r>
        <w:t xml:space="preserve"> </w:t>
      </w:r>
      <w:r>
        <w:rPr>
          <w:iCs/>
          <w:i/>
        </w:rPr>
        <w:t xml:space="preserve">martya</w:t>
      </w:r>
      <w:r>
        <w:t xml:space="preserve">, man, is superior. That is, the men who perform your rite and the gods who are worshipped in your rite: they alone are superior.</w:t>
      </w:r>
      <w:r>
        <w:t xml:space="preserve"> </w:t>
      </w:r>
      <w:r>
        <w:rPr>
          <w:iCs/>
          <w:i/>
        </w:rPr>
        <w:t xml:space="preserve">Marudbhiḥ</w:t>
      </w:r>
      <w:r>
        <w:t xml:space="preserve"> </w:t>
      </w:r>
      <w:r>
        <w:t xml:space="preserve">and the rest, as before.</w:t>
      </w:r>
      <w:r>
        <w:t xml:space="preserve">”</w:t>
      </w:r>
      <w:r>
        <w:t xml:space="preserve"> </w:t>
      </w:r>
      <w:r>
        <w:t xml:space="preserve">(Grammatical tail:</w:t>
      </w:r>
      <w:r>
        <w:t xml:space="preserve"> </w:t>
      </w:r>
      <w:r>
        <w:rPr>
          <w:iCs/>
          <w:i/>
        </w:rPr>
        <w:t xml:space="preserve">nahi</w:t>
      </w:r>
      <w:r>
        <w:t xml:space="preserve">, final udātta by</w:t>
      </w:r>
      <w:r>
        <w:t xml:space="preserve"> </w:t>
      </w:r>
      <w:r>
        <w:rPr>
          <w:iCs/>
          <w:i/>
        </w:rPr>
        <w:t xml:space="preserve">evam-ādīnām antaḥ</w:t>
      </w:r>
      <w:r>
        <w:t xml:space="preserve">;</w:t>
      </w:r>
      <w:r>
        <w:t xml:space="preserve"> </w:t>
      </w:r>
      <w:r>
        <w:rPr>
          <w:iCs/>
          <w:i/>
        </w:rPr>
        <w:t xml:space="preserve">devaḥ</w:t>
      </w:r>
      <w:r>
        <w:t xml:space="preserve">, an</w:t>
      </w:r>
      <w:r>
        <w:t xml:space="preserve"> </w:t>
      </w:r>
      <w:r>
        <w:rPr>
          <w:iCs/>
          <w:i/>
        </w:rPr>
        <w:t xml:space="preserve">ac</w:t>
      </w:r>
      <w:r>
        <w:t xml:space="preserve">-final of the</w:t>
      </w:r>
      <w:r>
        <w:t xml:space="preserve"> </w:t>
      </w:r>
      <w:r>
        <w:rPr>
          <w:iCs/>
          <w:i/>
        </w:rPr>
        <w:t xml:space="preserve">pac-ādi</w:t>
      </w:r>
      <w:r>
        <w:t xml:space="preserve">, final udātta as</w:t>
      </w:r>
      <w:r>
        <w:t xml:space="preserve"> </w:t>
      </w:r>
      <w:r>
        <w:rPr>
          <w:iCs/>
          <w:i/>
        </w:rPr>
        <w:t xml:space="preserve">cit</w:t>
      </w:r>
      <w:r>
        <w:t xml:space="preserve">;</w:t>
      </w:r>
      <w:r>
        <w:t xml:space="preserve"> </w:t>
      </w:r>
      <w:r>
        <w:rPr>
          <w:iCs/>
          <w:i/>
        </w:rPr>
        <w:t xml:space="preserve">mahaḥ</w:t>
      </w:r>
      <w:r>
        <w:t xml:space="preserve">, the loss of</w:t>
      </w:r>
      <w:r>
        <w:t xml:space="preserve"> </w:t>
      </w:r>
      <w:r>
        <w:rPr>
          <w:iCs/>
          <w:i/>
        </w:rPr>
        <w:t xml:space="preserve">t</w:t>
      </w:r>
      <w:r>
        <w:t xml:space="preserve"> </w:t>
      </w:r>
      <w:r>
        <w:t xml:space="preserve">of</w:t>
      </w:r>
      <w:r>
        <w:t xml:space="preserve"> </w:t>
      </w:r>
      <w:r>
        <w:rPr>
          <w:iCs/>
          <w:i/>
        </w:rPr>
        <w:t xml:space="preserve">mahataḥ</w:t>
      </w:r>
      <w:r>
        <w:t xml:space="preserve"> </w:t>
      </w:r>
      <w:r>
        <w:t xml:space="preserve">Vedic, the ending udātta by</w:t>
      </w:r>
      <w:r>
        <w:t xml:space="preserve"> </w:t>
      </w:r>
      <w:r>
        <w:rPr>
          <w:iCs/>
          <w:i/>
        </w:rPr>
        <w:t xml:space="preserve">bṛhanmahator upasaṃkhyānam</w:t>
      </w:r>
      <w:r>
        <w:t xml:space="preserve"> </w:t>
      </w:r>
      <w:r>
        <w:t xml:space="preserve">(Pā. 6-1-173-1);</w:t>
      </w:r>
      <w:r>
        <w:t xml:space="preserve"> </w:t>
      </w:r>
      <w:r>
        <w:rPr>
          <w:iCs/>
          <w:i/>
        </w:rPr>
        <w:t xml:space="preserve">tava</w:t>
      </w:r>
      <w:r>
        <w:t xml:space="preserve">, initial udātta by</w:t>
      </w:r>
      <w:r>
        <w:t xml:space="preserve"> </w:t>
      </w:r>
      <w:r>
        <w:rPr>
          <w:iCs/>
          <w:i/>
        </w:rPr>
        <w:t xml:space="preserve">yuṣmadasmador ṅasi</w:t>
      </w:r>
      <w:r>
        <w:t xml:space="preserve">;</w:t>
      </w:r>
      <w:r>
        <w:t xml:space="preserve"> </w:t>
      </w:r>
      <w:r>
        <w:rPr>
          <w:iCs/>
          <w:i/>
        </w:rPr>
        <w:t xml:space="preserve">kratum</w:t>
      </w:r>
      <w:r>
        <w:t xml:space="preserve">,</w:t>
      </w:r>
      <w:r>
        <w:t xml:space="preserve"> </w:t>
      </w:r>
      <w:r>
        <w:rPr>
          <w:iCs/>
          <w:i/>
        </w:rPr>
        <w:t xml:space="preserve">katu</w:t>
      </w:r>
      <w:r>
        <w:t xml:space="preserve"> </w:t>
      </w:r>
      <w:r>
        <w:t xml:space="preserve">by</w:t>
      </w:r>
      <w:r>
        <w:t xml:space="preserve"> </w:t>
      </w:r>
      <w:r>
        <w:rPr>
          <w:iCs/>
          <w:i/>
        </w:rPr>
        <w:t xml:space="preserve">kṛñaḥ katuḥ</w:t>
      </w:r>
      <w:r>
        <w:t xml:space="preserve"> </w:t>
      </w:r>
      <w:r>
        <w:t xml:space="preserve">(Uṇ. 1-78 [?]), initial udātta of the suffix;</w:t>
      </w:r>
      <w:r>
        <w:t xml:space="preserve"> </w:t>
      </w:r>
      <w:r>
        <w:rPr>
          <w:iCs/>
          <w:i/>
        </w:rPr>
        <w:t xml:space="preserve">gahi</w:t>
      </w:r>
      <w:r>
        <w:t xml:space="preserve">,</w:t>
      </w:r>
      <w:r>
        <w:t xml:space="preserve"> </w:t>
      </w:r>
      <w:r>
        <w:rPr>
          <w:iCs/>
          <w:i/>
        </w:rPr>
        <w:t xml:space="preserve">gamḷ sṛpḷ gatau</w:t>
      </w:r>
      <w:r>
        <w:t xml:space="preserve">,</w:t>
      </w:r>
      <w:r>
        <w:t xml:space="preserve"> </w:t>
      </w:r>
      <w:r>
        <w:rPr>
          <w:iCs/>
          <w:i/>
        </w:rPr>
        <w:t xml:space="preserve">hi</w:t>
      </w:r>
      <w:r>
        <w:t xml:space="preserve"> </w:t>
      </w:r>
      <w:r>
        <w:t xml:space="preserve">for</w:t>
      </w:r>
      <w:r>
        <w:t xml:space="preserve"> </w:t>
      </w:r>
      <w:r>
        <w:rPr>
          <w:iCs/>
          <w:i/>
        </w:rPr>
        <w:t xml:space="preserve">si</w:t>
      </w:r>
      <w:r>
        <w:t xml:space="preserve"> </w:t>
      </w:r>
      <w:r>
        <w:t xml:space="preserve">of</w:t>
      </w:r>
      <w:r>
        <w:t xml:space="preserve"> </w:t>
      </w:r>
      <w:r>
        <w:rPr>
          <w:iCs/>
          <w:i/>
        </w:rPr>
        <w:t xml:space="preserve">loṭ</w:t>
      </w:r>
      <w:r>
        <w:t xml:space="preserve">,</w:t>
      </w:r>
      <w:r>
        <w:t xml:space="preserve"> </w:t>
      </w:r>
      <w:r>
        <w:rPr>
          <w:iCs/>
          <w:i/>
        </w:rPr>
        <w:t xml:space="preserve">śap</w:t>
      </w:r>
      <w:r>
        <w:t xml:space="preserve"> </w:t>
      </w:r>
      <w:r>
        <w:t xml:space="preserve">dropped by</w:t>
      </w:r>
      <w:r>
        <w:t xml:space="preserve"> </w:t>
      </w:r>
      <w:r>
        <w:rPr>
          <w:iCs/>
          <w:i/>
        </w:rPr>
        <w:t xml:space="preserve">bahulaṃ chandasi</w:t>
      </w:r>
      <w:r>
        <w:t xml:space="preserve">, the nasal dropped by</w:t>
      </w:r>
      <w:r>
        <w:t xml:space="preserve"> </w:t>
      </w:r>
      <w:r>
        <w:rPr>
          <w:iCs/>
          <w:i/>
        </w:rPr>
        <w:t xml:space="preserve">anudāttopadeśa…</w:t>
      </w:r>
      <w:r>
        <w:t xml:space="preserve">, and since that counts as not done by</w:t>
      </w:r>
      <w:r>
        <w:t xml:space="preserve"> </w:t>
      </w:r>
      <w:r>
        <w:rPr>
          <w:iCs/>
          <w:i/>
        </w:rPr>
        <w:t xml:space="preserve">asiddhavad atrābhāt</w:t>
      </w:r>
      <w:r>
        <w:t xml:space="preserve">,</w:t>
      </w:r>
      <w:r>
        <w:t xml:space="preserve"> </w:t>
      </w:r>
      <w:r>
        <w:rPr>
          <w:iCs/>
          <w:i/>
        </w:rPr>
        <w:t xml:space="preserve">hi</w:t>
      </w:r>
      <w:r>
        <w:t xml:space="preserve"> </w:t>
      </w:r>
      <w:r>
        <w:t xml:space="preserve">is not dropped by</w:t>
      </w:r>
      <w:r>
        <w:t xml:space="preserve"> </w:t>
      </w:r>
      <w:r>
        <w:rPr>
          <w:iCs/>
          <w:i/>
        </w:rPr>
        <w:t xml:space="preserve">ato heḥ</w:t>
      </w:r>
      <w:r>
        <w:t xml:space="preserve">; wholly unaccented.)</w:t>
      </w:r>
    </w:p>
    <w:p>
      <w:pPr>
        <w:pStyle w:val="BodyText"/>
      </w:pPr>
      <w:r>
        <w:rPr>
          <w:bCs/>
          <w:b/>
        </w:rPr>
        <w:t xml:space="preserve">॥ Prati-padārthaḥ ॥</w:t>
      </w:r>
    </w:p>
    <w:p>
      <w:pPr>
        <w:pStyle w:val="BodyText"/>
      </w:pPr>
      <w:r>
        <w:t xml:space="preserve">(</w:t>
      </w:r>
      <w:r>
        <w:rPr>
          <w:bCs/>
          <w:b/>
        </w:rPr>
        <w:t xml:space="preserve">O Agni</w:t>
      </w:r>
      <w:r>
        <w:t xml:space="preserve">) |</w:t>
      </w:r>
      <w:r>
        <w:t xml:space="preserve"> </w:t>
      </w:r>
      <w:r>
        <w:rPr>
          <w:bCs/>
          <w:b/>
        </w:rPr>
        <w:t xml:space="preserve">महः (mahaḥ)</w:t>
      </w:r>
      <w:r>
        <w:t xml:space="preserve"> </w:t>
      </w:r>
      <w:r>
        <w:t xml:space="preserve">— excellent |</w:t>
      </w:r>
      <w:r>
        <w:t xml:space="preserve"> </w:t>
      </w:r>
      <w:r>
        <w:rPr>
          <w:bCs/>
          <w:b/>
        </w:rPr>
        <w:t xml:space="preserve">तव (tava)</w:t>
      </w:r>
      <w:r>
        <w:t xml:space="preserve"> </w:t>
      </w:r>
      <w:r>
        <w:t xml:space="preserve">— your |</w:t>
      </w:r>
      <w:r>
        <w:t xml:space="preserve"> </w:t>
      </w:r>
      <w:r>
        <w:rPr>
          <w:bCs/>
          <w:b/>
        </w:rPr>
        <w:t xml:space="preserve">क्रतुम् (kratum)</w:t>
      </w:r>
      <w:r>
        <w:t xml:space="preserve"> </w:t>
      </w:r>
      <w:r>
        <w:t xml:space="preserve">— the rite (sacrifice), going beyond |</w:t>
      </w:r>
      <w:r>
        <w:t xml:space="preserve"> </w:t>
      </w:r>
      <w:r>
        <w:rPr>
          <w:bCs/>
          <w:b/>
        </w:rPr>
        <w:t xml:space="preserve">परः (paraḥ)</w:t>
      </w:r>
      <w:r>
        <w:t xml:space="preserve"> </w:t>
      </w:r>
      <w:r>
        <w:t xml:space="preserve">— another |</w:t>
      </w:r>
      <w:r>
        <w:t xml:space="preserve"> </w:t>
      </w:r>
      <w:r>
        <w:rPr>
          <w:bCs/>
          <w:b/>
        </w:rPr>
        <w:t xml:space="preserve">देवः (devaḥ)</w:t>
      </w:r>
      <w:r>
        <w:t xml:space="preserve"> </w:t>
      </w:r>
      <w:r>
        <w:t xml:space="preserve">— god |</w:t>
      </w:r>
      <w:r>
        <w:t xml:space="preserve"> </w:t>
      </w:r>
      <w:r>
        <w:rPr>
          <w:bCs/>
          <w:b/>
        </w:rPr>
        <w:t xml:space="preserve">नहि (nahi)</w:t>
      </w:r>
      <w:r>
        <w:t xml:space="preserve"> </w:t>
      </w:r>
      <w:r>
        <w:t xml:space="preserve">— there is not | (likewise) |</w:t>
      </w:r>
      <w:r>
        <w:t xml:space="preserve"> </w:t>
      </w:r>
      <w:r>
        <w:rPr>
          <w:bCs/>
          <w:b/>
        </w:rPr>
        <w:t xml:space="preserve">मर्त्यः (martyaḥ)</w:t>
      </w:r>
      <w:r>
        <w:t xml:space="preserve"> </w:t>
      </w:r>
      <w:r>
        <w:t xml:space="preserve">— a man too |</w:t>
      </w:r>
      <w:r>
        <w:t xml:space="preserve"> </w:t>
      </w:r>
      <w:r>
        <w:rPr>
          <w:bCs/>
          <w:b/>
        </w:rPr>
        <w:t xml:space="preserve">न (na)</w:t>
      </w:r>
      <w:r>
        <w:t xml:space="preserve"> </w:t>
      </w:r>
      <w:r>
        <w:t xml:space="preserve">— there is not | (therefore)</w:t>
      </w:r>
      <w:r>
        <w:t xml:space="preserve"> </w:t>
      </w:r>
      <w:r>
        <w:rPr>
          <w:bCs/>
          <w:b/>
        </w:rPr>
        <w:t xml:space="preserve">हे अग्ने (he agne)</w:t>
      </w:r>
      <w:r>
        <w:t xml:space="preserve"> </w:t>
      </w:r>
      <w:r>
        <w:t xml:space="preserve">— O Agni | (you)</w:t>
      </w:r>
      <w:r>
        <w:t xml:space="preserve"> </w:t>
      </w:r>
      <w:r>
        <w:rPr>
          <w:bCs/>
          <w:b/>
        </w:rPr>
        <w:t xml:space="preserve">मरुद्भिः (marudbhiḥ)</w:t>
      </w:r>
      <w:r>
        <w:t xml:space="preserve"> </w:t>
      </w:r>
      <w:r>
        <w:t xml:space="preserve">— together with the Marut deities |</w:t>
      </w:r>
      <w:r>
        <w:t xml:space="preserve"> </w:t>
      </w:r>
      <w:r>
        <w:rPr>
          <w:bCs/>
          <w:b/>
        </w:rPr>
        <w:t xml:space="preserve">आ गहि (ā gahi)</w:t>
      </w:r>
      <w:r>
        <w:t xml:space="preserve"> </w:t>
      </w:r>
      <w:r>
        <w:t xml:space="preserve">— come here.</w:t>
      </w:r>
    </w:p>
    <w:p>
      <w:pPr>
        <w:pStyle w:val="BodyText"/>
      </w:pPr>
      <w:r>
        <w:rPr>
          <w:bCs/>
          <w:b/>
        </w:rPr>
        <w:t xml:space="preserve">॥ Bhāvārthaḥ ॥</w:t>
      </w:r>
    </w:p>
    <w:p>
      <w:pPr>
        <w:pStyle w:val="BodyText"/>
      </w:pPr>
      <w:r>
        <w:t xml:space="preserve">O Agni, the rite or sacrifice connected with you is very great. There is no god or man able to transgress it. Therefore, O Agni, come here together with the Marut deities.</w:t>
      </w:r>
    </w:p>
    <w:p>
      <w:pPr>
        <w:pStyle w:val="BodyText"/>
      </w:pPr>
      <w:r>
        <w:rPr>
          <w:bCs/>
          <w:b/>
        </w:rPr>
        <w:t xml:space="preserve">॥ English Translation ॥</w:t>
      </w:r>
      <w:r>
        <w:t xml:space="preserve"> </w:t>
      </w:r>
      <w:r>
        <w:rPr>
          <w:iCs/>
          <w:i/>
        </w:rPr>
        <w:t xml:space="preserve">(as printed in the source)</w:t>
      </w:r>
    </w:p>
    <w:p>
      <w:pPr>
        <w:pStyle w:val="BlockText"/>
      </w:pPr>
      <w:r>
        <w:t xml:space="preserve">Neither god nor man has power over a rite (dedicated) to you who are great : come hitter [sic], Agni, with the Maruths [sic].</w:t>
      </w:r>
    </w:p>
    <w:p>
      <w:pPr>
        <w:pStyle w:val="FirstParagraph"/>
      </w:pPr>
      <w:r>
        <w:rPr>
          <w:bCs/>
          <w:b/>
        </w:rPr>
        <w:t xml:space="preserve">॥ Viśeṣa-viṣayagaḷu (Special Topics) ॥</w:t>
      </w:r>
    </w:p>
    <w:p>
      <w:pPr>
        <w:pStyle w:val="BodyText"/>
      </w:pPr>
      <w:r>
        <w:rPr>
          <w:bCs/>
          <w:b/>
        </w:rPr>
        <w:t xml:space="preserve">Mahaḥ</w:t>
      </w:r>
      <w:r>
        <w:t xml:space="preserve">:</w:t>
      </w:r>
      <w:r>
        <w:t xml:space="preserve"> </w:t>
      </w:r>
      <w:r>
        <w:rPr>
          <w:iCs/>
          <w:i/>
        </w:rPr>
        <w:t xml:space="preserve">mahataḥ</w:t>
      </w:r>
      <w:r>
        <w:t xml:space="preserve">: excellent, or very strong, possessed of great power. Here the</w:t>
      </w:r>
      <w:r>
        <w:t xml:space="preserve"> </w:t>
      </w:r>
      <w:r>
        <w:rPr>
          <w:iCs/>
          <w:i/>
        </w:rPr>
        <w:t xml:space="preserve">t</w:t>
      </w:r>
      <w:r>
        <w:t xml:space="preserve"> </w:t>
      </w:r>
      <w:r>
        <w:t xml:space="preserve">has been dropped.</w:t>
      </w:r>
    </w:p>
    <w:p>
      <w:pPr>
        <w:pStyle w:val="BodyText"/>
      </w:pPr>
      <w:r>
        <w:rPr>
          <w:bCs/>
          <w:b/>
        </w:rPr>
        <w:t xml:space="preserve">Kratum</w:t>
      </w:r>
      <w:r>
        <w:t xml:space="preserve">: though this word has two senses, action (Ni.</w:t>
      </w:r>
      <w:r>
        <w:t xml:space="preserve"> </w:t>
      </w:r>
      <w:r>
        <w:t xml:space="preserve">“</w:t>
      </w:r>
      <w:r>
        <w:t xml:space="preserve">3-2</w:t>
      </w:r>
      <w:r>
        <w:t xml:space="preserve">”</w:t>
      </w:r>
      <w:r>
        <w:t xml:space="preserve"> </w:t>
      </w:r>
      <w:r>
        <w:t xml:space="preserve">[?]) and intelligence (Ni.</w:t>
      </w:r>
      <w:r>
        <w:t xml:space="preserve"> </w:t>
      </w:r>
      <w:r>
        <w:t xml:space="preserve">“</w:t>
      </w:r>
      <w:r>
        <w:t xml:space="preserve">3-13</w:t>
      </w:r>
      <w:r>
        <w:t xml:space="preserve">”</w:t>
      </w:r>
      <w:r>
        <w:t xml:space="preserve"> </w:t>
      </w:r>
      <w:r>
        <w:t xml:space="preserve">[?]), the commentator gives only the sense action.</w:t>
      </w:r>
    </w:p>
    <w:p>
      <w:pPr>
        <w:pStyle w:val="BodyText"/>
      </w:pPr>
      <w:r>
        <w:rPr>
          <w:bCs/>
          <w:b/>
        </w:rPr>
        <w:t xml:space="preserve">॥ Vyākaraṇa-prakriyā ॥</w:t>
      </w:r>
      <w:r>
        <w:t xml:space="preserve"> </w:t>
      </w:r>
      <w:r>
        <w:rPr>
          <w:iCs/>
          <w:i/>
        </w:rPr>
        <w:t xml:space="preserve">(grammar pages 787–788, noted briefly)</w:t>
      </w:r>
    </w:p>
    <w:p>
      <w:pPr>
        <w:pStyle w:val="BodyText"/>
      </w:pPr>
      <w:r>
        <w:rPr>
          <w:bCs/>
          <w:b/>
        </w:rPr>
        <w:t xml:space="preserve">नहि (</w:t>
      </w:r>
      <w:r>
        <w:rPr>
          <w:iCs/>
          <w:i/>
          <w:bCs/>
          <w:b/>
        </w:rPr>
        <w:t xml:space="preserve">nahi</w:t>
      </w:r>
      <w:r>
        <w:rPr>
          <w:bCs/>
          <w:b/>
        </w:rPr>
        <w:t xml:space="preserve">)</w:t>
      </w:r>
      <w:r>
        <w:t xml:space="preserve">: final udātta by</w:t>
      </w:r>
      <w:r>
        <w:t xml:space="preserve"> </w:t>
      </w:r>
      <w:r>
        <w:t xml:space="preserve">“</w:t>
      </w:r>
      <w:r>
        <w:t xml:space="preserve">evādīnām antaḥ</w:t>
      </w:r>
      <w:r>
        <w:t xml:space="preserve">”</w:t>
      </w:r>
      <w:r>
        <w:t xml:space="preserve">.</w:t>
      </w:r>
    </w:p>
    <w:p>
      <w:pPr>
        <w:pStyle w:val="BodyText"/>
      </w:pPr>
      <w:r>
        <w:rPr>
          <w:bCs/>
          <w:b/>
        </w:rPr>
        <w:t xml:space="preserve">देवः (</w:t>
      </w:r>
      <w:r>
        <w:rPr>
          <w:iCs/>
          <w:i/>
          <w:bCs/>
          <w:b/>
        </w:rPr>
        <w:t xml:space="preserve">devaḥ</w:t>
      </w:r>
      <w:r>
        <w:rPr>
          <w:bCs/>
          <w:b/>
        </w:rPr>
        <w:t xml:space="preserve">)</w:t>
      </w:r>
      <w:r>
        <w:t xml:space="preserve">: the root</w:t>
      </w:r>
      <w:r>
        <w:t xml:space="preserve"> </w:t>
      </w:r>
      <w:r>
        <w:rPr>
          <w:iCs/>
          <w:i/>
        </w:rPr>
        <w:t xml:space="preserve">divu krīḍādau</w:t>
      </w:r>
      <w:r>
        <w:t xml:space="preserve">, of the</w:t>
      </w:r>
      <w:r>
        <w:t xml:space="preserve"> </w:t>
      </w:r>
      <w:r>
        <w:rPr>
          <w:iCs/>
          <w:i/>
        </w:rPr>
        <w:t xml:space="preserve">pac-ādi</w:t>
      </w:r>
      <w:r>
        <w:t xml:space="preserve">; so by</w:t>
      </w:r>
      <w:r>
        <w:t xml:space="preserve"> </w:t>
      </w:r>
      <w:r>
        <w:t xml:space="preserve">“</w:t>
      </w:r>
      <w:r>
        <w:t xml:space="preserve">nandigrahipacādibhyo lyuṇinyacaḥ</w:t>
      </w:r>
      <w:r>
        <w:t xml:space="preserve">”</w:t>
      </w:r>
      <w:r>
        <w:t xml:space="preserve"> </w:t>
      </w:r>
      <w:r>
        <w:t xml:space="preserve">(Pā. sū. 3-1-134) the suffix</w:t>
      </w:r>
      <w:r>
        <w:t xml:space="preserve"> </w:t>
      </w:r>
      <w:r>
        <w:rPr>
          <w:iCs/>
          <w:i/>
        </w:rPr>
        <w:t xml:space="preserve">ac</w:t>
      </w:r>
      <w:r>
        <w:t xml:space="preserve">; by</w:t>
      </w:r>
      <w:r>
        <w:t xml:space="preserve"> </w:t>
      </w:r>
      <w:r>
        <w:t xml:space="preserve">“</w:t>
      </w:r>
      <w:r>
        <w:t xml:space="preserve">pugantalaghūpadhasya ca</w:t>
      </w:r>
      <w:r>
        <w:t xml:space="preserve">”</w:t>
      </w:r>
      <w:r>
        <w:t xml:space="preserve"> </w:t>
      </w:r>
      <w:r>
        <w:t xml:space="preserve">(Pā. sū. 7-3-86) the</w:t>
      </w:r>
      <w:r>
        <w:t xml:space="preserve"> </w:t>
      </w:r>
      <w:r>
        <w:rPr>
          <w:iCs/>
          <w:i/>
        </w:rPr>
        <w:t xml:space="preserve">laghūpadha-guṇa</w:t>
      </w:r>
      <w:r>
        <w:t xml:space="preserve">; the suffix being</w:t>
      </w:r>
      <w:r>
        <w:t xml:space="preserve"> </w:t>
      </w:r>
      <w:r>
        <w:rPr>
          <w:iCs/>
          <w:i/>
        </w:rPr>
        <w:t xml:space="preserve">cit</w:t>
      </w:r>
      <w:r>
        <w:t xml:space="preserve">, final udātta by</w:t>
      </w:r>
      <w:r>
        <w:t xml:space="preserve"> </w:t>
      </w:r>
      <w:r>
        <w:rPr>
          <w:iCs/>
          <w:i/>
        </w:rPr>
        <w:t xml:space="preserve">citaḥ</w:t>
      </w:r>
      <w:r>
        <w:t xml:space="preserve">.</w:t>
      </w:r>
    </w:p>
    <w:bookmarkEnd w:id="873"/>
    <w:bookmarkStart w:id="874" w:name="page-788-upper-rik-2-grammar-end"/>
    <w:p>
      <w:pPr>
        <w:pStyle w:val="Heading3"/>
      </w:pPr>
      <w:r>
        <w:t xml:space="preserve">Page 788 (upper) — Rik 2: grammar (end)</w:t>
      </w:r>
    </w:p>
    <w:p>
      <w:pPr>
        <w:pStyle w:val="FirstParagraph"/>
      </w:pPr>
      <w:r>
        <w:rPr>
          <w:bCs/>
          <w:b/>
        </w:rPr>
        <w:t xml:space="preserve">महः (</w:t>
      </w:r>
      <w:r>
        <w:rPr>
          <w:iCs/>
          <w:i/>
          <w:bCs/>
          <w:b/>
        </w:rPr>
        <w:t xml:space="preserve">mahaḥ</w:t>
      </w:r>
      <w:r>
        <w:rPr>
          <w:bCs/>
          <w:b/>
        </w:rPr>
        <w:t xml:space="preserve">)</w:t>
      </w:r>
      <w:r>
        <w:t xml:space="preserve">: for the</w:t>
      </w:r>
      <w:r>
        <w:t xml:space="preserve"> </w:t>
      </w:r>
      <w:r>
        <w:rPr>
          <w:iCs/>
          <w:i/>
        </w:rPr>
        <w:t xml:space="preserve">t</w:t>
      </w:r>
      <w:r>
        <w:t xml:space="preserve"> </w:t>
      </w:r>
      <w:r>
        <w:t xml:space="preserve">of the word</w:t>
      </w:r>
      <w:r>
        <w:t xml:space="preserve"> </w:t>
      </w:r>
      <w:r>
        <w:rPr>
          <w:iCs/>
          <w:i/>
        </w:rPr>
        <w:t xml:space="preserve">mahataḥ</w:t>
      </w:r>
      <w:r>
        <w:t xml:space="preserve">, a Vedic loss. The genitive ending after the word</w:t>
      </w:r>
      <w:r>
        <w:t xml:space="preserve"> </w:t>
      </w:r>
      <w:r>
        <w:rPr>
          <w:iCs/>
          <w:i/>
        </w:rPr>
        <w:t xml:space="preserve">mahat</w:t>
      </w:r>
      <w:r>
        <w:t xml:space="preserve"> </w:t>
      </w:r>
      <w:r>
        <w:t xml:space="preserve">is udātta by</w:t>
      </w:r>
      <w:r>
        <w:t xml:space="preserve"> </w:t>
      </w:r>
      <w:r>
        <w:t xml:space="preserve">“</w:t>
      </w:r>
      <w:r>
        <w:t xml:space="preserve">bṛhanmahator upasaṃkhyānam</w:t>
      </w:r>
      <w:r>
        <w:t xml:space="preserve">”</w:t>
      </w:r>
      <w:r>
        <w:t xml:space="preserve"> </w:t>
      </w:r>
      <w:r>
        <w:t xml:space="preserve">(Pā. sū. 6-1-173, Vā. 1): after the words</w:t>
      </w:r>
      <w:r>
        <w:t xml:space="preserve"> </w:t>
      </w:r>
      <w:r>
        <w:rPr>
          <w:iCs/>
          <w:i/>
        </w:rPr>
        <w:t xml:space="preserve">bṛhat</w:t>
      </w:r>
      <w:r>
        <w:t xml:space="preserve"> </w:t>
      </w:r>
      <w:r>
        <w:t xml:space="preserve">and</w:t>
      </w:r>
      <w:r>
        <w:t xml:space="preserve"> </w:t>
      </w:r>
      <w:r>
        <w:rPr>
          <w:iCs/>
          <w:i/>
        </w:rPr>
        <w:t xml:space="preserve">mahat</w:t>
      </w:r>
      <w:r>
        <w:t xml:space="preserve">, the letters called</w:t>
      </w:r>
      <w:r>
        <w:t xml:space="preserve"> </w:t>
      </w:r>
      <w:r>
        <w:rPr>
          <w:iCs/>
          <w:i/>
        </w:rPr>
        <w:t xml:space="preserve">nadī</w:t>
      </w:r>
      <w:r>
        <w:t xml:space="preserve"> </w:t>
      </w:r>
      <w:r>
        <w:t xml:space="preserve">and the vowel-initial case-endings from</w:t>
      </w:r>
      <w:r>
        <w:t xml:space="preserve"> </w:t>
      </w:r>
      <w:r>
        <w:rPr>
          <w:iCs/>
          <w:i/>
        </w:rPr>
        <w:t xml:space="preserve">śas</w:t>
      </w:r>
      <w:r>
        <w:t xml:space="preserve"> </w:t>
      </w:r>
      <w:r>
        <w:t xml:space="preserve">on are udātta. Although, since it is treated like</w:t>
      </w:r>
      <w:r>
        <w:t xml:space="preserve"> </w:t>
      </w:r>
      <w:r>
        <w:rPr>
          <w:iCs/>
          <w:i/>
        </w:rPr>
        <w:t xml:space="preserve">śatṛ</w:t>
      </w:r>
      <w:r>
        <w:t xml:space="preserve"> </w:t>
      </w:r>
      <w:r>
        <w:t xml:space="preserve">by</w:t>
      </w:r>
      <w:r>
        <w:t xml:space="preserve"> </w:t>
      </w:r>
      <w:r>
        <w:t xml:space="preserve">“</w:t>
      </w:r>
      <w:r>
        <w:t xml:space="preserve">vartamāne pṛṣadbṛhanmahajjagacchatṛvac ca</w:t>
      </w:r>
      <w:r>
        <w:t xml:space="preserve">”</w:t>
      </w:r>
      <w:r>
        <w:t xml:space="preserve"> </w:t>
      </w:r>
      <w:r>
        <w:t xml:space="preserve">(Uṇ. sū.</w:t>
      </w:r>
      <w:r>
        <w:t xml:space="preserve"> </w:t>
      </w:r>
      <w:r>
        <w:t xml:space="preserve">“</w:t>
      </w:r>
      <w:r>
        <w:t xml:space="preserve">2-241</w:t>
      </w:r>
      <w:r>
        <w:t xml:space="preserve">”</w:t>
      </w:r>
      <w:r>
        <w:t xml:space="preserve"> </w:t>
      </w:r>
      <w:r>
        <w:t xml:space="preserve">[?]), the udātta is established by</w:t>
      </w:r>
      <w:r>
        <w:t xml:space="preserve"> </w:t>
      </w:r>
      <w:r>
        <w:t xml:space="preserve">“</w:t>
      </w:r>
      <w:r>
        <w:t xml:space="preserve">śatur anumo nadyajādī</w:t>
      </w:r>
      <w:r>
        <w:t xml:space="preserve">”</w:t>
      </w:r>
      <w:r>
        <w:t xml:space="preserve"> </w:t>
      </w:r>
      <w:r>
        <w:t xml:space="preserve">(Pā. sū. 6-1-173) itself, so that the vārttika might appear purposeless, it was shown earlier that the vārttika is purposeful as a restriction.</w:t>
      </w:r>
    </w:p>
    <w:p>
      <w:pPr>
        <w:pStyle w:val="BodyText"/>
      </w:pPr>
      <w:r>
        <w:rPr>
          <w:bCs/>
          <w:b/>
        </w:rPr>
        <w:t xml:space="preserve">तव (</w:t>
      </w:r>
      <w:r>
        <w:rPr>
          <w:iCs/>
          <w:i/>
          <w:bCs/>
          <w:b/>
        </w:rPr>
        <w:t xml:space="preserve">tava</w:t>
      </w:r>
      <w:r>
        <w:rPr>
          <w:bCs/>
          <w:b/>
        </w:rPr>
        <w:t xml:space="preserve">)</w:t>
      </w:r>
      <w:r>
        <w:t xml:space="preserve">: by</w:t>
      </w:r>
      <w:r>
        <w:t xml:space="preserve"> </w:t>
      </w:r>
      <w:r>
        <w:t xml:space="preserve">“</w:t>
      </w:r>
      <w:r>
        <w:t xml:space="preserve">yuṣmadasmador ṅasi</w:t>
      </w:r>
      <w:r>
        <w:t xml:space="preserve">”</w:t>
      </w:r>
      <w:r>
        <w:t xml:space="preserve"> </w:t>
      </w:r>
      <w:r>
        <w:t xml:space="preserve">(Pā. sū. 6-1-211), when</w:t>
      </w:r>
      <w:r>
        <w:t xml:space="preserve"> </w:t>
      </w:r>
      <w:r>
        <w:rPr>
          <w:iCs/>
          <w:i/>
        </w:rPr>
        <w:t xml:space="preserve">ṅas</w:t>
      </w:r>
      <w:r>
        <w:t xml:space="preserve"> </w:t>
      </w:r>
      <w:r>
        <w:t xml:space="preserve">follows, the first syllable of the words</w:t>
      </w:r>
      <w:r>
        <w:t xml:space="preserve"> </w:t>
      </w:r>
      <w:r>
        <w:rPr>
          <w:iCs/>
          <w:i/>
        </w:rPr>
        <w:t xml:space="preserve">yuṣmad</w:t>
      </w:r>
      <w:r>
        <w:t xml:space="preserve"> </w:t>
      </w:r>
      <w:r>
        <w:t xml:space="preserve">and</w:t>
      </w:r>
      <w:r>
        <w:t xml:space="preserve"> </w:t>
      </w:r>
      <w:r>
        <w:rPr>
          <w:iCs/>
          <w:i/>
        </w:rPr>
        <w:t xml:space="preserve">asmad</w:t>
      </w:r>
      <w:r>
        <w:t xml:space="preserve"> </w:t>
      </w:r>
      <w:r>
        <w:t xml:space="preserve">is udātta; so it is initial udātta.</w:t>
      </w:r>
    </w:p>
    <w:p>
      <w:pPr>
        <w:pStyle w:val="BodyText"/>
      </w:pPr>
      <w:r>
        <w:rPr>
          <w:bCs/>
          <w:b/>
        </w:rPr>
        <w:t xml:space="preserve">क्रतुम् (</w:t>
      </w:r>
      <w:r>
        <w:rPr>
          <w:iCs/>
          <w:i/>
          <w:bCs/>
          <w:b/>
        </w:rPr>
        <w:t xml:space="preserve">kratum</w:t>
      </w:r>
      <w:r>
        <w:rPr>
          <w:bCs/>
          <w:b/>
        </w:rPr>
        <w:t xml:space="preserve">)</w:t>
      </w:r>
      <w:r>
        <w:t xml:space="preserve">: (Uṇ. sū.</w:t>
      </w:r>
      <w:r>
        <w:t xml:space="preserve"> </w:t>
      </w:r>
      <w:r>
        <w:t xml:space="preserve">“</w:t>
      </w:r>
      <w:r>
        <w:t xml:space="preserve">1-77</w:t>
      </w:r>
      <w:r>
        <w:t xml:space="preserve">”</w:t>
      </w:r>
      <w:r>
        <w:t xml:space="preserve"> </w:t>
      </w:r>
      <w:r>
        <w:t xml:space="preserve">[?]) since the suffix</w:t>
      </w:r>
      <w:r>
        <w:t xml:space="preserve"> </w:t>
      </w:r>
      <w:r>
        <w:rPr>
          <w:iCs/>
          <w:i/>
        </w:rPr>
        <w:t xml:space="preserve">katu</w:t>
      </w:r>
      <w:r>
        <w:t xml:space="preserve"> </w:t>
      </w:r>
      <w:r>
        <w:t xml:space="preserve">comes after the root</w:t>
      </w:r>
      <w:r>
        <w:t xml:space="preserve"> </w:t>
      </w:r>
      <w:r>
        <w:rPr>
          <w:iCs/>
          <w:i/>
        </w:rPr>
        <w:t xml:space="preserve">ḍukṛñ karaṇe</w:t>
      </w:r>
      <w:r>
        <w:t xml:space="preserve">, after the root</w:t>
      </w:r>
      <w:r>
        <w:t xml:space="preserve"> </w:t>
      </w:r>
      <w:r>
        <w:rPr>
          <w:iCs/>
          <w:i/>
        </w:rPr>
        <w:t xml:space="preserve">kṛ</w:t>
      </w:r>
      <w:r>
        <w:t xml:space="preserve"> </w:t>
      </w:r>
      <w:r>
        <w:t xml:space="preserve">the suffix</w:t>
      </w:r>
      <w:r>
        <w:t xml:space="preserve"> </w:t>
      </w:r>
      <w:r>
        <w:rPr>
          <w:iCs/>
          <w:i/>
        </w:rPr>
        <w:t xml:space="preserve">katu</w:t>
      </w:r>
      <w:r>
        <w:t xml:space="preserve">; the</w:t>
      </w:r>
      <w:r>
        <w:t xml:space="preserve"> </w:t>
      </w:r>
      <w:r>
        <w:rPr>
          <w:iCs/>
          <w:i/>
        </w:rPr>
        <w:t xml:space="preserve">k</w:t>
      </w:r>
      <w:r>
        <w:t xml:space="preserve"> </w:t>
      </w:r>
      <w:r>
        <w:t xml:space="preserve">is called</w:t>
      </w:r>
      <w:r>
        <w:t xml:space="preserve"> </w:t>
      </w:r>
      <w:r>
        <w:rPr>
          <w:iCs/>
          <w:i/>
        </w:rPr>
        <w:t xml:space="preserve">it</w:t>
      </w:r>
      <w:r>
        <w:t xml:space="preserve"> </w:t>
      </w:r>
      <w:r>
        <w:t xml:space="preserve">and dropped:</w:t>
      </w:r>
      <w:r>
        <w:t xml:space="preserve"> </w:t>
      </w:r>
      <w:r>
        <w:rPr>
          <w:iCs/>
          <w:i/>
        </w:rPr>
        <w:t xml:space="preserve">kṛ</w:t>
      </w:r>
      <w:r>
        <w:t xml:space="preserve"> </w:t>
      </w:r>
      <w:r>
        <w:t xml:space="preserve">+</w:t>
      </w:r>
      <w:r>
        <w:t xml:space="preserve"> </w:t>
      </w:r>
      <w:r>
        <w:rPr>
          <w:iCs/>
          <w:i/>
        </w:rPr>
        <w:t xml:space="preserve">atu</w:t>
      </w:r>
      <w:r>
        <w:t xml:space="preserve">. The suffix being</w:t>
      </w:r>
      <w:r>
        <w:t xml:space="preserve"> </w:t>
      </w:r>
      <w:r>
        <w:rPr>
          <w:iCs/>
          <w:i/>
        </w:rPr>
        <w:t xml:space="preserve">kit</w:t>
      </w:r>
      <w:r>
        <w:t xml:space="preserve">,</w:t>
      </w:r>
      <w:r>
        <w:t xml:space="preserve"> </w:t>
      </w:r>
      <w:r>
        <w:rPr>
          <w:iCs/>
          <w:i/>
        </w:rPr>
        <w:t xml:space="preserve">guṇa</w:t>
      </w:r>
      <w:r>
        <w:t xml:space="preserve"> </w:t>
      </w:r>
      <w:r>
        <w:t xml:space="preserve">is barred by</w:t>
      </w:r>
      <w:r>
        <w:t xml:space="preserve"> </w:t>
      </w:r>
      <w:r>
        <w:t xml:space="preserve">“</w:t>
      </w:r>
      <w:r>
        <w:t xml:space="preserve">kṅiti ca</w:t>
      </w:r>
      <w:r>
        <w:t xml:space="preserve">”</w:t>
      </w:r>
      <w:r>
        <w:t xml:space="preserve"> </w:t>
      </w:r>
      <w:r>
        <w:t xml:space="preserve">(Pā. sū. 1-1-5), so</w:t>
      </w:r>
      <w:r>
        <w:t xml:space="preserve"> </w:t>
      </w:r>
      <w:r>
        <w:rPr>
          <w:iCs/>
          <w:i/>
        </w:rPr>
        <w:t xml:space="preserve">guṇa</w:t>
      </w:r>
      <w:r>
        <w:t xml:space="preserve"> </w:t>
      </w:r>
      <w:r>
        <w:t xml:space="preserve">by</w:t>
      </w:r>
      <w:r>
        <w:t xml:space="preserve"> </w:t>
      </w:r>
      <w:r>
        <w:t xml:space="preserve">“</w:t>
      </w:r>
      <w:r>
        <w:t xml:space="preserve">sārvadhātukārdhadhātukayoḥ</w:t>
      </w:r>
      <w:r>
        <w:t xml:space="preserve">”</w:t>
      </w:r>
      <w:r>
        <w:t xml:space="preserve"> </w:t>
      </w:r>
      <w:r>
        <w:t xml:space="preserve">(Pā. sū. 7-3-84) does not come. By the substitute</w:t>
      </w:r>
      <w:r>
        <w:t xml:space="preserve"> </w:t>
      </w:r>
      <w:r>
        <w:rPr>
          <w:iCs/>
          <w:i/>
        </w:rPr>
        <w:t xml:space="preserve">yaṇ</w:t>
      </w:r>
      <w:r>
        <w:t xml:space="preserve">,</w:t>
      </w:r>
      <w:r>
        <w:t xml:space="preserve"> </w:t>
      </w:r>
      <w:r>
        <w:rPr>
          <w:iCs/>
          <w:i/>
        </w:rPr>
        <w:t xml:space="preserve">r</w:t>
      </w:r>
      <w:r>
        <w:t xml:space="preserve"> </w:t>
      </w:r>
      <w:r>
        <w:t xml:space="preserve">for the</w:t>
      </w:r>
      <w:r>
        <w:t xml:space="preserve"> </w:t>
      </w:r>
      <w:r>
        <w:rPr>
          <w:iCs/>
          <w:i/>
        </w:rPr>
        <w:t xml:space="preserve">ṛ</w:t>
      </w:r>
      <w:r>
        <w:t xml:space="preserve">; by</w:t>
      </w:r>
      <w:r>
        <w:t xml:space="preserve"> </w:t>
      </w:r>
      <w:r>
        <w:t xml:space="preserve">“</w:t>
      </w:r>
      <w:r>
        <w:t xml:space="preserve">ādyudāttaś ca</w:t>
      </w:r>
      <w:r>
        <w:t xml:space="preserve">”</w:t>
      </w:r>
      <w:r>
        <w:t xml:space="preserve"> </w:t>
      </w:r>
      <w:r>
        <w:t xml:space="preserve">(Pā. sū. 3-1-3), the suffix accent,</w:t>
      </w:r>
      <w:r>
        <w:t xml:space="preserve"> </w:t>
      </w:r>
      <w:r>
        <w:rPr>
          <w:iCs/>
          <w:i/>
        </w:rPr>
        <w:t xml:space="preserve">kratu</w:t>
      </w:r>
      <w:r>
        <w:t xml:space="preserve"> </w:t>
      </w:r>
      <w:r>
        <w:t xml:space="preserve">is initial udātta.</w:t>
      </w:r>
    </w:p>
    <w:p>
      <w:pPr>
        <w:pStyle w:val="BodyText"/>
      </w:pPr>
      <w:r>
        <w:rPr>
          <w:bCs/>
          <w:b/>
        </w:rPr>
        <w:t xml:space="preserve">गहि (</w:t>
      </w:r>
      <w:r>
        <w:rPr>
          <w:iCs/>
          <w:i/>
          <w:bCs/>
          <w:b/>
        </w:rPr>
        <w:t xml:space="preserve">gahi</w:t>
      </w:r>
      <w:r>
        <w:rPr>
          <w:bCs/>
          <w:b/>
        </w:rPr>
        <w:t xml:space="preserve">)</w:t>
      </w:r>
      <w:r>
        <w:t xml:space="preserve">: the root</w:t>
      </w:r>
      <w:r>
        <w:t xml:space="preserve"> </w:t>
      </w:r>
      <w:r>
        <w:rPr>
          <w:iCs/>
          <w:i/>
        </w:rPr>
        <w:t xml:space="preserve">gamḷ sṛpḷ gatau</w:t>
      </w:r>
      <w:r>
        <w:t xml:space="preserve">;</w:t>
      </w:r>
      <w:r>
        <w:t xml:space="preserve"> </w:t>
      </w:r>
      <w:r>
        <w:rPr>
          <w:iCs/>
          <w:i/>
        </w:rPr>
        <w:t xml:space="preserve">loṭ</w:t>
      </w:r>
      <w:r>
        <w:t xml:space="preserve">, 2nd singular</w:t>
      </w:r>
      <w:r>
        <w:t xml:space="preserve"> </w:t>
      </w:r>
      <w:r>
        <w:rPr>
          <w:iCs/>
          <w:i/>
        </w:rPr>
        <w:t xml:space="preserve">sip</w:t>
      </w:r>
      <w:r>
        <w:t xml:space="preserve">; by</w:t>
      </w:r>
      <w:r>
        <w:t xml:space="preserve"> </w:t>
      </w:r>
      <w:r>
        <w:t xml:space="preserve">“</w:t>
      </w:r>
      <w:r>
        <w:t xml:space="preserve">ser hy apic ca</w:t>
      </w:r>
      <w:r>
        <w:t xml:space="preserve">”</w:t>
      </w:r>
      <w:r>
        <w:t xml:space="preserve"> </w:t>
      </w:r>
      <w:r>
        <w:t xml:space="preserve">(Pā. sū. 3-4-87)</w:t>
      </w:r>
      <w:r>
        <w:t xml:space="preserve"> </w:t>
      </w:r>
      <w:r>
        <w:rPr>
          <w:iCs/>
          <w:i/>
        </w:rPr>
        <w:t xml:space="preserve">hi</w:t>
      </w:r>
      <w:r>
        <w:t xml:space="preserve"> </w:t>
      </w:r>
      <w:r>
        <w:t xml:space="preserve">for</w:t>
      </w:r>
      <w:r>
        <w:t xml:space="preserve"> </w:t>
      </w:r>
      <w:r>
        <w:rPr>
          <w:iCs/>
          <w:i/>
        </w:rPr>
        <w:t xml:space="preserve">si</w:t>
      </w:r>
      <w:r>
        <w:t xml:space="preserve">:</w:t>
      </w:r>
      <w:r>
        <w:t xml:space="preserve"> </w:t>
      </w:r>
      <w:r>
        <w:rPr>
          <w:iCs/>
          <w:i/>
        </w:rPr>
        <w:t xml:space="preserve">gam</w:t>
      </w:r>
      <w:r>
        <w:t xml:space="preserve"> </w:t>
      </w:r>
      <w:r>
        <w:t xml:space="preserve">+</w:t>
      </w:r>
      <w:r>
        <w:t xml:space="preserve"> </w:t>
      </w:r>
      <w:r>
        <w:rPr>
          <w:iCs/>
          <w:i/>
        </w:rPr>
        <w:t xml:space="preserve">hi</w:t>
      </w:r>
      <w:r>
        <w:t xml:space="preserve">; the</w:t>
      </w:r>
      <w:r>
        <w:t xml:space="preserve"> </w:t>
      </w:r>
      <w:r>
        <w:rPr>
          <w:iCs/>
          <w:i/>
        </w:rPr>
        <w:t xml:space="preserve">vikaraṇa</w:t>
      </w:r>
      <w:r>
        <w:t xml:space="preserve"> </w:t>
      </w:r>
      <w:r>
        <w:rPr>
          <w:iCs/>
          <w:i/>
        </w:rPr>
        <w:t xml:space="preserve">śap</w:t>
      </w:r>
      <w:r>
        <w:t xml:space="preserve"> </w:t>
      </w:r>
      <w:r>
        <w:t xml:space="preserve">by</w:t>
      </w:r>
      <w:r>
        <w:t xml:space="preserve"> </w:t>
      </w:r>
      <w:r>
        <w:rPr>
          <w:iCs/>
          <w:i/>
        </w:rPr>
        <w:t xml:space="preserve">kartari śap</w:t>
      </w:r>
      <w:r>
        <w:t xml:space="preserve">; for it</w:t>
      </w:r>
      <w:r>
        <w:t xml:space="preserve"> </w:t>
      </w:r>
      <w:r>
        <w:rPr>
          <w:iCs/>
          <w:i/>
        </w:rPr>
        <w:t xml:space="preserve">luk</w:t>
      </w:r>
      <w:r>
        <w:t xml:space="preserve"> </w:t>
      </w:r>
      <w:r>
        <w:t xml:space="preserve">by</w:t>
      </w:r>
      <w:r>
        <w:t xml:space="preserve"> </w:t>
      </w:r>
      <w:r>
        <w:t xml:space="preserve">“</w:t>
      </w:r>
      <w:r>
        <w:t xml:space="preserve">bahulaṃ chandasi</w:t>
      </w:r>
      <w:r>
        <w:t xml:space="preserve">”</w:t>
      </w:r>
      <w:r>
        <w:t xml:space="preserve"> </w:t>
      </w:r>
      <w:r>
        <w:t xml:space="preserve">(Pā. sū. 2-4-73). In the Mahābhāṣya on the sūtra</w:t>
      </w:r>
      <w:r>
        <w:t xml:space="preserve"> </w:t>
      </w:r>
      <w:r>
        <w:t xml:space="preserve">“</w:t>
      </w:r>
      <w:r>
        <w:t xml:space="preserve">[ekāca upadeśe ’nudāttāt]</w:t>
      </w:r>
      <w:r>
        <w:t xml:space="preserve">”</w:t>
      </w:r>
      <w:r>
        <w:t xml:space="preserve"> </w:t>
      </w:r>
      <w:r>
        <w:t xml:space="preserve">(Pā. sū. 7-2-10) [the sūtra name is garbled in the print], the kārikā that counts the</w:t>
      </w:r>
      <w:r>
        <w:t xml:space="preserve"> </w:t>
      </w:r>
      <w:r>
        <w:rPr>
          <w:iCs/>
          <w:i/>
        </w:rPr>
        <w:t xml:space="preserve">anudāttopadeśa</w:t>
      </w:r>
      <w:r>
        <w:t xml:space="preserve"> </w:t>
      </w:r>
      <w:r>
        <w:t xml:space="preserve">roots (</w:t>
      </w:r>
      <w:r>
        <w:rPr>
          <w:iCs/>
          <w:i/>
        </w:rPr>
        <w:t xml:space="preserve">lip</w:t>
      </w:r>
      <w:r>
        <w:t xml:space="preserve">,</w:t>
      </w:r>
      <w:r>
        <w:t xml:space="preserve"> </w:t>
      </w:r>
      <w:r>
        <w:rPr>
          <w:iCs/>
          <w:i/>
        </w:rPr>
        <w:t xml:space="preserve">lup</w:t>
      </w:r>
      <w:r>
        <w:t xml:space="preserve">,</w:t>
      </w:r>
      <w:r>
        <w:t xml:space="preserve"> </w:t>
      </w:r>
      <w:r>
        <w:rPr>
          <w:iCs/>
          <w:i/>
        </w:rPr>
        <w:t xml:space="preserve">vap</w:t>
      </w:r>
      <w:r>
        <w:t xml:space="preserve">,</w:t>
      </w:r>
      <w:r>
        <w:t xml:space="preserve"> </w:t>
      </w:r>
      <w:r>
        <w:rPr>
          <w:iCs/>
          <w:i/>
        </w:rPr>
        <w:t xml:space="preserve">svap</w:t>
      </w:r>
      <w:r>
        <w:t xml:space="preserve">,</w:t>
      </w:r>
      <w:r>
        <w:t xml:space="preserve"> </w:t>
      </w:r>
      <w:r>
        <w:rPr>
          <w:iCs/>
          <w:i/>
        </w:rPr>
        <w:t xml:space="preserve">sṛp</w:t>
      </w:r>
      <w:r>
        <w:t xml:space="preserve">,</w:t>
      </w:r>
      <w:r>
        <w:t xml:space="preserve"> </w:t>
      </w:r>
      <w:r>
        <w:rPr>
          <w:iCs/>
          <w:i/>
        </w:rPr>
        <w:t xml:space="preserve">yabh</w:t>
      </w:r>
      <w:r>
        <w:t xml:space="preserve">,</w:t>
      </w:r>
      <w:r>
        <w:t xml:space="preserve"> </w:t>
      </w:r>
      <w:r>
        <w:rPr>
          <w:iCs/>
          <w:i/>
        </w:rPr>
        <w:t xml:space="preserve">rabh</w:t>
      </w:r>
      <w:r>
        <w:t xml:space="preserve">,</w:t>
      </w:r>
      <w:r>
        <w:t xml:space="preserve"> </w:t>
      </w:r>
      <w:r>
        <w:rPr>
          <w:iCs/>
          <w:i/>
        </w:rPr>
        <w:t xml:space="preserve">labh</w:t>
      </w:r>
      <w:r>
        <w:t xml:space="preserve">,</w:t>
      </w:r>
      <w:r>
        <w:t xml:space="preserve"> </w:t>
      </w:r>
      <w:r>
        <w:rPr>
          <w:iCs/>
          <w:i/>
        </w:rPr>
        <w:t xml:space="preserve">gam</w:t>
      </w:r>
      <w:r>
        <w:t xml:space="preserve">,</w:t>
      </w:r>
      <w:r>
        <w:t xml:space="preserve"> </w:t>
      </w:r>
      <w:r>
        <w:rPr>
          <w:iCs/>
          <w:i/>
        </w:rPr>
        <w:t xml:space="preserve">nam</w:t>
      </w:r>
      <w:r>
        <w:t xml:space="preserve"> </w:t>
      </w:r>
      <w:r>
        <w:t xml:space="preserve">…) contains</w:t>
      </w:r>
      <w:r>
        <w:t xml:space="preserve"> </w:t>
      </w:r>
      <w:r>
        <w:rPr>
          <w:iCs/>
          <w:i/>
        </w:rPr>
        <w:t xml:space="preserve">gam</w:t>
      </w:r>
      <w:r>
        <w:t xml:space="preserve">. So it is</w:t>
      </w:r>
      <w:r>
        <w:t xml:space="preserve"> </w:t>
      </w:r>
      <w:r>
        <w:rPr>
          <w:iCs/>
          <w:i/>
        </w:rPr>
        <w:t xml:space="preserve">anudātta</w:t>
      </w:r>
      <w:r>
        <w:t xml:space="preserve">; so by</w:t>
      </w:r>
      <w:r>
        <w:t xml:space="preserve"> </w:t>
      </w:r>
      <w:r>
        <w:t xml:space="preserve">“</w:t>
      </w:r>
      <w:r>
        <w:t xml:space="preserve">anudāttopadeśavanatitanotyādīnām anunāsikalopo jhali kṅiti</w:t>
      </w:r>
      <w:r>
        <w:t xml:space="preserve">”</w:t>
      </w:r>
      <w:r>
        <w:t xml:space="preserve"> </w:t>
      </w:r>
      <w:r>
        <w:t xml:space="preserve">(Pā. sū. 6-4-37), before a</w:t>
      </w:r>
      <w:r>
        <w:t xml:space="preserve"> </w:t>
      </w:r>
      <w:r>
        <w:rPr>
          <w:iCs/>
          <w:i/>
        </w:rPr>
        <w:t xml:space="preserve">jhal</w:t>
      </w:r>
      <w:r>
        <w:t xml:space="preserve">-initial suffix marked with</w:t>
      </w:r>
      <w:r>
        <w:t xml:space="preserve"> </w:t>
      </w:r>
      <w:r>
        <w:rPr>
          <w:iCs/>
          <w:i/>
        </w:rPr>
        <w:t xml:space="preserve">k</w:t>
      </w:r>
      <w:r>
        <w:t xml:space="preserve"> </w:t>
      </w:r>
      <w:r>
        <w:t xml:space="preserve">or</w:t>
      </w:r>
      <w:r>
        <w:t xml:space="preserve"> </w:t>
      </w:r>
      <w:r>
        <w:rPr>
          <w:iCs/>
          <w:i/>
        </w:rPr>
        <w:t xml:space="preserve">ṅ</w:t>
      </w:r>
      <w:r>
        <w:t xml:space="preserve">, the last letter of the nasal-final</w:t>
      </w:r>
      <w:r>
        <w:t xml:space="preserve"> </w:t>
      </w:r>
      <w:r>
        <w:rPr>
          <w:iCs/>
          <w:i/>
        </w:rPr>
        <w:t xml:space="preserve">anudāttopadeśa</w:t>
      </w:r>
      <w:r>
        <w:t xml:space="preserve"> </w:t>
      </w:r>
      <w:r>
        <w:t xml:space="preserve">roots, of the nasal-final</w:t>
      </w:r>
      <w:r>
        <w:t xml:space="preserve"> </w:t>
      </w:r>
      <w:r>
        <w:rPr>
          <w:iCs/>
          <w:i/>
        </w:rPr>
        <w:t xml:space="preserve">tanoty-ādi</w:t>
      </w:r>
      <w:r>
        <w:t xml:space="preserve"> </w:t>
      </w:r>
      <w:r>
        <w:t xml:space="preserve">roots and of the root</w:t>
      </w:r>
      <w:r>
        <w:t xml:space="preserve"> </w:t>
      </w:r>
      <w:r>
        <w:rPr>
          <w:iCs/>
          <w:i/>
        </w:rPr>
        <w:t xml:space="preserve">van</w:t>
      </w:r>
      <w:r>
        <w:t xml:space="preserve"> </w:t>
      </w:r>
      <w:r>
        <w:t xml:space="preserve">drops; so the nasal</w:t>
      </w:r>
      <w:r>
        <w:t xml:space="preserve"> </w:t>
      </w:r>
      <w:r>
        <w:rPr>
          <w:iCs/>
          <w:i/>
        </w:rPr>
        <w:t xml:space="preserve">m</w:t>
      </w:r>
      <w:r>
        <w:t xml:space="preserve"> </w:t>
      </w:r>
      <w:r>
        <w:t xml:space="preserve">drops:</w:t>
      </w:r>
      <w:r>
        <w:t xml:space="preserve"> </w:t>
      </w:r>
      <w:r>
        <w:rPr>
          <w:iCs/>
          <w:i/>
        </w:rPr>
        <w:t xml:space="preserve">ga</w:t>
      </w:r>
      <w:r>
        <w:t xml:space="preserve"> </w:t>
      </w:r>
      <w:r>
        <w:t xml:space="preserve">+</w:t>
      </w:r>
      <w:r>
        <w:t xml:space="preserve"> </w:t>
      </w:r>
      <w:r>
        <w:rPr>
          <w:iCs/>
          <w:i/>
        </w:rPr>
        <w:t xml:space="preserve">hi</w:t>
      </w:r>
      <w:r>
        <w:t xml:space="preserve">. By</w:t>
      </w:r>
      <w:r>
        <w:t xml:space="preserve"> </w:t>
      </w:r>
      <w:r>
        <w:t xml:space="preserve">“</w:t>
      </w:r>
      <w:r>
        <w:t xml:space="preserve">asiddhavad atrābhāt</w:t>
      </w:r>
      <w:r>
        <w:t xml:space="preserve">”</w:t>
      </w:r>
      <w:r>
        <w:t xml:space="preserve"> </w:t>
      </w:r>
      <w:r>
        <w:t xml:space="preserve">(Pā. sū. 6-4-22), when the</w:t>
      </w:r>
      <w:r>
        <w:t xml:space="preserve"> </w:t>
      </w:r>
      <w:r>
        <w:rPr>
          <w:iCs/>
          <w:i/>
        </w:rPr>
        <w:t xml:space="preserve">luk</w:t>
      </w:r>
      <w:r>
        <w:t xml:space="preserve"> </w:t>
      </w:r>
      <w:r>
        <w:t xml:space="preserve">of</w:t>
      </w:r>
      <w:r>
        <w:t xml:space="preserve"> </w:t>
      </w:r>
      <w:r>
        <w:rPr>
          <w:iCs/>
          <w:i/>
        </w:rPr>
        <w:t xml:space="preserve">hi</w:t>
      </w:r>
      <w:r>
        <w:t xml:space="preserve"> </w:t>
      </w:r>
      <w:r>
        <w:t xml:space="preserve">is made by the</w:t>
      </w:r>
      <w:r>
        <w:t xml:space="preserve"> </w:t>
      </w:r>
      <w:r>
        <w:rPr>
          <w:iCs/>
          <w:i/>
        </w:rPr>
        <w:t xml:space="preserve">ābhīya</w:t>
      </w:r>
      <w:r>
        <w:t xml:space="preserve"> </w:t>
      </w:r>
      <w:r>
        <w:t xml:space="preserve">rule</w:t>
      </w:r>
      <w:r>
        <w:t xml:space="preserve"> </w:t>
      </w:r>
      <w:r>
        <w:t xml:space="preserve">“</w:t>
      </w:r>
      <w:r>
        <w:t xml:space="preserve">ato heḥ</w:t>
      </w:r>
      <w:r>
        <w:t xml:space="preserve">”</w:t>
      </w:r>
      <w:r>
        <w:t xml:space="preserve"> </w:t>
      </w:r>
      <w:r>
        <w:t xml:space="preserve">(Pā. sū. 6-4-105), the</w:t>
      </w:r>
      <w:r>
        <w:t xml:space="preserve"> </w:t>
      </w:r>
      <w:r>
        <w:rPr>
          <w:iCs/>
          <w:i/>
        </w:rPr>
        <w:t xml:space="preserve">ābhīya</w:t>
      </w:r>
      <w:r>
        <w:t xml:space="preserve"> </w:t>
      </w:r>
      <w:r>
        <w:t xml:space="preserve">loss of</w:t>
      </w:r>
      <w:r>
        <w:t xml:space="preserve"> </w:t>
      </w:r>
      <w:r>
        <w:rPr>
          <w:iCs/>
          <w:i/>
        </w:rPr>
        <w:t xml:space="preserve">m</w:t>
      </w:r>
      <w:r>
        <w:t xml:space="preserve"> </w:t>
      </w:r>
      <w:r>
        <w:t xml:space="preserve">is</w:t>
      </w:r>
      <w:r>
        <w:t xml:space="preserve"> </w:t>
      </w:r>
      <w:r>
        <w:rPr>
          <w:iCs/>
          <w:i/>
        </w:rPr>
        <w:t xml:space="preserve">asiddha</w:t>
      </w:r>
      <w:r>
        <w:t xml:space="preserve">. So there is no being</w:t>
      </w:r>
      <w:r>
        <w:t xml:space="preserve"> </w:t>
      </w:r>
      <w:r>
        <w:rPr>
          <w:iCs/>
          <w:i/>
        </w:rPr>
        <w:t xml:space="preserve">a</w:t>
      </w:r>
      <w:r>
        <w:t xml:space="preserve">-final; so the</w:t>
      </w:r>
      <w:r>
        <w:t xml:space="preserve"> </w:t>
      </w:r>
      <w:r>
        <w:rPr>
          <w:iCs/>
          <w:i/>
        </w:rPr>
        <w:t xml:space="preserve">luk</w:t>
      </w:r>
      <w:r>
        <w:t xml:space="preserve"> </w:t>
      </w:r>
      <w:r>
        <w:t xml:space="preserve">of</w:t>
      </w:r>
      <w:r>
        <w:t xml:space="preserve"> </w:t>
      </w:r>
      <w:r>
        <w:rPr>
          <w:iCs/>
          <w:i/>
        </w:rPr>
        <w:t xml:space="preserve">hi</w:t>
      </w:r>
      <w:r>
        <w:t xml:space="preserve"> </w:t>
      </w:r>
      <w:r>
        <w:t xml:space="preserve">does not come. In</w:t>
      </w:r>
      <w:r>
        <w:t xml:space="preserve"> </w:t>
      </w:r>
      <w:r>
        <w:rPr>
          <w:iCs/>
          <w:i/>
        </w:rPr>
        <w:t xml:space="preserve">gahi</w:t>
      </w:r>
      <w:r>
        <w:t xml:space="preserve">, by</w:t>
      </w:r>
      <w:r>
        <w:t xml:space="preserve"> </w:t>
      </w:r>
      <w:r>
        <w:t xml:space="preserve">“</w:t>
      </w:r>
      <w:r>
        <w:t xml:space="preserve">tiṅṅatiṅaḥ</w:t>
      </w:r>
      <w:r>
        <w:t xml:space="preserve">”</w:t>
      </w:r>
      <w:r>
        <w:t xml:space="preserve"> </w:t>
      </w:r>
      <w:r>
        <w:t xml:space="preserve">(Pā. sū. 8-1-28), it is wholly unaccented.</w:t>
      </w:r>
    </w:p>
    <w:p>
      <w:pPr>
        <w:pStyle w:val="BodyText"/>
      </w:pPr>
      <w:r>
        <w:rPr>
          <w:bCs/>
          <w:b/>
        </w:rPr>
        <w:t xml:space="preserve">॥२॥</w:t>
      </w:r>
    </w:p>
    <w:p>
      <w:r>
        <w:pict>
          <v:rect style="width:0;height:1.5pt" o:hralign="center" o:hrstd="t" o:hr="t"/>
        </w:pict>
      </w:r>
    </w:p>
    <w:bookmarkEnd w:id="874"/>
    <w:bookmarkStart w:id="875" w:name="page-788-lower-sūkta-19-rik-3"/>
    <w:p>
      <w:pPr>
        <w:pStyle w:val="Heading3"/>
      </w:pPr>
      <w:r>
        <w:t xml:space="preserve">Page 788 (lower) — Sūkta 19, Rik 3</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ये म॒हो रज॑सो वि॒दुर्विश्वे॑ दे॒वासो॑ अ॒द्रुहः॑ । [accent ?]</w:t>
      </w:r>
      <w:r>
        <w:t xml:space="preserve"> </w:t>
      </w:r>
      <w:r>
        <w:t xml:space="preserve">म॒रुद्भि॑रग्न॒ आ ग॑हि ॥३॥ [accent ?]</w:t>
      </w:r>
    </w:p>
    <w:p>
      <w:pPr>
        <w:pStyle w:val="BlockText"/>
      </w:pPr>
      <w:r>
        <w:rPr>
          <w:iCs/>
          <w:i/>
        </w:rPr>
        <w:t xml:space="preserve">ye mahó rájaso vidúr víśve devā́so adrúhaḥ |</w:t>
      </w:r>
      <w:r>
        <w:t xml:space="preserve"> </w:t>
      </w:r>
      <w:r>
        <w:t xml:space="preserve">[accent ?]</w:t>
      </w:r>
      <w:r>
        <w:t xml:space="preserve"> </w:t>
      </w:r>
      <w:r>
        <w:rPr>
          <w:iCs/>
          <w:i/>
        </w:rPr>
        <w:t xml:space="preserve">marúdbhir agna ā́ gahi ||3||</w:t>
      </w:r>
      <w:r>
        <w:t xml:space="preserve"> </w:t>
      </w:r>
      <w:r>
        <w:t xml:space="preserve">[accent ?]</w:t>
      </w:r>
    </w:p>
    <w:p>
      <w:pPr>
        <w:pStyle w:val="FirstParagraph"/>
      </w:pPr>
      <w:r>
        <w:rPr>
          <w:iCs/>
          <w:i/>
        </w:rPr>
        <w:t xml:space="preserve">(Read as printed: bars under म (महो), वि, दे, अ, म (मरु) and ग्न; strokes over ज, श्वे, सो, हः, द्भि and ग.)</w:t>
      </w:r>
    </w:p>
    <w:bookmarkEnd w:id="875"/>
    <w:bookmarkStart w:id="876" w:name="X636d6d7776eecca076e3b9518ba38327d99b39d"/>
    <w:p>
      <w:pPr>
        <w:pStyle w:val="Heading3"/>
      </w:pPr>
      <w:r>
        <w:t xml:space="preserve">Page 789 — Rik 3: Pada, bhāṣya, word-meanings, overall sense</w:t>
      </w:r>
    </w:p>
    <w:p>
      <w:pPr>
        <w:pStyle w:val="FirstParagraph"/>
      </w:pPr>
      <w:r>
        <w:rPr>
          <w:bCs/>
          <w:b/>
        </w:rPr>
        <w:t xml:space="preserve">॥ Pada-pāṭhaḥ ॥</w:t>
      </w:r>
    </w:p>
    <w:p>
      <w:pPr>
        <w:pStyle w:val="BlockText"/>
      </w:pPr>
      <w:r>
        <w:t xml:space="preserve">ये । महः । रजसः । विदुः । विश्वे । देवासः । अद्रुहः ॥</w:t>
      </w:r>
      <w:r>
        <w:t xml:space="preserve"> </w:t>
      </w:r>
      <w:r>
        <w:t xml:space="preserve">मरुत्ऽभिः । अग्ने । आ । गहि ॥३॥</w:t>
      </w:r>
    </w:p>
    <w:p>
      <w:pPr>
        <w:pStyle w:val="BlockText"/>
      </w:pPr>
      <w:r>
        <w:rPr>
          <w:iCs/>
          <w:i/>
        </w:rPr>
        <w:t xml:space="preserve">ye | mahaḥ | rajasaḥ | viduḥ | viśve | devāsaḥ | adruhaḥ ||</w:t>
      </w:r>
      <w:r>
        <w:t xml:space="preserve"> </w:t>
      </w:r>
      <w:r>
        <w:rPr>
          <w:iCs/>
          <w:i/>
        </w:rPr>
        <w:t xml:space="preserve">marut ’bhiḥ | agne | ā | gahi ||3||</w:t>
      </w:r>
    </w:p>
    <w:p>
      <w:pPr>
        <w:pStyle w:val="FirstParagraph"/>
      </w:pPr>
      <w:r>
        <w:rPr>
          <w:bCs/>
          <w:b/>
        </w:rPr>
        <w:t xml:space="preserve">॥ Sāyaṇa-bhāṣyam ॥</w:t>
      </w:r>
    </w:p>
    <w:p>
      <w:pPr>
        <w:pStyle w:val="BlockText"/>
      </w:pPr>
      <w:r>
        <w:t xml:space="preserve">हे अग्ने ये मरुतो महो रजसो महत उदकस्य वर्षणप्रकारं विदुस्तैर्मरुद्भिरित्यन्वयः । कीदृशा मरुतः । विश्वे सर्वे सप्तविधगणोपेताः । सप्तगणा वै मरुतः । तै. सं. २-२-११-१ । इति श्रुतेः । देवासो द्योतमाना अद्रुहो द्रोहरहिता वर्षणेन सर्वभूतोपकारित्वात् । तथा चोपरिष्टादाम्नायते । उदीरयथा मरुतः समुद्रतो यूयं वृष्टिं वर्षयथा पुरीषिणः । ऋग्वे. ५-५५-५ । इति । शाखान्तरेऽपि मन्त्रान्तरस्य ब्राह्मणमेवमाम्नायते । मरुतां पृषतयः स्थेत्याह मरुतो वै वृष्ट्या ईशते इति । रजःशब्दो यास्केन बहुधा व्याख्यातः । रजो रजतेर्ज्योती रज उच्यत उदकं रज उच्यते । लोका रजांस्युच्यन्तेऽसृगहनी रजसी उच्येते । नि. ४-१९ । इति ॥ रजसः । नब्विषयस्यानिसन्तस्येत्याद्युदात्तः । विदुः । विद ज्ञाने । विदो लटो वा । पा. ३-४-८३ । इति झेरुसादेशः । प्रत्ययस्वरः । यद्वृत्तयोगान्निघाताभावः । विश्वे । विशेः क्वन्नन्तस्य नित्त्वादाद्युदात्तत्वम् । देवासः । आज्जसेरसुक् । देवशब्दः पचाद्यजन्तः । चित्त्वादन्तोदात्तः । अद्रुहः । संपदादित्वाद्भावे क्विपि बहुव्रीहौ नञ्सुभ्यामित्यन्तोदात्तत्वम् । कर्तरि वा क्विप् तत्पुरुषे ह्यव्ययपूर्वपदप्रकृतिस्वरत्वं स्यात् । न च कृदुत्तरपदप्रकृतिस्वरत्वं यतो नञ् न गतिर्न च कारक इति । पा. ६-२-१३९ ॥</w:t>
      </w:r>
    </w:p>
    <w:p>
      <w:pPr>
        <w:pStyle w:val="BlockText"/>
      </w:pPr>
      <w:r>
        <w:rPr>
          <w:iCs/>
          <w:i/>
        </w:rPr>
        <w:t xml:space="preserve">he agne ye maruto maho rajaso mahata udakasya varṣaṇaprakāraṃ vidustairmarudbhirityanvayaḥ | kīdṛśā marutaḥ | viśve sarve saptavidhagaṇopetāḥ | saptagaṇā vai marutaḥ | tai. saṃ. 2-2-11-1 | iti śruteḥ | devāso dyotamānā adruho droharahitā varṣaṇena sarvabhūtopakāritvāt | tathā copariṣṭādāmnāyate | udīrayathā marutaḥ samudrato yūyaṃ vṛṣṭiṃ varṣayathā purīṣiṇaḥ | ṛgve. 5-55-5 | iti | śākhāntare ’pi mantrāntarasya brāhmaṇamevamāmnāyate | marutāṃ pṛṣatayaḥ sthetyāha maruto vai vṛṣṭyā īśate iti | rajaḥśabdo yāskena bahudhā vyākhyātaḥ | rajo rajaterjyotī raja ucyata udakaṃ raja ucyate | lokā rajāṃsyucyante ’sṛgahanī rajasī ucyete | ni. 4-19 | iti || rajasaḥ | nabviṣayasyānisantasyetyādyudāttaḥ | viduḥ | vida jñāne | vido laṭo vā | pā. 3-4-83 | iti jherusādeśaḥ | pratyayasvaraḥ | yadvṛttayogānnighātābhāvaḥ | viśve | viśeḥ kvannantasya nittvādādyudāttatvam | devāsaḥ | ājjaserasuk | devaśabdaḥ pacādyajantaḥ | cittvādantodāttaḥ | adruhaḥ | saṃpadāditvādbhāve kvipi bahuvrīhau nañsubhyāmityantodāttatvam | kartari vā kvip tatpuruṣe hyavyayapūrvapadaprakṛtisvaratvaṃ syāt | na ca kṛduttarapadaprakṛtisvaratvaṃ yato nañ na gatirna ca kāraka iti | pā. 6-2-139 ||</w:t>
      </w:r>
    </w:p>
    <w:p>
      <w:pPr>
        <w:pStyle w:val="FirstParagraph"/>
      </w:pPr>
      <w:r>
        <w:rPr>
          <w:bCs/>
          <w:b/>
        </w:rPr>
        <w:t xml:space="preserve">Translation:</w:t>
      </w:r>
      <w:r>
        <w:t xml:space="preserve"> </w:t>
      </w:r>
      <w:r>
        <w:t xml:space="preserve">“</w:t>
      </w:r>
      <w:r>
        <w:t xml:space="preserve">O Agni, the Maruts who</w:t>
      </w:r>
      <w:r>
        <w:t xml:space="preserve"> </w:t>
      </w:r>
      <w:r>
        <w:rPr>
          <w:iCs/>
          <w:i/>
        </w:rPr>
        <w:t xml:space="preserve">viduḥ</w:t>
      </w:r>
      <w:r>
        <w:t xml:space="preserve">, know, the manner of raining of the</w:t>
      </w:r>
      <w:r>
        <w:t xml:space="preserve"> </w:t>
      </w:r>
      <w:r>
        <w:rPr>
          <w:iCs/>
          <w:i/>
        </w:rPr>
        <w:t xml:space="preserve">mahas rajas</w:t>
      </w:r>
      <w:r>
        <w:t xml:space="preserve">, the great water: with those Maruts (come): that is the construction. Of what kind are the Maruts?</w:t>
      </w:r>
      <w:r>
        <w:t xml:space="preserve"> </w:t>
      </w:r>
      <w:r>
        <w:rPr>
          <w:iCs/>
          <w:i/>
        </w:rPr>
        <w:t xml:space="preserve">Viśve</w:t>
      </w:r>
      <w:r>
        <w:t xml:space="preserve">, all, endowed with seven kinds of troops, from the Śruti</w:t>
      </w:r>
      <w:r>
        <w:t xml:space="preserve"> </w:t>
      </w:r>
      <w:r>
        <w:t xml:space="preserve">‘</w:t>
      </w:r>
      <w:r>
        <w:t xml:space="preserve">The Maruts are of seven troops</w:t>
      </w:r>
      <w:r>
        <w:t xml:space="preserve">’</w:t>
      </w:r>
      <w:r>
        <w:t xml:space="preserve"> </w:t>
      </w:r>
      <w:r>
        <w:t xml:space="preserve">(Tai. saṃ. 2-2-11-1);</w:t>
      </w:r>
      <w:r>
        <w:t xml:space="preserve"> </w:t>
      </w:r>
      <w:r>
        <w:rPr>
          <w:iCs/>
          <w:i/>
        </w:rPr>
        <w:t xml:space="preserve">devāsaḥ</w:t>
      </w:r>
      <w:r>
        <w:t xml:space="preserve">, shining;</w:t>
      </w:r>
      <w:r>
        <w:t xml:space="preserve"> </w:t>
      </w:r>
      <w:r>
        <w:rPr>
          <w:iCs/>
          <w:i/>
        </w:rPr>
        <w:t xml:space="preserve">adruhaḥ</w:t>
      </w:r>
      <w:r>
        <w:t xml:space="preserve">, free from malice, since by raining they benefit all beings. So it is declared later:</w:t>
      </w:r>
      <w:r>
        <w:t xml:space="preserve"> </w:t>
      </w:r>
      <w:r>
        <w:t xml:space="preserve">‘</w:t>
      </w:r>
      <w:r>
        <w:t xml:space="preserve">O Maruts, you raise it from the ocean; you, rich in moisture, make the rain fall</w:t>
      </w:r>
      <w:r>
        <w:t xml:space="preserve">’</w:t>
      </w:r>
      <w:r>
        <w:t xml:space="preserve"> </w:t>
      </w:r>
      <w:r>
        <w:t xml:space="preserve">(Ṛgveda 5-55-5). In another</w:t>
      </w:r>
      <w:r>
        <w:t xml:space="preserve"> </w:t>
      </w:r>
      <w:r>
        <w:rPr>
          <w:iCs/>
          <w:i/>
        </w:rPr>
        <w:t xml:space="preserve">śākhā</w:t>
      </w:r>
      <w:r>
        <w:t xml:space="preserve"> </w:t>
      </w:r>
      <w:r>
        <w:t xml:space="preserve">too the Brāhmaṇa of another mantra declares:</w:t>
      </w:r>
      <w:r>
        <w:t xml:space="preserve"> </w:t>
      </w:r>
      <w:r>
        <w:t xml:space="preserve">‘</w:t>
      </w:r>
      <w:r>
        <w:t xml:space="preserve">He says, you are the dappled mares of the Maruts: the Maruts rule over rain.</w:t>
      </w:r>
      <w:r>
        <w:t xml:space="preserve">’</w:t>
      </w:r>
      <w:r>
        <w:t xml:space="preserve"> </w:t>
      </w:r>
      <w:r>
        <w:t xml:space="preserve">The word</w:t>
      </w:r>
      <w:r>
        <w:t xml:space="preserve"> </w:t>
      </w:r>
      <w:r>
        <w:rPr>
          <w:iCs/>
          <w:i/>
        </w:rPr>
        <w:t xml:space="preserve">rajas</w:t>
      </w:r>
      <w:r>
        <w:t xml:space="preserve"> </w:t>
      </w:r>
      <w:r>
        <w:t xml:space="preserve">is explained by Yāska in many ways:</w:t>
      </w:r>
      <w:r>
        <w:t xml:space="preserve"> </w:t>
      </w:r>
      <w:r>
        <w:t xml:space="preserve">‘</w:t>
      </w:r>
      <w:r>
        <w:rPr>
          <w:iCs/>
          <w:i/>
        </w:rPr>
        <w:t xml:space="preserve">Rajas</w:t>
      </w:r>
      <w:r>
        <w:t xml:space="preserve"> </w:t>
      </w:r>
      <w:r>
        <w:t xml:space="preserve">is from</w:t>
      </w:r>
      <w:r>
        <w:t xml:space="preserve"> </w:t>
      </w:r>
      <w:r>
        <w:rPr>
          <w:iCs/>
          <w:i/>
        </w:rPr>
        <w:t xml:space="preserve">rañj</w:t>
      </w:r>
      <w:r>
        <w:t xml:space="preserve">; light is called</w:t>
      </w:r>
      <w:r>
        <w:t xml:space="preserve"> </w:t>
      </w:r>
      <w:r>
        <w:rPr>
          <w:iCs/>
          <w:i/>
        </w:rPr>
        <w:t xml:space="preserve">rajas</w:t>
      </w:r>
      <w:r>
        <w:t xml:space="preserve">; water is called</w:t>
      </w:r>
      <w:r>
        <w:t xml:space="preserve"> </w:t>
      </w:r>
      <w:r>
        <w:rPr>
          <w:iCs/>
          <w:i/>
        </w:rPr>
        <w:t xml:space="preserve">rajas</w:t>
      </w:r>
      <w:r>
        <w:t xml:space="preserve">; the worlds are called</w:t>
      </w:r>
      <w:r>
        <w:t xml:space="preserve"> </w:t>
      </w:r>
      <w:r>
        <w:rPr>
          <w:iCs/>
          <w:i/>
        </w:rPr>
        <w:t xml:space="preserve">rajāṃsi</w:t>
      </w:r>
      <w:r>
        <w:t xml:space="preserve">; blood and day are called the two</w:t>
      </w:r>
      <w:r>
        <w:t xml:space="preserve"> </w:t>
      </w:r>
      <w:r>
        <w:rPr>
          <w:iCs/>
          <w:i/>
        </w:rPr>
        <w:t xml:space="preserve">rajasī</w:t>
      </w:r>
      <w:r>
        <w:t xml:space="preserve">’</w:t>
      </w:r>
      <w:r>
        <w:t xml:space="preserve"> </w:t>
      </w:r>
      <w:r>
        <w:t xml:space="preserve">(Ni. 4-19).</w:t>
      </w:r>
      <w:r>
        <w:t xml:space="preserve">”</w:t>
      </w:r>
      <w:r>
        <w:t xml:space="preserve"> </w:t>
      </w:r>
      <w:r>
        <w:t xml:space="preserve">(Grammatical tail:</w:t>
      </w:r>
      <w:r>
        <w:t xml:space="preserve"> </w:t>
      </w:r>
      <w:r>
        <w:rPr>
          <w:iCs/>
          <w:i/>
        </w:rPr>
        <w:t xml:space="preserve">rajasaḥ</w:t>
      </w:r>
      <w:r>
        <w:t xml:space="preserve">, initial udātta by</w:t>
      </w:r>
      <w:r>
        <w:t xml:space="preserve"> </w:t>
      </w:r>
      <w:r>
        <w:rPr>
          <w:iCs/>
          <w:i/>
        </w:rPr>
        <w:t xml:space="preserve">nabviṣayasyānisantasya</w:t>
      </w:r>
      <w:r>
        <w:t xml:space="preserve">;</w:t>
      </w:r>
      <w:r>
        <w:t xml:space="preserve"> </w:t>
      </w:r>
      <w:r>
        <w:rPr>
          <w:iCs/>
          <w:i/>
        </w:rPr>
        <w:t xml:space="preserve">viduḥ</w:t>
      </w:r>
      <w:r>
        <w:t xml:space="preserve">,</w:t>
      </w:r>
      <w:r>
        <w:t xml:space="preserve"> </w:t>
      </w:r>
      <w:r>
        <w:rPr>
          <w:iCs/>
          <w:i/>
        </w:rPr>
        <w:t xml:space="preserve">vida jñāne</w:t>
      </w:r>
      <w:r>
        <w:t xml:space="preserve">,</w:t>
      </w:r>
      <w:r>
        <w:t xml:space="preserve"> </w:t>
      </w:r>
      <w:r>
        <w:rPr>
          <w:iCs/>
          <w:i/>
        </w:rPr>
        <w:t xml:space="preserve">us</w:t>
      </w:r>
      <w:r>
        <w:t xml:space="preserve"> </w:t>
      </w:r>
      <w:r>
        <w:t xml:space="preserve">for</w:t>
      </w:r>
      <w:r>
        <w:t xml:space="preserve"> </w:t>
      </w:r>
      <w:r>
        <w:rPr>
          <w:iCs/>
          <w:i/>
        </w:rPr>
        <w:t xml:space="preserve">jhi</w:t>
      </w:r>
      <w:r>
        <w:t xml:space="preserve"> </w:t>
      </w:r>
      <w:r>
        <w:t xml:space="preserve">by</w:t>
      </w:r>
      <w:r>
        <w:t xml:space="preserve"> </w:t>
      </w:r>
      <w:r>
        <w:rPr>
          <w:iCs/>
          <w:i/>
        </w:rPr>
        <w:t xml:space="preserve">vido laṭo vā</w:t>
      </w:r>
      <w:r>
        <w:t xml:space="preserve"> </w:t>
      </w:r>
      <w:r>
        <w:t xml:space="preserve">(Pā. 3-4-83), the suffix accent, not lowered because joined with</w:t>
      </w:r>
      <w:r>
        <w:t xml:space="preserve"> </w:t>
      </w:r>
      <w:r>
        <w:rPr>
          <w:iCs/>
          <w:i/>
        </w:rPr>
        <w:t xml:space="preserve">yad</w:t>
      </w:r>
      <w:r>
        <w:t xml:space="preserve">;</w:t>
      </w:r>
      <w:r>
        <w:t xml:space="preserve"> </w:t>
      </w:r>
      <w:r>
        <w:rPr>
          <w:iCs/>
          <w:i/>
        </w:rPr>
        <w:t xml:space="preserve">viśve</w:t>
      </w:r>
      <w:r>
        <w:t xml:space="preserve">, initial udātta as</w:t>
      </w:r>
      <w:r>
        <w:t xml:space="preserve"> </w:t>
      </w:r>
      <w:r>
        <w:rPr>
          <w:iCs/>
          <w:i/>
        </w:rPr>
        <w:t xml:space="preserve">viśva</w:t>
      </w:r>
      <w:r>
        <w:t xml:space="preserve">, ending in</w:t>
      </w:r>
      <w:r>
        <w:t xml:space="preserve"> </w:t>
      </w:r>
      <w:r>
        <w:rPr>
          <w:iCs/>
          <w:i/>
        </w:rPr>
        <w:t xml:space="preserve">kvan</w:t>
      </w:r>
      <w:r>
        <w:t xml:space="preserve">, is</w:t>
      </w:r>
      <w:r>
        <w:t xml:space="preserve"> </w:t>
      </w:r>
      <w:r>
        <w:rPr>
          <w:iCs/>
          <w:i/>
        </w:rPr>
        <w:t xml:space="preserve">nit</w:t>
      </w:r>
      <w:r>
        <w:t xml:space="preserve">;</w:t>
      </w:r>
      <w:r>
        <w:t xml:space="preserve"> </w:t>
      </w:r>
      <w:r>
        <w:rPr>
          <w:iCs/>
          <w:i/>
        </w:rPr>
        <w:t xml:space="preserve">devāsaḥ</w:t>
      </w:r>
      <w:r>
        <w:t xml:space="preserve">,</w:t>
      </w:r>
      <w:r>
        <w:t xml:space="preserve"> </w:t>
      </w:r>
      <w:r>
        <w:rPr>
          <w:iCs/>
          <w:i/>
        </w:rPr>
        <w:t xml:space="preserve">asuk</w:t>
      </w:r>
      <w:r>
        <w:t xml:space="preserve"> </w:t>
      </w:r>
      <w:r>
        <w:t xml:space="preserve">by</w:t>
      </w:r>
      <w:r>
        <w:t xml:space="preserve"> </w:t>
      </w:r>
      <w:r>
        <w:rPr>
          <w:iCs/>
          <w:i/>
        </w:rPr>
        <w:t xml:space="preserve">āj jaser asuk</w:t>
      </w:r>
      <w:r>
        <w:t xml:space="preserve">, the word</w:t>
      </w:r>
      <w:r>
        <w:t xml:space="preserve"> </w:t>
      </w:r>
      <w:r>
        <w:rPr>
          <w:iCs/>
          <w:i/>
        </w:rPr>
        <w:t xml:space="preserve">deva</w:t>
      </w:r>
      <w:r>
        <w:t xml:space="preserve"> </w:t>
      </w:r>
      <w:r>
        <w:t xml:space="preserve">an</w:t>
      </w:r>
      <w:r>
        <w:t xml:space="preserve"> </w:t>
      </w:r>
      <w:r>
        <w:rPr>
          <w:iCs/>
          <w:i/>
        </w:rPr>
        <w:t xml:space="preserve">ac</w:t>
      </w:r>
      <w:r>
        <w:t xml:space="preserve">-final of the</w:t>
      </w:r>
      <w:r>
        <w:t xml:space="preserve"> </w:t>
      </w:r>
      <w:r>
        <w:rPr>
          <w:iCs/>
          <w:i/>
        </w:rPr>
        <w:t xml:space="preserve">pac-ādi</w:t>
      </w:r>
      <w:r>
        <w:t xml:space="preserve">, final udātta as</w:t>
      </w:r>
      <w:r>
        <w:t xml:space="preserve"> </w:t>
      </w:r>
      <w:r>
        <w:rPr>
          <w:iCs/>
          <w:i/>
        </w:rPr>
        <w:t xml:space="preserve">cit</w:t>
      </w:r>
      <w:r>
        <w:t xml:space="preserve">;</w:t>
      </w:r>
      <w:r>
        <w:t xml:space="preserve"> </w:t>
      </w:r>
      <w:r>
        <w:rPr>
          <w:iCs/>
          <w:i/>
        </w:rPr>
        <w:t xml:space="preserve">adruhaḥ</w:t>
      </w:r>
      <w:r>
        <w:t xml:space="preserve">,</w:t>
      </w:r>
      <w:r>
        <w:t xml:space="preserve"> </w:t>
      </w:r>
      <w:r>
        <w:rPr>
          <w:iCs/>
          <w:i/>
        </w:rPr>
        <w:t xml:space="preserve">kvip</w:t>
      </w:r>
      <w:r>
        <w:t xml:space="preserve"> </w:t>
      </w:r>
      <w:r>
        <w:t xml:space="preserve">in the sense of the action as one of the</w:t>
      </w:r>
      <w:r>
        <w:t xml:space="preserve"> </w:t>
      </w:r>
      <w:r>
        <w:rPr>
          <w:iCs/>
          <w:i/>
        </w:rPr>
        <w:t xml:space="preserve">sampad-ādi</w:t>
      </w:r>
      <w:r>
        <w:t xml:space="preserve">, and in the</w:t>
      </w:r>
      <w:r>
        <w:t xml:space="preserve"> </w:t>
      </w:r>
      <w:r>
        <w:rPr>
          <w:iCs/>
          <w:i/>
        </w:rPr>
        <w:t xml:space="preserve">bahuvrīhi</w:t>
      </w:r>
      <w:r>
        <w:t xml:space="preserve"> </w:t>
      </w:r>
      <w:r>
        <w:t xml:space="preserve">final udātta by</w:t>
      </w:r>
      <w:r>
        <w:t xml:space="preserve"> </w:t>
      </w:r>
      <w:r>
        <w:rPr>
          <w:iCs/>
          <w:i/>
        </w:rPr>
        <w:t xml:space="preserve">nañsubhyām</w:t>
      </w:r>
      <w:r>
        <w:t xml:space="preserve">; or, with</w:t>
      </w:r>
      <w:r>
        <w:t xml:space="preserve"> </w:t>
      </w:r>
      <w:r>
        <w:rPr>
          <w:iCs/>
          <w:i/>
        </w:rPr>
        <w:t xml:space="preserve">kvip</w:t>
      </w:r>
      <w:r>
        <w:t xml:space="preserve"> </w:t>
      </w:r>
      <w:r>
        <w:t xml:space="preserve">in the agent sense, in a</w:t>
      </w:r>
      <w:r>
        <w:t xml:space="preserve"> </w:t>
      </w:r>
      <w:r>
        <w:rPr>
          <w:iCs/>
          <w:i/>
        </w:rPr>
        <w:t xml:space="preserve">tatpuruṣa</w:t>
      </w:r>
      <w:r>
        <w:t xml:space="preserve"> </w:t>
      </w:r>
      <w:r>
        <w:t xml:space="preserve">the first member, an indeclinable, would keep its accent; nor would the accent of the</w:t>
      </w:r>
      <w:r>
        <w:t xml:space="preserve"> </w:t>
      </w:r>
      <w:r>
        <w:rPr>
          <w:iCs/>
          <w:i/>
        </w:rPr>
        <w:t xml:space="preserve">kṛt</w:t>
      </w:r>
      <w:r>
        <w:t xml:space="preserve"> </w:t>
      </w:r>
      <w:r>
        <w:t xml:space="preserve">final member come, since</w:t>
      </w:r>
      <w:r>
        <w:t xml:space="preserve"> </w:t>
      </w:r>
      <w:r>
        <w:rPr>
          <w:iCs/>
          <w:i/>
        </w:rPr>
        <w:t xml:space="preserve">nañ</w:t>
      </w:r>
      <w:r>
        <w:t xml:space="preserve"> </w:t>
      </w:r>
      <w:r>
        <w:t xml:space="preserve">is neither a</w:t>
      </w:r>
      <w:r>
        <w:t xml:space="preserve"> </w:t>
      </w:r>
      <w:r>
        <w:rPr>
          <w:iCs/>
          <w:i/>
        </w:rPr>
        <w:t xml:space="preserve">gati</w:t>
      </w:r>
      <w:r>
        <w:t xml:space="preserve"> </w:t>
      </w:r>
      <w:r>
        <w:t xml:space="preserve">nor a</w:t>
      </w:r>
      <w:r>
        <w:t xml:space="preserve"> </w:t>
      </w:r>
      <w:r>
        <w:rPr>
          <w:iCs/>
          <w:i/>
        </w:rPr>
        <w:t xml:space="preserve">kāraka</w:t>
      </w:r>
      <w:r>
        <w:t xml:space="preserve"> </w:t>
      </w:r>
      <w:r>
        <w:t xml:space="preserve">(Pā. 6-2-139).)</w:t>
      </w:r>
    </w:p>
    <w:p>
      <w:pPr>
        <w:pStyle w:val="BodyText"/>
      </w:pPr>
      <w:r>
        <w:rPr>
          <w:bCs/>
          <w:b/>
        </w:rPr>
        <w:t xml:space="preserve">॥ Prati-padārthaḥ ॥</w:t>
      </w:r>
    </w:p>
    <w:p>
      <w:pPr>
        <w:pStyle w:val="BodyText"/>
      </w:pPr>
      <w:r>
        <w:rPr>
          <w:bCs/>
          <w:b/>
        </w:rPr>
        <w:t xml:space="preserve">अद्रुहः (adruhaḥ)</w:t>
      </w:r>
      <w:r>
        <w:t xml:space="preserve"> </w:t>
      </w:r>
      <w:r>
        <w:t xml:space="preserve">— without malice, that is, of a nature to do good |</w:t>
      </w:r>
      <w:r>
        <w:t xml:space="preserve"> </w:t>
      </w:r>
      <w:r>
        <w:rPr>
          <w:bCs/>
          <w:b/>
        </w:rPr>
        <w:t xml:space="preserve">विश्वे (viśve)</w:t>
      </w:r>
      <w:r>
        <w:t xml:space="preserve"> </w:t>
      </w:r>
      <w:r>
        <w:t xml:space="preserve">— all, that is, endowed with seven kinds of troops |</w:t>
      </w:r>
      <w:r>
        <w:t xml:space="preserve"> </w:t>
      </w:r>
      <w:r>
        <w:rPr>
          <w:bCs/>
          <w:b/>
        </w:rPr>
        <w:t xml:space="preserve">ये देवासः (ye devāsaḥ)</w:t>
      </w:r>
      <w:r>
        <w:t xml:space="preserve"> </w:t>
      </w:r>
      <w:r>
        <w:t xml:space="preserve">— which shining Marut deities |</w:t>
      </w:r>
      <w:r>
        <w:t xml:space="preserve"> </w:t>
      </w:r>
      <w:r>
        <w:rPr>
          <w:bCs/>
          <w:b/>
        </w:rPr>
        <w:t xml:space="preserve">महः (mahaḥ)</w:t>
      </w:r>
      <w:r>
        <w:t xml:space="preserve"> </w:t>
      </w:r>
      <w:r>
        <w:t xml:space="preserve">— much |</w:t>
      </w:r>
      <w:r>
        <w:t xml:space="preserve"> </w:t>
      </w:r>
      <w:r>
        <w:rPr>
          <w:bCs/>
          <w:b/>
        </w:rPr>
        <w:t xml:space="preserve">रजसः (rajasaḥ)</w:t>
      </w:r>
      <w:r>
        <w:t xml:space="preserve"> </w:t>
      </w:r>
      <w:r>
        <w:t xml:space="preserve">— of water (the manner of raining, that is, of pouring rain) |</w:t>
      </w:r>
      <w:r>
        <w:t xml:space="preserve"> </w:t>
      </w:r>
      <w:r>
        <w:rPr>
          <w:bCs/>
          <w:b/>
        </w:rPr>
        <w:t xml:space="preserve">विदुः (viduḥ)</w:t>
      </w:r>
      <w:r>
        <w:t xml:space="preserve"> </w:t>
      </w:r>
      <w:r>
        <w:t xml:space="preserve">— know | (such)</w:t>
      </w:r>
      <w:r>
        <w:t xml:space="preserve"> </w:t>
      </w:r>
      <w:r>
        <w:rPr>
          <w:bCs/>
          <w:b/>
        </w:rPr>
        <w:t xml:space="preserve">मरुद्भिः (marudbhiḥ)</w:t>
      </w:r>
      <w:r>
        <w:t xml:space="preserve"> </w:t>
      </w:r>
      <w:r>
        <w:t xml:space="preserve">— together with the Marut deities |</w:t>
      </w:r>
      <w:r>
        <w:t xml:space="preserve"> </w:t>
      </w:r>
      <w:r>
        <w:rPr>
          <w:bCs/>
          <w:b/>
        </w:rPr>
        <w:t xml:space="preserve">अग्ने (agne)</w:t>
      </w:r>
      <w:r>
        <w:t xml:space="preserve"> </w:t>
      </w:r>
      <w:r>
        <w:t xml:space="preserve">— O Agni |</w:t>
      </w:r>
      <w:r>
        <w:t xml:space="preserve"> </w:t>
      </w:r>
      <w:r>
        <w:rPr>
          <w:bCs/>
          <w:b/>
        </w:rPr>
        <w:t xml:space="preserve">आ गहि (ā gahi)</w:t>
      </w:r>
      <w:r>
        <w:t xml:space="preserve"> </w:t>
      </w:r>
      <w:r>
        <w:t xml:space="preserve">— come here.</w:t>
      </w:r>
    </w:p>
    <w:p>
      <w:pPr>
        <w:pStyle w:val="BodyText"/>
      </w:pPr>
      <w:r>
        <w:rPr>
          <w:bCs/>
          <w:b/>
        </w:rPr>
        <w:t xml:space="preserve">॥ Bhāvārthaḥ ॥</w:t>
      </w:r>
    </w:p>
    <w:p>
      <w:pPr>
        <w:pStyle w:val="BodyText"/>
      </w:pPr>
      <w:r>
        <w:t xml:space="preserve">The Marut deities are shining, joined in seven kinds of troops (the seven Maruts); they do no harm to anyone and do only good. They know how to pour rain abundantly. O Agni, come here together with such Marut deities.</w:t>
      </w:r>
    </w:p>
    <w:bookmarkEnd w:id="876"/>
    <w:bookmarkStart w:id="877" w:name="Xc6f99b96fd85a953c5ea8b96d55621e8092309a"/>
    <w:p>
      <w:pPr>
        <w:pStyle w:val="Heading3"/>
      </w:pPr>
      <w:r>
        <w:t xml:space="preserve">Page 790 — Rik 3: English, Special Topics and grammar</w:t>
      </w:r>
    </w:p>
    <w:p>
      <w:pPr>
        <w:pStyle w:val="FirstParagraph"/>
      </w:pPr>
      <w:r>
        <w:rPr>
          <w:bCs/>
          <w:b/>
        </w:rPr>
        <w:t xml:space="preserve">॥ English Translation ॥</w:t>
      </w:r>
      <w:r>
        <w:t xml:space="preserve"> </w:t>
      </w:r>
      <w:r>
        <w:rPr>
          <w:iCs/>
          <w:i/>
        </w:rPr>
        <w:t xml:space="preserve">(as printed in the source)</w:t>
      </w:r>
    </w:p>
    <w:p>
      <w:pPr>
        <w:pStyle w:val="BlockText"/>
      </w:pPr>
      <w:r>
        <w:t xml:space="preserve">Come, Agni, with the Maruths [sic], who are ali [sic] divine, and devoid of malignity and who know how to cause the descent of great waters.</w:t>
      </w:r>
    </w:p>
    <w:p>
      <w:pPr>
        <w:pStyle w:val="FirstParagraph"/>
      </w:pPr>
      <w:r>
        <w:rPr>
          <w:bCs/>
          <w:b/>
        </w:rPr>
        <w:t xml:space="preserve">॥ Viśeṣa-viṣayagaḷu (Special Topics) ॥</w:t>
      </w:r>
    </w:p>
    <w:p>
      <w:pPr>
        <w:pStyle w:val="BodyText"/>
      </w:pPr>
      <w:r>
        <w:rPr>
          <w:bCs/>
          <w:b/>
        </w:rPr>
        <w:t xml:space="preserve">Maho rajasaḥ</w:t>
      </w:r>
      <w:r>
        <w:t xml:space="preserve">:</w:t>
      </w:r>
      <w:r>
        <w:t xml:space="preserve"> </w:t>
      </w:r>
      <w:r>
        <w:rPr>
          <w:iCs/>
          <w:i/>
        </w:rPr>
        <w:t xml:space="preserve">mahata udakasya</w:t>
      </w:r>
      <w:r>
        <w:t xml:space="preserve">, of much water (the rain). For the word</w:t>
      </w:r>
      <w:r>
        <w:t xml:space="preserve"> </w:t>
      </w:r>
      <w:r>
        <w:rPr>
          <w:iCs/>
          <w:i/>
        </w:rPr>
        <w:t xml:space="preserve">rajaḥ</w:t>
      </w:r>
      <w:r>
        <w:t xml:space="preserve"> </w:t>
      </w:r>
      <w:r>
        <w:t xml:space="preserve">Yāska says</w:t>
      </w:r>
    </w:p>
    <w:p>
      <w:pPr>
        <w:pStyle w:val="BlockText"/>
      </w:pPr>
      <w:r>
        <w:t xml:space="preserve">रजः । रजो रजतेर्ज्योती रज उच्यते । उदकं रज उच्यते । लोका रजांस्युच्यन्ते ।</w:t>
      </w:r>
    </w:p>
    <w:p>
      <w:pPr>
        <w:pStyle w:val="BlockText"/>
      </w:pPr>
      <w:r>
        <w:rPr>
          <w:iCs/>
          <w:i/>
        </w:rPr>
        <w:t xml:space="preserve">rajaḥ | rajo rajaterjyotī raja ucyate | udakaṃ raja ucyate | lokā rajāṃsyucyante |</w:t>
      </w:r>
    </w:p>
    <w:p>
      <w:pPr>
        <w:pStyle w:val="FirstParagraph"/>
      </w:pPr>
      <w:r>
        <w:t xml:space="preserve">(Ni. 4-19), that is,</w:t>
      </w:r>
      <w:r>
        <w:t xml:space="preserve"> </w:t>
      </w:r>
      <w:r>
        <w:rPr>
          <w:iCs/>
          <w:i/>
        </w:rPr>
        <w:t xml:space="preserve">rajaḥ</w:t>
      </w:r>
      <w:r>
        <w:t xml:space="preserve"> </w:t>
      </w:r>
      <w:r>
        <w:t xml:space="preserve">has the senses light (radiance), water and world; here the commentator has taken the sense water. The author of the Vedārthayatna gives the sense light. On his view the sense is: the Maruts who move in the sky full of great light. This sense too fits well here.</w:t>
      </w:r>
    </w:p>
    <w:p>
      <w:pPr>
        <w:pStyle w:val="BodyText"/>
      </w:pPr>
      <w:r>
        <w:rPr>
          <w:bCs/>
          <w:b/>
        </w:rPr>
        <w:t xml:space="preserve">Devāsaḥ</w:t>
      </w:r>
      <w:r>
        <w:t xml:space="preserve">: an ancient usage of the word</w:t>
      </w:r>
      <w:r>
        <w:t xml:space="preserve"> </w:t>
      </w:r>
      <w:r>
        <w:rPr>
          <w:iCs/>
          <w:i/>
        </w:rPr>
        <w:t xml:space="preserve">devāḥ</w:t>
      </w:r>
      <w:r>
        <w:t xml:space="preserve">; it means gods.</w:t>
      </w:r>
    </w:p>
    <w:p>
      <w:pPr>
        <w:pStyle w:val="BodyText"/>
      </w:pPr>
      <w:r>
        <w:rPr>
          <w:bCs/>
          <w:b/>
        </w:rPr>
        <w:t xml:space="preserve">Viśve</w:t>
      </w:r>
      <w:r>
        <w:t xml:space="preserve">: all, that is, accompanied by seven troops. There is the Śruti statement</w:t>
      </w:r>
    </w:p>
    <w:p>
      <w:pPr>
        <w:pStyle w:val="BlockText"/>
      </w:pPr>
      <w:r>
        <w:t xml:space="preserve">सप्तगणा वै मरुतः</w:t>
      </w:r>
    </w:p>
    <w:p>
      <w:pPr>
        <w:pStyle w:val="BlockText"/>
      </w:pPr>
      <w:r>
        <w:rPr>
          <w:iCs/>
          <w:i/>
        </w:rPr>
        <w:t xml:space="preserve">saptagaṇā vai marutaḥ</w:t>
      </w:r>
    </w:p>
    <w:p>
      <w:pPr>
        <w:pStyle w:val="FirstParagraph"/>
      </w:pPr>
      <w:r>
        <w:t xml:space="preserve">(Tai. saṃ. 2-2-11-1).</w:t>
      </w:r>
    </w:p>
    <w:p>
      <w:pPr>
        <w:pStyle w:val="BodyText"/>
      </w:pPr>
      <w:r>
        <w:rPr>
          <w:bCs/>
          <w:b/>
        </w:rPr>
        <w:t xml:space="preserve">Adruhaḥ</w:t>
      </w:r>
      <w:r>
        <w:t xml:space="preserve">:</w:t>
      </w:r>
      <w:r>
        <w:t xml:space="preserve"> </w:t>
      </w:r>
      <w:r>
        <w:rPr>
          <w:iCs/>
          <w:i/>
        </w:rPr>
        <w:t xml:space="preserve">droharahitāḥ</w:t>
      </w:r>
      <w:r>
        <w:t xml:space="preserve">, those who do no malice, that is, those who do only good to people by pouring rain. On this the commentator has cited the following ṛk:</w:t>
      </w:r>
    </w:p>
    <w:p>
      <w:pPr>
        <w:pStyle w:val="BlockText"/>
      </w:pPr>
      <w:r>
        <w:t xml:space="preserve">उदीरयथा मरुतः समुद्रतो यूयं वृष्टिं वर्षयथा पुरीषिणः ॥ (ऋ. सं. ५-५५-५)</w:t>
      </w:r>
    </w:p>
    <w:p>
      <w:pPr>
        <w:pStyle w:val="BlockText"/>
      </w:pPr>
      <w:r>
        <w:rPr>
          <w:iCs/>
          <w:i/>
        </w:rPr>
        <w:t xml:space="preserve">udīrayathā marutaḥ samudrato yūyaṃ vṛṣṭiṃ varṣayathā purīṣiṇaḥ || (ṛ. saṃ. 5-55-5)</w:t>
      </w:r>
    </w:p>
    <w:p>
      <w:pPr>
        <w:pStyle w:val="FirstParagraph"/>
      </w:pPr>
      <w:r>
        <w:t xml:space="preserve">(</w:t>
      </w:r>
      <w:r>
        <w:t xml:space="preserve">“</w:t>
      </w:r>
      <w:r>
        <w:t xml:space="preserve">O Maruts, you raise it from the ocean; you, rich in moisture, make the rain fall</w:t>
      </w:r>
      <w:r>
        <w:t xml:space="preserve">”</w:t>
      </w:r>
      <w:r>
        <w:t xml:space="preserve">: mine and tentative.) He has also cited the Brāhmaṇa statement</w:t>
      </w:r>
    </w:p>
    <w:p>
      <w:pPr>
        <w:pStyle w:val="BlockText"/>
      </w:pPr>
      <w:r>
        <w:t xml:space="preserve">मरुतां पृषतयः स्थेत्याह मरुतो वै वृष्ट्या ईशते । (तै. ब्रा.)</w:t>
      </w:r>
    </w:p>
    <w:p>
      <w:pPr>
        <w:pStyle w:val="BlockText"/>
      </w:pPr>
      <w:r>
        <w:rPr>
          <w:iCs/>
          <w:i/>
        </w:rPr>
        <w:t xml:space="preserve">marutāṃ pṛṣatayaḥ sthetyāha maruto vai vṛṣṭyā īśate | (tai. brā.)</w:t>
      </w:r>
    </w:p>
    <w:p>
      <w:pPr>
        <w:pStyle w:val="FirstParagraph"/>
      </w:pPr>
      <w:r>
        <w:t xml:space="preserve">(</w:t>
      </w:r>
      <w:r>
        <w:t xml:space="preserve">“</w:t>
      </w:r>
      <w:r>
        <w:t xml:space="preserve">He says, you are the dappled mares of the Maruts; the Maruts rule over rain</w:t>
      </w:r>
      <w:r>
        <w:t xml:space="preserve">”</w:t>
      </w:r>
      <w:r>
        <w:t xml:space="preserve">: mine and tentative.) These mantras make clear the sense that the Marut deities bring about rain.</w:t>
      </w:r>
    </w:p>
    <w:p>
      <w:pPr>
        <w:pStyle w:val="BodyText"/>
      </w:pPr>
      <w:r>
        <w:rPr>
          <w:bCs/>
          <w:b/>
        </w:rPr>
        <w:t xml:space="preserve">॥ Vyākaraṇa-prakriyā ॥</w:t>
      </w:r>
      <w:r>
        <w:t xml:space="preserve"> </w:t>
      </w:r>
      <w:r>
        <w:rPr>
          <w:iCs/>
          <w:i/>
        </w:rPr>
        <w:t xml:space="preserve">(grammar pages 790–792, noted briefly)</w:t>
      </w:r>
    </w:p>
    <w:p>
      <w:pPr>
        <w:pStyle w:val="BodyText"/>
      </w:pPr>
      <w:r>
        <w:rPr>
          <w:bCs/>
          <w:b/>
        </w:rPr>
        <w:t xml:space="preserve">रजसः (</w:t>
      </w:r>
      <w:r>
        <w:rPr>
          <w:iCs/>
          <w:i/>
          <w:bCs/>
          <w:b/>
        </w:rPr>
        <w:t xml:space="preserve">rajasaḥ</w:t>
      </w:r>
      <w:r>
        <w:rPr>
          <w:bCs/>
          <w:b/>
        </w:rPr>
        <w:t xml:space="preserve">)</w:t>
      </w:r>
      <w:r>
        <w:t xml:space="preserve">: the word</w:t>
      </w:r>
      <w:r>
        <w:t xml:space="preserve"> </w:t>
      </w:r>
      <w:r>
        <w:rPr>
          <w:iCs/>
          <w:i/>
        </w:rPr>
        <w:t xml:space="preserve">rajas</w:t>
      </w:r>
      <w:r>
        <w:t xml:space="preserve"> </w:t>
      </w:r>
      <w:r>
        <w:t xml:space="preserve">is always neuter. So by</w:t>
      </w:r>
      <w:r>
        <w:t xml:space="preserve"> </w:t>
      </w:r>
      <w:r>
        <w:t xml:space="preserve">“</w:t>
      </w:r>
      <w:r>
        <w:t xml:space="preserve">nabviṣayasyānisantasya</w:t>
      </w:r>
      <w:r>
        <w:t xml:space="preserve">”</w:t>
      </w:r>
      <w:r>
        <w:t xml:space="preserve"> </w:t>
      </w:r>
      <w:r>
        <w:t xml:space="preserve">(Phi. sū.</w:t>
      </w:r>
      <w:r>
        <w:t xml:space="preserve"> </w:t>
      </w:r>
      <w:r>
        <w:t xml:space="preserve">“</w:t>
      </w:r>
      <w:r>
        <w:t xml:space="preserve">2-26</w:t>
      </w:r>
      <w:r>
        <w:t xml:space="preserve">”</w:t>
      </w:r>
      <w:r>
        <w:t xml:space="preserve"> </w:t>
      </w:r>
      <w:r>
        <w:t xml:space="preserve">[?]), the first syllable of a word always neuter, not ending in</w:t>
      </w:r>
      <w:r>
        <w:t xml:space="preserve"> </w:t>
      </w:r>
      <w:r>
        <w:rPr>
          <w:iCs/>
          <w:i/>
        </w:rPr>
        <w:t xml:space="preserve">is</w:t>
      </w:r>
      <w:r>
        <w:t xml:space="preserve">, is udātta; so</w:t>
      </w:r>
      <w:r>
        <w:t xml:space="preserve"> </w:t>
      </w:r>
      <w:r>
        <w:rPr>
          <w:iCs/>
          <w:i/>
        </w:rPr>
        <w:t xml:space="preserve">rajas</w:t>
      </w:r>
      <w:r>
        <w:t xml:space="preserve"> </w:t>
      </w:r>
      <w:r>
        <w:t xml:space="preserve">is initial udātta; it ends in the genitive singular.</w:t>
      </w:r>
    </w:p>
    <w:p>
      <w:pPr>
        <w:pStyle w:val="BodyText"/>
      </w:pPr>
      <w:r>
        <w:rPr>
          <w:bCs/>
          <w:b/>
        </w:rPr>
        <w:t xml:space="preserve">विदुः (</w:t>
      </w:r>
      <w:r>
        <w:rPr>
          <w:iCs/>
          <w:i/>
          <w:bCs/>
          <w:b/>
        </w:rPr>
        <w:t xml:space="preserve">viduḥ</w:t>
      </w:r>
      <w:r>
        <w:rPr>
          <w:bCs/>
          <w:b/>
        </w:rPr>
        <w:t xml:space="preserve">)</w:t>
      </w:r>
      <w:r>
        <w:t xml:space="preserve">: the root</w:t>
      </w:r>
      <w:r>
        <w:t xml:space="preserve"> </w:t>
      </w:r>
      <w:r>
        <w:rPr>
          <w:iCs/>
          <w:i/>
        </w:rPr>
        <w:t xml:space="preserve">vida jñāne</w:t>
      </w:r>
      <w:r>
        <w:t xml:space="preserve">; after it</w:t>
      </w:r>
      <w:r>
        <w:t xml:space="preserve"> </w:t>
      </w:r>
      <w:r>
        <w:rPr>
          <w:iCs/>
          <w:i/>
        </w:rPr>
        <w:t xml:space="preserve">laṭ</w:t>
      </w:r>
      <w:r>
        <w:t xml:space="preserve">, the 3rd plural substitute</w:t>
      </w:r>
      <w:r>
        <w:t xml:space="preserve"> </w:t>
      </w:r>
      <w:r>
        <w:rPr>
          <w:iCs/>
          <w:i/>
        </w:rPr>
        <w:t xml:space="preserve">jhi</w:t>
      </w:r>
      <w:r>
        <w:t xml:space="preserve">:</w:t>
      </w:r>
      <w:r>
        <w:t xml:space="preserve"> </w:t>
      </w:r>
      <w:r>
        <w:rPr>
          <w:iCs/>
          <w:i/>
        </w:rPr>
        <w:t xml:space="preserve">vid</w:t>
      </w:r>
      <w:r>
        <w:t xml:space="preserve"> </w:t>
      </w:r>
      <w:r>
        <w:t xml:space="preserve">+</w:t>
      </w:r>
      <w:r>
        <w:t xml:space="preserve"> </w:t>
      </w:r>
      <w:r>
        <w:rPr>
          <w:iCs/>
          <w:i/>
        </w:rPr>
        <w:t xml:space="preserve">jhi</w:t>
      </w:r>
      <w:r>
        <w:t xml:space="preserve">;</w:t>
      </w:r>
      <w:r>
        <w:t xml:space="preserve"> </w:t>
      </w:r>
      <w:r>
        <w:rPr>
          <w:iCs/>
          <w:i/>
        </w:rPr>
        <w:t xml:space="preserve">śap</w:t>
      </w:r>
      <w:r>
        <w:t xml:space="preserve"> </w:t>
      </w:r>
      <w:r>
        <w:t xml:space="preserve">by</w:t>
      </w:r>
      <w:r>
        <w:t xml:space="preserve"> </w:t>
      </w:r>
      <w:r>
        <w:t xml:space="preserve">“</w:t>
      </w:r>
      <w:r>
        <w:t xml:space="preserve">kartari śap</w:t>
      </w:r>
      <w:r>
        <w:t xml:space="preserve">”</w:t>
      </w:r>
      <w:r>
        <w:t xml:space="preserve"> </w:t>
      </w:r>
      <w:r>
        <w:t xml:space="preserve">(Pā. sū. 3-1-68),</w:t>
      </w:r>
      <w:r>
        <w:t xml:space="preserve"> </w:t>
      </w:r>
      <w:r>
        <w:rPr>
          <w:iCs/>
          <w:i/>
        </w:rPr>
        <w:t xml:space="preserve">luk</w:t>
      </w:r>
      <w:r>
        <w:t xml:space="preserve"> </w:t>
      </w:r>
      <w:r>
        <w:t xml:space="preserve">of</w:t>
      </w:r>
      <w:r>
        <w:t xml:space="preserve"> </w:t>
      </w:r>
      <w:r>
        <w:rPr>
          <w:iCs/>
          <w:i/>
        </w:rPr>
        <w:t xml:space="preserve">śap</w:t>
      </w:r>
      <w:r>
        <w:t xml:space="preserve"> </w:t>
      </w:r>
      <w:r>
        <w:t xml:space="preserve">by</w:t>
      </w:r>
      <w:r>
        <w:t xml:space="preserve"> </w:t>
      </w:r>
      <w:r>
        <w:t xml:space="preserve">“</w:t>
      </w:r>
      <w:r>
        <w:t xml:space="preserve">adiprabhṛtibhyaḥ śapaḥ</w:t>
      </w:r>
      <w:r>
        <w:t xml:space="preserve">”</w:t>
      </w:r>
      <w:r>
        <w:t xml:space="preserve"> </w:t>
      </w:r>
      <w:r>
        <w:t xml:space="preserve">(Pā. sū. 2-4-72).</w:t>
      </w:r>
      <w:r>
        <w:t xml:space="preserve"> </w:t>
      </w:r>
      <w:r>
        <w:t xml:space="preserve">“</w:t>
      </w:r>
      <w:r>
        <w:t xml:space="preserve">Vido laṭo vā</w:t>
      </w:r>
      <w:r>
        <w:t xml:space="preserve">”</w:t>
      </w:r>
      <w:r>
        <w:t xml:space="preserve"> </w:t>
      </w:r>
      <w:r>
        <w:t xml:space="preserve">(Pā. sū. 3-4-83): after the root</w:t>
      </w:r>
      <w:r>
        <w:t xml:space="preserve"> </w:t>
      </w:r>
      <w:r>
        <w:rPr>
          <w:iCs/>
          <w:i/>
        </w:rPr>
        <w:t xml:space="preserve">vida jñāne</w:t>
      </w:r>
      <w:r>
        <w:t xml:space="preserve">, in place of the nine</w:t>
      </w:r>
      <w:r>
        <w:t xml:space="preserve"> </w:t>
      </w:r>
      <w:r>
        <w:rPr>
          <w:iCs/>
          <w:i/>
        </w:rPr>
        <w:t xml:space="preserve">parasmaipada</w:t>
      </w:r>
      <w:r>
        <w:t xml:space="preserve"> </w:t>
      </w:r>
      <w:r>
        <w:t xml:space="preserve">suffixes</w:t>
      </w:r>
      <w:r>
        <w:t xml:space="preserve"> </w:t>
      </w:r>
      <w:r>
        <w:rPr>
          <w:iCs/>
          <w:i/>
        </w:rPr>
        <w:t xml:space="preserve">tip</w:t>
      </w:r>
      <w:r>
        <w:t xml:space="preserve"> </w:t>
      </w:r>
      <w:r>
        <w:t xml:space="preserve">and the rest that came in place of</w:t>
      </w:r>
      <w:r>
        <w:t xml:space="preserve"> </w:t>
      </w:r>
      <w:r>
        <w:rPr>
          <w:iCs/>
          <w:i/>
        </w:rPr>
        <w:t xml:space="preserve">laṭ</w:t>
      </w:r>
      <w:r>
        <w:t xml:space="preserve">,</w:t>
      </w:r>
    </w:p>
    <w:bookmarkEnd w:id="877"/>
    <w:bookmarkStart w:id="878" w:name="page-791-rik-3-grammar"/>
    <w:p>
      <w:pPr>
        <w:pStyle w:val="Heading3"/>
      </w:pPr>
      <w:r>
        <w:t xml:space="preserve">Page 791 — Rik 3: grammar</w:t>
      </w:r>
    </w:p>
    <w:p>
      <w:pPr>
        <w:pStyle w:val="FirstParagraph"/>
      </w:pPr>
      <w:r>
        <w:t xml:space="preserve">the substitutes</w:t>
      </w:r>
      <w:r>
        <w:t xml:space="preserve"> </w:t>
      </w:r>
      <w:r>
        <w:rPr>
          <w:iCs/>
          <w:i/>
        </w:rPr>
        <w:t xml:space="preserve">ṇal</w:t>
      </w:r>
      <w:r>
        <w:t xml:space="preserve">,</w:t>
      </w:r>
      <w:r>
        <w:t xml:space="preserve"> </w:t>
      </w:r>
      <w:r>
        <w:rPr>
          <w:iCs/>
          <w:i/>
        </w:rPr>
        <w:t xml:space="preserve">atus</w:t>
      </w:r>
      <w:r>
        <w:t xml:space="preserve">,</w:t>
      </w:r>
      <w:r>
        <w:t xml:space="preserve"> </w:t>
      </w:r>
      <w:r>
        <w:rPr>
          <w:iCs/>
          <w:i/>
        </w:rPr>
        <w:t xml:space="preserve">us</w:t>
      </w:r>
      <w:r>
        <w:t xml:space="preserve"> </w:t>
      </w:r>
      <w:r>
        <w:t xml:space="preserve">|</w:t>
      </w:r>
      <w:r>
        <w:t xml:space="preserve"> </w:t>
      </w:r>
      <w:r>
        <w:rPr>
          <w:iCs/>
          <w:i/>
        </w:rPr>
        <w:t xml:space="preserve">thal</w:t>
      </w:r>
      <w:r>
        <w:t xml:space="preserve">,</w:t>
      </w:r>
      <w:r>
        <w:t xml:space="preserve"> </w:t>
      </w:r>
      <w:r>
        <w:rPr>
          <w:iCs/>
          <w:i/>
        </w:rPr>
        <w:t xml:space="preserve">athus</w:t>
      </w:r>
      <w:r>
        <w:t xml:space="preserve">,</w:t>
      </w:r>
      <w:r>
        <w:t xml:space="preserve"> </w:t>
      </w:r>
      <w:r>
        <w:rPr>
          <w:iCs/>
          <w:i/>
        </w:rPr>
        <w:t xml:space="preserve">a</w:t>
      </w:r>
      <w:r>
        <w:t xml:space="preserve"> </w:t>
      </w:r>
      <w:r>
        <w:t xml:space="preserve">|</w:t>
      </w:r>
      <w:r>
        <w:t xml:space="preserve"> </w:t>
      </w:r>
      <w:r>
        <w:rPr>
          <w:iCs/>
          <w:i/>
        </w:rPr>
        <w:t xml:space="preserve">ṇal</w:t>
      </w:r>
      <w:r>
        <w:t xml:space="preserve">,</w:t>
      </w:r>
      <w:r>
        <w:t xml:space="preserve"> </w:t>
      </w:r>
      <w:r>
        <w:rPr>
          <w:iCs/>
          <w:i/>
        </w:rPr>
        <w:t xml:space="preserve">va</w:t>
      </w:r>
      <w:r>
        <w:t xml:space="preserve">,</w:t>
      </w:r>
      <w:r>
        <w:t xml:space="preserve"> </w:t>
      </w:r>
      <w:r>
        <w:rPr>
          <w:iCs/>
          <w:i/>
        </w:rPr>
        <w:t xml:space="preserve">ma</w:t>
      </w:r>
      <w:r>
        <w:t xml:space="preserve"> </w:t>
      </w:r>
      <w:r>
        <w:t xml:space="preserve">come respectively; so</w:t>
      </w:r>
      <w:r>
        <w:t xml:space="preserve"> </w:t>
      </w:r>
      <w:r>
        <w:rPr>
          <w:iCs/>
          <w:i/>
        </w:rPr>
        <w:t xml:space="preserve">us</w:t>
      </w:r>
      <w:r>
        <w:t xml:space="preserve"> </w:t>
      </w:r>
      <w:r>
        <w:t xml:space="preserve">for</w:t>
      </w:r>
      <w:r>
        <w:t xml:space="preserve"> </w:t>
      </w:r>
      <w:r>
        <w:rPr>
          <w:iCs/>
          <w:i/>
        </w:rPr>
        <w:t xml:space="preserve">jhi</w:t>
      </w:r>
      <w:r>
        <w:t xml:space="preserve">:</w:t>
      </w:r>
      <w:r>
        <w:t xml:space="preserve"> </w:t>
      </w:r>
      <w:r>
        <w:rPr>
          <w:iCs/>
          <w:i/>
        </w:rPr>
        <w:t xml:space="preserve">vid</w:t>
      </w:r>
      <w:r>
        <w:t xml:space="preserve"> </w:t>
      </w:r>
      <w:r>
        <w:t xml:space="preserve">+</w:t>
      </w:r>
      <w:r>
        <w:t xml:space="preserve"> </w:t>
      </w:r>
      <w:r>
        <w:rPr>
          <w:iCs/>
          <w:i/>
        </w:rPr>
        <w:t xml:space="preserve">us</w:t>
      </w:r>
      <w:r>
        <w:t xml:space="preserve">,</w:t>
      </w:r>
      <w:r>
        <w:t xml:space="preserve"> </w:t>
      </w:r>
      <w:r>
        <w:rPr>
          <w:iCs/>
          <w:i/>
        </w:rPr>
        <w:t xml:space="preserve">ru</w:t>
      </w:r>
      <w:r>
        <w:t xml:space="preserve"> </w:t>
      </w:r>
      <w:r>
        <w:t xml:space="preserve">and visarga:</w:t>
      </w:r>
      <w:r>
        <w:t xml:space="preserve"> </w:t>
      </w:r>
      <w:r>
        <w:rPr>
          <w:iCs/>
          <w:i/>
        </w:rPr>
        <w:t xml:space="preserve">viduḥ</w:t>
      </w:r>
      <w:r>
        <w:t xml:space="preserve">. Since, as</w:t>
      </w:r>
      <w:r>
        <w:t xml:space="preserve"> </w:t>
      </w:r>
      <w:r>
        <w:rPr>
          <w:iCs/>
          <w:i/>
        </w:rPr>
        <w:t xml:space="preserve">ye maho rajaso viduḥ</w:t>
      </w:r>
      <w:r>
        <w:t xml:space="preserve">, there is connection with</w:t>
      </w:r>
      <w:r>
        <w:t xml:space="preserve"> </w:t>
      </w:r>
      <w:r>
        <w:rPr>
          <w:iCs/>
          <w:i/>
        </w:rPr>
        <w:t xml:space="preserve">yad</w:t>
      </w:r>
      <w:r>
        <w:t xml:space="preserve">, the bar to total unaccentedness comes by</w:t>
      </w:r>
      <w:r>
        <w:t xml:space="preserve"> </w:t>
      </w:r>
      <w:r>
        <w:t xml:space="preserve">“</w:t>
      </w:r>
      <w:r>
        <w:t xml:space="preserve">yadvṛttān nityam</w:t>
      </w:r>
      <w:r>
        <w:t xml:space="preserve">”</w:t>
      </w:r>
      <w:r>
        <w:t xml:space="preserve"> </w:t>
      </w:r>
      <w:r>
        <w:t xml:space="preserve">(Pā. sū. 8-1-66). So the</w:t>
      </w:r>
      <w:r>
        <w:t xml:space="preserve"> </w:t>
      </w:r>
      <w:r>
        <w:rPr>
          <w:iCs/>
          <w:i/>
        </w:rPr>
        <w:t xml:space="preserve">us</w:t>
      </w:r>
      <w:r>
        <w:t xml:space="preserve"> </w:t>
      </w:r>
      <w:r>
        <w:t xml:space="preserve">has the suffix accent.</w:t>
      </w:r>
    </w:p>
    <w:p>
      <w:pPr>
        <w:pStyle w:val="BodyText"/>
      </w:pPr>
      <w:r>
        <w:rPr>
          <w:bCs/>
          <w:b/>
        </w:rPr>
        <w:t xml:space="preserve">विश्वे (</w:t>
      </w:r>
      <w:r>
        <w:rPr>
          <w:iCs/>
          <w:i/>
          <w:bCs/>
          <w:b/>
        </w:rPr>
        <w:t xml:space="preserve">viśve</w:t>
      </w:r>
      <w:r>
        <w:rPr>
          <w:bCs/>
          <w:b/>
        </w:rPr>
        <w:t xml:space="preserve">)</w:t>
      </w:r>
      <w:r>
        <w:t xml:space="preserve">: by</w:t>
      </w:r>
      <w:r>
        <w:t xml:space="preserve"> </w:t>
      </w:r>
      <w:r>
        <w:t xml:space="preserve">“</w:t>
      </w:r>
      <w:r>
        <w:t xml:space="preserve">aśūpruṣi……viśibhyaḥ kvan</w:t>
      </w:r>
      <w:r>
        <w:t xml:space="preserve">”</w:t>
      </w:r>
      <w:r>
        <w:t xml:space="preserve"> </w:t>
      </w:r>
      <w:r>
        <w:t xml:space="preserve">(Uṇ. sū. 1-149), the suffix</w:t>
      </w:r>
      <w:r>
        <w:t xml:space="preserve"> </w:t>
      </w:r>
      <w:r>
        <w:rPr>
          <w:iCs/>
          <w:i/>
        </w:rPr>
        <w:t xml:space="preserve">kvan</w:t>
      </w:r>
      <w:r>
        <w:t xml:space="preserve"> </w:t>
      </w:r>
      <w:r>
        <w:t xml:space="preserve">after</w:t>
      </w:r>
      <w:r>
        <w:t xml:space="preserve"> </w:t>
      </w:r>
      <w:r>
        <w:rPr>
          <w:iCs/>
          <w:i/>
        </w:rPr>
        <w:t xml:space="preserve">viśa praveśane</w:t>
      </w:r>
      <w:r>
        <w:t xml:space="preserve">; by the</w:t>
      </w:r>
      <w:r>
        <w:t xml:space="preserve"> </w:t>
      </w:r>
      <w:r>
        <w:rPr>
          <w:iCs/>
          <w:i/>
        </w:rPr>
        <w:t xml:space="preserve">nit</w:t>
      </w:r>
      <w:r>
        <w:t xml:space="preserve"> </w:t>
      </w:r>
      <w:r>
        <w:t xml:space="preserve">accent it is initial udātta. After the word</w:t>
      </w:r>
      <w:r>
        <w:t xml:space="preserve"> </w:t>
      </w:r>
      <w:r>
        <w:rPr>
          <w:iCs/>
          <w:i/>
        </w:rPr>
        <w:t xml:space="preserve">viśva</w:t>
      </w:r>
      <w:r>
        <w:t xml:space="preserve"> </w:t>
      </w:r>
      <w:r>
        <w:t xml:space="preserve">the nominative plural</w:t>
      </w:r>
      <w:r>
        <w:t xml:space="preserve"> </w:t>
      </w:r>
      <w:r>
        <w:rPr>
          <w:iCs/>
          <w:i/>
        </w:rPr>
        <w:t xml:space="preserve">jas</w:t>
      </w:r>
      <w:r>
        <w:t xml:space="preserve">; by</w:t>
      </w:r>
      <w:r>
        <w:t xml:space="preserve"> </w:t>
      </w:r>
      <w:r>
        <w:t xml:space="preserve">“</w:t>
      </w:r>
      <w:r>
        <w:t xml:space="preserve">jasaḥ śī</w:t>
      </w:r>
      <w:r>
        <w:t xml:space="preserve">”</w:t>
      </w:r>
      <w:r>
        <w:t xml:space="preserve"> </w:t>
      </w:r>
      <w:r>
        <w:t xml:space="preserve">(Pā. sū. 7-1-17) the substitute</w:t>
      </w:r>
      <w:r>
        <w:t xml:space="preserve"> </w:t>
      </w:r>
      <w:r>
        <w:rPr>
          <w:iCs/>
          <w:i/>
        </w:rPr>
        <w:t xml:space="preserve">śī</w:t>
      </w:r>
      <w:r>
        <w:t xml:space="preserve">; the</w:t>
      </w:r>
      <w:r>
        <w:t xml:space="preserve"> </w:t>
      </w:r>
      <w:r>
        <w:rPr>
          <w:iCs/>
          <w:i/>
        </w:rPr>
        <w:t xml:space="preserve">ś</w:t>
      </w:r>
      <w:r>
        <w:t xml:space="preserve"> </w:t>
      </w:r>
      <w:r>
        <w:t xml:space="preserve">is called</w:t>
      </w:r>
      <w:r>
        <w:t xml:space="preserve"> </w:t>
      </w:r>
      <w:r>
        <w:rPr>
          <w:iCs/>
          <w:i/>
        </w:rPr>
        <w:t xml:space="preserve">it</w:t>
      </w:r>
      <w:r>
        <w:t xml:space="preserve"> </w:t>
      </w:r>
      <w:r>
        <w:t xml:space="preserve">and dropped:</w:t>
      </w:r>
      <w:r>
        <w:t xml:space="preserve"> </w:t>
      </w:r>
      <w:r>
        <w:rPr>
          <w:iCs/>
          <w:i/>
        </w:rPr>
        <w:t xml:space="preserve">viśva</w:t>
      </w:r>
      <w:r>
        <w:t xml:space="preserve"> </w:t>
      </w:r>
      <w:r>
        <w:t xml:space="preserve">+</w:t>
      </w:r>
      <w:r>
        <w:t xml:space="preserve"> </w:t>
      </w:r>
      <w:r>
        <w:rPr>
          <w:iCs/>
          <w:i/>
        </w:rPr>
        <w:t xml:space="preserve">ī</w:t>
      </w:r>
      <w:r>
        <w:t xml:space="preserve">;</w:t>
      </w:r>
      <w:r>
        <w:t xml:space="preserve"> </w:t>
      </w:r>
      <w:r>
        <w:rPr>
          <w:iCs/>
          <w:i/>
        </w:rPr>
        <w:t xml:space="preserve">guṇa</w:t>
      </w:r>
      <w:r>
        <w:t xml:space="preserve"> </w:t>
      </w:r>
      <w:r>
        <w:t xml:space="preserve">by</w:t>
      </w:r>
      <w:r>
        <w:t xml:space="preserve"> </w:t>
      </w:r>
      <w:r>
        <w:rPr>
          <w:iCs/>
          <w:i/>
        </w:rPr>
        <w:t xml:space="preserve">ād guṇaḥ</w:t>
      </w:r>
      <w:r>
        <w:t xml:space="preserve">.</w:t>
      </w:r>
    </w:p>
    <w:p>
      <w:pPr>
        <w:pStyle w:val="BodyText"/>
      </w:pPr>
      <w:r>
        <w:rPr>
          <w:bCs/>
          <w:b/>
        </w:rPr>
        <w:t xml:space="preserve">देवासः (</w:t>
      </w:r>
      <w:r>
        <w:rPr>
          <w:iCs/>
          <w:i/>
          <w:bCs/>
          <w:b/>
        </w:rPr>
        <w:t xml:space="preserve">devāsaḥ</w:t>
      </w:r>
      <w:r>
        <w:rPr>
          <w:bCs/>
          <w:b/>
        </w:rPr>
        <w:t xml:space="preserve">)</w:t>
      </w:r>
      <w:r>
        <w:t xml:space="preserve">: by</w:t>
      </w:r>
      <w:r>
        <w:t xml:space="preserve"> </w:t>
      </w:r>
      <w:r>
        <w:t xml:space="preserve">“</w:t>
      </w:r>
      <w:r>
        <w:t xml:space="preserve">nandigrahipacādibhyo lyuṇinyacaḥ</w:t>
      </w:r>
      <w:r>
        <w:t xml:space="preserve">”</w:t>
      </w:r>
      <w:r>
        <w:t xml:space="preserve"> </w:t>
      </w:r>
      <w:r>
        <w:t xml:space="preserve">(Pā. sū. 3-1-134) the suffix</w:t>
      </w:r>
      <w:r>
        <w:t xml:space="preserve"> </w:t>
      </w:r>
      <w:r>
        <w:rPr>
          <w:iCs/>
          <w:i/>
        </w:rPr>
        <w:t xml:space="preserve">ac</w:t>
      </w:r>
      <w:r>
        <w:t xml:space="preserve"> </w:t>
      </w:r>
      <w:r>
        <w:t xml:space="preserve">after the root</w:t>
      </w:r>
      <w:r>
        <w:t xml:space="preserve"> </w:t>
      </w:r>
      <w:r>
        <w:rPr>
          <w:iCs/>
          <w:i/>
        </w:rPr>
        <w:t xml:space="preserve">div</w:t>
      </w:r>
      <w:r>
        <w:t xml:space="preserve">. The suffix is</w:t>
      </w:r>
      <w:r>
        <w:t xml:space="preserve"> </w:t>
      </w:r>
      <w:r>
        <w:rPr>
          <w:iCs/>
          <w:i/>
        </w:rPr>
        <w:t xml:space="preserve">cit</w:t>
      </w:r>
      <w:r>
        <w:t xml:space="preserve">, so by</w:t>
      </w:r>
      <w:r>
        <w:t xml:space="preserve"> </w:t>
      </w:r>
      <w:r>
        <w:t xml:space="preserve">“</w:t>
      </w:r>
      <w:r>
        <w:t xml:space="preserve">citaḥ</w:t>
      </w:r>
      <w:r>
        <w:t xml:space="preserve">”</w:t>
      </w:r>
      <w:r>
        <w:t xml:space="preserve"> </w:t>
      </w:r>
      <w:r>
        <w:t xml:space="preserve">(Pā. sū. 6-1-163) it is final udātta. With the suffix</w:t>
      </w:r>
      <w:r>
        <w:t xml:space="preserve"> </w:t>
      </w:r>
      <w:r>
        <w:rPr>
          <w:iCs/>
          <w:i/>
        </w:rPr>
        <w:t xml:space="preserve">ac</w:t>
      </w:r>
      <w:r>
        <w:t xml:space="preserve"> </w:t>
      </w:r>
      <w:r>
        <w:t xml:space="preserve">as condition, the</w:t>
      </w:r>
      <w:r>
        <w:t xml:space="preserve"> </w:t>
      </w:r>
      <w:r>
        <w:rPr>
          <w:iCs/>
          <w:i/>
        </w:rPr>
        <w:t xml:space="preserve">laghūpadha-guṇa</w:t>
      </w:r>
      <w:r>
        <w:t xml:space="preserve"> </w:t>
      </w:r>
      <w:r>
        <w:t xml:space="preserve">for the</w:t>
      </w:r>
      <w:r>
        <w:t xml:space="preserve"> </w:t>
      </w:r>
      <w:r>
        <w:rPr>
          <w:iCs/>
          <w:i/>
        </w:rPr>
        <w:t xml:space="preserve">i</w:t>
      </w:r>
      <w:r>
        <w:t xml:space="preserve"> </w:t>
      </w:r>
      <w:r>
        <w:t xml:space="preserve">of the root. After the word</w:t>
      </w:r>
      <w:r>
        <w:t xml:space="preserve"> </w:t>
      </w:r>
      <w:r>
        <w:rPr>
          <w:iCs/>
          <w:i/>
        </w:rPr>
        <w:t xml:space="preserve">deva</w:t>
      </w:r>
      <w:r>
        <w:t xml:space="preserve">,</w:t>
      </w:r>
      <w:r>
        <w:t xml:space="preserve"> </w:t>
      </w:r>
      <w:r>
        <w:rPr>
          <w:iCs/>
          <w:i/>
        </w:rPr>
        <w:t xml:space="preserve">jas</w:t>
      </w:r>
      <w:r>
        <w:t xml:space="preserve">:</w:t>
      </w:r>
      <w:r>
        <w:t xml:space="preserve"> </w:t>
      </w:r>
      <w:r>
        <w:rPr>
          <w:iCs/>
          <w:i/>
        </w:rPr>
        <w:t xml:space="preserve">deva</w:t>
      </w:r>
      <w:r>
        <w:t xml:space="preserve"> </w:t>
      </w:r>
      <w:r>
        <w:t xml:space="preserve">+</w:t>
      </w:r>
      <w:r>
        <w:t xml:space="preserve"> </w:t>
      </w:r>
      <w:r>
        <w:rPr>
          <w:iCs/>
          <w:i/>
        </w:rPr>
        <w:t xml:space="preserve">as</w:t>
      </w:r>
      <w:r>
        <w:t xml:space="preserve">; by</w:t>
      </w:r>
      <w:r>
        <w:t xml:space="preserve"> </w:t>
      </w:r>
      <w:r>
        <w:t xml:space="preserve">“</w:t>
      </w:r>
      <w:r>
        <w:t xml:space="preserve">āj jaser asuk</w:t>
      </w:r>
      <w:r>
        <w:t xml:space="preserve">”</w:t>
      </w:r>
      <w:r>
        <w:t xml:space="preserve"> </w:t>
      </w:r>
      <w:r>
        <w:t xml:space="preserve">(Pā. sū. 7-1-50) the augment</w:t>
      </w:r>
      <w:r>
        <w:t xml:space="preserve"> </w:t>
      </w:r>
      <w:r>
        <w:rPr>
          <w:iCs/>
          <w:i/>
        </w:rPr>
        <w:t xml:space="preserve">asuk</w:t>
      </w:r>
      <w:r>
        <w:t xml:space="preserve"> </w:t>
      </w:r>
      <w:r>
        <w:t xml:space="preserve">for</w:t>
      </w:r>
      <w:r>
        <w:t xml:space="preserve"> </w:t>
      </w:r>
      <w:r>
        <w:rPr>
          <w:iCs/>
          <w:i/>
        </w:rPr>
        <w:t xml:space="preserve">jas</w:t>
      </w:r>
      <w:r>
        <w:t xml:space="preserve">. Being</w:t>
      </w:r>
      <w:r>
        <w:t xml:space="preserve"> </w:t>
      </w:r>
      <w:r>
        <w:rPr>
          <w:iCs/>
          <w:i/>
        </w:rPr>
        <w:t xml:space="preserve">kit</w:t>
      </w:r>
      <w:r>
        <w:t xml:space="preserve">, by</w:t>
      </w:r>
      <w:r>
        <w:t xml:space="preserve"> </w:t>
      </w:r>
      <w:r>
        <w:t xml:space="preserve">“</w:t>
      </w:r>
      <w:r>
        <w:t xml:space="preserve">ādyantau ṭakitau</w:t>
      </w:r>
      <w:r>
        <w:t xml:space="preserve">”</w:t>
      </w:r>
      <w:r>
        <w:t xml:space="preserve"> </w:t>
      </w:r>
      <w:r>
        <w:t xml:space="preserve">(Pā. sū. 1-1-46) it comes as the first part of</w:t>
      </w:r>
      <w:r>
        <w:t xml:space="preserve"> </w:t>
      </w:r>
      <w:r>
        <w:rPr>
          <w:iCs/>
          <w:i/>
        </w:rPr>
        <w:t xml:space="preserve">jas</w:t>
      </w:r>
      <w:r>
        <w:t xml:space="preserve">:</w:t>
      </w:r>
      <w:r>
        <w:t xml:space="preserve"> </w:t>
      </w:r>
      <w:r>
        <w:rPr>
          <w:iCs/>
          <w:i/>
        </w:rPr>
        <w:t xml:space="preserve">deva</w:t>
      </w:r>
      <w:r>
        <w:t xml:space="preserve"> </w:t>
      </w:r>
      <w:r>
        <w:t xml:space="preserve">+</w:t>
      </w:r>
      <w:r>
        <w:t xml:space="preserve"> </w:t>
      </w:r>
      <w:r>
        <w:rPr>
          <w:iCs/>
          <w:i/>
        </w:rPr>
        <w:t xml:space="preserve">asas</w:t>
      </w:r>
      <w:r>
        <w:t xml:space="preserve">; lengthening of like vowels:</w:t>
      </w:r>
      <w:r>
        <w:t xml:space="preserve"> </w:t>
      </w:r>
      <w:r>
        <w:rPr>
          <w:iCs/>
          <w:i/>
        </w:rPr>
        <w:t xml:space="preserve">devāsas</w:t>
      </w:r>
      <w:r>
        <w:t xml:space="preserve">;</w:t>
      </w:r>
      <w:r>
        <w:t xml:space="preserve"> </w:t>
      </w:r>
      <w:r>
        <w:rPr>
          <w:iCs/>
          <w:i/>
        </w:rPr>
        <w:t xml:space="preserve">ru</w:t>
      </w:r>
      <w:r>
        <w:t xml:space="preserve"> </w:t>
      </w:r>
      <w:r>
        <w:t xml:space="preserve">and visarga.</w:t>
      </w:r>
    </w:p>
    <w:p>
      <w:pPr>
        <w:pStyle w:val="BodyText"/>
      </w:pPr>
      <w:r>
        <w:rPr>
          <w:bCs/>
          <w:b/>
        </w:rPr>
        <w:t xml:space="preserve">अद्रुहः (</w:t>
      </w:r>
      <w:r>
        <w:rPr>
          <w:iCs/>
          <w:i/>
          <w:bCs/>
          <w:b/>
        </w:rPr>
        <w:t xml:space="preserve">adruhaḥ</w:t>
      </w:r>
      <w:r>
        <w:rPr>
          <w:bCs/>
          <w:b/>
        </w:rPr>
        <w:t xml:space="preserve">)</w:t>
      </w:r>
      <w:r>
        <w:t xml:space="preserve">: the root</w:t>
      </w:r>
      <w:r>
        <w:t xml:space="preserve"> </w:t>
      </w:r>
      <w:r>
        <w:rPr>
          <w:iCs/>
          <w:i/>
        </w:rPr>
        <w:t xml:space="preserve">druha jighāṃsāyām</w:t>
      </w:r>
      <w:r>
        <w:t xml:space="preserve">. After it, in the sense of the action, by</w:t>
      </w:r>
      <w:r>
        <w:t xml:space="preserve"> </w:t>
      </w:r>
      <w:r>
        <w:rPr>
          <w:iCs/>
          <w:i/>
        </w:rPr>
        <w:t xml:space="preserve">sampadādibhyaḥ kvip</w:t>
      </w:r>
      <w:r>
        <w:t xml:space="preserve">,</w:t>
      </w:r>
      <w:r>
        <w:t xml:space="preserve"> </w:t>
      </w:r>
      <w:r>
        <w:rPr>
          <w:iCs/>
          <w:i/>
        </w:rPr>
        <w:t xml:space="preserve">kvip</w:t>
      </w:r>
      <w:r>
        <w:t xml:space="preserve">;</w:t>
      </w:r>
      <w:r>
        <w:t xml:space="preserve"> </w:t>
      </w:r>
      <w:r>
        <w:rPr>
          <w:iCs/>
          <w:i/>
        </w:rPr>
        <w:t xml:space="preserve">na druhaḥ yeṣāṃ te</w:t>
      </w:r>
      <w:r>
        <w:t xml:space="preserve">: a</w:t>
      </w:r>
      <w:r>
        <w:t xml:space="preserve"> </w:t>
      </w:r>
      <w:r>
        <w:rPr>
          <w:iCs/>
          <w:i/>
        </w:rPr>
        <w:t xml:space="preserve">bahuvrīhi</w:t>
      </w:r>
      <w:r>
        <w:t xml:space="preserve">; the sense is the Maruts who have no doing of malice. Though the first member’s accent is due by</w:t>
      </w:r>
      <w:r>
        <w:t xml:space="preserve"> </w:t>
      </w:r>
      <w:r>
        <w:rPr>
          <w:iCs/>
          <w:i/>
        </w:rPr>
        <w:t xml:space="preserve">bahuvrīhau prakṛtyā pūrvapadam</w:t>
      </w:r>
      <w:r>
        <w:t xml:space="preserve">, overriding it by</w:t>
      </w:r>
      <w:r>
        <w:t xml:space="preserve"> </w:t>
      </w:r>
      <w:r>
        <w:t xml:space="preserve">“</w:t>
      </w:r>
      <w:r>
        <w:t xml:space="preserve">nañsubhyām</w:t>
      </w:r>
      <w:r>
        <w:t xml:space="preserve">”</w:t>
      </w:r>
      <w:r>
        <w:t xml:space="preserve"> </w:t>
      </w:r>
      <w:r>
        <w:t xml:space="preserve">(Pā. sū. 6-2-172), in a</w:t>
      </w:r>
      <w:r>
        <w:t xml:space="preserve"> </w:t>
      </w:r>
      <w:r>
        <w:rPr>
          <w:iCs/>
          <w:i/>
        </w:rPr>
        <w:t xml:space="preserve">bahuvrīhi</w:t>
      </w:r>
      <w:r>
        <w:t xml:space="preserve"> </w:t>
      </w:r>
      <w:r>
        <w:t xml:space="preserve">the final member after</w:t>
      </w:r>
      <w:r>
        <w:t xml:space="preserve"> </w:t>
      </w:r>
      <w:r>
        <w:rPr>
          <w:iCs/>
          <w:i/>
        </w:rPr>
        <w:t xml:space="preserve">nañ</w:t>
      </w:r>
      <w:r>
        <w:t xml:space="preserve"> </w:t>
      </w:r>
      <w:r>
        <w:t xml:space="preserve">and</w:t>
      </w:r>
      <w:r>
        <w:t xml:space="preserve"> </w:t>
      </w:r>
      <w:r>
        <w:rPr>
          <w:iCs/>
          <w:i/>
        </w:rPr>
        <w:t xml:space="preserve">su</w:t>
      </w:r>
      <w:r>
        <w:t xml:space="preserve"> </w:t>
      </w:r>
      <w:r>
        <w:t xml:space="preserve">is final udātta; so final udātta. Or, by</w:t>
      </w:r>
      <w:r>
        <w:t xml:space="preserve"> </w:t>
      </w:r>
      <w:r>
        <w:t xml:space="preserve">“</w:t>
      </w:r>
      <w:r>
        <w:t xml:space="preserve">kvip ca</w:t>
      </w:r>
      <w:r>
        <w:t xml:space="preserve">”</w:t>
      </w:r>
      <w:r>
        <w:t xml:space="preserve"> </w:t>
      </w:r>
      <w:r>
        <w:t xml:space="preserve">(Pā. sū. 3-2-76),</w:t>
      </w:r>
      <w:r>
        <w:t xml:space="preserve"> </w:t>
      </w:r>
      <w:r>
        <w:rPr>
          <w:iCs/>
          <w:i/>
        </w:rPr>
        <w:t xml:space="preserve">kvip</w:t>
      </w:r>
      <w:r>
        <w:t xml:space="preserve"> </w:t>
      </w:r>
      <w:r>
        <w:t xml:space="preserve">comes after all roots, with or without</w:t>
      </w:r>
      <w:r>
        <w:t xml:space="preserve"> </w:t>
      </w:r>
      <w:r>
        <w:rPr>
          <w:iCs/>
          <w:i/>
        </w:rPr>
        <w:t xml:space="preserve">upapadas</w:t>
      </w:r>
      <w:r>
        <w:t xml:space="preserve">, in the Veda and in the world too; so</w:t>
      </w:r>
      <w:r>
        <w:t xml:space="preserve"> </w:t>
      </w:r>
      <w:r>
        <w:rPr>
          <w:iCs/>
          <w:i/>
        </w:rPr>
        <w:t xml:space="preserve">kvip</w:t>
      </w:r>
      <w:r>
        <w:t xml:space="preserve"> </w:t>
      </w:r>
      <w:r>
        <w:t xml:space="preserve">in the agent sense;</w:t>
      </w:r>
      <w:r>
        <w:t xml:space="preserve"> </w:t>
      </w:r>
      <w:r>
        <w:rPr>
          <w:iCs/>
          <w:i/>
        </w:rPr>
        <w:t xml:space="preserve">na</w:t>
      </w:r>
      <w:r>
        <w:t xml:space="preserve"> </w:t>
      </w:r>
      <w:r>
        <w:t xml:space="preserve">+</w:t>
      </w:r>
      <w:r>
        <w:t xml:space="preserve"> </w:t>
      </w:r>
      <w:r>
        <w:rPr>
          <w:iCs/>
          <w:i/>
        </w:rPr>
        <w:t xml:space="preserve">druhaḥ yeṣāṃ te</w:t>
      </w:r>
      <w:r>
        <w:t xml:space="preserve">: here too a</w:t>
      </w:r>
      <w:r>
        <w:t xml:space="preserve"> </w:t>
      </w:r>
      <w:r>
        <w:rPr>
          <w:iCs/>
          <w:i/>
        </w:rPr>
        <w:t xml:space="preserve">bahuvrīhi</w:t>
      </w:r>
      <w:r>
        <w:t xml:space="preserve">.</w:t>
      </w:r>
      <w:r>
        <w:t xml:space="preserve"> </w:t>
      </w:r>
      <w:r>
        <w:rPr>
          <w:iCs/>
          <w:i/>
        </w:rPr>
        <w:t xml:space="preserve">Druhaḥ</w:t>
      </w:r>
      <w:r>
        <w:t xml:space="preserve"> </w:t>
      </w:r>
      <w:r>
        <w:t xml:space="preserve">are</w:t>
      </w:r>
      <w:r>
        <w:t xml:space="preserve"> </w:t>
      </w:r>
      <w:r>
        <w:rPr>
          <w:iCs/>
          <w:i/>
        </w:rPr>
        <w:t xml:space="preserve">drohakartāraḥ</w:t>
      </w:r>
      <w:r>
        <w:t xml:space="preserve">: the Maruts who have no doers of malice. One must not make the</w:t>
      </w:r>
      <w:r>
        <w:t xml:space="preserve"> </w:t>
      </w:r>
      <w:r>
        <w:rPr>
          <w:iCs/>
          <w:i/>
        </w:rPr>
        <w:t xml:space="preserve">tatpuruṣa</w:t>
      </w:r>
      <w:r>
        <w:t xml:space="preserve"> </w:t>
      </w:r>
      <w:r>
        <w:rPr>
          <w:iCs/>
          <w:i/>
        </w:rPr>
        <w:t xml:space="preserve">na druhaḥ</w:t>
      </w:r>
      <w:r>
        <w:t xml:space="preserve">,</w:t>
      </w:r>
      <w:r>
        <w:t xml:space="preserve"> </w:t>
      </w:r>
      <w:r>
        <w:rPr>
          <w:iCs/>
          <w:i/>
        </w:rPr>
        <w:t xml:space="preserve">adruhaḥ</w:t>
      </w:r>
      <w:r>
        <w:t xml:space="preserve">, not doers of malice. For if the</w:t>
      </w:r>
      <w:r>
        <w:t xml:space="preserve"> </w:t>
      </w:r>
      <w:r>
        <w:rPr>
          <w:iCs/>
          <w:i/>
        </w:rPr>
        <w:t xml:space="preserve">tatpuruṣa</w:t>
      </w:r>
      <w:r>
        <w:t xml:space="preserve"> </w:t>
      </w:r>
      <w:r>
        <w:t xml:space="preserve">is made, by</w:t>
      </w:r>
      <w:r>
        <w:t xml:space="preserve"> </w:t>
      </w:r>
      <w:r>
        <w:t xml:space="preserve">“</w:t>
      </w:r>
      <w:r>
        <w:t xml:space="preserve">tatpuruṣe tulyārthatṛtīyāsaptamyupamānāvyayadvitīyākṛtyāḥ</w:t>
      </w:r>
      <w:r>
        <w:t xml:space="preserve">”</w:t>
      </w:r>
      <w:r>
        <w:t xml:space="preserve"> </w:t>
      </w:r>
      <w:r>
        <w:t xml:space="preserve">(Pā. sū. 6-2-2), in a</w:t>
      </w:r>
      <w:r>
        <w:t xml:space="preserve"> </w:t>
      </w:r>
      <w:r>
        <w:rPr>
          <w:iCs/>
          <w:i/>
        </w:rPr>
        <w:t xml:space="preserve">tatpuruṣa</w:t>
      </w:r>
      <w:r>
        <w:t xml:space="preserve"> </w:t>
      </w:r>
      <w:r>
        <w:t xml:space="preserve">compound, words of equal sense, instrumental-final words, locative-final words, words denoting the standard of comparison, indeclinables, accusative-final words and</w:t>
      </w:r>
      <w:r>
        <w:t xml:space="preserve"> </w:t>
      </w:r>
      <w:r>
        <w:rPr>
          <w:iCs/>
          <w:i/>
        </w:rPr>
        <w:t xml:space="preserve">kṛtya</w:t>
      </w:r>
      <w:r>
        <w:t xml:space="preserve">-final words, standing as the first member, keep their own accent. The word</w:t>
      </w:r>
      <w:r>
        <w:t xml:space="preserve"> </w:t>
      </w:r>
      <w:r>
        <w:rPr>
          <w:iCs/>
          <w:i/>
        </w:rPr>
        <w:t xml:space="preserve">avyaya</w:t>
      </w:r>
      <w:r>
        <w:t xml:space="preserve"> </w:t>
      </w:r>
      <w:r>
        <w:t xml:space="preserve">does not take indeclinables in general; there is the enumeration</w:t>
      </w:r>
      <w:r>
        <w:t xml:space="preserve"> </w:t>
      </w:r>
      <w:r>
        <w:rPr>
          <w:iCs/>
          <w:i/>
        </w:rPr>
        <w:t xml:space="preserve">avyaye nañkunipātānām</w:t>
      </w:r>
      <w:r>
        <w:t xml:space="preserve">; so by this the first member’s accent must come. Here the first member</w:t>
      </w:r>
      <w:r>
        <w:t xml:space="preserve"> </w:t>
      </w:r>
      <w:r>
        <w:rPr>
          <w:iCs/>
          <w:i/>
        </w:rPr>
        <w:t xml:space="preserve">nañ</w:t>
      </w:r>
      <w:r>
        <w:t xml:space="preserve"> </w:t>
      </w:r>
      <w:r>
        <w:t xml:space="preserve">is initial udātta by</w:t>
      </w:r>
      <w:r>
        <w:t xml:space="preserve"> </w:t>
      </w:r>
      <w:r>
        <w:rPr>
          <w:iCs/>
          <w:i/>
        </w:rPr>
        <w:t xml:space="preserve">nipātā ādyudāttāḥ</w:t>
      </w:r>
      <w:r>
        <w:t xml:space="preserve">. So, the first member’s</w:t>
      </w:r>
    </w:p>
    <w:bookmarkEnd w:id="878"/>
    <w:bookmarkStart w:id="879" w:name="page-792-upper-rik-3-grammar-end"/>
    <w:p>
      <w:pPr>
        <w:pStyle w:val="Heading3"/>
      </w:pPr>
      <w:r>
        <w:t xml:space="preserve">Page 792 (upper) — Rik 3: grammar (end)</w:t>
      </w:r>
    </w:p>
    <w:p>
      <w:pPr>
        <w:pStyle w:val="FirstParagraph"/>
      </w:pPr>
      <w:r>
        <w:t xml:space="preserve">accent coming,</w:t>
      </w:r>
      <w:r>
        <w:t xml:space="preserve"> </w:t>
      </w:r>
      <w:r>
        <w:rPr>
          <w:iCs/>
          <w:i/>
        </w:rPr>
        <w:t xml:space="preserve">adruhaḥ</w:t>
      </w:r>
      <w:r>
        <w:t xml:space="preserve"> </w:t>
      </w:r>
      <w:r>
        <w:t xml:space="preserve">would have to be initial udātta. But even if the</w:t>
      </w:r>
      <w:r>
        <w:t xml:space="preserve"> </w:t>
      </w:r>
      <w:r>
        <w:rPr>
          <w:iCs/>
          <w:i/>
        </w:rPr>
        <w:t xml:space="preserve">tatpuruṣa</w:t>
      </w:r>
      <w:r>
        <w:t xml:space="preserve"> </w:t>
      </w:r>
      <w:r>
        <w:t xml:space="preserve">is made, though the first member’s accent is due by</w:t>
      </w:r>
      <w:r>
        <w:t xml:space="preserve"> </w:t>
      </w:r>
      <w:r>
        <w:rPr>
          <w:iCs/>
          <w:i/>
        </w:rPr>
        <w:t xml:space="preserve">tatpuruṣe…</w:t>
      </w:r>
      <w:r>
        <w:t xml:space="preserve">, by its overriding rule</w:t>
      </w:r>
      <w:r>
        <w:t xml:space="preserve"> </w:t>
      </w:r>
      <w:r>
        <w:t xml:space="preserve">“</w:t>
      </w:r>
      <w:r>
        <w:t xml:space="preserve">gatikārakopapadāt kṛt</w:t>
      </w:r>
      <w:r>
        <w:t xml:space="preserve">”</w:t>
      </w:r>
      <w:r>
        <w:t xml:space="preserve"> </w:t>
      </w:r>
      <w:r>
        <w:t xml:space="preserve">(Pā. sū. 6-2-139), in a</w:t>
      </w:r>
      <w:r>
        <w:t xml:space="preserve"> </w:t>
      </w:r>
      <w:r>
        <w:rPr>
          <w:iCs/>
          <w:i/>
        </w:rPr>
        <w:t xml:space="preserve">tatpuruṣa</w:t>
      </w:r>
      <w:r>
        <w:t xml:space="preserve"> </w:t>
      </w:r>
      <w:r>
        <w:t xml:space="preserve">compound a</w:t>
      </w:r>
      <w:r>
        <w:t xml:space="preserve"> </w:t>
      </w:r>
      <w:r>
        <w:rPr>
          <w:iCs/>
          <w:i/>
        </w:rPr>
        <w:t xml:space="preserve">kṛdanta</w:t>
      </w:r>
      <w:r>
        <w:t xml:space="preserve"> </w:t>
      </w:r>
      <w:r>
        <w:t xml:space="preserve">after a</w:t>
      </w:r>
      <w:r>
        <w:t xml:space="preserve"> </w:t>
      </w:r>
      <w:r>
        <w:rPr>
          <w:iCs/>
          <w:i/>
        </w:rPr>
        <w:t xml:space="preserve">gati</w:t>
      </w:r>
      <w:r>
        <w:t xml:space="preserve">, a</w:t>
      </w:r>
      <w:r>
        <w:t xml:space="preserve"> </w:t>
      </w:r>
      <w:r>
        <w:rPr>
          <w:iCs/>
          <w:i/>
        </w:rPr>
        <w:t xml:space="preserve">kāraka</w:t>
      </w:r>
      <w:r>
        <w:t xml:space="preserve"> </w:t>
      </w:r>
      <w:r>
        <w:t xml:space="preserve">or an</w:t>
      </w:r>
      <w:r>
        <w:t xml:space="preserve"> </w:t>
      </w:r>
      <w:r>
        <w:rPr>
          <w:iCs/>
          <w:i/>
        </w:rPr>
        <w:t xml:space="preserve">upapada</w:t>
      </w:r>
      <w:r>
        <w:t xml:space="preserve"> </w:t>
      </w:r>
      <w:r>
        <w:t xml:space="preserve">keeps its own accent; so the accent of the</w:t>
      </w:r>
      <w:r>
        <w:t xml:space="preserve"> </w:t>
      </w:r>
      <w:r>
        <w:rPr>
          <w:iCs/>
          <w:i/>
        </w:rPr>
        <w:t xml:space="preserve">kṛt</w:t>
      </w:r>
      <w:r>
        <w:t xml:space="preserve"> </w:t>
      </w:r>
      <w:r>
        <w:t xml:space="preserve">final member comes. The final member</w:t>
      </w:r>
      <w:r>
        <w:t xml:space="preserve"> </w:t>
      </w:r>
      <w:r>
        <w:rPr>
          <w:iCs/>
          <w:i/>
        </w:rPr>
        <w:t xml:space="preserve">druh</w:t>
      </w:r>
      <w:r>
        <w:t xml:space="preserve"> </w:t>
      </w:r>
      <w:r>
        <w:t xml:space="preserve">is final udātta by the root accent. So if the final member’s accent comes, final udātta alone results. Although here</w:t>
      </w:r>
      <w:r>
        <w:t xml:space="preserve"> </w:t>
      </w:r>
      <w:r>
        <w:rPr>
          <w:iCs/>
          <w:i/>
        </w:rPr>
        <w:t xml:space="preserve">druh</w:t>
      </w:r>
      <w:r>
        <w:t xml:space="preserve"> </w:t>
      </w:r>
      <w:r>
        <w:t xml:space="preserve">follows neither a</w:t>
      </w:r>
      <w:r>
        <w:t xml:space="preserve"> </w:t>
      </w:r>
      <w:r>
        <w:rPr>
          <w:iCs/>
          <w:i/>
        </w:rPr>
        <w:t xml:space="preserve">gati</w:t>
      </w:r>
      <w:r>
        <w:t xml:space="preserve"> </w:t>
      </w:r>
      <w:r>
        <w:t xml:space="preserve">nor a</w:t>
      </w:r>
      <w:r>
        <w:t xml:space="preserve"> </w:t>
      </w:r>
      <w:r>
        <w:rPr>
          <w:iCs/>
          <w:i/>
        </w:rPr>
        <w:t xml:space="preserve">kāraka</w:t>
      </w:r>
      <w:r>
        <w:t xml:space="preserve">, since</w:t>
      </w:r>
      <w:r>
        <w:t xml:space="preserve"> </w:t>
      </w:r>
      <w:r>
        <w:rPr>
          <w:iCs/>
          <w:i/>
        </w:rPr>
        <w:t xml:space="preserve">nañ</w:t>
      </w:r>
      <w:r>
        <w:t xml:space="preserve"> </w:t>
      </w:r>
      <w:r>
        <w:t xml:space="preserve">is neither a</w:t>
      </w:r>
      <w:r>
        <w:t xml:space="preserve"> </w:t>
      </w:r>
      <w:r>
        <w:rPr>
          <w:iCs/>
          <w:i/>
        </w:rPr>
        <w:t xml:space="preserve">gati</w:t>
      </w:r>
      <w:r>
        <w:t xml:space="preserve"> </w:t>
      </w:r>
      <w:r>
        <w:t xml:space="preserve">nor a</w:t>
      </w:r>
      <w:r>
        <w:t xml:space="preserve"> </w:t>
      </w:r>
      <w:r>
        <w:rPr>
          <w:iCs/>
          <w:i/>
        </w:rPr>
        <w:t xml:space="preserve">kāraka</w:t>
      </w:r>
      <w:r>
        <w:t xml:space="preserve">,</w:t>
      </w:r>
      <w:r>
        <w:t xml:space="preserve"> </w:t>
      </w:r>
      <w:r>
        <w:rPr>
          <w:iCs/>
          <w:i/>
        </w:rPr>
        <w:t xml:space="preserve">nañ</w:t>
      </w:r>
      <w:r>
        <w:t xml:space="preserve"> </w:t>
      </w:r>
      <w:r>
        <w:t xml:space="preserve">is still an</w:t>
      </w:r>
      <w:r>
        <w:t xml:space="preserve"> </w:t>
      </w:r>
      <w:r>
        <w:rPr>
          <w:iCs/>
          <w:i/>
        </w:rPr>
        <w:t xml:space="preserve">upapada</w:t>
      </w:r>
      <w:r>
        <w:t xml:space="preserve">. So, since the</w:t>
      </w:r>
      <w:r>
        <w:t xml:space="preserve"> </w:t>
      </w:r>
      <w:r>
        <w:rPr>
          <w:iCs/>
          <w:i/>
        </w:rPr>
        <w:t xml:space="preserve">kṛdanta</w:t>
      </w:r>
      <w:r>
        <w:t xml:space="preserve"> </w:t>
      </w:r>
      <w:r>
        <w:rPr>
          <w:iCs/>
          <w:i/>
        </w:rPr>
        <w:t xml:space="preserve">druh</w:t>
      </w:r>
      <w:r>
        <w:t xml:space="preserve"> </w:t>
      </w:r>
      <w:r>
        <w:t xml:space="preserve">stands after an</w:t>
      </w:r>
      <w:r>
        <w:t xml:space="preserve"> </w:t>
      </w:r>
      <w:r>
        <w:rPr>
          <w:iCs/>
          <w:i/>
        </w:rPr>
        <w:t xml:space="preserve">upapada</w:t>
      </w:r>
      <w:r>
        <w:t xml:space="preserve">, there is no obstacle at all to the accent of the</w:t>
      </w:r>
      <w:r>
        <w:t xml:space="preserve"> </w:t>
      </w:r>
      <w:r>
        <w:rPr>
          <w:iCs/>
          <w:i/>
        </w:rPr>
        <w:t xml:space="preserve">kṛt</w:t>
      </w:r>
      <w:r>
        <w:t xml:space="preserve"> </w:t>
      </w:r>
      <w:r>
        <w:t xml:space="preserve">final member. Thus the</w:t>
      </w:r>
      <w:r>
        <w:t xml:space="preserve"> </w:t>
      </w:r>
      <w:r>
        <w:rPr>
          <w:iCs/>
          <w:i/>
        </w:rPr>
        <w:t xml:space="preserve">tatpuruṣa</w:t>
      </w:r>
      <w:r>
        <w:t xml:space="preserve"> </w:t>
      </w:r>
      <w:r>
        <w:t xml:space="preserve">compound may be stated. Here the Vedabhāṣya says</w:t>
      </w:r>
      <w:r>
        <w:t xml:space="preserve"> </w:t>
      </w:r>
      <w:r>
        <w:t xml:space="preserve">“</w:t>
      </w:r>
      <w:r>
        <w:rPr>
          <w:iCs/>
          <w:i/>
        </w:rPr>
        <w:t xml:space="preserve">yato nañ na gatiḥ na ca kārakam</w:t>
      </w:r>
      <w:r>
        <w:t xml:space="preserve">”</w:t>
      </w:r>
      <w:r>
        <w:t xml:space="preserve">: since</w:t>
      </w:r>
      <w:r>
        <w:t xml:space="preserve"> </w:t>
      </w:r>
      <w:r>
        <w:rPr>
          <w:iCs/>
          <w:i/>
        </w:rPr>
        <w:t xml:space="preserve">nañ</w:t>
      </w:r>
      <w:r>
        <w:t xml:space="preserve"> </w:t>
      </w:r>
      <w:r>
        <w:t xml:space="preserve">has neither the name</w:t>
      </w:r>
      <w:r>
        <w:t xml:space="preserve"> </w:t>
      </w:r>
      <w:r>
        <w:rPr>
          <w:iCs/>
          <w:i/>
        </w:rPr>
        <w:t xml:space="preserve">gati</w:t>
      </w:r>
      <w:r>
        <w:t xml:space="preserve"> </w:t>
      </w:r>
      <w:r>
        <w:t xml:space="preserve">nor</w:t>
      </w:r>
      <w:r>
        <w:t xml:space="preserve"> </w:t>
      </w:r>
      <w:r>
        <w:rPr>
          <w:iCs/>
          <w:i/>
        </w:rPr>
        <w:t xml:space="preserve">kāraka</w:t>
      </w:r>
      <w:r>
        <w:t xml:space="preserve">, the accent of the</w:t>
      </w:r>
      <w:r>
        <w:t xml:space="preserve"> </w:t>
      </w:r>
      <w:r>
        <w:rPr>
          <w:iCs/>
          <w:i/>
        </w:rPr>
        <w:t xml:space="preserve">kṛt</w:t>
      </w:r>
      <w:r>
        <w:t xml:space="preserve"> </w:t>
      </w:r>
      <w:r>
        <w:t xml:space="preserve">final member does not come, so the</w:t>
      </w:r>
      <w:r>
        <w:t xml:space="preserve"> </w:t>
      </w:r>
      <w:r>
        <w:rPr>
          <w:iCs/>
          <w:i/>
        </w:rPr>
        <w:t xml:space="preserve">tatpuruṣa</w:t>
      </w:r>
      <w:r>
        <w:t xml:space="preserve"> </w:t>
      </w:r>
      <w:r>
        <w:t xml:space="preserve">must not be stated and only the</w:t>
      </w:r>
      <w:r>
        <w:t xml:space="preserve"> </w:t>
      </w:r>
      <w:r>
        <w:rPr>
          <w:iCs/>
          <w:i/>
        </w:rPr>
        <w:t xml:space="preserve">bahuvrīhi</w:t>
      </w:r>
      <w:r>
        <w:t xml:space="preserve"> </w:t>
      </w:r>
      <w:r>
        <w:t xml:space="preserve">compound must be stated. It does not say here that</w:t>
      </w:r>
      <w:r>
        <w:t xml:space="preserve"> </w:t>
      </w:r>
      <w:r>
        <w:rPr>
          <w:iCs/>
          <w:i/>
        </w:rPr>
        <w:t xml:space="preserve">nañ</w:t>
      </w:r>
      <w:r>
        <w:t xml:space="preserve"> </w:t>
      </w:r>
      <w:r>
        <w:t xml:space="preserve">is not an</w:t>
      </w:r>
      <w:r>
        <w:t xml:space="preserve"> </w:t>
      </w:r>
      <w:r>
        <w:rPr>
          <w:iCs/>
          <w:i/>
        </w:rPr>
        <w:t xml:space="preserve">upapada</w:t>
      </w:r>
      <w:r>
        <w:t xml:space="preserve">; so this may be known as deficient.</w:t>
      </w:r>
    </w:p>
    <w:p>
      <w:pPr>
        <w:pStyle w:val="BodyText"/>
      </w:pPr>
      <w:r>
        <w:rPr>
          <w:bCs/>
          <w:b/>
        </w:rPr>
        <w:t xml:space="preserve">॥३॥</w:t>
      </w:r>
    </w:p>
    <w:p>
      <w:r>
        <w:pict>
          <v:rect style="width:0;height:1.5pt" o:hralign="center" o:hrstd="t" o:hr="t"/>
        </w:pict>
      </w:r>
    </w:p>
    <w:bookmarkEnd w:id="879"/>
    <w:bookmarkStart w:id="880" w:name="page-792-lower-sūkta-19-rik-4"/>
    <w:p>
      <w:pPr>
        <w:pStyle w:val="Heading3"/>
      </w:pPr>
      <w:r>
        <w:t xml:space="preserve">Page 792 (lower) — Sūkta 19, Rik 4</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य उ॒ग्रा अ॒र्कमा॑नृ॒चुरना॑धृष्टास॒ ओज॑सा । [accent ?]</w:t>
      </w:r>
      <w:r>
        <w:t xml:space="preserve"> </w:t>
      </w:r>
      <w:r>
        <w:t xml:space="preserve">म॒रुद्भि॑रग्न॒ आ ग॑हि ॥४॥ [accent ?]</w:t>
      </w:r>
    </w:p>
    <w:p>
      <w:pPr>
        <w:pStyle w:val="BlockText"/>
      </w:pPr>
      <w:r>
        <w:rPr>
          <w:iCs/>
          <w:i/>
        </w:rPr>
        <w:t xml:space="preserve">ya ugrā́ arkám ānṛcúr ánādhṛṣṭāsa ójasā |</w:t>
      </w:r>
      <w:r>
        <w:t xml:space="preserve"> </w:t>
      </w:r>
      <w:r>
        <w:t xml:space="preserve">[accent ?]</w:t>
      </w:r>
      <w:r>
        <w:t xml:space="preserve"> </w:t>
      </w:r>
      <w:r>
        <w:rPr>
          <w:iCs/>
          <w:i/>
        </w:rPr>
        <w:t xml:space="preserve">marúdbhir agna ā́ gahi ||4||</w:t>
      </w:r>
      <w:r>
        <w:t xml:space="preserve"> </w:t>
      </w:r>
      <w:r>
        <w:t xml:space="preserve">[accent ?]</w:t>
      </w:r>
    </w:p>
    <w:p>
      <w:pPr>
        <w:pStyle w:val="FirstParagraph"/>
      </w:pPr>
      <w:r>
        <w:rPr>
          <w:iCs/>
          <w:i/>
        </w:rPr>
        <w:t xml:space="preserve">(Read as printed: bars under उ, अ (अर्क), नृ, स (ष्टास), म and ग्न; strokes over मा, ना, ज, द्भि and ग.)</w:t>
      </w:r>
    </w:p>
    <w:p>
      <w:pPr>
        <w:pStyle w:val="BodyText"/>
      </w:pPr>
      <w:r>
        <w:rPr>
          <w:bCs/>
          <w:b/>
        </w:rPr>
        <w:t xml:space="preserve">॥ Pada-pāṭhaḥ ॥</w:t>
      </w:r>
    </w:p>
    <w:p>
      <w:pPr>
        <w:pStyle w:val="BlockText"/>
      </w:pPr>
      <w:r>
        <w:t xml:space="preserve">ये । उग्राः । अर्कम् । आनृचुः । अनाधृष्टासः । ओजसा ॥</w:t>
      </w:r>
      <w:r>
        <w:t xml:space="preserve"> </w:t>
      </w:r>
      <w:r>
        <w:t xml:space="preserve">मरुत्ऽभिः । अग्ने । आ । गहि ॥४॥</w:t>
      </w:r>
    </w:p>
    <w:p>
      <w:pPr>
        <w:pStyle w:val="BlockText"/>
      </w:pPr>
      <w:r>
        <w:rPr>
          <w:iCs/>
          <w:i/>
        </w:rPr>
        <w:t xml:space="preserve">ye | ugrāḥ | arkam | ānṛcuḥ | anādhṛṣṭāsaḥ | ojasā ||</w:t>
      </w:r>
      <w:r>
        <w:t xml:space="preserve"> </w:t>
      </w:r>
      <w:r>
        <w:rPr>
          <w:iCs/>
          <w:i/>
        </w:rPr>
        <w:t xml:space="preserve">marut ’bhiḥ | agne | ā | gahi ||4||</w:t>
      </w:r>
    </w:p>
    <w:p>
      <w:pPr>
        <w:pStyle w:val="FirstParagraph"/>
      </w:pPr>
      <w:r>
        <w:rPr>
          <w:bCs/>
          <w:b/>
        </w:rPr>
        <w:t xml:space="preserve">॥ Sāyaṇa-bhāṣyam ॥</w:t>
      </w:r>
    </w:p>
    <w:p>
      <w:pPr>
        <w:pStyle w:val="BlockText"/>
      </w:pPr>
      <w:r>
        <w:t xml:space="preserve">हे मरुत उग्रास्तीव्राः सन्तोऽर्कमुदकमानृचुः अर्चितवन्तः । वर्षणेन संपादितवन्त इत्यर्थः । तैर्मरुद्भिरित्यन्वयः । कीदृशा मरुतः । ओजसा बलेनानाधृष्टासोऽतिरस्कृताः । सर्वेभ्योऽपि प्रबला इत्यर्थः । अर्कशब्दस्योदकवाचित्वं वाजसनेयिन आमनन्ति । आपो वा अर्कः । शत. ब्रा. १०-६-५-२ । इति । तन्निर्वचनं च त-</w:t>
      </w:r>
    </w:p>
    <w:p>
      <w:pPr>
        <w:pStyle w:val="BlockText"/>
      </w:pPr>
      <w:r>
        <w:rPr>
          <w:iCs/>
          <w:i/>
        </w:rPr>
        <w:t xml:space="preserve">he maruta ugrāstīvrāḥ santo ’rkamudakamānṛcuḥ arcitavantaḥ | varṣaṇena saṃpāditavanta ityarthaḥ | tairmarudbhirityanvayaḥ | kīdṛśā marutaḥ | ojasā balenānādhṛṣṭāso ’tiraskṛtāḥ | sarvebhyo ’pi prabalā ityarthaḥ | arkaśabdasyodakavācitvaṃ vājasaneyina āmananti | āpo vā arkaḥ | śata. brā. 10-6-5-2 | iti | tannirvacanaṃ ca ta-</w:t>
      </w:r>
    </w:p>
    <w:bookmarkEnd w:id="880"/>
    <w:bookmarkStart w:id="881" w:name="Xa394c83ac7e986467676ad0a6215b1c79944b33"/>
    <w:p>
      <w:pPr>
        <w:pStyle w:val="Heading3"/>
      </w:pPr>
      <w:r>
        <w:t xml:space="preserve">Page 793 — Rik 4: bhāṣya (end), word-meanings, overall sense, English, Special Topics</w:t>
      </w:r>
    </w:p>
    <w:p>
      <w:pPr>
        <w:pStyle w:val="BlockText"/>
      </w:pPr>
      <w:r>
        <w:t xml:space="preserve">एवामनन्ति । सोऽर्चन्नचरत्तस्यार्चत आपोऽजायन्तार्चते वै मे कमभूदिति तदेवार्कस्यार्कत्वम् । शत. ब्रा. १०-६-५-१ । इति । जगत्स्रष्टा हिरण्यगर्भ उदकं स्रष्टुमुद्युक्तोऽर्चन् उदकसत्यसंकल्पमहिमप्रख्यापनेन स्वात्मानं पूजयन्नचरत् । तथा पूजयतो हिरण्यगर्भस्य सकाशादुदकमुत्पन्नं तदानीमर्चतो मत्तः कमभूदित्यवोचत् । तेनोदकस्यार्कनाम निष्पन्नमित्यर्थः ॥ आनृचुः । अर्चतेः । अपस्पृधेथामित्यादिना । पा. ६-१-३६ । निपातितः । प्रत्ययस्वरः । यद्वृत्तयोगान्न निघातः । अनाधृष्टासः । अव्ययपूर्वपदप्रकृतिस्वरत्वम् । ओजसा । उब्जेर्बले बलोपश्च । उ. ४-१९१ । इत्यसुन् । नित्त्वादाद्युदात्तः ॥</w:t>
      </w:r>
    </w:p>
    <w:p>
      <w:pPr>
        <w:pStyle w:val="BlockText"/>
      </w:pPr>
      <w:r>
        <w:rPr>
          <w:iCs/>
          <w:i/>
        </w:rPr>
        <w:t xml:space="preserve">evāmananti | so ’rcannacarattasyārcata āpo ’jāyantārcate vai me kamabhūditi tadevārkasyārkatvam | śata. brā. 10-6-5-1 | iti | jagatsraṣṭā hiraṇyagarbha udakaṃ sraṣṭumudyukto ’rcan udakasatyasaṃkalpamahimaprakhyāpanena svātmānaṃ pūjayannacarat | tathā pūjayato hiraṇyagarbhasya sakāśādudakamutpannaṃ tadānīmarcato mattaḥ kamabhūdityavocat | tenodakasyārkanāma niṣpannamityarthaḥ || ānṛcuḥ | arcateḥ | apaspṛdhethāmityādinā | pā. 6-1-36 | nipātitaḥ | pratyayasvaraḥ | yadvṛttayogānna nighātaḥ | anādhṛṣṭāsaḥ | avyayapūrvapadaprakṛtisvaratvam | ojasā | ubjerbale balopaśca | u. 4-191 | ityasun | nittvādādyudāttaḥ ||</w:t>
      </w:r>
    </w:p>
    <w:p>
      <w:pPr>
        <w:pStyle w:val="FirstParagraph"/>
      </w:pPr>
      <w:r>
        <w:rPr>
          <w:bCs/>
          <w:b/>
        </w:rPr>
        <w:t xml:space="preserve">Translation:</w:t>
      </w:r>
      <w:r>
        <w:t xml:space="preserve"> </w:t>
      </w:r>
      <w:r>
        <w:t xml:space="preserve">“</w:t>
      </w:r>
      <w:r>
        <w:t xml:space="preserve">O Maruts: the Maruts who, being</w:t>
      </w:r>
      <w:r>
        <w:t xml:space="preserve"> </w:t>
      </w:r>
      <w:r>
        <w:rPr>
          <w:iCs/>
          <w:i/>
        </w:rPr>
        <w:t xml:space="preserve">ugra</w:t>
      </w:r>
      <w:r>
        <w:t xml:space="preserve">, fierce,</w:t>
      </w:r>
      <w:r>
        <w:t xml:space="preserve"> </w:t>
      </w:r>
      <w:r>
        <w:rPr>
          <w:iCs/>
          <w:i/>
        </w:rPr>
        <w:t xml:space="preserve">ānṛcuḥ</w:t>
      </w:r>
      <w:r>
        <w:t xml:space="preserve">, worshipped, the</w:t>
      </w:r>
      <w:r>
        <w:t xml:space="preserve"> </w:t>
      </w:r>
      <w:r>
        <w:rPr>
          <w:iCs/>
          <w:i/>
        </w:rPr>
        <w:t xml:space="preserve">arka</w:t>
      </w:r>
      <w:r>
        <w:t xml:space="preserve">, water: that is, brought it about by raining; with those Maruts: that is the construction. Of what kind are the Maruts?</w:t>
      </w:r>
      <w:r>
        <w:t xml:space="preserve"> </w:t>
      </w:r>
      <w:r>
        <w:rPr>
          <w:iCs/>
          <w:i/>
        </w:rPr>
        <w:t xml:space="preserve">Anādhṛṣṭāsaḥ</w:t>
      </w:r>
      <w:r>
        <w:t xml:space="preserve">, not overcome,</w:t>
      </w:r>
      <w:r>
        <w:t xml:space="preserve"> </w:t>
      </w:r>
      <w:r>
        <w:rPr>
          <w:iCs/>
          <w:i/>
        </w:rPr>
        <w:t xml:space="preserve">ojasā</w:t>
      </w:r>
      <w:r>
        <w:t xml:space="preserve">, by strength: that is, mightier than all. That the word</w:t>
      </w:r>
      <w:r>
        <w:t xml:space="preserve"> </w:t>
      </w:r>
      <w:r>
        <w:rPr>
          <w:iCs/>
          <w:i/>
        </w:rPr>
        <w:t xml:space="preserve">arka</w:t>
      </w:r>
      <w:r>
        <w:t xml:space="preserve"> </w:t>
      </w:r>
      <w:r>
        <w:t xml:space="preserve">denotes water the Vājasaneyins declare:</w:t>
      </w:r>
      <w:r>
        <w:t xml:space="preserve"> </w:t>
      </w:r>
      <w:r>
        <w:t xml:space="preserve">‘</w:t>
      </w:r>
      <w:r>
        <w:t xml:space="preserve">The waters are</w:t>
      </w:r>
      <w:r>
        <w:t xml:space="preserve"> </w:t>
      </w:r>
      <w:r>
        <w:rPr>
          <w:iCs/>
          <w:i/>
        </w:rPr>
        <w:t xml:space="preserve">arka</w:t>
      </w:r>
      <w:r>
        <w:t xml:space="preserve">’</w:t>
      </w:r>
      <w:r>
        <w:t xml:space="preserve"> </w:t>
      </w:r>
      <w:r>
        <w:t xml:space="preserve">(Śat. Brā. 10-6-5-2). Its derivation they declare too:</w:t>
      </w:r>
      <w:r>
        <w:t xml:space="preserve"> </w:t>
      </w:r>
      <w:r>
        <w:t xml:space="preserve">‘</w:t>
      </w:r>
      <w:r>
        <w:t xml:space="preserve">He went about worshipping; from him, worshipping, the waters were born;</w:t>
      </w:r>
      <w:r>
        <w:t xml:space="preserve"> </w:t>
      </w:r>
      <w:r>
        <w:t xml:space="preserve">“</w:t>
      </w:r>
      <w:r>
        <w:t xml:space="preserve">to me, worshipping,</w:t>
      </w:r>
      <w:r>
        <w:t xml:space="preserve"> </w:t>
      </w:r>
      <w:r>
        <w:rPr>
          <w:iCs/>
          <w:i/>
        </w:rPr>
        <w:t xml:space="preserve">kam</w:t>
      </w:r>
      <w:r>
        <w:t xml:space="preserve"> </w:t>
      </w:r>
      <w:r>
        <w:t xml:space="preserve">has come to be,</w:t>
      </w:r>
      <w:r>
        <w:t xml:space="preserve">”</w:t>
      </w:r>
      <w:r>
        <w:t xml:space="preserve"> </w:t>
      </w:r>
      <w:r>
        <w:t xml:space="preserve">he said: that is the</w:t>
      </w:r>
      <w:r>
        <w:t xml:space="preserve"> </w:t>
      </w:r>
      <w:r>
        <w:rPr>
          <w:iCs/>
          <w:i/>
        </w:rPr>
        <w:t xml:space="preserve">arka</w:t>
      </w:r>
      <w:r>
        <w:t xml:space="preserve">-ness of</w:t>
      </w:r>
      <w:r>
        <w:t xml:space="preserve"> </w:t>
      </w:r>
      <w:r>
        <w:rPr>
          <w:iCs/>
          <w:i/>
        </w:rPr>
        <w:t xml:space="preserve">arka</w:t>
      </w:r>
      <w:r>
        <w:t xml:space="preserve">’</w:t>
      </w:r>
      <w:r>
        <w:t xml:space="preserve"> </w:t>
      </w:r>
      <w:r>
        <w:t xml:space="preserve">(Śat. Brā. 10-6-5-1). Hiraṇyagarbha, the creator of the world, intent on creating water,</w:t>
      </w:r>
      <w:r>
        <w:t xml:space="preserve"> </w:t>
      </w:r>
      <w:r>
        <w:rPr>
          <w:iCs/>
          <w:i/>
        </w:rPr>
        <w:t xml:space="preserve">arcan</w:t>
      </w:r>
      <w:r>
        <w:t xml:space="preserve">, went about worshipping himself by making known the greatness of his true resolve concerning water. From Hiraṇyagarbha so worshipping water arose; then he said,</w:t>
      </w:r>
      <w:r>
        <w:t xml:space="preserve"> </w:t>
      </w:r>
      <w:r>
        <w:t xml:space="preserve">‘</w:t>
      </w:r>
      <w:r>
        <w:t xml:space="preserve">From me, worshipping,</w:t>
      </w:r>
      <w:r>
        <w:t xml:space="preserve"> </w:t>
      </w:r>
      <w:r>
        <w:rPr>
          <w:iCs/>
          <w:i/>
        </w:rPr>
        <w:t xml:space="preserve">kam</w:t>
      </w:r>
      <w:r>
        <w:t xml:space="preserve"> </w:t>
      </w:r>
      <w:r>
        <w:t xml:space="preserve">has come to be.</w:t>
      </w:r>
      <w:r>
        <w:t xml:space="preserve">’</w:t>
      </w:r>
      <w:r>
        <w:t xml:space="preserve"> </w:t>
      </w:r>
      <w:r>
        <w:t xml:space="preserve">So water got the name</w:t>
      </w:r>
      <w:r>
        <w:t xml:space="preserve"> </w:t>
      </w:r>
      <w:r>
        <w:rPr>
          <w:iCs/>
          <w:i/>
        </w:rPr>
        <w:t xml:space="preserve">arka</w:t>
      </w:r>
      <w:r>
        <w:t xml:space="preserve">.</w:t>
      </w:r>
      <w:r>
        <w:t xml:space="preserve">”</w:t>
      </w:r>
      <w:r>
        <w:t xml:space="preserve"> </w:t>
      </w:r>
      <w:r>
        <w:t xml:space="preserve">(Grammatical tail:</w:t>
      </w:r>
      <w:r>
        <w:t xml:space="preserve"> </w:t>
      </w:r>
      <w:r>
        <w:rPr>
          <w:iCs/>
          <w:i/>
        </w:rPr>
        <w:t xml:space="preserve">ānṛcuḥ</w:t>
      </w:r>
      <w:r>
        <w:t xml:space="preserve">, from</w:t>
      </w:r>
      <w:r>
        <w:t xml:space="preserve"> </w:t>
      </w:r>
      <w:r>
        <w:rPr>
          <w:iCs/>
          <w:i/>
        </w:rPr>
        <w:t xml:space="preserve">arc</w:t>
      </w:r>
      <w:r>
        <w:t xml:space="preserve">, given ready-made by</w:t>
      </w:r>
      <w:r>
        <w:t xml:space="preserve"> </w:t>
      </w:r>
      <w:r>
        <w:rPr>
          <w:iCs/>
          <w:i/>
        </w:rPr>
        <w:t xml:space="preserve">apaspṛdhethām…</w:t>
      </w:r>
      <w:r>
        <w:t xml:space="preserve"> </w:t>
      </w:r>
      <w:r>
        <w:t xml:space="preserve">(Pā. 6-1-36), the suffix accent, not lowered because joined with</w:t>
      </w:r>
      <w:r>
        <w:t xml:space="preserve"> </w:t>
      </w:r>
      <w:r>
        <w:rPr>
          <w:iCs/>
          <w:i/>
        </w:rPr>
        <w:t xml:space="preserve">yad</w:t>
      </w:r>
      <w:r>
        <w:t xml:space="preserve">;</w:t>
      </w:r>
      <w:r>
        <w:t xml:space="preserve"> </w:t>
      </w:r>
      <w:r>
        <w:rPr>
          <w:iCs/>
          <w:i/>
        </w:rPr>
        <w:t xml:space="preserve">anādhṛṣṭāsaḥ</w:t>
      </w:r>
      <w:r>
        <w:t xml:space="preserve">, the accent of the indeclinable first member;</w:t>
      </w:r>
      <w:r>
        <w:t xml:space="preserve"> </w:t>
      </w:r>
      <w:r>
        <w:rPr>
          <w:iCs/>
          <w:i/>
        </w:rPr>
        <w:t xml:space="preserve">ojasā</w:t>
      </w:r>
      <w:r>
        <w:t xml:space="preserve">,</w:t>
      </w:r>
      <w:r>
        <w:t xml:space="preserve"> </w:t>
      </w:r>
      <w:r>
        <w:rPr>
          <w:iCs/>
          <w:i/>
        </w:rPr>
        <w:t xml:space="preserve">asun</w:t>
      </w:r>
      <w:r>
        <w:t xml:space="preserve"> </w:t>
      </w:r>
      <w:r>
        <w:t xml:space="preserve">by</w:t>
      </w:r>
      <w:r>
        <w:t xml:space="preserve"> </w:t>
      </w:r>
      <w:r>
        <w:rPr>
          <w:iCs/>
          <w:i/>
        </w:rPr>
        <w:t xml:space="preserve">ubjer bale balopaś ca</w:t>
      </w:r>
      <w:r>
        <w:t xml:space="preserve"> </w:t>
      </w:r>
      <w:r>
        <w:t xml:space="preserve">(Uṇ. 4-191), initial udātta as</w:t>
      </w:r>
      <w:r>
        <w:t xml:space="preserve"> </w:t>
      </w:r>
      <w:r>
        <w:rPr>
          <w:iCs/>
          <w:i/>
        </w:rPr>
        <w:t xml:space="preserve">nit</w:t>
      </w:r>
      <w:r>
        <w:t xml:space="preserve">.)</w:t>
      </w:r>
    </w:p>
    <w:p>
      <w:pPr>
        <w:pStyle w:val="BodyText"/>
      </w:pPr>
      <w:r>
        <w:rPr>
          <w:bCs/>
          <w:b/>
        </w:rPr>
        <w:t xml:space="preserve">॥ Prati-padārthaḥ ॥</w:t>
      </w:r>
    </w:p>
    <w:p>
      <w:pPr>
        <w:pStyle w:val="BodyText"/>
      </w:pPr>
      <w:r>
        <w:rPr>
          <w:bCs/>
          <w:b/>
        </w:rPr>
        <w:t xml:space="preserve">उग्राः (ugrāḥ)</w:t>
      </w:r>
      <w:r>
        <w:t xml:space="preserve"> </w:t>
      </w:r>
      <w:r>
        <w:t xml:space="preserve">— moving swiftly |</w:t>
      </w:r>
      <w:r>
        <w:t xml:space="preserve"> </w:t>
      </w:r>
      <w:r>
        <w:rPr>
          <w:bCs/>
          <w:b/>
        </w:rPr>
        <w:t xml:space="preserve">ओजसा (ojasā)</w:t>
      </w:r>
      <w:r>
        <w:t xml:space="preserve"> </w:t>
      </w:r>
      <w:r>
        <w:t xml:space="preserve">— by strength |</w:t>
      </w:r>
      <w:r>
        <w:t xml:space="preserve"> </w:t>
      </w:r>
      <w:r>
        <w:rPr>
          <w:bCs/>
          <w:b/>
        </w:rPr>
        <w:t xml:space="preserve">अनाधृष्टासः (anādhṛṣṭāsaḥ)</w:t>
      </w:r>
      <w:r>
        <w:t xml:space="preserve"> </w:t>
      </w:r>
      <w:r>
        <w:t xml:space="preserve">— unchecked |</w:t>
      </w:r>
      <w:r>
        <w:t xml:space="preserve"> </w:t>
      </w:r>
      <w:r>
        <w:rPr>
          <w:bCs/>
          <w:b/>
        </w:rPr>
        <w:t xml:space="preserve">ये (ye)</w:t>
      </w:r>
      <w:r>
        <w:t xml:space="preserve"> </w:t>
      </w:r>
      <w:r>
        <w:t xml:space="preserve">— which Marut deities |</w:t>
      </w:r>
      <w:r>
        <w:t xml:space="preserve"> </w:t>
      </w:r>
      <w:r>
        <w:rPr>
          <w:bCs/>
          <w:b/>
        </w:rPr>
        <w:t xml:space="preserve">अर्कम् (arkam)</w:t>
      </w:r>
      <w:r>
        <w:t xml:space="preserve"> </w:t>
      </w:r>
      <w:r>
        <w:t xml:space="preserve">— water |</w:t>
      </w:r>
      <w:r>
        <w:t xml:space="preserve"> </w:t>
      </w:r>
      <w:r>
        <w:rPr>
          <w:bCs/>
          <w:b/>
        </w:rPr>
        <w:t xml:space="preserve">आनृचुः (ānṛcuḥ)</w:t>
      </w:r>
      <w:r>
        <w:t xml:space="preserve"> </w:t>
      </w:r>
      <w:r>
        <w:t xml:space="preserve">— rained | (such)</w:t>
      </w:r>
      <w:r>
        <w:t xml:space="preserve"> </w:t>
      </w:r>
      <w:r>
        <w:rPr>
          <w:bCs/>
          <w:b/>
        </w:rPr>
        <w:t xml:space="preserve">मरुद्भिः (marudbhiḥ)</w:t>
      </w:r>
      <w:r>
        <w:t xml:space="preserve"> </w:t>
      </w:r>
      <w:r>
        <w:t xml:space="preserve">— together with the Marut deities |</w:t>
      </w:r>
      <w:r>
        <w:t xml:space="preserve"> </w:t>
      </w:r>
      <w:r>
        <w:rPr>
          <w:bCs/>
          <w:b/>
        </w:rPr>
        <w:t xml:space="preserve">अग्ने (agne)</w:t>
      </w:r>
      <w:r>
        <w:t xml:space="preserve"> </w:t>
      </w:r>
      <w:r>
        <w:t xml:space="preserve">— O Agni |</w:t>
      </w:r>
      <w:r>
        <w:t xml:space="preserve"> </w:t>
      </w:r>
      <w:r>
        <w:rPr>
          <w:bCs/>
          <w:b/>
        </w:rPr>
        <w:t xml:space="preserve">आ गहि (ā gahi)</w:t>
      </w:r>
      <w:r>
        <w:t xml:space="preserve"> </w:t>
      </w:r>
      <w:r>
        <w:t xml:space="preserve">— come.</w:t>
      </w:r>
    </w:p>
    <w:p>
      <w:pPr>
        <w:pStyle w:val="BodyText"/>
      </w:pPr>
      <w:r>
        <w:rPr>
          <w:bCs/>
          <w:b/>
        </w:rPr>
        <w:t xml:space="preserve">॥ Bhāvārthaḥ ॥</w:t>
      </w:r>
    </w:p>
    <w:p>
      <w:pPr>
        <w:pStyle w:val="BodyText"/>
      </w:pPr>
      <w:r>
        <w:t xml:space="preserve">O Agni, come here together with the Marut deities, who have power and might that no one can check and who, blowing swiftly, rain water (pour down rain).</w:t>
      </w:r>
    </w:p>
    <w:p>
      <w:pPr>
        <w:pStyle w:val="BodyText"/>
      </w:pPr>
      <w:r>
        <w:rPr>
          <w:bCs/>
          <w:b/>
        </w:rPr>
        <w:t xml:space="preserve">॥ English Translation ॥</w:t>
      </w:r>
      <w:r>
        <w:t xml:space="preserve"> </w:t>
      </w:r>
      <w:r>
        <w:rPr>
          <w:iCs/>
          <w:i/>
        </w:rPr>
        <w:t xml:space="preserve">(as printed in the source)</w:t>
      </w:r>
    </w:p>
    <w:p>
      <w:pPr>
        <w:pStyle w:val="BlockText"/>
      </w:pPr>
      <w:r>
        <w:t xml:space="preserve">O Agni, come hither with the Maruts, who are fierce (or blow fiercely) and send down rain and are unsurpassed in strength.</w:t>
      </w:r>
    </w:p>
    <w:p>
      <w:pPr>
        <w:pStyle w:val="FirstParagraph"/>
      </w:pPr>
      <w:r>
        <w:rPr>
          <w:bCs/>
          <w:b/>
        </w:rPr>
        <w:t xml:space="preserve">॥ Viśeṣa-viṣayagaḷu (Special Topics) ॥</w:t>
      </w:r>
    </w:p>
    <w:p>
      <w:pPr>
        <w:pStyle w:val="BodyText"/>
      </w:pPr>
      <w:r>
        <w:rPr>
          <w:bCs/>
          <w:b/>
        </w:rPr>
        <w:t xml:space="preserve">Ugrāḥ</w:t>
      </w:r>
      <w:r>
        <w:t xml:space="preserve">:</w:t>
      </w:r>
      <w:r>
        <w:t xml:space="preserve"> </w:t>
      </w:r>
      <w:r>
        <w:rPr>
          <w:iCs/>
          <w:i/>
        </w:rPr>
        <w:t xml:space="preserve">tīvrāḥ</w:t>
      </w:r>
      <w:r>
        <w:t xml:space="preserve">; blowing swiftly.</w:t>
      </w:r>
    </w:p>
    <w:p>
      <w:pPr>
        <w:pStyle w:val="BodyText"/>
      </w:pPr>
      <w:r>
        <w:rPr>
          <w:bCs/>
          <w:b/>
        </w:rPr>
        <w:t xml:space="preserve">Arkam</w:t>
      </w:r>
      <w:r>
        <w:t xml:space="preserve">: water. We explained earlier (page</w:t>
      </w:r>
      <w:r>
        <w:t xml:space="preserve"> </w:t>
      </w:r>
      <w:r>
        <w:t xml:space="preserve">“</w:t>
      </w:r>
      <w:r>
        <w:t xml:space="preserve">384</w:t>
      </w:r>
      <w:r>
        <w:t xml:space="preserve">”</w:t>
      </w:r>
      <w:r>
        <w:t xml:space="preserve"> </w:t>
      </w:r>
      <w:r>
        <w:t xml:space="preserve">[?]) the four kinds of sense Yāska gives for the word</w:t>
      </w:r>
      <w:r>
        <w:t xml:space="preserve"> </w:t>
      </w:r>
      <w:r>
        <w:rPr>
          <w:iCs/>
          <w:i/>
        </w:rPr>
        <w:t xml:space="preserve">arka</w:t>
      </w:r>
      <w:r>
        <w:t xml:space="preserve">. Here the commentator gives another sense, water, for the word</w:t>
      </w:r>
      <w:r>
        <w:t xml:space="preserve"> </w:t>
      </w:r>
      <w:r>
        <w:rPr>
          <w:iCs/>
          <w:i/>
        </w:rPr>
        <w:t xml:space="preserve">arka</w:t>
      </w:r>
      <w:r>
        <w:t xml:space="preserve">, and to support it he cites a statement of the Śatapatha Brāhmaṇa of the White Yajurveda:</w:t>
      </w:r>
    </w:p>
    <w:p>
      <w:pPr>
        <w:pStyle w:val="BlockText"/>
      </w:pPr>
      <w:r>
        <w:t xml:space="preserve">सोऽर्चन्नचरत्तस्यार्चत आपोऽजायन्तार्चते वै मे कमभूदिति तदेवार्कस्यार्कत्वम् ॥ (श. ब्रा. १०-६-५-१)</w:t>
      </w:r>
    </w:p>
    <w:p>
      <w:pPr>
        <w:pStyle w:val="BlockText"/>
      </w:pPr>
      <w:r>
        <w:rPr>
          <w:iCs/>
          <w:i/>
        </w:rPr>
        <w:t xml:space="preserve">so ’rcannacarattasyārcata āpo ’jāyantārcate vai me kamabhūditi tadevārkasyārkatvam || (śa. brā. 10-6-5-1)</w:t>
      </w:r>
    </w:p>
    <w:p>
      <w:pPr>
        <w:pStyle w:val="FirstParagraph"/>
      </w:pPr>
      <w:r>
        <w:t xml:space="preserve">The commentator explains it thus:</w:t>
      </w:r>
    </w:p>
    <w:bookmarkEnd w:id="881"/>
    <w:bookmarkStart w:id="882" w:name="Xc81c05047fe938a9cc3ed11996eeb097cf0aa12"/>
    <w:p>
      <w:pPr>
        <w:pStyle w:val="Heading3"/>
      </w:pPr>
      <w:r>
        <w:t xml:space="preserve">Page 794 — Rik 4: Special Topics (end) and grammar</w:t>
      </w:r>
    </w:p>
    <w:p>
      <w:pPr>
        <w:pStyle w:val="BlockText"/>
      </w:pPr>
      <w:r>
        <w:t xml:space="preserve">जगत्स्रष्टा हिरण्यगर्भ उदकं स्रष्टुमुद्युक्तोऽर्चन् उदकसत्यसंकल्पमहिमप्रख्यापनेन स्वात्मानं पूजयन्नचरत् । तथा पूजयतो हिरण्यगर्भस्य सकाशादुदकमुत्पन्नम् । तदानीमर्चतो मत्तः कमभूदित्यवोचत् । तेनोदकस्यार्कनाम निष्पन्नमित्यर्थः ॥</w:t>
      </w:r>
    </w:p>
    <w:p>
      <w:pPr>
        <w:pStyle w:val="BlockText"/>
      </w:pPr>
      <w:r>
        <w:rPr>
          <w:iCs/>
          <w:i/>
        </w:rPr>
        <w:t xml:space="preserve">jagatsraṣṭā hiraṇyagarbha udakaṃ sraṣṭumudyukto ’rcan udakasatyasaṃkalpamahimaprakhyāpanena svātmānaṃ pūjayannacarat | tathā pūjayato hiraṇyagarbhasya sakāśādudakamutpannam | tadānīmarcato mattaḥ kamabhūdityavocat | tenodakasyārkanāma niṣpannamityarthaḥ ||</w:t>
      </w:r>
    </w:p>
    <w:p>
      <w:pPr>
        <w:pStyle w:val="FirstParagraph"/>
      </w:pPr>
      <w:r>
        <w:t xml:space="preserve">That is: Hiraṇyagarbha (Prajāpati), having created the world, then intent on creating water, being true-willed, began to worship himself. While he was worshipping thus, water arose from that Prajāpati. Then Prajāpati said,</w:t>
      </w:r>
      <w:r>
        <w:t xml:space="preserve"> </w:t>
      </w:r>
      <w:r>
        <w:t xml:space="preserve">“</w:t>
      </w:r>
      <w:r>
        <w:t xml:space="preserve">What is this that has arisen from me? (</w:t>
      </w:r>
      <w:r>
        <w:rPr>
          <w:iCs/>
          <w:i/>
        </w:rPr>
        <w:t xml:space="preserve">kam</w:t>
      </w:r>
      <w:r>
        <w:t xml:space="preserve">)</w:t>
      </w:r>
      <w:r>
        <w:t xml:space="preserve">”</w:t>
      </w:r>
      <w:r>
        <w:t xml:space="preserve">; for that reason, since</w:t>
      </w:r>
      <w:r>
        <w:t xml:space="preserve"> </w:t>
      </w:r>
      <w:r>
        <w:rPr>
          <w:iCs/>
          <w:i/>
        </w:rPr>
        <w:t xml:space="preserve">kam</w:t>
      </w:r>
      <w:r>
        <w:t xml:space="preserve"> </w:t>
      </w:r>
      <w:r>
        <w:t xml:space="preserve">(water) arose from worship, water got the name</w:t>
      </w:r>
      <w:r>
        <w:t xml:space="preserve"> </w:t>
      </w:r>
      <w:r>
        <w:rPr>
          <w:iCs/>
          <w:i/>
        </w:rPr>
        <w:t xml:space="preserve">arka</w:t>
      </w:r>
      <w:r>
        <w:t xml:space="preserve">: that is the intent.</w:t>
      </w:r>
    </w:p>
    <w:p>
      <w:pPr>
        <w:pStyle w:val="BodyText"/>
      </w:pPr>
      <w:r>
        <w:rPr>
          <w:bCs/>
          <w:b/>
        </w:rPr>
        <w:t xml:space="preserve">Ānṛcuḥ</w:t>
      </w:r>
      <w:r>
        <w:t xml:space="preserve">:</w:t>
      </w:r>
    </w:p>
    <w:p>
      <w:pPr>
        <w:pStyle w:val="BlockText"/>
      </w:pPr>
      <w:r>
        <w:t xml:space="preserve">अर्चितवन्तः । वर्षणेन संपादितवन्तः</w:t>
      </w:r>
    </w:p>
    <w:p>
      <w:pPr>
        <w:pStyle w:val="BlockText"/>
      </w:pPr>
      <w:r>
        <w:rPr>
          <w:iCs/>
          <w:i/>
        </w:rPr>
        <w:t xml:space="preserve">arcitavantaḥ | varṣaṇena saṃpāditavantaḥ</w:t>
      </w:r>
    </w:p>
    <w:p>
      <w:pPr>
        <w:pStyle w:val="FirstParagraph"/>
      </w:pPr>
      <w:r>
        <w:t xml:space="preserve">(</w:t>
      </w:r>
      <w:r>
        <w:t xml:space="preserve">“</w:t>
      </w:r>
      <w:r>
        <w:t xml:space="preserve">They worshipped; they brought it about by raining.</w:t>
      </w:r>
      <w:r>
        <w:t xml:space="preserve">”</w:t>
      </w:r>
      <w:r>
        <w:t xml:space="preserve">) They worshipped, they adored; that is, they rained the water produced by the act of worship.</w:t>
      </w:r>
    </w:p>
    <w:p>
      <w:pPr>
        <w:pStyle w:val="BodyText"/>
      </w:pPr>
      <w:r>
        <w:rPr>
          <w:bCs/>
          <w:b/>
        </w:rPr>
        <w:t xml:space="preserve">Anādhṛṣṭāsaḥ</w:t>
      </w:r>
      <w:r>
        <w:t xml:space="preserve">:</w:t>
      </w:r>
    </w:p>
    <w:p>
      <w:pPr>
        <w:pStyle w:val="BlockText"/>
      </w:pPr>
      <w:r>
        <w:t xml:space="preserve">अतिरस्कृताः । सर्वेभ्योऽपि प्रबलाः</w:t>
      </w:r>
    </w:p>
    <w:p>
      <w:pPr>
        <w:pStyle w:val="BlockText"/>
      </w:pPr>
      <w:r>
        <w:rPr>
          <w:iCs/>
          <w:i/>
        </w:rPr>
        <w:t xml:space="preserve">atiraskṛtāḥ | sarvebhyo ’pi prabalāḥ</w:t>
      </w:r>
    </w:p>
    <w:p>
      <w:pPr>
        <w:pStyle w:val="FirstParagraph"/>
      </w:pPr>
      <w:r>
        <w:t xml:space="preserve">(</w:t>
      </w:r>
      <w:r>
        <w:t xml:space="preserve">“</w:t>
      </w:r>
      <w:r>
        <w:t xml:space="preserve">Not overcome; mightier than all.</w:t>
      </w:r>
      <w:r>
        <w:t xml:space="preserve">”</w:t>
      </w:r>
      <w:r>
        <w:t xml:space="preserve">) Those whom none can put down, that is, mightier than all, of greater power.</w:t>
      </w:r>
    </w:p>
    <w:p>
      <w:pPr>
        <w:pStyle w:val="BodyText"/>
      </w:pPr>
      <w:r>
        <w:rPr>
          <w:bCs/>
          <w:b/>
        </w:rPr>
        <w:t xml:space="preserve">॥ Vyākaraṇa-prakriyā ॥</w:t>
      </w:r>
      <w:r>
        <w:t xml:space="preserve"> </w:t>
      </w:r>
      <w:r>
        <w:rPr>
          <w:iCs/>
          <w:i/>
        </w:rPr>
        <w:t xml:space="preserve">(grammar pages 794–795, noted briefly)</w:t>
      </w:r>
    </w:p>
    <w:p>
      <w:pPr>
        <w:pStyle w:val="BodyText"/>
      </w:pPr>
      <w:r>
        <w:rPr>
          <w:bCs/>
          <w:b/>
        </w:rPr>
        <w:t xml:space="preserve">आनृचुः (</w:t>
      </w:r>
      <w:r>
        <w:rPr>
          <w:iCs/>
          <w:i/>
          <w:bCs/>
          <w:b/>
        </w:rPr>
        <w:t xml:space="preserve">ānṛcuḥ</w:t>
      </w:r>
      <w:r>
        <w:rPr>
          <w:bCs/>
          <w:b/>
        </w:rPr>
        <w:t xml:space="preserve">)</w:t>
      </w:r>
      <w:r>
        <w:t xml:space="preserve">:</w:t>
      </w:r>
    </w:p>
    <w:p>
      <w:pPr>
        <w:pStyle w:val="BlockText"/>
      </w:pPr>
      <w:r>
        <w:t xml:space="preserve">अपस्पृधेथामानृचुरानृहुश्चिच्युषेतित्याजश्राताःश्रितमाशीराशीर्ताः</w:t>
      </w:r>
    </w:p>
    <w:p>
      <w:pPr>
        <w:pStyle w:val="BlockText"/>
      </w:pPr>
      <w:r>
        <w:rPr>
          <w:iCs/>
          <w:i/>
        </w:rPr>
        <w:t xml:space="preserve">apaspṛdhethāmānṛcurānṛhuścicyuṣetityājaśrātāḥśritamāśīrāśīrtāḥ</w:t>
      </w:r>
    </w:p>
    <w:p>
      <w:pPr>
        <w:pStyle w:val="FirstParagraph"/>
      </w:pPr>
      <w:r>
        <w:t xml:space="preserve">(Pā. sū. 6-1-36). The root</w:t>
      </w:r>
      <w:r>
        <w:t xml:space="preserve"> </w:t>
      </w:r>
      <w:r>
        <w:rPr>
          <w:iCs/>
          <w:i/>
        </w:rPr>
        <w:t xml:space="preserve">spardha saṃgharṣe</w:t>
      </w:r>
      <w:r>
        <w:t xml:space="preserve">;</w:t>
      </w:r>
      <w:r>
        <w:t xml:space="preserve"> </w:t>
      </w:r>
      <w:r>
        <w:rPr>
          <w:iCs/>
          <w:i/>
        </w:rPr>
        <w:t xml:space="preserve">laṅ</w:t>
      </w:r>
      <w:r>
        <w:t xml:space="preserve">, 3rd-person [as printed;</w:t>
      </w:r>
      <w:r>
        <w:t xml:space="preserve"> </w:t>
      </w:r>
      <w:r>
        <w:rPr>
          <w:iCs/>
          <w:i/>
        </w:rPr>
        <w:t xml:space="preserve">āthām</w:t>
      </w:r>
      <w:r>
        <w:t xml:space="preserve"> </w:t>
      </w:r>
      <w:r>
        <w:t xml:space="preserve">is 2nd person] dual</w:t>
      </w:r>
      <w:r>
        <w:t xml:space="preserve"> </w:t>
      </w:r>
      <w:r>
        <w:rPr>
          <w:iCs/>
          <w:i/>
        </w:rPr>
        <w:t xml:space="preserve">āthām</w:t>
      </w:r>
      <w:r>
        <w:t xml:space="preserve">:</w:t>
      </w:r>
      <w:r>
        <w:t xml:space="preserve"> </w:t>
      </w:r>
      <w:r>
        <w:rPr>
          <w:iCs/>
          <w:i/>
        </w:rPr>
        <w:t xml:space="preserve">spardh</w:t>
      </w:r>
      <w:r>
        <w:t xml:space="preserve"> </w:t>
      </w:r>
      <w:r>
        <w:t xml:space="preserve">+</w:t>
      </w:r>
      <w:r>
        <w:t xml:space="preserve"> </w:t>
      </w:r>
      <w:r>
        <w:rPr>
          <w:iCs/>
          <w:i/>
        </w:rPr>
        <w:t xml:space="preserve">āthām</w:t>
      </w:r>
      <w:r>
        <w:t xml:space="preserve">. Here the root is doubled:</w:t>
      </w:r>
      <w:r>
        <w:t xml:space="preserve"> </w:t>
      </w:r>
      <w:r>
        <w:rPr>
          <w:iCs/>
          <w:i/>
        </w:rPr>
        <w:t xml:space="preserve">spardh spardh</w:t>
      </w:r>
      <w:r>
        <w:t xml:space="preserve"> </w:t>
      </w:r>
      <w:r>
        <w:t xml:space="preserve">+</w:t>
      </w:r>
      <w:r>
        <w:t xml:space="preserve"> </w:t>
      </w:r>
      <w:r>
        <w:rPr>
          <w:iCs/>
          <w:i/>
        </w:rPr>
        <w:t xml:space="preserve">āthām</w:t>
      </w:r>
      <w:r>
        <w:t xml:space="preserve">. The</w:t>
      </w:r>
      <w:r>
        <w:t xml:space="preserve"> </w:t>
      </w:r>
      <w:r>
        <w:rPr>
          <w:iCs/>
          <w:i/>
        </w:rPr>
        <w:t xml:space="preserve">r</w:t>
      </w:r>
      <w:r>
        <w:t xml:space="preserve"> </w:t>
      </w:r>
      <w:r>
        <w:t xml:space="preserve">of the latter part takes</w:t>
      </w:r>
      <w:r>
        <w:t xml:space="preserve"> </w:t>
      </w:r>
      <w:r>
        <w:rPr>
          <w:iCs/>
          <w:i/>
        </w:rPr>
        <w:t xml:space="preserve">saṃprasāraṇa</w:t>
      </w:r>
      <w:r>
        <w:t xml:space="preserve">,</w:t>
      </w:r>
      <w:r>
        <w:t xml:space="preserve"> </w:t>
      </w:r>
      <w:r>
        <w:rPr>
          <w:iCs/>
          <w:i/>
        </w:rPr>
        <w:t xml:space="preserve">ṛ</w:t>
      </w:r>
      <w:r>
        <w:t xml:space="preserve">, and the</w:t>
      </w:r>
      <w:r>
        <w:t xml:space="preserve"> </w:t>
      </w:r>
      <w:r>
        <w:rPr>
          <w:iCs/>
          <w:i/>
        </w:rPr>
        <w:t xml:space="preserve">a</w:t>
      </w:r>
      <w:r>
        <w:t xml:space="preserve"> </w:t>
      </w:r>
      <w:r>
        <w:t xml:space="preserve">before the</w:t>
      </w:r>
      <w:r>
        <w:t xml:space="preserve"> </w:t>
      </w:r>
      <w:r>
        <w:rPr>
          <w:iCs/>
          <w:i/>
        </w:rPr>
        <w:t xml:space="preserve">r</w:t>
      </w:r>
      <w:r>
        <w:t xml:space="preserve"> </w:t>
      </w:r>
      <w:r>
        <w:t xml:space="preserve">drops: these are given ready-made.</w:t>
      </w:r>
      <w:r>
        <w:t xml:space="preserve"> </w:t>
      </w:r>
      <w:r>
        <w:rPr>
          <w:iCs/>
          <w:i/>
        </w:rPr>
        <w:t xml:space="preserve">Spardh spṛdh</w:t>
      </w:r>
      <w:r>
        <w:t xml:space="preserve"> </w:t>
      </w:r>
      <w:r>
        <w:t xml:space="preserve">+</w:t>
      </w:r>
      <w:r>
        <w:t xml:space="preserve"> </w:t>
      </w:r>
      <w:r>
        <w:rPr>
          <w:iCs/>
          <w:i/>
        </w:rPr>
        <w:t xml:space="preserve">āthām</w:t>
      </w:r>
      <w:r>
        <w:t xml:space="preserve">: by</w:t>
      </w:r>
      <w:r>
        <w:t xml:space="preserve"> </w:t>
      </w:r>
      <w:r>
        <w:t xml:space="preserve">“</w:t>
      </w:r>
      <w:r>
        <w:t xml:space="preserve">śarpūrvāḥ khayaḥ</w:t>
      </w:r>
      <w:r>
        <w:t xml:space="preserve">”</w:t>
      </w:r>
      <w:r>
        <w:t xml:space="preserve"> </w:t>
      </w:r>
      <w:r>
        <w:t xml:space="preserve">(Pā. sū. 7-4-61), in the</w:t>
      </w:r>
      <w:r>
        <w:t xml:space="preserve"> </w:t>
      </w:r>
      <w:r>
        <w:rPr>
          <w:iCs/>
          <w:i/>
        </w:rPr>
        <w:t xml:space="preserve">abhyāsa</w:t>
      </w:r>
      <w:r>
        <w:t xml:space="preserve"> </w:t>
      </w:r>
      <w:r>
        <w:t xml:space="preserve">the</w:t>
      </w:r>
      <w:r>
        <w:t xml:space="preserve"> </w:t>
      </w:r>
      <w:r>
        <w:rPr>
          <w:iCs/>
          <w:i/>
        </w:rPr>
        <w:t xml:space="preserve">khay</w:t>
      </w:r>
      <w:r>
        <w:t xml:space="preserve"> </w:t>
      </w:r>
      <w:r>
        <w:t xml:space="preserve">letters after</w:t>
      </w:r>
      <w:r>
        <w:t xml:space="preserve"> </w:t>
      </w:r>
      <w:r>
        <w:rPr>
          <w:iCs/>
          <w:i/>
        </w:rPr>
        <w:t xml:space="preserve">ś</w:t>
      </w:r>
      <w:r>
        <w:t xml:space="preserve">,</w:t>
      </w:r>
      <w:r>
        <w:t xml:space="preserve"> </w:t>
      </w:r>
      <w:r>
        <w:rPr>
          <w:iCs/>
          <w:i/>
        </w:rPr>
        <w:t xml:space="preserve">ṣ</w:t>
      </w:r>
      <w:r>
        <w:t xml:space="preserve">,</w:t>
      </w:r>
      <w:r>
        <w:t xml:space="preserve"> </w:t>
      </w:r>
      <w:r>
        <w:rPr>
          <w:iCs/>
          <w:i/>
        </w:rPr>
        <w:t xml:space="preserve">s</w:t>
      </w:r>
      <w:r>
        <w:t xml:space="preserve"> </w:t>
      </w:r>
      <w:r>
        <w:t xml:space="preserve">remain and the other letters drop; so in the first</w:t>
      </w:r>
      <w:r>
        <w:t xml:space="preserve"> </w:t>
      </w:r>
      <w:r>
        <w:rPr>
          <w:iCs/>
          <w:i/>
        </w:rPr>
        <w:t xml:space="preserve">spardh</w:t>
      </w:r>
      <w:r>
        <w:t xml:space="preserve"> </w:t>
      </w:r>
      <w:r>
        <w:t xml:space="preserve">the</w:t>
      </w:r>
      <w:r>
        <w:t xml:space="preserve"> </w:t>
      </w:r>
      <w:r>
        <w:rPr>
          <w:iCs/>
          <w:i/>
        </w:rPr>
        <w:t xml:space="preserve">p</w:t>
      </w:r>
      <w:r>
        <w:t xml:space="preserve"> </w:t>
      </w:r>
      <w:r>
        <w:t xml:space="preserve">remains and the other letters drop:</w:t>
      </w:r>
      <w:r>
        <w:t xml:space="preserve"> </w:t>
      </w:r>
      <w:r>
        <w:rPr>
          <w:iCs/>
          <w:i/>
        </w:rPr>
        <w:t xml:space="preserve">paspṛdh</w:t>
      </w:r>
      <w:r>
        <w:t xml:space="preserve">,</w:t>
      </w:r>
      <w:r>
        <w:t xml:space="preserve"> </w:t>
      </w:r>
      <w:r>
        <w:rPr>
          <w:iCs/>
          <w:i/>
        </w:rPr>
        <w:t xml:space="preserve">āthām</w:t>
      </w:r>
      <w:r>
        <w:t xml:space="preserve">, the augment</w:t>
      </w:r>
      <w:r>
        <w:t xml:space="preserve"> </w:t>
      </w:r>
      <w:r>
        <w:rPr>
          <w:iCs/>
          <w:i/>
        </w:rPr>
        <w:t xml:space="preserve">aṭ</w:t>
      </w:r>
      <w:r>
        <w:t xml:space="preserve">,</w:t>
      </w:r>
      <w:r>
        <w:t xml:space="preserve"> </w:t>
      </w:r>
      <w:r>
        <w:rPr>
          <w:iCs/>
          <w:i/>
        </w:rPr>
        <w:t xml:space="preserve">śap</w:t>
      </w:r>
      <w:r>
        <w:t xml:space="preserve">. By</w:t>
      </w:r>
      <w:r>
        <w:t xml:space="preserve"> </w:t>
      </w:r>
      <w:r>
        <w:t xml:space="preserve">“</w:t>
      </w:r>
      <w:r>
        <w:t xml:space="preserve">āto ṅitaḥ</w:t>
      </w:r>
      <w:r>
        <w:t xml:space="preserve">”</w:t>
      </w:r>
      <w:r>
        <w:t xml:space="preserve"> </w:t>
      </w:r>
      <w:r>
        <w:t xml:space="preserve">(Pā. sū. 7-2-81)</w:t>
      </w:r>
      <w:r>
        <w:t xml:space="preserve"> </w:t>
      </w:r>
      <w:r>
        <w:rPr>
          <w:iCs/>
          <w:i/>
        </w:rPr>
        <w:t xml:space="preserve">iy</w:t>
      </w:r>
      <w:r>
        <w:t xml:space="preserve"> </w:t>
      </w:r>
      <w:r>
        <w:t xml:space="preserve">for the</w:t>
      </w:r>
      <w:r>
        <w:t xml:space="preserve"> </w:t>
      </w:r>
      <w:r>
        <w:rPr>
          <w:iCs/>
          <w:i/>
        </w:rPr>
        <w:t xml:space="preserve">ā</w:t>
      </w:r>
      <w:r>
        <w:t xml:space="preserve">; by</w:t>
      </w:r>
      <w:r>
        <w:t xml:space="preserve"> </w:t>
      </w:r>
      <w:r>
        <w:t xml:space="preserve">“</w:t>
      </w:r>
      <w:r>
        <w:t xml:space="preserve">lopo vyor vali</w:t>
      </w:r>
      <w:r>
        <w:t xml:space="preserve">”</w:t>
      </w:r>
      <w:r>
        <w:t xml:space="preserve"> </w:t>
      </w:r>
      <w:r>
        <w:t xml:space="preserve">(Pā. sū. 6-1-66) the</w:t>
      </w:r>
      <w:r>
        <w:t xml:space="preserve"> </w:t>
      </w:r>
      <w:r>
        <w:rPr>
          <w:iCs/>
          <w:i/>
        </w:rPr>
        <w:t xml:space="preserve">y</w:t>
      </w:r>
      <w:r>
        <w:t xml:space="preserve"> </w:t>
      </w:r>
      <w:r>
        <w:t xml:space="preserve">drops; by</w:t>
      </w:r>
      <w:r>
        <w:t xml:space="preserve"> </w:t>
      </w:r>
      <w:r>
        <w:rPr>
          <w:iCs/>
          <w:i/>
        </w:rPr>
        <w:t xml:space="preserve">ād guṇaḥ</w:t>
      </w:r>
      <w:r>
        <w:t xml:space="preserve">:</w:t>
      </w:r>
      <w:r>
        <w:t xml:space="preserve"> </w:t>
      </w:r>
      <w:r>
        <w:rPr>
          <w:iCs/>
          <w:i/>
        </w:rPr>
        <w:t xml:space="preserve">apaspṛdhethām</w:t>
      </w:r>
      <w:r>
        <w:t xml:space="preserve">. Or, with</w:t>
      </w:r>
      <w:r>
        <w:t xml:space="preserve"> </w:t>
      </w:r>
      <w:r>
        <w:rPr>
          <w:iCs/>
          <w:i/>
        </w:rPr>
        <w:t xml:space="preserve">apa</w:t>
      </w:r>
      <w:r>
        <w:t xml:space="preserve"> </w:t>
      </w:r>
      <w:r>
        <w:t xml:space="preserve">a separate preverb, the root</w:t>
      </w:r>
      <w:r>
        <w:t xml:space="preserve"> </w:t>
      </w:r>
      <w:r>
        <w:rPr>
          <w:iCs/>
          <w:i/>
        </w:rPr>
        <w:t xml:space="preserve">spardh</w:t>
      </w:r>
      <w:r>
        <w:t xml:space="preserve">,</w:t>
      </w:r>
      <w:r>
        <w:t xml:space="preserve"> </w:t>
      </w:r>
      <w:r>
        <w:rPr>
          <w:iCs/>
          <w:i/>
        </w:rPr>
        <w:t xml:space="preserve">laṅ</w:t>
      </w:r>
      <w:r>
        <w:t xml:space="preserve">,</w:t>
      </w:r>
      <w:r>
        <w:t xml:space="preserve"> </w:t>
      </w:r>
      <w:r>
        <w:rPr>
          <w:iCs/>
          <w:i/>
        </w:rPr>
        <w:t xml:space="preserve">āthām</w:t>
      </w:r>
      <w:r>
        <w:t xml:space="preserve">,</w:t>
      </w:r>
      <w:r>
        <w:t xml:space="preserve"> </w:t>
      </w:r>
      <w:r>
        <w:rPr>
          <w:iCs/>
          <w:i/>
        </w:rPr>
        <w:t xml:space="preserve">śap</w:t>
      </w:r>
      <w:r>
        <w:t xml:space="preserve">,</w:t>
      </w:r>
      <w:r>
        <w:t xml:space="preserve"> </w:t>
      </w:r>
      <w:r>
        <w:rPr>
          <w:iCs/>
          <w:i/>
        </w:rPr>
        <w:t xml:space="preserve">āto ṅitaḥ</w:t>
      </w:r>
      <w:r>
        <w:t xml:space="preserve">, loss of</w:t>
      </w:r>
      <w:r>
        <w:t xml:space="preserve"> </w:t>
      </w:r>
      <w:r>
        <w:rPr>
          <w:iCs/>
          <w:i/>
        </w:rPr>
        <w:t xml:space="preserve">y</w:t>
      </w:r>
      <w:r>
        <w:t xml:space="preserve"> </w:t>
      </w:r>
      <w:r>
        <w:t xml:space="preserve">before</w:t>
      </w:r>
      <w:r>
        <w:t xml:space="preserve"> </w:t>
      </w:r>
      <w:r>
        <w:rPr>
          <w:iCs/>
          <w:i/>
        </w:rPr>
        <w:t xml:space="preserve">val</w:t>
      </w:r>
      <w:r>
        <w:t xml:space="preserve">; the absence of the augment</w:t>
      </w:r>
      <w:r>
        <w:t xml:space="preserve"> </w:t>
      </w:r>
      <w:r>
        <w:rPr>
          <w:iCs/>
          <w:i/>
        </w:rPr>
        <w:t xml:space="preserve">aṭ</w:t>
      </w:r>
      <w:r>
        <w:t xml:space="preserve"> </w:t>
      </w:r>
      <w:r>
        <w:t xml:space="preserve">is Vedic:</w:t>
      </w:r>
      <w:r>
        <w:t xml:space="preserve"> </w:t>
      </w:r>
      <w:r>
        <w:rPr>
          <w:iCs/>
          <w:i/>
        </w:rPr>
        <w:t xml:space="preserve">spardhethām</w:t>
      </w:r>
      <w:r>
        <w:t xml:space="preserve">.</w:t>
      </w:r>
      <w:r>
        <w:t xml:space="preserve"> </w:t>
      </w:r>
      <w:r>
        <w:rPr>
          <w:iCs/>
          <w:i/>
        </w:rPr>
        <w:t xml:space="preserve">Ānṛcuḥ</w:t>
      </w:r>
      <w:r>
        <w:t xml:space="preserve">:</w:t>
      </w:r>
      <w:r>
        <w:t xml:space="preserve"> </w:t>
      </w:r>
      <w:r>
        <w:rPr>
          <w:iCs/>
          <w:i/>
        </w:rPr>
        <w:t xml:space="preserve">arca pūjāyām</w:t>
      </w:r>
      <w:r>
        <w:t xml:space="preserve">;</w:t>
      </w:r>
      <w:r>
        <w:t xml:space="preserve"> </w:t>
      </w:r>
      <w:r>
        <w:rPr>
          <w:iCs/>
          <w:i/>
        </w:rPr>
        <w:t xml:space="preserve">liṭ</w:t>
      </w:r>
      <w:r>
        <w:t xml:space="preserve">,</w:t>
      </w:r>
      <w:r>
        <w:t xml:space="preserve"> </w:t>
      </w:r>
      <w:r>
        <w:rPr>
          <w:iCs/>
          <w:i/>
        </w:rPr>
        <w:t xml:space="preserve">jhi</w:t>
      </w:r>
      <w:r>
        <w:t xml:space="preserve">; by</w:t>
      </w:r>
      <w:r>
        <w:t xml:space="preserve"> </w:t>
      </w:r>
      <w:r>
        <w:t xml:space="preserve">“</w:t>
      </w:r>
      <w:r>
        <w:t xml:space="preserve">parasmaipadānāṃ ṇalatususthalathusaṇalvamāḥ</w:t>
      </w:r>
      <w:r>
        <w:t xml:space="preserve">”</w:t>
      </w:r>
      <w:r>
        <w:t xml:space="preserve"> </w:t>
      </w:r>
      <w:r>
        <w:t xml:space="preserve">(Pā. sū. 3-4-82)</w:t>
      </w:r>
      <w:r>
        <w:t xml:space="preserve"> </w:t>
      </w:r>
      <w:r>
        <w:rPr>
          <w:iCs/>
          <w:i/>
        </w:rPr>
        <w:t xml:space="preserve">us</w:t>
      </w:r>
      <w:r>
        <w:t xml:space="preserve">:</w:t>
      </w:r>
      <w:r>
        <w:t xml:space="preserve"> </w:t>
      </w:r>
      <w:r>
        <w:rPr>
          <w:iCs/>
          <w:i/>
        </w:rPr>
        <w:t xml:space="preserve">arc</w:t>
      </w:r>
      <w:r>
        <w:t xml:space="preserve"> </w:t>
      </w:r>
      <w:r>
        <w:t xml:space="preserve">+</w:t>
      </w:r>
      <w:r>
        <w:t xml:space="preserve"> </w:t>
      </w:r>
      <w:r>
        <w:rPr>
          <w:iCs/>
          <w:i/>
        </w:rPr>
        <w:t xml:space="preserve">us</w:t>
      </w:r>
      <w:r>
        <w:t xml:space="preserve">; by</w:t>
      </w:r>
      <w:r>
        <w:t xml:space="preserve"> </w:t>
      </w:r>
      <w:r>
        <w:t xml:space="preserve">“</w:t>
      </w:r>
      <w:r>
        <w:t xml:space="preserve">liṭi dhātor anabhyāsasya</w:t>
      </w:r>
      <w:r>
        <w:t xml:space="preserve">”</w:t>
      </w:r>
      <w:r>
        <w:t xml:space="preserve"> </w:t>
      </w:r>
      <w:r>
        <w:t xml:space="preserve">(Pā. sū. 6-1-8) doubling:</w:t>
      </w:r>
      <w:r>
        <w:t xml:space="preserve"> </w:t>
      </w:r>
      <w:r>
        <w:rPr>
          <w:iCs/>
          <w:i/>
        </w:rPr>
        <w:t xml:space="preserve">arc arc</w:t>
      </w:r>
      <w:r>
        <w:t xml:space="preserve"> </w:t>
      </w:r>
      <w:r>
        <w:t xml:space="preserve">+</w:t>
      </w:r>
      <w:r>
        <w:t xml:space="preserve"> </w:t>
      </w:r>
      <w:r>
        <w:rPr>
          <w:iCs/>
          <w:i/>
        </w:rPr>
        <w:t xml:space="preserve">us</w:t>
      </w:r>
      <w:r>
        <w:t xml:space="preserve">; by</w:t>
      </w:r>
      <w:r>
        <w:t xml:space="preserve"> </w:t>
      </w:r>
      <w:r>
        <w:t xml:space="preserve">“</w:t>
      </w:r>
      <w:r>
        <w:t xml:space="preserve">halādiḥ śeṣaḥ</w:t>
      </w:r>
      <w:r>
        <w:t xml:space="preserve">”</w:t>
      </w:r>
      <w:r>
        <w:t xml:space="preserve"> </w:t>
      </w:r>
      <w:r>
        <w:t xml:space="preserve">(Pā. sū. 7-4-60), on the view taking the class or on the view of splitting the rule, the consonants of the</w:t>
      </w:r>
      <w:r>
        <w:t xml:space="preserve"> </w:t>
      </w:r>
      <w:r>
        <w:rPr>
          <w:iCs/>
          <w:i/>
        </w:rPr>
        <w:t xml:space="preserve">abhyāsa</w:t>
      </w:r>
      <w:r>
        <w:t xml:space="preserve"> </w:t>
      </w:r>
      <w:r>
        <w:t xml:space="preserve">drop:</w:t>
      </w:r>
      <w:r>
        <w:t xml:space="preserve"> </w:t>
      </w:r>
      <w:r>
        <w:rPr>
          <w:iCs/>
          <w:i/>
        </w:rPr>
        <w:t xml:space="preserve">a</w:t>
      </w:r>
      <w:r>
        <w:t xml:space="preserve"> </w:t>
      </w:r>
      <w:r>
        <w:t xml:space="preserve">+</w:t>
      </w:r>
      <w:r>
        <w:t xml:space="preserve"> </w:t>
      </w:r>
      <w:r>
        <w:rPr>
          <w:iCs/>
          <w:i/>
        </w:rPr>
        <w:t xml:space="preserve">arc</w:t>
      </w:r>
      <w:r>
        <w:t xml:space="preserve"> </w:t>
      </w:r>
      <w:r>
        <w:t xml:space="preserve">+</w:t>
      </w:r>
      <w:r>
        <w:t xml:space="preserve"> </w:t>
      </w:r>
      <w:r>
        <w:rPr>
          <w:iCs/>
          <w:i/>
        </w:rPr>
        <w:t xml:space="preserve">us</w:t>
      </w:r>
      <w:r>
        <w:t xml:space="preserve">; by</w:t>
      </w:r>
      <w:r>
        <w:t xml:space="preserve"> </w:t>
      </w:r>
      <w:r>
        <w:t xml:space="preserve">“</w:t>
      </w:r>
      <w:r>
        <w:t xml:space="preserve">ata ādeḥ</w:t>
      </w:r>
      <w:r>
        <w:t xml:space="preserve">”</w:t>
      </w:r>
      <w:r>
        <w:t xml:space="preserve"> </w:t>
      </w:r>
      <w:r>
        <w:t xml:space="preserve">(Pā. sū. 7-4-70) the short</w:t>
      </w:r>
      <w:r>
        <w:t xml:space="preserve"> </w:t>
      </w:r>
      <w:r>
        <w:rPr>
          <w:iCs/>
          <w:i/>
        </w:rPr>
        <w:t xml:space="preserve">a</w:t>
      </w:r>
      <w:r>
        <w:t xml:space="preserve"> </w:t>
      </w:r>
      <w:r>
        <w:t xml:space="preserve">at the start of the</w:t>
      </w:r>
      <w:r>
        <w:t xml:space="preserve"> </w:t>
      </w:r>
      <w:r>
        <w:rPr>
          <w:iCs/>
          <w:i/>
        </w:rPr>
        <w:t xml:space="preserve">abhyāsa</w:t>
      </w:r>
      <w:r>
        <w:t xml:space="preserve"> </w:t>
      </w:r>
      <w:r>
        <w:t xml:space="preserve">is lengthened:</w:t>
      </w:r>
      <w:r>
        <w:t xml:space="preserve"> </w:t>
      </w:r>
      <w:r>
        <w:rPr>
          <w:iCs/>
          <w:i/>
        </w:rPr>
        <w:t xml:space="preserve">ā</w:t>
      </w:r>
      <w:r>
        <w:t xml:space="preserve"> </w:t>
      </w:r>
      <w:r>
        <w:t xml:space="preserve">+</w:t>
      </w:r>
      <w:r>
        <w:t xml:space="preserve"> </w:t>
      </w:r>
      <w:r>
        <w:rPr>
          <w:iCs/>
          <w:i/>
        </w:rPr>
        <w:t xml:space="preserve">arc</w:t>
      </w:r>
      <w:r>
        <w:t xml:space="preserve"> </w:t>
      </w:r>
      <w:r>
        <w:t xml:space="preserve">+</w:t>
      </w:r>
      <w:r>
        <w:t xml:space="preserve"> </w:t>
      </w:r>
      <w:r>
        <w:rPr>
          <w:iCs/>
          <w:i/>
        </w:rPr>
        <w:t xml:space="preserve">us</w:t>
      </w:r>
      <w:r>
        <w:t xml:space="preserve">; by</w:t>
      </w:r>
      <w:r>
        <w:t xml:space="preserve"> </w:t>
      </w:r>
      <w:r>
        <w:t xml:space="preserve">“</w:t>
      </w:r>
      <w:r>
        <w:t xml:space="preserve">tasmān nuḍ dvihalaḥ</w:t>
      </w:r>
      <w:r>
        <w:t xml:space="preserve">”</w:t>
      </w:r>
      <w:r>
        <w:t xml:space="preserve"> </w:t>
      </w:r>
      <w:r>
        <w:t xml:space="preserve">(Pā. sū. 7-4-71) the augment</w:t>
      </w:r>
      <w:r>
        <w:t xml:space="preserve"> </w:t>
      </w:r>
      <w:r>
        <w:rPr>
          <w:iCs/>
          <w:i/>
        </w:rPr>
        <w:t xml:space="preserve">nuṭ</w:t>
      </w:r>
      <w:r>
        <w:t xml:space="preserve"> </w:t>
      </w:r>
      <w:r>
        <w:t xml:space="preserve">for a root with two consonants after the lengthened</w:t>
      </w:r>
      <w:r>
        <w:t xml:space="preserve"> </w:t>
      </w:r>
      <w:r>
        <w:rPr>
          <w:iCs/>
          <w:i/>
        </w:rPr>
        <w:t xml:space="preserve">ā</w:t>
      </w:r>
      <w:r>
        <w:t xml:space="preserve">:</w:t>
      </w:r>
      <w:r>
        <w:t xml:space="preserve"> </w:t>
      </w:r>
      <w:r>
        <w:rPr>
          <w:iCs/>
          <w:i/>
        </w:rPr>
        <w:t xml:space="preserve">ā</w:t>
      </w:r>
      <w:r>
        <w:t xml:space="preserve"> </w:t>
      </w:r>
      <w:r>
        <w:t xml:space="preserve">+</w:t>
      </w:r>
      <w:r>
        <w:t xml:space="preserve"> </w:t>
      </w:r>
      <w:r>
        <w:rPr>
          <w:iCs/>
          <w:i/>
        </w:rPr>
        <w:t xml:space="preserve">n</w:t>
      </w:r>
      <w:r>
        <w:t xml:space="preserve"> </w:t>
      </w:r>
      <w:r>
        <w:t xml:space="preserve">+</w:t>
      </w:r>
      <w:r>
        <w:t xml:space="preserve"> </w:t>
      </w:r>
      <w:r>
        <w:rPr>
          <w:iCs/>
          <w:i/>
        </w:rPr>
        <w:t xml:space="preserve">arc</w:t>
      </w:r>
      <w:r>
        <w:t xml:space="preserve"> </w:t>
      </w:r>
      <w:r>
        <w:t xml:space="preserve">+</w:t>
      </w:r>
      <w:r>
        <w:t xml:space="preserve"> </w:t>
      </w:r>
      <w:r>
        <w:rPr>
          <w:iCs/>
          <w:i/>
        </w:rPr>
        <w:t xml:space="preserve">us</w:t>
      </w:r>
      <w:r>
        <w:t xml:space="preserve">;</w:t>
      </w:r>
      <w:r>
        <w:t xml:space="preserve"> </w:t>
      </w:r>
      <w:r>
        <w:rPr>
          <w:iCs/>
          <w:i/>
        </w:rPr>
        <w:t xml:space="preserve">ānarcuḥ</w:t>
      </w:r>
      <w:r>
        <w:t xml:space="preserve"> </w:t>
      </w:r>
      <w:r>
        <w:t xml:space="preserve">is the usage in the world.</w:t>
      </w:r>
    </w:p>
    <w:bookmarkEnd w:id="882"/>
    <w:bookmarkStart w:id="883" w:name="page-795-upper-rik-4-grammar-end"/>
    <w:p>
      <w:pPr>
        <w:pStyle w:val="Heading3"/>
      </w:pPr>
      <w:r>
        <w:t xml:space="preserve">Page 795 (upper) — Rik 4: grammar (end)</w:t>
      </w:r>
    </w:p>
    <w:p>
      <w:pPr>
        <w:pStyle w:val="FirstParagraph"/>
      </w:pPr>
      <w:r>
        <w:t xml:space="preserve">In the Veda, by this sūtra,</w:t>
      </w:r>
      <w:r>
        <w:t xml:space="preserve"> </w:t>
      </w:r>
      <w:r>
        <w:rPr>
          <w:iCs/>
          <w:i/>
        </w:rPr>
        <w:t xml:space="preserve">saṃprasāraṇa</w:t>
      </w:r>
      <w:r>
        <w:t xml:space="preserve"> </w:t>
      </w:r>
      <w:r>
        <w:t xml:space="preserve">of the</w:t>
      </w:r>
      <w:r>
        <w:t xml:space="preserve"> </w:t>
      </w:r>
      <w:r>
        <w:rPr>
          <w:iCs/>
          <w:i/>
        </w:rPr>
        <w:t xml:space="preserve">r</w:t>
      </w:r>
      <w:r>
        <w:t xml:space="preserve">,</w:t>
      </w:r>
      <w:r>
        <w:t xml:space="preserve"> </w:t>
      </w:r>
      <w:r>
        <w:rPr>
          <w:iCs/>
          <w:i/>
        </w:rPr>
        <w:t xml:space="preserve">ṛ</w:t>
      </w:r>
      <w:r>
        <w:t xml:space="preserve">, and the loss of the</w:t>
      </w:r>
      <w:r>
        <w:t xml:space="preserve"> </w:t>
      </w:r>
      <w:r>
        <w:rPr>
          <w:iCs/>
          <w:i/>
        </w:rPr>
        <w:t xml:space="preserve">a</w:t>
      </w:r>
      <w:r>
        <w:t xml:space="preserve"> </w:t>
      </w:r>
      <w:r>
        <w:t xml:space="preserve">before the</w:t>
      </w:r>
      <w:r>
        <w:t xml:space="preserve"> </w:t>
      </w:r>
      <w:r>
        <w:rPr>
          <w:iCs/>
          <w:i/>
        </w:rPr>
        <w:t xml:space="preserve">r</w:t>
      </w:r>
      <w:r>
        <w:t xml:space="preserve">:</w:t>
      </w:r>
      <w:r>
        <w:t xml:space="preserve"> </w:t>
      </w:r>
      <w:r>
        <w:rPr>
          <w:iCs/>
          <w:i/>
        </w:rPr>
        <w:t xml:space="preserve">ānṛcuḥ</w:t>
      </w:r>
      <w:r>
        <w:t xml:space="preserve">. In</w:t>
      </w:r>
      <w:r>
        <w:t xml:space="preserve"> </w:t>
      </w:r>
      <w:r>
        <w:rPr>
          <w:iCs/>
          <w:i/>
        </w:rPr>
        <w:t xml:space="preserve">ānṛhuḥ</w:t>
      </w:r>
      <w:r>
        <w:t xml:space="preserve"> </w:t>
      </w:r>
      <w:r>
        <w:t xml:space="preserve">the same process for the root</w:t>
      </w:r>
      <w:r>
        <w:t xml:space="preserve"> </w:t>
      </w:r>
      <w:r>
        <w:rPr>
          <w:iCs/>
          <w:i/>
        </w:rPr>
        <w:t xml:space="preserve">arh</w:t>
      </w:r>
      <w:r>
        <w:t xml:space="preserve">.</w:t>
      </w:r>
      <w:r>
        <w:t xml:space="preserve"> </w:t>
      </w:r>
      <w:r>
        <w:rPr>
          <w:iCs/>
          <w:i/>
        </w:rPr>
        <w:t xml:space="preserve">Cyuṅ gatau</w:t>
      </w:r>
      <w:r>
        <w:t xml:space="preserve">:</w:t>
      </w:r>
      <w:r>
        <w:t xml:space="preserve"> </w:t>
      </w:r>
      <w:r>
        <w:rPr>
          <w:iCs/>
          <w:i/>
        </w:rPr>
        <w:t xml:space="preserve">laṭ</w:t>
      </w:r>
      <w:r>
        <w:t xml:space="preserve">,</w:t>
      </w:r>
      <w:r>
        <w:t xml:space="preserve"> </w:t>
      </w:r>
      <w:r>
        <w:rPr>
          <w:iCs/>
          <w:i/>
        </w:rPr>
        <w:t xml:space="preserve">thās</w:t>
      </w:r>
      <w:r>
        <w:t xml:space="preserve">,</w:t>
      </w:r>
      <w:r>
        <w:t xml:space="preserve"> </w:t>
      </w:r>
      <w:r>
        <w:rPr>
          <w:iCs/>
          <w:i/>
        </w:rPr>
        <w:t xml:space="preserve">thāsas se</w:t>
      </w:r>
      <w:r>
        <w:t xml:space="preserve">; doubling:</w:t>
      </w:r>
      <w:r>
        <w:t xml:space="preserve"> </w:t>
      </w:r>
      <w:r>
        <w:rPr>
          <w:iCs/>
          <w:i/>
        </w:rPr>
        <w:t xml:space="preserve">cyu</w:t>
      </w:r>
      <w:r>
        <w:t xml:space="preserve"> </w:t>
      </w:r>
      <w:r>
        <w:t xml:space="preserve">+</w:t>
      </w:r>
      <w:r>
        <w:t xml:space="preserve"> </w:t>
      </w:r>
      <w:r>
        <w:rPr>
          <w:iCs/>
          <w:i/>
        </w:rPr>
        <w:t xml:space="preserve">cyu</w:t>
      </w:r>
      <w:r>
        <w:t xml:space="preserve"> </w:t>
      </w:r>
      <w:r>
        <w:t xml:space="preserve">+</w:t>
      </w:r>
      <w:r>
        <w:t xml:space="preserve"> </w:t>
      </w:r>
      <w:r>
        <w:rPr>
          <w:iCs/>
          <w:i/>
        </w:rPr>
        <w:t xml:space="preserve">se</w:t>
      </w:r>
      <w:r>
        <w:t xml:space="preserve">;</w:t>
      </w:r>
      <w:r>
        <w:t xml:space="preserve"> </w:t>
      </w:r>
      <w:r>
        <w:rPr>
          <w:iCs/>
          <w:i/>
        </w:rPr>
        <w:t xml:space="preserve">i</w:t>
      </w:r>
      <w:r>
        <w:t xml:space="preserve"> </w:t>
      </w:r>
      <w:r>
        <w:t xml:space="preserve">for the</w:t>
      </w:r>
      <w:r>
        <w:t xml:space="preserve"> </w:t>
      </w:r>
      <w:r>
        <w:rPr>
          <w:iCs/>
          <w:i/>
        </w:rPr>
        <w:t xml:space="preserve">u</w:t>
      </w:r>
      <w:r>
        <w:t xml:space="preserve"> </w:t>
      </w:r>
      <w:r>
        <w:t xml:space="preserve">from the</w:t>
      </w:r>
      <w:r>
        <w:t xml:space="preserve"> </w:t>
      </w:r>
      <w:r>
        <w:rPr>
          <w:iCs/>
          <w:i/>
        </w:rPr>
        <w:t xml:space="preserve">saṃprasāraṇa</w:t>
      </w:r>
      <w:r>
        <w:t xml:space="preserve"> </w:t>
      </w:r>
      <w:r>
        <w:t xml:space="preserve">of the</w:t>
      </w:r>
      <w:r>
        <w:t xml:space="preserve"> </w:t>
      </w:r>
      <w:r>
        <w:rPr>
          <w:iCs/>
          <w:i/>
        </w:rPr>
        <w:t xml:space="preserve">abhyāsa</w:t>
      </w:r>
      <w:r>
        <w:t xml:space="preserve"> </w:t>
      </w:r>
      <w:r>
        <w:t xml:space="preserve">is given ready-made, and so is the absence of</w:t>
      </w:r>
      <w:r>
        <w:t xml:space="preserve"> </w:t>
      </w:r>
      <w:r>
        <w:rPr>
          <w:iCs/>
          <w:i/>
        </w:rPr>
        <w:t xml:space="preserve">iṭ</w:t>
      </w:r>
      <w:r>
        <w:t xml:space="preserve"> </w:t>
      </w:r>
      <w:r>
        <w:t xml:space="preserve">for</w:t>
      </w:r>
      <w:r>
        <w:t xml:space="preserve"> </w:t>
      </w:r>
      <w:r>
        <w:rPr>
          <w:iCs/>
          <w:i/>
        </w:rPr>
        <w:t xml:space="preserve">se</w:t>
      </w:r>
      <w:r>
        <w:t xml:space="preserve">;</w:t>
      </w:r>
      <w:r>
        <w:t xml:space="preserve"> </w:t>
      </w:r>
      <w:r>
        <w:rPr>
          <w:iCs/>
          <w:i/>
        </w:rPr>
        <w:t xml:space="preserve">pūrvarūpa</w:t>
      </w:r>
      <w:r>
        <w:t xml:space="preserve"> </w:t>
      </w:r>
      <w:r>
        <w:t xml:space="preserve">by</w:t>
      </w:r>
      <w:r>
        <w:t xml:space="preserve"> </w:t>
      </w:r>
      <w:r>
        <w:rPr>
          <w:iCs/>
          <w:i/>
        </w:rPr>
        <w:t xml:space="preserve">saṃprasāraṇāc ca</w:t>
      </w:r>
      <w:r>
        <w:t xml:space="preserve">:</w:t>
      </w:r>
      <w:r>
        <w:t xml:space="preserve"> </w:t>
      </w:r>
      <w:r>
        <w:rPr>
          <w:iCs/>
          <w:i/>
        </w:rPr>
        <w:t xml:space="preserve">cicyuṣe</w:t>
      </w:r>
      <w:r>
        <w:t xml:space="preserve">; in the world</w:t>
      </w:r>
      <w:r>
        <w:t xml:space="preserve"> </w:t>
      </w:r>
      <w:r>
        <w:rPr>
          <w:iCs/>
          <w:i/>
        </w:rPr>
        <w:t xml:space="preserve">cucyuviṣe</w:t>
      </w:r>
      <w:r>
        <w:t xml:space="preserve">.</w:t>
      </w:r>
      <w:r>
        <w:t xml:space="preserve"> </w:t>
      </w:r>
      <w:r>
        <w:rPr>
          <w:iCs/>
          <w:i/>
        </w:rPr>
        <w:t xml:space="preserve">Tyaja vayohānau</w:t>
      </w:r>
      <w:r>
        <w:t xml:space="preserve">:</w:t>
      </w:r>
      <w:r>
        <w:t xml:space="preserve"> </w:t>
      </w:r>
      <w:r>
        <w:rPr>
          <w:iCs/>
          <w:i/>
        </w:rPr>
        <w:t xml:space="preserve">liṭ</w:t>
      </w:r>
      <w:r>
        <w:t xml:space="preserve">,</w:t>
      </w:r>
      <w:r>
        <w:t xml:space="preserve"> </w:t>
      </w:r>
      <w:r>
        <w:rPr>
          <w:iCs/>
          <w:i/>
        </w:rPr>
        <w:t xml:space="preserve">tip</w:t>
      </w:r>
      <w:r>
        <w:t xml:space="preserve">,</w:t>
      </w:r>
      <w:r>
        <w:t xml:space="preserve"> </w:t>
      </w:r>
      <w:r>
        <w:rPr>
          <w:iCs/>
          <w:i/>
        </w:rPr>
        <w:t xml:space="preserve">ṇal</w:t>
      </w:r>
      <w:r>
        <w:t xml:space="preserve">, doubling:</w:t>
      </w:r>
      <w:r>
        <w:t xml:space="preserve"> </w:t>
      </w:r>
      <w:r>
        <w:rPr>
          <w:iCs/>
          <w:i/>
        </w:rPr>
        <w:t xml:space="preserve">tyaj</w:t>
      </w:r>
      <w:r>
        <w:t xml:space="preserve"> </w:t>
      </w:r>
      <w:r>
        <w:t xml:space="preserve">+</w:t>
      </w:r>
      <w:r>
        <w:t xml:space="preserve"> </w:t>
      </w:r>
      <w:r>
        <w:rPr>
          <w:iCs/>
          <w:i/>
        </w:rPr>
        <w:t xml:space="preserve">tyaj</w:t>
      </w:r>
      <w:r>
        <w:t xml:space="preserve"> </w:t>
      </w:r>
      <w:r>
        <w:t xml:space="preserve">+</w:t>
      </w:r>
      <w:r>
        <w:t xml:space="preserve"> </w:t>
      </w:r>
      <w:r>
        <w:rPr>
          <w:iCs/>
          <w:i/>
        </w:rPr>
        <w:t xml:space="preserve">a</w:t>
      </w:r>
      <w:r>
        <w:t xml:space="preserve">;</w:t>
      </w:r>
      <w:r>
        <w:t xml:space="preserve"> </w:t>
      </w:r>
      <w:r>
        <w:rPr>
          <w:iCs/>
          <w:i/>
        </w:rPr>
        <w:t xml:space="preserve">saṃprasāraṇa</w:t>
      </w:r>
      <w:r>
        <w:t xml:space="preserve"> </w:t>
      </w:r>
      <w:r>
        <w:t xml:space="preserve">of the</w:t>
      </w:r>
      <w:r>
        <w:t xml:space="preserve"> </w:t>
      </w:r>
      <w:r>
        <w:rPr>
          <w:iCs/>
          <w:i/>
        </w:rPr>
        <w:t xml:space="preserve">abhyāsa</w:t>
      </w:r>
      <w:r>
        <w:t xml:space="preserve"> </w:t>
      </w:r>
      <w:r>
        <w:t xml:space="preserve">given, the</w:t>
      </w:r>
      <w:r>
        <w:t xml:space="preserve"> </w:t>
      </w:r>
      <w:r>
        <w:rPr>
          <w:iCs/>
          <w:i/>
        </w:rPr>
        <w:t xml:space="preserve">pūrvarūpa</w:t>
      </w:r>
      <w:r>
        <w:t xml:space="preserve">,</w:t>
      </w:r>
      <w:r>
        <w:t xml:space="preserve"> </w:t>
      </w:r>
      <w:r>
        <w:rPr>
          <w:iCs/>
          <w:i/>
        </w:rPr>
        <w:t xml:space="preserve">halādiḥ śeṣaḥ</w:t>
      </w:r>
      <w:r>
        <w:t xml:space="preserve">:</w:t>
      </w:r>
      <w:r>
        <w:t xml:space="preserve"> </w:t>
      </w:r>
      <w:r>
        <w:rPr>
          <w:iCs/>
          <w:i/>
        </w:rPr>
        <w:t xml:space="preserve">ti</w:t>
      </w:r>
      <w:r>
        <w:t xml:space="preserve"> </w:t>
      </w:r>
      <w:r>
        <w:t xml:space="preserve">+</w:t>
      </w:r>
      <w:r>
        <w:t xml:space="preserve"> </w:t>
      </w:r>
      <w:r>
        <w:rPr>
          <w:iCs/>
          <w:i/>
        </w:rPr>
        <w:t xml:space="preserve">tyaj</w:t>
      </w:r>
      <w:r>
        <w:t xml:space="preserve"> </w:t>
      </w:r>
      <w:r>
        <w:t xml:space="preserve">+</w:t>
      </w:r>
      <w:r>
        <w:t xml:space="preserve"> </w:t>
      </w:r>
      <w:r>
        <w:rPr>
          <w:iCs/>
          <w:i/>
        </w:rPr>
        <w:t xml:space="preserve">a</w:t>
      </w:r>
      <w:r>
        <w:t xml:space="preserve">, the penultimate</w:t>
      </w:r>
      <w:r>
        <w:t xml:space="preserve"> </w:t>
      </w:r>
      <w:r>
        <w:rPr>
          <w:iCs/>
          <w:i/>
        </w:rPr>
        <w:t xml:space="preserve">vṛddhi</w:t>
      </w:r>
      <w:r>
        <w:t xml:space="preserve">:</w:t>
      </w:r>
      <w:r>
        <w:t xml:space="preserve"> </w:t>
      </w:r>
      <w:r>
        <w:rPr>
          <w:iCs/>
          <w:i/>
        </w:rPr>
        <w:t xml:space="preserve">tityāja</w:t>
      </w:r>
      <w:r>
        <w:t xml:space="preserve">.</w:t>
      </w:r>
      <w:r>
        <w:t xml:space="preserve"> </w:t>
      </w:r>
      <w:r>
        <w:rPr>
          <w:iCs/>
          <w:i/>
        </w:rPr>
        <w:t xml:space="preserve">Śrīñ pāke</w:t>
      </w:r>
      <w:r>
        <w:t xml:space="preserve">: the suffix</w:t>
      </w:r>
      <w:r>
        <w:t xml:space="preserve"> </w:t>
      </w:r>
      <w:r>
        <w:rPr>
          <w:iCs/>
          <w:i/>
        </w:rPr>
        <w:t xml:space="preserve">kta</w:t>
      </w:r>
      <w:r>
        <w:t xml:space="preserve">;</w:t>
      </w:r>
      <w:r>
        <w:t xml:space="preserve"> </w:t>
      </w:r>
      <w:r>
        <w:rPr>
          <w:iCs/>
          <w:i/>
        </w:rPr>
        <w:t xml:space="preserve">śrā</w:t>
      </w:r>
      <w:r>
        <w:t xml:space="preserve"> </w:t>
      </w:r>
      <w:r>
        <w:t xml:space="preserve">substituted for</w:t>
      </w:r>
      <w:r>
        <w:t xml:space="preserve"> </w:t>
      </w:r>
      <w:r>
        <w:rPr>
          <w:iCs/>
          <w:i/>
        </w:rPr>
        <w:t xml:space="preserve">śrī</w:t>
      </w:r>
      <w:r>
        <w:t xml:space="preserve"> </w:t>
      </w:r>
      <w:r>
        <w:t xml:space="preserve">is given; in the plural,</w:t>
      </w:r>
      <w:r>
        <w:t xml:space="preserve"> </w:t>
      </w:r>
      <w:r>
        <w:rPr>
          <w:iCs/>
          <w:i/>
        </w:rPr>
        <w:t xml:space="preserve">śrātāḥ</w:t>
      </w:r>
      <w:r>
        <w:t xml:space="preserve">; in</w:t>
      </w:r>
      <w:r>
        <w:t xml:space="preserve"> </w:t>
      </w:r>
      <w:r>
        <w:rPr>
          <w:iCs/>
          <w:i/>
        </w:rPr>
        <w:t xml:space="preserve">śritam</w:t>
      </w:r>
      <w:r>
        <w:t xml:space="preserve"> </w:t>
      </w:r>
      <w:r>
        <w:t xml:space="preserve">the shortening for that root is given. For</w:t>
      </w:r>
      <w:r>
        <w:t xml:space="preserve"> </w:t>
      </w:r>
      <w:r>
        <w:rPr>
          <w:iCs/>
          <w:i/>
        </w:rPr>
        <w:t xml:space="preserve">śrīñ</w:t>
      </w:r>
      <w:r>
        <w:t xml:space="preserve"> </w:t>
      </w:r>
      <w:r>
        <w:t xml:space="preserve">preceded by</w:t>
      </w:r>
      <w:r>
        <w:t xml:space="preserve"> </w:t>
      </w:r>
      <w:r>
        <w:rPr>
          <w:iCs/>
          <w:i/>
        </w:rPr>
        <w:t xml:space="preserve">ā</w:t>
      </w:r>
      <w:r>
        <w:t xml:space="preserve">, before</w:t>
      </w:r>
      <w:r>
        <w:t xml:space="preserve"> </w:t>
      </w:r>
      <w:r>
        <w:rPr>
          <w:iCs/>
          <w:i/>
        </w:rPr>
        <w:t xml:space="preserve">kvip</w:t>
      </w:r>
      <w:r>
        <w:t xml:space="preserve">, the substitute</w:t>
      </w:r>
      <w:r>
        <w:t xml:space="preserve"> </w:t>
      </w:r>
      <w:r>
        <w:rPr>
          <w:iCs/>
          <w:i/>
        </w:rPr>
        <w:t xml:space="preserve">śir</w:t>
      </w:r>
      <w:r>
        <w:t xml:space="preserve">. In</w:t>
      </w:r>
      <w:r>
        <w:t xml:space="preserve"> </w:t>
      </w:r>
      <w:r>
        <w:rPr>
          <w:iCs/>
          <w:i/>
        </w:rPr>
        <w:t xml:space="preserve">āśīrtāḥ</w:t>
      </w:r>
      <w:r>
        <w:t xml:space="preserve">, for</w:t>
      </w:r>
      <w:r>
        <w:t xml:space="preserve"> </w:t>
      </w:r>
      <w:r>
        <w:rPr>
          <w:iCs/>
          <w:i/>
        </w:rPr>
        <w:t xml:space="preserve">śrīñ</w:t>
      </w:r>
      <w:r>
        <w:t xml:space="preserve"> </w:t>
      </w:r>
      <w:r>
        <w:t xml:space="preserve">preceded by</w:t>
      </w:r>
      <w:r>
        <w:t xml:space="preserve"> </w:t>
      </w:r>
      <w:r>
        <w:rPr>
          <w:iCs/>
          <w:i/>
        </w:rPr>
        <w:t xml:space="preserve">ā</w:t>
      </w:r>
      <w:r>
        <w:t xml:space="preserve">, before the</w:t>
      </w:r>
      <w:r>
        <w:t xml:space="preserve"> </w:t>
      </w:r>
      <w:r>
        <w:rPr>
          <w:iCs/>
          <w:i/>
        </w:rPr>
        <w:t xml:space="preserve">kta</w:t>
      </w:r>
      <w:r>
        <w:t xml:space="preserve"> </w:t>
      </w:r>
      <w:r>
        <w:t xml:space="preserve">suffix, the substitute</w:t>
      </w:r>
      <w:r>
        <w:t xml:space="preserve"> </w:t>
      </w:r>
      <w:r>
        <w:rPr>
          <w:iCs/>
          <w:i/>
        </w:rPr>
        <w:t xml:space="preserve">śir</w:t>
      </w:r>
      <w:r>
        <w:t xml:space="preserve">, and the absence of the</w:t>
      </w:r>
      <w:r>
        <w:t xml:space="preserve"> </w:t>
      </w:r>
      <w:r>
        <w:rPr>
          <w:iCs/>
          <w:i/>
        </w:rPr>
        <w:t xml:space="preserve">n</w:t>
      </w:r>
      <w:r>
        <w:t xml:space="preserve"> </w:t>
      </w:r>
      <w:r>
        <w:t xml:space="preserve">due for the</w:t>
      </w:r>
      <w:r>
        <w:t xml:space="preserve"> </w:t>
      </w:r>
      <w:r>
        <w:rPr>
          <w:iCs/>
          <w:i/>
        </w:rPr>
        <w:t xml:space="preserve">kta</w:t>
      </w:r>
      <w:r>
        <w:t xml:space="preserve"> </w:t>
      </w:r>
      <w:r>
        <w:t xml:space="preserve">by</w:t>
      </w:r>
      <w:r>
        <w:t xml:space="preserve"> </w:t>
      </w:r>
      <w:r>
        <w:rPr>
          <w:iCs/>
          <w:i/>
        </w:rPr>
        <w:t xml:space="preserve">radābhyāṃ niṣṭhāto naḥ pūrvasya ca daḥ</w:t>
      </w:r>
      <w:r>
        <w:t xml:space="preserve">, are given. So by this sūtra</w:t>
      </w:r>
      <w:r>
        <w:t xml:space="preserve"> </w:t>
      </w:r>
      <w:r>
        <w:rPr>
          <w:iCs/>
          <w:i/>
        </w:rPr>
        <w:t xml:space="preserve">ānṛcuḥ</w:t>
      </w:r>
      <w:r>
        <w:t xml:space="preserve"> </w:t>
      </w:r>
      <w:r>
        <w:t xml:space="preserve">is given ready-made. The</w:t>
      </w:r>
      <w:r>
        <w:t xml:space="preserve"> </w:t>
      </w:r>
      <w:r>
        <w:rPr>
          <w:iCs/>
          <w:i/>
        </w:rPr>
        <w:t xml:space="preserve">us</w:t>
      </w:r>
      <w:r>
        <w:t xml:space="preserve"> </w:t>
      </w:r>
      <w:r>
        <w:t xml:space="preserve">has the suffix accent. Since the bar</w:t>
      </w:r>
      <w:r>
        <w:t xml:space="preserve"> </w:t>
      </w:r>
      <w:r>
        <w:t xml:space="preserve">“</w:t>
      </w:r>
      <w:r>
        <w:t xml:space="preserve">yadvṛttān nityam</w:t>
      </w:r>
      <w:r>
        <w:t xml:space="preserve">”</w:t>
      </w:r>
      <w:r>
        <w:t xml:space="preserve"> </w:t>
      </w:r>
      <w:r>
        <w:t xml:space="preserve">(Pā. sū. 8-1-66) comes, it is not wholly unaccented.</w:t>
      </w:r>
    </w:p>
    <w:p>
      <w:pPr>
        <w:pStyle w:val="BodyText"/>
      </w:pPr>
      <w:r>
        <w:rPr>
          <w:bCs/>
          <w:b/>
        </w:rPr>
        <w:t xml:space="preserve">अनाधृष्टासः (</w:t>
      </w:r>
      <w:r>
        <w:rPr>
          <w:iCs/>
          <w:i/>
          <w:bCs/>
          <w:b/>
        </w:rPr>
        <w:t xml:space="preserve">anādhṛṣṭāsaḥ</w:t>
      </w:r>
      <w:r>
        <w:rPr>
          <w:bCs/>
          <w:b/>
        </w:rPr>
        <w:t xml:space="preserve">)</w:t>
      </w:r>
      <w:r>
        <w:t xml:space="preserve">: the analysis is</w:t>
      </w:r>
      <w:r>
        <w:t xml:space="preserve"> </w:t>
      </w:r>
      <w:r>
        <w:rPr>
          <w:iCs/>
          <w:i/>
        </w:rPr>
        <w:t xml:space="preserve">na ādhṛṣṭāḥ</w:t>
      </w:r>
      <w:r>
        <w:t xml:space="preserve">.</w:t>
      </w:r>
      <w:r>
        <w:t xml:space="preserve"> </w:t>
      </w:r>
      <w:r>
        <w:rPr>
          <w:iCs/>
          <w:i/>
        </w:rPr>
        <w:t xml:space="preserve">Āj jaser asuk</w:t>
      </w:r>
      <w:r>
        <w:t xml:space="preserve">. By</w:t>
      </w:r>
      <w:r>
        <w:t xml:space="preserve"> </w:t>
      </w:r>
      <w:r>
        <w:t xml:space="preserve">“</w:t>
      </w:r>
      <w:r>
        <w:t xml:space="preserve">tatpuruṣe tulyārtha…</w:t>
      </w:r>
      <w:r>
        <w:t xml:space="preserve">”</w:t>
      </w:r>
      <w:r>
        <w:t xml:space="preserve"> </w:t>
      </w:r>
      <w:r>
        <w:t xml:space="preserve">(Pā. sū. 6-2-2) the accent of the indeclinable first member.</w:t>
      </w:r>
    </w:p>
    <w:p>
      <w:pPr>
        <w:pStyle w:val="BodyText"/>
      </w:pPr>
      <w:r>
        <w:rPr>
          <w:bCs/>
          <w:b/>
        </w:rPr>
        <w:t xml:space="preserve">ओजसा (</w:t>
      </w:r>
      <w:r>
        <w:rPr>
          <w:iCs/>
          <w:i/>
          <w:bCs/>
          <w:b/>
        </w:rPr>
        <w:t xml:space="preserve">ojasā</w:t>
      </w:r>
      <w:r>
        <w:rPr>
          <w:bCs/>
          <w:b/>
        </w:rPr>
        <w:t xml:space="preserve">)</w:t>
      </w:r>
      <w:r>
        <w:t xml:space="preserve">:</w:t>
      </w:r>
      <w:r>
        <w:t xml:space="preserve"> </w:t>
      </w:r>
      <w:r>
        <w:rPr>
          <w:iCs/>
          <w:i/>
        </w:rPr>
        <w:t xml:space="preserve">ubja ārjave</w:t>
      </w:r>
      <w:r>
        <w:t xml:space="preserve">. By</w:t>
      </w:r>
      <w:r>
        <w:t xml:space="preserve"> </w:t>
      </w:r>
      <w:r>
        <w:t xml:space="preserve">“</w:t>
      </w:r>
      <w:r>
        <w:t xml:space="preserve">ubjer bale balopaś ca</w:t>
      </w:r>
      <w:r>
        <w:t xml:space="preserve">”</w:t>
      </w:r>
      <w:r>
        <w:t xml:space="preserve"> </w:t>
      </w:r>
      <w:r>
        <w:t xml:space="preserve">(Uṇ. sū.</w:t>
      </w:r>
      <w:r>
        <w:t xml:space="preserve"> </w:t>
      </w:r>
      <w:r>
        <w:t xml:space="preserve">“</w:t>
      </w:r>
      <w:r>
        <w:t xml:space="preserve">4-631</w:t>
      </w:r>
      <w:r>
        <w:t xml:space="preserve">”</w:t>
      </w:r>
      <w:r>
        <w:t xml:space="preserve"> </w:t>
      </w:r>
      <w:r>
        <w:t xml:space="preserve">[?]), after</w:t>
      </w:r>
      <w:r>
        <w:t xml:space="preserve"> </w:t>
      </w:r>
      <w:r>
        <w:rPr>
          <w:iCs/>
          <w:i/>
        </w:rPr>
        <w:t xml:space="preserve">ubja ārjave</w:t>
      </w:r>
      <w:r>
        <w:t xml:space="preserve">, in the sense of strength,</w:t>
      </w:r>
      <w:r>
        <w:t xml:space="preserve"> </w:t>
      </w:r>
      <w:r>
        <w:rPr>
          <w:iCs/>
          <w:i/>
        </w:rPr>
        <w:t xml:space="preserve">asun</w:t>
      </w:r>
      <w:r>
        <w:t xml:space="preserve"> </w:t>
      </w:r>
      <w:r>
        <w:t xml:space="preserve">comes, and the</w:t>
      </w:r>
      <w:r>
        <w:t xml:space="preserve"> </w:t>
      </w:r>
      <w:r>
        <w:rPr>
          <w:iCs/>
          <w:i/>
        </w:rPr>
        <w:t xml:space="preserve">b</w:t>
      </w:r>
      <w:r>
        <w:t xml:space="preserve"> </w:t>
      </w:r>
      <w:r>
        <w:t xml:space="preserve">drops:</w:t>
      </w:r>
      <w:r>
        <w:t xml:space="preserve"> </w:t>
      </w:r>
      <w:r>
        <w:rPr>
          <w:iCs/>
          <w:i/>
        </w:rPr>
        <w:t xml:space="preserve">uj</w:t>
      </w:r>
      <w:r>
        <w:t xml:space="preserve"> </w:t>
      </w:r>
      <w:r>
        <w:t xml:space="preserve">+</w:t>
      </w:r>
      <w:r>
        <w:t xml:space="preserve"> </w:t>
      </w:r>
      <w:r>
        <w:rPr>
          <w:iCs/>
          <w:i/>
        </w:rPr>
        <w:t xml:space="preserve">as</w:t>
      </w:r>
      <w:r>
        <w:t xml:space="preserve">; the</w:t>
      </w:r>
      <w:r>
        <w:t xml:space="preserve"> </w:t>
      </w:r>
      <w:r>
        <w:rPr>
          <w:iCs/>
          <w:i/>
        </w:rPr>
        <w:t xml:space="preserve">laghūpadha-guṇa</w:t>
      </w:r>
      <w:r>
        <w:t xml:space="preserve">:</w:t>
      </w:r>
      <w:r>
        <w:t xml:space="preserve"> </w:t>
      </w:r>
      <w:r>
        <w:rPr>
          <w:iCs/>
          <w:i/>
        </w:rPr>
        <w:t xml:space="preserve">ojas</w:t>
      </w:r>
      <w:r>
        <w:t xml:space="preserve">. Initial udātta by the</w:t>
      </w:r>
      <w:r>
        <w:t xml:space="preserve"> </w:t>
      </w:r>
      <w:r>
        <w:rPr>
          <w:iCs/>
          <w:i/>
        </w:rPr>
        <w:t xml:space="preserve">nit</w:t>
      </w:r>
      <w:r>
        <w:t xml:space="preserve"> </w:t>
      </w:r>
      <w:r>
        <w:t xml:space="preserve">accent. With the instrumental singular</w:t>
      </w:r>
      <w:r>
        <w:t xml:space="preserve"> </w:t>
      </w:r>
      <w:r>
        <w:rPr>
          <w:iCs/>
          <w:i/>
        </w:rPr>
        <w:t xml:space="preserve">ṭā</w:t>
      </w:r>
      <w:r>
        <w:t xml:space="preserve">:</w:t>
      </w:r>
      <w:r>
        <w:t xml:space="preserve"> </w:t>
      </w:r>
      <w:r>
        <w:rPr>
          <w:iCs/>
          <w:i/>
        </w:rPr>
        <w:t xml:space="preserve">ojasā</w:t>
      </w:r>
      <w:r>
        <w:t xml:space="preserve">.</w:t>
      </w:r>
    </w:p>
    <w:p>
      <w:pPr>
        <w:pStyle w:val="BodyText"/>
      </w:pPr>
      <w:r>
        <w:rPr>
          <w:bCs/>
          <w:b/>
        </w:rPr>
        <w:t xml:space="preserve">॥४॥</w:t>
      </w:r>
    </w:p>
    <w:p>
      <w:r>
        <w:pict>
          <v:rect style="width:0;height:1.5pt" o:hralign="center" o:hrstd="t" o:hr="t"/>
        </w:pict>
      </w:r>
    </w:p>
    <w:bookmarkEnd w:id="883"/>
    <w:bookmarkStart w:id="884" w:name="page-795-lower-sūkta-19-rik-5"/>
    <w:p>
      <w:pPr>
        <w:pStyle w:val="Heading3"/>
      </w:pPr>
      <w:r>
        <w:t xml:space="preserve">Page 795 (lower) — Sūkta 19, Rik 5</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ये शु॒भ्रा घो॒रव॑र्पसः सुक्ष॒त्रासो॑ रि॒शाद॑सः । [accent ?]</w:t>
      </w:r>
      <w:r>
        <w:t xml:space="preserve"> </w:t>
      </w:r>
      <w:r>
        <w:t xml:space="preserve">म॒रुद्भि॑रग्न॒ आ ग॑हि ॥५॥ [accent ?]</w:t>
      </w:r>
    </w:p>
    <w:p>
      <w:pPr>
        <w:pStyle w:val="BlockText"/>
      </w:pPr>
      <w:r>
        <w:rPr>
          <w:iCs/>
          <w:i/>
        </w:rPr>
        <w:t xml:space="preserve">ye śubhrā́ ghorávarpasaḥ sukṣatrā́so riśā́dasaḥ |</w:t>
      </w:r>
      <w:r>
        <w:t xml:space="preserve"> </w:t>
      </w:r>
      <w:r>
        <w:t xml:space="preserve">[accent ?]</w:t>
      </w:r>
      <w:r>
        <w:t xml:space="preserve"> </w:t>
      </w:r>
      <w:r>
        <w:rPr>
          <w:iCs/>
          <w:i/>
        </w:rPr>
        <w:t xml:space="preserve">marúdbhir agna ā́ gahi ||5||</w:t>
      </w:r>
      <w:r>
        <w:t xml:space="preserve"> </w:t>
      </w:r>
      <w:r>
        <w:t xml:space="preserve">[accent ?]</w:t>
      </w:r>
    </w:p>
    <w:p>
      <w:pPr>
        <w:pStyle w:val="FirstParagraph"/>
      </w:pPr>
      <w:r>
        <w:rPr>
          <w:iCs/>
          <w:i/>
        </w:rPr>
        <w:t xml:space="preserve">(Read as printed: bars under शु, घो, क्ष, रि, म and ग्न; strokes over व, सो, द, द्भि and ग.)</w:t>
      </w:r>
    </w:p>
    <w:p>
      <w:pPr>
        <w:pStyle w:val="BodyText"/>
      </w:pPr>
      <w:r>
        <w:rPr>
          <w:bCs/>
          <w:b/>
        </w:rPr>
        <w:t xml:space="preserve">॥ Pada-pāṭhaḥ ॥</w:t>
      </w:r>
    </w:p>
    <w:p>
      <w:pPr>
        <w:pStyle w:val="BlockText"/>
      </w:pPr>
      <w:r>
        <w:t xml:space="preserve">ये । शुभ्राः । घोरऽवर्पसः । सुऽक्षत्रासः । रिशादसः ॥</w:t>
      </w:r>
      <w:r>
        <w:t xml:space="preserve"> </w:t>
      </w:r>
      <w:r>
        <w:t xml:space="preserve">मरुत्ऽभिः । अग्ने । आ । गहि ॥५॥</w:t>
      </w:r>
    </w:p>
    <w:p>
      <w:pPr>
        <w:pStyle w:val="BlockText"/>
      </w:pPr>
      <w:r>
        <w:rPr>
          <w:iCs/>
          <w:i/>
        </w:rPr>
        <w:t xml:space="preserve">ye | śubhrāḥ | ghora ’varpasaḥ | su ’kṣatrāsaḥ | riśādasaḥ ||</w:t>
      </w:r>
      <w:r>
        <w:t xml:space="preserve"> </w:t>
      </w:r>
      <w:r>
        <w:rPr>
          <w:iCs/>
          <w:i/>
        </w:rPr>
        <w:t xml:space="preserve">marut ’bhiḥ | agne | ā | gahi ||5||</w:t>
      </w:r>
    </w:p>
    <w:bookmarkEnd w:id="884"/>
    <w:bookmarkStart w:id="885" w:name="X79cb5ba6535d54c6ca712bbec297b6ef2dbaf6e"/>
    <w:p>
      <w:pPr>
        <w:pStyle w:val="Heading3"/>
      </w:pPr>
      <w:r>
        <w:t xml:space="preserve">Page 796 — Rik 5: bhāṣya, word-meanings, overall sense, English, Special Topics</w:t>
      </w:r>
    </w:p>
    <w:p>
      <w:pPr>
        <w:pStyle w:val="FirstParagraph"/>
      </w:pPr>
      <w:r>
        <w:rPr>
          <w:bCs/>
          <w:b/>
        </w:rPr>
        <w:t xml:space="preserve">॥ Sāyaṇa-bhāṣyam ॥</w:t>
      </w:r>
    </w:p>
    <w:p>
      <w:pPr>
        <w:pStyle w:val="BodyText"/>
      </w:pPr>
      <w:r>
        <w:rPr>
          <w:iCs/>
          <w:i/>
        </w:rPr>
        <w:t xml:space="preserve">(॥३६॥ closes Varga 36.)</w:t>
      </w:r>
    </w:p>
    <w:p>
      <w:pPr>
        <w:pStyle w:val="BlockText"/>
      </w:pPr>
      <w:r>
        <w:t xml:space="preserve">ये मरुतः शुभ्रत्वादिगुणोपेतास्तैर्मरुद्भिरित्यन्वयः । शुभ्राः शोभना घोरवर्पस उग्ररूपधराः सुक्षत्रासः शोभनधनोपेता रिशादसो हिंसकानां भक्षकाः । मघमित्यादिष्वष्टाविंशतिसंख्याकेषु धननामसु क्षत्रं भग इति पठितम् ॥ शुभ्राः । स्फायितञ्चीत्यादिना शुभेरौणादिको रक्प्रत्ययः । प्रत्ययस्वरः । घोरवर्पसः । घोरं वर्पो येषाम् । बहुव्रीहौ पूर्वपदप्रकृतिस्वरत्वम् । सुक्षत्रासः । बहुव्रीहौ नञ्सुभ्यामित्युत्तरपदान्तोदात्तत्वम् । आद्युदात्तं द्व्यच्छन्दसि । पा. ६-२-११९ । इत्येतत्तु न भवति । क्षत्रशब्दस्यान्तोदात्तत्वात् । रिशन्ति हिंसन्तीति रिशाः । तानदन्तीति रिशादसः । सर्वधातुभ्योऽसुन्प्रत्ययः । नित्स्वरेणोत्तरपदमाद्युदात्तम् । कृदुत्तरपदप्रकृतिस्वरेण स एव शिष्यते ॥३६॥</w:t>
      </w:r>
    </w:p>
    <w:p>
      <w:pPr>
        <w:pStyle w:val="BlockText"/>
      </w:pPr>
      <w:r>
        <w:rPr>
          <w:iCs/>
          <w:i/>
        </w:rPr>
        <w:t xml:space="preserve">ye marutaḥ śubhratvādiguṇopetāstairmarudbhirityanvayaḥ | śubhrāḥ śobhanā ghoravarpasa ugrarūpadharāḥ sukṣatrāsaḥ śobhanadhanopetā riśādaso hiṃsakānāṃ bhakṣakāḥ | maghamityādiṣvaṣṭāviṃśatisaṃkhyākeṣu dhananāmasu kṣatraṃ bhaga iti paṭhitam || śubhrāḥ | sphāyitañcītyādinā śubherauṇādiko rakpratyayaḥ | pratyayasvaraḥ | ghoravarpasaḥ | ghoraṃ varpo yeṣām | bahuvrīhau pūrvapadaprakṛtisvaratvam | sukṣatrāsaḥ | bahuvrīhau nañsubhyāmityuttarapadāntodāttatvam | ādyudāttaṃ dvyacchandasi | pā. 6-2-119 | ityetattu na bhavati | kṣatraśabdasyāntodāttatvāt | riśanti hiṃsantīti riśāḥ | tānadantīti riśādasaḥ | sarvadhātubhyo ’sunpratyayaḥ | nitsvareṇottarapadamādyudāttam | kṛduttarapadaprakṛtisvareṇa sa eva śiṣyate ||36||</w:t>
      </w:r>
    </w:p>
    <w:p>
      <w:pPr>
        <w:pStyle w:val="FirstParagraph"/>
      </w:pPr>
      <w:r>
        <w:rPr>
          <w:bCs/>
          <w:b/>
        </w:rPr>
        <w:t xml:space="preserve">Translation:</w:t>
      </w:r>
      <w:r>
        <w:t xml:space="preserve"> </w:t>
      </w:r>
      <w:r>
        <w:t xml:space="preserve">“</w:t>
      </w:r>
      <w:r>
        <w:t xml:space="preserve">The Maruts who are endowed with qualities such as brightness: with those Maruts: that is the construction.</w:t>
      </w:r>
      <w:r>
        <w:t xml:space="preserve"> </w:t>
      </w:r>
      <w:r>
        <w:rPr>
          <w:iCs/>
          <w:i/>
        </w:rPr>
        <w:t xml:space="preserve">Śubhrāḥ</w:t>
      </w:r>
      <w:r>
        <w:t xml:space="preserve">, beautiful;</w:t>
      </w:r>
      <w:r>
        <w:t xml:space="preserve"> </w:t>
      </w:r>
      <w:r>
        <w:rPr>
          <w:iCs/>
          <w:i/>
        </w:rPr>
        <w:t xml:space="preserve">ghoravarpasaḥ</w:t>
      </w:r>
      <w:r>
        <w:t xml:space="preserve">, bearing fierce forms;</w:t>
      </w:r>
      <w:r>
        <w:t xml:space="preserve"> </w:t>
      </w:r>
      <w:r>
        <w:rPr>
          <w:iCs/>
          <w:i/>
        </w:rPr>
        <w:t xml:space="preserve">sukṣatrāsaḥ</w:t>
      </w:r>
      <w:r>
        <w:t xml:space="preserve">, possessed of fine wealth;</w:t>
      </w:r>
      <w:r>
        <w:t xml:space="preserve"> </w:t>
      </w:r>
      <w:r>
        <w:rPr>
          <w:iCs/>
          <w:i/>
        </w:rPr>
        <w:t xml:space="preserve">riśādasaḥ</w:t>
      </w:r>
      <w:r>
        <w:t xml:space="preserve">, devourers of those who do harm.</w:t>
      </w:r>
      <w:r>
        <w:t xml:space="preserve"> </w:t>
      </w:r>
      <w:r>
        <w:rPr>
          <w:iCs/>
          <w:i/>
        </w:rPr>
        <w:t xml:space="preserve">Kṣatram</w:t>
      </w:r>
      <w:r>
        <w:t xml:space="preserve"> </w:t>
      </w:r>
      <w:r>
        <w:t xml:space="preserve">and</w:t>
      </w:r>
      <w:r>
        <w:t xml:space="preserve"> </w:t>
      </w:r>
      <w:r>
        <w:rPr>
          <w:iCs/>
          <w:i/>
        </w:rPr>
        <w:t xml:space="preserve">bhagaḥ</w:t>
      </w:r>
      <w:r>
        <w:t xml:space="preserve"> </w:t>
      </w:r>
      <w:r>
        <w:t xml:space="preserve">are read among the twenty-eight names for wealth beginning</w:t>
      </w:r>
      <w:r>
        <w:t xml:space="preserve"> </w:t>
      </w:r>
      <w:r>
        <w:rPr>
          <w:iCs/>
          <w:i/>
        </w:rPr>
        <w:t xml:space="preserve">magham</w:t>
      </w:r>
      <w:r>
        <w:t xml:space="preserve">.</w:t>
      </w:r>
      <w:r>
        <w:t xml:space="preserve">”</w:t>
      </w:r>
      <w:r>
        <w:t xml:space="preserve"> </w:t>
      </w:r>
      <w:r>
        <w:t xml:space="preserve">(Grammatical tail:</w:t>
      </w:r>
      <w:r>
        <w:t xml:space="preserve"> </w:t>
      </w:r>
      <w:r>
        <w:rPr>
          <w:iCs/>
          <w:i/>
        </w:rPr>
        <w:t xml:space="preserve">śubhrāḥ</w:t>
      </w:r>
      <w:r>
        <w:t xml:space="preserve">, the Uṇādi suffix</w:t>
      </w:r>
      <w:r>
        <w:t xml:space="preserve"> </w:t>
      </w:r>
      <w:r>
        <w:rPr>
          <w:iCs/>
          <w:i/>
        </w:rPr>
        <w:t xml:space="preserve">rak</w:t>
      </w:r>
      <w:r>
        <w:t xml:space="preserve"> </w:t>
      </w:r>
      <w:r>
        <w:t xml:space="preserve">after</w:t>
      </w:r>
      <w:r>
        <w:t xml:space="preserve"> </w:t>
      </w:r>
      <w:r>
        <w:rPr>
          <w:iCs/>
          <w:i/>
        </w:rPr>
        <w:t xml:space="preserve">śubh</w:t>
      </w:r>
      <w:r>
        <w:t xml:space="preserve"> </w:t>
      </w:r>
      <w:r>
        <w:t xml:space="preserve">by</w:t>
      </w:r>
      <w:r>
        <w:t xml:space="preserve"> </w:t>
      </w:r>
      <w:r>
        <w:rPr>
          <w:iCs/>
          <w:i/>
        </w:rPr>
        <w:t xml:space="preserve">sphāyitañci…</w:t>
      </w:r>
      <w:r>
        <w:t xml:space="preserve">, the suffix accent;</w:t>
      </w:r>
      <w:r>
        <w:t xml:space="preserve"> </w:t>
      </w:r>
      <w:r>
        <w:rPr>
          <w:iCs/>
          <w:i/>
        </w:rPr>
        <w:t xml:space="preserve">ghoravarpasaḥ</w:t>
      </w:r>
      <w:r>
        <w:t xml:space="preserve">,</w:t>
      </w:r>
      <w:r>
        <w:t xml:space="preserve"> </w:t>
      </w:r>
      <w:r>
        <w:t xml:space="preserve">“</w:t>
      </w:r>
      <w:r>
        <w:t xml:space="preserve">whose form is fierce</w:t>
      </w:r>
      <w:r>
        <w:t xml:space="preserve">”</w:t>
      </w:r>
      <w:r>
        <w:t xml:space="preserve">, the first member’s accent in the</w:t>
      </w:r>
      <w:r>
        <w:t xml:space="preserve"> </w:t>
      </w:r>
      <w:r>
        <w:rPr>
          <w:iCs/>
          <w:i/>
        </w:rPr>
        <w:t xml:space="preserve">bahuvrīhi</w:t>
      </w:r>
      <w:r>
        <w:t xml:space="preserve">;</w:t>
      </w:r>
      <w:r>
        <w:t xml:space="preserve"> </w:t>
      </w:r>
      <w:r>
        <w:rPr>
          <w:iCs/>
          <w:i/>
        </w:rPr>
        <w:t xml:space="preserve">sukṣatrāsaḥ</w:t>
      </w:r>
      <w:r>
        <w:t xml:space="preserve">, final udātta of the final member in the</w:t>
      </w:r>
      <w:r>
        <w:t xml:space="preserve"> </w:t>
      </w:r>
      <w:r>
        <w:rPr>
          <w:iCs/>
          <w:i/>
        </w:rPr>
        <w:t xml:space="preserve">bahuvrīhi</w:t>
      </w:r>
      <w:r>
        <w:t xml:space="preserve"> </w:t>
      </w:r>
      <w:r>
        <w:t xml:space="preserve">by</w:t>
      </w:r>
      <w:r>
        <w:t xml:space="preserve"> </w:t>
      </w:r>
      <w:r>
        <w:rPr>
          <w:iCs/>
          <w:i/>
        </w:rPr>
        <w:t xml:space="preserve">nañsubhyām</w:t>
      </w:r>
      <w:r>
        <w:t xml:space="preserve">;</w:t>
      </w:r>
      <w:r>
        <w:t xml:space="preserve"> </w:t>
      </w:r>
      <w:r>
        <w:rPr>
          <w:iCs/>
          <w:i/>
        </w:rPr>
        <w:t xml:space="preserve">ādyudāttaṃ dvyac chandasi</w:t>
      </w:r>
      <w:r>
        <w:t xml:space="preserve"> </w:t>
      </w:r>
      <w:r>
        <w:t xml:space="preserve">(Pā. 6-2-119) does not apply, since</w:t>
      </w:r>
      <w:r>
        <w:t xml:space="preserve"> </w:t>
      </w:r>
      <w:r>
        <w:rPr>
          <w:iCs/>
          <w:i/>
        </w:rPr>
        <w:t xml:space="preserve">kṣatra</w:t>
      </w:r>
      <w:r>
        <w:t xml:space="preserve"> </w:t>
      </w:r>
      <w:r>
        <w:t xml:space="preserve">is final udātta;</w:t>
      </w:r>
      <w:r>
        <w:t xml:space="preserve"> </w:t>
      </w:r>
      <w:r>
        <w:rPr>
          <w:iCs/>
          <w:i/>
        </w:rPr>
        <w:t xml:space="preserve">riśādasaḥ</w:t>
      </w:r>
      <w:r>
        <w:t xml:space="preserve">,</w:t>
      </w:r>
      <w:r>
        <w:t xml:space="preserve"> </w:t>
      </w:r>
      <w:r>
        <w:t xml:space="preserve">“</w:t>
      </w:r>
      <w:r>
        <w:rPr>
          <w:iCs/>
          <w:i/>
        </w:rPr>
        <w:t xml:space="preserve">riśāḥ</w:t>
      </w:r>
      <w:r>
        <w:t xml:space="preserve">, those who harm; they eat them</w:t>
      </w:r>
      <w:r>
        <w:t xml:space="preserve">”</w:t>
      </w:r>
      <w:r>
        <w:t xml:space="preserve">, the suffix</w:t>
      </w:r>
      <w:r>
        <w:t xml:space="preserve"> </w:t>
      </w:r>
      <w:r>
        <w:rPr>
          <w:iCs/>
          <w:i/>
        </w:rPr>
        <w:t xml:space="preserve">asun</w:t>
      </w:r>
      <w:r>
        <w:t xml:space="preserve"> </w:t>
      </w:r>
      <w:r>
        <w:t xml:space="preserve">by</w:t>
      </w:r>
      <w:r>
        <w:t xml:space="preserve"> </w:t>
      </w:r>
      <w:r>
        <w:rPr>
          <w:iCs/>
          <w:i/>
        </w:rPr>
        <w:t xml:space="preserve">sarvadhātubhyo ’sun</w:t>
      </w:r>
      <w:r>
        <w:t xml:space="preserve">, the final member initial udātta by the</w:t>
      </w:r>
      <w:r>
        <w:t xml:space="preserve"> </w:t>
      </w:r>
      <w:r>
        <w:rPr>
          <w:iCs/>
          <w:i/>
        </w:rPr>
        <w:t xml:space="preserve">nit</w:t>
      </w:r>
      <w:r>
        <w:t xml:space="preserve"> </w:t>
      </w:r>
      <w:r>
        <w:t xml:space="preserve">accent, and that alone stays by the accent of the</w:t>
      </w:r>
      <w:r>
        <w:t xml:space="preserve"> </w:t>
      </w:r>
      <w:r>
        <w:rPr>
          <w:iCs/>
          <w:i/>
        </w:rPr>
        <w:t xml:space="preserve">kṛt</w:t>
      </w:r>
      <w:r>
        <w:t xml:space="preserve"> </w:t>
      </w:r>
      <w:r>
        <w:t xml:space="preserve">final member.)</w:t>
      </w:r>
    </w:p>
    <w:p>
      <w:pPr>
        <w:pStyle w:val="BodyText"/>
      </w:pPr>
      <w:r>
        <w:rPr>
          <w:bCs/>
          <w:b/>
        </w:rPr>
        <w:t xml:space="preserve">॥ Prati-padārthaḥ ॥</w:t>
      </w:r>
    </w:p>
    <w:p>
      <w:pPr>
        <w:pStyle w:val="BodyText"/>
      </w:pPr>
      <w:r>
        <w:rPr>
          <w:bCs/>
          <w:b/>
        </w:rPr>
        <w:t xml:space="preserve">(हे) अग्ने ((he) agne)</w:t>
      </w:r>
      <w:r>
        <w:t xml:space="preserve"> </w:t>
      </w:r>
      <w:r>
        <w:t xml:space="preserve">— O Agni |</w:t>
      </w:r>
      <w:r>
        <w:t xml:space="preserve"> </w:t>
      </w:r>
      <w:r>
        <w:rPr>
          <w:bCs/>
          <w:b/>
        </w:rPr>
        <w:t xml:space="preserve">ये (ye)</w:t>
      </w:r>
      <w:r>
        <w:t xml:space="preserve"> </w:t>
      </w:r>
      <w:r>
        <w:t xml:space="preserve">— which Marut deities |</w:t>
      </w:r>
      <w:r>
        <w:t xml:space="preserve"> </w:t>
      </w:r>
      <w:r>
        <w:rPr>
          <w:bCs/>
          <w:b/>
        </w:rPr>
        <w:t xml:space="preserve">शुभ्राः (śubhrāḥ)</w:t>
      </w:r>
      <w:r>
        <w:t xml:space="preserve"> </w:t>
      </w:r>
      <w:r>
        <w:t xml:space="preserve">— endowed with qualities such as brightness |</w:t>
      </w:r>
      <w:r>
        <w:t xml:space="preserve"> </w:t>
      </w:r>
      <w:r>
        <w:rPr>
          <w:bCs/>
          <w:b/>
        </w:rPr>
        <w:t xml:space="preserve">घोरवर्पसः (ghoravarpasaḥ)</w:t>
      </w:r>
      <w:r>
        <w:t xml:space="preserve"> </w:t>
      </w:r>
      <w:r>
        <w:t xml:space="preserve">— bearing fierce forms |</w:t>
      </w:r>
      <w:r>
        <w:t xml:space="preserve"> </w:t>
      </w:r>
      <w:r>
        <w:rPr>
          <w:bCs/>
          <w:b/>
        </w:rPr>
        <w:t xml:space="preserve">सुक्षत्रासः (sukṣatrāsaḥ)</w:t>
      </w:r>
      <w:r>
        <w:t xml:space="preserve"> </w:t>
      </w:r>
      <w:r>
        <w:t xml:space="preserve">— accompanied by excellent wealth |</w:t>
      </w:r>
      <w:r>
        <w:t xml:space="preserve"> </w:t>
      </w:r>
      <w:r>
        <w:rPr>
          <w:bCs/>
          <w:b/>
        </w:rPr>
        <w:t xml:space="preserve">रिशादसः (riśādasaḥ)</w:t>
      </w:r>
      <w:r>
        <w:t xml:space="preserve"> </w:t>
      </w:r>
      <w:r>
        <w:t xml:space="preserve">— devouring (destroying) the enemies who do harm | (such)</w:t>
      </w:r>
      <w:r>
        <w:t xml:space="preserve"> </w:t>
      </w:r>
      <w:r>
        <w:rPr>
          <w:bCs/>
          <w:b/>
        </w:rPr>
        <w:t xml:space="preserve">मरुद्भिः (marudbhiḥ)</w:t>
      </w:r>
      <w:r>
        <w:t xml:space="preserve"> </w:t>
      </w:r>
      <w:r>
        <w:t xml:space="preserve">— together with the Marut deities |</w:t>
      </w:r>
      <w:r>
        <w:t xml:space="preserve"> </w:t>
      </w:r>
      <w:r>
        <w:rPr>
          <w:bCs/>
          <w:b/>
        </w:rPr>
        <w:t xml:space="preserve">आ गहि (ā gahi)</w:t>
      </w:r>
      <w:r>
        <w:t xml:space="preserve"> </w:t>
      </w:r>
      <w:r>
        <w:t xml:space="preserve">— come here.</w:t>
      </w:r>
    </w:p>
    <w:p>
      <w:pPr>
        <w:pStyle w:val="BodyText"/>
      </w:pPr>
      <w:r>
        <w:rPr>
          <w:bCs/>
          <w:b/>
        </w:rPr>
        <w:t xml:space="preserve">॥ Bhāvārthaḥ ॥</w:t>
      </w:r>
    </w:p>
    <w:p>
      <w:pPr>
        <w:pStyle w:val="BodyText"/>
      </w:pPr>
      <w:r>
        <w:t xml:space="preserve">O Agni, the Marut deities are always bright; they have fierce forms (by their nature of blowing swiftly); they have excellent wealth; they kill enemies. Come here together with such Marut deities.</w:t>
      </w:r>
    </w:p>
    <w:p>
      <w:pPr>
        <w:pStyle w:val="BodyText"/>
      </w:pPr>
      <w:r>
        <w:rPr>
          <w:bCs/>
          <w:b/>
        </w:rPr>
        <w:t xml:space="preserve">॥ English Translation ॥</w:t>
      </w:r>
      <w:r>
        <w:t xml:space="preserve"> </w:t>
      </w:r>
      <w:r>
        <w:rPr>
          <w:iCs/>
          <w:i/>
        </w:rPr>
        <w:t xml:space="preserve">(as printed in the source)</w:t>
      </w:r>
    </w:p>
    <w:p>
      <w:pPr>
        <w:pStyle w:val="BlockText"/>
      </w:pPr>
      <w:r>
        <w:t xml:space="preserve">O Agni, come with the Maruths [sic] who are brilliant, have frightful forms who are possessors of great wealth and destroyers of the enemies.</w:t>
      </w:r>
    </w:p>
    <w:p>
      <w:pPr>
        <w:pStyle w:val="FirstParagraph"/>
      </w:pPr>
      <w:r>
        <w:rPr>
          <w:bCs/>
          <w:b/>
        </w:rPr>
        <w:t xml:space="preserve">॥ Viśeṣa-viṣayagaḷu (Special Topics) ॥</w:t>
      </w:r>
    </w:p>
    <w:p>
      <w:pPr>
        <w:pStyle w:val="BodyText"/>
      </w:pPr>
      <w:r>
        <w:rPr>
          <w:bCs/>
          <w:b/>
        </w:rPr>
        <w:t xml:space="preserve">Śubhrāḥ</w:t>
      </w:r>
      <w:r>
        <w:t xml:space="preserve">: shining, clear:</w:t>
      </w:r>
      <w:r>
        <w:t xml:space="preserve"> </w:t>
      </w:r>
      <w:r>
        <w:t xml:space="preserve">“</w:t>
      </w:r>
      <w:r>
        <w:t xml:space="preserve">Brilliant, resplendent, (transparent ?)</w:t>
      </w:r>
      <w:r>
        <w:t xml:space="preserve">”</w:t>
      </w:r>
      <w:r>
        <w:t xml:space="preserve"> </w:t>
      </w:r>
      <w:r>
        <w:t xml:space="preserve">[as printed] and so on.</w:t>
      </w:r>
    </w:p>
    <w:p>
      <w:pPr>
        <w:pStyle w:val="BodyText"/>
      </w:pPr>
      <w:r>
        <w:rPr>
          <w:bCs/>
          <w:b/>
        </w:rPr>
        <w:t xml:space="preserve">Ghoravarpasaḥ</w:t>
      </w:r>
      <w:r>
        <w:t xml:space="preserve">:</w:t>
      </w:r>
    </w:p>
    <w:p>
      <w:pPr>
        <w:pStyle w:val="BlockText"/>
      </w:pPr>
      <w:r>
        <w:t xml:space="preserve">घोररूपाः द्वयोश्चानयोः परस्परविरोधित्वात्कालभेदेन योजना । शोभनाः क्रीडाकाले । घोररूपाः संग्रामकाले ।</w:t>
      </w:r>
    </w:p>
    <w:p>
      <w:pPr>
        <w:pStyle w:val="BlockText"/>
      </w:pPr>
      <w:r>
        <w:rPr>
          <w:iCs/>
          <w:i/>
        </w:rPr>
        <w:t xml:space="preserve">ghorarūpāḥ dvayoścānayoḥ parasparavirodhitvātkālabhedena yojanā | śobhanāḥ krīḍākāle | ghorarūpāḥ saṃgrāmakāle |</w:t>
      </w:r>
    </w:p>
    <w:p>
      <w:pPr>
        <w:pStyle w:val="FirstParagraph"/>
      </w:pPr>
      <w:r>
        <w:t xml:space="preserve">(</w:t>
      </w:r>
      <w:r>
        <w:t xml:space="preserve">“</w:t>
      </w:r>
      <w:r>
        <w:t xml:space="preserve">Of fierce forms; since these two contradict each other, they are to be joined by difference of time: beautiful at the time of play, of fierce form at the time of battle.</w:t>
      </w:r>
      <w:r>
        <w:t xml:space="preserve">”</w:t>
      </w:r>
      <w:r>
        <w:t xml:space="preserve">) Having cruel or fearful forms,</w:t>
      </w:r>
      <w:r>
        <w:t xml:space="preserve"> </w:t>
      </w:r>
      <w:r>
        <w:t xml:space="preserve">“</w:t>
      </w:r>
      <w:r>
        <w:t xml:space="preserve">of terrible or frightful forms</w:t>
      </w:r>
      <w:r>
        <w:t xml:space="preserve">”</w:t>
      </w:r>
      <w:r>
        <w:t xml:space="preserve"> </w:t>
      </w:r>
      <w:r>
        <w:t xml:space="preserve">[as printed]. The words used in this ṛk,</w:t>
      </w:r>
    </w:p>
    <w:bookmarkEnd w:id="885"/>
    <w:bookmarkStart w:id="886" w:name="X8cb67c81478853f6ef55413be26bf8f0ab50ea6"/>
    <w:p>
      <w:pPr>
        <w:pStyle w:val="Heading3"/>
      </w:pPr>
      <w:r>
        <w:t xml:space="preserve">Page 797 — Rik 5: Special Topics (end) and grammar</w:t>
      </w:r>
    </w:p>
    <w:p>
      <w:pPr>
        <w:pStyle w:val="FirstParagraph"/>
      </w:pPr>
      <w:r>
        <w:rPr>
          <w:iCs/>
          <w:i/>
        </w:rPr>
        <w:t xml:space="preserve">śubhrāḥ</w:t>
      </w:r>
      <w:r>
        <w:t xml:space="preserve">, shining or endowed with gentle qualities, and</w:t>
      </w:r>
      <w:r>
        <w:t xml:space="preserve"> </w:t>
      </w:r>
      <w:r>
        <w:rPr>
          <w:iCs/>
          <w:i/>
        </w:rPr>
        <w:t xml:space="preserve">ghoravarpasaḥ</w:t>
      </w:r>
      <w:r>
        <w:t xml:space="preserve">, having fearful forms, are they not words of mutually contradictory sense? So the sense is: gentle in nature at the time of play, and taking fierce form at the time of war.</w:t>
      </w:r>
    </w:p>
    <w:p>
      <w:pPr>
        <w:pStyle w:val="BodyText"/>
      </w:pPr>
      <w:r>
        <w:rPr>
          <w:bCs/>
          <w:b/>
        </w:rPr>
        <w:t xml:space="preserve">Sukṣatrāsaḥ</w:t>
      </w:r>
      <w:r>
        <w:t xml:space="preserve">: since the word</w:t>
      </w:r>
      <w:r>
        <w:t xml:space="preserve"> </w:t>
      </w:r>
      <w:r>
        <w:rPr>
          <w:iCs/>
          <w:i/>
        </w:rPr>
        <w:t xml:space="preserve">kṣatram</w:t>
      </w:r>
      <w:r>
        <w:t xml:space="preserve"> </w:t>
      </w:r>
      <w:r>
        <w:t xml:space="preserve">is read among the twenty-eight names for wealth beginning</w:t>
      </w:r>
      <w:r>
        <w:t xml:space="preserve"> </w:t>
      </w:r>
      <w:r>
        <w:rPr>
          <w:iCs/>
          <w:i/>
        </w:rPr>
        <w:t xml:space="preserve">magha</w:t>
      </w:r>
      <w:r>
        <w:t xml:space="preserve"> </w:t>
      </w:r>
      <w:r>
        <w:t xml:space="preserve">(Ni.</w:t>
      </w:r>
      <w:r>
        <w:t xml:space="preserve"> </w:t>
      </w:r>
      <w:r>
        <w:t xml:space="preserve">“</w:t>
      </w:r>
      <w:r>
        <w:t xml:space="preserve">2-10</w:t>
      </w:r>
      <w:r>
        <w:t xml:space="preserve">”</w:t>
      </w:r>
      <w:r>
        <w:t xml:space="preserve"> </w:t>
      </w:r>
      <w:r>
        <w:t xml:space="preserve">[as read, ?]),</w:t>
      </w:r>
      <w:r>
        <w:t xml:space="preserve"> </w:t>
      </w:r>
      <w:r>
        <w:rPr>
          <w:iCs/>
          <w:i/>
        </w:rPr>
        <w:t xml:space="preserve">sukṣatrāsaḥ</w:t>
      </w:r>
      <w:r>
        <w:t xml:space="preserve"> </w:t>
      </w:r>
      <w:r>
        <w:t xml:space="preserve">means those who have good wealth.</w:t>
      </w:r>
    </w:p>
    <w:p>
      <w:pPr>
        <w:pStyle w:val="BodyText"/>
      </w:pPr>
      <w:r>
        <w:rPr>
          <w:bCs/>
          <w:b/>
        </w:rPr>
        <w:t xml:space="preserve">Riśādasaḥ</w:t>
      </w:r>
      <w:r>
        <w:t xml:space="preserve">:</w:t>
      </w:r>
    </w:p>
    <w:p>
      <w:pPr>
        <w:pStyle w:val="BlockText"/>
      </w:pPr>
      <w:r>
        <w:t xml:space="preserve">रिशन्ति हिंसन्तीति रिशाः शत्रवः । तानदन्तीति रिशादसः ।</w:t>
      </w:r>
    </w:p>
    <w:p>
      <w:pPr>
        <w:pStyle w:val="BlockText"/>
      </w:pPr>
      <w:r>
        <w:rPr>
          <w:iCs/>
          <w:i/>
        </w:rPr>
        <w:t xml:space="preserve">riśanti hiṃsantīti riśāḥ śatravaḥ | tānadantīti riśādasaḥ |</w:t>
      </w:r>
    </w:p>
    <w:p>
      <w:pPr>
        <w:pStyle w:val="FirstParagraph"/>
      </w:pPr>
      <w:r>
        <w:t xml:space="preserve">(</w:t>
      </w:r>
      <w:r>
        <w:t xml:space="preserve">“</w:t>
      </w:r>
      <w:r>
        <w:rPr>
          <w:iCs/>
          <w:i/>
        </w:rPr>
        <w:t xml:space="preserve">Riśāḥ</w:t>
      </w:r>
      <w:r>
        <w:t xml:space="preserve">, the enemies who harm; they eat them:</w:t>
      </w:r>
      <w:r>
        <w:t xml:space="preserve"> </w:t>
      </w:r>
      <w:r>
        <w:rPr>
          <w:iCs/>
          <w:i/>
        </w:rPr>
        <w:t xml:space="preserve">riśādasaḥ</w:t>
      </w:r>
      <w:r>
        <w:t xml:space="preserve">.</w:t>
      </w:r>
      <w:r>
        <w:t xml:space="preserve">”</w:t>
      </w:r>
      <w:r>
        <w:t xml:space="preserve">) The sense is: devouring, that is destroying, the enemies who do harm.</w:t>
      </w:r>
    </w:p>
    <w:p>
      <w:pPr>
        <w:pStyle w:val="BodyText"/>
      </w:pPr>
      <w:r>
        <w:rPr>
          <w:bCs/>
          <w:b/>
        </w:rPr>
        <w:t xml:space="preserve">॥ Vyākaraṇa-prakriyā ॥</w:t>
      </w:r>
      <w:r>
        <w:t xml:space="preserve"> </w:t>
      </w:r>
      <w:r>
        <w:rPr>
          <w:iCs/>
          <w:i/>
        </w:rPr>
        <w:t xml:space="preserve">(grammar on p. 797, noted briefly)</w:t>
      </w:r>
    </w:p>
    <w:p>
      <w:pPr>
        <w:pStyle w:val="BodyText"/>
      </w:pPr>
      <w:r>
        <w:rPr>
          <w:bCs/>
          <w:b/>
        </w:rPr>
        <w:t xml:space="preserve">शुभ्राः (</w:t>
      </w:r>
      <w:r>
        <w:rPr>
          <w:iCs/>
          <w:i/>
          <w:bCs/>
          <w:b/>
        </w:rPr>
        <w:t xml:space="preserve">śubhrāḥ</w:t>
      </w:r>
      <w:r>
        <w:rPr>
          <w:bCs/>
          <w:b/>
        </w:rPr>
        <w:t xml:space="preserve">)</w:t>
      </w:r>
      <w:r>
        <w:t xml:space="preserve">: by</w:t>
      </w:r>
      <w:r>
        <w:t xml:space="preserve"> </w:t>
      </w:r>
      <w:r>
        <w:t xml:space="preserve">“</w:t>
      </w:r>
      <w:r>
        <w:t xml:space="preserve">sphāyitañcivañciśakikṣipikṣudisṛpitṛpidṛpivandyundiśvitivṛtyajinīpadimadimudikhidichidibhidimandicandidahidasidambhivasivāśiśīṅhasisidhiśubhibhyo rak</w:t>
      </w:r>
      <w:r>
        <w:t xml:space="preserve">”</w:t>
      </w:r>
      <w:r>
        <w:t xml:space="preserve"> </w:t>
      </w:r>
      <w:r>
        <w:t xml:space="preserve">(Uṇ. sū.</w:t>
      </w:r>
      <w:r>
        <w:t xml:space="preserve"> </w:t>
      </w:r>
      <w:r>
        <w:t xml:space="preserve">“</w:t>
      </w:r>
      <w:r>
        <w:t xml:space="preserve">2-170</w:t>
      </w:r>
      <w:r>
        <w:t xml:space="preserve">”</w:t>
      </w:r>
      <w:r>
        <w:t xml:space="preserve"> </w:t>
      </w:r>
      <w:r>
        <w:t xml:space="preserve">[?]), the Uṇādi suffix</w:t>
      </w:r>
      <w:r>
        <w:t xml:space="preserve"> </w:t>
      </w:r>
      <w:r>
        <w:rPr>
          <w:iCs/>
          <w:i/>
        </w:rPr>
        <w:t xml:space="preserve">rak</w:t>
      </w:r>
      <w:r>
        <w:t xml:space="preserve"> </w:t>
      </w:r>
      <w:r>
        <w:t xml:space="preserve">after the root</w:t>
      </w:r>
      <w:r>
        <w:t xml:space="preserve"> </w:t>
      </w:r>
      <w:r>
        <w:rPr>
          <w:iCs/>
          <w:i/>
        </w:rPr>
        <w:t xml:space="preserve">śubh</w:t>
      </w:r>
      <w:r>
        <w:t xml:space="preserve">; the suffix accent comes.</w:t>
      </w:r>
    </w:p>
    <w:p>
      <w:pPr>
        <w:pStyle w:val="BodyText"/>
      </w:pPr>
      <w:r>
        <w:rPr>
          <w:bCs/>
          <w:b/>
        </w:rPr>
        <w:t xml:space="preserve">घोरवर्पसः (</w:t>
      </w:r>
      <w:r>
        <w:rPr>
          <w:iCs/>
          <w:i/>
          <w:bCs/>
          <w:b/>
        </w:rPr>
        <w:t xml:space="preserve">ghoravarpasaḥ</w:t>
      </w:r>
      <w:r>
        <w:rPr>
          <w:bCs/>
          <w:b/>
        </w:rPr>
        <w:t xml:space="preserve">)</w:t>
      </w:r>
      <w:r>
        <w:t xml:space="preserve">: by</w:t>
      </w:r>
      <w:r>
        <w:t xml:space="preserve"> </w:t>
      </w:r>
      <w:r>
        <w:t xml:space="preserve">“</w:t>
      </w:r>
      <w:r>
        <w:t xml:space="preserve">vṛñśīṅbhyāṃ rūpasvāṅgayoḥ puṭ ca</w:t>
      </w:r>
      <w:r>
        <w:t xml:space="preserve">”</w:t>
      </w:r>
      <w:r>
        <w:t xml:space="preserve"> </w:t>
      </w:r>
      <w:r>
        <w:t xml:space="preserve">(Uṇ. sū.</w:t>
      </w:r>
      <w:r>
        <w:t xml:space="preserve"> </w:t>
      </w:r>
      <w:r>
        <w:t xml:space="preserve">“</w:t>
      </w:r>
      <w:r>
        <w:t xml:space="preserve">4-640</w:t>
      </w:r>
      <w:r>
        <w:t xml:space="preserve">”</w:t>
      </w:r>
      <w:r>
        <w:t xml:space="preserve"> </w:t>
      </w:r>
      <w:r>
        <w:t xml:space="preserve">[?]), after the roots</w:t>
      </w:r>
      <w:r>
        <w:t xml:space="preserve"> </w:t>
      </w:r>
      <w:r>
        <w:rPr>
          <w:iCs/>
          <w:i/>
        </w:rPr>
        <w:t xml:space="preserve">vṛñ saṃbhaktau</w:t>
      </w:r>
      <w:r>
        <w:t xml:space="preserve"> </w:t>
      </w:r>
      <w:r>
        <w:t xml:space="preserve">and</w:t>
      </w:r>
      <w:r>
        <w:t xml:space="preserve"> </w:t>
      </w:r>
      <w:r>
        <w:rPr>
          <w:iCs/>
          <w:i/>
        </w:rPr>
        <w:t xml:space="preserve">śīṅ svapne</w:t>
      </w:r>
      <w:r>
        <w:t xml:space="preserve">, when the senses form and body-part respectively are to be expressed, the suffix</w:t>
      </w:r>
      <w:r>
        <w:t xml:space="preserve"> </w:t>
      </w:r>
      <w:r>
        <w:rPr>
          <w:iCs/>
          <w:i/>
        </w:rPr>
        <w:t xml:space="preserve">asun</w:t>
      </w:r>
      <w:r>
        <w:t xml:space="preserve"> </w:t>
      </w:r>
      <w:r>
        <w:t xml:space="preserve">comes, and the augment</w:t>
      </w:r>
      <w:r>
        <w:t xml:space="preserve"> </w:t>
      </w:r>
      <w:r>
        <w:rPr>
          <w:iCs/>
          <w:i/>
        </w:rPr>
        <w:t xml:space="preserve">puṭ</w:t>
      </w:r>
      <w:r>
        <w:t xml:space="preserve"> </w:t>
      </w:r>
      <w:r>
        <w:t xml:space="preserve">for it; so after the root</w:t>
      </w:r>
      <w:r>
        <w:t xml:space="preserve"> </w:t>
      </w:r>
      <w:r>
        <w:rPr>
          <w:iCs/>
          <w:i/>
        </w:rPr>
        <w:t xml:space="preserve">vṛ</w:t>
      </w:r>
      <w:r>
        <w:t xml:space="preserve"> </w:t>
      </w:r>
      <w:r>
        <w:t xml:space="preserve">the suffix</w:t>
      </w:r>
      <w:r>
        <w:t xml:space="preserve"> </w:t>
      </w:r>
      <w:r>
        <w:rPr>
          <w:iCs/>
          <w:i/>
        </w:rPr>
        <w:t xml:space="preserve">asun</w:t>
      </w:r>
      <w:r>
        <w:t xml:space="preserve"> </w:t>
      </w:r>
      <w:r>
        <w:t xml:space="preserve">with the augment</w:t>
      </w:r>
      <w:r>
        <w:t xml:space="preserve"> </w:t>
      </w:r>
      <w:r>
        <w:rPr>
          <w:iCs/>
          <w:i/>
        </w:rPr>
        <w:t xml:space="preserve">puṭ</w:t>
      </w:r>
      <w:r>
        <w:t xml:space="preserve">.</w:t>
      </w:r>
      <w:r>
        <w:t xml:space="preserve"> </w:t>
      </w:r>
      <w:r>
        <w:rPr>
          <w:iCs/>
          <w:i/>
        </w:rPr>
        <w:t xml:space="preserve">Varpaḥ</w:t>
      </w:r>
      <w:r>
        <w:t xml:space="preserve"> </w:t>
      </w:r>
      <w:r>
        <w:t xml:space="preserve">means form.</w:t>
      </w:r>
      <w:r>
        <w:t xml:space="preserve"> </w:t>
      </w:r>
      <w:r>
        <w:rPr>
          <w:iCs/>
          <w:i/>
        </w:rPr>
        <w:t xml:space="preserve">Ghoraṃ varpaḥ yeṣāṃ te ghoravarpasaḥ</w:t>
      </w:r>
      <w:r>
        <w:t xml:space="preserve">; being a</w:t>
      </w:r>
      <w:r>
        <w:t xml:space="preserve"> </w:t>
      </w:r>
      <w:r>
        <w:rPr>
          <w:iCs/>
          <w:i/>
        </w:rPr>
        <w:t xml:space="preserve">bahuvrīhi</w:t>
      </w:r>
      <w:r>
        <w:t xml:space="preserve">, the first member’s accent; the word</w:t>
      </w:r>
      <w:r>
        <w:t xml:space="preserve"> </w:t>
      </w:r>
      <w:r>
        <w:rPr>
          <w:iCs/>
          <w:i/>
        </w:rPr>
        <w:t xml:space="preserve">ghora</w:t>
      </w:r>
      <w:r>
        <w:t xml:space="preserve"> </w:t>
      </w:r>
      <w:r>
        <w:t xml:space="preserve">is final udātta.</w:t>
      </w:r>
    </w:p>
    <w:p>
      <w:pPr>
        <w:pStyle w:val="BodyText"/>
      </w:pPr>
      <w:r>
        <w:rPr>
          <w:bCs/>
          <w:b/>
        </w:rPr>
        <w:t xml:space="preserve">सुक्षत्रासः (</w:t>
      </w:r>
      <w:r>
        <w:rPr>
          <w:iCs/>
          <w:i/>
          <w:bCs/>
          <w:b/>
        </w:rPr>
        <w:t xml:space="preserve">sukṣatrāsaḥ</w:t>
      </w:r>
      <w:r>
        <w:rPr>
          <w:bCs/>
          <w:b/>
        </w:rPr>
        <w:t xml:space="preserve">)</w:t>
      </w:r>
      <w:r>
        <w:t xml:space="preserve">:</w:t>
      </w:r>
      <w:r>
        <w:t xml:space="preserve"> </w:t>
      </w:r>
      <w:r>
        <w:rPr>
          <w:iCs/>
          <w:i/>
        </w:rPr>
        <w:t xml:space="preserve">sukṣatraṃ dhanaṃ yeṣāṃ te</w:t>
      </w:r>
      <w:r>
        <w:t xml:space="preserve">.</w:t>
      </w:r>
      <w:r>
        <w:t xml:space="preserve"> </w:t>
      </w:r>
      <w:r>
        <w:rPr>
          <w:iCs/>
          <w:i/>
        </w:rPr>
        <w:t xml:space="preserve">Āj jaser asuk</w:t>
      </w:r>
      <w:r>
        <w:t xml:space="preserve">. The first member’s accent being due, by</w:t>
      </w:r>
      <w:r>
        <w:t xml:space="preserve"> </w:t>
      </w:r>
      <w:r>
        <w:t xml:space="preserve">“</w:t>
      </w:r>
      <w:r>
        <w:t xml:space="preserve">nañsubhyām</w:t>
      </w:r>
      <w:r>
        <w:t xml:space="preserve">”</w:t>
      </w:r>
      <w:r>
        <w:t xml:space="preserve"> </w:t>
      </w:r>
      <w:r>
        <w:t xml:space="preserve">(Pā. sū. 6-2-172), overriding it, final udātta comes. Here the word</w:t>
      </w:r>
      <w:r>
        <w:t xml:space="preserve"> </w:t>
      </w:r>
      <w:r>
        <w:rPr>
          <w:iCs/>
          <w:i/>
        </w:rPr>
        <w:t xml:space="preserve">kṣatra</w:t>
      </w:r>
      <w:r>
        <w:t xml:space="preserve"> </w:t>
      </w:r>
      <w:r>
        <w:t xml:space="preserve">stands after the word</w:t>
      </w:r>
      <w:r>
        <w:t xml:space="preserve"> </w:t>
      </w:r>
      <w:r>
        <w:rPr>
          <w:iCs/>
          <w:i/>
        </w:rPr>
        <w:t xml:space="preserve">su</w:t>
      </w:r>
      <w:r>
        <w:t xml:space="preserve">. Yet the initial udātta for</w:t>
      </w:r>
      <w:r>
        <w:t xml:space="preserve"> </w:t>
      </w:r>
      <w:r>
        <w:rPr>
          <w:iCs/>
          <w:i/>
        </w:rPr>
        <w:t xml:space="preserve">kṣatra</w:t>
      </w:r>
      <w:r>
        <w:t xml:space="preserve"> </w:t>
      </w:r>
      <w:r>
        <w:t xml:space="preserve">by</w:t>
      </w:r>
      <w:r>
        <w:t xml:space="preserve"> </w:t>
      </w:r>
      <w:r>
        <w:t xml:space="preserve">“</w:t>
      </w:r>
      <w:r>
        <w:t xml:space="preserve">ādyudāttaṃ dvyac chandasi</w:t>
      </w:r>
      <w:r>
        <w:t xml:space="preserve">”</w:t>
      </w:r>
      <w:r>
        <w:t xml:space="preserve"> </w:t>
      </w:r>
      <w:r>
        <w:t xml:space="preserve">(Pā. sū. 6-2-119), the exception to</w:t>
      </w:r>
      <w:r>
        <w:t xml:space="preserve"> </w:t>
      </w:r>
      <w:r>
        <w:rPr>
          <w:iCs/>
          <w:i/>
        </w:rPr>
        <w:t xml:space="preserve">nañsubhyām</w:t>
      </w:r>
      <w:r>
        <w:t xml:space="preserve">, does not come, because the word</w:t>
      </w:r>
      <w:r>
        <w:t xml:space="preserve"> </w:t>
      </w:r>
      <w:r>
        <w:rPr>
          <w:iCs/>
          <w:i/>
        </w:rPr>
        <w:t xml:space="preserve">kṣatra</w:t>
      </w:r>
      <w:r>
        <w:t xml:space="preserve"> </w:t>
      </w:r>
      <w:r>
        <w:t xml:space="preserve">is final udātta.</w:t>
      </w:r>
      <w:r>
        <w:t xml:space="preserve"> </w:t>
      </w:r>
      <w:r>
        <w:t xml:space="preserve">“</w:t>
      </w:r>
      <w:r>
        <w:t xml:space="preserve">Ādyudāttaṃ dvyac chandasi</w:t>
      </w:r>
      <w:r>
        <w:t xml:space="preserve">”</w:t>
      </w:r>
      <w:r>
        <w:t xml:space="preserve"> </w:t>
      </w:r>
      <w:r>
        <w:t xml:space="preserve">(Pā. sū. 6-2-119) means that in a</w:t>
      </w:r>
      <w:r>
        <w:t xml:space="preserve"> </w:t>
      </w:r>
      <w:r>
        <w:rPr>
          <w:iCs/>
          <w:i/>
        </w:rPr>
        <w:t xml:space="preserve">bahuvrīhi</w:t>
      </w:r>
      <w:r>
        <w:t xml:space="preserve"> </w:t>
      </w:r>
      <w:r>
        <w:t xml:space="preserve">compound a two-vowel word after the word</w:t>
      </w:r>
      <w:r>
        <w:t xml:space="preserve"> </w:t>
      </w:r>
      <w:r>
        <w:rPr>
          <w:iCs/>
          <w:i/>
        </w:rPr>
        <w:t xml:space="preserve">su</w:t>
      </w:r>
      <w:r>
        <w:t xml:space="preserve">, if initial udātta, remains initial udātta.</w:t>
      </w:r>
      <w:r>
        <w:t xml:space="preserve"> </w:t>
      </w:r>
      <w:r>
        <w:rPr>
          <w:iCs/>
          <w:i/>
        </w:rPr>
        <w:t xml:space="preserve">Dvyac</w:t>
      </w:r>
      <w:r>
        <w:t xml:space="preserve"> </w:t>
      </w:r>
      <w:r>
        <w:t xml:space="preserve">means a word with two vowels. Since the word</w:t>
      </w:r>
      <w:r>
        <w:t xml:space="preserve"> </w:t>
      </w:r>
      <w:r>
        <w:rPr>
          <w:iCs/>
          <w:i/>
        </w:rPr>
        <w:t xml:space="preserve">kṣatra</w:t>
      </w:r>
      <w:r>
        <w:t xml:space="preserve"> </w:t>
      </w:r>
      <w:r>
        <w:t xml:space="preserve">is final udātta,</w:t>
      </w:r>
      <w:r>
        <w:t xml:space="preserve"> </w:t>
      </w:r>
      <w:r>
        <w:rPr>
          <w:iCs/>
          <w:i/>
        </w:rPr>
        <w:t xml:space="preserve">ādyudāttaṃ dvyac…</w:t>
      </w:r>
      <w:r>
        <w:t xml:space="preserve"> </w:t>
      </w:r>
      <w:r>
        <w:t xml:space="preserve">does not apply.</w:t>
      </w:r>
    </w:p>
    <w:p>
      <w:pPr>
        <w:pStyle w:val="BodyText"/>
      </w:pPr>
      <w:r>
        <w:rPr>
          <w:bCs/>
          <w:b/>
        </w:rPr>
        <w:t xml:space="preserve">रिशादसः (</w:t>
      </w:r>
      <w:r>
        <w:rPr>
          <w:iCs/>
          <w:i/>
          <w:bCs/>
          <w:b/>
        </w:rPr>
        <w:t xml:space="preserve">riśādasaḥ</w:t>
      </w:r>
      <w:r>
        <w:rPr>
          <w:bCs/>
          <w:b/>
        </w:rPr>
        <w:t xml:space="preserve">)</w:t>
      </w:r>
      <w:r>
        <w:t xml:space="preserve">: the root</w:t>
      </w:r>
      <w:r>
        <w:t xml:space="preserve"> </w:t>
      </w:r>
      <w:r>
        <w:rPr>
          <w:iCs/>
          <w:i/>
        </w:rPr>
        <w:t xml:space="preserve">riśa hiṃsāyām</w:t>
      </w:r>
      <w:r>
        <w:t xml:space="preserve">;</w:t>
      </w:r>
      <w:r>
        <w:t xml:space="preserve"> </w:t>
      </w:r>
      <w:r>
        <w:rPr>
          <w:iCs/>
          <w:i/>
        </w:rPr>
        <w:t xml:space="preserve">riśanti hiṃsanti iti riśāḥ</w:t>
      </w:r>
      <w:r>
        <w:t xml:space="preserve">;</w:t>
      </w:r>
      <w:r>
        <w:t xml:space="preserve"> </w:t>
      </w:r>
      <w:r>
        <w:rPr>
          <w:iCs/>
          <w:i/>
        </w:rPr>
        <w:t xml:space="preserve">riśān adanti bhakṣayanti iti riśādas</w:t>
      </w:r>
      <w:r>
        <w:t xml:space="preserve">. After the root</w:t>
      </w:r>
      <w:r>
        <w:t xml:space="preserve"> </w:t>
      </w:r>
      <w:r>
        <w:rPr>
          <w:iCs/>
          <w:i/>
        </w:rPr>
        <w:t xml:space="preserve">ad</w:t>
      </w:r>
      <w:r>
        <w:t xml:space="preserve">, with the word</w:t>
      </w:r>
      <w:r>
        <w:t xml:space="preserve"> </w:t>
      </w:r>
      <w:r>
        <w:rPr>
          <w:iCs/>
          <w:i/>
        </w:rPr>
        <w:t xml:space="preserve">riśa</w:t>
      </w:r>
      <w:r>
        <w:t xml:space="preserve"> </w:t>
      </w:r>
      <w:r>
        <w:t xml:space="preserve">as</w:t>
      </w:r>
      <w:r>
        <w:t xml:space="preserve"> </w:t>
      </w:r>
      <w:r>
        <w:rPr>
          <w:iCs/>
          <w:i/>
        </w:rPr>
        <w:t xml:space="preserve">upapada</w:t>
      </w:r>
      <w:r>
        <w:t xml:space="preserve">, the suffix</w:t>
      </w:r>
      <w:r>
        <w:t xml:space="preserve"> </w:t>
      </w:r>
      <w:r>
        <w:rPr>
          <w:iCs/>
          <w:i/>
        </w:rPr>
        <w:t xml:space="preserve">asun</w:t>
      </w:r>
      <w:r>
        <w:t xml:space="preserve"> </w:t>
      </w:r>
      <w:r>
        <w:t xml:space="preserve">by</w:t>
      </w:r>
      <w:r>
        <w:t xml:space="preserve"> </w:t>
      </w:r>
      <w:r>
        <w:rPr>
          <w:iCs/>
          <w:i/>
        </w:rPr>
        <w:t xml:space="preserve">sarvadhātubhyo ’sun</w:t>
      </w:r>
      <w:r>
        <w:t xml:space="preserve">; the final member is initial udātta by the</w:t>
      </w:r>
      <w:r>
        <w:t xml:space="preserve"> </w:t>
      </w:r>
      <w:r>
        <w:rPr>
          <w:iCs/>
          <w:i/>
        </w:rPr>
        <w:t xml:space="preserve">nit</w:t>
      </w:r>
      <w:r>
        <w:t xml:space="preserve"> </w:t>
      </w:r>
      <w:r>
        <w:t xml:space="preserve">accent; after compounding, the accent of the</w:t>
      </w:r>
      <w:r>
        <w:t xml:space="preserve"> </w:t>
      </w:r>
      <w:r>
        <w:rPr>
          <w:iCs/>
          <w:i/>
        </w:rPr>
        <w:t xml:space="preserve">kṛt</w:t>
      </w:r>
      <w:r>
        <w:t xml:space="preserve"> </w:t>
      </w:r>
      <w:r>
        <w:t xml:space="preserve">final member by</w:t>
      </w:r>
      <w:r>
        <w:t xml:space="preserve"> </w:t>
      </w:r>
      <w:r>
        <w:t xml:space="preserve">“</w:t>
      </w:r>
      <w:r>
        <w:t xml:space="preserve">gatikārakopapadāt kṛt</w:t>
      </w:r>
      <w:r>
        <w:t xml:space="preserve">”</w:t>
      </w:r>
      <w:r>
        <w:t xml:space="preserve"> </w:t>
      </w:r>
      <w:r>
        <w:t xml:space="preserve">(Pā. sū. 6-2-139). So the initial udātta of the final member alone stays.</w:t>
      </w:r>
    </w:p>
    <w:p>
      <w:pPr>
        <w:pStyle w:val="BodyText"/>
      </w:pPr>
      <w:r>
        <w:rPr>
          <w:bCs/>
          <w:b/>
        </w:rPr>
        <w:t xml:space="preserve">॥५॥</w:t>
      </w:r>
    </w:p>
    <w:p>
      <w:r>
        <w:pict>
          <v:rect style="width:0;height:1.5pt" o:hralign="center" o:hrstd="t" o:hr="t"/>
        </w:pict>
      </w:r>
    </w:p>
    <w:bookmarkEnd w:id="886"/>
    <w:bookmarkStart w:id="887" w:name="page-798-sūkta-19-rik-6"/>
    <w:p>
      <w:pPr>
        <w:pStyle w:val="Heading3"/>
      </w:pPr>
      <w:r>
        <w:t xml:space="preserve">Page 798 — Sūkta 19, Rik 6</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ये नाक॒स्याधि॑ रोच॒ने दि॒वि दे॒वास॒ आस॑ते । [accent ?]</w:t>
      </w:r>
      <w:r>
        <w:t xml:space="preserve"> </w:t>
      </w:r>
      <w:r>
        <w:t xml:space="preserve">म॒रुद्भि॑रग्न॒ आ ग॑हि ॥६॥ [accent ?]</w:t>
      </w:r>
    </w:p>
    <w:p>
      <w:pPr>
        <w:pStyle w:val="BlockText"/>
      </w:pPr>
      <w:r>
        <w:rPr>
          <w:iCs/>
          <w:i/>
        </w:rPr>
        <w:t xml:space="preserve">ye nākasyā́dhi rocané diví devā́sa ā́sate |</w:t>
      </w:r>
      <w:r>
        <w:t xml:space="preserve"> </w:t>
      </w:r>
      <w:r>
        <w:t xml:space="preserve">[accent ?]</w:t>
      </w:r>
      <w:r>
        <w:t xml:space="preserve"> </w:t>
      </w:r>
      <w:r>
        <w:rPr>
          <w:iCs/>
          <w:i/>
        </w:rPr>
        <w:t xml:space="preserve">marúdbhir agna ā́ gahi ||6||</w:t>
      </w:r>
      <w:r>
        <w:t xml:space="preserve"> </w:t>
      </w:r>
      <w:r>
        <w:t xml:space="preserve">[accent ?]</w:t>
      </w:r>
    </w:p>
    <w:p>
      <w:pPr>
        <w:pStyle w:val="FirstParagraph"/>
      </w:pPr>
      <w:r>
        <w:rPr>
          <w:iCs/>
          <w:i/>
        </w:rPr>
        <w:t xml:space="preserve">(Read as printed: bars under क (नाक), च, दि, दे, स (देवास), म and ग्न; strokes over धि, स (आसते), द्भि and ग.)</w:t>
      </w:r>
    </w:p>
    <w:p>
      <w:pPr>
        <w:pStyle w:val="BodyText"/>
      </w:pPr>
      <w:r>
        <w:rPr>
          <w:bCs/>
          <w:b/>
        </w:rPr>
        <w:t xml:space="preserve">॥ Pada-pāṭhaḥ ॥</w:t>
      </w:r>
    </w:p>
    <w:p>
      <w:pPr>
        <w:pStyle w:val="BlockText"/>
      </w:pPr>
      <w:r>
        <w:t xml:space="preserve">ये । नाकस्य । अधि । रोचने । दिवि । देवासः । आसते ॥</w:t>
      </w:r>
      <w:r>
        <w:t xml:space="preserve"> </w:t>
      </w:r>
      <w:r>
        <w:t xml:space="preserve">मरुत्ऽभिः । अग्ने । आ । गहि ॥६॥</w:t>
      </w:r>
    </w:p>
    <w:p>
      <w:pPr>
        <w:pStyle w:val="BlockText"/>
      </w:pPr>
      <w:r>
        <w:rPr>
          <w:iCs/>
          <w:i/>
        </w:rPr>
        <w:t xml:space="preserve">ye | nākasya | adhi | rocane | divi | devāsaḥ | āsate ||</w:t>
      </w:r>
      <w:r>
        <w:t xml:space="preserve"> </w:t>
      </w:r>
      <w:r>
        <w:rPr>
          <w:iCs/>
          <w:i/>
        </w:rPr>
        <w:t xml:space="preserve">marut ’bhiḥ | agne | ā | gahi ||6||</w:t>
      </w:r>
    </w:p>
    <w:p>
      <w:pPr>
        <w:pStyle w:val="FirstParagraph"/>
      </w:pPr>
      <w:r>
        <w:rPr>
          <w:bCs/>
          <w:b/>
        </w:rPr>
        <w:t xml:space="preserve">॥ Sāyaṇa-bhāṣyam ॥</w:t>
      </w:r>
    </w:p>
    <w:p>
      <w:pPr>
        <w:pStyle w:val="BlockText"/>
      </w:pPr>
      <w:r>
        <w:t xml:space="preserve">ये मरुतो नाकस्याधि दुःखरहितस्य सूर्यस्योपरि दिवि द्युलोके रोचने दीप्यमाने ये देवासः स्वयमपि दीप्यमाना आसते । तैर्मरुद्भिरित्यन्वयः ॥ नाकस्य । कं सुखम् । तद्यस्मिन्नास्त्यसावकः इति बहुव्रीहिं कृत्वा पश्चान्नञ् । न अकोऽनाक इति नञ्तत्पुरुषः । नलोपो नञः । पा. ६-३-७३ । इति लोपो न भवति । नभ्राण्नपादित्यादिना । पा. ६-३-७५ । प्रकृतिभावात् । तत्पुरुषे तुल्यार्थेत्यादिना । पा. ६-२-२ । अव्ययपूर्वपदप्रकृतिस्वरत्वेनोदात्तत्वम् । प्रथमतस्तत्पुरुषं कृत्वा पश्चाद्बहुव्रीहावुत्तरपदान्तोदात्तत्वं स्यात् । अधिशब्द उपर्यर्थे । उपसर्गप्रतिरूपको निपातः । रोचने । रुच दीप्तौ । अनुदात्तेतश्च हलादेरिति युच् । चित इत्यन्तोदात्तत्वम् । दिवि । ऊडिदमित्यादिना विभक्तेरुदात्तत्वम् । देवासः । आज्जसेरसुगित्यसुक् । आसते । आस उपवेशने । अनुदात्तेत्त्वादात्मनेपदम् । झस्यादादेशः । अदिप्रभृतिभ्यः शप इति शपो लुक् । अनुदात्तेत्त्वाल्लसार्वधातुकानुदात्तत्वम् । यद्वृत्तयोगान्न निघातः ॥</w:t>
      </w:r>
    </w:p>
    <w:p>
      <w:pPr>
        <w:pStyle w:val="BlockText"/>
      </w:pPr>
      <w:r>
        <w:rPr>
          <w:iCs/>
          <w:i/>
        </w:rPr>
        <w:t xml:space="preserve">ye maruto nākasyādhi duḥkharahitasya sūryasyopari divi dyuloke rocane dīpyamāne ye devāsaḥ svayamapi dīpyamānā āsate | tairmarudbhirityanvayaḥ || nākasya | kaṃ sukham | tadyasminnāstyasāvakaḥ iti bahuvrīhiṃ kṛtvā paścānnañ | na ako ’nāka iti nañtatpuruṣaḥ | nalopo nañaḥ | pā. 6-3-73 | iti lopo na bhavati | nabhrāṇnapādityādinā | pā. 6-3-75 | prakṛtibhāvāt | tatpuruṣe tulyārthetyādinā | pā. 6-2-2 | avyayapūrvapadaprakṛtisvaratvenodāttatvam | prathamatastatpuruṣaṃ kṛtvā paścādbahuvrīhāvuttarapadāntodāttatvaṃ syāt | adhiśabda uparyarthe | upasargapratirūpako nipātaḥ | rocane | ruca dīptau | anudāttetaśca halāderiti yuc | cita ityantodāttatvam | divi | ūḍidamityādinā vibhakterudāttatvam | devāsaḥ | ājjaserasugityasuk | āsate | āsa upaveśane | anudāttettvādātmanepadam | jhasyādādeśaḥ | adiprabhṛtibhyaḥ śapa iti śapo luk | anudāttettvāllasārvadhātukānudāttatvam | yadvṛttayogānna nighātaḥ ||</w:t>
      </w:r>
    </w:p>
    <w:p>
      <w:pPr>
        <w:pStyle w:val="FirstParagraph"/>
      </w:pPr>
      <w:r>
        <w:rPr>
          <w:bCs/>
          <w:b/>
        </w:rPr>
        <w:t xml:space="preserve">Translation:</w:t>
      </w:r>
      <w:r>
        <w:t xml:space="preserve"> </w:t>
      </w:r>
      <w:r>
        <w:t xml:space="preserve">“</w:t>
      </w:r>
      <w:r>
        <w:t xml:space="preserve">The Maruts who,</w:t>
      </w:r>
      <w:r>
        <w:t xml:space="preserve"> </w:t>
      </w:r>
      <w:r>
        <w:rPr>
          <w:iCs/>
          <w:i/>
        </w:rPr>
        <w:t xml:space="preserve">devāsaḥ</w:t>
      </w:r>
      <w:r>
        <w:t xml:space="preserve">, themselves shining too,</w:t>
      </w:r>
      <w:r>
        <w:t xml:space="preserve"> </w:t>
      </w:r>
      <w:r>
        <w:rPr>
          <w:iCs/>
          <w:i/>
        </w:rPr>
        <w:t xml:space="preserve">āsate</w:t>
      </w:r>
      <w:r>
        <w:t xml:space="preserve">, sit</w:t>
      </w:r>
      <w:r>
        <w:t xml:space="preserve"> </w:t>
      </w:r>
      <w:r>
        <w:rPr>
          <w:iCs/>
          <w:i/>
        </w:rPr>
        <w:t xml:space="preserve">nākasyādhi</w:t>
      </w:r>
      <w:r>
        <w:t xml:space="preserve">, above the sun, which is free from sorrow,</w:t>
      </w:r>
      <w:r>
        <w:t xml:space="preserve"> </w:t>
      </w:r>
      <w:r>
        <w:rPr>
          <w:iCs/>
          <w:i/>
        </w:rPr>
        <w:t xml:space="preserve">divi</w:t>
      </w:r>
      <w:r>
        <w:t xml:space="preserve">, in the heavenly world,</w:t>
      </w:r>
      <w:r>
        <w:t xml:space="preserve"> </w:t>
      </w:r>
      <w:r>
        <w:rPr>
          <w:iCs/>
          <w:i/>
        </w:rPr>
        <w:t xml:space="preserve">rocane</w:t>
      </w:r>
      <w:r>
        <w:t xml:space="preserve">, shining: with those Maruts: that is the construction.</w:t>
      </w:r>
      <w:r>
        <w:t xml:space="preserve">”</w:t>
      </w:r>
      <w:r>
        <w:t xml:space="preserve"> </w:t>
      </w:r>
      <w:r>
        <w:t xml:space="preserve">(Grammatical tail:</w:t>
      </w:r>
      <w:r>
        <w:t xml:space="preserve"> </w:t>
      </w:r>
      <w:r>
        <w:rPr>
          <w:iCs/>
          <w:i/>
        </w:rPr>
        <w:t xml:space="preserve">nākasya</w:t>
      </w:r>
      <w:r>
        <w:t xml:space="preserve">,</w:t>
      </w:r>
      <w:r>
        <w:t xml:space="preserve"> </w:t>
      </w:r>
      <w:r>
        <w:t xml:space="preserve">“</w:t>
      </w:r>
      <w:r>
        <w:rPr>
          <w:iCs/>
          <w:i/>
        </w:rPr>
        <w:t xml:space="preserve">kam</w:t>
      </w:r>
      <w:r>
        <w:t xml:space="preserve"> </w:t>
      </w:r>
      <w:r>
        <w:t xml:space="preserve">is happiness; he in whom it is not is</w:t>
      </w:r>
      <w:r>
        <w:t xml:space="preserve"> </w:t>
      </w:r>
      <w:r>
        <w:rPr>
          <w:iCs/>
          <w:i/>
        </w:rPr>
        <w:t xml:space="preserve">aka</w:t>
      </w:r>
      <w:r>
        <w:t xml:space="preserve">”</w:t>
      </w:r>
      <w:r>
        <w:t xml:space="preserve">: having made the</w:t>
      </w:r>
      <w:r>
        <w:t xml:space="preserve"> </w:t>
      </w:r>
      <w:r>
        <w:rPr>
          <w:iCs/>
          <w:i/>
        </w:rPr>
        <w:t xml:space="preserve">bahuvrīhi</w:t>
      </w:r>
      <w:r>
        <w:t xml:space="preserve">, then</w:t>
      </w:r>
      <w:r>
        <w:t xml:space="preserve"> </w:t>
      </w:r>
      <w:r>
        <w:rPr>
          <w:iCs/>
          <w:i/>
        </w:rPr>
        <w:t xml:space="preserve">nañ</w:t>
      </w:r>
      <w:r>
        <w:t xml:space="preserve">:</w:t>
      </w:r>
      <w:r>
        <w:t xml:space="preserve"> </w:t>
      </w:r>
      <w:r>
        <w:t xml:space="preserve">“</w:t>
      </w:r>
      <w:r>
        <w:t xml:space="preserve">not</w:t>
      </w:r>
      <w:r>
        <w:t xml:space="preserve"> </w:t>
      </w:r>
      <w:r>
        <w:rPr>
          <w:iCs/>
          <w:i/>
        </w:rPr>
        <w:t xml:space="preserve">aka</w:t>
      </w:r>
      <w:r>
        <w:t xml:space="preserve">,</w:t>
      </w:r>
      <w:r>
        <w:t xml:space="preserve"> </w:t>
      </w:r>
      <w:r>
        <w:rPr>
          <w:iCs/>
          <w:i/>
        </w:rPr>
        <w:t xml:space="preserve">nāka</w:t>
      </w:r>
      <w:r>
        <w:t xml:space="preserve">”</w:t>
      </w:r>
      <w:r>
        <w:t xml:space="preserve">, a</w:t>
      </w:r>
      <w:r>
        <w:t xml:space="preserve"> </w:t>
      </w:r>
      <w:r>
        <w:rPr>
          <w:iCs/>
          <w:i/>
        </w:rPr>
        <w:t xml:space="preserve">nañ-tatpuruṣa</w:t>
      </w:r>
      <w:r>
        <w:t xml:space="preserve">; the loss by</w:t>
      </w:r>
      <w:r>
        <w:t xml:space="preserve"> </w:t>
      </w:r>
      <w:r>
        <w:rPr>
          <w:iCs/>
          <w:i/>
        </w:rPr>
        <w:t xml:space="preserve">nalopo nañaḥ</w:t>
      </w:r>
      <w:r>
        <w:t xml:space="preserve"> </w:t>
      </w:r>
      <w:r>
        <w:t xml:space="preserve">(Pā. 6-3-73) does not come because of the</w:t>
      </w:r>
      <w:r>
        <w:t xml:space="preserve"> </w:t>
      </w:r>
      <w:r>
        <w:rPr>
          <w:iCs/>
          <w:i/>
        </w:rPr>
        <w:t xml:space="preserve">prakṛtibhāva</w:t>
      </w:r>
      <w:r>
        <w:t xml:space="preserve"> </w:t>
      </w:r>
      <w:r>
        <w:t xml:space="preserve">by</w:t>
      </w:r>
      <w:r>
        <w:t xml:space="preserve"> </w:t>
      </w:r>
      <w:r>
        <w:rPr>
          <w:iCs/>
          <w:i/>
        </w:rPr>
        <w:t xml:space="preserve">nabhrāṇ napāt…</w:t>
      </w:r>
      <w:r>
        <w:t xml:space="preserve"> </w:t>
      </w:r>
      <w:r>
        <w:t xml:space="preserve">(Pā. 6-3-75); udātta by the accent of the indeclinable first member by</w:t>
      </w:r>
      <w:r>
        <w:t xml:space="preserve"> </w:t>
      </w:r>
      <w:r>
        <w:rPr>
          <w:iCs/>
          <w:i/>
        </w:rPr>
        <w:t xml:space="preserve">tatpuruṣe tulyārtha…</w:t>
      </w:r>
      <w:r>
        <w:t xml:space="preserve"> </w:t>
      </w:r>
      <w:r>
        <w:t xml:space="preserve">(Pā. 6-2-2); if the</w:t>
      </w:r>
      <w:r>
        <w:t xml:space="preserve"> </w:t>
      </w:r>
      <w:r>
        <w:rPr>
          <w:iCs/>
          <w:i/>
        </w:rPr>
        <w:t xml:space="preserve">tatpuruṣa</w:t>
      </w:r>
      <w:r>
        <w:t xml:space="preserve"> </w:t>
      </w:r>
      <w:r>
        <w:t xml:space="preserve">were made first and then the</w:t>
      </w:r>
      <w:r>
        <w:t xml:space="preserve"> </w:t>
      </w:r>
      <w:r>
        <w:rPr>
          <w:iCs/>
          <w:i/>
        </w:rPr>
        <w:t xml:space="preserve">bahuvrīhi</w:t>
      </w:r>
      <w:r>
        <w:t xml:space="preserve">, there would be final udātta of the final member;</w:t>
      </w:r>
      <w:r>
        <w:t xml:space="preserve"> </w:t>
      </w:r>
      <w:r>
        <w:rPr>
          <w:iCs/>
          <w:i/>
        </w:rPr>
        <w:t xml:space="preserve">adhi</w:t>
      </w:r>
      <w:r>
        <w:t xml:space="preserve"> </w:t>
      </w:r>
      <w:r>
        <w:t xml:space="preserve">in the sense</w:t>
      </w:r>
      <w:r>
        <w:t xml:space="preserve"> </w:t>
      </w:r>
      <w:r>
        <w:t xml:space="preserve">“</w:t>
      </w:r>
      <w:r>
        <w:t xml:space="preserve">above</w:t>
      </w:r>
      <w:r>
        <w:t xml:space="preserve">”</w:t>
      </w:r>
      <w:r>
        <w:t xml:space="preserve">, a particle resembling a preverb;</w:t>
      </w:r>
      <w:r>
        <w:t xml:space="preserve"> </w:t>
      </w:r>
      <w:r>
        <w:rPr>
          <w:iCs/>
          <w:i/>
        </w:rPr>
        <w:t xml:space="preserve">rocane</w:t>
      </w:r>
      <w:r>
        <w:t xml:space="preserve">,</w:t>
      </w:r>
      <w:r>
        <w:t xml:space="preserve"> </w:t>
      </w:r>
      <w:r>
        <w:rPr>
          <w:iCs/>
          <w:i/>
        </w:rPr>
        <w:t xml:space="preserve">ruca dīptau</w:t>
      </w:r>
      <w:r>
        <w:t xml:space="preserve">,</w:t>
      </w:r>
      <w:r>
        <w:t xml:space="preserve"> </w:t>
      </w:r>
      <w:r>
        <w:rPr>
          <w:iCs/>
          <w:i/>
        </w:rPr>
        <w:t xml:space="preserve">yuc</w:t>
      </w:r>
      <w:r>
        <w:t xml:space="preserve"> </w:t>
      </w:r>
      <w:r>
        <w:t xml:space="preserve">by</w:t>
      </w:r>
      <w:r>
        <w:t xml:space="preserve"> </w:t>
      </w:r>
      <w:r>
        <w:rPr>
          <w:iCs/>
          <w:i/>
        </w:rPr>
        <w:t xml:space="preserve">anudāttetaś ca halādeḥ</w:t>
      </w:r>
      <w:r>
        <w:t xml:space="preserve">, final udātta by</w:t>
      </w:r>
      <w:r>
        <w:t xml:space="preserve"> </w:t>
      </w:r>
      <w:r>
        <w:rPr>
          <w:iCs/>
          <w:i/>
        </w:rPr>
        <w:t xml:space="preserve">citaḥ</w:t>
      </w:r>
      <w:r>
        <w:t xml:space="preserve">;</w:t>
      </w:r>
      <w:r>
        <w:t xml:space="preserve"> </w:t>
      </w:r>
      <w:r>
        <w:rPr>
          <w:iCs/>
          <w:i/>
        </w:rPr>
        <w:t xml:space="preserve">divi</w:t>
      </w:r>
      <w:r>
        <w:t xml:space="preserve">, the ending udātta by</w:t>
      </w:r>
      <w:r>
        <w:t xml:space="preserve"> </w:t>
      </w:r>
      <w:r>
        <w:rPr>
          <w:iCs/>
          <w:i/>
        </w:rPr>
        <w:t xml:space="preserve">ūḍidam…</w:t>
      </w:r>
      <w:r>
        <w:t xml:space="preserve">;</w:t>
      </w:r>
      <w:r>
        <w:t xml:space="preserve"> </w:t>
      </w:r>
      <w:r>
        <w:rPr>
          <w:iCs/>
          <w:i/>
        </w:rPr>
        <w:t xml:space="preserve">devāsaḥ</w:t>
      </w:r>
      <w:r>
        <w:t xml:space="preserve">,</w:t>
      </w:r>
      <w:r>
        <w:t xml:space="preserve"> </w:t>
      </w:r>
      <w:r>
        <w:rPr>
          <w:iCs/>
          <w:i/>
        </w:rPr>
        <w:t xml:space="preserve">asuk</w:t>
      </w:r>
      <w:r>
        <w:t xml:space="preserve"> </w:t>
      </w:r>
      <w:r>
        <w:t xml:space="preserve">by</w:t>
      </w:r>
      <w:r>
        <w:t xml:space="preserve"> </w:t>
      </w:r>
      <w:r>
        <w:rPr>
          <w:iCs/>
          <w:i/>
        </w:rPr>
        <w:t xml:space="preserve">āj jaser asuk</w:t>
      </w:r>
      <w:r>
        <w:t xml:space="preserve">;</w:t>
      </w:r>
      <w:r>
        <w:t xml:space="preserve"> </w:t>
      </w:r>
      <w:r>
        <w:rPr>
          <w:iCs/>
          <w:i/>
        </w:rPr>
        <w:t xml:space="preserve">āsate</w:t>
      </w:r>
      <w:r>
        <w:t xml:space="preserve">,</w:t>
      </w:r>
      <w:r>
        <w:t xml:space="preserve"> </w:t>
      </w:r>
      <w:r>
        <w:rPr>
          <w:iCs/>
          <w:i/>
        </w:rPr>
        <w:t xml:space="preserve">āsa upaveśane</w:t>
      </w:r>
      <w:r>
        <w:t xml:space="preserve">,</w:t>
      </w:r>
      <w:r>
        <w:t xml:space="preserve"> </w:t>
      </w:r>
      <w:r>
        <w:rPr>
          <w:iCs/>
          <w:i/>
        </w:rPr>
        <w:t xml:space="preserve">ātmanepada</w:t>
      </w:r>
      <w:r>
        <w:t xml:space="preserve"> </w:t>
      </w:r>
      <w:r>
        <w:t xml:space="preserve">as</w:t>
      </w:r>
      <w:r>
        <w:t xml:space="preserve"> </w:t>
      </w:r>
      <w:r>
        <w:rPr>
          <w:iCs/>
          <w:i/>
        </w:rPr>
        <w:t xml:space="preserve">anudāttet</w:t>
      </w:r>
      <w:r>
        <w:t xml:space="preserve">,</w:t>
      </w:r>
      <w:r>
        <w:t xml:space="preserve"> </w:t>
      </w:r>
      <w:r>
        <w:rPr>
          <w:iCs/>
          <w:i/>
        </w:rPr>
        <w:t xml:space="preserve">at</w:t>
      </w:r>
      <w:r>
        <w:t xml:space="preserve"> </w:t>
      </w:r>
      <w:r>
        <w:t xml:space="preserve">for</w:t>
      </w:r>
      <w:r>
        <w:t xml:space="preserve"> </w:t>
      </w:r>
      <w:r>
        <w:rPr>
          <w:iCs/>
          <w:i/>
        </w:rPr>
        <w:t xml:space="preserve">jha</w:t>
      </w:r>
      <w:r>
        <w:t xml:space="preserve">,</w:t>
      </w:r>
      <w:r>
        <w:t xml:space="preserve"> </w:t>
      </w:r>
      <w:r>
        <w:rPr>
          <w:iCs/>
          <w:i/>
        </w:rPr>
        <w:t xml:space="preserve">śap</w:t>
      </w:r>
      <w:r>
        <w:t xml:space="preserve"> </w:t>
      </w:r>
      <w:r>
        <w:t xml:space="preserve">dropped by</w:t>
      </w:r>
      <w:r>
        <w:t xml:space="preserve"> </w:t>
      </w:r>
      <w:r>
        <w:rPr>
          <w:iCs/>
          <w:i/>
        </w:rPr>
        <w:t xml:space="preserve">adiprabhṛtibhyaḥ</w:t>
      </w:r>
      <w:r>
        <w:t xml:space="preserve">, the</w:t>
      </w:r>
      <w:r>
        <w:t xml:space="preserve"> </w:t>
      </w:r>
      <w:r>
        <w:rPr>
          <w:iCs/>
          <w:i/>
        </w:rPr>
        <w:t xml:space="preserve">lasārvadhātuka</w:t>
      </w:r>
      <w:r>
        <w:t xml:space="preserve"> </w:t>
      </w:r>
      <w:r>
        <w:t xml:space="preserve">unaccented as the root is</w:t>
      </w:r>
      <w:r>
        <w:t xml:space="preserve"> </w:t>
      </w:r>
      <w:r>
        <w:rPr>
          <w:iCs/>
          <w:i/>
        </w:rPr>
        <w:t xml:space="preserve">anudāttet</w:t>
      </w:r>
      <w:r>
        <w:t xml:space="preserve">, not lowered because joined with</w:t>
      </w:r>
      <w:r>
        <w:t xml:space="preserve"> </w:t>
      </w:r>
      <w:r>
        <w:rPr>
          <w:iCs/>
          <w:i/>
        </w:rPr>
        <w:t xml:space="preserve">yad</w:t>
      </w:r>
      <w:r>
        <w:t xml:space="preserve">.)</w:t>
      </w:r>
    </w:p>
    <w:bookmarkEnd w:id="887"/>
    <w:bookmarkStart w:id="888" w:name="Xbc3e0caf94bd34d4d00e0d5265fed18de39bb79"/>
    <w:p>
      <w:pPr>
        <w:pStyle w:val="Heading3"/>
      </w:pPr>
      <w:r>
        <w:t xml:space="preserve">Page 799 — Rik 6: word-meanings, overall sense, English, Special Topics, grammar</w:t>
      </w:r>
    </w:p>
    <w:p>
      <w:pPr>
        <w:pStyle w:val="FirstParagraph"/>
      </w:pPr>
      <w:r>
        <w:rPr>
          <w:bCs/>
          <w:b/>
        </w:rPr>
        <w:t xml:space="preserve">॥ Prati-padārthaḥ ॥</w:t>
      </w:r>
    </w:p>
    <w:p>
      <w:pPr>
        <w:pStyle w:val="BodyText"/>
      </w:pPr>
      <w:r>
        <w:rPr>
          <w:bCs/>
          <w:b/>
        </w:rPr>
        <w:t xml:space="preserve">(हे) अग्ने ((he) agne)</w:t>
      </w:r>
      <w:r>
        <w:t xml:space="preserve"> </w:t>
      </w:r>
      <w:r>
        <w:t xml:space="preserve">— O Agni |</w:t>
      </w:r>
      <w:r>
        <w:t xml:space="preserve"> </w:t>
      </w:r>
      <w:r>
        <w:rPr>
          <w:bCs/>
          <w:b/>
        </w:rPr>
        <w:t xml:space="preserve">ये देवासः (ye devāsaḥ)</w:t>
      </w:r>
      <w:r>
        <w:t xml:space="preserve"> </w:t>
      </w:r>
      <w:r>
        <w:t xml:space="preserve">— which Marut deities |</w:t>
      </w:r>
      <w:r>
        <w:t xml:space="preserve"> </w:t>
      </w:r>
      <w:r>
        <w:rPr>
          <w:bCs/>
          <w:b/>
        </w:rPr>
        <w:t xml:space="preserve">नाकस्य (nākasya)</w:t>
      </w:r>
      <w:r>
        <w:t xml:space="preserve"> </w:t>
      </w:r>
      <w:r>
        <w:t xml:space="preserve">— of the sun’s orb, free from sorrow |</w:t>
      </w:r>
      <w:r>
        <w:t xml:space="preserve"> </w:t>
      </w:r>
      <w:r>
        <w:rPr>
          <w:bCs/>
          <w:b/>
        </w:rPr>
        <w:t xml:space="preserve">अधि (adhi)</w:t>
      </w:r>
      <w:r>
        <w:t xml:space="preserve"> </w:t>
      </w:r>
      <w:r>
        <w:t xml:space="preserve">— above |</w:t>
      </w:r>
      <w:r>
        <w:t xml:space="preserve"> </w:t>
      </w:r>
      <w:r>
        <w:rPr>
          <w:bCs/>
          <w:b/>
        </w:rPr>
        <w:t xml:space="preserve">रोचने (rocane)</w:t>
      </w:r>
      <w:r>
        <w:t xml:space="preserve"> </w:t>
      </w:r>
      <w:r>
        <w:t xml:space="preserve">— shining |</w:t>
      </w:r>
      <w:r>
        <w:t xml:space="preserve"> </w:t>
      </w:r>
      <w:r>
        <w:rPr>
          <w:bCs/>
          <w:b/>
        </w:rPr>
        <w:t xml:space="preserve">दिवि (divi)</w:t>
      </w:r>
      <w:r>
        <w:t xml:space="preserve"> </w:t>
      </w:r>
      <w:r>
        <w:t xml:space="preserve">— in the heavenly world |</w:t>
      </w:r>
      <w:r>
        <w:t xml:space="preserve"> </w:t>
      </w:r>
      <w:r>
        <w:rPr>
          <w:bCs/>
          <w:b/>
        </w:rPr>
        <w:t xml:space="preserve">आसते (āsate)</w:t>
      </w:r>
      <w:r>
        <w:t xml:space="preserve"> </w:t>
      </w:r>
      <w:r>
        <w:t xml:space="preserve">— (sitting) are | (such)</w:t>
      </w:r>
      <w:r>
        <w:t xml:space="preserve"> </w:t>
      </w:r>
      <w:r>
        <w:rPr>
          <w:bCs/>
          <w:b/>
        </w:rPr>
        <w:t xml:space="preserve">मरुद्भिः (marudbhiḥ)</w:t>
      </w:r>
      <w:r>
        <w:t xml:space="preserve"> </w:t>
      </w:r>
      <w:r>
        <w:t xml:space="preserve">— joined with the Marut deities |</w:t>
      </w:r>
      <w:r>
        <w:t xml:space="preserve"> </w:t>
      </w:r>
      <w:r>
        <w:rPr>
          <w:bCs/>
          <w:b/>
        </w:rPr>
        <w:t xml:space="preserve">आ गहि (ā gahi)</w:t>
      </w:r>
      <w:r>
        <w:t xml:space="preserve"> </w:t>
      </w:r>
      <w:r>
        <w:t xml:space="preserve">— come here.</w:t>
      </w:r>
    </w:p>
    <w:p>
      <w:pPr>
        <w:pStyle w:val="BodyText"/>
      </w:pPr>
      <w:r>
        <w:rPr>
          <w:bCs/>
          <w:b/>
        </w:rPr>
        <w:t xml:space="preserve">॥ Bhāvārthaḥ ॥</w:t>
      </w:r>
    </w:p>
    <w:p>
      <w:pPr>
        <w:pStyle w:val="BodyText"/>
      </w:pPr>
      <w:r>
        <w:t xml:space="preserve">O Agni, come here with the Marut deities who are in the shining heaven in the region above the sun’s orb, which is free from sorrow.</w:t>
      </w:r>
    </w:p>
    <w:p>
      <w:pPr>
        <w:pStyle w:val="BodyText"/>
      </w:pPr>
      <w:r>
        <w:rPr>
          <w:bCs/>
          <w:b/>
        </w:rPr>
        <w:t xml:space="preserve">॥ English Translation ॥</w:t>
      </w:r>
      <w:r>
        <w:t xml:space="preserve"> </w:t>
      </w:r>
      <w:r>
        <w:rPr>
          <w:iCs/>
          <w:i/>
        </w:rPr>
        <w:t xml:space="preserve">(as printed in the source)</w:t>
      </w:r>
    </w:p>
    <w:p>
      <w:pPr>
        <w:pStyle w:val="BlockText"/>
      </w:pPr>
      <w:r>
        <w:t xml:space="preserve">O Agni, come hither with those divine Maruths [sic] who sit in resplendent heaven above the sky.</w:t>
      </w:r>
    </w:p>
    <w:p>
      <w:pPr>
        <w:pStyle w:val="FirstParagraph"/>
      </w:pPr>
      <w:r>
        <w:rPr>
          <w:bCs/>
          <w:b/>
        </w:rPr>
        <w:t xml:space="preserve">॥ Viśeṣa-viṣayagaḷu (Special Topics) ॥</w:t>
      </w:r>
    </w:p>
    <w:p>
      <w:pPr>
        <w:pStyle w:val="BodyText"/>
      </w:pPr>
      <w:r>
        <w:rPr>
          <w:bCs/>
          <w:b/>
        </w:rPr>
        <w:t xml:space="preserve">Nākasya</w:t>
      </w:r>
      <w:r>
        <w:t xml:space="preserve">: though</w:t>
      </w:r>
      <w:r>
        <w:t xml:space="preserve"> </w:t>
      </w:r>
      <w:r>
        <w:rPr>
          <w:iCs/>
          <w:i/>
        </w:rPr>
        <w:t xml:space="preserve">nāka</w:t>
      </w:r>
      <w:r>
        <w:t xml:space="preserve"> </w:t>
      </w:r>
      <w:r>
        <w:t xml:space="preserve">means heaven, since this ṛk has another word for heaven,</w:t>
      </w:r>
      <w:r>
        <w:t xml:space="preserve"> </w:t>
      </w:r>
      <w:r>
        <w:rPr>
          <w:iCs/>
          <w:i/>
        </w:rPr>
        <w:t xml:space="preserve">divi</w:t>
      </w:r>
      <w:r>
        <w:t xml:space="preserve">, the commentator has derived the word</w:t>
      </w:r>
      <w:r>
        <w:t xml:space="preserve"> </w:t>
      </w:r>
      <w:r>
        <w:rPr>
          <w:iCs/>
          <w:i/>
        </w:rPr>
        <w:t xml:space="preserve">nāka</w:t>
      </w:r>
      <w:r>
        <w:t xml:space="preserve"> </w:t>
      </w:r>
      <w:r>
        <w:t xml:space="preserve">from the sense of its parts:</w:t>
      </w:r>
    </w:p>
    <w:p>
      <w:pPr>
        <w:pStyle w:val="BlockText"/>
      </w:pPr>
      <w:r>
        <w:t xml:space="preserve">कं सुखम् । तद्यस्मिन्नास्तीत्यसावकः न अकः नाकः</w:t>
      </w:r>
    </w:p>
    <w:p>
      <w:pPr>
        <w:pStyle w:val="BlockText"/>
      </w:pPr>
      <w:r>
        <w:rPr>
          <w:iCs/>
          <w:i/>
        </w:rPr>
        <w:t xml:space="preserve">kaṃ sukham | tadyasminnāstītyasāvakaḥ na akaḥ nākaḥ</w:t>
      </w:r>
    </w:p>
    <w:p>
      <w:pPr>
        <w:pStyle w:val="FirstParagraph"/>
      </w:pPr>
      <w:r>
        <w:rPr>
          <w:iCs/>
          <w:i/>
        </w:rPr>
        <w:t xml:space="preserve">Kam</w:t>
      </w:r>
      <w:r>
        <w:t xml:space="preserve"> </w:t>
      </w:r>
      <w:r>
        <w:t xml:space="preserve">means happiness. Since it is not there, sorrow is called</w:t>
      </w:r>
      <w:r>
        <w:t xml:space="preserve"> </w:t>
      </w:r>
      <w:r>
        <w:rPr>
          <w:iCs/>
          <w:i/>
        </w:rPr>
        <w:t xml:space="preserve">akaḥ</w:t>
      </w:r>
      <w:r>
        <w:t xml:space="preserve">. Again, since there is no</w:t>
      </w:r>
      <w:r>
        <w:t xml:space="preserve"> </w:t>
      </w:r>
      <w:r>
        <w:rPr>
          <w:iCs/>
          <w:i/>
        </w:rPr>
        <w:t xml:space="preserve">akaḥ</w:t>
      </w:r>
      <w:r>
        <w:t xml:space="preserve"> </w:t>
      </w:r>
      <w:r>
        <w:t xml:space="preserve">(sorrow), the place of happiness is named</w:t>
      </w:r>
      <w:r>
        <w:t xml:space="preserve"> </w:t>
      </w:r>
      <w:r>
        <w:rPr>
          <w:iCs/>
          <w:i/>
        </w:rPr>
        <w:t xml:space="preserve">nākaḥ</w:t>
      </w:r>
      <w:r>
        <w:t xml:space="preserve">, heaven: that is the intent. Here, saying that</w:t>
      </w:r>
      <w:r>
        <w:t xml:space="preserve"> </w:t>
      </w:r>
      <w:r>
        <w:rPr>
          <w:iCs/>
          <w:i/>
        </w:rPr>
        <w:t xml:space="preserve">nākaḥ</w:t>
      </w:r>
      <w:r>
        <w:t xml:space="preserve"> </w:t>
      </w:r>
      <w:r>
        <w:t xml:space="preserve">is the sun’s orb, he takes the word</w:t>
      </w:r>
      <w:r>
        <w:t xml:space="preserve"> </w:t>
      </w:r>
      <w:r>
        <w:rPr>
          <w:iCs/>
          <w:i/>
        </w:rPr>
        <w:t xml:space="preserve">adhi</w:t>
      </w:r>
      <w:r>
        <w:t xml:space="preserve"> </w:t>
      </w:r>
      <w:r>
        <w:t xml:space="preserve">as</w:t>
      </w:r>
      <w:r>
        <w:t xml:space="preserve"> </w:t>
      </w:r>
      <w:r>
        <w:t xml:space="preserve">“</w:t>
      </w:r>
      <w:r>
        <w:t xml:space="preserve">above it</w:t>
      </w:r>
      <w:r>
        <w:t xml:space="preserve">”</w:t>
      </w:r>
      <w:r>
        <w:t xml:space="preserve">.</w:t>
      </w:r>
    </w:p>
    <w:p>
      <w:pPr>
        <w:pStyle w:val="BodyText"/>
      </w:pPr>
      <w:r>
        <w:rPr>
          <w:bCs/>
          <w:b/>
        </w:rPr>
        <w:t xml:space="preserve">॥ Vyākaraṇa-prakriyā ॥</w:t>
      </w:r>
      <w:r>
        <w:t xml:space="preserve"> </w:t>
      </w:r>
      <w:r>
        <w:rPr>
          <w:iCs/>
          <w:i/>
        </w:rPr>
        <w:t xml:space="preserve">(grammar pages 799–800, noted briefly)</w:t>
      </w:r>
    </w:p>
    <w:p>
      <w:pPr>
        <w:pStyle w:val="BodyText"/>
      </w:pPr>
      <w:r>
        <w:rPr>
          <w:bCs/>
          <w:b/>
        </w:rPr>
        <w:t xml:space="preserve">नाकस्य (</w:t>
      </w:r>
      <w:r>
        <w:rPr>
          <w:iCs/>
          <w:i/>
          <w:bCs/>
          <w:b/>
        </w:rPr>
        <w:t xml:space="preserve">nākasya</w:t>
      </w:r>
      <w:r>
        <w:rPr>
          <w:bCs/>
          <w:b/>
        </w:rPr>
        <w:t xml:space="preserve">)</w:t>
      </w:r>
      <w:r>
        <w:t xml:space="preserve">:</w:t>
      </w:r>
      <w:r>
        <w:t xml:space="preserve"> </w:t>
      </w:r>
      <w:r>
        <w:rPr>
          <w:iCs/>
          <w:i/>
        </w:rPr>
        <w:t xml:space="preserve">kam</w:t>
      </w:r>
      <w:r>
        <w:t xml:space="preserve"> </w:t>
      </w:r>
      <w:r>
        <w:t xml:space="preserve">means happiness.</w:t>
      </w:r>
      <w:r>
        <w:t xml:space="preserve"> </w:t>
      </w:r>
      <w:r>
        <w:rPr>
          <w:iCs/>
          <w:i/>
        </w:rPr>
        <w:t xml:space="preserve">Na vidyate kam, sukhaṃ yasmin saḥ</w:t>
      </w:r>
      <w:r>
        <w:t xml:space="preserve">: a</w:t>
      </w:r>
      <w:r>
        <w:t xml:space="preserve"> </w:t>
      </w:r>
      <w:r>
        <w:rPr>
          <w:iCs/>
          <w:i/>
        </w:rPr>
        <w:t xml:space="preserve">bahuvrīhi</w:t>
      </w:r>
      <w:r>
        <w:t xml:space="preserve">. By</w:t>
      </w:r>
      <w:r>
        <w:t xml:space="preserve"> </w:t>
      </w:r>
      <w:r>
        <w:t xml:space="preserve">“</w:t>
      </w:r>
      <w:r>
        <w:t xml:space="preserve">nalopo nañaḥ</w:t>
      </w:r>
      <w:r>
        <w:t xml:space="preserve">”</w:t>
      </w:r>
      <w:r>
        <w:t xml:space="preserve"> </w:t>
      </w:r>
      <w:r>
        <w:t xml:space="preserve">(Pā. sū. 6-3-73), when a final member follows, the</w:t>
      </w:r>
      <w:r>
        <w:t xml:space="preserve"> </w:t>
      </w:r>
      <w:r>
        <w:rPr>
          <w:iCs/>
          <w:i/>
        </w:rPr>
        <w:t xml:space="preserve">n</w:t>
      </w:r>
      <w:r>
        <w:t xml:space="preserve"> </w:t>
      </w:r>
      <w:r>
        <w:t xml:space="preserve">of</w:t>
      </w:r>
      <w:r>
        <w:t xml:space="preserve"> </w:t>
      </w:r>
      <w:r>
        <w:rPr>
          <w:iCs/>
          <w:i/>
        </w:rPr>
        <w:t xml:space="preserve">nañ</w:t>
      </w:r>
      <w:r>
        <w:t xml:space="preserve"> </w:t>
      </w:r>
      <w:r>
        <w:t xml:space="preserve">drops; so the</w:t>
      </w:r>
      <w:r>
        <w:t xml:space="preserve"> </w:t>
      </w:r>
      <w:r>
        <w:rPr>
          <w:iCs/>
          <w:i/>
        </w:rPr>
        <w:t xml:space="preserve">n</w:t>
      </w:r>
      <w:r>
        <w:t xml:space="preserve"> </w:t>
      </w:r>
      <w:r>
        <w:t xml:space="preserve">drops:</w:t>
      </w:r>
      <w:r>
        <w:t xml:space="preserve"> </w:t>
      </w:r>
      <w:r>
        <w:rPr>
          <w:iCs/>
          <w:i/>
        </w:rPr>
        <w:t xml:space="preserve">aka</w:t>
      </w:r>
      <w:r>
        <w:t xml:space="preserve">. The word final member is current in the sense of the last member of a compound. Now</w:t>
      </w:r>
      <w:r>
        <w:t xml:space="preserve"> </w:t>
      </w:r>
      <w:r>
        <w:rPr>
          <w:iCs/>
          <w:i/>
        </w:rPr>
        <w:t xml:space="preserve">na</w:t>
      </w:r>
      <w:r>
        <w:t xml:space="preserve"> </w:t>
      </w:r>
      <w:r>
        <w:t xml:space="preserve">+</w:t>
      </w:r>
      <w:r>
        <w:t xml:space="preserve"> </w:t>
      </w:r>
      <w:r>
        <w:rPr>
          <w:iCs/>
          <w:i/>
        </w:rPr>
        <w:t xml:space="preserve">akaḥ</w:t>
      </w:r>
      <w:r>
        <w:t xml:space="preserve">: a</w:t>
      </w:r>
      <w:r>
        <w:t xml:space="preserve"> </w:t>
      </w:r>
      <w:r>
        <w:rPr>
          <w:iCs/>
          <w:i/>
        </w:rPr>
        <w:t xml:space="preserve">tatpuruṣa</w:t>
      </w:r>
      <w:r>
        <w:t xml:space="preserve">. By</w:t>
      </w:r>
      <w:r>
        <w:t xml:space="preserve"> </w:t>
      </w:r>
      <w:r>
        <w:t xml:space="preserve">“</w:t>
      </w:r>
      <w:r>
        <w:t xml:space="preserve">nabhrāṇnapānnavedānāsatyānamucinakulanakhanapuṃsakanakṣatranakranākeṣu prakṛtyā</w:t>
      </w:r>
      <w:r>
        <w:t xml:space="preserve">”</w:t>
      </w:r>
      <w:r>
        <w:t xml:space="preserve"> </w:t>
      </w:r>
      <w:r>
        <w:t xml:space="preserve">(Pā. sū. 6-3-75) the</w:t>
      </w:r>
      <w:r>
        <w:t xml:space="preserve"> </w:t>
      </w:r>
      <w:r>
        <w:rPr>
          <w:iCs/>
          <w:i/>
        </w:rPr>
        <w:t xml:space="preserve">nañ</w:t>
      </w:r>
      <w:r>
        <w:t xml:space="preserve"> </w:t>
      </w:r>
      <w:r>
        <w:t xml:space="preserve">in all these words keeps its form; since the</w:t>
      </w:r>
      <w:r>
        <w:t xml:space="preserve"> </w:t>
      </w:r>
      <w:r>
        <w:rPr>
          <w:iCs/>
          <w:i/>
        </w:rPr>
        <w:t xml:space="preserve">prakṛtibhāva</w:t>
      </w:r>
      <w:r>
        <w:t xml:space="preserve"> </w:t>
      </w:r>
      <w:r>
        <w:t xml:space="preserve">comes, the</w:t>
      </w:r>
      <w:r>
        <w:t xml:space="preserve"> </w:t>
      </w:r>
      <w:r>
        <w:rPr>
          <w:iCs/>
          <w:i/>
        </w:rPr>
        <w:t xml:space="preserve">n</w:t>
      </w:r>
      <w:r>
        <w:t xml:space="preserve"> </w:t>
      </w:r>
      <w:r>
        <w:t xml:space="preserve">of</w:t>
      </w:r>
      <w:r>
        <w:t xml:space="preserve"> </w:t>
      </w:r>
      <w:r>
        <w:rPr>
          <w:iCs/>
          <w:i/>
        </w:rPr>
        <w:t xml:space="preserve">nañ</w:t>
      </w:r>
      <w:r>
        <w:t xml:space="preserve"> </w:t>
      </w:r>
      <w:r>
        <w:t xml:space="preserve">does not drop by</w:t>
      </w:r>
      <w:r>
        <w:t xml:space="preserve"> </w:t>
      </w:r>
      <w:r>
        <w:rPr>
          <w:iCs/>
          <w:i/>
        </w:rPr>
        <w:t xml:space="preserve">nalopo nañaḥ</w:t>
      </w:r>
      <w:r>
        <w:t xml:space="preserve">.</w:t>
      </w:r>
      <w:r>
        <w:t xml:space="preserve"> </w:t>
      </w:r>
      <w:r>
        <w:rPr>
          <w:iCs/>
          <w:i/>
        </w:rPr>
        <w:t xml:space="preserve">Nañ</w:t>
      </w:r>
      <w:r>
        <w:t xml:space="preserve">, being a particle, is initial udātta by</w:t>
      </w:r>
      <w:r>
        <w:t xml:space="preserve"> </w:t>
      </w:r>
      <w:r>
        <w:rPr>
          <w:iCs/>
          <w:i/>
        </w:rPr>
        <w:t xml:space="preserve">nipātā ādyudāttāḥ</w:t>
      </w:r>
      <w:r>
        <w:t xml:space="preserve">; after the</w:t>
      </w:r>
      <w:r>
        <w:t xml:space="preserve"> </w:t>
      </w:r>
      <w:r>
        <w:rPr>
          <w:iCs/>
          <w:i/>
        </w:rPr>
        <w:t xml:space="preserve">tatpuruṣa</w:t>
      </w:r>
      <w:r>
        <w:t xml:space="preserve"> </w:t>
      </w:r>
      <w:r>
        <w:t xml:space="preserve">compound</w:t>
      </w:r>
      <w:r>
        <w:t xml:space="preserve"> </w:t>
      </w:r>
      <w:r>
        <w:rPr>
          <w:iCs/>
          <w:i/>
        </w:rPr>
        <w:t xml:space="preserve">na-akaḥ</w:t>
      </w:r>
      <w:r>
        <w:t xml:space="preserve">,</w:t>
      </w:r>
      <w:r>
        <w:t xml:space="preserve"> </w:t>
      </w:r>
      <w:r>
        <w:rPr>
          <w:iCs/>
          <w:i/>
        </w:rPr>
        <w:t xml:space="preserve">nākaḥ</w:t>
      </w:r>
      <w:r>
        <w:t xml:space="preserve">, by</w:t>
      </w:r>
      <w:r>
        <w:t xml:space="preserve"> </w:t>
      </w:r>
      <w:r>
        <w:t xml:space="preserve">“</w:t>
      </w:r>
      <w:r>
        <w:t xml:space="preserve">tatpuruṣe tulyārtha…</w:t>
      </w:r>
      <w:r>
        <w:t xml:space="preserve">”</w:t>
      </w:r>
      <w:r>
        <w:t xml:space="preserve"> </w:t>
      </w:r>
      <w:r>
        <w:t xml:space="preserve">(Pā. sū. 6-2-2) the accent of the indeclinable first member comes. Here one must not first make the</w:t>
      </w:r>
      <w:r>
        <w:t xml:space="preserve"> </w:t>
      </w:r>
      <w:r>
        <w:rPr>
          <w:iCs/>
          <w:i/>
        </w:rPr>
        <w:t xml:space="preserve">tatpuruṣa</w:t>
      </w:r>
      <w:r>
        <w:t xml:space="preserve">,</w:t>
      </w:r>
      <w:r>
        <w:t xml:space="preserve"> </w:t>
      </w:r>
      <w:r>
        <w:rPr>
          <w:iCs/>
          <w:i/>
        </w:rPr>
        <w:t xml:space="preserve">na kam</w:t>
      </w:r>
      <w:r>
        <w:t xml:space="preserve">,</w:t>
      </w:r>
      <w:r>
        <w:t xml:space="preserve"> </w:t>
      </w:r>
      <w:r>
        <w:rPr>
          <w:iCs/>
          <w:i/>
        </w:rPr>
        <w:t xml:space="preserve">akam</w:t>
      </w:r>
      <w:r>
        <w:t xml:space="preserve">, and then the</w:t>
      </w:r>
      <w:r>
        <w:t xml:space="preserve"> </w:t>
      </w:r>
      <w:r>
        <w:rPr>
          <w:iCs/>
          <w:i/>
        </w:rPr>
        <w:t xml:space="preserve">bahuvrīhi</w:t>
      </w:r>
      <w:r>
        <w:t xml:space="preserve">,</w:t>
      </w:r>
      <w:r>
        <w:t xml:space="preserve"> </w:t>
      </w:r>
      <w:r>
        <w:rPr>
          <w:iCs/>
          <w:i/>
        </w:rPr>
        <w:t xml:space="preserve">na vidyate akaṃ sukhābhāvaḥ yasmin saḥ</w:t>
      </w:r>
      <w:r>
        <w:t xml:space="preserve">. If so made, by</w:t>
      </w:r>
      <w:r>
        <w:t xml:space="preserve"> </w:t>
      </w:r>
      <w:r>
        <w:t xml:space="preserve">“</w:t>
      </w:r>
      <w:r>
        <w:t xml:space="preserve">nañsubhyām</w:t>
      </w:r>
      <w:r>
        <w:t xml:space="preserve">”</w:t>
      </w:r>
      <w:r>
        <w:t xml:space="preserve"> </w:t>
      </w:r>
      <w:r>
        <w:t xml:space="preserve">(Pā. sū. 6-2-172) the final member</w:t>
      </w:r>
      <w:r>
        <w:t xml:space="preserve"> </w:t>
      </w:r>
      <w:r>
        <w:rPr>
          <w:iCs/>
          <w:i/>
        </w:rPr>
        <w:t xml:space="preserve">aka</w:t>
      </w:r>
      <w:r>
        <w:t xml:space="preserve"> </w:t>
      </w:r>
      <w:r>
        <w:t xml:space="preserve">would have to be final udātta.</w:t>
      </w:r>
    </w:p>
    <w:p>
      <w:pPr>
        <w:pStyle w:val="BodyText"/>
      </w:pPr>
      <w:r>
        <w:rPr>
          <w:bCs/>
          <w:b/>
        </w:rPr>
        <w:t xml:space="preserve">अधि (</w:t>
      </w:r>
      <w:r>
        <w:rPr>
          <w:iCs/>
          <w:i/>
          <w:bCs/>
          <w:b/>
        </w:rPr>
        <w:t xml:space="preserve">adhi</w:t>
      </w:r>
      <w:r>
        <w:rPr>
          <w:bCs/>
          <w:b/>
        </w:rPr>
        <w:t xml:space="preserve">)</w:t>
      </w:r>
      <w:r>
        <w:t xml:space="preserve">: this is in the sense</w:t>
      </w:r>
      <w:r>
        <w:t xml:space="preserve"> </w:t>
      </w:r>
      <w:r>
        <w:t xml:space="preserve">“</w:t>
      </w:r>
      <w:r>
        <w:t xml:space="preserve">above</w:t>
      </w:r>
      <w:r>
        <w:t xml:space="preserve">”</w:t>
      </w:r>
      <w:r>
        <w:t xml:space="preserve">. Being a particle resembling a preverb, it is initial udātta; in</w:t>
      </w:r>
      <w:r>
        <w:t xml:space="preserve"> </w:t>
      </w:r>
      <w:r>
        <w:rPr>
          <w:iCs/>
          <w:i/>
        </w:rPr>
        <w:t xml:space="preserve">nākasya</w:t>
      </w:r>
      <w:r>
        <w:t xml:space="preserve">, the</w:t>
      </w:r>
      <w:r>
        <w:t xml:space="preserve"> </w:t>
      </w:r>
      <w:r>
        <w:rPr>
          <w:iCs/>
          <w:i/>
        </w:rPr>
        <w:t xml:space="preserve">a</w:t>
      </w:r>
      <w:r>
        <w:t xml:space="preserve"> </w:t>
      </w:r>
      <w:r>
        <w:t xml:space="preserve">of</w:t>
      </w:r>
      <w:r>
        <w:t xml:space="preserve"> </w:t>
      </w:r>
      <w:r>
        <w:rPr>
          <w:iCs/>
          <w:i/>
        </w:rPr>
        <w:t xml:space="preserve">sya</w:t>
      </w:r>
      <w:r>
        <w:t xml:space="preserve"> </w:t>
      </w:r>
      <w:r>
        <w:t xml:space="preserve">is unaccented by the</w:t>
      </w:r>
      <w:r>
        <w:t xml:space="preserve"> </w:t>
      </w:r>
      <w:r>
        <w:rPr>
          <w:iCs/>
          <w:i/>
        </w:rPr>
        <w:t xml:space="preserve">sup</w:t>
      </w:r>
      <w:r>
        <w:t xml:space="preserve"> </w:t>
      </w:r>
      <w:r>
        <w:t xml:space="preserve">accent. The</w:t>
      </w:r>
      <w:r>
        <w:t xml:space="preserve"> </w:t>
      </w:r>
      <w:r>
        <w:rPr>
          <w:iCs/>
          <w:i/>
        </w:rPr>
        <w:t xml:space="preserve">ā</w:t>
      </w:r>
      <w:r>
        <w:t xml:space="preserve"> </w:t>
      </w:r>
      <w:r>
        <w:t xml:space="preserve">from the single substitute of lengthening of like vowels</w:t>
      </w:r>
    </w:p>
    <w:bookmarkEnd w:id="888"/>
    <w:bookmarkStart w:id="889" w:name="page-800-rik-6-grammar-end"/>
    <w:p>
      <w:pPr>
        <w:pStyle w:val="Heading3"/>
      </w:pPr>
      <w:r>
        <w:t xml:space="preserve">Page 800 — Rik 6: grammar (end)</w:t>
      </w:r>
    </w:p>
    <w:p>
      <w:pPr>
        <w:pStyle w:val="FirstParagraph"/>
      </w:pPr>
      <w:r>
        <w:t xml:space="preserve">is udātta by</w:t>
      </w:r>
      <w:r>
        <w:t xml:space="preserve"> </w:t>
      </w:r>
      <w:r>
        <w:rPr>
          <w:iCs/>
          <w:i/>
        </w:rPr>
        <w:t xml:space="preserve">ekādeśa udāttenodāttaḥ</w:t>
      </w:r>
      <w:r>
        <w:t xml:space="preserve">. Since this udātta follows, the unaccented</w:t>
      </w:r>
      <w:r>
        <w:t xml:space="preserve"> </w:t>
      </w:r>
      <w:r>
        <w:rPr>
          <w:iCs/>
          <w:i/>
        </w:rPr>
        <w:t xml:space="preserve">ka</w:t>
      </w:r>
      <w:r>
        <w:t xml:space="preserve"> </w:t>
      </w:r>
      <w:r>
        <w:t xml:space="preserve">before it takes the</w:t>
      </w:r>
      <w:r>
        <w:t xml:space="preserve"> </w:t>
      </w:r>
      <w:r>
        <w:rPr>
          <w:iCs/>
          <w:i/>
        </w:rPr>
        <w:t xml:space="preserve">anudātta</w:t>
      </w:r>
      <w:r>
        <w:t xml:space="preserve"> </w:t>
      </w:r>
      <w:r>
        <w:t xml:space="preserve">tone by</w:t>
      </w:r>
      <w:r>
        <w:t xml:space="preserve"> </w:t>
      </w:r>
      <w:r>
        <w:t xml:space="preserve">“</w:t>
      </w:r>
      <w:r>
        <w:t xml:space="preserve">udāttasvaritaparasya [sannataraḥ]</w:t>
      </w:r>
      <w:r>
        <w:t xml:space="preserve">”</w:t>
      </w:r>
      <w:r>
        <w:t xml:space="preserve">.</w:t>
      </w:r>
    </w:p>
    <w:p>
      <w:pPr>
        <w:pStyle w:val="BodyText"/>
      </w:pPr>
      <w:r>
        <w:rPr>
          <w:bCs/>
          <w:b/>
        </w:rPr>
        <w:t xml:space="preserve">रोचने (</w:t>
      </w:r>
      <w:r>
        <w:rPr>
          <w:iCs/>
          <w:i/>
          <w:bCs/>
          <w:b/>
        </w:rPr>
        <w:t xml:space="preserve">rocane</w:t>
      </w:r>
      <w:r>
        <w:rPr>
          <w:bCs/>
          <w:b/>
        </w:rPr>
        <w:t xml:space="preserve">)</w:t>
      </w:r>
      <w:r>
        <w:t xml:space="preserve">: the root</w:t>
      </w:r>
      <w:r>
        <w:t xml:space="preserve"> </w:t>
      </w:r>
      <w:r>
        <w:rPr>
          <w:iCs/>
          <w:i/>
        </w:rPr>
        <w:t xml:space="preserve">ruca dīptau</w:t>
      </w:r>
      <w:r>
        <w:t xml:space="preserve">,</w:t>
      </w:r>
      <w:r>
        <w:t xml:space="preserve"> </w:t>
      </w:r>
      <w:r>
        <w:rPr>
          <w:iCs/>
          <w:i/>
        </w:rPr>
        <w:t xml:space="preserve">anudāttet</w:t>
      </w:r>
      <w:r>
        <w:t xml:space="preserve">. By</w:t>
      </w:r>
      <w:r>
        <w:t xml:space="preserve"> </w:t>
      </w:r>
      <w:r>
        <w:t xml:space="preserve">“</w:t>
      </w:r>
      <w:r>
        <w:t xml:space="preserve">anudāttetaś ca halādeḥ</w:t>
      </w:r>
      <w:r>
        <w:t xml:space="preserve">”</w:t>
      </w:r>
      <w:r>
        <w:t xml:space="preserve"> </w:t>
      </w:r>
      <w:r>
        <w:t xml:space="preserve">(Pā. sū. 3-2-149), after a consonant-initial intransitive root that is</w:t>
      </w:r>
      <w:r>
        <w:t xml:space="preserve"> </w:t>
      </w:r>
      <w:r>
        <w:rPr>
          <w:iCs/>
          <w:i/>
        </w:rPr>
        <w:t xml:space="preserve">anudāttet</w:t>
      </w:r>
      <w:r>
        <w:t xml:space="preserve">, the suffix</w:t>
      </w:r>
      <w:r>
        <w:t xml:space="preserve"> </w:t>
      </w:r>
      <w:r>
        <w:rPr>
          <w:iCs/>
          <w:i/>
        </w:rPr>
        <w:t xml:space="preserve">yuc</w:t>
      </w:r>
      <w:r>
        <w:t xml:space="preserve"> </w:t>
      </w:r>
      <w:r>
        <w:t xml:space="preserve">comes; so the suffix</w:t>
      </w:r>
      <w:r>
        <w:t xml:space="preserve"> </w:t>
      </w:r>
      <w:r>
        <w:rPr>
          <w:iCs/>
          <w:i/>
        </w:rPr>
        <w:t xml:space="preserve">yuc</w:t>
      </w:r>
      <w:r>
        <w:t xml:space="preserve">. By</w:t>
      </w:r>
      <w:r>
        <w:t xml:space="preserve"> </w:t>
      </w:r>
      <w:r>
        <w:t xml:space="preserve">“</w:t>
      </w:r>
      <w:r>
        <w:t xml:space="preserve">yuvor anākau</w:t>
      </w:r>
      <w:r>
        <w:t xml:space="preserve">”</w:t>
      </w:r>
      <w:r>
        <w:t xml:space="preserve"> </w:t>
      </w:r>
      <w:r>
        <w:t xml:space="preserve">(Pā. sū. 7-1-1)</w:t>
      </w:r>
      <w:r>
        <w:t xml:space="preserve"> </w:t>
      </w:r>
      <w:r>
        <w:rPr>
          <w:iCs/>
          <w:i/>
        </w:rPr>
        <w:t xml:space="preserve">ana</w:t>
      </w:r>
      <w:r>
        <w:t xml:space="preserve"> </w:t>
      </w:r>
      <w:r>
        <w:t xml:space="preserve">for</w:t>
      </w:r>
      <w:r>
        <w:t xml:space="preserve"> </w:t>
      </w:r>
      <w:r>
        <w:rPr>
          <w:iCs/>
          <w:i/>
        </w:rPr>
        <w:t xml:space="preserve">yu</w:t>
      </w:r>
      <w:r>
        <w:t xml:space="preserve">; the</w:t>
      </w:r>
      <w:r>
        <w:t xml:space="preserve"> </w:t>
      </w:r>
      <w:r>
        <w:rPr>
          <w:iCs/>
          <w:i/>
        </w:rPr>
        <w:t xml:space="preserve">laghūpadha-guṇa</w:t>
      </w:r>
      <w:r>
        <w:t xml:space="preserve">:</w:t>
      </w:r>
      <w:r>
        <w:t xml:space="preserve"> </w:t>
      </w:r>
      <w:r>
        <w:rPr>
          <w:iCs/>
          <w:i/>
        </w:rPr>
        <w:t xml:space="preserve">rocana</w:t>
      </w:r>
      <w:r>
        <w:t xml:space="preserve">. The suffix is</w:t>
      </w:r>
      <w:r>
        <w:t xml:space="preserve"> </w:t>
      </w:r>
      <w:r>
        <w:rPr>
          <w:iCs/>
          <w:i/>
        </w:rPr>
        <w:t xml:space="preserve">cit</w:t>
      </w:r>
      <w:r>
        <w:t xml:space="preserve">; so by</w:t>
      </w:r>
      <w:r>
        <w:t xml:space="preserve"> </w:t>
      </w:r>
      <w:r>
        <w:t xml:space="preserve">“</w:t>
      </w:r>
      <w:r>
        <w:t xml:space="preserve">citaḥ</w:t>
      </w:r>
      <w:r>
        <w:t xml:space="preserve">”</w:t>
      </w:r>
      <w:r>
        <w:t xml:space="preserve"> </w:t>
      </w:r>
      <w:r>
        <w:t xml:space="preserve">(Pā. sū. 6-1-163) final udātta; locative singular</w:t>
      </w:r>
      <w:r>
        <w:t xml:space="preserve"> </w:t>
      </w:r>
      <w:r>
        <w:rPr>
          <w:iCs/>
          <w:i/>
        </w:rPr>
        <w:t xml:space="preserve">rocane</w:t>
      </w:r>
      <w:r>
        <w:t xml:space="preserve">.</w:t>
      </w:r>
    </w:p>
    <w:p>
      <w:pPr>
        <w:pStyle w:val="BodyText"/>
      </w:pPr>
      <w:r>
        <w:rPr>
          <w:bCs/>
          <w:b/>
        </w:rPr>
        <w:t xml:space="preserve">दिवि (</w:t>
      </w:r>
      <w:r>
        <w:rPr>
          <w:iCs/>
          <w:i/>
          <w:bCs/>
          <w:b/>
        </w:rPr>
        <w:t xml:space="preserve">divi</w:t>
      </w:r>
      <w:r>
        <w:rPr>
          <w:bCs/>
          <w:b/>
        </w:rPr>
        <w:t xml:space="preserve">)</w:t>
      </w:r>
      <w:r>
        <w:t xml:space="preserve">: by</w:t>
      </w:r>
      <w:r>
        <w:t xml:space="preserve"> </w:t>
      </w:r>
      <w:r>
        <w:t xml:space="preserve">“</w:t>
      </w:r>
      <w:r>
        <w:t xml:space="preserve">ūḍidaṃpadādyappumraidyubhyaḥ</w:t>
      </w:r>
      <w:r>
        <w:t xml:space="preserve">”</w:t>
      </w:r>
      <w:r>
        <w:t xml:space="preserve"> </w:t>
      </w:r>
      <w:r>
        <w:t xml:space="preserve">(Pā. sū. 6-1-171) the case-ending after</w:t>
      </w:r>
      <w:r>
        <w:t xml:space="preserve"> </w:t>
      </w:r>
      <w:r>
        <w:rPr>
          <w:iCs/>
          <w:i/>
        </w:rPr>
        <w:t xml:space="preserve">div</w:t>
      </w:r>
      <w:r>
        <w:t xml:space="preserve"> </w:t>
      </w:r>
      <w:r>
        <w:t xml:space="preserve">is udātta.</w:t>
      </w:r>
    </w:p>
    <w:p>
      <w:pPr>
        <w:pStyle w:val="BodyText"/>
      </w:pPr>
      <w:r>
        <w:rPr>
          <w:bCs/>
          <w:b/>
        </w:rPr>
        <w:t xml:space="preserve">देवासः (</w:t>
      </w:r>
      <w:r>
        <w:rPr>
          <w:iCs/>
          <w:i/>
          <w:bCs/>
          <w:b/>
        </w:rPr>
        <w:t xml:space="preserve">devāsaḥ</w:t>
      </w:r>
      <w:r>
        <w:rPr>
          <w:bCs/>
          <w:b/>
        </w:rPr>
        <w:t xml:space="preserve">)</w:t>
      </w:r>
      <w:r>
        <w:t xml:space="preserve">: by</w:t>
      </w:r>
      <w:r>
        <w:t xml:space="preserve"> </w:t>
      </w:r>
      <w:r>
        <w:rPr>
          <w:iCs/>
          <w:i/>
        </w:rPr>
        <w:t xml:space="preserve">āj jaser asuk</w:t>
      </w:r>
      <w:r>
        <w:t xml:space="preserve"> </w:t>
      </w:r>
      <w:r>
        <w:t xml:space="preserve">the augment</w:t>
      </w:r>
      <w:r>
        <w:t xml:space="preserve"> </w:t>
      </w:r>
      <w:r>
        <w:rPr>
          <w:iCs/>
          <w:i/>
        </w:rPr>
        <w:t xml:space="preserve">asuk</w:t>
      </w:r>
      <w:r>
        <w:t xml:space="preserve"> </w:t>
      </w:r>
      <w:r>
        <w:t xml:space="preserve">for</w:t>
      </w:r>
      <w:r>
        <w:t xml:space="preserve"> </w:t>
      </w:r>
      <w:r>
        <w:rPr>
          <w:iCs/>
          <w:i/>
        </w:rPr>
        <w:t xml:space="preserve">jas</w:t>
      </w:r>
      <w:r>
        <w:t xml:space="preserve">.</w:t>
      </w:r>
    </w:p>
    <w:p>
      <w:pPr>
        <w:pStyle w:val="BodyText"/>
      </w:pPr>
      <w:r>
        <w:rPr>
          <w:bCs/>
          <w:b/>
        </w:rPr>
        <w:t xml:space="preserve">आसते (</w:t>
      </w:r>
      <w:r>
        <w:rPr>
          <w:iCs/>
          <w:i/>
          <w:bCs/>
          <w:b/>
        </w:rPr>
        <w:t xml:space="preserve">āsate</w:t>
      </w:r>
      <w:r>
        <w:rPr>
          <w:bCs/>
          <w:b/>
        </w:rPr>
        <w:t xml:space="preserve">)</w:t>
      </w:r>
      <w:r>
        <w:t xml:space="preserve">:</w:t>
      </w:r>
      <w:r>
        <w:t xml:space="preserve"> </w:t>
      </w:r>
      <w:r>
        <w:rPr>
          <w:iCs/>
          <w:i/>
        </w:rPr>
        <w:t xml:space="preserve">āsa upaveśane</w:t>
      </w:r>
      <w:r>
        <w:t xml:space="preserve">,</w:t>
      </w:r>
      <w:r>
        <w:t xml:space="preserve"> </w:t>
      </w:r>
      <w:r>
        <w:rPr>
          <w:iCs/>
          <w:i/>
        </w:rPr>
        <w:t xml:space="preserve">anudāttet</w:t>
      </w:r>
      <w:r>
        <w:t xml:space="preserve">; so by</w:t>
      </w:r>
      <w:r>
        <w:t xml:space="preserve"> </w:t>
      </w:r>
      <w:r>
        <w:t xml:space="preserve">“</w:t>
      </w:r>
      <w:r>
        <w:t xml:space="preserve">anudāttaṅita ātmanepadam</w:t>
      </w:r>
      <w:r>
        <w:t xml:space="preserve">”</w:t>
      </w:r>
      <w:r>
        <w:t xml:space="preserve"> </w:t>
      </w:r>
      <w:r>
        <w:t xml:space="preserve">(Pā. sū. 1-3-12) the</w:t>
      </w:r>
      <w:r>
        <w:t xml:space="preserve"> </w:t>
      </w:r>
      <w:r>
        <w:rPr>
          <w:iCs/>
          <w:i/>
        </w:rPr>
        <w:t xml:space="preserve">ātmanepada</w:t>
      </w:r>
      <w:r>
        <w:t xml:space="preserve">;</w:t>
      </w:r>
      <w:r>
        <w:t xml:space="preserve"> </w:t>
      </w:r>
      <w:r>
        <w:rPr>
          <w:iCs/>
          <w:i/>
        </w:rPr>
        <w:t xml:space="preserve">laṭ</w:t>
      </w:r>
      <w:r>
        <w:t xml:space="preserve">, 3rd plural</w:t>
      </w:r>
      <w:r>
        <w:t xml:space="preserve"> </w:t>
      </w:r>
      <w:r>
        <w:rPr>
          <w:iCs/>
          <w:i/>
        </w:rPr>
        <w:t xml:space="preserve">jha</w:t>
      </w:r>
      <w:r>
        <w:t xml:space="preserve">.</w:t>
      </w:r>
      <w:r>
        <w:t xml:space="preserve"> </w:t>
      </w:r>
      <w:r>
        <w:rPr>
          <w:iCs/>
          <w:i/>
        </w:rPr>
        <w:t xml:space="preserve">Śap</w:t>
      </w:r>
      <w:r>
        <w:t xml:space="preserve"> </w:t>
      </w:r>
      <w:r>
        <w:t xml:space="preserve">as</w:t>
      </w:r>
      <w:r>
        <w:t xml:space="preserve"> </w:t>
      </w:r>
      <w:r>
        <w:rPr>
          <w:iCs/>
          <w:i/>
        </w:rPr>
        <w:t xml:space="preserve">vikaraṇa</w:t>
      </w:r>
      <w:r>
        <w:t xml:space="preserve"> </w:t>
      </w:r>
      <w:r>
        <w:t xml:space="preserve">by</w:t>
      </w:r>
      <w:r>
        <w:t xml:space="preserve"> </w:t>
      </w:r>
      <w:r>
        <w:rPr>
          <w:iCs/>
          <w:i/>
        </w:rPr>
        <w:t xml:space="preserve">kartari śap</w:t>
      </w:r>
      <w:r>
        <w:t xml:space="preserve">;</w:t>
      </w:r>
      <w:r>
        <w:t xml:space="preserve"> </w:t>
      </w:r>
      <w:r>
        <w:rPr>
          <w:iCs/>
          <w:i/>
        </w:rPr>
        <w:t xml:space="preserve">luk</w:t>
      </w:r>
      <w:r>
        <w:t xml:space="preserve"> </w:t>
      </w:r>
      <w:r>
        <w:t xml:space="preserve">of</w:t>
      </w:r>
      <w:r>
        <w:t xml:space="preserve"> </w:t>
      </w:r>
      <w:r>
        <w:rPr>
          <w:iCs/>
          <w:i/>
        </w:rPr>
        <w:t xml:space="preserve">śap</w:t>
      </w:r>
      <w:r>
        <w:t xml:space="preserve"> </w:t>
      </w:r>
      <w:r>
        <w:t xml:space="preserve">by</w:t>
      </w:r>
      <w:r>
        <w:t xml:space="preserve"> </w:t>
      </w:r>
      <w:r>
        <w:t xml:space="preserve">“</w:t>
      </w:r>
      <w:r>
        <w:t xml:space="preserve">adiprabhṛtibhyaḥ śapaḥ</w:t>
      </w:r>
      <w:r>
        <w:t xml:space="preserve">”</w:t>
      </w:r>
      <w:r>
        <w:t xml:space="preserve"> </w:t>
      </w:r>
      <w:r>
        <w:t xml:space="preserve">(Pā. sū. 2-4-72); by</w:t>
      </w:r>
      <w:r>
        <w:t xml:space="preserve"> </w:t>
      </w:r>
      <w:r>
        <w:t xml:space="preserve">“</w:t>
      </w:r>
      <w:r>
        <w:t xml:space="preserve">ātmanepadeṣv anataḥ</w:t>
      </w:r>
      <w:r>
        <w:t xml:space="preserve">”</w:t>
      </w:r>
      <w:r>
        <w:t xml:space="preserve"> </w:t>
      </w:r>
      <w:r>
        <w:t xml:space="preserve">(Pā. sū. 7-1-5), for the</w:t>
      </w:r>
      <w:r>
        <w:t xml:space="preserve"> </w:t>
      </w:r>
      <w:r>
        <w:rPr>
          <w:iCs/>
          <w:i/>
        </w:rPr>
        <w:t xml:space="preserve">jh</w:t>
      </w:r>
      <w:r>
        <w:t xml:space="preserve"> </w:t>
      </w:r>
      <w:r>
        <w:t xml:space="preserve">of an</w:t>
      </w:r>
      <w:r>
        <w:t xml:space="preserve"> </w:t>
      </w:r>
      <w:r>
        <w:rPr>
          <w:iCs/>
          <w:i/>
        </w:rPr>
        <w:t xml:space="preserve">ātmanepada</w:t>
      </w:r>
      <w:r>
        <w:t xml:space="preserve"> </w:t>
      </w:r>
      <w:r>
        <w:t xml:space="preserve">suffix after what does not end in</w:t>
      </w:r>
      <w:r>
        <w:t xml:space="preserve"> </w:t>
      </w:r>
      <w:r>
        <w:rPr>
          <w:iCs/>
          <w:i/>
        </w:rPr>
        <w:t xml:space="preserve">a</w:t>
      </w:r>
      <w:r>
        <w:t xml:space="preserve">, the substitute</w:t>
      </w:r>
      <w:r>
        <w:t xml:space="preserve"> </w:t>
      </w:r>
      <w:r>
        <w:rPr>
          <w:iCs/>
          <w:i/>
        </w:rPr>
        <w:t xml:space="preserve">at</w:t>
      </w:r>
      <w:r>
        <w:t xml:space="preserve">:</w:t>
      </w:r>
      <w:r>
        <w:t xml:space="preserve"> </w:t>
      </w:r>
      <w:r>
        <w:rPr>
          <w:iCs/>
          <w:i/>
        </w:rPr>
        <w:t xml:space="preserve">ās</w:t>
      </w:r>
      <w:r>
        <w:t xml:space="preserve"> </w:t>
      </w:r>
      <w:r>
        <w:t xml:space="preserve">+</w:t>
      </w:r>
      <w:r>
        <w:t xml:space="preserve"> </w:t>
      </w:r>
      <w:r>
        <w:rPr>
          <w:iCs/>
          <w:i/>
        </w:rPr>
        <w:t xml:space="preserve">ata</w:t>
      </w:r>
      <w:r>
        <w:t xml:space="preserve">. By</w:t>
      </w:r>
      <w:r>
        <w:t xml:space="preserve"> </w:t>
      </w:r>
      <w:r>
        <w:t xml:space="preserve">“</w:t>
      </w:r>
      <w:r>
        <w:t xml:space="preserve">ṭita ātmanepadānāṃ ṭere</w:t>
      </w:r>
      <w:r>
        <w:t xml:space="preserve">”</w:t>
      </w:r>
      <w:r>
        <w:t xml:space="preserve"> </w:t>
      </w:r>
      <w:r>
        <w:t xml:space="preserve">(Pā. sū. 3-4-79)</w:t>
      </w:r>
      <w:r>
        <w:t xml:space="preserve"> </w:t>
      </w:r>
      <w:r>
        <w:rPr>
          <w:iCs/>
          <w:i/>
        </w:rPr>
        <w:t xml:space="preserve">e</w:t>
      </w:r>
      <w:r>
        <w:t xml:space="preserve"> </w:t>
      </w:r>
      <w:r>
        <w:t xml:space="preserve">for the</w:t>
      </w:r>
      <w:r>
        <w:t xml:space="preserve"> </w:t>
      </w:r>
      <w:r>
        <w:rPr>
          <w:iCs/>
          <w:i/>
        </w:rPr>
        <w:t xml:space="preserve">a</w:t>
      </w:r>
      <w:r>
        <w:t xml:space="preserve"> </w:t>
      </w:r>
      <w:r>
        <w:t xml:space="preserve">that is the</w:t>
      </w:r>
      <w:r>
        <w:t xml:space="preserve"> </w:t>
      </w:r>
      <w:r>
        <w:rPr>
          <w:iCs/>
          <w:i/>
        </w:rPr>
        <w:t xml:space="preserve">ṭi</w:t>
      </w:r>
      <w:r>
        <w:t xml:space="preserve">:</w:t>
      </w:r>
      <w:r>
        <w:t xml:space="preserve"> </w:t>
      </w:r>
      <w:r>
        <w:rPr>
          <w:iCs/>
          <w:i/>
        </w:rPr>
        <w:t xml:space="preserve">āsate</w:t>
      </w:r>
      <w:r>
        <w:t xml:space="preserve">. Since it follows the word</w:t>
      </w:r>
      <w:r>
        <w:t xml:space="preserve"> </w:t>
      </w:r>
      <w:r>
        <w:rPr>
          <w:iCs/>
          <w:i/>
        </w:rPr>
        <w:t xml:space="preserve">ye</w:t>
      </w:r>
      <w:r>
        <w:t xml:space="preserve">, containing</w:t>
      </w:r>
      <w:r>
        <w:t xml:space="preserve"> </w:t>
      </w:r>
      <w:r>
        <w:rPr>
          <w:iCs/>
          <w:i/>
        </w:rPr>
        <w:t xml:space="preserve">yad</w:t>
      </w:r>
      <w:r>
        <w:t xml:space="preserve">, by</w:t>
      </w:r>
      <w:r>
        <w:t xml:space="preserve"> </w:t>
      </w:r>
      <w:r>
        <w:t xml:space="preserve">“</w:t>
      </w:r>
      <w:r>
        <w:t xml:space="preserve">yadvṛttān nityam</w:t>
      </w:r>
      <w:r>
        <w:t xml:space="preserve">”</w:t>
      </w:r>
      <w:r>
        <w:t xml:space="preserve"> </w:t>
      </w:r>
      <w:r>
        <w:t xml:space="preserve">(Pā. sū. 8-1-66) (</w:t>
      </w:r>
      <w:r>
        <w:rPr>
          <w:iCs/>
          <w:i/>
        </w:rPr>
        <w:t xml:space="preserve">vartate asminn iti vṛttam</w:t>
      </w:r>
      <w:r>
        <w:t xml:space="preserve">, the sense being the substrate:</w:t>
      </w:r>
      <w:r>
        <w:t xml:space="preserve"> </w:t>
      </w:r>
      <w:r>
        <w:rPr>
          <w:iCs/>
          <w:i/>
        </w:rPr>
        <w:t xml:space="preserve">yadaḥ vṛttam</w:t>
      </w:r>
      <w:r>
        <w:t xml:space="preserve">, the word that is the substrate of the presence of the word</w:t>
      </w:r>
      <w:r>
        <w:t xml:space="preserve"> </w:t>
      </w:r>
      <w:r>
        <w:rPr>
          <w:iCs/>
          <w:i/>
        </w:rPr>
        <w:t xml:space="preserve">yad</w:t>
      </w:r>
      <w:r>
        <w:t xml:space="preserve">, that is, after whatever word contains</w:t>
      </w:r>
      <w:r>
        <w:t xml:space="preserve"> </w:t>
      </w:r>
      <w:r>
        <w:rPr>
          <w:iCs/>
          <w:i/>
        </w:rPr>
        <w:t xml:space="preserve">yad</w:t>
      </w:r>
      <w:r>
        <w:t xml:space="preserve">, a</w:t>
      </w:r>
      <w:r>
        <w:t xml:space="preserve"> </w:t>
      </w:r>
      <w:r>
        <w:rPr>
          <w:iCs/>
          <w:i/>
        </w:rPr>
        <w:t xml:space="preserve">tiṅanta</w:t>
      </w:r>
      <w:r>
        <w:t xml:space="preserve"> </w:t>
      </w:r>
      <w:r>
        <w:t xml:space="preserve">is not unaccented). Since</w:t>
      </w:r>
      <w:r>
        <w:t xml:space="preserve"> </w:t>
      </w:r>
      <w:r>
        <w:rPr>
          <w:iCs/>
          <w:i/>
        </w:rPr>
        <w:t xml:space="preserve">yadvṛttāt</w:t>
      </w:r>
      <w:r>
        <w:t xml:space="preserve"> </w:t>
      </w:r>
      <w:r>
        <w:t xml:space="preserve">is a fifth-case statement, the sense is</w:t>
      </w:r>
      <w:r>
        <w:t xml:space="preserve"> </w:t>
      </w:r>
      <w:r>
        <w:t xml:space="preserve">“</w:t>
      </w:r>
      <w:r>
        <w:t xml:space="preserve">a</w:t>
      </w:r>
      <w:r>
        <w:t xml:space="preserve"> </w:t>
      </w:r>
      <w:r>
        <w:rPr>
          <w:iCs/>
          <w:i/>
        </w:rPr>
        <w:t xml:space="preserve">tiṅanta</w:t>
      </w:r>
      <w:r>
        <w:t xml:space="preserve"> </w:t>
      </w:r>
      <w:r>
        <w:t xml:space="preserve">immediately after a word containing</w:t>
      </w:r>
      <w:r>
        <w:t xml:space="preserve"> </w:t>
      </w:r>
      <w:r>
        <w:rPr>
          <w:iCs/>
          <w:i/>
        </w:rPr>
        <w:t xml:space="preserve">yad</w:t>
      </w:r>
      <w:r>
        <w:t xml:space="preserve"> </w:t>
      </w:r>
      <w:r>
        <w:t xml:space="preserve">is not unaccented</w:t>
      </w:r>
      <w:r>
        <w:t xml:space="preserve">”</w:t>
      </w:r>
      <w:r>
        <w:t xml:space="preserve">; this would arise from the</w:t>
      </w:r>
      <w:r>
        <w:t xml:space="preserve"> </w:t>
      </w:r>
      <w:r>
        <w:rPr>
          <w:iCs/>
          <w:i/>
        </w:rPr>
        <w:t xml:space="preserve">paribhāṣā</w:t>
      </w:r>
      <w:r>
        <w:t xml:space="preserve"> </w:t>
      </w:r>
      <w:r>
        <w:t xml:space="preserve">“</w:t>
      </w:r>
      <w:r>
        <w:t xml:space="preserve">tasmād ity uttarasya</w:t>
      </w:r>
      <w:r>
        <w:t xml:space="preserve">”</w:t>
      </w:r>
      <w:r>
        <w:t xml:space="preserve"> </w:t>
      </w:r>
      <w:r>
        <w:t xml:space="preserve">(Pā. sū. 1-1-67). Yet since the word</w:t>
      </w:r>
      <w:r>
        <w:t xml:space="preserve"> </w:t>
      </w:r>
      <w:r>
        <w:rPr>
          <w:iCs/>
          <w:i/>
        </w:rPr>
        <w:t xml:space="preserve">pūjita</w:t>
      </w:r>
      <w:r>
        <w:t xml:space="preserve"> </w:t>
      </w:r>
      <w:r>
        <w:t xml:space="preserve">is taken again in</w:t>
      </w:r>
      <w:r>
        <w:t xml:space="preserve"> </w:t>
      </w:r>
      <w:r>
        <w:t xml:space="preserve">“</w:t>
      </w:r>
      <w:r>
        <w:t xml:space="preserve">pūjanāt pūjitam…</w:t>
      </w:r>
      <w:r>
        <w:t xml:space="preserve">”</w:t>
      </w:r>
      <w:r>
        <w:t xml:space="preserve"> </w:t>
      </w:r>
      <w:r>
        <w:t xml:space="preserve">(Pā. sū. 8-1-37 [as printed</w:t>
      </w:r>
      <w:r>
        <w:t xml:space="preserve"> </w:t>
      </w:r>
      <w:r>
        <w:t xml:space="preserve">“</w:t>
      </w:r>
      <w:r>
        <w:t xml:space="preserve">8-1-1-37</w:t>
      </w:r>
      <w:r>
        <w:t xml:space="preserve">”</w:t>
      </w:r>
      <w:r>
        <w:t xml:space="preserve">]), it is made known that</w:t>
      </w:r>
      <w:r>
        <w:t xml:space="preserve"> </w:t>
      </w:r>
      <w:r>
        <w:t xml:space="preserve">“</w:t>
      </w:r>
      <w:r>
        <w:rPr>
          <w:iCs/>
          <w:i/>
        </w:rPr>
        <w:t xml:space="preserve">atra prakaraṇe pañcamīnirdeśe ’pi nānantaryam iṣyate</w:t>
      </w:r>
      <w:r>
        <w:t xml:space="preserve">”</w:t>
      </w:r>
      <w:r>
        <w:t xml:space="preserve">, that in this section, even with a fifth-case statement, immediate sequence is not required. So</w:t>
      </w:r>
      <w:r>
        <w:t xml:space="preserve"> </w:t>
      </w:r>
      <w:r>
        <w:rPr>
          <w:iCs/>
          <w:i/>
        </w:rPr>
        <w:t xml:space="preserve">tasmād ity uttarasya</w:t>
      </w:r>
      <w:r>
        <w:t xml:space="preserve"> </w:t>
      </w:r>
      <w:r>
        <w:t xml:space="preserve">does not apply here. Though there is an intervening word, the bar comes by</w:t>
      </w:r>
      <w:r>
        <w:t xml:space="preserve"> </w:t>
      </w:r>
      <w:r>
        <w:rPr>
          <w:iCs/>
          <w:i/>
        </w:rPr>
        <w:t xml:space="preserve">yadvṛttān nityam</w:t>
      </w:r>
      <w:r>
        <w:t xml:space="preserve">. So it is not wholly unaccented. The root</w:t>
      </w:r>
      <w:r>
        <w:t xml:space="preserve"> </w:t>
      </w:r>
      <w:r>
        <w:rPr>
          <w:iCs/>
          <w:i/>
        </w:rPr>
        <w:t xml:space="preserve">ās</w:t>
      </w:r>
      <w:r>
        <w:t xml:space="preserve"> </w:t>
      </w:r>
      <w:r>
        <w:t xml:space="preserve">being</w:t>
      </w:r>
      <w:r>
        <w:t xml:space="preserve"> </w:t>
      </w:r>
      <w:r>
        <w:rPr>
          <w:iCs/>
          <w:i/>
        </w:rPr>
        <w:t xml:space="preserve">anudāttet</w:t>
      </w:r>
      <w:r>
        <w:t xml:space="preserve">, by</w:t>
      </w:r>
      <w:r>
        <w:t xml:space="preserve"> </w:t>
      </w:r>
      <w:r>
        <w:t xml:space="preserve">“</w:t>
      </w:r>
      <w:r>
        <w:t xml:space="preserve">tāsyanudātteṅ…</w:t>
      </w:r>
      <w:r>
        <w:t xml:space="preserve">”</w:t>
      </w:r>
      <w:r>
        <w:t xml:space="preserve"> </w:t>
      </w:r>
      <w:r>
        <w:t xml:space="preserve">(Pā. sū. 6-1-186) and the rest, the</w:t>
      </w:r>
      <w:r>
        <w:t xml:space="preserve"> </w:t>
      </w:r>
      <w:r>
        <w:rPr>
          <w:iCs/>
          <w:i/>
        </w:rPr>
        <w:t xml:space="preserve">ate</w:t>
      </w:r>
      <w:r>
        <w:t xml:space="preserve">, a</w:t>
      </w:r>
      <w:r>
        <w:t xml:space="preserve"> </w:t>
      </w:r>
      <w:r>
        <w:rPr>
          <w:iCs/>
          <w:i/>
        </w:rPr>
        <w:t xml:space="preserve">lasārvadhātuka</w:t>
      </w:r>
      <w:r>
        <w:t xml:space="preserve">, is unaccented.</w:t>
      </w:r>
    </w:p>
    <w:p>
      <w:pPr>
        <w:pStyle w:val="BodyText"/>
      </w:pPr>
      <w:r>
        <w:rPr>
          <w:bCs/>
          <w:b/>
        </w:rPr>
        <w:t xml:space="preserve">॥६॥</w:t>
      </w:r>
    </w:p>
    <w:p>
      <w:pPr>
        <w:pStyle w:val="BodyText"/>
      </w:pPr>
      <w:r>
        <w:rPr>
          <w:iCs/>
          <w:i/>
        </w:rPr>
        <w:t xml:space="preserve">(An ornament follows at the foot of p. 800.)</w:t>
      </w:r>
    </w:p>
    <w:p>
      <w:r>
        <w:pict>
          <v:rect style="width:0;height:1.5pt" o:hralign="center" o:hrstd="t" o:hr="t"/>
        </w:pict>
      </w:r>
    </w:p>
    <w:bookmarkEnd w:id="889"/>
    <w:bookmarkStart w:id="890" w:name="page-801-sūkta-19-rik-7"/>
    <w:p>
      <w:pPr>
        <w:pStyle w:val="Heading3"/>
      </w:pPr>
      <w:r>
        <w:t xml:space="preserve">Page 801 — Sūkta 19, Rik 7</w:t>
      </w:r>
    </w:p>
    <w:p>
      <w:pPr>
        <w:pStyle w:val="FirstParagraph"/>
      </w:pPr>
      <w:r>
        <w:rPr>
          <w:iCs/>
          <w:i/>
        </w:rPr>
        <w:t xml:space="preserve">(Saṃhitā accents as printed; Pada unaccented. The print has ई॒ङ्खय॑न्ति; the Kannada grammar writes ईङ्खयन्ति / ईन्ख्.)</w:t>
      </w:r>
    </w:p>
    <w:p>
      <w:pPr>
        <w:pStyle w:val="BodyText"/>
      </w:pPr>
      <w:r>
        <w:rPr>
          <w:bCs/>
          <w:b/>
        </w:rPr>
        <w:t xml:space="preserve">॥ Saṃhitā-pāṭhaḥ ॥</w:t>
      </w:r>
    </w:p>
    <w:p>
      <w:pPr>
        <w:pStyle w:val="BlockText"/>
      </w:pPr>
      <w:r>
        <w:t xml:space="preserve">य ई॒ङ्खय॑न्ति॒ पर्व॑तान्ति॒रः स॑मु॒द्रम॑र्ण॒वम् । [accent ?]</w:t>
      </w:r>
      <w:r>
        <w:t xml:space="preserve"> </w:t>
      </w:r>
      <w:r>
        <w:t xml:space="preserve">म॒रुद्भि॑रग्न॒ आ ग॑हि ॥७॥ [accent ?]</w:t>
      </w:r>
    </w:p>
    <w:p>
      <w:pPr>
        <w:pStyle w:val="BlockText"/>
      </w:pPr>
      <w:r>
        <w:rPr>
          <w:iCs/>
          <w:i/>
        </w:rPr>
        <w:t xml:space="preserve">ya īṅkháyanti párvatān tiráḥ samudrám arṇavám |</w:t>
      </w:r>
      <w:r>
        <w:t xml:space="preserve"> </w:t>
      </w:r>
      <w:r>
        <w:t xml:space="preserve">[accent ?]</w:t>
      </w:r>
      <w:r>
        <w:t xml:space="preserve"> </w:t>
      </w:r>
      <w:r>
        <w:rPr>
          <w:iCs/>
          <w:i/>
        </w:rPr>
        <w:t xml:space="preserve">marúdbhir agna ā́ gahi ||7||</w:t>
      </w:r>
      <w:r>
        <w:t xml:space="preserve"> </w:t>
      </w:r>
      <w:r>
        <w:t xml:space="preserve">[accent ?]</w:t>
      </w:r>
    </w:p>
    <w:p>
      <w:pPr>
        <w:pStyle w:val="FirstParagraph"/>
      </w:pPr>
      <w:r>
        <w:rPr>
          <w:iCs/>
          <w:i/>
        </w:rPr>
        <w:t xml:space="preserve">(Read as printed: bars under ई, न्ति, ति (तिरः), मु, ण, म (मरु) and ग्न; strokes over य (ईङ्खय), व (पर्व), स (समु), म (मर्ण), द्भि and ग.)</w:t>
      </w:r>
    </w:p>
    <w:p>
      <w:pPr>
        <w:pStyle w:val="BodyText"/>
      </w:pPr>
      <w:r>
        <w:rPr>
          <w:bCs/>
          <w:b/>
        </w:rPr>
        <w:t xml:space="preserve">॥ Pada-pāṭhaḥ ॥</w:t>
      </w:r>
    </w:p>
    <w:p>
      <w:pPr>
        <w:pStyle w:val="BlockText"/>
      </w:pPr>
      <w:r>
        <w:t xml:space="preserve">ये । ईङ्खयन्ति । पर्वतान् । तिरः । समुद्रम् । अर्णवम् ॥</w:t>
      </w:r>
      <w:r>
        <w:t xml:space="preserve"> </w:t>
      </w:r>
      <w:r>
        <w:t xml:space="preserve">मरुत्ऽभिः । अग्ने । आ । गहि ॥७॥</w:t>
      </w:r>
    </w:p>
    <w:p>
      <w:pPr>
        <w:pStyle w:val="BlockText"/>
      </w:pPr>
      <w:r>
        <w:rPr>
          <w:iCs/>
          <w:i/>
        </w:rPr>
        <w:t xml:space="preserve">ye | īṅkhayanti | parvatān | tiraḥ | samudram | arṇavam ||</w:t>
      </w:r>
      <w:r>
        <w:t xml:space="preserve"> </w:t>
      </w:r>
      <w:r>
        <w:rPr>
          <w:iCs/>
          <w:i/>
        </w:rPr>
        <w:t xml:space="preserve">marut ’bhiḥ | agne | ā | gahi ||7||</w:t>
      </w:r>
    </w:p>
    <w:p>
      <w:pPr>
        <w:pStyle w:val="FirstParagraph"/>
      </w:pPr>
      <w:r>
        <w:rPr>
          <w:bCs/>
          <w:b/>
        </w:rPr>
        <w:t xml:space="preserve">॥ Sāyaṇa-bhāṣyam ॥</w:t>
      </w:r>
    </w:p>
    <w:p>
      <w:pPr>
        <w:pStyle w:val="BlockText"/>
      </w:pPr>
      <w:r>
        <w:t xml:space="preserve">ये मरुतः पर्वतान्मेघानीङ्खयन्ति चालयन्ति तथार्णवमुदकयुक्तं समुद्रं तिरः कुर्वन्तीति शेषः । निश्चलस्य जलस्य तरङ्गाद्युत्पत्तये चालनं तिरस्कारः । तैर्मरुद्भिरित्यन्वयः ॥ ईङ्खयन्ति । उख उखीत्यादावीखिर्गत्यर्थः । हेतुमति चेति णिच् । इदितो नुम् धातोरिति नुम् । णिजन्तधातोश्चित इत्यन्तोदात्तत्वम् । शपः पित्त्वादनुदात्तत्वम् । तिङश्च लसार्वधातुकस्वरेण धातुस्वर एव शिष्यते । पर्वतान् । पूर्व पर्व मर्व पूरणे । औणादिकोऽतन् । प्रत्ययस्वरः ॥</w:t>
      </w:r>
    </w:p>
    <w:p>
      <w:pPr>
        <w:pStyle w:val="BlockText"/>
      </w:pPr>
      <w:r>
        <w:rPr>
          <w:iCs/>
          <w:i/>
        </w:rPr>
        <w:t xml:space="preserve">ye marutaḥ parvatānmeghānīṅkhayanti cālayanti tathārṇavamudakayuktaṃ samudraṃ tiraḥ kurvantīti śeṣaḥ | niścalasya jalasya taraṅgādyutpattaye cālanaṃ tiraskāraḥ | tairmarudbhirityanvayaḥ || īṅkhayanti | ukha ukhītyādāvīkhirgatyarthaḥ | hetumati ceti ṇic | idito num dhātoriti num | ṇijantadhātościta ityantodāttatvam | śapaḥ pittvādanudāttatvam | tiṅaśca lasārvadhātukasvareṇa dhātusvara eva śiṣyate | parvatān | pūrva parva marva pūraṇe | auṇādiko ’tan | pratyayasvaraḥ ||</w:t>
      </w:r>
    </w:p>
    <w:p>
      <w:pPr>
        <w:pStyle w:val="FirstParagraph"/>
      </w:pPr>
      <w:r>
        <w:rPr>
          <w:bCs/>
          <w:b/>
        </w:rPr>
        <w:t xml:space="preserve">Translation:</w:t>
      </w:r>
      <w:r>
        <w:t xml:space="preserve"> </w:t>
      </w:r>
      <w:r>
        <w:t xml:space="preserve">“</w:t>
      </w:r>
      <w:r>
        <w:t xml:space="preserve">The Maruts who</w:t>
      </w:r>
      <w:r>
        <w:t xml:space="preserve"> </w:t>
      </w:r>
      <w:r>
        <w:rPr>
          <w:iCs/>
          <w:i/>
        </w:rPr>
        <w:t xml:space="preserve">īṅkhayanti</w:t>
      </w:r>
      <w:r>
        <w:t xml:space="preserve">, set moving, the</w:t>
      </w:r>
      <w:r>
        <w:t xml:space="preserve"> </w:t>
      </w:r>
      <w:r>
        <w:rPr>
          <w:iCs/>
          <w:i/>
        </w:rPr>
        <w:t xml:space="preserve">parvatas</w:t>
      </w:r>
      <w:r>
        <w:t xml:space="preserve">, clouds, and likewise</w:t>
      </w:r>
      <w:r>
        <w:t xml:space="preserve"> </w:t>
      </w:r>
      <w:r>
        <w:rPr>
          <w:iCs/>
          <w:i/>
        </w:rPr>
        <w:t xml:space="preserve">tiraḥ</w:t>
      </w:r>
      <w:r>
        <w:t xml:space="preserve">, make overturned (is to be supplied), the</w:t>
      </w:r>
      <w:r>
        <w:t xml:space="preserve"> </w:t>
      </w:r>
      <w:r>
        <w:rPr>
          <w:iCs/>
          <w:i/>
        </w:rPr>
        <w:t xml:space="preserve">samudra</w:t>
      </w:r>
      <w:r>
        <w:t xml:space="preserve">,</w:t>
      </w:r>
      <w:r>
        <w:t xml:space="preserve"> </w:t>
      </w:r>
      <w:r>
        <w:rPr>
          <w:iCs/>
          <w:i/>
        </w:rPr>
        <w:t xml:space="preserve">arṇava</w:t>
      </w:r>
      <w:r>
        <w:t xml:space="preserve">, which has water: setting the still water in motion to raise waves and the like is the</w:t>
      </w:r>
      <w:r>
        <w:t xml:space="preserve"> </w:t>
      </w:r>
      <w:r>
        <w:rPr>
          <w:iCs/>
          <w:i/>
        </w:rPr>
        <w:t xml:space="preserve">tiraskāra</w:t>
      </w:r>
      <w:r>
        <w:t xml:space="preserve">. With those Maruts: that is the construction.</w:t>
      </w:r>
      <w:r>
        <w:t xml:space="preserve">”</w:t>
      </w:r>
      <w:r>
        <w:t xml:space="preserve"> </w:t>
      </w:r>
      <w:r>
        <w:t xml:space="preserve">(Grammatical tail:</w:t>
      </w:r>
      <w:r>
        <w:t xml:space="preserve"> </w:t>
      </w:r>
      <w:r>
        <w:rPr>
          <w:iCs/>
          <w:i/>
        </w:rPr>
        <w:t xml:space="preserve">īṅkhayanti</w:t>
      </w:r>
      <w:r>
        <w:t xml:space="preserve">,</w:t>
      </w:r>
      <w:r>
        <w:t xml:space="preserve"> </w:t>
      </w:r>
      <w:r>
        <w:rPr>
          <w:iCs/>
          <w:i/>
        </w:rPr>
        <w:t xml:space="preserve">īkhi</w:t>
      </w:r>
      <w:r>
        <w:t xml:space="preserve"> </w:t>
      </w:r>
      <w:r>
        <w:t xml:space="preserve">in the sense of going, as in</w:t>
      </w:r>
      <w:r>
        <w:t xml:space="preserve"> </w:t>
      </w:r>
      <w:r>
        <w:rPr>
          <w:iCs/>
          <w:i/>
        </w:rPr>
        <w:t xml:space="preserve">ukha ukhi…</w:t>
      </w:r>
      <w:r>
        <w:t xml:space="preserve">,</w:t>
      </w:r>
      <w:r>
        <w:t xml:space="preserve"> </w:t>
      </w:r>
      <w:r>
        <w:rPr>
          <w:iCs/>
          <w:i/>
        </w:rPr>
        <w:t xml:space="preserve">ṇic</w:t>
      </w:r>
      <w:r>
        <w:t xml:space="preserve"> </w:t>
      </w:r>
      <w:r>
        <w:t xml:space="preserve">by</w:t>
      </w:r>
      <w:r>
        <w:t xml:space="preserve"> </w:t>
      </w:r>
      <w:r>
        <w:rPr>
          <w:iCs/>
          <w:i/>
        </w:rPr>
        <w:t xml:space="preserve">hetumati ca</w:t>
      </w:r>
      <w:r>
        <w:t xml:space="preserve">,</w:t>
      </w:r>
      <w:r>
        <w:t xml:space="preserve"> </w:t>
      </w:r>
      <w:r>
        <w:rPr>
          <w:iCs/>
          <w:i/>
        </w:rPr>
        <w:t xml:space="preserve">num</w:t>
      </w:r>
      <w:r>
        <w:t xml:space="preserve"> </w:t>
      </w:r>
      <w:r>
        <w:t xml:space="preserve">by</w:t>
      </w:r>
      <w:r>
        <w:t xml:space="preserve"> </w:t>
      </w:r>
      <w:r>
        <w:rPr>
          <w:iCs/>
          <w:i/>
        </w:rPr>
        <w:t xml:space="preserve">idito num dhātoḥ</w:t>
      </w:r>
      <w:r>
        <w:t xml:space="preserve">, final udātta of the</w:t>
      </w:r>
      <w:r>
        <w:t xml:space="preserve"> </w:t>
      </w:r>
      <w:r>
        <w:rPr>
          <w:iCs/>
          <w:i/>
        </w:rPr>
        <w:t xml:space="preserve">ṇic</w:t>
      </w:r>
      <w:r>
        <w:t xml:space="preserve">-final root as</w:t>
      </w:r>
      <w:r>
        <w:t xml:space="preserve"> </w:t>
      </w:r>
      <w:r>
        <w:rPr>
          <w:iCs/>
          <w:i/>
        </w:rPr>
        <w:t xml:space="preserve">cit</w:t>
      </w:r>
      <w:r>
        <w:t xml:space="preserve">,</w:t>
      </w:r>
      <w:r>
        <w:t xml:space="preserve"> </w:t>
      </w:r>
      <w:r>
        <w:rPr>
          <w:iCs/>
          <w:i/>
        </w:rPr>
        <w:t xml:space="preserve">śap</w:t>
      </w:r>
      <w:r>
        <w:t xml:space="preserve"> </w:t>
      </w:r>
      <w:r>
        <w:t xml:space="preserve">unaccented as</w:t>
      </w:r>
      <w:r>
        <w:t xml:space="preserve"> </w:t>
      </w:r>
      <w:r>
        <w:rPr>
          <w:iCs/>
          <w:i/>
        </w:rPr>
        <w:t xml:space="preserve">pit</w:t>
      </w:r>
      <w:r>
        <w:t xml:space="preserve">, and with the</w:t>
      </w:r>
      <w:r>
        <w:t xml:space="preserve"> </w:t>
      </w:r>
      <w:r>
        <w:rPr>
          <w:iCs/>
          <w:i/>
        </w:rPr>
        <w:t xml:space="preserve">lasārvadhātuka</w:t>
      </w:r>
      <w:r>
        <w:t xml:space="preserve"> </w:t>
      </w:r>
      <w:r>
        <w:t xml:space="preserve">accent of the</w:t>
      </w:r>
      <w:r>
        <w:t xml:space="preserve"> </w:t>
      </w:r>
      <w:r>
        <w:rPr>
          <w:iCs/>
          <w:i/>
        </w:rPr>
        <w:t xml:space="preserve">tiṅ</w:t>
      </w:r>
      <w:r>
        <w:t xml:space="preserve"> </w:t>
      </w:r>
      <w:r>
        <w:t xml:space="preserve">the root accent alone remains;</w:t>
      </w:r>
      <w:r>
        <w:t xml:space="preserve"> </w:t>
      </w:r>
      <w:r>
        <w:rPr>
          <w:iCs/>
          <w:i/>
        </w:rPr>
        <w:t xml:space="preserve">parvatān</w:t>
      </w:r>
      <w:r>
        <w:t xml:space="preserve">,</w:t>
      </w:r>
      <w:r>
        <w:t xml:space="preserve"> </w:t>
      </w:r>
      <w:r>
        <w:rPr>
          <w:iCs/>
          <w:i/>
        </w:rPr>
        <w:t xml:space="preserve">pūrva parva marva pūraṇe</w:t>
      </w:r>
      <w:r>
        <w:t xml:space="preserve">, the Uṇādi</w:t>
      </w:r>
      <w:r>
        <w:t xml:space="preserve"> </w:t>
      </w:r>
      <w:r>
        <w:rPr>
          <w:iCs/>
          <w:i/>
        </w:rPr>
        <w:t xml:space="preserve">atan</w:t>
      </w:r>
      <w:r>
        <w:t xml:space="preserve">, the suffix accent.)</w:t>
      </w:r>
    </w:p>
    <w:p>
      <w:pPr>
        <w:pStyle w:val="BodyText"/>
      </w:pPr>
      <w:r>
        <w:rPr>
          <w:bCs/>
          <w:b/>
        </w:rPr>
        <w:t xml:space="preserve">॥ Prati-padārthaḥ ॥</w:t>
      </w:r>
    </w:p>
    <w:p>
      <w:pPr>
        <w:pStyle w:val="BodyText"/>
      </w:pPr>
      <w:r>
        <w:rPr>
          <w:bCs/>
          <w:b/>
        </w:rPr>
        <w:t xml:space="preserve">(हे) अग्ने ((he) agne)</w:t>
      </w:r>
      <w:r>
        <w:t xml:space="preserve"> </w:t>
      </w:r>
      <w:r>
        <w:t xml:space="preserve">— O Agni |</w:t>
      </w:r>
      <w:r>
        <w:t xml:space="preserve"> </w:t>
      </w:r>
      <w:r>
        <w:rPr>
          <w:bCs/>
          <w:b/>
        </w:rPr>
        <w:t xml:space="preserve">ये (ye)</w:t>
      </w:r>
      <w:r>
        <w:t xml:space="preserve"> </w:t>
      </w:r>
      <w:r>
        <w:t xml:space="preserve">— which Marut deities |</w:t>
      </w:r>
      <w:r>
        <w:t xml:space="preserve"> </w:t>
      </w:r>
      <w:r>
        <w:rPr>
          <w:bCs/>
          <w:b/>
        </w:rPr>
        <w:t xml:space="preserve">पर्वतान् (parvatān)</w:t>
      </w:r>
      <w:r>
        <w:t xml:space="preserve"> </w:t>
      </w:r>
      <w:r>
        <w:t xml:space="preserve">— the clouds |</w:t>
      </w:r>
      <w:r>
        <w:t xml:space="preserve"> </w:t>
      </w:r>
      <w:r>
        <w:rPr>
          <w:bCs/>
          <w:b/>
        </w:rPr>
        <w:t xml:space="preserve">ईङ्खयन्ति (īṅkhayanti)</w:t>
      </w:r>
      <w:r>
        <w:t xml:space="preserve"> </w:t>
      </w:r>
      <w:r>
        <w:t xml:space="preserve">— set moving |</w:t>
      </w:r>
      <w:r>
        <w:t xml:space="preserve"> </w:t>
      </w:r>
      <w:r>
        <w:rPr>
          <w:bCs/>
          <w:b/>
        </w:rPr>
        <w:t xml:space="preserve">अर्णवम् (arṇavam)</w:t>
      </w:r>
      <w:r>
        <w:t xml:space="preserve"> </w:t>
      </w:r>
      <w:r>
        <w:t xml:space="preserve">— joined with water |</w:t>
      </w:r>
      <w:r>
        <w:t xml:space="preserve"> </w:t>
      </w:r>
      <w:r>
        <w:rPr>
          <w:bCs/>
          <w:b/>
        </w:rPr>
        <w:t xml:space="preserve">समुद्रम् (samudram)</w:t>
      </w:r>
      <w:r>
        <w:t xml:space="preserve"> </w:t>
      </w:r>
      <w:r>
        <w:t xml:space="preserve">— the ocean |</w:t>
      </w:r>
      <w:r>
        <w:t xml:space="preserve"> </w:t>
      </w:r>
      <w:r>
        <w:rPr>
          <w:bCs/>
          <w:b/>
        </w:rPr>
        <w:t xml:space="preserve">तिरः (tiraḥ)</w:t>
      </w:r>
      <w:r>
        <w:t xml:space="preserve"> </w:t>
      </w:r>
      <w:r>
        <w:t xml:space="preserve">— stir up into waves | (such)</w:t>
      </w:r>
      <w:r>
        <w:t xml:space="preserve"> </w:t>
      </w:r>
      <w:r>
        <w:rPr>
          <w:bCs/>
          <w:b/>
        </w:rPr>
        <w:t xml:space="preserve">मरुद्भिः (marudbhiḥ)</w:t>
      </w:r>
      <w:r>
        <w:t xml:space="preserve"> </w:t>
      </w:r>
      <w:r>
        <w:t xml:space="preserve">— with the Marut deities |</w:t>
      </w:r>
      <w:r>
        <w:t xml:space="preserve"> </w:t>
      </w:r>
      <w:r>
        <w:rPr>
          <w:bCs/>
          <w:b/>
        </w:rPr>
        <w:t xml:space="preserve">आ गहि (ā gahi)</w:t>
      </w:r>
      <w:r>
        <w:t xml:space="preserve"> </w:t>
      </w:r>
      <w:r>
        <w:t xml:space="preserve">— come here.</w:t>
      </w:r>
    </w:p>
    <w:p>
      <w:pPr>
        <w:pStyle w:val="BodyText"/>
      </w:pPr>
      <w:r>
        <w:rPr>
          <w:bCs/>
          <w:b/>
        </w:rPr>
        <w:t xml:space="preserve">॥ Bhāvārthaḥ ॥</w:t>
      </w:r>
    </w:p>
    <w:p>
      <w:pPr>
        <w:pStyle w:val="BodyText"/>
      </w:pPr>
      <w:r>
        <w:t xml:space="preserve">O Agni, the Marut deities have the power to shake the clouds; they stir up the great ocean, full of fathomless water. Come here together with such Marut deities.</w:t>
      </w:r>
    </w:p>
    <w:bookmarkEnd w:id="890"/>
    <w:bookmarkStart w:id="891" w:name="X7eb6a7882fb2c2b5c0189614fa466d07aaca3cb"/>
    <w:p>
      <w:pPr>
        <w:pStyle w:val="Heading3"/>
      </w:pPr>
      <w:r>
        <w:t xml:space="preserve">Page 802 — Rik 7: English, Special Topics and grammar</w:t>
      </w:r>
    </w:p>
    <w:p>
      <w:pPr>
        <w:pStyle w:val="FirstParagraph"/>
      </w:pPr>
      <w:r>
        <w:rPr>
          <w:bCs/>
          <w:b/>
        </w:rPr>
        <w:t xml:space="preserve">॥ English Translation ॥</w:t>
      </w:r>
      <w:r>
        <w:t xml:space="preserve"> </w:t>
      </w:r>
      <w:r>
        <w:rPr>
          <w:iCs/>
          <w:i/>
        </w:rPr>
        <w:t xml:space="preserve">(as printed in the source)</w:t>
      </w:r>
    </w:p>
    <w:p>
      <w:pPr>
        <w:pStyle w:val="BlockText"/>
      </w:pPr>
      <w:r>
        <w:t xml:space="preserve">O Agni, come hither with Maruths [sic] who scatter the clouds and agitate the sea (with waves).</w:t>
      </w:r>
    </w:p>
    <w:p>
      <w:pPr>
        <w:pStyle w:val="FirstParagraph"/>
      </w:pPr>
      <w:r>
        <w:rPr>
          <w:bCs/>
          <w:b/>
        </w:rPr>
        <w:t xml:space="preserve">॥ Viśeṣa-viṣayagaḷu (Special Topics) ॥</w:t>
      </w:r>
    </w:p>
    <w:p>
      <w:pPr>
        <w:pStyle w:val="BodyText"/>
      </w:pPr>
      <w:r>
        <w:rPr>
          <w:bCs/>
          <w:b/>
        </w:rPr>
        <w:t xml:space="preserve">Parvatān</w:t>
      </w:r>
      <w:r>
        <w:t xml:space="preserve">:</w:t>
      </w:r>
      <w:r>
        <w:t xml:space="preserve"> </w:t>
      </w:r>
      <w:r>
        <w:rPr>
          <w:iCs/>
          <w:i/>
        </w:rPr>
        <w:t xml:space="preserve">meghān</w:t>
      </w:r>
      <w:r>
        <w:t xml:space="preserve">. Since the word</w:t>
      </w:r>
      <w:r>
        <w:t xml:space="preserve"> </w:t>
      </w:r>
      <w:r>
        <w:rPr>
          <w:iCs/>
          <w:i/>
        </w:rPr>
        <w:t xml:space="preserve">parvata</w:t>
      </w:r>
      <w:r>
        <w:t xml:space="preserve"> </w:t>
      </w:r>
      <w:r>
        <w:t xml:space="preserve">is read among the thirty names for cloud beginning</w:t>
      </w:r>
      <w:r>
        <w:t xml:space="preserve"> </w:t>
      </w:r>
      <w:r>
        <w:rPr>
          <w:iCs/>
          <w:i/>
        </w:rPr>
        <w:t xml:space="preserve">adriḥ</w:t>
      </w:r>
      <w:r>
        <w:t xml:space="preserve"> </w:t>
      </w:r>
      <w:r>
        <w:t xml:space="preserve">(Ni.</w:t>
      </w:r>
      <w:r>
        <w:t xml:space="preserve"> </w:t>
      </w:r>
      <w:r>
        <w:t xml:space="preserve">“</w:t>
      </w:r>
      <w:r>
        <w:t xml:space="preserve">1-10</w:t>
      </w:r>
      <w:r>
        <w:t xml:space="preserve">”</w:t>
      </w:r>
      <w:r>
        <w:t xml:space="preserve"> </w:t>
      </w:r>
      <w:r>
        <w:t xml:space="preserve">[as read, ?]), here</w:t>
      </w:r>
      <w:r>
        <w:t xml:space="preserve"> </w:t>
      </w:r>
      <w:r>
        <w:rPr>
          <w:iCs/>
          <w:i/>
        </w:rPr>
        <w:t xml:space="preserve">parvata</w:t>
      </w:r>
      <w:r>
        <w:t xml:space="preserve"> </w:t>
      </w:r>
      <w:r>
        <w:t xml:space="preserve">means cloud. Skandasvāmin gives two senses for</w:t>
      </w:r>
      <w:r>
        <w:t xml:space="preserve"> </w:t>
      </w:r>
      <w:r>
        <w:rPr>
          <w:iCs/>
          <w:i/>
        </w:rPr>
        <w:t xml:space="preserve">parvata</w:t>
      </w:r>
      <w:r>
        <w:t xml:space="preserve">, mountain and cloud. Since it is impossible for the wind, however hard it blows, to shake a mountain, it is right to give the sense cloud here.</w:t>
      </w:r>
    </w:p>
    <w:p>
      <w:pPr>
        <w:pStyle w:val="BodyText"/>
      </w:pPr>
      <w:r>
        <w:rPr>
          <w:bCs/>
          <w:b/>
        </w:rPr>
        <w:t xml:space="preserve">Tiraḥ</w:t>
      </w:r>
      <w:r>
        <w:t xml:space="preserve">:</w:t>
      </w:r>
      <w:r>
        <w:t xml:space="preserve"> </w:t>
      </w:r>
      <w:r>
        <w:rPr>
          <w:iCs/>
          <w:i/>
        </w:rPr>
        <w:t xml:space="preserve">tiraskurvanti</w:t>
      </w:r>
      <w:r>
        <w:t xml:space="preserve">: here the word</w:t>
      </w:r>
      <w:r>
        <w:t xml:space="preserve"> </w:t>
      </w:r>
      <w:r>
        <w:rPr>
          <w:iCs/>
          <w:i/>
        </w:rPr>
        <w:t xml:space="preserve">kurvanti</w:t>
      </w:r>
      <w:r>
        <w:t xml:space="preserve"> </w:t>
      </w:r>
      <w:r>
        <w:t xml:space="preserve">is to be supplied.</w:t>
      </w:r>
      <w:r>
        <w:t xml:space="preserve"> </w:t>
      </w:r>
      <w:r>
        <w:t xml:space="preserve">“</w:t>
      </w:r>
      <w:r>
        <w:t xml:space="preserve">Overturning</w:t>
      </w:r>
      <w:r>
        <w:t xml:space="preserve">”</w:t>
      </w:r>
      <w:r>
        <w:t xml:space="preserve"> </w:t>
      </w:r>
      <w:r>
        <w:t xml:space="preserve">means: blowing hard so that waves rise in the ocean, and stirring up the ocean.</w:t>
      </w:r>
    </w:p>
    <w:p>
      <w:pPr>
        <w:pStyle w:val="BodyText"/>
      </w:pPr>
      <w:r>
        <w:rPr>
          <w:bCs/>
          <w:b/>
        </w:rPr>
        <w:t xml:space="preserve">Arṇavam</w:t>
      </w:r>
      <w:r>
        <w:t xml:space="preserve">:</w:t>
      </w:r>
      <w:r>
        <w:t xml:space="preserve"> </w:t>
      </w:r>
      <w:r>
        <w:rPr>
          <w:iCs/>
          <w:i/>
        </w:rPr>
        <w:t xml:space="preserve">arṇaḥ</w:t>
      </w:r>
      <w:r>
        <w:t xml:space="preserve"> </w:t>
      </w:r>
      <w:r>
        <w:t xml:space="preserve">means water (Ni.</w:t>
      </w:r>
      <w:r>
        <w:t xml:space="preserve"> </w:t>
      </w:r>
      <w:r>
        <w:t xml:space="preserve">“</w:t>
      </w:r>
      <w:r>
        <w:t xml:space="preserve">1-12</w:t>
      </w:r>
      <w:r>
        <w:t xml:space="preserve">”</w:t>
      </w:r>
      <w:r>
        <w:t xml:space="preserve"> </w:t>
      </w:r>
      <w:r>
        <w:t xml:space="preserve">[as read, ?]).</w:t>
      </w:r>
      <w:r>
        <w:t xml:space="preserve"> </w:t>
      </w:r>
      <w:r>
        <w:rPr>
          <w:iCs/>
          <w:i/>
        </w:rPr>
        <w:t xml:space="preserve">Arṇavam</w:t>
      </w:r>
      <w:r>
        <w:t xml:space="preserve"> </w:t>
      </w:r>
      <w:r>
        <w:t xml:space="preserve">means that which has water, that is, the ocean.</w:t>
      </w:r>
    </w:p>
    <w:p>
      <w:pPr>
        <w:pStyle w:val="BodyText"/>
      </w:pPr>
      <w:r>
        <w:rPr>
          <w:bCs/>
          <w:b/>
        </w:rPr>
        <w:t xml:space="preserve">॥ Vyākaraṇa-prakriyā ॥</w:t>
      </w:r>
      <w:r>
        <w:t xml:space="preserve"> </w:t>
      </w:r>
      <w:r>
        <w:rPr>
          <w:iCs/>
          <w:i/>
        </w:rPr>
        <w:t xml:space="preserve">(grammar pages 802–803, noted briefly)</w:t>
      </w:r>
    </w:p>
    <w:p>
      <w:pPr>
        <w:pStyle w:val="BodyText"/>
      </w:pPr>
      <w:r>
        <w:rPr>
          <w:bCs/>
          <w:b/>
        </w:rPr>
        <w:t xml:space="preserve">ईङ्खयन्ति (</w:t>
      </w:r>
      <w:r>
        <w:rPr>
          <w:iCs/>
          <w:i/>
          <w:bCs/>
          <w:b/>
        </w:rPr>
        <w:t xml:space="preserve">īṅkhayanti</w:t>
      </w:r>
      <w:r>
        <w:rPr>
          <w:bCs/>
          <w:b/>
        </w:rPr>
        <w:t xml:space="preserve">)</w:t>
      </w:r>
      <w:r>
        <w:t xml:space="preserve">: the root</w:t>
      </w:r>
      <w:r>
        <w:t xml:space="preserve"> </w:t>
      </w:r>
      <w:r>
        <w:rPr>
          <w:iCs/>
          <w:i/>
        </w:rPr>
        <w:t xml:space="preserve">īkhi</w:t>
      </w:r>
      <w:r>
        <w:t xml:space="preserve"> </w:t>
      </w:r>
      <w:r>
        <w:t xml:space="preserve">is in the</w:t>
      </w:r>
      <w:r>
        <w:t xml:space="preserve"> </w:t>
      </w:r>
      <w:r>
        <w:rPr>
          <w:iCs/>
          <w:i/>
        </w:rPr>
        <w:t xml:space="preserve">daṇḍaka</w:t>
      </w:r>
      <w:r>
        <w:t xml:space="preserve"> </w:t>
      </w:r>
      <w:r>
        <w:t xml:space="preserve">“</w:t>
      </w:r>
      <w:r>
        <w:rPr>
          <w:iCs/>
          <w:i/>
        </w:rPr>
        <w:t xml:space="preserve">ukha ukhi …… gatyarthāḥ</w:t>
      </w:r>
      <w:r>
        <w:t xml:space="preserve">”</w:t>
      </w:r>
      <w:r>
        <w:t xml:space="preserve">. It is</w:t>
      </w:r>
      <w:r>
        <w:t xml:space="preserve"> </w:t>
      </w:r>
      <w:r>
        <w:rPr>
          <w:iCs/>
          <w:i/>
        </w:rPr>
        <w:t xml:space="preserve">idit</w:t>
      </w:r>
      <w:r>
        <w:t xml:space="preserve">; so by</w:t>
      </w:r>
      <w:r>
        <w:t xml:space="preserve"> </w:t>
      </w:r>
      <w:r>
        <w:t xml:space="preserve">“</w:t>
      </w:r>
      <w:r>
        <w:t xml:space="preserve">idito num dhātoḥ</w:t>
      </w:r>
      <w:r>
        <w:t xml:space="preserve">”</w:t>
      </w:r>
      <w:r>
        <w:t xml:space="preserve"> </w:t>
      </w:r>
      <w:r>
        <w:t xml:space="preserve">(Pā. sū. 7-1-58) the augment</w:t>
      </w:r>
      <w:r>
        <w:t xml:space="preserve"> </w:t>
      </w:r>
      <w:r>
        <w:rPr>
          <w:iCs/>
          <w:i/>
        </w:rPr>
        <w:t xml:space="preserve">num</w:t>
      </w:r>
      <w:r>
        <w:t xml:space="preserve">:</w:t>
      </w:r>
      <w:r>
        <w:t xml:space="preserve"> </w:t>
      </w:r>
      <w:r>
        <w:rPr>
          <w:iCs/>
          <w:i/>
        </w:rPr>
        <w:t xml:space="preserve">īnkh</w:t>
      </w:r>
      <w:r>
        <w:t xml:space="preserve">. By</w:t>
      </w:r>
      <w:r>
        <w:t xml:space="preserve"> </w:t>
      </w:r>
      <w:r>
        <w:t xml:space="preserve">“</w:t>
      </w:r>
      <w:r>
        <w:t xml:space="preserve">naś cāpadāntasya jhali</w:t>
      </w:r>
      <w:r>
        <w:t xml:space="preserve">”</w:t>
      </w:r>
      <w:r>
        <w:t xml:space="preserve"> </w:t>
      </w:r>
      <w:r>
        <w:t xml:space="preserve">(Pā. sū. 8-3-24)</w:t>
      </w:r>
      <w:r>
        <w:t xml:space="preserve"> </w:t>
      </w:r>
      <w:r>
        <w:rPr>
          <w:iCs/>
          <w:i/>
        </w:rPr>
        <w:t xml:space="preserve">anusvāra</w:t>
      </w:r>
      <w:r>
        <w:t xml:space="preserve"> </w:t>
      </w:r>
      <w:r>
        <w:t xml:space="preserve">for the</w:t>
      </w:r>
      <w:r>
        <w:t xml:space="preserve"> </w:t>
      </w:r>
      <w:r>
        <w:rPr>
          <w:iCs/>
          <w:i/>
        </w:rPr>
        <w:t xml:space="preserve">n</w:t>
      </w:r>
      <w:r>
        <w:t xml:space="preserve">; by</w:t>
      </w:r>
      <w:r>
        <w:t xml:space="preserve"> </w:t>
      </w:r>
      <w:r>
        <w:t xml:space="preserve">“</w:t>
      </w:r>
      <w:r>
        <w:t xml:space="preserve">anusvārasya yayi parasavarṇaḥ</w:t>
      </w:r>
      <w:r>
        <w:t xml:space="preserve">”</w:t>
      </w:r>
      <w:r>
        <w:t xml:space="preserve"> </w:t>
      </w:r>
      <w:r>
        <w:t xml:space="preserve">(Pā. sū. 8-4-58) the homorganic:</w:t>
      </w:r>
      <w:r>
        <w:t xml:space="preserve"> </w:t>
      </w:r>
      <w:r>
        <w:rPr>
          <w:iCs/>
          <w:i/>
        </w:rPr>
        <w:t xml:space="preserve">īṅkh</w:t>
      </w:r>
      <w:r>
        <w:t xml:space="preserve">.</w:t>
      </w:r>
      <w:r>
        <w:t xml:space="preserve"> </w:t>
      </w:r>
      <w:r>
        <w:rPr>
          <w:iCs/>
          <w:i/>
        </w:rPr>
        <w:t xml:space="preserve">Parvatāḥ īṅkhanti</w:t>
      </w:r>
      <w:r>
        <w:t xml:space="preserve">: the clouds move.</w:t>
      </w:r>
      <w:r>
        <w:t xml:space="preserve"> </w:t>
      </w:r>
      <w:r>
        <w:rPr>
          <w:iCs/>
          <w:i/>
        </w:rPr>
        <w:t xml:space="preserve">Īṅkhataḥ parvatān prerayanti marutaḥ</w:t>
      </w:r>
      <w:r>
        <w:t xml:space="preserve">: the Maruts drive the moving clouds. So the Maruts are causing agents; they also have the name</w:t>
      </w:r>
      <w:r>
        <w:t xml:space="preserve"> </w:t>
      </w:r>
      <w:r>
        <w:rPr>
          <w:iCs/>
          <w:i/>
        </w:rPr>
        <w:t xml:space="preserve">hetu</w:t>
      </w:r>
      <w:r>
        <w:t xml:space="preserve">.</w:t>
      </w:r>
      <w:r>
        <w:t xml:space="preserve"> </w:t>
      </w:r>
      <w:r>
        <w:t xml:space="preserve">“</w:t>
      </w:r>
      <w:r>
        <w:t xml:space="preserve">Tatprayojako hetuś ca</w:t>
      </w:r>
      <w:r>
        <w:t xml:space="preserve">”</w:t>
      </w:r>
      <w:r>
        <w:t xml:space="preserve"> </w:t>
      </w:r>
      <w:r>
        <w:t xml:space="preserve">(Pā. sū. 1-4-55):</w:t>
      </w:r>
      <w:r>
        <w:t xml:space="preserve"> </w:t>
      </w:r>
      <w:r>
        <w:rPr>
          <w:iCs/>
          <w:i/>
        </w:rPr>
        <w:t xml:space="preserve">tasya prayojakaḥ hetusaṃjñaḥ kartṛsaṃjñaś ca syāt</w:t>
      </w:r>
      <w:r>
        <w:t xml:space="preserve">: that which impels the agent gets the names</w:t>
      </w:r>
      <w:r>
        <w:t xml:space="preserve"> </w:t>
      </w:r>
      <w:r>
        <w:rPr>
          <w:iCs/>
          <w:i/>
        </w:rPr>
        <w:t xml:space="preserve">hetu</w:t>
      </w:r>
      <w:r>
        <w:t xml:space="preserve"> </w:t>
      </w:r>
      <w:r>
        <w:t xml:space="preserve">and agent. So the Maruts, impellers of the clouds, which are the agents of the root</w:t>
      </w:r>
      <w:r>
        <w:t xml:space="preserve"> </w:t>
      </w:r>
      <w:r>
        <w:rPr>
          <w:iCs/>
          <w:i/>
        </w:rPr>
        <w:t xml:space="preserve">īṅkh</w:t>
      </w:r>
      <w:r>
        <w:t xml:space="preserve">, have both the names agent and</w:t>
      </w:r>
      <w:r>
        <w:t xml:space="preserve"> </w:t>
      </w:r>
      <w:r>
        <w:rPr>
          <w:iCs/>
          <w:i/>
        </w:rPr>
        <w:t xml:space="preserve">hetu</w:t>
      </w:r>
      <w:r>
        <w:t xml:space="preserve">. The activity residing in the causer is called</w:t>
      </w:r>
      <w:r>
        <w:t xml:space="preserve"> </w:t>
      </w:r>
      <w:r>
        <w:rPr>
          <w:iCs/>
          <w:i/>
        </w:rPr>
        <w:t xml:space="preserve">hetumat</w:t>
      </w:r>
      <w:r>
        <w:t xml:space="preserve">:</w:t>
      </w:r>
      <w:r>
        <w:t xml:space="preserve"> </w:t>
      </w:r>
      <w:r>
        <w:rPr>
          <w:iCs/>
          <w:i/>
        </w:rPr>
        <w:t xml:space="preserve">hetuḥ asmin asti iti hetumān</w:t>
      </w:r>
      <w:r>
        <w:t xml:space="preserve">, the activity that is the substrate of the located-ness defined by the locus residing in the</w:t>
      </w:r>
      <w:r>
        <w:t xml:space="preserve"> </w:t>
      </w:r>
      <w:r>
        <w:rPr>
          <w:iCs/>
          <w:i/>
        </w:rPr>
        <w:t xml:space="preserve">hetu</w:t>
      </w:r>
      <w:r>
        <w:t xml:space="preserve">: that is the sense of</w:t>
      </w:r>
      <w:r>
        <w:t xml:space="preserve"> </w:t>
      </w:r>
      <w:r>
        <w:rPr>
          <w:iCs/>
          <w:i/>
        </w:rPr>
        <w:t xml:space="preserve">hetumat</w:t>
      </w:r>
      <w:r>
        <w:t xml:space="preserve">. When this activity is meant, by</w:t>
      </w:r>
      <w:r>
        <w:t xml:space="preserve"> </w:t>
      </w:r>
      <w:r>
        <w:t xml:space="preserve">“</w:t>
      </w:r>
      <w:r>
        <w:t xml:space="preserve">hetumati ca</w:t>
      </w:r>
      <w:r>
        <w:t xml:space="preserve">”</w:t>
      </w:r>
      <w:r>
        <w:t xml:space="preserve"> </w:t>
      </w:r>
      <w:r>
        <w:t xml:space="preserve">(Pā. sū. 3-1-26), in the sense of impelling and the like, the activity of the causer, the suffix</w:t>
      </w:r>
      <w:r>
        <w:t xml:space="preserve"> </w:t>
      </w:r>
      <w:r>
        <w:rPr>
          <w:iCs/>
          <w:i/>
        </w:rPr>
        <w:t xml:space="preserve">ṇic</w:t>
      </w:r>
      <w:r>
        <w:t xml:space="preserve"> </w:t>
      </w:r>
      <w:r>
        <w:t xml:space="preserve">comes after the root; so the suffix</w:t>
      </w:r>
      <w:r>
        <w:t xml:space="preserve"> </w:t>
      </w:r>
      <w:r>
        <w:rPr>
          <w:iCs/>
          <w:i/>
        </w:rPr>
        <w:t xml:space="preserve">ṇic</w:t>
      </w:r>
      <w:r>
        <w:t xml:space="preserve"> </w:t>
      </w:r>
      <w:r>
        <w:t xml:space="preserve">after the root:</w:t>
      </w:r>
      <w:r>
        <w:t xml:space="preserve"> </w:t>
      </w:r>
      <w:r>
        <w:rPr>
          <w:iCs/>
          <w:i/>
        </w:rPr>
        <w:t xml:space="preserve">īṅkh</w:t>
      </w:r>
      <w:r>
        <w:t xml:space="preserve"> </w:t>
      </w:r>
      <w:r>
        <w:t xml:space="preserve">+</w:t>
      </w:r>
      <w:r>
        <w:t xml:space="preserve"> </w:t>
      </w:r>
      <w:r>
        <w:rPr>
          <w:iCs/>
          <w:i/>
        </w:rPr>
        <w:t xml:space="preserve">i</w:t>
      </w:r>
      <w:r>
        <w:t xml:space="preserve">.</w:t>
      </w:r>
    </w:p>
    <w:bookmarkEnd w:id="891"/>
    <w:bookmarkStart w:id="892" w:name="page-803-upper-rik-7-grammar-end"/>
    <w:p>
      <w:pPr>
        <w:pStyle w:val="Heading3"/>
      </w:pPr>
      <w:r>
        <w:t xml:space="preserve">Page 803 (upper) — Rik 7: grammar (end)</w:t>
      </w:r>
    </w:p>
    <w:p>
      <w:pPr>
        <w:pStyle w:val="FirstParagraph"/>
      </w:pPr>
      <w:r>
        <w:t xml:space="preserve">The suffix</w:t>
      </w:r>
      <w:r>
        <w:t xml:space="preserve"> </w:t>
      </w:r>
      <w:r>
        <w:rPr>
          <w:iCs/>
          <w:i/>
        </w:rPr>
        <w:t xml:space="preserve">ṇic</w:t>
      </w:r>
      <w:r>
        <w:t xml:space="preserve"> </w:t>
      </w:r>
      <w:r>
        <w:t xml:space="preserve">is</w:t>
      </w:r>
      <w:r>
        <w:t xml:space="preserve"> </w:t>
      </w:r>
      <w:r>
        <w:rPr>
          <w:iCs/>
          <w:i/>
        </w:rPr>
        <w:t xml:space="preserve">cit</w:t>
      </w:r>
      <w:r>
        <w:t xml:space="preserve">; so</w:t>
      </w:r>
      <w:r>
        <w:t xml:space="preserve"> </w:t>
      </w:r>
      <w:r>
        <w:rPr>
          <w:iCs/>
          <w:i/>
        </w:rPr>
        <w:t xml:space="preserve">īṅkhi</w:t>
      </w:r>
      <w:r>
        <w:t xml:space="preserve"> </w:t>
      </w:r>
      <w:r>
        <w:t xml:space="preserve">is final udātta by</w:t>
      </w:r>
      <w:r>
        <w:t xml:space="preserve"> </w:t>
      </w:r>
      <w:r>
        <w:rPr>
          <w:iCs/>
          <w:i/>
        </w:rPr>
        <w:t xml:space="preserve">citaḥ</w:t>
      </w:r>
      <w:r>
        <w:t xml:space="preserve">. After it</w:t>
      </w:r>
      <w:r>
        <w:t xml:space="preserve"> </w:t>
      </w:r>
      <w:r>
        <w:rPr>
          <w:iCs/>
          <w:i/>
        </w:rPr>
        <w:t xml:space="preserve">laṭ</w:t>
      </w:r>
      <w:r>
        <w:t xml:space="preserve">, the suffix</w:t>
      </w:r>
      <w:r>
        <w:t xml:space="preserve"> </w:t>
      </w:r>
      <w:r>
        <w:rPr>
          <w:iCs/>
          <w:i/>
        </w:rPr>
        <w:t xml:space="preserve">jhi</w:t>
      </w:r>
      <w:r>
        <w:t xml:space="preserve">; by</w:t>
      </w:r>
      <w:r>
        <w:t xml:space="preserve"> </w:t>
      </w:r>
      <w:r>
        <w:t xml:space="preserve">“</w:t>
      </w:r>
      <w:r>
        <w:t xml:space="preserve">jho ’ntaḥ</w:t>
      </w:r>
      <w:r>
        <w:t xml:space="preserve">”</w:t>
      </w:r>
      <w:r>
        <w:t xml:space="preserve"> </w:t>
      </w:r>
      <w:r>
        <w:rPr>
          <w:iCs/>
          <w:i/>
        </w:rPr>
        <w:t xml:space="preserve">ant</w:t>
      </w:r>
      <w:r>
        <w:t xml:space="preserve"> </w:t>
      </w:r>
      <w:r>
        <w:t xml:space="preserve">for the</w:t>
      </w:r>
      <w:r>
        <w:t xml:space="preserve"> </w:t>
      </w:r>
      <w:r>
        <w:rPr>
          <w:iCs/>
          <w:i/>
        </w:rPr>
        <w:t xml:space="preserve">jh</w:t>
      </w:r>
      <w:r>
        <w:t xml:space="preserve">; by</w:t>
      </w:r>
      <w:r>
        <w:t xml:space="preserve"> </w:t>
      </w:r>
      <w:r>
        <w:rPr>
          <w:iCs/>
          <w:i/>
        </w:rPr>
        <w:t xml:space="preserve">kartari śap</w:t>
      </w:r>
      <w:r>
        <w:t xml:space="preserve">:</w:t>
      </w:r>
      <w:r>
        <w:t xml:space="preserve"> </w:t>
      </w:r>
      <w:r>
        <w:rPr>
          <w:iCs/>
          <w:i/>
        </w:rPr>
        <w:t xml:space="preserve">īṅkhi</w:t>
      </w:r>
      <w:r>
        <w:t xml:space="preserve"> </w:t>
      </w:r>
      <w:r>
        <w:t xml:space="preserve">+</w:t>
      </w:r>
      <w:r>
        <w:t xml:space="preserve"> </w:t>
      </w:r>
      <w:r>
        <w:rPr>
          <w:iCs/>
          <w:i/>
        </w:rPr>
        <w:t xml:space="preserve">a</w:t>
      </w:r>
      <w:r>
        <w:t xml:space="preserve"> </w:t>
      </w:r>
      <w:r>
        <w:t xml:space="preserve">+</w:t>
      </w:r>
      <w:r>
        <w:t xml:space="preserve"> </w:t>
      </w:r>
      <w:r>
        <w:rPr>
          <w:iCs/>
          <w:i/>
        </w:rPr>
        <w:t xml:space="preserve">anti</w:t>
      </w:r>
      <w:r>
        <w:t xml:space="preserve">;</w:t>
      </w:r>
      <w:r>
        <w:t xml:space="preserve"> </w:t>
      </w:r>
      <w:r>
        <w:rPr>
          <w:iCs/>
          <w:i/>
        </w:rPr>
        <w:t xml:space="preserve">guṇa</w:t>
      </w:r>
      <w:r>
        <w:t xml:space="preserve">, the substitute</w:t>
      </w:r>
      <w:r>
        <w:t xml:space="preserve"> </w:t>
      </w:r>
      <w:r>
        <w:rPr>
          <w:iCs/>
          <w:i/>
        </w:rPr>
        <w:t xml:space="preserve">ay</w:t>
      </w:r>
      <w:r>
        <w:t xml:space="preserve">, the</w:t>
      </w:r>
      <w:r>
        <w:t xml:space="preserve"> </w:t>
      </w:r>
      <w:r>
        <w:rPr>
          <w:iCs/>
          <w:i/>
        </w:rPr>
        <w:t xml:space="preserve">pararūpa</w:t>
      </w:r>
      <w:r>
        <w:t xml:space="preserve">:</w:t>
      </w:r>
      <w:r>
        <w:t xml:space="preserve"> </w:t>
      </w:r>
      <w:r>
        <w:rPr>
          <w:iCs/>
          <w:i/>
        </w:rPr>
        <w:t xml:space="preserve">īṅkhayanti</w:t>
      </w:r>
      <w:r>
        <w:t xml:space="preserve">.</w:t>
      </w:r>
      <w:r>
        <w:t xml:space="preserve"> </w:t>
      </w:r>
      <w:r>
        <w:rPr>
          <w:iCs/>
          <w:i/>
        </w:rPr>
        <w:t xml:space="preserve">Śap</w:t>
      </w:r>
      <w:r>
        <w:t xml:space="preserve"> </w:t>
      </w:r>
      <w:r>
        <w:t xml:space="preserve">being</w:t>
      </w:r>
      <w:r>
        <w:t xml:space="preserve"> </w:t>
      </w:r>
      <w:r>
        <w:rPr>
          <w:iCs/>
          <w:i/>
        </w:rPr>
        <w:t xml:space="preserve">pit</w:t>
      </w:r>
      <w:r>
        <w:t xml:space="preserve">, it is unaccented;</w:t>
      </w:r>
      <w:r>
        <w:t xml:space="preserve"> </w:t>
      </w:r>
      <w:r>
        <w:rPr>
          <w:iCs/>
          <w:i/>
        </w:rPr>
        <w:t xml:space="preserve">jhi</w:t>
      </w:r>
      <w:r>
        <w:t xml:space="preserve">, standing after the</w:t>
      </w:r>
      <w:r>
        <w:t xml:space="preserve"> </w:t>
      </w:r>
      <w:r>
        <w:rPr>
          <w:iCs/>
          <w:i/>
        </w:rPr>
        <w:t xml:space="preserve">śap</w:t>
      </w:r>
      <w:r>
        <w:t xml:space="preserve">, an</w:t>
      </w:r>
      <w:r>
        <w:t xml:space="preserve"> </w:t>
      </w:r>
      <w:r>
        <w:rPr>
          <w:iCs/>
          <w:i/>
        </w:rPr>
        <w:t xml:space="preserve">adupadeśa</w:t>
      </w:r>
      <w:r>
        <w:t xml:space="preserve">, is unaccented by</w:t>
      </w:r>
      <w:r>
        <w:t xml:space="preserve"> </w:t>
      </w:r>
      <w:r>
        <w:t xml:space="preserve">“</w:t>
      </w:r>
      <w:r>
        <w:t xml:space="preserve">tāsyanudātteṅ…</w:t>
      </w:r>
      <w:r>
        <w:t xml:space="preserve">”</w:t>
      </w:r>
      <w:r>
        <w:t xml:space="preserve">. The root accent alone remains.</w:t>
      </w:r>
    </w:p>
    <w:p>
      <w:pPr>
        <w:pStyle w:val="BodyText"/>
      </w:pPr>
      <w:r>
        <w:rPr>
          <w:bCs/>
          <w:b/>
        </w:rPr>
        <w:t xml:space="preserve">पर्वतान् (</w:t>
      </w:r>
      <w:r>
        <w:rPr>
          <w:iCs/>
          <w:i/>
          <w:bCs/>
          <w:b/>
        </w:rPr>
        <w:t xml:space="preserve">parvatān</w:t>
      </w:r>
      <w:r>
        <w:rPr>
          <w:bCs/>
          <w:b/>
        </w:rPr>
        <w:t xml:space="preserve">)</w:t>
      </w:r>
      <w:r>
        <w:t xml:space="preserve">: after (</w:t>
      </w:r>
      <w:r>
        <w:rPr>
          <w:iCs/>
          <w:i/>
        </w:rPr>
        <w:t xml:space="preserve">pūrva</w:t>
      </w:r>
      <w:r>
        <w:t xml:space="preserve">)</w:t>
      </w:r>
      <w:r>
        <w:t xml:space="preserve"> </w:t>
      </w:r>
      <w:r>
        <w:rPr>
          <w:iCs/>
          <w:i/>
        </w:rPr>
        <w:t xml:space="preserve">parva marva pūraṇe</w:t>
      </w:r>
      <w:r>
        <w:t xml:space="preserve"> </w:t>
      </w:r>
      <w:r>
        <w:t xml:space="preserve">the Uṇādi suffix</w:t>
      </w:r>
      <w:r>
        <w:t xml:space="preserve"> </w:t>
      </w:r>
      <w:r>
        <w:rPr>
          <w:iCs/>
          <w:i/>
        </w:rPr>
        <w:t xml:space="preserve">atan</w:t>
      </w:r>
      <w:r>
        <w:t xml:space="preserve"> </w:t>
      </w:r>
      <w:r>
        <w:t xml:space="preserve">comes. The suffix being</w:t>
      </w:r>
      <w:r>
        <w:t xml:space="preserve"> </w:t>
      </w:r>
      <w:r>
        <w:rPr>
          <w:iCs/>
          <w:i/>
        </w:rPr>
        <w:t xml:space="preserve">nit</w:t>
      </w:r>
      <w:r>
        <w:t xml:space="preserve">, the word</w:t>
      </w:r>
      <w:r>
        <w:t xml:space="preserve"> </w:t>
      </w:r>
      <w:r>
        <w:rPr>
          <w:iCs/>
          <w:i/>
        </w:rPr>
        <w:t xml:space="preserve">parvata</w:t>
      </w:r>
      <w:r>
        <w:t xml:space="preserve"> </w:t>
      </w:r>
      <w:r>
        <w:t xml:space="preserve">is initial udātta by</w:t>
      </w:r>
      <w:r>
        <w:t xml:space="preserve"> </w:t>
      </w:r>
      <w:r>
        <w:rPr>
          <w:iCs/>
          <w:i/>
        </w:rPr>
        <w:t xml:space="preserve">ñnityādir nityam</w:t>
      </w:r>
      <w:r>
        <w:t xml:space="preserve">.</w:t>
      </w:r>
    </w:p>
    <w:p>
      <w:pPr>
        <w:pStyle w:val="BodyText"/>
      </w:pPr>
      <w:r>
        <w:rPr>
          <w:bCs/>
          <w:b/>
        </w:rPr>
        <w:t xml:space="preserve">॥७॥</w:t>
      </w:r>
    </w:p>
    <w:p>
      <w:r>
        <w:pict>
          <v:rect style="width:0;height:1.5pt" o:hralign="center" o:hrstd="t" o:hr="t"/>
        </w:pict>
      </w:r>
    </w:p>
    <w:bookmarkEnd w:id="892"/>
    <w:bookmarkStart w:id="893" w:name="page-803-sūkta-19-rik-8"/>
    <w:p>
      <w:pPr>
        <w:pStyle w:val="Heading3"/>
      </w:pPr>
      <w:r>
        <w:t xml:space="preserve">Page 803 — Sūkta 19, Rik 8</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आ ये त॒न्वन्ति॑ र॒श्मिभि॑स्ति॒रः स॑मु॒द्रमोज॑सा । [accent ?]</w:t>
      </w:r>
      <w:r>
        <w:t xml:space="preserve"> </w:t>
      </w:r>
      <w:r>
        <w:t xml:space="preserve">म॒रुद्भि॑रग्न॒ आ ग॑हि ॥८॥ [accent ?]</w:t>
      </w:r>
    </w:p>
    <w:p>
      <w:pPr>
        <w:pStyle w:val="BlockText"/>
      </w:pPr>
      <w:r>
        <w:rPr>
          <w:iCs/>
          <w:i/>
        </w:rPr>
        <w:t xml:space="preserve">ā ye tanvánti raśmíbhis tiráḥ samudrám ójasā |</w:t>
      </w:r>
      <w:r>
        <w:t xml:space="preserve"> </w:t>
      </w:r>
      <w:r>
        <w:t xml:space="preserve">[accent ?]</w:t>
      </w:r>
      <w:r>
        <w:t xml:space="preserve"> </w:t>
      </w:r>
      <w:r>
        <w:rPr>
          <w:iCs/>
          <w:i/>
        </w:rPr>
        <w:t xml:space="preserve">marúdbhir agna ā́ gahi ||8||</w:t>
      </w:r>
      <w:r>
        <w:t xml:space="preserve"> </w:t>
      </w:r>
      <w:r>
        <w:t xml:space="preserve">[accent ?]</w:t>
      </w:r>
    </w:p>
    <w:p>
      <w:pPr>
        <w:pStyle w:val="FirstParagraph"/>
      </w:pPr>
      <w:r>
        <w:rPr>
          <w:iCs/>
          <w:i/>
        </w:rPr>
        <w:t xml:space="preserve">(Read as printed: bars under त (तन्व), र (रश्मि), ति (तिरः), मु, म (मरु) and ग्न; strokes over न्ति, भि, स (समु), ज, द्भि and ग.)</w:t>
      </w:r>
    </w:p>
    <w:p>
      <w:pPr>
        <w:pStyle w:val="BodyText"/>
      </w:pPr>
      <w:r>
        <w:rPr>
          <w:bCs/>
          <w:b/>
        </w:rPr>
        <w:t xml:space="preserve">॥ Pada-pāṭhaḥ ॥</w:t>
      </w:r>
    </w:p>
    <w:p>
      <w:pPr>
        <w:pStyle w:val="BlockText"/>
      </w:pPr>
      <w:r>
        <w:t xml:space="preserve">आ । ये । तन्वन्ति । रश्मिऽभिः । तिरः । समुद्रम् । ओजसा ॥</w:t>
      </w:r>
      <w:r>
        <w:t xml:space="preserve"> </w:t>
      </w:r>
      <w:r>
        <w:t xml:space="preserve">मरुत्ऽभिः । अग्ने । आ । गहि ॥८॥</w:t>
      </w:r>
    </w:p>
    <w:p>
      <w:pPr>
        <w:pStyle w:val="BlockText"/>
      </w:pPr>
      <w:r>
        <w:rPr>
          <w:iCs/>
          <w:i/>
        </w:rPr>
        <w:t xml:space="preserve">ā | ye | tanvanti | raśmi ’bhiḥ | tiraḥ | samudram | ojasā ||</w:t>
      </w:r>
      <w:r>
        <w:t xml:space="preserve"> </w:t>
      </w:r>
      <w:r>
        <w:rPr>
          <w:iCs/>
          <w:i/>
        </w:rPr>
        <w:t xml:space="preserve">marut ’bhiḥ | agne | ā | gahi ||8||</w:t>
      </w:r>
    </w:p>
    <w:p>
      <w:pPr>
        <w:pStyle w:val="FirstParagraph"/>
      </w:pPr>
      <w:r>
        <w:rPr>
          <w:bCs/>
          <w:b/>
        </w:rPr>
        <w:t xml:space="preserve">॥ Sāyaṇa-bhāṣyam ॥</w:t>
      </w:r>
    </w:p>
    <w:p>
      <w:pPr>
        <w:pStyle w:val="BlockText"/>
      </w:pPr>
      <w:r>
        <w:t xml:space="preserve">ये मरुतो रश्मिभिः सूर्यकिरणैः सहा तन्वन्ति आप्नुवन्ति । आकाशमिति शेषः । किंच ओजसा स्वकीयबलेन समुद्रं तिरस्कुर्वन्ति । तैर्मरुद्भिरित्यन्वयः ॥ तन्वन्ति । तनु विस्तारे । लटो झोऽन्तः । तनादिकृञ्भ्य उः । पा. ३-१-७९ । सतिशिष्टस्वरबलीयस्त्वमन्यत्र विकरणेभ्य इति तिङ एवाद्युदात्तत्वम् । समुद्रम् । उन्दी क्लेदने । स्फायितञ्चीति रक् । समासे कृदुत्तरपदप्रकृतिस्वरत्वम् ॥</w:t>
      </w:r>
    </w:p>
    <w:p>
      <w:pPr>
        <w:pStyle w:val="BlockText"/>
      </w:pPr>
      <w:r>
        <w:rPr>
          <w:iCs/>
          <w:i/>
        </w:rPr>
        <w:t xml:space="preserve">ye maruto raśmibhiḥ sūryakiraṇaiḥ sahā tanvanti āpnuvanti | ākāśamiti śeṣaḥ | kiṃca ojasā svakīyabalena samudraṃ tiraskurvanti | tairmarudbhirityanvayaḥ || tanvanti | tanu vistāre | laṭo jho ’ntaḥ | tanādikṛñbhya uḥ | pā. 3-1-79 | satiśiṣṭasvarabalīyastvamanyatra vikaraṇebhya iti tiṅa evādyudāttatvam | samudram | undī kledane | sphāyitañcīti rak | samāse kṛduttarapadaprakṛtisvaratvam ||</w:t>
      </w:r>
    </w:p>
    <w:p>
      <w:pPr>
        <w:pStyle w:val="FirstParagraph"/>
      </w:pPr>
      <w:r>
        <w:rPr>
          <w:bCs/>
          <w:b/>
        </w:rPr>
        <w:t xml:space="preserve">Translation:</w:t>
      </w:r>
      <w:r>
        <w:t xml:space="preserve"> </w:t>
      </w:r>
      <w:r>
        <w:t xml:space="preserve">“</w:t>
      </w:r>
      <w:r>
        <w:t xml:space="preserve">The Maruts who,</w:t>
      </w:r>
      <w:r>
        <w:t xml:space="preserve"> </w:t>
      </w:r>
      <w:r>
        <w:rPr>
          <w:iCs/>
          <w:i/>
        </w:rPr>
        <w:t xml:space="preserve">raśmibhiḥ</w:t>
      </w:r>
      <w:r>
        <w:t xml:space="preserve">, with the sun’s rays,</w:t>
      </w:r>
      <w:r>
        <w:t xml:space="preserve"> </w:t>
      </w:r>
      <w:r>
        <w:rPr>
          <w:iCs/>
          <w:i/>
        </w:rPr>
        <w:t xml:space="preserve">ā tanvanti</w:t>
      </w:r>
      <w:r>
        <w:t xml:space="preserve">, pervade (the sky, is to be supplied); and further,</w:t>
      </w:r>
      <w:r>
        <w:t xml:space="preserve"> </w:t>
      </w:r>
      <w:r>
        <w:rPr>
          <w:iCs/>
          <w:i/>
        </w:rPr>
        <w:t xml:space="preserve">ojasā</w:t>
      </w:r>
      <w:r>
        <w:t xml:space="preserve">, by their own strength, overturn the ocean: with those Maruts: that is the construction.</w:t>
      </w:r>
      <w:r>
        <w:t xml:space="preserve">”</w:t>
      </w:r>
      <w:r>
        <w:t xml:space="preserve"> </w:t>
      </w:r>
      <w:r>
        <w:t xml:space="preserve">(Grammatical tail:</w:t>
      </w:r>
      <w:r>
        <w:t xml:space="preserve"> </w:t>
      </w:r>
      <w:r>
        <w:rPr>
          <w:iCs/>
          <w:i/>
        </w:rPr>
        <w:t xml:space="preserve">tanvanti</w:t>
      </w:r>
      <w:r>
        <w:t xml:space="preserve">,</w:t>
      </w:r>
      <w:r>
        <w:t xml:space="preserve"> </w:t>
      </w:r>
      <w:r>
        <w:rPr>
          <w:iCs/>
          <w:i/>
        </w:rPr>
        <w:t xml:space="preserve">tanu vistāre</w:t>
      </w:r>
      <w:r>
        <w:t xml:space="preserve">,</w:t>
      </w:r>
      <w:r>
        <w:t xml:space="preserve"> </w:t>
      </w:r>
      <w:r>
        <w:rPr>
          <w:iCs/>
          <w:i/>
        </w:rPr>
        <w:t xml:space="preserve">ant</w:t>
      </w:r>
      <w:r>
        <w:t xml:space="preserve"> </w:t>
      </w:r>
      <w:r>
        <w:t xml:space="preserve">for</w:t>
      </w:r>
      <w:r>
        <w:t xml:space="preserve"> </w:t>
      </w:r>
      <w:r>
        <w:rPr>
          <w:iCs/>
          <w:i/>
        </w:rPr>
        <w:t xml:space="preserve">jha</w:t>
      </w:r>
      <w:r>
        <w:t xml:space="preserve"> </w:t>
      </w:r>
      <w:r>
        <w:t xml:space="preserve">of</w:t>
      </w:r>
      <w:r>
        <w:t xml:space="preserve"> </w:t>
      </w:r>
      <w:r>
        <w:rPr>
          <w:iCs/>
          <w:i/>
        </w:rPr>
        <w:t xml:space="preserve">laṭ</w:t>
      </w:r>
      <w:r>
        <w:t xml:space="preserve">,</w:t>
      </w:r>
      <w:r>
        <w:t xml:space="preserve"> </w:t>
      </w:r>
      <w:r>
        <w:rPr>
          <w:iCs/>
          <w:i/>
        </w:rPr>
        <w:t xml:space="preserve">u</w:t>
      </w:r>
      <w:r>
        <w:t xml:space="preserve"> </w:t>
      </w:r>
      <w:r>
        <w:t xml:space="preserve">by</w:t>
      </w:r>
      <w:r>
        <w:t xml:space="preserve"> </w:t>
      </w:r>
      <w:r>
        <w:rPr>
          <w:iCs/>
          <w:i/>
        </w:rPr>
        <w:t xml:space="preserve">tanādikṛñbhya uḥ</w:t>
      </w:r>
      <w:r>
        <w:t xml:space="preserve"> </w:t>
      </w:r>
      <w:r>
        <w:t xml:space="preserve">(Pā. 3-1-79); by the statement on</w:t>
      </w:r>
      <w:r>
        <w:t xml:space="preserve"> </w:t>
      </w:r>
      <w:r>
        <w:rPr>
          <w:iCs/>
          <w:i/>
        </w:rPr>
        <w:t xml:space="preserve">satiśiṣṭa</w:t>
      </w:r>
      <w:r>
        <w:t xml:space="preserve"> </w:t>
      </w:r>
      <w:r>
        <w:t xml:space="preserve">accent</w:t>
      </w:r>
      <w:r>
        <w:t xml:space="preserve"> </w:t>
      </w:r>
      <w:r>
        <w:t xml:space="preserve">“</w:t>
      </w:r>
      <w:r>
        <w:t xml:space="preserve">except for</w:t>
      </w:r>
      <w:r>
        <w:t xml:space="preserve"> </w:t>
      </w:r>
      <w:r>
        <w:rPr>
          <w:iCs/>
          <w:i/>
        </w:rPr>
        <w:t xml:space="preserve">vikaraṇas</w:t>
      </w:r>
      <w:r>
        <w:t xml:space="preserve">”</w:t>
      </w:r>
      <w:r>
        <w:t xml:space="preserve">, the</w:t>
      </w:r>
      <w:r>
        <w:t xml:space="preserve"> </w:t>
      </w:r>
      <w:r>
        <w:rPr>
          <w:iCs/>
          <w:i/>
        </w:rPr>
        <w:t xml:space="preserve">tiṅ</w:t>
      </w:r>
      <w:r>
        <w:t xml:space="preserve"> </w:t>
      </w:r>
      <w:r>
        <w:t xml:space="preserve">alone is initial udātta;</w:t>
      </w:r>
      <w:r>
        <w:t xml:space="preserve"> </w:t>
      </w:r>
      <w:r>
        <w:rPr>
          <w:iCs/>
          <w:i/>
        </w:rPr>
        <w:t xml:space="preserve">samudram</w:t>
      </w:r>
      <w:r>
        <w:t xml:space="preserve">,</w:t>
      </w:r>
      <w:r>
        <w:t xml:space="preserve"> </w:t>
      </w:r>
      <w:r>
        <w:rPr>
          <w:iCs/>
          <w:i/>
        </w:rPr>
        <w:t xml:space="preserve">undī kledane</w:t>
      </w:r>
      <w:r>
        <w:t xml:space="preserve">,</w:t>
      </w:r>
      <w:r>
        <w:t xml:space="preserve"> </w:t>
      </w:r>
      <w:r>
        <w:rPr>
          <w:iCs/>
          <w:i/>
        </w:rPr>
        <w:t xml:space="preserve">rak</w:t>
      </w:r>
      <w:r>
        <w:t xml:space="preserve"> </w:t>
      </w:r>
      <w:r>
        <w:t xml:space="preserve">by</w:t>
      </w:r>
      <w:r>
        <w:t xml:space="preserve"> </w:t>
      </w:r>
      <w:r>
        <w:rPr>
          <w:iCs/>
          <w:i/>
        </w:rPr>
        <w:t xml:space="preserve">sphāyitañci…</w:t>
      </w:r>
      <w:r>
        <w:t xml:space="preserve">, in the compound the accent of the</w:t>
      </w:r>
      <w:r>
        <w:t xml:space="preserve"> </w:t>
      </w:r>
      <w:r>
        <w:rPr>
          <w:iCs/>
          <w:i/>
        </w:rPr>
        <w:t xml:space="preserve">kṛt</w:t>
      </w:r>
      <w:r>
        <w:t xml:space="preserve"> </w:t>
      </w:r>
      <w:r>
        <w:t xml:space="preserve">final member.)</w:t>
      </w:r>
    </w:p>
    <w:p>
      <w:pPr>
        <w:pStyle w:val="BodyText"/>
      </w:pPr>
      <w:r>
        <w:rPr>
          <w:bCs/>
          <w:b/>
        </w:rPr>
        <w:t xml:space="preserve">॥ Prati-padārthaḥ ॥</w:t>
      </w:r>
    </w:p>
    <w:p>
      <w:pPr>
        <w:pStyle w:val="BodyText"/>
      </w:pPr>
      <w:r>
        <w:rPr>
          <w:bCs/>
          <w:b/>
        </w:rPr>
        <w:t xml:space="preserve">(हे) अग्ने ((he) agne)</w:t>
      </w:r>
      <w:r>
        <w:t xml:space="preserve"> </w:t>
      </w:r>
      <w:r>
        <w:t xml:space="preserve">— O Agni |</w:t>
      </w:r>
      <w:r>
        <w:t xml:space="preserve"> </w:t>
      </w:r>
      <w:r>
        <w:rPr>
          <w:bCs/>
          <w:b/>
        </w:rPr>
        <w:t xml:space="preserve">ये (ye)</w:t>
      </w:r>
      <w:r>
        <w:t xml:space="preserve"> </w:t>
      </w:r>
      <w:r>
        <w:t xml:space="preserve">— which Marut deities |</w:t>
      </w:r>
      <w:r>
        <w:t xml:space="preserve"> </w:t>
      </w:r>
      <w:r>
        <w:rPr>
          <w:bCs/>
          <w:b/>
        </w:rPr>
        <w:t xml:space="preserve">रश्मिभिः (raśmibhiḥ)</w:t>
      </w:r>
      <w:r>
        <w:t xml:space="preserve"> </w:t>
      </w:r>
      <w:r>
        <w:t xml:space="preserve">— together with the sun’s rays | (the sky)</w:t>
      </w:r>
      <w:r>
        <w:t xml:space="preserve"> </w:t>
      </w:r>
      <w:r>
        <w:rPr>
          <w:bCs/>
          <w:b/>
        </w:rPr>
        <w:t xml:space="preserve">आ तन्वन्ति (ā tanvanti)</w:t>
      </w:r>
      <w:r>
        <w:t xml:space="preserve"> </w:t>
      </w:r>
      <w:r>
        <w:t xml:space="preserve">— pervade everywhere | (and)</w:t>
      </w:r>
      <w:r>
        <w:t xml:space="preserve"> </w:t>
      </w:r>
      <w:r>
        <w:rPr>
          <w:bCs/>
          <w:b/>
        </w:rPr>
        <w:t xml:space="preserve">ओजसा (ojasā)</w:t>
      </w:r>
      <w:r>
        <w:t xml:space="preserve"> </w:t>
      </w:r>
      <w:r>
        <w:t xml:space="preserve">— by their own power |</w:t>
      </w:r>
      <w:r>
        <w:t xml:space="preserve"> </w:t>
      </w:r>
      <w:r>
        <w:rPr>
          <w:bCs/>
          <w:b/>
        </w:rPr>
        <w:t xml:space="preserve">समुद्रम् (samudram)</w:t>
      </w:r>
      <w:r>
        <w:t xml:space="preserve"> </w:t>
      </w:r>
      <w:r>
        <w:t xml:space="preserve">— the ocean |</w:t>
      </w:r>
      <w:r>
        <w:t xml:space="preserve"> </w:t>
      </w:r>
      <w:r>
        <w:rPr>
          <w:bCs/>
          <w:b/>
        </w:rPr>
        <w:t xml:space="preserve">तिरः (tiraḥ)</w:t>
      </w:r>
      <w:r>
        <w:t xml:space="preserve"> </w:t>
      </w:r>
      <w:r>
        <w:t xml:space="preserve">— stir up into waves | (such)</w:t>
      </w:r>
      <w:r>
        <w:t xml:space="preserve"> </w:t>
      </w:r>
      <w:r>
        <w:rPr>
          <w:bCs/>
          <w:b/>
        </w:rPr>
        <w:t xml:space="preserve">मरुद्भिः (marudbhiḥ)</w:t>
      </w:r>
      <w:r>
        <w:t xml:space="preserve"> </w:t>
      </w:r>
      <w:r>
        <w:t xml:space="preserve">— with the Marut deities |</w:t>
      </w:r>
      <w:r>
        <w:t xml:space="preserve"> </w:t>
      </w:r>
      <w:r>
        <w:rPr>
          <w:bCs/>
          <w:b/>
        </w:rPr>
        <w:t xml:space="preserve">आ गहि (ā gahi)</w:t>
      </w:r>
      <w:r>
        <w:t xml:space="preserve"> </w:t>
      </w:r>
      <w:r>
        <w:t xml:space="preserve">— come here.</w:t>
      </w:r>
    </w:p>
    <w:bookmarkEnd w:id="893"/>
    <w:bookmarkStart w:id="894" w:name="Xaa80fa2e5b4c08f8f82f160bddb15c8b02c4735"/>
    <w:p>
      <w:pPr>
        <w:pStyle w:val="Heading3"/>
      </w:pPr>
      <w:r>
        <w:t xml:space="preserve">Page 804 — Rik 8: overall sense, English, Special Topics, grammar</w:t>
      </w:r>
    </w:p>
    <w:p>
      <w:pPr>
        <w:pStyle w:val="FirstParagraph"/>
      </w:pPr>
      <w:r>
        <w:rPr>
          <w:bCs/>
          <w:b/>
        </w:rPr>
        <w:t xml:space="preserve">॥ Bhāvārthaḥ ॥</w:t>
      </w:r>
    </w:p>
    <w:p>
      <w:pPr>
        <w:pStyle w:val="BodyText"/>
      </w:pPr>
      <w:r>
        <w:t xml:space="preserve">O Agni, come here with the Marut deities who, together with the sun’s rays, pervade all the sky and by their strength stir up the ocean.</w:t>
      </w:r>
    </w:p>
    <w:p>
      <w:pPr>
        <w:pStyle w:val="BodyText"/>
      </w:pPr>
      <w:r>
        <w:rPr>
          <w:bCs/>
          <w:b/>
        </w:rPr>
        <w:t xml:space="preserve">॥ English Translation ॥</w:t>
      </w:r>
      <w:r>
        <w:t xml:space="preserve"> </w:t>
      </w:r>
      <w:r>
        <w:rPr>
          <w:iCs/>
          <w:i/>
        </w:rPr>
        <w:t xml:space="preserve">(as printed in the source)</w:t>
      </w:r>
    </w:p>
    <w:p>
      <w:pPr>
        <w:pStyle w:val="BlockText"/>
      </w:pPr>
      <w:r>
        <w:t xml:space="preserve">O Agni, come hither with the Maruths [sic] who spread all over the sky with the rays of the Sun and with their strength agitate the ocean.</w:t>
      </w:r>
    </w:p>
    <w:p>
      <w:pPr>
        <w:pStyle w:val="FirstParagraph"/>
      </w:pPr>
      <w:r>
        <w:rPr>
          <w:bCs/>
          <w:b/>
        </w:rPr>
        <w:t xml:space="preserve">॥ Viśeṣa-viṣayagaḷu (Special Topics) ॥</w:t>
      </w:r>
    </w:p>
    <w:p>
      <w:pPr>
        <w:pStyle w:val="BodyText"/>
      </w:pPr>
      <w:r>
        <w:rPr>
          <w:bCs/>
          <w:b/>
        </w:rPr>
        <w:t xml:space="preserve">Raśmibhiḥ ā tanvanti</w:t>
      </w:r>
      <w:r>
        <w:t xml:space="preserve">: pervading the sky together with the sun’s rays: that is, as the sun’s rays pervade the whole sky in an instant, so the wind too pervades the sky or the air.</w:t>
      </w:r>
    </w:p>
    <w:p>
      <w:pPr>
        <w:pStyle w:val="BodyText"/>
      </w:pPr>
      <w:r>
        <w:rPr>
          <w:bCs/>
          <w:b/>
        </w:rPr>
        <w:t xml:space="preserve">Ojasā</w:t>
      </w:r>
      <w:r>
        <w:t xml:space="preserve">: the intent is that, because the wind blows hard, huge waves rise in the ocean.</w:t>
      </w:r>
    </w:p>
    <w:p>
      <w:pPr>
        <w:pStyle w:val="BodyText"/>
      </w:pPr>
      <w:r>
        <w:rPr>
          <w:bCs/>
          <w:b/>
        </w:rPr>
        <w:t xml:space="preserve">॥ Vyākaraṇa-prakriyā ॥</w:t>
      </w:r>
      <w:r>
        <w:t xml:space="preserve"> </w:t>
      </w:r>
      <w:r>
        <w:rPr>
          <w:iCs/>
          <w:i/>
        </w:rPr>
        <w:t xml:space="preserve">(grammar pages 804–805, noted briefly)</w:t>
      </w:r>
    </w:p>
    <w:p>
      <w:pPr>
        <w:pStyle w:val="BodyText"/>
      </w:pPr>
      <w:r>
        <w:rPr>
          <w:bCs/>
          <w:b/>
        </w:rPr>
        <w:t xml:space="preserve">तन्वन्ति (</w:t>
      </w:r>
      <w:r>
        <w:rPr>
          <w:iCs/>
          <w:i/>
          <w:bCs/>
          <w:b/>
        </w:rPr>
        <w:t xml:space="preserve">tanvanti</w:t>
      </w:r>
      <w:r>
        <w:rPr>
          <w:bCs/>
          <w:b/>
        </w:rPr>
        <w:t xml:space="preserve">)</w:t>
      </w:r>
      <w:r>
        <w:t xml:space="preserve">: the root</w:t>
      </w:r>
      <w:r>
        <w:t xml:space="preserve"> </w:t>
      </w:r>
      <w:r>
        <w:rPr>
          <w:iCs/>
          <w:i/>
        </w:rPr>
        <w:t xml:space="preserve">tanu vistāre</w:t>
      </w:r>
      <w:r>
        <w:t xml:space="preserve">; after it, by</w:t>
      </w:r>
      <w:r>
        <w:t xml:space="preserve"> </w:t>
      </w:r>
      <w:r>
        <w:t xml:space="preserve">“</w:t>
      </w:r>
      <w:r>
        <w:t xml:space="preserve">vartamāne laṭ</w:t>
      </w:r>
      <w:r>
        <w:t xml:space="preserve">”</w:t>
      </w:r>
      <w:r>
        <w:t xml:space="preserve"> </w:t>
      </w:r>
      <w:r>
        <w:t xml:space="preserve">(Pā. sū. 3-2-123),</w:t>
      </w:r>
      <w:r>
        <w:t xml:space="preserve"> </w:t>
      </w:r>
      <w:r>
        <w:rPr>
          <w:iCs/>
          <w:i/>
        </w:rPr>
        <w:t xml:space="preserve">laṭ</w:t>
      </w:r>
      <w:r>
        <w:t xml:space="preserve">, 3rd plural</w:t>
      </w:r>
      <w:r>
        <w:t xml:space="preserve"> </w:t>
      </w:r>
      <w:r>
        <w:rPr>
          <w:iCs/>
          <w:i/>
        </w:rPr>
        <w:t xml:space="preserve">jhi</w:t>
      </w:r>
      <w:r>
        <w:t xml:space="preserve">. By</w:t>
      </w:r>
      <w:r>
        <w:t xml:space="preserve"> </w:t>
      </w:r>
      <w:r>
        <w:t xml:space="preserve">“</w:t>
      </w:r>
      <w:r>
        <w:t xml:space="preserve">jho ’ntaḥ</w:t>
      </w:r>
      <w:r>
        <w:t xml:space="preserve">”</w:t>
      </w:r>
      <w:r>
        <w:t xml:space="preserve"> </w:t>
      </w:r>
      <w:r>
        <w:t xml:space="preserve">(Pā. sū. 7-1-3)</w:t>
      </w:r>
      <w:r>
        <w:t xml:space="preserve"> </w:t>
      </w:r>
      <w:r>
        <w:rPr>
          <w:iCs/>
          <w:i/>
        </w:rPr>
        <w:t xml:space="preserve">ant</w:t>
      </w:r>
      <w:r>
        <w:t xml:space="preserve"> </w:t>
      </w:r>
      <w:r>
        <w:t xml:space="preserve">for the</w:t>
      </w:r>
      <w:r>
        <w:t xml:space="preserve"> </w:t>
      </w:r>
      <w:r>
        <w:rPr>
          <w:iCs/>
          <w:i/>
        </w:rPr>
        <w:t xml:space="preserve">jh</w:t>
      </w:r>
      <w:r>
        <w:t xml:space="preserve">:</w:t>
      </w:r>
      <w:r>
        <w:t xml:space="preserve"> </w:t>
      </w:r>
      <w:r>
        <w:rPr>
          <w:iCs/>
          <w:i/>
        </w:rPr>
        <w:t xml:space="preserve">tan</w:t>
      </w:r>
      <w:r>
        <w:t xml:space="preserve"> </w:t>
      </w:r>
      <w:r>
        <w:t xml:space="preserve">+</w:t>
      </w:r>
      <w:r>
        <w:t xml:space="preserve"> </w:t>
      </w:r>
      <w:r>
        <w:rPr>
          <w:iCs/>
          <w:i/>
        </w:rPr>
        <w:t xml:space="preserve">anti</w:t>
      </w:r>
      <w:r>
        <w:t xml:space="preserve">. By</w:t>
      </w:r>
      <w:r>
        <w:t xml:space="preserve"> </w:t>
      </w:r>
      <w:r>
        <w:t xml:space="preserve">“</w:t>
      </w:r>
      <w:r>
        <w:t xml:space="preserve">tanādikṛñbhya uḥ</w:t>
      </w:r>
      <w:r>
        <w:t xml:space="preserve">”</w:t>
      </w:r>
      <w:r>
        <w:t xml:space="preserve"> </w:t>
      </w:r>
      <w:r>
        <w:t xml:space="preserve">(Pā. sū. 3-1-79), after the roots of the</w:t>
      </w:r>
      <w:r>
        <w:t xml:space="preserve"> </w:t>
      </w:r>
      <w:r>
        <w:rPr>
          <w:iCs/>
          <w:i/>
        </w:rPr>
        <w:t xml:space="preserve">tan-ādi</w:t>
      </w:r>
      <w:r>
        <w:t xml:space="preserve"> </w:t>
      </w:r>
      <w:r>
        <w:t xml:space="preserve">group and after the root</w:t>
      </w:r>
      <w:r>
        <w:t xml:space="preserve"> </w:t>
      </w:r>
      <w:r>
        <w:rPr>
          <w:iCs/>
          <w:i/>
        </w:rPr>
        <w:t xml:space="preserve">kṛñ</w:t>
      </w:r>
      <w:r>
        <w:t xml:space="preserve">, when a</w:t>
      </w:r>
      <w:r>
        <w:t xml:space="preserve"> </w:t>
      </w:r>
      <w:r>
        <w:rPr>
          <w:iCs/>
          <w:i/>
        </w:rPr>
        <w:t xml:space="preserve">sārvadhātuka</w:t>
      </w:r>
      <w:r>
        <w:t xml:space="preserve"> </w:t>
      </w:r>
      <w:r>
        <w:t xml:space="preserve">in the agent sense follows, the suffix</w:t>
      </w:r>
      <w:r>
        <w:t xml:space="preserve"> </w:t>
      </w:r>
      <w:r>
        <w:rPr>
          <w:iCs/>
          <w:i/>
        </w:rPr>
        <w:t xml:space="preserve">u</w:t>
      </w:r>
      <w:r>
        <w:t xml:space="preserve"> </w:t>
      </w:r>
      <w:r>
        <w:t xml:space="preserve">comes; so after</w:t>
      </w:r>
      <w:r>
        <w:t xml:space="preserve"> </w:t>
      </w:r>
      <w:r>
        <w:rPr>
          <w:iCs/>
          <w:i/>
        </w:rPr>
        <w:t xml:space="preserve">tan</w:t>
      </w:r>
      <w:r>
        <w:t xml:space="preserve"> </w:t>
      </w:r>
      <w:r>
        <w:t xml:space="preserve">the suffix</w:t>
      </w:r>
      <w:r>
        <w:t xml:space="preserve"> </w:t>
      </w:r>
      <w:r>
        <w:rPr>
          <w:iCs/>
          <w:i/>
        </w:rPr>
        <w:t xml:space="preserve">u</w:t>
      </w:r>
      <w:r>
        <w:t xml:space="preserve">:</w:t>
      </w:r>
      <w:r>
        <w:t xml:space="preserve"> </w:t>
      </w:r>
      <w:r>
        <w:rPr>
          <w:iCs/>
          <w:i/>
        </w:rPr>
        <w:t xml:space="preserve">tan</w:t>
      </w:r>
      <w:r>
        <w:t xml:space="preserve"> </w:t>
      </w:r>
      <w:r>
        <w:t xml:space="preserve">+</w:t>
      </w:r>
      <w:r>
        <w:t xml:space="preserve"> </w:t>
      </w:r>
      <w:r>
        <w:rPr>
          <w:iCs/>
          <w:i/>
        </w:rPr>
        <w:t xml:space="preserve">u</w:t>
      </w:r>
      <w:r>
        <w:t xml:space="preserve"> </w:t>
      </w:r>
      <w:r>
        <w:t xml:space="preserve">+</w:t>
      </w:r>
      <w:r>
        <w:t xml:space="preserve"> </w:t>
      </w:r>
      <w:r>
        <w:rPr>
          <w:iCs/>
          <w:i/>
        </w:rPr>
        <w:t xml:space="preserve">anti</w:t>
      </w:r>
      <w:r>
        <w:t xml:space="preserve">. By</w:t>
      </w:r>
      <w:r>
        <w:t xml:space="preserve"> </w:t>
      </w:r>
      <w:r>
        <w:t xml:space="preserve">“</w:t>
      </w:r>
      <w:r>
        <w:t xml:space="preserve">sārvadhātukārdhadhātukayoḥ</w:t>
      </w:r>
      <w:r>
        <w:t xml:space="preserve">”</w:t>
      </w:r>
      <w:r>
        <w:t xml:space="preserve"> </w:t>
      </w:r>
      <w:r>
        <w:t xml:space="preserve">(Pā. sū. 7-3-84)</w:t>
      </w:r>
      <w:r>
        <w:t xml:space="preserve"> </w:t>
      </w:r>
      <w:r>
        <w:rPr>
          <w:iCs/>
          <w:i/>
        </w:rPr>
        <w:t xml:space="preserve">guṇa</w:t>
      </w:r>
      <w:r>
        <w:t xml:space="preserve"> </w:t>
      </w:r>
      <w:r>
        <w:rPr>
          <w:iCs/>
          <w:i/>
        </w:rPr>
        <w:t xml:space="preserve">o</w:t>
      </w:r>
      <w:r>
        <w:t xml:space="preserve"> </w:t>
      </w:r>
      <w:r>
        <w:t xml:space="preserve">is due for the</w:t>
      </w:r>
      <w:r>
        <w:t xml:space="preserve"> </w:t>
      </w:r>
      <w:r>
        <w:rPr>
          <w:iCs/>
          <w:i/>
        </w:rPr>
        <w:t xml:space="preserve">u</w:t>
      </w:r>
      <w:r>
        <w:t xml:space="preserve">; but by</w:t>
      </w:r>
      <w:r>
        <w:t xml:space="preserve"> </w:t>
      </w:r>
      <w:r>
        <w:t xml:space="preserve">“</w:t>
      </w:r>
      <w:r>
        <w:t xml:space="preserve">sārvadhātukam apit</w:t>
      </w:r>
      <w:r>
        <w:t xml:space="preserve">”</w:t>
      </w:r>
      <w:r>
        <w:t xml:space="preserve"> </w:t>
      </w:r>
      <w:r>
        <w:t xml:space="preserve">(Pā. sū. 1-2-4) the</w:t>
      </w:r>
      <w:r>
        <w:t xml:space="preserve"> </w:t>
      </w:r>
      <w:r>
        <w:rPr>
          <w:iCs/>
          <w:i/>
        </w:rPr>
        <w:t xml:space="preserve">sārvadhātuka</w:t>
      </w:r>
      <w:r>
        <w:t xml:space="preserve"> </w:t>
      </w:r>
      <w:r>
        <w:rPr>
          <w:iCs/>
          <w:i/>
        </w:rPr>
        <w:t xml:space="preserve">jhi</w:t>
      </w:r>
      <w:r>
        <w:t xml:space="preserve"> </w:t>
      </w:r>
      <w:r>
        <w:t xml:space="preserve">is</w:t>
      </w:r>
      <w:r>
        <w:t xml:space="preserve"> </w:t>
      </w:r>
      <w:r>
        <w:rPr>
          <w:iCs/>
          <w:i/>
        </w:rPr>
        <w:t xml:space="preserve">ṅit</w:t>
      </w:r>
      <w:r>
        <w:t xml:space="preserve">, so by</w:t>
      </w:r>
      <w:r>
        <w:t xml:space="preserve"> </w:t>
      </w:r>
      <w:r>
        <w:t xml:space="preserve">“</w:t>
      </w:r>
      <w:r>
        <w:t xml:space="preserve">kṅiti ca</w:t>
      </w:r>
      <w:r>
        <w:t xml:space="preserve">”</w:t>
      </w:r>
      <w:r>
        <w:t xml:space="preserve"> </w:t>
      </w:r>
      <w:r>
        <w:t xml:space="preserve">(Pā. sū. 1-1-5)</w:t>
      </w:r>
      <w:r>
        <w:t xml:space="preserve"> </w:t>
      </w:r>
      <w:r>
        <w:rPr>
          <w:iCs/>
          <w:i/>
        </w:rPr>
        <w:t xml:space="preserve">guṇa</w:t>
      </w:r>
      <w:r>
        <w:t xml:space="preserve"> </w:t>
      </w:r>
      <w:r>
        <w:t xml:space="preserve">is barred; so no</w:t>
      </w:r>
      <w:r>
        <w:t xml:space="preserve"> </w:t>
      </w:r>
      <w:r>
        <w:rPr>
          <w:iCs/>
          <w:i/>
        </w:rPr>
        <w:t xml:space="preserve">guṇa</w:t>
      </w:r>
      <w:r>
        <w:t xml:space="preserve">. By</w:t>
      </w:r>
      <w:r>
        <w:t xml:space="preserve"> </w:t>
      </w:r>
      <w:r>
        <w:t xml:space="preserve">“</w:t>
      </w:r>
      <w:r>
        <w:t xml:space="preserve">iko yaṇ aci</w:t>
      </w:r>
      <w:r>
        <w:t xml:space="preserve">”</w:t>
      </w:r>
      <w:r>
        <w:t xml:space="preserve"> </w:t>
      </w:r>
      <w:r>
        <w:t xml:space="preserve">(Pā. sū. 6-1-77)</w:t>
      </w:r>
      <w:r>
        <w:t xml:space="preserve"> </w:t>
      </w:r>
      <w:r>
        <w:rPr>
          <w:iCs/>
          <w:i/>
        </w:rPr>
        <w:t xml:space="preserve">v</w:t>
      </w:r>
      <w:r>
        <w:t xml:space="preserve"> </w:t>
      </w:r>
      <w:r>
        <w:t xml:space="preserve">for the</w:t>
      </w:r>
      <w:r>
        <w:t xml:space="preserve"> </w:t>
      </w:r>
      <w:r>
        <w:rPr>
          <w:iCs/>
          <w:i/>
        </w:rPr>
        <w:t xml:space="preserve">u</w:t>
      </w:r>
      <w:r>
        <w:t xml:space="preserve"> </w:t>
      </w:r>
      <w:r>
        <w:t xml:space="preserve">by the</w:t>
      </w:r>
      <w:r>
        <w:t xml:space="preserve"> </w:t>
      </w:r>
      <w:r>
        <w:rPr>
          <w:iCs/>
          <w:i/>
        </w:rPr>
        <w:t xml:space="preserve">yaṇ</w:t>
      </w:r>
      <w:r>
        <w:t xml:space="preserve"> </w:t>
      </w:r>
      <w:r>
        <w:t xml:space="preserve">substitute:</w:t>
      </w:r>
      <w:r>
        <w:t xml:space="preserve"> </w:t>
      </w:r>
      <w:r>
        <w:rPr>
          <w:iCs/>
          <w:i/>
        </w:rPr>
        <w:t xml:space="preserve">tanvanti</w:t>
      </w:r>
      <w:r>
        <w:t xml:space="preserve">. The suffix accent of</w:t>
      </w:r>
      <w:r>
        <w:t xml:space="preserve"> </w:t>
      </w:r>
      <w:r>
        <w:rPr>
          <w:iCs/>
          <w:i/>
        </w:rPr>
        <w:t xml:space="preserve">u</w:t>
      </w:r>
      <w:r>
        <w:t xml:space="preserve"> </w:t>
      </w:r>
      <w:r>
        <w:t xml:space="preserve">comes by a rule enjoining it after the accents of the others have arisen; so, though it is</w:t>
      </w:r>
      <w:r>
        <w:t xml:space="preserve"> </w:t>
      </w:r>
      <w:r>
        <w:rPr>
          <w:iCs/>
          <w:i/>
        </w:rPr>
        <w:t xml:space="preserve">satiśiṣṭa</w:t>
      </w:r>
      <w:r>
        <w:t xml:space="preserve">, by</w:t>
      </w:r>
      <w:r>
        <w:t xml:space="preserve"> </w:t>
      </w:r>
      <w:r>
        <w:t xml:space="preserve">“</w:t>
      </w:r>
      <w:r>
        <w:t xml:space="preserve">satiśiṣṭasvarabalīyastvam anyatra vikaraṇebhyaḥ</w:t>
      </w:r>
      <w:r>
        <w:t xml:space="preserve">”</w:t>
      </w:r>
      <w:r>
        <w:t xml:space="preserve">, while the</w:t>
      </w:r>
      <w:r>
        <w:t xml:space="preserve"> </w:t>
      </w:r>
      <w:r>
        <w:rPr>
          <w:iCs/>
          <w:i/>
        </w:rPr>
        <w:t xml:space="preserve">satiśiṣṭa</w:t>
      </w:r>
      <w:r>
        <w:t xml:space="preserve"> </w:t>
      </w:r>
      <w:r>
        <w:t xml:space="preserve">accent is strong in places other than</w:t>
      </w:r>
      <w:r>
        <w:t xml:space="preserve"> </w:t>
      </w:r>
      <w:r>
        <w:rPr>
          <w:iCs/>
          <w:i/>
        </w:rPr>
        <w:t xml:space="preserve">vikaraṇas</w:t>
      </w:r>
      <w:r>
        <w:t xml:space="preserve">, the</w:t>
      </w:r>
      <w:r>
        <w:t xml:space="preserve"> </w:t>
      </w:r>
      <w:r>
        <w:rPr>
          <w:iCs/>
          <w:i/>
        </w:rPr>
        <w:t xml:space="preserve">satiśiṣṭa</w:t>
      </w:r>
      <w:r>
        <w:t xml:space="preserve"> </w:t>
      </w:r>
      <w:r>
        <w:t xml:space="preserve">accent of</w:t>
      </w:r>
      <w:r>
        <w:t xml:space="preserve"> </w:t>
      </w:r>
      <w:r>
        <w:rPr>
          <w:iCs/>
          <w:i/>
        </w:rPr>
        <w:t xml:space="preserve">u</w:t>
      </w:r>
      <w:r>
        <w:t xml:space="preserve">, being a</w:t>
      </w:r>
      <w:r>
        <w:t xml:space="preserve"> </w:t>
      </w:r>
      <w:r>
        <w:rPr>
          <w:iCs/>
          <w:i/>
        </w:rPr>
        <w:t xml:space="preserve">vikaraṇa</w:t>
      </w:r>
      <w:r>
        <w:t xml:space="preserve">, is not strong. So the</w:t>
      </w:r>
      <w:r>
        <w:t xml:space="preserve"> </w:t>
      </w:r>
      <w:r>
        <w:rPr>
          <w:iCs/>
          <w:i/>
        </w:rPr>
        <w:t xml:space="preserve">anti</w:t>
      </w:r>
      <w:r>
        <w:t xml:space="preserve"> </w:t>
      </w:r>
      <w:r>
        <w:t xml:space="preserve">belonging to the</w:t>
      </w:r>
      <w:r>
        <w:t xml:space="preserve"> </w:t>
      </w:r>
      <w:r>
        <w:rPr>
          <w:iCs/>
          <w:i/>
        </w:rPr>
        <w:t xml:space="preserve">tiṅ</w:t>
      </w:r>
      <w:r>
        <w:t xml:space="preserve"> </w:t>
      </w:r>
      <w:r>
        <w:t xml:space="preserve">suffix is initial udātta by the suffix accent.</w:t>
      </w:r>
    </w:p>
    <w:bookmarkEnd w:id="894"/>
    <w:bookmarkStart w:id="895" w:name="page-805-upper-rik-8-grammar-end"/>
    <w:p>
      <w:pPr>
        <w:pStyle w:val="Heading3"/>
      </w:pPr>
      <w:r>
        <w:t xml:space="preserve">Page 805 (upper) — Rik 8: grammar (end)</w:t>
      </w:r>
    </w:p>
    <w:p>
      <w:pPr>
        <w:pStyle w:val="FirstParagraph"/>
      </w:pPr>
      <w:r>
        <w:rPr>
          <w:bCs/>
          <w:b/>
        </w:rPr>
        <w:t xml:space="preserve">समुद्रम् (</w:t>
      </w:r>
      <w:r>
        <w:rPr>
          <w:iCs/>
          <w:i/>
          <w:bCs/>
          <w:b/>
        </w:rPr>
        <w:t xml:space="preserve">samudram</w:t>
      </w:r>
      <w:r>
        <w:rPr>
          <w:bCs/>
          <w:b/>
        </w:rPr>
        <w:t xml:space="preserve">)</w:t>
      </w:r>
      <w:r>
        <w:t xml:space="preserve">: after the root</w:t>
      </w:r>
      <w:r>
        <w:t xml:space="preserve"> </w:t>
      </w:r>
      <w:r>
        <w:rPr>
          <w:iCs/>
          <w:i/>
        </w:rPr>
        <w:t xml:space="preserve">undī kledane</w:t>
      </w:r>
      <w:r>
        <w:t xml:space="preserve"> </w:t>
      </w:r>
      <w:r>
        <w:t xml:space="preserve">preceded by the preverb</w:t>
      </w:r>
      <w:r>
        <w:t xml:space="preserve"> </w:t>
      </w:r>
      <w:r>
        <w:rPr>
          <w:iCs/>
          <w:i/>
        </w:rPr>
        <w:t xml:space="preserve">sam</w:t>
      </w:r>
      <w:r>
        <w:t xml:space="preserve">, by</w:t>
      </w:r>
      <w:r>
        <w:t xml:space="preserve"> </w:t>
      </w:r>
      <w:r>
        <w:t xml:space="preserve">“</w:t>
      </w:r>
      <w:r>
        <w:t xml:space="preserve">sphāyitañcivañciśakikṣipikṣudisṛpitṛpidṛpivandyundi…</w:t>
      </w:r>
      <w:r>
        <w:t xml:space="preserve">”</w:t>
      </w:r>
      <w:r>
        <w:t xml:space="preserve"> </w:t>
      </w:r>
      <w:r>
        <w:t xml:space="preserve">(Uṇ. sū.</w:t>
      </w:r>
      <w:r>
        <w:t xml:space="preserve"> </w:t>
      </w:r>
      <w:r>
        <w:t xml:space="preserve">“</w:t>
      </w:r>
      <w:r>
        <w:t xml:space="preserve">2-170</w:t>
      </w:r>
      <w:r>
        <w:t xml:space="preserve">”</w:t>
      </w:r>
      <w:r>
        <w:t xml:space="preserve"> </w:t>
      </w:r>
      <w:r>
        <w:t xml:space="preserve">[?]) the suffix</w:t>
      </w:r>
      <w:r>
        <w:t xml:space="preserve"> </w:t>
      </w:r>
      <w:r>
        <w:rPr>
          <w:iCs/>
          <w:i/>
        </w:rPr>
        <w:t xml:space="preserve">rak</w:t>
      </w:r>
      <w:r>
        <w:t xml:space="preserve"> </w:t>
      </w:r>
      <w:r>
        <w:t xml:space="preserve">comes. By</w:t>
      </w:r>
      <w:r>
        <w:t xml:space="preserve"> </w:t>
      </w:r>
      <w:r>
        <w:t xml:space="preserve">“</w:t>
      </w:r>
      <w:r>
        <w:t xml:space="preserve">anidhitāṃ hala upadhāyāḥ kṅiti</w:t>
      </w:r>
      <w:r>
        <w:t xml:space="preserve">”</w:t>
      </w:r>
      <w:r>
        <w:t xml:space="preserve"> </w:t>
      </w:r>
      <w:r>
        <w:t xml:space="preserve">(Pā. sū. 6-4-24) the penultimate</w:t>
      </w:r>
      <w:r>
        <w:t xml:space="preserve"> </w:t>
      </w:r>
      <w:r>
        <w:rPr>
          <w:iCs/>
          <w:i/>
        </w:rPr>
        <w:t xml:space="preserve">n</w:t>
      </w:r>
      <w:r>
        <w:t xml:space="preserve"> </w:t>
      </w:r>
      <w:r>
        <w:t xml:space="preserve">drops:</w:t>
      </w:r>
      <w:r>
        <w:t xml:space="preserve"> </w:t>
      </w:r>
      <w:r>
        <w:rPr>
          <w:iCs/>
          <w:i/>
        </w:rPr>
        <w:t xml:space="preserve">samudra</w:t>
      </w:r>
      <w:r>
        <w:t xml:space="preserve">. The word</w:t>
      </w:r>
      <w:r>
        <w:t xml:space="preserve"> </w:t>
      </w:r>
      <w:r>
        <w:rPr>
          <w:iCs/>
          <w:i/>
        </w:rPr>
        <w:t xml:space="preserve">udra</w:t>
      </w:r>
      <w:r>
        <w:t xml:space="preserve"> </w:t>
      </w:r>
      <w:r>
        <w:t xml:space="preserve">is final udātta by the suffix accent; after compounding with</w:t>
      </w:r>
      <w:r>
        <w:t xml:space="preserve"> </w:t>
      </w:r>
      <w:r>
        <w:rPr>
          <w:iCs/>
          <w:i/>
        </w:rPr>
        <w:t xml:space="preserve">sam</w:t>
      </w:r>
      <w:r>
        <w:t xml:space="preserve"> </w:t>
      </w:r>
      <w:r>
        <w:t xml:space="preserve">too, by</w:t>
      </w:r>
      <w:r>
        <w:t xml:space="preserve"> </w:t>
      </w:r>
      <w:r>
        <w:t xml:space="preserve">“</w:t>
      </w:r>
      <w:r>
        <w:t xml:space="preserve">gatikārakopapadāt kṛt</w:t>
      </w:r>
      <w:r>
        <w:t xml:space="preserve">”</w:t>
      </w:r>
      <w:r>
        <w:t xml:space="preserve"> </w:t>
      </w:r>
      <w:r>
        <w:t xml:space="preserve">(Pā. sū. 6-2-139), the accent of the</w:t>
      </w:r>
      <w:r>
        <w:t xml:space="preserve"> </w:t>
      </w:r>
      <w:r>
        <w:rPr>
          <w:iCs/>
          <w:i/>
        </w:rPr>
        <w:t xml:space="preserve">kṛt</w:t>
      </w:r>
      <w:r>
        <w:t xml:space="preserve"> </w:t>
      </w:r>
      <w:r>
        <w:t xml:space="preserve">final member comes, and that accent stays.</w:t>
      </w:r>
    </w:p>
    <w:p>
      <w:pPr>
        <w:pStyle w:val="BodyText"/>
      </w:pPr>
      <w:r>
        <w:rPr>
          <w:bCs/>
          <w:b/>
        </w:rPr>
        <w:t xml:space="preserve">॥८॥</w:t>
      </w:r>
    </w:p>
    <w:p>
      <w:r>
        <w:pict>
          <v:rect style="width:0;height:1.5pt" o:hralign="center" o:hrstd="t" o:hr="t"/>
        </w:pict>
      </w:r>
    </w:p>
    <w:bookmarkEnd w:id="895"/>
    <w:bookmarkStart w:id="896" w:name="X5bab69f72b70f019093e48b42e5687590cc3f02"/>
    <w:p>
      <w:pPr>
        <w:pStyle w:val="Heading3"/>
      </w:pPr>
      <w:r>
        <w:t xml:space="preserve">Page 805 (lower) — Sūkta 19, Rik 9 (last ṛk of the sūkta and of the volume)</w:t>
      </w:r>
    </w:p>
    <w:p>
      <w:pPr>
        <w:pStyle w:val="FirstParagraph"/>
      </w:pPr>
      <w:r>
        <w:rPr>
          <w:iCs/>
          <w:i/>
        </w:rPr>
        <w:t xml:space="preserve">(Saṃhitā accents as printed; Pada unaccented.)</w:t>
      </w:r>
    </w:p>
    <w:p>
      <w:pPr>
        <w:pStyle w:val="BodyText"/>
      </w:pPr>
      <w:r>
        <w:rPr>
          <w:bCs/>
          <w:b/>
        </w:rPr>
        <w:t xml:space="preserve">॥ Saṃhitā-pāṭhaḥ ॥</w:t>
      </w:r>
    </w:p>
    <w:p>
      <w:pPr>
        <w:pStyle w:val="BlockText"/>
      </w:pPr>
      <w:r>
        <w:t xml:space="preserve">अ॒भि त्वा॒ पूर्व॑पीतये सृ॒जामि॑ सो॒म्यं मधु॑ । [accent ?]</w:t>
      </w:r>
      <w:r>
        <w:t xml:space="preserve"> </w:t>
      </w:r>
      <w:r>
        <w:t xml:space="preserve">म॒रुद्भि॑रग्न॒ आ ग॑हि ॥९॥ [accent ?]</w:t>
      </w:r>
    </w:p>
    <w:p>
      <w:pPr>
        <w:pStyle w:val="BlockText"/>
      </w:pPr>
      <w:r>
        <w:rPr>
          <w:iCs/>
          <w:i/>
        </w:rPr>
        <w:t xml:space="preserve">abhí tvā pū́rvapītaye sṛjā́mi somyáṃ mádhu |</w:t>
      </w:r>
      <w:r>
        <w:t xml:space="preserve"> </w:t>
      </w:r>
      <w:r>
        <w:t xml:space="preserve">[accent ?]</w:t>
      </w:r>
      <w:r>
        <w:t xml:space="preserve"> </w:t>
      </w:r>
      <w:r>
        <w:rPr>
          <w:iCs/>
          <w:i/>
        </w:rPr>
        <w:t xml:space="preserve">marúdbhir agna ā́ gahi ||9||</w:t>
      </w:r>
      <w:r>
        <w:t xml:space="preserve"> </w:t>
      </w:r>
      <w:r>
        <w:t xml:space="preserve">[accent ?]</w:t>
      </w:r>
    </w:p>
    <w:p>
      <w:pPr>
        <w:pStyle w:val="FirstParagraph"/>
      </w:pPr>
      <w:r>
        <w:rPr>
          <w:iCs/>
          <w:i/>
        </w:rPr>
        <w:t xml:space="preserve">(Read as printed: bars under अ, त्वा, सृ, सो, म (मरु) and ग्न; strokes over व (पूर्व), मि, धु, द्भि and ग.)</w:t>
      </w:r>
    </w:p>
    <w:p>
      <w:pPr>
        <w:pStyle w:val="BodyText"/>
      </w:pPr>
      <w:r>
        <w:rPr>
          <w:bCs/>
          <w:b/>
        </w:rPr>
        <w:t xml:space="preserve">॥ Pada-pāṭhaḥ ॥</w:t>
      </w:r>
    </w:p>
    <w:p>
      <w:pPr>
        <w:pStyle w:val="BlockText"/>
      </w:pPr>
      <w:r>
        <w:t xml:space="preserve">अभि । त्वा । पूर्वऽपीतये । सृजामि । सोम्यम् । मधु ॥</w:t>
      </w:r>
      <w:r>
        <w:t xml:space="preserve"> </w:t>
      </w:r>
      <w:r>
        <w:t xml:space="preserve">मरुत्ऽभिः । अग्ने । आ । गहि ॥९॥</w:t>
      </w:r>
    </w:p>
    <w:p>
      <w:pPr>
        <w:pStyle w:val="BlockText"/>
      </w:pPr>
      <w:r>
        <w:rPr>
          <w:iCs/>
          <w:i/>
        </w:rPr>
        <w:t xml:space="preserve">abhi | tvā | pūrva ’pītaye | sṛjāmi | somyam | madhu ||</w:t>
      </w:r>
      <w:r>
        <w:t xml:space="preserve"> </w:t>
      </w:r>
      <w:r>
        <w:rPr>
          <w:iCs/>
          <w:i/>
        </w:rPr>
        <w:t xml:space="preserve">marut ’bhiḥ | agne | ā | gahi ||9||</w:t>
      </w:r>
    </w:p>
    <w:p>
      <w:pPr>
        <w:pStyle w:val="FirstParagraph"/>
      </w:pPr>
      <w:r>
        <w:rPr>
          <w:bCs/>
          <w:b/>
        </w:rPr>
        <w:t xml:space="preserve">॥ Sāyaṇa-bhāṣyam ॥</w:t>
      </w:r>
    </w:p>
    <w:p>
      <w:pPr>
        <w:pStyle w:val="BodyText"/>
      </w:pPr>
      <w:r>
        <w:rPr>
          <w:iCs/>
          <w:i/>
        </w:rPr>
        <w:t xml:space="preserve">(॥३७॥ closes Varga 37.)</w:t>
      </w:r>
    </w:p>
    <w:p>
      <w:pPr>
        <w:pStyle w:val="BlockText"/>
      </w:pPr>
      <w:r>
        <w:t xml:space="preserve">हे अग्ने पूर्वपीतये पूर्वकाले प्रवृत्ताय पानाय त्वां प्रति सोम्यं मधु सोमसंबन्धिनं मधुररसमभि सृजामि । सर्वतः संपादयामि । अतस्त्वं मरुद्भिः सहात्रागच्छ ॥ अभि । एवमादीनामन्त इत्यन्तोदात्तत्वम् । त्वा । त्वामौ द्वितीयाया इति त्वादेशः सर्वानुदात्तः । पूर्वपीतये । पूर्वा चासौ पीतिश्च । पुंवत्कर्मधारयेत्यादिना । पा. ६-३-४२ । पुंवद्भावः । सृजामि । सृज विसर्गे । मिपः पित्त्वादनुदात्तत्वम् । विकरणस्वरः । सोम्यम् । सोममर्हति यः । प्रत्ययस्वरेणान्तोदात्तः । मधु । फलिपाटिनमीत्यादिना । उ. १-१९ । उप्रत्ययः । निदित्यनुवृत्तेराद्युदात्तत्वम् । अन्यद्गतम् ॥३७॥</w:t>
      </w:r>
    </w:p>
    <w:p>
      <w:pPr>
        <w:pStyle w:val="BlockText"/>
      </w:pPr>
      <w:r>
        <w:rPr>
          <w:iCs/>
          <w:i/>
        </w:rPr>
        <w:t xml:space="preserve">he agne pūrvapītaye pūrvakāle pravṛttāya pānāya tvāṃ prati somyaṃ madhu somasaṃbandhinaṃ madhurarasamabhi sṛjāmi | sarvataḥ saṃpādayāmi | atastvaṃ marudbhiḥ sahātrāgaccha || abhi | evamādīnāmanta ityantodāttatvam | tvā | tvāmau dvitīyāyā iti tvādeśaḥ sarvānudāttaḥ | pūrvapītaye | pūrvā cāsau pītiśca | puṃvatkarmadhārayetyādinā | pā. 6-3-42 | puṃvadbhāvaḥ | sṛjāmi | sṛja visarge | mipaḥ pittvādanudāttatvam | vikaraṇasvaraḥ | somyam | somamarhati yaḥ | pratyayasvareṇāntodāttaḥ | madhu | phalipāṭinamītyādinā | u. 1-19 | upratyayaḥ | nidityanuvṛtterādyudāttatvam | anyadgatam ||37||</w:t>
      </w:r>
    </w:p>
    <w:p>
      <w:pPr>
        <w:pStyle w:val="FirstParagraph"/>
      </w:pPr>
      <w:r>
        <w:rPr>
          <w:bCs/>
          <w:b/>
        </w:rPr>
        <w:t xml:space="preserve">Translation:</w:t>
      </w:r>
      <w:r>
        <w:t xml:space="preserve"> </w:t>
      </w:r>
      <w:r>
        <w:t xml:space="preserve">“</w:t>
      </w:r>
      <w:r>
        <w:t xml:space="preserve">O Agni,</w:t>
      </w:r>
      <w:r>
        <w:t xml:space="preserve"> </w:t>
      </w:r>
      <w:r>
        <w:rPr>
          <w:iCs/>
          <w:i/>
        </w:rPr>
        <w:t xml:space="preserve">pūrvapītaye</w:t>
      </w:r>
      <w:r>
        <w:t xml:space="preserve">, for the drinking that takes place first,</w:t>
      </w:r>
      <w:r>
        <w:t xml:space="preserve"> </w:t>
      </w:r>
      <w:r>
        <w:rPr>
          <w:iCs/>
          <w:i/>
        </w:rPr>
        <w:t xml:space="preserve">abhi sṛjāmi</w:t>
      </w:r>
      <w:r>
        <w:t xml:space="preserve">, I prepare on all sides, towards you, the</w:t>
      </w:r>
      <w:r>
        <w:t xml:space="preserve"> </w:t>
      </w:r>
      <w:r>
        <w:rPr>
          <w:iCs/>
          <w:i/>
        </w:rPr>
        <w:t xml:space="preserve">somya madhu</w:t>
      </w:r>
      <w:r>
        <w:t xml:space="preserve">, the sweet juice belonging to soma. So come here with the Maruts.</w:t>
      </w:r>
      <w:r>
        <w:t xml:space="preserve">”</w:t>
      </w:r>
      <w:r>
        <w:t xml:space="preserve"> </w:t>
      </w:r>
      <w:r>
        <w:t xml:space="preserve">(Grammatical tail:</w:t>
      </w:r>
      <w:r>
        <w:t xml:space="preserve"> </w:t>
      </w:r>
      <w:r>
        <w:rPr>
          <w:iCs/>
          <w:i/>
        </w:rPr>
        <w:t xml:space="preserve">abhi</w:t>
      </w:r>
      <w:r>
        <w:t xml:space="preserve">, final udātta by</w:t>
      </w:r>
      <w:r>
        <w:t xml:space="preserve"> </w:t>
      </w:r>
      <w:r>
        <w:rPr>
          <w:iCs/>
          <w:i/>
        </w:rPr>
        <w:t xml:space="preserve">evam-ādīnām antaḥ</w:t>
      </w:r>
      <w:r>
        <w:t xml:space="preserve">;</w:t>
      </w:r>
      <w:r>
        <w:t xml:space="preserve"> </w:t>
      </w:r>
      <w:r>
        <w:rPr>
          <w:iCs/>
          <w:i/>
        </w:rPr>
        <w:t xml:space="preserve">tvā</w:t>
      </w:r>
      <w:r>
        <w:t xml:space="preserve">, the substitute</w:t>
      </w:r>
      <w:r>
        <w:t xml:space="preserve"> </w:t>
      </w:r>
      <w:r>
        <w:rPr>
          <w:iCs/>
          <w:i/>
        </w:rPr>
        <w:t xml:space="preserve">tvā</w:t>
      </w:r>
      <w:r>
        <w:t xml:space="preserve"> </w:t>
      </w:r>
      <w:r>
        <w:t xml:space="preserve">by</w:t>
      </w:r>
      <w:r>
        <w:t xml:space="preserve"> </w:t>
      </w:r>
      <w:r>
        <w:rPr>
          <w:iCs/>
          <w:i/>
        </w:rPr>
        <w:t xml:space="preserve">tvāmau dvitīyāyāḥ</w:t>
      </w:r>
      <w:r>
        <w:t xml:space="preserve">, wholly unaccented;</w:t>
      </w:r>
      <w:r>
        <w:t xml:space="preserve"> </w:t>
      </w:r>
      <w:r>
        <w:rPr>
          <w:iCs/>
          <w:i/>
        </w:rPr>
        <w:t xml:space="preserve">pūrvapītaye</w:t>
      </w:r>
      <w:r>
        <w:t xml:space="preserve">,</w:t>
      </w:r>
      <w:r>
        <w:t xml:space="preserve"> </w:t>
      </w:r>
      <w:r>
        <w:t xml:space="preserve">“</w:t>
      </w:r>
      <w:r>
        <w:t xml:space="preserve">it is first and it is a drinking</w:t>
      </w:r>
      <w:r>
        <w:t xml:space="preserve">”</w:t>
      </w:r>
      <w:r>
        <w:t xml:space="preserve">,</w:t>
      </w:r>
      <w:r>
        <w:t xml:space="preserve"> </w:t>
      </w:r>
      <w:r>
        <w:rPr>
          <w:iCs/>
          <w:i/>
        </w:rPr>
        <w:t xml:space="preserve">puṃvadbhāva</w:t>
      </w:r>
      <w:r>
        <w:t xml:space="preserve"> </w:t>
      </w:r>
      <w:r>
        <w:t xml:space="preserve">by</w:t>
      </w:r>
      <w:r>
        <w:t xml:space="preserve"> </w:t>
      </w:r>
      <w:r>
        <w:rPr>
          <w:iCs/>
          <w:i/>
        </w:rPr>
        <w:t xml:space="preserve">puṃvat karmadhāraya…</w:t>
      </w:r>
      <w:r>
        <w:t xml:space="preserve"> </w:t>
      </w:r>
      <w:r>
        <w:t xml:space="preserve">(Pā. 6-3-42);</w:t>
      </w:r>
      <w:r>
        <w:t xml:space="preserve"> </w:t>
      </w:r>
      <w:r>
        <w:rPr>
          <w:iCs/>
          <w:i/>
        </w:rPr>
        <w:t xml:space="preserve">sṛjāmi</w:t>
      </w:r>
      <w:r>
        <w:t xml:space="preserve">,</w:t>
      </w:r>
      <w:r>
        <w:t xml:space="preserve"> </w:t>
      </w:r>
      <w:r>
        <w:rPr>
          <w:iCs/>
          <w:i/>
        </w:rPr>
        <w:t xml:space="preserve">sṛja visarge</w:t>
      </w:r>
      <w:r>
        <w:t xml:space="preserve">,</w:t>
      </w:r>
      <w:r>
        <w:t xml:space="preserve"> </w:t>
      </w:r>
      <w:r>
        <w:rPr>
          <w:iCs/>
          <w:i/>
        </w:rPr>
        <w:t xml:space="preserve">mip</w:t>
      </w:r>
      <w:r>
        <w:t xml:space="preserve"> </w:t>
      </w:r>
      <w:r>
        <w:t xml:space="preserve">unaccented as</w:t>
      </w:r>
      <w:r>
        <w:t xml:space="preserve"> </w:t>
      </w:r>
      <w:r>
        <w:rPr>
          <w:iCs/>
          <w:i/>
        </w:rPr>
        <w:t xml:space="preserve">pit</w:t>
      </w:r>
      <w:r>
        <w:t xml:space="preserve">, the</w:t>
      </w:r>
      <w:r>
        <w:t xml:space="preserve"> </w:t>
      </w:r>
      <w:r>
        <w:rPr>
          <w:iCs/>
          <w:i/>
        </w:rPr>
        <w:t xml:space="preserve">vikaraṇa</w:t>
      </w:r>
      <w:r>
        <w:t xml:space="preserve"> </w:t>
      </w:r>
      <w:r>
        <w:t xml:space="preserve">accent;</w:t>
      </w:r>
      <w:r>
        <w:t xml:space="preserve"> </w:t>
      </w:r>
      <w:r>
        <w:rPr>
          <w:iCs/>
          <w:i/>
        </w:rPr>
        <w:t xml:space="preserve">somyam</w:t>
      </w:r>
      <w:r>
        <w:t xml:space="preserve">,</w:t>
      </w:r>
      <w:r>
        <w:t xml:space="preserve"> </w:t>
      </w:r>
      <w:r>
        <w:t xml:space="preserve">“</w:t>
      </w:r>
      <w:r>
        <w:t xml:space="preserve">that which deserves soma</w:t>
      </w:r>
      <w:r>
        <w:t xml:space="preserve">”</w:t>
      </w:r>
      <w:r>
        <w:t xml:space="preserve">, final udātta by the suffix accent;</w:t>
      </w:r>
      <w:r>
        <w:t xml:space="preserve"> </w:t>
      </w:r>
      <w:r>
        <w:rPr>
          <w:iCs/>
          <w:i/>
        </w:rPr>
        <w:t xml:space="preserve">madhu</w:t>
      </w:r>
      <w:r>
        <w:t xml:space="preserve">, the suffix</w:t>
      </w:r>
      <w:r>
        <w:t xml:space="preserve"> </w:t>
      </w:r>
      <w:r>
        <w:rPr>
          <w:iCs/>
          <w:i/>
        </w:rPr>
        <w:t xml:space="preserve">u</w:t>
      </w:r>
      <w:r>
        <w:t xml:space="preserve"> </w:t>
      </w:r>
      <w:r>
        <w:t xml:space="preserve">by</w:t>
      </w:r>
      <w:r>
        <w:t xml:space="preserve"> </w:t>
      </w:r>
      <w:r>
        <w:rPr>
          <w:iCs/>
          <w:i/>
        </w:rPr>
        <w:t xml:space="preserve">phalipāṭinami…</w:t>
      </w:r>
      <w:r>
        <w:t xml:space="preserve"> </w:t>
      </w:r>
      <w:r>
        <w:t xml:space="preserve">(Uṇ. 1-19), initial udātta as</w:t>
      </w:r>
      <w:r>
        <w:t xml:space="preserve"> </w:t>
      </w:r>
      <w:r>
        <w:rPr>
          <w:iCs/>
          <w:i/>
        </w:rPr>
        <w:t xml:space="preserve">nit</w:t>
      </w:r>
      <w:r>
        <w:t xml:space="preserve"> </w:t>
      </w:r>
      <w:r>
        <w:t xml:space="preserve">is carried on; the rest has been explained.)</w:t>
      </w:r>
    </w:p>
    <w:bookmarkEnd w:id="896"/>
    <w:bookmarkStart w:id="897" w:name="X3cc225eecfbb59bc96f3a9fb38ecc8c329e9113"/>
    <w:p>
      <w:pPr>
        <w:pStyle w:val="Heading3"/>
      </w:pPr>
      <w:r>
        <w:t xml:space="preserve">Page 806 — Rik 9: word-meanings, overall sense, English, Special Topics, grammar</w:t>
      </w:r>
    </w:p>
    <w:p>
      <w:pPr>
        <w:pStyle w:val="FirstParagraph"/>
      </w:pPr>
      <w:r>
        <w:rPr>
          <w:bCs/>
          <w:b/>
        </w:rPr>
        <w:t xml:space="preserve">॥ Prati-padārthaḥ ॥</w:t>
      </w:r>
    </w:p>
    <w:p>
      <w:pPr>
        <w:pStyle w:val="BodyText"/>
      </w:pPr>
      <w:r>
        <w:rPr>
          <w:bCs/>
          <w:b/>
        </w:rPr>
        <w:t xml:space="preserve">(हे) अग्ने ((he) agne)</w:t>
      </w:r>
      <w:r>
        <w:t xml:space="preserve"> </w:t>
      </w:r>
      <w:r>
        <w:t xml:space="preserve">— O Agni |</w:t>
      </w:r>
      <w:r>
        <w:t xml:space="preserve"> </w:t>
      </w:r>
      <w:r>
        <w:rPr>
          <w:bCs/>
          <w:b/>
        </w:rPr>
        <w:t xml:space="preserve">त्वा (tvā)</w:t>
      </w:r>
      <w:r>
        <w:t xml:space="preserve"> </w:t>
      </w:r>
      <w:r>
        <w:t xml:space="preserve">— for you, or with you in view |</w:t>
      </w:r>
      <w:r>
        <w:t xml:space="preserve"> </w:t>
      </w:r>
      <w:r>
        <w:rPr>
          <w:bCs/>
          <w:b/>
        </w:rPr>
        <w:t xml:space="preserve">पूर्वपीतये (pūrvapītaye)</w:t>
      </w:r>
      <w:r>
        <w:t xml:space="preserve"> </w:t>
      </w:r>
      <w:r>
        <w:t xml:space="preserve">— for drinking first (before all) |</w:t>
      </w:r>
      <w:r>
        <w:t xml:space="preserve"> </w:t>
      </w:r>
      <w:r>
        <w:rPr>
          <w:bCs/>
          <w:b/>
        </w:rPr>
        <w:t xml:space="preserve">सोम्यम् (somyam)</w:t>
      </w:r>
      <w:r>
        <w:t xml:space="preserve"> </w:t>
      </w:r>
      <w:r>
        <w:t xml:space="preserve">— belonging to soma |</w:t>
      </w:r>
      <w:r>
        <w:t xml:space="preserve"> </w:t>
      </w:r>
      <w:r>
        <w:rPr>
          <w:bCs/>
          <w:b/>
        </w:rPr>
        <w:t xml:space="preserve">मधु (madhu)</w:t>
      </w:r>
      <w:r>
        <w:t xml:space="preserve"> </w:t>
      </w:r>
      <w:r>
        <w:t xml:space="preserve">— the sweet juice |</w:t>
      </w:r>
      <w:r>
        <w:t xml:space="preserve"> </w:t>
      </w:r>
      <w:r>
        <w:rPr>
          <w:bCs/>
          <w:b/>
        </w:rPr>
        <w:t xml:space="preserve">अभि सृजामि (abhi sṛjāmi)</w:t>
      </w:r>
      <w:r>
        <w:t xml:space="preserve"> </w:t>
      </w:r>
      <w:r>
        <w:t xml:space="preserve">— I pour (into the vessel) and make ready | (you)</w:t>
      </w:r>
      <w:r>
        <w:t xml:space="preserve"> </w:t>
      </w:r>
      <w:r>
        <w:rPr>
          <w:bCs/>
          <w:b/>
        </w:rPr>
        <w:t xml:space="preserve">मरुद्भिः (marudbhiḥ)</w:t>
      </w:r>
      <w:r>
        <w:t xml:space="preserve"> </w:t>
      </w:r>
      <w:r>
        <w:t xml:space="preserve">— with the Marut deities |</w:t>
      </w:r>
      <w:r>
        <w:t xml:space="preserve"> </w:t>
      </w:r>
      <w:r>
        <w:rPr>
          <w:bCs/>
          <w:b/>
        </w:rPr>
        <w:t xml:space="preserve">आ गहि (ā gahi)</w:t>
      </w:r>
      <w:r>
        <w:t xml:space="preserve"> </w:t>
      </w:r>
      <w:r>
        <w:t xml:space="preserve">— come here.</w:t>
      </w:r>
    </w:p>
    <w:p>
      <w:pPr>
        <w:pStyle w:val="BodyText"/>
      </w:pPr>
      <w:r>
        <w:rPr>
          <w:bCs/>
          <w:b/>
        </w:rPr>
        <w:t xml:space="preserve">॥ Bhāvārthaḥ ॥</w:t>
      </w:r>
    </w:p>
    <w:p>
      <w:pPr>
        <w:pStyle w:val="BodyText"/>
      </w:pPr>
      <w:r>
        <w:t xml:space="preserve">O Agni, I pour the tasty soma juice into the vessel and make it ready for you to drink first of all. So come here together with the Marut deities.</w:t>
      </w:r>
    </w:p>
    <w:p>
      <w:pPr>
        <w:pStyle w:val="BodyText"/>
      </w:pPr>
      <w:r>
        <w:rPr>
          <w:bCs/>
          <w:b/>
        </w:rPr>
        <w:t xml:space="preserve">॥ English Translation ॥</w:t>
      </w:r>
      <w:r>
        <w:t xml:space="preserve"> </w:t>
      </w:r>
      <w:r>
        <w:rPr>
          <w:iCs/>
          <w:i/>
        </w:rPr>
        <w:t xml:space="preserve">(as printed in the source)</w:t>
      </w:r>
    </w:p>
    <w:p>
      <w:pPr>
        <w:pStyle w:val="BlockText"/>
      </w:pPr>
      <w:r>
        <w:t xml:space="preserve">O Agni, I pour out the sweet drink of Soma to you that you may drink first ; come hither with the Maruths [sic].</w:t>
      </w:r>
    </w:p>
    <w:p>
      <w:pPr>
        <w:pStyle w:val="FirstParagraph"/>
      </w:pPr>
      <w:r>
        <w:rPr>
          <w:bCs/>
          <w:b/>
        </w:rPr>
        <w:t xml:space="preserve">॥ Viśeṣa-viṣayagaḷu (Special Topics) ॥</w:t>
      </w:r>
    </w:p>
    <w:p>
      <w:pPr>
        <w:pStyle w:val="BodyText"/>
      </w:pPr>
      <w:r>
        <w:rPr>
          <w:bCs/>
          <w:b/>
        </w:rPr>
        <w:t xml:space="preserve">Pūrvapītaye</w:t>
      </w:r>
      <w:r>
        <w:t xml:space="preserve">: for drinking first of all. For this word the scholar Wilson has given the wrong sense</w:t>
      </w:r>
      <w:r>
        <w:t xml:space="preserve"> </w:t>
      </w:r>
      <w:r>
        <w:t xml:space="preserve">“</w:t>
      </w:r>
      <w:r>
        <w:t xml:space="preserve">as of old</w:t>
      </w:r>
      <w:r>
        <w:t xml:space="preserve">”</w:t>
      </w:r>
      <w:r>
        <w:t xml:space="preserve"> </w:t>
      </w:r>
      <w:r>
        <w:t xml:space="preserve">[as printed], formerly. The sense given by the commentator,</w:t>
      </w:r>
      <w:r>
        <w:t xml:space="preserve"> </w:t>
      </w:r>
      <w:r>
        <w:t xml:space="preserve">“</w:t>
      </w:r>
      <w:r>
        <w:t xml:space="preserve">first of all</w:t>
      </w:r>
      <w:r>
        <w:t xml:space="preserve">”</w:t>
      </w:r>
      <w:r>
        <w:t xml:space="preserve">, is the fitting one.</w:t>
      </w:r>
    </w:p>
    <w:p>
      <w:pPr>
        <w:pStyle w:val="BodyText"/>
      </w:pPr>
      <w:r>
        <w:rPr>
          <w:bCs/>
          <w:b/>
        </w:rPr>
        <w:t xml:space="preserve">Abhi sṛjāmi</w:t>
      </w:r>
      <w:r>
        <w:t xml:space="preserve">:</w:t>
      </w:r>
    </w:p>
    <w:p>
      <w:pPr>
        <w:pStyle w:val="BlockText"/>
      </w:pPr>
      <w:r>
        <w:t xml:space="preserve">सर्वतः संपादयामि</w:t>
      </w:r>
    </w:p>
    <w:p>
      <w:pPr>
        <w:pStyle w:val="BlockText"/>
      </w:pPr>
      <w:r>
        <w:rPr>
          <w:iCs/>
          <w:i/>
        </w:rPr>
        <w:t xml:space="preserve">sarvataḥ saṃpādayāmi</w:t>
      </w:r>
    </w:p>
    <w:p>
      <w:pPr>
        <w:pStyle w:val="FirstParagraph"/>
      </w:pPr>
      <w:r>
        <w:t xml:space="preserve">(</w:t>
      </w:r>
      <w:r>
        <w:t xml:space="preserve">“</w:t>
      </w:r>
      <w:r>
        <w:t xml:space="preserve">I prepare on all sides.</w:t>
      </w:r>
      <w:r>
        <w:t xml:space="preserve">”</w:t>
      </w:r>
      <w:r>
        <w:t xml:space="preserve">) I pour into the vessel and make ready.</w:t>
      </w:r>
    </w:p>
    <w:p>
      <w:pPr>
        <w:pStyle w:val="BodyText"/>
      </w:pPr>
      <w:r>
        <w:rPr>
          <w:bCs/>
          <w:b/>
        </w:rPr>
        <w:t xml:space="preserve">Somyam</w:t>
      </w:r>
      <w:r>
        <w:t xml:space="preserve">:</w:t>
      </w:r>
    </w:p>
    <w:p>
      <w:pPr>
        <w:pStyle w:val="BlockText"/>
      </w:pPr>
      <w:r>
        <w:t xml:space="preserve">सोममर्हति यः</w:t>
      </w:r>
    </w:p>
    <w:p>
      <w:pPr>
        <w:pStyle w:val="BlockText"/>
      </w:pPr>
      <w:r>
        <w:rPr>
          <w:iCs/>
          <w:i/>
        </w:rPr>
        <w:t xml:space="preserve">somamarhati yaḥ</w:t>
      </w:r>
    </w:p>
    <w:p>
      <w:pPr>
        <w:pStyle w:val="FirstParagraph"/>
      </w:pPr>
      <w:r>
        <w:t xml:space="preserve">(</w:t>
      </w:r>
      <w:r>
        <w:t xml:space="preserve">“</w:t>
      </w:r>
      <w:r>
        <w:t xml:space="preserve">That which deserves soma.</w:t>
      </w:r>
      <w:r>
        <w:t xml:space="preserve">”</w:t>
      </w:r>
      <w:r>
        <w:t xml:space="preserve">) Worthy of soma, belonging to soma.</w:t>
      </w:r>
      <w:r>
        <w:t xml:space="preserve"> </w:t>
      </w:r>
      <w:r>
        <w:rPr>
          <w:iCs/>
          <w:i/>
        </w:rPr>
        <w:t xml:space="preserve">Madhu</w:t>
      </w:r>
      <w:r>
        <w:t xml:space="preserve">: sweet, tasty;</w:t>
      </w:r>
      <w:r>
        <w:t xml:space="preserve"> </w:t>
      </w:r>
      <w:r>
        <w:rPr>
          <w:iCs/>
          <w:i/>
        </w:rPr>
        <w:t xml:space="preserve">somyaṃ madhu</w:t>
      </w:r>
      <w:r>
        <w:t xml:space="preserve"> </w:t>
      </w:r>
      <w:r>
        <w:t xml:space="preserve">means the tasty soma juice.</w:t>
      </w:r>
    </w:p>
    <w:p>
      <w:pPr>
        <w:pStyle w:val="BodyText"/>
      </w:pPr>
      <w:r>
        <w:rPr>
          <w:bCs/>
          <w:b/>
        </w:rPr>
        <w:t xml:space="preserve">॥ Vyākaraṇa-prakriyā ॥</w:t>
      </w:r>
      <w:r>
        <w:t xml:space="preserve"> </w:t>
      </w:r>
      <w:r>
        <w:rPr>
          <w:iCs/>
          <w:i/>
        </w:rPr>
        <w:t xml:space="preserve">(grammar pages 806–808, noted briefly)</w:t>
      </w:r>
    </w:p>
    <w:p>
      <w:pPr>
        <w:pStyle w:val="BodyText"/>
      </w:pPr>
      <w:r>
        <w:rPr>
          <w:bCs/>
          <w:b/>
        </w:rPr>
        <w:t xml:space="preserve">अभि (</w:t>
      </w:r>
      <w:r>
        <w:rPr>
          <w:iCs/>
          <w:i/>
          <w:bCs/>
          <w:b/>
        </w:rPr>
        <w:t xml:space="preserve">abhi</w:t>
      </w:r>
      <w:r>
        <w:rPr>
          <w:bCs/>
          <w:b/>
        </w:rPr>
        <w:t xml:space="preserve">)</w:t>
      </w:r>
      <w:r>
        <w:t xml:space="preserve">: final udātta by</w:t>
      </w:r>
      <w:r>
        <w:t xml:space="preserve"> </w:t>
      </w:r>
      <w:r>
        <w:t xml:space="preserve">“</w:t>
      </w:r>
      <w:r>
        <w:t xml:space="preserve">evādīnām antaḥ</w:t>
      </w:r>
      <w:r>
        <w:t xml:space="preserve">”</w:t>
      </w:r>
      <w:r>
        <w:t xml:space="preserve">.</w:t>
      </w:r>
    </w:p>
    <w:p>
      <w:pPr>
        <w:pStyle w:val="BodyText"/>
      </w:pPr>
      <w:r>
        <w:rPr>
          <w:bCs/>
          <w:b/>
        </w:rPr>
        <w:t xml:space="preserve">त्वा (</w:t>
      </w:r>
      <w:r>
        <w:rPr>
          <w:iCs/>
          <w:i/>
          <w:bCs/>
          <w:b/>
        </w:rPr>
        <w:t xml:space="preserve">tvā</w:t>
      </w:r>
      <w:r>
        <w:rPr>
          <w:bCs/>
          <w:b/>
        </w:rPr>
        <w:t xml:space="preserve">)</w:t>
      </w:r>
      <w:r>
        <w:t xml:space="preserve">: for</w:t>
      </w:r>
      <w:r>
        <w:t xml:space="preserve"> </w:t>
      </w:r>
      <w:r>
        <w:rPr>
          <w:iCs/>
          <w:i/>
        </w:rPr>
        <w:t xml:space="preserve">tvām</w:t>
      </w:r>
      <w:r>
        <w:t xml:space="preserve">, the accusative-final of the base</w:t>
      </w:r>
      <w:r>
        <w:t xml:space="preserve"> </w:t>
      </w:r>
      <w:r>
        <w:rPr>
          <w:iCs/>
          <w:i/>
        </w:rPr>
        <w:t xml:space="preserve">yuṣmad</w:t>
      </w:r>
      <w:r>
        <w:t xml:space="preserve">, by</w:t>
      </w:r>
      <w:r>
        <w:t xml:space="preserve"> </w:t>
      </w:r>
      <w:r>
        <w:t xml:space="preserve">“</w:t>
      </w:r>
      <w:r>
        <w:t xml:space="preserve">tvāmau dvitīyāyāḥ</w:t>
      </w:r>
      <w:r>
        <w:t xml:space="preserve">”</w:t>
      </w:r>
      <w:r>
        <w:t xml:space="preserve"> </w:t>
      </w:r>
      <w:r>
        <w:t xml:space="preserve">(Pā. sū. 8-1-23), the accusative-singular forms of</w:t>
      </w:r>
      <w:r>
        <w:t xml:space="preserve"> </w:t>
      </w:r>
      <w:r>
        <w:rPr>
          <w:iCs/>
          <w:i/>
        </w:rPr>
        <w:t xml:space="preserve">yuṣmad</w:t>
      </w:r>
      <w:r>
        <w:t xml:space="preserve"> </w:t>
      </w:r>
      <w:r>
        <w:t xml:space="preserve">and</w:t>
      </w:r>
      <w:r>
        <w:t xml:space="preserve"> </w:t>
      </w:r>
      <w:r>
        <w:rPr>
          <w:iCs/>
          <w:i/>
        </w:rPr>
        <w:t xml:space="preserve">asmad</w:t>
      </w:r>
      <w:r>
        <w:t xml:space="preserve">, standing after a word and not at the start of a</w:t>
      </w:r>
      <w:r>
        <w:t xml:space="preserve"> </w:t>
      </w:r>
      <w:r>
        <w:rPr>
          <w:iCs/>
          <w:i/>
        </w:rPr>
        <w:t xml:space="preserve">pāda</w:t>
      </w:r>
      <w:r>
        <w:t xml:space="preserve">, take the substitutes</w:t>
      </w:r>
      <w:r>
        <w:t xml:space="preserve"> </w:t>
      </w:r>
      <w:r>
        <w:rPr>
          <w:iCs/>
          <w:i/>
        </w:rPr>
        <w:t xml:space="preserve">tvā</w:t>
      </w:r>
      <w:r>
        <w:t xml:space="preserve"> </w:t>
      </w:r>
      <w:r>
        <w:t xml:space="preserve">and</w:t>
      </w:r>
      <w:r>
        <w:t xml:space="preserve"> </w:t>
      </w:r>
      <w:r>
        <w:rPr>
          <w:iCs/>
          <w:i/>
        </w:rPr>
        <w:t xml:space="preserve">mā</w:t>
      </w:r>
      <w:r>
        <w:t xml:space="preserve"> </w:t>
      </w:r>
      <w:r>
        <w:t xml:space="preserve">respectively, and these are wholly unaccented; so the wholly unaccented substitute</w:t>
      </w:r>
      <w:r>
        <w:t xml:space="preserve"> </w:t>
      </w:r>
      <w:r>
        <w:rPr>
          <w:iCs/>
          <w:i/>
        </w:rPr>
        <w:t xml:space="preserve">tvā</w:t>
      </w:r>
      <w:r>
        <w:t xml:space="preserve"> </w:t>
      </w:r>
      <w:r>
        <w:t xml:space="preserve">comes.</w:t>
      </w:r>
    </w:p>
    <w:bookmarkEnd w:id="897"/>
    <w:bookmarkStart w:id="898" w:name="page-807-rik-9-grammar"/>
    <w:p>
      <w:pPr>
        <w:pStyle w:val="Heading3"/>
      </w:pPr>
      <w:r>
        <w:t xml:space="preserve">Page 807 — Rik 9: grammar</w:t>
      </w:r>
    </w:p>
    <w:p>
      <w:pPr>
        <w:pStyle w:val="FirstParagraph"/>
      </w:pPr>
      <w:r>
        <w:rPr>
          <w:bCs/>
          <w:b/>
        </w:rPr>
        <w:t xml:space="preserve">पूर्वपीतये (</w:t>
      </w:r>
      <w:r>
        <w:rPr>
          <w:iCs/>
          <w:i/>
          <w:bCs/>
          <w:b/>
        </w:rPr>
        <w:t xml:space="preserve">pūrvapītaye</w:t>
      </w:r>
      <w:r>
        <w:rPr>
          <w:bCs/>
          <w:b/>
        </w:rPr>
        <w:t xml:space="preserve">)</w:t>
      </w:r>
      <w:r>
        <w:t xml:space="preserve">:</w:t>
      </w:r>
      <w:r>
        <w:t xml:space="preserve"> </w:t>
      </w:r>
      <w:r>
        <w:rPr>
          <w:iCs/>
          <w:i/>
        </w:rPr>
        <w:t xml:space="preserve">pūrvā cāsau pītiś ca</w:t>
      </w:r>
      <w:r>
        <w:t xml:space="preserve">,</w:t>
      </w:r>
      <w:r>
        <w:t xml:space="preserve"> </w:t>
      </w:r>
      <w:r>
        <w:rPr>
          <w:iCs/>
          <w:i/>
        </w:rPr>
        <w:t xml:space="preserve">pūrvapītiḥ</w:t>
      </w:r>
      <w:r>
        <w:t xml:space="preserve">. In</w:t>
      </w:r>
      <w:r>
        <w:t xml:space="preserve"> </w:t>
      </w:r>
      <w:r>
        <w:t xml:space="preserve">“</w:t>
      </w:r>
      <w:r>
        <w:t xml:space="preserve">puṃvat karmadhārayajātīyadeśīyeṣu</w:t>
      </w:r>
      <w:r>
        <w:t xml:space="preserve">”</w:t>
      </w:r>
      <w:r>
        <w:t xml:space="preserve"> </w:t>
      </w:r>
      <w:r>
        <w:t xml:space="preserve">(Pā. sū. 6-3-42) the words</w:t>
      </w:r>
      <w:r>
        <w:t xml:space="preserve"> </w:t>
      </w:r>
      <w:r>
        <w:rPr>
          <w:iCs/>
          <w:i/>
        </w:rPr>
        <w:t xml:space="preserve">striyāḥ</w:t>
      </w:r>
      <w:r>
        <w:t xml:space="preserve">,</w:t>
      </w:r>
      <w:r>
        <w:t xml:space="preserve"> </w:t>
      </w:r>
      <w:r>
        <w:rPr>
          <w:iCs/>
          <w:i/>
        </w:rPr>
        <w:t xml:space="preserve">puṃvat</w:t>
      </w:r>
      <w:r>
        <w:t xml:space="preserve">,</w:t>
      </w:r>
      <w:r>
        <w:t xml:space="preserve"> </w:t>
      </w:r>
      <w:r>
        <w:rPr>
          <w:iCs/>
          <w:i/>
        </w:rPr>
        <w:t xml:space="preserve">bhāṣitapuṃskād anūṅ</w:t>
      </w:r>
      <w:r>
        <w:t xml:space="preserve"> </w:t>
      </w:r>
      <w:r>
        <w:t xml:space="preserve">and</w:t>
      </w:r>
      <w:r>
        <w:t xml:space="preserve"> </w:t>
      </w:r>
      <w:r>
        <w:rPr>
          <w:iCs/>
          <w:i/>
        </w:rPr>
        <w:t xml:space="preserve">striyām</w:t>
      </w:r>
      <w:r>
        <w:t xml:space="preserve"> </w:t>
      </w:r>
      <w:r>
        <w:t xml:space="preserve">are carried on from the sūtra</w:t>
      </w:r>
      <w:r>
        <w:t xml:space="preserve"> </w:t>
      </w:r>
      <w:r>
        <w:t xml:space="preserve">“</w:t>
      </w:r>
      <w:r>
        <w:t xml:space="preserve">striyāḥ puṃvad bhāṣitapuṃskād anūṅ samānādhikaraṇe striyām apūraṇīpriyādiṣu</w:t>
      </w:r>
      <w:r>
        <w:t xml:space="preserve">”</w:t>
      </w:r>
      <w:r>
        <w:t xml:space="preserve"> </w:t>
      </w:r>
      <w:r>
        <w:t xml:space="preserve">(Pā. sū. 6-3-34). By</w:t>
      </w:r>
      <w:r>
        <w:t xml:space="preserve"> </w:t>
      </w:r>
      <w:r>
        <w:t xml:space="preserve">“</w:t>
      </w:r>
      <w:r>
        <w:t xml:space="preserve">aluk uttarapade</w:t>
      </w:r>
      <w:r>
        <w:t xml:space="preserve">”</w:t>
      </w:r>
      <w:r>
        <w:t xml:space="preserve"> </w:t>
      </w:r>
      <w:r>
        <w:t xml:space="preserve">(Pā. sū. 6-3-1)</w:t>
      </w:r>
      <w:r>
        <w:t xml:space="preserve"> </w:t>
      </w:r>
      <w:r>
        <w:rPr>
          <w:iCs/>
          <w:i/>
        </w:rPr>
        <w:t xml:space="preserve">uttarapade</w:t>
      </w:r>
      <w:r>
        <w:t xml:space="preserve"> </w:t>
      </w:r>
      <w:r>
        <w:t xml:space="preserve">is the heading.</w:t>
      </w:r>
      <w:r>
        <w:t xml:space="preserve"> </w:t>
      </w:r>
      <w:r>
        <w:rPr>
          <w:iCs/>
          <w:i/>
        </w:rPr>
        <w:t xml:space="preserve">Bhāṣitaḥ pumān yasmin pravṛttinimitte tat bhāṣitapuṃskam</w:t>
      </w:r>
      <w:r>
        <w:t xml:space="preserve">;</w:t>
      </w:r>
      <w:r>
        <w:t xml:space="preserve"> </w:t>
      </w:r>
      <w:r>
        <w:rPr>
          <w:iCs/>
          <w:i/>
        </w:rPr>
        <w:t xml:space="preserve">bhāṣitapuṃskam asyāsti iti bhāṣitapuṃskam</w:t>
      </w:r>
      <w:r>
        <w:t xml:space="preserve">, ending in</w:t>
      </w:r>
      <w:r>
        <w:t xml:space="preserve"> </w:t>
      </w:r>
      <w:r>
        <w:rPr>
          <w:iCs/>
          <w:i/>
        </w:rPr>
        <w:t xml:space="preserve">ac</w:t>
      </w:r>
      <w:r>
        <w:t xml:space="preserve"> </w:t>
      </w:r>
      <w:r>
        <w:t xml:space="preserve">in the sense of</w:t>
      </w:r>
      <w:r>
        <w:t xml:space="preserve"> </w:t>
      </w:r>
      <w:r>
        <w:rPr>
          <w:iCs/>
          <w:i/>
        </w:rPr>
        <w:t xml:space="preserve">arśa-ādi</w:t>
      </w:r>
      <w:r>
        <w:t xml:space="preserve">: a word that has a ground of use in which masculinity has been stated is meant as</w:t>
      </w:r>
      <w:r>
        <w:t xml:space="preserve"> </w:t>
      </w:r>
      <w:r>
        <w:rPr>
          <w:iCs/>
          <w:i/>
        </w:rPr>
        <w:t xml:space="preserve">bhāṣitapuṃska</w:t>
      </w:r>
      <w:r>
        <w:t xml:space="preserve">.</w:t>
      </w:r>
      <w:r>
        <w:t xml:space="preserve"> </w:t>
      </w:r>
      <w:r>
        <w:rPr>
          <w:iCs/>
          <w:i/>
        </w:rPr>
        <w:t xml:space="preserve">Ūṅaḥ abhāvaḥ</w:t>
      </w:r>
      <w:r>
        <w:t xml:space="preserve">, or</w:t>
      </w:r>
      <w:r>
        <w:t xml:space="preserve"> </w:t>
      </w:r>
      <w:r>
        <w:rPr>
          <w:iCs/>
          <w:i/>
        </w:rPr>
        <w:t xml:space="preserve">na ūṅ</w:t>
      </w:r>
      <w:r>
        <w:t xml:space="preserve">,</w:t>
      </w:r>
      <w:r>
        <w:t xml:space="preserve"> </w:t>
      </w:r>
      <w:r>
        <w:rPr>
          <w:iCs/>
          <w:i/>
        </w:rPr>
        <w:t xml:space="preserve">anūṅ</w:t>
      </w:r>
      <w:r>
        <w:t xml:space="preserve">;</w:t>
      </w:r>
      <w:r>
        <w:t xml:space="preserve"> </w:t>
      </w:r>
      <w:r>
        <w:rPr>
          <w:iCs/>
          <w:i/>
        </w:rPr>
        <w:t xml:space="preserve">bhāṣitapuṃskāt anūṅ ūṅabhāvaḥ yasyāḥ sā</w:t>
      </w:r>
      <w:r>
        <w:t xml:space="preserve">: a</w:t>
      </w:r>
      <w:r>
        <w:t xml:space="preserve"> </w:t>
      </w:r>
      <w:r>
        <w:rPr>
          <w:iCs/>
          <w:i/>
        </w:rPr>
        <w:t xml:space="preserve">bahuvrīhi</w:t>
      </w:r>
      <w:r>
        <w:t xml:space="preserve">; by force of the ready-made form, the ablative of the compound member</w:t>
      </w:r>
      <w:r>
        <w:t xml:space="preserve"> </w:t>
      </w:r>
      <w:r>
        <w:rPr>
          <w:iCs/>
          <w:i/>
        </w:rPr>
        <w:t xml:space="preserve">bhāṣitapuṃskāt</w:t>
      </w:r>
      <w:r>
        <w:t xml:space="preserve"> </w:t>
      </w:r>
      <w:r>
        <w:t xml:space="preserve">is not dropped, and the genitive after the compound is dropped. The</w:t>
      </w:r>
      <w:r>
        <w:t xml:space="preserve"> </w:t>
      </w:r>
      <w:r>
        <w:rPr>
          <w:iCs/>
          <w:i/>
        </w:rPr>
        <w:t xml:space="preserve">vyadhikaraṇa</w:t>
      </w:r>
      <w:r>
        <w:t xml:space="preserve"> </w:t>
      </w:r>
      <w:r>
        <w:t xml:space="preserve">compound too is by the ready-made form; by force of the explanation,</w:t>
      </w:r>
      <w:r>
        <w:t xml:space="preserve"> </w:t>
      </w:r>
      <w:r>
        <w:rPr>
          <w:iCs/>
          <w:i/>
        </w:rPr>
        <w:t xml:space="preserve">apūraṇīpriyādiṣu</w:t>
      </w:r>
      <w:r>
        <w:t xml:space="preserve"> </w:t>
      </w:r>
      <w:r>
        <w:t xml:space="preserve">is not carried on here. Extension is said to be of seven kinds:</w:t>
      </w:r>
      <w:r>
        <w:t xml:space="preserve"> </w:t>
      </w:r>
      <w:r>
        <w:t xml:space="preserve">“</w:t>
      </w:r>
      <w:r>
        <w:rPr>
          <w:iCs/>
          <w:i/>
        </w:rPr>
        <w:t xml:space="preserve">kārya-rūpa-nimittārtha-śāstra-tādātmya-śabditāḥ | vyapadeśaś ca saptaite ’tideśān pracakṣate</w:t>
      </w:r>
      <w:r>
        <w:t xml:space="preserve">”</w:t>
      </w:r>
      <w:r>
        <w:t xml:space="preserve">. In</w:t>
      </w:r>
      <w:r>
        <w:t xml:space="preserve"> </w:t>
      </w:r>
      <w:r>
        <w:rPr>
          <w:iCs/>
          <w:i/>
        </w:rPr>
        <w:t xml:space="preserve">subāmantrite</w:t>
      </w:r>
      <w:r>
        <w:t xml:space="preserve"> </w:t>
      </w:r>
      <w:r>
        <w:t xml:space="preserve">there is extension of identity; here, extension of form: whatever form there is in the masculine, that same form comes. So the sense of the sūtra</w:t>
      </w:r>
      <w:r>
        <w:t xml:space="preserve"> </w:t>
      </w:r>
      <w:r>
        <w:rPr>
          <w:iCs/>
          <w:i/>
        </w:rPr>
        <w:t xml:space="preserve">puṃvat</w:t>
      </w:r>
      <w:r>
        <w:t xml:space="preserve"> </w:t>
      </w:r>
      <w:r>
        <w:t xml:space="preserve">is: the feminine word that stands immediately before the final member of a</w:t>
      </w:r>
      <w:r>
        <w:t xml:space="preserve"> </w:t>
      </w:r>
      <w:r>
        <w:rPr>
          <w:iCs/>
          <w:i/>
        </w:rPr>
        <w:t xml:space="preserve">karmadhāraya</w:t>
      </w:r>
      <w:r>
        <w:t xml:space="preserve">, or immediately before the suffixes</w:t>
      </w:r>
      <w:r>
        <w:t xml:space="preserve"> </w:t>
      </w:r>
      <w:r>
        <w:rPr>
          <w:iCs/>
          <w:i/>
        </w:rPr>
        <w:t xml:space="preserve">jātīyar</w:t>
      </w:r>
      <w:r>
        <w:t xml:space="preserve"> </w:t>
      </w:r>
      <w:r>
        <w:t xml:space="preserve">and</w:t>
      </w:r>
      <w:r>
        <w:t xml:space="preserve"> </w:t>
      </w:r>
      <w:r>
        <w:rPr>
          <w:iCs/>
          <w:i/>
        </w:rPr>
        <w:t xml:space="preserve">deśīyar</w:t>
      </w:r>
      <w:r>
        <w:t xml:space="preserve">, having a ground of use in which masculinity has been stated and not having the suffix</w:t>
      </w:r>
      <w:r>
        <w:t xml:space="preserve"> </w:t>
      </w:r>
      <w:r>
        <w:rPr>
          <w:iCs/>
          <w:i/>
        </w:rPr>
        <w:t xml:space="preserve">ūṅ</w:t>
      </w:r>
      <w:r>
        <w:t xml:space="preserve">, takes the masculine form. With</w:t>
      </w:r>
      <w:r>
        <w:t xml:space="preserve"> </w:t>
      </w:r>
      <w:r>
        <w:rPr>
          <w:iCs/>
          <w:i/>
        </w:rPr>
        <w:t xml:space="preserve">pūrvā</w:t>
      </w:r>
      <w:r>
        <w:t xml:space="preserve"> </w:t>
      </w:r>
      <w:r>
        <w:t xml:space="preserve">+</w:t>
      </w:r>
      <w:r>
        <w:t xml:space="preserve"> </w:t>
      </w:r>
      <w:r>
        <w:rPr>
          <w:iCs/>
          <w:i/>
        </w:rPr>
        <w:t xml:space="preserve">pīti</w:t>
      </w:r>
      <w:r>
        <w:t xml:space="preserve">, by this sūtra</w:t>
      </w:r>
      <w:r>
        <w:t xml:space="preserve"> </w:t>
      </w:r>
      <w:r>
        <w:rPr>
          <w:iCs/>
          <w:i/>
        </w:rPr>
        <w:t xml:space="preserve">pūrvā</w:t>
      </w:r>
      <w:r>
        <w:t xml:space="preserve"> </w:t>
      </w:r>
      <w:r>
        <w:t xml:space="preserve">takes the masculine form:</w:t>
      </w:r>
      <w:r>
        <w:t xml:space="preserve"> </w:t>
      </w:r>
      <w:r>
        <w:rPr>
          <w:iCs/>
          <w:i/>
        </w:rPr>
        <w:t xml:space="preserve">pūrvapīti</w:t>
      </w:r>
      <w:r>
        <w:t xml:space="preserve">; in the dative singular</w:t>
      </w:r>
      <w:r>
        <w:t xml:space="preserve"> </w:t>
      </w:r>
      <w:r>
        <w:rPr>
          <w:iCs/>
          <w:i/>
        </w:rPr>
        <w:t xml:space="preserve">pūrvapītaye</w:t>
      </w:r>
      <w:r>
        <w:t xml:space="preserve">.</w:t>
      </w:r>
    </w:p>
    <w:p>
      <w:pPr>
        <w:pStyle w:val="BodyText"/>
      </w:pPr>
      <w:r>
        <w:rPr>
          <w:bCs/>
          <w:b/>
        </w:rPr>
        <w:t xml:space="preserve">सृजामि (</w:t>
      </w:r>
      <w:r>
        <w:rPr>
          <w:iCs/>
          <w:i/>
          <w:bCs/>
          <w:b/>
        </w:rPr>
        <w:t xml:space="preserve">sṛjāmi</w:t>
      </w:r>
      <w:r>
        <w:rPr>
          <w:bCs/>
          <w:b/>
        </w:rPr>
        <w:t xml:space="preserve">)</w:t>
      </w:r>
      <w:r>
        <w:t xml:space="preserve">:</w:t>
      </w:r>
      <w:r>
        <w:t xml:space="preserve"> </w:t>
      </w:r>
      <w:r>
        <w:rPr>
          <w:iCs/>
          <w:i/>
        </w:rPr>
        <w:t xml:space="preserve">sṛja visarge</w:t>
      </w:r>
      <w:r>
        <w:t xml:space="preserve">, a root of the</w:t>
      </w:r>
      <w:r>
        <w:t xml:space="preserve"> </w:t>
      </w:r>
      <w:r>
        <w:rPr>
          <w:iCs/>
          <w:i/>
        </w:rPr>
        <w:t xml:space="preserve">tud-ādi</w:t>
      </w:r>
      <w:r>
        <w:t xml:space="preserve">.</w:t>
      </w:r>
      <w:r>
        <w:t xml:space="preserve"> </w:t>
      </w:r>
      <w:r>
        <w:rPr>
          <w:iCs/>
          <w:i/>
        </w:rPr>
        <w:t xml:space="preserve">Laṭ</w:t>
      </w:r>
      <w:r>
        <w:t xml:space="preserve">, 1st singular</w:t>
      </w:r>
      <w:r>
        <w:t xml:space="preserve"> </w:t>
      </w:r>
      <w:r>
        <w:rPr>
          <w:iCs/>
          <w:i/>
        </w:rPr>
        <w:t xml:space="preserve">mip</w:t>
      </w:r>
      <w:r>
        <w:t xml:space="preserve">:</w:t>
      </w:r>
      <w:r>
        <w:t xml:space="preserve"> </w:t>
      </w:r>
      <w:r>
        <w:rPr>
          <w:iCs/>
          <w:i/>
        </w:rPr>
        <w:t xml:space="preserve">sṛj</w:t>
      </w:r>
      <w:r>
        <w:t xml:space="preserve"> </w:t>
      </w:r>
      <w:r>
        <w:t xml:space="preserve">+</w:t>
      </w:r>
      <w:r>
        <w:t xml:space="preserve"> </w:t>
      </w:r>
      <w:r>
        <w:rPr>
          <w:iCs/>
          <w:i/>
        </w:rPr>
        <w:t xml:space="preserve">mi</w:t>
      </w:r>
      <w:r>
        <w:t xml:space="preserve">; the</w:t>
      </w:r>
      <w:r>
        <w:t xml:space="preserve"> </w:t>
      </w:r>
      <w:r>
        <w:rPr>
          <w:iCs/>
          <w:i/>
        </w:rPr>
        <w:t xml:space="preserve">vikaraṇa</w:t>
      </w:r>
      <w:r>
        <w:t xml:space="preserve"> </w:t>
      </w:r>
      <w:r>
        <w:rPr>
          <w:iCs/>
          <w:i/>
        </w:rPr>
        <w:t xml:space="preserve">śap</w:t>
      </w:r>
      <w:r>
        <w:t xml:space="preserve"> </w:t>
      </w:r>
      <w:r>
        <w:t xml:space="preserve">[as printed; the</w:t>
      </w:r>
      <w:r>
        <w:t xml:space="preserve"> </w:t>
      </w:r>
      <w:r>
        <w:rPr>
          <w:iCs/>
          <w:i/>
        </w:rPr>
        <w:t xml:space="preserve">tud-ādi</w:t>
      </w:r>
      <w:r>
        <w:t xml:space="preserve"> </w:t>
      </w:r>
      <w:r>
        <w:t xml:space="preserve">take</w:t>
      </w:r>
      <w:r>
        <w:t xml:space="preserve"> </w:t>
      </w:r>
      <w:r>
        <w:rPr>
          <w:iCs/>
          <w:i/>
        </w:rPr>
        <w:t xml:space="preserve">śa</w:t>
      </w:r>
      <w:r>
        <w:t xml:space="preserve">]:</w:t>
      </w:r>
      <w:r>
        <w:t xml:space="preserve"> </w:t>
      </w:r>
      <w:r>
        <w:rPr>
          <w:iCs/>
          <w:i/>
        </w:rPr>
        <w:t xml:space="preserve">sṛj</w:t>
      </w:r>
      <w:r>
        <w:t xml:space="preserve"> </w:t>
      </w:r>
      <w:r>
        <w:t xml:space="preserve">+</w:t>
      </w:r>
      <w:r>
        <w:t xml:space="preserve"> </w:t>
      </w:r>
      <w:r>
        <w:rPr>
          <w:iCs/>
          <w:i/>
        </w:rPr>
        <w:t xml:space="preserve">a</w:t>
      </w:r>
      <w:r>
        <w:t xml:space="preserve"> </w:t>
      </w:r>
      <w:r>
        <w:t xml:space="preserve">+</w:t>
      </w:r>
      <w:r>
        <w:t xml:space="preserve"> </w:t>
      </w:r>
      <w:r>
        <w:rPr>
          <w:iCs/>
          <w:i/>
        </w:rPr>
        <w:t xml:space="preserve">mi</w:t>
      </w:r>
      <w:r>
        <w:t xml:space="preserve">; by</w:t>
      </w:r>
      <w:r>
        <w:t xml:space="preserve"> </w:t>
      </w:r>
      <w:r>
        <w:t xml:space="preserve">“</w:t>
      </w:r>
      <w:r>
        <w:t xml:space="preserve">ato dīrgho yañi</w:t>
      </w:r>
      <w:r>
        <w:t xml:space="preserve">”</w:t>
      </w:r>
      <w:r>
        <w:t xml:space="preserve"> </w:t>
      </w:r>
      <w:r>
        <w:t xml:space="preserve">(Pā. sū. 7-3-101) lengthening:</w:t>
      </w:r>
      <w:r>
        <w:t xml:space="preserve"> </w:t>
      </w:r>
      <w:r>
        <w:rPr>
          <w:iCs/>
          <w:i/>
        </w:rPr>
        <w:t xml:space="preserve">sṛjāmi</w:t>
      </w:r>
      <w:r>
        <w:t xml:space="preserve">.</w:t>
      </w:r>
      <w:r>
        <w:t xml:space="preserve"> </w:t>
      </w:r>
      <w:r>
        <w:rPr>
          <w:iCs/>
          <w:i/>
        </w:rPr>
        <w:t xml:space="preserve">Mip</w:t>
      </w:r>
      <w:r>
        <w:t xml:space="preserve"> </w:t>
      </w:r>
      <w:r>
        <w:t xml:space="preserve">being</w:t>
      </w:r>
      <w:r>
        <w:t xml:space="preserve"> </w:t>
      </w:r>
      <w:r>
        <w:rPr>
          <w:iCs/>
          <w:i/>
        </w:rPr>
        <w:t xml:space="preserve">pit</w:t>
      </w:r>
      <w:r>
        <w:t xml:space="preserve">, it is unaccented by</w:t>
      </w:r>
      <w:r>
        <w:t xml:space="preserve"> </w:t>
      </w:r>
      <w:r>
        <w:rPr>
          <w:iCs/>
          <w:i/>
        </w:rPr>
        <w:t xml:space="preserve">anudāttau suppitau</w:t>
      </w:r>
      <w:r>
        <w:t xml:space="preserve">. The</w:t>
      </w:r>
      <w:r>
        <w:t xml:space="preserve"> </w:t>
      </w:r>
      <w:r>
        <w:rPr>
          <w:iCs/>
          <w:i/>
        </w:rPr>
        <w:t xml:space="preserve">vikaraṇa</w:t>
      </w:r>
      <w:r>
        <w:t xml:space="preserve"> </w:t>
      </w:r>
      <w:r>
        <w:t xml:space="preserve">has the suffix accent.</w:t>
      </w:r>
    </w:p>
    <w:p>
      <w:pPr>
        <w:pStyle w:val="BodyText"/>
      </w:pPr>
      <w:r>
        <w:rPr>
          <w:bCs/>
          <w:b/>
        </w:rPr>
        <w:t xml:space="preserve">सोम्यम् (</w:t>
      </w:r>
      <w:r>
        <w:rPr>
          <w:iCs/>
          <w:i/>
          <w:bCs/>
          <w:b/>
        </w:rPr>
        <w:t xml:space="preserve">somyam</w:t>
      </w:r>
      <w:r>
        <w:rPr>
          <w:bCs/>
          <w:b/>
        </w:rPr>
        <w:t xml:space="preserve">)</w:t>
      </w:r>
      <w:r>
        <w:t xml:space="preserve">: by</w:t>
      </w:r>
      <w:r>
        <w:t xml:space="preserve"> </w:t>
      </w:r>
      <w:r>
        <w:t xml:space="preserve">“</w:t>
      </w:r>
      <w:r>
        <w:t xml:space="preserve">somam arhati yaḥ</w:t>
      </w:r>
      <w:r>
        <w:t xml:space="preserve">”</w:t>
      </w:r>
      <w:r>
        <w:t xml:space="preserve"> </w:t>
      </w:r>
      <w:r>
        <w:t xml:space="preserve">(Pā. sū. 4-4-137), after the accusative-final word</w:t>
      </w:r>
      <w:r>
        <w:t xml:space="preserve"> </w:t>
      </w:r>
      <w:r>
        <w:rPr>
          <w:iCs/>
          <w:i/>
        </w:rPr>
        <w:t xml:space="preserve">soma</w:t>
      </w:r>
      <w:r>
        <w:t xml:space="preserve">, in the sense</w:t>
      </w:r>
      <w:r>
        <w:t xml:space="preserve"> </w:t>
      </w:r>
      <w:r>
        <w:t xml:space="preserve">“</w:t>
      </w:r>
      <w:r>
        <w:t xml:space="preserve">deserves</w:t>
      </w:r>
      <w:r>
        <w:t xml:space="preserve">”</w:t>
      </w:r>
      <w:r>
        <w:t xml:space="preserve">, the suffix</w:t>
      </w:r>
      <w:r>
        <w:t xml:space="preserve"> </w:t>
      </w:r>
      <w:r>
        <w:rPr>
          <w:iCs/>
          <w:i/>
        </w:rPr>
        <w:t xml:space="preserve">ya</w:t>
      </w:r>
      <w:r>
        <w:t xml:space="preserve"> </w:t>
      </w:r>
      <w:r>
        <w:t xml:space="preserve">comes; so</w:t>
      </w:r>
      <w:r>
        <w:t xml:space="preserve"> </w:t>
      </w:r>
      <w:r>
        <w:rPr>
          <w:iCs/>
          <w:i/>
        </w:rPr>
        <w:t xml:space="preserve">ya</w:t>
      </w:r>
      <w:r>
        <w:t xml:space="preserve"> </w:t>
      </w:r>
      <w:r>
        <w:t xml:space="preserve">after</w:t>
      </w:r>
      <w:r>
        <w:t xml:space="preserve"> </w:t>
      </w:r>
      <w:r>
        <w:rPr>
          <w:iCs/>
          <w:i/>
        </w:rPr>
        <w:t xml:space="preserve">somam</w:t>
      </w:r>
      <w:r>
        <w:t xml:space="preserve">:</w:t>
      </w:r>
      <w:r>
        <w:t xml:space="preserve"> </w:t>
      </w:r>
      <w:r>
        <w:rPr>
          <w:iCs/>
          <w:i/>
        </w:rPr>
        <w:t xml:space="preserve">soma</w:t>
      </w:r>
      <w:r>
        <w:t xml:space="preserve"> </w:t>
      </w:r>
      <w:r>
        <w:t xml:space="preserve">+</w:t>
      </w:r>
      <w:r>
        <w:t xml:space="preserve"> </w:t>
      </w:r>
      <w:r>
        <w:rPr>
          <w:iCs/>
          <w:i/>
        </w:rPr>
        <w:t xml:space="preserve">am</w:t>
      </w:r>
      <w:r>
        <w:t xml:space="preserve"> </w:t>
      </w:r>
      <w:r>
        <w:t xml:space="preserve">+</w:t>
      </w:r>
      <w:r>
        <w:t xml:space="preserve"> </w:t>
      </w:r>
      <w:r>
        <w:rPr>
          <w:iCs/>
          <w:i/>
        </w:rPr>
        <w:t xml:space="preserve">ya</w:t>
      </w:r>
      <w:r>
        <w:t xml:space="preserve">. The</w:t>
      </w:r>
      <w:r>
        <w:t xml:space="preserve"> </w:t>
      </w:r>
      <w:r>
        <w:rPr>
          <w:iCs/>
          <w:i/>
        </w:rPr>
        <w:t xml:space="preserve">am</w:t>
      </w:r>
      <w:r>
        <w:t xml:space="preserve">, part of the stem, takes</w:t>
      </w:r>
      <w:r>
        <w:t xml:space="preserve"> </w:t>
      </w:r>
      <w:r>
        <w:rPr>
          <w:iCs/>
          <w:i/>
        </w:rPr>
        <w:t xml:space="preserve">luk</w:t>
      </w:r>
      <w:r>
        <w:t xml:space="preserve"> </w:t>
      </w:r>
      <w:r>
        <w:t xml:space="preserve">by</w:t>
      </w:r>
      <w:r>
        <w:t xml:space="preserve"> </w:t>
      </w:r>
      <w:r>
        <w:rPr>
          <w:iCs/>
          <w:i/>
        </w:rPr>
        <w:t xml:space="preserve">supo dhātu…</w:t>
      </w:r>
      <w:r>
        <w:t xml:space="preserve">; by</w:t>
      </w:r>
      <w:r>
        <w:t xml:space="preserve"> </w:t>
      </w:r>
      <w:r>
        <w:rPr>
          <w:iCs/>
          <w:i/>
        </w:rPr>
        <w:t xml:space="preserve">yasyeti ca</w:t>
      </w:r>
      <w:r>
        <w:t xml:space="preserve"> </w:t>
      </w:r>
      <w:r>
        <w:t xml:space="preserve">the</w:t>
      </w:r>
      <w:r>
        <w:t xml:space="preserve"> </w:t>
      </w:r>
      <w:r>
        <w:rPr>
          <w:iCs/>
          <w:i/>
        </w:rPr>
        <w:t xml:space="preserve">a</w:t>
      </w:r>
      <w:r>
        <w:t xml:space="preserve"> </w:t>
      </w:r>
      <w:r>
        <w:t xml:space="preserve">before the suffix drops:</w:t>
      </w:r>
      <w:r>
        <w:t xml:space="preserve"> </w:t>
      </w:r>
      <w:r>
        <w:rPr>
          <w:iCs/>
          <w:i/>
        </w:rPr>
        <w:t xml:space="preserve">somya</w:t>
      </w:r>
      <w:r>
        <w:t xml:space="preserve">. This is final udātta by the suffix accent.</w:t>
      </w:r>
    </w:p>
    <w:p>
      <w:pPr>
        <w:pStyle w:val="BodyText"/>
      </w:pPr>
      <w:r>
        <w:rPr>
          <w:bCs/>
          <w:b/>
        </w:rPr>
        <w:t xml:space="preserve">मधु (</w:t>
      </w:r>
      <w:r>
        <w:rPr>
          <w:iCs/>
          <w:i/>
          <w:bCs/>
          <w:b/>
        </w:rPr>
        <w:t xml:space="preserve">madhu</w:t>
      </w:r>
      <w:r>
        <w:rPr>
          <w:bCs/>
          <w:b/>
        </w:rPr>
        <w:t xml:space="preserve">)</w:t>
      </w:r>
      <w:r>
        <w:t xml:space="preserve">: by</w:t>
      </w:r>
      <w:r>
        <w:t xml:space="preserve"> </w:t>
      </w:r>
      <w:r>
        <w:t xml:space="preserve">“</w:t>
      </w:r>
      <w:r>
        <w:t xml:space="preserve">phalipāṭinami…</w:t>
      </w:r>
      <w:r>
        <w:t xml:space="preserve">”</w:t>
      </w:r>
      <w:r>
        <w:t xml:space="preserve"> </w:t>
      </w:r>
      <w:r>
        <w:t xml:space="preserve">(Uṇ. sū.</w:t>
      </w:r>
      <w:r>
        <w:t xml:space="preserve"> </w:t>
      </w:r>
      <w:r>
        <w:t xml:space="preserve">“</w:t>
      </w:r>
      <w:r>
        <w:t xml:space="preserve">1-18</w:t>
      </w:r>
      <w:r>
        <w:t xml:space="preserve">”</w:t>
      </w:r>
      <w:r>
        <w:t xml:space="preserve"> </w:t>
      </w:r>
      <w:r>
        <w:t xml:space="preserve">[?; the second digit is blotted]) the suffix</w:t>
      </w:r>
      <w:r>
        <w:t xml:space="preserve"> </w:t>
      </w:r>
      <w:r>
        <w:rPr>
          <w:iCs/>
          <w:i/>
        </w:rPr>
        <w:t xml:space="preserve">u</w:t>
      </w:r>
      <w:r>
        <w:t xml:space="preserve">. Since in the sūtra</w:t>
      </w:r>
      <w:r>
        <w:t xml:space="preserve"> </w:t>
      </w:r>
      <w:r>
        <w:rPr>
          <w:iCs/>
          <w:i/>
        </w:rPr>
        <w:t xml:space="preserve">phalipāṭi…</w:t>
      </w:r>
      <w:r>
        <w:t xml:space="preserve"> </w:t>
      </w:r>
      <w:r>
        <w:t xml:space="preserve">“</w:t>
      </w:r>
      <w:r>
        <w:rPr>
          <w:iCs/>
          <w:i/>
        </w:rPr>
        <w:t xml:space="preserve">nit</w:t>
      </w:r>
      <w:r>
        <w:t xml:space="preserve">”</w:t>
      </w:r>
      <w:r>
        <w:t xml:space="preserve"> </w:t>
      </w:r>
      <w:r>
        <w:t xml:space="preserve">is carried on, by</w:t>
      </w:r>
      <w:r>
        <w:t xml:space="preserve"> </w:t>
      </w:r>
      <w:r>
        <w:t xml:space="preserve">“</w:t>
      </w:r>
      <w:r>
        <w:t xml:space="preserve">ñnityādir nityam</w:t>
      </w:r>
      <w:r>
        <w:t xml:space="preserve">”</w:t>
      </w:r>
      <w:r>
        <w:t xml:space="preserve"> </w:t>
      </w:r>
      <w:r>
        <w:t xml:space="preserve">(Pā. sū. 6-1-197)</w:t>
      </w:r>
    </w:p>
    <w:bookmarkEnd w:id="898"/>
    <w:bookmarkStart w:id="899" w:name="page-808-upper-rik-9-grammar-end"/>
    <w:p>
      <w:pPr>
        <w:pStyle w:val="Heading3"/>
      </w:pPr>
      <w:r>
        <w:t xml:space="preserve">Page 808 (upper) — Rik 9: grammar (end)</w:t>
      </w:r>
    </w:p>
    <w:p>
      <w:pPr>
        <w:pStyle w:val="FirstParagraph"/>
      </w:pPr>
      <w:r>
        <w:t xml:space="preserve">the word</w:t>
      </w:r>
      <w:r>
        <w:t xml:space="preserve"> </w:t>
      </w:r>
      <w:r>
        <w:rPr>
          <w:iCs/>
          <w:i/>
        </w:rPr>
        <w:t xml:space="preserve">madhu</w:t>
      </w:r>
      <w:r>
        <w:t xml:space="preserve"> </w:t>
      </w:r>
      <w:r>
        <w:t xml:space="preserve">is initial udātta. The derivation of the word</w:t>
      </w:r>
      <w:r>
        <w:t xml:space="preserve"> </w:t>
      </w:r>
      <w:r>
        <w:rPr>
          <w:iCs/>
          <w:i/>
        </w:rPr>
        <w:t xml:space="preserve">madhu</w:t>
      </w:r>
      <w:r>
        <w:t xml:space="preserve"> </w:t>
      </w:r>
      <w:r>
        <w:t xml:space="preserve">is set out at</w:t>
      </w:r>
      <w:r>
        <w:t xml:space="preserve"> </w:t>
      </w:r>
      <w:r>
        <w:t xml:space="preserve">“</w:t>
      </w:r>
      <w:r>
        <w:t xml:space="preserve">madhumantaṃ</w:t>
      </w:r>
      <w:r>
        <w:t xml:space="preserve">”</w:t>
      </w:r>
      <w:r>
        <w:t xml:space="preserve"> </w:t>
      </w:r>
      <w:r>
        <w:t xml:space="preserve">(Ṛ. saṃ. 1-13-2). For the other words the derivation was set out earlier.</w:t>
      </w:r>
    </w:p>
    <w:p>
      <w:pPr>
        <w:pStyle w:val="BodyText"/>
      </w:pPr>
      <w:r>
        <w:rPr>
          <w:bCs/>
          <w:b/>
        </w:rPr>
        <w:t xml:space="preserve">॥९॥ ॥१९॥ ॥३७॥</w:t>
      </w:r>
      <w:r>
        <w:t xml:space="preserve"> </w:t>
      </w:r>
      <w:r>
        <w:rPr>
          <w:iCs/>
          <w:i/>
        </w:rPr>
        <w:t xml:space="preserve">(as printed: end of Ṛk 9, Sūkta 19 and Varga 37)</w:t>
      </w:r>
    </w:p>
    <w:p>
      <w:r>
        <w:pict>
          <v:rect style="width:0;height:1.5pt" o:hralign="center" o:hrstd="t" o:hr="t"/>
        </w:pict>
      </w:r>
    </w:p>
    <w:bookmarkEnd w:id="899"/>
    <w:bookmarkStart w:id="900" w:name="X9fa283d84addb1b7ba0d0218c123a212c301e5d"/>
    <w:p>
      <w:pPr>
        <w:pStyle w:val="Heading3"/>
      </w:pPr>
      <w:r>
        <w:t xml:space="preserve">Page 808 (lower) — Close of Sūkta 19, of Adhyāya 1, and of the volume</w:t>
      </w:r>
    </w:p>
    <w:p>
      <w:pPr>
        <w:pStyle w:val="FirstParagraph"/>
      </w:pPr>
      <w:r>
        <w:rPr>
          <w:bCs/>
          <w:b/>
        </w:rPr>
        <w:t xml:space="preserve">॥ Closing verse and colophon (Sanskrit, in Kannada script) ॥</w:t>
      </w:r>
    </w:p>
    <w:p>
      <w:pPr>
        <w:pStyle w:val="BlockText"/>
      </w:pPr>
      <w:r>
        <w:t xml:space="preserve">वेदार्थस्य प्रकाशेन तमो हार्दं निवारयन् ।</w:t>
      </w:r>
      <w:r>
        <w:t xml:space="preserve"> </w:t>
      </w:r>
      <w:r>
        <w:t xml:space="preserve">पुमर्थाँश्चतुरो देयाद्विद्यातीर्थमहेश्वरः ॥</w:t>
      </w:r>
    </w:p>
    <w:p>
      <w:pPr>
        <w:pStyle w:val="BlockText"/>
      </w:pPr>
      <w:r>
        <w:rPr>
          <w:iCs/>
          <w:i/>
        </w:rPr>
        <w:t xml:space="preserve">vedārthasya prakāśena tamo hārdaṃ nivārayan |</w:t>
      </w:r>
      <w:r>
        <w:t xml:space="preserve"> </w:t>
      </w:r>
      <w:r>
        <w:rPr>
          <w:iCs/>
          <w:i/>
        </w:rPr>
        <w:t xml:space="preserve">pumarthām̐ś caturo deyād vidyā-tīrtha-maheśvaraḥ ||</w:t>
      </w:r>
    </w:p>
    <w:p>
      <w:pPr>
        <w:pStyle w:val="FirstParagraph"/>
      </w:pPr>
      <w:r>
        <w:rPr>
          <w:bCs/>
          <w:b/>
        </w:rPr>
        <w:t xml:space="preserve">Translation:</w:t>
      </w:r>
      <w:r>
        <w:t xml:space="preserve"> </w:t>
      </w:r>
      <w:r>
        <w:t xml:space="preserve">“</w:t>
      </w:r>
      <w:r>
        <w:t xml:space="preserve">May Vidyātīrtha-Maheśvara, dispelling the darkness of the heart by the light of the meaning of the Veda, grant the four human aims.</w:t>
      </w:r>
      <w:r>
        <w:t xml:space="preserve">”</w:t>
      </w:r>
      <w:r>
        <w:t xml:space="preserve"> </w:t>
      </w:r>
      <w:r>
        <w:rPr>
          <w:iCs/>
          <w:i/>
        </w:rPr>
        <w:t xml:space="preserve">(The verse is the standard benediction found at the close of each section of the Mādhavīya Vedārthaprakāśa; I give it as printed, and the English is mine.)</w:t>
      </w:r>
    </w:p>
    <w:p>
      <w:pPr>
        <w:pStyle w:val="BlockText"/>
      </w:pPr>
      <w:r>
        <w:t xml:space="preserve">इति श्रीमद्राजाधिराजपरमेश्वरवैदिकमार्गप्रवर्तकश्रीवीरबुक्कभूपालसाम्राज्यधुरंधरेण सायणाचार्येण विरचिते माधवीये वेदार्थप्रकाशे ऋक्संहिताभाष्ये प्रथमाष्टके प्रथमोऽध्यायः समाप्तः ॥ ॐ तत्सत् ॥</w:t>
      </w:r>
    </w:p>
    <w:p>
      <w:pPr>
        <w:pStyle w:val="BlockText"/>
      </w:pPr>
      <w:r>
        <w:rPr>
          <w:iCs/>
          <w:i/>
        </w:rPr>
        <w:t xml:space="preserve">iti śrīmad-rājādhirāja-parameśvara-vaidika-mārga-pravartaka-śrī-vīrabukka-bhūpāla-sāmrājya-dhuraṃdhareṇa sāyaṇācāryeṇa viracite mādhavīye vedārtha-prakāśe ṛk-saṃhitā-bhāṣye prathamāṣṭake prathamo ’dhyāyaḥ samāptaḥ || oṃ tat sat ||</w:t>
      </w:r>
    </w:p>
    <w:p>
      <w:pPr>
        <w:pStyle w:val="FirstParagraph"/>
      </w:pPr>
      <w:r>
        <w:rPr>
          <w:bCs/>
          <w:b/>
        </w:rPr>
        <w:t xml:space="preserve">Translation:</w:t>
      </w:r>
      <w:r>
        <w:t xml:space="preserve"> </w:t>
      </w:r>
      <w:r>
        <w:t xml:space="preserve">“</w:t>
      </w:r>
      <w:r>
        <w:t xml:space="preserve">Thus ends the First Adhyāya in the First Aṣṭaka of the Ṛk-saṃhitā-bhāṣya — the</w:t>
      </w:r>
      <w:r>
        <w:t xml:space="preserve"> </w:t>
      </w:r>
      <w:r>
        <w:rPr>
          <w:iCs/>
          <w:i/>
        </w:rPr>
        <w:t xml:space="preserve">Mādhavīya Vedārthaprakāśa</w:t>
      </w:r>
      <w:r>
        <w:t xml:space="preserve"> </w:t>
      </w:r>
      <w:r>
        <w:t xml:space="preserve">— composed by Sāyaṇācārya, the bearer of the burden of the empire of the glorious King Vīra-Bukka, the King of Kings, Supreme Lord, the establisher of the Vedic path. Oṃ, That is the Real.</w:t>
      </w:r>
      <w:r>
        <w:t xml:space="preserve">”</w:t>
      </w:r>
    </w:p>
    <w:p>
      <w:pPr>
        <w:pStyle w:val="BodyText"/>
      </w:pPr>
      <w:r>
        <w:rPr>
          <w:bCs/>
          <w:b/>
        </w:rPr>
        <w:t xml:space="preserve">॥ Kannada colophon ॥</w:t>
      </w:r>
      <w:r>
        <w:t xml:space="preserve"> </w:t>
      </w:r>
      <w:r>
        <w:t xml:space="preserve">“</w:t>
      </w:r>
      <w:r>
        <w:t xml:space="preserve">Here the First Adhyāya in the First Aṣṭaka of the Ṛgveda-saṃhitā, with the Bhāṣya of Śrī Sāyaṇa and a Kannada rendering, comes to its end.</w:t>
      </w:r>
      <w:r>
        <w:t xml:space="preserve">”</w:t>
      </w:r>
    </w:p>
    <w:p>
      <w:pPr>
        <w:pStyle w:val="BlockText"/>
      </w:pPr>
      <w:r>
        <w:t xml:space="preserve">यदक्षरपदभ्रष्टं मात्राहीनं तु यद्भवेत् ।</w:t>
      </w:r>
      <w:r>
        <w:t xml:space="preserve"> </w:t>
      </w:r>
      <w:r>
        <w:t xml:space="preserve">तत्सर्वं क्षम्यतां देव वागीश्वर नमोऽस्तु ते ॥</w:t>
      </w:r>
    </w:p>
    <w:p>
      <w:pPr>
        <w:pStyle w:val="BlockText"/>
      </w:pPr>
      <w:r>
        <w:rPr>
          <w:iCs/>
          <w:i/>
        </w:rPr>
        <w:t xml:space="preserve">yad akṣara-pada-bhraṣṭaṃ mātrā-hīnaṃ tu yad bhavet |</w:t>
      </w:r>
      <w:r>
        <w:t xml:space="preserve"> </w:t>
      </w:r>
      <w:r>
        <w:rPr>
          <w:iCs/>
          <w:i/>
        </w:rPr>
        <w:t xml:space="preserve">tat sarvaṃ kṣamyatāṃ deva vāgīśvara namo ’stu te ||</w:t>
      </w:r>
    </w:p>
    <w:p>
      <w:pPr>
        <w:pStyle w:val="FirstParagraph"/>
      </w:pPr>
      <w:r>
        <w:rPr>
          <w:bCs/>
          <w:b/>
        </w:rPr>
        <w:t xml:space="preserve">Translation:</w:t>
      </w:r>
      <w:r>
        <w:t xml:space="preserve"> </w:t>
      </w:r>
      <w:r>
        <w:t xml:space="preserve">“</w:t>
      </w:r>
      <w:r>
        <w:t xml:space="preserve">Whatever may be faulty in letter or word, or deficient in measure — may all that be forgiven, O God, Lord of Speech; salutations to you.</w:t>
      </w:r>
      <w:r>
        <w:t xml:space="preserve">”</w:t>
      </w:r>
      <w:r>
        <w:t xml:space="preserve"> </w:t>
      </w:r>
      <w:r>
        <w:rPr>
          <w:iCs/>
          <w:i/>
        </w:rPr>
        <w:t xml:space="preserve">(The English is mine.)</w:t>
      </w:r>
    </w:p>
    <w:p>
      <w:pPr>
        <w:pStyle w:val="BlockText"/>
      </w:pPr>
      <w:r>
        <w:t xml:space="preserve">॥ शुभं भूयात् ॥ ॥ मंगळं ॥</w:t>
      </w:r>
    </w:p>
    <w:p>
      <w:pPr>
        <w:pStyle w:val="BlockText"/>
      </w:pPr>
      <w:r>
        <w:rPr>
          <w:iCs/>
          <w:i/>
        </w:rPr>
        <w:t xml:space="preserve">|| śubhaṃ bhūyāt || || maṅgaḷaṃ ||</w:t>
      </w:r>
    </w:p>
    <w:p>
      <w:pPr>
        <w:pStyle w:val="FirstParagraph"/>
      </w:pPr>
      <w:r>
        <w:t xml:space="preserve">“</w:t>
      </w:r>
      <w:r>
        <w:t xml:space="preserve">May there be auspiciousness. Blessing.</w:t>
      </w:r>
      <w:r>
        <w:t xml:space="preserve">”</w:t>
      </w:r>
    </w:p>
    <w:p>
      <w:pPr>
        <w:pStyle w:val="BodyText"/>
      </w:pPr>
      <w:r>
        <w:rPr>
          <w:bCs/>
          <w:b/>
        </w:rPr>
        <w:t xml:space="preserve">Imprint (English, as printed):</w:t>
      </w:r>
      <w:r>
        <w:t xml:space="preserve"> </w:t>
      </w:r>
      <w:r>
        <w:rPr>
          <w:iCs/>
          <w:i/>
        </w:rPr>
        <w:t xml:space="preserve">Printed by Y. R. Ranga Rao, Proprietor, Sri Chamundeswari Electric Press, Clock Tower Square, Mysore—1949.</w:t>
      </w:r>
    </w:p>
    <w:p>
      <w:pPr>
        <w:pStyle w:val="BodyText"/>
      </w:pPr>
      <w:r>
        <w:rPr>
          <w:iCs/>
          <w:i/>
        </w:rPr>
        <w:t xml:space="preserve">(The scan ends here: PDF page 823, printed page 808.)</w:t>
      </w:r>
    </w:p>
    <w:p>
      <w:r>
        <w:pict>
          <v:rect style="width:0;height:1.5pt" o:hralign="center" o:hrstd="t" o:hr="t"/>
        </w:pict>
      </w:r>
    </w:p>
    <w:p>
      <w:pPr>
        <w:pStyle w:val="FirstParagraph"/>
      </w:pPr>
      <w:r>
        <w:rPr>
          <w:bCs/>
          <w:b/>
        </w:rPr>
        <w:t xml:space="preserve">Progress note — Volume 2 complete (printed p. 808, end of the scanned source); numeral, [?] and accent pass complete (Oct 2026).</w:t>
      </w:r>
    </w:p>
    <w:p>
      <w:pPr>
        <w:pStyle w:val="BodyText"/>
      </w:pPr>
      <w:r>
        <w:rPr>
          <w:bCs/>
          <w:b/>
        </w:rPr>
        <w:t xml:space="preserve">This pass:</w:t>
      </w:r>
      <w:r>
        <w:t xml:space="preserve"> </w:t>
      </w:r>
      <w:r>
        <w:t xml:space="preserve">every page re-read from the better scan (PDF 1–822): numerals, references and [?] readings checked against the print; bhāṣyas re-transcribed in full with their grammatical tails; grammar paragraphs rewritten from the print; Saṃhitā accents from the print (Pada unaccented). Details per batch:</w:t>
      </w:r>
      <w:r>
        <w:t xml:space="preserve"> </w:t>
      </w:r>
      <w:r>
        <w:rPr>
          <w:rStyle w:val="VerbatimChar"/>
        </w:rPr>
        <w:t xml:space="preserve">vol2/review/notes_PDF*.txt</w:t>
      </w:r>
      <w:r>
        <w:t xml:space="preserve">,</w:t>
      </w:r>
      <w:r>
        <w:t xml:space="preserve"> </w:t>
      </w:r>
      <w:r>
        <w:rPr>
          <w:rStyle w:val="VerbatimChar"/>
        </w:rPr>
        <w:t xml:space="preserve">vol2/vol2_pass_log.md</w:t>
      </w:r>
      <w:r>
        <w:t xml:space="preserve">; open readings and</w:t>
      </w:r>
      <w:r>
        <w:t xml:space="preserve"> </w:t>
      </w:r>
      <w:r>
        <w:t xml:space="preserve">“</w:t>
      </w:r>
      <w:r>
        <w:t xml:space="preserve">as printed</w:t>
      </w:r>
      <w:r>
        <w:t xml:space="preserve">”</w:t>
      </w:r>
      <w:r>
        <w:t xml:space="preserve"> </w:t>
      </w:r>
      <w:r>
        <w:t xml:space="preserve">numbers:</w:t>
      </w:r>
      <w:r>
        <w:t xml:space="preserve"> </w:t>
      </w:r>
      <w:r>
        <w:rPr>
          <w:rStyle w:val="VerbatimChar"/>
        </w:rPr>
        <w:t xml:space="preserve">vol2/vol2_state.md</w:t>
      </w:r>
      <w:r>
        <w:t xml:space="preserve">.</w:t>
      </w:r>
    </w:p>
    <w:p>
      <w:pPr>
        <w:pStyle w:val="BodyText"/>
      </w:pPr>
      <w:r>
        <w:rPr>
          <w:bCs/>
          <w:b/>
        </w:rPr>
        <w:t xml:space="preserve">Open flags:</w:t>
      </w:r>
      <w:r>
        <w:t xml:space="preserve"> </w:t>
      </w:r>
      <w:r>
        <w:t xml:space="preserve">the [?] and [accent ?] readings listed in</w:t>
      </w:r>
      <w:r>
        <w:t xml:space="preserve"> </w:t>
      </w:r>
      <w:r>
        <w:rPr>
          <w:rStyle w:val="VerbatimChar"/>
        </w:rPr>
        <w:t xml:space="preserve">vol2_state.md</w:t>
      </w:r>
      <w:r>
        <w:t xml:space="preserve"> </w:t>
      </w:r>
      <w:r>
        <w:t xml:space="preserve">(the print does not settle them); older progress notes inside the file (around lines 170, 385, 501) and a stray Cyrillic string on p. 29 are not yet cleaned; outside Vedic/Sanskrit review wanted.</w:t>
      </w:r>
    </w:p>
    <w:bookmarkEnd w:id="900"/>
    <w:bookmarkEnd w:id="901"/>
    <w:bookmarkEnd w:id="9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4">
    <w:nsid w:val="A9943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37">
    <w:nsid w:val="A9943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39">
    <w:nsid w:val="A9943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310">
    <w:nsid w:val="A9943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8315">
    <w:nsid w:val="A998315"/>
    <w:multiLevelType w:val="multilevel"/>
    <w:lvl w:ilvl="0">
      <w:start w:val="15"/>
      <w:numFmt w:val="upperLetter"/>
      <w:lvlText w:val="(%1)"/>
      <w:lvlJc w:val="left"/>
      <w:pPr>
        <w:ind w:left="720" w:hanging="480"/>
      </w:pPr>
    </w:lvl>
    <w:lvl w:ilvl="1">
      <w:start w:val="15"/>
      <w:numFmt w:val="upperLetter"/>
      <w:lvlText w:val="(%2)"/>
      <w:lvlJc w:val="left"/>
      <w:pPr>
        <w:ind w:left="1440" w:hanging="480"/>
      </w:pPr>
    </w:lvl>
    <w:lvl w:ilvl="2">
      <w:start w:val="15"/>
      <w:numFmt w:val="upperLetter"/>
      <w:lvlText w:val="(%3)"/>
      <w:lvlJc w:val="left"/>
      <w:pPr>
        <w:ind w:left="2160" w:hanging="480"/>
      </w:pPr>
    </w:lvl>
    <w:lvl w:ilvl="3">
      <w:start w:val="15"/>
      <w:numFmt w:val="upperLetter"/>
      <w:lvlText w:val="(%4)"/>
      <w:lvlJc w:val="left"/>
      <w:pPr>
        <w:ind w:left="2880" w:hanging="480"/>
      </w:pPr>
    </w:lvl>
    <w:lvl w:ilvl="4">
      <w:start w:val="15"/>
      <w:numFmt w:val="upperLetter"/>
      <w:lvlText w:val="(%5)"/>
      <w:lvlJc w:val="left"/>
      <w:pPr>
        <w:ind w:left="3600" w:hanging="480"/>
      </w:pPr>
    </w:lvl>
    <w:lvl w:ilvl="5">
      <w:start w:val="15"/>
      <w:numFmt w:val="upperLetter"/>
      <w:lvlText w:val="(%6)"/>
      <w:lvlJc w:val="left"/>
      <w:pPr>
        <w:ind w:left="4320" w:hanging="480"/>
      </w:pPr>
    </w:lvl>
    <w:lvl w:ilvl="6">
      <w:start w:val="15"/>
      <w:numFmt w:val="upperLetter"/>
      <w:lvlText w:val="(%7)"/>
      <w:lvlJc w:val="left"/>
      <w:pPr>
        <w:ind w:left="5040" w:hanging="480"/>
      </w:pPr>
    </w:lvl>
    <w:lvl w:ilvl="7">
      <w:start w:val="15"/>
      <w:numFmt w:val="upperLetter"/>
      <w:lvlText w:val="(%8)"/>
      <w:lvlJc w:val="left"/>
      <w:pPr>
        <w:ind w:left="5760" w:hanging="480"/>
      </w:pPr>
    </w:lvl>
    <w:lvl w:ilvl="8">
      <w:start w:val="15"/>
      <w:numFmt w:val="upperLetter"/>
      <w:lvlText w:val="(%9)"/>
      <w:lvlJc w:val="left"/>
      <w:pPr>
        <w:ind w:left="6480" w:hanging="480"/>
      </w:pPr>
    </w:lvl>
  </w:abstractNum>
  <w:abstractNum w:abstractNumId="99433">
    <w:nsid w:val="A9943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631">
    <w:nsid w:val="A99631"/>
    <w:multiLevelType w:val="multilevel"/>
    <w:lvl w:ilvl="0">
      <w:start w:val="1"/>
      <w:numFmt w:val="upperRoman"/>
      <w:lvlText w:val="(%1)"/>
      <w:lvlJc w:val="left"/>
      <w:pPr>
        <w:ind w:left="720" w:hanging="480"/>
      </w:pPr>
    </w:lvl>
    <w:lvl w:ilvl="1">
      <w:start w:val="1"/>
      <w:numFmt w:val="upperRoman"/>
      <w:lvlText w:val="(%2)"/>
      <w:lvlJc w:val="left"/>
      <w:pPr>
        <w:ind w:left="1440" w:hanging="480"/>
      </w:pPr>
    </w:lvl>
    <w:lvl w:ilvl="2">
      <w:start w:val="1"/>
      <w:numFmt w:val="upperRoman"/>
      <w:lvlText w:val="(%3)"/>
      <w:lvlJc w:val="left"/>
      <w:pPr>
        <w:ind w:left="2160" w:hanging="480"/>
      </w:pPr>
    </w:lvl>
    <w:lvl w:ilvl="3">
      <w:start w:val="1"/>
      <w:numFmt w:val="upperRoman"/>
      <w:lvlText w:val="(%4)"/>
      <w:lvlJc w:val="left"/>
      <w:pPr>
        <w:ind w:left="2880" w:hanging="480"/>
      </w:pPr>
    </w:lvl>
    <w:lvl w:ilvl="4">
      <w:start w:val="1"/>
      <w:numFmt w:val="upperRoman"/>
      <w:lvlText w:val="(%5)"/>
      <w:lvlJc w:val="left"/>
      <w:pPr>
        <w:ind w:left="3600" w:hanging="480"/>
      </w:pPr>
    </w:lvl>
    <w:lvl w:ilvl="5">
      <w:start w:val="1"/>
      <w:numFmt w:val="upperRoman"/>
      <w:lvlText w:val="(%6)"/>
      <w:lvlJc w:val="left"/>
      <w:pPr>
        <w:ind w:left="4320" w:hanging="480"/>
      </w:pPr>
    </w:lvl>
    <w:lvl w:ilvl="6">
      <w:start w:val="1"/>
      <w:numFmt w:val="upperRoman"/>
      <w:lvlText w:val="(%7)"/>
      <w:lvlJc w:val="left"/>
      <w:pPr>
        <w:ind w:left="5040" w:hanging="480"/>
      </w:pPr>
    </w:lvl>
    <w:lvl w:ilvl="7">
      <w:start w:val="1"/>
      <w:numFmt w:val="upperRoman"/>
      <w:lvlText w:val="(%8)"/>
      <w:lvlJc w:val="left"/>
      <w:pPr>
        <w:ind w:left="5760" w:hanging="480"/>
      </w:pPr>
    </w:lvl>
    <w:lvl w:ilvl="8">
      <w:start w:val="1"/>
      <w:numFmt w:val="upp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6">
    <w:abstractNumId w:val="994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7">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83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21">
    <w:abstractNumId w:val="9983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6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Lohit Devanagar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Lohit Devanagar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Lohit Devanagar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Lohit Devanagar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Lohit Devanagar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Lohit Devanagar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Lohit Devanagar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Lohit Devanagar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Lohit Devanagar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Lohit Devanagar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Lohit Devanagar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Lohit Devanagar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2026-10-30T15:43:13Z</dcterms:created>
  <dcterms:modified xsi:type="dcterms:W3CDTF">2026-10-30T15:43:13Z</dcterms:modified>
</cp:coreProperties>
</file>

<file path=docProps/custom.xml><?xml version="1.0" encoding="utf-8"?>
<Properties xmlns="http://schemas.openxmlformats.org/officeDocument/2006/custom-properties" xmlns:vt="http://schemas.openxmlformats.org/officeDocument/2006/docPropsVTypes"/>
</file>